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Default Extension="jpeg" ContentType="image/jpeg"/>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Default Extension="png" ContentType="image/png"/>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1"/>
        <w:ind w:left="240" w:right="1793" w:firstLine="0"/>
        <w:jc w:val="left"/>
        <w:rPr>
          <w:rFonts w:ascii="Arial"/>
          <w:b/>
          <w:sz w:val="52"/>
        </w:rPr>
      </w:pPr>
      <w:bookmarkStart w:name="Historical NT NER v39 page 1 only" w:id="1"/>
      <w:bookmarkEnd w:id="1"/>
      <w:r>
        <w:rPr/>
      </w:r>
      <w:r>
        <w:rPr>
          <w:rFonts w:ascii="Arial"/>
          <w:b/>
          <w:sz w:val="52"/>
        </w:rPr>
        <w:t>National Electricity Rules As in force in the Northern Territory Version 39</w:t>
      </w:r>
    </w:p>
    <w:p>
      <w:pPr>
        <w:pStyle w:val="BodyText"/>
        <w:spacing w:before="0"/>
        <w:ind w:firstLine="0"/>
        <w:jc w:val="left"/>
        <w:rPr>
          <w:rFonts w:ascii="Arial"/>
          <w:b/>
          <w:sz w:val="72"/>
        </w:rPr>
      </w:pPr>
    </w:p>
    <w:p>
      <w:pPr>
        <w:pStyle w:val="Heading4"/>
        <w:ind w:left="240" w:firstLine="0"/>
      </w:pPr>
      <w:r>
        <w:rPr/>
        <w:t>Historical Information</w:t>
      </w:r>
    </w:p>
    <w:p>
      <w:pPr>
        <w:pStyle w:val="BodyText"/>
        <w:spacing w:before="10"/>
        <w:ind w:firstLine="0"/>
        <w:jc w:val="left"/>
        <w:rPr>
          <w:rFonts w:ascii="Arial"/>
          <w:b/>
          <w:sz w:val="23"/>
        </w:rPr>
      </w:pPr>
    </w:p>
    <w:p>
      <w:pPr>
        <w:pStyle w:val="BodyText"/>
        <w:spacing w:before="0"/>
        <w:ind w:left="240" w:right="1080" w:firstLine="0"/>
        <w:jc w:val="left"/>
      </w:pPr>
      <w:r>
        <w:rPr/>
        <w:t>This version of the National Electricity Rules As in force in the Northern Territory was current from 21 November 2019 to 30 November 2019.</w:t>
      </w:r>
    </w:p>
    <w:p>
      <w:pPr>
        <w:spacing w:after="0"/>
        <w:jc w:val="left"/>
        <w:sectPr>
          <w:type w:val="continuous"/>
          <w:pgSz w:w="11910" w:h="16840"/>
          <w:pgMar w:top="1360" w:bottom="280" w:left="1200" w:right="999"/>
        </w:sectPr>
      </w:pPr>
    </w:p>
    <w:p>
      <w:pPr>
        <w:spacing w:before="58"/>
        <w:ind w:left="668" w:right="869" w:firstLine="0"/>
        <w:jc w:val="center"/>
        <w:rPr>
          <w:rFonts w:ascii="Arial"/>
          <w:b/>
          <w:sz w:val="52"/>
        </w:rPr>
      </w:pPr>
      <w:bookmarkStart w:name="NT NER v39 full" w:id="2"/>
      <w:bookmarkEnd w:id="2"/>
      <w:r>
        <w:rPr/>
      </w:r>
      <w:r>
        <w:rPr>
          <w:rFonts w:ascii="Arial"/>
          <w:b/>
          <w:sz w:val="52"/>
        </w:rPr>
        <w:t>National Electricity Rules As in force in the Northern Territory Version 39</w:t>
      </w:r>
    </w:p>
    <w:p>
      <w:pPr>
        <w:pStyle w:val="Heading4"/>
        <w:spacing w:before="480"/>
        <w:ind w:left="218" w:firstLine="0"/>
        <w:jc w:val="both"/>
      </w:pPr>
      <w:r>
        <w:rPr/>
        <w:t>Status Information</w:t>
      </w:r>
    </w:p>
    <w:p>
      <w:pPr>
        <w:pStyle w:val="BodyText"/>
        <w:ind w:left="218" w:right="415" w:firstLine="0"/>
      </w:pPr>
      <w:r>
        <w:rPr/>
        <w:t>This is the latest electronically available version of the National Electricity Rules as in force in the Northern Territory (</w:t>
      </w:r>
      <w:r>
        <w:rPr>
          <w:b/>
        </w:rPr>
        <w:t>NT NER</w:t>
      </w:r>
      <w:r>
        <w:rPr/>
        <w:t>) as at 21 November</w:t>
      </w:r>
      <w:r>
        <w:rPr>
          <w:spacing w:val="-5"/>
        </w:rPr>
        <w:t> </w:t>
      </w:r>
      <w:r>
        <w:rPr/>
        <w:t>2019.</w:t>
      </w:r>
    </w:p>
    <w:p>
      <w:pPr>
        <w:spacing w:before="120"/>
        <w:ind w:left="218" w:right="415" w:firstLine="0"/>
        <w:jc w:val="both"/>
        <w:rPr>
          <w:sz w:val="24"/>
        </w:rPr>
      </w:pPr>
      <w:r>
        <w:rPr>
          <w:sz w:val="24"/>
        </w:rPr>
        <w:t>This consolidated version of the NT NER reflects the current version of the National Electricity Rules (version 127) as amended by the following regulations made by the Northern Territory under section 13(2)(c) of the </w:t>
      </w:r>
      <w:r>
        <w:rPr>
          <w:i/>
          <w:sz w:val="24"/>
        </w:rPr>
        <w:t>National Electricity (Northern Territory) (National </w:t>
      </w:r>
      <w:r>
        <w:rPr>
          <w:i/>
          <w:sz w:val="24"/>
        </w:rPr>
        <w:t>Uniform Legislation) Act</w:t>
      </w:r>
      <w:r>
        <w:rPr>
          <w:sz w:val="24"/>
        </w:rPr>
        <w:t>:</w:t>
      </w:r>
    </w:p>
    <w:p>
      <w:pPr>
        <w:pStyle w:val="BodyText"/>
        <w:ind w:left="785" w:right="416" w:firstLine="0"/>
      </w:pPr>
      <w:r>
        <w:rPr/>
        <w:t>National Electricity (Northern Territory) (National Uniform Legislation) (Modification) Regulations.</w:t>
      </w:r>
    </w:p>
    <w:p>
      <w:pPr>
        <w:pStyle w:val="BodyText"/>
        <w:spacing w:before="0"/>
        <w:ind w:firstLine="0"/>
        <w:jc w:val="left"/>
        <w:rPr>
          <w:sz w:val="26"/>
        </w:rPr>
      </w:pPr>
    </w:p>
    <w:p>
      <w:pPr>
        <w:pStyle w:val="Heading4"/>
        <w:spacing w:before="181"/>
        <w:ind w:left="218" w:firstLine="0"/>
        <w:jc w:val="both"/>
      </w:pPr>
      <w:r>
        <w:rPr/>
        <w:t>Provisions in force</w:t>
      </w:r>
    </w:p>
    <w:p>
      <w:pPr>
        <w:pStyle w:val="BodyText"/>
        <w:spacing w:line="343" w:lineRule="auto"/>
        <w:ind w:left="218" w:right="1434" w:firstLine="0"/>
      </w:pPr>
      <w:r>
        <w:rPr/>
        <w:t>All provisions displayed in this consolidated version of the Rules have commenced. As at the date of this consolidation:</w:t>
      </w:r>
    </w:p>
    <w:p>
      <w:pPr>
        <w:pStyle w:val="ListParagraph"/>
        <w:numPr>
          <w:ilvl w:val="0"/>
          <w:numId w:val="1"/>
        </w:numPr>
        <w:tabs>
          <w:tab w:pos="1659" w:val="left" w:leader="none"/>
        </w:tabs>
        <w:spacing w:line="240" w:lineRule="auto" w:before="2" w:after="0"/>
        <w:ind w:left="785" w:right="415" w:firstLine="0"/>
        <w:jc w:val="both"/>
        <w:rPr>
          <w:sz w:val="24"/>
        </w:rPr>
      </w:pPr>
      <w:r>
        <w:rPr>
          <w:sz w:val="24"/>
        </w:rPr>
        <w:t>the Australian Energy Market Commission has made certain Rules under Part 7, Division 3 of the National Electricity Law that have not yet commenced. A complete list of these Rules is set out under "Provisions in Force" on the cover sheet of the latest version of the National Electricity</w:t>
      </w:r>
      <w:r>
        <w:rPr>
          <w:spacing w:val="-1"/>
          <w:sz w:val="24"/>
        </w:rPr>
        <w:t> </w:t>
      </w:r>
      <w:r>
        <w:rPr>
          <w:sz w:val="24"/>
        </w:rPr>
        <w:t>Rules.</w:t>
      </w:r>
    </w:p>
    <w:p>
      <w:pPr>
        <w:pStyle w:val="ListParagraph"/>
        <w:numPr>
          <w:ilvl w:val="0"/>
          <w:numId w:val="1"/>
        </w:numPr>
        <w:tabs>
          <w:tab w:pos="1659" w:val="left" w:leader="none"/>
        </w:tabs>
        <w:spacing w:line="240" w:lineRule="auto" w:before="120" w:after="0"/>
        <w:ind w:left="785" w:right="414" w:firstLine="0"/>
        <w:jc w:val="both"/>
        <w:rPr>
          <w:sz w:val="24"/>
        </w:rPr>
      </w:pPr>
      <w:r>
        <w:rPr>
          <w:sz w:val="24"/>
        </w:rPr>
        <w:t>As at the date of this consolidation, the Northern Territory has adopted (or adopted a modified version of) various provisions of the National Electricity Rules with effect from 1 July 2019 and certain other provisions with effect from the date that the Northern Territory adopts the National Energy Retail Law as a law of the Northern Territory. The provisions to be adopted and the modifications to those provisions </w:t>
      </w:r>
      <w:r>
        <w:rPr>
          <w:spacing w:val="-5"/>
          <w:sz w:val="24"/>
        </w:rPr>
        <w:t>(if </w:t>
      </w:r>
      <w:r>
        <w:rPr>
          <w:sz w:val="24"/>
        </w:rPr>
        <w:t>relevant) are specified in the National Electricity (Northern Territory)(National Uniform Legislation)(Modification)</w:t>
      </w:r>
      <w:r>
        <w:rPr>
          <w:spacing w:val="-1"/>
          <w:sz w:val="24"/>
        </w:rPr>
        <w:t> </w:t>
      </w:r>
      <w:r>
        <w:rPr>
          <w:sz w:val="24"/>
        </w:rPr>
        <w:t>Regulations.</w:t>
      </w:r>
    </w:p>
    <w:p>
      <w:pPr>
        <w:pStyle w:val="BodyText"/>
        <w:ind w:left="218" w:right="414" w:firstLine="0"/>
      </w:pPr>
      <w:r>
        <w:rPr/>
        <w:t>This consolidated version of the NT NER contains drafting notes to indicate the provisions of the National Electricity Rules that have been adopted in the Northern Territory with effect from a later date.</w:t>
      </w: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0"/>
        <w:ind w:firstLine="0"/>
        <w:jc w:val="left"/>
        <w:rPr>
          <w:sz w:val="20"/>
        </w:rPr>
      </w:pPr>
    </w:p>
    <w:p>
      <w:pPr>
        <w:pStyle w:val="BodyText"/>
        <w:spacing w:before="3"/>
        <w:ind w:firstLine="0"/>
        <w:jc w:val="left"/>
        <w:rPr>
          <w:sz w:val="23"/>
        </w:rPr>
      </w:pPr>
    </w:p>
    <w:p>
      <w:pPr>
        <w:pStyle w:val="BodyText"/>
        <w:spacing w:before="90"/>
        <w:ind w:left="218" w:firstLine="0"/>
        <w:jc w:val="left"/>
      </w:pPr>
      <w:r>
        <w:rPr/>
        <w:t>This coversheet was last updated on 2019-02-01</w:t>
      </w:r>
    </w:p>
    <w:p>
      <w:pPr>
        <w:spacing w:after="0"/>
        <w:jc w:val="left"/>
        <w:sectPr>
          <w:pgSz w:w="11910" w:h="16840"/>
          <w:pgMar w:top="1360" w:bottom="280" w:left="1200" w:right="1000"/>
        </w:sectPr>
      </w:pPr>
    </w:p>
    <w:p>
      <w:pPr>
        <w:pStyle w:val="Heading4"/>
        <w:spacing w:before="83"/>
        <w:ind w:left="218" w:firstLine="0"/>
        <w:rPr>
          <w:rFonts w:ascii="Times New Roman"/>
        </w:rPr>
      </w:pPr>
      <w:r>
        <w:rPr>
          <w:rFonts w:ascii="Times New Roman"/>
        </w:rPr>
        <w:t>TABLE OF CONTENTS</w:t>
      </w:r>
    </w:p>
    <w:p>
      <w:pPr>
        <w:spacing w:after="0"/>
        <w:rPr>
          <w:rFonts w:ascii="Times New Roman"/>
        </w:rPr>
        <w:sectPr>
          <w:headerReference w:type="default" r:id="rId5"/>
          <w:footerReference w:type="default" r:id="rId6"/>
          <w:pgSz w:w="11910" w:h="16840"/>
          <w:pgMar w:header="686" w:footer="637" w:top="1320" w:bottom="1398" w:left="1200" w:right="1000"/>
          <w:pgNumType w:start="1"/>
        </w:sectPr>
      </w:pPr>
    </w:p>
    <w:sdt>
      <w:sdtPr>
        <w:docPartObj>
          <w:docPartGallery w:val="Table of Contents"/>
          <w:docPartUnique/>
        </w:docPartObj>
      </w:sdtPr>
      <w:sdtEndPr/>
      <w:sdtContent>
        <w:p>
          <w:pPr>
            <w:pStyle w:val="TOC1"/>
            <w:numPr>
              <w:ilvl w:val="0"/>
              <w:numId w:val="2"/>
            </w:numPr>
            <w:tabs>
              <w:tab w:pos="1918" w:val="left" w:leader="none"/>
              <w:tab w:pos="1919" w:val="left" w:leader="none"/>
              <w:tab w:pos="9290" w:val="right" w:leader="dot"/>
            </w:tabs>
            <w:spacing w:line="240" w:lineRule="auto" w:before="360" w:after="0"/>
            <w:ind w:left="1919" w:right="0" w:hanging="1701"/>
            <w:jc w:val="left"/>
          </w:pPr>
          <w:hyperlink w:history="true" w:anchor="_bookmark0">
            <w:r>
              <w:rPr/>
              <w:t>Introduction</w:t>
              <w:tab/>
              <w:t>3</w:t>
            </w:r>
          </w:hyperlink>
        </w:p>
        <w:p>
          <w:pPr>
            <w:pStyle w:val="TOC2"/>
            <w:numPr>
              <w:ilvl w:val="1"/>
              <w:numId w:val="2"/>
            </w:numPr>
            <w:tabs>
              <w:tab w:pos="1919" w:val="left" w:leader="none"/>
              <w:tab w:pos="1920" w:val="left" w:leader="none"/>
              <w:tab w:pos="9291" w:val="right" w:leader="dot"/>
            </w:tabs>
            <w:spacing w:line="240" w:lineRule="auto" w:before="120" w:after="0"/>
            <w:ind w:left="1919" w:right="0" w:hanging="1702"/>
            <w:jc w:val="left"/>
          </w:pPr>
          <w:hyperlink w:history="true" w:anchor="_bookmark1">
            <w:r>
              <w:rPr/>
              <w:t>Preliminary</w:t>
              <w:tab/>
              <w:t>3</w:t>
            </w:r>
          </w:hyperlink>
        </w:p>
        <w:p>
          <w:pPr>
            <w:pStyle w:val="TOC3"/>
            <w:numPr>
              <w:ilvl w:val="2"/>
              <w:numId w:val="2"/>
            </w:numPr>
            <w:tabs>
              <w:tab w:pos="1919" w:val="left" w:leader="none"/>
              <w:tab w:pos="1920" w:val="left" w:leader="none"/>
              <w:tab w:pos="9291" w:val="right" w:leader="dot"/>
            </w:tabs>
            <w:spacing w:line="240" w:lineRule="auto" w:before="0" w:after="0"/>
            <w:ind w:left="1919" w:right="0" w:hanging="1702"/>
            <w:jc w:val="left"/>
          </w:pPr>
          <w:hyperlink w:history="true" w:anchor="_bookmark2">
            <w:r>
              <w:rPr/>
              <w:t>References to</w:t>
            </w:r>
            <w:r>
              <w:rPr>
                <w:spacing w:val="-1"/>
              </w:rPr>
              <w:t> </w:t>
            </w:r>
            <w:r>
              <w:rPr/>
              <w:t>the</w:t>
            </w:r>
            <w:r>
              <w:rPr>
                <w:spacing w:val="-1"/>
              </w:rPr>
              <w:t> </w:t>
            </w:r>
            <w:r>
              <w:rPr/>
              <w:t>Rules</w:t>
              <w:tab/>
              <w:t>3</w:t>
            </w:r>
          </w:hyperlink>
        </w:p>
        <w:p>
          <w:pPr>
            <w:pStyle w:val="TOC3"/>
            <w:numPr>
              <w:ilvl w:val="2"/>
              <w:numId w:val="2"/>
            </w:numPr>
            <w:tabs>
              <w:tab w:pos="1919" w:val="left" w:leader="none"/>
              <w:tab w:pos="1920" w:val="left" w:leader="none"/>
              <w:tab w:pos="9291" w:val="right" w:leader="dot"/>
            </w:tabs>
            <w:spacing w:line="240" w:lineRule="auto" w:before="0" w:after="0"/>
            <w:ind w:left="1919" w:right="0" w:hanging="1702"/>
            <w:jc w:val="left"/>
          </w:pPr>
          <w:hyperlink w:history="true" w:anchor="_bookmark3">
            <w:r>
              <w:rPr/>
              <w:t>Italicised</w:t>
            </w:r>
            <w:r>
              <w:rPr>
                <w:spacing w:val="-2"/>
              </w:rPr>
              <w:t> </w:t>
            </w:r>
            <w:r>
              <w:rPr/>
              <w:t>expressions</w:t>
              <w:tab/>
              <w:t>3</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4">
            <w:r>
              <w:rPr/>
              <w:t>[Deleted]</w:t>
              <w:tab/>
              <w:t>3</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5">
            <w:r>
              <w:rPr/>
              <w:t>Background</w:t>
              <w:tab/>
              <w:t>3</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6">
            <w:r>
              <w:rPr/>
              <w:t>Nomenclature of and references to provisions of</w:t>
            </w:r>
            <w:r>
              <w:rPr>
                <w:spacing w:val="-7"/>
              </w:rPr>
              <w:t> </w:t>
            </w:r>
            <w:r>
              <w:rPr/>
              <w:t>a</w:t>
            </w:r>
            <w:r>
              <w:rPr>
                <w:spacing w:val="-1"/>
              </w:rPr>
              <w:t> </w:t>
            </w:r>
            <w:r>
              <w:rPr/>
              <w:t>Chapter</w:t>
              <w:tab/>
              <w:t>3</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7">
            <w:r>
              <w:rPr/>
              <w:t>Introduction</w:t>
              <w:tab/>
              <w:t>3</w:t>
            </w:r>
          </w:hyperlink>
        </w:p>
        <w:p>
          <w:pPr>
            <w:pStyle w:val="TOC3"/>
            <w:numPr>
              <w:ilvl w:val="2"/>
              <w:numId w:val="2"/>
            </w:numPr>
            <w:tabs>
              <w:tab w:pos="1919" w:val="left" w:leader="none"/>
              <w:tab w:pos="1920" w:val="left" w:leader="none"/>
              <w:tab w:pos="9289" w:val="right" w:leader="dot"/>
            </w:tabs>
            <w:spacing w:line="240" w:lineRule="auto" w:before="0" w:after="0"/>
            <w:ind w:left="1919" w:right="0" w:hanging="1702"/>
            <w:jc w:val="left"/>
          </w:pPr>
          <w:hyperlink w:history="true" w:anchor="_bookmark8">
            <w:r>
              <w:rPr/>
              <w:t>Parts, Divisions</w:t>
            </w:r>
            <w:r>
              <w:rPr>
                <w:spacing w:val="-2"/>
              </w:rPr>
              <w:t> </w:t>
            </w:r>
            <w:r>
              <w:rPr/>
              <w:t>and</w:t>
            </w:r>
            <w:r>
              <w:rPr>
                <w:spacing w:val="-1"/>
              </w:rPr>
              <w:t> </w:t>
            </w:r>
            <w:r>
              <w:rPr/>
              <w:t>Subdivisions</w:t>
              <w:tab/>
              <w:t>3</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9">
            <w:r>
              <w:rPr/>
              <w:t>Rules, clauses, paragraphs, subparagraphs and</w:t>
            </w:r>
            <w:r>
              <w:rPr>
                <w:spacing w:val="-3"/>
              </w:rPr>
              <w:t> </w:t>
            </w:r>
            <w:r>
              <w:rPr/>
              <w:t>other items</w:t>
              <w:tab/>
              <w:t>4</w:t>
            </w:r>
          </w:hyperlink>
        </w:p>
        <w:p>
          <w:pPr>
            <w:pStyle w:val="TOC2"/>
            <w:numPr>
              <w:ilvl w:val="1"/>
              <w:numId w:val="2"/>
            </w:numPr>
            <w:tabs>
              <w:tab w:pos="1919" w:val="left" w:leader="none"/>
              <w:tab w:pos="1920" w:val="left" w:leader="none"/>
              <w:tab w:pos="9291" w:val="right" w:leader="dot"/>
            </w:tabs>
            <w:spacing w:line="240" w:lineRule="auto" w:before="120" w:after="0"/>
            <w:ind w:left="1919" w:right="0" w:hanging="1702"/>
            <w:jc w:val="left"/>
          </w:pPr>
          <w:hyperlink w:history="true" w:anchor="_bookmark10">
            <w:r>
              <w:rPr/>
              <w:t>Effect of renumbering of provisions of</w:t>
            </w:r>
            <w:r>
              <w:rPr>
                <w:spacing w:val="-3"/>
              </w:rPr>
              <w:t> </w:t>
            </w:r>
            <w:r>
              <w:rPr/>
              <w:t>the Rules</w:t>
              <w:tab/>
              <w:t>5</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11">
            <w:r>
              <w:rPr/>
              <w:t>[Deleted]</w:t>
              <w:tab/>
              <w:t>5</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12">
            <w:r>
              <w:rPr/>
              <w:t>[Deleted]</w:t>
              <w:tab/>
              <w:t>5</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13">
            <w:r>
              <w:rPr/>
              <w:t>Interpretation</w:t>
              <w:tab/>
              <w:t>5</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4">
            <w:r>
              <w:rPr/>
              <w:t>General</w:t>
              <w:tab/>
              <w:t>5</w:t>
            </w:r>
          </w:hyperlink>
        </w:p>
        <w:p>
          <w:pPr>
            <w:pStyle w:val="TOC3"/>
            <w:tabs>
              <w:tab w:pos="1919" w:val="left" w:leader="none"/>
              <w:tab w:pos="9289" w:val="right" w:leader="dot"/>
            </w:tabs>
            <w:ind w:left="218"/>
          </w:pPr>
          <w:hyperlink w:history="true" w:anchor="_bookmark15">
            <w:r>
              <w:rPr/>
              <w:t>1.7.1A</w:t>
              <w:tab/>
              <w:t>Inconsistency with National</w:t>
            </w:r>
            <w:r>
              <w:rPr>
                <w:spacing w:val="-3"/>
              </w:rPr>
              <w:t> </w:t>
            </w:r>
            <w:r>
              <w:rPr/>
              <w:t>Measurement</w:t>
            </w:r>
            <w:r>
              <w:rPr>
                <w:spacing w:val="-2"/>
              </w:rPr>
              <w:t> </w:t>
            </w:r>
            <w:r>
              <w:rPr/>
              <w:t>Act</w:t>
              <w:tab/>
              <w:t>6</w:t>
            </w:r>
          </w:hyperlink>
        </w:p>
        <w:p>
          <w:pPr>
            <w:pStyle w:val="TOC3"/>
            <w:tabs>
              <w:tab w:pos="1919" w:val="left" w:leader="none"/>
              <w:tab w:pos="9290" w:val="right" w:leader="dot"/>
            </w:tabs>
            <w:ind w:left="218"/>
          </w:pPr>
          <w:hyperlink w:history="true" w:anchor="_bookmark16">
            <w:r>
              <w:rPr/>
              <w:t>1.7.1B</w:t>
              <w:tab/>
              <w:t>Instruments</w:t>
              <w:tab/>
              <w:t>6</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17">
            <w:r>
              <w:rPr/>
              <w:t>Notices</w:t>
              <w:tab/>
              <w:t>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8">
            <w:r>
              <w:rPr/>
              <w:t>Service of notices under</w:t>
            </w:r>
            <w:r>
              <w:rPr>
                <w:spacing w:val="-2"/>
              </w:rPr>
              <w:t> </w:t>
            </w:r>
            <w:r>
              <w:rPr/>
              <w:t>the Rules</w:t>
              <w:tab/>
              <w:t>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9">
            <w:r>
              <w:rPr/>
              <w:t>Time</w:t>
            </w:r>
            <w:r>
              <w:rPr>
                <w:spacing w:val="-1"/>
              </w:rPr>
              <w:t> </w:t>
            </w:r>
            <w:r>
              <w:rPr/>
              <w:t>of service</w:t>
              <w:tab/>
              <w:t>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20">
            <w:r>
              <w:rPr/>
              <w:t>Counting</w:t>
            </w:r>
            <w:r>
              <w:rPr>
                <w:spacing w:val="-1"/>
              </w:rPr>
              <w:t> </w:t>
            </w:r>
            <w:r>
              <w:rPr/>
              <w:t>of days</w:t>
              <w:tab/>
              <w:t>8</w:t>
            </w:r>
          </w:hyperlink>
        </w:p>
        <w:p>
          <w:pPr>
            <w:pStyle w:val="TOC3"/>
            <w:numPr>
              <w:ilvl w:val="2"/>
              <w:numId w:val="2"/>
            </w:numPr>
            <w:tabs>
              <w:tab w:pos="1919" w:val="left" w:leader="none"/>
              <w:tab w:pos="1920" w:val="left" w:leader="none"/>
              <w:tab w:pos="9291" w:val="right" w:leader="dot"/>
            </w:tabs>
            <w:spacing w:line="240" w:lineRule="auto" w:before="0" w:after="0"/>
            <w:ind w:left="1919" w:right="0" w:hanging="1702"/>
            <w:jc w:val="left"/>
          </w:pPr>
          <w:hyperlink w:history="true" w:anchor="_bookmark21">
            <w:r>
              <w:rPr/>
              <w:t>Reference</w:t>
            </w:r>
            <w:r>
              <w:rPr>
                <w:spacing w:val="-1"/>
              </w:rPr>
              <w:t> </w:t>
            </w:r>
            <w:r>
              <w:rPr/>
              <w:t>to addressee</w:t>
              <w:tab/>
              <w:t>8</w:t>
            </w:r>
          </w:hyperlink>
        </w:p>
        <w:p>
          <w:pPr>
            <w:pStyle w:val="TOC2"/>
            <w:numPr>
              <w:ilvl w:val="1"/>
              <w:numId w:val="2"/>
            </w:numPr>
            <w:tabs>
              <w:tab w:pos="1919" w:val="left" w:leader="none"/>
              <w:tab w:pos="1920" w:val="left" w:leader="none"/>
              <w:tab w:pos="9290" w:val="right" w:leader="dot"/>
            </w:tabs>
            <w:spacing w:line="240" w:lineRule="auto" w:before="120" w:after="0"/>
            <w:ind w:left="1919" w:right="0" w:hanging="1702"/>
            <w:jc w:val="left"/>
          </w:pPr>
          <w:hyperlink w:history="true" w:anchor="_bookmark22">
            <w:r>
              <w:rPr/>
              <w:t>Retention of Records</w:t>
            </w:r>
            <w:r>
              <w:rPr>
                <w:spacing w:val="-1"/>
              </w:rPr>
              <w:t> </w:t>
            </w:r>
            <w:r>
              <w:rPr/>
              <w:t>and</w:t>
            </w:r>
            <w:r>
              <w:rPr>
                <w:spacing w:val="-1"/>
              </w:rPr>
              <w:t> </w:t>
            </w:r>
            <w:r>
              <w:rPr/>
              <w:t>Documents</w:t>
              <w:tab/>
              <w:t>8</w:t>
            </w:r>
          </w:hyperlink>
        </w:p>
        <w:p>
          <w:pPr>
            <w:pStyle w:val="TOC2"/>
            <w:numPr>
              <w:ilvl w:val="1"/>
              <w:numId w:val="3"/>
            </w:numPr>
            <w:tabs>
              <w:tab w:pos="519" w:val="left" w:leader="none"/>
              <w:tab w:pos="1919" w:val="left" w:leader="none"/>
              <w:tab w:pos="9291" w:val="right" w:leader="dot"/>
            </w:tabs>
            <w:spacing w:line="240" w:lineRule="auto" w:before="120" w:after="0"/>
            <w:ind w:left="519" w:right="0" w:hanging="301"/>
            <w:jc w:val="left"/>
          </w:pPr>
          <w:hyperlink w:history="true" w:anchor="_bookmark23">
            <w:r>
              <w:rPr/>
              <w:t>A</w:t>
              <w:tab/>
              <w:t>NTESMO’s costs in connection with</w:t>
            </w:r>
            <w:r>
              <w:rPr>
                <w:spacing w:val="-3"/>
              </w:rPr>
              <w:t> </w:t>
            </w:r>
            <w:r>
              <w:rPr/>
              <w:t>these Rules</w:t>
              <w:tab/>
              <w:t>8</w:t>
            </w:r>
          </w:hyperlink>
        </w:p>
        <w:p>
          <w:pPr>
            <w:pStyle w:val="TOC2"/>
            <w:numPr>
              <w:ilvl w:val="1"/>
              <w:numId w:val="3"/>
            </w:numPr>
            <w:tabs>
              <w:tab w:pos="1919" w:val="left" w:leader="none"/>
              <w:tab w:pos="1920" w:val="left" w:leader="none"/>
              <w:tab w:pos="9290" w:val="right" w:leader="dot"/>
            </w:tabs>
            <w:spacing w:line="240" w:lineRule="auto" w:before="120" w:after="0"/>
            <w:ind w:left="1919" w:right="0" w:hanging="1702"/>
            <w:jc w:val="left"/>
          </w:pPr>
          <w:hyperlink w:history="true" w:anchor="_bookmark24">
            <w:r>
              <w:rPr/>
              <w:t>[Deleted]</w:t>
              <w:tab/>
              <w:t>8</w:t>
            </w:r>
          </w:hyperlink>
        </w:p>
        <w:p>
          <w:pPr>
            <w:pStyle w:val="TOC2"/>
            <w:numPr>
              <w:ilvl w:val="1"/>
              <w:numId w:val="3"/>
            </w:numPr>
            <w:tabs>
              <w:tab w:pos="1919" w:val="left" w:leader="none"/>
              <w:tab w:pos="1920" w:val="left" w:leader="none"/>
              <w:tab w:pos="9290" w:val="right" w:leader="dot"/>
            </w:tabs>
            <w:spacing w:line="240" w:lineRule="auto" w:before="120" w:after="0"/>
            <w:ind w:left="1919" w:right="0" w:hanging="1702"/>
            <w:jc w:val="left"/>
          </w:pPr>
          <w:hyperlink w:history="true" w:anchor="_bookmark25">
            <w:r>
              <w:rPr/>
              <w:t>AEMO</w:t>
            </w:r>
            <w:r>
              <w:rPr>
                <w:spacing w:val="-2"/>
              </w:rPr>
              <w:t> </w:t>
            </w:r>
            <w:r>
              <w:rPr/>
              <w:t>Rule Funds</w:t>
              <w:tab/>
              <w:t>8</w:t>
            </w:r>
          </w:hyperlink>
        </w:p>
        <w:p>
          <w:pPr>
            <w:pStyle w:val="TOC1"/>
            <w:numPr>
              <w:ilvl w:val="0"/>
              <w:numId w:val="2"/>
            </w:numPr>
            <w:tabs>
              <w:tab w:pos="1918" w:val="left" w:leader="none"/>
              <w:tab w:pos="1919" w:val="left" w:leader="none"/>
              <w:tab w:pos="9289" w:val="right" w:leader="dot"/>
            </w:tabs>
            <w:spacing w:line="240" w:lineRule="auto" w:before="360" w:after="0"/>
            <w:ind w:left="1919" w:right="0" w:hanging="1701"/>
            <w:jc w:val="left"/>
          </w:pPr>
          <w:hyperlink w:history="true" w:anchor="_bookmark26">
            <w:r>
              <w:rPr/>
              <w:t>Registered Participants</w:t>
            </w:r>
            <w:r>
              <w:rPr>
                <w:spacing w:val="-3"/>
              </w:rPr>
              <w:t> </w:t>
            </w:r>
            <w:r>
              <w:rPr/>
              <w:t>and</w:t>
            </w:r>
            <w:r>
              <w:rPr>
                <w:spacing w:val="-1"/>
              </w:rPr>
              <w:t> </w:t>
            </w:r>
            <w:r>
              <w:rPr/>
              <w:t>Registration</w:t>
              <w:tab/>
              <w:t>13</w:t>
            </w:r>
          </w:hyperlink>
        </w:p>
        <w:p>
          <w:pPr>
            <w:pStyle w:val="TOC1"/>
            <w:tabs>
              <w:tab w:pos="1918" w:val="left" w:leader="none"/>
              <w:tab w:pos="9289" w:val="right" w:leader="dot"/>
            </w:tabs>
            <w:ind w:left="218" w:firstLine="0"/>
          </w:pPr>
          <w:hyperlink w:history="true" w:anchor="_bookmark27">
            <w:r>
              <w:rPr/>
              <w:t>2A.</w:t>
              <w:tab/>
              <w:t>Regional</w:t>
            </w:r>
            <w:r>
              <w:rPr>
                <w:spacing w:val="-2"/>
              </w:rPr>
              <w:t> </w:t>
            </w:r>
            <w:r>
              <w:rPr/>
              <w:t>Structures</w:t>
              <w:tab/>
              <w:t>17</w:t>
            </w:r>
          </w:hyperlink>
        </w:p>
        <w:p>
          <w:pPr>
            <w:pStyle w:val="TOC1"/>
            <w:numPr>
              <w:ilvl w:val="0"/>
              <w:numId w:val="2"/>
            </w:numPr>
            <w:tabs>
              <w:tab w:pos="1918" w:val="left" w:leader="none"/>
              <w:tab w:pos="1919" w:val="left" w:leader="none"/>
              <w:tab w:pos="9291" w:val="right" w:leader="dot"/>
            </w:tabs>
            <w:spacing w:line="240" w:lineRule="auto" w:before="360" w:after="0"/>
            <w:ind w:left="1919" w:right="0" w:hanging="1701"/>
            <w:jc w:val="left"/>
          </w:pPr>
          <w:hyperlink w:history="true" w:anchor="_bookmark28">
            <w:r>
              <w:rPr/>
              <w:t>Market</w:t>
            </w:r>
            <w:r>
              <w:rPr>
                <w:spacing w:val="-1"/>
              </w:rPr>
              <w:t> </w:t>
            </w:r>
            <w:r>
              <w:rPr/>
              <w:t>Rules</w:t>
              <w:tab/>
              <w:t>21</w:t>
            </w:r>
          </w:hyperlink>
        </w:p>
        <w:p>
          <w:pPr>
            <w:pStyle w:val="TOC1"/>
            <w:numPr>
              <w:ilvl w:val="0"/>
              <w:numId w:val="2"/>
            </w:numPr>
            <w:tabs>
              <w:tab w:pos="1918" w:val="left" w:leader="none"/>
              <w:tab w:pos="1919" w:val="left" w:leader="none"/>
              <w:tab w:pos="9290" w:val="right" w:leader="dot"/>
            </w:tabs>
            <w:spacing w:line="240" w:lineRule="auto" w:before="360" w:after="0"/>
            <w:ind w:left="1919" w:right="0" w:hanging="1701"/>
            <w:jc w:val="left"/>
          </w:pPr>
          <w:hyperlink w:history="true" w:anchor="_bookmark29">
            <w:r>
              <w:rPr/>
              <w:t>Power</w:t>
            </w:r>
            <w:r>
              <w:rPr>
                <w:spacing w:val="-1"/>
              </w:rPr>
              <w:t> </w:t>
            </w:r>
            <w:r>
              <w:rPr/>
              <w:t>System</w:t>
            </w:r>
            <w:r>
              <w:rPr>
                <w:spacing w:val="-1"/>
              </w:rPr>
              <w:t> </w:t>
            </w:r>
            <w:r>
              <w:rPr/>
              <w:t>Security</w:t>
              <w:tab/>
              <w:t>25</w:t>
            </w:r>
          </w:hyperlink>
        </w:p>
        <w:p>
          <w:pPr>
            <w:pStyle w:val="TOC1"/>
            <w:tabs>
              <w:tab w:pos="1918" w:val="left" w:leader="none"/>
              <w:tab w:pos="9291" w:val="right" w:leader="dot"/>
            </w:tabs>
            <w:ind w:left="218" w:firstLine="0"/>
          </w:pPr>
          <w:hyperlink w:history="true" w:anchor="_bookmark30">
            <w:r>
              <w:rPr/>
              <w:t>4A.</w:t>
              <w:tab/>
              <w:t>Retailer</w:t>
            </w:r>
            <w:r>
              <w:rPr>
                <w:spacing w:val="-2"/>
              </w:rPr>
              <w:t> </w:t>
            </w:r>
            <w:r>
              <w:rPr/>
              <w:t>Reliability Obligation</w:t>
              <w:tab/>
              <w:t>29</w:t>
            </w:r>
          </w:hyperlink>
        </w:p>
        <w:p>
          <w:pPr>
            <w:pStyle w:val="TOC2"/>
            <w:tabs>
              <w:tab w:pos="1919" w:val="left" w:leader="none"/>
              <w:tab w:pos="9290" w:val="right" w:leader="dot"/>
            </w:tabs>
          </w:pPr>
          <w:hyperlink w:history="true" w:anchor="_bookmark31">
            <w:r>
              <w:rPr/>
              <w:t>Part A</w:t>
              <w:tab/>
              <w:t>Introduction</w:t>
              <w:tab/>
              <w:t>29</w:t>
            </w:r>
          </w:hyperlink>
        </w:p>
        <w:p>
          <w:pPr>
            <w:pStyle w:val="TOC2"/>
            <w:tabs>
              <w:tab w:pos="1919" w:val="left" w:leader="none"/>
              <w:tab w:pos="9290" w:val="right" w:leader="dot"/>
            </w:tabs>
          </w:pPr>
          <w:hyperlink w:history="true" w:anchor="_bookmark32">
            <w:r>
              <w:rPr/>
              <w:t>4A.A</w:t>
              <w:tab/>
              <w:t>Definitions</w:t>
              <w:tab/>
              <w:t>29</w:t>
            </w:r>
          </w:hyperlink>
        </w:p>
        <w:p>
          <w:pPr>
            <w:pStyle w:val="TOC3"/>
            <w:tabs>
              <w:tab w:pos="1919" w:val="left" w:leader="none"/>
              <w:tab w:pos="9290" w:val="right" w:leader="dot"/>
            </w:tabs>
            <w:spacing w:after="240"/>
            <w:ind w:left="218"/>
          </w:pPr>
          <w:hyperlink w:history="true" w:anchor="_bookmark33">
            <w:r>
              <w:rPr/>
              <w:t>4A.A.1</w:t>
              <w:tab/>
              <w:t>Definitions</w:t>
              <w:tab/>
              <w:t>29</w:t>
            </w:r>
          </w:hyperlink>
        </w:p>
        <w:p>
          <w:pPr>
            <w:pStyle w:val="TOC3"/>
            <w:tabs>
              <w:tab w:pos="1919" w:val="left" w:leader="none"/>
              <w:tab w:pos="9290" w:val="right" w:leader="dot"/>
            </w:tabs>
            <w:spacing w:before="83"/>
            <w:ind w:left="218"/>
          </w:pPr>
          <w:hyperlink w:history="true" w:anchor="_bookmark34">
            <w:r>
              <w:rPr/>
              <w:t>4A.A.2</w:t>
              <w:tab/>
              <w:t>Forecast reliability</w:t>
            </w:r>
            <w:r>
              <w:rPr>
                <w:spacing w:val="-1"/>
              </w:rPr>
              <w:t> </w:t>
            </w:r>
            <w:r>
              <w:rPr/>
              <w:t>gap materiality</w:t>
              <w:tab/>
              <w:t>32</w:t>
            </w:r>
          </w:hyperlink>
        </w:p>
        <w:p>
          <w:pPr>
            <w:pStyle w:val="TOC3"/>
            <w:tabs>
              <w:tab w:pos="1919" w:val="left" w:leader="none"/>
              <w:tab w:pos="9290" w:val="right" w:leader="dot"/>
            </w:tabs>
            <w:ind w:left="218"/>
          </w:pPr>
          <w:hyperlink w:history="true" w:anchor="_bookmark35">
            <w:r>
              <w:rPr/>
              <w:t>4A.A.3</w:t>
              <w:tab/>
              <w:t>One-in-two year peak</w:t>
            </w:r>
            <w:r>
              <w:rPr>
                <w:spacing w:val="-1"/>
              </w:rPr>
              <w:t> </w:t>
            </w:r>
            <w:r>
              <w:rPr/>
              <w:t>demand forecast</w:t>
              <w:tab/>
              <w:t>32</w:t>
            </w:r>
          </w:hyperlink>
        </w:p>
        <w:p>
          <w:pPr>
            <w:pStyle w:val="TOC3"/>
            <w:tabs>
              <w:tab w:pos="1919" w:val="left" w:leader="none"/>
              <w:tab w:pos="9290" w:val="right" w:leader="dot"/>
            </w:tabs>
            <w:ind w:left="218"/>
          </w:pPr>
          <w:hyperlink w:history="true" w:anchor="_bookmark36">
            <w:r>
              <w:rPr/>
              <w:t>4A.A.4</w:t>
              <w:tab/>
              <w:t>Peak</w:t>
            </w:r>
            <w:r>
              <w:rPr>
                <w:spacing w:val="-1"/>
              </w:rPr>
              <w:t> </w:t>
            </w:r>
            <w:r>
              <w:rPr/>
              <w:t>demand</w:t>
              <w:tab/>
              <w:t>32</w:t>
            </w:r>
          </w:hyperlink>
        </w:p>
        <w:p>
          <w:pPr>
            <w:pStyle w:val="TOC2"/>
            <w:tabs>
              <w:tab w:pos="1919" w:val="left" w:leader="none"/>
              <w:tab w:pos="9291" w:val="right" w:leader="dot"/>
            </w:tabs>
          </w:pPr>
          <w:hyperlink w:history="true" w:anchor="_bookmark37">
            <w:r>
              <w:rPr/>
              <w:t>Part B</w:t>
              <w:tab/>
              <w:t>Reliability</w:t>
            </w:r>
            <w:r>
              <w:rPr>
                <w:spacing w:val="-1"/>
              </w:rPr>
              <w:t> </w:t>
            </w:r>
            <w:r>
              <w:rPr/>
              <w:t>Forecasts</w:t>
              <w:tab/>
              <w:t>33</w:t>
            </w:r>
          </w:hyperlink>
        </w:p>
        <w:p>
          <w:pPr>
            <w:pStyle w:val="TOC3"/>
            <w:tabs>
              <w:tab w:pos="1919" w:val="left" w:leader="none"/>
              <w:tab w:pos="9290" w:val="right" w:leader="dot"/>
            </w:tabs>
            <w:ind w:left="218"/>
          </w:pPr>
          <w:hyperlink w:history="true" w:anchor="_bookmark38">
            <w:r>
              <w:rPr/>
              <w:t>4A.B.1</w:t>
              <w:tab/>
              <w:t>Reliability</w:t>
            </w:r>
            <w:r>
              <w:rPr>
                <w:spacing w:val="-1"/>
              </w:rPr>
              <w:t> </w:t>
            </w:r>
            <w:r>
              <w:rPr/>
              <w:t>forecast</w:t>
              <w:tab/>
              <w:t>33</w:t>
            </w:r>
          </w:hyperlink>
        </w:p>
        <w:p>
          <w:pPr>
            <w:pStyle w:val="TOC3"/>
            <w:tabs>
              <w:tab w:pos="1919" w:val="left" w:leader="none"/>
              <w:tab w:pos="9290" w:val="right" w:leader="dot"/>
            </w:tabs>
            <w:ind w:left="218"/>
          </w:pPr>
          <w:hyperlink w:history="true" w:anchor="_bookmark39">
            <w:r>
              <w:rPr/>
              <w:t>4A.B.2</w:t>
              <w:tab/>
              <w:t>Reliability</w:t>
            </w:r>
            <w:r>
              <w:rPr>
                <w:spacing w:val="-1"/>
              </w:rPr>
              <w:t> </w:t>
            </w:r>
            <w:r>
              <w:rPr/>
              <w:t>forecast components</w:t>
              <w:tab/>
              <w:t>33</w:t>
            </w:r>
          </w:hyperlink>
        </w:p>
        <w:p>
          <w:pPr>
            <w:pStyle w:val="TOC3"/>
            <w:tabs>
              <w:tab w:pos="1919" w:val="left" w:leader="none"/>
              <w:tab w:pos="9290" w:val="right" w:leader="dot"/>
            </w:tabs>
            <w:ind w:left="218"/>
          </w:pPr>
          <w:hyperlink w:history="true" w:anchor="_bookmark40">
            <w:r>
              <w:rPr/>
              <w:t>4A.B.3</w:t>
              <w:tab/>
              <w:t>Supporting</w:t>
            </w:r>
            <w:r>
              <w:rPr>
                <w:spacing w:val="-1"/>
              </w:rPr>
              <w:t> </w:t>
            </w:r>
            <w:r>
              <w:rPr/>
              <w:t>materials</w:t>
              <w:tab/>
              <w:t>34</w:t>
            </w:r>
          </w:hyperlink>
        </w:p>
        <w:p>
          <w:pPr>
            <w:pStyle w:val="TOC3"/>
            <w:tabs>
              <w:tab w:pos="1919" w:val="left" w:leader="none"/>
              <w:tab w:pos="9289" w:val="right" w:leader="dot"/>
            </w:tabs>
            <w:ind w:left="218"/>
          </w:pPr>
          <w:hyperlink w:history="true" w:anchor="_bookmark41">
            <w:r>
              <w:rPr/>
              <w:t>4A.B.4</w:t>
              <w:tab/>
              <w:t>Reliability</w:t>
            </w:r>
            <w:r>
              <w:rPr>
                <w:spacing w:val="-1"/>
              </w:rPr>
              <w:t> </w:t>
            </w:r>
            <w:r>
              <w:rPr/>
              <w:t>Forecast</w:t>
            </w:r>
            <w:r>
              <w:rPr>
                <w:spacing w:val="-1"/>
              </w:rPr>
              <w:t> </w:t>
            </w:r>
            <w:r>
              <w:rPr/>
              <w:t>Guidelines</w:t>
              <w:tab/>
              <w:t>34</w:t>
            </w:r>
          </w:hyperlink>
        </w:p>
        <w:p>
          <w:pPr>
            <w:pStyle w:val="TOC3"/>
            <w:tabs>
              <w:tab w:pos="1919" w:val="left" w:leader="none"/>
              <w:tab w:pos="9290" w:val="right" w:leader="dot"/>
            </w:tabs>
            <w:ind w:left="218"/>
          </w:pPr>
          <w:hyperlink w:history="true" w:anchor="_bookmark42">
            <w:r>
              <w:rPr/>
              <w:t>4A.B.5</w:t>
              <w:tab/>
              <w:t>AER Forecasting Best</w:t>
            </w:r>
            <w:r>
              <w:rPr>
                <w:spacing w:val="-3"/>
              </w:rPr>
              <w:t> </w:t>
            </w:r>
            <w:r>
              <w:rPr/>
              <w:t>Practice Guidelines</w:t>
              <w:tab/>
              <w:t>35</w:t>
            </w:r>
          </w:hyperlink>
        </w:p>
        <w:p>
          <w:pPr>
            <w:pStyle w:val="TOC2"/>
            <w:tabs>
              <w:tab w:pos="1919" w:val="left" w:leader="none"/>
              <w:tab w:pos="9291" w:val="right" w:leader="dot"/>
            </w:tabs>
          </w:pPr>
          <w:hyperlink w:history="true" w:anchor="_bookmark43">
            <w:r>
              <w:rPr/>
              <w:t>Part C</w:t>
              <w:tab/>
              <w:t>Reliability</w:t>
            </w:r>
            <w:r>
              <w:rPr>
                <w:spacing w:val="-1"/>
              </w:rPr>
              <w:t> </w:t>
            </w:r>
            <w:r>
              <w:rPr/>
              <w:t>Instruments</w:t>
              <w:tab/>
              <w:t>36</w:t>
            </w:r>
          </w:hyperlink>
        </w:p>
        <w:p>
          <w:pPr>
            <w:pStyle w:val="TOC2"/>
            <w:tabs>
              <w:tab w:pos="1918" w:val="left" w:leader="none"/>
              <w:tab w:pos="9291" w:val="right" w:leader="dot"/>
            </w:tabs>
          </w:pPr>
          <w:hyperlink w:history="true" w:anchor="_bookmark44">
            <w:r>
              <w:rPr/>
              <w:t>Division</w:t>
            </w:r>
            <w:r>
              <w:rPr>
                <w:spacing w:val="-4"/>
              </w:rPr>
              <w:t> </w:t>
            </w:r>
            <w:r>
              <w:rPr/>
              <w:t>1</w:t>
              <w:tab/>
              <w:t>AEMO request for a</w:t>
            </w:r>
            <w:r>
              <w:rPr>
                <w:spacing w:val="-1"/>
              </w:rPr>
              <w:t> </w:t>
            </w:r>
            <w:r>
              <w:rPr/>
              <w:t>reliability instrument</w:t>
              <w:tab/>
              <w:t>36</w:t>
            </w:r>
          </w:hyperlink>
        </w:p>
        <w:p>
          <w:pPr>
            <w:pStyle w:val="TOC3"/>
            <w:tabs>
              <w:tab w:pos="1919" w:val="left" w:leader="none"/>
              <w:tab w:pos="9290" w:val="right" w:leader="dot"/>
            </w:tabs>
            <w:ind w:left="218"/>
          </w:pPr>
          <w:hyperlink w:history="true" w:anchor="_bookmark45">
            <w:r>
              <w:rPr/>
              <w:t>4A.C.1</w:t>
              <w:tab/>
              <w:t>AEMO request for a</w:t>
            </w:r>
            <w:r>
              <w:rPr>
                <w:spacing w:val="-4"/>
              </w:rPr>
              <w:t> </w:t>
            </w:r>
            <w:r>
              <w:rPr/>
              <w:t>reliability instrument</w:t>
              <w:tab/>
              <w:t>36</w:t>
            </w:r>
          </w:hyperlink>
        </w:p>
        <w:p>
          <w:pPr>
            <w:pStyle w:val="TOC3"/>
            <w:tabs>
              <w:tab w:pos="1919" w:val="left" w:leader="none"/>
              <w:tab w:pos="9291" w:val="right" w:leader="dot"/>
            </w:tabs>
            <w:ind w:left="218"/>
          </w:pPr>
          <w:hyperlink w:history="true" w:anchor="_bookmark46">
            <w:r>
              <w:rPr/>
              <w:t>4A.C.2</w:t>
              <w:tab/>
              <w:t>AEMO request for a T-3</w:t>
            </w:r>
            <w:r>
              <w:rPr>
                <w:spacing w:val="-4"/>
              </w:rPr>
              <w:t> </w:t>
            </w:r>
            <w:r>
              <w:rPr/>
              <w:t>reliability instrument</w:t>
              <w:tab/>
              <w:t>36</w:t>
            </w:r>
          </w:hyperlink>
        </w:p>
        <w:p>
          <w:pPr>
            <w:pStyle w:val="TOC3"/>
            <w:tabs>
              <w:tab w:pos="1919" w:val="left" w:leader="none"/>
              <w:tab w:pos="9291" w:val="right" w:leader="dot"/>
            </w:tabs>
            <w:ind w:left="218"/>
          </w:pPr>
          <w:hyperlink w:history="true" w:anchor="_bookmark47">
            <w:r>
              <w:rPr/>
              <w:t>4A.C.3</w:t>
              <w:tab/>
              <w:t>AEMO request for a T-1</w:t>
            </w:r>
            <w:r>
              <w:rPr>
                <w:spacing w:val="-4"/>
              </w:rPr>
              <w:t> </w:t>
            </w:r>
            <w:r>
              <w:rPr/>
              <w:t>reliability instrument</w:t>
              <w:tab/>
              <w:t>36</w:t>
            </w:r>
          </w:hyperlink>
        </w:p>
        <w:p>
          <w:pPr>
            <w:pStyle w:val="TOC3"/>
            <w:tabs>
              <w:tab w:pos="1919" w:val="left" w:leader="none"/>
              <w:tab w:pos="9291" w:val="right" w:leader="dot"/>
            </w:tabs>
            <w:ind w:left="218"/>
          </w:pPr>
          <w:hyperlink w:history="true" w:anchor="_bookmark48">
            <w:r>
              <w:rPr/>
              <w:t>4A.C.4</w:t>
              <w:tab/>
              <w:t>Related T-3</w:t>
            </w:r>
            <w:r>
              <w:rPr>
                <w:spacing w:val="-1"/>
              </w:rPr>
              <w:t> </w:t>
            </w:r>
            <w:r>
              <w:rPr/>
              <w:t>reliability instrument</w:t>
              <w:tab/>
              <w:t>37</w:t>
            </w:r>
          </w:hyperlink>
        </w:p>
        <w:p>
          <w:pPr>
            <w:pStyle w:val="TOC3"/>
            <w:tabs>
              <w:tab w:pos="1919" w:val="left" w:leader="none"/>
              <w:tab w:pos="9291" w:val="right" w:leader="dot"/>
            </w:tabs>
            <w:ind w:left="218"/>
          </w:pPr>
          <w:hyperlink w:history="true" w:anchor="_bookmark49">
            <w:r>
              <w:rPr/>
              <w:t>4A.C.5</w:t>
              <w:tab/>
              <w:t>Notification of a closed forecast reliability gap</w:t>
            </w:r>
            <w:r>
              <w:rPr>
                <w:spacing w:val="-2"/>
              </w:rPr>
              <w:t> </w:t>
            </w:r>
            <w:r>
              <w:rPr/>
              <w:t>at</w:t>
            </w:r>
            <w:r>
              <w:rPr>
                <w:spacing w:val="-1"/>
              </w:rPr>
              <w:t> </w:t>
            </w:r>
            <w:r>
              <w:rPr/>
              <w:t>T-1</w:t>
              <w:tab/>
              <w:t>37</w:t>
            </w:r>
          </w:hyperlink>
        </w:p>
        <w:p>
          <w:pPr>
            <w:pStyle w:val="TOC3"/>
            <w:tabs>
              <w:tab w:pos="1919" w:val="left" w:leader="none"/>
              <w:tab w:pos="9291" w:val="right" w:leader="dot"/>
            </w:tabs>
            <w:ind w:left="218"/>
          </w:pPr>
          <w:hyperlink w:history="true" w:anchor="_bookmark50">
            <w:r>
              <w:rPr/>
              <w:t>4A.C.6</w:t>
              <w:tab/>
              <w:t>Corrections to</w:t>
            </w:r>
            <w:r>
              <w:rPr>
                <w:spacing w:val="-1"/>
              </w:rPr>
              <w:t> </w:t>
            </w:r>
            <w:r>
              <w:rPr/>
              <w:t>a request</w:t>
              <w:tab/>
              <w:t>37</w:t>
            </w:r>
          </w:hyperlink>
        </w:p>
        <w:p>
          <w:pPr>
            <w:pStyle w:val="TOC3"/>
            <w:tabs>
              <w:tab w:pos="1919" w:val="left" w:leader="none"/>
              <w:tab w:pos="9291" w:val="right" w:leader="dot"/>
            </w:tabs>
            <w:ind w:left="218"/>
          </w:pPr>
          <w:hyperlink w:history="true" w:anchor="_bookmark51">
            <w:r>
              <w:rPr/>
              <w:t>4A.C.7</w:t>
              <w:tab/>
              <w:t>Withdrawing</w:t>
            </w:r>
            <w:r>
              <w:rPr>
                <w:spacing w:val="-1"/>
              </w:rPr>
              <w:t> </w:t>
            </w:r>
            <w:r>
              <w:rPr/>
              <w:t>a request</w:t>
              <w:tab/>
              <w:t>38</w:t>
            </w:r>
          </w:hyperlink>
        </w:p>
        <w:p>
          <w:pPr>
            <w:pStyle w:val="TOC2"/>
            <w:tabs>
              <w:tab w:pos="1918" w:val="left" w:leader="none"/>
              <w:tab w:pos="9290" w:val="right" w:leader="dot"/>
            </w:tabs>
          </w:pPr>
          <w:hyperlink w:history="true" w:anchor="_bookmark52">
            <w:r>
              <w:rPr/>
              <w:t>Division</w:t>
            </w:r>
            <w:r>
              <w:rPr>
                <w:spacing w:val="-4"/>
              </w:rPr>
              <w:t> </w:t>
            </w:r>
            <w:r>
              <w:rPr/>
              <w:t>2</w:t>
              <w:tab/>
              <w:t>AER making of a reliability instrument</w:t>
              <w:tab/>
              <w:t>38</w:t>
            </w:r>
          </w:hyperlink>
        </w:p>
        <w:p>
          <w:pPr>
            <w:pStyle w:val="TOC3"/>
            <w:tabs>
              <w:tab w:pos="1919" w:val="left" w:leader="none"/>
              <w:tab w:pos="9291" w:val="right" w:leader="dot"/>
            </w:tabs>
            <w:ind w:left="218"/>
          </w:pPr>
          <w:hyperlink w:history="true" w:anchor="_bookmark53">
            <w:r>
              <w:rPr/>
              <w:t>4A.C.8</w:t>
              <w:tab/>
              <w:t>AER making of a</w:t>
            </w:r>
            <w:r>
              <w:rPr>
                <w:spacing w:val="-2"/>
              </w:rPr>
              <w:t> </w:t>
            </w:r>
            <w:r>
              <w:rPr/>
              <w:t>reliability</w:t>
            </w:r>
            <w:r>
              <w:rPr>
                <w:spacing w:val="-1"/>
              </w:rPr>
              <w:t> </w:t>
            </w:r>
            <w:r>
              <w:rPr/>
              <w:t>instrument</w:t>
              <w:tab/>
              <w:t>38</w:t>
            </w:r>
          </w:hyperlink>
        </w:p>
        <w:p>
          <w:pPr>
            <w:pStyle w:val="TOC3"/>
            <w:tabs>
              <w:tab w:pos="1919" w:val="left" w:leader="none"/>
              <w:tab w:pos="9291" w:val="right" w:leader="dot"/>
            </w:tabs>
            <w:ind w:left="218"/>
          </w:pPr>
          <w:hyperlink w:history="true" w:anchor="_bookmark54">
            <w:r>
              <w:rPr/>
              <w:t>4A.C.9</w:t>
              <w:tab/>
              <w:t>When a decision by the AER must</w:t>
            </w:r>
            <w:r>
              <w:rPr>
                <w:spacing w:val="-3"/>
              </w:rPr>
              <w:t> </w:t>
            </w:r>
            <w:r>
              <w:rPr/>
              <w:t>be made</w:t>
              <w:tab/>
              <w:t>38</w:t>
            </w:r>
          </w:hyperlink>
        </w:p>
        <w:p>
          <w:pPr>
            <w:pStyle w:val="TOC3"/>
            <w:tabs>
              <w:tab w:pos="1919" w:val="left" w:leader="none"/>
              <w:tab w:pos="9291" w:val="right" w:leader="dot"/>
            </w:tabs>
            <w:ind w:left="218"/>
          </w:pPr>
          <w:hyperlink w:history="true" w:anchor="_bookmark55">
            <w:r>
              <w:rPr/>
              <w:t>4A.C.10</w:t>
              <w:tab/>
              <w:t>T-1 reliability</w:t>
            </w:r>
            <w:r>
              <w:rPr>
                <w:spacing w:val="-1"/>
              </w:rPr>
              <w:t> </w:t>
            </w:r>
            <w:r>
              <w:rPr/>
              <w:t>instrument</w:t>
            </w:r>
            <w:r>
              <w:rPr>
                <w:spacing w:val="-1"/>
              </w:rPr>
              <w:t> </w:t>
            </w:r>
            <w:r>
              <w:rPr/>
              <w:t>components</w:t>
              <w:tab/>
              <w:t>39</w:t>
            </w:r>
          </w:hyperlink>
        </w:p>
        <w:p>
          <w:pPr>
            <w:pStyle w:val="TOC3"/>
            <w:tabs>
              <w:tab w:pos="1919" w:val="left" w:leader="none"/>
              <w:tab w:pos="9291" w:val="right" w:leader="dot"/>
            </w:tabs>
            <w:ind w:left="218"/>
          </w:pPr>
          <w:hyperlink w:history="true" w:anchor="_bookmark56">
            <w:r>
              <w:rPr/>
              <w:t>4A.C.11</w:t>
              <w:tab/>
              <w:t>AER decision</w:t>
            </w:r>
            <w:r>
              <w:rPr>
                <w:spacing w:val="-2"/>
              </w:rPr>
              <w:t> </w:t>
            </w:r>
            <w:r>
              <w:rPr/>
              <w:t>making criteria</w:t>
              <w:tab/>
              <w:t>39</w:t>
            </w:r>
          </w:hyperlink>
        </w:p>
        <w:p>
          <w:pPr>
            <w:pStyle w:val="TOC3"/>
            <w:tabs>
              <w:tab w:pos="1919" w:val="left" w:leader="none"/>
              <w:tab w:pos="9290" w:val="right" w:leader="dot"/>
            </w:tabs>
            <w:ind w:left="218"/>
          </w:pPr>
          <w:hyperlink w:history="true" w:anchor="_bookmark57">
            <w:r>
              <w:rPr/>
              <w:t>4A.C.12</w:t>
              <w:tab/>
              <w:t>Reliability</w:t>
            </w:r>
            <w:r>
              <w:rPr>
                <w:spacing w:val="-1"/>
              </w:rPr>
              <w:t> </w:t>
            </w:r>
            <w:r>
              <w:rPr/>
              <w:t>Instrument Guidelines</w:t>
              <w:tab/>
              <w:t>39</w:t>
            </w:r>
          </w:hyperlink>
        </w:p>
        <w:p>
          <w:pPr>
            <w:pStyle w:val="TOC2"/>
            <w:tabs>
              <w:tab w:pos="1919" w:val="left" w:leader="none"/>
              <w:tab w:pos="9291" w:val="right" w:leader="dot"/>
            </w:tabs>
          </w:pPr>
          <w:hyperlink w:history="true" w:anchor="_bookmark58">
            <w:r>
              <w:rPr/>
              <w:t>Part D</w:t>
              <w:tab/>
              <w:t>Liable</w:t>
            </w:r>
            <w:r>
              <w:rPr>
                <w:spacing w:val="-1"/>
              </w:rPr>
              <w:t> </w:t>
            </w:r>
            <w:r>
              <w:rPr/>
              <w:t>Entities</w:t>
              <w:tab/>
              <w:t>40</w:t>
            </w:r>
          </w:hyperlink>
        </w:p>
        <w:p>
          <w:pPr>
            <w:pStyle w:val="TOC3"/>
            <w:tabs>
              <w:tab w:pos="1919" w:val="left" w:leader="none"/>
              <w:tab w:pos="9290" w:val="right" w:leader="dot"/>
            </w:tabs>
            <w:ind w:left="218"/>
          </w:pPr>
          <w:hyperlink w:history="true" w:anchor="_bookmark59">
            <w:r>
              <w:rPr/>
              <w:t>4A.D.1</w:t>
              <w:tab/>
              <w:t>Application</w:t>
              <w:tab/>
              <w:t>40</w:t>
            </w:r>
          </w:hyperlink>
        </w:p>
        <w:p>
          <w:pPr>
            <w:pStyle w:val="TOC3"/>
            <w:tabs>
              <w:tab w:pos="1919" w:val="left" w:leader="none"/>
              <w:tab w:pos="9291" w:val="right" w:leader="dot"/>
            </w:tabs>
            <w:ind w:left="218"/>
          </w:pPr>
          <w:hyperlink w:history="true" w:anchor="_bookmark60">
            <w:r>
              <w:rPr/>
              <w:t>4A.D.2</w:t>
              <w:tab/>
              <w:t>Liable</w:t>
            </w:r>
            <w:r>
              <w:rPr>
                <w:spacing w:val="-1"/>
              </w:rPr>
              <w:t> </w:t>
            </w:r>
            <w:r>
              <w:rPr/>
              <w:t>entities</w:t>
              <w:tab/>
              <w:t>40</w:t>
            </w:r>
          </w:hyperlink>
        </w:p>
        <w:p>
          <w:pPr>
            <w:pStyle w:val="TOC3"/>
            <w:tabs>
              <w:tab w:pos="1919" w:val="left" w:leader="none"/>
              <w:tab w:pos="9290" w:val="right" w:leader="dot"/>
            </w:tabs>
            <w:ind w:left="218"/>
          </w:pPr>
          <w:hyperlink w:history="true" w:anchor="_bookmark61">
            <w:r>
              <w:rPr/>
              <w:t>4A.D.3</w:t>
              <w:tab/>
              <w:t>New</w:t>
            </w:r>
            <w:r>
              <w:rPr>
                <w:spacing w:val="-2"/>
              </w:rPr>
              <w:t> </w:t>
            </w:r>
            <w:r>
              <w:rPr/>
              <w:t>entrants</w:t>
              <w:tab/>
              <w:t>40</w:t>
            </w:r>
          </w:hyperlink>
        </w:p>
        <w:p>
          <w:pPr>
            <w:pStyle w:val="TOC3"/>
            <w:tabs>
              <w:tab w:pos="1919" w:val="left" w:leader="none"/>
              <w:tab w:pos="9291" w:val="right" w:leader="dot"/>
            </w:tabs>
            <w:ind w:left="218"/>
          </w:pPr>
          <w:hyperlink w:history="true" w:anchor="_bookmark62">
            <w:r>
              <w:rPr/>
              <w:t>4A.D.4</w:t>
              <w:tab/>
              <w:t>Application to register as large</w:t>
            </w:r>
            <w:r>
              <w:rPr>
                <w:spacing w:val="-2"/>
              </w:rPr>
              <w:t> </w:t>
            </w:r>
            <w:r>
              <w:rPr/>
              <w:t>opt-in customer</w:t>
              <w:tab/>
              <w:t>41</w:t>
            </w:r>
          </w:hyperlink>
        </w:p>
        <w:p>
          <w:pPr>
            <w:pStyle w:val="TOC3"/>
            <w:tabs>
              <w:tab w:pos="1919" w:val="left" w:leader="none"/>
              <w:tab w:pos="9291" w:val="right" w:leader="dot"/>
            </w:tabs>
            <w:ind w:left="218"/>
          </w:pPr>
          <w:hyperlink w:history="true" w:anchor="_bookmark63">
            <w:r>
              <w:rPr/>
              <w:t>4A.D.5</w:t>
              <w:tab/>
              <w:t>Application to register as prescribed</w:t>
            </w:r>
            <w:r>
              <w:rPr>
                <w:spacing w:val="-1"/>
              </w:rPr>
              <w:t> </w:t>
            </w:r>
            <w:r>
              <w:rPr/>
              <w:t>opt-in</w:t>
            </w:r>
            <w:r>
              <w:rPr>
                <w:spacing w:val="-1"/>
              </w:rPr>
              <w:t> </w:t>
            </w:r>
            <w:r>
              <w:rPr/>
              <w:t>customer</w:t>
              <w:tab/>
              <w:t>42</w:t>
            </w:r>
          </w:hyperlink>
        </w:p>
        <w:p>
          <w:pPr>
            <w:pStyle w:val="TOC3"/>
            <w:tabs>
              <w:tab w:pos="1919" w:val="left" w:leader="none"/>
              <w:tab w:pos="9290" w:val="right" w:leader="dot"/>
            </w:tabs>
            <w:ind w:left="218"/>
          </w:pPr>
          <w:hyperlink w:history="true" w:anchor="_bookmark64">
            <w:r>
              <w:rPr/>
              <w:t>4A.D.6</w:t>
              <w:tab/>
              <w:t>Thresholds</w:t>
              <w:tab/>
              <w:t>42</w:t>
            </w:r>
          </w:hyperlink>
        </w:p>
        <w:p>
          <w:pPr>
            <w:pStyle w:val="TOC3"/>
            <w:tabs>
              <w:tab w:pos="1919" w:val="left" w:leader="none"/>
              <w:tab w:pos="9291" w:val="right" w:leader="dot"/>
            </w:tabs>
            <w:ind w:left="218"/>
          </w:pPr>
          <w:hyperlink w:history="true" w:anchor="_bookmark65">
            <w:r>
              <w:rPr/>
              <w:t>4A.D.7</w:t>
              <w:tab/>
              <w:t>Opt-in</w:t>
            </w:r>
            <w:r>
              <w:rPr>
                <w:spacing w:val="-1"/>
              </w:rPr>
              <w:t> </w:t>
            </w:r>
            <w:r>
              <w:rPr/>
              <w:t>cut-off day</w:t>
              <w:tab/>
              <w:t>43</w:t>
            </w:r>
          </w:hyperlink>
        </w:p>
        <w:p>
          <w:pPr>
            <w:pStyle w:val="TOC3"/>
            <w:tabs>
              <w:tab w:pos="1919" w:val="left" w:leader="none"/>
              <w:tab w:pos="9290" w:val="right" w:leader="dot"/>
            </w:tabs>
            <w:ind w:left="218"/>
          </w:pPr>
          <w:hyperlink w:history="true" w:anchor="_bookmark66">
            <w:r>
              <w:rPr/>
              <w:t>4A.D.8</w:t>
              <w:tab/>
              <w:t>AER approval</w:t>
            </w:r>
            <w:r>
              <w:rPr>
                <w:spacing w:val="-2"/>
              </w:rPr>
              <w:t> </w:t>
            </w:r>
            <w:r>
              <w:rPr/>
              <w:t>of applications</w:t>
              <w:tab/>
              <w:t>43</w:t>
            </w:r>
          </w:hyperlink>
        </w:p>
        <w:p>
          <w:pPr>
            <w:pStyle w:val="TOC3"/>
            <w:tabs>
              <w:tab w:pos="1919" w:val="left" w:leader="none"/>
              <w:tab w:pos="9290" w:val="right" w:leader="dot"/>
            </w:tabs>
            <w:ind w:left="218"/>
          </w:pPr>
          <w:hyperlink w:history="true" w:anchor="_bookmark67">
            <w:r>
              <w:rPr/>
              <w:t>4A.D.9</w:t>
              <w:tab/>
              <w:t>AER</w:t>
            </w:r>
            <w:r>
              <w:rPr>
                <w:spacing w:val="-2"/>
              </w:rPr>
              <w:t> </w:t>
            </w:r>
            <w:r>
              <w:rPr/>
              <w:t>opt-in register</w:t>
              <w:tab/>
              <w:t>43</w:t>
            </w:r>
          </w:hyperlink>
        </w:p>
        <w:p>
          <w:pPr>
            <w:pStyle w:val="TOC3"/>
            <w:tabs>
              <w:tab w:pos="1919" w:val="left" w:leader="none"/>
              <w:tab w:pos="9290" w:val="right" w:leader="dot"/>
            </w:tabs>
            <w:ind w:left="218"/>
          </w:pPr>
          <w:hyperlink w:history="true" w:anchor="_bookmark68">
            <w:r>
              <w:rPr/>
              <w:t>4A.D.10</w:t>
              <w:tab/>
              <w:t>Changes</w:t>
            </w:r>
            <w:r>
              <w:rPr>
                <w:spacing w:val="-1"/>
              </w:rPr>
              <w:t> </w:t>
            </w:r>
            <w:r>
              <w:rPr/>
              <w:t>to register</w:t>
              <w:tab/>
              <w:t>44</w:t>
            </w:r>
          </w:hyperlink>
        </w:p>
        <w:p>
          <w:pPr>
            <w:pStyle w:val="TOC3"/>
            <w:tabs>
              <w:tab w:pos="1919" w:val="left" w:leader="none"/>
              <w:tab w:pos="9290" w:val="right" w:leader="dot"/>
            </w:tabs>
            <w:ind w:left="218"/>
          </w:pPr>
          <w:hyperlink w:history="true" w:anchor="_bookmark69">
            <w:r>
              <w:rPr/>
              <w:t>4A.D.11</w:t>
              <w:tab/>
              <w:t>AER register taken to</w:t>
            </w:r>
            <w:r>
              <w:rPr>
                <w:spacing w:val="-3"/>
              </w:rPr>
              <w:t> </w:t>
            </w:r>
            <w:r>
              <w:rPr/>
              <w:t>be correct</w:t>
              <w:tab/>
              <w:t>44</w:t>
            </w:r>
          </w:hyperlink>
        </w:p>
        <w:p>
          <w:pPr>
            <w:pStyle w:val="TOC3"/>
            <w:tabs>
              <w:tab w:pos="1919" w:val="left" w:leader="none"/>
              <w:tab w:pos="9289" w:val="right" w:leader="dot"/>
            </w:tabs>
            <w:ind w:left="218"/>
          </w:pPr>
          <w:hyperlink w:history="true" w:anchor="_bookmark70">
            <w:r>
              <w:rPr/>
              <w:t>4A.D.12</w:t>
              <w:tab/>
              <w:t>AEMO</w:t>
            </w:r>
            <w:r>
              <w:rPr>
                <w:spacing w:val="-2"/>
              </w:rPr>
              <w:t> </w:t>
            </w:r>
            <w:r>
              <w:rPr/>
              <w:t>Opt-In</w:t>
            </w:r>
            <w:r>
              <w:rPr>
                <w:spacing w:val="-1"/>
              </w:rPr>
              <w:t> </w:t>
            </w:r>
            <w:r>
              <w:rPr/>
              <w:t>Procedures</w:t>
              <w:tab/>
              <w:t>45</w:t>
            </w:r>
          </w:hyperlink>
        </w:p>
        <w:p>
          <w:pPr>
            <w:pStyle w:val="TOC3"/>
            <w:tabs>
              <w:tab w:pos="1919" w:val="left" w:leader="none"/>
              <w:tab w:pos="9290" w:val="right" w:leader="dot"/>
            </w:tabs>
            <w:ind w:left="218"/>
          </w:pPr>
          <w:hyperlink w:history="true" w:anchor="_bookmark71">
            <w:r>
              <w:rPr/>
              <w:t>4A.D.13</w:t>
              <w:tab/>
              <w:t>AER</w:t>
            </w:r>
            <w:r>
              <w:rPr>
                <w:spacing w:val="-2"/>
              </w:rPr>
              <w:t> </w:t>
            </w:r>
            <w:r>
              <w:rPr/>
              <w:t>Opt-In</w:t>
            </w:r>
            <w:r>
              <w:rPr>
                <w:spacing w:val="-1"/>
              </w:rPr>
              <w:t> </w:t>
            </w:r>
            <w:r>
              <w:rPr/>
              <w:t>Guidelines</w:t>
              <w:tab/>
              <w:t>45</w:t>
            </w:r>
          </w:hyperlink>
        </w:p>
        <w:p>
          <w:pPr>
            <w:pStyle w:val="TOC2"/>
            <w:tabs>
              <w:tab w:pos="1919" w:val="left" w:leader="none"/>
              <w:tab w:pos="9289" w:val="right" w:leader="dot"/>
            </w:tabs>
          </w:pPr>
          <w:hyperlink w:history="true" w:anchor="_bookmark72">
            <w:r>
              <w:rPr/>
              <w:t>Part E</w:t>
              <w:tab/>
              <w:t>Qualifying Contracts and Net</w:t>
            </w:r>
            <w:r>
              <w:rPr>
                <w:spacing w:val="-6"/>
              </w:rPr>
              <w:t> </w:t>
            </w:r>
            <w:r>
              <w:rPr/>
              <w:t>Contract</w:t>
            </w:r>
            <w:r>
              <w:rPr>
                <w:spacing w:val="-2"/>
              </w:rPr>
              <w:t> </w:t>
            </w:r>
            <w:r>
              <w:rPr/>
              <w:t>Position</w:t>
              <w:tab/>
              <w:t>46</w:t>
            </w:r>
          </w:hyperlink>
        </w:p>
        <w:p>
          <w:pPr>
            <w:pStyle w:val="TOC2"/>
            <w:tabs>
              <w:tab w:pos="1918" w:val="left" w:leader="none"/>
              <w:tab w:pos="9290" w:val="right" w:leader="dot"/>
            </w:tabs>
          </w:pPr>
          <w:hyperlink w:history="true" w:anchor="_bookmark73">
            <w:r>
              <w:rPr/>
              <w:t>Division</w:t>
            </w:r>
            <w:r>
              <w:rPr>
                <w:spacing w:val="-4"/>
              </w:rPr>
              <w:t> </w:t>
            </w:r>
            <w:r>
              <w:rPr/>
              <w:t>1</w:t>
              <w:tab/>
              <w:t>Key concepts</w:t>
              <w:tab/>
              <w:t>46</w:t>
            </w:r>
          </w:hyperlink>
        </w:p>
        <w:p>
          <w:pPr>
            <w:pStyle w:val="TOC3"/>
            <w:tabs>
              <w:tab w:pos="1919" w:val="left" w:leader="none"/>
              <w:tab w:pos="9291" w:val="right" w:leader="dot"/>
            </w:tabs>
            <w:ind w:left="218"/>
          </w:pPr>
          <w:hyperlink w:history="true" w:anchor="_bookmark74">
            <w:r>
              <w:rPr/>
              <w:t>4A.E.1</w:t>
              <w:tab/>
              <w:t>Qualifying</w:t>
            </w:r>
            <w:r>
              <w:rPr>
                <w:spacing w:val="-1"/>
              </w:rPr>
              <w:t> </w:t>
            </w:r>
            <w:r>
              <w:rPr/>
              <w:t>contracts</w:t>
              <w:tab/>
              <w:t>46</w:t>
            </w:r>
          </w:hyperlink>
        </w:p>
        <w:p>
          <w:pPr>
            <w:pStyle w:val="TOC3"/>
            <w:tabs>
              <w:tab w:pos="1919" w:val="left" w:leader="none"/>
              <w:tab w:pos="9291" w:val="right" w:leader="dot"/>
            </w:tabs>
            <w:ind w:left="218"/>
          </w:pPr>
          <w:hyperlink w:history="true" w:anchor="_bookmark75">
            <w:r>
              <w:rPr/>
              <w:t>4A.E.2</w:t>
              <w:tab/>
              <w:t>Net</w:t>
            </w:r>
            <w:r>
              <w:rPr>
                <w:spacing w:val="-2"/>
              </w:rPr>
              <w:t> </w:t>
            </w:r>
            <w:r>
              <w:rPr/>
              <w:t>contract position</w:t>
              <w:tab/>
              <w:t>47</w:t>
            </w:r>
          </w:hyperlink>
        </w:p>
        <w:p>
          <w:pPr>
            <w:pStyle w:val="TOC2"/>
            <w:tabs>
              <w:tab w:pos="1918" w:val="left" w:leader="none"/>
              <w:tab w:pos="9290" w:val="right" w:leader="dot"/>
            </w:tabs>
          </w:pPr>
          <w:hyperlink w:history="true" w:anchor="_bookmark76">
            <w:r>
              <w:rPr/>
              <w:t>Division</w:t>
            </w:r>
            <w:r>
              <w:rPr>
                <w:spacing w:val="-4"/>
              </w:rPr>
              <w:t> </w:t>
            </w:r>
            <w:r>
              <w:rPr/>
              <w:t>2</w:t>
              <w:tab/>
              <w:t>Firmness methodologies</w:t>
              <w:tab/>
              <w:t>47</w:t>
            </w:r>
          </w:hyperlink>
        </w:p>
        <w:p>
          <w:pPr>
            <w:pStyle w:val="TOC3"/>
            <w:tabs>
              <w:tab w:pos="1919" w:val="left" w:leader="none"/>
              <w:tab w:pos="9291" w:val="right" w:leader="dot"/>
            </w:tabs>
            <w:ind w:left="218"/>
          </w:pPr>
          <w:hyperlink w:history="true" w:anchor="_bookmark77">
            <w:r>
              <w:rPr/>
              <w:t>4A.E.3</w:t>
              <w:tab/>
              <w:t>Firmness</w:t>
            </w:r>
            <w:r>
              <w:rPr>
                <w:spacing w:val="-1"/>
              </w:rPr>
              <w:t> </w:t>
            </w:r>
            <w:r>
              <w:rPr/>
              <w:t>methodology</w:t>
              <w:tab/>
              <w:t>47</w:t>
            </w:r>
          </w:hyperlink>
        </w:p>
        <w:p>
          <w:pPr>
            <w:pStyle w:val="TOC3"/>
            <w:tabs>
              <w:tab w:pos="1919" w:val="left" w:leader="none"/>
              <w:tab w:pos="9291" w:val="right" w:leader="dot"/>
            </w:tabs>
            <w:ind w:left="218"/>
          </w:pPr>
          <w:hyperlink w:history="true" w:anchor="_bookmark78">
            <w:r>
              <w:rPr/>
              <w:t>4A.E.4</w:t>
              <w:tab/>
              <w:t>Types</w:t>
            </w:r>
            <w:r>
              <w:rPr>
                <w:spacing w:val="-1"/>
              </w:rPr>
              <w:t> </w:t>
            </w:r>
            <w:r>
              <w:rPr/>
              <w:t>of methodologies</w:t>
              <w:tab/>
              <w:t>48</w:t>
            </w:r>
          </w:hyperlink>
        </w:p>
        <w:p>
          <w:pPr>
            <w:pStyle w:val="TOC3"/>
            <w:tabs>
              <w:tab w:pos="1919" w:val="left" w:leader="none"/>
              <w:tab w:pos="9290" w:val="right" w:leader="dot"/>
            </w:tabs>
            <w:spacing w:after="240"/>
            <w:ind w:left="218"/>
          </w:pPr>
          <w:hyperlink w:history="true" w:anchor="_bookmark79">
            <w:r>
              <w:rPr/>
              <w:t>4A.E.5</w:t>
              <w:tab/>
              <w:t>Approval of a bespoke</w:t>
            </w:r>
            <w:r>
              <w:rPr>
                <w:spacing w:val="-2"/>
              </w:rPr>
              <w:t> </w:t>
            </w:r>
            <w:r>
              <w:rPr/>
              <w:t>firmness methodology</w:t>
              <w:tab/>
              <w:t>48</w:t>
            </w:r>
          </w:hyperlink>
        </w:p>
        <w:p>
          <w:pPr>
            <w:pStyle w:val="TOC2"/>
            <w:tabs>
              <w:tab w:pos="1918" w:val="left" w:leader="none"/>
              <w:tab w:pos="9290" w:val="right" w:leader="dot"/>
            </w:tabs>
            <w:spacing w:before="83"/>
          </w:pPr>
          <w:hyperlink w:history="true" w:anchor="_bookmark80">
            <w:r>
              <w:rPr/>
              <w:t>Division</w:t>
            </w:r>
            <w:r>
              <w:rPr>
                <w:spacing w:val="-4"/>
              </w:rPr>
              <w:t> </w:t>
            </w:r>
            <w:r>
              <w:rPr/>
              <w:t>3</w:t>
              <w:tab/>
              <w:t>Reporting net</w:t>
            </w:r>
            <w:r>
              <w:rPr>
                <w:spacing w:val="-1"/>
              </w:rPr>
              <w:t> </w:t>
            </w:r>
            <w:r>
              <w:rPr/>
              <w:t>contract position</w:t>
              <w:tab/>
              <w:t>49</w:t>
            </w:r>
          </w:hyperlink>
        </w:p>
        <w:p>
          <w:pPr>
            <w:pStyle w:val="TOC3"/>
            <w:tabs>
              <w:tab w:pos="1919" w:val="left" w:leader="none"/>
              <w:tab w:pos="9291" w:val="right" w:leader="dot"/>
            </w:tabs>
            <w:ind w:left="218"/>
          </w:pPr>
          <w:hyperlink w:history="true" w:anchor="_bookmark81">
            <w:r>
              <w:rPr/>
              <w:t>4A.E.6</w:t>
              <w:tab/>
              <w:t>Reporting</w:t>
            </w:r>
            <w:r>
              <w:rPr>
                <w:spacing w:val="-1"/>
              </w:rPr>
              <w:t> </w:t>
            </w:r>
            <w:r>
              <w:rPr/>
              <w:t>requirements</w:t>
              <w:tab/>
              <w:t>49</w:t>
            </w:r>
          </w:hyperlink>
        </w:p>
        <w:p>
          <w:pPr>
            <w:pStyle w:val="TOC2"/>
            <w:tabs>
              <w:tab w:pos="1918" w:val="left" w:leader="none"/>
              <w:tab w:pos="9289" w:val="right" w:leader="dot"/>
            </w:tabs>
          </w:pPr>
          <w:hyperlink w:history="true" w:anchor="_bookmark82">
            <w:r>
              <w:rPr/>
              <w:t>Division</w:t>
            </w:r>
            <w:r>
              <w:rPr>
                <w:spacing w:val="-4"/>
              </w:rPr>
              <w:t> </w:t>
            </w:r>
            <w:r>
              <w:rPr/>
              <w:t>4</w:t>
              <w:tab/>
              <w:t>Adjustment of net</w:t>
            </w:r>
            <w:r>
              <w:rPr>
                <w:spacing w:val="-2"/>
              </w:rPr>
              <w:t> </w:t>
            </w:r>
            <w:r>
              <w:rPr/>
              <w:t>contract</w:t>
            </w:r>
            <w:r>
              <w:rPr>
                <w:spacing w:val="-1"/>
              </w:rPr>
              <w:t> </w:t>
            </w:r>
            <w:r>
              <w:rPr/>
              <w:t>position</w:t>
              <w:tab/>
              <w:t>50</w:t>
            </w:r>
          </w:hyperlink>
        </w:p>
        <w:p>
          <w:pPr>
            <w:pStyle w:val="TOC3"/>
            <w:tabs>
              <w:tab w:pos="1919" w:val="left" w:leader="none"/>
              <w:tab w:pos="9290" w:val="right" w:leader="dot"/>
            </w:tabs>
            <w:ind w:left="218"/>
          </w:pPr>
          <w:hyperlink w:history="true" w:anchor="_bookmark83">
            <w:r>
              <w:rPr/>
              <w:t>4A.E.7</w:t>
              <w:tab/>
              <w:t>Adjustment of net</w:t>
            </w:r>
            <w:r>
              <w:rPr>
                <w:spacing w:val="-1"/>
              </w:rPr>
              <w:t> </w:t>
            </w:r>
            <w:r>
              <w:rPr/>
              <w:t>contract position</w:t>
              <w:tab/>
              <w:t>50</w:t>
            </w:r>
          </w:hyperlink>
        </w:p>
        <w:p>
          <w:pPr>
            <w:pStyle w:val="TOC2"/>
            <w:tabs>
              <w:tab w:pos="1918" w:val="left" w:leader="none"/>
              <w:tab w:pos="9291" w:val="right" w:leader="dot"/>
            </w:tabs>
          </w:pPr>
          <w:hyperlink w:history="true" w:anchor="_bookmark84">
            <w:r>
              <w:rPr/>
              <w:t>Division</w:t>
            </w:r>
            <w:r>
              <w:rPr>
                <w:spacing w:val="-4"/>
              </w:rPr>
              <w:t> </w:t>
            </w:r>
            <w:r>
              <w:rPr/>
              <w:t>5</w:t>
              <w:tab/>
              <w:t>Contracts and Firmness Guidelines</w:t>
              <w:tab/>
              <w:t>51</w:t>
            </w:r>
          </w:hyperlink>
        </w:p>
        <w:p>
          <w:pPr>
            <w:pStyle w:val="TOC3"/>
            <w:tabs>
              <w:tab w:pos="1919" w:val="left" w:leader="none"/>
              <w:tab w:pos="9289" w:val="right" w:leader="dot"/>
            </w:tabs>
            <w:ind w:left="218"/>
          </w:pPr>
          <w:hyperlink w:history="true" w:anchor="_bookmark85">
            <w:r>
              <w:rPr/>
              <w:t>4A.E.8</w:t>
              <w:tab/>
              <w:t>Contracts and</w:t>
            </w:r>
            <w:r>
              <w:rPr>
                <w:spacing w:val="-1"/>
              </w:rPr>
              <w:t> </w:t>
            </w:r>
            <w:r>
              <w:rPr/>
              <w:t>Firmness</w:t>
            </w:r>
            <w:r>
              <w:rPr>
                <w:spacing w:val="-1"/>
              </w:rPr>
              <w:t> </w:t>
            </w:r>
            <w:r>
              <w:rPr/>
              <w:t>Guidelines</w:t>
              <w:tab/>
              <w:t>51</w:t>
            </w:r>
          </w:hyperlink>
        </w:p>
        <w:p>
          <w:pPr>
            <w:pStyle w:val="TOC2"/>
            <w:tabs>
              <w:tab w:pos="1919" w:val="left" w:leader="none"/>
              <w:tab w:pos="9290" w:val="right" w:leader="dot"/>
            </w:tabs>
          </w:pPr>
          <w:hyperlink w:history="true" w:anchor="_bookmark86">
            <w:r>
              <w:rPr/>
              <w:t>Part F</w:t>
              <w:tab/>
              <w:t>Compliance with the Retailer</w:t>
            </w:r>
            <w:r>
              <w:rPr>
                <w:spacing w:val="-4"/>
              </w:rPr>
              <w:t> </w:t>
            </w:r>
            <w:r>
              <w:rPr/>
              <w:t>Reliability</w:t>
            </w:r>
            <w:r>
              <w:rPr>
                <w:spacing w:val="-1"/>
              </w:rPr>
              <w:t> </w:t>
            </w:r>
            <w:r>
              <w:rPr/>
              <w:t>Obligation</w:t>
              <w:tab/>
              <w:t>52</w:t>
            </w:r>
          </w:hyperlink>
        </w:p>
        <w:p>
          <w:pPr>
            <w:pStyle w:val="TOC2"/>
            <w:tabs>
              <w:tab w:pos="1918" w:val="left" w:leader="none"/>
              <w:tab w:pos="9289" w:val="right" w:leader="dot"/>
            </w:tabs>
          </w:pPr>
          <w:hyperlink w:history="true" w:anchor="_bookmark87">
            <w:r>
              <w:rPr/>
              <w:t>Division</w:t>
            </w:r>
            <w:r>
              <w:rPr>
                <w:spacing w:val="-4"/>
              </w:rPr>
              <w:t> </w:t>
            </w:r>
            <w:r>
              <w:rPr/>
              <w:t>1</w:t>
              <w:tab/>
              <w:t>Application</w:t>
              <w:tab/>
              <w:t>52</w:t>
            </w:r>
          </w:hyperlink>
        </w:p>
        <w:p>
          <w:pPr>
            <w:pStyle w:val="TOC3"/>
            <w:tabs>
              <w:tab w:pos="1919" w:val="left" w:leader="none"/>
              <w:tab w:pos="9290" w:val="right" w:leader="dot"/>
            </w:tabs>
            <w:ind w:left="218"/>
          </w:pPr>
          <w:hyperlink w:history="true" w:anchor="_bookmark88">
            <w:r>
              <w:rPr/>
              <w:t>4A.F.1</w:t>
              <w:tab/>
              <w:t>Application</w:t>
              <w:tab/>
              <w:t>52</w:t>
            </w:r>
          </w:hyperlink>
        </w:p>
        <w:p>
          <w:pPr>
            <w:pStyle w:val="TOC2"/>
            <w:tabs>
              <w:tab w:pos="1918" w:val="left" w:leader="none"/>
              <w:tab w:pos="9290" w:val="right" w:leader="dot"/>
            </w:tabs>
          </w:pPr>
          <w:hyperlink w:history="true" w:anchor="_bookmark89">
            <w:r>
              <w:rPr/>
              <w:t>Division</w:t>
            </w:r>
            <w:r>
              <w:rPr>
                <w:spacing w:val="-4"/>
              </w:rPr>
              <w:t> </w:t>
            </w:r>
            <w:r>
              <w:rPr/>
              <w:t>2</w:t>
              <w:tab/>
              <w:t>Key concepts</w:t>
              <w:tab/>
              <w:t>52</w:t>
            </w:r>
          </w:hyperlink>
        </w:p>
        <w:p>
          <w:pPr>
            <w:pStyle w:val="TOC3"/>
            <w:tabs>
              <w:tab w:pos="1919" w:val="left" w:leader="none"/>
              <w:tab w:pos="9290" w:val="right" w:leader="dot"/>
            </w:tabs>
            <w:ind w:left="218"/>
          </w:pPr>
          <w:hyperlink w:history="true" w:anchor="_bookmark90">
            <w:r>
              <w:rPr/>
              <w:t>4A.F.2</w:t>
              <w:tab/>
              <w:t>Compliance</w:t>
            </w:r>
            <w:r>
              <w:rPr>
                <w:spacing w:val="-2"/>
              </w:rPr>
              <w:t> </w:t>
            </w:r>
            <w:r>
              <w:rPr/>
              <w:t>TI</w:t>
              <w:tab/>
              <w:t>52</w:t>
            </w:r>
          </w:hyperlink>
        </w:p>
        <w:p>
          <w:pPr>
            <w:pStyle w:val="TOC3"/>
            <w:tabs>
              <w:tab w:pos="1919" w:val="left" w:leader="none"/>
              <w:tab w:pos="9290" w:val="right" w:leader="dot"/>
            </w:tabs>
            <w:ind w:left="218"/>
          </w:pPr>
          <w:hyperlink w:history="true" w:anchor="_bookmark91">
            <w:r>
              <w:rPr/>
              <w:t>4A.F.3</w:t>
              <w:tab/>
              <w:t>Share of one-in-two year peak</w:t>
            </w:r>
            <w:r>
              <w:rPr>
                <w:spacing w:val="-2"/>
              </w:rPr>
              <w:t> </w:t>
            </w:r>
            <w:r>
              <w:rPr/>
              <w:t>demand forecast</w:t>
              <w:tab/>
              <w:t>52</w:t>
            </w:r>
          </w:hyperlink>
        </w:p>
        <w:p>
          <w:pPr>
            <w:pStyle w:val="TOC2"/>
            <w:tabs>
              <w:tab w:pos="1918" w:val="left" w:leader="none"/>
              <w:tab w:pos="9289" w:val="right" w:leader="dot"/>
            </w:tabs>
          </w:pPr>
          <w:hyperlink w:history="true" w:anchor="_bookmark92">
            <w:r>
              <w:rPr/>
              <w:t>Division</w:t>
            </w:r>
            <w:r>
              <w:rPr>
                <w:spacing w:val="-4"/>
              </w:rPr>
              <w:t> </w:t>
            </w:r>
            <w:r>
              <w:rPr/>
              <w:t>3</w:t>
              <w:tab/>
              <w:t>AEMO notifications</w:t>
            </w:r>
            <w:r>
              <w:rPr>
                <w:spacing w:val="-2"/>
              </w:rPr>
              <w:t> </w:t>
            </w:r>
            <w:r>
              <w:rPr/>
              <w:t>to AER</w:t>
              <w:tab/>
              <w:t>54</w:t>
            </w:r>
          </w:hyperlink>
        </w:p>
        <w:p>
          <w:pPr>
            <w:pStyle w:val="TOC3"/>
            <w:tabs>
              <w:tab w:pos="1919" w:val="left" w:leader="none"/>
              <w:tab w:pos="9290" w:val="right" w:leader="dot"/>
            </w:tabs>
            <w:ind w:left="218"/>
          </w:pPr>
          <w:hyperlink w:history="true" w:anchor="_bookmark93">
            <w:r>
              <w:rPr/>
              <w:t>4A.F.4</w:t>
              <w:tab/>
              <w:t>AEMO notification of compliance</w:t>
            </w:r>
            <w:r>
              <w:rPr>
                <w:spacing w:val="-2"/>
              </w:rPr>
              <w:t> </w:t>
            </w:r>
            <w:r>
              <w:rPr/>
              <w:t>trading intervals</w:t>
              <w:tab/>
              <w:t>54</w:t>
            </w:r>
          </w:hyperlink>
        </w:p>
        <w:p>
          <w:pPr>
            <w:pStyle w:val="TOC3"/>
            <w:tabs>
              <w:tab w:pos="1919" w:val="left" w:leader="none"/>
              <w:tab w:pos="9290" w:val="right" w:leader="dot"/>
            </w:tabs>
            <w:ind w:left="218"/>
          </w:pPr>
          <w:hyperlink w:history="true" w:anchor="_bookmark94">
            <w:r>
              <w:rPr/>
              <w:t>4A.F.5</w:t>
              <w:tab/>
              <w:t>AEMO</w:t>
            </w:r>
            <w:r>
              <w:rPr>
                <w:spacing w:val="-2"/>
              </w:rPr>
              <w:t> </w:t>
            </w:r>
            <w:r>
              <w:rPr/>
              <w:t>compliance report</w:t>
              <w:tab/>
              <w:t>54</w:t>
            </w:r>
          </w:hyperlink>
        </w:p>
        <w:p>
          <w:pPr>
            <w:pStyle w:val="TOC2"/>
            <w:tabs>
              <w:tab w:pos="1918" w:val="left" w:leader="none"/>
              <w:tab w:pos="9290" w:val="right" w:leader="dot"/>
            </w:tabs>
          </w:pPr>
          <w:hyperlink w:history="true" w:anchor="_bookmark95">
            <w:r>
              <w:rPr/>
              <w:t>Division</w:t>
            </w:r>
            <w:r>
              <w:rPr>
                <w:spacing w:val="-4"/>
              </w:rPr>
              <w:t> </w:t>
            </w:r>
            <w:r>
              <w:rPr/>
              <w:t>4</w:t>
              <w:tab/>
              <w:t>AER assessment of compliance</w:t>
              <w:tab/>
              <w:t>54</w:t>
            </w:r>
          </w:hyperlink>
        </w:p>
        <w:p>
          <w:pPr>
            <w:pStyle w:val="TOC3"/>
            <w:tabs>
              <w:tab w:pos="1919" w:val="left" w:leader="none"/>
              <w:tab w:pos="9289" w:val="right" w:leader="dot"/>
            </w:tabs>
            <w:ind w:left="218"/>
          </w:pPr>
          <w:hyperlink w:history="true" w:anchor="_bookmark96">
            <w:r>
              <w:rPr/>
              <w:t>4A.F.6</w:t>
              <w:tab/>
              <w:t>Reliability Compliance Procedures</w:t>
            </w:r>
            <w:r>
              <w:rPr>
                <w:spacing w:val="-3"/>
              </w:rPr>
              <w:t> </w:t>
            </w:r>
            <w:r>
              <w:rPr/>
              <w:t>and Guidelines</w:t>
              <w:tab/>
              <w:t>54</w:t>
            </w:r>
          </w:hyperlink>
        </w:p>
        <w:p>
          <w:pPr>
            <w:pStyle w:val="TOC3"/>
            <w:tabs>
              <w:tab w:pos="1919" w:val="left" w:leader="none"/>
              <w:tab w:pos="9290" w:val="right" w:leader="dot"/>
            </w:tabs>
            <w:ind w:left="218"/>
          </w:pPr>
          <w:hyperlink w:history="true" w:anchor="_bookmark97">
            <w:r>
              <w:rPr/>
              <w:t>4A.F.7</w:t>
              <w:tab/>
              <w:t>AER</w:t>
            </w:r>
            <w:r>
              <w:rPr>
                <w:spacing w:val="-2"/>
              </w:rPr>
              <w:t> </w:t>
            </w:r>
            <w:r>
              <w:rPr/>
              <w:t>assessment</w:t>
              <w:tab/>
              <w:t>55</w:t>
            </w:r>
          </w:hyperlink>
        </w:p>
        <w:p>
          <w:pPr>
            <w:pStyle w:val="TOC3"/>
            <w:tabs>
              <w:tab w:pos="1919" w:val="left" w:leader="none"/>
              <w:tab w:pos="9290" w:val="right" w:leader="dot"/>
            </w:tabs>
            <w:ind w:left="218"/>
          </w:pPr>
          <w:hyperlink w:history="true" w:anchor="_bookmark98">
            <w:r>
              <w:rPr/>
              <w:t>4A.F.8</w:t>
              <w:tab/>
              <w:t>AER notification to AEMO for</w:t>
            </w:r>
            <w:r>
              <w:rPr>
                <w:spacing w:val="-4"/>
              </w:rPr>
              <w:t> </w:t>
            </w:r>
            <w:r>
              <w:rPr/>
              <w:t>PoLR costs</w:t>
              <w:tab/>
              <w:t>55</w:t>
            </w:r>
          </w:hyperlink>
        </w:p>
        <w:p>
          <w:pPr>
            <w:pStyle w:val="TOC2"/>
            <w:tabs>
              <w:tab w:pos="1918" w:val="left" w:leader="none"/>
              <w:tab w:pos="9290" w:val="right" w:leader="dot"/>
            </w:tabs>
          </w:pPr>
          <w:hyperlink w:history="true" w:anchor="_bookmark99">
            <w:r>
              <w:rPr/>
              <w:t>Division</w:t>
            </w:r>
            <w:r>
              <w:rPr>
                <w:spacing w:val="-4"/>
              </w:rPr>
              <w:t> </w:t>
            </w:r>
            <w:r>
              <w:rPr/>
              <w:t>5</w:t>
              <w:tab/>
              <w:t>Miscellaneous</w:t>
              <w:tab/>
              <w:t>56</w:t>
            </w:r>
          </w:hyperlink>
        </w:p>
        <w:p>
          <w:pPr>
            <w:pStyle w:val="TOC3"/>
            <w:tabs>
              <w:tab w:pos="1919" w:val="left" w:leader="none"/>
              <w:tab w:pos="9291" w:val="right" w:leader="dot"/>
            </w:tabs>
            <w:ind w:left="218"/>
          </w:pPr>
          <w:hyperlink w:history="true" w:anchor="_bookmark100">
            <w:r>
              <w:rPr/>
              <w:t>4A.F.9</w:t>
              <w:tab/>
              <w:t>Demand</w:t>
            </w:r>
            <w:r>
              <w:rPr>
                <w:spacing w:val="-1"/>
              </w:rPr>
              <w:t> </w:t>
            </w:r>
            <w:r>
              <w:rPr/>
              <w:t>response information</w:t>
              <w:tab/>
              <w:t>56</w:t>
            </w:r>
          </w:hyperlink>
        </w:p>
        <w:p>
          <w:pPr>
            <w:pStyle w:val="TOC3"/>
            <w:tabs>
              <w:tab w:pos="1919" w:val="left" w:leader="none"/>
              <w:tab w:pos="9290" w:val="right" w:leader="dot"/>
            </w:tabs>
            <w:ind w:left="218"/>
          </w:pPr>
          <w:hyperlink w:history="true" w:anchor="_bookmark101">
            <w:r>
              <w:rPr/>
              <w:t>4A.F.10</w:t>
              <w:tab/>
              <w:t>PoLR</w:t>
            </w:r>
            <w:r>
              <w:rPr>
                <w:spacing w:val="-1"/>
              </w:rPr>
              <w:t> </w:t>
            </w:r>
            <w:r>
              <w:rPr/>
              <w:t>cost</w:t>
            </w:r>
            <w:r>
              <w:rPr>
                <w:spacing w:val="-1"/>
              </w:rPr>
              <w:t> </w:t>
            </w:r>
            <w:r>
              <w:rPr/>
              <w:t>procedures</w:t>
              <w:tab/>
              <w:t>56</w:t>
            </w:r>
          </w:hyperlink>
        </w:p>
        <w:p>
          <w:pPr>
            <w:pStyle w:val="TOC2"/>
            <w:tabs>
              <w:tab w:pos="1919" w:val="left" w:leader="none"/>
              <w:tab w:pos="9291" w:val="right" w:leader="dot"/>
            </w:tabs>
          </w:pPr>
          <w:hyperlink w:history="true" w:anchor="_bookmark102">
            <w:r>
              <w:rPr/>
              <w:t>Part G</w:t>
              <w:tab/>
              <w:t>Market</w:t>
            </w:r>
            <w:r>
              <w:rPr>
                <w:spacing w:val="-1"/>
              </w:rPr>
              <w:t> </w:t>
            </w:r>
            <w:r>
              <w:rPr/>
              <w:t>Liquidity Obligation</w:t>
              <w:tab/>
              <w:t>56</w:t>
            </w:r>
          </w:hyperlink>
        </w:p>
        <w:p>
          <w:pPr>
            <w:pStyle w:val="TOC2"/>
            <w:tabs>
              <w:tab w:pos="1918" w:val="left" w:leader="none"/>
              <w:tab w:pos="9290" w:val="right" w:leader="dot"/>
            </w:tabs>
          </w:pPr>
          <w:hyperlink w:history="true" w:anchor="_bookmark103">
            <w:r>
              <w:rPr/>
              <w:t>Division</w:t>
            </w:r>
            <w:r>
              <w:rPr>
                <w:spacing w:val="-4"/>
              </w:rPr>
              <w:t> </w:t>
            </w:r>
            <w:r>
              <w:rPr/>
              <w:t>1</w:t>
              <w:tab/>
              <w:t>Preliminary</w:t>
              <w:tab/>
              <w:t>56</w:t>
            </w:r>
          </w:hyperlink>
        </w:p>
        <w:p>
          <w:pPr>
            <w:pStyle w:val="TOC3"/>
            <w:tabs>
              <w:tab w:pos="1919" w:val="left" w:leader="none"/>
              <w:tab w:pos="9290" w:val="right" w:leader="dot"/>
            </w:tabs>
            <w:ind w:left="218"/>
          </w:pPr>
          <w:hyperlink w:history="true" w:anchor="_bookmark104">
            <w:r>
              <w:rPr/>
              <w:t>4A.G.1</w:t>
              <w:tab/>
              <w:t>Overview of</w:t>
            </w:r>
            <w:r>
              <w:rPr>
                <w:spacing w:val="-1"/>
              </w:rPr>
              <w:t> </w:t>
            </w:r>
            <w:r>
              <w:rPr/>
              <w:t>Part</w:t>
            </w:r>
            <w:r>
              <w:rPr>
                <w:spacing w:val="-1"/>
              </w:rPr>
              <w:t> </w:t>
            </w:r>
            <w:r>
              <w:rPr/>
              <w:t>G</w:t>
              <w:tab/>
              <w:t>56</w:t>
            </w:r>
          </w:hyperlink>
        </w:p>
        <w:p>
          <w:pPr>
            <w:pStyle w:val="TOC3"/>
            <w:tabs>
              <w:tab w:pos="1919" w:val="left" w:leader="none"/>
              <w:tab w:pos="9290" w:val="right" w:leader="dot"/>
            </w:tabs>
            <w:ind w:left="218"/>
          </w:pPr>
          <w:hyperlink w:history="true" w:anchor="_bookmark105">
            <w:r>
              <w:rPr/>
              <w:t>4A.G.2</w:t>
              <w:tab/>
              <w:t>Purpose</w:t>
            </w:r>
            <w:r>
              <w:rPr>
                <w:spacing w:val="-2"/>
              </w:rPr>
              <w:t> </w:t>
            </w:r>
            <w:r>
              <w:rPr/>
              <w:t>and application</w:t>
              <w:tab/>
              <w:t>57</w:t>
            </w:r>
          </w:hyperlink>
        </w:p>
        <w:p>
          <w:pPr>
            <w:pStyle w:val="TOC2"/>
            <w:tabs>
              <w:tab w:pos="1918" w:val="left" w:leader="none"/>
              <w:tab w:pos="9291" w:val="right" w:leader="dot"/>
            </w:tabs>
          </w:pPr>
          <w:hyperlink w:history="true" w:anchor="_bookmark106">
            <w:r>
              <w:rPr/>
              <w:t>Division</w:t>
            </w:r>
            <w:r>
              <w:rPr>
                <w:spacing w:val="-4"/>
              </w:rPr>
              <w:t> </w:t>
            </w:r>
            <w:r>
              <w:rPr/>
              <w:t>2</w:t>
              <w:tab/>
              <w:t>Market Generators and trading right holders</w:t>
              <w:tab/>
              <w:t>57</w:t>
            </w:r>
          </w:hyperlink>
        </w:p>
        <w:p>
          <w:pPr>
            <w:pStyle w:val="TOC3"/>
            <w:tabs>
              <w:tab w:pos="1919" w:val="left" w:leader="none"/>
              <w:tab w:pos="9289" w:val="right" w:leader="dot"/>
            </w:tabs>
            <w:ind w:left="218"/>
          </w:pPr>
          <w:hyperlink w:history="true" w:anchor="_bookmark107">
            <w:r>
              <w:rPr/>
              <w:t>4A.G.3</w:t>
              <w:tab/>
              <w:t>Market Generators and</w:t>
            </w:r>
            <w:r>
              <w:rPr>
                <w:spacing w:val="-2"/>
              </w:rPr>
              <w:t> </w:t>
            </w:r>
            <w:r>
              <w:rPr/>
              <w:t>generator</w:t>
            </w:r>
            <w:r>
              <w:rPr>
                <w:spacing w:val="-1"/>
              </w:rPr>
              <w:t> </w:t>
            </w:r>
            <w:r>
              <w:rPr/>
              <w:t>capacity</w:t>
              <w:tab/>
              <w:t>57</w:t>
            </w:r>
          </w:hyperlink>
        </w:p>
        <w:p>
          <w:pPr>
            <w:pStyle w:val="TOC3"/>
            <w:tabs>
              <w:tab w:pos="1919" w:val="left" w:leader="none"/>
              <w:tab w:pos="9290" w:val="right" w:leader="dot"/>
            </w:tabs>
            <w:ind w:left="218"/>
          </w:pPr>
          <w:hyperlink w:history="true" w:anchor="_bookmark108">
            <w:r>
              <w:rPr/>
              <w:t>4A.G.4</w:t>
              <w:tab/>
              <w:t>Trading rights and trading</w:t>
            </w:r>
            <w:r>
              <w:rPr>
                <w:spacing w:val="-1"/>
              </w:rPr>
              <w:t> </w:t>
            </w:r>
            <w:r>
              <w:rPr/>
              <w:t>right holders</w:t>
              <w:tab/>
              <w:t>57</w:t>
            </w:r>
          </w:hyperlink>
        </w:p>
        <w:p>
          <w:pPr>
            <w:pStyle w:val="TOC2"/>
            <w:tabs>
              <w:tab w:pos="1918" w:val="left" w:leader="none"/>
              <w:tab w:pos="9290" w:val="right" w:leader="dot"/>
            </w:tabs>
          </w:pPr>
          <w:hyperlink w:history="true" w:anchor="_bookmark109">
            <w:r>
              <w:rPr/>
              <w:t>Division</w:t>
            </w:r>
            <w:r>
              <w:rPr>
                <w:spacing w:val="-4"/>
              </w:rPr>
              <w:t> </w:t>
            </w:r>
            <w:r>
              <w:rPr/>
              <w:t>3</w:t>
              <w:tab/>
              <w:t>Trading groups</w:t>
              <w:tab/>
              <w:t>58</w:t>
            </w:r>
          </w:hyperlink>
        </w:p>
        <w:p>
          <w:pPr>
            <w:pStyle w:val="TOC3"/>
            <w:tabs>
              <w:tab w:pos="1919" w:val="left" w:leader="none"/>
              <w:tab w:pos="9290" w:val="right" w:leader="dot"/>
            </w:tabs>
            <w:ind w:left="218"/>
          </w:pPr>
          <w:hyperlink w:history="true" w:anchor="_bookmark110">
            <w:r>
              <w:rPr/>
              <w:t>4A.G.5</w:t>
              <w:tab/>
              <w:t>Trading</w:t>
            </w:r>
            <w:r>
              <w:rPr>
                <w:spacing w:val="-1"/>
              </w:rPr>
              <w:t> </w:t>
            </w:r>
            <w:r>
              <w:rPr/>
              <w:t>group</w:t>
              <w:tab/>
              <w:t>58</w:t>
            </w:r>
          </w:hyperlink>
        </w:p>
        <w:p>
          <w:pPr>
            <w:pStyle w:val="TOC3"/>
            <w:tabs>
              <w:tab w:pos="1919" w:val="left" w:leader="none"/>
              <w:tab w:pos="9290" w:val="right" w:leader="dot"/>
            </w:tabs>
            <w:ind w:left="218"/>
          </w:pPr>
          <w:hyperlink w:history="true" w:anchor="_bookmark111">
            <w:r>
              <w:rPr/>
              <w:t>4A.G.6</w:t>
              <w:tab/>
              <w:t>Controlling</w:t>
            </w:r>
            <w:r>
              <w:rPr>
                <w:spacing w:val="-1"/>
              </w:rPr>
              <w:t> </w:t>
            </w:r>
            <w:r>
              <w:rPr/>
              <w:t>entity</w:t>
              <w:tab/>
              <w:t>58</w:t>
            </w:r>
          </w:hyperlink>
        </w:p>
        <w:p>
          <w:pPr>
            <w:pStyle w:val="TOC2"/>
            <w:tabs>
              <w:tab w:pos="1918" w:val="left" w:leader="none"/>
              <w:tab w:pos="9290" w:val="right" w:leader="dot"/>
            </w:tabs>
          </w:pPr>
          <w:hyperlink w:history="true" w:anchor="_bookmark112">
            <w:r>
              <w:rPr/>
              <w:t>Division</w:t>
            </w:r>
            <w:r>
              <w:rPr>
                <w:spacing w:val="-4"/>
              </w:rPr>
              <w:t> </w:t>
            </w:r>
            <w:r>
              <w:rPr/>
              <w:t>4</w:t>
              <w:tab/>
              <w:t>Traced capacity and trading group capacity</w:t>
              <w:tab/>
              <w:t>60</w:t>
            </w:r>
          </w:hyperlink>
        </w:p>
        <w:p>
          <w:pPr>
            <w:pStyle w:val="TOC3"/>
            <w:tabs>
              <w:tab w:pos="1919" w:val="left" w:leader="none"/>
              <w:tab w:pos="9290" w:val="right" w:leader="dot"/>
            </w:tabs>
            <w:ind w:left="218"/>
          </w:pPr>
          <w:hyperlink w:history="true" w:anchor="_bookmark113">
            <w:r>
              <w:rPr/>
              <w:t>4A.G.7</w:t>
              <w:tab/>
              <w:t>Traced</w:t>
            </w:r>
            <w:r>
              <w:rPr>
                <w:spacing w:val="-1"/>
              </w:rPr>
              <w:t> </w:t>
            </w:r>
            <w:r>
              <w:rPr/>
              <w:t>capacity</w:t>
              <w:tab/>
              <w:t>60</w:t>
            </w:r>
          </w:hyperlink>
        </w:p>
        <w:p>
          <w:pPr>
            <w:pStyle w:val="TOC3"/>
            <w:tabs>
              <w:tab w:pos="1919" w:val="left" w:leader="none"/>
              <w:tab w:pos="9291" w:val="right" w:leader="dot"/>
            </w:tabs>
            <w:ind w:left="218"/>
          </w:pPr>
          <w:hyperlink w:history="true" w:anchor="_bookmark114">
            <w:r>
              <w:rPr/>
              <w:t>4A.G.8</w:t>
              <w:tab/>
              <w:t>Tracing capacity to</w:t>
            </w:r>
            <w:r>
              <w:rPr>
                <w:spacing w:val="-1"/>
              </w:rPr>
              <w:t> </w:t>
            </w:r>
            <w:r>
              <w:rPr/>
              <w:t>trading groups</w:t>
              <w:tab/>
              <w:t>60</w:t>
            </w:r>
          </w:hyperlink>
        </w:p>
        <w:p>
          <w:pPr>
            <w:pStyle w:val="TOC3"/>
            <w:tabs>
              <w:tab w:pos="1919" w:val="left" w:leader="none"/>
              <w:tab w:pos="9290" w:val="right" w:leader="dot"/>
            </w:tabs>
            <w:ind w:left="218"/>
          </w:pPr>
          <w:hyperlink w:history="true" w:anchor="_bookmark115">
            <w:r>
              <w:rPr/>
              <w:t>4A.G.9</w:t>
              <w:tab/>
              <w:t>Trading</w:t>
            </w:r>
            <w:r>
              <w:rPr>
                <w:spacing w:val="-1"/>
              </w:rPr>
              <w:t> </w:t>
            </w:r>
            <w:r>
              <w:rPr/>
              <w:t>group capacity</w:t>
              <w:tab/>
              <w:t>61</w:t>
            </w:r>
          </w:hyperlink>
        </w:p>
        <w:p>
          <w:pPr>
            <w:pStyle w:val="TOC2"/>
            <w:tabs>
              <w:tab w:pos="1918" w:val="left" w:leader="none"/>
              <w:tab w:pos="9290" w:val="right" w:leader="dot"/>
            </w:tabs>
          </w:pPr>
          <w:hyperlink w:history="true" w:anchor="_bookmark116">
            <w:r>
              <w:rPr/>
              <w:t>Division</w:t>
            </w:r>
            <w:r>
              <w:rPr>
                <w:spacing w:val="-4"/>
              </w:rPr>
              <w:t> </w:t>
            </w:r>
            <w:r>
              <w:rPr/>
              <w:t>5</w:t>
              <w:tab/>
              <w:t>MLO generators and MLO groups</w:t>
              <w:tab/>
              <w:t>61</w:t>
            </w:r>
          </w:hyperlink>
        </w:p>
        <w:p>
          <w:pPr>
            <w:pStyle w:val="TOC3"/>
            <w:tabs>
              <w:tab w:pos="1919" w:val="left" w:leader="none"/>
              <w:tab w:pos="9290" w:val="right" w:leader="dot"/>
            </w:tabs>
            <w:ind w:left="218"/>
          </w:pPr>
          <w:hyperlink w:history="true" w:anchor="_bookmark117">
            <w:r>
              <w:rPr/>
              <w:t>4A.G.10</w:t>
              <w:tab/>
              <w:t>MLO</w:t>
            </w:r>
            <w:r>
              <w:rPr>
                <w:spacing w:val="-2"/>
              </w:rPr>
              <w:t> </w:t>
            </w:r>
            <w:r>
              <w:rPr/>
              <w:t>group</w:t>
              <w:tab/>
              <w:t>61</w:t>
            </w:r>
          </w:hyperlink>
        </w:p>
        <w:p>
          <w:pPr>
            <w:pStyle w:val="TOC3"/>
            <w:tabs>
              <w:tab w:pos="1919" w:val="left" w:leader="none"/>
              <w:tab w:pos="9290" w:val="right" w:leader="dot"/>
            </w:tabs>
            <w:ind w:left="218"/>
          </w:pPr>
          <w:hyperlink w:history="true" w:anchor="_bookmark118">
            <w:r>
              <w:rPr/>
              <w:t>4A.G.11</w:t>
              <w:tab/>
              <w:t>MLO</w:t>
            </w:r>
            <w:r>
              <w:rPr>
                <w:spacing w:val="-2"/>
              </w:rPr>
              <w:t> </w:t>
            </w:r>
            <w:r>
              <w:rPr/>
              <w:t>generator</w:t>
              <w:tab/>
              <w:t>61</w:t>
            </w:r>
          </w:hyperlink>
        </w:p>
        <w:p>
          <w:pPr>
            <w:pStyle w:val="TOC2"/>
            <w:tabs>
              <w:tab w:pos="1918" w:val="left" w:leader="none"/>
              <w:tab w:pos="9291" w:val="right" w:leader="dot"/>
            </w:tabs>
          </w:pPr>
          <w:hyperlink w:history="true" w:anchor="_bookmark119">
            <w:r>
              <w:rPr/>
              <w:t>Division</w:t>
            </w:r>
            <w:r>
              <w:rPr>
                <w:spacing w:val="-4"/>
              </w:rPr>
              <w:t> </w:t>
            </w:r>
            <w:r>
              <w:rPr/>
              <w:t>6</w:t>
              <w:tab/>
              <w:t>Market Generator information</w:t>
              <w:tab/>
              <w:t>61</w:t>
            </w:r>
          </w:hyperlink>
        </w:p>
        <w:p>
          <w:pPr>
            <w:pStyle w:val="TOC3"/>
            <w:tabs>
              <w:tab w:pos="1919" w:val="left" w:leader="none"/>
              <w:tab w:pos="9290" w:val="right" w:leader="dot"/>
            </w:tabs>
            <w:ind w:left="218"/>
          </w:pPr>
          <w:hyperlink w:history="true" w:anchor="_bookmark120">
            <w:r>
              <w:rPr/>
              <w:t>4A.G.12</w:t>
              <w:tab/>
              <w:t>MLO</w:t>
            </w:r>
            <w:r>
              <w:rPr>
                <w:spacing w:val="-2"/>
              </w:rPr>
              <w:t> </w:t>
            </w:r>
            <w:r>
              <w:rPr/>
              <w:t>register</w:t>
              <w:tab/>
              <w:t>61</w:t>
            </w:r>
          </w:hyperlink>
        </w:p>
        <w:p>
          <w:pPr>
            <w:pStyle w:val="TOC3"/>
            <w:tabs>
              <w:tab w:pos="1919" w:val="left" w:leader="none"/>
              <w:tab w:pos="9290" w:val="right" w:leader="dot"/>
            </w:tabs>
            <w:ind w:left="218"/>
          </w:pPr>
          <w:hyperlink w:history="true" w:anchor="_bookmark121">
            <w:r>
              <w:rPr/>
              <w:t>4A.G.13</w:t>
              <w:tab/>
              <w:t>Market</w:t>
            </w:r>
            <w:r>
              <w:rPr>
                <w:spacing w:val="-1"/>
              </w:rPr>
              <w:t> </w:t>
            </w:r>
            <w:r>
              <w:rPr/>
              <w:t>Generator</w:t>
            </w:r>
            <w:r>
              <w:rPr>
                <w:spacing w:val="-1"/>
              </w:rPr>
              <w:t> </w:t>
            </w:r>
            <w:r>
              <w:rPr/>
              <w:t>information</w:t>
              <w:tab/>
              <w:t>63</w:t>
            </w:r>
          </w:hyperlink>
        </w:p>
        <w:p>
          <w:pPr>
            <w:pStyle w:val="TOC3"/>
            <w:tabs>
              <w:tab w:pos="1919" w:val="left" w:leader="none"/>
              <w:tab w:pos="9291" w:val="right" w:leader="dot"/>
            </w:tabs>
            <w:spacing w:after="240"/>
            <w:ind w:left="218"/>
          </w:pPr>
          <w:hyperlink w:history="true" w:anchor="_bookmark122">
            <w:r>
              <w:rPr/>
              <w:t>4A.G.14</w:t>
              <w:tab/>
              <w:t>Applications to</w:t>
            </w:r>
            <w:r>
              <w:rPr>
                <w:spacing w:val="-1"/>
              </w:rPr>
              <w:t> </w:t>
            </w:r>
            <w:r>
              <w:rPr/>
              <w:t>the AER</w:t>
              <w:tab/>
              <w:t>64</w:t>
            </w:r>
          </w:hyperlink>
        </w:p>
        <w:p>
          <w:pPr>
            <w:pStyle w:val="TOC2"/>
            <w:tabs>
              <w:tab w:pos="1918" w:val="left" w:leader="none"/>
              <w:tab w:pos="9290" w:val="right" w:leader="dot"/>
            </w:tabs>
            <w:spacing w:before="83"/>
          </w:pPr>
          <w:hyperlink w:history="true" w:anchor="_bookmark123">
            <w:r>
              <w:rPr/>
              <w:t>Division</w:t>
            </w:r>
            <w:r>
              <w:rPr>
                <w:spacing w:val="-4"/>
              </w:rPr>
              <w:t> </w:t>
            </w:r>
            <w:r>
              <w:rPr/>
              <w:t>7</w:t>
              <w:tab/>
              <w:t>Liquidity period</w:t>
              <w:tab/>
              <w:t>64</w:t>
            </w:r>
          </w:hyperlink>
        </w:p>
        <w:p>
          <w:pPr>
            <w:pStyle w:val="TOC3"/>
            <w:tabs>
              <w:tab w:pos="1919" w:val="left" w:leader="none"/>
              <w:tab w:pos="9291" w:val="right" w:leader="dot"/>
            </w:tabs>
            <w:ind w:left="218"/>
          </w:pPr>
          <w:hyperlink w:history="true" w:anchor="_bookmark124">
            <w:r>
              <w:rPr/>
              <w:t>4A.G.15</w:t>
              <w:tab/>
              <w:t>Notices prior to a</w:t>
            </w:r>
            <w:r>
              <w:rPr>
                <w:spacing w:val="-1"/>
              </w:rPr>
              <w:t> </w:t>
            </w:r>
            <w:r>
              <w:rPr/>
              <w:t>liquidity period</w:t>
              <w:tab/>
              <w:t>64</w:t>
            </w:r>
          </w:hyperlink>
        </w:p>
        <w:p>
          <w:pPr>
            <w:pStyle w:val="TOC3"/>
            <w:tabs>
              <w:tab w:pos="1919" w:val="left" w:leader="none"/>
              <w:tab w:pos="9291" w:val="right" w:leader="dot"/>
            </w:tabs>
            <w:ind w:left="218"/>
          </w:pPr>
          <w:hyperlink w:history="true" w:anchor="_bookmark125">
            <w:r>
              <w:rPr/>
              <w:t>4A.G.16</w:t>
              <w:tab/>
              <w:t>Duration of</w:t>
            </w:r>
            <w:r>
              <w:rPr>
                <w:spacing w:val="-1"/>
              </w:rPr>
              <w:t> </w:t>
            </w:r>
            <w:r>
              <w:rPr/>
              <w:t>liquidity period</w:t>
              <w:tab/>
              <w:t>65</w:t>
            </w:r>
          </w:hyperlink>
        </w:p>
        <w:p>
          <w:pPr>
            <w:pStyle w:val="TOC2"/>
            <w:tabs>
              <w:tab w:pos="1918" w:val="left" w:leader="none"/>
              <w:tab w:pos="9290" w:val="right" w:leader="dot"/>
            </w:tabs>
          </w:pPr>
          <w:hyperlink w:history="true" w:anchor="_bookmark126">
            <w:r>
              <w:rPr/>
              <w:t>Division</w:t>
            </w:r>
            <w:r>
              <w:rPr>
                <w:spacing w:val="-4"/>
              </w:rPr>
              <w:t> </w:t>
            </w:r>
            <w:r>
              <w:rPr/>
              <w:t>8</w:t>
              <w:tab/>
              <w:t>Liquidity obligation</w:t>
              <w:tab/>
              <w:t>65</w:t>
            </w:r>
          </w:hyperlink>
        </w:p>
        <w:p>
          <w:pPr>
            <w:pStyle w:val="TOC3"/>
            <w:tabs>
              <w:tab w:pos="1919" w:val="left" w:leader="none"/>
              <w:tab w:pos="9291" w:val="right" w:leader="dot"/>
            </w:tabs>
            <w:ind w:left="218"/>
          </w:pPr>
          <w:hyperlink w:history="true" w:anchor="_bookmark127">
            <w:r>
              <w:rPr/>
              <w:t>4A.G.17</w:t>
              <w:tab/>
              <w:t>Liquidity</w:t>
            </w:r>
            <w:r>
              <w:rPr>
                <w:spacing w:val="-1"/>
              </w:rPr>
              <w:t> </w:t>
            </w:r>
            <w:r>
              <w:rPr/>
              <w:t>obligation</w:t>
              <w:tab/>
              <w:t>65</w:t>
            </w:r>
          </w:hyperlink>
        </w:p>
        <w:p>
          <w:pPr>
            <w:pStyle w:val="TOC3"/>
            <w:tabs>
              <w:tab w:pos="1919" w:val="left" w:leader="none"/>
              <w:tab w:pos="9290" w:val="right" w:leader="dot"/>
            </w:tabs>
            <w:ind w:left="218"/>
          </w:pPr>
          <w:hyperlink w:history="true" w:anchor="_bookmark128">
            <w:r>
              <w:rPr/>
              <w:t>4A.G.18</w:t>
              <w:tab/>
              <w:t>Performing a</w:t>
            </w:r>
            <w:r>
              <w:rPr>
                <w:spacing w:val="-1"/>
              </w:rPr>
              <w:t> </w:t>
            </w:r>
            <w:r>
              <w:rPr/>
              <w:t>liquidity obligation</w:t>
              <w:tab/>
              <w:t>65</w:t>
            </w:r>
          </w:hyperlink>
        </w:p>
        <w:p>
          <w:pPr>
            <w:pStyle w:val="TOC3"/>
            <w:tabs>
              <w:tab w:pos="1919" w:val="left" w:leader="none"/>
              <w:tab w:pos="9290" w:val="right" w:leader="dot"/>
            </w:tabs>
            <w:ind w:left="218"/>
          </w:pPr>
          <w:hyperlink w:history="true" w:anchor="_bookmark129">
            <w:r>
              <w:rPr/>
              <w:t>4A.G.19</w:t>
              <w:tab/>
              <w:t>Volume</w:t>
            </w:r>
            <w:r>
              <w:rPr>
                <w:spacing w:val="-1"/>
              </w:rPr>
              <w:t> </w:t>
            </w:r>
            <w:r>
              <w:rPr/>
              <w:t>limits</w:t>
              <w:tab/>
              <w:t>67</w:t>
            </w:r>
          </w:hyperlink>
        </w:p>
        <w:p>
          <w:pPr>
            <w:pStyle w:val="TOC3"/>
            <w:tabs>
              <w:tab w:pos="1919" w:val="left" w:leader="none"/>
              <w:tab w:pos="9290" w:val="right" w:leader="dot"/>
            </w:tabs>
            <w:ind w:left="218"/>
          </w:pPr>
          <w:hyperlink w:history="true" w:anchor="_bookmark130">
            <w:r>
              <w:rPr/>
              <w:t>4A.G.20</w:t>
              <w:tab/>
              <w:t>Appointment of</w:t>
            </w:r>
            <w:r>
              <w:rPr>
                <w:spacing w:val="-1"/>
              </w:rPr>
              <w:t> </w:t>
            </w:r>
            <w:r>
              <w:rPr/>
              <w:t>MLO</w:t>
            </w:r>
            <w:r>
              <w:rPr>
                <w:spacing w:val="-1"/>
              </w:rPr>
              <w:t> </w:t>
            </w:r>
            <w:r>
              <w:rPr/>
              <w:t>nominee</w:t>
              <w:tab/>
              <w:t>68</w:t>
            </w:r>
          </w:hyperlink>
        </w:p>
        <w:p>
          <w:pPr>
            <w:pStyle w:val="TOC3"/>
            <w:tabs>
              <w:tab w:pos="1919" w:val="left" w:leader="none"/>
              <w:tab w:pos="9290" w:val="right" w:leader="dot"/>
            </w:tabs>
            <w:ind w:left="218"/>
          </w:pPr>
          <w:hyperlink w:history="true" w:anchor="_bookmark131">
            <w:r>
              <w:rPr/>
              <w:t>4A.G.21</w:t>
              <w:tab/>
              <w:t>Exemptions</w:t>
              <w:tab/>
              <w:t>68</w:t>
            </w:r>
          </w:hyperlink>
        </w:p>
        <w:p>
          <w:pPr>
            <w:pStyle w:val="TOC2"/>
            <w:tabs>
              <w:tab w:pos="1918" w:val="left" w:leader="none"/>
              <w:tab w:pos="9289" w:val="right" w:leader="dot"/>
            </w:tabs>
          </w:pPr>
          <w:hyperlink w:history="true" w:anchor="_bookmark132">
            <w:r>
              <w:rPr/>
              <w:t>Division</w:t>
            </w:r>
            <w:r>
              <w:rPr>
                <w:spacing w:val="-4"/>
              </w:rPr>
              <w:t> </w:t>
            </w:r>
            <w:r>
              <w:rPr/>
              <w:t>9</w:t>
              <w:tab/>
              <w:t>MLO products and</w:t>
            </w:r>
            <w:r>
              <w:rPr>
                <w:spacing w:val="-2"/>
              </w:rPr>
              <w:t> </w:t>
            </w:r>
            <w:r>
              <w:rPr/>
              <w:t>MLO exchange</w:t>
              <w:tab/>
              <w:t>69</w:t>
            </w:r>
          </w:hyperlink>
        </w:p>
        <w:p>
          <w:pPr>
            <w:pStyle w:val="TOC3"/>
            <w:tabs>
              <w:tab w:pos="1919" w:val="left" w:leader="none"/>
              <w:tab w:pos="9290" w:val="right" w:leader="dot"/>
            </w:tabs>
            <w:ind w:left="218"/>
          </w:pPr>
          <w:hyperlink w:history="true" w:anchor="_bookmark133">
            <w:r>
              <w:rPr/>
              <w:t>4A.G.22</w:t>
              <w:tab/>
              <w:t>MLO</w:t>
            </w:r>
            <w:r>
              <w:rPr>
                <w:spacing w:val="-2"/>
              </w:rPr>
              <w:t> </w:t>
            </w:r>
            <w:r>
              <w:rPr/>
              <w:t>products</w:t>
              <w:tab/>
              <w:t>69</w:t>
            </w:r>
          </w:hyperlink>
        </w:p>
        <w:p>
          <w:pPr>
            <w:pStyle w:val="TOC3"/>
            <w:tabs>
              <w:tab w:pos="1919" w:val="left" w:leader="none"/>
              <w:tab w:pos="9290" w:val="right" w:leader="dot"/>
            </w:tabs>
            <w:ind w:left="218"/>
          </w:pPr>
          <w:hyperlink w:history="true" w:anchor="_bookmark134">
            <w:r>
              <w:rPr/>
              <w:t>4A.G.23</w:t>
              <w:tab/>
              <w:t>MLO</w:t>
            </w:r>
            <w:r>
              <w:rPr>
                <w:spacing w:val="-2"/>
              </w:rPr>
              <w:t> </w:t>
            </w:r>
            <w:r>
              <w:rPr/>
              <w:t>exchange</w:t>
              <w:tab/>
              <w:t>70</w:t>
            </w:r>
          </w:hyperlink>
        </w:p>
        <w:p>
          <w:pPr>
            <w:pStyle w:val="TOC2"/>
            <w:tabs>
              <w:tab w:pos="1918" w:val="left" w:leader="none"/>
              <w:tab w:pos="9290" w:val="right" w:leader="dot"/>
            </w:tabs>
          </w:pPr>
          <w:hyperlink w:history="true" w:anchor="_bookmark135">
            <w:r>
              <w:rPr/>
              <w:t>Division</w:t>
            </w:r>
            <w:r>
              <w:rPr>
                <w:spacing w:val="-4"/>
              </w:rPr>
              <w:t> </w:t>
            </w:r>
            <w:r>
              <w:rPr/>
              <w:t>10</w:t>
              <w:tab/>
              <w:t>Miscellaneous</w:t>
              <w:tab/>
              <w:t>71</w:t>
            </w:r>
          </w:hyperlink>
        </w:p>
        <w:p>
          <w:pPr>
            <w:pStyle w:val="TOC3"/>
            <w:tabs>
              <w:tab w:pos="1919" w:val="left" w:leader="none"/>
              <w:tab w:pos="9290" w:val="right" w:leader="dot"/>
            </w:tabs>
            <w:ind w:left="218"/>
          </w:pPr>
          <w:hyperlink w:history="true" w:anchor="_bookmark136">
            <w:r>
              <w:rPr/>
              <w:t>4A.G.24</w:t>
              <w:tab/>
              <w:t>MLO compliance</w:t>
            </w:r>
            <w:r>
              <w:rPr>
                <w:spacing w:val="-2"/>
              </w:rPr>
              <w:t> </w:t>
            </w:r>
            <w:r>
              <w:rPr/>
              <w:t>and reporting</w:t>
              <w:tab/>
              <w:t>71</w:t>
            </w:r>
          </w:hyperlink>
        </w:p>
        <w:p>
          <w:pPr>
            <w:pStyle w:val="TOC3"/>
            <w:tabs>
              <w:tab w:pos="1919" w:val="left" w:leader="none"/>
              <w:tab w:pos="9290" w:val="right" w:leader="dot"/>
            </w:tabs>
            <w:ind w:left="218"/>
          </w:pPr>
          <w:hyperlink w:history="true" w:anchor="_bookmark137">
            <w:r>
              <w:rPr/>
              <w:t>4A.G.25</w:t>
              <w:tab/>
              <w:t>MLO</w:t>
            </w:r>
            <w:r>
              <w:rPr>
                <w:spacing w:val="-2"/>
              </w:rPr>
              <w:t> </w:t>
            </w:r>
            <w:r>
              <w:rPr/>
              <w:t>Guidelines</w:t>
              <w:tab/>
              <w:t>71</w:t>
            </w:r>
          </w:hyperlink>
        </w:p>
        <w:p>
          <w:pPr>
            <w:pStyle w:val="TOC2"/>
            <w:tabs>
              <w:tab w:pos="1919" w:val="left" w:leader="none"/>
              <w:tab w:pos="9290" w:val="right" w:leader="dot"/>
            </w:tabs>
          </w:pPr>
          <w:hyperlink w:history="true" w:anchor="_bookmark138">
            <w:r>
              <w:rPr/>
              <w:t>Part H</w:t>
              <w:tab/>
              <w:t>Voluntary</w:t>
            </w:r>
            <w:r>
              <w:rPr>
                <w:spacing w:val="-2"/>
              </w:rPr>
              <w:t> </w:t>
            </w:r>
            <w:r>
              <w:rPr/>
              <w:t>Book Build</w:t>
              <w:tab/>
              <w:t>72</w:t>
            </w:r>
          </w:hyperlink>
        </w:p>
        <w:p>
          <w:pPr>
            <w:pStyle w:val="TOC3"/>
            <w:tabs>
              <w:tab w:pos="1919" w:val="left" w:leader="none"/>
              <w:tab w:pos="9290" w:val="right" w:leader="dot"/>
            </w:tabs>
            <w:ind w:left="218"/>
          </w:pPr>
          <w:hyperlink w:history="true" w:anchor="_bookmark139">
            <w:r>
              <w:rPr/>
              <w:t>4A.H.1</w:t>
              <w:tab/>
              <w:t>Purpose</w:t>
            </w:r>
            <w:r>
              <w:rPr>
                <w:spacing w:val="-2"/>
              </w:rPr>
              <w:t> </w:t>
            </w:r>
            <w:r>
              <w:rPr/>
              <w:t>and application</w:t>
              <w:tab/>
              <w:t>72</w:t>
            </w:r>
          </w:hyperlink>
        </w:p>
        <w:p>
          <w:pPr>
            <w:pStyle w:val="TOC3"/>
            <w:tabs>
              <w:tab w:pos="1919" w:val="left" w:leader="none"/>
              <w:tab w:pos="9290" w:val="right" w:leader="dot"/>
            </w:tabs>
            <w:ind w:left="218"/>
          </w:pPr>
          <w:hyperlink w:history="true" w:anchor="_bookmark140">
            <w:r>
              <w:rPr/>
              <w:t>4A.H.2</w:t>
              <w:tab/>
              <w:t>Book</w:t>
            </w:r>
            <w:r>
              <w:rPr>
                <w:spacing w:val="-1"/>
              </w:rPr>
              <w:t> </w:t>
            </w:r>
            <w:r>
              <w:rPr/>
              <w:t>Build Procedures</w:t>
              <w:tab/>
              <w:t>72</w:t>
            </w:r>
          </w:hyperlink>
        </w:p>
        <w:p>
          <w:pPr>
            <w:pStyle w:val="TOC3"/>
            <w:tabs>
              <w:tab w:pos="1919" w:val="left" w:leader="none"/>
              <w:tab w:pos="9290" w:val="right" w:leader="dot"/>
            </w:tabs>
            <w:ind w:left="218"/>
          </w:pPr>
          <w:hyperlink w:history="true" w:anchor="_bookmark141">
            <w:r>
              <w:rPr/>
              <w:t>4A.H.3</w:t>
              <w:tab/>
              <w:t>Commencement of voluntary</w:t>
            </w:r>
            <w:r>
              <w:rPr>
                <w:spacing w:val="-1"/>
              </w:rPr>
              <w:t> </w:t>
            </w:r>
            <w:r>
              <w:rPr/>
              <w:t>book build</w:t>
              <w:tab/>
              <w:t>73</w:t>
            </w:r>
          </w:hyperlink>
        </w:p>
        <w:p>
          <w:pPr>
            <w:pStyle w:val="TOC3"/>
            <w:tabs>
              <w:tab w:pos="1919" w:val="left" w:leader="none"/>
              <w:tab w:pos="9291" w:val="right" w:leader="dot"/>
            </w:tabs>
            <w:ind w:left="218"/>
          </w:pPr>
          <w:hyperlink w:history="true" w:anchor="_bookmark142">
            <w:r>
              <w:rPr/>
              <w:t>4A.H.4</w:t>
              <w:tab/>
              <w:t>Participation in the voluntary</w:t>
            </w:r>
            <w:r>
              <w:rPr>
                <w:spacing w:val="-1"/>
              </w:rPr>
              <w:t> </w:t>
            </w:r>
            <w:r>
              <w:rPr/>
              <w:t>book build</w:t>
              <w:tab/>
              <w:t>73</w:t>
            </w:r>
          </w:hyperlink>
        </w:p>
        <w:p>
          <w:pPr>
            <w:pStyle w:val="TOC3"/>
            <w:tabs>
              <w:tab w:pos="1919" w:val="left" w:leader="none"/>
              <w:tab w:pos="9290" w:val="right" w:leader="dot"/>
            </w:tabs>
            <w:ind w:left="218"/>
          </w:pPr>
          <w:hyperlink w:history="true" w:anchor="_bookmark143">
            <w:r>
              <w:rPr/>
              <w:t>4A.H.5</w:t>
              <w:tab/>
              <w:t>Book</w:t>
            </w:r>
            <w:r>
              <w:rPr>
                <w:spacing w:val="-1"/>
              </w:rPr>
              <w:t> </w:t>
            </w:r>
            <w:r>
              <w:rPr/>
              <w:t>build fees</w:t>
              <w:tab/>
              <w:t>74</w:t>
            </w:r>
          </w:hyperlink>
        </w:p>
        <w:p>
          <w:pPr>
            <w:pStyle w:val="TOC3"/>
            <w:tabs>
              <w:tab w:pos="1919" w:val="left" w:leader="none"/>
              <w:tab w:pos="9291" w:val="right" w:leader="dot"/>
            </w:tabs>
            <w:ind w:left="218"/>
          </w:pPr>
          <w:hyperlink w:history="true" w:anchor="_bookmark144">
            <w:r>
              <w:rPr/>
              <w:t>4A.H.6</w:t>
              <w:tab/>
              <w:t>Reporting</w:t>
              <w:tab/>
              <w:t>74</w:t>
            </w:r>
          </w:hyperlink>
        </w:p>
        <w:p>
          <w:pPr>
            <w:pStyle w:val="TOC1"/>
            <w:numPr>
              <w:ilvl w:val="0"/>
              <w:numId w:val="2"/>
            </w:numPr>
            <w:tabs>
              <w:tab w:pos="1918" w:val="left" w:leader="none"/>
              <w:tab w:pos="1919" w:val="left" w:leader="none"/>
              <w:tab w:pos="9291" w:val="right" w:leader="dot"/>
            </w:tabs>
            <w:spacing w:line="240" w:lineRule="auto" w:before="360" w:after="0"/>
            <w:ind w:left="1919" w:right="0" w:hanging="1701"/>
            <w:jc w:val="left"/>
          </w:pPr>
          <w:hyperlink w:history="true" w:anchor="_bookmark145">
            <w:r>
              <w:rPr/>
              <w:t>Network Connection Access, Planning</w:t>
            </w:r>
            <w:r>
              <w:rPr>
                <w:spacing w:val="-5"/>
              </w:rPr>
              <w:t> </w:t>
            </w:r>
            <w:r>
              <w:rPr/>
              <w:t>and</w:t>
            </w:r>
            <w:r>
              <w:rPr>
                <w:spacing w:val="-1"/>
              </w:rPr>
              <w:t> </w:t>
            </w:r>
            <w:r>
              <w:rPr/>
              <w:t>Expansion</w:t>
              <w:tab/>
              <w:t>77</w:t>
            </w:r>
          </w:hyperlink>
        </w:p>
        <w:p>
          <w:pPr>
            <w:pStyle w:val="TOC2"/>
            <w:tabs>
              <w:tab w:pos="1919" w:val="left" w:leader="none"/>
              <w:tab w:pos="9290" w:val="right" w:leader="dot"/>
            </w:tabs>
          </w:pPr>
          <w:hyperlink w:history="true" w:anchor="_bookmark146">
            <w:r>
              <w:rPr/>
              <w:t>Part A</w:t>
              <w:tab/>
              <w:t>Introduction</w:t>
              <w:tab/>
              <w:t>77</w:t>
            </w:r>
          </w:hyperlink>
        </w:p>
        <w:p>
          <w:pPr>
            <w:pStyle w:val="TOC2"/>
            <w:numPr>
              <w:ilvl w:val="1"/>
              <w:numId w:val="2"/>
            </w:numPr>
            <w:tabs>
              <w:tab w:pos="1919" w:val="left" w:leader="none"/>
              <w:tab w:pos="1920" w:val="left" w:leader="none"/>
              <w:tab w:pos="9289" w:val="right" w:leader="dot"/>
            </w:tabs>
            <w:spacing w:line="240" w:lineRule="auto" w:before="120" w:after="0"/>
            <w:ind w:left="1919" w:right="0" w:hanging="1702"/>
            <w:jc w:val="left"/>
          </w:pPr>
          <w:hyperlink w:history="true" w:anchor="_bookmark147">
            <w:r>
              <w:rPr/>
              <w:t>Introduction to</w:t>
            </w:r>
            <w:r>
              <w:rPr>
                <w:spacing w:val="-2"/>
              </w:rPr>
              <w:t> </w:t>
            </w:r>
            <w:r>
              <w:rPr/>
              <w:t>Chapter</w:t>
            </w:r>
            <w:r>
              <w:rPr>
                <w:spacing w:val="-1"/>
              </w:rPr>
              <w:t> </w:t>
            </w:r>
            <w:r>
              <w:rPr/>
              <w:t>5</w:t>
              <w:tab/>
              <w:t>77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48">
            <w:r>
              <w:rPr/>
              <w:t>Structure of</w:t>
            </w:r>
            <w:r>
              <w:rPr>
                <w:spacing w:val="-1"/>
              </w:rPr>
              <w:t> </w:t>
            </w:r>
            <w:r>
              <w:rPr/>
              <w:t>this Chapter</w:t>
              <w:tab/>
              <w:t>77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49">
            <w:r>
              <w:rPr/>
              <w:t>Overview of Part B and connection and access under</w:t>
            </w:r>
            <w:r>
              <w:rPr>
                <w:spacing w:val="-6"/>
              </w:rPr>
              <w:t> </w:t>
            </w:r>
            <w:r>
              <w:rPr/>
              <w:t>the</w:t>
            </w:r>
            <w:r>
              <w:rPr>
                <w:spacing w:val="-1"/>
              </w:rPr>
              <w:t> </w:t>
            </w:r>
            <w:r>
              <w:rPr/>
              <w:t>Rules</w:t>
              <w:tab/>
              <w:t>77</w:t>
            </w:r>
          </w:hyperlink>
        </w:p>
        <w:p>
          <w:pPr>
            <w:pStyle w:val="TOC3"/>
            <w:numPr>
              <w:ilvl w:val="2"/>
              <w:numId w:val="2"/>
            </w:numPr>
            <w:tabs>
              <w:tab w:pos="1919" w:val="left" w:leader="none"/>
              <w:tab w:pos="1920" w:val="left" w:leader="none"/>
              <w:tab w:pos="9290" w:val="right" w:leader="dot"/>
            </w:tabs>
            <w:spacing w:line="240" w:lineRule="auto" w:before="0" w:after="0"/>
            <w:ind w:left="1919" w:right="0" w:hanging="1702"/>
            <w:jc w:val="left"/>
          </w:pPr>
          <w:hyperlink w:history="true" w:anchor="_bookmark150">
            <w:r>
              <w:rPr/>
              <w:t>Definitions</w:t>
              <w:tab/>
              <w:t>80</w:t>
            </w:r>
          </w:hyperlink>
        </w:p>
        <w:p>
          <w:pPr>
            <w:pStyle w:val="TOC2"/>
            <w:tabs>
              <w:tab w:pos="1919" w:val="left" w:leader="none"/>
              <w:tab w:pos="9289" w:val="right" w:leader="dot"/>
            </w:tabs>
          </w:pPr>
          <w:hyperlink w:history="true" w:anchor="_bookmark151">
            <w:r>
              <w:rPr/>
              <w:t>Part B</w:t>
              <w:tab/>
              <w:t>Network Connection</w:t>
            </w:r>
            <w:r>
              <w:rPr>
                <w:spacing w:val="-3"/>
              </w:rPr>
              <w:t> </w:t>
            </w:r>
            <w:r>
              <w:rPr/>
              <w:t>and Access</w:t>
              <w:tab/>
              <w:t>81</w:t>
            </w:r>
          </w:hyperlink>
        </w:p>
        <w:p>
          <w:pPr>
            <w:pStyle w:val="TOC2"/>
            <w:tabs>
              <w:tab w:pos="1919" w:val="left" w:leader="none"/>
              <w:tab w:pos="9290" w:val="right" w:leader="dot"/>
            </w:tabs>
          </w:pPr>
          <w:hyperlink w:history="true" w:anchor="_bookmark152">
            <w:r>
              <w:rPr/>
              <w:t>5.1A</w:t>
              <w:tab/>
              <w:t>Introduction to</w:t>
            </w:r>
            <w:r>
              <w:rPr>
                <w:spacing w:val="-2"/>
              </w:rPr>
              <w:t> </w:t>
            </w:r>
            <w:r>
              <w:rPr/>
              <w:t>Part B</w:t>
              <w:tab/>
              <w:t>81</w:t>
            </w:r>
          </w:hyperlink>
        </w:p>
        <w:p>
          <w:pPr>
            <w:pStyle w:val="TOC3"/>
            <w:tabs>
              <w:tab w:pos="1919" w:val="left" w:leader="none"/>
              <w:tab w:pos="9290" w:val="right" w:leader="dot"/>
            </w:tabs>
            <w:ind w:left="218"/>
          </w:pPr>
          <w:hyperlink w:history="true" w:anchor="_bookmark153">
            <w:r>
              <w:rPr/>
              <w:t>5.1A.1</w:t>
              <w:tab/>
              <w:t>Purpose</w:t>
            </w:r>
            <w:r>
              <w:rPr>
                <w:spacing w:val="-2"/>
              </w:rPr>
              <w:t> </w:t>
            </w:r>
            <w:r>
              <w:rPr/>
              <w:t>and Application</w:t>
              <w:tab/>
              <w:t>81</w:t>
            </w:r>
          </w:hyperlink>
        </w:p>
        <w:p>
          <w:pPr>
            <w:pStyle w:val="TOC3"/>
            <w:tabs>
              <w:tab w:pos="1919" w:val="left" w:leader="none"/>
              <w:tab w:pos="9290" w:val="right" w:leader="dot"/>
            </w:tabs>
            <w:ind w:left="218"/>
          </w:pPr>
          <w:hyperlink w:history="true" w:anchor="_bookmark154">
            <w:r>
              <w:rPr/>
              <w:t>5.1A.2</w:t>
              <w:tab/>
              <w:t>Principles</w:t>
              <w:tab/>
              <w:t>83</w:t>
            </w:r>
          </w:hyperlink>
        </w:p>
        <w:p>
          <w:pPr>
            <w:pStyle w:val="TOC3"/>
            <w:numPr>
              <w:ilvl w:val="1"/>
              <w:numId w:val="4"/>
            </w:numPr>
            <w:tabs>
              <w:tab w:pos="519" w:val="left" w:leader="none"/>
              <w:tab w:pos="1919" w:val="left" w:leader="none"/>
              <w:tab w:pos="9291" w:val="right" w:leader="dot"/>
            </w:tabs>
            <w:spacing w:line="240" w:lineRule="auto" w:before="0" w:after="0"/>
            <w:ind w:left="519" w:right="0" w:hanging="301"/>
            <w:jc w:val="left"/>
            <w:rPr>
              <w:sz w:val="22"/>
            </w:rPr>
          </w:pPr>
          <w:hyperlink w:history="true" w:anchor="_bookmark155">
            <w:r>
              <w:rPr/>
              <w:t>A.3</w:t>
              <w:tab/>
              <w:t>Dedicated connection asset</w:t>
            </w:r>
            <w:r>
              <w:rPr>
                <w:spacing w:val="-1"/>
              </w:rPr>
              <w:t> </w:t>
            </w:r>
            <w:r>
              <w:rPr/>
              <w:t>service providers</w:t>
              <w:tab/>
              <w:t>83</w:t>
            </w:r>
          </w:hyperlink>
        </w:p>
        <w:p>
          <w:pPr>
            <w:pStyle w:val="TOC2"/>
            <w:numPr>
              <w:ilvl w:val="1"/>
              <w:numId w:val="4"/>
            </w:numPr>
            <w:tabs>
              <w:tab w:pos="1919" w:val="left" w:leader="none"/>
              <w:tab w:pos="1920" w:val="left" w:leader="none"/>
              <w:tab w:pos="9290" w:val="right" w:leader="dot"/>
            </w:tabs>
            <w:spacing w:line="240" w:lineRule="auto" w:before="120" w:after="0"/>
            <w:ind w:left="1919" w:right="0" w:hanging="1702"/>
            <w:jc w:val="left"/>
          </w:pPr>
          <w:hyperlink w:history="true" w:anchor="_bookmark156">
            <w:r>
              <w:rPr/>
              <w:t>Obligations</w:t>
              <w:tab/>
              <w:t>84</w:t>
            </w:r>
          </w:hyperlink>
        </w:p>
        <w:p>
          <w:pPr>
            <w:pStyle w:val="TOC3"/>
            <w:numPr>
              <w:ilvl w:val="2"/>
              <w:numId w:val="4"/>
            </w:numPr>
            <w:tabs>
              <w:tab w:pos="1919" w:val="left" w:leader="none"/>
              <w:tab w:pos="1920" w:val="left" w:leader="none"/>
              <w:tab w:pos="9289" w:val="right" w:leader="dot"/>
            </w:tabs>
            <w:spacing w:line="240" w:lineRule="auto" w:before="0" w:after="0"/>
            <w:ind w:left="1919" w:right="0" w:hanging="1702"/>
            <w:jc w:val="left"/>
          </w:pPr>
          <w:hyperlink w:history="true" w:anchor="_bookmark157">
            <w:r>
              <w:rPr/>
              <w:t>Obligations of</w:t>
            </w:r>
            <w:r>
              <w:rPr>
                <w:spacing w:val="-1"/>
              </w:rPr>
              <w:t> </w:t>
            </w:r>
            <w:r>
              <w:rPr/>
              <w:t>Registered Participants</w:t>
              <w:tab/>
              <w:t>84</w:t>
            </w:r>
          </w:hyperlink>
        </w:p>
        <w:p>
          <w:pPr>
            <w:pStyle w:val="TOC3"/>
            <w:numPr>
              <w:ilvl w:val="2"/>
              <w:numId w:val="4"/>
            </w:numPr>
            <w:tabs>
              <w:tab w:pos="1919" w:val="left" w:leader="none"/>
              <w:tab w:pos="1920" w:val="left" w:leader="none"/>
              <w:tab w:pos="9290" w:val="right" w:leader="dot"/>
            </w:tabs>
            <w:spacing w:line="240" w:lineRule="auto" w:before="0" w:after="0"/>
            <w:ind w:left="1919" w:right="0" w:hanging="1702"/>
            <w:jc w:val="left"/>
          </w:pPr>
          <w:hyperlink w:history="true" w:anchor="_bookmark158">
            <w:r>
              <w:rPr/>
              <w:t>Connection</w:t>
            </w:r>
            <w:r>
              <w:rPr>
                <w:spacing w:val="-1"/>
              </w:rPr>
              <w:t> </w:t>
            </w:r>
            <w:r>
              <w:rPr/>
              <w:t>agreements</w:t>
              <w:tab/>
              <w:t>84</w:t>
            </w:r>
          </w:hyperlink>
        </w:p>
        <w:p>
          <w:pPr>
            <w:pStyle w:val="TOC3"/>
            <w:numPr>
              <w:ilvl w:val="2"/>
              <w:numId w:val="4"/>
            </w:numPr>
            <w:tabs>
              <w:tab w:pos="1919" w:val="left" w:leader="none"/>
              <w:tab w:pos="1920" w:val="left" w:leader="none"/>
              <w:tab w:pos="9290" w:val="right" w:leader="dot"/>
            </w:tabs>
            <w:spacing w:line="240" w:lineRule="auto" w:before="0" w:after="0"/>
            <w:ind w:left="1919" w:right="0" w:hanging="1702"/>
            <w:jc w:val="left"/>
          </w:pPr>
          <w:hyperlink w:history="true" w:anchor="_bookmark159">
            <w:r>
              <w:rPr/>
              <w:t>Obligations of network</w:t>
            </w:r>
            <w:r>
              <w:rPr>
                <w:spacing w:val="-1"/>
              </w:rPr>
              <w:t> </w:t>
            </w:r>
            <w:r>
              <w:rPr/>
              <w:t>service</w:t>
            </w:r>
            <w:r>
              <w:rPr>
                <w:spacing w:val="-1"/>
              </w:rPr>
              <w:t> </w:t>
            </w:r>
            <w:r>
              <w:rPr/>
              <w:t>providers</w:t>
              <w:tab/>
              <w:t>85</w:t>
            </w:r>
          </w:hyperlink>
        </w:p>
        <w:p>
          <w:pPr>
            <w:pStyle w:val="TOC3"/>
            <w:numPr>
              <w:ilvl w:val="2"/>
              <w:numId w:val="5"/>
            </w:numPr>
            <w:tabs>
              <w:tab w:pos="699" w:val="left" w:leader="none"/>
              <w:tab w:pos="1919" w:val="left" w:leader="none"/>
              <w:tab w:pos="9288" w:val="right" w:leader="dot"/>
            </w:tabs>
            <w:spacing w:line="240" w:lineRule="auto" w:before="0" w:after="0"/>
            <w:ind w:left="699" w:right="0" w:hanging="481"/>
            <w:jc w:val="left"/>
          </w:pPr>
          <w:hyperlink w:history="true" w:anchor="_bookmark160">
            <w:r>
              <w:rPr/>
              <w:t>A</w:t>
              <w:tab/>
              <w:t>Obligations of Market Network</w:t>
            </w:r>
            <w:r>
              <w:rPr>
                <w:spacing w:val="-5"/>
              </w:rPr>
              <w:t> </w:t>
            </w:r>
            <w:r>
              <w:rPr/>
              <w:t>Service</w:t>
            </w:r>
            <w:r>
              <w:rPr>
                <w:spacing w:val="-1"/>
              </w:rPr>
              <w:t> </w:t>
            </w:r>
            <w:r>
              <w:rPr/>
              <w:t>Providers</w:t>
              <w:tab/>
              <w:t>90</w:t>
            </w:r>
          </w:hyperlink>
        </w:p>
        <w:p>
          <w:pPr>
            <w:pStyle w:val="TOC3"/>
            <w:numPr>
              <w:ilvl w:val="2"/>
              <w:numId w:val="5"/>
            </w:numPr>
            <w:tabs>
              <w:tab w:pos="1919" w:val="left" w:leader="none"/>
              <w:tab w:pos="1920" w:val="left" w:leader="none"/>
              <w:tab w:pos="9290" w:val="right" w:leader="dot"/>
            </w:tabs>
            <w:spacing w:line="240" w:lineRule="auto" w:before="0" w:after="0"/>
            <w:ind w:left="1919" w:right="0" w:hanging="1702"/>
            <w:jc w:val="left"/>
          </w:pPr>
          <w:hyperlink w:history="true" w:anchor="_bookmark161">
            <w:r>
              <w:rPr/>
              <w:t>Obligations</w:t>
            </w:r>
            <w:r>
              <w:rPr>
                <w:spacing w:val="-1"/>
              </w:rPr>
              <w:t> </w:t>
            </w:r>
            <w:r>
              <w:rPr/>
              <w:t>of customers</w:t>
              <w:tab/>
              <w:t>91</w:t>
            </w:r>
          </w:hyperlink>
        </w:p>
        <w:p>
          <w:pPr>
            <w:pStyle w:val="TOC3"/>
            <w:numPr>
              <w:ilvl w:val="2"/>
              <w:numId w:val="5"/>
            </w:numPr>
            <w:tabs>
              <w:tab w:pos="1919" w:val="left" w:leader="none"/>
              <w:tab w:pos="1920" w:val="left" w:leader="none"/>
              <w:tab w:pos="9290" w:val="right" w:leader="dot"/>
            </w:tabs>
            <w:spacing w:line="240" w:lineRule="auto" w:before="0" w:after="0"/>
            <w:ind w:left="1919" w:right="0" w:hanging="1702"/>
            <w:jc w:val="left"/>
          </w:pPr>
          <w:hyperlink w:history="true" w:anchor="_bookmark162">
            <w:r>
              <w:rPr/>
              <w:t>Obligations</w:t>
            </w:r>
            <w:r>
              <w:rPr>
                <w:spacing w:val="-1"/>
              </w:rPr>
              <w:t> </w:t>
            </w:r>
            <w:r>
              <w:rPr/>
              <w:t>of Generators</w:t>
              <w:tab/>
              <w:t>93</w:t>
            </w:r>
          </w:hyperlink>
        </w:p>
        <w:p>
          <w:pPr>
            <w:pStyle w:val="TOC3"/>
            <w:numPr>
              <w:ilvl w:val="2"/>
              <w:numId w:val="5"/>
            </w:numPr>
            <w:tabs>
              <w:tab w:pos="1919" w:val="left" w:leader="none"/>
              <w:tab w:pos="1920" w:val="left" w:leader="none"/>
              <w:tab w:pos="9290" w:val="right" w:leader="dot"/>
            </w:tabs>
            <w:spacing w:line="240" w:lineRule="auto" w:before="0" w:after="0"/>
            <w:ind w:left="1919" w:right="0" w:hanging="1702"/>
            <w:jc w:val="left"/>
          </w:pPr>
          <w:hyperlink w:history="true" w:anchor="_bookmark163">
            <w:r>
              <w:rPr/>
              <w:t>Obligations</w:t>
            </w:r>
            <w:r>
              <w:rPr>
                <w:spacing w:val="-1"/>
              </w:rPr>
              <w:t> </w:t>
            </w:r>
            <w:r>
              <w:rPr/>
              <w:t>of AEMO</w:t>
              <w:tab/>
              <w:t>94</w:t>
            </w:r>
          </w:hyperlink>
        </w:p>
        <w:p>
          <w:pPr>
            <w:pStyle w:val="TOC3"/>
            <w:numPr>
              <w:ilvl w:val="2"/>
              <w:numId w:val="6"/>
            </w:numPr>
            <w:tabs>
              <w:tab w:pos="699" w:val="left" w:leader="none"/>
              <w:tab w:pos="1919" w:val="left" w:leader="none"/>
              <w:tab w:pos="9290" w:val="right" w:leader="dot"/>
            </w:tabs>
            <w:spacing w:line="240" w:lineRule="auto" w:before="0" w:after="0"/>
            <w:ind w:left="699" w:right="0" w:hanging="481"/>
            <w:jc w:val="left"/>
          </w:pPr>
          <w:hyperlink w:history="true" w:anchor="_bookmark164">
            <w:r>
              <w:rPr/>
              <w:t>A</w:t>
              <w:tab/>
              <w:t>AEMO review of technical requirements</w:t>
            </w:r>
            <w:r>
              <w:rPr>
                <w:spacing w:val="-4"/>
              </w:rPr>
              <w:t> </w:t>
            </w:r>
            <w:r>
              <w:rPr/>
              <w:t>for connection</w:t>
              <w:tab/>
              <w:t>95</w:t>
            </w:r>
          </w:hyperlink>
        </w:p>
        <w:p>
          <w:pPr>
            <w:pStyle w:val="TOC3"/>
            <w:numPr>
              <w:ilvl w:val="2"/>
              <w:numId w:val="6"/>
            </w:numPr>
            <w:tabs>
              <w:tab w:pos="1919" w:val="left" w:leader="none"/>
              <w:tab w:pos="1920" w:val="left" w:leader="none"/>
              <w:tab w:pos="9289" w:val="right" w:leader="dot"/>
            </w:tabs>
            <w:spacing w:line="240" w:lineRule="auto" w:before="0" w:after="0"/>
            <w:ind w:left="1919" w:right="0" w:hanging="1702"/>
            <w:jc w:val="left"/>
          </w:pPr>
          <w:hyperlink w:history="true" w:anchor="_bookmark165">
            <w:r>
              <w:rPr/>
              <w:t>Obligations of Dedicated Connection Asset</w:t>
            </w:r>
            <w:r>
              <w:rPr>
                <w:spacing w:val="-7"/>
              </w:rPr>
              <w:t> </w:t>
            </w:r>
            <w:r>
              <w:rPr/>
              <w:t>Service</w:t>
            </w:r>
            <w:r>
              <w:rPr>
                <w:spacing w:val="-1"/>
              </w:rPr>
              <w:t> </w:t>
            </w:r>
            <w:r>
              <w:rPr/>
              <w:t>Providers</w:t>
              <w:tab/>
              <w:t>95</w:t>
            </w:r>
          </w:hyperlink>
        </w:p>
        <w:p>
          <w:pPr>
            <w:pStyle w:val="TOC2"/>
            <w:tabs>
              <w:tab w:pos="1919" w:val="left" w:leader="none"/>
              <w:tab w:pos="9291" w:val="right" w:leader="dot"/>
            </w:tabs>
            <w:spacing w:after="240"/>
          </w:pPr>
          <w:hyperlink w:history="true" w:anchor="_bookmark166">
            <w:r>
              <w:rPr/>
              <w:t>5.2A</w:t>
              <w:tab/>
              <w:t>Transmission network connection</w:t>
            </w:r>
            <w:r>
              <w:rPr>
                <w:spacing w:val="-3"/>
              </w:rPr>
              <w:t> </w:t>
            </w:r>
            <w:r>
              <w:rPr/>
              <w:t>and access</w:t>
              <w:tab/>
              <w:t>96</w:t>
            </w:r>
          </w:hyperlink>
        </w:p>
        <w:p>
          <w:pPr>
            <w:pStyle w:val="TOC3"/>
            <w:tabs>
              <w:tab w:pos="1919" w:val="left" w:leader="none"/>
              <w:tab w:pos="9050" w:val="left" w:leader="dot"/>
            </w:tabs>
            <w:spacing w:before="83"/>
            <w:ind w:left="218"/>
          </w:pPr>
          <w:hyperlink w:history="true" w:anchor="_bookmark167">
            <w:r>
              <w:rPr/>
              <w:t>5.2A.1</w:t>
              <w:tab/>
              <w:t>Application</w:t>
              <w:tab/>
              <w:t>96</w:t>
            </w:r>
          </w:hyperlink>
        </w:p>
        <w:p>
          <w:pPr>
            <w:pStyle w:val="TOC3"/>
            <w:tabs>
              <w:tab w:pos="1919" w:val="left" w:leader="none"/>
              <w:tab w:pos="9051" w:val="left" w:leader="dot"/>
            </w:tabs>
            <w:ind w:left="218"/>
          </w:pPr>
          <w:hyperlink w:history="true" w:anchor="_bookmark168">
            <w:r>
              <w:rPr/>
              <w:t>5.2A.2</w:t>
              <w:tab/>
              <w:t>Relevant</w:t>
            </w:r>
            <w:r>
              <w:rPr>
                <w:spacing w:val="-1"/>
              </w:rPr>
              <w:t> </w:t>
            </w:r>
            <w:r>
              <w:rPr/>
              <w:t>assets</w:t>
              <w:tab/>
              <w:t>96</w:t>
            </w:r>
          </w:hyperlink>
        </w:p>
        <w:p>
          <w:pPr>
            <w:pStyle w:val="TOC3"/>
            <w:tabs>
              <w:tab w:pos="1919" w:val="left" w:leader="none"/>
              <w:tab w:pos="9051" w:val="left" w:leader="dot"/>
            </w:tabs>
            <w:ind w:left="218"/>
          </w:pPr>
          <w:hyperlink w:history="true" w:anchor="_bookmark169">
            <w:r>
              <w:rPr/>
              <w:t>5.2A.3</w:t>
              <w:tab/>
              <w:t>Connection and access to</w:t>
            </w:r>
            <w:r>
              <w:rPr>
                <w:spacing w:val="-5"/>
              </w:rPr>
              <w:t> </w:t>
            </w:r>
            <w:r>
              <w:rPr/>
              <w:t>transmission</w:t>
            </w:r>
            <w:r>
              <w:rPr>
                <w:spacing w:val="-2"/>
              </w:rPr>
              <w:t> </w:t>
            </w:r>
            <w:r>
              <w:rPr/>
              <w:t>services</w:t>
              <w:tab/>
              <w:t>97</w:t>
            </w:r>
          </w:hyperlink>
        </w:p>
        <w:p>
          <w:pPr>
            <w:pStyle w:val="TOC3"/>
            <w:tabs>
              <w:tab w:pos="1919" w:val="left" w:leader="none"/>
              <w:tab w:pos="9050" w:val="left" w:leader="dot"/>
            </w:tabs>
            <w:ind w:left="218"/>
          </w:pPr>
          <w:hyperlink w:history="true" w:anchor="_bookmark170">
            <w:r>
              <w:rPr/>
              <w:t>5.2A.4</w:t>
              <w:tab/>
              <w:t>Transmission services related</w:t>
            </w:r>
            <w:r>
              <w:rPr>
                <w:spacing w:val="-6"/>
              </w:rPr>
              <w:t> </w:t>
            </w:r>
            <w:r>
              <w:rPr/>
              <w:t>to</w:t>
            </w:r>
            <w:r>
              <w:rPr>
                <w:spacing w:val="-2"/>
              </w:rPr>
              <w:t> </w:t>
            </w:r>
            <w:r>
              <w:rPr/>
              <w:t>connection</w:t>
              <w:tab/>
              <w:t>99</w:t>
            </w:r>
          </w:hyperlink>
        </w:p>
        <w:p>
          <w:pPr>
            <w:pStyle w:val="TOC3"/>
            <w:tabs>
              <w:tab w:pos="1919" w:val="left" w:leader="none"/>
              <w:tab w:pos="8931" w:val="left" w:leader="dot"/>
            </w:tabs>
            <w:ind w:left="218"/>
          </w:pPr>
          <w:hyperlink w:history="true" w:anchor="_bookmark171">
            <w:r>
              <w:rPr/>
              <w:t>5.2A.5</w:t>
              <w:tab/>
              <w:t>Publication and provision</w:t>
            </w:r>
            <w:r>
              <w:rPr>
                <w:spacing w:val="-6"/>
              </w:rPr>
              <w:t> </w:t>
            </w:r>
            <w:r>
              <w:rPr/>
              <w:t>of</w:t>
            </w:r>
            <w:r>
              <w:rPr>
                <w:spacing w:val="-2"/>
              </w:rPr>
              <w:t> </w:t>
            </w:r>
            <w:r>
              <w:rPr/>
              <w:t>information</w:t>
              <w:tab/>
              <w:t>102</w:t>
            </w:r>
          </w:hyperlink>
        </w:p>
        <w:p>
          <w:pPr>
            <w:pStyle w:val="TOC3"/>
            <w:tabs>
              <w:tab w:pos="1919" w:val="left" w:leader="none"/>
              <w:tab w:pos="8931" w:val="left" w:leader="dot"/>
            </w:tabs>
            <w:ind w:left="218"/>
          </w:pPr>
          <w:hyperlink w:history="true" w:anchor="_bookmark172">
            <w:r>
              <w:rPr/>
              <w:t>5.2A.6</w:t>
              <w:tab/>
              <w:t>Negotiating</w:t>
            </w:r>
            <w:r>
              <w:rPr>
                <w:spacing w:val="-2"/>
              </w:rPr>
              <w:t> </w:t>
            </w:r>
            <w:r>
              <w:rPr/>
              <w:t>principles</w:t>
              <w:tab/>
              <w:t>102</w:t>
            </w:r>
          </w:hyperlink>
        </w:p>
        <w:p>
          <w:pPr>
            <w:pStyle w:val="TOC3"/>
            <w:tabs>
              <w:tab w:pos="1919" w:val="left" w:leader="none"/>
              <w:tab w:pos="8930" w:val="left" w:leader="dot"/>
            </w:tabs>
            <w:ind w:left="218"/>
          </w:pPr>
          <w:hyperlink w:history="true" w:anchor="_bookmark173">
            <w:r>
              <w:rPr/>
              <w:t>5.2A.7</w:t>
              <w:tab/>
              <w:t>Third</w:t>
            </w:r>
            <w:r>
              <w:rPr>
                <w:spacing w:val="-1"/>
              </w:rPr>
              <w:t> </w:t>
            </w:r>
            <w:r>
              <w:rPr/>
              <w:t>party IUSAs</w:t>
              <w:tab/>
              <w:t>103</w:t>
            </w:r>
          </w:hyperlink>
        </w:p>
        <w:p>
          <w:pPr>
            <w:pStyle w:val="TOC3"/>
            <w:numPr>
              <w:ilvl w:val="1"/>
              <w:numId w:val="7"/>
            </w:numPr>
            <w:tabs>
              <w:tab w:pos="519" w:val="left" w:leader="none"/>
              <w:tab w:pos="1919" w:val="left" w:leader="none"/>
              <w:tab w:pos="8932" w:val="left" w:leader="dot"/>
            </w:tabs>
            <w:spacing w:line="240" w:lineRule="auto" w:before="0" w:after="0"/>
            <w:ind w:left="519" w:right="0" w:hanging="301"/>
            <w:jc w:val="left"/>
            <w:rPr>
              <w:sz w:val="22"/>
            </w:rPr>
          </w:pPr>
          <w:hyperlink w:history="true" w:anchor="_bookmark174">
            <w:r>
              <w:rPr/>
              <w:t>A.8</w:t>
              <w:tab/>
              <w:t>Access framework for large dedicated</w:t>
            </w:r>
            <w:r>
              <w:rPr>
                <w:spacing w:val="-4"/>
              </w:rPr>
              <w:t> </w:t>
            </w:r>
            <w:r>
              <w:rPr/>
              <w:t>connection</w:t>
            </w:r>
            <w:r>
              <w:rPr>
                <w:spacing w:val="-1"/>
              </w:rPr>
              <w:t> </w:t>
            </w:r>
            <w:r>
              <w:rPr/>
              <w:t>assets</w:t>
              <w:tab/>
              <w:t>104</w:t>
            </w:r>
          </w:hyperlink>
        </w:p>
        <w:p>
          <w:pPr>
            <w:pStyle w:val="TOC2"/>
            <w:numPr>
              <w:ilvl w:val="1"/>
              <w:numId w:val="7"/>
            </w:numPr>
            <w:tabs>
              <w:tab w:pos="1919" w:val="left" w:leader="none"/>
              <w:tab w:pos="1920" w:val="left" w:leader="none"/>
              <w:tab w:pos="8930" w:val="left" w:leader="dot"/>
            </w:tabs>
            <w:spacing w:line="240" w:lineRule="auto" w:before="120" w:after="0"/>
            <w:ind w:left="1919" w:right="0" w:hanging="1702"/>
            <w:jc w:val="left"/>
          </w:pPr>
          <w:hyperlink w:history="true" w:anchor="_bookmark175">
            <w:r>
              <w:rPr/>
              <w:t>Establishing or</w:t>
            </w:r>
            <w:r>
              <w:rPr>
                <w:spacing w:val="-4"/>
              </w:rPr>
              <w:t> </w:t>
            </w:r>
            <w:r>
              <w:rPr/>
              <w:t>Modifying</w:t>
            </w:r>
            <w:r>
              <w:rPr>
                <w:spacing w:val="-2"/>
              </w:rPr>
              <w:t> </w:t>
            </w:r>
            <w:r>
              <w:rPr/>
              <w:t>Connection</w:t>
              <w:tab/>
              <w:t>106</w:t>
            </w:r>
          </w:hyperlink>
        </w:p>
        <w:p>
          <w:pPr>
            <w:pStyle w:val="TOC3"/>
            <w:numPr>
              <w:ilvl w:val="2"/>
              <w:numId w:val="7"/>
            </w:numPr>
            <w:tabs>
              <w:tab w:pos="1919" w:val="left" w:leader="none"/>
              <w:tab w:pos="1920" w:val="left" w:leader="none"/>
              <w:tab w:pos="8930" w:val="left" w:leader="dot"/>
            </w:tabs>
            <w:spacing w:line="240" w:lineRule="auto" w:before="0" w:after="0"/>
            <w:ind w:left="1919" w:right="0" w:hanging="1702"/>
            <w:jc w:val="left"/>
          </w:pPr>
          <w:hyperlink w:history="true" w:anchor="_bookmark176">
            <w:r>
              <w:rPr/>
              <w:t>Process</w:t>
            </w:r>
            <w:r>
              <w:rPr>
                <w:spacing w:val="-3"/>
              </w:rPr>
              <w:t> </w:t>
            </w:r>
            <w:r>
              <w:rPr/>
              <w:t>and</w:t>
            </w:r>
            <w:r>
              <w:rPr>
                <w:spacing w:val="-2"/>
              </w:rPr>
              <w:t> </w:t>
            </w:r>
            <w:r>
              <w:rPr/>
              <w:t>procedures</w:t>
              <w:tab/>
              <w:t>106</w:t>
            </w:r>
          </w:hyperlink>
        </w:p>
        <w:p>
          <w:pPr>
            <w:pStyle w:val="TOC3"/>
            <w:numPr>
              <w:ilvl w:val="2"/>
              <w:numId w:val="8"/>
            </w:numPr>
            <w:tabs>
              <w:tab w:pos="699" w:val="left" w:leader="none"/>
              <w:tab w:pos="1919" w:val="left" w:leader="none"/>
              <w:tab w:pos="8931" w:val="left" w:leader="dot"/>
            </w:tabs>
            <w:spacing w:line="240" w:lineRule="auto" w:before="0" w:after="0"/>
            <w:ind w:left="699" w:right="0" w:hanging="481"/>
            <w:jc w:val="left"/>
          </w:pPr>
          <w:hyperlink w:history="true" w:anchor="_bookmark177">
            <w:r>
              <w:rPr/>
              <w:t>A</w:t>
              <w:tab/>
              <w:t>Application of rule to connection of embedded</w:t>
            </w:r>
            <w:r>
              <w:rPr>
                <w:spacing w:val="-6"/>
              </w:rPr>
              <w:t> </w:t>
            </w:r>
            <w:r>
              <w:rPr/>
              <w:t>generating</w:t>
            </w:r>
            <w:r>
              <w:rPr>
                <w:spacing w:val="-1"/>
              </w:rPr>
              <w:t> </w:t>
            </w:r>
            <w:r>
              <w:rPr/>
              <w:t>units</w:t>
              <w:tab/>
              <w:t>107</w:t>
            </w:r>
          </w:hyperlink>
        </w:p>
        <w:p>
          <w:pPr>
            <w:pStyle w:val="TOC3"/>
            <w:numPr>
              <w:ilvl w:val="2"/>
              <w:numId w:val="8"/>
            </w:numPr>
            <w:tabs>
              <w:tab w:pos="1919" w:val="left" w:leader="none"/>
              <w:tab w:pos="1920" w:val="left" w:leader="none"/>
              <w:tab w:pos="8930" w:val="left" w:leader="dot"/>
            </w:tabs>
            <w:spacing w:line="240" w:lineRule="auto" w:before="0" w:after="0"/>
            <w:ind w:left="1919" w:right="0" w:hanging="1702"/>
            <w:jc w:val="left"/>
          </w:pPr>
          <w:hyperlink w:history="true" w:anchor="_bookmark178">
            <w:r>
              <w:rPr/>
              <w:t>Connection</w:t>
            </w:r>
            <w:r>
              <w:rPr>
                <w:spacing w:val="-1"/>
              </w:rPr>
              <w:t> </w:t>
            </w:r>
            <w:r>
              <w:rPr/>
              <w:t>enquiry</w:t>
              <w:tab/>
              <w:t>107</w:t>
            </w:r>
          </w:hyperlink>
        </w:p>
        <w:p>
          <w:pPr>
            <w:pStyle w:val="TOC3"/>
            <w:numPr>
              <w:ilvl w:val="2"/>
              <w:numId w:val="8"/>
            </w:numPr>
            <w:tabs>
              <w:tab w:pos="1919" w:val="left" w:leader="none"/>
              <w:tab w:pos="1920" w:val="left" w:leader="none"/>
              <w:tab w:pos="8931" w:val="left" w:leader="dot"/>
            </w:tabs>
            <w:spacing w:line="240" w:lineRule="auto" w:before="0" w:after="0"/>
            <w:ind w:left="1919" w:right="0" w:hanging="1702"/>
            <w:jc w:val="left"/>
          </w:pPr>
          <w:hyperlink w:history="true" w:anchor="_bookmark179">
            <w:r>
              <w:rPr/>
              <w:t>Response to</w:t>
            </w:r>
            <w:r>
              <w:rPr>
                <w:spacing w:val="-1"/>
              </w:rPr>
              <w:t> </w:t>
            </w:r>
            <w:r>
              <w:rPr/>
              <w:t>connection</w:t>
            </w:r>
            <w:r>
              <w:rPr>
                <w:spacing w:val="-2"/>
              </w:rPr>
              <w:t> </w:t>
            </w:r>
            <w:r>
              <w:rPr/>
              <w:t>enquiry</w:t>
              <w:tab/>
              <w:t>108</w:t>
            </w:r>
          </w:hyperlink>
        </w:p>
        <w:p>
          <w:pPr>
            <w:pStyle w:val="TOC3"/>
            <w:numPr>
              <w:ilvl w:val="2"/>
              <w:numId w:val="8"/>
            </w:numPr>
            <w:tabs>
              <w:tab w:pos="1919" w:val="left" w:leader="none"/>
              <w:tab w:pos="1920" w:val="left" w:leader="none"/>
              <w:tab w:pos="8931" w:val="left" w:leader="dot"/>
            </w:tabs>
            <w:spacing w:line="240" w:lineRule="auto" w:before="0" w:after="0"/>
            <w:ind w:left="1919" w:right="0" w:hanging="1702"/>
            <w:jc w:val="left"/>
          </w:pPr>
          <w:hyperlink w:history="true" w:anchor="_bookmark180">
            <w:r>
              <w:rPr/>
              <w:t>Application</w:t>
            </w:r>
            <w:r>
              <w:rPr>
                <w:spacing w:val="-2"/>
              </w:rPr>
              <w:t> </w:t>
            </w:r>
            <w:r>
              <w:rPr/>
              <w:t>for</w:t>
            </w:r>
            <w:r>
              <w:rPr>
                <w:spacing w:val="-1"/>
              </w:rPr>
              <w:t> </w:t>
            </w:r>
            <w:r>
              <w:rPr/>
              <w:t>connection</w:t>
              <w:tab/>
              <w:t>112</w:t>
            </w:r>
          </w:hyperlink>
        </w:p>
        <w:p>
          <w:pPr>
            <w:pStyle w:val="TOC3"/>
            <w:tabs>
              <w:tab w:pos="1919" w:val="left" w:leader="none"/>
              <w:tab w:pos="8931" w:val="left" w:leader="dot"/>
            </w:tabs>
            <w:ind w:left="218"/>
          </w:pPr>
          <w:hyperlink w:history="true" w:anchor="_bookmark181">
            <w:r>
              <w:rPr/>
              <w:t>5.3.4A</w:t>
              <w:tab/>
              <w:t>Negotiated</w:t>
            </w:r>
            <w:r>
              <w:rPr>
                <w:spacing w:val="-2"/>
              </w:rPr>
              <w:t> </w:t>
            </w:r>
            <w:r>
              <w:rPr/>
              <w:t>access</w:t>
            </w:r>
            <w:r>
              <w:rPr>
                <w:spacing w:val="-2"/>
              </w:rPr>
              <w:t> </w:t>
            </w:r>
            <w:r>
              <w:rPr/>
              <w:t>standards</w:t>
              <w:tab/>
              <w:t>114</w:t>
            </w:r>
          </w:hyperlink>
        </w:p>
        <w:p>
          <w:pPr>
            <w:pStyle w:val="TOC3"/>
            <w:numPr>
              <w:ilvl w:val="2"/>
              <w:numId w:val="9"/>
            </w:numPr>
            <w:tabs>
              <w:tab w:pos="699" w:val="left" w:leader="none"/>
              <w:tab w:pos="1919" w:val="left" w:leader="none"/>
              <w:tab w:pos="8930" w:val="left" w:leader="dot"/>
            </w:tabs>
            <w:spacing w:line="240" w:lineRule="auto" w:before="0" w:after="0"/>
            <w:ind w:left="699" w:right="0" w:hanging="481"/>
            <w:jc w:val="left"/>
          </w:pPr>
          <w:hyperlink w:history="true" w:anchor="_bookmark182">
            <w:r>
              <w:rPr/>
              <w:t>B</w:t>
              <w:tab/>
              <w:t>System strength remediation for</w:t>
            </w:r>
            <w:r>
              <w:rPr>
                <w:spacing w:val="-9"/>
              </w:rPr>
              <w:t> </w:t>
            </w:r>
            <w:r>
              <w:rPr/>
              <w:t>new</w:t>
            </w:r>
            <w:r>
              <w:rPr>
                <w:spacing w:val="-2"/>
              </w:rPr>
              <w:t> </w:t>
            </w:r>
            <w:r>
              <w:rPr/>
              <w:t>connections</w:t>
              <w:tab/>
              <w:t>117</w:t>
            </w:r>
          </w:hyperlink>
        </w:p>
        <w:p>
          <w:pPr>
            <w:pStyle w:val="TOC3"/>
            <w:numPr>
              <w:ilvl w:val="2"/>
              <w:numId w:val="9"/>
            </w:numPr>
            <w:tabs>
              <w:tab w:pos="1919" w:val="left" w:leader="none"/>
              <w:tab w:pos="1920" w:val="left" w:leader="none"/>
              <w:tab w:pos="8930" w:val="left" w:leader="dot"/>
            </w:tabs>
            <w:spacing w:line="240" w:lineRule="auto" w:before="0" w:after="0"/>
            <w:ind w:left="1919" w:right="0" w:hanging="1702"/>
            <w:jc w:val="left"/>
          </w:pPr>
          <w:hyperlink w:history="true" w:anchor="_bookmark183">
            <w:r>
              <w:rPr/>
              <w:t>Preparation of offer</w:t>
            </w:r>
            <w:r>
              <w:rPr>
                <w:spacing w:val="-3"/>
              </w:rPr>
              <w:t> </w:t>
            </w:r>
            <w:r>
              <w:rPr/>
              <w:t>to</w:t>
            </w:r>
            <w:r>
              <w:rPr>
                <w:spacing w:val="-1"/>
              </w:rPr>
              <w:t> </w:t>
            </w:r>
            <w:r>
              <w:rPr/>
              <w:t>connect</w:t>
              <w:tab/>
              <w:t>120</w:t>
            </w:r>
          </w:hyperlink>
        </w:p>
        <w:p>
          <w:pPr>
            <w:pStyle w:val="TOC3"/>
            <w:numPr>
              <w:ilvl w:val="2"/>
              <w:numId w:val="9"/>
            </w:numPr>
            <w:tabs>
              <w:tab w:pos="1919" w:val="left" w:leader="none"/>
              <w:tab w:pos="1920" w:val="left" w:leader="none"/>
              <w:tab w:pos="8930" w:val="left" w:leader="dot"/>
            </w:tabs>
            <w:spacing w:line="240" w:lineRule="auto" w:before="0" w:after="0"/>
            <w:ind w:left="1919" w:right="0" w:hanging="1702"/>
            <w:jc w:val="left"/>
          </w:pPr>
          <w:hyperlink w:history="true" w:anchor="_bookmark184">
            <w:r>
              <w:rPr/>
              <w:t>Offer</w:t>
            </w:r>
            <w:r>
              <w:rPr>
                <w:spacing w:val="-2"/>
              </w:rPr>
              <w:t> </w:t>
            </w:r>
            <w:r>
              <w:rPr/>
              <w:t>to</w:t>
            </w:r>
            <w:r>
              <w:rPr>
                <w:spacing w:val="-1"/>
              </w:rPr>
              <w:t> </w:t>
            </w:r>
            <w:r>
              <w:rPr/>
              <w:t>connect</w:t>
              <w:tab/>
              <w:t>121</w:t>
            </w:r>
          </w:hyperlink>
        </w:p>
        <w:p>
          <w:pPr>
            <w:pStyle w:val="TOC3"/>
            <w:numPr>
              <w:ilvl w:val="2"/>
              <w:numId w:val="9"/>
            </w:numPr>
            <w:tabs>
              <w:tab w:pos="1919" w:val="left" w:leader="none"/>
              <w:tab w:pos="1920" w:val="left" w:leader="none"/>
              <w:tab w:pos="8931" w:val="left" w:leader="dot"/>
            </w:tabs>
            <w:spacing w:line="240" w:lineRule="auto" w:before="0" w:after="0"/>
            <w:ind w:left="1919" w:right="413" w:hanging="1701"/>
            <w:jc w:val="left"/>
          </w:pPr>
          <w:hyperlink w:history="true" w:anchor="_bookmark185">
            <w:r>
              <w:rPr/>
              <w:t>Finalisation  of  connection  agreements  and  network  operating</w:t>
            </w:r>
          </w:hyperlink>
          <w:hyperlink w:history="true" w:anchor="_bookmark185">
            <w:r>
              <w:rPr/>
              <w:t> agreements</w:t>
              <w:tab/>
            </w:r>
            <w:r>
              <w:rPr>
                <w:spacing w:val="-6"/>
              </w:rPr>
              <w:t>124</w:t>
            </w:r>
          </w:hyperlink>
        </w:p>
        <w:p>
          <w:pPr>
            <w:pStyle w:val="TOC3"/>
            <w:numPr>
              <w:ilvl w:val="2"/>
              <w:numId w:val="9"/>
            </w:numPr>
            <w:tabs>
              <w:tab w:pos="1919" w:val="left" w:leader="none"/>
              <w:tab w:pos="1920" w:val="left" w:leader="none"/>
              <w:tab w:pos="8931" w:val="left" w:leader="dot"/>
            </w:tabs>
            <w:spacing w:line="240" w:lineRule="auto" w:before="0" w:after="0"/>
            <w:ind w:left="1919" w:right="0" w:hanging="1702"/>
            <w:jc w:val="left"/>
          </w:pPr>
          <w:hyperlink w:history="true" w:anchor="_bookmark186">
            <w:r>
              <w:rPr/>
              <w:t>Provision and use</w:t>
            </w:r>
            <w:r>
              <w:rPr>
                <w:spacing w:val="-3"/>
              </w:rPr>
              <w:t> </w:t>
            </w:r>
            <w:r>
              <w:rPr/>
              <w:t>of</w:t>
            </w:r>
            <w:r>
              <w:rPr>
                <w:spacing w:val="-1"/>
              </w:rPr>
              <w:t> </w:t>
            </w:r>
            <w:r>
              <w:rPr/>
              <w:t>information</w:t>
              <w:tab/>
              <w:t>126</w:t>
            </w:r>
          </w:hyperlink>
        </w:p>
        <w:p>
          <w:pPr>
            <w:pStyle w:val="TOC3"/>
            <w:numPr>
              <w:ilvl w:val="2"/>
              <w:numId w:val="9"/>
            </w:numPr>
            <w:tabs>
              <w:tab w:pos="1919" w:val="left" w:leader="none"/>
              <w:tab w:pos="1920" w:val="left" w:leader="none"/>
              <w:tab w:pos="8931" w:val="left" w:leader="dot"/>
            </w:tabs>
            <w:spacing w:line="240" w:lineRule="auto" w:before="0" w:after="0"/>
            <w:ind w:left="1919" w:right="413" w:hanging="1701"/>
            <w:jc w:val="left"/>
          </w:pPr>
          <w:hyperlink w:history="true" w:anchor="_bookmark187">
            <w:r>
              <w:rPr/>
              <w:t>Procedure to be  followed  by  a  Generator  proposing  to  alter  a</w:t>
            </w:r>
          </w:hyperlink>
          <w:r>
            <w:rPr/>
            <w:t> </w:t>
          </w:r>
          <w:hyperlink w:history="true" w:anchor="_bookmark187">
            <w:r>
              <w:rPr/>
              <w:t> generating</w:t>
            </w:r>
            <w:r>
              <w:rPr>
                <w:spacing w:val="-2"/>
              </w:rPr>
              <w:t> </w:t>
            </w:r>
            <w:r>
              <w:rPr/>
              <w:t>system</w:t>
              <w:tab/>
            </w:r>
            <w:r>
              <w:rPr>
                <w:spacing w:val="-6"/>
              </w:rPr>
              <w:t>128</w:t>
            </w:r>
          </w:hyperlink>
        </w:p>
        <w:p>
          <w:pPr>
            <w:pStyle w:val="TOC3"/>
            <w:numPr>
              <w:ilvl w:val="2"/>
              <w:numId w:val="9"/>
            </w:numPr>
            <w:tabs>
              <w:tab w:pos="1919" w:val="left" w:leader="none"/>
              <w:tab w:pos="1920" w:val="left" w:leader="none"/>
            </w:tabs>
            <w:spacing w:line="240" w:lineRule="auto" w:before="0" w:after="0"/>
            <w:ind w:left="1919" w:right="0" w:hanging="1702"/>
            <w:jc w:val="left"/>
          </w:pPr>
          <w:hyperlink w:history="true" w:anchor="_bookmark188">
            <w:r>
              <w:rPr/>
              <w:t>Acceptance</w:t>
            </w:r>
            <w:r>
              <w:rPr>
                <w:spacing w:val="37"/>
              </w:rPr>
              <w:t> </w:t>
            </w:r>
            <w:r>
              <w:rPr/>
              <w:t>of</w:t>
            </w:r>
            <w:r>
              <w:rPr>
                <w:spacing w:val="38"/>
              </w:rPr>
              <w:t> </w:t>
            </w:r>
            <w:r>
              <w:rPr/>
              <w:t>performance</w:t>
            </w:r>
            <w:r>
              <w:rPr>
                <w:spacing w:val="37"/>
              </w:rPr>
              <w:t> </w:t>
            </w:r>
            <w:r>
              <w:rPr/>
              <w:t>standards</w:t>
            </w:r>
            <w:r>
              <w:rPr>
                <w:spacing w:val="38"/>
              </w:rPr>
              <w:t> </w:t>
            </w:r>
            <w:r>
              <w:rPr/>
              <w:t>for</w:t>
            </w:r>
            <w:r>
              <w:rPr>
                <w:spacing w:val="37"/>
              </w:rPr>
              <w:t> </w:t>
            </w:r>
            <w:r>
              <w:rPr/>
              <w:t>generating</w:t>
            </w:r>
            <w:r>
              <w:rPr>
                <w:spacing w:val="38"/>
              </w:rPr>
              <w:t> </w:t>
            </w:r>
            <w:r>
              <w:rPr/>
              <w:t>plant</w:t>
            </w:r>
            <w:r>
              <w:rPr>
                <w:spacing w:val="38"/>
              </w:rPr>
              <w:t> </w:t>
            </w:r>
            <w:r>
              <w:rPr/>
              <w:t>that</w:t>
            </w:r>
            <w:r>
              <w:rPr>
                <w:spacing w:val="37"/>
              </w:rPr>
              <w:t> </w:t>
            </w:r>
            <w:r>
              <w:rPr/>
              <w:t>is</w:t>
            </w:r>
          </w:hyperlink>
        </w:p>
        <w:p>
          <w:pPr>
            <w:pStyle w:val="TOC5"/>
            <w:tabs>
              <w:tab w:pos="8930" w:val="left" w:leader="dot"/>
            </w:tabs>
          </w:pPr>
          <w:hyperlink w:history="true" w:anchor="_bookmark188">
            <w:r>
              <w:rPr/>
              <w:t>altered</w:t>
              <w:tab/>
              <w:t>129</w:t>
            </w:r>
          </w:hyperlink>
        </w:p>
        <w:p>
          <w:pPr>
            <w:pStyle w:val="TOC3"/>
            <w:numPr>
              <w:ilvl w:val="2"/>
              <w:numId w:val="9"/>
            </w:numPr>
            <w:tabs>
              <w:tab w:pos="1919" w:val="left" w:leader="none"/>
              <w:tab w:pos="1920" w:val="left" w:leader="none"/>
              <w:tab w:pos="8930" w:val="left" w:leader="dot"/>
            </w:tabs>
            <w:spacing w:line="240" w:lineRule="auto" w:before="0" w:after="0"/>
            <w:ind w:left="1919" w:right="0" w:hanging="1702"/>
            <w:jc w:val="left"/>
          </w:pPr>
          <w:hyperlink w:history="true" w:anchor="_bookmark189">
            <w:r>
              <w:rPr/>
              <w:t>Notification of request to change</w:t>
            </w:r>
            <w:r>
              <w:rPr>
                <w:spacing w:val="-5"/>
              </w:rPr>
              <w:t> </w:t>
            </w:r>
            <w:r>
              <w:rPr/>
              <w:t>normal</w:t>
            </w:r>
            <w:r>
              <w:rPr>
                <w:spacing w:val="-1"/>
              </w:rPr>
              <w:t> </w:t>
            </w:r>
            <w:r>
              <w:rPr/>
              <w:t>voltage</w:t>
              <w:tab/>
              <w:t>130</w:t>
            </w:r>
          </w:hyperlink>
        </w:p>
        <w:p>
          <w:pPr>
            <w:pStyle w:val="TOC2"/>
            <w:tabs>
              <w:tab w:pos="1919" w:val="left" w:leader="none"/>
              <w:tab w:pos="8930" w:val="left" w:leader="dot"/>
            </w:tabs>
          </w:pPr>
          <w:hyperlink w:history="true" w:anchor="_bookmark190">
            <w:r>
              <w:rPr/>
              <w:t>5.3A</w:t>
              <w:tab/>
              <w:t>Establishing or modifying connection -</w:t>
            </w:r>
            <w:r>
              <w:rPr>
                <w:spacing w:val="-9"/>
              </w:rPr>
              <w:t> </w:t>
            </w:r>
            <w:r>
              <w:rPr/>
              <w:t>embedded</w:t>
            </w:r>
            <w:r>
              <w:rPr>
                <w:spacing w:val="-2"/>
              </w:rPr>
              <w:t> </w:t>
            </w:r>
            <w:r>
              <w:rPr/>
              <w:t>generation</w:t>
              <w:tab/>
              <w:t>130</w:t>
            </w:r>
          </w:hyperlink>
        </w:p>
        <w:p>
          <w:pPr>
            <w:pStyle w:val="TOC3"/>
            <w:tabs>
              <w:tab w:pos="1919" w:val="left" w:leader="none"/>
              <w:tab w:pos="8930" w:val="left" w:leader="dot"/>
            </w:tabs>
            <w:ind w:left="218"/>
          </w:pPr>
          <w:hyperlink w:history="true" w:anchor="_bookmark191">
            <w:r>
              <w:rPr/>
              <w:t>5.3A.1</w:t>
              <w:tab/>
              <w:t>Application of</w:t>
            </w:r>
            <w:r>
              <w:rPr>
                <w:spacing w:val="-2"/>
              </w:rPr>
              <w:t> </w:t>
            </w:r>
            <w:r>
              <w:rPr/>
              <w:t>rule</w:t>
            </w:r>
            <w:r>
              <w:rPr>
                <w:spacing w:val="-2"/>
              </w:rPr>
              <w:t> </w:t>
            </w:r>
            <w:r>
              <w:rPr/>
              <w:t>5.3A</w:t>
              <w:tab/>
              <w:t>130</w:t>
            </w:r>
          </w:hyperlink>
        </w:p>
        <w:p>
          <w:pPr>
            <w:pStyle w:val="TOC3"/>
            <w:tabs>
              <w:tab w:pos="1919" w:val="left" w:leader="none"/>
              <w:tab w:pos="8931" w:val="left" w:leader="dot"/>
            </w:tabs>
            <w:ind w:left="218"/>
          </w:pPr>
          <w:hyperlink w:history="true" w:anchor="_bookmark192">
            <w:r>
              <w:rPr/>
              <w:t>5.3A.2</w:t>
              <w:tab/>
              <w:t>Definitions</w:t>
            </w:r>
            <w:r>
              <w:rPr>
                <w:spacing w:val="-2"/>
              </w:rPr>
              <w:t> </w:t>
            </w:r>
            <w:r>
              <w:rPr/>
              <w:t>and</w:t>
            </w:r>
            <w:r>
              <w:rPr>
                <w:spacing w:val="-1"/>
              </w:rPr>
              <w:t> </w:t>
            </w:r>
            <w:r>
              <w:rPr/>
              <w:t>miscellaneous</w:t>
              <w:tab/>
              <w:t>131</w:t>
            </w:r>
          </w:hyperlink>
        </w:p>
        <w:p>
          <w:pPr>
            <w:pStyle w:val="TOC3"/>
            <w:tabs>
              <w:tab w:pos="1919" w:val="left" w:leader="none"/>
              <w:tab w:pos="8931" w:val="left" w:leader="dot"/>
            </w:tabs>
            <w:ind w:left="218"/>
          </w:pPr>
          <w:hyperlink w:history="true" w:anchor="_bookmark193">
            <w:r>
              <w:rPr/>
              <w:t>5.3A.3</w:t>
              <w:tab/>
              <w:t>Publication</w:t>
            </w:r>
            <w:r>
              <w:rPr>
                <w:spacing w:val="-2"/>
              </w:rPr>
              <w:t> </w:t>
            </w:r>
            <w:r>
              <w:rPr/>
              <w:t>of</w:t>
            </w:r>
            <w:r>
              <w:rPr>
                <w:spacing w:val="-1"/>
              </w:rPr>
              <w:t> </w:t>
            </w:r>
            <w:r>
              <w:rPr/>
              <w:t>Information</w:t>
              <w:tab/>
              <w:t>132</w:t>
            </w:r>
          </w:hyperlink>
        </w:p>
        <w:p>
          <w:pPr>
            <w:pStyle w:val="TOC3"/>
            <w:tabs>
              <w:tab w:pos="1919" w:val="left" w:leader="none"/>
              <w:tab w:pos="8930" w:val="left" w:leader="dot"/>
            </w:tabs>
            <w:ind w:left="218"/>
          </w:pPr>
          <w:hyperlink w:history="true" w:anchor="_bookmark194">
            <w:r>
              <w:rPr/>
              <w:t>5.3A.4</w:t>
              <w:tab/>
              <w:t>Fees</w:t>
              <w:tab/>
              <w:t>134</w:t>
            </w:r>
          </w:hyperlink>
        </w:p>
        <w:p>
          <w:pPr>
            <w:pStyle w:val="TOC3"/>
            <w:tabs>
              <w:tab w:pos="1919" w:val="left" w:leader="none"/>
              <w:tab w:pos="8930" w:val="left" w:leader="dot"/>
            </w:tabs>
            <w:ind w:left="218"/>
          </w:pPr>
          <w:hyperlink w:history="true" w:anchor="_bookmark195">
            <w:r>
              <w:rPr/>
              <w:t>5.3A.5</w:t>
              <w:tab/>
              <w:t>Enquiry</w:t>
              <w:tab/>
              <w:t>134</w:t>
            </w:r>
          </w:hyperlink>
        </w:p>
        <w:p>
          <w:pPr>
            <w:pStyle w:val="TOC3"/>
            <w:tabs>
              <w:tab w:pos="1919" w:val="left" w:leader="none"/>
              <w:tab w:pos="8931" w:val="left" w:leader="dot"/>
            </w:tabs>
            <w:ind w:left="218"/>
          </w:pPr>
          <w:hyperlink w:history="true" w:anchor="_bookmark196">
            <w:r>
              <w:rPr/>
              <w:t>5.3A.6</w:t>
              <w:tab/>
              <w:t>Response</w:t>
            </w:r>
            <w:r>
              <w:rPr>
                <w:spacing w:val="-1"/>
              </w:rPr>
              <w:t> </w:t>
            </w:r>
            <w:r>
              <w:rPr/>
              <w:t>to Enquiry</w:t>
              <w:tab/>
              <w:t>135</w:t>
            </w:r>
          </w:hyperlink>
        </w:p>
        <w:p>
          <w:pPr>
            <w:pStyle w:val="TOC3"/>
            <w:tabs>
              <w:tab w:pos="1919" w:val="left" w:leader="none"/>
              <w:tab w:pos="8931" w:val="left" w:leader="dot"/>
            </w:tabs>
            <w:ind w:left="218"/>
          </w:pPr>
          <w:hyperlink w:history="true" w:anchor="_bookmark197">
            <w:r>
              <w:rPr/>
              <w:t>5.3A.7</w:t>
              <w:tab/>
              <w:t>Preliminary Response</w:t>
            </w:r>
            <w:r>
              <w:rPr>
                <w:spacing w:val="-2"/>
              </w:rPr>
              <w:t> </w:t>
            </w:r>
            <w:r>
              <w:rPr/>
              <w:t>to</w:t>
            </w:r>
            <w:r>
              <w:rPr>
                <w:spacing w:val="-1"/>
              </w:rPr>
              <w:t> </w:t>
            </w:r>
            <w:r>
              <w:rPr/>
              <w:t>Enquiry</w:t>
              <w:tab/>
              <w:t>136</w:t>
            </w:r>
          </w:hyperlink>
        </w:p>
        <w:p>
          <w:pPr>
            <w:pStyle w:val="TOC3"/>
            <w:tabs>
              <w:tab w:pos="1919" w:val="left" w:leader="none"/>
              <w:tab w:pos="8931" w:val="left" w:leader="dot"/>
            </w:tabs>
            <w:ind w:left="218"/>
          </w:pPr>
          <w:hyperlink w:history="true" w:anchor="_bookmark198">
            <w:r>
              <w:rPr/>
              <w:t>5.3A.8</w:t>
              <w:tab/>
              <w:t>Detailed Response</w:t>
            </w:r>
            <w:r>
              <w:rPr>
                <w:spacing w:val="-2"/>
              </w:rPr>
              <w:t> </w:t>
            </w:r>
            <w:r>
              <w:rPr/>
              <w:t>to</w:t>
            </w:r>
            <w:r>
              <w:rPr>
                <w:spacing w:val="-1"/>
              </w:rPr>
              <w:t> </w:t>
            </w:r>
            <w:r>
              <w:rPr/>
              <w:t>Enquiry</w:t>
              <w:tab/>
              <w:t>136</w:t>
            </w:r>
          </w:hyperlink>
        </w:p>
        <w:p>
          <w:pPr>
            <w:pStyle w:val="TOC3"/>
            <w:tabs>
              <w:tab w:pos="1919" w:val="left" w:leader="none"/>
              <w:tab w:pos="8931" w:val="left" w:leader="dot"/>
            </w:tabs>
            <w:ind w:left="218"/>
          </w:pPr>
          <w:hyperlink w:history="true" w:anchor="_bookmark199">
            <w:r>
              <w:rPr/>
              <w:t>5.3A.9</w:t>
              <w:tab/>
              <w:t>Application</w:t>
            </w:r>
            <w:r>
              <w:rPr>
                <w:spacing w:val="-2"/>
              </w:rPr>
              <w:t> </w:t>
            </w:r>
            <w:r>
              <w:rPr/>
              <w:t>for</w:t>
            </w:r>
            <w:r>
              <w:rPr>
                <w:spacing w:val="-1"/>
              </w:rPr>
              <w:t> </w:t>
            </w:r>
            <w:r>
              <w:rPr/>
              <w:t>connection</w:t>
              <w:tab/>
              <w:t>137</w:t>
            </w:r>
          </w:hyperlink>
        </w:p>
        <w:p>
          <w:pPr>
            <w:pStyle w:val="TOC3"/>
            <w:tabs>
              <w:tab w:pos="1919" w:val="left" w:leader="none"/>
              <w:tab w:pos="8930" w:val="left" w:leader="dot"/>
            </w:tabs>
            <w:ind w:left="218"/>
          </w:pPr>
          <w:hyperlink w:history="true" w:anchor="_bookmark200">
            <w:r>
              <w:rPr/>
              <w:t>5.3A.10</w:t>
              <w:tab/>
              <w:t>Preparation of offer</w:t>
            </w:r>
            <w:r>
              <w:rPr>
                <w:spacing w:val="-3"/>
              </w:rPr>
              <w:t> </w:t>
            </w:r>
            <w:r>
              <w:rPr/>
              <w:t>to</w:t>
            </w:r>
            <w:r>
              <w:rPr>
                <w:spacing w:val="-1"/>
              </w:rPr>
              <w:t> </w:t>
            </w:r>
            <w:r>
              <w:rPr/>
              <w:t>connect</w:t>
              <w:tab/>
              <w:t>138</w:t>
            </w:r>
          </w:hyperlink>
        </w:p>
        <w:p>
          <w:pPr>
            <w:pStyle w:val="TOC3"/>
            <w:tabs>
              <w:tab w:pos="1919" w:val="left" w:leader="none"/>
              <w:tab w:pos="8930" w:val="left" w:leader="dot"/>
            </w:tabs>
            <w:ind w:left="218"/>
          </w:pPr>
          <w:hyperlink w:history="true" w:anchor="_bookmark201">
            <w:r>
              <w:rPr/>
              <w:t>5.3A.11</w:t>
              <w:tab/>
              <w:t>Technical</w:t>
            </w:r>
            <w:r>
              <w:rPr>
                <w:spacing w:val="-2"/>
              </w:rPr>
              <w:t> </w:t>
            </w:r>
            <w:r>
              <w:rPr/>
              <w:t>Dispute</w:t>
              <w:tab/>
              <w:t>139</w:t>
            </w:r>
          </w:hyperlink>
        </w:p>
        <w:p>
          <w:pPr>
            <w:pStyle w:val="TOC3"/>
            <w:tabs>
              <w:tab w:pos="1919" w:val="left" w:leader="none"/>
              <w:tab w:pos="8930" w:val="left" w:leader="dot"/>
            </w:tabs>
            <w:ind w:left="218"/>
          </w:pPr>
          <w:hyperlink w:history="true" w:anchor="_bookmark202">
            <w:r>
              <w:rPr/>
              <w:t>5.3A.12</w:t>
              <w:tab/>
              <w:t>Network support payments</w:t>
            </w:r>
            <w:r>
              <w:rPr>
                <w:spacing w:val="-4"/>
              </w:rPr>
              <w:t> </w:t>
            </w:r>
            <w:r>
              <w:rPr/>
              <w:t>and</w:t>
            </w:r>
            <w:r>
              <w:rPr>
                <w:spacing w:val="-1"/>
              </w:rPr>
              <w:t> </w:t>
            </w:r>
            <w:r>
              <w:rPr/>
              <w:t>functions</w:t>
              <w:tab/>
              <w:t>140</w:t>
            </w:r>
          </w:hyperlink>
        </w:p>
        <w:p>
          <w:pPr>
            <w:pStyle w:val="TOC2"/>
            <w:tabs>
              <w:tab w:pos="1919" w:val="left" w:leader="none"/>
              <w:tab w:pos="8930" w:val="left" w:leader="dot"/>
            </w:tabs>
          </w:pPr>
          <w:hyperlink w:history="true" w:anchor="_bookmark203">
            <w:r>
              <w:rPr/>
              <w:t>5.3AA</w:t>
              <w:tab/>
              <w:t>Access arrangements relating to</w:t>
            </w:r>
            <w:r>
              <w:rPr>
                <w:spacing w:val="-13"/>
              </w:rPr>
              <w:t> </w:t>
            </w:r>
            <w:r>
              <w:rPr/>
              <w:t>Distribution</w:t>
            </w:r>
            <w:r>
              <w:rPr>
                <w:spacing w:val="-4"/>
              </w:rPr>
              <w:t> </w:t>
            </w:r>
            <w:r>
              <w:rPr/>
              <w:t>Networks</w:t>
              <w:tab/>
              <w:t>140</w:t>
            </w:r>
          </w:hyperlink>
        </w:p>
        <w:p>
          <w:pPr>
            <w:pStyle w:val="TOC2"/>
            <w:numPr>
              <w:ilvl w:val="1"/>
              <w:numId w:val="10"/>
            </w:numPr>
            <w:tabs>
              <w:tab w:pos="519" w:val="left" w:leader="none"/>
              <w:tab w:pos="1919" w:val="left" w:leader="none"/>
              <w:tab w:pos="8929" w:val="left" w:leader="dot"/>
            </w:tabs>
            <w:spacing w:line="240" w:lineRule="auto" w:before="120" w:after="0"/>
            <w:ind w:left="519" w:right="0" w:hanging="301"/>
            <w:jc w:val="left"/>
          </w:pPr>
          <w:hyperlink w:history="true" w:anchor="_bookmark204">
            <w:r>
              <w:rPr/>
              <w:t>B</w:t>
              <w:tab/>
              <w:t>Application for connection to declared</w:t>
            </w:r>
            <w:r>
              <w:rPr>
                <w:spacing w:val="-18"/>
              </w:rPr>
              <w:t> </w:t>
            </w:r>
            <w:r>
              <w:rPr/>
              <w:t>shared</w:t>
            </w:r>
            <w:r>
              <w:rPr>
                <w:spacing w:val="-4"/>
              </w:rPr>
              <w:t> </w:t>
            </w:r>
            <w:r>
              <w:rPr/>
              <w:t>network</w:t>
              <w:tab/>
              <w:t>144</w:t>
            </w:r>
          </w:hyperlink>
        </w:p>
        <w:p>
          <w:pPr>
            <w:pStyle w:val="TOC2"/>
            <w:numPr>
              <w:ilvl w:val="1"/>
              <w:numId w:val="10"/>
            </w:numPr>
            <w:tabs>
              <w:tab w:pos="1919" w:val="left" w:leader="none"/>
              <w:tab w:pos="1920" w:val="left" w:leader="none"/>
              <w:tab w:pos="8930" w:val="left" w:leader="dot"/>
            </w:tabs>
            <w:spacing w:line="240" w:lineRule="auto" w:before="120" w:after="0"/>
            <w:ind w:left="1919" w:right="0" w:hanging="1702"/>
            <w:jc w:val="left"/>
          </w:pPr>
          <w:hyperlink w:history="true" w:anchor="_bookmark205">
            <w:r>
              <w:rPr/>
              <w:t>Independent</w:t>
            </w:r>
            <w:r>
              <w:rPr>
                <w:spacing w:val="-4"/>
              </w:rPr>
              <w:t> </w:t>
            </w:r>
            <w:r>
              <w:rPr/>
              <w:t>Engineer</w:t>
              <w:tab/>
              <w:t>144</w:t>
            </w:r>
          </w:hyperlink>
        </w:p>
        <w:p>
          <w:pPr>
            <w:pStyle w:val="TOC3"/>
            <w:numPr>
              <w:ilvl w:val="2"/>
              <w:numId w:val="10"/>
            </w:numPr>
            <w:tabs>
              <w:tab w:pos="1919" w:val="left" w:leader="none"/>
              <w:tab w:pos="1920" w:val="left" w:leader="none"/>
              <w:tab w:pos="8930" w:val="left" w:leader="dot"/>
            </w:tabs>
            <w:spacing w:line="240" w:lineRule="auto" w:before="0" w:after="0"/>
            <w:ind w:left="1919" w:right="0" w:hanging="1702"/>
            <w:jc w:val="left"/>
          </w:pPr>
          <w:hyperlink w:history="true" w:anchor="_bookmark206">
            <w:r>
              <w:rPr/>
              <w:t>Application</w:t>
              <w:tab/>
              <w:t>144</w:t>
            </w:r>
          </w:hyperlink>
        </w:p>
        <w:p>
          <w:pPr>
            <w:pStyle w:val="TOC3"/>
            <w:numPr>
              <w:ilvl w:val="2"/>
              <w:numId w:val="10"/>
            </w:numPr>
            <w:tabs>
              <w:tab w:pos="1919" w:val="left" w:leader="none"/>
              <w:tab w:pos="1920" w:val="left" w:leader="none"/>
              <w:tab w:pos="8931" w:val="left" w:leader="dot"/>
            </w:tabs>
            <w:spacing w:line="240" w:lineRule="auto" w:before="0" w:after="0"/>
            <w:ind w:left="1919" w:right="0" w:hanging="1702"/>
            <w:jc w:val="left"/>
          </w:pPr>
          <w:hyperlink w:history="true" w:anchor="_bookmark207">
            <w:r>
              <w:rPr/>
              <w:t>Establishment of</w:t>
            </w:r>
            <w:r>
              <w:rPr>
                <w:spacing w:val="-2"/>
              </w:rPr>
              <w:t> </w:t>
            </w:r>
            <w:r>
              <w:rPr/>
              <w:t>a</w:t>
            </w:r>
            <w:r>
              <w:rPr>
                <w:spacing w:val="-1"/>
              </w:rPr>
              <w:t> </w:t>
            </w:r>
            <w:r>
              <w:rPr/>
              <w:t>pool</w:t>
              <w:tab/>
              <w:t>145</w:t>
            </w:r>
          </w:hyperlink>
        </w:p>
        <w:p>
          <w:pPr>
            <w:pStyle w:val="TOC3"/>
            <w:numPr>
              <w:ilvl w:val="2"/>
              <w:numId w:val="10"/>
            </w:numPr>
            <w:tabs>
              <w:tab w:pos="1919" w:val="left" w:leader="none"/>
              <w:tab w:pos="1920" w:val="left" w:leader="none"/>
              <w:tab w:pos="8930" w:val="left" w:leader="dot"/>
            </w:tabs>
            <w:spacing w:line="240" w:lineRule="auto" w:before="0" w:after="0"/>
            <w:ind w:left="1919" w:right="0" w:hanging="1702"/>
            <w:jc w:val="left"/>
          </w:pPr>
          <w:hyperlink w:history="true" w:anchor="_bookmark208">
            <w:r>
              <w:rPr/>
              <w:t>Initiating the Independent</w:t>
            </w:r>
            <w:r>
              <w:rPr>
                <w:spacing w:val="-2"/>
              </w:rPr>
              <w:t> </w:t>
            </w:r>
            <w:r>
              <w:rPr/>
              <w:t>Engineer process</w:t>
              <w:tab/>
              <w:t>145</w:t>
            </w:r>
          </w:hyperlink>
        </w:p>
        <w:p>
          <w:pPr>
            <w:pStyle w:val="TOC3"/>
            <w:numPr>
              <w:ilvl w:val="2"/>
              <w:numId w:val="10"/>
            </w:numPr>
            <w:tabs>
              <w:tab w:pos="1919" w:val="left" w:leader="none"/>
              <w:tab w:pos="1920" w:val="left" w:leader="none"/>
              <w:tab w:pos="8931" w:val="left" w:leader="dot"/>
            </w:tabs>
            <w:spacing w:line="240" w:lineRule="auto" w:before="0" w:after="0"/>
            <w:ind w:left="1919" w:right="0" w:hanging="1702"/>
            <w:jc w:val="left"/>
          </w:pPr>
          <w:hyperlink w:history="true" w:anchor="_bookmark209">
            <w:r>
              <w:rPr/>
              <w:t>Referral to</w:t>
            </w:r>
            <w:r>
              <w:rPr>
                <w:spacing w:val="-2"/>
              </w:rPr>
              <w:t> </w:t>
            </w:r>
            <w:r>
              <w:rPr/>
              <w:t>the</w:t>
            </w:r>
            <w:r>
              <w:rPr>
                <w:spacing w:val="-1"/>
              </w:rPr>
              <w:t> </w:t>
            </w:r>
            <w:r>
              <w:rPr/>
              <w:t>Adviser</w:t>
              <w:tab/>
              <w:t>146</w:t>
            </w:r>
          </w:hyperlink>
        </w:p>
        <w:p>
          <w:pPr>
            <w:pStyle w:val="TOC3"/>
            <w:numPr>
              <w:ilvl w:val="2"/>
              <w:numId w:val="10"/>
            </w:numPr>
            <w:tabs>
              <w:tab w:pos="1919" w:val="left" w:leader="none"/>
              <w:tab w:pos="1920" w:val="left" w:leader="none"/>
              <w:tab w:pos="8930" w:val="left" w:leader="dot"/>
            </w:tabs>
            <w:spacing w:line="240" w:lineRule="auto" w:before="0" w:after="0"/>
            <w:ind w:left="1919" w:right="0" w:hanging="1702"/>
            <w:jc w:val="left"/>
          </w:pPr>
          <w:hyperlink w:history="true" w:anchor="_bookmark210">
            <w:r>
              <w:rPr/>
              <w:t>Proceedings and decisions of the</w:t>
            </w:r>
            <w:r>
              <w:rPr>
                <w:spacing w:val="-5"/>
              </w:rPr>
              <w:t> </w:t>
            </w:r>
            <w:r>
              <w:rPr/>
              <w:t>Independent</w:t>
            </w:r>
            <w:r>
              <w:rPr>
                <w:spacing w:val="-1"/>
              </w:rPr>
              <w:t> </w:t>
            </w:r>
            <w:r>
              <w:rPr/>
              <w:t>Engineer</w:t>
              <w:tab/>
              <w:t>147</w:t>
            </w:r>
          </w:hyperlink>
        </w:p>
        <w:p>
          <w:pPr>
            <w:pStyle w:val="TOC3"/>
            <w:numPr>
              <w:ilvl w:val="2"/>
              <w:numId w:val="10"/>
            </w:numPr>
            <w:tabs>
              <w:tab w:pos="1919" w:val="left" w:leader="none"/>
              <w:tab w:pos="1920" w:val="left" w:leader="none"/>
              <w:tab w:pos="8930" w:val="left" w:leader="dot"/>
            </w:tabs>
            <w:spacing w:line="240" w:lineRule="auto" w:before="0" w:after="175"/>
            <w:ind w:left="1919" w:right="0" w:hanging="1702"/>
            <w:jc w:val="left"/>
          </w:pPr>
          <w:hyperlink w:history="true" w:anchor="_bookmark211">
            <w:r>
              <w:rPr/>
              <w:t>Costs of the</w:t>
            </w:r>
            <w:r>
              <w:rPr>
                <w:spacing w:val="-2"/>
              </w:rPr>
              <w:t> </w:t>
            </w:r>
            <w:r>
              <w:rPr/>
              <w:t>Independent</w:t>
            </w:r>
            <w:r>
              <w:rPr>
                <w:spacing w:val="-1"/>
              </w:rPr>
              <w:t> </w:t>
            </w:r>
            <w:r>
              <w:rPr/>
              <w:t>Engineer</w:t>
              <w:tab/>
              <w:t>148</w:t>
            </w:r>
          </w:hyperlink>
        </w:p>
        <w:p>
          <w:pPr>
            <w:pStyle w:val="TOC2"/>
            <w:tabs>
              <w:tab w:pos="1919" w:val="left" w:leader="none"/>
              <w:tab w:pos="8931" w:val="left" w:leader="dot"/>
            </w:tabs>
            <w:spacing w:before="83"/>
          </w:pPr>
          <w:hyperlink w:history="true" w:anchor="_bookmark212">
            <w:r>
              <w:rPr/>
              <w:t>5.4A</w:t>
              <w:tab/>
              <w:t>[Deleted]</w:t>
              <w:tab/>
              <w:t>148</w:t>
            </w:r>
          </w:hyperlink>
        </w:p>
        <w:p>
          <w:pPr>
            <w:pStyle w:val="TOC2"/>
            <w:numPr>
              <w:ilvl w:val="1"/>
              <w:numId w:val="11"/>
            </w:numPr>
            <w:tabs>
              <w:tab w:pos="519" w:val="left" w:leader="none"/>
              <w:tab w:pos="1919" w:val="left" w:leader="none"/>
              <w:tab w:pos="8931" w:val="left" w:leader="dot"/>
            </w:tabs>
            <w:spacing w:line="240" w:lineRule="auto" w:before="120" w:after="0"/>
            <w:ind w:left="519" w:right="0" w:hanging="301"/>
            <w:jc w:val="left"/>
          </w:pPr>
          <w:hyperlink w:history="true" w:anchor="_bookmark213">
            <w:r>
              <w:rPr/>
              <w:t>AA</w:t>
              <w:tab/>
              <w:t>[Deleted]</w:t>
              <w:tab/>
              <w:t>148</w:t>
            </w:r>
          </w:hyperlink>
        </w:p>
        <w:p>
          <w:pPr>
            <w:pStyle w:val="TOC2"/>
            <w:numPr>
              <w:ilvl w:val="1"/>
              <w:numId w:val="11"/>
            </w:numPr>
            <w:tabs>
              <w:tab w:pos="1919" w:val="left" w:leader="none"/>
              <w:tab w:pos="1920" w:val="left" w:leader="none"/>
              <w:tab w:pos="3438" w:val="left" w:leader="none"/>
              <w:tab w:pos="4824" w:val="left" w:leader="none"/>
              <w:tab w:pos="5384" w:val="left" w:leader="none"/>
              <w:tab w:pos="8930" w:val="left" w:leader="dot"/>
            </w:tabs>
            <w:spacing w:line="240" w:lineRule="auto" w:before="120" w:after="0"/>
            <w:ind w:left="1919" w:right="414" w:hanging="1701"/>
            <w:jc w:val="left"/>
          </w:pPr>
          <w:hyperlink w:history="true" w:anchor="_bookmark214">
            <w:r>
              <w:rPr/>
              <w:t>Commercial</w:t>
              <w:tab/>
              <w:t>arbitration</w:t>
              <w:tab/>
              <w:t>for</w:t>
              <w:tab/>
              <w:t>prescribed and negotiated</w:t>
            </w:r>
          </w:hyperlink>
          <w:hyperlink w:history="true" w:anchor="_bookmark214">
            <w:r>
              <w:rPr/>
              <w:t> transmission services and large</w:t>
            </w:r>
            <w:r>
              <w:rPr>
                <w:spacing w:val="-11"/>
              </w:rPr>
              <w:t> </w:t>
            </w:r>
            <w:r>
              <w:rPr/>
              <w:t>DCA</w:t>
            </w:r>
            <w:r>
              <w:rPr>
                <w:spacing w:val="-3"/>
              </w:rPr>
              <w:t> </w:t>
            </w:r>
            <w:r>
              <w:rPr/>
              <w:t>services</w:t>
              <w:tab/>
            </w:r>
            <w:r>
              <w:rPr>
                <w:spacing w:val="-6"/>
              </w:rPr>
              <w:t>148</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15">
            <w:r>
              <w:rPr/>
              <w:t>Application</w:t>
              <w:tab/>
              <w:t>148</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16">
            <w:r>
              <w:rPr/>
              <w:t>Notification</w:t>
            </w:r>
            <w:r>
              <w:rPr>
                <w:spacing w:val="-2"/>
              </w:rPr>
              <w:t> </w:t>
            </w:r>
            <w:r>
              <w:rPr/>
              <w:t>of</w:t>
            </w:r>
            <w:r>
              <w:rPr>
                <w:spacing w:val="-1"/>
              </w:rPr>
              <w:t> </w:t>
            </w:r>
            <w:r>
              <w:rPr/>
              <w:t>dispute</w:t>
              <w:tab/>
              <w:t>148</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17">
            <w:r>
              <w:rPr/>
              <w:t>Appointment of</w:t>
            </w:r>
            <w:r>
              <w:rPr>
                <w:spacing w:val="-4"/>
              </w:rPr>
              <w:t> </w:t>
            </w:r>
            <w:r>
              <w:rPr/>
              <w:t>commercial</w:t>
            </w:r>
            <w:r>
              <w:rPr>
                <w:spacing w:val="-2"/>
              </w:rPr>
              <w:t> </w:t>
            </w:r>
            <w:r>
              <w:rPr/>
              <w:t>arbitrator</w:t>
              <w:tab/>
              <w:t>149</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18">
            <w:r>
              <w:rPr/>
              <w:t>Procedures of</w:t>
            </w:r>
            <w:r>
              <w:rPr>
                <w:spacing w:val="-3"/>
              </w:rPr>
              <w:t> </w:t>
            </w:r>
            <w:r>
              <w:rPr/>
              <w:t>commercial</w:t>
            </w:r>
            <w:r>
              <w:rPr>
                <w:spacing w:val="-1"/>
              </w:rPr>
              <w:t> </w:t>
            </w:r>
            <w:r>
              <w:rPr/>
              <w:t>arbitrator</w:t>
              <w:tab/>
              <w:t>149</w:t>
            </w:r>
          </w:hyperlink>
        </w:p>
        <w:p>
          <w:pPr>
            <w:pStyle w:val="TOC3"/>
            <w:numPr>
              <w:ilvl w:val="2"/>
              <w:numId w:val="11"/>
            </w:numPr>
            <w:tabs>
              <w:tab w:pos="1919" w:val="left" w:leader="none"/>
              <w:tab w:pos="1920" w:val="left" w:leader="none"/>
              <w:tab w:pos="8931" w:val="left" w:leader="dot"/>
            </w:tabs>
            <w:spacing w:line="240" w:lineRule="auto" w:before="0" w:after="0"/>
            <w:ind w:left="1919" w:right="0" w:hanging="1702"/>
            <w:jc w:val="left"/>
          </w:pPr>
          <w:hyperlink w:history="true" w:anchor="_bookmark219">
            <w:r>
              <w:rPr/>
              <w:t>Powers of commercial arbitrator in</w:t>
            </w:r>
            <w:r>
              <w:rPr>
                <w:spacing w:val="-8"/>
              </w:rPr>
              <w:t> </w:t>
            </w:r>
            <w:r>
              <w:rPr/>
              <w:t>determining</w:t>
            </w:r>
            <w:r>
              <w:rPr>
                <w:spacing w:val="-1"/>
              </w:rPr>
              <w:t> </w:t>
            </w:r>
            <w:r>
              <w:rPr/>
              <w:t>disputes</w:t>
              <w:tab/>
              <w:t>150</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20">
            <w:r>
              <w:rPr/>
              <w:t>Determination</w:t>
            </w:r>
            <w:r>
              <w:rPr>
                <w:spacing w:val="-1"/>
              </w:rPr>
              <w:t> </w:t>
            </w:r>
            <w:r>
              <w:rPr/>
              <w:t>of</w:t>
            </w:r>
            <w:r>
              <w:rPr>
                <w:spacing w:val="-1"/>
              </w:rPr>
              <w:t> </w:t>
            </w:r>
            <w:r>
              <w:rPr/>
              <w:t>disputes</w:t>
              <w:tab/>
              <w:t>151</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21">
            <w:r>
              <w:rPr/>
              <w:t>Costs</w:t>
            </w:r>
            <w:r>
              <w:rPr>
                <w:spacing w:val="-1"/>
              </w:rPr>
              <w:t> </w:t>
            </w:r>
            <w:r>
              <w:rPr/>
              <w:t>of</w:t>
            </w:r>
            <w:r>
              <w:rPr>
                <w:spacing w:val="-1"/>
              </w:rPr>
              <w:t> </w:t>
            </w:r>
            <w:r>
              <w:rPr/>
              <w:t>dispute</w:t>
              <w:tab/>
              <w:t>152</w:t>
            </w:r>
          </w:hyperlink>
        </w:p>
        <w:p>
          <w:pPr>
            <w:pStyle w:val="TOC3"/>
            <w:numPr>
              <w:ilvl w:val="2"/>
              <w:numId w:val="11"/>
            </w:numPr>
            <w:tabs>
              <w:tab w:pos="1919" w:val="left" w:leader="none"/>
              <w:tab w:pos="1920" w:val="left" w:leader="none"/>
            </w:tabs>
            <w:spacing w:line="240" w:lineRule="auto" w:before="0" w:after="0"/>
            <w:ind w:left="1919" w:right="0" w:hanging="1702"/>
            <w:jc w:val="left"/>
          </w:pPr>
          <w:hyperlink w:history="true" w:anchor="_bookmark222">
            <w:r>
              <w:rPr/>
              <w:t>Enforcement of agreement or determination and requirement</w:t>
            </w:r>
            <w:r>
              <w:rPr>
                <w:spacing w:val="-26"/>
              </w:rPr>
              <w:t> </w:t>
            </w:r>
            <w:r>
              <w:rPr/>
              <w:t>for</w:t>
            </w:r>
          </w:hyperlink>
        </w:p>
        <w:p>
          <w:pPr>
            <w:pStyle w:val="TOC5"/>
            <w:tabs>
              <w:tab w:pos="8930" w:val="left" w:leader="dot"/>
            </w:tabs>
          </w:pPr>
          <w:hyperlink w:history="true" w:anchor="_bookmark222">
            <w:r>
              <w:rPr/>
              <w:t>reasons</w:t>
              <w:tab/>
              <w:t>152</w:t>
            </w:r>
          </w:hyperlink>
        </w:p>
        <w:p>
          <w:pPr>
            <w:pStyle w:val="TOC3"/>
            <w:numPr>
              <w:ilvl w:val="2"/>
              <w:numId w:val="11"/>
            </w:numPr>
            <w:tabs>
              <w:tab w:pos="1919" w:val="left" w:leader="none"/>
              <w:tab w:pos="1920" w:val="left" w:leader="none"/>
              <w:tab w:pos="8930" w:val="left" w:leader="dot"/>
            </w:tabs>
            <w:spacing w:line="240" w:lineRule="auto" w:before="0" w:after="0"/>
            <w:ind w:left="1919" w:right="0" w:hanging="1702"/>
            <w:jc w:val="left"/>
          </w:pPr>
          <w:hyperlink w:history="true" w:anchor="_bookmark223">
            <w:r>
              <w:rPr/>
              <w:t>Miscellaneous</w:t>
              <w:tab/>
              <w:t>153</w:t>
            </w:r>
          </w:hyperlink>
        </w:p>
        <w:p>
          <w:pPr>
            <w:pStyle w:val="TOC2"/>
            <w:numPr>
              <w:ilvl w:val="1"/>
              <w:numId w:val="12"/>
            </w:numPr>
            <w:tabs>
              <w:tab w:pos="519" w:val="left" w:leader="none"/>
              <w:tab w:pos="1979" w:val="left" w:leader="none"/>
              <w:tab w:pos="8931" w:val="left" w:leader="dot"/>
            </w:tabs>
            <w:spacing w:line="240" w:lineRule="auto" w:before="120" w:after="0"/>
            <w:ind w:left="519" w:right="0" w:hanging="301"/>
            <w:jc w:val="left"/>
          </w:pPr>
          <w:hyperlink w:history="true" w:anchor="_bookmark224">
            <w:r>
              <w:rPr/>
              <w:t>A</w:t>
              <w:tab/>
              <w:t>[Deleted]</w:t>
              <w:tab/>
              <w:t>153</w:t>
            </w:r>
          </w:hyperlink>
        </w:p>
        <w:p>
          <w:pPr>
            <w:pStyle w:val="TOC2"/>
            <w:tabs>
              <w:tab w:pos="1919" w:val="left" w:leader="none"/>
              <w:tab w:pos="8930" w:val="left" w:leader="dot"/>
            </w:tabs>
          </w:pPr>
          <w:hyperlink w:history="true" w:anchor="_bookmark225">
            <w:r>
              <w:rPr/>
              <w:t>Part C</w:t>
              <w:tab/>
              <w:t>Post-Connection</w:t>
            </w:r>
            <w:r>
              <w:rPr>
                <w:spacing w:val="-2"/>
              </w:rPr>
              <w:t> </w:t>
            </w:r>
            <w:r>
              <w:rPr/>
              <w:t>Agreement</w:t>
            </w:r>
            <w:r>
              <w:rPr>
                <w:spacing w:val="-1"/>
              </w:rPr>
              <w:t> </w:t>
            </w:r>
            <w:r>
              <w:rPr/>
              <w:t>matters</w:t>
              <w:tab/>
              <w:t>153</w:t>
            </w:r>
          </w:hyperlink>
        </w:p>
        <w:p>
          <w:pPr>
            <w:pStyle w:val="TOC2"/>
            <w:numPr>
              <w:ilvl w:val="1"/>
              <w:numId w:val="12"/>
            </w:numPr>
            <w:tabs>
              <w:tab w:pos="1919" w:val="left" w:leader="none"/>
              <w:tab w:pos="1920" w:val="left" w:leader="none"/>
              <w:tab w:pos="8929" w:val="left" w:leader="dot"/>
            </w:tabs>
            <w:spacing w:line="240" w:lineRule="auto" w:before="120" w:after="0"/>
            <w:ind w:left="1919" w:right="0" w:hanging="1702"/>
            <w:jc w:val="left"/>
          </w:pPr>
          <w:hyperlink w:history="true" w:anchor="_bookmark226">
            <w:r>
              <w:rPr/>
              <w:t>Design of</w:t>
            </w:r>
            <w:r>
              <w:rPr>
                <w:spacing w:val="-6"/>
              </w:rPr>
              <w:t> </w:t>
            </w:r>
            <w:r>
              <w:rPr/>
              <w:t>Connected</w:t>
            </w:r>
            <w:r>
              <w:rPr>
                <w:spacing w:val="-4"/>
              </w:rPr>
              <w:t> </w:t>
            </w:r>
            <w:r>
              <w:rPr/>
              <w:t>Equipment</w:t>
              <w:tab/>
              <w:t>153</w:t>
            </w:r>
          </w:hyperlink>
        </w:p>
        <w:p>
          <w:pPr>
            <w:pStyle w:val="TOC3"/>
            <w:numPr>
              <w:ilvl w:val="2"/>
              <w:numId w:val="12"/>
            </w:numPr>
            <w:tabs>
              <w:tab w:pos="1919" w:val="left" w:leader="none"/>
              <w:tab w:pos="1920" w:val="left" w:leader="none"/>
              <w:tab w:pos="8930" w:val="left" w:leader="dot"/>
            </w:tabs>
            <w:spacing w:line="240" w:lineRule="auto" w:before="0" w:after="0"/>
            <w:ind w:left="1919" w:right="0" w:hanging="1702"/>
            <w:jc w:val="left"/>
          </w:pPr>
          <w:hyperlink w:history="true" w:anchor="_bookmark227">
            <w:r>
              <w:rPr/>
              <w:t>Application</w:t>
              <w:tab/>
              <w:t>153</w:t>
            </w:r>
          </w:hyperlink>
        </w:p>
        <w:p>
          <w:pPr>
            <w:pStyle w:val="TOC3"/>
            <w:numPr>
              <w:ilvl w:val="2"/>
              <w:numId w:val="12"/>
            </w:numPr>
            <w:tabs>
              <w:tab w:pos="1919" w:val="left" w:leader="none"/>
              <w:tab w:pos="1920" w:val="left" w:leader="none"/>
              <w:tab w:pos="8931" w:val="left" w:leader="dot"/>
            </w:tabs>
            <w:spacing w:line="240" w:lineRule="auto" w:before="0" w:after="0"/>
            <w:ind w:left="1919" w:right="0" w:hanging="1702"/>
            <w:jc w:val="left"/>
          </w:pPr>
          <w:hyperlink w:history="true" w:anchor="_bookmark228">
            <w:r>
              <w:rPr/>
              <w:t>Advice</w:t>
            </w:r>
            <w:r>
              <w:rPr>
                <w:spacing w:val="-2"/>
              </w:rPr>
              <w:t> </w:t>
            </w:r>
            <w:r>
              <w:rPr/>
              <w:t>of</w:t>
            </w:r>
            <w:r>
              <w:rPr>
                <w:spacing w:val="-1"/>
              </w:rPr>
              <w:t> </w:t>
            </w:r>
            <w:r>
              <w:rPr/>
              <w:t>inconsistencies</w:t>
              <w:tab/>
              <w:t>153</w:t>
            </w:r>
          </w:hyperlink>
        </w:p>
        <w:p>
          <w:pPr>
            <w:pStyle w:val="TOC3"/>
            <w:numPr>
              <w:ilvl w:val="2"/>
              <w:numId w:val="12"/>
            </w:numPr>
            <w:tabs>
              <w:tab w:pos="1919" w:val="left" w:leader="none"/>
              <w:tab w:pos="1920" w:val="left" w:leader="none"/>
              <w:tab w:pos="8931" w:val="left" w:leader="dot"/>
            </w:tabs>
            <w:spacing w:line="240" w:lineRule="auto" w:before="0" w:after="0"/>
            <w:ind w:left="1919" w:right="0" w:hanging="1702"/>
            <w:jc w:val="left"/>
          </w:pPr>
          <w:hyperlink w:history="true" w:anchor="_bookmark229">
            <w:r>
              <w:rPr/>
              <w:t>Additional</w:t>
            </w:r>
            <w:r>
              <w:rPr>
                <w:spacing w:val="-2"/>
              </w:rPr>
              <w:t> </w:t>
            </w:r>
            <w:r>
              <w:rPr/>
              <w:t>information</w:t>
              <w:tab/>
              <w:t>154</w:t>
            </w:r>
          </w:hyperlink>
        </w:p>
        <w:p>
          <w:pPr>
            <w:pStyle w:val="TOC3"/>
            <w:numPr>
              <w:ilvl w:val="2"/>
              <w:numId w:val="12"/>
            </w:numPr>
            <w:tabs>
              <w:tab w:pos="1919" w:val="left" w:leader="none"/>
              <w:tab w:pos="1920" w:val="left" w:leader="none"/>
              <w:tab w:pos="8930" w:val="left" w:leader="dot"/>
            </w:tabs>
            <w:spacing w:line="240" w:lineRule="auto" w:before="0" w:after="0"/>
            <w:ind w:left="1919" w:right="0" w:hanging="1702"/>
            <w:jc w:val="left"/>
          </w:pPr>
          <w:hyperlink w:history="true" w:anchor="_bookmark230">
            <w:r>
              <w:rPr/>
              <w:t>Advice on</w:t>
            </w:r>
            <w:r>
              <w:rPr>
                <w:spacing w:val="-3"/>
              </w:rPr>
              <w:t> </w:t>
            </w:r>
            <w:r>
              <w:rPr/>
              <w:t>possible</w:t>
            </w:r>
            <w:r>
              <w:rPr>
                <w:spacing w:val="-1"/>
              </w:rPr>
              <w:t> </w:t>
            </w:r>
            <w:r>
              <w:rPr/>
              <w:t>non-compliance</w:t>
              <w:tab/>
              <w:t>154</w:t>
            </w:r>
          </w:hyperlink>
        </w:p>
        <w:p>
          <w:pPr>
            <w:pStyle w:val="TOC2"/>
            <w:numPr>
              <w:ilvl w:val="1"/>
              <w:numId w:val="13"/>
            </w:numPr>
            <w:tabs>
              <w:tab w:pos="519" w:val="left" w:leader="none"/>
              <w:tab w:pos="1979" w:val="left" w:leader="none"/>
              <w:tab w:pos="8931" w:val="left" w:leader="dot"/>
            </w:tabs>
            <w:spacing w:line="240" w:lineRule="auto" w:before="120" w:after="0"/>
            <w:ind w:left="519" w:right="0" w:hanging="301"/>
            <w:jc w:val="left"/>
          </w:pPr>
          <w:hyperlink w:history="true" w:anchor="_bookmark231">
            <w:r>
              <w:rPr/>
              <w:t>A</w:t>
              <w:tab/>
              <w:t>[Deleted]</w:t>
              <w:tab/>
              <w:t>154</w:t>
            </w:r>
          </w:hyperlink>
        </w:p>
        <w:p>
          <w:pPr>
            <w:pStyle w:val="TOC2"/>
            <w:numPr>
              <w:ilvl w:val="1"/>
              <w:numId w:val="13"/>
            </w:numPr>
            <w:tabs>
              <w:tab w:pos="1919" w:val="left" w:leader="none"/>
              <w:tab w:pos="1920" w:val="left" w:leader="none"/>
              <w:tab w:pos="8930" w:val="left" w:leader="dot"/>
            </w:tabs>
            <w:spacing w:line="240" w:lineRule="auto" w:before="120" w:after="0"/>
            <w:ind w:left="1919" w:right="0" w:hanging="1702"/>
            <w:jc w:val="left"/>
          </w:pPr>
          <w:hyperlink w:history="true" w:anchor="_bookmark232">
            <w:r>
              <w:rPr/>
              <w:t>Inspection</w:t>
            </w:r>
            <w:r>
              <w:rPr>
                <w:spacing w:val="-4"/>
              </w:rPr>
              <w:t> </w:t>
            </w:r>
            <w:r>
              <w:rPr/>
              <w:t>and</w:t>
            </w:r>
            <w:r>
              <w:rPr>
                <w:spacing w:val="-2"/>
              </w:rPr>
              <w:t> </w:t>
            </w:r>
            <w:r>
              <w:rPr/>
              <w:t>Testing</w:t>
              <w:tab/>
              <w:t>154</w:t>
            </w:r>
          </w:hyperlink>
        </w:p>
        <w:p>
          <w:pPr>
            <w:pStyle w:val="TOC3"/>
            <w:numPr>
              <w:ilvl w:val="2"/>
              <w:numId w:val="13"/>
            </w:numPr>
            <w:tabs>
              <w:tab w:pos="1919" w:val="left" w:leader="none"/>
              <w:tab w:pos="1920" w:val="left" w:leader="none"/>
              <w:tab w:pos="8931" w:val="left" w:leader="dot"/>
            </w:tabs>
            <w:spacing w:line="240" w:lineRule="auto" w:before="0" w:after="0"/>
            <w:ind w:left="1919" w:right="0" w:hanging="1702"/>
            <w:jc w:val="left"/>
          </w:pPr>
          <w:hyperlink w:history="true" w:anchor="_bookmark233">
            <w:r>
              <w:rPr/>
              <w:t>Right of entry</w:t>
            </w:r>
            <w:r>
              <w:rPr>
                <w:spacing w:val="-2"/>
              </w:rPr>
              <w:t> </w:t>
            </w:r>
            <w:r>
              <w:rPr/>
              <w:t>and inspection</w:t>
              <w:tab/>
              <w:t>154</w:t>
            </w:r>
          </w:hyperlink>
        </w:p>
        <w:p>
          <w:pPr>
            <w:pStyle w:val="TOC3"/>
            <w:numPr>
              <w:ilvl w:val="2"/>
              <w:numId w:val="13"/>
            </w:numPr>
            <w:tabs>
              <w:tab w:pos="1919" w:val="left" w:leader="none"/>
              <w:tab w:pos="1920" w:val="left" w:leader="none"/>
              <w:tab w:pos="8931" w:val="left" w:leader="dot"/>
            </w:tabs>
            <w:spacing w:line="240" w:lineRule="auto" w:before="0" w:after="0"/>
            <w:ind w:left="1919" w:right="0" w:hanging="1702"/>
            <w:jc w:val="left"/>
          </w:pPr>
          <w:hyperlink w:history="true" w:anchor="_bookmark234">
            <w:r>
              <w:rPr/>
              <w:t>Right</w:t>
            </w:r>
            <w:r>
              <w:rPr>
                <w:spacing w:val="-1"/>
              </w:rPr>
              <w:t> </w:t>
            </w:r>
            <w:r>
              <w:rPr/>
              <w:t>of testing</w:t>
              <w:tab/>
              <w:t>156</w:t>
            </w:r>
          </w:hyperlink>
        </w:p>
        <w:p>
          <w:pPr>
            <w:pStyle w:val="TOC3"/>
            <w:numPr>
              <w:ilvl w:val="2"/>
              <w:numId w:val="13"/>
            </w:numPr>
            <w:tabs>
              <w:tab w:pos="1919" w:val="left" w:leader="none"/>
              <w:tab w:pos="1920" w:val="left" w:leader="none"/>
              <w:tab w:pos="8930" w:val="left" w:leader="dot"/>
            </w:tabs>
            <w:spacing w:line="240" w:lineRule="auto" w:before="0" w:after="0"/>
            <w:ind w:left="1919" w:right="414" w:hanging="1701"/>
            <w:jc w:val="left"/>
          </w:pPr>
          <w:hyperlink w:history="true" w:anchor="_bookmark235">
            <w:r>
              <w:rPr/>
              <w:t>Tests to demonstrate compliance with connection requirements for</w:t>
            </w:r>
          </w:hyperlink>
          <w:hyperlink w:history="true" w:anchor="_bookmark235">
            <w:r>
              <w:rPr/>
              <w:t> generators</w:t>
              <w:tab/>
            </w:r>
            <w:r>
              <w:rPr>
                <w:spacing w:val="-6"/>
              </w:rPr>
              <w:t>158</w:t>
            </w:r>
          </w:hyperlink>
        </w:p>
        <w:p>
          <w:pPr>
            <w:pStyle w:val="TOC3"/>
            <w:numPr>
              <w:ilvl w:val="2"/>
              <w:numId w:val="14"/>
            </w:numPr>
            <w:tabs>
              <w:tab w:pos="699" w:val="left" w:leader="none"/>
              <w:tab w:pos="1919" w:val="left" w:leader="none"/>
              <w:tab w:pos="8930" w:val="left" w:leader="dot"/>
            </w:tabs>
            <w:spacing w:line="240" w:lineRule="auto" w:before="0" w:after="0"/>
            <w:ind w:left="1919" w:right="414" w:hanging="1701"/>
            <w:jc w:val="left"/>
          </w:pPr>
          <w:hyperlink w:history="true" w:anchor="_bookmark236">
            <w:r>
              <w:rPr/>
              <w:t>A</w:t>
              <w:tab/>
              <w:t>Tests to demonstrate compliance with system  strength  remediation</w:t>
            </w:r>
          </w:hyperlink>
          <w:hyperlink w:history="true" w:anchor="_bookmark236">
            <w:r>
              <w:rPr/>
              <w:t> schemes</w:t>
              <w:tab/>
            </w:r>
            <w:r>
              <w:rPr>
                <w:spacing w:val="-6"/>
              </w:rPr>
              <w:t>160</w:t>
            </w:r>
          </w:hyperlink>
        </w:p>
        <w:p>
          <w:pPr>
            <w:pStyle w:val="TOC3"/>
            <w:numPr>
              <w:ilvl w:val="2"/>
              <w:numId w:val="14"/>
            </w:numPr>
            <w:tabs>
              <w:tab w:pos="1919" w:val="left" w:leader="none"/>
              <w:tab w:pos="1920" w:val="left" w:leader="none"/>
              <w:tab w:pos="8931" w:val="left" w:leader="dot"/>
            </w:tabs>
            <w:spacing w:line="240" w:lineRule="auto" w:before="0" w:after="0"/>
            <w:ind w:left="1919" w:right="0" w:hanging="1702"/>
            <w:jc w:val="left"/>
          </w:pPr>
          <w:hyperlink w:history="true" w:anchor="_bookmark237">
            <w:r>
              <w:rPr/>
              <w:t>Routine testing of</w:t>
            </w:r>
            <w:r>
              <w:rPr>
                <w:spacing w:val="-2"/>
              </w:rPr>
              <w:t> </w:t>
            </w:r>
            <w:r>
              <w:rPr/>
              <w:t>protection equipment</w:t>
              <w:tab/>
              <w:t>161</w:t>
            </w:r>
          </w:hyperlink>
        </w:p>
        <w:p>
          <w:pPr>
            <w:pStyle w:val="TOC3"/>
            <w:numPr>
              <w:ilvl w:val="2"/>
              <w:numId w:val="14"/>
            </w:numPr>
            <w:tabs>
              <w:tab w:pos="1919" w:val="left" w:leader="none"/>
              <w:tab w:pos="1920" w:val="left" w:leader="none"/>
            </w:tabs>
            <w:spacing w:line="240" w:lineRule="auto" w:before="0" w:after="0"/>
            <w:ind w:left="1919" w:right="0" w:hanging="1702"/>
            <w:jc w:val="left"/>
          </w:pPr>
          <w:hyperlink w:history="true" w:anchor="_bookmark238">
            <w:r>
              <w:rPr/>
              <w:t>Testing by Registered Participants of their own plant</w:t>
            </w:r>
            <w:r>
              <w:rPr>
                <w:spacing w:val="20"/>
              </w:rPr>
              <w:t> </w:t>
            </w:r>
            <w:r>
              <w:rPr/>
              <w:t>requiring</w:t>
            </w:r>
          </w:hyperlink>
        </w:p>
        <w:p>
          <w:pPr>
            <w:pStyle w:val="TOC5"/>
            <w:tabs>
              <w:tab w:pos="8931" w:val="left" w:leader="dot"/>
            </w:tabs>
          </w:pPr>
          <w:hyperlink w:history="true" w:anchor="_bookmark238">
            <w:r>
              <w:rPr/>
              <w:t>changes to</w:t>
            </w:r>
            <w:r>
              <w:rPr>
                <w:spacing w:val="-2"/>
              </w:rPr>
              <w:t> </w:t>
            </w:r>
            <w:r>
              <w:rPr/>
              <w:t>normal operation</w:t>
              <w:tab/>
              <w:t>163</w:t>
            </w:r>
          </w:hyperlink>
        </w:p>
        <w:p>
          <w:pPr>
            <w:pStyle w:val="TOC3"/>
            <w:numPr>
              <w:ilvl w:val="2"/>
              <w:numId w:val="14"/>
            </w:numPr>
            <w:tabs>
              <w:tab w:pos="1919" w:val="left" w:leader="none"/>
              <w:tab w:pos="1920" w:val="left" w:leader="none"/>
              <w:tab w:pos="8930" w:val="left" w:leader="dot"/>
            </w:tabs>
            <w:spacing w:line="240" w:lineRule="auto" w:before="0" w:after="0"/>
            <w:ind w:left="1919" w:right="0" w:hanging="1702"/>
            <w:jc w:val="left"/>
          </w:pPr>
          <w:hyperlink w:history="true" w:anchor="_bookmark239">
            <w:r>
              <w:rPr/>
              <w:t>Tests of generating units requiring changes to</w:t>
            </w:r>
            <w:r>
              <w:rPr>
                <w:spacing w:val="-4"/>
              </w:rPr>
              <w:t> </w:t>
            </w:r>
            <w:r>
              <w:rPr/>
              <w:t>normal operation</w:t>
              <w:tab/>
              <w:t>165</w:t>
            </w:r>
          </w:hyperlink>
        </w:p>
        <w:p>
          <w:pPr>
            <w:pStyle w:val="TOC3"/>
            <w:numPr>
              <w:ilvl w:val="2"/>
              <w:numId w:val="14"/>
            </w:numPr>
            <w:tabs>
              <w:tab w:pos="1919" w:val="left" w:leader="none"/>
              <w:tab w:pos="1920" w:val="left" w:leader="none"/>
              <w:tab w:pos="8931" w:val="left" w:leader="dot"/>
            </w:tabs>
            <w:spacing w:line="240" w:lineRule="auto" w:before="0" w:after="0"/>
            <w:ind w:left="1919" w:right="0" w:hanging="1702"/>
            <w:jc w:val="left"/>
          </w:pPr>
          <w:hyperlink w:history="true" w:anchor="_bookmark240">
            <w:r>
              <w:rPr/>
              <w:t>Inter-network power</w:t>
            </w:r>
            <w:r>
              <w:rPr>
                <w:spacing w:val="-3"/>
              </w:rPr>
              <w:t> </w:t>
            </w:r>
            <w:r>
              <w:rPr/>
              <w:t>system</w:t>
            </w:r>
            <w:r>
              <w:rPr>
                <w:spacing w:val="-2"/>
              </w:rPr>
              <w:t> </w:t>
            </w:r>
            <w:r>
              <w:rPr/>
              <w:t>tests</w:t>
              <w:tab/>
              <w:t>166</w:t>
            </w:r>
          </w:hyperlink>
        </w:p>
        <w:p>
          <w:pPr>
            <w:pStyle w:val="TOC3"/>
            <w:numPr>
              <w:ilvl w:val="2"/>
              <w:numId w:val="14"/>
            </w:numPr>
            <w:tabs>
              <w:tab w:pos="1919" w:val="left" w:leader="none"/>
              <w:tab w:pos="1920" w:val="left" w:leader="none"/>
              <w:tab w:pos="8931" w:val="left" w:leader="dot"/>
            </w:tabs>
            <w:spacing w:line="240" w:lineRule="auto" w:before="0" w:after="0"/>
            <w:ind w:left="1919" w:right="0" w:hanging="1702"/>
            <w:jc w:val="left"/>
          </w:pPr>
          <w:hyperlink w:history="true" w:anchor="_bookmark241">
            <w:r>
              <w:rPr/>
              <w:t>Contestable</w:t>
            </w:r>
            <w:r>
              <w:rPr>
                <w:spacing w:val="-1"/>
              </w:rPr>
              <w:t> </w:t>
            </w:r>
            <w:r>
              <w:rPr/>
              <w:t>IUSA components</w:t>
              <w:tab/>
              <w:t>172</w:t>
            </w:r>
          </w:hyperlink>
        </w:p>
        <w:p>
          <w:pPr>
            <w:pStyle w:val="TOC2"/>
            <w:numPr>
              <w:ilvl w:val="1"/>
              <w:numId w:val="13"/>
            </w:numPr>
            <w:tabs>
              <w:tab w:pos="1919" w:val="left" w:leader="none"/>
              <w:tab w:pos="1920" w:val="left" w:leader="none"/>
              <w:tab w:pos="8930" w:val="left" w:leader="dot"/>
            </w:tabs>
            <w:spacing w:line="240" w:lineRule="auto" w:before="120" w:after="0"/>
            <w:ind w:left="1919" w:right="0" w:hanging="1702"/>
            <w:jc w:val="left"/>
          </w:pPr>
          <w:hyperlink w:history="true" w:anchor="_bookmark242">
            <w:r>
              <w:rPr/>
              <w:t>Commissioning</w:t>
              <w:tab/>
              <w:t>172</w:t>
            </w:r>
          </w:hyperlink>
        </w:p>
        <w:p>
          <w:pPr>
            <w:pStyle w:val="TOC3"/>
            <w:numPr>
              <w:ilvl w:val="2"/>
              <w:numId w:val="13"/>
            </w:numPr>
            <w:tabs>
              <w:tab w:pos="1919" w:val="left" w:leader="none"/>
              <w:tab w:pos="1920" w:val="left" w:leader="none"/>
              <w:tab w:pos="8931" w:val="left" w:leader="dot"/>
            </w:tabs>
            <w:spacing w:line="240" w:lineRule="auto" w:before="0" w:after="0"/>
            <w:ind w:left="1919" w:right="0" w:hanging="1702"/>
            <w:jc w:val="left"/>
          </w:pPr>
          <w:hyperlink w:history="true" w:anchor="_bookmark243">
            <w:r>
              <w:rPr/>
              <w:t>Requirement to inspect and</w:t>
            </w:r>
            <w:r>
              <w:rPr>
                <w:spacing w:val="-3"/>
              </w:rPr>
              <w:t> </w:t>
            </w:r>
            <w:r>
              <w:rPr/>
              <w:t>test</w:t>
            </w:r>
            <w:r>
              <w:rPr>
                <w:spacing w:val="-1"/>
              </w:rPr>
              <w:t> </w:t>
            </w:r>
            <w:r>
              <w:rPr/>
              <w:t>equipment</w:t>
              <w:tab/>
              <w:t>172</w:t>
            </w:r>
          </w:hyperlink>
        </w:p>
        <w:p>
          <w:pPr>
            <w:pStyle w:val="TOC3"/>
            <w:numPr>
              <w:ilvl w:val="2"/>
              <w:numId w:val="13"/>
            </w:numPr>
            <w:tabs>
              <w:tab w:pos="1919" w:val="left" w:leader="none"/>
              <w:tab w:pos="1920" w:val="left" w:leader="none"/>
              <w:tab w:pos="8931" w:val="left" w:leader="dot"/>
            </w:tabs>
            <w:spacing w:line="240" w:lineRule="auto" w:before="0" w:after="0"/>
            <w:ind w:left="1919" w:right="0" w:hanging="1702"/>
            <w:jc w:val="left"/>
          </w:pPr>
          <w:hyperlink w:history="true" w:anchor="_bookmark244">
            <w:r>
              <w:rPr/>
              <w:t>Co-ordination</w:t>
            </w:r>
            <w:r>
              <w:rPr>
                <w:spacing w:val="-1"/>
              </w:rPr>
              <w:t> </w:t>
            </w:r>
            <w:r>
              <w:rPr/>
              <w:t>during</w:t>
            </w:r>
            <w:r>
              <w:rPr>
                <w:spacing w:val="-1"/>
              </w:rPr>
              <w:t> </w:t>
            </w:r>
            <w:r>
              <w:rPr/>
              <w:t>commissioning</w:t>
              <w:tab/>
              <w:t>173</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45">
            <w:r>
              <w:rPr/>
              <w:t>Control and protection settings</w:t>
            </w:r>
            <w:r>
              <w:rPr>
                <w:spacing w:val="-7"/>
              </w:rPr>
              <w:t> </w:t>
            </w:r>
            <w:r>
              <w:rPr/>
              <w:t>for</w:t>
            </w:r>
            <w:r>
              <w:rPr>
                <w:spacing w:val="-1"/>
              </w:rPr>
              <w:t> </w:t>
            </w:r>
            <w:r>
              <w:rPr/>
              <w:t>equipment</w:t>
              <w:tab/>
              <w:t>173</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46">
            <w:r>
              <w:rPr/>
              <w:t>Commissioning</w:t>
            </w:r>
            <w:r>
              <w:rPr>
                <w:spacing w:val="-1"/>
              </w:rPr>
              <w:t> </w:t>
            </w:r>
            <w:r>
              <w:rPr/>
              <w:t>program</w:t>
              <w:tab/>
              <w:t>174</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47">
            <w:r>
              <w:rPr/>
              <w:t>Commissioning</w:t>
            </w:r>
            <w:r>
              <w:rPr>
                <w:spacing w:val="-1"/>
              </w:rPr>
              <w:t> </w:t>
            </w:r>
            <w:r>
              <w:rPr/>
              <w:t>tests</w:t>
              <w:tab/>
              <w:t>174</w:t>
            </w:r>
          </w:hyperlink>
        </w:p>
        <w:p>
          <w:pPr>
            <w:pStyle w:val="TOC2"/>
            <w:numPr>
              <w:ilvl w:val="1"/>
              <w:numId w:val="13"/>
            </w:numPr>
            <w:tabs>
              <w:tab w:pos="1919" w:val="left" w:leader="none"/>
              <w:tab w:pos="1920" w:val="left" w:leader="none"/>
              <w:tab w:pos="8929" w:val="left" w:leader="dot"/>
            </w:tabs>
            <w:spacing w:line="240" w:lineRule="auto" w:before="120" w:after="0"/>
            <w:ind w:left="1919" w:right="0" w:hanging="1702"/>
            <w:jc w:val="left"/>
          </w:pPr>
          <w:hyperlink w:history="true" w:anchor="_bookmark248">
            <w:r>
              <w:rPr/>
              <w:t>Disconnection</w:t>
            </w:r>
            <w:r>
              <w:rPr>
                <w:spacing w:val="-6"/>
              </w:rPr>
              <w:t> </w:t>
            </w:r>
            <w:r>
              <w:rPr/>
              <w:t>and</w:t>
            </w:r>
            <w:r>
              <w:rPr>
                <w:spacing w:val="-6"/>
              </w:rPr>
              <w:t> </w:t>
            </w:r>
            <w:r>
              <w:rPr/>
              <w:t>Reconnection</w:t>
              <w:tab/>
              <w:t>175</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49">
            <w:r>
              <w:rPr/>
              <w:t>Voluntary</w:t>
            </w:r>
            <w:r>
              <w:rPr>
                <w:spacing w:val="-3"/>
              </w:rPr>
              <w:t> </w:t>
            </w:r>
            <w:r>
              <w:rPr/>
              <w:t>disconnection</w:t>
              <w:tab/>
              <w:t>175</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50">
            <w:r>
              <w:rPr/>
              <w:t>Decommissioning</w:t>
            </w:r>
            <w:r>
              <w:rPr>
                <w:spacing w:val="-2"/>
              </w:rPr>
              <w:t> </w:t>
            </w:r>
            <w:r>
              <w:rPr/>
              <w:t>procedures</w:t>
              <w:tab/>
              <w:t>176</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51">
            <w:r>
              <w:rPr/>
              <w:t>Involuntary</w:t>
            </w:r>
            <w:r>
              <w:rPr>
                <w:spacing w:val="-1"/>
              </w:rPr>
              <w:t> </w:t>
            </w:r>
            <w:r>
              <w:rPr/>
              <w:t>disconnection</w:t>
              <w:tab/>
              <w:t>176</w:t>
            </w:r>
          </w:hyperlink>
        </w:p>
        <w:p>
          <w:pPr>
            <w:pStyle w:val="TOC3"/>
            <w:numPr>
              <w:ilvl w:val="2"/>
              <w:numId w:val="13"/>
            </w:numPr>
            <w:tabs>
              <w:tab w:pos="1919" w:val="left" w:leader="none"/>
              <w:tab w:pos="1920" w:val="left" w:leader="none"/>
              <w:tab w:pos="8931" w:val="left" w:leader="dot"/>
            </w:tabs>
            <w:spacing w:line="240" w:lineRule="auto" w:before="0" w:after="240"/>
            <w:ind w:left="1919" w:right="0" w:hanging="1702"/>
            <w:jc w:val="left"/>
          </w:pPr>
          <w:hyperlink w:history="true" w:anchor="_bookmark252">
            <w:r>
              <w:rPr/>
              <w:t>Direction</w:t>
            </w:r>
            <w:r>
              <w:rPr>
                <w:spacing w:val="-2"/>
              </w:rPr>
              <w:t> </w:t>
            </w:r>
            <w:r>
              <w:rPr/>
              <w:t>to</w:t>
            </w:r>
            <w:r>
              <w:rPr>
                <w:spacing w:val="-1"/>
              </w:rPr>
              <w:t> </w:t>
            </w:r>
            <w:r>
              <w:rPr/>
              <w:t>disconnect</w:t>
              <w:tab/>
              <w:t>177</w:t>
            </w:r>
          </w:hyperlink>
        </w:p>
        <w:p>
          <w:pPr>
            <w:pStyle w:val="TOC3"/>
            <w:numPr>
              <w:ilvl w:val="2"/>
              <w:numId w:val="15"/>
            </w:numPr>
            <w:tabs>
              <w:tab w:pos="699" w:val="left" w:leader="none"/>
              <w:tab w:pos="1919" w:val="left" w:leader="none"/>
              <w:tab w:pos="8930" w:val="left" w:leader="dot"/>
            </w:tabs>
            <w:spacing w:line="240" w:lineRule="auto" w:before="83" w:after="0"/>
            <w:ind w:left="699" w:right="0" w:hanging="481"/>
            <w:jc w:val="left"/>
          </w:pPr>
          <w:hyperlink w:history="true" w:anchor="_bookmark253">
            <w:r>
              <w:rPr/>
              <w:t>A</w:t>
              <w:tab/>
              <w:t>Notification</w:t>
            </w:r>
            <w:r>
              <w:rPr>
                <w:spacing w:val="-2"/>
              </w:rPr>
              <w:t> </w:t>
            </w:r>
            <w:r>
              <w:rPr/>
              <w:t>of</w:t>
            </w:r>
            <w:r>
              <w:rPr>
                <w:spacing w:val="-1"/>
              </w:rPr>
              <w:t> </w:t>
            </w:r>
            <w:r>
              <w:rPr/>
              <w:t>disconnection</w:t>
              <w:tab/>
              <w:t>177</w:t>
            </w:r>
          </w:hyperlink>
        </w:p>
        <w:p>
          <w:pPr>
            <w:pStyle w:val="TOC3"/>
            <w:numPr>
              <w:ilvl w:val="2"/>
              <w:numId w:val="15"/>
            </w:numPr>
            <w:tabs>
              <w:tab w:pos="1919" w:val="left" w:leader="none"/>
              <w:tab w:pos="1920" w:val="left" w:leader="none"/>
              <w:tab w:pos="8930" w:val="left" w:leader="dot"/>
            </w:tabs>
            <w:spacing w:line="240" w:lineRule="auto" w:before="0" w:after="0"/>
            <w:ind w:left="1919" w:right="0" w:hanging="1702"/>
            <w:jc w:val="left"/>
          </w:pPr>
          <w:hyperlink w:history="true" w:anchor="_bookmark254">
            <w:r>
              <w:rPr/>
              <w:t>Disconnection during</w:t>
            </w:r>
            <w:r>
              <w:rPr>
                <w:spacing w:val="-4"/>
              </w:rPr>
              <w:t> </w:t>
            </w:r>
            <w:r>
              <w:rPr/>
              <w:t>an</w:t>
            </w:r>
            <w:r>
              <w:rPr>
                <w:spacing w:val="-2"/>
              </w:rPr>
              <w:t> </w:t>
            </w:r>
            <w:r>
              <w:rPr/>
              <w:t>emergency</w:t>
              <w:tab/>
              <w:t>178</w:t>
            </w:r>
          </w:hyperlink>
        </w:p>
        <w:p>
          <w:pPr>
            <w:pStyle w:val="TOC3"/>
            <w:numPr>
              <w:ilvl w:val="2"/>
              <w:numId w:val="15"/>
            </w:numPr>
            <w:tabs>
              <w:tab w:pos="1919" w:val="left" w:leader="none"/>
              <w:tab w:pos="1920" w:val="left" w:leader="none"/>
              <w:tab w:pos="8930" w:val="left" w:leader="dot"/>
            </w:tabs>
            <w:spacing w:line="240" w:lineRule="auto" w:before="0" w:after="0"/>
            <w:ind w:left="1919" w:right="0" w:hanging="1702"/>
            <w:jc w:val="left"/>
          </w:pPr>
          <w:hyperlink w:history="true" w:anchor="_bookmark255">
            <w:r>
              <w:rPr/>
              <w:t>Obligation</w:t>
            </w:r>
            <w:r>
              <w:rPr>
                <w:spacing w:val="-2"/>
              </w:rPr>
              <w:t> </w:t>
            </w:r>
            <w:r>
              <w:rPr/>
              <w:t>to</w:t>
            </w:r>
            <w:r>
              <w:rPr>
                <w:spacing w:val="-1"/>
              </w:rPr>
              <w:t> </w:t>
            </w:r>
            <w:r>
              <w:rPr/>
              <w:t>reconnect</w:t>
              <w:tab/>
              <w:t>178</w:t>
            </w:r>
          </w:hyperlink>
        </w:p>
        <w:p>
          <w:pPr>
            <w:pStyle w:val="TOC2"/>
            <w:tabs>
              <w:tab w:pos="1919" w:val="left" w:leader="none"/>
              <w:tab w:pos="8930" w:val="left" w:leader="dot"/>
            </w:tabs>
          </w:pPr>
          <w:hyperlink w:history="true" w:anchor="_bookmark256">
            <w:r>
              <w:rPr/>
              <w:t>Part D</w:t>
              <w:tab/>
              <w:t>Network Planning</w:t>
            </w:r>
            <w:r>
              <w:rPr>
                <w:spacing w:val="-4"/>
              </w:rPr>
              <w:t> </w:t>
            </w:r>
            <w:r>
              <w:rPr/>
              <w:t>and</w:t>
            </w:r>
            <w:r>
              <w:rPr>
                <w:spacing w:val="-2"/>
              </w:rPr>
              <w:t> </w:t>
            </w:r>
            <w:r>
              <w:rPr/>
              <w:t>Expansion</w:t>
              <w:tab/>
              <w:t>179</w:t>
            </w:r>
          </w:hyperlink>
        </w:p>
        <w:p>
          <w:pPr>
            <w:pStyle w:val="TOC2"/>
            <w:numPr>
              <w:ilvl w:val="1"/>
              <w:numId w:val="13"/>
            </w:numPr>
            <w:tabs>
              <w:tab w:pos="1919" w:val="left" w:leader="none"/>
              <w:tab w:pos="1920" w:val="left" w:leader="none"/>
              <w:tab w:pos="8929" w:val="left" w:leader="dot"/>
            </w:tabs>
            <w:spacing w:line="240" w:lineRule="auto" w:before="120" w:after="0"/>
            <w:ind w:left="1919" w:right="0" w:hanging="1702"/>
            <w:jc w:val="left"/>
          </w:pPr>
          <w:hyperlink w:history="true" w:anchor="_bookmark257">
            <w:r>
              <w:rPr/>
              <w:t>Network</w:t>
            </w:r>
            <w:r>
              <w:rPr>
                <w:spacing w:val="-4"/>
              </w:rPr>
              <w:t> </w:t>
            </w:r>
            <w:r>
              <w:rPr/>
              <w:t>development</w:t>
            </w:r>
            <w:r>
              <w:rPr>
                <w:spacing w:val="-4"/>
              </w:rPr>
              <w:t> </w:t>
            </w:r>
            <w:r>
              <w:rPr/>
              <w:t>generally</w:t>
              <w:tab/>
              <w:t>179</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58">
            <w:r>
              <w:rPr/>
              <w:t>Content of</w:t>
            </w:r>
            <w:r>
              <w:rPr>
                <w:spacing w:val="-2"/>
              </w:rPr>
              <w:t> </w:t>
            </w:r>
            <w:r>
              <w:rPr/>
              <w:t>Part</w:t>
            </w:r>
            <w:r>
              <w:rPr>
                <w:spacing w:val="-2"/>
              </w:rPr>
              <w:t> </w:t>
            </w:r>
            <w:r>
              <w:rPr/>
              <w:t>D</w:t>
              <w:tab/>
              <w:t>179</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59">
            <w:r>
              <w:rPr/>
              <w:t>Definitions</w:t>
              <w:tab/>
              <w:t>180</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60">
            <w:r>
              <w:rPr/>
              <w:t>Interpretation</w:t>
              <w:tab/>
              <w:t>183</w:t>
            </w:r>
          </w:hyperlink>
        </w:p>
        <w:p>
          <w:pPr>
            <w:pStyle w:val="TOC2"/>
            <w:numPr>
              <w:ilvl w:val="1"/>
              <w:numId w:val="13"/>
            </w:numPr>
            <w:tabs>
              <w:tab w:pos="1919" w:val="left" w:leader="none"/>
              <w:tab w:pos="1920" w:val="left" w:leader="none"/>
              <w:tab w:pos="3140" w:val="left" w:leader="none"/>
              <w:tab w:pos="3589" w:val="left" w:leader="none"/>
              <w:tab w:pos="4945" w:val="left" w:leader="none"/>
              <w:tab w:pos="5393" w:val="left" w:leader="none"/>
              <w:tab w:pos="8931" w:val="left" w:leader="dot"/>
            </w:tabs>
            <w:spacing w:line="240" w:lineRule="auto" w:before="120" w:after="0"/>
            <w:ind w:left="1919" w:right="413" w:hanging="1701"/>
            <w:jc w:val="left"/>
          </w:pPr>
          <w:hyperlink w:history="true" w:anchor="_bookmark261">
            <w:r>
              <w:rPr/>
              <w:t>Forecasts</w:t>
              <w:tab/>
              <w:t>of</w:t>
              <w:tab/>
              <w:t>connection</w:t>
              <w:tab/>
              <w:t>to</w:t>
              <w:tab/>
              <w:t>transmission network and</w:t>
            </w:r>
          </w:hyperlink>
          <w:hyperlink w:history="true" w:anchor="_bookmark261">
            <w:r>
              <w:rPr/>
              <w:t> identification of</w:t>
            </w:r>
            <w:r>
              <w:rPr>
                <w:spacing w:val="-1"/>
              </w:rPr>
              <w:t> </w:t>
            </w:r>
            <w:r>
              <w:rPr/>
              <w:t>system</w:t>
            </w:r>
            <w:r>
              <w:rPr>
                <w:spacing w:val="-1"/>
              </w:rPr>
              <w:t> </w:t>
            </w:r>
            <w:r>
              <w:rPr/>
              <w:t>limitations</w:t>
              <w:tab/>
            </w:r>
            <w:r>
              <w:rPr>
                <w:spacing w:val="-6"/>
              </w:rPr>
              <w:t>184</w:t>
            </w:r>
          </w:hyperlink>
        </w:p>
        <w:p>
          <w:pPr>
            <w:pStyle w:val="TOC3"/>
            <w:numPr>
              <w:ilvl w:val="2"/>
              <w:numId w:val="13"/>
            </w:numPr>
            <w:tabs>
              <w:tab w:pos="1919" w:val="left" w:leader="none"/>
              <w:tab w:pos="1920" w:val="left" w:leader="none"/>
              <w:tab w:pos="8932" w:val="left" w:leader="dot"/>
            </w:tabs>
            <w:spacing w:line="240" w:lineRule="auto" w:before="0" w:after="0"/>
            <w:ind w:left="1919" w:right="0" w:hanging="1702"/>
            <w:jc w:val="left"/>
          </w:pPr>
          <w:hyperlink w:history="true" w:anchor="_bookmark262">
            <w:r>
              <w:rPr/>
              <w:t>Forecasts for connection to</w:t>
            </w:r>
            <w:r>
              <w:rPr>
                <w:spacing w:val="-4"/>
              </w:rPr>
              <w:t> </w:t>
            </w:r>
            <w:r>
              <w:rPr/>
              <w:t>transmission</w:t>
            </w:r>
            <w:r>
              <w:rPr>
                <w:spacing w:val="-1"/>
              </w:rPr>
              <w:t> </w:t>
            </w:r>
            <w:r>
              <w:rPr/>
              <w:t>network</w:t>
              <w:tab/>
              <w:t>184</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63">
            <w:r>
              <w:rPr/>
              <w:t>Identification of</w:t>
            </w:r>
            <w:r>
              <w:rPr>
                <w:spacing w:val="-2"/>
              </w:rPr>
              <w:t> </w:t>
            </w:r>
            <w:r>
              <w:rPr/>
              <w:t>network limitations</w:t>
              <w:tab/>
              <w:t>184</w:t>
            </w:r>
          </w:hyperlink>
        </w:p>
        <w:p>
          <w:pPr>
            <w:pStyle w:val="TOC2"/>
            <w:numPr>
              <w:ilvl w:val="1"/>
              <w:numId w:val="13"/>
            </w:numPr>
            <w:tabs>
              <w:tab w:pos="1919" w:val="left" w:leader="none"/>
              <w:tab w:pos="1920" w:val="left" w:leader="none"/>
              <w:tab w:pos="8930" w:val="left" w:leader="dot"/>
            </w:tabs>
            <w:spacing w:line="240" w:lineRule="auto" w:before="120" w:after="0"/>
            <w:ind w:left="1919" w:right="0" w:hanging="1702"/>
            <w:jc w:val="left"/>
          </w:pPr>
          <w:hyperlink w:history="true" w:anchor="_bookmark264">
            <w:r>
              <w:rPr/>
              <w:t>Transmission annual</w:t>
            </w:r>
            <w:r>
              <w:rPr>
                <w:spacing w:val="-9"/>
              </w:rPr>
              <w:t> </w:t>
            </w:r>
            <w:r>
              <w:rPr/>
              <w:t>planning</w:t>
            </w:r>
            <w:r>
              <w:rPr>
                <w:spacing w:val="-4"/>
              </w:rPr>
              <w:t> </w:t>
            </w:r>
            <w:r>
              <w:rPr/>
              <w:t>process</w:t>
              <w:tab/>
              <w:t>185</w:t>
            </w:r>
          </w:hyperlink>
        </w:p>
        <w:p>
          <w:pPr>
            <w:pStyle w:val="TOC3"/>
            <w:numPr>
              <w:ilvl w:val="2"/>
              <w:numId w:val="13"/>
            </w:numPr>
            <w:tabs>
              <w:tab w:pos="1919" w:val="left" w:leader="none"/>
              <w:tab w:pos="1920" w:val="left" w:leader="none"/>
              <w:tab w:pos="8931" w:val="left" w:leader="dot"/>
            </w:tabs>
            <w:spacing w:line="240" w:lineRule="auto" w:before="0" w:after="0"/>
            <w:ind w:left="1919" w:right="0" w:hanging="1702"/>
            <w:jc w:val="left"/>
          </w:pPr>
          <w:hyperlink w:history="true" w:anchor="_bookmark265">
            <w:r>
              <w:rPr/>
              <w:t>Transmission annual</w:t>
            </w:r>
            <w:r>
              <w:rPr>
                <w:spacing w:val="-1"/>
              </w:rPr>
              <w:t> </w:t>
            </w:r>
            <w:r>
              <w:rPr/>
              <w:t>planning</w:t>
            </w:r>
            <w:r>
              <w:rPr>
                <w:spacing w:val="-1"/>
              </w:rPr>
              <w:t> </w:t>
            </w:r>
            <w:r>
              <w:rPr/>
              <w:t>review</w:t>
              <w:tab/>
              <w:t>185</w:t>
            </w:r>
          </w:hyperlink>
        </w:p>
        <w:p>
          <w:pPr>
            <w:pStyle w:val="TOC3"/>
            <w:numPr>
              <w:ilvl w:val="2"/>
              <w:numId w:val="13"/>
            </w:numPr>
            <w:tabs>
              <w:tab w:pos="1919" w:val="left" w:leader="none"/>
              <w:tab w:pos="1920" w:val="left" w:leader="none"/>
              <w:tab w:pos="8929" w:val="left" w:leader="dot"/>
            </w:tabs>
            <w:spacing w:line="240" w:lineRule="auto" w:before="0" w:after="0"/>
            <w:ind w:left="1919" w:right="0" w:hanging="1702"/>
            <w:jc w:val="left"/>
          </w:pPr>
          <w:hyperlink w:history="true" w:anchor="_bookmark266">
            <w:r>
              <w:rPr/>
              <w:t>Transmission Annual</w:t>
            </w:r>
            <w:r>
              <w:rPr>
                <w:spacing w:val="-6"/>
              </w:rPr>
              <w:t> </w:t>
            </w:r>
            <w:r>
              <w:rPr/>
              <w:t>Planning</w:t>
            </w:r>
            <w:r>
              <w:rPr>
                <w:spacing w:val="-4"/>
              </w:rPr>
              <w:t> </w:t>
            </w:r>
            <w:r>
              <w:rPr/>
              <w:t>Report</w:t>
              <w:tab/>
              <w:t>186</w:t>
            </w:r>
          </w:hyperlink>
        </w:p>
        <w:p>
          <w:pPr>
            <w:pStyle w:val="TOC2"/>
            <w:numPr>
              <w:ilvl w:val="1"/>
              <w:numId w:val="13"/>
            </w:numPr>
            <w:tabs>
              <w:tab w:pos="1919" w:val="left" w:leader="none"/>
              <w:tab w:pos="1920" w:val="left" w:leader="none"/>
              <w:tab w:pos="8929" w:val="left" w:leader="dot"/>
            </w:tabs>
            <w:spacing w:line="240" w:lineRule="auto" w:before="120" w:after="0"/>
            <w:ind w:left="1919" w:right="0" w:hanging="1702"/>
            <w:jc w:val="left"/>
          </w:pPr>
          <w:hyperlink w:history="true" w:anchor="_bookmark267">
            <w:r>
              <w:rPr/>
              <w:t>Distribution annual</w:t>
            </w:r>
            <w:r>
              <w:rPr>
                <w:spacing w:val="-9"/>
              </w:rPr>
              <w:t> </w:t>
            </w:r>
            <w:r>
              <w:rPr/>
              <w:t>planning</w:t>
            </w:r>
            <w:r>
              <w:rPr>
                <w:spacing w:val="-5"/>
              </w:rPr>
              <w:t> </w:t>
            </w:r>
            <w:r>
              <w:rPr/>
              <w:t>process</w:t>
              <w:tab/>
              <w:t>190</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68">
            <w:r>
              <w:rPr/>
              <w:t>Distribution annual</w:t>
            </w:r>
            <w:r>
              <w:rPr>
                <w:spacing w:val="-3"/>
              </w:rPr>
              <w:t> </w:t>
            </w:r>
            <w:r>
              <w:rPr/>
              <w:t>planning</w:t>
            </w:r>
            <w:r>
              <w:rPr>
                <w:spacing w:val="-1"/>
              </w:rPr>
              <w:t> </w:t>
            </w:r>
            <w:r>
              <w:rPr/>
              <w:t>review</w:t>
              <w:tab/>
              <w:t>190</w:t>
            </w:r>
          </w:hyperlink>
        </w:p>
        <w:p>
          <w:pPr>
            <w:pStyle w:val="TOC3"/>
            <w:numPr>
              <w:ilvl w:val="2"/>
              <w:numId w:val="13"/>
            </w:numPr>
            <w:tabs>
              <w:tab w:pos="1919" w:val="left" w:leader="none"/>
              <w:tab w:pos="1920" w:val="left" w:leader="none"/>
              <w:tab w:pos="8929" w:val="left" w:leader="dot"/>
            </w:tabs>
            <w:spacing w:line="240" w:lineRule="auto" w:before="0" w:after="0"/>
            <w:ind w:left="1919" w:right="0" w:hanging="1702"/>
            <w:jc w:val="left"/>
          </w:pPr>
          <w:hyperlink w:history="true" w:anchor="_bookmark269">
            <w:r>
              <w:rPr/>
              <w:t>Distribution Annual</w:t>
            </w:r>
            <w:r>
              <w:rPr>
                <w:spacing w:val="-7"/>
              </w:rPr>
              <w:t> </w:t>
            </w:r>
            <w:r>
              <w:rPr/>
              <w:t>Planning</w:t>
            </w:r>
            <w:r>
              <w:rPr>
                <w:spacing w:val="-4"/>
              </w:rPr>
              <w:t> </w:t>
            </w:r>
            <w:r>
              <w:rPr/>
              <w:t>Report</w:t>
              <w:tab/>
              <w:t>191</w:t>
            </w:r>
          </w:hyperlink>
        </w:p>
        <w:p>
          <w:pPr>
            <w:pStyle w:val="TOC3"/>
            <w:numPr>
              <w:ilvl w:val="2"/>
              <w:numId w:val="13"/>
            </w:numPr>
            <w:tabs>
              <w:tab w:pos="1919" w:val="left" w:leader="none"/>
              <w:tab w:pos="1920" w:val="left" w:leader="none"/>
              <w:tab w:pos="8930" w:val="left" w:leader="dot"/>
            </w:tabs>
            <w:spacing w:line="240" w:lineRule="auto" w:before="0" w:after="0"/>
            <w:ind w:left="1919" w:right="0" w:hanging="1702"/>
            <w:jc w:val="left"/>
          </w:pPr>
          <w:hyperlink w:history="true" w:anchor="_bookmark270">
            <w:r>
              <w:rPr/>
              <w:t>Distribution system</w:t>
            </w:r>
            <w:r>
              <w:rPr>
                <w:spacing w:val="-6"/>
              </w:rPr>
              <w:t> </w:t>
            </w:r>
            <w:r>
              <w:rPr/>
              <w:t>limitation</w:t>
            </w:r>
            <w:r>
              <w:rPr>
                <w:spacing w:val="-2"/>
              </w:rPr>
              <w:t> </w:t>
            </w:r>
            <w:r>
              <w:rPr/>
              <w:t>template</w:t>
              <w:tab/>
              <w:t>192</w:t>
            </w:r>
          </w:hyperlink>
        </w:p>
        <w:p>
          <w:pPr>
            <w:pStyle w:val="TOC2"/>
            <w:numPr>
              <w:ilvl w:val="1"/>
              <w:numId w:val="16"/>
            </w:numPr>
            <w:tabs>
              <w:tab w:pos="639" w:val="left" w:leader="none"/>
              <w:tab w:pos="1919" w:val="left" w:leader="none"/>
              <w:tab w:pos="8930" w:val="left" w:leader="dot"/>
            </w:tabs>
            <w:spacing w:line="240" w:lineRule="auto" w:before="120" w:after="0"/>
            <w:ind w:left="639" w:right="0" w:hanging="421"/>
            <w:jc w:val="left"/>
          </w:pPr>
          <w:hyperlink w:history="true" w:anchor="_bookmark271">
            <w:r>
              <w:rPr/>
              <w:t>A</w:t>
              <w:tab/>
              <w:t>Distribution zone</w:t>
            </w:r>
            <w:r>
              <w:rPr>
                <w:spacing w:val="-7"/>
              </w:rPr>
              <w:t> </w:t>
            </w:r>
            <w:r>
              <w:rPr/>
              <w:t>substation</w:t>
            </w:r>
            <w:r>
              <w:rPr>
                <w:spacing w:val="-5"/>
              </w:rPr>
              <w:t> </w:t>
            </w:r>
            <w:r>
              <w:rPr/>
              <w:t>information</w:t>
              <w:tab/>
              <w:t>193</w:t>
            </w:r>
          </w:hyperlink>
        </w:p>
        <w:p>
          <w:pPr>
            <w:pStyle w:val="TOC2"/>
            <w:numPr>
              <w:ilvl w:val="1"/>
              <w:numId w:val="16"/>
            </w:numPr>
            <w:tabs>
              <w:tab w:pos="1919" w:val="left" w:leader="none"/>
              <w:tab w:pos="1920" w:val="left" w:leader="none"/>
              <w:tab w:pos="8930" w:val="left" w:leader="dot"/>
            </w:tabs>
            <w:spacing w:line="240" w:lineRule="auto" w:before="120" w:after="0"/>
            <w:ind w:left="1919" w:right="0" w:hanging="1702"/>
            <w:jc w:val="left"/>
          </w:pPr>
          <w:hyperlink w:history="true" w:anchor="_bookmark272">
            <w:r>
              <w:rPr/>
              <w:t>Joint</w:t>
            </w:r>
            <w:r>
              <w:rPr>
                <w:spacing w:val="-3"/>
              </w:rPr>
              <w:t> </w:t>
            </w:r>
            <w:r>
              <w:rPr/>
              <w:t>planning</w:t>
              <w:tab/>
              <w:t>195</w:t>
            </w:r>
          </w:hyperlink>
        </w:p>
        <w:p>
          <w:pPr>
            <w:pStyle w:val="TOC3"/>
            <w:numPr>
              <w:ilvl w:val="2"/>
              <w:numId w:val="16"/>
            </w:numPr>
            <w:tabs>
              <w:tab w:pos="1919" w:val="left" w:leader="none"/>
              <w:tab w:pos="1920" w:val="left" w:leader="none"/>
              <w:tab w:pos="8929" w:val="left" w:leader="dot"/>
            </w:tabs>
            <w:spacing w:line="240" w:lineRule="auto" w:before="0" w:after="0"/>
            <w:ind w:left="1919" w:right="415" w:hanging="1701"/>
            <w:jc w:val="left"/>
          </w:pPr>
          <w:hyperlink w:history="true" w:anchor="_bookmark273">
            <w:r>
              <w:rPr/>
              <w:t>Joint  planning   obligations   of   Transmission   Network   Service</w:t>
            </w:r>
          </w:hyperlink>
          <w:hyperlink w:history="true" w:anchor="_bookmark273">
            <w:r>
              <w:rPr/>
              <w:t> Providers and Distribution Network</w:t>
            </w:r>
            <w:r>
              <w:rPr>
                <w:spacing w:val="-20"/>
              </w:rPr>
              <w:t> </w:t>
            </w:r>
            <w:r>
              <w:rPr/>
              <w:t>Service</w:t>
            </w:r>
            <w:r>
              <w:rPr>
                <w:spacing w:val="-5"/>
              </w:rPr>
              <w:t> </w:t>
            </w:r>
            <w:r>
              <w:rPr/>
              <w:t>Providers</w:t>
              <w:tab/>
            </w:r>
            <w:r>
              <w:rPr>
                <w:spacing w:val="-6"/>
              </w:rPr>
              <w:t>195</w:t>
            </w:r>
          </w:hyperlink>
        </w:p>
        <w:p>
          <w:pPr>
            <w:pStyle w:val="TOC3"/>
            <w:numPr>
              <w:ilvl w:val="2"/>
              <w:numId w:val="16"/>
            </w:numPr>
            <w:tabs>
              <w:tab w:pos="1919" w:val="left" w:leader="none"/>
              <w:tab w:pos="1920" w:val="left" w:leader="none"/>
              <w:tab w:pos="2589" w:val="left" w:leader="none"/>
              <w:tab w:pos="3634" w:val="left" w:leader="none"/>
              <w:tab w:pos="4905" w:val="left" w:leader="none"/>
              <w:tab w:pos="5309" w:val="left" w:leader="none"/>
              <w:tab w:pos="6673" w:val="left" w:leader="none"/>
              <w:tab w:pos="8929" w:val="left" w:leader="dot"/>
            </w:tabs>
            <w:spacing w:line="240" w:lineRule="auto" w:before="0" w:after="0"/>
            <w:ind w:left="1919" w:right="415" w:hanging="1701"/>
            <w:jc w:val="left"/>
          </w:pPr>
          <w:hyperlink w:history="true" w:anchor="_bookmark274">
            <w:r>
              <w:rPr/>
              <w:t>Joint</w:t>
              <w:tab/>
              <w:t>planning</w:t>
              <w:tab/>
              <w:t>obligations</w:t>
              <w:tab/>
              <w:t>of</w:t>
              <w:tab/>
              <w:t>Distribution</w:t>
              <w:tab/>
              <w:t>Network  Service</w:t>
            </w:r>
          </w:hyperlink>
          <w:hyperlink w:history="true" w:anchor="_bookmark274">
            <w:r>
              <w:rPr/>
              <w:t> Providers and Distribution Network</w:t>
            </w:r>
            <w:r>
              <w:rPr>
                <w:spacing w:val="-20"/>
              </w:rPr>
              <w:t> </w:t>
            </w:r>
            <w:r>
              <w:rPr/>
              <w:t>Service</w:t>
            </w:r>
            <w:r>
              <w:rPr>
                <w:spacing w:val="-5"/>
              </w:rPr>
              <w:t> </w:t>
            </w:r>
            <w:r>
              <w:rPr/>
              <w:t>Providers</w:t>
              <w:tab/>
            </w:r>
            <w:r>
              <w:rPr>
                <w:spacing w:val="-6"/>
              </w:rPr>
              <w:t>197</w:t>
            </w:r>
          </w:hyperlink>
        </w:p>
        <w:p>
          <w:pPr>
            <w:pStyle w:val="TOC3"/>
            <w:numPr>
              <w:ilvl w:val="2"/>
              <w:numId w:val="16"/>
            </w:numPr>
            <w:tabs>
              <w:tab w:pos="1919" w:val="left" w:leader="none"/>
              <w:tab w:pos="1920" w:val="left" w:leader="none"/>
              <w:tab w:pos="8930" w:val="left" w:leader="dot"/>
            </w:tabs>
            <w:spacing w:line="240" w:lineRule="auto" w:before="0" w:after="0"/>
            <w:ind w:left="1919" w:right="414" w:hanging="1701"/>
            <w:jc w:val="left"/>
          </w:pPr>
          <w:hyperlink w:history="true" w:anchor="_bookmark275">
            <w:r>
              <w:rPr/>
              <w:t>Joint  planning   obligations   of   Transmission   Network   Service</w:t>
            </w:r>
          </w:hyperlink>
          <w:hyperlink w:history="true" w:anchor="_bookmark275">
            <w:r>
              <w:rPr/>
              <w:t> Providers</w:t>
              <w:tab/>
            </w:r>
            <w:r>
              <w:rPr>
                <w:spacing w:val="-6"/>
              </w:rPr>
              <w:t>197</w:t>
            </w:r>
          </w:hyperlink>
        </w:p>
        <w:p>
          <w:pPr>
            <w:pStyle w:val="TOC2"/>
            <w:tabs>
              <w:tab w:pos="1919" w:val="left" w:leader="none"/>
              <w:tab w:pos="8928" w:val="left" w:leader="dot"/>
            </w:tabs>
            <w:ind w:left="1919" w:right="416" w:hanging="1701"/>
          </w:pPr>
          <w:hyperlink w:history="true" w:anchor="_bookmark276">
            <w:r>
              <w:rPr/>
              <w:t>5.14A</w:t>
              <w:tab/>
              <w:t>Joint  planning  in   relation   to   retirement   or   de-ratings   of</w:t>
            </w:r>
          </w:hyperlink>
          <w:hyperlink w:history="true" w:anchor="_bookmark276">
            <w:r>
              <w:rPr/>
              <w:t> network assets forming part of the Declared</w:t>
            </w:r>
            <w:r>
              <w:rPr>
                <w:spacing w:val="-23"/>
              </w:rPr>
              <w:t> </w:t>
            </w:r>
            <w:r>
              <w:rPr/>
              <w:t>Shared</w:t>
            </w:r>
            <w:r>
              <w:rPr>
                <w:spacing w:val="-4"/>
              </w:rPr>
              <w:t> </w:t>
            </w:r>
            <w:r>
              <w:rPr/>
              <w:t>Network</w:t>
              <w:tab/>
            </w:r>
            <w:r>
              <w:rPr>
                <w:spacing w:val="-6"/>
              </w:rPr>
              <w:t>197</w:t>
            </w:r>
          </w:hyperlink>
        </w:p>
        <w:p>
          <w:pPr>
            <w:pStyle w:val="TOC2"/>
            <w:tabs>
              <w:tab w:pos="1919" w:val="left" w:leader="none"/>
              <w:tab w:pos="8931" w:val="left" w:leader="dot"/>
            </w:tabs>
          </w:pPr>
          <w:hyperlink w:history="true" w:anchor="_bookmark277">
            <w:r>
              <w:rPr/>
              <w:t>5.14B</w:t>
              <w:tab/>
              <w:t>TAPR</w:t>
            </w:r>
            <w:r>
              <w:rPr>
                <w:spacing w:val="-2"/>
              </w:rPr>
              <w:t> </w:t>
            </w:r>
            <w:r>
              <w:rPr/>
              <w:t>Guidelines</w:t>
              <w:tab/>
              <w:t>198</w:t>
            </w:r>
          </w:hyperlink>
        </w:p>
        <w:p>
          <w:pPr>
            <w:pStyle w:val="TOC3"/>
            <w:numPr>
              <w:ilvl w:val="1"/>
              <w:numId w:val="17"/>
            </w:numPr>
            <w:tabs>
              <w:tab w:pos="639" w:val="left" w:leader="none"/>
              <w:tab w:pos="1919" w:val="left" w:leader="none"/>
              <w:tab w:pos="8931" w:val="left" w:leader="dot"/>
            </w:tabs>
            <w:spacing w:line="240" w:lineRule="auto" w:before="0" w:after="0"/>
            <w:ind w:left="639" w:right="0" w:hanging="421"/>
            <w:jc w:val="left"/>
            <w:rPr>
              <w:sz w:val="22"/>
            </w:rPr>
          </w:pPr>
          <w:hyperlink w:history="true" w:anchor="_bookmark278">
            <w:r>
              <w:rPr/>
              <w:t>B.1</w:t>
              <w:tab/>
              <w:t>Development of</w:t>
            </w:r>
            <w:r>
              <w:rPr>
                <w:spacing w:val="-5"/>
              </w:rPr>
              <w:t> </w:t>
            </w:r>
            <w:r>
              <w:rPr/>
              <w:t>TAPR</w:t>
            </w:r>
            <w:r>
              <w:rPr>
                <w:spacing w:val="-2"/>
              </w:rPr>
              <w:t> </w:t>
            </w:r>
            <w:r>
              <w:rPr/>
              <w:t>Guidelines</w:t>
              <w:tab/>
              <w:t>198</w:t>
            </w:r>
          </w:hyperlink>
        </w:p>
        <w:p>
          <w:pPr>
            <w:pStyle w:val="TOC2"/>
            <w:numPr>
              <w:ilvl w:val="1"/>
              <w:numId w:val="17"/>
            </w:numPr>
            <w:tabs>
              <w:tab w:pos="1919" w:val="left" w:leader="none"/>
              <w:tab w:pos="1920" w:val="left" w:leader="none"/>
              <w:tab w:pos="8931" w:val="left" w:leader="dot"/>
            </w:tabs>
            <w:spacing w:line="240" w:lineRule="auto" w:before="120" w:after="0"/>
            <w:ind w:left="1919" w:right="0" w:hanging="1702"/>
            <w:jc w:val="left"/>
          </w:pPr>
          <w:hyperlink w:history="true" w:anchor="_bookmark279">
            <w:r>
              <w:rPr/>
              <w:t>Regulatory investment</w:t>
            </w:r>
            <w:r>
              <w:rPr>
                <w:spacing w:val="-4"/>
              </w:rPr>
              <w:t> </w:t>
            </w:r>
            <w:r>
              <w:rPr/>
              <w:t>tests</w:t>
            </w:r>
            <w:r>
              <w:rPr>
                <w:spacing w:val="-2"/>
              </w:rPr>
              <w:t> </w:t>
            </w:r>
            <w:r>
              <w:rPr/>
              <w:t>generally</w:t>
              <w:tab/>
              <w:t>198</w:t>
            </w:r>
          </w:hyperlink>
        </w:p>
        <w:p>
          <w:pPr>
            <w:pStyle w:val="TOC3"/>
            <w:numPr>
              <w:ilvl w:val="2"/>
              <w:numId w:val="17"/>
            </w:numPr>
            <w:tabs>
              <w:tab w:pos="1919" w:val="left" w:leader="none"/>
              <w:tab w:pos="1920" w:val="left" w:leader="none"/>
              <w:tab w:pos="8931" w:val="left" w:leader="dot"/>
            </w:tabs>
            <w:spacing w:line="240" w:lineRule="auto" w:before="0" w:after="0"/>
            <w:ind w:left="1919" w:right="0" w:hanging="1702"/>
            <w:jc w:val="left"/>
          </w:pPr>
          <w:hyperlink w:history="true" w:anchor="_bookmark280">
            <w:r>
              <w:rPr/>
              <w:t>Interested</w:t>
            </w:r>
            <w:r>
              <w:rPr>
                <w:spacing w:val="-1"/>
              </w:rPr>
              <w:t> </w:t>
            </w:r>
            <w:r>
              <w:rPr/>
              <w:t>parties</w:t>
              <w:tab/>
              <w:t>198</w:t>
            </w:r>
          </w:hyperlink>
        </w:p>
        <w:p>
          <w:pPr>
            <w:pStyle w:val="TOC3"/>
            <w:numPr>
              <w:ilvl w:val="2"/>
              <w:numId w:val="17"/>
            </w:numPr>
            <w:tabs>
              <w:tab w:pos="1919" w:val="left" w:leader="none"/>
              <w:tab w:pos="1920" w:val="left" w:leader="none"/>
              <w:tab w:pos="8930" w:val="left" w:leader="dot"/>
            </w:tabs>
            <w:spacing w:line="240" w:lineRule="auto" w:before="0" w:after="0"/>
            <w:ind w:left="1919" w:right="0" w:hanging="1702"/>
            <w:jc w:val="left"/>
          </w:pPr>
          <w:hyperlink w:history="true" w:anchor="_bookmark281">
            <w:r>
              <w:rPr/>
              <w:t>Identification of a</w:t>
            </w:r>
            <w:r>
              <w:rPr>
                <w:spacing w:val="-2"/>
              </w:rPr>
              <w:t> </w:t>
            </w:r>
            <w:r>
              <w:rPr/>
              <w:t>credible option</w:t>
              <w:tab/>
              <w:t>198</w:t>
            </w:r>
          </w:hyperlink>
        </w:p>
        <w:p>
          <w:pPr>
            <w:pStyle w:val="TOC3"/>
            <w:numPr>
              <w:ilvl w:val="2"/>
              <w:numId w:val="17"/>
            </w:numPr>
            <w:tabs>
              <w:tab w:pos="1919" w:val="left" w:leader="none"/>
              <w:tab w:pos="1920" w:val="left" w:leader="none"/>
              <w:tab w:pos="8931" w:val="left" w:leader="dot"/>
            </w:tabs>
            <w:spacing w:line="240" w:lineRule="auto" w:before="0" w:after="0"/>
            <w:ind w:left="1919" w:right="0" w:hanging="1702"/>
            <w:jc w:val="left"/>
          </w:pPr>
          <w:hyperlink w:history="true" w:anchor="_bookmark282">
            <w:r>
              <w:rPr/>
              <w:t>Review of</w:t>
            </w:r>
            <w:r>
              <w:rPr>
                <w:spacing w:val="-1"/>
              </w:rPr>
              <w:t> </w:t>
            </w:r>
            <w:r>
              <w:rPr/>
              <w:t>costs thresholds</w:t>
              <w:tab/>
              <w:t>199</w:t>
            </w:r>
          </w:hyperlink>
        </w:p>
        <w:p>
          <w:pPr>
            <w:pStyle w:val="TOC3"/>
            <w:numPr>
              <w:ilvl w:val="2"/>
              <w:numId w:val="17"/>
            </w:numPr>
            <w:tabs>
              <w:tab w:pos="1919" w:val="left" w:leader="none"/>
              <w:tab w:pos="1920" w:val="left" w:leader="none"/>
              <w:tab w:pos="8930" w:val="left" w:leader="dot"/>
            </w:tabs>
            <w:spacing w:line="240" w:lineRule="auto" w:before="0" w:after="0"/>
            <w:ind w:left="1919" w:right="0" w:hanging="1702"/>
            <w:jc w:val="left"/>
          </w:pPr>
          <w:hyperlink w:history="true" w:anchor="_bookmark283">
            <w:r>
              <w:rPr/>
              <w:t>Costs</w:t>
            </w:r>
            <w:r>
              <w:rPr>
                <w:spacing w:val="-2"/>
              </w:rPr>
              <w:t> </w:t>
            </w:r>
            <w:r>
              <w:rPr/>
              <w:t>determinations</w:t>
              <w:tab/>
              <w:t>201</w:t>
            </w:r>
          </w:hyperlink>
        </w:p>
        <w:p>
          <w:pPr>
            <w:pStyle w:val="TOC2"/>
            <w:numPr>
              <w:ilvl w:val="1"/>
              <w:numId w:val="17"/>
            </w:numPr>
            <w:tabs>
              <w:tab w:pos="1919" w:val="left" w:leader="none"/>
              <w:tab w:pos="1920" w:val="left" w:leader="none"/>
              <w:tab w:pos="8931" w:val="left" w:leader="dot"/>
            </w:tabs>
            <w:spacing w:line="240" w:lineRule="auto" w:before="120" w:after="0"/>
            <w:ind w:left="1919" w:right="0" w:hanging="1702"/>
            <w:jc w:val="left"/>
          </w:pPr>
          <w:hyperlink w:history="true" w:anchor="_bookmark284">
            <w:r>
              <w:rPr/>
              <w:t>Regulatory investment test</w:t>
            </w:r>
            <w:r>
              <w:rPr>
                <w:spacing w:val="-5"/>
              </w:rPr>
              <w:t> </w:t>
            </w:r>
            <w:r>
              <w:rPr/>
              <w:t>for</w:t>
            </w:r>
            <w:r>
              <w:rPr>
                <w:spacing w:val="-1"/>
              </w:rPr>
              <w:t> </w:t>
            </w:r>
            <w:r>
              <w:rPr/>
              <w:t>transmission</w:t>
              <w:tab/>
              <w:t>202</w:t>
            </w:r>
          </w:hyperlink>
        </w:p>
        <w:p>
          <w:pPr>
            <w:pStyle w:val="TOC3"/>
            <w:numPr>
              <w:ilvl w:val="2"/>
              <w:numId w:val="17"/>
            </w:numPr>
            <w:tabs>
              <w:tab w:pos="1919" w:val="left" w:leader="none"/>
              <w:tab w:pos="1920" w:val="left" w:leader="none"/>
              <w:tab w:pos="8930" w:val="left" w:leader="dot"/>
            </w:tabs>
            <w:spacing w:line="240" w:lineRule="auto" w:before="0" w:after="0"/>
            <w:ind w:left="1919" w:right="0" w:hanging="1702"/>
            <w:jc w:val="left"/>
          </w:pPr>
          <w:hyperlink w:history="true" w:anchor="_bookmark285">
            <w:r>
              <w:rPr/>
              <w:t>Principles</w:t>
              <w:tab/>
              <w:t>202</w:t>
            </w:r>
          </w:hyperlink>
        </w:p>
        <w:p>
          <w:pPr>
            <w:pStyle w:val="TOC3"/>
            <w:numPr>
              <w:ilvl w:val="2"/>
              <w:numId w:val="17"/>
            </w:numPr>
            <w:tabs>
              <w:tab w:pos="1919" w:val="left" w:leader="none"/>
              <w:tab w:pos="1920" w:val="left" w:leader="none"/>
              <w:tab w:pos="8932" w:val="left" w:leader="dot"/>
            </w:tabs>
            <w:spacing w:line="240" w:lineRule="auto" w:before="0" w:after="0"/>
            <w:ind w:left="1919" w:right="0" w:hanging="1702"/>
            <w:jc w:val="left"/>
          </w:pPr>
          <w:hyperlink w:history="true" w:anchor="_bookmark286">
            <w:r>
              <w:rPr/>
              <w:t>Regulatory investment test for transmission</w:t>
            </w:r>
            <w:r>
              <w:rPr>
                <w:spacing w:val="-5"/>
              </w:rPr>
              <w:t> </w:t>
            </w:r>
            <w:r>
              <w:rPr/>
              <w:t>application</w:t>
            </w:r>
            <w:r>
              <w:rPr>
                <w:spacing w:val="-1"/>
              </w:rPr>
              <w:t> </w:t>
            </w:r>
            <w:r>
              <w:rPr/>
              <w:t>guidelines</w:t>
              <w:tab/>
              <w:t>204</w:t>
            </w:r>
          </w:hyperlink>
        </w:p>
        <w:p>
          <w:pPr>
            <w:pStyle w:val="TOC3"/>
            <w:numPr>
              <w:ilvl w:val="2"/>
              <w:numId w:val="17"/>
            </w:numPr>
            <w:tabs>
              <w:tab w:pos="1919" w:val="left" w:leader="none"/>
              <w:tab w:pos="1920" w:val="left" w:leader="none"/>
              <w:tab w:pos="8931" w:val="left" w:leader="dot"/>
            </w:tabs>
            <w:spacing w:line="240" w:lineRule="auto" w:before="0" w:after="0"/>
            <w:ind w:left="1919" w:right="413" w:hanging="1701"/>
            <w:jc w:val="left"/>
          </w:pPr>
          <w:hyperlink w:history="true" w:anchor="_bookmark287">
            <w:r>
              <w:rPr/>
              <w:t>Investments  subject  to   the   regulatory   investment   test   for</w:t>
            </w:r>
          </w:hyperlink>
          <w:hyperlink w:history="true" w:anchor="_bookmark287">
            <w:r>
              <w:rPr/>
              <w:t> transmission</w:t>
              <w:tab/>
            </w:r>
            <w:r>
              <w:rPr>
                <w:spacing w:val="-6"/>
              </w:rPr>
              <w:t>206</w:t>
            </w:r>
          </w:hyperlink>
        </w:p>
        <w:p>
          <w:pPr>
            <w:pStyle w:val="TOC3"/>
            <w:numPr>
              <w:ilvl w:val="2"/>
              <w:numId w:val="17"/>
            </w:numPr>
            <w:tabs>
              <w:tab w:pos="1919" w:val="left" w:leader="none"/>
              <w:tab w:pos="1920" w:val="left" w:leader="none"/>
              <w:tab w:pos="8932" w:val="left" w:leader="dot"/>
            </w:tabs>
            <w:spacing w:line="240" w:lineRule="auto" w:before="0" w:after="0"/>
            <w:ind w:left="1919" w:right="0" w:hanging="1702"/>
            <w:jc w:val="left"/>
          </w:pPr>
          <w:hyperlink w:history="true" w:anchor="_bookmark288">
            <w:r>
              <w:rPr/>
              <w:t>Regulatory investment test for</w:t>
            </w:r>
            <w:r>
              <w:rPr>
                <w:spacing w:val="-3"/>
              </w:rPr>
              <w:t> </w:t>
            </w:r>
            <w:r>
              <w:rPr/>
              <w:t>transmission</w:t>
            </w:r>
            <w:r>
              <w:rPr>
                <w:spacing w:val="-1"/>
              </w:rPr>
              <w:t> </w:t>
            </w:r>
            <w:r>
              <w:rPr/>
              <w:t>procedures</w:t>
              <w:tab/>
              <w:t>208</w:t>
            </w:r>
          </w:hyperlink>
        </w:p>
        <w:p>
          <w:pPr>
            <w:pStyle w:val="TOC3"/>
            <w:numPr>
              <w:ilvl w:val="2"/>
              <w:numId w:val="17"/>
            </w:numPr>
            <w:tabs>
              <w:tab w:pos="1919" w:val="left" w:leader="none"/>
              <w:tab w:pos="1920" w:val="left" w:leader="none"/>
              <w:tab w:pos="8931" w:val="left" w:leader="dot"/>
            </w:tabs>
            <w:spacing w:line="240" w:lineRule="auto" w:before="0" w:after="240"/>
            <w:ind w:left="1919" w:right="413" w:hanging="1701"/>
            <w:jc w:val="left"/>
          </w:pPr>
          <w:hyperlink w:history="true" w:anchor="_bookmark289">
            <w:r>
              <w:rPr/>
              <w:t>Disputes in relation to application of regulatory investment test for</w:t>
            </w:r>
          </w:hyperlink>
          <w:hyperlink w:history="true" w:anchor="_bookmark289">
            <w:r>
              <w:rPr/>
              <w:t> transmission</w:t>
              <w:tab/>
            </w:r>
            <w:r>
              <w:rPr>
                <w:spacing w:val="-6"/>
              </w:rPr>
              <w:t>215</w:t>
            </w:r>
          </w:hyperlink>
        </w:p>
        <w:p>
          <w:pPr>
            <w:pStyle w:val="TOC3"/>
            <w:numPr>
              <w:ilvl w:val="2"/>
              <w:numId w:val="17"/>
            </w:numPr>
            <w:tabs>
              <w:tab w:pos="1919" w:val="left" w:leader="none"/>
              <w:tab w:pos="1920" w:val="left" w:leader="none"/>
              <w:tab w:pos="3509" w:val="left" w:leader="none"/>
              <w:tab w:pos="4074" w:val="left" w:leader="none"/>
              <w:tab w:pos="8931" w:val="left" w:leader="dot"/>
            </w:tabs>
            <w:spacing w:line="240" w:lineRule="auto" w:before="83" w:after="0"/>
            <w:ind w:left="1919" w:right="413" w:hanging="1701"/>
            <w:jc w:val="left"/>
          </w:pPr>
          <w:hyperlink w:history="true" w:anchor="_bookmark290">
            <w:r>
              <w:rPr/>
              <w:t>Determination</w:t>
              <w:tab/>
              <w:t>that</w:t>
              <w:tab/>
              <w:t>preferred  option  satisfies   the   regulatory</w:t>
            </w:r>
          </w:hyperlink>
          <w:hyperlink w:history="true" w:anchor="_bookmark290">
            <w:r>
              <w:rPr/>
              <w:t> investment test</w:t>
            </w:r>
            <w:r>
              <w:rPr>
                <w:spacing w:val="-2"/>
              </w:rPr>
              <w:t> </w:t>
            </w:r>
            <w:r>
              <w:rPr/>
              <w:t>for</w:t>
            </w:r>
            <w:r>
              <w:rPr>
                <w:spacing w:val="-1"/>
              </w:rPr>
              <w:t> </w:t>
            </w:r>
            <w:r>
              <w:rPr/>
              <w:t>transmission</w:t>
              <w:tab/>
            </w:r>
            <w:r>
              <w:rPr>
                <w:spacing w:val="-6"/>
              </w:rPr>
              <w:t>217</w:t>
            </w:r>
          </w:hyperlink>
        </w:p>
        <w:p>
          <w:pPr>
            <w:pStyle w:val="TOC2"/>
            <w:numPr>
              <w:ilvl w:val="1"/>
              <w:numId w:val="17"/>
            </w:numPr>
            <w:tabs>
              <w:tab w:pos="1919" w:val="left" w:leader="none"/>
              <w:tab w:pos="1920" w:val="left" w:leader="none"/>
              <w:tab w:pos="8930" w:val="left" w:leader="dot"/>
            </w:tabs>
            <w:spacing w:line="240" w:lineRule="auto" w:before="120" w:after="0"/>
            <w:ind w:left="1919" w:right="0" w:hanging="1702"/>
            <w:jc w:val="left"/>
          </w:pPr>
          <w:hyperlink w:history="true" w:anchor="_bookmark291">
            <w:r>
              <w:rPr/>
              <w:t>Regulatory investment test</w:t>
            </w:r>
            <w:r>
              <w:rPr>
                <w:spacing w:val="-10"/>
              </w:rPr>
              <w:t> </w:t>
            </w:r>
            <w:r>
              <w:rPr/>
              <w:t>for</w:t>
            </w:r>
            <w:r>
              <w:rPr>
                <w:spacing w:val="-4"/>
              </w:rPr>
              <w:t> </w:t>
            </w:r>
            <w:r>
              <w:rPr/>
              <w:t>distribution</w:t>
              <w:tab/>
              <w:t>217</w:t>
            </w:r>
          </w:hyperlink>
        </w:p>
        <w:p>
          <w:pPr>
            <w:pStyle w:val="TOC3"/>
            <w:numPr>
              <w:ilvl w:val="2"/>
              <w:numId w:val="17"/>
            </w:numPr>
            <w:tabs>
              <w:tab w:pos="1919" w:val="left" w:leader="none"/>
              <w:tab w:pos="1920" w:val="left" w:leader="none"/>
              <w:tab w:pos="8930" w:val="left" w:leader="dot"/>
            </w:tabs>
            <w:spacing w:line="240" w:lineRule="auto" w:before="0" w:after="0"/>
            <w:ind w:left="1919" w:right="0" w:hanging="1702"/>
            <w:jc w:val="left"/>
          </w:pPr>
          <w:hyperlink w:history="true" w:anchor="_bookmark292">
            <w:r>
              <w:rPr/>
              <w:t>Principles</w:t>
              <w:tab/>
              <w:t>217</w:t>
            </w:r>
          </w:hyperlink>
        </w:p>
        <w:p>
          <w:pPr>
            <w:pStyle w:val="TOC3"/>
            <w:numPr>
              <w:ilvl w:val="2"/>
              <w:numId w:val="17"/>
            </w:numPr>
            <w:tabs>
              <w:tab w:pos="1919" w:val="left" w:leader="none"/>
              <w:tab w:pos="1920" w:val="left" w:leader="none"/>
              <w:tab w:pos="8932" w:val="left" w:leader="dot"/>
            </w:tabs>
            <w:spacing w:line="240" w:lineRule="auto" w:before="0" w:after="0"/>
            <w:ind w:left="1919" w:right="0" w:hanging="1702"/>
            <w:jc w:val="left"/>
          </w:pPr>
          <w:hyperlink w:history="true" w:anchor="_bookmark293">
            <w:r>
              <w:rPr/>
              <w:t>Regulatory investment test for distribution</w:t>
            </w:r>
            <w:r>
              <w:rPr>
                <w:spacing w:val="-4"/>
              </w:rPr>
              <w:t> </w:t>
            </w:r>
            <w:r>
              <w:rPr/>
              <w:t>application</w:t>
            </w:r>
            <w:r>
              <w:rPr>
                <w:spacing w:val="-1"/>
              </w:rPr>
              <w:t> </w:t>
            </w:r>
            <w:r>
              <w:rPr/>
              <w:t>guidelines</w:t>
              <w:tab/>
              <w:t>219</w:t>
            </w:r>
          </w:hyperlink>
        </w:p>
        <w:p>
          <w:pPr>
            <w:pStyle w:val="TOC3"/>
            <w:numPr>
              <w:ilvl w:val="2"/>
              <w:numId w:val="17"/>
            </w:numPr>
            <w:tabs>
              <w:tab w:pos="1919" w:val="left" w:leader="none"/>
              <w:tab w:pos="1920" w:val="left" w:leader="none"/>
              <w:tab w:pos="8930" w:val="left" w:leader="dot"/>
            </w:tabs>
            <w:spacing w:line="240" w:lineRule="auto" w:before="0" w:after="0"/>
            <w:ind w:left="1919" w:right="0" w:hanging="1702"/>
            <w:jc w:val="left"/>
          </w:pPr>
          <w:hyperlink w:history="true" w:anchor="_bookmark294">
            <w:r>
              <w:rPr/>
              <w:t>Projects subject to the regulatory investment test</w:t>
            </w:r>
            <w:r>
              <w:rPr>
                <w:spacing w:val="-12"/>
              </w:rPr>
              <w:t> </w:t>
            </w:r>
            <w:r>
              <w:rPr/>
              <w:t>for</w:t>
            </w:r>
            <w:r>
              <w:rPr>
                <w:spacing w:val="-1"/>
              </w:rPr>
              <w:t> </w:t>
            </w:r>
            <w:r>
              <w:rPr/>
              <w:t>distribution</w:t>
              <w:tab/>
              <w:t>221</w:t>
            </w:r>
          </w:hyperlink>
        </w:p>
        <w:p>
          <w:pPr>
            <w:pStyle w:val="TOC3"/>
            <w:numPr>
              <w:ilvl w:val="2"/>
              <w:numId w:val="17"/>
            </w:numPr>
            <w:tabs>
              <w:tab w:pos="1919" w:val="left" w:leader="none"/>
              <w:tab w:pos="1920" w:val="left" w:leader="none"/>
              <w:tab w:pos="8931" w:val="left" w:leader="dot"/>
            </w:tabs>
            <w:spacing w:line="240" w:lineRule="auto" w:before="0" w:after="0"/>
            <w:ind w:left="1919" w:right="0" w:hanging="1702"/>
            <w:jc w:val="left"/>
          </w:pPr>
          <w:hyperlink w:history="true" w:anchor="_bookmark295">
            <w:r>
              <w:rPr/>
              <w:t>Regulatory investment test for</w:t>
            </w:r>
            <w:r>
              <w:rPr>
                <w:spacing w:val="-3"/>
              </w:rPr>
              <w:t> </w:t>
            </w:r>
            <w:r>
              <w:rPr/>
              <w:t>distribution procedures</w:t>
              <w:tab/>
              <w:t>222</w:t>
            </w:r>
          </w:hyperlink>
        </w:p>
        <w:p>
          <w:pPr>
            <w:pStyle w:val="TOC3"/>
            <w:numPr>
              <w:ilvl w:val="2"/>
              <w:numId w:val="17"/>
            </w:numPr>
            <w:tabs>
              <w:tab w:pos="1919" w:val="left" w:leader="none"/>
              <w:tab w:pos="1920" w:val="left" w:leader="none"/>
              <w:tab w:pos="8930" w:val="left" w:leader="dot"/>
            </w:tabs>
            <w:spacing w:line="240" w:lineRule="auto" w:before="0" w:after="0"/>
            <w:ind w:left="1919" w:right="413" w:hanging="1701"/>
            <w:jc w:val="left"/>
          </w:pPr>
          <w:hyperlink w:history="true" w:anchor="_bookmark296">
            <w:r>
              <w:rPr/>
              <w:t>Disputes in relation to application of regulatory investment test for</w:t>
            </w:r>
          </w:hyperlink>
          <w:hyperlink w:history="true" w:anchor="_bookmark296">
            <w:r>
              <w:rPr/>
              <w:t> distribution</w:t>
              <w:tab/>
            </w:r>
            <w:r>
              <w:rPr>
                <w:spacing w:val="-6"/>
              </w:rPr>
              <w:t>227</w:t>
            </w:r>
          </w:hyperlink>
        </w:p>
        <w:p>
          <w:pPr>
            <w:pStyle w:val="TOC2"/>
            <w:numPr>
              <w:ilvl w:val="1"/>
              <w:numId w:val="17"/>
            </w:numPr>
            <w:tabs>
              <w:tab w:pos="1919" w:val="left" w:leader="none"/>
              <w:tab w:pos="1920" w:val="left" w:leader="none"/>
              <w:tab w:pos="8930" w:val="left" w:leader="dot"/>
            </w:tabs>
            <w:spacing w:line="240" w:lineRule="auto" w:before="120" w:after="0"/>
            <w:ind w:left="1919" w:right="0" w:hanging="1702"/>
            <w:jc w:val="left"/>
          </w:pPr>
          <w:hyperlink w:history="true" w:anchor="_bookmark297">
            <w:r>
              <w:rPr/>
              <w:t>Construction of</w:t>
            </w:r>
            <w:r>
              <w:rPr>
                <w:spacing w:val="-6"/>
              </w:rPr>
              <w:t> </w:t>
            </w:r>
            <w:r>
              <w:rPr/>
              <w:t>funded</w:t>
            </w:r>
            <w:r>
              <w:rPr>
                <w:spacing w:val="-2"/>
              </w:rPr>
              <w:t> </w:t>
            </w:r>
            <w:r>
              <w:rPr/>
              <w:t>augmentations</w:t>
              <w:tab/>
              <w:t>229</w:t>
            </w:r>
          </w:hyperlink>
        </w:p>
        <w:p>
          <w:pPr>
            <w:pStyle w:val="TOC2"/>
            <w:tabs>
              <w:tab w:pos="1919" w:val="left" w:leader="none"/>
              <w:tab w:pos="8931" w:val="left" w:leader="dot"/>
            </w:tabs>
          </w:pPr>
          <w:hyperlink w:history="true" w:anchor="_bookmark298">
            <w:r>
              <w:rPr/>
              <w:t>5.18A</w:t>
              <w:tab/>
              <w:t>Generator</w:t>
            </w:r>
            <w:r>
              <w:rPr>
                <w:spacing w:val="-1"/>
              </w:rPr>
              <w:t> </w:t>
            </w:r>
            <w:r>
              <w:rPr/>
              <w:t>connections</w:t>
              <w:tab/>
              <w:t>230</w:t>
            </w:r>
          </w:hyperlink>
        </w:p>
        <w:p>
          <w:pPr>
            <w:pStyle w:val="TOC3"/>
            <w:tabs>
              <w:tab w:pos="1919" w:val="left" w:leader="none"/>
              <w:tab w:pos="8930" w:val="left" w:leader="dot"/>
            </w:tabs>
            <w:ind w:left="218"/>
          </w:pPr>
          <w:hyperlink w:history="true" w:anchor="_bookmark299">
            <w:r>
              <w:rPr/>
              <w:t>5.18A.1</w:t>
              <w:tab/>
              <w:t>Definitions</w:t>
              <w:tab/>
              <w:t>230</w:t>
            </w:r>
          </w:hyperlink>
        </w:p>
        <w:p>
          <w:pPr>
            <w:pStyle w:val="TOC3"/>
            <w:tabs>
              <w:tab w:pos="1919" w:val="left" w:leader="none"/>
              <w:tab w:pos="8931" w:val="left" w:leader="dot"/>
            </w:tabs>
            <w:ind w:left="218"/>
          </w:pPr>
          <w:hyperlink w:history="true" w:anchor="_bookmark300">
            <w:r>
              <w:rPr/>
              <w:t>5.18A.2</w:t>
              <w:tab/>
              <w:t>Register of</w:t>
            </w:r>
            <w:r>
              <w:rPr>
                <w:spacing w:val="-1"/>
              </w:rPr>
              <w:t> </w:t>
            </w:r>
            <w:r>
              <w:rPr/>
              <w:t>generator</w:t>
            </w:r>
            <w:r>
              <w:rPr>
                <w:spacing w:val="-1"/>
              </w:rPr>
              <w:t> </w:t>
            </w:r>
            <w:r>
              <w:rPr/>
              <w:t>connections</w:t>
              <w:tab/>
              <w:t>230</w:t>
            </w:r>
          </w:hyperlink>
        </w:p>
        <w:p>
          <w:pPr>
            <w:pStyle w:val="TOC3"/>
            <w:tabs>
              <w:tab w:pos="1919" w:val="left" w:leader="none"/>
              <w:tab w:pos="8931" w:val="left" w:leader="dot"/>
            </w:tabs>
            <w:ind w:left="218"/>
          </w:pPr>
          <w:hyperlink w:history="true" w:anchor="_bookmark301">
            <w:r>
              <w:rPr/>
              <w:t>5.18A.3</w:t>
              <w:tab/>
              <w:t>Impact assessment of large</w:t>
            </w:r>
            <w:r>
              <w:rPr>
                <w:spacing w:val="-2"/>
              </w:rPr>
              <w:t> </w:t>
            </w:r>
            <w:r>
              <w:rPr/>
              <w:t>generator</w:t>
            </w:r>
            <w:r>
              <w:rPr>
                <w:spacing w:val="-1"/>
              </w:rPr>
              <w:t> </w:t>
            </w:r>
            <w:r>
              <w:rPr/>
              <w:t>connections</w:t>
              <w:tab/>
              <w:t>231</w:t>
            </w:r>
          </w:hyperlink>
        </w:p>
        <w:p>
          <w:pPr>
            <w:pStyle w:val="TOC2"/>
            <w:tabs>
              <w:tab w:pos="1919" w:val="left" w:leader="none"/>
              <w:tab w:pos="8930" w:val="left" w:leader="dot"/>
            </w:tabs>
          </w:pPr>
          <w:hyperlink w:history="true" w:anchor="_bookmark302">
            <w:r>
              <w:rPr/>
              <w:t>5.18B</w:t>
              <w:tab/>
              <w:t>Completed embedded</w:t>
            </w:r>
            <w:r>
              <w:rPr>
                <w:spacing w:val="-10"/>
              </w:rPr>
              <w:t> </w:t>
            </w:r>
            <w:r>
              <w:rPr/>
              <w:t>generation</w:t>
            </w:r>
            <w:r>
              <w:rPr>
                <w:spacing w:val="-4"/>
              </w:rPr>
              <w:t> </w:t>
            </w:r>
            <w:r>
              <w:rPr/>
              <w:t>projects</w:t>
              <w:tab/>
              <w:t>232</w:t>
            </w:r>
          </w:hyperlink>
        </w:p>
        <w:p>
          <w:pPr>
            <w:pStyle w:val="TOC3"/>
            <w:tabs>
              <w:tab w:pos="1919" w:val="left" w:leader="none"/>
              <w:tab w:pos="8930" w:val="left" w:leader="dot"/>
            </w:tabs>
            <w:ind w:left="218"/>
          </w:pPr>
          <w:hyperlink w:history="true" w:anchor="_bookmark303">
            <w:r>
              <w:rPr/>
              <w:t>5.18B.1</w:t>
              <w:tab/>
              <w:t>Definitions</w:t>
              <w:tab/>
              <w:t>232</w:t>
            </w:r>
          </w:hyperlink>
        </w:p>
        <w:p>
          <w:pPr>
            <w:pStyle w:val="TOC3"/>
            <w:numPr>
              <w:ilvl w:val="1"/>
              <w:numId w:val="18"/>
            </w:numPr>
            <w:tabs>
              <w:tab w:pos="639" w:val="left" w:leader="none"/>
              <w:tab w:pos="1919" w:val="left" w:leader="none"/>
              <w:tab w:pos="8931" w:val="left" w:leader="dot"/>
            </w:tabs>
            <w:spacing w:line="240" w:lineRule="auto" w:before="0" w:after="0"/>
            <w:ind w:left="639" w:right="0" w:hanging="421"/>
            <w:jc w:val="left"/>
            <w:rPr>
              <w:sz w:val="22"/>
            </w:rPr>
          </w:pPr>
          <w:hyperlink w:history="true" w:anchor="_bookmark304">
            <w:r>
              <w:rPr/>
              <w:t>B.2</w:t>
              <w:tab/>
              <w:t>Register of completed embedded</w:t>
            </w:r>
            <w:r>
              <w:rPr>
                <w:spacing w:val="-3"/>
              </w:rPr>
              <w:t> </w:t>
            </w:r>
            <w:r>
              <w:rPr/>
              <w:t>generation projects</w:t>
              <w:tab/>
              <w:t>232</w:t>
            </w:r>
          </w:hyperlink>
        </w:p>
        <w:p>
          <w:pPr>
            <w:pStyle w:val="TOC2"/>
            <w:numPr>
              <w:ilvl w:val="1"/>
              <w:numId w:val="18"/>
            </w:numPr>
            <w:tabs>
              <w:tab w:pos="1919" w:val="left" w:leader="none"/>
              <w:tab w:pos="1920" w:val="left" w:leader="none"/>
              <w:tab w:pos="8930" w:val="left" w:leader="dot"/>
            </w:tabs>
            <w:spacing w:line="240" w:lineRule="auto" w:before="120" w:after="0"/>
            <w:ind w:left="1919" w:right="0" w:hanging="1702"/>
            <w:jc w:val="left"/>
          </w:pPr>
          <w:hyperlink w:history="true" w:anchor="_bookmark305">
            <w:r>
              <w:rPr/>
              <w:t>SENE Design and</w:t>
            </w:r>
            <w:r>
              <w:rPr>
                <w:spacing w:val="-9"/>
              </w:rPr>
              <w:t> </w:t>
            </w:r>
            <w:r>
              <w:rPr/>
              <w:t>Costing</w:t>
            </w:r>
            <w:r>
              <w:rPr>
                <w:spacing w:val="-2"/>
              </w:rPr>
              <w:t> </w:t>
            </w:r>
            <w:r>
              <w:rPr/>
              <w:t>Study</w:t>
              <w:tab/>
              <w:t>233</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06">
            <w:r>
              <w:rPr/>
              <w:t>Definitions</w:t>
              <w:tab/>
              <w:t>233</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07">
            <w:r>
              <w:rPr/>
              <w:t>Interpretation</w:t>
              <w:tab/>
              <w:t>234</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08">
            <w:r>
              <w:rPr/>
              <w:t>Request for SENE Design and</w:t>
            </w:r>
            <w:r>
              <w:rPr>
                <w:spacing w:val="-11"/>
              </w:rPr>
              <w:t> </w:t>
            </w:r>
            <w:r>
              <w:rPr/>
              <w:t>Costing</w:t>
            </w:r>
            <w:r>
              <w:rPr>
                <w:spacing w:val="-2"/>
              </w:rPr>
              <w:t> </w:t>
            </w:r>
            <w:r>
              <w:rPr/>
              <w:t>Study</w:t>
              <w:tab/>
              <w:t>234</w:t>
            </w:r>
          </w:hyperlink>
        </w:p>
        <w:p>
          <w:pPr>
            <w:pStyle w:val="TOC3"/>
            <w:numPr>
              <w:ilvl w:val="2"/>
              <w:numId w:val="18"/>
            </w:numPr>
            <w:tabs>
              <w:tab w:pos="1919" w:val="left" w:leader="none"/>
              <w:tab w:pos="1920" w:val="left" w:leader="none"/>
              <w:tab w:pos="8929" w:val="left" w:leader="dot"/>
            </w:tabs>
            <w:spacing w:line="240" w:lineRule="auto" w:before="0" w:after="0"/>
            <w:ind w:left="1919" w:right="0" w:hanging="1702"/>
            <w:jc w:val="left"/>
          </w:pPr>
          <w:hyperlink w:history="true" w:anchor="_bookmark309">
            <w:r>
              <w:rPr/>
              <w:t>Content of SENE Design and</w:t>
            </w:r>
            <w:r>
              <w:rPr>
                <w:spacing w:val="-11"/>
              </w:rPr>
              <w:t> </w:t>
            </w:r>
            <w:r>
              <w:rPr/>
              <w:t>Costing</w:t>
            </w:r>
            <w:r>
              <w:rPr>
                <w:spacing w:val="-2"/>
              </w:rPr>
              <w:t> </w:t>
            </w:r>
            <w:r>
              <w:rPr/>
              <w:t>Study</w:t>
              <w:tab/>
              <w:t>235</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10">
            <w:r>
              <w:rPr/>
              <w:t>Co-operation of other Network</w:t>
            </w:r>
            <w:r>
              <w:rPr>
                <w:spacing w:val="-10"/>
              </w:rPr>
              <w:t> </w:t>
            </w:r>
            <w:r>
              <w:rPr/>
              <w:t>Service</w:t>
            </w:r>
            <w:r>
              <w:rPr>
                <w:spacing w:val="-2"/>
              </w:rPr>
              <w:t> </w:t>
            </w:r>
            <w:r>
              <w:rPr/>
              <w:t>Providers</w:t>
              <w:tab/>
              <w:t>236</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11">
            <w:r>
              <w:rPr/>
              <w:t>Publication of SENE Design and Costing</w:t>
            </w:r>
            <w:r>
              <w:rPr>
                <w:spacing w:val="-14"/>
              </w:rPr>
              <w:t> </w:t>
            </w:r>
            <w:r>
              <w:rPr/>
              <w:t>Study</w:t>
            </w:r>
            <w:r>
              <w:rPr>
                <w:spacing w:val="-3"/>
              </w:rPr>
              <w:t> </w:t>
            </w:r>
            <w:r>
              <w:rPr/>
              <w:t>report</w:t>
              <w:tab/>
              <w:t>236</w:t>
            </w:r>
          </w:hyperlink>
        </w:p>
        <w:p>
          <w:pPr>
            <w:pStyle w:val="TOC3"/>
            <w:numPr>
              <w:ilvl w:val="2"/>
              <w:numId w:val="18"/>
            </w:numPr>
            <w:tabs>
              <w:tab w:pos="1919" w:val="left" w:leader="none"/>
              <w:tab w:pos="1920" w:val="left" w:leader="none"/>
              <w:tab w:pos="8931" w:val="left" w:leader="dot"/>
            </w:tabs>
            <w:spacing w:line="240" w:lineRule="auto" w:before="0" w:after="0"/>
            <w:ind w:left="1919" w:right="0" w:hanging="1702"/>
            <w:jc w:val="left"/>
          </w:pPr>
          <w:hyperlink w:history="true" w:anchor="_bookmark312">
            <w:r>
              <w:rPr/>
              <w:t>Provision and use</w:t>
            </w:r>
            <w:r>
              <w:rPr>
                <w:spacing w:val="-3"/>
              </w:rPr>
              <w:t> </w:t>
            </w:r>
            <w:r>
              <w:rPr/>
              <w:t>of</w:t>
            </w:r>
            <w:r>
              <w:rPr>
                <w:spacing w:val="-1"/>
              </w:rPr>
              <w:t> </w:t>
            </w:r>
            <w:r>
              <w:rPr/>
              <w:t>information</w:t>
              <w:tab/>
              <w:t>236</w:t>
            </w:r>
          </w:hyperlink>
        </w:p>
        <w:p>
          <w:pPr>
            <w:pStyle w:val="TOC2"/>
            <w:numPr>
              <w:ilvl w:val="1"/>
              <w:numId w:val="18"/>
            </w:numPr>
            <w:tabs>
              <w:tab w:pos="1919" w:val="left" w:leader="none"/>
              <w:tab w:pos="1920" w:val="left" w:leader="none"/>
              <w:tab w:pos="8929" w:val="left" w:leader="dot"/>
            </w:tabs>
            <w:spacing w:line="240" w:lineRule="auto" w:before="120" w:after="0"/>
            <w:ind w:left="1919" w:right="0" w:hanging="1702"/>
            <w:jc w:val="left"/>
          </w:pPr>
          <w:hyperlink w:history="true" w:anchor="_bookmark313">
            <w:r>
              <w:rPr/>
              <w:t>National</w:t>
            </w:r>
            <w:r>
              <w:rPr>
                <w:spacing w:val="-7"/>
              </w:rPr>
              <w:t> </w:t>
            </w:r>
            <w:r>
              <w:rPr/>
              <w:t>transmission</w:t>
            </w:r>
            <w:r>
              <w:rPr>
                <w:spacing w:val="-6"/>
              </w:rPr>
              <w:t> </w:t>
            </w:r>
            <w:r>
              <w:rPr/>
              <w:t>planning</w:t>
              <w:tab/>
              <w:t>237</w:t>
            </w:r>
          </w:hyperlink>
        </w:p>
        <w:p>
          <w:pPr>
            <w:pStyle w:val="TOC3"/>
            <w:numPr>
              <w:ilvl w:val="2"/>
              <w:numId w:val="18"/>
            </w:numPr>
            <w:tabs>
              <w:tab w:pos="1919" w:val="left" w:leader="none"/>
              <w:tab w:pos="1920" w:val="left" w:leader="none"/>
              <w:tab w:pos="8931" w:val="left" w:leader="dot"/>
            </w:tabs>
            <w:spacing w:line="240" w:lineRule="auto" w:before="0" w:after="0"/>
            <w:ind w:left="1919" w:right="0" w:hanging="1702"/>
            <w:jc w:val="left"/>
          </w:pPr>
          <w:hyperlink w:history="true" w:anchor="_bookmark314">
            <w:r>
              <w:rPr/>
              <w:t>Preliminary</w:t>
            </w:r>
            <w:r>
              <w:rPr>
                <w:spacing w:val="-2"/>
              </w:rPr>
              <w:t> </w:t>
            </w:r>
            <w:r>
              <w:rPr/>
              <w:t>consultation</w:t>
              <w:tab/>
              <w:t>237</w:t>
            </w:r>
          </w:hyperlink>
        </w:p>
        <w:p>
          <w:pPr>
            <w:pStyle w:val="TOC3"/>
            <w:numPr>
              <w:ilvl w:val="2"/>
              <w:numId w:val="18"/>
            </w:numPr>
            <w:tabs>
              <w:tab w:pos="1919" w:val="left" w:leader="none"/>
              <w:tab w:pos="1920" w:val="left" w:leader="none"/>
              <w:tab w:pos="8931" w:val="left" w:leader="dot"/>
            </w:tabs>
            <w:spacing w:line="240" w:lineRule="auto" w:before="0" w:after="0"/>
            <w:ind w:left="1919" w:right="0" w:hanging="1702"/>
            <w:jc w:val="left"/>
          </w:pPr>
          <w:hyperlink w:history="true" w:anchor="_bookmark315">
            <w:r>
              <w:rPr/>
              <w:t>Publication</w:t>
            </w:r>
            <w:r>
              <w:rPr>
                <w:spacing w:val="-3"/>
              </w:rPr>
              <w:t> </w:t>
            </w:r>
            <w:r>
              <w:rPr/>
              <w:t>of</w:t>
            </w:r>
            <w:r>
              <w:rPr>
                <w:spacing w:val="-2"/>
              </w:rPr>
              <w:t> </w:t>
            </w:r>
            <w:r>
              <w:rPr/>
              <w:t>NTNDP</w:t>
              <w:tab/>
              <w:t>238</w:t>
            </w:r>
          </w:hyperlink>
        </w:p>
        <w:p>
          <w:pPr>
            <w:pStyle w:val="TOC3"/>
            <w:numPr>
              <w:ilvl w:val="2"/>
              <w:numId w:val="18"/>
            </w:numPr>
            <w:tabs>
              <w:tab w:pos="1919" w:val="left" w:leader="none"/>
              <w:tab w:pos="1920" w:val="left" w:leader="none"/>
              <w:tab w:pos="8931" w:val="left" w:leader="dot"/>
            </w:tabs>
            <w:spacing w:line="240" w:lineRule="auto" w:before="0" w:after="0"/>
            <w:ind w:left="1919" w:right="0" w:hanging="1702"/>
            <w:jc w:val="left"/>
          </w:pPr>
          <w:hyperlink w:history="true" w:anchor="_bookmark316">
            <w:r>
              <w:rPr/>
              <w:t>Development strategies for national transmission</w:t>
            </w:r>
            <w:r>
              <w:rPr>
                <w:spacing w:val="-7"/>
              </w:rPr>
              <w:t> </w:t>
            </w:r>
            <w:r>
              <w:rPr/>
              <w:t>flow</w:t>
            </w:r>
            <w:r>
              <w:rPr>
                <w:spacing w:val="-1"/>
              </w:rPr>
              <w:t> </w:t>
            </w:r>
            <w:r>
              <w:rPr/>
              <w:t>paths</w:t>
              <w:tab/>
              <w:t>240</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17">
            <w:r>
              <w:rPr/>
              <w:t>NTNDP</w:t>
            </w:r>
            <w:r>
              <w:rPr>
                <w:spacing w:val="-3"/>
              </w:rPr>
              <w:t> </w:t>
            </w:r>
            <w:r>
              <w:rPr/>
              <w:t>database</w:t>
              <w:tab/>
              <w:t>241</w:t>
            </w:r>
          </w:hyperlink>
        </w:p>
        <w:p>
          <w:pPr>
            <w:pStyle w:val="TOC3"/>
            <w:numPr>
              <w:ilvl w:val="2"/>
              <w:numId w:val="18"/>
            </w:numPr>
            <w:tabs>
              <w:tab w:pos="1919" w:val="left" w:leader="none"/>
              <w:tab w:pos="1920" w:val="left" w:leader="none"/>
              <w:tab w:pos="8930" w:val="left" w:leader="dot"/>
            </w:tabs>
            <w:spacing w:line="240" w:lineRule="auto" w:before="0" w:after="0"/>
            <w:ind w:left="1919" w:right="413" w:hanging="1701"/>
            <w:jc w:val="left"/>
          </w:pPr>
          <w:hyperlink w:history="true" w:anchor="_bookmark318">
            <w:r>
              <w:rPr/>
              <w:t>Jurisdictional  planning  bodies  and   jurisdictional   planning</w:t>
            </w:r>
          </w:hyperlink>
          <w:hyperlink w:history="true" w:anchor="_bookmark318">
            <w:r>
              <w:rPr/>
              <w:t> representatives</w:t>
              <w:tab/>
            </w:r>
            <w:r>
              <w:rPr>
                <w:spacing w:val="-6"/>
              </w:rPr>
              <w:t>242</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19">
            <w:r>
              <w:rPr/>
              <w:t>NTP</w:t>
            </w:r>
            <w:r>
              <w:rPr>
                <w:spacing w:val="-4"/>
              </w:rPr>
              <w:t> </w:t>
            </w:r>
            <w:r>
              <w:rPr/>
              <w:t>Functions</w:t>
              <w:tab/>
              <w:t>242</w:t>
            </w:r>
          </w:hyperlink>
        </w:p>
        <w:p>
          <w:pPr>
            <w:pStyle w:val="TOC3"/>
            <w:numPr>
              <w:ilvl w:val="2"/>
              <w:numId w:val="18"/>
            </w:numPr>
            <w:tabs>
              <w:tab w:pos="1919" w:val="left" w:leader="none"/>
              <w:tab w:pos="1920" w:val="left" w:leader="none"/>
              <w:tab w:pos="8930" w:val="left" w:leader="dot"/>
            </w:tabs>
            <w:spacing w:line="240" w:lineRule="auto" w:before="0" w:after="0"/>
            <w:ind w:left="1919" w:right="0" w:hanging="1702"/>
            <w:jc w:val="left"/>
          </w:pPr>
          <w:hyperlink w:history="true" w:anchor="_bookmark320">
            <w:r>
              <w:rPr/>
              <w:t>Inertia and system strength</w:t>
            </w:r>
            <w:r>
              <w:rPr>
                <w:spacing w:val="-6"/>
              </w:rPr>
              <w:t> </w:t>
            </w:r>
            <w:r>
              <w:rPr/>
              <w:t>requirements</w:t>
            </w:r>
            <w:r>
              <w:rPr>
                <w:spacing w:val="-2"/>
              </w:rPr>
              <w:t> </w:t>
            </w:r>
            <w:r>
              <w:rPr/>
              <w:t>methodologies</w:t>
              <w:tab/>
              <w:t>242</w:t>
            </w:r>
          </w:hyperlink>
        </w:p>
        <w:p>
          <w:pPr>
            <w:pStyle w:val="TOC2"/>
            <w:tabs>
              <w:tab w:pos="1919" w:val="left" w:leader="none"/>
              <w:tab w:pos="8931" w:val="left" w:leader="dot"/>
            </w:tabs>
          </w:pPr>
          <w:hyperlink w:history="true" w:anchor="_bookmark321">
            <w:r>
              <w:rPr/>
              <w:t>5.20A</w:t>
              <w:tab/>
              <w:t>Frequency</w:t>
            </w:r>
            <w:r>
              <w:rPr>
                <w:spacing w:val="-3"/>
              </w:rPr>
              <w:t> </w:t>
            </w:r>
            <w:r>
              <w:rPr/>
              <w:t>management</w:t>
            </w:r>
            <w:r>
              <w:rPr>
                <w:spacing w:val="-2"/>
              </w:rPr>
              <w:t> </w:t>
            </w:r>
            <w:r>
              <w:rPr/>
              <w:t>planning</w:t>
              <w:tab/>
              <w:t>243</w:t>
            </w:r>
          </w:hyperlink>
        </w:p>
        <w:p>
          <w:pPr>
            <w:pStyle w:val="TOC3"/>
            <w:tabs>
              <w:tab w:pos="1919" w:val="left" w:leader="none"/>
              <w:tab w:pos="8929" w:val="left" w:leader="dot"/>
            </w:tabs>
            <w:ind w:left="218"/>
          </w:pPr>
          <w:hyperlink w:history="true" w:anchor="_bookmark322">
            <w:r>
              <w:rPr/>
              <w:t>5.20A.1</w:t>
              <w:tab/>
              <w:t>Power system frequency</w:t>
            </w:r>
            <w:r>
              <w:rPr>
                <w:spacing w:val="-7"/>
              </w:rPr>
              <w:t> </w:t>
            </w:r>
            <w:r>
              <w:rPr/>
              <w:t>risk</w:t>
            </w:r>
            <w:r>
              <w:rPr>
                <w:spacing w:val="-2"/>
              </w:rPr>
              <w:t> </w:t>
            </w:r>
            <w:r>
              <w:rPr/>
              <w:t>review</w:t>
              <w:tab/>
              <w:t>243</w:t>
            </w:r>
          </w:hyperlink>
        </w:p>
        <w:p>
          <w:pPr>
            <w:pStyle w:val="TOC3"/>
            <w:tabs>
              <w:tab w:pos="1919" w:val="left" w:leader="none"/>
              <w:tab w:pos="8929" w:val="left" w:leader="dot"/>
            </w:tabs>
            <w:ind w:left="218"/>
          </w:pPr>
          <w:hyperlink w:history="true" w:anchor="_bookmark323">
            <w:r>
              <w:rPr/>
              <w:t>5.20A.2</w:t>
              <w:tab/>
              <w:t>Power system frequency risk</w:t>
            </w:r>
            <w:r>
              <w:rPr>
                <w:spacing w:val="-8"/>
              </w:rPr>
              <w:t> </w:t>
            </w:r>
            <w:r>
              <w:rPr/>
              <w:t>review</w:t>
            </w:r>
            <w:r>
              <w:rPr>
                <w:spacing w:val="-2"/>
              </w:rPr>
              <w:t> </w:t>
            </w:r>
            <w:r>
              <w:rPr/>
              <w:t>process</w:t>
              <w:tab/>
              <w:t>244</w:t>
            </w:r>
          </w:hyperlink>
        </w:p>
        <w:p>
          <w:pPr>
            <w:pStyle w:val="TOC3"/>
            <w:tabs>
              <w:tab w:pos="1919" w:val="left" w:leader="none"/>
              <w:tab w:pos="8929" w:val="left" w:leader="dot"/>
            </w:tabs>
            <w:ind w:left="218"/>
          </w:pPr>
          <w:hyperlink w:history="true" w:anchor="_bookmark324">
            <w:r>
              <w:rPr/>
              <w:t>5.20A.3</w:t>
              <w:tab/>
              <w:t>Power system frequency risk</w:t>
            </w:r>
            <w:r>
              <w:rPr>
                <w:spacing w:val="-8"/>
              </w:rPr>
              <w:t> </w:t>
            </w:r>
            <w:r>
              <w:rPr/>
              <w:t>review</w:t>
            </w:r>
            <w:r>
              <w:rPr>
                <w:spacing w:val="-1"/>
              </w:rPr>
              <w:t> </w:t>
            </w:r>
            <w:r>
              <w:rPr/>
              <w:t>report</w:t>
              <w:tab/>
              <w:t>245</w:t>
            </w:r>
          </w:hyperlink>
        </w:p>
        <w:p>
          <w:pPr>
            <w:pStyle w:val="TOC3"/>
            <w:tabs>
              <w:tab w:pos="1919" w:val="left" w:leader="none"/>
              <w:tab w:pos="8931" w:val="left" w:leader="dot"/>
            </w:tabs>
            <w:ind w:left="218"/>
          </w:pPr>
          <w:hyperlink w:history="true" w:anchor="_bookmark325">
            <w:r>
              <w:rPr/>
              <w:t>5.20A.4</w:t>
              <w:tab/>
              <w:t>Request for protected</w:t>
            </w:r>
            <w:r>
              <w:rPr>
                <w:spacing w:val="-2"/>
              </w:rPr>
              <w:t> </w:t>
            </w:r>
            <w:r>
              <w:rPr/>
              <w:t>event declaration</w:t>
              <w:tab/>
              <w:t>245</w:t>
            </w:r>
          </w:hyperlink>
        </w:p>
        <w:p>
          <w:pPr>
            <w:pStyle w:val="TOC3"/>
            <w:tabs>
              <w:tab w:pos="1919" w:val="left" w:leader="none"/>
              <w:tab w:pos="8931" w:val="left" w:leader="dot"/>
            </w:tabs>
            <w:ind w:left="218"/>
          </w:pPr>
          <w:hyperlink w:history="true" w:anchor="_bookmark326">
            <w:r>
              <w:rPr/>
              <w:t>5.20A.5</w:t>
              <w:tab/>
              <w:t>Request to revoke a protected</w:t>
            </w:r>
            <w:r>
              <w:rPr>
                <w:spacing w:val="-4"/>
              </w:rPr>
              <w:t> </w:t>
            </w:r>
            <w:r>
              <w:rPr/>
              <w:t>event declaration</w:t>
              <w:tab/>
              <w:t>246</w:t>
            </w:r>
          </w:hyperlink>
        </w:p>
        <w:p>
          <w:pPr>
            <w:pStyle w:val="TOC2"/>
            <w:tabs>
              <w:tab w:pos="1919" w:val="left" w:leader="none"/>
              <w:tab w:pos="8930" w:val="left" w:leader="dot"/>
            </w:tabs>
          </w:pPr>
          <w:hyperlink w:history="true" w:anchor="_bookmark327">
            <w:r>
              <w:rPr/>
              <w:t>5.20B</w:t>
              <w:tab/>
              <w:t>Inertia sub-networks</w:t>
            </w:r>
            <w:r>
              <w:rPr>
                <w:spacing w:val="-8"/>
              </w:rPr>
              <w:t> </w:t>
            </w:r>
            <w:r>
              <w:rPr/>
              <w:t>and</w:t>
            </w:r>
            <w:r>
              <w:rPr>
                <w:spacing w:val="-4"/>
              </w:rPr>
              <w:t> </w:t>
            </w:r>
            <w:r>
              <w:rPr/>
              <w:t>requirements</w:t>
              <w:tab/>
              <w:t>246</w:t>
            </w:r>
          </w:hyperlink>
        </w:p>
        <w:p>
          <w:pPr>
            <w:pStyle w:val="TOC3"/>
            <w:tabs>
              <w:tab w:pos="1919" w:val="left" w:leader="none"/>
              <w:tab w:pos="8930" w:val="left" w:leader="dot"/>
            </w:tabs>
            <w:ind w:left="218"/>
          </w:pPr>
          <w:hyperlink w:history="true" w:anchor="_bookmark328">
            <w:r>
              <w:rPr/>
              <w:t>5.20B.1</w:t>
              <w:tab/>
              <w:t>Boundaries of</w:t>
            </w:r>
            <w:r>
              <w:rPr>
                <w:spacing w:val="-5"/>
              </w:rPr>
              <w:t> </w:t>
            </w:r>
            <w:r>
              <w:rPr/>
              <w:t>inertia</w:t>
            </w:r>
            <w:r>
              <w:rPr>
                <w:spacing w:val="-4"/>
              </w:rPr>
              <w:t> </w:t>
            </w:r>
            <w:r>
              <w:rPr/>
              <w:t>sub-networks</w:t>
              <w:tab/>
              <w:t>246</w:t>
            </w:r>
          </w:hyperlink>
        </w:p>
        <w:p>
          <w:pPr>
            <w:pStyle w:val="TOC3"/>
            <w:tabs>
              <w:tab w:pos="1919" w:val="left" w:leader="none"/>
              <w:tab w:pos="8930" w:val="left" w:leader="dot"/>
            </w:tabs>
            <w:ind w:left="218"/>
          </w:pPr>
          <w:hyperlink w:history="true" w:anchor="_bookmark329">
            <w:r>
              <w:rPr/>
              <w:t>5.20B.2</w:t>
              <w:tab/>
              <w:t>Inertia</w:t>
            </w:r>
            <w:r>
              <w:rPr>
                <w:spacing w:val="-1"/>
              </w:rPr>
              <w:t> </w:t>
            </w:r>
            <w:r>
              <w:rPr/>
              <w:t>requirements</w:t>
              <w:tab/>
              <w:t>247</w:t>
            </w:r>
          </w:hyperlink>
        </w:p>
        <w:p>
          <w:pPr>
            <w:pStyle w:val="TOC3"/>
            <w:tabs>
              <w:tab w:pos="1919" w:val="left" w:leader="none"/>
              <w:tab w:pos="8930" w:val="left" w:leader="dot"/>
            </w:tabs>
            <w:ind w:left="218"/>
          </w:pPr>
          <w:hyperlink w:history="true" w:anchor="_bookmark330">
            <w:r>
              <w:rPr/>
              <w:t>5.20B.3</w:t>
              <w:tab/>
              <w:t>Inertia</w:t>
            </w:r>
            <w:r>
              <w:rPr>
                <w:spacing w:val="-4"/>
              </w:rPr>
              <w:t> </w:t>
            </w:r>
            <w:r>
              <w:rPr/>
              <w:t>shortfalls</w:t>
              <w:tab/>
              <w:t>247</w:t>
            </w:r>
          </w:hyperlink>
        </w:p>
        <w:p>
          <w:pPr>
            <w:pStyle w:val="TOC3"/>
            <w:tabs>
              <w:tab w:pos="1919" w:val="left" w:leader="none"/>
              <w:tab w:pos="8930" w:val="left" w:leader="dot"/>
            </w:tabs>
            <w:ind w:left="218"/>
          </w:pPr>
          <w:hyperlink w:history="true" w:anchor="_bookmark331">
            <w:r>
              <w:rPr/>
              <w:t>5.20B.4</w:t>
              <w:tab/>
              <w:t>Inertia Service Provider to make available</w:t>
            </w:r>
            <w:r>
              <w:rPr>
                <w:spacing w:val="-17"/>
              </w:rPr>
              <w:t> </w:t>
            </w:r>
            <w:r>
              <w:rPr/>
              <w:t>inertia</w:t>
            </w:r>
            <w:r>
              <w:rPr>
                <w:spacing w:val="-2"/>
              </w:rPr>
              <w:t> </w:t>
            </w:r>
            <w:r>
              <w:rPr/>
              <w:t>services</w:t>
              <w:tab/>
              <w:t>248</w:t>
            </w:r>
          </w:hyperlink>
        </w:p>
        <w:p>
          <w:pPr>
            <w:pStyle w:val="TOC3"/>
            <w:tabs>
              <w:tab w:pos="1919" w:val="left" w:leader="none"/>
              <w:tab w:pos="8930" w:val="left" w:leader="dot"/>
            </w:tabs>
            <w:ind w:left="218"/>
          </w:pPr>
          <w:hyperlink w:history="true" w:anchor="_bookmark332">
            <w:r>
              <w:rPr/>
              <w:t>5.20B.5</w:t>
              <w:tab/>
              <w:t>Inertia</w:t>
            </w:r>
            <w:r>
              <w:rPr>
                <w:spacing w:val="-2"/>
              </w:rPr>
              <w:t> </w:t>
            </w:r>
            <w:r>
              <w:rPr/>
              <w:t>support</w:t>
            </w:r>
            <w:r>
              <w:rPr>
                <w:spacing w:val="-3"/>
              </w:rPr>
              <w:t> </w:t>
            </w:r>
            <w:r>
              <w:rPr/>
              <w:t>activities</w:t>
              <w:tab/>
              <w:t>251</w:t>
            </w:r>
          </w:hyperlink>
        </w:p>
        <w:p>
          <w:pPr>
            <w:pStyle w:val="TOC3"/>
            <w:tabs>
              <w:tab w:pos="1919" w:val="left" w:leader="none"/>
              <w:tab w:pos="8931" w:val="left" w:leader="dot"/>
            </w:tabs>
            <w:spacing w:after="91"/>
            <w:ind w:left="218"/>
          </w:pPr>
          <w:hyperlink w:history="true" w:anchor="_bookmark333">
            <w:r>
              <w:rPr/>
              <w:t>5.20B.6</w:t>
              <w:tab/>
              <w:t>Inertia network services information</w:t>
            </w:r>
            <w:r>
              <w:rPr>
                <w:spacing w:val="-5"/>
              </w:rPr>
              <w:t> </w:t>
            </w:r>
            <w:r>
              <w:rPr/>
              <w:t>and</w:t>
            </w:r>
            <w:r>
              <w:rPr>
                <w:spacing w:val="-1"/>
              </w:rPr>
              <w:t> </w:t>
            </w:r>
            <w:r>
              <w:rPr/>
              <w:t>approvals</w:t>
              <w:tab/>
              <w:t>252</w:t>
            </w:r>
          </w:hyperlink>
        </w:p>
        <w:p>
          <w:pPr>
            <w:pStyle w:val="TOC2"/>
            <w:tabs>
              <w:tab w:pos="1919" w:val="left" w:leader="none"/>
              <w:tab w:pos="8930" w:val="left" w:leader="dot"/>
            </w:tabs>
            <w:spacing w:before="83"/>
          </w:pPr>
          <w:hyperlink w:history="true" w:anchor="_bookmark334">
            <w:r>
              <w:rPr/>
              <w:t>5.20C</w:t>
              <w:tab/>
              <w:t>System</w:t>
            </w:r>
            <w:r>
              <w:rPr>
                <w:spacing w:val="-4"/>
              </w:rPr>
              <w:t> </w:t>
            </w:r>
            <w:r>
              <w:rPr/>
              <w:t>strength</w:t>
            </w:r>
            <w:r>
              <w:rPr>
                <w:spacing w:val="-4"/>
              </w:rPr>
              <w:t> </w:t>
            </w:r>
            <w:r>
              <w:rPr/>
              <w:t>requirements</w:t>
              <w:tab/>
              <w:t>254</w:t>
            </w:r>
          </w:hyperlink>
        </w:p>
        <w:p>
          <w:pPr>
            <w:pStyle w:val="TOC3"/>
            <w:tabs>
              <w:tab w:pos="1919" w:val="left" w:leader="none"/>
              <w:tab w:pos="8929" w:val="left" w:leader="dot"/>
            </w:tabs>
            <w:ind w:left="218"/>
          </w:pPr>
          <w:hyperlink w:history="true" w:anchor="_bookmark335">
            <w:r>
              <w:rPr/>
              <w:t>5.20C.1</w:t>
              <w:tab/>
              <w:t>System</w:t>
            </w:r>
            <w:r>
              <w:rPr>
                <w:spacing w:val="-4"/>
              </w:rPr>
              <w:t> </w:t>
            </w:r>
            <w:r>
              <w:rPr/>
              <w:t>strength</w:t>
            </w:r>
            <w:r>
              <w:rPr>
                <w:spacing w:val="-4"/>
              </w:rPr>
              <w:t> </w:t>
            </w:r>
            <w:r>
              <w:rPr/>
              <w:t>requirements</w:t>
              <w:tab/>
              <w:t>254</w:t>
            </w:r>
          </w:hyperlink>
        </w:p>
        <w:p>
          <w:pPr>
            <w:pStyle w:val="TOC3"/>
            <w:tabs>
              <w:tab w:pos="1919" w:val="left" w:leader="none"/>
              <w:tab w:pos="8930" w:val="left" w:leader="dot"/>
            </w:tabs>
            <w:ind w:left="218"/>
          </w:pPr>
          <w:hyperlink w:history="true" w:anchor="_bookmark336">
            <w:r>
              <w:rPr/>
              <w:t>5.20C.2</w:t>
              <w:tab/>
              <w:t>Fault</w:t>
            </w:r>
            <w:r>
              <w:rPr>
                <w:spacing w:val="-3"/>
              </w:rPr>
              <w:t> </w:t>
            </w:r>
            <w:r>
              <w:rPr/>
              <w:t>level</w:t>
            </w:r>
            <w:r>
              <w:rPr>
                <w:spacing w:val="-3"/>
              </w:rPr>
              <w:t> </w:t>
            </w:r>
            <w:r>
              <w:rPr/>
              <w:t>shortfalls</w:t>
              <w:tab/>
              <w:t>254</w:t>
            </w:r>
          </w:hyperlink>
        </w:p>
        <w:p>
          <w:pPr>
            <w:pStyle w:val="TOC3"/>
            <w:tabs>
              <w:tab w:pos="1919" w:val="left" w:leader="none"/>
            </w:tabs>
            <w:ind w:left="218"/>
          </w:pPr>
          <w:hyperlink w:history="true" w:anchor="_bookmark337">
            <w:r>
              <w:rPr/>
              <w:t>5.20C.3</w:t>
              <w:tab/>
              <w:t>System Strength Service Provider to make available</w:t>
            </w:r>
            <w:r>
              <w:rPr>
                <w:spacing w:val="57"/>
              </w:rPr>
              <w:t> </w:t>
            </w:r>
            <w:r>
              <w:rPr/>
              <w:t>system</w:t>
            </w:r>
          </w:hyperlink>
        </w:p>
        <w:p>
          <w:pPr>
            <w:pStyle w:val="TOC5"/>
            <w:tabs>
              <w:tab w:pos="8930" w:val="left" w:leader="dot"/>
            </w:tabs>
          </w:pPr>
          <w:hyperlink w:history="true" w:anchor="_bookmark337">
            <w:r>
              <w:rPr/>
              <w:t>strength</w:t>
            </w:r>
            <w:r>
              <w:rPr>
                <w:spacing w:val="-5"/>
              </w:rPr>
              <w:t> </w:t>
            </w:r>
            <w:r>
              <w:rPr/>
              <w:t>services</w:t>
              <w:tab/>
              <w:t>255</w:t>
            </w:r>
          </w:hyperlink>
        </w:p>
        <w:p>
          <w:pPr>
            <w:pStyle w:val="TOC3"/>
            <w:numPr>
              <w:ilvl w:val="1"/>
              <w:numId w:val="19"/>
            </w:numPr>
            <w:tabs>
              <w:tab w:pos="639" w:val="left" w:leader="none"/>
              <w:tab w:pos="1919" w:val="left" w:leader="none"/>
              <w:tab w:pos="8930" w:val="left" w:leader="dot"/>
            </w:tabs>
            <w:spacing w:line="240" w:lineRule="auto" w:before="0" w:after="0"/>
            <w:ind w:left="639" w:right="0" w:hanging="421"/>
            <w:jc w:val="left"/>
            <w:rPr>
              <w:sz w:val="22"/>
            </w:rPr>
          </w:pPr>
          <w:hyperlink w:history="true" w:anchor="_bookmark338">
            <w:r>
              <w:rPr/>
              <w:t>C.4</w:t>
              <w:tab/>
              <w:t>System strength services information</w:t>
            </w:r>
            <w:r>
              <w:rPr>
                <w:spacing w:val="-14"/>
              </w:rPr>
              <w:t> </w:t>
            </w:r>
            <w:r>
              <w:rPr/>
              <w:t>and</w:t>
            </w:r>
            <w:r>
              <w:rPr>
                <w:spacing w:val="-4"/>
              </w:rPr>
              <w:t> </w:t>
            </w:r>
            <w:r>
              <w:rPr/>
              <w:t>approvals</w:t>
              <w:tab/>
              <w:t>257</w:t>
            </w:r>
          </w:hyperlink>
        </w:p>
        <w:p>
          <w:pPr>
            <w:pStyle w:val="TOC2"/>
            <w:numPr>
              <w:ilvl w:val="1"/>
              <w:numId w:val="19"/>
            </w:numPr>
            <w:tabs>
              <w:tab w:pos="1919" w:val="left" w:leader="none"/>
              <w:tab w:pos="1920" w:val="left" w:leader="none"/>
            </w:tabs>
            <w:spacing w:line="240" w:lineRule="auto" w:before="120" w:after="0"/>
            <w:ind w:left="1919" w:right="0" w:hanging="1702"/>
            <w:jc w:val="left"/>
          </w:pPr>
          <w:hyperlink w:history="true" w:anchor="_bookmark339">
            <w:r>
              <w:rPr/>
              <w:t>AEMO's</w:t>
            </w:r>
            <w:r>
              <w:rPr>
                <w:spacing w:val="24"/>
              </w:rPr>
              <w:t> </w:t>
            </w:r>
            <w:r>
              <w:rPr/>
              <w:t>obligation</w:t>
            </w:r>
            <w:r>
              <w:rPr>
                <w:spacing w:val="25"/>
              </w:rPr>
              <w:t> </w:t>
            </w:r>
            <w:r>
              <w:rPr/>
              <w:t>to</w:t>
            </w:r>
            <w:r>
              <w:rPr>
                <w:spacing w:val="24"/>
              </w:rPr>
              <w:t> </w:t>
            </w:r>
            <w:r>
              <w:rPr/>
              <w:t>publish</w:t>
            </w:r>
            <w:r>
              <w:rPr>
                <w:spacing w:val="25"/>
              </w:rPr>
              <w:t> </w:t>
            </w:r>
            <w:r>
              <w:rPr/>
              <w:t>information</w:t>
            </w:r>
            <w:r>
              <w:rPr>
                <w:spacing w:val="24"/>
              </w:rPr>
              <w:t> </w:t>
            </w:r>
            <w:r>
              <w:rPr/>
              <w:t>and</w:t>
            </w:r>
            <w:r>
              <w:rPr>
                <w:spacing w:val="25"/>
              </w:rPr>
              <w:t> </w:t>
            </w:r>
            <w:r>
              <w:rPr/>
              <w:t>guidelines</w:t>
            </w:r>
            <w:r>
              <w:rPr>
                <w:spacing w:val="24"/>
              </w:rPr>
              <w:t> </w:t>
            </w:r>
            <w:r>
              <w:rPr/>
              <w:t>and</w:t>
            </w:r>
          </w:hyperlink>
        </w:p>
        <w:p>
          <w:pPr>
            <w:pStyle w:val="TOC4"/>
            <w:tabs>
              <w:tab w:pos="8930" w:val="left" w:leader="dot"/>
            </w:tabs>
          </w:pPr>
          <w:hyperlink w:history="true" w:anchor="_bookmark339">
            <w:r>
              <w:rPr/>
              <w:t>provide</w:t>
            </w:r>
            <w:r>
              <w:rPr>
                <w:spacing w:val="-3"/>
              </w:rPr>
              <w:t> </w:t>
            </w:r>
            <w:r>
              <w:rPr/>
              <w:t>advice</w:t>
              <w:tab/>
              <w:t>258</w:t>
            </w:r>
          </w:hyperlink>
        </w:p>
        <w:p>
          <w:pPr>
            <w:pStyle w:val="TOC2"/>
            <w:numPr>
              <w:ilvl w:val="1"/>
              <w:numId w:val="19"/>
            </w:numPr>
            <w:tabs>
              <w:tab w:pos="1919" w:val="left" w:leader="none"/>
              <w:tab w:pos="1920" w:val="left" w:leader="none"/>
              <w:tab w:pos="8930" w:val="left" w:leader="dot"/>
            </w:tabs>
            <w:spacing w:line="240" w:lineRule="auto" w:before="120" w:after="0"/>
            <w:ind w:left="1919" w:right="0" w:hanging="1702"/>
            <w:jc w:val="left"/>
          </w:pPr>
          <w:hyperlink w:history="true" w:anchor="_bookmark340">
            <w:r>
              <w:rPr/>
              <w:t>Last resort</w:t>
            </w:r>
            <w:r>
              <w:rPr>
                <w:spacing w:val="-5"/>
              </w:rPr>
              <w:t> </w:t>
            </w:r>
            <w:r>
              <w:rPr/>
              <w:t>planning</w:t>
            </w:r>
            <w:r>
              <w:rPr>
                <w:spacing w:val="-3"/>
              </w:rPr>
              <w:t> </w:t>
            </w:r>
            <w:r>
              <w:rPr/>
              <w:t>power</w:t>
              <w:tab/>
              <w:t>260</w:t>
            </w:r>
          </w:hyperlink>
        </w:p>
        <w:p>
          <w:pPr>
            <w:pStyle w:val="TOC2"/>
            <w:tabs>
              <w:tab w:pos="1918" w:val="left" w:leader="none"/>
              <w:tab w:pos="8929" w:val="left" w:leader="dot"/>
            </w:tabs>
          </w:pPr>
          <w:hyperlink w:history="true" w:anchor="_bookmark341">
            <w:r>
              <w:rPr/>
              <w:t>Schedule</w:t>
            </w:r>
            <w:r>
              <w:rPr>
                <w:spacing w:val="-4"/>
              </w:rPr>
              <w:t> </w:t>
            </w:r>
            <w:r>
              <w:rPr/>
              <w:t>5.1a</w:t>
              <w:tab/>
              <w:t>System</w:t>
            </w:r>
            <w:r>
              <w:rPr>
                <w:spacing w:val="-5"/>
              </w:rPr>
              <w:t> </w:t>
            </w:r>
            <w:r>
              <w:rPr/>
              <w:t>standards</w:t>
              <w:tab/>
              <w:t>263</w:t>
            </w:r>
          </w:hyperlink>
        </w:p>
        <w:p>
          <w:pPr>
            <w:pStyle w:val="TOC3"/>
            <w:tabs>
              <w:tab w:pos="1918" w:val="left" w:leader="none"/>
              <w:tab w:pos="8930" w:val="left" w:leader="dot"/>
            </w:tabs>
            <w:ind w:left="218"/>
          </w:pPr>
          <w:hyperlink w:history="true" w:anchor="_bookmark342">
            <w:r>
              <w:rPr/>
              <w:t>S5.1a.1</w:t>
              <w:tab/>
              <w:t>Purpose</w:t>
              <w:tab/>
              <w:t>263</w:t>
            </w:r>
          </w:hyperlink>
        </w:p>
        <w:p>
          <w:pPr>
            <w:pStyle w:val="TOC3"/>
            <w:tabs>
              <w:tab w:pos="1918" w:val="left" w:leader="none"/>
              <w:tab w:pos="8930" w:val="left" w:leader="dot"/>
            </w:tabs>
            <w:ind w:left="218"/>
          </w:pPr>
          <w:hyperlink w:history="true" w:anchor="_bookmark343">
            <w:r>
              <w:rPr/>
              <w:t>S5.1a.2</w:t>
              <w:tab/>
              <w:t>Frequency</w:t>
              <w:tab/>
              <w:t>264</w:t>
            </w:r>
          </w:hyperlink>
        </w:p>
        <w:p>
          <w:pPr>
            <w:pStyle w:val="TOC3"/>
            <w:tabs>
              <w:tab w:pos="1918" w:val="left" w:leader="none"/>
              <w:tab w:pos="8929" w:val="left" w:leader="dot"/>
            </w:tabs>
            <w:ind w:left="218"/>
          </w:pPr>
          <w:hyperlink w:history="true" w:anchor="_bookmark344">
            <w:r>
              <w:rPr/>
              <w:t>S5.1a.3</w:t>
              <w:tab/>
              <w:t>System</w:t>
            </w:r>
            <w:r>
              <w:rPr>
                <w:spacing w:val="-5"/>
              </w:rPr>
              <w:t> </w:t>
            </w:r>
            <w:r>
              <w:rPr/>
              <w:t>stability</w:t>
              <w:tab/>
              <w:t>264</w:t>
            </w:r>
          </w:hyperlink>
        </w:p>
        <w:p>
          <w:pPr>
            <w:pStyle w:val="TOC3"/>
            <w:tabs>
              <w:tab w:pos="1918" w:val="left" w:leader="none"/>
              <w:tab w:pos="8930" w:val="left" w:leader="dot"/>
            </w:tabs>
            <w:ind w:left="218"/>
          </w:pPr>
          <w:hyperlink w:history="true" w:anchor="_bookmark345">
            <w:r>
              <w:rPr/>
              <w:t>S5.1a.4</w:t>
              <w:tab/>
              <w:t>Power</w:t>
            </w:r>
            <w:r>
              <w:rPr>
                <w:spacing w:val="-3"/>
              </w:rPr>
              <w:t> </w:t>
            </w:r>
            <w:r>
              <w:rPr/>
              <w:t>frequency</w:t>
            </w:r>
            <w:r>
              <w:rPr>
                <w:spacing w:val="-1"/>
              </w:rPr>
              <w:t> </w:t>
            </w:r>
            <w:r>
              <w:rPr/>
              <w:t>voltage</w:t>
              <w:tab/>
              <w:t>264</w:t>
            </w:r>
          </w:hyperlink>
        </w:p>
        <w:p>
          <w:pPr>
            <w:pStyle w:val="TOC3"/>
            <w:tabs>
              <w:tab w:pos="1918" w:val="left" w:leader="none"/>
              <w:tab w:pos="8930" w:val="left" w:leader="dot"/>
            </w:tabs>
            <w:ind w:left="218"/>
          </w:pPr>
          <w:hyperlink w:history="true" w:anchor="_bookmark346">
            <w:r>
              <w:rPr/>
              <w:t>S5.1a.5</w:t>
              <w:tab/>
              <w:t>Voltage</w:t>
            </w:r>
            <w:r>
              <w:rPr>
                <w:spacing w:val="-2"/>
              </w:rPr>
              <w:t> </w:t>
            </w:r>
            <w:r>
              <w:rPr/>
              <w:t>fluctuations</w:t>
              <w:tab/>
              <w:t>265</w:t>
            </w:r>
          </w:hyperlink>
        </w:p>
        <w:p>
          <w:pPr>
            <w:pStyle w:val="TOC3"/>
            <w:tabs>
              <w:tab w:pos="1918" w:val="left" w:leader="none"/>
              <w:tab w:pos="8929" w:val="left" w:leader="dot"/>
            </w:tabs>
            <w:ind w:left="218"/>
          </w:pPr>
          <w:hyperlink w:history="true" w:anchor="_bookmark347">
            <w:r>
              <w:rPr/>
              <w:t>S5.1a.6</w:t>
              <w:tab/>
              <w:t>Voltage</w:t>
            </w:r>
            <w:r>
              <w:rPr>
                <w:spacing w:val="-3"/>
              </w:rPr>
              <w:t> </w:t>
            </w:r>
            <w:r>
              <w:rPr/>
              <w:t>waveform</w:t>
            </w:r>
            <w:r>
              <w:rPr>
                <w:spacing w:val="-4"/>
              </w:rPr>
              <w:t> </w:t>
            </w:r>
            <w:r>
              <w:rPr/>
              <w:t>distortion</w:t>
              <w:tab/>
              <w:t>265</w:t>
            </w:r>
          </w:hyperlink>
        </w:p>
        <w:p>
          <w:pPr>
            <w:pStyle w:val="TOC3"/>
            <w:tabs>
              <w:tab w:pos="1918" w:val="left" w:leader="none"/>
              <w:tab w:pos="8930" w:val="left" w:leader="dot"/>
            </w:tabs>
            <w:ind w:left="218"/>
          </w:pPr>
          <w:hyperlink w:history="true" w:anchor="_bookmark348">
            <w:r>
              <w:rPr/>
              <w:t>S5.1a.7</w:t>
              <w:tab/>
              <w:t>Voltage</w:t>
            </w:r>
            <w:r>
              <w:rPr>
                <w:spacing w:val="-2"/>
              </w:rPr>
              <w:t> </w:t>
            </w:r>
            <w:r>
              <w:rPr/>
              <w:t>unbalance</w:t>
              <w:tab/>
              <w:t>266</w:t>
            </w:r>
          </w:hyperlink>
        </w:p>
        <w:p>
          <w:pPr>
            <w:pStyle w:val="TOC3"/>
            <w:tabs>
              <w:tab w:pos="1918" w:val="left" w:leader="none"/>
              <w:tab w:pos="8930" w:val="left" w:leader="dot"/>
            </w:tabs>
            <w:ind w:left="218"/>
          </w:pPr>
          <w:hyperlink w:history="true" w:anchor="_bookmark349">
            <w:r>
              <w:rPr/>
              <w:t>S5.1a.8</w:t>
              <w:tab/>
              <w:t>Fault</w:t>
            </w:r>
            <w:r>
              <w:rPr>
                <w:spacing w:val="-2"/>
              </w:rPr>
              <w:t> </w:t>
            </w:r>
            <w:r>
              <w:rPr/>
              <w:t>clearance</w:t>
            </w:r>
            <w:r>
              <w:rPr>
                <w:spacing w:val="-1"/>
              </w:rPr>
              <w:t> </w:t>
            </w:r>
            <w:r>
              <w:rPr/>
              <w:t>times</w:t>
              <w:tab/>
              <w:t>267</w:t>
            </w:r>
          </w:hyperlink>
        </w:p>
        <w:p>
          <w:pPr>
            <w:pStyle w:val="TOC2"/>
            <w:tabs>
              <w:tab w:pos="1918" w:val="left" w:leader="none"/>
              <w:tab w:pos="8929" w:val="left" w:leader="dot"/>
            </w:tabs>
            <w:ind w:left="1919" w:right="415" w:hanging="1701"/>
          </w:pPr>
          <w:hyperlink w:history="true" w:anchor="_bookmark350">
            <w:r>
              <w:rPr/>
              <w:t>Schedule</w:t>
            </w:r>
            <w:r>
              <w:rPr>
                <w:spacing w:val="-4"/>
              </w:rPr>
              <w:t> </w:t>
            </w:r>
            <w:r>
              <w:rPr/>
              <w:t>5.1</w:t>
              <w:tab/>
              <w:t>Network Performance Requirements  to  be  Provided  or  Co-</w:t>
            </w:r>
          </w:hyperlink>
          <w:r>
            <w:rPr/>
            <w:t> </w:t>
          </w:r>
          <w:hyperlink w:history="true" w:anchor="_bookmark350">
            <w:r>
              <w:rPr/>
              <w:t>ordinated by Network</w:t>
            </w:r>
            <w:r>
              <w:rPr>
                <w:spacing w:val="-9"/>
              </w:rPr>
              <w:t> </w:t>
            </w:r>
            <w:r>
              <w:rPr/>
              <w:t>Service</w:t>
            </w:r>
            <w:r>
              <w:rPr>
                <w:spacing w:val="-3"/>
              </w:rPr>
              <w:t> </w:t>
            </w:r>
            <w:r>
              <w:rPr/>
              <w:t>Providers</w:t>
              <w:tab/>
            </w:r>
            <w:r>
              <w:rPr>
                <w:spacing w:val="-6"/>
              </w:rPr>
              <w:t>268</w:t>
            </w:r>
          </w:hyperlink>
        </w:p>
        <w:p>
          <w:pPr>
            <w:pStyle w:val="TOC3"/>
            <w:tabs>
              <w:tab w:pos="1918" w:val="left" w:leader="none"/>
              <w:tab w:pos="8930" w:val="left" w:leader="dot"/>
            </w:tabs>
            <w:ind w:left="218"/>
          </w:pPr>
          <w:hyperlink w:history="true" w:anchor="_bookmark351">
            <w:r>
              <w:rPr/>
              <w:t>S5.1.1</w:t>
              <w:tab/>
              <w:t>Introduction</w:t>
              <w:tab/>
              <w:t>268</w:t>
            </w:r>
          </w:hyperlink>
        </w:p>
        <w:p>
          <w:pPr>
            <w:pStyle w:val="TOC3"/>
            <w:tabs>
              <w:tab w:pos="1918" w:val="left" w:leader="none"/>
              <w:tab w:pos="8930" w:val="left" w:leader="dot"/>
            </w:tabs>
            <w:ind w:left="218"/>
          </w:pPr>
          <w:hyperlink w:history="true" w:anchor="_bookmark352">
            <w:r>
              <w:rPr/>
              <w:t>S5.1.2</w:t>
              <w:tab/>
              <w:t>Network</w:t>
            </w:r>
            <w:r>
              <w:rPr>
                <w:spacing w:val="-3"/>
              </w:rPr>
              <w:t> </w:t>
            </w:r>
            <w:r>
              <w:rPr/>
              <w:t>reliability</w:t>
              <w:tab/>
              <w:t>269</w:t>
            </w:r>
          </w:hyperlink>
        </w:p>
        <w:p>
          <w:pPr>
            <w:pStyle w:val="TOC3"/>
            <w:tabs>
              <w:tab w:pos="1918" w:val="left" w:leader="none"/>
              <w:tab w:pos="8930" w:val="left" w:leader="dot"/>
            </w:tabs>
            <w:ind w:left="218"/>
          </w:pPr>
          <w:hyperlink w:history="true" w:anchor="_bookmark353">
            <w:r>
              <w:rPr/>
              <w:t>S5.1.2.1</w:t>
              <w:tab/>
              <w:t>Credible</w:t>
            </w:r>
            <w:r>
              <w:rPr>
                <w:spacing w:val="-1"/>
              </w:rPr>
              <w:t> </w:t>
            </w:r>
            <w:r>
              <w:rPr/>
              <w:t>contingency</w:t>
            </w:r>
            <w:r>
              <w:rPr>
                <w:spacing w:val="-1"/>
              </w:rPr>
              <w:t> </w:t>
            </w:r>
            <w:r>
              <w:rPr/>
              <w:t>events</w:t>
              <w:tab/>
              <w:t>269</w:t>
            </w:r>
          </w:hyperlink>
        </w:p>
        <w:p>
          <w:pPr>
            <w:pStyle w:val="TOC3"/>
            <w:tabs>
              <w:tab w:pos="1918" w:val="left" w:leader="none"/>
              <w:tab w:pos="8929" w:val="left" w:leader="dot"/>
            </w:tabs>
            <w:ind w:left="218"/>
          </w:pPr>
          <w:hyperlink w:history="true" w:anchor="_bookmark354">
            <w:r>
              <w:rPr/>
              <w:t>S5.1.2.2</w:t>
              <w:tab/>
              <w:t>Network service within</w:t>
            </w:r>
            <w:r>
              <w:rPr>
                <w:spacing w:val="-7"/>
              </w:rPr>
              <w:t> </w:t>
            </w:r>
            <w:r>
              <w:rPr/>
              <w:t>a</w:t>
            </w:r>
            <w:r>
              <w:rPr>
                <w:spacing w:val="-2"/>
              </w:rPr>
              <w:t> </w:t>
            </w:r>
            <w:r>
              <w:rPr/>
              <w:t>region</w:t>
              <w:tab/>
              <w:t>270</w:t>
            </w:r>
          </w:hyperlink>
        </w:p>
        <w:p>
          <w:pPr>
            <w:pStyle w:val="TOC3"/>
            <w:tabs>
              <w:tab w:pos="1918" w:val="left" w:leader="none"/>
              <w:tab w:pos="8930" w:val="left" w:leader="dot"/>
            </w:tabs>
            <w:ind w:left="218"/>
          </w:pPr>
          <w:hyperlink w:history="true" w:anchor="_bookmark355">
            <w:r>
              <w:rPr/>
              <w:t>S5.1.2.3</w:t>
              <w:tab/>
              <w:t>Network service</w:t>
            </w:r>
            <w:r>
              <w:rPr>
                <w:spacing w:val="-3"/>
              </w:rPr>
              <w:t> </w:t>
            </w:r>
            <w:r>
              <w:rPr/>
              <w:t>between</w:t>
            </w:r>
            <w:r>
              <w:rPr>
                <w:spacing w:val="-1"/>
              </w:rPr>
              <w:t> </w:t>
            </w:r>
            <w:r>
              <w:rPr/>
              <w:t>regions</w:t>
              <w:tab/>
              <w:t>271</w:t>
            </w:r>
          </w:hyperlink>
        </w:p>
        <w:p>
          <w:pPr>
            <w:pStyle w:val="TOC3"/>
            <w:tabs>
              <w:tab w:pos="1918" w:val="left" w:leader="none"/>
              <w:tab w:pos="8930" w:val="left" w:leader="dot"/>
            </w:tabs>
            <w:ind w:left="218"/>
          </w:pPr>
          <w:hyperlink w:history="true" w:anchor="_bookmark356">
            <w:r>
              <w:rPr/>
              <w:t>S5.1.3</w:t>
              <w:tab/>
              <w:t>Frequency</w:t>
            </w:r>
            <w:r>
              <w:rPr>
                <w:spacing w:val="-3"/>
              </w:rPr>
              <w:t> </w:t>
            </w:r>
            <w:r>
              <w:rPr/>
              <w:t>variations</w:t>
              <w:tab/>
              <w:t>271</w:t>
            </w:r>
          </w:hyperlink>
        </w:p>
        <w:p>
          <w:pPr>
            <w:pStyle w:val="TOC3"/>
            <w:tabs>
              <w:tab w:pos="1918" w:val="left" w:leader="none"/>
              <w:tab w:pos="8930" w:val="left" w:leader="dot"/>
            </w:tabs>
            <w:ind w:left="218"/>
          </w:pPr>
          <w:hyperlink w:history="true" w:anchor="_bookmark357">
            <w:r>
              <w:rPr/>
              <w:t>S5.1.4</w:t>
              <w:tab/>
              <w:t>Magnitude of power</w:t>
            </w:r>
            <w:r>
              <w:rPr>
                <w:spacing w:val="-3"/>
              </w:rPr>
              <w:t> </w:t>
            </w:r>
            <w:r>
              <w:rPr/>
              <w:t>frequency</w:t>
            </w:r>
            <w:r>
              <w:rPr>
                <w:spacing w:val="-1"/>
              </w:rPr>
              <w:t> </w:t>
            </w:r>
            <w:r>
              <w:rPr/>
              <w:t>voltage</w:t>
              <w:tab/>
              <w:t>271</w:t>
            </w:r>
          </w:hyperlink>
        </w:p>
        <w:p>
          <w:pPr>
            <w:pStyle w:val="TOC3"/>
            <w:tabs>
              <w:tab w:pos="1918" w:val="left" w:leader="none"/>
              <w:tab w:pos="8930" w:val="left" w:leader="dot"/>
            </w:tabs>
            <w:ind w:left="218"/>
          </w:pPr>
          <w:hyperlink w:history="true" w:anchor="_bookmark358">
            <w:r>
              <w:rPr/>
              <w:t>S5.1.5</w:t>
              <w:tab/>
              <w:t>Voltage</w:t>
            </w:r>
            <w:r>
              <w:rPr>
                <w:spacing w:val="-2"/>
              </w:rPr>
              <w:t> </w:t>
            </w:r>
            <w:r>
              <w:rPr/>
              <w:t>fluctuations</w:t>
              <w:tab/>
              <w:t>272</w:t>
            </w:r>
          </w:hyperlink>
        </w:p>
        <w:p>
          <w:pPr>
            <w:pStyle w:val="TOC3"/>
            <w:tabs>
              <w:tab w:pos="1918" w:val="left" w:leader="none"/>
              <w:tab w:pos="8930" w:val="left" w:leader="dot"/>
            </w:tabs>
            <w:ind w:left="218"/>
          </w:pPr>
          <w:hyperlink w:history="true" w:anchor="_bookmark359">
            <w:r>
              <w:rPr/>
              <w:t>S5.1.6</w:t>
              <w:tab/>
              <w:t>Voltage harmonic or voltage</w:t>
            </w:r>
            <w:r>
              <w:rPr>
                <w:spacing w:val="-4"/>
              </w:rPr>
              <w:t> </w:t>
            </w:r>
            <w:r>
              <w:rPr/>
              <w:t>notching</w:t>
            </w:r>
            <w:r>
              <w:rPr>
                <w:spacing w:val="-1"/>
              </w:rPr>
              <w:t> </w:t>
            </w:r>
            <w:r>
              <w:rPr/>
              <w:t>distortion</w:t>
              <w:tab/>
              <w:t>273</w:t>
            </w:r>
          </w:hyperlink>
        </w:p>
        <w:p>
          <w:pPr>
            <w:pStyle w:val="TOC3"/>
            <w:tabs>
              <w:tab w:pos="1918" w:val="left" w:leader="none"/>
              <w:tab w:pos="8930" w:val="left" w:leader="dot"/>
            </w:tabs>
            <w:ind w:left="218"/>
          </w:pPr>
          <w:hyperlink w:history="true" w:anchor="_bookmark360">
            <w:r>
              <w:rPr/>
              <w:t>S5.1.7</w:t>
              <w:tab/>
              <w:t>Voltage</w:t>
            </w:r>
            <w:r>
              <w:rPr>
                <w:spacing w:val="-2"/>
              </w:rPr>
              <w:t> </w:t>
            </w:r>
            <w:r>
              <w:rPr/>
              <w:t>unbalance</w:t>
              <w:tab/>
              <w:t>274</w:t>
            </w:r>
          </w:hyperlink>
        </w:p>
        <w:p>
          <w:pPr>
            <w:pStyle w:val="TOC3"/>
            <w:tabs>
              <w:tab w:pos="1918" w:val="left" w:leader="none"/>
              <w:tab w:pos="8930" w:val="left" w:leader="dot"/>
            </w:tabs>
            <w:ind w:left="218"/>
          </w:pPr>
          <w:hyperlink w:history="true" w:anchor="_bookmark361">
            <w:r>
              <w:rPr/>
              <w:t>S5.1.8</w:t>
              <w:tab/>
              <w:t>Stability</w:t>
              <w:tab/>
              <w:t>275</w:t>
            </w:r>
          </w:hyperlink>
        </w:p>
        <w:p>
          <w:pPr>
            <w:pStyle w:val="TOC3"/>
            <w:tabs>
              <w:tab w:pos="1918" w:val="left" w:leader="none"/>
              <w:tab w:pos="8930" w:val="left" w:leader="dot"/>
            </w:tabs>
            <w:ind w:left="218"/>
          </w:pPr>
          <w:hyperlink w:history="true" w:anchor="_bookmark362">
            <w:r>
              <w:rPr/>
              <w:t>S5.1.9</w:t>
              <w:tab/>
              <w:t>Protection systems and fault</w:t>
            </w:r>
            <w:r>
              <w:rPr>
                <w:spacing w:val="-9"/>
              </w:rPr>
              <w:t> </w:t>
            </w:r>
            <w:r>
              <w:rPr/>
              <w:t>clearance</w:t>
            </w:r>
            <w:r>
              <w:rPr>
                <w:spacing w:val="-1"/>
              </w:rPr>
              <w:t> </w:t>
            </w:r>
            <w:r>
              <w:rPr/>
              <w:t>times</w:t>
              <w:tab/>
              <w:t>276</w:t>
            </w:r>
          </w:hyperlink>
        </w:p>
        <w:p>
          <w:pPr>
            <w:pStyle w:val="TOC3"/>
            <w:tabs>
              <w:tab w:pos="1918" w:val="left" w:leader="none"/>
              <w:tab w:pos="8930" w:val="left" w:leader="dot"/>
            </w:tabs>
            <w:ind w:left="218"/>
          </w:pPr>
          <w:hyperlink w:history="true" w:anchor="_bookmark363">
            <w:r>
              <w:rPr/>
              <w:t>S5.1.10</w:t>
              <w:tab/>
              <w:t>Load, generation and network</w:t>
            </w:r>
            <w:r>
              <w:rPr>
                <w:spacing w:val="-3"/>
              </w:rPr>
              <w:t> </w:t>
            </w:r>
            <w:r>
              <w:rPr/>
              <w:t>control facilities</w:t>
              <w:tab/>
              <w:t>279</w:t>
            </w:r>
          </w:hyperlink>
        </w:p>
        <w:p>
          <w:pPr>
            <w:pStyle w:val="TOC3"/>
            <w:tabs>
              <w:tab w:pos="1918" w:val="left" w:leader="none"/>
              <w:tab w:pos="8930" w:val="left" w:leader="dot"/>
            </w:tabs>
            <w:ind w:left="218"/>
          </w:pPr>
          <w:hyperlink w:history="true" w:anchor="_bookmark364">
            <w:r>
              <w:rPr/>
              <w:t>S5.1.10.1</w:t>
              <w:tab/>
              <w:t>General</w:t>
              <w:tab/>
              <w:t>279</w:t>
            </w:r>
          </w:hyperlink>
        </w:p>
        <w:p>
          <w:pPr>
            <w:pStyle w:val="TOC3"/>
            <w:tabs>
              <w:tab w:pos="1918" w:val="left" w:leader="none"/>
              <w:tab w:pos="8930" w:val="left" w:leader="dot"/>
            </w:tabs>
            <w:ind w:left="218"/>
          </w:pPr>
          <w:hyperlink w:history="true" w:anchor="_bookmark365">
            <w:r>
              <w:rPr/>
              <w:t>S5.1.10.1a</w:t>
              <w:tab/>
              <w:t>Emergency frequency</w:t>
            </w:r>
            <w:r>
              <w:rPr>
                <w:spacing w:val="-4"/>
              </w:rPr>
              <w:t> </w:t>
            </w:r>
            <w:r>
              <w:rPr/>
              <w:t>control</w:t>
            </w:r>
            <w:r>
              <w:rPr>
                <w:spacing w:val="-1"/>
              </w:rPr>
              <w:t> </w:t>
            </w:r>
            <w:r>
              <w:rPr/>
              <w:t>schemes</w:t>
              <w:tab/>
              <w:t>280</w:t>
            </w:r>
          </w:hyperlink>
        </w:p>
        <w:p>
          <w:pPr>
            <w:pStyle w:val="TOC3"/>
            <w:tabs>
              <w:tab w:pos="1918" w:val="left" w:leader="none"/>
              <w:tab w:pos="8929" w:val="left" w:leader="dot"/>
            </w:tabs>
            <w:ind w:left="218"/>
          </w:pPr>
          <w:hyperlink w:history="true" w:anchor="_bookmark366">
            <w:r>
              <w:rPr/>
              <w:t>S5.1.10.2</w:t>
              <w:tab/>
              <w:t>Distribution Network</w:t>
            </w:r>
            <w:r>
              <w:rPr>
                <w:spacing w:val="-8"/>
              </w:rPr>
              <w:t> </w:t>
            </w:r>
            <w:r>
              <w:rPr/>
              <w:t>Service</w:t>
            </w:r>
            <w:r>
              <w:rPr>
                <w:spacing w:val="-5"/>
              </w:rPr>
              <w:t> </w:t>
            </w:r>
            <w:r>
              <w:rPr/>
              <w:t>Providers</w:t>
              <w:tab/>
              <w:t>281</w:t>
            </w:r>
          </w:hyperlink>
        </w:p>
        <w:p>
          <w:pPr>
            <w:pStyle w:val="TOC3"/>
            <w:tabs>
              <w:tab w:pos="1918" w:val="left" w:leader="none"/>
              <w:tab w:pos="8928" w:val="left" w:leader="dot"/>
            </w:tabs>
            <w:ind w:left="218"/>
          </w:pPr>
          <w:hyperlink w:history="true" w:anchor="_bookmark367">
            <w:r>
              <w:rPr/>
              <w:t>S5.1.10.3</w:t>
              <w:tab/>
              <w:t>Transmission Network</w:t>
            </w:r>
            <w:r>
              <w:rPr>
                <w:spacing w:val="-10"/>
              </w:rPr>
              <w:t> </w:t>
            </w:r>
            <w:r>
              <w:rPr/>
              <w:t>Service</w:t>
            </w:r>
            <w:r>
              <w:rPr>
                <w:spacing w:val="-5"/>
              </w:rPr>
              <w:t> </w:t>
            </w:r>
            <w:r>
              <w:rPr/>
              <w:t>Providers</w:t>
              <w:tab/>
              <w:t>281</w:t>
            </w:r>
          </w:hyperlink>
        </w:p>
        <w:p>
          <w:pPr>
            <w:pStyle w:val="TOC3"/>
            <w:tabs>
              <w:tab w:pos="1918" w:val="left" w:leader="none"/>
              <w:tab w:pos="8932" w:val="left" w:leader="dot"/>
            </w:tabs>
            <w:ind w:left="218"/>
          </w:pPr>
          <w:hyperlink w:history="true" w:anchor="_bookmark368">
            <w:r>
              <w:rPr/>
              <w:t>S5.1.11</w:t>
              <w:tab/>
              <w:t>Automatic reclosure of transmission or</w:t>
            </w:r>
            <w:r>
              <w:rPr>
                <w:spacing w:val="-5"/>
              </w:rPr>
              <w:t> </w:t>
            </w:r>
            <w:r>
              <w:rPr/>
              <w:t>distribution</w:t>
            </w:r>
            <w:r>
              <w:rPr>
                <w:spacing w:val="-1"/>
              </w:rPr>
              <w:t> </w:t>
            </w:r>
            <w:r>
              <w:rPr/>
              <w:t>lines</w:t>
              <w:tab/>
              <w:t>282</w:t>
            </w:r>
          </w:hyperlink>
        </w:p>
        <w:p>
          <w:pPr>
            <w:pStyle w:val="TOC3"/>
            <w:tabs>
              <w:tab w:pos="1918" w:val="left" w:leader="none"/>
              <w:tab w:pos="8932" w:val="left" w:leader="dot"/>
            </w:tabs>
            <w:ind w:left="218"/>
          </w:pPr>
          <w:hyperlink w:history="true" w:anchor="_bookmark369">
            <w:r>
              <w:rPr/>
              <w:t>S5.1.12</w:t>
              <w:tab/>
              <w:t>Rating of transmission lines</w:t>
            </w:r>
            <w:r>
              <w:rPr>
                <w:spacing w:val="-2"/>
              </w:rPr>
              <w:t> </w:t>
            </w:r>
            <w:r>
              <w:rPr/>
              <w:t>and equipment</w:t>
              <w:tab/>
              <w:t>282</w:t>
            </w:r>
          </w:hyperlink>
        </w:p>
        <w:p>
          <w:pPr>
            <w:pStyle w:val="TOC3"/>
            <w:tabs>
              <w:tab w:pos="1918" w:val="left" w:leader="none"/>
              <w:tab w:pos="8930" w:val="left" w:leader="dot"/>
            </w:tabs>
            <w:ind w:left="218"/>
          </w:pPr>
          <w:hyperlink w:history="true" w:anchor="_bookmark370">
            <w:r>
              <w:rPr/>
              <w:t>S5.1.13</w:t>
              <w:tab/>
              <w:t>Information to</w:t>
            </w:r>
            <w:r>
              <w:rPr>
                <w:spacing w:val="-1"/>
              </w:rPr>
              <w:t> </w:t>
            </w:r>
            <w:r>
              <w:rPr/>
              <w:t>be</w:t>
            </w:r>
            <w:r>
              <w:rPr>
                <w:spacing w:val="-2"/>
              </w:rPr>
              <w:t> </w:t>
            </w:r>
            <w:r>
              <w:rPr/>
              <w:t>provided</w:t>
              <w:tab/>
              <w:t>283</w:t>
            </w:r>
          </w:hyperlink>
        </w:p>
        <w:p>
          <w:pPr>
            <w:pStyle w:val="TOC2"/>
            <w:tabs>
              <w:tab w:pos="1918" w:val="left" w:leader="none"/>
              <w:tab w:pos="8928" w:val="left" w:leader="dot"/>
            </w:tabs>
          </w:pPr>
          <w:hyperlink w:history="true" w:anchor="_bookmark371">
            <w:r>
              <w:rPr/>
              <w:t>Schedule</w:t>
            </w:r>
            <w:r>
              <w:rPr>
                <w:spacing w:val="-4"/>
              </w:rPr>
              <w:t> </w:t>
            </w:r>
            <w:r>
              <w:rPr/>
              <w:t>5.2</w:t>
              <w:tab/>
              <w:t>Conditions for Connection</w:t>
            </w:r>
            <w:r>
              <w:rPr>
                <w:spacing w:val="-11"/>
              </w:rPr>
              <w:t> </w:t>
            </w:r>
            <w:r>
              <w:rPr/>
              <w:t>of</w:t>
            </w:r>
            <w:r>
              <w:rPr>
                <w:spacing w:val="-3"/>
              </w:rPr>
              <w:t> </w:t>
            </w:r>
            <w:r>
              <w:rPr/>
              <w:t>Generators</w:t>
              <w:tab/>
              <w:t>283</w:t>
            </w:r>
          </w:hyperlink>
        </w:p>
        <w:p>
          <w:pPr>
            <w:pStyle w:val="TOC3"/>
            <w:tabs>
              <w:tab w:pos="1918" w:val="left" w:leader="none"/>
              <w:tab w:pos="8930" w:val="left" w:leader="dot"/>
            </w:tabs>
            <w:ind w:left="218"/>
          </w:pPr>
          <w:hyperlink w:history="true" w:anchor="_bookmark372">
            <w:r>
              <w:rPr/>
              <w:t>S5.2.1</w:t>
              <w:tab/>
              <w:t>Outline</w:t>
            </w:r>
            <w:r>
              <w:rPr>
                <w:spacing w:val="-2"/>
              </w:rPr>
              <w:t> </w:t>
            </w:r>
            <w:r>
              <w:rPr/>
              <w:t>of</w:t>
            </w:r>
            <w:r>
              <w:rPr>
                <w:spacing w:val="-1"/>
              </w:rPr>
              <w:t> </w:t>
            </w:r>
            <w:r>
              <w:rPr/>
              <w:t>requirements</w:t>
              <w:tab/>
              <w:t>283</w:t>
            </w:r>
          </w:hyperlink>
        </w:p>
        <w:p>
          <w:pPr>
            <w:pStyle w:val="TOC3"/>
            <w:tabs>
              <w:tab w:pos="1918" w:val="left" w:leader="none"/>
              <w:tab w:pos="8930" w:val="left" w:leader="dot"/>
            </w:tabs>
            <w:ind w:left="218"/>
          </w:pPr>
          <w:hyperlink w:history="true" w:anchor="_bookmark373">
            <w:r>
              <w:rPr/>
              <w:t>S5.2.2</w:t>
              <w:tab/>
              <w:t>Application</w:t>
            </w:r>
            <w:r>
              <w:rPr>
                <w:spacing w:val="-2"/>
              </w:rPr>
              <w:t> </w:t>
            </w:r>
            <w:r>
              <w:rPr/>
              <w:t>of</w:t>
            </w:r>
            <w:r>
              <w:rPr>
                <w:spacing w:val="-2"/>
              </w:rPr>
              <w:t> </w:t>
            </w:r>
            <w:r>
              <w:rPr/>
              <w:t>Settings</w:t>
              <w:tab/>
              <w:t>284</w:t>
            </w:r>
          </w:hyperlink>
        </w:p>
        <w:p>
          <w:pPr>
            <w:pStyle w:val="TOC3"/>
            <w:tabs>
              <w:tab w:pos="1918" w:val="left" w:leader="none"/>
              <w:tab w:pos="8931" w:val="left" w:leader="dot"/>
            </w:tabs>
            <w:ind w:left="218"/>
          </w:pPr>
          <w:hyperlink w:history="true" w:anchor="_bookmark374">
            <w:r>
              <w:rPr/>
              <w:t>S5.2.3</w:t>
              <w:tab/>
              <w:t>Technical matters to</w:t>
            </w:r>
            <w:r>
              <w:rPr>
                <w:spacing w:val="-2"/>
              </w:rPr>
              <w:t> </w:t>
            </w:r>
            <w:r>
              <w:rPr/>
              <w:t>be</w:t>
            </w:r>
            <w:r>
              <w:rPr>
                <w:spacing w:val="-1"/>
              </w:rPr>
              <w:t> </w:t>
            </w:r>
            <w:r>
              <w:rPr/>
              <w:t>coordinated</w:t>
              <w:tab/>
              <w:t>285</w:t>
            </w:r>
          </w:hyperlink>
        </w:p>
        <w:p>
          <w:pPr>
            <w:pStyle w:val="TOC3"/>
            <w:tabs>
              <w:tab w:pos="1918" w:val="left" w:leader="none"/>
              <w:tab w:pos="8930" w:val="left" w:leader="dot"/>
            </w:tabs>
            <w:ind w:left="218"/>
          </w:pPr>
          <w:hyperlink w:history="true" w:anchor="_bookmark375">
            <w:r>
              <w:rPr/>
              <w:t>S5.2.4</w:t>
              <w:tab/>
              <w:t>Provision</w:t>
            </w:r>
            <w:r>
              <w:rPr>
                <w:spacing w:val="-2"/>
              </w:rPr>
              <w:t> </w:t>
            </w:r>
            <w:r>
              <w:rPr/>
              <w:t>of</w:t>
            </w:r>
            <w:r>
              <w:rPr>
                <w:spacing w:val="-1"/>
              </w:rPr>
              <w:t> </w:t>
            </w:r>
            <w:r>
              <w:rPr/>
              <w:t>information</w:t>
              <w:tab/>
              <w:t>285</w:t>
            </w:r>
          </w:hyperlink>
        </w:p>
        <w:p>
          <w:pPr>
            <w:pStyle w:val="TOC3"/>
            <w:tabs>
              <w:tab w:pos="1918" w:val="left" w:leader="none"/>
              <w:tab w:pos="8930" w:val="left" w:leader="dot"/>
            </w:tabs>
            <w:ind w:left="218"/>
          </w:pPr>
          <w:hyperlink w:history="true" w:anchor="_bookmark376">
            <w:r>
              <w:rPr/>
              <w:t>S5.2.5</w:t>
              <w:tab/>
              <w:t>Technical</w:t>
            </w:r>
            <w:r>
              <w:rPr>
                <w:spacing w:val="-2"/>
              </w:rPr>
              <w:t> </w:t>
            </w:r>
            <w:r>
              <w:rPr/>
              <w:t>requirements</w:t>
              <w:tab/>
              <w:t>288</w:t>
            </w:r>
          </w:hyperlink>
        </w:p>
        <w:p>
          <w:pPr>
            <w:pStyle w:val="TOC3"/>
            <w:tabs>
              <w:tab w:pos="1918" w:val="left" w:leader="none"/>
              <w:tab w:pos="8930" w:val="left" w:leader="dot"/>
            </w:tabs>
            <w:ind w:left="218"/>
          </w:pPr>
          <w:hyperlink w:history="true" w:anchor="_bookmark377">
            <w:r>
              <w:rPr/>
              <w:t>S5.2.5.1</w:t>
              <w:tab/>
              <w:t>Reactive</w:t>
            </w:r>
            <w:r>
              <w:rPr>
                <w:spacing w:val="-1"/>
              </w:rPr>
              <w:t> </w:t>
            </w:r>
            <w:r>
              <w:rPr/>
              <w:t>power</w:t>
            </w:r>
            <w:r>
              <w:rPr>
                <w:spacing w:val="-1"/>
              </w:rPr>
              <w:t> </w:t>
            </w:r>
            <w:r>
              <w:rPr/>
              <w:t>capability</w:t>
              <w:tab/>
              <w:t>288</w:t>
            </w:r>
          </w:hyperlink>
        </w:p>
        <w:p>
          <w:pPr>
            <w:pStyle w:val="TOC3"/>
            <w:tabs>
              <w:tab w:pos="1918" w:val="left" w:leader="none"/>
              <w:tab w:pos="8930" w:val="left" w:leader="dot"/>
            </w:tabs>
            <w:spacing w:after="175"/>
            <w:ind w:left="218"/>
          </w:pPr>
          <w:hyperlink w:history="true" w:anchor="_bookmark378">
            <w:r>
              <w:rPr/>
              <w:t>S5.2.5.2</w:t>
              <w:tab/>
              <w:t>Quality of</w:t>
            </w:r>
            <w:r>
              <w:rPr>
                <w:spacing w:val="-3"/>
              </w:rPr>
              <w:t> </w:t>
            </w:r>
            <w:r>
              <w:rPr/>
              <w:t>electricity</w:t>
            </w:r>
            <w:r>
              <w:rPr>
                <w:spacing w:val="-1"/>
              </w:rPr>
              <w:t> </w:t>
            </w:r>
            <w:r>
              <w:rPr/>
              <w:t>generated.</w:t>
              <w:tab/>
              <w:t>289</w:t>
            </w:r>
          </w:hyperlink>
        </w:p>
        <w:p>
          <w:pPr>
            <w:pStyle w:val="TOC3"/>
            <w:tabs>
              <w:tab w:pos="1918" w:val="left" w:leader="none"/>
              <w:tab w:pos="8929" w:val="left" w:leader="dot"/>
            </w:tabs>
            <w:spacing w:before="83"/>
            <w:ind w:left="218"/>
          </w:pPr>
          <w:hyperlink w:history="true" w:anchor="_bookmark379">
            <w:r>
              <w:rPr/>
              <w:t>S5.2.5.3</w:t>
              <w:tab/>
              <w:t>Generating system response to</w:t>
            </w:r>
            <w:r>
              <w:rPr>
                <w:spacing w:val="-7"/>
              </w:rPr>
              <w:t> </w:t>
            </w:r>
            <w:r>
              <w:rPr/>
              <w:t>frequency</w:t>
            </w:r>
            <w:r>
              <w:rPr>
                <w:spacing w:val="-1"/>
              </w:rPr>
              <w:t> </w:t>
            </w:r>
            <w:r>
              <w:rPr/>
              <w:t>disturbances</w:t>
              <w:tab/>
              <w:t>290</w:t>
            </w:r>
          </w:hyperlink>
        </w:p>
        <w:p>
          <w:pPr>
            <w:pStyle w:val="TOC3"/>
            <w:tabs>
              <w:tab w:pos="1918" w:val="left" w:leader="none"/>
              <w:tab w:pos="8930" w:val="left" w:leader="dot"/>
            </w:tabs>
            <w:ind w:left="218"/>
          </w:pPr>
          <w:hyperlink w:history="true" w:anchor="_bookmark380">
            <w:r>
              <w:rPr/>
              <w:t>S5.2.5.4</w:t>
              <w:tab/>
              <w:t>Generating system response to</w:t>
            </w:r>
            <w:r>
              <w:rPr>
                <w:spacing w:val="-8"/>
              </w:rPr>
              <w:t> </w:t>
            </w:r>
            <w:r>
              <w:rPr/>
              <w:t>voltage</w:t>
            </w:r>
            <w:r>
              <w:rPr>
                <w:spacing w:val="-1"/>
              </w:rPr>
              <w:t> </w:t>
            </w:r>
            <w:r>
              <w:rPr/>
              <w:t>disturbances</w:t>
              <w:tab/>
              <w:t>293</w:t>
            </w:r>
          </w:hyperlink>
        </w:p>
        <w:p>
          <w:pPr>
            <w:pStyle w:val="TOC3"/>
            <w:tabs>
              <w:tab w:pos="1918" w:val="left" w:leader="none"/>
            </w:tabs>
            <w:ind w:left="218"/>
          </w:pPr>
          <w:hyperlink w:history="true" w:anchor="_bookmark381">
            <w:r>
              <w:rPr/>
              <w:t>S5.2.5.5</w:t>
              <w:tab/>
              <w:t>Generating system response to disturbances following</w:t>
            </w:r>
            <w:r>
              <w:rPr>
                <w:spacing w:val="27"/>
              </w:rPr>
              <w:t> </w:t>
            </w:r>
            <w:r>
              <w:rPr/>
              <w:t>contingency</w:t>
            </w:r>
          </w:hyperlink>
        </w:p>
        <w:p>
          <w:pPr>
            <w:pStyle w:val="TOC5"/>
            <w:tabs>
              <w:tab w:pos="8931" w:val="left" w:leader="dot"/>
            </w:tabs>
          </w:pPr>
          <w:hyperlink w:history="true" w:anchor="_bookmark381">
            <w:r>
              <w:rPr/>
              <w:t>events</w:t>
              <w:tab/>
              <w:t>295</w:t>
            </w:r>
          </w:hyperlink>
        </w:p>
        <w:p>
          <w:pPr>
            <w:pStyle w:val="TOC3"/>
            <w:tabs>
              <w:tab w:pos="1918" w:val="left" w:leader="none"/>
              <w:tab w:pos="8930" w:val="left" w:leader="dot"/>
            </w:tabs>
            <w:ind w:right="414" w:hanging="1701"/>
          </w:pPr>
          <w:hyperlink w:history="true" w:anchor="_bookmark382">
            <w:r>
              <w:rPr/>
              <w:t>S5.2.5.6</w:t>
              <w:tab/>
              <w:t>Quality  of  electricity   generated   and   continuous   uninterrupted</w:t>
            </w:r>
          </w:hyperlink>
          <w:r>
            <w:rPr/>
            <w:t> </w:t>
          </w:r>
          <w:hyperlink w:history="true" w:anchor="_bookmark382">
            <w:r>
              <w:rPr/>
              <w:t>operation</w:t>
              <w:tab/>
            </w:r>
            <w:r>
              <w:rPr>
                <w:spacing w:val="-6"/>
              </w:rPr>
              <w:t>303</w:t>
            </w:r>
          </w:hyperlink>
        </w:p>
        <w:p>
          <w:pPr>
            <w:pStyle w:val="TOC3"/>
            <w:tabs>
              <w:tab w:pos="1918" w:val="left" w:leader="none"/>
              <w:tab w:pos="8930" w:val="left" w:leader="dot"/>
            </w:tabs>
            <w:ind w:left="218"/>
          </w:pPr>
          <w:hyperlink w:history="true" w:anchor="_bookmark383">
            <w:r>
              <w:rPr/>
              <w:t>S5.2.5.7</w:t>
              <w:tab/>
              <w:t>Partial</w:t>
            </w:r>
            <w:r>
              <w:rPr>
                <w:spacing w:val="-2"/>
              </w:rPr>
              <w:t> </w:t>
            </w:r>
            <w:r>
              <w:rPr/>
              <w:t>load</w:t>
            </w:r>
            <w:r>
              <w:rPr>
                <w:spacing w:val="-2"/>
              </w:rPr>
              <w:t> </w:t>
            </w:r>
            <w:r>
              <w:rPr/>
              <w:t>rejection</w:t>
              <w:tab/>
              <w:t>303</w:t>
            </w:r>
          </w:hyperlink>
        </w:p>
        <w:p>
          <w:pPr>
            <w:pStyle w:val="TOC3"/>
            <w:tabs>
              <w:tab w:pos="1918" w:val="left" w:leader="none"/>
              <w:tab w:pos="8929" w:val="left" w:leader="dot"/>
            </w:tabs>
            <w:ind w:left="218"/>
          </w:pPr>
          <w:hyperlink w:history="true" w:anchor="_bookmark384">
            <w:r>
              <w:rPr/>
              <w:t>S5.2.5.8</w:t>
              <w:tab/>
              <w:t>Protection of generating systems from power</w:t>
            </w:r>
            <w:r>
              <w:rPr>
                <w:spacing w:val="-12"/>
              </w:rPr>
              <w:t> </w:t>
            </w:r>
            <w:r>
              <w:rPr/>
              <w:t>system</w:t>
            </w:r>
            <w:r>
              <w:rPr>
                <w:spacing w:val="-3"/>
              </w:rPr>
              <w:t> </w:t>
            </w:r>
            <w:r>
              <w:rPr/>
              <w:t>disturbances</w:t>
              <w:tab/>
              <w:t>304</w:t>
            </w:r>
          </w:hyperlink>
        </w:p>
        <w:p>
          <w:pPr>
            <w:pStyle w:val="TOC3"/>
            <w:tabs>
              <w:tab w:pos="1918" w:val="left" w:leader="none"/>
              <w:tab w:pos="8929" w:val="left" w:leader="dot"/>
            </w:tabs>
            <w:ind w:left="218"/>
          </w:pPr>
          <w:hyperlink w:history="true" w:anchor="_bookmark385">
            <w:r>
              <w:rPr/>
              <w:t>S5.2.5.9</w:t>
              <w:tab/>
              <w:t>Protection systems that impact on power</w:t>
            </w:r>
            <w:r>
              <w:rPr>
                <w:spacing w:val="-17"/>
              </w:rPr>
              <w:t> </w:t>
            </w:r>
            <w:r>
              <w:rPr/>
              <w:t>system</w:t>
            </w:r>
            <w:r>
              <w:rPr>
                <w:spacing w:val="-2"/>
              </w:rPr>
              <w:t> </w:t>
            </w:r>
            <w:r>
              <w:rPr/>
              <w:t>security</w:t>
              <w:tab/>
              <w:t>305</w:t>
            </w:r>
          </w:hyperlink>
        </w:p>
        <w:p>
          <w:pPr>
            <w:pStyle w:val="TOC3"/>
            <w:tabs>
              <w:tab w:pos="1918" w:val="left" w:leader="none"/>
              <w:tab w:pos="8930" w:val="left" w:leader="dot"/>
            </w:tabs>
            <w:ind w:left="218"/>
          </w:pPr>
          <w:hyperlink w:history="true" w:anchor="_bookmark386">
            <w:r>
              <w:rPr/>
              <w:t>S5.2.5.10</w:t>
              <w:tab/>
              <w:t>Protection to trip plant for</w:t>
            </w:r>
            <w:r>
              <w:rPr>
                <w:spacing w:val="-4"/>
              </w:rPr>
              <w:t> </w:t>
            </w:r>
            <w:r>
              <w:rPr/>
              <w:t>unstable</w:t>
            </w:r>
            <w:r>
              <w:rPr>
                <w:spacing w:val="-2"/>
              </w:rPr>
              <w:t> </w:t>
            </w:r>
            <w:r>
              <w:rPr/>
              <w:t>operation</w:t>
              <w:tab/>
              <w:t>307</w:t>
            </w:r>
          </w:hyperlink>
        </w:p>
        <w:p>
          <w:pPr>
            <w:pStyle w:val="TOC3"/>
            <w:tabs>
              <w:tab w:pos="1918" w:val="left" w:leader="none"/>
              <w:tab w:pos="8930" w:val="left" w:leader="dot"/>
            </w:tabs>
            <w:ind w:left="218"/>
          </w:pPr>
          <w:hyperlink w:history="true" w:anchor="_bookmark387">
            <w:r>
              <w:rPr/>
              <w:t>S5.2.5.11</w:t>
              <w:tab/>
              <w:t>Frequency</w:t>
            </w:r>
            <w:r>
              <w:rPr>
                <w:spacing w:val="-2"/>
              </w:rPr>
              <w:t> </w:t>
            </w:r>
            <w:r>
              <w:rPr/>
              <w:t>control</w:t>
              <w:tab/>
              <w:t>308</w:t>
            </w:r>
          </w:hyperlink>
        </w:p>
        <w:p>
          <w:pPr>
            <w:pStyle w:val="TOC3"/>
            <w:tabs>
              <w:tab w:pos="1918" w:val="left" w:leader="none"/>
              <w:tab w:pos="8930" w:val="left" w:leader="dot"/>
            </w:tabs>
            <w:ind w:left="218"/>
          </w:pPr>
          <w:hyperlink w:history="true" w:anchor="_bookmark388">
            <w:r>
              <w:rPr/>
              <w:t>S5.2.5.12</w:t>
              <w:tab/>
              <w:t>Impact on</w:t>
            </w:r>
            <w:r>
              <w:rPr>
                <w:spacing w:val="-1"/>
              </w:rPr>
              <w:t> </w:t>
            </w:r>
            <w:r>
              <w:rPr/>
              <w:t>network</w:t>
            </w:r>
            <w:r>
              <w:rPr>
                <w:spacing w:val="-1"/>
              </w:rPr>
              <w:t> </w:t>
            </w:r>
            <w:r>
              <w:rPr/>
              <w:t>capability</w:t>
              <w:tab/>
              <w:t>310</w:t>
            </w:r>
          </w:hyperlink>
        </w:p>
        <w:p>
          <w:pPr>
            <w:pStyle w:val="TOC3"/>
            <w:tabs>
              <w:tab w:pos="1918" w:val="left" w:leader="none"/>
              <w:tab w:pos="8930" w:val="left" w:leader="dot"/>
            </w:tabs>
            <w:ind w:left="218"/>
          </w:pPr>
          <w:hyperlink w:history="true" w:anchor="_bookmark389">
            <w:r>
              <w:rPr/>
              <w:t>S5.2.5.13</w:t>
              <w:tab/>
              <w:t>Voltage and reactive</w:t>
            </w:r>
            <w:r>
              <w:rPr>
                <w:spacing w:val="-3"/>
              </w:rPr>
              <w:t> </w:t>
            </w:r>
            <w:r>
              <w:rPr/>
              <w:t>power</w:t>
            </w:r>
            <w:r>
              <w:rPr>
                <w:spacing w:val="-1"/>
              </w:rPr>
              <w:t> </w:t>
            </w:r>
            <w:r>
              <w:rPr/>
              <w:t>control</w:t>
              <w:tab/>
              <w:t>312</w:t>
            </w:r>
          </w:hyperlink>
        </w:p>
        <w:p>
          <w:pPr>
            <w:pStyle w:val="TOC3"/>
            <w:tabs>
              <w:tab w:pos="1918" w:val="left" w:leader="none"/>
              <w:tab w:pos="8930" w:val="left" w:leader="dot"/>
            </w:tabs>
            <w:ind w:left="218"/>
          </w:pPr>
          <w:hyperlink w:history="true" w:anchor="_bookmark390">
            <w:r>
              <w:rPr/>
              <w:t>S5.2.5.14</w:t>
              <w:tab/>
              <w:t>Active</w:t>
            </w:r>
            <w:r>
              <w:rPr>
                <w:spacing w:val="-1"/>
              </w:rPr>
              <w:t> </w:t>
            </w:r>
            <w:r>
              <w:rPr/>
              <w:t>power</w:t>
            </w:r>
            <w:r>
              <w:rPr>
                <w:spacing w:val="-1"/>
              </w:rPr>
              <w:t> </w:t>
            </w:r>
            <w:r>
              <w:rPr/>
              <w:t>control</w:t>
              <w:tab/>
              <w:t>318</w:t>
            </w:r>
          </w:hyperlink>
        </w:p>
        <w:p>
          <w:pPr>
            <w:pStyle w:val="TOC3"/>
            <w:tabs>
              <w:tab w:pos="1918" w:val="left" w:leader="none"/>
              <w:tab w:pos="8931" w:val="left" w:leader="dot"/>
            </w:tabs>
            <w:ind w:left="218"/>
          </w:pPr>
          <w:hyperlink w:history="true" w:anchor="_bookmark391">
            <w:r>
              <w:rPr/>
              <w:t>S5.2.6</w:t>
              <w:tab/>
              <w:t>Monitoring and</w:t>
            </w:r>
            <w:r>
              <w:rPr>
                <w:spacing w:val="-2"/>
              </w:rPr>
              <w:t> </w:t>
            </w:r>
            <w:r>
              <w:rPr/>
              <w:t>control</w:t>
            </w:r>
            <w:r>
              <w:rPr>
                <w:spacing w:val="-2"/>
              </w:rPr>
              <w:t> </w:t>
            </w:r>
            <w:r>
              <w:rPr/>
              <w:t>requirements</w:t>
              <w:tab/>
              <w:t>320</w:t>
            </w:r>
          </w:hyperlink>
        </w:p>
        <w:p>
          <w:pPr>
            <w:pStyle w:val="TOC3"/>
            <w:tabs>
              <w:tab w:pos="1918" w:val="left" w:leader="none"/>
              <w:tab w:pos="8930" w:val="left" w:leader="dot"/>
            </w:tabs>
            <w:ind w:left="218"/>
          </w:pPr>
          <w:hyperlink w:history="true" w:anchor="_bookmark392">
            <w:r>
              <w:rPr/>
              <w:t>S5.2.6.1</w:t>
              <w:tab/>
              <w:t>Remote</w:t>
            </w:r>
            <w:r>
              <w:rPr>
                <w:spacing w:val="-3"/>
              </w:rPr>
              <w:t> </w:t>
            </w:r>
            <w:r>
              <w:rPr/>
              <w:t>Monitoring</w:t>
              <w:tab/>
              <w:t>320</w:t>
            </w:r>
          </w:hyperlink>
        </w:p>
        <w:p>
          <w:pPr>
            <w:pStyle w:val="TOC3"/>
            <w:tabs>
              <w:tab w:pos="1918" w:val="left" w:leader="none"/>
              <w:tab w:pos="8930" w:val="left" w:leader="dot"/>
            </w:tabs>
            <w:ind w:left="218"/>
          </w:pPr>
          <w:hyperlink w:history="true" w:anchor="_bookmark393">
            <w:r>
              <w:rPr/>
              <w:t>S5.2.6.2</w:t>
              <w:tab/>
              <w:t>Communications</w:t>
            </w:r>
            <w:r>
              <w:rPr>
                <w:spacing w:val="-1"/>
              </w:rPr>
              <w:t> </w:t>
            </w:r>
            <w:r>
              <w:rPr/>
              <w:t>equipment</w:t>
              <w:tab/>
              <w:t>322</w:t>
            </w:r>
          </w:hyperlink>
        </w:p>
        <w:p>
          <w:pPr>
            <w:pStyle w:val="TOC3"/>
            <w:tabs>
              <w:tab w:pos="1918" w:val="left" w:leader="none"/>
              <w:tab w:pos="8930" w:val="left" w:leader="dot"/>
            </w:tabs>
            <w:ind w:left="218"/>
          </w:pPr>
          <w:hyperlink w:history="true" w:anchor="_bookmark394">
            <w:r>
              <w:rPr/>
              <w:t>S5.2.7</w:t>
              <w:tab/>
              <w:t>Power station</w:t>
            </w:r>
            <w:r>
              <w:rPr>
                <w:spacing w:val="-8"/>
              </w:rPr>
              <w:t> </w:t>
            </w:r>
            <w:r>
              <w:rPr/>
              <w:t>auxiliary</w:t>
            </w:r>
            <w:r>
              <w:rPr>
                <w:spacing w:val="-3"/>
              </w:rPr>
              <w:t> </w:t>
            </w:r>
            <w:r>
              <w:rPr/>
              <w:t>supplies</w:t>
              <w:tab/>
              <w:t>323</w:t>
            </w:r>
          </w:hyperlink>
        </w:p>
        <w:p>
          <w:pPr>
            <w:pStyle w:val="TOC3"/>
            <w:tabs>
              <w:tab w:pos="1918" w:val="left" w:leader="none"/>
              <w:tab w:pos="8930" w:val="left" w:leader="dot"/>
            </w:tabs>
            <w:ind w:left="218"/>
          </w:pPr>
          <w:hyperlink w:history="true" w:anchor="_bookmark395">
            <w:r>
              <w:rPr/>
              <w:t>S5.2.8</w:t>
              <w:tab/>
              <w:t>Fault</w:t>
            </w:r>
            <w:r>
              <w:rPr>
                <w:spacing w:val="-2"/>
              </w:rPr>
              <w:t> </w:t>
            </w:r>
            <w:r>
              <w:rPr/>
              <w:t>current</w:t>
              <w:tab/>
              <w:t>323</w:t>
            </w:r>
          </w:hyperlink>
        </w:p>
        <w:p>
          <w:pPr>
            <w:pStyle w:val="TOC2"/>
            <w:tabs>
              <w:tab w:pos="1918" w:val="left" w:leader="none"/>
              <w:tab w:pos="8928" w:val="left" w:leader="dot"/>
            </w:tabs>
          </w:pPr>
          <w:hyperlink w:history="true" w:anchor="_bookmark396">
            <w:r>
              <w:rPr/>
              <w:t>Schedule</w:t>
            </w:r>
            <w:r>
              <w:rPr>
                <w:spacing w:val="-4"/>
              </w:rPr>
              <w:t> </w:t>
            </w:r>
            <w:r>
              <w:rPr/>
              <w:t>5.3</w:t>
              <w:tab/>
              <w:t>Conditions for Connection</w:t>
            </w:r>
            <w:r>
              <w:rPr>
                <w:spacing w:val="-14"/>
              </w:rPr>
              <w:t> </w:t>
            </w:r>
            <w:r>
              <w:rPr/>
              <w:t>of</w:t>
            </w:r>
            <w:r>
              <w:rPr>
                <w:spacing w:val="-5"/>
              </w:rPr>
              <w:t> </w:t>
            </w:r>
            <w:r>
              <w:rPr/>
              <w:t>Customers</w:t>
              <w:tab/>
              <w:t>325</w:t>
            </w:r>
          </w:hyperlink>
        </w:p>
        <w:p>
          <w:pPr>
            <w:pStyle w:val="TOC3"/>
            <w:tabs>
              <w:tab w:pos="1918" w:val="left" w:leader="none"/>
              <w:tab w:pos="8930" w:val="left" w:leader="dot"/>
            </w:tabs>
            <w:ind w:left="218"/>
          </w:pPr>
          <w:hyperlink w:history="true" w:anchor="_bookmark397">
            <w:r>
              <w:rPr/>
              <w:t>S5.3.1a</w:t>
              <w:tab/>
              <w:t>Introduction to</w:t>
            </w:r>
            <w:r>
              <w:rPr>
                <w:spacing w:val="-4"/>
              </w:rPr>
              <w:t> </w:t>
            </w:r>
            <w:r>
              <w:rPr/>
              <w:t>the</w:t>
            </w:r>
            <w:r>
              <w:rPr>
                <w:spacing w:val="-2"/>
              </w:rPr>
              <w:t> </w:t>
            </w:r>
            <w:r>
              <w:rPr/>
              <w:t>schedule</w:t>
              <w:tab/>
              <w:t>325</w:t>
            </w:r>
          </w:hyperlink>
        </w:p>
        <w:p>
          <w:pPr>
            <w:pStyle w:val="TOC3"/>
            <w:tabs>
              <w:tab w:pos="1918" w:val="left" w:leader="none"/>
              <w:tab w:pos="8930" w:val="left" w:leader="dot"/>
            </w:tabs>
            <w:ind w:left="218"/>
          </w:pPr>
          <w:hyperlink w:history="true" w:anchor="_bookmark398">
            <w:r>
              <w:rPr/>
              <w:t>S5.3.1</w:t>
              <w:tab/>
              <w:t>Information</w:t>
              <w:tab/>
              <w:t>326</w:t>
            </w:r>
          </w:hyperlink>
        </w:p>
        <w:p>
          <w:pPr>
            <w:pStyle w:val="TOC3"/>
            <w:tabs>
              <w:tab w:pos="1918" w:val="left" w:leader="none"/>
              <w:tab w:pos="8930" w:val="left" w:leader="dot"/>
            </w:tabs>
            <w:ind w:left="218"/>
          </w:pPr>
          <w:hyperlink w:history="true" w:anchor="_bookmark399">
            <w:r>
              <w:rPr/>
              <w:t>S5.3.2</w:t>
              <w:tab/>
              <w:t>Design</w:t>
            </w:r>
            <w:r>
              <w:rPr>
                <w:spacing w:val="-3"/>
              </w:rPr>
              <w:t> </w:t>
            </w:r>
            <w:r>
              <w:rPr/>
              <w:t>standards</w:t>
              <w:tab/>
              <w:t>328</w:t>
            </w:r>
          </w:hyperlink>
        </w:p>
        <w:p>
          <w:pPr>
            <w:pStyle w:val="TOC3"/>
            <w:tabs>
              <w:tab w:pos="1918" w:val="left" w:leader="none"/>
              <w:tab w:pos="8930" w:val="left" w:leader="dot"/>
            </w:tabs>
            <w:ind w:left="218"/>
          </w:pPr>
          <w:hyperlink w:history="true" w:anchor="_bookmark400">
            <w:r>
              <w:rPr/>
              <w:t>S5.3.3</w:t>
              <w:tab/>
              <w:t>Protection systems</w:t>
            </w:r>
            <w:r>
              <w:rPr>
                <w:spacing w:val="-7"/>
              </w:rPr>
              <w:t> </w:t>
            </w:r>
            <w:r>
              <w:rPr/>
              <w:t>and</w:t>
            </w:r>
            <w:r>
              <w:rPr>
                <w:spacing w:val="-2"/>
              </w:rPr>
              <w:t> </w:t>
            </w:r>
            <w:r>
              <w:rPr/>
              <w:t>settings</w:t>
              <w:tab/>
              <w:t>328</w:t>
            </w:r>
          </w:hyperlink>
        </w:p>
        <w:p>
          <w:pPr>
            <w:pStyle w:val="TOC3"/>
            <w:tabs>
              <w:tab w:pos="1918" w:val="left" w:leader="none"/>
              <w:tab w:pos="8931" w:val="left" w:leader="dot"/>
            </w:tabs>
            <w:ind w:left="218"/>
          </w:pPr>
          <w:hyperlink w:history="true" w:anchor="_bookmark401">
            <w:r>
              <w:rPr/>
              <w:t>S5.3.4</w:t>
              <w:tab/>
              <w:t>Settings of protection and</w:t>
            </w:r>
            <w:r>
              <w:rPr>
                <w:spacing w:val="-6"/>
              </w:rPr>
              <w:t> </w:t>
            </w:r>
            <w:r>
              <w:rPr/>
              <w:t>control</w:t>
            </w:r>
            <w:r>
              <w:rPr>
                <w:spacing w:val="-1"/>
              </w:rPr>
              <w:t> </w:t>
            </w:r>
            <w:r>
              <w:rPr/>
              <w:t>systems</w:t>
              <w:tab/>
              <w:t>329</w:t>
            </w:r>
          </w:hyperlink>
        </w:p>
        <w:p>
          <w:pPr>
            <w:pStyle w:val="TOC3"/>
            <w:tabs>
              <w:tab w:pos="1918" w:val="left" w:leader="none"/>
              <w:tab w:pos="8930" w:val="left" w:leader="dot"/>
            </w:tabs>
            <w:ind w:left="218"/>
          </w:pPr>
          <w:hyperlink w:history="true" w:anchor="_bookmark402">
            <w:r>
              <w:rPr/>
              <w:t>S5.3.5</w:t>
              <w:tab/>
              <w:t>Power</w:t>
            </w:r>
            <w:r>
              <w:rPr>
                <w:spacing w:val="-3"/>
              </w:rPr>
              <w:t> </w:t>
            </w:r>
            <w:r>
              <w:rPr/>
              <w:t>factor</w:t>
            </w:r>
            <w:r>
              <w:rPr>
                <w:spacing w:val="-1"/>
              </w:rPr>
              <w:t> </w:t>
            </w:r>
            <w:r>
              <w:rPr/>
              <w:t>requirements</w:t>
              <w:tab/>
              <w:t>330</w:t>
            </w:r>
          </w:hyperlink>
        </w:p>
        <w:p>
          <w:pPr>
            <w:pStyle w:val="TOC3"/>
            <w:tabs>
              <w:tab w:pos="1918" w:val="left" w:leader="none"/>
              <w:tab w:pos="8931" w:val="left" w:leader="dot"/>
            </w:tabs>
            <w:ind w:left="218"/>
          </w:pPr>
          <w:hyperlink w:history="true" w:anchor="_bookmark403">
            <w:r>
              <w:rPr/>
              <w:t>S5.3.6</w:t>
              <w:tab/>
              <w:t>Balancing of</w:t>
            </w:r>
            <w:r>
              <w:rPr>
                <w:spacing w:val="-1"/>
              </w:rPr>
              <w:t> </w:t>
            </w:r>
            <w:r>
              <w:rPr/>
              <w:t>load</w:t>
            </w:r>
            <w:r>
              <w:rPr>
                <w:spacing w:val="-1"/>
              </w:rPr>
              <w:t> </w:t>
            </w:r>
            <w:r>
              <w:rPr/>
              <w:t>currents</w:t>
              <w:tab/>
              <w:t>331</w:t>
            </w:r>
          </w:hyperlink>
        </w:p>
        <w:p>
          <w:pPr>
            <w:pStyle w:val="TOC3"/>
            <w:tabs>
              <w:tab w:pos="1918" w:val="left" w:leader="none"/>
              <w:tab w:pos="8930" w:val="left" w:leader="dot"/>
            </w:tabs>
            <w:ind w:left="218"/>
          </w:pPr>
          <w:hyperlink w:history="true" w:anchor="_bookmark404">
            <w:r>
              <w:rPr/>
              <w:t>S5.3.7</w:t>
              <w:tab/>
              <w:t>Voltage</w:t>
            </w:r>
            <w:r>
              <w:rPr>
                <w:spacing w:val="-2"/>
              </w:rPr>
              <w:t> </w:t>
            </w:r>
            <w:r>
              <w:rPr/>
              <w:t>fluctuations</w:t>
              <w:tab/>
              <w:t>331</w:t>
            </w:r>
          </w:hyperlink>
        </w:p>
        <w:p>
          <w:pPr>
            <w:pStyle w:val="TOC3"/>
            <w:tabs>
              <w:tab w:pos="1918" w:val="left" w:leader="none"/>
              <w:tab w:pos="8930" w:val="left" w:leader="dot"/>
            </w:tabs>
            <w:ind w:left="218"/>
          </w:pPr>
          <w:hyperlink w:history="true" w:anchor="_bookmark405">
            <w:r>
              <w:rPr/>
              <w:t>S5.3.8</w:t>
              <w:tab/>
              <w:t>Harmonics and</w:t>
            </w:r>
            <w:r>
              <w:rPr>
                <w:spacing w:val="-2"/>
              </w:rPr>
              <w:t> </w:t>
            </w:r>
            <w:r>
              <w:rPr/>
              <w:t>voltage</w:t>
            </w:r>
            <w:r>
              <w:rPr>
                <w:spacing w:val="-2"/>
              </w:rPr>
              <w:t> </w:t>
            </w:r>
            <w:r>
              <w:rPr/>
              <w:t>notching</w:t>
              <w:tab/>
              <w:t>332</w:t>
            </w:r>
          </w:hyperlink>
        </w:p>
        <w:p>
          <w:pPr>
            <w:pStyle w:val="TOC3"/>
            <w:tabs>
              <w:tab w:pos="1918" w:val="left" w:leader="none"/>
              <w:tab w:pos="8929" w:val="left" w:leader="dot"/>
            </w:tabs>
            <w:ind w:left="218"/>
          </w:pPr>
          <w:hyperlink w:history="true" w:anchor="_bookmark406">
            <w:r>
              <w:rPr/>
              <w:t>S5.3.9</w:t>
              <w:tab/>
              <w:t>Design requirements for Network</w:t>
            </w:r>
            <w:r>
              <w:rPr>
                <w:spacing w:val="-14"/>
              </w:rPr>
              <w:t> </w:t>
            </w:r>
            <w:r>
              <w:rPr/>
              <w:t>Users'</w:t>
            </w:r>
            <w:r>
              <w:rPr>
                <w:spacing w:val="-4"/>
              </w:rPr>
              <w:t> </w:t>
            </w:r>
            <w:r>
              <w:rPr/>
              <w:t>substations</w:t>
              <w:tab/>
              <w:t>332</w:t>
            </w:r>
          </w:hyperlink>
        </w:p>
        <w:p>
          <w:pPr>
            <w:pStyle w:val="TOC3"/>
            <w:tabs>
              <w:tab w:pos="1918" w:val="left" w:leader="none"/>
              <w:tab w:pos="8929" w:val="left" w:leader="dot"/>
            </w:tabs>
            <w:ind w:left="218"/>
          </w:pPr>
          <w:hyperlink w:history="true" w:anchor="_bookmark407">
            <w:r>
              <w:rPr/>
              <w:t>S5.3.10</w:t>
              <w:tab/>
              <w:t>Load</w:t>
            </w:r>
            <w:r>
              <w:rPr>
                <w:spacing w:val="-3"/>
              </w:rPr>
              <w:t> </w:t>
            </w:r>
            <w:r>
              <w:rPr/>
              <w:t>shedding</w:t>
            </w:r>
            <w:r>
              <w:rPr>
                <w:spacing w:val="-3"/>
              </w:rPr>
              <w:t> </w:t>
            </w:r>
            <w:r>
              <w:rPr/>
              <w:t>facilities</w:t>
              <w:tab/>
              <w:t>333</w:t>
            </w:r>
          </w:hyperlink>
        </w:p>
        <w:p>
          <w:pPr>
            <w:pStyle w:val="TOC2"/>
            <w:tabs>
              <w:tab w:pos="1918" w:val="left" w:leader="none"/>
              <w:tab w:pos="8929" w:val="left" w:leader="dot"/>
            </w:tabs>
          </w:pPr>
          <w:hyperlink w:history="true" w:anchor="_bookmark408">
            <w:r>
              <w:rPr/>
              <w:t>Schedule</w:t>
            </w:r>
            <w:r>
              <w:rPr>
                <w:spacing w:val="-4"/>
              </w:rPr>
              <w:t> </w:t>
            </w:r>
            <w:r>
              <w:rPr/>
              <w:t>5.3a</w:t>
              <w:tab/>
              <w:t>Conditions for connection of Market</w:t>
            </w:r>
            <w:r>
              <w:rPr>
                <w:spacing w:val="-11"/>
              </w:rPr>
              <w:t> </w:t>
            </w:r>
            <w:r>
              <w:rPr/>
              <w:t>Network</w:t>
            </w:r>
            <w:r>
              <w:rPr>
                <w:spacing w:val="-4"/>
              </w:rPr>
              <w:t> </w:t>
            </w:r>
            <w:r>
              <w:rPr/>
              <w:t>Services</w:t>
              <w:tab/>
              <w:t>333</w:t>
            </w:r>
          </w:hyperlink>
        </w:p>
        <w:p>
          <w:pPr>
            <w:pStyle w:val="TOC3"/>
            <w:tabs>
              <w:tab w:pos="1918" w:val="left" w:leader="none"/>
              <w:tab w:pos="8930" w:val="left" w:leader="dot"/>
            </w:tabs>
            <w:ind w:left="218"/>
          </w:pPr>
          <w:hyperlink w:history="true" w:anchor="_bookmark409">
            <w:r>
              <w:rPr/>
              <w:t>S5.3a.1a</w:t>
              <w:tab/>
              <w:t>Introduction to</w:t>
            </w:r>
            <w:r>
              <w:rPr>
                <w:spacing w:val="-4"/>
              </w:rPr>
              <w:t> </w:t>
            </w:r>
            <w:r>
              <w:rPr/>
              <w:t>the</w:t>
            </w:r>
            <w:r>
              <w:rPr>
                <w:spacing w:val="-2"/>
              </w:rPr>
              <w:t> </w:t>
            </w:r>
            <w:r>
              <w:rPr/>
              <w:t>schedule</w:t>
              <w:tab/>
              <w:t>333</w:t>
            </w:r>
          </w:hyperlink>
        </w:p>
        <w:p>
          <w:pPr>
            <w:pStyle w:val="TOC3"/>
            <w:tabs>
              <w:tab w:pos="1918" w:val="left" w:leader="none"/>
              <w:tab w:pos="8930" w:val="left" w:leader="dot"/>
            </w:tabs>
            <w:ind w:left="218"/>
          </w:pPr>
          <w:hyperlink w:history="true" w:anchor="_bookmark410">
            <w:r>
              <w:rPr/>
              <w:t>S5.3a.1</w:t>
              <w:tab/>
              <w:t>Provision</w:t>
            </w:r>
            <w:r>
              <w:rPr>
                <w:spacing w:val="-2"/>
              </w:rPr>
              <w:t> </w:t>
            </w:r>
            <w:r>
              <w:rPr/>
              <w:t>of</w:t>
            </w:r>
            <w:r>
              <w:rPr>
                <w:spacing w:val="-2"/>
              </w:rPr>
              <w:t> </w:t>
            </w:r>
            <w:r>
              <w:rPr/>
              <w:t>Information</w:t>
              <w:tab/>
              <w:t>334</w:t>
            </w:r>
          </w:hyperlink>
        </w:p>
        <w:p>
          <w:pPr>
            <w:pStyle w:val="TOC3"/>
            <w:tabs>
              <w:tab w:pos="1918" w:val="left" w:leader="none"/>
              <w:tab w:pos="8930" w:val="left" w:leader="dot"/>
            </w:tabs>
            <w:ind w:left="218"/>
          </w:pPr>
          <w:hyperlink w:history="true" w:anchor="_bookmark411">
            <w:r>
              <w:rPr/>
              <w:t>S5.3a.2</w:t>
              <w:tab/>
              <w:t>Application</w:t>
            </w:r>
            <w:r>
              <w:rPr>
                <w:spacing w:val="-3"/>
              </w:rPr>
              <w:t> </w:t>
            </w:r>
            <w:r>
              <w:rPr/>
              <w:t>of</w:t>
            </w:r>
            <w:r>
              <w:rPr>
                <w:spacing w:val="-2"/>
              </w:rPr>
              <w:t> </w:t>
            </w:r>
            <w:r>
              <w:rPr/>
              <w:t>settings</w:t>
              <w:tab/>
              <w:t>336</w:t>
            </w:r>
          </w:hyperlink>
        </w:p>
        <w:p>
          <w:pPr>
            <w:pStyle w:val="TOC3"/>
            <w:tabs>
              <w:tab w:pos="1918" w:val="left" w:leader="none"/>
              <w:tab w:pos="8931" w:val="left" w:leader="dot"/>
            </w:tabs>
            <w:ind w:left="218"/>
          </w:pPr>
          <w:hyperlink w:history="true" w:anchor="_bookmark412">
            <w:r>
              <w:rPr/>
              <w:t>S5.3a.3</w:t>
              <w:tab/>
              <w:t>Technical matters to</w:t>
            </w:r>
            <w:r>
              <w:rPr>
                <w:spacing w:val="-2"/>
              </w:rPr>
              <w:t> </w:t>
            </w:r>
            <w:r>
              <w:rPr/>
              <w:t>be</w:t>
            </w:r>
            <w:r>
              <w:rPr>
                <w:spacing w:val="-1"/>
              </w:rPr>
              <w:t> </w:t>
            </w:r>
            <w:r>
              <w:rPr/>
              <w:t>co-ordinated</w:t>
              <w:tab/>
              <w:t>337</w:t>
            </w:r>
          </w:hyperlink>
        </w:p>
        <w:p>
          <w:pPr>
            <w:pStyle w:val="TOC3"/>
            <w:tabs>
              <w:tab w:pos="1918" w:val="left" w:leader="none"/>
              <w:tab w:pos="8931" w:val="left" w:leader="dot"/>
            </w:tabs>
            <w:ind w:left="218"/>
          </w:pPr>
          <w:hyperlink w:history="true" w:anchor="_bookmark413">
            <w:r>
              <w:rPr/>
              <w:t>S5.3a.4</w:t>
              <w:tab/>
              <w:t>Monitoring and</w:t>
            </w:r>
            <w:r>
              <w:rPr>
                <w:spacing w:val="-2"/>
              </w:rPr>
              <w:t> </w:t>
            </w:r>
            <w:r>
              <w:rPr/>
              <w:t>control</w:t>
            </w:r>
            <w:r>
              <w:rPr>
                <w:spacing w:val="-2"/>
              </w:rPr>
              <w:t> </w:t>
            </w:r>
            <w:r>
              <w:rPr/>
              <w:t>requirements</w:t>
              <w:tab/>
              <w:t>337</w:t>
            </w:r>
          </w:hyperlink>
        </w:p>
        <w:p>
          <w:pPr>
            <w:pStyle w:val="TOC3"/>
            <w:tabs>
              <w:tab w:pos="1918" w:val="left" w:leader="none"/>
              <w:tab w:pos="8930" w:val="left" w:leader="dot"/>
            </w:tabs>
            <w:ind w:left="218"/>
          </w:pPr>
          <w:hyperlink w:history="true" w:anchor="_bookmark414">
            <w:r>
              <w:rPr/>
              <w:t>S5.3a.4.1</w:t>
              <w:tab/>
              <w:t>Remote</w:t>
            </w:r>
            <w:r>
              <w:rPr>
                <w:spacing w:val="-3"/>
              </w:rPr>
              <w:t> </w:t>
            </w:r>
            <w:r>
              <w:rPr/>
              <w:t>Monitoring</w:t>
              <w:tab/>
              <w:t>337</w:t>
            </w:r>
          </w:hyperlink>
        </w:p>
        <w:p>
          <w:pPr>
            <w:pStyle w:val="TOC3"/>
            <w:tabs>
              <w:tab w:pos="1918" w:val="left" w:leader="none"/>
              <w:tab w:pos="8930" w:val="left" w:leader="dot"/>
            </w:tabs>
            <w:ind w:left="218"/>
          </w:pPr>
          <w:hyperlink w:history="true" w:anchor="_bookmark415">
            <w:r>
              <w:rPr/>
              <w:t>S5.3a.4.2</w:t>
              <w:tab/>
              <w:t>[Deleted]</w:t>
              <w:tab/>
              <w:t>338</w:t>
            </w:r>
          </w:hyperlink>
        </w:p>
        <w:p>
          <w:pPr>
            <w:pStyle w:val="TOC3"/>
            <w:tabs>
              <w:tab w:pos="1918" w:val="left" w:leader="none"/>
              <w:tab w:pos="8930" w:val="left" w:leader="dot"/>
            </w:tabs>
            <w:ind w:left="218"/>
          </w:pPr>
          <w:hyperlink w:history="true" w:anchor="_bookmark416">
            <w:r>
              <w:rPr/>
              <w:t>S5.3a.4.3</w:t>
              <w:tab/>
              <w:t>Communications</w:t>
            </w:r>
            <w:r>
              <w:rPr>
                <w:spacing w:val="-1"/>
              </w:rPr>
              <w:t> </w:t>
            </w:r>
            <w:r>
              <w:rPr/>
              <w:t>equipment</w:t>
              <w:tab/>
              <w:t>338</w:t>
            </w:r>
          </w:hyperlink>
        </w:p>
        <w:p>
          <w:pPr>
            <w:pStyle w:val="TOC3"/>
            <w:tabs>
              <w:tab w:pos="1918" w:val="left" w:leader="none"/>
              <w:tab w:pos="8930" w:val="left" w:leader="dot"/>
            </w:tabs>
            <w:ind w:left="218"/>
          </w:pPr>
          <w:hyperlink w:history="true" w:anchor="_bookmark417">
            <w:r>
              <w:rPr/>
              <w:t>S5.3a.5</w:t>
              <w:tab/>
              <w:t>Design</w:t>
            </w:r>
            <w:r>
              <w:rPr>
                <w:spacing w:val="-3"/>
              </w:rPr>
              <w:t> </w:t>
            </w:r>
            <w:r>
              <w:rPr/>
              <w:t>standards</w:t>
              <w:tab/>
              <w:t>338</w:t>
            </w:r>
          </w:hyperlink>
        </w:p>
        <w:p>
          <w:pPr>
            <w:pStyle w:val="TOC3"/>
            <w:tabs>
              <w:tab w:pos="1918" w:val="left" w:leader="none"/>
              <w:tab w:pos="8930" w:val="left" w:leader="dot"/>
            </w:tabs>
            <w:ind w:left="218"/>
          </w:pPr>
          <w:hyperlink w:history="true" w:anchor="_bookmark418">
            <w:r>
              <w:rPr/>
              <w:t>S5.3a.6</w:t>
              <w:tab/>
              <w:t>Protection systems</w:t>
            </w:r>
            <w:r>
              <w:rPr>
                <w:spacing w:val="-7"/>
              </w:rPr>
              <w:t> </w:t>
            </w:r>
            <w:r>
              <w:rPr/>
              <w:t>and</w:t>
            </w:r>
            <w:r>
              <w:rPr>
                <w:spacing w:val="-2"/>
              </w:rPr>
              <w:t> </w:t>
            </w:r>
            <w:r>
              <w:rPr/>
              <w:t>settings</w:t>
              <w:tab/>
              <w:t>339</w:t>
            </w:r>
          </w:hyperlink>
        </w:p>
        <w:p>
          <w:pPr>
            <w:pStyle w:val="TOC3"/>
            <w:tabs>
              <w:tab w:pos="1918" w:val="left" w:leader="none"/>
              <w:tab w:pos="8930" w:val="left" w:leader="dot"/>
            </w:tabs>
            <w:ind w:left="218"/>
          </w:pPr>
          <w:hyperlink w:history="true" w:anchor="_bookmark419">
            <w:r>
              <w:rPr/>
              <w:t>S5.3a.7</w:t>
              <w:tab/>
              <w:t>[Deleted]</w:t>
              <w:tab/>
              <w:t>340</w:t>
            </w:r>
          </w:hyperlink>
        </w:p>
        <w:p>
          <w:pPr>
            <w:pStyle w:val="TOC3"/>
            <w:tabs>
              <w:tab w:pos="1918" w:val="left" w:leader="none"/>
              <w:tab w:pos="8930" w:val="left" w:leader="dot"/>
            </w:tabs>
            <w:ind w:left="218"/>
          </w:pPr>
          <w:hyperlink w:history="true" w:anchor="_bookmark420">
            <w:r>
              <w:rPr/>
              <w:t>S5.3a.8</w:t>
              <w:tab/>
              <w:t>Reactive</w:t>
            </w:r>
            <w:r>
              <w:rPr>
                <w:spacing w:val="-1"/>
              </w:rPr>
              <w:t> </w:t>
            </w:r>
            <w:r>
              <w:rPr/>
              <w:t>power</w:t>
            </w:r>
            <w:r>
              <w:rPr>
                <w:spacing w:val="-1"/>
              </w:rPr>
              <w:t> </w:t>
            </w:r>
            <w:r>
              <w:rPr/>
              <w:t>capability</w:t>
              <w:tab/>
              <w:t>340</w:t>
            </w:r>
          </w:hyperlink>
        </w:p>
        <w:p>
          <w:pPr>
            <w:pStyle w:val="TOC3"/>
            <w:tabs>
              <w:tab w:pos="1918" w:val="left" w:leader="none"/>
              <w:tab w:pos="8931" w:val="left" w:leader="dot"/>
            </w:tabs>
            <w:ind w:left="218"/>
          </w:pPr>
          <w:hyperlink w:history="true" w:anchor="_bookmark421">
            <w:r>
              <w:rPr/>
              <w:t>S5.3a.9</w:t>
              <w:tab/>
              <w:t>Balancing of</w:t>
            </w:r>
            <w:r>
              <w:rPr>
                <w:spacing w:val="-1"/>
              </w:rPr>
              <w:t> </w:t>
            </w:r>
            <w:r>
              <w:rPr/>
              <w:t>load</w:t>
            </w:r>
            <w:r>
              <w:rPr>
                <w:spacing w:val="-1"/>
              </w:rPr>
              <w:t> </w:t>
            </w:r>
            <w:r>
              <w:rPr/>
              <w:t>currents</w:t>
              <w:tab/>
              <w:t>340</w:t>
            </w:r>
          </w:hyperlink>
        </w:p>
        <w:p>
          <w:pPr>
            <w:pStyle w:val="TOC3"/>
            <w:tabs>
              <w:tab w:pos="1918" w:val="left" w:leader="none"/>
              <w:tab w:pos="8930" w:val="left" w:leader="dot"/>
            </w:tabs>
            <w:ind w:left="218"/>
          </w:pPr>
          <w:hyperlink w:history="true" w:anchor="_bookmark422">
            <w:r>
              <w:rPr/>
              <w:t>S5.3a.10</w:t>
              <w:tab/>
              <w:t>Voltage</w:t>
            </w:r>
            <w:r>
              <w:rPr>
                <w:spacing w:val="-2"/>
              </w:rPr>
              <w:t> </w:t>
            </w:r>
            <w:r>
              <w:rPr/>
              <w:t>fluctuations</w:t>
              <w:tab/>
              <w:t>341</w:t>
            </w:r>
          </w:hyperlink>
        </w:p>
        <w:p>
          <w:pPr>
            <w:pStyle w:val="TOC3"/>
            <w:tabs>
              <w:tab w:pos="1918" w:val="left" w:leader="none"/>
              <w:tab w:pos="8930" w:val="left" w:leader="dot"/>
            </w:tabs>
            <w:ind w:left="218"/>
          </w:pPr>
          <w:hyperlink w:history="true" w:anchor="_bookmark423">
            <w:r>
              <w:rPr/>
              <w:t>S5.3a.11</w:t>
              <w:tab/>
              <w:t>Harmonics and</w:t>
            </w:r>
            <w:r>
              <w:rPr>
                <w:spacing w:val="-2"/>
              </w:rPr>
              <w:t> </w:t>
            </w:r>
            <w:r>
              <w:rPr/>
              <w:t>voltage</w:t>
            </w:r>
            <w:r>
              <w:rPr>
                <w:spacing w:val="-2"/>
              </w:rPr>
              <w:t> </w:t>
            </w:r>
            <w:r>
              <w:rPr/>
              <w:t>notching</w:t>
              <w:tab/>
              <w:t>341</w:t>
            </w:r>
          </w:hyperlink>
        </w:p>
        <w:p>
          <w:pPr>
            <w:pStyle w:val="TOC3"/>
            <w:tabs>
              <w:tab w:pos="1918" w:val="left" w:leader="none"/>
              <w:tab w:pos="8930" w:val="left" w:leader="dot"/>
            </w:tabs>
            <w:spacing w:after="240"/>
            <w:ind w:right="414" w:hanging="1701"/>
          </w:pPr>
          <w:hyperlink w:history="true" w:anchor="_bookmark424">
            <w:r>
              <w:rPr/>
              <w:t>S5.3a.12</w:t>
              <w:tab/>
              <w:t>Design  requirements  for  Market  Network   Service   Providers'</w:t>
            </w:r>
          </w:hyperlink>
          <w:r>
            <w:rPr/>
            <w:t> </w:t>
          </w:r>
          <w:hyperlink w:history="true" w:anchor="_bookmark424">
            <w:r>
              <w:rPr/>
              <w:t>substations</w:t>
              <w:tab/>
            </w:r>
            <w:r>
              <w:rPr>
                <w:spacing w:val="-6"/>
              </w:rPr>
              <w:t>342</w:t>
            </w:r>
          </w:hyperlink>
        </w:p>
        <w:p>
          <w:pPr>
            <w:pStyle w:val="TOC3"/>
            <w:tabs>
              <w:tab w:pos="1918" w:val="left" w:leader="none"/>
            </w:tabs>
            <w:spacing w:before="83"/>
            <w:ind w:left="218"/>
          </w:pPr>
          <w:hyperlink w:history="true" w:anchor="_bookmark425">
            <w:r>
              <w:rPr/>
              <w:t>S5.3a.13</w:t>
              <w:tab/>
              <w:t>Market</w:t>
            </w:r>
            <w:r>
              <w:rPr>
                <w:spacing w:val="10"/>
              </w:rPr>
              <w:t> </w:t>
            </w:r>
            <w:r>
              <w:rPr/>
              <w:t>network</w:t>
            </w:r>
            <w:r>
              <w:rPr>
                <w:spacing w:val="10"/>
              </w:rPr>
              <w:t> </w:t>
            </w:r>
            <w:r>
              <w:rPr/>
              <w:t>service</w:t>
            </w:r>
            <w:r>
              <w:rPr>
                <w:spacing w:val="10"/>
              </w:rPr>
              <w:t> </w:t>
            </w:r>
            <w:r>
              <w:rPr/>
              <w:t>response</w:t>
            </w:r>
            <w:r>
              <w:rPr>
                <w:spacing w:val="10"/>
              </w:rPr>
              <w:t> </w:t>
            </w:r>
            <w:r>
              <w:rPr/>
              <w:t>to</w:t>
            </w:r>
            <w:r>
              <w:rPr>
                <w:spacing w:val="11"/>
              </w:rPr>
              <w:t> </w:t>
            </w:r>
            <w:r>
              <w:rPr/>
              <w:t>disturbances</w:t>
            </w:r>
            <w:r>
              <w:rPr>
                <w:spacing w:val="10"/>
              </w:rPr>
              <w:t> </w:t>
            </w:r>
            <w:r>
              <w:rPr/>
              <w:t>in</w:t>
            </w:r>
            <w:r>
              <w:rPr>
                <w:spacing w:val="10"/>
              </w:rPr>
              <w:t> </w:t>
            </w:r>
            <w:r>
              <w:rPr/>
              <w:t>the</w:t>
            </w:r>
            <w:r>
              <w:rPr>
                <w:spacing w:val="10"/>
              </w:rPr>
              <w:t> </w:t>
            </w:r>
            <w:r>
              <w:rPr/>
              <w:t>power</w:t>
            </w:r>
          </w:hyperlink>
        </w:p>
        <w:p>
          <w:pPr>
            <w:pStyle w:val="TOC5"/>
            <w:tabs>
              <w:tab w:pos="8930" w:val="left" w:leader="dot"/>
            </w:tabs>
          </w:pPr>
          <w:hyperlink w:history="true" w:anchor="_bookmark425">
            <w:r>
              <w:rPr/>
              <w:t>system</w:t>
              <w:tab/>
              <w:t>342</w:t>
            </w:r>
          </w:hyperlink>
        </w:p>
        <w:p>
          <w:pPr>
            <w:pStyle w:val="TOC3"/>
            <w:tabs>
              <w:tab w:pos="1918" w:val="left" w:leader="none"/>
              <w:tab w:pos="8930" w:val="left" w:leader="dot"/>
            </w:tabs>
            <w:ind w:right="414" w:hanging="1701"/>
          </w:pPr>
          <w:hyperlink w:history="true" w:anchor="_bookmark426">
            <w:r>
              <w:rPr/>
              <w:t>S5.3a.14</w:t>
              <w:tab/>
              <w:t>Protection  of  market  network  services  from   power   system</w:t>
            </w:r>
          </w:hyperlink>
          <w:r>
            <w:rPr/>
            <w:t>  </w:t>
          </w:r>
          <w:hyperlink w:history="true" w:anchor="_bookmark426">
            <w:r>
              <w:rPr/>
              <w:t>disturbances</w:t>
              <w:tab/>
            </w:r>
            <w:r>
              <w:rPr>
                <w:spacing w:val="-6"/>
              </w:rPr>
              <w:t>343</w:t>
            </w:r>
          </w:hyperlink>
        </w:p>
        <w:p>
          <w:pPr>
            <w:pStyle w:val="TOC2"/>
            <w:tabs>
              <w:tab w:pos="1918" w:val="left" w:leader="none"/>
              <w:tab w:pos="8929" w:val="left" w:leader="dot"/>
            </w:tabs>
          </w:pPr>
          <w:hyperlink w:history="true" w:anchor="_bookmark427">
            <w:r>
              <w:rPr/>
              <w:t>Schedule</w:t>
            </w:r>
            <w:r>
              <w:rPr>
                <w:spacing w:val="-4"/>
              </w:rPr>
              <w:t> </w:t>
            </w:r>
            <w:r>
              <w:rPr/>
              <w:t>5.4</w:t>
              <w:tab/>
              <w:t>Information to be Provided with</w:t>
            </w:r>
            <w:r>
              <w:rPr>
                <w:spacing w:val="-12"/>
              </w:rPr>
              <w:t> </w:t>
            </w:r>
            <w:r>
              <w:rPr/>
              <w:t>Preliminary</w:t>
            </w:r>
            <w:r>
              <w:rPr>
                <w:spacing w:val="-4"/>
              </w:rPr>
              <w:t> </w:t>
            </w:r>
            <w:r>
              <w:rPr/>
              <w:t>Enquiry</w:t>
              <w:tab/>
              <w:t>343</w:t>
            </w:r>
          </w:hyperlink>
        </w:p>
        <w:p>
          <w:pPr>
            <w:pStyle w:val="TOC2"/>
            <w:tabs>
              <w:tab w:pos="1918" w:val="left" w:leader="none"/>
              <w:tab w:pos="8930" w:val="left" w:leader="dot"/>
            </w:tabs>
          </w:pPr>
          <w:hyperlink w:history="true" w:anchor="_bookmark428">
            <w:r>
              <w:rPr/>
              <w:t>Schedule</w:t>
            </w:r>
            <w:r>
              <w:rPr>
                <w:spacing w:val="-4"/>
              </w:rPr>
              <w:t> </w:t>
            </w:r>
            <w:r>
              <w:rPr/>
              <w:t>5.4A</w:t>
              <w:tab/>
              <w:t>Preliminary</w:t>
            </w:r>
            <w:r>
              <w:rPr>
                <w:spacing w:val="-1"/>
              </w:rPr>
              <w:t> </w:t>
            </w:r>
            <w:r>
              <w:rPr/>
              <w:t>Response</w:t>
              <w:tab/>
              <w:t>344</w:t>
            </w:r>
          </w:hyperlink>
        </w:p>
        <w:p>
          <w:pPr>
            <w:pStyle w:val="TOC2"/>
            <w:tabs>
              <w:tab w:pos="1918" w:val="left" w:leader="none"/>
              <w:tab w:pos="8930" w:val="left" w:leader="dot"/>
            </w:tabs>
          </w:pPr>
          <w:hyperlink w:history="true" w:anchor="_bookmark429">
            <w:r>
              <w:rPr/>
              <w:t>Schedule</w:t>
            </w:r>
            <w:r>
              <w:rPr>
                <w:spacing w:val="-4"/>
              </w:rPr>
              <w:t> </w:t>
            </w:r>
            <w:r>
              <w:rPr/>
              <w:t>5.4B</w:t>
              <w:tab/>
              <w:t>Detailed Response</w:t>
            </w:r>
            <w:r>
              <w:rPr>
                <w:spacing w:val="-5"/>
              </w:rPr>
              <w:t> </w:t>
            </w:r>
            <w:r>
              <w:rPr/>
              <w:t>to</w:t>
            </w:r>
            <w:r>
              <w:rPr>
                <w:spacing w:val="-2"/>
              </w:rPr>
              <w:t> </w:t>
            </w:r>
            <w:r>
              <w:rPr/>
              <w:t>Enquiry</w:t>
              <w:tab/>
              <w:t>346</w:t>
            </w:r>
          </w:hyperlink>
        </w:p>
        <w:p>
          <w:pPr>
            <w:pStyle w:val="TOC2"/>
            <w:tabs>
              <w:tab w:pos="1918" w:val="left" w:leader="none"/>
              <w:tab w:pos="8929" w:val="left" w:leader="dot"/>
            </w:tabs>
            <w:ind w:left="1919" w:right="415" w:hanging="1701"/>
          </w:pPr>
          <w:hyperlink w:history="true" w:anchor="_bookmark430">
            <w:r>
              <w:rPr/>
              <w:t>Schedule</w:t>
            </w:r>
            <w:r>
              <w:rPr>
                <w:spacing w:val="-4"/>
              </w:rPr>
              <w:t> </w:t>
            </w:r>
            <w:r>
              <w:rPr/>
              <w:t>5.5</w:t>
              <w:tab/>
              <w:t>Technical Details to Support Application for Connection and</w:t>
            </w:r>
          </w:hyperlink>
          <w:r>
            <w:rPr/>
            <w:t> </w:t>
          </w:r>
          <w:hyperlink w:history="true" w:anchor="_bookmark430">
            <w:r>
              <w:rPr/>
              <w:t>Connection</w:t>
            </w:r>
            <w:r>
              <w:rPr>
                <w:spacing w:val="-7"/>
              </w:rPr>
              <w:t> </w:t>
            </w:r>
            <w:r>
              <w:rPr/>
              <w:t>Agreement</w:t>
              <w:tab/>
            </w:r>
            <w:r>
              <w:rPr>
                <w:spacing w:val="-6"/>
              </w:rPr>
              <w:t>348</w:t>
            </w:r>
          </w:hyperlink>
        </w:p>
        <w:p>
          <w:pPr>
            <w:pStyle w:val="TOC3"/>
            <w:tabs>
              <w:tab w:pos="1918" w:val="left" w:leader="none"/>
              <w:tab w:pos="8930" w:val="left" w:leader="dot"/>
            </w:tabs>
            <w:ind w:left="218"/>
          </w:pPr>
          <w:hyperlink w:history="true" w:anchor="_bookmark431">
            <w:r>
              <w:rPr/>
              <w:t>S5.5.1</w:t>
              <w:tab/>
              <w:t>Introduction to</w:t>
            </w:r>
            <w:r>
              <w:rPr>
                <w:spacing w:val="-4"/>
              </w:rPr>
              <w:t> </w:t>
            </w:r>
            <w:r>
              <w:rPr/>
              <w:t>the</w:t>
            </w:r>
            <w:r>
              <w:rPr>
                <w:spacing w:val="-2"/>
              </w:rPr>
              <w:t> </w:t>
            </w:r>
            <w:r>
              <w:rPr/>
              <w:t>schedule</w:t>
              <w:tab/>
              <w:t>348</w:t>
            </w:r>
          </w:hyperlink>
        </w:p>
        <w:p>
          <w:pPr>
            <w:pStyle w:val="TOC3"/>
            <w:tabs>
              <w:tab w:pos="1918" w:val="left" w:leader="none"/>
              <w:tab w:pos="8931" w:val="left" w:leader="dot"/>
            </w:tabs>
            <w:ind w:left="218"/>
          </w:pPr>
          <w:hyperlink w:history="true" w:anchor="_bookmark432">
            <w:r>
              <w:rPr/>
              <w:t>S5.5.2</w:t>
              <w:tab/>
              <w:t>Categories</w:t>
            </w:r>
            <w:r>
              <w:rPr>
                <w:spacing w:val="-1"/>
              </w:rPr>
              <w:t> </w:t>
            </w:r>
            <w:r>
              <w:rPr/>
              <w:t>of data</w:t>
              <w:tab/>
              <w:t>349</w:t>
            </w:r>
          </w:hyperlink>
        </w:p>
        <w:p>
          <w:pPr>
            <w:pStyle w:val="TOC3"/>
            <w:tabs>
              <w:tab w:pos="1918" w:val="left" w:leader="none"/>
              <w:tab w:pos="8931" w:val="left" w:leader="dot"/>
            </w:tabs>
            <w:ind w:left="218"/>
          </w:pPr>
          <w:hyperlink w:history="true" w:anchor="_bookmark433">
            <w:r>
              <w:rPr/>
              <w:t>S5.5.3</w:t>
              <w:tab/>
              <w:t>Review, change and supply</w:t>
            </w:r>
            <w:r>
              <w:rPr>
                <w:spacing w:val="-5"/>
              </w:rPr>
              <w:t> </w:t>
            </w:r>
            <w:r>
              <w:rPr/>
              <w:t>of</w:t>
            </w:r>
            <w:r>
              <w:rPr>
                <w:spacing w:val="-1"/>
              </w:rPr>
              <w:t> </w:t>
            </w:r>
            <w:r>
              <w:rPr/>
              <w:t>data</w:t>
              <w:tab/>
              <w:t>350</w:t>
            </w:r>
          </w:hyperlink>
        </w:p>
        <w:p>
          <w:pPr>
            <w:pStyle w:val="TOC3"/>
            <w:tabs>
              <w:tab w:pos="1918" w:val="left" w:leader="none"/>
              <w:tab w:pos="8930" w:val="left" w:leader="dot"/>
            </w:tabs>
            <w:ind w:left="218"/>
          </w:pPr>
          <w:hyperlink w:history="true" w:anchor="_bookmark434">
            <w:r>
              <w:rPr/>
              <w:t>S5.5.4</w:t>
              <w:tab/>
              <w:t>Data</w:t>
            </w:r>
            <w:r>
              <w:rPr>
                <w:spacing w:val="-2"/>
              </w:rPr>
              <w:t> </w:t>
            </w:r>
            <w:r>
              <w:rPr/>
              <w:t>Requirements</w:t>
              <w:tab/>
              <w:t>350</w:t>
            </w:r>
          </w:hyperlink>
        </w:p>
        <w:p>
          <w:pPr>
            <w:pStyle w:val="TOC3"/>
            <w:tabs>
              <w:tab w:pos="1918" w:val="left" w:leader="none"/>
              <w:tab w:pos="8929" w:val="left" w:leader="dot"/>
            </w:tabs>
            <w:ind w:left="218"/>
          </w:pPr>
          <w:hyperlink w:history="true" w:anchor="_bookmark435">
            <w:r>
              <w:rPr/>
              <w:t>S5.5.5</w:t>
              <w:tab/>
              <w:t>Asynchronous generating</w:t>
            </w:r>
            <w:r>
              <w:rPr>
                <w:spacing w:val="-6"/>
              </w:rPr>
              <w:t> </w:t>
            </w:r>
            <w:r>
              <w:rPr/>
              <w:t>unit</w:t>
            </w:r>
            <w:r>
              <w:rPr>
                <w:spacing w:val="-3"/>
              </w:rPr>
              <w:t> </w:t>
            </w:r>
            <w:r>
              <w:rPr/>
              <w:t>data</w:t>
              <w:tab/>
              <w:t>350</w:t>
            </w:r>
          </w:hyperlink>
        </w:p>
        <w:p>
          <w:pPr>
            <w:pStyle w:val="TOC3"/>
            <w:tabs>
              <w:tab w:pos="1918" w:val="left" w:leader="none"/>
              <w:tab w:pos="8930" w:val="left" w:leader="dot"/>
            </w:tabs>
            <w:ind w:left="218"/>
          </w:pPr>
          <w:hyperlink w:history="true" w:anchor="_bookmark436">
            <w:r>
              <w:rPr/>
              <w:t>S5.5.6</w:t>
              <w:tab/>
              <w:t>Generating units smaller than</w:t>
            </w:r>
            <w:r>
              <w:rPr>
                <w:spacing w:val="-5"/>
              </w:rPr>
              <w:t> </w:t>
            </w:r>
            <w:r>
              <w:rPr/>
              <w:t>30MW</w:t>
            </w:r>
            <w:r>
              <w:rPr>
                <w:spacing w:val="-2"/>
              </w:rPr>
              <w:t> </w:t>
            </w:r>
            <w:r>
              <w:rPr/>
              <w:t>data</w:t>
              <w:tab/>
              <w:t>351</w:t>
            </w:r>
          </w:hyperlink>
        </w:p>
        <w:p>
          <w:pPr>
            <w:pStyle w:val="TOC3"/>
            <w:tabs>
              <w:tab w:pos="1918" w:val="left" w:leader="none"/>
            </w:tabs>
            <w:ind w:left="218"/>
          </w:pPr>
          <w:hyperlink w:history="true" w:anchor="_bookmark437">
            <w:r>
              <w:rPr/>
              <w:t>S5.5.7</w:t>
              <w:tab/>
              <w:t>Power System Design Data Sheet, Power System Setting</w:t>
            </w:r>
            <w:r>
              <w:rPr>
                <w:spacing w:val="44"/>
              </w:rPr>
              <w:t> </w:t>
            </w:r>
            <w:r>
              <w:rPr/>
              <w:t>Data</w:t>
            </w:r>
          </w:hyperlink>
        </w:p>
        <w:p>
          <w:pPr>
            <w:pStyle w:val="TOC5"/>
            <w:tabs>
              <w:tab w:pos="8929" w:val="left" w:leader="dot"/>
            </w:tabs>
          </w:pPr>
          <w:hyperlink w:history="true" w:anchor="_bookmark437">
            <w:r>
              <w:rPr/>
              <w:t>Sheet and Power System</w:t>
            </w:r>
            <w:r>
              <w:rPr>
                <w:spacing w:val="-14"/>
              </w:rPr>
              <w:t> </w:t>
            </w:r>
            <w:r>
              <w:rPr/>
              <w:t>Model</w:t>
            </w:r>
            <w:r>
              <w:rPr>
                <w:spacing w:val="-3"/>
              </w:rPr>
              <w:t> </w:t>
            </w:r>
            <w:r>
              <w:rPr/>
              <w:t>Guidelines</w:t>
              <w:tab/>
              <w:t>351</w:t>
            </w:r>
          </w:hyperlink>
        </w:p>
        <w:p>
          <w:pPr>
            <w:pStyle w:val="TOC3"/>
            <w:tabs>
              <w:tab w:pos="1918" w:val="left" w:leader="none"/>
              <w:tab w:pos="8930" w:val="left" w:leader="dot"/>
            </w:tabs>
            <w:ind w:left="218"/>
          </w:pPr>
          <w:hyperlink w:history="true" w:anchor="_bookmark438">
            <w:r>
              <w:rPr/>
              <w:t>Schedule</w:t>
            </w:r>
            <w:r>
              <w:rPr>
                <w:spacing w:val="-4"/>
              </w:rPr>
              <w:t> </w:t>
            </w:r>
            <w:r>
              <w:rPr/>
              <w:t>5.5.1</w:t>
              <w:tab/>
              <w:t>[Deleted]</w:t>
              <w:tab/>
              <w:t>354</w:t>
            </w:r>
          </w:hyperlink>
        </w:p>
        <w:p>
          <w:pPr>
            <w:pStyle w:val="TOC3"/>
            <w:tabs>
              <w:tab w:pos="1918" w:val="left" w:leader="none"/>
              <w:tab w:pos="8930" w:val="left" w:leader="dot"/>
            </w:tabs>
            <w:ind w:left="218"/>
          </w:pPr>
          <w:hyperlink w:history="true" w:anchor="_bookmark439">
            <w:r>
              <w:rPr/>
              <w:t>Schedule</w:t>
            </w:r>
            <w:r>
              <w:rPr>
                <w:spacing w:val="-4"/>
              </w:rPr>
              <w:t> </w:t>
            </w:r>
            <w:r>
              <w:rPr/>
              <w:t>5.5.2</w:t>
              <w:tab/>
              <w:t>[Deleted]</w:t>
              <w:tab/>
              <w:t>354</w:t>
            </w:r>
          </w:hyperlink>
        </w:p>
        <w:p>
          <w:pPr>
            <w:pStyle w:val="TOC3"/>
            <w:tabs>
              <w:tab w:pos="1918" w:val="left" w:leader="none"/>
              <w:tab w:pos="8931" w:val="left" w:leader="dot"/>
            </w:tabs>
            <w:ind w:right="413" w:hanging="1701"/>
          </w:pPr>
          <w:hyperlink w:history="true" w:anchor="_bookmark440">
            <w:r>
              <w:rPr/>
              <w:t>Schedule</w:t>
            </w:r>
            <w:r>
              <w:rPr>
                <w:spacing w:val="-4"/>
              </w:rPr>
              <w:t> </w:t>
            </w:r>
            <w:r>
              <w:rPr/>
              <w:t>5.5.3</w:t>
              <w:tab/>
              <w:t>Network  and  plant  technical  data   of   equipment   at   or   near</w:t>
            </w:r>
          </w:hyperlink>
          <w:r>
            <w:rPr/>
            <w:t> </w:t>
          </w:r>
          <w:hyperlink w:history="true" w:anchor="_bookmark440">
            <w:r>
              <w:rPr/>
              <w:t>connection</w:t>
            </w:r>
            <w:r>
              <w:rPr>
                <w:spacing w:val="-1"/>
              </w:rPr>
              <w:t> </w:t>
            </w:r>
            <w:r>
              <w:rPr/>
              <w:t>point</w:t>
              <w:tab/>
            </w:r>
            <w:r>
              <w:rPr>
                <w:spacing w:val="-6"/>
              </w:rPr>
              <w:t>354</w:t>
            </w:r>
          </w:hyperlink>
        </w:p>
        <w:p>
          <w:pPr>
            <w:pStyle w:val="TOC3"/>
            <w:tabs>
              <w:tab w:pos="1918" w:val="left" w:leader="none"/>
              <w:tab w:pos="8929" w:val="left" w:leader="dot"/>
            </w:tabs>
            <w:ind w:left="218"/>
          </w:pPr>
          <w:hyperlink w:history="true" w:anchor="_bookmark441">
            <w:r>
              <w:rPr/>
              <w:t>Schedule</w:t>
            </w:r>
            <w:r>
              <w:rPr>
                <w:spacing w:val="-4"/>
              </w:rPr>
              <w:t> </w:t>
            </w:r>
            <w:r>
              <w:rPr/>
              <w:t>5.5.4</w:t>
              <w:tab/>
              <w:t>Network Plant and Apparatus</w:t>
            </w:r>
            <w:r>
              <w:rPr>
                <w:spacing w:val="-13"/>
              </w:rPr>
              <w:t> </w:t>
            </w:r>
            <w:r>
              <w:rPr/>
              <w:t>Setting</w:t>
            </w:r>
            <w:r>
              <w:rPr>
                <w:spacing w:val="-2"/>
              </w:rPr>
              <w:t> </w:t>
            </w:r>
            <w:r>
              <w:rPr/>
              <w:t>Data</w:t>
              <w:tab/>
              <w:t>357</w:t>
            </w:r>
          </w:hyperlink>
        </w:p>
        <w:p>
          <w:pPr>
            <w:pStyle w:val="TOC3"/>
            <w:tabs>
              <w:tab w:pos="1918" w:val="left" w:leader="none"/>
              <w:tab w:pos="8929" w:val="left" w:leader="dot"/>
            </w:tabs>
            <w:ind w:left="218"/>
          </w:pPr>
          <w:hyperlink w:history="true" w:anchor="_bookmark442">
            <w:r>
              <w:rPr/>
              <w:t>Schedule</w:t>
            </w:r>
            <w:r>
              <w:rPr>
                <w:spacing w:val="-4"/>
              </w:rPr>
              <w:t> </w:t>
            </w:r>
            <w:r>
              <w:rPr/>
              <w:t>5.5.5</w:t>
              <w:tab/>
              <w:t>Load Characteristics at</w:t>
            </w:r>
            <w:r>
              <w:rPr>
                <w:spacing w:val="-3"/>
              </w:rPr>
              <w:t> </w:t>
            </w:r>
            <w:r>
              <w:rPr/>
              <w:t>Connection</w:t>
            </w:r>
            <w:r>
              <w:rPr>
                <w:spacing w:val="-2"/>
              </w:rPr>
              <w:t> </w:t>
            </w:r>
            <w:r>
              <w:rPr/>
              <w:t>Point</w:t>
              <w:tab/>
              <w:t>359</w:t>
            </w:r>
          </w:hyperlink>
        </w:p>
        <w:p>
          <w:pPr>
            <w:pStyle w:val="TOC2"/>
            <w:tabs>
              <w:tab w:pos="1918" w:val="left" w:leader="none"/>
              <w:tab w:pos="8930" w:val="left" w:leader="dot"/>
            </w:tabs>
            <w:ind w:left="1919" w:right="414" w:hanging="1701"/>
          </w:pPr>
          <w:hyperlink w:history="true" w:anchor="_bookmark443">
            <w:r>
              <w:rPr/>
              <w:t>Schedule</w:t>
            </w:r>
            <w:r>
              <w:rPr>
                <w:spacing w:val="-4"/>
              </w:rPr>
              <w:t> </w:t>
            </w:r>
            <w:r>
              <w:rPr/>
              <w:t>5.6</w:t>
              <w:tab/>
              <w:t>Terms and Conditions of Connection agreements and network</w:t>
            </w:r>
          </w:hyperlink>
          <w:r>
            <w:rPr/>
            <w:t> </w:t>
          </w:r>
          <w:hyperlink w:history="true" w:anchor="_bookmark443">
            <w:r>
              <w:rPr/>
              <w:t>operating</w:t>
            </w:r>
            <w:r>
              <w:rPr>
                <w:spacing w:val="-1"/>
              </w:rPr>
              <w:t> </w:t>
            </w:r>
            <w:r>
              <w:rPr/>
              <w:t>agreements</w:t>
              <w:tab/>
            </w:r>
            <w:r>
              <w:rPr>
                <w:spacing w:val="-6"/>
              </w:rPr>
              <w:t>360</w:t>
            </w:r>
          </w:hyperlink>
        </w:p>
        <w:p>
          <w:pPr>
            <w:pStyle w:val="TOC2"/>
            <w:tabs>
              <w:tab w:pos="1919" w:val="left" w:leader="none"/>
              <w:tab w:pos="8930" w:val="left" w:leader="dot"/>
            </w:tabs>
          </w:pPr>
          <w:hyperlink w:history="true" w:anchor="_bookmark444">
            <w:r>
              <w:rPr/>
              <w:t>Part A</w:t>
              <w:tab/>
              <w:t>Connection</w:t>
            </w:r>
            <w:r>
              <w:rPr>
                <w:spacing w:val="-4"/>
              </w:rPr>
              <w:t> </w:t>
            </w:r>
            <w:r>
              <w:rPr/>
              <w:t>agreements</w:t>
              <w:tab/>
              <w:t>360</w:t>
            </w:r>
          </w:hyperlink>
        </w:p>
        <w:p>
          <w:pPr>
            <w:pStyle w:val="TOC2"/>
            <w:tabs>
              <w:tab w:pos="1919" w:val="left" w:leader="none"/>
              <w:tab w:pos="8930" w:val="left" w:leader="dot"/>
            </w:tabs>
          </w:pPr>
          <w:hyperlink w:history="true" w:anchor="_bookmark445">
            <w:r>
              <w:rPr/>
              <w:t>Part B</w:t>
              <w:tab/>
              <w:t>Network</w:t>
            </w:r>
            <w:r>
              <w:rPr>
                <w:spacing w:val="-6"/>
              </w:rPr>
              <w:t> </w:t>
            </w:r>
            <w:r>
              <w:rPr/>
              <w:t>Operating</w:t>
            </w:r>
            <w:r>
              <w:rPr>
                <w:spacing w:val="-4"/>
              </w:rPr>
              <w:t> </w:t>
            </w:r>
            <w:r>
              <w:rPr/>
              <w:t>Agreements</w:t>
              <w:tab/>
              <w:t>362</w:t>
            </w:r>
          </w:hyperlink>
        </w:p>
        <w:p>
          <w:pPr>
            <w:pStyle w:val="TOC2"/>
            <w:tabs>
              <w:tab w:pos="1918" w:val="left" w:leader="none"/>
              <w:tab w:pos="8930" w:val="left" w:leader="dot"/>
            </w:tabs>
          </w:pPr>
          <w:hyperlink w:history="true" w:anchor="_bookmark446">
            <w:r>
              <w:rPr/>
              <w:t>Schedule</w:t>
            </w:r>
            <w:r>
              <w:rPr>
                <w:spacing w:val="-4"/>
              </w:rPr>
              <w:t> </w:t>
            </w:r>
            <w:r>
              <w:rPr/>
              <w:t>5.7</w:t>
              <w:tab/>
              <w:t>Annual Forecast Information for</w:t>
            </w:r>
            <w:r>
              <w:rPr>
                <w:spacing w:val="-11"/>
              </w:rPr>
              <w:t> </w:t>
            </w:r>
            <w:r>
              <w:rPr/>
              <w:t>Planning</w:t>
            </w:r>
            <w:r>
              <w:rPr>
                <w:spacing w:val="-3"/>
              </w:rPr>
              <w:t> </w:t>
            </w:r>
            <w:r>
              <w:rPr/>
              <w:t>Purposes</w:t>
              <w:tab/>
              <w:t>362</w:t>
            </w:r>
          </w:hyperlink>
        </w:p>
        <w:p>
          <w:pPr>
            <w:pStyle w:val="TOC2"/>
            <w:tabs>
              <w:tab w:pos="1918" w:val="left" w:leader="none"/>
              <w:tab w:pos="8929" w:val="left" w:leader="dot"/>
            </w:tabs>
          </w:pPr>
          <w:hyperlink w:history="true" w:anchor="_bookmark447">
            <w:r>
              <w:rPr/>
              <w:t>Schedule</w:t>
            </w:r>
            <w:r>
              <w:rPr>
                <w:spacing w:val="-4"/>
              </w:rPr>
              <w:t> </w:t>
            </w:r>
            <w:r>
              <w:rPr/>
              <w:t>5.8</w:t>
              <w:tab/>
              <w:t>Distribution Annual</w:t>
            </w:r>
            <w:r>
              <w:rPr>
                <w:spacing w:val="-8"/>
              </w:rPr>
              <w:t> </w:t>
            </w:r>
            <w:r>
              <w:rPr/>
              <w:t>Planning</w:t>
            </w:r>
            <w:r>
              <w:rPr>
                <w:spacing w:val="-4"/>
              </w:rPr>
              <w:t> </w:t>
            </w:r>
            <w:r>
              <w:rPr/>
              <w:t>Report</w:t>
              <w:tab/>
              <w:t>364</w:t>
            </w:r>
          </w:hyperlink>
        </w:p>
        <w:p>
          <w:pPr>
            <w:pStyle w:val="TOC2"/>
            <w:tabs>
              <w:tab w:pos="1918" w:val="left" w:leader="none"/>
              <w:tab w:pos="8929" w:val="left" w:leader="dot"/>
            </w:tabs>
          </w:pPr>
          <w:hyperlink w:history="true" w:anchor="_bookmark448">
            <w:r>
              <w:rPr/>
              <w:t>Schedule</w:t>
            </w:r>
            <w:r>
              <w:rPr>
                <w:spacing w:val="-4"/>
              </w:rPr>
              <w:t> </w:t>
            </w:r>
            <w:r>
              <w:rPr/>
              <w:t>5.9</w:t>
              <w:tab/>
              <w:t>Demand side engagement document</w:t>
            </w:r>
            <w:r>
              <w:rPr>
                <w:spacing w:val="-11"/>
              </w:rPr>
              <w:t> </w:t>
            </w:r>
            <w:r>
              <w:rPr/>
              <w:t>(clause</w:t>
            </w:r>
            <w:r>
              <w:rPr>
                <w:spacing w:val="-2"/>
              </w:rPr>
              <w:t> </w:t>
            </w:r>
            <w:r>
              <w:rPr/>
              <w:t>5.13.1(h))</w:t>
              <w:tab/>
              <w:t>370</w:t>
            </w:r>
          </w:hyperlink>
        </w:p>
        <w:p>
          <w:pPr>
            <w:pStyle w:val="TOC2"/>
            <w:tabs>
              <w:tab w:pos="1918" w:val="left" w:leader="none"/>
            </w:tabs>
          </w:pPr>
          <w:hyperlink w:history="true" w:anchor="_bookmark449">
            <w:r>
              <w:rPr/>
              <w:t>Schedule</w:t>
            </w:r>
            <w:r>
              <w:rPr>
                <w:spacing w:val="-4"/>
              </w:rPr>
              <w:t> </w:t>
            </w:r>
            <w:r>
              <w:rPr/>
              <w:t>5.10</w:t>
              <w:tab/>
              <w:t>Information requirements for Primary Transmission</w:t>
            </w:r>
            <w:r>
              <w:rPr>
                <w:spacing w:val="14"/>
              </w:rPr>
              <w:t> </w:t>
            </w:r>
            <w:r>
              <w:rPr/>
              <w:t>Network</w:t>
            </w:r>
          </w:hyperlink>
        </w:p>
        <w:p>
          <w:pPr>
            <w:pStyle w:val="TOC4"/>
            <w:tabs>
              <w:tab w:pos="8931" w:val="left" w:leader="dot"/>
            </w:tabs>
          </w:pPr>
          <w:hyperlink w:history="true" w:anchor="_bookmark449">
            <w:r>
              <w:rPr/>
              <w:t>Service Providers</w:t>
            </w:r>
            <w:r>
              <w:rPr>
                <w:spacing w:val="-4"/>
              </w:rPr>
              <w:t> </w:t>
            </w:r>
            <w:r>
              <w:rPr/>
              <w:t>(clause</w:t>
            </w:r>
            <w:r>
              <w:rPr>
                <w:spacing w:val="-1"/>
              </w:rPr>
              <w:t> </w:t>
            </w:r>
            <w:r>
              <w:rPr/>
              <w:t>5.2A.5)</w:t>
              <w:tab/>
              <w:t>372</w:t>
            </w:r>
          </w:hyperlink>
        </w:p>
        <w:p>
          <w:pPr>
            <w:pStyle w:val="TOC2"/>
            <w:tabs>
              <w:tab w:pos="1918" w:val="left" w:leader="none"/>
            </w:tabs>
          </w:pPr>
          <w:hyperlink w:history="true" w:anchor="_bookmark450">
            <w:r>
              <w:rPr/>
              <w:t>Schedule</w:t>
            </w:r>
            <w:r>
              <w:rPr>
                <w:spacing w:val="-4"/>
              </w:rPr>
              <w:t> </w:t>
            </w:r>
            <w:r>
              <w:rPr/>
              <w:t>5.11</w:t>
              <w:tab/>
              <w:t>Negotiating principles for negotiated transmission</w:t>
            </w:r>
            <w:r>
              <w:rPr>
                <w:spacing w:val="45"/>
              </w:rPr>
              <w:t> </w:t>
            </w:r>
            <w:r>
              <w:rPr/>
              <w:t>services</w:t>
            </w:r>
          </w:hyperlink>
        </w:p>
        <w:p>
          <w:pPr>
            <w:pStyle w:val="TOC4"/>
            <w:tabs>
              <w:tab w:pos="8930" w:val="left" w:leader="dot"/>
            </w:tabs>
          </w:pPr>
          <w:hyperlink w:history="true" w:anchor="_bookmark450">
            <w:r>
              <w:rPr/>
              <w:t>(clause 5.2A.6)</w:t>
              <w:tab/>
              <w:t>375</w:t>
            </w:r>
          </w:hyperlink>
        </w:p>
        <w:p>
          <w:pPr>
            <w:pStyle w:val="TOC2"/>
            <w:tabs>
              <w:tab w:pos="1918" w:val="left" w:leader="none"/>
              <w:tab w:pos="8928" w:val="left" w:leader="dot"/>
            </w:tabs>
          </w:pPr>
          <w:hyperlink w:history="true" w:anchor="_bookmark451">
            <w:r>
              <w:rPr/>
              <w:t>Schedule</w:t>
            </w:r>
            <w:r>
              <w:rPr>
                <w:spacing w:val="-4"/>
              </w:rPr>
              <w:t> </w:t>
            </w:r>
            <w:r>
              <w:rPr/>
              <w:t>5.12</w:t>
              <w:tab/>
              <w:t>Negotiating principles for large</w:t>
            </w:r>
            <w:r>
              <w:rPr>
                <w:spacing w:val="-14"/>
              </w:rPr>
              <w:t> </w:t>
            </w:r>
            <w:r>
              <w:rPr/>
              <w:t>DCA</w:t>
            </w:r>
            <w:r>
              <w:rPr>
                <w:spacing w:val="-4"/>
              </w:rPr>
              <w:t> </w:t>
            </w:r>
            <w:r>
              <w:rPr/>
              <w:t>services</w:t>
              <w:tab/>
              <w:t>377</w:t>
            </w:r>
          </w:hyperlink>
        </w:p>
        <w:p>
          <w:pPr>
            <w:pStyle w:val="TOC1"/>
            <w:tabs>
              <w:tab w:pos="1918" w:val="left" w:leader="none"/>
              <w:tab w:pos="8872" w:val="left" w:leader="dot"/>
            </w:tabs>
            <w:ind w:left="218" w:firstLine="0"/>
          </w:pPr>
          <w:hyperlink w:history="true" w:anchor="_bookmark452">
            <w:r>
              <w:rPr/>
              <w:t>5A.</w:t>
              <w:tab/>
              <w:t>Electricity connection for</w:t>
            </w:r>
            <w:r>
              <w:rPr>
                <w:spacing w:val="-1"/>
              </w:rPr>
              <w:t> </w:t>
            </w:r>
            <w:r>
              <w:rPr/>
              <w:t>retail</w:t>
            </w:r>
            <w:r>
              <w:rPr>
                <w:spacing w:val="-1"/>
              </w:rPr>
              <w:t> </w:t>
            </w:r>
            <w:r>
              <w:rPr/>
              <w:t>customers</w:t>
              <w:tab/>
              <w:t>381</w:t>
            </w:r>
          </w:hyperlink>
        </w:p>
        <w:p>
          <w:pPr>
            <w:pStyle w:val="TOC2"/>
            <w:tabs>
              <w:tab w:pos="1919" w:val="left" w:leader="none"/>
              <w:tab w:pos="8931" w:val="left" w:leader="dot"/>
            </w:tabs>
          </w:pPr>
          <w:hyperlink w:history="true" w:anchor="_bookmark453">
            <w:r>
              <w:rPr/>
              <w:t>Part A</w:t>
              <w:tab/>
              <w:t>Preliminary</w:t>
              <w:tab/>
              <w:t>381</w:t>
            </w:r>
          </w:hyperlink>
        </w:p>
        <w:p>
          <w:pPr>
            <w:pStyle w:val="TOC3"/>
            <w:tabs>
              <w:tab w:pos="1919" w:val="left" w:leader="none"/>
              <w:tab w:pos="8930" w:val="left" w:leader="dot"/>
            </w:tabs>
            <w:ind w:left="218"/>
          </w:pPr>
          <w:hyperlink w:history="true" w:anchor="_bookmark454">
            <w:r>
              <w:rPr/>
              <w:t>5A.A.1</w:t>
              <w:tab/>
              <w:t>Definitions</w:t>
              <w:tab/>
              <w:t>381</w:t>
            </w:r>
          </w:hyperlink>
        </w:p>
        <w:p>
          <w:pPr>
            <w:pStyle w:val="TOC3"/>
            <w:tabs>
              <w:tab w:pos="1919" w:val="left" w:leader="none"/>
              <w:tab w:pos="8930" w:val="left" w:leader="dot"/>
            </w:tabs>
            <w:ind w:left="218"/>
          </w:pPr>
          <w:hyperlink w:history="true" w:anchor="_bookmark455">
            <w:r>
              <w:rPr/>
              <w:t>5A.A.2</w:t>
              <w:tab/>
              <w:t>Application of</w:t>
            </w:r>
            <w:r>
              <w:rPr>
                <w:spacing w:val="-3"/>
              </w:rPr>
              <w:t> </w:t>
            </w:r>
            <w:r>
              <w:rPr/>
              <w:t>this</w:t>
            </w:r>
            <w:r>
              <w:rPr>
                <w:spacing w:val="-1"/>
              </w:rPr>
              <w:t> </w:t>
            </w:r>
            <w:r>
              <w:rPr/>
              <w:t>Chapter</w:t>
              <w:tab/>
              <w:t>384</w:t>
            </w:r>
          </w:hyperlink>
        </w:p>
        <w:p>
          <w:pPr>
            <w:pStyle w:val="TOC3"/>
            <w:tabs>
              <w:tab w:pos="1919" w:val="left" w:leader="none"/>
              <w:tab w:pos="8931" w:val="left" w:leader="dot"/>
            </w:tabs>
            <w:spacing w:after="240"/>
            <w:ind w:right="413" w:hanging="1701"/>
          </w:pPr>
          <w:hyperlink w:history="true" w:anchor="_bookmark456">
            <w:r>
              <w:rPr/>
              <w:t>5A.A.3</w:t>
              <w:tab/>
              <w:t>Small  Generation  Aggregator  deemed  to  be  agent   of   a   retail</w:t>
            </w:r>
          </w:hyperlink>
          <w:r>
            <w:rPr/>
            <w:t> </w:t>
          </w:r>
          <w:hyperlink w:history="true" w:anchor="_bookmark456">
            <w:r>
              <w:rPr/>
              <w:t>customer</w:t>
              <w:tab/>
            </w:r>
            <w:r>
              <w:rPr>
                <w:spacing w:val="-6"/>
              </w:rPr>
              <w:t>384</w:t>
            </w:r>
          </w:hyperlink>
        </w:p>
        <w:p>
          <w:pPr>
            <w:pStyle w:val="TOC2"/>
            <w:tabs>
              <w:tab w:pos="1919" w:val="left" w:leader="none"/>
              <w:tab w:pos="8930" w:val="left" w:leader="dot"/>
            </w:tabs>
            <w:spacing w:before="83"/>
            <w:ind w:left="1919" w:right="414" w:hanging="1701"/>
          </w:pPr>
          <w:hyperlink w:history="true" w:anchor="_bookmark457">
            <w:r>
              <w:rPr/>
              <w:t>Part B</w:t>
              <w:tab/>
              <w:t>Standardised offers to provide  basic  and  standard  connection</w:t>
            </w:r>
          </w:hyperlink>
          <w:hyperlink w:history="true" w:anchor="_bookmark457">
            <w:r>
              <w:rPr/>
              <w:t> services</w:t>
              <w:tab/>
            </w:r>
            <w:r>
              <w:rPr>
                <w:spacing w:val="-6"/>
              </w:rPr>
              <w:t>385</w:t>
            </w:r>
          </w:hyperlink>
        </w:p>
        <w:p>
          <w:pPr>
            <w:pStyle w:val="TOC2"/>
            <w:tabs>
              <w:tab w:pos="1918" w:val="left" w:leader="none"/>
              <w:tab w:pos="8930" w:val="left" w:leader="dot"/>
            </w:tabs>
          </w:pPr>
          <w:hyperlink w:history="true" w:anchor="_bookmark458">
            <w:r>
              <w:rPr/>
              <w:t>Division</w:t>
            </w:r>
            <w:r>
              <w:rPr>
                <w:spacing w:val="-4"/>
              </w:rPr>
              <w:t> </w:t>
            </w:r>
            <w:r>
              <w:rPr/>
              <w:t>1</w:t>
              <w:tab/>
              <w:t>Basic</w:t>
            </w:r>
            <w:r>
              <w:rPr>
                <w:spacing w:val="-2"/>
              </w:rPr>
              <w:t> </w:t>
            </w:r>
            <w:r>
              <w:rPr/>
              <w:t>connection</w:t>
            </w:r>
            <w:r>
              <w:rPr>
                <w:spacing w:val="-2"/>
              </w:rPr>
              <w:t> </w:t>
            </w:r>
            <w:r>
              <w:rPr/>
              <w:t>services</w:t>
              <w:tab/>
              <w:t>385</w:t>
            </w:r>
          </w:hyperlink>
        </w:p>
        <w:p>
          <w:pPr>
            <w:pStyle w:val="TOC3"/>
            <w:tabs>
              <w:tab w:pos="1919" w:val="left" w:leader="none"/>
              <w:tab w:pos="8930" w:val="left" w:leader="dot"/>
            </w:tabs>
            <w:ind w:right="415" w:hanging="1701"/>
          </w:pPr>
          <w:hyperlink w:history="true" w:anchor="_bookmark459">
            <w:r>
              <w:rPr/>
              <w:t>5A.B.1</w:t>
              <w:tab/>
              <w:t>Obligation  to  have  model   standing   offer   to   provide   basic</w:t>
            </w:r>
          </w:hyperlink>
          <w:r>
            <w:rPr/>
            <w:t>  </w:t>
          </w:r>
          <w:hyperlink w:history="true" w:anchor="_bookmark459">
            <w:r>
              <w:rPr/>
              <w:t>connection</w:t>
            </w:r>
            <w:r>
              <w:rPr>
                <w:spacing w:val="-3"/>
              </w:rPr>
              <w:t> </w:t>
            </w:r>
            <w:r>
              <w:rPr/>
              <w:t>services</w:t>
              <w:tab/>
            </w:r>
            <w:r>
              <w:rPr>
                <w:spacing w:val="-6"/>
              </w:rPr>
              <w:t>385</w:t>
            </w:r>
          </w:hyperlink>
        </w:p>
        <w:p>
          <w:pPr>
            <w:pStyle w:val="TOC3"/>
            <w:tabs>
              <w:tab w:pos="1919" w:val="left" w:leader="none"/>
              <w:tab w:pos="8929" w:val="left" w:leader="dot"/>
            </w:tabs>
            <w:ind w:left="218"/>
          </w:pPr>
          <w:hyperlink w:history="true" w:anchor="_bookmark460">
            <w:r>
              <w:rPr/>
              <w:t>5A.B.2</w:t>
              <w:tab/>
              <w:t>Proposed model standing offer for basic</w:t>
            </w:r>
            <w:r>
              <w:rPr>
                <w:spacing w:val="-14"/>
              </w:rPr>
              <w:t> </w:t>
            </w:r>
            <w:r>
              <w:rPr/>
              <w:t>connection</w:t>
            </w:r>
            <w:r>
              <w:rPr>
                <w:spacing w:val="-3"/>
              </w:rPr>
              <w:t> </w:t>
            </w:r>
            <w:r>
              <w:rPr/>
              <w:t>services</w:t>
              <w:tab/>
              <w:t>385</w:t>
            </w:r>
          </w:hyperlink>
        </w:p>
        <w:p>
          <w:pPr>
            <w:pStyle w:val="TOC3"/>
            <w:tabs>
              <w:tab w:pos="1919" w:val="left" w:leader="none"/>
            </w:tabs>
            <w:ind w:left="218"/>
          </w:pPr>
          <w:hyperlink w:history="true" w:anchor="_bookmark461">
            <w:r>
              <w:rPr/>
              <w:t>5A.B.3</w:t>
              <w:tab/>
              <w:t>Approval</w:t>
            </w:r>
            <w:r>
              <w:rPr>
                <w:spacing w:val="19"/>
              </w:rPr>
              <w:t> </w:t>
            </w:r>
            <w:r>
              <w:rPr/>
              <w:t>of</w:t>
            </w:r>
            <w:r>
              <w:rPr>
                <w:spacing w:val="19"/>
              </w:rPr>
              <w:t> </w:t>
            </w:r>
            <w:r>
              <w:rPr/>
              <w:t>terms</w:t>
            </w:r>
            <w:r>
              <w:rPr>
                <w:spacing w:val="19"/>
              </w:rPr>
              <w:t> </w:t>
            </w:r>
            <w:r>
              <w:rPr/>
              <w:t>and</w:t>
            </w:r>
            <w:r>
              <w:rPr>
                <w:spacing w:val="19"/>
              </w:rPr>
              <w:t> </w:t>
            </w:r>
            <w:r>
              <w:rPr/>
              <w:t>conditions</w:t>
            </w:r>
            <w:r>
              <w:rPr>
                <w:spacing w:val="19"/>
              </w:rPr>
              <w:t> </w:t>
            </w:r>
            <w:r>
              <w:rPr/>
              <w:t>of</w:t>
            </w:r>
            <w:r>
              <w:rPr>
                <w:spacing w:val="19"/>
              </w:rPr>
              <w:t> </w:t>
            </w:r>
            <w:r>
              <w:rPr/>
              <w:t>model</w:t>
            </w:r>
            <w:r>
              <w:rPr>
                <w:spacing w:val="19"/>
              </w:rPr>
              <w:t> </w:t>
            </w:r>
            <w:r>
              <w:rPr/>
              <w:t>standing</w:t>
            </w:r>
            <w:r>
              <w:rPr>
                <w:spacing w:val="19"/>
              </w:rPr>
              <w:t> </w:t>
            </w:r>
            <w:r>
              <w:rPr/>
              <w:t>offer</w:t>
            </w:r>
            <w:r>
              <w:rPr>
                <w:spacing w:val="20"/>
              </w:rPr>
              <w:t> </w:t>
            </w:r>
            <w:r>
              <w:rPr/>
              <w:t>to</w:t>
            </w:r>
          </w:hyperlink>
        </w:p>
        <w:p>
          <w:pPr>
            <w:pStyle w:val="TOC5"/>
            <w:tabs>
              <w:tab w:pos="8931" w:val="left" w:leader="dot"/>
            </w:tabs>
          </w:pPr>
          <w:hyperlink w:history="true" w:anchor="_bookmark461">
            <w:r>
              <w:rPr/>
              <w:t>provide basic</w:t>
            </w:r>
            <w:r>
              <w:rPr>
                <w:spacing w:val="-2"/>
              </w:rPr>
              <w:t> </w:t>
            </w:r>
            <w:r>
              <w:rPr/>
              <w:t>connection</w:t>
            </w:r>
            <w:r>
              <w:rPr>
                <w:spacing w:val="-1"/>
              </w:rPr>
              <w:t> </w:t>
            </w:r>
            <w:r>
              <w:rPr/>
              <w:t>services</w:t>
              <w:tab/>
              <w:t>386</w:t>
            </w:r>
          </w:hyperlink>
        </w:p>
        <w:p>
          <w:pPr>
            <w:pStyle w:val="TOC2"/>
            <w:tabs>
              <w:tab w:pos="1918" w:val="left" w:leader="none"/>
              <w:tab w:pos="8930" w:val="left" w:leader="dot"/>
            </w:tabs>
          </w:pPr>
          <w:hyperlink w:history="true" w:anchor="_bookmark462">
            <w:r>
              <w:rPr/>
              <w:t>Division</w:t>
            </w:r>
            <w:r>
              <w:rPr>
                <w:spacing w:val="-4"/>
              </w:rPr>
              <w:t> </w:t>
            </w:r>
            <w:r>
              <w:rPr/>
              <w:t>2</w:t>
              <w:tab/>
              <w:t>Standard</w:t>
            </w:r>
            <w:r>
              <w:rPr>
                <w:spacing w:val="-1"/>
              </w:rPr>
              <w:t> </w:t>
            </w:r>
            <w:r>
              <w:rPr/>
              <w:t>connection</w:t>
            </w:r>
            <w:r>
              <w:rPr>
                <w:spacing w:val="-1"/>
              </w:rPr>
              <w:t> </w:t>
            </w:r>
            <w:r>
              <w:rPr/>
              <w:t>services</w:t>
              <w:tab/>
              <w:t>387</w:t>
            </w:r>
          </w:hyperlink>
        </w:p>
        <w:p>
          <w:pPr>
            <w:pStyle w:val="TOC3"/>
            <w:tabs>
              <w:tab w:pos="1919" w:val="left" w:leader="none"/>
              <w:tab w:pos="8930" w:val="left" w:leader="dot"/>
            </w:tabs>
            <w:ind w:left="218"/>
          </w:pPr>
          <w:hyperlink w:history="true" w:anchor="_bookmark463">
            <w:r>
              <w:rPr/>
              <w:t>5A.B.4</w:t>
              <w:tab/>
              <w:t>Standard</w:t>
            </w:r>
            <w:r>
              <w:rPr>
                <w:spacing w:val="-3"/>
              </w:rPr>
              <w:t> </w:t>
            </w:r>
            <w:r>
              <w:rPr/>
              <w:t>connection</w:t>
            </w:r>
            <w:r>
              <w:rPr>
                <w:spacing w:val="-3"/>
              </w:rPr>
              <w:t> </w:t>
            </w:r>
            <w:r>
              <w:rPr/>
              <w:t>services</w:t>
              <w:tab/>
              <w:t>387</w:t>
            </w:r>
          </w:hyperlink>
        </w:p>
        <w:p>
          <w:pPr>
            <w:pStyle w:val="TOC3"/>
            <w:tabs>
              <w:tab w:pos="1919" w:val="left" w:leader="none"/>
            </w:tabs>
            <w:ind w:left="218"/>
          </w:pPr>
          <w:hyperlink w:history="true" w:anchor="_bookmark464">
            <w:r>
              <w:rPr/>
              <w:t>5A.B.5</w:t>
              <w:tab/>
              <w:t>Approval</w:t>
            </w:r>
            <w:r>
              <w:rPr>
                <w:spacing w:val="32"/>
              </w:rPr>
              <w:t> </w:t>
            </w:r>
            <w:r>
              <w:rPr/>
              <w:t>of</w:t>
            </w:r>
            <w:r>
              <w:rPr>
                <w:spacing w:val="32"/>
              </w:rPr>
              <w:t> </w:t>
            </w:r>
            <w:r>
              <w:rPr/>
              <w:t>model</w:t>
            </w:r>
            <w:r>
              <w:rPr>
                <w:spacing w:val="32"/>
              </w:rPr>
              <w:t> </w:t>
            </w:r>
            <w:r>
              <w:rPr/>
              <w:t>standing</w:t>
            </w:r>
            <w:r>
              <w:rPr>
                <w:spacing w:val="33"/>
              </w:rPr>
              <w:t> </w:t>
            </w:r>
            <w:r>
              <w:rPr/>
              <w:t>offer</w:t>
            </w:r>
            <w:r>
              <w:rPr>
                <w:spacing w:val="32"/>
              </w:rPr>
              <w:t> </w:t>
            </w:r>
            <w:r>
              <w:rPr/>
              <w:t>to</w:t>
            </w:r>
            <w:r>
              <w:rPr>
                <w:spacing w:val="32"/>
              </w:rPr>
              <w:t> </w:t>
            </w:r>
            <w:r>
              <w:rPr/>
              <w:t>provide</w:t>
            </w:r>
            <w:r>
              <w:rPr>
                <w:spacing w:val="33"/>
              </w:rPr>
              <w:t> </w:t>
            </w:r>
            <w:r>
              <w:rPr/>
              <w:t>standard</w:t>
            </w:r>
            <w:r>
              <w:rPr>
                <w:spacing w:val="32"/>
              </w:rPr>
              <w:t> </w:t>
            </w:r>
            <w:r>
              <w:rPr/>
              <w:t>connection</w:t>
            </w:r>
          </w:hyperlink>
        </w:p>
        <w:p>
          <w:pPr>
            <w:pStyle w:val="TOC5"/>
            <w:tabs>
              <w:tab w:pos="8930" w:val="left" w:leader="dot"/>
            </w:tabs>
          </w:pPr>
          <w:hyperlink w:history="true" w:anchor="_bookmark464">
            <w:r>
              <w:rPr/>
              <w:t>services</w:t>
              <w:tab/>
              <w:t>388</w:t>
            </w:r>
          </w:hyperlink>
        </w:p>
        <w:p>
          <w:pPr>
            <w:pStyle w:val="TOC2"/>
            <w:tabs>
              <w:tab w:pos="1918" w:val="left" w:leader="none"/>
              <w:tab w:pos="8930" w:val="left" w:leader="dot"/>
            </w:tabs>
          </w:pPr>
          <w:hyperlink w:history="true" w:anchor="_bookmark465">
            <w:r>
              <w:rPr/>
              <w:t>Division</w:t>
            </w:r>
            <w:r>
              <w:rPr>
                <w:spacing w:val="-4"/>
              </w:rPr>
              <w:t> </w:t>
            </w:r>
            <w:r>
              <w:rPr/>
              <w:t>3</w:t>
              <w:tab/>
              <w:t>Miscellaneous</w:t>
              <w:tab/>
              <w:t>388</w:t>
            </w:r>
          </w:hyperlink>
        </w:p>
        <w:p>
          <w:pPr>
            <w:pStyle w:val="TOC3"/>
            <w:tabs>
              <w:tab w:pos="1919" w:val="left" w:leader="none"/>
              <w:tab w:pos="8930" w:val="left" w:leader="dot"/>
            </w:tabs>
            <w:ind w:left="218"/>
          </w:pPr>
          <w:hyperlink w:history="true" w:anchor="_bookmark466">
            <w:r>
              <w:rPr/>
              <w:t>5A.B.6</w:t>
              <w:tab/>
              <w:t>Amendment etc of model</w:t>
            </w:r>
            <w:r>
              <w:rPr>
                <w:spacing w:val="-8"/>
              </w:rPr>
              <w:t> </w:t>
            </w:r>
            <w:r>
              <w:rPr/>
              <w:t>standing</w:t>
            </w:r>
            <w:r>
              <w:rPr>
                <w:spacing w:val="-2"/>
              </w:rPr>
              <w:t> </w:t>
            </w:r>
            <w:r>
              <w:rPr/>
              <w:t>offer</w:t>
              <w:tab/>
              <w:t>388</w:t>
            </w:r>
          </w:hyperlink>
        </w:p>
        <w:p>
          <w:pPr>
            <w:pStyle w:val="TOC3"/>
            <w:tabs>
              <w:tab w:pos="1919" w:val="left" w:leader="none"/>
              <w:tab w:pos="8930" w:val="left" w:leader="dot"/>
            </w:tabs>
            <w:ind w:left="218"/>
          </w:pPr>
          <w:hyperlink w:history="true" w:anchor="_bookmark467">
            <w:r>
              <w:rPr/>
              <w:t>5A.B.7</w:t>
              <w:tab/>
              <w:t>Publication of model</w:t>
            </w:r>
            <w:r>
              <w:rPr>
                <w:spacing w:val="-6"/>
              </w:rPr>
              <w:t> </w:t>
            </w:r>
            <w:r>
              <w:rPr/>
              <w:t>standing</w:t>
            </w:r>
            <w:r>
              <w:rPr>
                <w:spacing w:val="-3"/>
              </w:rPr>
              <w:t> </w:t>
            </w:r>
            <w:r>
              <w:rPr/>
              <w:t>offers</w:t>
              <w:tab/>
              <w:t>389</w:t>
            </w:r>
          </w:hyperlink>
        </w:p>
        <w:p>
          <w:pPr>
            <w:pStyle w:val="TOC2"/>
            <w:tabs>
              <w:tab w:pos="1919" w:val="left" w:leader="none"/>
              <w:tab w:pos="8931" w:val="left" w:leader="dot"/>
            </w:tabs>
          </w:pPr>
          <w:hyperlink w:history="true" w:anchor="_bookmark468">
            <w:r>
              <w:rPr/>
              <w:t>Part C</w:t>
              <w:tab/>
              <w:t>Negotiated</w:t>
            </w:r>
            <w:r>
              <w:rPr>
                <w:spacing w:val="-2"/>
              </w:rPr>
              <w:t> </w:t>
            </w:r>
            <w:r>
              <w:rPr/>
              <w:t>connection</w:t>
              <w:tab/>
              <w:t>389</w:t>
            </w:r>
          </w:hyperlink>
        </w:p>
        <w:p>
          <w:pPr>
            <w:pStyle w:val="TOC3"/>
            <w:tabs>
              <w:tab w:pos="1919" w:val="left" w:leader="none"/>
              <w:tab w:pos="8931" w:val="left" w:leader="dot"/>
            </w:tabs>
            <w:ind w:left="218"/>
          </w:pPr>
          <w:hyperlink w:history="true" w:anchor="_bookmark469">
            <w:r>
              <w:rPr/>
              <w:t>5A.C.1</w:t>
              <w:tab/>
              <w:t>Negotiation</w:t>
            </w:r>
            <w:r>
              <w:rPr>
                <w:spacing w:val="-2"/>
              </w:rPr>
              <w:t> </w:t>
            </w:r>
            <w:r>
              <w:rPr/>
              <w:t>of</w:t>
            </w:r>
            <w:r>
              <w:rPr>
                <w:spacing w:val="-1"/>
              </w:rPr>
              <w:t> </w:t>
            </w:r>
            <w:r>
              <w:rPr/>
              <w:t>connection</w:t>
              <w:tab/>
              <w:t>389</w:t>
            </w:r>
          </w:hyperlink>
        </w:p>
        <w:p>
          <w:pPr>
            <w:pStyle w:val="TOC3"/>
            <w:tabs>
              <w:tab w:pos="1919" w:val="left" w:leader="none"/>
              <w:tab w:pos="8930" w:val="left" w:leader="dot"/>
            </w:tabs>
            <w:ind w:left="218"/>
          </w:pPr>
          <w:hyperlink w:history="true" w:anchor="_bookmark470">
            <w:r>
              <w:rPr/>
              <w:t>5A.C.2</w:t>
              <w:tab/>
              <w:t>Process</w:t>
            </w:r>
            <w:r>
              <w:rPr>
                <w:spacing w:val="-3"/>
              </w:rPr>
              <w:t> </w:t>
            </w:r>
            <w:r>
              <w:rPr/>
              <w:t>of</w:t>
            </w:r>
            <w:r>
              <w:rPr>
                <w:spacing w:val="-1"/>
              </w:rPr>
              <w:t> </w:t>
            </w:r>
            <w:r>
              <w:rPr/>
              <w:t>negotiation</w:t>
              <w:tab/>
              <w:t>390</w:t>
            </w:r>
          </w:hyperlink>
        </w:p>
        <w:p>
          <w:pPr>
            <w:pStyle w:val="TOC3"/>
            <w:tabs>
              <w:tab w:pos="1919" w:val="left" w:leader="none"/>
              <w:tab w:pos="8931" w:val="left" w:leader="dot"/>
            </w:tabs>
            <w:ind w:left="218"/>
          </w:pPr>
          <w:hyperlink w:history="true" w:anchor="_bookmark471">
            <w:r>
              <w:rPr/>
              <w:t>5A.C.3</w:t>
              <w:tab/>
              <w:t>Negotiation</w:t>
            </w:r>
            <w:r>
              <w:rPr>
                <w:spacing w:val="-2"/>
              </w:rPr>
              <w:t> </w:t>
            </w:r>
            <w:r>
              <w:rPr/>
              <w:t>framework</w:t>
              <w:tab/>
              <w:t>390</w:t>
            </w:r>
          </w:hyperlink>
        </w:p>
        <w:p>
          <w:pPr>
            <w:pStyle w:val="TOC3"/>
            <w:tabs>
              <w:tab w:pos="1919" w:val="left" w:leader="none"/>
              <w:tab w:pos="8931" w:val="left" w:leader="dot"/>
            </w:tabs>
            <w:ind w:left="218"/>
          </w:pPr>
          <w:hyperlink w:history="true" w:anchor="_bookmark472">
            <w:r>
              <w:rPr/>
              <w:t>5A.C.4</w:t>
              <w:tab/>
              <w:t>Fee to cover cost</w:t>
            </w:r>
            <w:r>
              <w:rPr>
                <w:spacing w:val="-3"/>
              </w:rPr>
              <w:t> </w:t>
            </w:r>
            <w:r>
              <w:rPr/>
              <w:t>of</w:t>
            </w:r>
            <w:r>
              <w:rPr>
                <w:spacing w:val="-1"/>
              </w:rPr>
              <w:t> </w:t>
            </w:r>
            <w:r>
              <w:rPr/>
              <w:t>negotiation</w:t>
              <w:tab/>
              <w:t>392</w:t>
            </w:r>
          </w:hyperlink>
        </w:p>
        <w:p>
          <w:pPr>
            <w:pStyle w:val="TOC2"/>
            <w:tabs>
              <w:tab w:pos="1919" w:val="left" w:leader="none"/>
              <w:tab w:pos="8931" w:val="left" w:leader="dot"/>
            </w:tabs>
          </w:pPr>
          <w:hyperlink w:history="true" w:anchor="_bookmark473">
            <w:r>
              <w:rPr/>
              <w:t>Part D</w:t>
              <w:tab/>
              <w:t>Application for</w:t>
            </w:r>
            <w:r>
              <w:rPr>
                <w:spacing w:val="-6"/>
              </w:rPr>
              <w:t> </w:t>
            </w:r>
            <w:r>
              <w:rPr/>
              <w:t>connection</w:t>
            </w:r>
            <w:r>
              <w:rPr>
                <w:spacing w:val="-3"/>
              </w:rPr>
              <w:t> </w:t>
            </w:r>
            <w:r>
              <w:rPr/>
              <w:t>service</w:t>
              <w:tab/>
              <w:t>392</w:t>
            </w:r>
          </w:hyperlink>
        </w:p>
        <w:p>
          <w:pPr>
            <w:pStyle w:val="TOC2"/>
            <w:tabs>
              <w:tab w:pos="1918" w:val="left" w:leader="none"/>
              <w:tab w:pos="8929" w:val="left" w:leader="dot"/>
            </w:tabs>
          </w:pPr>
          <w:hyperlink w:history="true" w:anchor="_bookmark474">
            <w:r>
              <w:rPr/>
              <w:t>Division</w:t>
            </w:r>
            <w:r>
              <w:rPr>
                <w:spacing w:val="-4"/>
              </w:rPr>
              <w:t> </w:t>
            </w:r>
            <w:r>
              <w:rPr/>
              <w:t>1</w:t>
              <w:tab/>
              <w:t>Information</w:t>
              <w:tab/>
              <w:t>392</w:t>
            </w:r>
          </w:hyperlink>
        </w:p>
        <w:p>
          <w:pPr>
            <w:pStyle w:val="TOC3"/>
            <w:tabs>
              <w:tab w:pos="1919" w:val="left" w:leader="none"/>
              <w:tab w:pos="8931" w:val="left" w:leader="dot"/>
            </w:tabs>
            <w:ind w:left="218"/>
          </w:pPr>
          <w:hyperlink w:history="true" w:anchor="_bookmark475">
            <w:r>
              <w:rPr/>
              <w:t>5A.D.1</w:t>
              <w:tab/>
              <w:t>Publication</w:t>
            </w:r>
            <w:r>
              <w:rPr>
                <w:spacing w:val="-2"/>
              </w:rPr>
              <w:t> </w:t>
            </w:r>
            <w:r>
              <w:rPr/>
              <w:t>of</w:t>
            </w:r>
            <w:r>
              <w:rPr>
                <w:spacing w:val="-1"/>
              </w:rPr>
              <w:t> </w:t>
            </w:r>
            <w:r>
              <w:rPr/>
              <w:t>information</w:t>
              <w:tab/>
              <w:t>392</w:t>
            </w:r>
          </w:hyperlink>
        </w:p>
        <w:p>
          <w:pPr>
            <w:pStyle w:val="TOC3"/>
            <w:tabs>
              <w:tab w:pos="1919" w:val="left" w:leader="none"/>
              <w:tab w:pos="8931" w:val="left" w:leader="dot"/>
            </w:tabs>
            <w:ind w:left="218"/>
          </w:pPr>
          <w:hyperlink w:history="true" w:anchor="_bookmark476">
            <w:r>
              <w:rPr/>
              <w:t>5A.D.1A</w:t>
              <w:tab/>
              <w:t>Register of completed embedded</w:t>
            </w:r>
            <w:r>
              <w:rPr>
                <w:spacing w:val="-3"/>
              </w:rPr>
              <w:t> </w:t>
            </w:r>
            <w:r>
              <w:rPr/>
              <w:t>generation projects</w:t>
              <w:tab/>
              <w:t>393</w:t>
            </w:r>
          </w:hyperlink>
        </w:p>
        <w:p>
          <w:pPr>
            <w:pStyle w:val="TOC2"/>
            <w:tabs>
              <w:tab w:pos="1918" w:val="left" w:leader="none"/>
              <w:tab w:pos="8930" w:val="left" w:leader="dot"/>
            </w:tabs>
          </w:pPr>
          <w:hyperlink w:history="true" w:anchor="_bookmark477">
            <w:r>
              <w:rPr/>
              <w:t>Division</w:t>
            </w:r>
            <w:r>
              <w:rPr>
                <w:spacing w:val="-4"/>
              </w:rPr>
              <w:t> </w:t>
            </w:r>
            <w:r>
              <w:rPr/>
              <w:t>2</w:t>
              <w:tab/>
              <w:t>Preliminary</w:t>
            </w:r>
            <w:r>
              <w:rPr>
                <w:spacing w:val="-1"/>
              </w:rPr>
              <w:t> </w:t>
            </w:r>
            <w:r>
              <w:rPr/>
              <w:t>enquiry</w:t>
              <w:tab/>
              <w:t>394</w:t>
            </w:r>
          </w:hyperlink>
        </w:p>
        <w:p>
          <w:pPr>
            <w:pStyle w:val="TOC3"/>
            <w:tabs>
              <w:tab w:pos="1919" w:val="left" w:leader="none"/>
              <w:tab w:pos="8931" w:val="left" w:leader="dot"/>
            </w:tabs>
            <w:ind w:left="218"/>
          </w:pPr>
          <w:hyperlink w:history="true" w:anchor="_bookmark478">
            <w:r>
              <w:rPr/>
              <w:t>5A.D.2</w:t>
              <w:tab/>
              <w:t>Preliminary</w:t>
            </w:r>
            <w:r>
              <w:rPr>
                <w:spacing w:val="-2"/>
              </w:rPr>
              <w:t> </w:t>
            </w:r>
            <w:r>
              <w:rPr/>
              <w:t>enquiry</w:t>
              <w:tab/>
              <w:t>394</w:t>
            </w:r>
          </w:hyperlink>
        </w:p>
        <w:p>
          <w:pPr>
            <w:pStyle w:val="TOC2"/>
            <w:tabs>
              <w:tab w:pos="1918" w:val="left" w:leader="none"/>
              <w:tab w:pos="8930" w:val="left" w:leader="dot"/>
            </w:tabs>
          </w:pPr>
          <w:hyperlink w:history="true" w:anchor="_bookmark479">
            <w:r>
              <w:rPr/>
              <w:t>Division</w:t>
            </w:r>
            <w:r>
              <w:rPr>
                <w:spacing w:val="-4"/>
              </w:rPr>
              <w:t> </w:t>
            </w:r>
            <w:r>
              <w:rPr/>
              <w:t>3</w:t>
              <w:tab/>
              <w:t>Applications</w:t>
              <w:tab/>
              <w:t>395</w:t>
            </w:r>
          </w:hyperlink>
        </w:p>
        <w:p>
          <w:pPr>
            <w:pStyle w:val="TOC3"/>
            <w:tabs>
              <w:tab w:pos="1919" w:val="left" w:leader="none"/>
              <w:tab w:pos="8930" w:val="left" w:leader="dot"/>
            </w:tabs>
            <w:ind w:left="218"/>
          </w:pPr>
          <w:hyperlink w:history="true" w:anchor="_bookmark480">
            <w:r>
              <w:rPr/>
              <w:t>5A.D.3</w:t>
              <w:tab/>
              <w:t>Application</w:t>
            </w:r>
            <w:r>
              <w:rPr>
                <w:spacing w:val="-2"/>
              </w:rPr>
              <w:t> </w:t>
            </w:r>
            <w:r>
              <w:rPr/>
              <w:t>process</w:t>
              <w:tab/>
              <w:t>395</w:t>
            </w:r>
          </w:hyperlink>
        </w:p>
        <w:p>
          <w:pPr>
            <w:pStyle w:val="TOC3"/>
            <w:tabs>
              <w:tab w:pos="1919" w:val="left" w:leader="none"/>
              <w:tab w:pos="8931" w:val="left" w:leader="dot"/>
            </w:tabs>
            <w:ind w:left="218"/>
          </w:pPr>
          <w:hyperlink w:history="true" w:anchor="_bookmark481">
            <w:r>
              <w:rPr/>
              <w:t>5A.D.4</w:t>
              <w:tab/>
              <w:t>Site</w:t>
            </w:r>
            <w:r>
              <w:rPr>
                <w:spacing w:val="-1"/>
              </w:rPr>
              <w:t> </w:t>
            </w:r>
            <w:r>
              <w:rPr/>
              <w:t>inspection</w:t>
              <w:tab/>
              <w:t>396</w:t>
            </w:r>
          </w:hyperlink>
        </w:p>
        <w:p>
          <w:pPr>
            <w:pStyle w:val="TOC2"/>
            <w:tabs>
              <w:tab w:pos="1919" w:val="left" w:leader="none"/>
              <w:tab w:pos="8930" w:val="left" w:leader="dot"/>
            </w:tabs>
          </w:pPr>
          <w:hyperlink w:history="true" w:anchor="_bookmark482">
            <w:r>
              <w:rPr/>
              <w:t>Part E</w:t>
              <w:tab/>
              <w:t>Connection</w:t>
            </w:r>
            <w:r>
              <w:rPr>
                <w:spacing w:val="-4"/>
              </w:rPr>
              <w:t> </w:t>
            </w:r>
            <w:r>
              <w:rPr/>
              <w:t>charges</w:t>
              <w:tab/>
              <w:t>396</w:t>
            </w:r>
          </w:hyperlink>
        </w:p>
        <w:p>
          <w:pPr>
            <w:pStyle w:val="TOC3"/>
            <w:tabs>
              <w:tab w:pos="1919" w:val="left" w:leader="none"/>
              <w:tab w:pos="8930" w:val="left" w:leader="dot"/>
            </w:tabs>
            <w:ind w:left="218"/>
          </w:pPr>
          <w:hyperlink w:history="true" w:anchor="_bookmark483">
            <w:r>
              <w:rPr/>
              <w:t>5A.E.1</w:t>
              <w:tab/>
              <w:t>Connection</w:t>
            </w:r>
            <w:r>
              <w:rPr>
                <w:spacing w:val="-1"/>
              </w:rPr>
              <w:t> </w:t>
            </w:r>
            <w:r>
              <w:rPr/>
              <w:t>charge</w:t>
            </w:r>
            <w:r>
              <w:rPr>
                <w:spacing w:val="-1"/>
              </w:rPr>
              <w:t> </w:t>
            </w:r>
            <w:r>
              <w:rPr/>
              <w:t>principles</w:t>
              <w:tab/>
              <w:t>396</w:t>
            </w:r>
          </w:hyperlink>
        </w:p>
        <w:p>
          <w:pPr>
            <w:pStyle w:val="TOC3"/>
            <w:tabs>
              <w:tab w:pos="1919" w:val="left" w:leader="none"/>
              <w:tab w:pos="8931" w:val="left" w:leader="dot"/>
            </w:tabs>
            <w:ind w:left="218"/>
          </w:pPr>
          <w:hyperlink w:history="true" w:anchor="_bookmark484">
            <w:r>
              <w:rPr/>
              <w:t>5A.E.2</w:t>
              <w:tab/>
              <w:t>Itemised statement of</w:t>
            </w:r>
            <w:r>
              <w:rPr>
                <w:spacing w:val="-4"/>
              </w:rPr>
              <w:t> </w:t>
            </w:r>
            <w:r>
              <w:rPr/>
              <w:t>connection</w:t>
            </w:r>
            <w:r>
              <w:rPr>
                <w:spacing w:val="-1"/>
              </w:rPr>
              <w:t> </w:t>
            </w:r>
            <w:r>
              <w:rPr/>
              <w:t>charges</w:t>
              <w:tab/>
              <w:t>398</w:t>
            </w:r>
          </w:hyperlink>
        </w:p>
        <w:p>
          <w:pPr>
            <w:pStyle w:val="TOC3"/>
            <w:tabs>
              <w:tab w:pos="1919" w:val="left" w:leader="none"/>
              <w:tab w:pos="8930" w:val="left" w:leader="dot"/>
            </w:tabs>
            <w:ind w:left="218"/>
          </w:pPr>
          <w:hyperlink w:history="true" w:anchor="_bookmark485">
            <w:r>
              <w:rPr/>
              <w:t>5A.E.3</w:t>
              <w:tab/>
              <w:t>Connection</w:t>
            </w:r>
            <w:r>
              <w:rPr>
                <w:spacing w:val="-1"/>
              </w:rPr>
              <w:t> </w:t>
            </w:r>
            <w:r>
              <w:rPr/>
              <w:t>charge</w:t>
            </w:r>
            <w:r>
              <w:rPr>
                <w:spacing w:val="-1"/>
              </w:rPr>
              <w:t> </w:t>
            </w:r>
            <w:r>
              <w:rPr/>
              <w:t>guidelines</w:t>
              <w:tab/>
              <w:t>398</w:t>
            </w:r>
          </w:hyperlink>
        </w:p>
        <w:p>
          <w:pPr>
            <w:pStyle w:val="TOC3"/>
            <w:tabs>
              <w:tab w:pos="1919" w:val="left" w:leader="none"/>
              <w:tab w:pos="8931" w:val="left" w:leader="dot"/>
            </w:tabs>
            <w:ind w:left="218"/>
          </w:pPr>
          <w:hyperlink w:history="true" w:anchor="_bookmark486">
            <w:r>
              <w:rPr/>
              <w:t>5A.E.4</w:t>
              <w:tab/>
              <w:t>Payment of</w:t>
            </w:r>
            <w:r>
              <w:rPr>
                <w:spacing w:val="-2"/>
              </w:rPr>
              <w:t> </w:t>
            </w:r>
            <w:r>
              <w:rPr/>
              <w:t>connection</w:t>
            </w:r>
            <w:r>
              <w:rPr>
                <w:spacing w:val="-1"/>
              </w:rPr>
              <w:t> </w:t>
            </w:r>
            <w:r>
              <w:rPr/>
              <w:t>charges</w:t>
              <w:tab/>
              <w:t>400</w:t>
            </w:r>
          </w:hyperlink>
        </w:p>
        <w:p>
          <w:pPr>
            <w:pStyle w:val="TOC2"/>
            <w:tabs>
              <w:tab w:pos="1919" w:val="left" w:leader="none"/>
              <w:tab w:pos="8932" w:val="left" w:leader="dot"/>
            </w:tabs>
          </w:pPr>
          <w:hyperlink w:history="true" w:anchor="_bookmark487">
            <w:r>
              <w:rPr/>
              <w:t>Part F</w:t>
              <w:tab/>
              <w:t>Formation and integration of</w:t>
            </w:r>
            <w:r>
              <w:rPr>
                <w:spacing w:val="-1"/>
              </w:rPr>
              <w:t> </w:t>
            </w:r>
            <w:r>
              <w:rPr/>
              <w:t>connection contracts</w:t>
              <w:tab/>
              <w:t>401</w:t>
            </w:r>
          </w:hyperlink>
        </w:p>
        <w:p>
          <w:pPr>
            <w:pStyle w:val="TOC2"/>
            <w:tabs>
              <w:tab w:pos="1918" w:val="left" w:leader="none"/>
              <w:tab w:pos="8930" w:val="left" w:leader="dot"/>
            </w:tabs>
          </w:pPr>
          <w:hyperlink w:history="true" w:anchor="_bookmark488">
            <w:r>
              <w:rPr/>
              <w:t>Division</w:t>
            </w:r>
            <w:r>
              <w:rPr>
                <w:spacing w:val="-4"/>
              </w:rPr>
              <w:t> </w:t>
            </w:r>
            <w:r>
              <w:rPr/>
              <w:t>1</w:t>
              <w:tab/>
              <w:t>Offer and acceptance – basic and standard</w:t>
            </w:r>
            <w:r>
              <w:rPr>
                <w:spacing w:val="-7"/>
              </w:rPr>
              <w:t> </w:t>
            </w:r>
            <w:r>
              <w:rPr/>
              <w:t>connection</w:t>
            </w:r>
            <w:r>
              <w:rPr>
                <w:spacing w:val="-1"/>
              </w:rPr>
              <w:t> </w:t>
            </w:r>
            <w:r>
              <w:rPr/>
              <w:t>services</w:t>
              <w:tab/>
              <w:t>401</w:t>
            </w:r>
          </w:hyperlink>
        </w:p>
        <w:p>
          <w:pPr>
            <w:pStyle w:val="TOC3"/>
            <w:tabs>
              <w:tab w:pos="1919" w:val="left" w:leader="none"/>
              <w:tab w:pos="8929" w:val="left" w:leader="dot"/>
            </w:tabs>
            <w:ind w:left="218"/>
          </w:pPr>
          <w:hyperlink w:history="true" w:anchor="_bookmark489">
            <w:r>
              <w:rPr/>
              <w:t>5A.F.1</w:t>
              <w:tab/>
              <w:t>Distribution Network Service Provider's response</w:t>
            </w:r>
            <w:r>
              <w:rPr>
                <w:spacing w:val="-15"/>
              </w:rPr>
              <w:t> </w:t>
            </w:r>
            <w:r>
              <w:rPr/>
              <w:t>to</w:t>
            </w:r>
            <w:r>
              <w:rPr>
                <w:spacing w:val="-3"/>
              </w:rPr>
              <w:t> </w:t>
            </w:r>
            <w:r>
              <w:rPr/>
              <w:t>application</w:t>
              <w:tab/>
              <w:t>401</w:t>
            </w:r>
          </w:hyperlink>
        </w:p>
        <w:p>
          <w:pPr>
            <w:pStyle w:val="TOC3"/>
            <w:tabs>
              <w:tab w:pos="1919" w:val="left" w:leader="none"/>
              <w:tab w:pos="8930" w:val="left" w:leader="dot"/>
            </w:tabs>
            <w:ind w:left="218"/>
          </w:pPr>
          <w:hyperlink w:history="true" w:anchor="_bookmark490">
            <w:r>
              <w:rPr/>
              <w:t>5A.F.2</w:t>
              <w:tab/>
              <w:t>Acceptance of</w:t>
            </w:r>
            <w:r>
              <w:rPr>
                <w:spacing w:val="-2"/>
              </w:rPr>
              <w:t> </w:t>
            </w:r>
            <w:r>
              <w:rPr/>
              <w:t>connection</w:t>
            </w:r>
            <w:r>
              <w:rPr>
                <w:spacing w:val="-1"/>
              </w:rPr>
              <w:t> </w:t>
            </w:r>
            <w:r>
              <w:rPr/>
              <w:t>offer</w:t>
              <w:tab/>
              <w:t>401</w:t>
            </w:r>
          </w:hyperlink>
        </w:p>
        <w:p>
          <w:pPr>
            <w:pStyle w:val="TOC3"/>
            <w:tabs>
              <w:tab w:pos="1919" w:val="left" w:leader="none"/>
              <w:tab w:pos="8931" w:val="left" w:leader="dot"/>
            </w:tabs>
            <w:ind w:left="218"/>
          </w:pPr>
          <w:hyperlink w:history="true" w:anchor="_bookmark491">
            <w:r>
              <w:rPr/>
              <w:t>5A.F.3</w:t>
              <w:tab/>
              <w:t>Offer and acceptance—application for</w:t>
            </w:r>
            <w:r>
              <w:rPr>
                <w:spacing w:val="-6"/>
              </w:rPr>
              <w:t> </w:t>
            </w:r>
            <w:r>
              <w:rPr/>
              <w:t>expedited</w:t>
            </w:r>
            <w:r>
              <w:rPr>
                <w:spacing w:val="-1"/>
              </w:rPr>
              <w:t> </w:t>
            </w:r>
            <w:r>
              <w:rPr/>
              <w:t>connection</w:t>
              <w:tab/>
              <w:t>401</w:t>
            </w:r>
          </w:hyperlink>
        </w:p>
        <w:p>
          <w:pPr>
            <w:pStyle w:val="TOC2"/>
            <w:tabs>
              <w:tab w:pos="1918" w:val="left" w:leader="none"/>
              <w:tab w:pos="8930" w:val="left" w:leader="dot"/>
            </w:tabs>
          </w:pPr>
          <w:hyperlink w:history="true" w:anchor="_bookmark492">
            <w:r>
              <w:rPr/>
              <w:t>Division</w:t>
            </w:r>
            <w:r>
              <w:rPr>
                <w:spacing w:val="-4"/>
              </w:rPr>
              <w:t> </w:t>
            </w:r>
            <w:r>
              <w:rPr/>
              <w:t>2</w:t>
              <w:tab/>
              <w:t>Offer and acceptance –</w:t>
            </w:r>
            <w:r>
              <w:rPr>
                <w:spacing w:val="-5"/>
              </w:rPr>
              <w:t> </w:t>
            </w:r>
            <w:r>
              <w:rPr/>
              <w:t>negotiated</w:t>
            </w:r>
            <w:r>
              <w:rPr>
                <w:spacing w:val="-2"/>
              </w:rPr>
              <w:t> </w:t>
            </w:r>
            <w:r>
              <w:rPr/>
              <w:t>connection</w:t>
              <w:tab/>
              <w:t>402</w:t>
            </w:r>
          </w:hyperlink>
        </w:p>
        <w:p>
          <w:pPr>
            <w:pStyle w:val="TOC3"/>
            <w:tabs>
              <w:tab w:pos="1919" w:val="left" w:leader="none"/>
              <w:tab w:pos="8931" w:val="left" w:leader="dot"/>
            </w:tabs>
            <w:ind w:left="218"/>
          </w:pPr>
          <w:hyperlink w:history="true" w:anchor="_bookmark493">
            <w:r>
              <w:rPr/>
              <w:t>5A.F.4</w:t>
              <w:tab/>
              <w:t>Negotiated</w:t>
            </w:r>
            <w:r>
              <w:rPr>
                <w:spacing w:val="-2"/>
              </w:rPr>
              <w:t> </w:t>
            </w:r>
            <w:r>
              <w:rPr/>
              <w:t>connection</w:t>
            </w:r>
            <w:r>
              <w:rPr>
                <w:spacing w:val="-1"/>
              </w:rPr>
              <w:t> </w:t>
            </w:r>
            <w:r>
              <w:rPr/>
              <w:t>offer</w:t>
              <w:tab/>
              <w:t>402</w:t>
            </w:r>
          </w:hyperlink>
        </w:p>
        <w:p>
          <w:pPr>
            <w:pStyle w:val="TOC2"/>
            <w:tabs>
              <w:tab w:pos="1918" w:val="left" w:leader="none"/>
              <w:tab w:pos="8931" w:val="left" w:leader="dot"/>
            </w:tabs>
          </w:pPr>
          <w:hyperlink w:history="true" w:anchor="_bookmark494">
            <w:r>
              <w:rPr/>
              <w:t>Division</w:t>
            </w:r>
            <w:r>
              <w:rPr>
                <w:spacing w:val="-4"/>
              </w:rPr>
              <w:t> </w:t>
            </w:r>
            <w:r>
              <w:rPr/>
              <w:t>3</w:t>
              <w:tab/>
              <w:t>Formation of contract</w:t>
              <w:tab/>
              <w:t>402</w:t>
            </w:r>
          </w:hyperlink>
        </w:p>
        <w:p>
          <w:pPr>
            <w:pStyle w:val="TOC3"/>
            <w:tabs>
              <w:tab w:pos="1919" w:val="left" w:leader="none"/>
              <w:tab w:pos="8930" w:val="left" w:leader="dot"/>
            </w:tabs>
            <w:ind w:left="218"/>
          </w:pPr>
          <w:hyperlink w:history="true" w:anchor="_bookmark495">
            <w:r>
              <w:rPr/>
              <w:t>5A.F.5</w:t>
              <w:tab/>
              <w:t>Acceptance of</w:t>
            </w:r>
            <w:r>
              <w:rPr>
                <w:spacing w:val="-2"/>
              </w:rPr>
              <w:t> </w:t>
            </w:r>
            <w:r>
              <w:rPr/>
              <w:t>connection</w:t>
            </w:r>
            <w:r>
              <w:rPr>
                <w:spacing w:val="-1"/>
              </w:rPr>
              <w:t> </w:t>
            </w:r>
            <w:r>
              <w:rPr/>
              <w:t>offer</w:t>
              <w:tab/>
              <w:t>403</w:t>
            </w:r>
          </w:hyperlink>
        </w:p>
        <w:p>
          <w:pPr>
            <w:pStyle w:val="TOC2"/>
            <w:tabs>
              <w:tab w:pos="1918" w:val="left" w:leader="none"/>
              <w:tab w:pos="8929" w:val="left" w:leader="dot"/>
            </w:tabs>
            <w:spacing w:after="199"/>
          </w:pPr>
          <w:hyperlink w:history="true" w:anchor="_bookmark496">
            <w:r>
              <w:rPr/>
              <w:t>Division</w:t>
            </w:r>
            <w:r>
              <w:rPr>
                <w:spacing w:val="-4"/>
              </w:rPr>
              <w:t> </w:t>
            </w:r>
            <w:r>
              <w:rPr/>
              <w:t>4</w:t>
              <w:tab/>
              <w:t>Contractual performance</w:t>
              <w:tab/>
              <w:t>403</w:t>
            </w:r>
          </w:hyperlink>
        </w:p>
        <w:p>
          <w:pPr>
            <w:pStyle w:val="TOC3"/>
            <w:tabs>
              <w:tab w:pos="1919" w:val="left" w:leader="none"/>
              <w:tab w:pos="8931" w:val="left" w:leader="dot"/>
            </w:tabs>
            <w:spacing w:before="83"/>
            <w:ind w:left="218"/>
          </w:pPr>
          <w:hyperlink w:history="true" w:anchor="_bookmark497">
            <w:r>
              <w:rPr/>
              <w:t>5A.F.6</w:t>
              <w:tab/>
              <w:t>Carrying out</w:t>
            </w:r>
            <w:r>
              <w:rPr>
                <w:spacing w:val="-3"/>
              </w:rPr>
              <w:t> </w:t>
            </w:r>
            <w:r>
              <w:rPr/>
              <w:t>connection</w:t>
            </w:r>
            <w:r>
              <w:rPr>
                <w:spacing w:val="-1"/>
              </w:rPr>
              <w:t> </w:t>
            </w:r>
            <w:r>
              <w:rPr/>
              <w:t>work</w:t>
              <w:tab/>
              <w:t>403</w:t>
            </w:r>
          </w:hyperlink>
        </w:p>
        <w:p>
          <w:pPr>
            <w:pStyle w:val="TOC3"/>
            <w:tabs>
              <w:tab w:pos="1919" w:val="left" w:leader="none"/>
              <w:tab w:pos="8931" w:val="left" w:leader="dot"/>
            </w:tabs>
            <w:ind w:left="218"/>
          </w:pPr>
          <w:hyperlink w:history="true" w:anchor="_bookmark498">
            <w:r>
              <w:rPr/>
              <w:t>5A.F.7</w:t>
              <w:tab/>
              <w:t>Retailer required for energisation where</w:t>
            </w:r>
            <w:r>
              <w:rPr>
                <w:spacing w:val="-7"/>
              </w:rPr>
              <w:t> </w:t>
            </w:r>
            <w:r>
              <w:rPr/>
              <w:t>new</w:t>
            </w:r>
            <w:r>
              <w:rPr>
                <w:spacing w:val="-1"/>
              </w:rPr>
              <w:t> </w:t>
            </w:r>
            <w:r>
              <w:rPr/>
              <w:t>connection</w:t>
              <w:tab/>
              <w:t>403</w:t>
            </w:r>
          </w:hyperlink>
        </w:p>
        <w:p>
          <w:pPr>
            <w:pStyle w:val="TOC2"/>
            <w:tabs>
              <w:tab w:pos="1919" w:val="left" w:leader="none"/>
              <w:tab w:pos="8931" w:val="left" w:leader="dot"/>
            </w:tabs>
            <w:ind w:left="1919" w:right="413" w:hanging="1701"/>
          </w:pPr>
          <w:hyperlink w:history="true" w:anchor="_bookmark499">
            <w:r>
              <w:rPr/>
              <w:t>Part G</w:t>
              <w:tab/>
              <w:t>Dispute  resolution  between   Distribution   Network   Service</w:t>
            </w:r>
          </w:hyperlink>
          <w:r>
            <w:rPr/>
            <w:t> </w:t>
          </w:r>
          <w:hyperlink w:history="true" w:anchor="_bookmark499">
            <w:r>
              <w:rPr/>
              <w:t>Providers</w:t>
            </w:r>
            <w:r>
              <w:rPr>
                <w:spacing w:val="-2"/>
              </w:rPr>
              <w:t> </w:t>
            </w:r>
            <w:r>
              <w:rPr/>
              <w:t>and</w:t>
            </w:r>
            <w:r>
              <w:rPr>
                <w:spacing w:val="-1"/>
              </w:rPr>
              <w:t> </w:t>
            </w:r>
            <w:r>
              <w:rPr/>
              <w:t>customers</w:t>
              <w:tab/>
            </w:r>
            <w:r>
              <w:rPr>
                <w:spacing w:val="-6"/>
              </w:rPr>
              <w:t>403</w:t>
            </w:r>
          </w:hyperlink>
        </w:p>
        <w:p>
          <w:pPr>
            <w:pStyle w:val="TOC3"/>
            <w:tabs>
              <w:tab w:pos="1919" w:val="left" w:leader="none"/>
              <w:tab w:pos="8931" w:val="left" w:leader="dot"/>
            </w:tabs>
            <w:ind w:left="218"/>
          </w:pPr>
          <w:hyperlink w:history="true" w:anchor="_bookmark500">
            <w:r>
              <w:rPr/>
              <w:t>5A.G.1</w:t>
              <w:tab/>
              <w:t>Relevant</w:t>
            </w:r>
            <w:r>
              <w:rPr>
                <w:spacing w:val="-1"/>
              </w:rPr>
              <w:t> </w:t>
            </w:r>
            <w:r>
              <w:rPr/>
              <w:t>disputes</w:t>
              <w:tab/>
              <w:t>403</w:t>
            </w:r>
          </w:hyperlink>
        </w:p>
        <w:p>
          <w:pPr>
            <w:pStyle w:val="TOC3"/>
            <w:tabs>
              <w:tab w:pos="1919" w:val="left" w:leader="none"/>
              <w:tab w:pos="8930" w:val="left" w:leader="dot"/>
            </w:tabs>
            <w:ind w:left="218"/>
          </w:pPr>
          <w:hyperlink w:history="true" w:anchor="_bookmark501">
            <w:r>
              <w:rPr/>
              <w:t>5A.G.2</w:t>
              <w:tab/>
              <w:t>Determination</w:t>
            </w:r>
            <w:r>
              <w:rPr>
                <w:spacing w:val="-1"/>
              </w:rPr>
              <w:t> </w:t>
            </w:r>
            <w:r>
              <w:rPr/>
              <w:t>of</w:t>
            </w:r>
            <w:r>
              <w:rPr>
                <w:spacing w:val="-1"/>
              </w:rPr>
              <w:t> </w:t>
            </w:r>
            <w:r>
              <w:rPr/>
              <w:t>dispute</w:t>
              <w:tab/>
              <w:t>404</w:t>
            </w:r>
          </w:hyperlink>
        </w:p>
        <w:p>
          <w:pPr>
            <w:pStyle w:val="TOC3"/>
            <w:tabs>
              <w:tab w:pos="1919" w:val="left" w:leader="none"/>
              <w:tab w:pos="8930" w:val="left" w:leader="dot"/>
            </w:tabs>
            <w:ind w:left="218"/>
          </w:pPr>
          <w:hyperlink w:history="true" w:anchor="_bookmark502">
            <w:r>
              <w:rPr/>
              <w:t>5A.G.3</w:t>
              <w:tab/>
              <w:t>Termination</w:t>
            </w:r>
            <w:r>
              <w:rPr>
                <w:spacing w:val="-1"/>
              </w:rPr>
              <w:t> </w:t>
            </w:r>
            <w:r>
              <w:rPr/>
              <w:t>of proceedings</w:t>
              <w:tab/>
              <w:t>404</w:t>
            </w:r>
          </w:hyperlink>
        </w:p>
        <w:p>
          <w:pPr>
            <w:pStyle w:val="TOC2"/>
            <w:tabs>
              <w:tab w:pos="8931" w:val="left" w:leader="dot"/>
            </w:tabs>
          </w:pPr>
          <w:hyperlink w:history="true" w:anchor="_bookmark503">
            <w:r>
              <w:rPr/>
              <w:t>SCHEDULE 5A.1 – Minimum content requirements for</w:t>
            </w:r>
            <w:r>
              <w:rPr>
                <w:spacing w:val="-12"/>
              </w:rPr>
              <w:t> </w:t>
            </w:r>
            <w:r>
              <w:rPr/>
              <w:t>connection</w:t>
            </w:r>
            <w:r>
              <w:rPr>
                <w:spacing w:val="-2"/>
              </w:rPr>
              <w:t> </w:t>
            </w:r>
            <w:r>
              <w:rPr/>
              <w:t>contract</w:t>
              <w:tab/>
              <w:t>405</w:t>
            </w:r>
          </w:hyperlink>
        </w:p>
        <w:p>
          <w:pPr>
            <w:pStyle w:val="TOC2"/>
            <w:tabs>
              <w:tab w:pos="1919" w:val="left" w:leader="none"/>
              <w:tab w:pos="8930" w:val="left" w:leader="dot"/>
            </w:tabs>
          </w:pPr>
          <w:hyperlink w:history="true" w:anchor="_bookmark504">
            <w:r>
              <w:rPr/>
              <w:t>Part A</w:t>
              <w:tab/>
              <w:t>Connection offer not involving</w:t>
            </w:r>
            <w:r>
              <w:rPr>
                <w:spacing w:val="-10"/>
              </w:rPr>
              <w:t> </w:t>
            </w:r>
            <w:r>
              <w:rPr/>
              <w:t>embedded</w:t>
            </w:r>
            <w:r>
              <w:rPr>
                <w:spacing w:val="-2"/>
              </w:rPr>
              <w:t> </w:t>
            </w:r>
            <w:r>
              <w:rPr/>
              <w:t>generation</w:t>
              <w:tab/>
              <w:t>405</w:t>
            </w:r>
          </w:hyperlink>
        </w:p>
        <w:p>
          <w:pPr>
            <w:pStyle w:val="TOC2"/>
            <w:tabs>
              <w:tab w:pos="1919" w:val="left" w:leader="none"/>
              <w:tab w:pos="8931" w:val="left" w:leader="dot"/>
            </w:tabs>
          </w:pPr>
          <w:hyperlink w:history="true" w:anchor="_bookmark505">
            <w:r>
              <w:rPr/>
              <w:t>Part B</w:t>
              <w:tab/>
              <w:t>Connection offer involving</w:t>
            </w:r>
            <w:r>
              <w:rPr>
                <w:spacing w:val="-7"/>
              </w:rPr>
              <w:t> </w:t>
            </w:r>
            <w:r>
              <w:rPr/>
              <w:t>embedded</w:t>
            </w:r>
            <w:r>
              <w:rPr>
                <w:spacing w:val="-1"/>
              </w:rPr>
              <w:t> </w:t>
            </w:r>
            <w:r>
              <w:rPr/>
              <w:t>generation</w:t>
              <w:tab/>
              <w:t>406</w:t>
            </w:r>
          </w:hyperlink>
        </w:p>
        <w:p>
          <w:pPr>
            <w:pStyle w:val="TOC1"/>
            <w:numPr>
              <w:ilvl w:val="0"/>
              <w:numId w:val="2"/>
            </w:numPr>
            <w:tabs>
              <w:tab w:pos="1918" w:val="left" w:leader="none"/>
              <w:tab w:pos="1919" w:val="left" w:leader="none"/>
              <w:tab w:pos="8868" w:val="left" w:leader="dot"/>
            </w:tabs>
            <w:spacing w:line="240" w:lineRule="auto" w:before="360" w:after="0"/>
            <w:ind w:left="1919" w:right="0" w:hanging="1701"/>
            <w:jc w:val="left"/>
          </w:pPr>
          <w:hyperlink w:history="true" w:anchor="_bookmark506">
            <w:r>
              <w:rPr/>
              <w:t>Economic Regulation of</w:t>
            </w:r>
            <w:r>
              <w:rPr>
                <w:spacing w:val="-14"/>
              </w:rPr>
              <w:t> </w:t>
            </w:r>
            <w:r>
              <w:rPr/>
              <w:t>Distribution</w:t>
            </w:r>
            <w:r>
              <w:rPr>
                <w:spacing w:val="-5"/>
              </w:rPr>
              <w:t> </w:t>
            </w:r>
            <w:r>
              <w:rPr/>
              <w:t>Services</w:t>
              <w:tab/>
              <w:t>411</w:t>
            </w:r>
          </w:hyperlink>
        </w:p>
        <w:p>
          <w:pPr>
            <w:pStyle w:val="TOC2"/>
            <w:tabs>
              <w:tab w:pos="1919" w:val="left" w:leader="none"/>
              <w:tab w:pos="8930" w:val="left" w:leader="dot"/>
            </w:tabs>
          </w:pPr>
          <w:hyperlink w:history="true" w:anchor="_bookmark507">
            <w:r>
              <w:rPr/>
              <w:t>Part A</w:t>
              <w:tab/>
              <w:t>Introduction</w:t>
              <w:tab/>
              <w:t>411</w:t>
            </w:r>
          </w:hyperlink>
        </w:p>
        <w:p>
          <w:pPr>
            <w:pStyle w:val="TOC2"/>
            <w:tabs>
              <w:tab w:pos="1919" w:val="left" w:leader="none"/>
              <w:tab w:pos="8930" w:val="left" w:leader="dot"/>
            </w:tabs>
          </w:pPr>
          <w:hyperlink w:history="true" w:anchor="_bookmark508">
            <w:r>
              <w:rPr/>
              <w:t>6.0</w:t>
              <w:tab/>
              <w:t>Operation of Chapter 6 in</w:t>
            </w:r>
            <w:r>
              <w:rPr>
                <w:spacing w:val="-12"/>
              </w:rPr>
              <w:t> </w:t>
            </w:r>
            <w:r>
              <w:rPr/>
              <w:t>this</w:t>
            </w:r>
            <w:r>
              <w:rPr>
                <w:spacing w:val="-2"/>
              </w:rPr>
              <w:t> </w:t>
            </w:r>
            <w:r>
              <w:rPr/>
              <w:t>jurisdiction</w:t>
              <w:tab/>
              <w:t>411</w:t>
            </w:r>
          </w:hyperlink>
        </w:p>
        <w:p>
          <w:pPr>
            <w:pStyle w:val="TOC2"/>
            <w:numPr>
              <w:ilvl w:val="1"/>
              <w:numId w:val="20"/>
            </w:numPr>
            <w:tabs>
              <w:tab w:pos="519" w:val="left" w:leader="none"/>
              <w:tab w:pos="1919" w:val="left" w:leader="none"/>
              <w:tab w:pos="8930" w:val="left" w:leader="dot"/>
            </w:tabs>
            <w:spacing w:line="240" w:lineRule="auto" w:before="120" w:after="0"/>
            <w:ind w:left="519" w:right="0" w:hanging="301"/>
            <w:jc w:val="left"/>
          </w:pPr>
          <w:hyperlink w:history="true" w:anchor="_bookmark509">
            <w:r>
              <w:rPr/>
              <w:t>A</w:t>
              <w:tab/>
              <w:t>Interpretation</w:t>
              <w:tab/>
              <w:t>411</w:t>
            </w:r>
          </w:hyperlink>
        </w:p>
        <w:p>
          <w:pPr>
            <w:pStyle w:val="TOC2"/>
            <w:numPr>
              <w:ilvl w:val="1"/>
              <w:numId w:val="20"/>
            </w:numPr>
            <w:tabs>
              <w:tab w:pos="1919" w:val="left" w:leader="none"/>
              <w:tab w:pos="1920" w:val="left" w:leader="none"/>
              <w:tab w:pos="8929" w:val="left" w:leader="dot"/>
            </w:tabs>
            <w:spacing w:line="240" w:lineRule="auto" w:before="120" w:after="0"/>
            <w:ind w:left="1919" w:right="0" w:hanging="1702"/>
            <w:jc w:val="left"/>
          </w:pPr>
          <w:hyperlink w:history="true" w:anchor="_bookmark510">
            <w:r>
              <w:rPr/>
              <w:t>Introduction to</w:t>
            </w:r>
            <w:r>
              <w:rPr>
                <w:spacing w:val="-8"/>
              </w:rPr>
              <w:t> </w:t>
            </w:r>
            <w:r>
              <w:rPr/>
              <w:t>Chapter</w:t>
            </w:r>
            <w:r>
              <w:rPr>
                <w:spacing w:val="-4"/>
              </w:rPr>
              <w:t> </w:t>
            </w:r>
            <w:r>
              <w:rPr/>
              <w:t>6</w:t>
              <w:tab/>
              <w:t>412</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11">
            <w:r>
              <w:rPr/>
              <w:t>AER's</w:t>
            </w:r>
            <w:r>
              <w:rPr>
                <w:spacing w:val="-3"/>
              </w:rPr>
              <w:t> </w:t>
            </w:r>
            <w:r>
              <w:rPr/>
              <w:t>regulatory</w:t>
            </w:r>
            <w:r>
              <w:rPr>
                <w:spacing w:val="-1"/>
              </w:rPr>
              <w:t> </w:t>
            </w:r>
            <w:r>
              <w:rPr/>
              <w:t>responsibility</w:t>
              <w:tab/>
              <w:t>412</w:t>
            </w:r>
          </w:hyperlink>
        </w:p>
        <w:p>
          <w:pPr>
            <w:pStyle w:val="TOC3"/>
            <w:numPr>
              <w:ilvl w:val="2"/>
              <w:numId w:val="21"/>
            </w:numPr>
            <w:tabs>
              <w:tab w:pos="699" w:val="left" w:leader="none"/>
              <w:tab w:pos="1919" w:val="left" w:leader="none"/>
              <w:tab w:pos="8930" w:val="left" w:leader="dot"/>
            </w:tabs>
            <w:spacing w:line="240" w:lineRule="auto" w:before="0" w:after="0"/>
            <w:ind w:left="699" w:right="0" w:hanging="481"/>
            <w:jc w:val="left"/>
          </w:pPr>
          <w:hyperlink w:history="true" w:anchor="_bookmark512">
            <w:r>
              <w:rPr/>
              <w:t>A</w:t>
              <w:tab/>
              <w:t>[Deleted]</w:t>
              <w:tab/>
              <w:t>412</w:t>
            </w:r>
          </w:hyperlink>
        </w:p>
        <w:p>
          <w:pPr>
            <w:pStyle w:val="TOC3"/>
            <w:numPr>
              <w:ilvl w:val="2"/>
              <w:numId w:val="21"/>
            </w:numPr>
            <w:tabs>
              <w:tab w:pos="1919" w:val="left" w:leader="none"/>
              <w:tab w:pos="1920" w:val="left" w:leader="none"/>
              <w:tab w:pos="8930" w:val="left" w:leader="dot"/>
            </w:tabs>
            <w:spacing w:line="240" w:lineRule="auto" w:before="0" w:after="0"/>
            <w:ind w:left="1919" w:right="0" w:hanging="1702"/>
            <w:jc w:val="left"/>
          </w:pPr>
          <w:hyperlink w:history="true" w:anchor="_bookmark513">
            <w:r>
              <w:rPr/>
              <w:t>Structure of</w:t>
            </w:r>
            <w:r>
              <w:rPr>
                <w:spacing w:val="-2"/>
              </w:rPr>
              <w:t> </w:t>
            </w:r>
            <w:r>
              <w:rPr/>
              <w:t>this Chapter</w:t>
              <w:tab/>
              <w:t>412</w:t>
            </w:r>
          </w:hyperlink>
        </w:p>
        <w:p>
          <w:pPr>
            <w:pStyle w:val="TOC3"/>
            <w:numPr>
              <w:ilvl w:val="2"/>
              <w:numId w:val="21"/>
            </w:numPr>
            <w:tabs>
              <w:tab w:pos="1919" w:val="left" w:leader="none"/>
              <w:tab w:pos="1920" w:val="left" w:leader="none"/>
            </w:tabs>
            <w:spacing w:line="240" w:lineRule="auto" w:before="0" w:after="0"/>
            <w:ind w:left="1919" w:right="0" w:hanging="1702"/>
            <w:jc w:val="left"/>
          </w:pPr>
          <w:hyperlink w:history="true" w:anchor="_bookmark514">
            <w:r>
              <w:rPr/>
              <w:t>Access to direct control services and negotiated</w:t>
            </w:r>
            <w:r>
              <w:rPr>
                <w:spacing w:val="50"/>
              </w:rPr>
              <w:t> </w:t>
            </w:r>
            <w:r>
              <w:rPr/>
              <w:t>distribution</w:t>
            </w:r>
          </w:hyperlink>
        </w:p>
        <w:p>
          <w:pPr>
            <w:pStyle w:val="TOC5"/>
            <w:tabs>
              <w:tab w:pos="8930" w:val="left" w:leader="dot"/>
            </w:tabs>
          </w:pPr>
          <w:hyperlink w:history="true" w:anchor="_bookmark514">
            <w:r>
              <w:rPr/>
              <w:t>services</w:t>
              <w:tab/>
              <w:t>413</w:t>
            </w:r>
          </w:hyperlink>
        </w:p>
        <w:p>
          <w:pPr>
            <w:pStyle w:val="TOC3"/>
            <w:numPr>
              <w:ilvl w:val="2"/>
              <w:numId w:val="21"/>
            </w:numPr>
            <w:tabs>
              <w:tab w:pos="1919" w:val="left" w:leader="none"/>
              <w:tab w:pos="1920" w:val="left" w:leader="none"/>
              <w:tab w:pos="8931" w:val="left" w:leader="dot"/>
            </w:tabs>
            <w:spacing w:line="240" w:lineRule="auto" w:before="0" w:after="0"/>
            <w:ind w:left="1919" w:right="0" w:hanging="1702"/>
            <w:jc w:val="left"/>
          </w:pPr>
          <w:hyperlink w:history="true" w:anchor="_bookmark515">
            <w:r>
              <w:rPr/>
              <w:t>Prohibition of DUOS charges for the export</w:t>
            </w:r>
            <w:r>
              <w:rPr>
                <w:spacing w:val="-8"/>
              </w:rPr>
              <w:t> </w:t>
            </w:r>
            <w:r>
              <w:rPr/>
              <w:t>of energy</w:t>
              <w:tab/>
              <w:t>414</w:t>
            </w:r>
          </w:hyperlink>
        </w:p>
        <w:p>
          <w:pPr>
            <w:pStyle w:val="TOC2"/>
            <w:tabs>
              <w:tab w:pos="1919" w:val="left" w:leader="none"/>
              <w:tab w:pos="8930" w:val="left" w:leader="dot"/>
            </w:tabs>
            <w:ind w:left="1919" w:right="414" w:hanging="1701"/>
          </w:pPr>
          <w:hyperlink w:history="true" w:anchor="_bookmark516">
            <w:r>
              <w:rPr/>
              <w:t>Part B</w:t>
              <w:tab/>
              <w:t>Classification of Distribution Services  and  Distribution</w:t>
            </w:r>
          </w:hyperlink>
          <w:r>
            <w:rPr/>
            <w:t> </w:t>
          </w:r>
          <w:hyperlink w:history="true" w:anchor="_bookmark516">
            <w:r>
              <w:rPr/>
              <w:t>Determinations</w:t>
              <w:tab/>
            </w:r>
            <w:r>
              <w:rPr>
                <w:spacing w:val="-6"/>
              </w:rPr>
              <w:t>414</w:t>
            </w:r>
          </w:hyperlink>
        </w:p>
        <w:p>
          <w:pPr>
            <w:pStyle w:val="TOC2"/>
            <w:numPr>
              <w:ilvl w:val="1"/>
              <w:numId w:val="20"/>
            </w:numPr>
            <w:tabs>
              <w:tab w:pos="1919" w:val="left" w:leader="none"/>
              <w:tab w:pos="1920" w:val="left" w:leader="none"/>
              <w:tab w:pos="8930" w:val="left" w:leader="dot"/>
            </w:tabs>
            <w:spacing w:line="240" w:lineRule="auto" w:before="120" w:after="0"/>
            <w:ind w:left="1919" w:right="0" w:hanging="1702"/>
            <w:jc w:val="left"/>
          </w:pPr>
          <w:hyperlink w:history="true" w:anchor="_bookmark517">
            <w:r>
              <w:rPr/>
              <w:t>Classification</w:t>
              <w:tab/>
              <w:t>414</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18">
            <w:r>
              <w:rPr/>
              <w:t>Classification of</w:t>
            </w:r>
            <w:r>
              <w:rPr>
                <w:spacing w:val="-7"/>
              </w:rPr>
              <w:t> </w:t>
            </w:r>
            <w:r>
              <w:rPr/>
              <w:t>distribution</w:t>
            </w:r>
            <w:r>
              <w:rPr>
                <w:spacing w:val="-5"/>
              </w:rPr>
              <w:t> </w:t>
            </w:r>
            <w:r>
              <w:rPr/>
              <w:t>services</w:t>
              <w:tab/>
              <w:t>414</w:t>
            </w:r>
          </w:hyperlink>
        </w:p>
        <w:p>
          <w:pPr>
            <w:pStyle w:val="TOC3"/>
            <w:numPr>
              <w:ilvl w:val="2"/>
              <w:numId w:val="20"/>
            </w:numPr>
            <w:tabs>
              <w:tab w:pos="1919" w:val="left" w:leader="none"/>
              <w:tab w:pos="1920" w:val="left" w:leader="none"/>
            </w:tabs>
            <w:spacing w:line="240" w:lineRule="auto" w:before="0" w:after="0"/>
            <w:ind w:left="1919" w:right="0" w:hanging="1702"/>
            <w:jc w:val="left"/>
          </w:pPr>
          <w:hyperlink w:history="true" w:anchor="_bookmark519">
            <w:r>
              <w:rPr/>
              <w:t>Classification of direct control services as standard control</w:t>
            </w:r>
            <w:r>
              <w:rPr>
                <w:spacing w:val="42"/>
              </w:rPr>
              <w:t> </w:t>
            </w:r>
            <w:r>
              <w:rPr/>
              <w:t>services</w:t>
            </w:r>
          </w:hyperlink>
        </w:p>
        <w:p>
          <w:pPr>
            <w:pStyle w:val="TOC5"/>
            <w:tabs>
              <w:tab w:pos="8930" w:val="left" w:leader="dot"/>
            </w:tabs>
          </w:pPr>
          <w:hyperlink w:history="true" w:anchor="_bookmark519">
            <w:r>
              <w:rPr/>
              <w:t>or alternative</w:t>
            </w:r>
            <w:r>
              <w:rPr>
                <w:spacing w:val="-4"/>
              </w:rPr>
              <w:t> </w:t>
            </w:r>
            <w:r>
              <w:rPr/>
              <w:t>control</w:t>
            </w:r>
            <w:r>
              <w:rPr>
                <w:spacing w:val="-2"/>
              </w:rPr>
              <w:t> </w:t>
            </w:r>
            <w:r>
              <w:rPr/>
              <w:t>services</w:t>
              <w:tab/>
              <w:t>414</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20">
            <w:r>
              <w:rPr/>
              <w:t>Term for which</w:t>
            </w:r>
            <w:r>
              <w:rPr>
                <w:spacing w:val="-7"/>
              </w:rPr>
              <w:t> </w:t>
            </w:r>
            <w:r>
              <w:rPr/>
              <w:t>classification</w:t>
            </w:r>
            <w:r>
              <w:rPr>
                <w:spacing w:val="-1"/>
              </w:rPr>
              <w:t> </w:t>
            </w:r>
            <w:r>
              <w:rPr/>
              <w:t>operates</w:t>
              <w:tab/>
              <w:t>415</w:t>
            </w:r>
          </w:hyperlink>
        </w:p>
        <w:p>
          <w:pPr>
            <w:pStyle w:val="TOC3"/>
            <w:numPr>
              <w:ilvl w:val="2"/>
              <w:numId w:val="22"/>
            </w:numPr>
            <w:tabs>
              <w:tab w:pos="699" w:val="left" w:leader="none"/>
              <w:tab w:pos="1919" w:val="left" w:leader="none"/>
              <w:tab w:pos="8929" w:val="left" w:leader="dot"/>
            </w:tabs>
            <w:spacing w:line="240" w:lineRule="auto" w:before="0" w:after="0"/>
            <w:ind w:left="699" w:right="0" w:hanging="481"/>
            <w:jc w:val="left"/>
          </w:pPr>
          <w:hyperlink w:history="true" w:anchor="_bookmark521">
            <w:r>
              <w:rPr/>
              <w:t>A</w:t>
              <w:tab/>
              <w:t>Distribution Service</w:t>
            </w:r>
            <w:r>
              <w:rPr>
                <w:spacing w:val="-6"/>
              </w:rPr>
              <w:t> </w:t>
            </w:r>
            <w:r>
              <w:rPr/>
              <w:t>Classification</w:t>
            </w:r>
            <w:r>
              <w:rPr>
                <w:spacing w:val="-3"/>
              </w:rPr>
              <w:t> </w:t>
            </w:r>
            <w:r>
              <w:rPr/>
              <w:t>Guidelines</w:t>
              <w:tab/>
              <w:t>415</w:t>
            </w:r>
          </w:hyperlink>
        </w:p>
        <w:p>
          <w:pPr>
            <w:pStyle w:val="TOC3"/>
            <w:numPr>
              <w:ilvl w:val="2"/>
              <w:numId w:val="22"/>
            </w:numPr>
            <w:tabs>
              <w:tab w:pos="1919" w:val="left" w:leader="none"/>
              <w:tab w:pos="1920" w:val="left" w:leader="none"/>
              <w:tab w:pos="8930" w:val="left" w:leader="dot"/>
            </w:tabs>
            <w:spacing w:line="240" w:lineRule="auto" w:before="0" w:after="0"/>
            <w:ind w:left="1919" w:right="0" w:hanging="1702"/>
            <w:jc w:val="left"/>
          </w:pPr>
          <w:hyperlink w:history="true" w:anchor="_bookmark522">
            <w:r>
              <w:rPr/>
              <w:t>Duty of AER to make</w:t>
            </w:r>
            <w:r>
              <w:rPr>
                <w:spacing w:val="-6"/>
              </w:rPr>
              <w:t> </w:t>
            </w:r>
            <w:r>
              <w:rPr/>
              <w:t>distribution</w:t>
            </w:r>
            <w:r>
              <w:rPr>
                <w:spacing w:val="-1"/>
              </w:rPr>
              <w:t> </w:t>
            </w:r>
            <w:r>
              <w:rPr/>
              <w:t>determinations</w:t>
              <w:tab/>
              <w:t>416</w:t>
            </w:r>
          </w:hyperlink>
        </w:p>
        <w:p>
          <w:pPr>
            <w:pStyle w:val="TOC3"/>
            <w:numPr>
              <w:ilvl w:val="2"/>
              <w:numId w:val="22"/>
            </w:numPr>
            <w:tabs>
              <w:tab w:pos="1919" w:val="left" w:leader="none"/>
              <w:tab w:pos="1920" w:val="left" w:leader="none"/>
              <w:tab w:pos="8930" w:val="left" w:leader="dot"/>
            </w:tabs>
            <w:spacing w:line="240" w:lineRule="auto" w:before="0" w:after="0"/>
            <w:ind w:left="1919" w:right="0" w:hanging="1702"/>
            <w:jc w:val="left"/>
          </w:pPr>
          <w:hyperlink w:history="true" w:anchor="_bookmark523">
            <w:r>
              <w:rPr/>
              <w:t>Control mechanisms for direct</w:t>
            </w:r>
            <w:r>
              <w:rPr>
                <w:spacing w:val="-9"/>
              </w:rPr>
              <w:t> </w:t>
            </w:r>
            <w:r>
              <w:rPr/>
              <w:t>control</w:t>
            </w:r>
            <w:r>
              <w:rPr>
                <w:spacing w:val="-2"/>
              </w:rPr>
              <w:t> </w:t>
            </w:r>
            <w:r>
              <w:rPr/>
              <w:t>services</w:t>
              <w:tab/>
              <w:t>416</w:t>
            </w:r>
          </w:hyperlink>
        </w:p>
        <w:p>
          <w:pPr>
            <w:pStyle w:val="TOC3"/>
            <w:numPr>
              <w:ilvl w:val="2"/>
              <w:numId w:val="22"/>
            </w:numPr>
            <w:tabs>
              <w:tab w:pos="1919" w:val="left" w:leader="none"/>
              <w:tab w:pos="1920" w:val="left" w:leader="none"/>
              <w:tab w:pos="8930" w:val="left" w:leader="dot"/>
            </w:tabs>
            <w:spacing w:line="240" w:lineRule="auto" w:before="0" w:after="0"/>
            <w:ind w:left="1919" w:right="0" w:hanging="1702"/>
            <w:jc w:val="left"/>
          </w:pPr>
          <w:hyperlink w:history="true" w:anchor="_bookmark524">
            <w:r>
              <w:rPr/>
              <w:t>Basis of control mechanisms for direct</w:t>
            </w:r>
            <w:r>
              <w:rPr>
                <w:spacing w:val="-9"/>
              </w:rPr>
              <w:t> </w:t>
            </w:r>
            <w:r>
              <w:rPr/>
              <w:t>control</w:t>
            </w:r>
            <w:r>
              <w:rPr>
                <w:spacing w:val="-1"/>
              </w:rPr>
              <w:t> </w:t>
            </w:r>
            <w:r>
              <w:rPr/>
              <w:t>services</w:t>
              <w:tab/>
              <w:t>418</w:t>
            </w:r>
          </w:hyperlink>
        </w:p>
        <w:p>
          <w:pPr>
            <w:pStyle w:val="TOC3"/>
            <w:numPr>
              <w:ilvl w:val="2"/>
              <w:numId w:val="22"/>
            </w:numPr>
            <w:tabs>
              <w:tab w:pos="1919" w:val="left" w:leader="none"/>
              <w:tab w:pos="1920" w:val="left" w:leader="none"/>
              <w:tab w:pos="8930" w:val="left" w:leader="dot"/>
            </w:tabs>
            <w:spacing w:line="240" w:lineRule="auto" w:before="0" w:after="0"/>
            <w:ind w:left="1919" w:right="0" w:hanging="1702"/>
            <w:jc w:val="left"/>
          </w:pPr>
          <w:hyperlink w:history="true" w:anchor="_bookmark525">
            <w:r>
              <w:rPr/>
              <w:t>Negotiated</w:t>
            </w:r>
            <w:r>
              <w:rPr>
                <w:spacing w:val="-4"/>
              </w:rPr>
              <w:t> </w:t>
            </w:r>
            <w:r>
              <w:rPr/>
              <w:t>distribution</w:t>
            </w:r>
            <w:r>
              <w:rPr>
                <w:spacing w:val="-3"/>
              </w:rPr>
              <w:t> </w:t>
            </w:r>
            <w:r>
              <w:rPr/>
              <w:t>services</w:t>
              <w:tab/>
              <w:t>418</w:t>
            </w:r>
          </w:hyperlink>
        </w:p>
        <w:p>
          <w:pPr>
            <w:pStyle w:val="TOC3"/>
            <w:numPr>
              <w:ilvl w:val="2"/>
              <w:numId w:val="22"/>
            </w:numPr>
            <w:tabs>
              <w:tab w:pos="1919" w:val="left" w:leader="none"/>
              <w:tab w:pos="1920" w:val="left" w:leader="none"/>
              <w:tab w:pos="8930" w:val="left" w:leader="dot"/>
            </w:tabs>
            <w:spacing w:line="240" w:lineRule="auto" w:before="0" w:after="0"/>
            <w:ind w:left="1919" w:right="0" w:hanging="1702"/>
            <w:jc w:val="left"/>
          </w:pPr>
          <w:hyperlink w:history="true" w:anchor="_bookmark526">
            <w:r>
              <w:rPr/>
              <w:t>Guidelines</w:t>
              <w:tab/>
              <w:t>418</w:t>
            </w:r>
          </w:hyperlink>
        </w:p>
        <w:p>
          <w:pPr>
            <w:pStyle w:val="TOC2"/>
            <w:tabs>
              <w:tab w:pos="1919" w:val="left" w:leader="none"/>
              <w:tab w:pos="8929" w:val="left" w:leader="dot"/>
            </w:tabs>
          </w:pPr>
          <w:hyperlink w:history="true" w:anchor="_bookmark527">
            <w:r>
              <w:rPr/>
              <w:t>Part C</w:t>
              <w:tab/>
              <w:t>Building Block Determinations for standard</w:t>
            </w:r>
            <w:r>
              <w:rPr>
                <w:spacing w:val="-20"/>
              </w:rPr>
              <w:t> </w:t>
            </w:r>
            <w:r>
              <w:rPr/>
              <w:t>control</w:t>
            </w:r>
            <w:r>
              <w:rPr>
                <w:spacing w:val="-3"/>
              </w:rPr>
              <w:t> </w:t>
            </w:r>
            <w:r>
              <w:rPr/>
              <w:t>services</w:t>
              <w:tab/>
              <w:t>419</w:t>
            </w:r>
          </w:hyperlink>
        </w:p>
        <w:p>
          <w:pPr>
            <w:pStyle w:val="TOC2"/>
            <w:numPr>
              <w:ilvl w:val="1"/>
              <w:numId w:val="20"/>
            </w:numPr>
            <w:tabs>
              <w:tab w:pos="1919" w:val="left" w:leader="none"/>
              <w:tab w:pos="1920" w:val="left" w:leader="none"/>
              <w:tab w:pos="8931" w:val="left" w:leader="dot"/>
            </w:tabs>
            <w:spacing w:line="240" w:lineRule="auto" w:before="120" w:after="0"/>
            <w:ind w:left="1919" w:right="0" w:hanging="1702"/>
            <w:jc w:val="left"/>
          </w:pPr>
          <w:hyperlink w:history="true" w:anchor="_bookmark528">
            <w:r>
              <w:rPr/>
              <w:t>Building</w:t>
            </w:r>
            <w:r>
              <w:rPr>
                <w:spacing w:val="-1"/>
              </w:rPr>
              <w:t> </w:t>
            </w:r>
            <w:r>
              <w:rPr/>
              <w:t>block</w:t>
            </w:r>
            <w:r>
              <w:rPr>
                <w:spacing w:val="-1"/>
              </w:rPr>
              <w:t> </w:t>
            </w:r>
            <w:r>
              <w:rPr/>
              <w:t>determinations</w:t>
              <w:tab/>
              <w:t>419</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29">
            <w:r>
              <w:rPr/>
              <w:t>Introduction</w:t>
              <w:tab/>
              <w:t>419</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30">
            <w:r>
              <w:rPr/>
              <w:t>Contents of building</w:t>
            </w:r>
            <w:r>
              <w:rPr>
                <w:spacing w:val="-2"/>
              </w:rPr>
              <w:t> </w:t>
            </w:r>
            <w:r>
              <w:rPr/>
              <w:t>block determination</w:t>
              <w:tab/>
              <w:t>419</w:t>
            </w:r>
          </w:hyperlink>
        </w:p>
        <w:p>
          <w:pPr>
            <w:pStyle w:val="TOC2"/>
            <w:numPr>
              <w:ilvl w:val="1"/>
              <w:numId w:val="20"/>
            </w:numPr>
            <w:tabs>
              <w:tab w:pos="1919" w:val="left" w:leader="none"/>
              <w:tab w:pos="1920" w:val="left" w:leader="none"/>
              <w:tab w:pos="8931" w:val="left" w:leader="dot"/>
            </w:tabs>
            <w:spacing w:line="240" w:lineRule="auto" w:before="120" w:after="0"/>
            <w:ind w:left="1919" w:right="0" w:hanging="1702"/>
            <w:jc w:val="left"/>
          </w:pPr>
          <w:hyperlink w:history="true" w:anchor="_bookmark531">
            <w:r>
              <w:rPr/>
              <w:t>Post-tax</w:t>
            </w:r>
            <w:r>
              <w:rPr>
                <w:spacing w:val="-2"/>
              </w:rPr>
              <w:t> </w:t>
            </w:r>
            <w:r>
              <w:rPr/>
              <w:t>revenue model</w:t>
              <w:tab/>
              <w:t>420</w:t>
            </w:r>
          </w:hyperlink>
        </w:p>
        <w:p>
          <w:pPr>
            <w:pStyle w:val="TOC3"/>
            <w:numPr>
              <w:ilvl w:val="2"/>
              <w:numId w:val="20"/>
            </w:numPr>
            <w:tabs>
              <w:tab w:pos="1919" w:val="left" w:leader="none"/>
              <w:tab w:pos="1920" w:val="left" w:leader="none"/>
              <w:tab w:pos="8931" w:val="left" w:leader="dot"/>
            </w:tabs>
            <w:spacing w:line="240" w:lineRule="auto" w:before="0" w:after="0"/>
            <w:ind w:left="1919" w:right="0" w:hanging="1702"/>
            <w:jc w:val="left"/>
          </w:pPr>
          <w:hyperlink w:history="true" w:anchor="_bookmark532">
            <w:r>
              <w:rPr/>
              <w:t>Preparation, publication and amendment of post-tax</w:t>
            </w:r>
            <w:r>
              <w:rPr>
                <w:spacing w:val="-6"/>
              </w:rPr>
              <w:t> </w:t>
            </w:r>
            <w:r>
              <w:rPr/>
              <w:t>revenue</w:t>
            </w:r>
            <w:r>
              <w:rPr>
                <w:spacing w:val="-1"/>
              </w:rPr>
              <w:t> </w:t>
            </w:r>
            <w:r>
              <w:rPr/>
              <w:t>model</w:t>
              <w:tab/>
              <w:t>420</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33">
            <w:r>
              <w:rPr/>
              <w:t>Contents of post-tax</w:t>
            </w:r>
            <w:r>
              <w:rPr>
                <w:spacing w:val="-1"/>
              </w:rPr>
              <w:t> </w:t>
            </w:r>
            <w:r>
              <w:rPr/>
              <w:t>revenue</w:t>
            </w:r>
            <w:r>
              <w:rPr>
                <w:spacing w:val="-1"/>
              </w:rPr>
              <w:t> </w:t>
            </w:r>
            <w:r>
              <w:rPr/>
              <w:t>model</w:t>
              <w:tab/>
              <w:t>420</w:t>
            </w:r>
          </w:hyperlink>
        </w:p>
        <w:p>
          <w:pPr>
            <w:pStyle w:val="TOC3"/>
            <w:numPr>
              <w:ilvl w:val="2"/>
              <w:numId w:val="20"/>
            </w:numPr>
            <w:tabs>
              <w:tab w:pos="1919" w:val="left" w:leader="none"/>
              <w:tab w:pos="1920" w:val="left" w:leader="none"/>
              <w:tab w:pos="8930" w:val="left" w:leader="dot"/>
            </w:tabs>
            <w:spacing w:line="240" w:lineRule="auto" w:before="0" w:after="0"/>
            <w:ind w:left="1919" w:right="0" w:hanging="1702"/>
            <w:jc w:val="left"/>
          </w:pPr>
          <w:hyperlink w:history="true" w:anchor="_bookmark534">
            <w:r>
              <w:rPr/>
              <w:t>Building</w:t>
            </w:r>
            <w:r>
              <w:rPr>
                <w:spacing w:val="-1"/>
              </w:rPr>
              <w:t> </w:t>
            </w:r>
            <w:r>
              <w:rPr/>
              <w:t>block approach</w:t>
              <w:tab/>
              <w:t>421</w:t>
            </w:r>
          </w:hyperlink>
        </w:p>
        <w:p>
          <w:pPr>
            <w:pStyle w:val="TOC3"/>
            <w:numPr>
              <w:ilvl w:val="2"/>
              <w:numId w:val="20"/>
            </w:numPr>
            <w:tabs>
              <w:tab w:pos="1919" w:val="left" w:leader="none"/>
              <w:tab w:pos="1920" w:val="left" w:leader="none"/>
              <w:tab w:pos="8930" w:val="left" w:leader="dot"/>
            </w:tabs>
            <w:spacing w:line="240" w:lineRule="auto" w:before="0" w:after="189"/>
            <w:ind w:left="1919" w:right="0" w:hanging="1702"/>
            <w:jc w:val="left"/>
          </w:pPr>
          <w:hyperlink w:history="true" w:anchor="_bookmark535">
            <w:r>
              <w:rPr/>
              <w:t>Shared</w:t>
            </w:r>
            <w:r>
              <w:rPr>
                <w:spacing w:val="-2"/>
              </w:rPr>
              <w:t> </w:t>
            </w:r>
            <w:r>
              <w:rPr/>
              <w:t>assets</w:t>
              <w:tab/>
              <w:t>422</w:t>
            </w:r>
          </w:hyperlink>
        </w:p>
        <w:p>
          <w:pPr>
            <w:pStyle w:val="TOC3"/>
            <w:numPr>
              <w:ilvl w:val="2"/>
              <w:numId w:val="20"/>
            </w:numPr>
            <w:tabs>
              <w:tab w:pos="1919" w:val="left" w:leader="none"/>
              <w:tab w:pos="1920" w:val="left" w:leader="none"/>
              <w:tab w:pos="8929" w:val="left" w:leader="dot"/>
            </w:tabs>
            <w:spacing w:line="240" w:lineRule="auto" w:before="83" w:after="0"/>
            <w:ind w:left="1919" w:right="0" w:hanging="1702"/>
            <w:jc w:val="left"/>
          </w:pPr>
          <w:hyperlink w:history="true" w:anchor="_bookmark536">
            <w:r>
              <w:rPr/>
              <w:t>Expenditure Forecast</w:t>
            </w:r>
            <w:r>
              <w:rPr>
                <w:spacing w:val="-8"/>
              </w:rPr>
              <w:t> </w:t>
            </w:r>
            <w:r>
              <w:rPr/>
              <w:t>Assessment</w:t>
            </w:r>
            <w:r>
              <w:rPr>
                <w:spacing w:val="-4"/>
              </w:rPr>
              <w:t> </w:t>
            </w:r>
            <w:r>
              <w:rPr/>
              <w:t>Guidelines</w:t>
              <w:tab/>
              <w:t>424</w:t>
            </w:r>
          </w:hyperlink>
        </w:p>
        <w:p>
          <w:pPr>
            <w:pStyle w:val="TOC2"/>
            <w:tabs>
              <w:tab w:pos="1919" w:val="left" w:leader="none"/>
              <w:tab w:pos="8931" w:val="left" w:leader="dot"/>
            </w:tabs>
          </w:pPr>
          <w:hyperlink w:history="true" w:anchor="_bookmark537">
            <w:r>
              <w:rPr/>
              <w:t>6.4A</w:t>
              <w:tab/>
              <w:t>Capital expenditure</w:t>
            </w:r>
            <w:r>
              <w:rPr>
                <w:spacing w:val="-5"/>
              </w:rPr>
              <w:t> </w:t>
            </w:r>
            <w:r>
              <w:rPr/>
              <w:t>incentive</w:t>
            </w:r>
            <w:r>
              <w:rPr>
                <w:spacing w:val="-2"/>
              </w:rPr>
              <w:t> </w:t>
            </w:r>
            <w:r>
              <w:rPr/>
              <w:t>mechanisms</w:t>
              <w:tab/>
              <w:t>424</w:t>
            </w:r>
          </w:hyperlink>
        </w:p>
        <w:p>
          <w:pPr>
            <w:pStyle w:val="TOC2"/>
            <w:tabs>
              <w:tab w:pos="1919" w:val="left" w:leader="none"/>
              <w:tab w:pos="8930" w:val="left" w:leader="dot"/>
            </w:tabs>
          </w:pPr>
          <w:hyperlink w:history="true" w:anchor="_bookmark538">
            <w:r>
              <w:rPr/>
              <w:t>6.4B</w:t>
              <w:tab/>
              <w:t>Asset</w:t>
            </w:r>
            <w:r>
              <w:rPr>
                <w:spacing w:val="-3"/>
              </w:rPr>
              <w:t> </w:t>
            </w:r>
            <w:r>
              <w:rPr/>
              <w:t>exemptions</w:t>
              <w:tab/>
              <w:t>425</w:t>
            </w:r>
          </w:hyperlink>
        </w:p>
        <w:p>
          <w:pPr>
            <w:pStyle w:val="TOC3"/>
            <w:tabs>
              <w:tab w:pos="1919" w:val="left" w:leader="none"/>
              <w:tab w:pos="8931" w:val="left" w:leader="dot"/>
            </w:tabs>
            <w:ind w:left="218"/>
          </w:pPr>
          <w:hyperlink w:history="true" w:anchor="_bookmark539">
            <w:r>
              <w:rPr/>
              <w:t>6.4B.1</w:t>
              <w:tab/>
              <w:t>Asset exemption decisions and Asset</w:t>
            </w:r>
            <w:r>
              <w:rPr>
                <w:spacing w:val="-12"/>
              </w:rPr>
              <w:t> </w:t>
            </w:r>
            <w:r>
              <w:rPr/>
              <w:t>Exemption</w:t>
            </w:r>
            <w:r>
              <w:rPr>
                <w:spacing w:val="-2"/>
              </w:rPr>
              <w:t> </w:t>
            </w:r>
            <w:r>
              <w:rPr/>
              <w:t>Guidelines</w:t>
              <w:tab/>
              <w:t>425</w:t>
            </w:r>
          </w:hyperlink>
        </w:p>
        <w:p>
          <w:pPr>
            <w:pStyle w:val="TOC3"/>
            <w:numPr>
              <w:ilvl w:val="1"/>
              <w:numId w:val="23"/>
            </w:numPr>
            <w:tabs>
              <w:tab w:pos="519" w:val="left" w:leader="none"/>
              <w:tab w:pos="1919" w:val="left" w:leader="none"/>
              <w:tab w:pos="8930" w:val="left" w:leader="dot"/>
            </w:tabs>
            <w:spacing w:line="240" w:lineRule="auto" w:before="0" w:after="0"/>
            <w:ind w:left="519" w:right="0" w:hanging="301"/>
            <w:jc w:val="left"/>
            <w:rPr>
              <w:sz w:val="22"/>
            </w:rPr>
          </w:pPr>
          <w:hyperlink w:history="true" w:anchor="_bookmark540">
            <w:r>
              <w:rPr/>
              <w:t>B.2</w:t>
              <w:tab/>
              <w:t>Exemption</w:t>
            </w:r>
            <w:r>
              <w:rPr>
                <w:spacing w:val="-1"/>
              </w:rPr>
              <w:t> </w:t>
            </w:r>
            <w:r>
              <w:rPr/>
              <w:t>applications</w:t>
              <w:tab/>
              <w:t>426</w:t>
            </w:r>
          </w:hyperlink>
        </w:p>
        <w:p>
          <w:pPr>
            <w:pStyle w:val="TOC2"/>
            <w:numPr>
              <w:ilvl w:val="1"/>
              <w:numId w:val="23"/>
            </w:numPr>
            <w:tabs>
              <w:tab w:pos="1919" w:val="left" w:leader="none"/>
              <w:tab w:pos="1920" w:val="left" w:leader="none"/>
              <w:tab w:pos="3011" w:val="left" w:leader="none"/>
              <w:tab w:pos="8930" w:val="left" w:leader="dot"/>
            </w:tabs>
            <w:spacing w:line="240" w:lineRule="auto" w:before="120" w:after="0"/>
            <w:ind w:left="1919" w:right="414" w:hanging="1701"/>
            <w:jc w:val="left"/>
          </w:pPr>
          <w:hyperlink w:history="true" w:anchor="_bookmark541">
            <w:r>
              <w:rPr/>
              <w:t>Matters</w:t>
              <w:tab/>
              <w:t>relevant  to  the   making   of   building   block</w:t>
            </w:r>
          </w:hyperlink>
          <w:hyperlink w:history="true" w:anchor="_bookmark541">
            <w:r>
              <w:rPr/>
              <w:t> determinations</w:t>
              <w:tab/>
            </w:r>
            <w:r>
              <w:rPr>
                <w:spacing w:val="-6"/>
              </w:rPr>
              <w:t>427</w:t>
            </w:r>
          </w:hyperlink>
        </w:p>
        <w:p>
          <w:pPr>
            <w:pStyle w:val="TOC3"/>
            <w:numPr>
              <w:ilvl w:val="2"/>
              <w:numId w:val="23"/>
            </w:numPr>
            <w:tabs>
              <w:tab w:pos="1919" w:val="left" w:leader="none"/>
              <w:tab w:pos="1920" w:val="left" w:leader="none"/>
              <w:tab w:pos="8931" w:val="left" w:leader="dot"/>
            </w:tabs>
            <w:spacing w:line="240" w:lineRule="auto" w:before="0" w:after="0"/>
            <w:ind w:left="1919" w:right="0" w:hanging="1702"/>
            <w:jc w:val="left"/>
          </w:pPr>
          <w:hyperlink w:history="true" w:anchor="_bookmark542">
            <w:r>
              <w:rPr/>
              <w:t>Regulatory</w:t>
            </w:r>
            <w:r>
              <w:rPr>
                <w:spacing w:val="-1"/>
              </w:rPr>
              <w:t> </w:t>
            </w:r>
            <w:r>
              <w:rPr/>
              <w:t>asset base</w:t>
              <w:tab/>
              <w:t>427</w:t>
            </w:r>
          </w:hyperlink>
        </w:p>
        <w:p>
          <w:pPr>
            <w:pStyle w:val="TOC3"/>
            <w:numPr>
              <w:ilvl w:val="2"/>
              <w:numId w:val="23"/>
            </w:numPr>
            <w:tabs>
              <w:tab w:pos="1919" w:val="left" w:leader="none"/>
              <w:tab w:pos="1920" w:val="left" w:leader="none"/>
              <w:tab w:pos="8931" w:val="left" w:leader="dot"/>
            </w:tabs>
            <w:spacing w:line="240" w:lineRule="auto" w:before="0" w:after="0"/>
            <w:ind w:left="1919" w:right="0" w:hanging="1702"/>
            <w:jc w:val="left"/>
          </w:pPr>
          <w:hyperlink w:history="true" w:anchor="_bookmark543">
            <w:r>
              <w:rPr/>
              <w:t>Return</w:t>
            </w:r>
            <w:r>
              <w:rPr>
                <w:spacing w:val="-1"/>
              </w:rPr>
              <w:t> </w:t>
            </w:r>
            <w:r>
              <w:rPr/>
              <w:t>on capital</w:t>
              <w:tab/>
              <w:t>428</w:t>
            </w:r>
          </w:hyperlink>
        </w:p>
        <w:p>
          <w:pPr>
            <w:pStyle w:val="TOC3"/>
            <w:numPr>
              <w:ilvl w:val="2"/>
              <w:numId w:val="23"/>
            </w:numPr>
            <w:tabs>
              <w:tab w:pos="1919" w:val="left" w:leader="none"/>
              <w:tab w:pos="1920" w:val="left" w:leader="none"/>
              <w:tab w:pos="8931" w:val="left" w:leader="dot"/>
            </w:tabs>
            <w:spacing w:line="240" w:lineRule="auto" w:before="0" w:after="0"/>
            <w:ind w:left="1919" w:right="0" w:hanging="1702"/>
            <w:jc w:val="left"/>
          </w:pPr>
          <w:hyperlink w:history="true" w:anchor="_bookmark544">
            <w:r>
              <w:rPr/>
              <w:t>Estimated cost of corporate</w:t>
            </w:r>
            <w:r>
              <w:rPr>
                <w:spacing w:val="-4"/>
              </w:rPr>
              <w:t> </w:t>
            </w:r>
            <w:r>
              <w:rPr/>
              <w:t>income</w:t>
            </w:r>
            <w:r>
              <w:rPr>
                <w:spacing w:val="-1"/>
              </w:rPr>
              <w:t> </w:t>
            </w:r>
            <w:r>
              <w:rPr/>
              <w:t>tax</w:t>
              <w:tab/>
              <w:t>428</w:t>
            </w:r>
          </w:hyperlink>
        </w:p>
        <w:p>
          <w:pPr>
            <w:pStyle w:val="TOC3"/>
            <w:numPr>
              <w:ilvl w:val="2"/>
              <w:numId w:val="23"/>
            </w:numPr>
            <w:tabs>
              <w:tab w:pos="1919" w:val="left" w:leader="none"/>
              <w:tab w:pos="1920" w:val="left" w:leader="none"/>
              <w:tab w:pos="8930" w:val="left" w:leader="dot"/>
            </w:tabs>
            <w:spacing w:line="240" w:lineRule="auto" w:before="0" w:after="0"/>
            <w:ind w:left="1919" w:right="0" w:hanging="1702"/>
            <w:jc w:val="left"/>
          </w:pPr>
          <w:hyperlink w:history="true" w:anchor="_bookmark545">
            <w:r>
              <w:rPr/>
              <w:t>[Deleted]</w:t>
              <w:tab/>
              <w:t>428</w:t>
            </w:r>
          </w:hyperlink>
        </w:p>
        <w:p>
          <w:pPr>
            <w:pStyle w:val="TOC3"/>
            <w:numPr>
              <w:ilvl w:val="2"/>
              <w:numId w:val="23"/>
            </w:numPr>
            <w:tabs>
              <w:tab w:pos="1919" w:val="left" w:leader="none"/>
              <w:tab w:pos="1920" w:val="left" w:leader="none"/>
              <w:tab w:pos="8930" w:val="left" w:leader="dot"/>
            </w:tabs>
            <w:spacing w:line="240" w:lineRule="auto" w:before="0" w:after="0"/>
            <w:ind w:left="1919" w:right="0" w:hanging="1702"/>
            <w:jc w:val="left"/>
          </w:pPr>
          <w:hyperlink w:history="true" w:anchor="_bookmark546">
            <w:r>
              <w:rPr/>
              <w:t>Depreciation</w:t>
              <w:tab/>
              <w:t>428</w:t>
            </w:r>
          </w:hyperlink>
        </w:p>
        <w:p>
          <w:pPr>
            <w:pStyle w:val="TOC3"/>
            <w:numPr>
              <w:ilvl w:val="2"/>
              <w:numId w:val="23"/>
            </w:numPr>
            <w:tabs>
              <w:tab w:pos="1919" w:val="left" w:leader="none"/>
              <w:tab w:pos="1920" w:val="left" w:leader="none"/>
              <w:tab w:pos="8930" w:val="left" w:leader="dot"/>
            </w:tabs>
            <w:spacing w:line="240" w:lineRule="auto" w:before="0" w:after="0"/>
            <w:ind w:left="1919" w:right="0" w:hanging="1702"/>
            <w:jc w:val="left"/>
          </w:pPr>
          <w:hyperlink w:history="true" w:anchor="_bookmark547">
            <w:r>
              <w:rPr/>
              <w:t>Forecast</w:t>
            </w:r>
            <w:r>
              <w:rPr>
                <w:spacing w:val="-2"/>
              </w:rPr>
              <w:t> </w:t>
            </w:r>
            <w:r>
              <w:rPr/>
              <w:t>operating</w:t>
            </w:r>
            <w:r>
              <w:rPr>
                <w:spacing w:val="-2"/>
              </w:rPr>
              <w:t> </w:t>
            </w:r>
            <w:r>
              <w:rPr/>
              <w:t>expenditure</w:t>
              <w:tab/>
              <w:t>429</w:t>
            </w:r>
          </w:hyperlink>
        </w:p>
        <w:p>
          <w:pPr>
            <w:pStyle w:val="TOC3"/>
            <w:numPr>
              <w:ilvl w:val="2"/>
              <w:numId w:val="23"/>
            </w:numPr>
            <w:tabs>
              <w:tab w:pos="1919" w:val="left" w:leader="none"/>
              <w:tab w:pos="1920" w:val="left" w:leader="none"/>
              <w:tab w:pos="8931" w:val="left" w:leader="dot"/>
            </w:tabs>
            <w:spacing w:line="240" w:lineRule="auto" w:before="0" w:after="0"/>
            <w:ind w:left="1919" w:right="0" w:hanging="1702"/>
            <w:jc w:val="left"/>
          </w:pPr>
          <w:hyperlink w:history="true" w:anchor="_bookmark548">
            <w:r>
              <w:rPr/>
              <w:t>Forecast</w:t>
            </w:r>
            <w:r>
              <w:rPr>
                <w:spacing w:val="-2"/>
              </w:rPr>
              <w:t> </w:t>
            </w:r>
            <w:r>
              <w:rPr/>
              <w:t>capital</w:t>
            </w:r>
            <w:r>
              <w:rPr>
                <w:spacing w:val="-1"/>
              </w:rPr>
              <w:t> </w:t>
            </w:r>
            <w:r>
              <w:rPr/>
              <w:t>expenditure</w:t>
              <w:tab/>
              <w:t>431</w:t>
            </w:r>
          </w:hyperlink>
        </w:p>
        <w:p>
          <w:pPr>
            <w:pStyle w:val="TOC3"/>
            <w:numPr>
              <w:ilvl w:val="2"/>
              <w:numId w:val="23"/>
            </w:numPr>
            <w:tabs>
              <w:tab w:pos="1919" w:val="left" w:leader="none"/>
              <w:tab w:pos="1920" w:val="left" w:leader="none"/>
              <w:tab w:pos="8929" w:val="left" w:leader="dot"/>
            </w:tabs>
            <w:spacing w:line="240" w:lineRule="auto" w:before="0" w:after="0"/>
            <w:ind w:left="1919" w:right="0" w:hanging="1702"/>
            <w:jc w:val="left"/>
          </w:pPr>
          <w:hyperlink w:history="true" w:anchor="_bookmark549">
            <w:r>
              <w:rPr/>
              <w:t>Efficiency benefit</w:t>
            </w:r>
            <w:r>
              <w:rPr>
                <w:spacing w:val="-5"/>
              </w:rPr>
              <w:t> </w:t>
            </w:r>
            <w:r>
              <w:rPr/>
              <w:t>sharing</w:t>
            </w:r>
            <w:r>
              <w:rPr>
                <w:spacing w:val="-4"/>
              </w:rPr>
              <w:t> </w:t>
            </w:r>
            <w:r>
              <w:rPr/>
              <w:t>scheme</w:t>
              <w:tab/>
              <w:t>436</w:t>
            </w:r>
          </w:hyperlink>
        </w:p>
        <w:p>
          <w:pPr>
            <w:pStyle w:val="TOC3"/>
            <w:numPr>
              <w:ilvl w:val="2"/>
              <w:numId w:val="24"/>
            </w:numPr>
            <w:tabs>
              <w:tab w:pos="699" w:val="left" w:leader="none"/>
              <w:tab w:pos="1919" w:val="left" w:leader="none"/>
              <w:tab w:pos="8930" w:val="left" w:leader="dot"/>
            </w:tabs>
            <w:spacing w:line="240" w:lineRule="auto" w:before="0" w:after="0"/>
            <w:ind w:left="699" w:right="0" w:hanging="481"/>
            <w:jc w:val="left"/>
          </w:pPr>
          <w:hyperlink w:history="true" w:anchor="_bookmark550">
            <w:r>
              <w:rPr/>
              <w:t>A</w:t>
              <w:tab/>
              <w:t>Capital expenditure</w:t>
            </w:r>
            <w:r>
              <w:rPr>
                <w:spacing w:val="-5"/>
              </w:rPr>
              <w:t> </w:t>
            </w:r>
            <w:r>
              <w:rPr/>
              <w:t>sharing</w:t>
            </w:r>
            <w:r>
              <w:rPr>
                <w:spacing w:val="-4"/>
              </w:rPr>
              <w:t> </w:t>
            </w:r>
            <w:r>
              <w:rPr/>
              <w:t>scheme</w:t>
              <w:tab/>
              <w:t>437</w:t>
            </w:r>
          </w:hyperlink>
        </w:p>
        <w:p>
          <w:pPr>
            <w:pStyle w:val="TOC3"/>
            <w:numPr>
              <w:ilvl w:val="2"/>
              <w:numId w:val="24"/>
            </w:numPr>
            <w:tabs>
              <w:tab w:pos="1919" w:val="left" w:leader="none"/>
              <w:tab w:pos="1920" w:val="left" w:leader="none"/>
              <w:tab w:pos="8930" w:val="left" w:leader="dot"/>
            </w:tabs>
            <w:spacing w:line="240" w:lineRule="auto" w:before="0" w:after="0"/>
            <w:ind w:left="1919" w:right="0" w:hanging="1702"/>
            <w:jc w:val="left"/>
          </w:pPr>
          <w:hyperlink w:history="true" w:anchor="_bookmark551">
            <w:r>
              <w:rPr/>
              <w:t>The</w:t>
            </w:r>
            <w:r>
              <w:rPr>
                <w:spacing w:val="-1"/>
              </w:rPr>
              <w:t> </w:t>
            </w:r>
            <w:r>
              <w:rPr/>
              <w:t>X</w:t>
            </w:r>
            <w:r>
              <w:rPr>
                <w:spacing w:val="-1"/>
              </w:rPr>
              <w:t> </w:t>
            </w:r>
            <w:r>
              <w:rPr/>
              <w:t>factor</w:t>
              <w:tab/>
              <w:t>438</w:t>
            </w:r>
          </w:hyperlink>
        </w:p>
        <w:p>
          <w:pPr>
            <w:pStyle w:val="TOC3"/>
            <w:numPr>
              <w:ilvl w:val="2"/>
              <w:numId w:val="24"/>
            </w:numPr>
            <w:tabs>
              <w:tab w:pos="1919" w:val="left" w:leader="none"/>
              <w:tab w:pos="1920" w:val="left" w:leader="none"/>
              <w:tab w:pos="8931" w:val="left" w:leader="dot"/>
            </w:tabs>
            <w:spacing w:line="240" w:lineRule="auto" w:before="0" w:after="0"/>
            <w:ind w:left="1919" w:right="0" w:hanging="1702"/>
            <w:jc w:val="left"/>
          </w:pPr>
          <w:hyperlink w:history="true" w:anchor="_bookmark552">
            <w:r>
              <w:rPr/>
              <w:t>Pass</w:t>
            </w:r>
            <w:r>
              <w:rPr>
                <w:spacing w:val="-2"/>
              </w:rPr>
              <w:t> </w:t>
            </w:r>
            <w:r>
              <w:rPr/>
              <w:t>through</w:t>
            </w:r>
            <w:r>
              <w:rPr>
                <w:spacing w:val="-1"/>
              </w:rPr>
              <w:t> </w:t>
            </w:r>
            <w:r>
              <w:rPr/>
              <w:t>events</w:t>
              <w:tab/>
              <w:t>439</w:t>
            </w:r>
          </w:hyperlink>
        </w:p>
        <w:p>
          <w:pPr>
            <w:pStyle w:val="TOC2"/>
            <w:numPr>
              <w:ilvl w:val="1"/>
              <w:numId w:val="23"/>
            </w:numPr>
            <w:tabs>
              <w:tab w:pos="1919" w:val="left" w:leader="none"/>
              <w:tab w:pos="1920" w:val="left" w:leader="none"/>
              <w:tab w:pos="8929" w:val="left" w:leader="dot"/>
            </w:tabs>
            <w:spacing w:line="240" w:lineRule="auto" w:before="120" w:after="0"/>
            <w:ind w:left="1919" w:right="0" w:hanging="1702"/>
            <w:jc w:val="left"/>
          </w:pPr>
          <w:hyperlink w:history="true" w:anchor="_bookmark553">
            <w:r>
              <w:rPr/>
              <w:t>Adjustments after making of building</w:t>
            </w:r>
            <w:r>
              <w:rPr>
                <w:spacing w:val="-20"/>
              </w:rPr>
              <w:t> </w:t>
            </w:r>
            <w:r>
              <w:rPr/>
              <w:t>block</w:t>
            </w:r>
            <w:r>
              <w:rPr>
                <w:spacing w:val="-4"/>
              </w:rPr>
              <w:t> </w:t>
            </w:r>
            <w:r>
              <w:rPr/>
              <w:t>determination.</w:t>
              <w:tab/>
              <w:t>439</w:t>
            </w:r>
          </w:hyperlink>
        </w:p>
        <w:p>
          <w:pPr>
            <w:pStyle w:val="TOC3"/>
            <w:numPr>
              <w:ilvl w:val="2"/>
              <w:numId w:val="23"/>
            </w:numPr>
            <w:tabs>
              <w:tab w:pos="1919" w:val="left" w:leader="none"/>
              <w:tab w:pos="1920" w:val="left" w:leader="none"/>
              <w:tab w:pos="8930" w:val="left" w:leader="dot"/>
            </w:tabs>
            <w:spacing w:line="240" w:lineRule="auto" w:before="0" w:after="0"/>
            <w:ind w:left="1919" w:right="0" w:hanging="1702"/>
            <w:jc w:val="left"/>
          </w:pPr>
          <w:hyperlink w:history="true" w:anchor="_bookmark554">
            <w:r>
              <w:rPr/>
              <w:t>Cost</w:t>
            </w:r>
            <w:r>
              <w:rPr>
                <w:spacing w:val="-1"/>
              </w:rPr>
              <w:t> </w:t>
            </w:r>
            <w:r>
              <w:rPr/>
              <w:t>pass</w:t>
            </w:r>
            <w:r>
              <w:rPr>
                <w:spacing w:val="-2"/>
              </w:rPr>
              <w:t> </w:t>
            </w:r>
            <w:r>
              <w:rPr/>
              <w:t>through</w:t>
              <w:tab/>
              <w:t>439</w:t>
            </w:r>
          </w:hyperlink>
        </w:p>
        <w:p>
          <w:pPr>
            <w:pStyle w:val="TOC3"/>
            <w:tabs>
              <w:tab w:pos="1919" w:val="left" w:leader="none"/>
              <w:tab w:pos="8930" w:val="left" w:leader="dot"/>
            </w:tabs>
            <w:ind w:left="218"/>
          </w:pPr>
          <w:hyperlink w:history="true" w:anchor="_bookmark555">
            <w:r>
              <w:rPr/>
              <w:t>6.6.1AA</w:t>
              <w:tab/>
              <w:t>Cost pass through –</w:t>
            </w:r>
            <w:r>
              <w:rPr>
                <w:spacing w:val="-4"/>
              </w:rPr>
              <w:t> </w:t>
            </w:r>
            <w:r>
              <w:rPr/>
              <w:t>deemed</w:t>
            </w:r>
            <w:r>
              <w:rPr>
                <w:spacing w:val="-1"/>
              </w:rPr>
              <w:t> </w:t>
            </w:r>
            <w:r>
              <w:rPr/>
              <w:t>determinations</w:t>
              <w:tab/>
              <w:t>446</w:t>
            </w:r>
          </w:hyperlink>
        </w:p>
        <w:p>
          <w:pPr>
            <w:pStyle w:val="TOC3"/>
            <w:tabs>
              <w:tab w:pos="1919" w:val="left" w:leader="none"/>
              <w:tab w:pos="8930" w:val="left" w:leader="dot"/>
            </w:tabs>
            <w:ind w:left="218"/>
          </w:pPr>
          <w:hyperlink w:history="true" w:anchor="_bookmark556">
            <w:r>
              <w:rPr/>
              <w:t>6.6.1AB</w:t>
              <w:tab/>
              <w:t>Cost pass through –</w:t>
            </w:r>
            <w:r>
              <w:rPr>
                <w:spacing w:val="-4"/>
              </w:rPr>
              <w:t> </w:t>
            </w:r>
            <w:r>
              <w:rPr/>
              <w:t>NT</w:t>
            </w:r>
            <w:r>
              <w:rPr>
                <w:spacing w:val="-2"/>
              </w:rPr>
              <w:t> </w:t>
            </w:r>
            <w:r>
              <w:rPr/>
              <w:t>events</w:t>
              <w:tab/>
              <w:t>447</w:t>
            </w:r>
          </w:hyperlink>
        </w:p>
        <w:p>
          <w:pPr>
            <w:pStyle w:val="TOC3"/>
            <w:numPr>
              <w:ilvl w:val="2"/>
              <w:numId w:val="25"/>
            </w:numPr>
            <w:tabs>
              <w:tab w:pos="699" w:val="left" w:leader="none"/>
              <w:tab w:pos="1919" w:val="left" w:leader="none"/>
              <w:tab w:pos="8931" w:val="left" w:leader="dot"/>
            </w:tabs>
            <w:spacing w:line="240" w:lineRule="auto" w:before="0" w:after="0"/>
            <w:ind w:left="699" w:right="0" w:hanging="481"/>
            <w:jc w:val="left"/>
          </w:pPr>
          <w:hyperlink w:history="true" w:anchor="_bookmark557">
            <w:r>
              <w:rPr/>
              <w:t>A</w:t>
              <w:tab/>
              <w:t>Reporting on</w:t>
            </w:r>
            <w:r>
              <w:rPr>
                <w:spacing w:val="-4"/>
              </w:rPr>
              <w:t> </w:t>
            </w:r>
            <w:r>
              <w:rPr/>
              <w:t>jurisdictional</w:t>
            </w:r>
            <w:r>
              <w:rPr>
                <w:spacing w:val="-1"/>
              </w:rPr>
              <w:t> </w:t>
            </w:r>
            <w:r>
              <w:rPr/>
              <w:t>schemes</w:t>
              <w:tab/>
              <w:t>452</w:t>
            </w:r>
          </w:hyperlink>
        </w:p>
        <w:p>
          <w:pPr>
            <w:pStyle w:val="TOC3"/>
            <w:numPr>
              <w:ilvl w:val="2"/>
              <w:numId w:val="25"/>
            </w:numPr>
            <w:tabs>
              <w:tab w:pos="1919" w:val="left" w:leader="none"/>
              <w:tab w:pos="1920" w:val="left" w:leader="none"/>
              <w:tab w:pos="8930" w:val="left" w:leader="dot"/>
            </w:tabs>
            <w:spacing w:line="240" w:lineRule="auto" w:before="0" w:after="0"/>
            <w:ind w:left="1919" w:right="0" w:hanging="1702"/>
            <w:jc w:val="left"/>
          </w:pPr>
          <w:hyperlink w:history="true" w:anchor="_bookmark558">
            <w:r>
              <w:rPr/>
              <w:t>Service target performance</w:t>
            </w:r>
            <w:r>
              <w:rPr>
                <w:spacing w:val="-6"/>
              </w:rPr>
              <w:t> </w:t>
            </w:r>
            <w:r>
              <w:rPr/>
              <w:t>incentive</w:t>
            </w:r>
            <w:r>
              <w:rPr>
                <w:spacing w:val="-2"/>
              </w:rPr>
              <w:t> </w:t>
            </w:r>
            <w:r>
              <w:rPr/>
              <w:t>scheme</w:t>
              <w:tab/>
              <w:t>453</w:t>
            </w:r>
          </w:hyperlink>
        </w:p>
        <w:p>
          <w:pPr>
            <w:pStyle w:val="TOC3"/>
            <w:numPr>
              <w:ilvl w:val="2"/>
              <w:numId w:val="25"/>
            </w:numPr>
            <w:tabs>
              <w:tab w:pos="1919" w:val="left" w:leader="none"/>
              <w:tab w:pos="1920" w:val="left" w:leader="none"/>
              <w:tab w:pos="8931" w:val="left" w:leader="dot"/>
            </w:tabs>
            <w:spacing w:line="240" w:lineRule="auto" w:before="0" w:after="0"/>
            <w:ind w:left="1919" w:right="0" w:hanging="1702"/>
            <w:jc w:val="left"/>
          </w:pPr>
          <w:hyperlink w:history="true" w:anchor="_bookmark559">
            <w:r>
              <w:rPr/>
              <w:t>Demand management</w:t>
            </w:r>
            <w:r>
              <w:rPr>
                <w:spacing w:val="-5"/>
              </w:rPr>
              <w:t> </w:t>
            </w:r>
            <w:r>
              <w:rPr/>
              <w:t>incentive</w:t>
            </w:r>
            <w:r>
              <w:rPr>
                <w:spacing w:val="-2"/>
              </w:rPr>
              <w:t> </w:t>
            </w:r>
            <w:r>
              <w:rPr/>
              <w:t>scheme</w:t>
              <w:tab/>
              <w:t>454</w:t>
            </w:r>
          </w:hyperlink>
        </w:p>
        <w:p>
          <w:pPr>
            <w:pStyle w:val="TOC3"/>
            <w:numPr>
              <w:ilvl w:val="2"/>
              <w:numId w:val="26"/>
            </w:numPr>
            <w:tabs>
              <w:tab w:pos="699" w:val="left" w:leader="none"/>
              <w:tab w:pos="1919" w:val="left" w:leader="none"/>
              <w:tab w:pos="8931" w:val="left" w:leader="dot"/>
            </w:tabs>
            <w:spacing w:line="240" w:lineRule="auto" w:before="0" w:after="0"/>
            <w:ind w:left="699" w:right="0" w:hanging="481"/>
            <w:jc w:val="left"/>
          </w:pPr>
          <w:hyperlink w:history="true" w:anchor="_bookmark560">
            <w:r>
              <w:rPr/>
              <w:t>A</w:t>
              <w:tab/>
              <w:t>Demand management innovation</w:t>
            </w:r>
            <w:r>
              <w:rPr>
                <w:spacing w:val="-3"/>
              </w:rPr>
              <w:t> </w:t>
            </w:r>
            <w:r>
              <w:rPr/>
              <w:t>allowance</w:t>
            </w:r>
            <w:r>
              <w:rPr>
                <w:spacing w:val="-1"/>
              </w:rPr>
              <w:t> </w:t>
            </w:r>
            <w:r>
              <w:rPr/>
              <w:t>mechanism</w:t>
              <w:tab/>
              <w:t>455</w:t>
            </w:r>
          </w:hyperlink>
        </w:p>
        <w:p>
          <w:pPr>
            <w:pStyle w:val="TOC3"/>
            <w:numPr>
              <w:ilvl w:val="2"/>
              <w:numId w:val="26"/>
            </w:numPr>
            <w:tabs>
              <w:tab w:pos="1919" w:val="left" w:leader="none"/>
              <w:tab w:pos="1920" w:val="left" w:leader="none"/>
              <w:tab w:pos="8931" w:val="left" w:leader="dot"/>
            </w:tabs>
            <w:spacing w:line="240" w:lineRule="auto" w:before="0" w:after="0"/>
            <w:ind w:left="1919" w:right="0" w:hanging="1702"/>
            <w:jc w:val="left"/>
          </w:pPr>
          <w:hyperlink w:history="true" w:anchor="_bookmark561">
            <w:r>
              <w:rPr/>
              <w:t>Small-scale</w:t>
            </w:r>
            <w:r>
              <w:rPr>
                <w:spacing w:val="-1"/>
              </w:rPr>
              <w:t> </w:t>
            </w:r>
            <w:r>
              <w:rPr/>
              <w:t>incentive</w:t>
            </w:r>
            <w:r>
              <w:rPr>
                <w:spacing w:val="-2"/>
              </w:rPr>
              <w:t> </w:t>
            </w:r>
            <w:r>
              <w:rPr/>
              <w:t>scheme</w:t>
              <w:tab/>
              <w:t>456</w:t>
            </w:r>
          </w:hyperlink>
        </w:p>
        <w:p>
          <w:pPr>
            <w:pStyle w:val="TOC3"/>
            <w:numPr>
              <w:ilvl w:val="2"/>
              <w:numId w:val="26"/>
            </w:numPr>
            <w:tabs>
              <w:tab w:pos="1919" w:val="left" w:leader="none"/>
              <w:tab w:pos="1920" w:val="left" w:leader="none"/>
              <w:tab w:pos="8931" w:val="left" w:leader="dot"/>
            </w:tabs>
            <w:spacing w:line="240" w:lineRule="auto" w:before="0" w:after="0"/>
            <w:ind w:left="1919" w:right="0" w:hanging="1702"/>
            <w:jc w:val="left"/>
          </w:pPr>
          <w:hyperlink w:history="true" w:anchor="_bookmark562">
            <w:r>
              <w:rPr/>
              <w:t>Reopening of distribution determination for</w:t>
            </w:r>
            <w:r>
              <w:rPr>
                <w:spacing w:val="-4"/>
              </w:rPr>
              <w:t> </w:t>
            </w:r>
            <w:r>
              <w:rPr/>
              <w:t>capital expenditure</w:t>
              <w:tab/>
              <w:t>457</w:t>
            </w:r>
          </w:hyperlink>
        </w:p>
        <w:p>
          <w:pPr>
            <w:pStyle w:val="TOC2"/>
            <w:tabs>
              <w:tab w:pos="1919" w:val="left" w:leader="none"/>
              <w:tab w:pos="8930" w:val="left" w:leader="dot"/>
            </w:tabs>
          </w:pPr>
          <w:hyperlink w:history="true" w:anchor="_bookmark563">
            <w:r>
              <w:rPr/>
              <w:t>6.6A</w:t>
              <w:tab/>
              <w:t>Contingent</w:t>
            </w:r>
            <w:r>
              <w:rPr>
                <w:spacing w:val="-4"/>
              </w:rPr>
              <w:t> </w:t>
            </w:r>
            <w:r>
              <w:rPr/>
              <w:t>Projects</w:t>
              <w:tab/>
              <w:t>461</w:t>
            </w:r>
          </w:hyperlink>
        </w:p>
        <w:p>
          <w:pPr>
            <w:pStyle w:val="TOC3"/>
            <w:tabs>
              <w:tab w:pos="1919" w:val="left" w:leader="none"/>
              <w:tab w:pos="8931" w:val="left" w:leader="dot"/>
            </w:tabs>
            <w:ind w:left="218"/>
          </w:pPr>
          <w:hyperlink w:history="true" w:anchor="_bookmark564">
            <w:r>
              <w:rPr/>
              <w:t>6.6A.1</w:t>
              <w:tab/>
              <w:t>Acceptance of a contingent project in a</w:t>
            </w:r>
            <w:r>
              <w:rPr>
                <w:spacing w:val="-6"/>
              </w:rPr>
              <w:t> </w:t>
            </w:r>
            <w:r>
              <w:rPr/>
              <w:t>distribution</w:t>
            </w:r>
            <w:r>
              <w:rPr>
                <w:spacing w:val="-1"/>
              </w:rPr>
              <w:t> </w:t>
            </w:r>
            <w:r>
              <w:rPr/>
              <w:t>determination</w:t>
              <w:tab/>
              <w:t>461</w:t>
            </w:r>
          </w:hyperlink>
        </w:p>
        <w:p>
          <w:pPr>
            <w:pStyle w:val="TOC3"/>
            <w:numPr>
              <w:ilvl w:val="1"/>
              <w:numId w:val="27"/>
            </w:numPr>
            <w:tabs>
              <w:tab w:pos="519" w:val="left" w:leader="none"/>
              <w:tab w:pos="1919" w:val="left" w:leader="none"/>
              <w:tab w:pos="8929" w:val="left" w:leader="dot"/>
            </w:tabs>
            <w:spacing w:line="240" w:lineRule="auto" w:before="0" w:after="0"/>
            <w:ind w:left="519" w:right="0" w:hanging="301"/>
            <w:jc w:val="left"/>
            <w:rPr>
              <w:sz w:val="22"/>
            </w:rPr>
          </w:pPr>
          <w:hyperlink w:history="true" w:anchor="_bookmark565">
            <w:r>
              <w:rPr/>
              <w:t>A.2</w:t>
              <w:tab/>
              <w:t>Amendment of distribution determination for</w:t>
            </w:r>
            <w:r>
              <w:rPr>
                <w:spacing w:val="-4"/>
              </w:rPr>
              <w:t> </w:t>
            </w:r>
            <w:r>
              <w:rPr/>
              <w:t>contingent</w:t>
            </w:r>
            <w:r>
              <w:rPr>
                <w:spacing w:val="-1"/>
              </w:rPr>
              <w:t> </w:t>
            </w:r>
            <w:r>
              <w:rPr/>
              <w:t>project</w:t>
              <w:tab/>
              <w:t>462</w:t>
            </w:r>
          </w:hyperlink>
        </w:p>
        <w:p>
          <w:pPr>
            <w:pStyle w:val="TOC2"/>
            <w:tabs>
              <w:tab w:pos="1919" w:val="left" w:leader="none"/>
              <w:tab w:pos="8930" w:val="left" w:leader="dot"/>
            </w:tabs>
          </w:pPr>
          <w:hyperlink w:history="true" w:anchor="_bookmark566">
            <w:r>
              <w:rPr/>
              <w:t>Part D</w:t>
              <w:tab/>
              <w:t>Negotiated</w:t>
            </w:r>
            <w:r>
              <w:rPr>
                <w:spacing w:val="-5"/>
              </w:rPr>
              <w:t> </w:t>
            </w:r>
            <w:r>
              <w:rPr/>
              <w:t>distribution</w:t>
            </w:r>
            <w:r>
              <w:rPr>
                <w:spacing w:val="-5"/>
              </w:rPr>
              <w:t> </w:t>
            </w:r>
            <w:r>
              <w:rPr/>
              <w:t>services</w:t>
              <w:tab/>
              <w:t>467</w:t>
            </w:r>
          </w:hyperlink>
        </w:p>
        <w:p>
          <w:pPr>
            <w:pStyle w:val="TOC2"/>
            <w:numPr>
              <w:ilvl w:val="1"/>
              <w:numId w:val="27"/>
            </w:numPr>
            <w:tabs>
              <w:tab w:pos="1919" w:val="left" w:leader="none"/>
              <w:tab w:pos="1920" w:val="left" w:leader="none"/>
              <w:tab w:pos="8929" w:val="left" w:leader="dot"/>
            </w:tabs>
            <w:spacing w:line="240" w:lineRule="auto" w:before="120" w:after="0"/>
            <w:ind w:left="1919" w:right="0" w:hanging="1702"/>
            <w:jc w:val="left"/>
          </w:pPr>
          <w:hyperlink w:history="true" w:anchor="_bookmark567">
            <w:r>
              <w:rPr/>
              <w:t>Negotiated</w:t>
            </w:r>
            <w:r>
              <w:rPr>
                <w:spacing w:val="-5"/>
              </w:rPr>
              <w:t> </w:t>
            </w:r>
            <w:r>
              <w:rPr/>
              <w:t>distribution</w:t>
            </w:r>
            <w:r>
              <w:rPr>
                <w:spacing w:val="-5"/>
              </w:rPr>
              <w:t> </w:t>
            </w:r>
            <w:r>
              <w:rPr/>
              <w:t>services</w:t>
              <w:tab/>
              <w:t>467</w:t>
            </w:r>
          </w:hyperlink>
        </w:p>
        <w:p>
          <w:pPr>
            <w:pStyle w:val="TOC3"/>
            <w:numPr>
              <w:ilvl w:val="2"/>
              <w:numId w:val="27"/>
            </w:numPr>
            <w:tabs>
              <w:tab w:pos="1919" w:val="left" w:leader="none"/>
              <w:tab w:pos="1920" w:val="left" w:leader="none"/>
              <w:tab w:pos="8930" w:val="left" w:leader="dot"/>
            </w:tabs>
            <w:spacing w:line="240" w:lineRule="auto" w:before="0" w:after="0"/>
            <w:ind w:left="1919" w:right="0" w:hanging="1702"/>
            <w:jc w:val="left"/>
          </w:pPr>
          <w:hyperlink w:history="true" w:anchor="_bookmark568">
            <w:r>
              <w:rPr/>
              <w:t>Principles relating to access to negotiated</w:t>
            </w:r>
            <w:r>
              <w:rPr>
                <w:spacing w:val="-11"/>
              </w:rPr>
              <w:t> </w:t>
            </w:r>
            <w:r>
              <w:rPr/>
              <w:t>distribution</w:t>
            </w:r>
            <w:r>
              <w:rPr>
                <w:spacing w:val="-2"/>
              </w:rPr>
              <w:t> </w:t>
            </w:r>
            <w:r>
              <w:rPr/>
              <w:t>services</w:t>
              <w:tab/>
              <w:t>467</w:t>
            </w:r>
          </w:hyperlink>
        </w:p>
        <w:p>
          <w:pPr>
            <w:pStyle w:val="TOC3"/>
            <w:numPr>
              <w:ilvl w:val="2"/>
              <w:numId w:val="27"/>
            </w:numPr>
            <w:tabs>
              <w:tab w:pos="1919" w:val="left" w:leader="none"/>
              <w:tab w:pos="1920" w:val="left" w:leader="none"/>
              <w:tab w:pos="8930" w:val="left" w:leader="dot"/>
            </w:tabs>
            <w:spacing w:line="240" w:lineRule="auto" w:before="0" w:after="0"/>
            <w:ind w:left="1919" w:right="414" w:hanging="1701"/>
            <w:jc w:val="left"/>
          </w:pPr>
          <w:hyperlink w:history="true" w:anchor="_bookmark569">
            <w:r>
              <w:rPr/>
              <w:t>Determination of terms and conditions of  access  for  negotiated</w:t>
            </w:r>
          </w:hyperlink>
          <w:hyperlink w:history="true" w:anchor="_bookmark569">
            <w:r>
              <w:rPr/>
              <w:t> distribution</w:t>
            </w:r>
            <w:r>
              <w:rPr>
                <w:spacing w:val="-3"/>
              </w:rPr>
              <w:t> </w:t>
            </w:r>
            <w:r>
              <w:rPr/>
              <w:t>services</w:t>
              <w:tab/>
            </w:r>
            <w:r>
              <w:rPr>
                <w:spacing w:val="-6"/>
              </w:rPr>
              <w:t>469</w:t>
            </w:r>
          </w:hyperlink>
        </w:p>
        <w:p>
          <w:pPr>
            <w:pStyle w:val="TOC3"/>
            <w:numPr>
              <w:ilvl w:val="2"/>
              <w:numId w:val="27"/>
            </w:numPr>
            <w:tabs>
              <w:tab w:pos="1919" w:val="left" w:leader="none"/>
              <w:tab w:pos="1920" w:val="left" w:leader="none"/>
              <w:tab w:pos="8931" w:val="left" w:leader="dot"/>
            </w:tabs>
            <w:spacing w:line="240" w:lineRule="auto" w:before="0" w:after="0"/>
            <w:ind w:left="1919" w:right="0" w:hanging="1702"/>
            <w:jc w:val="left"/>
          </w:pPr>
          <w:hyperlink w:history="true" w:anchor="_bookmark570">
            <w:r>
              <w:rPr/>
              <w:t>Negotiating</w:t>
            </w:r>
            <w:r>
              <w:rPr>
                <w:spacing w:val="-2"/>
              </w:rPr>
              <w:t> </w:t>
            </w:r>
            <w:r>
              <w:rPr/>
              <w:t>framework</w:t>
            </w:r>
            <w:r>
              <w:rPr>
                <w:spacing w:val="-2"/>
              </w:rPr>
              <w:t> </w:t>
            </w:r>
            <w:r>
              <w:rPr/>
              <w:t>determination</w:t>
              <w:tab/>
              <w:t>469</w:t>
            </w:r>
          </w:hyperlink>
        </w:p>
        <w:p>
          <w:pPr>
            <w:pStyle w:val="TOC3"/>
            <w:numPr>
              <w:ilvl w:val="2"/>
              <w:numId w:val="27"/>
            </w:numPr>
            <w:tabs>
              <w:tab w:pos="1919" w:val="left" w:leader="none"/>
              <w:tab w:pos="1920" w:val="left" w:leader="none"/>
              <w:tab w:pos="8929" w:val="left" w:leader="dot"/>
            </w:tabs>
            <w:spacing w:line="240" w:lineRule="auto" w:before="0" w:after="0"/>
            <w:ind w:left="1919" w:right="0" w:hanging="1702"/>
            <w:jc w:val="left"/>
          </w:pPr>
          <w:hyperlink w:history="true" w:anchor="_bookmark571">
            <w:r>
              <w:rPr/>
              <w:t>Negotiated Distribution Service</w:t>
            </w:r>
            <w:r>
              <w:rPr>
                <w:spacing w:val="-11"/>
              </w:rPr>
              <w:t> </w:t>
            </w:r>
            <w:r>
              <w:rPr/>
              <w:t>Criteria</w:t>
            </w:r>
            <w:r>
              <w:rPr>
                <w:spacing w:val="-3"/>
              </w:rPr>
              <w:t> </w:t>
            </w:r>
            <w:r>
              <w:rPr/>
              <w:t>determination</w:t>
              <w:tab/>
              <w:t>469</w:t>
            </w:r>
          </w:hyperlink>
        </w:p>
        <w:p>
          <w:pPr>
            <w:pStyle w:val="TOC3"/>
            <w:numPr>
              <w:ilvl w:val="2"/>
              <w:numId w:val="27"/>
            </w:numPr>
            <w:tabs>
              <w:tab w:pos="1919" w:val="left" w:leader="none"/>
              <w:tab w:pos="1920" w:val="left" w:leader="none"/>
              <w:tab w:pos="8930" w:val="left" w:leader="dot"/>
            </w:tabs>
            <w:spacing w:line="240" w:lineRule="auto" w:before="0" w:after="0"/>
            <w:ind w:left="1919" w:right="414" w:hanging="1701"/>
            <w:jc w:val="left"/>
          </w:pPr>
          <w:hyperlink w:history="true" w:anchor="_bookmark572">
            <w:r>
              <w:rPr/>
              <w:t>Preparation of and requirements  for  negotiating  framework  for</w:t>
            </w:r>
          </w:hyperlink>
          <w:r>
            <w:rPr/>
            <w:t> </w:t>
          </w:r>
          <w:hyperlink w:history="true" w:anchor="_bookmark572">
            <w:r>
              <w:rPr/>
              <w:t> negotiated</w:t>
            </w:r>
            <w:r>
              <w:rPr>
                <w:spacing w:val="-3"/>
              </w:rPr>
              <w:t> </w:t>
            </w:r>
            <w:r>
              <w:rPr/>
              <w:t>distribution</w:t>
            </w:r>
            <w:r>
              <w:rPr>
                <w:spacing w:val="-2"/>
              </w:rPr>
              <w:t> </w:t>
            </w:r>
            <w:r>
              <w:rPr/>
              <w:t>services</w:t>
              <w:tab/>
            </w:r>
            <w:r>
              <w:rPr>
                <w:spacing w:val="-6"/>
              </w:rPr>
              <w:t>470</w:t>
            </w:r>
          </w:hyperlink>
        </w:p>
        <w:p>
          <w:pPr>
            <w:pStyle w:val="TOC3"/>
            <w:numPr>
              <w:ilvl w:val="2"/>
              <w:numId w:val="27"/>
            </w:numPr>
            <w:tabs>
              <w:tab w:pos="1919" w:val="left" w:leader="none"/>
              <w:tab w:pos="1920" w:val="left" w:leader="none"/>
              <w:tab w:pos="8930" w:val="left" w:leader="dot"/>
            </w:tabs>
            <w:spacing w:line="240" w:lineRule="auto" w:before="0" w:after="0"/>
            <w:ind w:left="1919" w:right="0" w:hanging="1702"/>
            <w:jc w:val="left"/>
          </w:pPr>
          <w:hyperlink w:history="true" w:anchor="_bookmark573">
            <w:r>
              <w:rPr/>
              <w:t>Confidential</w:t>
            </w:r>
            <w:r>
              <w:rPr>
                <w:spacing w:val="-2"/>
              </w:rPr>
              <w:t> </w:t>
            </w:r>
            <w:r>
              <w:rPr/>
              <w:t>information</w:t>
              <w:tab/>
              <w:t>472</w:t>
            </w:r>
          </w:hyperlink>
        </w:p>
        <w:p>
          <w:pPr>
            <w:pStyle w:val="TOC2"/>
            <w:tabs>
              <w:tab w:pos="1919" w:val="left" w:leader="none"/>
              <w:tab w:pos="8930" w:val="left" w:leader="dot"/>
            </w:tabs>
          </w:pPr>
          <w:hyperlink w:history="true" w:anchor="_bookmark574">
            <w:r>
              <w:rPr/>
              <w:t>Part</w:t>
            </w:r>
            <w:r>
              <w:rPr>
                <w:spacing w:val="-1"/>
              </w:rPr>
              <w:t> </w:t>
            </w:r>
            <w:r>
              <w:rPr/>
              <w:t>DA</w:t>
              <w:tab/>
              <w:t>Connection</w:t>
            </w:r>
            <w:r>
              <w:rPr>
                <w:spacing w:val="-5"/>
              </w:rPr>
              <w:t> </w:t>
            </w:r>
            <w:r>
              <w:rPr/>
              <w:t>policies</w:t>
              <w:tab/>
              <w:t>472</w:t>
            </w:r>
          </w:hyperlink>
        </w:p>
        <w:p>
          <w:pPr>
            <w:pStyle w:val="TOC2"/>
            <w:tabs>
              <w:tab w:pos="1919" w:val="left" w:leader="none"/>
              <w:tab w:pos="8930" w:val="left" w:leader="dot"/>
            </w:tabs>
          </w:pPr>
          <w:hyperlink w:history="true" w:anchor="_bookmark575">
            <w:r>
              <w:rPr/>
              <w:t>6.7A</w:t>
              <w:tab/>
              <w:t>Connection</w:t>
            </w:r>
            <w:r>
              <w:rPr>
                <w:spacing w:val="-4"/>
              </w:rPr>
              <w:t> </w:t>
            </w:r>
            <w:r>
              <w:rPr/>
              <w:t>policy</w:t>
            </w:r>
            <w:r>
              <w:rPr>
                <w:spacing w:val="-4"/>
              </w:rPr>
              <w:t> </w:t>
            </w:r>
            <w:r>
              <w:rPr/>
              <w:t>requirements</w:t>
              <w:tab/>
              <w:t>472</w:t>
            </w:r>
          </w:hyperlink>
        </w:p>
        <w:p>
          <w:pPr>
            <w:pStyle w:val="TOC3"/>
            <w:numPr>
              <w:ilvl w:val="1"/>
              <w:numId w:val="28"/>
            </w:numPr>
            <w:tabs>
              <w:tab w:pos="519" w:val="left" w:leader="none"/>
              <w:tab w:pos="1919" w:val="left" w:leader="none"/>
              <w:tab w:pos="8930" w:val="left" w:leader="dot"/>
            </w:tabs>
            <w:spacing w:line="240" w:lineRule="auto" w:before="0" w:after="0"/>
            <w:ind w:left="519" w:right="0" w:hanging="301"/>
            <w:jc w:val="left"/>
            <w:rPr>
              <w:sz w:val="22"/>
            </w:rPr>
          </w:pPr>
          <w:hyperlink w:history="true" w:anchor="_bookmark576">
            <w:r>
              <w:rPr/>
              <w:t>A.1</w:t>
              <w:tab/>
              <w:t>Preparation of, and requirements for,</w:t>
            </w:r>
            <w:r>
              <w:rPr>
                <w:spacing w:val="-5"/>
              </w:rPr>
              <w:t> </w:t>
            </w:r>
            <w:r>
              <w:rPr/>
              <w:t>connection</w:t>
            </w:r>
            <w:r>
              <w:rPr>
                <w:spacing w:val="-1"/>
              </w:rPr>
              <w:t> </w:t>
            </w:r>
            <w:r>
              <w:rPr/>
              <w:t>policy</w:t>
              <w:tab/>
              <w:t>472</w:t>
            </w:r>
          </w:hyperlink>
        </w:p>
        <w:p>
          <w:pPr>
            <w:pStyle w:val="TOC2"/>
            <w:tabs>
              <w:tab w:pos="1919" w:val="left" w:leader="none"/>
              <w:tab w:pos="8928" w:val="left" w:leader="dot"/>
            </w:tabs>
            <w:spacing w:after="240"/>
          </w:pPr>
          <w:hyperlink w:history="true" w:anchor="_bookmark577">
            <w:r>
              <w:rPr/>
              <w:t>Part E</w:t>
              <w:tab/>
              <w:t>Regulatory proposal and proposed tariff</w:t>
            </w:r>
            <w:r>
              <w:rPr>
                <w:spacing w:val="-24"/>
              </w:rPr>
              <w:t> </w:t>
            </w:r>
            <w:r>
              <w:rPr/>
              <w:t>structure</w:t>
            </w:r>
            <w:r>
              <w:rPr>
                <w:spacing w:val="-6"/>
              </w:rPr>
              <w:t> </w:t>
            </w:r>
            <w:r>
              <w:rPr/>
              <w:t>statement</w:t>
              <w:tab/>
              <w:t>473</w:t>
            </w:r>
          </w:hyperlink>
        </w:p>
        <w:p>
          <w:pPr>
            <w:pStyle w:val="TOC2"/>
            <w:numPr>
              <w:ilvl w:val="1"/>
              <w:numId w:val="28"/>
            </w:numPr>
            <w:tabs>
              <w:tab w:pos="1919" w:val="left" w:leader="none"/>
              <w:tab w:pos="1920" w:val="left" w:leader="none"/>
              <w:tab w:pos="8928" w:val="left" w:leader="dot"/>
            </w:tabs>
            <w:spacing w:line="240" w:lineRule="auto" w:before="83" w:after="0"/>
            <w:ind w:left="1919" w:right="0" w:hanging="1702"/>
            <w:jc w:val="left"/>
          </w:pPr>
          <w:hyperlink w:history="true" w:anchor="_bookmark578">
            <w:r>
              <w:rPr/>
              <w:t>Regulatory proposal and proposed tariff</w:t>
            </w:r>
            <w:r>
              <w:rPr>
                <w:spacing w:val="-24"/>
              </w:rPr>
              <w:t> </w:t>
            </w:r>
            <w:r>
              <w:rPr/>
              <w:t>structure</w:t>
            </w:r>
            <w:r>
              <w:rPr>
                <w:spacing w:val="-6"/>
              </w:rPr>
              <w:t> </w:t>
            </w:r>
            <w:r>
              <w:rPr/>
              <w:t>statement</w:t>
              <w:tab/>
              <w:t>473</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579">
            <w:r>
              <w:rPr/>
              <w:t>AER's framework and</w:t>
            </w:r>
            <w:r>
              <w:rPr>
                <w:spacing w:val="-4"/>
              </w:rPr>
              <w:t> </w:t>
            </w:r>
            <w:r>
              <w:rPr/>
              <w:t>approach</w:t>
            </w:r>
            <w:r>
              <w:rPr>
                <w:spacing w:val="-1"/>
              </w:rPr>
              <w:t> </w:t>
            </w:r>
            <w:r>
              <w:rPr/>
              <w:t>paper</w:t>
              <w:tab/>
              <w:t>473</w:t>
            </w:r>
          </w:hyperlink>
        </w:p>
        <w:p>
          <w:pPr>
            <w:pStyle w:val="TOC3"/>
            <w:numPr>
              <w:ilvl w:val="2"/>
              <w:numId w:val="29"/>
            </w:numPr>
            <w:tabs>
              <w:tab w:pos="699" w:val="left" w:leader="none"/>
              <w:tab w:pos="1919" w:val="left" w:leader="none"/>
              <w:tab w:pos="8931" w:val="left" w:leader="dot"/>
            </w:tabs>
            <w:spacing w:line="240" w:lineRule="auto" w:before="0" w:after="0"/>
            <w:ind w:left="699" w:right="0" w:hanging="481"/>
            <w:jc w:val="left"/>
          </w:pPr>
          <w:hyperlink w:history="true" w:anchor="_bookmark580">
            <w:r>
              <w:rPr/>
              <w:t>A</w:t>
              <w:tab/>
              <w:t>Notification of approach to</w:t>
            </w:r>
            <w:r>
              <w:rPr>
                <w:spacing w:val="-5"/>
              </w:rPr>
              <w:t> </w:t>
            </w:r>
            <w:r>
              <w:rPr/>
              <w:t>forecasting</w:t>
            </w:r>
            <w:r>
              <w:rPr>
                <w:spacing w:val="-1"/>
              </w:rPr>
              <w:t> </w:t>
            </w:r>
            <w:r>
              <w:rPr/>
              <w:t>expenditure</w:t>
              <w:tab/>
              <w:t>475</w:t>
            </w:r>
          </w:hyperlink>
        </w:p>
        <w:p>
          <w:pPr>
            <w:pStyle w:val="TOC3"/>
            <w:numPr>
              <w:ilvl w:val="2"/>
              <w:numId w:val="29"/>
            </w:numPr>
            <w:tabs>
              <w:tab w:pos="1919" w:val="left" w:leader="none"/>
              <w:tab w:pos="1920" w:val="left" w:leader="none"/>
              <w:tab w:pos="8931" w:val="left" w:leader="dot"/>
            </w:tabs>
            <w:spacing w:line="240" w:lineRule="auto" w:before="0" w:after="0"/>
            <w:ind w:left="1919" w:right="413" w:hanging="1701"/>
            <w:jc w:val="left"/>
          </w:pPr>
          <w:hyperlink w:history="true" w:anchor="_bookmark581">
            <w:r>
              <w:rPr/>
              <w:t>Submission of regulatory proposal, tariff structure  statement  and</w:t>
            </w:r>
          </w:hyperlink>
          <w:hyperlink w:history="true" w:anchor="_bookmark581">
            <w:r>
              <w:rPr/>
              <w:t> exemption</w:t>
            </w:r>
            <w:r>
              <w:rPr>
                <w:spacing w:val="-1"/>
              </w:rPr>
              <w:t> </w:t>
            </w:r>
            <w:r>
              <w:rPr/>
              <w:t>application</w:t>
              <w:tab/>
            </w:r>
            <w:r>
              <w:rPr>
                <w:spacing w:val="-6"/>
              </w:rPr>
              <w:t>476</w:t>
            </w:r>
          </w:hyperlink>
        </w:p>
        <w:p>
          <w:pPr>
            <w:pStyle w:val="TOC2"/>
            <w:numPr>
              <w:ilvl w:val="1"/>
              <w:numId w:val="28"/>
            </w:numPr>
            <w:tabs>
              <w:tab w:pos="1919" w:val="left" w:leader="none"/>
              <w:tab w:pos="1920" w:val="left" w:leader="none"/>
              <w:tab w:pos="8932" w:val="left" w:leader="dot"/>
            </w:tabs>
            <w:spacing w:line="240" w:lineRule="auto" w:before="120" w:after="0"/>
            <w:ind w:left="1919" w:right="0" w:hanging="1702"/>
            <w:jc w:val="left"/>
          </w:pPr>
          <w:hyperlink w:history="true" w:anchor="_bookmark582">
            <w:r>
              <w:rPr/>
              <w:t>Preliminary examination</w:t>
            </w:r>
            <w:r>
              <w:rPr>
                <w:spacing w:val="-2"/>
              </w:rPr>
              <w:t> </w:t>
            </w:r>
            <w:r>
              <w:rPr/>
              <w:t>and consultation</w:t>
              <w:tab/>
              <w:t>478</w:t>
            </w:r>
          </w:hyperlink>
        </w:p>
        <w:p>
          <w:pPr>
            <w:pStyle w:val="TOC3"/>
            <w:numPr>
              <w:ilvl w:val="2"/>
              <w:numId w:val="28"/>
            </w:numPr>
            <w:tabs>
              <w:tab w:pos="1919" w:val="left" w:leader="none"/>
              <w:tab w:pos="1920" w:val="left" w:leader="none"/>
              <w:tab w:pos="8931" w:val="left" w:leader="dot"/>
            </w:tabs>
            <w:spacing w:line="240" w:lineRule="auto" w:before="0" w:after="0"/>
            <w:ind w:left="1919" w:right="0" w:hanging="1702"/>
            <w:jc w:val="left"/>
          </w:pPr>
          <w:hyperlink w:history="true" w:anchor="_bookmark583">
            <w:r>
              <w:rPr/>
              <w:t>Preliminary</w:t>
            </w:r>
            <w:r>
              <w:rPr>
                <w:spacing w:val="-2"/>
              </w:rPr>
              <w:t> </w:t>
            </w:r>
            <w:r>
              <w:rPr/>
              <w:t>examination</w:t>
              <w:tab/>
              <w:t>478</w:t>
            </w:r>
          </w:hyperlink>
        </w:p>
        <w:p>
          <w:pPr>
            <w:pStyle w:val="TOC3"/>
            <w:numPr>
              <w:ilvl w:val="2"/>
              <w:numId w:val="28"/>
            </w:numPr>
            <w:tabs>
              <w:tab w:pos="1919" w:val="left" w:leader="none"/>
              <w:tab w:pos="1920" w:val="left" w:leader="none"/>
              <w:tab w:pos="8931" w:val="left" w:leader="dot"/>
            </w:tabs>
            <w:spacing w:line="240" w:lineRule="auto" w:before="0" w:after="0"/>
            <w:ind w:left="1919" w:right="0" w:hanging="1702"/>
            <w:jc w:val="left"/>
          </w:pPr>
          <w:hyperlink w:history="true" w:anchor="_bookmark584">
            <w:r>
              <w:rPr/>
              <w:t>Resubmission</w:t>
            </w:r>
            <w:r>
              <w:rPr>
                <w:spacing w:val="-1"/>
              </w:rPr>
              <w:t> </w:t>
            </w:r>
            <w:r>
              <w:rPr/>
              <w:t>of</w:t>
            </w:r>
            <w:r>
              <w:rPr>
                <w:spacing w:val="-1"/>
              </w:rPr>
              <w:t> </w:t>
            </w:r>
            <w:r>
              <w:rPr/>
              <w:t>proposal</w:t>
              <w:tab/>
              <w:t>478</w:t>
            </w:r>
          </w:hyperlink>
        </w:p>
        <w:p>
          <w:pPr>
            <w:pStyle w:val="TOC3"/>
            <w:numPr>
              <w:ilvl w:val="2"/>
              <w:numId w:val="30"/>
            </w:numPr>
            <w:tabs>
              <w:tab w:pos="699" w:val="left" w:leader="none"/>
              <w:tab w:pos="1919" w:val="left" w:leader="none"/>
              <w:tab w:pos="8930" w:val="left" w:leader="dot"/>
            </w:tabs>
            <w:spacing w:line="240" w:lineRule="auto" w:before="0" w:after="0"/>
            <w:ind w:left="699" w:right="0" w:hanging="481"/>
            <w:jc w:val="left"/>
          </w:pPr>
          <w:hyperlink w:history="true" w:anchor="_bookmark585">
            <w:r>
              <w:rPr/>
              <w:t>A</w:t>
              <w:tab/>
              <w:t>Confidential</w:t>
            </w:r>
            <w:r>
              <w:rPr>
                <w:spacing w:val="-2"/>
              </w:rPr>
              <w:t> </w:t>
            </w:r>
            <w:r>
              <w:rPr/>
              <w:t>information</w:t>
              <w:tab/>
              <w:t>478</w:t>
            </w:r>
          </w:hyperlink>
        </w:p>
        <w:p>
          <w:pPr>
            <w:pStyle w:val="TOC3"/>
            <w:numPr>
              <w:ilvl w:val="2"/>
              <w:numId w:val="30"/>
            </w:numPr>
            <w:tabs>
              <w:tab w:pos="1919" w:val="left" w:leader="none"/>
              <w:tab w:pos="1920" w:val="left" w:leader="none"/>
              <w:tab w:pos="8930" w:val="left" w:leader="dot"/>
            </w:tabs>
            <w:spacing w:line="240" w:lineRule="auto" w:before="0" w:after="0"/>
            <w:ind w:left="1919" w:right="0" w:hanging="1702"/>
            <w:jc w:val="left"/>
          </w:pPr>
          <w:hyperlink w:history="true" w:anchor="_bookmark586">
            <w:r>
              <w:rPr/>
              <w:t>Consultation</w:t>
              <w:tab/>
              <w:t>479</w:t>
            </w:r>
          </w:hyperlink>
        </w:p>
        <w:p>
          <w:pPr>
            <w:pStyle w:val="TOC2"/>
            <w:numPr>
              <w:ilvl w:val="1"/>
              <w:numId w:val="28"/>
            </w:numPr>
            <w:tabs>
              <w:tab w:pos="1919" w:val="left" w:leader="none"/>
              <w:tab w:pos="1920" w:val="left" w:leader="none"/>
              <w:tab w:pos="8930" w:val="left" w:leader="dot"/>
            </w:tabs>
            <w:spacing w:line="240" w:lineRule="auto" w:before="120" w:after="0"/>
            <w:ind w:left="1919" w:right="0" w:hanging="1702"/>
            <w:jc w:val="left"/>
          </w:pPr>
          <w:hyperlink w:history="true" w:anchor="_bookmark587">
            <w:r>
              <w:rPr/>
              <w:t>Draft distribution determination and</w:t>
            </w:r>
            <w:r>
              <w:rPr>
                <w:spacing w:val="-11"/>
              </w:rPr>
              <w:t> </w:t>
            </w:r>
            <w:r>
              <w:rPr/>
              <w:t>further</w:t>
            </w:r>
            <w:r>
              <w:rPr>
                <w:spacing w:val="-4"/>
              </w:rPr>
              <w:t> </w:t>
            </w:r>
            <w:r>
              <w:rPr/>
              <w:t>consultation</w:t>
              <w:tab/>
              <w:t>480</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588">
            <w:r>
              <w:rPr/>
              <w:t>Making of draft</w:t>
            </w:r>
            <w:r>
              <w:rPr>
                <w:spacing w:val="-3"/>
              </w:rPr>
              <w:t> </w:t>
            </w:r>
            <w:r>
              <w:rPr/>
              <w:t>distribution</w:t>
            </w:r>
            <w:r>
              <w:rPr>
                <w:spacing w:val="-1"/>
              </w:rPr>
              <w:t> </w:t>
            </w:r>
            <w:r>
              <w:rPr/>
              <w:t>determination</w:t>
              <w:tab/>
              <w:t>480</w:t>
            </w:r>
          </w:hyperlink>
        </w:p>
        <w:p>
          <w:pPr>
            <w:pStyle w:val="TOC3"/>
            <w:numPr>
              <w:ilvl w:val="2"/>
              <w:numId w:val="28"/>
            </w:numPr>
            <w:tabs>
              <w:tab w:pos="1919" w:val="left" w:leader="none"/>
              <w:tab w:pos="1920" w:val="left" w:leader="none"/>
              <w:tab w:pos="8931" w:val="left" w:leader="dot"/>
            </w:tabs>
            <w:spacing w:line="240" w:lineRule="auto" w:before="0" w:after="0"/>
            <w:ind w:left="1919" w:right="0" w:hanging="1702"/>
            <w:jc w:val="left"/>
          </w:pPr>
          <w:hyperlink w:history="true" w:anchor="_bookmark589">
            <w:r>
              <w:rPr/>
              <w:t>Publication of draft determination</w:t>
            </w:r>
            <w:r>
              <w:rPr>
                <w:spacing w:val="-5"/>
              </w:rPr>
              <w:t> </w:t>
            </w:r>
            <w:r>
              <w:rPr/>
              <w:t>and</w:t>
            </w:r>
            <w:r>
              <w:rPr>
                <w:spacing w:val="-1"/>
              </w:rPr>
              <w:t> </w:t>
            </w:r>
            <w:r>
              <w:rPr/>
              <w:t>consultation</w:t>
              <w:tab/>
              <w:t>480</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590">
            <w:r>
              <w:rPr/>
              <w:t>Submission of</w:t>
            </w:r>
            <w:r>
              <w:rPr>
                <w:spacing w:val="-3"/>
              </w:rPr>
              <w:t> </w:t>
            </w:r>
            <w:r>
              <w:rPr/>
              <w:t>revised</w:t>
            </w:r>
            <w:r>
              <w:rPr>
                <w:spacing w:val="-1"/>
              </w:rPr>
              <w:t> </w:t>
            </w:r>
            <w:r>
              <w:rPr/>
              <w:t>proposal</w:t>
              <w:tab/>
              <w:t>481</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591">
            <w:r>
              <w:rPr/>
              <w:t>Submissions on</w:t>
            </w:r>
            <w:r>
              <w:rPr>
                <w:spacing w:val="-5"/>
              </w:rPr>
              <w:t> </w:t>
            </w:r>
            <w:r>
              <w:rPr/>
              <w:t>specified</w:t>
            </w:r>
            <w:r>
              <w:rPr>
                <w:spacing w:val="-2"/>
              </w:rPr>
              <w:t> </w:t>
            </w:r>
            <w:r>
              <w:rPr/>
              <w:t>matters</w:t>
              <w:tab/>
              <w:t>482</w:t>
            </w:r>
          </w:hyperlink>
        </w:p>
        <w:p>
          <w:pPr>
            <w:pStyle w:val="TOC2"/>
            <w:numPr>
              <w:ilvl w:val="1"/>
              <w:numId w:val="28"/>
            </w:numPr>
            <w:tabs>
              <w:tab w:pos="1919" w:val="left" w:leader="none"/>
              <w:tab w:pos="1920" w:val="left" w:leader="none"/>
              <w:tab w:pos="8930" w:val="left" w:leader="dot"/>
            </w:tabs>
            <w:spacing w:line="240" w:lineRule="auto" w:before="120" w:after="0"/>
            <w:ind w:left="1919" w:right="0" w:hanging="1702"/>
            <w:jc w:val="left"/>
          </w:pPr>
          <w:hyperlink w:history="true" w:anchor="_bookmark592">
            <w:r>
              <w:rPr/>
              <w:t>Distribution</w:t>
            </w:r>
            <w:r>
              <w:rPr>
                <w:spacing w:val="-5"/>
              </w:rPr>
              <w:t> </w:t>
            </w:r>
            <w:r>
              <w:rPr/>
              <w:t>determination</w:t>
              <w:tab/>
              <w:t>482</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593">
            <w:r>
              <w:rPr/>
              <w:t>Making of</w:t>
            </w:r>
            <w:r>
              <w:rPr>
                <w:spacing w:val="-3"/>
              </w:rPr>
              <w:t> </w:t>
            </w:r>
            <w:r>
              <w:rPr/>
              <w:t>distribution</w:t>
            </w:r>
            <w:r>
              <w:rPr>
                <w:spacing w:val="-1"/>
              </w:rPr>
              <w:t> </w:t>
            </w:r>
            <w:r>
              <w:rPr/>
              <w:t>determination</w:t>
              <w:tab/>
              <w:t>482</w:t>
            </w:r>
          </w:hyperlink>
        </w:p>
        <w:p>
          <w:pPr>
            <w:pStyle w:val="TOC3"/>
            <w:numPr>
              <w:ilvl w:val="2"/>
              <w:numId w:val="31"/>
            </w:numPr>
            <w:tabs>
              <w:tab w:pos="819" w:val="left" w:leader="none"/>
              <w:tab w:pos="1919" w:val="left" w:leader="none"/>
              <w:tab w:pos="8930" w:val="left" w:leader="dot"/>
            </w:tabs>
            <w:spacing w:line="240" w:lineRule="auto" w:before="0" w:after="0"/>
            <w:ind w:left="819" w:right="0" w:hanging="601"/>
            <w:jc w:val="left"/>
          </w:pPr>
          <w:hyperlink w:history="true" w:anchor="_bookmark594">
            <w:r>
              <w:rPr/>
              <w:t>A</w:t>
              <w:tab/>
              <w:t>Out of scope revised regulatory proposal or</w:t>
            </w:r>
            <w:r>
              <w:rPr>
                <w:spacing w:val="-7"/>
              </w:rPr>
              <w:t> </w:t>
            </w:r>
            <w:r>
              <w:rPr/>
              <w:t>late</w:t>
            </w:r>
            <w:r>
              <w:rPr>
                <w:spacing w:val="-1"/>
              </w:rPr>
              <w:t> </w:t>
            </w:r>
            <w:r>
              <w:rPr/>
              <w:t>submissions</w:t>
              <w:tab/>
              <w:t>483</w:t>
            </w:r>
          </w:hyperlink>
        </w:p>
        <w:p>
          <w:pPr>
            <w:pStyle w:val="TOC3"/>
            <w:numPr>
              <w:ilvl w:val="2"/>
              <w:numId w:val="31"/>
            </w:numPr>
            <w:tabs>
              <w:tab w:pos="1919" w:val="left" w:leader="none"/>
              <w:tab w:pos="1920" w:val="left" w:leader="none"/>
              <w:tab w:pos="8930" w:val="left" w:leader="dot"/>
            </w:tabs>
            <w:spacing w:line="240" w:lineRule="auto" w:before="0" w:after="0"/>
            <w:ind w:left="1919" w:right="0" w:hanging="1702"/>
            <w:jc w:val="left"/>
          </w:pPr>
          <w:hyperlink w:history="true" w:anchor="_bookmark595">
            <w:r>
              <w:rPr/>
              <w:t>Notice of</w:t>
            </w:r>
            <w:r>
              <w:rPr>
                <w:spacing w:val="-3"/>
              </w:rPr>
              <w:t> </w:t>
            </w:r>
            <w:r>
              <w:rPr/>
              <w:t>distribution</w:t>
            </w:r>
            <w:r>
              <w:rPr>
                <w:spacing w:val="-1"/>
              </w:rPr>
              <w:t> </w:t>
            </w:r>
            <w:r>
              <w:rPr/>
              <w:t>determination</w:t>
              <w:tab/>
              <w:t>483</w:t>
            </w:r>
          </w:hyperlink>
        </w:p>
        <w:p>
          <w:pPr>
            <w:pStyle w:val="TOC3"/>
            <w:numPr>
              <w:ilvl w:val="2"/>
              <w:numId w:val="31"/>
            </w:numPr>
            <w:tabs>
              <w:tab w:pos="1919" w:val="left" w:leader="none"/>
              <w:tab w:pos="1920" w:val="left" w:leader="none"/>
              <w:tab w:pos="8930" w:val="left" w:leader="dot"/>
            </w:tabs>
            <w:spacing w:line="240" w:lineRule="auto" w:before="0" w:after="0"/>
            <w:ind w:left="1919" w:right="0" w:hanging="1702"/>
            <w:jc w:val="left"/>
          </w:pPr>
          <w:hyperlink w:history="true" w:anchor="_bookmark596">
            <w:r>
              <w:rPr/>
              <w:t>Commencement of</w:t>
            </w:r>
            <w:r>
              <w:rPr>
                <w:spacing w:val="-2"/>
              </w:rPr>
              <w:t> </w:t>
            </w:r>
            <w:r>
              <w:rPr/>
              <w:t>distribution</w:t>
            </w:r>
            <w:r>
              <w:rPr>
                <w:spacing w:val="-1"/>
              </w:rPr>
              <w:t> </w:t>
            </w:r>
            <w:r>
              <w:rPr/>
              <w:t>determination</w:t>
              <w:tab/>
              <w:t>484</w:t>
            </w:r>
          </w:hyperlink>
        </w:p>
        <w:p>
          <w:pPr>
            <w:pStyle w:val="TOC2"/>
            <w:numPr>
              <w:ilvl w:val="1"/>
              <w:numId w:val="28"/>
            </w:numPr>
            <w:tabs>
              <w:tab w:pos="1919" w:val="left" w:leader="none"/>
              <w:tab w:pos="1920" w:val="left" w:leader="none"/>
              <w:tab w:pos="8930" w:val="left" w:leader="dot"/>
            </w:tabs>
            <w:spacing w:line="240" w:lineRule="auto" w:before="120" w:after="0"/>
            <w:ind w:left="1919" w:right="414" w:hanging="1701"/>
            <w:jc w:val="left"/>
          </w:pPr>
          <w:hyperlink w:history="true" w:anchor="_bookmark597">
            <w:r>
              <w:rPr/>
              <w:t>Requirements  relating  to  draft  and  final   distribution</w:t>
            </w:r>
          </w:hyperlink>
          <w:hyperlink w:history="true" w:anchor="_bookmark597">
            <w:r>
              <w:rPr/>
              <w:t> determinations</w:t>
              <w:tab/>
            </w:r>
            <w:r>
              <w:rPr>
                <w:spacing w:val="-6"/>
              </w:rPr>
              <w:t>484</w:t>
            </w:r>
          </w:hyperlink>
        </w:p>
        <w:p>
          <w:pPr>
            <w:pStyle w:val="TOC3"/>
            <w:numPr>
              <w:ilvl w:val="2"/>
              <w:numId w:val="28"/>
            </w:numPr>
            <w:tabs>
              <w:tab w:pos="1919" w:val="left" w:leader="none"/>
              <w:tab w:pos="1920" w:val="left" w:leader="none"/>
              <w:tab w:pos="8931" w:val="left" w:leader="dot"/>
            </w:tabs>
            <w:spacing w:line="240" w:lineRule="auto" w:before="0" w:after="0"/>
            <w:ind w:left="1919" w:right="0" w:hanging="1702"/>
            <w:jc w:val="left"/>
          </w:pPr>
          <w:hyperlink w:history="true" w:anchor="_bookmark598">
            <w:r>
              <w:rPr/>
              <w:t>Constituent</w:t>
            </w:r>
            <w:r>
              <w:rPr>
                <w:spacing w:val="-2"/>
              </w:rPr>
              <w:t> </w:t>
            </w:r>
            <w:r>
              <w:rPr/>
              <w:t>decisions</w:t>
              <w:tab/>
              <w:t>484</w:t>
            </w:r>
          </w:hyperlink>
        </w:p>
        <w:p>
          <w:pPr>
            <w:pStyle w:val="TOC3"/>
            <w:numPr>
              <w:ilvl w:val="2"/>
              <w:numId w:val="28"/>
            </w:numPr>
            <w:tabs>
              <w:tab w:pos="1919" w:val="left" w:leader="none"/>
              <w:tab w:pos="1920" w:val="left" w:leader="none"/>
              <w:tab w:pos="8931" w:val="left" w:leader="dot"/>
            </w:tabs>
            <w:spacing w:line="240" w:lineRule="auto" w:before="0" w:after="0"/>
            <w:ind w:left="1919" w:right="0" w:hanging="1702"/>
            <w:jc w:val="left"/>
          </w:pPr>
          <w:hyperlink w:history="true" w:anchor="_bookmark599">
            <w:r>
              <w:rPr/>
              <w:t>Reasons</w:t>
            </w:r>
            <w:r>
              <w:rPr>
                <w:spacing w:val="-1"/>
              </w:rPr>
              <w:t> </w:t>
            </w:r>
            <w:r>
              <w:rPr/>
              <w:t>for</w:t>
            </w:r>
            <w:r>
              <w:rPr>
                <w:spacing w:val="-1"/>
              </w:rPr>
              <w:t> </w:t>
            </w:r>
            <w:r>
              <w:rPr/>
              <w:t>decisions</w:t>
              <w:tab/>
              <w:t>487</w:t>
            </w:r>
          </w:hyperlink>
        </w:p>
        <w:p>
          <w:pPr>
            <w:pStyle w:val="TOC3"/>
            <w:numPr>
              <w:ilvl w:val="2"/>
              <w:numId w:val="28"/>
            </w:numPr>
            <w:tabs>
              <w:tab w:pos="1919" w:val="left" w:leader="none"/>
              <w:tab w:pos="1920" w:val="left" w:leader="none"/>
              <w:tab w:pos="8930" w:val="left" w:leader="dot"/>
            </w:tabs>
            <w:spacing w:line="240" w:lineRule="auto" w:before="0" w:after="0"/>
            <w:ind w:left="1919" w:right="0" w:hanging="1702"/>
            <w:jc w:val="left"/>
          </w:pPr>
          <w:hyperlink w:history="true" w:anchor="_bookmark600">
            <w:r>
              <w:rPr/>
              <w:t>Extent of AER's discretion in making</w:t>
            </w:r>
            <w:r>
              <w:rPr>
                <w:spacing w:val="-7"/>
              </w:rPr>
              <w:t> </w:t>
            </w:r>
            <w:r>
              <w:rPr/>
              <w:t>distribution</w:t>
            </w:r>
            <w:r>
              <w:rPr>
                <w:spacing w:val="-1"/>
              </w:rPr>
              <w:t> </w:t>
            </w:r>
            <w:r>
              <w:rPr/>
              <w:t>determinations</w:t>
              <w:tab/>
              <w:t>488</w:t>
            </w:r>
          </w:hyperlink>
        </w:p>
        <w:p>
          <w:pPr>
            <w:pStyle w:val="TOC2"/>
            <w:numPr>
              <w:ilvl w:val="1"/>
              <w:numId w:val="28"/>
            </w:numPr>
            <w:tabs>
              <w:tab w:pos="1919" w:val="left" w:leader="none"/>
              <w:tab w:pos="1920" w:val="left" w:leader="none"/>
            </w:tabs>
            <w:spacing w:line="240" w:lineRule="auto" w:before="120" w:after="0"/>
            <w:ind w:left="1919" w:right="0" w:hanging="1702"/>
            <w:jc w:val="left"/>
          </w:pPr>
          <w:hyperlink w:history="true" w:anchor="_bookmark601">
            <w:r>
              <w:rPr/>
              <w:t>Revocation</w:t>
            </w:r>
            <w:r>
              <w:rPr>
                <w:spacing w:val="37"/>
              </w:rPr>
              <w:t> </w:t>
            </w:r>
            <w:r>
              <w:rPr/>
              <w:t>and</w:t>
            </w:r>
            <w:r>
              <w:rPr>
                <w:spacing w:val="38"/>
              </w:rPr>
              <w:t> </w:t>
            </w:r>
            <w:r>
              <w:rPr/>
              <w:t>substitution</w:t>
            </w:r>
            <w:r>
              <w:rPr>
                <w:spacing w:val="37"/>
              </w:rPr>
              <w:t> </w:t>
            </w:r>
            <w:r>
              <w:rPr/>
              <w:t>of</w:t>
            </w:r>
            <w:r>
              <w:rPr>
                <w:spacing w:val="38"/>
              </w:rPr>
              <w:t> </w:t>
            </w:r>
            <w:r>
              <w:rPr/>
              <w:t>distribution</w:t>
            </w:r>
            <w:r>
              <w:rPr>
                <w:spacing w:val="38"/>
              </w:rPr>
              <w:t> </w:t>
            </w:r>
            <w:r>
              <w:rPr/>
              <w:t>determination</w:t>
            </w:r>
            <w:r>
              <w:rPr>
                <w:spacing w:val="37"/>
              </w:rPr>
              <w:t> </w:t>
            </w:r>
            <w:r>
              <w:rPr/>
              <w:t>for</w:t>
            </w:r>
          </w:hyperlink>
        </w:p>
        <w:p>
          <w:pPr>
            <w:pStyle w:val="TOC4"/>
            <w:tabs>
              <w:tab w:pos="8931" w:val="left" w:leader="dot"/>
            </w:tabs>
          </w:pPr>
          <w:hyperlink w:history="true" w:anchor="_bookmark601">
            <w:r>
              <w:rPr/>
              <w:t>wrong information</w:t>
            </w:r>
            <w:r>
              <w:rPr>
                <w:spacing w:val="-3"/>
              </w:rPr>
              <w:t> </w:t>
            </w:r>
            <w:r>
              <w:rPr/>
              <w:t>or</w:t>
            </w:r>
            <w:r>
              <w:rPr>
                <w:spacing w:val="-1"/>
              </w:rPr>
              <w:t> </w:t>
            </w:r>
            <w:r>
              <w:rPr/>
              <w:t>error</w:t>
              <w:tab/>
              <w:t>489</w:t>
            </w:r>
          </w:hyperlink>
        </w:p>
        <w:p>
          <w:pPr>
            <w:pStyle w:val="TOC2"/>
            <w:numPr>
              <w:ilvl w:val="1"/>
              <w:numId w:val="28"/>
            </w:numPr>
            <w:tabs>
              <w:tab w:pos="1919" w:val="left" w:leader="none"/>
              <w:tab w:pos="1920" w:val="left" w:leader="none"/>
              <w:tab w:pos="8931" w:val="left" w:leader="dot"/>
            </w:tabs>
            <w:spacing w:line="240" w:lineRule="auto" w:before="120" w:after="0"/>
            <w:ind w:left="1919" w:right="0" w:hanging="1702"/>
            <w:jc w:val="left"/>
          </w:pPr>
          <w:hyperlink w:history="true" w:anchor="_bookmark602">
            <w:r>
              <w:rPr/>
              <w:t>Miscellaneous</w:t>
              <w:tab/>
              <w:t>490</w:t>
            </w:r>
          </w:hyperlink>
        </w:p>
        <w:p>
          <w:pPr>
            <w:pStyle w:val="TOC2"/>
            <w:numPr>
              <w:ilvl w:val="1"/>
              <w:numId w:val="32"/>
            </w:numPr>
            <w:tabs>
              <w:tab w:pos="639" w:val="left" w:leader="none"/>
              <w:tab w:pos="1919" w:val="left" w:leader="none"/>
              <w:tab w:pos="8930" w:val="left" w:leader="dot"/>
            </w:tabs>
            <w:spacing w:line="240" w:lineRule="auto" w:before="120" w:after="0"/>
            <w:ind w:left="639" w:right="0" w:hanging="421"/>
            <w:jc w:val="left"/>
            <w:rPr>
              <w:sz w:val="22"/>
            </w:rPr>
          </w:pPr>
          <w:hyperlink w:history="true" w:anchor="_bookmark603">
            <w:r>
              <w:rPr/>
              <w:t>A</w:t>
              <w:tab/>
              <w:t>Distribution</w:t>
            </w:r>
            <w:r>
              <w:rPr>
                <w:spacing w:val="-6"/>
              </w:rPr>
              <w:t> </w:t>
            </w:r>
            <w:r>
              <w:rPr/>
              <w:t>Confidentiality</w:t>
            </w:r>
            <w:r>
              <w:rPr>
                <w:spacing w:val="-5"/>
              </w:rPr>
              <w:t> </w:t>
            </w:r>
            <w:r>
              <w:rPr/>
              <w:t>Guidelines</w:t>
              <w:tab/>
              <w:t>490</w:t>
            </w:r>
          </w:hyperlink>
        </w:p>
        <w:p>
          <w:pPr>
            <w:pStyle w:val="TOC2"/>
            <w:tabs>
              <w:tab w:pos="1919" w:val="left" w:leader="none"/>
              <w:tab w:pos="8930" w:val="left" w:leader="dot"/>
            </w:tabs>
          </w:pPr>
          <w:hyperlink w:history="true" w:anchor="_bookmark604">
            <w:r>
              <w:rPr/>
              <w:t>Part F</w:t>
              <w:tab/>
              <w:t>Cost</w:t>
            </w:r>
            <w:r>
              <w:rPr>
                <w:spacing w:val="-5"/>
              </w:rPr>
              <w:t> </w:t>
            </w:r>
            <w:r>
              <w:rPr/>
              <w:t>Allocation</w:t>
              <w:tab/>
              <w:t>491</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05">
            <w:r>
              <w:rPr/>
              <w:t>Cost</w:t>
            </w:r>
            <w:r>
              <w:rPr>
                <w:spacing w:val="-3"/>
              </w:rPr>
              <w:t> </w:t>
            </w:r>
            <w:r>
              <w:rPr/>
              <w:t>allocation</w:t>
              <w:tab/>
              <w:t>491</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06">
            <w:r>
              <w:rPr/>
              <w:t>Duty to comply with Cost</w:t>
            </w:r>
            <w:r>
              <w:rPr>
                <w:spacing w:val="-13"/>
              </w:rPr>
              <w:t> </w:t>
            </w:r>
            <w:r>
              <w:rPr/>
              <w:t>Allocation</w:t>
            </w:r>
            <w:r>
              <w:rPr>
                <w:spacing w:val="-2"/>
              </w:rPr>
              <w:t> </w:t>
            </w:r>
            <w:r>
              <w:rPr/>
              <w:t>Method</w:t>
              <w:tab/>
              <w:t>491</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07">
            <w:r>
              <w:rPr/>
              <w:t>Cost</w:t>
            </w:r>
            <w:r>
              <w:rPr>
                <w:spacing w:val="-3"/>
              </w:rPr>
              <w:t> </w:t>
            </w:r>
            <w:r>
              <w:rPr/>
              <w:t>Allocation</w:t>
            </w:r>
            <w:r>
              <w:rPr>
                <w:spacing w:val="-2"/>
              </w:rPr>
              <w:t> </w:t>
            </w:r>
            <w:r>
              <w:rPr/>
              <w:t>Principles</w:t>
              <w:tab/>
              <w:t>491</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08">
            <w:r>
              <w:rPr/>
              <w:t>Cost</w:t>
            </w:r>
            <w:r>
              <w:rPr>
                <w:spacing w:val="-3"/>
              </w:rPr>
              <w:t> </w:t>
            </w:r>
            <w:r>
              <w:rPr/>
              <w:t>Allocation</w:t>
            </w:r>
            <w:r>
              <w:rPr>
                <w:spacing w:val="-2"/>
              </w:rPr>
              <w:t> </w:t>
            </w:r>
            <w:r>
              <w:rPr/>
              <w:t>Guidelines</w:t>
              <w:tab/>
              <w:t>492</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09">
            <w:r>
              <w:rPr/>
              <w:t>Cost</w:t>
            </w:r>
            <w:r>
              <w:rPr>
                <w:spacing w:val="-3"/>
              </w:rPr>
              <w:t> </w:t>
            </w:r>
            <w:r>
              <w:rPr/>
              <w:t>Allocation</w:t>
            </w:r>
            <w:r>
              <w:rPr>
                <w:spacing w:val="-2"/>
              </w:rPr>
              <w:t> </w:t>
            </w:r>
            <w:r>
              <w:rPr/>
              <w:t>Method</w:t>
              <w:tab/>
              <w:t>493</w:t>
            </w:r>
          </w:hyperlink>
        </w:p>
        <w:p>
          <w:pPr>
            <w:pStyle w:val="TOC2"/>
            <w:tabs>
              <w:tab w:pos="1919" w:val="left" w:leader="none"/>
              <w:tab w:pos="8931" w:val="left" w:leader="dot"/>
            </w:tabs>
          </w:pPr>
          <w:hyperlink w:history="true" w:anchor="_bookmark610">
            <w:r>
              <w:rPr/>
              <w:t>Part G</w:t>
              <w:tab/>
              <w:t>Distribution</w:t>
            </w:r>
            <w:r>
              <w:rPr>
                <w:spacing w:val="-5"/>
              </w:rPr>
              <w:t> </w:t>
            </w:r>
            <w:r>
              <w:rPr/>
              <w:t>consultation</w:t>
            </w:r>
            <w:r>
              <w:rPr>
                <w:spacing w:val="-4"/>
              </w:rPr>
              <w:t> </w:t>
            </w:r>
            <w:r>
              <w:rPr/>
              <w:t>procedures</w:t>
              <w:tab/>
              <w:t>494</w:t>
            </w:r>
          </w:hyperlink>
        </w:p>
        <w:p>
          <w:pPr>
            <w:pStyle w:val="TOC2"/>
            <w:numPr>
              <w:ilvl w:val="1"/>
              <w:numId w:val="32"/>
            </w:numPr>
            <w:tabs>
              <w:tab w:pos="1919" w:val="left" w:leader="none"/>
              <w:tab w:pos="1920" w:val="left" w:leader="none"/>
              <w:tab w:pos="8931" w:val="left" w:leader="dot"/>
            </w:tabs>
            <w:spacing w:line="240" w:lineRule="auto" w:before="120" w:after="0"/>
            <w:ind w:left="1919" w:right="0" w:hanging="1702"/>
            <w:jc w:val="left"/>
          </w:pPr>
          <w:hyperlink w:history="true" w:anchor="_bookmark611">
            <w:r>
              <w:rPr/>
              <w:t>Distribution</w:t>
            </w:r>
            <w:r>
              <w:rPr>
                <w:spacing w:val="-5"/>
              </w:rPr>
              <w:t> </w:t>
            </w:r>
            <w:r>
              <w:rPr/>
              <w:t>consultation</w:t>
            </w:r>
            <w:r>
              <w:rPr>
                <w:spacing w:val="-4"/>
              </w:rPr>
              <w:t> </w:t>
            </w:r>
            <w:r>
              <w:rPr/>
              <w:t>procedures</w:t>
              <w:tab/>
              <w:t>494</w:t>
            </w:r>
          </w:hyperlink>
        </w:p>
        <w:p>
          <w:pPr>
            <w:pStyle w:val="TOC2"/>
            <w:tabs>
              <w:tab w:pos="1919" w:val="left" w:leader="none"/>
              <w:tab w:pos="8931" w:val="left" w:leader="dot"/>
            </w:tabs>
            <w:ind w:left="1919" w:right="413" w:hanging="1701"/>
          </w:pPr>
          <w:hyperlink w:history="true" w:anchor="_bookmark612">
            <w:r>
              <w:rPr/>
              <w:t>Part H</w:t>
              <w:tab/>
              <w:t>Ring-Fencing Arrangements for Distribution Network Service</w:t>
            </w:r>
          </w:hyperlink>
          <w:r>
            <w:rPr/>
            <w:t> </w:t>
          </w:r>
          <w:hyperlink w:history="true" w:anchor="_bookmark612">
            <w:r>
              <w:rPr/>
              <w:t>Providers</w:t>
              <w:tab/>
            </w:r>
            <w:r>
              <w:rPr>
                <w:spacing w:val="-6"/>
              </w:rPr>
              <w:t>495</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13">
            <w:r>
              <w:rPr/>
              <w:t>Distribution</w:t>
            </w:r>
            <w:r>
              <w:rPr>
                <w:spacing w:val="-5"/>
              </w:rPr>
              <w:t> </w:t>
            </w:r>
            <w:r>
              <w:rPr/>
              <w:t>Ring-Fencing</w:t>
            </w:r>
            <w:r>
              <w:rPr>
                <w:spacing w:val="-6"/>
              </w:rPr>
              <w:t> </w:t>
            </w:r>
            <w:r>
              <w:rPr/>
              <w:t>Guidelines</w:t>
              <w:tab/>
              <w:t>495</w:t>
            </w:r>
          </w:hyperlink>
        </w:p>
        <w:p>
          <w:pPr>
            <w:pStyle w:val="TOC3"/>
            <w:numPr>
              <w:ilvl w:val="2"/>
              <w:numId w:val="32"/>
            </w:numPr>
            <w:tabs>
              <w:tab w:pos="1919" w:val="left" w:leader="none"/>
              <w:tab w:pos="1920" w:val="left" w:leader="none"/>
              <w:tab w:pos="8929" w:val="left" w:leader="dot"/>
            </w:tabs>
            <w:spacing w:line="240" w:lineRule="auto" w:before="0" w:after="0"/>
            <w:ind w:left="1919" w:right="0" w:hanging="1702"/>
            <w:jc w:val="left"/>
          </w:pPr>
          <w:hyperlink w:history="true" w:anchor="_bookmark614">
            <w:r>
              <w:rPr/>
              <w:t>Compliance with Distribution</w:t>
            </w:r>
            <w:r>
              <w:rPr>
                <w:spacing w:val="-10"/>
              </w:rPr>
              <w:t> </w:t>
            </w:r>
            <w:r>
              <w:rPr/>
              <w:t>Ring-Fencing</w:t>
            </w:r>
            <w:r>
              <w:rPr>
                <w:spacing w:val="-2"/>
              </w:rPr>
              <w:t> </w:t>
            </w:r>
            <w:r>
              <w:rPr/>
              <w:t>Guidelines</w:t>
              <w:tab/>
              <w:t>495</w:t>
            </w:r>
          </w:hyperlink>
        </w:p>
        <w:p>
          <w:pPr>
            <w:pStyle w:val="TOC3"/>
            <w:numPr>
              <w:ilvl w:val="2"/>
              <w:numId w:val="33"/>
            </w:numPr>
            <w:tabs>
              <w:tab w:pos="819" w:val="left" w:leader="none"/>
              <w:tab w:pos="1919" w:val="left" w:leader="none"/>
              <w:tab w:pos="8931" w:val="left" w:leader="dot"/>
            </w:tabs>
            <w:spacing w:line="240" w:lineRule="auto" w:before="0" w:after="0"/>
            <w:ind w:left="1919" w:right="413" w:hanging="1701"/>
            <w:jc w:val="left"/>
          </w:pPr>
          <w:hyperlink w:history="true" w:anchor="_bookmark615">
            <w:r>
              <w:rPr/>
              <w:t>B</w:t>
              <w:tab/>
              <w:t>Application  of  Distribution  Ring-Fencing  Guidelines   in   this</w:t>
            </w:r>
          </w:hyperlink>
          <w:hyperlink w:history="true" w:anchor="_bookmark615">
            <w:r>
              <w:rPr/>
              <w:t> jurisdiction</w:t>
              <w:tab/>
            </w:r>
            <w:r>
              <w:rPr>
                <w:spacing w:val="-6"/>
              </w:rPr>
              <w:t>495</w:t>
            </w:r>
          </w:hyperlink>
        </w:p>
        <w:p>
          <w:pPr>
            <w:pStyle w:val="TOC3"/>
            <w:numPr>
              <w:ilvl w:val="2"/>
              <w:numId w:val="33"/>
            </w:numPr>
            <w:tabs>
              <w:tab w:pos="1919" w:val="left" w:leader="none"/>
              <w:tab w:pos="1920" w:val="left" w:leader="none"/>
              <w:tab w:pos="8930" w:val="left" w:leader="dot"/>
            </w:tabs>
            <w:spacing w:line="240" w:lineRule="auto" w:before="0" w:after="240"/>
            <w:ind w:left="1919" w:right="0" w:hanging="1702"/>
            <w:jc w:val="left"/>
          </w:pPr>
          <w:hyperlink w:history="true" w:anchor="_bookmark616">
            <w:r>
              <w:rPr/>
              <w:t>Development of Distribution</w:t>
            </w:r>
            <w:r>
              <w:rPr>
                <w:spacing w:val="-8"/>
              </w:rPr>
              <w:t> </w:t>
            </w:r>
            <w:r>
              <w:rPr/>
              <w:t>Ring-Fencing</w:t>
            </w:r>
            <w:r>
              <w:rPr>
                <w:spacing w:val="-3"/>
              </w:rPr>
              <w:t> </w:t>
            </w:r>
            <w:r>
              <w:rPr/>
              <w:t>Guidelines</w:t>
              <w:tab/>
              <w:t>496</w:t>
            </w:r>
          </w:hyperlink>
        </w:p>
        <w:p>
          <w:pPr>
            <w:pStyle w:val="TOC2"/>
            <w:tabs>
              <w:tab w:pos="1919" w:val="left" w:leader="none"/>
              <w:tab w:pos="8931" w:val="left" w:leader="dot"/>
            </w:tabs>
            <w:spacing w:before="83"/>
          </w:pPr>
          <w:hyperlink w:history="true" w:anchor="_bookmark617">
            <w:r>
              <w:rPr/>
              <w:t>Part I</w:t>
              <w:tab/>
              <w:t>Distribution</w:t>
            </w:r>
            <w:r>
              <w:rPr>
                <w:spacing w:val="-3"/>
              </w:rPr>
              <w:t> </w:t>
            </w:r>
            <w:r>
              <w:rPr/>
              <w:t>Pricing</w:t>
            </w:r>
            <w:r>
              <w:rPr>
                <w:spacing w:val="-2"/>
              </w:rPr>
              <w:t> </w:t>
            </w:r>
            <w:r>
              <w:rPr/>
              <w:t>Rules</w:t>
              <w:tab/>
              <w:t>497</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18">
            <w:r>
              <w:rPr/>
              <w:t>Distribution</w:t>
            </w:r>
            <w:r>
              <w:rPr>
                <w:spacing w:val="-4"/>
              </w:rPr>
              <w:t> </w:t>
            </w:r>
            <w:r>
              <w:rPr/>
              <w:t>Pricing</w:t>
            </w:r>
            <w:r>
              <w:rPr>
                <w:spacing w:val="-3"/>
              </w:rPr>
              <w:t> </w:t>
            </w:r>
            <w:r>
              <w:rPr/>
              <w:t>Rules</w:t>
              <w:tab/>
              <w:t>497</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19">
            <w:r>
              <w:rPr/>
              <w:t>Application of</w:t>
            </w:r>
            <w:r>
              <w:rPr>
                <w:spacing w:val="-3"/>
              </w:rPr>
              <w:t> </w:t>
            </w:r>
            <w:r>
              <w:rPr/>
              <w:t>this</w:t>
            </w:r>
            <w:r>
              <w:rPr>
                <w:spacing w:val="-1"/>
              </w:rPr>
              <w:t> </w:t>
            </w:r>
            <w:r>
              <w:rPr/>
              <w:t>Part</w:t>
              <w:tab/>
              <w:t>497</w:t>
            </w:r>
          </w:hyperlink>
        </w:p>
        <w:p>
          <w:pPr>
            <w:pStyle w:val="TOC3"/>
            <w:tabs>
              <w:tab w:pos="1919" w:val="left" w:leader="none"/>
              <w:tab w:pos="8930" w:val="left" w:leader="dot"/>
            </w:tabs>
            <w:ind w:left="218"/>
          </w:pPr>
          <w:hyperlink w:history="true" w:anchor="_bookmark620">
            <w:r>
              <w:rPr/>
              <w:t>6.18.1A</w:t>
              <w:tab/>
              <w:t>Tariff</w:t>
            </w:r>
            <w:r>
              <w:rPr>
                <w:spacing w:val="-3"/>
              </w:rPr>
              <w:t> </w:t>
            </w:r>
            <w:r>
              <w:rPr/>
              <w:t>structure</w:t>
            </w:r>
            <w:r>
              <w:rPr>
                <w:spacing w:val="-4"/>
              </w:rPr>
              <w:t> </w:t>
            </w:r>
            <w:r>
              <w:rPr/>
              <w:t>statement</w:t>
              <w:tab/>
              <w:t>497</w:t>
            </w:r>
          </w:hyperlink>
        </w:p>
        <w:p>
          <w:pPr>
            <w:pStyle w:val="TOC3"/>
            <w:tabs>
              <w:tab w:pos="1919" w:val="left" w:leader="none"/>
              <w:tab w:pos="8930" w:val="left" w:leader="dot"/>
            </w:tabs>
            <w:ind w:left="218"/>
          </w:pPr>
          <w:hyperlink w:history="true" w:anchor="_bookmark621">
            <w:r>
              <w:rPr/>
              <w:t>6.18.1B</w:t>
              <w:tab/>
              <w:t>Amending a tariff structure statement with the</w:t>
            </w:r>
            <w:r>
              <w:rPr>
                <w:spacing w:val="-13"/>
              </w:rPr>
              <w:t> </w:t>
            </w:r>
            <w:r>
              <w:rPr/>
              <w:t>AER's</w:t>
            </w:r>
            <w:r>
              <w:rPr>
                <w:spacing w:val="-2"/>
              </w:rPr>
              <w:t> </w:t>
            </w:r>
            <w:r>
              <w:rPr/>
              <w:t>approval</w:t>
              <w:tab/>
              <w:t>498</w:t>
            </w:r>
          </w:hyperlink>
        </w:p>
        <w:p>
          <w:pPr>
            <w:pStyle w:val="TOC3"/>
            <w:numPr>
              <w:ilvl w:val="2"/>
              <w:numId w:val="34"/>
            </w:numPr>
            <w:tabs>
              <w:tab w:pos="819" w:val="left" w:leader="none"/>
              <w:tab w:pos="1919" w:val="left" w:leader="none"/>
              <w:tab w:pos="8930" w:val="left" w:leader="dot"/>
            </w:tabs>
            <w:spacing w:line="240" w:lineRule="auto" w:before="0" w:after="0"/>
            <w:ind w:left="819" w:right="0" w:hanging="601"/>
            <w:jc w:val="left"/>
          </w:pPr>
          <w:hyperlink w:history="true" w:anchor="_bookmark622">
            <w:r>
              <w:rPr/>
              <w:t>C</w:t>
              <w:tab/>
              <w:t>Sub-threshold</w:t>
            </w:r>
            <w:r>
              <w:rPr>
                <w:spacing w:val="-3"/>
              </w:rPr>
              <w:t> </w:t>
            </w:r>
            <w:r>
              <w:rPr/>
              <w:t>tariffs</w:t>
              <w:tab/>
              <w:t>499</w:t>
            </w:r>
          </w:hyperlink>
        </w:p>
        <w:p>
          <w:pPr>
            <w:pStyle w:val="TOC3"/>
            <w:numPr>
              <w:ilvl w:val="2"/>
              <w:numId w:val="34"/>
            </w:numPr>
            <w:tabs>
              <w:tab w:pos="1919" w:val="left" w:leader="none"/>
              <w:tab w:pos="1920" w:val="left" w:leader="none"/>
              <w:tab w:pos="8930" w:val="left" w:leader="dot"/>
            </w:tabs>
            <w:spacing w:line="240" w:lineRule="auto" w:before="0" w:after="0"/>
            <w:ind w:left="1919" w:right="0" w:hanging="1702"/>
            <w:jc w:val="left"/>
          </w:pPr>
          <w:hyperlink w:history="true" w:anchor="_bookmark623">
            <w:r>
              <w:rPr/>
              <w:t>Pricing</w:t>
            </w:r>
            <w:r>
              <w:rPr>
                <w:spacing w:val="-1"/>
              </w:rPr>
              <w:t> </w:t>
            </w:r>
            <w:r>
              <w:rPr/>
              <w:t>proposals</w:t>
              <w:tab/>
              <w:t>500</w:t>
            </w:r>
          </w:hyperlink>
        </w:p>
        <w:p>
          <w:pPr>
            <w:pStyle w:val="TOC3"/>
            <w:numPr>
              <w:ilvl w:val="2"/>
              <w:numId w:val="34"/>
            </w:numPr>
            <w:tabs>
              <w:tab w:pos="1919" w:val="left" w:leader="none"/>
              <w:tab w:pos="1920" w:val="left" w:leader="none"/>
              <w:tab w:pos="8931" w:val="left" w:leader="dot"/>
            </w:tabs>
            <w:spacing w:line="240" w:lineRule="auto" w:before="0" w:after="0"/>
            <w:ind w:left="1919" w:right="0" w:hanging="1702"/>
            <w:jc w:val="left"/>
          </w:pPr>
          <w:hyperlink w:history="true" w:anchor="_bookmark624">
            <w:r>
              <w:rPr/>
              <w:t>Tariff</w:t>
            </w:r>
            <w:r>
              <w:rPr>
                <w:spacing w:val="-1"/>
              </w:rPr>
              <w:t> </w:t>
            </w:r>
            <w:r>
              <w:rPr/>
              <w:t>classes</w:t>
              <w:tab/>
              <w:t>501</w:t>
            </w:r>
          </w:hyperlink>
        </w:p>
        <w:p>
          <w:pPr>
            <w:pStyle w:val="TOC3"/>
            <w:numPr>
              <w:ilvl w:val="2"/>
              <w:numId w:val="34"/>
            </w:numPr>
            <w:tabs>
              <w:tab w:pos="1919" w:val="left" w:leader="none"/>
              <w:tab w:pos="1920" w:val="left" w:leader="none"/>
              <w:tab w:pos="8931" w:val="left" w:leader="dot"/>
            </w:tabs>
            <w:spacing w:line="240" w:lineRule="auto" w:before="0" w:after="0"/>
            <w:ind w:left="1919" w:right="413" w:hanging="1701"/>
            <w:jc w:val="left"/>
          </w:pPr>
          <w:hyperlink w:history="true" w:anchor="_bookmark625">
            <w:r>
              <w:rPr/>
              <w:t>Principles   governing   assignment   or   re-assignment   of    retail</w:t>
            </w:r>
          </w:hyperlink>
          <w:hyperlink w:history="true" w:anchor="_bookmark625">
            <w:r>
              <w:rPr/>
              <w:t> customers to tariff classes and assessment  and  review  of  basis  of</w:t>
            </w:r>
          </w:hyperlink>
          <w:hyperlink w:history="true" w:anchor="_bookmark625">
            <w:r>
              <w:rPr/>
              <w:t> charging</w:t>
              <w:tab/>
            </w:r>
            <w:r>
              <w:rPr>
                <w:spacing w:val="-6"/>
              </w:rPr>
              <w:t>502</w:t>
            </w:r>
          </w:hyperlink>
        </w:p>
        <w:p>
          <w:pPr>
            <w:pStyle w:val="TOC3"/>
            <w:numPr>
              <w:ilvl w:val="2"/>
              <w:numId w:val="34"/>
            </w:numPr>
            <w:tabs>
              <w:tab w:pos="1919" w:val="left" w:leader="none"/>
              <w:tab w:pos="1920" w:val="left" w:leader="none"/>
              <w:tab w:pos="8930" w:val="left" w:leader="dot"/>
            </w:tabs>
            <w:spacing w:line="240" w:lineRule="auto" w:before="0" w:after="0"/>
            <w:ind w:left="1919" w:right="0" w:hanging="1702"/>
            <w:jc w:val="left"/>
          </w:pPr>
          <w:hyperlink w:history="true" w:anchor="_bookmark626">
            <w:r>
              <w:rPr/>
              <w:t>Pricing</w:t>
            </w:r>
            <w:r>
              <w:rPr>
                <w:spacing w:val="-2"/>
              </w:rPr>
              <w:t> </w:t>
            </w:r>
            <w:r>
              <w:rPr/>
              <w:t>principles</w:t>
              <w:tab/>
              <w:t>502</w:t>
            </w:r>
          </w:hyperlink>
        </w:p>
        <w:p>
          <w:pPr>
            <w:pStyle w:val="TOC3"/>
            <w:numPr>
              <w:ilvl w:val="2"/>
              <w:numId w:val="34"/>
            </w:numPr>
            <w:tabs>
              <w:tab w:pos="1919" w:val="left" w:leader="none"/>
              <w:tab w:pos="1920" w:val="left" w:leader="none"/>
              <w:tab w:pos="8932" w:val="left" w:leader="dot"/>
            </w:tabs>
            <w:spacing w:line="240" w:lineRule="auto" w:before="0" w:after="0"/>
            <w:ind w:left="1919" w:right="0" w:hanging="1702"/>
            <w:jc w:val="left"/>
          </w:pPr>
          <w:hyperlink w:history="true" w:anchor="_bookmark627">
            <w:r>
              <w:rPr/>
              <w:t>Side constraints on tariffs for standard</w:t>
            </w:r>
            <w:r>
              <w:rPr>
                <w:spacing w:val="-8"/>
              </w:rPr>
              <w:t> </w:t>
            </w:r>
            <w:r>
              <w:rPr/>
              <w:t>control</w:t>
            </w:r>
            <w:r>
              <w:rPr>
                <w:spacing w:val="-1"/>
              </w:rPr>
              <w:t> </w:t>
            </w:r>
            <w:r>
              <w:rPr/>
              <w:t>services</w:t>
              <w:tab/>
              <w:t>504</w:t>
            </w:r>
          </w:hyperlink>
        </w:p>
        <w:p>
          <w:pPr>
            <w:pStyle w:val="TOC3"/>
            <w:numPr>
              <w:ilvl w:val="2"/>
              <w:numId w:val="34"/>
            </w:numPr>
            <w:tabs>
              <w:tab w:pos="1919" w:val="left" w:leader="none"/>
              <w:tab w:pos="1920" w:val="left" w:leader="none"/>
              <w:tab w:pos="8931" w:val="left" w:leader="dot"/>
            </w:tabs>
            <w:spacing w:line="240" w:lineRule="auto" w:before="0" w:after="0"/>
            <w:ind w:left="1919" w:right="0" w:hanging="1702"/>
            <w:jc w:val="left"/>
          </w:pPr>
          <w:hyperlink w:history="true" w:anchor="_bookmark628">
            <w:r>
              <w:rPr/>
              <w:t>Recovery of designated pricing</w:t>
            </w:r>
            <w:r>
              <w:rPr>
                <w:spacing w:val="-2"/>
              </w:rPr>
              <w:t> </w:t>
            </w:r>
            <w:r>
              <w:rPr/>
              <w:t>proposal</w:t>
            </w:r>
            <w:r>
              <w:rPr>
                <w:spacing w:val="-1"/>
              </w:rPr>
              <w:t> </w:t>
            </w:r>
            <w:r>
              <w:rPr/>
              <w:t>charges</w:t>
              <w:tab/>
              <w:t>505</w:t>
            </w:r>
          </w:hyperlink>
        </w:p>
        <w:p>
          <w:pPr>
            <w:pStyle w:val="TOC3"/>
            <w:numPr>
              <w:ilvl w:val="2"/>
              <w:numId w:val="35"/>
            </w:numPr>
            <w:tabs>
              <w:tab w:pos="819" w:val="left" w:leader="none"/>
              <w:tab w:pos="1919" w:val="left" w:leader="none"/>
              <w:tab w:pos="8931" w:val="left" w:leader="dot"/>
            </w:tabs>
            <w:spacing w:line="240" w:lineRule="auto" w:before="0" w:after="0"/>
            <w:ind w:left="819" w:right="0" w:hanging="601"/>
            <w:jc w:val="left"/>
          </w:pPr>
          <w:hyperlink w:history="true" w:anchor="_bookmark629">
            <w:r>
              <w:rPr/>
              <w:t>A</w:t>
              <w:tab/>
              <w:t>Recovery of jurisdictional</w:t>
            </w:r>
            <w:r>
              <w:rPr>
                <w:spacing w:val="-4"/>
              </w:rPr>
              <w:t> </w:t>
            </w:r>
            <w:r>
              <w:rPr/>
              <w:t>scheme</w:t>
            </w:r>
            <w:r>
              <w:rPr>
                <w:spacing w:val="-2"/>
              </w:rPr>
              <w:t> </w:t>
            </w:r>
            <w:r>
              <w:rPr/>
              <w:t>amounts</w:t>
              <w:tab/>
              <w:t>505</w:t>
            </w:r>
          </w:hyperlink>
        </w:p>
        <w:p>
          <w:pPr>
            <w:pStyle w:val="TOC3"/>
            <w:numPr>
              <w:ilvl w:val="2"/>
              <w:numId w:val="35"/>
            </w:numPr>
            <w:tabs>
              <w:tab w:pos="1919" w:val="left" w:leader="none"/>
              <w:tab w:pos="1920" w:val="left" w:leader="none"/>
              <w:tab w:pos="8930" w:val="left" w:leader="dot"/>
            </w:tabs>
            <w:spacing w:line="240" w:lineRule="auto" w:before="0" w:after="0"/>
            <w:ind w:left="1919" w:right="0" w:hanging="1702"/>
            <w:jc w:val="left"/>
          </w:pPr>
          <w:hyperlink w:history="true" w:anchor="_bookmark630">
            <w:r>
              <w:rPr/>
              <w:t>Approval of</w:t>
            </w:r>
            <w:r>
              <w:rPr>
                <w:spacing w:val="-4"/>
              </w:rPr>
              <w:t> </w:t>
            </w:r>
            <w:r>
              <w:rPr/>
              <w:t>pricing</w:t>
            </w:r>
            <w:r>
              <w:rPr>
                <w:spacing w:val="-1"/>
              </w:rPr>
              <w:t> </w:t>
            </w:r>
            <w:r>
              <w:rPr/>
              <w:t>proposal</w:t>
              <w:tab/>
              <w:t>509</w:t>
            </w:r>
          </w:hyperlink>
        </w:p>
        <w:p>
          <w:pPr>
            <w:pStyle w:val="TOC3"/>
            <w:numPr>
              <w:ilvl w:val="2"/>
              <w:numId w:val="35"/>
            </w:numPr>
            <w:tabs>
              <w:tab w:pos="1919" w:val="left" w:leader="none"/>
              <w:tab w:pos="1920" w:val="left" w:leader="none"/>
              <w:tab w:pos="8932" w:val="left" w:leader="dot"/>
            </w:tabs>
            <w:spacing w:line="240" w:lineRule="auto" w:before="0" w:after="0"/>
            <w:ind w:left="1919" w:right="0" w:hanging="1702"/>
            <w:jc w:val="left"/>
          </w:pPr>
          <w:hyperlink w:history="true" w:anchor="_bookmark631">
            <w:r>
              <w:rPr/>
              <w:t>Publication of information about tariffs and</w:t>
            </w:r>
            <w:r>
              <w:rPr>
                <w:spacing w:val="-5"/>
              </w:rPr>
              <w:t> </w:t>
            </w:r>
            <w:r>
              <w:rPr/>
              <w:t>tariff</w:t>
            </w:r>
            <w:r>
              <w:rPr>
                <w:spacing w:val="-2"/>
              </w:rPr>
              <w:t> </w:t>
            </w:r>
            <w:r>
              <w:rPr/>
              <w:t>classes</w:t>
              <w:tab/>
              <w:t>510</w:t>
            </w:r>
          </w:hyperlink>
        </w:p>
        <w:p>
          <w:pPr>
            <w:pStyle w:val="TOC2"/>
            <w:numPr>
              <w:ilvl w:val="1"/>
              <w:numId w:val="32"/>
            </w:numPr>
            <w:tabs>
              <w:tab w:pos="1919" w:val="left" w:leader="none"/>
              <w:tab w:pos="1920" w:val="left" w:leader="none"/>
              <w:tab w:pos="8929" w:val="left" w:leader="dot"/>
            </w:tabs>
            <w:spacing w:line="240" w:lineRule="auto" w:before="120" w:after="0"/>
            <w:ind w:left="1919" w:right="0" w:hanging="1702"/>
            <w:jc w:val="left"/>
          </w:pPr>
          <w:hyperlink w:history="true" w:anchor="_bookmark632">
            <w:r>
              <w:rPr/>
              <w:t>Data Required for Distribution</w:t>
            </w:r>
            <w:r>
              <w:rPr>
                <w:spacing w:val="-14"/>
              </w:rPr>
              <w:t> </w:t>
            </w:r>
            <w:r>
              <w:rPr/>
              <w:t>Service</w:t>
            </w:r>
            <w:r>
              <w:rPr>
                <w:spacing w:val="-3"/>
              </w:rPr>
              <w:t> </w:t>
            </w:r>
            <w:r>
              <w:rPr/>
              <w:t>Pricing</w:t>
              <w:tab/>
              <w:t>511</w:t>
            </w:r>
          </w:hyperlink>
        </w:p>
        <w:p>
          <w:pPr>
            <w:pStyle w:val="TOC3"/>
            <w:numPr>
              <w:ilvl w:val="2"/>
              <w:numId w:val="32"/>
            </w:numPr>
            <w:tabs>
              <w:tab w:pos="1919" w:val="left" w:leader="none"/>
              <w:tab w:pos="1920" w:val="left" w:leader="none"/>
              <w:tab w:pos="8930" w:val="left" w:leader="dot"/>
            </w:tabs>
            <w:spacing w:line="240" w:lineRule="auto" w:before="0" w:after="0"/>
            <w:ind w:left="1919" w:right="414" w:hanging="1701"/>
            <w:jc w:val="left"/>
          </w:pPr>
          <w:hyperlink w:history="true" w:anchor="_bookmark633">
            <w:r>
              <w:rPr/>
              <w:t>Forecast use of networks by Distribution Customers and Embedded</w:t>
            </w:r>
          </w:hyperlink>
          <w:hyperlink w:history="true" w:anchor="_bookmark633">
            <w:r>
              <w:rPr/>
              <w:t> Generators</w:t>
              <w:tab/>
            </w:r>
            <w:r>
              <w:rPr>
                <w:spacing w:val="-6"/>
              </w:rPr>
              <w:t>511</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34">
            <w:r>
              <w:rPr/>
              <w:t>Confidentiality of distribution network</w:t>
            </w:r>
            <w:r>
              <w:rPr>
                <w:spacing w:val="-3"/>
              </w:rPr>
              <w:t> </w:t>
            </w:r>
            <w:r>
              <w:rPr/>
              <w:t>pricing</w:t>
            </w:r>
            <w:r>
              <w:rPr>
                <w:spacing w:val="-1"/>
              </w:rPr>
              <w:t> </w:t>
            </w:r>
            <w:r>
              <w:rPr/>
              <w:t>information</w:t>
              <w:tab/>
              <w:t>511</w:t>
            </w:r>
          </w:hyperlink>
        </w:p>
        <w:p>
          <w:pPr>
            <w:pStyle w:val="TOC2"/>
            <w:tabs>
              <w:tab w:pos="1919" w:val="left" w:leader="none"/>
              <w:tab w:pos="8931" w:val="left" w:leader="dot"/>
            </w:tabs>
          </w:pPr>
          <w:hyperlink w:history="true" w:anchor="_bookmark635">
            <w:r>
              <w:rPr/>
              <w:t>Part J</w:t>
              <w:tab/>
              <w:t>Billing</w:t>
            </w:r>
            <w:r>
              <w:rPr>
                <w:spacing w:val="-3"/>
              </w:rPr>
              <w:t> </w:t>
            </w:r>
            <w:r>
              <w:rPr/>
              <w:t>and</w:t>
            </w:r>
            <w:r>
              <w:rPr>
                <w:spacing w:val="-3"/>
              </w:rPr>
              <w:t> </w:t>
            </w:r>
            <w:r>
              <w:rPr/>
              <w:t>Settlements</w:t>
              <w:tab/>
              <w:t>511</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36">
            <w:r>
              <w:rPr/>
              <w:t>Billing and</w:t>
            </w:r>
            <w:r>
              <w:rPr>
                <w:spacing w:val="-5"/>
              </w:rPr>
              <w:t> </w:t>
            </w:r>
            <w:r>
              <w:rPr/>
              <w:t>Settlements</w:t>
            </w:r>
            <w:r>
              <w:rPr>
                <w:spacing w:val="-3"/>
              </w:rPr>
              <w:t> </w:t>
            </w:r>
            <w:r>
              <w:rPr/>
              <w:t>Process</w:t>
              <w:tab/>
              <w:t>511</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37">
            <w:r>
              <w:rPr/>
              <w:t>Billing for</w:t>
            </w:r>
            <w:r>
              <w:rPr>
                <w:spacing w:val="-4"/>
              </w:rPr>
              <w:t> </w:t>
            </w:r>
            <w:r>
              <w:rPr/>
              <w:t>distribution</w:t>
            </w:r>
            <w:r>
              <w:rPr>
                <w:spacing w:val="-2"/>
              </w:rPr>
              <w:t> </w:t>
            </w:r>
            <w:r>
              <w:rPr/>
              <w:t>services</w:t>
              <w:tab/>
              <w:t>511</w:t>
            </w:r>
          </w:hyperlink>
        </w:p>
        <w:p>
          <w:pPr>
            <w:pStyle w:val="TOC3"/>
            <w:numPr>
              <w:ilvl w:val="2"/>
              <w:numId w:val="32"/>
            </w:numPr>
            <w:tabs>
              <w:tab w:pos="1919" w:val="left" w:leader="none"/>
              <w:tab w:pos="1920" w:val="left" w:leader="none"/>
            </w:tabs>
            <w:spacing w:line="240" w:lineRule="auto" w:before="0" w:after="0"/>
            <w:ind w:left="1919" w:right="0" w:hanging="1702"/>
            <w:jc w:val="left"/>
          </w:pPr>
          <w:hyperlink w:history="true" w:anchor="_bookmark638">
            <w:r>
              <w:rPr/>
              <w:t>Minimum</w:t>
            </w:r>
            <w:r>
              <w:rPr>
                <w:spacing w:val="33"/>
              </w:rPr>
              <w:t> </w:t>
            </w:r>
            <w:r>
              <w:rPr/>
              <w:t>information</w:t>
            </w:r>
            <w:r>
              <w:rPr>
                <w:spacing w:val="34"/>
              </w:rPr>
              <w:t> </w:t>
            </w:r>
            <w:r>
              <w:rPr/>
              <w:t>to</w:t>
            </w:r>
            <w:r>
              <w:rPr>
                <w:spacing w:val="34"/>
              </w:rPr>
              <w:t> </w:t>
            </w:r>
            <w:r>
              <w:rPr/>
              <w:t>be</w:t>
            </w:r>
            <w:r>
              <w:rPr>
                <w:spacing w:val="33"/>
              </w:rPr>
              <w:t> </w:t>
            </w:r>
            <w:r>
              <w:rPr/>
              <w:t>provided</w:t>
            </w:r>
            <w:r>
              <w:rPr>
                <w:spacing w:val="34"/>
              </w:rPr>
              <w:t> </w:t>
            </w:r>
            <w:r>
              <w:rPr/>
              <w:t>in</w:t>
            </w:r>
            <w:r>
              <w:rPr>
                <w:spacing w:val="34"/>
              </w:rPr>
              <w:t> </w:t>
            </w:r>
            <w:r>
              <w:rPr/>
              <w:t>distribution</w:t>
            </w:r>
            <w:r>
              <w:rPr>
                <w:spacing w:val="33"/>
              </w:rPr>
              <w:t> </w:t>
            </w:r>
            <w:r>
              <w:rPr/>
              <w:t>network</w:t>
            </w:r>
          </w:hyperlink>
        </w:p>
        <w:p>
          <w:pPr>
            <w:pStyle w:val="TOC5"/>
            <w:tabs>
              <w:tab w:pos="8930" w:val="left" w:leader="dot"/>
            </w:tabs>
          </w:pPr>
          <w:hyperlink w:history="true" w:anchor="_bookmark638">
            <w:r>
              <w:rPr/>
              <w:t>service</w:t>
            </w:r>
            <w:r>
              <w:rPr>
                <w:spacing w:val="-4"/>
              </w:rPr>
              <w:t> </w:t>
            </w:r>
            <w:r>
              <w:rPr/>
              <w:t>bills</w:t>
              <w:tab/>
              <w:t>513</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39">
            <w:r>
              <w:rPr/>
              <w:t>Settlement between Distribution Network</w:t>
            </w:r>
            <w:r>
              <w:rPr>
                <w:spacing w:val="-15"/>
              </w:rPr>
              <w:t> </w:t>
            </w:r>
            <w:r>
              <w:rPr/>
              <w:t>Service</w:t>
            </w:r>
            <w:r>
              <w:rPr>
                <w:spacing w:val="-3"/>
              </w:rPr>
              <w:t> </w:t>
            </w:r>
            <w:r>
              <w:rPr/>
              <w:t>Providers</w:t>
              <w:tab/>
              <w:t>513</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40">
            <w:r>
              <w:rPr/>
              <w:t>Obligation</w:t>
            </w:r>
            <w:r>
              <w:rPr>
                <w:spacing w:val="-1"/>
              </w:rPr>
              <w:t> </w:t>
            </w:r>
            <w:r>
              <w:rPr/>
              <w:t>to</w:t>
            </w:r>
            <w:r>
              <w:rPr>
                <w:spacing w:val="-1"/>
              </w:rPr>
              <w:t> </w:t>
            </w:r>
            <w:r>
              <w:rPr/>
              <w:t>pay</w:t>
              <w:tab/>
              <w:t>513</w:t>
            </w:r>
          </w:hyperlink>
        </w:p>
        <w:p>
          <w:pPr>
            <w:pStyle w:val="TOC2"/>
            <w:tabs>
              <w:tab w:pos="1919" w:val="left" w:leader="none"/>
              <w:tab w:pos="8930" w:val="left" w:leader="dot"/>
            </w:tabs>
            <w:ind w:left="1919" w:right="414" w:hanging="1701"/>
          </w:pPr>
          <w:hyperlink w:history="true" w:anchor="_bookmark641">
            <w:r>
              <w:rPr/>
              <w:t>Part K</w:t>
              <w:tab/>
              <w:t>Prudential    requirements,    capital    contributions     and</w:t>
            </w:r>
          </w:hyperlink>
          <w:r>
            <w:rPr/>
            <w:t> </w:t>
          </w:r>
          <w:hyperlink w:history="true" w:anchor="_bookmark641">
            <w:r>
              <w:rPr/>
              <w:t>prepayments</w:t>
              <w:tab/>
            </w:r>
            <w:r>
              <w:rPr>
                <w:spacing w:val="-6"/>
              </w:rPr>
              <w:t>514</w:t>
            </w:r>
          </w:hyperlink>
        </w:p>
        <w:p>
          <w:pPr>
            <w:pStyle w:val="TOC2"/>
            <w:numPr>
              <w:ilvl w:val="1"/>
              <w:numId w:val="32"/>
            </w:numPr>
            <w:tabs>
              <w:tab w:pos="1919" w:val="left" w:leader="none"/>
              <w:tab w:pos="1920" w:val="left" w:leader="none"/>
              <w:tab w:pos="8930" w:val="left" w:leader="dot"/>
            </w:tabs>
            <w:spacing w:line="240" w:lineRule="auto" w:before="120" w:after="0"/>
            <w:ind w:left="1919" w:right="414" w:hanging="1701"/>
            <w:jc w:val="left"/>
          </w:pPr>
          <w:hyperlink w:history="true" w:anchor="_bookmark642">
            <w:r>
              <w:rPr/>
              <w:t>Distribution    Network    Service    Provider     Prudential</w:t>
            </w:r>
          </w:hyperlink>
          <w:hyperlink w:history="true" w:anchor="_bookmark642">
            <w:r>
              <w:rPr/>
              <w:t> Requirements</w:t>
              <w:tab/>
            </w:r>
            <w:r>
              <w:rPr>
                <w:spacing w:val="-6"/>
              </w:rPr>
              <w:t>514</w:t>
            </w:r>
          </w:hyperlink>
        </w:p>
        <w:p>
          <w:pPr>
            <w:pStyle w:val="TOC3"/>
            <w:numPr>
              <w:ilvl w:val="2"/>
              <w:numId w:val="32"/>
            </w:numPr>
            <w:tabs>
              <w:tab w:pos="1919" w:val="left" w:leader="none"/>
              <w:tab w:pos="1920" w:val="left" w:leader="none"/>
              <w:tab w:pos="8929" w:val="left" w:leader="dot"/>
            </w:tabs>
            <w:spacing w:line="240" w:lineRule="auto" w:before="0" w:after="0"/>
            <w:ind w:left="1919" w:right="0" w:hanging="1702"/>
            <w:jc w:val="left"/>
          </w:pPr>
          <w:hyperlink w:history="true" w:anchor="_bookmark643">
            <w:r>
              <w:rPr/>
              <w:t>Prudential requirements for distribution</w:t>
            </w:r>
            <w:r>
              <w:rPr>
                <w:spacing w:val="-10"/>
              </w:rPr>
              <w:t> </w:t>
            </w:r>
            <w:r>
              <w:rPr/>
              <w:t>network</w:t>
            </w:r>
            <w:r>
              <w:rPr>
                <w:spacing w:val="-2"/>
              </w:rPr>
              <w:t> </w:t>
            </w:r>
            <w:r>
              <w:rPr/>
              <w:t>service.</w:t>
              <w:tab/>
              <w:t>514</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44">
            <w:r>
              <w:rPr/>
              <w:t>Capital contributions, prepayments and</w:t>
            </w:r>
            <w:r>
              <w:rPr>
                <w:spacing w:val="-3"/>
              </w:rPr>
              <w:t> </w:t>
            </w:r>
            <w:r>
              <w:rPr/>
              <w:t>financial</w:t>
            </w:r>
            <w:r>
              <w:rPr>
                <w:spacing w:val="-1"/>
              </w:rPr>
              <w:t> </w:t>
            </w:r>
            <w:r>
              <w:rPr/>
              <w:t>guarantees</w:t>
              <w:tab/>
              <w:t>515</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45">
            <w:r>
              <w:rPr/>
              <w:t>Treatment of past prepayments and</w:t>
            </w:r>
            <w:r>
              <w:rPr>
                <w:spacing w:val="-3"/>
              </w:rPr>
              <w:t> </w:t>
            </w:r>
            <w:r>
              <w:rPr/>
              <w:t>capital</w:t>
            </w:r>
            <w:r>
              <w:rPr>
                <w:spacing w:val="-2"/>
              </w:rPr>
              <w:t> </w:t>
            </w:r>
            <w:r>
              <w:rPr/>
              <w:t>contributions</w:t>
              <w:tab/>
              <w:t>515</w:t>
            </w:r>
          </w:hyperlink>
        </w:p>
        <w:p>
          <w:pPr>
            <w:pStyle w:val="TOC2"/>
            <w:tabs>
              <w:tab w:pos="1919" w:val="left" w:leader="none"/>
              <w:tab w:pos="8930" w:val="left" w:leader="dot"/>
            </w:tabs>
          </w:pPr>
          <w:hyperlink w:history="true" w:anchor="_bookmark646">
            <w:r>
              <w:rPr/>
              <w:t>Part L</w:t>
              <w:tab/>
              <w:t>Dispute</w:t>
            </w:r>
            <w:r>
              <w:rPr>
                <w:spacing w:val="-3"/>
              </w:rPr>
              <w:t> </w:t>
            </w:r>
            <w:r>
              <w:rPr/>
              <w:t>resolution</w:t>
              <w:tab/>
              <w:t>515</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47">
            <w:r>
              <w:rPr/>
              <w:t>Dispute</w:t>
            </w:r>
            <w:r>
              <w:rPr>
                <w:spacing w:val="-6"/>
              </w:rPr>
              <w:t> </w:t>
            </w:r>
            <w:r>
              <w:rPr/>
              <w:t>Resolution</w:t>
              <w:tab/>
              <w:t>515</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48">
            <w:r>
              <w:rPr/>
              <w:t>Dispute Resolution by</w:t>
            </w:r>
            <w:r>
              <w:rPr>
                <w:spacing w:val="-5"/>
              </w:rPr>
              <w:t> </w:t>
            </w:r>
            <w:r>
              <w:rPr/>
              <w:t>the</w:t>
            </w:r>
            <w:r>
              <w:rPr>
                <w:spacing w:val="-1"/>
              </w:rPr>
              <w:t> </w:t>
            </w:r>
            <w:r>
              <w:rPr/>
              <w:t>AER</w:t>
              <w:tab/>
              <w:t>515</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49">
            <w:r>
              <w:rPr/>
              <w:t>Determination</w:t>
            </w:r>
            <w:r>
              <w:rPr>
                <w:spacing w:val="-1"/>
              </w:rPr>
              <w:t> </w:t>
            </w:r>
            <w:r>
              <w:rPr/>
              <w:t>of</w:t>
            </w:r>
            <w:r>
              <w:rPr>
                <w:spacing w:val="-1"/>
              </w:rPr>
              <w:t> </w:t>
            </w:r>
            <w:r>
              <w:rPr/>
              <w:t>dispute</w:t>
              <w:tab/>
              <w:t>516</w:t>
            </w:r>
          </w:hyperlink>
        </w:p>
        <w:p>
          <w:pPr>
            <w:pStyle w:val="TOC3"/>
            <w:numPr>
              <w:ilvl w:val="2"/>
              <w:numId w:val="32"/>
            </w:numPr>
            <w:tabs>
              <w:tab w:pos="1919" w:val="left" w:leader="none"/>
              <w:tab w:pos="1920" w:val="left" w:leader="none"/>
              <w:tab w:pos="8930" w:val="left" w:leader="dot"/>
            </w:tabs>
            <w:spacing w:line="240" w:lineRule="auto" w:before="0" w:after="0"/>
            <w:ind w:left="1919" w:right="0" w:hanging="1702"/>
            <w:jc w:val="left"/>
          </w:pPr>
          <w:hyperlink w:history="true" w:anchor="_bookmark650">
            <w:r>
              <w:rPr/>
              <w:t>Termination of access dispute without</w:t>
            </w:r>
            <w:r>
              <w:rPr>
                <w:spacing w:val="-7"/>
              </w:rPr>
              <w:t> </w:t>
            </w:r>
            <w:r>
              <w:rPr/>
              <w:t>access</w:t>
            </w:r>
            <w:r>
              <w:rPr>
                <w:spacing w:val="-1"/>
              </w:rPr>
              <w:t> </w:t>
            </w:r>
            <w:r>
              <w:rPr/>
              <w:t>determination</w:t>
              <w:tab/>
              <w:t>517</w:t>
            </w:r>
          </w:hyperlink>
        </w:p>
        <w:p>
          <w:pPr>
            <w:pStyle w:val="TOC2"/>
            <w:tabs>
              <w:tab w:pos="1919" w:val="left" w:leader="none"/>
              <w:tab w:pos="8929" w:val="left" w:leader="dot"/>
            </w:tabs>
          </w:pPr>
          <w:hyperlink w:history="true" w:anchor="_bookmark651">
            <w:r>
              <w:rPr/>
              <w:t>Part M</w:t>
              <w:tab/>
              <w:t>Separate disclosure of transmission and</w:t>
            </w:r>
            <w:r>
              <w:rPr>
                <w:spacing w:val="-20"/>
              </w:rPr>
              <w:t> </w:t>
            </w:r>
            <w:r>
              <w:rPr/>
              <w:t>distribution</w:t>
            </w:r>
            <w:r>
              <w:rPr>
                <w:spacing w:val="-4"/>
              </w:rPr>
              <w:t> </w:t>
            </w:r>
            <w:r>
              <w:rPr/>
              <w:t>charges</w:t>
              <w:tab/>
              <w:t>517</w:t>
            </w:r>
          </w:hyperlink>
        </w:p>
        <w:p>
          <w:pPr>
            <w:pStyle w:val="TOC2"/>
            <w:numPr>
              <w:ilvl w:val="1"/>
              <w:numId w:val="32"/>
            </w:numPr>
            <w:tabs>
              <w:tab w:pos="1919" w:val="left" w:leader="none"/>
              <w:tab w:pos="1920" w:val="left" w:leader="none"/>
              <w:tab w:pos="8929" w:val="left" w:leader="dot"/>
            </w:tabs>
            <w:spacing w:line="240" w:lineRule="auto" w:before="120" w:after="0"/>
            <w:ind w:left="1919" w:right="0" w:hanging="1702"/>
            <w:jc w:val="left"/>
          </w:pPr>
          <w:hyperlink w:history="true" w:anchor="_bookmark652">
            <w:r>
              <w:rPr/>
              <w:t>Separate disclosure of transmission and</w:t>
            </w:r>
            <w:r>
              <w:rPr>
                <w:spacing w:val="-20"/>
              </w:rPr>
              <w:t> </w:t>
            </w:r>
            <w:r>
              <w:rPr/>
              <w:t>distribution</w:t>
            </w:r>
            <w:r>
              <w:rPr>
                <w:spacing w:val="-4"/>
              </w:rPr>
              <w:t> </w:t>
            </w:r>
            <w:r>
              <w:rPr/>
              <w:t>charges</w:t>
              <w:tab/>
              <w:t>517</w:t>
            </w:r>
          </w:hyperlink>
        </w:p>
        <w:p>
          <w:pPr>
            <w:pStyle w:val="TOC2"/>
            <w:tabs>
              <w:tab w:pos="1919" w:val="left" w:leader="none"/>
              <w:tab w:pos="8930" w:val="left" w:leader="dot"/>
            </w:tabs>
          </w:pPr>
          <w:hyperlink w:history="true" w:anchor="_bookmark653">
            <w:r>
              <w:rPr/>
              <w:t>Part N</w:t>
              <w:tab/>
              <w:t>Dual</w:t>
            </w:r>
            <w:r>
              <w:rPr>
                <w:spacing w:val="-4"/>
              </w:rPr>
              <w:t> </w:t>
            </w:r>
            <w:r>
              <w:rPr/>
              <w:t>Function</w:t>
            </w:r>
            <w:r>
              <w:rPr>
                <w:spacing w:val="-2"/>
              </w:rPr>
              <w:t> </w:t>
            </w:r>
            <w:r>
              <w:rPr/>
              <w:t>Assets</w:t>
              <w:tab/>
              <w:t>518</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54">
            <w:r>
              <w:rPr/>
              <w:t>Dual</w:t>
            </w:r>
            <w:r>
              <w:rPr>
                <w:spacing w:val="-4"/>
              </w:rPr>
              <w:t> </w:t>
            </w:r>
            <w:r>
              <w:rPr/>
              <w:t>Function</w:t>
            </w:r>
            <w:r>
              <w:rPr>
                <w:spacing w:val="-2"/>
              </w:rPr>
              <w:t> </w:t>
            </w:r>
            <w:r>
              <w:rPr/>
              <w:t>Assets</w:t>
              <w:tab/>
              <w:t>519</w:t>
            </w:r>
          </w:hyperlink>
        </w:p>
        <w:p>
          <w:pPr>
            <w:pStyle w:val="TOC3"/>
            <w:numPr>
              <w:ilvl w:val="2"/>
              <w:numId w:val="32"/>
            </w:numPr>
            <w:tabs>
              <w:tab w:pos="1919" w:val="left" w:leader="none"/>
              <w:tab w:pos="1920" w:val="left" w:leader="none"/>
              <w:tab w:pos="8930" w:val="left" w:leader="dot"/>
            </w:tabs>
            <w:spacing w:line="240" w:lineRule="auto" w:before="0" w:after="163"/>
            <w:ind w:left="1919" w:right="0" w:hanging="1702"/>
            <w:jc w:val="left"/>
          </w:pPr>
          <w:hyperlink w:history="true" w:anchor="_bookmark655">
            <w:r>
              <w:rPr/>
              <w:t>Application of</w:t>
            </w:r>
            <w:r>
              <w:rPr>
                <w:spacing w:val="-3"/>
              </w:rPr>
              <w:t> </w:t>
            </w:r>
            <w:r>
              <w:rPr/>
              <w:t>this</w:t>
            </w:r>
            <w:r>
              <w:rPr>
                <w:spacing w:val="-1"/>
              </w:rPr>
              <w:t> </w:t>
            </w:r>
            <w:r>
              <w:rPr/>
              <w:t>Part</w:t>
              <w:tab/>
              <w:t>519</w:t>
            </w:r>
          </w:hyperlink>
        </w:p>
        <w:p>
          <w:pPr>
            <w:pStyle w:val="TOC3"/>
            <w:numPr>
              <w:ilvl w:val="2"/>
              <w:numId w:val="32"/>
            </w:numPr>
            <w:tabs>
              <w:tab w:pos="1919" w:val="left" w:leader="none"/>
              <w:tab w:pos="1920" w:val="left" w:leader="none"/>
              <w:tab w:pos="8929" w:val="left" w:leader="dot"/>
            </w:tabs>
            <w:spacing w:line="240" w:lineRule="auto" w:before="83" w:after="0"/>
            <w:ind w:left="1919" w:right="0" w:hanging="1702"/>
            <w:jc w:val="left"/>
          </w:pPr>
          <w:hyperlink w:history="true" w:anchor="_bookmark656">
            <w:r>
              <w:rPr/>
              <w:t>Dual</w:t>
            </w:r>
            <w:r>
              <w:rPr>
                <w:spacing w:val="-5"/>
              </w:rPr>
              <w:t> </w:t>
            </w:r>
            <w:r>
              <w:rPr/>
              <w:t>Function</w:t>
            </w:r>
            <w:r>
              <w:rPr>
                <w:spacing w:val="-5"/>
              </w:rPr>
              <w:t> </w:t>
            </w:r>
            <w:r>
              <w:rPr/>
              <w:t>Assets</w:t>
              <w:tab/>
              <w:t>519</w:t>
            </w:r>
          </w:hyperlink>
        </w:p>
        <w:p>
          <w:pPr>
            <w:pStyle w:val="TOC2"/>
            <w:numPr>
              <w:ilvl w:val="1"/>
              <w:numId w:val="32"/>
            </w:numPr>
            <w:tabs>
              <w:tab w:pos="1919" w:val="left" w:leader="none"/>
              <w:tab w:pos="1920" w:val="left" w:leader="none"/>
              <w:tab w:pos="8931" w:val="left" w:leader="dot"/>
            </w:tabs>
            <w:spacing w:line="240" w:lineRule="auto" w:before="120" w:after="0"/>
            <w:ind w:left="1919" w:right="413" w:hanging="1701"/>
            <w:jc w:val="left"/>
          </w:pPr>
          <w:hyperlink w:history="true" w:anchor="_bookmark657">
            <w:r>
              <w:rPr/>
              <w:t>AER  determination  of  applicable  pricing  regime   for   Dual</w:t>
            </w:r>
          </w:hyperlink>
          <w:hyperlink w:history="true" w:anchor="_bookmark657">
            <w:r>
              <w:rPr/>
              <w:t> Function</w:t>
            </w:r>
            <w:r>
              <w:rPr>
                <w:spacing w:val="-2"/>
              </w:rPr>
              <w:t> </w:t>
            </w:r>
            <w:r>
              <w:rPr/>
              <w:t>Assets</w:t>
              <w:tab/>
            </w:r>
            <w:r>
              <w:rPr>
                <w:spacing w:val="-6"/>
              </w:rPr>
              <w:t>519</w:t>
            </w:r>
          </w:hyperlink>
        </w:p>
        <w:p>
          <w:pPr>
            <w:pStyle w:val="TOC2"/>
            <w:numPr>
              <w:ilvl w:val="1"/>
              <w:numId w:val="32"/>
            </w:numPr>
            <w:tabs>
              <w:tab w:pos="1919" w:val="left" w:leader="none"/>
              <w:tab w:pos="1920" w:val="left" w:leader="none"/>
              <w:tab w:pos="8929" w:val="left" w:leader="dot"/>
            </w:tabs>
            <w:spacing w:line="240" w:lineRule="auto" w:before="120" w:after="0"/>
            <w:ind w:left="1919" w:right="0" w:hanging="1702"/>
            <w:jc w:val="left"/>
          </w:pPr>
          <w:hyperlink w:history="true" w:anchor="_bookmark658">
            <w:r>
              <w:rPr/>
              <w:t>Division of Distribution Network Service</w:t>
            </w:r>
            <w:r>
              <w:rPr>
                <w:spacing w:val="-18"/>
              </w:rPr>
              <w:t> </w:t>
            </w:r>
            <w:r>
              <w:rPr/>
              <w:t>Provider's</w:t>
            </w:r>
            <w:r>
              <w:rPr>
                <w:spacing w:val="-5"/>
              </w:rPr>
              <w:t> </w:t>
            </w:r>
            <w:r>
              <w:rPr/>
              <w:t>revenue</w:t>
              <w:tab/>
              <w:t>520</w:t>
            </w:r>
          </w:hyperlink>
        </w:p>
        <w:p>
          <w:pPr>
            <w:pStyle w:val="TOC2"/>
            <w:tabs>
              <w:tab w:pos="1919" w:val="left" w:leader="none"/>
              <w:tab w:pos="8930" w:val="left" w:leader="dot"/>
            </w:tabs>
          </w:pPr>
          <w:hyperlink w:history="true" w:anchor="_bookmark659">
            <w:r>
              <w:rPr/>
              <w:t>Part O</w:t>
              <w:tab/>
              <w:t>Annual</w:t>
            </w:r>
            <w:r>
              <w:rPr>
                <w:spacing w:val="-4"/>
              </w:rPr>
              <w:t> </w:t>
            </w:r>
            <w:r>
              <w:rPr/>
              <w:t>Benchmarking</w:t>
            </w:r>
            <w:r>
              <w:rPr>
                <w:spacing w:val="-3"/>
              </w:rPr>
              <w:t> </w:t>
            </w:r>
            <w:r>
              <w:rPr/>
              <w:t>Report</w:t>
              <w:tab/>
              <w:t>521</w:t>
            </w:r>
          </w:hyperlink>
        </w:p>
        <w:p>
          <w:pPr>
            <w:pStyle w:val="TOC2"/>
            <w:numPr>
              <w:ilvl w:val="1"/>
              <w:numId w:val="32"/>
            </w:numPr>
            <w:tabs>
              <w:tab w:pos="1919" w:val="left" w:leader="none"/>
              <w:tab w:pos="1920" w:val="left" w:leader="none"/>
              <w:tab w:pos="8930" w:val="left" w:leader="dot"/>
            </w:tabs>
            <w:spacing w:line="240" w:lineRule="auto" w:before="120" w:after="0"/>
            <w:ind w:left="1919" w:right="0" w:hanging="1702"/>
            <w:jc w:val="left"/>
          </w:pPr>
          <w:hyperlink w:history="true" w:anchor="_bookmark660">
            <w:r>
              <w:rPr/>
              <w:t>Annual</w:t>
            </w:r>
            <w:r>
              <w:rPr>
                <w:spacing w:val="-4"/>
              </w:rPr>
              <w:t> </w:t>
            </w:r>
            <w:r>
              <w:rPr/>
              <w:t>Benchmarking</w:t>
            </w:r>
            <w:r>
              <w:rPr>
                <w:spacing w:val="-3"/>
              </w:rPr>
              <w:t> </w:t>
            </w:r>
            <w:r>
              <w:rPr/>
              <w:t>Report</w:t>
              <w:tab/>
              <w:t>521</w:t>
            </w:r>
          </w:hyperlink>
        </w:p>
        <w:p>
          <w:pPr>
            <w:pStyle w:val="TOC2"/>
            <w:tabs>
              <w:tab w:pos="1919" w:val="left" w:leader="none"/>
              <w:tab w:pos="8931" w:val="left" w:leader="dot"/>
            </w:tabs>
          </w:pPr>
          <w:hyperlink w:history="true" w:anchor="_bookmark661">
            <w:r>
              <w:rPr/>
              <w:t>Part P</w:t>
              <w:tab/>
              <w:t>Distribution Reliability</w:t>
            </w:r>
            <w:r>
              <w:rPr>
                <w:spacing w:val="-6"/>
              </w:rPr>
              <w:t> </w:t>
            </w:r>
            <w:r>
              <w:rPr/>
              <w:t>Measures</w:t>
            </w:r>
            <w:r>
              <w:rPr>
                <w:spacing w:val="-2"/>
              </w:rPr>
              <w:t> </w:t>
            </w:r>
            <w:r>
              <w:rPr/>
              <w:t>Guidelines</w:t>
              <w:tab/>
              <w:t>522</w:t>
            </w:r>
          </w:hyperlink>
        </w:p>
        <w:p>
          <w:pPr>
            <w:pStyle w:val="TOC3"/>
            <w:numPr>
              <w:ilvl w:val="1"/>
              <w:numId w:val="32"/>
            </w:numPr>
            <w:tabs>
              <w:tab w:pos="1919" w:val="left" w:leader="none"/>
              <w:tab w:pos="1920" w:val="left" w:leader="none"/>
              <w:tab w:pos="8929" w:val="left" w:leader="dot"/>
            </w:tabs>
            <w:spacing w:line="240" w:lineRule="auto" w:before="0" w:after="0"/>
            <w:ind w:left="1919" w:right="0" w:hanging="1702"/>
            <w:jc w:val="left"/>
          </w:pPr>
          <w:hyperlink w:history="true" w:anchor="_bookmark662">
            <w:r>
              <w:rPr/>
              <w:t>Distribution Reliability</w:t>
            </w:r>
            <w:r>
              <w:rPr>
                <w:spacing w:val="-8"/>
              </w:rPr>
              <w:t> </w:t>
            </w:r>
            <w:r>
              <w:rPr/>
              <w:t>Measures</w:t>
            </w:r>
            <w:r>
              <w:rPr>
                <w:spacing w:val="-4"/>
              </w:rPr>
              <w:t> </w:t>
            </w:r>
            <w:r>
              <w:rPr/>
              <w:t>Guidelines</w:t>
              <w:tab/>
              <w:t>522</w:t>
            </w:r>
          </w:hyperlink>
        </w:p>
        <w:p>
          <w:pPr>
            <w:pStyle w:val="TOC2"/>
            <w:tabs>
              <w:tab w:pos="1918" w:val="left" w:leader="none"/>
              <w:tab w:pos="8928" w:val="left" w:leader="dot"/>
            </w:tabs>
          </w:pPr>
          <w:hyperlink w:history="true" w:anchor="_bookmark663">
            <w:r>
              <w:rPr/>
              <w:t>Schedule</w:t>
            </w:r>
            <w:r>
              <w:rPr>
                <w:spacing w:val="-4"/>
              </w:rPr>
              <w:t> </w:t>
            </w:r>
            <w:r>
              <w:rPr/>
              <w:t>6.1</w:t>
              <w:tab/>
              <w:t>Contents of building</w:t>
            </w:r>
            <w:r>
              <w:rPr>
                <w:spacing w:val="-14"/>
              </w:rPr>
              <w:t> </w:t>
            </w:r>
            <w:r>
              <w:rPr/>
              <w:t>block</w:t>
            </w:r>
            <w:r>
              <w:rPr>
                <w:spacing w:val="-6"/>
              </w:rPr>
              <w:t> </w:t>
            </w:r>
            <w:r>
              <w:rPr/>
              <w:t>proposals</w:t>
              <w:tab/>
              <w:t>522</w:t>
            </w:r>
          </w:hyperlink>
        </w:p>
        <w:p>
          <w:pPr>
            <w:pStyle w:val="TOC3"/>
            <w:tabs>
              <w:tab w:pos="1918" w:val="left" w:leader="none"/>
              <w:tab w:pos="8931" w:val="left" w:leader="dot"/>
            </w:tabs>
            <w:ind w:left="218"/>
          </w:pPr>
          <w:hyperlink w:history="true" w:anchor="_bookmark664">
            <w:r>
              <w:rPr/>
              <w:t>S6.1.1</w:t>
              <w:tab/>
              <w:t>Information and matters relating to</w:t>
            </w:r>
            <w:r>
              <w:rPr>
                <w:spacing w:val="-4"/>
              </w:rPr>
              <w:t> </w:t>
            </w:r>
            <w:r>
              <w:rPr/>
              <w:t>capital expenditure</w:t>
              <w:tab/>
              <w:t>522</w:t>
            </w:r>
          </w:hyperlink>
        </w:p>
        <w:p>
          <w:pPr>
            <w:pStyle w:val="TOC3"/>
            <w:tabs>
              <w:tab w:pos="1918" w:val="left" w:leader="none"/>
              <w:tab w:pos="8931" w:val="left" w:leader="dot"/>
            </w:tabs>
            <w:ind w:left="218"/>
          </w:pPr>
          <w:hyperlink w:history="true" w:anchor="_bookmark665">
            <w:r>
              <w:rPr/>
              <w:t>S6.1.2</w:t>
              <w:tab/>
              <w:t>Information and matters relating to</w:t>
            </w:r>
            <w:r>
              <w:rPr>
                <w:spacing w:val="-3"/>
              </w:rPr>
              <w:t> </w:t>
            </w:r>
            <w:r>
              <w:rPr/>
              <w:t>operating expenditure</w:t>
              <w:tab/>
              <w:t>524</w:t>
            </w:r>
          </w:hyperlink>
        </w:p>
        <w:p>
          <w:pPr>
            <w:pStyle w:val="TOC3"/>
            <w:tabs>
              <w:tab w:pos="1918" w:val="left" w:leader="none"/>
              <w:tab w:pos="8931" w:val="left" w:leader="dot"/>
            </w:tabs>
            <w:ind w:left="218"/>
          </w:pPr>
          <w:hyperlink w:history="true" w:anchor="_bookmark666">
            <w:r>
              <w:rPr/>
              <w:t>S6.1.3</w:t>
              <w:tab/>
              <w:t>Additional information</w:t>
            </w:r>
            <w:r>
              <w:rPr>
                <w:spacing w:val="-3"/>
              </w:rPr>
              <w:t> </w:t>
            </w:r>
            <w:r>
              <w:rPr/>
              <w:t>and</w:t>
            </w:r>
            <w:r>
              <w:rPr>
                <w:spacing w:val="-1"/>
              </w:rPr>
              <w:t> </w:t>
            </w:r>
            <w:r>
              <w:rPr/>
              <w:t>matters</w:t>
              <w:tab/>
              <w:t>525</w:t>
            </w:r>
          </w:hyperlink>
        </w:p>
        <w:p>
          <w:pPr>
            <w:pStyle w:val="TOC2"/>
            <w:tabs>
              <w:tab w:pos="1918" w:val="left" w:leader="none"/>
              <w:tab w:pos="8929" w:val="left" w:leader="dot"/>
            </w:tabs>
          </w:pPr>
          <w:hyperlink w:history="true" w:anchor="_bookmark667">
            <w:r>
              <w:rPr/>
              <w:t>Schedule</w:t>
            </w:r>
            <w:r>
              <w:rPr>
                <w:spacing w:val="-4"/>
              </w:rPr>
              <w:t> </w:t>
            </w:r>
            <w:r>
              <w:rPr/>
              <w:t>6.2</w:t>
              <w:tab/>
              <w:t>Regulatory</w:t>
            </w:r>
            <w:r>
              <w:rPr>
                <w:spacing w:val="-2"/>
              </w:rPr>
              <w:t> </w:t>
            </w:r>
            <w:r>
              <w:rPr/>
              <w:t>Asset</w:t>
            </w:r>
            <w:r>
              <w:rPr>
                <w:spacing w:val="-4"/>
              </w:rPr>
              <w:t> </w:t>
            </w:r>
            <w:r>
              <w:rPr/>
              <w:t>Base</w:t>
              <w:tab/>
              <w:t>528</w:t>
            </w:r>
          </w:hyperlink>
        </w:p>
        <w:p>
          <w:pPr>
            <w:pStyle w:val="TOC3"/>
            <w:tabs>
              <w:tab w:pos="1918" w:val="left" w:leader="none"/>
            </w:tabs>
            <w:ind w:left="218"/>
          </w:pPr>
          <w:hyperlink w:history="true" w:anchor="_bookmark668">
            <w:r>
              <w:rPr/>
              <w:t>S6.2.1</w:t>
              <w:tab/>
              <w:t>Establishment of opening regulatory asset base for a</w:t>
            </w:r>
            <w:r>
              <w:rPr>
                <w:spacing w:val="25"/>
              </w:rPr>
              <w:t> </w:t>
            </w:r>
            <w:r>
              <w:rPr/>
              <w:t>regulatory</w:t>
            </w:r>
          </w:hyperlink>
        </w:p>
        <w:p>
          <w:pPr>
            <w:pStyle w:val="TOC5"/>
            <w:tabs>
              <w:tab w:pos="8931" w:val="left" w:leader="dot"/>
            </w:tabs>
          </w:pPr>
          <w:hyperlink w:history="true" w:anchor="_bookmark668">
            <w:r>
              <w:rPr/>
              <w:t>control</w:t>
            </w:r>
            <w:r>
              <w:rPr>
                <w:spacing w:val="-1"/>
              </w:rPr>
              <w:t> </w:t>
            </w:r>
            <w:r>
              <w:rPr/>
              <w:t>period</w:t>
              <w:tab/>
              <w:t>528</w:t>
            </w:r>
          </w:hyperlink>
        </w:p>
        <w:p>
          <w:pPr>
            <w:pStyle w:val="TOC3"/>
            <w:tabs>
              <w:tab w:pos="1918" w:val="left" w:leader="none"/>
              <w:tab w:pos="8930" w:val="left" w:leader="dot"/>
            </w:tabs>
            <w:ind w:left="218"/>
          </w:pPr>
          <w:hyperlink w:history="true" w:anchor="_bookmark669">
            <w:r>
              <w:rPr/>
              <w:t>S6.2.2</w:t>
              <w:tab/>
              <w:t>Prudency and efficiency of</w:t>
            </w:r>
            <w:r>
              <w:rPr>
                <w:spacing w:val="-5"/>
              </w:rPr>
              <w:t> </w:t>
            </w:r>
            <w:r>
              <w:rPr/>
              <w:t>capital</w:t>
            </w:r>
            <w:r>
              <w:rPr>
                <w:spacing w:val="-2"/>
              </w:rPr>
              <w:t> </w:t>
            </w:r>
            <w:r>
              <w:rPr/>
              <w:t>expenditure</w:t>
              <w:tab/>
              <w:t>532</w:t>
            </w:r>
          </w:hyperlink>
        </w:p>
        <w:p>
          <w:pPr>
            <w:pStyle w:val="TOC3"/>
            <w:tabs>
              <w:tab w:pos="1918" w:val="left" w:leader="none"/>
              <w:tab w:pos="8931" w:val="left" w:leader="dot"/>
            </w:tabs>
            <w:ind w:left="218"/>
          </w:pPr>
          <w:hyperlink w:history="true" w:anchor="_bookmark670">
            <w:r>
              <w:rPr/>
              <w:t>S6.2.2A</w:t>
              <w:tab/>
              <w:t>Reduction for inefficient past</w:t>
            </w:r>
            <w:r>
              <w:rPr>
                <w:spacing w:val="-3"/>
              </w:rPr>
              <w:t> </w:t>
            </w:r>
            <w:r>
              <w:rPr/>
              <w:t>capital expenditure</w:t>
              <w:tab/>
              <w:t>533</w:t>
            </w:r>
          </w:hyperlink>
        </w:p>
        <w:p>
          <w:pPr>
            <w:pStyle w:val="TOC3"/>
            <w:tabs>
              <w:tab w:pos="1918" w:val="left" w:leader="none"/>
              <w:tab w:pos="8930" w:val="left" w:leader="dot"/>
            </w:tabs>
            <w:ind w:left="218"/>
          </w:pPr>
          <w:hyperlink w:history="true" w:anchor="_bookmark671">
            <w:r>
              <w:rPr/>
              <w:t>S6.2.2B</w:t>
              <w:tab/>
              <w:t>Depreciation</w:t>
              <w:tab/>
              <w:t>535</w:t>
            </w:r>
          </w:hyperlink>
        </w:p>
        <w:p>
          <w:pPr>
            <w:pStyle w:val="TOC3"/>
            <w:tabs>
              <w:tab w:pos="1918" w:val="left" w:leader="none"/>
            </w:tabs>
            <w:ind w:left="218"/>
          </w:pPr>
          <w:hyperlink w:history="true" w:anchor="_bookmark672">
            <w:r>
              <w:rPr/>
              <w:t>S6.2.3</w:t>
              <w:tab/>
              <w:t>Roll</w:t>
            </w:r>
            <w:r>
              <w:rPr>
                <w:spacing w:val="36"/>
              </w:rPr>
              <w:t> </w:t>
            </w:r>
            <w:r>
              <w:rPr/>
              <w:t>forward</w:t>
            </w:r>
            <w:r>
              <w:rPr>
                <w:spacing w:val="36"/>
              </w:rPr>
              <w:t> </w:t>
            </w:r>
            <w:r>
              <w:rPr/>
              <w:t>of</w:t>
            </w:r>
            <w:r>
              <w:rPr>
                <w:spacing w:val="37"/>
              </w:rPr>
              <w:t> </w:t>
            </w:r>
            <w:r>
              <w:rPr/>
              <w:t>regulatory</w:t>
            </w:r>
            <w:r>
              <w:rPr>
                <w:spacing w:val="37"/>
              </w:rPr>
              <w:t> </w:t>
            </w:r>
            <w:r>
              <w:rPr/>
              <w:t>asset</w:t>
            </w:r>
            <w:r>
              <w:rPr>
                <w:spacing w:val="37"/>
              </w:rPr>
              <w:t> </w:t>
            </w:r>
            <w:r>
              <w:rPr/>
              <w:t>base</w:t>
            </w:r>
            <w:r>
              <w:rPr>
                <w:spacing w:val="36"/>
              </w:rPr>
              <w:t> </w:t>
            </w:r>
            <w:r>
              <w:rPr/>
              <w:t>within</w:t>
            </w:r>
            <w:r>
              <w:rPr>
                <w:spacing w:val="37"/>
              </w:rPr>
              <w:t> </w:t>
            </w:r>
            <w:r>
              <w:rPr/>
              <w:t>the</w:t>
            </w:r>
            <w:r>
              <w:rPr>
                <w:spacing w:val="36"/>
              </w:rPr>
              <w:t> </w:t>
            </w:r>
            <w:r>
              <w:rPr/>
              <w:t>same</w:t>
            </w:r>
            <w:r>
              <w:rPr>
                <w:spacing w:val="37"/>
              </w:rPr>
              <w:t> </w:t>
            </w:r>
            <w:r>
              <w:rPr/>
              <w:t>regulatory</w:t>
            </w:r>
          </w:hyperlink>
        </w:p>
        <w:p>
          <w:pPr>
            <w:pStyle w:val="TOC5"/>
            <w:tabs>
              <w:tab w:pos="8931" w:val="left" w:leader="dot"/>
            </w:tabs>
          </w:pPr>
          <w:hyperlink w:history="true" w:anchor="_bookmark672">
            <w:r>
              <w:rPr/>
              <w:t>control</w:t>
            </w:r>
            <w:r>
              <w:rPr>
                <w:spacing w:val="-1"/>
              </w:rPr>
              <w:t> </w:t>
            </w:r>
            <w:r>
              <w:rPr/>
              <w:t>period</w:t>
              <w:tab/>
              <w:t>536</w:t>
            </w:r>
          </w:hyperlink>
        </w:p>
        <w:p>
          <w:pPr>
            <w:pStyle w:val="TOC3"/>
            <w:tabs>
              <w:tab w:pos="1918" w:val="left" w:leader="none"/>
            </w:tabs>
            <w:ind w:left="218"/>
          </w:pPr>
          <w:hyperlink w:history="true" w:anchor="_bookmark673">
            <w:r>
              <w:rPr/>
              <w:t>S6.2.3A</w:t>
              <w:tab/>
              <w:t>Establishment of opening regulatory asset base for</w:t>
            </w:r>
            <w:r>
              <w:rPr>
                <w:spacing w:val="15"/>
              </w:rPr>
              <w:t> </w:t>
            </w:r>
            <w:r>
              <w:rPr/>
              <w:t>distribution</w:t>
            </w:r>
          </w:hyperlink>
        </w:p>
        <w:p>
          <w:pPr>
            <w:pStyle w:val="TOC5"/>
            <w:tabs>
              <w:tab w:pos="8931" w:val="left" w:leader="dot"/>
            </w:tabs>
          </w:pPr>
          <w:hyperlink w:history="true" w:anchor="_bookmark673">
            <w:r>
              <w:rPr/>
              <w:t>system in this jurisdiction for 1st regulatory</w:t>
            </w:r>
            <w:r>
              <w:rPr>
                <w:spacing w:val="-6"/>
              </w:rPr>
              <w:t> </w:t>
            </w:r>
            <w:r>
              <w:rPr/>
              <w:t>control</w:t>
            </w:r>
            <w:r>
              <w:rPr>
                <w:spacing w:val="-2"/>
              </w:rPr>
              <w:t> </w:t>
            </w:r>
            <w:r>
              <w:rPr/>
              <w:t>period</w:t>
              <w:tab/>
              <w:t>537</w:t>
            </w:r>
          </w:hyperlink>
        </w:p>
        <w:p>
          <w:pPr>
            <w:pStyle w:val="TOC1"/>
            <w:tabs>
              <w:tab w:pos="1918" w:val="left" w:leader="none"/>
              <w:tab w:pos="8869" w:val="left" w:leader="dot"/>
            </w:tabs>
            <w:ind w:left="218" w:firstLine="0"/>
          </w:pPr>
          <w:hyperlink w:history="true" w:anchor="_bookmark674">
            <w:r>
              <w:rPr/>
              <w:t>6A.</w:t>
              <w:tab/>
              <w:t>Economic Regulation of</w:t>
            </w:r>
            <w:r>
              <w:rPr>
                <w:spacing w:val="-9"/>
              </w:rPr>
              <w:t> </w:t>
            </w:r>
            <w:r>
              <w:rPr/>
              <w:t>Transmission</w:t>
            </w:r>
            <w:r>
              <w:rPr>
                <w:spacing w:val="-3"/>
              </w:rPr>
              <w:t> </w:t>
            </w:r>
            <w:r>
              <w:rPr/>
              <w:t>Services</w:t>
              <w:tab/>
              <w:t>543</w:t>
            </w:r>
          </w:hyperlink>
        </w:p>
        <w:p>
          <w:pPr>
            <w:pStyle w:val="TOC1"/>
            <w:tabs>
              <w:tab w:pos="1918" w:val="left" w:leader="none"/>
              <w:tab w:pos="8870" w:val="left" w:leader="dot"/>
            </w:tabs>
            <w:ind w:left="218" w:firstLine="0"/>
          </w:pPr>
          <w:hyperlink w:history="true" w:anchor="_bookmark675">
            <w:r>
              <w:rPr/>
              <w:t>6B.</w:t>
              <w:tab/>
              <w:t>Retail</w:t>
            </w:r>
            <w:r>
              <w:rPr>
                <w:spacing w:val="-4"/>
              </w:rPr>
              <w:t> </w:t>
            </w:r>
            <w:r>
              <w:rPr/>
              <w:t>Markets</w:t>
              <w:tab/>
              <w:t>547</w:t>
            </w:r>
          </w:hyperlink>
        </w:p>
        <w:p>
          <w:pPr>
            <w:pStyle w:val="TOC1"/>
            <w:numPr>
              <w:ilvl w:val="0"/>
              <w:numId w:val="2"/>
            </w:numPr>
            <w:tabs>
              <w:tab w:pos="1918" w:val="left" w:leader="none"/>
              <w:tab w:pos="1919" w:val="left" w:leader="none"/>
              <w:tab w:pos="8871" w:val="left" w:leader="dot"/>
            </w:tabs>
            <w:spacing w:line="240" w:lineRule="auto" w:before="360" w:after="0"/>
            <w:ind w:left="1919" w:right="0" w:hanging="1701"/>
            <w:jc w:val="left"/>
          </w:pPr>
          <w:hyperlink w:history="true" w:anchor="_bookmark676">
            <w:r>
              <w:rPr/>
              <w:t>Metering</w:t>
              <w:tab/>
              <w:t>551</w:t>
            </w:r>
          </w:hyperlink>
        </w:p>
        <w:p>
          <w:pPr>
            <w:pStyle w:val="TOC1"/>
            <w:tabs>
              <w:tab w:pos="1918" w:val="left" w:leader="none"/>
              <w:tab w:pos="8871" w:val="left" w:leader="dot"/>
            </w:tabs>
            <w:ind w:left="218" w:firstLine="0"/>
          </w:pPr>
          <w:hyperlink w:history="true" w:anchor="_bookmark677">
            <w:r>
              <w:rPr/>
              <w:t>7A.</w:t>
              <w:tab/>
              <w:t>Metering</w:t>
              <w:tab/>
              <w:t>555</w:t>
            </w:r>
          </w:hyperlink>
        </w:p>
        <w:p>
          <w:pPr>
            <w:pStyle w:val="TOC2"/>
            <w:tabs>
              <w:tab w:pos="1919" w:val="left" w:leader="none"/>
              <w:tab w:pos="8930" w:val="left" w:leader="dot"/>
            </w:tabs>
          </w:pPr>
          <w:hyperlink w:history="true" w:anchor="_bookmark678">
            <w:r>
              <w:rPr/>
              <w:t>Part A</w:t>
              <w:tab/>
              <w:t>Introduction</w:t>
              <w:tab/>
              <w:t>555</w:t>
            </w:r>
          </w:hyperlink>
        </w:p>
        <w:p>
          <w:pPr>
            <w:pStyle w:val="TOC2"/>
            <w:tabs>
              <w:tab w:pos="1919" w:val="left" w:leader="none"/>
              <w:tab w:pos="8930" w:val="left" w:leader="dot"/>
            </w:tabs>
          </w:pPr>
          <w:hyperlink w:history="true" w:anchor="_bookmark679">
            <w:r>
              <w:rPr/>
              <w:t>7A.1</w:t>
              <w:tab/>
              <w:t>Introduction to the</w:t>
            </w:r>
            <w:r>
              <w:rPr>
                <w:spacing w:val="-8"/>
              </w:rPr>
              <w:t> </w:t>
            </w:r>
            <w:r>
              <w:rPr/>
              <w:t>Metering</w:t>
            </w:r>
            <w:r>
              <w:rPr>
                <w:spacing w:val="-2"/>
              </w:rPr>
              <w:t> </w:t>
            </w:r>
            <w:r>
              <w:rPr/>
              <w:t>Chapter</w:t>
              <w:tab/>
              <w:t>555</w:t>
            </w:r>
          </w:hyperlink>
        </w:p>
        <w:p>
          <w:pPr>
            <w:pStyle w:val="TOC3"/>
            <w:tabs>
              <w:tab w:pos="1919" w:val="left" w:leader="none"/>
              <w:tab w:pos="8930" w:val="left" w:leader="dot"/>
            </w:tabs>
            <w:ind w:left="218"/>
          </w:pPr>
          <w:hyperlink w:history="true" w:anchor="_bookmark680">
            <w:r>
              <w:rPr/>
              <w:t>7A.1.1</w:t>
              <w:tab/>
              <w:t>Purpose</w:t>
            </w:r>
            <w:r>
              <w:rPr>
                <w:spacing w:val="-3"/>
              </w:rPr>
              <w:t> </w:t>
            </w:r>
            <w:r>
              <w:rPr/>
              <w:t>and</w:t>
            </w:r>
            <w:r>
              <w:rPr>
                <w:spacing w:val="-2"/>
              </w:rPr>
              <w:t> </w:t>
            </w:r>
            <w:r>
              <w:rPr/>
              <w:t>application</w:t>
              <w:tab/>
              <w:t>555</w:t>
            </w:r>
          </w:hyperlink>
        </w:p>
        <w:p>
          <w:pPr>
            <w:pStyle w:val="TOC3"/>
            <w:tabs>
              <w:tab w:pos="1919" w:val="left" w:leader="none"/>
              <w:tab w:pos="8930" w:val="left" w:leader="dot"/>
            </w:tabs>
            <w:ind w:left="218"/>
          </w:pPr>
          <w:hyperlink w:history="true" w:anchor="_bookmark681">
            <w:r>
              <w:rPr/>
              <w:t>7A.1.2</w:t>
              <w:tab/>
              <w:t>Contents</w:t>
              <w:tab/>
              <w:t>555</w:t>
            </w:r>
          </w:hyperlink>
        </w:p>
        <w:p>
          <w:pPr>
            <w:pStyle w:val="TOC3"/>
            <w:tabs>
              <w:tab w:pos="1919" w:val="left" w:leader="none"/>
              <w:tab w:pos="8930" w:val="left" w:leader="dot"/>
            </w:tabs>
            <w:ind w:left="218"/>
          </w:pPr>
          <w:hyperlink w:history="true" w:anchor="_bookmark682">
            <w:r>
              <w:rPr/>
              <w:t>7A.1.3</w:t>
              <w:tab/>
              <w:t>Definitions</w:t>
              <w:tab/>
              <w:t>555</w:t>
            </w:r>
          </w:hyperlink>
        </w:p>
        <w:p>
          <w:pPr>
            <w:pStyle w:val="TOC3"/>
            <w:tabs>
              <w:tab w:pos="1919" w:val="left" w:leader="none"/>
              <w:tab w:pos="8930" w:val="left" w:leader="dot"/>
            </w:tabs>
            <w:ind w:left="218"/>
          </w:pPr>
          <w:hyperlink w:history="true" w:anchor="_bookmark683">
            <w:r>
              <w:rPr/>
              <w:t>7A.1.4</w:t>
              <w:tab/>
              <w:t>Inconsistency</w:t>
              <w:tab/>
              <w:t>556</w:t>
            </w:r>
          </w:hyperlink>
        </w:p>
        <w:p>
          <w:pPr>
            <w:pStyle w:val="TOC2"/>
            <w:tabs>
              <w:tab w:pos="1919" w:val="left" w:leader="none"/>
              <w:tab w:pos="8930" w:val="left" w:leader="dot"/>
            </w:tabs>
          </w:pPr>
          <w:hyperlink w:history="true" w:anchor="_bookmark684">
            <w:r>
              <w:rPr/>
              <w:t>Part B</w:t>
              <w:tab/>
              <w:t>Roles</w:t>
            </w:r>
            <w:r>
              <w:rPr>
                <w:spacing w:val="-6"/>
              </w:rPr>
              <w:t> </w:t>
            </w:r>
            <w:r>
              <w:rPr/>
              <w:t>and</w:t>
            </w:r>
            <w:r>
              <w:rPr>
                <w:spacing w:val="-6"/>
              </w:rPr>
              <w:t> </w:t>
            </w:r>
            <w:r>
              <w:rPr/>
              <w:t>Responsibilities</w:t>
              <w:tab/>
              <w:t>556</w:t>
            </w:r>
          </w:hyperlink>
        </w:p>
        <w:p>
          <w:pPr>
            <w:pStyle w:val="TOC2"/>
            <w:tabs>
              <w:tab w:pos="1919" w:val="left" w:leader="none"/>
              <w:tab w:pos="8931" w:val="left" w:leader="dot"/>
            </w:tabs>
          </w:pPr>
          <w:hyperlink w:history="true" w:anchor="_bookmark685">
            <w:r>
              <w:rPr/>
              <w:t>7A.2</w:t>
              <w:tab/>
              <w:t>Role and responsibility of financially</w:t>
            </w:r>
            <w:r>
              <w:rPr>
                <w:spacing w:val="-18"/>
              </w:rPr>
              <w:t> </w:t>
            </w:r>
            <w:r>
              <w:rPr/>
              <w:t>responsible</w:t>
            </w:r>
            <w:r>
              <w:rPr>
                <w:spacing w:val="-4"/>
              </w:rPr>
              <w:t> </w:t>
            </w:r>
            <w:r>
              <w:rPr/>
              <w:t>participant</w:t>
              <w:tab/>
              <w:t>556</w:t>
            </w:r>
          </w:hyperlink>
        </w:p>
        <w:p>
          <w:pPr>
            <w:pStyle w:val="TOC2"/>
            <w:tabs>
              <w:tab w:pos="1919" w:val="left" w:leader="none"/>
              <w:tab w:pos="8930" w:val="left" w:leader="dot"/>
            </w:tabs>
          </w:pPr>
          <w:hyperlink w:history="true" w:anchor="_bookmark686">
            <w:r>
              <w:rPr/>
              <w:t>7A.3</w:t>
              <w:tab/>
              <w:t>Role and responsibility of</w:t>
            </w:r>
            <w:r>
              <w:rPr>
                <w:spacing w:val="-15"/>
              </w:rPr>
              <w:t> </w:t>
            </w:r>
            <w:r>
              <w:rPr/>
              <w:t>Metering</w:t>
            </w:r>
            <w:r>
              <w:rPr>
                <w:spacing w:val="-4"/>
              </w:rPr>
              <w:t> </w:t>
            </w:r>
            <w:r>
              <w:rPr/>
              <w:t>Coordinator</w:t>
              <w:tab/>
              <w:t>557</w:t>
            </w:r>
          </w:hyperlink>
        </w:p>
        <w:p>
          <w:pPr>
            <w:pStyle w:val="TOC3"/>
            <w:tabs>
              <w:tab w:pos="1919" w:val="left" w:leader="none"/>
              <w:tab w:pos="8931" w:val="left" w:leader="dot"/>
            </w:tabs>
            <w:ind w:left="218"/>
          </w:pPr>
          <w:hyperlink w:history="true" w:anchor="_bookmark687">
            <w:r>
              <w:rPr/>
              <w:t>7A.3.1</w:t>
              <w:tab/>
              <w:t>Responsibility of the</w:t>
            </w:r>
            <w:r>
              <w:rPr>
                <w:spacing w:val="-3"/>
              </w:rPr>
              <w:t> </w:t>
            </w:r>
            <w:r>
              <w:rPr/>
              <w:t>Metering</w:t>
            </w:r>
            <w:r>
              <w:rPr>
                <w:spacing w:val="-1"/>
              </w:rPr>
              <w:t> </w:t>
            </w:r>
            <w:r>
              <w:rPr/>
              <w:t>Coordinator</w:t>
              <w:tab/>
              <w:t>557</w:t>
            </w:r>
          </w:hyperlink>
        </w:p>
        <w:p>
          <w:pPr>
            <w:pStyle w:val="TOC3"/>
            <w:tabs>
              <w:tab w:pos="1919" w:val="left" w:leader="none"/>
              <w:tab w:pos="8930" w:val="left" w:leader="dot"/>
            </w:tabs>
            <w:ind w:left="218"/>
          </w:pPr>
          <w:hyperlink w:history="true" w:anchor="_bookmark688">
            <w:r>
              <w:rPr/>
              <w:t>7A.3.2</w:t>
              <w:tab/>
              <w:t>Role of the</w:t>
            </w:r>
            <w:r>
              <w:rPr>
                <w:spacing w:val="-4"/>
              </w:rPr>
              <w:t> </w:t>
            </w:r>
            <w:r>
              <w:rPr/>
              <w:t>Metering</w:t>
            </w:r>
            <w:r>
              <w:rPr>
                <w:spacing w:val="-1"/>
              </w:rPr>
              <w:t> </w:t>
            </w:r>
            <w:r>
              <w:rPr/>
              <w:t>Coordinator</w:t>
              <w:tab/>
              <w:t>558</w:t>
            </w:r>
          </w:hyperlink>
        </w:p>
        <w:p>
          <w:pPr>
            <w:pStyle w:val="TOC2"/>
            <w:tabs>
              <w:tab w:pos="1919" w:val="left" w:leader="none"/>
              <w:tab w:pos="8931" w:val="left" w:leader="dot"/>
            </w:tabs>
            <w:spacing w:after="75"/>
            <w:ind w:left="1919" w:right="413" w:hanging="1701"/>
          </w:pPr>
          <w:hyperlink w:history="true" w:anchor="_bookmark689">
            <w:r>
              <w:rPr/>
              <w:t>7A.4</w:t>
              <w:tab/>
              <w:t>Qualification  and  requirements  of  Metering  Providers   and</w:t>
            </w:r>
          </w:hyperlink>
          <w:r>
            <w:rPr/>
            <w:t> </w:t>
          </w:r>
          <w:hyperlink w:history="true" w:anchor="_bookmark689">
            <w:r>
              <w:rPr/>
              <w:t>Metering</w:t>
            </w:r>
            <w:r>
              <w:rPr>
                <w:spacing w:val="-1"/>
              </w:rPr>
              <w:t> </w:t>
            </w:r>
            <w:r>
              <w:rPr/>
              <w:t>Data Providers</w:t>
              <w:tab/>
            </w:r>
            <w:r>
              <w:rPr>
                <w:spacing w:val="-6"/>
              </w:rPr>
              <w:t>560</w:t>
            </w:r>
          </w:hyperlink>
        </w:p>
        <w:p>
          <w:pPr>
            <w:pStyle w:val="TOC3"/>
            <w:tabs>
              <w:tab w:pos="1919" w:val="left" w:leader="none"/>
              <w:tab w:pos="8930" w:val="left" w:leader="dot"/>
            </w:tabs>
            <w:spacing w:before="83"/>
            <w:ind w:left="218"/>
          </w:pPr>
          <w:hyperlink w:history="true" w:anchor="_bookmark690">
            <w:r>
              <w:rPr/>
              <w:t>7A.4.1</w:t>
              <w:tab/>
              <w:t>Qualification and requirements of</w:t>
            </w:r>
            <w:r>
              <w:rPr>
                <w:spacing w:val="-9"/>
              </w:rPr>
              <w:t> </w:t>
            </w:r>
            <w:r>
              <w:rPr/>
              <w:t>Metering</w:t>
            </w:r>
            <w:r>
              <w:rPr>
                <w:spacing w:val="-2"/>
              </w:rPr>
              <w:t> </w:t>
            </w:r>
            <w:r>
              <w:rPr/>
              <w:t>Providers</w:t>
              <w:tab/>
              <w:t>560</w:t>
            </w:r>
          </w:hyperlink>
        </w:p>
        <w:p>
          <w:pPr>
            <w:pStyle w:val="TOC3"/>
            <w:tabs>
              <w:tab w:pos="1919" w:val="left" w:leader="none"/>
              <w:tab w:pos="8930" w:val="left" w:leader="dot"/>
            </w:tabs>
            <w:ind w:left="218"/>
          </w:pPr>
          <w:hyperlink w:history="true" w:anchor="_bookmark691">
            <w:r>
              <w:rPr/>
              <w:t>7A.4.2</w:t>
              <w:tab/>
              <w:t>Qualification and requirements of Metering</w:t>
            </w:r>
            <w:r>
              <w:rPr>
                <w:spacing w:val="-12"/>
              </w:rPr>
              <w:t> </w:t>
            </w:r>
            <w:r>
              <w:rPr/>
              <w:t>Data</w:t>
            </w:r>
            <w:r>
              <w:rPr>
                <w:spacing w:val="-3"/>
              </w:rPr>
              <w:t> </w:t>
            </w:r>
            <w:r>
              <w:rPr/>
              <w:t>Providers</w:t>
              <w:tab/>
              <w:t>560</w:t>
            </w:r>
          </w:hyperlink>
        </w:p>
        <w:p>
          <w:pPr>
            <w:pStyle w:val="TOC2"/>
            <w:tabs>
              <w:tab w:pos="1919" w:val="left" w:leader="none"/>
              <w:tab w:pos="8930" w:val="left" w:leader="dot"/>
            </w:tabs>
          </w:pPr>
          <w:hyperlink w:history="true" w:anchor="_bookmark692">
            <w:r>
              <w:rPr/>
              <w:t>Part C</w:t>
              <w:tab/>
              <w:t>Appointment of</w:t>
            </w:r>
            <w:r>
              <w:rPr>
                <w:spacing w:val="-6"/>
              </w:rPr>
              <w:t> </w:t>
            </w:r>
            <w:r>
              <w:rPr/>
              <w:t>Metering</w:t>
            </w:r>
            <w:r>
              <w:rPr>
                <w:spacing w:val="-3"/>
              </w:rPr>
              <w:t> </w:t>
            </w:r>
            <w:r>
              <w:rPr/>
              <w:t>Coordinator</w:t>
              <w:tab/>
              <w:t>561</w:t>
            </w:r>
          </w:hyperlink>
        </w:p>
        <w:p>
          <w:pPr>
            <w:pStyle w:val="TOC2"/>
            <w:tabs>
              <w:tab w:pos="1919" w:val="left" w:leader="none"/>
              <w:tab w:pos="8930" w:val="left" w:leader="dot"/>
            </w:tabs>
          </w:pPr>
          <w:hyperlink w:history="true" w:anchor="_bookmark693">
            <w:r>
              <w:rPr/>
              <w:t>7A.5</w:t>
              <w:tab/>
              <w:t>Appointment of</w:t>
            </w:r>
            <w:r>
              <w:rPr>
                <w:spacing w:val="-6"/>
              </w:rPr>
              <w:t> </w:t>
            </w:r>
            <w:r>
              <w:rPr/>
              <w:t>Metering</w:t>
            </w:r>
            <w:r>
              <w:rPr>
                <w:spacing w:val="-3"/>
              </w:rPr>
              <w:t> </w:t>
            </w:r>
            <w:r>
              <w:rPr/>
              <w:t>Coordinator</w:t>
              <w:tab/>
              <w:t>561</w:t>
            </w:r>
          </w:hyperlink>
        </w:p>
        <w:p>
          <w:pPr>
            <w:pStyle w:val="TOC2"/>
            <w:tabs>
              <w:tab w:pos="1919" w:val="left" w:leader="none"/>
              <w:tab w:pos="8931" w:val="left" w:leader="dot"/>
            </w:tabs>
          </w:pPr>
          <w:hyperlink w:history="true" w:anchor="_bookmark694">
            <w:r>
              <w:rPr/>
              <w:t>Part D</w:t>
              <w:tab/>
              <w:t>Metering</w:t>
            </w:r>
            <w:r>
              <w:rPr>
                <w:spacing w:val="-1"/>
              </w:rPr>
              <w:t> </w:t>
            </w:r>
            <w:r>
              <w:rPr/>
              <w:t>installation</w:t>
              <w:tab/>
              <w:t>562</w:t>
            </w:r>
          </w:hyperlink>
        </w:p>
        <w:p>
          <w:pPr>
            <w:pStyle w:val="TOC2"/>
            <w:tabs>
              <w:tab w:pos="1919" w:val="left" w:leader="none"/>
              <w:tab w:pos="8932" w:val="left" w:leader="dot"/>
            </w:tabs>
          </w:pPr>
          <w:hyperlink w:history="true" w:anchor="_bookmark695">
            <w:r>
              <w:rPr/>
              <w:t>7A.6</w:t>
              <w:tab/>
              <w:t>Metering</w:t>
            </w:r>
            <w:r>
              <w:rPr>
                <w:spacing w:val="-1"/>
              </w:rPr>
              <w:t> </w:t>
            </w:r>
            <w:r>
              <w:rPr/>
              <w:t>installation</w:t>
            </w:r>
            <w:r>
              <w:rPr>
                <w:spacing w:val="-1"/>
              </w:rPr>
              <w:t> </w:t>
            </w:r>
            <w:r>
              <w:rPr/>
              <w:t>arrangement</w:t>
              <w:tab/>
              <w:t>562</w:t>
            </w:r>
          </w:hyperlink>
        </w:p>
        <w:p>
          <w:pPr>
            <w:pStyle w:val="TOC3"/>
            <w:tabs>
              <w:tab w:pos="1919" w:val="left" w:leader="none"/>
              <w:tab w:pos="8931" w:val="left" w:leader="dot"/>
            </w:tabs>
            <w:ind w:left="218"/>
          </w:pPr>
          <w:hyperlink w:history="true" w:anchor="_bookmark696">
            <w:r>
              <w:rPr/>
              <w:t>7A.6.1</w:t>
              <w:tab/>
              <w:t>Metering</w:t>
            </w:r>
            <w:r>
              <w:rPr>
                <w:spacing w:val="-2"/>
              </w:rPr>
              <w:t> </w:t>
            </w:r>
            <w:r>
              <w:rPr/>
              <w:t>installation</w:t>
            </w:r>
            <w:r>
              <w:rPr>
                <w:spacing w:val="-1"/>
              </w:rPr>
              <w:t> </w:t>
            </w:r>
            <w:r>
              <w:rPr/>
              <w:t>requirements</w:t>
              <w:tab/>
              <w:t>562</w:t>
            </w:r>
          </w:hyperlink>
        </w:p>
        <w:p>
          <w:pPr>
            <w:pStyle w:val="TOC3"/>
            <w:tabs>
              <w:tab w:pos="1919" w:val="left" w:leader="none"/>
              <w:tab w:pos="8931" w:val="left" w:leader="dot"/>
            </w:tabs>
            <w:ind w:left="218"/>
          </w:pPr>
          <w:hyperlink w:history="true" w:anchor="_bookmark697">
            <w:r>
              <w:rPr/>
              <w:t>7A.6.2</w:t>
              <w:tab/>
              <w:t>Metering</w:t>
            </w:r>
            <w:r>
              <w:rPr>
                <w:spacing w:val="-2"/>
              </w:rPr>
              <w:t> </w:t>
            </w:r>
            <w:r>
              <w:rPr/>
              <w:t>installation</w:t>
            </w:r>
            <w:r>
              <w:rPr>
                <w:spacing w:val="-1"/>
              </w:rPr>
              <w:t> </w:t>
            </w:r>
            <w:r>
              <w:rPr/>
              <w:t>components</w:t>
              <w:tab/>
              <w:t>562</w:t>
            </w:r>
          </w:hyperlink>
        </w:p>
        <w:p>
          <w:pPr>
            <w:pStyle w:val="TOC3"/>
            <w:tabs>
              <w:tab w:pos="1919" w:val="left" w:leader="none"/>
              <w:tab w:pos="8931" w:val="left" w:leader="dot"/>
            </w:tabs>
            <w:ind w:left="218"/>
          </w:pPr>
          <w:hyperlink w:history="true" w:anchor="_bookmark698">
            <w:r>
              <w:rPr/>
              <w:t>7A.6.3</w:t>
              <w:tab/>
              <w:t>Emergency</w:t>
            </w:r>
            <w:r>
              <w:rPr>
                <w:spacing w:val="-1"/>
              </w:rPr>
              <w:t> </w:t>
            </w:r>
            <w:r>
              <w:rPr/>
              <w:t>management</w:t>
              <w:tab/>
              <w:t>565</w:t>
            </w:r>
          </w:hyperlink>
        </w:p>
        <w:p>
          <w:pPr>
            <w:pStyle w:val="TOC3"/>
            <w:tabs>
              <w:tab w:pos="1919" w:val="left" w:leader="none"/>
              <w:tab w:pos="8930" w:val="left" w:leader="dot"/>
            </w:tabs>
            <w:ind w:left="218"/>
          </w:pPr>
          <w:hyperlink w:history="true" w:anchor="_bookmark699">
            <w:r>
              <w:rPr/>
              <w:t>7A.6.4</w:t>
              <w:tab/>
              <w:t>Network</w:t>
            </w:r>
            <w:r>
              <w:rPr>
                <w:spacing w:val="-2"/>
              </w:rPr>
              <w:t> </w:t>
            </w:r>
            <w:r>
              <w:rPr/>
              <w:t>devices</w:t>
              <w:tab/>
              <w:t>565</w:t>
            </w:r>
          </w:hyperlink>
        </w:p>
        <w:p>
          <w:pPr>
            <w:pStyle w:val="TOC3"/>
            <w:tabs>
              <w:tab w:pos="1919" w:val="left" w:leader="none"/>
              <w:tab w:pos="8930" w:val="left" w:leader="dot"/>
            </w:tabs>
            <w:ind w:left="218"/>
          </w:pPr>
          <w:hyperlink w:history="true" w:anchor="_bookmark700">
            <w:r>
              <w:rPr/>
              <w:t>7A.6.5</w:t>
              <w:tab/>
              <w:t>Metering</w:t>
            </w:r>
            <w:r>
              <w:rPr>
                <w:spacing w:val="-1"/>
              </w:rPr>
              <w:t> </w:t>
            </w:r>
            <w:r>
              <w:rPr/>
              <w:t>point</w:t>
              <w:tab/>
              <w:t>565</w:t>
            </w:r>
          </w:hyperlink>
        </w:p>
        <w:p>
          <w:pPr>
            <w:pStyle w:val="TOC3"/>
            <w:tabs>
              <w:tab w:pos="1919" w:val="left" w:leader="none"/>
              <w:tab w:pos="8933" w:val="left" w:leader="dot"/>
            </w:tabs>
            <w:ind w:left="218"/>
          </w:pPr>
          <w:hyperlink w:history="true" w:anchor="_bookmark701">
            <w:r>
              <w:rPr/>
              <w:t>7A.6.6</w:t>
              <w:tab/>
              <w:t>Metering installation types</w:t>
            </w:r>
            <w:r>
              <w:rPr>
                <w:spacing w:val="-2"/>
              </w:rPr>
              <w:t> </w:t>
            </w:r>
            <w:r>
              <w:rPr/>
              <w:t>and</w:t>
            </w:r>
            <w:r>
              <w:rPr>
                <w:spacing w:val="-2"/>
              </w:rPr>
              <w:t> </w:t>
            </w:r>
            <w:r>
              <w:rPr/>
              <w:t>accuracy.</w:t>
              <w:tab/>
              <w:t>566</w:t>
            </w:r>
          </w:hyperlink>
        </w:p>
        <w:p>
          <w:pPr>
            <w:pStyle w:val="TOC3"/>
            <w:tabs>
              <w:tab w:pos="1919" w:val="left" w:leader="none"/>
            </w:tabs>
            <w:ind w:left="218"/>
          </w:pPr>
          <w:hyperlink w:history="true" w:anchor="_bookmark702">
            <w:r>
              <w:rPr/>
              <w:t>7A.6.7</w:t>
              <w:tab/>
              <w:t>Functionality</w:t>
            </w:r>
            <w:r>
              <w:rPr>
                <w:spacing w:val="44"/>
              </w:rPr>
              <w:t> </w:t>
            </w:r>
            <w:r>
              <w:rPr/>
              <w:t>requirements</w:t>
            </w:r>
            <w:r>
              <w:rPr>
                <w:spacing w:val="46"/>
              </w:rPr>
              <w:t> </w:t>
            </w:r>
            <w:r>
              <w:rPr/>
              <w:t>for</w:t>
            </w:r>
            <w:r>
              <w:rPr>
                <w:spacing w:val="44"/>
              </w:rPr>
              <w:t> </w:t>
            </w:r>
            <w:r>
              <w:rPr/>
              <w:t>type</w:t>
            </w:r>
            <w:r>
              <w:rPr>
                <w:spacing w:val="45"/>
              </w:rPr>
              <w:t> </w:t>
            </w:r>
            <w:r>
              <w:rPr/>
              <w:t>1,</w:t>
            </w:r>
            <w:r>
              <w:rPr>
                <w:spacing w:val="45"/>
              </w:rPr>
              <w:t> </w:t>
            </w:r>
            <w:r>
              <w:rPr/>
              <w:t>2,</w:t>
            </w:r>
            <w:r>
              <w:rPr>
                <w:spacing w:val="45"/>
              </w:rPr>
              <w:t> </w:t>
            </w:r>
            <w:r>
              <w:rPr/>
              <w:t>3</w:t>
            </w:r>
            <w:r>
              <w:rPr>
                <w:spacing w:val="46"/>
              </w:rPr>
              <w:t> </w:t>
            </w:r>
            <w:r>
              <w:rPr/>
              <w:t>and</w:t>
            </w:r>
            <w:r>
              <w:rPr>
                <w:spacing w:val="44"/>
              </w:rPr>
              <w:t> </w:t>
            </w:r>
            <w:r>
              <w:rPr/>
              <w:t>4</w:t>
            </w:r>
            <w:r>
              <w:rPr>
                <w:spacing w:val="46"/>
              </w:rPr>
              <w:t> </w:t>
            </w:r>
            <w:r>
              <w:rPr/>
              <w:t>metering</w:t>
            </w:r>
          </w:hyperlink>
        </w:p>
        <w:p>
          <w:pPr>
            <w:pStyle w:val="TOC5"/>
            <w:tabs>
              <w:tab w:pos="8931" w:val="left" w:leader="dot"/>
            </w:tabs>
          </w:pPr>
          <w:hyperlink w:history="true" w:anchor="_bookmark702">
            <w:r>
              <w:rPr/>
              <w:t>installations</w:t>
              <w:tab/>
              <w:t>566</w:t>
            </w:r>
          </w:hyperlink>
        </w:p>
        <w:p>
          <w:pPr>
            <w:pStyle w:val="TOC3"/>
            <w:tabs>
              <w:tab w:pos="1919" w:val="left" w:leader="none"/>
              <w:tab w:pos="8931" w:val="left" w:leader="dot"/>
            </w:tabs>
            <w:ind w:left="218"/>
          </w:pPr>
          <w:hyperlink w:history="true" w:anchor="_bookmark703">
            <w:r>
              <w:rPr/>
              <w:t>7A.6.8</w:t>
              <w:tab/>
              <w:t>Meter</w:t>
            </w:r>
            <w:r>
              <w:rPr>
                <w:spacing w:val="-1"/>
              </w:rPr>
              <w:t> </w:t>
            </w:r>
            <w:r>
              <w:rPr/>
              <w:t>churn</w:t>
              <w:tab/>
              <w:t>566</w:t>
            </w:r>
          </w:hyperlink>
        </w:p>
        <w:p>
          <w:pPr>
            <w:pStyle w:val="TOC3"/>
            <w:tabs>
              <w:tab w:pos="1919" w:val="left" w:leader="none"/>
              <w:tab w:pos="8931" w:val="left" w:leader="dot"/>
            </w:tabs>
            <w:ind w:left="218"/>
          </w:pPr>
          <w:hyperlink w:history="true" w:anchor="_bookmark704">
            <w:r>
              <w:rPr/>
              <w:t>7A.6.9</w:t>
              <w:tab/>
              <w:t>Metering</w:t>
            </w:r>
            <w:r>
              <w:rPr>
                <w:spacing w:val="-2"/>
              </w:rPr>
              <w:t> </w:t>
            </w:r>
            <w:r>
              <w:rPr/>
              <w:t>installation</w:t>
            </w:r>
            <w:r>
              <w:rPr>
                <w:spacing w:val="-1"/>
              </w:rPr>
              <w:t> </w:t>
            </w:r>
            <w:r>
              <w:rPr/>
              <w:t>malfunctions</w:t>
              <w:tab/>
              <w:t>567</w:t>
            </w:r>
          </w:hyperlink>
        </w:p>
        <w:p>
          <w:pPr>
            <w:pStyle w:val="TOC3"/>
            <w:tabs>
              <w:tab w:pos="1919" w:val="left" w:leader="none"/>
              <w:tab w:pos="8931" w:val="left" w:leader="dot"/>
            </w:tabs>
            <w:ind w:left="218"/>
          </w:pPr>
          <w:hyperlink w:history="true" w:anchor="_bookmark705">
            <w:r>
              <w:rPr/>
              <w:t>7A.6.10</w:t>
              <w:tab/>
              <w:t>Timeframes for meters to be installed –</w:t>
            </w:r>
            <w:r>
              <w:rPr>
                <w:spacing w:val="-4"/>
              </w:rPr>
              <w:t> </w:t>
            </w:r>
            <w:r>
              <w:rPr/>
              <w:t>new connection</w:t>
              <w:tab/>
              <w:t>568</w:t>
            </w:r>
          </w:hyperlink>
        </w:p>
        <w:p>
          <w:pPr>
            <w:pStyle w:val="TOC3"/>
            <w:tabs>
              <w:tab w:pos="1919" w:val="left" w:leader="none"/>
            </w:tabs>
            <w:ind w:left="218"/>
          </w:pPr>
          <w:hyperlink w:history="true" w:anchor="_bookmark706">
            <w:r>
              <w:rPr/>
              <w:t>7A.6.11</w:t>
              <w:tab/>
              <w:t>Timeframes for meters to be installed – where a connection</w:t>
            </w:r>
            <w:r>
              <w:rPr>
                <w:spacing w:val="56"/>
              </w:rPr>
              <w:t> </w:t>
            </w:r>
            <w:r>
              <w:rPr/>
              <w:t>service</w:t>
            </w:r>
          </w:hyperlink>
        </w:p>
        <w:p>
          <w:pPr>
            <w:pStyle w:val="TOC5"/>
            <w:tabs>
              <w:tab w:pos="8930" w:val="left" w:leader="dot"/>
            </w:tabs>
          </w:pPr>
          <w:hyperlink w:history="true" w:anchor="_bookmark706">
            <w:r>
              <w:rPr/>
              <w:t>is</w:t>
            </w:r>
            <w:r>
              <w:rPr>
                <w:spacing w:val="-1"/>
              </w:rPr>
              <w:t> </w:t>
            </w:r>
            <w:r>
              <w:rPr/>
              <w:t>not required</w:t>
              <w:tab/>
              <w:t>568</w:t>
            </w:r>
          </w:hyperlink>
        </w:p>
        <w:p>
          <w:pPr>
            <w:pStyle w:val="TOC3"/>
            <w:tabs>
              <w:tab w:pos="1919" w:val="left" w:leader="none"/>
              <w:tab w:pos="8930" w:val="left" w:leader="dot"/>
            </w:tabs>
            <w:ind w:right="414" w:hanging="1701"/>
          </w:pPr>
          <w:hyperlink w:history="true" w:anchor="_bookmark707">
            <w:r>
              <w:rPr/>
              <w:t>7A.6.12</w:t>
              <w:tab/>
              <w:t>Timeframes  for  meters  to  be  installed  –   where   a   connection</w:t>
            </w:r>
          </w:hyperlink>
          <w:r>
            <w:rPr/>
            <w:t> </w:t>
          </w:r>
          <w:hyperlink w:history="true" w:anchor="_bookmark707">
            <w:r>
              <w:rPr/>
              <w:t>alteration</w:t>
            </w:r>
            <w:r>
              <w:rPr>
                <w:spacing w:val="-1"/>
              </w:rPr>
              <w:t> </w:t>
            </w:r>
            <w:r>
              <w:rPr/>
              <w:t>is required</w:t>
              <w:tab/>
            </w:r>
            <w:r>
              <w:rPr>
                <w:spacing w:val="-6"/>
              </w:rPr>
              <w:t>569</w:t>
            </w:r>
          </w:hyperlink>
        </w:p>
        <w:p>
          <w:pPr>
            <w:pStyle w:val="TOC3"/>
            <w:tabs>
              <w:tab w:pos="1919" w:val="left" w:leader="none"/>
              <w:tab w:pos="8931" w:val="left" w:leader="dot"/>
            </w:tabs>
            <w:ind w:left="218"/>
          </w:pPr>
          <w:hyperlink w:history="true" w:anchor="_bookmark708">
            <w:r>
              <w:rPr/>
              <w:t>7A.6.13</w:t>
              <w:tab/>
              <w:t>Changing a</w:t>
            </w:r>
            <w:r>
              <w:rPr>
                <w:spacing w:val="-2"/>
              </w:rPr>
              <w:t> </w:t>
            </w:r>
            <w:r>
              <w:rPr/>
              <w:t>metering installation</w:t>
              <w:tab/>
              <w:t>570</w:t>
            </w:r>
          </w:hyperlink>
        </w:p>
        <w:p>
          <w:pPr>
            <w:pStyle w:val="TOC3"/>
            <w:tabs>
              <w:tab w:pos="1919" w:val="left" w:leader="none"/>
              <w:tab w:pos="8930" w:val="left" w:leader="dot"/>
            </w:tabs>
            <w:ind w:left="218"/>
          </w:pPr>
          <w:hyperlink w:history="true" w:anchor="_bookmark709">
            <w:r>
              <w:rPr/>
              <w:t>7A.6.14</w:t>
              <w:tab/>
              <w:t>Prepayment</w:t>
            </w:r>
            <w:r>
              <w:rPr>
                <w:spacing w:val="-2"/>
              </w:rPr>
              <w:t> </w:t>
            </w:r>
            <w:r>
              <w:rPr/>
              <w:t>metering</w:t>
              <w:tab/>
              <w:t>571</w:t>
            </w:r>
          </w:hyperlink>
        </w:p>
        <w:p>
          <w:pPr>
            <w:pStyle w:val="TOC2"/>
            <w:tabs>
              <w:tab w:pos="1919" w:val="left" w:leader="none"/>
              <w:tab w:pos="8931" w:val="left" w:leader="dot"/>
            </w:tabs>
            <w:ind w:left="1919" w:right="413" w:hanging="1701"/>
          </w:pPr>
          <w:hyperlink w:history="true" w:anchor="_bookmark710">
            <w:r>
              <w:rPr/>
              <w:t>7A.7</w:t>
              <w:tab/>
              <w:t>Maintenance, inspection, testing  and  auditing  of  metering</w:t>
            </w:r>
          </w:hyperlink>
          <w:r>
            <w:rPr/>
            <w:t> </w:t>
          </w:r>
          <w:hyperlink w:history="true" w:anchor="_bookmark710">
            <w:r>
              <w:rPr/>
              <w:t>installations</w:t>
              <w:tab/>
            </w:r>
            <w:r>
              <w:rPr>
                <w:spacing w:val="-6"/>
              </w:rPr>
              <w:t>571</w:t>
            </w:r>
          </w:hyperlink>
        </w:p>
        <w:p>
          <w:pPr>
            <w:pStyle w:val="TOC3"/>
            <w:tabs>
              <w:tab w:pos="1919" w:val="left" w:leader="none"/>
              <w:tab w:pos="8930" w:val="left" w:leader="dot"/>
            </w:tabs>
            <w:ind w:left="218"/>
          </w:pPr>
          <w:hyperlink w:history="true" w:anchor="_bookmark711">
            <w:r>
              <w:rPr/>
              <w:t>7A.7.1</w:t>
              <w:tab/>
              <w:t>Maintenance</w:t>
              <w:tab/>
              <w:t>571</w:t>
            </w:r>
          </w:hyperlink>
        </w:p>
        <w:p>
          <w:pPr>
            <w:pStyle w:val="TOC3"/>
            <w:tabs>
              <w:tab w:pos="1919" w:val="left" w:leader="none"/>
              <w:tab w:pos="8931" w:val="left" w:leader="dot"/>
            </w:tabs>
            <w:ind w:left="218"/>
          </w:pPr>
          <w:hyperlink w:history="true" w:anchor="_bookmark712">
            <w:r>
              <w:rPr/>
              <w:t>7A.7.2</w:t>
              <w:tab/>
              <w:t>Responsibility for inspection</w:t>
            </w:r>
            <w:r>
              <w:rPr>
                <w:spacing w:val="-2"/>
              </w:rPr>
              <w:t> </w:t>
            </w:r>
            <w:r>
              <w:rPr/>
              <w:t>and testing</w:t>
              <w:tab/>
              <w:t>572</w:t>
            </w:r>
          </w:hyperlink>
        </w:p>
        <w:p>
          <w:pPr>
            <w:pStyle w:val="TOC3"/>
            <w:tabs>
              <w:tab w:pos="1919" w:val="left" w:leader="none"/>
              <w:tab w:pos="8931" w:val="left" w:leader="dot"/>
            </w:tabs>
            <w:ind w:left="218"/>
          </w:pPr>
          <w:hyperlink w:history="true" w:anchor="_bookmark713">
            <w:r>
              <w:rPr/>
              <w:t>7A.7.3</w:t>
              <w:tab/>
              <w:t>Actions in event</w:t>
            </w:r>
            <w:r>
              <w:rPr>
                <w:spacing w:val="-2"/>
              </w:rPr>
              <w:t> </w:t>
            </w:r>
            <w:r>
              <w:rPr/>
              <w:t>of</w:t>
            </w:r>
            <w:r>
              <w:rPr>
                <w:spacing w:val="-1"/>
              </w:rPr>
              <w:t> </w:t>
            </w:r>
            <w:r>
              <w:rPr/>
              <w:t>non-compliance</w:t>
              <w:tab/>
              <w:t>573</w:t>
            </w:r>
          </w:hyperlink>
        </w:p>
        <w:p>
          <w:pPr>
            <w:pStyle w:val="TOC3"/>
            <w:tabs>
              <w:tab w:pos="1919" w:val="left" w:leader="none"/>
              <w:tab w:pos="8930" w:val="left" w:leader="dot"/>
            </w:tabs>
            <w:ind w:left="218"/>
          </w:pPr>
          <w:hyperlink w:history="true" w:anchor="_bookmark714">
            <w:r>
              <w:rPr/>
              <w:t>7A.7.4</w:t>
              <w:tab/>
              <w:t>Audits of information held in</w:t>
            </w:r>
            <w:r>
              <w:rPr>
                <w:spacing w:val="-6"/>
              </w:rPr>
              <w:t> </w:t>
            </w:r>
            <w:r>
              <w:rPr/>
              <w:t>metering</w:t>
            </w:r>
            <w:r>
              <w:rPr>
                <w:spacing w:val="-1"/>
              </w:rPr>
              <w:t> </w:t>
            </w:r>
            <w:r>
              <w:rPr/>
              <w:t>installations</w:t>
              <w:tab/>
              <w:t>574</w:t>
            </w:r>
          </w:hyperlink>
        </w:p>
        <w:p>
          <w:pPr>
            <w:pStyle w:val="TOC3"/>
            <w:tabs>
              <w:tab w:pos="1919" w:val="left" w:leader="none"/>
              <w:tab w:pos="8930" w:val="left" w:leader="dot"/>
            </w:tabs>
            <w:ind w:left="218"/>
          </w:pPr>
          <w:hyperlink w:history="true" w:anchor="_bookmark715">
            <w:r>
              <w:rPr/>
              <w:t>7A.7.5</w:t>
              <w:tab/>
              <w:t>Appointment of</w:t>
            </w:r>
            <w:r>
              <w:rPr>
                <w:spacing w:val="-4"/>
              </w:rPr>
              <w:t> </w:t>
            </w:r>
            <w:r>
              <w:rPr/>
              <w:t>external</w:t>
            </w:r>
            <w:r>
              <w:rPr>
                <w:spacing w:val="-1"/>
              </w:rPr>
              <w:t> </w:t>
            </w:r>
            <w:r>
              <w:rPr/>
              <w:t>auditor</w:t>
              <w:tab/>
              <w:t>574</w:t>
            </w:r>
          </w:hyperlink>
        </w:p>
        <w:p>
          <w:pPr>
            <w:pStyle w:val="TOC3"/>
            <w:tabs>
              <w:tab w:pos="1919" w:val="left" w:leader="none"/>
              <w:tab w:pos="8932" w:val="left" w:leader="dot"/>
            </w:tabs>
            <w:ind w:left="218"/>
          </w:pPr>
          <w:hyperlink w:history="true" w:anchor="_bookmark716">
            <w:r>
              <w:rPr/>
              <w:t>7A.7.6</w:t>
              <w:tab/>
              <w:t>Errors found in metering tests, inspections</w:t>
            </w:r>
            <w:r>
              <w:rPr>
                <w:spacing w:val="-4"/>
              </w:rPr>
              <w:t> </w:t>
            </w:r>
            <w:r>
              <w:rPr/>
              <w:t>or audits</w:t>
              <w:tab/>
              <w:t>575</w:t>
            </w:r>
          </w:hyperlink>
        </w:p>
        <w:p>
          <w:pPr>
            <w:pStyle w:val="TOC3"/>
            <w:tabs>
              <w:tab w:pos="1919" w:val="left" w:leader="none"/>
              <w:tab w:pos="8931" w:val="left" w:leader="dot"/>
            </w:tabs>
            <w:ind w:left="218"/>
          </w:pPr>
          <w:hyperlink w:history="true" w:anchor="_bookmark717">
            <w:r>
              <w:rPr/>
              <w:t>7A.7.7</w:t>
              <w:tab/>
              <w:t>Retention of test records</w:t>
            </w:r>
            <w:r>
              <w:rPr>
                <w:spacing w:val="-3"/>
              </w:rPr>
              <w:t> </w:t>
            </w:r>
            <w:r>
              <w:rPr/>
              <w:t>and</w:t>
            </w:r>
            <w:r>
              <w:rPr>
                <w:spacing w:val="-1"/>
              </w:rPr>
              <w:t> </w:t>
            </w:r>
            <w:r>
              <w:rPr/>
              <w:t>documents</w:t>
              <w:tab/>
              <w:t>575</w:t>
            </w:r>
          </w:hyperlink>
        </w:p>
        <w:p>
          <w:pPr>
            <w:pStyle w:val="TOC2"/>
            <w:tabs>
              <w:tab w:pos="1919" w:val="left" w:leader="none"/>
              <w:tab w:pos="8931" w:val="left" w:leader="dot"/>
            </w:tabs>
          </w:pPr>
          <w:hyperlink w:history="true" w:anchor="_bookmark718">
            <w:r>
              <w:rPr/>
              <w:t>Part E</w:t>
              <w:tab/>
              <w:t>Metering</w:t>
            </w:r>
            <w:r>
              <w:rPr>
                <w:spacing w:val="-2"/>
              </w:rPr>
              <w:t> </w:t>
            </w:r>
            <w:r>
              <w:rPr/>
              <w:t>data</w:t>
              <w:tab/>
              <w:t>576</w:t>
            </w:r>
          </w:hyperlink>
        </w:p>
        <w:p>
          <w:pPr>
            <w:pStyle w:val="TOC2"/>
            <w:tabs>
              <w:tab w:pos="1919" w:val="left" w:leader="none"/>
              <w:tab w:pos="8930" w:val="left" w:leader="dot"/>
            </w:tabs>
          </w:pPr>
          <w:hyperlink w:history="true" w:anchor="_bookmark719">
            <w:r>
              <w:rPr/>
              <w:t>7A.8</w:t>
              <w:tab/>
              <w:t>Metering</w:t>
            </w:r>
            <w:r>
              <w:rPr>
                <w:spacing w:val="-3"/>
              </w:rPr>
              <w:t> </w:t>
            </w:r>
            <w:r>
              <w:rPr/>
              <w:t>data</w:t>
            </w:r>
            <w:r>
              <w:rPr>
                <w:spacing w:val="-4"/>
              </w:rPr>
              <w:t> </w:t>
            </w:r>
            <w:r>
              <w:rPr/>
              <w:t>services</w:t>
              <w:tab/>
              <w:t>576</w:t>
            </w:r>
          </w:hyperlink>
        </w:p>
        <w:p>
          <w:pPr>
            <w:pStyle w:val="TOC3"/>
            <w:tabs>
              <w:tab w:pos="1919" w:val="left" w:leader="none"/>
              <w:tab w:pos="8931" w:val="left" w:leader="dot"/>
            </w:tabs>
            <w:ind w:left="218"/>
          </w:pPr>
          <w:hyperlink w:history="true" w:anchor="_bookmark720">
            <w:r>
              <w:rPr/>
              <w:t>7A.8.1</w:t>
              <w:tab/>
              <w:t>Metering</w:t>
            </w:r>
            <w:r>
              <w:rPr>
                <w:spacing w:val="-1"/>
              </w:rPr>
              <w:t> </w:t>
            </w:r>
            <w:r>
              <w:rPr/>
              <w:t>data</w:t>
            </w:r>
            <w:r>
              <w:rPr>
                <w:spacing w:val="-2"/>
              </w:rPr>
              <w:t> </w:t>
            </w:r>
            <w:r>
              <w:rPr/>
              <w:t>services</w:t>
              <w:tab/>
              <w:t>576</w:t>
            </w:r>
          </w:hyperlink>
        </w:p>
        <w:p>
          <w:pPr>
            <w:pStyle w:val="TOC3"/>
            <w:tabs>
              <w:tab w:pos="1919" w:val="left" w:leader="none"/>
              <w:tab w:pos="8931" w:val="left" w:leader="dot"/>
            </w:tabs>
            <w:ind w:left="218"/>
          </w:pPr>
          <w:hyperlink w:history="true" w:anchor="_bookmark721">
            <w:r>
              <w:rPr/>
              <w:t>7A.8.2</w:t>
              <w:tab/>
              <w:t>Collection of energy data and estimation of</w:t>
            </w:r>
            <w:r>
              <w:rPr>
                <w:spacing w:val="-6"/>
              </w:rPr>
              <w:t> </w:t>
            </w:r>
            <w:r>
              <w:rPr/>
              <w:t>metering data</w:t>
              <w:tab/>
              <w:t>577</w:t>
            </w:r>
          </w:hyperlink>
        </w:p>
        <w:p>
          <w:pPr>
            <w:pStyle w:val="TOC3"/>
            <w:tabs>
              <w:tab w:pos="1919" w:val="left" w:leader="none"/>
              <w:tab w:pos="8930" w:val="left" w:leader="dot"/>
            </w:tabs>
            <w:ind w:left="218"/>
          </w:pPr>
          <w:hyperlink w:history="true" w:anchor="_bookmark722">
            <w:r>
              <w:rPr/>
              <w:t>7A.8.3</w:t>
              <w:tab/>
              <w:t>Data management</w:t>
            </w:r>
            <w:r>
              <w:rPr>
                <w:spacing w:val="-5"/>
              </w:rPr>
              <w:t> </w:t>
            </w:r>
            <w:r>
              <w:rPr/>
              <w:t>and</w:t>
            </w:r>
            <w:r>
              <w:rPr>
                <w:spacing w:val="-2"/>
              </w:rPr>
              <w:t> </w:t>
            </w:r>
            <w:r>
              <w:rPr/>
              <w:t>storage</w:t>
              <w:tab/>
              <w:t>578</w:t>
            </w:r>
          </w:hyperlink>
        </w:p>
        <w:p>
          <w:pPr>
            <w:pStyle w:val="TOC3"/>
            <w:tabs>
              <w:tab w:pos="1919" w:val="left" w:leader="none"/>
              <w:tab w:pos="8931" w:val="left" w:leader="dot"/>
            </w:tabs>
            <w:ind w:left="218"/>
          </w:pPr>
          <w:hyperlink w:history="true" w:anchor="_bookmark723">
            <w:r>
              <w:rPr/>
              <w:t>7A.8.4</w:t>
              <w:tab/>
              <w:t>Provision of metering data to</w:t>
            </w:r>
            <w:r>
              <w:rPr>
                <w:spacing w:val="-5"/>
              </w:rPr>
              <w:t> </w:t>
            </w:r>
            <w:r>
              <w:rPr/>
              <w:t>certain</w:t>
            </w:r>
            <w:r>
              <w:rPr>
                <w:spacing w:val="-1"/>
              </w:rPr>
              <w:t> </w:t>
            </w:r>
            <w:r>
              <w:rPr/>
              <w:t>persons</w:t>
              <w:tab/>
              <w:t>579</w:t>
            </w:r>
          </w:hyperlink>
        </w:p>
        <w:p>
          <w:pPr>
            <w:pStyle w:val="TOC3"/>
            <w:tabs>
              <w:tab w:pos="1919" w:val="left" w:leader="none"/>
              <w:tab w:pos="8930" w:val="left" w:leader="dot"/>
            </w:tabs>
            <w:ind w:left="218"/>
          </w:pPr>
          <w:hyperlink w:history="true" w:anchor="_bookmark724">
            <w:r>
              <w:rPr/>
              <w:t>7A.8.5</w:t>
              <w:tab/>
              <w:t>Use of check</w:t>
            </w:r>
            <w:r>
              <w:rPr>
                <w:spacing w:val="-3"/>
              </w:rPr>
              <w:t> </w:t>
            </w:r>
            <w:r>
              <w:rPr/>
              <w:t>metering</w:t>
            </w:r>
            <w:r>
              <w:rPr>
                <w:spacing w:val="-1"/>
              </w:rPr>
              <w:t> </w:t>
            </w:r>
            <w:r>
              <w:rPr/>
              <w:t>data</w:t>
              <w:tab/>
              <w:t>580</w:t>
            </w:r>
          </w:hyperlink>
        </w:p>
        <w:p>
          <w:pPr>
            <w:pStyle w:val="TOC3"/>
            <w:tabs>
              <w:tab w:pos="1919" w:val="left" w:leader="none"/>
              <w:tab w:pos="8931" w:val="left" w:leader="dot"/>
            </w:tabs>
            <w:ind w:left="218"/>
          </w:pPr>
          <w:hyperlink w:history="true" w:anchor="_bookmark725">
            <w:r>
              <w:rPr/>
              <w:t>7A.8.6</w:t>
              <w:tab/>
              <w:t>Periodic</w:t>
            </w:r>
            <w:r>
              <w:rPr>
                <w:spacing w:val="-2"/>
              </w:rPr>
              <w:t> </w:t>
            </w:r>
            <w:r>
              <w:rPr/>
              <w:t>energy</w:t>
            </w:r>
            <w:r>
              <w:rPr>
                <w:spacing w:val="-1"/>
              </w:rPr>
              <w:t> </w:t>
            </w:r>
            <w:r>
              <w:rPr/>
              <w:t>metering</w:t>
              <w:tab/>
              <w:t>580</w:t>
            </w:r>
          </w:hyperlink>
        </w:p>
        <w:p>
          <w:pPr>
            <w:pStyle w:val="TOC3"/>
            <w:tabs>
              <w:tab w:pos="1919" w:val="left" w:leader="none"/>
            </w:tabs>
            <w:ind w:left="218"/>
          </w:pPr>
          <w:hyperlink w:history="true" w:anchor="_bookmark726">
            <w:r>
              <w:rPr/>
              <w:t>7A.8.7</w:t>
              <w:tab/>
              <w:t>Verification of metering data Metering installations other than type</w:t>
            </w:r>
          </w:hyperlink>
        </w:p>
        <w:p>
          <w:pPr>
            <w:pStyle w:val="TOC5"/>
            <w:tabs>
              <w:tab w:pos="8931" w:val="left" w:leader="dot"/>
            </w:tabs>
          </w:pPr>
          <w:hyperlink w:history="true" w:anchor="_bookmark726">
            <w:r>
              <w:rPr/>
              <w:t>7</w:t>
            </w:r>
            <w:r>
              <w:rPr>
                <w:spacing w:val="-1"/>
              </w:rPr>
              <w:t> </w:t>
            </w:r>
            <w:r>
              <w:rPr/>
              <w:t>metering installations</w:t>
              <w:tab/>
              <w:t>581</w:t>
            </w:r>
          </w:hyperlink>
        </w:p>
        <w:p>
          <w:pPr>
            <w:pStyle w:val="TOC3"/>
            <w:tabs>
              <w:tab w:pos="1919" w:val="left" w:leader="none"/>
              <w:tab w:pos="8930" w:val="left" w:leader="dot"/>
            </w:tabs>
            <w:ind w:left="218"/>
          </w:pPr>
          <w:hyperlink w:history="true" w:anchor="_bookmark727">
            <w:r>
              <w:rPr/>
              <w:t>7A.8.8</w:t>
              <w:tab/>
              <w:t>Time</w:t>
            </w:r>
            <w:r>
              <w:rPr>
                <w:spacing w:val="-2"/>
              </w:rPr>
              <w:t> </w:t>
            </w:r>
            <w:r>
              <w:rPr/>
              <w:t>settings</w:t>
              <w:tab/>
              <w:t>582</w:t>
            </w:r>
          </w:hyperlink>
        </w:p>
        <w:p>
          <w:pPr>
            <w:pStyle w:val="TOC3"/>
            <w:tabs>
              <w:tab w:pos="1919" w:val="left" w:leader="none"/>
              <w:tab w:pos="8930" w:val="left" w:leader="dot"/>
            </w:tabs>
            <w:ind w:left="218"/>
          </w:pPr>
          <w:hyperlink w:history="true" w:anchor="_bookmark728">
            <w:r>
              <w:rPr/>
              <w:t>7A.8.9</w:t>
              <w:tab/>
              <w:t>Metering data</w:t>
            </w:r>
            <w:r>
              <w:rPr>
                <w:spacing w:val="-5"/>
              </w:rPr>
              <w:t> </w:t>
            </w:r>
            <w:r>
              <w:rPr/>
              <w:t>performance</w:t>
            </w:r>
            <w:r>
              <w:rPr>
                <w:spacing w:val="-2"/>
              </w:rPr>
              <w:t> </w:t>
            </w:r>
            <w:r>
              <w:rPr/>
              <w:t>standards</w:t>
              <w:tab/>
              <w:t>582</w:t>
            </w:r>
          </w:hyperlink>
        </w:p>
        <w:p>
          <w:pPr>
            <w:pStyle w:val="TOC2"/>
            <w:tabs>
              <w:tab w:pos="1919" w:val="left" w:leader="none"/>
              <w:tab w:pos="8931" w:val="left" w:leader="dot"/>
            </w:tabs>
          </w:pPr>
          <w:hyperlink w:history="true" w:anchor="_bookmark729">
            <w:r>
              <w:rPr/>
              <w:t>7A.9</w:t>
              <w:tab/>
              <w:t>Metering data and</w:t>
            </w:r>
            <w:r>
              <w:rPr>
                <w:spacing w:val="-5"/>
              </w:rPr>
              <w:t> </w:t>
            </w:r>
            <w:r>
              <w:rPr/>
              <w:t>data</w:t>
            </w:r>
            <w:r>
              <w:rPr>
                <w:spacing w:val="-2"/>
              </w:rPr>
              <w:t> </w:t>
            </w:r>
            <w:r>
              <w:rPr/>
              <w:t>base</w:t>
              <w:tab/>
              <w:t>584</w:t>
            </w:r>
          </w:hyperlink>
        </w:p>
        <w:p>
          <w:pPr>
            <w:pStyle w:val="TOC3"/>
            <w:tabs>
              <w:tab w:pos="1919" w:val="left" w:leader="none"/>
              <w:tab w:pos="8930" w:val="left" w:leader="dot"/>
            </w:tabs>
            <w:ind w:left="218"/>
          </w:pPr>
          <w:hyperlink w:history="true" w:anchor="_bookmark730">
            <w:r>
              <w:rPr/>
              <w:t>7A.9.1</w:t>
              <w:tab/>
              <w:t>Metering</w:t>
            </w:r>
            <w:r>
              <w:rPr>
                <w:spacing w:val="-2"/>
              </w:rPr>
              <w:t> </w:t>
            </w:r>
            <w:r>
              <w:rPr/>
              <w:t>database</w:t>
              <w:tab/>
              <w:t>584</w:t>
            </w:r>
          </w:hyperlink>
        </w:p>
        <w:p>
          <w:pPr>
            <w:pStyle w:val="TOC3"/>
            <w:tabs>
              <w:tab w:pos="1919" w:val="left" w:leader="none"/>
              <w:tab w:pos="8930" w:val="left" w:leader="dot"/>
            </w:tabs>
            <w:spacing w:after="91"/>
            <w:ind w:left="218"/>
          </w:pPr>
          <w:hyperlink w:history="true" w:anchor="_bookmark731">
            <w:r>
              <w:rPr/>
              <w:t>7A.9.2</w:t>
              <w:tab/>
              <w:t>Data validation, substitution</w:t>
            </w:r>
            <w:r>
              <w:rPr>
                <w:spacing w:val="-9"/>
              </w:rPr>
              <w:t> </w:t>
            </w:r>
            <w:r>
              <w:rPr/>
              <w:t>and</w:t>
            </w:r>
            <w:r>
              <w:rPr>
                <w:spacing w:val="-4"/>
              </w:rPr>
              <w:t> </w:t>
            </w:r>
            <w:r>
              <w:rPr/>
              <w:t>estimation</w:t>
              <w:tab/>
              <w:t>585</w:t>
            </w:r>
          </w:hyperlink>
        </w:p>
        <w:p>
          <w:pPr>
            <w:pStyle w:val="TOC3"/>
            <w:tabs>
              <w:tab w:pos="1919" w:val="left" w:leader="none"/>
              <w:tab w:pos="8931" w:val="left" w:leader="dot"/>
            </w:tabs>
            <w:spacing w:before="83"/>
            <w:ind w:left="218"/>
          </w:pPr>
          <w:hyperlink w:history="true" w:anchor="_bookmark732">
            <w:r>
              <w:rPr/>
              <w:t>7A.9.3</w:t>
              <w:tab/>
              <w:t>Changes to energy data or to</w:t>
            </w:r>
            <w:r>
              <w:rPr>
                <w:spacing w:val="-3"/>
              </w:rPr>
              <w:t> </w:t>
            </w:r>
            <w:r>
              <w:rPr/>
              <w:t>metering data</w:t>
              <w:tab/>
              <w:t>585</w:t>
            </w:r>
          </w:hyperlink>
        </w:p>
        <w:p>
          <w:pPr>
            <w:pStyle w:val="TOC2"/>
            <w:tabs>
              <w:tab w:pos="1919" w:val="left" w:leader="none"/>
              <w:tab w:pos="8930" w:val="left" w:leader="dot"/>
            </w:tabs>
          </w:pPr>
          <w:hyperlink w:history="true" w:anchor="_bookmark733">
            <w:r>
              <w:rPr/>
              <w:t>7A.10</w:t>
              <w:tab/>
              <w:t>Register of</w:t>
            </w:r>
            <w:r>
              <w:rPr>
                <w:spacing w:val="-2"/>
              </w:rPr>
              <w:t> </w:t>
            </w:r>
            <w:r>
              <w:rPr/>
              <w:t>metering</w:t>
            </w:r>
            <w:r>
              <w:rPr>
                <w:spacing w:val="-1"/>
              </w:rPr>
              <w:t> </w:t>
            </w:r>
            <w:r>
              <w:rPr/>
              <w:t>information</w:t>
              <w:tab/>
              <w:t>586</w:t>
            </w:r>
          </w:hyperlink>
        </w:p>
        <w:p>
          <w:pPr>
            <w:pStyle w:val="TOC3"/>
            <w:tabs>
              <w:tab w:pos="1919" w:val="left" w:leader="none"/>
              <w:tab w:pos="8930" w:val="left" w:leader="dot"/>
            </w:tabs>
            <w:ind w:left="218"/>
          </w:pPr>
          <w:hyperlink w:history="true" w:anchor="_bookmark734">
            <w:r>
              <w:rPr/>
              <w:t>7A.10.1</w:t>
              <w:tab/>
              <w:t>Metering</w:t>
            </w:r>
            <w:r>
              <w:rPr>
                <w:spacing w:val="-1"/>
              </w:rPr>
              <w:t> </w:t>
            </w:r>
            <w:r>
              <w:rPr/>
              <w:t>register</w:t>
              <w:tab/>
              <w:t>586</w:t>
            </w:r>
          </w:hyperlink>
        </w:p>
        <w:p>
          <w:pPr>
            <w:pStyle w:val="TOC3"/>
            <w:tabs>
              <w:tab w:pos="1919" w:val="left" w:leader="none"/>
              <w:tab w:pos="8931" w:val="left" w:leader="dot"/>
            </w:tabs>
            <w:ind w:left="218"/>
          </w:pPr>
          <w:hyperlink w:history="true" w:anchor="_bookmark735">
            <w:r>
              <w:rPr/>
              <w:t>7A.10.2</w:t>
              <w:tab/>
              <w:t>Metering installation</w:t>
            </w:r>
            <w:r>
              <w:rPr>
                <w:spacing w:val="-2"/>
              </w:rPr>
              <w:t> </w:t>
            </w:r>
            <w:r>
              <w:rPr/>
              <w:t>registration</w:t>
            </w:r>
            <w:r>
              <w:rPr>
                <w:spacing w:val="-1"/>
              </w:rPr>
              <w:t> </w:t>
            </w:r>
            <w:r>
              <w:rPr/>
              <w:t>process</w:t>
              <w:tab/>
              <w:t>586</w:t>
            </w:r>
          </w:hyperlink>
        </w:p>
        <w:p>
          <w:pPr>
            <w:pStyle w:val="TOC3"/>
            <w:tabs>
              <w:tab w:pos="1919" w:val="left" w:leader="none"/>
              <w:tab w:pos="8930" w:val="left" w:leader="dot"/>
            </w:tabs>
            <w:ind w:left="218"/>
          </w:pPr>
          <w:hyperlink w:history="true" w:anchor="_bookmark736">
            <w:r>
              <w:rPr/>
              <w:t>7A.10.3</w:t>
              <w:tab/>
              <w:t>Metering</w:t>
            </w:r>
            <w:r>
              <w:rPr>
                <w:spacing w:val="-1"/>
              </w:rPr>
              <w:t> </w:t>
            </w:r>
            <w:r>
              <w:rPr/>
              <w:t>register</w:t>
            </w:r>
            <w:r>
              <w:rPr>
                <w:spacing w:val="-2"/>
              </w:rPr>
              <w:t> </w:t>
            </w:r>
            <w:r>
              <w:rPr/>
              <w:t>discrepancy</w:t>
              <w:tab/>
              <w:t>586</w:t>
            </w:r>
          </w:hyperlink>
        </w:p>
        <w:p>
          <w:pPr>
            <w:pStyle w:val="TOC2"/>
            <w:tabs>
              <w:tab w:pos="1919" w:val="left" w:leader="none"/>
              <w:tab w:pos="8930" w:val="left" w:leader="dot"/>
            </w:tabs>
          </w:pPr>
          <w:hyperlink w:history="true" w:anchor="_bookmark737">
            <w:r>
              <w:rPr/>
              <w:t>7A.11</w:t>
              <w:tab/>
              <w:t>Disclosure</w:t>
            </w:r>
            <w:r>
              <w:rPr>
                <w:spacing w:val="-3"/>
              </w:rPr>
              <w:t> </w:t>
            </w:r>
            <w:r>
              <w:rPr/>
              <w:t>of</w:t>
            </w:r>
            <w:r>
              <w:rPr>
                <w:spacing w:val="-2"/>
              </w:rPr>
              <w:t> </w:t>
            </w:r>
            <w:r>
              <w:rPr/>
              <w:t>information</w:t>
              <w:tab/>
              <w:t>587</w:t>
            </w:r>
          </w:hyperlink>
        </w:p>
        <w:p>
          <w:pPr>
            <w:pStyle w:val="TOC3"/>
            <w:tabs>
              <w:tab w:pos="1919" w:val="left" w:leader="none"/>
              <w:tab w:pos="8930" w:val="left" w:leader="dot"/>
            </w:tabs>
            <w:ind w:left="218"/>
          </w:pPr>
          <w:hyperlink w:history="true" w:anchor="_bookmark738">
            <w:r>
              <w:rPr/>
              <w:t>7A.11.1</w:t>
              <w:tab/>
              <w:t>Provision of data</w:t>
            </w:r>
            <w:r>
              <w:rPr>
                <w:spacing w:val="-4"/>
              </w:rPr>
              <w:t> </w:t>
            </w:r>
            <w:r>
              <w:rPr/>
              <w:t>to</w:t>
            </w:r>
            <w:r>
              <w:rPr>
                <w:spacing w:val="-1"/>
              </w:rPr>
              <w:t> </w:t>
            </w:r>
            <w:r>
              <w:rPr/>
              <w:t>retailers</w:t>
              <w:tab/>
              <w:t>587</w:t>
            </w:r>
          </w:hyperlink>
        </w:p>
        <w:p>
          <w:pPr>
            <w:pStyle w:val="TOC2"/>
            <w:tabs>
              <w:tab w:pos="1919" w:val="left" w:leader="none"/>
              <w:tab w:pos="8930" w:val="left" w:leader="dot"/>
            </w:tabs>
          </w:pPr>
          <w:hyperlink w:history="true" w:anchor="_bookmark739">
            <w:r>
              <w:rPr/>
              <w:t>7A.12</w:t>
              <w:tab/>
              <w:t>Metering data provision to</w:t>
            </w:r>
            <w:r>
              <w:rPr>
                <w:spacing w:val="-10"/>
              </w:rPr>
              <w:t> </w:t>
            </w:r>
            <w:r>
              <w:rPr/>
              <w:t>retail</w:t>
            </w:r>
            <w:r>
              <w:rPr>
                <w:spacing w:val="-2"/>
              </w:rPr>
              <w:t> </w:t>
            </w:r>
            <w:r>
              <w:rPr/>
              <w:t>customers</w:t>
              <w:tab/>
              <w:t>588</w:t>
            </w:r>
          </w:hyperlink>
        </w:p>
        <w:p>
          <w:pPr>
            <w:pStyle w:val="TOC2"/>
            <w:tabs>
              <w:tab w:pos="1919" w:val="left" w:leader="none"/>
              <w:tab w:pos="8931" w:val="left" w:leader="dot"/>
            </w:tabs>
          </w:pPr>
          <w:hyperlink w:history="true" w:anchor="_bookmark740">
            <w:r>
              <w:rPr/>
              <w:t>Part F</w:t>
              <w:tab/>
              <w:t>Security of metering installations and</w:t>
            </w:r>
            <w:r>
              <w:rPr>
                <w:spacing w:val="-7"/>
              </w:rPr>
              <w:t> </w:t>
            </w:r>
            <w:r>
              <w:rPr/>
              <w:t>energy</w:t>
            </w:r>
            <w:r>
              <w:rPr>
                <w:spacing w:val="-1"/>
              </w:rPr>
              <w:t> </w:t>
            </w:r>
            <w:r>
              <w:rPr/>
              <w:t>data</w:t>
              <w:tab/>
              <w:t>588</w:t>
            </w:r>
          </w:hyperlink>
        </w:p>
        <w:p>
          <w:pPr>
            <w:pStyle w:val="TOC2"/>
            <w:tabs>
              <w:tab w:pos="1919" w:val="left" w:leader="none"/>
            </w:tabs>
          </w:pPr>
          <w:hyperlink w:history="true" w:anchor="_bookmark741">
            <w:r>
              <w:rPr/>
              <w:t>7A.13</w:t>
              <w:tab/>
              <w:t>Security of metering installations, energy data and</w:t>
            </w:r>
            <w:r>
              <w:rPr>
                <w:spacing w:val="7"/>
              </w:rPr>
              <w:t> </w:t>
            </w:r>
            <w:r>
              <w:rPr/>
              <w:t>metering</w:t>
            </w:r>
          </w:hyperlink>
        </w:p>
        <w:p>
          <w:pPr>
            <w:pStyle w:val="TOC4"/>
            <w:tabs>
              <w:tab w:pos="8930" w:val="left" w:leader="dot"/>
            </w:tabs>
          </w:pPr>
          <w:hyperlink w:history="true" w:anchor="_bookmark741">
            <w:r>
              <w:rPr/>
              <w:t>data</w:t>
              <w:tab/>
              <w:t>588</w:t>
            </w:r>
          </w:hyperlink>
        </w:p>
        <w:p>
          <w:pPr>
            <w:pStyle w:val="TOC3"/>
            <w:tabs>
              <w:tab w:pos="1919" w:val="left" w:leader="none"/>
              <w:tab w:pos="8930" w:val="left" w:leader="dot"/>
            </w:tabs>
            <w:ind w:left="218"/>
          </w:pPr>
          <w:hyperlink w:history="true" w:anchor="_bookmark742">
            <w:r>
              <w:rPr/>
              <w:t>7A.13.1</w:t>
              <w:tab/>
              <w:t>Confidentiality</w:t>
            </w:r>
            <w:r>
              <w:rPr>
                <w:spacing w:val="-1"/>
              </w:rPr>
              <w:t> </w:t>
            </w:r>
            <w:r>
              <w:rPr/>
              <w:t>of</w:t>
            </w:r>
            <w:r>
              <w:rPr>
                <w:spacing w:val="-1"/>
              </w:rPr>
              <w:t> </w:t>
            </w:r>
            <w:r>
              <w:rPr/>
              <w:t>data</w:t>
              <w:tab/>
              <w:t>588</w:t>
            </w:r>
          </w:hyperlink>
        </w:p>
        <w:p>
          <w:pPr>
            <w:pStyle w:val="TOC3"/>
            <w:tabs>
              <w:tab w:pos="1919" w:val="left" w:leader="none"/>
              <w:tab w:pos="8930" w:val="left" w:leader="dot"/>
            </w:tabs>
            <w:ind w:left="218"/>
          </w:pPr>
          <w:hyperlink w:history="true" w:anchor="_bookmark743">
            <w:r>
              <w:rPr/>
              <w:t>7A.13.2</w:t>
              <w:tab/>
              <w:t>Security of</w:t>
            </w:r>
            <w:r>
              <w:rPr>
                <w:spacing w:val="-2"/>
              </w:rPr>
              <w:t> </w:t>
            </w:r>
            <w:r>
              <w:rPr/>
              <w:t>metering</w:t>
            </w:r>
            <w:r>
              <w:rPr>
                <w:spacing w:val="-1"/>
              </w:rPr>
              <w:t> </w:t>
            </w:r>
            <w:r>
              <w:rPr/>
              <w:t>installations</w:t>
              <w:tab/>
              <w:t>588</w:t>
            </w:r>
          </w:hyperlink>
        </w:p>
        <w:p>
          <w:pPr>
            <w:pStyle w:val="TOC3"/>
            <w:tabs>
              <w:tab w:pos="1919" w:val="left" w:leader="none"/>
              <w:tab w:pos="8931" w:val="left" w:leader="dot"/>
            </w:tabs>
            <w:ind w:left="218"/>
          </w:pPr>
          <w:hyperlink w:history="true" w:anchor="_bookmark744">
            <w:r>
              <w:rPr/>
              <w:t>7A.13.3</w:t>
              <w:tab/>
              <w:t>Security controls for</w:t>
            </w:r>
            <w:r>
              <w:rPr>
                <w:spacing w:val="-2"/>
              </w:rPr>
              <w:t> </w:t>
            </w:r>
            <w:r>
              <w:rPr/>
              <w:t>energy</w:t>
            </w:r>
            <w:r>
              <w:rPr>
                <w:spacing w:val="-1"/>
              </w:rPr>
              <w:t> </w:t>
            </w:r>
            <w:r>
              <w:rPr/>
              <w:t>data</w:t>
              <w:tab/>
              <w:t>589</w:t>
            </w:r>
          </w:hyperlink>
        </w:p>
        <w:p>
          <w:pPr>
            <w:pStyle w:val="TOC3"/>
            <w:tabs>
              <w:tab w:pos="1919" w:val="left" w:leader="none"/>
              <w:tab w:pos="8931" w:val="left" w:leader="dot"/>
            </w:tabs>
            <w:ind w:left="218"/>
          </w:pPr>
          <w:hyperlink w:history="true" w:anchor="_bookmark745">
            <w:r>
              <w:rPr/>
              <w:t>7A.13.4</w:t>
              <w:tab/>
              <w:t>Additional security controls for type 4</w:t>
            </w:r>
            <w:r>
              <w:rPr>
                <w:spacing w:val="-10"/>
              </w:rPr>
              <w:t> </w:t>
            </w:r>
            <w:r>
              <w:rPr/>
              <w:t>metering</w:t>
            </w:r>
            <w:r>
              <w:rPr>
                <w:spacing w:val="-1"/>
              </w:rPr>
              <w:t> </w:t>
            </w:r>
            <w:r>
              <w:rPr/>
              <w:t>installations</w:t>
              <w:tab/>
              <w:t>590</w:t>
            </w:r>
          </w:hyperlink>
        </w:p>
        <w:p>
          <w:pPr>
            <w:pStyle w:val="TOC3"/>
            <w:tabs>
              <w:tab w:pos="1919" w:val="left" w:leader="none"/>
              <w:tab w:pos="8931" w:val="left" w:leader="dot"/>
            </w:tabs>
            <w:ind w:left="218"/>
          </w:pPr>
          <w:hyperlink w:history="true" w:anchor="_bookmark746">
            <w:r>
              <w:rPr/>
              <w:t>7A.13.5</w:t>
              <w:tab/>
              <w:t>Access</w:t>
            </w:r>
            <w:r>
              <w:rPr>
                <w:spacing w:val="-1"/>
              </w:rPr>
              <w:t> </w:t>
            </w:r>
            <w:r>
              <w:rPr/>
              <w:t>to</w:t>
            </w:r>
            <w:r>
              <w:rPr>
                <w:spacing w:val="-1"/>
              </w:rPr>
              <w:t> </w:t>
            </w:r>
            <w:r>
              <w:rPr/>
              <w:t>data</w:t>
              <w:tab/>
              <w:t>591</w:t>
            </w:r>
          </w:hyperlink>
        </w:p>
        <w:p>
          <w:pPr>
            <w:pStyle w:val="TOC2"/>
            <w:tabs>
              <w:tab w:pos="1918" w:val="left" w:leader="none"/>
              <w:tab w:pos="8930" w:val="left" w:leader="dot"/>
            </w:tabs>
          </w:pPr>
          <w:hyperlink w:history="true" w:anchor="_bookmark747">
            <w:r>
              <w:rPr/>
              <w:t>Schedule</w:t>
            </w:r>
            <w:r>
              <w:rPr>
                <w:spacing w:val="-4"/>
              </w:rPr>
              <w:t> </w:t>
            </w:r>
            <w:r>
              <w:rPr/>
              <w:t>7A.1</w:t>
              <w:tab/>
              <w:t>Metering register</w:t>
              <w:tab/>
              <w:t>592</w:t>
            </w:r>
          </w:hyperlink>
        </w:p>
        <w:p>
          <w:pPr>
            <w:pStyle w:val="TOC3"/>
            <w:tabs>
              <w:tab w:pos="1918" w:val="left" w:leader="none"/>
              <w:tab w:pos="8930" w:val="left" w:leader="dot"/>
            </w:tabs>
            <w:ind w:left="218"/>
          </w:pPr>
          <w:hyperlink w:history="true" w:anchor="_bookmark748">
            <w:r>
              <w:rPr/>
              <w:t>S7A.1.1</w:t>
              <w:tab/>
              <w:t>General</w:t>
              <w:tab/>
              <w:t>592</w:t>
            </w:r>
          </w:hyperlink>
        </w:p>
        <w:p>
          <w:pPr>
            <w:pStyle w:val="TOC3"/>
            <w:tabs>
              <w:tab w:pos="1918" w:val="left" w:leader="none"/>
              <w:tab w:pos="8930" w:val="left" w:leader="dot"/>
            </w:tabs>
            <w:ind w:left="218"/>
          </w:pPr>
          <w:hyperlink w:history="true" w:anchor="_bookmark749">
            <w:r>
              <w:rPr/>
              <w:t>S7A.1.2</w:t>
              <w:tab/>
              <w:t>Metering</w:t>
            </w:r>
            <w:r>
              <w:rPr>
                <w:spacing w:val="-1"/>
              </w:rPr>
              <w:t> </w:t>
            </w:r>
            <w:r>
              <w:rPr/>
              <w:t>register</w:t>
            </w:r>
            <w:r>
              <w:rPr>
                <w:spacing w:val="-2"/>
              </w:rPr>
              <w:t> </w:t>
            </w:r>
            <w:r>
              <w:rPr/>
              <w:t>information</w:t>
              <w:tab/>
              <w:t>593</w:t>
            </w:r>
          </w:hyperlink>
        </w:p>
        <w:p>
          <w:pPr>
            <w:pStyle w:val="TOC3"/>
            <w:tabs>
              <w:tab w:pos="1918" w:val="left" w:leader="none"/>
              <w:tab w:pos="8930" w:val="left" w:leader="dot"/>
            </w:tabs>
            <w:ind w:left="218"/>
          </w:pPr>
          <w:hyperlink w:history="true" w:anchor="_bookmark750">
            <w:r>
              <w:rPr/>
              <w:t>S7A.1.3</w:t>
              <w:tab/>
              <w:t>Communication</w:t>
            </w:r>
            <w:r>
              <w:rPr>
                <w:spacing w:val="-1"/>
              </w:rPr>
              <w:t> </w:t>
            </w:r>
            <w:r>
              <w:rPr/>
              <w:t>guideline</w:t>
              <w:tab/>
              <w:t>593</w:t>
            </w:r>
          </w:hyperlink>
        </w:p>
        <w:p>
          <w:pPr>
            <w:pStyle w:val="TOC2"/>
            <w:tabs>
              <w:tab w:pos="1918" w:val="left" w:leader="none"/>
              <w:tab w:pos="8930" w:val="left" w:leader="dot"/>
            </w:tabs>
          </w:pPr>
          <w:hyperlink w:history="true" w:anchor="_bookmark751">
            <w:r>
              <w:rPr/>
              <w:t>Schedule</w:t>
            </w:r>
            <w:r>
              <w:rPr>
                <w:spacing w:val="-4"/>
              </w:rPr>
              <w:t> </w:t>
            </w:r>
            <w:r>
              <w:rPr/>
              <w:t>7A.2</w:t>
              <w:tab/>
              <w:t>Metering</w:t>
            </w:r>
            <w:r>
              <w:rPr>
                <w:spacing w:val="-2"/>
              </w:rPr>
              <w:t> </w:t>
            </w:r>
            <w:r>
              <w:rPr/>
              <w:t>provider</w:t>
              <w:tab/>
              <w:t>593</w:t>
            </w:r>
          </w:hyperlink>
        </w:p>
        <w:p>
          <w:pPr>
            <w:pStyle w:val="TOC2"/>
            <w:tabs>
              <w:tab w:pos="1918" w:val="left" w:leader="none"/>
              <w:tab w:pos="8930" w:val="left" w:leader="dot"/>
            </w:tabs>
          </w:pPr>
          <w:hyperlink w:history="true" w:anchor="_bookmark752">
            <w:r>
              <w:rPr/>
              <w:t>Schedule</w:t>
            </w:r>
            <w:r>
              <w:rPr>
                <w:spacing w:val="-4"/>
              </w:rPr>
              <w:t> </w:t>
            </w:r>
            <w:r>
              <w:rPr/>
              <w:t>7A.3</w:t>
              <w:tab/>
              <w:t>Metering</w:t>
            </w:r>
            <w:r>
              <w:rPr>
                <w:spacing w:val="-2"/>
              </w:rPr>
              <w:t> </w:t>
            </w:r>
            <w:r>
              <w:rPr/>
              <w:t>data</w:t>
            </w:r>
            <w:r>
              <w:rPr>
                <w:spacing w:val="-4"/>
              </w:rPr>
              <w:t> </w:t>
            </w:r>
            <w:r>
              <w:rPr/>
              <w:t>provider</w:t>
              <w:tab/>
              <w:t>593</w:t>
            </w:r>
          </w:hyperlink>
        </w:p>
        <w:p>
          <w:pPr>
            <w:pStyle w:val="TOC2"/>
            <w:tabs>
              <w:tab w:pos="1918" w:val="left" w:leader="none"/>
              <w:tab w:pos="8930" w:val="left" w:leader="dot"/>
            </w:tabs>
          </w:pPr>
          <w:hyperlink w:history="true" w:anchor="_bookmark753">
            <w:r>
              <w:rPr/>
              <w:t>Schedule</w:t>
            </w:r>
            <w:r>
              <w:rPr>
                <w:spacing w:val="-4"/>
              </w:rPr>
              <w:t> </w:t>
            </w:r>
            <w:r>
              <w:rPr/>
              <w:t>7A.4</w:t>
              <w:tab/>
              <w:t>Types and accuracy of</w:t>
            </w:r>
            <w:r>
              <w:rPr>
                <w:spacing w:val="-1"/>
              </w:rPr>
              <w:t> </w:t>
            </w:r>
            <w:r>
              <w:rPr/>
              <w:t>metering</w:t>
            </w:r>
            <w:r>
              <w:rPr>
                <w:spacing w:val="-1"/>
              </w:rPr>
              <w:t> </w:t>
            </w:r>
            <w:r>
              <w:rPr/>
              <w:t>installations</w:t>
              <w:tab/>
              <w:t>593</w:t>
            </w:r>
          </w:hyperlink>
        </w:p>
        <w:p>
          <w:pPr>
            <w:pStyle w:val="TOC3"/>
            <w:tabs>
              <w:tab w:pos="1918" w:val="left" w:leader="none"/>
              <w:tab w:pos="8930" w:val="left" w:leader="dot"/>
            </w:tabs>
            <w:ind w:left="218"/>
          </w:pPr>
          <w:hyperlink w:history="true" w:anchor="_bookmark754">
            <w:r>
              <w:rPr/>
              <w:t>S7A.4.1</w:t>
              <w:tab/>
              <w:t>General</w:t>
            </w:r>
            <w:r>
              <w:rPr>
                <w:spacing w:val="-2"/>
              </w:rPr>
              <w:t> </w:t>
            </w:r>
            <w:r>
              <w:rPr/>
              <w:t>requirements</w:t>
              <w:tab/>
              <w:t>593</w:t>
            </w:r>
          </w:hyperlink>
        </w:p>
        <w:p>
          <w:pPr>
            <w:pStyle w:val="TOC3"/>
            <w:tabs>
              <w:tab w:pos="1918" w:val="left" w:leader="none"/>
              <w:tab w:pos="8930" w:val="left" w:leader="dot"/>
            </w:tabs>
            <w:ind w:left="218"/>
          </w:pPr>
          <w:hyperlink w:history="true" w:anchor="_bookmark755">
            <w:r>
              <w:rPr/>
              <w:t>S7A.4.2</w:t>
              <w:tab/>
              <w:t>Accuracy requirements for</w:t>
            </w:r>
            <w:r>
              <w:rPr>
                <w:spacing w:val="-3"/>
              </w:rPr>
              <w:t> </w:t>
            </w:r>
            <w:r>
              <w:rPr/>
              <w:t>metering</w:t>
            </w:r>
            <w:r>
              <w:rPr>
                <w:spacing w:val="-2"/>
              </w:rPr>
              <w:t> </w:t>
            </w:r>
            <w:r>
              <w:rPr/>
              <w:t>installations</w:t>
              <w:tab/>
              <w:t>594</w:t>
            </w:r>
          </w:hyperlink>
        </w:p>
        <w:p>
          <w:pPr>
            <w:pStyle w:val="TOC3"/>
            <w:tabs>
              <w:tab w:pos="1918" w:val="left" w:leader="none"/>
              <w:tab w:pos="8930" w:val="left" w:leader="dot"/>
            </w:tabs>
            <w:ind w:left="218"/>
          </w:pPr>
          <w:hyperlink w:history="true" w:anchor="_bookmark756">
            <w:r>
              <w:rPr/>
              <w:t>S7A.4.3</w:t>
              <w:tab/>
              <w:t>Check</w:t>
            </w:r>
            <w:r>
              <w:rPr>
                <w:spacing w:val="-1"/>
              </w:rPr>
              <w:t> </w:t>
            </w:r>
            <w:r>
              <w:rPr/>
              <w:t>metering</w:t>
              <w:tab/>
              <w:t>598</w:t>
            </w:r>
          </w:hyperlink>
        </w:p>
        <w:p>
          <w:pPr>
            <w:pStyle w:val="TOC3"/>
            <w:tabs>
              <w:tab w:pos="1918" w:val="left" w:leader="none"/>
              <w:tab w:pos="8930" w:val="left" w:leader="dot"/>
            </w:tabs>
            <w:ind w:left="218"/>
          </w:pPr>
          <w:hyperlink w:history="true" w:anchor="_bookmark757">
            <w:r>
              <w:rPr/>
              <w:t>S7A.4.4</w:t>
              <w:tab/>
              <w:t>Resolution and accuracy of displayed or</w:t>
            </w:r>
            <w:r>
              <w:rPr>
                <w:spacing w:val="-3"/>
              </w:rPr>
              <w:t> </w:t>
            </w:r>
            <w:r>
              <w:rPr/>
              <w:t>captured</w:t>
            </w:r>
            <w:r>
              <w:rPr>
                <w:spacing w:val="-1"/>
              </w:rPr>
              <w:t> </w:t>
            </w:r>
            <w:r>
              <w:rPr/>
              <w:t>data</w:t>
              <w:tab/>
              <w:t>599</w:t>
            </w:r>
          </w:hyperlink>
        </w:p>
        <w:p>
          <w:pPr>
            <w:pStyle w:val="TOC3"/>
            <w:tabs>
              <w:tab w:pos="1918" w:val="left" w:leader="none"/>
              <w:tab w:pos="8929" w:val="left" w:leader="dot"/>
            </w:tabs>
            <w:ind w:left="218"/>
          </w:pPr>
          <w:hyperlink w:history="true" w:anchor="_bookmark758">
            <w:r>
              <w:rPr/>
              <w:t>S7A.4.5</w:t>
              <w:tab/>
              <w:t>General</w:t>
            </w:r>
            <w:r>
              <w:rPr>
                <w:spacing w:val="-4"/>
              </w:rPr>
              <w:t> </w:t>
            </w:r>
            <w:r>
              <w:rPr/>
              <w:t>design</w:t>
            </w:r>
            <w:r>
              <w:rPr>
                <w:spacing w:val="-3"/>
              </w:rPr>
              <w:t> </w:t>
            </w:r>
            <w:r>
              <w:rPr/>
              <w:t>standards</w:t>
              <w:tab/>
              <w:t>600</w:t>
            </w:r>
          </w:hyperlink>
        </w:p>
        <w:p>
          <w:pPr>
            <w:pStyle w:val="TOC3"/>
            <w:tabs>
              <w:tab w:pos="1918" w:val="left" w:leader="none"/>
              <w:tab w:pos="8930" w:val="left" w:leader="dot"/>
            </w:tabs>
            <w:ind w:left="218"/>
          </w:pPr>
          <w:hyperlink w:history="true" w:anchor="_bookmark759">
            <w:r>
              <w:rPr/>
              <w:t>S7A.4.5.1</w:t>
              <w:tab/>
              <w:t>Design</w:t>
            </w:r>
            <w:r>
              <w:rPr>
                <w:spacing w:val="-3"/>
              </w:rPr>
              <w:t> </w:t>
            </w:r>
            <w:r>
              <w:rPr/>
              <w:t>requirements</w:t>
              <w:tab/>
              <w:t>600</w:t>
            </w:r>
          </w:hyperlink>
        </w:p>
        <w:p>
          <w:pPr>
            <w:pStyle w:val="TOC3"/>
            <w:tabs>
              <w:tab w:pos="1918" w:val="left" w:leader="none"/>
              <w:tab w:pos="8930" w:val="left" w:leader="dot"/>
            </w:tabs>
            <w:ind w:left="218"/>
          </w:pPr>
          <w:hyperlink w:history="true" w:anchor="_bookmark760">
            <w:r>
              <w:rPr/>
              <w:t>S7A.4.5.2</w:t>
              <w:tab/>
              <w:t>Design</w:t>
            </w:r>
            <w:r>
              <w:rPr>
                <w:spacing w:val="-3"/>
              </w:rPr>
              <w:t> </w:t>
            </w:r>
            <w:r>
              <w:rPr/>
              <w:t>guidelines</w:t>
              <w:tab/>
              <w:t>600</w:t>
            </w:r>
          </w:hyperlink>
        </w:p>
        <w:p>
          <w:pPr>
            <w:pStyle w:val="TOC2"/>
            <w:tabs>
              <w:tab w:pos="1918" w:val="left" w:leader="none"/>
            </w:tabs>
          </w:pPr>
          <w:hyperlink w:history="true" w:anchor="_bookmark761">
            <w:r>
              <w:rPr/>
              <w:t>Schedule</w:t>
            </w:r>
            <w:r>
              <w:rPr>
                <w:spacing w:val="-4"/>
              </w:rPr>
              <w:t> </w:t>
            </w:r>
            <w:r>
              <w:rPr/>
              <w:t>7A.5</w:t>
              <w:tab/>
              <w:t>Metering functionality requirements for type 1, 2, 3 and</w:t>
            </w:r>
            <w:r>
              <w:rPr>
                <w:spacing w:val="11"/>
              </w:rPr>
              <w:t> </w:t>
            </w:r>
            <w:r>
              <w:rPr/>
              <w:t>4</w:t>
            </w:r>
          </w:hyperlink>
        </w:p>
        <w:p>
          <w:pPr>
            <w:pStyle w:val="TOC4"/>
            <w:tabs>
              <w:tab w:pos="8931" w:val="left" w:leader="dot"/>
            </w:tabs>
          </w:pPr>
          <w:hyperlink w:history="true" w:anchor="_bookmark761">
            <w:r>
              <w:rPr/>
              <w:t>metering</w:t>
            </w:r>
            <w:r>
              <w:rPr>
                <w:spacing w:val="-1"/>
              </w:rPr>
              <w:t> </w:t>
            </w:r>
            <w:r>
              <w:rPr/>
              <w:t>requirements</w:t>
              <w:tab/>
              <w:t>601</w:t>
            </w:r>
          </w:hyperlink>
        </w:p>
        <w:p>
          <w:pPr>
            <w:pStyle w:val="TOC3"/>
            <w:tabs>
              <w:tab w:pos="1918" w:val="left" w:leader="none"/>
              <w:tab w:pos="8930" w:val="left" w:leader="dot"/>
            </w:tabs>
            <w:ind w:left="218"/>
          </w:pPr>
          <w:hyperlink w:history="true" w:anchor="_bookmark762">
            <w:r>
              <w:rPr/>
              <w:t>S7A.5.1</w:t>
              <w:tab/>
              <w:t>Introduction</w:t>
              <w:tab/>
              <w:t>601</w:t>
            </w:r>
          </w:hyperlink>
        </w:p>
        <w:p>
          <w:pPr>
            <w:pStyle w:val="TOC3"/>
            <w:tabs>
              <w:tab w:pos="1918" w:val="left" w:leader="none"/>
              <w:tab w:pos="8930" w:val="left" w:leader="dot"/>
            </w:tabs>
            <w:ind w:left="218"/>
          </w:pPr>
          <w:hyperlink w:history="true" w:anchor="_bookmark763">
            <w:r>
              <w:rPr/>
              <w:t>S7A.5.1.1</w:t>
              <w:tab/>
              <w:t>Purpose</w:t>
              <w:tab/>
              <w:t>601</w:t>
            </w:r>
          </w:hyperlink>
        </w:p>
        <w:p>
          <w:pPr>
            <w:pStyle w:val="TOC3"/>
            <w:tabs>
              <w:tab w:pos="1918" w:val="left" w:leader="none"/>
              <w:tab w:pos="8930" w:val="left" w:leader="dot"/>
            </w:tabs>
            <w:ind w:left="218"/>
          </w:pPr>
          <w:hyperlink w:history="true" w:anchor="_bookmark764">
            <w:r>
              <w:rPr/>
              <w:t>S7A.5.1.2</w:t>
              <w:tab/>
              <w:t>Definitions</w:t>
              <w:tab/>
              <w:t>601</w:t>
            </w:r>
          </w:hyperlink>
        </w:p>
        <w:p>
          <w:pPr>
            <w:pStyle w:val="TOC3"/>
            <w:tabs>
              <w:tab w:pos="1918" w:val="left" w:leader="none"/>
              <w:tab w:pos="8931" w:val="left" w:leader="dot"/>
            </w:tabs>
            <w:ind w:right="413" w:hanging="1701"/>
          </w:pPr>
          <w:hyperlink w:history="true" w:anchor="_bookmark765">
            <w:r>
              <w:rPr/>
              <w:t>S7A.5.2</w:t>
              <w:tab/>
              <w:t>Functionality Requirements for Meters in Type 1, 2, and 3 metering</w:t>
            </w:r>
          </w:hyperlink>
          <w:r>
            <w:rPr/>
            <w:t> </w:t>
          </w:r>
          <w:hyperlink w:history="true" w:anchor="_bookmark765">
            <w:r>
              <w:rPr/>
              <w:t>installations</w:t>
              <w:tab/>
            </w:r>
            <w:r>
              <w:rPr>
                <w:spacing w:val="-6"/>
              </w:rPr>
              <w:t>601</w:t>
            </w:r>
          </w:hyperlink>
        </w:p>
        <w:p>
          <w:pPr>
            <w:pStyle w:val="TOC3"/>
            <w:tabs>
              <w:tab w:pos="1918" w:val="left" w:leader="none"/>
              <w:tab w:pos="8930" w:val="left" w:leader="dot"/>
            </w:tabs>
            <w:ind w:left="218"/>
          </w:pPr>
          <w:hyperlink w:history="true" w:anchor="_bookmark766">
            <w:r>
              <w:rPr/>
              <w:t>S7A.5.2.1</w:t>
              <w:tab/>
              <w:t>Application</w:t>
              <w:tab/>
              <w:t>601</w:t>
            </w:r>
          </w:hyperlink>
        </w:p>
        <w:p>
          <w:pPr>
            <w:pStyle w:val="TOC3"/>
            <w:tabs>
              <w:tab w:pos="1918" w:val="left" w:leader="none"/>
              <w:tab w:pos="8931" w:val="left" w:leader="dot"/>
            </w:tabs>
            <w:ind w:left="218"/>
          </w:pPr>
          <w:hyperlink w:history="true" w:anchor="_bookmark767">
            <w:r>
              <w:rPr/>
              <w:t>S7A.5.2.2</w:t>
              <w:tab/>
              <w:t>Applicable</w:t>
            </w:r>
            <w:r>
              <w:rPr>
                <w:spacing w:val="-2"/>
              </w:rPr>
              <w:t> </w:t>
            </w:r>
            <w:r>
              <w:rPr/>
              <w:t>meter</w:t>
            </w:r>
            <w:r>
              <w:rPr>
                <w:spacing w:val="-2"/>
              </w:rPr>
              <w:t> </w:t>
            </w:r>
            <w:r>
              <w:rPr/>
              <w:t>configurations</w:t>
              <w:tab/>
              <w:t>602</w:t>
            </w:r>
          </w:hyperlink>
        </w:p>
        <w:p>
          <w:pPr>
            <w:pStyle w:val="TOC3"/>
            <w:tabs>
              <w:tab w:pos="1918" w:val="left" w:leader="none"/>
              <w:tab w:pos="8930" w:val="left" w:leader="dot"/>
            </w:tabs>
            <w:ind w:left="218"/>
          </w:pPr>
          <w:hyperlink w:history="true" w:anchor="_bookmark768">
            <w:r>
              <w:rPr/>
              <w:t>S7A.5.2.3</w:t>
              <w:tab/>
              <w:t>Metrology</w:t>
              <w:tab/>
              <w:t>602</w:t>
            </w:r>
          </w:hyperlink>
        </w:p>
        <w:p>
          <w:pPr>
            <w:pStyle w:val="TOC3"/>
            <w:tabs>
              <w:tab w:pos="1918" w:val="left" w:leader="none"/>
              <w:tab w:pos="8931" w:val="left" w:leader="dot"/>
            </w:tabs>
            <w:ind w:right="413" w:hanging="1701"/>
          </w:pPr>
          <w:hyperlink w:history="true" w:anchor="_bookmark769">
            <w:r>
              <w:rPr/>
              <w:t>S7A.5.3</w:t>
              <w:tab/>
              <w:t>Functionality  Requirements  for  Meters  in  Type   4   metering</w:t>
            </w:r>
          </w:hyperlink>
          <w:r>
            <w:rPr/>
            <w:t> </w:t>
          </w:r>
          <w:hyperlink w:history="true" w:anchor="_bookmark769">
            <w:r>
              <w:rPr/>
              <w:t>installations</w:t>
              <w:tab/>
            </w:r>
            <w:r>
              <w:rPr>
                <w:spacing w:val="-6"/>
              </w:rPr>
              <w:t>602</w:t>
            </w:r>
          </w:hyperlink>
        </w:p>
        <w:p>
          <w:pPr>
            <w:pStyle w:val="TOC3"/>
            <w:tabs>
              <w:tab w:pos="1918" w:val="left" w:leader="none"/>
              <w:tab w:pos="8930" w:val="left" w:leader="dot"/>
            </w:tabs>
            <w:ind w:left="218"/>
          </w:pPr>
          <w:hyperlink w:history="true" w:anchor="_bookmark770">
            <w:r>
              <w:rPr/>
              <w:t>S7A.5.3.1</w:t>
              <w:tab/>
              <w:t>Application</w:t>
              <w:tab/>
              <w:t>602</w:t>
            </w:r>
          </w:hyperlink>
        </w:p>
        <w:p>
          <w:pPr>
            <w:pStyle w:val="TOC3"/>
            <w:tabs>
              <w:tab w:pos="1918" w:val="left" w:leader="none"/>
              <w:tab w:pos="8931" w:val="left" w:leader="dot"/>
            </w:tabs>
            <w:ind w:left="218"/>
          </w:pPr>
          <w:hyperlink w:history="true" w:anchor="_bookmark771">
            <w:r>
              <w:rPr/>
              <w:t>S7A.5.3.2</w:t>
              <w:tab/>
              <w:t>Applicable</w:t>
            </w:r>
            <w:r>
              <w:rPr>
                <w:spacing w:val="-2"/>
              </w:rPr>
              <w:t> </w:t>
            </w:r>
            <w:r>
              <w:rPr/>
              <w:t>meter</w:t>
            </w:r>
            <w:r>
              <w:rPr>
                <w:spacing w:val="-2"/>
              </w:rPr>
              <w:t> </w:t>
            </w:r>
            <w:r>
              <w:rPr/>
              <w:t>configurations</w:t>
              <w:tab/>
              <w:t>602</w:t>
            </w:r>
          </w:hyperlink>
        </w:p>
        <w:p>
          <w:pPr>
            <w:pStyle w:val="TOC3"/>
            <w:tabs>
              <w:tab w:pos="1918" w:val="left" w:leader="none"/>
              <w:tab w:pos="8930" w:val="left" w:leader="dot"/>
            </w:tabs>
            <w:ind w:left="218"/>
          </w:pPr>
          <w:hyperlink w:history="true" w:anchor="_bookmark772">
            <w:r>
              <w:rPr/>
              <w:t>S7A.5.3.3</w:t>
              <w:tab/>
              <w:t>Metrology</w:t>
              <w:tab/>
              <w:t>603</w:t>
            </w:r>
          </w:hyperlink>
        </w:p>
        <w:p>
          <w:pPr>
            <w:pStyle w:val="TOC3"/>
            <w:tabs>
              <w:tab w:pos="1918" w:val="left" w:leader="none"/>
              <w:tab w:pos="8930" w:val="left" w:leader="dot"/>
            </w:tabs>
            <w:spacing w:after="127"/>
            <w:ind w:left="218"/>
          </w:pPr>
          <w:hyperlink w:history="true" w:anchor="_bookmark773">
            <w:r>
              <w:rPr/>
              <w:t>S7A.5.3.4</w:t>
              <w:tab/>
              <w:t>Remote and local reading</w:t>
            </w:r>
            <w:r>
              <w:rPr>
                <w:spacing w:val="-3"/>
              </w:rPr>
              <w:t> </w:t>
            </w:r>
            <w:r>
              <w:rPr/>
              <w:t>of meters</w:t>
              <w:tab/>
              <w:t>603</w:t>
            </w:r>
          </w:hyperlink>
        </w:p>
        <w:p>
          <w:pPr>
            <w:pStyle w:val="TOC3"/>
            <w:tabs>
              <w:tab w:pos="1918" w:val="left" w:leader="none"/>
              <w:tab w:pos="8929" w:val="left" w:leader="dot"/>
            </w:tabs>
            <w:spacing w:before="83"/>
            <w:ind w:left="218"/>
          </w:pPr>
          <w:hyperlink w:history="true" w:anchor="_bookmark774">
            <w:r>
              <w:rPr/>
              <w:t>S7A.5.3.5</w:t>
              <w:tab/>
              <w:t>Supply disconnection</w:t>
            </w:r>
            <w:r>
              <w:rPr>
                <w:spacing w:val="-8"/>
              </w:rPr>
              <w:t> </w:t>
            </w:r>
            <w:r>
              <w:rPr/>
              <w:t>and</w:t>
            </w:r>
            <w:r>
              <w:rPr>
                <w:spacing w:val="-4"/>
              </w:rPr>
              <w:t> </w:t>
            </w:r>
            <w:r>
              <w:rPr/>
              <w:t>reconnection</w:t>
              <w:tab/>
              <w:t>604</w:t>
            </w:r>
          </w:hyperlink>
        </w:p>
        <w:p>
          <w:pPr>
            <w:pStyle w:val="TOC3"/>
            <w:tabs>
              <w:tab w:pos="1918" w:val="left" w:leader="none"/>
              <w:tab w:pos="8930" w:val="left" w:leader="dot"/>
            </w:tabs>
            <w:ind w:left="218"/>
          </w:pPr>
          <w:hyperlink w:history="true" w:anchor="_bookmark775">
            <w:r>
              <w:rPr/>
              <w:t>S7A.5.3.5.1</w:t>
              <w:tab/>
              <w:t>General</w:t>
            </w:r>
            <w:r>
              <w:rPr>
                <w:spacing w:val="-2"/>
              </w:rPr>
              <w:t> </w:t>
            </w:r>
            <w:r>
              <w:rPr/>
              <w:t>requirements</w:t>
              <w:tab/>
              <w:t>604</w:t>
            </w:r>
          </w:hyperlink>
        </w:p>
        <w:p>
          <w:pPr>
            <w:pStyle w:val="TOC3"/>
            <w:tabs>
              <w:tab w:pos="1918" w:val="left" w:leader="none"/>
              <w:tab w:pos="8930" w:val="left" w:leader="dot"/>
            </w:tabs>
            <w:ind w:left="218"/>
          </w:pPr>
          <w:hyperlink w:history="true" w:anchor="_bookmark776">
            <w:r>
              <w:rPr/>
              <w:t>S7A.5.3.5.2</w:t>
              <w:tab/>
              <w:t>Disconnection</w:t>
              <w:tab/>
              <w:t>604</w:t>
            </w:r>
          </w:hyperlink>
        </w:p>
        <w:p>
          <w:pPr>
            <w:pStyle w:val="TOC3"/>
            <w:tabs>
              <w:tab w:pos="1918" w:val="left" w:leader="none"/>
              <w:tab w:pos="8930" w:val="left" w:leader="dot"/>
            </w:tabs>
            <w:ind w:left="218"/>
          </w:pPr>
          <w:hyperlink w:history="true" w:anchor="_bookmark777">
            <w:r>
              <w:rPr/>
              <w:t>S7A.5.3.5.3</w:t>
              <w:tab/>
              <w:t>Reconnection</w:t>
              <w:tab/>
              <w:t>604</w:t>
            </w:r>
          </w:hyperlink>
        </w:p>
        <w:p>
          <w:pPr>
            <w:pStyle w:val="TOC3"/>
            <w:tabs>
              <w:tab w:pos="1918" w:val="left" w:leader="none"/>
              <w:tab w:pos="8930" w:val="left" w:leader="dot"/>
            </w:tabs>
            <w:ind w:left="218"/>
          </w:pPr>
          <w:hyperlink w:history="true" w:anchor="_bookmark778">
            <w:r>
              <w:rPr/>
              <w:t>S7A.5.3.6</w:t>
              <w:tab/>
              <w:t>Time</w:t>
            </w:r>
            <w:r>
              <w:rPr>
                <w:spacing w:val="-4"/>
              </w:rPr>
              <w:t> </w:t>
            </w:r>
            <w:r>
              <w:rPr/>
              <w:t>clock</w:t>
            </w:r>
            <w:r>
              <w:rPr>
                <w:spacing w:val="-4"/>
              </w:rPr>
              <w:t> </w:t>
            </w:r>
            <w:r>
              <w:rPr/>
              <w:t>synchronisation</w:t>
              <w:tab/>
              <w:t>605</w:t>
            </w:r>
          </w:hyperlink>
        </w:p>
        <w:p>
          <w:pPr>
            <w:pStyle w:val="TOC3"/>
            <w:tabs>
              <w:tab w:pos="1918" w:val="left" w:leader="none"/>
              <w:tab w:pos="8930" w:val="left" w:leader="dot"/>
            </w:tabs>
            <w:ind w:left="218"/>
          </w:pPr>
          <w:hyperlink w:history="true" w:anchor="_bookmark779">
            <w:r>
              <w:rPr/>
              <w:t>S7A.5.3.7</w:t>
              <w:tab/>
              <w:t>Quality of Supply and other</w:t>
            </w:r>
            <w:r>
              <w:rPr>
                <w:spacing w:val="-8"/>
              </w:rPr>
              <w:t> </w:t>
            </w:r>
            <w:r>
              <w:rPr/>
              <w:t>event</w:t>
            </w:r>
            <w:r>
              <w:rPr>
                <w:spacing w:val="-1"/>
              </w:rPr>
              <w:t> </w:t>
            </w:r>
            <w:r>
              <w:rPr/>
              <w:t>recording</w:t>
              <w:tab/>
              <w:t>605</w:t>
            </w:r>
          </w:hyperlink>
        </w:p>
        <w:p>
          <w:pPr>
            <w:pStyle w:val="TOC3"/>
            <w:tabs>
              <w:tab w:pos="1918" w:val="left" w:leader="none"/>
              <w:tab w:pos="8930" w:val="left" w:leader="dot"/>
            </w:tabs>
            <w:ind w:left="218"/>
          </w:pPr>
          <w:hyperlink w:history="true" w:anchor="_bookmark780">
            <w:r>
              <w:rPr/>
              <w:t>S7A.5.3.8</w:t>
              <w:tab/>
              <w:t>Tamper</w:t>
            </w:r>
            <w:r>
              <w:rPr>
                <w:spacing w:val="-1"/>
              </w:rPr>
              <w:t> </w:t>
            </w:r>
            <w:r>
              <w:rPr/>
              <w:t>detection</w:t>
              <w:tab/>
              <w:t>606</w:t>
            </w:r>
          </w:hyperlink>
        </w:p>
        <w:p>
          <w:pPr>
            <w:pStyle w:val="TOC3"/>
            <w:tabs>
              <w:tab w:pos="1918" w:val="left" w:leader="none"/>
              <w:tab w:pos="8930" w:val="left" w:leader="dot"/>
            </w:tabs>
            <w:ind w:left="218"/>
          </w:pPr>
          <w:hyperlink w:history="true" w:anchor="_bookmark781">
            <w:r>
              <w:rPr/>
              <w:t>S7A.5.3.9</w:t>
              <w:tab/>
              <w:t>Communications and</w:t>
            </w:r>
            <w:r>
              <w:rPr>
                <w:spacing w:val="-4"/>
              </w:rPr>
              <w:t> </w:t>
            </w:r>
            <w:r>
              <w:rPr/>
              <w:t>data</w:t>
            </w:r>
            <w:r>
              <w:rPr>
                <w:spacing w:val="-2"/>
              </w:rPr>
              <w:t> </w:t>
            </w:r>
            <w:r>
              <w:rPr/>
              <w:t>security</w:t>
              <w:tab/>
              <w:t>606</w:t>
            </w:r>
          </w:hyperlink>
        </w:p>
        <w:p>
          <w:pPr>
            <w:pStyle w:val="TOC3"/>
            <w:tabs>
              <w:tab w:pos="1918" w:val="left" w:leader="none"/>
              <w:tab w:pos="8930" w:val="left" w:leader="dot"/>
            </w:tabs>
            <w:ind w:left="218"/>
          </w:pPr>
          <w:hyperlink w:history="true" w:anchor="_bookmark782">
            <w:r>
              <w:rPr/>
              <w:t>S7A.5.3.10</w:t>
              <w:tab/>
              <w:t>Remote</w:t>
            </w:r>
            <w:r>
              <w:rPr>
                <w:spacing w:val="-1"/>
              </w:rPr>
              <w:t> </w:t>
            </w:r>
            <w:r>
              <w:rPr/>
              <w:t>firmware</w:t>
            </w:r>
            <w:r>
              <w:rPr>
                <w:spacing w:val="-1"/>
              </w:rPr>
              <w:t> </w:t>
            </w:r>
            <w:r>
              <w:rPr/>
              <w:t>upgrades</w:t>
              <w:tab/>
              <w:t>606</w:t>
            </w:r>
          </w:hyperlink>
        </w:p>
        <w:p>
          <w:pPr>
            <w:pStyle w:val="TOC3"/>
            <w:tabs>
              <w:tab w:pos="1918" w:val="left" w:leader="none"/>
              <w:tab w:pos="8930" w:val="left" w:leader="dot"/>
            </w:tabs>
            <w:ind w:left="218"/>
          </w:pPr>
          <w:hyperlink w:history="true" w:anchor="_bookmark783">
            <w:r>
              <w:rPr/>
              <w:t>S7A.5.3.11</w:t>
              <w:tab/>
              <w:t>Remote</w:t>
            </w:r>
            <w:r>
              <w:rPr>
                <w:spacing w:val="-1"/>
              </w:rPr>
              <w:t> </w:t>
            </w:r>
            <w:r>
              <w:rPr/>
              <w:t>arming</w:t>
              <w:tab/>
              <w:t>606</w:t>
            </w:r>
          </w:hyperlink>
        </w:p>
        <w:p>
          <w:pPr>
            <w:pStyle w:val="TOC2"/>
            <w:tabs>
              <w:tab w:pos="1918" w:val="left" w:leader="none"/>
              <w:tab w:pos="8930" w:val="left" w:leader="dot"/>
            </w:tabs>
          </w:pPr>
          <w:hyperlink w:history="true" w:anchor="_bookmark784">
            <w:r>
              <w:rPr/>
              <w:t>Schedule</w:t>
            </w:r>
            <w:r>
              <w:rPr>
                <w:spacing w:val="-4"/>
              </w:rPr>
              <w:t> </w:t>
            </w:r>
            <w:r>
              <w:rPr/>
              <w:t>7A.6</w:t>
              <w:tab/>
              <w:t>Inspection and</w:t>
            </w:r>
            <w:r>
              <w:rPr>
                <w:spacing w:val="-4"/>
              </w:rPr>
              <w:t> </w:t>
            </w:r>
            <w:r>
              <w:rPr/>
              <w:t>testing</w:t>
            </w:r>
            <w:r>
              <w:rPr>
                <w:spacing w:val="-2"/>
              </w:rPr>
              <w:t> </w:t>
            </w:r>
            <w:r>
              <w:rPr/>
              <w:t>requirements</w:t>
              <w:tab/>
              <w:t>606</w:t>
            </w:r>
          </w:hyperlink>
        </w:p>
        <w:p>
          <w:pPr>
            <w:pStyle w:val="TOC3"/>
            <w:tabs>
              <w:tab w:pos="1918" w:val="left" w:leader="none"/>
              <w:tab w:pos="8930" w:val="left" w:leader="dot"/>
            </w:tabs>
            <w:ind w:left="218"/>
          </w:pPr>
          <w:hyperlink w:history="true" w:anchor="_bookmark785">
            <w:r>
              <w:rPr/>
              <w:t>S7A.6.1</w:t>
              <w:tab/>
              <w:t>General</w:t>
              <w:tab/>
              <w:t>606</w:t>
            </w:r>
          </w:hyperlink>
        </w:p>
        <w:p>
          <w:pPr>
            <w:pStyle w:val="TOC3"/>
            <w:tabs>
              <w:tab w:pos="1918" w:val="left" w:leader="none"/>
              <w:tab w:pos="8930" w:val="left" w:leader="dot"/>
            </w:tabs>
            <w:ind w:left="218"/>
          </w:pPr>
          <w:hyperlink w:history="true" w:anchor="_bookmark786">
            <w:r>
              <w:rPr/>
              <w:t>S7A.6.2</w:t>
              <w:tab/>
              <w:t>Technical</w:t>
            </w:r>
            <w:r>
              <w:rPr>
                <w:spacing w:val="-2"/>
              </w:rPr>
              <w:t> </w:t>
            </w:r>
            <w:r>
              <w:rPr/>
              <w:t>guidelines</w:t>
              <w:tab/>
              <w:t>608</w:t>
            </w:r>
          </w:hyperlink>
        </w:p>
        <w:p>
          <w:pPr>
            <w:pStyle w:val="TOC2"/>
            <w:tabs>
              <w:tab w:pos="1918" w:val="left" w:leader="none"/>
              <w:tab w:pos="8930" w:val="left" w:leader="dot"/>
            </w:tabs>
          </w:pPr>
          <w:hyperlink w:history="true" w:anchor="_bookmark787">
            <w:r>
              <w:rPr/>
              <w:t>Schedule</w:t>
            </w:r>
            <w:r>
              <w:rPr>
                <w:spacing w:val="-4"/>
              </w:rPr>
              <w:t> </w:t>
            </w:r>
            <w:r>
              <w:rPr/>
              <w:t>7A.7</w:t>
              <w:tab/>
              <w:t>Metrology</w:t>
            </w:r>
            <w:r>
              <w:rPr>
                <w:spacing w:val="-3"/>
              </w:rPr>
              <w:t> </w:t>
            </w:r>
            <w:r>
              <w:rPr/>
              <w:t>procedure</w:t>
              <w:tab/>
              <w:t>609</w:t>
            </w:r>
          </w:hyperlink>
        </w:p>
        <w:p>
          <w:pPr>
            <w:pStyle w:val="TOC2"/>
            <w:tabs>
              <w:tab w:pos="8931" w:val="left" w:leader="dot"/>
            </w:tabs>
          </w:pPr>
          <w:hyperlink w:history="true" w:anchor="_bookmark788">
            <w:r>
              <w:rPr/>
              <w:t>Part A</w:t>
              <w:tab/>
              <w:t>609</w:t>
            </w:r>
          </w:hyperlink>
        </w:p>
        <w:p>
          <w:pPr>
            <w:pStyle w:val="TOC3"/>
            <w:tabs>
              <w:tab w:pos="1918" w:val="left" w:leader="none"/>
              <w:tab w:pos="8930" w:val="left" w:leader="dot"/>
            </w:tabs>
            <w:ind w:left="218"/>
          </w:pPr>
          <w:hyperlink w:history="true" w:anchor="_bookmark789">
            <w:r>
              <w:rPr/>
              <w:t>S7A.7.1</w:t>
              <w:tab/>
              <w:t>Introduction</w:t>
              <w:tab/>
              <w:t>609</w:t>
            </w:r>
          </w:hyperlink>
        </w:p>
        <w:p>
          <w:pPr>
            <w:pStyle w:val="TOC3"/>
            <w:tabs>
              <w:tab w:pos="1918" w:val="left" w:leader="none"/>
              <w:tab w:pos="8930" w:val="left" w:leader="dot"/>
            </w:tabs>
            <w:ind w:left="218"/>
          </w:pPr>
          <w:hyperlink w:history="true" w:anchor="_bookmark790">
            <w:r>
              <w:rPr/>
              <w:t>S7A.7.1.1</w:t>
              <w:tab/>
              <w:t>General</w:t>
              <w:tab/>
              <w:t>609</w:t>
            </w:r>
          </w:hyperlink>
        </w:p>
        <w:p>
          <w:pPr>
            <w:pStyle w:val="TOC3"/>
            <w:tabs>
              <w:tab w:pos="1918" w:val="left" w:leader="none"/>
              <w:tab w:pos="8930" w:val="left" w:leader="dot"/>
            </w:tabs>
            <w:ind w:left="218"/>
          </w:pPr>
          <w:hyperlink w:history="true" w:anchor="_bookmark791">
            <w:r>
              <w:rPr/>
              <w:t>S7A.7.1.2</w:t>
              <w:tab/>
              <w:t>Definitions</w:t>
              <w:tab/>
              <w:t>609</w:t>
            </w:r>
          </w:hyperlink>
        </w:p>
        <w:p>
          <w:pPr>
            <w:pStyle w:val="TOC3"/>
            <w:tabs>
              <w:tab w:pos="1918" w:val="left" w:leader="none"/>
              <w:tab w:pos="8930" w:val="left" w:leader="dot"/>
            </w:tabs>
            <w:ind w:left="218"/>
          </w:pPr>
          <w:hyperlink w:history="true" w:anchor="_bookmark792">
            <w:r>
              <w:rPr/>
              <w:t>S7A.7.1.3</w:t>
              <w:tab/>
              <w:t>Relevant</w:t>
            </w:r>
            <w:r>
              <w:rPr>
                <w:spacing w:val="-1"/>
              </w:rPr>
              <w:t> </w:t>
            </w:r>
            <w:r>
              <w:rPr/>
              <w:t>retailer</w:t>
              <w:tab/>
              <w:t>610</w:t>
            </w:r>
          </w:hyperlink>
        </w:p>
        <w:p>
          <w:pPr>
            <w:pStyle w:val="TOC2"/>
            <w:tabs>
              <w:tab w:pos="8931" w:val="left" w:leader="dot"/>
            </w:tabs>
          </w:pPr>
          <w:hyperlink w:history="true" w:anchor="_bookmark793">
            <w:r>
              <w:rPr/>
              <w:t>Part B</w:t>
              <w:tab/>
              <w:t>610</w:t>
            </w:r>
          </w:hyperlink>
        </w:p>
        <w:p>
          <w:pPr>
            <w:pStyle w:val="TOC3"/>
            <w:tabs>
              <w:tab w:pos="1918" w:val="left" w:leader="none"/>
              <w:tab w:pos="8930" w:val="left" w:leader="dot"/>
            </w:tabs>
            <w:ind w:left="218"/>
          </w:pPr>
          <w:hyperlink w:history="true" w:anchor="_bookmark794">
            <w:r>
              <w:rPr/>
              <w:t>S7A.7.2</w:t>
              <w:tab/>
              <w:t>Purpose</w:t>
            </w:r>
            <w:r>
              <w:rPr>
                <w:spacing w:val="-4"/>
              </w:rPr>
              <w:t> </w:t>
            </w:r>
            <w:r>
              <w:rPr/>
              <w:t>and</w:t>
            </w:r>
            <w:r>
              <w:rPr>
                <w:spacing w:val="-3"/>
              </w:rPr>
              <w:t> </w:t>
            </w:r>
            <w:r>
              <w:rPr/>
              <w:t>scope</w:t>
              <w:tab/>
              <w:t>610</w:t>
            </w:r>
          </w:hyperlink>
        </w:p>
        <w:p>
          <w:pPr>
            <w:pStyle w:val="TOC3"/>
            <w:tabs>
              <w:tab w:pos="1918" w:val="left" w:leader="none"/>
              <w:tab w:pos="8930" w:val="left" w:leader="dot"/>
            </w:tabs>
            <w:ind w:left="218"/>
          </w:pPr>
          <w:hyperlink w:history="true" w:anchor="_bookmark795">
            <w:r>
              <w:rPr/>
              <w:t>S7A.7.2.1</w:t>
              <w:tab/>
              <w:t>Purpose</w:t>
              <w:tab/>
              <w:t>610</w:t>
            </w:r>
          </w:hyperlink>
        </w:p>
        <w:p>
          <w:pPr>
            <w:pStyle w:val="TOC3"/>
            <w:tabs>
              <w:tab w:pos="1918" w:val="left" w:leader="none"/>
              <w:tab w:pos="8930" w:val="left" w:leader="dot"/>
            </w:tabs>
            <w:ind w:left="218"/>
          </w:pPr>
          <w:hyperlink w:history="true" w:anchor="_bookmark796">
            <w:r>
              <w:rPr/>
              <w:t>S7A.7.2.2</w:t>
              <w:tab/>
              <w:t>Scope</w:t>
              <w:tab/>
              <w:t>611</w:t>
            </w:r>
          </w:hyperlink>
        </w:p>
        <w:p>
          <w:pPr>
            <w:pStyle w:val="TOC3"/>
            <w:tabs>
              <w:tab w:pos="1918" w:val="left" w:leader="none"/>
              <w:tab w:pos="8930" w:val="left" w:leader="dot"/>
            </w:tabs>
            <w:ind w:left="218"/>
          </w:pPr>
          <w:hyperlink w:history="true" w:anchor="_bookmark797">
            <w:r>
              <w:rPr/>
              <w:t>S7A.7.3</w:t>
              <w:tab/>
              <w:t>Metering</w:t>
            </w:r>
            <w:r>
              <w:rPr>
                <w:spacing w:val="-1"/>
              </w:rPr>
              <w:t> </w:t>
            </w:r>
            <w:r>
              <w:rPr/>
              <w:t>provision</w:t>
              <w:tab/>
              <w:t>611</w:t>
            </w:r>
          </w:hyperlink>
        </w:p>
        <w:p>
          <w:pPr>
            <w:pStyle w:val="TOC3"/>
            <w:tabs>
              <w:tab w:pos="1918" w:val="left" w:leader="none"/>
              <w:tab w:pos="8930" w:val="left" w:leader="dot"/>
            </w:tabs>
            <w:ind w:left="218"/>
          </w:pPr>
          <w:hyperlink w:history="true" w:anchor="_bookmark798">
            <w:r>
              <w:rPr/>
              <w:t>S7A.7.3.1</w:t>
              <w:tab/>
              <w:t>Responsibility for</w:t>
            </w:r>
            <w:r>
              <w:rPr>
                <w:spacing w:val="-2"/>
              </w:rPr>
              <w:t> </w:t>
            </w:r>
            <w:r>
              <w:rPr/>
              <w:t>metering provision</w:t>
              <w:tab/>
              <w:t>611</w:t>
            </w:r>
          </w:hyperlink>
        </w:p>
        <w:p>
          <w:pPr>
            <w:pStyle w:val="TOC3"/>
            <w:tabs>
              <w:tab w:pos="1918" w:val="left" w:leader="none"/>
              <w:tab w:pos="8931" w:val="left" w:leader="dot"/>
            </w:tabs>
            <w:ind w:left="218"/>
          </w:pPr>
          <w:hyperlink w:history="true" w:anchor="_bookmark799">
            <w:r>
              <w:rPr/>
              <w:t>S7A.7.3.2</w:t>
              <w:tab/>
              <w:t>Metering</w:t>
            </w:r>
            <w:r>
              <w:rPr>
                <w:spacing w:val="-2"/>
              </w:rPr>
              <w:t> </w:t>
            </w:r>
            <w:r>
              <w:rPr/>
              <w:t>installation</w:t>
            </w:r>
            <w:r>
              <w:rPr>
                <w:spacing w:val="-1"/>
              </w:rPr>
              <w:t> </w:t>
            </w:r>
            <w:r>
              <w:rPr/>
              <w:t>components</w:t>
              <w:tab/>
              <w:t>611</w:t>
            </w:r>
          </w:hyperlink>
        </w:p>
        <w:p>
          <w:pPr>
            <w:pStyle w:val="TOC3"/>
            <w:tabs>
              <w:tab w:pos="1918" w:val="left" w:leader="none"/>
              <w:tab w:pos="8930" w:val="left" w:leader="dot"/>
            </w:tabs>
            <w:ind w:left="218"/>
          </w:pPr>
          <w:hyperlink w:history="true" w:anchor="_bookmark800">
            <w:r>
              <w:rPr/>
              <w:t>S7A.7.3.3</w:t>
              <w:tab/>
              <w:t>Use of optical ports and</w:t>
            </w:r>
            <w:r>
              <w:rPr>
                <w:spacing w:val="-4"/>
              </w:rPr>
              <w:t> </w:t>
            </w:r>
            <w:r>
              <w:rPr/>
              <w:t>pulse</w:t>
            </w:r>
            <w:r>
              <w:rPr>
                <w:spacing w:val="-1"/>
              </w:rPr>
              <w:t> </w:t>
            </w:r>
            <w:r>
              <w:rPr/>
              <w:t>outputs</w:t>
              <w:tab/>
              <w:t>612</w:t>
            </w:r>
          </w:hyperlink>
        </w:p>
        <w:p>
          <w:pPr>
            <w:pStyle w:val="TOC3"/>
            <w:tabs>
              <w:tab w:pos="1918" w:val="left" w:leader="none"/>
              <w:tab w:pos="8930" w:val="left" w:leader="dot"/>
            </w:tabs>
            <w:ind w:left="218"/>
          </w:pPr>
          <w:hyperlink w:history="true" w:anchor="_bookmark801">
            <w:r>
              <w:rPr/>
              <w:t>S7A.7.3.4</w:t>
              <w:tab/>
              <w:t>Load</w:t>
            </w:r>
            <w:r>
              <w:rPr>
                <w:spacing w:val="-1"/>
              </w:rPr>
              <w:t> </w:t>
            </w:r>
            <w:r>
              <w:rPr/>
              <w:t>control equipment</w:t>
              <w:tab/>
              <w:t>613</w:t>
            </w:r>
          </w:hyperlink>
        </w:p>
        <w:p>
          <w:pPr>
            <w:pStyle w:val="TOC3"/>
            <w:tabs>
              <w:tab w:pos="1918" w:val="left" w:leader="none"/>
              <w:tab w:pos="8930" w:val="left" w:leader="dot"/>
            </w:tabs>
            <w:ind w:left="218"/>
          </w:pPr>
          <w:hyperlink w:history="true" w:anchor="_bookmark802">
            <w:r>
              <w:rPr/>
              <w:t>S7A.7.3.5</w:t>
              <w:tab/>
              <w:t>Data storage requirements</w:t>
            </w:r>
            <w:r>
              <w:rPr>
                <w:spacing w:val="-7"/>
              </w:rPr>
              <w:t> </w:t>
            </w:r>
            <w:r>
              <w:rPr/>
              <w:t>for</w:t>
            </w:r>
            <w:r>
              <w:rPr>
                <w:spacing w:val="-1"/>
              </w:rPr>
              <w:t> </w:t>
            </w:r>
            <w:r>
              <w:rPr/>
              <w:t>meters</w:t>
              <w:tab/>
              <w:t>613</w:t>
            </w:r>
          </w:hyperlink>
        </w:p>
        <w:p>
          <w:pPr>
            <w:pStyle w:val="TOC3"/>
            <w:tabs>
              <w:tab w:pos="1918" w:val="left" w:leader="none"/>
              <w:tab w:pos="8931" w:val="left" w:leader="dot"/>
            </w:tabs>
            <w:ind w:left="218"/>
          </w:pPr>
          <w:hyperlink w:history="true" w:anchor="_bookmark803">
            <w:r>
              <w:rPr/>
              <w:t>S7A.7.3.6</w:t>
              <w:tab/>
              <w:t>Metering</w:t>
            </w:r>
            <w:r>
              <w:rPr>
                <w:spacing w:val="-2"/>
              </w:rPr>
              <w:t> </w:t>
            </w:r>
            <w:r>
              <w:rPr/>
              <w:t>installation</w:t>
            </w:r>
            <w:r>
              <w:rPr>
                <w:spacing w:val="-1"/>
              </w:rPr>
              <w:t> </w:t>
            </w:r>
            <w:r>
              <w:rPr/>
              <w:t>clock</w:t>
              <w:tab/>
              <w:t>613</w:t>
            </w:r>
          </w:hyperlink>
        </w:p>
        <w:p>
          <w:pPr>
            <w:pStyle w:val="TOC3"/>
            <w:tabs>
              <w:tab w:pos="1918" w:val="left" w:leader="none"/>
              <w:tab w:pos="8930" w:val="left" w:leader="dot"/>
            </w:tabs>
            <w:ind w:left="218"/>
          </w:pPr>
          <w:hyperlink w:history="true" w:anchor="_bookmark804">
            <w:r>
              <w:rPr/>
              <w:t>S7A.7.3.7</w:t>
              <w:tab/>
              <w:t>Interval</w:t>
            </w:r>
            <w:r>
              <w:rPr>
                <w:spacing w:val="-1"/>
              </w:rPr>
              <w:t> </w:t>
            </w:r>
            <w:r>
              <w:rPr/>
              <w:t>meters</w:t>
              <w:tab/>
              <w:t>613</w:t>
            </w:r>
          </w:hyperlink>
        </w:p>
        <w:p>
          <w:pPr>
            <w:pStyle w:val="TOC3"/>
            <w:tabs>
              <w:tab w:pos="1918" w:val="left" w:leader="none"/>
              <w:tab w:pos="8930" w:val="left" w:leader="dot"/>
            </w:tabs>
            <w:ind w:left="218"/>
          </w:pPr>
          <w:hyperlink w:history="true" w:anchor="_bookmark805">
            <w:r>
              <w:rPr/>
              <w:t>S7A.7.3.8</w:t>
              <w:tab/>
              <w:t>Alarm</w:t>
            </w:r>
            <w:r>
              <w:rPr>
                <w:spacing w:val="-4"/>
              </w:rPr>
              <w:t> </w:t>
            </w:r>
            <w:r>
              <w:rPr/>
              <w:t>settings</w:t>
              <w:tab/>
              <w:t>614</w:t>
            </w:r>
          </w:hyperlink>
        </w:p>
        <w:p>
          <w:pPr>
            <w:pStyle w:val="TOC3"/>
            <w:tabs>
              <w:tab w:pos="1918" w:val="left" w:leader="none"/>
              <w:tab w:pos="8930" w:val="left" w:leader="dot"/>
            </w:tabs>
            <w:ind w:left="218"/>
          </w:pPr>
          <w:hyperlink w:history="true" w:anchor="_bookmark806">
            <w:r>
              <w:rPr/>
              <w:t>S7A.7.3.9</w:t>
              <w:tab/>
              <w:t>Summation</w:t>
            </w:r>
            <w:r>
              <w:rPr>
                <w:spacing w:val="-2"/>
              </w:rPr>
              <w:t> </w:t>
            </w:r>
            <w:r>
              <w:rPr/>
              <w:t>metering</w:t>
              <w:tab/>
              <w:t>614</w:t>
            </w:r>
          </w:hyperlink>
        </w:p>
        <w:p>
          <w:pPr>
            <w:pStyle w:val="TOC3"/>
            <w:tabs>
              <w:tab w:pos="8930" w:val="left" w:leader="dot"/>
            </w:tabs>
            <w:ind w:left="218"/>
          </w:pPr>
          <w:hyperlink w:history="true" w:anchor="_bookmark807">
            <w:r>
              <w:rPr/>
              <w:t>S7A.7.3.10</w:t>
              <w:tab/>
              <w:t>614</w:t>
            </w:r>
          </w:hyperlink>
        </w:p>
        <w:p>
          <w:pPr>
            <w:pStyle w:val="TOC3"/>
            <w:tabs>
              <w:tab w:pos="1918" w:val="left" w:leader="none"/>
              <w:tab w:pos="8932" w:val="left" w:leader="dot"/>
            </w:tabs>
            <w:ind w:left="218"/>
          </w:pPr>
          <w:hyperlink w:history="true" w:anchor="_bookmark808">
            <w:r>
              <w:rPr/>
              <w:t>S7A.7.3.11</w:t>
              <w:tab/>
              <w:t>Routine testing and inspection of</w:t>
            </w:r>
            <w:r>
              <w:rPr>
                <w:spacing w:val="-3"/>
              </w:rPr>
              <w:t> </w:t>
            </w:r>
            <w:r>
              <w:rPr/>
              <w:t>metering installations</w:t>
              <w:tab/>
              <w:t>614</w:t>
            </w:r>
          </w:hyperlink>
        </w:p>
        <w:p>
          <w:pPr>
            <w:pStyle w:val="TOC3"/>
            <w:tabs>
              <w:tab w:pos="1918" w:val="left" w:leader="none"/>
              <w:tab w:pos="8932" w:val="left" w:leader="dot"/>
            </w:tabs>
            <w:ind w:left="218"/>
          </w:pPr>
          <w:hyperlink w:history="true" w:anchor="_bookmark809">
            <w:r>
              <w:rPr/>
              <w:t>S7A.7.3.12</w:t>
              <w:tab/>
              <w:t>Requests for testing type 1 – 6</w:t>
            </w:r>
            <w:r>
              <w:rPr>
                <w:spacing w:val="-4"/>
              </w:rPr>
              <w:t> </w:t>
            </w:r>
            <w:r>
              <w:rPr/>
              <w:t>metering installations</w:t>
              <w:tab/>
              <w:t>615</w:t>
            </w:r>
          </w:hyperlink>
        </w:p>
        <w:p>
          <w:pPr>
            <w:pStyle w:val="TOC3"/>
            <w:tabs>
              <w:tab w:pos="1918" w:val="left" w:leader="none"/>
              <w:tab w:pos="8931" w:val="left" w:leader="dot"/>
            </w:tabs>
            <w:ind w:left="218"/>
          </w:pPr>
          <w:hyperlink w:history="true" w:anchor="_bookmark810">
            <w:r>
              <w:rPr/>
              <w:t>S7A.7.4</w:t>
              <w:tab/>
              <w:t>Installation of meters</w:t>
            </w:r>
            <w:r>
              <w:rPr>
                <w:spacing w:val="-2"/>
              </w:rPr>
              <w:t> </w:t>
            </w:r>
            <w:r>
              <w:rPr/>
              <w:t>and</w:t>
            </w:r>
            <w:r>
              <w:rPr>
                <w:spacing w:val="-1"/>
              </w:rPr>
              <w:t> </w:t>
            </w:r>
            <w:r>
              <w:rPr/>
              <w:t>de-commissioning</w:t>
              <w:tab/>
              <w:t>616</w:t>
            </w:r>
          </w:hyperlink>
        </w:p>
        <w:p>
          <w:pPr>
            <w:pStyle w:val="TOC3"/>
            <w:tabs>
              <w:tab w:pos="1918" w:val="left" w:leader="none"/>
              <w:tab w:pos="8930" w:val="left" w:leader="dot"/>
            </w:tabs>
            <w:ind w:left="218"/>
          </w:pPr>
          <w:hyperlink w:history="true" w:anchor="_bookmark811">
            <w:r>
              <w:rPr/>
              <w:t>S7A.7.4.1</w:t>
              <w:tab/>
              <w:t>General</w:t>
            </w:r>
            <w:r>
              <w:rPr>
                <w:spacing w:val="-2"/>
              </w:rPr>
              <w:t> </w:t>
            </w:r>
            <w:r>
              <w:rPr/>
              <w:t>installation</w:t>
            </w:r>
            <w:r>
              <w:rPr>
                <w:spacing w:val="-1"/>
              </w:rPr>
              <w:t> </w:t>
            </w:r>
            <w:r>
              <w:rPr/>
              <w:t>requirements</w:t>
              <w:tab/>
              <w:t>616</w:t>
            </w:r>
          </w:hyperlink>
        </w:p>
        <w:p>
          <w:pPr>
            <w:pStyle w:val="TOC3"/>
            <w:tabs>
              <w:tab w:pos="1918" w:val="left" w:leader="none"/>
              <w:tab w:pos="8931" w:val="left" w:leader="dot"/>
            </w:tabs>
            <w:ind w:left="218"/>
          </w:pPr>
          <w:hyperlink w:history="true" w:anchor="_bookmark812">
            <w:r>
              <w:rPr/>
              <w:t>S7A.7.4.2</w:t>
              <w:tab/>
              <w:t>Type 4A, 5 and 6</w:t>
            </w:r>
            <w:r>
              <w:rPr>
                <w:spacing w:val="-2"/>
              </w:rPr>
              <w:t> </w:t>
            </w:r>
            <w:r>
              <w:rPr/>
              <w:t>metering</w:t>
            </w:r>
            <w:r>
              <w:rPr>
                <w:spacing w:val="-1"/>
              </w:rPr>
              <w:t> </w:t>
            </w:r>
            <w:r>
              <w:rPr/>
              <w:t>installations</w:t>
              <w:tab/>
              <w:t>616</w:t>
            </w:r>
          </w:hyperlink>
        </w:p>
        <w:p>
          <w:pPr>
            <w:pStyle w:val="TOC3"/>
            <w:tabs>
              <w:tab w:pos="1918" w:val="left" w:leader="none"/>
              <w:tab w:pos="8930" w:val="left" w:leader="dot"/>
            </w:tabs>
            <w:ind w:right="413" w:hanging="1701"/>
          </w:pPr>
          <w:hyperlink w:history="true" w:anchor="_bookmark813">
            <w:r>
              <w:rPr/>
              <w:t>S7A.7.4.3</w:t>
              <w:tab/>
              <w:t>Preliminary de-commissioning and removal of metering equipment</w:t>
            </w:r>
          </w:hyperlink>
          <w:r>
            <w:rPr/>
            <w:t> </w:t>
          </w:r>
          <w:hyperlink w:history="true" w:anchor="_bookmark813">
            <w:r>
              <w:rPr/>
              <w:t>requirements</w:t>
              <w:tab/>
            </w:r>
            <w:r>
              <w:rPr>
                <w:spacing w:val="-6"/>
              </w:rPr>
              <w:t>616</w:t>
            </w:r>
          </w:hyperlink>
        </w:p>
        <w:p>
          <w:pPr>
            <w:pStyle w:val="TOC3"/>
            <w:tabs>
              <w:tab w:pos="8930" w:val="left" w:leader="dot"/>
            </w:tabs>
            <w:ind w:left="218"/>
          </w:pPr>
          <w:hyperlink w:history="true" w:anchor="_bookmark814">
            <w:r>
              <w:rPr/>
              <w:t>S7A.7.4.4</w:t>
              <w:tab/>
              <w:t>616</w:t>
            </w:r>
          </w:hyperlink>
        </w:p>
        <w:p>
          <w:pPr>
            <w:pStyle w:val="TOC3"/>
            <w:tabs>
              <w:tab w:pos="8930" w:val="left" w:leader="dot"/>
            </w:tabs>
            <w:ind w:left="218"/>
          </w:pPr>
          <w:hyperlink w:history="true" w:anchor="_bookmark815">
            <w:r>
              <w:rPr/>
              <w:t>S7A.7.5</w:t>
              <w:tab/>
              <w:t>617</w:t>
            </w:r>
          </w:hyperlink>
        </w:p>
        <w:p>
          <w:pPr>
            <w:pStyle w:val="TOC3"/>
            <w:tabs>
              <w:tab w:pos="1918" w:val="left" w:leader="none"/>
              <w:tab w:pos="8930" w:val="left" w:leader="dot"/>
            </w:tabs>
            <w:ind w:left="218"/>
          </w:pPr>
          <w:hyperlink w:history="true" w:anchor="_bookmark816">
            <w:r>
              <w:rPr/>
              <w:t>S7A.7.6</w:t>
              <w:tab/>
              <w:t>Responsibility for metering</w:t>
            </w:r>
            <w:r>
              <w:rPr>
                <w:spacing w:val="-2"/>
              </w:rPr>
              <w:t> </w:t>
            </w:r>
            <w:r>
              <w:rPr/>
              <w:t>data</w:t>
            </w:r>
            <w:r>
              <w:rPr>
                <w:spacing w:val="-2"/>
              </w:rPr>
              <w:t> </w:t>
            </w:r>
            <w:r>
              <w:rPr/>
              <w:t>services</w:t>
              <w:tab/>
              <w:t>617</w:t>
            </w:r>
          </w:hyperlink>
        </w:p>
        <w:p>
          <w:pPr>
            <w:pStyle w:val="TOC3"/>
            <w:tabs>
              <w:tab w:pos="1918" w:val="left" w:leader="none"/>
              <w:tab w:pos="8930" w:val="left" w:leader="dot"/>
            </w:tabs>
            <w:ind w:left="218"/>
          </w:pPr>
          <w:hyperlink w:history="true" w:anchor="_bookmark817">
            <w:r>
              <w:rPr/>
              <w:t>S7A.7.6.1</w:t>
              <w:tab/>
              <w:t>Metering</w:t>
            </w:r>
            <w:r>
              <w:rPr>
                <w:spacing w:val="-1"/>
              </w:rPr>
              <w:t> </w:t>
            </w:r>
            <w:r>
              <w:rPr/>
              <w:t>data</w:t>
            </w:r>
            <w:r>
              <w:rPr>
                <w:spacing w:val="-2"/>
              </w:rPr>
              <w:t> </w:t>
            </w:r>
            <w:r>
              <w:rPr/>
              <w:t>storage</w:t>
              <w:tab/>
              <w:t>617</w:t>
            </w:r>
          </w:hyperlink>
        </w:p>
        <w:p>
          <w:pPr>
            <w:pStyle w:val="TOC3"/>
            <w:tabs>
              <w:tab w:pos="1918" w:val="left" w:leader="none"/>
              <w:tab w:pos="8931" w:val="left" w:leader="dot"/>
            </w:tabs>
            <w:ind w:left="218"/>
          </w:pPr>
          <w:hyperlink w:history="true" w:anchor="_bookmark818">
            <w:r>
              <w:rPr/>
              <w:t>S7A.7.6.2</w:t>
              <w:tab/>
              <w:t>Verification of metering data for type 4, 4A, 5, 6 and</w:t>
            </w:r>
            <w:r>
              <w:rPr>
                <w:spacing w:val="-6"/>
              </w:rPr>
              <w:t> </w:t>
            </w:r>
            <w:r>
              <w:rPr/>
              <w:t>7 installations</w:t>
              <w:tab/>
              <w:t>617</w:t>
            </w:r>
          </w:hyperlink>
        </w:p>
        <w:p>
          <w:pPr>
            <w:pStyle w:val="TOC3"/>
            <w:tabs>
              <w:tab w:pos="1918" w:val="left" w:leader="none"/>
              <w:tab w:pos="8931" w:val="left" w:leader="dot"/>
            </w:tabs>
            <w:ind w:left="218"/>
          </w:pPr>
          <w:hyperlink w:history="true" w:anchor="_bookmark819">
            <w:r>
              <w:rPr/>
              <w:t>S7A.7.6.3</w:t>
              <w:tab/>
              <w:t>Metering installation type 7 –</w:t>
            </w:r>
            <w:r>
              <w:rPr>
                <w:spacing w:val="-4"/>
              </w:rPr>
              <w:t> </w:t>
            </w:r>
            <w:r>
              <w:rPr/>
              <w:t>sample</w:t>
            </w:r>
            <w:r>
              <w:rPr>
                <w:spacing w:val="-1"/>
              </w:rPr>
              <w:t> </w:t>
            </w:r>
            <w:r>
              <w:rPr/>
              <w:t>testing</w:t>
              <w:tab/>
              <w:t>618</w:t>
            </w:r>
          </w:hyperlink>
        </w:p>
        <w:p>
          <w:pPr>
            <w:pStyle w:val="TOC3"/>
            <w:tabs>
              <w:tab w:pos="1918" w:val="left" w:leader="none"/>
              <w:tab w:pos="8931" w:val="left" w:leader="dot"/>
            </w:tabs>
            <w:ind w:left="218"/>
          </w:pPr>
          <w:hyperlink w:history="true" w:anchor="_bookmark820">
            <w:r>
              <w:rPr/>
              <w:t>S7A.7.6.4</w:t>
              <w:tab/>
              <w:t>Request for text of calculated</w:t>
            </w:r>
            <w:r>
              <w:rPr>
                <w:spacing w:val="-3"/>
              </w:rPr>
              <w:t> </w:t>
            </w:r>
            <w:r>
              <w:rPr/>
              <w:t>metering data</w:t>
              <w:tab/>
              <w:t>619</w:t>
            </w:r>
          </w:hyperlink>
        </w:p>
        <w:p>
          <w:pPr>
            <w:pStyle w:val="TOC3"/>
            <w:tabs>
              <w:tab w:pos="1918" w:val="left" w:leader="none"/>
              <w:tab w:pos="8929" w:val="left" w:leader="dot"/>
            </w:tabs>
            <w:spacing w:after="20"/>
            <w:ind w:left="218"/>
          </w:pPr>
          <w:hyperlink w:history="true" w:anchor="_bookmark821">
            <w:r>
              <w:rPr/>
              <w:t>S7A.7.6.5</w:t>
              <w:tab/>
              <w:t>NTESMO's metering data</w:t>
            </w:r>
            <w:r>
              <w:rPr>
                <w:spacing w:val="-9"/>
              </w:rPr>
              <w:t> </w:t>
            </w:r>
            <w:r>
              <w:rPr/>
              <w:t>substitution</w:t>
            </w:r>
            <w:r>
              <w:rPr>
                <w:spacing w:val="-3"/>
              </w:rPr>
              <w:t> </w:t>
            </w:r>
            <w:r>
              <w:rPr/>
              <w:t>obligations</w:t>
              <w:tab/>
              <w:t>620</w:t>
            </w:r>
          </w:hyperlink>
        </w:p>
        <w:p>
          <w:pPr>
            <w:pStyle w:val="TOC2"/>
            <w:tabs>
              <w:tab w:pos="8931" w:val="left" w:leader="dot"/>
            </w:tabs>
            <w:spacing w:before="83"/>
          </w:pPr>
          <w:hyperlink w:history="true" w:anchor="_bookmark822">
            <w:r>
              <w:rPr/>
              <w:t>Part C</w:t>
              <w:tab/>
              <w:t>620</w:t>
            </w:r>
          </w:hyperlink>
        </w:p>
        <w:p>
          <w:pPr>
            <w:pStyle w:val="TOC3"/>
            <w:tabs>
              <w:tab w:pos="1918" w:val="left" w:leader="none"/>
              <w:tab w:pos="8930" w:val="left" w:leader="dot"/>
            </w:tabs>
            <w:ind w:left="218"/>
          </w:pPr>
          <w:hyperlink w:history="true" w:anchor="_bookmark823">
            <w:r>
              <w:rPr/>
              <w:t>S7A.7.7</w:t>
              <w:tab/>
              <w:t>Purpose</w:t>
            </w:r>
            <w:r>
              <w:rPr>
                <w:spacing w:val="-4"/>
              </w:rPr>
              <w:t> </w:t>
            </w:r>
            <w:r>
              <w:rPr/>
              <w:t>and</w:t>
            </w:r>
            <w:r>
              <w:rPr>
                <w:spacing w:val="-3"/>
              </w:rPr>
              <w:t> </w:t>
            </w:r>
            <w:r>
              <w:rPr/>
              <w:t>scope</w:t>
              <w:tab/>
              <w:t>620</w:t>
            </w:r>
          </w:hyperlink>
        </w:p>
        <w:p>
          <w:pPr>
            <w:pStyle w:val="TOC3"/>
            <w:tabs>
              <w:tab w:pos="1918" w:val="left" w:leader="none"/>
              <w:tab w:pos="8930" w:val="left" w:leader="dot"/>
            </w:tabs>
            <w:ind w:left="218"/>
          </w:pPr>
          <w:hyperlink w:history="true" w:anchor="_bookmark824">
            <w:r>
              <w:rPr/>
              <w:t>S7A.7.7.1</w:t>
              <w:tab/>
              <w:t>Purpose</w:t>
              <w:tab/>
              <w:t>620</w:t>
            </w:r>
          </w:hyperlink>
        </w:p>
        <w:p>
          <w:pPr>
            <w:pStyle w:val="TOC3"/>
            <w:tabs>
              <w:tab w:pos="1918" w:val="left" w:leader="none"/>
              <w:tab w:pos="8930" w:val="left" w:leader="dot"/>
            </w:tabs>
            <w:ind w:left="218"/>
          </w:pPr>
          <w:hyperlink w:history="true" w:anchor="_bookmark825">
            <w:r>
              <w:rPr/>
              <w:t>S7A.7.7.2</w:t>
              <w:tab/>
              <w:t>Scope</w:t>
              <w:tab/>
              <w:t>620</w:t>
            </w:r>
          </w:hyperlink>
        </w:p>
        <w:p>
          <w:pPr>
            <w:pStyle w:val="TOC3"/>
            <w:tabs>
              <w:tab w:pos="1918" w:val="left" w:leader="none"/>
              <w:tab w:pos="8930" w:val="left" w:leader="dot"/>
            </w:tabs>
            <w:ind w:left="218"/>
          </w:pPr>
          <w:hyperlink w:history="true" w:anchor="_bookmark826">
            <w:r>
              <w:rPr/>
              <w:t>S7A.7.8</w:t>
              <w:tab/>
              <w:t>Principles for validation, substitution</w:t>
            </w:r>
            <w:r>
              <w:rPr>
                <w:spacing w:val="-9"/>
              </w:rPr>
              <w:t> </w:t>
            </w:r>
            <w:r>
              <w:rPr/>
              <w:t>and</w:t>
            </w:r>
            <w:r>
              <w:rPr>
                <w:spacing w:val="-2"/>
              </w:rPr>
              <w:t> </w:t>
            </w:r>
            <w:r>
              <w:rPr/>
              <w:t>estimation</w:t>
              <w:tab/>
              <w:t>620</w:t>
            </w:r>
          </w:hyperlink>
        </w:p>
        <w:p>
          <w:pPr>
            <w:pStyle w:val="TOC3"/>
            <w:tabs>
              <w:tab w:pos="1918" w:val="left" w:leader="none"/>
              <w:tab w:pos="8929" w:val="left" w:leader="dot"/>
            </w:tabs>
            <w:ind w:left="218"/>
          </w:pPr>
          <w:hyperlink w:history="true" w:anchor="_bookmark827">
            <w:r>
              <w:rPr/>
              <w:t>S7A.7.8.1</w:t>
              <w:tab/>
              <w:t>General validation, substitution and</w:t>
            </w:r>
            <w:r>
              <w:rPr>
                <w:spacing w:val="-12"/>
              </w:rPr>
              <w:t> </w:t>
            </w:r>
            <w:r>
              <w:rPr/>
              <w:t>estimation</w:t>
            </w:r>
            <w:r>
              <w:rPr>
                <w:spacing w:val="-2"/>
              </w:rPr>
              <w:t> </w:t>
            </w:r>
            <w:r>
              <w:rPr/>
              <w:t>requirements</w:t>
              <w:tab/>
              <w:t>620</w:t>
            </w:r>
          </w:hyperlink>
        </w:p>
        <w:p>
          <w:pPr>
            <w:pStyle w:val="TOC3"/>
            <w:tabs>
              <w:tab w:pos="1918" w:val="left" w:leader="none"/>
              <w:tab w:pos="8930" w:val="left" w:leader="dot"/>
            </w:tabs>
            <w:ind w:left="218"/>
          </w:pPr>
          <w:hyperlink w:history="true" w:anchor="_bookmark828">
            <w:r>
              <w:rPr/>
              <w:t>S7A.7.8.2</w:t>
              <w:tab/>
              <w:t>Substitution</w:t>
            </w:r>
            <w:r>
              <w:rPr>
                <w:spacing w:val="-3"/>
              </w:rPr>
              <w:t> </w:t>
            </w:r>
            <w:r>
              <w:rPr/>
              <w:t>requirements</w:t>
              <w:tab/>
              <w:t>620</w:t>
            </w:r>
          </w:hyperlink>
        </w:p>
        <w:p>
          <w:pPr>
            <w:pStyle w:val="TOC3"/>
            <w:tabs>
              <w:tab w:pos="1918" w:val="left" w:leader="none"/>
              <w:tab w:pos="8930" w:val="left" w:leader="dot"/>
            </w:tabs>
            <w:ind w:left="218"/>
          </w:pPr>
          <w:hyperlink w:history="true" w:anchor="_bookmark829">
            <w:r>
              <w:rPr/>
              <w:t>S7A.7.8.3</w:t>
              <w:tab/>
              <w:t>Estimation</w:t>
            </w:r>
            <w:r>
              <w:rPr>
                <w:spacing w:val="-1"/>
              </w:rPr>
              <w:t> </w:t>
            </w:r>
            <w:r>
              <w:rPr/>
              <w:t>requirement</w:t>
              <w:tab/>
              <w:t>621</w:t>
            </w:r>
          </w:hyperlink>
        </w:p>
        <w:p>
          <w:pPr>
            <w:pStyle w:val="TOC3"/>
            <w:tabs>
              <w:tab w:pos="1918" w:val="left" w:leader="none"/>
              <w:tab w:pos="8930" w:val="left" w:leader="dot"/>
            </w:tabs>
            <w:ind w:left="218"/>
          </w:pPr>
          <w:hyperlink w:history="true" w:anchor="_bookmark830">
            <w:r>
              <w:rPr/>
              <w:t>S7A.7.8.4</w:t>
              <w:tab/>
              <w:t>Metering data</w:t>
            </w:r>
            <w:r>
              <w:rPr>
                <w:spacing w:val="-3"/>
              </w:rPr>
              <w:t> </w:t>
            </w:r>
            <w:r>
              <w:rPr/>
              <w:t>quality flags</w:t>
              <w:tab/>
              <w:t>622</w:t>
            </w:r>
          </w:hyperlink>
        </w:p>
        <w:p>
          <w:pPr>
            <w:pStyle w:val="TOC3"/>
            <w:tabs>
              <w:tab w:pos="1918" w:val="left" w:leader="none"/>
              <w:tab w:pos="8929" w:val="left" w:leader="dot"/>
            </w:tabs>
            <w:ind w:left="218"/>
          </w:pPr>
          <w:hyperlink w:history="true" w:anchor="_bookmark831">
            <w:r>
              <w:rPr/>
              <w:t>S7A.7.8.5</w:t>
              <w:tab/>
              <w:t>Final</w:t>
            </w:r>
            <w:r>
              <w:rPr>
                <w:spacing w:val="-5"/>
              </w:rPr>
              <w:t> </w:t>
            </w:r>
            <w:r>
              <w:rPr/>
              <w:t>substitution</w:t>
              <w:tab/>
              <w:t>622</w:t>
            </w:r>
          </w:hyperlink>
        </w:p>
        <w:p>
          <w:pPr>
            <w:pStyle w:val="TOC3"/>
            <w:tabs>
              <w:tab w:pos="1918" w:val="left" w:leader="none"/>
              <w:tab w:pos="8931" w:val="left" w:leader="dot"/>
            </w:tabs>
            <w:ind w:right="413" w:hanging="1701"/>
          </w:pPr>
          <w:hyperlink w:history="true" w:anchor="_bookmark832">
            <w:r>
              <w:rPr/>
              <w:t>S7A.7.9</w:t>
              <w:tab/>
              <w:t>Substitution for acquisition  of  metering  data  from  remotely  read</w:t>
            </w:r>
          </w:hyperlink>
          <w:r>
            <w:rPr/>
            <w:t> </w:t>
          </w:r>
          <w:hyperlink w:history="true" w:anchor="_bookmark832">
            <w:r>
              <w:rPr/>
              <w:t>metering</w:t>
            </w:r>
            <w:r>
              <w:rPr>
                <w:spacing w:val="-1"/>
              </w:rPr>
              <w:t> </w:t>
            </w:r>
            <w:r>
              <w:rPr/>
              <w:t>installations</w:t>
              <w:tab/>
            </w:r>
            <w:r>
              <w:rPr>
                <w:spacing w:val="-6"/>
              </w:rPr>
              <w:t>623</w:t>
            </w:r>
          </w:hyperlink>
        </w:p>
        <w:p>
          <w:pPr>
            <w:pStyle w:val="TOC3"/>
            <w:tabs>
              <w:tab w:pos="1918" w:val="left" w:leader="none"/>
              <w:tab w:pos="8930" w:val="left" w:leader="dot"/>
            </w:tabs>
            <w:ind w:left="218"/>
          </w:pPr>
          <w:hyperlink w:history="true" w:anchor="_bookmark833">
            <w:r>
              <w:rPr/>
              <w:t>S7A.7.9.1</w:t>
              <w:tab/>
              <w:t>Application</w:t>
            </w:r>
            <w:r>
              <w:rPr>
                <w:spacing w:val="-3"/>
              </w:rPr>
              <w:t> </w:t>
            </w:r>
            <w:r>
              <w:rPr/>
              <w:t>of</w:t>
            </w:r>
            <w:r>
              <w:rPr>
                <w:spacing w:val="-3"/>
              </w:rPr>
              <w:t> </w:t>
            </w:r>
            <w:r>
              <w:rPr/>
              <w:t>S7A.7.9</w:t>
              <w:tab/>
              <w:t>623</w:t>
            </w:r>
          </w:hyperlink>
        </w:p>
        <w:p>
          <w:pPr>
            <w:pStyle w:val="TOC3"/>
            <w:tabs>
              <w:tab w:pos="1918" w:val="left" w:leader="none"/>
              <w:tab w:pos="8930" w:val="left" w:leader="dot"/>
            </w:tabs>
            <w:ind w:left="218"/>
          </w:pPr>
          <w:hyperlink w:history="true" w:anchor="_bookmark834">
            <w:r>
              <w:rPr/>
              <w:t>S7A.7.9.2</w:t>
              <w:tab/>
              <w:t>Substitution</w:t>
            </w:r>
            <w:r>
              <w:rPr>
                <w:spacing w:val="-2"/>
              </w:rPr>
              <w:t> </w:t>
            </w:r>
            <w:r>
              <w:rPr/>
              <w:t>rules</w:t>
              <w:tab/>
              <w:t>623</w:t>
            </w:r>
          </w:hyperlink>
        </w:p>
        <w:p>
          <w:pPr>
            <w:pStyle w:val="TOC3"/>
            <w:tabs>
              <w:tab w:pos="1918" w:val="left" w:leader="none"/>
              <w:tab w:pos="8930" w:val="left" w:leader="dot"/>
            </w:tabs>
            <w:ind w:left="218"/>
          </w:pPr>
          <w:hyperlink w:history="true" w:anchor="_bookmark835">
            <w:r>
              <w:rPr/>
              <w:t>S7A.7.9.3</w:t>
              <w:tab/>
              <w:t>Substitution</w:t>
            </w:r>
            <w:r>
              <w:rPr>
                <w:spacing w:val="-2"/>
              </w:rPr>
              <w:t> </w:t>
            </w:r>
            <w:r>
              <w:rPr/>
              <w:t>types</w:t>
              <w:tab/>
              <w:t>625</w:t>
            </w:r>
          </w:hyperlink>
        </w:p>
        <w:p>
          <w:pPr>
            <w:pStyle w:val="TOC3"/>
            <w:tabs>
              <w:tab w:pos="1918" w:val="left" w:leader="none"/>
              <w:tab w:pos="8931" w:val="left" w:leader="dot"/>
            </w:tabs>
            <w:ind w:right="413" w:hanging="1701"/>
          </w:pPr>
          <w:hyperlink w:history="true" w:anchor="_bookmark836">
            <w:r>
              <w:rPr/>
              <w:t>S7A.7.10</w:t>
              <w:tab/>
              <w:t>Substitution and estimation for manually read  interval  metering</w:t>
            </w:r>
          </w:hyperlink>
          <w:r>
            <w:rPr/>
            <w:t> </w:t>
          </w:r>
          <w:hyperlink w:history="true" w:anchor="_bookmark836">
            <w:r>
              <w:rPr/>
              <w:t>installations</w:t>
              <w:tab/>
            </w:r>
            <w:r>
              <w:rPr>
                <w:spacing w:val="-6"/>
              </w:rPr>
              <w:t>628</w:t>
            </w:r>
          </w:hyperlink>
        </w:p>
        <w:p>
          <w:pPr>
            <w:pStyle w:val="TOC3"/>
            <w:tabs>
              <w:tab w:pos="1918" w:val="left" w:leader="none"/>
              <w:tab w:pos="8930" w:val="left" w:leader="dot"/>
            </w:tabs>
            <w:ind w:left="218"/>
          </w:pPr>
          <w:hyperlink w:history="true" w:anchor="_bookmark837">
            <w:r>
              <w:rPr/>
              <w:t>S7A.7.10.1</w:t>
              <w:tab/>
              <w:t>Application</w:t>
            </w:r>
            <w:r>
              <w:rPr>
                <w:spacing w:val="-3"/>
              </w:rPr>
              <w:t> </w:t>
            </w:r>
            <w:r>
              <w:rPr/>
              <w:t>of</w:t>
            </w:r>
            <w:r>
              <w:rPr>
                <w:spacing w:val="-3"/>
              </w:rPr>
              <w:t> </w:t>
            </w:r>
            <w:r>
              <w:rPr/>
              <w:t>S7A7.10</w:t>
              <w:tab/>
              <w:t>628</w:t>
            </w:r>
          </w:hyperlink>
        </w:p>
        <w:p>
          <w:pPr>
            <w:pStyle w:val="TOC3"/>
            <w:tabs>
              <w:tab w:pos="1918" w:val="left" w:leader="none"/>
              <w:tab w:pos="8931" w:val="left" w:leader="dot"/>
            </w:tabs>
            <w:ind w:left="218"/>
          </w:pPr>
          <w:hyperlink w:history="true" w:anchor="_bookmark838">
            <w:r>
              <w:rPr/>
              <w:t>S7A.7.10.2</w:t>
              <w:tab/>
              <w:t>Substitution and</w:t>
            </w:r>
            <w:r>
              <w:rPr>
                <w:spacing w:val="-3"/>
              </w:rPr>
              <w:t> </w:t>
            </w:r>
            <w:r>
              <w:rPr/>
              <w:t>estimation</w:t>
            </w:r>
            <w:r>
              <w:rPr>
                <w:spacing w:val="-1"/>
              </w:rPr>
              <w:t> </w:t>
            </w:r>
            <w:r>
              <w:rPr/>
              <w:t>rules</w:t>
              <w:tab/>
              <w:t>628</w:t>
            </w:r>
          </w:hyperlink>
        </w:p>
        <w:p>
          <w:pPr>
            <w:pStyle w:val="TOC3"/>
            <w:tabs>
              <w:tab w:pos="1918" w:val="left" w:leader="none"/>
              <w:tab w:pos="8931" w:val="left" w:leader="dot"/>
            </w:tabs>
            <w:ind w:left="218"/>
          </w:pPr>
          <w:hyperlink w:history="true" w:anchor="_bookmark839">
            <w:r>
              <w:rPr/>
              <w:t>S7A.7.10.3</w:t>
              <w:tab/>
              <w:t>Substitution and</w:t>
            </w:r>
            <w:r>
              <w:rPr>
                <w:spacing w:val="-3"/>
              </w:rPr>
              <w:t> </w:t>
            </w:r>
            <w:r>
              <w:rPr/>
              <w:t>estimation</w:t>
            </w:r>
            <w:r>
              <w:rPr>
                <w:spacing w:val="-1"/>
              </w:rPr>
              <w:t> </w:t>
            </w:r>
            <w:r>
              <w:rPr/>
              <w:t>types</w:t>
              <w:tab/>
              <w:t>629</w:t>
            </w:r>
          </w:hyperlink>
        </w:p>
        <w:p>
          <w:pPr>
            <w:pStyle w:val="TOC3"/>
            <w:tabs>
              <w:tab w:pos="1918" w:val="left" w:leader="none"/>
              <w:tab w:pos="3294" w:val="left" w:leader="none"/>
              <w:tab w:pos="3856" w:val="left" w:leader="none"/>
              <w:tab w:pos="8931" w:val="left" w:leader="dot"/>
            </w:tabs>
            <w:ind w:right="413" w:hanging="1701"/>
          </w:pPr>
          <w:hyperlink w:history="true" w:anchor="_bookmark840">
            <w:r>
              <w:rPr/>
              <w:t>S7A.7.11</w:t>
              <w:tab/>
              <w:t>Substitution</w:t>
              <w:tab/>
              <w:t>and</w:t>
              <w:tab/>
              <w:t>estimation  for  metering  installations  with</w:t>
            </w:r>
          </w:hyperlink>
          <w:r>
            <w:rPr/>
            <w:t> </w:t>
          </w:r>
          <w:hyperlink w:history="true" w:anchor="_bookmark840">
            <w:r>
              <w:rPr/>
              <w:t>accumulated</w:t>
            </w:r>
            <w:r>
              <w:rPr>
                <w:spacing w:val="-1"/>
              </w:rPr>
              <w:t> </w:t>
            </w:r>
            <w:r>
              <w:rPr/>
              <w:t>metering data</w:t>
              <w:tab/>
            </w:r>
            <w:r>
              <w:rPr>
                <w:spacing w:val="-6"/>
              </w:rPr>
              <w:t>631</w:t>
            </w:r>
          </w:hyperlink>
        </w:p>
        <w:p>
          <w:pPr>
            <w:pStyle w:val="TOC3"/>
            <w:tabs>
              <w:tab w:pos="1918" w:val="left" w:leader="none"/>
              <w:tab w:pos="8931" w:val="left" w:leader="dot"/>
            </w:tabs>
            <w:ind w:left="218"/>
          </w:pPr>
          <w:hyperlink w:history="true" w:anchor="_bookmark841">
            <w:r>
              <w:rPr/>
              <w:t>S7A.7.11.1</w:t>
              <w:tab/>
              <w:t>Substitution and</w:t>
            </w:r>
            <w:r>
              <w:rPr>
                <w:spacing w:val="-3"/>
              </w:rPr>
              <w:t> </w:t>
            </w:r>
            <w:r>
              <w:rPr/>
              <w:t>estimation</w:t>
            </w:r>
            <w:r>
              <w:rPr>
                <w:spacing w:val="-1"/>
              </w:rPr>
              <w:t> </w:t>
            </w:r>
            <w:r>
              <w:rPr/>
              <w:t>rules</w:t>
              <w:tab/>
              <w:t>631</w:t>
            </w:r>
          </w:hyperlink>
        </w:p>
        <w:p>
          <w:pPr>
            <w:pStyle w:val="TOC3"/>
            <w:tabs>
              <w:tab w:pos="1918" w:val="left" w:leader="none"/>
              <w:tab w:pos="8931" w:val="left" w:leader="dot"/>
            </w:tabs>
            <w:ind w:left="218"/>
          </w:pPr>
          <w:hyperlink w:history="true" w:anchor="_bookmark842">
            <w:r>
              <w:rPr/>
              <w:t>S7A.7.11.2</w:t>
              <w:tab/>
              <w:t>Substitution and</w:t>
            </w:r>
            <w:r>
              <w:rPr>
                <w:spacing w:val="-3"/>
              </w:rPr>
              <w:t> </w:t>
            </w:r>
            <w:r>
              <w:rPr/>
              <w:t>estimation</w:t>
            </w:r>
            <w:r>
              <w:rPr>
                <w:spacing w:val="-1"/>
              </w:rPr>
              <w:t> </w:t>
            </w:r>
            <w:r>
              <w:rPr/>
              <w:t>types</w:t>
              <w:tab/>
              <w:t>633</w:t>
            </w:r>
          </w:hyperlink>
        </w:p>
        <w:p>
          <w:pPr>
            <w:pStyle w:val="TOC3"/>
            <w:tabs>
              <w:tab w:pos="1918" w:val="left" w:leader="none"/>
              <w:tab w:pos="8931" w:val="left" w:leader="dot"/>
            </w:tabs>
            <w:ind w:left="218"/>
          </w:pPr>
          <w:hyperlink w:history="true" w:anchor="_bookmark843">
            <w:r>
              <w:rPr/>
              <w:t>S7A.7.12</w:t>
              <w:tab/>
              <w:t>Substitution and estimation for calculated</w:t>
            </w:r>
            <w:r>
              <w:rPr>
                <w:spacing w:val="-7"/>
              </w:rPr>
              <w:t> </w:t>
            </w:r>
            <w:r>
              <w:rPr/>
              <w:t>metering</w:t>
            </w:r>
            <w:r>
              <w:rPr>
                <w:spacing w:val="-1"/>
              </w:rPr>
              <w:t> </w:t>
            </w:r>
            <w:r>
              <w:rPr/>
              <w:t>data</w:t>
              <w:tab/>
              <w:t>634</w:t>
            </w:r>
          </w:hyperlink>
        </w:p>
        <w:p>
          <w:pPr>
            <w:pStyle w:val="TOC3"/>
            <w:tabs>
              <w:tab w:pos="1918" w:val="left" w:leader="none"/>
              <w:tab w:pos="8930" w:val="left" w:leader="dot"/>
            </w:tabs>
            <w:ind w:left="218"/>
          </w:pPr>
          <w:hyperlink w:history="true" w:anchor="_bookmark844">
            <w:r>
              <w:rPr/>
              <w:t>S7A.7.12.1</w:t>
              <w:tab/>
              <w:t>Substitution</w:t>
            </w:r>
            <w:r>
              <w:rPr>
                <w:spacing w:val="-2"/>
              </w:rPr>
              <w:t> </w:t>
            </w:r>
            <w:r>
              <w:rPr/>
              <w:t>rules</w:t>
              <w:tab/>
              <w:t>634</w:t>
            </w:r>
          </w:hyperlink>
        </w:p>
        <w:p>
          <w:pPr>
            <w:pStyle w:val="TOC3"/>
            <w:tabs>
              <w:tab w:pos="1918" w:val="left" w:leader="none"/>
              <w:tab w:pos="8931" w:val="left" w:leader="dot"/>
            </w:tabs>
            <w:ind w:left="218"/>
          </w:pPr>
          <w:hyperlink w:history="true" w:anchor="_bookmark845">
            <w:r>
              <w:rPr/>
              <w:t>S7A.7.12.2</w:t>
              <w:tab/>
              <w:t>Substitution and</w:t>
            </w:r>
            <w:r>
              <w:rPr>
                <w:spacing w:val="-3"/>
              </w:rPr>
              <w:t> </w:t>
            </w:r>
            <w:r>
              <w:rPr/>
              <w:t>estimation</w:t>
            </w:r>
            <w:r>
              <w:rPr>
                <w:spacing w:val="-1"/>
              </w:rPr>
              <w:t> </w:t>
            </w:r>
            <w:r>
              <w:rPr/>
              <w:t>types</w:t>
              <w:tab/>
              <w:t>635</w:t>
            </w:r>
          </w:hyperlink>
        </w:p>
        <w:p>
          <w:pPr>
            <w:pStyle w:val="TOC3"/>
            <w:tabs>
              <w:tab w:pos="1918" w:val="left" w:leader="none"/>
              <w:tab w:pos="8930" w:val="left" w:leader="dot"/>
            </w:tabs>
            <w:ind w:left="218"/>
          </w:pPr>
          <w:hyperlink w:history="true" w:anchor="_bookmark846">
            <w:r>
              <w:rPr/>
              <w:t>S7A.7.13</w:t>
              <w:tab/>
              <w:t>Data</w:t>
            </w:r>
            <w:r>
              <w:rPr>
                <w:spacing w:val="-2"/>
              </w:rPr>
              <w:t> </w:t>
            </w:r>
            <w:r>
              <w:rPr/>
              <w:t>validation</w:t>
            </w:r>
            <w:r>
              <w:rPr>
                <w:spacing w:val="-1"/>
              </w:rPr>
              <w:t> </w:t>
            </w:r>
            <w:r>
              <w:rPr/>
              <w:t>requirements</w:t>
              <w:tab/>
              <w:t>636</w:t>
            </w:r>
          </w:hyperlink>
        </w:p>
        <w:p>
          <w:pPr>
            <w:pStyle w:val="TOC3"/>
            <w:tabs>
              <w:tab w:pos="1918" w:val="left" w:leader="none"/>
              <w:tab w:pos="8931" w:val="left" w:leader="dot"/>
            </w:tabs>
            <w:ind w:left="218"/>
          </w:pPr>
          <w:hyperlink w:history="true" w:anchor="_bookmark847">
            <w:r>
              <w:rPr/>
              <w:t>S7A.7.13.1</w:t>
              <w:tab/>
              <w:t>Validation requirements for all</w:t>
            </w:r>
            <w:r>
              <w:rPr>
                <w:spacing w:val="-5"/>
              </w:rPr>
              <w:t> </w:t>
            </w:r>
            <w:r>
              <w:rPr/>
              <w:t>metering</w:t>
            </w:r>
            <w:r>
              <w:rPr>
                <w:spacing w:val="-1"/>
              </w:rPr>
              <w:t> </w:t>
            </w:r>
            <w:r>
              <w:rPr/>
              <w:t>installations</w:t>
              <w:tab/>
              <w:t>636</w:t>
            </w:r>
          </w:hyperlink>
        </w:p>
        <w:p>
          <w:pPr>
            <w:pStyle w:val="TOC3"/>
            <w:tabs>
              <w:tab w:pos="1918" w:val="left" w:leader="none"/>
              <w:tab w:pos="8930" w:val="left" w:leader="dot"/>
            </w:tabs>
            <w:ind w:left="218"/>
          </w:pPr>
          <w:hyperlink w:history="true" w:anchor="_bookmark848">
            <w:r>
              <w:rPr/>
              <w:t>S7A.7.13.2</w:t>
              <w:tab/>
              <w:t>Validation of interval metering</w:t>
            </w:r>
            <w:r>
              <w:rPr>
                <w:spacing w:val="-3"/>
              </w:rPr>
              <w:t> </w:t>
            </w:r>
            <w:r>
              <w:rPr/>
              <w:t>data</w:t>
            </w:r>
            <w:r>
              <w:rPr>
                <w:spacing w:val="-2"/>
              </w:rPr>
              <w:t> </w:t>
            </w:r>
            <w:r>
              <w:rPr/>
              <w:t>alarms</w:t>
              <w:tab/>
              <w:t>636</w:t>
            </w:r>
          </w:hyperlink>
        </w:p>
        <w:p>
          <w:pPr>
            <w:pStyle w:val="TOC3"/>
            <w:tabs>
              <w:tab w:pos="1918" w:val="left" w:leader="none"/>
              <w:tab w:pos="8931" w:val="left" w:leader="dot"/>
            </w:tabs>
            <w:ind w:right="413" w:hanging="1701"/>
          </w:pPr>
          <w:hyperlink w:history="true" w:anchor="_bookmark849">
            <w:r>
              <w:rPr/>
              <w:t>S7A.7.13.3</w:t>
              <w:tab/>
              <w:t>Validation  within  the  meter  reading  process  for  manually  read</w:t>
            </w:r>
          </w:hyperlink>
          <w:r>
            <w:rPr/>
            <w:t>  </w:t>
          </w:r>
          <w:hyperlink w:history="true" w:anchor="_bookmark849">
            <w:r>
              <w:rPr/>
              <w:t>metering</w:t>
            </w:r>
            <w:r>
              <w:rPr>
                <w:spacing w:val="-1"/>
              </w:rPr>
              <w:t> </w:t>
            </w:r>
            <w:r>
              <w:rPr/>
              <w:t>installations</w:t>
              <w:tab/>
            </w:r>
            <w:r>
              <w:rPr>
                <w:spacing w:val="-6"/>
              </w:rPr>
              <w:t>637</w:t>
            </w:r>
          </w:hyperlink>
        </w:p>
        <w:p>
          <w:pPr>
            <w:pStyle w:val="TOC3"/>
            <w:tabs>
              <w:tab w:pos="1918" w:val="left" w:leader="none"/>
              <w:tab w:pos="8931" w:val="left" w:leader="dot"/>
            </w:tabs>
            <w:ind w:left="218"/>
          </w:pPr>
          <w:hyperlink w:history="true" w:anchor="_bookmark850">
            <w:r>
              <w:rPr/>
              <w:t>S7A.7.13.4</w:t>
              <w:tab/>
              <w:t>Validation as part of the</w:t>
            </w:r>
            <w:r>
              <w:rPr>
                <w:spacing w:val="-4"/>
              </w:rPr>
              <w:t> </w:t>
            </w:r>
            <w:r>
              <w:rPr/>
              <w:t>registration process.</w:t>
              <w:tab/>
              <w:t>637</w:t>
            </w:r>
          </w:hyperlink>
        </w:p>
        <w:p>
          <w:pPr>
            <w:pStyle w:val="TOC3"/>
            <w:tabs>
              <w:tab w:pos="1918" w:val="left" w:leader="none"/>
              <w:tab w:pos="8931" w:val="left" w:leader="dot"/>
            </w:tabs>
            <w:ind w:left="218"/>
          </w:pPr>
          <w:hyperlink w:history="true" w:anchor="_bookmark851">
            <w:r>
              <w:rPr/>
              <w:t>S7A.7.13.5</w:t>
              <w:tab/>
              <w:t>Validation of</w:t>
            </w:r>
            <w:r>
              <w:rPr>
                <w:spacing w:val="-2"/>
              </w:rPr>
              <w:t> </w:t>
            </w:r>
            <w:r>
              <w:rPr/>
              <w:t>metering</w:t>
            </w:r>
            <w:r>
              <w:rPr>
                <w:spacing w:val="-1"/>
              </w:rPr>
              <w:t> </w:t>
            </w:r>
            <w:r>
              <w:rPr/>
              <w:t>data</w:t>
              <w:tab/>
              <w:t>638</w:t>
            </w:r>
          </w:hyperlink>
        </w:p>
        <w:p>
          <w:pPr>
            <w:pStyle w:val="TOC3"/>
            <w:tabs>
              <w:tab w:pos="1918" w:val="left" w:leader="none"/>
              <w:tab w:pos="8931" w:val="left" w:leader="dot"/>
            </w:tabs>
            <w:ind w:left="218"/>
          </w:pPr>
          <w:hyperlink w:history="true" w:anchor="_bookmark852">
            <w:r>
              <w:rPr/>
              <w:t>S7A.7.14</w:t>
              <w:tab/>
              <w:t>Determination of metering data for</w:t>
            </w:r>
            <w:r>
              <w:rPr>
                <w:spacing w:val="-4"/>
              </w:rPr>
              <w:t> </w:t>
            </w:r>
            <w:r>
              <w:rPr/>
              <w:t>unmetered</w:t>
            </w:r>
            <w:r>
              <w:rPr>
                <w:spacing w:val="-1"/>
              </w:rPr>
              <w:t> </w:t>
            </w:r>
            <w:r>
              <w:rPr/>
              <w:t>loads</w:t>
              <w:tab/>
              <w:t>644</w:t>
            </w:r>
          </w:hyperlink>
        </w:p>
        <w:p>
          <w:pPr>
            <w:pStyle w:val="TOC3"/>
            <w:tabs>
              <w:tab w:pos="1918" w:val="left" w:leader="none"/>
              <w:tab w:pos="8930" w:val="left" w:leader="dot"/>
            </w:tabs>
            <w:ind w:left="218"/>
          </w:pPr>
          <w:hyperlink w:history="true" w:anchor="_bookmark853">
            <w:r>
              <w:rPr/>
              <w:t>S7A.7.14.1</w:t>
              <w:tab/>
              <w:t>Load</w:t>
            </w:r>
            <w:r>
              <w:rPr>
                <w:spacing w:val="-1"/>
              </w:rPr>
              <w:t> </w:t>
            </w:r>
            <w:r>
              <w:rPr/>
              <w:t>table</w:t>
              <w:tab/>
              <w:t>644</w:t>
            </w:r>
          </w:hyperlink>
        </w:p>
        <w:p>
          <w:pPr>
            <w:pStyle w:val="TOC3"/>
            <w:tabs>
              <w:tab w:pos="1918" w:val="left" w:leader="none"/>
              <w:tab w:pos="8930" w:val="left" w:leader="dot"/>
            </w:tabs>
            <w:ind w:left="218"/>
          </w:pPr>
          <w:hyperlink w:history="true" w:anchor="_bookmark854">
            <w:r>
              <w:rPr/>
              <w:t>S7A.7.14.2</w:t>
              <w:tab/>
              <w:t>Controlled</w:t>
            </w:r>
            <w:r>
              <w:rPr>
                <w:spacing w:val="-1"/>
              </w:rPr>
              <w:t> </w:t>
            </w:r>
            <w:r>
              <w:rPr/>
              <w:t>unmetered</w:t>
            </w:r>
            <w:r>
              <w:rPr>
                <w:spacing w:val="-1"/>
              </w:rPr>
              <w:t> </w:t>
            </w:r>
            <w:r>
              <w:rPr/>
              <w:t>devices</w:t>
              <w:tab/>
              <w:t>645</w:t>
            </w:r>
          </w:hyperlink>
        </w:p>
        <w:p>
          <w:pPr>
            <w:pStyle w:val="TOC3"/>
            <w:tabs>
              <w:tab w:pos="1918" w:val="left" w:leader="none"/>
              <w:tab w:pos="8930" w:val="left" w:leader="dot"/>
            </w:tabs>
            <w:ind w:left="218"/>
          </w:pPr>
          <w:hyperlink w:history="true" w:anchor="_bookmark855">
            <w:r>
              <w:rPr/>
              <w:t>S7A.7.14.3</w:t>
              <w:tab/>
              <w:t>Uncontrolled</w:t>
            </w:r>
            <w:r>
              <w:rPr>
                <w:spacing w:val="-2"/>
              </w:rPr>
              <w:t> </w:t>
            </w:r>
            <w:r>
              <w:rPr/>
              <w:t>unmetered</w:t>
            </w:r>
            <w:r>
              <w:rPr>
                <w:spacing w:val="-2"/>
              </w:rPr>
              <w:t> </w:t>
            </w:r>
            <w:r>
              <w:rPr/>
              <w:t>devices</w:t>
              <w:tab/>
              <w:t>649</w:t>
            </w:r>
          </w:hyperlink>
        </w:p>
        <w:p>
          <w:pPr>
            <w:pStyle w:val="TOC2"/>
            <w:tabs>
              <w:tab w:pos="1918" w:val="left" w:leader="none"/>
              <w:tab w:pos="8929" w:val="left" w:leader="dot"/>
            </w:tabs>
          </w:pPr>
          <w:hyperlink w:history="true" w:anchor="_bookmark856">
            <w:r>
              <w:rPr/>
              <w:t>Schedule</w:t>
            </w:r>
            <w:r>
              <w:rPr>
                <w:spacing w:val="-4"/>
              </w:rPr>
              <w:t> </w:t>
            </w:r>
            <w:r>
              <w:rPr/>
              <w:t>7A.8</w:t>
              <w:tab/>
              <w:t>Service</w:t>
            </w:r>
            <w:r>
              <w:rPr>
                <w:spacing w:val="-3"/>
              </w:rPr>
              <w:t> </w:t>
            </w:r>
            <w:r>
              <w:rPr/>
              <w:t>level</w:t>
            </w:r>
            <w:r>
              <w:rPr>
                <w:spacing w:val="-3"/>
              </w:rPr>
              <w:t> </w:t>
            </w:r>
            <w:r>
              <w:rPr/>
              <w:t>procedures</w:t>
              <w:tab/>
              <w:t>650</w:t>
            </w:r>
          </w:hyperlink>
        </w:p>
        <w:p>
          <w:pPr>
            <w:pStyle w:val="TOC2"/>
            <w:tabs>
              <w:tab w:pos="1919" w:val="left" w:leader="none"/>
              <w:tab w:pos="8930" w:val="left" w:leader="dot"/>
            </w:tabs>
          </w:pPr>
          <w:hyperlink w:history="true" w:anchor="_bookmark857">
            <w:r>
              <w:rPr/>
              <w:t>Part A</w:t>
              <w:tab/>
              <w:t>Introduction</w:t>
              <w:tab/>
              <w:t>650</w:t>
            </w:r>
          </w:hyperlink>
        </w:p>
        <w:p>
          <w:pPr>
            <w:pStyle w:val="TOC3"/>
            <w:tabs>
              <w:tab w:pos="1918" w:val="left" w:leader="none"/>
              <w:tab w:pos="8930" w:val="left" w:leader="dot"/>
            </w:tabs>
            <w:ind w:left="218"/>
          </w:pPr>
          <w:hyperlink w:history="true" w:anchor="_bookmark858">
            <w:r>
              <w:rPr/>
              <w:t>S7A.8.1</w:t>
              <w:tab/>
              <w:t>Introduction</w:t>
              <w:tab/>
              <w:t>650</w:t>
            </w:r>
          </w:hyperlink>
        </w:p>
        <w:p>
          <w:pPr>
            <w:pStyle w:val="TOC3"/>
            <w:tabs>
              <w:tab w:pos="1918" w:val="left" w:leader="none"/>
              <w:tab w:pos="8930" w:val="left" w:leader="dot"/>
            </w:tabs>
            <w:ind w:left="218"/>
          </w:pPr>
          <w:hyperlink w:history="true" w:anchor="_bookmark859">
            <w:r>
              <w:rPr/>
              <w:t>S7A.8.1.1</w:t>
              <w:tab/>
              <w:t>Purpose</w:t>
            </w:r>
            <w:r>
              <w:rPr>
                <w:spacing w:val="-4"/>
              </w:rPr>
              <w:t> </w:t>
            </w:r>
            <w:r>
              <w:rPr/>
              <w:t>and</w:t>
            </w:r>
            <w:r>
              <w:rPr>
                <w:spacing w:val="-3"/>
              </w:rPr>
              <w:t> </w:t>
            </w:r>
            <w:r>
              <w:rPr/>
              <w:t>scope</w:t>
              <w:tab/>
              <w:t>650</w:t>
            </w:r>
          </w:hyperlink>
        </w:p>
        <w:p>
          <w:pPr>
            <w:pStyle w:val="TOC3"/>
            <w:tabs>
              <w:tab w:pos="1918" w:val="left" w:leader="none"/>
              <w:tab w:pos="8930" w:val="left" w:leader="dot"/>
            </w:tabs>
            <w:ind w:left="218"/>
          </w:pPr>
          <w:hyperlink w:history="true" w:anchor="_bookmark860">
            <w:r>
              <w:rPr/>
              <w:t>S7A.8.1.2</w:t>
              <w:tab/>
              <w:t>Definitions</w:t>
              <w:tab/>
              <w:t>650</w:t>
            </w:r>
          </w:hyperlink>
        </w:p>
        <w:p>
          <w:pPr>
            <w:pStyle w:val="TOC2"/>
            <w:tabs>
              <w:tab w:pos="1919" w:val="left" w:leader="none"/>
              <w:tab w:pos="8930" w:val="left" w:leader="dot"/>
            </w:tabs>
          </w:pPr>
          <w:hyperlink w:history="true" w:anchor="_bookmark861">
            <w:r>
              <w:rPr/>
              <w:t>Part B</w:t>
              <w:tab/>
              <w:t>Metering</w:t>
            </w:r>
            <w:r>
              <w:rPr>
                <w:spacing w:val="-3"/>
              </w:rPr>
              <w:t> </w:t>
            </w:r>
            <w:r>
              <w:rPr/>
              <w:t>provider</w:t>
            </w:r>
            <w:r>
              <w:rPr>
                <w:spacing w:val="-4"/>
              </w:rPr>
              <w:t> </w:t>
            </w:r>
            <w:r>
              <w:rPr/>
              <w:t>services</w:t>
              <w:tab/>
              <w:t>651</w:t>
            </w:r>
          </w:hyperlink>
        </w:p>
        <w:p>
          <w:pPr>
            <w:pStyle w:val="TOC3"/>
            <w:tabs>
              <w:tab w:pos="1918" w:val="left" w:leader="none"/>
              <w:tab w:pos="8930" w:val="left" w:leader="dot"/>
            </w:tabs>
            <w:ind w:left="218"/>
          </w:pPr>
          <w:hyperlink w:history="true" w:anchor="_bookmark862">
            <w:r>
              <w:rPr/>
              <w:t>S7A.8.2</w:t>
              <w:tab/>
              <w:t>Introduction</w:t>
              <w:tab/>
              <w:t>651</w:t>
            </w:r>
          </w:hyperlink>
        </w:p>
        <w:p>
          <w:pPr>
            <w:pStyle w:val="TOC3"/>
            <w:tabs>
              <w:tab w:pos="1918" w:val="left" w:leader="none"/>
              <w:tab w:pos="8930" w:val="left" w:leader="dot"/>
            </w:tabs>
            <w:ind w:left="218"/>
          </w:pPr>
          <w:hyperlink w:history="true" w:anchor="_bookmark863">
            <w:r>
              <w:rPr/>
              <w:t>S7A.8.2.1</w:t>
              <w:tab/>
              <w:t>Purpose</w:t>
            </w:r>
            <w:r>
              <w:rPr>
                <w:spacing w:val="-3"/>
              </w:rPr>
              <w:t> </w:t>
            </w:r>
            <w:r>
              <w:rPr/>
              <w:t>and</w:t>
            </w:r>
            <w:r>
              <w:rPr>
                <w:spacing w:val="-2"/>
              </w:rPr>
              <w:t> </w:t>
            </w:r>
            <w:r>
              <w:rPr/>
              <w:t>exclusions</w:t>
              <w:tab/>
              <w:t>651</w:t>
            </w:r>
          </w:hyperlink>
        </w:p>
        <w:p>
          <w:pPr>
            <w:pStyle w:val="TOC3"/>
            <w:tabs>
              <w:tab w:pos="1918" w:val="left" w:leader="none"/>
              <w:tab w:pos="8930" w:val="left" w:leader="dot"/>
            </w:tabs>
            <w:ind w:left="218"/>
          </w:pPr>
          <w:hyperlink w:history="true" w:anchor="_bookmark864">
            <w:r>
              <w:rPr/>
              <w:t>S7A.8.2.2</w:t>
              <w:tab/>
              <w:t>Services</w:t>
              <w:tab/>
              <w:t>651</w:t>
            </w:r>
          </w:hyperlink>
        </w:p>
        <w:p>
          <w:pPr>
            <w:pStyle w:val="TOC3"/>
            <w:tabs>
              <w:tab w:pos="1918" w:val="left" w:leader="none"/>
              <w:tab w:pos="8930" w:val="left" w:leader="dot"/>
            </w:tabs>
            <w:ind w:left="218"/>
          </w:pPr>
          <w:hyperlink w:history="true" w:anchor="_bookmark865">
            <w:r>
              <w:rPr/>
              <w:t>S7A.8.3</w:t>
              <w:tab/>
              <w:t>General</w:t>
            </w:r>
            <w:r>
              <w:rPr>
                <w:spacing w:val="-2"/>
              </w:rPr>
              <w:t> </w:t>
            </w:r>
            <w:r>
              <w:rPr/>
              <w:t>requirements</w:t>
              <w:tab/>
              <w:t>651</w:t>
            </w:r>
          </w:hyperlink>
        </w:p>
        <w:p>
          <w:pPr>
            <w:pStyle w:val="TOC3"/>
            <w:tabs>
              <w:tab w:pos="1918" w:val="left" w:leader="none"/>
              <w:tab w:pos="8930" w:val="left" w:leader="dot"/>
            </w:tabs>
            <w:spacing w:after="140"/>
            <w:ind w:left="218"/>
          </w:pPr>
          <w:hyperlink w:history="true" w:anchor="_bookmark866">
            <w:r>
              <w:rPr/>
              <w:t>S7A.8.3.1</w:t>
              <w:tab/>
              <w:t>Metering Provider capability</w:t>
            </w:r>
            <w:r>
              <w:rPr>
                <w:spacing w:val="-7"/>
              </w:rPr>
              <w:t> </w:t>
            </w:r>
            <w:r>
              <w:rPr/>
              <w:t>and</w:t>
            </w:r>
            <w:r>
              <w:rPr>
                <w:spacing w:val="-2"/>
              </w:rPr>
              <w:t> </w:t>
            </w:r>
            <w:r>
              <w:rPr/>
              <w:t>competency</w:t>
              <w:tab/>
              <w:t>651</w:t>
            </w:r>
          </w:hyperlink>
        </w:p>
        <w:p>
          <w:pPr>
            <w:pStyle w:val="TOC3"/>
            <w:tabs>
              <w:tab w:pos="1918" w:val="left" w:leader="none"/>
              <w:tab w:pos="8930" w:val="left" w:leader="dot"/>
            </w:tabs>
            <w:spacing w:before="83"/>
            <w:ind w:left="218"/>
          </w:pPr>
          <w:hyperlink w:history="true" w:anchor="_bookmark867">
            <w:r>
              <w:rPr/>
              <w:t>S7A.8.3.2</w:t>
              <w:tab/>
              <w:t>Use</w:t>
            </w:r>
            <w:r>
              <w:rPr>
                <w:spacing w:val="-2"/>
              </w:rPr>
              <w:t> </w:t>
            </w:r>
            <w:r>
              <w:rPr/>
              <w:t>of</w:t>
            </w:r>
            <w:r>
              <w:rPr>
                <w:spacing w:val="-1"/>
              </w:rPr>
              <w:t> </w:t>
            </w:r>
            <w:r>
              <w:rPr/>
              <w:t>contractors</w:t>
              <w:tab/>
              <w:t>652</w:t>
            </w:r>
          </w:hyperlink>
        </w:p>
        <w:p>
          <w:pPr>
            <w:pStyle w:val="TOC3"/>
            <w:tabs>
              <w:tab w:pos="1918" w:val="left" w:leader="none"/>
              <w:tab w:pos="8930" w:val="left" w:leader="dot"/>
            </w:tabs>
            <w:ind w:left="218"/>
          </w:pPr>
          <w:hyperlink w:history="true" w:anchor="_bookmark868">
            <w:r>
              <w:rPr/>
              <w:t>S7A.8.3.3</w:t>
              <w:tab/>
              <w:t>Insurance</w:t>
              <w:tab/>
              <w:t>652</w:t>
            </w:r>
          </w:hyperlink>
        </w:p>
        <w:p>
          <w:pPr>
            <w:pStyle w:val="TOC3"/>
            <w:tabs>
              <w:tab w:pos="1918" w:val="left" w:leader="none"/>
              <w:tab w:pos="8931" w:val="left" w:leader="dot"/>
            </w:tabs>
            <w:ind w:left="218"/>
          </w:pPr>
          <w:hyperlink w:history="true" w:anchor="_bookmark869">
            <w:r>
              <w:rPr/>
              <w:t>S7A.8.4</w:t>
              <w:tab/>
              <w:t>Device management and</w:t>
            </w:r>
            <w:r>
              <w:rPr>
                <w:spacing w:val="-3"/>
              </w:rPr>
              <w:t> </w:t>
            </w:r>
            <w:r>
              <w:rPr/>
              <w:t>test</w:t>
            </w:r>
            <w:r>
              <w:rPr>
                <w:spacing w:val="-2"/>
              </w:rPr>
              <w:t> </w:t>
            </w:r>
            <w:r>
              <w:rPr/>
              <w:t>equipment</w:t>
              <w:tab/>
              <w:t>653</w:t>
            </w:r>
          </w:hyperlink>
        </w:p>
        <w:p>
          <w:pPr>
            <w:pStyle w:val="TOC3"/>
            <w:tabs>
              <w:tab w:pos="1918" w:val="left" w:leader="none"/>
              <w:tab w:pos="8930" w:val="left" w:leader="dot"/>
            </w:tabs>
            <w:ind w:left="218"/>
          </w:pPr>
          <w:hyperlink w:history="true" w:anchor="_bookmark870">
            <w:r>
              <w:rPr/>
              <w:t>S7A.8.4.1</w:t>
              <w:tab/>
              <w:t>Procurement</w:t>
              <w:tab/>
              <w:t>653</w:t>
            </w:r>
          </w:hyperlink>
        </w:p>
        <w:p>
          <w:pPr>
            <w:pStyle w:val="TOC3"/>
            <w:tabs>
              <w:tab w:pos="1918" w:val="left" w:leader="none"/>
              <w:tab w:pos="8930" w:val="left" w:leader="dot"/>
            </w:tabs>
            <w:ind w:left="218"/>
          </w:pPr>
          <w:hyperlink w:history="true" w:anchor="_bookmark871">
            <w:r>
              <w:rPr/>
              <w:t>S7A.8.4.2</w:t>
              <w:tab/>
              <w:t>Storage, handling</w:t>
            </w:r>
            <w:r>
              <w:rPr>
                <w:spacing w:val="-1"/>
              </w:rPr>
              <w:t> </w:t>
            </w:r>
            <w:r>
              <w:rPr/>
              <w:t>and</w:t>
            </w:r>
            <w:r>
              <w:rPr>
                <w:spacing w:val="-2"/>
              </w:rPr>
              <w:t> </w:t>
            </w:r>
            <w:r>
              <w:rPr/>
              <w:t>transport</w:t>
              <w:tab/>
              <w:t>653</w:t>
            </w:r>
          </w:hyperlink>
        </w:p>
        <w:p>
          <w:pPr>
            <w:pStyle w:val="TOC3"/>
            <w:tabs>
              <w:tab w:pos="1918" w:val="left" w:leader="none"/>
              <w:tab w:pos="8930" w:val="left" w:leader="dot"/>
            </w:tabs>
            <w:ind w:left="218"/>
          </w:pPr>
          <w:hyperlink w:history="true" w:anchor="_bookmark872">
            <w:r>
              <w:rPr/>
              <w:t>S7A.8.4.3</w:t>
              <w:tab/>
              <w:t>Management of</w:t>
            </w:r>
            <w:r>
              <w:rPr>
                <w:spacing w:val="-2"/>
              </w:rPr>
              <w:t> </w:t>
            </w:r>
            <w:r>
              <w:rPr/>
              <w:t>test</w:t>
            </w:r>
            <w:r>
              <w:rPr>
                <w:spacing w:val="-2"/>
              </w:rPr>
              <w:t> </w:t>
            </w:r>
            <w:r>
              <w:rPr/>
              <w:t>equipment</w:t>
              <w:tab/>
              <w:t>653</w:t>
            </w:r>
          </w:hyperlink>
        </w:p>
        <w:p>
          <w:pPr>
            <w:pStyle w:val="TOC3"/>
            <w:tabs>
              <w:tab w:pos="1918" w:val="left" w:leader="none"/>
              <w:tab w:pos="8930" w:val="left" w:leader="dot"/>
            </w:tabs>
            <w:ind w:left="218"/>
          </w:pPr>
          <w:hyperlink w:history="true" w:anchor="_bookmark873">
            <w:r>
              <w:rPr/>
              <w:t>S7A.8.4.4</w:t>
              <w:tab/>
              <w:t>Management of meter programming and</w:t>
            </w:r>
            <w:r>
              <w:rPr>
                <w:spacing w:val="-9"/>
              </w:rPr>
              <w:t> </w:t>
            </w:r>
            <w:r>
              <w:rPr/>
              <w:t>authorised</w:t>
            </w:r>
            <w:r>
              <w:rPr>
                <w:spacing w:val="-2"/>
              </w:rPr>
              <w:t> </w:t>
            </w:r>
            <w:r>
              <w:rPr/>
              <w:t>software</w:t>
              <w:tab/>
              <w:t>654</w:t>
            </w:r>
          </w:hyperlink>
        </w:p>
        <w:p>
          <w:pPr>
            <w:pStyle w:val="TOC3"/>
            <w:tabs>
              <w:tab w:pos="1918" w:val="left" w:leader="none"/>
              <w:tab w:pos="8931" w:val="left" w:leader="dot"/>
            </w:tabs>
            <w:ind w:left="218"/>
          </w:pPr>
          <w:hyperlink w:history="true" w:anchor="_bookmark874">
            <w:r>
              <w:rPr/>
              <w:t>S7A.8.5</w:t>
              <w:tab/>
              <w:t>Installation and</w:t>
            </w:r>
            <w:r>
              <w:rPr>
                <w:spacing w:val="-2"/>
              </w:rPr>
              <w:t> </w:t>
            </w:r>
            <w:r>
              <w:rPr/>
              <w:t>commissioning</w:t>
            </w:r>
            <w:r>
              <w:rPr>
                <w:spacing w:val="-1"/>
              </w:rPr>
              <w:t> </w:t>
            </w:r>
            <w:r>
              <w:rPr/>
              <w:t>requirements</w:t>
              <w:tab/>
              <w:t>654</w:t>
            </w:r>
          </w:hyperlink>
        </w:p>
        <w:p>
          <w:pPr>
            <w:pStyle w:val="TOC3"/>
            <w:tabs>
              <w:tab w:pos="1918" w:val="left" w:leader="none"/>
              <w:tab w:pos="8929" w:val="left" w:leader="dot"/>
            </w:tabs>
            <w:ind w:left="218"/>
          </w:pPr>
          <w:hyperlink w:history="true" w:anchor="_bookmark875">
            <w:r>
              <w:rPr/>
              <w:t>S7A.8.5.1</w:t>
              <w:tab/>
              <w:t>General</w:t>
            </w:r>
            <w:r>
              <w:rPr>
                <w:spacing w:val="-3"/>
              </w:rPr>
              <w:t> </w:t>
            </w:r>
            <w:r>
              <w:rPr/>
              <w:t>commissioning</w:t>
            </w:r>
            <w:r>
              <w:rPr>
                <w:spacing w:val="-3"/>
              </w:rPr>
              <w:t> </w:t>
            </w:r>
            <w:r>
              <w:rPr/>
              <w:t>requirements</w:t>
              <w:tab/>
              <w:t>654</w:t>
            </w:r>
          </w:hyperlink>
        </w:p>
        <w:p>
          <w:pPr>
            <w:pStyle w:val="TOC3"/>
            <w:tabs>
              <w:tab w:pos="1918" w:val="left" w:leader="none"/>
              <w:tab w:pos="8930" w:val="left" w:leader="dot"/>
            </w:tabs>
            <w:ind w:left="218"/>
          </w:pPr>
          <w:hyperlink w:history="true" w:anchor="_bookmark876">
            <w:r>
              <w:rPr/>
              <w:t>S7A.8.5.2</w:t>
              <w:tab/>
              <w:t>Metering data</w:t>
            </w:r>
            <w:r>
              <w:rPr>
                <w:spacing w:val="-3"/>
              </w:rPr>
              <w:t> </w:t>
            </w:r>
            <w:r>
              <w:rPr/>
              <w:t>validation</w:t>
            </w:r>
            <w:r>
              <w:rPr>
                <w:spacing w:val="-2"/>
              </w:rPr>
              <w:t> </w:t>
            </w:r>
            <w:r>
              <w:rPr/>
              <w:t>requirements</w:t>
              <w:tab/>
              <w:t>655</w:t>
            </w:r>
          </w:hyperlink>
        </w:p>
        <w:p>
          <w:pPr>
            <w:pStyle w:val="TOC3"/>
            <w:tabs>
              <w:tab w:pos="1918" w:val="left" w:leader="none"/>
              <w:tab w:pos="8931" w:val="left" w:leader="dot"/>
            </w:tabs>
            <w:ind w:left="218"/>
          </w:pPr>
          <w:hyperlink w:history="true" w:anchor="_bookmark877">
            <w:r>
              <w:rPr/>
              <w:t>S7A.8.6</w:t>
              <w:tab/>
              <w:t>Metering</w:t>
            </w:r>
            <w:r>
              <w:rPr>
                <w:spacing w:val="-2"/>
              </w:rPr>
              <w:t> </w:t>
            </w:r>
            <w:r>
              <w:rPr/>
              <w:t>installation</w:t>
            </w:r>
            <w:r>
              <w:rPr>
                <w:spacing w:val="-1"/>
              </w:rPr>
              <w:t> </w:t>
            </w:r>
            <w:r>
              <w:rPr/>
              <w:t>maintenance</w:t>
              <w:tab/>
              <w:t>656</w:t>
            </w:r>
          </w:hyperlink>
        </w:p>
        <w:p>
          <w:pPr>
            <w:pStyle w:val="TOC3"/>
            <w:tabs>
              <w:tab w:pos="1918" w:val="left" w:leader="none"/>
              <w:tab w:pos="8930" w:val="left" w:leader="dot"/>
            </w:tabs>
            <w:ind w:left="218"/>
          </w:pPr>
          <w:hyperlink w:history="true" w:anchor="_bookmark878">
            <w:r>
              <w:rPr/>
              <w:t>S7A.8.6.1</w:t>
              <w:tab/>
              <w:t>Test</w:t>
            </w:r>
            <w:r>
              <w:rPr>
                <w:spacing w:val="-1"/>
              </w:rPr>
              <w:t> </w:t>
            </w:r>
            <w:r>
              <w:rPr/>
              <w:t>plans</w:t>
              <w:tab/>
              <w:t>656</w:t>
            </w:r>
          </w:hyperlink>
        </w:p>
        <w:p>
          <w:pPr>
            <w:pStyle w:val="TOC3"/>
            <w:tabs>
              <w:tab w:pos="1918" w:val="left" w:leader="none"/>
              <w:tab w:pos="8931" w:val="left" w:leader="dot"/>
            </w:tabs>
            <w:ind w:left="218"/>
          </w:pPr>
          <w:hyperlink w:history="true" w:anchor="_bookmark879">
            <w:r>
              <w:rPr/>
              <w:t>S7A.8.6.2</w:t>
              <w:tab/>
              <w:t>Management of metering</w:t>
            </w:r>
            <w:r>
              <w:rPr>
                <w:spacing w:val="-4"/>
              </w:rPr>
              <w:t> </w:t>
            </w:r>
            <w:r>
              <w:rPr/>
              <w:t>installation</w:t>
            </w:r>
            <w:r>
              <w:rPr>
                <w:spacing w:val="-1"/>
              </w:rPr>
              <w:t> </w:t>
            </w:r>
            <w:r>
              <w:rPr/>
              <w:t>malfunctions</w:t>
              <w:tab/>
              <w:t>656</w:t>
            </w:r>
          </w:hyperlink>
        </w:p>
        <w:p>
          <w:pPr>
            <w:pStyle w:val="TOC3"/>
            <w:tabs>
              <w:tab w:pos="1918" w:val="left" w:leader="none"/>
              <w:tab w:pos="8930" w:val="left" w:leader="dot"/>
            </w:tabs>
            <w:ind w:left="218"/>
          </w:pPr>
          <w:hyperlink w:history="true" w:anchor="_bookmark880">
            <w:r>
              <w:rPr/>
              <w:t>S7A.8.6.3</w:t>
              <w:tab/>
              <w:t>Telecommunications</w:t>
              <w:tab/>
              <w:t>656</w:t>
            </w:r>
          </w:hyperlink>
        </w:p>
        <w:p>
          <w:pPr>
            <w:pStyle w:val="TOC3"/>
            <w:tabs>
              <w:tab w:pos="1918" w:val="left" w:leader="none"/>
              <w:tab w:pos="8930" w:val="left" w:leader="dot"/>
            </w:tabs>
            <w:ind w:left="218"/>
          </w:pPr>
          <w:hyperlink w:history="true" w:anchor="_bookmark881">
            <w:r>
              <w:rPr/>
              <w:t>S7A.8.6.4</w:t>
              <w:tab/>
              <w:t>Non-conforming test results</w:t>
            </w:r>
            <w:r>
              <w:rPr>
                <w:spacing w:val="-6"/>
              </w:rPr>
              <w:t> </w:t>
            </w:r>
            <w:r>
              <w:rPr/>
              <w:t>or</w:t>
            </w:r>
            <w:r>
              <w:rPr>
                <w:spacing w:val="-2"/>
              </w:rPr>
              <w:t> </w:t>
            </w:r>
            <w:r>
              <w:rPr/>
              <w:t>calibrations</w:t>
              <w:tab/>
              <w:t>657</w:t>
            </w:r>
          </w:hyperlink>
        </w:p>
        <w:p>
          <w:pPr>
            <w:pStyle w:val="TOC3"/>
            <w:tabs>
              <w:tab w:pos="1918" w:val="left" w:leader="none"/>
              <w:tab w:pos="8930" w:val="left" w:leader="dot"/>
            </w:tabs>
            <w:ind w:left="218"/>
          </w:pPr>
          <w:hyperlink w:history="true" w:anchor="_bookmark882">
            <w:r>
              <w:rPr/>
              <w:t>S7A.8.7</w:t>
              <w:tab/>
              <w:t>Systems</w:t>
            </w:r>
            <w:r>
              <w:rPr>
                <w:spacing w:val="-2"/>
              </w:rPr>
              <w:t> </w:t>
            </w:r>
            <w:r>
              <w:rPr/>
              <w:t>and</w:t>
            </w:r>
            <w:r>
              <w:rPr>
                <w:spacing w:val="-2"/>
              </w:rPr>
              <w:t> </w:t>
            </w:r>
            <w:r>
              <w:rPr/>
              <w:t>administration</w:t>
              <w:tab/>
              <w:t>657</w:t>
            </w:r>
          </w:hyperlink>
        </w:p>
        <w:p>
          <w:pPr>
            <w:pStyle w:val="TOC3"/>
            <w:tabs>
              <w:tab w:pos="1918" w:val="left" w:leader="none"/>
              <w:tab w:pos="8931" w:val="left" w:leader="dot"/>
            </w:tabs>
            <w:ind w:left="218"/>
          </w:pPr>
          <w:hyperlink w:history="true" w:anchor="_bookmark883">
            <w:r>
              <w:rPr/>
              <w:t>S7A.8.7.1</w:t>
              <w:tab/>
              <w:t>Register of</w:t>
            </w:r>
            <w:r>
              <w:rPr>
                <w:spacing w:val="-2"/>
              </w:rPr>
              <w:t> </w:t>
            </w:r>
            <w:r>
              <w:rPr/>
              <w:t>metering installations</w:t>
              <w:tab/>
              <w:t>657</w:t>
            </w:r>
          </w:hyperlink>
        </w:p>
        <w:p>
          <w:pPr>
            <w:pStyle w:val="TOC3"/>
            <w:tabs>
              <w:tab w:pos="1918" w:val="left" w:leader="none"/>
              <w:tab w:pos="8930" w:val="left" w:leader="dot"/>
            </w:tabs>
            <w:ind w:left="218"/>
          </w:pPr>
          <w:hyperlink w:history="true" w:anchor="_bookmark884">
            <w:r>
              <w:rPr/>
              <w:t>S7A.8.7.2</w:t>
              <w:tab/>
              <w:t>Disaster</w:t>
            </w:r>
            <w:r>
              <w:rPr>
                <w:spacing w:val="-3"/>
              </w:rPr>
              <w:t> </w:t>
            </w:r>
            <w:r>
              <w:rPr/>
              <w:t>recovery</w:t>
              <w:tab/>
              <w:t>658</w:t>
            </w:r>
          </w:hyperlink>
        </w:p>
        <w:p>
          <w:pPr>
            <w:pStyle w:val="TOC3"/>
            <w:tabs>
              <w:tab w:pos="1918" w:val="left" w:leader="none"/>
              <w:tab w:pos="8930" w:val="left" w:leader="dot"/>
            </w:tabs>
            <w:ind w:left="218"/>
          </w:pPr>
          <w:hyperlink w:history="true" w:anchor="_bookmark885">
            <w:r>
              <w:rPr/>
              <w:t>S7A.8.7.3</w:t>
              <w:tab/>
              <w:t>Audits undertaken by the</w:t>
            </w:r>
            <w:r>
              <w:rPr>
                <w:spacing w:val="-7"/>
              </w:rPr>
              <w:t> </w:t>
            </w:r>
            <w:r>
              <w:rPr/>
              <w:t>Utilities</w:t>
            </w:r>
            <w:r>
              <w:rPr>
                <w:spacing w:val="-1"/>
              </w:rPr>
              <w:t> </w:t>
            </w:r>
            <w:r>
              <w:rPr/>
              <w:t>Commission</w:t>
              <w:tab/>
              <w:t>658</w:t>
            </w:r>
          </w:hyperlink>
        </w:p>
        <w:p>
          <w:pPr>
            <w:pStyle w:val="TOC2"/>
            <w:tabs>
              <w:tab w:pos="1919" w:val="left" w:leader="none"/>
              <w:tab w:pos="8931" w:val="left" w:leader="dot"/>
            </w:tabs>
          </w:pPr>
          <w:hyperlink w:history="true" w:anchor="_bookmark886">
            <w:r>
              <w:rPr/>
              <w:t>Part C</w:t>
              <w:tab/>
              <w:t>Metering Data</w:t>
            </w:r>
            <w:r>
              <w:rPr>
                <w:spacing w:val="-3"/>
              </w:rPr>
              <w:t> </w:t>
            </w:r>
            <w:r>
              <w:rPr/>
              <w:t>Provider</w:t>
            </w:r>
            <w:r>
              <w:rPr>
                <w:spacing w:val="-2"/>
              </w:rPr>
              <w:t> </w:t>
            </w:r>
            <w:r>
              <w:rPr/>
              <w:t>services</w:t>
              <w:tab/>
              <w:t>658</w:t>
            </w:r>
          </w:hyperlink>
        </w:p>
        <w:p>
          <w:pPr>
            <w:pStyle w:val="TOC3"/>
            <w:tabs>
              <w:tab w:pos="1918" w:val="left" w:leader="none"/>
              <w:tab w:pos="8930" w:val="left" w:leader="dot"/>
            </w:tabs>
            <w:ind w:left="218"/>
          </w:pPr>
          <w:hyperlink w:history="true" w:anchor="_bookmark887">
            <w:r>
              <w:rPr/>
              <w:t>S7A.8.8</w:t>
              <w:tab/>
              <w:t>Introduction</w:t>
              <w:tab/>
              <w:t>658</w:t>
            </w:r>
          </w:hyperlink>
        </w:p>
        <w:p>
          <w:pPr>
            <w:pStyle w:val="TOC3"/>
            <w:tabs>
              <w:tab w:pos="1918" w:val="left" w:leader="none"/>
              <w:tab w:pos="8930" w:val="left" w:leader="dot"/>
            </w:tabs>
            <w:ind w:left="218"/>
          </w:pPr>
          <w:hyperlink w:history="true" w:anchor="_bookmark888">
            <w:r>
              <w:rPr/>
              <w:t>S7A.8.8.1</w:t>
              <w:tab/>
              <w:t>Purpose</w:t>
              <w:tab/>
              <w:t>658</w:t>
            </w:r>
          </w:hyperlink>
        </w:p>
        <w:p>
          <w:pPr>
            <w:pStyle w:val="TOC3"/>
            <w:tabs>
              <w:tab w:pos="1918" w:val="left" w:leader="none"/>
              <w:tab w:pos="8930" w:val="left" w:leader="dot"/>
            </w:tabs>
            <w:ind w:left="218"/>
          </w:pPr>
          <w:hyperlink w:history="true" w:anchor="_bookmark889">
            <w:r>
              <w:rPr/>
              <w:t>S7A.8.8.2</w:t>
              <w:tab/>
              <w:t>Obligations</w:t>
              <w:tab/>
              <w:t>659</w:t>
            </w:r>
          </w:hyperlink>
        </w:p>
        <w:p>
          <w:pPr>
            <w:pStyle w:val="TOC3"/>
            <w:tabs>
              <w:tab w:pos="1918" w:val="left" w:leader="none"/>
              <w:tab w:pos="8930" w:val="left" w:leader="dot"/>
            </w:tabs>
            <w:ind w:left="218"/>
          </w:pPr>
          <w:hyperlink w:history="true" w:anchor="_bookmark890">
            <w:r>
              <w:rPr/>
              <w:t>S7A.8.9</w:t>
              <w:tab/>
              <w:t>Service</w:t>
            </w:r>
            <w:r>
              <w:rPr>
                <w:spacing w:val="-2"/>
              </w:rPr>
              <w:t> </w:t>
            </w:r>
            <w:r>
              <w:rPr/>
              <w:t>requirements</w:t>
              <w:tab/>
              <w:t>661</w:t>
            </w:r>
          </w:hyperlink>
        </w:p>
        <w:p>
          <w:pPr>
            <w:pStyle w:val="TOC3"/>
            <w:tabs>
              <w:tab w:pos="1918" w:val="left" w:leader="none"/>
              <w:tab w:pos="8930" w:val="left" w:leader="dot"/>
            </w:tabs>
            <w:ind w:left="218"/>
          </w:pPr>
          <w:hyperlink w:history="true" w:anchor="_bookmark891">
            <w:r>
              <w:rPr/>
              <w:t>S7A.8.9.1</w:t>
              <w:tab/>
              <w:t>System</w:t>
            </w:r>
            <w:r>
              <w:rPr>
                <w:spacing w:val="-2"/>
              </w:rPr>
              <w:t> </w:t>
            </w:r>
            <w:r>
              <w:rPr/>
              <w:t>requirements</w:t>
              <w:tab/>
              <w:t>661</w:t>
            </w:r>
          </w:hyperlink>
        </w:p>
        <w:p>
          <w:pPr>
            <w:pStyle w:val="TOC3"/>
            <w:tabs>
              <w:tab w:pos="1918" w:val="left" w:leader="none"/>
              <w:tab w:pos="8930" w:val="left" w:leader="dot"/>
            </w:tabs>
            <w:ind w:left="218"/>
          </w:pPr>
          <w:hyperlink w:history="true" w:anchor="_bookmark892">
            <w:r>
              <w:rPr/>
              <w:t>S7A.8.9.2</w:t>
              <w:tab/>
              <w:t>Metering data</w:t>
            </w:r>
            <w:r>
              <w:rPr>
                <w:spacing w:val="-3"/>
              </w:rPr>
              <w:t> </w:t>
            </w:r>
            <w:r>
              <w:rPr/>
              <w:t>services</w:t>
            </w:r>
            <w:r>
              <w:rPr>
                <w:spacing w:val="-1"/>
              </w:rPr>
              <w:t> </w:t>
            </w:r>
            <w:r>
              <w:rPr/>
              <w:t>database</w:t>
              <w:tab/>
              <w:t>662</w:t>
            </w:r>
          </w:hyperlink>
        </w:p>
        <w:p>
          <w:pPr>
            <w:pStyle w:val="TOC3"/>
            <w:tabs>
              <w:tab w:pos="1918" w:val="left" w:leader="none"/>
              <w:tab w:pos="8930" w:val="left" w:leader="dot"/>
            </w:tabs>
            <w:ind w:left="218"/>
          </w:pPr>
          <w:hyperlink w:history="true" w:anchor="_bookmark893">
            <w:r>
              <w:rPr/>
              <w:t>S7A.8.9.3</w:t>
              <w:tab/>
              <w:t>Exception</w:t>
            </w:r>
            <w:r>
              <w:rPr>
                <w:spacing w:val="-1"/>
              </w:rPr>
              <w:t> </w:t>
            </w:r>
            <w:r>
              <w:rPr/>
              <w:t>reports</w:t>
              <w:tab/>
              <w:t>662</w:t>
            </w:r>
          </w:hyperlink>
        </w:p>
        <w:p>
          <w:pPr>
            <w:pStyle w:val="TOC3"/>
            <w:tabs>
              <w:tab w:pos="1918" w:val="left" w:leader="none"/>
              <w:tab w:pos="8930" w:val="left" w:leader="dot"/>
            </w:tabs>
            <w:ind w:left="218"/>
          </w:pPr>
          <w:hyperlink w:history="true" w:anchor="_bookmark894">
            <w:r>
              <w:rPr/>
              <w:t>S7A.8.9.4</w:t>
              <w:tab/>
              <w:t>Collection</w:t>
            </w:r>
            <w:r>
              <w:rPr>
                <w:spacing w:val="-1"/>
              </w:rPr>
              <w:t> </w:t>
            </w:r>
            <w:r>
              <w:rPr/>
              <w:t>process</w:t>
            </w:r>
            <w:r>
              <w:rPr>
                <w:spacing w:val="-1"/>
              </w:rPr>
              <w:t> </w:t>
            </w:r>
            <w:r>
              <w:rPr/>
              <w:t>requirements</w:t>
              <w:tab/>
              <w:t>662</w:t>
            </w:r>
          </w:hyperlink>
        </w:p>
        <w:p>
          <w:pPr>
            <w:pStyle w:val="TOC3"/>
            <w:tabs>
              <w:tab w:pos="1918" w:val="left" w:leader="none"/>
              <w:tab w:pos="2916" w:val="left" w:leader="none"/>
              <w:tab w:pos="8931" w:val="left" w:leader="dot"/>
            </w:tabs>
            <w:ind w:right="413" w:hanging="1701"/>
          </w:pPr>
          <w:hyperlink w:history="true" w:anchor="_bookmark895">
            <w:r>
              <w:rPr/>
              <w:t>S7A.8.9.5</w:t>
              <w:tab/>
              <w:t>Specific</w:t>
              <w:tab/>
              <w:t>collection   process   requirements   for    remotely    read</w:t>
            </w:r>
          </w:hyperlink>
          <w:r>
            <w:rPr/>
            <w:t> </w:t>
          </w:r>
          <w:hyperlink w:history="true" w:anchor="_bookmark895">
            <w:r>
              <w:rPr/>
              <w:t>metering</w:t>
            </w:r>
            <w:r>
              <w:rPr>
                <w:spacing w:val="-1"/>
              </w:rPr>
              <w:t> </w:t>
            </w:r>
            <w:r>
              <w:rPr/>
              <w:t>installations</w:t>
              <w:tab/>
            </w:r>
            <w:r>
              <w:rPr>
                <w:spacing w:val="-6"/>
              </w:rPr>
              <w:t>663</w:t>
            </w:r>
          </w:hyperlink>
        </w:p>
        <w:p>
          <w:pPr>
            <w:pStyle w:val="TOC3"/>
            <w:tabs>
              <w:tab w:pos="1918" w:val="left" w:leader="none"/>
              <w:tab w:pos="2909" w:val="left" w:leader="none"/>
              <w:tab w:pos="8931" w:val="left" w:leader="dot"/>
            </w:tabs>
            <w:ind w:right="413" w:hanging="1701"/>
          </w:pPr>
          <w:hyperlink w:history="true" w:anchor="_bookmark896">
            <w:r>
              <w:rPr/>
              <w:t>S7A.8.9.6</w:t>
              <w:tab/>
              <w:t>Specific</w:t>
              <w:tab/>
              <w:t>collection   process   requirements   for    manually    read</w:t>
            </w:r>
          </w:hyperlink>
          <w:r>
            <w:rPr/>
            <w:t> </w:t>
          </w:r>
          <w:hyperlink w:history="true" w:anchor="_bookmark896">
            <w:r>
              <w:rPr/>
              <w:t>metering</w:t>
            </w:r>
            <w:r>
              <w:rPr>
                <w:spacing w:val="-1"/>
              </w:rPr>
              <w:t> </w:t>
            </w:r>
            <w:r>
              <w:rPr/>
              <w:t>installations</w:t>
              <w:tab/>
            </w:r>
            <w:r>
              <w:rPr>
                <w:spacing w:val="-6"/>
              </w:rPr>
              <w:t>663</w:t>
            </w:r>
          </w:hyperlink>
        </w:p>
        <w:p>
          <w:pPr>
            <w:pStyle w:val="TOC3"/>
            <w:tabs>
              <w:tab w:pos="1918" w:val="left" w:leader="none"/>
              <w:tab w:pos="8930" w:val="left" w:leader="dot"/>
            </w:tabs>
            <w:ind w:left="218"/>
          </w:pPr>
          <w:hyperlink w:history="true" w:anchor="_bookmark897">
            <w:r>
              <w:rPr/>
              <w:t>S7A.8.9.7</w:t>
              <w:tab/>
              <w:t>Metering data</w:t>
            </w:r>
            <w:r>
              <w:rPr>
                <w:spacing w:val="-4"/>
              </w:rPr>
              <w:t> </w:t>
            </w:r>
            <w:r>
              <w:rPr/>
              <w:t>processing</w:t>
            </w:r>
            <w:r>
              <w:rPr>
                <w:spacing w:val="-1"/>
              </w:rPr>
              <w:t> </w:t>
            </w:r>
            <w:r>
              <w:rPr/>
              <w:t>requirements</w:t>
              <w:tab/>
              <w:t>664</w:t>
            </w:r>
          </w:hyperlink>
        </w:p>
        <w:p>
          <w:pPr>
            <w:pStyle w:val="TOC3"/>
            <w:tabs>
              <w:tab w:pos="1918" w:val="left" w:leader="none"/>
            </w:tabs>
            <w:ind w:left="218"/>
          </w:pPr>
          <w:hyperlink w:history="true" w:anchor="_bookmark898">
            <w:r>
              <w:rPr/>
              <w:t>S7A.8.9.8</w:t>
              <w:tab/>
              <w:t>Specific metering data processing requirements for type 1, 2, 3</w:t>
            </w:r>
            <w:r>
              <w:rPr>
                <w:spacing w:val="14"/>
              </w:rPr>
              <w:t> </w:t>
            </w:r>
            <w:r>
              <w:rPr/>
              <w:t>and</w:t>
            </w:r>
          </w:hyperlink>
        </w:p>
        <w:p>
          <w:pPr>
            <w:pStyle w:val="TOC5"/>
            <w:tabs>
              <w:tab w:pos="8931" w:val="left" w:leader="dot"/>
            </w:tabs>
          </w:pPr>
          <w:hyperlink w:history="true" w:anchor="_bookmark898">
            <w:r>
              <w:rPr/>
              <w:t>4</w:t>
            </w:r>
            <w:r>
              <w:rPr>
                <w:spacing w:val="-1"/>
              </w:rPr>
              <w:t> </w:t>
            </w:r>
            <w:r>
              <w:rPr/>
              <w:t>metering installations</w:t>
              <w:tab/>
              <w:t>665</w:t>
            </w:r>
          </w:hyperlink>
        </w:p>
        <w:p>
          <w:pPr>
            <w:pStyle w:val="TOC3"/>
            <w:tabs>
              <w:tab w:pos="1918" w:val="left" w:leader="none"/>
              <w:tab w:pos="8931" w:val="left" w:leader="dot"/>
            </w:tabs>
            <w:ind w:right="413" w:hanging="1701"/>
          </w:pPr>
          <w:hyperlink w:history="true" w:anchor="_bookmark899">
            <w:r>
              <w:rPr/>
              <w:t>S7A.8.9.9</w:t>
              <w:tab/>
              <w:t>Specific metering data processing requirements for type 7 metering</w:t>
            </w:r>
          </w:hyperlink>
          <w:r>
            <w:rPr/>
            <w:t> </w:t>
          </w:r>
          <w:hyperlink w:history="true" w:anchor="_bookmark899">
            <w:r>
              <w:rPr/>
              <w:t>installations</w:t>
              <w:tab/>
            </w:r>
            <w:r>
              <w:rPr>
                <w:spacing w:val="-6"/>
              </w:rPr>
              <w:t>665</w:t>
            </w:r>
          </w:hyperlink>
        </w:p>
        <w:p>
          <w:pPr>
            <w:pStyle w:val="TOC3"/>
            <w:tabs>
              <w:tab w:pos="1918" w:val="left" w:leader="none"/>
            </w:tabs>
            <w:ind w:left="218"/>
          </w:pPr>
          <w:hyperlink w:history="true" w:anchor="_bookmark900">
            <w:r>
              <w:rPr/>
              <w:t>S7A.8.9.10</w:t>
              <w:tab/>
              <w:t>Specific</w:t>
            </w:r>
            <w:r>
              <w:rPr>
                <w:spacing w:val="30"/>
              </w:rPr>
              <w:t> </w:t>
            </w:r>
            <w:r>
              <w:rPr/>
              <w:t>metering</w:t>
            </w:r>
            <w:r>
              <w:rPr>
                <w:spacing w:val="31"/>
              </w:rPr>
              <w:t> </w:t>
            </w:r>
            <w:r>
              <w:rPr/>
              <w:t>data</w:t>
            </w:r>
            <w:r>
              <w:rPr>
                <w:spacing w:val="30"/>
              </w:rPr>
              <w:t> </w:t>
            </w:r>
            <w:r>
              <w:rPr/>
              <w:t>estimation</w:t>
            </w:r>
            <w:r>
              <w:rPr>
                <w:spacing w:val="31"/>
              </w:rPr>
              <w:t> </w:t>
            </w:r>
            <w:r>
              <w:rPr/>
              <w:t>requirements</w:t>
            </w:r>
            <w:r>
              <w:rPr>
                <w:spacing w:val="31"/>
              </w:rPr>
              <w:t> </w:t>
            </w:r>
            <w:r>
              <w:rPr/>
              <w:t>for</w:t>
            </w:r>
            <w:r>
              <w:rPr>
                <w:spacing w:val="30"/>
              </w:rPr>
              <w:t> </w:t>
            </w:r>
            <w:r>
              <w:rPr/>
              <w:t>manually</w:t>
            </w:r>
            <w:r>
              <w:rPr>
                <w:spacing w:val="31"/>
              </w:rPr>
              <w:t> </w:t>
            </w:r>
            <w:r>
              <w:rPr/>
              <w:t>read</w:t>
            </w:r>
          </w:hyperlink>
        </w:p>
        <w:p>
          <w:pPr>
            <w:pStyle w:val="TOC5"/>
            <w:tabs>
              <w:tab w:pos="8931" w:val="left" w:leader="dot"/>
            </w:tabs>
          </w:pPr>
          <w:hyperlink w:history="true" w:anchor="_bookmark900">
            <w:r>
              <w:rPr/>
              <w:t>and type 7</w:t>
            </w:r>
            <w:r>
              <w:rPr>
                <w:spacing w:val="-2"/>
              </w:rPr>
              <w:t> </w:t>
            </w:r>
            <w:r>
              <w:rPr/>
              <w:t>metering installations</w:t>
              <w:tab/>
              <w:t>666</w:t>
            </w:r>
          </w:hyperlink>
        </w:p>
        <w:p>
          <w:pPr>
            <w:pStyle w:val="TOC3"/>
            <w:tabs>
              <w:tab w:pos="1918" w:val="left" w:leader="none"/>
              <w:tab w:pos="8930" w:val="left" w:leader="dot"/>
            </w:tabs>
            <w:ind w:left="218"/>
          </w:pPr>
          <w:hyperlink w:history="true" w:anchor="_bookmark901">
            <w:r>
              <w:rPr/>
              <w:t>S7A.8.9.11</w:t>
              <w:tab/>
              <w:t>Delivery performance requirements for</w:t>
            </w:r>
            <w:r>
              <w:rPr>
                <w:spacing w:val="-5"/>
              </w:rPr>
              <w:t> </w:t>
            </w:r>
            <w:r>
              <w:rPr/>
              <w:t>metering</w:t>
            </w:r>
            <w:r>
              <w:rPr>
                <w:spacing w:val="-1"/>
              </w:rPr>
              <w:t> </w:t>
            </w:r>
            <w:r>
              <w:rPr/>
              <w:t>data</w:t>
              <w:tab/>
              <w:t>666</w:t>
            </w:r>
          </w:hyperlink>
        </w:p>
        <w:p>
          <w:pPr>
            <w:pStyle w:val="TOC3"/>
            <w:tabs>
              <w:tab w:pos="1918" w:val="left" w:leader="none"/>
              <w:tab w:pos="8931" w:val="left" w:leader="dot"/>
            </w:tabs>
            <w:ind w:right="413" w:hanging="1701"/>
          </w:pPr>
          <w:hyperlink w:history="true" w:anchor="_bookmark902">
            <w:r>
              <w:rPr/>
              <w:t>S7A.8.10</w:t>
              <w:tab/>
              <w:t>Data management following the alteration  of  type  of  metering</w:t>
            </w:r>
          </w:hyperlink>
          <w:r>
            <w:rPr/>
            <w:t>  </w:t>
          </w:r>
          <w:hyperlink w:history="true" w:anchor="_bookmark902">
            <w:r>
              <w:rPr/>
              <w:t>installation at a</w:t>
            </w:r>
            <w:r>
              <w:rPr>
                <w:spacing w:val="-2"/>
              </w:rPr>
              <w:t> </w:t>
            </w:r>
            <w:r>
              <w:rPr/>
              <w:t>connection</w:t>
            </w:r>
            <w:r>
              <w:rPr>
                <w:spacing w:val="-1"/>
              </w:rPr>
              <w:t> </w:t>
            </w:r>
            <w:r>
              <w:rPr/>
              <w:t>point</w:t>
              <w:tab/>
            </w:r>
            <w:r>
              <w:rPr>
                <w:spacing w:val="-6"/>
              </w:rPr>
              <w:t>668</w:t>
            </w:r>
          </w:hyperlink>
        </w:p>
        <w:p>
          <w:pPr>
            <w:pStyle w:val="TOC3"/>
            <w:tabs>
              <w:tab w:pos="1918" w:val="left" w:leader="none"/>
              <w:tab w:pos="8930" w:val="left" w:leader="dot"/>
            </w:tabs>
            <w:ind w:left="218"/>
          </w:pPr>
          <w:hyperlink w:history="true" w:anchor="_bookmark903">
            <w:r>
              <w:rPr/>
              <w:t>S7A.8.10.1</w:t>
              <w:tab/>
              <w:t>Meter</w:t>
            </w:r>
            <w:r>
              <w:rPr>
                <w:spacing w:val="-3"/>
              </w:rPr>
              <w:t> </w:t>
            </w:r>
            <w:r>
              <w:rPr/>
              <w:t>churn</w:t>
            </w:r>
            <w:r>
              <w:rPr>
                <w:spacing w:val="-3"/>
              </w:rPr>
              <w:t> </w:t>
            </w:r>
            <w:r>
              <w:rPr/>
              <w:t>scenarios</w:t>
              <w:tab/>
              <w:t>668</w:t>
            </w:r>
          </w:hyperlink>
        </w:p>
        <w:p>
          <w:pPr>
            <w:pStyle w:val="TOC3"/>
            <w:tabs>
              <w:tab w:pos="1918" w:val="left" w:leader="none"/>
              <w:tab w:pos="8930" w:val="left" w:leader="dot"/>
            </w:tabs>
            <w:ind w:left="218"/>
          </w:pPr>
          <w:hyperlink w:history="true" w:anchor="_bookmark904">
            <w:r>
              <w:rPr/>
              <w:t>S7A.8.10.2</w:t>
              <w:tab/>
              <w:t>Scenario</w:t>
            </w:r>
            <w:r>
              <w:rPr>
                <w:spacing w:val="-1"/>
              </w:rPr>
              <w:t> </w:t>
            </w:r>
            <w:r>
              <w:rPr/>
              <w:t>1</w:t>
              <w:tab/>
              <w:t>669</w:t>
            </w:r>
          </w:hyperlink>
        </w:p>
        <w:p>
          <w:pPr>
            <w:pStyle w:val="TOC3"/>
            <w:tabs>
              <w:tab w:pos="1918" w:val="left" w:leader="none"/>
              <w:tab w:pos="8930" w:val="left" w:leader="dot"/>
            </w:tabs>
            <w:ind w:left="218"/>
          </w:pPr>
          <w:hyperlink w:history="true" w:anchor="_bookmark905">
            <w:r>
              <w:rPr/>
              <w:t>S7A.8.10.3</w:t>
              <w:tab/>
              <w:t>Scenario</w:t>
            </w:r>
            <w:r>
              <w:rPr>
                <w:spacing w:val="-1"/>
              </w:rPr>
              <w:t> </w:t>
            </w:r>
            <w:r>
              <w:rPr/>
              <w:t>2</w:t>
              <w:tab/>
              <w:t>669</w:t>
            </w:r>
          </w:hyperlink>
        </w:p>
        <w:p>
          <w:pPr>
            <w:pStyle w:val="TOC3"/>
            <w:tabs>
              <w:tab w:pos="1918" w:val="left" w:leader="none"/>
              <w:tab w:pos="8930" w:val="left" w:leader="dot"/>
            </w:tabs>
            <w:ind w:left="218"/>
          </w:pPr>
          <w:hyperlink w:history="true" w:anchor="_bookmark906">
            <w:r>
              <w:rPr/>
              <w:t>S7A.8.10.4</w:t>
              <w:tab/>
              <w:t>Scenario</w:t>
            </w:r>
            <w:r>
              <w:rPr>
                <w:spacing w:val="-1"/>
              </w:rPr>
              <w:t> </w:t>
            </w:r>
            <w:r>
              <w:rPr/>
              <w:t>3</w:t>
              <w:tab/>
              <w:t>669</w:t>
            </w:r>
          </w:hyperlink>
        </w:p>
        <w:p>
          <w:pPr>
            <w:pStyle w:val="TOC3"/>
            <w:tabs>
              <w:tab w:pos="1918" w:val="left" w:leader="none"/>
              <w:tab w:pos="8930" w:val="left" w:leader="dot"/>
            </w:tabs>
            <w:ind w:left="218"/>
          </w:pPr>
          <w:hyperlink w:history="true" w:anchor="_bookmark907">
            <w:r>
              <w:rPr/>
              <w:t>S7A.8.10.5</w:t>
              <w:tab/>
              <w:t>Scenario</w:t>
            </w:r>
            <w:r>
              <w:rPr>
                <w:spacing w:val="-1"/>
              </w:rPr>
              <w:t> </w:t>
            </w:r>
            <w:r>
              <w:rPr/>
              <w:t>4</w:t>
              <w:tab/>
              <w:t>669</w:t>
            </w:r>
          </w:hyperlink>
        </w:p>
        <w:p>
          <w:pPr>
            <w:pStyle w:val="TOC3"/>
            <w:tabs>
              <w:tab w:pos="1918" w:val="left" w:leader="none"/>
              <w:tab w:pos="8930" w:val="left" w:leader="dot"/>
            </w:tabs>
            <w:ind w:left="218"/>
          </w:pPr>
          <w:hyperlink w:history="true" w:anchor="_bookmark908">
            <w:r>
              <w:rPr/>
              <w:t>S7A.8.11</w:t>
              <w:tab/>
              <w:t>System architecture</w:t>
            </w:r>
            <w:r>
              <w:rPr>
                <w:spacing w:val="-3"/>
              </w:rPr>
              <w:t> </w:t>
            </w:r>
            <w:r>
              <w:rPr/>
              <w:t>and</w:t>
            </w:r>
            <w:r>
              <w:rPr>
                <w:spacing w:val="-1"/>
              </w:rPr>
              <w:t> </w:t>
            </w:r>
            <w:r>
              <w:rPr/>
              <w:t>administration</w:t>
              <w:tab/>
              <w:t>670</w:t>
            </w:r>
          </w:hyperlink>
        </w:p>
        <w:p>
          <w:pPr>
            <w:pStyle w:val="TOC3"/>
            <w:tabs>
              <w:tab w:pos="1918" w:val="left" w:leader="none"/>
              <w:tab w:pos="8931" w:val="left" w:leader="dot"/>
            </w:tabs>
            <w:ind w:left="218"/>
          </w:pPr>
          <w:hyperlink w:history="true" w:anchor="_bookmark909">
            <w:r>
              <w:rPr/>
              <w:t>S7A.8.11.1</w:t>
              <w:tab/>
              <w:t>Metering data archival</w:t>
            </w:r>
            <w:r>
              <w:rPr>
                <w:spacing w:val="-3"/>
              </w:rPr>
              <w:t> </w:t>
            </w:r>
            <w:r>
              <w:rPr/>
              <w:t>and</w:t>
            </w:r>
            <w:r>
              <w:rPr>
                <w:spacing w:val="-1"/>
              </w:rPr>
              <w:t> </w:t>
            </w:r>
            <w:r>
              <w:rPr/>
              <w:t>recovery</w:t>
              <w:tab/>
              <w:t>670</w:t>
            </w:r>
          </w:hyperlink>
        </w:p>
        <w:p>
          <w:pPr>
            <w:pStyle w:val="TOC3"/>
            <w:tabs>
              <w:tab w:pos="1918" w:val="left" w:leader="none"/>
              <w:tab w:pos="8930" w:val="left" w:leader="dot"/>
            </w:tabs>
            <w:spacing w:after="104"/>
            <w:ind w:left="218"/>
          </w:pPr>
          <w:hyperlink w:history="true" w:anchor="_bookmark910">
            <w:r>
              <w:rPr/>
              <w:t>S7A.8.11.2</w:t>
              <w:tab/>
              <w:t>Data</w:t>
            </w:r>
            <w:r>
              <w:rPr>
                <w:spacing w:val="-1"/>
              </w:rPr>
              <w:t> </w:t>
            </w:r>
            <w:r>
              <w:rPr/>
              <w:t>backup</w:t>
              <w:tab/>
              <w:t>671</w:t>
            </w:r>
          </w:hyperlink>
        </w:p>
        <w:p>
          <w:pPr>
            <w:pStyle w:val="TOC3"/>
            <w:tabs>
              <w:tab w:pos="1918" w:val="left" w:leader="none"/>
              <w:tab w:pos="8930" w:val="left" w:leader="dot"/>
            </w:tabs>
            <w:spacing w:before="83"/>
            <w:ind w:left="218"/>
          </w:pPr>
          <w:hyperlink w:history="true" w:anchor="_bookmark911">
            <w:r>
              <w:rPr/>
              <w:t>S7A.8.11.3</w:t>
              <w:tab/>
              <w:t>Disaster</w:t>
            </w:r>
            <w:r>
              <w:rPr>
                <w:spacing w:val="-3"/>
              </w:rPr>
              <w:t> </w:t>
            </w:r>
            <w:r>
              <w:rPr/>
              <w:t>recovery</w:t>
              <w:tab/>
              <w:t>671</w:t>
            </w:r>
          </w:hyperlink>
        </w:p>
        <w:p>
          <w:pPr>
            <w:pStyle w:val="TOC3"/>
            <w:tabs>
              <w:tab w:pos="1918" w:val="left" w:leader="none"/>
              <w:tab w:pos="8930" w:val="left" w:leader="dot"/>
            </w:tabs>
            <w:ind w:left="218"/>
          </w:pPr>
          <w:hyperlink w:history="true" w:anchor="_bookmark912">
            <w:r>
              <w:rPr/>
              <w:t>S7A.8.11.4</w:t>
              <w:tab/>
              <w:t>System administration and</w:t>
            </w:r>
            <w:r>
              <w:rPr>
                <w:spacing w:val="-4"/>
              </w:rPr>
              <w:t> </w:t>
            </w:r>
            <w:r>
              <w:rPr/>
              <w:t>data</w:t>
            </w:r>
            <w:r>
              <w:rPr>
                <w:spacing w:val="-1"/>
              </w:rPr>
              <w:t> </w:t>
            </w:r>
            <w:r>
              <w:rPr/>
              <w:t>management</w:t>
              <w:tab/>
              <w:t>672</w:t>
            </w:r>
          </w:hyperlink>
        </w:p>
        <w:p>
          <w:pPr>
            <w:pStyle w:val="TOC3"/>
            <w:tabs>
              <w:tab w:pos="1918" w:val="left" w:leader="none"/>
              <w:tab w:pos="8930" w:val="left" w:leader="dot"/>
            </w:tabs>
            <w:ind w:left="218"/>
          </w:pPr>
          <w:hyperlink w:history="true" w:anchor="_bookmark913">
            <w:r>
              <w:rPr/>
              <w:t>S7A.8.12</w:t>
              <w:tab/>
              <w:t>Quality</w:t>
            </w:r>
            <w:r>
              <w:rPr>
                <w:spacing w:val="-2"/>
              </w:rPr>
              <w:t> </w:t>
            </w:r>
            <w:r>
              <w:rPr/>
              <w:t>control</w:t>
              <w:tab/>
              <w:t>672</w:t>
            </w:r>
          </w:hyperlink>
        </w:p>
        <w:p>
          <w:pPr>
            <w:pStyle w:val="TOC3"/>
            <w:tabs>
              <w:tab w:pos="1918" w:val="left" w:leader="none"/>
              <w:tab w:pos="8930" w:val="left" w:leader="dot"/>
            </w:tabs>
            <w:ind w:left="218"/>
          </w:pPr>
          <w:hyperlink w:history="true" w:anchor="_bookmark914">
            <w:r>
              <w:rPr/>
              <w:t>S7A.8.12.1</w:t>
              <w:tab/>
              <w:t>Audits</w:t>
              <w:tab/>
              <w:t>672</w:t>
            </w:r>
          </w:hyperlink>
        </w:p>
        <w:p>
          <w:pPr>
            <w:pStyle w:val="TOC3"/>
            <w:tabs>
              <w:tab w:pos="1918" w:val="left" w:leader="none"/>
              <w:tab w:pos="8930" w:val="left" w:leader="dot"/>
            </w:tabs>
            <w:ind w:left="218"/>
          </w:pPr>
          <w:hyperlink w:history="true" w:anchor="_bookmark915">
            <w:r>
              <w:rPr/>
              <w:t>S7A.8.12.2</w:t>
              <w:tab/>
              <w:t>Corrective</w:t>
            </w:r>
            <w:r>
              <w:rPr>
                <w:spacing w:val="-1"/>
              </w:rPr>
              <w:t> </w:t>
            </w:r>
            <w:r>
              <w:rPr/>
              <w:t>action</w:t>
              <w:tab/>
              <w:t>673</w:t>
            </w:r>
          </w:hyperlink>
        </w:p>
        <w:p>
          <w:pPr>
            <w:pStyle w:val="TOC3"/>
            <w:tabs>
              <w:tab w:pos="1918" w:val="left" w:leader="none"/>
              <w:tab w:pos="8930" w:val="left" w:leader="dot"/>
            </w:tabs>
            <w:ind w:left="218"/>
          </w:pPr>
          <w:hyperlink w:history="true" w:anchor="_bookmark916">
            <w:r>
              <w:rPr/>
              <w:t>S7A.8.13.1</w:t>
              <w:tab/>
              <w:t>Administration</w:t>
              <w:tab/>
              <w:t>673</w:t>
            </w:r>
          </w:hyperlink>
        </w:p>
        <w:p>
          <w:pPr>
            <w:pStyle w:val="TOC3"/>
            <w:tabs>
              <w:tab w:pos="1918" w:val="left" w:leader="none"/>
              <w:tab w:pos="8930" w:val="left" w:leader="dot"/>
            </w:tabs>
            <w:ind w:left="218"/>
          </w:pPr>
          <w:hyperlink w:history="true" w:anchor="_bookmark917">
            <w:r>
              <w:rPr/>
              <w:t>S7A.8.13.2</w:t>
              <w:tab/>
              <w:t>Quality</w:t>
            </w:r>
            <w:r>
              <w:rPr>
                <w:spacing w:val="-4"/>
              </w:rPr>
              <w:t> </w:t>
            </w:r>
            <w:r>
              <w:rPr/>
              <w:t>systems</w:t>
              <w:tab/>
              <w:t>674</w:t>
            </w:r>
          </w:hyperlink>
        </w:p>
        <w:p>
          <w:pPr>
            <w:pStyle w:val="TOC1"/>
            <w:numPr>
              <w:ilvl w:val="0"/>
              <w:numId w:val="2"/>
            </w:numPr>
            <w:tabs>
              <w:tab w:pos="1918" w:val="left" w:leader="none"/>
              <w:tab w:pos="1919" w:val="left" w:leader="none"/>
              <w:tab w:pos="8870" w:val="left" w:leader="dot"/>
            </w:tabs>
            <w:spacing w:line="240" w:lineRule="auto" w:before="360" w:after="0"/>
            <w:ind w:left="1919" w:right="0" w:hanging="1701"/>
            <w:jc w:val="left"/>
          </w:pPr>
          <w:hyperlink w:history="true" w:anchor="_bookmark918">
            <w:r>
              <w:rPr/>
              <w:t>Administrative</w:t>
            </w:r>
            <w:r>
              <w:rPr>
                <w:spacing w:val="-5"/>
              </w:rPr>
              <w:t> </w:t>
            </w:r>
            <w:r>
              <w:rPr/>
              <w:t>Functions</w:t>
              <w:tab/>
              <w:t>677</w:t>
            </w:r>
          </w:hyperlink>
        </w:p>
        <w:p>
          <w:pPr>
            <w:pStyle w:val="TOC2"/>
            <w:tabs>
              <w:tab w:pos="1919" w:val="left" w:leader="none"/>
              <w:tab w:pos="8930" w:val="left" w:leader="dot"/>
            </w:tabs>
          </w:pPr>
          <w:hyperlink w:history="true" w:anchor="_bookmark919">
            <w:r>
              <w:rPr/>
              <w:t>Part A</w:t>
              <w:tab/>
              <w:t>Introductory</w:t>
              <w:tab/>
              <w:t>677</w:t>
            </w:r>
          </w:hyperlink>
        </w:p>
        <w:p>
          <w:pPr>
            <w:pStyle w:val="TOC2"/>
            <w:numPr>
              <w:ilvl w:val="1"/>
              <w:numId w:val="2"/>
            </w:numPr>
            <w:tabs>
              <w:tab w:pos="1919" w:val="left" w:leader="none"/>
              <w:tab w:pos="1920" w:val="left" w:leader="none"/>
              <w:tab w:pos="8930" w:val="left" w:leader="dot"/>
            </w:tabs>
            <w:spacing w:line="240" w:lineRule="auto" w:before="120" w:after="0"/>
            <w:ind w:left="1919" w:right="0" w:hanging="1702"/>
            <w:jc w:val="left"/>
          </w:pPr>
          <w:hyperlink w:history="true" w:anchor="_bookmark920">
            <w:r>
              <w:rPr/>
              <w:t>Administrative</w:t>
            </w:r>
            <w:r>
              <w:rPr>
                <w:spacing w:val="-6"/>
              </w:rPr>
              <w:t> </w:t>
            </w:r>
            <w:r>
              <w:rPr/>
              <w:t>functions</w:t>
              <w:tab/>
              <w:t>677</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921">
            <w:r>
              <w:rPr/>
              <w:t>[Deleted]</w:t>
              <w:tab/>
              <w:t>677</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922">
            <w:r>
              <w:rPr/>
              <w:t>[Deleted]</w:t>
              <w:tab/>
              <w:t>677</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923">
            <w:r>
              <w:rPr/>
              <w:t>Structure of</w:t>
            </w:r>
            <w:r>
              <w:rPr>
                <w:spacing w:val="-2"/>
              </w:rPr>
              <w:t> </w:t>
            </w:r>
            <w:r>
              <w:rPr/>
              <w:t>this Chapter</w:t>
              <w:tab/>
              <w:t>677</w:t>
            </w:r>
          </w:hyperlink>
        </w:p>
        <w:p>
          <w:pPr>
            <w:pStyle w:val="TOC2"/>
            <w:tabs>
              <w:tab w:pos="1919" w:val="left" w:leader="none"/>
              <w:tab w:pos="8930" w:val="left" w:leader="dot"/>
            </w:tabs>
          </w:pPr>
          <w:hyperlink w:history="true" w:anchor="_bookmark924">
            <w:r>
              <w:rPr/>
              <w:t>Part B</w:t>
              <w:tab/>
              <w:t>Disputes</w:t>
              <w:tab/>
              <w:t>677</w:t>
            </w:r>
          </w:hyperlink>
        </w:p>
        <w:p>
          <w:pPr>
            <w:pStyle w:val="TOC2"/>
            <w:tabs>
              <w:tab w:pos="1919" w:val="left" w:leader="none"/>
              <w:tab w:pos="8931" w:val="left" w:leader="dot"/>
            </w:tabs>
          </w:pPr>
          <w:hyperlink w:history="true" w:anchor="_bookmark925">
            <w:r>
              <w:rPr/>
              <w:t>Part C</w:t>
              <w:tab/>
              <w:t>Registered Participants'</w:t>
            </w:r>
            <w:r>
              <w:rPr>
                <w:spacing w:val="-3"/>
              </w:rPr>
              <w:t> </w:t>
            </w:r>
            <w:r>
              <w:rPr/>
              <w:t>confidentiality</w:t>
            </w:r>
            <w:r>
              <w:rPr>
                <w:spacing w:val="-1"/>
              </w:rPr>
              <w:t> </w:t>
            </w:r>
            <w:r>
              <w:rPr/>
              <w:t>obligations</w:t>
              <w:tab/>
              <w:t>678</w:t>
            </w:r>
          </w:hyperlink>
        </w:p>
        <w:p>
          <w:pPr>
            <w:pStyle w:val="TOC2"/>
            <w:numPr>
              <w:ilvl w:val="1"/>
              <w:numId w:val="36"/>
            </w:numPr>
            <w:tabs>
              <w:tab w:pos="1919" w:val="left" w:leader="none"/>
              <w:tab w:pos="1920" w:val="left" w:leader="none"/>
              <w:tab w:pos="8930" w:val="left" w:leader="dot"/>
            </w:tabs>
            <w:spacing w:line="240" w:lineRule="auto" w:before="120" w:after="0"/>
            <w:ind w:left="1919" w:right="0" w:hanging="1702"/>
            <w:jc w:val="left"/>
          </w:pPr>
          <w:hyperlink w:history="true" w:anchor="_bookmark926">
            <w:r>
              <w:rPr/>
              <w:t>Confidentiality</w:t>
              <w:tab/>
              <w:t>678</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27">
            <w:r>
              <w:rPr/>
              <w:t>Confidentiality</w:t>
              <w:tab/>
              <w:t>678</w:t>
            </w:r>
          </w:hyperlink>
        </w:p>
        <w:p>
          <w:pPr>
            <w:pStyle w:val="TOC3"/>
            <w:numPr>
              <w:ilvl w:val="2"/>
              <w:numId w:val="37"/>
            </w:numPr>
            <w:tabs>
              <w:tab w:pos="699" w:val="left" w:leader="none"/>
              <w:tab w:pos="1919" w:val="left" w:leader="none"/>
              <w:tab w:pos="8930" w:val="left" w:leader="dot"/>
            </w:tabs>
            <w:spacing w:line="240" w:lineRule="auto" w:before="0" w:after="0"/>
            <w:ind w:left="699" w:right="0" w:hanging="481"/>
            <w:jc w:val="left"/>
          </w:pPr>
          <w:hyperlink w:history="true" w:anchor="_bookmark928">
            <w:r>
              <w:rPr/>
              <w:t>A</w:t>
              <w:tab/>
              <w:t>Application</w:t>
              <w:tab/>
              <w:t>679</w:t>
            </w:r>
          </w:hyperlink>
        </w:p>
        <w:p>
          <w:pPr>
            <w:pStyle w:val="TOC3"/>
            <w:numPr>
              <w:ilvl w:val="2"/>
              <w:numId w:val="37"/>
            </w:numPr>
            <w:tabs>
              <w:tab w:pos="1919" w:val="left" w:leader="none"/>
              <w:tab w:pos="1920" w:val="left" w:leader="none"/>
              <w:tab w:pos="8930" w:val="left" w:leader="dot"/>
            </w:tabs>
            <w:spacing w:line="240" w:lineRule="auto" w:before="0" w:after="0"/>
            <w:ind w:left="1919" w:right="0" w:hanging="1702"/>
            <w:jc w:val="left"/>
          </w:pPr>
          <w:hyperlink w:history="true" w:anchor="_bookmark929">
            <w:r>
              <w:rPr/>
              <w:t>Exceptions</w:t>
              <w:tab/>
              <w:t>679</w:t>
            </w:r>
          </w:hyperlink>
        </w:p>
        <w:p>
          <w:pPr>
            <w:pStyle w:val="TOC3"/>
            <w:numPr>
              <w:ilvl w:val="2"/>
              <w:numId w:val="37"/>
            </w:numPr>
            <w:tabs>
              <w:tab w:pos="1919" w:val="left" w:leader="none"/>
              <w:tab w:pos="1920" w:val="left" w:leader="none"/>
              <w:tab w:pos="8930" w:val="left" w:leader="dot"/>
            </w:tabs>
            <w:spacing w:line="240" w:lineRule="auto" w:before="0" w:after="0"/>
            <w:ind w:left="1919" w:right="0" w:hanging="1702"/>
            <w:jc w:val="left"/>
          </w:pPr>
          <w:hyperlink w:history="true" w:anchor="_bookmark930">
            <w:r>
              <w:rPr/>
              <w:t>Conditions</w:t>
              <w:tab/>
              <w:t>680</w:t>
            </w:r>
          </w:hyperlink>
        </w:p>
        <w:p>
          <w:pPr>
            <w:pStyle w:val="TOC3"/>
            <w:numPr>
              <w:ilvl w:val="2"/>
              <w:numId w:val="37"/>
            </w:numPr>
            <w:tabs>
              <w:tab w:pos="1919" w:val="left" w:leader="none"/>
              <w:tab w:pos="1920" w:val="left" w:leader="none"/>
              <w:tab w:pos="8930" w:val="left" w:leader="dot"/>
            </w:tabs>
            <w:spacing w:line="240" w:lineRule="auto" w:before="0" w:after="0"/>
            <w:ind w:left="1919" w:right="0" w:hanging="1702"/>
            <w:jc w:val="left"/>
          </w:pPr>
          <w:hyperlink w:history="true" w:anchor="_bookmark931">
            <w:r>
              <w:rPr/>
              <w:t>[Deleted]</w:t>
              <w:tab/>
              <w:t>681</w:t>
            </w:r>
          </w:hyperlink>
        </w:p>
        <w:p>
          <w:pPr>
            <w:pStyle w:val="TOC3"/>
            <w:numPr>
              <w:ilvl w:val="2"/>
              <w:numId w:val="37"/>
            </w:numPr>
            <w:tabs>
              <w:tab w:pos="1919" w:val="left" w:leader="none"/>
              <w:tab w:pos="1920" w:val="left" w:leader="none"/>
              <w:tab w:pos="8930" w:val="left" w:leader="dot"/>
            </w:tabs>
            <w:spacing w:line="240" w:lineRule="auto" w:before="0" w:after="0"/>
            <w:ind w:left="1919" w:right="0" w:hanging="1702"/>
            <w:jc w:val="left"/>
          </w:pPr>
          <w:hyperlink w:history="true" w:anchor="_bookmark932">
            <w:r>
              <w:rPr/>
              <w:t>Indemnity to AER, AEMC</w:t>
            </w:r>
            <w:r>
              <w:rPr>
                <w:spacing w:val="-8"/>
              </w:rPr>
              <w:t> </w:t>
            </w:r>
            <w:r>
              <w:rPr/>
              <w:t>and</w:t>
            </w:r>
            <w:r>
              <w:rPr>
                <w:spacing w:val="-2"/>
              </w:rPr>
              <w:t> </w:t>
            </w:r>
            <w:r>
              <w:rPr/>
              <w:t>AEMO</w:t>
              <w:tab/>
              <w:t>681</w:t>
            </w:r>
          </w:hyperlink>
        </w:p>
        <w:p>
          <w:pPr>
            <w:pStyle w:val="TOC3"/>
            <w:numPr>
              <w:ilvl w:val="2"/>
              <w:numId w:val="37"/>
            </w:numPr>
            <w:tabs>
              <w:tab w:pos="1919" w:val="left" w:leader="none"/>
              <w:tab w:pos="1920" w:val="left" w:leader="none"/>
              <w:tab w:pos="8930" w:val="left" w:leader="dot"/>
            </w:tabs>
            <w:spacing w:line="240" w:lineRule="auto" w:before="0" w:after="0"/>
            <w:ind w:left="1919" w:right="0" w:hanging="1702"/>
            <w:jc w:val="left"/>
          </w:pPr>
          <w:hyperlink w:history="true" w:anchor="_bookmark933">
            <w:r>
              <w:rPr/>
              <w:t>AEMO</w:t>
            </w:r>
            <w:r>
              <w:rPr>
                <w:spacing w:val="-3"/>
              </w:rPr>
              <w:t> </w:t>
            </w:r>
            <w:r>
              <w:rPr/>
              <w:t>information</w:t>
              <w:tab/>
              <w:t>681</w:t>
            </w:r>
          </w:hyperlink>
        </w:p>
        <w:p>
          <w:pPr>
            <w:pStyle w:val="TOC3"/>
            <w:numPr>
              <w:ilvl w:val="2"/>
              <w:numId w:val="37"/>
            </w:numPr>
            <w:tabs>
              <w:tab w:pos="1919" w:val="left" w:leader="none"/>
              <w:tab w:pos="1920" w:val="left" w:leader="none"/>
              <w:tab w:pos="8931" w:val="left" w:leader="dot"/>
            </w:tabs>
            <w:spacing w:line="240" w:lineRule="auto" w:before="0" w:after="0"/>
            <w:ind w:left="1919" w:right="0" w:hanging="1702"/>
            <w:jc w:val="left"/>
          </w:pPr>
          <w:hyperlink w:history="true" w:anchor="_bookmark934">
            <w:r>
              <w:rPr/>
              <w:t>Information on</w:t>
            </w:r>
            <w:r>
              <w:rPr>
                <w:spacing w:val="-1"/>
              </w:rPr>
              <w:t> </w:t>
            </w:r>
            <w:r>
              <w:rPr/>
              <w:t>Rules</w:t>
            </w:r>
            <w:r>
              <w:rPr>
                <w:spacing w:val="-1"/>
              </w:rPr>
              <w:t> </w:t>
            </w:r>
            <w:r>
              <w:rPr/>
              <w:t>Bodies</w:t>
              <w:tab/>
              <w:t>681</w:t>
            </w:r>
          </w:hyperlink>
        </w:p>
        <w:p>
          <w:pPr>
            <w:pStyle w:val="TOC2"/>
            <w:tabs>
              <w:tab w:pos="1919" w:val="left" w:leader="none"/>
              <w:tab w:pos="8931" w:val="left" w:leader="dot"/>
            </w:tabs>
          </w:pPr>
          <w:hyperlink w:history="true" w:anchor="_bookmark935">
            <w:r>
              <w:rPr/>
              <w:t>Part D</w:t>
              <w:tab/>
              <w:t>Monitoring</w:t>
            </w:r>
            <w:r>
              <w:rPr>
                <w:spacing w:val="-1"/>
              </w:rPr>
              <w:t> </w:t>
            </w:r>
            <w:r>
              <w:rPr/>
              <w:t>and reporting</w:t>
              <w:tab/>
              <w:t>681</w:t>
            </w:r>
          </w:hyperlink>
        </w:p>
        <w:p>
          <w:pPr>
            <w:pStyle w:val="TOC2"/>
            <w:numPr>
              <w:ilvl w:val="1"/>
              <w:numId w:val="36"/>
            </w:numPr>
            <w:tabs>
              <w:tab w:pos="1919" w:val="left" w:leader="none"/>
              <w:tab w:pos="1920" w:val="left" w:leader="none"/>
              <w:tab w:pos="8931" w:val="left" w:leader="dot"/>
            </w:tabs>
            <w:spacing w:line="240" w:lineRule="auto" w:before="120" w:after="0"/>
            <w:ind w:left="1919" w:right="0" w:hanging="1702"/>
            <w:jc w:val="left"/>
          </w:pPr>
          <w:hyperlink w:history="true" w:anchor="_bookmark936">
            <w:r>
              <w:rPr/>
              <w:t>Monitoring</w:t>
            </w:r>
            <w:r>
              <w:rPr>
                <w:spacing w:val="-1"/>
              </w:rPr>
              <w:t> </w:t>
            </w:r>
            <w:r>
              <w:rPr/>
              <w:t>and</w:t>
            </w:r>
            <w:r>
              <w:rPr>
                <w:spacing w:val="-1"/>
              </w:rPr>
              <w:t> </w:t>
            </w:r>
            <w:r>
              <w:rPr/>
              <w:t>Reporting</w:t>
              <w:tab/>
              <w:t>681</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37">
            <w:r>
              <w:rPr/>
              <w:t>Monitoring</w:t>
              <w:tab/>
              <w:t>681</w:t>
            </w:r>
          </w:hyperlink>
        </w:p>
        <w:p>
          <w:pPr>
            <w:pStyle w:val="TOC3"/>
            <w:numPr>
              <w:ilvl w:val="2"/>
              <w:numId w:val="36"/>
            </w:numPr>
            <w:tabs>
              <w:tab w:pos="1919" w:val="left" w:leader="none"/>
              <w:tab w:pos="1920" w:val="left" w:leader="none"/>
              <w:tab w:pos="8930" w:val="left" w:leader="dot"/>
            </w:tabs>
            <w:spacing w:line="240" w:lineRule="auto" w:before="0" w:after="0"/>
            <w:ind w:left="1919" w:right="414" w:hanging="1701"/>
            <w:jc w:val="left"/>
          </w:pPr>
          <w:hyperlink w:history="true" w:anchor="_bookmark938">
            <w:r>
              <w:rPr/>
              <w:t>Reporting requirements and monitoring standards for Registered</w:t>
            </w:r>
          </w:hyperlink>
          <w:hyperlink w:history="true" w:anchor="_bookmark938">
            <w:r>
              <w:rPr/>
              <w:t> Participants</w:t>
              <w:tab/>
            </w:r>
            <w:r>
              <w:rPr>
                <w:spacing w:val="-6"/>
              </w:rPr>
              <w:t>682</w:t>
            </w:r>
          </w:hyperlink>
        </w:p>
        <w:p>
          <w:pPr>
            <w:pStyle w:val="TOC3"/>
            <w:numPr>
              <w:ilvl w:val="2"/>
              <w:numId w:val="36"/>
            </w:numPr>
            <w:tabs>
              <w:tab w:pos="1919" w:val="left" w:leader="none"/>
              <w:tab w:pos="1920" w:val="left" w:leader="none"/>
            </w:tabs>
            <w:spacing w:line="240" w:lineRule="auto" w:before="0" w:after="0"/>
            <w:ind w:left="1919" w:right="0" w:hanging="1702"/>
            <w:jc w:val="left"/>
          </w:pPr>
          <w:hyperlink w:history="true" w:anchor="_bookmark939">
            <w:r>
              <w:rPr/>
              <w:t>Consultation required for making general regulatory</w:t>
            </w:r>
            <w:r>
              <w:rPr>
                <w:spacing w:val="3"/>
              </w:rPr>
              <w:t> </w:t>
            </w:r>
            <w:r>
              <w:rPr/>
              <w:t>information</w:t>
            </w:r>
          </w:hyperlink>
        </w:p>
        <w:p>
          <w:pPr>
            <w:pStyle w:val="TOC5"/>
            <w:tabs>
              <w:tab w:pos="8930" w:val="left" w:leader="dot"/>
            </w:tabs>
          </w:pPr>
          <w:hyperlink w:history="true" w:anchor="_bookmark939">
            <w:r>
              <w:rPr/>
              <w:t>order (Section 28H of</w:t>
            </w:r>
            <w:r>
              <w:rPr>
                <w:spacing w:val="-3"/>
              </w:rPr>
              <w:t> </w:t>
            </w:r>
            <w:r>
              <w:rPr/>
              <w:t>the</w:t>
            </w:r>
            <w:r>
              <w:rPr>
                <w:spacing w:val="-1"/>
              </w:rPr>
              <w:t> </w:t>
            </w:r>
            <w:r>
              <w:rPr/>
              <w:t>NEL)</w:t>
              <w:tab/>
              <w:t>684</w:t>
            </w:r>
          </w:hyperlink>
        </w:p>
        <w:p>
          <w:pPr>
            <w:pStyle w:val="TOC3"/>
            <w:numPr>
              <w:ilvl w:val="2"/>
              <w:numId w:val="36"/>
            </w:numPr>
            <w:tabs>
              <w:tab w:pos="1919" w:val="left" w:leader="none"/>
              <w:tab w:pos="1920" w:val="left" w:leader="none"/>
              <w:tab w:pos="8930" w:val="left" w:leader="dot"/>
            </w:tabs>
            <w:spacing w:line="240" w:lineRule="auto" w:before="0" w:after="0"/>
            <w:ind w:left="1919" w:right="414" w:hanging="1701"/>
            <w:jc w:val="left"/>
          </w:pPr>
          <w:hyperlink w:history="true" w:anchor="_bookmark940">
            <w:r>
              <w:rPr/>
              <w:t>Preparation   of   network   service   provider    performance    report</w:t>
            </w:r>
          </w:hyperlink>
          <w:hyperlink w:history="true" w:anchor="_bookmark940">
            <w:r>
              <w:rPr/>
              <w:t> (Section 28V of</w:t>
            </w:r>
            <w:r>
              <w:rPr>
                <w:spacing w:val="-3"/>
              </w:rPr>
              <w:t> </w:t>
            </w:r>
            <w:r>
              <w:rPr/>
              <w:t>the</w:t>
            </w:r>
            <w:r>
              <w:rPr>
                <w:spacing w:val="-1"/>
              </w:rPr>
              <w:t> </w:t>
            </w:r>
            <w:r>
              <w:rPr/>
              <w:t>NEL)</w:t>
              <w:tab/>
            </w:r>
            <w:r>
              <w:rPr>
                <w:spacing w:val="-6"/>
              </w:rPr>
              <w:t>685</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41">
            <w:r>
              <w:rPr/>
              <w:t>[Deleted]</w:t>
              <w:tab/>
              <w:t>685</w:t>
            </w:r>
          </w:hyperlink>
        </w:p>
        <w:p>
          <w:pPr>
            <w:pStyle w:val="TOC3"/>
            <w:numPr>
              <w:ilvl w:val="2"/>
              <w:numId w:val="36"/>
            </w:numPr>
            <w:tabs>
              <w:tab w:pos="1919" w:val="left" w:leader="none"/>
              <w:tab w:pos="1920" w:val="left" w:leader="none"/>
              <w:tab w:pos="8931" w:val="left" w:leader="dot"/>
            </w:tabs>
            <w:spacing w:line="240" w:lineRule="auto" w:before="0" w:after="0"/>
            <w:ind w:left="1919" w:right="0" w:hanging="1702"/>
            <w:jc w:val="left"/>
          </w:pPr>
          <w:hyperlink w:history="true" w:anchor="_bookmark942">
            <w:r>
              <w:rPr/>
              <w:t>Recovery of</w:t>
            </w:r>
            <w:r>
              <w:rPr>
                <w:spacing w:val="-2"/>
              </w:rPr>
              <w:t> </w:t>
            </w:r>
            <w:r>
              <w:rPr/>
              <w:t>reporting costs</w:t>
              <w:tab/>
              <w:t>685</w:t>
            </w:r>
          </w:hyperlink>
        </w:p>
        <w:p>
          <w:pPr>
            <w:pStyle w:val="TOC2"/>
            <w:tabs>
              <w:tab w:pos="1919" w:val="left" w:leader="none"/>
              <w:tab w:pos="8931" w:val="left" w:leader="dot"/>
            </w:tabs>
          </w:pPr>
          <w:hyperlink w:history="true" w:anchor="_bookmark943">
            <w:r>
              <w:rPr/>
              <w:t>Part E</w:t>
              <w:tab/>
              <w:t>Reliability</w:t>
            </w:r>
            <w:r>
              <w:rPr>
                <w:spacing w:val="-3"/>
              </w:rPr>
              <w:t> </w:t>
            </w:r>
            <w:r>
              <w:rPr/>
              <w:t>panel</w:t>
              <w:tab/>
              <w:t>686</w:t>
            </w:r>
          </w:hyperlink>
        </w:p>
        <w:p>
          <w:pPr>
            <w:pStyle w:val="TOC2"/>
            <w:numPr>
              <w:ilvl w:val="1"/>
              <w:numId w:val="36"/>
            </w:numPr>
            <w:tabs>
              <w:tab w:pos="1919" w:val="left" w:leader="none"/>
              <w:tab w:pos="1920" w:val="left" w:leader="none"/>
              <w:tab w:pos="8931" w:val="left" w:leader="dot"/>
            </w:tabs>
            <w:spacing w:line="240" w:lineRule="auto" w:before="120" w:after="0"/>
            <w:ind w:left="1919" w:right="0" w:hanging="1702"/>
            <w:jc w:val="left"/>
          </w:pPr>
          <w:hyperlink w:history="true" w:anchor="_bookmark944">
            <w:r>
              <w:rPr/>
              <w:t>Reliability</w:t>
            </w:r>
            <w:r>
              <w:rPr>
                <w:spacing w:val="-1"/>
              </w:rPr>
              <w:t> </w:t>
            </w:r>
            <w:r>
              <w:rPr/>
              <w:t>Panel</w:t>
              <w:tab/>
              <w:t>686</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45">
            <w:r>
              <w:rPr/>
              <w:t>Purpose of</w:t>
            </w:r>
            <w:r>
              <w:rPr>
                <w:spacing w:val="-6"/>
              </w:rPr>
              <w:t> </w:t>
            </w:r>
            <w:r>
              <w:rPr/>
              <w:t>Reliability</w:t>
            </w:r>
            <w:r>
              <w:rPr>
                <w:spacing w:val="-3"/>
              </w:rPr>
              <w:t> </w:t>
            </w:r>
            <w:r>
              <w:rPr/>
              <w:t>Panel</w:t>
              <w:tab/>
              <w:t>686</w:t>
            </w:r>
          </w:hyperlink>
        </w:p>
        <w:p>
          <w:pPr>
            <w:pStyle w:val="TOC3"/>
            <w:numPr>
              <w:ilvl w:val="2"/>
              <w:numId w:val="36"/>
            </w:numPr>
            <w:tabs>
              <w:tab w:pos="1919" w:val="left" w:leader="none"/>
              <w:tab w:pos="1920" w:val="left" w:leader="none"/>
              <w:tab w:pos="8931" w:val="left" w:leader="dot"/>
            </w:tabs>
            <w:spacing w:line="240" w:lineRule="auto" w:before="0" w:after="0"/>
            <w:ind w:left="1919" w:right="0" w:hanging="1702"/>
            <w:jc w:val="left"/>
          </w:pPr>
          <w:hyperlink w:history="true" w:anchor="_bookmark946">
            <w:r>
              <w:rPr/>
              <w:t>Constitution of the</w:t>
            </w:r>
            <w:r>
              <w:rPr>
                <w:spacing w:val="-5"/>
              </w:rPr>
              <w:t> </w:t>
            </w:r>
            <w:r>
              <w:rPr/>
              <w:t>Reliability</w:t>
            </w:r>
            <w:r>
              <w:rPr>
                <w:spacing w:val="-1"/>
              </w:rPr>
              <w:t> </w:t>
            </w:r>
            <w:r>
              <w:rPr/>
              <w:t>Panel</w:t>
              <w:tab/>
              <w:t>687</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47">
            <w:r>
              <w:rPr/>
              <w:t>Reliability Panel</w:t>
            </w:r>
            <w:r>
              <w:rPr>
                <w:spacing w:val="-5"/>
              </w:rPr>
              <w:t> </w:t>
            </w:r>
            <w:r>
              <w:rPr/>
              <w:t>review</w:t>
            </w:r>
            <w:r>
              <w:rPr>
                <w:spacing w:val="-2"/>
              </w:rPr>
              <w:t> </w:t>
            </w:r>
            <w:r>
              <w:rPr/>
              <w:t>process</w:t>
              <w:tab/>
              <w:t>689</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48">
            <w:r>
              <w:rPr/>
              <w:t>Determination of</w:t>
            </w:r>
            <w:r>
              <w:rPr>
                <w:spacing w:val="-2"/>
              </w:rPr>
              <w:t> </w:t>
            </w:r>
            <w:r>
              <w:rPr/>
              <w:t>protected</w:t>
            </w:r>
            <w:r>
              <w:rPr>
                <w:spacing w:val="-1"/>
              </w:rPr>
              <w:t> </w:t>
            </w:r>
            <w:r>
              <w:rPr/>
              <w:t>events</w:t>
              <w:tab/>
              <w:t>692</w:t>
            </w:r>
          </w:hyperlink>
        </w:p>
        <w:p>
          <w:pPr>
            <w:pStyle w:val="TOC2"/>
            <w:tabs>
              <w:tab w:pos="1919" w:val="left" w:leader="none"/>
              <w:tab w:pos="8931" w:val="left" w:leader="dot"/>
            </w:tabs>
          </w:pPr>
          <w:hyperlink w:history="true" w:anchor="_bookmark949">
            <w:r>
              <w:rPr/>
              <w:t>Part F</w:t>
              <w:tab/>
              <w:t>Rules</w:t>
            </w:r>
            <w:r>
              <w:rPr>
                <w:spacing w:val="-5"/>
              </w:rPr>
              <w:t> </w:t>
            </w:r>
            <w:r>
              <w:rPr/>
              <w:t>consultation</w:t>
            </w:r>
            <w:r>
              <w:rPr>
                <w:spacing w:val="-3"/>
              </w:rPr>
              <w:t> </w:t>
            </w:r>
            <w:r>
              <w:rPr/>
              <w:t>procedures</w:t>
              <w:tab/>
              <w:t>693</w:t>
            </w:r>
          </w:hyperlink>
        </w:p>
        <w:p>
          <w:pPr>
            <w:pStyle w:val="TOC2"/>
            <w:numPr>
              <w:ilvl w:val="1"/>
              <w:numId w:val="36"/>
            </w:numPr>
            <w:tabs>
              <w:tab w:pos="1919" w:val="left" w:leader="none"/>
              <w:tab w:pos="1920" w:val="left" w:leader="none"/>
              <w:tab w:pos="8929" w:val="left" w:leader="dot"/>
            </w:tabs>
            <w:spacing w:line="240" w:lineRule="auto" w:before="120" w:after="0"/>
            <w:ind w:left="1919" w:right="0" w:hanging="1702"/>
            <w:jc w:val="left"/>
          </w:pPr>
          <w:hyperlink w:history="true" w:anchor="_bookmark950">
            <w:r>
              <w:rPr/>
              <w:t>Rules</w:t>
            </w:r>
            <w:r>
              <w:rPr>
                <w:spacing w:val="-5"/>
              </w:rPr>
              <w:t> </w:t>
            </w:r>
            <w:r>
              <w:rPr/>
              <w:t>Consultation</w:t>
            </w:r>
            <w:r>
              <w:rPr>
                <w:spacing w:val="-4"/>
              </w:rPr>
              <w:t> </w:t>
            </w:r>
            <w:r>
              <w:rPr/>
              <w:t>Procedures</w:t>
              <w:tab/>
              <w:t>693</w:t>
            </w:r>
          </w:hyperlink>
        </w:p>
        <w:p>
          <w:pPr>
            <w:pStyle w:val="TOC2"/>
            <w:tabs>
              <w:tab w:pos="1919" w:val="left" w:leader="none"/>
              <w:tab w:pos="8930" w:val="left" w:leader="dot"/>
            </w:tabs>
            <w:spacing w:after="33"/>
          </w:pPr>
          <w:hyperlink w:history="true" w:anchor="_bookmark951">
            <w:r>
              <w:rPr/>
              <w:t>Part G</w:t>
              <w:tab/>
              <w:t>Consumer</w:t>
            </w:r>
            <w:r>
              <w:rPr>
                <w:spacing w:val="-3"/>
              </w:rPr>
              <w:t> </w:t>
            </w:r>
            <w:r>
              <w:rPr/>
              <w:t>advocacy</w:t>
            </w:r>
            <w:r>
              <w:rPr>
                <w:spacing w:val="-2"/>
              </w:rPr>
              <w:t> </w:t>
            </w:r>
            <w:r>
              <w:rPr/>
              <w:t>funding</w:t>
              <w:tab/>
              <w:t>696</w:t>
            </w:r>
          </w:hyperlink>
        </w:p>
        <w:p>
          <w:pPr>
            <w:pStyle w:val="TOC2"/>
            <w:numPr>
              <w:ilvl w:val="1"/>
              <w:numId w:val="36"/>
            </w:numPr>
            <w:tabs>
              <w:tab w:pos="1919" w:val="left" w:leader="none"/>
              <w:tab w:pos="1920" w:val="left" w:leader="none"/>
              <w:tab w:pos="8930" w:val="left" w:leader="dot"/>
            </w:tabs>
            <w:spacing w:line="240" w:lineRule="auto" w:before="83" w:after="0"/>
            <w:ind w:left="1919" w:right="0" w:hanging="1702"/>
            <w:jc w:val="left"/>
          </w:pPr>
          <w:hyperlink w:history="true" w:anchor="_bookmark952">
            <w:r>
              <w:rPr/>
              <w:t>Consumer advocacy</w:t>
            </w:r>
            <w:r>
              <w:rPr>
                <w:spacing w:val="-4"/>
              </w:rPr>
              <w:t> </w:t>
            </w:r>
            <w:r>
              <w:rPr/>
              <w:t>funding</w:t>
            </w:r>
            <w:r>
              <w:rPr>
                <w:spacing w:val="-1"/>
              </w:rPr>
              <w:t> </w:t>
            </w:r>
            <w:r>
              <w:rPr/>
              <w:t>obligation</w:t>
              <w:tab/>
              <w:t>696</w:t>
            </w:r>
          </w:hyperlink>
        </w:p>
        <w:p>
          <w:pPr>
            <w:pStyle w:val="TOC2"/>
            <w:tabs>
              <w:tab w:pos="1919" w:val="left" w:leader="none"/>
              <w:tab w:pos="8930" w:val="left" w:leader="dot"/>
            </w:tabs>
          </w:pPr>
          <w:hyperlink w:history="true" w:anchor="_bookmark953">
            <w:r>
              <w:rPr/>
              <w:t>Part H</w:t>
              <w:tab/>
              <w:t>Augmentations</w:t>
              <w:tab/>
              <w:t>696</w:t>
            </w:r>
          </w:hyperlink>
        </w:p>
        <w:p>
          <w:pPr>
            <w:pStyle w:val="TOC2"/>
            <w:numPr>
              <w:ilvl w:val="1"/>
              <w:numId w:val="36"/>
            </w:numPr>
            <w:tabs>
              <w:tab w:pos="1919" w:val="left" w:leader="none"/>
              <w:tab w:pos="1920" w:val="left" w:leader="none"/>
              <w:tab w:pos="8930" w:val="left" w:leader="dot"/>
            </w:tabs>
            <w:spacing w:line="240" w:lineRule="auto" w:before="120" w:after="0"/>
            <w:ind w:left="1919" w:right="0" w:hanging="1702"/>
            <w:jc w:val="left"/>
          </w:pPr>
          <w:hyperlink w:history="true" w:anchor="_bookmark954">
            <w:r>
              <w:rPr/>
              <w:t>Augmentations</w:t>
              <w:tab/>
              <w:t>696</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55">
            <w:r>
              <w:rPr/>
              <w:t>Application</w:t>
              <w:tab/>
              <w:t>696</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56">
            <w:r>
              <w:rPr/>
              <w:t>Object</w:t>
              <w:tab/>
              <w:t>696</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57">
            <w:r>
              <w:rPr/>
              <w:t>Definitions</w:t>
              <w:tab/>
              <w:t>697</w:t>
            </w:r>
          </w:hyperlink>
        </w:p>
        <w:p>
          <w:pPr>
            <w:pStyle w:val="TOC3"/>
            <w:numPr>
              <w:ilvl w:val="2"/>
              <w:numId w:val="36"/>
            </w:numPr>
            <w:tabs>
              <w:tab w:pos="1919" w:val="left" w:leader="none"/>
              <w:tab w:pos="1920" w:val="left" w:leader="none"/>
              <w:tab w:pos="8931" w:val="left" w:leader="dot"/>
            </w:tabs>
            <w:spacing w:line="240" w:lineRule="auto" w:before="0" w:after="0"/>
            <w:ind w:left="1919" w:right="0" w:hanging="1702"/>
            <w:jc w:val="left"/>
          </w:pPr>
          <w:hyperlink w:history="true" w:anchor="_bookmark958">
            <w:r>
              <w:rPr/>
              <w:t>Planning</w:t>
            </w:r>
            <w:r>
              <w:rPr>
                <w:spacing w:val="-1"/>
              </w:rPr>
              <w:t> </w:t>
            </w:r>
            <w:r>
              <w:rPr/>
              <w:t>criteria</w:t>
              <w:tab/>
              <w:t>697</w:t>
            </w:r>
          </w:hyperlink>
        </w:p>
        <w:p>
          <w:pPr>
            <w:pStyle w:val="TOC3"/>
            <w:numPr>
              <w:ilvl w:val="2"/>
              <w:numId w:val="36"/>
            </w:numPr>
            <w:tabs>
              <w:tab w:pos="1919" w:val="left" w:leader="none"/>
              <w:tab w:pos="1920" w:val="left" w:leader="none"/>
              <w:tab w:pos="8931" w:val="left" w:leader="dot"/>
            </w:tabs>
            <w:spacing w:line="240" w:lineRule="auto" w:before="0" w:after="0"/>
            <w:ind w:left="1919" w:right="413" w:hanging="1701"/>
            <w:jc w:val="left"/>
          </w:pPr>
          <w:hyperlink w:history="true" w:anchor="_bookmark959">
            <w:r>
              <w:rPr/>
              <w:t>Construction  of   augmentation   that   is   not   a   contestable</w:t>
            </w:r>
          </w:hyperlink>
          <w:r>
            <w:rPr/>
            <w:t> </w:t>
          </w:r>
          <w:hyperlink w:history="true" w:anchor="_bookmark959">
            <w:r>
              <w:rPr/>
              <w:t> augmentation</w:t>
              <w:tab/>
            </w:r>
            <w:r>
              <w:rPr>
                <w:spacing w:val="-6"/>
              </w:rPr>
              <w:t>698</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60">
            <w:r>
              <w:rPr/>
              <w:t>Contestable</w:t>
            </w:r>
            <w:r>
              <w:rPr>
                <w:spacing w:val="-1"/>
              </w:rPr>
              <w:t> </w:t>
            </w:r>
            <w:r>
              <w:rPr/>
              <w:t>augmentations</w:t>
              <w:tab/>
              <w:t>698</w:t>
            </w:r>
          </w:hyperlink>
        </w:p>
        <w:p>
          <w:pPr>
            <w:pStyle w:val="TOC3"/>
            <w:numPr>
              <w:ilvl w:val="2"/>
              <w:numId w:val="36"/>
            </w:numPr>
            <w:tabs>
              <w:tab w:pos="1919" w:val="left" w:leader="none"/>
              <w:tab w:pos="1920" w:val="left" w:leader="none"/>
              <w:tab w:pos="8931" w:val="left" w:leader="dot"/>
            </w:tabs>
            <w:spacing w:line="240" w:lineRule="auto" w:before="0" w:after="0"/>
            <w:ind w:left="1919" w:right="0" w:hanging="1702"/>
            <w:jc w:val="left"/>
          </w:pPr>
          <w:hyperlink w:history="true" w:anchor="_bookmark961">
            <w:r>
              <w:rPr/>
              <w:t>Construction and operation of</w:t>
            </w:r>
            <w:r>
              <w:rPr>
                <w:spacing w:val="-3"/>
              </w:rPr>
              <w:t> </w:t>
            </w:r>
            <w:r>
              <w:rPr/>
              <w:t>contestable</w:t>
            </w:r>
            <w:r>
              <w:rPr>
                <w:spacing w:val="-1"/>
              </w:rPr>
              <w:t> </w:t>
            </w:r>
            <w:r>
              <w:rPr/>
              <w:t>augmentation</w:t>
              <w:tab/>
              <w:t>699</w:t>
            </w:r>
          </w:hyperlink>
        </w:p>
        <w:p>
          <w:pPr>
            <w:pStyle w:val="TOC3"/>
            <w:numPr>
              <w:ilvl w:val="2"/>
              <w:numId w:val="36"/>
            </w:numPr>
            <w:tabs>
              <w:tab w:pos="1919" w:val="left" w:leader="none"/>
              <w:tab w:pos="1920" w:val="left" w:leader="none"/>
              <w:tab w:pos="8931" w:val="left" w:leader="dot"/>
            </w:tabs>
            <w:spacing w:line="240" w:lineRule="auto" w:before="0" w:after="0"/>
            <w:ind w:left="1919" w:right="0" w:hanging="1702"/>
            <w:jc w:val="left"/>
          </w:pPr>
          <w:hyperlink w:history="true" w:anchor="_bookmark962">
            <w:r>
              <w:rPr/>
              <w:t>Funded augmentations that are not subject to the</w:t>
            </w:r>
            <w:r>
              <w:rPr>
                <w:spacing w:val="-9"/>
              </w:rPr>
              <w:t> </w:t>
            </w:r>
            <w:r>
              <w:rPr/>
              <w:t>tender</w:t>
            </w:r>
            <w:r>
              <w:rPr>
                <w:spacing w:val="-1"/>
              </w:rPr>
              <w:t> </w:t>
            </w:r>
            <w:r>
              <w:rPr/>
              <w:t>process</w:t>
              <w:tab/>
              <w:t>700</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63">
            <w:r>
              <w:rPr/>
              <w:t>Contractual requirements</w:t>
            </w:r>
            <w:r>
              <w:rPr>
                <w:spacing w:val="-3"/>
              </w:rPr>
              <w:t> </w:t>
            </w:r>
            <w:r>
              <w:rPr/>
              <w:t>and principles</w:t>
              <w:tab/>
              <w:t>701</w:t>
            </w:r>
          </w:hyperlink>
        </w:p>
        <w:p>
          <w:pPr>
            <w:pStyle w:val="TOC3"/>
            <w:numPr>
              <w:ilvl w:val="2"/>
              <w:numId w:val="36"/>
            </w:numPr>
            <w:tabs>
              <w:tab w:pos="1919" w:val="left" w:leader="none"/>
              <w:tab w:pos="1920" w:val="left" w:leader="none"/>
              <w:tab w:pos="8930" w:val="left" w:leader="dot"/>
            </w:tabs>
            <w:spacing w:line="240" w:lineRule="auto" w:before="0" w:after="0"/>
            <w:ind w:left="1919" w:right="0" w:hanging="1702"/>
            <w:jc w:val="left"/>
          </w:pPr>
          <w:hyperlink w:history="true" w:anchor="_bookmark964">
            <w:r>
              <w:rPr/>
              <w:t>Annual</w:t>
            </w:r>
            <w:r>
              <w:rPr>
                <w:spacing w:val="-3"/>
              </w:rPr>
              <w:t> </w:t>
            </w:r>
            <w:r>
              <w:rPr/>
              <w:t>planning</w:t>
            </w:r>
            <w:r>
              <w:rPr>
                <w:spacing w:val="-1"/>
              </w:rPr>
              <w:t> </w:t>
            </w:r>
            <w:r>
              <w:rPr/>
              <w:t>review</w:t>
              <w:tab/>
              <w:t>702</w:t>
            </w:r>
          </w:hyperlink>
        </w:p>
        <w:p>
          <w:pPr>
            <w:pStyle w:val="TOC2"/>
            <w:tabs>
              <w:tab w:pos="1918" w:val="left" w:leader="none"/>
              <w:tab w:pos="8931" w:val="left" w:leader="dot"/>
            </w:tabs>
            <w:ind w:left="1919" w:right="413" w:hanging="1701"/>
          </w:pPr>
          <w:hyperlink w:history="true" w:anchor="_bookmark965">
            <w:r>
              <w:rPr/>
              <w:t>Schedule</w:t>
            </w:r>
            <w:r>
              <w:rPr>
                <w:spacing w:val="-4"/>
              </w:rPr>
              <w:t> </w:t>
            </w:r>
            <w:r>
              <w:rPr/>
              <w:t>8.11</w:t>
              <w:tab/>
              <w:t>Principles to be reflected in agreements relating to contestable</w:t>
            </w:r>
          </w:hyperlink>
          <w:r>
            <w:rPr/>
            <w:t> </w:t>
          </w:r>
          <w:hyperlink w:history="true" w:anchor="_bookmark965">
            <w:r>
              <w:rPr/>
              <w:t>augmentations</w:t>
              <w:tab/>
            </w:r>
            <w:r>
              <w:rPr>
                <w:spacing w:val="-6"/>
              </w:rPr>
              <w:t>702</w:t>
            </w:r>
          </w:hyperlink>
        </w:p>
        <w:p>
          <w:pPr>
            <w:pStyle w:val="TOC3"/>
            <w:tabs>
              <w:tab w:pos="1918" w:val="left" w:leader="none"/>
              <w:tab w:pos="8930" w:val="left" w:leader="dot"/>
            </w:tabs>
            <w:ind w:left="218"/>
          </w:pPr>
          <w:hyperlink w:history="true" w:anchor="_bookmark966">
            <w:r>
              <w:rPr/>
              <w:t>S8.11.1</w:t>
              <w:tab/>
              <w:t>Risk</w:t>
            </w:r>
            <w:r>
              <w:rPr>
                <w:spacing w:val="-1"/>
              </w:rPr>
              <w:t> </w:t>
            </w:r>
            <w:r>
              <w:rPr/>
              <w:t>allocation</w:t>
              <w:tab/>
              <w:t>702</w:t>
            </w:r>
          </w:hyperlink>
        </w:p>
        <w:p>
          <w:pPr>
            <w:pStyle w:val="TOC3"/>
            <w:tabs>
              <w:tab w:pos="1918" w:val="left" w:leader="none"/>
              <w:tab w:pos="8931" w:val="left" w:leader="dot"/>
            </w:tabs>
            <w:ind w:right="413" w:hanging="1701"/>
          </w:pPr>
          <w:hyperlink w:history="true" w:anchor="_bookmark967">
            <w:r>
              <w:rPr/>
              <w:t>S8.11.2</w:t>
              <w:tab/>
              <w:t>Minimum requirements for agreements relating  to  contestable</w:t>
            </w:r>
          </w:hyperlink>
          <w:r>
            <w:rPr/>
            <w:t> </w:t>
          </w:r>
          <w:hyperlink w:history="true" w:anchor="_bookmark967">
            <w:r>
              <w:rPr/>
              <w:t>augmentation</w:t>
              <w:tab/>
            </w:r>
            <w:r>
              <w:rPr>
                <w:spacing w:val="-6"/>
              </w:rPr>
              <w:t>703</w:t>
            </w:r>
          </w:hyperlink>
        </w:p>
        <w:p>
          <w:pPr>
            <w:pStyle w:val="TOC3"/>
            <w:tabs>
              <w:tab w:pos="1918" w:val="left" w:leader="none"/>
              <w:tab w:pos="8930" w:val="left" w:leader="dot"/>
            </w:tabs>
            <w:ind w:left="218"/>
          </w:pPr>
          <w:hyperlink w:history="true" w:anchor="_bookmark968">
            <w:r>
              <w:rPr/>
              <w:t>S8.11.3</w:t>
              <w:tab/>
              <w:t>Matters to be dealt with in</w:t>
            </w:r>
            <w:r>
              <w:rPr>
                <w:spacing w:val="-7"/>
              </w:rPr>
              <w:t> </w:t>
            </w:r>
            <w:r>
              <w:rPr/>
              <w:t>relevant</w:t>
            </w:r>
            <w:r>
              <w:rPr>
                <w:spacing w:val="-1"/>
              </w:rPr>
              <w:t> </w:t>
            </w:r>
            <w:r>
              <w:rPr/>
              <w:t>agreements</w:t>
              <w:tab/>
              <w:t>703</w:t>
            </w:r>
          </w:hyperlink>
        </w:p>
        <w:p>
          <w:pPr>
            <w:pStyle w:val="TOC2"/>
            <w:tabs>
              <w:tab w:pos="1919" w:val="left" w:leader="none"/>
              <w:tab w:pos="8931" w:val="left" w:leader="dot"/>
            </w:tabs>
          </w:pPr>
          <w:hyperlink w:history="true" w:anchor="_bookmark969">
            <w:r>
              <w:rPr/>
              <w:t>Part I</w:t>
              <w:tab/>
              <w:t>Values of</w:t>
            </w:r>
            <w:r>
              <w:rPr>
                <w:spacing w:val="-1"/>
              </w:rPr>
              <w:t> </w:t>
            </w:r>
            <w:r>
              <w:rPr/>
              <w:t>customer</w:t>
            </w:r>
            <w:r>
              <w:rPr>
                <w:spacing w:val="-2"/>
              </w:rPr>
              <w:t> </w:t>
            </w:r>
            <w:r>
              <w:rPr/>
              <w:t>reliability</w:t>
              <w:tab/>
              <w:t>704</w:t>
            </w:r>
          </w:hyperlink>
        </w:p>
        <w:p>
          <w:pPr>
            <w:pStyle w:val="TOC2"/>
            <w:numPr>
              <w:ilvl w:val="1"/>
              <w:numId w:val="36"/>
            </w:numPr>
            <w:tabs>
              <w:tab w:pos="1919" w:val="left" w:leader="none"/>
              <w:tab w:pos="1920" w:val="left" w:leader="none"/>
              <w:tab w:pos="8931" w:val="left" w:leader="dot"/>
            </w:tabs>
            <w:spacing w:line="240" w:lineRule="auto" w:before="120" w:after="0"/>
            <w:ind w:left="1919" w:right="413" w:hanging="1701"/>
            <w:jc w:val="left"/>
          </w:pPr>
          <w:hyperlink w:history="true" w:anchor="_bookmark970">
            <w:r>
              <w:rPr/>
              <w:t>Development  of  methodology  and  publication  of   values   of</w:t>
            </w:r>
          </w:hyperlink>
          <w:hyperlink w:history="true" w:anchor="_bookmark970">
            <w:r>
              <w:rPr/>
              <w:t> customer</w:t>
            </w:r>
            <w:r>
              <w:rPr>
                <w:spacing w:val="-1"/>
              </w:rPr>
              <w:t> </w:t>
            </w:r>
            <w:r>
              <w:rPr/>
              <w:t>reliability</w:t>
              <w:tab/>
            </w:r>
            <w:r>
              <w:rPr>
                <w:spacing w:val="-6"/>
              </w:rPr>
              <w:t>704</w:t>
            </w:r>
          </w:hyperlink>
        </w:p>
        <w:p>
          <w:pPr>
            <w:pStyle w:val="TOC1"/>
            <w:tabs>
              <w:tab w:pos="1918" w:val="left" w:leader="none"/>
              <w:tab w:pos="8871" w:val="left" w:leader="dot"/>
            </w:tabs>
            <w:ind w:left="218" w:firstLine="0"/>
          </w:pPr>
          <w:hyperlink w:history="true" w:anchor="_bookmark971">
            <w:r>
              <w:rPr/>
              <w:t>8A.</w:t>
              <w:tab/>
              <w:t>Participant</w:t>
            </w:r>
            <w:r>
              <w:rPr>
                <w:spacing w:val="-2"/>
              </w:rPr>
              <w:t> </w:t>
            </w:r>
            <w:r>
              <w:rPr/>
              <w:t>Derogations</w:t>
              <w:tab/>
              <w:t>709</w:t>
            </w:r>
          </w:hyperlink>
        </w:p>
        <w:p>
          <w:pPr>
            <w:pStyle w:val="TOC2"/>
            <w:tabs>
              <w:tab w:pos="1919" w:val="left" w:leader="none"/>
              <w:tab w:pos="8931" w:val="left" w:leader="dot"/>
            </w:tabs>
          </w:pPr>
          <w:hyperlink w:history="true" w:anchor="_bookmark972">
            <w:r>
              <w:rPr/>
              <w:t>Part 1</w:t>
              <w:tab/>
              <w:t>Derogations Granted</w:t>
            </w:r>
            <w:r>
              <w:rPr>
                <w:spacing w:val="-2"/>
              </w:rPr>
              <w:t> </w:t>
            </w:r>
            <w:r>
              <w:rPr/>
              <w:t>to TransGrid</w:t>
              <w:tab/>
              <w:t>709</w:t>
            </w:r>
          </w:hyperlink>
        </w:p>
        <w:p>
          <w:pPr>
            <w:pStyle w:val="TOC2"/>
            <w:tabs>
              <w:tab w:pos="1919" w:val="left" w:leader="none"/>
              <w:tab w:pos="8931" w:val="left" w:leader="dot"/>
            </w:tabs>
          </w:pPr>
          <w:hyperlink w:history="true" w:anchor="_bookmark973">
            <w:r>
              <w:rPr/>
              <w:t>8A.1</w:t>
              <w:tab/>
              <w:t>[Deleted]</w:t>
              <w:tab/>
              <w:t>709</w:t>
            </w:r>
          </w:hyperlink>
        </w:p>
        <w:p>
          <w:pPr>
            <w:pStyle w:val="TOC2"/>
            <w:tabs>
              <w:tab w:pos="1919" w:val="left" w:leader="none"/>
              <w:tab w:pos="8931" w:val="left" w:leader="dot"/>
            </w:tabs>
          </w:pPr>
          <w:hyperlink w:history="true" w:anchor="_bookmark974">
            <w:r>
              <w:rPr/>
              <w:t>Part 2</w:t>
              <w:tab/>
              <w:t>Derogations Granted</w:t>
            </w:r>
            <w:r>
              <w:rPr>
                <w:spacing w:val="-2"/>
              </w:rPr>
              <w:t> </w:t>
            </w:r>
            <w:r>
              <w:rPr/>
              <w:t>to</w:t>
            </w:r>
            <w:r>
              <w:rPr>
                <w:spacing w:val="-1"/>
              </w:rPr>
              <w:t> </w:t>
            </w:r>
            <w:r>
              <w:rPr/>
              <w:t>EnergyAustralia</w:t>
              <w:tab/>
              <w:t>709</w:t>
            </w:r>
          </w:hyperlink>
        </w:p>
        <w:p>
          <w:pPr>
            <w:pStyle w:val="TOC2"/>
            <w:tabs>
              <w:tab w:pos="1919" w:val="left" w:leader="none"/>
              <w:tab w:pos="8931" w:val="left" w:leader="dot"/>
            </w:tabs>
          </w:pPr>
          <w:hyperlink w:history="true" w:anchor="_bookmark975">
            <w:r>
              <w:rPr/>
              <w:t>8A.2</w:t>
              <w:tab/>
              <w:t>[Deleted]</w:t>
              <w:tab/>
              <w:t>709</w:t>
            </w:r>
          </w:hyperlink>
        </w:p>
        <w:p>
          <w:pPr>
            <w:pStyle w:val="TOC2"/>
            <w:tabs>
              <w:tab w:pos="1919" w:val="left" w:leader="none"/>
              <w:tab w:pos="8931" w:val="left" w:leader="dot"/>
            </w:tabs>
          </w:pPr>
          <w:hyperlink w:history="true" w:anchor="_bookmark976">
            <w:r>
              <w:rPr/>
              <w:t>8A.2A</w:t>
              <w:tab/>
              <w:t>[Deleted]</w:t>
              <w:tab/>
              <w:t>709</w:t>
            </w:r>
          </w:hyperlink>
        </w:p>
        <w:p>
          <w:pPr>
            <w:pStyle w:val="TOC2"/>
            <w:tabs>
              <w:tab w:pos="1919" w:val="left" w:leader="none"/>
              <w:tab w:pos="8931" w:val="left" w:leader="dot"/>
            </w:tabs>
          </w:pPr>
          <w:hyperlink w:history="true" w:anchor="_bookmark977">
            <w:r>
              <w:rPr/>
              <w:t>Part 3</w:t>
              <w:tab/>
              <w:t>[Deleted]</w:t>
              <w:tab/>
              <w:t>709</w:t>
            </w:r>
          </w:hyperlink>
        </w:p>
        <w:p>
          <w:pPr>
            <w:pStyle w:val="TOC2"/>
            <w:tabs>
              <w:tab w:pos="1919" w:val="left" w:leader="none"/>
              <w:tab w:pos="8931" w:val="left" w:leader="dot"/>
            </w:tabs>
          </w:pPr>
          <w:hyperlink w:history="true" w:anchor="_bookmark978">
            <w:r>
              <w:rPr/>
              <w:t>Part 4</w:t>
              <w:tab/>
              <w:t>[Deleted]</w:t>
              <w:tab/>
              <w:t>709</w:t>
            </w:r>
          </w:hyperlink>
        </w:p>
        <w:p>
          <w:pPr>
            <w:pStyle w:val="TOC2"/>
            <w:tabs>
              <w:tab w:pos="1919" w:val="left" w:leader="none"/>
              <w:tab w:pos="8931" w:val="left" w:leader="dot"/>
            </w:tabs>
          </w:pPr>
          <w:hyperlink w:history="true" w:anchor="_bookmark979">
            <w:r>
              <w:rPr/>
              <w:t>Part 5</w:t>
              <w:tab/>
              <w:t>[Deleted]</w:t>
              <w:tab/>
              <w:t>709</w:t>
            </w:r>
          </w:hyperlink>
        </w:p>
        <w:p>
          <w:pPr>
            <w:pStyle w:val="TOC2"/>
            <w:tabs>
              <w:tab w:pos="1919" w:val="left" w:leader="none"/>
              <w:tab w:pos="8931" w:val="left" w:leader="dot"/>
            </w:tabs>
          </w:pPr>
          <w:hyperlink w:history="true" w:anchor="_bookmark980">
            <w:r>
              <w:rPr/>
              <w:t>Part 6</w:t>
              <w:tab/>
              <w:t>Derogations Granted to Victorian</w:t>
            </w:r>
            <w:r>
              <w:rPr>
                <w:spacing w:val="-8"/>
              </w:rPr>
              <w:t> </w:t>
            </w:r>
            <w:r>
              <w:rPr/>
              <w:t>Market</w:t>
            </w:r>
            <w:r>
              <w:rPr>
                <w:spacing w:val="-2"/>
              </w:rPr>
              <w:t> </w:t>
            </w:r>
            <w:r>
              <w:rPr/>
              <w:t>Participants</w:t>
              <w:tab/>
              <w:t>709</w:t>
            </w:r>
          </w:hyperlink>
        </w:p>
        <w:p>
          <w:pPr>
            <w:pStyle w:val="TOC2"/>
            <w:tabs>
              <w:tab w:pos="1919" w:val="left" w:leader="none"/>
              <w:tab w:pos="8931" w:val="left" w:leader="dot"/>
            </w:tabs>
          </w:pPr>
          <w:hyperlink w:history="true" w:anchor="_bookmark981">
            <w:r>
              <w:rPr/>
              <w:t>Part 7</w:t>
              <w:tab/>
              <w:t>[Deleted]</w:t>
              <w:tab/>
              <w:t>710</w:t>
            </w:r>
          </w:hyperlink>
        </w:p>
        <w:p>
          <w:pPr>
            <w:pStyle w:val="TOC2"/>
            <w:tabs>
              <w:tab w:pos="1919" w:val="left" w:leader="none"/>
              <w:tab w:pos="8931" w:val="left" w:leader="dot"/>
            </w:tabs>
          </w:pPr>
          <w:hyperlink w:history="true" w:anchor="_bookmark982">
            <w:r>
              <w:rPr/>
              <w:t>Part 8</w:t>
              <w:tab/>
              <w:t>[Deleted]</w:t>
              <w:tab/>
              <w:t>710</w:t>
            </w:r>
          </w:hyperlink>
        </w:p>
        <w:p>
          <w:pPr>
            <w:pStyle w:val="TOC2"/>
            <w:tabs>
              <w:tab w:pos="1919" w:val="left" w:leader="none"/>
              <w:tab w:pos="8931" w:val="left" w:leader="dot"/>
            </w:tabs>
          </w:pPr>
          <w:hyperlink w:history="true" w:anchor="_bookmark983">
            <w:r>
              <w:rPr/>
              <w:t>Part 9</w:t>
              <w:tab/>
              <w:t>[Deleted]</w:t>
              <w:tab/>
              <w:t>710</w:t>
            </w:r>
          </w:hyperlink>
        </w:p>
        <w:p>
          <w:pPr>
            <w:pStyle w:val="TOC2"/>
            <w:tabs>
              <w:tab w:pos="1919" w:val="left" w:leader="none"/>
              <w:tab w:pos="8931" w:val="left" w:leader="dot"/>
            </w:tabs>
          </w:pPr>
          <w:hyperlink w:history="true" w:anchor="_bookmark984">
            <w:r>
              <w:rPr/>
              <w:t>Part 10</w:t>
              <w:tab/>
              <w:t>[Deleted]</w:t>
              <w:tab/>
              <w:t>710</w:t>
            </w:r>
          </w:hyperlink>
        </w:p>
        <w:p>
          <w:pPr>
            <w:pStyle w:val="TOC2"/>
            <w:tabs>
              <w:tab w:pos="1919" w:val="left" w:leader="none"/>
              <w:tab w:pos="8931" w:val="left" w:leader="dot"/>
            </w:tabs>
          </w:pPr>
          <w:hyperlink w:history="true" w:anchor="_bookmark985">
            <w:r>
              <w:rPr/>
              <w:t>Part 11</w:t>
              <w:tab/>
              <w:t>[Deleted]</w:t>
              <w:tab/>
              <w:t>710</w:t>
            </w:r>
          </w:hyperlink>
        </w:p>
        <w:p>
          <w:pPr>
            <w:pStyle w:val="TOC2"/>
            <w:tabs>
              <w:tab w:pos="1919" w:val="left" w:leader="none"/>
              <w:tab w:pos="8931" w:val="left" w:leader="dot"/>
            </w:tabs>
          </w:pPr>
          <w:hyperlink w:history="true" w:anchor="_bookmark986">
            <w:r>
              <w:rPr/>
              <w:t>Part 12</w:t>
              <w:tab/>
              <w:t>[Deleted]</w:t>
              <w:tab/>
              <w:t>710</w:t>
            </w:r>
          </w:hyperlink>
        </w:p>
        <w:p>
          <w:pPr>
            <w:pStyle w:val="TOC2"/>
            <w:tabs>
              <w:tab w:pos="1919" w:val="left" w:leader="none"/>
              <w:tab w:pos="8930" w:val="left" w:leader="dot"/>
            </w:tabs>
            <w:spacing w:after="57"/>
          </w:pPr>
          <w:hyperlink w:history="true" w:anchor="_bookmark987">
            <w:r>
              <w:rPr/>
              <w:t>Part 13</w:t>
              <w:tab/>
              <w:t>Derogation granted to Aurora Energy (Tamar Valley)</w:t>
            </w:r>
            <w:r>
              <w:rPr>
                <w:spacing w:val="-9"/>
              </w:rPr>
              <w:t> </w:t>
            </w:r>
            <w:r>
              <w:rPr/>
              <w:t>Pty</w:t>
            </w:r>
            <w:r>
              <w:rPr>
                <w:spacing w:val="-2"/>
              </w:rPr>
              <w:t> </w:t>
            </w:r>
            <w:r>
              <w:rPr/>
              <w:t>Ltd</w:t>
              <w:tab/>
              <w:t>710</w:t>
            </w:r>
          </w:hyperlink>
        </w:p>
        <w:p>
          <w:pPr>
            <w:pStyle w:val="TOC2"/>
            <w:tabs>
              <w:tab w:pos="1919" w:val="left" w:leader="none"/>
              <w:tab w:pos="8931" w:val="left" w:leader="dot"/>
            </w:tabs>
            <w:spacing w:before="83"/>
          </w:pPr>
          <w:hyperlink w:history="true" w:anchor="_bookmark988">
            <w:r>
              <w:rPr/>
              <w:t>8A.13</w:t>
              <w:tab/>
              <w:t>[Deleted]</w:t>
              <w:tab/>
              <w:t>710</w:t>
            </w:r>
          </w:hyperlink>
        </w:p>
        <w:p>
          <w:pPr>
            <w:pStyle w:val="TOC2"/>
            <w:tabs>
              <w:tab w:pos="1919" w:val="left" w:leader="none"/>
              <w:tab w:pos="8930" w:val="left" w:leader="dot"/>
            </w:tabs>
            <w:ind w:left="1919" w:right="413" w:hanging="1701"/>
          </w:pPr>
          <w:hyperlink w:history="true" w:anchor="_bookmark989">
            <w:r>
              <w:rPr/>
              <w:t>Part 14</w:t>
              <w:tab/>
              <w:t>Derogations  granted   to   Ausgrid,   Endeavour   Energy   and</w:t>
            </w:r>
          </w:hyperlink>
          <w:r>
            <w:rPr/>
            <w:t> </w:t>
          </w:r>
          <w:hyperlink w:history="true" w:anchor="_bookmark989">
            <w:r>
              <w:rPr/>
              <w:t>Essential Energy</w:t>
              <w:tab/>
            </w:r>
            <w:r>
              <w:rPr>
                <w:spacing w:val="-6"/>
              </w:rPr>
              <w:t>710</w:t>
            </w:r>
          </w:hyperlink>
        </w:p>
        <w:p>
          <w:pPr>
            <w:pStyle w:val="TOC2"/>
            <w:tabs>
              <w:tab w:pos="1919" w:val="left" w:leader="none"/>
            </w:tabs>
          </w:pPr>
          <w:hyperlink w:history="true" w:anchor="_bookmark990">
            <w:r>
              <w:rPr/>
              <w:t>8A.14</w:t>
              <w:tab/>
              <w:t>Derogations</w:t>
            </w:r>
            <w:r>
              <w:rPr>
                <w:spacing w:val="12"/>
              </w:rPr>
              <w:t> </w:t>
            </w:r>
            <w:r>
              <w:rPr/>
              <w:t>from</w:t>
            </w:r>
            <w:r>
              <w:rPr>
                <w:spacing w:val="13"/>
              </w:rPr>
              <w:t> </w:t>
            </w:r>
            <w:r>
              <w:rPr/>
              <w:t>Chapter</w:t>
            </w:r>
            <w:r>
              <w:rPr>
                <w:spacing w:val="13"/>
              </w:rPr>
              <w:t> </w:t>
            </w:r>
            <w:r>
              <w:rPr/>
              <w:t>6</w:t>
            </w:r>
            <w:r>
              <w:rPr>
                <w:spacing w:val="12"/>
              </w:rPr>
              <w:t> </w:t>
            </w:r>
            <w:r>
              <w:rPr/>
              <w:t>for</w:t>
            </w:r>
            <w:r>
              <w:rPr>
                <w:spacing w:val="13"/>
              </w:rPr>
              <w:t> </w:t>
            </w:r>
            <w:r>
              <w:rPr/>
              <w:t>the</w:t>
            </w:r>
            <w:r>
              <w:rPr>
                <w:spacing w:val="13"/>
              </w:rPr>
              <w:t> </w:t>
            </w:r>
            <w:r>
              <w:rPr/>
              <w:t>current</w:t>
            </w:r>
            <w:r>
              <w:rPr>
                <w:spacing w:val="12"/>
              </w:rPr>
              <w:t> </w:t>
            </w:r>
            <w:r>
              <w:rPr/>
              <w:t>regulatory</w:t>
            </w:r>
            <w:r>
              <w:rPr>
                <w:spacing w:val="13"/>
              </w:rPr>
              <w:t> </w:t>
            </w:r>
            <w:r>
              <w:rPr/>
              <w:t>control</w:t>
            </w:r>
          </w:hyperlink>
        </w:p>
        <w:p>
          <w:pPr>
            <w:pStyle w:val="TOC4"/>
            <w:tabs>
              <w:tab w:pos="8930" w:val="left" w:leader="dot"/>
            </w:tabs>
          </w:pPr>
          <w:hyperlink w:history="true" w:anchor="_bookmark990">
            <w:r>
              <w:rPr/>
              <w:t>period and subsequent regulatory</w:t>
            </w:r>
            <w:r>
              <w:rPr>
                <w:spacing w:val="-13"/>
              </w:rPr>
              <w:t> </w:t>
            </w:r>
            <w:r>
              <w:rPr/>
              <w:t>control</w:t>
            </w:r>
            <w:r>
              <w:rPr>
                <w:spacing w:val="-3"/>
              </w:rPr>
              <w:t> </w:t>
            </w:r>
            <w:r>
              <w:rPr/>
              <w:t>period</w:t>
              <w:tab/>
              <w:t>710</w:t>
            </w:r>
          </w:hyperlink>
        </w:p>
        <w:p>
          <w:pPr>
            <w:pStyle w:val="TOC3"/>
            <w:tabs>
              <w:tab w:pos="1919" w:val="left" w:leader="none"/>
              <w:tab w:pos="8930" w:val="left" w:leader="dot"/>
            </w:tabs>
            <w:ind w:left="218"/>
          </w:pPr>
          <w:hyperlink w:history="true" w:anchor="_bookmark991">
            <w:r>
              <w:rPr/>
              <w:t>8A.14.1</w:t>
              <w:tab/>
              <w:t>Definitions</w:t>
              <w:tab/>
              <w:t>710</w:t>
            </w:r>
          </w:hyperlink>
        </w:p>
        <w:p>
          <w:pPr>
            <w:pStyle w:val="TOC3"/>
            <w:tabs>
              <w:tab w:pos="1919" w:val="left" w:leader="none"/>
              <w:tab w:pos="8930" w:val="left" w:leader="dot"/>
            </w:tabs>
            <w:ind w:left="218"/>
          </w:pPr>
          <w:hyperlink w:history="true" w:anchor="_bookmark992">
            <w:r>
              <w:rPr/>
              <w:t>8A.14.2</w:t>
              <w:tab/>
              <w:t>Expiry</w:t>
            </w:r>
            <w:r>
              <w:rPr>
                <w:spacing w:val="-1"/>
              </w:rPr>
              <w:t> </w:t>
            </w:r>
            <w:r>
              <w:rPr/>
              <w:t>date</w:t>
              <w:tab/>
              <w:t>714</w:t>
            </w:r>
          </w:hyperlink>
        </w:p>
        <w:p>
          <w:pPr>
            <w:pStyle w:val="TOC3"/>
            <w:tabs>
              <w:tab w:pos="1919" w:val="left" w:leader="none"/>
              <w:tab w:pos="8930" w:val="left" w:leader="dot"/>
            </w:tabs>
            <w:ind w:left="218"/>
          </w:pPr>
          <w:hyperlink w:history="true" w:anchor="_bookmark993">
            <w:r>
              <w:rPr/>
              <w:t>8A.14.3</w:t>
              <w:tab/>
              <w:t>Application of</w:t>
            </w:r>
            <w:r>
              <w:rPr>
                <w:spacing w:val="-3"/>
              </w:rPr>
              <w:t> </w:t>
            </w:r>
            <w:r>
              <w:rPr/>
              <w:t>Rule</w:t>
            </w:r>
            <w:r>
              <w:rPr>
                <w:spacing w:val="-1"/>
              </w:rPr>
              <w:t> </w:t>
            </w:r>
            <w:r>
              <w:rPr/>
              <w:t>8A.14</w:t>
              <w:tab/>
              <w:t>714</w:t>
            </w:r>
          </w:hyperlink>
        </w:p>
        <w:p>
          <w:pPr>
            <w:pStyle w:val="TOC3"/>
            <w:tabs>
              <w:tab w:pos="1919" w:val="left" w:leader="none"/>
            </w:tabs>
            <w:ind w:left="218"/>
          </w:pPr>
          <w:hyperlink w:history="true" w:anchor="_bookmark994">
            <w:r>
              <w:rPr/>
              <w:t>8A.14.4</w:t>
              <w:tab/>
              <w:t>Recovery</w:t>
            </w:r>
            <w:r>
              <w:rPr>
                <w:spacing w:val="37"/>
              </w:rPr>
              <w:t> </w:t>
            </w:r>
            <w:r>
              <w:rPr/>
              <w:t>of</w:t>
            </w:r>
            <w:r>
              <w:rPr>
                <w:spacing w:val="38"/>
              </w:rPr>
              <w:t> </w:t>
            </w:r>
            <w:r>
              <w:rPr/>
              <w:t>revenue</w:t>
            </w:r>
            <w:r>
              <w:rPr>
                <w:spacing w:val="38"/>
              </w:rPr>
              <w:t> </w:t>
            </w:r>
            <w:r>
              <w:rPr/>
              <w:t>across</w:t>
            </w:r>
            <w:r>
              <w:rPr>
                <w:spacing w:val="38"/>
              </w:rPr>
              <w:t> </w:t>
            </w:r>
            <w:r>
              <w:rPr/>
              <w:t>the</w:t>
            </w:r>
            <w:r>
              <w:rPr>
                <w:spacing w:val="37"/>
              </w:rPr>
              <w:t> </w:t>
            </w:r>
            <w:r>
              <w:rPr/>
              <w:t>current</w:t>
            </w:r>
            <w:r>
              <w:rPr>
                <w:spacing w:val="38"/>
              </w:rPr>
              <w:t> </w:t>
            </w:r>
            <w:r>
              <w:rPr/>
              <w:t>regulatory</w:t>
            </w:r>
            <w:r>
              <w:rPr>
                <w:spacing w:val="38"/>
              </w:rPr>
              <w:t> </w:t>
            </w:r>
            <w:r>
              <w:rPr/>
              <w:t>control</w:t>
            </w:r>
            <w:r>
              <w:rPr>
                <w:spacing w:val="38"/>
              </w:rPr>
              <w:t> </w:t>
            </w:r>
            <w:r>
              <w:rPr/>
              <w:t>period</w:t>
            </w:r>
          </w:hyperlink>
        </w:p>
        <w:p>
          <w:pPr>
            <w:pStyle w:val="TOC5"/>
            <w:tabs>
              <w:tab w:pos="8930" w:val="left" w:leader="dot"/>
            </w:tabs>
          </w:pPr>
          <w:hyperlink w:history="true" w:anchor="_bookmark994">
            <w:r>
              <w:rPr/>
              <w:t>and subsequent regulatory</w:t>
            </w:r>
            <w:r>
              <w:rPr>
                <w:spacing w:val="-6"/>
              </w:rPr>
              <w:t> </w:t>
            </w:r>
            <w:r>
              <w:rPr/>
              <w:t>control</w:t>
            </w:r>
            <w:r>
              <w:rPr>
                <w:spacing w:val="-3"/>
              </w:rPr>
              <w:t> </w:t>
            </w:r>
            <w:r>
              <w:rPr/>
              <w:t>period</w:t>
              <w:tab/>
              <w:t>715</w:t>
            </w:r>
          </w:hyperlink>
        </w:p>
        <w:p>
          <w:pPr>
            <w:pStyle w:val="TOC3"/>
            <w:tabs>
              <w:tab w:pos="1919" w:val="left" w:leader="none"/>
            </w:tabs>
            <w:ind w:left="218"/>
          </w:pPr>
          <w:hyperlink w:history="true" w:anchor="_bookmark995">
            <w:r>
              <w:rPr/>
              <w:t>8A.14.5</w:t>
              <w:tab/>
              <w:t>Recovery</w:t>
            </w:r>
            <w:r>
              <w:rPr>
                <w:spacing w:val="24"/>
              </w:rPr>
              <w:t> </w:t>
            </w:r>
            <w:r>
              <w:rPr/>
              <w:t>of</w:t>
            </w:r>
            <w:r>
              <w:rPr>
                <w:spacing w:val="23"/>
              </w:rPr>
              <w:t> </w:t>
            </w:r>
            <w:r>
              <w:rPr/>
              <w:t>revenue</w:t>
            </w:r>
            <w:r>
              <w:rPr>
                <w:spacing w:val="25"/>
              </w:rPr>
              <w:t> </w:t>
            </w:r>
            <w:r>
              <w:rPr/>
              <w:t>in</w:t>
            </w:r>
            <w:r>
              <w:rPr>
                <w:spacing w:val="24"/>
              </w:rPr>
              <w:t> </w:t>
            </w:r>
            <w:r>
              <w:rPr/>
              <w:t>subsequent</w:t>
            </w:r>
            <w:r>
              <w:rPr>
                <w:spacing w:val="25"/>
              </w:rPr>
              <w:t> </w:t>
            </w:r>
            <w:r>
              <w:rPr/>
              <w:t>regulatory</w:t>
            </w:r>
            <w:r>
              <w:rPr>
                <w:spacing w:val="24"/>
              </w:rPr>
              <w:t> </w:t>
            </w:r>
            <w:r>
              <w:rPr/>
              <w:t>control</w:t>
            </w:r>
            <w:r>
              <w:rPr>
                <w:spacing w:val="25"/>
              </w:rPr>
              <w:t> </w:t>
            </w:r>
            <w:r>
              <w:rPr/>
              <w:t>period</w:t>
            </w:r>
            <w:r>
              <w:rPr>
                <w:spacing w:val="23"/>
              </w:rPr>
              <w:t> </w:t>
            </w:r>
            <w:r>
              <w:rPr/>
              <w:t>only</w:t>
            </w:r>
          </w:hyperlink>
        </w:p>
        <w:p>
          <w:pPr>
            <w:pStyle w:val="TOC5"/>
            <w:tabs>
              <w:tab w:pos="8930" w:val="left" w:leader="dot"/>
            </w:tabs>
          </w:pPr>
          <w:hyperlink w:history="true" w:anchor="_bookmark995">
            <w:r>
              <w:rPr/>
              <w:t>and no reopening of subsequent distribution</w:t>
            </w:r>
            <w:r>
              <w:rPr>
                <w:spacing w:val="-5"/>
              </w:rPr>
              <w:t> </w:t>
            </w:r>
            <w:r>
              <w:rPr/>
              <w:t>determination</w:t>
            </w:r>
            <w:r>
              <w:rPr>
                <w:spacing w:val="-1"/>
              </w:rPr>
              <w:t> </w:t>
            </w:r>
            <w:r>
              <w:rPr/>
              <w:t>required</w:t>
              <w:tab/>
              <w:t>716</w:t>
            </w:r>
          </w:hyperlink>
        </w:p>
        <w:p>
          <w:pPr>
            <w:pStyle w:val="TOC3"/>
            <w:tabs>
              <w:tab w:pos="1919" w:val="left" w:leader="none"/>
            </w:tabs>
            <w:ind w:left="218"/>
          </w:pPr>
          <w:hyperlink w:history="true" w:anchor="_bookmark996">
            <w:r>
              <w:rPr/>
              <w:t>8A.14.6</w:t>
              <w:tab/>
              <w:t>Recovery</w:t>
            </w:r>
            <w:r>
              <w:rPr>
                <w:spacing w:val="24"/>
              </w:rPr>
              <w:t> </w:t>
            </w:r>
            <w:r>
              <w:rPr/>
              <w:t>of</w:t>
            </w:r>
            <w:r>
              <w:rPr>
                <w:spacing w:val="23"/>
              </w:rPr>
              <w:t> </w:t>
            </w:r>
            <w:r>
              <w:rPr/>
              <w:t>revenue</w:t>
            </w:r>
            <w:r>
              <w:rPr>
                <w:spacing w:val="25"/>
              </w:rPr>
              <w:t> </w:t>
            </w:r>
            <w:r>
              <w:rPr/>
              <w:t>in</w:t>
            </w:r>
            <w:r>
              <w:rPr>
                <w:spacing w:val="24"/>
              </w:rPr>
              <w:t> </w:t>
            </w:r>
            <w:r>
              <w:rPr/>
              <w:t>subsequent</w:t>
            </w:r>
            <w:r>
              <w:rPr>
                <w:spacing w:val="25"/>
              </w:rPr>
              <w:t> </w:t>
            </w:r>
            <w:r>
              <w:rPr/>
              <w:t>regulatory</w:t>
            </w:r>
            <w:r>
              <w:rPr>
                <w:spacing w:val="24"/>
              </w:rPr>
              <w:t> </w:t>
            </w:r>
            <w:r>
              <w:rPr/>
              <w:t>control</w:t>
            </w:r>
            <w:r>
              <w:rPr>
                <w:spacing w:val="25"/>
              </w:rPr>
              <w:t> </w:t>
            </w:r>
            <w:r>
              <w:rPr/>
              <w:t>period</w:t>
            </w:r>
            <w:r>
              <w:rPr>
                <w:spacing w:val="23"/>
              </w:rPr>
              <w:t> </w:t>
            </w:r>
            <w:r>
              <w:rPr/>
              <w:t>only</w:t>
            </w:r>
          </w:hyperlink>
        </w:p>
        <w:p>
          <w:pPr>
            <w:pStyle w:val="TOC5"/>
            <w:tabs>
              <w:tab w:pos="8930" w:val="left" w:leader="dot"/>
            </w:tabs>
          </w:pPr>
          <w:hyperlink w:history="true" w:anchor="_bookmark996">
            <w:r>
              <w:rPr/>
              <w:t>and reopening of distribution determination</w:t>
            </w:r>
            <w:r>
              <w:rPr>
                <w:spacing w:val="-2"/>
              </w:rPr>
              <w:t> </w:t>
            </w:r>
            <w:r>
              <w:rPr/>
              <w:t>is</w:t>
            </w:r>
            <w:r>
              <w:rPr>
                <w:spacing w:val="-1"/>
              </w:rPr>
              <w:t> </w:t>
            </w:r>
            <w:r>
              <w:rPr/>
              <w:t>required</w:t>
              <w:tab/>
              <w:t>717</w:t>
            </w:r>
          </w:hyperlink>
        </w:p>
        <w:p>
          <w:pPr>
            <w:pStyle w:val="TOC3"/>
            <w:tabs>
              <w:tab w:pos="1919" w:val="left" w:leader="none"/>
              <w:tab w:pos="8931" w:val="left" w:leader="dot"/>
            </w:tabs>
            <w:ind w:left="218"/>
          </w:pPr>
          <w:hyperlink w:history="true" w:anchor="_bookmark997">
            <w:r>
              <w:rPr/>
              <w:t>8A.14.7</w:t>
              <w:tab/>
              <w:t>Requirements for</w:t>
            </w:r>
            <w:r>
              <w:rPr>
                <w:spacing w:val="-2"/>
              </w:rPr>
              <w:t> </w:t>
            </w:r>
            <w:r>
              <w:rPr/>
              <w:t>adjustment</w:t>
            </w:r>
            <w:r>
              <w:rPr>
                <w:spacing w:val="-1"/>
              </w:rPr>
              <w:t> </w:t>
            </w:r>
            <w:r>
              <w:rPr/>
              <w:t>determination</w:t>
              <w:tab/>
              <w:t>718</w:t>
            </w:r>
          </w:hyperlink>
        </w:p>
        <w:p>
          <w:pPr>
            <w:pStyle w:val="TOC3"/>
            <w:tabs>
              <w:tab w:pos="1919" w:val="left" w:leader="none"/>
              <w:tab w:pos="8931" w:val="left" w:leader="dot"/>
            </w:tabs>
            <w:ind w:left="218"/>
          </w:pPr>
          <w:hyperlink w:history="true" w:anchor="_bookmark998">
            <w:r>
              <w:rPr/>
              <w:t>8A.14.8</w:t>
              <w:tab/>
              <w:t>Application of Chapter 6 under</w:t>
            </w:r>
            <w:r>
              <w:rPr>
                <w:spacing w:val="-5"/>
              </w:rPr>
              <w:t> </w:t>
            </w:r>
            <w:r>
              <w:rPr/>
              <w:t>participant</w:t>
            </w:r>
            <w:r>
              <w:rPr>
                <w:spacing w:val="-1"/>
              </w:rPr>
              <w:t> </w:t>
            </w:r>
            <w:r>
              <w:rPr/>
              <w:t>derogation</w:t>
              <w:tab/>
              <w:t>719</w:t>
            </w:r>
          </w:hyperlink>
        </w:p>
        <w:p>
          <w:pPr>
            <w:pStyle w:val="TOC2"/>
            <w:tabs>
              <w:tab w:pos="1919" w:val="left" w:leader="none"/>
              <w:tab w:pos="8930" w:val="left" w:leader="dot"/>
            </w:tabs>
          </w:pPr>
          <w:hyperlink w:history="true" w:anchor="_bookmark999">
            <w:r>
              <w:rPr/>
              <w:t>Part 15</w:t>
              <w:tab/>
              <w:t>Derogations granted</w:t>
            </w:r>
            <w:r>
              <w:rPr>
                <w:spacing w:val="-5"/>
              </w:rPr>
              <w:t> </w:t>
            </w:r>
            <w:r>
              <w:rPr/>
              <w:t>to</w:t>
            </w:r>
            <w:r>
              <w:rPr>
                <w:spacing w:val="-2"/>
              </w:rPr>
              <w:t> </w:t>
            </w:r>
            <w:r>
              <w:rPr/>
              <w:t>ActewAGL</w:t>
              <w:tab/>
              <w:t>720</w:t>
            </w:r>
          </w:hyperlink>
        </w:p>
        <w:p>
          <w:pPr>
            <w:pStyle w:val="TOC2"/>
            <w:tabs>
              <w:tab w:pos="1919" w:val="left" w:leader="none"/>
            </w:tabs>
          </w:pPr>
          <w:hyperlink w:history="true" w:anchor="_bookmark1000">
            <w:r>
              <w:rPr/>
              <w:t>8A.15</w:t>
              <w:tab/>
              <w:t>Derogations</w:t>
            </w:r>
            <w:r>
              <w:rPr>
                <w:spacing w:val="12"/>
              </w:rPr>
              <w:t> </w:t>
            </w:r>
            <w:r>
              <w:rPr/>
              <w:t>from</w:t>
            </w:r>
            <w:r>
              <w:rPr>
                <w:spacing w:val="13"/>
              </w:rPr>
              <w:t> </w:t>
            </w:r>
            <w:r>
              <w:rPr/>
              <w:t>Chapter</w:t>
            </w:r>
            <w:r>
              <w:rPr>
                <w:spacing w:val="13"/>
              </w:rPr>
              <w:t> </w:t>
            </w:r>
            <w:r>
              <w:rPr/>
              <w:t>6</w:t>
            </w:r>
            <w:r>
              <w:rPr>
                <w:spacing w:val="12"/>
              </w:rPr>
              <w:t> </w:t>
            </w:r>
            <w:r>
              <w:rPr/>
              <w:t>for</w:t>
            </w:r>
            <w:r>
              <w:rPr>
                <w:spacing w:val="13"/>
              </w:rPr>
              <w:t> </w:t>
            </w:r>
            <w:r>
              <w:rPr/>
              <w:t>the</w:t>
            </w:r>
            <w:r>
              <w:rPr>
                <w:spacing w:val="13"/>
              </w:rPr>
              <w:t> </w:t>
            </w:r>
            <w:r>
              <w:rPr/>
              <w:t>current</w:t>
            </w:r>
            <w:r>
              <w:rPr>
                <w:spacing w:val="12"/>
              </w:rPr>
              <w:t> </w:t>
            </w:r>
            <w:r>
              <w:rPr/>
              <w:t>regulatory</w:t>
            </w:r>
            <w:r>
              <w:rPr>
                <w:spacing w:val="13"/>
              </w:rPr>
              <w:t> </w:t>
            </w:r>
            <w:r>
              <w:rPr/>
              <w:t>control</w:t>
            </w:r>
          </w:hyperlink>
        </w:p>
        <w:p>
          <w:pPr>
            <w:pStyle w:val="TOC4"/>
            <w:tabs>
              <w:tab w:pos="8930" w:val="left" w:leader="dot"/>
            </w:tabs>
          </w:pPr>
          <w:hyperlink w:history="true" w:anchor="_bookmark1000">
            <w:r>
              <w:rPr/>
              <w:t>period and subsequent regulatory</w:t>
            </w:r>
            <w:r>
              <w:rPr>
                <w:spacing w:val="-13"/>
              </w:rPr>
              <w:t> </w:t>
            </w:r>
            <w:r>
              <w:rPr/>
              <w:t>control</w:t>
            </w:r>
            <w:r>
              <w:rPr>
                <w:spacing w:val="-3"/>
              </w:rPr>
              <w:t> </w:t>
            </w:r>
            <w:r>
              <w:rPr/>
              <w:t>period</w:t>
              <w:tab/>
              <w:t>720</w:t>
            </w:r>
          </w:hyperlink>
        </w:p>
        <w:p>
          <w:pPr>
            <w:pStyle w:val="TOC3"/>
            <w:tabs>
              <w:tab w:pos="1919" w:val="left" w:leader="none"/>
              <w:tab w:pos="8930" w:val="left" w:leader="dot"/>
            </w:tabs>
            <w:ind w:left="218"/>
          </w:pPr>
          <w:hyperlink w:history="true" w:anchor="_bookmark1001">
            <w:r>
              <w:rPr/>
              <w:t>8A.15.1</w:t>
              <w:tab/>
              <w:t>Definitions</w:t>
              <w:tab/>
              <w:t>720</w:t>
            </w:r>
          </w:hyperlink>
        </w:p>
        <w:p>
          <w:pPr>
            <w:pStyle w:val="TOC3"/>
            <w:tabs>
              <w:tab w:pos="1919" w:val="left" w:leader="none"/>
              <w:tab w:pos="8930" w:val="left" w:leader="dot"/>
            </w:tabs>
            <w:ind w:left="218"/>
          </w:pPr>
          <w:hyperlink w:history="true" w:anchor="_bookmark1002">
            <w:r>
              <w:rPr/>
              <w:t>8A.15.2</w:t>
              <w:tab/>
              <w:t>Expiry</w:t>
            </w:r>
            <w:r>
              <w:rPr>
                <w:spacing w:val="-1"/>
              </w:rPr>
              <w:t> </w:t>
            </w:r>
            <w:r>
              <w:rPr/>
              <w:t>date</w:t>
              <w:tab/>
              <w:t>724</w:t>
            </w:r>
          </w:hyperlink>
        </w:p>
        <w:p>
          <w:pPr>
            <w:pStyle w:val="TOC3"/>
            <w:tabs>
              <w:tab w:pos="1919" w:val="left" w:leader="none"/>
              <w:tab w:pos="8930" w:val="left" w:leader="dot"/>
            </w:tabs>
            <w:ind w:left="218"/>
          </w:pPr>
          <w:hyperlink w:history="true" w:anchor="_bookmark1003">
            <w:r>
              <w:rPr/>
              <w:t>8A.15.3</w:t>
              <w:tab/>
              <w:t>Application of</w:t>
            </w:r>
            <w:r>
              <w:rPr>
                <w:spacing w:val="-3"/>
              </w:rPr>
              <w:t> </w:t>
            </w:r>
            <w:r>
              <w:rPr/>
              <w:t>Rule</w:t>
            </w:r>
            <w:r>
              <w:rPr>
                <w:spacing w:val="-1"/>
              </w:rPr>
              <w:t> </w:t>
            </w:r>
            <w:r>
              <w:rPr/>
              <w:t>8A.15</w:t>
              <w:tab/>
              <w:t>724</w:t>
            </w:r>
          </w:hyperlink>
        </w:p>
        <w:p>
          <w:pPr>
            <w:pStyle w:val="TOC3"/>
            <w:tabs>
              <w:tab w:pos="1919" w:val="left" w:leader="none"/>
            </w:tabs>
            <w:ind w:left="218"/>
          </w:pPr>
          <w:hyperlink w:history="true" w:anchor="_bookmark1004">
            <w:r>
              <w:rPr/>
              <w:t>8A.15.4</w:t>
              <w:tab/>
              <w:t>Recovery</w:t>
            </w:r>
            <w:r>
              <w:rPr>
                <w:spacing w:val="37"/>
              </w:rPr>
              <w:t> </w:t>
            </w:r>
            <w:r>
              <w:rPr/>
              <w:t>of</w:t>
            </w:r>
            <w:r>
              <w:rPr>
                <w:spacing w:val="38"/>
              </w:rPr>
              <w:t> </w:t>
            </w:r>
            <w:r>
              <w:rPr/>
              <w:t>revenue</w:t>
            </w:r>
            <w:r>
              <w:rPr>
                <w:spacing w:val="38"/>
              </w:rPr>
              <w:t> </w:t>
            </w:r>
            <w:r>
              <w:rPr/>
              <w:t>across</w:t>
            </w:r>
            <w:r>
              <w:rPr>
                <w:spacing w:val="38"/>
              </w:rPr>
              <w:t> </w:t>
            </w:r>
            <w:r>
              <w:rPr/>
              <w:t>the</w:t>
            </w:r>
            <w:r>
              <w:rPr>
                <w:spacing w:val="37"/>
              </w:rPr>
              <w:t> </w:t>
            </w:r>
            <w:r>
              <w:rPr/>
              <w:t>current</w:t>
            </w:r>
            <w:r>
              <w:rPr>
                <w:spacing w:val="38"/>
              </w:rPr>
              <w:t> </w:t>
            </w:r>
            <w:r>
              <w:rPr/>
              <w:t>regulatory</w:t>
            </w:r>
            <w:r>
              <w:rPr>
                <w:spacing w:val="38"/>
              </w:rPr>
              <w:t> </w:t>
            </w:r>
            <w:r>
              <w:rPr/>
              <w:t>control</w:t>
            </w:r>
            <w:r>
              <w:rPr>
                <w:spacing w:val="38"/>
              </w:rPr>
              <w:t> </w:t>
            </w:r>
            <w:r>
              <w:rPr/>
              <w:t>period</w:t>
            </w:r>
          </w:hyperlink>
        </w:p>
        <w:p>
          <w:pPr>
            <w:pStyle w:val="TOC5"/>
            <w:tabs>
              <w:tab w:pos="8930" w:val="left" w:leader="dot"/>
            </w:tabs>
          </w:pPr>
          <w:hyperlink w:history="true" w:anchor="_bookmark1004">
            <w:r>
              <w:rPr/>
              <w:t>and subsequent regulatory</w:t>
            </w:r>
            <w:r>
              <w:rPr>
                <w:spacing w:val="-6"/>
              </w:rPr>
              <w:t> </w:t>
            </w:r>
            <w:r>
              <w:rPr/>
              <w:t>control</w:t>
            </w:r>
            <w:r>
              <w:rPr>
                <w:spacing w:val="-3"/>
              </w:rPr>
              <w:t> </w:t>
            </w:r>
            <w:r>
              <w:rPr/>
              <w:t>period</w:t>
              <w:tab/>
              <w:t>724</w:t>
            </w:r>
          </w:hyperlink>
        </w:p>
        <w:p>
          <w:pPr>
            <w:pStyle w:val="TOC3"/>
            <w:tabs>
              <w:tab w:pos="1919" w:val="left" w:leader="none"/>
            </w:tabs>
            <w:ind w:left="218"/>
          </w:pPr>
          <w:hyperlink w:history="true" w:anchor="_bookmark1005">
            <w:r>
              <w:rPr/>
              <w:t>8A.15.5</w:t>
              <w:tab/>
              <w:t>Recovery</w:t>
            </w:r>
            <w:r>
              <w:rPr>
                <w:spacing w:val="24"/>
              </w:rPr>
              <w:t> </w:t>
            </w:r>
            <w:r>
              <w:rPr/>
              <w:t>of</w:t>
            </w:r>
            <w:r>
              <w:rPr>
                <w:spacing w:val="23"/>
              </w:rPr>
              <w:t> </w:t>
            </w:r>
            <w:r>
              <w:rPr/>
              <w:t>revenue</w:t>
            </w:r>
            <w:r>
              <w:rPr>
                <w:spacing w:val="25"/>
              </w:rPr>
              <w:t> </w:t>
            </w:r>
            <w:r>
              <w:rPr/>
              <w:t>in</w:t>
            </w:r>
            <w:r>
              <w:rPr>
                <w:spacing w:val="24"/>
              </w:rPr>
              <w:t> </w:t>
            </w:r>
            <w:r>
              <w:rPr/>
              <w:t>subsequent</w:t>
            </w:r>
            <w:r>
              <w:rPr>
                <w:spacing w:val="25"/>
              </w:rPr>
              <w:t> </w:t>
            </w:r>
            <w:r>
              <w:rPr/>
              <w:t>regulatory</w:t>
            </w:r>
            <w:r>
              <w:rPr>
                <w:spacing w:val="24"/>
              </w:rPr>
              <w:t> </w:t>
            </w:r>
            <w:r>
              <w:rPr/>
              <w:t>control</w:t>
            </w:r>
            <w:r>
              <w:rPr>
                <w:spacing w:val="25"/>
              </w:rPr>
              <w:t> </w:t>
            </w:r>
            <w:r>
              <w:rPr/>
              <w:t>period</w:t>
            </w:r>
            <w:r>
              <w:rPr>
                <w:spacing w:val="23"/>
              </w:rPr>
              <w:t> </w:t>
            </w:r>
            <w:r>
              <w:rPr/>
              <w:t>only</w:t>
            </w:r>
          </w:hyperlink>
        </w:p>
        <w:p>
          <w:pPr>
            <w:pStyle w:val="TOC5"/>
            <w:tabs>
              <w:tab w:pos="8930" w:val="left" w:leader="dot"/>
            </w:tabs>
          </w:pPr>
          <w:hyperlink w:history="true" w:anchor="_bookmark1005">
            <w:r>
              <w:rPr/>
              <w:t>and no reopening of subsequent distribution</w:t>
            </w:r>
            <w:r>
              <w:rPr>
                <w:spacing w:val="-5"/>
              </w:rPr>
              <w:t> </w:t>
            </w:r>
            <w:r>
              <w:rPr/>
              <w:t>determination</w:t>
            </w:r>
            <w:r>
              <w:rPr>
                <w:spacing w:val="-1"/>
              </w:rPr>
              <w:t> </w:t>
            </w:r>
            <w:r>
              <w:rPr/>
              <w:t>required</w:t>
              <w:tab/>
              <w:t>726</w:t>
            </w:r>
          </w:hyperlink>
        </w:p>
        <w:p>
          <w:pPr>
            <w:pStyle w:val="TOC3"/>
            <w:tabs>
              <w:tab w:pos="1919" w:val="left" w:leader="none"/>
            </w:tabs>
            <w:ind w:left="218"/>
          </w:pPr>
          <w:hyperlink w:history="true" w:anchor="_bookmark1006">
            <w:r>
              <w:rPr/>
              <w:t>8A.15.6</w:t>
              <w:tab/>
              <w:t>Recovery</w:t>
            </w:r>
            <w:r>
              <w:rPr>
                <w:spacing w:val="24"/>
              </w:rPr>
              <w:t> </w:t>
            </w:r>
            <w:r>
              <w:rPr/>
              <w:t>of</w:t>
            </w:r>
            <w:r>
              <w:rPr>
                <w:spacing w:val="23"/>
              </w:rPr>
              <w:t> </w:t>
            </w:r>
            <w:r>
              <w:rPr/>
              <w:t>revenue</w:t>
            </w:r>
            <w:r>
              <w:rPr>
                <w:spacing w:val="25"/>
              </w:rPr>
              <w:t> </w:t>
            </w:r>
            <w:r>
              <w:rPr/>
              <w:t>in</w:t>
            </w:r>
            <w:r>
              <w:rPr>
                <w:spacing w:val="24"/>
              </w:rPr>
              <w:t> </w:t>
            </w:r>
            <w:r>
              <w:rPr/>
              <w:t>subsequent</w:t>
            </w:r>
            <w:r>
              <w:rPr>
                <w:spacing w:val="25"/>
              </w:rPr>
              <w:t> </w:t>
            </w:r>
            <w:r>
              <w:rPr/>
              <w:t>regulatory</w:t>
            </w:r>
            <w:r>
              <w:rPr>
                <w:spacing w:val="24"/>
              </w:rPr>
              <w:t> </w:t>
            </w:r>
            <w:r>
              <w:rPr/>
              <w:t>control</w:t>
            </w:r>
            <w:r>
              <w:rPr>
                <w:spacing w:val="25"/>
              </w:rPr>
              <w:t> </w:t>
            </w:r>
            <w:r>
              <w:rPr/>
              <w:t>period</w:t>
            </w:r>
            <w:r>
              <w:rPr>
                <w:spacing w:val="23"/>
              </w:rPr>
              <w:t> </w:t>
            </w:r>
            <w:r>
              <w:rPr/>
              <w:t>only</w:t>
            </w:r>
          </w:hyperlink>
        </w:p>
        <w:p>
          <w:pPr>
            <w:pStyle w:val="TOC5"/>
            <w:tabs>
              <w:tab w:pos="8930" w:val="left" w:leader="dot"/>
            </w:tabs>
          </w:pPr>
          <w:hyperlink w:history="true" w:anchor="_bookmark1006">
            <w:r>
              <w:rPr/>
              <w:t>and reopening of distribution determination</w:t>
            </w:r>
            <w:r>
              <w:rPr>
                <w:spacing w:val="-2"/>
              </w:rPr>
              <w:t> </w:t>
            </w:r>
            <w:r>
              <w:rPr/>
              <w:t>is</w:t>
            </w:r>
            <w:r>
              <w:rPr>
                <w:spacing w:val="-1"/>
              </w:rPr>
              <w:t> </w:t>
            </w:r>
            <w:r>
              <w:rPr/>
              <w:t>required</w:t>
              <w:tab/>
              <w:t>727</w:t>
            </w:r>
          </w:hyperlink>
        </w:p>
        <w:p>
          <w:pPr>
            <w:pStyle w:val="TOC3"/>
            <w:tabs>
              <w:tab w:pos="1919" w:val="left" w:leader="none"/>
              <w:tab w:pos="8931" w:val="left" w:leader="dot"/>
            </w:tabs>
            <w:ind w:left="218"/>
          </w:pPr>
          <w:hyperlink w:history="true" w:anchor="_bookmark1007">
            <w:r>
              <w:rPr/>
              <w:t>8A.15.7</w:t>
              <w:tab/>
              <w:t>Requirements for</w:t>
            </w:r>
            <w:r>
              <w:rPr>
                <w:spacing w:val="-2"/>
              </w:rPr>
              <w:t> </w:t>
            </w:r>
            <w:r>
              <w:rPr/>
              <w:t>adjustment</w:t>
            </w:r>
            <w:r>
              <w:rPr>
                <w:spacing w:val="-1"/>
              </w:rPr>
              <w:t> </w:t>
            </w:r>
            <w:r>
              <w:rPr/>
              <w:t>determination</w:t>
              <w:tab/>
              <w:t>729</w:t>
            </w:r>
          </w:hyperlink>
        </w:p>
        <w:p>
          <w:pPr>
            <w:pStyle w:val="TOC3"/>
            <w:tabs>
              <w:tab w:pos="1919" w:val="left" w:leader="none"/>
              <w:tab w:pos="8931" w:val="left" w:leader="dot"/>
            </w:tabs>
            <w:ind w:left="218"/>
          </w:pPr>
          <w:hyperlink w:history="true" w:anchor="_bookmark1008">
            <w:r>
              <w:rPr/>
              <w:t>8A.15.8</w:t>
              <w:tab/>
              <w:t>Application of Chapter 6 under</w:t>
            </w:r>
            <w:r>
              <w:rPr>
                <w:spacing w:val="-5"/>
              </w:rPr>
              <w:t> </w:t>
            </w:r>
            <w:r>
              <w:rPr/>
              <w:t>participant</w:t>
            </w:r>
            <w:r>
              <w:rPr>
                <w:spacing w:val="-1"/>
              </w:rPr>
              <w:t> </w:t>
            </w:r>
            <w:r>
              <w:rPr/>
              <w:t>derogation</w:t>
              <w:tab/>
              <w:t>729</w:t>
            </w:r>
          </w:hyperlink>
        </w:p>
        <w:p>
          <w:pPr>
            <w:pStyle w:val="TOC1"/>
            <w:numPr>
              <w:ilvl w:val="0"/>
              <w:numId w:val="2"/>
            </w:numPr>
            <w:tabs>
              <w:tab w:pos="1918" w:val="left" w:leader="none"/>
              <w:tab w:pos="1919" w:val="left" w:leader="none"/>
              <w:tab w:pos="8870" w:val="left" w:leader="dot"/>
            </w:tabs>
            <w:spacing w:line="240" w:lineRule="auto" w:before="360" w:after="0"/>
            <w:ind w:left="1919" w:right="414" w:hanging="1701"/>
            <w:jc w:val="left"/>
          </w:pPr>
          <w:hyperlink w:history="true" w:anchor="_bookmark1009">
            <w:r>
              <w:rPr/>
              <w:t>Jurisdictional  Derogations   and   Transitional</w:t>
            </w:r>
          </w:hyperlink>
          <w:hyperlink w:history="true" w:anchor="_bookmark1009">
            <w:r>
              <w:rPr/>
              <w:t> Arrangements</w:t>
              <w:tab/>
            </w:r>
            <w:r>
              <w:rPr>
                <w:spacing w:val="-6"/>
              </w:rPr>
              <w:t>735</w:t>
            </w:r>
          </w:hyperlink>
        </w:p>
        <w:p>
          <w:pPr>
            <w:pStyle w:val="TOC2"/>
            <w:numPr>
              <w:ilvl w:val="1"/>
              <w:numId w:val="2"/>
            </w:numPr>
            <w:tabs>
              <w:tab w:pos="1919" w:val="left" w:leader="none"/>
              <w:tab w:pos="1920" w:val="left" w:leader="none"/>
              <w:tab w:pos="8930" w:val="left" w:leader="dot"/>
            </w:tabs>
            <w:spacing w:line="240" w:lineRule="auto" w:before="120" w:after="0"/>
            <w:ind w:left="1919" w:right="0" w:hanging="1702"/>
            <w:jc w:val="left"/>
          </w:pPr>
          <w:hyperlink w:history="true" w:anchor="_bookmark1010">
            <w:r>
              <w:rPr/>
              <w:t>Purpose</w:t>
            </w:r>
            <w:r>
              <w:rPr>
                <w:spacing w:val="-4"/>
              </w:rPr>
              <w:t> </w:t>
            </w:r>
            <w:r>
              <w:rPr/>
              <w:t>and</w:t>
            </w:r>
            <w:r>
              <w:rPr>
                <w:spacing w:val="-4"/>
              </w:rPr>
              <w:t> </w:t>
            </w:r>
            <w:r>
              <w:rPr/>
              <w:t>Application</w:t>
              <w:tab/>
              <w:t>735</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1011">
            <w:r>
              <w:rPr/>
              <w:t>Purpose</w:t>
              <w:tab/>
              <w:t>735</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1012">
            <w:r>
              <w:rPr/>
              <w:t>Jurisdictional</w:t>
            </w:r>
            <w:r>
              <w:rPr>
                <w:spacing w:val="-5"/>
              </w:rPr>
              <w:t> </w:t>
            </w:r>
            <w:r>
              <w:rPr/>
              <w:t>Derogations</w:t>
              <w:tab/>
              <w:t>735</w:t>
            </w:r>
          </w:hyperlink>
        </w:p>
        <w:p>
          <w:pPr>
            <w:pStyle w:val="TOC2"/>
            <w:tabs>
              <w:tab w:pos="1919" w:val="left" w:leader="none"/>
              <w:tab w:pos="8930" w:val="left" w:leader="dot"/>
            </w:tabs>
          </w:pPr>
          <w:hyperlink w:history="true" w:anchor="_bookmark1013">
            <w:r>
              <w:rPr/>
              <w:t>Part A</w:t>
              <w:tab/>
              <w:t>Jurisdictional Derogations</w:t>
            </w:r>
            <w:r>
              <w:rPr>
                <w:spacing w:val="-9"/>
              </w:rPr>
              <w:t> </w:t>
            </w:r>
            <w:r>
              <w:rPr/>
              <w:t>for</w:t>
            </w:r>
            <w:r>
              <w:rPr>
                <w:spacing w:val="-4"/>
              </w:rPr>
              <w:t> </w:t>
            </w:r>
            <w:r>
              <w:rPr/>
              <w:t>Victoria</w:t>
              <w:tab/>
              <w:t>735</w:t>
            </w:r>
          </w:hyperlink>
        </w:p>
        <w:p>
          <w:pPr>
            <w:pStyle w:val="TOC2"/>
            <w:numPr>
              <w:ilvl w:val="1"/>
              <w:numId w:val="2"/>
            </w:numPr>
            <w:tabs>
              <w:tab w:pos="1919" w:val="left" w:leader="none"/>
              <w:tab w:pos="1920" w:val="left" w:leader="none"/>
              <w:tab w:pos="8930" w:val="left" w:leader="dot"/>
            </w:tabs>
            <w:spacing w:line="240" w:lineRule="auto" w:before="120" w:after="0"/>
            <w:ind w:left="1919" w:right="0" w:hanging="1702"/>
            <w:jc w:val="left"/>
          </w:pPr>
          <w:hyperlink w:history="true" w:anchor="_bookmark1014">
            <w:r>
              <w:rPr/>
              <w:t>[Deleted]</w:t>
              <w:tab/>
              <w:t>735</w:t>
            </w:r>
          </w:hyperlink>
        </w:p>
        <w:p>
          <w:pPr>
            <w:pStyle w:val="TOC2"/>
            <w:numPr>
              <w:ilvl w:val="1"/>
              <w:numId w:val="2"/>
            </w:numPr>
            <w:tabs>
              <w:tab w:pos="1919" w:val="left" w:leader="none"/>
              <w:tab w:pos="1920" w:val="left" w:leader="none"/>
              <w:tab w:pos="8930" w:val="left" w:leader="dot"/>
            </w:tabs>
            <w:spacing w:line="240" w:lineRule="auto" w:before="120" w:after="0"/>
            <w:ind w:left="1919" w:right="0" w:hanging="1702"/>
            <w:jc w:val="left"/>
          </w:pPr>
          <w:hyperlink w:history="true" w:anchor="_bookmark1015">
            <w:r>
              <w:rPr/>
              <w:t>Definitions</w:t>
              <w:tab/>
              <w:t>735</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1016">
            <w:r>
              <w:rPr/>
              <w:t>General</w:t>
            </w:r>
            <w:r>
              <w:rPr>
                <w:spacing w:val="-4"/>
              </w:rPr>
              <w:t> </w:t>
            </w:r>
            <w:r>
              <w:rPr/>
              <w:t>Definitions</w:t>
              <w:tab/>
              <w:t>735</w:t>
            </w:r>
          </w:hyperlink>
        </w:p>
        <w:p>
          <w:pPr>
            <w:pStyle w:val="TOC3"/>
            <w:numPr>
              <w:ilvl w:val="2"/>
              <w:numId w:val="2"/>
            </w:numPr>
            <w:tabs>
              <w:tab w:pos="1919" w:val="left" w:leader="none"/>
              <w:tab w:pos="1920" w:val="left" w:leader="none"/>
              <w:tab w:pos="8930" w:val="left" w:leader="dot"/>
            </w:tabs>
            <w:spacing w:line="240" w:lineRule="auto" w:before="0" w:after="0"/>
            <w:ind w:left="1919" w:right="0" w:hanging="1702"/>
            <w:jc w:val="left"/>
          </w:pPr>
          <w:hyperlink w:history="true" w:anchor="_bookmark1017">
            <w:r>
              <w:rPr/>
              <w:t>[Deleted]</w:t>
              <w:tab/>
              <w:t>737</w:t>
            </w:r>
          </w:hyperlink>
        </w:p>
        <w:p>
          <w:pPr>
            <w:pStyle w:val="TOC2"/>
            <w:numPr>
              <w:ilvl w:val="1"/>
              <w:numId w:val="38"/>
            </w:numPr>
            <w:tabs>
              <w:tab w:pos="519" w:val="left" w:leader="none"/>
              <w:tab w:pos="1919" w:val="left" w:leader="none"/>
              <w:tab w:pos="8931" w:val="left" w:leader="dot"/>
            </w:tabs>
            <w:spacing w:line="240" w:lineRule="auto" w:before="120" w:after="0"/>
            <w:ind w:left="519" w:right="0" w:hanging="301"/>
            <w:jc w:val="left"/>
          </w:pPr>
          <w:hyperlink w:history="true" w:anchor="_bookmark1018">
            <w:r>
              <w:rPr/>
              <w:t>A</w:t>
              <w:tab/>
              <w:t>Fault</w:t>
            </w:r>
            <w:r>
              <w:rPr>
                <w:spacing w:val="-1"/>
              </w:rPr>
              <w:t> </w:t>
            </w:r>
            <w:r>
              <w:rPr/>
              <w:t>levels</w:t>
              <w:tab/>
              <w:t>737</w:t>
            </w:r>
          </w:hyperlink>
        </w:p>
        <w:p>
          <w:pPr>
            <w:pStyle w:val="TOC2"/>
            <w:numPr>
              <w:ilvl w:val="1"/>
              <w:numId w:val="38"/>
            </w:numPr>
            <w:tabs>
              <w:tab w:pos="1919" w:val="left" w:leader="none"/>
              <w:tab w:pos="1920" w:val="left" w:leader="none"/>
              <w:tab w:pos="3437" w:val="left" w:leader="none"/>
              <w:tab w:pos="5168" w:val="left" w:leader="none"/>
              <w:tab w:pos="5726" w:val="left" w:leader="none"/>
              <w:tab w:pos="7011" w:val="left" w:leader="none"/>
              <w:tab w:pos="7343" w:val="left" w:leader="none"/>
              <w:tab w:pos="8930" w:val="left" w:leader="dot"/>
            </w:tabs>
            <w:spacing w:line="240" w:lineRule="auto" w:before="120" w:after="0"/>
            <w:ind w:left="1919" w:right="414" w:hanging="1701"/>
            <w:jc w:val="left"/>
          </w:pPr>
          <w:hyperlink w:history="true" w:anchor="_bookmark1019">
            <w:r>
              <w:rPr/>
              <w:t>Transitional</w:t>
              <w:tab/>
              <w:t>Arrangements</w:t>
              <w:tab/>
              <w:t>for</w:t>
              <w:tab/>
              <w:t>Chapter</w:t>
            </w:r>
            <w:r>
              <w:rPr>
                <w:spacing w:val="-3"/>
              </w:rPr>
              <w:t> </w:t>
            </w:r>
            <w:r>
              <w:rPr/>
              <w:t>2</w:t>
              <w:tab/>
              <w:t>-</w:t>
              <w:tab/>
              <w:t>Registered</w:t>
            </w:r>
          </w:hyperlink>
          <w:hyperlink w:history="true" w:anchor="_bookmark1019">
            <w:r>
              <w:rPr/>
              <w:t> Participants, Registration and Cross</w:t>
            </w:r>
            <w:r>
              <w:rPr>
                <w:spacing w:val="-15"/>
              </w:rPr>
              <w:t> </w:t>
            </w:r>
            <w:r>
              <w:rPr/>
              <w:t>Border</w:t>
            </w:r>
            <w:r>
              <w:rPr>
                <w:spacing w:val="-3"/>
              </w:rPr>
              <w:t> </w:t>
            </w:r>
            <w:r>
              <w:rPr/>
              <w:t>Networks</w:t>
              <w:tab/>
            </w:r>
            <w:r>
              <w:rPr>
                <w:spacing w:val="-6"/>
              </w:rPr>
              <w:t>738</w:t>
            </w:r>
          </w:hyperlink>
        </w:p>
        <w:p>
          <w:pPr>
            <w:pStyle w:val="TOC3"/>
            <w:numPr>
              <w:ilvl w:val="2"/>
              <w:numId w:val="38"/>
            </w:numPr>
            <w:tabs>
              <w:tab w:pos="1919" w:val="left" w:leader="none"/>
              <w:tab w:pos="1920" w:val="left" w:leader="none"/>
              <w:tab w:pos="8930" w:val="left" w:leader="dot"/>
            </w:tabs>
            <w:spacing w:line="240" w:lineRule="auto" w:before="0" w:after="227"/>
            <w:ind w:left="1919" w:right="0" w:hanging="1702"/>
            <w:jc w:val="left"/>
          </w:pPr>
          <w:hyperlink w:history="true" w:anchor="_bookmark1020">
            <w:r>
              <w:rPr/>
              <w:t>[Deleted]</w:t>
              <w:tab/>
              <w:t>738</w:t>
            </w:r>
          </w:hyperlink>
        </w:p>
        <w:p>
          <w:pPr>
            <w:pStyle w:val="TOC3"/>
            <w:numPr>
              <w:ilvl w:val="2"/>
              <w:numId w:val="38"/>
            </w:numPr>
            <w:tabs>
              <w:tab w:pos="1919" w:val="left" w:leader="none"/>
              <w:tab w:pos="1920" w:val="left" w:leader="none"/>
              <w:tab w:pos="8931" w:val="left" w:leader="dot"/>
            </w:tabs>
            <w:spacing w:line="240" w:lineRule="auto" w:before="83" w:after="0"/>
            <w:ind w:left="1919" w:right="0" w:hanging="1702"/>
            <w:jc w:val="left"/>
          </w:pPr>
          <w:hyperlink w:history="true" w:anchor="_bookmark1021">
            <w:r>
              <w:rPr/>
              <w:t>Smelter</w:t>
            </w:r>
            <w:r>
              <w:rPr>
                <w:spacing w:val="-1"/>
              </w:rPr>
              <w:t> </w:t>
            </w:r>
            <w:r>
              <w:rPr/>
              <w:t>Trader</w:t>
              <w:tab/>
              <w:t>738</w:t>
            </w:r>
          </w:hyperlink>
        </w:p>
        <w:p>
          <w:pPr>
            <w:pStyle w:val="TOC3"/>
            <w:numPr>
              <w:ilvl w:val="2"/>
              <w:numId w:val="38"/>
            </w:numPr>
            <w:tabs>
              <w:tab w:pos="1919" w:val="left" w:leader="none"/>
              <w:tab w:pos="1920" w:val="left" w:leader="none"/>
              <w:tab w:pos="8931" w:val="left" w:leader="dot"/>
            </w:tabs>
            <w:spacing w:line="240" w:lineRule="auto" w:before="0" w:after="0"/>
            <w:ind w:left="1919" w:right="0" w:hanging="1702"/>
            <w:jc w:val="left"/>
          </w:pPr>
          <w:hyperlink w:history="true" w:anchor="_bookmark1022">
            <w:r>
              <w:rPr/>
              <w:t>Smelter</w:t>
            </w:r>
            <w:r>
              <w:rPr>
                <w:spacing w:val="-1"/>
              </w:rPr>
              <w:t> </w:t>
            </w:r>
            <w:r>
              <w:rPr/>
              <w:t>Trader:</w:t>
            </w:r>
            <w:r>
              <w:rPr>
                <w:spacing w:val="-1"/>
              </w:rPr>
              <w:t> </w:t>
            </w:r>
            <w:r>
              <w:rPr/>
              <w:t>compliance</w:t>
              <w:tab/>
              <w:t>738</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23">
            <w:r>
              <w:rPr/>
              <w:t>Report</w:t>
            </w:r>
            <w:r>
              <w:rPr>
                <w:spacing w:val="-1"/>
              </w:rPr>
              <w:t> </w:t>
            </w:r>
            <w:r>
              <w:rPr/>
              <w:t>from</w:t>
            </w:r>
            <w:r>
              <w:rPr>
                <w:spacing w:val="-1"/>
              </w:rPr>
              <w:t> </w:t>
            </w:r>
            <w:r>
              <w:rPr/>
              <w:t>AER</w:t>
              <w:tab/>
              <w:t>741</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24">
            <w:r>
              <w:rPr/>
              <w:t>Cross</w:t>
            </w:r>
            <w:r>
              <w:rPr>
                <w:spacing w:val="-3"/>
              </w:rPr>
              <w:t> </w:t>
            </w:r>
            <w:r>
              <w:rPr/>
              <w:t>Border</w:t>
            </w:r>
            <w:r>
              <w:rPr>
                <w:spacing w:val="-2"/>
              </w:rPr>
              <w:t> </w:t>
            </w:r>
            <w:r>
              <w:rPr/>
              <w:t>Networks</w:t>
              <w:tab/>
              <w:t>741</w:t>
            </w:r>
          </w:hyperlink>
        </w:p>
        <w:p>
          <w:pPr>
            <w:pStyle w:val="TOC2"/>
            <w:numPr>
              <w:ilvl w:val="1"/>
              <w:numId w:val="38"/>
            </w:numPr>
            <w:tabs>
              <w:tab w:pos="1919" w:val="left" w:leader="none"/>
              <w:tab w:pos="1920" w:val="left" w:leader="none"/>
              <w:tab w:pos="8930" w:val="left" w:leader="dot"/>
            </w:tabs>
            <w:spacing w:line="240" w:lineRule="auto" w:before="120" w:after="0"/>
            <w:ind w:left="1919" w:right="0" w:hanging="1702"/>
            <w:jc w:val="left"/>
          </w:pPr>
          <w:hyperlink w:history="true" w:anchor="_bookmark1025">
            <w:r>
              <w:rPr/>
              <w:t>[Deleted]</w:t>
              <w:tab/>
              <w:t>742</w:t>
            </w:r>
          </w:hyperlink>
        </w:p>
        <w:p>
          <w:pPr>
            <w:pStyle w:val="TOC2"/>
            <w:numPr>
              <w:ilvl w:val="1"/>
              <w:numId w:val="38"/>
            </w:numPr>
            <w:tabs>
              <w:tab w:pos="1919" w:val="left" w:leader="none"/>
              <w:tab w:pos="1920" w:val="left" w:leader="none"/>
              <w:tab w:pos="8931" w:val="left" w:leader="dot"/>
            </w:tabs>
            <w:spacing w:line="240" w:lineRule="auto" w:before="120" w:after="0"/>
            <w:ind w:left="1919" w:right="0" w:hanging="1702"/>
            <w:jc w:val="left"/>
          </w:pPr>
          <w:hyperlink w:history="true" w:anchor="_bookmark1026">
            <w:r>
              <w:rPr/>
              <w:t>Transitional Arrangements for Chapter 4 -</w:t>
            </w:r>
            <w:r>
              <w:rPr>
                <w:spacing w:val="-8"/>
              </w:rPr>
              <w:t> </w:t>
            </w:r>
            <w:r>
              <w:rPr/>
              <w:t>System</w:t>
            </w:r>
            <w:r>
              <w:rPr>
                <w:spacing w:val="-1"/>
              </w:rPr>
              <w:t> </w:t>
            </w:r>
            <w:r>
              <w:rPr/>
              <w:t>Security</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27">
            <w:r>
              <w:rPr/>
              <w:t>Operating Procedures</w:t>
            </w:r>
            <w:r>
              <w:rPr>
                <w:spacing w:val="-7"/>
              </w:rPr>
              <w:t> </w:t>
            </w:r>
            <w:r>
              <w:rPr/>
              <w:t>(clause</w:t>
            </w:r>
            <w:r>
              <w:rPr>
                <w:spacing w:val="-4"/>
              </w:rPr>
              <w:t> </w:t>
            </w:r>
            <w:r>
              <w:rPr/>
              <w:t>4.10.1)</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28">
            <w:r>
              <w:rPr/>
              <w:t>Nomenclature Standards</w:t>
            </w:r>
            <w:r>
              <w:rPr>
                <w:spacing w:val="-3"/>
              </w:rPr>
              <w:t> </w:t>
            </w:r>
            <w:r>
              <w:rPr/>
              <w:t>(clause</w:t>
            </w:r>
            <w:r>
              <w:rPr>
                <w:spacing w:val="-1"/>
              </w:rPr>
              <w:t> </w:t>
            </w:r>
            <w:r>
              <w:rPr/>
              <w:t>4.12)</w:t>
              <w:tab/>
              <w:t>742</w:t>
            </w:r>
          </w:hyperlink>
        </w:p>
        <w:p>
          <w:pPr>
            <w:pStyle w:val="TOC2"/>
            <w:numPr>
              <w:ilvl w:val="1"/>
              <w:numId w:val="38"/>
            </w:numPr>
            <w:tabs>
              <w:tab w:pos="1919" w:val="left" w:leader="none"/>
              <w:tab w:pos="1920" w:val="left" w:leader="none"/>
              <w:tab w:pos="8930" w:val="left" w:leader="dot"/>
            </w:tabs>
            <w:spacing w:line="240" w:lineRule="auto" w:before="120" w:after="0"/>
            <w:ind w:left="1919" w:right="414" w:hanging="1701"/>
            <w:jc w:val="left"/>
          </w:pPr>
          <w:hyperlink w:history="true" w:anchor="_bookmark1029">
            <w:r>
              <w:rPr/>
              <w:t>Transitional   Arrangements    for    Chapter 5    -    Network</w:t>
            </w:r>
          </w:hyperlink>
          <w:hyperlink w:history="true" w:anchor="_bookmark1029">
            <w:r>
              <w:rPr/>
              <w:t> Connection</w:t>
              <w:tab/>
            </w:r>
            <w:r>
              <w:rPr>
                <w:spacing w:val="-6"/>
              </w:rPr>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0">
            <w:r>
              <w:rPr/>
              <w:t>[Deleted]</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1">
            <w:r>
              <w:rPr/>
              <w:t>[Deleted]</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2">
            <w:r>
              <w:rPr/>
              <w:t>[Deleted]</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3">
            <w:r>
              <w:rPr/>
              <w:t>Regulation of Distribution</w:t>
            </w:r>
            <w:r>
              <w:rPr>
                <w:spacing w:val="-7"/>
              </w:rPr>
              <w:t> </w:t>
            </w:r>
            <w:r>
              <w:rPr/>
              <w:t>Network</w:t>
            </w:r>
            <w:r>
              <w:rPr>
                <w:spacing w:val="-3"/>
              </w:rPr>
              <w:t> </w:t>
            </w:r>
            <w:r>
              <w:rPr/>
              <w:t>Connection</w:t>
              <w:tab/>
              <w:t>742</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4">
            <w:r>
              <w:rPr/>
              <w:t>[Deleted]</w:t>
              <w:tab/>
              <w:t>743</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5">
            <w:r>
              <w:rPr/>
              <w:t>[Deleted]</w:t>
              <w:tab/>
              <w:t>743</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6">
            <w:r>
              <w:rPr/>
              <w:t>[Deleted]</w:t>
              <w:tab/>
              <w:t>743</w:t>
            </w:r>
          </w:hyperlink>
        </w:p>
        <w:p>
          <w:pPr>
            <w:pStyle w:val="TOC2"/>
            <w:numPr>
              <w:ilvl w:val="1"/>
              <w:numId w:val="38"/>
            </w:numPr>
            <w:tabs>
              <w:tab w:pos="1919" w:val="left" w:leader="none"/>
              <w:tab w:pos="1920" w:val="left" w:leader="none"/>
              <w:tab w:pos="8931" w:val="left" w:leader="dot"/>
            </w:tabs>
            <w:spacing w:line="240" w:lineRule="auto" w:before="120" w:after="0"/>
            <w:ind w:left="1919" w:right="0" w:hanging="1702"/>
            <w:jc w:val="left"/>
          </w:pPr>
          <w:hyperlink w:history="true" w:anchor="_bookmark1037">
            <w:r>
              <w:rPr/>
              <w:t>Transitional Arrangements for Chapter 6 -</w:t>
            </w:r>
            <w:r>
              <w:rPr>
                <w:spacing w:val="-8"/>
              </w:rPr>
              <w:t> </w:t>
            </w:r>
            <w:r>
              <w:rPr/>
              <w:t>Network</w:t>
            </w:r>
            <w:r>
              <w:rPr>
                <w:spacing w:val="-2"/>
              </w:rPr>
              <w:t> </w:t>
            </w:r>
            <w:r>
              <w:rPr/>
              <w:t>Pricing</w:t>
              <w:tab/>
              <w:t>743</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8">
            <w:r>
              <w:rPr/>
              <w:t>[Deleted]</w:t>
              <w:tab/>
              <w:t>743</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39">
            <w:r>
              <w:rPr/>
              <w:t>[Deleted]</w:t>
              <w:tab/>
              <w:t>743</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40">
            <w:r>
              <w:rPr/>
              <w:t>[Deleted]</w:t>
              <w:tab/>
              <w:t>743</w:t>
            </w:r>
          </w:hyperlink>
        </w:p>
        <w:p>
          <w:pPr>
            <w:pStyle w:val="TOC3"/>
            <w:numPr>
              <w:ilvl w:val="2"/>
              <w:numId w:val="38"/>
            </w:numPr>
            <w:tabs>
              <w:tab w:pos="1919" w:val="left" w:leader="none"/>
              <w:tab w:pos="1920" w:val="left" w:leader="none"/>
              <w:tab w:pos="8929" w:val="left" w:leader="dot"/>
            </w:tabs>
            <w:spacing w:line="240" w:lineRule="auto" w:before="0" w:after="0"/>
            <w:ind w:left="1919" w:right="0" w:hanging="1702"/>
            <w:jc w:val="left"/>
          </w:pPr>
          <w:hyperlink w:history="true" w:anchor="_bookmark1041">
            <w:r>
              <w:rPr/>
              <w:t>Transmission</w:t>
            </w:r>
            <w:r>
              <w:rPr>
                <w:spacing w:val="-4"/>
              </w:rPr>
              <w:t> </w:t>
            </w:r>
            <w:r>
              <w:rPr/>
              <w:t>Network</w:t>
            </w:r>
            <w:r>
              <w:rPr>
                <w:spacing w:val="-4"/>
              </w:rPr>
              <w:t> </w:t>
            </w:r>
            <w:r>
              <w:rPr/>
              <w:t>Pricing</w:t>
              <w:tab/>
              <w:t>743</w:t>
            </w:r>
          </w:hyperlink>
        </w:p>
        <w:p>
          <w:pPr>
            <w:pStyle w:val="TOC3"/>
            <w:tabs>
              <w:tab w:pos="1919" w:val="left" w:leader="none"/>
              <w:tab w:pos="8930" w:val="left" w:leader="dot"/>
            </w:tabs>
            <w:ind w:left="218"/>
          </w:pPr>
          <w:hyperlink w:history="true" w:anchor="_bookmark1042">
            <w:r>
              <w:rPr/>
              <w:t>9.8.4A</w:t>
              <w:tab/>
              <w:t>[Deleted]</w:t>
              <w:tab/>
              <w:t>745</w:t>
            </w:r>
          </w:hyperlink>
        </w:p>
        <w:p>
          <w:pPr>
            <w:pStyle w:val="TOC3"/>
            <w:tabs>
              <w:tab w:pos="1919" w:val="left" w:leader="none"/>
              <w:tab w:pos="8930" w:val="left" w:leader="dot"/>
            </w:tabs>
            <w:ind w:left="218"/>
          </w:pPr>
          <w:hyperlink w:history="true" w:anchor="_bookmark1043">
            <w:r>
              <w:rPr/>
              <w:t>9.8.4B</w:t>
              <w:tab/>
              <w:t>[Deleted]</w:t>
              <w:tab/>
              <w:t>745</w:t>
            </w:r>
          </w:hyperlink>
        </w:p>
        <w:p>
          <w:pPr>
            <w:pStyle w:val="TOC3"/>
            <w:tabs>
              <w:tab w:pos="1919" w:val="left" w:leader="none"/>
              <w:tab w:pos="8930" w:val="left" w:leader="dot"/>
            </w:tabs>
            <w:ind w:left="218"/>
          </w:pPr>
          <w:hyperlink w:history="true" w:anchor="_bookmark1044">
            <w:r>
              <w:rPr/>
              <w:t>9.8.4C</w:t>
              <w:tab/>
              <w:t>[Deleted]</w:t>
              <w:tab/>
              <w:t>745</w:t>
            </w:r>
          </w:hyperlink>
        </w:p>
        <w:p>
          <w:pPr>
            <w:pStyle w:val="TOC3"/>
            <w:tabs>
              <w:tab w:pos="1919" w:val="left" w:leader="none"/>
              <w:tab w:pos="8930" w:val="left" w:leader="dot"/>
            </w:tabs>
            <w:ind w:left="218"/>
          </w:pPr>
          <w:hyperlink w:history="true" w:anchor="_bookmark1045">
            <w:r>
              <w:rPr/>
              <w:t>9.8.4D</w:t>
              <w:tab/>
              <w:t>[Deleted]</w:t>
              <w:tab/>
              <w:t>745</w:t>
            </w:r>
          </w:hyperlink>
        </w:p>
        <w:p>
          <w:pPr>
            <w:pStyle w:val="TOC3"/>
            <w:tabs>
              <w:tab w:pos="1918" w:val="left" w:leader="none"/>
              <w:tab w:pos="8930" w:val="left" w:leader="dot"/>
            </w:tabs>
            <w:ind w:left="218"/>
          </w:pPr>
          <w:hyperlink w:history="true" w:anchor="_bookmark1046">
            <w:r>
              <w:rPr/>
              <w:t>9.8.4E</w:t>
              <w:tab/>
              <w:t>[Deleted]</w:t>
              <w:tab/>
              <w:t>745</w:t>
            </w:r>
          </w:hyperlink>
        </w:p>
        <w:p>
          <w:pPr>
            <w:pStyle w:val="TOC3"/>
            <w:tabs>
              <w:tab w:pos="1919" w:val="left" w:leader="none"/>
              <w:tab w:pos="8930" w:val="left" w:leader="dot"/>
            </w:tabs>
            <w:ind w:left="218"/>
          </w:pPr>
          <w:hyperlink w:history="true" w:anchor="_bookmark1047">
            <w:r>
              <w:rPr/>
              <w:t>9.8.4F</w:t>
              <w:tab/>
              <w:t>[Deleted]</w:t>
              <w:tab/>
              <w:t>745</w:t>
            </w:r>
          </w:hyperlink>
        </w:p>
        <w:p>
          <w:pPr>
            <w:pStyle w:val="TOC3"/>
            <w:numPr>
              <w:ilvl w:val="2"/>
              <w:numId w:val="39"/>
            </w:numPr>
            <w:tabs>
              <w:tab w:pos="699" w:val="left" w:leader="none"/>
              <w:tab w:pos="1919" w:val="left" w:leader="none"/>
              <w:tab w:pos="8930" w:val="left" w:leader="dot"/>
            </w:tabs>
            <w:spacing w:line="240" w:lineRule="auto" w:before="0" w:after="0"/>
            <w:ind w:left="699" w:right="0" w:hanging="481"/>
            <w:jc w:val="left"/>
          </w:pPr>
          <w:hyperlink w:history="true" w:anchor="_bookmark1048">
            <w:r>
              <w:rPr/>
              <w:t>G</w:t>
              <w:tab/>
              <w:t>[Deleted]</w:t>
              <w:tab/>
              <w:t>745</w:t>
            </w:r>
          </w:hyperlink>
        </w:p>
        <w:p>
          <w:pPr>
            <w:pStyle w:val="TOC3"/>
            <w:numPr>
              <w:ilvl w:val="2"/>
              <w:numId w:val="39"/>
            </w:numPr>
            <w:tabs>
              <w:tab w:pos="1919" w:val="left" w:leader="none"/>
              <w:tab w:pos="1920" w:val="left" w:leader="none"/>
              <w:tab w:pos="8930" w:val="left" w:leader="dot"/>
            </w:tabs>
            <w:spacing w:line="240" w:lineRule="auto" w:before="0" w:after="0"/>
            <w:ind w:left="1919" w:right="0" w:hanging="1702"/>
            <w:jc w:val="left"/>
          </w:pPr>
          <w:hyperlink w:history="true" w:anchor="_bookmark1049">
            <w:r>
              <w:rPr/>
              <w:t>[Deleted]</w:t>
              <w:tab/>
              <w:t>745</w:t>
            </w:r>
          </w:hyperlink>
        </w:p>
        <w:p>
          <w:pPr>
            <w:pStyle w:val="TOC3"/>
            <w:numPr>
              <w:ilvl w:val="2"/>
              <w:numId w:val="39"/>
            </w:numPr>
            <w:tabs>
              <w:tab w:pos="1919" w:val="left" w:leader="none"/>
              <w:tab w:pos="1920" w:val="left" w:leader="none"/>
              <w:tab w:pos="8930" w:val="left" w:leader="dot"/>
            </w:tabs>
            <w:spacing w:line="240" w:lineRule="auto" w:before="0" w:after="0"/>
            <w:ind w:left="1919" w:right="0" w:hanging="1702"/>
            <w:jc w:val="left"/>
          </w:pPr>
          <w:hyperlink w:history="true" w:anchor="_bookmark1050">
            <w:r>
              <w:rPr/>
              <w:t>[Deleted]</w:t>
              <w:tab/>
              <w:t>745</w:t>
            </w:r>
          </w:hyperlink>
        </w:p>
        <w:p>
          <w:pPr>
            <w:pStyle w:val="TOC3"/>
            <w:numPr>
              <w:ilvl w:val="2"/>
              <w:numId w:val="39"/>
            </w:numPr>
            <w:tabs>
              <w:tab w:pos="1919" w:val="left" w:leader="none"/>
              <w:tab w:pos="1920" w:val="left" w:leader="none"/>
            </w:tabs>
            <w:spacing w:line="240" w:lineRule="auto" w:before="0" w:after="0"/>
            <w:ind w:left="1919" w:right="0" w:hanging="1702"/>
            <w:jc w:val="left"/>
          </w:pPr>
          <w:hyperlink w:history="true" w:anchor="_bookmark1051">
            <w:r>
              <w:rPr/>
              <w:t>Distribution network pricing – transitional application of</w:t>
            </w:r>
            <w:r>
              <w:rPr>
                <w:spacing w:val="-14"/>
              </w:rPr>
              <w:t> </w:t>
            </w:r>
            <w:r>
              <w:rPr/>
              <w:t>former</w:t>
            </w:r>
          </w:hyperlink>
        </w:p>
        <w:p>
          <w:pPr>
            <w:pStyle w:val="TOC5"/>
            <w:tabs>
              <w:tab w:pos="8930" w:val="left" w:leader="dot"/>
            </w:tabs>
          </w:pPr>
          <w:hyperlink w:history="true" w:anchor="_bookmark1051">
            <w:r>
              <w:rPr/>
              <w:t>Chapter</w:t>
            </w:r>
            <w:r>
              <w:rPr>
                <w:spacing w:val="-1"/>
              </w:rPr>
              <w:t> </w:t>
            </w:r>
            <w:r>
              <w:rPr/>
              <w:t>6</w:t>
              <w:tab/>
              <w:t>745</w:t>
            </w:r>
          </w:hyperlink>
        </w:p>
        <w:p>
          <w:pPr>
            <w:pStyle w:val="TOC3"/>
            <w:numPr>
              <w:ilvl w:val="2"/>
              <w:numId w:val="39"/>
            </w:numPr>
            <w:tabs>
              <w:tab w:pos="1919" w:val="left" w:leader="none"/>
              <w:tab w:pos="1920" w:val="left" w:leader="none"/>
            </w:tabs>
            <w:spacing w:line="240" w:lineRule="auto" w:before="0" w:after="0"/>
            <w:ind w:left="1919" w:right="0" w:hanging="1702"/>
            <w:jc w:val="left"/>
          </w:pPr>
          <w:hyperlink w:history="true" w:anchor="_bookmark1052">
            <w:r>
              <w:rPr/>
              <w:t>Exclusion</w:t>
            </w:r>
            <w:r>
              <w:rPr>
                <w:spacing w:val="40"/>
              </w:rPr>
              <w:t> </w:t>
            </w:r>
            <w:r>
              <w:rPr/>
              <w:t>of</w:t>
            </w:r>
            <w:r>
              <w:rPr>
                <w:spacing w:val="40"/>
              </w:rPr>
              <w:t> </w:t>
            </w:r>
            <w:r>
              <w:rPr/>
              <w:t>AER's</w:t>
            </w:r>
            <w:r>
              <w:rPr>
                <w:spacing w:val="41"/>
              </w:rPr>
              <w:t> </w:t>
            </w:r>
            <w:r>
              <w:rPr/>
              <w:t>power</w:t>
            </w:r>
            <w:r>
              <w:rPr>
                <w:spacing w:val="40"/>
              </w:rPr>
              <w:t> </w:t>
            </w:r>
            <w:r>
              <w:rPr/>
              <w:t>to</w:t>
            </w:r>
            <w:r>
              <w:rPr>
                <w:spacing w:val="40"/>
              </w:rPr>
              <w:t> </w:t>
            </w:r>
            <w:r>
              <w:rPr/>
              <w:t>aggregate</w:t>
            </w:r>
            <w:r>
              <w:rPr>
                <w:spacing w:val="41"/>
              </w:rPr>
              <w:t> </w:t>
            </w:r>
            <w:r>
              <w:rPr/>
              <w:t>distribution</w:t>
            </w:r>
            <w:r>
              <w:rPr>
                <w:spacing w:val="40"/>
              </w:rPr>
              <w:t> </w:t>
            </w:r>
            <w:r>
              <w:rPr/>
              <w:t>systems</w:t>
            </w:r>
            <w:r>
              <w:rPr>
                <w:spacing w:val="40"/>
              </w:rPr>
              <w:t> </w:t>
            </w:r>
            <w:r>
              <w:rPr/>
              <w:t>and</w:t>
            </w:r>
          </w:hyperlink>
        </w:p>
        <w:p>
          <w:pPr>
            <w:pStyle w:val="TOC5"/>
            <w:tabs>
              <w:tab w:pos="8930" w:val="left" w:leader="dot"/>
            </w:tabs>
          </w:pPr>
          <w:hyperlink w:history="true" w:anchor="_bookmark1052">
            <w:r>
              <w:rPr/>
              <w:t>parts of</w:t>
            </w:r>
            <w:r>
              <w:rPr>
                <w:spacing w:val="-4"/>
              </w:rPr>
              <w:t> </w:t>
            </w:r>
            <w:r>
              <w:rPr/>
              <w:t>distribution</w:t>
            </w:r>
            <w:r>
              <w:rPr>
                <w:spacing w:val="-1"/>
              </w:rPr>
              <w:t> </w:t>
            </w:r>
            <w:r>
              <w:rPr/>
              <w:t>systems</w:t>
              <w:tab/>
              <w:t>746</w:t>
            </w:r>
          </w:hyperlink>
        </w:p>
        <w:p>
          <w:pPr>
            <w:pStyle w:val="TOC2"/>
            <w:numPr>
              <w:ilvl w:val="1"/>
              <w:numId w:val="38"/>
            </w:numPr>
            <w:tabs>
              <w:tab w:pos="1919" w:val="left" w:leader="none"/>
              <w:tab w:pos="1920" w:val="left" w:leader="none"/>
              <w:tab w:pos="8931" w:val="left" w:leader="dot"/>
            </w:tabs>
            <w:spacing w:line="240" w:lineRule="auto" w:before="120" w:after="0"/>
            <w:ind w:left="1919" w:right="0" w:hanging="1702"/>
            <w:jc w:val="left"/>
          </w:pPr>
          <w:hyperlink w:history="true" w:anchor="_bookmark1053">
            <w:r>
              <w:rPr/>
              <w:t>Transitional Arrangements for Chapter 7</w:t>
            </w:r>
            <w:r>
              <w:rPr>
                <w:spacing w:val="-5"/>
              </w:rPr>
              <w:t> </w:t>
            </w:r>
            <w:r>
              <w:rPr/>
              <w:t>-</w:t>
            </w:r>
            <w:r>
              <w:rPr>
                <w:spacing w:val="-1"/>
              </w:rPr>
              <w:t> </w:t>
            </w:r>
            <w:r>
              <w:rPr/>
              <w:t>Metering</w:t>
              <w:tab/>
              <w:t>746</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4">
            <w:r>
              <w:rPr/>
              <w:t>Metering Installations To Which This</w:t>
            </w:r>
            <w:r>
              <w:rPr>
                <w:spacing w:val="-12"/>
              </w:rPr>
              <w:t> </w:t>
            </w:r>
            <w:r>
              <w:rPr/>
              <w:t>Schedule</w:t>
            </w:r>
            <w:r>
              <w:rPr>
                <w:spacing w:val="-3"/>
              </w:rPr>
              <w:t> </w:t>
            </w:r>
            <w:r>
              <w:rPr/>
              <w:t>Applies</w:t>
              <w:tab/>
              <w:t>746</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5">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6">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7">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8">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59">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60">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61">
            <w:r>
              <w:rPr/>
              <w:t>[Deleted]</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62">
            <w:r>
              <w:rPr/>
              <w:t>Periodic Energy Metering</w:t>
            </w:r>
            <w:r>
              <w:rPr>
                <w:spacing w:val="-4"/>
              </w:rPr>
              <w:t> </w:t>
            </w:r>
            <w:r>
              <w:rPr/>
              <w:t>(clause</w:t>
            </w:r>
            <w:r>
              <w:rPr>
                <w:spacing w:val="-2"/>
              </w:rPr>
              <w:t> </w:t>
            </w:r>
            <w:r>
              <w:rPr/>
              <w:t>7.9.3)</w:t>
              <w:tab/>
              <w:t>747</w:t>
            </w:r>
          </w:hyperlink>
        </w:p>
        <w:p>
          <w:pPr>
            <w:pStyle w:val="TOC3"/>
            <w:numPr>
              <w:ilvl w:val="2"/>
              <w:numId w:val="38"/>
            </w:numPr>
            <w:tabs>
              <w:tab w:pos="1919" w:val="left" w:leader="none"/>
              <w:tab w:pos="1920" w:val="left" w:leader="none"/>
              <w:tab w:pos="8930" w:val="left" w:leader="dot"/>
            </w:tabs>
            <w:spacing w:line="240" w:lineRule="auto" w:before="0" w:after="0"/>
            <w:ind w:left="1919" w:right="0" w:hanging="1702"/>
            <w:jc w:val="left"/>
          </w:pPr>
          <w:hyperlink w:history="true" w:anchor="_bookmark1063">
            <w:r>
              <w:rPr/>
              <w:t>Use of Alternate Technologies</w:t>
            </w:r>
            <w:r>
              <w:rPr>
                <w:spacing w:val="-5"/>
              </w:rPr>
              <w:t> </w:t>
            </w:r>
            <w:r>
              <w:rPr/>
              <w:t>(clause</w:t>
            </w:r>
            <w:r>
              <w:rPr>
                <w:spacing w:val="-1"/>
              </w:rPr>
              <w:t> </w:t>
            </w:r>
            <w:r>
              <w:rPr/>
              <w:t>7.13)</w:t>
              <w:tab/>
              <w:t>747</w:t>
            </w:r>
          </w:hyperlink>
        </w:p>
        <w:p>
          <w:pPr>
            <w:pStyle w:val="TOC2"/>
            <w:tabs>
              <w:tab w:pos="1919" w:val="left" w:leader="none"/>
              <w:tab w:pos="8931" w:val="left" w:leader="dot"/>
            </w:tabs>
            <w:spacing w:after="240"/>
          </w:pPr>
          <w:hyperlink w:history="true" w:anchor="_bookmark1064">
            <w:r>
              <w:rPr/>
              <w:t>9.9A</w:t>
              <w:tab/>
              <w:t>[Deleted]</w:t>
              <w:tab/>
              <w:t>748</w:t>
            </w:r>
          </w:hyperlink>
        </w:p>
        <w:p>
          <w:pPr>
            <w:pStyle w:val="TOC2"/>
            <w:tabs>
              <w:tab w:pos="1919" w:val="left" w:leader="none"/>
              <w:tab w:pos="8930" w:val="left" w:leader="dot"/>
            </w:tabs>
            <w:spacing w:before="83"/>
          </w:pPr>
          <w:hyperlink w:history="true" w:anchor="_bookmark1065">
            <w:r>
              <w:rPr/>
              <w:t>9.9B</w:t>
              <w:tab/>
              <w:t>[Deleted]</w:t>
              <w:tab/>
              <w:t>748</w:t>
            </w:r>
          </w:hyperlink>
        </w:p>
        <w:p>
          <w:pPr>
            <w:pStyle w:val="TOC2"/>
            <w:numPr>
              <w:ilvl w:val="1"/>
              <w:numId w:val="40"/>
            </w:numPr>
            <w:tabs>
              <w:tab w:pos="519" w:val="left" w:leader="none"/>
              <w:tab w:pos="1919" w:val="left" w:leader="none"/>
              <w:tab w:pos="8931" w:val="left" w:leader="dot"/>
            </w:tabs>
            <w:spacing w:line="240" w:lineRule="auto" w:before="120" w:after="0"/>
            <w:ind w:left="519" w:right="0" w:hanging="301"/>
            <w:jc w:val="left"/>
          </w:pPr>
          <w:hyperlink w:history="true" w:anchor="_bookmark1066">
            <w:r>
              <w:rPr/>
              <w:t>C</w:t>
              <w:tab/>
              <w:t>[Deleted]</w:t>
              <w:tab/>
              <w:t>748</w:t>
            </w:r>
          </w:hyperlink>
        </w:p>
        <w:p>
          <w:pPr>
            <w:pStyle w:val="TOC3"/>
            <w:numPr>
              <w:ilvl w:val="0"/>
              <w:numId w:val="41"/>
            </w:numPr>
            <w:tabs>
              <w:tab w:pos="1919" w:val="left" w:leader="none"/>
              <w:tab w:pos="1920" w:val="left" w:leader="none"/>
              <w:tab w:pos="8931" w:val="left" w:leader="dot"/>
            </w:tabs>
            <w:spacing w:line="240" w:lineRule="auto" w:before="0" w:after="0"/>
            <w:ind w:left="1919" w:right="0" w:hanging="1702"/>
            <w:jc w:val="left"/>
          </w:pPr>
          <w:hyperlink w:history="true" w:anchor="_bookmark1067">
            <w:r>
              <w:rPr/>
              <w:t>Interpretation</w:t>
            </w:r>
            <w:r>
              <w:rPr>
                <w:spacing w:val="-1"/>
              </w:rPr>
              <w:t> </w:t>
            </w:r>
            <w:r>
              <w:rPr/>
              <w:t>of tables</w:t>
              <w:tab/>
              <w:t>748</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68">
            <w:r>
              <w:rPr/>
              <w:t>Continuing</w:t>
            </w:r>
            <w:r>
              <w:rPr>
                <w:spacing w:val="-1"/>
              </w:rPr>
              <w:t> </w:t>
            </w:r>
            <w:r>
              <w:rPr/>
              <w:t>effect</w:t>
              <w:tab/>
              <w:t>748</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69">
            <w:r>
              <w:rPr/>
              <w:t>Subsequent</w:t>
            </w:r>
            <w:r>
              <w:rPr>
                <w:spacing w:val="-4"/>
              </w:rPr>
              <w:t> </w:t>
            </w:r>
            <w:r>
              <w:rPr/>
              <w:t>agreement</w:t>
              <w:tab/>
              <w:t>749</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0">
            <w:r>
              <w:rPr/>
              <w:t>[Deleted]</w:t>
              <w:tab/>
              <w:t>749</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1">
            <w:r>
              <w:rPr/>
              <w:t>Reactive Power Capability (clause S5.2.5.1 of</w:t>
            </w:r>
            <w:r>
              <w:rPr>
                <w:spacing w:val="-12"/>
              </w:rPr>
              <w:t> </w:t>
            </w:r>
            <w:r>
              <w:rPr/>
              <w:t>schedule</w:t>
            </w:r>
            <w:r>
              <w:rPr>
                <w:spacing w:val="-2"/>
              </w:rPr>
              <w:t> </w:t>
            </w:r>
            <w:r>
              <w:rPr/>
              <w:t>5.2)</w:t>
              <w:tab/>
              <w:t>749</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2">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3">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4">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5">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6">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7">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8">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79">
            <w:r>
              <w:rPr/>
              <w:t>Governor Systems (load control) (clause S5.2.5.11 of</w:t>
            </w:r>
            <w:r>
              <w:rPr>
                <w:spacing w:val="-15"/>
              </w:rPr>
              <w:t> </w:t>
            </w:r>
            <w:r>
              <w:rPr/>
              <w:t>schedule</w:t>
            </w:r>
            <w:r>
              <w:rPr>
                <w:spacing w:val="-2"/>
              </w:rPr>
              <w:t> </w:t>
            </w:r>
            <w:r>
              <w:rPr/>
              <w:t>5.2)</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80">
            <w:r>
              <w:rPr/>
              <w:t>[Deleted]</w:t>
              <w:tab/>
              <w:t>750</w:t>
            </w:r>
          </w:hyperlink>
        </w:p>
        <w:p>
          <w:pPr>
            <w:pStyle w:val="TOC3"/>
            <w:numPr>
              <w:ilvl w:val="0"/>
              <w:numId w:val="41"/>
            </w:numPr>
            <w:tabs>
              <w:tab w:pos="1919" w:val="left" w:leader="none"/>
              <w:tab w:pos="1920" w:val="left" w:leader="none"/>
              <w:tab w:pos="8930" w:val="left" w:leader="dot"/>
            </w:tabs>
            <w:spacing w:line="240" w:lineRule="auto" w:before="0" w:after="0"/>
            <w:ind w:left="1919" w:right="0" w:hanging="1702"/>
            <w:jc w:val="left"/>
          </w:pPr>
          <w:hyperlink w:history="true" w:anchor="_bookmark1081">
            <w:r>
              <w:rPr/>
              <w:t>[Deleted]</w:t>
              <w:tab/>
              <w:t>750</w:t>
            </w:r>
          </w:hyperlink>
        </w:p>
        <w:p>
          <w:pPr>
            <w:pStyle w:val="TOC3"/>
            <w:numPr>
              <w:ilvl w:val="0"/>
              <w:numId w:val="41"/>
            </w:numPr>
            <w:tabs>
              <w:tab w:pos="1919" w:val="left" w:leader="none"/>
              <w:tab w:pos="1920" w:val="left" w:leader="none"/>
              <w:tab w:pos="8929" w:val="left" w:leader="dot"/>
            </w:tabs>
            <w:spacing w:line="240" w:lineRule="auto" w:before="0" w:after="0"/>
            <w:ind w:left="1919" w:right="0" w:hanging="1702"/>
            <w:jc w:val="left"/>
          </w:pPr>
          <w:hyperlink w:history="true" w:anchor="_bookmark1082">
            <w:r>
              <w:rPr/>
              <w:t>Excitation Control System (clause S5.2.5.13 of</w:t>
            </w:r>
            <w:r>
              <w:rPr>
                <w:spacing w:val="-10"/>
              </w:rPr>
              <w:t> </w:t>
            </w:r>
            <w:r>
              <w:rPr/>
              <w:t>schedule</w:t>
            </w:r>
            <w:r>
              <w:rPr>
                <w:spacing w:val="-2"/>
              </w:rPr>
              <w:t> </w:t>
            </w:r>
            <w:r>
              <w:rPr/>
              <w:t>5.2)</w:t>
              <w:tab/>
              <w:t>750</w:t>
            </w:r>
          </w:hyperlink>
        </w:p>
        <w:p>
          <w:pPr>
            <w:pStyle w:val="TOC2"/>
            <w:tabs>
              <w:tab w:pos="1919" w:val="left" w:leader="none"/>
              <w:tab w:pos="8930" w:val="left" w:leader="dot"/>
            </w:tabs>
          </w:pPr>
          <w:hyperlink w:history="true" w:anchor="_bookmark1083">
            <w:r>
              <w:rPr/>
              <w:t>Part B</w:t>
              <w:tab/>
              <w:t>Jurisdictional Derogations for New</w:t>
            </w:r>
            <w:r>
              <w:rPr>
                <w:spacing w:val="-13"/>
              </w:rPr>
              <w:t> </w:t>
            </w:r>
            <w:r>
              <w:rPr/>
              <w:t>South</w:t>
            </w:r>
            <w:r>
              <w:rPr>
                <w:spacing w:val="-3"/>
              </w:rPr>
              <w:t> </w:t>
            </w:r>
            <w:r>
              <w:rPr/>
              <w:t>Wales</w:t>
              <w:tab/>
              <w:t>751</w:t>
            </w:r>
          </w:hyperlink>
        </w:p>
        <w:p>
          <w:pPr>
            <w:pStyle w:val="TOC2"/>
            <w:numPr>
              <w:ilvl w:val="1"/>
              <w:numId w:val="40"/>
            </w:numPr>
            <w:tabs>
              <w:tab w:pos="1919" w:val="left" w:leader="none"/>
              <w:tab w:pos="1920" w:val="left" w:leader="none"/>
              <w:tab w:pos="8930" w:val="left" w:leader="dot"/>
            </w:tabs>
            <w:spacing w:line="240" w:lineRule="auto" w:before="120" w:after="0"/>
            <w:ind w:left="1919" w:right="0" w:hanging="1702"/>
            <w:jc w:val="left"/>
          </w:pPr>
          <w:hyperlink w:history="true" w:anchor="_bookmark1084">
            <w:r>
              <w:rPr/>
              <w:t>[Deleted]</w:t>
              <w:tab/>
              <w:t>751</w:t>
            </w:r>
          </w:hyperlink>
        </w:p>
        <w:p>
          <w:pPr>
            <w:pStyle w:val="TOC2"/>
            <w:numPr>
              <w:ilvl w:val="1"/>
              <w:numId w:val="40"/>
            </w:numPr>
            <w:tabs>
              <w:tab w:pos="1919" w:val="left" w:leader="none"/>
              <w:tab w:pos="1920" w:val="left" w:leader="none"/>
              <w:tab w:pos="8930" w:val="left" w:leader="dot"/>
            </w:tabs>
            <w:spacing w:line="240" w:lineRule="auto" w:before="120" w:after="0"/>
            <w:ind w:left="1919" w:right="0" w:hanging="1702"/>
            <w:jc w:val="left"/>
          </w:pPr>
          <w:hyperlink w:history="true" w:anchor="_bookmark1085">
            <w:r>
              <w:rPr/>
              <w:t>Definitions</w:t>
              <w:tab/>
              <w:t>751</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86">
            <w:r>
              <w:rPr/>
              <w:t>Definitions used in this</w:t>
            </w:r>
            <w:r>
              <w:rPr>
                <w:spacing w:val="-5"/>
              </w:rPr>
              <w:t> </w:t>
            </w:r>
            <w:r>
              <w:rPr/>
              <w:t>Part</w:t>
            </w:r>
            <w:r>
              <w:rPr>
                <w:spacing w:val="-2"/>
              </w:rPr>
              <w:t> </w:t>
            </w:r>
            <w:r>
              <w:rPr/>
              <w:t>B</w:t>
              <w:tab/>
              <w:t>751</w:t>
            </w:r>
          </w:hyperlink>
        </w:p>
        <w:p>
          <w:pPr>
            <w:pStyle w:val="TOC2"/>
            <w:numPr>
              <w:ilvl w:val="1"/>
              <w:numId w:val="40"/>
            </w:numPr>
            <w:tabs>
              <w:tab w:pos="1919" w:val="left" w:leader="none"/>
              <w:tab w:pos="1920" w:val="left" w:leader="none"/>
              <w:tab w:pos="8930" w:val="left" w:leader="dot"/>
            </w:tabs>
            <w:spacing w:line="240" w:lineRule="auto" w:before="120" w:after="0"/>
            <w:ind w:left="1919" w:right="414" w:hanging="1701"/>
            <w:jc w:val="left"/>
          </w:pPr>
          <w:hyperlink w:history="true" w:anchor="_bookmark1087">
            <w:r>
              <w:rPr/>
              <w:t>Transitional  Arrangements   for   Chapter 2   -   Generators,</w:t>
            </w:r>
          </w:hyperlink>
          <w:hyperlink w:history="true" w:anchor="_bookmark1087">
            <w:r>
              <w:rPr/>
              <w:t> Registered   Participants,   Registration   and   Cross    Border</w:t>
            </w:r>
          </w:hyperlink>
          <w:hyperlink w:history="true" w:anchor="_bookmark1087">
            <w:r>
              <w:rPr/>
              <w:t> Networks</w:t>
              <w:tab/>
            </w:r>
            <w:r>
              <w:rPr>
                <w:spacing w:val="-6"/>
              </w:rPr>
              <w:t>752</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88">
            <w:r>
              <w:rPr/>
              <w:t>[Deleted]</w:t>
              <w:tab/>
              <w:t>752</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89">
            <w:r>
              <w:rPr/>
              <w:t>Customers</w:t>
              <w:tab/>
              <w:t>752</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90">
            <w:r>
              <w:rPr/>
              <w:t>Power</w:t>
            </w:r>
            <w:r>
              <w:rPr>
                <w:spacing w:val="-3"/>
              </w:rPr>
              <w:t> </w:t>
            </w:r>
            <w:r>
              <w:rPr/>
              <w:t>Traders</w:t>
              <w:tab/>
              <w:t>752</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91">
            <w:r>
              <w:rPr/>
              <w:t>Cross</w:t>
            </w:r>
            <w:r>
              <w:rPr>
                <w:spacing w:val="-3"/>
              </w:rPr>
              <w:t> </w:t>
            </w:r>
            <w:r>
              <w:rPr/>
              <w:t>Border</w:t>
            </w:r>
            <w:r>
              <w:rPr>
                <w:spacing w:val="-2"/>
              </w:rPr>
              <w:t> </w:t>
            </w:r>
            <w:r>
              <w:rPr/>
              <w:t>Networks</w:t>
              <w:tab/>
              <w:t>755</w:t>
            </w:r>
          </w:hyperlink>
        </w:p>
        <w:p>
          <w:pPr>
            <w:pStyle w:val="TOC2"/>
            <w:numPr>
              <w:ilvl w:val="1"/>
              <w:numId w:val="40"/>
            </w:numPr>
            <w:tabs>
              <w:tab w:pos="1919" w:val="left" w:leader="none"/>
              <w:tab w:pos="1920" w:val="left" w:leader="none"/>
              <w:tab w:pos="8930" w:val="left" w:leader="dot"/>
            </w:tabs>
            <w:spacing w:line="240" w:lineRule="auto" w:before="120" w:after="0"/>
            <w:ind w:left="1919" w:right="0" w:hanging="1702"/>
            <w:jc w:val="left"/>
          </w:pPr>
          <w:hyperlink w:history="true" w:anchor="_bookmark1092">
            <w:r>
              <w:rPr/>
              <w:t>[Deleted]</w:t>
              <w:tab/>
              <w:t>756</w:t>
            </w:r>
          </w:hyperlink>
        </w:p>
        <w:p>
          <w:pPr>
            <w:pStyle w:val="TOC2"/>
            <w:numPr>
              <w:ilvl w:val="1"/>
              <w:numId w:val="40"/>
            </w:numPr>
            <w:tabs>
              <w:tab w:pos="1919" w:val="left" w:leader="none"/>
              <w:tab w:pos="1920" w:val="left" w:leader="none"/>
              <w:tab w:pos="8931" w:val="left" w:leader="dot"/>
            </w:tabs>
            <w:spacing w:line="240" w:lineRule="auto" w:before="120" w:after="0"/>
            <w:ind w:left="1919" w:right="0" w:hanging="1702"/>
            <w:jc w:val="left"/>
          </w:pPr>
          <w:hyperlink w:history="true" w:anchor="_bookmark1093">
            <w:r>
              <w:rPr/>
              <w:t>Transitional Arrangements for Chapter 4 -</w:t>
            </w:r>
            <w:r>
              <w:rPr>
                <w:spacing w:val="-8"/>
              </w:rPr>
              <w:t> </w:t>
            </w:r>
            <w:r>
              <w:rPr/>
              <w:t>System</w:t>
            </w:r>
            <w:r>
              <w:rPr>
                <w:spacing w:val="-1"/>
              </w:rPr>
              <w:t> </w:t>
            </w:r>
            <w:r>
              <w:rPr/>
              <w:t>Security</w:t>
              <w:tab/>
              <w:t>756</w:t>
            </w:r>
          </w:hyperlink>
        </w:p>
        <w:p>
          <w:pPr>
            <w:pStyle w:val="TOC3"/>
            <w:numPr>
              <w:ilvl w:val="2"/>
              <w:numId w:val="40"/>
            </w:numPr>
            <w:tabs>
              <w:tab w:pos="1919" w:val="left" w:leader="none"/>
              <w:tab w:pos="1920" w:val="left" w:leader="none"/>
              <w:tab w:pos="8929" w:val="left" w:leader="dot"/>
            </w:tabs>
            <w:spacing w:line="240" w:lineRule="auto" w:before="0" w:after="0"/>
            <w:ind w:left="1919" w:right="0" w:hanging="1702"/>
            <w:jc w:val="left"/>
          </w:pPr>
          <w:hyperlink w:history="true" w:anchor="_bookmark1094">
            <w:r>
              <w:rPr/>
              <w:t>Power System</w:t>
            </w:r>
            <w:r>
              <w:rPr>
                <w:spacing w:val="-11"/>
              </w:rPr>
              <w:t> </w:t>
            </w:r>
            <w:r>
              <w:rPr/>
              <w:t>Operating</w:t>
            </w:r>
            <w:r>
              <w:rPr>
                <w:spacing w:val="-5"/>
              </w:rPr>
              <w:t> </w:t>
            </w:r>
            <w:r>
              <w:rPr/>
              <w:t>Procedures</w:t>
              <w:tab/>
              <w:t>756</w:t>
            </w:r>
          </w:hyperlink>
        </w:p>
        <w:p>
          <w:pPr>
            <w:pStyle w:val="TOC2"/>
            <w:numPr>
              <w:ilvl w:val="1"/>
              <w:numId w:val="40"/>
            </w:numPr>
            <w:tabs>
              <w:tab w:pos="1919" w:val="left" w:leader="none"/>
              <w:tab w:pos="1920" w:val="left" w:leader="none"/>
              <w:tab w:pos="8931" w:val="left" w:leader="dot"/>
            </w:tabs>
            <w:spacing w:line="240" w:lineRule="auto" w:before="120" w:after="0"/>
            <w:ind w:left="1919" w:right="0" w:hanging="1702"/>
            <w:jc w:val="left"/>
          </w:pPr>
          <w:hyperlink w:history="true" w:anchor="_bookmark1095">
            <w:r>
              <w:rPr/>
              <w:t>NSW contestable services for</w:t>
            </w:r>
            <w:r>
              <w:rPr>
                <w:spacing w:val="-8"/>
              </w:rPr>
              <w:t> </w:t>
            </w:r>
            <w:r>
              <w:rPr/>
              <w:t>Chapter</w:t>
            </w:r>
            <w:r>
              <w:rPr>
                <w:spacing w:val="-1"/>
              </w:rPr>
              <w:t> </w:t>
            </w:r>
            <w:r>
              <w:rPr/>
              <w:t>5A</w:t>
              <w:tab/>
              <w:t>756</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96">
            <w:r>
              <w:rPr/>
              <w:t>Definitions</w:t>
              <w:tab/>
              <w:t>756</w:t>
            </w:r>
          </w:hyperlink>
        </w:p>
        <w:p>
          <w:pPr>
            <w:pStyle w:val="TOC3"/>
            <w:numPr>
              <w:ilvl w:val="2"/>
              <w:numId w:val="40"/>
            </w:numPr>
            <w:tabs>
              <w:tab w:pos="1919" w:val="left" w:leader="none"/>
              <w:tab w:pos="1920" w:val="left" w:leader="none"/>
              <w:tab w:pos="8931" w:val="left" w:leader="dot"/>
            </w:tabs>
            <w:spacing w:line="240" w:lineRule="auto" w:before="0" w:after="0"/>
            <w:ind w:left="1919" w:right="0" w:hanging="1702"/>
            <w:jc w:val="left"/>
          </w:pPr>
          <w:hyperlink w:history="true" w:anchor="_bookmark1097">
            <w:r>
              <w:rPr/>
              <w:t>Chapter 5A not to apply to certain</w:t>
            </w:r>
            <w:r>
              <w:rPr>
                <w:spacing w:val="-7"/>
              </w:rPr>
              <w:t> </w:t>
            </w:r>
            <w:r>
              <w:rPr/>
              <w:t>contestable</w:t>
            </w:r>
            <w:r>
              <w:rPr>
                <w:spacing w:val="-1"/>
              </w:rPr>
              <w:t> </w:t>
            </w:r>
            <w:r>
              <w:rPr/>
              <w:t>services</w:t>
              <w:tab/>
              <w:t>756</w:t>
            </w:r>
          </w:hyperlink>
        </w:p>
        <w:p>
          <w:pPr>
            <w:pStyle w:val="TOC2"/>
            <w:numPr>
              <w:ilvl w:val="1"/>
              <w:numId w:val="40"/>
            </w:numPr>
            <w:tabs>
              <w:tab w:pos="1919" w:val="left" w:leader="none"/>
              <w:tab w:pos="1920" w:val="left" w:leader="none"/>
              <w:tab w:pos="8931" w:val="left" w:leader="dot"/>
            </w:tabs>
            <w:spacing w:line="240" w:lineRule="auto" w:before="120" w:after="0"/>
            <w:ind w:left="1919" w:right="0" w:hanging="1702"/>
            <w:jc w:val="left"/>
          </w:pPr>
          <w:hyperlink w:history="true" w:anchor="_bookmark1098">
            <w:r>
              <w:rPr/>
              <w:t>Transitional Arrangements for Chapter 6 -</w:t>
            </w:r>
            <w:r>
              <w:rPr>
                <w:spacing w:val="-8"/>
              </w:rPr>
              <w:t> </w:t>
            </w:r>
            <w:r>
              <w:rPr/>
              <w:t>Network</w:t>
            </w:r>
            <w:r>
              <w:rPr>
                <w:spacing w:val="-2"/>
              </w:rPr>
              <w:t> </w:t>
            </w:r>
            <w:r>
              <w:rPr/>
              <w:t>Pricing</w:t>
              <w:tab/>
              <w:t>756</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099">
            <w:r>
              <w:rPr/>
              <w:t>NSW</w:t>
            </w:r>
            <w:r>
              <w:rPr>
                <w:spacing w:val="-4"/>
              </w:rPr>
              <w:t> </w:t>
            </w:r>
            <w:r>
              <w:rPr/>
              <w:t>contestable</w:t>
            </w:r>
            <w:r>
              <w:rPr>
                <w:spacing w:val="-2"/>
              </w:rPr>
              <w:t> </w:t>
            </w:r>
            <w:r>
              <w:rPr/>
              <w:t>services</w:t>
              <w:tab/>
              <w:t>756</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0">
            <w:r>
              <w:rPr/>
              <w:t>[Deleted]</w:t>
              <w:tab/>
              <w:t>756</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1">
            <w:r>
              <w:rPr/>
              <w:t>Jurisdictional</w:t>
            </w:r>
            <w:r>
              <w:rPr>
                <w:spacing w:val="-3"/>
              </w:rPr>
              <w:t> </w:t>
            </w:r>
            <w:r>
              <w:rPr/>
              <w:t>Regulator</w:t>
              <w:tab/>
              <w:t>756</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2">
            <w:r>
              <w:rPr/>
              <w:t>Deemed</w:t>
            </w:r>
            <w:r>
              <w:rPr>
                <w:spacing w:val="-2"/>
              </w:rPr>
              <w:t> </w:t>
            </w:r>
            <w:r>
              <w:rPr/>
              <w:t>Regulated</w:t>
            </w:r>
            <w:r>
              <w:rPr>
                <w:spacing w:val="-1"/>
              </w:rPr>
              <w:t> </w:t>
            </w:r>
            <w:r>
              <w:rPr/>
              <w:t>Interconnector</w:t>
              <w:tab/>
              <w:t>757</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3">
            <w:r>
              <w:rPr/>
              <w:t>[Deleted]</w:t>
              <w:tab/>
              <w:t>757</w:t>
            </w:r>
          </w:hyperlink>
        </w:p>
        <w:p>
          <w:pPr>
            <w:pStyle w:val="TOC2"/>
            <w:numPr>
              <w:ilvl w:val="1"/>
              <w:numId w:val="40"/>
            </w:numPr>
            <w:tabs>
              <w:tab w:pos="1919" w:val="left" w:leader="none"/>
              <w:tab w:pos="1920" w:val="left" w:leader="none"/>
              <w:tab w:pos="8931" w:val="left" w:leader="dot"/>
            </w:tabs>
            <w:spacing w:line="240" w:lineRule="auto" w:before="120" w:after="0"/>
            <w:ind w:left="1919" w:right="0" w:hanging="1702"/>
            <w:jc w:val="left"/>
          </w:pPr>
          <w:hyperlink w:history="true" w:anchor="_bookmark1104">
            <w:r>
              <w:rPr/>
              <w:t>Transitional Arrangements for Chapter 7</w:t>
            </w:r>
            <w:r>
              <w:rPr>
                <w:spacing w:val="-5"/>
              </w:rPr>
              <w:t> </w:t>
            </w:r>
            <w:r>
              <w:rPr/>
              <w:t>-</w:t>
            </w:r>
            <w:r>
              <w:rPr>
                <w:spacing w:val="-1"/>
              </w:rPr>
              <w:t> </w:t>
            </w:r>
            <w:r>
              <w:rPr/>
              <w:t>Metering</w:t>
              <w:tab/>
              <w:t>757</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5">
            <w:r>
              <w:rPr/>
              <w:t>Extent</w:t>
            </w:r>
            <w:r>
              <w:rPr>
                <w:spacing w:val="-3"/>
              </w:rPr>
              <w:t> </w:t>
            </w:r>
            <w:r>
              <w:rPr/>
              <w:t>of</w:t>
            </w:r>
            <w:r>
              <w:rPr>
                <w:spacing w:val="-2"/>
              </w:rPr>
              <w:t> </w:t>
            </w:r>
            <w:r>
              <w:rPr/>
              <w:t>Derogations</w:t>
              <w:tab/>
              <w:t>757</w:t>
            </w:r>
          </w:hyperlink>
        </w:p>
        <w:p>
          <w:pPr>
            <w:pStyle w:val="TOC3"/>
            <w:numPr>
              <w:ilvl w:val="2"/>
              <w:numId w:val="40"/>
            </w:numPr>
            <w:tabs>
              <w:tab w:pos="1919" w:val="left" w:leader="none"/>
              <w:tab w:pos="1920" w:val="left" w:leader="none"/>
              <w:tab w:pos="8930" w:val="left" w:leader="dot"/>
            </w:tabs>
            <w:spacing w:line="240" w:lineRule="auto" w:before="0" w:after="0"/>
            <w:ind w:left="1919" w:right="0" w:hanging="1702"/>
            <w:jc w:val="left"/>
          </w:pPr>
          <w:hyperlink w:history="true" w:anchor="_bookmark1106">
            <w:r>
              <w:rPr/>
              <w:t>Initial Registration</w:t>
            </w:r>
            <w:r>
              <w:rPr>
                <w:spacing w:val="-5"/>
              </w:rPr>
              <w:t> </w:t>
            </w:r>
            <w:r>
              <w:rPr/>
              <w:t>(clause</w:t>
            </w:r>
            <w:r>
              <w:rPr>
                <w:spacing w:val="-3"/>
              </w:rPr>
              <w:t> </w:t>
            </w:r>
            <w:r>
              <w:rPr/>
              <w:t>7.1.2)</w:t>
              <w:tab/>
              <w:t>757</w:t>
            </w:r>
          </w:hyperlink>
        </w:p>
        <w:p>
          <w:pPr>
            <w:pStyle w:val="TOC3"/>
            <w:numPr>
              <w:ilvl w:val="2"/>
              <w:numId w:val="40"/>
            </w:numPr>
            <w:tabs>
              <w:tab w:pos="1919" w:val="left" w:leader="none"/>
              <w:tab w:pos="1920" w:val="left" w:leader="none"/>
              <w:tab w:pos="8930" w:val="left" w:leader="dot"/>
            </w:tabs>
            <w:spacing w:line="240" w:lineRule="auto" w:before="0" w:after="240"/>
            <w:ind w:left="1919" w:right="0" w:hanging="1702"/>
            <w:jc w:val="left"/>
          </w:pPr>
          <w:hyperlink w:history="true" w:anchor="_bookmark1107">
            <w:r>
              <w:rPr/>
              <w:t>Amendments to</w:t>
            </w:r>
            <w:r>
              <w:rPr>
                <w:spacing w:val="-4"/>
              </w:rPr>
              <w:t> </w:t>
            </w:r>
            <w:r>
              <w:rPr/>
              <w:t>Schedule</w:t>
            </w:r>
            <w:r>
              <w:rPr>
                <w:spacing w:val="-3"/>
              </w:rPr>
              <w:t> </w:t>
            </w:r>
            <w:r>
              <w:rPr/>
              <w:t>9G1</w:t>
              <w:tab/>
              <w:t>757</w:t>
            </w:r>
          </w:hyperlink>
        </w:p>
        <w:p>
          <w:pPr>
            <w:pStyle w:val="TOC3"/>
            <w:numPr>
              <w:ilvl w:val="2"/>
              <w:numId w:val="40"/>
            </w:numPr>
            <w:tabs>
              <w:tab w:pos="1919" w:val="left" w:leader="none"/>
              <w:tab w:pos="1920" w:val="left" w:leader="none"/>
            </w:tabs>
            <w:spacing w:line="240" w:lineRule="auto" w:before="83" w:after="0"/>
            <w:ind w:left="1919" w:right="0" w:hanging="1702"/>
            <w:jc w:val="left"/>
          </w:pPr>
          <w:hyperlink w:history="true" w:anchor="_bookmark1108">
            <w:r>
              <w:rPr/>
              <w:t>Compliance with AS/NZ ISO 9002 (clause S7.4.3(f)</w:t>
            </w:r>
            <w:r>
              <w:rPr>
                <w:spacing w:val="8"/>
              </w:rPr>
              <w:t> </w:t>
            </w:r>
            <w:r>
              <w:rPr/>
              <w:t>of schedule</w:t>
            </w:r>
          </w:hyperlink>
        </w:p>
        <w:p>
          <w:pPr>
            <w:pStyle w:val="TOC5"/>
          </w:pPr>
          <w:hyperlink w:history="true" w:anchor="_bookmark1108">
            <w:r>
              <w:rPr/>
              <w:t>7.4)</w:t>
            </w:r>
            <w:r>
              <w:rPr>
                <w:spacing w:val="-28"/>
              </w:rPr>
              <w:t> </w:t>
            </w:r>
            <w:r>
              <w:rPr/>
              <w:t>..............................................................................................................758</w:t>
            </w:r>
          </w:hyperlink>
        </w:p>
        <w:p>
          <w:pPr>
            <w:pStyle w:val="TOC2"/>
            <w:numPr>
              <w:ilvl w:val="1"/>
              <w:numId w:val="42"/>
            </w:numPr>
            <w:tabs>
              <w:tab w:pos="639" w:val="left" w:leader="none"/>
              <w:tab w:pos="1919" w:val="left" w:leader="none"/>
              <w:tab w:pos="8931" w:val="left" w:leader="dot"/>
            </w:tabs>
            <w:spacing w:line="240" w:lineRule="auto" w:before="120" w:after="0"/>
            <w:ind w:left="639" w:right="0" w:hanging="421"/>
            <w:jc w:val="left"/>
          </w:pPr>
          <w:hyperlink w:history="true" w:anchor="_bookmark1109">
            <w:r>
              <w:rPr/>
              <w:t>A</w:t>
              <w:tab/>
              <w:t>[Deleted]</w:t>
              <w:tab/>
              <w:t>758</w:t>
            </w:r>
          </w:hyperlink>
        </w:p>
        <w:p>
          <w:pPr>
            <w:pStyle w:val="TOC2"/>
            <w:numPr>
              <w:ilvl w:val="1"/>
              <w:numId w:val="42"/>
            </w:numPr>
            <w:tabs>
              <w:tab w:pos="1919" w:val="left" w:leader="none"/>
              <w:tab w:pos="1920" w:val="left" w:leader="none"/>
              <w:tab w:pos="8930" w:val="left" w:leader="dot"/>
            </w:tabs>
            <w:spacing w:line="240" w:lineRule="auto" w:before="120" w:after="0"/>
            <w:ind w:left="1919" w:right="0" w:hanging="1702"/>
            <w:jc w:val="left"/>
          </w:pPr>
          <w:hyperlink w:history="true" w:anchor="_bookmark1110">
            <w:r>
              <w:rPr/>
              <w:t>[Deleted]</w:t>
              <w:tab/>
              <w:t>758</w:t>
            </w:r>
          </w:hyperlink>
        </w:p>
        <w:p>
          <w:pPr>
            <w:pStyle w:val="TOC2"/>
            <w:tabs>
              <w:tab w:pos="1919" w:val="left" w:leader="none"/>
              <w:tab w:pos="8929" w:val="left" w:leader="dot"/>
            </w:tabs>
          </w:pPr>
          <w:hyperlink w:history="true" w:anchor="_bookmark1111">
            <w:r>
              <w:rPr/>
              <w:t>Part C</w:t>
              <w:tab/>
              <w:t>Jurisdictional Derogations for the Australian</w:t>
            </w:r>
            <w:r>
              <w:rPr>
                <w:spacing w:val="-20"/>
              </w:rPr>
              <w:t> </w:t>
            </w:r>
            <w:r>
              <w:rPr/>
              <w:t>Capital</w:t>
            </w:r>
            <w:r>
              <w:rPr>
                <w:spacing w:val="-4"/>
              </w:rPr>
              <w:t> </w:t>
            </w:r>
            <w:r>
              <w:rPr/>
              <w:t>Territory</w:t>
              <w:tab/>
              <w:t>758</w:t>
            </w:r>
          </w:hyperlink>
        </w:p>
        <w:p>
          <w:pPr>
            <w:pStyle w:val="TOC2"/>
            <w:numPr>
              <w:ilvl w:val="1"/>
              <w:numId w:val="42"/>
            </w:numPr>
            <w:tabs>
              <w:tab w:pos="1919" w:val="left" w:leader="none"/>
              <w:tab w:pos="1920" w:val="left" w:leader="none"/>
              <w:tab w:pos="8930" w:val="left" w:leader="dot"/>
            </w:tabs>
            <w:spacing w:line="240" w:lineRule="auto" w:before="120" w:after="0"/>
            <w:ind w:left="1919" w:right="0" w:hanging="1702"/>
            <w:jc w:val="left"/>
          </w:pPr>
          <w:hyperlink w:history="true" w:anchor="_bookmark1112">
            <w:r>
              <w:rPr/>
              <w:t>[Deleted]</w:t>
              <w:tab/>
              <w:t>758</w:t>
            </w:r>
          </w:hyperlink>
        </w:p>
        <w:p>
          <w:pPr>
            <w:pStyle w:val="TOC2"/>
            <w:numPr>
              <w:ilvl w:val="1"/>
              <w:numId w:val="42"/>
            </w:numPr>
            <w:tabs>
              <w:tab w:pos="1919" w:val="left" w:leader="none"/>
              <w:tab w:pos="1920" w:val="left" w:leader="none"/>
              <w:tab w:pos="8930" w:val="left" w:leader="dot"/>
            </w:tabs>
            <w:spacing w:line="240" w:lineRule="auto" w:before="120" w:after="0"/>
            <w:ind w:left="1919" w:right="414" w:hanging="1701"/>
            <w:jc w:val="left"/>
          </w:pPr>
          <w:hyperlink w:history="true" w:anchor="_bookmark1113">
            <w:r>
              <w:rPr/>
              <w:t>Definitions and Transitional Arrangements  for  Cross-Border</w:t>
            </w:r>
          </w:hyperlink>
          <w:hyperlink w:history="true" w:anchor="_bookmark1113">
            <w:r>
              <w:rPr/>
              <w:t> Networks</w:t>
              <w:tab/>
            </w:r>
            <w:r>
              <w:rPr>
                <w:spacing w:val="-6"/>
              </w:rPr>
              <w:t>758</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14">
            <w:r>
              <w:rPr/>
              <w:t>Definitions</w:t>
              <w:tab/>
              <w:t>758</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15">
            <w:r>
              <w:rPr/>
              <w:t>Cross</w:t>
            </w:r>
            <w:r>
              <w:rPr>
                <w:spacing w:val="-3"/>
              </w:rPr>
              <w:t> </w:t>
            </w:r>
            <w:r>
              <w:rPr/>
              <w:t>Border</w:t>
            </w:r>
            <w:r>
              <w:rPr>
                <w:spacing w:val="-2"/>
              </w:rPr>
              <w:t> </w:t>
            </w:r>
            <w:r>
              <w:rPr/>
              <w:t>Networks</w:t>
              <w:tab/>
              <w:t>758</w:t>
            </w:r>
          </w:hyperlink>
        </w:p>
        <w:p>
          <w:pPr>
            <w:pStyle w:val="TOC2"/>
            <w:numPr>
              <w:ilvl w:val="1"/>
              <w:numId w:val="42"/>
            </w:numPr>
            <w:tabs>
              <w:tab w:pos="1919" w:val="left" w:leader="none"/>
              <w:tab w:pos="1920" w:val="left" w:leader="none"/>
              <w:tab w:pos="8930" w:val="left" w:leader="dot"/>
            </w:tabs>
            <w:spacing w:line="240" w:lineRule="auto" w:before="120" w:after="0"/>
            <w:ind w:left="1919" w:right="0" w:hanging="1702"/>
            <w:jc w:val="left"/>
          </w:pPr>
          <w:hyperlink w:history="true" w:anchor="_bookmark1116">
            <w:r>
              <w:rPr/>
              <w:t>[Deleted]</w:t>
              <w:tab/>
              <w:t>759</w:t>
            </w:r>
          </w:hyperlink>
        </w:p>
        <w:p>
          <w:pPr>
            <w:pStyle w:val="TOC2"/>
            <w:numPr>
              <w:ilvl w:val="1"/>
              <w:numId w:val="42"/>
            </w:numPr>
            <w:tabs>
              <w:tab w:pos="1919" w:val="left" w:leader="none"/>
              <w:tab w:pos="1920" w:val="left" w:leader="none"/>
              <w:tab w:pos="8930" w:val="left" w:leader="dot"/>
            </w:tabs>
            <w:spacing w:line="240" w:lineRule="auto" w:before="120" w:after="0"/>
            <w:ind w:left="1919" w:right="0" w:hanging="1702"/>
            <w:jc w:val="left"/>
          </w:pPr>
          <w:hyperlink w:history="true" w:anchor="_bookmark1117">
            <w:r>
              <w:rPr/>
              <w:t>[Deleted]</w:t>
              <w:tab/>
              <w:t>759</w:t>
            </w:r>
          </w:hyperlink>
        </w:p>
        <w:p>
          <w:pPr>
            <w:pStyle w:val="TOC2"/>
            <w:numPr>
              <w:ilvl w:val="1"/>
              <w:numId w:val="42"/>
            </w:numPr>
            <w:tabs>
              <w:tab w:pos="1919" w:val="left" w:leader="none"/>
              <w:tab w:pos="1920" w:val="left" w:leader="none"/>
              <w:tab w:pos="8931" w:val="left" w:leader="dot"/>
            </w:tabs>
            <w:spacing w:line="240" w:lineRule="auto" w:before="120" w:after="0"/>
            <w:ind w:left="1919" w:right="0" w:hanging="1702"/>
            <w:jc w:val="left"/>
          </w:pPr>
          <w:hyperlink w:history="true" w:anchor="_bookmark1118">
            <w:r>
              <w:rPr/>
              <w:t>Transitional Arrangements for Chapter 6 -</w:t>
            </w:r>
            <w:r>
              <w:rPr>
                <w:spacing w:val="-8"/>
              </w:rPr>
              <w:t> </w:t>
            </w:r>
            <w:r>
              <w:rPr/>
              <w:t>Network</w:t>
            </w:r>
            <w:r>
              <w:rPr>
                <w:spacing w:val="-2"/>
              </w:rPr>
              <w:t> </w:t>
            </w:r>
            <w:r>
              <w:rPr/>
              <w:t>Pricing</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19">
            <w:r>
              <w:rPr/>
              <w:t>[Deleted]</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20">
            <w:r>
              <w:rPr/>
              <w:t>[Deleted]</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21">
            <w:r>
              <w:rPr/>
              <w:t>[Deleted</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22">
            <w:r>
              <w:rPr/>
              <w:t>[Deleted]</w:t>
              <w:tab/>
              <w:t>759</w:t>
            </w:r>
          </w:hyperlink>
        </w:p>
        <w:p>
          <w:pPr>
            <w:pStyle w:val="TOC2"/>
            <w:numPr>
              <w:ilvl w:val="1"/>
              <w:numId w:val="42"/>
            </w:numPr>
            <w:tabs>
              <w:tab w:pos="1919" w:val="left" w:leader="none"/>
              <w:tab w:pos="1920" w:val="left" w:leader="none"/>
              <w:tab w:pos="8931" w:val="left" w:leader="dot"/>
            </w:tabs>
            <w:spacing w:line="240" w:lineRule="auto" w:before="120" w:after="0"/>
            <w:ind w:left="1919" w:right="0" w:hanging="1702"/>
            <w:jc w:val="left"/>
          </w:pPr>
          <w:hyperlink w:history="true" w:anchor="_bookmark1123">
            <w:r>
              <w:rPr/>
              <w:t>Transitional</w:t>
            </w:r>
            <w:r>
              <w:rPr>
                <w:spacing w:val="-1"/>
              </w:rPr>
              <w:t> </w:t>
            </w:r>
            <w:r>
              <w:rPr/>
              <w:t>Arrangements</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24">
            <w:r>
              <w:rPr/>
              <w:t>Chapter 7</w:t>
            </w:r>
            <w:r>
              <w:rPr>
                <w:spacing w:val="-4"/>
              </w:rPr>
              <w:t> </w:t>
            </w:r>
            <w:r>
              <w:rPr/>
              <w:t>-</w:t>
            </w:r>
            <w:r>
              <w:rPr>
                <w:spacing w:val="-2"/>
              </w:rPr>
              <w:t> </w:t>
            </w:r>
            <w:r>
              <w:rPr/>
              <w:t>Metering</w:t>
              <w:tab/>
              <w:t>759</w:t>
            </w:r>
          </w:hyperlink>
        </w:p>
        <w:p>
          <w:pPr>
            <w:pStyle w:val="TOC3"/>
            <w:numPr>
              <w:ilvl w:val="2"/>
              <w:numId w:val="42"/>
            </w:numPr>
            <w:tabs>
              <w:tab w:pos="1919" w:val="left" w:leader="none"/>
              <w:tab w:pos="1920" w:val="left" w:leader="none"/>
              <w:tab w:pos="8930" w:val="left" w:leader="dot"/>
            </w:tabs>
            <w:spacing w:line="240" w:lineRule="auto" w:before="0" w:after="0"/>
            <w:ind w:left="1919" w:right="0" w:hanging="1702"/>
            <w:jc w:val="left"/>
          </w:pPr>
          <w:hyperlink w:history="true" w:anchor="_bookmark1125">
            <w:r>
              <w:rPr/>
              <w:t>[Deleted]</w:t>
              <w:tab/>
              <w:t>759</w:t>
            </w:r>
          </w:hyperlink>
        </w:p>
        <w:p>
          <w:pPr>
            <w:pStyle w:val="TOC2"/>
            <w:numPr>
              <w:ilvl w:val="1"/>
              <w:numId w:val="43"/>
            </w:numPr>
            <w:tabs>
              <w:tab w:pos="639" w:val="left" w:leader="none"/>
              <w:tab w:pos="1919" w:val="left" w:leader="none"/>
              <w:tab w:pos="8931" w:val="left" w:leader="dot"/>
            </w:tabs>
            <w:spacing w:line="240" w:lineRule="auto" w:before="120" w:after="0"/>
            <w:ind w:left="639" w:right="0" w:hanging="421"/>
            <w:jc w:val="left"/>
          </w:pPr>
          <w:hyperlink w:history="true" w:anchor="_bookmark1126">
            <w:r>
              <w:rPr/>
              <w:t>A</w:t>
              <w:tab/>
              <w:t>[Deleted]</w:t>
              <w:tab/>
              <w:t>759</w:t>
            </w:r>
          </w:hyperlink>
        </w:p>
        <w:p>
          <w:pPr>
            <w:pStyle w:val="TOC2"/>
            <w:tabs>
              <w:tab w:pos="1919" w:val="left" w:leader="none"/>
              <w:tab w:pos="8930" w:val="left" w:leader="dot"/>
            </w:tabs>
          </w:pPr>
          <w:hyperlink w:history="true" w:anchor="_bookmark1127">
            <w:r>
              <w:rPr/>
              <w:t>Part D</w:t>
              <w:tab/>
              <w:t>Jurisdictional Derogations for</w:t>
            </w:r>
            <w:r>
              <w:rPr>
                <w:spacing w:val="-14"/>
              </w:rPr>
              <w:t> </w:t>
            </w:r>
            <w:r>
              <w:rPr/>
              <w:t>South</w:t>
            </w:r>
            <w:r>
              <w:rPr>
                <w:spacing w:val="-4"/>
              </w:rPr>
              <w:t> </w:t>
            </w:r>
            <w:r>
              <w:rPr/>
              <w:t>Australia</w:t>
              <w:tab/>
              <w:t>759</w:t>
            </w:r>
          </w:hyperlink>
        </w:p>
        <w:p>
          <w:pPr>
            <w:pStyle w:val="TOC2"/>
            <w:numPr>
              <w:ilvl w:val="1"/>
              <w:numId w:val="43"/>
            </w:numPr>
            <w:tabs>
              <w:tab w:pos="1919" w:val="left" w:leader="none"/>
              <w:tab w:pos="1920" w:val="left" w:leader="none"/>
              <w:tab w:pos="8930" w:val="left" w:leader="dot"/>
            </w:tabs>
            <w:spacing w:line="240" w:lineRule="auto" w:before="120" w:after="0"/>
            <w:ind w:left="1919" w:right="0" w:hanging="1702"/>
            <w:jc w:val="left"/>
          </w:pPr>
          <w:hyperlink w:history="true" w:anchor="_bookmark1128">
            <w:r>
              <w:rPr/>
              <w:t>Definitions</w:t>
              <w:tab/>
              <w:t>759</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29">
            <w:r>
              <w:rPr/>
              <w:t>[Deleted]</w:t>
              <w:tab/>
              <w:t>759</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30">
            <w:r>
              <w:rPr/>
              <w:t>Definitions</w:t>
              <w:tab/>
              <w:t>759</w:t>
            </w:r>
          </w:hyperlink>
        </w:p>
        <w:p>
          <w:pPr>
            <w:pStyle w:val="TOC2"/>
            <w:numPr>
              <w:ilvl w:val="1"/>
              <w:numId w:val="43"/>
            </w:numPr>
            <w:tabs>
              <w:tab w:pos="1919" w:val="left" w:leader="none"/>
              <w:tab w:pos="1920" w:val="left" w:leader="none"/>
              <w:tab w:pos="3405" w:val="left" w:leader="none"/>
              <w:tab w:pos="5104" w:val="left" w:leader="none"/>
              <w:tab w:pos="5630" w:val="left" w:leader="none"/>
              <w:tab w:pos="6703" w:val="left" w:leader="none"/>
              <w:tab w:pos="7043" w:val="left" w:leader="none"/>
              <w:tab w:pos="7343" w:val="left" w:leader="none"/>
              <w:tab w:pos="8930" w:val="left" w:leader="dot"/>
            </w:tabs>
            <w:spacing w:line="240" w:lineRule="auto" w:before="120" w:after="0"/>
            <w:ind w:left="1919" w:right="414" w:hanging="1701"/>
            <w:jc w:val="left"/>
          </w:pPr>
          <w:hyperlink w:history="true" w:anchor="_bookmark1131">
            <w:r>
              <w:rPr/>
              <w:t>Transitional</w:t>
              <w:tab/>
              <w:t>Arrangements</w:t>
              <w:tab/>
              <w:t>for</w:t>
              <w:tab/>
              <w:t>Chapter</w:t>
              <w:tab/>
              <w:t>2</w:t>
              <w:tab/>
              <w:t>-</w:t>
              <w:tab/>
              <w:t>Registered</w:t>
            </w:r>
          </w:hyperlink>
          <w:hyperlink w:history="true" w:anchor="_bookmark1131">
            <w:r>
              <w:rPr/>
              <w:t> Participants, Registration And Cross</w:t>
            </w:r>
            <w:r>
              <w:rPr>
                <w:spacing w:val="-16"/>
              </w:rPr>
              <w:t> </w:t>
            </w:r>
            <w:r>
              <w:rPr/>
              <w:t>Border</w:t>
            </w:r>
            <w:r>
              <w:rPr>
                <w:spacing w:val="-3"/>
              </w:rPr>
              <w:t> </w:t>
            </w:r>
            <w:r>
              <w:rPr/>
              <w:t>Networks</w:t>
              <w:tab/>
            </w:r>
            <w:r>
              <w:rPr>
                <w:spacing w:val="-6"/>
              </w:rPr>
              <w:t>762</w:t>
            </w:r>
          </w:hyperlink>
        </w:p>
        <w:p>
          <w:pPr>
            <w:pStyle w:val="TOC3"/>
            <w:numPr>
              <w:ilvl w:val="2"/>
              <w:numId w:val="43"/>
            </w:numPr>
            <w:tabs>
              <w:tab w:pos="1919" w:val="left" w:leader="none"/>
              <w:tab w:pos="1920" w:val="left" w:leader="none"/>
              <w:tab w:pos="8931" w:val="left" w:leader="dot"/>
            </w:tabs>
            <w:spacing w:line="240" w:lineRule="auto" w:before="0" w:after="0"/>
            <w:ind w:left="1919" w:right="0" w:hanging="1702"/>
            <w:jc w:val="left"/>
          </w:pPr>
          <w:hyperlink w:history="true" w:anchor="_bookmark1132">
            <w:r>
              <w:rPr/>
              <w:t>Registration as</w:t>
            </w:r>
            <w:r>
              <w:rPr>
                <w:spacing w:val="-1"/>
              </w:rPr>
              <w:t> </w:t>
            </w:r>
            <w:r>
              <w:rPr/>
              <w:t>a</w:t>
            </w:r>
            <w:r>
              <w:rPr>
                <w:spacing w:val="-2"/>
              </w:rPr>
              <w:t> </w:t>
            </w:r>
            <w:r>
              <w:rPr/>
              <w:t>Generator</w:t>
              <w:tab/>
              <w:t>762</w:t>
            </w:r>
          </w:hyperlink>
        </w:p>
        <w:p>
          <w:pPr>
            <w:pStyle w:val="TOC3"/>
            <w:numPr>
              <w:ilvl w:val="2"/>
              <w:numId w:val="43"/>
            </w:numPr>
            <w:tabs>
              <w:tab w:pos="1919" w:val="left" w:leader="none"/>
              <w:tab w:pos="1920" w:val="left" w:leader="none"/>
              <w:tab w:pos="8931" w:val="left" w:leader="dot"/>
            </w:tabs>
            <w:spacing w:line="240" w:lineRule="auto" w:before="0" w:after="0"/>
            <w:ind w:left="1919" w:right="0" w:hanging="1702"/>
            <w:jc w:val="left"/>
          </w:pPr>
          <w:hyperlink w:history="true" w:anchor="_bookmark1133">
            <w:r>
              <w:rPr/>
              <w:t>Registration as</w:t>
            </w:r>
            <w:r>
              <w:rPr>
                <w:spacing w:val="-1"/>
              </w:rPr>
              <w:t> </w:t>
            </w:r>
            <w:r>
              <w:rPr/>
              <w:t>a</w:t>
            </w:r>
            <w:r>
              <w:rPr>
                <w:spacing w:val="-2"/>
              </w:rPr>
              <w:t> </w:t>
            </w:r>
            <w:r>
              <w:rPr/>
              <w:t>Customer</w:t>
              <w:tab/>
              <w:t>763</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34">
            <w:r>
              <w:rPr/>
              <w:t>Cross</w:t>
            </w:r>
            <w:r>
              <w:rPr>
                <w:spacing w:val="-3"/>
              </w:rPr>
              <w:t> </w:t>
            </w:r>
            <w:r>
              <w:rPr/>
              <w:t>Border</w:t>
            </w:r>
            <w:r>
              <w:rPr>
                <w:spacing w:val="-2"/>
              </w:rPr>
              <w:t> </w:t>
            </w:r>
            <w:r>
              <w:rPr/>
              <w:t>Networks</w:t>
              <w:tab/>
              <w:t>763</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35">
            <w:r>
              <w:rPr/>
              <w:t>[Deleted]</w:t>
              <w:tab/>
              <w:t>763</w:t>
            </w:r>
          </w:hyperlink>
        </w:p>
        <w:p>
          <w:pPr>
            <w:pStyle w:val="TOC3"/>
            <w:numPr>
              <w:ilvl w:val="2"/>
              <w:numId w:val="43"/>
            </w:numPr>
            <w:tabs>
              <w:tab w:pos="1919" w:val="left" w:leader="none"/>
              <w:tab w:pos="1920" w:val="left" w:leader="none"/>
              <w:tab w:pos="8931" w:val="left" w:leader="dot"/>
            </w:tabs>
            <w:spacing w:line="240" w:lineRule="auto" w:before="0" w:after="0"/>
            <w:ind w:left="1919" w:right="0" w:hanging="1702"/>
            <w:jc w:val="left"/>
          </w:pPr>
          <w:hyperlink w:history="true" w:anchor="_bookmark1136">
            <w:r>
              <w:rPr/>
              <w:t>Registration as a Network</w:t>
            </w:r>
            <w:r>
              <w:rPr>
                <w:spacing w:val="-9"/>
              </w:rPr>
              <w:t> </w:t>
            </w:r>
            <w:r>
              <w:rPr/>
              <w:t>Service</w:t>
            </w:r>
            <w:r>
              <w:rPr>
                <w:spacing w:val="-2"/>
              </w:rPr>
              <w:t> </w:t>
            </w:r>
            <w:r>
              <w:rPr/>
              <w:t>Provider</w:t>
              <w:tab/>
              <w:t>763</w:t>
            </w:r>
          </w:hyperlink>
        </w:p>
        <w:p>
          <w:pPr>
            <w:pStyle w:val="TOC2"/>
            <w:numPr>
              <w:ilvl w:val="1"/>
              <w:numId w:val="43"/>
            </w:numPr>
            <w:tabs>
              <w:tab w:pos="1919" w:val="left" w:leader="none"/>
              <w:tab w:pos="1920" w:val="left" w:leader="none"/>
              <w:tab w:pos="8930" w:val="left" w:leader="dot"/>
            </w:tabs>
            <w:spacing w:line="240" w:lineRule="auto" w:before="120" w:after="0"/>
            <w:ind w:left="1919" w:right="0" w:hanging="1702"/>
            <w:jc w:val="left"/>
          </w:pPr>
          <w:hyperlink w:history="true" w:anchor="_bookmark1137">
            <w:r>
              <w:rPr/>
              <w:t>[Deleted]</w:t>
              <w:tab/>
              <w:t>764</w:t>
            </w:r>
          </w:hyperlink>
        </w:p>
        <w:p>
          <w:pPr>
            <w:pStyle w:val="TOC2"/>
            <w:numPr>
              <w:ilvl w:val="1"/>
              <w:numId w:val="43"/>
            </w:numPr>
            <w:tabs>
              <w:tab w:pos="1919" w:val="left" w:leader="none"/>
              <w:tab w:pos="1920" w:val="left" w:leader="none"/>
              <w:tab w:pos="8930" w:val="left" w:leader="dot"/>
            </w:tabs>
            <w:spacing w:line="240" w:lineRule="auto" w:before="120" w:after="0"/>
            <w:ind w:left="1919" w:right="414" w:hanging="1701"/>
            <w:jc w:val="left"/>
          </w:pPr>
          <w:hyperlink w:history="true" w:anchor="_bookmark1138">
            <w:r>
              <w:rPr/>
              <w:t>Transitional   Arrangements    for    Chapter 5    -    Network</w:t>
            </w:r>
          </w:hyperlink>
          <w:hyperlink w:history="true" w:anchor="_bookmark1138">
            <w:r>
              <w:rPr/>
              <w:t> Connection</w:t>
              <w:tab/>
            </w:r>
            <w:r>
              <w:rPr>
                <w:spacing w:val="-6"/>
              </w:rPr>
              <w:t>764</w:t>
            </w:r>
          </w:hyperlink>
        </w:p>
        <w:p>
          <w:pPr>
            <w:pStyle w:val="TOC3"/>
            <w:numPr>
              <w:ilvl w:val="2"/>
              <w:numId w:val="43"/>
            </w:numPr>
            <w:tabs>
              <w:tab w:pos="1919" w:val="left" w:leader="none"/>
              <w:tab w:pos="1920" w:val="left" w:leader="none"/>
              <w:tab w:pos="8931" w:val="left" w:leader="dot"/>
            </w:tabs>
            <w:spacing w:line="240" w:lineRule="auto" w:before="0" w:after="0"/>
            <w:ind w:left="1919" w:right="0" w:hanging="1702"/>
            <w:jc w:val="left"/>
          </w:pPr>
          <w:hyperlink w:history="true" w:anchor="_bookmark1139">
            <w:r>
              <w:rPr/>
              <w:t>Application of</w:t>
            </w:r>
            <w:r>
              <w:rPr>
                <w:spacing w:val="-3"/>
              </w:rPr>
              <w:t> </w:t>
            </w:r>
            <w:r>
              <w:rPr/>
              <w:t>clause</w:t>
            </w:r>
            <w:r>
              <w:rPr>
                <w:spacing w:val="-1"/>
              </w:rPr>
              <w:t> </w:t>
            </w:r>
            <w:r>
              <w:rPr/>
              <w:t>5.2</w:t>
              <w:tab/>
              <w:t>764</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0">
            <w:r>
              <w:rPr/>
              <w:t>[Deleted]</w:t>
              <w:tab/>
              <w:t>765</w:t>
            </w:r>
          </w:hyperlink>
        </w:p>
        <w:p>
          <w:pPr>
            <w:pStyle w:val="TOC2"/>
            <w:numPr>
              <w:ilvl w:val="1"/>
              <w:numId w:val="43"/>
            </w:numPr>
            <w:tabs>
              <w:tab w:pos="1919" w:val="left" w:leader="none"/>
              <w:tab w:pos="1920" w:val="left" w:leader="none"/>
              <w:tab w:pos="3453" w:val="left" w:leader="none"/>
              <w:tab w:pos="5200" w:val="left" w:leader="none"/>
              <w:tab w:pos="8928" w:val="left" w:leader="dot"/>
            </w:tabs>
            <w:spacing w:line="240" w:lineRule="auto" w:before="120" w:after="0"/>
            <w:ind w:left="1919" w:right="416" w:hanging="1701"/>
            <w:jc w:val="left"/>
          </w:pPr>
          <w:hyperlink w:history="true" w:anchor="_bookmark1141">
            <w:r>
              <w:rPr/>
              <w:t>Transitional</w:t>
              <w:tab/>
              <w:t>Arrangements</w:t>
              <w:tab/>
              <w:t>for   Chapter 6   -   Economic</w:t>
            </w:r>
          </w:hyperlink>
          <w:hyperlink w:history="true" w:anchor="_bookmark1141">
            <w:r>
              <w:rPr/>
              <w:t> Regulation of</w:t>
            </w:r>
            <w:r>
              <w:rPr>
                <w:spacing w:val="-12"/>
              </w:rPr>
              <w:t> </w:t>
            </w:r>
            <w:r>
              <w:rPr/>
              <w:t>Distribution</w:t>
            </w:r>
            <w:r>
              <w:rPr>
                <w:spacing w:val="-6"/>
              </w:rPr>
              <w:t> </w:t>
            </w:r>
            <w:r>
              <w:rPr/>
              <w:t>Services</w:t>
              <w:tab/>
            </w:r>
            <w:r>
              <w:rPr>
                <w:spacing w:val="-6"/>
              </w:rPr>
              <w:t>765</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2">
            <w:r>
              <w:rPr/>
              <w:t>[Deleted]</w:t>
              <w:tab/>
              <w:t>765</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3">
            <w:r>
              <w:rPr/>
              <w:t>[Deleted]</w:t>
              <w:tab/>
              <w:t>765</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4">
            <w:r>
              <w:rPr/>
              <w:t>[Deleted]</w:t>
              <w:tab/>
              <w:t>765</w:t>
            </w:r>
          </w:hyperlink>
        </w:p>
        <w:p>
          <w:pPr>
            <w:pStyle w:val="TOC3"/>
            <w:numPr>
              <w:ilvl w:val="2"/>
              <w:numId w:val="43"/>
            </w:numPr>
            <w:tabs>
              <w:tab w:pos="1919" w:val="left" w:leader="none"/>
              <w:tab w:pos="1920" w:val="left" w:leader="none"/>
              <w:tab w:pos="8930" w:val="left" w:leader="dot"/>
            </w:tabs>
            <w:spacing w:line="240" w:lineRule="auto" w:before="0" w:after="235"/>
            <w:ind w:left="1919" w:right="0" w:hanging="1702"/>
            <w:jc w:val="left"/>
          </w:pPr>
          <w:hyperlink w:history="true" w:anchor="_bookmark1145">
            <w:r>
              <w:rPr/>
              <w:t>[Deleted]</w:t>
              <w:tab/>
              <w:t>765</w:t>
            </w:r>
          </w:hyperlink>
        </w:p>
        <w:p>
          <w:pPr>
            <w:pStyle w:val="TOC3"/>
            <w:numPr>
              <w:ilvl w:val="2"/>
              <w:numId w:val="43"/>
            </w:numPr>
            <w:tabs>
              <w:tab w:pos="1919" w:val="left" w:leader="none"/>
              <w:tab w:pos="1920" w:val="left" w:leader="none"/>
              <w:tab w:pos="8928" w:val="left" w:leader="dot"/>
            </w:tabs>
            <w:spacing w:line="240" w:lineRule="auto" w:before="83" w:after="0"/>
            <w:ind w:left="1919" w:right="0" w:hanging="1702"/>
            <w:jc w:val="left"/>
          </w:pPr>
          <w:hyperlink w:history="true" w:anchor="_bookmark1146">
            <w:r>
              <w:rPr/>
              <w:t>Distribution Network Pricing –</w:t>
            </w:r>
            <w:r>
              <w:rPr>
                <w:spacing w:val="-18"/>
              </w:rPr>
              <w:t> </w:t>
            </w:r>
            <w:r>
              <w:rPr/>
              <w:t>South</w:t>
            </w:r>
            <w:r>
              <w:rPr>
                <w:spacing w:val="-5"/>
              </w:rPr>
              <w:t> </w:t>
            </w:r>
            <w:r>
              <w:rPr/>
              <w:t>Australia</w:t>
              <w:tab/>
              <w:t>765</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7">
            <w:r>
              <w:rPr/>
              <w:t>Capital contributions, prepayments and</w:t>
            </w:r>
            <w:r>
              <w:rPr>
                <w:spacing w:val="-3"/>
              </w:rPr>
              <w:t> </w:t>
            </w:r>
            <w:r>
              <w:rPr/>
              <w:t>financial</w:t>
            </w:r>
            <w:r>
              <w:rPr>
                <w:spacing w:val="-1"/>
              </w:rPr>
              <w:t> </w:t>
            </w:r>
            <w:r>
              <w:rPr/>
              <w:t>guarantees</w:t>
              <w:tab/>
              <w:t>766</w:t>
            </w:r>
          </w:hyperlink>
        </w:p>
        <w:p>
          <w:pPr>
            <w:pStyle w:val="TOC3"/>
            <w:numPr>
              <w:ilvl w:val="2"/>
              <w:numId w:val="43"/>
            </w:numPr>
            <w:tabs>
              <w:tab w:pos="1919" w:val="left" w:leader="none"/>
              <w:tab w:pos="1920" w:val="left" w:leader="none"/>
              <w:tab w:pos="8930" w:val="left" w:leader="dot"/>
            </w:tabs>
            <w:spacing w:line="240" w:lineRule="auto" w:before="0" w:after="0"/>
            <w:ind w:left="1919" w:right="0" w:hanging="1702"/>
            <w:jc w:val="left"/>
          </w:pPr>
          <w:hyperlink w:history="true" w:anchor="_bookmark1148">
            <w:r>
              <w:rPr/>
              <w:t>Ring</w:t>
            </w:r>
            <w:r>
              <w:rPr>
                <w:spacing w:val="-1"/>
              </w:rPr>
              <w:t> </w:t>
            </w:r>
            <w:r>
              <w:rPr/>
              <w:t>fencing</w:t>
              <w:tab/>
              <w:t>766</w:t>
            </w:r>
          </w:hyperlink>
        </w:p>
        <w:p>
          <w:pPr>
            <w:pStyle w:val="TOC2"/>
            <w:numPr>
              <w:ilvl w:val="1"/>
              <w:numId w:val="44"/>
            </w:numPr>
            <w:tabs>
              <w:tab w:pos="639" w:val="left" w:leader="none"/>
              <w:tab w:pos="1919" w:val="left" w:leader="none"/>
              <w:tab w:pos="8931" w:val="left" w:leader="dot"/>
            </w:tabs>
            <w:spacing w:line="240" w:lineRule="auto" w:before="120" w:after="0"/>
            <w:ind w:left="639" w:right="0" w:hanging="421"/>
            <w:jc w:val="left"/>
          </w:pPr>
          <w:hyperlink w:history="true" w:anchor="_bookmark1149">
            <w:r>
              <w:rPr/>
              <w:t>A</w:t>
              <w:tab/>
              <w:t>Monitoring</w:t>
            </w:r>
            <w:r>
              <w:rPr>
                <w:spacing w:val="-1"/>
              </w:rPr>
              <w:t> </w:t>
            </w:r>
            <w:r>
              <w:rPr/>
              <w:t>and reporting</w:t>
              <w:tab/>
              <w:t>766</w:t>
            </w:r>
          </w:hyperlink>
        </w:p>
        <w:p>
          <w:pPr>
            <w:pStyle w:val="TOC2"/>
            <w:numPr>
              <w:ilvl w:val="1"/>
              <w:numId w:val="44"/>
            </w:numPr>
            <w:tabs>
              <w:tab w:pos="1919" w:val="left" w:leader="none"/>
              <w:tab w:pos="1920" w:val="left" w:leader="none"/>
              <w:tab w:pos="8931" w:val="left" w:leader="dot"/>
            </w:tabs>
            <w:spacing w:line="240" w:lineRule="auto" w:before="120" w:after="0"/>
            <w:ind w:left="1919" w:right="0" w:hanging="1702"/>
            <w:jc w:val="left"/>
          </w:pPr>
          <w:hyperlink w:history="true" w:anchor="_bookmark1150">
            <w:r>
              <w:rPr/>
              <w:t>Transitional</w:t>
            </w:r>
            <w:r>
              <w:rPr>
                <w:spacing w:val="-1"/>
              </w:rPr>
              <w:t> </w:t>
            </w:r>
            <w:r>
              <w:rPr/>
              <w:t>Provisions</w:t>
              <w:tab/>
              <w:t>767</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51">
            <w:r>
              <w:rPr/>
              <w:t>Chapter 7</w:t>
            </w:r>
            <w:r>
              <w:rPr>
                <w:spacing w:val="-4"/>
              </w:rPr>
              <w:t> </w:t>
            </w:r>
            <w:r>
              <w:rPr/>
              <w:t>-</w:t>
            </w:r>
            <w:r>
              <w:rPr>
                <w:spacing w:val="-2"/>
              </w:rPr>
              <w:t> </w:t>
            </w:r>
            <w:r>
              <w:rPr/>
              <w:t>Metering</w:t>
              <w:tab/>
              <w:t>767</w:t>
            </w:r>
          </w:hyperlink>
        </w:p>
        <w:p>
          <w:pPr>
            <w:pStyle w:val="TOC2"/>
            <w:tabs>
              <w:tab w:pos="1919" w:val="left" w:leader="none"/>
              <w:tab w:pos="8931" w:val="left" w:leader="dot"/>
            </w:tabs>
          </w:pPr>
          <w:hyperlink w:history="true" w:anchor="_bookmark1152">
            <w:r>
              <w:rPr/>
              <w:t>Part E</w:t>
              <w:tab/>
              <w:t>Jurisdictional Derogations</w:t>
            </w:r>
            <w:r>
              <w:rPr>
                <w:spacing w:val="-6"/>
              </w:rPr>
              <w:t> </w:t>
            </w:r>
            <w:r>
              <w:rPr/>
              <w:t>for</w:t>
            </w:r>
            <w:r>
              <w:rPr>
                <w:spacing w:val="-3"/>
              </w:rPr>
              <w:t> </w:t>
            </w:r>
            <w:r>
              <w:rPr/>
              <w:t>Queensland</w:t>
              <w:tab/>
              <w:t>767</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153">
            <w:r>
              <w:rPr/>
              <w:t>[Deleted]</w:t>
              <w:tab/>
              <w:t>767</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154">
            <w:r>
              <w:rPr/>
              <w:t>Definitions</w:t>
            </w:r>
            <w:r>
              <w:rPr>
                <w:spacing w:val="-5"/>
              </w:rPr>
              <w:t> </w:t>
            </w:r>
            <w:r>
              <w:rPr/>
              <w:t>and</w:t>
            </w:r>
            <w:r>
              <w:rPr>
                <w:spacing w:val="-5"/>
              </w:rPr>
              <w:t> </w:t>
            </w:r>
            <w:r>
              <w:rPr/>
              <w:t>Interpretation</w:t>
              <w:tab/>
              <w:t>767</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55">
            <w:r>
              <w:rPr/>
              <w:t>Definitions</w:t>
              <w:tab/>
              <w:t>767</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56">
            <w:r>
              <w:rPr/>
              <w:t>Interpretation</w:t>
              <w:tab/>
              <w:t>770</w:t>
            </w:r>
          </w:hyperlink>
        </w:p>
        <w:p>
          <w:pPr>
            <w:pStyle w:val="TOC2"/>
            <w:numPr>
              <w:ilvl w:val="1"/>
              <w:numId w:val="44"/>
            </w:numPr>
            <w:tabs>
              <w:tab w:pos="1919" w:val="left" w:leader="none"/>
              <w:tab w:pos="1920" w:val="left" w:leader="none"/>
              <w:tab w:pos="8931" w:val="left" w:leader="dot"/>
            </w:tabs>
            <w:spacing w:line="240" w:lineRule="auto" w:before="120" w:after="0"/>
            <w:ind w:left="1919" w:right="0" w:hanging="1702"/>
            <w:jc w:val="left"/>
          </w:pPr>
          <w:hyperlink w:history="true" w:anchor="_bookmark1157">
            <w:r>
              <w:rPr/>
              <w:t>Transitional Arrangements for</w:t>
            </w:r>
            <w:r>
              <w:rPr>
                <w:spacing w:val="-4"/>
              </w:rPr>
              <w:t> </w:t>
            </w:r>
            <w:r>
              <w:rPr/>
              <w:t>Chapter</w:t>
            </w:r>
            <w:r>
              <w:rPr>
                <w:spacing w:val="-1"/>
              </w:rPr>
              <w:t> </w:t>
            </w:r>
            <w:r>
              <w:rPr/>
              <w:t>1</w:t>
              <w:tab/>
              <w:t>770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58">
            <w:r>
              <w:rPr/>
              <w:t>[Deleted]</w:t>
              <w:tab/>
              <w:t>770</w:t>
            </w:r>
          </w:hyperlink>
        </w:p>
        <w:p>
          <w:pPr>
            <w:pStyle w:val="TOC2"/>
            <w:numPr>
              <w:ilvl w:val="1"/>
              <w:numId w:val="44"/>
            </w:numPr>
            <w:tabs>
              <w:tab w:pos="1919" w:val="left" w:leader="none"/>
              <w:tab w:pos="1920" w:val="left" w:leader="none"/>
              <w:tab w:pos="3437" w:val="left" w:leader="none"/>
              <w:tab w:pos="8930" w:val="left" w:leader="dot"/>
            </w:tabs>
            <w:spacing w:line="240" w:lineRule="auto" w:before="120" w:after="0"/>
            <w:ind w:left="1919" w:right="414" w:hanging="1701"/>
            <w:jc w:val="left"/>
          </w:pPr>
          <w:hyperlink w:history="true" w:anchor="_bookmark1159">
            <w:r>
              <w:rPr/>
              <w:t>Transitional</w:t>
              <w:tab/>
              <w:t>Arrangements  for  Chapter 2   -   Registered</w:t>
            </w:r>
          </w:hyperlink>
          <w:hyperlink w:history="true" w:anchor="_bookmark1159">
            <w:r>
              <w:rPr/>
              <w:t> Participants</w:t>
            </w:r>
            <w:r>
              <w:rPr>
                <w:spacing w:val="-4"/>
              </w:rPr>
              <w:t> </w:t>
            </w:r>
            <w:r>
              <w:rPr/>
              <w:t>and</w:t>
            </w:r>
            <w:r>
              <w:rPr>
                <w:spacing w:val="-3"/>
              </w:rPr>
              <w:t> </w:t>
            </w:r>
            <w:r>
              <w:rPr/>
              <w:t>Registration</w:t>
              <w:tab/>
            </w:r>
            <w:r>
              <w:rPr>
                <w:spacing w:val="-6"/>
              </w:rPr>
              <w:t>770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60">
            <w:r>
              <w:rPr/>
              <w:t>Application of the Rules in Queensland (clauses 2.2</w:t>
            </w:r>
            <w:r>
              <w:rPr>
                <w:spacing w:val="-13"/>
              </w:rPr>
              <w:t> </w:t>
            </w:r>
            <w:r>
              <w:rPr/>
              <w:t>and</w:t>
            </w:r>
            <w:r>
              <w:rPr>
                <w:spacing w:val="-1"/>
              </w:rPr>
              <w:t> </w:t>
            </w:r>
            <w:r>
              <w:rPr/>
              <w:t>2.5)</w:t>
              <w:tab/>
              <w:t>770</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61">
            <w:r>
              <w:rPr/>
              <w:t>Stanwell Cross Border Leases</w:t>
            </w:r>
            <w:r>
              <w:rPr>
                <w:spacing w:val="-3"/>
              </w:rPr>
              <w:t> </w:t>
            </w:r>
            <w:r>
              <w:rPr/>
              <w:t>(clause</w:t>
            </w:r>
            <w:r>
              <w:rPr>
                <w:spacing w:val="-1"/>
              </w:rPr>
              <w:t> </w:t>
            </w:r>
            <w:r>
              <w:rPr/>
              <w:t>2.2)</w:t>
              <w:tab/>
              <w:t>770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62">
            <w:r>
              <w:rPr/>
              <w:t>[Deleted]</w:t>
              <w:tab/>
              <w:t>770</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63">
            <w:r>
              <w:rPr/>
              <w:t>Registration as a Customer</w:t>
            </w:r>
            <w:r>
              <w:rPr>
                <w:spacing w:val="-3"/>
              </w:rPr>
              <w:t> </w:t>
            </w:r>
            <w:r>
              <w:rPr/>
              <w:t>(clause 2.3.1)</w:t>
              <w:tab/>
              <w:t>770</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64">
            <w:r>
              <w:rPr/>
              <w:t>There is no</w:t>
            </w:r>
            <w:r>
              <w:rPr>
                <w:spacing w:val="-1"/>
              </w:rPr>
              <w:t> </w:t>
            </w:r>
            <w:r>
              <w:rPr/>
              <w:t>clause 9.34.5</w:t>
              <w:tab/>
              <w:t>771</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65">
            <w:r>
              <w:rPr/>
              <w:t>Exempted generation agreements</w:t>
            </w:r>
            <w:r>
              <w:rPr>
                <w:spacing w:val="-2"/>
              </w:rPr>
              <w:t> </w:t>
            </w:r>
            <w:r>
              <w:rPr/>
              <w:t>(clause 2.2)</w:t>
              <w:tab/>
              <w:t>771</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166">
            <w:r>
              <w:rPr/>
              <w:t>[Deleted]</w:t>
              <w:tab/>
              <w:t>775</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167">
            <w:r>
              <w:rPr/>
              <w:t>[Deleted]</w:t>
              <w:tab/>
              <w:t>775</w:t>
            </w:r>
          </w:hyperlink>
        </w:p>
        <w:p>
          <w:pPr>
            <w:pStyle w:val="TOC2"/>
            <w:numPr>
              <w:ilvl w:val="1"/>
              <w:numId w:val="44"/>
            </w:numPr>
            <w:tabs>
              <w:tab w:pos="1919" w:val="left" w:leader="none"/>
              <w:tab w:pos="1920" w:val="left" w:leader="none"/>
              <w:tab w:pos="8930" w:val="left" w:leader="dot"/>
            </w:tabs>
            <w:spacing w:line="240" w:lineRule="auto" w:before="120" w:after="0"/>
            <w:ind w:left="1919" w:right="414" w:hanging="1701"/>
            <w:jc w:val="left"/>
          </w:pPr>
          <w:hyperlink w:history="true" w:anchor="_bookmark1168">
            <w:r>
              <w:rPr/>
              <w:t>Transitional   Arrangements    for    Chapter 5    -    Network</w:t>
            </w:r>
          </w:hyperlink>
          <w:hyperlink w:history="true" w:anchor="_bookmark1168">
            <w:r>
              <w:rPr/>
              <w:t> Connection</w:t>
              <w:tab/>
            </w:r>
            <w:r>
              <w:rPr>
                <w:spacing w:val="-6"/>
              </w:rPr>
              <w:t>775</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69">
            <w:r>
              <w:rPr/>
              <w:t>[Deleted]</w:t>
              <w:tab/>
              <w:t>775</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70">
            <w:r>
              <w:rPr/>
              <w:t>Existing connection and access agreements</w:t>
            </w:r>
            <w:r>
              <w:rPr>
                <w:spacing w:val="-4"/>
              </w:rPr>
              <w:t> </w:t>
            </w:r>
            <w:r>
              <w:rPr/>
              <w:t>(clause 5.2)</w:t>
              <w:tab/>
              <w:t>775</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1">
            <w:r>
              <w:rPr/>
              <w:t>[Deleted]</w:t>
              <w:tab/>
              <w:t>776</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2">
            <w:r>
              <w:rPr/>
              <w:t>[Deleted]</w:t>
              <w:tab/>
              <w:t>776</w:t>
            </w:r>
          </w:hyperlink>
        </w:p>
        <w:p>
          <w:pPr>
            <w:pStyle w:val="TOC3"/>
            <w:numPr>
              <w:ilvl w:val="2"/>
              <w:numId w:val="44"/>
            </w:numPr>
            <w:tabs>
              <w:tab w:pos="1919" w:val="left" w:leader="none"/>
              <w:tab w:pos="1920" w:val="left" w:leader="none"/>
            </w:tabs>
            <w:spacing w:line="240" w:lineRule="auto" w:before="0" w:after="0"/>
            <w:ind w:left="1919" w:right="0" w:hanging="1702"/>
            <w:jc w:val="left"/>
          </w:pPr>
          <w:hyperlink w:history="true" w:anchor="_bookmark1173">
            <w:r>
              <w:rPr/>
              <w:t>Forecasts for connection points to transmission network</w:t>
            </w:r>
            <w:r>
              <w:rPr>
                <w:spacing w:val="43"/>
              </w:rPr>
              <w:t> </w:t>
            </w:r>
            <w:r>
              <w:rPr/>
              <w:t>(clause</w:t>
            </w:r>
          </w:hyperlink>
        </w:p>
        <w:p>
          <w:pPr>
            <w:pStyle w:val="TOC5"/>
          </w:pPr>
          <w:hyperlink w:history="true" w:anchor="_bookmark1173">
            <w:r>
              <w:rPr/>
              <w:t>5.11.1)</w:t>
            </w:r>
            <w:r>
              <w:rPr>
                <w:spacing w:val="-28"/>
              </w:rPr>
              <w:t> </w:t>
            </w:r>
            <w:r>
              <w:rPr/>
              <w:t>.........................................................................................................776</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74">
            <w:r>
              <w:rPr/>
              <w:t>There is no</w:t>
            </w:r>
            <w:r>
              <w:rPr>
                <w:spacing w:val="-1"/>
              </w:rPr>
              <w:t> </w:t>
            </w:r>
            <w:r>
              <w:rPr/>
              <w:t>clause 9.37.6</w:t>
              <w:tab/>
              <w:t>776</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5">
            <w:r>
              <w:rPr/>
              <w:t>Cross</w:t>
            </w:r>
            <w:r>
              <w:rPr>
                <w:spacing w:val="-3"/>
              </w:rPr>
              <w:t> </w:t>
            </w:r>
            <w:r>
              <w:rPr/>
              <w:t>Border</w:t>
            </w:r>
            <w:r>
              <w:rPr>
                <w:spacing w:val="-2"/>
              </w:rPr>
              <w:t> </w:t>
            </w:r>
            <w:r>
              <w:rPr/>
              <w:t>Networks</w:t>
              <w:tab/>
              <w:t>776</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6">
            <w:r>
              <w:rPr/>
              <w:t>[Deleted]</w:t>
              <w:tab/>
              <w:t>777</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7">
            <w:r>
              <w:rPr/>
              <w:t>Credible contingency events (clause S5.1.2.1 of</w:t>
            </w:r>
            <w:r>
              <w:rPr>
                <w:spacing w:val="-9"/>
              </w:rPr>
              <w:t> </w:t>
            </w:r>
            <w:r>
              <w:rPr/>
              <w:t>schedule</w:t>
            </w:r>
            <w:r>
              <w:rPr>
                <w:spacing w:val="-2"/>
              </w:rPr>
              <w:t> </w:t>
            </w:r>
            <w:r>
              <w:rPr/>
              <w:t>5.1)</w:t>
              <w:tab/>
              <w:t>777</w:t>
            </w:r>
          </w:hyperlink>
        </w:p>
        <w:p>
          <w:pPr>
            <w:pStyle w:val="TOC3"/>
            <w:numPr>
              <w:ilvl w:val="2"/>
              <w:numId w:val="44"/>
            </w:numPr>
            <w:tabs>
              <w:tab w:pos="1919" w:val="left" w:leader="none"/>
              <w:tab w:pos="1920" w:val="left" w:leader="none"/>
              <w:tab w:pos="8929" w:val="left" w:leader="dot"/>
            </w:tabs>
            <w:spacing w:line="240" w:lineRule="auto" w:before="0" w:after="0"/>
            <w:ind w:left="1919" w:right="0" w:hanging="1702"/>
            <w:jc w:val="left"/>
          </w:pPr>
          <w:hyperlink w:history="true" w:anchor="_bookmark1178">
            <w:r>
              <w:rPr/>
              <w:t>Reactive power capability (clause S5.2.5.1 of</w:t>
            </w:r>
            <w:r>
              <w:rPr>
                <w:spacing w:val="-12"/>
              </w:rPr>
              <w:t> </w:t>
            </w:r>
            <w:r>
              <w:rPr/>
              <w:t>schedule</w:t>
            </w:r>
            <w:r>
              <w:rPr>
                <w:spacing w:val="-3"/>
              </w:rPr>
              <w:t> </w:t>
            </w:r>
            <w:r>
              <w:rPr/>
              <w:t>5.2)</w:t>
              <w:tab/>
              <w:t>777</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79">
            <w:r>
              <w:rPr/>
              <w:t>[Deleted]</w:t>
              <w:tab/>
              <w:t>778</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0">
            <w:r>
              <w:rPr/>
              <w:t>Voltage fluctuations (clause S5.1.5 of</w:t>
            </w:r>
            <w:r>
              <w:rPr>
                <w:spacing w:val="-12"/>
              </w:rPr>
              <w:t> </w:t>
            </w:r>
            <w:r>
              <w:rPr/>
              <w:t>schedule</w:t>
            </w:r>
            <w:r>
              <w:rPr>
                <w:spacing w:val="-3"/>
              </w:rPr>
              <w:t> </w:t>
            </w:r>
            <w:r>
              <w:rPr/>
              <w:t>5.1)</w:t>
              <w:tab/>
              <w:t>778</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1">
            <w:r>
              <w:rPr/>
              <w:t>[Deleted]</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2">
            <w:r>
              <w:rPr/>
              <w:t>[Deleted]</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3">
            <w:r>
              <w:rPr/>
              <w:t>[Deleted]</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4">
            <w:r>
              <w:rPr/>
              <w:t>[Deleted]</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5">
            <w:r>
              <w:rPr/>
              <w:t>[Deleted]</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86">
            <w:r>
              <w:rPr/>
              <w:t>[Deleted]</w:t>
              <w:tab/>
              <w:t>780</w:t>
            </w:r>
          </w:hyperlink>
        </w:p>
        <w:p>
          <w:pPr>
            <w:pStyle w:val="TOC3"/>
            <w:numPr>
              <w:ilvl w:val="2"/>
              <w:numId w:val="44"/>
            </w:numPr>
            <w:tabs>
              <w:tab w:pos="1919" w:val="left" w:leader="none"/>
              <w:tab w:pos="1920" w:val="left" w:leader="none"/>
              <w:tab w:pos="8930" w:val="left" w:leader="dot"/>
            </w:tabs>
            <w:spacing w:line="240" w:lineRule="auto" w:before="0" w:after="127"/>
            <w:ind w:left="1919" w:right="414" w:hanging="1701"/>
            <w:jc w:val="left"/>
          </w:pPr>
          <w:hyperlink w:history="true" w:anchor="_bookmark1187">
            <w:r>
              <w:rPr/>
              <w:t>Generating  unit  response   to   disturbances   (clause   S5.2.5.3   of</w:t>
            </w:r>
          </w:hyperlink>
          <w:hyperlink w:history="true" w:anchor="_bookmark1187">
            <w:r>
              <w:rPr/>
              <w:t> schedule</w:t>
            </w:r>
            <w:r>
              <w:rPr>
                <w:spacing w:val="-4"/>
              </w:rPr>
              <w:t> </w:t>
            </w:r>
            <w:r>
              <w:rPr/>
              <w:t>5.2)</w:t>
              <w:tab/>
            </w:r>
            <w:r>
              <w:rPr>
                <w:spacing w:val="-6"/>
              </w:rPr>
              <w:t>780</w:t>
            </w:r>
          </w:hyperlink>
        </w:p>
        <w:p>
          <w:pPr>
            <w:pStyle w:val="TOC3"/>
            <w:numPr>
              <w:ilvl w:val="2"/>
              <w:numId w:val="44"/>
            </w:numPr>
            <w:tabs>
              <w:tab w:pos="1919" w:val="left" w:leader="none"/>
              <w:tab w:pos="1920" w:val="left" w:leader="none"/>
              <w:tab w:pos="8930" w:val="left" w:leader="dot"/>
            </w:tabs>
            <w:spacing w:line="240" w:lineRule="auto" w:before="83" w:after="0"/>
            <w:ind w:left="1919" w:right="0" w:hanging="1702"/>
            <w:jc w:val="left"/>
          </w:pPr>
          <w:hyperlink w:history="true" w:anchor="_bookmark1188">
            <w:r>
              <w:rPr/>
              <w:t>[Deleted]</w:t>
              <w:tab/>
              <w:t>780</w:t>
            </w:r>
          </w:hyperlink>
        </w:p>
        <w:p>
          <w:pPr>
            <w:pStyle w:val="TOC3"/>
            <w:numPr>
              <w:ilvl w:val="2"/>
              <w:numId w:val="44"/>
            </w:numPr>
            <w:tabs>
              <w:tab w:pos="1919" w:val="left" w:leader="none"/>
              <w:tab w:pos="1920" w:val="left" w:leader="none"/>
              <w:tab w:pos="8929" w:val="left" w:leader="dot"/>
            </w:tabs>
            <w:spacing w:line="240" w:lineRule="auto" w:before="0" w:after="0"/>
            <w:ind w:left="1919" w:right="0" w:hanging="1702"/>
            <w:jc w:val="left"/>
          </w:pPr>
          <w:hyperlink w:history="true" w:anchor="_bookmark1189">
            <w:r>
              <w:rPr/>
              <w:t>Excitation control system (clause S.5.2.5.13 of</w:t>
            </w:r>
            <w:r>
              <w:rPr>
                <w:spacing w:val="-14"/>
              </w:rPr>
              <w:t> </w:t>
            </w:r>
            <w:r>
              <w:rPr/>
              <w:t>schedule</w:t>
            </w:r>
            <w:r>
              <w:rPr>
                <w:spacing w:val="-2"/>
              </w:rPr>
              <w:t> </w:t>
            </w:r>
            <w:r>
              <w:rPr/>
              <w:t>5.2)</w:t>
              <w:tab/>
              <w:t>780</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90">
            <w:r>
              <w:rPr/>
              <w:t>[Deleted]</w:t>
              <w:tab/>
              <w:t>781</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91">
            <w:r>
              <w:rPr/>
              <w:t>Annual forecast information for planning purposes</w:t>
            </w:r>
            <w:r>
              <w:rPr>
                <w:spacing w:val="-6"/>
              </w:rPr>
              <w:t> </w:t>
            </w:r>
            <w:r>
              <w:rPr/>
              <w:t>(schedule</w:t>
            </w:r>
            <w:r>
              <w:rPr>
                <w:spacing w:val="-1"/>
              </w:rPr>
              <w:t> </w:t>
            </w:r>
            <w:r>
              <w:rPr/>
              <w:t>5.7)</w:t>
              <w:tab/>
              <w:t>781</w:t>
            </w:r>
          </w:hyperlink>
        </w:p>
        <w:p>
          <w:pPr>
            <w:pStyle w:val="TOC2"/>
            <w:numPr>
              <w:ilvl w:val="1"/>
              <w:numId w:val="44"/>
            </w:numPr>
            <w:tabs>
              <w:tab w:pos="1919" w:val="left" w:leader="none"/>
              <w:tab w:pos="1920" w:val="left" w:leader="none"/>
              <w:tab w:pos="8931" w:val="left" w:leader="dot"/>
            </w:tabs>
            <w:spacing w:line="240" w:lineRule="auto" w:before="120" w:after="0"/>
            <w:ind w:left="1919" w:right="0" w:hanging="1702"/>
            <w:jc w:val="left"/>
          </w:pPr>
          <w:hyperlink w:history="true" w:anchor="_bookmark1192">
            <w:r>
              <w:rPr/>
              <w:t>Transitional Arrangements for Chapter 6 -</w:t>
            </w:r>
            <w:r>
              <w:rPr>
                <w:spacing w:val="-8"/>
              </w:rPr>
              <w:t> </w:t>
            </w:r>
            <w:r>
              <w:rPr/>
              <w:t>Network</w:t>
            </w:r>
            <w:r>
              <w:rPr>
                <w:spacing w:val="-2"/>
              </w:rPr>
              <w:t> </w:t>
            </w:r>
            <w:r>
              <w:rPr/>
              <w:t>Pricing</w:t>
              <w:tab/>
              <w:t>781</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93">
            <w:r>
              <w:rPr/>
              <w:t>[Deleted]</w:t>
              <w:tab/>
              <w:t>781</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94">
            <w:r>
              <w:rPr/>
              <w:t>[Deleted]</w:t>
              <w:tab/>
              <w:t>781</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195">
            <w:r>
              <w:rPr/>
              <w:t>[Deleted]</w:t>
              <w:tab/>
              <w:t>781</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96">
            <w:r>
              <w:rPr/>
              <w:t>Interconnectors</w:t>
            </w:r>
            <w:r>
              <w:rPr>
                <w:spacing w:val="-1"/>
              </w:rPr>
              <w:t> </w:t>
            </w:r>
            <w:r>
              <w:rPr/>
              <w:t>between</w:t>
            </w:r>
            <w:r>
              <w:rPr>
                <w:spacing w:val="-1"/>
              </w:rPr>
              <w:t> </w:t>
            </w:r>
            <w:r>
              <w:rPr/>
              <w:t>regions</w:t>
              <w:tab/>
              <w:t>781</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97">
            <w:r>
              <w:rPr/>
              <w:t>Transmission pricing for exempted</w:t>
            </w:r>
            <w:r>
              <w:rPr>
                <w:spacing w:val="-3"/>
              </w:rPr>
              <w:t> </w:t>
            </w:r>
            <w:r>
              <w:rPr/>
              <w:t>generation agreements</w:t>
              <w:tab/>
              <w:t>781</w:t>
            </w:r>
          </w:hyperlink>
        </w:p>
        <w:p>
          <w:pPr>
            <w:pStyle w:val="TOC2"/>
            <w:numPr>
              <w:ilvl w:val="1"/>
              <w:numId w:val="44"/>
            </w:numPr>
            <w:tabs>
              <w:tab w:pos="1919" w:val="left" w:leader="none"/>
              <w:tab w:pos="1920" w:val="left" w:leader="none"/>
              <w:tab w:pos="8931" w:val="left" w:leader="dot"/>
            </w:tabs>
            <w:spacing w:line="240" w:lineRule="auto" w:before="120" w:after="0"/>
            <w:ind w:left="1919" w:right="0" w:hanging="1702"/>
            <w:jc w:val="left"/>
          </w:pPr>
          <w:hyperlink w:history="true" w:anchor="_bookmark1198">
            <w:r>
              <w:rPr/>
              <w:t>Transitional Arrangements for Chapter 7</w:t>
            </w:r>
            <w:r>
              <w:rPr>
                <w:spacing w:val="-5"/>
              </w:rPr>
              <w:t> </w:t>
            </w:r>
            <w:r>
              <w:rPr/>
              <w:t>-</w:t>
            </w:r>
            <w:r>
              <w:rPr>
                <w:spacing w:val="-1"/>
              </w:rPr>
              <w:t> </w:t>
            </w:r>
            <w:r>
              <w:rPr/>
              <w:t>Metering</w:t>
              <w:tab/>
              <w:t>782</w:t>
            </w:r>
          </w:hyperlink>
        </w:p>
        <w:p>
          <w:pPr>
            <w:pStyle w:val="TOC3"/>
            <w:numPr>
              <w:ilvl w:val="2"/>
              <w:numId w:val="44"/>
            </w:numPr>
            <w:tabs>
              <w:tab w:pos="1919" w:val="left" w:leader="none"/>
              <w:tab w:pos="1920" w:val="left" w:leader="none"/>
              <w:tab w:pos="8931" w:val="left" w:leader="dot"/>
            </w:tabs>
            <w:spacing w:line="240" w:lineRule="auto" w:before="0" w:after="0"/>
            <w:ind w:left="1919" w:right="0" w:hanging="1702"/>
            <w:jc w:val="left"/>
          </w:pPr>
          <w:hyperlink w:history="true" w:anchor="_bookmark1199">
            <w:r>
              <w:rPr/>
              <w:t>Metering installations to which this</w:t>
            </w:r>
            <w:r>
              <w:rPr>
                <w:spacing w:val="-8"/>
              </w:rPr>
              <w:t> </w:t>
            </w:r>
            <w:r>
              <w:rPr/>
              <w:t>clause</w:t>
            </w:r>
            <w:r>
              <w:rPr>
                <w:spacing w:val="-1"/>
              </w:rPr>
              <w:t> </w:t>
            </w:r>
            <w:r>
              <w:rPr/>
              <w:t>applies</w:t>
              <w:tab/>
              <w:t>782</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0">
            <w:r>
              <w:rPr/>
              <w:t>[Deleted]</w:t>
              <w:tab/>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1">
            <w:r>
              <w:rPr/>
              <w:t>[Deleted]</w:t>
              <w:tab/>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2">
            <w:r>
              <w:rPr/>
              <w:t>[Deleted]</w:t>
              <w:tab/>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3">
            <w:r>
              <w:rPr/>
              <w:t>[Deleted]</w:t>
              <w:tab/>
              <w:t>783</w:t>
            </w:r>
          </w:hyperlink>
        </w:p>
        <w:p>
          <w:pPr>
            <w:pStyle w:val="TOC2"/>
            <w:numPr>
              <w:ilvl w:val="1"/>
              <w:numId w:val="44"/>
            </w:numPr>
            <w:tabs>
              <w:tab w:pos="1919" w:val="left" w:leader="none"/>
              <w:tab w:pos="1920" w:val="left" w:leader="none"/>
              <w:tab w:pos="8931" w:val="left" w:leader="dot"/>
            </w:tabs>
            <w:spacing w:line="240" w:lineRule="auto" w:before="120" w:after="0"/>
            <w:ind w:left="1919" w:right="413" w:hanging="1701"/>
            <w:jc w:val="left"/>
          </w:pPr>
          <w:hyperlink w:history="true" w:anchor="_bookmark1204">
            <w:r>
              <w:rPr/>
              <w:t>Transitional  Arrangements  for  Chapter 8  -  Administration</w:t>
            </w:r>
          </w:hyperlink>
          <w:hyperlink w:history="true" w:anchor="_bookmark1204">
            <w:r>
              <w:rPr/>
              <w:t> Functions</w:t>
              <w:tab/>
            </w:r>
            <w:r>
              <w:rPr>
                <w:spacing w:val="-6"/>
              </w:rPr>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5">
            <w:r>
              <w:rPr/>
              <w:t>[Deleted]</w:t>
              <w:tab/>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6">
            <w:r>
              <w:rPr/>
              <w:t>[Deleted]</w:t>
              <w:tab/>
              <w:t>783</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07">
            <w:r>
              <w:rPr/>
              <w:t>[Deleted]</w:t>
              <w:tab/>
              <w:t>783</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208">
            <w:r>
              <w:rPr/>
              <w:t>[Deleted]</w:t>
              <w:tab/>
              <w:t>783</w:t>
            </w:r>
          </w:hyperlink>
        </w:p>
        <w:p>
          <w:pPr>
            <w:pStyle w:val="TOC2"/>
            <w:tabs>
              <w:tab w:pos="1919" w:val="left" w:leader="none"/>
              <w:tab w:pos="8930" w:val="left" w:leader="dot"/>
            </w:tabs>
          </w:pPr>
          <w:hyperlink w:history="true" w:anchor="_bookmark1209">
            <w:r>
              <w:rPr/>
              <w:t>Part F</w:t>
              <w:tab/>
              <w:t>Jurisdictional Derogations</w:t>
            </w:r>
            <w:r>
              <w:rPr>
                <w:spacing w:val="-6"/>
              </w:rPr>
              <w:t> </w:t>
            </w:r>
            <w:r>
              <w:rPr/>
              <w:t>for</w:t>
            </w:r>
            <w:r>
              <w:rPr>
                <w:spacing w:val="-3"/>
              </w:rPr>
              <w:t> </w:t>
            </w:r>
            <w:r>
              <w:rPr/>
              <w:t>Tasmania</w:t>
              <w:tab/>
              <w:t>784</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210">
            <w:r>
              <w:rPr/>
              <w:t>Definitions</w:t>
            </w:r>
            <w:r>
              <w:rPr>
                <w:spacing w:val="-2"/>
              </w:rPr>
              <w:t> </w:t>
            </w:r>
            <w:r>
              <w:rPr/>
              <w:t>and</w:t>
            </w:r>
            <w:r>
              <w:rPr>
                <w:spacing w:val="-2"/>
              </w:rPr>
              <w:t> </w:t>
            </w:r>
            <w:r>
              <w:rPr/>
              <w:t>interpretation</w:t>
              <w:tab/>
              <w:t>784</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11">
            <w:r>
              <w:rPr/>
              <w:t>Definitions</w:t>
              <w:tab/>
              <w:t>784</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12">
            <w:r>
              <w:rPr/>
              <w:t>Interpretation</w:t>
              <w:tab/>
              <w:t>785</w:t>
            </w:r>
          </w:hyperlink>
        </w:p>
        <w:p>
          <w:pPr>
            <w:pStyle w:val="TOC3"/>
            <w:numPr>
              <w:ilvl w:val="2"/>
              <w:numId w:val="44"/>
            </w:numPr>
            <w:tabs>
              <w:tab w:pos="1919" w:val="left" w:leader="none"/>
              <w:tab w:pos="1920" w:val="left" w:leader="none"/>
              <w:tab w:pos="8930" w:val="left" w:leader="dot"/>
            </w:tabs>
            <w:spacing w:line="240" w:lineRule="auto" w:before="0" w:after="0"/>
            <w:ind w:left="1919" w:right="0" w:hanging="1702"/>
            <w:jc w:val="left"/>
          </w:pPr>
          <w:hyperlink w:history="true" w:anchor="_bookmark1213">
            <w:r>
              <w:rPr/>
              <w:t>National grid, power system and</w:t>
            </w:r>
            <w:r>
              <w:rPr>
                <w:spacing w:val="-8"/>
              </w:rPr>
              <w:t> </w:t>
            </w:r>
            <w:r>
              <w:rPr/>
              <w:t>related</w:t>
            </w:r>
            <w:r>
              <w:rPr>
                <w:spacing w:val="-1"/>
              </w:rPr>
              <w:t> </w:t>
            </w:r>
            <w:r>
              <w:rPr/>
              <w:t>expressions</w:t>
              <w:tab/>
              <w:t>785</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214">
            <w:r>
              <w:rPr/>
              <w:t>[Deleted]</w:t>
              <w:tab/>
              <w:t>786</w:t>
            </w:r>
          </w:hyperlink>
        </w:p>
        <w:p>
          <w:pPr>
            <w:pStyle w:val="TOC2"/>
            <w:numPr>
              <w:ilvl w:val="1"/>
              <w:numId w:val="44"/>
            </w:numPr>
            <w:tabs>
              <w:tab w:pos="1919" w:val="left" w:leader="none"/>
              <w:tab w:pos="1920" w:val="left" w:leader="none"/>
              <w:tab w:pos="3408" w:val="left" w:leader="none"/>
              <w:tab w:pos="5056" w:val="left" w:leader="none"/>
              <w:tab w:pos="5585" w:val="left" w:leader="none"/>
              <w:tab w:pos="6660" w:val="left" w:leader="none"/>
              <w:tab w:pos="7002" w:val="left" w:leader="none"/>
              <w:tab w:pos="7344" w:val="left" w:leader="none"/>
              <w:tab w:pos="8929" w:val="left" w:leader="dot"/>
            </w:tabs>
            <w:spacing w:line="240" w:lineRule="auto" w:before="120" w:after="0"/>
            <w:ind w:left="1919" w:right="415" w:hanging="1701"/>
            <w:jc w:val="left"/>
          </w:pPr>
          <w:hyperlink w:history="true" w:anchor="_bookmark1215">
            <w:r>
              <w:rPr/>
              <w:t>Transitional</w:t>
              <w:tab/>
              <w:t>arrangements</w:t>
              <w:tab/>
              <w:t>for</w:t>
              <w:tab/>
              <w:t>Chapter</w:t>
              <w:tab/>
              <w:t>2</w:t>
              <w:tab/>
              <w:t>–</w:t>
              <w:tab/>
              <w:t>Registered</w:t>
            </w:r>
          </w:hyperlink>
          <w:hyperlink w:history="true" w:anchor="_bookmark1215">
            <w:r>
              <w:rPr/>
              <w:t> Participants and Registration - Customers</w:t>
            </w:r>
            <w:r>
              <w:rPr>
                <w:spacing w:val="-15"/>
              </w:rPr>
              <w:t> </w:t>
            </w:r>
            <w:r>
              <w:rPr/>
              <w:t>(clause</w:t>
            </w:r>
            <w:r>
              <w:rPr>
                <w:spacing w:val="-2"/>
              </w:rPr>
              <w:t> </w:t>
            </w:r>
            <w:r>
              <w:rPr/>
              <w:t>2.3.1(e))</w:t>
              <w:tab/>
            </w:r>
            <w:r>
              <w:rPr>
                <w:spacing w:val="-6"/>
              </w:rPr>
              <w:t>786</w:t>
            </w:r>
          </w:hyperlink>
        </w:p>
        <w:p>
          <w:pPr>
            <w:pStyle w:val="TOC2"/>
            <w:numPr>
              <w:ilvl w:val="1"/>
              <w:numId w:val="44"/>
            </w:numPr>
            <w:tabs>
              <w:tab w:pos="1919" w:val="left" w:leader="none"/>
              <w:tab w:pos="1920" w:val="left" w:leader="none"/>
              <w:tab w:pos="8930" w:val="left" w:leader="dot"/>
            </w:tabs>
            <w:spacing w:line="240" w:lineRule="auto" w:before="120" w:after="0"/>
            <w:ind w:left="1919" w:right="0" w:hanging="1702"/>
            <w:jc w:val="left"/>
          </w:pPr>
          <w:hyperlink w:history="true" w:anchor="_bookmark1216">
            <w:r>
              <w:rPr/>
              <w:t>Tasmanian Region</w:t>
            </w:r>
            <w:r>
              <w:rPr>
                <w:spacing w:val="-4"/>
              </w:rPr>
              <w:t> </w:t>
            </w:r>
            <w:r>
              <w:rPr/>
              <w:t>(clause</w:t>
            </w:r>
            <w:r>
              <w:rPr>
                <w:spacing w:val="-1"/>
              </w:rPr>
              <w:t> </w:t>
            </w:r>
            <w:r>
              <w:rPr/>
              <w:t>3.5)</w:t>
              <w:tab/>
              <w:t>786</w:t>
            </w:r>
          </w:hyperlink>
        </w:p>
        <w:p>
          <w:pPr>
            <w:pStyle w:val="TOC2"/>
            <w:numPr>
              <w:ilvl w:val="1"/>
              <w:numId w:val="45"/>
            </w:numPr>
            <w:tabs>
              <w:tab w:pos="1919" w:val="left" w:leader="none"/>
              <w:tab w:pos="1920" w:val="left" w:leader="none"/>
              <w:tab w:pos="8929" w:val="left" w:leader="dot"/>
            </w:tabs>
            <w:spacing w:line="240" w:lineRule="auto" w:before="120" w:after="0"/>
            <w:ind w:left="1919" w:right="0" w:hanging="1702"/>
            <w:jc w:val="left"/>
          </w:pPr>
          <w:hyperlink w:history="true" w:anchor="_bookmark1217">
            <w:r>
              <w:rPr/>
              <w:t>Transitional arrangements for Chapter 5-</w:t>
            </w:r>
            <w:r>
              <w:rPr>
                <w:spacing w:val="-14"/>
              </w:rPr>
              <w:t> </w:t>
            </w:r>
            <w:r>
              <w:rPr/>
              <w:t>Network</w:t>
            </w:r>
            <w:r>
              <w:rPr>
                <w:spacing w:val="-3"/>
              </w:rPr>
              <w:t> </w:t>
            </w:r>
            <w:r>
              <w:rPr/>
              <w:t>Connection</w:t>
              <w:tab/>
              <w:t>786</w:t>
            </w:r>
          </w:hyperlink>
        </w:p>
        <w:p>
          <w:pPr>
            <w:pStyle w:val="TOC3"/>
            <w:numPr>
              <w:ilvl w:val="2"/>
              <w:numId w:val="45"/>
            </w:numPr>
            <w:tabs>
              <w:tab w:pos="1919" w:val="left" w:leader="none"/>
              <w:tab w:pos="1920" w:val="left" w:leader="none"/>
              <w:tab w:pos="8930" w:val="left" w:leader="dot"/>
            </w:tabs>
            <w:spacing w:line="240" w:lineRule="auto" w:before="0" w:after="0"/>
            <w:ind w:left="1919" w:right="0" w:hanging="1702"/>
            <w:jc w:val="left"/>
          </w:pPr>
          <w:hyperlink w:history="true" w:anchor="_bookmark1218">
            <w:r>
              <w:rPr/>
              <w:t>Existing</w:t>
            </w:r>
            <w:r>
              <w:rPr>
                <w:spacing w:val="-1"/>
              </w:rPr>
              <w:t> </w:t>
            </w:r>
            <w:r>
              <w:rPr/>
              <w:t>Connection</w:t>
            </w:r>
            <w:r>
              <w:rPr>
                <w:spacing w:val="-1"/>
              </w:rPr>
              <w:t> </w:t>
            </w:r>
            <w:r>
              <w:rPr/>
              <w:t>Agreements</w:t>
              <w:tab/>
              <w:t>786</w:t>
            </w:r>
          </w:hyperlink>
        </w:p>
        <w:p>
          <w:pPr>
            <w:pStyle w:val="TOC2"/>
            <w:numPr>
              <w:ilvl w:val="1"/>
              <w:numId w:val="45"/>
            </w:numPr>
            <w:tabs>
              <w:tab w:pos="1919" w:val="left" w:leader="none"/>
              <w:tab w:pos="1920" w:val="left" w:leader="none"/>
            </w:tabs>
            <w:spacing w:line="240" w:lineRule="auto" w:before="120" w:after="0"/>
            <w:ind w:left="1919" w:right="0" w:hanging="1702"/>
            <w:jc w:val="left"/>
          </w:pPr>
          <w:hyperlink w:history="true" w:anchor="_bookmark1219">
            <w:r>
              <w:rPr/>
              <w:t>Transitional</w:t>
            </w:r>
            <w:r>
              <w:rPr>
                <w:spacing w:val="21"/>
              </w:rPr>
              <w:t> </w:t>
            </w:r>
            <w:r>
              <w:rPr/>
              <w:t>arrangements</w:t>
            </w:r>
            <w:r>
              <w:rPr>
                <w:spacing w:val="22"/>
              </w:rPr>
              <w:t> </w:t>
            </w:r>
            <w:r>
              <w:rPr/>
              <w:t>-</w:t>
            </w:r>
            <w:r>
              <w:rPr>
                <w:spacing w:val="22"/>
              </w:rPr>
              <w:t> </w:t>
            </w:r>
            <w:r>
              <w:rPr/>
              <w:t>Transmission</w:t>
            </w:r>
            <w:r>
              <w:rPr>
                <w:spacing w:val="22"/>
              </w:rPr>
              <w:t> </w:t>
            </w:r>
            <w:r>
              <w:rPr/>
              <w:t>and</w:t>
            </w:r>
            <w:r>
              <w:rPr>
                <w:spacing w:val="22"/>
              </w:rPr>
              <w:t> </w:t>
            </w:r>
            <w:r>
              <w:rPr/>
              <w:t>Distribution</w:t>
            </w:r>
          </w:hyperlink>
        </w:p>
        <w:p>
          <w:pPr>
            <w:pStyle w:val="TOC4"/>
            <w:tabs>
              <w:tab w:pos="8931" w:val="left" w:leader="dot"/>
            </w:tabs>
          </w:pPr>
          <w:hyperlink w:history="true" w:anchor="_bookmark1219">
            <w:r>
              <w:rPr/>
              <w:t>Pricing</w:t>
              <w:tab/>
              <w:t>786</w:t>
            </w:r>
          </w:hyperlink>
        </w:p>
        <w:p>
          <w:pPr>
            <w:pStyle w:val="TOC3"/>
            <w:tabs>
              <w:tab w:pos="1919" w:val="left" w:leader="none"/>
              <w:tab w:pos="8930" w:val="left" w:leader="dot"/>
            </w:tabs>
            <w:ind w:left="218"/>
          </w:pPr>
          <w:hyperlink w:history="true" w:anchor="_bookmark1220">
            <w:r>
              <w:rPr/>
              <w:t>9.48.4A</w:t>
              <w:tab/>
              <w:t>Ring</w:t>
            </w:r>
            <w:r>
              <w:rPr>
                <w:spacing w:val="-1"/>
              </w:rPr>
              <w:t> </w:t>
            </w:r>
            <w:r>
              <w:rPr/>
              <w:t>fencing</w:t>
              <w:tab/>
              <w:t>786</w:t>
            </w:r>
          </w:hyperlink>
        </w:p>
        <w:p>
          <w:pPr>
            <w:pStyle w:val="TOC3"/>
            <w:numPr>
              <w:ilvl w:val="2"/>
              <w:numId w:val="46"/>
            </w:numPr>
            <w:tabs>
              <w:tab w:pos="819" w:val="left" w:leader="none"/>
              <w:tab w:pos="1919" w:val="left" w:leader="none"/>
              <w:tab w:pos="8931" w:val="left" w:leader="dot"/>
            </w:tabs>
            <w:spacing w:line="240" w:lineRule="auto" w:before="0" w:after="0"/>
            <w:ind w:left="819" w:right="0" w:hanging="601"/>
            <w:jc w:val="left"/>
          </w:pPr>
          <w:hyperlink w:history="true" w:anchor="_bookmark1221">
            <w:r>
              <w:rPr/>
              <w:t>B</w:t>
              <w:tab/>
              <w:t>Uniformity of tariffs for</w:t>
            </w:r>
            <w:r>
              <w:rPr>
                <w:spacing w:val="-7"/>
              </w:rPr>
              <w:t> </w:t>
            </w:r>
            <w:r>
              <w:rPr/>
              <w:t>small</w:t>
            </w:r>
            <w:r>
              <w:rPr>
                <w:spacing w:val="-1"/>
              </w:rPr>
              <w:t> </w:t>
            </w:r>
            <w:r>
              <w:rPr/>
              <w:t>customers</w:t>
              <w:tab/>
              <w:t>787</w:t>
            </w:r>
          </w:hyperlink>
        </w:p>
        <w:p>
          <w:pPr>
            <w:pStyle w:val="TOC3"/>
            <w:numPr>
              <w:ilvl w:val="2"/>
              <w:numId w:val="46"/>
            </w:numPr>
            <w:tabs>
              <w:tab w:pos="1919" w:val="left" w:leader="none"/>
              <w:tab w:pos="1920" w:val="left" w:leader="none"/>
              <w:tab w:pos="8930" w:val="left" w:leader="dot"/>
            </w:tabs>
            <w:spacing w:line="240" w:lineRule="auto" w:before="0" w:after="0"/>
            <w:ind w:left="1919" w:right="0" w:hanging="1702"/>
            <w:jc w:val="left"/>
          </w:pPr>
          <w:hyperlink w:history="true" w:anchor="_bookmark1222">
            <w:r>
              <w:rPr/>
              <w:t>Transmission</w:t>
            </w:r>
            <w:r>
              <w:rPr>
                <w:spacing w:val="-1"/>
              </w:rPr>
              <w:t> </w:t>
            </w:r>
            <w:r>
              <w:rPr/>
              <w:t>network</w:t>
              <w:tab/>
              <w:t>787</w:t>
            </w:r>
          </w:hyperlink>
        </w:p>
        <w:p>
          <w:pPr>
            <w:pStyle w:val="TOC3"/>
            <w:numPr>
              <w:ilvl w:val="2"/>
              <w:numId w:val="46"/>
            </w:numPr>
            <w:tabs>
              <w:tab w:pos="1919" w:val="left" w:leader="none"/>
              <w:tab w:pos="1920" w:val="left" w:leader="none"/>
              <w:tab w:pos="8931" w:val="left" w:leader="dot"/>
            </w:tabs>
            <w:spacing w:line="240" w:lineRule="auto" w:before="0" w:after="0"/>
            <w:ind w:left="1919" w:right="0" w:hanging="1702"/>
            <w:jc w:val="left"/>
          </w:pPr>
          <w:hyperlink w:history="true" w:anchor="_bookmark1223">
            <w:r>
              <w:rPr/>
              <w:t>Deemed</w:t>
            </w:r>
            <w:r>
              <w:rPr>
                <w:spacing w:val="-2"/>
              </w:rPr>
              <w:t> </w:t>
            </w:r>
            <w:r>
              <w:rPr/>
              <w:t>regulated</w:t>
            </w:r>
            <w:r>
              <w:rPr>
                <w:spacing w:val="-1"/>
              </w:rPr>
              <w:t> </w:t>
            </w:r>
            <w:r>
              <w:rPr/>
              <w:t>interconnector</w:t>
              <w:tab/>
              <w:t>787</w:t>
            </w:r>
          </w:hyperlink>
        </w:p>
        <w:p>
          <w:pPr>
            <w:pStyle w:val="TOC2"/>
            <w:tabs>
              <w:tab w:pos="1919" w:val="left" w:leader="none"/>
              <w:tab w:pos="8930" w:val="left" w:leader="dot"/>
            </w:tabs>
          </w:pPr>
          <w:hyperlink w:history="true" w:anchor="_bookmark1224">
            <w:r>
              <w:rPr/>
              <w:t>Part G</w:t>
              <w:tab/>
              <w:t>Schedules to</w:t>
            </w:r>
            <w:r>
              <w:rPr>
                <w:spacing w:val="-6"/>
              </w:rPr>
              <w:t> </w:t>
            </w:r>
            <w:r>
              <w:rPr/>
              <w:t>Chapter</w:t>
            </w:r>
            <w:r>
              <w:rPr>
                <w:spacing w:val="-3"/>
              </w:rPr>
              <w:t> </w:t>
            </w:r>
            <w:r>
              <w:rPr/>
              <w:t>9</w:t>
              <w:tab/>
              <w:t>787</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25">
            <w:r>
              <w:rPr/>
              <w:t>Introduction</w:t>
              <w:tab/>
              <w:t>787</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26">
            <w:r>
              <w:rPr/>
              <w:t>[Deleted]</w:t>
              <w:tab/>
              <w:t>787</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27">
            <w:r>
              <w:rPr/>
              <w:t>General</w:t>
            </w:r>
            <w:r>
              <w:rPr>
                <w:spacing w:val="-4"/>
              </w:rPr>
              <w:t> </w:t>
            </w:r>
            <w:r>
              <w:rPr/>
              <w:t>Principle</w:t>
              <w:tab/>
              <w:t>787</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28">
            <w:r>
              <w:rPr/>
              <w:t>[Deleted]</w:t>
              <w:tab/>
              <w:t>788</w:t>
            </w:r>
          </w:hyperlink>
        </w:p>
        <w:p>
          <w:pPr>
            <w:pStyle w:val="TOC3"/>
            <w:numPr>
              <w:ilvl w:val="0"/>
              <w:numId w:val="47"/>
            </w:numPr>
            <w:tabs>
              <w:tab w:pos="1919" w:val="left" w:leader="none"/>
              <w:tab w:pos="1920" w:val="left" w:leader="none"/>
              <w:tab w:pos="8930" w:val="left" w:leader="dot"/>
            </w:tabs>
            <w:spacing w:line="240" w:lineRule="auto" w:before="0" w:after="163"/>
            <w:ind w:left="1919" w:right="0" w:hanging="1702"/>
            <w:jc w:val="left"/>
          </w:pPr>
          <w:hyperlink w:history="true" w:anchor="_bookmark1229">
            <w:r>
              <w:rPr/>
              <w:t>Accuracy</w:t>
            </w:r>
            <w:r>
              <w:rPr>
                <w:spacing w:val="-2"/>
              </w:rPr>
              <w:t> </w:t>
            </w:r>
            <w:r>
              <w:rPr/>
              <w:t>Requirements</w:t>
              <w:tab/>
              <w:t>788</w:t>
            </w:r>
          </w:hyperlink>
        </w:p>
        <w:p>
          <w:pPr>
            <w:pStyle w:val="TOC3"/>
            <w:numPr>
              <w:ilvl w:val="0"/>
              <w:numId w:val="47"/>
            </w:numPr>
            <w:tabs>
              <w:tab w:pos="1919" w:val="left" w:leader="none"/>
              <w:tab w:pos="1920" w:val="left" w:leader="none"/>
              <w:tab w:pos="8930" w:val="left" w:leader="dot"/>
            </w:tabs>
            <w:spacing w:line="240" w:lineRule="auto" w:before="83" w:after="0"/>
            <w:ind w:left="1919" w:right="0" w:hanging="1702"/>
            <w:jc w:val="left"/>
          </w:pPr>
          <w:hyperlink w:history="true" w:anchor="_bookmark1230">
            <w:r>
              <w:rPr/>
              <w:t>[Deleted]</w:t>
              <w:tab/>
              <w:t>788</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31">
            <w:r>
              <w:rPr/>
              <w:t>[Deleted]</w:t>
              <w:tab/>
              <w:t>788</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32">
            <w:r>
              <w:rPr/>
              <w:t>[Deleted]</w:t>
              <w:tab/>
              <w:t>788</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33">
            <w:r>
              <w:rPr/>
              <w:t>[Deleted]</w:t>
              <w:tab/>
              <w:t>788</w:t>
            </w:r>
          </w:hyperlink>
        </w:p>
        <w:p>
          <w:pPr>
            <w:pStyle w:val="TOC3"/>
            <w:numPr>
              <w:ilvl w:val="0"/>
              <w:numId w:val="47"/>
            </w:numPr>
            <w:tabs>
              <w:tab w:pos="1919" w:val="left" w:leader="none"/>
              <w:tab w:pos="1920" w:val="left" w:leader="none"/>
              <w:tab w:pos="8930" w:val="left" w:leader="dot"/>
            </w:tabs>
            <w:spacing w:line="240" w:lineRule="auto" w:before="0" w:after="0"/>
            <w:ind w:left="1919" w:right="0" w:hanging="1702"/>
            <w:jc w:val="left"/>
          </w:pPr>
          <w:hyperlink w:history="true" w:anchor="_bookmark1234">
            <w:r>
              <w:rPr/>
              <w:t>[Deleted]</w:t>
              <w:tab/>
              <w:t>788</w:t>
            </w:r>
          </w:hyperlink>
        </w:p>
        <w:p>
          <w:pPr>
            <w:pStyle w:val="TOC1"/>
            <w:numPr>
              <w:ilvl w:val="0"/>
              <w:numId w:val="48"/>
            </w:numPr>
            <w:tabs>
              <w:tab w:pos="1918" w:val="left" w:leader="none"/>
              <w:tab w:pos="1919" w:val="left" w:leader="none"/>
              <w:tab w:pos="8871" w:val="left" w:leader="dot"/>
            </w:tabs>
            <w:spacing w:line="240" w:lineRule="auto" w:before="360" w:after="0"/>
            <w:ind w:left="1919" w:right="0" w:hanging="1701"/>
            <w:jc w:val="left"/>
          </w:pPr>
          <w:hyperlink w:history="true" w:anchor="_bookmark1235">
            <w:r>
              <w:rPr/>
              <w:t>Glossary</w:t>
              <w:tab/>
              <w:t>791</w:t>
            </w:r>
          </w:hyperlink>
        </w:p>
        <w:p>
          <w:pPr>
            <w:pStyle w:val="TOC1"/>
            <w:numPr>
              <w:ilvl w:val="0"/>
              <w:numId w:val="48"/>
            </w:numPr>
            <w:tabs>
              <w:tab w:pos="1918" w:val="left" w:leader="none"/>
              <w:tab w:pos="1919" w:val="left" w:leader="none"/>
              <w:tab w:pos="8870" w:val="left" w:leader="dot"/>
            </w:tabs>
            <w:spacing w:line="240" w:lineRule="auto" w:before="360" w:after="0"/>
            <w:ind w:left="1919" w:right="0" w:hanging="1701"/>
            <w:jc w:val="left"/>
          </w:pPr>
          <w:hyperlink w:history="true" w:anchor="_bookmark1236">
            <w:r>
              <w:rPr/>
              <w:t>Savings and</w:t>
            </w:r>
            <w:r>
              <w:rPr>
                <w:spacing w:val="-7"/>
              </w:rPr>
              <w:t> </w:t>
            </w:r>
            <w:r>
              <w:rPr/>
              <w:t>Transitional</w:t>
            </w:r>
            <w:r>
              <w:rPr>
                <w:spacing w:val="-3"/>
              </w:rPr>
              <w:t> </w:t>
            </w:r>
            <w:r>
              <w:rPr/>
              <w:t>Rules</w:t>
              <w:tab/>
              <w:t>911</w:t>
            </w:r>
          </w:hyperlink>
        </w:p>
        <w:p>
          <w:pPr>
            <w:pStyle w:val="TOC2"/>
            <w:tabs>
              <w:tab w:pos="1919" w:val="left" w:leader="none"/>
              <w:tab w:pos="8930" w:val="left" w:leader="dot"/>
            </w:tabs>
          </w:pPr>
          <w:hyperlink w:history="true" w:anchor="_bookmark1237">
            <w:r>
              <w:rPr/>
              <w:t>Part ZZJ</w:t>
              <w:tab/>
              <w:t>Demand management</w:t>
            </w:r>
            <w:r>
              <w:rPr>
                <w:spacing w:val="-6"/>
              </w:rPr>
              <w:t> </w:t>
            </w:r>
            <w:r>
              <w:rPr/>
              <w:t>incentive</w:t>
            </w:r>
            <w:r>
              <w:rPr>
                <w:spacing w:val="-3"/>
              </w:rPr>
              <w:t> </w:t>
            </w:r>
            <w:r>
              <w:rPr/>
              <w:t>scheme</w:t>
              <w:tab/>
              <w:t>911</w:t>
            </w:r>
          </w:hyperlink>
        </w:p>
        <w:p>
          <w:pPr>
            <w:pStyle w:val="TOC2"/>
            <w:numPr>
              <w:ilvl w:val="1"/>
              <w:numId w:val="49"/>
            </w:numPr>
            <w:tabs>
              <w:tab w:pos="1919" w:val="left" w:leader="none"/>
              <w:tab w:pos="1920" w:val="left" w:leader="none"/>
            </w:tabs>
            <w:spacing w:line="240" w:lineRule="auto" w:before="120" w:after="0"/>
            <w:ind w:left="1919" w:right="1267" w:hanging="1701"/>
            <w:jc w:val="left"/>
          </w:pPr>
          <w:hyperlink w:history="true" w:anchor="_bookmark1238">
            <w:r>
              <w:rPr/>
              <w:t>Rules consequential on making of the National Electricity</w:t>
            </w:r>
          </w:hyperlink>
          <w:hyperlink w:history="true" w:anchor="_bookmark1238">
            <w:r>
              <w:rPr/>
              <w:t> Amendment</w:t>
            </w:r>
            <w:r>
              <w:rPr>
                <w:spacing w:val="28"/>
              </w:rPr>
              <w:t> </w:t>
            </w:r>
            <w:r>
              <w:rPr/>
              <w:t>(Demand</w:t>
            </w:r>
            <w:r>
              <w:rPr>
                <w:spacing w:val="28"/>
              </w:rPr>
              <w:t> </w:t>
            </w:r>
            <w:r>
              <w:rPr/>
              <w:t>management</w:t>
            </w:r>
            <w:r>
              <w:rPr>
                <w:spacing w:val="28"/>
              </w:rPr>
              <w:t> </w:t>
            </w:r>
            <w:r>
              <w:rPr/>
              <w:t>incentive</w:t>
            </w:r>
            <w:r>
              <w:rPr>
                <w:spacing w:val="29"/>
              </w:rPr>
              <w:t> </w:t>
            </w:r>
            <w:r>
              <w:rPr/>
              <w:t>scheme)</w:t>
            </w:r>
            <w:r>
              <w:rPr>
                <w:spacing w:val="28"/>
              </w:rPr>
              <w:t> </w:t>
            </w:r>
            <w:r>
              <w:rPr/>
              <w:t>Rule</w:t>
            </w:r>
          </w:hyperlink>
        </w:p>
        <w:p>
          <w:pPr>
            <w:pStyle w:val="TOC4"/>
          </w:pPr>
          <w:hyperlink w:history="true" w:anchor="_bookmark1238">
            <w:r>
              <w:rPr/>
              <w:t>2015</w:t>
            </w:r>
            <w:r>
              <w:rPr>
                <w:spacing w:val="-8"/>
              </w:rPr>
              <w:t> </w:t>
            </w:r>
            <w:r>
              <w:rPr/>
              <w:t>............................................................................................................911</w:t>
            </w:r>
          </w:hyperlink>
        </w:p>
        <w:p>
          <w:pPr>
            <w:pStyle w:val="TOC3"/>
            <w:numPr>
              <w:ilvl w:val="2"/>
              <w:numId w:val="49"/>
            </w:numPr>
            <w:tabs>
              <w:tab w:pos="1919" w:val="left" w:leader="none"/>
              <w:tab w:pos="1920" w:val="left" w:leader="none"/>
              <w:tab w:pos="8930" w:val="left" w:leader="dot"/>
            </w:tabs>
            <w:spacing w:line="240" w:lineRule="auto" w:before="0" w:after="0"/>
            <w:ind w:left="1919" w:right="0" w:hanging="1702"/>
            <w:jc w:val="left"/>
          </w:pPr>
          <w:hyperlink w:history="true" w:anchor="_bookmark1239">
            <w:r>
              <w:rPr/>
              <w:t>Definitions</w:t>
              <w:tab/>
              <w:t>911</w:t>
            </w:r>
          </w:hyperlink>
        </w:p>
        <w:p>
          <w:pPr>
            <w:pStyle w:val="TOC3"/>
            <w:numPr>
              <w:ilvl w:val="2"/>
              <w:numId w:val="49"/>
            </w:numPr>
            <w:tabs>
              <w:tab w:pos="1919" w:val="left" w:leader="none"/>
              <w:tab w:pos="1920" w:val="left" w:leader="none"/>
            </w:tabs>
            <w:spacing w:line="240" w:lineRule="auto" w:before="0" w:after="0"/>
            <w:ind w:left="1919" w:right="0" w:hanging="1702"/>
            <w:jc w:val="left"/>
          </w:pPr>
          <w:hyperlink w:history="true" w:anchor="_bookmark1240">
            <w:r>
              <w:rPr/>
              <w:t>AER to develop and publish the demand management</w:t>
            </w:r>
            <w:r>
              <w:rPr>
                <w:spacing w:val="-25"/>
              </w:rPr>
              <w:t> </w:t>
            </w:r>
            <w:r>
              <w:rPr/>
              <w:t>incentive</w:t>
            </w:r>
          </w:hyperlink>
        </w:p>
        <w:p>
          <w:pPr>
            <w:pStyle w:val="TOC5"/>
            <w:tabs>
              <w:tab w:pos="8931" w:val="left" w:leader="dot"/>
            </w:tabs>
          </w:pPr>
          <w:hyperlink w:history="true" w:anchor="_bookmark1240">
            <w:r>
              <w:rPr/>
              <w:t>scheme and demand management innovation</w:t>
            </w:r>
            <w:r>
              <w:rPr>
                <w:spacing w:val="-6"/>
              </w:rPr>
              <w:t> </w:t>
            </w:r>
            <w:r>
              <w:rPr/>
              <w:t>allowance</w:t>
            </w:r>
            <w:r>
              <w:rPr>
                <w:spacing w:val="-1"/>
              </w:rPr>
              <w:t> </w:t>
            </w:r>
            <w:r>
              <w:rPr/>
              <w:t>mechanism</w:t>
              <w:tab/>
              <w:t>911</w:t>
            </w:r>
          </w:hyperlink>
        </w:p>
        <w:p>
          <w:pPr>
            <w:pStyle w:val="TOC2"/>
            <w:tabs>
              <w:tab w:pos="1919" w:val="left" w:leader="none"/>
              <w:tab w:pos="8929" w:val="left" w:leader="dot"/>
            </w:tabs>
          </w:pPr>
          <w:hyperlink w:history="true" w:anchor="_bookmark1241">
            <w:r>
              <w:rPr/>
              <w:t>Part ZZM</w:t>
              <w:tab/>
              <w:t>Common definitions of distribution</w:t>
            </w:r>
            <w:r>
              <w:rPr>
                <w:spacing w:val="-18"/>
              </w:rPr>
              <w:t> </w:t>
            </w:r>
            <w:r>
              <w:rPr/>
              <w:t>reliability</w:t>
            </w:r>
            <w:r>
              <w:rPr>
                <w:spacing w:val="-3"/>
              </w:rPr>
              <w:t> </w:t>
            </w:r>
            <w:r>
              <w:rPr/>
              <w:t>measures</w:t>
              <w:tab/>
              <w:t>911</w:t>
            </w:r>
          </w:hyperlink>
        </w:p>
        <w:p>
          <w:pPr>
            <w:pStyle w:val="TOC2"/>
            <w:numPr>
              <w:ilvl w:val="1"/>
              <w:numId w:val="50"/>
            </w:numPr>
            <w:tabs>
              <w:tab w:pos="1919" w:val="left" w:leader="none"/>
              <w:tab w:pos="1920" w:val="left" w:leader="none"/>
              <w:tab w:pos="8930" w:val="left" w:leader="dot"/>
            </w:tabs>
            <w:spacing w:line="240" w:lineRule="auto" w:before="120" w:after="0"/>
            <w:ind w:left="1919" w:right="414" w:hanging="1701"/>
            <w:jc w:val="left"/>
          </w:pPr>
          <w:hyperlink w:history="true" w:anchor="_bookmark1242">
            <w:r>
              <w:rPr/>
              <w:t>Rules consequential on the making of the National Electricity</w:t>
            </w:r>
          </w:hyperlink>
          <w:hyperlink w:history="true" w:anchor="_bookmark1242">
            <w:r>
              <w:rPr/>
              <w:t> Amendment (Common  definitions  of  distribution  reliability</w:t>
            </w:r>
          </w:hyperlink>
          <w:hyperlink w:history="true" w:anchor="_bookmark1242">
            <w:r>
              <w:rPr/>
              <w:t> measures)</w:t>
            </w:r>
            <w:r>
              <w:rPr>
                <w:spacing w:val="-1"/>
              </w:rPr>
              <w:t> </w:t>
            </w:r>
            <w:r>
              <w:rPr/>
              <w:t>Rule</w:t>
            </w:r>
            <w:r>
              <w:rPr>
                <w:spacing w:val="-2"/>
              </w:rPr>
              <w:t> </w:t>
            </w:r>
            <w:r>
              <w:rPr/>
              <w:t>2015</w:t>
              <w:tab/>
            </w:r>
            <w:r>
              <w:rPr>
                <w:spacing w:val="-6"/>
              </w:rPr>
              <w:t>911</w:t>
            </w:r>
          </w:hyperlink>
        </w:p>
        <w:p>
          <w:pPr>
            <w:pStyle w:val="TOC3"/>
            <w:numPr>
              <w:ilvl w:val="2"/>
              <w:numId w:val="50"/>
            </w:numPr>
            <w:tabs>
              <w:tab w:pos="1919" w:val="left" w:leader="none"/>
              <w:tab w:pos="1920" w:val="left" w:leader="none"/>
              <w:tab w:pos="8930" w:val="left" w:leader="dot"/>
            </w:tabs>
            <w:spacing w:line="240" w:lineRule="auto" w:before="0" w:after="0"/>
            <w:ind w:left="1919" w:right="0" w:hanging="1702"/>
            <w:jc w:val="left"/>
          </w:pPr>
          <w:hyperlink w:history="true" w:anchor="_bookmark1243">
            <w:r>
              <w:rPr/>
              <w:t>Definitions</w:t>
              <w:tab/>
              <w:t>911</w:t>
            </w:r>
          </w:hyperlink>
        </w:p>
        <w:p>
          <w:pPr>
            <w:pStyle w:val="TOC3"/>
            <w:numPr>
              <w:ilvl w:val="2"/>
              <w:numId w:val="50"/>
            </w:numPr>
            <w:tabs>
              <w:tab w:pos="1919" w:val="left" w:leader="none"/>
              <w:tab w:pos="1920" w:val="left" w:leader="none"/>
              <w:tab w:pos="8930" w:val="left" w:leader="dot"/>
            </w:tabs>
            <w:spacing w:line="240" w:lineRule="auto" w:before="0" w:after="0"/>
            <w:ind w:left="1919" w:right="0" w:hanging="1702"/>
            <w:jc w:val="left"/>
          </w:pPr>
          <w:hyperlink w:history="true" w:anchor="_bookmark1244">
            <w:r>
              <w:rPr/>
              <w:t>Distribution reliability</w:t>
            </w:r>
            <w:r>
              <w:rPr>
                <w:spacing w:val="-3"/>
              </w:rPr>
              <w:t> </w:t>
            </w:r>
            <w:r>
              <w:rPr/>
              <w:t>measures</w:t>
            </w:r>
            <w:r>
              <w:rPr>
                <w:spacing w:val="-1"/>
              </w:rPr>
              <w:t> </w:t>
            </w:r>
            <w:r>
              <w:rPr/>
              <w:t>guidelines</w:t>
              <w:tab/>
              <w:t>912</w:t>
            </w:r>
          </w:hyperlink>
        </w:p>
        <w:p>
          <w:pPr>
            <w:pStyle w:val="TOC3"/>
            <w:numPr>
              <w:ilvl w:val="2"/>
              <w:numId w:val="50"/>
            </w:numPr>
            <w:tabs>
              <w:tab w:pos="1919" w:val="left" w:leader="none"/>
              <w:tab w:pos="1920" w:val="left" w:leader="none"/>
              <w:tab w:pos="8930" w:val="left" w:leader="dot"/>
            </w:tabs>
            <w:spacing w:line="240" w:lineRule="auto" w:before="0" w:after="0"/>
            <w:ind w:left="1919" w:right="0" w:hanging="1702"/>
            <w:jc w:val="left"/>
          </w:pPr>
          <w:hyperlink w:history="true" w:anchor="_bookmark1245">
            <w:r>
              <w:rPr/>
              <w:t>Amended</w:t>
            </w:r>
            <w:r>
              <w:rPr>
                <w:spacing w:val="-3"/>
              </w:rPr>
              <w:t> </w:t>
            </w:r>
            <w:r>
              <w:rPr/>
              <w:t>STPIS</w:t>
              <w:tab/>
              <w:t>912</w:t>
            </w:r>
          </w:hyperlink>
        </w:p>
        <w:p>
          <w:pPr>
            <w:pStyle w:val="TOC3"/>
            <w:tabs>
              <w:tab w:pos="1919" w:val="left" w:leader="none"/>
              <w:tab w:pos="8929" w:val="left" w:leader="dot"/>
            </w:tabs>
            <w:ind w:left="218"/>
          </w:pPr>
          <w:hyperlink w:history="true" w:anchor="_bookmark1246">
            <w:r>
              <w:rPr/>
              <w:t>11.86.8</w:t>
              <w:tab/>
              <w:t>Distribution Ring</w:t>
            </w:r>
            <w:r>
              <w:rPr>
                <w:spacing w:val="-7"/>
              </w:rPr>
              <w:t> </w:t>
            </w:r>
            <w:r>
              <w:rPr/>
              <w:t>Fencing</w:t>
            </w:r>
            <w:r>
              <w:rPr>
                <w:spacing w:val="-4"/>
              </w:rPr>
              <w:t> </w:t>
            </w:r>
            <w:r>
              <w:rPr/>
              <w:t>Guidelines</w:t>
              <w:tab/>
              <w:t>912</w:t>
            </w:r>
          </w:hyperlink>
        </w:p>
        <w:p>
          <w:pPr>
            <w:pStyle w:val="TOC2"/>
            <w:tabs>
              <w:tab w:pos="1919" w:val="left" w:leader="none"/>
              <w:tab w:pos="8931" w:val="left" w:leader="dot"/>
            </w:tabs>
          </w:pPr>
          <w:hyperlink w:history="true" w:anchor="_bookmark1247">
            <w:r>
              <w:rPr/>
              <w:t>Part ZZU</w:t>
              <w:tab/>
              <w:t>Rate of Return</w:t>
            </w:r>
            <w:r>
              <w:rPr>
                <w:spacing w:val="-5"/>
              </w:rPr>
              <w:t> </w:t>
            </w:r>
            <w:r>
              <w:rPr/>
              <w:t>Guidelines</w:t>
            </w:r>
            <w:r>
              <w:rPr>
                <w:spacing w:val="-1"/>
              </w:rPr>
              <w:t> </w:t>
            </w:r>
            <w:r>
              <w:rPr/>
              <w:t>Review</w:t>
              <w:tab/>
              <w:t>912</w:t>
            </w:r>
          </w:hyperlink>
        </w:p>
        <w:p>
          <w:pPr>
            <w:pStyle w:val="TOC2"/>
            <w:numPr>
              <w:ilvl w:val="1"/>
              <w:numId w:val="51"/>
            </w:numPr>
            <w:tabs>
              <w:tab w:pos="1919" w:val="left" w:leader="none"/>
              <w:tab w:pos="1920" w:val="left" w:leader="none"/>
              <w:tab w:pos="8929" w:val="left" w:leader="dot"/>
            </w:tabs>
            <w:spacing w:line="240" w:lineRule="auto" w:before="120" w:after="0"/>
            <w:ind w:left="1919" w:right="414" w:hanging="1701"/>
            <w:jc w:val="left"/>
          </w:pPr>
          <w:hyperlink w:history="true" w:anchor="_bookmark1248">
            <w:r>
              <w:rPr/>
              <w:t>Rules consequential on the making of the National Electricity</w:t>
            </w:r>
          </w:hyperlink>
          <w:hyperlink w:history="true" w:anchor="_bookmark1248">
            <w:r>
              <w:rPr/>
              <w:t> Amendment (Rate of Return Guidelines Review)</w:t>
            </w:r>
            <w:r>
              <w:rPr>
                <w:spacing w:val="-18"/>
              </w:rPr>
              <w:t> </w:t>
            </w:r>
            <w:r>
              <w:rPr/>
              <w:t>Rule</w:t>
            </w:r>
            <w:r>
              <w:rPr>
                <w:spacing w:val="-3"/>
              </w:rPr>
              <w:t> </w:t>
            </w:r>
            <w:r>
              <w:rPr/>
              <w:t>2016</w:t>
              <w:tab/>
            </w:r>
            <w:r>
              <w:rPr>
                <w:spacing w:val="-6"/>
              </w:rPr>
              <w:t>912</w:t>
            </w:r>
          </w:hyperlink>
        </w:p>
        <w:p>
          <w:pPr>
            <w:pStyle w:val="TOC3"/>
            <w:numPr>
              <w:ilvl w:val="2"/>
              <w:numId w:val="51"/>
            </w:numPr>
            <w:tabs>
              <w:tab w:pos="1919" w:val="left" w:leader="none"/>
              <w:tab w:pos="1920" w:val="left" w:leader="none"/>
              <w:tab w:pos="8930" w:val="left" w:leader="dot"/>
            </w:tabs>
            <w:spacing w:line="240" w:lineRule="auto" w:before="0" w:after="0"/>
            <w:ind w:left="1919" w:right="0" w:hanging="1702"/>
            <w:jc w:val="left"/>
          </w:pPr>
          <w:hyperlink w:history="true" w:anchor="_bookmark1249">
            <w:r>
              <w:rPr/>
              <w:t>Definitions</w:t>
              <w:tab/>
              <w:t>912</w:t>
            </w:r>
          </w:hyperlink>
        </w:p>
        <w:p>
          <w:pPr>
            <w:pStyle w:val="TOC3"/>
            <w:numPr>
              <w:ilvl w:val="2"/>
              <w:numId w:val="51"/>
            </w:numPr>
            <w:tabs>
              <w:tab w:pos="1919" w:val="left" w:leader="none"/>
              <w:tab w:pos="1920" w:val="left" w:leader="none"/>
            </w:tabs>
            <w:spacing w:line="240" w:lineRule="auto" w:before="0" w:after="0"/>
            <w:ind w:left="1919" w:right="1266" w:hanging="1701"/>
            <w:jc w:val="left"/>
          </w:pPr>
          <w:hyperlink w:history="true" w:anchor="_bookmark1250">
            <w:r>
              <w:rPr/>
              <w:t>Application of current rate of return guidelines to making of</w:t>
            </w:r>
            <w:r>
              <w:rPr>
                <w:spacing w:val="23"/>
              </w:rPr>
              <w:t> </w:t>
            </w:r>
            <w:r>
              <w:rPr/>
              <w:t>a</w:t>
            </w:r>
          </w:hyperlink>
          <w:hyperlink w:history="true" w:anchor="_bookmark1250">
            <w:r>
              <w:rPr/>
              <w:t> distribution determination for the subsequent regulatory</w:t>
            </w:r>
            <w:r>
              <w:rPr>
                <w:spacing w:val="38"/>
              </w:rPr>
              <w:t> </w:t>
            </w:r>
            <w:r>
              <w:rPr/>
              <w:t>control</w:t>
            </w:r>
          </w:hyperlink>
        </w:p>
        <w:p>
          <w:pPr>
            <w:pStyle w:val="TOC5"/>
            <w:tabs>
              <w:tab w:pos="8930" w:val="left" w:leader="dot"/>
            </w:tabs>
          </w:pPr>
          <w:hyperlink w:history="true" w:anchor="_bookmark1250">
            <w:r>
              <w:rPr/>
              <w:t>period</w:t>
              <w:tab/>
              <w:t>913</w:t>
            </w:r>
          </w:hyperlink>
        </w:p>
        <w:p>
          <w:pPr>
            <w:pStyle w:val="TOC2"/>
            <w:tabs>
              <w:tab w:pos="1919" w:val="left" w:leader="none"/>
              <w:tab w:pos="3049" w:val="left" w:leader="none"/>
              <w:tab w:pos="8930" w:val="left" w:leader="dot"/>
            </w:tabs>
            <w:ind w:left="1919" w:right="414" w:hanging="1701"/>
          </w:pPr>
          <w:hyperlink w:history="true" w:anchor="_bookmark1251">
            <w:r>
              <w:rPr/>
              <w:t>Part ZZV</w:t>
              <w:tab/>
              <w:t>Demand</w:t>
              <w:tab/>
              <w:t>Response  Mechanism   and   Ancillary   Services</w:t>
            </w:r>
          </w:hyperlink>
          <w:r>
            <w:rPr/>
            <w:t> </w:t>
          </w:r>
          <w:hyperlink w:history="true" w:anchor="_bookmark1251">
            <w:r>
              <w:rPr/>
              <w:t>Unbundling</w:t>
              <w:tab/>
            </w:r>
            <w:r>
              <w:rPr>
                <w:spacing w:val="-6"/>
              </w:rPr>
              <w:t>914</w:t>
            </w:r>
          </w:hyperlink>
        </w:p>
        <w:p>
          <w:pPr>
            <w:pStyle w:val="TOC2"/>
            <w:numPr>
              <w:ilvl w:val="1"/>
              <w:numId w:val="51"/>
            </w:numPr>
            <w:tabs>
              <w:tab w:pos="1919" w:val="left" w:leader="none"/>
              <w:tab w:pos="1920" w:val="left" w:leader="none"/>
              <w:tab w:pos="8930" w:val="left" w:leader="dot"/>
            </w:tabs>
            <w:spacing w:line="240" w:lineRule="auto" w:before="120" w:after="0"/>
            <w:ind w:left="1919" w:right="414" w:hanging="1701"/>
            <w:jc w:val="left"/>
          </w:pPr>
          <w:hyperlink w:history="true" w:anchor="_bookmark1252">
            <w:r>
              <w:rPr/>
              <w:t>Rules consequential on the making of the National Electricity</w:t>
            </w:r>
          </w:hyperlink>
          <w:hyperlink w:history="true" w:anchor="_bookmark1252">
            <w:r>
              <w:rPr/>
              <w:t> Amendment  (Demand  Response  Management  and  Ancillary</w:t>
            </w:r>
          </w:hyperlink>
          <w:r>
            <w:rPr/>
            <w:t> </w:t>
          </w:r>
          <w:hyperlink w:history="true" w:anchor="_bookmark1252">
            <w:r>
              <w:rPr/>
              <w:t> Services Unbundling)</w:t>
            </w:r>
            <w:r>
              <w:rPr>
                <w:spacing w:val="-8"/>
              </w:rPr>
              <w:t> </w:t>
            </w:r>
            <w:r>
              <w:rPr/>
              <w:t>rule</w:t>
            </w:r>
            <w:r>
              <w:rPr>
                <w:spacing w:val="-4"/>
              </w:rPr>
              <w:t> </w:t>
            </w:r>
            <w:r>
              <w:rPr/>
              <w:t>2016</w:t>
              <w:tab/>
            </w:r>
            <w:r>
              <w:rPr>
                <w:spacing w:val="-6"/>
              </w:rPr>
              <w:t>914</w:t>
            </w:r>
          </w:hyperlink>
        </w:p>
        <w:p>
          <w:pPr>
            <w:pStyle w:val="TOC3"/>
            <w:numPr>
              <w:ilvl w:val="2"/>
              <w:numId w:val="51"/>
            </w:numPr>
            <w:tabs>
              <w:tab w:pos="1919" w:val="left" w:leader="none"/>
              <w:tab w:pos="1920" w:val="left" w:leader="none"/>
              <w:tab w:pos="8930" w:val="left" w:leader="dot"/>
            </w:tabs>
            <w:spacing w:line="240" w:lineRule="auto" w:before="0" w:after="0"/>
            <w:ind w:left="1919" w:right="0" w:hanging="1702"/>
            <w:jc w:val="left"/>
          </w:pPr>
          <w:hyperlink w:history="true" w:anchor="_bookmark1253">
            <w:r>
              <w:rPr/>
              <w:t>Definitions</w:t>
              <w:tab/>
              <w:t>914</w:t>
            </w:r>
          </w:hyperlink>
        </w:p>
        <w:p>
          <w:pPr>
            <w:pStyle w:val="TOC3"/>
            <w:numPr>
              <w:ilvl w:val="2"/>
              <w:numId w:val="51"/>
            </w:numPr>
            <w:tabs>
              <w:tab w:pos="1919" w:val="left" w:leader="none"/>
              <w:tab w:pos="1920" w:val="left" w:leader="none"/>
              <w:tab w:pos="8928" w:val="left" w:leader="dot"/>
            </w:tabs>
            <w:spacing w:line="240" w:lineRule="auto" w:before="0" w:after="0"/>
            <w:ind w:left="1919" w:right="0" w:hanging="1702"/>
            <w:jc w:val="left"/>
          </w:pPr>
          <w:hyperlink w:history="true" w:anchor="_bookmark1254">
            <w:r>
              <w:rPr/>
              <w:t>Participant fees for Market Ancillary</w:t>
            </w:r>
            <w:r>
              <w:rPr>
                <w:spacing w:val="-22"/>
              </w:rPr>
              <w:t> </w:t>
            </w:r>
            <w:r>
              <w:rPr/>
              <w:t>Service</w:t>
            </w:r>
            <w:r>
              <w:rPr>
                <w:spacing w:val="-5"/>
              </w:rPr>
              <w:t> </w:t>
            </w:r>
            <w:r>
              <w:rPr/>
              <w:t>Providers</w:t>
              <w:tab/>
              <w:t>914</w:t>
            </w:r>
          </w:hyperlink>
        </w:p>
        <w:p>
          <w:pPr>
            <w:pStyle w:val="TOC2"/>
            <w:tabs>
              <w:tab w:pos="1919" w:val="left" w:leader="none"/>
              <w:tab w:pos="8930" w:val="left" w:leader="dot"/>
            </w:tabs>
          </w:pPr>
          <w:hyperlink w:history="true" w:anchor="_bookmark1255">
            <w:r>
              <w:rPr/>
              <w:t>Part ZZW</w:t>
              <w:tab/>
              <w:t>Local Generation</w:t>
            </w:r>
            <w:r>
              <w:rPr>
                <w:spacing w:val="-6"/>
              </w:rPr>
              <w:t> </w:t>
            </w:r>
            <w:r>
              <w:rPr/>
              <w:t>Network</w:t>
            </w:r>
            <w:r>
              <w:rPr>
                <w:spacing w:val="-3"/>
              </w:rPr>
              <w:t> </w:t>
            </w:r>
            <w:r>
              <w:rPr/>
              <w:t>Credits</w:t>
              <w:tab/>
              <w:t>914</w:t>
            </w:r>
          </w:hyperlink>
        </w:p>
        <w:p>
          <w:pPr>
            <w:pStyle w:val="TOC2"/>
            <w:numPr>
              <w:ilvl w:val="1"/>
              <w:numId w:val="51"/>
            </w:numPr>
            <w:tabs>
              <w:tab w:pos="1919" w:val="left" w:leader="none"/>
              <w:tab w:pos="1920" w:val="left" w:leader="none"/>
              <w:tab w:pos="8929" w:val="left" w:leader="dot"/>
            </w:tabs>
            <w:spacing w:line="240" w:lineRule="auto" w:before="120" w:after="0"/>
            <w:ind w:left="1919" w:right="414" w:hanging="1701"/>
            <w:jc w:val="left"/>
          </w:pPr>
          <w:hyperlink w:history="true" w:anchor="_bookmark1256">
            <w:r>
              <w:rPr/>
              <w:t>Rules consequential on the making of the National Electricity</w:t>
            </w:r>
          </w:hyperlink>
          <w:hyperlink w:history="true" w:anchor="_bookmark1256">
            <w:r>
              <w:rPr/>
              <w:t> Amendment (Local Generation Network Credits)</w:t>
            </w:r>
            <w:r>
              <w:rPr>
                <w:spacing w:val="-14"/>
              </w:rPr>
              <w:t> </w:t>
            </w:r>
            <w:r>
              <w:rPr/>
              <w:t>Rule</w:t>
            </w:r>
            <w:r>
              <w:rPr>
                <w:spacing w:val="-3"/>
              </w:rPr>
              <w:t> </w:t>
            </w:r>
            <w:r>
              <w:rPr/>
              <w:t>2016</w:t>
              <w:tab/>
            </w:r>
            <w:r>
              <w:rPr>
                <w:spacing w:val="-6"/>
              </w:rPr>
              <w:t>914</w:t>
            </w:r>
          </w:hyperlink>
        </w:p>
        <w:p>
          <w:pPr>
            <w:pStyle w:val="TOC3"/>
            <w:numPr>
              <w:ilvl w:val="2"/>
              <w:numId w:val="51"/>
            </w:numPr>
            <w:tabs>
              <w:tab w:pos="1919" w:val="left" w:leader="none"/>
              <w:tab w:pos="1920" w:val="left" w:leader="none"/>
              <w:tab w:pos="8930" w:val="left" w:leader="dot"/>
            </w:tabs>
            <w:spacing w:line="240" w:lineRule="auto" w:before="0" w:after="0"/>
            <w:ind w:left="1919" w:right="0" w:hanging="1702"/>
            <w:jc w:val="left"/>
          </w:pPr>
          <w:hyperlink w:history="true" w:anchor="_bookmark1257">
            <w:r>
              <w:rPr/>
              <w:t>Definitions</w:t>
              <w:tab/>
              <w:t>914</w:t>
            </w:r>
          </w:hyperlink>
        </w:p>
        <w:p>
          <w:pPr>
            <w:pStyle w:val="TOC3"/>
            <w:numPr>
              <w:ilvl w:val="2"/>
              <w:numId w:val="51"/>
            </w:numPr>
            <w:tabs>
              <w:tab w:pos="1919" w:val="left" w:leader="none"/>
              <w:tab w:pos="1920" w:val="left" w:leader="none"/>
              <w:tab w:pos="8931" w:val="left" w:leader="dot"/>
            </w:tabs>
            <w:spacing w:line="240" w:lineRule="auto" w:before="0" w:after="0"/>
            <w:ind w:left="1919" w:right="0" w:hanging="1702"/>
            <w:jc w:val="left"/>
          </w:pPr>
          <w:hyperlink w:history="true" w:anchor="_bookmark1258">
            <w:r>
              <w:rPr/>
              <w:t>System</w:t>
            </w:r>
            <w:r>
              <w:rPr>
                <w:spacing w:val="-2"/>
              </w:rPr>
              <w:t> </w:t>
            </w:r>
            <w:r>
              <w:rPr/>
              <w:t>limitation</w:t>
            </w:r>
            <w:r>
              <w:rPr>
                <w:spacing w:val="-2"/>
              </w:rPr>
              <w:t> </w:t>
            </w:r>
            <w:r>
              <w:rPr/>
              <w:t>template</w:t>
              <w:tab/>
              <w:t>914</w:t>
            </w:r>
          </w:hyperlink>
        </w:p>
        <w:p>
          <w:pPr>
            <w:pStyle w:val="TOC2"/>
            <w:tabs>
              <w:tab w:pos="1919" w:val="left" w:leader="none"/>
              <w:tab w:pos="8931" w:val="left" w:leader="dot"/>
            </w:tabs>
            <w:spacing w:after="240"/>
          </w:pPr>
          <w:hyperlink w:history="true" w:anchor="_bookmark1259">
            <w:r>
              <w:rPr/>
              <w:t>Part ZZY</w:t>
              <w:tab/>
              <w:t>Emergency Frequency</w:t>
            </w:r>
            <w:r>
              <w:rPr>
                <w:spacing w:val="-6"/>
              </w:rPr>
              <w:t> </w:t>
            </w:r>
            <w:r>
              <w:rPr/>
              <w:t>Control</w:t>
            </w:r>
            <w:r>
              <w:rPr>
                <w:spacing w:val="-4"/>
              </w:rPr>
              <w:t> </w:t>
            </w:r>
            <w:r>
              <w:rPr/>
              <w:t>Schemes</w:t>
              <w:tab/>
              <w:t>915</w:t>
            </w:r>
          </w:hyperlink>
        </w:p>
        <w:p>
          <w:pPr>
            <w:pStyle w:val="TOC2"/>
            <w:numPr>
              <w:ilvl w:val="1"/>
              <w:numId w:val="52"/>
            </w:numPr>
            <w:tabs>
              <w:tab w:pos="1919" w:val="left" w:leader="none"/>
              <w:tab w:pos="1920" w:val="left" w:leader="none"/>
              <w:tab w:pos="8930" w:val="left" w:leader="dot"/>
            </w:tabs>
            <w:spacing w:line="240" w:lineRule="auto" w:before="83" w:after="0"/>
            <w:ind w:left="1919" w:right="414" w:hanging="1701"/>
            <w:jc w:val="left"/>
          </w:pPr>
          <w:hyperlink w:history="true" w:anchor="_bookmark1260">
            <w:r>
              <w:rPr/>
              <w:t>Rules consequent on the making of the National  Electricity</w:t>
            </w:r>
          </w:hyperlink>
          <w:hyperlink w:history="true" w:anchor="_bookmark1260">
            <w:r>
              <w:rPr/>
              <w:t> Amendment (Emergency frequency control schemes)</w:t>
            </w:r>
            <w:r>
              <w:rPr>
                <w:spacing w:val="-10"/>
              </w:rPr>
              <w:t> </w:t>
            </w:r>
            <w:r>
              <w:rPr/>
              <w:t>Rule</w:t>
            </w:r>
            <w:r>
              <w:rPr>
                <w:spacing w:val="-2"/>
              </w:rPr>
              <w:t> </w:t>
            </w:r>
            <w:r>
              <w:rPr/>
              <w:t>2017</w:t>
              <w:tab/>
            </w:r>
            <w:r>
              <w:rPr>
                <w:spacing w:val="-6"/>
              </w:rPr>
              <w:t>915</w:t>
            </w:r>
          </w:hyperlink>
        </w:p>
        <w:p>
          <w:pPr>
            <w:pStyle w:val="TOC3"/>
            <w:numPr>
              <w:ilvl w:val="2"/>
              <w:numId w:val="52"/>
            </w:numPr>
            <w:tabs>
              <w:tab w:pos="1979" w:val="left" w:leader="none"/>
              <w:tab w:pos="1980" w:val="left" w:leader="none"/>
              <w:tab w:pos="8930" w:val="left" w:leader="dot"/>
            </w:tabs>
            <w:spacing w:line="240" w:lineRule="auto" w:before="0" w:after="0"/>
            <w:ind w:left="1979" w:right="0" w:hanging="1762"/>
            <w:jc w:val="left"/>
          </w:pPr>
          <w:hyperlink w:history="true" w:anchor="_bookmark1261">
            <w:r>
              <w:rPr/>
              <w:t>Definitions</w:t>
              <w:tab/>
              <w:t>915</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62">
            <w:r>
              <w:rPr/>
              <w:t>Interim frequency operating standards for</w:t>
            </w:r>
            <w:r>
              <w:rPr>
                <w:spacing w:val="-7"/>
              </w:rPr>
              <w:t> </w:t>
            </w:r>
            <w:r>
              <w:rPr/>
              <w:t>protected</w:t>
            </w:r>
            <w:r>
              <w:rPr>
                <w:spacing w:val="-1"/>
              </w:rPr>
              <w:t> </w:t>
            </w:r>
            <w:r>
              <w:rPr/>
              <w:t>events</w:t>
              <w:tab/>
              <w:t>915</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63">
            <w:r>
              <w:rPr/>
              <w:t>First power system frequency</w:t>
            </w:r>
            <w:r>
              <w:rPr>
                <w:spacing w:val="-6"/>
              </w:rPr>
              <w:t> </w:t>
            </w:r>
            <w:r>
              <w:rPr/>
              <w:t>risk</w:t>
            </w:r>
            <w:r>
              <w:rPr>
                <w:spacing w:val="-1"/>
              </w:rPr>
              <w:t> </w:t>
            </w:r>
            <w:r>
              <w:rPr/>
              <w:t>review</w:t>
              <w:tab/>
              <w:t>916</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64">
            <w:r>
              <w:rPr/>
              <w:t>AEMO must review existing load</w:t>
            </w:r>
            <w:r>
              <w:rPr>
                <w:spacing w:val="-5"/>
              </w:rPr>
              <w:t> </w:t>
            </w:r>
            <w:r>
              <w:rPr/>
              <w:t>shedding</w:t>
            </w:r>
            <w:r>
              <w:rPr>
                <w:spacing w:val="-1"/>
              </w:rPr>
              <w:t> </w:t>
            </w:r>
            <w:r>
              <w:rPr/>
              <w:t>procedures</w:t>
              <w:tab/>
              <w:t>916</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65">
            <w:r>
              <w:rPr/>
              <w:t>Load</w:t>
            </w:r>
            <w:r>
              <w:rPr>
                <w:spacing w:val="-2"/>
              </w:rPr>
              <w:t> </w:t>
            </w:r>
            <w:r>
              <w:rPr/>
              <w:t>shedding</w:t>
            </w:r>
            <w:r>
              <w:rPr>
                <w:spacing w:val="-3"/>
              </w:rPr>
              <w:t> </w:t>
            </w:r>
            <w:r>
              <w:rPr/>
              <w:t>procedures</w:t>
              <w:tab/>
              <w:t>916</w:t>
            </w:r>
          </w:hyperlink>
        </w:p>
        <w:p>
          <w:pPr>
            <w:pStyle w:val="TOC2"/>
            <w:tabs>
              <w:tab w:pos="1919" w:val="left" w:leader="none"/>
              <w:tab w:pos="8931" w:val="left" w:leader="dot"/>
            </w:tabs>
          </w:pPr>
          <w:hyperlink w:history="true" w:anchor="_bookmark1266">
            <w:r>
              <w:rPr/>
              <w:t>Part ZZZ</w:t>
              <w:tab/>
              <w:t>Transmission Connection and</w:t>
            </w:r>
            <w:r>
              <w:rPr>
                <w:spacing w:val="-10"/>
              </w:rPr>
              <w:t> </w:t>
            </w:r>
            <w:r>
              <w:rPr/>
              <w:t>Planning</w:t>
            </w:r>
            <w:r>
              <w:rPr>
                <w:spacing w:val="-2"/>
              </w:rPr>
              <w:t> </w:t>
            </w:r>
            <w:r>
              <w:rPr/>
              <w:t>Arrangements</w:t>
              <w:tab/>
              <w:t>917</w:t>
            </w:r>
          </w:hyperlink>
        </w:p>
        <w:p>
          <w:pPr>
            <w:pStyle w:val="TOC2"/>
            <w:numPr>
              <w:ilvl w:val="1"/>
              <w:numId w:val="52"/>
            </w:numPr>
            <w:tabs>
              <w:tab w:pos="1919" w:val="left" w:leader="none"/>
              <w:tab w:pos="1920" w:val="left" w:leader="none"/>
              <w:tab w:pos="3510" w:val="left" w:leader="none"/>
              <w:tab w:pos="8929" w:val="left" w:leader="dot"/>
            </w:tabs>
            <w:spacing w:line="240" w:lineRule="auto" w:before="120" w:after="0"/>
            <w:ind w:left="1919" w:right="415" w:hanging="1701"/>
            <w:jc w:val="left"/>
          </w:pPr>
          <w:hyperlink w:history="true" w:anchor="_bookmark1267">
            <w:r>
              <w:rPr/>
              <w:t>Rules consequential on the making of the National Electricity</w:t>
            </w:r>
          </w:hyperlink>
          <w:hyperlink w:history="true" w:anchor="_bookmark1267">
            <w:r>
              <w:rPr/>
              <w:t> Amendment</w:t>
              <w:tab/>
              <w:t>(Transmission Connection and  Planning</w:t>
            </w:r>
          </w:hyperlink>
          <w:hyperlink w:history="true" w:anchor="_bookmark1267">
            <w:r>
              <w:rPr/>
              <w:t> Arrangements)</w:t>
            </w:r>
            <w:r>
              <w:rPr>
                <w:spacing w:val="-5"/>
              </w:rPr>
              <w:t> </w:t>
            </w:r>
            <w:r>
              <w:rPr/>
              <w:t>Rule</w:t>
            </w:r>
            <w:r>
              <w:rPr>
                <w:spacing w:val="-4"/>
              </w:rPr>
              <w:t> </w:t>
            </w:r>
            <w:r>
              <w:rPr/>
              <w:t>2017</w:t>
              <w:tab/>
            </w:r>
            <w:r>
              <w:rPr>
                <w:spacing w:val="-6"/>
              </w:rPr>
              <w:t>917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68">
            <w:r>
              <w:rPr/>
              <w:t>Definitions</w:t>
              <w:tab/>
              <w:t>917</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69">
            <w:r>
              <w:rPr/>
              <w:t>Grandfathering of existing dedicated</w:t>
            </w:r>
            <w:r>
              <w:rPr>
                <w:spacing w:val="-5"/>
              </w:rPr>
              <w:t> </w:t>
            </w:r>
            <w:r>
              <w:rPr/>
              <w:t>connection</w:t>
            </w:r>
            <w:r>
              <w:rPr>
                <w:spacing w:val="-2"/>
              </w:rPr>
              <w:t> </w:t>
            </w:r>
            <w:r>
              <w:rPr/>
              <w:t>assets</w:t>
              <w:tab/>
              <w:t>918</w:t>
            </w:r>
          </w:hyperlink>
        </w:p>
        <w:p>
          <w:pPr>
            <w:pStyle w:val="TOC3"/>
            <w:numPr>
              <w:ilvl w:val="2"/>
              <w:numId w:val="52"/>
            </w:numPr>
            <w:tabs>
              <w:tab w:pos="1919" w:val="left" w:leader="none"/>
              <w:tab w:pos="1920" w:val="left" w:leader="none"/>
            </w:tabs>
            <w:spacing w:line="240" w:lineRule="auto" w:before="0" w:after="0"/>
            <w:ind w:left="1919" w:right="0" w:hanging="1702"/>
            <w:jc w:val="left"/>
          </w:pPr>
          <w:hyperlink w:history="true" w:anchor="_bookmark1270">
            <w:r>
              <w:rPr/>
              <w:t>Preparatory steps for registration changes under the</w:t>
            </w:r>
            <w:r>
              <w:rPr>
                <w:spacing w:val="9"/>
              </w:rPr>
              <w:t> </w:t>
            </w:r>
            <w:r>
              <w:rPr/>
              <w:t>Amending</w:t>
            </w:r>
          </w:hyperlink>
        </w:p>
        <w:p>
          <w:pPr>
            <w:pStyle w:val="TOC5"/>
            <w:tabs>
              <w:tab w:pos="8930" w:val="left" w:leader="dot"/>
            </w:tabs>
          </w:pPr>
          <w:hyperlink w:history="true" w:anchor="_bookmark1270">
            <w:r>
              <w:rPr/>
              <w:t>Rule</w:t>
              <w:tab/>
              <w:t>918</w:t>
            </w:r>
          </w:hyperlink>
        </w:p>
        <w:p>
          <w:pPr>
            <w:pStyle w:val="TOC3"/>
            <w:numPr>
              <w:ilvl w:val="2"/>
              <w:numId w:val="52"/>
            </w:numPr>
            <w:tabs>
              <w:tab w:pos="1919" w:val="left" w:leader="none"/>
              <w:tab w:pos="1920" w:val="left" w:leader="none"/>
              <w:tab w:pos="8928" w:val="left" w:leader="dot"/>
            </w:tabs>
            <w:spacing w:line="240" w:lineRule="auto" w:before="0" w:after="0"/>
            <w:ind w:left="1919" w:right="0" w:hanging="1702"/>
            <w:jc w:val="left"/>
          </w:pPr>
          <w:hyperlink w:history="true" w:anchor="_bookmark1271">
            <w:r>
              <w:rPr/>
              <w:t>Participant fees for Dedicated Connection Asset</w:t>
            </w:r>
            <w:r>
              <w:rPr>
                <w:spacing w:val="-23"/>
              </w:rPr>
              <w:t> </w:t>
            </w:r>
            <w:r>
              <w:rPr/>
              <w:t>Service</w:t>
            </w:r>
            <w:r>
              <w:rPr>
                <w:spacing w:val="-5"/>
              </w:rPr>
              <w:t> </w:t>
            </w:r>
            <w:r>
              <w:rPr/>
              <w:t>Providers</w:t>
              <w:tab/>
              <w:t>919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72">
            <w:r>
              <w:rPr/>
              <w:t>Existing</w:t>
            </w:r>
            <w:r>
              <w:rPr>
                <w:spacing w:val="-1"/>
              </w:rPr>
              <w:t> </w:t>
            </w:r>
            <w:r>
              <w:rPr/>
              <w:t>Connection</w:t>
            </w:r>
            <w:r>
              <w:rPr>
                <w:spacing w:val="-1"/>
              </w:rPr>
              <w:t> </w:t>
            </w:r>
            <w:r>
              <w:rPr/>
              <w:t>Agreements</w:t>
              <w:tab/>
              <w:t>919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73">
            <w:r>
              <w:rPr/>
              <w:t>Connection</w:t>
            </w:r>
            <w:r>
              <w:rPr>
                <w:spacing w:val="-1"/>
              </w:rPr>
              <w:t> </w:t>
            </w:r>
            <w:r>
              <w:rPr/>
              <w:t>process</w:t>
              <w:tab/>
              <w:t>919</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274">
            <w:r>
              <w:rPr/>
              <w:t>Transmission Annual</w:t>
            </w:r>
            <w:r>
              <w:rPr>
                <w:spacing w:val="-6"/>
              </w:rPr>
              <w:t> </w:t>
            </w:r>
            <w:r>
              <w:rPr/>
              <w:t>Planning</w:t>
            </w:r>
            <w:r>
              <w:rPr>
                <w:spacing w:val="-4"/>
              </w:rPr>
              <w:t> </w:t>
            </w:r>
            <w:r>
              <w:rPr/>
              <w:t>Report</w:t>
              <w:tab/>
              <w:t>920</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75">
            <w:r>
              <w:rPr/>
              <w:t>Preservation for</w:t>
            </w:r>
            <w:r>
              <w:rPr>
                <w:spacing w:val="-4"/>
              </w:rPr>
              <w:t> </w:t>
            </w:r>
            <w:r>
              <w:rPr/>
              <w:t>adoptive</w:t>
            </w:r>
            <w:r>
              <w:rPr>
                <w:spacing w:val="-2"/>
              </w:rPr>
              <w:t> </w:t>
            </w:r>
            <w:r>
              <w:rPr/>
              <w:t>jurisdictions</w:t>
              <w:tab/>
              <w:t>920</w:t>
            </w:r>
          </w:hyperlink>
        </w:p>
        <w:p>
          <w:pPr>
            <w:pStyle w:val="TOC2"/>
            <w:tabs>
              <w:tab w:pos="1919" w:val="left" w:leader="none"/>
              <w:tab w:pos="8931" w:val="left" w:leader="dot"/>
            </w:tabs>
          </w:pPr>
          <w:hyperlink w:history="true" w:anchor="_bookmark1276">
            <w:r>
              <w:rPr/>
              <w:t>Part ZZZA</w:t>
              <w:tab/>
              <w:t>Replacement expenditure</w:t>
            </w:r>
            <w:r>
              <w:rPr>
                <w:spacing w:val="-5"/>
              </w:rPr>
              <w:t> </w:t>
            </w:r>
            <w:r>
              <w:rPr/>
              <w:t>planning</w:t>
            </w:r>
            <w:r>
              <w:rPr>
                <w:spacing w:val="-4"/>
              </w:rPr>
              <w:t> </w:t>
            </w:r>
            <w:r>
              <w:rPr/>
              <w:t>arrangements</w:t>
              <w:tab/>
              <w:t>920</w:t>
            </w:r>
          </w:hyperlink>
        </w:p>
        <w:p>
          <w:pPr>
            <w:pStyle w:val="TOC2"/>
            <w:numPr>
              <w:ilvl w:val="1"/>
              <w:numId w:val="52"/>
            </w:numPr>
            <w:tabs>
              <w:tab w:pos="1919" w:val="left" w:leader="none"/>
              <w:tab w:pos="1920" w:val="left" w:leader="none"/>
              <w:tab w:pos="3753" w:val="left" w:leader="none"/>
              <w:tab w:pos="8930" w:val="left" w:leader="dot"/>
            </w:tabs>
            <w:spacing w:line="240" w:lineRule="auto" w:before="120" w:after="0"/>
            <w:ind w:left="1919" w:right="414" w:hanging="1701"/>
            <w:jc w:val="left"/>
          </w:pPr>
          <w:hyperlink w:history="true" w:anchor="_bookmark1277">
            <w:r>
              <w:rPr/>
              <w:t>Rules consequential on the making of the National Electricity</w:t>
            </w:r>
          </w:hyperlink>
          <w:hyperlink w:history="true" w:anchor="_bookmark1277">
            <w:r>
              <w:rPr/>
              <w:t> Amendment</w:t>
              <w:tab/>
              <w:t>(Replacement    expenditure    planning</w:t>
            </w:r>
          </w:hyperlink>
          <w:hyperlink w:history="true" w:anchor="_bookmark1277">
            <w:r>
              <w:rPr/>
              <w:t> arrangements)</w:t>
            </w:r>
            <w:r>
              <w:rPr>
                <w:spacing w:val="-1"/>
              </w:rPr>
              <w:t> </w:t>
            </w:r>
            <w:r>
              <w:rPr/>
              <w:t>Rule</w:t>
            </w:r>
            <w:r>
              <w:rPr>
                <w:spacing w:val="-2"/>
              </w:rPr>
              <w:t> </w:t>
            </w:r>
            <w:r>
              <w:rPr/>
              <w:t>2017</w:t>
              <w:tab/>
            </w:r>
            <w:r>
              <w:rPr>
                <w:spacing w:val="-6"/>
              </w:rPr>
              <w:t>920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78">
            <w:r>
              <w:rPr/>
              <w:t>Definitions</w:t>
              <w:tab/>
              <w:t>920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79">
            <w:r>
              <w:rPr/>
              <w:t>Interpretation</w:t>
              <w:tab/>
              <w:t>921</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80">
            <w:r>
              <w:rPr/>
              <w:t>Transitional arrangements for</w:t>
            </w:r>
            <w:r>
              <w:rPr>
                <w:spacing w:val="-4"/>
              </w:rPr>
              <w:t> </w:t>
            </w:r>
            <w:r>
              <w:rPr/>
              <w:t>affected</w:t>
            </w:r>
            <w:r>
              <w:rPr>
                <w:spacing w:val="-1"/>
              </w:rPr>
              <w:t> </w:t>
            </w:r>
            <w:r>
              <w:rPr/>
              <w:t>DNSPs</w:t>
              <w:tab/>
              <w:t>922</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81">
            <w:r>
              <w:rPr/>
              <w:t>Amendments to</w:t>
            </w:r>
            <w:r>
              <w:rPr>
                <w:spacing w:val="-2"/>
              </w:rPr>
              <w:t> </w:t>
            </w:r>
            <w:r>
              <w:rPr/>
              <w:t>RIT</w:t>
            </w:r>
            <w:r>
              <w:rPr>
                <w:spacing w:val="-1"/>
              </w:rPr>
              <w:t> </w:t>
            </w:r>
            <w:r>
              <w:rPr/>
              <w:t>documentation</w:t>
              <w:tab/>
              <w:t>922</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82">
            <w:r>
              <w:rPr/>
              <w:t>Transitional arrangements relating to</w:t>
            </w:r>
            <w:r>
              <w:rPr>
                <w:spacing w:val="-4"/>
              </w:rPr>
              <w:t> </w:t>
            </w:r>
            <w:r>
              <w:rPr/>
              <w:t>excluded projects</w:t>
              <w:tab/>
              <w:t>922</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283">
            <w:r>
              <w:rPr/>
              <w:t>Transitional arrangements relating to  Victorian  bushfire  mitigation</w:t>
            </w:r>
          </w:hyperlink>
          <w:hyperlink w:history="true" w:anchor="_bookmark1283">
            <w:r>
              <w:rPr/>
              <w:t> projects</w:t>
              <w:tab/>
            </w:r>
            <w:r>
              <w:rPr>
                <w:spacing w:val="-6"/>
              </w:rPr>
              <w:t>922</w:t>
            </w:r>
          </w:hyperlink>
        </w:p>
        <w:p>
          <w:pPr>
            <w:pStyle w:val="TOC3"/>
            <w:numPr>
              <w:ilvl w:val="2"/>
              <w:numId w:val="52"/>
            </w:numPr>
            <w:tabs>
              <w:tab w:pos="1919" w:val="left" w:leader="none"/>
              <w:tab w:pos="1920" w:val="left" w:leader="none"/>
              <w:tab w:pos="8932" w:val="left" w:leader="dot"/>
            </w:tabs>
            <w:spacing w:line="240" w:lineRule="auto" w:before="0" w:after="0"/>
            <w:ind w:left="1919" w:right="0" w:hanging="1702"/>
            <w:jc w:val="left"/>
          </w:pPr>
          <w:hyperlink w:history="true" w:anchor="_bookmark1284">
            <w:r>
              <w:rPr/>
              <w:t>Transitional arrangements relating to review of</w:t>
            </w:r>
            <w:r>
              <w:rPr>
                <w:spacing w:val="-3"/>
              </w:rPr>
              <w:t> </w:t>
            </w:r>
            <w:r>
              <w:rPr/>
              <w:t>costs</w:t>
            </w:r>
            <w:r>
              <w:rPr>
                <w:spacing w:val="-1"/>
              </w:rPr>
              <w:t> </w:t>
            </w:r>
            <w:r>
              <w:rPr/>
              <w:t>thresholds</w:t>
              <w:tab/>
              <w:t>923</w:t>
            </w:r>
          </w:hyperlink>
        </w:p>
        <w:p>
          <w:pPr>
            <w:pStyle w:val="TOC2"/>
            <w:tabs>
              <w:tab w:pos="1919" w:val="left" w:leader="none"/>
              <w:tab w:pos="8930" w:val="left" w:leader="dot"/>
            </w:tabs>
          </w:pPr>
          <w:hyperlink w:history="true" w:anchor="_bookmark1285">
            <w:r>
              <w:rPr/>
              <w:t>Part ZZZB</w:t>
              <w:tab/>
              <w:t>Managing the rate of change of power</w:t>
            </w:r>
            <w:r>
              <w:rPr>
                <w:spacing w:val="-13"/>
              </w:rPr>
              <w:t> </w:t>
            </w:r>
            <w:r>
              <w:rPr/>
              <w:t>system</w:t>
            </w:r>
            <w:r>
              <w:rPr>
                <w:spacing w:val="-2"/>
              </w:rPr>
              <w:t> </w:t>
            </w:r>
            <w:r>
              <w:rPr/>
              <w:t>frequency</w:t>
              <w:tab/>
              <w:t>923</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286">
            <w:r>
              <w:rPr/>
              <w:t>Rules consequential on the making of the National Electricity</w:t>
            </w:r>
          </w:hyperlink>
          <w:hyperlink w:history="true" w:anchor="_bookmark1286">
            <w:r>
              <w:rPr/>
              <w:t> Amendment (Managing the rate of change  of  power  system</w:t>
            </w:r>
          </w:hyperlink>
          <w:hyperlink w:history="true" w:anchor="_bookmark1286">
            <w:r>
              <w:rPr/>
              <w:t> frequency)</w:t>
            </w:r>
            <w:r>
              <w:rPr>
                <w:spacing w:val="-1"/>
              </w:rPr>
              <w:t> </w:t>
            </w:r>
            <w:r>
              <w:rPr/>
              <w:t>Rule</w:t>
            </w:r>
            <w:r>
              <w:rPr>
                <w:spacing w:val="-2"/>
              </w:rPr>
              <w:t> </w:t>
            </w:r>
            <w:r>
              <w:rPr/>
              <w:t>2017</w:t>
              <w:tab/>
            </w:r>
            <w:r>
              <w:rPr>
                <w:spacing w:val="-6"/>
              </w:rPr>
              <w:t>923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87">
            <w:r>
              <w:rPr/>
              <w:t>Definitions</w:t>
              <w:tab/>
              <w:t>923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88">
            <w:r>
              <w:rPr/>
              <w:t>Inertia</w:t>
            </w:r>
            <w:r>
              <w:rPr>
                <w:spacing w:val="-4"/>
              </w:rPr>
              <w:t> </w:t>
            </w:r>
            <w:r>
              <w:rPr/>
              <w:t>sub-networks</w:t>
              <w:tab/>
              <w:t>924</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289">
            <w:r>
              <w:rPr/>
              <w:t>Inertia</w:t>
            </w:r>
            <w:r>
              <w:rPr>
                <w:spacing w:val="-1"/>
              </w:rPr>
              <w:t> </w:t>
            </w:r>
            <w:r>
              <w:rPr/>
              <w:t>requirements</w:t>
            </w:r>
            <w:r>
              <w:rPr>
                <w:spacing w:val="-1"/>
              </w:rPr>
              <w:t> </w:t>
            </w:r>
            <w:r>
              <w:rPr/>
              <w:t>methodology</w:t>
              <w:tab/>
              <w:t>924</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90">
            <w:r>
              <w:rPr/>
              <w:t>Inertia</w:t>
            </w:r>
            <w:r>
              <w:rPr>
                <w:spacing w:val="-1"/>
              </w:rPr>
              <w:t> </w:t>
            </w:r>
            <w:r>
              <w:rPr/>
              <w:t>requirements</w:t>
              <w:tab/>
              <w:t>924</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91">
            <w:r>
              <w:rPr/>
              <w:t>NSCAS not to be used to meet an inertia shortfall after 1</w:t>
            </w:r>
            <w:r>
              <w:rPr>
                <w:spacing w:val="-16"/>
              </w:rPr>
              <w:t> </w:t>
            </w:r>
            <w:r>
              <w:rPr/>
              <w:t>July</w:t>
            </w:r>
            <w:r>
              <w:rPr>
                <w:spacing w:val="-2"/>
              </w:rPr>
              <w:t> </w:t>
            </w:r>
            <w:r>
              <w:rPr/>
              <w:t>2019</w:t>
              <w:tab/>
              <w:t>925</w:t>
            </w:r>
          </w:hyperlink>
        </w:p>
        <w:p>
          <w:pPr>
            <w:pStyle w:val="TOC3"/>
            <w:numPr>
              <w:ilvl w:val="2"/>
              <w:numId w:val="52"/>
            </w:numPr>
            <w:tabs>
              <w:tab w:pos="1919" w:val="left" w:leader="none"/>
              <w:tab w:pos="1920" w:val="left" w:leader="none"/>
              <w:tab w:pos="8931" w:val="left" w:leader="dot"/>
            </w:tabs>
            <w:spacing w:line="240" w:lineRule="auto" w:before="0" w:after="0"/>
            <w:ind w:left="1919" w:right="413" w:hanging="1701"/>
            <w:jc w:val="left"/>
          </w:pPr>
          <w:hyperlink w:history="true" w:anchor="_bookmark1292">
            <w:r>
              <w:rPr/>
              <w:t>Inertia  network  services  may  be  used  to  meet  an  NSCAS  gap</w:t>
            </w:r>
          </w:hyperlink>
          <w:r>
            <w:rPr/>
            <w:t> </w:t>
          </w:r>
          <w:hyperlink w:history="true" w:anchor="_bookmark1292">
            <w:r>
              <w:rPr/>
              <w:t> declared in the NSCAS</w:t>
            </w:r>
            <w:r>
              <w:rPr>
                <w:spacing w:val="-5"/>
              </w:rPr>
              <w:t> </w:t>
            </w:r>
            <w:r>
              <w:rPr/>
              <w:t>transition</w:t>
            </w:r>
            <w:r>
              <w:rPr>
                <w:spacing w:val="-1"/>
              </w:rPr>
              <w:t> </w:t>
            </w:r>
            <w:r>
              <w:rPr/>
              <w:t>period</w:t>
              <w:tab/>
            </w:r>
            <w:r>
              <w:rPr>
                <w:spacing w:val="-6"/>
              </w:rPr>
              <w:t>925</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293">
            <w:r>
              <w:rPr/>
              <w:t>Inertia  network  services  made  available  before   the   commencement</w:t>
            </w:r>
          </w:hyperlink>
          <w:hyperlink w:history="true" w:anchor="_bookmark1293">
            <w:r>
              <w:rPr/>
              <w:t> date</w:t>
              <w:tab/>
            </w:r>
            <w:r>
              <w:rPr>
                <w:spacing w:val="-6"/>
              </w:rPr>
              <w:t>926</w:t>
            </w:r>
          </w:hyperlink>
        </w:p>
        <w:p>
          <w:pPr>
            <w:pStyle w:val="TOC2"/>
            <w:tabs>
              <w:tab w:pos="1919" w:val="left" w:leader="none"/>
              <w:tab w:pos="8930" w:val="left" w:leader="dot"/>
            </w:tabs>
            <w:spacing w:after="240"/>
          </w:pPr>
          <w:hyperlink w:history="true" w:anchor="_bookmark1294">
            <w:r>
              <w:rPr/>
              <w:t>Part ZZZC</w:t>
              <w:tab/>
              <w:t>Managing power system</w:t>
            </w:r>
            <w:r>
              <w:rPr>
                <w:spacing w:val="-7"/>
              </w:rPr>
              <w:t> </w:t>
            </w:r>
            <w:r>
              <w:rPr/>
              <w:t>fault</w:t>
            </w:r>
            <w:r>
              <w:rPr>
                <w:spacing w:val="-1"/>
              </w:rPr>
              <w:t> </w:t>
            </w:r>
            <w:r>
              <w:rPr/>
              <w:t>levels</w:t>
              <w:tab/>
              <w:t>926</w:t>
            </w:r>
          </w:hyperlink>
        </w:p>
        <w:p>
          <w:pPr>
            <w:pStyle w:val="TOC2"/>
            <w:numPr>
              <w:ilvl w:val="1"/>
              <w:numId w:val="52"/>
            </w:numPr>
            <w:tabs>
              <w:tab w:pos="1919" w:val="left" w:leader="none"/>
              <w:tab w:pos="1920" w:val="left" w:leader="none"/>
              <w:tab w:pos="8930" w:val="left" w:leader="dot"/>
            </w:tabs>
            <w:spacing w:line="240" w:lineRule="auto" w:before="83" w:after="0"/>
            <w:ind w:left="1919" w:right="414" w:hanging="1701"/>
            <w:jc w:val="left"/>
          </w:pPr>
          <w:hyperlink w:history="true" w:anchor="_bookmark1295">
            <w:r>
              <w:rPr/>
              <w:t>Rules consequential on the making of the National Electricity</w:t>
            </w:r>
          </w:hyperlink>
          <w:hyperlink w:history="true" w:anchor="_bookmark1295">
            <w:r>
              <w:rPr/>
              <w:t> Amendment (Managing power system fault levels)</w:t>
            </w:r>
            <w:r>
              <w:rPr>
                <w:spacing w:val="-14"/>
              </w:rPr>
              <w:t> </w:t>
            </w:r>
            <w:r>
              <w:rPr/>
              <w:t>Rule</w:t>
            </w:r>
            <w:r>
              <w:rPr>
                <w:spacing w:val="-3"/>
              </w:rPr>
              <w:t> </w:t>
            </w:r>
            <w:r>
              <w:rPr/>
              <w:t>2017</w:t>
              <w:tab/>
            </w:r>
            <w:r>
              <w:rPr>
                <w:spacing w:val="-6"/>
              </w:rPr>
              <w:t>926</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96">
            <w:r>
              <w:rPr/>
              <w:t>Definitions</w:t>
              <w:tab/>
              <w:t>926</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97">
            <w:r>
              <w:rPr/>
              <w:t>System strength impact</w:t>
            </w:r>
            <w:r>
              <w:rPr>
                <w:spacing w:val="-9"/>
              </w:rPr>
              <w:t> </w:t>
            </w:r>
            <w:r>
              <w:rPr/>
              <w:t>assessment</w:t>
            </w:r>
            <w:r>
              <w:rPr>
                <w:spacing w:val="-2"/>
              </w:rPr>
              <w:t> </w:t>
            </w:r>
            <w:r>
              <w:rPr/>
              <w:t>guidelines</w:t>
              <w:tab/>
              <w:t>928</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298">
            <w:r>
              <w:rPr/>
              <w:t>System strength</w:t>
            </w:r>
            <w:r>
              <w:rPr>
                <w:spacing w:val="-6"/>
              </w:rPr>
              <w:t> </w:t>
            </w:r>
            <w:r>
              <w:rPr/>
              <w:t>requirements</w:t>
            </w:r>
            <w:r>
              <w:rPr>
                <w:spacing w:val="-3"/>
              </w:rPr>
              <w:t> </w:t>
            </w:r>
            <w:r>
              <w:rPr/>
              <w:t>methodology</w:t>
              <w:tab/>
              <w:t>928</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299">
            <w:r>
              <w:rPr/>
              <w:t>System</w:t>
            </w:r>
            <w:r>
              <w:rPr>
                <w:spacing w:val="-4"/>
              </w:rPr>
              <w:t> </w:t>
            </w:r>
            <w:r>
              <w:rPr/>
              <w:t>strength</w:t>
            </w:r>
            <w:r>
              <w:rPr>
                <w:spacing w:val="-4"/>
              </w:rPr>
              <w:t> </w:t>
            </w:r>
            <w:r>
              <w:rPr/>
              <w:t>requirements</w:t>
              <w:tab/>
              <w:t>928</w:t>
            </w:r>
          </w:hyperlink>
        </w:p>
        <w:p>
          <w:pPr>
            <w:pStyle w:val="TOC3"/>
            <w:numPr>
              <w:ilvl w:val="2"/>
              <w:numId w:val="52"/>
            </w:numPr>
            <w:tabs>
              <w:tab w:pos="1919" w:val="left" w:leader="none"/>
              <w:tab w:pos="1920" w:val="left" w:leader="none"/>
            </w:tabs>
            <w:spacing w:line="240" w:lineRule="auto" w:before="0" w:after="0"/>
            <w:ind w:left="1919" w:right="0" w:hanging="1702"/>
            <w:jc w:val="left"/>
          </w:pPr>
          <w:hyperlink w:history="true" w:anchor="_bookmark1300">
            <w:r>
              <w:rPr/>
              <w:t>NSCAS</w:t>
            </w:r>
            <w:r>
              <w:rPr>
                <w:spacing w:val="28"/>
              </w:rPr>
              <w:t> </w:t>
            </w:r>
            <w:r>
              <w:rPr/>
              <w:t>not</w:t>
            </w:r>
            <w:r>
              <w:rPr>
                <w:spacing w:val="28"/>
              </w:rPr>
              <w:t> </w:t>
            </w:r>
            <w:r>
              <w:rPr/>
              <w:t>to</w:t>
            </w:r>
            <w:r>
              <w:rPr>
                <w:spacing w:val="29"/>
              </w:rPr>
              <w:t> </w:t>
            </w:r>
            <w:r>
              <w:rPr/>
              <w:t>be</w:t>
            </w:r>
            <w:r>
              <w:rPr>
                <w:spacing w:val="28"/>
              </w:rPr>
              <w:t> </w:t>
            </w:r>
            <w:r>
              <w:rPr/>
              <w:t>used</w:t>
            </w:r>
            <w:r>
              <w:rPr>
                <w:spacing w:val="29"/>
              </w:rPr>
              <w:t> </w:t>
            </w:r>
            <w:r>
              <w:rPr/>
              <w:t>to</w:t>
            </w:r>
            <w:r>
              <w:rPr>
                <w:spacing w:val="28"/>
              </w:rPr>
              <w:t> </w:t>
            </w:r>
            <w:r>
              <w:rPr/>
              <w:t>meet</w:t>
            </w:r>
            <w:r>
              <w:rPr>
                <w:spacing w:val="29"/>
              </w:rPr>
              <w:t> </w:t>
            </w:r>
            <w:r>
              <w:rPr/>
              <w:t>a</w:t>
            </w:r>
            <w:r>
              <w:rPr>
                <w:spacing w:val="28"/>
              </w:rPr>
              <w:t> </w:t>
            </w:r>
            <w:r>
              <w:rPr/>
              <w:t>fault</w:t>
            </w:r>
            <w:r>
              <w:rPr>
                <w:spacing w:val="29"/>
              </w:rPr>
              <w:t> </w:t>
            </w:r>
            <w:r>
              <w:rPr/>
              <w:t>level</w:t>
            </w:r>
            <w:r>
              <w:rPr>
                <w:spacing w:val="28"/>
              </w:rPr>
              <w:t> </w:t>
            </w:r>
            <w:r>
              <w:rPr/>
              <w:t>shortfall</w:t>
            </w:r>
            <w:r>
              <w:rPr>
                <w:spacing w:val="29"/>
              </w:rPr>
              <w:t> </w:t>
            </w:r>
            <w:r>
              <w:rPr/>
              <w:t>after</w:t>
            </w:r>
            <w:r>
              <w:rPr>
                <w:spacing w:val="28"/>
              </w:rPr>
              <w:t> </w:t>
            </w:r>
            <w:r>
              <w:rPr/>
              <w:t>1</w:t>
            </w:r>
            <w:r>
              <w:rPr>
                <w:spacing w:val="28"/>
              </w:rPr>
              <w:t> </w:t>
            </w:r>
            <w:r>
              <w:rPr/>
              <w:t>July</w:t>
            </w:r>
          </w:hyperlink>
        </w:p>
        <w:p>
          <w:pPr>
            <w:pStyle w:val="TOC5"/>
          </w:pPr>
          <w:hyperlink w:history="true" w:anchor="_bookmark1300">
            <w:r>
              <w:rPr/>
              <w:t>2019</w:t>
            </w:r>
            <w:r>
              <w:rPr>
                <w:spacing w:val="-8"/>
              </w:rPr>
              <w:t> </w:t>
            </w:r>
            <w:r>
              <w:rPr/>
              <w:t>............................................................................................................929</w:t>
            </w:r>
          </w:hyperlink>
        </w:p>
        <w:p>
          <w:pPr>
            <w:pStyle w:val="TOC3"/>
            <w:numPr>
              <w:ilvl w:val="2"/>
              <w:numId w:val="52"/>
            </w:numPr>
            <w:tabs>
              <w:tab w:pos="1919" w:val="left" w:leader="none"/>
              <w:tab w:pos="1920" w:val="left" w:leader="none"/>
              <w:tab w:pos="8931" w:val="left" w:leader="dot"/>
            </w:tabs>
            <w:spacing w:line="240" w:lineRule="auto" w:before="0" w:after="0"/>
            <w:ind w:left="1919" w:right="413" w:hanging="1701"/>
            <w:jc w:val="left"/>
          </w:pPr>
          <w:hyperlink w:history="true" w:anchor="_bookmark1301">
            <w:r>
              <w:rPr/>
              <w:t>System  strength  services  may  be  used  to  meet  an  NSCAS  gap</w:t>
            </w:r>
          </w:hyperlink>
          <w:hyperlink w:history="true" w:anchor="_bookmark1301">
            <w:r>
              <w:rPr/>
              <w:t> declared in the NSCAS</w:t>
            </w:r>
            <w:r>
              <w:rPr>
                <w:spacing w:val="-5"/>
              </w:rPr>
              <w:t> </w:t>
            </w:r>
            <w:r>
              <w:rPr/>
              <w:t>transition</w:t>
            </w:r>
            <w:r>
              <w:rPr>
                <w:spacing w:val="-1"/>
              </w:rPr>
              <w:t> </w:t>
            </w:r>
            <w:r>
              <w:rPr/>
              <w:t>period</w:t>
              <w:tab/>
            </w:r>
            <w:r>
              <w:rPr>
                <w:spacing w:val="-6"/>
              </w:rPr>
              <w:t>929</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02">
            <w:r>
              <w:rPr/>
              <w:t>Withdrawal  of  a  system   strength-related   NSCAS   gap   already</w:t>
            </w:r>
          </w:hyperlink>
          <w:hyperlink w:history="true" w:anchor="_bookmark1302">
            <w:r>
              <w:rPr/>
              <w:t> declared</w:t>
              <w:tab/>
            </w:r>
            <w:r>
              <w:rPr>
                <w:spacing w:val="-6"/>
              </w:rPr>
              <w:t>930</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03">
            <w:r>
              <w:rPr/>
              <w:t>System  strength  services  made  available  before  the  commencement</w:t>
            </w:r>
          </w:hyperlink>
          <w:hyperlink w:history="true" w:anchor="_bookmark1303">
            <w:r>
              <w:rPr/>
              <w:t>  date</w:t>
              <w:tab/>
            </w:r>
            <w:r>
              <w:rPr>
                <w:spacing w:val="-6"/>
              </w:rPr>
              <w:t>930</w:t>
            </w:r>
          </w:hyperlink>
        </w:p>
        <w:p>
          <w:pPr>
            <w:pStyle w:val="TOC2"/>
            <w:tabs>
              <w:tab w:pos="1919" w:val="left" w:leader="none"/>
              <w:tab w:pos="8931" w:val="left" w:leader="dot"/>
            </w:tabs>
          </w:pPr>
          <w:hyperlink w:history="true" w:anchor="_bookmark1304">
            <w:r>
              <w:rPr/>
              <w:t>Part ZZZD</w:t>
              <w:tab/>
              <w:t>Generating System</w:t>
            </w:r>
            <w:r>
              <w:rPr>
                <w:spacing w:val="-4"/>
              </w:rPr>
              <w:t> </w:t>
            </w:r>
            <w:r>
              <w:rPr/>
              <w:t>Model</w:t>
            </w:r>
            <w:r>
              <w:rPr>
                <w:spacing w:val="-1"/>
              </w:rPr>
              <w:t> </w:t>
            </w:r>
            <w:r>
              <w:rPr/>
              <w:t>Guidelines</w:t>
              <w:tab/>
              <w:t>930</w:t>
            </w:r>
          </w:hyperlink>
        </w:p>
        <w:p>
          <w:pPr>
            <w:pStyle w:val="TOC2"/>
            <w:numPr>
              <w:ilvl w:val="1"/>
              <w:numId w:val="52"/>
            </w:numPr>
            <w:tabs>
              <w:tab w:pos="1919" w:val="left" w:leader="none"/>
              <w:tab w:pos="1920" w:val="left" w:leader="none"/>
              <w:tab w:pos="8930" w:val="left" w:leader="dot"/>
            </w:tabs>
            <w:spacing w:line="240" w:lineRule="auto" w:before="120" w:after="0"/>
            <w:ind w:left="1919" w:right="0" w:hanging="1702"/>
            <w:jc w:val="left"/>
          </w:pPr>
          <w:hyperlink w:history="true" w:anchor="_bookmark1305">
            <w:r>
              <w:rPr/>
              <w:t>Making of Power System</w:t>
            </w:r>
            <w:r>
              <w:rPr>
                <w:spacing w:val="-8"/>
              </w:rPr>
              <w:t> </w:t>
            </w:r>
            <w:r>
              <w:rPr/>
              <w:t>Model</w:t>
            </w:r>
            <w:r>
              <w:rPr>
                <w:spacing w:val="-2"/>
              </w:rPr>
              <w:t> </w:t>
            </w:r>
            <w:r>
              <w:rPr/>
              <w:t>Guidelines</w:t>
              <w:tab/>
              <w:t>930</w:t>
            </w:r>
          </w:hyperlink>
        </w:p>
        <w:p>
          <w:pPr>
            <w:pStyle w:val="TOC2"/>
            <w:tabs>
              <w:tab w:pos="1919" w:val="left" w:leader="none"/>
              <w:tab w:pos="8931" w:val="left" w:leader="dot"/>
            </w:tabs>
          </w:pPr>
          <w:hyperlink w:history="true" w:anchor="_bookmark1306">
            <w:r>
              <w:rPr/>
              <w:t>Part ZZZE</w:t>
              <w:tab/>
              <w:t>Five</w:t>
            </w:r>
            <w:r>
              <w:rPr>
                <w:spacing w:val="-3"/>
              </w:rPr>
              <w:t> </w:t>
            </w:r>
            <w:r>
              <w:rPr/>
              <w:t>Minute</w:t>
            </w:r>
            <w:r>
              <w:rPr>
                <w:spacing w:val="-2"/>
              </w:rPr>
              <w:t> </w:t>
            </w:r>
            <w:r>
              <w:rPr/>
              <w:t>Settlement</w:t>
              <w:tab/>
              <w:t>930</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307">
            <w:r>
              <w:rPr/>
              <w:t>Rules consequential on the making of the National Electricity</w:t>
            </w:r>
          </w:hyperlink>
          <w:hyperlink w:history="true" w:anchor="_bookmark1307">
            <w:r>
              <w:rPr/>
              <w:t> Amendment (Five Minute Settlement)</w:t>
            </w:r>
            <w:r>
              <w:rPr>
                <w:spacing w:val="-10"/>
              </w:rPr>
              <w:t> </w:t>
            </w:r>
            <w:r>
              <w:rPr/>
              <w:t>Rule</w:t>
            </w:r>
            <w:r>
              <w:rPr>
                <w:spacing w:val="-3"/>
              </w:rPr>
              <w:t> </w:t>
            </w:r>
            <w:r>
              <w:rPr/>
              <w:t>2017</w:t>
              <w:tab/>
            </w:r>
            <w:r>
              <w:rPr>
                <w:spacing w:val="-6"/>
              </w:rPr>
              <w:t>930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08">
            <w:r>
              <w:rPr/>
              <w:t>Definitions</w:t>
              <w:tab/>
              <w:t>930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09">
            <w:r>
              <w:rPr/>
              <w:t>Amendments</w:t>
            </w:r>
            <w:r>
              <w:rPr>
                <w:spacing w:val="-1"/>
              </w:rPr>
              <w:t> </w:t>
            </w:r>
            <w:r>
              <w:rPr/>
              <w:t>to</w:t>
            </w:r>
            <w:r>
              <w:rPr>
                <w:spacing w:val="-1"/>
              </w:rPr>
              <w:t> </w:t>
            </w:r>
            <w:r>
              <w:rPr/>
              <w:t>procedures</w:t>
              <w:tab/>
              <w:t>931</w:t>
            </w:r>
          </w:hyperlink>
        </w:p>
        <w:p>
          <w:pPr>
            <w:pStyle w:val="TOC3"/>
            <w:tabs>
              <w:tab w:pos="1919" w:val="left" w:leader="none"/>
              <w:tab w:pos="8931" w:val="left" w:leader="dot"/>
            </w:tabs>
            <w:ind w:left="218"/>
          </w:pPr>
          <w:hyperlink w:history="true" w:anchor="_bookmark1310">
            <w:r>
              <w:rPr/>
              <w:t>11.103.3.</w:t>
              <w:tab/>
              <w:t>Exemption for certain</w:t>
            </w:r>
            <w:r>
              <w:rPr>
                <w:spacing w:val="-2"/>
              </w:rPr>
              <w:t> </w:t>
            </w:r>
            <w:r>
              <w:rPr/>
              <w:t>metering</w:t>
            </w:r>
            <w:r>
              <w:rPr>
                <w:spacing w:val="-1"/>
              </w:rPr>
              <w:t> </w:t>
            </w:r>
            <w:r>
              <w:rPr/>
              <w:t>installations</w:t>
              <w:tab/>
              <w:t>932</w:t>
            </w:r>
          </w:hyperlink>
        </w:p>
        <w:p>
          <w:pPr>
            <w:pStyle w:val="TOC3"/>
            <w:numPr>
              <w:ilvl w:val="2"/>
              <w:numId w:val="53"/>
            </w:numPr>
            <w:tabs>
              <w:tab w:pos="1919" w:val="left" w:leader="none"/>
              <w:tab w:pos="1920" w:val="left" w:leader="none"/>
              <w:tab w:pos="8930" w:val="left" w:leader="dot"/>
            </w:tabs>
            <w:spacing w:line="240" w:lineRule="auto" w:before="0" w:after="0"/>
            <w:ind w:left="1919" w:right="0" w:hanging="1702"/>
            <w:jc w:val="left"/>
          </w:pPr>
          <w:hyperlink w:history="true" w:anchor="_bookmark1311">
            <w:r>
              <w:rPr/>
              <w:t>New or</w:t>
            </w:r>
            <w:r>
              <w:rPr>
                <w:spacing w:val="-3"/>
              </w:rPr>
              <w:t> </w:t>
            </w:r>
            <w:r>
              <w:rPr/>
              <w:t>replacement</w:t>
            </w:r>
            <w:r>
              <w:rPr>
                <w:spacing w:val="-1"/>
              </w:rPr>
              <w:t> </w:t>
            </w:r>
            <w:r>
              <w:rPr/>
              <w:t>meters</w:t>
              <w:tab/>
              <w:t>932</w:t>
            </w:r>
          </w:hyperlink>
        </w:p>
        <w:p>
          <w:pPr>
            <w:pStyle w:val="TOC3"/>
            <w:numPr>
              <w:ilvl w:val="2"/>
              <w:numId w:val="53"/>
            </w:numPr>
            <w:tabs>
              <w:tab w:pos="1919" w:val="left" w:leader="none"/>
              <w:tab w:pos="1920" w:val="left" w:leader="none"/>
              <w:tab w:pos="8930" w:val="left" w:leader="dot"/>
            </w:tabs>
            <w:spacing w:line="240" w:lineRule="auto" w:before="0" w:after="0"/>
            <w:ind w:left="1919" w:right="413" w:hanging="1701"/>
            <w:jc w:val="left"/>
          </w:pPr>
          <w:hyperlink w:history="true" w:anchor="_bookmark1312">
            <w:r>
              <w:rPr/>
              <w:t>Metering installations  exempt  from  metering  data  provision</w:t>
            </w:r>
          </w:hyperlink>
          <w:r>
            <w:rPr/>
            <w:t> </w:t>
          </w:r>
          <w:hyperlink w:history="true" w:anchor="_bookmark1312">
            <w:r>
              <w:rPr/>
              <w:t> requirements</w:t>
              <w:tab/>
            </w:r>
            <w:r>
              <w:rPr>
                <w:spacing w:val="-6"/>
              </w:rPr>
              <w:t>933</w:t>
            </w:r>
          </w:hyperlink>
        </w:p>
        <w:p>
          <w:pPr>
            <w:pStyle w:val="TOC3"/>
            <w:numPr>
              <w:ilvl w:val="2"/>
              <w:numId w:val="53"/>
            </w:numPr>
            <w:tabs>
              <w:tab w:pos="1919" w:val="left" w:leader="none"/>
              <w:tab w:pos="1920" w:val="left" w:leader="none"/>
              <w:tab w:pos="8930" w:val="left" w:leader="dot"/>
            </w:tabs>
            <w:spacing w:line="240" w:lineRule="auto" w:before="0" w:after="0"/>
            <w:ind w:left="1919" w:right="0" w:hanging="1702"/>
            <w:jc w:val="left"/>
          </w:pPr>
          <w:hyperlink w:history="true" w:anchor="_bookmark1313">
            <w:r>
              <w:rPr/>
              <w:t>Exemption from meter data</w:t>
            </w:r>
            <w:r>
              <w:rPr>
                <w:spacing w:val="-7"/>
              </w:rPr>
              <w:t> </w:t>
            </w:r>
            <w:r>
              <w:rPr/>
              <w:t>storage</w:t>
            </w:r>
            <w:r>
              <w:rPr>
                <w:spacing w:val="-2"/>
              </w:rPr>
              <w:t> </w:t>
            </w:r>
            <w:r>
              <w:rPr/>
              <w:t>requirements</w:t>
              <w:tab/>
              <w:t>933</w:t>
            </w:r>
          </w:hyperlink>
        </w:p>
        <w:p>
          <w:pPr>
            <w:pStyle w:val="TOC3"/>
            <w:numPr>
              <w:ilvl w:val="2"/>
              <w:numId w:val="53"/>
            </w:numPr>
            <w:tabs>
              <w:tab w:pos="1919" w:val="left" w:leader="none"/>
              <w:tab w:pos="1920" w:val="left" w:leader="none"/>
              <w:tab w:pos="8930" w:val="left" w:leader="dot"/>
            </w:tabs>
            <w:spacing w:line="240" w:lineRule="auto" w:before="0" w:after="0"/>
            <w:ind w:left="1919" w:right="0" w:hanging="1702"/>
            <w:jc w:val="left"/>
          </w:pPr>
          <w:hyperlink w:history="true" w:anchor="_bookmark1314">
            <w:r>
              <w:rPr/>
              <w:t>Default offers and bids submitted prior to the</w:t>
            </w:r>
            <w:r>
              <w:rPr>
                <w:spacing w:val="-9"/>
              </w:rPr>
              <w:t> </w:t>
            </w:r>
            <w:r>
              <w:rPr/>
              <w:t>commencement</w:t>
            </w:r>
            <w:r>
              <w:rPr>
                <w:spacing w:val="-1"/>
              </w:rPr>
              <w:t> </w:t>
            </w:r>
            <w:r>
              <w:rPr/>
              <w:t>date</w:t>
              <w:tab/>
              <w:t>933</w:t>
            </w:r>
          </w:hyperlink>
        </w:p>
        <w:p>
          <w:pPr>
            <w:pStyle w:val="TOC2"/>
            <w:tabs>
              <w:tab w:pos="1919" w:val="left" w:leader="none"/>
              <w:tab w:pos="8930" w:val="left" w:leader="dot"/>
            </w:tabs>
          </w:pPr>
          <w:hyperlink w:history="true" w:anchor="_bookmark1315">
            <w:r>
              <w:rPr/>
              <w:t>Part ZZZF</w:t>
              <w:tab/>
              <w:t>Contestability of</w:t>
            </w:r>
            <w:r>
              <w:rPr>
                <w:spacing w:val="-8"/>
              </w:rPr>
              <w:t> </w:t>
            </w:r>
            <w:r>
              <w:rPr/>
              <w:t>energy</w:t>
            </w:r>
            <w:r>
              <w:rPr>
                <w:spacing w:val="-4"/>
              </w:rPr>
              <w:t> </w:t>
            </w:r>
            <w:r>
              <w:rPr/>
              <w:t>services</w:t>
              <w:tab/>
              <w:t>933</w:t>
            </w:r>
          </w:hyperlink>
        </w:p>
        <w:p>
          <w:pPr>
            <w:pStyle w:val="TOC2"/>
            <w:numPr>
              <w:ilvl w:val="1"/>
              <w:numId w:val="52"/>
            </w:numPr>
            <w:tabs>
              <w:tab w:pos="1919" w:val="left" w:leader="none"/>
              <w:tab w:pos="1920" w:val="left" w:leader="none"/>
              <w:tab w:pos="8929" w:val="left" w:leader="dot"/>
            </w:tabs>
            <w:spacing w:line="240" w:lineRule="auto" w:before="120" w:after="0"/>
            <w:ind w:left="1919" w:right="414" w:hanging="1701"/>
            <w:jc w:val="left"/>
          </w:pPr>
          <w:hyperlink w:history="true" w:anchor="_bookmark1316">
            <w:r>
              <w:rPr/>
              <w:t>Rules consequential on the making of the National Electricity</w:t>
            </w:r>
          </w:hyperlink>
          <w:hyperlink w:history="true" w:anchor="_bookmark1316">
            <w:r>
              <w:rPr/>
              <w:t> Amendment (Contestability of energy services)</w:t>
            </w:r>
            <w:r>
              <w:rPr>
                <w:spacing w:val="-13"/>
              </w:rPr>
              <w:t> </w:t>
            </w:r>
            <w:r>
              <w:rPr/>
              <w:t>Rule</w:t>
            </w:r>
            <w:r>
              <w:rPr>
                <w:spacing w:val="-3"/>
              </w:rPr>
              <w:t> </w:t>
            </w:r>
            <w:r>
              <w:rPr/>
              <w:t>2017</w:t>
              <w:tab/>
            </w:r>
            <w:r>
              <w:rPr>
                <w:spacing w:val="-6"/>
              </w:rPr>
              <w:t>933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17">
            <w:r>
              <w:rPr/>
              <w:t>Definitions</w:t>
              <w:tab/>
              <w:t>933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18">
            <w:r>
              <w:rPr/>
              <w:t>New</w:t>
            </w:r>
            <w:r>
              <w:rPr>
                <w:spacing w:val="-2"/>
              </w:rPr>
              <w:t> </w:t>
            </w:r>
            <w:r>
              <w:rPr/>
              <w:t>guidelines</w:t>
              <w:tab/>
              <w:t>935</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19">
            <w:r>
              <w:rPr/>
              <w:t>Transitional arrangements for application of Distribution Service</w:t>
            </w:r>
          </w:hyperlink>
          <w:hyperlink w:history="true" w:anchor="_bookmark1319">
            <w:r>
              <w:rPr/>
              <w:t> Classification Guidelines and service</w:t>
            </w:r>
            <w:r>
              <w:rPr>
                <w:spacing w:val="-14"/>
              </w:rPr>
              <w:t> </w:t>
            </w:r>
            <w:r>
              <w:rPr/>
              <w:t>classification</w:t>
            </w:r>
            <w:r>
              <w:rPr>
                <w:spacing w:val="-3"/>
              </w:rPr>
              <w:t> </w:t>
            </w:r>
            <w:r>
              <w:rPr/>
              <w:t>provisions</w:t>
              <w:tab/>
            </w:r>
            <w:r>
              <w:rPr>
                <w:spacing w:val="-6"/>
              </w:rPr>
              <w:t>935</w:t>
            </w:r>
          </w:hyperlink>
        </w:p>
        <w:p>
          <w:pPr>
            <w:pStyle w:val="TOC3"/>
            <w:numPr>
              <w:ilvl w:val="2"/>
              <w:numId w:val="52"/>
            </w:numPr>
            <w:tabs>
              <w:tab w:pos="1919" w:val="left" w:leader="none"/>
              <w:tab w:pos="1920" w:val="left" w:leader="none"/>
              <w:tab w:pos="8930" w:val="left" w:leader="dot"/>
            </w:tabs>
            <w:spacing w:line="240" w:lineRule="auto" w:before="0" w:after="0"/>
            <w:ind w:left="1919" w:right="413" w:hanging="1701"/>
            <w:jc w:val="left"/>
          </w:pPr>
          <w:hyperlink w:history="true" w:anchor="_bookmark1320">
            <w:r>
              <w:rPr/>
              <w:t>Transitional arrangements  for  application  of  Asset  Exemption</w:t>
            </w:r>
          </w:hyperlink>
          <w:hyperlink w:history="true" w:anchor="_bookmark1320">
            <w:r>
              <w:rPr/>
              <w:t> Guidelines, exemption applications and asset</w:t>
            </w:r>
            <w:r>
              <w:rPr>
                <w:spacing w:val="-10"/>
              </w:rPr>
              <w:t> </w:t>
            </w:r>
            <w:r>
              <w:rPr/>
              <w:t>exemption</w:t>
            </w:r>
            <w:r>
              <w:rPr>
                <w:spacing w:val="-3"/>
              </w:rPr>
              <w:t> </w:t>
            </w:r>
            <w:r>
              <w:rPr/>
              <w:t>decisions</w:t>
              <w:tab/>
            </w:r>
            <w:r>
              <w:rPr>
                <w:spacing w:val="-6"/>
              </w:rPr>
              <w:t>935</w:t>
            </w:r>
          </w:hyperlink>
        </w:p>
        <w:p>
          <w:pPr>
            <w:pStyle w:val="TOC3"/>
            <w:numPr>
              <w:ilvl w:val="2"/>
              <w:numId w:val="52"/>
            </w:numPr>
            <w:tabs>
              <w:tab w:pos="1919" w:val="left" w:leader="none"/>
              <w:tab w:pos="1920" w:val="left" w:leader="none"/>
            </w:tabs>
            <w:spacing w:line="240" w:lineRule="auto" w:before="0" w:after="0"/>
            <w:ind w:left="1919" w:right="0" w:hanging="1702"/>
            <w:jc w:val="left"/>
          </w:pPr>
          <w:hyperlink w:history="true" w:anchor="_bookmark1321">
            <w:r>
              <w:rPr/>
              <w:t>Transitional arrangements for adjustment in value of</w:t>
            </w:r>
            <w:r>
              <w:rPr>
                <w:spacing w:val="58"/>
              </w:rPr>
              <w:t> </w:t>
            </w:r>
            <w:r>
              <w:rPr/>
              <w:t>regulatory</w:t>
            </w:r>
          </w:hyperlink>
        </w:p>
        <w:p>
          <w:pPr>
            <w:pStyle w:val="TOC5"/>
            <w:tabs>
              <w:tab w:pos="8931" w:val="left" w:leader="dot"/>
            </w:tabs>
          </w:pPr>
          <w:hyperlink w:history="true" w:anchor="_bookmark1321">
            <w:r>
              <w:rPr/>
              <w:t>asset base</w:t>
              <w:tab/>
              <w:t>937</w:t>
            </w:r>
          </w:hyperlink>
        </w:p>
        <w:p>
          <w:pPr>
            <w:pStyle w:val="TOC2"/>
            <w:tabs>
              <w:tab w:pos="1919" w:val="left" w:leader="none"/>
              <w:tab w:pos="8932" w:val="left" w:leader="dot"/>
            </w:tabs>
          </w:pPr>
          <w:hyperlink w:history="true" w:anchor="_bookmark1322">
            <w:r>
              <w:rPr/>
              <w:t>Part ZZZG</w:t>
              <w:tab/>
              <w:t>Declaration of lack of</w:t>
            </w:r>
            <w:r>
              <w:rPr>
                <w:spacing w:val="-3"/>
              </w:rPr>
              <w:t> </w:t>
            </w:r>
            <w:r>
              <w:rPr/>
              <w:t>reserve conditions</w:t>
              <w:tab/>
              <w:t>937</w:t>
            </w:r>
          </w:hyperlink>
        </w:p>
        <w:p>
          <w:pPr>
            <w:pStyle w:val="TOC2"/>
            <w:numPr>
              <w:ilvl w:val="1"/>
              <w:numId w:val="52"/>
            </w:numPr>
            <w:tabs>
              <w:tab w:pos="1919" w:val="left" w:leader="none"/>
              <w:tab w:pos="1920" w:val="left" w:leader="none"/>
              <w:tab w:pos="8930" w:val="left" w:leader="dot"/>
            </w:tabs>
            <w:spacing w:line="240" w:lineRule="auto" w:before="120" w:after="0"/>
            <w:ind w:left="1919" w:right="0" w:hanging="1702"/>
            <w:jc w:val="left"/>
          </w:pPr>
          <w:hyperlink w:history="true" w:anchor="_bookmark1323">
            <w:r>
              <w:rPr/>
              <w:t>Making of lack of reserve</w:t>
            </w:r>
            <w:r>
              <w:rPr>
                <w:spacing w:val="-5"/>
              </w:rPr>
              <w:t> </w:t>
            </w:r>
            <w:r>
              <w:rPr/>
              <w:t>declaration</w:t>
            </w:r>
            <w:r>
              <w:rPr>
                <w:spacing w:val="-1"/>
              </w:rPr>
              <w:t> </w:t>
            </w:r>
            <w:r>
              <w:rPr/>
              <w:t>guidelines</w:t>
              <w:tab/>
              <w:t>937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24">
            <w:r>
              <w:rPr/>
              <w:t>Definitions</w:t>
              <w:tab/>
              <w:t>937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25">
            <w:r>
              <w:rPr/>
              <w:t>Making of lack of reserve</w:t>
            </w:r>
            <w:r>
              <w:rPr>
                <w:spacing w:val="-4"/>
              </w:rPr>
              <w:t> </w:t>
            </w:r>
            <w:r>
              <w:rPr/>
              <w:t>declaration</w:t>
            </w:r>
            <w:r>
              <w:rPr>
                <w:spacing w:val="-1"/>
              </w:rPr>
              <w:t> </w:t>
            </w:r>
            <w:r>
              <w:rPr/>
              <w:t>guidelines</w:t>
              <w:tab/>
              <w:t>937</w:t>
            </w:r>
          </w:hyperlink>
        </w:p>
        <w:p>
          <w:pPr>
            <w:pStyle w:val="TOC2"/>
            <w:tabs>
              <w:tab w:pos="1919" w:val="left" w:leader="none"/>
              <w:tab w:pos="8931" w:val="left" w:leader="dot"/>
            </w:tabs>
          </w:pPr>
          <w:hyperlink w:history="true" w:anchor="_bookmark1326">
            <w:r>
              <w:rPr/>
              <w:t>Part ZZZH</w:t>
              <w:tab/>
              <w:t>Implementation of demand management</w:t>
            </w:r>
            <w:r>
              <w:rPr>
                <w:spacing w:val="-8"/>
              </w:rPr>
              <w:t> </w:t>
            </w:r>
            <w:r>
              <w:rPr/>
              <w:t>incentive</w:t>
            </w:r>
            <w:r>
              <w:rPr>
                <w:spacing w:val="-3"/>
              </w:rPr>
              <w:t> </w:t>
            </w:r>
            <w:r>
              <w:rPr/>
              <w:t>scheme</w:t>
              <w:tab/>
              <w:t>937</w:t>
            </w:r>
          </w:hyperlink>
        </w:p>
        <w:p>
          <w:pPr>
            <w:pStyle w:val="TOC2"/>
            <w:numPr>
              <w:ilvl w:val="1"/>
              <w:numId w:val="52"/>
            </w:numPr>
            <w:tabs>
              <w:tab w:pos="1919" w:val="left" w:leader="none"/>
              <w:tab w:pos="1920" w:val="left" w:leader="none"/>
              <w:tab w:pos="8930" w:val="left" w:leader="dot"/>
            </w:tabs>
            <w:spacing w:line="240" w:lineRule="auto" w:before="120" w:after="0"/>
            <w:ind w:left="1919" w:right="0" w:hanging="1702"/>
            <w:jc w:val="left"/>
          </w:pPr>
          <w:hyperlink w:history="true" w:anchor="_bookmark1327">
            <w:r>
              <w:rPr/>
              <w:t>Implementation of demand management</w:t>
            </w:r>
            <w:r>
              <w:rPr>
                <w:spacing w:val="-8"/>
              </w:rPr>
              <w:t> </w:t>
            </w:r>
            <w:r>
              <w:rPr/>
              <w:t>incentive</w:t>
            </w:r>
            <w:r>
              <w:rPr>
                <w:spacing w:val="-3"/>
              </w:rPr>
              <w:t> </w:t>
            </w:r>
            <w:r>
              <w:rPr/>
              <w:t>scheme</w:t>
              <w:tab/>
              <w:t>937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28">
            <w:r>
              <w:rPr/>
              <w:t>Definitions</w:t>
              <w:tab/>
              <w:t>937</w:t>
            </w:r>
          </w:hyperlink>
        </w:p>
        <w:p>
          <w:pPr>
            <w:pStyle w:val="TOC3"/>
            <w:numPr>
              <w:ilvl w:val="2"/>
              <w:numId w:val="52"/>
            </w:numPr>
            <w:tabs>
              <w:tab w:pos="1919" w:val="left" w:leader="none"/>
              <w:tab w:pos="1920" w:val="left" w:leader="none"/>
              <w:tab w:pos="8930" w:val="left" w:leader="dot"/>
            </w:tabs>
            <w:spacing w:line="240" w:lineRule="auto" w:before="0" w:after="127"/>
            <w:ind w:left="1919" w:right="0" w:hanging="1702"/>
            <w:jc w:val="left"/>
          </w:pPr>
          <w:hyperlink w:history="true" w:anchor="_bookmark1329">
            <w:r>
              <w:rPr/>
              <w:t>Purpose</w:t>
              <w:tab/>
              <w:t>938</w:t>
            </w:r>
          </w:hyperlink>
        </w:p>
        <w:p>
          <w:pPr>
            <w:pStyle w:val="TOC3"/>
            <w:numPr>
              <w:ilvl w:val="2"/>
              <w:numId w:val="52"/>
            </w:numPr>
            <w:tabs>
              <w:tab w:pos="1919" w:val="left" w:leader="none"/>
              <w:tab w:pos="1920" w:val="left" w:leader="none"/>
              <w:tab w:pos="8931" w:val="left" w:leader="dot"/>
            </w:tabs>
            <w:spacing w:line="240" w:lineRule="auto" w:before="83" w:after="0"/>
            <w:ind w:left="1919" w:right="0" w:hanging="1702"/>
            <w:jc w:val="left"/>
          </w:pPr>
          <w:hyperlink w:history="true" w:anchor="_bookmark1330">
            <w:r>
              <w:rPr/>
              <w:t>Early application of revised demand management</w:t>
            </w:r>
            <w:r>
              <w:rPr>
                <w:spacing w:val="-8"/>
              </w:rPr>
              <w:t> </w:t>
            </w:r>
            <w:r>
              <w:rPr/>
              <w:t>incentive</w:t>
            </w:r>
            <w:r>
              <w:rPr>
                <w:spacing w:val="-1"/>
              </w:rPr>
              <w:t> </w:t>
            </w:r>
            <w:r>
              <w:rPr/>
              <w:t>scheme</w:t>
              <w:tab/>
              <w:t>938</w:t>
            </w:r>
          </w:hyperlink>
        </w:p>
        <w:p>
          <w:pPr>
            <w:pStyle w:val="TOC2"/>
            <w:tabs>
              <w:tab w:pos="1919" w:val="left" w:leader="none"/>
              <w:tab w:pos="8930" w:val="left" w:leader="dot"/>
            </w:tabs>
            <w:ind w:left="1919" w:right="414" w:hanging="1701"/>
          </w:pPr>
          <w:hyperlink w:history="true" w:anchor="_bookmark1331">
            <w:r>
              <w:rPr/>
              <w:t>Part ZZZI</w:t>
              <w:tab/>
              <w:t>Reinstatement   of   long   notice   Reliability    and    Emergency</w:t>
            </w:r>
          </w:hyperlink>
          <w:hyperlink w:history="true" w:anchor="_bookmark1331">
            <w:r>
              <w:rPr/>
              <w:t> Reserve</w:t>
            </w:r>
            <w:r>
              <w:rPr>
                <w:spacing w:val="-3"/>
              </w:rPr>
              <w:t> </w:t>
            </w:r>
            <w:r>
              <w:rPr/>
              <w:t>Trader</w:t>
              <w:tab/>
            </w:r>
            <w:r>
              <w:rPr>
                <w:spacing w:val="-6"/>
              </w:rPr>
              <w:t>939</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332">
            <w:r>
              <w:rPr/>
              <w:t>Rules consequential on the making of the National Electricity</w:t>
            </w:r>
          </w:hyperlink>
          <w:hyperlink w:history="true" w:anchor="_bookmark1332">
            <w:r>
              <w:rPr/>
              <w:t> Amendment (Reinstatement  of  long  notice  Reliability  and</w:t>
            </w:r>
          </w:hyperlink>
          <w:hyperlink w:history="true" w:anchor="_bookmark1332">
            <w:r>
              <w:rPr/>
              <w:t> Emergency Reserve Trader)</w:t>
            </w:r>
            <w:r>
              <w:rPr>
                <w:spacing w:val="-4"/>
              </w:rPr>
              <w:t> </w:t>
            </w:r>
            <w:r>
              <w:rPr/>
              <w:t>Rule</w:t>
            </w:r>
            <w:r>
              <w:rPr>
                <w:spacing w:val="-3"/>
              </w:rPr>
              <w:t> </w:t>
            </w:r>
            <w:r>
              <w:rPr/>
              <w:t>2018</w:t>
              <w:tab/>
            </w:r>
            <w:r>
              <w:rPr>
                <w:spacing w:val="-6"/>
              </w:rPr>
              <w:t>939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33">
            <w:r>
              <w:rPr/>
              <w:t>Definitions</w:t>
              <w:tab/>
              <w:t>939</w:t>
            </w:r>
          </w:hyperlink>
        </w:p>
        <w:p>
          <w:pPr>
            <w:pStyle w:val="TOC3"/>
            <w:numPr>
              <w:ilvl w:val="2"/>
              <w:numId w:val="52"/>
            </w:numPr>
            <w:tabs>
              <w:tab w:pos="2039" w:val="left" w:leader="none"/>
              <w:tab w:pos="2040" w:val="left" w:leader="none"/>
              <w:tab w:pos="8930" w:val="left" w:leader="dot"/>
            </w:tabs>
            <w:spacing w:line="240" w:lineRule="auto" w:before="0" w:after="0"/>
            <w:ind w:left="2039" w:right="0" w:hanging="1822"/>
            <w:jc w:val="left"/>
          </w:pPr>
          <w:hyperlink w:history="true" w:anchor="_bookmark1334">
            <w:r>
              <w:rPr/>
              <w:t>New</w:t>
            </w:r>
            <w:r>
              <w:rPr>
                <w:spacing w:val="-2"/>
              </w:rPr>
              <w:t> </w:t>
            </w:r>
            <w:r>
              <w:rPr/>
              <w:t>RERT</w:t>
            </w:r>
            <w:r>
              <w:rPr>
                <w:spacing w:val="-1"/>
              </w:rPr>
              <w:t> </w:t>
            </w:r>
            <w:r>
              <w:rPr/>
              <w:t>guidelines</w:t>
              <w:tab/>
              <w:t>940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35">
            <w:r>
              <w:rPr/>
              <w:t>Amendments to</w:t>
            </w:r>
            <w:r>
              <w:rPr>
                <w:spacing w:val="-2"/>
              </w:rPr>
              <w:t> </w:t>
            </w:r>
            <w:r>
              <w:rPr/>
              <w:t>RERT</w:t>
            </w:r>
            <w:r>
              <w:rPr>
                <w:spacing w:val="-1"/>
              </w:rPr>
              <w:t> </w:t>
            </w:r>
            <w:r>
              <w:rPr/>
              <w:t>procedures</w:t>
              <w:tab/>
              <w:t>943</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36">
            <w:r>
              <w:rPr/>
              <w:t>Reserve contracts entered into before the</w:t>
            </w:r>
            <w:r>
              <w:rPr>
                <w:spacing w:val="-5"/>
              </w:rPr>
              <w:t> </w:t>
            </w:r>
            <w:r>
              <w:rPr/>
              <w:t>commencement</w:t>
            </w:r>
            <w:r>
              <w:rPr>
                <w:spacing w:val="-1"/>
              </w:rPr>
              <w:t> </w:t>
            </w:r>
            <w:r>
              <w:rPr/>
              <w:t>date</w:t>
              <w:tab/>
              <w:t>943</w:t>
            </w:r>
          </w:hyperlink>
        </w:p>
        <w:p>
          <w:pPr>
            <w:pStyle w:val="TOC2"/>
            <w:tabs>
              <w:tab w:pos="1919" w:val="left" w:leader="none"/>
              <w:tab w:pos="8930" w:val="left" w:leader="dot"/>
            </w:tabs>
          </w:pPr>
          <w:hyperlink w:history="true" w:anchor="_bookmark1337">
            <w:r>
              <w:rPr/>
              <w:t>Part ZZZJ</w:t>
              <w:tab/>
              <w:t>Register of distributed</w:t>
            </w:r>
            <w:r>
              <w:rPr>
                <w:spacing w:val="-9"/>
              </w:rPr>
              <w:t> </w:t>
            </w:r>
            <w:r>
              <w:rPr/>
              <w:t>energy</w:t>
            </w:r>
            <w:r>
              <w:rPr>
                <w:spacing w:val="-2"/>
              </w:rPr>
              <w:t> </w:t>
            </w:r>
            <w:r>
              <w:rPr/>
              <w:t>resources</w:t>
              <w:tab/>
              <w:t>943</w:t>
            </w:r>
          </w:hyperlink>
        </w:p>
        <w:p>
          <w:pPr>
            <w:pStyle w:val="TOC2"/>
            <w:numPr>
              <w:ilvl w:val="1"/>
              <w:numId w:val="52"/>
            </w:numPr>
            <w:tabs>
              <w:tab w:pos="1919" w:val="left" w:leader="none"/>
              <w:tab w:pos="1920" w:val="left" w:leader="none"/>
            </w:tabs>
            <w:spacing w:line="240" w:lineRule="auto" w:before="120" w:after="0"/>
            <w:ind w:left="1919" w:right="1266" w:hanging="1701"/>
            <w:jc w:val="left"/>
          </w:pPr>
          <w:hyperlink w:history="true" w:anchor="_bookmark1338">
            <w:r>
              <w:rPr/>
              <w:t>Rules consequential on the making of the National Electricity</w:t>
            </w:r>
          </w:hyperlink>
          <w:hyperlink w:history="true" w:anchor="_bookmark1338">
            <w:r>
              <w:rPr/>
              <w:t> Amendment (Register of distributed energy resources)</w:t>
            </w:r>
            <w:r>
              <w:rPr>
                <w:spacing w:val="13"/>
              </w:rPr>
              <w:t> </w:t>
            </w:r>
            <w:r>
              <w:rPr/>
              <w:t>Rule</w:t>
            </w:r>
          </w:hyperlink>
        </w:p>
        <w:p>
          <w:pPr>
            <w:pStyle w:val="TOC4"/>
          </w:pPr>
          <w:hyperlink w:history="true" w:anchor="_bookmark1338">
            <w:r>
              <w:rPr/>
              <w:t>2018</w:t>
            </w:r>
            <w:r>
              <w:rPr>
                <w:spacing w:val="-8"/>
              </w:rPr>
              <w:t> </w:t>
            </w:r>
            <w:r>
              <w:rPr/>
              <w:t>............................................................................................................943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39">
            <w:r>
              <w:rPr/>
              <w:t>Definitions</w:t>
              <w:tab/>
              <w:t>943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40">
            <w:r>
              <w:rPr/>
              <w:t>AEMO to develop and publish DER register</w:t>
            </w:r>
            <w:r>
              <w:rPr>
                <w:spacing w:val="-7"/>
              </w:rPr>
              <w:t> </w:t>
            </w:r>
            <w:r>
              <w:rPr/>
              <w:t>information</w:t>
            </w:r>
            <w:r>
              <w:rPr>
                <w:spacing w:val="-2"/>
              </w:rPr>
              <w:t> </w:t>
            </w:r>
            <w:r>
              <w:rPr/>
              <w:t>guidelines</w:t>
              <w:tab/>
              <w:t>944</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341">
            <w:r>
              <w:rPr/>
              <w:t>NSPs to provide AEMO with existing DER</w:t>
            </w:r>
            <w:r>
              <w:rPr>
                <w:spacing w:val="-12"/>
              </w:rPr>
              <w:t> </w:t>
            </w:r>
            <w:r>
              <w:rPr/>
              <w:t>generation</w:t>
            </w:r>
            <w:r>
              <w:rPr>
                <w:spacing w:val="-1"/>
              </w:rPr>
              <w:t> </w:t>
            </w:r>
            <w:r>
              <w:rPr/>
              <w:t>information</w:t>
              <w:tab/>
              <w:t>944</w:t>
            </w:r>
          </w:hyperlink>
        </w:p>
        <w:p>
          <w:pPr>
            <w:pStyle w:val="TOC2"/>
            <w:tabs>
              <w:tab w:pos="1919" w:val="left" w:leader="none"/>
              <w:tab w:pos="8931" w:val="left" w:leader="dot"/>
            </w:tabs>
          </w:pPr>
          <w:hyperlink w:history="true" w:anchor="_bookmark1342">
            <w:r>
              <w:rPr/>
              <w:t>Part ZZZK</w:t>
              <w:tab/>
              <w:t>Generator technical</w:t>
            </w:r>
            <w:r>
              <w:rPr>
                <w:spacing w:val="-6"/>
              </w:rPr>
              <w:t> </w:t>
            </w:r>
            <w:r>
              <w:rPr/>
              <w:t>performance</w:t>
            </w:r>
            <w:r>
              <w:rPr>
                <w:spacing w:val="-2"/>
              </w:rPr>
              <w:t> </w:t>
            </w:r>
            <w:r>
              <w:rPr/>
              <w:t>standards</w:t>
              <w:tab/>
              <w:t>944</w:t>
            </w:r>
          </w:hyperlink>
        </w:p>
        <w:p>
          <w:pPr>
            <w:pStyle w:val="TOC2"/>
            <w:numPr>
              <w:ilvl w:val="1"/>
              <w:numId w:val="52"/>
            </w:numPr>
            <w:tabs>
              <w:tab w:pos="1919" w:val="left" w:leader="none"/>
              <w:tab w:pos="1920" w:val="left" w:leader="none"/>
            </w:tabs>
            <w:spacing w:line="240" w:lineRule="auto" w:before="120" w:after="0"/>
            <w:ind w:left="1919" w:right="1266" w:hanging="1701"/>
            <w:jc w:val="left"/>
          </w:pPr>
          <w:hyperlink w:history="true" w:anchor="_bookmark1343">
            <w:r>
              <w:rPr/>
              <w:t>Rules consequential on the making of the National Electricity</w:t>
            </w:r>
          </w:hyperlink>
          <w:hyperlink w:history="true" w:anchor="_bookmark1343">
            <w:r>
              <w:rPr/>
              <w:t> Amendment (Generator technical performance</w:t>
            </w:r>
            <w:r>
              <w:rPr>
                <w:spacing w:val="33"/>
              </w:rPr>
              <w:t> </w:t>
            </w:r>
            <w:r>
              <w:rPr/>
              <w:t>standards)</w:t>
            </w:r>
          </w:hyperlink>
        </w:p>
        <w:p>
          <w:pPr>
            <w:pStyle w:val="TOC4"/>
            <w:tabs>
              <w:tab w:pos="8930" w:val="left" w:leader="dot"/>
            </w:tabs>
          </w:pPr>
          <w:hyperlink w:history="true" w:anchor="_bookmark1343">
            <w:r>
              <w:rPr/>
              <w:t>Rule</w:t>
            </w:r>
            <w:r>
              <w:rPr>
                <w:spacing w:val="-2"/>
              </w:rPr>
              <w:t> </w:t>
            </w:r>
            <w:r>
              <w:rPr/>
              <w:t>2018</w:t>
              <w:tab/>
              <w:t>944</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44">
            <w:r>
              <w:rPr/>
              <w:t>Definitions</w:t>
              <w:tab/>
              <w:t>944</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45">
            <w:r>
              <w:rPr/>
              <w:t>Application of the Amending Rule to existing</w:t>
            </w:r>
            <w:r>
              <w:rPr>
                <w:spacing w:val="-12"/>
              </w:rPr>
              <w:t> </w:t>
            </w:r>
            <w:r>
              <w:rPr/>
              <w:t>connection</w:t>
            </w:r>
            <w:r>
              <w:rPr>
                <w:spacing w:val="-1"/>
              </w:rPr>
              <w:t> </w:t>
            </w:r>
            <w:r>
              <w:rPr/>
              <w:t>enquiries</w:t>
              <w:tab/>
              <w:t>945</w:t>
            </w:r>
          </w:hyperlink>
        </w:p>
        <w:p>
          <w:pPr>
            <w:pStyle w:val="TOC3"/>
            <w:numPr>
              <w:ilvl w:val="2"/>
              <w:numId w:val="52"/>
            </w:numPr>
            <w:tabs>
              <w:tab w:pos="1919" w:val="left" w:leader="none"/>
              <w:tab w:pos="1920" w:val="left" w:leader="none"/>
            </w:tabs>
            <w:spacing w:line="240" w:lineRule="auto" w:before="0" w:after="0"/>
            <w:ind w:left="1919" w:right="0" w:hanging="1702"/>
            <w:jc w:val="left"/>
          </w:pPr>
          <w:hyperlink w:history="true" w:anchor="_bookmark1346">
            <w:r>
              <w:rPr/>
              <w:t>Application</w:t>
            </w:r>
            <w:r>
              <w:rPr>
                <w:spacing w:val="20"/>
              </w:rPr>
              <w:t> </w:t>
            </w:r>
            <w:r>
              <w:rPr/>
              <w:t>of</w:t>
            </w:r>
            <w:r>
              <w:rPr>
                <w:spacing w:val="20"/>
              </w:rPr>
              <w:t> </w:t>
            </w:r>
            <w:r>
              <w:rPr/>
              <w:t>the</w:t>
            </w:r>
            <w:r>
              <w:rPr>
                <w:spacing w:val="20"/>
              </w:rPr>
              <w:t> </w:t>
            </w:r>
            <w:r>
              <w:rPr/>
              <w:t>Amending</w:t>
            </w:r>
            <w:r>
              <w:rPr>
                <w:spacing w:val="20"/>
              </w:rPr>
              <w:t> </w:t>
            </w:r>
            <w:r>
              <w:rPr/>
              <w:t>Rule</w:t>
            </w:r>
            <w:r>
              <w:rPr>
                <w:spacing w:val="21"/>
              </w:rPr>
              <w:t> </w:t>
            </w:r>
            <w:r>
              <w:rPr/>
              <w:t>to</w:t>
            </w:r>
            <w:r>
              <w:rPr>
                <w:spacing w:val="20"/>
              </w:rPr>
              <w:t> </w:t>
            </w:r>
            <w:r>
              <w:rPr/>
              <w:t>existing</w:t>
            </w:r>
            <w:r>
              <w:rPr>
                <w:spacing w:val="20"/>
              </w:rPr>
              <w:t> </w:t>
            </w:r>
            <w:r>
              <w:rPr/>
              <w:t>applications</w:t>
            </w:r>
            <w:r>
              <w:rPr>
                <w:spacing w:val="20"/>
              </w:rPr>
              <w:t> </w:t>
            </w:r>
            <w:r>
              <w:rPr/>
              <w:t>to</w:t>
            </w:r>
          </w:hyperlink>
        </w:p>
        <w:p>
          <w:pPr>
            <w:pStyle w:val="TOC5"/>
            <w:tabs>
              <w:tab w:pos="8931" w:val="left" w:leader="dot"/>
            </w:tabs>
          </w:pPr>
          <w:hyperlink w:history="true" w:anchor="_bookmark1346">
            <w:r>
              <w:rPr/>
              <w:t>connect</w:t>
              <w:tab/>
              <w:t>946</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47">
            <w:r>
              <w:rPr/>
              <w:t>Application of the Amending Rule to existing offers</w:t>
            </w:r>
            <w:r>
              <w:rPr>
                <w:spacing w:val="-12"/>
              </w:rPr>
              <w:t> </w:t>
            </w:r>
            <w:r>
              <w:rPr/>
              <w:t>to</w:t>
            </w:r>
            <w:r>
              <w:rPr>
                <w:spacing w:val="-1"/>
              </w:rPr>
              <w:t> </w:t>
            </w:r>
            <w:r>
              <w:rPr/>
              <w:t>connect</w:t>
              <w:tab/>
              <w:t>948</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48">
            <w:r>
              <w:rPr/>
              <w:t>Application  of  the  Amending  Rule  to   Existing   Connection</w:t>
            </w:r>
          </w:hyperlink>
          <w:r>
            <w:rPr/>
            <w:t> </w:t>
          </w:r>
          <w:hyperlink w:history="true" w:anchor="_bookmark1348">
            <w:r>
              <w:rPr/>
              <w:t> Agreements</w:t>
              <w:tab/>
            </w:r>
            <w:r>
              <w:rPr>
                <w:spacing w:val="-6"/>
              </w:rPr>
              <w:t>948</w:t>
            </w:r>
          </w:hyperlink>
        </w:p>
        <w:p>
          <w:pPr>
            <w:pStyle w:val="TOC2"/>
            <w:tabs>
              <w:tab w:pos="1919" w:val="left" w:leader="none"/>
              <w:tab w:pos="8931" w:val="left" w:leader="dot"/>
            </w:tabs>
          </w:pPr>
          <w:hyperlink w:history="true" w:anchor="_bookmark1349">
            <w:r>
              <w:rPr/>
              <w:t>Part ZZZL</w:t>
              <w:tab/>
              <w:t>Generator three year notice</w:t>
            </w:r>
            <w:r>
              <w:rPr>
                <w:spacing w:val="-5"/>
              </w:rPr>
              <w:t> </w:t>
            </w:r>
            <w:r>
              <w:rPr/>
              <w:t>of</w:t>
            </w:r>
            <w:r>
              <w:rPr>
                <w:spacing w:val="-1"/>
              </w:rPr>
              <w:t> </w:t>
            </w:r>
            <w:r>
              <w:rPr/>
              <w:t>closure</w:t>
              <w:tab/>
              <w:t>949</w:t>
            </w:r>
          </w:hyperlink>
        </w:p>
        <w:p>
          <w:pPr>
            <w:pStyle w:val="TOC2"/>
            <w:numPr>
              <w:ilvl w:val="1"/>
              <w:numId w:val="52"/>
            </w:numPr>
            <w:tabs>
              <w:tab w:pos="1919" w:val="left" w:leader="none"/>
              <w:tab w:pos="1920" w:val="left" w:leader="none"/>
              <w:tab w:pos="8929" w:val="left" w:leader="dot"/>
            </w:tabs>
            <w:spacing w:line="240" w:lineRule="auto" w:before="120" w:after="0"/>
            <w:ind w:left="1919" w:right="415" w:hanging="1701"/>
            <w:jc w:val="left"/>
          </w:pPr>
          <w:hyperlink w:history="true" w:anchor="_bookmark1350">
            <w:r>
              <w:rPr/>
              <w:t>Rules consequential on the making of the National Electricity</w:t>
            </w:r>
          </w:hyperlink>
          <w:hyperlink w:history="true" w:anchor="_bookmark1350">
            <w:r>
              <w:rPr/>
              <w:t> Amendment (Generator three year notice of closure)</w:t>
            </w:r>
            <w:r>
              <w:rPr>
                <w:spacing w:val="-16"/>
              </w:rPr>
              <w:t> </w:t>
            </w:r>
            <w:r>
              <w:rPr/>
              <w:t>Rule</w:t>
            </w:r>
            <w:r>
              <w:rPr>
                <w:spacing w:val="-3"/>
              </w:rPr>
              <w:t> </w:t>
            </w:r>
            <w:r>
              <w:rPr/>
              <w:t>2018</w:t>
              <w:tab/>
            </w:r>
            <w:r>
              <w:rPr>
                <w:spacing w:val="-6"/>
              </w:rPr>
              <w:t>949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51">
            <w:r>
              <w:rPr/>
              <w:t>Definitions</w:t>
              <w:tab/>
              <w:t>949</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52">
            <w:r>
              <w:rPr/>
              <w:t>AER to develop and publish notice of closure</w:t>
            </w:r>
            <w:r>
              <w:rPr>
                <w:spacing w:val="-6"/>
              </w:rPr>
              <w:t> </w:t>
            </w:r>
            <w:r>
              <w:rPr/>
              <w:t>exemption guideline</w:t>
              <w:tab/>
              <w:t>949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53">
            <w:r>
              <w:rPr/>
              <w:t>Application of Amending Rule</w:t>
            </w:r>
            <w:r>
              <w:rPr>
                <w:spacing w:val="-9"/>
              </w:rPr>
              <w:t> </w:t>
            </w:r>
            <w:r>
              <w:rPr/>
              <w:t>to</w:t>
            </w:r>
            <w:r>
              <w:rPr>
                <w:spacing w:val="-2"/>
              </w:rPr>
              <w:t> </w:t>
            </w:r>
            <w:r>
              <w:rPr/>
              <w:t>AEMO</w:t>
              <w:tab/>
              <w:t>949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54">
            <w:r>
              <w:rPr/>
              <w:t>Application of Amending Rule</w:t>
            </w:r>
            <w:r>
              <w:rPr>
                <w:spacing w:val="-10"/>
              </w:rPr>
              <w:t> </w:t>
            </w:r>
            <w:r>
              <w:rPr/>
              <w:t>to</w:t>
            </w:r>
            <w:r>
              <w:rPr>
                <w:spacing w:val="-3"/>
              </w:rPr>
              <w:t> </w:t>
            </w:r>
            <w:r>
              <w:rPr/>
              <w:t>Generators</w:t>
              <w:tab/>
              <w:t>949</w:t>
            </w:r>
          </w:hyperlink>
        </w:p>
        <w:p>
          <w:pPr>
            <w:pStyle w:val="TOC2"/>
            <w:tabs>
              <w:tab w:pos="1919" w:val="left" w:leader="none"/>
              <w:tab w:pos="8931" w:val="left" w:leader="dot"/>
            </w:tabs>
          </w:pPr>
          <w:hyperlink w:history="true" w:anchor="_bookmark1355">
            <w:r>
              <w:rPr/>
              <w:t>Part ZZZM</w:t>
              <w:tab/>
              <w:t>Participant compensation following</w:t>
            </w:r>
            <w:r>
              <w:rPr>
                <w:spacing w:val="-4"/>
              </w:rPr>
              <w:t> </w:t>
            </w:r>
            <w:r>
              <w:rPr/>
              <w:t>market</w:t>
            </w:r>
            <w:r>
              <w:rPr>
                <w:spacing w:val="-2"/>
              </w:rPr>
              <w:t> </w:t>
            </w:r>
            <w:r>
              <w:rPr/>
              <w:t>suspension</w:t>
              <w:tab/>
              <w:t>950</w:t>
            </w:r>
          </w:hyperlink>
        </w:p>
        <w:p>
          <w:pPr>
            <w:pStyle w:val="TOC2"/>
            <w:numPr>
              <w:ilvl w:val="1"/>
              <w:numId w:val="52"/>
            </w:numPr>
            <w:tabs>
              <w:tab w:pos="1919" w:val="left" w:leader="none"/>
              <w:tab w:pos="1920" w:val="left" w:leader="none"/>
              <w:tab w:pos="3411" w:val="left" w:leader="none"/>
              <w:tab w:pos="8930" w:val="left" w:leader="dot"/>
            </w:tabs>
            <w:spacing w:line="240" w:lineRule="auto" w:before="120" w:after="0"/>
            <w:ind w:left="1919" w:right="414" w:hanging="1701"/>
            <w:jc w:val="left"/>
          </w:pPr>
          <w:hyperlink w:history="true" w:anchor="_bookmark1356">
            <w:r>
              <w:rPr/>
              <w:t>Rules consequential on the making of the National Electricity</w:t>
            </w:r>
          </w:hyperlink>
          <w:hyperlink w:history="true" w:anchor="_bookmark1356">
            <w:r>
              <w:rPr/>
              <w:t> Amendment</w:t>
              <w:tab/>
              <w:t>(Participant compensation  following  market</w:t>
            </w:r>
          </w:hyperlink>
          <w:hyperlink w:history="true" w:anchor="_bookmark1356">
            <w:r>
              <w:rPr/>
              <w:t> suspension)</w:t>
            </w:r>
            <w:r>
              <w:rPr>
                <w:spacing w:val="-4"/>
              </w:rPr>
              <w:t> </w:t>
            </w:r>
            <w:r>
              <w:rPr/>
              <w:t>Rule</w:t>
            </w:r>
            <w:r>
              <w:rPr>
                <w:spacing w:val="-4"/>
              </w:rPr>
              <w:t> </w:t>
            </w:r>
            <w:r>
              <w:rPr/>
              <w:t>2018</w:t>
              <w:tab/>
            </w:r>
            <w:r>
              <w:rPr>
                <w:spacing w:val="-6"/>
              </w:rPr>
              <w:t>950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57">
            <w:r>
              <w:rPr/>
              <w:t>Definitions</w:t>
              <w:tab/>
              <w:t>950</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58">
            <w:r>
              <w:rPr/>
              <w:t>Market suspension compensation methodology  and  schedule  of</w:t>
            </w:r>
          </w:hyperlink>
          <w:hyperlink w:history="true" w:anchor="_bookmark1358">
            <w:r>
              <w:rPr/>
              <w:t> benchmark</w:t>
            </w:r>
            <w:r>
              <w:rPr>
                <w:spacing w:val="-1"/>
              </w:rPr>
              <w:t> </w:t>
            </w:r>
            <w:r>
              <w:rPr/>
              <w:t>values</w:t>
              <w:tab/>
            </w:r>
            <w:r>
              <w:rPr>
                <w:spacing w:val="-6"/>
              </w:rPr>
              <w:t>950</w:t>
            </w:r>
          </w:hyperlink>
        </w:p>
        <w:p>
          <w:pPr>
            <w:pStyle w:val="TOC2"/>
            <w:tabs>
              <w:tab w:pos="1919" w:val="left" w:leader="none"/>
              <w:tab w:pos="8930" w:val="left" w:leader="dot"/>
            </w:tabs>
            <w:spacing w:after="240"/>
          </w:pPr>
          <w:hyperlink w:history="true" w:anchor="_bookmark1359">
            <w:r>
              <w:rPr/>
              <w:t>Part ZZZN</w:t>
              <w:tab/>
              <w:t>Global settlement and</w:t>
            </w:r>
            <w:r>
              <w:rPr>
                <w:spacing w:val="-7"/>
              </w:rPr>
              <w:t> </w:t>
            </w:r>
            <w:r>
              <w:rPr/>
              <w:t>market</w:t>
            </w:r>
            <w:r>
              <w:rPr>
                <w:spacing w:val="-1"/>
              </w:rPr>
              <w:t> </w:t>
            </w:r>
            <w:r>
              <w:rPr/>
              <w:t>reconciliation</w:t>
              <w:tab/>
              <w:t>950</w:t>
            </w:r>
          </w:hyperlink>
        </w:p>
        <w:p>
          <w:pPr>
            <w:pStyle w:val="TOC2"/>
            <w:numPr>
              <w:ilvl w:val="1"/>
              <w:numId w:val="52"/>
            </w:numPr>
            <w:tabs>
              <w:tab w:pos="1919" w:val="left" w:leader="none"/>
              <w:tab w:pos="1920" w:val="left" w:leader="none"/>
            </w:tabs>
            <w:spacing w:line="240" w:lineRule="auto" w:before="83" w:after="0"/>
            <w:ind w:left="1919" w:right="1266" w:hanging="1701"/>
            <w:jc w:val="left"/>
          </w:pPr>
          <w:hyperlink w:history="true" w:anchor="_bookmark1360">
            <w:r>
              <w:rPr/>
              <w:t>Rules consequential on the making of the National Electricity</w:t>
            </w:r>
          </w:hyperlink>
          <w:hyperlink w:history="true" w:anchor="_bookmark1360">
            <w:r>
              <w:rPr/>
              <w:t> Amendment (Global settlement and market</w:t>
            </w:r>
            <w:r>
              <w:rPr>
                <w:spacing w:val="12"/>
              </w:rPr>
              <w:t> </w:t>
            </w:r>
            <w:r>
              <w:rPr/>
              <w:t>reconciliation)</w:t>
            </w:r>
          </w:hyperlink>
        </w:p>
        <w:p>
          <w:pPr>
            <w:pStyle w:val="TOC4"/>
            <w:tabs>
              <w:tab w:pos="8930" w:val="left" w:leader="dot"/>
            </w:tabs>
          </w:pPr>
          <w:hyperlink w:history="true" w:anchor="_bookmark1360">
            <w:r>
              <w:rPr/>
              <w:t>Rule</w:t>
            </w:r>
            <w:r>
              <w:rPr>
                <w:spacing w:val="-2"/>
              </w:rPr>
              <w:t> </w:t>
            </w:r>
            <w:r>
              <w:rPr/>
              <w:t>2018</w:t>
              <w:tab/>
              <w:t>950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1">
            <w:r>
              <w:rPr/>
              <w:t>Definitions</w:t>
              <w:tab/>
              <w:t>950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2">
            <w:r>
              <w:rPr/>
              <w:t>Amendments to</w:t>
            </w:r>
            <w:r>
              <w:rPr>
                <w:spacing w:val="-3"/>
              </w:rPr>
              <w:t> </w:t>
            </w:r>
            <w:r>
              <w:rPr/>
              <w:t>AEMO</w:t>
            </w:r>
            <w:r>
              <w:rPr>
                <w:spacing w:val="-2"/>
              </w:rPr>
              <w:t> </w:t>
            </w:r>
            <w:r>
              <w:rPr/>
              <w:t>procedures</w:t>
              <w:tab/>
              <w:t>951</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63">
            <w:r>
              <w:rPr/>
              <w:t>AEMO to publish report on unaccounted for</w:t>
            </w:r>
            <w:r>
              <w:rPr>
                <w:spacing w:val="-6"/>
              </w:rPr>
              <w:t> </w:t>
            </w:r>
            <w:r>
              <w:rPr/>
              <w:t>energy trends</w:t>
              <w:tab/>
              <w:t>951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4">
            <w:r>
              <w:rPr/>
              <w:t>Continuation of registration for</w:t>
            </w:r>
            <w:r>
              <w:rPr>
                <w:spacing w:val="-3"/>
              </w:rPr>
              <w:t> </w:t>
            </w:r>
            <w:r>
              <w:rPr/>
              <w:t>non-market generators</w:t>
              <w:tab/>
              <w:t>951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5">
            <w:r>
              <w:rPr/>
              <w:t>Publication of UFE data</w:t>
            </w:r>
            <w:r>
              <w:rPr>
                <w:spacing w:val="-8"/>
              </w:rPr>
              <w:t> </w:t>
            </w:r>
            <w:r>
              <w:rPr/>
              <w:t>by</w:t>
            </w:r>
            <w:r>
              <w:rPr>
                <w:spacing w:val="-1"/>
              </w:rPr>
              <w:t> </w:t>
            </w:r>
            <w:r>
              <w:rPr/>
              <w:t>AEMO</w:t>
              <w:tab/>
              <w:t>951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6">
            <w:r>
              <w:rPr/>
              <w:t>Publication of UFE</w:t>
            </w:r>
            <w:r>
              <w:rPr>
                <w:spacing w:val="-5"/>
              </w:rPr>
              <w:t> </w:t>
            </w:r>
            <w:r>
              <w:rPr/>
              <w:t>reporting</w:t>
            </w:r>
            <w:r>
              <w:rPr>
                <w:spacing w:val="-1"/>
              </w:rPr>
              <w:t> </w:t>
            </w:r>
            <w:r>
              <w:rPr/>
              <w:t>guidelines</w:t>
              <w:tab/>
              <w:t>952</w:t>
            </w:r>
          </w:hyperlink>
        </w:p>
        <w:p>
          <w:pPr>
            <w:pStyle w:val="TOC2"/>
            <w:tabs>
              <w:tab w:pos="1919" w:val="left" w:leader="none"/>
              <w:tab w:pos="8932" w:val="left" w:leader="dot"/>
            </w:tabs>
          </w:pPr>
          <w:hyperlink w:history="true" w:anchor="_bookmark1367">
            <w:r>
              <w:rPr/>
              <w:t>Part ZZZO</w:t>
              <w:tab/>
              <w:t>Metering</w:t>
            </w:r>
            <w:r>
              <w:rPr>
                <w:spacing w:val="-1"/>
              </w:rPr>
              <w:t> </w:t>
            </w:r>
            <w:r>
              <w:rPr/>
              <w:t>installation timeframes</w:t>
              <w:tab/>
              <w:t>952</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368">
            <w:r>
              <w:rPr/>
              <w:t>Rules consequential on making of  the  National  Electricity</w:t>
            </w:r>
          </w:hyperlink>
          <w:hyperlink w:history="true" w:anchor="_bookmark1368">
            <w:r>
              <w:rPr/>
              <w:t> Amendment (Metering installation timeframes)</w:t>
            </w:r>
            <w:r>
              <w:rPr>
                <w:spacing w:val="-9"/>
              </w:rPr>
              <w:t> </w:t>
            </w:r>
            <w:r>
              <w:rPr/>
              <w:t>Rule</w:t>
            </w:r>
            <w:r>
              <w:rPr>
                <w:spacing w:val="-2"/>
              </w:rPr>
              <w:t> </w:t>
            </w:r>
            <w:r>
              <w:rPr/>
              <w:t>2018</w:t>
              <w:tab/>
            </w:r>
            <w:r>
              <w:rPr>
                <w:spacing w:val="-6"/>
              </w:rPr>
              <w:t>952</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69">
            <w:r>
              <w:rPr/>
              <w:t>Definitions</w:t>
              <w:tab/>
              <w:t>952</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70">
            <w:r>
              <w:rPr/>
              <w:t>Timeframes for meters to</w:t>
            </w:r>
            <w:r>
              <w:rPr>
                <w:spacing w:val="-3"/>
              </w:rPr>
              <w:t> </w:t>
            </w:r>
            <w:r>
              <w:rPr/>
              <w:t>be installed</w:t>
              <w:tab/>
              <w:t>952</w:t>
            </w:r>
          </w:hyperlink>
        </w:p>
        <w:p>
          <w:pPr>
            <w:pStyle w:val="TOC2"/>
            <w:tabs>
              <w:tab w:pos="1919" w:val="left" w:leader="none"/>
              <w:tab w:pos="8931" w:val="left" w:leader="dot"/>
            </w:tabs>
          </w:pPr>
          <w:hyperlink w:history="true" w:anchor="_bookmark1371">
            <w:r>
              <w:rPr/>
              <w:t>Part ZZZP</w:t>
              <w:tab/>
              <w:t>Early implementation of ISP</w:t>
            </w:r>
            <w:r>
              <w:rPr>
                <w:spacing w:val="-8"/>
              </w:rPr>
              <w:t> </w:t>
            </w:r>
            <w:r>
              <w:rPr/>
              <w:t>priority</w:t>
            </w:r>
            <w:r>
              <w:rPr>
                <w:spacing w:val="-3"/>
              </w:rPr>
              <w:t> </w:t>
            </w:r>
            <w:r>
              <w:rPr/>
              <w:t>projects</w:t>
              <w:tab/>
              <w:t>953</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372">
            <w:r>
              <w:rPr/>
              <w:t>National Electricity Amendment (Early implementation  of  ISP</w:t>
            </w:r>
          </w:hyperlink>
          <w:hyperlink w:history="true" w:anchor="_bookmark1372">
            <w:r>
              <w:rPr/>
              <w:t> priority projects)</w:t>
            </w:r>
            <w:r>
              <w:rPr>
                <w:spacing w:val="-7"/>
              </w:rPr>
              <w:t> </w:t>
            </w:r>
            <w:r>
              <w:rPr/>
              <w:t>Rule</w:t>
            </w:r>
            <w:r>
              <w:rPr>
                <w:spacing w:val="-3"/>
              </w:rPr>
              <w:t> </w:t>
            </w:r>
            <w:r>
              <w:rPr/>
              <w:t>2019</w:t>
              <w:tab/>
            </w:r>
            <w:r>
              <w:rPr>
                <w:spacing w:val="-6"/>
              </w:rPr>
              <w:t>953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73">
            <w:r>
              <w:rPr/>
              <w:t>Definitions</w:t>
              <w:tab/>
              <w:t>953</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74">
            <w:r>
              <w:rPr/>
              <w:t>Modifications to clause 5.16.6 for ISP VNI and</w:t>
            </w:r>
            <w:r>
              <w:rPr>
                <w:spacing w:val="-9"/>
              </w:rPr>
              <w:t> </w:t>
            </w:r>
            <w:r>
              <w:rPr/>
              <w:t>QNI</w:t>
            </w:r>
            <w:r>
              <w:rPr>
                <w:spacing w:val="-1"/>
              </w:rPr>
              <w:t> </w:t>
            </w:r>
            <w:r>
              <w:rPr/>
              <w:t>projects</w:t>
              <w:tab/>
              <w:t>954</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75">
            <w:r>
              <w:rPr/>
              <w:t>Modifications to clause 6A.8.2 for</w:t>
            </w:r>
            <w:r>
              <w:rPr>
                <w:spacing w:val="-5"/>
              </w:rPr>
              <w:t> </w:t>
            </w:r>
            <w:r>
              <w:rPr/>
              <w:t>ISP</w:t>
            </w:r>
            <w:r>
              <w:rPr>
                <w:spacing w:val="-1"/>
              </w:rPr>
              <w:t> </w:t>
            </w:r>
            <w:r>
              <w:rPr/>
              <w:t>projects</w:t>
              <w:tab/>
              <w:t>955</w:t>
            </w:r>
          </w:hyperlink>
        </w:p>
        <w:p>
          <w:pPr>
            <w:pStyle w:val="TOC2"/>
            <w:tabs>
              <w:tab w:pos="1919" w:val="left" w:leader="none"/>
              <w:tab w:pos="8929" w:val="left" w:leader="dot"/>
            </w:tabs>
          </w:pPr>
          <w:hyperlink w:history="true" w:anchor="_bookmark1376">
            <w:r>
              <w:rPr/>
              <w:t>Part ZZZQ</w:t>
              <w:tab/>
              <w:t>Enhancement to the Reliability and Emergency</w:t>
            </w:r>
            <w:r>
              <w:rPr>
                <w:spacing w:val="-14"/>
              </w:rPr>
              <w:t> </w:t>
            </w:r>
            <w:r>
              <w:rPr/>
              <w:t>Reserve</w:t>
            </w:r>
            <w:r>
              <w:rPr>
                <w:spacing w:val="-3"/>
              </w:rPr>
              <w:t> </w:t>
            </w:r>
            <w:r>
              <w:rPr/>
              <w:t>Trader</w:t>
              <w:tab/>
              <w:t>957</w:t>
            </w:r>
          </w:hyperlink>
        </w:p>
        <w:p>
          <w:pPr>
            <w:pStyle w:val="TOC2"/>
            <w:numPr>
              <w:ilvl w:val="1"/>
              <w:numId w:val="52"/>
            </w:numPr>
            <w:tabs>
              <w:tab w:pos="1919" w:val="left" w:leader="none"/>
              <w:tab w:pos="1920" w:val="left" w:leader="none"/>
            </w:tabs>
            <w:spacing w:line="240" w:lineRule="auto" w:before="120" w:after="0"/>
            <w:ind w:left="1919" w:right="1266" w:hanging="1701"/>
            <w:jc w:val="left"/>
          </w:pPr>
          <w:hyperlink w:history="true" w:anchor="_bookmark1377">
            <w:r>
              <w:rPr/>
              <w:t>Rules consequential on the making of the National Electricity</w:t>
            </w:r>
          </w:hyperlink>
          <w:hyperlink w:history="true" w:anchor="_bookmark1377">
            <w:r>
              <w:rPr/>
              <w:t> Amendment (Enhancement to the reliability and</w:t>
            </w:r>
            <w:r>
              <w:rPr>
                <w:spacing w:val="14"/>
              </w:rPr>
              <w:t> </w:t>
            </w:r>
            <w:r>
              <w:rPr/>
              <w:t>emergency</w:t>
            </w:r>
          </w:hyperlink>
        </w:p>
        <w:p>
          <w:pPr>
            <w:pStyle w:val="TOC4"/>
            <w:tabs>
              <w:tab w:pos="8930" w:val="left" w:leader="dot"/>
            </w:tabs>
          </w:pPr>
          <w:hyperlink w:history="true" w:anchor="_bookmark1377">
            <w:r>
              <w:rPr/>
              <w:t>reserve trader)</w:t>
            </w:r>
            <w:r>
              <w:rPr>
                <w:spacing w:val="-3"/>
              </w:rPr>
              <w:t> </w:t>
            </w:r>
            <w:r>
              <w:rPr/>
              <w:t>Rule</w:t>
            </w:r>
            <w:r>
              <w:rPr>
                <w:spacing w:val="-1"/>
              </w:rPr>
              <w:t> </w:t>
            </w:r>
            <w:r>
              <w:rPr/>
              <w:t>2019</w:t>
              <w:tab/>
              <w:t>957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78">
            <w:r>
              <w:rPr/>
              <w:t>Definitions</w:t>
              <w:tab/>
              <w:t>957</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79">
            <w:r>
              <w:rPr/>
              <w:t>New</w:t>
            </w:r>
            <w:r>
              <w:rPr>
                <w:spacing w:val="-2"/>
              </w:rPr>
              <w:t> </w:t>
            </w:r>
            <w:r>
              <w:rPr/>
              <w:t>RERT</w:t>
            </w:r>
            <w:r>
              <w:rPr>
                <w:spacing w:val="-1"/>
              </w:rPr>
              <w:t> </w:t>
            </w:r>
            <w:r>
              <w:rPr/>
              <w:t>guidelines</w:t>
              <w:tab/>
              <w:t>958</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0">
            <w:r>
              <w:rPr/>
              <w:t>Amendments to</w:t>
            </w:r>
            <w:r>
              <w:rPr>
                <w:spacing w:val="-2"/>
              </w:rPr>
              <w:t> </w:t>
            </w:r>
            <w:r>
              <w:rPr/>
              <w:t>RERT</w:t>
            </w:r>
            <w:r>
              <w:rPr>
                <w:spacing w:val="-1"/>
              </w:rPr>
              <w:t> </w:t>
            </w:r>
            <w:r>
              <w:rPr/>
              <w:t>procedures</w:t>
              <w:tab/>
              <w:t>958</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81">
            <w:r>
              <w:rPr/>
              <w:t>Reserve contracts entered into before the</w:t>
            </w:r>
            <w:r>
              <w:rPr>
                <w:spacing w:val="-5"/>
              </w:rPr>
              <w:t> </w:t>
            </w:r>
            <w:r>
              <w:rPr/>
              <w:t>commencement</w:t>
            </w:r>
            <w:r>
              <w:rPr>
                <w:spacing w:val="-1"/>
              </w:rPr>
              <w:t> </w:t>
            </w:r>
            <w:r>
              <w:rPr/>
              <w:t>date</w:t>
              <w:tab/>
              <w:t>958</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2">
            <w:r>
              <w:rPr/>
              <w:t>Clause 3.20.6 (Reporting on RERT</w:t>
            </w:r>
            <w:r>
              <w:rPr>
                <w:spacing w:val="-4"/>
              </w:rPr>
              <w:t> </w:t>
            </w:r>
            <w:r>
              <w:rPr/>
              <w:t>by AEMO)</w:t>
              <w:tab/>
              <w:t>958</w:t>
            </w:r>
          </w:hyperlink>
        </w:p>
        <w:p>
          <w:pPr>
            <w:pStyle w:val="TOC2"/>
            <w:tabs>
              <w:tab w:pos="1919" w:val="left" w:leader="none"/>
              <w:tab w:pos="8931" w:val="left" w:leader="dot"/>
            </w:tabs>
          </w:pPr>
          <w:hyperlink w:history="true" w:anchor="_bookmark1383">
            <w:r>
              <w:rPr/>
              <w:t>Part ZZZR</w:t>
              <w:tab/>
              <w:t>Retailer</w:t>
            </w:r>
            <w:r>
              <w:rPr>
                <w:spacing w:val="-4"/>
              </w:rPr>
              <w:t> </w:t>
            </w:r>
            <w:r>
              <w:rPr/>
              <w:t>Reliability</w:t>
            </w:r>
            <w:r>
              <w:rPr>
                <w:spacing w:val="-3"/>
              </w:rPr>
              <w:t> </w:t>
            </w:r>
            <w:r>
              <w:rPr/>
              <w:t>Obligation</w:t>
              <w:tab/>
              <w:t>958</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384">
            <w:r>
              <w:rPr/>
              <w:t>Rules consequential on the making of the National Electricity</w:t>
            </w:r>
          </w:hyperlink>
          <w:hyperlink w:history="true" w:anchor="_bookmark1384">
            <w:r>
              <w:rPr/>
              <w:t> Amendment (Retailer Reliability Obligation)</w:t>
            </w:r>
            <w:r>
              <w:rPr>
                <w:spacing w:val="-11"/>
              </w:rPr>
              <w:t> </w:t>
            </w:r>
            <w:r>
              <w:rPr/>
              <w:t>Rule</w:t>
            </w:r>
            <w:r>
              <w:rPr>
                <w:spacing w:val="-3"/>
              </w:rPr>
              <w:t> </w:t>
            </w:r>
            <w:r>
              <w:rPr/>
              <w:t>2019</w:t>
              <w:tab/>
            </w:r>
            <w:r>
              <w:rPr>
                <w:spacing w:val="-6"/>
              </w:rPr>
              <w:t>958</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5">
            <w:r>
              <w:rPr/>
              <w:t>Application</w:t>
              <w:tab/>
              <w:t>958</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6">
            <w:r>
              <w:rPr/>
              <w:t>Reliability</w:t>
            </w:r>
            <w:r>
              <w:rPr>
                <w:spacing w:val="-2"/>
              </w:rPr>
              <w:t> </w:t>
            </w:r>
            <w:r>
              <w:rPr/>
              <w:t>Instrument</w:t>
            </w:r>
            <w:r>
              <w:rPr>
                <w:spacing w:val="-2"/>
              </w:rPr>
              <w:t> </w:t>
            </w:r>
            <w:r>
              <w:rPr/>
              <w:t>Guidelines</w:t>
              <w:tab/>
              <w:t>959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7">
            <w:r>
              <w:rPr/>
              <w:t>Forecasting Best</w:t>
            </w:r>
            <w:r>
              <w:rPr>
                <w:spacing w:val="-8"/>
              </w:rPr>
              <w:t> </w:t>
            </w:r>
            <w:r>
              <w:rPr/>
              <w:t>Practice</w:t>
            </w:r>
            <w:r>
              <w:rPr>
                <w:spacing w:val="-4"/>
              </w:rPr>
              <w:t> </w:t>
            </w:r>
            <w:r>
              <w:rPr/>
              <w:t>Guidelines</w:t>
              <w:tab/>
              <w:t>959</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388">
            <w:r>
              <w:rPr/>
              <w:t>Reliability</w:t>
            </w:r>
            <w:r>
              <w:rPr>
                <w:spacing w:val="-4"/>
              </w:rPr>
              <w:t> </w:t>
            </w:r>
            <w:r>
              <w:rPr/>
              <w:t>Forecast</w:t>
            </w:r>
            <w:r>
              <w:rPr>
                <w:spacing w:val="-5"/>
              </w:rPr>
              <w:t> </w:t>
            </w:r>
            <w:r>
              <w:rPr/>
              <w:t>Guidelines</w:t>
              <w:tab/>
              <w:t>959</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89">
            <w:r>
              <w:rPr/>
              <w:t>AER</w:t>
            </w:r>
            <w:r>
              <w:rPr>
                <w:spacing w:val="-3"/>
              </w:rPr>
              <w:t> </w:t>
            </w:r>
            <w:r>
              <w:rPr/>
              <w:t>Opt-in</w:t>
            </w:r>
            <w:r>
              <w:rPr>
                <w:spacing w:val="-2"/>
              </w:rPr>
              <w:t> </w:t>
            </w:r>
            <w:r>
              <w:rPr/>
              <w:t>Guidelines</w:t>
              <w:tab/>
              <w:t>960</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390">
            <w:r>
              <w:rPr/>
              <w:t>Contracts and</w:t>
            </w:r>
            <w:r>
              <w:rPr>
                <w:spacing w:val="-6"/>
              </w:rPr>
              <w:t> </w:t>
            </w:r>
            <w:r>
              <w:rPr/>
              <w:t>Firmness</w:t>
            </w:r>
            <w:r>
              <w:rPr>
                <w:spacing w:val="-4"/>
              </w:rPr>
              <w:t> </w:t>
            </w:r>
            <w:r>
              <w:rPr/>
              <w:t>Guidelines</w:t>
              <w:tab/>
              <w:t>960</w:t>
            </w:r>
          </w:hyperlink>
        </w:p>
        <w:p>
          <w:pPr>
            <w:pStyle w:val="TOC3"/>
            <w:numPr>
              <w:ilvl w:val="2"/>
              <w:numId w:val="52"/>
            </w:numPr>
            <w:tabs>
              <w:tab w:pos="1919" w:val="left" w:leader="none"/>
              <w:tab w:pos="1920" w:val="left" w:leader="none"/>
              <w:tab w:pos="8930" w:val="left" w:leader="dot"/>
            </w:tabs>
            <w:spacing w:line="240" w:lineRule="auto" w:before="0" w:after="0"/>
            <w:ind w:left="1919" w:right="414" w:hanging="1701"/>
            <w:jc w:val="left"/>
          </w:pPr>
          <w:hyperlink w:history="true" w:anchor="_bookmark1391">
            <w:r>
              <w:rPr/>
              <w:t>Qualifying  contracts   under   interim   Contracts   and   Firmness</w:t>
            </w:r>
          </w:hyperlink>
          <w:hyperlink w:history="true" w:anchor="_bookmark1391">
            <w:r>
              <w:rPr/>
              <w:t> Guidelines</w:t>
              <w:tab/>
            </w:r>
            <w:r>
              <w:rPr>
                <w:spacing w:val="-6"/>
              </w:rPr>
              <w:t>960</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392">
            <w:r>
              <w:rPr/>
              <w:t>Grandfathering</w:t>
            </w:r>
            <w:r>
              <w:rPr>
                <w:spacing w:val="-3"/>
              </w:rPr>
              <w:t> </w:t>
            </w:r>
            <w:r>
              <w:rPr/>
              <w:t>arrangements</w:t>
              <w:tab/>
              <w:t>960</w:t>
            </w:r>
          </w:hyperlink>
        </w:p>
        <w:p>
          <w:pPr>
            <w:pStyle w:val="TOC3"/>
            <w:numPr>
              <w:ilvl w:val="2"/>
              <w:numId w:val="52"/>
            </w:numPr>
            <w:tabs>
              <w:tab w:pos="1919" w:val="left" w:leader="none"/>
              <w:tab w:pos="1920" w:val="left" w:leader="none"/>
              <w:tab w:pos="8929" w:val="left" w:leader="dot"/>
            </w:tabs>
            <w:spacing w:line="240" w:lineRule="auto" w:before="0" w:after="0"/>
            <w:ind w:left="1919" w:right="0" w:hanging="1702"/>
            <w:jc w:val="left"/>
          </w:pPr>
          <w:hyperlink w:history="true" w:anchor="_bookmark1393">
            <w:r>
              <w:rPr/>
              <w:t>Reliability Compliance Procedures</w:t>
            </w:r>
            <w:r>
              <w:rPr>
                <w:spacing w:val="-11"/>
              </w:rPr>
              <w:t> </w:t>
            </w:r>
            <w:r>
              <w:rPr/>
              <w:t>and</w:t>
            </w:r>
            <w:r>
              <w:rPr>
                <w:spacing w:val="-3"/>
              </w:rPr>
              <w:t> </w:t>
            </w:r>
            <w:r>
              <w:rPr/>
              <w:t>Guidelines</w:t>
              <w:tab/>
              <w:t>961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94">
            <w:r>
              <w:rPr/>
              <w:t>MLO</w:t>
            </w:r>
            <w:r>
              <w:rPr>
                <w:spacing w:val="-4"/>
              </w:rPr>
              <w:t> </w:t>
            </w:r>
            <w:r>
              <w:rPr/>
              <w:t>Guidelines</w:t>
              <w:tab/>
              <w:t>962</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95">
            <w:r>
              <w:rPr/>
              <w:t>Application of Part G, Divisions 2 –</w:t>
            </w:r>
            <w:r>
              <w:rPr>
                <w:spacing w:val="-11"/>
              </w:rPr>
              <w:t> </w:t>
            </w:r>
            <w:r>
              <w:rPr/>
              <w:t>6</w:t>
            </w:r>
            <w:r>
              <w:rPr>
                <w:spacing w:val="-1"/>
              </w:rPr>
              <w:t> </w:t>
            </w:r>
            <w:r>
              <w:rPr/>
              <w:t>(inclusive)</w:t>
              <w:tab/>
              <w:t>962</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96">
            <w:r>
              <w:rPr/>
              <w:t>Interim deeming of MLO generators and</w:t>
            </w:r>
            <w:r>
              <w:rPr>
                <w:spacing w:val="-5"/>
              </w:rPr>
              <w:t> </w:t>
            </w:r>
            <w:r>
              <w:rPr/>
              <w:t>MLO</w:t>
            </w:r>
            <w:r>
              <w:rPr>
                <w:spacing w:val="-2"/>
              </w:rPr>
              <w:t> </w:t>
            </w:r>
            <w:r>
              <w:rPr/>
              <w:t>groups</w:t>
              <w:tab/>
              <w:t>963</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397">
            <w:r>
              <w:rPr/>
              <w:t>MLO</w:t>
            </w:r>
            <w:r>
              <w:rPr>
                <w:spacing w:val="-3"/>
              </w:rPr>
              <w:t> </w:t>
            </w:r>
            <w:r>
              <w:rPr/>
              <w:t>information</w:t>
            </w:r>
            <w:r>
              <w:rPr>
                <w:spacing w:val="-1"/>
              </w:rPr>
              <w:t> </w:t>
            </w:r>
            <w:r>
              <w:rPr/>
              <w:t>template</w:t>
              <w:tab/>
              <w:t>969</w:t>
            </w:r>
          </w:hyperlink>
        </w:p>
        <w:p>
          <w:pPr>
            <w:pStyle w:val="TOC3"/>
            <w:numPr>
              <w:ilvl w:val="2"/>
              <w:numId w:val="52"/>
            </w:numPr>
            <w:tabs>
              <w:tab w:pos="1919" w:val="left" w:leader="none"/>
              <w:tab w:pos="1920" w:val="left" w:leader="none"/>
              <w:tab w:pos="8930" w:val="left" w:leader="dot"/>
            </w:tabs>
            <w:spacing w:line="240" w:lineRule="auto" w:before="0" w:after="91"/>
            <w:ind w:left="1919" w:right="0" w:hanging="1702"/>
            <w:jc w:val="left"/>
          </w:pPr>
          <w:hyperlink w:history="true" w:anchor="_bookmark1398">
            <w:r>
              <w:rPr/>
              <w:t>Initial</w:t>
            </w:r>
            <w:r>
              <w:rPr>
                <w:spacing w:val="-1"/>
              </w:rPr>
              <w:t> </w:t>
            </w:r>
            <w:r>
              <w:rPr/>
              <w:t>MLO</w:t>
            </w:r>
            <w:r>
              <w:rPr>
                <w:spacing w:val="-2"/>
              </w:rPr>
              <w:t> </w:t>
            </w:r>
            <w:r>
              <w:rPr/>
              <w:t>register</w:t>
              <w:tab/>
              <w:t>970</w:t>
            </w:r>
          </w:hyperlink>
        </w:p>
        <w:p>
          <w:pPr>
            <w:pStyle w:val="TOC3"/>
            <w:numPr>
              <w:ilvl w:val="2"/>
              <w:numId w:val="52"/>
            </w:numPr>
            <w:tabs>
              <w:tab w:pos="1919" w:val="left" w:leader="none"/>
              <w:tab w:pos="1920" w:val="left" w:leader="none"/>
              <w:tab w:pos="8930" w:val="left" w:leader="dot"/>
            </w:tabs>
            <w:spacing w:line="240" w:lineRule="auto" w:before="83" w:after="0"/>
            <w:ind w:left="1919" w:right="0" w:hanging="1702"/>
            <w:jc w:val="left"/>
          </w:pPr>
          <w:hyperlink w:history="true" w:anchor="_bookmark1399">
            <w:r>
              <w:rPr/>
              <w:t>Approved MLO</w:t>
            </w:r>
            <w:r>
              <w:rPr>
                <w:spacing w:val="-5"/>
              </w:rPr>
              <w:t> </w:t>
            </w:r>
            <w:r>
              <w:rPr/>
              <w:t>products</w:t>
            </w:r>
            <w:r>
              <w:rPr>
                <w:spacing w:val="-3"/>
              </w:rPr>
              <w:t> </w:t>
            </w:r>
            <w:r>
              <w:rPr/>
              <w:t>list</w:t>
              <w:tab/>
              <w:t>970</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400">
            <w:r>
              <w:rPr/>
              <w:t>Designated</w:t>
            </w:r>
            <w:r>
              <w:rPr>
                <w:spacing w:val="-3"/>
              </w:rPr>
              <w:t> </w:t>
            </w:r>
            <w:r>
              <w:rPr/>
              <w:t>MLO</w:t>
            </w:r>
            <w:r>
              <w:rPr>
                <w:spacing w:val="-3"/>
              </w:rPr>
              <w:t> </w:t>
            </w:r>
            <w:r>
              <w:rPr/>
              <w:t>exchange</w:t>
              <w:tab/>
              <w:t>970</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401">
            <w:r>
              <w:rPr/>
              <w:t>Five minute</w:t>
            </w:r>
            <w:r>
              <w:rPr>
                <w:spacing w:val="-3"/>
              </w:rPr>
              <w:t> </w:t>
            </w:r>
            <w:r>
              <w:rPr/>
              <w:t>settlement</w:t>
            </w:r>
            <w:r>
              <w:rPr>
                <w:spacing w:val="-2"/>
              </w:rPr>
              <w:t> </w:t>
            </w:r>
            <w:r>
              <w:rPr/>
              <w:t>intervals</w:t>
              <w:tab/>
              <w:t>970</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402">
            <w:r>
              <w:rPr/>
              <w:t>Review</w:t>
            </w:r>
            <w:r>
              <w:rPr>
                <w:spacing w:val="-2"/>
              </w:rPr>
              <w:t> </w:t>
            </w:r>
            <w:r>
              <w:rPr/>
              <w:t>by</w:t>
            </w:r>
            <w:r>
              <w:rPr>
                <w:spacing w:val="-1"/>
              </w:rPr>
              <w:t> </w:t>
            </w:r>
            <w:r>
              <w:rPr/>
              <w:t>AEMC</w:t>
              <w:tab/>
              <w:t>970</w:t>
            </w:r>
          </w:hyperlink>
        </w:p>
        <w:p>
          <w:pPr>
            <w:pStyle w:val="TOC2"/>
            <w:tabs>
              <w:tab w:pos="1919" w:val="left" w:leader="none"/>
              <w:tab w:pos="8930" w:val="left" w:leader="dot"/>
            </w:tabs>
          </w:pPr>
          <w:hyperlink w:history="true" w:anchor="_bookmark1403">
            <w:r>
              <w:rPr/>
              <w:t>Part ZZZS</w:t>
              <w:tab/>
              <w:t>Transparency of</w:t>
            </w:r>
            <w:r>
              <w:rPr>
                <w:spacing w:val="-7"/>
              </w:rPr>
              <w:t> </w:t>
            </w:r>
            <w:r>
              <w:rPr/>
              <w:t>new</w:t>
            </w:r>
            <w:r>
              <w:rPr>
                <w:spacing w:val="-4"/>
              </w:rPr>
              <w:t> </w:t>
            </w:r>
            <w:r>
              <w:rPr/>
              <w:t>projects</w:t>
              <w:tab/>
              <w:t>971</w:t>
            </w:r>
          </w:hyperlink>
        </w:p>
        <w:p>
          <w:pPr>
            <w:pStyle w:val="TOC2"/>
            <w:numPr>
              <w:ilvl w:val="1"/>
              <w:numId w:val="52"/>
            </w:numPr>
            <w:tabs>
              <w:tab w:pos="1919" w:val="left" w:leader="none"/>
              <w:tab w:pos="1920" w:val="left" w:leader="none"/>
              <w:tab w:pos="8930" w:val="left" w:leader="dot"/>
            </w:tabs>
            <w:spacing w:line="240" w:lineRule="auto" w:before="120" w:after="0"/>
            <w:ind w:left="1919" w:right="414" w:hanging="1701"/>
            <w:jc w:val="left"/>
          </w:pPr>
          <w:hyperlink w:history="true" w:anchor="_bookmark1404">
            <w:r>
              <w:rPr/>
              <w:t>Rules consequential on the making of the National Electricity</w:t>
            </w:r>
          </w:hyperlink>
          <w:hyperlink w:history="true" w:anchor="_bookmark1404">
            <w:r>
              <w:rPr/>
              <w:t> Amendment (Transparency of new projects)</w:t>
            </w:r>
            <w:r>
              <w:rPr>
                <w:spacing w:val="-12"/>
              </w:rPr>
              <w:t> </w:t>
            </w:r>
            <w:r>
              <w:rPr/>
              <w:t>Rule</w:t>
            </w:r>
            <w:r>
              <w:rPr>
                <w:spacing w:val="-3"/>
              </w:rPr>
              <w:t> </w:t>
            </w:r>
            <w:r>
              <w:rPr/>
              <w:t>2019</w:t>
              <w:tab/>
            </w:r>
            <w:r>
              <w:rPr>
                <w:spacing w:val="-6"/>
              </w:rPr>
              <w:t>971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405">
            <w:r>
              <w:rPr/>
              <w:t>Definitions</w:t>
              <w:tab/>
              <w:t>971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406">
            <w:r>
              <w:rPr/>
              <w:t>Generation</w:t>
            </w:r>
            <w:r>
              <w:rPr>
                <w:spacing w:val="-2"/>
              </w:rPr>
              <w:t> </w:t>
            </w:r>
            <w:r>
              <w:rPr/>
              <w:t>information</w:t>
            </w:r>
            <w:r>
              <w:rPr>
                <w:spacing w:val="-1"/>
              </w:rPr>
              <w:t> </w:t>
            </w:r>
            <w:r>
              <w:rPr/>
              <w:t>page</w:t>
              <w:tab/>
              <w:t>971</w:t>
            </w:r>
          </w:hyperlink>
        </w:p>
        <w:p>
          <w:pPr>
            <w:pStyle w:val="TOC3"/>
            <w:numPr>
              <w:ilvl w:val="2"/>
              <w:numId w:val="52"/>
            </w:numPr>
            <w:tabs>
              <w:tab w:pos="1919" w:val="left" w:leader="none"/>
              <w:tab w:pos="1920" w:val="left" w:leader="none"/>
              <w:tab w:pos="8930" w:val="left" w:leader="dot"/>
            </w:tabs>
            <w:spacing w:line="240" w:lineRule="auto" w:before="0" w:after="0"/>
            <w:ind w:left="1919" w:right="0" w:hanging="1702"/>
            <w:jc w:val="left"/>
          </w:pPr>
          <w:hyperlink w:history="true" w:anchor="_bookmark1407">
            <w:r>
              <w:rPr/>
              <w:t>Generation</w:t>
            </w:r>
            <w:r>
              <w:rPr>
                <w:spacing w:val="-2"/>
              </w:rPr>
              <w:t> </w:t>
            </w:r>
            <w:r>
              <w:rPr/>
              <w:t>information</w:t>
            </w:r>
            <w:r>
              <w:rPr>
                <w:spacing w:val="-1"/>
              </w:rPr>
              <w:t> </w:t>
            </w:r>
            <w:r>
              <w:rPr/>
              <w:t>guidelines</w:t>
              <w:tab/>
              <w:t>971</w:t>
            </w:r>
          </w:hyperlink>
        </w:p>
        <w:p>
          <w:pPr>
            <w:pStyle w:val="TOC3"/>
            <w:numPr>
              <w:ilvl w:val="2"/>
              <w:numId w:val="52"/>
            </w:numPr>
            <w:tabs>
              <w:tab w:pos="1919" w:val="left" w:leader="none"/>
              <w:tab w:pos="1920" w:val="left" w:leader="none"/>
              <w:tab w:pos="8931" w:val="left" w:leader="dot"/>
            </w:tabs>
            <w:spacing w:line="240" w:lineRule="auto" w:before="0" w:after="0"/>
            <w:ind w:left="1919" w:right="0" w:hanging="1702"/>
            <w:jc w:val="left"/>
          </w:pPr>
          <w:hyperlink w:history="true" w:anchor="_bookmark1408">
            <w:r>
              <w:rPr/>
              <w:t>Provision and use</w:t>
            </w:r>
            <w:r>
              <w:rPr>
                <w:spacing w:val="-3"/>
              </w:rPr>
              <w:t> </w:t>
            </w:r>
            <w:r>
              <w:rPr/>
              <w:t>of</w:t>
            </w:r>
            <w:r>
              <w:rPr>
                <w:spacing w:val="-1"/>
              </w:rPr>
              <w:t> </w:t>
            </w:r>
            <w:r>
              <w:rPr/>
              <w:t>information</w:t>
              <w:tab/>
              <w:t>972</w:t>
            </w:r>
          </w:hyperlink>
        </w:p>
        <w:p>
          <w:pPr>
            <w:pStyle w:val="TOC1"/>
            <w:tabs>
              <w:tab w:pos="1918" w:val="left" w:leader="none"/>
              <w:tab w:pos="8870" w:val="left" w:leader="dot"/>
            </w:tabs>
            <w:ind w:left="218" w:firstLine="0"/>
          </w:pPr>
          <w:hyperlink w:history="true" w:anchor="_bookmark1409">
            <w:r>
              <w:rPr/>
              <w:t>11A.</w:t>
              <w:tab/>
              <w:t>NT Savings and</w:t>
            </w:r>
            <w:r>
              <w:rPr>
                <w:spacing w:val="-9"/>
              </w:rPr>
              <w:t> </w:t>
            </w:r>
            <w:r>
              <w:rPr/>
              <w:t>Transitional</w:t>
            </w:r>
            <w:r>
              <w:rPr>
                <w:spacing w:val="-2"/>
              </w:rPr>
              <w:t> </w:t>
            </w:r>
            <w:r>
              <w:rPr/>
              <w:t>Rules</w:t>
              <w:tab/>
              <w:t>975</w:t>
            </w:r>
          </w:hyperlink>
        </w:p>
        <w:p>
          <w:pPr>
            <w:pStyle w:val="TOC2"/>
            <w:tabs>
              <w:tab w:pos="1919" w:val="left" w:leader="none"/>
              <w:tab w:pos="8930" w:val="left" w:leader="dot"/>
            </w:tabs>
          </w:pPr>
          <w:hyperlink w:history="true" w:anchor="_bookmark1410">
            <w:r>
              <w:rPr/>
              <w:t>Part A</w:t>
              <w:tab/>
              <w:t>Savings and transitional rules for</w:t>
            </w:r>
            <w:r>
              <w:rPr>
                <w:spacing w:val="-7"/>
              </w:rPr>
              <w:t> </w:t>
            </w:r>
            <w:r>
              <w:rPr/>
              <w:t>Chapter</w:t>
            </w:r>
            <w:r>
              <w:rPr>
                <w:spacing w:val="-2"/>
              </w:rPr>
              <w:t> </w:t>
            </w:r>
            <w:r>
              <w:rPr/>
              <w:t>5</w:t>
              <w:tab/>
              <w:t>975</w:t>
            </w:r>
          </w:hyperlink>
        </w:p>
        <w:p>
          <w:pPr>
            <w:pStyle w:val="TOC2"/>
            <w:tabs>
              <w:tab w:pos="1919" w:val="left" w:leader="none"/>
              <w:tab w:pos="8930" w:val="left" w:leader="dot"/>
            </w:tabs>
          </w:pPr>
          <w:hyperlink w:history="true" w:anchor="_bookmark1411">
            <w:r>
              <w:rPr/>
              <w:t>11A.1</w:t>
              <w:tab/>
              <w:t>Chapter</w:t>
            </w:r>
            <w:r>
              <w:rPr>
                <w:spacing w:val="-4"/>
              </w:rPr>
              <w:t> </w:t>
            </w:r>
            <w:r>
              <w:rPr/>
              <w:t>5</w:t>
            </w:r>
            <w:r>
              <w:rPr>
                <w:spacing w:val="-3"/>
              </w:rPr>
              <w:t> </w:t>
            </w:r>
            <w:r>
              <w:rPr/>
              <w:t>provisions</w:t>
              <w:tab/>
              <w:t>975</w:t>
            </w:r>
          </w:hyperlink>
        </w:p>
        <w:p>
          <w:pPr>
            <w:pStyle w:val="TOC2"/>
            <w:tabs>
              <w:tab w:pos="1919" w:val="left" w:leader="none"/>
              <w:tab w:pos="8930" w:val="left" w:leader="dot"/>
            </w:tabs>
          </w:pPr>
          <w:hyperlink w:history="true" w:anchor="_bookmark1412">
            <w:r>
              <w:rPr/>
              <w:t>Part B</w:t>
              <w:tab/>
              <w:t>Savings and transitional rules for</w:t>
            </w:r>
            <w:r>
              <w:rPr>
                <w:spacing w:val="-7"/>
              </w:rPr>
              <w:t> </w:t>
            </w:r>
            <w:r>
              <w:rPr/>
              <w:t>Chapter</w:t>
            </w:r>
            <w:r>
              <w:rPr>
                <w:spacing w:val="-2"/>
              </w:rPr>
              <w:t> </w:t>
            </w:r>
            <w:r>
              <w:rPr/>
              <w:t>5A</w:t>
              <w:tab/>
              <w:t>975</w:t>
            </w:r>
          </w:hyperlink>
        </w:p>
        <w:p>
          <w:pPr>
            <w:pStyle w:val="TOC2"/>
            <w:tabs>
              <w:tab w:pos="1919" w:val="left" w:leader="none"/>
              <w:tab w:pos="8930" w:val="left" w:leader="dot"/>
            </w:tabs>
          </w:pPr>
          <w:hyperlink w:history="true" w:anchor="_bookmark1413">
            <w:r>
              <w:rPr/>
              <w:t>11A.2</w:t>
              <w:tab/>
              <w:t>Model</w:t>
            </w:r>
            <w:r>
              <w:rPr>
                <w:spacing w:val="-2"/>
              </w:rPr>
              <w:t> </w:t>
            </w:r>
            <w:r>
              <w:rPr/>
              <w:t>standing</w:t>
            </w:r>
            <w:r>
              <w:rPr>
                <w:spacing w:val="-2"/>
              </w:rPr>
              <w:t> </w:t>
            </w:r>
            <w:r>
              <w:rPr/>
              <w:t>offers</w:t>
              <w:tab/>
              <w:t>975</w:t>
            </w:r>
          </w:hyperlink>
        </w:p>
        <w:p>
          <w:pPr>
            <w:pStyle w:val="TOC3"/>
            <w:tabs>
              <w:tab w:pos="1919" w:val="left" w:leader="none"/>
              <w:tab w:pos="8930" w:val="left" w:leader="dot"/>
            </w:tabs>
            <w:ind w:left="218"/>
          </w:pPr>
          <w:hyperlink w:history="true" w:anchor="_bookmark1414">
            <w:r>
              <w:rPr/>
              <w:t>11A.2.1</w:t>
              <w:tab/>
              <w:t>Definitions</w:t>
              <w:tab/>
              <w:t>975</w:t>
            </w:r>
          </w:hyperlink>
        </w:p>
        <w:p>
          <w:pPr>
            <w:pStyle w:val="TOC3"/>
            <w:tabs>
              <w:tab w:pos="1919" w:val="left" w:leader="none"/>
              <w:tab w:pos="8930" w:val="left" w:leader="dot"/>
            </w:tabs>
            <w:ind w:left="218"/>
          </w:pPr>
          <w:hyperlink w:history="true" w:anchor="_bookmark1415">
            <w:r>
              <w:rPr/>
              <w:t>11A.2.2</w:t>
              <w:tab/>
              <w:t>Extended meaning of</w:t>
            </w:r>
            <w:r>
              <w:rPr>
                <w:spacing w:val="-3"/>
              </w:rPr>
              <w:t> </w:t>
            </w:r>
            <w:r>
              <w:rPr/>
              <w:t>some</w:t>
            </w:r>
            <w:r>
              <w:rPr>
                <w:spacing w:val="-2"/>
              </w:rPr>
              <w:t> </w:t>
            </w:r>
            <w:r>
              <w:rPr/>
              <w:t>terms</w:t>
              <w:tab/>
              <w:t>976</w:t>
            </w:r>
          </w:hyperlink>
        </w:p>
        <w:p>
          <w:pPr>
            <w:pStyle w:val="TOC3"/>
            <w:tabs>
              <w:tab w:pos="1919" w:val="left" w:leader="none"/>
              <w:tab w:pos="8930" w:val="left" w:leader="dot"/>
            </w:tabs>
            <w:ind w:left="218"/>
          </w:pPr>
          <w:hyperlink w:history="true" w:anchor="_bookmark1416">
            <w:r>
              <w:rPr/>
              <w:t>11A.2.3</w:t>
              <w:tab/>
              <w:t>Transitional operation of</w:t>
            </w:r>
            <w:r>
              <w:rPr>
                <w:spacing w:val="-2"/>
              </w:rPr>
              <w:t> </w:t>
            </w:r>
            <w:r>
              <w:rPr/>
              <w:t>relevant</w:t>
            </w:r>
            <w:r>
              <w:rPr>
                <w:spacing w:val="-1"/>
              </w:rPr>
              <w:t> </w:t>
            </w:r>
            <w:r>
              <w:rPr/>
              <w:t>provisions</w:t>
              <w:tab/>
              <w:t>976</w:t>
            </w:r>
          </w:hyperlink>
        </w:p>
        <w:p>
          <w:pPr>
            <w:pStyle w:val="TOC3"/>
            <w:tabs>
              <w:tab w:pos="1919" w:val="left" w:leader="none"/>
              <w:tab w:pos="8931" w:val="left" w:leader="dot"/>
            </w:tabs>
            <w:ind w:left="218"/>
          </w:pPr>
          <w:hyperlink w:history="true" w:anchor="_bookmark1417">
            <w:r>
              <w:rPr/>
              <w:t>11A.2.4</w:t>
              <w:tab/>
              <w:t>Exclusions, qualifications</w:t>
            </w:r>
            <w:r>
              <w:rPr>
                <w:spacing w:val="-2"/>
              </w:rPr>
              <w:t> </w:t>
            </w:r>
            <w:r>
              <w:rPr/>
              <w:t>and</w:t>
            </w:r>
            <w:r>
              <w:rPr>
                <w:spacing w:val="-1"/>
              </w:rPr>
              <w:t> </w:t>
            </w:r>
            <w:r>
              <w:rPr/>
              <w:t>modifications</w:t>
              <w:tab/>
              <w:t>976</w:t>
            </w:r>
          </w:hyperlink>
        </w:p>
        <w:p>
          <w:pPr>
            <w:pStyle w:val="TOC3"/>
            <w:tabs>
              <w:tab w:pos="1919" w:val="left" w:leader="none"/>
              <w:tab w:pos="8931" w:val="left" w:leader="dot"/>
            </w:tabs>
            <w:ind w:left="218"/>
          </w:pPr>
          <w:hyperlink w:history="true" w:anchor="_bookmark1418">
            <w:r>
              <w:rPr/>
              <w:t>11A.2.5</w:t>
              <w:tab/>
              <w:t>References</w:t>
              <w:tab/>
              <w:t>977</w:t>
            </w:r>
          </w:hyperlink>
        </w:p>
        <w:p>
          <w:pPr>
            <w:pStyle w:val="TOC2"/>
            <w:tabs>
              <w:tab w:pos="1919" w:val="left" w:leader="none"/>
              <w:tab w:pos="8930" w:val="left" w:leader="dot"/>
            </w:tabs>
          </w:pPr>
          <w:hyperlink w:history="true" w:anchor="_bookmark1419">
            <w:r>
              <w:rPr/>
              <w:t>Part C</w:t>
              <w:tab/>
              <w:t>Savings and transitional rules for</w:t>
            </w:r>
            <w:r>
              <w:rPr>
                <w:spacing w:val="-7"/>
              </w:rPr>
              <w:t> </w:t>
            </w:r>
            <w:r>
              <w:rPr/>
              <w:t>Chapter</w:t>
            </w:r>
            <w:r>
              <w:rPr>
                <w:spacing w:val="-2"/>
              </w:rPr>
              <w:t> </w:t>
            </w:r>
            <w:r>
              <w:rPr/>
              <w:t>7A</w:t>
              <w:tab/>
              <w:t>977</w:t>
            </w:r>
          </w:hyperlink>
        </w:p>
        <w:p>
          <w:pPr>
            <w:pStyle w:val="TOC2"/>
            <w:tabs>
              <w:tab w:pos="1919" w:val="left" w:leader="none"/>
              <w:tab w:pos="8931" w:val="left" w:leader="dot"/>
            </w:tabs>
          </w:pPr>
          <w:hyperlink w:history="true" w:anchor="_bookmark1420">
            <w:r>
              <w:rPr/>
              <w:t>11A.3</w:t>
              <w:tab/>
              <w:t>Existing</w:t>
            </w:r>
            <w:r>
              <w:rPr>
                <w:spacing w:val="-1"/>
              </w:rPr>
              <w:t> </w:t>
            </w:r>
            <w:r>
              <w:rPr/>
              <w:t>metering installations</w:t>
              <w:tab/>
              <w:t>978</w:t>
            </w:r>
          </w:hyperlink>
        </w:p>
        <w:p>
          <w:pPr>
            <w:pStyle w:val="TOC2"/>
            <w:tabs>
              <w:tab w:pos="1919" w:val="left" w:leader="none"/>
              <w:tab w:pos="8931" w:val="left" w:leader="dot"/>
            </w:tabs>
          </w:pPr>
          <w:hyperlink w:history="true" w:anchor="_bookmark1421">
            <w:r>
              <w:rPr/>
              <w:t>11A.4</w:t>
              <w:tab/>
              <w:t>Testing</w:t>
            </w:r>
            <w:r>
              <w:rPr>
                <w:spacing w:val="-1"/>
              </w:rPr>
              <w:t> </w:t>
            </w:r>
            <w:r>
              <w:rPr/>
              <w:t>metering</w:t>
            </w:r>
            <w:r>
              <w:rPr>
                <w:spacing w:val="-1"/>
              </w:rPr>
              <w:t> </w:t>
            </w:r>
            <w:r>
              <w:rPr/>
              <w:t>installations</w:t>
              <w:tab/>
              <w:t>978</w:t>
            </w:r>
          </w:hyperlink>
        </w:p>
        <w:p>
          <w:pPr>
            <w:pStyle w:val="TOC2"/>
            <w:tabs>
              <w:tab w:pos="1919" w:val="left" w:leader="none"/>
              <w:tab w:pos="8930" w:val="left" w:leader="dot"/>
            </w:tabs>
          </w:pPr>
          <w:hyperlink w:history="true" w:anchor="_bookmark1422">
            <w:r>
              <w:rPr/>
              <w:t>11A.5</w:t>
              <w:tab/>
              <w:t>Metering data services database and</w:t>
            </w:r>
            <w:r>
              <w:rPr>
                <w:spacing w:val="-14"/>
              </w:rPr>
              <w:t> </w:t>
            </w:r>
            <w:r>
              <w:rPr/>
              <w:t>related</w:t>
            </w:r>
            <w:r>
              <w:rPr>
                <w:spacing w:val="-2"/>
              </w:rPr>
              <w:t> </w:t>
            </w:r>
            <w:r>
              <w:rPr/>
              <w:t>requirements</w:t>
              <w:tab/>
              <w:t>979</w:t>
            </w:r>
          </w:hyperlink>
        </w:p>
        <w:p>
          <w:pPr>
            <w:pStyle w:val="TOC2"/>
            <w:tabs>
              <w:tab w:pos="1919" w:val="left" w:leader="none"/>
              <w:tab w:pos="8929" w:val="left" w:leader="dot"/>
            </w:tabs>
          </w:pPr>
          <w:hyperlink w:history="true" w:anchor="_bookmark1423">
            <w:r>
              <w:rPr/>
              <w:t>11A.6</w:t>
              <w:tab/>
              <w:t>Communication</w:t>
            </w:r>
            <w:r>
              <w:rPr>
                <w:spacing w:val="-5"/>
              </w:rPr>
              <w:t> </w:t>
            </w:r>
            <w:r>
              <w:rPr/>
              <w:t>guideline</w:t>
              <w:tab/>
              <w:t>980</w:t>
            </w:r>
          </w:hyperlink>
        </w:p>
        <w:p>
          <w:pPr>
            <w:pStyle w:val="TOC2"/>
            <w:tabs>
              <w:tab w:pos="1919" w:val="left" w:leader="none"/>
              <w:tab w:pos="8931" w:val="left" w:leader="dot"/>
            </w:tabs>
          </w:pPr>
          <w:hyperlink w:history="true" w:anchor="_bookmark1424">
            <w:r>
              <w:rPr/>
              <w:t>11A.7</w:t>
              <w:tab/>
              <w:t>Timeframes for meters to</w:t>
            </w:r>
            <w:r>
              <w:rPr>
                <w:spacing w:val="-5"/>
              </w:rPr>
              <w:t> </w:t>
            </w:r>
            <w:r>
              <w:rPr/>
              <w:t>be</w:t>
            </w:r>
            <w:r>
              <w:rPr>
                <w:spacing w:val="-3"/>
              </w:rPr>
              <w:t> </w:t>
            </w:r>
            <w:r>
              <w:rPr/>
              <w:t>installed</w:t>
              <w:tab/>
              <w:t>980</w:t>
            </w:r>
          </w:hyperlink>
        </w:p>
      </w:sdtContent>
    </w:sdt>
    <w:p>
      <w:pPr>
        <w:spacing w:after="0"/>
        <w:sectPr>
          <w:type w:val="continuous"/>
          <w:pgSz w:w="11910" w:h="16840"/>
          <w:pgMar w:top="1335" w:bottom="1398" w:left="1200" w:right="1000"/>
        </w:sectPr>
      </w:pPr>
    </w:p>
    <w:p>
      <w:pPr>
        <w:pStyle w:val="BodyText"/>
        <w:spacing w:before="0"/>
        <w:ind w:firstLine="0"/>
        <w:jc w:val="left"/>
        <w:rPr>
          <w:b/>
          <w:sz w:val="20"/>
        </w:rPr>
      </w:pPr>
    </w:p>
    <w:p>
      <w:pPr>
        <w:pStyle w:val="BodyText"/>
        <w:spacing w:before="1"/>
        <w:ind w:firstLine="0"/>
        <w:jc w:val="left"/>
        <w:rPr>
          <w:b/>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1</w:t>
                  </w:r>
                </w:p>
              </w:txbxContent>
            </v:textbox>
            <v:fill type="solid"/>
            <v:stroke dashstyle="solid"/>
          </v:shape>
        </w:pict>
      </w:r>
      <w:r>
        <w:rPr>
          <w:position w:val="0"/>
          <w:sz w:val="20"/>
        </w:rPr>
      </w:r>
    </w:p>
    <w:p>
      <w:pPr>
        <w:spacing w:after="0"/>
        <w:jc w:val="left"/>
        <w:rPr>
          <w:sz w:val="20"/>
        </w:rPr>
        <w:sectPr>
          <w:headerReference w:type="default" r:id="rId7"/>
          <w:footerReference w:type="default" r:id="rId8"/>
          <w:pgSz w:w="11910" w:h="16840"/>
          <w:pgMar w:header="686" w:footer="637" w:top="1320" w:bottom="820" w:left="1200" w:right="1000"/>
        </w:sectPr>
      </w:pPr>
    </w:p>
    <w:p>
      <w:pPr>
        <w:pStyle w:val="BodyText"/>
        <w:spacing w:before="4"/>
        <w:ind w:firstLine="0"/>
        <w:jc w:val="left"/>
        <w:rPr>
          <w:b/>
          <w:sz w:val="17"/>
        </w:rPr>
      </w:pPr>
    </w:p>
    <w:p>
      <w:pPr>
        <w:spacing w:after="0"/>
        <w:jc w:val="left"/>
        <w:rPr>
          <w:sz w:val="17"/>
        </w:rPr>
        <w:sectPr>
          <w:headerReference w:type="default" r:id="rId9"/>
          <w:footerReference w:type="default" r:id="rId10"/>
          <w:pgSz w:w="11910" w:h="16840"/>
          <w:pgMar w:header="0" w:footer="0" w:top="1600" w:bottom="280" w:left="1200" w:right="1000"/>
        </w:sectPr>
      </w:pPr>
    </w:p>
    <w:p>
      <w:pPr>
        <w:pStyle w:val="BodyText"/>
        <w:spacing w:before="3"/>
        <w:ind w:firstLine="0"/>
        <w:jc w:val="left"/>
        <w:rPr>
          <w:b/>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1. Introduction" w:id="3"/>
      <w:bookmarkEnd w:id="3"/>
      <w:r>
        <w:rPr>
          <w:b w:val="0"/>
        </w:rPr>
      </w:r>
      <w:bookmarkStart w:name="_bookmark0" w:id="4"/>
      <w:bookmarkEnd w:id="4"/>
      <w:r>
        <w:rPr>
          <w:b w:val="0"/>
        </w:rPr>
      </w:r>
      <w:bookmarkStart w:name="_bookmark0" w:id="5"/>
      <w:bookmarkEnd w:id="5"/>
      <w:r>
        <w:rPr/>
        <w:t>I</w:t>
      </w:r>
      <w:r>
        <w:rPr/>
        <w:t>ntroduction</w:t>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1.1 Preliminary" w:id="6"/>
      <w:bookmarkEnd w:id="6"/>
      <w:r>
        <w:rPr>
          <w:b w:val="0"/>
        </w:rPr>
      </w:r>
      <w:bookmarkStart w:name="_bookmark1" w:id="7"/>
      <w:bookmarkEnd w:id="7"/>
      <w:r>
        <w:rPr>
          <w:b w:val="0"/>
        </w:rPr>
      </w:r>
      <w:bookmarkStart w:name="_bookmark1" w:id="8"/>
      <w:bookmarkEnd w:id="8"/>
      <w:r>
        <w:rPr/>
        <w:t>Prelim</w:t>
      </w:r>
      <w:r>
        <w:rPr/>
        <w:t>inary</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1.1.1 References to the Rules" w:id="9"/>
      <w:bookmarkEnd w:id="9"/>
      <w:r>
        <w:rPr>
          <w:b w:val="0"/>
        </w:rPr>
      </w:r>
      <w:bookmarkStart w:name="_bookmark2" w:id="10"/>
      <w:bookmarkEnd w:id="10"/>
      <w:r>
        <w:rPr>
          <w:b w:val="0"/>
        </w:rPr>
      </w:r>
      <w:bookmarkStart w:name="_bookmark2" w:id="11"/>
      <w:bookmarkEnd w:id="11"/>
      <w:r>
        <w:rPr/>
        <w:t>Refe</w:t>
      </w:r>
      <w:r>
        <w:rPr/>
        <w:t>rences to the</w:t>
      </w:r>
      <w:r>
        <w:rPr>
          <w:spacing w:val="-2"/>
        </w:rPr>
        <w:t> </w:t>
      </w:r>
      <w:r>
        <w:rPr/>
        <w:t>Rules</w:t>
      </w:r>
    </w:p>
    <w:p>
      <w:pPr>
        <w:pStyle w:val="BodyText"/>
        <w:ind w:left="1352" w:firstLine="0"/>
        <w:jc w:val="left"/>
      </w:pPr>
      <w:r>
        <w:rPr/>
        <w:t>These Rules (the </w:t>
      </w:r>
      <w:r>
        <w:rPr>
          <w:i/>
        </w:rPr>
        <w:t>Rules</w:t>
      </w:r>
      <w:r>
        <w:rPr/>
        <w:t>) are called the National Electricity Rules.</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1.2 Italicised expressions" w:id="12"/>
      <w:bookmarkEnd w:id="12"/>
      <w:r>
        <w:rPr>
          <w:b w:val="0"/>
        </w:rPr>
      </w:r>
      <w:bookmarkStart w:name="_bookmark3" w:id="13"/>
      <w:bookmarkEnd w:id="13"/>
      <w:r>
        <w:rPr>
          <w:b w:val="0"/>
        </w:rPr>
      </w:r>
      <w:bookmarkStart w:name="_bookmark3" w:id="14"/>
      <w:bookmarkEnd w:id="14"/>
      <w:r>
        <w:rPr/>
        <w:t>Italicised</w:t>
      </w:r>
      <w:r>
        <w:rPr>
          <w:spacing w:val="-1"/>
        </w:rPr>
        <w:t> </w:t>
      </w:r>
      <w:r>
        <w:rPr/>
        <w:t>expressions</w:t>
      </w:r>
    </w:p>
    <w:p>
      <w:pPr>
        <w:pStyle w:val="BodyText"/>
        <w:ind w:left="1352" w:firstLine="0"/>
        <w:jc w:val="left"/>
      </w:pPr>
      <w:r>
        <w:rPr/>
        <w:t>Italicised expressions in the </w:t>
      </w:r>
      <w:r>
        <w:rPr>
          <w:i/>
        </w:rPr>
        <w:t>Rules </w:t>
      </w:r>
      <w:r>
        <w:rPr/>
        <w:t>are defined in the glossary in Chapter 10.</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1.3 [Deleted]" w:id="15"/>
      <w:bookmarkEnd w:id="15"/>
      <w:r>
        <w:rPr>
          <w:b w:val="0"/>
        </w:rPr>
      </w:r>
      <w:bookmarkStart w:name="_bookmark4" w:id="16"/>
      <w:bookmarkEnd w:id="16"/>
      <w:r>
        <w:rPr>
          <w:b w:val="0"/>
        </w:rPr>
      </w:r>
      <w:bookmarkStart w:name="_bookmark4" w:id="17"/>
      <w:bookmarkEnd w:id="17"/>
      <w:r>
        <w:rPr/>
        <w:t>[Deleted]</w:t>
      </w:r>
    </w:p>
    <w:p>
      <w:pPr>
        <w:pStyle w:val="BodyText"/>
        <w:spacing w:before="10"/>
        <w:ind w:firstLine="0"/>
        <w:jc w:val="left"/>
        <w:rPr>
          <w:rFonts w:ascii="Arial"/>
          <w:b/>
          <w:sz w:val="20"/>
        </w:rPr>
      </w:pPr>
    </w:p>
    <w:p>
      <w:pPr>
        <w:pStyle w:val="Heading3"/>
        <w:numPr>
          <w:ilvl w:val="1"/>
          <w:numId w:val="54"/>
        </w:numPr>
        <w:tabs>
          <w:tab w:pos="1351" w:val="left" w:leader="none"/>
          <w:tab w:pos="1353" w:val="left" w:leader="none"/>
        </w:tabs>
        <w:spacing w:line="240" w:lineRule="auto" w:before="0" w:after="0"/>
        <w:ind w:left="1352" w:right="0" w:hanging="1135"/>
        <w:jc w:val="left"/>
      </w:pPr>
      <w:bookmarkStart w:name="1.2 Background" w:id="18"/>
      <w:bookmarkEnd w:id="18"/>
      <w:r>
        <w:rPr>
          <w:b w:val="0"/>
        </w:rPr>
      </w:r>
      <w:bookmarkStart w:name="_bookmark5" w:id="19"/>
      <w:bookmarkEnd w:id="19"/>
      <w:r>
        <w:rPr>
          <w:b w:val="0"/>
        </w:rPr>
      </w:r>
      <w:bookmarkStart w:name="_bookmark5" w:id="20"/>
      <w:bookmarkEnd w:id="20"/>
      <w:r>
        <w:rPr/>
        <w:t>Background</w:t>
      </w:r>
    </w:p>
    <w:p>
      <w:pPr>
        <w:spacing w:before="120"/>
        <w:ind w:left="1352" w:right="414" w:firstLine="0"/>
        <w:jc w:val="both"/>
        <w:rPr>
          <w:sz w:val="24"/>
        </w:rPr>
      </w:pPr>
      <w:r>
        <w:rPr>
          <w:sz w:val="24"/>
        </w:rPr>
        <w:t>These Rules are the National Electricity Rules made under the </w:t>
      </w:r>
      <w:r>
        <w:rPr>
          <w:i/>
          <w:sz w:val="24"/>
        </w:rPr>
        <w:t>National  </w:t>
      </w:r>
      <w:r>
        <w:rPr>
          <w:i/>
          <w:sz w:val="24"/>
        </w:rPr>
        <w:t>Electricity Law </w:t>
      </w:r>
      <w:r>
        <w:rPr>
          <w:sz w:val="24"/>
        </w:rPr>
        <w:t>and may be amended from time to time in accordance with the </w:t>
      </w:r>
      <w:r>
        <w:rPr>
          <w:i/>
          <w:sz w:val="24"/>
        </w:rPr>
        <w:t>National Electricity</w:t>
      </w:r>
      <w:r>
        <w:rPr>
          <w:i/>
          <w:spacing w:val="-1"/>
          <w:sz w:val="24"/>
        </w:rPr>
        <w:t> </w:t>
      </w:r>
      <w:r>
        <w:rPr>
          <w:i/>
          <w:sz w:val="24"/>
        </w:rPr>
        <w:t>Law</w:t>
      </w:r>
      <w:r>
        <w:rPr>
          <w:sz w:val="24"/>
        </w:rPr>
        <w:t>.</w:t>
      </w:r>
    </w:p>
    <w:p>
      <w:pPr>
        <w:pStyle w:val="BodyText"/>
        <w:spacing w:before="10"/>
        <w:ind w:firstLine="0"/>
        <w:jc w:val="left"/>
        <w:rPr>
          <w:sz w:val="20"/>
        </w:rPr>
      </w:pPr>
    </w:p>
    <w:p>
      <w:pPr>
        <w:pStyle w:val="Heading3"/>
        <w:numPr>
          <w:ilvl w:val="1"/>
          <w:numId w:val="54"/>
        </w:numPr>
        <w:tabs>
          <w:tab w:pos="1351" w:val="left" w:leader="none"/>
          <w:tab w:pos="1353" w:val="left" w:leader="none"/>
        </w:tabs>
        <w:spacing w:line="240" w:lineRule="auto" w:before="0" w:after="0"/>
        <w:ind w:left="1352" w:right="0" w:hanging="1135"/>
        <w:jc w:val="left"/>
      </w:pPr>
      <w:bookmarkStart w:name="1.3 Nomenclature of and references to pr" w:id="21"/>
      <w:bookmarkEnd w:id="21"/>
      <w:r>
        <w:rPr>
          <w:b w:val="0"/>
        </w:rPr>
      </w:r>
      <w:bookmarkStart w:name="_bookmark6" w:id="22"/>
      <w:bookmarkEnd w:id="22"/>
      <w:r>
        <w:rPr>
          <w:b w:val="0"/>
        </w:rPr>
      </w:r>
      <w:bookmarkStart w:name="_bookmark6" w:id="23"/>
      <w:bookmarkEnd w:id="23"/>
      <w:r>
        <w:rPr/>
        <w:t>Nomenclatur</w:t>
      </w:r>
      <w:r>
        <w:rPr/>
        <w:t>e of and references to provisions of a</w:t>
      </w:r>
      <w:r>
        <w:rPr>
          <w:spacing w:val="-11"/>
        </w:rPr>
        <w:t> </w:t>
      </w:r>
      <w:r>
        <w:rPr/>
        <w:t>Chapter</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1.3.1 Introduction" w:id="24"/>
      <w:bookmarkEnd w:id="24"/>
      <w:r>
        <w:rPr>
          <w:b w:val="0"/>
        </w:rPr>
      </w:r>
      <w:bookmarkStart w:name="_bookmark7" w:id="25"/>
      <w:bookmarkEnd w:id="25"/>
      <w:r>
        <w:rPr>
          <w:b w:val="0"/>
        </w:rPr>
      </w:r>
      <w:bookmarkStart w:name="_bookmark7" w:id="26"/>
      <w:bookmarkEnd w:id="26"/>
      <w:r>
        <w:rPr/>
        <w:t>Introd</w:t>
      </w:r>
      <w:r>
        <w:rPr/>
        <w:t>uction</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This rule applies to provisions inserted after 16 November 2006, and applies unless the context otherwise</w:t>
      </w:r>
      <w:r>
        <w:rPr>
          <w:spacing w:val="-1"/>
          <w:sz w:val="24"/>
        </w:rPr>
        <w:t> </w:t>
      </w:r>
      <w:r>
        <w:rPr>
          <w:sz w:val="24"/>
        </w:rPr>
        <w:t>requires.</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In this rule, "numbered" means identified by one or more numbers or one or more letters, or by a combination of one or more numbers and one or more letters.</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3.2 Parts, Divisions and Subdivisions" w:id="27"/>
      <w:bookmarkEnd w:id="27"/>
      <w:r>
        <w:rPr>
          <w:b w:val="0"/>
        </w:rPr>
      </w:r>
      <w:bookmarkStart w:name="_bookmark8" w:id="28"/>
      <w:bookmarkEnd w:id="28"/>
      <w:r>
        <w:rPr>
          <w:b w:val="0"/>
        </w:rPr>
      </w:r>
      <w:bookmarkStart w:name="_bookmark8" w:id="29"/>
      <w:bookmarkEnd w:id="29"/>
      <w:r>
        <w:rPr/>
        <w:t>Parts,</w:t>
      </w:r>
      <w:r>
        <w:rPr/>
        <w:t> Divisions and</w:t>
      </w:r>
      <w:r>
        <w:rPr>
          <w:spacing w:val="-3"/>
        </w:rPr>
        <w:t> </w:t>
      </w:r>
      <w:r>
        <w:rPr/>
        <w:t>Subdivisions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Chapters may contain numbered</w:t>
      </w:r>
      <w:r>
        <w:rPr>
          <w:spacing w:val="-1"/>
          <w:sz w:val="24"/>
        </w:rPr>
        <w:t> </w:t>
      </w:r>
      <w:r>
        <w:rPr>
          <w:sz w:val="24"/>
        </w:rPr>
        <w:t>Parts.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Parts may contain numbered</w:t>
      </w:r>
      <w:r>
        <w:rPr>
          <w:spacing w:val="-1"/>
          <w:sz w:val="24"/>
        </w:rPr>
        <w:t> </w:t>
      </w:r>
      <w:r>
        <w:rPr>
          <w:sz w:val="24"/>
        </w:rPr>
        <w:t>Divisions.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Divisions may contain numbered</w:t>
      </w:r>
      <w:r>
        <w:rPr>
          <w:spacing w:val="-3"/>
          <w:sz w:val="24"/>
        </w:rPr>
        <w:t> </w:t>
      </w:r>
      <w:r>
        <w:rPr>
          <w:sz w:val="24"/>
        </w:rPr>
        <w:t>Subdivisions.</w:t>
      </w:r>
    </w:p>
    <w:p>
      <w:pPr>
        <w:pStyle w:val="ListParagraph"/>
        <w:numPr>
          <w:ilvl w:val="3"/>
          <w:numId w:val="54"/>
        </w:numPr>
        <w:tabs>
          <w:tab w:pos="1918" w:val="left" w:leader="none"/>
          <w:tab w:pos="1919" w:val="left" w:leader="none"/>
        </w:tabs>
        <w:spacing w:line="240" w:lineRule="auto" w:before="120" w:after="0"/>
        <w:ind w:left="1919" w:right="416" w:hanging="567"/>
        <w:jc w:val="left"/>
        <w:rPr>
          <w:sz w:val="24"/>
        </w:rPr>
      </w:pPr>
      <w:r>
        <w:rPr>
          <w:sz w:val="24"/>
        </w:rPr>
        <w:t>The following table indicates how Parts, Divisions and Subdivisions may be referred to in the</w:t>
      </w:r>
      <w:r>
        <w:rPr>
          <w:spacing w:val="-1"/>
          <w:sz w:val="24"/>
        </w:rPr>
        <w:t> </w:t>
      </w:r>
      <w:r>
        <w:rPr>
          <w:i/>
          <w:sz w:val="24"/>
        </w:rPr>
        <w:t>Rules</w:t>
      </w:r>
      <w:r>
        <w:rPr>
          <w:sz w:val="24"/>
        </w:rPr>
        <w:t>.</w:t>
      </w:r>
    </w:p>
    <w:p>
      <w:pPr>
        <w:pStyle w:val="BodyText"/>
        <w:spacing w:before="10"/>
        <w:ind w:firstLine="0"/>
        <w:jc w:val="left"/>
        <w:rPr>
          <w:sz w:val="2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2"/>
        <w:gridCol w:w="1511"/>
        <w:gridCol w:w="3024"/>
        <w:gridCol w:w="3024"/>
      </w:tblGrid>
      <w:tr>
        <w:trPr>
          <w:trHeight w:val="671" w:hRule="atLeast"/>
        </w:trPr>
        <w:tc>
          <w:tcPr>
            <w:tcW w:w="1512"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Level</w:t>
            </w:r>
          </w:p>
        </w:tc>
        <w:tc>
          <w:tcPr>
            <w:tcW w:w="1511"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Provision</w:t>
            </w:r>
          </w:p>
        </w:tc>
        <w:tc>
          <w:tcPr>
            <w:tcW w:w="302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655"/>
              <w:rPr>
                <w:rFonts w:ascii="Arial"/>
                <w:b/>
                <w:sz w:val="24"/>
              </w:rPr>
            </w:pPr>
            <w:r>
              <w:rPr>
                <w:rFonts w:ascii="Arial"/>
                <w:b/>
                <w:sz w:val="24"/>
              </w:rPr>
              <w:t>Internal reference in same level</w:t>
            </w:r>
          </w:p>
        </w:tc>
        <w:tc>
          <w:tcPr>
            <w:tcW w:w="302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574"/>
              <w:rPr>
                <w:rFonts w:ascii="Arial"/>
                <w:b/>
                <w:sz w:val="24"/>
              </w:rPr>
            </w:pPr>
            <w:r>
              <w:rPr>
                <w:rFonts w:ascii="Arial"/>
                <w:b/>
                <w:sz w:val="24"/>
              </w:rPr>
              <w:t>External reference in preceding level</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0" w:right="679"/>
              <w:jc w:val="right"/>
              <w:rPr>
                <w:sz w:val="24"/>
              </w:rPr>
            </w:pPr>
            <w:r>
              <w:rPr>
                <w:sz w:val="24"/>
              </w:rPr>
              <w:t>1</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Chapter 1</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0" w:right="679"/>
              <w:jc w:val="right"/>
              <w:rPr>
                <w:sz w:val="24"/>
              </w:rPr>
            </w:pPr>
            <w:r>
              <w:rPr>
                <w:sz w:val="24"/>
              </w:rPr>
              <w:t>2</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Part A</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this Part</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Part A</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0" w:right="679"/>
              <w:jc w:val="right"/>
              <w:rPr>
                <w:sz w:val="24"/>
              </w:rPr>
            </w:pPr>
            <w:r>
              <w:rPr>
                <w:sz w:val="24"/>
              </w:rPr>
              <w:t>3</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Division 1</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this Division</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Division 1</w:t>
            </w:r>
          </w:p>
        </w:tc>
      </w:tr>
      <w:tr>
        <w:trPr>
          <w:trHeight w:val="515" w:hRule="atLeast"/>
        </w:trPr>
        <w:tc>
          <w:tcPr>
            <w:tcW w:w="1512" w:type="dxa"/>
            <w:tcBorders>
              <w:top w:val="single" w:sz="4" w:space="0" w:color="000000"/>
              <w:right w:val="single" w:sz="4" w:space="0" w:color="000000"/>
            </w:tcBorders>
          </w:tcPr>
          <w:p>
            <w:pPr>
              <w:pStyle w:val="TableParagraph"/>
              <w:ind w:left="0" w:right="679"/>
              <w:jc w:val="right"/>
              <w:rPr>
                <w:sz w:val="24"/>
              </w:rPr>
            </w:pPr>
            <w:r>
              <w:rPr>
                <w:sz w:val="24"/>
              </w:rPr>
              <w:t>4</w:t>
            </w:r>
          </w:p>
        </w:tc>
        <w:tc>
          <w:tcPr>
            <w:tcW w:w="1511" w:type="dxa"/>
            <w:tcBorders>
              <w:top w:val="single" w:sz="4" w:space="0" w:color="000000"/>
              <w:left w:val="single" w:sz="4" w:space="0" w:color="000000"/>
              <w:right w:val="single" w:sz="4" w:space="0" w:color="000000"/>
            </w:tcBorders>
          </w:tcPr>
          <w:p>
            <w:pPr>
              <w:pStyle w:val="TableParagraph"/>
              <w:ind w:left="44"/>
              <w:rPr>
                <w:sz w:val="24"/>
              </w:rPr>
            </w:pPr>
            <w:r>
              <w:rPr>
                <w:sz w:val="24"/>
              </w:rPr>
              <w:t>Subdivision 1</w:t>
            </w:r>
          </w:p>
        </w:tc>
        <w:tc>
          <w:tcPr>
            <w:tcW w:w="3024" w:type="dxa"/>
            <w:tcBorders>
              <w:top w:val="single" w:sz="4" w:space="0" w:color="000000"/>
              <w:left w:val="single" w:sz="4" w:space="0" w:color="000000"/>
              <w:right w:val="single" w:sz="4" w:space="0" w:color="000000"/>
            </w:tcBorders>
          </w:tcPr>
          <w:p>
            <w:pPr>
              <w:pStyle w:val="TableParagraph"/>
              <w:ind w:left="44"/>
              <w:rPr>
                <w:sz w:val="24"/>
              </w:rPr>
            </w:pPr>
            <w:r>
              <w:rPr>
                <w:sz w:val="24"/>
              </w:rPr>
              <w:t>this Subdivision</w:t>
            </w:r>
          </w:p>
        </w:tc>
        <w:tc>
          <w:tcPr>
            <w:tcW w:w="3024" w:type="dxa"/>
            <w:tcBorders>
              <w:top w:val="single" w:sz="4" w:space="0" w:color="000000"/>
              <w:left w:val="single" w:sz="4" w:space="0" w:color="000000"/>
              <w:right w:val="single" w:sz="4" w:space="0" w:color="000000"/>
            </w:tcBorders>
          </w:tcPr>
          <w:p>
            <w:pPr>
              <w:pStyle w:val="TableParagraph"/>
              <w:rPr>
                <w:sz w:val="24"/>
              </w:rPr>
            </w:pPr>
            <w:r>
              <w:rPr>
                <w:sz w:val="24"/>
              </w:rPr>
              <w:t>Subdivision 1</w:t>
            </w:r>
          </w:p>
        </w:tc>
      </w:tr>
    </w:tbl>
    <w:p>
      <w:pPr>
        <w:spacing w:after="0"/>
        <w:rPr>
          <w:sz w:val="24"/>
        </w:rPr>
        <w:sectPr>
          <w:headerReference w:type="default" r:id="rId11"/>
          <w:footerReference w:type="default" r:id="rId12"/>
          <w:pgSz w:w="11910" w:h="16840"/>
          <w:pgMar w:header="686" w:footer="637" w:top="1320" w:bottom="820" w:left="1200" w:right="1000"/>
          <w:pgNumType w:start="3"/>
        </w:sectPr>
      </w:pPr>
    </w:p>
    <w:p>
      <w:pPr>
        <w:spacing w:before="83"/>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numbering of the provisions in the table is by way of example.</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3.3 Rules, clauses, paragraphs, subpar" w:id="30"/>
      <w:bookmarkEnd w:id="30"/>
      <w:r>
        <w:rPr>
          <w:b w:val="0"/>
        </w:rPr>
      </w:r>
      <w:bookmarkStart w:name="_bookmark9" w:id="31"/>
      <w:bookmarkEnd w:id="31"/>
      <w:r>
        <w:rPr>
          <w:b w:val="0"/>
        </w:rPr>
      </w:r>
      <w:bookmarkStart w:name="_bookmark9" w:id="32"/>
      <w:bookmarkEnd w:id="32"/>
      <w:r>
        <w:rPr/>
        <w:t>Rules</w:t>
      </w:r>
      <w:r>
        <w:rPr/>
        <w:t>, clauses, paragraphs, subparagraphs and other</w:t>
      </w:r>
      <w:r>
        <w:rPr>
          <w:spacing w:val="-10"/>
        </w:rPr>
        <w:t> </w:t>
      </w:r>
      <w:r>
        <w:rPr/>
        <w:t>items</w:t>
      </w:r>
    </w:p>
    <w:p>
      <w:pPr>
        <w:pStyle w:val="ListParagraph"/>
        <w:numPr>
          <w:ilvl w:val="3"/>
          <w:numId w:val="54"/>
        </w:numPr>
        <w:tabs>
          <w:tab w:pos="1918" w:val="left" w:leader="none"/>
          <w:tab w:pos="1919" w:val="left" w:leader="none"/>
        </w:tabs>
        <w:spacing w:line="240" w:lineRule="auto" w:before="120" w:after="0"/>
        <w:ind w:left="1919" w:right="417" w:hanging="567"/>
        <w:jc w:val="left"/>
        <w:rPr>
          <w:sz w:val="24"/>
        </w:rPr>
      </w:pPr>
      <w:r>
        <w:rPr>
          <w:sz w:val="24"/>
        </w:rPr>
        <w:t>Chapters, Parts, Divisions and Subdivisions of the </w:t>
      </w:r>
      <w:r>
        <w:rPr>
          <w:i/>
          <w:sz w:val="24"/>
        </w:rPr>
        <w:t>Rules </w:t>
      </w:r>
      <w:r>
        <w:rPr>
          <w:sz w:val="24"/>
        </w:rPr>
        <w:t>may contain numbered</w:t>
      </w:r>
      <w:r>
        <w:rPr>
          <w:spacing w:val="-1"/>
          <w:sz w:val="24"/>
        </w:rPr>
        <w:t> </w:t>
      </w:r>
      <w:r>
        <w:rPr>
          <w:sz w:val="24"/>
        </w:rPr>
        <w:t>rules.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Rules may contain numbered</w:t>
      </w:r>
      <w:r>
        <w:rPr>
          <w:spacing w:val="-1"/>
          <w:sz w:val="24"/>
        </w:rPr>
        <w:t> </w:t>
      </w:r>
      <w:r>
        <w:rPr>
          <w:sz w:val="24"/>
        </w:rPr>
        <w:t>clauses.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Rules and clauses may contain numbered</w:t>
      </w:r>
      <w:r>
        <w:rPr>
          <w:spacing w:val="-1"/>
          <w:sz w:val="24"/>
        </w:rPr>
        <w:t> </w:t>
      </w:r>
      <w:r>
        <w:rPr>
          <w:sz w:val="24"/>
        </w:rPr>
        <w:t>paragraphs.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Paragraphs may contain numbered</w:t>
      </w:r>
      <w:r>
        <w:rPr>
          <w:spacing w:val="-2"/>
          <w:sz w:val="24"/>
        </w:rPr>
        <w:t> </w:t>
      </w:r>
      <w:r>
        <w:rPr>
          <w:sz w:val="24"/>
        </w:rPr>
        <w:t>subparagraphs.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Subparagraphs may contain numbered</w:t>
      </w:r>
      <w:r>
        <w:rPr>
          <w:spacing w:val="-1"/>
          <w:sz w:val="24"/>
        </w:rPr>
        <w:t> </w:t>
      </w:r>
      <w:r>
        <w:rPr>
          <w:sz w:val="24"/>
        </w:rPr>
        <w:t>items.</w:t>
      </w:r>
    </w:p>
    <w:p>
      <w:pPr>
        <w:pStyle w:val="ListParagraph"/>
        <w:numPr>
          <w:ilvl w:val="3"/>
          <w:numId w:val="54"/>
        </w:numPr>
        <w:tabs>
          <w:tab w:pos="1919" w:val="left" w:leader="none"/>
          <w:tab w:pos="1920" w:val="left" w:leader="none"/>
        </w:tabs>
        <w:spacing w:line="240" w:lineRule="auto" w:before="120" w:after="0"/>
        <w:ind w:left="1919" w:right="416" w:hanging="567"/>
        <w:jc w:val="left"/>
        <w:rPr>
          <w:sz w:val="24"/>
        </w:rPr>
      </w:pPr>
      <w:r>
        <w:rPr>
          <w:sz w:val="24"/>
        </w:rPr>
        <w:t>The following table indicates how rules, clauses, paragraphs, subparagraphs and other numbered items may be referred to in the</w:t>
      </w:r>
      <w:r>
        <w:rPr>
          <w:spacing w:val="-3"/>
          <w:sz w:val="24"/>
        </w:rPr>
        <w:t> </w:t>
      </w:r>
      <w:r>
        <w:rPr>
          <w:i/>
          <w:sz w:val="24"/>
        </w:rPr>
        <w:t>Rules</w:t>
      </w:r>
      <w:r>
        <w:rPr>
          <w:sz w:val="24"/>
        </w:rPr>
        <w:t>.</w:t>
      </w:r>
    </w:p>
    <w:p>
      <w:pPr>
        <w:pStyle w:val="BodyText"/>
        <w:spacing w:before="10"/>
        <w:ind w:firstLine="0"/>
        <w:jc w:val="left"/>
        <w:rPr>
          <w:sz w:val="2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2"/>
        <w:gridCol w:w="1511"/>
        <w:gridCol w:w="3024"/>
        <w:gridCol w:w="3024"/>
      </w:tblGrid>
      <w:tr>
        <w:trPr>
          <w:trHeight w:val="671" w:hRule="atLeast"/>
        </w:trPr>
        <w:tc>
          <w:tcPr>
            <w:tcW w:w="1512"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Level</w:t>
            </w:r>
          </w:p>
        </w:tc>
        <w:tc>
          <w:tcPr>
            <w:tcW w:w="1511"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Provision</w:t>
            </w:r>
          </w:p>
        </w:tc>
        <w:tc>
          <w:tcPr>
            <w:tcW w:w="302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655"/>
              <w:rPr>
                <w:rFonts w:ascii="Arial"/>
                <w:b/>
                <w:sz w:val="24"/>
              </w:rPr>
            </w:pPr>
            <w:r>
              <w:rPr>
                <w:rFonts w:ascii="Arial"/>
                <w:b/>
                <w:sz w:val="24"/>
              </w:rPr>
              <w:t>Internal reference in same level</w:t>
            </w:r>
          </w:p>
        </w:tc>
        <w:tc>
          <w:tcPr>
            <w:tcW w:w="302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574"/>
              <w:rPr>
                <w:rFonts w:ascii="Arial"/>
                <w:b/>
                <w:sz w:val="24"/>
              </w:rPr>
            </w:pPr>
            <w:r>
              <w:rPr>
                <w:rFonts w:ascii="Arial"/>
                <w:b/>
                <w:sz w:val="24"/>
              </w:rPr>
              <w:t>External reference in preceding level</w:t>
            </w:r>
          </w:p>
        </w:tc>
      </w:tr>
      <w:tr>
        <w:trPr>
          <w:trHeight w:val="791"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1</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ight="30"/>
              <w:rPr>
                <w:sz w:val="24"/>
              </w:rPr>
            </w:pPr>
            <w:r>
              <w:rPr>
                <w:sz w:val="24"/>
              </w:rPr>
              <w:t>Chapter, Part or Subdivision</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2</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rule 1.2</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this rule</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1.2</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3</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clause 1.2.3</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this clause</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clause 1.2.3</w:t>
            </w:r>
          </w:p>
        </w:tc>
      </w:tr>
      <w:tr>
        <w:trPr>
          <w:trHeight w:val="911"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4</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left="44" w:right="30"/>
              <w:rPr>
                <w:sz w:val="24"/>
              </w:rPr>
            </w:pPr>
            <w:r>
              <w:rPr>
                <w:sz w:val="24"/>
              </w:rPr>
              <w:t>rule 1.2(a) clause 1.2.3(a)</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left="44" w:right="1583"/>
              <w:rPr>
                <w:sz w:val="24"/>
              </w:rPr>
            </w:pPr>
            <w:r>
              <w:rPr>
                <w:sz w:val="24"/>
              </w:rPr>
              <w:t>this paragraph this paragraph</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right="1663"/>
              <w:rPr>
                <w:sz w:val="24"/>
              </w:rPr>
            </w:pPr>
            <w:r>
              <w:rPr>
                <w:sz w:val="24"/>
              </w:rPr>
              <w:t>paragraph (a) paragraph (a)</w:t>
            </w:r>
          </w:p>
        </w:tc>
      </w:tr>
      <w:tr>
        <w:trPr>
          <w:trHeight w:val="1187"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5</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rule 1.2(a)(1)</w:t>
            </w:r>
          </w:p>
          <w:p>
            <w:pPr>
              <w:pStyle w:val="TableParagraph"/>
              <w:ind w:left="44" w:right="410"/>
              <w:rPr>
                <w:sz w:val="24"/>
              </w:rPr>
            </w:pPr>
            <w:r>
              <w:rPr>
                <w:sz w:val="24"/>
              </w:rPr>
              <w:t>clause 1.2.3(a)(1)</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spacing w:line="343" w:lineRule="auto"/>
              <w:ind w:left="44" w:right="1250"/>
              <w:rPr>
                <w:sz w:val="24"/>
              </w:rPr>
            </w:pPr>
            <w:r>
              <w:rPr>
                <w:sz w:val="24"/>
              </w:rPr>
              <w:t>this subparagraph this subparagraph</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subparagraph</w:t>
            </w:r>
            <w:r>
              <w:rPr>
                <w:spacing w:val="-12"/>
                <w:sz w:val="24"/>
              </w:rPr>
              <w:t> </w:t>
            </w:r>
            <w:r>
              <w:rPr>
                <w:sz w:val="24"/>
              </w:rPr>
              <w:t>(1)</w:t>
            </w:r>
          </w:p>
          <w:p>
            <w:pPr>
              <w:pStyle w:val="TableParagraph"/>
              <w:rPr>
                <w:sz w:val="24"/>
              </w:rPr>
            </w:pPr>
            <w:r>
              <w:rPr>
                <w:sz w:val="24"/>
              </w:rPr>
              <w:t>subparagraph</w:t>
            </w:r>
            <w:r>
              <w:rPr>
                <w:spacing w:val="-12"/>
                <w:sz w:val="24"/>
              </w:rPr>
              <w:t> </w:t>
            </w:r>
            <w:r>
              <w:rPr>
                <w:sz w:val="24"/>
              </w:rPr>
              <w:t>(1)</w:t>
            </w:r>
          </w:p>
        </w:tc>
      </w:tr>
      <w:tr>
        <w:trPr>
          <w:trHeight w:val="1463"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6</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ight="364"/>
              <w:rPr>
                <w:sz w:val="24"/>
              </w:rPr>
            </w:pPr>
            <w:r>
              <w:rPr>
                <w:sz w:val="24"/>
              </w:rPr>
              <w:t>rule 1.2(a)(1)(i)</w:t>
            </w:r>
          </w:p>
          <w:p>
            <w:pPr>
              <w:pStyle w:val="TableParagraph"/>
              <w:ind w:left="44" w:right="184"/>
              <w:rPr>
                <w:sz w:val="24"/>
              </w:rPr>
            </w:pPr>
            <w:r>
              <w:rPr>
                <w:sz w:val="24"/>
              </w:rPr>
              <w:t>clause 1.2.3(a)(1)(i)</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this rule 1.2(a)(1)(i)</w:t>
            </w:r>
          </w:p>
          <w:p>
            <w:pPr>
              <w:pStyle w:val="TableParagraph"/>
              <w:ind w:left="44"/>
              <w:rPr>
                <w:sz w:val="24"/>
              </w:rPr>
            </w:pPr>
            <w:r>
              <w:rPr>
                <w:sz w:val="24"/>
              </w:rPr>
              <w:t>this clause 1.2.3(a)(1)(i)</w:t>
            </w:r>
          </w:p>
        </w:tc>
        <w:tc>
          <w:tcPr>
            <w:tcW w:w="302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1.2(a)(1)(i)</w:t>
            </w:r>
          </w:p>
          <w:p>
            <w:pPr>
              <w:pStyle w:val="TableParagraph"/>
              <w:rPr>
                <w:sz w:val="24"/>
              </w:rPr>
            </w:pPr>
            <w:r>
              <w:rPr>
                <w:sz w:val="24"/>
              </w:rPr>
              <w:t>clause 1.2.3(a)(1)(i)</w:t>
            </w:r>
          </w:p>
        </w:tc>
      </w:tr>
      <w:tr>
        <w:trPr>
          <w:trHeight w:val="1739" w:hRule="atLeast"/>
        </w:trPr>
        <w:tc>
          <w:tcPr>
            <w:tcW w:w="1512" w:type="dxa"/>
            <w:tcBorders>
              <w:top w:val="single" w:sz="4" w:space="0" w:color="000000"/>
              <w:right w:val="single" w:sz="4" w:space="0" w:color="000000"/>
            </w:tcBorders>
          </w:tcPr>
          <w:p>
            <w:pPr>
              <w:pStyle w:val="TableParagraph"/>
              <w:ind w:left="40"/>
              <w:rPr>
                <w:sz w:val="24"/>
              </w:rPr>
            </w:pPr>
            <w:r>
              <w:rPr>
                <w:sz w:val="24"/>
              </w:rPr>
              <w:t>7</w:t>
            </w:r>
          </w:p>
        </w:tc>
        <w:tc>
          <w:tcPr>
            <w:tcW w:w="1511" w:type="dxa"/>
            <w:tcBorders>
              <w:top w:val="single" w:sz="4" w:space="0" w:color="000000"/>
              <w:left w:val="single" w:sz="4" w:space="0" w:color="000000"/>
              <w:right w:val="single" w:sz="4" w:space="0" w:color="000000"/>
            </w:tcBorders>
          </w:tcPr>
          <w:p>
            <w:pPr>
              <w:pStyle w:val="TableParagraph"/>
              <w:ind w:left="44" w:right="31"/>
              <w:rPr>
                <w:sz w:val="24"/>
              </w:rPr>
            </w:pPr>
            <w:r>
              <w:rPr>
                <w:sz w:val="24"/>
              </w:rPr>
              <w:t>rule 1.2(a)(1)(i)(A)</w:t>
            </w:r>
          </w:p>
          <w:p>
            <w:pPr>
              <w:pStyle w:val="TableParagraph"/>
              <w:ind w:left="44" w:right="104"/>
              <w:rPr>
                <w:sz w:val="24"/>
              </w:rPr>
            </w:pPr>
            <w:r>
              <w:rPr>
                <w:sz w:val="24"/>
              </w:rPr>
              <w:t>clause 1.2.3(a)(1)(i)( A)</w:t>
            </w:r>
          </w:p>
        </w:tc>
        <w:tc>
          <w:tcPr>
            <w:tcW w:w="3024" w:type="dxa"/>
            <w:tcBorders>
              <w:top w:val="single" w:sz="4" w:space="0" w:color="000000"/>
              <w:left w:val="single" w:sz="4" w:space="0" w:color="000000"/>
              <w:right w:val="single" w:sz="4" w:space="0" w:color="000000"/>
            </w:tcBorders>
          </w:tcPr>
          <w:p>
            <w:pPr>
              <w:pStyle w:val="TableParagraph"/>
              <w:ind w:left="44"/>
              <w:rPr>
                <w:sz w:val="24"/>
              </w:rPr>
            </w:pPr>
            <w:r>
              <w:rPr>
                <w:sz w:val="24"/>
              </w:rPr>
              <w:t>this rule 1.2(a)(1)(i)(A)</w:t>
            </w:r>
          </w:p>
          <w:p>
            <w:pPr>
              <w:pStyle w:val="TableParagraph"/>
              <w:ind w:left="44"/>
              <w:rPr>
                <w:sz w:val="24"/>
              </w:rPr>
            </w:pPr>
            <w:r>
              <w:rPr>
                <w:sz w:val="24"/>
              </w:rPr>
              <w:t>this clause 1.2.3(a)(1)(i)(A)</w:t>
            </w:r>
          </w:p>
        </w:tc>
        <w:tc>
          <w:tcPr>
            <w:tcW w:w="3024" w:type="dxa"/>
            <w:tcBorders>
              <w:top w:val="single" w:sz="4" w:space="0" w:color="000000"/>
              <w:left w:val="single" w:sz="4" w:space="0" w:color="000000"/>
              <w:right w:val="single" w:sz="4" w:space="0" w:color="000000"/>
            </w:tcBorders>
          </w:tcPr>
          <w:p>
            <w:pPr>
              <w:pStyle w:val="TableParagraph"/>
              <w:rPr>
                <w:sz w:val="24"/>
              </w:rPr>
            </w:pPr>
            <w:r>
              <w:rPr>
                <w:sz w:val="24"/>
              </w:rPr>
              <w:t>rule 1.2(a)(1)(i)(A)</w:t>
            </w:r>
          </w:p>
          <w:p>
            <w:pPr>
              <w:pStyle w:val="TableParagraph"/>
              <w:rPr>
                <w:sz w:val="24"/>
              </w:rPr>
            </w:pPr>
            <w:r>
              <w:rPr>
                <w:sz w:val="24"/>
              </w:rPr>
              <w:t>clause 1.2.3(a)(1)(i)(A)</w:t>
            </w:r>
          </w:p>
        </w:tc>
      </w:tr>
    </w:tbl>
    <w:p>
      <w:pPr>
        <w:pStyle w:val="BodyText"/>
        <w:spacing w:before="5"/>
        <w:ind w:firstLine="0"/>
        <w:jc w:val="left"/>
        <w:rPr>
          <w:sz w:val="34"/>
        </w:rPr>
      </w:pPr>
    </w:p>
    <w:p>
      <w:pPr>
        <w:spacing w:before="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numbering of the provisions in the table is by way of example.</w:t>
      </w:r>
    </w:p>
    <w:p>
      <w:pPr>
        <w:spacing w:after="0"/>
        <w:jc w:val="left"/>
        <w:rPr>
          <w:sz w:val="20"/>
        </w:rPr>
        <w:sectPr>
          <w:pgSz w:w="11910" w:h="16840"/>
          <w:pgMar w:header="686" w:footer="637" w:top="1320" w:bottom="820" w:left="1200" w:right="1000"/>
        </w:sectPr>
      </w:pPr>
    </w:p>
    <w:p>
      <w:pPr>
        <w:pStyle w:val="Heading3"/>
        <w:numPr>
          <w:ilvl w:val="1"/>
          <w:numId w:val="54"/>
        </w:numPr>
        <w:tabs>
          <w:tab w:pos="1351" w:val="left" w:leader="none"/>
          <w:tab w:pos="1353" w:val="left" w:leader="none"/>
        </w:tabs>
        <w:spacing w:line="240" w:lineRule="auto" w:before="83" w:after="0"/>
        <w:ind w:left="1352" w:right="0" w:hanging="1135"/>
        <w:jc w:val="left"/>
      </w:pPr>
      <w:bookmarkStart w:name="1.4 Effect of renumbering of provisions " w:id="33"/>
      <w:bookmarkEnd w:id="33"/>
      <w:r>
        <w:rPr>
          <w:b w:val="0"/>
        </w:rPr>
      </w:r>
      <w:bookmarkStart w:name="_bookmark10" w:id="34"/>
      <w:bookmarkEnd w:id="34"/>
      <w:r>
        <w:rPr>
          <w:b w:val="0"/>
        </w:rPr>
      </w:r>
      <w:bookmarkStart w:name="_bookmark10" w:id="35"/>
      <w:bookmarkEnd w:id="35"/>
      <w:r>
        <w:rPr/>
        <w:t>Effect</w:t>
      </w:r>
      <w:r>
        <w:rPr/>
        <w:t> of renumbering of provisions of the</w:t>
      </w:r>
      <w:r>
        <w:rPr>
          <w:spacing w:val="-4"/>
        </w:rPr>
        <w:t> </w:t>
      </w:r>
      <w:r>
        <w:rPr/>
        <w:t>Rules</w:t>
      </w:r>
    </w:p>
    <w:p>
      <w:pPr>
        <w:pStyle w:val="ListParagraph"/>
        <w:numPr>
          <w:ilvl w:val="0"/>
          <w:numId w:val="55"/>
        </w:numPr>
        <w:tabs>
          <w:tab w:pos="1919" w:val="left" w:leader="none"/>
        </w:tabs>
        <w:spacing w:line="240" w:lineRule="auto" w:before="120" w:after="0"/>
        <w:ind w:left="1919" w:right="415" w:hanging="567"/>
        <w:jc w:val="both"/>
        <w:rPr>
          <w:sz w:val="24"/>
        </w:rPr>
      </w:pPr>
      <w:r>
        <w:rPr>
          <w:sz w:val="24"/>
        </w:rPr>
        <w:t>The renumbering of a provision of the </w:t>
      </w:r>
      <w:r>
        <w:rPr>
          <w:i/>
          <w:sz w:val="24"/>
        </w:rPr>
        <w:t>Rules </w:t>
      </w:r>
      <w:r>
        <w:rPr>
          <w:sz w:val="24"/>
        </w:rPr>
        <w:t>by an </w:t>
      </w:r>
      <w:r>
        <w:rPr>
          <w:i/>
          <w:sz w:val="24"/>
        </w:rPr>
        <w:t>Amending Rule </w:t>
      </w:r>
      <w:r>
        <w:rPr>
          <w:sz w:val="24"/>
        </w:rPr>
        <w:t>does not affect anything done or omitted under the provision before the </w:t>
      </w:r>
      <w:r>
        <w:rPr>
          <w:i/>
          <w:sz w:val="24"/>
        </w:rPr>
        <w:t>Amending </w:t>
      </w:r>
      <w:r>
        <w:rPr>
          <w:i/>
          <w:sz w:val="24"/>
        </w:rPr>
        <w:t>Rule </w:t>
      </w:r>
      <w:r>
        <w:rPr>
          <w:sz w:val="24"/>
        </w:rPr>
        <w:t>comes into</w:t>
      </w:r>
      <w:r>
        <w:rPr>
          <w:spacing w:val="-1"/>
          <w:sz w:val="24"/>
        </w:rPr>
        <w:t> </w:t>
      </w:r>
      <w:r>
        <w:rPr>
          <w:sz w:val="24"/>
        </w:rPr>
        <w:t>operation.</w:t>
      </w:r>
    </w:p>
    <w:p>
      <w:pPr>
        <w:pStyle w:val="ListParagraph"/>
        <w:numPr>
          <w:ilvl w:val="0"/>
          <w:numId w:val="55"/>
        </w:numPr>
        <w:tabs>
          <w:tab w:pos="1919" w:val="left" w:leader="none"/>
        </w:tabs>
        <w:spacing w:line="240" w:lineRule="auto" w:before="120" w:after="0"/>
        <w:ind w:left="1919" w:right="415" w:hanging="567"/>
        <w:jc w:val="both"/>
        <w:rPr>
          <w:sz w:val="24"/>
        </w:rPr>
      </w:pPr>
      <w:r>
        <w:rPr>
          <w:sz w:val="24"/>
        </w:rPr>
        <w:t>A reference (however expressed) in the </w:t>
      </w:r>
      <w:r>
        <w:rPr>
          <w:i/>
          <w:sz w:val="24"/>
        </w:rPr>
        <w:t>Rules </w:t>
      </w:r>
      <w:r>
        <w:rPr>
          <w:sz w:val="24"/>
        </w:rPr>
        <w:t>or in any other document to that provision is taken to be a reference to the provision as</w:t>
      </w:r>
      <w:r>
        <w:rPr>
          <w:spacing w:val="-4"/>
          <w:sz w:val="24"/>
        </w:rPr>
        <w:t> </w:t>
      </w:r>
      <w:r>
        <w:rPr>
          <w:sz w:val="24"/>
        </w:rPr>
        <w:t>renumbered.</w:t>
      </w:r>
    </w:p>
    <w:p>
      <w:pPr>
        <w:pStyle w:val="ListParagraph"/>
        <w:numPr>
          <w:ilvl w:val="0"/>
          <w:numId w:val="55"/>
        </w:numPr>
        <w:tabs>
          <w:tab w:pos="1919" w:val="left" w:leader="none"/>
        </w:tabs>
        <w:spacing w:line="240" w:lineRule="auto" w:before="120" w:after="0"/>
        <w:ind w:left="1919" w:right="416" w:hanging="567"/>
        <w:jc w:val="both"/>
        <w:rPr>
          <w:sz w:val="24"/>
        </w:rPr>
      </w:pPr>
      <w:r>
        <w:rPr>
          <w:sz w:val="24"/>
        </w:rPr>
        <w:t>Paragraphs (a) and (b) have effect whether or not the renumbered provision is also</w:t>
      </w:r>
      <w:r>
        <w:rPr>
          <w:spacing w:val="-1"/>
          <w:sz w:val="24"/>
        </w:rPr>
        <w:t> </w:t>
      </w:r>
      <w:r>
        <w:rPr>
          <w:sz w:val="24"/>
        </w:rPr>
        <w:t>relocated.</w:t>
      </w:r>
    </w:p>
    <w:p>
      <w:pPr>
        <w:pStyle w:val="BodyText"/>
        <w:spacing w:before="10"/>
        <w:ind w:firstLine="0"/>
        <w:jc w:val="left"/>
        <w:rPr>
          <w:sz w:val="20"/>
        </w:rPr>
      </w:pPr>
    </w:p>
    <w:p>
      <w:pPr>
        <w:pStyle w:val="Heading3"/>
        <w:numPr>
          <w:ilvl w:val="1"/>
          <w:numId w:val="54"/>
        </w:numPr>
        <w:tabs>
          <w:tab w:pos="1351" w:val="left" w:leader="none"/>
          <w:tab w:pos="1353" w:val="left" w:leader="none"/>
        </w:tabs>
        <w:spacing w:line="240" w:lineRule="auto" w:before="0" w:after="0"/>
        <w:ind w:left="1352" w:right="0" w:hanging="1135"/>
        <w:jc w:val="left"/>
      </w:pPr>
      <w:bookmarkStart w:name="1.5 [Deleted]" w:id="36"/>
      <w:bookmarkEnd w:id="36"/>
      <w:r>
        <w:rPr>
          <w:b w:val="0"/>
        </w:rPr>
      </w:r>
      <w:bookmarkStart w:name="_bookmark11" w:id="37"/>
      <w:bookmarkEnd w:id="37"/>
      <w:r>
        <w:rPr>
          <w:b w:val="0"/>
        </w:rPr>
      </w:r>
      <w:bookmarkStart w:name="_bookmark11" w:id="38"/>
      <w:bookmarkEnd w:id="38"/>
      <w:r>
        <w:rPr/>
        <w:t>[Deleted]</w:t>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1.6 [Deleted]" w:id="39"/>
      <w:bookmarkEnd w:id="39"/>
      <w:r>
        <w:rPr>
          <w:b w:val="0"/>
        </w:rPr>
      </w:r>
      <w:bookmarkStart w:name="_bookmark12" w:id="40"/>
      <w:bookmarkEnd w:id="40"/>
      <w:r>
        <w:rPr>
          <w:b w:val="0"/>
        </w:rPr>
      </w:r>
      <w:bookmarkStart w:name="_bookmark12" w:id="41"/>
      <w:bookmarkEnd w:id="41"/>
      <w:r>
        <w:rPr/>
        <w:t>[Deleted]</w:t>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1.7 Interpretation" w:id="42"/>
      <w:bookmarkEnd w:id="42"/>
      <w:r>
        <w:rPr>
          <w:b w:val="0"/>
        </w:rPr>
      </w:r>
      <w:bookmarkStart w:name="_bookmark13" w:id="43"/>
      <w:bookmarkEnd w:id="43"/>
      <w:r>
        <w:rPr>
          <w:b w:val="0"/>
        </w:rPr>
      </w:r>
      <w:bookmarkStart w:name="_bookmark13" w:id="44"/>
      <w:bookmarkEnd w:id="44"/>
      <w:r>
        <w:rPr/>
        <w:t>I</w:t>
      </w:r>
      <w:r>
        <w:rPr/>
        <w:t>nterpretation</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1.7.1 General" w:id="45"/>
      <w:bookmarkEnd w:id="45"/>
      <w:r>
        <w:rPr>
          <w:b w:val="0"/>
        </w:rPr>
      </w:r>
      <w:bookmarkStart w:name="_bookmark14" w:id="46"/>
      <w:bookmarkEnd w:id="46"/>
      <w:r>
        <w:rPr>
          <w:b w:val="0"/>
        </w:rPr>
      </w:r>
      <w:bookmarkStart w:name="_bookmark14" w:id="47"/>
      <w:bookmarkEnd w:id="47"/>
      <w:r>
        <w:rPr/>
        <w:t>General</w:t>
      </w:r>
    </w:p>
    <w:p>
      <w:pPr>
        <w:pStyle w:val="BodyText"/>
        <w:ind w:left="1352" w:firstLine="0"/>
        <w:jc w:val="left"/>
      </w:pPr>
      <w:r>
        <w:rPr/>
        <w:t>In the </w:t>
      </w:r>
      <w:r>
        <w:rPr>
          <w:i/>
        </w:rPr>
        <w:t>Rules</w:t>
      </w:r>
      <w:r>
        <w:rPr/>
        <w:t>, unless the context otherwise requires: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headings are for convenience only and do not affect the interpretation of</w:t>
      </w:r>
      <w:r>
        <w:rPr>
          <w:spacing w:val="10"/>
          <w:sz w:val="24"/>
        </w:rPr>
        <w:t> </w:t>
      </w:r>
      <w:r>
        <w:rPr>
          <w:sz w:val="24"/>
        </w:rPr>
        <w:t>the</w:t>
      </w:r>
    </w:p>
    <w:p>
      <w:pPr>
        <w:spacing w:before="0"/>
        <w:ind w:left="1919" w:right="0" w:firstLine="0"/>
        <w:jc w:val="left"/>
        <w:rPr>
          <w:sz w:val="24"/>
        </w:rPr>
      </w:pPr>
      <w:r>
        <w:rPr>
          <w:i/>
          <w:sz w:val="24"/>
        </w:rPr>
        <w:t>Rules</w:t>
      </w:r>
      <w:r>
        <w:rPr>
          <w:sz w:val="24"/>
        </w:rPr>
        <w:t>;</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words importing the singular include the plural and vice</w:t>
      </w:r>
      <w:r>
        <w:rPr>
          <w:spacing w:val="-13"/>
          <w:sz w:val="24"/>
        </w:rPr>
        <w:t> </w:t>
      </w:r>
      <w:r>
        <w:rPr>
          <w:sz w:val="24"/>
        </w:rPr>
        <w:t>versa;</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words importing a gender include any</w:t>
      </w:r>
      <w:r>
        <w:rPr>
          <w:spacing w:val="-1"/>
          <w:sz w:val="24"/>
        </w:rPr>
        <w:t> </w:t>
      </w:r>
      <w:r>
        <w:rPr>
          <w:sz w:val="24"/>
        </w:rPr>
        <w:t>gender;</w:t>
      </w:r>
    </w:p>
    <w:p>
      <w:pPr>
        <w:pStyle w:val="ListParagraph"/>
        <w:numPr>
          <w:ilvl w:val="3"/>
          <w:numId w:val="54"/>
        </w:numPr>
        <w:tabs>
          <w:tab w:pos="1919" w:val="left" w:leader="none"/>
        </w:tabs>
        <w:spacing w:line="240" w:lineRule="auto" w:before="120" w:after="0"/>
        <w:ind w:left="1919" w:right="416" w:hanging="567"/>
        <w:jc w:val="both"/>
        <w:rPr>
          <w:sz w:val="24"/>
        </w:rPr>
      </w:pPr>
      <w:r>
        <w:rPr>
          <w:sz w:val="24"/>
        </w:rPr>
        <w:t>when italicised, other parts of speech and grammatical forms of a word or phrase defined in the </w:t>
      </w:r>
      <w:r>
        <w:rPr>
          <w:i/>
          <w:sz w:val="24"/>
        </w:rPr>
        <w:t>Rules </w:t>
      </w:r>
      <w:r>
        <w:rPr>
          <w:sz w:val="24"/>
        </w:rPr>
        <w:t>have a corresponding</w:t>
      </w:r>
      <w:r>
        <w:rPr>
          <w:spacing w:val="-2"/>
          <w:sz w:val="24"/>
        </w:rPr>
        <w:t> </w:t>
      </w:r>
      <w:r>
        <w:rPr>
          <w:sz w:val="24"/>
        </w:rPr>
        <w:t>meaning;</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an expression importing a natural person includes any company, partnership, trust, joint venture, association, corporation or other body corporate and any government</w:t>
      </w:r>
      <w:r>
        <w:rPr>
          <w:spacing w:val="-2"/>
          <w:sz w:val="24"/>
        </w:rPr>
        <w:t> </w:t>
      </w:r>
      <w:r>
        <w:rPr>
          <w:sz w:val="24"/>
        </w:rPr>
        <w:t>agency;</w:t>
      </w:r>
    </w:p>
    <w:p>
      <w:pPr>
        <w:pStyle w:val="ListParagraph"/>
        <w:numPr>
          <w:ilvl w:val="3"/>
          <w:numId w:val="54"/>
        </w:numPr>
        <w:tabs>
          <w:tab w:pos="1920" w:val="left" w:leader="none"/>
        </w:tabs>
        <w:spacing w:line="240" w:lineRule="auto" w:before="120" w:after="0"/>
        <w:ind w:left="1919" w:right="0" w:hanging="568"/>
        <w:jc w:val="both"/>
        <w:rPr>
          <w:sz w:val="24"/>
        </w:rPr>
      </w:pPr>
      <w:r>
        <w:rPr>
          <w:sz w:val="24"/>
        </w:rPr>
        <w:t>a reference to any thing includes a part of that</w:t>
      </w:r>
      <w:r>
        <w:rPr>
          <w:spacing w:val="-3"/>
          <w:sz w:val="24"/>
        </w:rPr>
        <w:t> </w:t>
      </w:r>
      <w:r>
        <w:rPr>
          <w:sz w:val="24"/>
        </w:rPr>
        <w:t>thing;</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a reference to a chapter, condition, clause, schedule or part is to a chapter, condition, clause, schedule or part of the</w:t>
      </w:r>
      <w:r>
        <w:rPr>
          <w:spacing w:val="-3"/>
          <w:sz w:val="24"/>
        </w:rPr>
        <w:t> </w:t>
      </w:r>
      <w:r>
        <w:rPr>
          <w:i/>
          <w:sz w:val="24"/>
        </w:rPr>
        <w:t>Rules</w:t>
      </w:r>
      <w:r>
        <w:rPr>
          <w:sz w:val="24"/>
        </w:rPr>
        <w:t>;</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a reference to any statute, regulation, proclamation, order in council, ordinances or by-laws includes all statutes, regulations, proclamations, orders in council, ordinances and by-laws varying, consolidating, re- enacting, extending or replacing them and a reference to a statute includes all regulations, proclamations, orders in council, ordinances, by-laws and determinations issued under that</w:t>
      </w:r>
      <w:r>
        <w:rPr>
          <w:spacing w:val="-1"/>
          <w:sz w:val="24"/>
        </w:rPr>
        <w:t> </w:t>
      </w:r>
      <w:r>
        <w:rPr>
          <w:sz w:val="24"/>
        </w:rPr>
        <w:t>statute;</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a reference to a document or a provision of a document includes an amendment or supplement to, or replacement or novation of, that document or that provision of that</w:t>
      </w:r>
      <w:r>
        <w:rPr>
          <w:spacing w:val="-1"/>
          <w:sz w:val="24"/>
        </w:rPr>
        <w:t> </w:t>
      </w:r>
      <w:r>
        <w:rPr>
          <w:sz w:val="24"/>
        </w:rPr>
        <w:t>document;</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a reference to a person includes that person's executors, administrators, successors, substitutes (including, without limitation, persons taking by novation) and permitted</w:t>
      </w:r>
      <w:r>
        <w:rPr>
          <w:spacing w:val="-1"/>
          <w:sz w:val="24"/>
        </w:rPr>
        <w:t> </w:t>
      </w:r>
      <w:r>
        <w:rPr>
          <w:sz w:val="24"/>
        </w:rPr>
        <w:t>assigns;</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a period of</w:t>
      </w:r>
      <w:r>
        <w:rPr>
          <w:spacing w:val="-1"/>
          <w:sz w:val="24"/>
        </w:rPr>
        <w:t> </w:t>
      </w:r>
      <w:r>
        <w:rPr>
          <w:sz w:val="24"/>
        </w:rPr>
        <w:t>time:</w:t>
      </w:r>
    </w:p>
    <w:p>
      <w:pPr>
        <w:spacing w:after="0" w:line="240" w:lineRule="auto"/>
        <w:jc w:val="both"/>
        <w:rPr>
          <w:sz w:val="24"/>
        </w:rPr>
        <w:sectPr>
          <w:pgSz w:w="11910" w:h="16840"/>
          <w:pgMar w:header="686" w:footer="637" w:top="1320" w:bottom="820" w:left="1200" w:right="1000"/>
        </w:sectPr>
      </w:pPr>
    </w:p>
    <w:p>
      <w:pPr>
        <w:pStyle w:val="ListParagraph"/>
        <w:numPr>
          <w:ilvl w:val="4"/>
          <w:numId w:val="54"/>
        </w:numPr>
        <w:tabs>
          <w:tab w:pos="2486" w:val="left" w:leader="none"/>
        </w:tabs>
        <w:spacing w:line="240" w:lineRule="auto" w:before="83" w:after="0"/>
        <w:ind w:left="2486" w:right="415" w:hanging="567"/>
        <w:jc w:val="both"/>
        <w:rPr>
          <w:sz w:val="24"/>
        </w:rPr>
      </w:pPr>
      <w:r>
        <w:rPr>
          <w:sz w:val="24"/>
        </w:rPr>
        <w:t>which dates from a given </w:t>
      </w:r>
      <w:r>
        <w:rPr>
          <w:i/>
          <w:sz w:val="24"/>
        </w:rPr>
        <w:t>day </w:t>
      </w:r>
      <w:r>
        <w:rPr>
          <w:sz w:val="24"/>
        </w:rPr>
        <w:t>or the </w:t>
      </w:r>
      <w:r>
        <w:rPr>
          <w:i/>
          <w:sz w:val="24"/>
        </w:rPr>
        <w:t>day </w:t>
      </w:r>
      <w:r>
        <w:rPr>
          <w:sz w:val="24"/>
        </w:rPr>
        <w:t>of an act or event is to be calculated exclusive of that </w:t>
      </w:r>
      <w:r>
        <w:rPr>
          <w:i/>
          <w:sz w:val="24"/>
        </w:rPr>
        <w:t>day</w:t>
      </w:r>
      <w:r>
        <w:rPr>
          <w:sz w:val="24"/>
        </w:rPr>
        <w:t>;</w:t>
      </w:r>
      <w:r>
        <w:rPr>
          <w:spacing w:val="-1"/>
          <w:sz w:val="24"/>
        </w:rPr>
        <w:t> </w:t>
      </w:r>
      <w:r>
        <w:rPr>
          <w:sz w:val="24"/>
        </w:rPr>
        <w:t>or</w:t>
      </w:r>
    </w:p>
    <w:p>
      <w:pPr>
        <w:pStyle w:val="ListParagraph"/>
        <w:numPr>
          <w:ilvl w:val="4"/>
          <w:numId w:val="54"/>
        </w:numPr>
        <w:tabs>
          <w:tab w:pos="2486" w:val="left" w:leader="none"/>
        </w:tabs>
        <w:spacing w:line="240" w:lineRule="auto" w:before="120" w:after="0"/>
        <w:ind w:left="2486" w:right="415" w:hanging="567"/>
        <w:jc w:val="both"/>
        <w:rPr>
          <w:sz w:val="24"/>
        </w:rPr>
      </w:pPr>
      <w:r>
        <w:rPr>
          <w:sz w:val="24"/>
        </w:rPr>
        <w:t>which commences on a given </w:t>
      </w:r>
      <w:r>
        <w:rPr>
          <w:i/>
          <w:sz w:val="24"/>
        </w:rPr>
        <w:t>day </w:t>
      </w:r>
      <w:r>
        <w:rPr>
          <w:sz w:val="24"/>
        </w:rPr>
        <w:t>or the </w:t>
      </w:r>
      <w:r>
        <w:rPr>
          <w:i/>
          <w:sz w:val="24"/>
        </w:rPr>
        <w:t>day </w:t>
      </w:r>
      <w:r>
        <w:rPr>
          <w:sz w:val="24"/>
        </w:rPr>
        <w:t>of an act or event is to be calculated inclusive of that</w:t>
      </w:r>
      <w:r>
        <w:rPr>
          <w:spacing w:val="-1"/>
          <w:sz w:val="24"/>
        </w:rPr>
        <w:t> </w:t>
      </w:r>
      <w:r>
        <w:rPr>
          <w:i/>
          <w:sz w:val="24"/>
        </w:rPr>
        <w:t>day</w:t>
      </w:r>
      <w:r>
        <w:rPr>
          <w:sz w:val="24"/>
        </w:rPr>
        <w:t>;</w:t>
      </w:r>
    </w:p>
    <w:p>
      <w:pPr>
        <w:pStyle w:val="ListParagraph"/>
        <w:numPr>
          <w:ilvl w:val="3"/>
          <w:numId w:val="54"/>
        </w:numPr>
        <w:tabs>
          <w:tab w:pos="1919" w:val="left" w:leader="none"/>
        </w:tabs>
        <w:spacing w:line="240" w:lineRule="auto" w:before="120" w:after="0"/>
        <w:ind w:left="1918" w:right="0" w:hanging="567"/>
        <w:jc w:val="both"/>
        <w:rPr>
          <w:i/>
          <w:sz w:val="24"/>
        </w:rPr>
      </w:pPr>
      <w:r>
        <w:rPr>
          <w:sz w:val="24"/>
        </w:rPr>
        <w:t>an event which is required under the </w:t>
      </w:r>
      <w:r>
        <w:rPr>
          <w:i/>
          <w:sz w:val="24"/>
        </w:rPr>
        <w:t>Rules </w:t>
      </w:r>
      <w:r>
        <w:rPr>
          <w:sz w:val="24"/>
        </w:rPr>
        <w:t>to occur on or by a stipulated</w:t>
      </w:r>
      <w:r>
        <w:rPr>
          <w:spacing w:val="6"/>
          <w:sz w:val="24"/>
        </w:rPr>
        <w:t> </w:t>
      </w:r>
      <w:r>
        <w:rPr>
          <w:i/>
          <w:sz w:val="24"/>
        </w:rPr>
        <w:t>day</w:t>
      </w:r>
    </w:p>
    <w:p>
      <w:pPr>
        <w:spacing w:before="0"/>
        <w:ind w:left="1919" w:right="0" w:firstLine="0"/>
        <w:jc w:val="both"/>
        <w:rPr>
          <w:sz w:val="24"/>
        </w:rPr>
      </w:pPr>
      <w:r>
        <w:rPr>
          <w:sz w:val="24"/>
        </w:rPr>
        <w:t>which is not a </w:t>
      </w:r>
      <w:r>
        <w:rPr>
          <w:i/>
          <w:sz w:val="24"/>
        </w:rPr>
        <w:t>business day </w:t>
      </w:r>
      <w:r>
        <w:rPr>
          <w:sz w:val="24"/>
        </w:rPr>
        <w:t>may occur on or by the next </w:t>
      </w:r>
      <w:r>
        <w:rPr>
          <w:i/>
          <w:sz w:val="24"/>
        </w:rPr>
        <w:t>business day</w:t>
      </w:r>
      <w:r>
        <w:rPr>
          <w:sz w:val="24"/>
        </w:rPr>
        <w:t>; and</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the schedules to the </w:t>
      </w:r>
      <w:r>
        <w:rPr>
          <w:i/>
          <w:sz w:val="24"/>
        </w:rPr>
        <w:t>Rules </w:t>
      </w:r>
      <w:r>
        <w:rPr>
          <w:sz w:val="24"/>
        </w:rPr>
        <w:t>form part of the</w:t>
      </w:r>
      <w:r>
        <w:rPr>
          <w:spacing w:val="-3"/>
          <w:sz w:val="24"/>
        </w:rPr>
        <w:t> </w:t>
      </w:r>
      <w:r>
        <w:rPr>
          <w:i/>
          <w:sz w:val="24"/>
        </w:rPr>
        <w:t>Rules</w:t>
      </w:r>
      <w:r>
        <w:rPr>
          <w:sz w:val="24"/>
        </w:rPr>
        <w:t>.</w:t>
      </w:r>
    </w:p>
    <w:p>
      <w:pPr>
        <w:pStyle w:val="BodyText"/>
        <w:ind w:left="1352" w:firstLine="0"/>
      </w:pPr>
      <w:r>
        <w:rPr/>
        <w:t>It is not intended that any of the following provisions of Schedule 2 to</w:t>
      </w:r>
      <w:r>
        <w:rPr>
          <w:spacing w:val="51"/>
        </w:rPr>
        <w:t> </w:t>
      </w:r>
      <w:r>
        <w:rPr/>
        <w:t>the</w:t>
      </w:r>
    </w:p>
    <w:p>
      <w:pPr>
        <w:spacing w:before="0"/>
        <w:ind w:left="1352" w:right="0" w:firstLine="0"/>
        <w:jc w:val="both"/>
        <w:rPr>
          <w:sz w:val="24"/>
        </w:rPr>
      </w:pPr>
      <w:r>
        <w:rPr>
          <w:i/>
          <w:sz w:val="24"/>
        </w:rPr>
        <w:t>National Electricity Law </w:t>
      </w:r>
      <w:r>
        <w:rPr>
          <w:sz w:val="24"/>
        </w:rPr>
        <w:t>should apply to the </w:t>
      </w:r>
      <w:r>
        <w:rPr>
          <w:i/>
          <w:sz w:val="24"/>
        </w:rPr>
        <w:t>Rules</w:t>
      </w:r>
      <w:r>
        <w:rPr>
          <w:sz w:val="24"/>
        </w:rPr>
        <w:t>:</w:t>
      </w:r>
    </w:p>
    <w:p>
      <w:pPr>
        <w:pStyle w:val="BodyText"/>
        <w:ind w:left="1352" w:firstLine="0"/>
      </w:pPr>
      <w:r>
        <w:rPr/>
        <w:t>Clauses 2, 4, 9, 10, 11, 21, 28, 29, 30, 31AH, 35, 36, 37 and 38.</w:t>
      </w:r>
    </w:p>
    <w:p>
      <w:pPr>
        <w:pStyle w:val="BodyText"/>
        <w:ind w:left="1352" w:right="413" w:firstLine="0"/>
      </w:pPr>
      <w:r>
        <w:rPr/>
        <w:t>This exclusion is in addition to an exclusion that arises from other provisions of the </w:t>
      </w:r>
      <w:r>
        <w:rPr>
          <w:i/>
        </w:rPr>
        <w:t>Rules </w:t>
      </w:r>
      <w:r>
        <w:rPr/>
        <w:t>in which an intention is expressed, or from which an intention may be inferred, that a provision of the relevant Schedule is not to apply to the </w:t>
      </w:r>
      <w:r>
        <w:rPr>
          <w:i/>
        </w:rPr>
        <w:t>Rules</w:t>
      </w:r>
      <w:r>
        <w:rPr/>
        <w:t>.</w:t>
      </w:r>
    </w:p>
    <w:p>
      <w:pPr>
        <w:pStyle w:val="BodyText"/>
        <w:spacing w:before="10"/>
        <w:ind w:firstLine="0"/>
        <w:jc w:val="left"/>
        <w:rPr>
          <w:sz w:val="20"/>
        </w:rPr>
      </w:pPr>
    </w:p>
    <w:p>
      <w:pPr>
        <w:pStyle w:val="Heading4"/>
        <w:tabs>
          <w:tab w:pos="1351" w:val="left" w:leader="none"/>
        </w:tabs>
        <w:ind w:left="218" w:firstLine="0"/>
      </w:pPr>
      <w:bookmarkStart w:name="1.7.1A Inconsistency with National Measu" w:id="48"/>
      <w:bookmarkEnd w:id="48"/>
      <w:r>
        <w:rPr>
          <w:b w:val="0"/>
        </w:rPr>
      </w:r>
      <w:bookmarkStart w:name="_bookmark15" w:id="49"/>
      <w:bookmarkEnd w:id="49"/>
      <w:r>
        <w:rPr>
          <w:b w:val="0"/>
        </w:rPr>
      </w:r>
      <w:r>
        <w:rPr/>
        <w:t>1.7.1A</w:t>
        <w:tab/>
        <w:t>Inconsistency with National Measurement</w:t>
      </w:r>
      <w:r>
        <w:rPr>
          <w:spacing w:val="-3"/>
        </w:rPr>
        <w:t> </w:t>
      </w:r>
      <w:r>
        <w:rPr/>
        <w:t>Act</w:t>
      </w:r>
    </w:p>
    <w:p>
      <w:pPr>
        <w:spacing w:before="120"/>
        <w:ind w:left="1352" w:right="416" w:firstLine="0"/>
        <w:jc w:val="both"/>
        <w:rPr>
          <w:sz w:val="24"/>
        </w:rPr>
      </w:pPr>
      <w:r>
        <w:rPr>
          <w:sz w:val="24"/>
        </w:rPr>
        <w:t>If there is an inconsistency between the </w:t>
      </w:r>
      <w:r>
        <w:rPr>
          <w:i/>
          <w:sz w:val="24"/>
        </w:rPr>
        <w:t>Rules </w:t>
      </w:r>
      <w:r>
        <w:rPr>
          <w:sz w:val="24"/>
        </w:rPr>
        <w:t>and the </w:t>
      </w:r>
      <w:r>
        <w:rPr>
          <w:i/>
          <w:sz w:val="24"/>
        </w:rPr>
        <w:t>National Measurement Act</w:t>
      </w:r>
      <w:r>
        <w:rPr>
          <w:sz w:val="24"/>
        </w:rPr>
        <w:t>, the </w:t>
      </w:r>
      <w:r>
        <w:rPr>
          <w:i/>
          <w:sz w:val="24"/>
        </w:rPr>
        <w:t>National Measurement Act </w:t>
      </w:r>
      <w:r>
        <w:rPr>
          <w:sz w:val="24"/>
        </w:rPr>
        <w:t>prevails to the extent of the inconsistency.</w:t>
      </w:r>
    </w:p>
    <w:p>
      <w:pPr>
        <w:pStyle w:val="BodyText"/>
        <w:spacing w:before="10"/>
        <w:ind w:firstLine="0"/>
        <w:jc w:val="left"/>
        <w:rPr>
          <w:sz w:val="20"/>
        </w:rPr>
      </w:pPr>
    </w:p>
    <w:p>
      <w:pPr>
        <w:pStyle w:val="Heading4"/>
        <w:numPr>
          <w:ilvl w:val="2"/>
          <w:numId w:val="56"/>
        </w:numPr>
        <w:tabs>
          <w:tab w:pos="753" w:val="left" w:leader="none"/>
          <w:tab w:pos="1351" w:val="left" w:leader="none"/>
        </w:tabs>
        <w:spacing w:line="240" w:lineRule="auto" w:before="0" w:after="0"/>
        <w:ind w:left="752" w:right="0" w:hanging="535"/>
        <w:jc w:val="left"/>
      </w:pPr>
      <w:bookmarkStart w:name="1.7.1B Instruments" w:id="50"/>
      <w:bookmarkEnd w:id="50"/>
      <w:r>
        <w:rPr>
          <w:b w:val="0"/>
        </w:rPr>
      </w:r>
      <w:bookmarkStart w:name="_bookmark16" w:id="51"/>
      <w:bookmarkEnd w:id="51"/>
      <w:r>
        <w:rPr>
          <w:b w:val="0"/>
        </w:rPr>
      </w:r>
      <w:bookmarkStart w:name="_bookmark16" w:id="52"/>
      <w:bookmarkEnd w:id="52"/>
      <w:r>
        <w:rPr/>
        <w:t>B</w:t>
      </w:r>
      <w:r>
        <w:rPr/>
        <w:tab/>
        <w:t>Instruments</w:t>
      </w:r>
    </w:p>
    <w:p>
      <w:pPr>
        <w:pStyle w:val="ListParagraph"/>
        <w:numPr>
          <w:ilvl w:val="3"/>
          <w:numId w:val="56"/>
        </w:numPr>
        <w:tabs>
          <w:tab w:pos="1919" w:val="left" w:leader="none"/>
        </w:tabs>
        <w:spacing w:line="240" w:lineRule="auto" w:before="120" w:after="0"/>
        <w:ind w:left="1918" w:right="0" w:hanging="567"/>
        <w:jc w:val="both"/>
        <w:rPr>
          <w:sz w:val="24"/>
        </w:rPr>
      </w:pPr>
      <w:r>
        <w:rPr>
          <w:sz w:val="24"/>
        </w:rPr>
        <w:t>In an instrument made under the</w:t>
      </w:r>
      <w:r>
        <w:rPr>
          <w:spacing w:val="-1"/>
          <w:sz w:val="24"/>
        </w:rPr>
        <w:t> </w:t>
      </w:r>
      <w:r>
        <w:rPr>
          <w:i/>
          <w:sz w:val="24"/>
        </w:rPr>
        <w:t>Rules</w:t>
      </w:r>
      <w:r>
        <w:rPr>
          <w:sz w:val="24"/>
        </w:rPr>
        <w:t>:</w:t>
      </w:r>
    </w:p>
    <w:p>
      <w:pPr>
        <w:pStyle w:val="ListParagraph"/>
        <w:numPr>
          <w:ilvl w:val="4"/>
          <w:numId w:val="56"/>
        </w:numPr>
        <w:tabs>
          <w:tab w:pos="2486" w:val="left" w:leader="none"/>
        </w:tabs>
        <w:spacing w:line="240" w:lineRule="auto" w:before="120" w:after="0"/>
        <w:ind w:left="2486" w:right="416" w:hanging="567"/>
        <w:jc w:val="both"/>
        <w:rPr>
          <w:sz w:val="24"/>
        </w:rPr>
      </w:pPr>
      <w:r>
        <w:rPr>
          <w:sz w:val="24"/>
        </w:rPr>
        <w:t>a reference to the "National Electricity Law" or "Law" must be regarded as a reference to the National Electricity (NT) Law;</w:t>
      </w:r>
      <w:r>
        <w:rPr>
          <w:spacing w:val="-8"/>
          <w:sz w:val="24"/>
        </w:rPr>
        <w:t> </w:t>
      </w:r>
      <w:r>
        <w:rPr>
          <w:sz w:val="24"/>
        </w:rPr>
        <w:t>and</w:t>
      </w:r>
    </w:p>
    <w:p>
      <w:pPr>
        <w:pStyle w:val="ListParagraph"/>
        <w:numPr>
          <w:ilvl w:val="4"/>
          <w:numId w:val="56"/>
        </w:numPr>
        <w:tabs>
          <w:tab w:pos="2486" w:val="left" w:leader="none"/>
        </w:tabs>
        <w:spacing w:line="240" w:lineRule="auto" w:before="120" w:after="0"/>
        <w:ind w:left="2486" w:right="416" w:hanging="567"/>
        <w:jc w:val="both"/>
        <w:rPr>
          <w:sz w:val="24"/>
        </w:rPr>
      </w:pPr>
      <w:r>
        <w:rPr>
          <w:sz w:val="24"/>
        </w:rPr>
        <w:t>a reference to the "National Electricity Rules" or "Rules" must be regarded as a reference to the National Electricity Rules as defined in section 2(1) of the National Electricity (NT)</w:t>
      </w:r>
      <w:r>
        <w:rPr>
          <w:spacing w:val="-6"/>
          <w:sz w:val="24"/>
        </w:rPr>
        <w:t> </w:t>
      </w:r>
      <w:r>
        <w:rPr>
          <w:sz w:val="24"/>
        </w:rPr>
        <w:t>Law.</w:t>
      </w:r>
    </w:p>
    <w:p>
      <w:pPr>
        <w:pStyle w:val="ListParagraph"/>
        <w:numPr>
          <w:ilvl w:val="3"/>
          <w:numId w:val="56"/>
        </w:numPr>
        <w:tabs>
          <w:tab w:pos="1919" w:val="left" w:leader="none"/>
        </w:tabs>
        <w:spacing w:line="240" w:lineRule="auto" w:before="120" w:after="0"/>
        <w:ind w:left="1918" w:right="0" w:hanging="567"/>
        <w:jc w:val="both"/>
        <w:rPr>
          <w:sz w:val="24"/>
        </w:rPr>
      </w:pPr>
      <w:r>
        <w:rPr>
          <w:sz w:val="24"/>
        </w:rPr>
        <w:t>Paragraph (a) applies despite any provision to the contrary in an</w:t>
      </w:r>
      <w:r>
        <w:rPr>
          <w:spacing w:val="-5"/>
          <w:sz w:val="24"/>
        </w:rPr>
        <w:t> </w:t>
      </w:r>
      <w:r>
        <w:rPr>
          <w:sz w:val="24"/>
        </w:rPr>
        <w:t>instrument.</w:t>
      </w:r>
    </w:p>
    <w:p>
      <w:pPr>
        <w:pStyle w:val="ListParagraph"/>
        <w:numPr>
          <w:ilvl w:val="3"/>
          <w:numId w:val="56"/>
        </w:numPr>
        <w:tabs>
          <w:tab w:pos="1919" w:val="left" w:leader="none"/>
        </w:tabs>
        <w:spacing w:line="240" w:lineRule="auto" w:before="120" w:after="0"/>
        <w:ind w:left="1919" w:right="414" w:hanging="567"/>
        <w:jc w:val="both"/>
        <w:rPr>
          <w:sz w:val="24"/>
        </w:rPr>
      </w:pPr>
      <w:r>
        <w:rPr>
          <w:sz w:val="24"/>
        </w:rPr>
        <w:t>For the purposes of the application in this jurisdiction of an instrument made under the</w:t>
      </w:r>
      <w:r>
        <w:rPr>
          <w:spacing w:val="-1"/>
          <w:sz w:val="24"/>
        </w:rPr>
        <w:t> </w:t>
      </w:r>
      <w:r>
        <w:rPr>
          <w:i/>
          <w:sz w:val="24"/>
        </w:rPr>
        <w:t>Rules</w:t>
      </w:r>
      <w:r>
        <w:rPr>
          <w:sz w:val="24"/>
        </w:rPr>
        <w:t>:</w:t>
      </w:r>
    </w:p>
    <w:p>
      <w:pPr>
        <w:pStyle w:val="ListParagraph"/>
        <w:numPr>
          <w:ilvl w:val="4"/>
          <w:numId w:val="56"/>
        </w:numPr>
        <w:tabs>
          <w:tab w:pos="2486" w:val="left" w:leader="none"/>
        </w:tabs>
        <w:spacing w:line="240" w:lineRule="auto" w:before="120" w:after="0"/>
        <w:ind w:left="2486" w:right="414" w:hanging="567"/>
        <w:jc w:val="both"/>
        <w:rPr>
          <w:sz w:val="24"/>
        </w:rPr>
      </w:pPr>
      <w:r>
        <w:rPr>
          <w:sz w:val="24"/>
        </w:rPr>
        <w:t>the reference to "the national electricity system" in the national electricity objective stated in section 7 of the Law must be regarded as a reference to one or more, or all, of the local electricity systems, as the case</w:t>
      </w:r>
      <w:r>
        <w:rPr>
          <w:spacing w:val="-2"/>
          <w:sz w:val="24"/>
        </w:rPr>
        <w:t> </w:t>
      </w:r>
      <w:r>
        <w:rPr>
          <w:sz w:val="24"/>
        </w:rPr>
        <w:t>requires;</w:t>
      </w:r>
    </w:p>
    <w:p>
      <w:pPr>
        <w:pStyle w:val="ListParagraph"/>
        <w:numPr>
          <w:ilvl w:val="4"/>
          <w:numId w:val="56"/>
        </w:numPr>
        <w:tabs>
          <w:tab w:pos="2486" w:val="left" w:leader="none"/>
        </w:tabs>
        <w:spacing w:line="240" w:lineRule="auto" w:before="120" w:after="0"/>
        <w:ind w:left="2486" w:right="416" w:hanging="567"/>
        <w:jc w:val="both"/>
        <w:rPr>
          <w:sz w:val="24"/>
        </w:rPr>
      </w:pPr>
      <w:r>
        <w:rPr>
          <w:sz w:val="24"/>
        </w:rPr>
        <w:t>if the context or subject matter indicates or requires, a reference in the instrument</w:t>
      </w:r>
      <w:r>
        <w:rPr>
          <w:spacing w:val="-1"/>
          <w:sz w:val="24"/>
        </w:rPr>
        <w:t> </w:t>
      </w:r>
      <w:r>
        <w:rPr>
          <w:sz w:val="24"/>
        </w:rPr>
        <w:t>to:</w:t>
      </w:r>
    </w:p>
    <w:p>
      <w:pPr>
        <w:pStyle w:val="ListParagraph"/>
        <w:numPr>
          <w:ilvl w:val="5"/>
          <w:numId w:val="56"/>
        </w:numPr>
        <w:tabs>
          <w:tab w:pos="3053" w:val="left" w:leader="none"/>
        </w:tabs>
        <w:spacing w:line="240" w:lineRule="auto" w:before="120" w:after="0"/>
        <w:ind w:left="3053" w:right="415" w:hanging="567"/>
        <w:jc w:val="both"/>
        <w:rPr>
          <w:sz w:val="24"/>
        </w:rPr>
      </w:pPr>
      <w:r>
        <w:rPr>
          <w:sz w:val="24"/>
        </w:rPr>
        <w:t>"regulatory control period" must be regarded as including a reference to the </w:t>
      </w:r>
      <w:r>
        <w:rPr>
          <w:i/>
          <w:sz w:val="24"/>
        </w:rPr>
        <w:t>2009-14 NT regulatory control period </w:t>
      </w:r>
      <w:r>
        <w:rPr>
          <w:sz w:val="24"/>
        </w:rPr>
        <w:t>and the </w:t>
      </w:r>
      <w:r>
        <w:rPr>
          <w:i/>
          <w:sz w:val="24"/>
        </w:rPr>
        <w:t>2014-19 NT regulatory control period</w:t>
      </w:r>
      <w:r>
        <w:rPr>
          <w:sz w:val="24"/>
        </w:rPr>
        <w:t>;</w:t>
      </w:r>
      <w:r>
        <w:rPr>
          <w:spacing w:val="-3"/>
          <w:sz w:val="24"/>
        </w:rPr>
        <w:t> </w:t>
      </w:r>
      <w:r>
        <w:rPr>
          <w:sz w:val="24"/>
        </w:rPr>
        <w:t>and</w:t>
      </w:r>
    </w:p>
    <w:p>
      <w:pPr>
        <w:pStyle w:val="ListParagraph"/>
        <w:numPr>
          <w:ilvl w:val="5"/>
          <w:numId w:val="56"/>
        </w:numPr>
        <w:tabs>
          <w:tab w:pos="3054" w:val="left" w:leader="none"/>
        </w:tabs>
        <w:spacing w:line="240" w:lineRule="auto" w:before="120" w:after="0"/>
        <w:ind w:left="3053" w:right="416" w:hanging="567"/>
        <w:jc w:val="both"/>
        <w:rPr>
          <w:sz w:val="24"/>
        </w:rPr>
      </w:pPr>
      <w:r>
        <w:rPr>
          <w:sz w:val="24"/>
        </w:rPr>
        <w:t>"distribution determination" must be regarded as including a reference to the 2009 NT Network Price Determination and the </w:t>
      </w:r>
      <w:r>
        <w:rPr>
          <w:i/>
          <w:sz w:val="24"/>
        </w:rPr>
        <w:t>2014 NT Network Price Determination</w:t>
      </w:r>
      <w:r>
        <w:rPr>
          <w:sz w:val="24"/>
        </w:rPr>
        <w:t>;</w:t>
      </w:r>
      <w:r>
        <w:rPr>
          <w:spacing w:val="-2"/>
          <w:sz w:val="24"/>
        </w:rPr>
        <w:t> </w:t>
      </w:r>
      <w:r>
        <w:rPr>
          <w:sz w:val="24"/>
        </w:rPr>
        <w:t>and</w:t>
      </w:r>
    </w:p>
    <w:p>
      <w:pPr>
        <w:pStyle w:val="ListParagraph"/>
        <w:numPr>
          <w:ilvl w:val="4"/>
          <w:numId w:val="56"/>
        </w:numPr>
        <w:tabs>
          <w:tab w:pos="2486" w:val="left" w:leader="none"/>
        </w:tabs>
        <w:spacing w:line="240" w:lineRule="auto" w:before="120" w:after="0"/>
        <w:ind w:left="2486" w:right="413" w:hanging="567"/>
        <w:jc w:val="both"/>
        <w:rPr>
          <w:sz w:val="24"/>
        </w:rPr>
      </w:pPr>
      <w:r>
        <w:rPr>
          <w:sz w:val="24"/>
        </w:rPr>
        <w:t>the </w:t>
      </w:r>
      <w:r>
        <w:rPr>
          <w:i/>
          <w:sz w:val="24"/>
        </w:rPr>
        <w:t>AER </w:t>
      </w:r>
      <w:r>
        <w:rPr>
          <w:sz w:val="24"/>
        </w:rPr>
        <w:t>must interpret the instrument consistently with the objects of the application Act of this jurisdiction and the modifications made to the National Electricity Law and the </w:t>
      </w:r>
      <w:r>
        <w:rPr>
          <w:i/>
          <w:sz w:val="24"/>
        </w:rPr>
        <w:t>Rules </w:t>
      </w:r>
      <w:r>
        <w:rPr>
          <w:sz w:val="24"/>
        </w:rPr>
        <w:t>by or under that</w:t>
      </w:r>
      <w:r>
        <w:rPr>
          <w:spacing w:val="-6"/>
          <w:sz w:val="24"/>
        </w:rPr>
        <w:t> </w:t>
      </w:r>
      <w:r>
        <w:rPr>
          <w:sz w:val="24"/>
        </w:rPr>
        <w:t>Act.</w:t>
      </w:r>
    </w:p>
    <w:p>
      <w:pPr>
        <w:spacing w:after="0" w:line="240" w:lineRule="auto"/>
        <w:jc w:val="both"/>
        <w:rPr>
          <w:sz w:val="24"/>
        </w:rPr>
        <w:sectPr>
          <w:pgSz w:w="11910" w:h="16840"/>
          <w:pgMar w:header="686" w:footer="637" w:top="1320" w:bottom="820" w:left="1200" w:right="1000"/>
        </w:sectPr>
      </w:pPr>
    </w:p>
    <w:p>
      <w:pPr>
        <w:pStyle w:val="ListParagraph"/>
        <w:numPr>
          <w:ilvl w:val="3"/>
          <w:numId w:val="56"/>
        </w:numPr>
        <w:tabs>
          <w:tab w:pos="1919" w:val="left" w:leader="none"/>
        </w:tabs>
        <w:spacing w:line="240" w:lineRule="auto" w:before="83" w:after="0"/>
        <w:ind w:left="1918" w:right="0" w:hanging="567"/>
        <w:jc w:val="both"/>
        <w:rPr>
          <w:sz w:val="24"/>
        </w:rPr>
      </w:pPr>
      <w:r>
        <w:rPr>
          <w:sz w:val="24"/>
        </w:rPr>
        <w:t>In this</w:t>
      </w:r>
      <w:r>
        <w:rPr>
          <w:spacing w:val="-1"/>
          <w:sz w:val="24"/>
        </w:rPr>
        <w:t> </w:t>
      </w:r>
      <w:r>
        <w:rPr>
          <w:sz w:val="24"/>
        </w:rPr>
        <w:t>clause:</w:t>
      </w:r>
    </w:p>
    <w:p>
      <w:pPr>
        <w:spacing w:before="120"/>
        <w:ind w:left="1919" w:right="414" w:firstLine="0"/>
        <w:jc w:val="both"/>
        <w:rPr>
          <w:sz w:val="24"/>
        </w:rPr>
      </w:pPr>
      <w:r>
        <w:rPr>
          <w:b/>
          <w:sz w:val="24"/>
        </w:rPr>
        <w:t>2009 NT Network Price Determination </w:t>
      </w:r>
      <w:r>
        <w:rPr>
          <w:sz w:val="24"/>
        </w:rPr>
        <w:t>means the "Final Determination – Networks Pricing: 2009 Regulatory Reset" made by the </w:t>
      </w:r>
      <w:r>
        <w:rPr>
          <w:i/>
          <w:sz w:val="24"/>
        </w:rPr>
        <w:t>Utilities </w:t>
      </w:r>
      <w:r>
        <w:rPr>
          <w:i/>
          <w:sz w:val="24"/>
        </w:rPr>
        <w:t>Commission </w:t>
      </w:r>
      <w:r>
        <w:rPr>
          <w:sz w:val="24"/>
        </w:rPr>
        <w:t>under the </w:t>
      </w:r>
      <w:r>
        <w:rPr>
          <w:i/>
          <w:sz w:val="24"/>
        </w:rPr>
        <w:t>Utilities Commission Act (NT)</w:t>
      </w:r>
      <w:r>
        <w:rPr>
          <w:sz w:val="24"/>
        </w:rPr>
        <w:t>, </w:t>
      </w:r>
      <w:r>
        <w:rPr>
          <w:i/>
          <w:sz w:val="24"/>
        </w:rPr>
        <w:t>Electricity Reform </w:t>
      </w:r>
      <w:r>
        <w:rPr>
          <w:i/>
          <w:sz w:val="24"/>
        </w:rPr>
        <w:t>Act (NT</w:t>
      </w:r>
      <w:r>
        <w:rPr>
          <w:sz w:val="24"/>
        </w:rPr>
        <w:t>) and Chapter 6 of the </w:t>
      </w:r>
      <w:r>
        <w:rPr>
          <w:i/>
          <w:sz w:val="24"/>
        </w:rPr>
        <w:t>NT Network Access Code </w:t>
      </w:r>
      <w:r>
        <w:rPr>
          <w:sz w:val="24"/>
        </w:rPr>
        <w:t>that applied from 1 July 2009 to 30 June</w:t>
      </w:r>
      <w:r>
        <w:rPr>
          <w:spacing w:val="-3"/>
          <w:sz w:val="24"/>
        </w:rPr>
        <w:t> </w:t>
      </w:r>
      <w:r>
        <w:rPr>
          <w:sz w:val="24"/>
        </w:rPr>
        <w:t>2014.</w:t>
      </w:r>
    </w:p>
    <w:p>
      <w:pPr>
        <w:pStyle w:val="BodyText"/>
        <w:spacing w:before="10"/>
        <w:ind w:firstLine="0"/>
        <w:jc w:val="left"/>
        <w:rPr>
          <w:sz w:val="20"/>
        </w:rPr>
      </w:pPr>
    </w:p>
    <w:p>
      <w:pPr>
        <w:pStyle w:val="Heading3"/>
        <w:numPr>
          <w:ilvl w:val="1"/>
          <w:numId w:val="54"/>
        </w:numPr>
        <w:tabs>
          <w:tab w:pos="1351" w:val="left" w:leader="none"/>
          <w:tab w:pos="1353" w:val="left" w:leader="none"/>
        </w:tabs>
        <w:spacing w:line="240" w:lineRule="auto" w:before="0" w:after="0"/>
        <w:ind w:left="1352" w:right="0" w:hanging="1135"/>
        <w:jc w:val="left"/>
      </w:pPr>
      <w:bookmarkStart w:name="1.8 Notices" w:id="53"/>
      <w:bookmarkEnd w:id="53"/>
      <w:r>
        <w:rPr>
          <w:b w:val="0"/>
        </w:rPr>
      </w:r>
      <w:bookmarkStart w:name="_bookmark17" w:id="54"/>
      <w:bookmarkEnd w:id="54"/>
      <w:r>
        <w:rPr>
          <w:b w:val="0"/>
        </w:rPr>
      </w:r>
      <w:bookmarkStart w:name="_bookmark17" w:id="55"/>
      <w:bookmarkEnd w:id="55"/>
      <w:r>
        <w:rPr/>
        <w:t>Noti</w:t>
      </w:r>
      <w:r>
        <w:rPr/>
        <w:t>ces</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1.8.1 Service of notices under the Rules" w:id="56"/>
      <w:bookmarkEnd w:id="56"/>
      <w:r>
        <w:rPr>
          <w:b w:val="0"/>
        </w:rPr>
      </w:r>
      <w:bookmarkStart w:name="_bookmark18" w:id="57"/>
      <w:bookmarkEnd w:id="57"/>
      <w:r>
        <w:rPr>
          <w:b w:val="0"/>
        </w:rPr>
      </w:r>
      <w:bookmarkStart w:name="_bookmark18" w:id="58"/>
      <w:bookmarkEnd w:id="58"/>
      <w:r>
        <w:rPr/>
        <w:t>Service</w:t>
      </w:r>
      <w:r>
        <w:rPr/>
        <w:t> of notices under the</w:t>
      </w:r>
      <w:r>
        <w:rPr>
          <w:spacing w:val="-2"/>
        </w:rPr>
        <w:t> </w:t>
      </w:r>
      <w:r>
        <w:rPr/>
        <w:t>Rules</w:t>
      </w:r>
    </w:p>
    <w:p>
      <w:pPr>
        <w:pStyle w:val="BodyText"/>
        <w:ind w:left="1352" w:firstLine="0"/>
      </w:pPr>
      <w:r>
        <w:rPr/>
        <w:t>A notice is properly given under the </w:t>
      </w:r>
      <w:r>
        <w:rPr>
          <w:i/>
        </w:rPr>
        <w:t>Rules </w:t>
      </w:r>
      <w:r>
        <w:rPr/>
        <w:t>to a person if:</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it is personally</w:t>
      </w:r>
      <w:r>
        <w:rPr>
          <w:spacing w:val="-1"/>
          <w:sz w:val="24"/>
        </w:rPr>
        <w:t> </w:t>
      </w:r>
      <w:r>
        <w:rPr>
          <w:sz w:val="24"/>
        </w:rPr>
        <w:t>served;</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a letter containing the notice is prepaid and posted to the person at an address (if any) supplied by the person to the sender for service of notices or, where the person is a </w:t>
      </w:r>
      <w:r>
        <w:rPr>
          <w:i/>
          <w:sz w:val="24"/>
        </w:rPr>
        <w:t>Registered Participant</w:t>
      </w:r>
      <w:r>
        <w:rPr>
          <w:sz w:val="24"/>
        </w:rPr>
        <w:t>, an address shown for that person in the register kept by the </w:t>
      </w:r>
      <w:r>
        <w:rPr>
          <w:i/>
          <w:sz w:val="24"/>
        </w:rPr>
        <w:t>Utilities Commission </w:t>
      </w:r>
      <w:r>
        <w:rPr>
          <w:sz w:val="24"/>
        </w:rPr>
        <w:t>under section 37 of the </w:t>
      </w:r>
      <w:r>
        <w:rPr>
          <w:i/>
          <w:sz w:val="24"/>
        </w:rPr>
        <w:t>Electricity Reform Act</w:t>
      </w:r>
      <w:r>
        <w:rPr>
          <w:i/>
          <w:spacing w:val="-1"/>
          <w:sz w:val="24"/>
        </w:rPr>
        <w:t> </w:t>
      </w:r>
      <w:r>
        <w:rPr>
          <w:sz w:val="24"/>
        </w:rPr>
        <w:t>(NT);</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it is sent to the person by facsimile or electronic mail to a number</w:t>
      </w:r>
      <w:r>
        <w:rPr>
          <w:spacing w:val="19"/>
          <w:sz w:val="24"/>
        </w:rPr>
        <w:t> </w:t>
      </w:r>
      <w:r>
        <w:rPr>
          <w:sz w:val="24"/>
        </w:rPr>
        <w:t>or reference which corresponds with the address referred to in clause 1.8.1(b); or</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the person receives the</w:t>
      </w:r>
      <w:r>
        <w:rPr>
          <w:spacing w:val="-1"/>
          <w:sz w:val="24"/>
        </w:rPr>
        <w:t> </w:t>
      </w:r>
      <w:r>
        <w:rPr>
          <w:sz w:val="24"/>
        </w:rPr>
        <w:t>notice.</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8.2 Time of service" w:id="59"/>
      <w:bookmarkEnd w:id="59"/>
      <w:r>
        <w:rPr>
          <w:b w:val="0"/>
        </w:rPr>
      </w:r>
      <w:bookmarkStart w:name="_bookmark19" w:id="60"/>
      <w:bookmarkEnd w:id="60"/>
      <w:r>
        <w:rPr>
          <w:b w:val="0"/>
        </w:rPr>
      </w:r>
      <w:bookmarkStart w:name="_bookmark19" w:id="61"/>
      <w:bookmarkEnd w:id="61"/>
      <w:r>
        <w:rPr/>
        <w:t>Time</w:t>
      </w:r>
      <w:r>
        <w:rPr/>
        <w:t> of</w:t>
      </w:r>
      <w:r>
        <w:rPr>
          <w:spacing w:val="-1"/>
        </w:rPr>
        <w:t> </w:t>
      </w:r>
      <w:r>
        <w:rPr/>
        <w:t>service</w:t>
      </w:r>
    </w:p>
    <w:p>
      <w:pPr>
        <w:pStyle w:val="BodyText"/>
        <w:ind w:left="1352" w:firstLine="0"/>
      </w:pPr>
      <w:r>
        <w:rPr/>
        <w:t>A notice is treated as being given to a person by the sender:</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where sent by post in accordance with clause 1.8.1(b) to an address in the central business district of a capital city of Australia, on the second </w:t>
      </w:r>
      <w:r>
        <w:rPr>
          <w:i/>
          <w:sz w:val="24"/>
        </w:rPr>
        <w:t>business </w:t>
      </w:r>
      <w:r>
        <w:rPr>
          <w:i/>
          <w:sz w:val="24"/>
        </w:rPr>
        <w:t>day </w:t>
      </w:r>
      <w:r>
        <w:rPr>
          <w:sz w:val="24"/>
        </w:rPr>
        <w:t>after the </w:t>
      </w:r>
      <w:r>
        <w:rPr>
          <w:i/>
          <w:sz w:val="24"/>
        </w:rPr>
        <w:t>day </w:t>
      </w:r>
      <w:r>
        <w:rPr>
          <w:sz w:val="24"/>
        </w:rPr>
        <w:t>on which it is</w:t>
      </w:r>
      <w:r>
        <w:rPr>
          <w:spacing w:val="-3"/>
          <w:sz w:val="24"/>
        </w:rPr>
        <w:t> </w:t>
      </w:r>
      <w:r>
        <w:rPr>
          <w:sz w:val="24"/>
        </w:rPr>
        <w:t>posted;</w:t>
      </w:r>
    </w:p>
    <w:p>
      <w:pPr>
        <w:pStyle w:val="ListParagraph"/>
        <w:numPr>
          <w:ilvl w:val="3"/>
          <w:numId w:val="54"/>
        </w:numPr>
        <w:tabs>
          <w:tab w:pos="1919" w:val="left" w:leader="none"/>
        </w:tabs>
        <w:spacing w:line="240" w:lineRule="auto" w:before="120" w:after="0"/>
        <w:ind w:left="1919" w:right="416" w:hanging="567"/>
        <w:jc w:val="both"/>
        <w:rPr>
          <w:sz w:val="24"/>
        </w:rPr>
      </w:pPr>
      <w:r>
        <w:rPr>
          <w:sz w:val="24"/>
        </w:rPr>
        <w:t>where sent by post in accordance with clause 1.8.1(b) to any other address, on the third </w:t>
      </w:r>
      <w:r>
        <w:rPr>
          <w:i/>
          <w:sz w:val="24"/>
        </w:rPr>
        <w:t>business day </w:t>
      </w:r>
      <w:r>
        <w:rPr>
          <w:sz w:val="24"/>
        </w:rPr>
        <w:t>after the </w:t>
      </w:r>
      <w:r>
        <w:rPr>
          <w:i/>
          <w:sz w:val="24"/>
        </w:rPr>
        <w:t>day </w:t>
      </w:r>
      <w:r>
        <w:rPr>
          <w:sz w:val="24"/>
        </w:rPr>
        <w:t>on which it is</w:t>
      </w:r>
      <w:r>
        <w:rPr>
          <w:spacing w:val="-3"/>
          <w:sz w:val="24"/>
        </w:rPr>
        <w:t> </w:t>
      </w:r>
      <w:r>
        <w:rPr>
          <w:sz w:val="24"/>
        </w:rPr>
        <w:t>posted;</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where sent by facsimile in accordance with clause 1.8.1(c) and a complete and correct transmission report is</w:t>
      </w:r>
      <w:r>
        <w:rPr>
          <w:spacing w:val="-1"/>
          <w:sz w:val="24"/>
        </w:rPr>
        <w:t> </w:t>
      </w:r>
      <w:r>
        <w:rPr>
          <w:sz w:val="24"/>
        </w:rPr>
        <w:t>received:</w:t>
      </w:r>
    </w:p>
    <w:p>
      <w:pPr>
        <w:pStyle w:val="ListParagraph"/>
        <w:numPr>
          <w:ilvl w:val="4"/>
          <w:numId w:val="54"/>
        </w:numPr>
        <w:tabs>
          <w:tab w:pos="2486" w:val="left" w:leader="none"/>
        </w:tabs>
        <w:spacing w:line="240" w:lineRule="auto" w:before="120" w:after="0"/>
        <w:ind w:left="2486" w:right="415" w:hanging="567"/>
        <w:jc w:val="both"/>
        <w:rPr>
          <w:sz w:val="24"/>
        </w:rPr>
      </w:pPr>
      <w:r>
        <w:rPr>
          <w:sz w:val="24"/>
        </w:rPr>
        <w:t>where the notice is of the type in relation to which the addressee is obliged under the </w:t>
      </w:r>
      <w:r>
        <w:rPr>
          <w:i/>
          <w:sz w:val="24"/>
        </w:rPr>
        <w:t>Rules </w:t>
      </w:r>
      <w:r>
        <w:rPr>
          <w:sz w:val="24"/>
        </w:rPr>
        <w:t>to monitor the receipt by facsimile outside of, as well as during, business hours, on the </w:t>
      </w:r>
      <w:r>
        <w:rPr>
          <w:i/>
          <w:sz w:val="24"/>
        </w:rPr>
        <w:t>day </w:t>
      </w:r>
      <w:r>
        <w:rPr>
          <w:sz w:val="24"/>
        </w:rPr>
        <w:t>of transmission;</w:t>
      </w:r>
      <w:r>
        <w:rPr>
          <w:spacing w:val="-5"/>
          <w:sz w:val="24"/>
        </w:rPr>
        <w:t> </w:t>
      </w:r>
      <w:r>
        <w:rPr>
          <w:sz w:val="24"/>
        </w:rPr>
        <w:t>and</w:t>
      </w:r>
    </w:p>
    <w:p>
      <w:pPr>
        <w:pStyle w:val="ListParagraph"/>
        <w:numPr>
          <w:ilvl w:val="4"/>
          <w:numId w:val="54"/>
        </w:numPr>
        <w:tabs>
          <w:tab w:pos="2486" w:val="left" w:leader="none"/>
        </w:tabs>
        <w:spacing w:line="240" w:lineRule="auto" w:before="120" w:after="0"/>
        <w:ind w:left="2486" w:right="414" w:hanging="567"/>
        <w:jc w:val="both"/>
        <w:rPr>
          <w:sz w:val="24"/>
        </w:rPr>
      </w:pPr>
      <w:r>
        <w:rPr>
          <w:sz w:val="24"/>
        </w:rPr>
        <w:t>in all other cases, on the </w:t>
      </w:r>
      <w:r>
        <w:rPr>
          <w:i/>
          <w:sz w:val="24"/>
        </w:rPr>
        <w:t>day </w:t>
      </w:r>
      <w:r>
        <w:rPr>
          <w:sz w:val="24"/>
        </w:rPr>
        <w:t>of transmission if a </w:t>
      </w:r>
      <w:r>
        <w:rPr>
          <w:i/>
          <w:sz w:val="24"/>
        </w:rPr>
        <w:t>business day </w:t>
      </w:r>
      <w:r>
        <w:rPr>
          <w:sz w:val="24"/>
        </w:rPr>
        <w:t>or, if the transmission is on a </w:t>
      </w:r>
      <w:r>
        <w:rPr>
          <w:i/>
          <w:sz w:val="24"/>
        </w:rPr>
        <w:t>day </w:t>
      </w:r>
      <w:r>
        <w:rPr>
          <w:sz w:val="24"/>
        </w:rPr>
        <w:t>which is not a </w:t>
      </w:r>
      <w:r>
        <w:rPr>
          <w:i/>
          <w:sz w:val="24"/>
        </w:rPr>
        <w:t>business day </w:t>
      </w:r>
      <w:r>
        <w:rPr>
          <w:sz w:val="24"/>
        </w:rPr>
        <w:t>or is after 4.00 pm (addressee's time), at 9.00 am on the following </w:t>
      </w:r>
      <w:r>
        <w:rPr>
          <w:i/>
          <w:sz w:val="24"/>
        </w:rPr>
        <w:t>business</w:t>
      </w:r>
      <w:r>
        <w:rPr>
          <w:i/>
          <w:spacing w:val="-1"/>
          <w:sz w:val="24"/>
        </w:rPr>
        <w:t> </w:t>
      </w:r>
      <w:r>
        <w:rPr>
          <w:i/>
          <w:sz w:val="24"/>
        </w:rPr>
        <w:t>day</w:t>
      </w:r>
      <w:r>
        <w:rPr>
          <w:sz w:val="24"/>
        </w:rPr>
        <w:t>;</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where sent by electronic mail in accordance with clause</w:t>
      </w:r>
      <w:r>
        <w:rPr>
          <w:spacing w:val="-7"/>
          <w:sz w:val="24"/>
        </w:rPr>
        <w:t> </w:t>
      </w:r>
      <w:r>
        <w:rPr>
          <w:sz w:val="24"/>
        </w:rPr>
        <w:t>1.8.1(c):</w:t>
      </w:r>
    </w:p>
    <w:p>
      <w:pPr>
        <w:pStyle w:val="ListParagraph"/>
        <w:numPr>
          <w:ilvl w:val="4"/>
          <w:numId w:val="54"/>
        </w:numPr>
        <w:tabs>
          <w:tab w:pos="2486" w:val="left" w:leader="none"/>
        </w:tabs>
        <w:spacing w:line="240" w:lineRule="auto" w:before="120" w:after="0"/>
        <w:ind w:left="2486" w:right="415" w:hanging="567"/>
        <w:jc w:val="both"/>
        <w:rPr>
          <w:sz w:val="24"/>
        </w:rPr>
      </w:pPr>
      <w:r>
        <w:rPr>
          <w:sz w:val="24"/>
        </w:rPr>
        <w:t>where the notice is of a type in relation to which the addressee is obliged under the </w:t>
      </w:r>
      <w:r>
        <w:rPr>
          <w:i/>
          <w:sz w:val="24"/>
        </w:rPr>
        <w:t>Rules </w:t>
      </w:r>
      <w:r>
        <w:rPr>
          <w:sz w:val="24"/>
        </w:rPr>
        <w:t>to monitor receipt by electronic mail outside of, as well as during, business hours, on the </w:t>
      </w:r>
      <w:r>
        <w:rPr>
          <w:i/>
          <w:sz w:val="24"/>
        </w:rPr>
        <w:t>day </w:t>
      </w:r>
      <w:r>
        <w:rPr>
          <w:sz w:val="24"/>
        </w:rPr>
        <w:t>when the notice is recorded as having been first received at the electronic mail destination;</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54"/>
        </w:numPr>
        <w:tabs>
          <w:tab w:pos="2486" w:val="left" w:leader="none"/>
        </w:tabs>
        <w:spacing w:line="240" w:lineRule="auto" w:before="83" w:after="0"/>
        <w:ind w:left="2486" w:right="415" w:hanging="567"/>
        <w:jc w:val="both"/>
        <w:rPr>
          <w:sz w:val="24"/>
        </w:rPr>
      </w:pPr>
      <w:r>
        <w:rPr>
          <w:sz w:val="24"/>
        </w:rPr>
        <w:t>in all other cases, on the </w:t>
      </w:r>
      <w:r>
        <w:rPr>
          <w:i/>
          <w:sz w:val="24"/>
        </w:rPr>
        <w:t>day </w:t>
      </w:r>
      <w:r>
        <w:rPr>
          <w:sz w:val="24"/>
        </w:rPr>
        <w:t>when the notice is recorded as having been first received at the electronic mail destination if a </w:t>
      </w:r>
      <w:r>
        <w:rPr>
          <w:i/>
          <w:sz w:val="24"/>
        </w:rPr>
        <w:t>business day </w:t>
      </w:r>
      <w:r>
        <w:rPr>
          <w:sz w:val="24"/>
        </w:rPr>
        <w:t>or, if that time is after 4.00 pm (addressee's time) or the </w:t>
      </w:r>
      <w:r>
        <w:rPr>
          <w:i/>
          <w:sz w:val="24"/>
        </w:rPr>
        <w:t>day </w:t>
      </w:r>
      <w:r>
        <w:rPr>
          <w:sz w:val="24"/>
        </w:rPr>
        <w:t>is not a </w:t>
      </w:r>
      <w:r>
        <w:rPr>
          <w:i/>
          <w:sz w:val="24"/>
        </w:rPr>
        <w:t>business day</w:t>
      </w:r>
      <w:r>
        <w:rPr>
          <w:sz w:val="24"/>
        </w:rPr>
        <w:t>, at 9.00 am on the following </w:t>
      </w:r>
      <w:r>
        <w:rPr>
          <w:i/>
          <w:sz w:val="24"/>
        </w:rPr>
        <w:t>business day</w:t>
      </w:r>
      <w:r>
        <w:rPr>
          <w:sz w:val="24"/>
        </w:rPr>
        <w:t>;</w:t>
      </w:r>
      <w:r>
        <w:rPr>
          <w:spacing w:val="-2"/>
          <w:sz w:val="24"/>
        </w:rPr>
        <w:t> </w:t>
      </w:r>
      <w:r>
        <w:rPr>
          <w:sz w:val="24"/>
        </w:rPr>
        <w:t>or</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in any other case, when the person actually receives the</w:t>
      </w:r>
      <w:r>
        <w:rPr>
          <w:spacing w:val="-3"/>
          <w:sz w:val="24"/>
        </w:rPr>
        <w:t> </w:t>
      </w:r>
      <w:r>
        <w:rPr>
          <w:sz w:val="24"/>
        </w:rPr>
        <w:t>notice.</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8.3 Counting of days" w:id="62"/>
      <w:bookmarkEnd w:id="62"/>
      <w:r>
        <w:rPr>
          <w:b w:val="0"/>
        </w:rPr>
      </w:r>
      <w:bookmarkStart w:name="_bookmark20" w:id="63"/>
      <w:bookmarkEnd w:id="63"/>
      <w:r>
        <w:rPr>
          <w:b w:val="0"/>
        </w:rPr>
      </w:r>
      <w:bookmarkStart w:name="_bookmark20" w:id="64"/>
      <w:bookmarkEnd w:id="64"/>
      <w:r>
        <w:rPr/>
        <w:t>Countin</w:t>
      </w:r>
      <w:r>
        <w:rPr/>
        <w:t>g of</w:t>
      </w:r>
      <w:r>
        <w:rPr>
          <w:spacing w:val="-1"/>
        </w:rPr>
        <w:t> </w:t>
      </w:r>
      <w:r>
        <w:rPr/>
        <w:t>days</w:t>
      </w:r>
    </w:p>
    <w:p>
      <w:pPr>
        <w:pStyle w:val="BodyText"/>
        <w:ind w:left="1352" w:right="415" w:firstLine="0"/>
      </w:pPr>
      <w:r>
        <w:rPr/>
        <w:t>Where a specified period (including, without limitation, a particular number of </w:t>
      </w:r>
      <w:r>
        <w:rPr>
          <w:i/>
        </w:rPr>
        <w:t>days</w:t>
      </w:r>
      <w:r>
        <w:rPr/>
        <w:t>) must elapse or expire from or after the giving of a notice before an action may be taken neither the </w:t>
      </w:r>
      <w:r>
        <w:rPr>
          <w:i/>
        </w:rPr>
        <w:t>day </w:t>
      </w:r>
      <w:r>
        <w:rPr/>
        <w:t>on which the notice is given nor the </w:t>
      </w:r>
      <w:r>
        <w:rPr>
          <w:i/>
        </w:rPr>
        <w:t>day </w:t>
      </w:r>
      <w:r>
        <w:rPr/>
        <w:t>on which the action is to be taken may be counted in reckoning the</w:t>
      </w:r>
      <w:r>
        <w:rPr>
          <w:spacing w:val="-2"/>
        </w:rPr>
        <w:t> </w:t>
      </w:r>
      <w:r>
        <w:rPr/>
        <w:t>period.</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1.8.4 Reference to addressee" w:id="65"/>
      <w:bookmarkEnd w:id="65"/>
      <w:r>
        <w:rPr>
          <w:b w:val="0"/>
        </w:rPr>
      </w:r>
      <w:bookmarkStart w:name="_bookmark21" w:id="66"/>
      <w:bookmarkEnd w:id="66"/>
      <w:r>
        <w:rPr>
          <w:b w:val="0"/>
        </w:rPr>
      </w:r>
      <w:bookmarkStart w:name="_bookmark21" w:id="67"/>
      <w:bookmarkEnd w:id="67"/>
      <w:r>
        <w:rPr/>
        <w:t>Refe</w:t>
      </w:r>
      <w:r>
        <w:rPr/>
        <w:t>rence to</w:t>
      </w:r>
      <w:r>
        <w:rPr>
          <w:spacing w:val="-3"/>
        </w:rPr>
        <w:t> </w:t>
      </w:r>
      <w:r>
        <w:rPr/>
        <w:t>addressee</w:t>
      </w:r>
    </w:p>
    <w:p>
      <w:pPr>
        <w:pStyle w:val="BodyText"/>
        <w:ind w:left="1352" w:right="415" w:firstLine="0"/>
      </w:pPr>
      <w:r>
        <w:rPr/>
        <w:t>In this rule 1.8, a reference to an addressee includes a reference to an addressee's officers, agents, or employees or any person reasonably believed by the sender to be an officer, agent or employee of the addressee.</w:t>
      </w:r>
    </w:p>
    <w:p>
      <w:pPr>
        <w:pStyle w:val="BodyText"/>
        <w:spacing w:before="10"/>
        <w:ind w:firstLine="0"/>
        <w:jc w:val="left"/>
        <w:rPr>
          <w:sz w:val="20"/>
        </w:rPr>
      </w:pPr>
    </w:p>
    <w:p>
      <w:pPr>
        <w:pStyle w:val="Heading3"/>
        <w:numPr>
          <w:ilvl w:val="1"/>
          <w:numId w:val="54"/>
        </w:numPr>
        <w:tabs>
          <w:tab w:pos="1351" w:val="left" w:leader="none"/>
          <w:tab w:pos="1353" w:val="left" w:leader="none"/>
        </w:tabs>
        <w:spacing w:line="240" w:lineRule="auto" w:before="0" w:after="0"/>
        <w:ind w:left="1352" w:right="0" w:hanging="1135"/>
        <w:jc w:val="left"/>
      </w:pPr>
      <w:bookmarkStart w:name="1.9 Retention of Records and Documents" w:id="68"/>
      <w:bookmarkEnd w:id="68"/>
      <w:r>
        <w:rPr>
          <w:b w:val="0"/>
        </w:rPr>
      </w:r>
      <w:bookmarkStart w:name="_bookmark22" w:id="69"/>
      <w:bookmarkEnd w:id="69"/>
      <w:r>
        <w:rPr>
          <w:b w:val="0"/>
        </w:rPr>
      </w:r>
      <w:bookmarkStart w:name="_bookmark22" w:id="70"/>
      <w:bookmarkEnd w:id="70"/>
      <w:r>
        <w:rPr/>
        <w:t>Retentio</w:t>
      </w:r>
      <w:r>
        <w:rPr/>
        <w:t>n of Records and</w:t>
      </w:r>
      <w:r>
        <w:rPr>
          <w:spacing w:val="-5"/>
        </w:rPr>
        <w:t> </w:t>
      </w:r>
      <w:r>
        <w:rPr/>
        <w:t>Documents</w:t>
      </w:r>
    </w:p>
    <w:p>
      <w:pPr>
        <w:pStyle w:val="BodyText"/>
        <w:ind w:left="1352" w:right="417" w:firstLine="0"/>
      </w:pPr>
      <w:r>
        <w:rPr/>
        <w:t>Unless otherwise specified in the </w:t>
      </w:r>
      <w:r>
        <w:rPr>
          <w:i/>
        </w:rPr>
        <w:t>Rules</w:t>
      </w:r>
      <w:r>
        <w:rPr/>
        <w:t>, all records and documents prepared for or in connection with the </w:t>
      </w:r>
      <w:r>
        <w:rPr>
          <w:i/>
        </w:rPr>
        <w:t>Rules </w:t>
      </w:r>
      <w:r>
        <w:rPr/>
        <w:t>must be retained for a period of at least 7 years.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clause is classified as a civil penalty provision under the National Electricity (South Australia) Regulations. (See clause 6(1) and Schedule 1 of the National Electricity (South Australia)</w:t>
      </w:r>
      <w:r>
        <w:rPr>
          <w:spacing w:val="-2"/>
          <w:sz w:val="20"/>
        </w:rPr>
        <w:t> </w:t>
      </w:r>
      <w:r>
        <w:rPr>
          <w:sz w:val="20"/>
        </w:rPr>
        <w:t>Regulations.)</w:t>
      </w:r>
    </w:p>
    <w:p>
      <w:pPr>
        <w:pStyle w:val="BodyText"/>
        <w:spacing w:before="10"/>
        <w:ind w:firstLine="0"/>
        <w:jc w:val="left"/>
        <w:rPr>
          <w:sz w:val="20"/>
        </w:rPr>
      </w:pPr>
    </w:p>
    <w:p>
      <w:pPr>
        <w:pStyle w:val="Heading3"/>
        <w:numPr>
          <w:ilvl w:val="1"/>
          <w:numId w:val="57"/>
        </w:numPr>
        <w:tabs>
          <w:tab w:pos="581" w:val="left" w:leader="none"/>
          <w:tab w:pos="1351" w:val="left" w:leader="none"/>
        </w:tabs>
        <w:spacing w:line="240" w:lineRule="auto" w:before="0" w:after="0"/>
        <w:ind w:left="580" w:right="0" w:hanging="363"/>
        <w:jc w:val="left"/>
      </w:pPr>
      <w:bookmarkStart w:name="1.9A NTESMO’s costs in connection with t" w:id="71"/>
      <w:bookmarkEnd w:id="71"/>
      <w:r>
        <w:rPr>
          <w:b w:val="0"/>
        </w:rPr>
      </w:r>
      <w:bookmarkStart w:name="_bookmark23" w:id="72"/>
      <w:bookmarkEnd w:id="72"/>
      <w:r>
        <w:rPr>
          <w:b w:val="0"/>
        </w:rPr>
      </w:r>
      <w:bookmarkStart w:name="_bookmark23" w:id="73"/>
      <w:bookmarkEnd w:id="73"/>
      <w:r>
        <w:rPr/>
        <w:t>A</w:t>
      </w:r>
      <w:r>
        <w:rPr/>
        <w:tab/>
        <w:t>NTESMO’s costs in connection with these</w:t>
      </w:r>
      <w:r>
        <w:rPr>
          <w:spacing w:val="-6"/>
        </w:rPr>
        <w:t> </w:t>
      </w:r>
      <w:r>
        <w:rPr/>
        <w:t>Rules</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Costs for </w:t>
      </w:r>
      <w:r>
        <w:rPr>
          <w:i/>
          <w:sz w:val="20"/>
        </w:rPr>
        <w:t>NTESMO </w:t>
      </w:r>
      <w:r>
        <w:rPr>
          <w:sz w:val="20"/>
        </w:rPr>
        <w:t>are to be considered as part of the progressive application of the Rules in this jurisdiction.</w:t>
      </w:r>
    </w:p>
    <w:p>
      <w:pPr>
        <w:pStyle w:val="BodyText"/>
        <w:ind w:left="1352" w:right="413" w:firstLine="0"/>
      </w:pPr>
      <w:r>
        <w:rPr/>
        <w:t>Where, for any provision of these </w:t>
      </w:r>
      <w:r>
        <w:rPr>
          <w:i/>
        </w:rPr>
        <w:t>Rules</w:t>
      </w:r>
      <w:r>
        <w:rPr/>
        <w:t>, a corporate entity is both a </w:t>
      </w:r>
      <w:r>
        <w:rPr>
          <w:i/>
        </w:rPr>
        <w:t>Network </w:t>
      </w:r>
      <w:r>
        <w:rPr>
          <w:i/>
        </w:rPr>
        <w:t>Service Provider </w:t>
      </w:r>
      <w:r>
        <w:rPr/>
        <w:t>and </w:t>
      </w:r>
      <w:r>
        <w:rPr>
          <w:i/>
        </w:rPr>
        <w:t>NTESMO</w:t>
      </w:r>
      <w:r>
        <w:rPr/>
        <w:t>, any costs incurred by that corporate entity in complying with any requirements imposed on </w:t>
      </w:r>
      <w:r>
        <w:rPr>
          <w:i/>
        </w:rPr>
        <w:t>NTESMO </w:t>
      </w:r>
      <w:r>
        <w:rPr/>
        <w:t>under a provision where this clause applies are not to be recovered by that corporate entity as a </w:t>
      </w:r>
      <w:r>
        <w:rPr>
          <w:i/>
        </w:rPr>
        <w:t>Network </w:t>
      </w:r>
      <w:r>
        <w:rPr>
          <w:i/>
        </w:rPr>
        <w:t>Service Provider </w:t>
      </w:r>
      <w:r>
        <w:rPr/>
        <w:t>under Chapter 6.</w:t>
      </w:r>
    </w:p>
    <w:p>
      <w:pPr>
        <w:pStyle w:val="BodyText"/>
        <w:spacing w:before="10"/>
        <w:ind w:firstLine="0"/>
        <w:jc w:val="left"/>
        <w:rPr>
          <w:sz w:val="20"/>
        </w:rPr>
      </w:pPr>
    </w:p>
    <w:p>
      <w:pPr>
        <w:pStyle w:val="Heading3"/>
        <w:numPr>
          <w:ilvl w:val="1"/>
          <w:numId w:val="57"/>
        </w:numPr>
        <w:tabs>
          <w:tab w:pos="1351" w:val="left" w:leader="none"/>
          <w:tab w:pos="1353" w:val="left" w:leader="none"/>
        </w:tabs>
        <w:spacing w:line="240" w:lineRule="auto" w:before="0" w:after="0"/>
        <w:ind w:left="1352" w:right="0" w:hanging="1135"/>
        <w:jc w:val="left"/>
      </w:pPr>
      <w:bookmarkStart w:name="1.10 [Deleted]" w:id="74"/>
      <w:bookmarkEnd w:id="74"/>
      <w:r>
        <w:rPr>
          <w:b w:val="0"/>
        </w:rPr>
      </w:r>
      <w:bookmarkStart w:name="_bookmark24" w:id="75"/>
      <w:bookmarkEnd w:id="75"/>
      <w:r>
        <w:rPr>
          <w:b w:val="0"/>
        </w:rPr>
      </w:r>
      <w:bookmarkStart w:name="_bookmark24" w:id="76"/>
      <w:bookmarkEnd w:id="76"/>
      <w:r>
        <w:rPr/>
        <w:t>[Deleted]</w:t>
      </w:r>
    </w:p>
    <w:p>
      <w:pPr>
        <w:pStyle w:val="Heading3"/>
        <w:numPr>
          <w:ilvl w:val="1"/>
          <w:numId w:val="57"/>
        </w:numPr>
        <w:tabs>
          <w:tab w:pos="1351" w:val="left" w:leader="none"/>
          <w:tab w:pos="1353" w:val="left" w:leader="none"/>
        </w:tabs>
        <w:spacing w:line="240" w:lineRule="auto" w:before="240" w:after="0"/>
        <w:ind w:left="1352" w:right="0" w:hanging="1135"/>
        <w:jc w:val="left"/>
      </w:pPr>
      <w:bookmarkStart w:name="1.11 AEMO Rule Funds" w:id="77"/>
      <w:bookmarkEnd w:id="77"/>
      <w:r>
        <w:rPr>
          <w:b w:val="0"/>
        </w:rPr>
      </w:r>
      <w:bookmarkStart w:name="_bookmark25" w:id="78"/>
      <w:bookmarkEnd w:id="78"/>
      <w:r>
        <w:rPr>
          <w:b w:val="0"/>
        </w:rPr>
      </w:r>
      <w:bookmarkStart w:name="_bookmark25" w:id="79"/>
      <w:bookmarkEnd w:id="79"/>
      <w:r>
        <w:rPr/>
        <w:t>AEM</w:t>
      </w:r>
      <w:r>
        <w:rPr/>
        <w:t>O Rule</w:t>
      </w:r>
      <w:r>
        <w:rPr>
          <w:spacing w:val="-2"/>
        </w:rPr>
        <w:t> </w:t>
      </w:r>
      <w:r>
        <w:rPr/>
        <w:t>Funds</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w:t>
      </w:r>
      <w:r>
        <w:rPr>
          <w:sz w:val="20"/>
        </w:rPr>
        <w:t>.</w:t>
      </w:r>
    </w:p>
    <w:p>
      <w:pPr>
        <w:pStyle w:val="ListParagraph"/>
        <w:numPr>
          <w:ilvl w:val="2"/>
          <w:numId w:val="57"/>
        </w:numPr>
        <w:tabs>
          <w:tab w:pos="1918" w:val="left" w:leader="none"/>
          <w:tab w:pos="1919" w:val="left" w:leader="none"/>
        </w:tabs>
        <w:spacing w:line="240" w:lineRule="auto" w:before="120" w:after="0"/>
        <w:ind w:left="1918" w:right="0" w:hanging="567"/>
        <w:jc w:val="left"/>
        <w:rPr>
          <w:sz w:val="24"/>
        </w:rPr>
      </w:pPr>
      <w:r>
        <w:rPr>
          <w:i/>
          <w:sz w:val="24"/>
        </w:rPr>
        <w:t>AEMO </w:t>
      </w:r>
      <w:r>
        <w:rPr>
          <w:sz w:val="24"/>
        </w:rPr>
        <w:t>must continue to maintain, in the books of the</w:t>
      </w:r>
      <w:r>
        <w:rPr>
          <w:spacing w:val="-1"/>
          <w:sz w:val="24"/>
        </w:rPr>
        <w:t> </w:t>
      </w:r>
      <w:r>
        <w:rPr>
          <w:sz w:val="24"/>
        </w:rPr>
        <w:t>corporation:</w:t>
      </w:r>
    </w:p>
    <w:p>
      <w:pPr>
        <w:pStyle w:val="ListParagraph"/>
        <w:numPr>
          <w:ilvl w:val="3"/>
          <w:numId w:val="57"/>
        </w:numPr>
        <w:tabs>
          <w:tab w:pos="2485" w:val="left" w:leader="none"/>
          <w:tab w:pos="2486" w:val="left" w:leader="none"/>
        </w:tabs>
        <w:spacing w:line="240" w:lineRule="auto" w:before="120" w:after="0"/>
        <w:ind w:left="2485" w:right="0" w:hanging="567"/>
        <w:jc w:val="left"/>
        <w:rPr>
          <w:sz w:val="24"/>
        </w:rPr>
      </w:pPr>
      <w:r>
        <w:rPr>
          <w:sz w:val="24"/>
        </w:rPr>
        <w:t>the registration and administration</w:t>
      </w:r>
      <w:r>
        <w:rPr>
          <w:spacing w:val="-1"/>
          <w:sz w:val="24"/>
        </w:rPr>
        <w:t> </w:t>
      </w:r>
      <w:r>
        <w:rPr>
          <w:sz w:val="24"/>
        </w:rPr>
        <w:t>fund;</w:t>
      </w:r>
    </w:p>
    <w:p>
      <w:pPr>
        <w:pStyle w:val="ListParagraph"/>
        <w:numPr>
          <w:ilvl w:val="3"/>
          <w:numId w:val="57"/>
        </w:numPr>
        <w:tabs>
          <w:tab w:pos="2485" w:val="left" w:leader="none"/>
          <w:tab w:pos="2486" w:val="left" w:leader="none"/>
        </w:tabs>
        <w:spacing w:line="240" w:lineRule="auto" w:before="120" w:after="0"/>
        <w:ind w:left="2485" w:right="0" w:hanging="567"/>
        <w:jc w:val="left"/>
        <w:rPr>
          <w:sz w:val="24"/>
        </w:rPr>
      </w:pPr>
      <w:r>
        <w:rPr>
          <w:sz w:val="24"/>
        </w:rPr>
        <w:t>the security deposit fund;</w:t>
      </w:r>
      <w:r>
        <w:rPr>
          <w:spacing w:val="-3"/>
          <w:sz w:val="24"/>
        </w:rPr>
        <w:t> </w:t>
      </w:r>
      <w:r>
        <w:rPr>
          <w:sz w:val="24"/>
        </w:rPr>
        <w:t>and</w:t>
      </w:r>
    </w:p>
    <w:p>
      <w:pPr>
        <w:pStyle w:val="ListParagraph"/>
        <w:numPr>
          <w:ilvl w:val="3"/>
          <w:numId w:val="57"/>
        </w:numPr>
        <w:tabs>
          <w:tab w:pos="2485" w:val="left" w:leader="none"/>
          <w:tab w:pos="2486" w:val="left" w:leader="none"/>
        </w:tabs>
        <w:spacing w:line="240" w:lineRule="auto" w:before="120" w:after="0"/>
        <w:ind w:left="2485" w:right="0" w:hanging="567"/>
        <w:jc w:val="left"/>
        <w:rPr>
          <w:i/>
          <w:sz w:val="24"/>
        </w:rPr>
      </w:pPr>
      <w:r>
        <w:rPr>
          <w:sz w:val="24"/>
        </w:rPr>
        <w:t>any other fund which the </w:t>
      </w:r>
      <w:r>
        <w:rPr>
          <w:i/>
          <w:sz w:val="24"/>
        </w:rPr>
        <w:t>Rules </w:t>
      </w:r>
      <w:r>
        <w:rPr>
          <w:sz w:val="24"/>
        </w:rPr>
        <w:t>provide will be maintained in</w:t>
      </w:r>
      <w:r>
        <w:rPr>
          <w:spacing w:val="40"/>
          <w:sz w:val="24"/>
        </w:rPr>
        <w:t> </w:t>
      </w:r>
      <w:r>
        <w:rPr>
          <w:i/>
          <w:sz w:val="24"/>
        </w:rPr>
        <w:t>AEMO's</w:t>
      </w:r>
    </w:p>
    <w:p>
      <w:pPr>
        <w:pStyle w:val="BodyText"/>
        <w:spacing w:before="0"/>
        <w:ind w:left="2486" w:firstLine="0"/>
        <w:jc w:val="left"/>
      </w:pPr>
      <w:r>
        <w:rPr/>
        <w:t>books,</w:t>
      </w:r>
    </w:p>
    <w:p>
      <w:pPr>
        <w:spacing w:after="0"/>
        <w:jc w:val="left"/>
        <w:sectPr>
          <w:pgSz w:w="11910" w:h="16840"/>
          <w:pgMar w:header="686" w:footer="637" w:top="1320" w:bottom="820" w:left="1200" w:right="1000"/>
        </w:sectPr>
      </w:pPr>
    </w:p>
    <w:p>
      <w:pPr>
        <w:spacing w:before="83"/>
        <w:ind w:left="1919" w:right="0" w:firstLine="0"/>
        <w:jc w:val="both"/>
        <w:rPr>
          <w:sz w:val="24"/>
        </w:rPr>
      </w:pPr>
      <w:r>
        <w:rPr>
          <w:sz w:val="24"/>
        </w:rPr>
        <w:t>(each a "</w:t>
      </w:r>
      <w:r>
        <w:rPr>
          <w:i/>
          <w:sz w:val="24"/>
        </w:rPr>
        <w:t>Rule fund</w:t>
      </w:r>
      <w:r>
        <w:rPr>
          <w:sz w:val="24"/>
        </w:rPr>
        <w:t>" ).</w:t>
      </w:r>
    </w:p>
    <w:p>
      <w:pPr>
        <w:pStyle w:val="ListParagraph"/>
        <w:numPr>
          <w:ilvl w:val="2"/>
          <w:numId w:val="57"/>
        </w:numPr>
        <w:tabs>
          <w:tab w:pos="1919" w:val="left" w:leader="none"/>
        </w:tabs>
        <w:spacing w:line="240" w:lineRule="auto" w:before="120" w:after="0"/>
        <w:ind w:left="1918" w:right="0" w:hanging="567"/>
        <w:jc w:val="both"/>
        <w:rPr>
          <w:sz w:val="24"/>
        </w:rPr>
      </w:pPr>
      <w:r>
        <w:rPr>
          <w:i/>
          <w:sz w:val="24"/>
        </w:rPr>
        <w:t>AEMO </w:t>
      </w:r>
      <w:r>
        <w:rPr>
          <w:sz w:val="24"/>
        </w:rPr>
        <w:t>must ensure that there is paid into each </w:t>
      </w:r>
      <w:r>
        <w:rPr>
          <w:i/>
          <w:sz w:val="24"/>
        </w:rPr>
        <w:t>Rule</w:t>
      </w:r>
      <w:r>
        <w:rPr>
          <w:i/>
          <w:spacing w:val="-2"/>
          <w:sz w:val="24"/>
        </w:rPr>
        <w:t> </w:t>
      </w:r>
      <w:r>
        <w:rPr>
          <w:i/>
          <w:sz w:val="24"/>
        </w:rPr>
        <w:t>fund</w:t>
      </w:r>
      <w:r>
        <w:rPr>
          <w:sz w:val="24"/>
        </w:rPr>
        <w:t>:</w:t>
      </w:r>
    </w:p>
    <w:p>
      <w:pPr>
        <w:pStyle w:val="ListParagraph"/>
        <w:numPr>
          <w:ilvl w:val="3"/>
          <w:numId w:val="57"/>
        </w:numPr>
        <w:tabs>
          <w:tab w:pos="2486" w:val="left" w:leader="none"/>
        </w:tabs>
        <w:spacing w:line="240" w:lineRule="auto" w:before="120" w:after="0"/>
        <w:ind w:left="2486" w:right="414" w:hanging="567"/>
        <w:jc w:val="both"/>
        <w:rPr>
          <w:sz w:val="24"/>
        </w:rPr>
      </w:pPr>
      <w:r>
        <w:rPr>
          <w:sz w:val="24"/>
        </w:rPr>
        <w:t>in the case of the registration and administration fund, all amounts </w:t>
      </w:r>
      <w:r>
        <w:rPr>
          <w:spacing w:val="-6"/>
          <w:sz w:val="24"/>
        </w:rPr>
        <w:t>of </w:t>
      </w:r>
      <w:r>
        <w:rPr>
          <w:i/>
          <w:sz w:val="24"/>
        </w:rPr>
        <w:t>Participant fees </w:t>
      </w:r>
      <w:r>
        <w:rPr>
          <w:sz w:val="24"/>
        </w:rPr>
        <w:t>and </w:t>
      </w:r>
      <w:r>
        <w:rPr>
          <w:i/>
          <w:sz w:val="24"/>
        </w:rPr>
        <w:t>auction expense fees </w:t>
      </w:r>
      <w:r>
        <w:rPr>
          <w:sz w:val="24"/>
        </w:rPr>
        <w:t>and any other amounts payable under the </w:t>
      </w:r>
      <w:r>
        <w:rPr>
          <w:i/>
          <w:sz w:val="24"/>
        </w:rPr>
        <w:t>auction rules </w:t>
      </w:r>
      <w:r>
        <w:rPr>
          <w:sz w:val="24"/>
        </w:rPr>
        <w:t>or </w:t>
      </w:r>
      <w:r>
        <w:rPr>
          <w:i/>
          <w:sz w:val="24"/>
        </w:rPr>
        <w:t>SRD agreements </w:t>
      </w:r>
      <w:r>
        <w:rPr>
          <w:sz w:val="24"/>
        </w:rPr>
        <w:t>as </w:t>
      </w:r>
      <w:r>
        <w:rPr>
          <w:i/>
          <w:sz w:val="24"/>
        </w:rPr>
        <w:t>AEMO </w:t>
      </w:r>
      <w:r>
        <w:rPr>
          <w:sz w:val="24"/>
        </w:rPr>
        <w:t>considers necessary from time to time other than those which are to be paid into another </w:t>
      </w:r>
      <w:r>
        <w:rPr>
          <w:i/>
          <w:sz w:val="24"/>
        </w:rPr>
        <w:t>Rule</w:t>
      </w:r>
      <w:r>
        <w:rPr>
          <w:i/>
          <w:spacing w:val="-2"/>
          <w:sz w:val="24"/>
        </w:rPr>
        <w:t> </w:t>
      </w:r>
      <w:r>
        <w:rPr>
          <w:i/>
          <w:sz w:val="24"/>
        </w:rPr>
        <w:t>fund</w:t>
      </w:r>
      <w:r>
        <w:rPr>
          <w:sz w:val="24"/>
        </w:rPr>
        <w:t>;</w:t>
      </w:r>
    </w:p>
    <w:p>
      <w:pPr>
        <w:pStyle w:val="ListParagraph"/>
        <w:numPr>
          <w:ilvl w:val="3"/>
          <w:numId w:val="57"/>
        </w:numPr>
        <w:tabs>
          <w:tab w:pos="2486" w:val="left" w:leader="none"/>
        </w:tabs>
        <w:spacing w:line="240" w:lineRule="auto" w:before="120" w:after="0"/>
        <w:ind w:left="2486" w:right="415" w:hanging="567"/>
        <w:jc w:val="both"/>
        <w:rPr>
          <w:sz w:val="24"/>
        </w:rPr>
      </w:pPr>
      <w:r>
        <w:rPr>
          <w:sz w:val="24"/>
        </w:rPr>
        <w:t>in the case of the security deposit fund, amounts which are received  by </w:t>
      </w:r>
      <w:r>
        <w:rPr>
          <w:i/>
          <w:sz w:val="24"/>
        </w:rPr>
        <w:t>AEMO </w:t>
      </w:r>
      <w:r>
        <w:rPr>
          <w:sz w:val="24"/>
        </w:rPr>
        <w:t>under clauses 3.3.8A, 3.3.13(a)(2) and</w:t>
      </w:r>
      <w:r>
        <w:rPr>
          <w:spacing w:val="-1"/>
          <w:sz w:val="24"/>
        </w:rPr>
        <w:t> </w:t>
      </w:r>
      <w:r>
        <w:rPr>
          <w:sz w:val="24"/>
        </w:rPr>
        <w:t>3.3.13(a)(3);</w:t>
      </w:r>
    </w:p>
    <w:p>
      <w:pPr>
        <w:pStyle w:val="ListParagraph"/>
        <w:numPr>
          <w:ilvl w:val="3"/>
          <w:numId w:val="57"/>
        </w:numPr>
        <w:tabs>
          <w:tab w:pos="2486" w:val="left" w:leader="none"/>
        </w:tabs>
        <w:spacing w:line="240" w:lineRule="auto" w:before="120" w:after="0"/>
        <w:ind w:left="2485" w:right="0" w:hanging="567"/>
        <w:jc w:val="both"/>
        <w:rPr>
          <w:sz w:val="24"/>
        </w:rPr>
      </w:pPr>
      <w:r>
        <w:rPr>
          <w:sz w:val="24"/>
        </w:rPr>
        <w:t>in the case of a fund referred to in paragraph</w:t>
      </w:r>
      <w:r>
        <w:rPr>
          <w:spacing w:val="-3"/>
          <w:sz w:val="24"/>
        </w:rPr>
        <w:t> </w:t>
      </w:r>
      <w:r>
        <w:rPr>
          <w:sz w:val="24"/>
        </w:rPr>
        <w:t>(a)(3):</w:t>
      </w:r>
    </w:p>
    <w:p>
      <w:pPr>
        <w:pStyle w:val="ListParagraph"/>
        <w:numPr>
          <w:ilvl w:val="4"/>
          <w:numId w:val="57"/>
        </w:numPr>
        <w:tabs>
          <w:tab w:pos="3053" w:val="left" w:leader="none"/>
        </w:tabs>
        <w:spacing w:line="240" w:lineRule="auto" w:before="120" w:after="0"/>
        <w:ind w:left="3053" w:right="415" w:hanging="567"/>
        <w:jc w:val="both"/>
        <w:rPr>
          <w:sz w:val="24"/>
        </w:rPr>
      </w:pPr>
      <w:r>
        <w:rPr>
          <w:sz w:val="24"/>
        </w:rPr>
        <w:t>all amounts which are received by </w:t>
      </w:r>
      <w:r>
        <w:rPr>
          <w:i/>
          <w:sz w:val="24"/>
        </w:rPr>
        <w:t>AEMO </w:t>
      </w:r>
      <w:r>
        <w:rPr>
          <w:sz w:val="24"/>
        </w:rPr>
        <w:t>in connection with carrying out its functions or powers in relation to that</w:t>
      </w:r>
      <w:r>
        <w:rPr>
          <w:spacing w:val="-3"/>
          <w:sz w:val="24"/>
        </w:rPr>
        <w:t> </w:t>
      </w:r>
      <w:r>
        <w:rPr>
          <w:sz w:val="24"/>
        </w:rPr>
        <w:t>fund;</w:t>
      </w:r>
    </w:p>
    <w:p>
      <w:pPr>
        <w:pStyle w:val="ListParagraph"/>
        <w:numPr>
          <w:ilvl w:val="4"/>
          <w:numId w:val="57"/>
        </w:numPr>
        <w:tabs>
          <w:tab w:pos="3054" w:val="left" w:leader="none"/>
        </w:tabs>
        <w:spacing w:line="240" w:lineRule="auto" w:before="120" w:after="0"/>
        <w:ind w:left="3053" w:right="414" w:hanging="567"/>
        <w:jc w:val="both"/>
        <w:rPr>
          <w:sz w:val="24"/>
        </w:rPr>
      </w:pPr>
      <w:r>
        <w:rPr>
          <w:sz w:val="24"/>
        </w:rPr>
        <w:t>all amounts of </w:t>
      </w:r>
      <w:r>
        <w:rPr>
          <w:i/>
          <w:sz w:val="24"/>
        </w:rPr>
        <w:t>Participant fees </w:t>
      </w:r>
      <w:r>
        <w:rPr>
          <w:sz w:val="24"/>
        </w:rPr>
        <w:t>which are received or recovered by </w:t>
      </w:r>
      <w:r>
        <w:rPr>
          <w:i/>
          <w:sz w:val="24"/>
        </w:rPr>
        <w:t>AEMO </w:t>
      </w:r>
      <w:r>
        <w:rPr>
          <w:sz w:val="24"/>
        </w:rPr>
        <w:t>which relate to </w:t>
      </w:r>
      <w:r>
        <w:rPr>
          <w:i/>
          <w:sz w:val="24"/>
        </w:rPr>
        <w:t>AEMO's </w:t>
      </w:r>
      <w:r>
        <w:rPr>
          <w:sz w:val="24"/>
        </w:rPr>
        <w:t>actual or budgeted costs and expenses for carrying out its functions or powers in relation to that fund;</w:t>
      </w:r>
      <w:r>
        <w:rPr>
          <w:spacing w:val="-1"/>
          <w:sz w:val="24"/>
        </w:rPr>
        <w:t> </w:t>
      </w:r>
      <w:r>
        <w:rPr>
          <w:sz w:val="24"/>
        </w:rPr>
        <w:t>and</w:t>
      </w:r>
    </w:p>
    <w:p>
      <w:pPr>
        <w:pStyle w:val="ListParagraph"/>
        <w:numPr>
          <w:ilvl w:val="3"/>
          <w:numId w:val="57"/>
        </w:numPr>
        <w:tabs>
          <w:tab w:pos="2486" w:val="left" w:leader="none"/>
        </w:tabs>
        <w:spacing w:line="240" w:lineRule="auto" w:before="120" w:after="0"/>
        <w:ind w:left="2485" w:right="0" w:hanging="567"/>
        <w:jc w:val="both"/>
        <w:rPr>
          <w:sz w:val="24"/>
        </w:rPr>
      </w:pPr>
      <w:r>
        <w:rPr>
          <w:sz w:val="24"/>
        </w:rPr>
        <w:t>in the case of each </w:t>
      </w:r>
      <w:r>
        <w:rPr>
          <w:i/>
          <w:sz w:val="24"/>
        </w:rPr>
        <w:t>Rule fund</w:t>
      </w:r>
      <w:r>
        <w:rPr>
          <w:sz w:val="24"/>
        </w:rPr>
        <w:t>, income from investment of money in</w:t>
      </w:r>
      <w:r>
        <w:rPr>
          <w:spacing w:val="-2"/>
          <w:sz w:val="24"/>
        </w:rPr>
        <w:t> </w:t>
      </w:r>
      <w:r>
        <w:rPr>
          <w:sz w:val="24"/>
        </w:rPr>
        <w:t>the</w:t>
      </w:r>
    </w:p>
    <w:p>
      <w:pPr>
        <w:spacing w:before="0"/>
        <w:ind w:left="2486" w:right="0" w:firstLine="0"/>
        <w:jc w:val="both"/>
        <w:rPr>
          <w:sz w:val="24"/>
        </w:rPr>
      </w:pPr>
      <w:r>
        <w:rPr>
          <w:i/>
          <w:sz w:val="24"/>
        </w:rPr>
        <w:t>Rule fund</w:t>
      </w:r>
      <w:r>
        <w:rPr>
          <w:sz w:val="24"/>
        </w:rPr>
        <w:t>.</w:t>
      </w:r>
    </w:p>
    <w:p>
      <w:pPr>
        <w:pStyle w:val="ListParagraph"/>
        <w:numPr>
          <w:ilvl w:val="2"/>
          <w:numId w:val="57"/>
        </w:numPr>
        <w:tabs>
          <w:tab w:pos="1919" w:val="left" w:leader="none"/>
        </w:tabs>
        <w:spacing w:line="240" w:lineRule="auto" w:before="120" w:after="0"/>
        <w:ind w:left="1919" w:right="415" w:hanging="567"/>
        <w:jc w:val="both"/>
        <w:rPr>
          <w:sz w:val="24"/>
        </w:rPr>
      </w:pPr>
      <w:r>
        <w:rPr>
          <w:sz w:val="24"/>
        </w:rPr>
        <w:t>In respect of the security deposit fund, </w:t>
      </w:r>
      <w:r>
        <w:rPr>
          <w:i/>
          <w:sz w:val="24"/>
        </w:rPr>
        <w:t>AEMO </w:t>
      </w:r>
      <w:r>
        <w:rPr>
          <w:sz w:val="24"/>
        </w:rPr>
        <w:t>must keep records, in respect of each individual </w:t>
      </w:r>
      <w:r>
        <w:rPr>
          <w:i/>
          <w:sz w:val="24"/>
        </w:rPr>
        <w:t>Market Participant</w:t>
      </w:r>
      <w:r>
        <w:rPr>
          <w:sz w:val="24"/>
        </w:rPr>
        <w:t>,</w:t>
      </w:r>
      <w:r>
        <w:rPr>
          <w:spacing w:val="-2"/>
          <w:sz w:val="24"/>
        </w:rPr>
        <w:t> </w:t>
      </w:r>
      <w:r>
        <w:rPr>
          <w:sz w:val="24"/>
        </w:rPr>
        <w:t>of:</w:t>
      </w:r>
    </w:p>
    <w:p>
      <w:pPr>
        <w:pStyle w:val="ListParagraph"/>
        <w:numPr>
          <w:ilvl w:val="3"/>
          <w:numId w:val="57"/>
        </w:numPr>
        <w:tabs>
          <w:tab w:pos="2486" w:val="left" w:leader="none"/>
        </w:tabs>
        <w:spacing w:line="240" w:lineRule="auto" w:before="120" w:after="0"/>
        <w:ind w:left="2486" w:right="415" w:hanging="567"/>
        <w:jc w:val="both"/>
        <w:rPr>
          <w:sz w:val="24"/>
        </w:rPr>
      </w:pPr>
      <w:r>
        <w:rPr>
          <w:sz w:val="24"/>
        </w:rPr>
        <w:t>security deposits made by that </w:t>
      </w:r>
      <w:r>
        <w:rPr>
          <w:i/>
          <w:sz w:val="24"/>
        </w:rPr>
        <w:t>Market Participant </w:t>
      </w:r>
      <w:r>
        <w:rPr>
          <w:sz w:val="24"/>
        </w:rPr>
        <w:t>and actual interest or other income earned on that </w:t>
      </w:r>
      <w:r>
        <w:rPr>
          <w:i/>
          <w:sz w:val="24"/>
        </w:rPr>
        <w:t>Market Participant's </w:t>
      </w:r>
      <w:r>
        <w:rPr>
          <w:sz w:val="24"/>
        </w:rPr>
        <w:t>payments to that fund which will be recorded as credits for that </w:t>
      </w:r>
      <w:r>
        <w:rPr>
          <w:i/>
          <w:sz w:val="24"/>
        </w:rPr>
        <w:t>Market</w:t>
      </w:r>
      <w:r>
        <w:rPr>
          <w:i/>
          <w:spacing w:val="-8"/>
          <w:sz w:val="24"/>
        </w:rPr>
        <w:t> </w:t>
      </w:r>
      <w:r>
        <w:rPr>
          <w:i/>
          <w:sz w:val="24"/>
        </w:rPr>
        <w:t>Participant</w:t>
      </w:r>
      <w:r>
        <w:rPr>
          <w:sz w:val="24"/>
        </w:rPr>
        <w:t>;</w:t>
      </w:r>
    </w:p>
    <w:p>
      <w:pPr>
        <w:pStyle w:val="ListParagraph"/>
        <w:numPr>
          <w:ilvl w:val="3"/>
          <w:numId w:val="57"/>
        </w:numPr>
        <w:tabs>
          <w:tab w:pos="2486" w:val="left" w:leader="none"/>
        </w:tabs>
        <w:spacing w:line="240" w:lineRule="auto" w:before="120" w:after="0"/>
        <w:ind w:left="2486" w:right="414" w:hanging="567"/>
        <w:jc w:val="both"/>
        <w:rPr>
          <w:sz w:val="24"/>
        </w:rPr>
      </w:pPr>
      <w:r>
        <w:rPr>
          <w:sz w:val="24"/>
        </w:rPr>
        <w:t>any application, or return to that </w:t>
      </w:r>
      <w:r>
        <w:rPr>
          <w:i/>
          <w:sz w:val="24"/>
        </w:rPr>
        <w:t>Market Participant</w:t>
      </w:r>
      <w:r>
        <w:rPr>
          <w:sz w:val="24"/>
        </w:rPr>
        <w:t>, of monies in the security deposit fund in accordance with clause</w:t>
      </w:r>
      <w:r>
        <w:rPr>
          <w:spacing w:val="-7"/>
          <w:sz w:val="24"/>
        </w:rPr>
        <w:t> </w:t>
      </w:r>
      <w:r>
        <w:rPr>
          <w:sz w:val="24"/>
        </w:rPr>
        <w:t>3.3.13A;</w:t>
      </w:r>
    </w:p>
    <w:p>
      <w:pPr>
        <w:pStyle w:val="ListParagraph"/>
        <w:numPr>
          <w:ilvl w:val="3"/>
          <w:numId w:val="57"/>
        </w:numPr>
        <w:tabs>
          <w:tab w:pos="2486" w:val="left" w:leader="none"/>
        </w:tabs>
        <w:spacing w:line="240" w:lineRule="auto" w:before="120" w:after="0"/>
        <w:ind w:left="2486" w:right="415" w:hanging="567"/>
        <w:jc w:val="both"/>
        <w:rPr>
          <w:sz w:val="24"/>
        </w:rPr>
      </w:pPr>
      <w:r>
        <w:rPr>
          <w:sz w:val="24"/>
        </w:rPr>
        <w:t>deductions for liabilities and expenses of the security deposit fund referable, or allocated, to that </w:t>
      </w:r>
      <w:r>
        <w:rPr>
          <w:i/>
          <w:sz w:val="24"/>
        </w:rPr>
        <w:t>Market Participant </w:t>
      </w:r>
      <w:r>
        <w:rPr>
          <w:sz w:val="24"/>
        </w:rPr>
        <w:t>which will be recorded as debits to that </w:t>
      </w:r>
      <w:r>
        <w:rPr>
          <w:i/>
          <w:sz w:val="24"/>
        </w:rPr>
        <w:t>Market Participant</w:t>
      </w:r>
      <w:r>
        <w:rPr>
          <w:sz w:val="24"/>
        </w:rPr>
        <w:t>;</w:t>
      </w:r>
      <w:r>
        <w:rPr>
          <w:spacing w:val="-1"/>
          <w:sz w:val="24"/>
        </w:rPr>
        <w:t> </w:t>
      </w:r>
      <w:r>
        <w:rPr>
          <w:sz w:val="24"/>
        </w:rPr>
        <w:t>and</w:t>
      </w:r>
    </w:p>
    <w:p>
      <w:pPr>
        <w:pStyle w:val="ListParagraph"/>
        <w:numPr>
          <w:ilvl w:val="3"/>
          <w:numId w:val="57"/>
        </w:numPr>
        <w:tabs>
          <w:tab w:pos="2486" w:val="left" w:leader="none"/>
        </w:tabs>
        <w:spacing w:line="240" w:lineRule="auto" w:before="120" w:after="0"/>
        <w:ind w:left="2485" w:right="0" w:hanging="567"/>
        <w:jc w:val="both"/>
        <w:rPr>
          <w:sz w:val="24"/>
        </w:rPr>
      </w:pPr>
      <w:r>
        <w:rPr>
          <w:sz w:val="24"/>
        </w:rPr>
        <w:t>the credit or debit balance for that </w:t>
      </w:r>
      <w:r>
        <w:rPr>
          <w:i/>
          <w:sz w:val="24"/>
        </w:rPr>
        <w:t>Market</w:t>
      </w:r>
      <w:r>
        <w:rPr>
          <w:i/>
          <w:spacing w:val="-2"/>
          <w:sz w:val="24"/>
        </w:rPr>
        <w:t> </w:t>
      </w:r>
      <w:r>
        <w:rPr>
          <w:i/>
          <w:sz w:val="24"/>
        </w:rPr>
        <w:t>Participant</w:t>
      </w:r>
      <w:r>
        <w:rPr>
          <w:sz w:val="24"/>
        </w:rPr>
        <w:t>.</w:t>
      </w:r>
    </w:p>
    <w:p>
      <w:pPr>
        <w:pStyle w:val="ListParagraph"/>
        <w:numPr>
          <w:ilvl w:val="2"/>
          <w:numId w:val="57"/>
        </w:numPr>
        <w:tabs>
          <w:tab w:pos="1919" w:val="left" w:leader="none"/>
        </w:tabs>
        <w:spacing w:line="240" w:lineRule="auto" w:before="120" w:after="0"/>
        <w:ind w:left="1919" w:right="414" w:hanging="567"/>
        <w:jc w:val="both"/>
        <w:rPr>
          <w:sz w:val="24"/>
        </w:rPr>
      </w:pPr>
      <w:r>
        <w:rPr>
          <w:i/>
          <w:sz w:val="24"/>
        </w:rPr>
        <w:t>AEMO </w:t>
      </w:r>
      <w:r>
        <w:rPr>
          <w:sz w:val="24"/>
        </w:rPr>
        <w:t>must ensure that money from each </w:t>
      </w:r>
      <w:r>
        <w:rPr>
          <w:i/>
          <w:sz w:val="24"/>
        </w:rPr>
        <w:t>Rule fund </w:t>
      </w:r>
      <w:r>
        <w:rPr>
          <w:sz w:val="24"/>
        </w:rPr>
        <w:t>is only applied </w:t>
      </w:r>
      <w:r>
        <w:rPr>
          <w:spacing w:val="-6"/>
          <w:sz w:val="24"/>
        </w:rPr>
        <w:t>in </w:t>
      </w:r>
      <w:r>
        <w:rPr>
          <w:sz w:val="24"/>
        </w:rPr>
        <w:t>payment</w:t>
      </w:r>
      <w:r>
        <w:rPr>
          <w:spacing w:val="-1"/>
          <w:sz w:val="24"/>
        </w:rPr>
        <w:t> </w:t>
      </w:r>
      <w:r>
        <w:rPr>
          <w:sz w:val="24"/>
        </w:rPr>
        <w:t>of:</w:t>
      </w:r>
    </w:p>
    <w:p>
      <w:pPr>
        <w:pStyle w:val="ListParagraph"/>
        <w:numPr>
          <w:ilvl w:val="3"/>
          <w:numId w:val="57"/>
        </w:numPr>
        <w:tabs>
          <w:tab w:pos="2486" w:val="left" w:leader="none"/>
        </w:tabs>
        <w:spacing w:line="240" w:lineRule="auto" w:before="120" w:after="0"/>
        <w:ind w:left="2486" w:right="413" w:hanging="567"/>
        <w:jc w:val="both"/>
        <w:rPr>
          <w:sz w:val="24"/>
        </w:rPr>
      </w:pPr>
      <w:r>
        <w:rPr>
          <w:sz w:val="24"/>
        </w:rPr>
        <w:t>in the case of the registration and administration fund, costs and expenses of </w:t>
      </w:r>
      <w:r>
        <w:rPr>
          <w:i/>
          <w:sz w:val="24"/>
        </w:rPr>
        <w:t>AEMO </w:t>
      </w:r>
      <w:r>
        <w:rPr>
          <w:sz w:val="24"/>
        </w:rPr>
        <w:t>carrying out its functions or</w:t>
      </w:r>
      <w:r>
        <w:rPr>
          <w:spacing w:val="-1"/>
          <w:sz w:val="24"/>
        </w:rPr>
        <w:t> </w:t>
      </w:r>
      <w:r>
        <w:rPr>
          <w:sz w:val="24"/>
        </w:rPr>
        <w:t>powers:</w:t>
      </w:r>
    </w:p>
    <w:p>
      <w:pPr>
        <w:pStyle w:val="ListParagraph"/>
        <w:numPr>
          <w:ilvl w:val="4"/>
          <w:numId w:val="57"/>
        </w:numPr>
        <w:tabs>
          <w:tab w:pos="3053" w:val="left" w:leader="none"/>
        </w:tabs>
        <w:spacing w:line="240" w:lineRule="auto" w:before="120" w:after="0"/>
        <w:ind w:left="3053" w:right="414" w:hanging="567"/>
        <w:jc w:val="both"/>
        <w:rPr>
          <w:sz w:val="24"/>
        </w:rPr>
      </w:pPr>
      <w:r>
        <w:rPr>
          <w:sz w:val="24"/>
        </w:rPr>
        <w:t>in relation to a fund referred to paragraph (a)(3) to the extent that such costs and expenses cannot be met from the money contained in that fund;</w:t>
      </w:r>
      <w:r>
        <w:rPr>
          <w:spacing w:val="-2"/>
          <w:sz w:val="24"/>
        </w:rPr>
        <w:t> </w:t>
      </w:r>
      <w:r>
        <w:rPr>
          <w:sz w:val="24"/>
        </w:rPr>
        <w:t>or</w:t>
      </w:r>
    </w:p>
    <w:p>
      <w:pPr>
        <w:pStyle w:val="ListParagraph"/>
        <w:numPr>
          <w:ilvl w:val="4"/>
          <w:numId w:val="57"/>
        </w:numPr>
        <w:tabs>
          <w:tab w:pos="3054" w:val="left" w:leader="none"/>
        </w:tabs>
        <w:spacing w:line="240" w:lineRule="auto" w:before="120" w:after="0"/>
        <w:ind w:left="3053" w:right="415" w:hanging="567"/>
        <w:jc w:val="both"/>
        <w:rPr>
          <w:sz w:val="24"/>
        </w:rPr>
      </w:pPr>
      <w:r>
        <w:rPr>
          <w:sz w:val="24"/>
        </w:rPr>
        <w:t>other than those functions and powers referred to in subparagraph</w:t>
      </w:r>
      <w:r>
        <w:rPr>
          <w:spacing w:val="-2"/>
          <w:sz w:val="24"/>
        </w:rPr>
        <w:t> </w:t>
      </w:r>
      <w:r>
        <w:rPr>
          <w:sz w:val="24"/>
        </w:rPr>
        <w:t>(i);</w:t>
      </w:r>
    </w:p>
    <w:p>
      <w:pPr>
        <w:pStyle w:val="ListParagraph"/>
        <w:numPr>
          <w:ilvl w:val="3"/>
          <w:numId w:val="57"/>
        </w:numPr>
        <w:tabs>
          <w:tab w:pos="2486" w:val="left" w:leader="none"/>
        </w:tabs>
        <w:spacing w:line="240" w:lineRule="auto" w:before="120" w:after="0"/>
        <w:ind w:left="2486" w:right="415" w:hanging="567"/>
        <w:jc w:val="both"/>
        <w:rPr>
          <w:sz w:val="24"/>
        </w:rPr>
      </w:pPr>
      <w:r>
        <w:rPr>
          <w:sz w:val="24"/>
        </w:rPr>
        <w:t>in the case of the security deposit fund, monies owing to </w:t>
      </w:r>
      <w:r>
        <w:rPr>
          <w:i/>
          <w:sz w:val="24"/>
        </w:rPr>
        <w:t>AEMO </w:t>
      </w:r>
      <w:r>
        <w:rPr>
          <w:sz w:val="24"/>
        </w:rPr>
        <w:t>by a </w:t>
      </w:r>
      <w:r>
        <w:rPr>
          <w:i/>
          <w:sz w:val="24"/>
        </w:rPr>
        <w:t>Market Participant </w:t>
      </w:r>
      <w:r>
        <w:rPr>
          <w:sz w:val="24"/>
        </w:rPr>
        <w:t>or the return of monies to a </w:t>
      </w:r>
      <w:r>
        <w:rPr>
          <w:i/>
          <w:sz w:val="24"/>
        </w:rPr>
        <w:t>Market Participant </w:t>
      </w:r>
      <w:r>
        <w:rPr>
          <w:sz w:val="24"/>
        </w:rPr>
        <w:t>in accordance with clause</w:t>
      </w:r>
      <w:r>
        <w:rPr>
          <w:spacing w:val="-3"/>
          <w:sz w:val="24"/>
        </w:rPr>
        <w:t> </w:t>
      </w:r>
      <w:r>
        <w:rPr>
          <w:sz w:val="24"/>
        </w:rPr>
        <w:t>3.3.13A;</w:t>
      </w:r>
    </w:p>
    <w:p>
      <w:pPr>
        <w:spacing w:after="0" w:line="240" w:lineRule="auto"/>
        <w:jc w:val="both"/>
        <w:rPr>
          <w:sz w:val="24"/>
        </w:rPr>
        <w:sectPr>
          <w:pgSz w:w="11910" w:h="16840"/>
          <w:pgMar w:header="686" w:footer="637" w:top="1320" w:bottom="820" w:left="1200" w:right="1000"/>
        </w:sectPr>
      </w:pPr>
    </w:p>
    <w:p>
      <w:pPr>
        <w:pStyle w:val="ListParagraph"/>
        <w:numPr>
          <w:ilvl w:val="3"/>
          <w:numId w:val="57"/>
        </w:numPr>
        <w:tabs>
          <w:tab w:pos="2486" w:val="left" w:leader="none"/>
        </w:tabs>
        <w:spacing w:line="240" w:lineRule="auto" w:before="83" w:after="0"/>
        <w:ind w:left="2486" w:right="414" w:hanging="567"/>
        <w:jc w:val="both"/>
        <w:rPr>
          <w:sz w:val="24"/>
        </w:rPr>
      </w:pPr>
      <w:r>
        <w:rPr>
          <w:sz w:val="24"/>
        </w:rPr>
        <w:t>in the case of a fund referred to in paragraph (a)(3), costs and expenses of </w:t>
      </w:r>
      <w:r>
        <w:rPr>
          <w:i/>
          <w:sz w:val="24"/>
        </w:rPr>
        <w:t>AEMO </w:t>
      </w:r>
      <w:r>
        <w:rPr>
          <w:sz w:val="24"/>
        </w:rPr>
        <w:t>carrying out its functions or powers in relation to that fund;</w:t>
      </w:r>
      <w:r>
        <w:rPr>
          <w:spacing w:val="-1"/>
          <w:sz w:val="24"/>
        </w:rPr>
        <w:t> </w:t>
      </w:r>
      <w:r>
        <w:rPr>
          <w:sz w:val="24"/>
        </w:rPr>
        <w:t>and</w:t>
      </w:r>
    </w:p>
    <w:p>
      <w:pPr>
        <w:pStyle w:val="ListParagraph"/>
        <w:numPr>
          <w:ilvl w:val="3"/>
          <w:numId w:val="57"/>
        </w:numPr>
        <w:tabs>
          <w:tab w:pos="2486" w:val="left" w:leader="none"/>
        </w:tabs>
        <w:spacing w:line="240" w:lineRule="auto" w:before="120" w:after="0"/>
        <w:ind w:left="2485" w:right="0" w:hanging="567"/>
        <w:jc w:val="both"/>
        <w:rPr>
          <w:sz w:val="24"/>
        </w:rPr>
      </w:pPr>
      <w:r>
        <w:rPr>
          <w:sz w:val="24"/>
        </w:rPr>
        <w:t>in the case of each </w:t>
      </w:r>
      <w:r>
        <w:rPr>
          <w:i/>
          <w:sz w:val="24"/>
        </w:rPr>
        <w:t>Rule</w:t>
      </w:r>
      <w:r>
        <w:rPr>
          <w:i/>
          <w:spacing w:val="-1"/>
          <w:sz w:val="24"/>
        </w:rPr>
        <w:t> </w:t>
      </w:r>
      <w:r>
        <w:rPr>
          <w:i/>
          <w:sz w:val="24"/>
        </w:rPr>
        <w:t>fund</w:t>
      </w:r>
      <w:r>
        <w:rPr>
          <w:sz w:val="24"/>
        </w:rPr>
        <w:t>:</w:t>
      </w:r>
    </w:p>
    <w:p>
      <w:pPr>
        <w:pStyle w:val="ListParagraph"/>
        <w:numPr>
          <w:ilvl w:val="4"/>
          <w:numId w:val="57"/>
        </w:numPr>
        <w:tabs>
          <w:tab w:pos="3053" w:val="left" w:leader="none"/>
        </w:tabs>
        <w:spacing w:line="240" w:lineRule="auto" w:before="120" w:after="0"/>
        <w:ind w:left="3053" w:right="413" w:hanging="567"/>
        <w:jc w:val="both"/>
        <w:rPr>
          <w:sz w:val="24"/>
        </w:rPr>
      </w:pPr>
      <w:r>
        <w:rPr>
          <w:sz w:val="24"/>
        </w:rPr>
        <w:t>other than the security deposit fund, reimbursement to a </w:t>
      </w:r>
      <w:r>
        <w:rPr>
          <w:i/>
          <w:sz w:val="24"/>
        </w:rPr>
        <w:t>Registered Participant </w:t>
      </w:r>
      <w:r>
        <w:rPr>
          <w:sz w:val="24"/>
        </w:rPr>
        <w:t>or another </w:t>
      </w:r>
      <w:r>
        <w:rPr>
          <w:i/>
          <w:sz w:val="24"/>
        </w:rPr>
        <w:t>Rule fund </w:t>
      </w:r>
      <w:r>
        <w:rPr>
          <w:sz w:val="24"/>
        </w:rPr>
        <w:t>to make any necessary adjustment for any excess amounts which are paid as </w:t>
      </w:r>
      <w:r>
        <w:rPr>
          <w:i/>
          <w:sz w:val="24"/>
        </w:rPr>
        <w:t>Participant fees </w:t>
      </w:r>
      <w:r>
        <w:rPr>
          <w:sz w:val="24"/>
        </w:rPr>
        <w:t>as a result of any of </w:t>
      </w:r>
      <w:r>
        <w:rPr>
          <w:i/>
          <w:sz w:val="24"/>
        </w:rPr>
        <w:t>AEMO's </w:t>
      </w:r>
      <w:r>
        <w:rPr>
          <w:sz w:val="24"/>
        </w:rPr>
        <w:t>actual costs and expenses being less than the budgeted costs and expenses or as a result of the payment of any interim </w:t>
      </w:r>
      <w:r>
        <w:rPr>
          <w:i/>
          <w:sz w:val="24"/>
        </w:rPr>
        <w:t>Participant fees</w:t>
      </w:r>
      <w:r>
        <w:rPr>
          <w:sz w:val="24"/>
        </w:rPr>
        <w:t>;</w:t>
      </w:r>
      <w:r>
        <w:rPr>
          <w:spacing w:val="-3"/>
          <w:sz w:val="24"/>
        </w:rPr>
        <w:t> </w:t>
      </w:r>
      <w:r>
        <w:rPr>
          <w:sz w:val="24"/>
        </w:rPr>
        <w:t>and</w:t>
      </w:r>
    </w:p>
    <w:p>
      <w:pPr>
        <w:pStyle w:val="ListParagraph"/>
        <w:numPr>
          <w:ilvl w:val="4"/>
          <w:numId w:val="57"/>
        </w:numPr>
        <w:tabs>
          <w:tab w:pos="3054" w:val="left" w:leader="none"/>
        </w:tabs>
        <w:spacing w:line="240" w:lineRule="auto" w:before="120" w:after="0"/>
        <w:ind w:left="3053" w:right="0" w:hanging="568"/>
        <w:jc w:val="both"/>
        <w:rPr>
          <w:sz w:val="24"/>
        </w:rPr>
      </w:pPr>
      <w:r>
        <w:rPr>
          <w:sz w:val="24"/>
        </w:rPr>
        <w:t>liabilities or expenses of the </w:t>
      </w:r>
      <w:r>
        <w:rPr>
          <w:i/>
          <w:sz w:val="24"/>
        </w:rPr>
        <w:t>Rule</w:t>
      </w:r>
      <w:r>
        <w:rPr>
          <w:i/>
          <w:spacing w:val="-1"/>
          <w:sz w:val="24"/>
        </w:rPr>
        <w:t> </w:t>
      </w:r>
      <w:r>
        <w:rPr>
          <w:i/>
          <w:sz w:val="24"/>
        </w:rPr>
        <w:t>fund</w:t>
      </w:r>
      <w:r>
        <w:rPr>
          <w:sz w:val="24"/>
        </w:rPr>
        <w:t>.</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2</w:t>
                  </w:r>
                </w:p>
              </w:txbxContent>
            </v:textbox>
            <v:fill type="solid"/>
            <v:stroke dashstyle="solid"/>
          </v:shape>
        </w:pict>
      </w:r>
      <w:r>
        <w:rPr>
          <w:position w:val="0"/>
          <w:sz w:val="20"/>
        </w:rPr>
      </w:r>
    </w:p>
    <w:p>
      <w:pPr>
        <w:spacing w:after="0"/>
        <w:jc w:val="left"/>
        <w:rPr>
          <w:sz w:val="20"/>
        </w:rPr>
        <w:sectPr>
          <w:headerReference w:type="default" r:id="rId13"/>
          <w:footerReference w:type="default" r:id="rId14"/>
          <w:pgSz w:w="11910" w:h="16840"/>
          <w:pgMar w:header="686" w:footer="637" w:top="1320" w:bottom="820" w:left="1200" w:right="1000"/>
          <w:pgNumType w:start="11"/>
        </w:sectPr>
      </w:pPr>
    </w:p>
    <w:p>
      <w:pPr>
        <w:pStyle w:val="BodyText"/>
        <w:spacing w:before="4"/>
        <w:ind w:firstLine="0"/>
        <w:jc w:val="left"/>
        <w:rPr>
          <w:sz w:val="17"/>
        </w:rPr>
      </w:pPr>
    </w:p>
    <w:p>
      <w:pPr>
        <w:spacing w:after="0"/>
        <w:jc w:val="left"/>
        <w:rPr>
          <w:sz w:val="17"/>
        </w:rPr>
        <w:sectPr>
          <w:headerReference w:type="default" r:id="rId15"/>
          <w:footerReference w:type="default" r:id="rId16"/>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2. Registered Participants and Registrat" w:id="80"/>
      <w:bookmarkEnd w:id="80"/>
      <w:r>
        <w:rPr>
          <w:b w:val="0"/>
        </w:rPr>
      </w:r>
      <w:bookmarkStart w:name="_bookmark26" w:id="81"/>
      <w:bookmarkEnd w:id="81"/>
      <w:r>
        <w:rPr>
          <w:b w:val="0"/>
        </w:rPr>
      </w:r>
      <w:bookmarkStart w:name="_bookmark26" w:id="82"/>
      <w:bookmarkEnd w:id="82"/>
      <w:r>
        <w:rPr/>
        <w:t>Registere</w:t>
      </w:r>
      <w:r>
        <w:rPr/>
        <w:t>d Participants and</w:t>
      </w:r>
      <w:r>
        <w:rPr>
          <w:spacing w:val="-5"/>
        </w:rPr>
        <w:t> </w:t>
      </w:r>
      <w:r>
        <w:rPr/>
        <w:t>Registration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17"/>
          <w:footerReference w:type="default" r:id="rId18"/>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9"/>
          <w:footerReference w:type="default" r:id="rId20"/>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2A</w:t>
                  </w:r>
                </w:p>
              </w:txbxContent>
            </v:textbox>
            <v:fill type="solid"/>
            <v:stroke dashstyle="solid"/>
          </v:shape>
        </w:pict>
      </w:r>
      <w:r>
        <w:rPr>
          <w:position w:val="0"/>
          <w:sz w:val="20"/>
        </w:rPr>
      </w:r>
    </w:p>
    <w:p>
      <w:pPr>
        <w:spacing w:after="0"/>
        <w:jc w:val="left"/>
        <w:rPr>
          <w:sz w:val="20"/>
        </w:rPr>
        <w:sectPr>
          <w:headerReference w:type="default" r:id="rId21"/>
          <w:footerReference w:type="default" r:id="rId22"/>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23"/>
          <w:footerReference w:type="default" r:id="rId24"/>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2A. Regional Structures" w:id="83"/>
      <w:bookmarkEnd w:id="83"/>
      <w:r>
        <w:rPr>
          <w:b w:val="0"/>
        </w:rPr>
      </w:r>
      <w:bookmarkStart w:name="_bookmark27" w:id="84"/>
      <w:bookmarkEnd w:id="84"/>
      <w:r>
        <w:rPr>
          <w:b w:val="0"/>
        </w:rPr>
      </w:r>
      <w:r>
        <w:rPr/>
        <w:t>2A.</w:t>
        <w:tab/>
        <w:t>Regional</w:t>
      </w:r>
      <w:r>
        <w:rPr>
          <w:spacing w:val="-2"/>
        </w:rPr>
        <w:t> </w:t>
      </w:r>
      <w:r>
        <w:rPr/>
        <w:t>Structures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25"/>
          <w:footerReference w:type="default" r:id="rId26"/>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27"/>
          <w:footerReference w:type="default" r:id="rId28"/>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3</w:t>
                  </w:r>
                </w:p>
              </w:txbxContent>
            </v:textbox>
            <v:fill type="solid"/>
            <v:stroke dashstyle="solid"/>
          </v:shape>
        </w:pict>
      </w:r>
      <w:r>
        <w:rPr>
          <w:position w:val="0"/>
          <w:sz w:val="20"/>
        </w:rPr>
      </w:r>
    </w:p>
    <w:p>
      <w:pPr>
        <w:spacing w:after="0"/>
        <w:jc w:val="left"/>
        <w:rPr>
          <w:sz w:val="20"/>
        </w:rPr>
        <w:sectPr>
          <w:headerReference w:type="default" r:id="rId29"/>
          <w:footerReference w:type="default" r:id="rId30"/>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31"/>
          <w:footerReference w:type="default" r:id="rId32"/>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3. Market Rules" w:id="85"/>
      <w:bookmarkEnd w:id="85"/>
      <w:r>
        <w:rPr>
          <w:b w:val="0"/>
        </w:rPr>
      </w:r>
      <w:bookmarkStart w:name="_bookmark28" w:id="86"/>
      <w:bookmarkEnd w:id="86"/>
      <w:r>
        <w:rPr>
          <w:b w:val="0"/>
        </w:rPr>
      </w:r>
      <w:bookmarkStart w:name="_bookmark28" w:id="87"/>
      <w:bookmarkEnd w:id="87"/>
      <w:r>
        <w:rPr/>
        <w:t>Market</w:t>
      </w:r>
      <w:r>
        <w:rPr>
          <w:spacing w:val="-1"/>
        </w:rPr>
        <w:t> </w:t>
      </w:r>
      <w:r>
        <w:rPr/>
        <w:t>Rules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33"/>
          <w:footerReference w:type="default" r:id="rId34"/>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35"/>
          <w:footerReference w:type="default" r:id="rId36"/>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4</w:t>
                  </w:r>
                </w:p>
              </w:txbxContent>
            </v:textbox>
            <v:fill type="solid"/>
            <v:stroke dashstyle="solid"/>
          </v:shape>
        </w:pict>
      </w:r>
      <w:r>
        <w:rPr>
          <w:position w:val="0"/>
          <w:sz w:val="20"/>
        </w:rPr>
      </w:r>
    </w:p>
    <w:p>
      <w:pPr>
        <w:spacing w:after="0"/>
        <w:jc w:val="left"/>
        <w:rPr>
          <w:sz w:val="20"/>
        </w:rPr>
        <w:sectPr>
          <w:headerReference w:type="default" r:id="rId37"/>
          <w:footerReference w:type="default" r:id="rId38"/>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39"/>
          <w:footerReference w:type="default" r:id="rId40"/>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4. Power System Security" w:id="88"/>
      <w:bookmarkEnd w:id="88"/>
      <w:r>
        <w:rPr>
          <w:b w:val="0"/>
        </w:rPr>
      </w:r>
      <w:bookmarkStart w:name="_bookmark29" w:id="89"/>
      <w:bookmarkEnd w:id="89"/>
      <w:r>
        <w:rPr>
          <w:b w:val="0"/>
        </w:rPr>
      </w:r>
      <w:bookmarkStart w:name="_bookmark29" w:id="90"/>
      <w:bookmarkEnd w:id="90"/>
      <w:r>
        <w:rPr/>
        <w:t>Po</w:t>
      </w:r>
      <w:r>
        <w:rPr/>
        <w:t>wer System</w:t>
      </w:r>
      <w:r>
        <w:rPr>
          <w:spacing w:val="-2"/>
        </w:rPr>
        <w:t> </w:t>
      </w:r>
      <w:r>
        <w:rPr/>
        <w:t>Security</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41"/>
          <w:footerReference w:type="default" r:id="rId42"/>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43"/>
          <w:footerReference w:type="default" r:id="rId44"/>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4A</w:t>
                  </w:r>
                </w:p>
              </w:txbxContent>
            </v:textbox>
            <v:fill type="solid"/>
            <v:stroke dashstyle="solid"/>
          </v:shape>
        </w:pict>
      </w:r>
      <w:r>
        <w:rPr>
          <w:position w:val="0"/>
          <w:sz w:val="20"/>
        </w:rPr>
      </w:r>
    </w:p>
    <w:p>
      <w:pPr>
        <w:spacing w:after="0"/>
        <w:jc w:val="left"/>
        <w:rPr>
          <w:sz w:val="20"/>
        </w:rPr>
        <w:sectPr>
          <w:headerReference w:type="default" r:id="rId45"/>
          <w:footerReference w:type="default" r:id="rId46"/>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47"/>
          <w:footerReference w:type="default" r:id="rId48"/>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4A. Retailer Reliability Obligation" w:id="91"/>
      <w:bookmarkEnd w:id="91"/>
      <w:r>
        <w:rPr>
          <w:b w:val="0"/>
        </w:rPr>
      </w:r>
      <w:bookmarkStart w:name="_bookmark30" w:id="92"/>
      <w:bookmarkEnd w:id="92"/>
      <w:r>
        <w:rPr>
          <w:b w:val="0"/>
        </w:rPr>
      </w:r>
      <w:r>
        <w:rPr/>
        <w:t>4A.</w:t>
        <w:tab/>
        <w:t>Retailer Reliability</w:t>
      </w:r>
      <w:r>
        <w:rPr>
          <w:spacing w:val="-2"/>
        </w:rPr>
        <w:t> </w:t>
      </w:r>
      <w:r>
        <w:rPr/>
        <w:t>Obligation</w:t>
      </w:r>
    </w:p>
    <w:p>
      <w:pPr>
        <w:pStyle w:val="Heading2"/>
        <w:tabs>
          <w:tab w:pos="1352" w:val="left" w:leader="none"/>
          <w:tab w:pos="9317" w:val="left" w:leader="none"/>
        </w:tabs>
        <w:spacing w:before="240"/>
      </w:pPr>
      <w:bookmarkStart w:name="Part A Introduction" w:id="93"/>
      <w:bookmarkEnd w:id="93"/>
      <w:r>
        <w:rPr>
          <w:b w:val="0"/>
        </w:rPr>
      </w:r>
      <w:bookmarkStart w:name="_bookmark31" w:id="94"/>
      <w:bookmarkEnd w:id="94"/>
      <w:r>
        <w:rPr>
          <w:b w:val="0"/>
        </w:rPr>
      </w:r>
      <w:r>
        <w:rPr>
          <w:shd w:fill="D9D9D9" w:color="auto" w:val="clear"/>
        </w:rPr>
        <w:t>Part A</w:t>
        <w:tab/>
        <w:t>Introduction</w:t>
        <w:tab/>
      </w:r>
    </w:p>
    <w:p>
      <w:pPr>
        <w:pStyle w:val="Heading3"/>
        <w:tabs>
          <w:tab w:pos="1351" w:val="left" w:leader="none"/>
        </w:tabs>
        <w:spacing w:before="240"/>
        <w:ind w:left="218" w:firstLine="0"/>
      </w:pPr>
      <w:bookmarkStart w:name="4A.A Definitions" w:id="95"/>
      <w:bookmarkEnd w:id="95"/>
      <w:r>
        <w:rPr>
          <w:b w:val="0"/>
        </w:rPr>
      </w:r>
      <w:bookmarkStart w:name="_bookmark32" w:id="96"/>
      <w:bookmarkEnd w:id="96"/>
      <w:r>
        <w:rPr>
          <w:b w:val="0"/>
        </w:rPr>
      </w:r>
      <w:r>
        <w:rPr/>
        <w:t>4A.A</w:t>
        <w:tab/>
        <w:t>Definitions</w:t>
      </w:r>
    </w:p>
    <w:p>
      <w:pPr>
        <w:pStyle w:val="Heading4"/>
        <w:tabs>
          <w:tab w:pos="1351" w:val="left" w:leader="none"/>
        </w:tabs>
        <w:spacing w:before="240"/>
        <w:ind w:left="218" w:firstLine="0"/>
      </w:pPr>
      <w:bookmarkStart w:name=" " w:id="97"/>
      <w:bookmarkEnd w:id="97"/>
      <w:r>
        <w:rPr>
          <w:b w:val="0"/>
        </w:rPr>
      </w:r>
      <w:bookmarkStart w:name="4A.A.1 Definitions" w:id="98"/>
      <w:bookmarkEnd w:id="98"/>
      <w:r>
        <w:rPr>
          <w:b w:val="0"/>
        </w:rPr>
      </w:r>
      <w:bookmarkStart w:name="_bookmark33" w:id="99"/>
      <w:bookmarkEnd w:id="99"/>
      <w:r>
        <w:rPr>
          <w:b w:val="0"/>
        </w:rPr>
      </w:r>
      <w:r>
        <w:rPr/>
        <w:t>4A.A.1</w:t>
        <w:tab/>
        <w:t>Definitions</w:t>
      </w:r>
    </w:p>
    <w:p>
      <w:pPr>
        <w:pStyle w:val="BodyText"/>
        <w:ind w:left="1352" w:firstLine="0"/>
      </w:pPr>
      <w:r>
        <w:rPr/>
        <w:t>In this Chapter:</w:t>
      </w:r>
    </w:p>
    <w:p>
      <w:pPr>
        <w:pStyle w:val="BodyText"/>
        <w:ind w:left="1352" w:right="415" w:firstLine="0"/>
      </w:pPr>
      <w:r>
        <w:rPr>
          <w:b/>
        </w:rPr>
        <w:t>actual demand </w:t>
      </w:r>
      <w:r>
        <w:rPr/>
        <w:t>means the demand determined in accordance with clause 4A.A.4(b).</w:t>
      </w:r>
    </w:p>
    <w:p>
      <w:pPr>
        <w:spacing w:before="120"/>
        <w:ind w:left="1352" w:right="0" w:firstLine="0"/>
        <w:jc w:val="both"/>
        <w:rPr>
          <w:sz w:val="24"/>
        </w:rPr>
      </w:pPr>
      <w:r>
        <w:rPr>
          <w:b/>
          <w:sz w:val="24"/>
        </w:rPr>
        <w:t>adjustment day </w:t>
      </w:r>
      <w:r>
        <w:rPr>
          <w:sz w:val="24"/>
        </w:rPr>
        <w:t>has the meaning given in clause 4A.E.7(f).</w:t>
      </w:r>
    </w:p>
    <w:p>
      <w:pPr>
        <w:spacing w:before="120"/>
        <w:ind w:left="1352" w:right="415" w:firstLine="0"/>
        <w:jc w:val="both"/>
        <w:rPr>
          <w:sz w:val="24"/>
        </w:rPr>
      </w:pPr>
      <w:r>
        <w:rPr>
          <w:b/>
          <w:sz w:val="24"/>
        </w:rPr>
        <w:t>AEMO Opt-In Procedures </w:t>
      </w:r>
      <w:r>
        <w:rPr>
          <w:sz w:val="24"/>
        </w:rPr>
        <w:t>means the procedures developed by </w:t>
      </w:r>
      <w:r>
        <w:rPr>
          <w:i/>
          <w:sz w:val="24"/>
        </w:rPr>
        <w:t>AEMO </w:t>
      </w:r>
      <w:r>
        <w:rPr>
          <w:sz w:val="24"/>
        </w:rPr>
        <w:t>under clause 4A.D.12.</w:t>
      </w:r>
    </w:p>
    <w:p>
      <w:pPr>
        <w:spacing w:before="120"/>
        <w:ind w:left="1352" w:right="415" w:firstLine="0"/>
        <w:jc w:val="both"/>
        <w:rPr>
          <w:sz w:val="24"/>
        </w:rPr>
      </w:pPr>
      <w:r>
        <w:rPr>
          <w:b/>
          <w:sz w:val="24"/>
        </w:rPr>
        <w:t>AER Opt-In Guidelines </w:t>
      </w:r>
      <w:r>
        <w:rPr>
          <w:sz w:val="24"/>
        </w:rPr>
        <w:t>means the guidelines made by the </w:t>
      </w:r>
      <w:r>
        <w:rPr>
          <w:i/>
          <w:sz w:val="24"/>
        </w:rPr>
        <w:t>AER </w:t>
      </w:r>
      <w:r>
        <w:rPr>
          <w:sz w:val="24"/>
        </w:rPr>
        <w:t>under clause 4A.D.13.</w:t>
      </w:r>
    </w:p>
    <w:p>
      <w:pPr>
        <w:pStyle w:val="BodyText"/>
        <w:ind w:left="1352" w:right="416" w:firstLine="0"/>
      </w:pPr>
      <w:r>
        <w:rPr>
          <w:b/>
        </w:rPr>
        <w:t>Auditors Panel </w:t>
      </w:r>
      <w:r>
        <w:rPr/>
        <w:t>means the panel of persons (who may be individuals or firms) from whom an Independent Auditor may be appointed in accordance with clause 4A.E.5.</w:t>
      </w:r>
    </w:p>
    <w:p>
      <w:pPr>
        <w:spacing w:before="120"/>
        <w:ind w:left="1352" w:right="416" w:firstLine="0"/>
        <w:jc w:val="both"/>
        <w:rPr>
          <w:sz w:val="24"/>
        </w:rPr>
      </w:pPr>
      <w:r>
        <w:rPr>
          <w:b/>
          <w:sz w:val="24"/>
        </w:rPr>
        <w:t>bespoke firmness methodology </w:t>
      </w:r>
      <w:r>
        <w:rPr>
          <w:sz w:val="24"/>
        </w:rPr>
        <w:t>means a firmness methodology which is not a default firmness methodology.</w:t>
      </w:r>
    </w:p>
    <w:p>
      <w:pPr>
        <w:spacing w:before="120"/>
        <w:ind w:left="1352" w:right="415" w:firstLine="0"/>
        <w:jc w:val="both"/>
        <w:rPr>
          <w:sz w:val="24"/>
        </w:rPr>
      </w:pPr>
      <w:r>
        <w:rPr>
          <w:b/>
          <w:sz w:val="24"/>
        </w:rPr>
        <w:t>book build contract </w:t>
      </w:r>
      <w:r>
        <w:rPr>
          <w:sz w:val="24"/>
        </w:rPr>
        <w:t>means a contract which satisfies the relevant criteria set out under the Book Build Procedures and which may be offered to other </w:t>
      </w:r>
      <w:r>
        <w:rPr>
          <w:i/>
          <w:sz w:val="24"/>
        </w:rPr>
        <w:t>book build </w:t>
      </w:r>
      <w:r>
        <w:rPr>
          <w:i/>
          <w:sz w:val="24"/>
        </w:rPr>
        <w:t>participants </w:t>
      </w:r>
      <w:r>
        <w:rPr>
          <w:sz w:val="24"/>
        </w:rPr>
        <w:t>as part of a </w:t>
      </w:r>
      <w:r>
        <w:rPr>
          <w:i/>
          <w:sz w:val="24"/>
        </w:rPr>
        <w:t>voluntary book build</w:t>
      </w:r>
      <w:r>
        <w:rPr>
          <w:sz w:val="24"/>
        </w:rPr>
        <w:t>.</w:t>
      </w:r>
    </w:p>
    <w:p>
      <w:pPr>
        <w:spacing w:before="120"/>
        <w:ind w:left="1352" w:right="413" w:firstLine="0"/>
        <w:jc w:val="both"/>
        <w:rPr>
          <w:sz w:val="24"/>
        </w:rPr>
      </w:pPr>
      <w:r>
        <w:rPr>
          <w:b/>
          <w:sz w:val="24"/>
        </w:rPr>
        <w:t>book build fees </w:t>
      </w:r>
      <w:r>
        <w:rPr>
          <w:sz w:val="24"/>
        </w:rPr>
        <w:t>means fees imposed on </w:t>
      </w:r>
      <w:r>
        <w:rPr>
          <w:i/>
          <w:sz w:val="24"/>
        </w:rPr>
        <w:t>book build participants </w:t>
      </w:r>
      <w:r>
        <w:rPr>
          <w:sz w:val="24"/>
        </w:rPr>
        <w:t>to reimburse </w:t>
      </w:r>
      <w:r>
        <w:rPr>
          <w:i/>
          <w:sz w:val="24"/>
        </w:rPr>
        <w:t>AEMO </w:t>
      </w:r>
      <w:r>
        <w:rPr>
          <w:sz w:val="24"/>
        </w:rPr>
        <w:t>for its costs incurred in developing, establishing and conducting a </w:t>
      </w:r>
      <w:r>
        <w:rPr>
          <w:i/>
          <w:sz w:val="24"/>
        </w:rPr>
        <w:t>voluntary book build</w:t>
      </w:r>
      <w:r>
        <w:rPr>
          <w:sz w:val="24"/>
        </w:rPr>
        <w:t>.</w:t>
      </w:r>
    </w:p>
    <w:p>
      <w:pPr>
        <w:spacing w:before="120"/>
        <w:ind w:left="1352" w:right="416" w:firstLine="0"/>
        <w:jc w:val="both"/>
        <w:rPr>
          <w:sz w:val="24"/>
        </w:rPr>
      </w:pPr>
      <w:r>
        <w:rPr>
          <w:b/>
          <w:sz w:val="24"/>
        </w:rPr>
        <w:t>book build participation agreement </w:t>
      </w:r>
      <w:r>
        <w:rPr>
          <w:sz w:val="24"/>
        </w:rPr>
        <w:t>has the meaning given in clause 4A.H.4(b)(1).</w:t>
      </w:r>
    </w:p>
    <w:p>
      <w:pPr>
        <w:spacing w:before="120"/>
        <w:ind w:left="1352" w:right="415" w:firstLine="0"/>
        <w:jc w:val="both"/>
        <w:rPr>
          <w:sz w:val="24"/>
        </w:rPr>
      </w:pPr>
      <w:r>
        <w:rPr>
          <w:b/>
          <w:sz w:val="24"/>
        </w:rPr>
        <w:t>Book Build Procedures </w:t>
      </w:r>
      <w:r>
        <w:rPr>
          <w:sz w:val="24"/>
        </w:rPr>
        <w:t>means the procedures developed by </w:t>
      </w:r>
      <w:r>
        <w:rPr>
          <w:i/>
          <w:sz w:val="24"/>
        </w:rPr>
        <w:t>AEMO </w:t>
      </w:r>
      <w:r>
        <w:rPr>
          <w:sz w:val="24"/>
        </w:rPr>
        <w:t>under clause 4A.H.2.</w:t>
      </w:r>
    </w:p>
    <w:p>
      <w:pPr>
        <w:spacing w:before="120"/>
        <w:ind w:left="1352" w:right="0" w:firstLine="0"/>
        <w:jc w:val="both"/>
        <w:rPr>
          <w:sz w:val="24"/>
        </w:rPr>
      </w:pPr>
      <w:r>
        <w:rPr>
          <w:b/>
          <w:sz w:val="24"/>
        </w:rPr>
        <w:t>compliance TIs </w:t>
      </w:r>
      <w:r>
        <w:rPr>
          <w:sz w:val="24"/>
        </w:rPr>
        <w:t>has the meaning given in clause 4A.F.2.</w:t>
      </w:r>
    </w:p>
    <w:p>
      <w:pPr>
        <w:spacing w:before="120"/>
        <w:ind w:left="1352" w:right="0" w:firstLine="0"/>
        <w:jc w:val="both"/>
        <w:rPr>
          <w:sz w:val="24"/>
        </w:rPr>
      </w:pPr>
      <w:r>
        <w:rPr>
          <w:b/>
          <w:sz w:val="24"/>
        </w:rPr>
        <w:t>contract position day </w:t>
      </w:r>
      <w:r>
        <w:rPr>
          <w:sz w:val="24"/>
        </w:rPr>
        <w:t>has the meaning given in the </w:t>
      </w:r>
      <w:r>
        <w:rPr>
          <w:i/>
          <w:sz w:val="24"/>
        </w:rPr>
        <w:t>National Electricity Law</w:t>
      </w:r>
      <w:r>
        <w:rPr>
          <w:sz w:val="24"/>
        </w:rPr>
        <w:t>.</w:t>
      </w:r>
    </w:p>
    <w:p>
      <w:pPr>
        <w:spacing w:before="120"/>
        <w:ind w:left="1352" w:right="416" w:firstLine="0"/>
        <w:jc w:val="both"/>
        <w:rPr>
          <w:sz w:val="24"/>
        </w:rPr>
      </w:pPr>
      <w:r>
        <w:rPr>
          <w:b/>
          <w:sz w:val="24"/>
        </w:rPr>
        <w:t>Contracts and Firmness Guidelines </w:t>
      </w:r>
      <w:r>
        <w:rPr>
          <w:sz w:val="24"/>
        </w:rPr>
        <w:t>means the guidelines made by the </w:t>
      </w:r>
      <w:r>
        <w:rPr>
          <w:i/>
          <w:sz w:val="24"/>
        </w:rPr>
        <w:t>AER </w:t>
      </w:r>
      <w:r>
        <w:rPr>
          <w:sz w:val="24"/>
        </w:rPr>
        <w:t>in accordance with clause 4A.E.8.</w:t>
      </w:r>
    </w:p>
    <w:p>
      <w:pPr>
        <w:spacing w:before="120"/>
        <w:ind w:left="1352" w:right="0" w:firstLine="0"/>
        <w:jc w:val="both"/>
        <w:rPr>
          <w:sz w:val="24"/>
        </w:rPr>
      </w:pPr>
      <w:r>
        <w:rPr>
          <w:b/>
          <w:sz w:val="24"/>
        </w:rPr>
        <w:t>controlling entity </w:t>
      </w:r>
      <w:r>
        <w:rPr>
          <w:sz w:val="24"/>
        </w:rPr>
        <w:t>has the meaning given in clause 4A.G.6(a).</w:t>
      </w:r>
    </w:p>
    <w:p>
      <w:pPr>
        <w:spacing w:line="343" w:lineRule="auto" w:before="120"/>
        <w:ind w:left="1352" w:right="1379" w:firstLine="0"/>
        <w:jc w:val="left"/>
        <w:rPr>
          <w:sz w:val="24"/>
        </w:rPr>
      </w:pPr>
      <w:r>
        <w:rPr>
          <w:b/>
          <w:sz w:val="24"/>
        </w:rPr>
        <w:t>default firmness methodology </w:t>
      </w:r>
      <w:r>
        <w:rPr>
          <w:sz w:val="24"/>
        </w:rPr>
        <w:t>has the meaning given in clause 4A.E.4. </w:t>
      </w:r>
      <w:r>
        <w:rPr>
          <w:b/>
          <w:sz w:val="24"/>
        </w:rPr>
        <w:t>firmness methodology </w:t>
      </w:r>
      <w:r>
        <w:rPr>
          <w:sz w:val="24"/>
        </w:rPr>
        <w:t>has the meaning given in clause 4A.E.3. </w:t>
      </w:r>
      <w:r>
        <w:rPr>
          <w:b/>
          <w:sz w:val="24"/>
        </w:rPr>
        <w:t>firmness principles </w:t>
      </w:r>
      <w:r>
        <w:rPr>
          <w:sz w:val="24"/>
        </w:rPr>
        <w:t>has the meaning given in clause 4A.E.3.</w:t>
      </w:r>
    </w:p>
    <w:p>
      <w:pPr>
        <w:spacing w:before="4"/>
        <w:ind w:left="1352" w:right="0" w:firstLine="0"/>
        <w:jc w:val="left"/>
        <w:rPr>
          <w:i/>
          <w:sz w:val="24"/>
        </w:rPr>
      </w:pPr>
      <w:r>
        <w:rPr>
          <w:b/>
          <w:sz w:val="24"/>
        </w:rPr>
        <w:t>Forecasting Best Practice Guidelines </w:t>
      </w:r>
      <w:r>
        <w:rPr>
          <w:sz w:val="24"/>
        </w:rPr>
        <w:t>means the guideline made by the </w:t>
      </w:r>
      <w:r>
        <w:rPr>
          <w:i/>
          <w:sz w:val="24"/>
        </w:rPr>
        <w:t>AER</w:t>
      </w:r>
    </w:p>
    <w:p>
      <w:pPr>
        <w:pStyle w:val="BodyText"/>
        <w:spacing w:before="0"/>
        <w:ind w:left="1352" w:firstLine="0"/>
        <w:jc w:val="left"/>
      </w:pPr>
      <w:r>
        <w:rPr/>
        <w:t>under clause 4A.B.5.</w:t>
      </w:r>
    </w:p>
    <w:p>
      <w:pPr>
        <w:spacing w:after="0"/>
        <w:jc w:val="left"/>
        <w:sectPr>
          <w:headerReference w:type="default" r:id="rId49"/>
          <w:footerReference w:type="default" r:id="rId50"/>
          <w:pgSz w:w="11910" w:h="16840"/>
          <w:pgMar w:header="686" w:footer="637" w:top="1320" w:bottom="820" w:left="1200" w:right="1000"/>
          <w:pgNumType w:start="29"/>
        </w:sectPr>
      </w:pPr>
    </w:p>
    <w:p>
      <w:pPr>
        <w:spacing w:before="83"/>
        <w:ind w:left="1352" w:right="415" w:firstLine="0"/>
        <w:jc w:val="left"/>
        <w:rPr>
          <w:sz w:val="24"/>
        </w:rPr>
      </w:pPr>
      <w:r>
        <w:rPr>
          <w:b/>
          <w:sz w:val="24"/>
        </w:rPr>
        <w:t>forecast reliability gap period </w:t>
      </w:r>
      <w:r>
        <w:rPr>
          <w:sz w:val="24"/>
        </w:rPr>
        <w:t>has the meaning given in the </w:t>
      </w:r>
      <w:r>
        <w:rPr>
          <w:i/>
          <w:sz w:val="24"/>
        </w:rPr>
        <w:t>National Electricity </w:t>
      </w:r>
      <w:r>
        <w:rPr>
          <w:i/>
          <w:sz w:val="24"/>
        </w:rPr>
        <w:t>Law</w:t>
      </w:r>
      <w:r>
        <w:rPr>
          <w:sz w:val="24"/>
        </w:rPr>
        <w:t>.</w:t>
      </w:r>
    </w:p>
    <w:p>
      <w:pPr>
        <w:spacing w:before="120"/>
        <w:ind w:left="1352" w:right="415" w:firstLine="0"/>
        <w:jc w:val="left"/>
        <w:rPr>
          <w:sz w:val="24"/>
        </w:rPr>
      </w:pPr>
      <w:r>
        <w:rPr>
          <w:b/>
          <w:sz w:val="24"/>
        </w:rPr>
        <w:t>gap trading intervals </w:t>
      </w:r>
      <w:r>
        <w:rPr>
          <w:sz w:val="24"/>
        </w:rPr>
        <w:t>means the </w:t>
      </w:r>
      <w:r>
        <w:rPr>
          <w:i/>
          <w:sz w:val="24"/>
        </w:rPr>
        <w:t>trading intervals </w:t>
      </w:r>
      <w:r>
        <w:rPr>
          <w:sz w:val="24"/>
        </w:rPr>
        <w:t>stated in a T-1 reliability instrument.</w:t>
      </w:r>
    </w:p>
    <w:p>
      <w:pPr>
        <w:spacing w:before="120"/>
        <w:ind w:left="1352" w:right="0" w:firstLine="0"/>
        <w:jc w:val="left"/>
        <w:rPr>
          <w:sz w:val="24"/>
        </w:rPr>
      </w:pPr>
      <w:r>
        <w:rPr>
          <w:b/>
          <w:sz w:val="24"/>
        </w:rPr>
        <w:t>generator capacity </w:t>
      </w:r>
      <w:r>
        <w:rPr>
          <w:sz w:val="24"/>
        </w:rPr>
        <w:t>has the meaning given in clause 4A.G.3(b).</w:t>
      </w:r>
    </w:p>
    <w:p>
      <w:pPr>
        <w:spacing w:before="120"/>
        <w:ind w:left="1352" w:right="0" w:firstLine="0"/>
        <w:jc w:val="left"/>
        <w:rPr>
          <w:sz w:val="24"/>
        </w:rPr>
      </w:pPr>
      <w:r>
        <w:rPr>
          <w:b/>
          <w:sz w:val="24"/>
        </w:rPr>
        <w:t>Independent Auditor </w:t>
      </w:r>
      <w:r>
        <w:rPr>
          <w:sz w:val="24"/>
        </w:rPr>
        <w:t>means a member of the Auditors Panel.</w:t>
      </w:r>
    </w:p>
    <w:p>
      <w:pPr>
        <w:spacing w:before="120"/>
        <w:ind w:left="1352" w:right="415" w:firstLine="0"/>
        <w:jc w:val="left"/>
        <w:rPr>
          <w:sz w:val="24"/>
        </w:rPr>
      </w:pPr>
      <w:r>
        <w:rPr>
          <w:b/>
          <w:sz w:val="24"/>
        </w:rPr>
        <w:t>large opt-in customer </w:t>
      </w:r>
      <w:r>
        <w:rPr>
          <w:sz w:val="24"/>
        </w:rPr>
        <w:t>means a person registered as a large opt-in customer with the </w:t>
      </w:r>
      <w:r>
        <w:rPr>
          <w:i/>
          <w:sz w:val="24"/>
        </w:rPr>
        <w:t>AER </w:t>
      </w:r>
      <w:r>
        <w:rPr>
          <w:sz w:val="24"/>
        </w:rPr>
        <w:t>under clause 4A.D.4.</w:t>
      </w:r>
    </w:p>
    <w:p>
      <w:pPr>
        <w:spacing w:before="120"/>
        <w:ind w:left="1352" w:right="415" w:firstLine="0"/>
        <w:jc w:val="left"/>
        <w:rPr>
          <w:sz w:val="24"/>
        </w:rPr>
      </w:pPr>
      <w:r>
        <w:rPr>
          <w:b/>
          <w:sz w:val="24"/>
        </w:rPr>
        <w:t>liable entity </w:t>
      </w:r>
      <w:r>
        <w:rPr>
          <w:sz w:val="24"/>
        </w:rPr>
        <w:t>has the meaning given in the </w:t>
      </w:r>
      <w:r>
        <w:rPr>
          <w:i/>
          <w:sz w:val="24"/>
        </w:rPr>
        <w:t>National Electricity Law </w:t>
      </w:r>
      <w:r>
        <w:rPr>
          <w:sz w:val="24"/>
        </w:rPr>
        <w:t>and as determined in accordance with clause 4A.D.2.</w:t>
      </w:r>
    </w:p>
    <w:p>
      <w:pPr>
        <w:pStyle w:val="BodyText"/>
        <w:ind w:left="1352" w:firstLine="0"/>
        <w:jc w:val="left"/>
      </w:pPr>
      <w:r>
        <w:rPr>
          <w:b/>
        </w:rPr>
        <w:t>liable load </w:t>
      </w:r>
      <w:r>
        <w:rPr/>
        <w:t>means the load determined under clause 4A.F.3(b).</w:t>
      </w:r>
    </w:p>
    <w:p>
      <w:pPr>
        <w:spacing w:before="120"/>
        <w:ind w:left="1352" w:right="0" w:firstLine="0"/>
        <w:jc w:val="left"/>
        <w:rPr>
          <w:sz w:val="24"/>
        </w:rPr>
      </w:pPr>
      <w:r>
        <w:rPr>
          <w:b/>
          <w:sz w:val="24"/>
        </w:rPr>
        <w:t>liable share </w:t>
      </w:r>
      <w:r>
        <w:rPr>
          <w:sz w:val="24"/>
        </w:rPr>
        <w:t>has the meaning given in clause 4A.F.3(a).</w:t>
      </w:r>
    </w:p>
    <w:p>
      <w:pPr>
        <w:spacing w:before="120"/>
        <w:ind w:left="1352" w:right="415" w:firstLine="0"/>
        <w:jc w:val="left"/>
        <w:rPr>
          <w:sz w:val="24"/>
        </w:rPr>
      </w:pPr>
      <w:r>
        <w:rPr>
          <w:b/>
          <w:sz w:val="24"/>
        </w:rPr>
        <w:t>liquidity obligation </w:t>
      </w:r>
      <w:r>
        <w:rPr>
          <w:sz w:val="24"/>
        </w:rPr>
        <w:t>means the obligation to be performed by a MLO generator in a </w:t>
      </w:r>
      <w:r>
        <w:rPr>
          <w:i/>
          <w:sz w:val="24"/>
        </w:rPr>
        <w:t>region </w:t>
      </w:r>
      <w:r>
        <w:rPr>
          <w:sz w:val="24"/>
        </w:rPr>
        <w:t>under rule 4A.G.17.</w:t>
      </w:r>
    </w:p>
    <w:p>
      <w:pPr>
        <w:spacing w:before="120"/>
        <w:ind w:left="1352" w:right="415" w:firstLine="0"/>
        <w:jc w:val="left"/>
        <w:rPr>
          <w:sz w:val="24"/>
        </w:rPr>
      </w:pPr>
      <w:r>
        <w:rPr>
          <w:b/>
          <w:sz w:val="24"/>
        </w:rPr>
        <w:t>liquidity period </w:t>
      </w:r>
      <w:r>
        <w:rPr>
          <w:sz w:val="24"/>
        </w:rPr>
        <w:t>means the period during which a liquidity obligation is in effect with respect to a </w:t>
      </w:r>
      <w:r>
        <w:rPr>
          <w:i/>
          <w:sz w:val="24"/>
        </w:rPr>
        <w:t>forecast reliability gap</w:t>
      </w:r>
      <w:r>
        <w:rPr>
          <w:sz w:val="24"/>
        </w:rPr>
        <w:t>, as determined under clause 4A.G.16.</w:t>
      </w:r>
    </w:p>
    <w:p>
      <w:pPr>
        <w:spacing w:before="120"/>
        <w:ind w:left="1352" w:right="0" w:firstLine="0"/>
        <w:jc w:val="left"/>
        <w:rPr>
          <w:sz w:val="24"/>
        </w:rPr>
      </w:pPr>
      <w:r>
        <w:rPr>
          <w:b/>
          <w:sz w:val="24"/>
        </w:rPr>
        <w:t>matched book build participant </w:t>
      </w:r>
      <w:r>
        <w:rPr>
          <w:sz w:val="24"/>
        </w:rPr>
        <w:t>means a </w:t>
      </w:r>
      <w:r>
        <w:rPr>
          <w:i/>
          <w:sz w:val="24"/>
        </w:rPr>
        <w:t>book build participant</w:t>
      </w:r>
      <w:r>
        <w:rPr>
          <w:sz w:val="24"/>
        </w:rPr>
        <w:t>:</w:t>
      </w:r>
    </w:p>
    <w:p>
      <w:pPr>
        <w:pStyle w:val="ListParagraph"/>
        <w:numPr>
          <w:ilvl w:val="0"/>
          <w:numId w:val="58"/>
        </w:numPr>
        <w:tabs>
          <w:tab w:pos="1919" w:val="left" w:leader="none"/>
        </w:tabs>
        <w:spacing w:line="240" w:lineRule="auto" w:before="120" w:after="0"/>
        <w:ind w:left="1919" w:right="414" w:hanging="567"/>
        <w:jc w:val="both"/>
        <w:rPr>
          <w:sz w:val="24"/>
        </w:rPr>
      </w:pPr>
      <w:r>
        <w:rPr>
          <w:sz w:val="24"/>
        </w:rPr>
        <w:t>who offers to buy or sell a book build contract through the </w:t>
      </w:r>
      <w:r>
        <w:rPr>
          <w:i/>
          <w:sz w:val="24"/>
        </w:rPr>
        <w:t>voluntary book </w:t>
      </w:r>
      <w:r>
        <w:rPr>
          <w:i/>
          <w:sz w:val="24"/>
        </w:rPr>
        <w:t>build</w:t>
      </w:r>
      <w:r>
        <w:rPr>
          <w:sz w:val="24"/>
        </w:rPr>
        <w:t>; and</w:t>
      </w:r>
    </w:p>
    <w:p>
      <w:pPr>
        <w:pStyle w:val="ListParagraph"/>
        <w:numPr>
          <w:ilvl w:val="0"/>
          <w:numId w:val="58"/>
        </w:numPr>
        <w:tabs>
          <w:tab w:pos="1919" w:val="left" w:leader="none"/>
        </w:tabs>
        <w:spacing w:line="240" w:lineRule="auto" w:before="120" w:after="0"/>
        <w:ind w:left="1919" w:right="415" w:hanging="567"/>
        <w:jc w:val="both"/>
        <w:rPr>
          <w:sz w:val="24"/>
        </w:rPr>
      </w:pPr>
      <w:r>
        <w:rPr>
          <w:sz w:val="24"/>
        </w:rPr>
        <w:t>for which </w:t>
      </w:r>
      <w:r>
        <w:rPr>
          <w:i/>
          <w:sz w:val="24"/>
        </w:rPr>
        <w:t>AEMO </w:t>
      </w:r>
      <w:r>
        <w:rPr>
          <w:sz w:val="24"/>
        </w:rPr>
        <w:t>has identified another </w:t>
      </w:r>
      <w:r>
        <w:rPr>
          <w:i/>
          <w:sz w:val="24"/>
        </w:rPr>
        <w:t>book build participant </w:t>
      </w:r>
      <w:r>
        <w:rPr>
          <w:sz w:val="24"/>
        </w:rPr>
        <w:t>who has made an offer to buy or sell (as applicable) the book build contract referred to in paragraph</w:t>
      </w:r>
      <w:r>
        <w:rPr>
          <w:spacing w:val="-1"/>
          <w:sz w:val="24"/>
        </w:rPr>
        <w:t> </w:t>
      </w:r>
      <w:r>
        <w:rPr>
          <w:sz w:val="24"/>
        </w:rPr>
        <w:t>(a),</w:t>
      </w:r>
    </w:p>
    <w:p>
      <w:pPr>
        <w:pStyle w:val="BodyText"/>
        <w:ind w:left="1352" w:firstLine="0"/>
        <w:jc w:val="left"/>
      </w:pPr>
      <w:r>
        <w:rPr/>
        <w:t>in accordance with the Book Build Procedures.</w:t>
      </w:r>
    </w:p>
    <w:p>
      <w:pPr>
        <w:spacing w:before="120"/>
        <w:ind w:left="1352" w:right="0" w:firstLine="0"/>
        <w:jc w:val="left"/>
        <w:rPr>
          <w:sz w:val="24"/>
        </w:rPr>
      </w:pPr>
      <w:r>
        <w:rPr>
          <w:b/>
          <w:sz w:val="24"/>
        </w:rPr>
        <w:t>minimum opt-in threshold </w:t>
      </w:r>
      <w:r>
        <w:rPr>
          <w:sz w:val="24"/>
        </w:rPr>
        <w:t>has the meaning given in clause 4A.D.6(a)(2).</w:t>
      </w:r>
    </w:p>
    <w:p>
      <w:pPr>
        <w:spacing w:before="120"/>
        <w:ind w:left="1352" w:right="0" w:firstLine="0"/>
        <w:jc w:val="left"/>
        <w:rPr>
          <w:sz w:val="24"/>
        </w:rPr>
      </w:pPr>
      <w:r>
        <w:rPr>
          <w:b/>
          <w:sz w:val="24"/>
        </w:rPr>
        <w:t>MLO exchange </w:t>
      </w:r>
      <w:r>
        <w:rPr>
          <w:sz w:val="24"/>
        </w:rPr>
        <w:t>has the meaning given in clause 4A.G.23(a).</w:t>
      </w:r>
    </w:p>
    <w:p>
      <w:pPr>
        <w:spacing w:before="120"/>
        <w:ind w:left="1352" w:right="0" w:firstLine="0"/>
        <w:jc w:val="left"/>
        <w:rPr>
          <w:sz w:val="24"/>
        </w:rPr>
      </w:pPr>
      <w:r>
        <w:rPr>
          <w:b/>
          <w:sz w:val="24"/>
        </w:rPr>
        <w:t>MLO generator </w:t>
      </w:r>
      <w:r>
        <w:rPr>
          <w:sz w:val="24"/>
        </w:rPr>
        <w:t>has the meaning given in clause 4A.G.11.</w:t>
      </w:r>
    </w:p>
    <w:p>
      <w:pPr>
        <w:pStyle w:val="BodyText"/>
        <w:ind w:left="1352" w:firstLine="0"/>
        <w:jc w:val="left"/>
      </w:pPr>
      <w:r>
        <w:rPr>
          <w:b/>
        </w:rPr>
        <w:t>MLO group </w:t>
      </w:r>
      <w:r>
        <w:rPr/>
        <w:t>has the meaning given in clause 4A.G.10.</w:t>
      </w:r>
    </w:p>
    <w:p>
      <w:pPr>
        <w:spacing w:before="120"/>
        <w:ind w:left="1352" w:right="0" w:firstLine="0"/>
        <w:jc w:val="left"/>
        <w:rPr>
          <w:sz w:val="24"/>
        </w:rPr>
      </w:pPr>
      <w:r>
        <w:rPr>
          <w:b/>
          <w:sz w:val="24"/>
        </w:rPr>
        <w:t>MLO Guidelines </w:t>
      </w:r>
      <w:r>
        <w:rPr>
          <w:sz w:val="24"/>
        </w:rPr>
        <w:t>means the guidelines made by the </w:t>
      </w:r>
      <w:r>
        <w:rPr>
          <w:i/>
          <w:sz w:val="24"/>
        </w:rPr>
        <w:t>AER </w:t>
      </w:r>
      <w:r>
        <w:rPr>
          <w:sz w:val="24"/>
        </w:rPr>
        <w:t>under clause 4A.G.25.</w:t>
      </w:r>
    </w:p>
    <w:p>
      <w:pPr>
        <w:spacing w:before="120"/>
        <w:ind w:left="1352" w:right="0" w:firstLine="0"/>
        <w:jc w:val="left"/>
        <w:rPr>
          <w:sz w:val="24"/>
        </w:rPr>
      </w:pPr>
      <w:r>
        <w:rPr>
          <w:b/>
          <w:sz w:val="24"/>
        </w:rPr>
        <w:t>MLO nominee </w:t>
      </w:r>
      <w:r>
        <w:rPr>
          <w:sz w:val="24"/>
        </w:rPr>
        <w:t>has the meaning given in clause 4A.G.20(a).</w:t>
      </w:r>
    </w:p>
    <w:p>
      <w:pPr>
        <w:pStyle w:val="BodyText"/>
        <w:ind w:left="1352" w:right="415" w:firstLine="0"/>
      </w:pPr>
      <w:r>
        <w:rPr>
          <w:b/>
        </w:rPr>
        <w:t>MLO products </w:t>
      </w:r>
      <w:r>
        <w:rPr/>
        <w:t>means any product which satisfies the criteria set out</w:t>
      </w:r>
      <w:r>
        <w:rPr>
          <w:spacing w:val="32"/>
        </w:rPr>
        <w:t> </w:t>
      </w:r>
      <w:r>
        <w:rPr/>
        <w:t>under clause 4A.G.22(a) or which the </w:t>
      </w:r>
      <w:r>
        <w:rPr>
          <w:i/>
        </w:rPr>
        <w:t>AER </w:t>
      </w:r>
      <w:r>
        <w:rPr/>
        <w:t>approves to be a MLO product under clause 4A.G.22(b).</w:t>
      </w:r>
    </w:p>
    <w:p>
      <w:pPr>
        <w:spacing w:before="120"/>
        <w:ind w:left="1352" w:right="0" w:firstLine="0"/>
        <w:jc w:val="both"/>
        <w:rPr>
          <w:sz w:val="24"/>
        </w:rPr>
      </w:pPr>
      <w:r>
        <w:rPr>
          <w:b/>
          <w:sz w:val="24"/>
        </w:rPr>
        <w:t>MLO register </w:t>
      </w:r>
      <w:r>
        <w:rPr>
          <w:sz w:val="24"/>
        </w:rPr>
        <w:t>means the register established, maintained and </w:t>
      </w:r>
      <w:r>
        <w:rPr>
          <w:i/>
          <w:sz w:val="24"/>
        </w:rPr>
        <w:t>published </w:t>
      </w:r>
      <w:r>
        <w:rPr>
          <w:sz w:val="24"/>
        </w:rPr>
        <w:t>by the</w:t>
      </w:r>
    </w:p>
    <w:p>
      <w:pPr>
        <w:pStyle w:val="BodyText"/>
        <w:spacing w:before="0"/>
        <w:ind w:left="1352" w:firstLine="0"/>
      </w:pPr>
      <w:r>
        <w:rPr>
          <w:i/>
        </w:rPr>
        <w:t>AER </w:t>
      </w:r>
      <w:r>
        <w:rPr/>
        <w:t>under clause 4A.G.12.</w:t>
      </w:r>
    </w:p>
    <w:p>
      <w:pPr>
        <w:spacing w:before="120"/>
        <w:ind w:left="1352" w:right="0" w:firstLine="0"/>
        <w:jc w:val="both"/>
        <w:rPr>
          <w:sz w:val="24"/>
        </w:rPr>
      </w:pPr>
      <w:r>
        <w:rPr>
          <w:b/>
          <w:sz w:val="24"/>
        </w:rPr>
        <w:t>NCP report </w:t>
      </w:r>
      <w:r>
        <w:rPr>
          <w:sz w:val="24"/>
        </w:rPr>
        <w:t>has the meaning given in clause 4A.E.6(a).</w:t>
      </w:r>
    </w:p>
    <w:p>
      <w:pPr>
        <w:spacing w:before="120"/>
        <w:ind w:left="1352" w:right="414" w:firstLine="0"/>
        <w:jc w:val="both"/>
        <w:rPr>
          <w:sz w:val="24"/>
        </w:rPr>
      </w:pPr>
      <w:r>
        <w:rPr>
          <w:b/>
          <w:sz w:val="24"/>
        </w:rPr>
        <w:t>net contract position </w:t>
      </w:r>
      <w:r>
        <w:rPr>
          <w:sz w:val="24"/>
        </w:rPr>
        <w:t>has the meaning given in the </w:t>
      </w:r>
      <w:r>
        <w:rPr>
          <w:i/>
          <w:sz w:val="24"/>
        </w:rPr>
        <w:t>National Electricity Law </w:t>
      </w:r>
      <w:r>
        <w:rPr>
          <w:sz w:val="24"/>
        </w:rPr>
        <w:t>and as determined in accordance with clause 4A.E.2.</w:t>
      </w:r>
    </w:p>
    <w:p>
      <w:pPr>
        <w:spacing w:before="120"/>
        <w:ind w:left="1352" w:right="0" w:firstLine="0"/>
        <w:jc w:val="both"/>
        <w:rPr>
          <w:sz w:val="24"/>
        </w:rPr>
      </w:pPr>
      <w:r>
        <w:rPr>
          <w:b/>
          <w:sz w:val="24"/>
        </w:rPr>
        <w:t>new entrant </w:t>
      </w:r>
      <w:r>
        <w:rPr>
          <w:sz w:val="24"/>
        </w:rPr>
        <w:t>has the meaning given in clause 4A.D.3.</w:t>
      </w:r>
    </w:p>
    <w:p>
      <w:pPr>
        <w:spacing w:after="0"/>
        <w:jc w:val="both"/>
        <w:rPr>
          <w:sz w:val="24"/>
        </w:rPr>
        <w:sectPr>
          <w:pgSz w:w="11910" w:h="16840"/>
          <w:pgMar w:header="686" w:footer="637" w:top="1320" w:bottom="820" w:left="1200" w:right="1000"/>
        </w:sectPr>
      </w:pPr>
    </w:p>
    <w:p>
      <w:pPr>
        <w:spacing w:before="83"/>
        <w:ind w:left="1352" w:right="415" w:firstLine="0"/>
        <w:jc w:val="both"/>
        <w:rPr>
          <w:sz w:val="24"/>
        </w:rPr>
      </w:pPr>
      <w:r>
        <w:rPr>
          <w:b/>
          <w:sz w:val="24"/>
        </w:rPr>
        <w:t>new entrant contract position day </w:t>
      </w:r>
      <w:r>
        <w:rPr>
          <w:sz w:val="24"/>
        </w:rPr>
        <w:t>means the first day of a </w:t>
      </w:r>
      <w:r>
        <w:rPr>
          <w:i/>
          <w:sz w:val="24"/>
        </w:rPr>
        <w:t>reliability gap period</w:t>
      </w:r>
      <w:r>
        <w:rPr>
          <w:sz w:val="24"/>
        </w:rPr>
        <w:t>, unless an alternative date is stated in a T-1 reliability instrument.</w:t>
      </w:r>
    </w:p>
    <w:p>
      <w:pPr>
        <w:spacing w:before="120"/>
        <w:ind w:left="1352" w:right="416" w:firstLine="0"/>
        <w:jc w:val="both"/>
        <w:rPr>
          <w:sz w:val="24"/>
        </w:rPr>
      </w:pPr>
      <w:r>
        <w:rPr>
          <w:b/>
          <w:sz w:val="24"/>
        </w:rPr>
        <w:t>non-standard qualifying contract </w:t>
      </w:r>
      <w:r>
        <w:rPr>
          <w:sz w:val="24"/>
        </w:rPr>
        <w:t>means a qualifying contract which is not a standard qualifying contract.</w:t>
      </w:r>
    </w:p>
    <w:p>
      <w:pPr>
        <w:spacing w:before="120"/>
        <w:ind w:left="1352" w:right="416" w:firstLine="0"/>
        <w:jc w:val="both"/>
        <w:rPr>
          <w:sz w:val="24"/>
        </w:rPr>
      </w:pPr>
      <w:r>
        <w:rPr>
          <w:b/>
          <w:sz w:val="24"/>
        </w:rPr>
        <w:t>one-in-two year peak demand forecast </w:t>
      </w:r>
      <w:r>
        <w:rPr>
          <w:sz w:val="24"/>
        </w:rPr>
        <w:t>has the meaning given in the </w:t>
      </w:r>
      <w:r>
        <w:rPr>
          <w:i/>
          <w:sz w:val="24"/>
        </w:rPr>
        <w:t>National </w:t>
      </w:r>
      <w:r>
        <w:rPr>
          <w:i/>
          <w:sz w:val="24"/>
        </w:rPr>
        <w:t>Electricity Law </w:t>
      </w:r>
      <w:r>
        <w:rPr>
          <w:sz w:val="24"/>
        </w:rPr>
        <w:t>and as determined in accordance with clause 4A.A.3.</w:t>
      </w:r>
    </w:p>
    <w:p>
      <w:pPr>
        <w:spacing w:before="120"/>
        <w:ind w:left="1352" w:right="0" w:firstLine="0"/>
        <w:jc w:val="both"/>
        <w:rPr>
          <w:sz w:val="24"/>
        </w:rPr>
      </w:pPr>
      <w:r>
        <w:rPr>
          <w:b/>
          <w:sz w:val="24"/>
        </w:rPr>
        <w:t>opt-in customer </w:t>
      </w:r>
      <w:r>
        <w:rPr>
          <w:sz w:val="24"/>
        </w:rPr>
        <w:t>means a large opt-in customer or a prescribed opt-in customer.</w:t>
      </w:r>
    </w:p>
    <w:p>
      <w:pPr>
        <w:spacing w:before="120"/>
        <w:ind w:left="1352" w:right="0" w:firstLine="0"/>
        <w:jc w:val="both"/>
        <w:rPr>
          <w:sz w:val="24"/>
        </w:rPr>
      </w:pPr>
      <w:r>
        <w:rPr>
          <w:b/>
          <w:sz w:val="24"/>
        </w:rPr>
        <w:t>opt-in customer threshold </w:t>
      </w:r>
      <w:r>
        <w:rPr>
          <w:sz w:val="24"/>
        </w:rPr>
        <w:t>has the meaning given in clause 4A.D.6(a)(1).</w:t>
      </w:r>
    </w:p>
    <w:p>
      <w:pPr>
        <w:spacing w:before="120"/>
        <w:ind w:left="1352" w:right="0" w:firstLine="0"/>
        <w:jc w:val="both"/>
        <w:rPr>
          <w:sz w:val="24"/>
        </w:rPr>
      </w:pPr>
      <w:r>
        <w:rPr>
          <w:b/>
          <w:sz w:val="24"/>
        </w:rPr>
        <w:t>opt-in cut-off day </w:t>
      </w:r>
      <w:r>
        <w:rPr>
          <w:sz w:val="24"/>
        </w:rPr>
        <w:t>means the day determined in accordance with clause 4A.D.7.</w:t>
      </w:r>
    </w:p>
    <w:p>
      <w:pPr>
        <w:pStyle w:val="BodyText"/>
        <w:ind w:left="1352" w:right="414" w:firstLine="0"/>
      </w:pPr>
      <w:r>
        <w:rPr>
          <w:b/>
        </w:rPr>
        <w:t>opt-in register </w:t>
      </w:r>
      <w:r>
        <w:rPr/>
        <w:t>means a register established and maintained by the </w:t>
      </w:r>
      <w:r>
        <w:rPr>
          <w:i/>
        </w:rPr>
        <w:t>AER </w:t>
      </w:r>
      <w:r>
        <w:rPr/>
        <w:t>in accordance with clause 4A.D.9.</w:t>
      </w:r>
    </w:p>
    <w:p>
      <w:pPr>
        <w:spacing w:before="120"/>
        <w:ind w:left="1352" w:right="415" w:firstLine="0"/>
        <w:jc w:val="both"/>
        <w:rPr>
          <w:sz w:val="24"/>
        </w:rPr>
      </w:pPr>
      <w:r>
        <w:rPr>
          <w:b/>
          <w:sz w:val="24"/>
        </w:rPr>
        <w:t>peak demand </w:t>
      </w:r>
      <w:r>
        <w:rPr>
          <w:sz w:val="24"/>
        </w:rPr>
        <w:t>has the meaning given in the </w:t>
      </w:r>
      <w:r>
        <w:rPr>
          <w:i/>
          <w:sz w:val="24"/>
        </w:rPr>
        <w:t>National Electricity Law </w:t>
      </w:r>
      <w:r>
        <w:rPr>
          <w:sz w:val="24"/>
        </w:rPr>
        <w:t>and as determined in accordance with clause 4A.A.4.</w:t>
      </w:r>
    </w:p>
    <w:p>
      <w:pPr>
        <w:pStyle w:val="BodyText"/>
        <w:ind w:left="1352" w:right="415" w:firstLine="0"/>
      </w:pPr>
      <w:r>
        <w:rPr>
          <w:b/>
        </w:rPr>
        <w:t>position day </w:t>
      </w:r>
      <w:r>
        <w:rPr/>
        <w:t>means a contract position day or, for a new entrant, a new entrant contract position day.</w:t>
      </w:r>
    </w:p>
    <w:p>
      <w:pPr>
        <w:spacing w:before="120"/>
        <w:ind w:left="1352" w:right="416" w:firstLine="0"/>
        <w:jc w:val="both"/>
        <w:rPr>
          <w:sz w:val="24"/>
        </w:rPr>
      </w:pPr>
      <w:r>
        <w:rPr>
          <w:b/>
          <w:sz w:val="24"/>
        </w:rPr>
        <w:t>prescribed opt-in customer </w:t>
      </w:r>
      <w:r>
        <w:rPr>
          <w:sz w:val="24"/>
        </w:rPr>
        <w:t>means a person registered as a prescribed opt-in customer with the </w:t>
      </w:r>
      <w:r>
        <w:rPr>
          <w:i/>
          <w:sz w:val="24"/>
        </w:rPr>
        <w:t>AER </w:t>
      </w:r>
      <w:r>
        <w:rPr>
          <w:sz w:val="24"/>
        </w:rPr>
        <w:t>under clause 4A.D.5.</w:t>
      </w:r>
    </w:p>
    <w:p>
      <w:pPr>
        <w:spacing w:before="120"/>
        <w:ind w:left="1352" w:right="415" w:firstLine="0"/>
        <w:jc w:val="both"/>
        <w:rPr>
          <w:sz w:val="24"/>
        </w:rPr>
      </w:pPr>
      <w:r>
        <w:rPr>
          <w:b/>
          <w:sz w:val="24"/>
        </w:rPr>
        <w:t>qualifying contract </w:t>
      </w:r>
      <w:r>
        <w:rPr>
          <w:sz w:val="24"/>
        </w:rPr>
        <w:t>has the meaning given in the </w:t>
      </w:r>
      <w:r>
        <w:rPr>
          <w:i/>
          <w:sz w:val="24"/>
        </w:rPr>
        <w:t>National Electricity Law </w:t>
      </w:r>
      <w:r>
        <w:rPr>
          <w:sz w:val="24"/>
        </w:rPr>
        <w:t>and as determined in accordance with clause 4A.E.1.</w:t>
      </w:r>
    </w:p>
    <w:p>
      <w:pPr>
        <w:spacing w:before="120"/>
        <w:ind w:left="1352" w:right="415" w:firstLine="0"/>
        <w:jc w:val="both"/>
        <w:rPr>
          <w:sz w:val="24"/>
        </w:rPr>
      </w:pPr>
      <w:r>
        <w:rPr>
          <w:b/>
          <w:sz w:val="24"/>
        </w:rPr>
        <w:t>registered capacity </w:t>
      </w:r>
      <w:r>
        <w:rPr>
          <w:sz w:val="24"/>
        </w:rPr>
        <w:t>means in respect of a </w:t>
      </w:r>
      <w:r>
        <w:rPr>
          <w:i/>
          <w:sz w:val="24"/>
        </w:rPr>
        <w:t>generating unit</w:t>
      </w:r>
      <w:r>
        <w:rPr>
          <w:sz w:val="24"/>
        </w:rPr>
        <w:t>, the amount, in MW, shown as 'registered capacity' attributable to that </w:t>
      </w:r>
      <w:r>
        <w:rPr>
          <w:i/>
          <w:sz w:val="24"/>
        </w:rPr>
        <w:t>generating unit </w:t>
      </w:r>
      <w:r>
        <w:rPr>
          <w:sz w:val="24"/>
        </w:rPr>
        <w:t>in the 'NEM registration and exemption list' published by </w:t>
      </w:r>
      <w:r>
        <w:rPr>
          <w:i/>
          <w:sz w:val="24"/>
        </w:rPr>
        <w:t>AEMO</w:t>
      </w:r>
      <w:r>
        <w:rPr>
          <w:sz w:val="24"/>
        </w:rPr>
        <w:t>.</w:t>
      </w:r>
    </w:p>
    <w:p>
      <w:pPr>
        <w:spacing w:before="120"/>
        <w:ind w:left="1352" w:right="415" w:firstLine="0"/>
        <w:jc w:val="both"/>
        <w:rPr>
          <w:sz w:val="24"/>
        </w:rPr>
      </w:pPr>
      <w:r>
        <w:rPr>
          <w:b/>
          <w:sz w:val="24"/>
        </w:rPr>
        <w:t>Reliability Compliance Procedures and Guidelines </w:t>
      </w:r>
      <w:r>
        <w:rPr>
          <w:sz w:val="24"/>
        </w:rPr>
        <w:t>has the meaning given in the </w:t>
      </w:r>
      <w:r>
        <w:rPr>
          <w:i/>
          <w:sz w:val="24"/>
        </w:rPr>
        <w:t>National Electricity</w:t>
      </w:r>
      <w:r>
        <w:rPr>
          <w:i/>
          <w:spacing w:val="-1"/>
          <w:sz w:val="24"/>
        </w:rPr>
        <w:t> </w:t>
      </w:r>
      <w:r>
        <w:rPr>
          <w:i/>
          <w:sz w:val="24"/>
        </w:rPr>
        <w:t>Law</w:t>
      </w:r>
      <w:r>
        <w:rPr>
          <w:sz w:val="24"/>
        </w:rPr>
        <w:t>.</w:t>
      </w:r>
    </w:p>
    <w:p>
      <w:pPr>
        <w:spacing w:before="120"/>
        <w:ind w:left="1352" w:right="0" w:firstLine="0"/>
        <w:jc w:val="both"/>
        <w:rPr>
          <w:sz w:val="24"/>
        </w:rPr>
      </w:pPr>
      <w:r>
        <w:rPr>
          <w:b/>
          <w:sz w:val="24"/>
        </w:rPr>
        <w:t>reliability instrument </w:t>
      </w:r>
      <w:r>
        <w:rPr>
          <w:sz w:val="24"/>
        </w:rPr>
        <w:t>has the meaning given in the </w:t>
      </w:r>
      <w:r>
        <w:rPr>
          <w:i/>
          <w:sz w:val="24"/>
        </w:rPr>
        <w:t>National Electricity Law</w:t>
      </w:r>
      <w:r>
        <w:rPr>
          <w:sz w:val="24"/>
        </w:rPr>
        <w:t>.</w:t>
      </w:r>
    </w:p>
    <w:p>
      <w:pPr>
        <w:spacing w:before="120"/>
        <w:ind w:left="1352" w:right="416" w:firstLine="0"/>
        <w:jc w:val="both"/>
        <w:rPr>
          <w:sz w:val="24"/>
        </w:rPr>
      </w:pPr>
      <w:r>
        <w:rPr>
          <w:b/>
          <w:sz w:val="24"/>
        </w:rPr>
        <w:t>Reliability Instrument Guidelines </w:t>
      </w:r>
      <w:r>
        <w:rPr>
          <w:sz w:val="24"/>
        </w:rPr>
        <w:t>means the guidelines made by the </w:t>
      </w:r>
      <w:r>
        <w:rPr>
          <w:i/>
          <w:sz w:val="24"/>
        </w:rPr>
        <w:t>AER </w:t>
      </w:r>
      <w:r>
        <w:rPr>
          <w:sz w:val="24"/>
        </w:rPr>
        <w:t>under clause 4A.C.12.</w:t>
      </w:r>
    </w:p>
    <w:p>
      <w:pPr>
        <w:pStyle w:val="Heading4"/>
        <w:spacing w:before="120"/>
        <w:ind w:left="1352" w:firstLine="0"/>
        <w:jc w:val="both"/>
        <w:rPr>
          <w:rFonts w:ascii="Times New Roman"/>
        </w:rPr>
      </w:pPr>
      <w:r>
        <w:rPr>
          <w:rFonts w:ascii="Times New Roman"/>
        </w:rPr>
        <w:t>reporting day</w:t>
      </w:r>
    </w:p>
    <w:p>
      <w:pPr>
        <w:pStyle w:val="ListParagraph"/>
        <w:numPr>
          <w:ilvl w:val="0"/>
          <w:numId w:val="59"/>
        </w:numPr>
        <w:tabs>
          <w:tab w:pos="1919" w:val="left" w:leader="none"/>
        </w:tabs>
        <w:spacing w:line="240" w:lineRule="auto" w:before="120" w:after="0"/>
        <w:ind w:left="1918" w:right="0" w:hanging="567"/>
        <w:jc w:val="both"/>
        <w:rPr>
          <w:sz w:val="24"/>
        </w:rPr>
      </w:pPr>
      <w:r>
        <w:rPr>
          <w:sz w:val="24"/>
        </w:rPr>
        <w:t>has the meaning given in the </w:t>
      </w:r>
      <w:r>
        <w:rPr>
          <w:i/>
          <w:sz w:val="24"/>
        </w:rPr>
        <w:t>National Electricity Law</w:t>
      </w:r>
      <w:r>
        <w:rPr>
          <w:sz w:val="24"/>
        </w:rPr>
        <w:t>;</w:t>
      </w:r>
      <w:r>
        <w:rPr>
          <w:spacing w:val="-3"/>
          <w:sz w:val="24"/>
        </w:rPr>
        <w:t> </w:t>
      </w:r>
      <w:r>
        <w:rPr>
          <w:sz w:val="24"/>
        </w:rPr>
        <w:t>and</w:t>
      </w:r>
    </w:p>
    <w:p>
      <w:pPr>
        <w:pStyle w:val="ListParagraph"/>
        <w:numPr>
          <w:ilvl w:val="0"/>
          <w:numId w:val="59"/>
        </w:numPr>
        <w:tabs>
          <w:tab w:pos="1919" w:val="left" w:leader="none"/>
        </w:tabs>
        <w:spacing w:line="240" w:lineRule="auto" w:before="120" w:after="0"/>
        <w:ind w:left="1919" w:right="415" w:hanging="567"/>
        <w:jc w:val="both"/>
        <w:rPr>
          <w:sz w:val="24"/>
        </w:rPr>
      </w:pPr>
      <w:r>
        <w:rPr>
          <w:sz w:val="24"/>
        </w:rPr>
        <w:t>for a new entrant, means the day stated in the relevant T-1 reliability instrument.</w:t>
      </w:r>
    </w:p>
    <w:p>
      <w:pPr>
        <w:pStyle w:val="BodyText"/>
        <w:ind w:left="1352" w:right="565" w:firstLine="0"/>
        <w:jc w:val="left"/>
      </w:pPr>
      <w:r>
        <w:rPr>
          <w:b/>
        </w:rPr>
        <w:t>standard qualifying contract </w:t>
      </w:r>
      <w:r>
        <w:rPr/>
        <w:t>means a qualifying contract which is specified to be a standard qualifying contract under the Contracts and Firmness</w:t>
      </w:r>
      <w:r>
        <w:rPr>
          <w:spacing w:val="-14"/>
        </w:rPr>
        <w:t> </w:t>
      </w:r>
      <w:r>
        <w:rPr/>
        <w:t>Guidelines.</w:t>
      </w:r>
    </w:p>
    <w:p>
      <w:pPr>
        <w:spacing w:before="120"/>
        <w:ind w:left="1352" w:right="0" w:firstLine="0"/>
        <w:jc w:val="left"/>
        <w:rPr>
          <w:sz w:val="24"/>
        </w:rPr>
      </w:pPr>
      <w:r>
        <w:rPr>
          <w:b/>
          <w:sz w:val="24"/>
        </w:rPr>
        <w:t>traced capacity </w:t>
      </w:r>
      <w:r>
        <w:rPr>
          <w:sz w:val="24"/>
        </w:rPr>
        <w:t>has the meaning given in clause 4A.G.7(a).</w:t>
      </w:r>
    </w:p>
    <w:p>
      <w:pPr>
        <w:spacing w:before="120"/>
        <w:ind w:left="1352" w:right="0" w:firstLine="0"/>
        <w:jc w:val="left"/>
        <w:rPr>
          <w:sz w:val="24"/>
        </w:rPr>
      </w:pPr>
      <w:r>
        <w:rPr>
          <w:b/>
          <w:sz w:val="24"/>
        </w:rPr>
        <w:t>trading group </w:t>
      </w:r>
      <w:r>
        <w:rPr>
          <w:sz w:val="24"/>
        </w:rPr>
        <w:t>has the meaning given in clause 4A.G.5.</w:t>
      </w:r>
    </w:p>
    <w:p>
      <w:pPr>
        <w:spacing w:line="343" w:lineRule="auto" w:before="120"/>
        <w:ind w:left="1352" w:right="1779" w:firstLine="0"/>
        <w:jc w:val="left"/>
        <w:rPr>
          <w:sz w:val="24"/>
        </w:rPr>
      </w:pPr>
      <w:r>
        <w:rPr>
          <w:b/>
          <w:sz w:val="24"/>
        </w:rPr>
        <w:t>trading group capacity </w:t>
      </w:r>
      <w:r>
        <w:rPr>
          <w:sz w:val="24"/>
        </w:rPr>
        <w:t>has the meaning given in clause 4A.G.9(a). </w:t>
      </w:r>
      <w:r>
        <w:rPr>
          <w:b/>
          <w:sz w:val="24"/>
        </w:rPr>
        <w:t>trading period </w:t>
      </w:r>
      <w:r>
        <w:rPr>
          <w:sz w:val="24"/>
        </w:rPr>
        <w:t>has the meaning given in clause 4A.G.18(a). </w:t>
      </w:r>
      <w:r>
        <w:rPr>
          <w:b/>
          <w:sz w:val="24"/>
        </w:rPr>
        <w:t>trading right </w:t>
      </w:r>
      <w:r>
        <w:rPr>
          <w:sz w:val="24"/>
        </w:rPr>
        <w:t>has the meaning given in clause 4A.G.4.</w:t>
      </w:r>
    </w:p>
    <w:p>
      <w:pPr>
        <w:spacing w:before="4"/>
        <w:ind w:left="1352" w:right="0" w:firstLine="0"/>
        <w:jc w:val="left"/>
        <w:rPr>
          <w:sz w:val="24"/>
        </w:rPr>
      </w:pPr>
      <w:r>
        <w:rPr>
          <w:b/>
          <w:sz w:val="24"/>
        </w:rPr>
        <w:t>trading right holder </w:t>
      </w:r>
      <w:r>
        <w:rPr>
          <w:sz w:val="24"/>
        </w:rPr>
        <w:t>has the meaning given in clause 4A.G.4(a).</w:t>
      </w:r>
    </w:p>
    <w:p>
      <w:pPr>
        <w:spacing w:after="0"/>
        <w:jc w:val="left"/>
        <w:rPr>
          <w:sz w:val="24"/>
        </w:rPr>
        <w:sectPr>
          <w:pgSz w:w="11910" w:h="16840"/>
          <w:pgMar w:header="686" w:footer="637" w:top="1320" w:bottom="820" w:left="1200" w:right="1000"/>
        </w:sectPr>
      </w:pPr>
    </w:p>
    <w:p>
      <w:pPr>
        <w:spacing w:before="83"/>
        <w:ind w:left="1352" w:right="0" w:firstLine="0"/>
        <w:jc w:val="left"/>
        <w:rPr>
          <w:sz w:val="24"/>
        </w:rPr>
      </w:pPr>
      <w:r>
        <w:rPr>
          <w:b/>
          <w:sz w:val="24"/>
        </w:rPr>
        <w:t>T-1 cut-off day </w:t>
      </w:r>
      <w:r>
        <w:rPr>
          <w:sz w:val="24"/>
        </w:rPr>
        <w:t>has the meaning given in the </w:t>
      </w:r>
      <w:r>
        <w:rPr>
          <w:i/>
          <w:sz w:val="24"/>
        </w:rPr>
        <w:t>National Electricity Law</w:t>
      </w:r>
      <w:r>
        <w:rPr>
          <w:sz w:val="24"/>
        </w:rPr>
        <w:t>.</w:t>
      </w:r>
    </w:p>
    <w:p>
      <w:pPr>
        <w:spacing w:before="120"/>
        <w:ind w:left="1352" w:right="0" w:firstLine="0"/>
        <w:jc w:val="left"/>
        <w:rPr>
          <w:sz w:val="24"/>
        </w:rPr>
      </w:pPr>
      <w:r>
        <w:rPr>
          <w:b/>
          <w:sz w:val="24"/>
        </w:rPr>
        <w:t>T-1 reliability instrument </w:t>
      </w:r>
      <w:r>
        <w:rPr>
          <w:sz w:val="24"/>
        </w:rPr>
        <w:t>has the meaning given in the </w:t>
      </w:r>
      <w:r>
        <w:rPr>
          <w:i/>
          <w:sz w:val="24"/>
        </w:rPr>
        <w:t>National Electricity Law</w:t>
      </w:r>
      <w:r>
        <w:rPr>
          <w:sz w:val="24"/>
        </w:rPr>
        <w:t>.</w:t>
      </w:r>
    </w:p>
    <w:p>
      <w:pPr>
        <w:spacing w:before="120"/>
        <w:ind w:left="1352" w:right="0" w:firstLine="0"/>
        <w:jc w:val="left"/>
        <w:rPr>
          <w:sz w:val="24"/>
        </w:rPr>
      </w:pPr>
      <w:r>
        <w:rPr>
          <w:b/>
          <w:sz w:val="24"/>
        </w:rPr>
        <w:t>T-3 cut-off day </w:t>
      </w:r>
      <w:r>
        <w:rPr>
          <w:sz w:val="24"/>
        </w:rPr>
        <w:t>has the meaning given in the </w:t>
      </w:r>
      <w:r>
        <w:rPr>
          <w:i/>
          <w:sz w:val="24"/>
        </w:rPr>
        <w:t>National Electricity Law</w:t>
      </w:r>
      <w:r>
        <w:rPr>
          <w:sz w:val="24"/>
        </w:rPr>
        <w:t>.</w:t>
      </w:r>
    </w:p>
    <w:p>
      <w:pPr>
        <w:spacing w:line="343" w:lineRule="auto" w:before="120"/>
        <w:ind w:left="1352" w:right="419" w:firstLine="0"/>
        <w:jc w:val="left"/>
        <w:rPr>
          <w:sz w:val="24"/>
        </w:rPr>
      </w:pPr>
      <w:r>
        <w:rPr>
          <w:b/>
          <w:sz w:val="24"/>
        </w:rPr>
        <w:t>T-3 reliability instrument </w:t>
      </w:r>
      <w:r>
        <w:rPr>
          <w:sz w:val="24"/>
        </w:rPr>
        <w:t>has the meaning given in the </w:t>
      </w:r>
      <w:r>
        <w:rPr>
          <w:i/>
          <w:sz w:val="24"/>
        </w:rPr>
        <w:t>National Electricity Law</w:t>
      </w:r>
      <w:r>
        <w:rPr>
          <w:sz w:val="24"/>
        </w:rPr>
        <w:t>. </w:t>
      </w:r>
      <w:r>
        <w:rPr>
          <w:b/>
          <w:sz w:val="24"/>
        </w:rPr>
        <w:t>ultimate controlling entity </w:t>
      </w:r>
      <w:r>
        <w:rPr>
          <w:sz w:val="24"/>
        </w:rPr>
        <w:t>has the meaning given in clause 4A.G.6(b). </w:t>
      </w:r>
      <w:r>
        <w:rPr>
          <w:b/>
          <w:sz w:val="24"/>
        </w:rPr>
        <w:t>unscheduled generation </w:t>
      </w:r>
      <w:r>
        <w:rPr>
          <w:sz w:val="24"/>
        </w:rPr>
        <w:t>has the meaning given in clause 3.7D(a).</w:t>
      </w:r>
    </w:p>
    <w:p>
      <w:pPr>
        <w:pStyle w:val="Heading4"/>
        <w:tabs>
          <w:tab w:pos="1351" w:val="left" w:leader="none"/>
        </w:tabs>
        <w:spacing w:before="124"/>
        <w:ind w:left="218" w:firstLine="0"/>
      </w:pPr>
      <w:bookmarkStart w:name="4A.A.2 Forecast reliability gap material" w:id="100"/>
      <w:bookmarkEnd w:id="100"/>
      <w:r>
        <w:rPr>
          <w:b w:val="0"/>
        </w:rPr>
      </w:r>
      <w:bookmarkStart w:name="_bookmark34" w:id="101"/>
      <w:bookmarkEnd w:id="101"/>
      <w:r>
        <w:rPr>
          <w:b w:val="0"/>
        </w:rPr>
      </w:r>
      <w:r>
        <w:rPr/>
        <w:t>4A.A.2</w:t>
        <w:tab/>
        <w:t>Forecast reliability gap</w:t>
      </w:r>
      <w:r>
        <w:rPr>
          <w:spacing w:val="-2"/>
        </w:rPr>
        <w:t> </w:t>
      </w:r>
      <w:r>
        <w:rPr/>
        <w:t>materiality</w:t>
      </w:r>
    </w:p>
    <w:p>
      <w:pPr>
        <w:spacing w:before="120"/>
        <w:ind w:left="1352" w:right="416" w:firstLine="0"/>
        <w:jc w:val="both"/>
        <w:rPr>
          <w:sz w:val="24"/>
        </w:rPr>
      </w:pPr>
      <w:r>
        <w:rPr>
          <w:sz w:val="24"/>
        </w:rPr>
        <w:t>For the purposes of section 14G(1) of the </w:t>
      </w:r>
      <w:r>
        <w:rPr>
          <w:i/>
          <w:sz w:val="24"/>
        </w:rPr>
        <w:t>National Electricity Law</w:t>
      </w:r>
      <w:r>
        <w:rPr>
          <w:sz w:val="24"/>
        </w:rPr>
        <w:t>, a </w:t>
      </w:r>
      <w:r>
        <w:rPr>
          <w:i/>
          <w:sz w:val="24"/>
        </w:rPr>
        <w:t>forecast </w:t>
      </w:r>
      <w:r>
        <w:rPr>
          <w:i/>
          <w:sz w:val="24"/>
        </w:rPr>
        <w:t>reliability gap </w:t>
      </w:r>
      <w:r>
        <w:rPr>
          <w:sz w:val="24"/>
        </w:rPr>
        <w:t>occurs in a </w:t>
      </w:r>
      <w:r>
        <w:rPr>
          <w:i/>
          <w:sz w:val="24"/>
        </w:rPr>
        <w:t>region </w:t>
      </w:r>
      <w:r>
        <w:rPr>
          <w:sz w:val="24"/>
        </w:rPr>
        <w:t>in a </w:t>
      </w:r>
      <w:r>
        <w:rPr>
          <w:i/>
          <w:sz w:val="24"/>
        </w:rPr>
        <w:t>financial year </w:t>
      </w:r>
      <w:r>
        <w:rPr>
          <w:sz w:val="24"/>
        </w:rPr>
        <w:t>if identified in a </w:t>
      </w:r>
      <w:r>
        <w:rPr>
          <w:i/>
          <w:sz w:val="24"/>
        </w:rPr>
        <w:t>reliability </w:t>
      </w:r>
      <w:r>
        <w:rPr>
          <w:i/>
          <w:sz w:val="24"/>
        </w:rPr>
        <w:t>forecast </w:t>
      </w:r>
      <w:r>
        <w:rPr>
          <w:sz w:val="24"/>
        </w:rPr>
        <w:t>and is material if it exceeds the </w:t>
      </w:r>
      <w:r>
        <w:rPr>
          <w:i/>
          <w:sz w:val="24"/>
        </w:rPr>
        <w:t>reliability standard</w:t>
      </w:r>
      <w:r>
        <w:rPr>
          <w:sz w:val="24"/>
        </w:rPr>
        <w:t>.</w:t>
      </w:r>
    </w:p>
    <w:p>
      <w:pPr>
        <w:spacing w:before="120"/>
        <w:ind w:left="31" w:right="6587" w:firstLine="0"/>
        <w:jc w:val="center"/>
        <w:rPr>
          <w:rFonts w:ascii="Arial"/>
          <w:b/>
          <w:sz w:val="20"/>
        </w:rPr>
      </w:pPr>
      <w:r>
        <w:rPr>
          <w:rFonts w:ascii="Arial"/>
          <w:b/>
          <w:sz w:val="20"/>
        </w:rPr>
        <w:t>Note</w:t>
      </w:r>
    </w:p>
    <w:p>
      <w:pPr>
        <w:spacing w:before="120"/>
        <w:ind w:left="1352" w:right="0" w:firstLine="0"/>
        <w:jc w:val="both"/>
        <w:rPr>
          <w:sz w:val="20"/>
        </w:rPr>
      </w:pPr>
      <w:r>
        <w:rPr>
          <w:sz w:val="20"/>
        </w:rPr>
        <w:t>Section 14G(1) of the </w:t>
      </w:r>
      <w:r>
        <w:rPr>
          <w:i/>
          <w:sz w:val="20"/>
        </w:rPr>
        <w:t>National Electricity Law </w:t>
      </w:r>
      <w:r>
        <w:rPr>
          <w:sz w:val="20"/>
        </w:rPr>
        <w:t>states –</w:t>
      </w:r>
    </w:p>
    <w:p>
      <w:pPr>
        <w:spacing w:before="120"/>
        <w:ind w:left="1352" w:right="415" w:firstLine="0"/>
        <w:jc w:val="both"/>
        <w:rPr>
          <w:sz w:val="20"/>
        </w:rPr>
      </w:pPr>
      <w:r>
        <w:rPr>
          <w:sz w:val="20"/>
        </w:rPr>
        <w:t>A </w:t>
      </w:r>
      <w:r>
        <w:rPr>
          <w:i/>
          <w:sz w:val="20"/>
        </w:rPr>
        <w:t>forecast reliability gap </w:t>
      </w:r>
      <w:r>
        <w:rPr>
          <w:sz w:val="20"/>
        </w:rPr>
        <w:t>occurs when the amount of electricity forecast for a </w:t>
      </w:r>
      <w:r>
        <w:rPr>
          <w:i/>
          <w:sz w:val="20"/>
        </w:rPr>
        <w:t>region</w:t>
      </w:r>
      <w:r>
        <w:rPr>
          <w:sz w:val="20"/>
        </w:rPr>
        <w:t>, in accordance with the </w:t>
      </w:r>
      <w:r>
        <w:rPr>
          <w:i/>
          <w:sz w:val="20"/>
        </w:rPr>
        <w:t>Rules</w:t>
      </w:r>
      <w:r>
        <w:rPr>
          <w:sz w:val="20"/>
        </w:rPr>
        <w:t>, does not meet the </w:t>
      </w:r>
      <w:r>
        <w:rPr>
          <w:i/>
          <w:sz w:val="20"/>
        </w:rPr>
        <w:t>reliability standard </w:t>
      </w:r>
      <w:r>
        <w:rPr>
          <w:sz w:val="20"/>
        </w:rPr>
        <w:t>to an extent that, in accordance with the </w:t>
      </w:r>
      <w:r>
        <w:rPr>
          <w:i/>
          <w:sz w:val="20"/>
        </w:rPr>
        <w:t>Rules</w:t>
      </w:r>
      <w:r>
        <w:rPr>
          <w:sz w:val="20"/>
        </w:rPr>
        <w:t>, is</w:t>
      </w:r>
      <w:r>
        <w:rPr>
          <w:spacing w:val="-3"/>
          <w:sz w:val="20"/>
        </w:rPr>
        <w:t> </w:t>
      </w:r>
      <w:r>
        <w:rPr>
          <w:sz w:val="20"/>
        </w:rPr>
        <w:t>material.</w:t>
      </w:r>
    </w:p>
    <w:p>
      <w:pPr>
        <w:pStyle w:val="BodyText"/>
        <w:spacing w:before="10"/>
        <w:ind w:firstLine="0"/>
        <w:jc w:val="left"/>
        <w:rPr>
          <w:sz w:val="20"/>
        </w:rPr>
      </w:pPr>
    </w:p>
    <w:p>
      <w:pPr>
        <w:pStyle w:val="Heading4"/>
        <w:tabs>
          <w:tab w:pos="1351" w:val="left" w:leader="none"/>
        </w:tabs>
        <w:ind w:left="218" w:firstLine="0"/>
      </w:pPr>
      <w:bookmarkStart w:name="4A.A.3 One-in-two year peak demand forec" w:id="102"/>
      <w:bookmarkEnd w:id="102"/>
      <w:r>
        <w:rPr>
          <w:b w:val="0"/>
        </w:rPr>
      </w:r>
      <w:bookmarkStart w:name="_bookmark35" w:id="103"/>
      <w:bookmarkEnd w:id="103"/>
      <w:r>
        <w:rPr>
          <w:b w:val="0"/>
        </w:rPr>
      </w:r>
      <w:r>
        <w:rPr/>
        <w:t>4A.A.3</w:t>
        <w:tab/>
        <w:t>One-in-two year peak demand</w:t>
      </w:r>
      <w:r>
        <w:rPr>
          <w:spacing w:val="-3"/>
        </w:rPr>
        <w:t> </w:t>
      </w:r>
      <w:r>
        <w:rPr/>
        <w:t>forecast</w:t>
      </w:r>
    </w:p>
    <w:p>
      <w:pPr>
        <w:spacing w:before="120"/>
        <w:ind w:left="1352" w:right="415" w:firstLine="0"/>
        <w:jc w:val="left"/>
        <w:rPr>
          <w:sz w:val="24"/>
        </w:rPr>
      </w:pPr>
      <w:r>
        <w:rPr>
          <w:sz w:val="24"/>
        </w:rPr>
        <w:t>For the purposes of section 14C of the </w:t>
      </w:r>
      <w:r>
        <w:rPr>
          <w:i/>
          <w:sz w:val="24"/>
        </w:rPr>
        <w:t>National Electricity Law</w:t>
      </w:r>
      <w:r>
        <w:rPr>
          <w:sz w:val="24"/>
        </w:rPr>
        <w:t>, the one-in-two year peak demand forecast for a </w:t>
      </w:r>
      <w:r>
        <w:rPr>
          <w:i/>
          <w:sz w:val="24"/>
        </w:rPr>
        <w:t>region </w:t>
      </w:r>
      <w:r>
        <w:rPr>
          <w:sz w:val="24"/>
        </w:rPr>
        <w:t>is:</w:t>
      </w:r>
    </w:p>
    <w:p>
      <w:pPr>
        <w:pStyle w:val="ListParagraph"/>
        <w:numPr>
          <w:ilvl w:val="0"/>
          <w:numId w:val="60"/>
        </w:numPr>
        <w:tabs>
          <w:tab w:pos="1918" w:val="left" w:leader="none"/>
          <w:tab w:pos="1919" w:val="left" w:leader="none"/>
        </w:tabs>
        <w:spacing w:line="240" w:lineRule="auto" w:before="120" w:after="0"/>
        <w:ind w:left="1919" w:right="414" w:hanging="567"/>
        <w:jc w:val="left"/>
        <w:rPr>
          <w:sz w:val="24"/>
        </w:rPr>
      </w:pPr>
      <w:r>
        <w:rPr>
          <w:sz w:val="24"/>
        </w:rPr>
        <w:t>the forecast made in accordance with the </w:t>
      </w:r>
      <w:r>
        <w:rPr>
          <w:i/>
          <w:sz w:val="24"/>
        </w:rPr>
        <w:t>Reliability Forecast Guidelines</w:t>
      </w:r>
      <w:r>
        <w:rPr>
          <w:sz w:val="24"/>
        </w:rPr>
        <w:t>; and</w:t>
      </w:r>
    </w:p>
    <w:p>
      <w:pPr>
        <w:pStyle w:val="ListParagraph"/>
        <w:numPr>
          <w:ilvl w:val="0"/>
          <w:numId w:val="60"/>
        </w:numPr>
        <w:tabs>
          <w:tab w:pos="1918" w:val="left" w:leader="none"/>
          <w:tab w:pos="1919" w:val="left" w:leader="none"/>
        </w:tabs>
        <w:spacing w:line="240" w:lineRule="auto" w:before="120" w:after="0"/>
        <w:ind w:left="1918" w:right="0" w:hanging="567"/>
        <w:jc w:val="left"/>
        <w:rPr>
          <w:sz w:val="24"/>
        </w:rPr>
      </w:pPr>
      <w:r>
        <w:rPr>
          <w:sz w:val="24"/>
        </w:rPr>
        <w:t>specified</w:t>
      </w:r>
      <w:r>
        <w:rPr>
          <w:spacing w:val="18"/>
          <w:sz w:val="24"/>
        </w:rPr>
        <w:t> </w:t>
      </w:r>
      <w:r>
        <w:rPr>
          <w:sz w:val="24"/>
        </w:rPr>
        <w:t>in</w:t>
      </w:r>
      <w:r>
        <w:rPr>
          <w:spacing w:val="19"/>
          <w:sz w:val="24"/>
        </w:rPr>
        <w:t> </w:t>
      </w:r>
      <w:r>
        <w:rPr>
          <w:sz w:val="24"/>
        </w:rPr>
        <w:t>a</w:t>
      </w:r>
      <w:r>
        <w:rPr>
          <w:spacing w:val="19"/>
          <w:sz w:val="24"/>
        </w:rPr>
        <w:t> </w:t>
      </w:r>
      <w:r>
        <w:rPr>
          <w:i/>
          <w:sz w:val="24"/>
        </w:rPr>
        <w:t>reliability</w:t>
      </w:r>
      <w:r>
        <w:rPr>
          <w:i/>
          <w:spacing w:val="19"/>
          <w:sz w:val="24"/>
        </w:rPr>
        <w:t> </w:t>
      </w:r>
      <w:r>
        <w:rPr>
          <w:i/>
          <w:sz w:val="24"/>
        </w:rPr>
        <w:t>forecast</w:t>
      </w:r>
      <w:r>
        <w:rPr>
          <w:i/>
          <w:spacing w:val="19"/>
          <w:sz w:val="24"/>
        </w:rPr>
        <w:t> </w:t>
      </w:r>
      <w:r>
        <w:rPr>
          <w:sz w:val="24"/>
        </w:rPr>
        <w:t>to</w:t>
      </w:r>
      <w:r>
        <w:rPr>
          <w:spacing w:val="19"/>
          <w:sz w:val="24"/>
        </w:rPr>
        <w:t> </w:t>
      </w:r>
      <w:r>
        <w:rPr>
          <w:sz w:val="24"/>
        </w:rPr>
        <w:t>be</w:t>
      </w:r>
      <w:r>
        <w:rPr>
          <w:spacing w:val="18"/>
          <w:sz w:val="24"/>
        </w:rPr>
        <w:t> </w:t>
      </w:r>
      <w:r>
        <w:rPr>
          <w:sz w:val="24"/>
        </w:rPr>
        <w:t>that</w:t>
      </w:r>
      <w:r>
        <w:rPr>
          <w:spacing w:val="19"/>
          <w:sz w:val="24"/>
        </w:rPr>
        <w:t> </w:t>
      </w:r>
      <w:r>
        <w:rPr>
          <w:sz w:val="24"/>
        </w:rPr>
        <w:t>forecast</w:t>
      </w:r>
      <w:r>
        <w:rPr>
          <w:spacing w:val="19"/>
          <w:sz w:val="24"/>
        </w:rPr>
        <w:t> </w:t>
      </w:r>
      <w:r>
        <w:rPr>
          <w:sz w:val="24"/>
        </w:rPr>
        <w:t>for</w:t>
      </w:r>
      <w:r>
        <w:rPr>
          <w:spacing w:val="19"/>
          <w:sz w:val="24"/>
        </w:rPr>
        <w:t> </w:t>
      </w:r>
      <w:r>
        <w:rPr>
          <w:sz w:val="24"/>
        </w:rPr>
        <w:t>that</w:t>
      </w:r>
      <w:r>
        <w:rPr>
          <w:spacing w:val="19"/>
          <w:sz w:val="24"/>
        </w:rPr>
        <w:t> </w:t>
      </w:r>
      <w:r>
        <w:rPr>
          <w:i/>
          <w:sz w:val="24"/>
        </w:rPr>
        <w:t>region</w:t>
      </w:r>
      <w:r>
        <w:rPr>
          <w:i/>
          <w:spacing w:val="19"/>
          <w:sz w:val="24"/>
        </w:rPr>
        <w:t> </w:t>
      </w:r>
      <w:r>
        <w:rPr>
          <w:sz w:val="24"/>
        </w:rPr>
        <w:t>for</w:t>
      </w:r>
      <w:r>
        <w:rPr>
          <w:spacing w:val="19"/>
          <w:sz w:val="24"/>
        </w:rPr>
        <w:t> </w:t>
      </w:r>
      <w:r>
        <w:rPr>
          <w:sz w:val="24"/>
        </w:rPr>
        <w:t>that</w:t>
      </w:r>
    </w:p>
    <w:p>
      <w:pPr>
        <w:spacing w:before="0"/>
        <w:ind w:left="1919" w:right="0" w:firstLine="0"/>
        <w:jc w:val="left"/>
        <w:rPr>
          <w:sz w:val="24"/>
        </w:rPr>
      </w:pPr>
      <w:r>
        <w:rPr>
          <w:i/>
          <w:sz w:val="24"/>
        </w:rPr>
        <w:t>financial</w:t>
      </w:r>
      <w:r>
        <w:rPr>
          <w:i/>
          <w:spacing w:val="-1"/>
          <w:sz w:val="24"/>
        </w:rPr>
        <w:t> </w:t>
      </w:r>
      <w:r>
        <w:rPr>
          <w:i/>
          <w:sz w:val="24"/>
        </w:rPr>
        <w:t>year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Section 14C of the </w:t>
      </w:r>
      <w:r>
        <w:rPr>
          <w:i/>
          <w:sz w:val="20"/>
        </w:rPr>
        <w:t>National Electricity Law </w:t>
      </w:r>
      <w:r>
        <w:rPr>
          <w:sz w:val="20"/>
        </w:rPr>
        <w:t>states the one-in-two year peak demand forecast, for a region during a specified period, means the peak demand forecast in accordance with the </w:t>
      </w:r>
      <w:r>
        <w:rPr>
          <w:i/>
          <w:sz w:val="20"/>
        </w:rPr>
        <w:t>Rules </w:t>
      </w:r>
      <w:r>
        <w:rPr>
          <w:sz w:val="20"/>
        </w:rPr>
        <w:t>–</w:t>
      </w:r>
    </w:p>
    <w:p>
      <w:pPr>
        <w:pStyle w:val="ListParagraph"/>
        <w:numPr>
          <w:ilvl w:val="1"/>
          <w:numId w:val="60"/>
        </w:numPr>
        <w:tabs>
          <w:tab w:pos="2378" w:val="left" w:leader="none"/>
        </w:tabs>
        <w:spacing w:line="240" w:lineRule="auto" w:before="120" w:after="0"/>
        <w:ind w:left="2377" w:right="0" w:hanging="459"/>
        <w:jc w:val="both"/>
        <w:rPr>
          <w:sz w:val="20"/>
        </w:rPr>
      </w:pPr>
      <w:r>
        <w:rPr>
          <w:sz w:val="20"/>
        </w:rPr>
        <w:t>to occur for a </w:t>
      </w:r>
      <w:r>
        <w:rPr>
          <w:i/>
          <w:sz w:val="20"/>
        </w:rPr>
        <w:t>region </w:t>
      </w:r>
      <w:r>
        <w:rPr>
          <w:sz w:val="20"/>
        </w:rPr>
        <w:t>during the period;</w:t>
      </w:r>
      <w:r>
        <w:rPr>
          <w:spacing w:val="-3"/>
          <w:sz w:val="20"/>
        </w:rPr>
        <w:t> </w:t>
      </w:r>
      <w:r>
        <w:rPr>
          <w:sz w:val="20"/>
        </w:rPr>
        <w:t>and</w:t>
      </w:r>
    </w:p>
    <w:p>
      <w:pPr>
        <w:pStyle w:val="ListParagraph"/>
        <w:numPr>
          <w:ilvl w:val="1"/>
          <w:numId w:val="60"/>
        </w:numPr>
        <w:tabs>
          <w:tab w:pos="2378" w:val="left" w:leader="none"/>
        </w:tabs>
        <w:spacing w:line="240" w:lineRule="auto" w:before="120" w:after="0"/>
        <w:ind w:left="1919" w:right="415" w:firstLine="0"/>
        <w:jc w:val="both"/>
        <w:rPr>
          <w:sz w:val="20"/>
        </w:rPr>
      </w:pPr>
      <w:r>
        <w:rPr>
          <w:sz w:val="20"/>
        </w:rPr>
        <w:t>where the likelihood is that the forecast amount will be exceeded once in any two- year period.</w:t>
      </w:r>
    </w:p>
    <w:p>
      <w:pPr>
        <w:pStyle w:val="BodyText"/>
        <w:spacing w:before="10"/>
        <w:ind w:firstLine="0"/>
        <w:jc w:val="left"/>
        <w:rPr>
          <w:sz w:val="20"/>
        </w:rPr>
      </w:pPr>
    </w:p>
    <w:p>
      <w:pPr>
        <w:pStyle w:val="Heading4"/>
        <w:tabs>
          <w:tab w:pos="1133" w:val="left" w:leader="none"/>
        </w:tabs>
        <w:ind w:left="0" w:right="6587" w:firstLine="0"/>
        <w:jc w:val="center"/>
      </w:pPr>
      <w:bookmarkStart w:name="4A.A.4 Peak demand" w:id="104"/>
      <w:bookmarkEnd w:id="104"/>
      <w:r>
        <w:rPr>
          <w:b w:val="0"/>
        </w:rPr>
      </w:r>
      <w:bookmarkStart w:name="_bookmark36" w:id="105"/>
      <w:bookmarkEnd w:id="105"/>
      <w:r>
        <w:rPr>
          <w:b w:val="0"/>
        </w:rPr>
      </w:r>
      <w:r>
        <w:rPr/>
        <w:t>4A.A.4</w:t>
        <w:tab/>
        <w:t>Peak</w:t>
      </w:r>
      <w:r>
        <w:rPr>
          <w:spacing w:val="-1"/>
        </w:rPr>
        <w:t> </w:t>
      </w:r>
      <w:r>
        <w:rPr/>
        <w:t>demand</w:t>
      </w:r>
    </w:p>
    <w:p>
      <w:pPr>
        <w:pStyle w:val="ListParagraph"/>
        <w:numPr>
          <w:ilvl w:val="0"/>
          <w:numId w:val="61"/>
        </w:numPr>
        <w:tabs>
          <w:tab w:pos="1919" w:val="left" w:leader="none"/>
        </w:tabs>
        <w:spacing w:line="240" w:lineRule="auto" w:before="120" w:after="0"/>
        <w:ind w:left="1919" w:right="414" w:hanging="567"/>
        <w:jc w:val="both"/>
        <w:rPr>
          <w:sz w:val="24"/>
        </w:rPr>
      </w:pPr>
      <w:r>
        <w:rPr>
          <w:sz w:val="24"/>
        </w:rPr>
        <w:t>For the purposes of section 14C of the </w:t>
      </w:r>
      <w:r>
        <w:rPr>
          <w:i/>
          <w:sz w:val="24"/>
        </w:rPr>
        <w:t>National Electricity Law</w:t>
      </w:r>
      <w:r>
        <w:rPr>
          <w:sz w:val="24"/>
        </w:rPr>
        <w:t>, the maximum electricity demanded is the highest actual demand in a </w:t>
      </w:r>
      <w:r>
        <w:rPr>
          <w:i/>
          <w:sz w:val="24"/>
        </w:rPr>
        <w:t>trading </w:t>
      </w:r>
      <w:r>
        <w:rPr>
          <w:i/>
          <w:sz w:val="24"/>
        </w:rPr>
        <w:t>interval </w:t>
      </w:r>
      <w:r>
        <w:rPr>
          <w:sz w:val="24"/>
        </w:rPr>
        <w:t>in a </w:t>
      </w:r>
      <w:r>
        <w:rPr>
          <w:i/>
          <w:sz w:val="24"/>
        </w:rPr>
        <w:t>region </w:t>
      </w:r>
      <w:r>
        <w:rPr>
          <w:sz w:val="24"/>
        </w:rPr>
        <w:t>(in</w:t>
      </w:r>
      <w:r>
        <w:rPr>
          <w:spacing w:val="-3"/>
          <w:sz w:val="24"/>
        </w:rPr>
        <w:t> </w:t>
      </w:r>
      <w:r>
        <w:rPr>
          <w:sz w:val="24"/>
        </w:rPr>
        <w:t>MW).</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Section 14C of the </w:t>
      </w:r>
      <w:r>
        <w:rPr>
          <w:i/>
          <w:sz w:val="20"/>
        </w:rPr>
        <w:t>National Electricity Law </w:t>
      </w:r>
      <w:r>
        <w:rPr>
          <w:sz w:val="20"/>
        </w:rPr>
        <w:t>states the peak demand, for a period in a </w:t>
      </w:r>
      <w:r>
        <w:rPr>
          <w:i/>
          <w:sz w:val="20"/>
        </w:rPr>
        <w:t>region</w:t>
      </w:r>
      <w:r>
        <w:rPr>
          <w:sz w:val="20"/>
        </w:rPr>
        <w:t>, means the maximum electricity demanded, in megawatts, in the region during the period, determined in accordance with the</w:t>
      </w:r>
      <w:r>
        <w:rPr>
          <w:spacing w:val="-1"/>
          <w:sz w:val="20"/>
        </w:rPr>
        <w:t> </w:t>
      </w:r>
      <w:r>
        <w:rPr>
          <w:i/>
          <w:sz w:val="20"/>
        </w:rPr>
        <w:t>Rules</w:t>
      </w:r>
      <w:r>
        <w:rPr>
          <w:sz w:val="20"/>
        </w:rPr>
        <w:t>.</w:t>
      </w:r>
    </w:p>
    <w:p>
      <w:pPr>
        <w:pStyle w:val="ListParagraph"/>
        <w:numPr>
          <w:ilvl w:val="0"/>
          <w:numId w:val="61"/>
        </w:numPr>
        <w:tabs>
          <w:tab w:pos="1919" w:val="left" w:leader="none"/>
        </w:tabs>
        <w:spacing w:line="240" w:lineRule="auto" w:before="120" w:after="0"/>
        <w:ind w:left="1918" w:right="0" w:hanging="567"/>
        <w:jc w:val="both"/>
        <w:rPr>
          <w:sz w:val="24"/>
        </w:rPr>
      </w:pPr>
      <w:r>
        <w:rPr>
          <w:sz w:val="24"/>
        </w:rPr>
        <w:t>The actual demand for a </w:t>
      </w:r>
      <w:r>
        <w:rPr>
          <w:i/>
          <w:sz w:val="24"/>
        </w:rPr>
        <w:t>region </w:t>
      </w:r>
      <w:r>
        <w:rPr>
          <w:sz w:val="24"/>
        </w:rPr>
        <w:t>for a </w:t>
      </w:r>
      <w:r>
        <w:rPr>
          <w:i/>
          <w:sz w:val="24"/>
        </w:rPr>
        <w:t>trading interval</w:t>
      </w:r>
      <w:r>
        <w:rPr>
          <w:i/>
          <w:spacing w:val="-5"/>
          <w:sz w:val="24"/>
        </w:rPr>
        <w:t> </w:t>
      </w:r>
      <w:r>
        <w:rPr>
          <w:sz w:val="24"/>
        </w:rPr>
        <w:t>is:</w:t>
      </w:r>
    </w:p>
    <w:p>
      <w:pPr>
        <w:pStyle w:val="ListParagraph"/>
        <w:numPr>
          <w:ilvl w:val="1"/>
          <w:numId w:val="61"/>
        </w:numPr>
        <w:tabs>
          <w:tab w:pos="2486" w:val="left" w:leader="none"/>
        </w:tabs>
        <w:spacing w:line="240" w:lineRule="auto" w:before="120" w:after="0"/>
        <w:ind w:left="2485" w:right="0" w:hanging="567"/>
        <w:jc w:val="both"/>
        <w:rPr>
          <w:sz w:val="24"/>
        </w:rPr>
      </w:pPr>
      <w:r>
        <w:rPr>
          <w:sz w:val="24"/>
        </w:rPr>
        <w:t>the demand for that</w:t>
      </w:r>
      <w:r>
        <w:rPr>
          <w:spacing w:val="-1"/>
          <w:sz w:val="24"/>
        </w:rPr>
        <w:t> </w:t>
      </w:r>
      <w:r>
        <w:rPr>
          <w:i/>
          <w:sz w:val="24"/>
        </w:rPr>
        <w:t>region</w:t>
      </w:r>
      <w:r>
        <w:rPr>
          <w:sz w:val="24"/>
        </w:rPr>
        <w:t>;</w:t>
      </w:r>
    </w:p>
    <w:p>
      <w:pPr>
        <w:pStyle w:val="ListParagraph"/>
        <w:numPr>
          <w:ilvl w:val="1"/>
          <w:numId w:val="61"/>
        </w:numPr>
        <w:tabs>
          <w:tab w:pos="2486" w:val="left" w:leader="none"/>
        </w:tabs>
        <w:spacing w:line="240" w:lineRule="auto" w:before="120" w:after="0"/>
        <w:ind w:left="2486" w:right="415" w:hanging="567"/>
        <w:jc w:val="both"/>
        <w:rPr>
          <w:sz w:val="24"/>
        </w:rPr>
      </w:pPr>
      <w:r>
        <w:rPr>
          <w:sz w:val="24"/>
        </w:rPr>
        <w:t>adjusted, to reflect what would have been the demand but for the following adjustments in the</w:t>
      </w:r>
      <w:r>
        <w:rPr>
          <w:spacing w:val="-1"/>
          <w:sz w:val="24"/>
        </w:rPr>
        <w:t> </w:t>
      </w:r>
      <w:r>
        <w:rPr>
          <w:i/>
          <w:sz w:val="24"/>
        </w:rPr>
        <w:t>market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61"/>
        </w:numPr>
        <w:tabs>
          <w:tab w:pos="3052" w:val="left" w:leader="none"/>
          <w:tab w:pos="3053" w:val="left" w:leader="none"/>
        </w:tabs>
        <w:spacing w:line="240" w:lineRule="auto" w:before="83" w:after="0"/>
        <w:ind w:left="3052" w:right="0" w:hanging="567"/>
        <w:jc w:val="left"/>
        <w:rPr>
          <w:sz w:val="24"/>
        </w:rPr>
      </w:pPr>
      <w:r>
        <w:rPr>
          <w:sz w:val="24"/>
        </w:rPr>
        <w:t>directions by</w:t>
      </w:r>
      <w:r>
        <w:rPr>
          <w:spacing w:val="-1"/>
          <w:sz w:val="24"/>
        </w:rPr>
        <w:t> </w:t>
      </w:r>
      <w:r>
        <w:rPr>
          <w:i/>
          <w:sz w:val="24"/>
        </w:rPr>
        <w:t>AEMO</w:t>
      </w:r>
      <w:r>
        <w:rPr>
          <w:sz w:val="24"/>
        </w:rPr>
        <w:t>;</w:t>
      </w:r>
    </w:p>
    <w:p>
      <w:pPr>
        <w:pStyle w:val="ListParagraph"/>
        <w:numPr>
          <w:ilvl w:val="2"/>
          <w:numId w:val="61"/>
        </w:numPr>
        <w:tabs>
          <w:tab w:pos="3052" w:val="left" w:leader="none"/>
          <w:tab w:pos="3054" w:val="left" w:leader="none"/>
        </w:tabs>
        <w:spacing w:line="240" w:lineRule="auto" w:before="120" w:after="0"/>
        <w:ind w:left="3053" w:right="0" w:hanging="568"/>
        <w:jc w:val="left"/>
        <w:rPr>
          <w:sz w:val="24"/>
        </w:rPr>
      </w:pPr>
      <w:r>
        <w:rPr>
          <w:i/>
          <w:sz w:val="24"/>
        </w:rPr>
        <w:t>RERT activated </w:t>
      </w:r>
      <w:r>
        <w:rPr>
          <w:sz w:val="24"/>
        </w:rPr>
        <w:t>or </w:t>
      </w:r>
      <w:r>
        <w:rPr>
          <w:i/>
          <w:sz w:val="24"/>
        </w:rPr>
        <w:t>dispatched </w:t>
      </w:r>
      <w:r>
        <w:rPr>
          <w:sz w:val="24"/>
        </w:rPr>
        <w:t>by</w:t>
      </w:r>
      <w:r>
        <w:rPr>
          <w:spacing w:val="-1"/>
          <w:sz w:val="24"/>
        </w:rPr>
        <w:t> </w:t>
      </w:r>
      <w:r>
        <w:rPr>
          <w:i/>
          <w:sz w:val="24"/>
        </w:rPr>
        <w:t>AEMO</w:t>
      </w:r>
      <w:r>
        <w:rPr>
          <w:sz w:val="24"/>
        </w:rPr>
        <w:t>;</w:t>
      </w:r>
    </w:p>
    <w:p>
      <w:pPr>
        <w:pStyle w:val="ListParagraph"/>
        <w:numPr>
          <w:ilvl w:val="2"/>
          <w:numId w:val="61"/>
        </w:numPr>
        <w:tabs>
          <w:tab w:pos="3052" w:val="left" w:leader="none"/>
          <w:tab w:pos="3053" w:val="left" w:leader="none"/>
        </w:tabs>
        <w:spacing w:line="240" w:lineRule="auto" w:before="120" w:after="0"/>
        <w:ind w:left="3052" w:right="0" w:hanging="567"/>
        <w:jc w:val="left"/>
        <w:rPr>
          <w:sz w:val="24"/>
        </w:rPr>
      </w:pPr>
      <w:r>
        <w:rPr>
          <w:i/>
          <w:sz w:val="24"/>
        </w:rPr>
        <w:t>load shedding </w:t>
      </w:r>
      <w:r>
        <w:rPr>
          <w:sz w:val="24"/>
        </w:rPr>
        <w:t>by </w:t>
      </w:r>
      <w:r>
        <w:rPr>
          <w:i/>
          <w:sz w:val="24"/>
        </w:rPr>
        <w:t>AEMO</w:t>
      </w:r>
      <w:r>
        <w:rPr>
          <w:sz w:val="24"/>
        </w:rPr>
        <w:t>;</w:t>
      </w:r>
      <w:r>
        <w:rPr>
          <w:spacing w:val="-2"/>
          <w:sz w:val="24"/>
        </w:rPr>
        <w:t> </w:t>
      </w:r>
      <w:r>
        <w:rPr>
          <w:sz w:val="24"/>
        </w:rPr>
        <w:t>and</w:t>
      </w:r>
    </w:p>
    <w:p>
      <w:pPr>
        <w:pStyle w:val="ListParagraph"/>
        <w:numPr>
          <w:ilvl w:val="2"/>
          <w:numId w:val="61"/>
        </w:numPr>
        <w:tabs>
          <w:tab w:pos="3052" w:val="left" w:leader="none"/>
          <w:tab w:pos="3054" w:val="left" w:leader="none"/>
        </w:tabs>
        <w:spacing w:line="240" w:lineRule="auto" w:before="120" w:after="0"/>
        <w:ind w:left="3053" w:right="415" w:hanging="567"/>
        <w:jc w:val="left"/>
        <w:rPr>
          <w:sz w:val="24"/>
        </w:rPr>
      </w:pPr>
      <w:r>
        <w:rPr>
          <w:sz w:val="24"/>
        </w:rPr>
        <w:t>any other adjustments as set out in the </w:t>
      </w:r>
      <w:r>
        <w:rPr>
          <w:i/>
          <w:sz w:val="24"/>
        </w:rPr>
        <w:t>Reliability Forecast </w:t>
      </w:r>
      <w:r>
        <w:rPr>
          <w:i/>
          <w:sz w:val="24"/>
        </w:rPr>
        <w:t>Guidelines</w:t>
      </w:r>
      <w:r>
        <w:rPr>
          <w:sz w:val="24"/>
        </w:rPr>
        <w:t>,</w:t>
      </w:r>
    </w:p>
    <w:p>
      <w:pPr>
        <w:spacing w:before="120"/>
        <w:ind w:left="2486" w:right="0" w:firstLine="0"/>
        <w:jc w:val="left"/>
        <w:rPr>
          <w:sz w:val="24"/>
        </w:rPr>
      </w:pPr>
      <w:r>
        <w:rPr>
          <w:sz w:val="24"/>
        </w:rPr>
        <w:t>in each case as determined in accordance with the </w:t>
      </w:r>
      <w:r>
        <w:rPr>
          <w:i/>
          <w:sz w:val="24"/>
        </w:rPr>
        <w:t>Reliability Forecast </w:t>
      </w:r>
      <w:r>
        <w:rPr>
          <w:i/>
          <w:sz w:val="24"/>
        </w:rPr>
        <w:t>Guidelines</w:t>
      </w:r>
      <w:r>
        <w:rPr>
          <w:sz w:val="24"/>
        </w:rPr>
        <w:t>.</w:t>
      </w:r>
    </w:p>
    <w:p>
      <w:pPr>
        <w:pStyle w:val="ListParagraph"/>
        <w:numPr>
          <w:ilvl w:val="0"/>
          <w:numId w:val="61"/>
        </w:numPr>
        <w:tabs>
          <w:tab w:pos="1918" w:val="left" w:leader="none"/>
          <w:tab w:pos="1919" w:val="left" w:leader="none"/>
        </w:tabs>
        <w:spacing w:line="240" w:lineRule="auto" w:before="120" w:after="0"/>
        <w:ind w:left="1918" w:right="0" w:hanging="567"/>
        <w:jc w:val="left"/>
        <w:rPr>
          <w:i/>
          <w:sz w:val="24"/>
        </w:rPr>
      </w:pPr>
      <w:r>
        <w:rPr>
          <w:i/>
          <w:sz w:val="24"/>
        </w:rPr>
        <w:t>AEMO</w:t>
      </w:r>
      <w:r>
        <w:rPr>
          <w:i/>
          <w:spacing w:val="7"/>
          <w:sz w:val="24"/>
        </w:rPr>
        <w:t> </w:t>
      </w:r>
      <w:r>
        <w:rPr>
          <w:sz w:val="24"/>
        </w:rPr>
        <w:t>must</w:t>
      </w:r>
      <w:r>
        <w:rPr>
          <w:spacing w:val="8"/>
          <w:sz w:val="24"/>
        </w:rPr>
        <w:t> </w:t>
      </w:r>
      <w:r>
        <w:rPr>
          <w:sz w:val="24"/>
        </w:rPr>
        <w:t>publish</w:t>
      </w:r>
      <w:r>
        <w:rPr>
          <w:spacing w:val="7"/>
          <w:sz w:val="24"/>
        </w:rPr>
        <w:t> </w:t>
      </w:r>
      <w:r>
        <w:rPr>
          <w:sz w:val="24"/>
        </w:rPr>
        <w:t>the</w:t>
      </w:r>
      <w:r>
        <w:rPr>
          <w:spacing w:val="8"/>
          <w:sz w:val="24"/>
        </w:rPr>
        <w:t> </w:t>
      </w:r>
      <w:r>
        <w:rPr>
          <w:sz w:val="24"/>
        </w:rPr>
        <w:t>actual</w:t>
      </w:r>
      <w:r>
        <w:rPr>
          <w:spacing w:val="7"/>
          <w:sz w:val="24"/>
        </w:rPr>
        <w:t> </w:t>
      </w:r>
      <w:r>
        <w:rPr>
          <w:sz w:val="24"/>
        </w:rPr>
        <w:t>demand</w:t>
      </w:r>
      <w:r>
        <w:rPr>
          <w:spacing w:val="8"/>
          <w:sz w:val="24"/>
        </w:rPr>
        <w:t> </w:t>
      </w:r>
      <w:r>
        <w:rPr>
          <w:sz w:val="24"/>
        </w:rPr>
        <w:t>for</w:t>
      </w:r>
      <w:r>
        <w:rPr>
          <w:spacing w:val="7"/>
          <w:sz w:val="24"/>
        </w:rPr>
        <w:t> </w:t>
      </w:r>
      <w:r>
        <w:rPr>
          <w:sz w:val="24"/>
        </w:rPr>
        <w:t>a</w:t>
      </w:r>
      <w:r>
        <w:rPr>
          <w:spacing w:val="8"/>
          <w:sz w:val="24"/>
        </w:rPr>
        <w:t> </w:t>
      </w:r>
      <w:r>
        <w:rPr>
          <w:i/>
          <w:sz w:val="24"/>
        </w:rPr>
        <w:t>trading</w:t>
      </w:r>
      <w:r>
        <w:rPr>
          <w:i/>
          <w:spacing w:val="7"/>
          <w:sz w:val="24"/>
        </w:rPr>
        <w:t> </w:t>
      </w:r>
      <w:r>
        <w:rPr>
          <w:i/>
          <w:sz w:val="24"/>
        </w:rPr>
        <w:t>interval</w:t>
      </w:r>
      <w:r>
        <w:rPr>
          <w:i/>
          <w:spacing w:val="8"/>
          <w:sz w:val="24"/>
        </w:rPr>
        <w:t> </w:t>
      </w:r>
      <w:r>
        <w:rPr>
          <w:sz w:val="24"/>
        </w:rPr>
        <w:t>for</w:t>
      </w:r>
      <w:r>
        <w:rPr>
          <w:spacing w:val="7"/>
          <w:sz w:val="24"/>
        </w:rPr>
        <w:t> </w:t>
      </w:r>
      <w:r>
        <w:rPr>
          <w:sz w:val="24"/>
        </w:rPr>
        <w:t>all</w:t>
      </w:r>
      <w:r>
        <w:rPr>
          <w:spacing w:val="8"/>
          <w:sz w:val="24"/>
        </w:rPr>
        <w:t> </w:t>
      </w:r>
      <w:r>
        <w:rPr>
          <w:i/>
          <w:sz w:val="24"/>
        </w:rPr>
        <w:t>regions</w:t>
      </w:r>
    </w:p>
    <w:p>
      <w:pPr>
        <w:spacing w:before="0"/>
        <w:ind w:left="1919" w:right="0" w:firstLine="0"/>
        <w:jc w:val="left"/>
        <w:rPr>
          <w:sz w:val="24"/>
        </w:rPr>
      </w:pPr>
      <w:r>
        <w:rPr>
          <w:sz w:val="24"/>
        </w:rPr>
        <w:t>on its website as soon as practicable after the end of that </w:t>
      </w:r>
      <w:r>
        <w:rPr>
          <w:i/>
          <w:sz w:val="24"/>
        </w:rPr>
        <w:t>trading interval</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B Reliability Forecasts" w:id="106"/>
      <w:bookmarkEnd w:id="106"/>
      <w:r>
        <w:rPr>
          <w:b w:val="0"/>
        </w:rPr>
      </w:r>
      <w:bookmarkStart w:name="_bookmark37" w:id="107"/>
      <w:bookmarkEnd w:id="107"/>
      <w:r>
        <w:rPr>
          <w:b w:val="0"/>
        </w:rPr>
      </w:r>
      <w:r>
        <w:rPr>
          <w:shd w:fill="D9D9D9" w:color="auto" w:val="clear"/>
        </w:rPr>
        <w:t>Part B</w:t>
        <w:tab/>
        <w:t>Reliability</w:t>
      </w:r>
      <w:r>
        <w:rPr>
          <w:spacing w:val="-13"/>
          <w:shd w:fill="D9D9D9" w:color="auto" w:val="clear"/>
        </w:rPr>
        <w:t> </w:t>
      </w:r>
      <w:r>
        <w:rPr>
          <w:shd w:fill="D9D9D9" w:color="auto" w:val="clear"/>
        </w:rPr>
        <w:t>Forecasts</w:t>
        <w:tab/>
      </w:r>
    </w:p>
    <w:p>
      <w:pPr>
        <w:pStyle w:val="Heading4"/>
        <w:tabs>
          <w:tab w:pos="1351" w:val="left" w:leader="none"/>
        </w:tabs>
        <w:spacing w:before="240"/>
        <w:ind w:left="218" w:firstLine="0"/>
      </w:pPr>
      <w:bookmarkStart w:name=" " w:id="108"/>
      <w:bookmarkEnd w:id="108"/>
      <w:r>
        <w:rPr>
          <w:b w:val="0"/>
        </w:rPr>
      </w:r>
      <w:bookmarkStart w:name="4A.B.1 Reliability forecast" w:id="109"/>
      <w:bookmarkEnd w:id="109"/>
      <w:r>
        <w:rPr>
          <w:b w:val="0"/>
        </w:rPr>
      </w:r>
      <w:bookmarkStart w:name="_bookmark38" w:id="110"/>
      <w:bookmarkEnd w:id="110"/>
      <w:r>
        <w:rPr>
          <w:b w:val="0"/>
        </w:rPr>
      </w:r>
      <w:r>
        <w:rPr/>
        <w:t>4A.B.1</w:t>
        <w:tab/>
        <w:t>Reliability</w:t>
      </w:r>
      <w:r>
        <w:rPr>
          <w:spacing w:val="-1"/>
        </w:rPr>
        <w:t> </w:t>
      </w:r>
      <w:r>
        <w:rPr/>
        <w:t>forecast</w:t>
      </w:r>
    </w:p>
    <w:p>
      <w:pPr>
        <w:pStyle w:val="ListParagraph"/>
        <w:numPr>
          <w:ilvl w:val="0"/>
          <w:numId w:val="62"/>
        </w:numPr>
        <w:tabs>
          <w:tab w:pos="1919" w:val="left" w:leader="none"/>
        </w:tabs>
        <w:spacing w:line="240" w:lineRule="auto" w:before="120" w:after="0"/>
        <w:ind w:left="1919" w:right="418" w:hanging="567"/>
        <w:jc w:val="both"/>
        <w:rPr>
          <w:sz w:val="24"/>
        </w:rPr>
      </w:pPr>
      <w:r>
        <w:rPr>
          <w:sz w:val="24"/>
        </w:rPr>
        <w:t>The </w:t>
      </w:r>
      <w:r>
        <w:rPr>
          <w:i/>
          <w:sz w:val="24"/>
        </w:rPr>
        <w:t>statement of opportunities </w:t>
      </w:r>
      <w:r>
        <w:rPr>
          <w:sz w:val="24"/>
        </w:rPr>
        <w:t>must, for a </w:t>
      </w:r>
      <w:r>
        <w:rPr>
          <w:i/>
          <w:sz w:val="24"/>
        </w:rPr>
        <w:t>reliability forecast</w:t>
      </w:r>
      <w:r>
        <w:rPr>
          <w:sz w:val="24"/>
        </w:rPr>
        <w:t>, specify which parts of the </w:t>
      </w:r>
      <w:r>
        <w:rPr>
          <w:i/>
          <w:sz w:val="24"/>
        </w:rPr>
        <w:t>statement of opportunities </w:t>
      </w:r>
      <w:r>
        <w:rPr>
          <w:sz w:val="24"/>
        </w:rPr>
        <w:t>form part of that </w:t>
      </w:r>
      <w:r>
        <w:rPr>
          <w:i/>
          <w:sz w:val="24"/>
        </w:rPr>
        <w:t>reliability</w:t>
      </w:r>
      <w:r>
        <w:rPr>
          <w:i/>
          <w:spacing w:val="-11"/>
          <w:sz w:val="24"/>
        </w:rPr>
        <w:t> </w:t>
      </w:r>
      <w:r>
        <w:rPr>
          <w:i/>
          <w:sz w:val="24"/>
        </w:rPr>
        <w:t>forecast</w:t>
      </w:r>
      <w:r>
        <w:rPr>
          <w:sz w:val="24"/>
        </w:rPr>
        <w:t>.</w:t>
      </w:r>
    </w:p>
    <w:p>
      <w:pPr>
        <w:pStyle w:val="ListParagraph"/>
        <w:numPr>
          <w:ilvl w:val="0"/>
          <w:numId w:val="62"/>
        </w:numPr>
        <w:tabs>
          <w:tab w:pos="1919" w:val="left" w:leader="none"/>
        </w:tabs>
        <w:spacing w:line="240" w:lineRule="auto" w:before="120" w:after="0"/>
        <w:ind w:left="1919" w:right="415" w:hanging="567"/>
        <w:jc w:val="both"/>
        <w:rPr>
          <w:sz w:val="24"/>
        </w:rPr>
      </w:pPr>
      <w:r>
        <w:rPr>
          <w:sz w:val="24"/>
        </w:rPr>
        <w:t>A </w:t>
      </w:r>
      <w:r>
        <w:rPr>
          <w:i/>
          <w:sz w:val="24"/>
        </w:rPr>
        <w:t>reliability forecast </w:t>
      </w:r>
      <w:r>
        <w:rPr>
          <w:sz w:val="24"/>
        </w:rPr>
        <w:t>and </w:t>
      </w:r>
      <w:r>
        <w:rPr>
          <w:i/>
          <w:sz w:val="24"/>
        </w:rPr>
        <w:t>indicative reliability forecast </w:t>
      </w:r>
      <w:r>
        <w:rPr>
          <w:sz w:val="24"/>
        </w:rPr>
        <w:t>must include the matters set out in clause</w:t>
      </w:r>
      <w:r>
        <w:rPr>
          <w:spacing w:val="-3"/>
          <w:sz w:val="24"/>
        </w:rPr>
        <w:t> </w:t>
      </w:r>
      <w:r>
        <w:rPr>
          <w:sz w:val="24"/>
        </w:rPr>
        <w:t>4A.B.2.</w:t>
      </w:r>
    </w:p>
    <w:p>
      <w:pPr>
        <w:pStyle w:val="ListParagraph"/>
        <w:numPr>
          <w:ilvl w:val="0"/>
          <w:numId w:val="62"/>
        </w:numPr>
        <w:tabs>
          <w:tab w:pos="1919" w:val="left" w:leader="none"/>
        </w:tabs>
        <w:spacing w:line="240" w:lineRule="auto" w:before="120" w:after="0"/>
        <w:ind w:left="1919" w:right="416" w:hanging="567"/>
        <w:jc w:val="both"/>
        <w:rPr>
          <w:sz w:val="24"/>
        </w:rPr>
      </w:pPr>
      <w:r>
        <w:rPr>
          <w:i/>
          <w:sz w:val="24"/>
        </w:rPr>
        <w:t>AEMO </w:t>
      </w:r>
      <w:r>
        <w:rPr>
          <w:sz w:val="24"/>
        </w:rPr>
        <w:t>must publish on its website the supporting material for a </w:t>
      </w:r>
      <w:r>
        <w:rPr>
          <w:i/>
          <w:sz w:val="24"/>
        </w:rPr>
        <w:t>reliability </w:t>
      </w:r>
      <w:r>
        <w:rPr>
          <w:i/>
          <w:sz w:val="24"/>
        </w:rPr>
        <w:t>forecast </w:t>
      </w:r>
      <w:r>
        <w:rPr>
          <w:sz w:val="24"/>
        </w:rPr>
        <w:t>as set out in clause</w:t>
      </w:r>
      <w:r>
        <w:rPr>
          <w:spacing w:val="-2"/>
          <w:sz w:val="24"/>
        </w:rPr>
        <w:t> </w:t>
      </w:r>
      <w:r>
        <w:rPr>
          <w:sz w:val="24"/>
        </w:rPr>
        <w:t>4A.B.3.</w:t>
      </w:r>
    </w:p>
    <w:p>
      <w:pPr>
        <w:pStyle w:val="ListParagraph"/>
        <w:numPr>
          <w:ilvl w:val="0"/>
          <w:numId w:val="62"/>
        </w:numPr>
        <w:tabs>
          <w:tab w:pos="1919" w:val="left" w:leader="none"/>
        </w:tabs>
        <w:spacing w:line="240" w:lineRule="auto" w:before="120" w:after="0"/>
        <w:ind w:left="1919" w:right="414" w:hanging="567"/>
        <w:jc w:val="both"/>
        <w:rPr>
          <w:sz w:val="24"/>
        </w:rPr>
      </w:pPr>
      <w:r>
        <w:rPr>
          <w:i/>
          <w:sz w:val="24"/>
        </w:rPr>
        <w:t>AEMO </w:t>
      </w:r>
      <w:r>
        <w:rPr>
          <w:sz w:val="24"/>
        </w:rPr>
        <w:t>must make, publish on its website and maintain the </w:t>
      </w:r>
      <w:r>
        <w:rPr>
          <w:i/>
          <w:sz w:val="24"/>
        </w:rPr>
        <w:t>Reliability </w:t>
      </w:r>
      <w:r>
        <w:rPr>
          <w:i/>
          <w:sz w:val="24"/>
        </w:rPr>
        <w:t>Forecast Guidelines </w:t>
      </w:r>
      <w:r>
        <w:rPr>
          <w:sz w:val="24"/>
        </w:rPr>
        <w:t>in accordance with clause</w:t>
      </w:r>
      <w:r>
        <w:rPr>
          <w:spacing w:val="-4"/>
          <w:sz w:val="24"/>
        </w:rPr>
        <w:t> </w:t>
      </w:r>
      <w:r>
        <w:rPr>
          <w:sz w:val="24"/>
        </w:rPr>
        <w:t>4A.B.4.</w:t>
      </w:r>
    </w:p>
    <w:p>
      <w:pPr>
        <w:pStyle w:val="ListParagraph"/>
        <w:numPr>
          <w:ilvl w:val="0"/>
          <w:numId w:val="62"/>
        </w:numPr>
        <w:tabs>
          <w:tab w:pos="1919" w:val="left" w:leader="none"/>
        </w:tabs>
        <w:spacing w:line="240" w:lineRule="auto" w:before="120" w:after="0"/>
        <w:ind w:left="1919" w:right="415" w:hanging="567"/>
        <w:jc w:val="both"/>
        <w:rPr>
          <w:sz w:val="24"/>
        </w:rPr>
      </w:pPr>
      <w:r>
        <w:rPr>
          <w:i/>
          <w:sz w:val="24"/>
        </w:rPr>
        <w:t>AEMO </w:t>
      </w:r>
      <w:r>
        <w:rPr>
          <w:sz w:val="24"/>
        </w:rPr>
        <w:t>must use reasonable endeavours to prepare a </w:t>
      </w:r>
      <w:r>
        <w:rPr>
          <w:i/>
          <w:sz w:val="24"/>
        </w:rPr>
        <w:t>reliability forecast </w:t>
      </w:r>
      <w:r>
        <w:rPr>
          <w:sz w:val="24"/>
        </w:rPr>
        <w:t>and an </w:t>
      </w:r>
      <w:r>
        <w:rPr>
          <w:i/>
          <w:sz w:val="24"/>
        </w:rPr>
        <w:t>indicative reliability forecast </w:t>
      </w:r>
      <w:r>
        <w:rPr>
          <w:sz w:val="24"/>
        </w:rPr>
        <w:t>in accordance with the Forecasting Best Practice</w:t>
      </w:r>
      <w:r>
        <w:rPr>
          <w:spacing w:val="-1"/>
          <w:sz w:val="24"/>
        </w:rPr>
        <w:t> </w:t>
      </w:r>
      <w:r>
        <w:rPr>
          <w:sz w:val="24"/>
        </w:rPr>
        <w:t>Guidelines.</w:t>
      </w:r>
    </w:p>
    <w:p>
      <w:pPr>
        <w:pStyle w:val="ListParagraph"/>
        <w:numPr>
          <w:ilvl w:val="0"/>
          <w:numId w:val="62"/>
        </w:numPr>
        <w:tabs>
          <w:tab w:pos="1920" w:val="left" w:leader="none"/>
        </w:tabs>
        <w:spacing w:line="240" w:lineRule="auto" w:before="120" w:after="0"/>
        <w:ind w:left="1919" w:right="416" w:hanging="567"/>
        <w:jc w:val="both"/>
        <w:rPr>
          <w:sz w:val="24"/>
        </w:rPr>
      </w:pPr>
      <w:r>
        <w:rPr>
          <w:i/>
          <w:sz w:val="24"/>
        </w:rPr>
        <w:t>AEMO </w:t>
      </w:r>
      <w:r>
        <w:rPr>
          <w:sz w:val="24"/>
        </w:rPr>
        <w:t>will have complied with section 14F(b) of the </w:t>
      </w:r>
      <w:r>
        <w:rPr>
          <w:i/>
          <w:sz w:val="24"/>
        </w:rPr>
        <w:t>National Electricity </w:t>
      </w:r>
      <w:r>
        <w:rPr>
          <w:i/>
          <w:sz w:val="24"/>
        </w:rPr>
        <w:t>Law </w:t>
      </w:r>
      <w:r>
        <w:rPr>
          <w:sz w:val="24"/>
        </w:rPr>
        <w:t>if it prepares and publishes on its website a </w:t>
      </w:r>
      <w:r>
        <w:rPr>
          <w:i/>
          <w:sz w:val="24"/>
        </w:rPr>
        <w:t>reliability forecast </w:t>
      </w:r>
      <w:r>
        <w:rPr>
          <w:sz w:val="24"/>
        </w:rPr>
        <w:t>and supporting material required by and in accordance with this Chapter 4A and clauses 3.13.3A(a) or (b).</w:t>
      </w:r>
    </w:p>
    <w:p>
      <w:pPr>
        <w:pStyle w:val="BodyText"/>
        <w:spacing w:before="10"/>
        <w:ind w:firstLine="0"/>
        <w:jc w:val="left"/>
        <w:rPr>
          <w:sz w:val="20"/>
        </w:rPr>
      </w:pPr>
    </w:p>
    <w:p>
      <w:pPr>
        <w:pStyle w:val="Heading4"/>
        <w:tabs>
          <w:tab w:pos="1351" w:val="left" w:leader="none"/>
        </w:tabs>
        <w:ind w:left="218" w:firstLine="0"/>
      </w:pPr>
      <w:bookmarkStart w:name="4A.B.2 Reliability forecast components" w:id="111"/>
      <w:bookmarkEnd w:id="111"/>
      <w:r>
        <w:rPr>
          <w:b w:val="0"/>
        </w:rPr>
      </w:r>
      <w:bookmarkStart w:name="_bookmark39" w:id="112"/>
      <w:bookmarkEnd w:id="112"/>
      <w:r>
        <w:rPr>
          <w:b w:val="0"/>
        </w:rPr>
      </w:r>
      <w:r>
        <w:rPr/>
        <w:t>4A.B.2</w:t>
        <w:tab/>
        <w:t>Reliability forecast</w:t>
      </w:r>
      <w:r>
        <w:rPr>
          <w:spacing w:val="-2"/>
        </w:rPr>
        <w:t> </w:t>
      </w:r>
      <w:r>
        <w:rPr/>
        <w:t>components</w:t>
      </w:r>
    </w:p>
    <w:p>
      <w:pPr>
        <w:spacing w:before="120"/>
        <w:ind w:left="1352" w:right="0" w:firstLine="0"/>
        <w:jc w:val="left"/>
        <w:rPr>
          <w:sz w:val="24"/>
        </w:rPr>
      </w:pPr>
      <w:r>
        <w:rPr>
          <w:sz w:val="24"/>
        </w:rPr>
        <w:t>A </w:t>
      </w:r>
      <w:r>
        <w:rPr>
          <w:i/>
          <w:sz w:val="24"/>
        </w:rPr>
        <w:t>reliability forecast </w:t>
      </w:r>
      <w:r>
        <w:rPr>
          <w:sz w:val="24"/>
        </w:rPr>
        <w:t>and </w:t>
      </w:r>
      <w:r>
        <w:rPr>
          <w:i/>
          <w:sz w:val="24"/>
        </w:rPr>
        <w:t>indicative reliability forecast </w:t>
      </w:r>
      <w:r>
        <w:rPr>
          <w:sz w:val="24"/>
        </w:rPr>
        <w:t>for a </w:t>
      </w:r>
      <w:r>
        <w:rPr>
          <w:i/>
          <w:sz w:val="24"/>
        </w:rPr>
        <w:t>region </w:t>
      </w:r>
      <w:r>
        <w:rPr>
          <w:sz w:val="24"/>
        </w:rPr>
        <w:t>for each</w:t>
      </w:r>
    </w:p>
    <w:p>
      <w:pPr>
        <w:spacing w:before="0"/>
        <w:ind w:left="1352" w:right="0" w:firstLine="0"/>
        <w:jc w:val="left"/>
        <w:rPr>
          <w:sz w:val="24"/>
        </w:rPr>
      </w:pPr>
      <w:r>
        <w:rPr>
          <w:i/>
          <w:sz w:val="24"/>
        </w:rPr>
        <w:t>financial year </w:t>
      </w:r>
      <w:r>
        <w:rPr>
          <w:sz w:val="24"/>
        </w:rPr>
        <w:t>must include the following:</w:t>
      </w:r>
    </w:p>
    <w:p>
      <w:pPr>
        <w:pStyle w:val="ListParagraph"/>
        <w:numPr>
          <w:ilvl w:val="0"/>
          <w:numId w:val="63"/>
        </w:numPr>
        <w:tabs>
          <w:tab w:pos="1918" w:val="left" w:leader="none"/>
          <w:tab w:pos="1919" w:val="left" w:leader="none"/>
        </w:tabs>
        <w:spacing w:line="240" w:lineRule="auto" w:before="120" w:after="0"/>
        <w:ind w:left="1919" w:right="415" w:hanging="567"/>
        <w:jc w:val="left"/>
        <w:rPr>
          <w:sz w:val="24"/>
        </w:rPr>
      </w:pPr>
      <w:r>
        <w:rPr>
          <w:i/>
          <w:sz w:val="24"/>
        </w:rPr>
        <w:t>AEMO's unserved energy </w:t>
      </w:r>
      <w:r>
        <w:rPr>
          <w:sz w:val="24"/>
        </w:rPr>
        <w:t>forecast and whether or not there is a </w:t>
      </w:r>
      <w:r>
        <w:rPr>
          <w:i/>
          <w:sz w:val="24"/>
        </w:rPr>
        <w:t>forecast </w:t>
      </w:r>
      <w:r>
        <w:rPr>
          <w:i/>
          <w:sz w:val="24"/>
        </w:rPr>
        <w:t>reliability</w:t>
      </w:r>
      <w:r>
        <w:rPr>
          <w:i/>
          <w:spacing w:val="-1"/>
          <w:sz w:val="24"/>
        </w:rPr>
        <w:t> </w:t>
      </w:r>
      <w:r>
        <w:rPr>
          <w:i/>
          <w:sz w:val="24"/>
        </w:rPr>
        <w:t>gap</w:t>
      </w:r>
      <w:r>
        <w:rPr>
          <w:sz w:val="24"/>
        </w:rPr>
        <w:t>;</w:t>
      </w:r>
    </w:p>
    <w:p>
      <w:pPr>
        <w:pStyle w:val="ListParagraph"/>
        <w:numPr>
          <w:ilvl w:val="0"/>
          <w:numId w:val="63"/>
        </w:numPr>
        <w:tabs>
          <w:tab w:pos="1918" w:val="left" w:leader="none"/>
          <w:tab w:pos="1919" w:val="left" w:leader="none"/>
        </w:tabs>
        <w:spacing w:line="240" w:lineRule="auto" w:before="120" w:after="0"/>
        <w:ind w:left="1918" w:right="0" w:hanging="567"/>
        <w:jc w:val="left"/>
        <w:rPr>
          <w:sz w:val="24"/>
        </w:rPr>
      </w:pPr>
      <w:r>
        <w:rPr>
          <w:sz w:val="24"/>
        </w:rPr>
        <w:t>if there is a </w:t>
      </w:r>
      <w:r>
        <w:rPr>
          <w:i/>
          <w:sz w:val="24"/>
        </w:rPr>
        <w:t>forecast reliability</w:t>
      </w:r>
      <w:r>
        <w:rPr>
          <w:i/>
          <w:spacing w:val="-2"/>
          <w:sz w:val="24"/>
        </w:rPr>
        <w:t> </w:t>
      </w:r>
      <w:r>
        <w:rPr>
          <w:i/>
          <w:sz w:val="24"/>
        </w:rPr>
        <w:t>gap</w:t>
      </w:r>
      <w:r>
        <w:rPr>
          <w:sz w:val="24"/>
        </w:rPr>
        <w:t>:</w:t>
      </w:r>
    </w:p>
    <w:p>
      <w:pPr>
        <w:pStyle w:val="ListParagraph"/>
        <w:numPr>
          <w:ilvl w:val="1"/>
          <w:numId w:val="63"/>
        </w:numPr>
        <w:tabs>
          <w:tab w:pos="2485" w:val="left" w:leader="none"/>
          <w:tab w:pos="2486" w:val="left" w:leader="none"/>
        </w:tabs>
        <w:spacing w:line="240" w:lineRule="auto" w:before="120" w:after="0"/>
        <w:ind w:left="2485" w:right="0" w:hanging="567"/>
        <w:jc w:val="left"/>
        <w:rPr>
          <w:sz w:val="24"/>
        </w:rPr>
      </w:pPr>
      <w:r>
        <w:rPr>
          <w:sz w:val="24"/>
        </w:rPr>
        <w:t>the expected </w:t>
      </w:r>
      <w:r>
        <w:rPr>
          <w:i/>
          <w:sz w:val="24"/>
        </w:rPr>
        <w:t>unserved energy </w:t>
      </w:r>
      <w:r>
        <w:rPr>
          <w:sz w:val="24"/>
        </w:rPr>
        <w:t>for the forecast reliability gap</w:t>
      </w:r>
      <w:r>
        <w:rPr>
          <w:spacing w:val="-3"/>
          <w:sz w:val="24"/>
        </w:rPr>
        <w:t> </w:t>
      </w:r>
      <w:r>
        <w:rPr>
          <w:sz w:val="24"/>
        </w:rPr>
        <w:t>period;</w:t>
      </w:r>
    </w:p>
    <w:p>
      <w:pPr>
        <w:pStyle w:val="ListParagraph"/>
        <w:numPr>
          <w:ilvl w:val="1"/>
          <w:numId w:val="63"/>
        </w:numPr>
        <w:tabs>
          <w:tab w:pos="2485" w:val="left" w:leader="none"/>
          <w:tab w:pos="2486" w:val="left" w:leader="none"/>
        </w:tabs>
        <w:spacing w:line="240" w:lineRule="auto" w:before="120" w:after="0"/>
        <w:ind w:left="2485" w:right="0" w:hanging="567"/>
        <w:jc w:val="left"/>
        <w:rPr>
          <w:sz w:val="24"/>
        </w:rPr>
      </w:pPr>
      <w:r>
        <w:rPr>
          <w:sz w:val="24"/>
        </w:rPr>
        <w:t>the size of the </w:t>
      </w:r>
      <w:r>
        <w:rPr>
          <w:i/>
          <w:sz w:val="24"/>
        </w:rPr>
        <w:t>forecast reliability gap </w:t>
      </w:r>
      <w:r>
        <w:rPr>
          <w:sz w:val="24"/>
        </w:rPr>
        <w:t>(in</w:t>
      </w:r>
      <w:r>
        <w:rPr>
          <w:spacing w:val="-5"/>
          <w:sz w:val="24"/>
        </w:rPr>
        <w:t> </w:t>
      </w:r>
      <w:r>
        <w:rPr>
          <w:sz w:val="24"/>
        </w:rPr>
        <w:t>MW);</w:t>
      </w:r>
    </w:p>
    <w:p>
      <w:pPr>
        <w:pStyle w:val="ListParagraph"/>
        <w:numPr>
          <w:ilvl w:val="1"/>
          <w:numId w:val="63"/>
        </w:numPr>
        <w:tabs>
          <w:tab w:pos="2485" w:val="left" w:leader="none"/>
          <w:tab w:pos="2486" w:val="left" w:leader="none"/>
        </w:tabs>
        <w:spacing w:line="240" w:lineRule="auto" w:before="120" w:after="0"/>
        <w:ind w:left="2485" w:right="0" w:hanging="567"/>
        <w:jc w:val="left"/>
        <w:rPr>
          <w:sz w:val="24"/>
        </w:rPr>
      </w:pPr>
      <w:r>
        <w:rPr>
          <w:sz w:val="24"/>
        </w:rPr>
        <w:t>the forecast reliability gap period;</w:t>
      </w:r>
      <w:r>
        <w:rPr>
          <w:spacing w:val="-1"/>
          <w:sz w:val="24"/>
        </w:rPr>
        <w:t> </w:t>
      </w:r>
      <w:r>
        <w:rPr>
          <w:sz w:val="24"/>
        </w:rPr>
        <w:t>and</w:t>
      </w:r>
    </w:p>
    <w:p>
      <w:pPr>
        <w:pStyle w:val="ListParagraph"/>
        <w:numPr>
          <w:ilvl w:val="0"/>
          <w:numId w:val="63"/>
        </w:numPr>
        <w:tabs>
          <w:tab w:pos="1919" w:val="left" w:leader="none"/>
        </w:tabs>
        <w:spacing w:line="240" w:lineRule="auto" w:before="120" w:after="0"/>
        <w:ind w:left="1919" w:right="414" w:hanging="567"/>
        <w:jc w:val="both"/>
        <w:rPr>
          <w:sz w:val="24"/>
        </w:rPr>
      </w:pPr>
      <w:r>
        <w:rPr>
          <w:sz w:val="24"/>
        </w:rPr>
        <w:t>if there is a </w:t>
      </w:r>
      <w:r>
        <w:rPr>
          <w:i/>
          <w:sz w:val="24"/>
        </w:rPr>
        <w:t>forecast reliability gap </w:t>
      </w:r>
      <w:r>
        <w:rPr>
          <w:sz w:val="24"/>
        </w:rPr>
        <w:t>in a </w:t>
      </w:r>
      <w:r>
        <w:rPr>
          <w:i/>
          <w:sz w:val="24"/>
        </w:rPr>
        <w:t>reliability forecast</w:t>
      </w:r>
      <w:r>
        <w:rPr>
          <w:sz w:val="24"/>
        </w:rPr>
        <w:t>, the </w:t>
      </w:r>
      <w:r>
        <w:rPr>
          <w:i/>
          <w:sz w:val="24"/>
        </w:rPr>
        <w:t>trading </w:t>
      </w:r>
      <w:r>
        <w:rPr>
          <w:i/>
          <w:sz w:val="24"/>
        </w:rPr>
        <w:t>intervals </w:t>
      </w:r>
      <w:r>
        <w:rPr>
          <w:sz w:val="24"/>
        </w:rPr>
        <w:t>during the forecast reliability gap period in which the forecast </w:t>
      </w:r>
      <w:r>
        <w:rPr>
          <w:i/>
          <w:sz w:val="24"/>
        </w:rPr>
        <w:t>unserved energy </w:t>
      </w:r>
      <w:r>
        <w:rPr>
          <w:sz w:val="24"/>
        </w:rPr>
        <w:t>observed during the </w:t>
      </w:r>
      <w:r>
        <w:rPr>
          <w:i/>
          <w:sz w:val="24"/>
        </w:rPr>
        <w:t>forecast reliability gap </w:t>
      </w:r>
      <w:r>
        <w:rPr>
          <w:sz w:val="24"/>
        </w:rPr>
        <w:t>is likely to occur.</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4A.B.3 Supporting materials" w:id="113"/>
      <w:bookmarkEnd w:id="113"/>
      <w:r>
        <w:rPr>
          <w:b w:val="0"/>
        </w:rPr>
      </w:r>
      <w:bookmarkStart w:name="_bookmark40" w:id="114"/>
      <w:bookmarkEnd w:id="114"/>
      <w:r>
        <w:rPr>
          <w:b w:val="0"/>
        </w:rPr>
      </w:r>
      <w:r>
        <w:rPr/>
        <w:t>4A.B.3</w:t>
        <w:tab/>
        <w:t>Supporting</w:t>
      </w:r>
      <w:r>
        <w:rPr>
          <w:spacing w:val="-1"/>
        </w:rPr>
        <w:t> </w:t>
      </w:r>
      <w:r>
        <w:rPr/>
        <w:t>materials</w:t>
      </w:r>
    </w:p>
    <w:p>
      <w:pPr>
        <w:pStyle w:val="ListParagraph"/>
        <w:numPr>
          <w:ilvl w:val="0"/>
          <w:numId w:val="64"/>
        </w:numPr>
        <w:tabs>
          <w:tab w:pos="1919" w:val="left" w:leader="none"/>
        </w:tabs>
        <w:spacing w:line="240" w:lineRule="auto" w:before="120" w:after="0"/>
        <w:ind w:left="1919" w:right="414" w:hanging="567"/>
        <w:jc w:val="both"/>
        <w:rPr>
          <w:sz w:val="24"/>
        </w:rPr>
      </w:pPr>
      <w:r>
        <w:rPr>
          <w:i/>
          <w:sz w:val="24"/>
        </w:rPr>
        <w:t>AEMO </w:t>
      </w:r>
      <w:r>
        <w:rPr>
          <w:sz w:val="24"/>
        </w:rPr>
        <w:t>must publish on its website the supporting information specified in, and in the form and timeframes required by, the </w:t>
      </w:r>
      <w:r>
        <w:rPr>
          <w:i/>
          <w:sz w:val="24"/>
        </w:rPr>
        <w:t>Reliability Forecast </w:t>
      </w:r>
      <w:r>
        <w:rPr>
          <w:i/>
          <w:sz w:val="24"/>
        </w:rPr>
        <w:t>Guidelines </w:t>
      </w:r>
      <w:r>
        <w:rPr>
          <w:sz w:val="24"/>
        </w:rPr>
        <w:t>in relation to a </w:t>
      </w:r>
      <w:r>
        <w:rPr>
          <w:i/>
          <w:sz w:val="24"/>
        </w:rPr>
        <w:t>reliability</w:t>
      </w:r>
      <w:r>
        <w:rPr>
          <w:i/>
          <w:spacing w:val="-3"/>
          <w:sz w:val="24"/>
        </w:rPr>
        <w:t> </w:t>
      </w:r>
      <w:r>
        <w:rPr>
          <w:i/>
          <w:sz w:val="24"/>
        </w:rPr>
        <w:t>forecast</w:t>
      </w:r>
      <w:r>
        <w:rPr>
          <w:sz w:val="24"/>
        </w:rPr>
        <w:t>.</w:t>
      </w:r>
    </w:p>
    <w:p>
      <w:pPr>
        <w:pStyle w:val="ListParagraph"/>
        <w:numPr>
          <w:ilvl w:val="0"/>
          <w:numId w:val="64"/>
        </w:numPr>
        <w:tabs>
          <w:tab w:pos="1919" w:val="left" w:leader="none"/>
        </w:tabs>
        <w:spacing w:line="240" w:lineRule="auto" w:before="120" w:after="0"/>
        <w:ind w:left="1919" w:right="415" w:hanging="567"/>
        <w:jc w:val="both"/>
        <w:rPr>
          <w:sz w:val="24"/>
        </w:rPr>
      </w:pPr>
      <w:r>
        <w:rPr>
          <w:sz w:val="24"/>
        </w:rPr>
        <w:t>The </w:t>
      </w:r>
      <w:r>
        <w:rPr>
          <w:i/>
          <w:sz w:val="24"/>
        </w:rPr>
        <w:t>Reliability Forecast Guidelines </w:t>
      </w:r>
      <w:r>
        <w:rPr>
          <w:sz w:val="24"/>
        </w:rPr>
        <w:t>must provide for the publication of supporting material to assist with understanding a </w:t>
      </w:r>
      <w:r>
        <w:rPr>
          <w:i/>
          <w:sz w:val="24"/>
        </w:rPr>
        <w:t>reliability forecast</w:t>
      </w:r>
      <w:r>
        <w:rPr>
          <w:sz w:val="24"/>
        </w:rPr>
        <w:t>, having regard</w:t>
      </w:r>
      <w:r>
        <w:rPr>
          <w:spacing w:val="-1"/>
          <w:sz w:val="24"/>
        </w:rPr>
        <w:t> </w:t>
      </w:r>
      <w:r>
        <w:rPr>
          <w:sz w:val="24"/>
        </w:rPr>
        <w:t>to:</w:t>
      </w:r>
    </w:p>
    <w:p>
      <w:pPr>
        <w:pStyle w:val="ListParagraph"/>
        <w:numPr>
          <w:ilvl w:val="1"/>
          <w:numId w:val="64"/>
        </w:numPr>
        <w:tabs>
          <w:tab w:pos="2485" w:val="left" w:leader="none"/>
          <w:tab w:pos="2486" w:val="left" w:leader="none"/>
        </w:tabs>
        <w:spacing w:line="240" w:lineRule="auto" w:before="120" w:after="0"/>
        <w:ind w:left="2485" w:right="0" w:hanging="567"/>
        <w:jc w:val="left"/>
        <w:rPr>
          <w:sz w:val="24"/>
        </w:rPr>
      </w:pPr>
      <w:r>
        <w:rPr>
          <w:sz w:val="24"/>
        </w:rPr>
        <w:t>the Forecasting Best Practice</w:t>
      </w:r>
      <w:r>
        <w:rPr>
          <w:spacing w:val="-3"/>
          <w:sz w:val="24"/>
        </w:rPr>
        <w:t> </w:t>
      </w:r>
      <w:r>
        <w:rPr>
          <w:sz w:val="24"/>
        </w:rPr>
        <w:t>Guidelines;</w:t>
      </w:r>
    </w:p>
    <w:p>
      <w:pPr>
        <w:pStyle w:val="ListParagraph"/>
        <w:numPr>
          <w:ilvl w:val="1"/>
          <w:numId w:val="64"/>
        </w:numPr>
        <w:tabs>
          <w:tab w:pos="2485" w:val="left" w:leader="none"/>
          <w:tab w:pos="2486" w:val="left" w:leader="none"/>
        </w:tabs>
        <w:spacing w:line="240" w:lineRule="auto" w:before="120" w:after="0"/>
        <w:ind w:left="2485" w:right="0" w:hanging="567"/>
        <w:jc w:val="left"/>
        <w:rPr>
          <w:sz w:val="24"/>
        </w:rPr>
      </w:pPr>
      <w:r>
        <w:rPr>
          <w:i/>
          <w:sz w:val="24"/>
        </w:rPr>
        <w:t>AEMO's </w:t>
      </w:r>
      <w:r>
        <w:rPr>
          <w:sz w:val="24"/>
        </w:rPr>
        <w:t>obligations regarding </w:t>
      </w:r>
      <w:r>
        <w:rPr>
          <w:i/>
          <w:sz w:val="24"/>
        </w:rPr>
        <w:t>confidential information</w:t>
      </w:r>
      <w:r>
        <w:rPr>
          <w:sz w:val="24"/>
        </w:rPr>
        <w:t>;</w:t>
      </w:r>
      <w:r>
        <w:rPr>
          <w:spacing w:val="-1"/>
          <w:sz w:val="24"/>
        </w:rPr>
        <w:t> </w:t>
      </w:r>
      <w:r>
        <w:rPr>
          <w:sz w:val="24"/>
        </w:rPr>
        <w:t>and</w:t>
      </w:r>
    </w:p>
    <w:p>
      <w:pPr>
        <w:pStyle w:val="ListParagraph"/>
        <w:numPr>
          <w:ilvl w:val="1"/>
          <w:numId w:val="64"/>
        </w:numPr>
        <w:tabs>
          <w:tab w:pos="2485" w:val="left" w:leader="none"/>
          <w:tab w:pos="2486" w:val="left" w:leader="none"/>
        </w:tabs>
        <w:spacing w:line="240" w:lineRule="auto" w:before="120" w:after="0"/>
        <w:ind w:left="2485" w:right="0" w:hanging="567"/>
        <w:jc w:val="left"/>
        <w:rPr>
          <w:sz w:val="24"/>
        </w:rPr>
      </w:pPr>
      <w:r>
        <w:rPr>
          <w:sz w:val="24"/>
        </w:rPr>
        <w:t>the best form of the information for this</w:t>
      </w:r>
      <w:r>
        <w:rPr>
          <w:spacing w:val="-2"/>
          <w:sz w:val="24"/>
        </w:rPr>
        <w:t> </w:t>
      </w:r>
      <w:r>
        <w:rPr>
          <w:sz w:val="24"/>
        </w:rPr>
        <w:t>purpose.</w:t>
      </w:r>
    </w:p>
    <w:p>
      <w:pPr>
        <w:pStyle w:val="BodyText"/>
        <w:spacing w:before="10"/>
        <w:ind w:firstLine="0"/>
        <w:jc w:val="left"/>
        <w:rPr>
          <w:sz w:val="20"/>
        </w:rPr>
      </w:pPr>
    </w:p>
    <w:p>
      <w:pPr>
        <w:pStyle w:val="Heading4"/>
        <w:tabs>
          <w:tab w:pos="1351" w:val="left" w:leader="none"/>
        </w:tabs>
        <w:ind w:left="218" w:firstLine="0"/>
      </w:pPr>
      <w:bookmarkStart w:name="4A.B.4 Reliability Forecast Guidelines" w:id="115"/>
      <w:bookmarkEnd w:id="115"/>
      <w:r>
        <w:rPr>
          <w:b w:val="0"/>
        </w:rPr>
      </w:r>
      <w:bookmarkStart w:name="_bookmark41" w:id="116"/>
      <w:bookmarkEnd w:id="116"/>
      <w:r>
        <w:rPr>
          <w:b w:val="0"/>
        </w:rPr>
      </w:r>
      <w:r>
        <w:rPr/>
        <w:t>4A.B.4</w:t>
        <w:tab/>
        <w:t>Reliability Forecast</w:t>
      </w:r>
      <w:r>
        <w:rPr>
          <w:spacing w:val="-2"/>
        </w:rPr>
        <w:t> </w:t>
      </w:r>
      <w:r>
        <w:rPr/>
        <w:t>Guidelines</w:t>
      </w:r>
    </w:p>
    <w:p>
      <w:pPr>
        <w:spacing w:before="220"/>
        <w:ind w:left="1356" w:right="0" w:firstLine="0"/>
        <w:jc w:val="left"/>
        <w:rPr>
          <w:rFonts w:ascii="Arial"/>
          <w:b/>
          <w:sz w:val="22"/>
        </w:rPr>
      </w:pPr>
      <w:r>
        <w:rPr>
          <w:rFonts w:ascii="Arial"/>
          <w:b/>
          <w:sz w:val="22"/>
        </w:rPr>
        <w:t>Purpose of the Reliability Forecast Guidelines</w:t>
      </w:r>
    </w:p>
    <w:p>
      <w:pPr>
        <w:pStyle w:val="ListParagraph"/>
        <w:numPr>
          <w:ilvl w:val="0"/>
          <w:numId w:val="65"/>
        </w:numPr>
        <w:tabs>
          <w:tab w:pos="1919" w:val="left" w:leader="none"/>
        </w:tabs>
        <w:spacing w:line="240" w:lineRule="auto" w:before="120" w:after="0"/>
        <w:ind w:left="1918" w:right="0" w:hanging="567"/>
        <w:jc w:val="both"/>
        <w:rPr>
          <w:sz w:val="24"/>
        </w:rPr>
      </w:pPr>
      <w:r>
        <w:rPr>
          <w:sz w:val="24"/>
        </w:rPr>
        <w:t>The purpose of the </w:t>
      </w:r>
      <w:r>
        <w:rPr>
          <w:i/>
          <w:sz w:val="24"/>
        </w:rPr>
        <w:t>Reliability Forecast Guidelines </w:t>
      </w:r>
      <w:r>
        <w:rPr>
          <w:sz w:val="24"/>
        </w:rPr>
        <w:t>is</w:t>
      </w:r>
      <w:r>
        <w:rPr>
          <w:spacing w:val="-4"/>
          <w:sz w:val="24"/>
        </w:rPr>
        <w:t> </w:t>
      </w:r>
      <w:r>
        <w:rPr>
          <w:sz w:val="24"/>
        </w:rPr>
        <w:t>to:</w:t>
      </w:r>
    </w:p>
    <w:p>
      <w:pPr>
        <w:pStyle w:val="ListParagraph"/>
        <w:numPr>
          <w:ilvl w:val="1"/>
          <w:numId w:val="65"/>
        </w:numPr>
        <w:tabs>
          <w:tab w:pos="2486" w:val="left" w:leader="none"/>
        </w:tabs>
        <w:spacing w:line="240" w:lineRule="auto" w:before="120" w:after="0"/>
        <w:ind w:left="2486" w:right="414" w:hanging="567"/>
        <w:jc w:val="both"/>
        <w:rPr>
          <w:sz w:val="24"/>
        </w:rPr>
      </w:pPr>
      <w:r>
        <w:rPr>
          <w:sz w:val="24"/>
        </w:rPr>
        <w:t>explain to liable entities and other interested parties how a </w:t>
      </w:r>
      <w:r>
        <w:rPr>
          <w:i/>
          <w:sz w:val="24"/>
        </w:rPr>
        <w:t>reliability </w:t>
      </w:r>
      <w:r>
        <w:rPr>
          <w:i/>
          <w:sz w:val="24"/>
        </w:rPr>
        <w:t>forecast </w:t>
      </w:r>
      <w:r>
        <w:rPr>
          <w:sz w:val="24"/>
        </w:rPr>
        <w:t>is prepared and the underlying procedures, information requirements and methodologies that govern its preparation </w:t>
      </w:r>
      <w:r>
        <w:rPr>
          <w:spacing w:val="-4"/>
          <w:sz w:val="24"/>
        </w:rPr>
        <w:t>and </w:t>
      </w:r>
      <w:r>
        <w:rPr>
          <w:sz w:val="24"/>
        </w:rPr>
        <w:t>operation;</w:t>
      </w:r>
      <w:r>
        <w:rPr>
          <w:spacing w:val="-1"/>
          <w:sz w:val="24"/>
        </w:rPr>
        <w:t> </w:t>
      </w:r>
      <w:r>
        <w:rPr>
          <w:sz w:val="24"/>
        </w:rPr>
        <w:t>and</w:t>
      </w:r>
    </w:p>
    <w:p>
      <w:pPr>
        <w:pStyle w:val="ListParagraph"/>
        <w:numPr>
          <w:ilvl w:val="1"/>
          <w:numId w:val="65"/>
        </w:numPr>
        <w:tabs>
          <w:tab w:pos="2486" w:val="left" w:leader="none"/>
        </w:tabs>
        <w:spacing w:line="240" w:lineRule="auto" w:before="120" w:after="0"/>
        <w:ind w:left="2486" w:right="417" w:hanging="567"/>
        <w:jc w:val="both"/>
        <w:rPr>
          <w:sz w:val="24"/>
        </w:rPr>
      </w:pPr>
      <w:r>
        <w:rPr>
          <w:sz w:val="24"/>
        </w:rPr>
        <w:t>describe how </w:t>
      </w:r>
      <w:r>
        <w:rPr>
          <w:i/>
          <w:sz w:val="24"/>
        </w:rPr>
        <w:t>AEMO </w:t>
      </w:r>
      <w:r>
        <w:rPr>
          <w:sz w:val="24"/>
        </w:rPr>
        <w:t>will implement the Forecasting Best Practice Guidelines in preparing a </w:t>
      </w:r>
      <w:r>
        <w:rPr>
          <w:i/>
          <w:sz w:val="24"/>
        </w:rPr>
        <w:t>reliability</w:t>
      </w:r>
      <w:r>
        <w:rPr>
          <w:i/>
          <w:spacing w:val="-2"/>
          <w:sz w:val="24"/>
        </w:rPr>
        <w:t> </w:t>
      </w:r>
      <w:r>
        <w:rPr>
          <w:i/>
          <w:sz w:val="24"/>
        </w:rPr>
        <w:t>forecast</w:t>
      </w:r>
      <w:r>
        <w:rPr>
          <w:sz w:val="24"/>
        </w:rPr>
        <w:t>.</w:t>
      </w:r>
    </w:p>
    <w:p>
      <w:pPr>
        <w:spacing w:before="220"/>
        <w:ind w:left="1356" w:right="0" w:firstLine="0"/>
        <w:jc w:val="left"/>
        <w:rPr>
          <w:rFonts w:ascii="Arial"/>
          <w:b/>
          <w:sz w:val="22"/>
        </w:rPr>
      </w:pPr>
      <w:r>
        <w:rPr>
          <w:rFonts w:ascii="Arial"/>
          <w:b/>
          <w:sz w:val="22"/>
        </w:rPr>
        <w:t>Reliability Forecast Guidelines components</w:t>
      </w:r>
    </w:p>
    <w:p>
      <w:pPr>
        <w:pStyle w:val="ListParagraph"/>
        <w:numPr>
          <w:ilvl w:val="0"/>
          <w:numId w:val="65"/>
        </w:numPr>
        <w:tabs>
          <w:tab w:pos="1919" w:val="left" w:leader="none"/>
        </w:tabs>
        <w:spacing w:line="240" w:lineRule="auto" w:before="120" w:after="0"/>
        <w:ind w:left="1918" w:right="0" w:hanging="567"/>
        <w:jc w:val="both"/>
        <w:rPr>
          <w:sz w:val="24"/>
        </w:rPr>
      </w:pPr>
      <w:r>
        <w:rPr>
          <w:sz w:val="24"/>
        </w:rPr>
        <w:t>The </w:t>
      </w:r>
      <w:r>
        <w:rPr>
          <w:i/>
          <w:sz w:val="24"/>
        </w:rPr>
        <w:t>Reliability Forecast Guidelines </w:t>
      </w:r>
      <w:r>
        <w:rPr>
          <w:sz w:val="24"/>
        </w:rPr>
        <w:t>must provide for the</w:t>
      </w:r>
      <w:r>
        <w:rPr>
          <w:spacing w:val="-3"/>
          <w:sz w:val="24"/>
        </w:rPr>
        <w:t> </w:t>
      </w:r>
      <w:r>
        <w:rPr>
          <w:sz w:val="24"/>
        </w:rPr>
        <w:t>following:</w:t>
      </w:r>
    </w:p>
    <w:p>
      <w:pPr>
        <w:pStyle w:val="ListParagraph"/>
        <w:numPr>
          <w:ilvl w:val="1"/>
          <w:numId w:val="65"/>
        </w:numPr>
        <w:tabs>
          <w:tab w:pos="2486" w:val="left" w:leader="none"/>
        </w:tabs>
        <w:spacing w:line="240" w:lineRule="auto" w:before="120" w:after="0"/>
        <w:ind w:left="2485" w:right="0" w:hanging="567"/>
        <w:jc w:val="both"/>
        <w:rPr>
          <w:sz w:val="24"/>
        </w:rPr>
      </w:pPr>
      <w:r>
        <w:rPr>
          <w:sz w:val="24"/>
        </w:rPr>
        <w:t>the methodology for determining actual demand for a </w:t>
      </w:r>
      <w:r>
        <w:rPr>
          <w:i/>
          <w:sz w:val="24"/>
        </w:rPr>
        <w:t>trading</w:t>
      </w:r>
      <w:r>
        <w:rPr>
          <w:i/>
          <w:spacing w:val="-5"/>
          <w:sz w:val="24"/>
        </w:rPr>
        <w:t> </w:t>
      </w:r>
      <w:r>
        <w:rPr>
          <w:i/>
          <w:sz w:val="24"/>
        </w:rPr>
        <w:t>interval</w:t>
      </w:r>
      <w:r>
        <w:rPr>
          <w:sz w:val="24"/>
        </w:rPr>
        <w:t>;</w:t>
      </w:r>
    </w:p>
    <w:p>
      <w:pPr>
        <w:pStyle w:val="ListParagraph"/>
        <w:numPr>
          <w:ilvl w:val="1"/>
          <w:numId w:val="65"/>
        </w:numPr>
        <w:tabs>
          <w:tab w:pos="2486" w:val="left" w:leader="none"/>
        </w:tabs>
        <w:spacing w:line="240" w:lineRule="auto" w:before="120" w:after="0"/>
        <w:ind w:left="2486" w:right="415" w:hanging="567"/>
        <w:jc w:val="both"/>
        <w:rPr>
          <w:sz w:val="24"/>
        </w:rPr>
      </w:pPr>
      <w:r>
        <w:rPr>
          <w:sz w:val="24"/>
        </w:rPr>
        <w:t>the manner in which information requests under clause 3.13.3A(d) can be made (which may include standing or individual requests) and the nature, scope and form of the information which can be</w:t>
      </w:r>
      <w:r>
        <w:rPr>
          <w:spacing w:val="-9"/>
          <w:sz w:val="24"/>
        </w:rPr>
        <w:t> </w:t>
      </w:r>
      <w:r>
        <w:rPr>
          <w:sz w:val="24"/>
        </w:rPr>
        <w:t>requested;</w:t>
      </w:r>
    </w:p>
    <w:p>
      <w:pPr>
        <w:pStyle w:val="ListParagraph"/>
        <w:numPr>
          <w:ilvl w:val="1"/>
          <w:numId w:val="65"/>
        </w:numPr>
        <w:tabs>
          <w:tab w:pos="2486" w:val="left" w:leader="none"/>
        </w:tabs>
        <w:spacing w:line="240" w:lineRule="auto" w:before="120" w:after="0"/>
        <w:ind w:left="2485" w:right="0" w:hanging="567"/>
        <w:jc w:val="both"/>
        <w:rPr>
          <w:i/>
          <w:sz w:val="24"/>
        </w:rPr>
      </w:pPr>
      <w:r>
        <w:rPr>
          <w:sz w:val="24"/>
        </w:rPr>
        <w:t>identification</w:t>
      </w:r>
      <w:r>
        <w:rPr>
          <w:spacing w:val="37"/>
          <w:sz w:val="24"/>
        </w:rPr>
        <w:t> </w:t>
      </w:r>
      <w:r>
        <w:rPr>
          <w:sz w:val="24"/>
        </w:rPr>
        <w:t>by</w:t>
      </w:r>
      <w:r>
        <w:rPr>
          <w:spacing w:val="38"/>
          <w:sz w:val="24"/>
        </w:rPr>
        <w:t> </w:t>
      </w:r>
      <w:r>
        <w:rPr>
          <w:i/>
          <w:sz w:val="24"/>
        </w:rPr>
        <w:t>Registered</w:t>
      </w:r>
      <w:r>
        <w:rPr>
          <w:i/>
          <w:spacing w:val="37"/>
          <w:sz w:val="24"/>
        </w:rPr>
        <w:t> </w:t>
      </w:r>
      <w:r>
        <w:rPr>
          <w:i/>
          <w:sz w:val="24"/>
        </w:rPr>
        <w:t>Participants</w:t>
      </w:r>
      <w:r>
        <w:rPr>
          <w:i/>
          <w:spacing w:val="38"/>
          <w:sz w:val="24"/>
        </w:rPr>
        <w:t> </w:t>
      </w:r>
      <w:r>
        <w:rPr>
          <w:sz w:val="24"/>
        </w:rPr>
        <w:t>of</w:t>
      </w:r>
      <w:r>
        <w:rPr>
          <w:spacing w:val="37"/>
          <w:sz w:val="24"/>
        </w:rPr>
        <w:t> </w:t>
      </w:r>
      <w:r>
        <w:rPr>
          <w:i/>
          <w:sz w:val="24"/>
        </w:rPr>
        <w:t>confidential</w:t>
      </w:r>
      <w:r>
        <w:rPr>
          <w:i/>
          <w:spacing w:val="38"/>
          <w:sz w:val="24"/>
        </w:rPr>
        <w:t> </w:t>
      </w:r>
      <w:r>
        <w:rPr>
          <w:i/>
          <w:sz w:val="24"/>
        </w:rPr>
        <w:t>information</w:t>
      </w:r>
    </w:p>
    <w:p>
      <w:pPr>
        <w:pStyle w:val="BodyText"/>
        <w:spacing w:before="0"/>
        <w:ind w:left="2486" w:firstLine="0"/>
      </w:pPr>
      <w:r>
        <w:rPr/>
        <w:t>provided in response to an information</w:t>
      </w:r>
      <w:r>
        <w:rPr>
          <w:spacing w:val="-4"/>
        </w:rPr>
        <w:t> </w:t>
      </w:r>
      <w:r>
        <w:rPr/>
        <w:t>request;</w:t>
      </w:r>
    </w:p>
    <w:p>
      <w:pPr>
        <w:pStyle w:val="ListParagraph"/>
        <w:numPr>
          <w:ilvl w:val="1"/>
          <w:numId w:val="65"/>
        </w:numPr>
        <w:tabs>
          <w:tab w:pos="2486" w:val="left" w:leader="none"/>
        </w:tabs>
        <w:spacing w:line="240" w:lineRule="auto" w:before="120" w:after="0"/>
        <w:ind w:left="2486" w:right="414" w:hanging="567"/>
        <w:jc w:val="both"/>
        <w:rPr>
          <w:sz w:val="24"/>
        </w:rPr>
      </w:pPr>
      <w:r>
        <w:rPr>
          <w:sz w:val="24"/>
        </w:rPr>
        <w:t>the criteria for determining timeframes to respond to an information request, which must allow a reasonable time for </w:t>
      </w:r>
      <w:r>
        <w:rPr>
          <w:i/>
          <w:sz w:val="24"/>
        </w:rPr>
        <w:t>Registered </w:t>
      </w:r>
      <w:r>
        <w:rPr>
          <w:i/>
          <w:sz w:val="24"/>
        </w:rPr>
        <w:t>Participants </w:t>
      </w:r>
      <w:r>
        <w:rPr>
          <w:sz w:val="24"/>
        </w:rPr>
        <w:t>to respond having regard to the nature of the information request;</w:t>
      </w:r>
    </w:p>
    <w:p>
      <w:pPr>
        <w:pStyle w:val="ListParagraph"/>
        <w:numPr>
          <w:ilvl w:val="1"/>
          <w:numId w:val="65"/>
        </w:numPr>
        <w:tabs>
          <w:tab w:pos="2486" w:val="left" w:leader="none"/>
        </w:tabs>
        <w:spacing w:line="240" w:lineRule="auto" w:before="120" w:after="0"/>
        <w:ind w:left="2485" w:right="0" w:hanging="567"/>
        <w:jc w:val="both"/>
        <w:rPr>
          <w:sz w:val="24"/>
        </w:rPr>
      </w:pPr>
      <w:r>
        <w:rPr>
          <w:sz w:val="24"/>
        </w:rPr>
        <w:t>the</w:t>
      </w:r>
      <w:r>
        <w:rPr>
          <w:spacing w:val="39"/>
          <w:sz w:val="24"/>
        </w:rPr>
        <w:t> </w:t>
      </w:r>
      <w:r>
        <w:rPr>
          <w:sz w:val="24"/>
        </w:rPr>
        <w:t>consultation</w:t>
      </w:r>
      <w:r>
        <w:rPr>
          <w:spacing w:val="39"/>
          <w:sz w:val="24"/>
        </w:rPr>
        <w:t> </w:t>
      </w:r>
      <w:r>
        <w:rPr>
          <w:sz w:val="24"/>
        </w:rPr>
        <w:t>processes</w:t>
      </w:r>
      <w:r>
        <w:rPr>
          <w:spacing w:val="39"/>
          <w:sz w:val="24"/>
        </w:rPr>
        <w:t> </w:t>
      </w:r>
      <w:r>
        <w:rPr>
          <w:sz w:val="24"/>
        </w:rPr>
        <w:t>with</w:t>
      </w:r>
      <w:r>
        <w:rPr>
          <w:spacing w:val="40"/>
          <w:sz w:val="24"/>
        </w:rPr>
        <w:t> </w:t>
      </w:r>
      <w:r>
        <w:rPr>
          <w:sz w:val="24"/>
        </w:rPr>
        <w:t>relevant</w:t>
      </w:r>
      <w:r>
        <w:rPr>
          <w:spacing w:val="39"/>
          <w:sz w:val="24"/>
        </w:rPr>
        <w:t> </w:t>
      </w:r>
      <w:r>
        <w:rPr>
          <w:sz w:val="24"/>
        </w:rPr>
        <w:t>stakeholders</w:t>
      </w:r>
      <w:r>
        <w:rPr>
          <w:spacing w:val="39"/>
          <w:sz w:val="24"/>
        </w:rPr>
        <w:t> </w:t>
      </w:r>
      <w:r>
        <w:rPr>
          <w:sz w:val="24"/>
        </w:rPr>
        <w:t>in</w:t>
      </w:r>
      <w:r>
        <w:rPr>
          <w:spacing w:val="39"/>
          <w:sz w:val="24"/>
        </w:rPr>
        <w:t> </w:t>
      </w:r>
      <w:r>
        <w:rPr>
          <w:sz w:val="24"/>
        </w:rPr>
        <w:t>preparing</w:t>
      </w:r>
      <w:r>
        <w:rPr>
          <w:spacing w:val="40"/>
          <w:sz w:val="24"/>
        </w:rPr>
        <w:t> </w:t>
      </w:r>
      <w:r>
        <w:rPr>
          <w:sz w:val="24"/>
        </w:rPr>
        <w:t>a</w:t>
      </w:r>
    </w:p>
    <w:p>
      <w:pPr>
        <w:spacing w:before="0"/>
        <w:ind w:left="2486" w:right="0" w:firstLine="0"/>
        <w:jc w:val="both"/>
        <w:rPr>
          <w:sz w:val="24"/>
        </w:rPr>
      </w:pPr>
      <w:r>
        <w:rPr>
          <w:i/>
          <w:sz w:val="24"/>
        </w:rPr>
        <w:t>reliability forecast </w:t>
      </w:r>
      <w:r>
        <w:rPr>
          <w:sz w:val="24"/>
        </w:rPr>
        <w:t>and </w:t>
      </w:r>
      <w:r>
        <w:rPr>
          <w:i/>
          <w:sz w:val="24"/>
        </w:rPr>
        <w:t>indicative reliability forecast</w:t>
      </w:r>
      <w:r>
        <w:rPr>
          <w:sz w:val="24"/>
        </w:rPr>
        <w:t>;</w:t>
      </w:r>
    </w:p>
    <w:p>
      <w:pPr>
        <w:pStyle w:val="ListParagraph"/>
        <w:numPr>
          <w:ilvl w:val="1"/>
          <w:numId w:val="65"/>
        </w:numPr>
        <w:tabs>
          <w:tab w:pos="2486" w:val="left" w:leader="none"/>
        </w:tabs>
        <w:spacing w:line="240" w:lineRule="auto" w:before="120" w:after="0"/>
        <w:ind w:left="2486" w:right="414" w:hanging="567"/>
        <w:jc w:val="both"/>
        <w:rPr>
          <w:sz w:val="24"/>
        </w:rPr>
      </w:pPr>
      <w:r>
        <w:rPr>
          <w:sz w:val="24"/>
        </w:rPr>
        <w:t>the methodology, assumptions and inputs to be used for a </w:t>
      </w:r>
      <w:r>
        <w:rPr>
          <w:i/>
          <w:sz w:val="24"/>
        </w:rPr>
        <w:t>reliability </w:t>
      </w:r>
      <w:r>
        <w:rPr>
          <w:i/>
          <w:sz w:val="24"/>
        </w:rPr>
        <w:t>forecast </w:t>
      </w:r>
      <w:r>
        <w:rPr>
          <w:sz w:val="24"/>
        </w:rPr>
        <w:t>and </w:t>
      </w:r>
      <w:r>
        <w:rPr>
          <w:i/>
          <w:sz w:val="24"/>
        </w:rPr>
        <w:t>indicative reliability forecast</w:t>
      </w:r>
      <w:r>
        <w:rPr>
          <w:sz w:val="24"/>
        </w:rPr>
        <w:t>,</w:t>
      </w:r>
      <w:r>
        <w:rPr>
          <w:spacing w:val="-4"/>
          <w:sz w:val="24"/>
        </w:rPr>
        <w:t> </w:t>
      </w:r>
      <w:r>
        <w:rPr>
          <w:sz w:val="24"/>
        </w:rPr>
        <w:t>including:</w:t>
      </w:r>
    </w:p>
    <w:p>
      <w:pPr>
        <w:pStyle w:val="ListParagraph"/>
        <w:numPr>
          <w:ilvl w:val="2"/>
          <w:numId w:val="65"/>
        </w:numPr>
        <w:tabs>
          <w:tab w:pos="3053" w:val="left" w:leader="none"/>
        </w:tabs>
        <w:spacing w:line="240" w:lineRule="auto" w:before="120" w:after="0"/>
        <w:ind w:left="3053" w:right="415" w:hanging="567"/>
        <w:jc w:val="both"/>
        <w:rPr>
          <w:sz w:val="24"/>
        </w:rPr>
      </w:pPr>
      <w:r>
        <w:rPr>
          <w:sz w:val="24"/>
        </w:rPr>
        <w:t>a high level description of how the modelling assumptions </w:t>
      </w:r>
      <w:r>
        <w:rPr>
          <w:spacing w:val="-5"/>
          <w:sz w:val="24"/>
        </w:rPr>
        <w:t>and </w:t>
      </w:r>
      <w:r>
        <w:rPr>
          <w:sz w:val="24"/>
        </w:rPr>
        <w:t>inputs are derived and</w:t>
      </w:r>
      <w:r>
        <w:rPr>
          <w:spacing w:val="-2"/>
          <w:sz w:val="24"/>
        </w:rPr>
        <w:t> </w:t>
      </w:r>
      <w:r>
        <w:rPr>
          <w:sz w:val="24"/>
        </w:rPr>
        <w:t>sourced;</w:t>
      </w:r>
    </w:p>
    <w:p>
      <w:pPr>
        <w:pStyle w:val="ListParagraph"/>
        <w:numPr>
          <w:ilvl w:val="2"/>
          <w:numId w:val="65"/>
        </w:numPr>
        <w:tabs>
          <w:tab w:pos="3054" w:val="left" w:leader="none"/>
        </w:tabs>
        <w:spacing w:line="240" w:lineRule="auto" w:before="120" w:after="0"/>
        <w:ind w:left="3053" w:right="416" w:hanging="567"/>
        <w:jc w:val="both"/>
        <w:rPr>
          <w:sz w:val="24"/>
        </w:rPr>
      </w:pPr>
      <w:r>
        <w:rPr>
          <w:sz w:val="24"/>
        </w:rPr>
        <w:t>an explanation of how a </w:t>
      </w:r>
      <w:r>
        <w:rPr>
          <w:i/>
          <w:sz w:val="24"/>
        </w:rPr>
        <w:t>reliability forecast</w:t>
      </w:r>
      <w:r>
        <w:rPr>
          <w:sz w:val="24"/>
        </w:rPr>
        <w:t>, </w:t>
      </w:r>
      <w:r>
        <w:rPr>
          <w:i/>
          <w:sz w:val="24"/>
        </w:rPr>
        <w:t>indicative reliability </w:t>
      </w:r>
      <w:r>
        <w:rPr>
          <w:i/>
          <w:sz w:val="24"/>
        </w:rPr>
        <w:t>forecast</w:t>
      </w:r>
      <w:r>
        <w:rPr>
          <w:sz w:val="24"/>
        </w:rPr>
        <w:t>, </w:t>
      </w:r>
      <w:r>
        <w:rPr>
          <w:i/>
          <w:sz w:val="24"/>
        </w:rPr>
        <w:t>forecast reliability gap </w:t>
      </w:r>
      <w:r>
        <w:rPr>
          <w:sz w:val="24"/>
        </w:rPr>
        <w:t>and forecast reliability gap period are determined;</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2"/>
          <w:numId w:val="65"/>
        </w:numPr>
        <w:tabs>
          <w:tab w:pos="3053" w:val="left" w:leader="none"/>
        </w:tabs>
        <w:spacing w:line="240" w:lineRule="auto" w:before="83" w:after="0"/>
        <w:ind w:left="3053" w:right="415" w:hanging="567"/>
        <w:jc w:val="both"/>
        <w:rPr>
          <w:sz w:val="24"/>
        </w:rPr>
      </w:pPr>
      <w:r>
        <w:rPr>
          <w:sz w:val="24"/>
        </w:rPr>
        <w:t>explanatory material about how demand forecasts (including the one-in-two year peak demand forecast) are calculated and produced;</w:t>
      </w:r>
    </w:p>
    <w:p>
      <w:pPr>
        <w:pStyle w:val="ListParagraph"/>
        <w:numPr>
          <w:ilvl w:val="1"/>
          <w:numId w:val="65"/>
        </w:numPr>
        <w:tabs>
          <w:tab w:pos="2486" w:val="left" w:leader="none"/>
        </w:tabs>
        <w:spacing w:line="240" w:lineRule="auto" w:before="120" w:after="0"/>
        <w:ind w:left="2486" w:right="414" w:hanging="567"/>
        <w:jc w:val="both"/>
        <w:rPr>
          <w:sz w:val="24"/>
        </w:rPr>
      </w:pPr>
      <w:r>
        <w:rPr>
          <w:sz w:val="24"/>
        </w:rPr>
        <w:t>the supporting materials to be published for a </w:t>
      </w:r>
      <w:r>
        <w:rPr>
          <w:i/>
          <w:sz w:val="24"/>
        </w:rPr>
        <w:t>reliability forecast</w:t>
      </w:r>
      <w:r>
        <w:rPr>
          <w:sz w:val="24"/>
        </w:rPr>
        <w:t>, the form of the supporting materials and the timeframe for the publication of the supporting</w:t>
      </w:r>
      <w:r>
        <w:rPr>
          <w:spacing w:val="-1"/>
          <w:sz w:val="24"/>
        </w:rPr>
        <w:t> </w:t>
      </w:r>
      <w:r>
        <w:rPr>
          <w:sz w:val="24"/>
        </w:rPr>
        <w:t>materials;</w:t>
      </w:r>
    </w:p>
    <w:p>
      <w:pPr>
        <w:pStyle w:val="ListParagraph"/>
        <w:numPr>
          <w:ilvl w:val="1"/>
          <w:numId w:val="65"/>
        </w:numPr>
        <w:tabs>
          <w:tab w:pos="2486" w:val="left" w:leader="none"/>
        </w:tabs>
        <w:spacing w:line="240" w:lineRule="auto" w:before="120" w:after="0"/>
        <w:ind w:left="2486" w:right="415" w:hanging="567"/>
        <w:jc w:val="both"/>
        <w:rPr>
          <w:sz w:val="24"/>
        </w:rPr>
      </w:pPr>
      <w:r>
        <w:rPr>
          <w:sz w:val="24"/>
        </w:rPr>
        <w:t>the process for updates to a </w:t>
      </w:r>
      <w:r>
        <w:rPr>
          <w:i/>
          <w:sz w:val="24"/>
        </w:rPr>
        <w:t>reliability forecast </w:t>
      </w:r>
      <w:r>
        <w:rPr>
          <w:sz w:val="24"/>
        </w:rPr>
        <w:t>in accordance with clause 3.13.3A(b);</w:t>
      </w:r>
    </w:p>
    <w:p>
      <w:pPr>
        <w:pStyle w:val="ListParagraph"/>
        <w:numPr>
          <w:ilvl w:val="1"/>
          <w:numId w:val="65"/>
        </w:numPr>
        <w:tabs>
          <w:tab w:pos="2486" w:val="left" w:leader="none"/>
        </w:tabs>
        <w:spacing w:line="240" w:lineRule="auto" w:before="120" w:after="0"/>
        <w:ind w:left="2486" w:right="415" w:hanging="567"/>
        <w:jc w:val="both"/>
        <w:rPr>
          <w:sz w:val="24"/>
        </w:rPr>
      </w:pPr>
      <w:r>
        <w:rPr>
          <w:sz w:val="24"/>
        </w:rPr>
        <w:t>the process for </w:t>
      </w:r>
      <w:r>
        <w:rPr>
          <w:i/>
          <w:sz w:val="24"/>
        </w:rPr>
        <w:t>AEMO </w:t>
      </w:r>
      <w:r>
        <w:rPr>
          <w:sz w:val="24"/>
        </w:rPr>
        <w:t>preparing, reporting on and implementing </w:t>
      </w:r>
      <w:r>
        <w:rPr>
          <w:spacing w:val="-5"/>
          <w:sz w:val="24"/>
        </w:rPr>
        <w:t>its </w:t>
      </w:r>
      <w:r>
        <w:rPr>
          <w:sz w:val="24"/>
        </w:rPr>
        <w:t>annual improvement program in accordance with its obligations under clause 3.13.3A(h);</w:t>
      </w:r>
      <w:r>
        <w:rPr>
          <w:spacing w:val="-1"/>
          <w:sz w:val="24"/>
        </w:rPr>
        <w:t> </w:t>
      </w:r>
      <w:r>
        <w:rPr>
          <w:sz w:val="24"/>
        </w:rPr>
        <w:t>and</w:t>
      </w:r>
    </w:p>
    <w:p>
      <w:pPr>
        <w:pStyle w:val="ListParagraph"/>
        <w:numPr>
          <w:ilvl w:val="1"/>
          <w:numId w:val="65"/>
        </w:numPr>
        <w:tabs>
          <w:tab w:pos="2486" w:val="left" w:leader="none"/>
        </w:tabs>
        <w:spacing w:line="240" w:lineRule="auto" w:before="120" w:after="0"/>
        <w:ind w:left="2485" w:right="0" w:hanging="567"/>
        <w:jc w:val="both"/>
        <w:rPr>
          <w:sz w:val="24"/>
        </w:rPr>
      </w:pPr>
      <w:r>
        <w:rPr>
          <w:sz w:val="24"/>
        </w:rPr>
        <w:t>any other matters required to be provided for under this</w:t>
      </w:r>
      <w:r>
        <w:rPr>
          <w:spacing w:val="-2"/>
          <w:sz w:val="24"/>
        </w:rPr>
        <w:t> </w:t>
      </w:r>
      <w:r>
        <w:rPr>
          <w:sz w:val="24"/>
        </w:rPr>
        <w:t>Chapter.</w:t>
      </w:r>
    </w:p>
    <w:p>
      <w:pPr>
        <w:spacing w:before="220"/>
        <w:ind w:left="1356" w:right="0" w:firstLine="0"/>
        <w:jc w:val="left"/>
        <w:rPr>
          <w:rFonts w:ascii="Arial"/>
          <w:b/>
          <w:sz w:val="22"/>
        </w:rPr>
      </w:pPr>
      <w:r>
        <w:rPr>
          <w:rFonts w:ascii="Arial"/>
          <w:b/>
          <w:sz w:val="22"/>
        </w:rPr>
        <w:t>Administration of the Reliability Forecast Guidelines</w:t>
      </w:r>
    </w:p>
    <w:p>
      <w:pPr>
        <w:pStyle w:val="ListParagraph"/>
        <w:numPr>
          <w:ilvl w:val="0"/>
          <w:numId w:val="65"/>
        </w:numPr>
        <w:tabs>
          <w:tab w:pos="1919" w:val="left" w:leader="none"/>
        </w:tabs>
        <w:spacing w:line="240" w:lineRule="auto" w:before="120" w:after="0"/>
        <w:ind w:left="1919" w:right="415" w:hanging="567"/>
        <w:jc w:val="both"/>
        <w:rPr>
          <w:sz w:val="24"/>
        </w:rPr>
      </w:pPr>
      <w:r>
        <w:rPr>
          <w:sz w:val="24"/>
        </w:rPr>
        <w:t>The </w:t>
      </w:r>
      <w:r>
        <w:rPr>
          <w:i/>
          <w:sz w:val="24"/>
        </w:rPr>
        <w:t>Reliability Forecast Guidelines </w:t>
      </w:r>
      <w:r>
        <w:rPr>
          <w:sz w:val="24"/>
        </w:rPr>
        <w:t>may provide for different processes and requirements between </w:t>
      </w:r>
      <w:r>
        <w:rPr>
          <w:i/>
          <w:sz w:val="24"/>
        </w:rPr>
        <w:t>reliability forecasts</w:t>
      </w:r>
      <w:r>
        <w:rPr>
          <w:sz w:val="24"/>
        </w:rPr>
        <w:t>, </w:t>
      </w:r>
      <w:r>
        <w:rPr>
          <w:i/>
          <w:sz w:val="24"/>
        </w:rPr>
        <w:t>indicative reliability forecasts </w:t>
      </w:r>
      <w:r>
        <w:rPr>
          <w:sz w:val="24"/>
        </w:rPr>
        <w:t>and updated </w:t>
      </w:r>
      <w:r>
        <w:rPr>
          <w:i/>
          <w:sz w:val="24"/>
        </w:rPr>
        <w:t>reliability forecasts </w:t>
      </w:r>
      <w:r>
        <w:rPr>
          <w:sz w:val="24"/>
        </w:rPr>
        <w:t>under clause</w:t>
      </w:r>
      <w:r>
        <w:rPr>
          <w:spacing w:val="-3"/>
          <w:sz w:val="24"/>
        </w:rPr>
        <w:t> </w:t>
      </w:r>
      <w:r>
        <w:rPr>
          <w:sz w:val="24"/>
        </w:rPr>
        <w:t>3.13.3A(b).</w:t>
      </w:r>
    </w:p>
    <w:p>
      <w:pPr>
        <w:pStyle w:val="ListParagraph"/>
        <w:numPr>
          <w:ilvl w:val="0"/>
          <w:numId w:val="65"/>
        </w:numPr>
        <w:tabs>
          <w:tab w:pos="1919" w:val="left" w:leader="none"/>
        </w:tabs>
        <w:spacing w:line="240" w:lineRule="auto" w:before="120" w:after="0"/>
        <w:ind w:left="1919" w:right="415" w:hanging="567"/>
        <w:jc w:val="both"/>
        <w:rPr>
          <w:sz w:val="24"/>
        </w:rPr>
      </w:pPr>
      <w:r>
        <w:rPr>
          <w:i/>
          <w:sz w:val="24"/>
        </w:rPr>
        <w:t>AEMO </w:t>
      </w:r>
      <w:r>
        <w:rPr>
          <w:sz w:val="24"/>
        </w:rPr>
        <w:t>must make, publish on its website and may amend the </w:t>
      </w:r>
      <w:r>
        <w:rPr>
          <w:i/>
          <w:sz w:val="24"/>
        </w:rPr>
        <w:t>Reliability </w:t>
      </w:r>
      <w:r>
        <w:rPr>
          <w:i/>
          <w:sz w:val="24"/>
        </w:rPr>
        <w:t>Forecast</w:t>
      </w:r>
      <w:r>
        <w:rPr>
          <w:i/>
          <w:spacing w:val="-1"/>
          <w:sz w:val="24"/>
        </w:rPr>
        <w:t> </w:t>
      </w:r>
      <w:r>
        <w:rPr>
          <w:i/>
          <w:sz w:val="24"/>
        </w:rPr>
        <w:t>Guidelines</w:t>
      </w:r>
      <w:r>
        <w:rPr>
          <w:sz w:val="24"/>
        </w:rPr>
        <w:t>.</w:t>
      </w:r>
    </w:p>
    <w:p>
      <w:pPr>
        <w:pStyle w:val="ListParagraph"/>
        <w:numPr>
          <w:ilvl w:val="0"/>
          <w:numId w:val="65"/>
        </w:numPr>
        <w:tabs>
          <w:tab w:pos="1919" w:val="left" w:leader="none"/>
        </w:tabs>
        <w:spacing w:line="240" w:lineRule="auto" w:before="120" w:after="0"/>
        <w:ind w:left="1919" w:right="415" w:hanging="567"/>
        <w:jc w:val="both"/>
        <w:rPr>
          <w:sz w:val="24"/>
        </w:rPr>
      </w:pPr>
      <w:r>
        <w:rPr>
          <w:sz w:val="24"/>
        </w:rPr>
        <w:t>Subject to paragraph (f), </w:t>
      </w:r>
      <w:r>
        <w:rPr>
          <w:i/>
          <w:sz w:val="24"/>
        </w:rPr>
        <w:t>AEMO </w:t>
      </w:r>
      <w:r>
        <w:rPr>
          <w:sz w:val="24"/>
        </w:rPr>
        <w:t>must comply with the </w:t>
      </w:r>
      <w:r>
        <w:rPr>
          <w:i/>
          <w:sz w:val="24"/>
        </w:rPr>
        <w:t>Rules consultation </w:t>
      </w:r>
      <w:r>
        <w:rPr>
          <w:i/>
          <w:sz w:val="24"/>
        </w:rPr>
        <w:t>procedures </w:t>
      </w:r>
      <w:r>
        <w:rPr>
          <w:sz w:val="24"/>
        </w:rPr>
        <w:t>when making or amending the </w:t>
      </w:r>
      <w:r>
        <w:rPr>
          <w:i/>
          <w:sz w:val="24"/>
        </w:rPr>
        <w:t>Reliability Forecast</w:t>
      </w:r>
      <w:r>
        <w:rPr>
          <w:i/>
          <w:spacing w:val="-10"/>
          <w:sz w:val="24"/>
        </w:rPr>
        <w:t> </w:t>
      </w:r>
      <w:r>
        <w:rPr>
          <w:i/>
          <w:sz w:val="24"/>
        </w:rPr>
        <w:t>Guidelines</w:t>
      </w:r>
      <w:r>
        <w:rPr>
          <w:sz w:val="24"/>
        </w:rPr>
        <w:t>.</w:t>
      </w:r>
    </w:p>
    <w:p>
      <w:pPr>
        <w:pStyle w:val="ListParagraph"/>
        <w:numPr>
          <w:ilvl w:val="0"/>
          <w:numId w:val="65"/>
        </w:numPr>
        <w:tabs>
          <w:tab w:pos="1920" w:val="left" w:leader="none"/>
        </w:tabs>
        <w:spacing w:line="240" w:lineRule="auto" w:before="120" w:after="0"/>
        <w:ind w:left="1919" w:right="414" w:hanging="567"/>
        <w:jc w:val="both"/>
        <w:rPr>
          <w:sz w:val="24"/>
        </w:rPr>
      </w:pPr>
      <w:r>
        <w:rPr>
          <w:i/>
          <w:sz w:val="24"/>
        </w:rPr>
        <w:t>AEMO </w:t>
      </w:r>
      <w:r>
        <w:rPr>
          <w:sz w:val="24"/>
        </w:rPr>
        <w:t>may make minor or administrative amendments to the </w:t>
      </w:r>
      <w:r>
        <w:rPr>
          <w:i/>
          <w:sz w:val="24"/>
        </w:rPr>
        <w:t>Reliability </w:t>
      </w:r>
      <w:r>
        <w:rPr>
          <w:i/>
          <w:sz w:val="24"/>
        </w:rPr>
        <w:t>Forecast Guidelines </w:t>
      </w:r>
      <w:r>
        <w:rPr>
          <w:sz w:val="24"/>
        </w:rPr>
        <w:t>without complying with the </w:t>
      </w:r>
      <w:r>
        <w:rPr>
          <w:i/>
          <w:sz w:val="24"/>
        </w:rPr>
        <w:t>Rules consultation </w:t>
      </w:r>
      <w:r>
        <w:rPr>
          <w:i/>
          <w:sz w:val="24"/>
        </w:rPr>
        <w:t>procedures</w:t>
      </w:r>
      <w:r>
        <w:rPr>
          <w:sz w:val="24"/>
        </w:rPr>
        <w:t>.</w:t>
      </w:r>
    </w:p>
    <w:p>
      <w:pPr>
        <w:pStyle w:val="ListParagraph"/>
        <w:numPr>
          <w:ilvl w:val="0"/>
          <w:numId w:val="65"/>
        </w:numPr>
        <w:tabs>
          <w:tab w:pos="1919" w:val="left" w:leader="none"/>
        </w:tabs>
        <w:spacing w:line="240" w:lineRule="auto" w:before="120" w:after="0"/>
        <w:ind w:left="1918" w:right="0" w:hanging="567"/>
        <w:jc w:val="both"/>
        <w:rPr>
          <w:sz w:val="24"/>
        </w:rPr>
      </w:pPr>
      <w:r>
        <w:rPr>
          <w:sz w:val="24"/>
        </w:rPr>
        <w:t>The</w:t>
      </w:r>
      <w:r>
        <w:rPr>
          <w:spacing w:val="15"/>
          <w:sz w:val="24"/>
        </w:rPr>
        <w:t> </w:t>
      </w:r>
      <w:r>
        <w:rPr>
          <w:i/>
          <w:sz w:val="24"/>
        </w:rPr>
        <w:t>Reliability</w:t>
      </w:r>
      <w:r>
        <w:rPr>
          <w:i/>
          <w:spacing w:val="16"/>
          <w:sz w:val="24"/>
        </w:rPr>
        <w:t> </w:t>
      </w:r>
      <w:r>
        <w:rPr>
          <w:i/>
          <w:sz w:val="24"/>
        </w:rPr>
        <w:t>Forecast</w:t>
      </w:r>
      <w:r>
        <w:rPr>
          <w:i/>
          <w:spacing w:val="16"/>
          <w:sz w:val="24"/>
        </w:rPr>
        <w:t> </w:t>
      </w:r>
      <w:r>
        <w:rPr>
          <w:i/>
          <w:sz w:val="24"/>
        </w:rPr>
        <w:t>Guidelines</w:t>
      </w:r>
      <w:r>
        <w:rPr>
          <w:i/>
          <w:spacing w:val="16"/>
          <w:sz w:val="24"/>
        </w:rPr>
        <w:t> </w:t>
      </w:r>
      <w:r>
        <w:rPr>
          <w:sz w:val="24"/>
        </w:rPr>
        <w:t>must</w:t>
      </w:r>
      <w:r>
        <w:rPr>
          <w:spacing w:val="16"/>
          <w:sz w:val="24"/>
        </w:rPr>
        <w:t> </w:t>
      </w:r>
      <w:r>
        <w:rPr>
          <w:sz w:val="24"/>
        </w:rPr>
        <w:t>not</w:t>
      </w:r>
      <w:r>
        <w:rPr>
          <w:spacing w:val="16"/>
          <w:sz w:val="24"/>
        </w:rPr>
        <w:t> </w:t>
      </w:r>
      <w:r>
        <w:rPr>
          <w:sz w:val="24"/>
        </w:rPr>
        <w:t>be</w:t>
      </w:r>
      <w:r>
        <w:rPr>
          <w:spacing w:val="15"/>
          <w:sz w:val="24"/>
        </w:rPr>
        <w:t> </w:t>
      </w:r>
      <w:r>
        <w:rPr>
          <w:sz w:val="24"/>
        </w:rPr>
        <w:t>inconsistent</w:t>
      </w:r>
      <w:r>
        <w:rPr>
          <w:spacing w:val="16"/>
          <w:sz w:val="24"/>
        </w:rPr>
        <w:t> </w:t>
      </w:r>
      <w:r>
        <w:rPr>
          <w:sz w:val="24"/>
        </w:rPr>
        <w:t>with</w:t>
      </w:r>
      <w:r>
        <w:rPr>
          <w:spacing w:val="16"/>
          <w:sz w:val="24"/>
        </w:rPr>
        <w:t> </w:t>
      </w:r>
      <w:r>
        <w:rPr>
          <w:sz w:val="24"/>
        </w:rPr>
        <w:t>the</w:t>
      </w:r>
    </w:p>
    <w:p>
      <w:pPr>
        <w:spacing w:before="0"/>
        <w:ind w:left="1919" w:right="0" w:firstLine="0"/>
        <w:jc w:val="both"/>
        <w:rPr>
          <w:sz w:val="24"/>
        </w:rPr>
      </w:pPr>
      <w:r>
        <w:rPr>
          <w:i/>
          <w:sz w:val="24"/>
        </w:rPr>
        <w:t>reliability standard implementation guidelines</w:t>
      </w:r>
      <w:r>
        <w:rPr>
          <w:sz w:val="24"/>
        </w:rPr>
        <w:t>.</w:t>
      </w:r>
    </w:p>
    <w:p>
      <w:pPr>
        <w:pStyle w:val="ListParagraph"/>
        <w:numPr>
          <w:ilvl w:val="0"/>
          <w:numId w:val="65"/>
        </w:numPr>
        <w:tabs>
          <w:tab w:pos="1919" w:val="left" w:leader="none"/>
        </w:tabs>
        <w:spacing w:line="240" w:lineRule="auto" w:before="120" w:after="0"/>
        <w:ind w:left="1919" w:right="414" w:hanging="567"/>
        <w:jc w:val="both"/>
        <w:rPr>
          <w:sz w:val="24"/>
        </w:rPr>
      </w:pPr>
      <w:r>
        <w:rPr>
          <w:sz w:val="24"/>
        </w:rPr>
        <w:t>In </w:t>
      </w:r>
      <w:r>
        <w:rPr>
          <w:i/>
          <w:sz w:val="24"/>
        </w:rPr>
        <w:t>developing </w:t>
      </w:r>
      <w:r>
        <w:rPr>
          <w:sz w:val="24"/>
        </w:rPr>
        <w:t>and amending the </w:t>
      </w:r>
      <w:r>
        <w:rPr>
          <w:i/>
          <w:sz w:val="24"/>
        </w:rPr>
        <w:t>Reliability Forecast Guidelines </w:t>
      </w:r>
      <w:r>
        <w:rPr>
          <w:sz w:val="24"/>
        </w:rPr>
        <w:t>as they relate to information requests under clause 3.13.3A(d), </w:t>
      </w:r>
      <w:r>
        <w:rPr>
          <w:i/>
          <w:sz w:val="24"/>
        </w:rPr>
        <w:t>AEMO </w:t>
      </w:r>
      <w:r>
        <w:rPr>
          <w:sz w:val="24"/>
        </w:rPr>
        <w:t>must have regard to the reasonable costs of efficient compliance by </w:t>
      </w:r>
      <w:r>
        <w:rPr>
          <w:i/>
          <w:sz w:val="24"/>
        </w:rPr>
        <w:t>Registered </w:t>
      </w:r>
      <w:r>
        <w:rPr>
          <w:i/>
          <w:sz w:val="24"/>
        </w:rPr>
        <w:t>Participants </w:t>
      </w:r>
      <w:r>
        <w:rPr>
          <w:sz w:val="24"/>
        </w:rPr>
        <w:t>with such a request compared to the likely benefits from the use of the requested information in producing </w:t>
      </w:r>
      <w:r>
        <w:rPr>
          <w:i/>
          <w:sz w:val="24"/>
        </w:rPr>
        <w:t>reliability forecasts </w:t>
      </w:r>
      <w:r>
        <w:rPr>
          <w:sz w:val="24"/>
        </w:rPr>
        <w:t>and </w:t>
      </w:r>
      <w:r>
        <w:rPr>
          <w:i/>
          <w:sz w:val="24"/>
        </w:rPr>
        <w:t>indicative reliability</w:t>
      </w:r>
      <w:r>
        <w:rPr>
          <w:i/>
          <w:spacing w:val="-1"/>
          <w:sz w:val="24"/>
        </w:rPr>
        <w:t> </w:t>
      </w:r>
      <w:r>
        <w:rPr>
          <w:i/>
          <w:sz w:val="24"/>
        </w:rPr>
        <w:t>forecasts</w:t>
      </w:r>
      <w:r>
        <w:rPr>
          <w:sz w:val="24"/>
        </w:rPr>
        <w:t>.</w:t>
      </w:r>
    </w:p>
    <w:p>
      <w:pPr>
        <w:pStyle w:val="BodyText"/>
        <w:spacing w:before="10"/>
        <w:ind w:firstLine="0"/>
        <w:jc w:val="left"/>
        <w:rPr>
          <w:sz w:val="20"/>
        </w:rPr>
      </w:pPr>
    </w:p>
    <w:p>
      <w:pPr>
        <w:pStyle w:val="Heading4"/>
        <w:tabs>
          <w:tab w:pos="1351" w:val="left" w:leader="none"/>
        </w:tabs>
        <w:ind w:left="218" w:firstLine="0"/>
      </w:pPr>
      <w:bookmarkStart w:name="4A.B.5 AER Forecasting Best Practice Gui" w:id="117"/>
      <w:bookmarkEnd w:id="117"/>
      <w:r>
        <w:rPr>
          <w:b w:val="0"/>
        </w:rPr>
      </w:r>
      <w:bookmarkStart w:name="_bookmark42" w:id="118"/>
      <w:bookmarkEnd w:id="118"/>
      <w:r>
        <w:rPr>
          <w:b w:val="0"/>
        </w:rPr>
      </w:r>
      <w:r>
        <w:rPr/>
        <w:t>4A.B.5</w:t>
        <w:tab/>
        <w:t>AER Forecasting Best Practice</w:t>
      </w:r>
      <w:r>
        <w:rPr>
          <w:spacing w:val="-3"/>
        </w:rPr>
        <w:t> </w:t>
      </w:r>
      <w:r>
        <w:rPr/>
        <w:t>Guidelines</w:t>
      </w:r>
    </w:p>
    <w:p>
      <w:pPr>
        <w:pStyle w:val="ListParagraph"/>
        <w:numPr>
          <w:ilvl w:val="0"/>
          <w:numId w:val="66"/>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w:t>
      </w:r>
      <w:r>
        <w:rPr>
          <w:i/>
          <w:sz w:val="24"/>
        </w:rPr>
        <w:t>publish </w:t>
      </w:r>
      <w:r>
        <w:rPr>
          <w:sz w:val="24"/>
        </w:rPr>
        <w:t>and may amend the Forecasting Best Practice Guidelines in accordance with the </w:t>
      </w:r>
      <w:r>
        <w:rPr>
          <w:i/>
          <w:sz w:val="24"/>
        </w:rPr>
        <w:t>Rules consultations</w:t>
      </w:r>
      <w:r>
        <w:rPr>
          <w:i/>
          <w:spacing w:val="-6"/>
          <w:sz w:val="24"/>
        </w:rPr>
        <w:t> </w:t>
      </w:r>
      <w:r>
        <w:rPr>
          <w:i/>
          <w:sz w:val="24"/>
        </w:rPr>
        <w:t>procedures</w:t>
      </w:r>
      <w:r>
        <w:rPr>
          <w:sz w:val="24"/>
        </w:rPr>
        <w:t>.</w:t>
      </w:r>
    </w:p>
    <w:p>
      <w:pPr>
        <w:pStyle w:val="ListParagraph"/>
        <w:numPr>
          <w:ilvl w:val="0"/>
          <w:numId w:val="66"/>
        </w:numPr>
        <w:tabs>
          <w:tab w:pos="1919" w:val="left" w:leader="none"/>
        </w:tabs>
        <w:spacing w:line="240" w:lineRule="auto" w:before="120" w:after="0"/>
        <w:ind w:left="1919" w:right="415" w:hanging="567"/>
        <w:jc w:val="both"/>
        <w:rPr>
          <w:sz w:val="24"/>
        </w:rPr>
      </w:pPr>
      <w:r>
        <w:rPr>
          <w:sz w:val="24"/>
        </w:rPr>
        <w:t>The Forecasting Best Practice Guidelines are to provide guidance for </w:t>
      </w:r>
      <w:r>
        <w:rPr>
          <w:i/>
          <w:sz w:val="24"/>
        </w:rPr>
        <w:t>AEMO's </w:t>
      </w:r>
      <w:r>
        <w:rPr>
          <w:sz w:val="24"/>
        </w:rPr>
        <w:t>forecasting practices and processes as they relate to a </w:t>
      </w:r>
      <w:r>
        <w:rPr>
          <w:i/>
          <w:sz w:val="24"/>
        </w:rPr>
        <w:t>reliability </w:t>
      </w:r>
      <w:r>
        <w:rPr>
          <w:i/>
          <w:sz w:val="24"/>
        </w:rPr>
        <w:t>forecast </w:t>
      </w:r>
      <w:r>
        <w:rPr>
          <w:sz w:val="24"/>
        </w:rPr>
        <w:t>having regard to the following</w:t>
      </w:r>
      <w:r>
        <w:rPr>
          <w:spacing w:val="-1"/>
          <w:sz w:val="24"/>
        </w:rPr>
        <w:t> </w:t>
      </w:r>
      <w:r>
        <w:rPr>
          <w:sz w:val="24"/>
        </w:rPr>
        <w:t>principles:</w:t>
      </w:r>
    </w:p>
    <w:p>
      <w:pPr>
        <w:pStyle w:val="ListParagraph"/>
        <w:numPr>
          <w:ilvl w:val="1"/>
          <w:numId w:val="66"/>
        </w:numPr>
        <w:tabs>
          <w:tab w:pos="2486" w:val="left" w:leader="none"/>
        </w:tabs>
        <w:spacing w:line="240" w:lineRule="auto" w:before="120" w:after="0"/>
        <w:ind w:left="2486" w:right="415" w:hanging="567"/>
        <w:jc w:val="both"/>
        <w:rPr>
          <w:sz w:val="24"/>
        </w:rPr>
      </w:pPr>
      <w:r>
        <w:rPr>
          <w:sz w:val="24"/>
        </w:rPr>
        <w:t>forecasts should be as accurate as possible, based on comprehensive information and prepared in an unbiased</w:t>
      </w:r>
      <w:r>
        <w:rPr>
          <w:spacing w:val="-1"/>
          <w:sz w:val="24"/>
        </w:rPr>
        <w:t> </w:t>
      </w:r>
      <w:r>
        <w:rPr>
          <w:sz w:val="24"/>
        </w:rPr>
        <w:t>manner;</w:t>
      </w:r>
    </w:p>
    <w:p>
      <w:pPr>
        <w:pStyle w:val="ListParagraph"/>
        <w:numPr>
          <w:ilvl w:val="1"/>
          <w:numId w:val="66"/>
        </w:numPr>
        <w:tabs>
          <w:tab w:pos="2486" w:val="left" w:leader="none"/>
        </w:tabs>
        <w:spacing w:line="240" w:lineRule="auto" w:before="120" w:after="0"/>
        <w:ind w:left="2486" w:right="414" w:hanging="567"/>
        <w:jc w:val="both"/>
        <w:rPr>
          <w:sz w:val="24"/>
        </w:rPr>
      </w:pPr>
      <w:r>
        <w:rPr>
          <w:sz w:val="24"/>
        </w:rPr>
        <w:t>the basic inputs, assumptions and methodology that underpin forecasts should be disclosed;</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6"/>
        </w:numPr>
        <w:tabs>
          <w:tab w:pos="2486" w:val="left" w:leader="none"/>
        </w:tabs>
        <w:spacing w:line="240" w:lineRule="auto" w:before="83" w:after="0"/>
        <w:ind w:left="2486" w:right="414" w:hanging="567"/>
        <w:jc w:val="both"/>
        <w:rPr>
          <w:sz w:val="24"/>
        </w:rPr>
      </w:pPr>
      <w:r>
        <w:rPr>
          <w:sz w:val="24"/>
        </w:rPr>
        <w:t>stakeholders should have as much opportunity to engage as is practicable, through effective consultation and access to documents and</w:t>
      </w:r>
      <w:r>
        <w:rPr>
          <w:spacing w:val="-1"/>
          <w:sz w:val="24"/>
        </w:rPr>
        <w:t> </w:t>
      </w:r>
      <w:r>
        <w:rPr>
          <w:sz w:val="24"/>
        </w:rPr>
        <w:t>information.</w:t>
      </w:r>
    </w:p>
    <w:p>
      <w:pPr>
        <w:pStyle w:val="ListParagraph"/>
        <w:numPr>
          <w:ilvl w:val="0"/>
          <w:numId w:val="66"/>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make minor or administrative amendments to the Forecasting Best Practice Guidelines without complying with the </w:t>
      </w:r>
      <w:r>
        <w:rPr>
          <w:i/>
          <w:sz w:val="24"/>
        </w:rPr>
        <w:t>Rules consultation </w:t>
      </w:r>
      <w:r>
        <w:rPr>
          <w:i/>
          <w:sz w:val="24"/>
        </w:rPr>
        <w:t>procedures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C Reliability Instruments" w:id="119"/>
      <w:bookmarkEnd w:id="119"/>
      <w:r>
        <w:rPr>
          <w:b w:val="0"/>
        </w:rPr>
      </w:r>
      <w:bookmarkStart w:name="_bookmark43" w:id="120"/>
      <w:bookmarkEnd w:id="120"/>
      <w:r>
        <w:rPr>
          <w:b w:val="0"/>
        </w:rPr>
      </w:r>
      <w:r>
        <w:rPr>
          <w:shd w:fill="D9D9D9" w:color="auto" w:val="clear"/>
        </w:rPr>
        <w:t>Part C</w:t>
        <w:tab/>
        <w:t>Reliability</w:t>
      </w:r>
      <w:r>
        <w:rPr>
          <w:spacing w:val="-11"/>
          <w:shd w:fill="D9D9D9" w:color="auto" w:val="clear"/>
        </w:rPr>
        <w:t> </w:t>
      </w:r>
      <w:r>
        <w:rPr>
          <w:shd w:fill="D9D9D9" w:color="auto" w:val="clear"/>
        </w:rPr>
        <w:t>Instruments</w:t>
        <w:tab/>
      </w:r>
    </w:p>
    <w:p>
      <w:pPr>
        <w:pStyle w:val="Heading3"/>
        <w:tabs>
          <w:tab w:pos="1656" w:val="left" w:leader="none"/>
        </w:tabs>
        <w:spacing w:before="240"/>
        <w:ind w:left="218" w:firstLine="0"/>
      </w:pPr>
      <w:bookmarkStart w:name="Division 1 AEMO request for a reliabilit" w:id="121"/>
      <w:bookmarkEnd w:id="121"/>
      <w:r>
        <w:rPr>
          <w:b w:val="0"/>
        </w:rPr>
      </w:r>
      <w:bookmarkStart w:name="_bookmark44" w:id="122"/>
      <w:bookmarkEnd w:id="122"/>
      <w:r>
        <w:rPr>
          <w:b w:val="0"/>
        </w:rPr>
      </w:r>
      <w:r>
        <w:rPr/>
        <w:t>Division</w:t>
      </w:r>
      <w:r>
        <w:rPr>
          <w:spacing w:val="-4"/>
        </w:rPr>
        <w:t> </w:t>
      </w:r>
      <w:r>
        <w:rPr/>
        <w:t>1</w:t>
        <w:tab/>
        <w:t>AEMO request for a reliability</w:t>
      </w:r>
      <w:r>
        <w:rPr>
          <w:spacing w:val="-3"/>
        </w:rPr>
        <w:t> </w:t>
      </w:r>
      <w:r>
        <w:rPr/>
        <w:t>instrument</w:t>
      </w:r>
    </w:p>
    <w:p>
      <w:pPr>
        <w:pStyle w:val="Heading4"/>
        <w:tabs>
          <w:tab w:pos="1351" w:val="left" w:leader="none"/>
        </w:tabs>
        <w:spacing w:before="240"/>
        <w:ind w:left="218" w:firstLine="0"/>
      </w:pPr>
      <w:bookmarkStart w:name="4A.C.1 AEMO request for a reliability in" w:id="123"/>
      <w:bookmarkEnd w:id="123"/>
      <w:r>
        <w:rPr>
          <w:b w:val="0"/>
        </w:rPr>
      </w:r>
      <w:bookmarkStart w:name="_bookmark45" w:id="124"/>
      <w:bookmarkEnd w:id="124"/>
      <w:r>
        <w:rPr>
          <w:b w:val="0"/>
        </w:rPr>
      </w:r>
      <w:r>
        <w:rPr/>
        <w:t>4A.C.1</w:t>
        <w:tab/>
        <w:t>AEMO request for a reliability</w:t>
      </w:r>
      <w:r>
        <w:rPr>
          <w:spacing w:val="-5"/>
        </w:rPr>
        <w:t> </w:t>
      </w:r>
      <w:r>
        <w:rPr/>
        <w:t>instrument</w:t>
      </w:r>
    </w:p>
    <w:p>
      <w:pPr>
        <w:pStyle w:val="ListParagraph"/>
        <w:numPr>
          <w:ilvl w:val="0"/>
          <w:numId w:val="67"/>
        </w:numPr>
        <w:tabs>
          <w:tab w:pos="1919" w:val="left" w:leader="none"/>
        </w:tabs>
        <w:spacing w:line="240" w:lineRule="auto" w:before="120" w:after="0"/>
        <w:ind w:left="1919" w:right="414" w:hanging="567"/>
        <w:jc w:val="both"/>
        <w:rPr>
          <w:sz w:val="24"/>
        </w:rPr>
      </w:pPr>
      <w:r>
        <w:rPr>
          <w:sz w:val="24"/>
        </w:rPr>
        <w:t>Subject to clauses 4A.C.2 and 4A.C.3, if a </w:t>
      </w:r>
      <w:r>
        <w:rPr>
          <w:i/>
          <w:sz w:val="24"/>
        </w:rPr>
        <w:t>reliability forecast </w:t>
      </w:r>
      <w:r>
        <w:rPr>
          <w:sz w:val="24"/>
        </w:rPr>
        <w:t>(including an update of it under clause 3.13.3A(b)) identifies a </w:t>
      </w:r>
      <w:r>
        <w:rPr>
          <w:i/>
          <w:sz w:val="24"/>
        </w:rPr>
        <w:t>forecast reliability gap </w:t>
      </w:r>
      <w:r>
        <w:rPr>
          <w:sz w:val="24"/>
        </w:rPr>
        <w:t>for a </w:t>
      </w:r>
      <w:r>
        <w:rPr>
          <w:i/>
          <w:sz w:val="24"/>
        </w:rPr>
        <w:t>region</w:t>
      </w:r>
      <w:r>
        <w:rPr>
          <w:sz w:val="24"/>
        </w:rPr>
        <w:t>, </w:t>
      </w:r>
      <w:r>
        <w:rPr>
          <w:i/>
          <w:sz w:val="24"/>
        </w:rPr>
        <w:t>AEMO </w:t>
      </w:r>
      <w:r>
        <w:rPr>
          <w:sz w:val="24"/>
        </w:rPr>
        <w:t>must request the </w:t>
      </w:r>
      <w:r>
        <w:rPr>
          <w:i/>
          <w:sz w:val="24"/>
        </w:rPr>
        <w:t>AER </w:t>
      </w:r>
      <w:r>
        <w:rPr>
          <w:sz w:val="24"/>
        </w:rPr>
        <w:t>to consider making a reliability instrument in accordance with section 14I of the </w:t>
      </w:r>
      <w:r>
        <w:rPr>
          <w:i/>
          <w:sz w:val="24"/>
        </w:rPr>
        <w:t>National Electricity Law </w:t>
      </w:r>
      <w:r>
        <w:rPr>
          <w:sz w:val="24"/>
        </w:rPr>
        <w:t>and the requirements of this Part C, Division</w:t>
      </w:r>
      <w:r>
        <w:rPr>
          <w:spacing w:val="-3"/>
          <w:sz w:val="24"/>
        </w:rPr>
        <w:t> </w:t>
      </w:r>
      <w:r>
        <w:rPr>
          <w:sz w:val="24"/>
        </w:rPr>
        <w:t>1.</w:t>
      </w:r>
    </w:p>
    <w:p>
      <w:pPr>
        <w:pStyle w:val="ListParagraph"/>
        <w:numPr>
          <w:ilvl w:val="0"/>
          <w:numId w:val="67"/>
        </w:numPr>
        <w:tabs>
          <w:tab w:pos="1919" w:val="left" w:leader="none"/>
        </w:tabs>
        <w:spacing w:line="240" w:lineRule="auto" w:before="120" w:after="0"/>
        <w:ind w:left="1919" w:right="414" w:hanging="567"/>
        <w:jc w:val="both"/>
        <w:rPr>
          <w:sz w:val="24"/>
        </w:rPr>
      </w:pPr>
      <w:r>
        <w:rPr>
          <w:sz w:val="24"/>
        </w:rPr>
        <w:t>A request by </w:t>
      </w:r>
      <w:r>
        <w:rPr>
          <w:i/>
          <w:sz w:val="24"/>
        </w:rPr>
        <w:t>AEMO </w:t>
      </w:r>
      <w:r>
        <w:rPr>
          <w:sz w:val="24"/>
        </w:rPr>
        <w:t>for the </w:t>
      </w:r>
      <w:r>
        <w:rPr>
          <w:i/>
          <w:sz w:val="24"/>
        </w:rPr>
        <w:t>AER </w:t>
      </w:r>
      <w:r>
        <w:rPr>
          <w:sz w:val="24"/>
        </w:rPr>
        <w:t>to consider making a reliability instrument under this Part C, Division 1 must be consistent with the </w:t>
      </w:r>
      <w:r>
        <w:rPr>
          <w:i/>
          <w:sz w:val="24"/>
        </w:rPr>
        <w:t>reliability forecast </w:t>
      </w:r>
      <w:r>
        <w:rPr>
          <w:sz w:val="24"/>
        </w:rPr>
        <w:t>to which the request</w:t>
      </w:r>
      <w:r>
        <w:rPr>
          <w:spacing w:val="-2"/>
          <w:sz w:val="24"/>
        </w:rPr>
        <w:t> </w:t>
      </w:r>
      <w:r>
        <w:rPr>
          <w:sz w:val="24"/>
        </w:rPr>
        <w:t>relates.</w:t>
      </w:r>
    </w:p>
    <w:p>
      <w:pPr>
        <w:pStyle w:val="BodyText"/>
        <w:spacing w:before="10"/>
        <w:ind w:firstLine="0"/>
        <w:jc w:val="left"/>
        <w:rPr>
          <w:sz w:val="20"/>
        </w:rPr>
      </w:pPr>
    </w:p>
    <w:p>
      <w:pPr>
        <w:pStyle w:val="Heading4"/>
        <w:tabs>
          <w:tab w:pos="1351" w:val="left" w:leader="none"/>
        </w:tabs>
        <w:ind w:left="218" w:firstLine="0"/>
      </w:pPr>
      <w:bookmarkStart w:name="4A.C.2 AEMO request for a T-3 reliabilit" w:id="125"/>
      <w:bookmarkEnd w:id="125"/>
      <w:r>
        <w:rPr>
          <w:b w:val="0"/>
        </w:rPr>
      </w:r>
      <w:bookmarkStart w:name="_bookmark46" w:id="126"/>
      <w:bookmarkEnd w:id="126"/>
      <w:r>
        <w:rPr>
          <w:b w:val="0"/>
        </w:rPr>
      </w:r>
      <w:r>
        <w:rPr/>
        <w:t>4A.C.2</w:t>
        <w:tab/>
        <w:t>AEMO request for a T-3 reliability</w:t>
      </w:r>
      <w:r>
        <w:rPr>
          <w:spacing w:val="-5"/>
        </w:rPr>
        <w:t> </w:t>
      </w:r>
      <w:r>
        <w:rPr/>
        <w:t>instrument</w:t>
      </w:r>
    </w:p>
    <w:p>
      <w:pPr>
        <w:pStyle w:val="ListParagraph"/>
        <w:numPr>
          <w:ilvl w:val="0"/>
          <w:numId w:val="68"/>
        </w:numPr>
        <w:tabs>
          <w:tab w:pos="1919" w:val="left" w:leader="none"/>
        </w:tabs>
        <w:spacing w:line="240" w:lineRule="auto" w:before="120" w:after="0"/>
        <w:ind w:left="1919" w:right="414" w:hanging="567"/>
        <w:jc w:val="both"/>
        <w:rPr>
          <w:sz w:val="24"/>
        </w:rPr>
      </w:pPr>
      <w:r>
        <w:rPr>
          <w:sz w:val="24"/>
        </w:rPr>
        <w:t>For the purposes of section 14I(4)(b) of the </w:t>
      </w:r>
      <w:r>
        <w:rPr>
          <w:i/>
          <w:sz w:val="24"/>
        </w:rPr>
        <w:t>National Electricity Law</w:t>
      </w:r>
      <w:r>
        <w:rPr>
          <w:sz w:val="24"/>
        </w:rPr>
        <w:t>, the request for a T-3 reliability instrument must be made at least three months before the T-3 cut-off day for the relevant </w:t>
      </w:r>
      <w:r>
        <w:rPr>
          <w:i/>
          <w:sz w:val="24"/>
        </w:rPr>
        <w:t>forecast reliability</w:t>
      </w:r>
      <w:r>
        <w:rPr>
          <w:i/>
          <w:spacing w:val="-7"/>
          <w:sz w:val="24"/>
        </w:rPr>
        <w:t> </w:t>
      </w:r>
      <w:r>
        <w:rPr>
          <w:i/>
          <w:sz w:val="24"/>
        </w:rPr>
        <w:t>gap</w:t>
      </w:r>
      <w:r>
        <w:rPr>
          <w:sz w:val="24"/>
        </w:rPr>
        <w:t>.</w:t>
      </w:r>
    </w:p>
    <w:p>
      <w:pPr>
        <w:pStyle w:val="ListParagraph"/>
        <w:numPr>
          <w:ilvl w:val="0"/>
          <w:numId w:val="68"/>
        </w:numPr>
        <w:tabs>
          <w:tab w:pos="1919" w:val="left" w:leader="none"/>
        </w:tabs>
        <w:spacing w:line="240" w:lineRule="auto" w:before="120" w:after="0"/>
        <w:ind w:left="1919" w:right="416" w:hanging="567"/>
        <w:jc w:val="both"/>
        <w:rPr>
          <w:sz w:val="24"/>
        </w:rPr>
      </w:pPr>
      <w:r>
        <w:rPr>
          <w:sz w:val="24"/>
        </w:rPr>
        <w:t>For a request for a T-3 reliability instrument for a </w:t>
      </w:r>
      <w:r>
        <w:rPr>
          <w:i/>
          <w:sz w:val="24"/>
        </w:rPr>
        <w:t>forecast reliability gap</w:t>
      </w:r>
      <w:r>
        <w:rPr>
          <w:sz w:val="24"/>
        </w:rPr>
        <w:t>, </w:t>
      </w:r>
      <w:r>
        <w:rPr>
          <w:i/>
          <w:sz w:val="24"/>
        </w:rPr>
        <w:t>AEMO </w:t>
      </w:r>
      <w:r>
        <w:rPr>
          <w:sz w:val="24"/>
        </w:rPr>
        <w:t>must:</w:t>
      </w:r>
    </w:p>
    <w:p>
      <w:pPr>
        <w:pStyle w:val="ListParagraph"/>
        <w:numPr>
          <w:ilvl w:val="1"/>
          <w:numId w:val="68"/>
        </w:numPr>
        <w:tabs>
          <w:tab w:pos="2486" w:val="left" w:leader="none"/>
        </w:tabs>
        <w:spacing w:line="240" w:lineRule="auto" w:before="120" w:after="0"/>
        <w:ind w:left="2486" w:right="415" w:hanging="567"/>
        <w:jc w:val="both"/>
        <w:rPr>
          <w:sz w:val="24"/>
        </w:rPr>
      </w:pPr>
      <w:r>
        <w:rPr>
          <w:sz w:val="24"/>
        </w:rPr>
        <w:t>include the information required under section 14I(4) of the </w:t>
      </w:r>
      <w:r>
        <w:rPr>
          <w:i/>
          <w:sz w:val="24"/>
        </w:rPr>
        <w:t>National </w:t>
      </w:r>
      <w:r>
        <w:rPr>
          <w:i/>
          <w:sz w:val="24"/>
        </w:rPr>
        <w:t>Electricity</w:t>
      </w:r>
      <w:r>
        <w:rPr>
          <w:i/>
          <w:spacing w:val="-1"/>
          <w:sz w:val="24"/>
        </w:rPr>
        <w:t> </w:t>
      </w:r>
      <w:r>
        <w:rPr>
          <w:i/>
          <w:sz w:val="24"/>
        </w:rPr>
        <w:t>Law</w:t>
      </w:r>
      <w:r>
        <w:rPr>
          <w:sz w:val="24"/>
        </w:rPr>
        <w:t>;</w:t>
      </w:r>
    </w:p>
    <w:p>
      <w:pPr>
        <w:pStyle w:val="ListParagraph"/>
        <w:numPr>
          <w:ilvl w:val="1"/>
          <w:numId w:val="68"/>
        </w:numPr>
        <w:tabs>
          <w:tab w:pos="2486" w:val="left" w:leader="none"/>
        </w:tabs>
        <w:spacing w:line="240" w:lineRule="auto" w:before="120" w:after="0"/>
        <w:ind w:left="2485" w:right="0" w:hanging="567"/>
        <w:jc w:val="both"/>
        <w:rPr>
          <w:sz w:val="24"/>
        </w:rPr>
      </w:pPr>
      <w:r>
        <w:rPr>
          <w:sz w:val="24"/>
        </w:rPr>
        <w:t>state the </w:t>
      </w:r>
      <w:r>
        <w:rPr>
          <w:i/>
          <w:sz w:val="24"/>
        </w:rPr>
        <w:t>forecast reliability gap </w:t>
      </w:r>
      <w:r>
        <w:rPr>
          <w:sz w:val="24"/>
        </w:rPr>
        <w:t>(in</w:t>
      </w:r>
      <w:r>
        <w:rPr>
          <w:spacing w:val="-3"/>
          <w:sz w:val="24"/>
        </w:rPr>
        <w:t> </w:t>
      </w:r>
      <w:r>
        <w:rPr>
          <w:sz w:val="24"/>
        </w:rPr>
        <w:t>MW);</w:t>
      </w:r>
    </w:p>
    <w:p>
      <w:pPr>
        <w:pStyle w:val="ListParagraph"/>
        <w:numPr>
          <w:ilvl w:val="1"/>
          <w:numId w:val="68"/>
        </w:numPr>
        <w:tabs>
          <w:tab w:pos="2486" w:val="left" w:leader="none"/>
        </w:tabs>
        <w:spacing w:line="240" w:lineRule="auto" w:before="120" w:after="0"/>
        <w:ind w:left="2486" w:right="415" w:hanging="567"/>
        <w:jc w:val="both"/>
        <w:rPr>
          <w:sz w:val="24"/>
        </w:rPr>
      </w:pPr>
      <w:r>
        <w:rPr>
          <w:sz w:val="24"/>
        </w:rPr>
        <w:t>only make the request if the </w:t>
      </w:r>
      <w:r>
        <w:rPr>
          <w:i/>
          <w:sz w:val="24"/>
        </w:rPr>
        <w:t>reliability forecast </w:t>
      </w:r>
      <w:r>
        <w:rPr>
          <w:sz w:val="24"/>
        </w:rPr>
        <w:t>(including an update  of it under clause 3.13.3A(b)) published in the 6 months immediately preceding the T-3 cut-off day identifies that </w:t>
      </w:r>
      <w:r>
        <w:rPr>
          <w:i/>
          <w:sz w:val="24"/>
        </w:rPr>
        <w:t>forecast reliability gap</w:t>
      </w:r>
      <w:r>
        <w:rPr>
          <w:sz w:val="24"/>
        </w:rPr>
        <w:t>; and</w:t>
      </w:r>
    </w:p>
    <w:p>
      <w:pPr>
        <w:pStyle w:val="ListParagraph"/>
        <w:numPr>
          <w:ilvl w:val="1"/>
          <w:numId w:val="68"/>
        </w:numPr>
        <w:tabs>
          <w:tab w:pos="2486" w:val="left" w:leader="none"/>
        </w:tabs>
        <w:spacing w:line="240" w:lineRule="auto" w:before="120" w:after="0"/>
        <w:ind w:left="2486" w:right="414" w:hanging="567"/>
        <w:jc w:val="both"/>
        <w:rPr>
          <w:sz w:val="24"/>
        </w:rPr>
      </w:pPr>
      <w:r>
        <w:rPr>
          <w:sz w:val="24"/>
        </w:rPr>
        <w:t>make the request in a form and containing the information prescribed by the Reliability Instrument</w:t>
      </w:r>
      <w:r>
        <w:rPr>
          <w:spacing w:val="-1"/>
          <w:sz w:val="24"/>
        </w:rPr>
        <w:t> </w:t>
      </w:r>
      <w:r>
        <w:rPr>
          <w:sz w:val="24"/>
        </w:rPr>
        <w:t>Guidelines.</w:t>
      </w:r>
    </w:p>
    <w:p>
      <w:pPr>
        <w:pStyle w:val="ListParagraph"/>
        <w:numPr>
          <w:ilvl w:val="0"/>
          <w:numId w:val="68"/>
        </w:numPr>
        <w:tabs>
          <w:tab w:pos="1919" w:val="left" w:leader="none"/>
        </w:tabs>
        <w:spacing w:line="240" w:lineRule="auto" w:before="120" w:after="0"/>
        <w:ind w:left="1919" w:right="415" w:hanging="567"/>
        <w:jc w:val="both"/>
        <w:rPr>
          <w:sz w:val="24"/>
        </w:rPr>
      </w:pPr>
      <w:r>
        <w:rPr>
          <w:i/>
          <w:sz w:val="24"/>
        </w:rPr>
        <w:t>AEMO </w:t>
      </w:r>
      <w:r>
        <w:rPr>
          <w:sz w:val="24"/>
        </w:rPr>
        <w:t>must publish on its website a request for a T-3 reliability instrument within 5 </w:t>
      </w:r>
      <w:r>
        <w:rPr>
          <w:i/>
          <w:sz w:val="24"/>
        </w:rPr>
        <w:t>business days </w:t>
      </w:r>
      <w:r>
        <w:rPr>
          <w:sz w:val="24"/>
        </w:rPr>
        <w:t>of submitting it to the</w:t>
      </w:r>
      <w:r>
        <w:rPr>
          <w:spacing w:val="-4"/>
          <w:sz w:val="24"/>
        </w:rPr>
        <w:t> </w:t>
      </w:r>
      <w:r>
        <w:rPr>
          <w:i/>
          <w:sz w:val="24"/>
        </w:rPr>
        <w:t>AER</w:t>
      </w:r>
      <w:r>
        <w:rPr>
          <w:sz w:val="24"/>
        </w:rPr>
        <w:t>.</w:t>
      </w:r>
    </w:p>
    <w:p>
      <w:pPr>
        <w:pStyle w:val="BodyText"/>
        <w:spacing w:before="10"/>
        <w:ind w:firstLine="0"/>
        <w:jc w:val="left"/>
        <w:rPr>
          <w:sz w:val="20"/>
        </w:rPr>
      </w:pPr>
    </w:p>
    <w:p>
      <w:pPr>
        <w:pStyle w:val="Heading4"/>
        <w:tabs>
          <w:tab w:pos="1351" w:val="left" w:leader="none"/>
        </w:tabs>
        <w:ind w:left="218" w:firstLine="0"/>
      </w:pPr>
      <w:bookmarkStart w:name="4A.C.3 AEMO request for a T-1 reliabilit" w:id="127"/>
      <w:bookmarkEnd w:id="127"/>
      <w:r>
        <w:rPr>
          <w:b w:val="0"/>
        </w:rPr>
      </w:r>
      <w:bookmarkStart w:name="_bookmark47" w:id="128"/>
      <w:bookmarkEnd w:id="128"/>
      <w:r>
        <w:rPr>
          <w:b w:val="0"/>
        </w:rPr>
      </w:r>
      <w:r>
        <w:rPr/>
        <w:t>4A.C.3</w:t>
        <w:tab/>
        <w:t>AEMO request for a T-1 reliability</w:t>
      </w:r>
      <w:r>
        <w:rPr>
          <w:spacing w:val="-5"/>
        </w:rPr>
        <w:t> </w:t>
      </w:r>
      <w:r>
        <w:rPr/>
        <w:t>instrument</w:t>
      </w:r>
    </w:p>
    <w:p>
      <w:pPr>
        <w:pStyle w:val="ListParagraph"/>
        <w:numPr>
          <w:ilvl w:val="0"/>
          <w:numId w:val="69"/>
        </w:numPr>
        <w:tabs>
          <w:tab w:pos="1919" w:val="left" w:leader="none"/>
        </w:tabs>
        <w:spacing w:line="240" w:lineRule="auto" w:before="120" w:after="0"/>
        <w:ind w:left="1919" w:right="414" w:hanging="567"/>
        <w:jc w:val="both"/>
        <w:rPr>
          <w:sz w:val="24"/>
        </w:rPr>
      </w:pPr>
      <w:r>
        <w:rPr>
          <w:sz w:val="24"/>
        </w:rPr>
        <w:t>For the purposes of section 14I(4)(b) of the </w:t>
      </w:r>
      <w:r>
        <w:rPr>
          <w:i/>
          <w:sz w:val="24"/>
        </w:rPr>
        <w:t>National Electricity Law</w:t>
      </w:r>
      <w:r>
        <w:rPr>
          <w:sz w:val="24"/>
        </w:rPr>
        <w:t>, the request for a T-1 reliability instrument must be made at least three months before the T-1 cut-off day for the relevant </w:t>
      </w:r>
      <w:r>
        <w:rPr>
          <w:i/>
          <w:sz w:val="24"/>
        </w:rPr>
        <w:t>forecast reliability</w:t>
      </w:r>
      <w:r>
        <w:rPr>
          <w:i/>
          <w:spacing w:val="-7"/>
          <w:sz w:val="24"/>
        </w:rPr>
        <w:t> </w:t>
      </w:r>
      <w:r>
        <w:rPr>
          <w:i/>
          <w:sz w:val="24"/>
        </w:rPr>
        <w:t>gap</w:t>
      </w:r>
      <w:r>
        <w:rPr>
          <w:sz w:val="24"/>
        </w:rPr>
        <w:t>.</w:t>
      </w:r>
    </w:p>
    <w:p>
      <w:pPr>
        <w:pStyle w:val="ListParagraph"/>
        <w:numPr>
          <w:ilvl w:val="0"/>
          <w:numId w:val="69"/>
        </w:numPr>
        <w:tabs>
          <w:tab w:pos="1919" w:val="left" w:leader="none"/>
        </w:tabs>
        <w:spacing w:line="240" w:lineRule="auto" w:before="120" w:after="0"/>
        <w:ind w:left="1919" w:right="416" w:hanging="567"/>
        <w:jc w:val="both"/>
        <w:rPr>
          <w:sz w:val="24"/>
        </w:rPr>
      </w:pPr>
      <w:r>
        <w:rPr>
          <w:sz w:val="24"/>
        </w:rPr>
        <w:t>For a request for a T-1 reliability instrument for a </w:t>
      </w:r>
      <w:r>
        <w:rPr>
          <w:i/>
          <w:sz w:val="24"/>
        </w:rPr>
        <w:t>forecast reliability gap</w:t>
      </w:r>
      <w:r>
        <w:rPr>
          <w:sz w:val="24"/>
        </w:rPr>
        <w:t>, </w:t>
      </w:r>
      <w:r>
        <w:rPr>
          <w:i/>
          <w:sz w:val="24"/>
        </w:rPr>
        <w:t>AEMO </w:t>
      </w:r>
      <w:r>
        <w:rPr>
          <w:sz w:val="24"/>
        </w:rPr>
        <w:t>must:</w:t>
      </w:r>
    </w:p>
    <w:p>
      <w:pPr>
        <w:spacing w:after="0" w:line="240" w:lineRule="auto"/>
        <w:jc w:val="both"/>
        <w:rPr>
          <w:sz w:val="24"/>
        </w:rPr>
        <w:sectPr>
          <w:pgSz w:w="11910" w:h="16840"/>
          <w:pgMar w:header="686" w:footer="637" w:top="1320" w:bottom="820" w:left="1200" w:right="1000"/>
        </w:sectPr>
      </w:pPr>
    </w:p>
    <w:p>
      <w:pPr>
        <w:pStyle w:val="ListParagraph"/>
        <w:numPr>
          <w:ilvl w:val="1"/>
          <w:numId w:val="69"/>
        </w:numPr>
        <w:tabs>
          <w:tab w:pos="2486" w:val="left" w:leader="none"/>
        </w:tabs>
        <w:spacing w:line="240" w:lineRule="auto" w:before="83" w:after="0"/>
        <w:ind w:left="2486" w:right="415" w:hanging="567"/>
        <w:jc w:val="both"/>
        <w:rPr>
          <w:sz w:val="24"/>
        </w:rPr>
      </w:pPr>
      <w:r>
        <w:rPr>
          <w:sz w:val="24"/>
        </w:rPr>
        <w:t>include the information required under section 14I(4) of the </w:t>
      </w:r>
      <w:r>
        <w:rPr>
          <w:i/>
          <w:sz w:val="24"/>
        </w:rPr>
        <w:t>National </w:t>
      </w:r>
      <w:r>
        <w:rPr>
          <w:i/>
          <w:sz w:val="24"/>
        </w:rPr>
        <w:t>Electricity</w:t>
      </w:r>
      <w:r>
        <w:rPr>
          <w:i/>
          <w:spacing w:val="-1"/>
          <w:sz w:val="24"/>
        </w:rPr>
        <w:t> </w:t>
      </w:r>
      <w:r>
        <w:rPr>
          <w:i/>
          <w:sz w:val="24"/>
        </w:rPr>
        <w:t>Law</w:t>
      </w:r>
      <w:r>
        <w:rPr>
          <w:sz w:val="24"/>
        </w:rPr>
        <w:t>;</w:t>
      </w:r>
    </w:p>
    <w:p>
      <w:pPr>
        <w:pStyle w:val="ListParagraph"/>
        <w:numPr>
          <w:ilvl w:val="1"/>
          <w:numId w:val="69"/>
        </w:numPr>
        <w:tabs>
          <w:tab w:pos="2486" w:val="left" w:leader="none"/>
        </w:tabs>
        <w:spacing w:line="240" w:lineRule="auto" w:before="120" w:after="0"/>
        <w:ind w:left="2485" w:right="0" w:hanging="567"/>
        <w:jc w:val="both"/>
        <w:rPr>
          <w:sz w:val="24"/>
        </w:rPr>
      </w:pPr>
      <w:r>
        <w:rPr>
          <w:sz w:val="24"/>
        </w:rPr>
        <w:t>state the </w:t>
      </w:r>
      <w:r>
        <w:rPr>
          <w:i/>
          <w:sz w:val="24"/>
        </w:rPr>
        <w:t>forecast reliability gap </w:t>
      </w:r>
      <w:r>
        <w:rPr>
          <w:sz w:val="24"/>
        </w:rPr>
        <w:t>(in</w:t>
      </w:r>
      <w:r>
        <w:rPr>
          <w:spacing w:val="-3"/>
          <w:sz w:val="24"/>
        </w:rPr>
        <w:t> </w:t>
      </w:r>
      <w:r>
        <w:rPr>
          <w:sz w:val="24"/>
        </w:rPr>
        <w:t>MW);</w:t>
      </w:r>
    </w:p>
    <w:p>
      <w:pPr>
        <w:pStyle w:val="ListParagraph"/>
        <w:numPr>
          <w:ilvl w:val="1"/>
          <w:numId w:val="69"/>
        </w:numPr>
        <w:tabs>
          <w:tab w:pos="2486" w:val="left" w:leader="none"/>
        </w:tabs>
        <w:spacing w:line="240" w:lineRule="auto" w:before="120" w:after="0"/>
        <w:ind w:left="2486" w:right="415" w:hanging="567"/>
        <w:jc w:val="both"/>
        <w:rPr>
          <w:sz w:val="24"/>
        </w:rPr>
      </w:pPr>
      <w:r>
        <w:rPr>
          <w:sz w:val="24"/>
        </w:rPr>
        <w:t>only make the request if the </w:t>
      </w:r>
      <w:r>
        <w:rPr>
          <w:i/>
          <w:sz w:val="24"/>
        </w:rPr>
        <w:t>reliability forecast </w:t>
      </w:r>
      <w:r>
        <w:rPr>
          <w:sz w:val="24"/>
        </w:rPr>
        <w:t>(including an update  of it under clause 3.13.3A(b)) published in the second </w:t>
      </w:r>
      <w:r>
        <w:rPr>
          <w:i/>
          <w:sz w:val="24"/>
        </w:rPr>
        <w:t>financial year </w:t>
      </w:r>
      <w:r>
        <w:rPr>
          <w:sz w:val="24"/>
        </w:rPr>
        <w:t>following the related T-3 reliability instrument identifies that </w:t>
      </w:r>
      <w:r>
        <w:rPr>
          <w:i/>
          <w:sz w:val="24"/>
        </w:rPr>
        <w:t>forecast </w:t>
      </w:r>
      <w:r>
        <w:rPr>
          <w:i/>
          <w:sz w:val="24"/>
        </w:rPr>
        <w:t>reliability</w:t>
      </w:r>
      <w:r>
        <w:rPr>
          <w:i/>
          <w:spacing w:val="-1"/>
          <w:sz w:val="24"/>
        </w:rPr>
        <w:t> </w:t>
      </w:r>
      <w:r>
        <w:rPr>
          <w:i/>
          <w:sz w:val="24"/>
        </w:rPr>
        <w:t>gap</w:t>
      </w:r>
      <w:r>
        <w:rPr>
          <w:sz w:val="24"/>
        </w:rPr>
        <w:t>;</w:t>
      </w:r>
    </w:p>
    <w:p>
      <w:pPr>
        <w:pStyle w:val="ListParagraph"/>
        <w:numPr>
          <w:ilvl w:val="1"/>
          <w:numId w:val="69"/>
        </w:numPr>
        <w:tabs>
          <w:tab w:pos="2486" w:val="left" w:leader="none"/>
        </w:tabs>
        <w:spacing w:line="240" w:lineRule="auto" w:before="120" w:after="0"/>
        <w:ind w:left="2486" w:right="414" w:hanging="567"/>
        <w:jc w:val="both"/>
        <w:rPr>
          <w:sz w:val="24"/>
        </w:rPr>
      </w:pPr>
      <w:r>
        <w:rPr>
          <w:sz w:val="24"/>
        </w:rPr>
        <w:t>make the request in a form and containing the information prescribed by the Reliability Instrument Guidelines;</w:t>
      </w:r>
      <w:r>
        <w:rPr>
          <w:spacing w:val="-2"/>
          <w:sz w:val="24"/>
        </w:rPr>
        <w:t> </w:t>
      </w:r>
      <w:r>
        <w:rPr>
          <w:sz w:val="24"/>
        </w:rPr>
        <w:t>and</w:t>
      </w:r>
    </w:p>
    <w:p>
      <w:pPr>
        <w:pStyle w:val="ListParagraph"/>
        <w:numPr>
          <w:ilvl w:val="1"/>
          <w:numId w:val="69"/>
        </w:numPr>
        <w:tabs>
          <w:tab w:pos="2486" w:val="left" w:leader="none"/>
        </w:tabs>
        <w:spacing w:line="240" w:lineRule="auto" w:before="120" w:after="0"/>
        <w:ind w:left="2486" w:right="413" w:hanging="567"/>
        <w:jc w:val="both"/>
        <w:rPr>
          <w:sz w:val="24"/>
        </w:rPr>
      </w:pPr>
      <w:r>
        <w:rPr>
          <w:sz w:val="24"/>
        </w:rPr>
        <w:t>not make the request unless there has been a related T-3 reliability instrument made in relation to the T-1 reliability instrument the subject of the request in accordance with clause</w:t>
      </w:r>
      <w:r>
        <w:rPr>
          <w:spacing w:val="-5"/>
          <w:sz w:val="24"/>
        </w:rPr>
        <w:t> </w:t>
      </w:r>
      <w:r>
        <w:rPr>
          <w:sz w:val="24"/>
        </w:rPr>
        <w:t>4A.C.4.</w:t>
      </w:r>
    </w:p>
    <w:p>
      <w:pPr>
        <w:pStyle w:val="ListParagraph"/>
        <w:numPr>
          <w:ilvl w:val="0"/>
          <w:numId w:val="69"/>
        </w:numPr>
        <w:tabs>
          <w:tab w:pos="1919" w:val="left" w:leader="none"/>
        </w:tabs>
        <w:spacing w:line="240" w:lineRule="auto" w:before="120" w:after="0"/>
        <w:ind w:left="1919" w:right="415" w:hanging="567"/>
        <w:jc w:val="both"/>
        <w:rPr>
          <w:sz w:val="24"/>
        </w:rPr>
      </w:pPr>
      <w:r>
        <w:rPr>
          <w:i/>
          <w:sz w:val="24"/>
        </w:rPr>
        <w:t>AEMO </w:t>
      </w:r>
      <w:r>
        <w:rPr>
          <w:sz w:val="24"/>
        </w:rPr>
        <w:t>must publish on its website a request for a T-1 reliability instrument within 5 </w:t>
      </w:r>
      <w:r>
        <w:rPr>
          <w:i/>
          <w:sz w:val="24"/>
        </w:rPr>
        <w:t>business days </w:t>
      </w:r>
      <w:r>
        <w:rPr>
          <w:sz w:val="24"/>
        </w:rPr>
        <w:t>of submitting it to the</w:t>
      </w:r>
      <w:r>
        <w:rPr>
          <w:spacing w:val="-4"/>
          <w:sz w:val="24"/>
        </w:rPr>
        <w:t> </w:t>
      </w:r>
      <w:r>
        <w:rPr>
          <w:i/>
          <w:sz w:val="24"/>
        </w:rPr>
        <w:t>AER</w:t>
      </w:r>
      <w:r>
        <w:rPr>
          <w:sz w:val="24"/>
        </w:rPr>
        <w:t>.</w:t>
      </w:r>
    </w:p>
    <w:p>
      <w:pPr>
        <w:pStyle w:val="BodyText"/>
        <w:spacing w:before="10"/>
        <w:ind w:firstLine="0"/>
        <w:jc w:val="left"/>
        <w:rPr>
          <w:sz w:val="20"/>
        </w:rPr>
      </w:pPr>
    </w:p>
    <w:p>
      <w:pPr>
        <w:pStyle w:val="Heading4"/>
        <w:tabs>
          <w:tab w:pos="1351" w:val="left" w:leader="none"/>
        </w:tabs>
        <w:ind w:left="218" w:firstLine="0"/>
      </w:pPr>
      <w:bookmarkStart w:name="4A.C.4 Related T-3 reliability instrumen" w:id="129"/>
      <w:bookmarkEnd w:id="129"/>
      <w:r>
        <w:rPr>
          <w:b w:val="0"/>
        </w:rPr>
      </w:r>
      <w:bookmarkStart w:name="_bookmark48" w:id="130"/>
      <w:bookmarkEnd w:id="130"/>
      <w:r>
        <w:rPr>
          <w:b w:val="0"/>
        </w:rPr>
      </w:r>
      <w:r>
        <w:rPr/>
        <w:t>4A.C.4</w:t>
        <w:tab/>
        <w:t>Related T-3 reliability</w:t>
      </w:r>
      <w:r>
        <w:rPr>
          <w:spacing w:val="-2"/>
        </w:rPr>
        <w:t> </w:t>
      </w:r>
      <w:r>
        <w:rPr/>
        <w:t>instrument</w:t>
      </w:r>
    </w:p>
    <w:p>
      <w:pPr>
        <w:pStyle w:val="ListParagraph"/>
        <w:numPr>
          <w:ilvl w:val="0"/>
          <w:numId w:val="70"/>
        </w:numPr>
        <w:tabs>
          <w:tab w:pos="1919" w:val="left" w:leader="none"/>
        </w:tabs>
        <w:spacing w:line="240" w:lineRule="auto" w:before="120" w:after="0"/>
        <w:ind w:left="1918" w:right="0" w:hanging="567"/>
        <w:jc w:val="both"/>
        <w:rPr>
          <w:sz w:val="24"/>
        </w:rPr>
      </w:pPr>
      <w:r>
        <w:rPr>
          <w:sz w:val="24"/>
        </w:rPr>
        <w:t>A T-3 reliability instrument is related to a T-1 reliability instrument</w:t>
      </w:r>
      <w:r>
        <w:rPr>
          <w:spacing w:val="-5"/>
          <w:sz w:val="24"/>
        </w:rPr>
        <w:t> </w:t>
      </w:r>
      <w:r>
        <w:rPr>
          <w:sz w:val="24"/>
        </w:rPr>
        <w:t>if:</w:t>
      </w:r>
    </w:p>
    <w:p>
      <w:pPr>
        <w:pStyle w:val="ListParagraph"/>
        <w:numPr>
          <w:ilvl w:val="1"/>
          <w:numId w:val="70"/>
        </w:numPr>
        <w:tabs>
          <w:tab w:pos="2486" w:val="left" w:leader="none"/>
        </w:tabs>
        <w:spacing w:line="240" w:lineRule="auto" w:before="120" w:after="0"/>
        <w:ind w:left="2485" w:right="0" w:hanging="567"/>
        <w:jc w:val="both"/>
        <w:rPr>
          <w:sz w:val="24"/>
        </w:rPr>
      </w:pPr>
      <w:r>
        <w:rPr>
          <w:sz w:val="24"/>
        </w:rPr>
        <w:t>it is for the same </w:t>
      </w:r>
      <w:r>
        <w:rPr>
          <w:i/>
          <w:sz w:val="24"/>
        </w:rPr>
        <w:t>region </w:t>
      </w:r>
      <w:r>
        <w:rPr>
          <w:sz w:val="24"/>
        </w:rPr>
        <w:t>as the requested T-1 reliability</w:t>
      </w:r>
      <w:r>
        <w:rPr>
          <w:spacing w:val="-6"/>
          <w:sz w:val="24"/>
        </w:rPr>
        <w:t> </w:t>
      </w:r>
      <w:r>
        <w:rPr>
          <w:sz w:val="24"/>
        </w:rPr>
        <w:t>instrument;</w:t>
      </w:r>
    </w:p>
    <w:p>
      <w:pPr>
        <w:pStyle w:val="ListParagraph"/>
        <w:numPr>
          <w:ilvl w:val="1"/>
          <w:numId w:val="70"/>
        </w:numPr>
        <w:tabs>
          <w:tab w:pos="2486" w:val="left" w:leader="none"/>
        </w:tabs>
        <w:spacing w:line="240" w:lineRule="auto" w:before="120" w:after="0"/>
        <w:ind w:left="2486" w:right="415" w:hanging="567"/>
        <w:jc w:val="both"/>
        <w:rPr>
          <w:sz w:val="24"/>
        </w:rPr>
      </w:pPr>
      <w:r>
        <w:rPr>
          <w:sz w:val="24"/>
        </w:rPr>
        <w:t>the forecast reliability gap period requested in the T-1 reliability instrument is the same as, or is for a forecast reliability gap period that is shorter than but still within, the forecast reliability gap period set out in the T-3 reliability instrument;</w:t>
      </w:r>
      <w:r>
        <w:rPr>
          <w:spacing w:val="-1"/>
          <w:sz w:val="24"/>
        </w:rPr>
        <w:t> </w:t>
      </w:r>
      <w:r>
        <w:rPr>
          <w:sz w:val="24"/>
        </w:rPr>
        <w:t>and</w:t>
      </w:r>
    </w:p>
    <w:p>
      <w:pPr>
        <w:pStyle w:val="ListParagraph"/>
        <w:numPr>
          <w:ilvl w:val="1"/>
          <w:numId w:val="70"/>
        </w:numPr>
        <w:tabs>
          <w:tab w:pos="2486" w:val="left" w:leader="none"/>
        </w:tabs>
        <w:spacing w:line="240" w:lineRule="auto" w:before="120" w:after="0"/>
        <w:ind w:left="2486" w:right="415" w:hanging="567"/>
        <w:jc w:val="both"/>
        <w:rPr>
          <w:sz w:val="24"/>
        </w:rPr>
      </w:pPr>
      <w:r>
        <w:rPr>
          <w:sz w:val="24"/>
        </w:rPr>
        <w:t>the gap trading intervals requested in the T-1 reliability instrument are the same, or are within the same range of the gap trading intervals, as set out in the T-3 reliability</w:t>
      </w:r>
      <w:r>
        <w:rPr>
          <w:spacing w:val="-2"/>
          <w:sz w:val="24"/>
        </w:rPr>
        <w:t> </w:t>
      </w:r>
      <w:r>
        <w:rPr>
          <w:sz w:val="24"/>
        </w:rPr>
        <w:t>instrument.</w:t>
      </w:r>
    </w:p>
    <w:p>
      <w:pPr>
        <w:pStyle w:val="ListParagraph"/>
        <w:numPr>
          <w:ilvl w:val="0"/>
          <w:numId w:val="70"/>
        </w:numPr>
        <w:tabs>
          <w:tab w:pos="1919" w:val="left" w:leader="none"/>
        </w:tabs>
        <w:spacing w:line="240" w:lineRule="auto" w:before="120" w:after="0"/>
        <w:ind w:left="1919" w:right="415" w:hanging="567"/>
        <w:jc w:val="both"/>
        <w:rPr>
          <w:sz w:val="24"/>
        </w:rPr>
      </w:pPr>
      <w:r>
        <w:rPr>
          <w:sz w:val="24"/>
        </w:rPr>
        <w:t>A T-3 reliability instrument will still be related to a T-1 reliability instrument despite the size of the </w:t>
      </w:r>
      <w:r>
        <w:rPr>
          <w:i/>
          <w:sz w:val="24"/>
        </w:rPr>
        <w:t>forecast reliability gap </w:t>
      </w:r>
      <w:r>
        <w:rPr>
          <w:sz w:val="24"/>
        </w:rPr>
        <w:t>being</w:t>
      </w:r>
      <w:r>
        <w:rPr>
          <w:spacing w:val="-5"/>
          <w:sz w:val="24"/>
        </w:rPr>
        <w:t> </w:t>
      </w:r>
      <w:r>
        <w:rPr>
          <w:sz w:val="24"/>
        </w:rPr>
        <w:t>different.</w:t>
      </w:r>
    </w:p>
    <w:p>
      <w:pPr>
        <w:pStyle w:val="BodyText"/>
        <w:spacing w:before="10"/>
        <w:ind w:firstLine="0"/>
        <w:jc w:val="left"/>
        <w:rPr>
          <w:sz w:val="20"/>
        </w:rPr>
      </w:pPr>
    </w:p>
    <w:p>
      <w:pPr>
        <w:pStyle w:val="Heading4"/>
        <w:tabs>
          <w:tab w:pos="1351" w:val="left" w:leader="none"/>
        </w:tabs>
        <w:ind w:left="218" w:firstLine="0"/>
      </w:pPr>
      <w:bookmarkStart w:name="4A.C.5 Notification of a closed forecast" w:id="131"/>
      <w:bookmarkEnd w:id="131"/>
      <w:r>
        <w:rPr>
          <w:b w:val="0"/>
        </w:rPr>
      </w:r>
      <w:bookmarkStart w:name="_bookmark49" w:id="132"/>
      <w:bookmarkEnd w:id="132"/>
      <w:r>
        <w:rPr>
          <w:b w:val="0"/>
        </w:rPr>
      </w:r>
      <w:r>
        <w:rPr/>
        <w:t>4A.C.5</w:t>
        <w:tab/>
        <w:t>Notification of a closed forecast reliability gap at</w:t>
      </w:r>
      <w:r>
        <w:rPr>
          <w:spacing w:val="-8"/>
        </w:rPr>
        <w:t> </w:t>
      </w:r>
      <w:r>
        <w:rPr/>
        <w:t>T-1</w:t>
      </w:r>
    </w:p>
    <w:p>
      <w:pPr>
        <w:pStyle w:val="ListParagraph"/>
        <w:numPr>
          <w:ilvl w:val="0"/>
          <w:numId w:val="71"/>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makes a T-3 reliability instrument and the </w:t>
      </w:r>
      <w:r>
        <w:rPr>
          <w:i/>
          <w:sz w:val="24"/>
        </w:rPr>
        <w:t>reliability forecast </w:t>
      </w:r>
      <w:r>
        <w:rPr>
          <w:sz w:val="24"/>
        </w:rPr>
        <w:t>in the </w:t>
      </w:r>
      <w:r>
        <w:rPr>
          <w:i/>
          <w:sz w:val="24"/>
        </w:rPr>
        <w:t>statement of opportunities </w:t>
      </w:r>
      <w:r>
        <w:rPr>
          <w:sz w:val="24"/>
        </w:rPr>
        <w:t>published in the second </w:t>
      </w:r>
      <w:r>
        <w:rPr>
          <w:i/>
          <w:sz w:val="24"/>
        </w:rPr>
        <w:t>financial year </w:t>
      </w:r>
      <w:r>
        <w:rPr>
          <w:sz w:val="24"/>
        </w:rPr>
        <w:t>following that T-3 reliability instrument shows that the </w:t>
      </w:r>
      <w:r>
        <w:rPr>
          <w:i/>
          <w:sz w:val="24"/>
        </w:rPr>
        <w:t>forecast reliability </w:t>
      </w:r>
      <w:r>
        <w:rPr>
          <w:i/>
          <w:sz w:val="24"/>
        </w:rPr>
        <w:t>gap </w:t>
      </w:r>
      <w:r>
        <w:rPr>
          <w:sz w:val="24"/>
        </w:rPr>
        <w:t>is no longer forecast to occur, </w:t>
      </w:r>
      <w:r>
        <w:rPr>
          <w:i/>
          <w:sz w:val="24"/>
        </w:rPr>
        <w:t>AEMO </w:t>
      </w:r>
      <w:r>
        <w:rPr>
          <w:sz w:val="24"/>
        </w:rPr>
        <w:t>must provide written notice to the </w:t>
      </w:r>
      <w:r>
        <w:rPr>
          <w:i/>
          <w:sz w:val="24"/>
        </w:rPr>
        <w:t>AER </w:t>
      </w:r>
      <w:r>
        <w:rPr>
          <w:sz w:val="24"/>
        </w:rPr>
        <w:t>of that, and publish that notice on its website, within 5 </w:t>
      </w:r>
      <w:r>
        <w:rPr>
          <w:i/>
          <w:sz w:val="24"/>
        </w:rPr>
        <w:t>business days </w:t>
      </w:r>
      <w:r>
        <w:rPr>
          <w:sz w:val="24"/>
        </w:rPr>
        <w:t>of that </w:t>
      </w:r>
      <w:r>
        <w:rPr>
          <w:i/>
          <w:sz w:val="24"/>
        </w:rPr>
        <w:t>reliability forecast </w:t>
      </w:r>
      <w:r>
        <w:rPr>
          <w:sz w:val="24"/>
        </w:rPr>
        <w:t>being</w:t>
      </w:r>
      <w:r>
        <w:rPr>
          <w:spacing w:val="-2"/>
          <w:sz w:val="24"/>
        </w:rPr>
        <w:t> </w:t>
      </w:r>
      <w:r>
        <w:rPr>
          <w:sz w:val="24"/>
        </w:rPr>
        <w:t>published.</w:t>
      </w:r>
    </w:p>
    <w:p>
      <w:pPr>
        <w:pStyle w:val="ListParagraph"/>
        <w:numPr>
          <w:ilvl w:val="0"/>
          <w:numId w:val="71"/>
        </w:numPr>
        <w:tabs>
          <w:tab w:pos="1919" w:val="left" w:leader="none"/>
        </w:tabs>
        <w:spacing w:line="240" w:lineRule="auto" w:before="120" w:after="0"/>
        <w:ind w:left="1919" w:right="415" w:hanging="567"/>
        <w:jc w:val="both"/>
        <w:rPr>
          <w:sz w:val="24"/>
        </w:rPr>
      </w:pPr>
      <w:r>
        <w:rPr>
          <w:sz w:val="24"/>
        </w:rPr>
        <w:t>If </w:t>
      </w:r>
      <w:r>
        <w:rPr>
          <w:i/>
          <w:sz w:val="24"/>
        </w:rPr>
        <w:t>AEMO </w:t>
      </w:r>
      <w:r>
        <w:rPr>
          <w:sz w:val="24"/>
        </w:rPr>
        <w:t>provides a written notice under paragraph (a) and a request for a T-1 reliability instrument is not made by </w:t>
      </w:r>
      <w:r>
        <w:rPr>
          <w:i/>
          <w:sz w:val="24"/>
        </w:rPr>
        <w:t>AEMO </w:t>
      </w:r>
      <w:r>
        <w:rPr>
          <w:sz w:val="24"/>
        </w:rPr>
        <w:t>in the time provided </w:t>
      </w:r>
      <w:r>
        <w:rPr>
          <w:spacing w:val="-7"/>
          <w:sz w:val="24"/>
        </w:rPr>
        <w:t>in </w:t>
      </w:r>
      <w:r>
        <w:rPr>
          <w:sz w:val="24"/>
        </w:rPr>
        <w:t>clause 4A.C.3(a), the </w:t>
      </w:r>
      <w:r>
        <w:rPr>
          <w:i/>
          <w:sz w:val="24"/>
        </w:rPr>
        <w:t>AER </w:t>
      </w:r>
      <w:r>
        <w:rPr>
          <w:sz w:val="24"/>
        </w:rPr>
        <w:t>will </w:t>
      </w:r>
      <w:r>
        <w:rPr>
          <w:i/>
          <w:sz w:val="24"/>
        </w:rPr>
        <w:t>publish </w:t>
      </w:r>
      <w:r>
        <w:rPr>
          <w:sz w:val="24"/>
        </w:rPr>
        <w:t>on its website within 5 </w:t>
      </w:r>
      <w:r>
        <w:rPr>
          <w:i/>
          <w:sz w:val="24"/>
        </w:rPr>
        <w:t>business days </w:t>
      </w:r>
      <w:r>
        <w:rPr>
          <w:sz w:val="24"/>
        </w:rPr>
        <w:t>of that date that a T-1 reliability instrument cannot be made in respect of the related T-3 reliability</w:t>
      </w:r>
      <w:r>
        <w:rPr>
          <w:spacing w:val="-1"/>
          <w:sz w:val="24"/>
        </w:rPr>
        <w:t> </w:t>
      </w:r>
      <w:r>
        <w:rPr>
          <w:sz w:val="24"/>
        </w:rPr>
        <w:t>instrument.</w:t>
      </w:r>
    </w:p>
    <w:p>
      <w:pPr>
        <w:pStyle w:val="BodyText"/>
        <w:spacing w:before="10"/>
        <w:ind w:firstLine="0"/>
        <w:jc w:val="left"/>
        <w:rPr>
          <w:sz w:val="20"/>
        </w:rPr>
      </w:pPr>
    </w:p>
    <w:p>
      <w:pPr>
        <w:pStyle w:val="Heading4"/>
        <w:tabs>
          <w:tab w:pos="1351" w:val="left" w:leader="none"/>
        </w:tabs>
        <w:ind w:left="218" w:firstLine="0"/>
      </w:pPr>
      <w:bookmarkStart w:name="4A.C.6 Corrections to a request" w:id="133"/>
      <w:bookmarkEnd w:id="133"/>
      <w:r>
        <w:rPr>
          <w:b w:val="0"/>
        </w:rPr>
      </w:r>
      <w:bookmarkStart w:name="_bookmark50" w:id="134"/>
      <w:bookmarkEnd w:id="134"/>
      <w:r>
        <w:rPr>
          <w:b w:val="0"/>
        </w:rPr>
      </w:r>
      <w:r>
        <w:rPr/>
        <w:t>4A.C.6</w:t>
        <w:tab/>
        <w:t>Corrections to a</w:t>
      </w:r>
      <w:r>
        <w:rPr>
          <w:spacing w:val="-2"/>
        </w:rPr>
        <w:t> </w:t>
      </w:r>
      <w:r>
        <w:rPr/>
        <w:t>request</w:t>
      </w:r>
    </w:p>
    <w:p>
      <w:pPr>
        <w:pStyle w:val="ListParagraph"/>
        <w:numPr>
          <w:ilvl w:val="0"/>
          <w:numId w:val="72"/>
        </w:numPr>
        <w:tabs>
          <w:tab w:pos="1919" w:val="left" w:leader="none"/>
        </w:tabs>
        <w:spacing w:line="240" w:lineRule="auto" w:before="120" w:after="0"/>
        <w:ind w:left="1919" w:right="415" w:hanging="567"/>
        <w:jc w:val="both"/>
        <w:rPr>
          <w:sz w:val="24"/>
        </w:rPr>
      </w:pPr>
      <w:r>
        <w:rPr>
          <w:i/>
          <w:sz w:val="24"/>
        </w:rPr>
        <w:t>AEMO </w:t>
      </w:r>
      <w:r>
        <w:rPr>
          <w:sz w:val="24"/>
        </w:rPr>
        <w:t>may only correct a request for a reliability instrument under section 14J</w:t>
      </w:r>
      <w:r>
        <w:rPr>
          <w:spacing w:val="23"/>
          <w:sz w:val="24"/>
        </w:rPr>
        <w:t> </w:t>
      </w:r>
      <w:r>
        <w:rPr>
          <w:sz w:val="24"/>
        </w:rPr>
        <w:t>of</w:t>
      </w:r>
      <w:r>
        <w:rPr>
          <w:spacing w:val="24"/>
          <w:sz w:val="24"/>
        </w:rPr>
        <w:t> </w:t>
      </w:r>
      <w:r>
        <w:rPr>
          <w:sz w:val="24"/>
        </w:rPr>
        <w:t>the</w:t>
      </w:r>
      <w:r>
        <w:rPr>
          <w:spacing w:val="24"/>
          <w:sz w:val="24"/>
        </w:rPr>
        <w:t> </w:t>
      </w:r>
      <w:r>
        <w:rPr>
          <w:i/>
          <w:sz w:val="24"/>
        </w:rPr>
        <w:t>National</w:t>
      </w:r>
      <w:r>
        <w:rPr>
          <w:i/>
          <w:spacing w:val="23"/>
          <w:sz w:val="24"/>
        </w:rPr>
        <w:t> </w:t>
      </w:r>
      <w:r>
        <w:rPr>
          <w:i/>
          <w:sz w:val="24"/>
        </w:rPr>
        <w:t>Electricity</w:t>
      </w:r>
      <w:r>
        <w:rPr>
          <w:i/>
          <w:spacing w:val="24"/>
          <w:sz w:val="24"/>
        </w:rPr>
        <w:t> </w:t>
      </w:r>
      <w:r>
        <w:rPr>
          <w:i/>
          <w:sz w:val="24"/>
        </w:rPr>
        <w:t>Law</w:t>
      </w:r>
      <w:r>
        <w:rPr>
          <w:i/>
          <w:spacing w:val="24"/>
          <w:sz w:val="24"/>
        </w:rPr>
        <w:t> </w:t>
      </w:r>
      <w:r>
        <w:rPr>
          <w:sz w:val="24"/>
        </w:rPr>
        <w:t>within</w:t>
      </w:r>
      <w:r>
        <w:rPr>
          <w:spacing w:val="23"/>
          <w:sz w:val="24"/>
        </w:rPr>
        <w:t> </w:t>
      </w:r>
      <w:r>
        <w:rPr>
          <w:sz w:val="24"/>
        </w:rPr>
        <w:t>2</w:t>
      </w:r>
      <w:r>
        <w:rPr>
          <w:spacing w:val="24"/>
          <w:sz w:val="24"/>
        </w:rPr>
        <w:t> </w:t>
      </w:r>
      <w:r>
        <w:rPr>
          <w:sz w:val="24"/>
        </w:rPr>
        <w:t>weeks</w:t>
      </w:r>
      <w:r>
        <w:rPr>
          <w:spacing w:val="24"/>
          <w:sz w:val="24"/>
        </w:rPr>
        <w:t> </w:t>
      </w:r>
      <w:r>
        <w:rPr>
          <w:sz w:val="24"/>
        </w:rPr>
        <w:t>of</w:t>
      </w:r>
      <w:r>
        <w:rPr>
          <w:spacing w:val="24"/>
          <w:sz w:val="24"/>
        </w:rPr>
        <w:t> </w:t>
      </w:r>
      <w:r>
        <w:rPr>
          <w:sz w:val="24"/>
        </w:rPr>
        <w:t>the</w:t>
      </w:r>
      <w:r>
        <w:rPr>
          <w:spacing w:val="23"/>
          <w:sz w:val="24"/>
        </w:rPr>
        <w:t> </w:t>
      </w:r>
      <w:r>
        <w:rPr>
          <w:sz w:val="24"/>
        </w:rPr>
        <w:t>original</w:t>
      </w:r>
      <w:r>
        <w:rPr>
          <w:spacing w:val="24"/>
          <w:sz w:val="24"/>
        </w:rPr>
        <w:t> </w:t>
      </w:r>
      <w:r>
        <w:rPr>
          <w:sz w:val="24"/>
        </w:rPr>
        <w:t>request</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for the reliability instrument. </w:t>
      </w:r>
      <w:r>
        <w:rPr>
          <w:i/>
        </w:rPr>
        <w:t>AEMO </w:t>
      </w:r>
      <w:r>
        <w:rPr/>
        <w:t>must publish that corrected request on its website within 5 </w:t>
      </w:r>
      <w:r>
        <w:rPr>
          <w:i/>
        </w:rPr>
        <w:t>business days </w:t>
      </w:r>
      <w:r>
        <w:rPr/>
        <w:t>of its submission to the </w:t>
      </w:r>
      <w:r>
        <w:rPr>
          <w:i/>
        </w:rPr>
        <w:t>AER</w:t>
      </w:r>
      <w:r>
        <w:rPr/>
        <w:t>.</w:t>
      </w:r>
    </w:p>
    <w:p>
      <w:pPr>
        <w:pStyle w:val="ListParagraph"/>
        <w:numPr>
          <w:ilvl w:val="0"/>
          <w:numId w:val="72"/>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submits a corrected request to the </w:t>
      </w:r>
      <w:r>
        <w:rPr>
          <w:i/>
          <w:sz w:val="24"/>
        </w:rPr>
        <w:t>AER</w:t>
      </w:r>
      <w:r>
        <w:rPr>
          <w:sz w:val="24"/>
        </w:rPr>
        <w:t>, the </w:t>
      </w:r>
      <w:r>
        <w:rPr>
          <w:i/>
          <w:sz w:val="24"/>
        </w:rPr>
        <w:t>AER </w:t>
      </w:r>
      <w:r>
        <w:rPr>
          <w:sz w:val="24"/>
        </w:rPr>
        <w:t>must use reasonable endeavours to make a decision within the time required under clause 4A.C.9(c) but, if that is not practicable, the </w:t>
      </w:r>
      <w:r>
        <w:rPr>
          <w:i/>
          <w:sz w:val="24"/>
        </w:rPr>
        <w:t>AER </w:t>
      </w:r>
      <w:r>
        <w:rPr>
          <w:sz w:val="24"/>
        </w:rPr>
        <w:t>must only increase that timeframe to make a decision by the time elapsed between receiving </w:t>
      </w:r>
      <w:r>
        <w:rPr>
          <w:i/>
          <w:sz w:val="24"/>
        </w:rPr>
        <w:t>AEMO's </w:t>
      </w:r>
      <w:r>
        <w:rPr>
          <w:sz w:val="24"/>
        </w:rPr>
        <w:t>original request for the reliability instrument and receiving</w:t>
      </w:r>
      <w:r>
        <w:rPr>
          <w:spacing w:val="28"/>
          <w:sz w:val="24"/>
        </w:rPr>
        <w:t> </w:t>
      </w:r>
      <w:r>
        <w:rPr>
          <w:sz w:val="24"/>
        </w:rPr>
        <w:t>the corrected request under paragraph</w:t>
      </w:r>
      <w:r>
        <w:rPr>
          <w:spacing w:val="-1"/>
          <w:sz w:val="24"/>
        </w:rPr>
        <w:t> </w:t>
      </w:r>
      <w:r>
        <w:rPr>
          <w:sz w:val="24"/>
        </w:rPr>
        <w:t>(a).</w:t>
      </w:r>
    </w:p>
    <w:p>
      <w:pPr>
        <w:pStyle w:val="ListParagraph"/>
        <w:numPr>
          <w:ilvl w:val="0"/>
          <w:numId w:val="7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w:t>
      </w:r>
      <w:r>
        <w:rPr>
          <w:i/>
          <w:sz w:val="24"/>
        </w:rPr>
        <w:t>publish </w:t>
      </w:r>
      <w:r>
        <w:rPr>
          <w:sz w:val="24"/>
        </w:rPr>
        <w:t>on its website within 5 </w:t>
      </w:r>
      <w:r>
        <w:rPr>
          <w:i/>
          <w:sz w:val="24"/>
        </w:rPr>
        <w:t>business days </w:t>
      </w:r>
      <w:r>
        <w:rPr>
          <w:sz w:val="24"/>
        </w:rPr>
        <w:t>of receiving the corrected request under paragraph (a) the new timeframe for its decision under clause</w:t>
      </w:r>
      <w:r>
        <w:rPr>
          <w:spacing w:val="-2"/>
          <w:sz w:val="24"/>
        </w:rPr>
        <w:t> </w:t>
      </w:r>
      <w:r>
        <w:rPr>
          <w:sz w:val="24"/>
        </w:rPr>
        <w:t>4A.C.9(c).</w:t>
      </w:r>
    </w:p>
    <w:p>
      <w:pPr>
        <w:pStyle w:val="BodyText"/>
        <w:spacing w:before="10"/>
        <w:ind w:firstLine="0"/>
        <w:jc w:val="left"/>
        <w:rPr>
          <w:sz w:val="20"/>
        </w:rPr>
      </w:pPr>
    </w:p>
    <w:p>
      <w:pPr>
        <w:pStyle w:val="Heading4"/>
        <w:tabs>
          <w:tab w:pos="1351" w:val="left" w:leader="none"/>
        </w:tabs>
        <w:ind w:left="218" w:firstLine="0"/>
      </w:pPr>
      <w:bookmarkStart w:name="4A.C.7 Withdrawing a request" w:id="135"/>
      <w:bookmarkEnd w:id="135"/>
      <w:r>
        <w:rPr>
          <w:b w:val="0"/>
        </w:rPr>
      </w:r>
      <w:bookmarkStart w:name="_bookmark51" w:id="136"/>
      <w:bookmarkEnd w:id="136"/>
      <w:r>
        <w:rPr>
          <w:b w:val="0"/>
        </w:rPr>
      </w:r>
      <w:r>
        <w:rPr/>
        <w:t>4A.C.7</w:t>
        <w:tab/>
        <w:t>Withdrawing a</w:t>
      </w:r>
      <w:r>
        <w:rPr>
          <w:spacing w:val="-2"/>
        </w:rPr>
        <w:t> </w:t>
      </w:r>
      <w:r>
        <w:rPr/>
        <w:t>request</w:t>
      </w:r>
    </w:p>
    <w:p>
      <w:pPr>
        <w:pStyle w:val="ListParagraph"/>
        <w:numPr>
          <w:ilvl w:val="0"/>
          <w:numId w:val="73"/>
        </w:numPr>
        <w:tabs>
          <w:tab w:pos="1919" w:val="left" w:leader="none"/>
        </w:tabs>
        <w:spacing w:line="240" w:lineRule="auto" w:before="120" w:after="0"/>
        <w:ind w:left="1919" w:right="415" w:hanging="567"/>
        <w:jc w:val="both"/>
        <w:rPr>
          <w:sz w:val="24"/>
        </w:rPr>
      </w:pPr>
      <w:r>
        <w:rPr>
          <w:i/>
          <w:sz w:val="24"/>
        </w:rPr>
        <w:t>AEMO </w:t>
      </w:r>
      <w:r>
        <w:rPr>
          <w:sz w:val="24"/>
        </w:rPr>
        <w:t>may withdraw a request for a reliability instrument if there is </w:t>
      </w:r>
      <w:r>
        <w:rPr>
          <w:spacing w:val="-11"/>
          <w:sz w:val="24"/>
        </w:rPr>
        <w:t>a </w:t>
      </w:r>
      <w:r>
        <w:rPr>
          <w:sz w:val="24"/>
        </w:rPr>
        <w:t>material error in the </w:t>
      </w:r>
      <w:r>
        <w:rPr>
          <w:i/>
          <w:sz w:val="24"/>
        </w:rPr>
        <w:t>reliability</w:t>
      </w:r>
      <w:r>
        <w:rPr>
          <w:i/>
          <w:spacing w:val="-1"/>
          <w:sz w:val="24"/>
        </w:rPr>
        <w:t> </w:t>
      </w:r>
      <w:r>
        <w:rPr>
          <w:i/>
          <w:sz w:val="24"/>
        </w:rPr>
        <w:t>forecast</w:t>
      </w:r>
      <w:r>
        <w:rPr>
          <w:sz w:val="24"/>
        </w:rPr>
        <w:t>.</w:t>
      </w:r>
    </w:p>
    <w:p>
      <w:pPr>
        <w:pStyle w:val="ListParagraph"/>
        <w:numPr>
          <w:ilvl w:val="0"/>
          <w:numId w:val="73"/>
        </w:numPr>
        <w:tabs>
          <w:tab w:pos="1919" w:val="left" w:leader="none"/>
        </w:tabs>
        <w:spacing w:line="240" w:lineRule="auto" w:before="120" w:after="0"/>
        <w:ind w:left="1919" w:right="416" w:hanging="567"/>
        <w:jc w:val="both"/>
        <w:rPr>
          <w:sz w:val="24"/>
        </w:rPr>
      </w:pPr>
      <w:r>
        <w:rPr>
          <w:sz w:val="24"/>
        </w:rPr>
        <w:t>If </w:t>
      </w:r>
      <w:r>
        <w:rPr>
          <w:i/>
          <w:sz w:val="24"/>
        </w:rPr>
        <w:t>AEMO </w:t>
      </w:r>
      <w:r>
        <w:rPr>
          <w:sz w:val="24"/>
        </w:rPr>
        <w:t>withdraws a request for a reliability instrument under paragraph (a), </w:t>
      </w:r>
      <w:r>
        <w:rPr>
          <w:i/>
          <w:sz w:val="24"/>
        </w:rPr>
        <w:t>AEMO </w:t>
      </w:r>
      <w:r>
        <w:rPr>
          <w:sz w:val="24"/>
        </w:rPr>
        <w:t>must provide written notice of the withdrawal to the </w:t>
      </w:r>
      <w:r>
        <w:rPr>
          <w:i/>
          <w:sz w:val="24"/>
        </w:rPr>
        <w:t>AER </w:t>
      </w:r>
      <w:r>
        <w:rPr>
          <w:sz w:val="24"/>
        </w:rPr>
        <w:t>and publish that withdrawal notice within 5 </w:t>
      </w:r>
      <w:r>
        <w:rPr>
          <w:i/>
          <w:sz w:val="24"/>
        </w:rPr>
        <w:t>business days </w:t>
      </w:r>
      <w:r>
        <w:rPr>
          <w:sz w:val="24"/>
        </w:rPr>
        <w:t>of its submission to the </w:t>
      </w:r>
      <w:r>
        <w:rPr>
          <w:i/>
          <w:sz w:val="24"/>
        </w:rPr>
        <w:t>AER</w:t>
      </w:r>
      <w:r>
        <w:rPr>
          <w:sz w:val="24"/>
        </w:rPr>
        <w:t>.</w:t>
      </w:r>
    </w:p>
    <w:p>
      <w:pPr>
        <w:pStyle w:val="ListParagraph"/>
        <w:numPr>
          <w:ilvl w:val="0"/>
          <w:numId w:val="73"/>
        </w:numPr>
        <w:tabs>
          <w:tab w:pos="1919" w:val="left" w:leader="none"/>
        </w:tabs>
        <w:spacing w:line="240" w:lineRule="auto" w:before="120" w:after="0"/>
        <w:ind w:left="1919" w:right="415" w:hanging="567"/>
        <w:jc w:val="both"/>
        <w:rPr>
          <w:sz w:val="24"/>
        </w:rPr>
      </w:pPr>
      <w:r>
        <w:rPr>
          <w:i/>
          <w:sz w:val="24"/>
        </w:rPr>
        <w:t>AEMO </w:t>
      </w:r>
      <w:r>
        <w:rPr>
          <w:sz w:val="24"/>
        </w:rPr>
        <w:t>may issue a withdrawal notice at any time prior to the </w:t>
      </w:r>
      <w:r>
        <w:rPr>
          <w:i/>
          <w:sz w:val="24"/>
        </w:rPr>
        <w:t>AER </w:t>
      </w:r>
      <w:r>
        <w:rPr>
          <w:sz w:val="24"/>
        </w:rPr>
        <w:t>making its decision under clause 4A.C.9 as to whether or not to make the reliability instrument</w:t>
      </w:r>
      <w:r>
        <w:rPr>
          <w:spacing w:val="-1"/>
          <w:sz w:val="24"/>
        </w:rPr>
        <w:t> </w:t>
      </w:r>
      <w:r>
        <w:rPr>
          <w:sz w:val="24"/>
        </w:rPr>
        <w:t>requested.</w:t>
      </w:r>
    </w:p>
    <w:p>
      <w:pPr>
        <w:pStyle w:val="ListParagraph"/>
        <w:numPr>
          <w:ilvl w:val="0"/>
          <w:numId w:val="73"/>
        </w:numPr>
        <w:tabs>
          <w:tab w:pos="1919" w:val="left" w:leader="none"/>
        </w:tabs>
        <w:spacing w:line="240" w:lineRule="auto" w:before="120" w:after="0"/>
        <w:ind w:left="1919" w:right="415" w:hanging="567"/>
        <w:jc w:val="both"/>
        <w:rPr>
          <w:sz w:val="24"/>
        </w:rPr>
      </w:pPr>
      <w:r>
        <w:rPr>
          <w:sz w:val="24"/>
        </w:rPr>
        <w:t>Subject to complying with the requirements of this Division 1, </w:t>
      </w:r>
      <w:r>
        <w:rPr>
          <w:i/>
          <w:sz w:val="24"/>
        </w:rPr>
        <w:t>AEMO </w:t>
      </w:r>
      <w:r>
        <w:rPr>
          <w:sz w:val="24"/>
        </w:rPr>
        <w:t>may make another request for a reliability instrument in respect of a </w:t>
      </w:r>
      <w:r>
        <w:rPr>
          <w:i/>
          <w:sz w:val="24"/>
        </w:rPr>
        <w:t>forecast </w:t>
      </w:r>
      <w:r>
        <w:rPr>
          <w:i/>
          <w:sz w:val="24"/>
        </w:rPr>
        <w:t>reliability gap </w:t>
      </w:r>
      <w:r>
        <w:rPr>
          <w:sz w:val="24"/>
        </w:rPr>
        <w:t>within the same forecast reliability gap period that was the subject of a withdrawn</w:t>
      </w:r>
      <w:r>
        <w:rPr>
          <w:spacing w:val="-3"/>
          <w:sz w:val="24"/>
        </w:rPr>
        <w:t> </w:t>
      </w:r>
      <w:r>
        <w:rPr>
          <w:sz w:val="24"/>
        </w:rPr>
        <w:t>request.</w:t>
      </w:r>
    </w:p>
    <w:p>
      <w:pPr>
        <w:pStyle w:val="BodyText"/>
        <w:spacing w:before="10"/>
        <w:ind w:firstLine="0"/>
        <w:jc w:val="left"/>
        <w:rPr>
          <w:sz w:val="20"/>
        </w:rPr>
      </w:pPr>
    </w:p>
    <w:p>
      <w:pPr>
        <w:pStyle w:val="Heading3"/>
        <w:tabs>
          <w:tab w:pos="1656" w:val="left" w:leader="none"/>
        </w:tabs>
        <w:ind w:left="218" w:firstLine="0"/>
      </w:pPr>
      <w:bookmarkStart w:name="Division 2 AER making of a reliability i" w:id="137"/>
      <w:bookmarkEnd w:id="137"/>
      <w:r>
        <w:rPr>
          <w:b w:val="0"/>
        </w:rPr>
      </w:r>
      <w:bookmarkStart w:name="_bookmark52" w:id="138"/>
      <w:bookmarkEnd w:id="138"/>
      <w:r>
        <w:rPr>
          <w:b w:val="0"/>
        </w:rPr>
      </w:r>
      <w:r>
        <w:rPr/>
        <w:t>Division</w:t>
      </w:r>
      <w:r>
        <w:rPr>
          <w:spacing w:val="-4"/>
        </w:rPr>
        <w:t> </w:t>
      </w:r>
      <w:r>
        <w:rPr/>
        <w:t>2</w:t>
        <w:tab/>
        <w:t>AER making of a reliability</w:t>
      </w:r>
      <w:r>
        <w:rPr>
          <w:spacing w:val="-5"/>
        </w:rPr>
        <w:t> </w:t>
      </w:r>
      <w:r>
        <w:rPr/>
        <w:t>instrument</w:t>
      </w:r>
    </w:p>
    <w:p>
      <w:pPr>
        <w:pStyle w:val="Heading4"/>
        <w:tabs>
          <w:tab w:pos="1351" w:val="left" w:leader="none"/>
        </w:tabs>
        <w:spacing w:before="240"/>
        <w:ind w:left="218" w:firstLine="0"/>
      </w:pPr>
      <w:bookmarkStart w:name="4A.C.8 AER making of a reliability instr" w:id="139"/>
      <w:bookmarkEnd w:id="139"/>
      <w:r>
        <w:rPr>
          <w:b w:val="0"/>
        </w:rPr>
      </w:r>
      <w:bookmarkStart w:name="_bookmark53" w:id="140"/>
      <w:bookmarkEnd w:id="140"/>
      <w:r>
        <w:rPr>
          <w:b w:val="0"/>
        </w:rPr>
      </w:r>
      <w:r>
        <w:rPr/>
        <w:t>4A.C.8</w:t>
        <w:tab/>
        <w:t>AER making of a reliability</w:t>
      </w:r>
      <w:r>
        <w:rPr>
          <w:spacing w:val="-3"/>
        </w:rPr>
        <w:t> </w:t>
      </w:r>
      <w:r>
        <w:rPr/>
        <w:t>instrument</w:t>
      </w:r>
    </w:p>
    <w:p>
      <w:pPr>
        <w:pStyle w:val="BodyText"/>
        <w:ind w:left="1352" w:right="415" w:firstLine="0"/>
      </w:pPr>
      <w:r>
        <w:rPr/>
        <w:t>If </w:t>
      </w:r>
      <w:r>
        <w:rPr>
          <w:i/>
        </w:rPr>
        <w:t>AEMO </w:t>
      </w:r>
      <w:r>
        <w:rPr/>
        <w:t>requests the </w:t>
      </w:r>
      <w:r>
        <w:rPr>
          <w:i/>
        </w:rPr>
        <w:t>AER </w:t>
      </w:r>
      <w:r>
        <w:rPr/>
        <w:t>to make a reliability instrument and the request has not been withdrawn under clause 4A.C.7, the </w:t>
      </w:r>
      <w:r>
        <w:rPr>
          <w:i/>
        </w:rPr>
        <w:t>AER </w:t>
      </w:r>
      <w:r>
        <w:rPr/>
        <w:t>must consider the request and make or not make a reliability instrument in accordance with section 14K of the </w:t>
      </w:r>
      <w:r>
        <w:rPr>
          <w:i/>
        </w:rPr>
        <w:t>National Electricity Law </w:t>
      </w:r>
      <w:r>
        <w:rPr/>
        <w:t>and the requirements of this Part C, Division</w:t>
      </w:r>
      <w:r>
        <w:rPr>
          <w:spacing w:val="-8"/>
        </w:rPr>
        <w:t> </w:t>
      </w:r>
      <w:r>
        <w:rPr/>
        <w:t>2.</w:t>
      </w:r>
    </w:p>
    <w:p>
      <w:pPr>
        <w:pStyle w:val="BodyText"/>
        <w:spacing w:before="10"/>
        <w:ind w:firstLine="0"/>
        <w:jc w:val="left"/>
        <w:rPr>
          <w:sz w:val="20"/>
        </w:rPr>
      </w:pPr>
    </w:p>
    <w:p>
      <w:pPr>
        <w:pStyle w:val="Heading4"/>
        <w:tabs>
          <w:tab w:pos="1351" w:val="left" w:leader="none"/>
        </w:tabs>
        <w:ind w:left="218" w:firstLine="0"/>
      </w:pPr>
      <w:bookmarkStart w:name="4A.C.9 When a decision by the AER must b" w:id="141"/>
      <w:bookmarkEnd w:id="141"/>
      <w:r>
        <w:rPr>
          <w:b w:val="0"/>
        </w:rPr>
      </w:r>
      <w:bookmarkStart w:name="_bookmark54" w:id="142"/>
      <w:bookmarkEnd w:id="142"/>
      <w:r>
        <w:rPr>
          <w:b w:val="0"/>
        </w:rPr>
      </w:r>
      <w:r>
        <w:rPr/>
        <w:t>4A.C.9</w:t>
        <w:tab/>
        <w:t>When a decision by the AER must be</w:t>
      </w:r>
      <w:r>
        <w:rPr>
          <w:spacing w:val="-5"/>
        </w:rPr>
        <w:t> </w:t>
      </w:r>
      <w:r>
        <w:rPr/>
        <w:t>made</w:t>
      </w:r>
    </w:p>
    <w:p>
      <w:pPr>
        <w:pStyle w:val="BodyText"/>
        <w:ind w:left="1352" w:firstLine="0"/>
        <w:jc w:val="left"/>
        <w:rPr>
          <w:i/>
        </w:rPr>
      </w:pPr>
      <w:r>
        <w:rPr/>
        <w:t>If </w:t>
      </w:r>
      <w:r>
        <w:rPr>
          <w:i/>
        </w:rPr>
        <w:t>AEMO </w:t>
      </w:r>
      <w:r>
        <w:rPr/>
        <w:t>makes a request for the </w:t>
      </w:r>
      <w:r>
        <w:rPr>
          <w:i/>
        </w:rPr>
        <w:t>AER </w:t>
      </w:r>
      <w:r>
        <w:rPr/>
        <w:t>to make a reliability instrument, the </w:t>
      </w:r>
      <w:r>
        <w:rPr>
          <w:i/>
        </w:rPr>
        <w:t>AER</w:t>
      </w:r>
    </w:p>
    <w:p>
      <w:pPr>
        <w:pStyle w:val="BodyText"/>
        <w:spacing w:before="0"/>
        <w:ind w:left="1352" w:firstLine="0"/>
        <w:jc w:val="left"/>
      </w:pPr>
      <w:r>
        <w:rPr/>
        <w:t>must:</w:t>
      </w:r>
    </w:p>
    <w:p>
      <w:pPr>
        <w:pStyle w:val="ListParagraph"/>
        <w:numPr>
          <w:ilvl w:val="0"/>
          <w:numId w:val="74"/>
        </w:numPr>
        <w:tabs>
          <w:tab w:pos="1918" w:val="left" w:leader="none"/>
          <w:tab w:pos="1919" w:val="left" w:leader="none"/>
        </w:tabs>
        <w:spacing w:line="240" w:lineRule="auto" w:before="120" w:after="0"/>
        <w:ind w:left="1919" w:right="415" w:hanging="567"/>
        <w:jc w:val="left"/>
        <w:rPr>
          <w:sz w:val="24"/>
        </w:rPr>
      </w:pPr>
      <w:r>
        <w:rPr>
          <w:sz w:val="24"/>
        </w:rPr>
        <w:t>in making its decision as to whether to make or not make the reliability instrument, consider the criteria set out in clause</w:t>
      </w:r>
      <w:r>
        <w:rPr>
          <w:spacing w:val="-3"/>
          <w:sz w:val="24"/>
        </w:rPr>
        <w:t> </w:t>
      </w:r>
      <w:r>
        <w:rPr>
          <w:sz w:val="24"/>
        </w:rPr>
        <w:t>4A.C.11;</w:t>
      </w:r>
    </w:p>
    <w:p>
      <w:pPr>
        <w:pStyle w:val="ListParagraph"/>
        <w:numPr>
          <w:ilvl w:val="0"/>
          <w:numId w:val="74"/>
        </w:numPr>
        <w:tabs>
          <w:tab w:pos="1918" w:val="left" w:leader="none"/>
          <w:tab w:pos="1919" w:val="left" w:leader="none"/>
        </w:tabs>
        <w:spacing w:line="240" w:lineRule="auto" w:before="120" w:after="0"/>
        <w:ind w:left="1919" w:right="416" w:hanging="567"/>
        <w:jc w:val="left"/>
        <w:rPr>
          <w:sz w:val="24"/>
        </w:rPr>
      </w:pPr>
      <w:r>
        <w:rPr>
          <w:sz w:val="24"/>
        </w:rPr>
        <w:t>consult with stakeholders in accordance with the Reliability Instrument Guidelines;</w:t>
      </w:r>
      <w:r>
        <w:rPr>
          <w:spacing w:val="-2"/>
          <w:sz w:val="24"/>
        </w:rPr>
        <w:t> </w:t>
      </w:r>
      <w:r>
        <w:rPr>
          <w:sz w:val="24"/>
        </w:rPr>
        <w:t>and</w:t>
      </w:r>
    </w:p>
    <w:p>
      <w:pPr>
        <w:pStyle w:val="ListParagraph"/>
        <w:numPr>
          <w:ilvl w:val="0"/>
          <w:numId w:val="74"/>
        </w:numPr>
        <w:tabs>
          <w:tab w:pos="1918" w:val="left" w:leader="none"/>
          <w:tab w:pos="1919" w:val="left" w:leader="none"/>
        </w:tabs>
        <w:spacing w:line="240" w:lineRule="auto" w:before="120" w:after="0"/>
        <w:ind w:left="1919" w:right="415" w:hanging="567"/>
        <w:jc w:val="left"/>
        <w:rPr>
          <w:sz w:val="24"/>
        </w:rPr>
      </w:pPr>
      <w:r>
        <w:rPr>
          <w:sz w:val="24"/>
        </w:rPr>
        <w:t>subject to clause 4A.C.6(b), within 2 months of receiving </w:t>
      </w:r>
      <w:r>
        <w:rPr>
          <w:i/>
          <w:sz w:val="24"/>
        </w:rPr>
        <w:t>AEMO's </w:t>
      </w:r>
      <w:r>
        <w:rPr>
          <w:sz w:val="24"/>
        </w:rPr>
        <w:t>request for a reliability</w:t>
      </w:r>
      <w:r>
        <w:rPr>
          <w:spacing w:val="-1"/>
          <w:sz w:val="24"/>
        </w:rPr>
        <w:t> </w:t>
      </w:r>
      <w:r>
        <w:rPr>
          <w:sz w:val="24"/>
        </w:rPr>
        <w:t>instrument:</w:t>
      </w:r>
    </w:p>
    <w:p>
      <w:pPr>
        <w:pStyle w:val="ListParagraph"/>
        <w:numPr>
          <w:ilvl w:val="1"/>
          <w:numId w:val="74"/>
        </w:numPr>
        <w:tabs>
          <w:tab w:pos="2485" w:val="left" w:leader="none"/>
          <w:tab w:pos="2486" w:val="left" w:leader="none"/>
        </w:tabs>
        <w:spacing w:line="240" w:lineRule="auto" w:before="120" w:after="0"/>
        <w:ind w:left="2485" w:right="0" w:hanging="567"/>
        <w:jc w:val="left"/>
        <w:rPr>
          <w:sz w:val="24"/>
        </w:rPr>
      </w:pPr>
      <w:r>
        <w:rPr>
          <w:sz w:val="24"/>
        </w:rPr>
        <w:t>decide to make or not make a reliability instrument;</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74"/>
        </w:numPr>
        <w:tabs>
          <w:tab w:pos="2485" w:val="left" w:leader="none"/>
          <w:tab w:pos="2486" w:val="left" w:leader="none"/>
        </w:tabs>
        <w:spacing w:line="240" w:lineRule="auto" w:before="83" w:after="0"/>
        <w:ind w:left="2486" w:right="414" w:hanging="567"/>
        <w:jc w:val="left"/>
        <w:rPr>
          <w:sz w:val="24"/>
        </w:rPr>
      </w:pPr>
      <w:r>
        <w:rPr>
          <w:i/>
          <w:sz w:val="24"/>
        </w:rPr>
        <w:t>publish </w:t>
      </w:r>
      <w:r>
        <w:rPr>
          <w:sz w:val="24"/>
        </w:rPr>
        <w:t>its reasons for the decision and, if applicable, the reliability instrument.</w:t>
      </w:r>
    </w:p>
    <w:p>
      <w:pPr>
        <w:spacing w:before="120"/>
        <w:ind w:left="1919" w:right="0" w:firstLine="0"/>
        <w:jc w:val="left"/>
        <w:rPr>
          <w:rFonts w:ascii="Arial"/>
          <w:b/>
          <w:sz w:val="20"/>
        </w:rPr>
      </w:pPr>
      <w:r>
        <w:rPr>
          <w:rFonts w:ascii="Arial"/>
          <w:b/>
          <w:sz w:val="20"/>
        </w:rPr>
        <w:t>Note</w:t>
      </w:r>
    </w:p>
    <w:p>
      <w:pPr>
        <w:spacing w:before="120"/>
        <w:ind w:left="1919" w:right="415" w:firstLine="0"/>
        <w:jc w:val="left"/>
        <w:rPr>
          <w:sz w:val="20"/>
        </w:rPr>
      </w:pPr>
      <w:r>
        <w:rPr>
          <w:sz w:val="20"/>
        </w:rPr>
        <w:t>Section 14K(5) of the </w:t>
      </w:r>
      <w:r>
        <w:rPr>
          <w:i/>
          <w:sz w:val="20"/>
        </w:rPr>
        <w:t>National Electricity Law </w:t>
      </w:r>
      <w:r>
        <w:rPr>
          <w:sz w:val="20"/>
        </w:rPr>
        <w:t>states that a reliability instrument takes effect when it is published on the </w:t>
      </w:r>
      <w:r>
        <w:rPr>
          <w:i/>
          <w:sz w:val="20"/>
        </w:rPr>
        <w:t>AER’</w:t>
      </w:r>
      <w:r>
        <w:rPr>
          <w:sz w:val="20"/>
        </w:rPr>
        <w:t>s website.</w:t>
      </w:r>
    </w:p>
    <w:p>
      <w:pPr>
        <w:pStyle w:val="BodyText"/>
        <w:spacing w:before="10"/>
        <w:ind w:firstLine="0"/>
        <w:jc w:val="left"/>
        <w:rPr>
          <w:sz w:val="20"/>
        </w:rPr>
      </w:pPr>
    </w:p>
    <w:p>
      <w:pPr>
        <w:pStyle w:val="Heading4"/>
        <w:tabs>
          <w:tab w:pos="1351" w:val="left" w:leader="none"/>
        </w:tabs>
        <w:ind w:left="218" w:firstLine="0"/>
      </w:pPr>
      <w:bookmarkStart w:name="4A.C.10 T-1 reliability instrument compo" w:id="143"/>
      <w:bookmarkEnd w:id="143"/>
      <w:r>
        <w:rPr>
          <w:b w:val="0"/>
        </w:rPr>
      </w:r>
      <w:bookmarkStart w:name="_bookmark55" w:id="144"/>
      <w:bookmarkEnd w:id="144"/>
      <w:r>
        <w:rPr>
          <w:b w:val="0"/>
        </w:rPr>
      </w:r>
      <w:r>
        <w:rPr/>
        <w:t>4A.C.10</w:t>
        <w:tab/>
        <w:t>T-1 reliability instrument</w:t>
      </w:r>
      <w:r>
        <w:rPr>
          <w:spacing w:val="-1"/>
        </w:rPr>
        <w:t> </w:t>
      </w:r>
      <w:r>
        <w:rPr/>
        <w:t>components</w:t>
      </w:r>
    </w:p>
    <w:p>
      <w:pPr>
        <w:pStyle w:val="BodyText"/>
        <w:ind w:left="1352" w:firstLine="0"/>
      </w:pPr>
      <w:r>
        <w:rPr/>
        <w:t>If the </w:t>
      </w:r>
      <w:r>
        <w:rPr>
          <w:i/>
        </w:rPr>
        <w:t>AER </w:t>
      </w:r>
      <w:r>
        <w:rPr/>
        <w:t>makes a T-1 reliability instrument, the </w:t>
      </w:r>
      <w:r>
        <w:rPr>
          <w:i/>
        </w:rPr>
        <w:t>AER</w:t>
      </w:r>
      <w:r>
        <w:rPr/>
        <w:t>:</w:t>
      </w:r>
    </w:p>
    <w:p>
      <w:pPr>
        <w:pStyle w:val="ListParagraph"/>
        <w:numPr>
          <w:ilvl w:val="0"/>
          <w:numId w:val="75"/>
        </w:numPr>
        <w:tabs>
          <w:tab w:pos="1919" w:val="left" w:leader="none"/>
        </w:tabs>
        <w:spacing w:line="240" w:lineRule="auto" w:before="120" w:after="0"/>
        <w:ind w:left="1919" w:right="416" w:hanging="567"/>
        <w:jc w:val="both"/>
        <w:rPr>
          <w:sz w:val="24"/>
        </w:rPr>
      </w:pPr>
      <w:r>
        <w:rPr>
          <w:sz w:val="24"/>
        </w:rPr>
        <w:t>must state the information required under section 14K(4)(a) of the </w:t>
      </w:r>
      <w:r>
        <w:rPr>
          <w:i/>
          <w:sz w:val="24"/>
        </w:rPr>
        <w:t>National </w:t>
      </w:r>
      <w:r>
        <w:rPr>
          <w:i/>
          <w:sz w:val="24"/>
        </w:rPr>
        <w:t>Electricity</w:t>
      </w:r>
      <w:r>
        <w:rPr>
          <w:i/>
          <w:spacing w:val="-1"/>
          <w:sz w:val="24"/>
        </w:rPr>
        <w:t> </w:t>
      </w:r>
      <w:r>
        <w:rPr>
          <w:i/>
          <w:sz w:val="24"/>
        </w:rPr>
        <w:t>Law</w:t>
      </w:r>
      <w:r>
        <w:rPr>
          <w:sz w:val="24"/>
        </w:rPr>
        <w:t>;</w:t>
      </w:r>
    </w:p>
    <w:p>
      <w:pPr>
        <w:pStyle w:val="ListParagraph"/>
        <w:numPr>
          <w:ilvl w:val="0"/>
          <w:numId w:val="75"/>
        </w:numPr>
        <w:tabs>
          <w:tab w:pos="1919" w:val="left" w:leader="none"/>
        </w:tabs>
        <w:spacing w:line="240" w:lineRule="auto" w:before="120" w:after="0"/>
        <w:ind w:left="1919" w:right="416" w:hanging="567"/>
        <w:jc w:val="both"/>
        <w:rPr>
          <w:sz w:val="24"/>
        </w:rPr>
      </w:pPr>
      <w:r>
        <w:rPr>
          <w:sz w:val="24"/>
        </w:rPr>
        <w:t>must set the contract position day, which must be a day in the period which starts 7 days before the T-1 cut-off day and ends on that day</w:t>
      </w:r>
      <w:r>
        <w:rPr>
          <w:spacing w:val="-7"/>
          <w:sz w:val="24"/>
        </w:rPr>
        <w:t> </w:t>
      </w:r>
      <w:r>
        <w:rPr>
          <w:sz w:val="24"/>
        </w:rPr>
        <w:t>(inclusive);</w:t>
      </w:r>
    </w:p>
    <w:p>
      <w:pPr>
        <w:pStyle w:val="ListParagraph"/>
        <w:numPr>
          <w:ilvl w:val="0"/>
          <w:numId w:val="75"/>
        </w:numPr>
        <w:tabs>
          <w:tab w:pos="1919" w:val="left" w:leader="none"/>
        </w:tabs>
        <w:spacing w:line="240" w:lineRule="auto" w:before="120" w:after="0"/>
        <w:ind w:left="1919" w:right="415" w:hanging="567"/>
        <w:jc w:val="both"/>
        <w:rPr>
          <w:sz w:val="24"/>
        </w:rPr>
      </w:pPr>
      <w:r>
        <w:rPr>
          <w:sz w:val="24"/>
        </w:rPr>
        <w:t>must set a new entrant contract position day, which day must be after the first day of the </w:t>
      </w:r>
      <w:r>
        <w:rPr>
          <w:i/>
          <w:sz w:val="24"/>
        </w:rPr>
        <w:t>reliability gap period</w:t>
      </w:r>
      <w:r>
        <w:rPr>
          <w:sz w:val="24"/>
        </w:rPr>
        <w:t>;</w:t>
      </w:r>
      <w:r>
        <w:rPr>
          <w:spacing w:val="-2"/>
          <w:sz w:val="24"/>
        </w:rPr>
        <w:t> </w:t>
      </w:r>
      <w:r>
        <w:rPr>
          <w:sz w:val="24"/>
        </w:rPr>
        <w:t>and</w:t>
      </w:r>
    </w:p>
    <w:p>
      <w:pPr>
        <w:pStyle w:val="ListParagraph"/>
        <w:numPr>
          <w:ilvl w:val="0"/>
          <w:numId w:val="75"/>
        </w:numPr>
        <w:tabs>
          <w:tab w:pos="1919" w:val="left" w:leader="none"/>
        </w:tabs>
        <w:spacing w:line="240" w:lineRule="auto" w:before="120" w:after="0"/>
        <w:ind w:left="1919" w:right="415" w:hanging="567"/>
        <w:jc w:val="both"/>
        <w:rPr>
          <w:sz w:val="24"/>
        </w:rPr>
      </w:pPr>
      <w:r>
        <w:rPr>
          <w:sz w:val="24"/>
        </w:rPr>
        <w:t>must not set a reporting day within 2 months of the contract position day or, for new entrants, within 10 </w:t>
      </w:r>
      <w:r>
        <w:rPr>
          <w:i/>
          <w:sz w:val="24"/>
        </w:rPr>
        <w:t>business days </w:t>
      </w:r>
      <w:r>
        <w:rPr>
          <w:sz w:val="24"/>
        </w:rPr>
        <w:t>of the new entrant </w:t>
      </w:r>
      <w:r>
        <w:rPr>
          <w:spacing w:val="-3"/>
          <w:sz w:val="24"/>
        </w:rPr>
        <w:t>contract </w:t>
      </w:r>
      <w:r>
        <w:rPr>
          <w:sz w:val="24"/>
        </w:rPr>
        <w:t>position day.</w:t>
      </w:r>
    </w:p>
    <w:p>
      <w:pPr>
        <w:pStyle w:val="BodyText"/>
        <w:spacing w:before="10"/>
        <w:ind w:firstLine="0"/>
        <w:jc w:val="left"/>
        <w:rPr>
          <w:sz w:val="20"/>
        </w:rPr>
      </w:pPr>
    </w:p>
    <w:p>
      <w:pPr>
        <w:pStyle w:val="Heading4"/>
        <w:tabs>
          <w:tab w:pos="1351" w:val="left" w:leader="none"/>
        </w:tabs>
        <w:ind w:left="218" w:firstLine="0"/>
      </w:pPr>
      <w:bookmarkStart w:name="4A.C.11 AER decision making criteria" w:id="145"/>
      <w:bookmarkEnd w:id="145"/>
      <w:r>
        <w:rPr>
          <w:b w:val="0"/>
        </w:rPr>
      </w:r>
      <w:bookmarkStart w:name="_bookmark56" w:id="146"/>
      <w:bookmarkEnd w:id="146"/>
      <w:r>
        <w:rPr>
          <w:b w:val="0"/>
        </w:rPr>
      </w:r>
      <w:r>
        <w:rPr/>
        <w:t>4A.C.11</w:t>
        <w:tab/>
        <w:t>AER decision making</w:t>
      </w:r>
      <w:r>
        <w:rPr>
          <w:spacing w:val="-3"/>
        </w:rPr>
        <w:t> </w:t>
      </w:r>
      <w:r>
        <w:rPr/>
        <w:t>criteria</w:t>
      </w:r>
    </w:p>
    <w:p>
      <w:pPr>
        <w:pStyle w:val="BodyText"/>
        <w:ind w:left="1352" w:right="414" w:firstLine="0"/>
      </w:pPr>
      <w:r>
        <w:rPr/>
        <w:t>For the purposes of section 14K(3)(a)(ii) of the </w:t>
      </w:r>
      <w:r>
        <w:rPr>
          <w:i/>
        </w:rPr>
        <w:t>National Electricity Law</w:t>
      </w:r>
      <w:r>
        <w:rPr/>
        <w:t>, in considering whether it is appropriate in the circumstances to make a reliability instrument, the </w:t>
      </w:r>
      <w:r>
        <w:rPr>
          <w:i/>
        </w:rPr>
        <w:t>AER </w:t>
      </w:r>
      <w:r>
        <w:rPr/>
        <w:t>must only have regard to the following criteria:</w:t>
      </w:r>
    </w:p>
    <w:p>
      <w:pPr>
        <w:pStyle w:val="ListParagraph"/>
        <w:numPr>
          <w:ilvl w:val="0"/>
          <w:numId w:val="76"/>
        </w:numPr>
        <w:tabs>
          <w:tab w:pos="1919" w:val="left" w:leader="none"/>
        </w:tabs>
        <w:spacing w:line="240" w:lineRule="auto" w:before="120" w:after="0"/>
        <w:ind w:left="1919" w:right="414" w:hanging="567"/>
        <w:jc w:val="both"/>
        <w:rPr>
          <w:sz w:val="24"/>
        </w:rPr>
      </w:pPr>
      <w:r>
        <w:rPr>
          <w:sz w:val="24"/>
        </w:rPr>
        <w:t>there are no material errors in </w:t>
      </w:r>
      <w:r>
        <w:rPr>
          <w:i/>
          <w:sz w:val="24"/>
        </w:rPr>
        <w:t>AEMO's </w:t>
      </w:r>
      <w:r>
        <w:rPr>
          <w:sz w:val="24"/>
        </w:rPr>
        <w:t>calculations or input data as it relates to the </w:t>
      </w:r>
      <w:r>
        <w:rPr>
          <w:i/>
          <w:sz w:val="24"/>
        </w:rPr>
        <w:t>reliability</w:t>
      </w:r>
      <w:r>
        <w:rPr>
          <w:i/>
          <w:spacing w:val="-2"/>
          <w:sz w:val="24"/>
        </w:rPr>
        <w:t> </w:t>
      </w:r>
      <w:r>
        <w:rPr>
          <w:i/>
          <w:sz w:val="24"/>
        </w:rPr>
        <w:t>forecast</w:t>
      </w:r>
      <w:r>
        <w:rPr>
          <w:sz w:val="24"/>
        </w:rPr>
        <w:t>;</w:t>
      </w:r>
    </w:p>
    <w:p>
      <w:pPr>
        <w:pStyle w:val="ListParagraph"/>
        <w:numPr>
          <w:ilvl w:val="0"/>
          <w:numId w:val="76"/>
        </w:numPr>
        <w:tabs>
          <w:tab w:pos="1919" w:val="left" w:leader="none"/>
        </w:tabs>
        <w:spacing w:line="240" w:lineRule="auto" w:before="120" w:after="0"/>
        <w:ind w:left="1919" w:right="415" w:hanging="567"/>
        <w:jc w:val="both"/>
        <w:rPr>
          <w:sz w:val="24"/>
        </w:rPr>
      </w:pPr>
      <w:r>
        <w:rPr>
          <w:i/>
          <w:sz w:val="24"/>
        </w:rPr>
        <w:t>AEMO </w:t>
      </w:r>
      <w:r>
        <w:rPr>
          <w:sz w:val="24"/>
        </w:rPr>
        <w:t>has not made any assumptions underpinning its forecast data that </w:t>
      </w:r>
      <w:r>
        <w:rPr>
          <w:spacing w:val="-5"/>
          <w:sz w:val="24"/>
        </w:rPr>
        <w:t>are </w:t>
      </w:r>
      <w:r>
        <w:rPr>
          <w:sz w:val="24"/>
        </w:rPr>
        <w:t>inaccurate and which have had a material impact on </w:t>
      </w:r>
      <w:r>
        <w:rPr>
          <w:i/>
          <w:sz w:val="24"/>
        </w:rPr>
        <w:t>unserved energy </w:t>
      </w:r>
      <w:r>
        <w:rPr>
          <w:sz w:val="24"/>
        </w:rPr>
        <w:t>outcomes in the </w:t>
      </w:r>
      <w:r>
        <w:rPr>
          <w:i/>
          <w:sz w:val="24"/>
        </w:rPr>
        <w:t>reliability forecast</w:t>
      </w:r>
      <w:r>
        <w:rPr>
          <w:sz w:val="24"/>
        </w:rPr>
        <w:t>;</w:t>
      </w:r>
      <w:r>
        <w:rPr>
          <w:spacing w:val="-2"/>
          <w:sz w:val="24"/>
        </w:rPr>
        <w:t> </w:t>
      </w:r>
      <w:r>
        <w:rPr>
          <w:sz w:val="24"/>
        </w:rPr>
        <w:t>and</w:t>
      </w:r>
    </w:p>
    <w:p>
      <w:pPr>
        <w:pStyle w:val="ListParagraph"/>
        <w:numPr>
          <w:ilvl w:val="0"/>
          <w:numId w:val="76"/>
        </w:numPr>
        <w:tabs>
          <w:tab w:pos="1919" w:val="left" w:leader="none"/>
        </w:tabs>
        <w:spacing w:line="240" w:lineRule="auto" w:before="120" w:after="0"/>
        <w:ind w:left="1919" w:right="415" w:hanging="567"/>
        <w:jc w:val="both"/>
        <w:rPr>
          <w:sz w:val="24"/>
        </w:rPr>
      </w:pPr>
      <w:r>
        <w:rPr>
          <w:i/>
          <w:sz w:val="24"/>
        </w:rPr>
        <w:t>AEMO </w:t>
      </w:r>
      <w:r>
        <w:rPr>
          <w:sz w:val="24"/>
        </w:rPr>
        <w:t>has used reasonable endeavours to prepare the </w:t>
      </w:r>
      <w:r>
        <w:rPr>
          <w:i/>
          <w:sz w:val="24"/>
        </w:rPr>
        <w:t>reliability forecast </w:t>
      </w:r>
      <w:r>
        <w:rPr>
          <w:sz w:val="24"/>
        </w:rPr>
        <w:t>in accordance with the Forecasting Best Practice</w:t>
      </w:r>
      <w:r>
        <w:rPr>
          <w:spacing w:val="-6"/>
          <w:sz w:val="24"/>
        </w:rPr>
        <w:t> </w:t>
      </w:r>
      <w:r>
        <w:rPr>
          <w:sz w:val="24"/>
        </w:rPr>
        <w:t>Guidelines.</w:t>
      </w:r>
    </w:p>
    <w:p>
      <w:pPr>
        <w:pStyle w:val="BodyText"/>
        <w:spacing w:before="10"/>
        <w:ind w:firstLine="0"/>
        <w:jc w:val="left"/>
        <w:rPr>
          <w:sz w:val="20"/>
        </w:rPr>
      </w:pPr>
    </w:p>
    <w:p>
      <w:pPr>
        <w:pStyle w:val="Heading4"/>
        <w:tabs>
          <w:tab w:pos="1351" w:val="left" w:leader="none"/>
        </w:tabs>
        <w:ind w:left="218" w:firstLine="0"/>
      </w:pPr>
      <w:bookmarkStart w:name="4A.C.12 Reliability Instrument Guideline" w:id="147"/>
      <w:bookmarkEnd w:id="147"/>
      <w:r>
        <w:rPr>
          <w:b w:val="0"/>
        </w:rPr>
      </w:r>
      <w:bookmarkStart w:name="_bookmark57" w:id="148"/>
      <w:bookmarkEnd w:id="148"/>
      <w:r>
        <w:rPr>
          <w:b w:val="0"/>
        </w:rPr>
      </w:r>
      <w:r>
        <w:rPr/>
        <w:t>4A.C.12</w:t>
        <w:tab/>
        <w:t>Reliability Instrument</w:t>
      </w:r>
      <w:r>
        <w:rPr>
          <w:spacing w:val="-1"/>
        </w:rPr>
        <w:t> </w:t>
      </w:r>
      <w:r>
        <w:rPr/>
        <w:t>Guidelines</w:t>
      </w:r>
    </w:p>
    <w:p>
      <w:pPr>
        <w:pStyle w:val="ListParagraph"/>
        <w:numPr>
          <w:ilvl w:val="0"/>
          <w:numId w:val="77"/>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make, </w:t>
      </w:r>
      <w:r>
        <w:rPr>
          <w:i/>
          <w:sz w:val="24"/>
        </w:rPr>
        <w:t>publish </w:t>
      </w:r>
      <w:r>
        <w:rPr>
          <w:sz w:val="24"/>
        </w:rPr>
        <w:t>and may amend the Reliability Instrument Guidelines in accordance with the </w:t>
      </w:r>
      <w:r>
        <w:rPr>
          <w:i/>
          <w:sz w:val="24"/>
        </w:rPr>
        <w:t>Rules consultation</w:t>
      </w:r>
      <w:r>
        <w:rPr>
          <w:i/>
          <w:spacing w:val="-5"/>
          <w:sz w:val="24"/>
        </w:rPr>
        <w:t> </w:t>
      </w:r>
      <w:r>
        <w:rPr>
          <w:i/>
          <w:sz w:val="24"/>
        </w:rPr>
        <w:t>procedures</w:t>
      </w:r>
      <w:r>
        <w:rPr>
          <w:sz w:val="24"/>
        </w:rPr>
        <w:t>.</w:t>
      </w:r>
    </w:p>
    <w:p>
      <w:pPr>
        <w:pStyle w:val="ListParagraph"/>
        <w:numPr>
          <w:ilvl w:val="0"/>
          <w:numId w:val="77"/>
        </w:numPr>
        <w:tabs>
          <w:tab w:pos="1919" w:val="left" w:leader="none"/>
        </w:tabs>
        <w:spacing w:line="240" w:lineRule="auto" w:before="120" w:after="0"/>
        <w:ind w:left="1918" w:right="0" w:hanging="567"/>
        <w:jc w:val="both"/>
        <w:rPr>
          <w:sz w:val="24"/>
        </w:rPr>
      </w:pPr>
      <w:r>
        <w:rPr>
          <w:sz w:val="24"/>
        </w:rPr>
        <w:t>The Reliability Instrument Guidelines must include the</w:t>
      </w:r>
      <w:r>
        <w:rPr>
          <w:spacing w:val="-3"/>
          <w:sz w:val="24"/>
        </w:rPr>
        <w:t> </w:t>
      </w:r>
      <w:r>
        <w:rPr>
          <w:sz w:val="24"/>
        </w:rPr>
        <w:t>following:</w:t>
      </w:r>
    </w:p>
    <w:p>
      <w:pPr>
        <w:pStyle w:val="ListParagraph"/>
        <w:numPr>
          <w:ilvl w:val="1"/>
          <w:numId w:val="77"/>
        </w:numPr>
        <w:tabs>
          <w:tab w:pos="2486" w:val="left" w:leader="none"/>
        </w:tabs>
        <w:spacing w:line="240" w:lineRule="auto" w:before="120" w:after="0"/>
        <w:ind w:left="2486" w:right="414" w:hanging="567"/>
        <w:jc w:val="both"/>
        <w:rPr>
          <w:sz w:val="24"/>
        </w:rPr>
      </w:pPr>
      <w:r>
        <w:rPr>
          <w:sz w:val="24"/>
        </w:rPr>
        <w:t>the consultation process with stakeholders in deciding whether to make or not make a reliability instrument;</w:t>
      </w:r>
      <w:r>
        <w:rPr>
          <w:spacing w:val="-2"/>
          <w:sz w:val="24"/>
        </w:rPr>
        <w:t> </w:t>
      </w:r>
      <w:r>
        <w:rPr>
          <w:sz w:val="24"/>
        </w:rPr>
        <w:t>and</w:t>
      </w:r>
    </w:p>
    <w:p>
      <w:pPr>
        <w:pStyle w:val="ListParagraph"/>
        <w:numPr>
          <w:ilvl w:val="1"/>
          <w:numId w:val="77"/>
        </w:numPr>
        <w:tabs>
          <w:tab w:pos="2486" w:val="left" w:leader="none"/>
        </w:tabs>
        <w:spacing w:line="240" w:lineRule="auto" w:before="120" w:after="0"/>
        <w:ind w:left="2485" w:right="0" w:hanging="567"/>
        <w:jc w:val="both"/>
        <w:rPr>
          <w:sz w:val="24"/>
        </w:rPr>
      </w:pPr>
      <w:r>
        <w:rPr>
          <w:sz w:val="24"/>
        </w:rPr>
        <w:t>how the </w:t>
      </w:r>
      <w:r>
        <w:rPr>
          <w:i/>
          <w:sz w:val="24"/>
        </w:rPr>
        <w:t>AER </w:t>
      </w:r>
      <w:r>
        <w:rPr>
          <w:sz w:val="24"/>
        </w:rPr>
        <w:t>will consider the criteria set out in clause</w:t>
      </w:r>
      <w:r>
        <w:rPr>
          <w:spacing w:val="-6"/>
          <w:sz w:val="24"/>
        </w:rPr>
        <w:t> </w:t>
      </w:r>
      <w:r>
        <w:rPr>
          <w:sz w:val="24"/>
        </w:rPr>
        <w:t>4A.C.11.</w:t>
      </w:r>
    </w:p>
    <w:p>
      <w:pPr>
        <w:pStyle w:val="ListParagraph"/>
        <w:numPr>
          <w:ilvl w:val="0"/>
          <w:numId w:val="7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make minor or administrative amendments to the Reliability Instrument Guidelines without complying with the </w:t>
      </w:r>
      <w:r>
        <w:rPr>
          <w:i/>
          <w:sz w:val="24"/>
        </w:rPr>
        <w:t>Rules consultation </w:t>
      </w:r>
      <w:r>
        <w:rPr>
          <w:i/>
          <w:sz w:val="24"/>
        </w:rPr>
        <w:t>procedures</w:t>
      </w:r>
      <w:r>
        <w:rPr>
          <w:sz w:val="24"/>
        </w:rPr>
        <w:t>.</w:t>
      </w:r>
    </w:p>
    <w:p>
      <w:pPr>
        <w:spacing w:after="0" w:line="240" w:lineRule="auto"/>
        <w:jc w:val="both"/>
        <w:rPr>
          <w:sz w:val="24"/>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D Liable Entities" w:id="149"/>
      <w:bookmarkEnd w:id="149"/>
      <w:r>
        <w:rPr>
          <w:b w:val="0"/>
        </w:rPr>
      </w:r>
      <w:bookmarkStart w:name="_bookmark58" w:id="150"/>
      <w:bookmarkEnd w:id="150"/>
      <w:r>
        <w:rPr>
          <w:b w:val="0"/>
        </w:rPr>
      </w:r>
      <w:r>
        <w:rPr>
          <w:shd w:fill="D9D9D9" w:color="auto" w:val="clear"/>
        </w:rPr>
        <w:t>Part D</w:t>
        <w:tab/>
        <w:t>Liable</w:t>
      </w:r>
      <w:r>
        <w:rPr>
          <w:spacing w:val="-2"/>
          <w:shd w:fill="D9D9D9" w:color="auto" w:val="clear"/>
        </w:rPr>
        <w:t> </w:t>
      </w:r>
      <w:r>
        <w:rPr>
          <w:shd w:fill="D9D9D9" w:color="auto" w:val="clear"/>
        </w:rPr>
        <w:t>Entities</w:t>
        <w:tab/>
      </w:r>
    </w:p>
    <w:p>
      <w:pPr>
        <w:pStyle w:val="Heading4"/>
        <w:tabs>
          <w:tab w:pos="1351" w:val="left" w:leader="none"/>
        </w:tabs>
        <w:spacing w:before="240"/>
        <w:ind w:left="218" w:firstLine="0"/>
      </w:pPr>
      <w:bookmarkStart w:name=" " w:id="151"/>
      <w:bookmarkEnd w:id="151"/>
      <w:r>
        <w:rPr>
          <w:b w:val="0"/>
        </w:rPr>
      </w:r>
      <w:bookmarkStart w:name="4A.D.1 Application" w:id="152"/>
      <w:bookmarkEnd w:id="152"/>
      <w:r>
        <w:rPr>
          <w:b w:val="0"/>
        </w:rPr>
      </w:r>
      <w:bookmarkStart w:name="_bookmark59" w:id="153"/>
      <w:bookmarkEnd w:id="153"/>
      <w:r>
        <w:rPr>
          <w:b w:val="0"/>
        </w:rPr>
      </w:r>
      <w:r>
        <w:rPr/>
        <w:t>4A.D.1</w:t>
        <w:tab/>
        <w:t>Application</w:t>
      </w:r>
    </w:p>
    <w:p>
      <w:pPr>
        <w:pStyle w:val="BodyText"/>
        <w:ind w:left="1352" w:right="414" w:firstLine="0"/>
      </w:pPr>
      <w:r>
        <w:rPr/>
        <w:t>This Part D applies in relation to each T-1 reliability instrument and a reference to:</w:t>
      </w:r>
    </w:p>
    <w:p>
      <w:pPr>
        <w:pStyle w:val="ListParagraph"/>
        <w:numPr>
          <w:ilvl w:val="0"/>
          <w:numId w:val="78"/>
        </w:numPr>
        <w:tabs>
          <w:tab w:pos="1919" w:val="left" w:leader="none"/>
        </w:tabs>
        <w:spacing w:line="240" w:lineRule="auto" w:before="120" w:after="0"/>
        <w:ind w:left="1919" w:right="415" w:hanging="567"/>
        <w:jc w:val="both"/>
        <w:rPr>
          <w:sz w:val="24"/>
        </w:rPr>
      </w:pPr>
      <w:r>
        <w:rPr>
          <w:sz w:val="24"/>
        </w:rPr>
        <w:t>a matter is a reference to the matter for the </w:t>
      </w:r>
      <w:r>
        <w:rPr>
          <w:i/>
          <w:sz w:val="24"/>
        </w:rPr>
        <w:t>region </w:t>
      </w:r>
      <w:r>
        <w:rPr>
          <w:sz w:val="24"/>
        </w:rPr>
        <w:t>to which the T-1 reliability instrument</w:t>
      </w:r>
      <w:r>
        <w:rPr>
          <w:spacing w:val="-1"/>
          <w:sz w:val="24"/>
        </w:rPr>
        <w:t> </w:t>
      </w:r>
      <w:r>
        <w:rPr>
          <w:sz w:val="24"/>
        </w:rPr>
        <w:t>applies;</w:t>
      </w:r>
    </w:p>
    <w:p>
      <w:pPr>
        <w:pStyle w:val="ListParagraph"/>
        <w:numPr>
          <w:ilvl w:val="0"/>
          <w:numId w:val="78"/>
        </w:numPr>
        <w:tabs>
          <w:tab w:pos="1919" w:val="left" w:leader="none"/>
        </w:tabs>
        <w:spacing w:line="240" w:lineRule="auto" w:before="120" w:after="0"/>
        <w:ind w:left="1918" w:right="0" w:hanging="567"/>
        <w:jc w:val="both"/>
        <w:rPr>
          <w:sz w:val="24"/>
        </w:rPr>
      </w:pPr>
      <w:r>
        <w:rPr>
          <w:sz w:val="24"/>
        </w:rPr>
        <w:t>a </w:t>
      </w:r>
      <w:r>
        <w:rPr>
          <w:i/>
          <w:sz w:val="24"/>
        </w:rPr>
        <w:t>connection point </w:t>
      </w:r>
      <w:r>
        <w:rPr>
          <w:sz w:val="24"/>
        </w:rPr>
        <w:t>is a reference to a </w:t>
      </w:r>
      <w:r>
        <w:rPr>
          <w:i/>
          <w:sz w:val="24"/>
        </w:rPr>
        <w:t>connection point </w:t>
      </w:r>
      <w:r>
        <w:rPr>
          <w:sz w:val="24"/>
        </w:rPr>
        <w:t>in that</w:t>
      </w:r>
      <w:r>
        <w:rPr>
          <w:spacing w:val="-5"/>
          <w:sz w:val="24"/>
        </w:rPr>
        <w:t> </w:t>
      </w:r>
      <w:r>
        <w:rPr>
          <w:i/>
          <w:sz w:val="24"/>
        </w:rPr>
        <w:t>region</w:t>
      </w:r>
      <w:r>
        <w:rPr>
          <w:sz w:val="24"/>
        </w:rPr>
        <w:t>;</w:t>
      </w:r>
    </w:p>
    <w:p>
      <w:pPr>
        <w:pStyle w:val="ListParagraph"/>
        <w:numPr>
          <w:ilvl w:val="0"/>
          <w:numId w:val="78"/>
        </w:numPr>
        <w:tabs>
          <w:tab w:pos="1919" w:val="left" w:leader="none"/>
        </w:tabs>
        <w:spacing w:line="240" w:lineRule="auto" w:before="120" w:after="0"/>
        <w:ind w:left="1919" w:right="416" w:hanging="567"/>
        <w:jc w:val="both"/>
        <w:rPr>
          <w:sz w:val="24"/>
        </w:rPr>
      </w:pPr>
      <w:r>
        <w:rPr>
          <w:sz w:val="24"/>
        </w:rPr>
        <w:t>a </w:t>
      </w:r>
      <w:r>
        <w:rPr>
          <w:i/>
          <w:sz w:val="24"/>
        </w:rPr>
        <w:t>reliability gap period </w:t>
      </w:r>
      <w:r>
        <w:rPr>
          <w:sz w:val="24"/>
        </w:rPr>
        <w:t>is a reference to that period stated in that T-1 reliability</w:t>
      </w:r>
      <w:r>
        <w:rPr>
          <w:spacing w:val="-1"/>
          <w:sz w:val="24"/>
        </w:rPr>
        <w:t> </w:t>
      </w:r>
      <w:r>
        <w:rPr>
          <w:sz w:val="24"/>
        </w:rPr>
        <w:t>instrument;</w:t>
      </w:r>
    </w:p>
    <w:p>
      <w:pPr>
        <w:pStyle w:val="ListParagraph"/>
        <w:numPr>
          <w:ilvl w:val="0"/>
          <w:numId w:val="78"/>
        </w:numPr>
        <w:tabs>
          <w:tab w:pos="1919" w:val="left" w:leader="none"/>
        </w:tabs>
        <w:spacing w:line="240" w:lineRule="auto" w:before="120" w:after="0"/>
        <w:ind w:left="1919" w:right="415" w:hanging="567"/>
        <w:jc w:val="both"/>
        <w:rPr>
          <w:sz w:val="24"/>
        </w:rPr>
      </w:pPr>
      <w:r>
        <w:rPr>
          <w:sz w:val="24"/>
        </w:rPr>
        <w:t>a T-3 reliability instrument is to be construed as a reference to the T-3 reliability instrument related to the T-1 reliability instrument (and vice versa); and</w:t>
      </w:r>
    </w:p>
    <w:p>
      <w:pPr>
        <w:pStyle w:val="ListParagraph"/>
        <w:numPr>
          <w:ilvl w:val="0"/>
          <w:numId w:val="78"/>
        </w:numPr>
        <w:tabs>
          <w:tab w:pos="1919" w:val="left" w:leader="none"/>
        </w:tabs>
        <w:spacing w:line="240" w:lineRule="auto" w:before="120" w:after="0"/>
        <w:ind w:left="1919" w:right="416" w:hanging="567"/>
        <w:jc w:val="both"/>
        <w:rPr>
          <w:sz w:val="24"/>
        </w:rPr>
      </w:pPr>
      <w:r>
        <w:rPr>
          <w:sz w:val="24"/>
        </w:rPr>
        <w:t>a position day, opt-in cut-off day or opt-in register is a reference to those matters as stated in, or related to, that T-1 reliability</w:t>
      </w:r>
      <w:r>
        <w:rPr>
          <w:spacing w:val="-5"/>
          <w:sz w:val="24"/>
        </w:rPr>
        <w:t> </w:t>
      </w:r>
      <w:r>
        <w:rPr>
          <w:sz w:val="24"/>
        </w:rPr>
        <w:t>instrument.</w:t>
      </w:r>
    </w:p>
    <w:p>
      <w:pPr>
        <w:pStyle w:val="BodyText"/>
        <w:spacing w:before="10"/>
        <w:ind w:firstLine="0"/>
        <w:jc w:val="left"/>
        <w:rPr>
          <w:sz w:val="20"/>
        </w:rPr>
      </w:pPr>
    </w:p>
    <w:p>
      <w:pPr>
        <w:pStyle w:val="Heading4"/>
        <w:tabs>
          <w:tab w:pos="1351" w:val="left" w:leader="none"/>
        </w:tabs>
        <w:ind w:left="218" w:firstLine="0"/>
      </w:pPr>
      <w:bookmarkStart w:name="4A.D.2 Liable entities" w:id="154"/>
      <w:bookmarkEnd w:id="154"/>
      <w:r>
        <w:rPr>
          <w:b w:val="0"/>
        </w:rPr>
      </w:r>
      <w:bookmarkStart w:name="_bookmark60" w:id="155"/>
      <w:bookmarkEnd w:id="155"/>
      <w:r>
        <w:rPr>
          <w:b w:val="0"/>
        </w:rPr>
      </w:r>
      <w:r>
        <w:rPr/>
        <w:t>4A.D.2</w:t>
        <w:tab/>
        <w:t>Liable</w:t>
      </w:r>
      <w:r>
        <w:rPr>
          <w:spacing w:val="-1"/>
        </w:rPr>
        <w:t> </w:t>
      </w:r>
      <w:r>
        <w:rPr/>
        <w:t>entities</w:t>
      </w:r>
    </w:p>
    <w:p>
      <w:pPr>
        <w:pStyle w:val="ListParagraph"/>
        <w:numPr>
          <w:ilvl w:val="0"/>
          <w:numId w:val="79"/>
        </w:numPr>
        <w:tabs>
          <w:tab w:pos="1919" w:val="left" w:leader="none"/>
        </w:tabs>
        <w:spacing w:line="240" w:lineRule="auto" w:before="120" w:after="0"/>
        <w:ind w:left="1918" w:right="0" w:hanging="567"/>
        <w:jc w:val="both"/>
        <w:rPr>
          <w:sz w:val="24"/>
        </w:rPr>
      </w:pPr>
      <w:r>
        <w:rPr>
          <w:sz w:val="24"/>
        </w:rPr>
        <w:t>A person is a liable entity for a </w:t>
      </w:r>
      <w:r>
        <w:rPr>
          <w:i/>
          <w:sz w:val="24"/>
        </w:rPr>
        <w:t>region</w:t>
      </w:r>
      <w:r>
        <w:rPr>
          <w:i/>
          <w:spacing w:val="-3"/>
          <w:sz w:val="24"/>
        </w:rPr>
        <w:t> </w:t>
      </w:r>
      <w:r>
        <w:rPr>
          <w:sz w:val="24"/>
        </w:rPr>
        <w:t>if:</w:t>
      </w:r>
    </w:p>
    <w:p>
      <w:pPr>
        <w:pStyle w:val="ListParagraph"/>
        <w:numPr>
          <w:ilvl w:val="1"/>
          <w:numId w:val="79"/>
        </w:numPr>
        <w:tabs>
          <w:tab w:pos="2486" w:val="left" w:leader="none"/>
        </w:tabs>
        <w:spacing w:line="240" w:lineRule="auto" w:before="120" w:after="0"/>
        <w:ind w:left="2486" w:right="414" w:hanging="567"/>
        <w:jc w:val="both"/>
        <w:rPr>
          <w:sz w:val="24"/>
        </w:rPr>
      </w:pPr>
      <w:r>
        <w:rPr>
          <w:sz w:val="24"/>
        </w:rPr>
        <w:t>the person is registered as a </w:t>
      </w:r>
      <w:r>
        <w:rPr>
          <w:i/>
          <w:sz w:val="24"/>
        </w:rPr>
        <w:t>Market Customer </w:t>
      </w:r>
      <w:r>
        <w:rPr>
          <w:sz w:val="24"/>
        </w:rPr>
        <w:t>for a </w:t>
      </w:r>
      <w:r>
        <w:rPr>
          <w:i/>
          <w:sz w:val="24"/>
        </w:rPr>
        <w:t>connection point </w:t>
      </w:r>
      <w:r>
        <w:rPr>
          <w:sz w:val="24"/>
        </w:rPr>
        <w:t>in that </w:t>
      </w:r>
      <w:r>
        <w:rPr>
          <w:i/>
          <w:sz w:val="24"/>
        </w:rPr>
        <w:t>region </w:t>
      </w:r>
      <w:r>
        <w:rPr>
          <w:sz w:val="24"/>
        </w:rPr>
        <w:t>at the end of the contract position day but only to the extent there is no opt-in customer for that </w:t>
      </w:r>
      <w:r>
        <w:rPr>
          <w:i/>
          <w:sz w:val="24"/>
        </w:rPr>
        <w:t>connection point </w:t>
      </w:r>
      <w:r>
        <w:rPr>
          <w:sz w:val="24"/>
        </w:rPr>
        <w:t>at the end of the contract position</w:t>
      </w:r>
      <w:r>
        <w:rPr>
          <w:spacing w:val="-1"/>
          <w:sz w:val="24"/>
        </w:rPr>
        <w:t> </w:t>
      </w:r>
      <w:r>
        <w:rPr>
          <w:sz w:val="24"/>
        </w:rPr>
        <w:t>day;</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Section 14D(1)(a) of the </w:t>
      </w:r>
      <w:r>
        <w:rPr>
          <w:i/>
          <w:sz w:val="20"/>
        </w:rPr>
        <w:t>National Electricity Law </w:t>
      </w:r>
      <w:r>
        <w:rPr>
          <w:sz w:val="20"/>
        </w:rPr>
        <w:t>provides that a person who is a </w:t>
      </w:r>
      <w:r>
        <w:rPr>
          <w:i/>
          <w:sz w:val="20"/>
        </w:rPr>
        <w:t>Registered Participant </w:t>
      </w:r>
      <w:r>
        <w:rPr>
          <w:sz w:val="20"/>
        </w:rPr>
        <w:t>mentioned in section 11(4)(a) of the </w:t>
      </w:r>
      <w:r>
        <w:rPr>
          <w:i/>
          <w:sz w:val="20"/>
        </w:rPr>
        <w:t>National Electricity Law </w:t>
      </w:r>
      <w:r>
        <w:rPr>
          <w:sz w:val="20"/>
        </w:rPr>
        <w:t>is a liable entity.</w:t>
      </w:r>
    </w:p>
    <w:p>
      <w:pPr>
        <w:pStyle w:val="ListParagraph"/>
        <w:numPr>
          <w:ilvl w:val="1"/>
          <w:numId w:val="79"/>
        </w:numPr>
        <w:tabs>
          <w:tab w:pos="2486" w:val="left" w:leader="none"/>
        </w:tabs>
        <w:spacing w:line="240" w:lineRule="auto" w:before="120" w:after="0"/>
        <w:ind w:left="2486" w:right="414" w:hanging="567"/>
        <w:jc w:val="both"/>
        <w:rPr>
          <w:sz w:val="24"/>
        </w:rPr>
      </w:pPr>
      <w:r>
        <w:rPr>
          <w:sz w:val="24"/>
        </w:rPr>
        <w:t>the person is registered as a large opt-in customer for a </w:t>
      </w:r>
      <w:r>
        <w:rPr>
          <w:i/>
          <w:sz w:val="24"/>
        </w:rPr>
        <w:t>connection </w:t>
      </w:r>
      <w:r>
        <w:rPr>
          <w:i/>
          <w:sz w:val="24"/>
        </w:rPr>
        <w:t>point </w:t>
      </w:r>
      <w:r>
        <w:rPr>
          <w:sz w:val="24"/>
        </w:rPr>
        <w:t>in that </w:t>
      </w:r>
      <w:r>
        <w:rPr>
          <w:i/>
          <w:sz w:val="24"/>
        </w:rPr>
        <w:t>region </w:t>
      </w:r>
      <w:r>
        <w:rPr>
          <w:sz w:val="24"/>
        </w:rPr>
        <w:t>at the end of the contract position</w:t>
      </w:r>
      <w:r>
        <w:rPr>
          <w:spacing w:val="-5"/>
          <w:sz w:val="24"/>
        </w:rPr>
        <w:t> </w:t>
      </w:r>
      <w:r>
        <w:rPr>
          <w:sz w:val="24"/>
        </w:rPr>
        <w:t>day;</w:t>
      </w:r>
    </w:p>
    <w:p>
      <w:pPr>
        <w:pStyle w:val="ListParagraph"/>
        <w:numPr>
          <w:ilvl w:val="1"/>
          <w:numId w:val="79"/>
        </w:numPr>
        <w:tabs>
          <w:tab w:pos="2486" w:val="left" w:leader="none"/>
        </w:tabs>
        <w:spacing w:line="240" w:lineRule="auto" w:before="120" w:after="0"/>
        <w:ind w:left="2486" w:right="415" w:hanging="567"/>
        <w:jc w:val="both"/>
        <w:rPr>
          <w:sz w:val="24"/>
        </w:rPr>
      </w:pPr>
      <w:r>
        <w:rPr>
          <w:sz w:val="24"/>
        </w:rPr>
        <w:t>the person is registered as a prescribed opt-in customer for a </w:t>
      </w:r>
      <w:r>
        <w:rPr>
          <w:i/>
          <w:sz w:val="24"/>
        </w:rPr>
        <w:t>connection point </w:t>
      </w:r>
      <w:r>
        <w:rPr>
          <w:sz w:val="24"/>
        </w:rPr>
        <w:t>in that </w:t>
      </w:r>
      <w:r>
        <w:rPr>
          <w:i/>
          <w:sz w:val="24"/>
        </w:rPr>
        <w:t>region </w:t>
      </w:r>
      <w:r>
        <w:rPr>
          <w:sz w:val="24"/>
        </w:rPr>
        <w:t>at the end of the contract position day; or</w:t>
      </w:r>
    </w:p>
    <w:p>
      <w:pPr>
        <w:pStyle w:val="ListParagraph"/>
        <w:numPr>
          <w:ilvl w:val="1"/>
          <w:numId w:val="79"/>
        </w:numPr>
        <w:tabs>
          <w:tab w:pos="2486" w:val="left" w:leader="none"/>
        </w:tabs>
        <w:spacing w:line="240" w:lineRule="auto" w:before="120" w:after="0"/>
        <w:ind w:left="2485" w:right="0" w:hanging="567"/>
        <w:jc w:val="both"/>
        <w:rPr>
          <w:sz w:val="24"/>
        </w:rPr>
      </w:pPr>
      <w:r>
        <w:rPr>
          <w:sz w:val="24"/>
        </w:rPr>
        <w:t>the person is a new entrant in that </w:t>
      </w:r>
      <w:r>
        <w:rPr>
          <w:i/>
          <w:sz w:val="24"/>
        </w:rPr>
        <w:t>region </w:t>
      </w:r>
      <w:r>
        <w:rPr>
          <w:sz w:val="24"/>
        </w:rPr>
        <w:t>under clause</w:t>
      </w:r>
      <w:r>
        <w:rPr>
          <w:spacing w:val="-4"/>
          <w:sz w:val="24"/>
        </w:rPr>
        <w:t> </w:t>
      </w:r>
      <w:r>
        <w:rPr>
          <w:sz w:val="24"/>
        </w:rPr>
        <w:t>4A.D.3.</w:t>
      </w:r>
    </w:p>
    <w:p>
      <w:pPr>
        <w:pStyle w:val="ListParagraph"/>
        <w:numPr>
          <w:ilvl w:val="0"/>
          <w:numId w:val="79"/>
        </w:numPr>
        <w:tabs>
          <w:tab w:pos="1919" w:val="left" w:leader="none"/>
        </w:tabs>
        <w:spacing w:line="240" w:lineRule="auto" w:before="120" w:after="0"/>
        <w:ind w:left="1918" w:right="0" w:hanging="567"/>
        <w:jc w:val="both"/>
        <w:rPr>
          <w:sz w:val="24"/>
        </w:rPr>
      </w:pPr>
      <w:r>
        <w:rPr>
          <w:sz w:val="24"/>
        </w:rPr>
        <w:t>A person who is a </w:t>
      </w:r>
      <w:r>
        <w:rPr>
          <w:i/>
          <w:sz w:val="24"/>
        </w:rPr>
        <w:t>Market Customer </w:t>
      </w:r>
      <w:r>
        <w:rPr>
          <w:sz w:val="24"/>
        </w:rPr>
        <w:t>is not a liable entity for a </w:t>
      </w:r>
      <w:r>
        <w:rPr>
          <w:i/>
          <w:sz w:val="24"/>
        </w:rPr>
        <w:t>region</w:t>
      </w:r>
      <w:r>
        <w:rPr>
          <w:i/>
          <w:spacing w:val="-6"/>
          <w:sz w:val="24"/>
        </w:rPr>
        <w:t> </w:t>
      </w:r>
      <w:r>
        <w:rPr>
          <w:sz w:val="24"/>
        </w:rPr>
        <w:t>if:</w:t>
      </w:r>
    </w:p>
    <w:p>
      <w:pPr>
        <w:pStyle w:val="ListParagraph"/>
        <w:numPr>
          <w:ilvl w:val="1"/>
          <w:numId w:val="79"/>
        </w:numPr>
        <w:tabs>
          <w:tab w:pos="2486" w:val="left" w:leader="none"/>
        </w:tabs>
        <w:spacing w:line="240" w:lineRule="auto" w:before="120" w:after="0"/>
        <w:ind w:left="2486" w:right="415" w:hanging="567"/>
        <w:jc w:val="both"/>
        <w:rPr>
          <w:sz w:val="24"/>
        </w:rPr>
      </w:pPr>
      <w:r>
        <w:rPr>
          <w:sz w:val="24"/>
        </w:rPr>
        <w:t>it is not registered for a </w:t>
      </w:r>
      <w:r>
        <w:rPr>
          <w:i/>
          <w:sz w:val="24"/>
        </w:rPr>
        <w:t>connection point </w:t>
      </w:r>
      <w:r>
        <w:rPr>
          <w:sz w:val="24"/>
        </w:rPr>
        <w:t>in that </w:t>
      </w:r>
      <w:r>
        <w:rPr>
          <w:i/>
          <w:sz w:val="24"/>
        </w:rPr>
        <w:t>region </w:t>
      </w:r>
      <w:r>
        <w:rPr>
          <w:sz w:val="24"/>
        </w:rPr>
        <w:t>at the end of the contract position day;</w:t>
      </w:r>
      <w:r>
        <w:rPr>
          <w:spacing w:val="-1"/>
          <w:sz w:val="24"/>
        </w:rPr>
        <w:t> </w:t>
      </w:r>
      <w:r>
        <w:rPr>
          <w:sz w:val="24"/>
        </w:rPr>
        <w:t>or</w:t>
      </w:r>
    </w:p>
    <w:p>
      <w:pPr>
        <w:pStyle w:val="ListParagraph"/>
        <w:numPr>
          <w:ilvl w:val="1"/>
          <w:numId w:val="79"/>
        </w:numPr>
        <w:tabs>
          <w:tab w:pos="2486" w:val="left" w:leader="none"/>
        </w:tabs>
        <w:spacing w:line="240" w:lineRule="auto" w:before="120" w:after="0"/>
        <w:ind w:left="2486" w:right="415" w:hanging="567"/>
        <w:jc w:val="both"/>
        <w:rPr>
          <w:sz w:val="24"/>
        </w:rPr>
      </w:pPr>
      <w:r>
        <w:rPr>
          <w:sz w:val="24"/>
        </w:rPr>
        <w:t>the aggregate of all </w:t>
      </w:r>
      <w:r>
        <w:rPr>
          <w:i/>
          <w:sz w:val="24"/>
        </w:rPr>
        <w:t>loads </w:t>
      </w:r>
      <w:r>
        <w:rPr>
          <w:sz w:val="24"/>
        </w:rPr>
        <w:t>at the </w:t>
      </w:r>
      <w:r>
        <w:rPr>
          <w:i/>
          <w:sz w:val="24"/>
        </w:rPr>
        <w:t>connection points </w:t>
      </w:r>
      <w:r>
        <w:rPr>
          <w:sz w:val="24"/>
        </w:rPr>
        <w:t>in that </w:t>
      </w:r>
      <w:r>
        <w:rPr>
          <w:i/>
          <w:sz w:val="24"/>
        </w:rPr>
        <w:t>region </w:t>
      </w:r>
      <w:r>
        <w:rPr>
          <w:sz w:val="24"/>
        </w:rPr>
        <w:t>for which it is a </w:t>
      </w:r>
      <w:r>
        <w:rPr>
          <w:i/>
          <w:sz w:val="24"/>
        </w:rPr>
        <w:t>Market Customer </w:t>
      </w:r>
      <w:r>
        <w:rPr>
          <w:sz w:val="24"/>
        </w:rPr>
        <w:t>at the end of the contract position day is equal to or less than 10 GWh per annum as determined </w:t>
      </w:r>
      <w:r>
        <w:rPr>
          <w:spacing w:val="-7"/>
          <w:sz w:val="24"/>
        </w:rPr>
        <w:t>in </w:t>
      </w:r>
      <w:r>
        <w:rPr>
          <w:sz w:val="24"/>
        </w:rPr>
        <w:t>accordance with the Contracts and Firmness</w:t>
      </w:r>
      <w:r>
        <w:rPr>
          <w:spacing w:val="-6"/>
          <w:sz w:val="24"/>
        </w:rPr>
        <w:t> </w:t>
      </w:r>
      <w:r>
        <w:rPr>
          <w:sz w:val="24"/>
        </w:rPr>
        <w:t>Guidelines.</w:t>
      </w:r>
    </w:p>
    <w:p>
      <w:pPr>
        <w:pStyle w:val="BodyText"/>
        <w:spacing w:before="10"/>
        <w:ind w:firstLine="0"/>
        <w:jc w:val="left"/>
        <w:rPr>
          <w:sz w:val="20"/>
        </w:rPr>
      </w:pPr>
    </w:p>
    <w:p>
      <w:pPr>
        <w:pStyle w:val="Heading4"/>
        <w:tabs>
          <w:tab w:pos="1351" w:val="left" w:leader="none"/>
        </w:tabs>
        <w:ind w:left="218" w:firstLine="0"/>
      </w:pPr>
      <w:bookmarkStart w:name="4A.D.3 New entrants" w:id="156"/>
      <w:bookmarkEnd w:id="156"/>
      <w:r>
        <w:rPr>
          <w:b w:val="0"/>
        </w:rPr>
      </w:r>
      <w:bookmarkStart w:name="_bookmark61" w:id="157"/>
      <w:bookmarkEnd w:id="157"/>
      <w:r>
        <w:rPr>
          <w:b w:val="0"/>
        </w:rPr>
      </w:r>
      <w:r>
        <w:rPr/>
        <w:t>4A.D.3</w:t>
        <w:tab/>
        <w:t>New</w:t>
      </w:r>
      <w:r>
        <w:rPr>
          <w:spacing w:val="-2"/>
        </w:rPr>
        <w:t> </w:t>
      </w:r>
      <w:r>
        <w:rPr/>
        <w:t>entrants</w:t>
      </w:r>
    </w:p>
    <w:p>
      <w:pPr>
        <w:pStyle w:val="BodyText"/>
        <w:ind w:left="1352" w:firstLine="0"/>
      </w:pPr>
      <w:r>
        <w:rPr/>
        <w:t>A person is a new entrant for a </w:t>
      </w:r>
      <w:r>
        <w:rPr>
          <w:i/>
        </w:rPr>
        <w:t>region </w:t>
      </w:r>
      <w:r>
        <w:rPr/>
        <w:t>if the person:</w:t>
      </w:r>
    </w:p>
    <w:p>
      <w:pPr>
        <w:spacing w:after="0"/>
        <w:sectPr>
          <w:pgSz w:w="11910" w:h="16840"/>
          <w:pgMar w:header="686" w:footer="637" w:top="1320" w:bottom="820" w:left="1200" w:right="1000"/>
        </w:sectPr>
      </w:pPr>
    </w:p>
    <w:p>
      <w:pPr>
        <w:pStyle w:val="ListParagraph"/>
        <w:numPr>
          <w:ilvl w:val="0"/>
          <w:numId w:val="80"/>
        </w:numPr>
        <w:tabs>
          <w:tab w:pos="1919" w:val="left" w:leader="none"/>
        </w:tabs>
        <w:spacing w:line="240" w:lineRule="auto" w:before="83" w:after="0"/>
        <w:ind w:left="1919" w:right="415" w:hanging="567"/>
        <w:jc w:val="both"/>
        <w:rPr>
          <w:sz w:val="24"/>
        </w:rPr>
      </w:pPr>
      <w:r>
        <w:rPr>
          <w:sz w:val="24"/>
        </w:rPr>
        <w:t>is a </w:t>
      </w:r>
      <w:r>
        <w:rPr>
          <w:i/>
          <w:sz w:val="24"/>
        </w:rPr>
        <w:t>Market Customer </w:t>
      </w:r>
      <w:r>
        <w:rPr>
          <w:sz w:val="24"/>
        </w:rPr>
        <w:t>for a </w:t>
      </w:r>
      <w:r>
        <w:rPr>
          <w:i/>
          <w:sz w:val="24"/>
        </w:rPr>
        <w:t>connection point </w:t>
      </w:r>
      <w:r>
        <w:rPr>
          <w:sz w:val="24"/>
        </w:rPr>
        <w:t>in that </w:t>
      </w:r>
      <w:r>
        <w:rPr>
          <w:i/>
          <w:sz w:val="24"/>
        </w:rPr>
        <w:t>region </w:t>
      </w:r>
      <w:r>
        <w:rPr>
          <w:sz w:val="24"/>
        </w:rPr>
        <w:t>at the end of the new entrant contract position</w:t>
      </w:r>
      <w:r>
        <w:rPr>
          <w:spacing w:val="-2"/>
          <w:sz w:val="24"/>
        </w:rPr>
        <w:t> </w:t>
      </w:r>
      <w:r>
        <w:rPr>
          <w:sz w:val="24"/>
        </w:rPr>
        <w:t>day;</w:t>
      </w:r>
    </w:p>
    <w:p>
      <w:pPr>
        <w:pStyle w:val="ListParagraph"/>
        <w:numPr>
          <w:ilvl w:val="0"/>
          <w:numId w:val="80"/>
        </w:numPr>
        <w:tabs>
          <w:tab w:pos="1919" w:val="left" w:leader="none"/>
        </w:tabs>
        <w:spacing w:line="240" w:lineRule="auto" w:before="120" w:after="0"/>
        <w:ind w:left="1919" w:right="415" w:hanging="567"/>
        <w:jc w:val="both"/>
        <w:rPr>
          <w:sz w:val="24"/>
        </w:rPr>
      </w:pPr>
      <w:r>
        <w:rPr>
          <w:sz w:val="24"/>
        </w:rPr>
        <w:t>was not a liable entity for that </w:t>
      </w:r>
      <w:r>
        <w:rPr>
          <w:i/>
          <w:sz w:val="24"/>
        </w:rPr>
        <w:t>region </w:t>
      </w:r>
      <w:r>
        <w:rPr>
          <w:sz w:val="24"/>
        </w:rPr>
        <w:t>at the end of the contract position day; and</w:t>
      </w:r>
    </w:p>
    <w:p>
      <w:pPr>
        <w:pStyle w:val="ListParagraph"/>
        <w:numPr>
          <w:ilvl w:val="0"/>
          <w:numId w:val="80"/>
        </w:numPr>
        <w:tabs>
          <w:tab w:pos="1919" w:val="left" w:leader="none"/>
        </w:tabs>
        <w:spacing w:line="240" w:lineRule="auto" w:before="120" w:after="0"/>
        <w:ind w:left="1919" w:right="415" w:hanging="567"/>
        <w:jc w:val="both"/>
        <w:rPr>
          <w:sz w:val="24"/>
        </w:rPr>
      </w:pPr>
      <w:r>
        <w:rPr>
          <w:sz w:val="24"/>
        </w:rPr>
        <w:t>the aggregate of all </w:t>
      </w:r>
      <w:r>
        <w:rPr>
          <w:i/>
          <w:sz w:val="24"/>
        </w:rPr>
        <w:t>loads </w:t>
      </w:r>
      <w:r>
        <w:rPr>
          <w:sz w:val="24"/>
        </w:rPr>
        <w:t>at the </w:t>
      </w:r>
      <w:r>
        <w:rPr>
          <w:i/>
          <w:sz w:val="24"/>
        </w:rPr>
        <w:t>connection points </w:t>
      </w:r>
      <w:r>
        <w:rPr>
          <w:sz w:val="24"/>
        </w:rPr>
        <w:t>in that </w:t>
      </w:r>
      <w:r>
        <w:rPr>
          <w:i/>
          <w:sz w:val="24"/>
        </w:rPr>
        <w:t>region </w:t>
      </w:r>
      <w:r>
        <w:rPr>
          <w:sz w:val="24"/>
        </w:rPr>
        <w:t>for which it is a </w:t>
      </w:r>
      <w:r>
        <w:rPr>
          <w:i/>
          <w:sz w:val="24"/>
        </w:rPr>
        <w:t>Market Customer </w:t>
      </w:r>
      <w:r>
        <w:rPr>
          <w:sz w:val="24"/>
        </w:rPr>
        <w:t>at the end of the new entrant contract position </w:t>
      </w:r>
      <w:r>
        <w:rPr>
          <w:spacing w:val="-5"/>
          <w:sz w:val="24"/>
        </w:rPr>
        <w:t>day </w:t>
      </w:r>
      <w:r>
        <w:rPr>
          <w:sz w:val="24"/>
        </w:rPr>
        <w:t>exceeds, or is expected to exceed, 10 GWh per annum as determined in accordance with the Contracts and Firmness</w:t>
      </w:r>
      <w:r>
        <w:rPr>
          <w:spacing w:val="-5"/>
          <w:sz w:val="24"/>
        </w:rPr>
        <w:t> </w:t>
      </w:r>
      <w:r>
        <w:rPr>
          <w:sz w:val="24"/>
        </w:rPr>
        <w:t>Guidelines.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Section 14N(1)(c)(ii) of the </w:t>
      </w:r>
      <w:r>
        <w:rPr>
          <w:i/>
          <w:sz w:val="20"/>
        </w:rPr>
        <w:t>National Electricity Law </w:t>
      </w:r>
      <w:r>
        <w:rPr>
          <w:sz w:val="20"/>
        </w:rPr>
        <w:t>provides that Part 2A, Division 3 of the </w:t>
      </w:r>
      <w:r>
        <w:rPr>
          <w:i/>
          <w:sz w:val="20"/>
        </w:rPr>
        <w:t>National Electricity Law </w:t>
      </w:r>
      <w:r>
        <w:rPr>
          <w:sz w:val="20"/>
        </w:rPr>
        <w:t>applies to a person who is a liable entity on the contract position day or, in circumstances for which a later day is prescribed by the </w:t>
      </w:r>
      <w:r>
        <w:rPr>
          <w:i/>
          <w:sz w:val="20"/>
        </w:rPr>
        <w:t>Rules</w:t>
      </w:r>
      <w:r>
        <w:rPr>
          <w:sz w:val="20"/>
        </w:rPr>
        <w:t>, the later day. The new entrant contract position day is the later day for new entrants.</w:t>
      </w:r>
    </w:p>
    <w:p>
      <w:pPr>
        <w:pStyle w:val="BodyText"/>
        <w:spacing w:before="10"/>
        <w:ind w:firstLine="0"/>
        <w:jc w:val="left"/>
        <w:rPr>
          <w:sz w:val="20"/>
        </w:rPr>
      </w:pPr>
    </w:p>
    <w:p>
      <w:pPr>
        <w:pStyle w:val="Heading4"/>
        <w:tabs>
          <w:tab w:pos="1351" w:val="left" w:leader="none"/>
        </w:tabs>
        <w:ind w:left="218" w:firstLine="0"/>
      </w:pPr>
      <w:bookmarkStart w:name="4A.D.4 Application to register as large " w:id="158"/>
      <w:bookmarkEnd w:id="158"/>
      <w:r>
        <w:rPr>
          <w:b w:val="0"/>
        </w:rPr>
      </w:r>
      <w:bookmarkStart w:name="_bookmark62" w:id="159"/>
      <w:bookmarkEnd w:id="159"/>
      <w:r>
        <w:rPr>
          <w:b w:val="0"/>
        </w:rPr>
      </w:r>
      <w:r>
        <w:rPr/>
        <w:t>4A.D.4</w:t>
        <w:tab/>
        <w:t>Application to register as large opt-in</w:t>
      </w:r>
      <w:r>
        <w:rPr>
          <w:spacing w:val="-6"/>
        </w:rPr>
        <w:t> </w:t>
      </w:r>
      <w:r>
        <w:rPr/>
        <w:t>customer</w:t>
      </w:r>
    </w:p>
    <w:p>
      <w:pPr>
        <w:pStyle w:val="ListParagraph"/>
        <w:numPr>
          <w:ilvl w:val="0"/>
          <w:numId w:val="81"/>
        </w:numPr>
        <w:tabs>
          <w:tab w:pos="1919" w:val="left" w:leader="none"/>
        </w:tabs>
        <w:spacing w:line="240" w:lineRule="auto" w:before="120" w:after="0"/>
        <w:ind w:left="1919" w:right="414" w:hanging="567"/>
        <w:jc w:val="both"/>
        <w:rPr>
          <w:sz w:val="24"/>
        </w:rPr>
      </w:pPr>
      <w:r>
        <w:rPr>
          <w:sz w:val="24"/>
        </w:rPr>
        <w:t>A person may, no later than the opt-in cut-off day, apply to the </w:t>
      </w:r>
      <w:r>
        <w:rPr>
          <w:i/>
          <w:sz w:val="24"/>
        </w:rPr>
        <w:t>AER </w:t>
      </w:r>
      <w:r>
        <w:rPr>
          <w:sz w:val="24"/>
        </w:rPr>
        <w:t>for approval to register as a large opt-in customer for a </w:t>
      </w:r>
      <w:r>
        <w:rPr>
          <w:i/>
          <w:sz w:val="24"/>
        </w:rPr>
        <w:t>connection point </w:t>
      </w:r>
      <w:r>
        <w:rPr>
          <w:sz w:val="24"/>
        </w:rPr>
        <w:t>for a forecast reliability gap period</w:t>
      </w:r>
      <w:r>
        <w:rPr>
          <w:spacing w:val="-1"/>
          <w:sz w:val="24"/>
        </w:rPr>
        <w:t> </w:t>
      </w:r>
      <w:r>
        <w:rPr>
          <w:sz w:val="24"/>
        </w:rPr>
        <w:t>if:</w:t>
      </w:r>
    </w:p>
    <w:p>
      <w:pPr>
        <w:pStyle w:val="ListParagraph"/>
        <w:numPr>
          <w:ilvl w:val="1"/>
          <w:numId w:val="81"/>
        </w:numPr>
        <w:tabs>
          <w:tab w:pos="2486" w:val="left" w:leader="none"/>
        </w:tabs>
        <w:spacing w:line="240" w:lineRule="auto" w:before="120" w:after="0"/>
        <w:ind w:left="2486" w:right="414" w:hanging="567"/>
        <w:jc w:val="both"/>
        <w:rPr>
          <w:sz w:val="24"/>
        </w:rPr>
      </w:pPr>
      <w:r>
        <w:rPr>
          <w:sz w:val="24"/>
        </w:rPr>
        <w:t>a T-3 reliability instrument has been made for the </w:t>
      </w:r>
      <w:r>
        <w:rPr>
          <w:i/>
          <w:sz w:val="24"/>
        </w:rPr>
        <w:t>region </w:t>
      </w:r>
      <w:r>
        <w:rPr>
          <w:sz w:val="24"/>
        </w:rPr>
        <w:t>in which the </w:t>
      </w:r>
      <w:r>
        <w:rPr>
          <w:i/>
          <w:sz w:val="24"/>
        </w:rPr>
        <w:t>connection point </w:t>
      </w:r>
      <w:r>
        <w:rPr>
          <w:sz w:val="24"/>
        </w:rPr>
        <w:t>is located and the </w:t>
      </w:r>
      <w:r>
        <w:rPr>
          <w:i/>
          <w:sz w:val="24"/>
        </w:rPr>
        <w:t>AER </w:t>
      </w:r>
      <w:r>
        <w:rPr>
          <w:sz w:val="24"/>
        </w:rPr>
        <w:t>has established an opt-in register in relation to that instrument under clause</w:t>
      </w:r>
      <w:r>
        <w:rPr>
          <w:spacing w:val="-2"/>
          <w:sz w:val="24"/>
        </w:rPr>
        <w:t> </w:t>
      </w:r>
      <w:r>
        <w:rPr>
          <w:sz w:val="24"/>
        </w:rPr>
        <w:t>4A.D.9;</w:t>
      </w:r>
    </w:p>
    <w:p>
      <w:pPr>
        <w:pStyle w:val="ListParagraph"/>
        <w:numPr>
          <w:ilvl w:val="1"/>
          <w:numId w:val="81"/>
        </w:numPr>
        <w:tabs>
          <w:tab w:pos="2486" w:val="left" w:leader="none"/>
        </w:tabs>
        <w:spacing w:line="240" w:lineRule="auto" w:before="120" w:after="0"/>
        <w:ind w:left="2486" w:right="415" w:hanging="567"/>
        <w:jc w:val="both"/>
        <w:rPr>
          <w:sz w:val="24"/>
        </w:rPr>
      </w:pPr>
      <w:r>
        <w:rPr>
          <w:sz w:val="24"/>
        </w:rPr>
        <w:t>the person purchases electricity supplied to that </w:t>
      </w:r>
      <w:r>
        <w:rPr>
          <w:i/>
          <w:sz w:val="24"/>
        </w:rPr>
        <w:t>connection point </w:t>
      </w:r>
      <w:r>
        <w:rPr>
          <w:sz w:val="24"/>
        </w:rPr>
        <w:t>from the </w:t>
      </w:r>
      <w:r>
        <w:rPr>
          <w:i/>
          <w:sz w:val="24"/>
        </w:rPr>
        <w:t>Market Customer </w:t>
      </w:r>
      <w:r>
        <w:rPr>
          <w:sz w:val="24"/>
        </w:rPr>
        <w:t>for that </w:t>
      </w:r>
      <w:r>
        <w:rPr>
          <w:i/>
          <w:sz w:val="24"/>
        </w:rPr>
        <w:t>connection</w:t>
      </w:r>
      <w:r>
        <w:rPr>
          <w:i/>
          <w:spacing w:val="-2"/>
          <w:sz w:val="24"/>
        </w:rPr>
        <w:t> </w:t>
      </w:r>
      <w:r>
        <w:rPr>
          <w:i/>
          <w:sz w:val="24"/>
        </w:rPr>
        <w:t>point</w:t>
      </w:r>
      <w:r>
        <w:rPr>
          <w:sz w:val="24"/>
        </w:rPr>
        <w:t>;</w:t>
      </w:r>
    </w:p>
    <w:p>
      <w:pPr>
        <w:pStyle w:val="ListParagraph"/>
        <w:numPr>
          <w:ilvl w:val="1"/>
          <w:numId w:val="81"/>
        </w:numPr>
        <w:tabs>
          <w:tab w:pos="2486" w:val="left" w:leader="none"/>
        </w:tabs>
        <w:spacing w:line="240" w:lineRule="auto" w:before="120" w:after="0"/>
        <w:ind w:left="2486" w:right="414" w:hanging="567"/>
        <w:jc w:val="both"/>
        <w:rPr>
          <w:sz w:val="24"/>
        </w:rPr>
      </w:pPr>
      <w:r>
        <w:rPr>
          <w:sz w:val="24"/>
        </w:rPr>
        <w:t>the person's aggregate consumption of electricity at all </w:t>
      </w:r>
      <w:r>
        <w:rPr>
          <w:i/>
          <w:sz w:val="24"/>
        </w:rPr>
        <w:t>connection </w:t>
      </w:r>
      <w:r>
        <w:rPr>
          <w:i/>
          <w:sz w:val="24"/>
        </w:rPr>
        <w:t>points </w:t>
      </w:r>
      <w:r>
        <w:rPr>
          <w:sz w:val="24"/>
        </w:rPr>
        <w:t>in the </w:t>
      </w:r>
      <w:r>
        <w:rPr>
          <w:i/>
          <w:sz w:val="24"/>
        </w:rPr>
        <w:t>region </w:t>
      </w:r>
      <w:r>
        <w:rPr>
          <w:sz w:val="24"/>
        </w:rPr>
        <w:t>exceeds, or is expected to exceed, 50 GWh per annum as determined in accordance with the AER Opt-In</w:t>
      </w:r>
      <w:r>
        <w:rPr>
          <w:spacing w:val="-20"/>
          <w:sz w:val="24"/>
        </w:rPr>
        <w:t> </w:t>
      </w:r>
      <w:r>
        <w:rPr>
          <w:sz w:val="24"/>
        </w:rPr>
        <w:t>Guidelines;</w:t>
      </w:r>
    </w:p>
    <w:p>
      <w:pPr>
        <w:pStyle w:val="ListParagraph"/>
        <w:numPr>
          <w:ilvl w:val="1"/>
          <w:numId w:val="81"/>
        </w:numPr>
        <w:tabs>
          <w:tab w:pos="2486" w:val="left" w:leader="none"/>
        </w:tabs>
        <w:spacing w:line="240" w:lineRule="auto" w:before="120" w:after="0"/>
        <w:ind w:left="2486" w:right="415" w:hanging="567"/>
        <w:jc w:val="both"/>
        <w:rPr>
          <w:sz w:val="24"/>
        </w:rPr>
      </w:pPr>
      <w:r>
        <w:rPr>
          <w:sz w:val="24"/>
        </w:rPr>
        <w:t>to the extent required by the AEMO Opt-In Procedures (if any), the person does not satisfy the creditworthiness requirements set out in those procedures and </w:t>
      </w:r>
      <w:r>
        <w:rPr>
          <w:i/>
          <w:sz w:val="24"/>
        </w:rPr>
        <w:t>AEMO </w:t>
      </w:r>
      <w:r>
        <w:rPr>
          <w:sz w:val="24"/>
        </w:rPr>
        <w:t>requires credit support (at its discretion), the person provides that credit support to </w:t>
      </w:r>
      <w:r>
        <w:rPr>
          <w:i/>
          <w:sz w:val="24"/>
        </w:rPr>
        <w:t>AEMO </w:t>
      </w:r>
      <w:r>
        <w:rPr>
          <w:sz w:val="24"/>
        </w:rPr>
        <w:t>in accordance with the requirements of the AEMO Opt-In</w:t>
      </w:r>
      <w:r>
        <w:rPr>
          <w:spacing w:val="-6"/>
          <w:sz w:val="24"/>
        </w:rPr>
        <w:t> </w:t>
      </w:r>
      <w:r>
        <w:rPr>
          <w:sz w:val="24"/>
        </w:rPr>
        <w:t>Procedures;</w:t>
      </w:r>
    </w:p>
    <w:p>
      <w:pPr>
        <w:pStyle w:val="ListParagraph"/>
        <w:numPr>
          <w:ilvl w:val="1"/>
          <w:numId w:val="81"/>
        </w:numPr>
        <w:tabs>
          <w:tab w:pos="2486" w:val="left" w:leader="none"/>
        </w:tabs>
        <w:spacing w:line="240" w:lineRule="auto" w:before="120" w:after="0"/>
        <w:ind w:left="2486" w:right="414" w:hanging="567"/>
        <w:jc w:val="both"/>
        <w:rPr>
          <w:sz w:val="24"/>
        </w:rPr>
      </w:pPr>
      <w:r>
        <w:rPr>
          <w:sz w:val="24"/>
        </w:rPr>
        <w:t>there are one or more </w:t>
      </w:r>
      <w:r>
        <w:rPr>
          <w:i/>
          <w:sz w:val="24"/>
        </w:rPr>
        <w:t>connection points </w:t>
      </w:r>
      <w:r>
        <w:rPr>
          <w:sz w:val="24"/>
        </w:rPr>
        <w:t>at a site as determined in accordance with the AER Opt In Guidelines, the person opts-in for all </w:t>
      </w:r>
      <w:r>
        <w:rPr>
          <w:i/>
          <w:sz w:val="24"/>
        </w:rPr>
        <w:t>connection points </w:t>
      </w:r>
      <w:r>
        <w:rPr>
          <w:sz w:val="24"/>
        </w:rPr>
        <w:t>at that site;</w:t>
      </w:r>
      <w:r>
        <w:rPr>
          <w:spacing w:val="-2"/>
          <w:sz w:val="24"/>
        </w:rPr>
        <w:t> </w:t>
      </w:r>
      <w:r>
        <w:rPr>
          <w:sz w:val="24"/>
        </w:rPr>
        <w:t>and</w:t>
      </w:r>
    </w:p>
    <w:p>
      <w:pPr>
        <w:pStyle w:val="ListParagraph"/>
        <w:numPr>
          <w:ilvl w:val="1"/>
          <w:numId w:val="81"/>
        </w:numPr>
        <w:tabs>
          <w:tab w:pos="2486" w:val="left" w:leader="none"/>
        </w:tabs>
        <w:spacing w:line="240" w:lineRule="auto" w:before="120" w:after="0"/>
        <w:ind w:left="2486" w:right="416" w:hanging="567"/>
        <w:jc w:val="both"/>
        <w:rPr>
          <w:sz w:val="24"/>
        </w:rPr>
      </w:pPr>
      <w:r>
        <w:rPr>
          <w:sz w:val="24"/>
        </w:rPr>
        <w:t>the person satisfies any other requirements set out in the AEMO Opt- In Procedures (if any) and the AER Opt-In</w:t>
      </w:r>
      <w:r>
        <w:rPr>
          <w:spacing w:val="-10"/>
          <w:sz w:val="24"/>
        </w:rPr>
        <w:t> </w:t>
      </w:r>
      <w:r>
        <w:rPr>
          <w:sz w:val="24"/>
        </w:rPr>
        <w:t>Guidelines.</w:t>
      </w:r>
    </w:p>
    <w:p>
      <w:pPr>
        <w:pStyle w:val="ListParagraph"/>
        <w:numPr>
          <w:ilvl w:val="0"/>
          <w:numId w:val="81"/>
        </w:numPr>
        <w:tabs>
          <w:tab w:pos="1919" w:val="left" w:leader="none"/>
        </w:tabs>
        <w:spacing w:line="240" w:lineRule="auto" w:before="120" w:after="0"/>
        <w:ind w:left="1919" w:right="416" w:hanging="567"/>
        <w:jc w:val="both"/>
        <w:rPr>
          <w:sz w:val="24"/>
        </w:rPr>
      </w:pPr>
      <w:r>
        <w:rPr>
          <w:sz w:val="24"/>
        </w:rPr>
        <w:t>An application under paragraph (a) must comply with the AER Opt-In Guidelines.</w:t>
      </w:r>
    </w:p>
    <w:p>
      <w:pPr>
        <w:pStyle w:val="ListParagraph"/>
        <w:numPr>
          <w:ilvl w:val="0"/>
          <w:numId w:val="81"/>
        </w:numPr>
        <w:tabs>
          <w:tab w:pos="1919" w:val="left" w:leader="none"/>
        </w:tabs>
        <w:spacing w:line="240" w:lineRule="auto" w:before="120" w:after="0"/>
        <w:ind w:left="1919" w:right="414" w:hanging="567"/>
        <w:jc w:val="both"/>
        <w:rPr>
          <w:sz w:val="24"/>
        </w:rPr>
      </w:pPr>
      <w:r>
        <w:rPr>
          <w:sz w:val="24"/>
        </w:rPr>
        <w:t>An applicant must provide evidence to the </w:t>
      </w:r>
      <w:r>
        <w:rPr>
          <w:i/>
          <w:sz w:val="24"/>
        </w:rPr>
        <w:t>AER </w:t>
      </w:r>
      <w:r>
        <w:rPr>
          <w:sz w:val="24"/>
        </w:rPr>
        <w:t>as part of the application that it has given notice of the application to the </w:t>
      </w:r>
      <w:r>
        <w:rPr>
          <w:i/>
          <w:sz w:val="24"/>
        </w:rPr>
        <w:t>Market Customer </w:t>
      </w:r>
      <w:r>
        <w:rPr>
          <w:sz w:val="24"/>
        </w:rPr>
        <w:t>for </w:t>
      </w:r>
      <w:r>
        <w:rPr>
          <w:spacing w:val="-4"/>
          <w:sz w:val="24"/>
        </w:rPr>
        <w:t>the </w:t>
      </w:r>
      <w:r>
        <w:rPr>
          <w:i/>
          <w:sz w:val="24"/>
        </w:rPr>
        <w:t>connection point</w:t>
      </w:r>
      <w:r>
        <w:rPr>
          <w:sz w:val="24"/>
        </w:rPr>
        <w:t>. The </w:t>
      </w:r>
      <w:r>
        <w:rPr>
          <w:i/>
          <w:sz w:val="24"/>
        </w:rPr>
        <w:t>Market Customer's </w:t>
      </w:r>
      <w:r>
        <w:rPr>
          <w:sz w:val="24"/>
        </w:rPr>
        <w:t>consent is not required to make an application.</w:t>
      </w:r>
    </w:p>
    <w:p>
      <w:pPr>
        <w:pStyle w:val="ListParagraph"/>
        <w:numPr>
          <w:ilvl w:val="0"/>
          <w:numId w:val="81"/>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may only register a person as a large opt-in customer for the</w:t>
      </w:r>
      <w:r>
        <w:rPr>
          <w:spacing w:val="40"/>
          <w:sz w:val="24"/>
        </w:rPr>
        <w:t> </w:t>
      </w:r>
      <w:r>
        <w:rPr>
          <w:sz w:val="24"/>
        </w:rPr>
        <w:t>entire</w:t>
      </w:r>
    </w:p>
    <w:p>
      <w:pPr>
        <w:spacing w:before="0"/>
        <w:ind w:left="1919" w:right="0" w:firstLine="0"/>
        <w:jc w:val="both"/>
        <w:rPr>
          <w:sz w:val="24"/>
        </w:rPr>
      </w:pPr>
      <w:r>
        <w:rPr>
          <w:i/>
          <w:sz w:val="24"/>
        </w:rPr>
        <w:t>load </w:t>
      </w:r>
      <w:r>
        <w:rPr>
          <w:sz w:val="24"/>
        </w:rPr>
        <w:t>at a </w:t>
      </w:r>
      <w:r>
        <w:rPr>
          <w:i/>
          <w:sz w:val="24"/>
        </w:rPr>
        <w:t>connection point </w:t>
      </w:r>
      <w:r>
        <w:rPr>
          <w:sz w:val="24"/>
        </w:rPr>
        <w:t>and for the entire forecast reliability gap period.</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4A.D.5 Application to register as prescr" w:id="160"/>
      <w:bookmarkEnd w:id="160"/>
      <w:r>
        <w:rPr>
          <w:b w:val="0"/>
        </w:rPr>
      </w:r>
      <w:bookmarkStart w:name="_bookmark63" w:id="161"/>
      <w:bookmarkEnd w:id="161"/>
      <w:r>
        <w:rPr>
          <w:b w:val="0"/>
        </w:rPr>
      </w:r>
      <w:r>
        <w:rPr/>
        <w:t>4A.D.5</w:t>
        <w:tab/>
        <w:t>Application to register as prescribed opt-in</w:t>
      </w:r>
      <w:r>
        <w:rPr>
          <w:spacing w:val="-8"/>
        </w:rPr>
        <w:t> </w:t>
      </w:r>
      <w:r>
        <w:rPr/>
        <w:t>customer</w:t>
      </w:r>
    </w:p>
    <w:p>
      <w:pPr>
        <w:pStyle w:val="ListParagraph"/>
        <w:numPr>
          <w:ilvl w:val="0"/>
          <w:numId w:val="82"/>
        </w:numPr>
        <w:tabs>
          <w:tab w:pos="1919" w:val="left" w:leader="none"/>
        </w:tabs>
        <w:spacing w:line="240" w:lineRule="auto" w:before="120" w:after="0"/>
        <w:ind w:left="1919" w:right="414" w:hanging="567"/>
        <w:jc w:val="both"/>
        <w:rPr>
          <w:sz w:val="24"/>
        </w:rPr>
      </w:pPr>
      <w:r>
        <w:rPr>
          <w:sz w:val="24"/>
        </w:rPr>
        <w:t>A person may, no later than the opt-in cut-off day, apply to the </w:t>
      </w:r>
      <w:r>
        <w:rPr>
          <w:i/>
          <w:sz w:val="24"/>
        </w:rPr>
        <w:t>AER </w:t>
      </w:r>
      <w:r>
        <w:rPr>
          <w:sz w:val="24"/>
        </w:rPr>
        <w:t>for approval to register as a prescribed opt-in customer for a </w:t>
      </w:r>
      <w:r>
        <w:rPr>
          <w:i/>
          <w:sz w:val="24"/>
        </w:rPr>
        <w:t>connection point </w:t>
      </w:r>
      <w:r>
        <w:rPr>
          <w:sz w:val="24"/>
        </w:rPr>
        <w:t>for a forecast reliability gap period</w:t>
      </w:r>
      <w:r>
        <w:rPr>
          <w:spacing w:val="-2"/>
          <w:sz w:val="24"/>
        </w:rPr>
        <w:t> </w:t>
      </w:r>
      <w:r>
        <w:rPr>
          <w:sz w:val="24"/>
        </w:rPr>
        <w:t>if:</w:t>
      </w:r>
    </w:p>
    <w:p>
      <w:pPr>
        <w:pStyle w:val="ListParagraph"/>
        <w:numPr>
          <w:ilvl w:val="1"/>
          <w:numId w:val="82"/>
        </w:numPr>
        <w:tabs>
          <w:tab w:pos="2486" w:val="left" w:leader="none"/>
        </w:tabs>
        <w:spacing w:line="240" w:lineRule="auto" w:before="120" w:after="0"/>
        <w:ind w:left="2486" w:right="414" w:hanging="567"/>
        <w:jc w:val="both"/>
        <w:rPr>
          <w:sz w:val="24"/>
        </w:rPr>
      </w:pPr>
      <w:r>
        <w:rPr>
          <w:sz w:val="24"/>
        </w:rPr>
        <w:t>a T-3 reliability instrument has been made for the </w:t>
      </w:r>
      <w:r>
        <w:rPr>
          <w:i/>
          <w:sz w:val="24"/>
        </w:rPr>
        <w:t>region </w:t>
      </w:r>
      <w:r>
        <w:rPr>
          <w:sz w:val="24"/>
        </w:rPr>
        <w:t>in which the </w:t>
      </w:r>
      <w:r>
        <w:rPr>
          <w:i/>
          <w:sz w:val="24"/>
        </w:rPr>
        <w:t>connection point </w:t>
      </w:r>
      <w:r>
        <w:rPr>
          <w:sz w:val="24"/>
        </w:rPr>
        <w:t>is located and the </w:t>
      </w:r>
      <w:r>
        <w:rPr>
          <w:i/>
          <w:sz w:val="24"/>
        </w:rPr>
        <w:t>AER </w:t>
      </w:r>
      <w:r>
        <w:rPr>
          <w:sz w:val="24"/>
        </w:rPr>
        <w:t>has established an opt-in register in relation to that</w:t>
      </w:r>
      <w:r>
        <w:rPr>
          <w:spacing w:val="-1"/>
          <w:sz w:val="24"/>
        </w:rPr>
        <w:t> </w:t>
      </w:r>
      <w:r>
        <w:rPr>
          <w:sz w:val="24"/>
        </w:rPr>
        <w:t>instrument;</w:t>
      </w:r>
    </w:p>
    <w:p>
      <w:pPr>
        <w:pStyle w:val="ListParagraph"/>
        <w:numPr>
          <w:ilvl w:val="1"/>
          <w:numId w:val="82"/>
        </w:numPr>
        <w:tabs>
          <w:tab w:pos="2486" w:val="left" w:leader="none"/>
        </w:tabs>
        <w:spacing w:line="240" w:lineRule="auto" w:before="120" w:after="0"/>
        <w:ind w:left="2485" w:right="0" w:hanging="567"/>
        <w:jc w:val="both"/>
        <w:rPr>
          <w:sz w:val="24"/>
        </w:rPr>
      </w:pPr>
      <w:r>
        <w:rPr>
          <w:sz w:val="24"/>
        </w:rPr>
        <w:t>the</w:t>
      </w:r>
      <w:r>
        <w:rPr>
          <w:spacing w:val="8"/>
          <w:sz w:val="24"/>
        </w:rPr>
        <w:t> </w:t>
      </w:r>
      <w:r>
        <w:rPr>
          <w:sz w:val="24"/>
        </w:rPr>
        <w:t>person</w:t>
      </w:r>
      <w:r>
        <w:rPr>
          <w:spacing w:val="9"/>
          <w:sz w:val="24"/>
        </w:rPr>
        <w:t> </w:t>
      </w:r>
      <w:r>
        <w:rPr>
          <w:sz w:val="24"/>
        </w:rPr>
        <w:t>is</w:t>
      </w:r>
      <w:r>
        <w:rPr>
          <w:spacing w:val="9"/>
          <w:sz w:val="24"/>
        </w:rPr>
        <w:t> </w:t>
      </w:r>
      <w:r>
        <w:rPr>
          <w:sz w:val="24"/>
        </w:rPr>
        <w:t>not</w:t>
      </w:r>
      <w:r>
        <w:rPr>
          <w:spacing w:val="9"/>
          <w:sz w:val="24"/>
        </w:rPr>
        <w:t> </w:t>
      </w:r>
      <w:r>
        <w:rPr>
          <w:sz w:val="24"/>
        </w:rPr>
        <w:t>eligible</w:t>
      </w:r>
      <w:r>
        <w:rPr>
          <w:spacing w:val="9"/>
          <w:sz w:val="24"/>
        </w:rPr>
        <w:t> </w:t>
      </w:r>
      <w:r>
        <w:rPr>
          <w:sz w:val="24"/>
        </w:rPr>
        <w:t>to</w:t>
      </w:r>
      <w:r>
        <w:rPr>
          <w:spacing w:val="9"/>
          <w:sz w:val="24"/>
        </w:rPr>
        <w:t> </w:t>
      </w:r>
      <w:r>
        <w:rPr>
          <w:sz w:val="24"/>
        </w:rPr>
        <w:t>register</w:t>
      </w:r>
      <w:r>
        <w:rPr>
          <w:spacing w:val="8"/>
          <w:sz w:val="24"/>
        </w:rPr>
        <w:t> </w:t>
      </w:r>
      <w:r>
        <w:rPr>
          <w:sz w:val="24"/>
        </w:rPr>
        <w:t>as</w:t>
      </w:r>
      <w:r>
        <w:rPr>
          <w:spacing w:val="9"/>
          <w:sz w:val="24"/>
        </w:rPr>
        <w:t> </w:t>
      </w:r>
      <w:r>
        <w:rPr>
          <w:sz w:val="24"/>
        </w:rPr>
        <w:t>a</w:t>
      </w:r>
      <w:r>
        <w:rPr>
          <w:spacing w:val="8"/>
          <w:sz w:val="24"/>
        </w:rPr>
        <w:t> </w:t>
      </w:r>
      <w:r>
        <w:rPr>
          <w:sz w:val="24"/>
        </w:rPr>
        <w:t>large</w:t>
      </w:r>
      <w:r>
        <w:rPr>
          <w:spacing w:val="9"/>
          <w:sz w:val="24"/>
        </w:rPr>
        <w:t> </w:t>
      </w:r>
      <w:r>
        <w:rPr>
          <w:sz w:val="24"/>
        </w:rPr>
        <w:t>opt-in</w:t>
      </w:r>
      <w:r>
        <w:rPr>
          <w:spacing w:val="8"/>
          <w:sz w:val="24"/>
        </w:rPr>
        <w:t> </w:t>
      </w:r>
      <w:r>
        <w:rPr>
          <w:sz w:val="24"/>
        </w:rPr>
        <w:t>customer</w:t>
      </w:r>
      <w:r>
        <w:rPr>
          <w:spacing w:val="9"/>
          <w:sz w:val="24"/>
        </w:rPr>
        <w:t> </w:t>
      </w:r>
      <w:r>
        <w:rPr>
          <w:sz w:val="24"/>
        </w:rPr>
        <w:t>for</w:t>
      </w:r>
      <w:r>
        <w:rPr>
          <w:spacing w:val="8"/>
          <w:sz w:val="24"/>
        </w:rPr>
        <w:t> </w:t>
      </w:r>
      <w:r>
        <w:rPr>
          <w:sz w:val="24"/>
        </w:rPr>
        <w:t>that</w:t>
      </w:r>
    </w:p>
    <w:p>
      <w:pPr>
        <w:spacing w:before="0"/>
        <w:ind w:left="2486" w:right="0" w:firstLine="0"/>
        <w:jc w:val="both"/>
        <w:rPr>
          <w:sz w:val="24"/>
        </w:rPr>
      </w:pPr>
      <w:r>
        <w:rPr>
          <w:i/>
          <w:sz w:val="24"/>
        </w:rPr>
        <w:t>connection point</w:t>
      </w:r>
      <w:r>
        <w:rPr>
          <w:sz w:val="24"/>
        </w:rPr>
        <w:t>;</w:t>
      </w:r>
    </w:p>
    <w:p>
      <w:pPr>
        <w:pStyle w:val="ListParagraph"/>
        <w:numPr>
          <w:ilvl w:val="1"/>
          <w:numId w:val="82"/>
        </w:numPr>
        <w:tabs>
          <w:tab w:pos="2486" w:val="left" w:leader="none"/>
        </w:tabs>
        <w:spacing w:line="240" w:lineRule="auto" w:before="120" w:after="0"/>
        <w:ind w:left="2486" w:right="415" w:hanging="567"/>
        <w:jc w:val="both"/>
        <w:rPr>
          <w:sz w:val="24"/>
        </w:rPr>
      </w:pPr>
      <w:r>
        <w:rPr>
          <w:sz w:val="24"/>
        </w:rPr>
        <w:t>the person is, in accordance with the AER Opt-In Guidelines, financially exposed to the cost of some or all of the </w:t>
      </w:r>
      <w:r>
        <w:rPr>
          <w:i/>
          <w:sz w:val="24"/>
        </w:rPr>
        <w:t>load </w:t>
      </w:r>
      <w:r>
        <w:rPr>
          <w:sz w:val="24"/>
        </w:rPr>
        <w:t>at the </w:t>
      </w:r>
      <w:r>
        <w:rPr>
          <w:i/>
          <w:sz w:val="24"/>
        </w:rPr>
        <w:t>connection</w:t>
      </w:r>
      <w:r>
        <w:rPr>
          <w:i/>
          <w:spacing w:val="-1"/>
          <w:sz w:val="24"/>
        </w:rPr>
        <w:t> </w:t>
      </w:r>
      <w:r>
        <w:rPr>
          <w:i/>
          <w:sz w:val="24"/>
        </w:rPr>
        <w:t>point</w:t>
      </w:r>
      <w:r>
        <w:rPr>
          <w:sz w:val="24"/>
        </w:rPr>
        <w:t>;</w:t>
      </w:r>
    </w:p>
    <w:p>
      <w:pPr>
        <w:pStyle w:val="ListParagraph"/>
        <w:numPr>
          <w:ilvl w:val="1"/>
          <w:numId w:val="82"/>
        </w:numPr>
        <w:tabs>
          <w:tab w:pos="2486" w:val="left" w:leader="none"/>
        </w:tabs>
        <w:spacing w:line="240" w:lineRule="auto" w:before="120" w:after="0"/>
        <w:ind w:left="2486" w:right="415" w:hanging="567"/>
        <w:jc w:val="both"/>
        <w:rPr>
          <w:sz w:val="24"/>
        </w:rPr>
      </w:pPr>
      <w:r>
        <w:rPr>
          <w:sz w:val="24"/>
        </w:rPr>
        <w:t>the person satisfies the prescribed opt-in customer thresholds in clause 4A.D.6 for that </w:t>
      </w:r>
      <w:r>
        <w:rPr>
          <w:i/>
          <w:sz w:val="24"/>
        </w:rPr>
        <w:t>connection</w:t>
      </w:r>
      <w:r>
        <w:rPr>
          <w:i/>
          <w:spacing w:val="-1"/>
          <w:sz w:val="24"/>
        </w:rPr>
        <w:t> </w:t>
      </w:r>
      <w:r>
        <w:rPr>
          <w:i/>
          <w:sz w:val="24"/>
        </w:rPr>
        <w:t>point</w:t>
      </w:r>
      <w:r>
        <w:rPr>
          <w:sz w:val="24"/>
        </w:rPr>
        <w:t>;</w:t>
      </w:r>
    </w:p>
    <w:p>
      <w:pPr>
        <w:pStyle w:val="ListParagraph"/>
        <w:numPr>
          <w:ilvl w:val="1"/>
          <w:numId w:val="82"/>
        </w:numPr>
        <w:tabs>
          <w:tab w:pos="2486" w:val="left" w:leader="none"/>
        </w:tabs>
        <w:spacing w:line="240" w:lineRule="auto" w:before="120" w:after="0"/>
        <w:ind w:left="2486" w:right="415" w:hanging="567"/>
        <w:jc w:val="both"/>
        <w:rPr>
          <w:sz w:val="24"/>
        </w:rPr>
      </w:pPr>
      <w:r>
        <w:rPr>
          <w:sz w:val="24"/>
        </w:rPr>
        <w:t>to the extent required by the AEMO Opt-In Procedures (if any), the person does not satisfy the creditworthiness requirements set out in those procedures and </w:t>
      </w:r>
      <w:r>
        <w:rPr>
          <w:i/>
          <w:sz w:val="24"/>
        </w:rPr>
        <w:t>AEMO </w:t>
      </w:r>
      <w:r>
        <w:rPr>
          <w:sz w:val="24"/>
        </w:rPr>
        <w:t>requires credit support (at its discretion), the person provides that credit support to </w:t>
      </w:r>
      <w:r>
        <w:rPr>
          <w:i/>
          <w:sz w:val="24"/>
        </w:rPr>
        <w:t>AEMO </w:t>
      </w:r>
      <w:r>
        <w:rPr>
          <w:sz w:val="24"/>
        </w:rPr>
        <w:t>in accordance with the requirements of the AEMO Opt-In Procedures;</w:t>
      </w:r>
      <w:r>
        <w:rPr>
          <w:spacing w:val="-8"/>
          <w:sz w:val="24"/>
        </w:rPr>
        <w:t> </w:t>
      </w:r>
      <w:r>
        <w:rPr>
          <w:sz w:val="24"/>
        </w:rPr>
        <w:t>and</w:t>
      </w:r>
    </w:p>
    <w:p>
      <w:pPr>
        <w:pStyle w:val="ListParagraph"/>
        <w:numPr>
          <w:ilvl w:val="1"/>
          <w:numId w:val="82"/>
        </w:numPr>
        <w:tabs>
          <w:tab w:pos="2486" w:val="left" w:leader="none"/>
        </w:tabs>
        <w:spacing w:line="240" w:lineRule="auto" w:before="120" w:after="0"/>
        <w:ind w:left="2486" w:right="416" w:hanging="567"/>
        <w:jc w:val="both"/>
        <w:rPr>
          <w:sz w:val="24"/>
        </w:rPr>
      </w:pPr>
      <w:r>
        <w:rPr>
          <w:sz w:val="24"/>
        </w:rPr>
        <w:t>the person satisfies any other requirements set out in the AEMO Opt- In Procedures (if any) and the AER Opt-In</w:t>
      </w:r>
      <w:r>
        <w:rPr>
          <w:spacing w:val="-10"/>
          <w:sz w:val="24"/>
        </w:rPr>
        <w:t> </w:t>
      </w:r>
      <w:r>
        <w:rPr>
          <w:sz w:val="24"/>
        </w:rPr>
        <w:t>Guidelines.</w:t>
      </w:r>
    </w:p>
    <w:p>
      <w:pPr>
        <w:pStyle w:val="ListParagraph"/>
        <w:numPr>
          <w:ilvl w:val="0"/>
          <w:numId w:val="82"/>
        </w:numPr>
        <w:tabs>
          <w:tab w:pos="1919" w:val="left" w:leader="none"/>
        </w:tabs>
        <w:spacing w:line="240" w:lineRule="auto" w:before="120" w:after="0"/>
        <w:ind w:left="1919" w:right="416" w:hanging="567"/>
        <w:jc w:val="both"/>
        <w:rPr>
          <w:sz w:val="24"/>
        </w:rPr>
      </w:pPr>
      <w:r>
        <w:rPr>
          <w:sz w:val="24"/>
        </w:rPr>
        <w:t>An application under paragraph (a) must comply with the AER Opt-In Guidelines.</w:t>
      </w:r>
    </w:p>
    <w:p>
      <w:pPr>
        <w:pStyle w:val="ListParagraph"/>
        <w:numPr>
          <w:ilvl w:val="0"/>
          <w:numId w:val="82"/>
        </w:numPr>
        <w:tabs>
          <w:tab w:pos="1919" w:val="left" w:leader="none"/>
        </w:tabs>
        <w:spacing w:line="240" w:lineRule="auto" w:before="120" w:after="0"/>
        <w:ind w:left="1919" w:right="414" w:hanging="567"/>
        <w:jc w:val="both"/>
        <w:rPr>
          <w:sz w:val="24"/>
        </w:rPr>
      </w:pPr>
      <w:r>
        <w:rPr>
          <w:sz w:val="24"/>
        </w:rPr>
        <w:t>An applicant must provide evidence to the </w:t>
      </w:r>
      <w:r>
        <w:rPr>
          <w:i/>
          <w:sz w:val="24"/>
        </w:rPr>
        <w:t>AER </w:t>
      </w:r>
      <w:r>
        <w:rPr>
          <w:sz w:val="24"/>
        </w:rPr>
        <w:t>as part of the application that it has given notice of the application to the </w:t>
      </w:r>
      <w:r>
        <w:rPr>
          <w:i/>
          <w:sz w:val="24"/>
        </w:rPr>
        <w:t>Market Customer </w:t>
      </w:r>
      <w:r>
        <w:rPr>
          <w:sz w:val="24"/>
        </w:rPr>
        <w:t>and any existing prescribed opt-in customer for the </w:t>
      </w:r>
      <w:r>
        <w:rPr>
          <w:i/>
          <w:sz w:val="24"/>
        </w:rPr>
        <w:t>connection point</w:t>
      </w:r>
      <w:r>
        <w:rPr>
          <w:sz w:val="24"/>
        </w:rPr>
        <w:t>. The </w:t>
      </w:r>
      <w:r>
        <w:rPr>
          <w:i/>
          <w:sz w:val="24"/>
        </w:rPr>
        <w:t>Market </w:t>
      </w:r>
      <w:r>
        <w:rPr>
          <w:i/>
          <w:sz w:val="24"/>
        </w:rPr>
        <w:t>Customer's </w:t>
      </w:r>
      <w:r>
        <w:rPr>
          <w:sz w:val="24"/>
        </w:rPr>
        <w:t>consent is not required to make an application. An</w:t>
      </w:r>
      <w:r>
        <w:rPr>
          <w:spacing w:val="32"/>
          <w:sz w:val="24"/>
        </w:rPr>
        <w:t> </w:t>
      </w:r>
      <w:r>
        <w:rPr>
          <w:sz w:val="24"/>
        </w:rPr>
        <w:t>existing prescribed opt-in customer's consent is not required unless approval of the application would require a change to the percentage of the </w:t>
      </w:r>
      <w:r>
        <w:rPr>
          <w:i/>
          <w:sz w:val="24"/>
        </w:rPr>
        <w:t>load </w:t>
      </w:r>
      <w:r>
        <w:rPr>
          <w:sz w:val="24"/>
        </w:rPr>
        <w:t>for which that prescribed opt-in customer is</w:t>
      </w:r>
      <w:r>
        <w:rPr>
          <w:spacing w:val="-1"/>
          <w:sz w:val="24"/>
        </w:rPr>
        <w:t> </w:t>
      </w:r>
      <w:r>
        <w:rPr>
          <w:sz w:val="24"/>
        </w:rPr>
        <w:t>registered.</w:t>
      </w:r>
    </w:p>
    <w:p>
      <w:pPr>
        <w:pStyle w:val="ListParagraph"/>
        <w:numPr>
          <w:ilvl w:val="0"/>
          <w:numId w:val="82"/>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only register a person as a prescribed opt-in customer for the entire forecast reliability gap</w:t>
      </w:r>
      <w:r>
        <w:rPr>
          <w:spacing w:val="-2"/>
          <w:sz w:val="24"/>
        </w:rPr>
        <w:t> </w:t>
      </w:r>
      <w:r>
        <w:rPr>
          <w:sz w:val="24"/>
        </w:rPr>
        <w:t>period.</w:t>
      </w:r>
    </w:p>
    <w:p>
      <w:pPr>
        <w:pStyle w:val="ListParagraph"/>
        <w:numPr>
          <w:ilvl w:val="0"/>
          <w:numId w:val="8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register a person as a prescribed opt-in customer for the entire </w:t>
      </w:r>
      <w:r>
        <w:rPr>
          <w:i/>
          <w:sz w:val="24"/>
        </w:rPr>
        <w:t>load </w:t>
      </w:r>
      <w:r>
        <w:rPr>
          <w:sz w:val="24"/>
        </w:rPr>
        <w:t>or a percentage of the </w:t>
      </w:r>
      <w:r>
        <w:rPr>
          <w:i/>
          <w:sz w:val="24"/>
        </w:rPr>
        <w:t>load </w:t>
      </w:r>
      <w:r>
        <w:rPr>
          <w:sz w:val="24"/>
        </w:rPr>
        <w:t>at a </w:t>
      </w:r>
      <w:r>
        <w:rPr>
          <w:i/>
          <w:sz w:val="24"/>
        </w:rPr>
        <w:t>connection point</w:t>
      </w:r>
      <w:r>
        <w:rPr>
          <w:sz w:val="24"/>
        </w:rPr>
        <w:t>. A person may not be registered for a percentage of the </w:t>
      </w:r>
      <w:r>
        <w:rPr>
          <w:i/>
          <w:sz w:val="24"/>
        </w:rPr>
        <w:t>load </w:t>
      </w:r>
      <w:r>
        <w:rPr>
          <w:sz w:val="24"/>
        </w:rPr>
        <w:t>at a </w:t>
      </w:r>
      <w:r>
        <w:rPr>
          <w:i/>
          <w:sz w:val="24"/>
        </w:rPr>
        <w:t>connection point </w:t>
      </w:r>
      <w:r>
        <w:rPr>
          <w:sz w:val="24"/>
        </w:rPr>
        <w:t>where that percentage of the </w:t>
      </w:r>
      <w:r>
        <w:rPr>
          <w:i/>
          <w:sz w:val="24"/>
        </w:rPr>
        <w:t>load </w:t>
      </w:r>
      <w:r>
        <w:rPr>
          <w:sz w:val="24"/>
        </w:rPr>
        <w:t>is less than the minimum opt-in</w:t>
      </w:r>
      <w:r>
        <w:rPr>
          <w:spacing w:val="-3"/>
          <w:sz w:val="24"/>
        </w:rPr>
        <w:t> </w:t>
      </w:r>
      <w:r>
        <w:rPr>
          <w:sz w:val="24"/>
        </w:rPr>
        <w:t>threshold.</w:t>
      </w:r>
    </w:p>
    <w:p>
      <w:pPr>
        <w:pStyle w:val="BodyText"/>
        <w:spacing w:before="10"/>
        <w:ind w:firstLine="0"/>
        <w:jc w:val="left"/>
        <w:rPr>
          <w:sz w:val="20"/>
        </w:rPr>
      </w:pPr>
    </w:p>
    <w:p>
      <w:pPr>
        <w:pStyle w:val="Heading4"/>
        <w:tabs>
          <w:tab w:pos="1351" w:val="left" w:leader="none"/>
        </w:tabs>
        <w:ind w:left="218" w:firstLine="0"/>
      </w:pPr>
      <w:bookmarkStart w:name="4A.D.6 Thresholds" w:id="162"/>
      <w:bookmarkEnd w:id="162"/>
      <w:r>
        <w:rPr>
          <w:b w:val="0"/>
        </w:rPr>
      </w:r>
      <w:bookmarkStart w:name="_bookmark64" w:id="163"/>
      <w:bookmarkEnd w:id="163"/>
      <w:r>
        <w:rPr>
          <w:b w:val="0"/>
        </w:rPr>
      </w:r>
      <w:r>
        <w:rPr/>
        <w:t>4A.D.6</w:t>
        <w:tab/>
        <w:t>Thresholds</w:t>
      </w:r>
    </w:p>
    <w:p>
      <w:pPr>
        <w:pStyle w:val="ListParagraph"/>
        <w:numPr>
          <w:ilvl w:val="0"/>
          <w:numId w:val="83"/>
        </w:numPr>
        <w:tabs>
          <w:tab w:pos="1919" w:val="left" w:leader="none"/>
        </w:tabs>
        <w:spacing w:line="240" w:lineRule="auto" w:before="120" w:after="0"/>
        <w:ind w:left="1918" w:right="0" w:hanging="567"/>
        <w:jc w:val="both"/>
        <w:rPr>
          <w:sz w:val="24"/>
        </w:rPr>
      </w:pPr>
      <w:r>
        <w:rPr>
          <w:sz w:val="24"/>
        </w:rPr>
        <w:t>A person satisfies the thresholds for prescribed opt-in customers</w:t>
      </w:r>
      <w:r>
        <w:rPr>
          <w:spacing w:val="-2"/>
          <w:sz w:val="24"/>
        </w:rPr>
        <w:t> </w:t>
      </w:r>
      <w:r>
        <w:rPr>
          <w:sz w:val="24"/>
        </w:rPr>
        <w:t>if:</w:t>
      </w:r>
    </w:p>
    <w:p>
      <w:pPr>
        <w:pStyle w:val="ListParagraph"/>
        <w:numPr>
          <w:ilvl w:val="1"/>
          <w:numId w:val="83"/>
        </w:numPr>
        <w:tabs>
          <w:tab w:pos="2486" w:val="left" w:leader="none"/>
        </w:tabs>
        <w:spacing w:line="240" w:lineRule="auto" w:before="120" w:after="0"/>
        <w:ind w:left="2486" w:right="415" w:hanging="567"/>
        <w:jc w:val="both"/>
        <w:rPr>
          <w:sz w:val="24"/>
        </w:rPr>
      </w:pPr>
      <w:r>
        <w:rPr>
          <w:sz w:val="24"/>
        </w:rPr>
        <w:t>the annual peak demand for a </w:t>
      </w:r>
      <w:r>
        <w:rPr>
          <w:i/>
          <w:sz w:val="24"/>
        </w:rPr>
        <w:t>connection point </w:t>
      </w:r>
      <w:r>
        <w:rPr>
          <w:sz w:val="24"/>
        </w:rPr>
        <w:t>is equal to or greater than 30 MW ("</w:t>
      </w:r>
      <w:r>
        <w:rPr>
          <w:b/>
          <w:sz w:val="24"/>
        </w:rPr>
        <w:t>opt-in customer threshold</w:t>
      </w:r>
      <w:r>
        <w:rPr>
          <w:sz w:val="24"/>
        </w:rPr>
        <w:t>");</w:t>
      </w:r>
      <w:r>
        <w:rPr>
          <w:spacing w:val="-3"/>
          <w:sz w:val="24"/>
        </w:rPr>
        <w:t> </w:t>
      </w:r>
      <w:r>
        <w:rPr>
          <w:sz w:val="24"/>
        </w:rPr>
        <w:t>and</w:t>
      </w:r>
    </w:p>
    <w:p>
      <w:pPr>
        <w:pStyle w:val="ListParagraph"/>
        <w:numPr>
          <w:ilvl w:val="1"/>
          <w:numId w:val="83"/>
        </w:numPr>
        <w:tabs>
          <w:tab w:pos="2486" w:val="left" w:leader="none"/>
        </w:tabs>
        <w:spacing w:line="240" w:lineRule="auto" w:before="120" w:after="0"/>
        <w:ind w:left="2486" w:right="415" w:hanging="567"/>
        <w:jc w:val="both"/>
        <w:rPr>
          <w:sz w:val="24"/>
        </w:rPr>
      </w:pPr>
      <w:r>
        <w:rPr>
          <w:sz w:val="24"/>
        </w:rPr>
        <w:t>the percentage (for which the person is seeking registration or has been registered) of the annual peak demand for that </w:t>
      </w:r>
      <w:r>
        <w:rPr>
          <w:i/>
          <w:sz w:val="24"/>
        </w:rPr>
        <w:t>connection </w:t>
      </w:r>
      <w:r>
        <w:rPr>
          <w:i/>
          <w:spacing w:val="-3"/>
          <w:sz w:val="24"/>
        </w:rPr>
        <w:t>point </w:t>
      </w:r>
      <w:r>
        <w:rPr>
          <w:sz w:val="24"/>
        </w:rPr>
        <w:t>is equal to or greater than 5 MW ("</w:t>
      </w:r>
      <w:r>
        <w:rPr>
          <w:b/>
          <w:sz w:val="24"/>
        </w:rPr>
        <w:t>minimum opt-in</w:t>
      </w:r>
      <w:r>
        <w:rPr>
          <w:b/>
          <w:spacing w:val="-5"/>
          <w:sz w:val="24"/>
        </w:rPr>
        <w:t> </w:t>
      </w:r>
      <w:r>
        <w:rPr>
          <w:b/>
          <w:sz w:val="24"/>
        </w:rPr>
        <w:t>threshold</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83"/>
        </w:numPr>
        <w:tabs>
          <w:tab w:pos="1919" w:val="left" w:leader="none"/>
        </w:tabs>
        <w:spacing w:line="240" w:lineRule="auto" w:before="83" w:after="0"/>
        <w:ind w:left="1919" w:right="414" w:hanging="567"/>
        <w:jc w:val="both"/>
        <w:rPr>
          <w:sz w:val="24"/>
        </w:rPr>
      </w:pPr>
      <w:r>
        <w:rPr>
          <w:sz w:val="24"/>
        </w:rPr>
        <w:t>For the purposes of determining the annual peak demand for a </w:t>
      </w:r>
      <w:r>
        <w:rPr>
          <w:i/>
          <w:sz w:val="24"/>
        </w:rPr>
        <w:t>connection </w:t>
      </w:r>
      <w:r>
        <w:rPr>
          <w:i/>
          <w:sz w:val="24"/>
        </w:rPr>
        <w:t>point</w:t>
      </w:r>
      <w:r>
        <w:rPr>
          <w:sz w:val="24"/>
        </w:rPr>
        <w:t>:</w:t>
      </w:r>
    </w:p>
    <w:p>
      <w:pPr>
        <w:pStyle w:val="ListParagraph"/>
        <w:numPr>
          <w:ilvl w:val="1"/>
          <w:numId w:val="83"/>
        </w:numPr>
        <w:tabs>
          <w:tab w:pos="2486" w:val="left" w:leader="none"/>
        </w:tabs>
        <w:spacing w:line="240" w:lineRule="auto" w:before="120" w:after="0"/>
        <w:ind w:left="2486" w:right="414" w:hanging="567"/>
        <w:jc w:val="both"/>
        <w:rPr>
          <w:sz w:val="24"/>
        </w:rPr>
      </w:pPr>
      <w:r>
        <w:rPr>
          <w:sz w:val="24"/>
        </w:rPr>
        <w:t>the annual peak demand is the maximum demand at that </w:t>
      </w:r>
      <w:r>
        <w:rPr>
          <w:i/>
          <w:sz w:val="24"/>
        </w:rPr>
        <w:t>connection </w:t>
      </w:r>
      <w:r>
        <w:rPr>
          <w:i/>
          <w:sz w:val="24"/>
        </w:rPr>
        <w:t>point </w:t>
      </w:r>
      <w:r>
        <w:rPr>
          <w:sz w:val="24"/>
        </w:rPr>
        <w:t>for a </w:t>
      </w:r>
      <w:r>
        <w:rPr>
          <w:i/>
          <w:sz w:val="24"/>
        </w:rPr>
        <w:t>trading interval </w:t>
      </w:r>
      <w:r>
        <w:rPr>
          <w:sz w:val="24"/>
        </w:rPr>
        <w:t>in the 12 months preceding the application for registration with the </w:t>
      </w:r>
      <w:r>
        <w:rPr>
          <w:i/>
          <w:sz w:val="24"/>
        </w:rPr>
        <w:t>AER </w:t>
      </w:r>
      <w:r>
        <w:rPr>
          <w:sz w:val="24"/>
        </w:rPr>
        <w:t>unless the </w:t>
      </w:r>
      <w:r>
        <w:rPr>
          <w:i/>
          <w:sz w:val="24"/>
        </w:rPr>
        <w:t>AER </w:t>
      </w:r>
      <w:r>
        <w:rPr>
          <w:sz w:val="24"/>
        </w:rPr>
        <w:t>considers it appropriate to have regard to other information;</w:t>
      </w:r>
      <w:r>
        <w:rPr>
          <w:spacing w:val="-2"/>
          <w:sz w:val="24"/>
        </w:rPr>
        <w:t> </w:t>
      </w:r>
      <w:r>
        <w:rPr>
          <w:sz w:val="24"/>
        </w:rPr>
        <w:t>and</w:t>
      </w:r>
    </w:p>
    <w:p>
      <w:pPr>
        <w:pStyle w:val="ListParagraph"/>
        <w:numPr>
          <w:ilvl w:val="1"/>
          <w:numId w:val="83"/>
        </w:numPr>
        <w:tabs>
          <w:tab w:pos="2486" w:val="left" w:leader="none"/>
        </w:tabs>
        <w:spacing w:line="240" w:lineRule="auto" w:before="120" w:after="0"/>
        <w:ind w:left="2486" w:right="415" w:hanging="567"/>
        <w:jc w:val="both"/>
        <w:rPr>
          <w:sz w:val="24"/>
        </w:rPr>
      </w:pPr>
      <w:r>
        <w:rPr>
          <w:sz w:val="24"/>
        </w:rPr>
        <w:t>if there are one or more </w:t>
      </w:r>
      <w:r>
        <w:rPr>
          <w:i/>
          <w:sz w:val="24"/>
        </w:rPr>
        <w:t>connection points </w:t>
      </w:r>
      <w:r>
        <w:rPr>
          <w:sz w:val="24"/>
        </w:rPr>
        <w:t>at a site, as determined in accordance with the AER Opt-In Guidelines, the </w:t>
      </w:r>
      <w:r>
        <w:rPr>
          <w:i/>
          <w:sz w:val="24"/>
        </w:rPr>
        <w:t>loads </w:t>
      </w:r>
      <w:r>
        <w:rPr>
          <w:sz w:val="24"/>
        </w:rPr>
        <w:t>for those </w:t>
      </w:r>
      <w:r>
        <w:rPr>
          <w:i/>
          <w:sz w:val="24"/>
        </w:rPr>
        <w:t>connection points </w:t>
      </w:r>
      <w:r>
        <w:rPr>
          <w:sz w:val="24"/>
        </w:rPr>
        <w:t>at that site may be aggregated in which case the annual peak demand for a </w:t>
      </w:r>
      <w:r>
        <w:rPr>
          <w:i/>
          <w:sz w:val="24"/>
        </w:rPr>
        <w:t>connection point </w:t>
      </w:r>
      <w:r>
        <w:rPr>
          <w:sz w:val="24"/>
        </w:rPr>
        <w:t>is the maximum coincident demand for that site for a </w:t>
      </w:r>
      <w:r>
        <w:rPr>
          <w:i/>
          <w:sz w:val="24"/>
        </w:rPr>
        <w:t>trading interval </w:t>
      </w:r>
      <w:r>
        <w:rPr>
          <w:sz w:val="24"/>
        </w:rPr>
        <w:t>and each of those </w:t>
      </w:r>
      <w:r>
        <w:rPr>
          <w:i/>
          <w:sz w:val="24"/>
        </w:rPr>
        <w:t>connection points </w:t>
      </w:r>
      <w:r>
        <w:rPr>
          <w:sz w:val="24"/>
        </w:rPr>
        <w:t>will be taken to have that annual peak</w:t>
      </w:r>
      <w:r>
        <w:rPr>
          <w:spacing w:val="-6"/>
          <w:sz w:val="24"/>
        </w:rPr>
        <w:t> </w:t>
      </w:r>
      <w:r>
        <w:rPr>
          <w:sz w:val="24"/>
        </w:rPr>
        <w:t>demand,</w:t>
      </w:r>
    </w:p>
    <w:p>
      <w:pPr>
        <w:pStyle w:val="BodyText"/>
        <w:ind w:left="1919" w:firstLine="0"/>
      </w:pPr>
      <w:r>
        <w:rPr/>
        <w:t>in each case, as determined in accordance with the AER Opt-In Guidelines.</w:t>
      </w:r>
    </w:p>
    <w:p>
      <w:pPr>
        <w:pStyle w:val="BodyText"/>
        <w:spacing w:before="10"/>
        <w:ind w:firstLine="0"/>
        <w:jc w:val="left"/>
        <w:rPr>
          <w:sz w:val="20"/>
        </w:rPr>
      </w:pPr>
    </w:p>
    <w:p>
      <w:pPr>
        <w:pStyle w:val="Heading4"/>
        <w:tabs>
          <w:tab w:pos="1351" w:val="left" w:leader="none"/>
        </w:tabs>
        <w:ind w:left="218" w:firstLine="0"/>
      </w:pPr>
      <w:bookmarkStart w:name="4A.D.7 Opt-in cut-off day" w:id="164"/>
      <w:bookmarkEnd w:id="164"/>
      <w:r>
        <w:rPr>
          <w:b w:val="0"/>
        </w:rPr>
      </w:r>
      <w:bookmarkStart w:name="_bookmark65" w:id="165"/>
      <w:bookmarkEnd w:id="165"/>
      <w:r>
        <w:rPr>
          <w:b w:val="0"/>
        </w:rPr>
      </w:r>
      <w:r>
        <w:rPr/>
        <w:t>4A.D.7</w:t>
        <w:tab/>
        <w:t>Opt-in cut-off</w:t>
      </w:r>
      <w:r>
        <w:rPr>
          <w:spacing w:val="-3"/>
        </w:rPr>
        <w:t> </w:t>
      </w:r>
      <w:r>
        <w:rPr/>
        <w:t>day</w:t>
      </w:r>
    </w:p>
    <w:p>
      <w:pPr>
        <w:pStyle w:val="BodyText"/>
        <w:ind w:left="1352" w:firstLine="0"/>
        <w:jc w:val="left"/>
      </w:pPr>
      <w:r>
        <w:rPr/>
        <w:t>The opt-in cut-off day is the day that is 18 months after the date the relevant T-3 reliability instrument is effective.</w:t>
      </w:r>
    </w:p>
    <w:p>
      <w:pPr>
        <w:pStyle w:val="BodyText"/>
        <w:spacing w:before="10"/>
        <w:ind w:firstLine="0"/>
        <w:jc w:val="left"/>
        <w:rPr>
          <w:sz w:val="20"/>
        </w:rPr>
      </w:pPr>
    </w:p>
    <w:p>
      <w:pPr>
        <w:pStyle w:val="Heading4"/>
        <w:tabs>
          <w:tab w:pos="1351" w:val="left" w:leader="none"/>
        </w:tabs>
        <w:ind w:left="218" w:firstLine="0"/>
      </w:pPr>
      <w:bookmarkStart w:name="4A.D.8 AER approval of applications" w:id="166"/>
      <w:bookmarkEnd w:id="166"/>
      <w:r>
        <w:rPr>
          <w:b w:val="0"/>
        </w:rPr>
      </w:r>
      <w:bookmarkStart w:name="_bookmark66" w:id="167"/>
      <w:bookmarkEnd w:id="167"/>
      <w:r>
        <w:rPr>
          <w:b w:val="0"/>
        </w:rPr>
      </w:r>
      <w:r>
        <w:rPr/>
        <w:t>4A.D.8</w:t>
        <w:tab/>
        <w:t>AER approval of</w:t>
      </w:r>
      <w:r>
        <w:rPr>
          <w:spacing w:val="-3"/>
        </w:rPr>
        <w:t> </w:t>
      </w:r>
      <w:r>
        <w:rPr/>
        <w:t>applications</w:t>
      </w:r>
    </w:p>
    <w:p>
      <w:pPr>
        <w:pStyle w:val="ListParagraph"/>
        <w:numPr>
          <w:ilvl w:val="0"/>
          <w:numId w:val="8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approve or reject an application submitted under clauses 4A.D.4 or 4A.D.5 in accordance with the AER Opt-In</w:t>
      </w:r>
      <w:r>
        <w:rPr>
          <w:spacing w:val="-9"/>
          <w:sz w:val="24"/>
        </w:rPr>
        <w:t> </w:t>
      </w:r>
      <w:r>
        <w:rPr>
          <w:sz w:val="24"/>
        </w:rPr>
        <w:t>Guidelines.</w:t>
      </w:r>
    </w:p>
    <w:p>
      <w:pPr>
        <w:pStyle w:val="ListParagraph"/>
        <w:numPr>
          <w:ilvl w:val="0"/>
          <w:numId w:val="84"/>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rejects an application for registration, it must give the applicant written reasons for its decision. The </w:t>
      </w:r>
      <w:r>
        <w:rPr>
          <w:i/>
          <w:sz w:val="24"/>
        </w:rPr>
        <w:t>AER </w:t>
      </w:r>
      <w:r>
        <w:rPr>
          <w:sz w:val="24"/>
        </w:rPr>
        <w:t>may inform the </w:t>
      </w:r>
      <w:r>
        <w:rPr>
          <w:i/>
          <w:sz w:val="24"/>
        </w:rPr>
        <w:t>Market Customer </w:t>
      </w:r>
      <w:r>
        <w:rPr>
          <w:sz w:val="24"/>
        </w:rPr>
        <w:t>for the relevant </w:t>
      </w:r>
      <w:r>
        <w:rPr>
          <w:i/>
          <w:sz w:val="24"/>
        </w:rPr>
        <w:t>connection point </w:t>
      </w:r>
      <w:r>
        <w:rPr>
          <w:sz w:val="24"/>
        </w:rPr>
        <w:t>of the rejection in accordance with the AER Opt-In Guidelines, or must inform the </w:t>
      </w:r>
      <w:r>
        <w:rPr>
          <w:i/>
          <w:sz w:val="24"/>
        </w:rPr>
        <w:t>Market Customer </w:t>
      </w:r>
      <w:r>
        <w:rPr>
          <w:sz w:val="24"/>
        </w:rPr>
        <w:t>on</w:t>
      </w:r>
      <w:r>
        <w:rPr>
          <w:spacing w:val="-15"/>
          <w:sz w:val="24"/>
        </w:rPr>
        <w:t> </w:t>
      </w:r>
      <w:r>
        <w:rPr>
          <w:sz w:val="24"/>
        </w:rPr>
        <w:t>request.</w:t>
      </w:r>
    </w:p>
    <w:p>
      <w:pPr>
        <w:pStyle w:val="ListParagraph"/>
        <w:numPr>
          <w:ilvl w:val="0"/>
          <w:numId w:val="84"/>
        </w:numPr>
        <w:tabs>
          <w:tab w:pos="1919" w:val="left" w:leader="none"/>
        </w:tabs>
        <w:spacing w:line="240" w:lineRule="auto" w:before="120" w:after="0"/>
        <w:ind w:left="1919" w:right="414" w:hanging="567"/>
        <w:jc w:val="both"/>
        <w:rPr>
          <w:sz w:val="24"/>
        </w:rPr>
      </w:pPr>
      <w:r>
        <w:rPr>
          <w:sz w:val="24"/>
        </w:rPr>
        <w:t>If a person is registered as a large opt-in customer for a </w:t>
      </w:r>
      <w:r>
        <w:rPr>
          <w:i/>
          <w:sz w:val="24"/>
        </w:rPr>
        <w:t>connection point </w:t>
      </w:r>
      <w:r>
        <w:rPr>
          <w:sz w:val="24"/>
        </w:rPr>
        <w:t>at the end of the contract position day, then the </w:t>
      </w:r>
      <w:r>
        <w:rPr>
          <w:i/>
          <w:sz w:val="24"/>
        </w:rPr>
        <w:t>Market Customer </w:t>
      </w:r>
      <w:r>
        <w:rPr>
          <w:sz w:val="24"/>
        </w:rPr>
        <w:t>for that </w:t>
      </w:r>
      <w:r>
        <w:rPr>
          <w:i/>
          <w:sz w:val="24"/>
        </w:rPr>
        <w:t>connection point </w:t>
      </w:r>
      <w:r>
        <w:rPr>
          <w:sz w:val="24"/>
        </w:rPr>
        <w:t>is not a liable entity for that </w:t>
      </w:r>
      <w:r>
        <w:rPr>
          <w:i/>
          <w:sz w:val="24"/>
        </w:rPr>
        <w:t>connection</w:t>
      </w:r>
      <w:r>
        <w:rPr>
          <w:i/>
          <w:spacing w:val="-2"/>
          <w:sz w:val="24"/>
        </w:rPr>
        <w:t> </w:t>
      </w:r>
      <w:r>
        <w:rPr>
          <w:i/>
          <w:sz w:val="24"/>
        </w:rPr>
        <w:t>point</w:t>
      </w:r>
      <w:r>
        <w:rPr>
          <w:sz w:val="24"/>
        </w:rPr>
        <w:t>.</w:t>
      </w:r>
    </w:p>
    <w:p>
      <w:pPr>
        <w:pStyle w:val="ListParagraph"/>
        <w:numPr>
          <w:ilvl w:val="0"/>
          <w:numId w:val="84"/>
        </w:numPr>
        <w:tabs>
          <w:tab w:pos="1919" w:val="left" w:leader="none"/>
        </w:tabs>
        <w:spacing w:line="240" w:lineRule="auto" w:before="120" w:after="0"/>
        <w:ind w:left="1919" w:right="415" w:hanging="567"/>
        <w:jc w:val="both"/>
        <w:rPr>
          <w:sz w:val="24"/>
        </w:rPr>
      </w:pPr>
      <w:r>
        <w:rPr>
          <w:sz w:val="24"/>
        </w:rPr>
        <w:t>If a person is registered as a prescribed opt-in customer for the entire </w:t>
      </w:r>
      <w:r>
        <w:rPr>
          <w:i/>
          <w:sz w:val="24"/>
        </w:rPr>
        <w:t>load </w:t>
      </w:r>
      <w:r>
        <w:rPr>
          <w:sz w:val="24"/>
        </w:rPr>
        <w:t>at a </w:t>
      </w:r>
      <w:r>
        <w:rPr>
          <w:i/>
          <w:sz w:val="24"/>
        </w:rPr>
        <w:t>connection point </w:t>
      </w:r>
      <w:r>
        <w:rPr>
          <w:sz w:val="24"/>
        </w:rPr>
        <w:t>at the end of the contract position day, then the </w:t>
      </w:r>
      <w:r>
        <w:rPr>
          <w:i/>
          <w:sz w:val="24"/>
        </w:rPr>
        <w:t>Market </w:t>
      </w:r>
      <w:r>
        <w:rPr>
          <w:i/>
          <w:sz w:val="24"/>
        </w:rPr>
        <w:t>Customer </w:t>
      </w:r>
      <w:r>
        <w:rPr>
          <w:sz w:val="24"/>
        </w:rPr>
        <w:t>for that </w:t>
      </w:r>
      <w:r>
        <w:rPr>
          <w:i/>
          <w:sz w:val="24"/>
        </w:rPr>
        <w:t>connection point </w:t>
      </w:r>
      <w:r>
        <w:rPr>
          <w:sz w:val="24"/>
        </w:rPr>
        <w:t>is not a liable entity for that </w:t>
      </w:r>
      <w:r>
        <w:rPr>
          <w:i/>
          <w:sz w:val="24"/>
        </w:rPr>
        <w:t>connection </w:t>
      </w:r>
      <w:r>
        <w:rPr>
          <w:i/>
          <w:sz w:val="24"/>
        </w:rPr>
        <w:t>point</w:t>
      </w:r>
      <w:r>
        <w:rPr>
          <w:sz w:val="24"/>
        </w:rPr>
        <w:t>.</w:t>
      </w:r>
    </w:p>
    <w:p>
      <w:pPr>
        <w:pStyle w:val="ListParagraph"/>
        <w:numPr>
          <w:ilvl w:val="0"/>
          <w:numId w:val="84"/>
        </w:numPr>
        <w:tabs>
          <w:tab w:pos="1919" w:val="left" w:leader="none"/>
        </w:tabs>
        <w:spacing w:line="240" w:lineRule="auto" w:before="120" w:after="0"/>
        <w:ind w:left="1919" w:right="415" w:hanging="567"/>
        <w:jc w:val="both"/>
        <w:rPr>
          <w:sz w:val="24"/>
        </w:rPr>
      </w:pPr>
      <w:r>
        <w:rPr>
          <w:sz w:val="24"/>
        </w:rPr>
        <w:t>If a person is registered as a prescribed opt-in customer for a percentage of the </w:t>
      </w:r>
      <w:r>
        <w:rPr>
          <w:i/>
          <w:sz w:val="24"/>
        </w:rPr>
        <w:t>load </w:t>
      </w:r>
      <w:r>
        <w:rPr>
          <w:sz w:val="24"/>
        </w:rPr>
        <w:t>at a </w:t>
      </w:r>
      <w:r>
        <w:rPr>
          <w:i/>
          <w:sz w:val="24"/>
        </w:rPr>
        <w:t>connection point </w:t>
      </w:r>
      <w:r>
        <w:rPr>
          <w:sz w:val="24"/>
        </w:rPr>
        <w:t>at the end of the contract position day,</w:t>
      </w:r>
      <w:r>
        <w:rPr>
          <w:spacing w:val="-5"/>
          <w:sz w:val="24"/>
        </w:rPr>
        <w:t> </w:t>
      </w:r>
      <w:r>
        <w:rPr>
          <w:sz w:val="24"/>
        </w:rPr>
        <w:t>then:</w:t>
      </w:r>
    </w:p>
    <w:p>
      <w:pPr>
        <w:pStyle w:val="ListParagraph"/>
        <w:numPr>
          <w:ilvl w:val="1"/>
          <w:numId w:val="84"/>
        </w:numPr>
        <w:tabs>
          <w:tab w:pos="2486" w:val="left" w:leader="none"/>
        </w:tabs>
        <w:spacing w:line="240" w:lineRule="auto" w:before="120" w:after="0"/>
        <w:ind w:left="2486" w:right="414" w:hanging="567"/>
        <w:jc w:val="both"/>
        <w:rPr>
          <w:sz w:val="24"/>
        </w:rPr>
      </w:pPr>
      <w:r>
        <w:rPr>
          <w:sz w:val="24"/>
        </w:rPr>
        <w:t>the prescribed opt-in customer is the liable entity for that percentage of the </w:t>
      </w:r>
      <w:r>
        <w:rPr>
          <w:i/>
          <w:sz w:val="24"/>
        </w:rPr>
        <w:t>load </w:t>
      </w:r>
      <w:r>
        <w:rPr>
          <w:sz w:val="24"/>
        </w:rPr>
        <w:t>at that </w:t>
      </w:r>
      <w:r>
        <w:rPr>
          <w:i/>
          <w:sz w:val="24"/>
        </w:rPr>
        <w:t>connection point</w:t>
      </w:r>
      <w:r>
        <w:rPr>
          <w:sz w:val="24"/>
        </w:rPr>
        <w:t>;</w:t>
      </w:r>
      <w:r>
        <w:rPr>
          <w:spacing w:val="-2"/>
          <w:sz w:val="24"/>
        </w:rPr>
        <w:t> </w:t>
      </w:r>
      <w:r>
        <w:rPr>
          <w:sz w:val="24"/>
        </w:rPr>
        <w:t>and</w:t>
      </w:r>
    </w:p>
    <w:p>
      <w:pPr>
        <w:pStyle w:val="ListParagraph"/>
        <w:numPr>
          <w:ilvl w:val="1"/>
          <w:numId w:val="84"/>
        </w:numPr>
        <w:tabs>
          <w:tab w:pos="2486" w:val="left" w:leader="none"/>
        </w:tabs>
        <w:spacing w:line="240" w:lineRule="auto" w:before="120" w:after="0"/>
        <w:ind w:left="2486" w:right="415" w:hanging="567"/>
        <w:jc w:val="both"/>
        <w:rPr>
          <w:sz w:val="24"/>
        </w:rPr>
      </w:pPr>
      <w:r>
        <w:rPr>
          <w:sz w:val="24"/>
        </w:rPr>
        <w:t>the </w:t>
      </w:r>
      <w:r>
        <w:rPr>
          <w:i/>
          <w:sz w:val="24"/>
        </w:rPr>
        <w:t>Market Customer </w:t>
      </w:r>
      <w:r>
        <w:rPr>
          <w:sz w:val="24"/>
        </w:rPr>
        <w:t>for that </w:t>
      </w:r>
      <w:r>
        <w:rPr>
          <w:i/>
          <w:sz w:val="24"/>
        </w:rPr>
        <w:t>connection point </w:t>
      </w:r>
      <w:r>
        <w:rPr>
          <w:sz w:val="24"/>
        </w:rPr>
        <w:t>will be the liable entity for any remaining percentage of the </w:t>
      </w:r>
      <w:r>
        <w:rPr>
          <w:i/>
          <w:sz w:val="24"/>
        </w:rPr>
        <w:t>load </w:t>
      </w:r>
      <w:r>
        <w:rPr>
          <w:sz w:val="24"/>
        </w:rPr>
        <w:t>at that </w:t>
      </w:r>
      <w:r>
        <w:rPr>
          <w:i/>
          <w:sz w:val="24"/>
        </w:rPr>
        <w:t>connection point </w:t>
      </w:r>
      <w:r>
        <w:rPr>
          <w:sz w:val="24"/>
        </w:rPr>
        <w:t>for which a prescribed opt-in customer is not the liable</w:t>
      </w:r>
      <w:r>
        <w:rPr>
          <w:spacing w:val="-4"/>
          <w:sz w:val="24"/>
        </w:rPr>
        <w:t> </w:t>
      </w:r>
      <w:r>
        <w:rPr>
          <w:sz w:val="24"/>
        </w:rPr>
        <w:t>entity.</w:t>
      </w:r>
    </w:p>
    <w:p>
      <w:pPr>
        <w:pStyle w:val="BodyText"/>
        <w:spacing w:before="10"/>
        <w:ind w:firstLine="0"/>
        <w:jc w:val="left"/>
        <w:rPr>
          <w:sz w:val="20"/>
        </w:rPr>
      </w:pPr>
    </w:p>
    <w:p>
      <w:pPr>
        <w:pStyle w:val="Heading4"/>
        <w:tabs>
          <w:tab w:pos="1351" w:val="left" w:leader="none"/>
        </w:tabs>
        <w:ind w:left="218" w:firstLine="0"/>
      </w:pPr>
      <w:bookmarkStart w:name="4A.D.9 AER opt-in register" w:id="168"/>
      <w:bookmarkEnd w:id="168"/>
      <w:r>
        <w:rPr>
          <w:b w:val="0"/>
        </w:rPr>
      </w:r>
      <w:bookmarkStart w:name="_bookmark67" w:id="169"/>
      <w:bookmarkEnd w:id="169"/>
      <w:r>
        <w:rPr>
          <w:b w:val="0"/>
        </w:rPr>
      </w:r>
      <w:r>
        <w:rPr/>
        <w:t>4A.D.9</w:t>
        <w:tab/>
        <w:t>AER opt-in</w:t>
      </w:r>
      <w:r>
        <w:rPr>
          <w:spacing w:val="-3"/>
        </w:rPr>
        <w:t> </w:t>
      </w:r>
      <w:r>
        <w:rPr/>
        <w:t>register</w:t>
      </w:r>
    </w:p>
    <w:p>
      <w:pPr>
        <w:pStyle w:val="ListParagraph"/>
        <w:numPr>
          <w:ilvl w:val="0"/>
          <w:numId w:val="85"/>
        </w:numPr>
        <w:tabs>
          <w:tab w:pos="1919" w:val="left" w:leader="none"/>
        </w:tabs>
        <w:spacing w:line="240" w:lineRule="auto" w:before="120" w:after="0"/>
        <w:ind w:left="1919" w:right="413" w:hanging="567"/>
        <w:jc w:val="both"/>
        <w:rPr>
          <w:sz w:val="24"/>
        </w:rPr>
      </w:pPr>
      <w:r>
        <w:rPr>
          <w:sz w:val="24"/>
        </w:rPr>
        <w:t>If a T-3 reliability instrument is made for a </w:t>
      </w:r>
      <w:r>
        <w:rPr>
          <w:i/>
          <w:sz w:val="24"/>
        </w:rPr>
        <w:t>region</w:t>
      </w:r>
      <w:r>
        <w:rPr>
          <w:sz w:val="24"/>
        </w:rPr>
        <w:t>, the </w:t>
      </w:r>
      <w:r>
        <w:rPr>
          <w:i/>
          <w:sz w:val="24"/>
        </w:rPr>
        <w:t>AER </w:t>
      </w:r>
      <w:r>
        <w:rPr>
          <w:sz w:val="24"/>
        </w:rPr>
        <w:t>must establish, within 30 </w:t>
      </w:r>
      <w:r>
        <w:rPr>
          <w:i/>
          <w:sz w:val="24"/>
        </w:rPr>
        <w:t>business days </w:t>
      </w:r>
      <w:r>
        <w:rPr>
          <w:sz w:val="24"/>
        </w:rPr>
        <w:t>of that instrument being published, an opt-in register for that </w:t>
      </w:r>
      <w:r>
        <w:rPr>
          <w:i/>
          <w:sz w:val="24"/>
        </w:rPr>
        <w:t>region </w:t>
      </w:r>
      <w:r>
        <w:rPr>
          <w:sz w:val="24"/>
        </w:rPr>
        <w:t>in relation to the forecast reliability gap period under that T-3 reliability</w:t>
      </w:r>
      <w:r>
        <w:rPr>
          <w:spacing w:val="-1"/>
          <w:sz w:val="24"/>
        </w:rPr>
        <w:t> </w:t>
      </w:r>
      <w:r>
        <w:rPr>
          <w:sz w:val="24"/>
        </w:rPr>
        <w:t>instrument.</w:t>
      </w:r>
    </w:p>
    <w:p>
      <w:pPr>
        <w:spacing w:after="0" w:line="240" w:lineRule="auto"/>
        <w:jc w:val="both"/>
        <w:rPr>
          <w:sz w:val="24"/>
        </w:rPr>
        <w:sectPr>
          <w:pgSz w:w="11910" w:h="16840"/>
          <w:pgMar w:header="686" w:footer="637" w:top="1320" w:bottom="820" w:left="1200" w:right="1000"/>
        </w:sectPr>
      </w:pPr>
    </w:p>
    <w:p>
      <w:pPr>
        <w:pStyle w:val="ListParagraph"/>
        <w:numPr>
          <w:ilvl w:val="0"/>
          <w:numId w:val="85"/>
        </w:numPr>
        <w:tabs>
          <w:tab w:pos="1919" w:val="left" w:leader="none"/>
        </w:tabs>
        <w:spacing w:line="240" w:lineRule="auto" w:before="83" w:after="0"/>
        <w:ind w:left="1919" w:right="415" w:hanging="567"/>
        <w:jc w:val="both"/>
        <w:rPr>
          <w:sz w:val="24"/>
        </w:rPr>
      </w:pPr>
      <w:r>
        <w:rPr>
          <w:sz w:val="24"/>
        </w:rPr>
        <w:t>The </w:t>
      </w:r>
      <w:r>
        <w:rPr>
          <w:i/>
          <w:sz w:val="24"/>
        </w:rPr>
        <w:t>AER </w:t>
      </w:r>
      <w:r>
        <w:rPr>
          <w:sz w:val="24"/>
        </w:rPr>
        <w:t>must establish and maintain a separate opt-in register in relation to each T-3 reliability</w:t>
      </w:r>
      <w:r>
        <w:rPr>
          <w:spacing w:val="-1"/>
          <w:sz w:val="24"/>
        </w:rPr>
        <w:t> </w:t>
      </w:r>
      <w:r>
        <w:rPr>
          <w:sz w:val="24"/>
        </w:rPr>
        <w:t>instrument.</w:t>
      </w:r>
    </w:p>
    <w:p>
      <w:pPr>
        <w:pStyle w:val="ListParagraph"/>
        <w:numPr>
          <w:ilvl w:val="0"/>
          <w:numId w:val="85"/>
        </w:numPr>
        <w:tabs>
          <w:tab w:pos="1919" w:val="left" w:leader="none"/>
        </w:tabs>
        <w:spacing w:line="240" w:lineRule="auto" w:before="120" w:after="0"/>
        <w:ind w:left="1918" w:right="0" w:hanging="567"/>
        <w:jc w:val="both"/>
        <w:rPr>
          <w:sz w:val="24"/>
        </w:rPr>
      </w:pPr>
      <w:r>
        <w:rPr>
          <w:sz w:val="24"/>
        </w:rPr>
        <w:t>An opt-in register must include the</w:t>
      </w:r>
      <w:r>
        <w:rPr>
          <w:spacing w:val="-1"/>
          <w:sz w:val="24"/>
        </w:rPr>
        <w:t> </w:t>
      </w:r>
      <w:r>
        <w:rPr>
          <w:sz w:val="24"/>
        </w:rPr>
        <w:t>following:</w:t>
      </w:r>
    </w:p>
    <w:p>
      <w:pPr>
        <w:pStyle w:val="ListParagraph"/>
        <w:numPr>
          <w:ilvl w:val="1"/>
          <w:numId w:val="85"/>
        </w:numPr>
        <w:tabs>
          <w:tab w:pos="2486" w:val="left" w:leader="none"/>
        </w:tabs>
        <w:spacing w:line="240" w:lineRule="auto" w:before="120" w:after="0"/>
        <w:ind w:left="2485" w:right="0" w:hanging="567"/>
        <w:jc w:val="both"/>
        <w:rPr>
          <w:sz w:val="24"/>
        </w:rPr>
      </w:pPr>
      <w:r>
        <w:rPr>
          <w:sz w:val="24"/>
        </w:rPr>
        <w:t>a list of registered large opt-in customers and their </w:t>
      </w:r>
      <w:r>
        <w:rPr>
          <w:i/>
          <w:sz w:val="24"/>
        </w:rPr>
        <w:t>connection</w:t>
      </w:r>
      <w:r>
        <w:rPr>
          <w:i/>
          <w:spacing w:val="-3"/>
          <w:sz w:val="24"/>
        </w:rPr>
        <w:t> </w:t>
      </w:r>
      <w:r>
        <w:rPr>
          <w:i/>
          <w:sz w:val="24"/>
        </w:rPr>
        <w:t>points</w:t>
      </w:r>
      <w:r>
        <w:rPr>
          <w:sz w:val="24"/>
        </w:rPr>
        <w:t>;</w:t>
      </w:r>
    </w:p>
    <w:p>
      <w:pPr>
        <w:pStyle w:val="ListParagraph"/>
        <w:numPr>
          <w:ilvl w:val="1"/>
          <w:numId w:val="85"/>
        </w:numPr>
        <w:tabs>
          <w:tab w:pos="2486" w:val="left" w:leader="none"/>
        </w:tabs>
        <w:spacing w:line="240" w:lineRule="auto" w:before="120" w:after="0"/>
        <w:ind w:left="2486" w:right="414" w:hanging="567"/>
        <w:jc w:val="both"/>
        <w:rPr>
          <w:sz w:val="24"/>
        </w:rPr>
      </w:pPr>
      <w:r>
        <w:rPr>
          <w:sz w:val="24"/>
        </w:rPr>
        <w:t>a list of registered prescribed opt-in customers and their </w:t>
      </w:r>
      <w:r>
        <w:rPr>
          <w:i/>
          <w:sz w:val="24"/>
        </w:rPr>
        <w:t>connection </w:t>
      </w:r>
      <w:r>
        <w:rPr>
          <w:i/>
          <w:sz w:val="24"/>
        </w:rPr>
        <w:t>points</w:t>
      </w:r>
      <w:r>
        <w:rPr>
          <w:sz w:val="24"/>
        </w:rPr>
        <w:t>;</w:t>
      </w:r>
    </w:p>
    <w:p>
      <w:pPr>
        <w:pStyle w:val="ListParagraph"/>
        <w:numPr>
          <w:ilvl w:val="1"/>
          <w:numId w:val="85"/>
        </w:numPr>
        <w:tabs>
          <w:tab w:pos="2486" w:val="left" w:leader="none"/>
        </w:tabs>
        <w:spacing w:line="240" w:lineRule="auto" w:before="120" w:after="0"/>
        <w:ind w:left="2486" w:right="415" w:hanging="567"/>
        <w:jc w:val="both"/>
        <w:rPr>
          <w:sz w:val="24"/>
        </w:rPr>
      </w:pPr>
      <w:r>
        <w:rPr>
          <w:sz w:val="24"/>
        </w:rPr>
        <w:t>for prescribed opt-in customers, the percentage of the </w:t>
      </w:r>
      <w:r>
        <w:rPr>
          <w:i/>
          <w:sz w:val="24"/>
        </w:rPr>
        <w:t>load </w:t>
      </w:r>
      <w:r>
        <w:rPr>
          <w:sz w:val="24"/>
        </w:rPr>
        <w:t>for which they are a liable entity at their </w:t>
      </w:r>
      <w:r>
        <w:rPr>
          <w:i/>
          <w:sz w:val="24"/>
        </w:rPr>
        <w:t>connection points</w:t>
      </w:r>
      <w:r>
        <w:rPr>
          <w:sz w:val="24"/>
        </w:rPr>
        <w:t>;</w:t>
      </w:r>
      <w:r>
        <w:rPr>
          <w:spacing w:val="-4"/>
          <w:sz w:val="24"/>
        </w:rPr>
        <w:t> </w:t>
      </w:r>
      <w:r>
        <w:rPr>
          <w:sz w:val="24"/>
        </w:rPr>
        <w:t>and</w:t>
      </w:r>
    </w:p>
    <w:p>
      <w:pPr>
        <w:pStyle w:val="ListParagraph"/>
        <w:numPr>
          <w:ilvl w:val="1"/>
          <w:numId w:val="85"/>
        </w:numPr>
        <w:tabs>
          <w:tab w:pos="2486" w:val="left" w:leader="none"/>
        </w:tabs>
        <w:spacing w:line="240" w:lineRule="auto" w:before="120" w:after="0"/>
        <w:ind w:left="2485" w:right="0" w:hanging="567"/>
        <w:jc w:val="both"/>
        <w:rPr>
          <w:sz w:val="24"/>
        </w:rPr>
      </w:pPr>
      <w:r>
        <w:rPr>
          <w:sz w:val="24"/>
        </w:rPr>
        <w:t>any other matters the </w:t>
      </w:r>
      <w:r>
        <w:rPr>
          <w:i/>
          <w:sz w:val="24"/>
        </w:rPr>
        <w:t>AER </w:t>
      </w:r>
      <w:r>
        <w:rPr>
          <w:sz w:val="24"/>
        </w:rPr>
        <w:t>considers</w:t>
      </w:r>
      <w:r>
        <w:rPr>
          <w:spacing w:val="-1"/>
          <w:sz w:val="24"/>
        </w:rPr>
        <w:t> </w:t>
      </w:r>
      <w:r>
        <w:rPr>
          <w:sz w:val="24"/>
        </w:rPr>
        <w:t>appropriate.</w:t>
      </w:r>
    </w:p>
    <w:p>
      <w:pPr>
        <w:pStyle w:val="ListParagraph"/>
        <w:numPr>
          <w:ilvl w:val="0"/>
          <w:numId w:val="85"/>
        </w:numPr>
        <w:tabs>
          <w:tab w:pos="1919" w:val="left" w:leader="none"/>
        </w:tabs>
        <w:spacing w:line="240" w:lineRule="auto" w:before="120" w:after="0"/>
        <w:ind w:left="1919" w:right="415" w:hanging="567"/>
        <w:jc w:val="both"/>
        <w:rPr>
          <w:sz w:val="24"/>
        </w:rPr>
      </w:pPr>
      <w:r>
        <w:rPr>
          <w:sz w:val="24"/>
        </w:rPr>
        <w:t>The </w:t>
      </w:r>
      <w:r>
        <w:rPr>
          <w:i/>
          <w:sz w:val="24"/>
        </w:rPr>
        <w:t>AER's </w:t>
      </w:r>
      <w:r>
        <w:rPr>
          <w:sz w:val="24"/>
        </w:rPr>
        <w:t>obligation to maintain an opt-in register ends on publication of a notice by the </w:t>
      </w:r>
      <w:r>
        <w:rPr>
          <w:i/>
          <w:sz w:val="24"/>
        </w:rPr>
        <w:t>AER </w:t>
      </w:r>
      <w:r>
        <w:rPr>
          <w:sz w:val="24"/>
        </w:rPr>
        <w:t>under clause 4A.C.5(b) or, if a T-1 reliability instrument is made, at the end of the </w:t>
      </w:r>
      <w:r>
        <w:rPr>
          <w:i/>
          <w:sz w:val="24"/>
        </w:rPr>
        <w:t>reliability gap</w:t>
      </w:r>
      <w:r>
        <w:rPr>
          <w:i/>
          <w:spacing w:val="-2"/>
          <w:sz w:val="24"/>
        </w:rPr>
        <w:t> </w:t>
      </w:r>
      <w:r>
        <w:rPr>
          <w:i/>
          <w:sz w:val="24"/>
        </w:rPr>
        <w:t>period</w:t>
      </w:r>
      <w:r>
        <w:rPr>
          <w:sz w:val="24"/>
        </w:rPr>
        <w:t>.</w:t>
      </w:r>
    </w:p>
    <w:p>
      <w:pPr>
        <w:pStyle w:val="ListParagraph"/>
        <w:numPr>
          <w:ilvl w:val="0"/>
          <w:numId w:val="85"/>
        </w:numPr>
        <w:tabs>
          <w:tab w:pos="1919" w:val="left" w:leader="none"/>
        </w:tabs>
        <w:spacing w:line="240" w:lineRule="auto" w:before="120" w:after="0"/>
        <w:ind w:left="1918" w:right="0" w:hanging="567"/>
        <w:jc w:val="both"/>
        <w:rPr>
          <w:sz w:val="24"/>
        </w:rPr>
      </w:pPr>
      <w:r>
        <w:rPr>
          <w:sz w:val="24"/>
        </w:rPr>
        <w:t>A person must apply to be an opt-in customer for each opt-in</w:t>
      </w:r>
      <w:r>
        <w:rPr>
          <w:spacing w:val="-2"/>
          <w:sz w:val="24"/>
        </w:rPr>
        <w:t> </w:t>
      </w:r>
      <w:r>
        <w:rPr>
          <w:sz w:val="24"/>
        </w:rPr>
        <w:t>register.</w:t>
      </w:r>
    </w:p>
    <w:p>
      <w:pPr>
        <w:pStyle w:val="BodyText"/>
        <w:spacing w:before="10"/>
        <w:ind w:firstLine="0"/>
        <w:jc w:val="left"/>
        <w:rPr>
          <w:sz w:val="20"/>
        </w:rPr>
      </w:pPr>
    </w:p>
    <w:p>
      <w:pPr>
        <w:pStyle w:val="Heading4"/>
        <w:tabs>
          <w:tab w:pos="1351" w:val="left" w:leader="none"/>
        </w:tabs>
        <w:ind w:left="218" w:firstLine="0"/>
      </w:pPr>
      <w:bookmarkStart w:name="4A.D.10 Changes to register" w:id="170"/>
      <w:bookmarkEnd w:id="170"/>
      <w:r>
        <w:rPr>
          <w:b w:val="0"/>
        </w:rPr>
      </w:r>
      <w:bookmarkStart w:name="_bookmark68" w:id="171"/>
      <w:bookmarkEnd w:id="171"/>
      <w:r>
        <w:rPr>
          <w:b w:val="0"/>
        </w:rPr>
      </w:r>
      <w:r>
        <w:rPr/>
        <w:t>4A.D.10</w:t>
        <w:tab/>
        <w:t>Changes to</w:t>
      </w:r>
      <w:r>
        <w:rPr>
          <w:spacing w:val="-15"/>
        </w:rPr>
        <w:t> </w:t>
      </w:r>
      <w:r>
        <w:rPr/>
        <w:t>register</w:t>
      </w:r>
    </w:p>
    <w:p>
      <w:pPr>
        <w:pStyle w:val="ListParagraph"/>
        <w:numPr>
          <w:ilvl w:val="0"/>
          <w:numId w:val="86"/>
        </w:numPr>
        <w:tabs>
          <w:tab w:pos="1919" w:val="left" w:leader="none"/>
        </w:tabs>
        <w:spacing w:line="240" w:lineRule="auto" w:before="120" w:after="0"/>
        <w:ind w:left="1919" w:right="415" w:hanging="567"/>
        <w:jc w:val="both"/>
        <w:rPr>
          <w:sz w:val="24"/>
        </w:rPr>
      </w:pPr>
      <w:r>
        <w:rPr>
          <w:sz w:val="24"/>
        </w:rPr>
        <w:t>An opt-in customer may, before the opt-in cut-off day, apply to the </w:t>
      </w:r>
      <w:r>
        <w:rPr>
          <w:i/>
          <w:sz w:val="24"/>
        </w:rPr>
        <w:t>AER </w:t>
      </w:r>
      <w:r>
        <w:rPr>
          <w:sz w:val="24"/>
        </w:rPr>
        <w:t>for approval to be deregistered as an opt-in customer for a </w:t>
      </w:r>
      <w:r>
        <w:rPr>
          <w:i/>
          <w:sz w:val="24"/>
        </w:rPr>
        <w:t>connection</w:t>
      </w:r>
      <w:r>
        <w:rPr>
          <w:i/>
          <w:spacing w:val="-3"/>
          <w:sz w:val="24"/>
        </w:rPr>
        <w:t> </w:t>
      </w:r>
      <w:r>
        <w:rPr>
          <w:i/>
          <w:sz w:val="24"/>
        </w:rPr>
        <w:t>point</w:t>
      </w:r>
      <w:r>
        <w:rPr>
          <w:sz w:val="24"/>
        </w:rPr>
        <w:t>.</w:t>
      </w:r>
    </w:p>
    <w:p>
      <w:pPr>
        <w:pStyle w:val="ListParagraph"/>
        <w:numPr>
          <w:ilvl w:val="0"/>
          <w:numId w:val="86"/>
        </w:numPr>
        <w:tabs>
          <w:tab w:pos="1919" w:val="left" w:leader="none"/>
        </w:tabs>
        <w:spacing w:line="240" w:lineRule="auto" w:before="120" w:after="0"/>
        <w:ind w:left="1919" w:right="415" w:hanging="567"/>
        <w:jc w:val="both"/>
        <w:rPr>
          <w:sz w:val="24"/>
        </w:rPr>
      </w:pPr>
      <w:r>
        <w:rPr>
          <w:sz w:val="24"/>
        </w:rPr>
        <w:t>A prescribed opt-in customer may, before the opt-in cut-off day, apply </w:t>
      </w:r>
      <w:r>
        <w:rPr>
          <w:spacing w:val="-6"/>
          <w:sz w:val="24"/>
        </w:rPr>
        <w:t>to  </w:t>
      </w:r>
      <w:r>
        <w:rPr>
          <w:sz w:val="24"/>
        </w:rPr>
        <w:t>the </w:t>
      </w:r>
      <w:r>
        <w:rPr>
          <w:i/>
          <w:sz w:val="24"/>
        </w:rPr>
        <w:t>AER </w:t>
      </w:r>
      <w:r>
        <w:rPr>
          <w:sz w:val="24"/>
        </w:rPr>
        <w:t>for approval to change the percentage of the </w:t>
      </w:r>
      <w:r>
        <w:rPr>
          <w:i/>
          <w:sz w:val="24"/>
        </w:rPr>
        <w:t>load </w:t>
      </w:r>
      <w:r>
        <w:rPr>
          <w:sz w:val="24"/>
        </w:rPr>
        <w:t>at a </w:t>
      </w:r>
      <w:r>
        <w:rPr>
          <w:i/>
          <w:sz w:val="24"/>
        </w:rPr>
        <w:t>connection </w:t>
      </w:r>
      <w:r>
        <w:rPr>
          <w:i/>
          <w:sz w:val="24"/>
        </w:rPr>
        <w:t>point </w:t>
      </w:r>
      <w:r>
        <w:rPr>
          <w:sz w:val="24"/>
        </w:rPr>
        <w:t>for which it is</w:t>
      </w:r>
      <w:r>
        <w:rPr>
          <w:spacing w:val="-2"/>
          <w:sz w:val="24"/>
        </w:rPr>
        <w:t> </w:t>
      </w:r>
      <w:r>
        <w:rPr>
          <w:sz w:val="24"/>
        </w:rPr>
        <w:t>registered.</w:t>
      </w:r>
    </w:p>
    <w:p>
      <w:pPr>
        <w:pStyle w:val="ListParagraph"/>
        <w:numPr>
          <w:ilvl w:val="0"/>
          <w:numId w:val="86"/>
        </w:numPr>
        <w:tabs>
          <w:tab w:pos="1919" w:val="left" w:leader="none"/>
        </w:tabs>
        <w:spacing w:line="240" w:lineRule="auto" w:before="120" w:after="0"/>
        <w:ind w:left="1919" w:right="416" w:hanging="567"/>
        <w:jc w:val="both"/>
        <w:rPr>
          <w:sz w:val="24"/>
        </w:rPr>
      </w:pPr>
      <w:r>
        <w:rPr>
          <w:sz w:val="24"/>
        </w:rPr>
        <w:t>An application under paragraph (a) or (b) must comply with the AER Opt-In Guidelines.</w:t>
      </w:r>
    </w:p>
    <w:p>
      <w:pPr>
        <w:pStyle w:val="ListParagraph"/>
        <w:numPr>
          <w:ilvl w:val="0"/>
          <w:numId w:val="86"/>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not approve an application under paragraph (a) unless the </w:t>
      </w:r>
      <w:r>
        <w:rPr>
          <w:i/>
          <w:sz w:val="24"/>
        </w:rPr>
        <w:t>Market Customer </w:t>
      </w:r>
      <w:r>
        <w:rPr>
          <w:sz w:val="24"/>
        </w:rPr>
        <w:t>for that </w:t>
      </w:r>
      <w:r>
        <w:rPr>
          <w:i/>
          <w:sz w:val="24"/>
        </w:rPr>
        <w:t>connection point </w:t>
      </w:r>
      <w:r>
        <w:rPr>
          <w:sz w:val="24"/>
        </w:rPr>
        <w:t>consents to the application and/or the </w:t>
      </w:r>
      <w:r>
        <w:rPr>
          <w:i/>
          <w:sz w:val="24"/>
        </w:rPr>
        <w:t>AER </w:t>
      </w:r>
      <w:r>
        <w:rPr>
          <w:sz w:val="24"/>
        </w:rPr>
        <w:t>has approved an application for another person to be an opt- in customer for that </w:t>
      </w:r>
      <w:r>
        <w:rPr>
          <w:i/>
          <w:sz w:val="24"/>
        </w:rPr>
        <w:t>connection</w:t>
      </w:r>
      <w:r>
        <w:rPr>
          <w:i/>
          <w:spacing w:val="-1"/>
          <w:sz w:val="24"/>
        </w:rPr>
        <w:t> </w:t>
      </w:r>
      <w:r>
        <w:rPr>
          <w:i/>
          <w:sz w:val="24"/>
        </w:rPr>
        <w:t>point</w:t>
      </w:r>
      <w:r>
        <w:rPr>
          <w:sz w:val="24"/>
        </w:rPr>
        <w:t>.</w:t>
      </w:r>
    </w:p>
    <w:p>
      <w:pPr>
        <w:pStyle w:val="ListParagraph"/>
        <w:numPr>
          <w:ilvl w:val="0"/>
          <w:numId w:val="86"/>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not approve an application under paragraph (b) unless the </w:t>
      </w:r>
      <w:r>
        <w:rPr>
          <w:i/>
          <w:sz w:val="24"/>
        </w:rPr>
        <w:t>Market Customer </w:t>
      </w:r>
      <w:r>
        <w:rPr>
          <w:sz w:val="24"/>
        </w:rPr>
        <w:t>and/or any prescribed opt-in customer (where the change would affect the percentage of the </w:t>
      </w:r>
      <w:r>
        <w:rPr>
          <w:i/>
          <w:sz w:val="24"/>
        </w:rPr>
        <w:t>load </w:t>
      </w:r>
      <w:r>
        <w:rPr>
          <w:sz w:val="24"/>
        </w:rPr>
        <w:t>for which that prescribed opt-in customer is registered) at that </w:t>
      </w:r>
      <w:r>
        <w:rPr>
          <w:i/>
          <w:sz w:val="24"/>
        </w:rPr>
        <w:t>connection point </w:t>
      </w:r>
      <w:r>
        <w:rPr>
          <w:sz w:val="24"/>
        </w:rPr>
        <w:t>consents to the</w:t>
      </w:r>
      <w:r>
        <w:rPr>
          <w:spacing w:val="-5"/>
          <w:sz w:val="24"/>
        </w:rPr>
        <w:t> </w:t>
      </w:r>
      <w:r>
        <w:rPr>
          <w:sz w:val="24"/>
        </w:rPr>
        <w:t>application.</w:t>
      </w:r>
    </w:p>
    <w:p>
      <w:pPr>
        <w:pStyle w:val="BodyText"/>
        <w:spacing w:before="10"/>
        <w:ind w:firstLine="0"/>
        <w:jc w:val="left"/>
        <w:rPr>
          <w:sz w:val="20"/>
        </w:rPr>
      </w:pPr>
    </w:p>
    <w:p>
      <w:pPr>
        <w:pStyle w:val="Heading4"/>
        <w:tabs>
          <w:tab w:pos="1351" w:val="left" w:leader="none"/>
        </w:tabs>
        <w:ind w:left="218" w:firstLine="0"/>
      </w:pPr>
      <w:bookmarkStart w:name="4A.D.11 AER register taken to be correct" w:id="172"/>
      <w:bookmarkEnd w:id="172"/>
      <w:r>
        <w:rPr>
          <w:b w:val="0"/>
        </w:rPr>
      </w:r>
      <w:bookmarkStart w:name="_bookmark69" w:id="173"/>
      <w:bookmarkEnd w:id="173"/>
      <w:r>
        <w:rPr>
          <w:b w:val="0"/>
        </w:rPr>
      </w:r>
      <w:r>
        <w:rPr/>
        <w:t>4A.D.11</w:t>
        <w:tab/>
        <w:t>AER register taken to be</w:t>
      </w:r>
      <w:r>
        <w:rPr>
          <w:spacing w:val="-5"/>
        </w:rPr>
        <w:t> </w:t>
      </w:r>
      <w:r>
        <w:rPr/>
        <w:t>correct</w:t>
      </w:r>
    </w:p>
    <w:p>
      <w:pPr>
        <w:pStyle w:val="ListParagraph"/>
        <w:numPr>
          <w:ilvl w:val="0"/>
          <w:numId w:val="87"/>
        </w:numPr>
        <w:tabs>
          <w:tab w:pos="1919" w:val="left" w:leader="none"/>
        </w:tabs>
        <w:spacing w:line="240" w:lineRule="auto" w:before="120" w:after="0"/>
        <w:ind w:left="1919" w:right="415" w:hanging="567"/>
        <w:jc w:val="both"/>
        <w:rPr>
          <w:sz w:val="24"/>
        </w:rPr>
      </w:pPr>
      <w:r>
        <w:rPr>
          <w:sz w:val="24"/>
        </w:rPr>
        <w:t>A certificate signed by an authorised officer of the </w:t>
      </w:r>
      <w:r>
        <w:rPr>
          <w:i/>
          <w:sz w:val="24"/>
        </w:rPr>
        <w:t>AER </w:t>
      </w:r>
      <w:r>
        <w:rPr>
          <w:sz w:val="24"/>
        </w:rPr>
        <w:t>stating that a person was recorded as an opt-in customer for a </w:t>
      </w:r>
      <w:r>
        <w:rPr>
          <w:i/>
          <w:sz w:val="24"/>
        </w:rPr>
        <w:t>connection point </w:t>
      </w:r>
      <w:r>
        <w:rPr>
          <w:sz w:val="24"/>
        </w:rPr>
        <w:t>in the opt-in register at a particular time is evidence that the person was registered in that opt-in register at that</w:t>
      </w:r>
      <w:r>
        <w:rPr>
          <w:spacing w:val="-2"/>
          <w:sz w:val="24"/>
        </w:rPr>
        <w:t> </w:t>
      </w:r>
      <w:r>
        <w:rPr>
          <w:sz w:val="24"/>
        </w:rPr>
        <w:t>time.</w:t>
      </w:r>
    </w:p>
    <w:p>
      <w:pPr>
        <w:pStyle w:val="ListParagraph"/>
        <w:numPr>
          <w:ilvl w:val="0"/>
          <w:numId w:val="87"/>
        </w:numPr>
        <w:tabs>
          <w:tab w:pos="1919" w:val="left" w:leader="none"/>
        </w:tabs>
        <w:spacing w:line="240" w:lineRule="auto" w:before="120" w:after="0"/>
        <w:ind w:left="1918" w:right="0" w:hanging="567"/>
        <w:jc w:val="both"/>
        <w:rPr>
          <w:sz w:val="24"/>
        </w:rPr>
      </w:pPr>
      <w:r>
        <w:rPr>
          <w:sz w:val="24"/>
        </w:rPr>
        <w:t>In this clause</w:t>
      </w:r>
      <w:r>
        <w:rPr>
          <w:spacing w:val="-1"/>
          <w:sz w:val="24"/>
        </w:rPr>
        <w:t> </w:t>
      </w:r>
      <w:r>
        <w:rPr>
          <w:sz w:val="24"/>
        </w:rPr>
        <w:t>–</w:t>
      </w:r>
    </w:p>
    <w:p>
      <w:pPr>
        <w:spacing w:before="120"/>
        <w:ind w:left="1919" w:right="0" w:firstLine="0"/>
        <w:jc w:val="left"/>
        <w:rPr>
          <w:sz w:val="24"/>
        </w:rPr>
      </w:pPr>
      <w:r>
        <w:rPr>
          <w:b/>
          <w:sz w:val="24"/>
        </w:rPr>
        <w:t>authorised officer</w:t>
      </w:r>
      <w:r>
        <w:rPr>
          <w:sz w:val="24"/>
        </w:rPr>
        <w:t>, of the </w:t>
      </w:r>
      <w:r>
        <w:rPr>
          <w:i/>
          <w:sz w:val="24"/>
        </w:rPr>
        <w:t>AER</w:t>
      </w:r>
      <w:r>
        <w:rPr>
          <w:sz w:val="24"/>
        </w:rPr>
        <w:t>, means –</w:t>
      </w:r>
    </w:p>
    <w:p>
      <w:pPr>
        <w:pStyle w:val="ListParagraph"/>
        <w:numPr>
          <w:ilvl w:val="1"/>
          <w:numId w:val="87"/>
        </w:numPr>
        <w:tabs>
          <w:tab w:pos="2485" w:val="left" w:leader="none"/>
          <w:tab w:pos="2486" w:val="left" w:leader="none"/>
        </w:tabs>
        <w:spacing w:line="240" w:lineRule="auto" w:before="120" w:after="0"/>
        <w:ind w:left="2485" w:right="0" w:hanging="567"/>
        <w:jc w:val="left"/>
        <w:rPr>
          <w:sz w:val="24"/>
        </w:rPr>
      </w:pPr>
      <w:r>
        <w:rPr>
          <w:sz w:val="24"/>
        </w:rPr>
        <w:t>an </w:t>
      </w:r>
      <w:r>
        <w:rPr>
          <w:i/>
          <w:sz w:val="24"/>
        </w:rPr>
        <w:t>AER </w:t>
      </w:r>
      <w:r>
        <w:rPr>
          <w:sz w:val="24"/>
        </w:rPr>
        <w:t>member;</w:t>
      </w:r>
      <w:r>
        <w:rPr>
          <w:spacing w:val="-1"/>
          <w:sz w:val="24"/>
        </w:rPr>
        <w:t> </w:t>
      </w:r>
      <w:r>
        <w:rPr>
          <w:sz w:val="24"/>
        </w:rPr>
        <w:t>or</w:t>
      </w:r>
    </w:p>
    <w:p>
      <w:pPr>
        <w:pStyle w:val="ListParagraph"/>
        <w:numPr>
          <w:ilvl w:val="1"/>
          <w:numId w:val="87"/>
        </w:numPr>
        <w:tabs>
          <w:tab w:pos="2485" w:val="left" w:leader="none"/>
          <w:tab w:pos="2486" w:val="left" w:leader="none"/>
        </w:tabs>
        <w:spacing w:line="240" w:lineRule="auto" w:before="120" w:after="0"/>
        <w:ind w:left="2485" w:right="0" w:hanging="567"/>
        <w:jc w:val="left"/>
        <w:rPr>
          <w:sz w:val="24"/>
        </w:rPr>
      </w:pPr>
      <w:r>
        <w:rPr>
          <w:sz w:val="24"/>
        </w:rPr>
        <w:t>a person authorised by the </w:t>
      </w:r>
      <w:r>
        <w:rPr>
          <w:i/>
          <w:sz w:val="24"/>
        </w:rPr>
        <w:t>AER </w:t>
      </w:r>
      <w:r>
        <w:rPr>
          <w:sz w:val="24"/>
        </w:rPr>
        <w:t>to issue certificates under this</w:t>
      </w:r>
      <w:r>
        <w:rPr>
          <w:spacing w:val="-3"/>
          <w:sz w:val="24"/>
        </w:rPr>
        <w:t> </w:t>
      </w:r>
      <w:r>
        <w:rPr>
          <w:sz w:val="24"/>
        </w:rPr>
        <w:t>clause.</w:t>
      </w:r>
    </w:p>
    <w:p>
      <w:pPr>
        <w:spacing w:after="0" w:line="240" w:lineRule="auto"/>
        <w:jc w:val="left"/>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4A.D.12 AEMO Opt-In Procedures" w:id="174"/>
      <w:bookmarkEnd w:id="174"/>
      <w:r>
        <w:rPr>
          <w:b w:val="0"/>
        </w:rPr>
      </w:r>
      <w:bookmarkStart w:name="_bookmark70" w:id="175"/>
      <w:bookmarkEnd w:id="175"/>
      <w:r>
        <w:rPr>
          <w:b w:val="0"/>
        </w:rPr>
      </w:r>
      <w:r>
        <w:rPr/>
        <w:t>4A.D.12</w:t>
        <w:tab/>
        <w:t>AEMO Opt-In</w:t>
      </w:r>
      <w:r>
        <w:rPr>
          <w:spacing w:val="-2"/>
        </w:rPr>
        <w:t> </w:t>
      </w:r>
      <w:r>
        <w:rPr/>
        <w:t>Procedures</w:t>
      </w:r>
    </w:p>
    <w:p>
      <w:pPr>
        <w:pStyle w:val="ListParagraph"/>
        <w:numPr>
          <w:ilvl w:val="0"/>
          <w:numId w:val="88"/>
        </w:numPr>
        <w:tabs>
          <w:tab w:pos="1919" w:val="left" w:leader="none"/>
        </w:tabs>
        <w:spacing w:line="240" w:lineRule="auto" w:before="120" w:after="0"/>
        <w:ind w:left="1919" w:right="414" w:hanging="567"/>
        <w:jc w:val="both"/>
        <w:rPr>
          <w:sz w:val="24"/>
        </w:rPr>
      </w:pPr>
      <w:r>
        <w:rPr>
          <w:i/>
          <w:sz w:val="24"/>
        </w:rPr>
        <w:t>AEMO </w:t>
      </w:r>
      <w:r>
        <w:rPr>
          <w:sz w:val="24"/>
        </w:rPr>
        <w:t>may, but is not required to, develop, publish on its website and maintain, in accordance with the </w:t>
      </w:r>
      <w:r>
        <w:rPr>
          <w:i/>
          <w:sz w:val="24"/>
        </w:rPr>
        <w:t>Rules consultation procedures</w:t>
      </w:r>
      <w:r>
        <w:rPr>
          <w:sz w:val="24"/>
        </w:rPr>
        <w:t>, the AEMO Opt-In</w:t>
      </w:r>
      <w:r>
        <w:rPr>
          <w:spacing w:val="-2"/>
          <w:sz w:val="24"/>
        </w:rPr>
        <w:t> </w:t>
      </w:r>
      <w:r>
        <w:rPr>
          <w:sz w:val="24"/>
        </w:rPr>
        <w:t>Procedures.</w:t>
      </w:r>
    </w:p>
    <w:p>
      <w:pPr>
        <w:pStyle w:val="ListParagraph"/>
        <w:numPr>
          <w:ilvl w:val="0"/>
          <w:numId w:val="88"/>
        </w:numPr>
        <w:tabs>
          <w:tab w:pos="1919" w:val="left" w:leader="none"/>
        </w:tabs>
        <w:spacing w:line="240" w:lineRule="auto" w:before="120" w:after="0"/>
        <w:ind w:left="1918" w:right="0" w:hanging="567"/>
        <w:jc w:val="both"/>
        <w:rPr>
          <w:sz w:val="24"/>
        </w:rPr>
      </w:pPr>
      <w:r>
        <w:rPr>
          <w:sz w:val="24"/>
        </w:rPr>
        <w:t>The </w:t>
      </w:r>
      <w:r>
        <w:rPr>
          <w:i/>
          <w:sz w:val="24"/>
        </w:rPr>
        <w:t>AEMO </w:t>
      </w:r>
      <w:r>
        <w:rPr>
          <w:sz w:val="24"/>
        </w:rPr>
        <w:t>Opt-In Procedures may</w:t>
      </w:r>
      <w:r>
        <w:rPr>
          <w:spacing w:val="-5"/>
          <w:sz w:val="24"/>
        </w:rPr>
        <w:t> </w:t>
      </w:r>
      <w:r>
        <w:rPr>
          <w:sz w:val="24"/>
        </w:rPr>
        <w:t>include:</w:t>
      </w:r>
    </w:p>
    <w:p>
      <w:pPr>
        <w:pStyle w:val="ListParagraph"/>
        <w:numPr>
          <w:ilvl w:val="1"/>
          <w:numId w:val="88"/>
        </w:numPr>
        <w:tabs>
          <w:tab w:pos="2486" w:val="left" w:leader="none"/>
        </w:tabs>
        <w:spacing w:line="240" w:lineRule="auto" w:before="120" w:after="0"/>
        <w:ind w:left="2485" w:right="0" w:hanging="567"/>
        <w:jc w:val="both"/>
        <w:rPr>
          <w:sz w:val="24"/>
        </w:rPr>
      </w:pPr>
      <w:r>
        <w:rPr>
          <w:sz w:val="24"/>
        </w:rPr>
        <w:t>the creditworthiness requirements to register as an opt-in</w:t>
      </w:r>
      <w:r>
        <w:rPr>
          <w:spacing w:val="-2"/>
          <w:sz w:val="24"/>
        </w:rPr>
        <w:t> </w:t>
      </w:r>
      <w:r>
        <w:rPr>
          <w:sz w:val="24"/>
        </w:rPr>
        <w:t>customer;</w:t>
      </w:r>
    </w:p>
    <w:p>
      <w:pPr>
        <w:pStyle w:val="ListParagraph"/>
        <w:numPr>
          <w:ilvl w:val="1"/>
          <w:numId w:val="88"/>
        </w:numPr>
        <w:tabs>
          <w:tab w:pos="2486" w:val="left" w:leader="none"/>
        </w:tabs>
        <w:spacing w:line="240" w:lineRule="auto" w:before="120" w:after="0"/>
        <w:ind w:left="2486" w:right="415" w:hanging="567"/>
        <w:jc w:val="both"/>
        <w:rPr>
          <w:sz w:val="24"/>
        </w:rPr>
      </w:pPr>
      <w:r>
        <w:rPr>
          <w:sz w:val="24"/>
        </w:rPr>
        <w:t>the methodology for determining the amount of credit support required;</w:t>
      </w:r>
      <w:r>
        <w:rPr>
          <w:spacing w:val="-1"/>
          <w:sz w:val="24"/>
        </w:rPr>
        <w:t> </w:t>
      </w:r>
      <w:r>
        <w:rPr>
          <w:sz w:val="24"/>
        </w:rPr>
        <w:t>and</w:t>
      </w:r>
    </w:p>
    <w:p>
      <w:pPr>
        <w:pStyle w:val="ListParagraph"/>
        <w:numPr>
          <w:ilvl w:val="1"/>
          <w:numId w:val="88"/>
        </w:numPr>
        <w:tabs>
          <w:tab w:pos="2486" w:val="left" w:leader="none"/>
        </w:tabs>
        <w:spacing w:line="240" w:lineRule="auto" w:before="120" w:after="0"/>
        <w:ind w:left="2486" w:right="415" w:hanging="567"/>
        <w:jc w:val="both"/>
        <w:rPr>
          <w:sz w:val="24"/>
        </w:rPr>
      </w:pPr>
      <w:r>
        <w:rPr>
          <w:sz w:val="24"/>
        </w:rPr>
        <w:t>the form of credit support, the criteria for acceptable credit support providers and the process for lodging, drawing upon, </w:t>
      </w:r>
      <w:r>
        <w:rPr>
          <w:spacing w:val="-3"/>
          <w:sz w:val="24"/>
        </w:rPr>
        <w:t>maintaining, </w:t>
      </w:r>
      <w:r>
        <w:rPr>
          <w:sz w:val="24"/>
        </w:rPr>
        <w:t>replacing, changing or returning credit</w:t>
      </w:r>
      <w:r>
        <w:rPr>
          <w:spacing w:val="-2"/>
          <w:sz w:val="24"/>
        </w:rPr>
        <w:t> </w:t>
      </w:r>
      <w:r>
        <w:rPr>
          <w:sz w:val="24"/>
        </w:rPr>
        <w:t>support.</w:t>
      </w:r>
    </w:p>
    <w:p>
      <w:pPr>
        <w:pStyle w:val="ListParagraph"/>
        <w:numPr>
          <w:ilvl w:val="0"/>
          <w:numId w:val="88"/>
        </w:numPr>
        <w:tabs>
          <w:tab w:pos="1919" w:val="left" w:leader="none"/>
        </w:tabs>
        <w:spacing w:line="240" w:lineRule="auto" w:before="120" w:after="0"/>
        <w:ind w:left="1919" w:right="415" w:hanging="567"/>
        <w:jc w:val="both"/>
        <w:rPr>
          <w:sz w:val="24"/>
        </w:rPr>
      </w:pPr>
      <w:r>
        <w:rPr>
          <w:i/>
          <w:sz w:val="24"/>
        </w:rPr>
        <w:t>AEMO </w:t>
      </w:r>
      <w:r>
        <w:rPr>
          <w:sz w:val="24"/>
        </w:rPr>
        <w:t>may make minor or administrative amendments to the AEMO Opt- In Procedures without complying with the </w:t>
      </w:r>
      <w:r>
        <w:rPr>
          <w:i/>
          <w:sz w:val="24"/>
        </w:rPr>
        <w:t>Rules consultation</w:t>
      </w:r>
      <w:r>
        <w:rPr>
          <w:i/>
          <w:spacing w:val="-16"/>
          <w:sz w:val="24"/>
        </w:rPr>
        <w:t> </w:t>
      </w:r>
      <w:r>
        <w:rPr>
          <w:i/>
          <w:sz w:val="24"/>
        </w:rPr>
        <w:t>procedures</w:t>
      </w:r>
      <w:r>
        <w:rPr>
          <w:sz w:val="24"/>
        </w:rPr>
        <w:t>.</w:t>
      </w:r>
    </w:p>
    <w:p>
      <w:pPr>
        <w:pStyle w:val="BodyText"/>
        <w:spacing w:before="10"/>
        <w:ind w:firstLine="0"/>
        <w:jc w:val="left"/>
        <w:rPr>
          <w:sz w:val="20"/>
        </w:rPr>
      </w:pPr>
    </w:p>
    <w:p>
      <w:pPr>
        <w:pStyle w:val="Heading4"/>
        <w:tabs>
          <w:tab w:pos="1351" w:val="left" w:leader="none"/>
        </w:tabs>
        <w:ind w:left="218" w:firstLine="0"/>
      </w:pPr>
      <w:bookmarkStart w:name="4A.D.13 AER Opt-In Guidelines" w:id="176"/>
      <w:bookmarkEnd w:id="176"/>
      <w:r>
        <w:rPr>
          <w:b w:val="0"/>
        </w:rPr>
      </w:r>
      <w:bookmarkStart w:name="_bookmark71" w:id="177"/>
      <w:bookmarkEnd w:id="177"/>
      <w:r>
        <w:rPr>
          <w:b w:val="0"/>
        </w:rPr>
      </w:r>
      <w:r>
        <w:rPr/>
        <w:t>4A.D.13</w:t>
        <w:tab/>
        <w:t>AER Opt-In</w:t>
      </w:r>
      <w:r>
        <w:rPr>
          <w:spacing w:val="-3"/>
        </w:rPr>
        <w:t> </w:t>
      </w:r>
      <w:r>
        <w:rPr/>
        <w:t>Guidelines</w:t>
      </w:r>
    </w:p>
    <w:p>
      <w:pPr>
        <w:pStyle w:val="ListParagraph"/>
        <w:numPr>
          <w:ilvl w:val="0"/>
          <w:numId w:val="89"/>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make, </w:t>
      </w:r>
      <w:r>
        <w:rPr>
          <w:i/>
          <w:sz w:val="24"/>
        </w:rPr>
        <w:t>publish </w:t>
      </w:r>
      <w:r>
        <w:rPr>
          <w:sz w:val="24"/>
        </w:rPr>
        <w:t>and may amend the AER Opt-In</w:t>
      </w:r>
      <w:r>
        <w:rPr>
          <w:spacing w:val="-6"/>
          <w:sz w:val="24"/>
        </w:rPr>
        <w:t> </w:t>
      </w:r>
      <w:r>
        <w:rPr>
          <w:sz w:val="24"/>
        </w:rPr>
        <w:t>Guidelines.</w:t>
      </w:r>
    </w:p>
    <w:p>
      <w:pPr>
        <w:pStyle w:val="ListParagraph"/>
        <w:numPr>
          <w:ilvl w:val="0"/>
          <w:numId w:val="89"/>
        </w:numPr>
        <w:tabs>
          <w:tab w:pos="1919" w:val="left" w:leader="none"/>
        </w:tabs>
        <w:spacing w:line="240" w:lineRule="auto" w:before="120" w:after="0"/>
        <w:ind w:left="1918" w:right="0" w:hanging="567"/>
        <w:jc w:val="both"/>
        <w:rPr>
          <w:sz w:val="24"/>
        </w:rPr>
      </w:pPr>
      <w:r>
        <w:rPr>
          <w:sz w:val="24"/>
        </w:rPr>
        <w:t>The AER Opt-In Guidelines must</w:t>
      </w:r>
      <w:r>
        <w:rPr>
          <w:spacing w:val="-5"/>
          <w:sz w:val="24"/>
        </w:rPr>
        <w:t> </w:t>
      </w:r>
      <w:r>
        <w:rPr>
          <w:sz w:val="24"/>
        </w:rPr>
        <w:t>include:</w:t>
      </w:r>
    </w:p>
    <w:p>
      <w:pPr>
        <w:pStyle w:val="ListParagraph"/>
        <w:numPr>
          <w:ilvl w:val="1"/>
          <w:numId w:val="89"/>
        </w:numPr>
        <w:tabs>
          <w:tab w:pos="2486" w:val="left" w:leader="none"/>
        </w:tabs>
        <w:spacing w:line="240" w:lineRule="auto" w:before="120" w:after="0"/>
        <w:ind w:left="2485" w:right="0" w:hanging="567"/>
        <w:jc w:val="both"/>
        <w:rPr>
          <w:sz w:val="24"/>
        </w:rPr>
      </w:pPr>
      <w:r>
        <w:rPr>
          <w:sz w:val="24"/>
        </w:rPr>
        <w:t>the process for establishing and maintaining the opt-in</w:t>
      </w:r>
      <w:r>
        <w:rPr>
          <w:spacing w:val="-3"/>
          <w:sz w:val="24"/>
        </w:rPr>
        <w:t> </w:t>
      </w:r>
      <w:r>
        <w:rPr>
          <w:sz w:val="24"/>
        </w:rPr>
        <w:t>register;</w:t>
      </w:r>
    </w:p>
    <w:p>
      <w:pPr>
        <w:pStyle w:val="ListParagraph"/>
        <w:numPr>
          <w:ilvl w:val="1"/>
          <w:numId w:val="89"/>
        </w:numPr>
        <w:tabs>
          <w:tab w:pos="2486" w:val="left" w:leader="none"/>
        </w:tabs>
        <w:spacing w:line="240" w:lineRule="auto" w:before="120" w:after="0"/>
        <w:ind w:left="2485" w:right="0" w:hanging="567"/>
        <w:jc w:val="both"/>
        <w:rPr>
          <w:sz w:val="24"/>
        </w:rPr>
      </w:pPr>
      <w:r>
        <w:rPr>
          <w:sz w:val="24"/>
        </w:rPr>
        <w:t>the information to be included in the opt-in</w:t>
      </w:r>
      <w:r>
        <w:rPr>
          <w:spacing w:val="-1"/>
          <w:sz w:val="24"/>
        </w:rPr>
        <w:t> </w:t>
      </w:r>
      <w:r>
        <w:rPr>
          <w:sz w:val="24"/>
        </w:rPr>
        <w:t>register;</w:t>
      </w:r>
    </w:p>
    <w:p>
      <w:pPr>
        <w:pStyle w:val="ListParagraph"/>
        <w:numPr>
          <w:ilvl w:val="1"/>
          <w:numId w:val="89"/>
        </w:numPr>
        <w:tabs>
          <w:tab w:pos="2486" w:val="left" w:leader="none"/>
        </w:tabs>
        <w:spacing w:line="240" w:lineRule="auto" w:before="120" w:after="0"/>
        <w:ind w:left="2486" w:right="415" w:hanging="567"/>
        <w:jc w:val="both"/>
        <w:rPr>
          <w:sz w:val="24"/>
        </w:rPr>
      </w:pPr>
      <w:r>
        <w:rPr>
          <w:sz w:val="24"/>
        </w:rPr>
        <w:t>the extent to which some or all of the information on the opt-in register is to be accessible to </w:t>
      </w:r>
      <w:r>
        <w:rPr>
          <w:i/>
          <w:sz w:val="24"/>
        </w:rPr>
        <w:t>Market Customers </w:t>
      </w:r>
      <w:r>
        <w:rPr>
          <w:sz w:val="24"/>
        </w:rPr>
        <w:t>and the</w:t>
      </w:r>
      <w:r>
        <w:rPr>
          <w:spacing w:val="-3"/>
          <w:sz w:val="24"/>
        </w:rPr>
        <w:t> </w:t>
      </w:r>
      <w:r>
        <w:rPr>
          <w:sz w:val="24"/>
        </w:rPr>
        <w:t>public;</w:t>
      </w:r>
    </w:p>
    <w:p>
      <w:pPr>
        <w:pStyle w:val="ListParagraph"/>
        <w:numPr>
          <w:ilvl w:val="1"/>
          <w:numId w:val="89"/>
        </w:numPr>
        <w:tabs>
          <w:tab w:pos="2486" w:val="left" w:leader="none"/>
        </w:tabs>
        <w:spacing w:line="240" w:lineRule="auto" w:before="120" w:after="0"/>
        <w:ind w:left="2486" w:right="414" w:hanging="567"/>
        <w:jc w:val="both"/>
        <w:rPr>
          <w:sz w:val="24"/>
        </w:rPr>
      </w:pPr>
      <w:r>
        <w:rPr>
          <w:sz w:val="24"/>
        </w:rPr>
        <w:t>the process, manner and form of application for approval to register </w:t>
      </w:r>
      <w:r>
        <w:rPr>
          <w:spacing w:val="-7"/>
          <w:sz w:val="24"/>
        </w:rPr>
        <w:t>or </w:t>
      </w:r>
      <w:r>
        <w:rPr>
          <w:sz w:val="24"/>
        </w:rPr>
        <w:t>deregister as, or change the registration of, an opt-in</w:t>
      </w:r>
      <w:r>
        <w:rPr>
          <w:spacing w:val="-3"/>
          <w:sz w:val="24"/>
        </w:rPr>
        <w:t> </w:t>
      </w:r>
      <w:r>
        <w:rPr>
          <w:sz w:val="24"/>
        </w:rPr>
        <w:t>customer;</w:t>
      </w:r>
    </w:p>
    <w:p>
      <w:pPr>
        <w:pStyle w:val="ListParagraph"/>
        <w:numPr>
          <w:ilvl w:val="1"/>
          <w:numId w:val="89"/>
        </w:numPr>
        <w:tabs>
          <w:tab w:pos="2486" w:val="left" w:leader="none"/>
        </w:tabs>
        <w:spacing w:line="240" w:lineRule="auto" w:before="120" w:after="0"/>
        <w:ind w:left="2486" w:right="414" w:hanging="567"/>
        <w:jc w:val="both"/>
        <w:rPr>
          <w:sz w:val="24"/>
        </w:rPr>
      </w:pPr>
      <w:r>
        <w:rPr>
          <w:sz w:val="24"/>
        </w:rPr>
        <w:t>the criteria to be applied by the </w:t>
      </w:r>
      <w:r>
        <w:rPr>
          <w:i/>
          <w:sz w:val="24"/>
        </w:rPr>
        <w:t>AER </w:t>
      </w:r>
      <w:r>
        <w:rPr>
          <w:sz w:val="24"/>
        </w:rPr>
        <w:t>in determining whether to approve an application to register or deregister as, or change </w:t>
      </w:r>
      <w:r>
        <w:rPr>
          <w:spacing w:val="-4"/>
          <w:sz w:val="24"/>
        </w:rPr>
        <w:t>the </w:t>
      </w:r>
      <w:r>
        <w:rPr>
          <w:sz w:val="24"/>
        </w:rPr>
        <w:t>registration of, an opt-in</w:t>
      </w:r>
      <w:r>
        <w:rPr>
          <w:spacing w:val="-1"/>
          <w:sz w:val="24"/>
        </w:rPr>
        <w:t> </w:t>
      </w:r>
      <w:r>
        <w:rPr>
          <w:sz w:val="24"/>
        </w:rPr>
        <w:t>customer;</w:t>
      </w:r>
    </w:p>
    <w:p>
      <w:pPr>
        <w:pStyle w:val="ListParagraph"/>
        <w:numPr>
          <w:ilvl w:val="1"/>
          <w:numId w:val="89"/>
        </w:numPr>
        <w:tabs>
          <w:tab w:pos="2486" w:val="left" w:leader="none"/>
        </w:tabs>
        <w:spacing w:line="240" w:lineRule="auto" w:before="120" w:after="0"/>
        <w:ind w:left="2486" w:right="413" w:hanging="567"/>
        <w:jc w:val="both"/>
        <w:rPr>
          <w:sz w:val="24"/>
        </w:rPr>
      </w:pPr>
      <w:r>
        <w:rPr>
          <w:sz w:val="24"/>
        </w:rPr>
        <w:t>the information required by the </w:t>
      </w:r>
      <w:r>
        <w:rPr>
          <w:i/>
          <w:sz w:val="24"/>
        </w:rPr>
        <w:t>AER </w:t>
      </w:r>
      <w:r>
        <w:rPr>
          <w:sz w:val="24"/>
        </w:rPr>
        <w:t>to determine whether to approve an opt-in customer application and, if required, how that information will be verified (including with </w:t>
      </w:r>
      <w:r>
        <w:rPr>
          <w:i/>
          <w:sz w:val="24"/>
        </w:rPr>
        <w:t>AEMO </w:t>
      </w:r>
      <w:r>
        <w:rPr>
          <w:sz w:val="24"/>
        </w:rPr>
        <w:t>or the relevant </w:t>
      </w:r>
      <w:r>
        <w:rPr>
          <w:i/>
          <w:sz w:val="24"/>
        </w:rPr>
        <w:t>Market </w:t>
      </w:r>
      <w:r>
        <w:rPr>
          <w:i/>
          <w:sz w:val="24"/>
        </w:rPr>
        <w:t>Customer</w:t>
      </w:r>
      <w:r>
        <w:rPr>
          <w:sz w:val="24"/>
        </w:rPr>
        <w:t>);</w:t>
      </w:r>
    </w:p>
    <w:p>
      <w:pPr>
        <w:pStyle w:val="ListParagraph"/>
        <w:numPr>
          <w:ilvl w:val="1"/>
          <w:numId w:val="89"/>
        </w:numPr>
        <w:tabs>
          <w:tab w:pos="2486" w:val="left" w:leader="none"/>
        </w:tabs>
        <w:spacing w:line="240" w:lineRule="auto" w:before="120" w:after="0"/>
        <w:ind w:left="2485" w:right="0" w:hanging="567"/>
        <w:jc w:val="both"/>
        <w:rPr>
          <w:sz w:val="24"/>
        </w:rPr>
      </w:pPr>
      <w:r>
        <w:rPr>
          <w:sz w:val="24"/>
        </w:rPr>
        <w:t>when a site is considered to have more than one </w:t>
      </w:r>
      <w:r>
        <w:rPr>
          <w:i/>
          <w:sz w:val="24"/>
        </w:rPr>
        <w:t>connection</w:t>
      </w:r>
      <w:r>
        <w:rPr>
          <w:i/>
          <w:spacing w:val="-5"/>
          <w:sz w:val="24"/>
        </w:rPr>
        <w:t> </w:t>
      </w:r>
      <w:r>
        <w:rPr>
          <w:i/>
          <w:sz w:val="24"/>
        </w:rPr>
        <w:t>point</w:t>
      </w:r>
      <w:r>
        <w:rPr>
          <w:sz w:val="24"/>
        </w:rPr>
        <w:t>;</w:t>
      </w:r>
    </w:p>
    <w:p>
      <w:pPr>
        <w:pStyle w:val="ListParagraph"/>
        <w:numPr>
          <w:ilvl w:val="1"/>
          <w:numId w:val="89"/>
        </w:numPr>
        <w:tabs>
          <w:tab w:pos="2485" w:val="left" w:leader="none"/>
          <w:tab w:pos="2486" w:val="left" w:leader="none"/>
        </w:tabs>
        <w:spacing w:line="240" w:lineRule="auto" w:before="120" w:after="0"/>
        <w:ind w:left="2486" w:right="414" w:hanging="567"/>
        <w:jc w:val="left"/>
        <w:rPr>
          <w:sz w:val="24"/>
        </w:rPr>
      </w:pPr>
      <w:r>
        <w:rPr>
          <w:sz w:val="24"/>
        </w:rPr>
        <w:t>the circumstances in which, in an opt-in customer application, an applicant must apply to opt-in for all </w:t>
      </w:r>
      <w:r>
        <w:rPr>
          <w:i/>
          <w:sz w:val="24"/>
        </w:rPr>
        <w:t>connection points </w:t>
      </w:r>
      <w:r>
        <w:rPr>
          <w:sz w:val="24"/>
        </w:rPr>
        <w:t>at a</w:t>
      </w:r>
      <w:r>
        <w:rPr>
          <w:spacing w:val="-5"/>
          <w:sz w:val="24"/>
        </w:rPr>
        <w:t> </w:t>
      </w:r>
      <w:r>
        <w:rPr>
          <w:sz w:val="24"/>
        </w:rPr>
        <w:t>site;</w:t>
      </w:r>
    </w:p>
    <w:p>
      <w:pPr>
        <w:pStyle w:val="ListParagraph"/>
        <w:numPr>
          <w:ilvl w:val="1"/>
          <w:numId w:val="89"/>
        </w:numPr>
        <w:tabs>
          <w:tab w:pos="2485" w:val="left" w:leader="none"/>
          <w:tab w:pos="2486" w:val="left" w:leader="none"/>
        </w:tabs>
        <w:spacing w:line="240" w:lineRule="auto" w:before="120" w:after="0"/>
        <w:ind w:left="2486" w:right="415" w:hanging="567"/>
        <w:jc w:val="left"/>
        <w:rPr>
          <w:sz w:val="24"/>
        </w:rPr>
      </w:pPr>
      <w:r>
        <w:rPr>
          <w:sz w:val="24"/>
        </w:rPr>
        <w:t>how annual peak demand for the purposes of the opt-in customer threshold and minimum opt-in threshold are</w:t>
      </w:r>
      <w:r>
        <w:rPr>
          <w:spacing w:val="-2"/>
          <w:sz w:val="24"/>
        </w:rPr>
        <w:t> </w:t>
      </w:r>
      <w:r>
        <w:rPr>
          <w:sz w:val="24"/>
        </w:rPr>
        <w:t>determined;</w:t>
      </w:r>
    </w:p>
    <w:p>
      <w:pPr>
        <w:pStyle w:val="ListParagraph"/>
        <w:numPr>
          <w:ilvl w:val="1"/>
          <w:numId w:val="89"/>
        </w:numPr>
        <w:tabs>
          <w:tab w:pos="2486" w:val="left" w:leader="none"/>
        </w:tabs>
        <w:spacing w:line="240" w:lineRule="auto" w:before="120" w:after="0"/>
        <w:ind w:left="2486" w:right="415" w:hanging="567"/>
        <w:jc w:val="left"/>
        <w:rPr>
          <w:sz w:val="24"/>
        </w:rPr>
      </w:pPr>
      <w:r>
        <w:rPr>
          <w:sz w:val="24"/>
        </w:rPr>
        <w:t>any requirements for a prescribed opt-in customer to register </w:t>
      </w:r>
      <w:r>
        <w:rPr>
          <w:spacing w:val="-7"/>
          <w:sz w:val="24"/>
        </w:rPr>
        <w:t>in</w:t>
      </w:r>
      <w:r>
        <w:rPr>
          <w:spacing w:val="46"/>
          <w:sz w:val="24"/>
        </w:rPr>
        <w:t> </w:t>
      </w:r>
      <w:r>
        <w:rPr>
          <w:sz w:val="24"/>
        </w:rPr>
        <w:t>respect of a percentage of a </w:t>
      </w:r>
      <w:r>
        <w:rPr>
          <w:i/>
          <w:sz w:val="24"/>
        </w:rPr>
        <w:t>load</w:t>
      </w:r>
      <w:r>
        <w:rPr>
          <w:sz w:val="24"/>
        </w:rPr>
        <w:t>;</w:t>
      </w:r>
      <w:r>
        <w:rPr>
          <w:spacing w:val="-2"/>
          <w:sz w:val="24"/>
        </w:rPr>
        <w:t> </w:t>
      </w:r>
      <w:r>
        <w:rPr>
          <w:sz w:val="24"/>
        </w:rPr>
        <w:t>and</w:t>
      </w:r>
    </w:p>
    <w:p>
      <w:pPr>
        <w:pStyle w:val="ListParagraph"/>
        <w:numPr>
          <w:ilvl w:val="1"/>
          <w:numId w:val="89"/>
        </w:numPr>
        <w:tabs>
          <w:tab w:pos="2486" w:val="left" w:leader="none"/>
        </w:tabs>
        <w:spacing w:line="240" w:lineRule="auto" w:before="120" w:after="0"/>
        <w:ind w:left="2486" w:right="415" w:hanging="567"/>
        <w:jc w:val="left"/>
        <w:rPr>
          <w:sz w:val="24"/>
        </w:rPr>
      </w:pPr>
      <w:r>
        <w:rPr>
          <w:sz w:val="24"/>
        </w:rPr>
        <w:t>the requirements for notification to, and consent of, relevant persons at the </w:t>
      </w:r>
      <w:r>
        <w:rPr>
          <w:i/>
          <w:sz w:val="24"/>
        </w:rPr>
        <w:t>connection point </w:t>
      </w:r>
      <w:r>
        <w:rPr>
          <w:sz w:val="24"/>
        </w:rPr>
        <w:t>for registrations and changes to</w:t>
      </w:r>
      <w:r>
        <w:rPr>
          <w:spacing w:val="-3"/>
          <w:sz w:val="24"/>
        </w:rPr>
        <w:t> </w:t>
      </w:r>
      <w:r>
        <w:rPr>
          <w:sz w:val="24"/>
        </w:rPr>
        <w:t>registrations.</w:t>
      </w:r>
    </w:p>
    <w:p>
      <w:pPr>
        <w:pStyle w:val="ListParagraph"/>
        <w:numPr>
          <w:ilvl w:val="0"/>
          <w:numId w:val="89"/>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may make minor or administrative amendments to the AER Opt-In Guidelines without complying with the </w:t>
      </w:r>
      <w:r>
        <w:rPr>
          <w:i/>
          <w:sz w:val="24"/>
        </w:rPr>
        <w:t>Rules consultation</w:t>
      </w:r>
      <w:r>
        <w:rPr>
          <w:i/>
          <w:spacing w:val="-7"/>
          <w:sz w:val="24"/>
        </w:rPr>
        <w:t> </w:t>
      </w:r>
      <w:r>
        <w:rPr>
          <w:i/>
          <w:sz w:val="24"/>
        </w:rPr>
        <w:t>procedures</w:t>
      </w:r>
      <w:r>
        <w:rPr>
          <w:sz w:val="24"/>
        </w:rPr>
        <w:t>.</w:t>
      </w:r>
    </w:p>
    <w:p>
      <w:pPr>
        <w:spacing w:after="0" w:line="240" w:lineRule="auto"/>
        <w:jc w:val="left"/>
        <w:rPr>
          <w:sz w:val="24"/>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E Qualifying Contracts and Net Cont" w:id="178"/>
      <w:bookmarkEnd w:id="178"/>
      <w:r>
        <w:rPr>
          <w:b w:val="0"/>
        </w:rPr>
      </w:r>
      <w:bookmarkStart w:name="_bookmark72" w:id="179"/>
      <w:bookmarkEnd w:id="179"/>
      <w:r>
        <w:rPr>
          <w:b w:val="0"/>
        </w:rPr>
      </w:r>
      <w:r>
        <w:rPr>
          <w:shd w:fill="D9D9D9" w:color="auto" w:val="clear"/>
        </w:rPr>
        <w:t>Part E</w:t>
        <w:tab/>
        <w:t>Qualifying Contracts and Net Contract</w:t>
      </w:r>
      <w:r>
        <w:rPr>
          <w:spacing w:val="-21"/>
          <w:shd w:fill="D9D9D9" w:color="auto" w:val="clear"/>
        </w:rPr>
        <w:t> </w:t>
      </w:r>
      <w:r>
        <w:rPr>
          <w:shd w:fill="D9D9D9" w:color="auto" w:val="clear"/>
        </w:rPr>
        <w:t>Position</w:t>
        <w:tab/>
      </w:r>
    </w:p>
    <w:p>
      <w:pPr>
        <w:pStyle w:val="Heading3"/>
        <w:tabs>
          <w:tab w:pos="1656" w:val="left" w:leader="none"/>
        </w:tabs>
        <w:spacing w:before="240"/>
        <w:ind w:left="218" w:firstLine="0"/>
      </w:pPr>
      <w:bookmarkStart w:name="Division 1 Key concepts" w:id="180"/>
      <w:bookmarkEnd w:id="180"/>
      <w:r>
        <w:rPr>
          <w:b w:val="0"/>
        </w:rPr>
      </w:r>
      <w:bookmarkStart w:name="_bookmark73" w:id="181"/>
      <w:bookmarkEnd w:id="181"/>
      <w:r>
        <w:rPr>
          <w:b w:val="0"/>
        </w:rPr>
      </w:r>
      <w:r>
        <w:rPr/>
        <w:t>Division</w:t>
      </w:r>
      <w:r>
        <w:rPr>
          <w:spacing w:val="-4"/>
        </w:rPr>
        <w:t> </w:t>
      </w:r>
      <w:r>
        <w:rPr/>
        <w:t>1</w:t>
        <w:tab/>
        <w:t>Key</w:t>
      </w:r>
      <w:r>
        <w:rPr>
          <w:spacing w:val="-1"/>
        </w:rPr>
        <w:t> </w:t>
      </w:r>
      <w:r>
        <w:rPr/>
        <w:t>concepts</w:t>
      </w:r>
    </w:p>
    <w:p>
      <w:pPr>
        <w:pStyle w:val="Heading4"/>
        <w:tabs>
          <w:tab w:pos="1351" w:val="left" w:leader="none"/>
        </w:tabs>
        <w:spacing w:before="240"/>
        <w:ind w:left="218" w:firstLine="0"/>
      </w:pPr>
      <w:bookmarkStart w:name="4A.E.1 Qualifying contracts" w:id="182"/>
      <w:bookmarkEnd w:id="182"/>
      <w:r>
        <w:rPr>
          <w:b w:val="0"/>
        </w:rPr>
      </w:r>
      <w:bookmarkStart w:name="_bookmark74" w:id="183"/>
      <w:bookmarkEnd w:id="183"/>
      <w:r>
        <w:rPr>
          <w:b w:val="0"/>
        </w:rPr>
      </w:r>
      <w:r>
        <w:rPr/>
        <w:t>4A.E.1</w:t>
        <w:tab/>
        <w:t>Qualifying</w:t>
      </w:r>
      <w:r>
        <w:rPr>
          <w:spacing w:val="-1"/>
        </w:rPr>
        <w:t> </w:t>
      </w:r>
      <w:r>
        <w:rPr/>
        <w:t>contracts</w:t>
      </w:r>
    </w:p>
    <w:p>
      <w:pPr>
        <w:pStyle w:val="ListParagraph"/>
        <w:numPr>
          <w:ilvl w:val="0"/>
          <w:numId w:val="90"/>
        </w:numPr>
        <w:tabs>
          <w:tab w:pos="1919" w:val="left" w:leader="none"/>
        </w:tabs>
        <w:spacing w:line="240" w:lineRule="auto" w:before="120" w:after="0"/>
        <w:ind w:left="1918" w:right="0" w:hanging="567"/>
        <w:jc w:val="both"/>
        <w:rPr>
          <w:sz w:val="24"/>
        </w:rPr>
      </w:pPr>
      <w:r>
        <w:rPr>
          <w:sz w:val="24"/>
        </w:rPr>
        <w:t>The </w:t>
      </w:r>
      <w:r>
        <w:rPr>
          <w:i/>
          <w:sz w:val="24"/>
        </w:rPr>
        <w:t>AER</w:t>
      </w:r>
      <w:r>
        <w:rPr>
          <w:sz w:val="24"/>
        </w:rPr>
        <w:t>, in the Contracts and Firmness</w:t>
      </w:r>
      <w:r>
        <w:rPr>
          <w:spacing w:val="-2"/>
          <w:sz w:val="24"/>
        </w:rPr>
        <w:t> </w:t>
      </w:r>
      <w:r>
        <w:rPr>
          <w:sz w:val="24"/>
        </w:rPr>
        <w:t>Guidelines:</w:t>
      </w:r>
    </w:p>
    <w:p>
      <w:pPr>
        <w:pStyle w:val="ListParagraph"/>
        <w:numPr>
          <w:ilvl w:val="1"/>
          <w:numId w:val="90"/>
        </w:numPr>
        <w:tabs>
          <w:tab w:pos="2486" w:val="left" w:leader="none"/>
        </w:tabs>
        <w:spacing w:line="240" w:lineRule="auto" w:before="120" w:after="0"/>
        <w:ind w:left="2486" w:right="415" w:hanging="567"/>
        <w:jc w:val="both"/>
        <w:rPr>
          <w:sz w:val="24"/>
        </w:rPr>
      </w:pPr>
      <w:r>
        <w:rPr>
          <w:sz w:val="24"/>
        </w:rPr>
        <w:t>may include guidance for liable entities to determine whether a contract or arrangement is a qualifying</w:t>
      </w:r>
      <w:r>
        <w:rPr>
          <w:spacing w:val="-2"/>
          <w:sz w:val="24"/>
        </w:rPr>
        <w:t> </w:t>
      </w:r>
      <w:r>
        <w:rPr>
          <w:sz w:val="24"/>
        </w:rPr>
        <w:t>contract;</w:t>
      </w:r>
    </w:p>
    <w:p>
      <w:pPr>
        <w:pStyle w:val="ListParagraph"/>
        <w:numPr>
          <w:ilvl w:val="1"/>
          <w:numId w:val="90"/>
        </w:numPr>
        <w:tabs>
          <w:tab w:pos="2486" w:val="left" w:leader="none"/>
        </w:tabs>
        <w:spacing w:line="240" w:lineRule="auto" w:before="120" w:after="0"/>
        <w:ind w:left="2486" w:right="415" w:hanging="567"/>
        <w:jc w:val="both"/>
        <w:rPr>
          <w:sz w:val="24"/>
        </w:rPr>
      </w:pPr>
      <w:r>
        <w:rPr>
          <w:sz w:val="24"/>
        </w:rPr>
        <w:t>must not prescribe other types of contracts or arrangements that are taken to be qualifying contracts under section 14O(1)(b) of the </w:t>
      </w:r>
      <w:r>
        <w:rPr>
          <w:i/>
          <w:sz w:val="24"/>
        </w:rPr>
        <w:t>National Electricity Law</w:t>
      </w:r>
      <w:r>
        <w:rPr>
          <w:sz w:val="24"/>
        </w:rPr>
        <w:t>;</w:t>
      </w:r>
      <w:r>
        <w:rPr>
          <w:spacing w:val="-1"/>
          <w:sz w:val="24"/>
        </w:rPr>
        <w:t> </w:t>
      </w:r>
      <w:r>
        <w:rPr>
          <w:sz w:val="24"/>
        </w:rPr>
        <w:t>and</w:t>
      </w:r>
    </w:p>
    <w:p>
      <w:pPr>
        <w:pStyle w:val="ListParagraph"/>
        <w:numPr>
          <w:ilvl w:val="1"/>
          <w:numId w:val="90"/>
        </w:numPr>
        <w:tabs>
          <w:tab w:pos="2486" w:val="left" w:leader="none"/>
        </w:tabs>
        <w:spacing w:line="240" w:lineRule="auto" w:before="120" w:after="0"/>
        <w:ind w:left="2486" w:right="415" w:hanging="567"/>
        <w:jc w:val="both"/>
        <w:rPr>
          <w:sz w:val="24"/>
        </w:rPr>
      </w:pPr>
      <w:r>
        <w:rPr>
          <w:sz w:val="24"/>
        </w:rPr>
        <w:t>may specify the types of contracts or other arrangements that are taken to be excluded contracts (and therefore not qualifying contracts) under section 14O(2) of the </w:t>
      </w:r>
      <w:r>
        <w:rPr>
          <w:i/>
          <w:sz w:val="24"/>
        </w:rPr>
        <w:t>National Electricity</w:t>
      </w:r>
      <w:r>
        <w:rPr>
          <w:i/>
          <w:spacing w:val="-4"/>
          <w:sz w:val="24"/>
        </w:rPr>
        <w:t> </w:t>
      </w:r>
      <w:r>
        <w:rPr>
          <w:i/>
          <w:sz w:val="24"/>
        </w:rPr>
        <w:t>Law</w:t>
      </w:r>
      <w:r>
        <w:rPr>
          <w:sz w:val="24"/>
        </w:rPr>
        <w:t>.</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Section 14O(1) of the </w:t>
      </w:r>
      <w:r>
        <w:rPr>
          <w:i/>
          <w:sz w:val="20"/>
        </w:rPr>
        <w:t>National Electricity Law </w:t>
      </w:r>
      <w:r>
        <w:rPr>
          <w:sz w:val="20"/>
        </w:rPr>
        <w:t>defines a qualifying contract of a liable entity as a contract or other arrangement to which the liable entity is a party –</w:t>
      </w:r>
    </w:p>
    <w:p>
      <w:pPr>
        <w:pStyle w:val="ListParagraph"/>
        <w:numPr>
          <w:ilvl w:val="0"/>
          <w:numId w:val="91"/>
        </w:numPr>
        <w:tabs>
          <w:tab w:pos="2377" w:val="left" w:leader="none"/>
          <w:tab w:pos="2378" w:val="left" w:leader="none"/>
        </w:tabs>
        <w:spacing w:line="240" w:lineRule="auto" w:before="120" w:after="0"/>
        <w:ind w:left="2377" w:right="0" w:hanging="459"/>
        <w:jc w:val="left"/>
        <w:rPr>
          <w:sz w:val="20"/>
        </w:rPr>
      </w:pPr>
      <w:r>
        <w:rPr>
          <w:sz w:val="20"/>
        </w:rPr>
        <w:t>that</w:t>
      </w:r>
      <w:r>
        <w:rPr>
          <w:spacing w:val="-1"/>
          <w:sz w:val="20"/>
        </w:rPr>
        <w:t> </w:t>
      </w:r>
      <w:r>
        <w:rPr>
          <w:sz w:val="20"/>
        </w:rPr>
        <w:t>-</w:t>
      </w:r>
    </w:p>
    <w:p>
      <w:pPr>
        <w:pStyle w:val="ListParagraph"/>
        <w:numPr>
          <w:ilvl w:val="1"/>
          <w:numId w:val="91"/>
        </w:numPr>
        <w:tabs>
          <w:tab w:pos="3097" w:val="left" w:leader="none"/>
          <w:tab w:pos="3098" w:val="left" w:leader="none"/>
        </w:tabs>
        <w:spacing w:line="240" w:lineRule="auto" w:before="120" w:after="0"/>
        <w:ind w:left="2486" w:right="416" w:firstLine="0"/>
        <w:jc w:val="left"/>
        <w:rPr>
          <w:sz w:val="20"/>
        </w:rPr>
      </w:pPr>
      <w:r>
        <w:rPr>
          <w:sz w:val="20"/>
        </w:rPr>
        <w:t>is directly related to the purchase or sale, or price for the purchase or sale, of electricity from the </w:t>
      </w:r>
      <w:r>
        <w:rPr>
          <w:i/>
          <w:sz w:val="20"/>
        </w:rPr>
        <w:t>wholesale exchange </w:t>
      </w:r>
      <w:r>
        <w:rPr>
          <w:sz w:val="20"/>
        </w:rPr>
        <w:t>during a stated period;</w:t>
      </w:r>
      <w:r>
        <w:rPr>
          <w:spacing w:val="-3"/>
          <w:sz w:val="20"/>
        </w:rPr>
        <w:t> </w:t>
      </w:r>
      <w:r>
        <w:rPr>
          <w:sz w:val="20"/>
        </w:rPr>
        <w:t>and</w:t>
      </w:r>
    </w:p>
    <w:p>
      <w:pPr>
        <w:pStyle w:val="ListParagraph"/>
        <w:numPr>
          <w:ilvl w:val="1"/>
          <w:numId w:val="91"/>
        </w:numPr>
        <w:tabs>
          <w:tab w:pos="3097" w:val="left" w:leader="none"/>
          <w:tab w:pos="3098" w:val="left" w:leader="none"/>
        </w:tabs>
        <w:spacing w:line="240" w:lineRule="auto" w:before="120" w:after="0"/>
        <w:ind w:left="2486" w:right="414" w:firstLine="0"/>
        <w:jc w:val="left"/>
        <w:rPr>
          <w:sz w:val="20"/>
        </w:rPr>
      </w:pPr>
      <w:r>
        <w:rPr>
          <w:sz w:val="20"/>
        </w:rPr>
        <w:t>the liable entity entered into to manage its e exposure in relation to the volatility of the spot price;</w:t>
      </w:r>
      <w:r>
        <w:rPr>
          <w:spacing w:val="-3"/>
          <w:sz w:val="20"/>
        </w:rPr>
        <w:t> </w:t>
      </w:r>
      <w:r>
        <w:rPr>
          <w:sz w:val="20"/>
        </w:rPr>
        <w:t>or</w:t>
      </w:r>
    </w:p>
    <w:p>
      <w:pPr>
        <w:pStyle w:val="ListParagraph"/>
        <w:numPr>
          <w:ilvl w:val="0"/>
          <w:numId w:val="91"/>
        </w:numPr>
        <w:tabs>
          <w:tab w:pos="2377" w:val="left" w:leader="none"/>
          <w:tab w:pos="2378" w:val="left" w:leader="none"/>
        </w:tabs>
        <w:spacing w:line="240" w:lineRule="auto" w:before="120" w:after="0"/>
        <w:ind w:left="2378" w:right="0" w:hanging="459"/>
        <w:jc w:val="left"/>
        <w:rPr>
          <w:sz w:val="20"/>
        </w:rPr>
      </w:pPr>
      <w:r>
        <w:rPr>
          <w:sz w:val="20"/>
        </w:rPr>
        <w:t>of another type prescribed by the </w:t>
      </w:r>
      <w:r>
        <w:rPr>
          <w:i/>
          <w:sz w:val="20"/>
        </w:rPr>
        <w:t>Rules </w:t>
      </w:r>
      <w:r>
        <w:rPr>
          <w:sz w:val="20"/>
        </w:rPr>
        <w:t>to be a qualifying</w:t>
      </w:r>
      <w:r>
        <w:rPr>
          <w:spacing w:val="-2"/>
          <w:sz w:val="20"/>
        </w:rPr>
        <w:t> </w:t>
      </w:r>
      <w:r>
        <w:rPr>
          <w:sz w:val="20"/>
        </w:rPr>
        <w:t>contract.</w:t>
      </w:r>
    </w:p>
    <w:p>
      <w:pPr>
        <w:spacing w:before="120"/>
        <w:ind w:left="1919" w:right="415" w:firstLine="0"/>
        <w:jc w:val="both"/>
        <w:rPr>
          <w:sz w:val="20"/>
        </w:rPr>
      </w:pPr>
      <w:r>
        <w:rPr>
          <w:sz w:val="20"/>
        </w:rPr>
        <w:t>Section 14O(2) of the </w:t>
      </w:r>
      <w:r>
        <w:rPr>
          <w:i/>
          <w:sz w:val="20"/>
        </w:rPr>
        <w:t>National Electricity Law </w:t>
      </w:r>
      <w:r>
        <w:rPr>
          <w:sz w:val="20"/>
        </w:rPr>
        <w:t>states a qualifying contract does not include a contract or arrangement mentioned in subsection (1)(a) that is prescribed by the Rules to be an excluded contract for the reliability obligations.</w:t>
      </w:r>
    </w:p>
    <w:p>
      <w:pPr>
        <w:pStyle w:val="ListParagraph"/>
        <w:numPr>
          <w:ilvl w:val="0"/>
          <w:numId w:val="92"/>
        </w:numPr>
        <w:tabs>
          <w:tab w:pos="1919" w:val="left" w:leader="none"/>
        </w:tabs>
        <w:spacing w:line="240" w:lineRule="auto" w:before="120" w:after="0"/>
        <w:ind w:left="1919" w:right="416" w:hanging="567"/>
        <w:jc w:val="both"/>
        <w:rPr>
          <w:sz w:val="24"/>
        </w:rPr>
      </w:pPr>
      <w:r>
        <w:rPr>
          <w:sz w:val="24"/>
        </w:rPr>
        <w:t>In providing guidance under subparagraph (a)(1) in the Contracts and Firmness Guidelines, the </w:t>
      </w:r>
      <w:r>
        <w:rPr>
          <w:i/>
          <w:sz w:val="24"/>
        </w:rPr>
        <w:t>AER </w:t>
      </w:r>
      <w:r>
        <w:rPr>
          <w:sz w:val="24"/>
        </w:rPr>
        <w:t>must have regard to the principle that the contract or other arrangement should support (directly or indirectly) investment in plant or other arrangements</w:t>
      </w:r>
      <w:r>
        <w:rPr>
          <w:spacing w:val="-1"/>
          <w:sz w:val="24"/>
        </w:rPr>
        <w:t> </w:t>
      </w:r>
      <w:r>
        <w:rPr>
          <w:sz w:val="24"/>
        </w:rPr>
        <w:t>that:</w:t>
      </w:r>
    </w:p>
    <w:p>
      <w:pPr>
        <w:pStyle w:val="ListParagraph"/>
        <w:numPr>
          <w:ilvl w:val="1"/>
          <w:numId w:val="92"/>
        </w:numPr>
        <w:tabs>
          <w:tab w:pos="2485" w:val="left" w:leader="none"/>
          <w:tab w:pos="2486" w:val="left" w:leader="none"/>
        </w:tabs>
        <w:spacing w:line="240" w:lineRule="auto" w:before="120" w:after="0"/>
        <w:ind w:left="2485" w:right="0" w:hanging="567"/>
        <w:jc w:val="left"/>
        <w:rPr>
          <w:sz w:val="24"/>
        </w:rPr>
      </w:pPr>
      <w:r>
        <w:rPr>
          <w:sz w:val="24"/>
        </w:rPr>
        <w:t>can supply </w:t>
      </w:r>
      <w:r>
        <w:rPr>
          <w:i/>
          <w:sz w:val="24"/>
        </w:rPr>
        <w:t>energy </w:t>
      </w:r>
      <w:r>
        <w:rPr>
          <w:sz w:val="24"/>
        </w:rPr>
        <w:t>that may be </w:t>
      </w:r>
      <w:r>
        <w:rPr>
          <w:i/>
          <w:sz w:val="24"/>
        </w:rPr>
        <w:t>dispatched</w:t>
      </w:r>
      <w:r>
        <w:rPr>
          <w:sz w:val="24"/>
        </w:rPr>
        <w:t>;</w:t>
      </w:r>
      <w:r>
        <w:rPr>
          <w:spacing w:val="-3"/>
          <w:sz w:val="24"/>
        </w:rPr>
        <w:t> </w:t>
      </w:r>
      <w:r>
        <w:rPr>
          <w:sz w:val="24"/>
        </w:rPr>
        <w:t>or</w:t>
      </w:r>
    </w:p>
    <w:p>
      <w:pPr>
        <w:pStyle w:val="ListParagraph"/>
        <w:numPr>
          <w:ilvl w:val="1"/>
          <w:numId w:val="92"/>
        </w:numPr>
        <w:tabs>
          <w:tab w:pos="2485" w:val="left" w:leader="none"/>
          <w:tab w:pos="2486" w:val="left" w:leader="none"/>
        </w:tabs>
        <w:spacing w:line="240" w:lineRule="auto" w:before="120" w:after="0"/>
        <w:ind w:left="2485" w:right="0" w:hanging="567"/>
        <w:jc w:val="left"/>
        <w:rPr>
          <w:sz w:val="24"/>
        </w:rPr>
      </w:pPr>
      <w:r>
        <w:rPr>
          <w:sz w:val="24"/>
        </w:rPr>
        <w:t>can reduce demand of </w:t>
      </w:r>
      <w:r>
        <w:rPr>
          <w:i/>
          <w:sz w:val="24"/>
        </w:rPr>
        <w:t>energy </w:t>
      </w:r>
      <w:r>
        <w:rPr>
          <w:sz w:val="24"/>
        </w:rPr>
        <w:t>that may be</w:t>
      </w:r>
      <w:r>
        <w:rPr>
          <w:spacing w:val="-2"/>
          <w:sz w:val="24"/>
        </w:rPr>
        <w:t> </w:t>
      </w:r>
      <w:r>
        <w:rPr>
          <w:sz w:val="24"/>
        </w:rPr>
        <w:t>activated,</w:t>
      </w:r>
    </w:p>
    <w:p>
      <w:pPr>
        <w:spacing w:before="120"/>
        <w:ind w:left="1919" w:right="0" w:firstLine="0"/>
        <w:jc w:val="left"/>
        <w:rPr>
          <w:sz w:val="24"/>
        </w:rPr>
      </w:pPr>
      <w:r>
        <w:rPr>
          <w:sz w:val="24"/>
        </w:rPr>
        <w:t>as required to meet </w:t>
      </w:r>
      <w:r>
        <w:rPr>
          <w:i/>
          <w:sz w:val="24"/>
        </w:rPr>
        <w:t>energy </w:t>
      </w:r>
      <w:r>
        <w:rPr>
          <w:sz w:val="24"/>
        </w:rPr>
        <w:t>requirements in the relevant </w:t>
      </w:r>
      <w:r>
        <w:rPr>
          <w:i/>
          <w:sz w:val="24"/>
        </w:rPr>
        <w:t>region</w:t>
      </w:r>
      <w:r>
        <w:rPr>
          <w:sz w:val="24"/>
        </w:rPr>
        <w:t>.</w:t>
      </w:r>
    </w:p>
    <w:p>
      <w:pPr>
        <w:pStyle w:val="ListParagraph"/>
        <w:numPr>
          <w:ilvl w:val="0"/>
          <w:numId w:val="92"/>
        </w:numPr>
        <w:tabs>
          <w:tab w:pos="1919" w:val="left" w:leader="none"/>
        </w:tabs>
        <w:spacing w:line="240" w:lineRule="auto" w:before="120" w:after="0"/>
        <w:ind w:left="1919" w:right="415" w:hanging="567"/>
        <w:jc w:val="both"/>
        <w:rPr>
          <w:sz w:val="24"/>
        </w:rPr>
      </w:pPr>
      <w:r>
        <w:rPr>
          <w:sz w:val="24"/>
        </w:rPr>
        <w:t>A demand side participation contract or other arrangement, under which a person curtails </w:t>
      </w:r>
      <w:r>
        <w:rPr>
          <w:i/>
          <w:sz w:val="24"/>
        </w:rPr>
        <w:t>non-scheduled load </w:t>
      </w:r>
      <w:r>
        <w:rPr>
          <w:sz w:val="24"/>
        </w:rPr>
        <w:t>or the provision of </w:t>
      </w:r>
      <w:r>
        <w:rPr>
          <w:i/>
          <w:sz w:val="24"/>
        </w:rPr>
        <w:t>unscheduled </w:t>
      </w:r>
      <w:r>
        <w:rPr>
          <w:i/>
          <w:sz w:val="24"/>
        </w:rPr>
        <w:t>generation </w:t>
      </w:r>
      <w:r>
        <w:rPr>
          <w:sz w:val="24"/>
        </w:rPr>
        <w:t>in certain specified circumstances, will only be a qualifying contract if it meets the requirements of section 14O(1)(a) of the </w:t>
      </w:r>
      <w:r>
        <w:rPr>
          <w:i/>
          <w:sz w:val="24"/>
        </w:rPr>
        <w:t>National </w:t>
      </w:r>
      <w:r>
        <w:rPr>
          <w:i/>
          <w:sz w:val="24"/>
        </w:rPr>
        <w:t>Electricity Law </w:t>
      </w:r>
      <w:r>
        <w:rPr>
          <w:sz w:val="24"/>
        </w:rPr>
        <w:t>and is registered in </w:t>
      </w:r>
      <w:r>
        <w:rPr>
          <w:i/>
          <w:sz w:val="24"/>
        </w:rPr>
        <w:t>AEMO's </w:t>
      </w:r>
      <w:r>
        <w:rPr>
          <w:sz w:val="24"/>
        </w:rPr>
        <w:t>Demand Side Participation Information</w:t>
      </w:r>
      <w:r>
        <w:rPr>
          <w:spacing w:val="-1"/>
          <w:sz w:val="24"/>
        </w:rPr>
        <w:t> </w:t>
      </w:r>
      <w:r>
        <w:rPr>
          <w:sz w:val="24"/>
        </w:rPr>
        <w:t>Portal.</w:t>
      </w:r>
    </w:p>
    <w:p>
      <w:pPr>
        <w:pStyle w:val="ListParagraph"/>
        <w:numPr>
          <w:ilvl w:val="0"/>
          <w:numId w:val="92"/>
        </w:numPr>
        <w:tabs>
          <w:tab w:pos="1919" w:val="left" w:leader="none"/>
        </w:tabs>
        <w:spacing w:line="240" w:lineRule="auto" w:before="120" w:after="0"/>
        <w:ind w:left="1919" w:right="416" w:hanging="567"/>
        <w:jc w:val="both"/>
        <w:rPr>
          <w:sz w:val="24"/>
        </w:rPr>
      </w:pPr>
      <w:r>
        <w:rPr>
          <w:sz w:val="24"/>
        </w:rPr>
        <w:t>A MLO product is taken to be a qualifying contract and have a firmness factor of one for the buyer of that</w:t>
      </w:r>
      <w:r>
        <w:rPr>
          <w:spacing w:val="-2"/>
          <w:sz w:val="24"/>
        </w:rPr>
        <w:t> </w:t>
      </w:r>
      <w:r>
        <w:rPr>
          <w:sz w:val="24"/>
        </w:rPr>
        <w:t>product.</w:t>
      </w:r>
    </w:p>
    <w:p>
      <w:pPr>
        <w:pStyle w:val="ListParagraph"/>
        <w:numPr>
          <w:ilvl w:val="0"/>
          <w:numId w:val="92"/>
        </w:numPr>
        <w:tabs>
          <w:tab w:pos="1919" w:val="left" w:leader="none"/>
        </w:tabs>
        <w:spacing w:line="240" w:lineRule="auto" w:before="120" w:after="0"/>
        <w:ind w:left="1919" w:right="414" w:hanging="567"/>
        <w:jc w:val="both"/>
        <w:rPr>
          <w:sz w:val="24"/>
        </w:rPr>
      </w:pPr>
      <w:r>
        <w:rPr>
          <w:sz w:val="24"/>
        </w:rPr>
        <w:t>Subject to paragraph (c), a liable entity's own </w:t>
      </w:r>
      <w:r>
        <w:rPr>
          <w:i/>
          <w:sz w:val="24"/>
        </w:rPr>
        <w:t>generation </w:t>
      </w:r>
      <w:r>
        <w:rPr>
          <w:sz w:val="24"/>
        </w:rPr>
        <w:t>or </w:t>
      </w:r>
      <w:r>
        <w:rPr>
          <w:i/>
          <w:sz w:val="24"/>
        </w:rPr>
        <w:t>load </w:t>
      </w:r>
      <w:r>
        <w:rPr>
          <w:sz w:val="24"/>
        </w:rPr>
        <w:t>curtailment may be an arrangement that is a qualifying contract in accordance with the Contracts and Firmness</w:t>
      </w:r>
      <w:r>
        <w:rPr>
          <w:spacing w:val="-2"/>
          <w:sz w:val="24"/>
        </w:rPr>
        <w:t> </w:t>
      </w:r>
      <w:r>
        <w:rPr>
          <w:sz w:val="24"/>
        </w:rPr>
        <w:t>Guidelines.</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4A.E.2 Net contract position" w:id="184"/>
      <w:bookmarkEnd w:id="184"/>
      <w:r>
        <w:rPr>
          <w:b w:val="0"/>
        </w:rPr>
      </w:r>
      <w:bookmarkStart w:name="_bookmark75" w:id="185"/>
      <w:bookmarkEnd w:id="185"/>
      <w:r>
        <w:rPr>
          <w:b w:val="0"/>
        </w:rPr>
      </w:r>
      <w:r>
        <w:rPr/>
        <w:t>4A.E.2</w:t>
        <w:tab/>
        <w:t>Net contract</w:t>
      </w:r>
      <w:r>
        <w:rPr>
          <w:spacing w:val="-2"/>
        </w:rPr>
        <w:t> </w:t>
      </w:r>
      <w:r>
        <w:rPr/>
        <w:t>position</w:t>
      </w:r>
    </w:p>
    <w:p>
      <w:pPr>
        <w:pStyle w:val="BodyText"/>
        <w:ind w:left="1352" w:right="414" w:firstLine="0"/>
      </w:pPr>
      <w:r>
        <w:rPr/>
        <w:t>For the purpose of section 14O(3)(b) of the </w:t>
      </w:r>
      <w:r>
        <w:rPr>
          <w:i/>
        </w:rPr>
        <w:t>National Electricity Law</w:t>
      </w:r>
      <w:r>
        <w:rPr/>
        <w:t>, the number of megawatts of electricity under a liable entity's qualifying contracts is to be adjusted to determine a net contract position for that liable entity as follows:</w:t>
      </w:r>
    </w:p>
    <w:p>
      <w:pPr>
        <w:pStyle w:val="ListParagraph"/>
        <w:numPr>
          <w:ilvl w:val="0"/>
          <w:numId w:val="93"/>
        </w:numPr>
        <w:tabs>
          <w:tab w:pos="1919" w:val="left" w:leader="none"/>
        </w:tabs>
        <w:spacing w:line="240" w:lineRule="auto" w:before="120" w:after="0"/>
        <w:ind w:left="1919" w:right="414" w:hanging="567"/>
        <w:jc w:val="both"/>
        <w:rPr>
          <w:sz w:val="24"/>
        </w:rPr>
      </w:pPr>
      <w:r>
        <w:rPr>
          <w:sz w:val="24"/>
        </w:rPr>
        <w:t>for each qualifying contract which manages the liable entity's exposure to the volatility of the </w:t>
      </w:r>
      <w:r>
        <w:rPr>
          <w:i/>
          <w:sz w:val="24"/>
        </w:rPr>
        <w:t>spot price </w:t>
      </w:r>
      <w:r>
        <w:rPr>
          <w:sz w:val="24"/>
        </w:rPr>
        <w:t>in a </w:t>
      </w:r>
      <w:r>
        <w:rPr>
          <w:i/>
          <w:sz w:val="24"/>
        </w:rPr>
        <w:t>region </w:t>
      </w:r>
      <w:r>
        <w:rPr>
          <w:sz w:val="24"/>
        </w:rPr>
        <w:t>by reducing that exposure during the gap trading intervals, the number of megawatts of electricity under those qualifying contracts multiplied by a firmness factor in accordance with a firmness methodology applied to each of those qualifying contracts (a positive</w:t>
      </w:r>
      <w:r>
        <w:rPr>
          <w:spacing w:val="-1"/>
          <w:sz w:val="24"/>
        </w:rPr>
        <w:t> </w:t>
      </w:r>
      <w:r>
        <w:rPr>
          <w:sz w:val="24"/>
        </w:rPr>
        <w:t>amount);</w:t>
      </w:r>
    </w:p>
    <w:p>
      <w:pPr>
        <w:pStyle w:val="ListParagraph"/>
        <w:numPr>
          <w:ilvl w:val="0"/>
          <w:numId w:val="93"/>
        </w:numPr>
        <w:tabs>
          <w:tab w:pos="1919" w:val="left" w:leader="none"/>
        </w:tabs>
        <w:spacing w:line="240" w:lineRule="auto" w:before="120" w:after="0"/>
        <w:ind w:left="1919" w:right="414" w:hanging="567"/>
        <w:jc w:val="both"/>
        <w:rPr>
          <w:sz w:val="24"/>
        </w:rPr>
      </w:pPr>
      <w:r>
        <w:rPr>
          <w:sz w:val="24"/>
        </w:rPr>
        <w:t>for each qualifying contract which manages the liable entity's exposure to the volatility of the </w:t>
      </w:r>
      <w:r>
        <w:rPr>
          <w:i/>
          <w:sz w:val="24"/>
        </w:rPr>
        <w:t>spot price </w:t>
      </w:r>
      <w:r>
        <w:rPr>
          <w:sz w:val="24"/>
        </w:rPr>
        <w:t>in a </w:t>
      </w:r>
      <w:r>
        <w:rPr>
          <w:i/>
          <w:sz w:val="24"/>
        </w:rPr>
        <w:t>region </w:t>
      </w:r>
      <w:r>
        <w:rPr>
          <w:sz w:val="24"/>
        </w:rPr>
        <w:t>by increasing that exposure during the gap trading intervals, the number of megawatts of electricity under those qualifying contracts multiplied by a firmness factor in accordance with a firmness methodology applied, as if the counterparty to that contract was </w:t>
      </w:r>
      <w:r>
        <w:rPr>
          <w:spacing w:val="-11"/>
          <w:sz w:val="24"/>
        </w:rPr>
        <w:t>a </w:t>
      </w:r>
      <w:r>
        <w:rPr>
          <w:sz w:val="24"/>
        </w:rPr>
        <w:t>liable entity, to each of those qualifying contracts (a negative amount);</w:t>
      </w:r>
      <w:r>
        <w:rPr>
          <w:spacing w:val="-5"/>
          <w:sz w:val="24"/>
        </w:rPr>
        <w:t> </w:t>
      </w:r>
      <w:r>
        <w:rPr>
          <w:sz w:val="24"/>
        </w:rPr>
        <w:t>and</w:t>
      </w:r>
    </w:p>
    <w:p>
      <w:pPr>
        <w:pStyle w:val="ListParagraph"/>
        <w:numPr>
          <w:ilvl w:val="0"/>
          <w:numId w:val="93"/>
        </w:numPr>
        <w:tabs>
          <w:tab w:pos="1919" w:val="left" w:leader="none"/>
        </w:tabs>
        <w:spacing w:line="240" w:lineRule="auto" w:before="120" w:after="0"/>
        <w:ind w:left="1919" w:right="415" w:hanging="567"/>
        <w:jc w:val="both"/>
        <w:rPr>
          <w:sz w:val="24"/>
        </w:rPr>
      </w:pPr>
      <w:r>
        <w:rPr>
          <w:sz w:val="24"/>
        </w:rPr>
        <w:t>any further adjustments required to be made in accordance with the Contracts and Firmness Guidelines to account for the effect of any contracts or other arrangements which are not qualifying contracts but which would increase the exposure of the liable entity to the volatility of the </w:t>
      </w:r>
      <w:r>
        <w:rPr>
          <w:i/>
          <w:sz w:val="24"/>
        </w:rPr>
        <w:t>spot price </w:t>
      </w:r>
      <w:r>
        <w:rPr>
          <w:sz w:val="24"/>
        </w:rPr>
        <w:t>in a </w:t>
      </w:r>
      <w:r>
        <w:rPr>
          <w:i/>
          <w:sz w:val="24"/>
        </w:rPr>
        <w:t>region </w:t>
      </w:r>
      <w:r>
        <w:rPr>
          <w:sz w:val="24"/>
        </w:rPr>
        <w:t>during the gap trading intervals (a negative</w:t>
      </w:r>
      <w:r>
        <w:rPr>
          <w:spacing w:val="-4"/>
          <w:sz w:val="24"/>
        </w:rPr>
        <w:t> </w:t>
      </w:r>
      <w:r>
        <w:rPr>
          <w:sz w:val="24"/>
        </w:rPr>
        <w:t>amount),</w:t>
      </w:r>
    </w:p>
    <w:p>
      <w:pPr>
        <w:pStyle w:val="BodyText"/>
        <w:ind w:left="1352" w:right="415" w:firstLine="0"/>
      </w:pPr>
      <w:r>
        <w:rPr/>
        <w:t>in each case determined in accordance with the Contracts and Firmness Guidelines.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Section 14O(3) of the National Electricity Law states that a liable entity's net contract position during a particular period is –</w:t>
      </w:r>
    </w:p>
    <w:p>
      <w:pPr>
        <w:pStyle w:val="ListParagraph"/>
        <w:numPr>
          <w:ilvl w:val="0"/>
          <w:numId w:val="94"/>
        </w:numPr>
        <w:tabs>
          <w:tab w:pos="1658" w:val="left" w:leader="none"/>
        </w:tabs>
        <w:spacing w:line="240" w:lineRule="auto" w:before="120" w:after="0"/>
        <w:ind w:left="1352" w:right="416" w:firstLine="0"/>
        <w:jc w:val="both"/>
        <w:rPr>
          <w:sz w:val="20"/>
        </w:rPr>
      </w:pPr>
      <w:r>
        <w:rPr>
          <w:sz w:val="20"/>
        </w:rPr>
        <w:t>the number of megawatts of electricity to which the liable entity's qualifying contracts under section(14)(1) relate for the period;</w:t>
      </w:r>
      <w:r>
        <w:rPr>
          <w:spacing w:val="-3"/>
          <w:sz w:val="20"/>
        </w:rPr>
        <w:t> </w:t>
      </w:r>
      <w:r>
        <w:rPr>
          <w:sz w:val="20"/>
        </w:rPr>
        <w:t>and</w:t>
      </w:r>
    </w:p>
    <w:p>
      <w:pPr>
        <w:pStyle w:val="ListParagraph"/>
        <w:numPr>
          <w:ilvl w:val="0"/>
          <w:numId w:val="94"/>
        </w:numPr>
        <w:tabs>
          <w:tab w:pos="1658" w:val="left" w:leader="none"/>
        </w:tabs>
        <w:spacing w:line="240" w:lineRule="auto" w:before="120" w:after="0"/>
        <w:ind w:left="1352" w:right="414" w:firstLine="0"/>
        <w:jc w:val="both"/>
        <w:rPr>
          <w:sz w:val="20"/>
        </w:rPr>
      </w:pPr>
      <w:r>
        <w:rPr>
          <w:sz w:val="20"/>
        </w:rPr>
        <w:t>adjusted in accordance with the Rules to account for the likelihood that, despite the qualifying contracts, the liable entity retains exposure in relation to the volatility of the spot price during the period.</w:t>
      </w:r>
    </w:p>
    <w:p>
      <w:pPr>
        <w:pStyle w:val="BodyText"/>
        <w:spacing w:before="10"/>
        <w:ind w:firstLine="0"/>
        <w:jc w:val="left"/>
        <w:rPr>
          <w:sz w:val="20"/>
        </w:rPr>
      </w:pPr>
    </w:p>
    <w:p>
      <w:pPr>
        <w:pStyle w:val="Heading3"/>
        <w:tabs>
          <w:tab w:pos="1656" w:val="left" w:leader="none"/>
        </w:tabs>
        <w:ind w:left="218" w:firstLine="0"/>
      </w:pPr>
      <w:bookmarkStart w:name="Division 2 Firmness methodologies" w:id="186"/>
      <w:bookmarkEnd w:id="186"/>
      <w:r>
        <w:rPr>
          <w:b w:val="0"/>
        </w:rPr>
      </w:r>
      <w:bookmarkStart w:name="_bookmark76" w:id="187"/>
      <w:bookmarkEnd w:id="187"/>
      <w:r>
        <w:rPr>
          <w:b w:val="0"/>
        </w:rPr>
      </w:r>
      <w:r>
        <w:rPr/>
        <w:t>Division</w:t>
      </w:r>
      <w:r>
        <w:rPr>
          <w:spacing w:val="-4"/>
        </w:rPr>
        <w:t> </w:t>
      </w:r>
      <w:r>
        <w:rPr/>
        <w:t>2</w:t>
        <w:tab/>
        <w:t>Firmness</w:t>
      </w:r>
      <w:r>
        <w:rPr>
          <w:spacing w:val="-1"/>
        </w:rPr>
        <w:t> </w:t>
      </w:r>
      <w:r>
        <w:rPr/>
        <w:t>methodologies</w:t>
      </w:r>
    </w:p>
    <w:p>
      <w:pPr>
        <w:pStyle w:val="Heading4"/>
        <w:tabs>
          <w:tab w:pos="1351" w:val="left" w:leader="none"/>
        </w:tabs>
        <w:spacing w:before="240"/>
        <w:ind w:left="218" w:firstLine="0"/>
      </w:pPr>
      <w:bookmarkStart w:name="4A.E.3 Firmness methodology" w:id="188"/>
      <w:bookmarkEnd w:id="188"/>
      <w:r>
        <w:rPr>
          <w:b w:val="0"/>
        </w:rPr>
      </w:r>
      <w:bookmarkStart w:name="_bookmark77" w:id="189"/>
      <w:bookmarkEnd w:id="189"/>
      <w:r>
        <w:rPr>
          <w:b w:val="0"/>
        </w:rPr>
      </w:r>
      <w:r>
        <w:rPr/>
        <w:t>4A.E.3</w:t>
        <w:tab/>
        <w:t>Firmness</w:t>
      </w:r>
      <w:r>
        <w:rPr>
          <w:spacing w:val="-1"/>
        </w:rPr>
        <w:t> </w:t>
      </w:r>
      <w:r>
        <w:rPr/>
        <w:t>methodology</w:t>
      </w:r>
    </w:p>
    <w:p>
      <w:pPr>
        <w:pStyle w:val="ListParagraph"/>
        <w:numPr>
          <w:ilvl w:val="0"/>
          <w:numId w:val="95"/>
        </w:numPr>
        <w:tabs>
          <w:tab w:pos="1919" w:val="left" w:leader="none"/>
        </w:tabs>
        <w:spacing w:line="240" w:lineRule="auto" w:before="120" w:after="0"/>
        <w:ind w:left="1919" w:right="414" w:hanging="567"/>
        <w:jc w:val="both"/>
        <w:rPr>
          <w:sz w:val="24"/>
        </w:rPr>
      </w:pPr>
      <w:r>
        <w:rPr>
          <w:sz w:val="24"/>
        </w:rPr>
        <w:t>A firmness methodology is a methodology for determining the extent to which a liable entity's qualifying contracts reduce that liable entity's exposure to the volatility of the </w:t>
      </w:r>
      <w:r>
        <w:rPr>
          <w:i/>
          <w:sz w:val="24"/>
        </w:rPr>
        <w:t>spot price </w:t>
      </w:r>
      <w:r>
        <w:rPr>
          <w:sz w:val="24"/>
        </w:rPr>
        <w:t>in a </w:t>
      </w:r>
      <w:r>
        <w:rPr>
          <w:i/>
          <w:sz w:val="24"/>
        </w:rPr>
        <w:t>region </w:t>
      </w:r>
      <w:r>
        <w:rPr>
          <w:sz w:val="24"/>
        </w:rPr>
        <w:t>during the gap trading intervals which methodology is to be determined having regard to the following principles ("</w:t>
      </w:r>
      <w:r>
        <w:rPr>
          <w:b/>
          <w:sz w:val="24"/>
        </w:rPr>
        <w:t>firmness</w:t>
      </w:r>
      <w:r>
        <w:rPr>
          <w:b/>
          <w:spacing w:val="-1"/>
          <w:sz w:val="24"/>
        </w:rPr>
        <w:t> </w:t>
      </w:r>
      <w:r>
        <w:rPr>
          <w:b/>
          <w:sz w:val="24"/>
        </w:rPr>
        <w:t>principles</w:t>
      </w:r>
      <w:r>
        <w:rPr>
          <w:sz w:val="24"/>
        </w:rPr>
        <w:t>"):</w:t>
      </w:r>
    </w:p>
    <w:p>
      <w:pPr>
        <w:pStyle w:val="ListParagraph"/>
        <w:numPr>
          <w:ilvl w:val="1"/>
          <w:numId w:val="95"/>
        </w:numPr>
        <w:tabs>
          <w:tab w:pos="2486" w:val="left" w:leader="none"/>
        </w:tabs>
        <w:spacing w:line="240" w:lineRule="auto" w:before="120" w:after="0"/>
        <w:ind w:left="2486" w:right="415" w:hanging="567"/>
        <w:jc w:val="both"/>
        <w:rPr>
          <w:sz w:val="24"/>
        </w:rPr>
      </w:pPr>
      <w:r>
        <w:rPr>
          <w:sz w:val="24"/>
        </w:rPr>
        <w:t>the megawatts the subject of a qualifying contract are to be attributed with a firmness factor between zero and</w:t>
      </w:r>
      <w:r>
        <w:rPr>
          <w:spacing w:val="-2"/>
          <w:sz w:val="24"/>
        </w:rPr>
        <w:t> </w:t>
      </w:r>
      <w:r>
        <w:rPr>
          <w:sz w:val="24"/>
        </w:rPr>
        <w:t>one;</w:t>
      </w:r>
    </w:p>
    <w:p>
      <w:pPr>
        <w:pStyle w:val="ListParagraph"/>
        <w:numPr>
          <w:ilvl w:val="1"/>
          <w:numId w:val="95"/>
        </w:numPr>
        <w:tabs>
          <w:tab w:pos="2486" w:val="left" w:leader="none"/>
        </w:tabs>
        <w:spacing w:line="240" w:lineRule="auto" w:before="120" w:after="0"/>
        <w:ind w:left="2486" w:right="416" w:hanging="567"/>
        <w:jc w:val="both"/>
        <w:rPr>
          <w:sz w:val="24"/>
        </w:rPr>
      </w:pPr>
      <w:r>
        <w:rPr>
          <w:sz w:val="24"/>
        </w:rPr>
        <w:t>the firmness factor when applied to a qualifying contract will take into account:</w:t>
      </w:r>
    </w:p>
    <w:p>
      <w:pPr>
        <w:spacing w:after="0" w:line="240" w:lineRule="auto"/>
        <w:jc w:val="both"/>
        <w:rPr>
          <w:sz w:val="24"/>
        </w:rPr>
        <w:sectPr>
          <w:pgSz w:w="11910" w:h="16840"/>
          <w:pgMar w:header="686" w:footer="637" w:top="1320" w:bottom="820" w:left="1200" w:right="1000"/>
        </w:sectPr>
      </w:pPr>
    </w:p>
    <w:p>
      <w:pPr>
        <w:pStyle w:val="ListParagraph"/>
        <w:numPr>
          <w:ilvl w:val="2"/>
          <w:numId w:val="95"/>
        </w:numPr>
        <w:tabs>
          <w:tab w:pos="3053" w:val="left" w:leader="none"/>
        </w:tabs>
        <w:spacing w:line="240" w:lineRule="auto" w:before="83" w:after="0"/>
        <w:ind w:left="3053" w:right="415" w:hanging="567"/>
        <w:jc w:val="both"/>
        <w:rPr>
          <w:sz w:val="24"/>
        </w:rPr>
      </w:pPr>
      <w:r>
        <w:rPr>
          <w:sz w:val="24"/>
        </w:rPr>
        <w:t>the degree to which the price terms of the qualifying contract reduces the liable entity's exposure to the volatility of </w:t>
      </w:r>
      <w:r>
        <w:rPr>
          <w:i/>
          <w:sz w:val="24"/>
        </w:rPr>
        <w:t>spot </w:t>
      </w:r>
      <w:r>
        <w:rPr>
          <w:i/>
          <w:sz w:val="24"/>
        </w:rPr>
        <w:t>prices </w:t>
      </w:r>
      <w:r>
        <w:rPr>
          <w:sz w:val="24"/>
        </w:rPr>
        <w:t>during the gap trading</w:t>
      </w:r>
      <w:r>
        <w:rPr>
          <w:spacing w:val="-1"/>
          <w:sz w:val="24"/>
        </w:rPr>
        <w:t> </w:t>
      </w:r>
      <w:r>
        <w:rPr>
          <w:sz w:val="24"/>
        </w:rPr>
        <w:t>intervals;</w:t>
      </w:r>
    </w:p>
    <w:p>
      <w:pPr>
        <w:pStyle w:val="ListParagraph"/>
        <w:numPr>
          <w:ilvl w:val="2"/>
          <w:numId w:val="95"/>
        </w:numPr>
        <w:tabs>
          <w:tab w:pos="3054" w:val="left" w:leader="none"/>
        </w:tabs>
        <w:spacing w:line="240" w:lineRule="auto" w:before="120" w:after="0"/>
        <w:ind w:left="3053" w:right="416" w:hanging="567"/>
        <w:jc w:val="both"/>
        <w:rPr>
          <w:sz w:val="24"/>
        </w:rPr>
      </w:pPr>
      <w:r>
        <w:rPr>
          <w:sz w:val="24"/>
        </w:rPr>
        <w:t>the variability and profile of the volume settled or supplied under the qualifying</w:t>
      </w:r>
      <w:r>
        <w:rPr>
          <w:spacing w:val="-1"/>
          <w:sz w:val="24"/>
        </w:rPr>
        <w:t> </w:t>
      </w:r>
      <w:r>
        <w:rPr>
          <w:sz w:val="24"/>
        </w:rPr>
        <w:t>contract;</w:t>
      </w:r>
    </w:p>
    <w:p>
      <w:pPr>
        <w:pStyle w:val="ListParagraph"/>
        <w:numPr>
          <w:ilvl w:val="2"/>
          <w:numId w:val="95"/>
        </w:numPr>
        <w:tabs>
          <w:tab w:pos="3053" w:val="left" w:leader="none"/>
        </w:tabs>
        <w:spacing w:line="240" w:lineRule="auto" w:before="120" w:after="0"/>
        <w:ind w:left="3053" w:right="414" w:hanging="567"/>
        <w:jc w:val="both"/>
        <w:rPr>
          <w:sz w:val="24"/>
        </w:rPr>
      </w:pPr>
      <w:r>
        <w:rPr>
          <w:sz w:val="24"/>
        </w:rPr>
        <w:t>the likelihood of the qualifying contract providing cover to the liable entity during the gap trading intervals (including </w:t>
      </w:r>
      <w:r>
        <w:rPr>
          <w:spacing w:val="-5"/>
          <w:sz w:val="24"/>
        </w:rPr>
        <w:t>the  </w:t>
      </w:r>
      <w:r>
        <w:rPr>
          <w:sz w:val="24"/>
        </w:rPr>
        <w:t>extent to which that contract endures for the </w:t>
      </w:r>
      <w:r>
        <w:rPr>
          <w:i/>
          <w:sz w:val="24"/>
        </w:rPr>
        <w:t>reliability gap </w:t>
      </w:r>
      <w:r>
        <w:rPr>
          <w:i/>
          <w:sz w:val="24"/>
        </w:rPr>
        <w:t>period</w:t>
      </w:r>
      <w:r>
        <w:rPr>
          <w:sz w:val="24"/>
        </w:rPr>
        <w:t>);</w:t>
      </w:r>
    </w:p>
    <w:p>
      <w:pPr>
        <w:pStyle w:val="ListParagraph"/>
        <w:numPr>
          <w:ilvl w:val="2"/>
          <w:numId w:val="95"/>
        </w:numPr>
        <w:tabs>
          <w:tab w:pos="3054" w:val="left" w:leader="none"/>
        </w:tabs>
        <w:spacing w:line="240" w:lineRule="auto" w:before="120" w:after="0"/>
        <w:ind w:left="3053" w:right="414" w:hanging="567"/>
        <w:jc w:val="both"/>
        <w:rPr>
          <w:sz w:val="24"/>
        </w:rPr>
      </w:pPr>
      <w:r>
        <w:rPr>
          <w:sz w:val="24"/>
        </w:rPr>
        <w:t>any other contractual terms which limit the cover under the contract or otherwise reduce the incentive for the counterparty to the qualifying contract to cover its contract position during the gap trading intervals;</w:t>
      </w:r>
      <w:r>
        <w:rPr>
          <w:spacing w:val="-1"/>
          <w:sz w:val="24"/>
        </w:rPr>
        <w:t> </w:t>
      </w:r>
      <w:r>
        <w:rPr>
          <w:sz w:val="24"/>
        </w:rPr>
        <w:t>and</w:t>
      </w:r>
    </w:p>
    <w:p>
      <w:pPr>
        <w:pStyle w:val="ListParagraph"/>
        <w:numPr>
          <w:ilvl w:val="2"/>
          <w:numId w:val="95"/>
        </w:numPr>
        <w:tabs>
          <w:tab w:pos="3053" w:val="left" w:leader="none"/>
        </w:tabs>
        <w:spacing w:line="240" w:lineRule="auto" w:before="120" w:after="0"/>
        <w:ind w:left="3053" w:right="416" w:hanging="567"/>
        <w:jc w:val="both"/>
        <w:rPr>
          <w:sz w:val="24"/>
        </w:rPr>
      </w:pPr>
      <w:r>
        <w:rPr>
          <w:sz w:val="24"/>
        </w:rPr>
        <w:t>any other matters specified in the Contracts and Firmness Guidelines.</w:t>
      </w:r>
    </w:p>
    <w:p>
      <w:pPr>
        <w:pStyle w:val="ListParagraph"/>
        <w:numPr>
          <w:ilvl w:val="0"/>
          <w:numId w:val="95"/>
        </w:numPr>
        <w:tabs>
          <w:tab w:pos="1919" w:val="left" w:leader="none"/>
        </w:tabs>
        <w:spacing w:line="240" w:lineRule="auto" w:before="120" w:after="0"/>
        <w:ind w:left="1919" w:right="416" w:hanging="567"/>
        <w:jc w:val="both"/>
        <w:rPr>
          <w:sz w:val="24"/>
        </w:rPr>
      </w:pPr>
      <w:r>
        <w:rPr>
          <w:sz w:val="24"/>
        </w:rPr>
        <w:t>In paragraph (a), "cover" includes the making of financial payments, generation of electricity or reduction in consumption of</w:t>
      </w:r>
      <w:r>
        <w:rPr>
          <w:spacing w:val="-3"/>
          <w:sz w:val="24"/>
        </w:rPr>
        <w:t> </w:t>
      </w:r>
      <w:r>
        <w:rPr>
          <w:sz w:val="24"/>
        </w:rPr>
        <w:t>electricity.</w:t>
      </w:r>
    </w:p>
    <w:p>
      <w:pPr>
        <w:pStyle w:val="ListParagraph"/>
        <w:numPr>
          <w:ilvl w:val="0"/>
          <w:numId w:val="95"/>
        </w:numPr>
        <w:tabs>
          <w:tab w:pos="1919" w:val="left" w:leader="none"/>
        </w:tabs>
        <w:spacing w:line="240" w:lineRule="auto" w:before="120" w:after="0"/>
        <w:ind w:left="1919" w:right="415" w:hanging="567"/>
        <w:jc w:val="both"/>
        <w:rPr>
          <w:sz w:val="24"/>
        </w:rPr>
      </w:pPr>
      <w:r>
        <w:rPr>
          <w:sz w:val="24"/>
        </w:rPr>
        <w:t>In determining a firmness factor for a qualifying contract, a liable entity must apply the firmness methodology relevant to that qualifying contract under clause</w:t>
      </w:r>
      <w:r>
        <w:rPr>
          <w:spacing w:val="-2"/>
          <w:sz w:val="24"/>
        </w:rPr>
        <w:t> </w:t>
      </w:r>
      <w:r>
        <w:rPr>
          <w:sz w:val="24"/>
        </w:rPr>
        <w:t>4A.E.4.</w:t>
      </w:r>
    </w:p>
    <w:p>
      <w:pPr>
        <w:pStyle w:val="BodyText"/>
        <w:spacing w:before="10"/>
        <w:ind w:firstLine="0"/>
        <w:jc w:val="left"/>
        <w:rPr>
          <w:sz w:val="20"/>
        </w:rPr>
      </w:pPr>
    </w:p>
    <w:p>
      <w:pPr>
        <w:pStyle w:val="Heading4"/>
        <w:tabs>
          <w:tab w:pos="1351" w:val="left" w:leader="none"/>
        </w:tabs>
        <w:ind w:left="218" w:firstLine="0"/>
      </w:pPr>
      <w:bookmarkStart w:name="4A.E.4 Types of methodologies" w:id="190"/>
      <w:bookmarkEnd w:id="190"/>
      <w:r>
        <w:rPr>
          <w:b w:val="0"/>
        </w:rPr>
      </w:r>
      <w:bookmarkStart w:name="_bookmark78" w:id="191"/>
      <w:bookmarkEnd w:id="191"/>
      <w:r>
        <w:rPr>
          <w:b w:val="0"/>
        </w:rPr>
      </w:r>
      <w:r>
        <w:rPr/>
        <w:t>4A.E.4</w:t>
        <w:tab/>
        <w:t>Types of</w:t>
      </w:r>
      <w:r>
        <w:rPr>
          <w:spacing w:val="-1"/>
        </w:rPr>
        <w:t> </w:t>
      </w:r>
      <w:r>
        <w:rPr/>
        <w:t>methodologies</w:t>
      </w:r>
    </w:p>
    <w:p>
      <w:pPr>
        <w:pStyle w:val="ListParagraph"/>
        <w:numPr>
          <w:ilvl w:val="0"/>
          <w:numId w:val="96"/>
        </w:numPr>
        <w:tabs>
          <w:tab w:pos="1919" w:val="left" w:leader="none"/>
        </w:tabs>
        <w:spacing w:line="240" w:lineRule="auto" w:before="120" w:after="0"/>
        <w:ind w:left="1919" w:right="415" w:hanging="567"/>
        <w:jc w:val="both"/>
        <w:rPr>
          <w:sz w:val="24"/>
        </w:rPr>
      </w:pPr>
      <w:r>
        <w:rPr>
          <w:sz w:val="24"/>
        </w:rPr>
        <w:t>A default firmness methodology is, for a standard qualifying contract, the firmness methodology that is specified to be the default firmness methodology for that standard qualifying contract in the Contracts and Firmness</w:t>
      </w:r>
      <w:r>
        <w:rPr>
          <w:spacing w:val="-2"/>
          <w:sz w:val="24"/>
        </w:rPr>
        <w:t> </w:t>
      </w:r>
      <w:r>
        <w:rPr>
          <w:sz w:val="24"/>
        </w:rPr>
        <w:t>Guidelines.</w:t>
      </w:r>
    </w:p>
    <w:p>
      <w:pPr>
        <w:pStyle w:val="ListParagraph"/>
        <w:numPr>
          <w:ilvl w:val="0"/>
          <w:numId w:val="96"/>
        </w:numPr>
        <w:tabs>
          <w:tab w:pos="1919" w:val="left" w:leader="none"/>
        </w:tabs>
        <w:spacing w:line="240" w:lineRule="auto" w:before="120" w:after="0"/>
        <w:ind w:left="1919" w:right="415" w:hanging="567"/>
        <w:jc w:val="both"/>
        <w:rPr>
          <w:sz w:val="24"/>
        </w:rPr>
      </w:pPr>
      <w:r>
        <w:rPr>
          <w:sz w:val="24"/>
        </w:rPr>
        <w:t>A bespoke firmness methodology is, for a non-standard qualifying contract, a firmness methodology for that non-standard qualifying contract approved by an Independent Auditor in accordance with clause</w:t>
      </w:r>
      <w:r>
        <w:rPr>
          <w:spacing w:val="-6"/>
          <w:sz w:val="24"/>
        </w:rPr>
        <w:t> </w:t>
      </w:r>
      <w:r>
        <w:rPr>
          <w:sz w:val="24"/>
        </w:rPr>
        <w:t>4A.E.5.</w:t>
      </w:r>
    </w:p>
    <w:p>
      <w:pPr>
        <w:pStyle w:val="BodyText"/>
        <w:spacing w:before="10"/>
        <w:ind w:firstLine="0"/>
        <w:jc w:val="left"/>
        <w:rPr>
          <w:sz w:val="20"/>
        </w:rPr>
      </w:pPr>
    </w:p>
    <w:p>
      <w:pPr>
        <w:pStyle w:val="Heading4"/>
        <w:tabs>
          <w:tab w:pos="1351" w:val="left" w:leader="none"/>
        </w:tabs>
        <w:ind w:left="218" w:firstLine="0"/>
      </w:pPr>
      <w:bookmarkStart w:name="4A.E.5 Approval of a bespoke firmness me" w:id="192"/>
      <w:bookmarkEnd w:id="192"/>
      <w:r>
        <w:rPr>
          <w:b w:val="0"/>
        </w:rPr>
      </w:r>
      <w:bookmarkStart w:name="_bookmark79" w:id="193"/>
      <w:bookmarkEnd w:id="193"/>
      <w:r>
        <w:rPr>
          <w:b w:val="0"/>
        </w:rPr>
      </w:r>
      <w:r>
        <w:rPr/>
        <w:t>4A.E.5</w:t>
        <w:tab/>
        <w:t>Approval of a bespoke firmness</w:t>
      </w:r>
      <w:r>
        <w:rPr>
          <w:spacing w:val="-6"/>
        </w:rPr>
        <w:t> </w:t>
      </w:r>
      <w:r>
        <w:rPr/>
        <w:t>methodology</w:t>
      </w:r>
    </w:p>
    <w:p>
      <w:pPr>
        <w:pStyle w:val="ListParagraph"/>
        <w:numPr>
          <w:ilvl w:val="0"/>
          <w:numId w:val="97"/>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establish and maintain an Auditors Panel and, in doing so, must have regard</w:t>
      </w:r>
      <w:r>
        <w:rPr>
          <w:spacing w:val="-1"/>
          <w:sz w:val="24"/>
        </w:rPr>
        <w:t> </w:t>
      </w:r>
      <w:r>
        <w:rPr>
          <w:sz w:val="24"/>
        </w:rPr>
        <w:t>to:</w:t>
      </w:r>
    </w:p>
    <w:p>
      <w:pPr>
        <w:pStyle w:val="ListParagraph"/>
        <w:numPr>
          <w:ilvl w:val="1"/>
          <w:numId w:val="97"/>
        </w:numPr>
        <w:tabs>
          <w:tab w:pos="2486" w:val="left" w:leader="none"/>
        </w:tabs>
        <w:spacing w:line="240" w:lineRule="auto" w:before="120" w:after="0"/>
        <w:ind w:left="2486" w:right="415" w:hanging="567"/>
        <w:jc w:val="both"/>
        <w:rPr>
          <w:sz w:val="24"/>
        </w:rPr>
      </w:pPr>
      <w:r>
        <w:rPr>
          <w:sz w:val="24"/>
        </w:rPr>
        <w:t>the need for a person to have sufficient experience and expertise in energy derivatives and energy contracts to carry out the functions of the Independent</w:t>
      </w:r>
      <w:r>
        <w:rPr>
          <w:spacing w:val="-1"/>
          <w:sz w:val="24"/>
        </w:rPr>
        <w:t> </w:t>
      </w:r>
      <w:r>
        <w:rPr>
          <w:sz w:val="24"/>
        </w:rPr>
        <w:t>Auditor;</w:t>
      </w:r>
    </w:p>
    <w:p>
      <w:pPr>
        <w:pStyle w:val="ListParagraph"/>
        <w:numPr>
          <w:ilvl w:val="1"/>
          <w:numId w:val="97"/>
        </w:numPr>
        <w:tabs>
          <w:tab w:pos="2486" w:val="left" w:leader="none"/>
        </w:tabs>
        <w:spacing w:line="240" w:lineRule="auto" w:before="120" w:after="0"/>
        <w:ind w:left="2485" w:right="0" w:hanging="567"/>
        <w:jc w:val="both"/>
        <w:rPr>
          <w:sz w:val="24"/>
        </w:rPr>
      </w:pPr>
      <w:r>
        <w:rPr>
          <w:sz w:val="24"/>
        </w:rPr>
        <w:t>whether the person is an </w:t>
      </w:r>
      <w:r>
        <w:rPr>
          <w:i/>
          <w:sz w:val="24"/>
        </w:rPr>
        <w:t>independent person</w:t>
      </w:r>
      <w:r>
        <w:rPr>
          <w:sz w:val="24"/>
        </w:rPr>
        <w:t>;</w:t>
      </w:r>
      <w:r>
        <w:rPr>
          <w:spacing w:val="-1"/>
          <w:sz w:val="24"/>
        </w:rPr>
        <w:t> </w:t>
      </w:r>
      <w:r>
        <w:rPr>
          <w:sz w:val="24"/>
        </w:rPr>
        <w:t>and</w:t>
      </w:r>
    </w:p>
    <w:p>
      <w:pPr>
        <w:pStyle w:val="ListParagraph"/>
        <w:numPr>
          <w:ilvl w:val="1"/>
          <w:numId w:val="97"/>
        </w:numPr>
        <w:tabs>
          <w:tab w:pos="2486" w:val="left" w:leader="none"/>
        </w:tabs>
        <w:spacing w:line="240" w:lineRule="auto" w:before="120" w:after="0"/>
        <w:ind w:left="2485" w:right="0" w:hanging="567"/>
        <w:jc w:val="both"/>
        <w:rPr>
          <w:sz w:val="24"/>
        </w:rPr>
      </w:pPr>
      <w:r>
        <w:rPr>
          <w:sz w:val="24"/>
        </w:rPr>
        <w:t>any other criteria set out in the Contracts and Firmness</w:t>
      </w:r>
      <w:r>
        <w:rPr>
          <w:spacing w:val="-7"/>
          <w:sz w:val="24"/>
        </w:rPr>
        <w:t> </w:t>
      </w:r>
      <w:r>
        <w:rPr>
          <w:sz w:val="24"/>
        </w:rPr>
        <w:t>Guidelines.</w:t>
      </w:r>
    </w:p>
    <w:p>
      <w:pPr>
        <w:pStyle w:val="ListParagraph"/>
        <w:numPr>
          <w:ilvl w:val="0"/>
          <w:numId w:val="97"/>
        </w:numPr>
        <w:tabs>
          <w:tab w:pos="1919" w:val="left" w:leader="none"/>
        </w:tabs>
        <w:spacing w:line="240" w:lineRule="auto" w:before="120" w:after="0"/>
        <w:ind w:left="1919" w:right="414" w:hanging="567"/>
        <w:jc w:val="both"/>
        <w:rPr>
          <w:sz w:val="24"/>
        </w:rPr>
      </w:pPr>
      <w:r>
        <w:rPr>
          <w:sz w:val="24"/>
        </w:rPr>
        <w:t>A liable entity must appoint an Independent Auditor who is independent from the liable entity to approve any bespoke firmness methodology and firmness factor which the liable entity uses in relation to a non-standard qualifying contract, in accordance with the firmness principles and the Contracts and Firmness</w:t>
      </w:r>
      <w:r>
        <w:rPr>
          <w:spacing w:val="-2"/>
          <w:sz w:val="24"/>
        </w:rPr>
        <w:t> </w:t>
      </w:r>
      <w:r>
        <w:rPr>
          <w:sz w:val="24"/>
        </w:rPr>
        <w:t>Guidelines.</w:t>
      </w:r>
    </w:p>
    <w:p>
      <w:pPr>
        <w:spacing w:after="0" w:line="240" w:lineRule="auto"/>
        <w:jc w:val="both"/>
        <w:rPr>
          <w:sz w:val="24"/>
        </w:rPr>
        <w:sectPr>
          <w:pgSz w:w="11910" w:h="16840"/>
          <w:pgMar w:header="686" w:footer="637" w:top="1320" w:bottom="820" w:left="1200" w:right="1000"/>
        </w:sectPr>
      </w:pPr>
    </w:p>
    <w:p>
      <w:pPr>
        <w:pStyle w:val="ListParagraph"/>
        <w:numPr>
          <w:ilvl w:val="0"/>
          <w:numId w:val="97"/>
        </w:numPr>
        <w:tabs>
          <w:tab w:pos="1919" w:val="left" w:leader="none"/>
        </w:tabs>
        <w:spacing w:line="240" w:lineRule="auto" w:before="83" w:after="0"/>
        <w:ind w:left="1919" w:right="414" w:hanging="567"/>
        <w:jc w:val="both"/>
        <w:rPr>
          <w:sz w:val="24"/>
        </w:rPr>
      </w:pPr>
      <w:r>
        <w:rPr>
          <w:sz w:val="24"/>
        </w:rPr>
        <w:t>The costs of engaging an Independent Auditor under this clause are to be borne by the liable entity appointing that Independent</w:t>
      </w:r>
      <w:r>
        <w:rPr>
          <w:spacing w:val="-4"/>
          <w:sz w:val="24"/>
        </w:rPr>
        <w:t> </w:t>
      </w:r>
      <w:r>
        <w:rPr>
          <w:sz w:val="24"/>
        </w:rPr>
        <w:t>Auditor.</w:t>
      </w:r>
    </w:p>
    <w:p>
      <w:pPr>
        <w:pStyle w:val="ListParagraph"/>
        <w:numPr>
          <w:ilvl w:val="0"/>
          <w:numId w:val="9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review the composition of the Auditors Panel at least every four years and may, at any time, add or remove an Independent Auditor to the pool at its</w:t>
      </w:r>
      <w:r>
        <w:rPr>
          <w:spacing w:val="-1"/>
          <w:sz w:val="24"/>
        </w:rPr>
        <w:t> </w:t>
      </w:r>
      <w:r>
        <w:rPr>
          <w:sz w:val="24"/>
        </w:rPr>
        <w:t>discretion.</w:t>
      </w:r>
    </w:p>
    <w:p>
      <w:pPr>
        <w:pStyle w:val="ListParagraph"/>
        <w:numPr>
          <w:ilvl w:val="0"/>
          <w:numId w:val="97"/>
        </w:numPr>
        <w:tabs>
          <w:tab w:pos="1919" w:val="left" w:leader="none"/>
        </w:tabs>
        <w:spacing w:line="240" w:lineRule="auto" w:before="120" w:after="0"/>
        <w:ind w:left="1919" w:right="415" w:hanging="567"/>
        <w:jc w:val="both"/>
        <w:rPr>
          <w:sz w:val="24"/>
        </w:rPr>
      </w:pPr>
      <w:r>
        <w:rPr>
          <w:sz w:val="24"/>
        </w:rPr>
        <w:t>A bespoke firmness methodology and firmness factor approved by </w:t>
      </w:r>
      <w:r>
        <w:rPr>
          <w:spacing w:val="-6"/>
          <w:sz w:val="24"/>
        </w:rPr>
        <w:t>an </w:t>
      </w:r>
      <w:r>
        <w:rPr>
          <w:sz w:val="24"/>
        </w:rPr>
        <w:t>Independent Auditor and included by a liable entity in its NCP report is binding on the </w:t>
      </w:r>
      <w:r>
        <w:rPr>
          <w:i/>
          <w:sz w:val="24"/>
        </w:rPr>
        <w:t>AER </w:t>
      </w:r>
      <w:r>
        <w:rPr>
          <w:sz w:val="24"/>
        </w:rPr>
        <w:t>in the absence of fraud or manifest</w:t>
      </w:r>
      <w:r>
        <w:rPr>
          <w:spacing w:val="-1"/>
          <w:sz w:val="24"/>
        </w:rPr>
        <w:t> </w:t>
      </w:r>
      <w:r>
        <w:rPr>
          <w:sz w:val="24"/>
        </w:rPr>
        <w:t>error.</w:t>
      </w:r>
    </w:p>
    <w:p>
      <w:pPr>
        <w:pStyle w:val="BodyText"/>
        <w:spacing w:before="10"/>
        <w:ind w:firstLine="0"/>
        <w:jc w:val="left"/>
        <w:rPr>
          <w:sz w:val="20"/>
        </w:rPr>
      </w:pPr>
    </w:p>
    <w:p>
      <w:pPr>
        <w:pStyle w:val="Heading3"/>
        <w:tabs>
          <w:tab w:pos="1656" w:val="left" w:leader="none"/>
        </w:tabs>
        <w:ind w:left="218" w:firstLine="0"/>
      </w:pPr>
      <w:bookmarkStart w:name="Division 3 Reporting net contract positi" w:id="194"/>
      <w:bookmarkEnd w:id="194"/>
      <w:r>
        <w:rPr>
          <w:b w:val="0"/>
        </w:rPr>
      </w:r>
      <w:bookmarkStart w:name="_bookmark80" w:id="195"/>
      <w:bookmarkEnd w:id="195"/>
      <w:r>
        <w:rPr>
          <w:b w:val="0"/>
        </w:rPr>
      </w:r>
      <w:r>
        <w:rPr/>
        <w:t>Division</w:t>
      </w:r>
      <w:r>
        <w:rPr>
          <w:spacing w:val="-4"/>
        </w:rPr>
        <w:t> </w:t>
      </w:r>
      <w:r>
        <w:rPr/>
        <w:t>3</w:t>
        <w:tab/>
        <w:t>Reporting net contract</w:t>
      </w:r>
      <w:r>
        <w:rPr>
          <w:spacing w:val="-1"/>
        </w:rPr>
        <w:t> </w:t>
      </w:r>
      <w:r>
        <w:rPr/>
        <w:t>position</w:t>
      </w:r>
    </w:p>
    <w:p>
      <w:pPr>
        <w:pStyle w:val="Heading4"/>
        <w:tabs>
          <w:tab w:pos="1351" w:val="left" w:leader="none"/>
        </w:tabs>
        <w:spacing w:before="240"/>
        <w:ind w:left="218" w:firstLine="0"/>
      </w:pPr>
      <w:bookmarkStart w:name="4A.E.6 Reporting requirements" w:id="196"/>
      <w:bookmarkEnd w:id="196"/>
      <w:r>
        <w:rPr>
          <w:b w:val="0"/>
        </w:rPr>
      </w:r>
      <w:bookmarkStart w:name="_bookmark81" w:id="197"/>
      <w:bookmarkEnd w:id="197"/>
      <w:r>
        <w:rPr>
          <w:b w:val="0"/>
        </w:rPr>
      </w:r>
      <w:r>
        <w:rPr/>
        <w:t>4A.E.6</w:t>
        <w:tab/>
        <w:t>Reporting</w:t>
      </w:r>
      <w:r>
        <w:rPr>
          <w:spacing w:val="-2"/>
        </w:rPr>
        <w:t> </w:t>
      </w:r>
      <w:r>
        <w:rPr/>
        <w:t>requirements</w:t>
      </w:r>
    </w:p>
    <w:p>
      <w:pPr>
        <w:pStyle w:val="ListParagraph"/>
        <w:numPr>
          <w:ilvl w:val="0"/>
          <w:numId w:val="98"/>
        </w:numPr>
        <w:tabs>
          <w:tab w:pos="1919" w:val="left" w:leader="none"/>
        </w:tabs>
        <w:spacing w:line="240" w:lineRule="auto" w:before="120" w:after="0"/>
        <w:ind w:left="1919" w:right="415" w:hanging="567"/>
        <w:jc w:val="both"/>
        <w:rPr>
          <w:sz w:val="24"/>
        </w:rPr>
      </w:pPr>
      <w:r>
        <w:rPr>
          <w:sz w:val="24"/>
        </w:rPr>
        <w:t>A liable entity's report on its net contract position must be provided to the </w:t>
      </w:r>
      <w:r>
        <w:rPr>
          <w:i/>
          <w:sz w:val="24"/>
        </w:rPr>
        <w:t>AER </w:t>
      </w:r>
      <w:r>
        <w:rPr>
          <w:sz w:val="24"/>
        </w:rPr>
        <w:t>on or before the reporting day ("</w:t>
      </w:r>
      <w:r>
        <w:rPr>
          <w:b/>
          <w:sz w:val="24"/>
        </w:rPr>
        <w:t>NCP report</w:t>
      </w:r>
      <w:r>
        <w:rPr>
          <w:sz w:val="24"/>
        </w:rPr>
        <w:t>") in accordance with this clause.</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Section 14P of the </w:t>
      </w:r>
      <w:r>
        <w:rPr>
          <w:i/>
          <w:sz w:val="20"/>
        </w:rPr>
        <w:t>National Electricity Law </w:t>
      </w:r>
      <w:r>
        <w:rPr>
          <w:sz w:val="20"/>
        </w:rPr>
        <w:t>states a liable entity must give the </w:t>
      </w:r>
      <w:r>
        <w:rPr>
          <w:i/>
          <w:sz w:val="20"/>
        </w:rPr>
        <w:t>AER </w:t>
      </w:r>
      <w:r>
        <w:rPr>
          <w:sz w:val="20"/>
        </w:rPr>
        <w:t>a report about the liable entity's net contract position on or before the reporting day stated in the T-1 reliability instrument. The report must include the information required under the </w:t>
      </w:r>
      <w:r>
        <w:rPr>
          <w:i/>
          <w:sz w:val="20"/>
        </w:rPr>
        <w:t>Rules </w:t>
      </w:r>
      <w:r>
        <w:rPr>
          <w:sz w:val="20"/>
        </w:rPr>
        <w:t>and be prepared and given in the manner and form required by the </w:t>
      </w:r>
      <w:r>
        <w:rPr>
          <w:i/>
          <w:sz w:val="20"/>
        </w:rPr>
        <w:t>Rules</w:t>
      </w:r>
      <w:r>
        <w:rPr>
          <w:sz w:val="20"/>
        </w:rPr>
        <w:t>.</w:t>
      </w:r>
    </w:p>
    <w:p>
      <w:pPr>
        <w:pStyle w:val="ListParagraph"/>
        <w:numPr>
          <w:ilvl w:val="0"/>
          <w:numId w:val="98"/>
        </w:numPr>
        <w:tabs>
          <w:tab w:pos="1919" w:val="left" w:leader="none"/>
        </w:tabs>
        <w:spacing w:line="240" w:lineRule="auto" w:before="120" w:after="0"/>
        <w:ind w:left="1918" w:right="0" w:hanging="567"/>
        <w:jc w:val="both"/>
        <w:rPr>
          <w:sz w:val="24"/>
        </w:rPr>
      </w:pPr>
      <w:r>
        <w:rPr>
          <w:sz w:val="24"/>
        </w:rPr>
        <w:t>The NCP report must include the following</w:t>
      </w:r>
      <w:r>
        <w:rPr>
          <w:spacing w:val="-2"/>
          <w:sz w:val="24"/>
        </w:rPr>
        <w:t> </w:t>
      </w:r>
      <w:r>
        <w:rPr>
          <w:sz w:val="24"/>
        </w:rPr>
        <w:t>information:</w:t>
      </w:r>
    </w:p>
    <w:p>
      <w:pPr>
        <w:pStyle w:val="ListParagraph"/>
        <w:numPr>
          <w:ilvl w:val="1"/>
          <w:numId w:val="98"/>
        </w:numPr>
        <w:tabs>
          <w:tab w:pos="2486" w:val="left" w:leader="none"/>
        </w:tabs>
        <w:spacing w:line="240" w:lineRule="auto" w:before="120" w:after="0"/>
        <w:ind w:left="2486" w:right="414" w:hanging="567"/>
        <w:jc w:val="both"/>
        <w:rPr>
          <w:sz w:val="24"/>
        </w:rPr>
      </w:pPr>
      <w:r>
        <w:rPr>
          <w:sz w:val="24"/>
        </w:rPr>
        <w:t>the liable entity's net contract position as at the end of the position day for each of the gap trading</w:t>
      </w:r>
      <w:r>
        <w:rPr>
          <w:spacing w:val="-1"/>
          <w:sz w:val="24"/>
        </w:rPr>
        <w:t> </w:t>
      </w:r>
      <w:r>
        <w:rPr>
          <w:sz w:val="24"/>
        </w:rPr>
        <w:t>intervals;</w:t>
      </w:r>
    </w:p>
    <w:p>
      <w:pPr>
        <w:pStyle w:val="ListParagraph"/>
        <w:numPr>
          <w:ilvl w:val="1"/>
          <w:numId w:val="98"/>
        </w:numPr>
        <w:tabs>
          <w:tab w:pos="2486" w:val="left" w:leader="none"/>
        </w:tabs>
        <w:spacing w:line="240" w:lineRule="auto" w:before="120" w:after="0"/>
        <w:ind w:left="2486" w:right="414" w:hanging="567"/>
        <w:jc w:val="both"/>
        <w:rPr>
          <w:sz w:val="24"/>
        </w:rPr>
      </w:pPr>
      <w:r>
        <w:rPr>
          <w:sz w:val="24"/>
        </w:rPr>
        <w:t>a list of each qualifying contract (including the volume of each qualifying contract in MW) and whether it increases or decreases the liable entity's exposure to the volatility of the </w:t>
      </w:r>
      <w:r>
        <w:rPr>
          <w:i/>
          <w:sz w:val="24"/>
        </w:rPr>
        <w:t>spot price</w:t>
      </w:r>
      <w:r>
        <w:rPr>
          <w:sz w:val="24"/>
        </w:rPr>
        <w:t>, other than a demand side participation contract or other arrangement that a liable entity elects is not to contribute to the liable entity's net contract position;</w:t>
      </w:r>
    </w:p>
    <w:p>
      <w:pPr>
        <w:pStyle w:val="ListParagraph"/>
        <w:numPr>
          <w:ilvl w:val="1"/>
          <w:numId w:val="98"/>
        </w:numPr>
        <w:tabs>
          <w:tab w:pos="2486" w:val="left" w:leader="none"/>
        </w:tabs>
        <w:spacing w:line="240" w:lineRule="auto" w:before="120" w:after="0"/>
        <w:ind w:left="2486" w:right="415" w:hanging="567"/>
        <w:jc w:val="both"/>
        <w:rPr>
          <w:sz w:val="24"/>
        </w:rPr>
      </w:pPr>
      <w:r>
        <w:rPr>
          <w:sz w:val="24"/>
        </w:rPr>
        <w:t>the </w:t>
      </w:r>
      <w:r>
        <w:rPr>
          <w:i/>
          <w:sz w:val="24"/>
        </w:rPr>
        <w:t>NMI </w:t>
      </w:r>
      <w:r>
        <w:rPr>
          <w:sz w:val="24"/>
        </w:rPr>
        <w:t>and volume (in MW) of any demand side participation contract or other arrangement included in the liable entity's NCP report;</w:t>
      </w:r>
    </w:p>
    <w:p>
      <w:pPr>
        <w:pStyle w:val="ListParagraph"/>
        <w:numPr>
          <w:ilvl w:val="1"/>
          <w:numId w:val="98"/>
        </w:numPr>
        <w:tabs>
          <w:tab w:pos="2486" w:val="left" w:leader="none"/>
        </w:tabs>
        <w:spacing w:line="240" w:lineRule="auto" w:before="120" w:after="0"/>
        <w:ind w:left="2485" w:right="0" w:hanging="567"/>
        <w:jc w:val="both"/>
        <w:rPr>
          <w:sz w:val="24"/>
        </w:rPr>
      </w:pPr>
      <w:r>
        <w:rPr>
          <w:sz w:val="24"/>
        </w:rPr>
        <w:t>the firmness factor applied to each qualifying</w:t>
      </w:r>
      <w:r>
        <w:rPr>
          <w:spacing w:val="-1"/>
          <w:sz w:val="24"/>
        </w:rPr>
        <w:t> </w:t>
      </w:r>
      <w:r>
        <w:rPr>
          <w:sz w:val="24"/>
        </w:rPr>
        <w:t>contract;</w:t>
      </w:r>
    </w:p>
    <w:p>
      <w:pPr>
        <w:pStyle w:val="ListParagraph"/>
        <w:numPr>
          <w:ilvl w:val="1"/>
          <w:numId w:val="98"/>
        </w:numPr>
        <w:tabs>
          <w:tab w:pos="2486" w:val="left" w:leader="none"/>
        </w:tabs>
        <w:spacing w:line="240" w:lineRule="auto" w:before="120" w:after="0"/>
        <w:ind w:left="2486" w:right="416" w:hanging="567"/>
        <w:jc w:val="both"/>
        <w:rPr>
          <w:sz w:val="24"/>
        </w:rPr>
      </w:pPr>
      <w:r>
        <w:rPr>
          <w:sz w:val="24"/>
        </w:rPr>
        <w:t>which qualifying contracts are standard qualifying contracts and the firmness methodology applied in each</w:t>
      </w:r>
      <w:r>
        <w:rPr>
          <w:spacing w:val="-1"/>
          <w:sz w:val="24"/>
        </w:rPr>
        <w:t> </w:t>
      </w:r>
      <w:r>
        <w:rPr>
          <w:sz w:val="24"/>
        </w:rPr>
        <w:t>case;</w:t>
      </w:r>
    </w:p>
    <w:p>
      <w:pPr>
        <w:pStyle w:val="ListParagraph"/>
        <w:numPr>
          <w:ilvl w:val="1"/>
          <w:numId w:val="98"/>
        </w:numPr>
        <w:tabs>
          <w:tab w:pos="2486" w:val="left" w:leader="none"/>
        </w:tabs>
        <w:spacing w:line="240" w:lineRule="auto" w:before="120" w:after="0"/>
        <w:ind w:left="2486" w:right="415" w:hanging="567"/>
        <w:jc w:val="both"/>
        <w:rPr>
          <w:sz w:val="24"/>
        </w:rPr>
      </w:pPr>
      <w:r>
        <w:rPr>
          <w:sz w:val="24"/>
        </w:rPr>
        <w:t>which qualifying contracts are non-standard qualifying contracts </w:t>
      </w:r>
      <w:r>
        <w:rPr>
          <w:spacing w:val="-4"/>
          <w:sz w:val="24"/>
        </w:rPr>
        <w:t>and </w:t>
      </w:r>
      <w:r>
        <w:rPr>
          <w:sz w:val="24"/>
        </w:rPr>
        <w:t>the bespoke firmness methodology approved by an Independent Auditor and applied in each</w:t>
      </w:r>
      <w:r>
        <w:rPr>
          <w:spacing w:val="-2"/>
          <w:sz w:val="24"/>
        </w:rPr>
        <w:t> </w:t>
      </w:r>
      <w:r>
        <w:rPr>
          <w:sz w:val="24"/>
        </w:rPr>
        <w:t>case;</w:t>
      </w:r>
    </w:p>
    <w:p>
      <w:pPr>
        <w:pStyle w:val="ListParagraph"/>
        <w:numPr>
          <w:ilvl w:val="1"/>
          <w:numId w:val="98"/>
        </w:numPr>
        <w:tabs>
          <w:tab w:pos="2486" w:val="left" w:leader="none"/>
        </w:tabs>
        <w:spacing w:line="240" w:lineRule="auto" w:before="120" w:after="0"/>
        <w:ind w:left="2486" w:right="414" w:hanging="567"/>
        <w:jc w:val="both"/>
        <w:rPr>
          <w:sz w:val="24"/>
        </w:rPr>
      </w:pPr>
      <w:r>
        <w:rPr>
          <w:sz w:val="24"/>
        </w:rPr>
        <w:t>any adjustments made for contracts or arrangements which are not qualifying contracts but have the effect of increasing the liable entity's exposure to the volatility of the </w:t>
      </w:r>
      <w:r>
        <w:rPr>
          <w:i/>
          <w:sz w:val="24"/>
        </w:rPr>
        <w:t>spot price </w:t>
      </w:r>
      <w:r>
        <w:rPr>
          <w:sz w:val="24"/>
        </w:rPr>
        <w:t>and an explanation of the adjustment in each</w:t>
      </w:r>
      <w:r>
        <w:rPr>
          <w:spacing w:val="-1"/>
          <w:sz w:val="24"/>
        </w:rPr>
        <w:t> </w:t>
      </w:r>
      <w:r>
        <w:rPr>
          <w:sz w:val="24"/>
        </w:rPr>
        <w:t>case;</w:t>
      </w:r>
    </w:p>
    <w:p>
      <w:pPr>
        <w:pStyle w:val="ListParagraph"/>
        <w:numPr>
          <w:ilvl w:val="1"/>
          <w:numId w:val="98"/>
        </w:numPr>
        <w:tabs>
          <w:tab w:pos="2486" w:val="left" w:leader="none"/>
        </w:tabs>
        <w:spacing w:line="240" w:lineRule="auto" w:before="120" w:after="0"/>
        <w:ind w:left="2486" w:right="414" w:hanging="567"/>
        <w:jc w:val="both"/>
        <w:rPr>
          <w:sz w:val="24"/>
        </w:rPr>
      </w:pPr>
      <w:r>
        <w:rPr>
          <w:sz w:val="24"/>
        </w:rPr>
        <w:t>confirmation that all qualifying contracts, other than a demand side participation contract or other arrangement that a liable entity elects is not</w:t>
      </w:r>
      <w:r>
        <w:rPr>
          <w:spacing w:val="25"/>
          <w:sz w:val="24"/>
        </w:rPr>
        <w:t> </w:t>
      </w:r>
      <w:r>
        <w:rPr>
          <w:sz w:val="24"/>
        </w:rPr>
        <w:t>to</w:t>
      </w:r>
      <w:r>
        <w:rPr>
          <w:spacing w:val="26"/>
          <w:sz w:val="24"/>
        </w:rPr>
        <w:t> </w:t>
      </w:r>
      <w:r>
        <w:rPr>
          <w:sz w:val="24"/>
        </w:rPr>
        <w:t>contribute</w:t>
      </w:r>
      <w:r>
        <w:rPr>
          <w:spacing w:val="25"/>
          <w:sz w:val="24"/>
        </w:rPr>
        <w:t> </w:t>
      </w:r>
      <w:r>
        <w:rPr>
          <w:sz w:val="24"/>
        </w:rPr>
        <w:t>to</w:t>
      </w:r>
      <w:r>
        <w:rPr>
          <w:spacing w:val="26"/>
          <w:sz w:val="24"/>
        </w:rPr>
        <w:t> </w:t>
      </w:r>
      <w:r>
        <w:rPr>
          <w:sz w:val="24"/>
        </w:rPr>
        <w:t>the</w:t>
      </w:r>
      <w:r>
        <w:rPr>
          <w:spacing w:val="25"/>
          <w:sz w:val="24"/>
        </w:rPr>
        <w:t> </w:t>
      </w:r>
      <w:r>
        <w:rPr>
          <w:sz w:val="24"/>
        </w:rPr>
        <w:t>liable</w:t>
      </w:r>
      <w:r>
        <w:rPr>
          <w:spacing w:val="26"/>
          <w:sz w:val="24"/>
        </w:rPr>
        <w:t> </w:t>
      </w:r>
      <w:r>
        <w:rPr>
          <w:sz w:val="24"/>
        </w:rPr>
        <w:t>entity's</w:t>
      </w:r>
      <w:r>
        <w:rPr>
          <w:spacing w:val="25"/>
          <w:sz w:val="24"/>
        </w:rPr>
        <w:t> </w:t>
      </w:r>
      <w:r>
        <w:rPr>
          <w:sz w:val="24"/>
        </w:rPr>
        <w:t>net</w:t>
      </w:r>
      <w:r>
        <w:rPr>
          <w:spacing w:val="26"/>
          <w:sz w:val="24"/>
        </w:rPr>
        <w:t> </w:t>
      </w:r>
      <w:r>
        <w:rPr>
          <w:sz w:val="24"/>
        </w:rPr>
        <w:t>contract</w:t>
      </w:r>
      <w:r>
        <w:rPr>
          <w:spacing w:val="26"/>
          <w:sz w:val="24"/>
        </w:rPr>
        <w:t> </w:t>
      </w:r>
      <w:r>
        <w:rPr>
          <w:sz w:val="24"/>
        </w:rPr>
        <w:t>position,</w:t>
      </w:r>
      <w:r>
        <w:rPr>
          <w:spacing w:val="25"/>
          <w:sz w:val="24"/>
        </w:rPr>
        <w:t> </w:t>
      </w:r>
      <w:r>
        <w:rPr>
          <w:sz w:val="24"/>
        </w:rPr>
        <w:t>and</w:t>
      </w:r>
      <w:r>
        <w:rPr>
          <w:spacing w:val="26"/>
          <w:sz w:val="24"/>
        </w:rPr>
        <w:t> </w:t>
      </w:r>
      <w:r>
        <w:rPr>
          <w:sz w:val="24"/>
        </w:rPr>
        <w:t>non-</w:t>
      </w:r>
    </w:p>
    <w:p>
      <w:pPr>
        <w:spacing w:after="0" w:line="240" w:lineRule="auto"/>
        <w:jc w:val="both"/>
        <w:rPr>
          <w:sz w:val="24"/>
        </w:rPr>
        <w:sectPr>
          <w:pgSz w:w="11910" w:h="16840"/>
          <w:pgMar w:header="686" w:footer="637" w:top="1320" w:bottom="820" w:left="1200" w:right="1000"/>
        </w:sectPr>
      </w:pPr>
    </w:p>
    <w:p>
      <w:pPr>
        <w:pStyle w:val="BodyText"/>
        <w:spacing w:before="83"/>
        <w:ind w:left="2486" w:right="414" w:firstLine="0"/>
      </w:pPr>
      <w:r>
        <w:rPr/>
        <w:t>qualifying contracts or arrangements relevant to the </w:t>
      </w:r>
      <w:r>
        <w:rPr>
          <w:i/>
        </w:rPr>
        <w:t>region </w:t>
      </w:r>
      <w:r>
        <w:rPr/>
        <w:t>and the gap trading intervals in the T-1 reliability instrument have been accounted for in the NCP</w:t>
      </w:r>
      <w:r>
        <w:rPr>
          <w:spacing w:val="-2"/>
        </w:rPr>
        <w:t> </w:t>
      </w:r>
      <w:r>
        <w:rPr/>
        <w:t>report;</w:t>
      </w:r>
    </w:p>
    <w:p>
      <w:pPr>
        <w:pStyle w:val="ListParagraph"/>
        <w:numPr>
          <w:ilvl w:val="1"/>
          <w:numId w:val="98"/>
        </w:numPr>
        <w:tabs>
          <w:tab w:pos="2486" w:val="left" w:leader="none"/>
        </w:tabs>
        <w:spacing w:line="240" w:lineRule="auto" w:before="120" w:after="0"/>
        <w:ind w:left="2486" w:right="414" w:hanging="567"/>
        <w:jc w:val="both"/>
        <w:rPr>
          <w:sz w:val="24"/>
        </w:rPr>
      </w:pPr>
      <w:r>
        <w:rPr>
          <w:sz w:val="24"/>
        </w:rPr>
        <w:t>the liable entity's expected maximum demand for the gap trading intervals based on its net contract position for those gap trading intervals without taking into account any demand side participation contracts or other arrangements;</w:t>
      </w:r>
      <w:r>
        <w:rPr>
          <w:spacing w:val="-1"/>
          <w:sz w:val="24"/>
        </w:rPr>
        <w:t> </w:t>
      </w:r>
      <w:r>
        <w:rPr>
          <w:sz w:val="24"/>
        </w:rPr>
        <w:t>and</w:t>
      </w:r>
    </w:p>
    <w:p>
      <w:pPr>
        <w:pStyle w:val="ListParagraph"/>
        <w:numPr>
          <w:ilvl w:val="1"/>
          <w:numId w:val="98"/>
        </w:numPr>
        <w:tabs>
          <w:tab w:pos="2486" w:val="left" w:leader="none"/>
        </w:tabs>
        <w:spacing w:line="240" w:lineRule="auto" w:before="120" w:after="0"/>
        <w:ind w:left="2486" w:right="416" w:hanging="567"/>
        <w:jc w:val="both"/>
        <w:rPr>
          <w:sz w:val="24"/>
        </w:rPr>
      </w:pPr>
      <w:r>
        <w:rPr>
          <w:sz w:val="24"/>
        </w:rPr>
        <w:t>any other information specified in the Contracts and Firmness Guidelines.</w:t>
      </w:r>
    </w:p>
    <w:p>
      <w:pPr>
        <w:pStyle w:val="ListParagraph"/>
        <w:numPr>
          <w:ilvl w:val="0"/>
          <w:numId w:val="98"/>
        </w:numPr>
        <w:tabs>
          <w:tab w:pos="1919" w:val="left" w:leader="none"/>
        </w:tabs>
        <w:spacing w:line="240" w:lineRule="auto" w:before="120" w:after="0"/>
        <w:ind w:left="1918" w:right="0" w:hanging="567"/>
        <w:jc w:val="both"/>
        <w:rPr>
          <w:sz w:val="24"/>
        </w:rPr>
      </w:pPr>
      <w:r>
        <w:rPr>
          <w:sz w:val="24"/>
        </w:rPr>
        <w:t>The NCP report must</w:t>
      </w:r>
      <w:r>
        <w:rPr>
          <w:spacing w:val="-1"/>
          <w:sz w:val="24"/>
        </w:rPr>
        <w:t> </w:t>
      </w:r>
      <w:r>
        <w:rPr>
          <w:sz w:val="24"/>
        </w:rPr>
        <w:t>be:</w:t>
      </w:r>
    </w:p>
    <w:p>
      <w:pPr>
        <w:pStyle w:val="ListParagraph"/>
        <w:numPr>
          <w:ilvl w:val="1"/>
          <w:numId w:val="98"/>
        </w:numPr>
        <w:tabs>
          <w:tab w:pos="2486" w:val="left" w:leader="none"/>
        </w:tabs>
        <w:spacing w:line="240" w:lineRule="auto" w:before="120" w:after="0"/>
        <w:ind w:left="2486" w:right="415" w:hanging="567"/>
        <w:jc w:val="both"/>
        <w:rPr>
          <w:sz w:val="24"/>
        </w:rPr>
      </w:pPr>
      <w:r>
        <w:rPr>
          <w:sz w:val="24"/>
        </w:rPr>
        <w:t>certified by a director of the liable entity in accordance with the Contracts and Firmness Guidelines;</w:t>
      </w:r>
      <w:r>
        <w:rPr>
          <w:spacing w:val="-2"/>
          <w:sz w:val="24"/>
        </w:rPr>
        <w:t> </w:t>
      </w:r>
      <w:r>
        <w:rPr>
          <w:sz w:val="24"/>
        </w:rPr>
        <w:t>and</w:t>
      </w:r>
    </w:p>
    <w:p>
      <w:pPr>
        <w:pStyle w:val="ListParagraph"/>
        <w:numPr>
          <w:ilvl w:val="1"/>
          <w:numId w:val="98"/>
        </w:numPr>
        <w:tabs>
          <w:tab w:pos="2486" w:val="left" w:leader="none"/>
        </w:tabs>
        <w:spacing w:line="240" w:lineRule="auto" w:before="120" w:after="0"/>
        <w:ind w:left="2486" w:right="415" w:hanging="567"/>
        <w:jc w:val="both"/>
        <w:rPr>
          <w:sz w:val="24"/>
        </w:rPr>
      </w:pPr>
      <w:r>
        <w:rPr>
          <w:sz w:val="24"/>
        </w:rPr>
        <w:t>lodged in accordance with, and in the form specified by, the Contracts and Firmness</w:t>
      </w:r>
      <w:r>
        <w:rPr>
          <w:spacing w:val="-2"/>
          <w:sz w:val="24"/>
        </w:rPr>
        <w:t> </w:t>
      </w:r>
      <w:r>
        <w:rPr>
          <w:sz w:val="24"/>
        </w:rPr>
        <w:t>Guidelines.</w:t>
      </w:r>
    </w:p>
    <w:p>
      <w:pPr>
        <w:pStyle w:val="BodyText"/>
        <w:spacing w:before="10"/>
        <w:ind w:firstLine="0"/>
        <w:jc w:val="left"/>
        <w:rPr>
          <w:sz w:val="20"/>
        </w:rPr>
      </w:pPr>
    </w:p>
    <w:p>
      <w:pPr>
        <w:pStyle w:val="Heading3"/>
        <w:tabs>
          <w:tab w:pos="1656" w:val="left" w:leader="none"/>
        </w:tabs>
        <w:ind w:left="218" w:firstLine="0"/>
      </w:pPr>
      <w:bookmarkStart w:name="Division 4 Adjustment of net contract po" w:id="198"/>
      <w:bookmarkEnd w:id="198"/>
      <w:r>
        <w:rPr>
          <w:b w:val="0"/>
        </w:rPr>
      </w:r>
      <w:bookmarkStart w:name="_bookmark82" w:id="199"/>
      <w:bookmarkEnd w:id="199"/>
      <w:r>
        <w:rPr>
          <w:b w:val="0"/>
        </w:rPr>
      </w:r>
      <w:r>
        <w:rPr/>
        <w:t>Division</w:t>
      </w:r>
      <w:r>
        <w:rPr>
          <w:spacing w:val="-4"/>
        </w:rPr>
        <w:t> </w:t>
      </w:r>
      <w:r>
        <w:rPr/>
        <w:t>4</w:t>
        <w:tab/>
        <w:t>Adjustment of net contract</w:t>
      </w:r>
      <w:r>
        <w:rPr>
          <w:spacing w:val="-1"/>
        </w:rPr>
        <w:t> </w:t>
      </w:r>
      <w:r>
        <w:rPr/>
        <w:t>position</w:t>
      </w:r>
    </w:p>
    <w:p>
      <w:pPr>
        <w:pStyle w:val="Heading4"/>
        <w:tabs>
          <w:tab w:pos="1351" w:val="left" w:leader="none"/>
        </w:tabs>
        <w:spacing w:before="240"/>
        <w:ind w:left="218" w:firstLine="0"/>
      </w:pPr>
      <w:bookmarkStart w:name="4A.E.7 Adjustment of net contract positi" w:id="200"/>
      <w:bookmarkEnd w:id="200"/>
      <w:r>
        <w:rPr>
          <w:b w:val="0"/>
        </w:rPr>
      </w:r>
      <w:bookmarkStart w:name="_bookmark83" w:id="201"/>
      <w:bookmarkEnd w:id="201"/>
      <w:r>
        <w:rPr>
          <w:b w:val="0"/>
        </w:rPr>
      </w:r>
      <w:r>
        <w:rPr/>
        <w:t>4A.E.7</w:t>
        <w:tab/>
        <w:t>Adjustment of net contract</w:t>
      </w:r>
      <w:r>
        <w:rPr>
          <w:spacing w:val="-4"/>
        </w:rPr>
        <w:t> </w:t>
      </w:r>
      <w:r>
        <w:rPr/>
        <w:t>position</w:t>
      </w:r>
    </w:p>
    <w:p>
      <w:pPr>
        <w:pStyle w:val="ListParagraph"/>
        <w:numPr>
          <w:ilvl w:val="0"/>
          <w:numId w:val="99"/>
        </w:numPr>
        <w:tabs>
          <w:tab w:pos="1919" w:val="left" w:leader="none"/>
        </w:tabs>
        <w:spacing w:line="240" w:lineRule="auto" w:before="120" w:after="0"/>
        <w:ind w:left="1919" w:right="414" w:hanging="567"/>
        <w:jc w:val="both"/>
        <w:rPr>
          <w:sz w:val="24"/>
        </w:rPr>
      </w:pPr>
      <w:r>
        <w:rPr>
          <w:sz w:val="24"/>
        </w:rPr>
        <w:t>If an adjustment event occurs under paragraph (b), a liable entity may apply to the </w:t>
      </w:r>
      <w:r>
        <w:rPr>
          <w:i/>
          <w:sz w:val="24"/>
        </w:rPr>
        <w:t>AER </w:t>
      </w:r>
      <w:r>
        <w:rPr>
          <w:sz w:val="24"/>
        </w:rPr>
        <w:t>for approval to adjust its net contract position for a </w:t>
      </w:r>
      <w:r>
        <w:rPr>
          <w:i/>
          <w:sz w:val="24"/>
        </w:rPr>
        <w:t>region </w:t>
      </w:r>
      <w:r>
        <w:rPr>
          <w:sz w:val="24"/>
        </w:rPr>
        <w:t>in its NCP report for qualifying contracts entered into after the position day but only to the extent required to cover the increase in expected maximum demand during the gap trading intervals ("</w:t>
      </w:r>
      <w:r>
        <w:rPr>
          <w:b/>
          <w:sz w:val="24"/>
        </w:rPr>
        <w:t>application for</w:t>
      </w:r>
      <w:r>
        <w:rPr>
          <w:b/>
          <w:spacing w:val="-3"/>
          <w:sz w:val="24"/>
        </w:rPr>
        <w:t> </w:t>
      </w:r>
      <w:r>
        <w:rPr>
          <w:b/>
          <w:sz w:val="24"/>
        </w:rPr>
        <w:t>adjustment</w:t>
      </w:r>
      <w:r>
        <w:rPr>
          <w:sz w:val="24"/>
        </w:rPr>
        <w:t>").</w:t>
      </w:r>
    </w:p>
    <w:p>
      <w:pPr>
        <w:pStyle w:val="ListParagraph"/>
        <w:numPr>
          <w:ilvl w:val="0"/>
          <w:numId w:val="99"/>
        </w:numPr>
        <w:tabs>
          <w:tab w:pos="1919" w:val="left" w:leader="none"/>
        </w:tabs>
        <w:spacing w:line="240" w:lineRule="auto" w:before="120" w:after="0"/>
        <w:ind w:left="1918" w:right="0" w:hanging="567"/>
        <w:jc w:val="both"/>
        <w:rPr>
          <w:sz w:val="24"/>
        </w:rPr>
      </w:pPr>
      <w:r>
        <w:rPr>
          <w:sz w:val="24"/>
        </w:rPr>
        <w:t>An adjustment event occurs if, after the position</w:t>
      </w:r>
      <w:r>
        <w:rPr>
          <w:spacing w:val="-2"/>
          <w:sz w:val="24"/>
        </w:rPr>
        <w:t> </w:t>
      </w:r>
      <w:r>
        <w:rPr>
          <w:sz w:val="24"/>
        </w:rPr>
        <w:t>day:</w:t>
      </w:r>
    </w:p>
    <w:p>
      <w:pPr>
        <w:pStyle w:val="ListParagraph"/>
        <w:numPr>
          <w:ilvl w:val="1"/>
          <w:numId w:val="99"/>
        </w:numPr>
        <w:tabs>
          <w:tab w:pos="2486" w:val="left" w:leader="none"/>
        </w:tabs>
        <w:spacing w:line="240" w:lineRule="auto" w:before="120" w:after="0"/>
        <w:ind w:left="2486" w:right="415" w:hanging="567"/>
        <w:jc w:val="both"/>
        <w:rPr>
          <w:sz w:val="24"/>
        </w:rPr>
      </w:pPr>
      <w:r>
        <w:rPr>
          <w:sz w:val="24"/>
        </w:rPr>
        <w:t>the number of </w:t>
      </w:r>
      <w:r>
        <w:rPr>
          <w:i/>
          <w:sz w:val="24"/>
        </w:rPr>
        <w:t>connection points </w:t>
      </w:r>
      <w:r>
        <w:rPr>
          <w:sz w:val="24"/>
        </w:rPr>
        <w:t>for </w:t>
      </w:r>
      <w:r>
        <w:rPr>
          <w:i/>
          <w:sz w:val="24"/>
        </w:rPr>
        <w:t>small customers </w:t>
      </w:r>
      <w:r>
        <w:rPr>
          <w:sz w:val="24"/>
        </w:rPr>
        <w:t>in the </w:t>
      </w:r>
      <w:r>
        <w:rPr>
          <w:i/>
          <w:sz w:val="24"/>
        </w:rPr>
        <w:t>region </w:t>
      </w:r>
      <w:r>
        <w:rPr>
          <w:sz w:val="24"/>
        </w:rPr>
        <w:t>for which the liable entity is </w:t>
      </w:r>
      <w:r>
        <w:rPr>
          <w:i/>
          <w:sz w:val="24"/>
        </w:rPr>
        <w:t>financially responsible </w:t>
      </w:r>
      <w:r>
        <w:rPr>
          <w:sz w:val="24"/>
        </w:rPr>
        <w:t>changes such that the liable entity's expected maximum demand reported in its NCP </w:t>
      </w:r>
      <w:r>
        <w:rPr>
          <w:spacing w:val="-3"/>
          <w:sz w:val="24"/>
        </w:rPr>
        <w:t>report </w:t>
      </w:r>
      <w:r>
        <w:rPr>
          <w:sz w:val="24"/>
        </w:rPr>
        <w:t>will increase by more than</w:t>
      </w:r>
      <w:r>
        <w:rPr>
          <w:spacing w:val="-2"/>
          <w:sz w:val="24"/>
        </w:rPr>
        <w:t> </w:t>
      </w:r>
      <w:r>
        <w:rPr>
          <w:sz w:val="24"/>
        </w:rPr>
        <w:t>10%;</w:t>
      </w:r>
    </w:p>
    <w:p>
      <w:pPr>
        <w:pStyle w:val="ListParagraph"/>
        <w:numPr>
          <w:ilvl w:val="1"/>
          <w:numId w:val="99"/>
        </w:numPr>
        <w:tabs>
          <w:tab w:pos="2486" w:val="left" w:leader="none"/>
        </w:tabs>
        <w:spacing w:line="240" w:lineRule="auto" w:before="120" w:after="0"/>
        <w:ind w:left="2486" w:right="415" w:hanging="567"/>
        <w:jc w:val="both"/>
        <w:rPr>
          <w:sz w:val="24"/>
        </w:rPr>
      </w:pPr>
      <w:r>
        <w:rPr>
          <w:sz w:val="24"/>
        </w:rPr>
        <w:t>the number of </w:t>
      </w:r>
      <w:r>
        <w:rPr>
          <w:i/>
          <w:sz w:val="24"/>
        </w:rPr>
        <w:t>connection points </w:t>
      </w:r>
      <w:r>
        <w:rPr>
          <w:sz w:val="24"/>
        </w:rPr>
        <w:t>for </w:t>
      </w:r>
      <w:r>
        <w:rPr>
          <w:i/>
          <w:sz w:val="24"/>
        </w:rPr>
        <w:t>large customers </w:t>
      </w:r>
      <w:r>
        <w:rPr>
          <w:sz w:val="24"/>
        </w:rPr>
        <w:t>(who are </w:t>
      </w:r>
      <w:r>
        <w:rPr>
          <w:spacing w:val="-3"/>
          <w:sz w:val="24"/>
        </w:rPr>
        <w:t>below </w:t>
      </w:r>
      <w:r>
        <w:rPr>
          <w:sz w:val="24"/>
        </w:rPr>
        <w:t>the opt-in customer threshold) in the </w:t>
      </w:r>
      <w:r>
        <w:rPr>
          <w:i/>
          <w:sz w:val="24"/>
        </w:rPr>
        <w:t>region </w:t>
      </w:r>
      <w:r>
        <w:rPr>
          <w:sz w:val="24"/>
        </w:rPr>
        <w:t>for which the liable entity is </w:t>
      </w:r>
      <w:r>
        <w:rPr>
          <w:i/>
          <w:sz w:val="24"/>
        </w:rPr>
        <w:t>financially responsible </w:t>
      </w:r>
      <w:r>
        <w:rPr>
          <w:sz w:val="24"/>
        </w:rPr>
        <w:t>changes such that the liable entity's expected maximum demand reported in its NCP report will increase by more than 1%;</w:t>
      </w:r>
    </w:p>
    <w:p>
      <w:pPr>
        <w:pStyle w:val="ListParagraph"/>
        <w:numPr>
          <w:ilvl w:val="1"/>
          <w:numId w:val="99"/>
        </w:numPr>
        <w:tabs>
          <w:tab w:pos="2486" w:val="left" w:leader="none"/>
        </w:tabs>
        <w:spacing w:line="240" w:lineRule="auto" w:before="120" w:after="0"/>
        <w:ind w:left="2486" w:right="414" w:hanging="567"/>
        <w:jc w:val="both"/>
        <w:rPr>
          <w:sz w:val="24"/>
        </w:rPr>
      </w:pPr>
      <w:r>
        <w:rPr>
          <w:sz w:val="24"/>
        </w:rPr>
        <w:t>the liable entity becomes </w:t>
      </w:r>
      <w:r>
        <w:rPr>
          <w:i/>
          <w:sz w:val="24"/>
        </w:rPr>
        <w:t>financially responsible </w:t>
      </w:r>
      <w:r>
        <w:rPr>
          <w:sz w:val="24"/>
        </w:rPr>
        <w:t>for a new </w:t>
      </w:r>
      <w:r>
        <w:rPr>
          <w:i/>
          <w:sz w:val="24"/>
        </w:rPr>
        <w:t>connection </w:t>
      </w:r>
      <w:r>
        <w:rPr>
          <w:i/>
          <w:sz w:val="24"/>
        </w:rPr>
        <w:t>point </w:t>
      </w:r>
      <w:r>
        <w:rPr>
          <w:sz w:val="24"/>
        </w:rPr>
        <w:t>established after the position day where the </w:t>
      </w:r>
      <w:r>
        <w:rPr>
          <w:i/>
          <w:sz w:val="24"/>
        </w:rPr>
        <w:t>large customer </w:t>
      </w:r>
      <w:r>
        <w:rPr>
          <w:sz w:val="24"/>
        </w:rPr>
        <w:t>at that </w:t>
      </w:r>
      <w:r>
        <w:rPr>
          <w:i/>
          <w:sz w:val="24"/>
        </w:rPr>
        <w:t>connection point </w:t>
      </w:r>
      <w:r>
        <w:rPr>
          <w:sz w:val="24"/>
        </w:rPr>
        <w:t>is at or above the opt-in customer threshold such that the liable entity's expected maximum demand reported in its NCP report will increase by more than</w:t>
      </w:r>
      <w:r>
        <w:rPr>
          <w:spacing w:val="-2"/>
          <w:sz w:val="24"/>
        </w:rPr>
        <w:t> </w:t>
      </w:r>
      <w:r>
        <w:rPr>
          <w:sz w:val="24"/>
        </w:rPr>
        <w:t>1%;</w:t>
      </w:r>
    </w:p>
    <w:p>
      <w:pPr>
        <w:pStyle w:val="ListParagraph"/>
        <w:numPr>
          <w:ilvl w:val="1"/>
          <w:numId w:val="99"/>
        </w:numPr>
        <w:tabs>
          <w:tab w:pos="2486" w:val="left" w:leader="none"/>
        </w:tabs>
        <w:spacing w:line="240" w:lineRule="auto" w:before="120" w:after="0"/>
        <w:ind w:left="2486" w:right="415" w:hanging="567"/>
        <w:jc w:val="both"/>
        <w:rPr>
          <w:sz w:val="24"/>
        </w:rPr>
      </w:pPr>
      <w:r>
        <w:rPr>
          <w:sz w:val="24"/>
        </w:rPr>
        <w:t>a liable entity is transferred </w:t>
      </w:r>
      <w:r>
        <w:rPr>
          <w:i/>
          <w:sz w:val="24"/>
        </w:rPr>
        <w:t>retail customers </w:t>
      </w:r>
      <w:r>
        <w:rPr>
          <w:sz w:val="24"/>
        </w:rPr>
        <w:t>in the </w:t>
      </w:r>
      <w:r>
        <w:rPr>
          <w:i/>
          <w:sz w:val="24"/>
        </w:rPr>
        <w:t>region </w:t>
      </w:r>
      <w:r>
        <w:rPr>
          <w:sz w:val="24"/>
        </w:rPr>
        <w:t>in its capacity as a </w:t>
      </w:r>
      <w:r>
        <w:rPr>
          <w:i/>
          <w:sz w:val="24"/>
        </w:rPr>
        <w:t>RoLR</w:t>
      </w:r>
      <w:r>
        <w:rPr>
          <w:sz w:val="24"/>
        </w:rPr>
        <w:t>;</w:t>
      </w:r>
      <w:r>
        <w:rPr>
          <w:spacing w:val="-1"/>
          <w:sz w:val="24"/>
        </w:rPr>
        <w:t> </w:t>
      </w:r>
      <w:r>
        <w:rPr>
          <w:sz w:val="24"/>
        </w:rPr>
        <w:t>or</w:t>
      </w:r>
    </w:p>
    <w:p>
      <w:pPr>
        <w:pStyle w:val="ListParagraph"/>
        <w:numPr>
          <w:ilvl w:val="1"/>
          <w:numId w:val="99"/>
        </w:numPr>
        <w:tabs>
          <w:tab w:pos="2486" w:val="left" w:leader="none"/>
        </w:tabs>
        <w:spacing w:line="240" w:lineRule="auto" w:before="120" w:after="0"/>
        <w:ind w:left="2486" w:right="413" w:hanging="567"/>
        <w:jc w:val="both"/>
        <w:rPr>
          <w:sz w:val="24"/>
        </w:rPr>
      </w:pPr>
      <w:r>
        <w:rPr>
          <w:sz w:val="24"/>
        </w:rPr>
        <w:t>if the liable entity is an opt-in customer, that liable entity's expected maximum demand reported in its NCP report will increase by more than 1%.</w:t>
      </w:r>
    </w:p>
    <w:p>
      <w:pPr>
        <w:pStyle w:val="ListParagraph"/>
        <w:numPr>
          <w:ilvl w:val="0"/>
          <w:numId w:val="99"/>
        </w:numPr>
        <w:tabs>
          <w:tab w:pos="1919" w:val="left" w:leader="none"/>
        </w:tabs>
        <w:spacing w:line="240" w:lineRule="auto" w:before="120" w:after="0"/>
        <w:ind w:left="1919" w:right="414" w:hanging="567"/>
        <w:jc w:val="both"/>
        <w:rPr>
          <w:sz w:val="24"/>
        </w:rPr>
      </w:pPr>
      <w:r>
        <w:rPr>
          <w:sz w:val="24"/>
        </w:rPr>
        <w:t>An application for adjustment must be made in accordance with the Contracts and Firmness Guidelines and</w:t>
      </w:r>
      <w:r>
        <w:rPr>
          <w:spacing w:val="-3"/>
          <w:sz w:val="24"/>
        </w:rPr>
        <w:t> </w:t>
      </w:r>
      <w:r>
        <w:rPr>
          <w:sz w:val="24"/>
        </w:rPr>
        <w:t>include:</w:t>
      </w:r>
    </w:p>
    <w:p>
      <w:pPr>
        <w:spacing w:after="0" w:line="240" w:lineRule="auto"/>
        <w:jc w:val="both"/>
        <w:rPr>
          <w:sz w:val="24"/>
        </w:rPr>
        <w:sectPr>
          <w:pgSz w:w="11910" w:h="16840"/>
          <w:pgMar w:header="686" w:footer="637" w:top="1320" w:bottom="820" w:left="1200" w:right="1000"/>
        </w:sectPr>
      </w:pPr>
    </w:p>
    <w:p>
      <w:pPr>
        <w:pStyle w:val="ListParagraph"/>
        <w:numPr>
          <w:ilvl w:val="1"/>
          <w:numId w:val="99"/>
        </w:numPr>
        <w:tabs>
          <w:tab w:pos="2485" w:val="left" w:leader="none"/>
          <w:tab w:pos="2486" w:val="left" w:leader="none"/>
        </w:tabs>
        <w:spacing w:line="240" w:lineRule="auto" w:before="83" w:after="0"/>
        <w:ind w:left="2486" w:right="414" w:hanging="567"/>
        <w:jc w:val="left"/>
        <w:rPr>
          <w:sz w:val="24"/>
        </w:rPr>
      </w:pPr>
      <w:r>
        <w:rPr>
          <w:sz w:val="24"/>
        </w:rPr>
        <w:t>the liable entity's revised NCP report, including the adjusted net contract</w:t>
      </w:r>
      <w:r>
        <w:rPr>
          <w:spacing w:val="-1"/>
          <w:sz w:val="24"/>
        </w:rPr>
        <w:t> </w:t>
      </w:r>
      <w:r>
        <w:rPr>
          <w:sz w:val="24"/>
        </w:rPr>
        <w:t>position;</w:t>
      </w:r>
    </w:p>
    <w:p>
      <w:pPr>
        <w:pStyle w:val="ListParagraph"/>
        <w:numPr>
          <w:ilvl w:val="1"/>
          <w:numId w:val="99"/>
        </w:numPr>
        <w:tabs>
          <w:tab w:pos="2485" w:val="left" w:leader="none"/>
          <w:tab w:pos="2486" w:val="left" w:leader="none"/>
        </w:tabs>
        <w:spacing w:line="240" w:lineRule="auto" w:before="120" w:after="0"/>
        <w:ind w:left="2486" w:right="414" w:hanging="567"/>
        <w:jc w:val="left"/>
        <w:rPr>
          <w:sz w:val="24"/>
        </w:rPr>
      </w:pPr>
      <w:r>
        <w:rPr>
          <w:sz w:val="24"/>
        </w:rPr>
        <w:t>information justifying the basis of the adjustment to the net contract position;</w:t>
      </w:r>
      <w:r>
        <w:rPr>
          <w:spacing w:val="-1"/>
          <w:sz w:val="24"/>
        </w:rPr>
        <w:t> </w:t>
      </w:r>
      <w:r>
        <w:rPr>
          <w:sz w:val="24"/>
        </w:rPr>
        <w:t>and</w:t>
      </w:r>
    </w:p>
    <w:p>
      <w:pPr>
        <w:pStyle w:val="ListParagraph"/>
        <w:numPr>
          <w:ilvl w:val="1"/>
          <w:numId w:val="99"/>
        </w:numPr>
        <w:tabs>
          <w:tab w:pos="2485" w:val="left" w:leader="none"/>
          <w:tab w:pos="2486" w:val="left" w:leader="none"/>
        </w:tabs>
        <w:spacing w:line="240" w:lineRule="auto" w:before="120" w:after="0"/>
        <w:ind w:left="2486" w:right="416" w:hanging="567"/>
        <w:jc w:val="left"/>
        <w:rPr>
          <w:sz w:val="24"/>
        </w:rPr>
      </w:pPr>
      <w:r>
        <w:rPr>
          <w:sz w:val="24"/>
        </w:rPr>
        <w:t>any other information required under the Contracts and Firmness Guidelines.</w:t>
      </w:r>
    </w:p>
    <w:p>
      <w:pPr>
        <w:pStyle w:val="ListParagraph"/>
        <w:numPr>
          <w:ilvl w:val="0"/>
          <w:numId w:val="99"/>
        </w:numPr>
        <w:tabs>
          <w:tab w:pos="1918" w:val="left" w:leader="none"/>
          <w:tab w:pos="1919" w:val="left" w:leader="none"/>
        </w:tabs>
        <w:spacing w:line="240" w:lineRule="auto" w:before="120" w:after="0"/>
        <w:ind w:left="1919" w:right="414" w:hanging="567"/>
        <w:jc w:val="left"/>
        <w:rPr>
          <w:sz w:val="24"/>
        </w:rPr>
      </w:pPr>
      <w:r>
        <w:rPr>
          <w:sz w:val="24"/>
        </w:rPr>
        <w:t>The </w:t>
      </w:r>
      <w:r>
        <w:rPr>
          <w:i/>
          <w:sz w:val="24"/>
        </w:rPr>
        <w:t>AER </w:t>
      </w:r>
      <w:r>
        <w:rPr>
          <w:sz w:val="24"/>
        </w:rPr>
        <w:t>must approve or reject an application for adjustment in accordance with the criteria specified in the Contracts and Firmness</w:t>
      </w:r>
      <w:r>
        <w:rPr>
          <w:spacing w:val="-11"/>
          <w:sz w:val="24"/>
        </w:rPr>
        <w:t> </w:t>
      </w:r>
      <w:r>
        <w:rPr>
          <w:sz w:val="24"/>
        </w:rPr>
        <w:t>Guidelines.</w:t>
      </w:r>
    </w:p>
    <w:p>
      <w:pPr>
        <w:pStyle w:val="ListParagraph"/>
        <w:numPr>
          <w:ilvl w:val="0"/>
          <w:numId w:val="99"/>
        </w:numPr>
        <w:tabs>
          <w:tab w:pos="1918" w:val="left" w:leader="none"/>
          <w:tab w:pos="1919" w:val="left" w:leader="none"/>
        </w:tabs>
        <w:spacing w:line="240" w:lineRule="auto" w:before="120" w:after="0"/>
        <w:ind w:left="1918" w:right="0" w:hanging="567"/>
        <w:jc w:val="left"/>
        <w:rPr>
          <w:sz w:val="24"/>
        </w:rPr>
      </w:pPr>
      <w:r>
        <w:rPr>
          <w:sz w:val="24"/>
        </w:rPr>
        <w:t>If the </w:t>
      </w:r>
      <w:r>
        <w:rPr>
          <w:i/>
          <w:sz w:val="24"/>
        </w:rPr>
        <w:t>AER </w:t>
      </w:r>
      <w:r>
        <w:rPr>
          <w:sz w:val="24"/>
        </w:rPr>
        <w:t>rejects an application for adjustment,</w:t>
      </w:r>
      <w:r>
        <w:rPr>
          <w:spacing w:val="-1"/>
          <w:sz w:val="24"/>
        </w:rPr>
        <w:t> </w:t>
      </w:r>
      <w:r>
        <w:rPr>
          <w:sz w:val="24"/>
        </w:rPr>
        <w:t>it:</w:t>
      </w:r>
    </w:p>
    <w:p>
      <w:pPr>
        <w:pStyle w:val="ListParagraph"/>
        <w:numPr>
          <w:ilvl w:val="1"/>
          <w:numId w:val="99"/>
        </w:numPr>
        <w:tabs>
          <w:tab w:pos="2486" w:val="left" w:leader="none"/>
        </w:tabs>
        <w:spacing w:line="240" w:lineRule="auto" w:before="120" w:after="0"/>
        <w:ind w:left="2485" w:right="0" w:hanging="567"/>
        <w:jc w:val="both"/>
        <w:rPr>
          <w:sz w:val="24"/>
        </w:rPr>
      </w:pPr>
      <w:r>
        <w:rPr>
          <w:sz w:val="24"/>
        </w:rPr>
        <w:t>must give written reasons to the applicant for its rejection;</w:t>
      </w:r>
      <w:r>
        <w:rPr>
          <w:spacing w:val="-4"/>
          <w:sz w:val="24"/>
        </w:rPr>
        <w:t> </w:t>
      </w:r>
      <w:r>
        <w:rPr>
          <w:sz w:val="24"/>
        </w:rPr>
        <w:t>and</w:t>
      </w:r>
    </w:p>
    <w:p>
      <w:pPr>
        <w:pStyle w:val="ListParagraph"/>
        <w:numPr>
          <w:ilvl w:val="1"/>
          <w:numId w:val="99"/>
        </w:numPr>
        <w:tabs>
          <w:tab w:pos="2486" w:val="left" w:leader="none"/>
        </w:tabs>
        <w:spacing w:line="240" w:lineRule="auto" w:before="120" w:after="0"/>
        <w:ind w:left="2486" w:right="413" w:hanging="567"/>
        <w:jc w:val="both"/>
        <w:rPr>
          <w:sz w:val="24"/>
        </w:rPr>
      </w:pPr>
      <w:r>
        <w:rPr>
          <w:sz w:val="24"/>
        </w:rPr>
        <w:t>may approve an alternative adjustment to the liable entity's net contract position which the </w:t>
      </w:r>
      <w:r>
        <w:rPr>
          <w:i/>
          <w:sz w:val="24"/>
        </w:rPr>
        <w:t>AER </w:t>
      </w:r>
      <w:r>
        <w:rPr>
          <w:sz w:val="24"/>
        </w:rPr>
        <w:t>considers is consistent with the criteria specified in the Contracts and Firmness</w:t>
      </w:r>
      <w:r>
        <w:rPr>
          <w:spacing w:val="-9"/>
          <w:sz w:val="24"/>
        </w:rPr>
        <w:t> </w:t>
      </w:r>
      <w:r>
        <w:rPr>
          <w:sz w:val="24"/>
        </w:rPr>
        <w:t>Guidelines.</w:t>
      </w:r>
    </w:p>
    <w:p>
      <w:pPr>
        <w:pStyle w:val="ListParagraph"/>
        <w:numPr>
          <w:ilvl w:val="0"/>
          <w:numId w:val="99"/>
        </w:numPr>
        <w:tabs>
          <w:tab w:pos="1920" w:val="left" w:leader="none"/>
        </w:tabs>
        <w:spacing w:line="240" w:lineRule="auto" w:before="120" w:after="0"/>
        <w:ind w:left="1919" w:right="414" w:hanging="567"/>
        <w:jc w:val="both"/>
        <w:rPr>
          <w:sz w:val="24"/>
        </w:rPr>
      </w:pPr>
      <w:r>
        <w:rPr>
          <w:sz w:val="24"/>
        </w:rPr>
        <w:t>If the </w:t>
      </w:r>
      <w:r>
        <w:rPr>
          <w:i/>
          <w:sz w:val="24"/>
        </w:rPr>
        <w:t>AER </w:t>
      </w:r>
      <w:r>
        <w:rPr>
          <w:sz w:val="24"/>
        </w:rPr>
        <w:t>approves an application for adjustment, the adjusted net contract position will be taken to be the liable entity's net contract position as at the date of the </w:t>
      </w:r>
      <w:r>
        <w:rPr>
          <w:i/>
          <w:sz w:val="24"/>
        </w:rPr>
        <w:t>AER's </w:t>
      </w:r>
      <w:r>
        <w:rPr>
          <w:sz w:val="24"/>
        </w:rPr>
        <w:t>notification of its approval ("</w:t>
      </w:r>
      <w:r>
        <w:rPr>
          <w:b/>
          <w:sz w:val="24"/>
        </w:rPr>
        <w:t>adjustment</w:t>
      </w:r>
      <w:r>
        <w:rPr>
          <w:b/>
          <w:spacing w:val="-4"/>
          <w:sz w:val="24"/>
        </w:rPr>
        <w:t> </w:t>
      </w:r>
      <w:r>
        <w:rPr>
          <w:b/>
          <w:sz w:val="24"/>
        </w:rPr>
        <w:t>day</w:t>
      </w:r>
      <w:r>
        <w:rPr>
          <w:sz w:val="24"/>
        </w:rPr>
        <w:t>").</w:t>
      </w:r>
    </w:p>
    <w:p>
      <w:pPr>
        <w:pStyle w:val="BodyText"/>
        <w:spacing w:before="10"/>
        <w:ind w:firstLine="0"/>
        <w:jc w:val="left"/>
        <w:rPr>
          <w:sz w:val="20"/>
        </w:rPr>
      </w:pPr>
    </w:p>
    <w:p>
      <w:pPr>
        <w:pStyle w:val="Heading3"/>
        <w:tabs>
          <w:tab w:pos="1656" w:val="left" w:leader="none"/>
        </w:tabs>
        <w:ind w:left="218" w:firstLine="0"/>
      </w:pPr>
      <w:bookmarkStart w:name="Division 5 Contracts and Firmness Guidel" w:id="202"/>
      <w:bookmarkEnd w:id="202"/>
      <w:r>
        <w:rPr>
          <w:b w:val="0"/>
        </w:rPr>
      </w:r>
      <w:bookmarkStart w:name="_bookmark84" w:id="203"/>
      <w:bookmarkEnd w:id="203"/>
      <w:r>
        <w:rPr>
          <w:b w:val="0"/>
        </w:rPr>
      </w:r>
      <w:r>
        <w:rPr/>
        <w:t>Division</w:t>
      </w:r>
      <w:r>
        <w:rPr>
          <w:spacing w:val="-4"/>
        </w:rPr>
        <w:t> </w:t>
      </w:r>
      <w:r>
        <w:rPr/>
        <w:t>5</w:t>
        <w:tab/>
        <w:t>Contracts and Firmness</w:t>
      </w:r>
      <w:r>
        <w:rPr>
          <w:spacing w:val="-3"/>
        </w:rPr>
        <w:t> </w:t>
      </w:r>
      <w:r>
        <w:rPr/>
        <w:t>Guidelines</w:t>
      </w:r>
    </w:p>
    <w:p>
      <w:pPr>
        <w:pStyle w:val="Heading4"/>
        <w:tabs>
          <w:tab w:pos="1351" w:val="left" w:leader="none"/>
        </w:tabs>
        <w:spacing w:before="240"/>
        <w:ind w:left="218" w:firstLine="0"/>
      </w:pPr>
      <w:bookmarkStart w:name="4A.E.8 Contracts and Firmness Guidelines" w:id="204"/>
      <w:bookmarkEnd w:id="204"/>
      <w:r>
        <w:rPr>
          <w:b w:val="0"/>
        </w:rPr>
      </w:r>
      <w:bookmarkStart w:name="_bookmark85" w:id="205"/>
      <w:bookmarkEnd w:id="205"/>
      <w:r>
        <w:rPr>
          <w:b w:val="0"/>
        </w:rPr>
      </w:r>
      <w:r>
        <w:rPr/>
        <w:t>4A.E.8</w:t>
        <w:tab/>
        <w:t>Contracts and Firmness</w:t>
      </w:r>
      <w:r>
        <w:rPr>
          <w:spacing w:val="-13"/>
        </w:rPr>
        <w:t> </w:t>
      </w:r>
      <w:r>
        <w:rPr/>
        <w:t>Guidelines</w:t>
      </w:r>
    </w:p>
    <w:p>
      <w:pPr>
        <w:pStyle w:val="ListParagraph"/>
        <w:numPr>
          <w:ilvl w:val="0"/>
          <w:numId w:val="10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w:t>
      </w:r>
      <w:r>
        <w:rPr>
          <w:i/>
          <w:sz w:val="24"/>
        </w:rPr>
        <w:t>publish </w:t>
      </w:r>
      <w:r>
        <w:rPr>
          <w:sz w:val="24"/>
        </w:rPr>
        <w:t>and may amend the Contracts and Firmness Guidelines.</w:t>
      </w:r>
    </w:p>
    <w:p>
      <w:pPr>
        <w:pStyle w:val="ListParagraph"/>
        <w:numPr>
          <w:ilvl w:val="0"/>
          <w:numId w:val="100"/>
        </w:numPr>
        <w:tabs>
          <w:tab w:pos="1919" w:val="left" w:leader="none"/>
        </w:tabs>
        <w:spacing w:line="240" w:lineRule="auto" w:before="120" w:after="0"/>
        <w:ind w:left="1918" w:right="0" w:hanging="567"/>
        <w:jc w:val="both"/>
        <w:rPr>
          <w:sz w:val="24"/>
        </w:rPr>
      </w:pPr>
      <w:r>
        <w:rPr>
          <w:sz w:val="24"/>
        </w:rPr>
        <w:t>The Contracts and Firmness Guidelines must</w:t>
      </w:r>
      <w:r>
        <w:rPr>
          <w:spacing w:val="-2"/>
          <w:sz w:val="24"/>
        </w:rPr>
        <w:t> </w:t>
      </w:r>
      <w:r>
        <w:rPr>
          <w:sz w:val="24"/>
        </w:rPr>
        <w:t>include:</w:t>
      </w:r>
    </w:p>
    <w:p>
      <w:pPr>
        <w:pStyle w:val="ListParagraph"/>
        <w:numPr>
          <w:ilvl w:val="1"/>
          <w:numId w:val="100"/>
        </w:numPr>
        <w:tabs>
          <w:tab w:pos="2486" w:val="left" w:leader="none"/>
        </w:tabs>
        <w:spacing w:line="240" w:lineRule="auto" w:before="120" w:after="0"/>
        <w:ind w:left="2486" w:right="415" w:hanging="567"/>
        <w:jc w:val="both"/>
        <w:rPr>
          <w:sz w:val="24"/>
        </w:rPr>
      </w:pPr>
      <w:r>
        <w:rPr>
          <w:sz w:val="24"/>
        </w:rPr>
        <w:t>guidance on what constitutes a firmness methodology and how</w:t>
      </w:r>
      <w:r>
        <w:rPr>
          <w:spacing w:val="29"/>
          <w:sz w:val="24"/>
        </w:rPr>
        <w:t> </w:t>
      </w:r>
      <w:r>
        <w:rPr>
          <w:sz w:val="24"/>
        </w:rPr>
        <w:t>to apply it, which must be consistent with the firmness</w:t>
      </w:r>
      <w:r>
        <w:rPr>
          <w:spacing w:val="-5"/>
          <w:sz w:val="24"/>
        </w:rPr>
        <w:t> </w:t>
      </w:r>
      <w:r>
        <w:rPr>
          <w:sz w:val="24"/>
        </w:rPr>
        <w:t>principles;</w:t>
      </w:r>
    </w:p>
    <w:p>
      <w:pPr>
        <w:pStyle w:val="ListParagraph"/>
        <w:numPr>
          <w:ilvl w:val="1"/>
          <w:numId w:val="100"/>
        </w:numPr>
        <w:tabs>
          <w:tab w:pos="2486" w:val="left" w:leader="none"/>
        </w:tabs>
        <w:spacing w:line="240" w:lineRule="auto" w:before="120" w:after="0"/>
        <w:ind w:left="2486" w:right="415" w:hanging="567"/>
        <w:jc w:val="both"/>
        <w:rPr>
          <w:sz w:val="24"/>
        </w:rPr>
      </w:pPr>
      <w:r>
        <w:rPr>
          <w:sz w:val="24"/>
        </w:rPr>
        <w:t>types of contracts or arrangements that constitute standard qualifying contracts;</w:t>
      </w:r>
    </w:p>
    <w:p>
      <w:pPr>
        <w:pStyle w:val="ListParagraph"/>
        <w:numPr>
          <w:ilvl w:val="1"/>
          <w:numId w:val="100"/>
        </w:numPr>
        <w:tabs>
          <w:tab w:pos="2486" w:val="left" w:leader="none"/>
        </w:tabs>
        <w:spacing w:line="240" w:lineRule="auto" w:before="120" w:after="0"/>
        <w:ind w:left="2486" w:right="415" w:hanging="567"/>
        <w:jc w:val="both"/>
        <w:rPr>
          <w:sz w:val="24"/>
        </w:rPr>
      </w:pPr>
      <w:r>
        <w:rPr>
          <w:sz w:val="24"/>
        </w:rPr>
        <w:t>default firmness methodologies for standard qualifying contracts which must be consistent with the firmness</w:t>
      </w:r>
      <w:r>
        <w:rPr>
          <w:spacing w:val="-7"/>
          <w:sz w:val="24"/>
        </w:rPr>
        <w:t> </w:t>
      </w:r>
      <w:r>
        <w:rPr>
          <w:sz w:val="24"/>
        </w:rPr>
        <w:t>principles;</w:t>
      </w:r>
    </w:p>
    <w:p>
      <w:pPr>
        <w:pStyle w:val="ListParagraph"/>
        <w:numPr>
          <w:ilvl w:val="1"/>
          <w:numId w:val="100"/>
        </w:numPr>
        <w:tabs>
          <w:tab w:pos="2486" w:val="left" w:leader="none"/>
        </w:tabs>
        <w:spacing w:line="240" w:lineRule="auto" w:before="120" w:after="0"/>
        <w:ind w:left="2486" w:right="415" w:hanging="567"/>
        <w:jc w:val="both"/>
        <w:rPr>
          <w:sz w:val="24"/>
        </w:rPr>
      </w:pPr>
      <w:r>
        <w:rPr>
          <w:sz w:val="24"/>
        </w:rPr>
        <w:t>the criteria for approving bespoke firmness methodologies which must be consistent with the firmness</w:t>
      </w:r>
      <w:r>
        <w:rPr>
          <w:spacing w:val="-3"/>
          <w:sz w:val="24"/>
        </w:rPr>
        <w:t> </w:t>
      </w:r>
      <w:r>
        <w:rPr>
          <w:sz w:val="24"/>
        </w:rPr>
        <w:t>principles;</w:t>
      </w:r>
    </w:p>
    <w:p>
      <w:pPr>
        <w:pStyle w:val="ListParagraph"/>
        <w:numPr>
          <w:ilvl w:val="1"/>
          <w:numId w:val="100"/>
        </w:numPr>
        <w:tabs>
          <w:tab w:pos="2486" w:val="left" w:leader="none"/>
        </w:tabs>
        <w:spacing w:line="240" w:lineRule="auto" w:before="120" w:after="0"/>
        <w:ind w:left="2486" w:right="414" w:hanging="567"/>
        <w:jc w:val="both"/>
        <w:rPr>
          <w:sz w:val="24"/>
        </w:rPr>
      </w:pPr>
      <w:r>
        <w:rPr>
          <w:sz w:val="24"/>
        </w:rPr>
        <w:t>how adjustments to the net contract position are to be determined </w:t>
      </w:r>
      <w:r>
        <w:rPr>
          <w:spacing w:val="-4"/>
          <w:sz w:val="24"/>
        </w:rPr>
        <w:t>and</w:t>
      </w:r>
      <w:r>
        <w:rPr>
          <w:spacing w:val="52"/>
          <w:sz w:val="24"/>
        </w:rPr>
        <w:t> </w:t>
      </w:r>
      <w:r>
        <w:rPr>
          <w:sz w:val="24"/>
        </w:rPr>
        <w:t>made for non-qualifying contracts or arrangements which increase the liable entity's exposure to the volatility of the </w:t>
      </w:r>
      <w:r>
        <w:rPr>
          <w:i/>
          <w:sz w:val="24"/>
        </w:rPr>
        <w:t>spot price </w:t>
      </w:r>
      <w:r>
        <w:rPr>
          <w:sz w:val="24"/>
        </w:rPr>
        <w:t>in a </w:t>
      </w:r>
      <w:r>
        <w:rPr>
          <w:i/>
          <w:sz w:val="24"/>
        </w:rPr>
        <w:t>region </w:t>
      </w:r>
      <w:r>
        <w:rPr>
          <w:sz w:val="24"/>
        </w:rPr>
        <w:t>during the gap trading</w:t>
      </w:r>
      <w:r>
        <w:rPr>
          <w:spacing w:val="-1"/>
          <w:sz w:val="24"/>
        </w:rPr>
        <w:t> </w:t>
      </w:r>
      <w:r>
        <w:rPr>
          <w:sz w:val="24"/>
        </w:rPr>
        <w:t>intervals;</w:t>
      </w:r>
    </w:p>
    <w:p>
      <w:pPr>
        <w:pStyle w:val="ListParagraph"/>
        <w:numPr>
          <w:ilvl w:val="1"/>
          <w:numId w:val="100"/>
        </w:numPr>
        <w:tabs>
          <w:tab w:pos="2486" w:val="left" w:leader="none"/>
        </w:tabs>
        <w:spacing w:line="240" w:lineRule="auto" w:before="120" w:after="0"/>
        <w:ind w:left="2485" w:right="0" w:hanging="567"/>
        <w:jc w:val="both"/>
        <w:rPr>
          <w:sz w:val="24"/>
        </w:rPr>
      </w:pPr>
      <w:r>
        <w:rPr>
          <w:sz w:val="24"/>
        </w:rPr>
        <w:t>the information required to be included in a NCP</w:t>
      </w:r>
      <w:r>
        <w:rPr>
          <w:spacing w:val="-2"/>
          <w:sz w:val="24"/>
        </w:rPr>
        <w:t> </w:t>
      </w:r>
      <w:r>
        <w:rPr>
          <w:sz w:val="24"/>
        </w:rPr>
        <w:t>report;</w:t>
      </w:r>
    </w:p>
    <w:p>
      <w:pPr>
        <w:pStyle w:val="ListParagraph"/>
        <w:numPr>
          <w:ilvl w:val="1"/>
          <w:numId w:val="100"/>
        </w:numPr>
        <w:tabs>
          <w:tab w:pos="2485" w:val="left" w:leader="none"/>
          <w:tab w:pos="2486" w:val="left" w:leader="none"/>
        </w:tabs>
        <w:spacing w:line="240" w:lineRule="auto" w:before="120" w:after="0"/>
        <w:ind w:left="2486" w:right="416" w:hanging="567"/>
        <w:jc w:val="left"/>
        <w:rPr>
          <w:sz w:val="24"/>
        </w:rPr>
      </w:pPr>
      <w:r>
        <w:rPr>
          <w:sz w:val="24"/>
        </w:rPr>
        <w:t>requirements for the preparation, lodgement and form of a </w:t>
      </w:r>
      <w:r>
        <w:rPr>
          <w:spacing w:val="-5"/>
          <w:sz w:val="24"/>
        </w:rPr>
        <w:t>NCP  </w:t>
      </w:r>
      <w:r>
        <w:rPr>
          <w:sz w:val="24"/>
        </w:rPr>
        <w:t>report;</w:t>
      </w:r>
    </w:p>
    <w:p>
      <w:pPr>
        <w:pStyle w:val="ListParagraph"/>
        <w:numPr>
          <w:ilvl w:val="1"/>
          <w:numId w:val="100"/>
        </w:numPr>
        <w:tabs>
          <w:tab w:pos="2485" w:val="left" w:leader="none"/>
          <w:tab w:pos="2486" w:val="left" w:leader="none"/>
        </w:tabs>
        <w:spacing w:line="240" w:lineRule="auto" w:before="120" w:after="0"/>
        <w:ind w:left="2486" w:right="414" w:hanging="567"/>
        <w:jc w:val="left"/>
        <w:rPr>
          <w:sz w:val="24"/>
        </w:rPr>
      </w:pPr>
      <w:r>
        <w:rPr>
          <w:sz w:val="24"/>
        </w:rPr>
        <w:t>the process and criteria for determining whether to approve or reject an application by a liable entity to adjust its net contract position;</w:t>
      </w:r>
      <w:r>
        <w:rPr>
          <w:spacing w:val="-5"/>
          <w:sz w:val="24"/>
        </w:rPr>
        <w:t> </w:t>
      </w:r>
      <w:r>
        <w:rPr>
          <w:sz w:val="24"/>
        </w:rPr>
        <w:t>and</w:t>
      </w:r>
    </w:p>
    <w:p>
      <w:pPr>
        <w:pStyle w:val="ListParagraph"/>
        <w:numPr>
          <w:ilvl w:val="1"/>
          <w:numId w:val="100"/>
        </w:numPr>
        <w:tabs>
          <w:tab w:pos="2485" w:val="left" w:leader="none"/>
          <w:tab w:pos="2486" w:val="left" w:leader="none"/>
        </w:tabs>
        <w:spacing w:line="240" w:lineRule="auto" w:before="120" w:after="0"/>
        <w:ind w:left="2486" w:right="415" w:hanging="567"/>
        <w:jc w:val="left"/>
        <w:rPr>
          <w:sz w:val="24"/>
        </w:rPr>
      </w:pPr>
      <w:r>
        <w:rPr>
          <w:sz w:val="24"/>
        </w:rPr>
        <w:t>any other matters required to be included in the Contracts </w:t>
      </w:r>
      <w:r>
        <w:rPr>
          <w:spacing w:val="-4"/>
          <w:sz w:val="24"/>
        </w:rPr>
        <w:t>and </w:t>
      </w:r>
      <w:r>
        <w:rPr>
          <w:sz w:val="24"/>
        </w:rPr>
        <w:t>Firmness Guidelines under this</w:t>
      </w:r>
      <w:r>
        <w:rPr>
          <w:spacing w:val="-3"/>
          <w:sz w:val="24"/>
        </w:rPr>
        <w:t> </w:t>
      </w:r>
      <w:r>
        <w:rPr>
          <w:sz w:val="24"/>
        </w:rPr>
        <w:t>Chapter.</w:t>
      </w:r>
    </w:p>
    <w:p>
      <w:pPr>
        <w:spacing w:after="0" w:line="240" w:lineRule="auto"/>
        <w:jc w:val="left"/>
        <w:rPr>
          <w:sz w:val="24"/>
        </w:rPr>
        <w:sectPr>
          <w:pgSz w:w="11910" w:h="16840"/>
          <w:pgMar w:header="686" w:footer="637" w:top="1320" w:bottom="820" w:left="1200" w:right="1000"/>
        </w:sectPr>
      </w:pPr>
    </w:p>
    <w:p>
      <w:pPr>
        <w:pStyle w:val="ListParagraph"/>
        <w:numPr>
          <w:ilvl w:val="0"/>
          <w:numId w:val="100"/>
        </w:numPr>
        <w:tabs>
          <w:tab w:pos="1919" w:val="left" w:leader="none"/>
        </w:tabs>
        <w:spacing w:line="240" w:lineRule="auto" w:before="83" w:after="0"/>
        <w:ind w:left="1919" w:right="414" w:hanging="567"/>
        <w:jc w:val="both"/>
        <w:rPr>
          <w:sz w:val="24"/>
        </w:rPr>
      </w:pPr>
      <w:r>
        <w:rPr>
          <w:sz w:val="24"/>
        </w:rPr>
        <w:t>Subject to paragraph (d), the </w:t>
      </w:r>
      <w:r>
        <w:rPr>
          <w:i/>
          <w:sz w:val="24"/>
        </w:rPr>
        <w:t>AER </w:t>
      </w:r>
      <w:r>
        <w:rPr>
          <w:sz w:val="24"/>
        </w:rPr>
        <w:t>must comply with the </w:t>
      </w:r>
      <w:r>
        <w:rPr>
          <w:i/>
          <w:sz w:val="24"/>
        </w:rPr>
        <w:t>Rules consultation </w:t>
      </w:r>
      <w:r>
        <w:rPr>
          <w:i/>
          <w:sz w:val="24"/>
        </w:rPr>
        <w:t>procedures </w:t>
      </w:r>
      <w:r>
        <w:rPr>
          <w:sz w:val="24"/>
        </w:rPr>
        <w:t>when making or amending the Contracts and Firmness Guidelines.</w:t>
      </w:r>
    </w:p>
    <w:p>
      <w:pPr>
        <w:pStyle w:val="ListParagraph"/>
        <w:numPr>
          <w:ilvl w:val="0"/>
          <w:numId w:val="10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make minor or administrative amendments to the Contracts and Firmness Guidelines without complying with the </w:t>
      </w:r>
      <w:r>
        <w:rPr>
          <w:i/>
          <w:sz w:val="24"/>
        </w:rPr>
        <w:t>Rules consultation </w:t>
      </w:r>
      <w:r>
        <w:rPr>
          <w:i/>
          <w:sz w:val="24"/>
        </w:rPr>
        <w:t>procedures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F Compliance with the Retailer Reli" w:id="206"/>
      <w:bookmarkEnd w:id="206"/>
      <w:r>
        <w:rPr>
          <w:b w:val="0"/>
        </w:rPr>
      </w:r>
      <w:bookmarkStart w:name="_bookmark86" w:id="207"/>
      <w:bookmarkEnd w:id="207"/>
      <w:r>
        <w:rPr>
          <w:b w:val="0"/>
        </w:rPr>
      </w:r>
      <w:r>
        <w:rPr>
          <w:shd w:fill="D9D9D9" w:color="auto" w:val="clear"/>
        </w:rPr>
        <w:t>Part F</w:t>
        <w:tab/>
        <w:t>Compliance with the Retailer Reliability</w:t>
      </w:r>
      <w:r>
        <w:rPr>
          <w:spacing w:val="-26"/>
          <w:shd w:fill="D9D9D9" w:color="auto" w:val="clear"/>
        </w:rPr>
        <w:t> </w:t>
      </w:r>
      <w:r>
        <w:rPr>
          <w:shd w:fill="D9D9D9" w:color="auto" w:val="clear"/>
        </w:rPr>
        <w:t>Obligation</w:t>
        <w:tab/>
      </w:r>
    </w:p>
    <w:p>
      <w:pPr>
        <w:pStyle w:val="Heading3"/>
        <w:tabs>
          <w:tab w:pos="1656" w:val="left" w:leader="none"/>
        </w:tabs>
        <w:spacing w:before="240"/>
        <w:ind w:left="218" w:firstLine="0"/>
      </w:pPr>
      <w:bookmarkStart w:name="Division 1 Application" w:id="208"/>
      <w:bookmarkEnd w:id="208"/>
      <w:r>
        <w:rPr>
          <w:b w:val="0"/>
        </w:rPr>
      </w:r>
      <w:bookmarkStart w:name="_bookmark87" w:id="209"/>
      <w:bookmarkEnd w:id="209"/>
      <w:r>
        <w:rPr>
          <w:b w:val="0"/>
        </w:rPr>
      </w:r>
      <w:r>
        <w:rPr/>
        <w:t>Division</w:t>
      </w:r>
      <w:r>
        <w:rPr>
          <w:spacing w:val="-4"/>
        </w:rPr>
        <w:t> </w:t>
      </w:r>
      <w:r>
        <w:rPr/>
        <w:t>1</w:t>
        <w:tab/>
        <w:t>Application</w:t>
      </w:r>
    </w:p>
    <w:p>
      <w:pPr>
        <w:pStyle w:val="Heading4"/>
        <w:tabs>
          <w:tab w:pos="1351" w:val="left" w:leader="none"/>
        </w:tabs>
        <w:spacing w:before="240"/>
        <w:ind w:left="218" w:firstLine="0"/>
      </w:pPr>
      <w:bookmarkStart w:name="4A.F.1 Application" w:id="210"/>
      <w:bookmarkEnd w:id="210"/>
      <w:r>
        <w:rPr>
          <w:b w:val="0"/>
        </w:rPr>
      </w:r>
      <w:bookmarkStart w:name="_bookmark88" w:id="211"/>
      <w:bookmarkEnd w:id="211"/>
      <w:r>
        <w:rPr>
          <w:b w:val="0"/>
        </w:rPr>
      </w:r>
      <w:r>
        <w:rPr/>
        <w:t>4A.F.1</w:t>
        <w:tab/>
        <w:t>Application</w:t>
      </w:r>
    </w:p>
    <w:p>
      <w:pPr>
        <w:pStyle w:val="ListParagraph"/>
        <w:numPr>
          <w:ilvl w:val="0"/>
          <w:numId w:val="101"/>
        </w:numPr>
        <w:tabs>
          <w:tab w:pos="1919" w:val="left" w:leader="none"/>
        </w:tabs>
        <w:spacing w:line="240" w:lineRule="auto" w:before="120" w:after="0"/>
        <w:ind w:left="1919" w:right="415" w:hanging="567"/>
        <w:jc w:val="both"/>
        <w:rPr>
          <w:sz w:val="24"/>
        </w:rPr>
      </w:pPr>
      <w:r>
        <w:rPr>
          <w:sz w:val="24"/>
        </w:rPr>
        <w:t>This Part F applies in respect of a </w:t>
      </w:r>
      <w:r>
        <w:rPr>
          <w:i/>
          <w:sz w:val="24"/>
        </w:rPr>
        <w:t>region </w:t>
      </w:r>
      <w:r>
        <w:rPr>
          <w:sz w:val="24"/>
        </w:rPr>
        <w:t>if a T-1 reliability instrument has been made by the </w:t>
      </w:r>
      <w:r>
        <w:rPr>
          <w:i/>
          <w:sz w:val="24"/>
        </w:rPr>
        <w:t>AER </w:t>
      </w:r>
      <w:r>
        <w:rPr>
          <w:sz w:val="24"/>
        </w:rPr>
        <w:t>for that</w:t>
      </w:r>
      <w:r>
        <w:rPr>
          <w:spacing w:val="-2"/>
          <w:sz w:val="24"/>
        </w:rPr>
        <w:t> </w:t>
      </w:r>
      <w:r>
        <w:rPr>
          <w:i/>
          <w:sz w:val="24"/>
        </w:rPr>
        <w:t>region</w:t>
      </w:r>
      <w:r>
        <w:rPr>
          <w:sz w:val="24"/>
        </w:rPr>
        <w:t>.</w:t>
      </w:r>
    </w:p>
    <w:p>
      <w:pPr>
        <w:pStyle w:val="ListParagraph"/>
        <w:numPr>
          <w:ilvl w:val="0"/>
          <w:numId w:val="101"/>
        </w:numPr>
        <w:tabs>
          <w:tab w:pos="1919" w:val="left" w:leader="none"/>
        </w:tabs>
        <w:spacing w:line="240" w:lineRule="auto" w:before="120" w:after="0"/>
        <w:ind w:left="1919" w:right="415" w:hanging="567"/>
        <w:jc w:val="both"/>
        <w:rPr>
          <w:sz w:val="24"/>
        </w:rPr>
      </w:pPr>
      <w:r>
        <w:rPr>
          <w:sz w:val="24"/>
        </w:rPr>
        <w:t>This Part F applies in relation to each T-1 reliability instrument and a reference to:</w:t>
      </w:r>
    </w:p>
    <w:p>
      <w:pPr>
        <w:pStyle w:val="ListParagraph"/>
        <w:numPr>
          <w:ilvl w:val="1"/>
          <w:numId w:val="101"/>
        </w:numPr>
        <w:tabs>
          <w:tab w:pos="2486" w:val="left" w:leader="none"/>
        </w:tabs>
        <w:spacing w:line="240" w:lineRule="auto" w:before="120" w:after="0"/>
        <w:ind w:left="2486" w:right="415" w:hanging="567"/>
        <w:jc w:val="both"/>
        <w:rPr>
          <w:sz w:val="24"/>
        </w:rPr>
      </w:pPr>
      <w:r>
        <w:rPr>
          <w:sz w:val="24"/>
        </w:rPr>
        <w:t>a matter is a reference to the matter for the </w:t>
      </w:r>
      <w:r>
        <w:rPr>
          <w:i/>
          <w:sz w:val="24"/>
        </w:rPr>
        <w:t>region </w:t>
      </w:r>
      <w:r>
        <w:rPr>
          <w:sz w:val="24"/>
        </w:rPr>
        <w:t>to which the T-1 reliability instrument</w:t>
      </w:r>
      <w:r>
        <w:rPr>
          <w:spacing w:val="-1"/>
          <w:sz w:val="24"/>
        </w:rPr>
        <w:t> </w:t>
      </w:r>
      <w:r>
        <w:rPr>
          <w:sz w:val="24"/>
        </w:rPr>
        <w:t>applies;</w:t>
      </w:r>
    </w:p>
    <w:p>
      <w:pPr>
        <w:pStyle w:val="ListParagraph"/>
        <w:numPr>
          <w:ilvl w:val="1"/>
          <w:numId w:val="101"/>
        </w:numPr>
        <w:tabs>
          <w:tab w:pos="2486" w:val="left" w:leader="none"/>
        </w:tabs>
        <w:spacing w:line="240" w:lineRule="auto" w:before="120" w:after="0"/>
        <w:ind w:left="2486" w:right="415" w:hanging="567"/>
        <w:jc w:val="both"/>
        <w:rPr>
          <w:sz w:val="24"/>
        </w:rPr>
      </w:pPr>
      <w:r>
        <w:rPr>
          <w:sz w:val="24"/>
        </w:rPr>
        <w:t>a </w:t>
      </w:r>
      <w:r>
        <w:rPr>
          <w:i/>
          <w:sz w:val="24"/>
        </w:rPr>
        <w:t>reliability gap period</w:t>
      </w:r>
      <w:r>
        <w:rPr>
          <w:sz w:val="24"/>
        </w:rPr>
        <w:t>, gap trading interval and one-in-two year peak demand forecast, is a reference to those matters as stated in that T-1 reliability instrument;</w:t>
      </w:r>
      <w:r>
        <w:rPr>
          <w:spacing w:val="-1"/>
          <w:sz w:val="24"/>
        </w:rPr>
        <w:t> </w:t>
      </w:r>
      <w:r>
        <w:rPr>
          <w:sz w:val="24"/>
        </w:rPr>
        <w:t>and</w:t>
      </w:r>
    </w:p>
    <w:p>
      <w:pPr>
        <w:pStyle w:val="ListParagraph"/>
        <w:numPr>
          <w:ilvl w:val="1"/>
          <w:numId w:val="101"/>
        </w:numPr>
        <w:tabs>
          <w:tab w:pos="2486" w:val="left" w:leader="none"/>
        </w:tabs>
        <w:spacing w:line="240" w:lineRule="auto" w:before="120" w:after="0"/>
        <w:ind w:left="2486" w:right="415" w:hanging="567"/>
        <w:jc w:val="both"/>
        <w:rPr>
          <w:sz w:val="24"/>
        </w:rPr>
      </w:pPr>
      <w:r>
        <w:rPr>
          <w:sz w:val="24"/>
        </w:rPr>
        <w:t>a compliance TI or </w:t>
      </w:r>
      <w:r>
        <w:rPr>
          <w:i/>
          <w:sz w:val="24"/>
        </w:rPr>
        <w:t>PoLR TI </w:t>
      </w:r>
      <w:r>
        <w:rPr>
          <w:sz w:val="24"/>
        </w:rPr>
        <w:t>is a reference to those intervals which occur during the </w:t>
      </w:r>
      <w:r>
        <w:rPr>
          <w:i/>
          <w:sz w:val="24"/>
        </w:rPr>
        <w:t>reliability gap period </w:t>
      </w:r>
      <w:r>
        <w:rPr>
          <w:sz w:val="24"/>
        </w:rPr>
        <w:t>the subject of the T-1 instrument.</w:t>
      </w:r>
    </w:p>
    <w:p>
      <w:pPr>
        <w:pStyle w:val="BodyText"/>
        <w:spacing w:before="10"/>
        <w:ind w:firstLine="0"/>
        <w:jc w:val="left"/>
        <w:rPr>
          <w:sz w:val="20"/>
        </w:rPr>
      </w:pPr>
    </w:p>
    <w:p>
      <w:pPr>
        <w:pStyle w:val="Heading3"/>
        <w:tabs>
          <w:tab w:pos="1656" w:val="left" w:leader="none"/>
        </w:tabs>
        <w:ind w:left="218" w:firstLine="0"/>
      </w:pPr>
      <w:bookmarkStart w:name="Division 2 Key concepts" w:id="212"/>
      <w:bookmarkEnd w:id="212"/>
      <w:r>
        <w:rPr>
          <w:b w:val="0"/>
        </w:rPr>
      </w:r>
      <w:bookmarkStart w:name="_bookmark89" w:id="213"/>
      <w:bookmarkEnd w:id="213"/>
      <w:r>
        <w:rPr>
          <w:b w:val="0"/>
        </w:rPr>
      </w:r>
      <w:r>
        <w:rPr/>
        <w:t>Division</w:t>
      </w:r>
      <w:r>
        <w:rPr>
          <w:spacing w:val="-4"/>
        </w:rPr>
        <w:t> </w:t>
      </w:r>
      <w:r>
        <w:rPr/>
        <w:t>2</w:t>
        <w:tab/>
        <w:t>Key</w:t>
      </w:r>
      <w:r>
        <w:rPr>
          <w:spacing w:val="-1"/>
        </w:rPr>
        <w:t> </w:t>
      </w:r>
      <w:r>
        <w:rPr/>
        <w:t>concepts</w:t>
      </w:r>
    </w:p>
    <w:p>
      <w:pPr>
        <w:pStyle w:val="Heading4"/>
        <w:tabs>
          <w:tab w:pos="1351" w:val="left" w:leader="none"/>
        </w:tabs>
        <w:spacing w:before="240"/>
        <w:ind w:left="218" w:firstLine="0"/>
      </w:pPr>
      <w:bookmarkStart w:name="4A.F.2 Compliance TI" w:id="214"/>
      <w:bookmarkEnd w:id="214"/>
      <w:r>
        <w:rPr>
          <w:b w:val="0"/>
        </w:rPr>
      </w:r>
      <w:bookmarkStart w:name="_bookmark90" w:id="215"/>
      <w:bookmarkEnd w:id="215"/>
      <w:r>
        <w:rPr>
          <w:b w:val="0"/>
        </w:rPr>
      </w:r>
      <w:r>
        <w:rPr/>
        <w:t>4A.F.2</w:t>
        <w:tab/>
        <w:t>Compliance</w:t>
      </w:r>
      <w:r>
        <w:rPr>
          <w:spacing w:val="-2"/>
        </w:rPr>
        <w:t> </w:t>
      </w:r>
      <w:r>
        <w:rPr/>
        <w:t>TI</w:t>
      </w:r>
    </w:p>
    <w:p>
      <w:pPr>
        <w:pStyle w:val="ListParagraph"/>
        <w:numPr>
          <w:ilvl w:val="0"/>
          <w:numId w:val="102"/>
        </w:numPr>
        <w:tabs>
          <w:tab w:pos="1919" w:val="left" w:leader="none"/>
        </w:tabs>
        <w:spacing w:line="240" w:lineRule="auto" w:before="120" w:after="0"/>
        <w:ind w:left="1919" w:right="414" w:hanging="567"/>
        <w:jc w:val="both"/>
        <w:rPr>
          <w:sz w:val="24"/>
        </w:rPr>
      </w:pPr>
      <w:r>
        <w:rPr>
          <w:sz w:val="24"/>
        </w:rPr>
        <w:t>A "</w:t>
      </w:r>
      <w:r>
        <w:rPr>
          <w:b/>
          <w:sz w:val="24"/>
        </w:rPr>
        <w:t>compliance TI</w:t>
      </w:r>
      <w:r>
        <w:rPr>
          <w:sz w:val="24"/>
        </w:rPr>
        <w:t>" is a gap trading interval in which the peak demand in that gap trading interval published under clause 4A.A.4(c) exceeds the one- in-two year peak demand</w:t>
      </w:r>
      <w:r>
        <w:rPr>
          <w:spacing w:val="-2"/>
          <w:sz w:val="24"/>
        </w:rPr>
        <w:t> </w:t>
      </w:r>
      <w:r>
        <w:rPr>
          <w:sz w:val="24"/>
        </w:rPr>
        <w:t>forecast.</w:t>
      </w:r>
    </w:p>
    <w:p>
      <w:pPr>
        <w:pStyle w:val="ListParagraph"/>
        <w:numPr>
          <w:ilvl w:val="0"/>
          <w:numId w:val="102"/>
        </w:numPr>
        <w:tabs>
          <w:tab w:pos="1919" w:val="left" w:leader="none"/>
        </w:tabs>
        <w:spacing w:line="240" w:lineRule="auto" w:before="120" w:after="0"/>
        <w:ind w:left="1919" w:right="415" w:hanging="567"/>
        <w:jc w:val="both"/>
        <w:rPr>
          <w:sz w:val="24"/>
        </w:rPr>
      </w:pPr>
      <w:r>
        <w:rPr>
          <w:sz w:val="24"/>
        </w:rPr>
        <w:t>A compliance TI under paragraph (a) remains a compliance TI despite any changes to </w:t>
      </w:r>
      <w:r>
        <w:rPr>
          <w:i/>
          <w:sz w:val="24"/>
        </w:rPr>
        <w:t>metering data </w:t>
      </w:r>
      <w:r>
        <w:rPr>
          <w:sz w:val="24"/>
        </w:rPr>
        <w:t>following publication of peak demand under clause 4A.A.4(c).</w:t>
      </w:r>
    </w:p>
    <w:p>
      <w:pPr>
        <w:pStyle w:val="BodyText"/>
        <w:spacing w:before="10"/>
        <w:ind w:firstLine="0"/>
        <w:jc w:val="left"/>
        <w:rPr>
          <w:sz w:val="20"/>
        </w:rPr>
      </w:pPr>
    </w:p>
    <w:p>
      <w:pPr>
        <w:pStyle w:val="Heading4"/>
        <w:tabs>
          <w:tab w:pos="1351" w:val="left" w:leader="none"/>
        </w:tabs>
        <w:ind w:left="218" w:firstLine="0"/>
      </w:pPr>
      <w:bookmarkStart w:name="4A.F.3 Share of one-in-two year peak dem" w:id="216"/>
      <w:bookmarkEnd w:id="216"/>
      <w:r>
        <w:rPr>
          <w:b w:val="0"/>
        </w:rPr>
      </w:r>
      <w:bookmarkStart w:name="_bookmark91" w:id="217"/>
      <w:bookmarkEnd w:id="217"/>
      <w:r>
        <w:rPr>
          <w:b w:val="0"/>
        </w:rPr>
      </w:r>
      <w:r>
        <w:rPr/>
        <w:t>4A.F.3</w:t>
        <w:tab/>
        <w:t>Share of one-in-two year peak demand</w:t>
      </w:r>
      <w:r>
        <w:rPr>
          <w:spacing w:val="-4"/>
        </w:rPr>
        <w:t> </w:t>
      </w:r>
      <w:r>
        <w:rPr/>
        <w:t>forecast</w:t>
      </w:r>
    </w:p>
    <w:p>
      <w:pPr>
        <w:pStyle w:val="ListParagraph"/>
        <w:numPr>
          <w:ilvl w:val="0"/>
          <w:numId w:val="103"/>
        </w:numPr>
        <w:tabs>
          <w:tab w:pos="1919" w:val="left" w:leader="none"/>
        </w:tabs>
        <w:spacing w:line="240" w:lineRule="auto" w:before="120" w:after="0"/>
        <w:ind w:left="1919" w:right="416" w:hanging="567"/>
        <w:jc w:val="both"/>
        <w:rPr>
          <w:sz w:val="24"/>
        </w:rPr>
      </w:pPr>
      <w:r>
        <w:rPr/>
        <w:drawing>
          <wp:anchor distT="0" distB="0" distL="0" distR="0" allowOverlap="1" layoutInCell="1" locked="0" behindDoc="0" simplePos="0" relativeHeight="6">
            <wp:simplePos x="0" y="0"/>
            <wp:positionH relativeFrom="page">
              <wp:posOffset>2708971</wp:posOffset>
            </wp:positionH>
            <wp:positionV relativeFrom="paragraph">
              <wp:posOffset>682319</wp:posOffset>
            </wp:positionV>
            <wp:extent cx="3934739" cy="771144"/>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1" cstate="print"/>
                    <a:stretch>
                      <a:fillRect/>
                    </a:stretch>
                  </pic:blipFill>
                  <pic:spPr>
                    <a:xfrm>
                      <a:off x="0" y="0"/>
                      <a:ext cx="3934739" cy="771144"/>
                    </a:xfrm>
                    <a:prstGeom prst="rect">
                      <a:avLst/>
                    </a:prstGeom>
                  </pic:spPr>
                </pic:pic>
              </a:graphicData>
            </a:graphic>
          </wp:anchor>
        </w:drawing>
      </w:r>
      <w:r>
        <w:rPr>
          <w:sz w:val="24"/>
        </w:rPr>
        <w:t>For the purposes of section 14R(2) of the </w:t>
      </w:r>
      <w:r>
        <w:rPr>
          <w:i/>
          <w:sz w:val="24"/>
        </w:rPr>
        <w:t>National Electricity Law</w:t>
      </w:r>
      <w:r>
        <w:rPr>
          <w:sz w:val="24"/>
        </w:rPr>
        <w:t>, a liable entity's share of the one-in-two year peak demand forecast for a compliance TI ("</w:t>
      </w:r>
      <w:r>
        <w:rPr>
          <w:b/>
          <w:sz w:val="24"/>
        </w:rPr>
        <w:t>liable share</w:t>
      </w:r>
      <w:r>
        <w:rPr>
          <w:sz w:val="24"/>
        </w:rPr>
        <w:t>") is calculated as</w:t>
      </w:r>
      <w:r>
        <w:rPr>
          <w:spacing w:val="-2"/>
          <w:sz w:val="24"/>
        </w:rPr>
        <w:t> </w:t>
      </w:r>
      <w:r>
        <w:rPr>
          <w:sz w:val="24"/>
        </w:rPr>
        <w:t>follows:</w:t>
      </w:r>
    </w:p>
    <w:p>
      <w:pPr>
        <w:pStyle w:val="BodyText"/>
        <w:spacing w:before="100"/>
        <w:ind w:left="1919" w:firstLine="0"/>
        <w:jc w:val="left"/>
      </w:pPr>
      <w:r>
        <w:rPr/>
        <w:t>where:</w:t>
      </w:r>
    </w:p>
    <w:p>
      <w:pPr>
        <w:spacing w:after="0"/>
        <w:jc w:val="left"/>
        <w:sectPr>
          <w:pgSz w:w="11910" w:h="16840"/>
          <w:pgMar w:header="686" w:footer="637" w:top="1320" w:bottom="820" w:left="1200" w:right="1000"/>
        </w:sectPr>
      </w:pPr>
    </w:p>
    <w:p>
      <w:pPr>
        <w:pStyle w:val="BodyText"/>
        <w:spacing w:before="0"/>
        <w:ind w:firstLine="0"/>
        <w:jc w:val="left"/>
        <w:rPr>
          <w:sz w:val="20"/>
        </w:rPr>
      </w:pPr>
    </w:p>
    <w:p>
      <w:pPr>
        <w:pStyle w:val="BodyText"/>
        <w:spacing w:before="0"/>
        <w:ind w:firstLine="0"/>
        <w:jc w:val="left"/>
        <w:rPr>
          <w:sz w:val="11"/>
        </w:rPr>
      </w:pPr>
    </w:p>
    <w:tbl>
      <w:tblPr>
        <w:tblW w:w="0" w:type="auto"/>
        <w:jc w:val="left"/>
        <w:tblInd w:w="1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3"/>
        <w:gridCol w:w="697"/>
        <w:gridCol w:w="5399"/>
      </w:tblGrid>
      <w:tr>
        <w:trPr>
          <w:trHeight w:val="390" w:hRule="atLeast"/>
        </w:trPr>
        <w:tc>
          <w:tcPr>
            <w:tcW w:w="1113" w:type="dxa"/>
          </w:tcPr>
          <w:p>
            <w:pPr>
              <w:pStyle w:val="TableParagraph"/>
              <w:spacing w:line="266" w:lineRule="exact" w:before="0"/>
              <w:ind w:left="50"/>
              <w:rPr>
                <w:i/>
                <w:sz w:val="24"/>
              </w:rPr>
            </w:pPr>
            <w:r>
              <w:rPr>
                <w:i/>
                <w:sz w:val="24"/>
              </w:rPr>
              <w:t>LS</w:t>
            </w:r>
          </w:p>
        </w:tc>
        <w:tc>
          <w:tcPr>
            <w:tcW w:w="697" w:type="dxa"/>
          </w:tcPr>
          <w:p>
            <w:pPr>
              <w:pStyle w:val="TableParagraph"/>
              <w:spacing w:line="266" w:lineRule="exact" w:before="0"/>
              <w:ind w:left="210"/>
              <w:rPr>
                <w:sz w:val="24"/>
              </w:rPr>
            </w:pPr>
            <w:r>
              <w:rPr>
                <w:sz w:val="24"/>
              </w:rPr>
              <w:t>=</w:t>
            </w:r>
          </w:p>
        </w:tc>
        <w:tc>
          <w:tcPr>
            <w:tcW w:w="5399" w:type="dxa"/>
          </w:tcPr>
          <w:p>
            <w:pPr>
              <w:pStyle w:val="TableParagraph"/>
              <w:spacing w:line="266" w:lineRule="exact" w:before="0"/>
              <w:ind w:left="351"/>
              <w:rPr>
                <w:sz w:val="24"/>
              </w:rPr>
            </w:pPr>
            <w:r>
              <w:rPr>
                <w:sz w:val="24"/>
              </w:rPr>
              <w:t>the liable entity's liable share (in MW);</w:t>
            </w:r>
          </w:p>
        </w:tc>
      </w:tr>
      <w:tr>
        <w:trPr>
          <w:trHeight w:val="791" w:hRule="atLeast"/>
        </w:trPr>
        <w:tc>
          <w:tcPr>
            <w:tcW w:w="1113" w:type="dxa"/>
          </w:tcPr>
          <w:p>
            <w:pPr>
              <w:pStyle w:val="TableParagraph"/>
              <w:spacing w:before="115"/>
              <w:ind w:left="50"/>
              <w:rPr>
                <w:i/>
                <w:sz w:val="24"/>
              </w:rPr>
            </w:pPr>
            <w:r>
              <w:rPr>
                <w:i/>
                <w:sz w:val="24"/>
              </w:rPr>
              <w:t>LL</w:t>
            </w:r>
          </w:p>
        </w:tc>
        <w:tc>
          <w:tcPr>
            <w:tcW w:w="697" w:type="dxa"/>
          </w:tcPr>
          <w:p>
            <w:pPr>
              <w:pStyle w:val="TableParagraph"/>
              <w:spacing w:before="115"/>
              <w:ind w:left="210"/>
              <w:rPr>
                <w:sz w:val="24"/>
              </w:rPr>
            </w:pPr>
            <w:r>
              <w:rPr>
                <w:sz w:val="24"/>
              </w:rPr>
              <w:t>=</w:t>
            </w:r>
          </w:p>
        </w:tc>
        <w:tc>
          <w:tcPr>
            <w:tcW w:w="5399" w:type="dxa"/>
          </w:tcPr>
          <w:p>
            <w:pPr>
              <w:pStyle w:val="TableParagraph"/>
              <w:spacing w:before="115"/>
              <w:ind w:left="351" w:right="326"/>
              <w:rPr>
                <w:sz w:val="24"/>
              </w:rPr>
            </w:pPr>
            <w:r>
              <w:rPr>
                <w:sz w:val="24"/>
              </w:rPr>
              <w:t>the liable entity's liable load as determined under paragraph (b) (in MW);</w:t>
            </w:r>
          </w:p>
        </w:tc>
      </w:tr>
      <w:tr>
        <w:trPr>
          <w:trHeight w:val="1343" w:hRule="atLeast"/>
        </w:trPr>
        <w:tc>
          <w:tcPr>
            <w:tcW w:w="1113" w:type="dxa"/>
          </w:tcPr>
          <w:p>
            <w:pPr>
              <w:pStyle w:val="TableParagraph"/>
              <w:spacing w:before="115"/>
              <w:ind w:left="50"/>
              <w:rPr>
                <w:i/>
                <w:sz w:val="24"/>
              </w:rPr>
            </w:pPr>
            <w:r>
              <w:rPr>
                <w:i/>
                <w:sz w:val="24"/>
              </w:rPr>
              <w:t>HAPD</w:t>
            </w:r>
          </w:p>
        </w:tc>
        <w:tc>
          <w:tcPr>
            <w:tcW w:w="697" w:type="dxa"/>
          </w:tcPr>
          <w:p>
            <w:pPr>
              <w:pStyle w:val="TableParagraph"/>
              <w:spacing w:before="115"/>
              <w:ind w:left="210"/>
              <w:rPr>
                <w:sz w:val="24"/>
              </w:rPr>
            </w:pPr>
            <w:r>
              <w:rPr>
                <w:sz w:val="24"/>
              </w:rPr>
              <w:t>=</w:t>
            </w:r>
          </w:p>
        </w:tc>
        <w:tc>
          <w:tcPr>
            <w:tcW w:w="5399" w:type="dxa"/>
          </w:tcPr>
          <w:p>
            <w:pPr>
              <w:pStyle w:val="TableParagraph"/>
              <w:spacing w:before="115"/>
              <w:ind w:left="351" w:right="89"/>
              <w:rPr>
                <w:sz w:val="24"/>
              </w:rPr>
            </w:pPr>
            <w:r>
              <w:rPr>
                <w:sz w:val="24"/>
              </w:rPr>
              <w:t>the highest adjusted peak demand occurring in a compliance TI in the relevant </w:t>
            </w:r>
            <w:r>
              <w:rPr>
                <w:i/>
                <w:sz w:val="24"/>
              </w:rPr>
              <w:t>reliability gap period </w:t>
            </w:r>
            <w:r>
              <w:rPr>
                <w:sz w:val="24"/>
              </w:rPr>
              <w:t>where adjusted peak demand is determined under paragraph (d) (in MW);</w:t>
            </w:r>
          </w:p>
        </w:tc>
      </w:tr>
      <w:tr>
        <w:trPr>
          <w:trHeight w:val="390" w:hRule="atLeast"/>
        </w:trPr>
        <w:tc>
          <w:tcPr>
            <w:tcW w:w="1113" w:type="dxa"/>
          </w:tcPr>
          <w:p>
            <w:pPr>
              <w:pStyle w:val="TableParagraph"/>
              <w:spacing w:line="256" w:lineRule="exact" w:before="115"/>
              <w:ind w:left="50"/>
              <w:rPr>
                <w:i/>
                <w:sz w:val="24"/>
              </w:rPr>
            </w:pPr>
            <w:r>
              <w:rPr>
                <w:i/>
                <w:sz w:val="24"/>
              </w:rPr>
              <w:t>OITPDF</w:t>
            </w:r>
          </w:p>
        </w:tc>
        <w:tc>
          <w:tcPr>
            <w:tcW w:w="697" w:type="dxa"/>
          </w:tcPr>
          <w:p>
            <w:pPr>
              <w:pStyle w:val="TableParagraph"/>
              <w:spacing w:line="256" w:lineRule="exact" w:before="115"/>
              <w:ind w:left="210"/>
              <w:rPr>
                <w:sz w:val="24"/>
              </w:rPr>
            </w:pPr>
            <w:r>
              <w:rPr>
                <w:sz w:val="24"/>
              </w:rPr>
              <w:t>=</w:t>
            </w:r>
          </w:p>
        </w:tc>
        <w:tc>
          <w:tcPr>
            <w:tcW w:w="5399" w:type="dxa"/>
          </w:tcPr>
          <w:p>
            <w:pPr>
              <w:pStyle w:val="TableParagraph"/>
              <w:spacing w:line="256" w:lineRule="exact" w:before="115"/>
              <w:ind w:left="351"/>
              <w:rPr>
                <w:sz w:val="24"/>
              </w:rPr>
            </w:pPr>
            <w:r>
              <w:rPr>
                <w:sz w:val="24"/>
              </w:rPr>
              <w:t>the one-in-two year peak demand forecast (in MW),</w:t>
            </w:r>
          </w:p>
        </w:tc>
      </w:tr>
    </w:tbl>
    <w:p>
      <w:pPr>
        <w:pStyle w:val="BodyText"/>
        <w:spacing w:before="0"/>
        <w:ind w:firstLine="0"/>
        <w:jc w:val="left"/>
        <w:rPr>
          <w:sz w:val="20"/>
        </w:rPr>
      </w:pPr>
    </w:p>
    <w:p>
      <w:pPr>
        <w:pStyle w:val="BodyText"/>
        <w:spacing w:before="0"/>
        <w:ind w:firstLine="0"/>
        <w:jc w:val="left"/>
        <w:rPr>
          <w:sz w:val="17"/>
        </w:rPr>
      </w:pPr>
    </w:p>
    <w:p>
      <w:pPr>
        <w:pStyle w:val="BodyText"/>
        <w:spacing w:before="90"/>
        <w:ind w:left="1919" w:firstLine="0"/>
        <w:jc w:val="left"/>
      </w:pPr>
      <w:r>
        <w:rPr/>
        <w:t>except that if OITPDF/HAPD &gt; one, then it is taken to be equal to one.</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Section 14R(2) of the </w:t>
      </w:r>
      <w:r>
        <w:rPr>
          <w:i/>
          <w:sz w:val="20"/>
        </w:rPr>
        <w:t>National Electricity Law </w:t>
      </w:r>
      <w:r>
        <w:rPr>
          <w:sz w:val="20"/>
        </w:rPr>
        <w:t>states –</w:t>
      </w:r>
    </w:p>
    <w:p>
      <w:pPr>
        <w:spacing w:before="120"/>
        <w:ind w:left="1919" w:right="414" w:firstLine="0"/>
        <w:jc w:val="both"/>
        <w:rPr>
          <w:sz w:val="20"/>
        </w:rPr>
      </w:pPr>
      <w:r>
        <w:rPr>
          <w:sz w:val="20"/>
        </w:rPr>
        <w:t>The liable entity must comply with the obligation that the liable entity's net contract position for the </w:t>
      </w:r>
      <w:r>
        <w:rPr>
          <w:i/>
          <w:sz w:val="20"/>
        </w:rPr>
        <w:t>trading interval </w:t>
      </w:r>
      <w:r>
        <w:rPr>
          <w:sz w:val="20"/>
        </w:rPr>
        <w:t>is not less than the liable entity's share of the one-in-two year peak demand forecast for the </w:t>
      </w:r>
      <w:r>
        <w:rPr>
          <w:i/>
          <w:sz w:val="20"/>
        </w:rPr>
        <w:t>trading interval </w:t>
      </w:r>
      <w:r>
        <w:rPr>
          <w:sz w:val="20"/>
        </w:rPr>
        <w:t>determined in accordance with the  </w:t>
      </w:r>
      <w:r>
        <w:rPr>
          <w:i/>
          <w:sz w:val="20"/>
        </w:rPr>
        <w:t>Rules</w:t>
      </w:r>
      <w:r>
        <w:rPr>
          <w:sz w:val="20"/>
        </w:rPr>
        <w:t>.</w:t>
      </w:r>
    </w:p>
    <w:p>
      <w:pPr>
        <w:spacing w:before="120"/>
        <w:ind w:left="1919" w:right="0" w:firstLine="0"/>
        <w:jc w:val="both"/>
        <w:rPr>
          <w:sz w:val="20"/>
        </w:rPr>
      </w:pPr>
      <w:r>
        <w:rPr>
          <w:sz w:val="20"/>
        </w:rPr>
        <w:t>Section 14R(2) is a reliability obligation civil penalty.</w:t>
      </w:r>
    </w:p>
    <w:p>
      <w:pPr>
        <w:pStyle w:val="ListParagraph"/>
        <w:numPr>
          <w:ilvl w:val="0"/>
          <w:numId w:val="103"/>
        </w:numPr>
        <w:tabs>
          <w:tab w:pos="1919" w:val="left" w:leader="none"/>
        </w:tabs>
        <w:spacing w:line="240" w:lineRule="auto" w:before="120" w:after="0"/>
        <w:ind w:left="1918" w:right="0" w:hanging="567"/>
        <w:jc w:val="both"/>
        <w:rPr>
          <w:sz w:val="24"/>
        </w:rPr>
      </w:pPr>
      <w:r>
        <w:rPr>
          <w:sz w:val="24"/>
        </w:rPr>
        <w:t>A liable entity's liable load for a compliance TI is calculated as</w:t>
      </w:r>
      <w:r>
        <w:rPr>
          <w:spacing w:val="-4"/>
          <w:sz w:val="24"/>
        </w:rPr>
        <w:t> </w:t>
      </w:r>
      <w:r>
        <w:rPr>
          <w:sz w:val="24"/>
        </w:rPr>
        <w:t>follows:</w:t>
      </w:r>
    </w:p>
    <w:p>
      <w:pPr>
        <w:pStyle w:val="ListParagraph"/>
        <w:numPr>
          <w:ilvl w:val="1"/>
          <w:numId w:val="103"/>
        </w:numPr>
        <w:tabs>
          <w:tab w:pos="2486" w:val="left" w:leader="none"/>
        </w:tabs>
        <w:spacing w:line="240" w:lineRule="auto" w:before="120" w:after="0"/>
        <w:ind w:left="2486" w:right="414" w:hanging="567"/>
        <w:jc w:val="both"/>
        <w:rPr>
          <w:sz w:val="24"/>
        </w:rPr>
      </w:pPr>
      <w:r>
        <w:rPr>
          <w:sz w:val="24"/>
        </w:rPr>
        <w:t>if the liable entity is a </w:t>
      </w:r>
      <w:r>
        <w:rPr>
          <w:i/>
          <w:sz w:val="24"/>
        </w:rPr>
        <w:t>Market Customer</w:t>
      </w:r>
      <w:r>
        <w:rPr>
          <w:sz w:val="24"/>
        </w:rPr>
        <w:t>, the aggregate of the </w:t>
      </w:r>
      <w:r>
        <w:rPr>
          <w:i/>
          <w:sz w:val="24"/>
        </w:rPr>
        <w:t>adjusted </w:t>
      </w:r>
      <w:r>
        <w:rPr>
          <w:i/>
          <w:sz w:val="24"/>
        </w:rPr>
        <w:t>gross energy </w:t>
      </w:r>
      <w:r>
        <w:rPr>
          <w:sz w:val="24"/>
        </w:rPr>
        <w:t>for each </w:t>
      </w:r>
      <w:r>
        <w:rPr>
          <w:i/>
          <w:sz w:val="24"/>
        </w:rPr>
        <w:t>connection point </w:t>
      </w:r>
      <w:r>
        <w:rPr>
          <w:sz w:val="24"/>
        </w:rPr>
        <w:t>for which it is</w:t>
      </w:r>
      <w:r>
        <w:rPr>
          <w:spacing w:val="23"/>
          <w:sz w:val="24"/>
        </w:rPr>
        <w:t> </w:t>
      </w:r>
      <w:r>
        <w:rPr>
          <w:i/>
          <w:sz w:val="24"/>
        </w:rPr>
        <w:t>financially </w:t>
      </w:r>
      <w:r>
        <w:rPr>
          <w:i/>
          <w:sz w:val="24"/>
        </w:rPr>
        <w:t>responsible </w:t>
      </w:r>
      <w:r>
        <w:rPr>
          <w:sz w:val="24"/>
        </w:rPr>
        <w:t>for the compliance TI (less any </w:t>
      </w:r>
      <w:r>
        <w:rPr>
          <w:i/>
          <w:sz w:val="24"/>
        </w:rPr>
        <w:t>adjusted gross energy </w:t>
      </w:r>
      <w:r>
        <w:rPr>
          <w:sz w:val="24"/>
        </w:rPr>
        <w:t>allocated to a prescribed opt-in customer at one of those </w:t>
      </w:r>
      <w:r>
        <w:rPr>
          <w:i/>
          <w:sz w:val="24"/>
        </w:rPr>
        <w:t>connection </w:t>
      </w:r>
      <w:r>
        <w:rPr>
          <w:i/>
          <w:sz w:val="24"/>
        </w:rPr>
        <w:t>points</w:t>
      </w:r>
      <w:r>
        <w:rPr>
          <w:sz w:val="24"/>
        </w:rPr>
        <w:t>) based on the relevant </w:t>
      </w:r>
      <w:r>
        <w:rPr>
          <w:i/>
          <w:sz w:val="24"/>
        </w:rPr>
        <w:t>routine revised statements </w:t>
      </w:r>
      <w:r>
        <w:rPr>
          <w:sz w:val="24"/>
        </w:rPr>
        <w:t>for the </w:t>
      </w:r>
      <w:r>
        <w:rPr>
          <w:i/>
          <w:sz w:val="24"/>
        </w:rPr>
        <w:t>billing </w:t>
      </w:r>
      <w:r>
        <w:rPr>
          <w:i/>
          <w:sz w:val="24"/>
        </w:rPr>
        <w:t>periods </w:t>
      </w:r>
      <w:r>
        <w:rPr>
          <w:sz w:val="24"/>
        </w:rPr>
        <w:t>relating to the </w:t>
      </w:r>
      <w:r>
        <w:rPr>
          <w:i/>
          <w:sz w:val="24"/>
        </w:rPr>
        <w:t>reliability gap period </w:t>
      </w:r>
      <w:r>
        <w:rPr>
          <w:sz w:val="24"/>
        </w:rPr>
        <w:t>given approximately 30 weeks after the relevant </w:t>
      </w:r>
      <w:r>
        <w:rPr>
          <w:i/>
          <w:sz w:val="24"/>
        </w:rPr>
        <w:t>billing</w:t>
      </w:r>
      <w:r>
        <w:rPr>
          <w:i/>
          <w:spacing w:val="-3"/>
          <w:sz w:val="24"/>
        </w:rPr>
        <w:t> </w:t>
      </w:r>
      <w:r>
        <w:rPr>
          <w:i/>
          <w:sz w:val="24"/>
        </w:rPr>
        <w:t>period</w:t>
      </w:r>
      <w:r>
        <w:rPr>
          <w:sz w:val="24"/>
        </w:rPr>
        <w:t>;</w:t>
      </w:r>
    </w:p>
    <w:p>
      <w:pPr>
        <w:pStyle w:val="ListParagraph"/>
        <w:numPr>
          <w:ilvl w:val="1"/>
          <w:numId w:val="103"/>
        </w:numPr>
        <w:tabs>
          <w:tab w:pos="2486" w:val="left" w:leader="none"/>
        </w:tabs>
        <w:spacing w:line="240" w:lineRule="auto" w:before="120" w:after="0"/>
        <w:ind w:left="2486" w:right="415" w:hanging="567"/>
        <w:jc w:val="both"/>
        <w:rPr>
          <w:sz w:val="24"/>
        </w:rPr>
      </w:pPr>
      <w:r>
        <w:rPr>
          <w:sz w:val="24"/>
        </w:rPr>
        <w:t>if the liable entity is not a </w:t>
      </w:r>
      <w:r>
        <w:rPr>
          <w:i/>
          <w:sz w:val="24"/>
        </w:rPr>
        <w:t>Market Customer</w:t>
      </w:r>
      <w:r>
        <w:rPr>
          <w:sz w:val="24"/>
        </w:rPr>
        <w:t>, the aggregate of the </w:t>
      </w:r>
      <w:r>
        <w:rPr>
          <w:i/>
          <w:sz w:val="24"/>
        </w:rPr>
        <w:t>adjusted gross energy </w:t>
      </w:r>
      <w:r>
        <w:rPr>
          <w:sz w:val="24"/>
        </w:rPr>
        <w:t>for each </w:t>
      </w:r>
      <w:r>
        <w:rPr>
          <w:i/>
          <w:sz w:val="24"/>
        </w:rPr>
        <w:t>connection point </w:t>
      </w:r>
      <w:r>
        <w:rPr>
          <w:sz w:val="24"/>
        </w:rPr>
        <w:t>for which it is registered as an opt-in customer (or part thereof if it is a prescribed opt-in customer registered for a portion of the </w:t>
      </w:r>
      <w:r>
        <w:rPr>
          <w:i/>
          <w:sz w:val="24"/>
        </w:rPr>
        <w:t>load </w:t>
      </w:r>
      <w:r>
        <w:rPr>
          <w:sz w:val="24"/>
        </w:rPr>
        <w:t>at that </w:t>
      </w:r>
      <w:r>
        <w:rPr>
          <w:i/>
          <w:sz w:val="24"/>
        </w:rPr>
        <w:t>connection </w:t>
      </w:r>
      <w:r>
        <w:rPr>
          <w:i/>
          <w:sz w:val="24"/>
        </w:rPr>
        <w:t>point</w:t>
      </w:r>
      <w:r>
        <w:rPr>
          <w:sz w:val="24"/>
        </w:rPr>
        <w:t>) based on the relevant </w:t>
      </w:r>
      <w:r>
        <w:rPr>
          <w:i/>
          <w:sz w:val="24"/>
        </w:rPr>
        <w:t>routine revised statements </w:t>
      </w:r>
      <w:r>
        <w:rPr>
          <w:sz w:val="24"/>
        </w:rPr>
        <w:t>provided to the relevant </w:t>
      </w:r>
      <w:r>
        <w:rPr>
          <w:i/>
          <w:sz w:val="24"/>
        </w:rPr>
        <w:t>Market Customer </w:t>
      </w:r>
      <w:r>
        <w:rPr>
          <w:sz w:val="24"/>
        </w:rPr>
        <w:t>for the </w:t>
      </w:r>
      <w:r>
        <w:rPr>
          <w:i/>
          <w:sz w:val="24"/>
        </w:rPr>
        <w:t>connection points </w:t>
      </w:r>
      <w:r>
        <w:rPr>
          <w:sz w:val="24"/>
        </w:rPr>
        <w:t>for the </w:t>
      </w:r>
      <w:r>
        <w:rPr>
          <w:i/>
          <w:spacing w:val="-3"/>
          <w:sz w:val="24"/>
        </w:rPr>
        <w:t>billing </w:t>
      </w:r>
      <w:r>
        <w:rPr>
          <w:i/>
          <w:sz w:val="24"/>
        </w:rPr>
        <w:t>periods </w:t>
      </w:r>
      <w:r>
        <w:rPr>
          <w:sz w:val="24"/>
        </w:rPr>
        <w:t>relating to the </w:t>
      </w:r>
      <w:r>
        <w:rPr>
          <w:i/>
          <w:sz w:val="24"/>
        </w:rPr>
        <w:t>reliability gap period </w:t>
      </w:r>
      <w:r>
        <w:rPr>
          <w:sz w:val="24"/>
        </w:rPr>
        <w:t>given approximately 30 weeks after the relevant </w:t>
      </w:r>
      <w:r>
        <w:rPr>
          <w:i/>
          <w:sz w:val="24"/>
        </w:rPr>
        <w:t>billing</w:t>
      </w:r>
      <w:r>
        <w:rPr>
          <w:i/>
          <w:spacing w:val="-3"/>
          <w:sz w:val="24"/>
        </w:rPr>
        <w:t> </w:t>
      </w:r>
      <w:r>
        <w:rPr>
          <w:i/>
          <w:sz w:val="24"/>
        </w:rPr>
        <w:t>period</w:t>
      </w:r>
      <w:r>
        <w:rPr>
          <w:sz w:val="24"/>
        </w:rPr>
        <w:t>;</w:t>
      </w:r>
    </w:p>
    <w:p>
      <w:pPr>
        <w:pStyle w:val="ListParagraph"/>
        <w:numPr>
          <w:ilvl w:val="1"/>
          <w:numId w:val="103"/>
        </w:numPr>
        <w:tabs>
          <w:tab w:pos="2486" w:val="left" w:leader="none"/>
        </w:tabs>
        <w:spacing w:line="240" w:lineRule="auto" w:before="120" w:after="0"/>
        <w:ind w:left="2486" w:right="414" w:hanging="567"/>
        <w:jc w:val="both"/>
        <w:rPr>
          <w:sz w:val="24"/>
        </w:rPr>
      </w:pPr>
      <w:r>
        <w:rPr>
          <w:sz w:val="24"/>
        </w:rPr>
        <w:t>the quantity in subparagraph (1) or (2) (as applicable) is to be adjusted by adding the liable entity's measured actual demand response under a qualifying contract at each </w:t>
      </w:r>
      <w:r>
        <w:rPr>
          <w:i/>
          <w:sz w:val="24"/>
        </w:rPr>
        <w:t>connection point </w:t>
      </w:r>
      <w:r>
        <w:rPr>
          <w:sz w:val="24"/>
        </w:rPr>
        <w:t>for which it is </w:t>
      </w:r>
      <w:r>
        <w:rPr>
          <w:i/>
          <w:sz w:val="24"/>
        </w:rPr>
        <w:t>financially </w:t>
      </w:r>
      <w:r>
        <w:rPr>
          <w:i/>
          <w:sz w:val="24"/>
        </w:rPr>
        <w:t>responsible </w:t>
      </w:r>
      <w:r>
        <w:rPr>
          <w:sz w:val="24"/>
        </w:rPr>
        <w:t>for the compliance TI, or registered if an opt-in customer, multiplied by the </w:t>
      </w:r>
      <w:r>
        <w:rPr>
          <w:i/>
          <w:sz w:val="24"/>
        </w:rPr>
        <w:t>distribution loss factor </w:t>
      </w:r>
      <w:r>
        <w:rPr>
          <w:sz w:val="24"/>
        </w:rPr>
        <w:t>for that </w:t>
      </w:r>
      <w:r>
        <w:rPr>
          <w:i/>
          <w:sz w:val="24"/>
        </w:rPr>
        <w:t>connection</w:t>
      </w:r>
      <w:r>
        <w:rPr>
          <w:i/>
          <w:spacing w:val="-4"/>
          <w:sz w:val="24"/>
        </w:rPr>
        <w:t> </w:t>
      </w:r>
      <w:r>
        <w:rPr>
          <w:i/>
          <w:sz w:val="24"/>
        </w:rPr>
        <w:t>point</w:t>
      </w:r>
      <w:r>
        <w:rPr>
          <w:sz w:val="24"/>
        </w:rPr>
        <w:t>;</w:t>
      </w:r>
    </w:p>
    <w:p>
      <w:pPr>
        <w:pStyle w:val="ListParagraph"/>
        <w:numPr>
          <w:ilvl w:val="1"/>
          <w:numId w:val="103"/>
        </w:numPr>
        <w:tabs>
          <w:tab w:pos="2486" w:val="left" w:leader="none"/>
        </w:tabs>
        <w:spacing w:line="240" w:lineRule="auto" w:before="120" w:after="0"/>
        <w:ind w:left="2486" w:right="415" w:hanging="567"/>
        <w:jc w:val="both"/>
        <w:rPr>
          <w:sz w:val="24"/>
        </w:rPr>
      </w:pPr>
      <w:r>
        <w:rPr>
          <w:sz w:val="24"/>
        </w:rPr>
        <w:t>the quantities in subparagraphs (1), (2) and (3) (as applicable) are to be adjusted for </w:t>
      </w:r>
      <w:r>
        <w:rPr>
          <w:i/>
          <w:sz w:val="24"/>
        </w:rPr>
        <w:t>intra-regional loss factors </w:t>
      </w:r>
      <w:r>
        <w:rPr>
          <w:sz w:val="24"/>
        </w:rPr>
        <w:t>at the </w:t>
      </w:r>
      <w:r>
        <w:rPr>
          <w:i/>
          <w:sz w:val="24"/>
        </w:rPr>
        <w:t>transmission network </w:t>
      </w:r>
      <w:r>
        <w:rPr>
          <w:i/>
          <w:sz w:val="24"/>
        </w:rPr>
        <w:t>connection point </w:t>
      </w:r>
      <w:r>
        <w:rPr>
          <w:sz w:val="24"/>
        </w:rPr>
        <w:t>to which the </w:t>
      </w:r>
      <w:r>
        <w:rPr>
          <w:i/>
          <w:sz w:val="24"/>
        </w:rPr>
        <w:t>connection point </w:t>
      </w:r>
      <w:r>
        <w:rPr>
          <w:sz w:val="24"/>
        </w:rPr>
        <w:t>is assigned;</w:t>
      </w:r>
      <w:r>
        <w:rPr>
          <w:spacing w:val="-4"/>
          <w:sz w:val="24"/>
        </w:rPr>
        <w:t> </w:t>
      </w:r>
      <w:r>
        <w:rPr>
          <w:sz w:val="24"/>
        </w:rPr>
        <w:t>and</w:t>
      </w:r>
    </w:p>
    <w:p>
      <w:pPr>
        <w:pStyle w:val="ListParagraph"/>
        <w:numPr>
          <w:ilvl w:val="1"/>
          <w:numId w:val="103"/>
        </w:numPr>
        <w:tabs>
          <w:tab w:pos="2486" w:val="left" w:leader="none"/>
        </w:tabs>
        <w:spacing w:line="240" w:lineRule="auto" w:before="120" w:after="0"/>
        <w:ind w:left="2486" w:right="415" w:hanging="567"/>
        <w:jc w:val="both"/>
        <w:rPr>
          <w:sz w:val="24"/>
        </w:rPr>
      </w:pPr>
      <w:r>
        <w:rPr>
          <w:sz w:val="24"/>
        </w:rPr>
        <w:t>the final quantity is to be multiplied by the number of </w:t>
      </w:r>
      <w:r>
        <w:rPr>
          <w:i/>
          <w:sz w:val="24"/>
        </w:rPr>
        <w:t>trading </w:t>
      </w:r>
      <w:r>
        <w:rPr>
          <w:i/>
          <w:sz w:val="24"/>
        </w:rPr>
        <w:t>intervals </w:t>
      </w:r>
      <w:r>
        <w:rPr>
          <w:sz w:val="24"/>
        </w:rPr>
        <w:t>in an</w:t>
      </w:r>
      <w:r>
        <w:rPr>
          <w:spacing w:val="-1"/>
          <w:sz w:val="24"/>
        </w:rPr>
        <w:t> </w:t>
      </w:r>
      <w:r>
        <w:rPr>
          <w:sz w:val="24"/>
        </w:rPr>
        <w:t>hour,</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in each case, as determined in accordance with the </w:t>
      </w:r>
      <w:r>
        <w:rPr>
          <w:i/>
        </w:rPr>
        <w:t>PoLR cost procedures</w:t>
      </w:r>
      <w:r>
        <w:rPr/>
        <w:t>. To avoid doubt, a liable entity's demand is not to be adjusted for what its demand would have been but for </w:t>
      </w:r>
      <w:r>
        <w:rPr>
          <w:i/>
        </w:rPr>
        <w:t>unserved energy </w:t>
      </w:r>
      <w:r>
        <w:rPr/>
        <w:t>during a compliance</w:t>
      </w:r>
      <w:r>
        <w:rPr>
          <w:spacing w:val="-7"/>
        </w:rPr>
        <w:t> </w:t>
      </w:r>
      <w:r>
        <w:rPr/>
        <w:t>TI.</w:t>
      </w:r>
    </w:p>
    <w:p>
      <w:pPr>
        <w:pStyle w:val="ListParagraph"/>
        <w:numPr>
          <w:ilvl w:val="0"/>
          <w:numId w:val="103"/>
        </w:numPr>
        <w:tabs>
          <w:tab w:pos="1919" w:val="left" w:leader="none"/>
        </w:tabs>
        <w:spacing w:line="240" w:lineRule="auto" w:before="120" w:after="0"/>
        <w:ind w:left="1919" w:right="414" w:hanging="567"/>
        <w:jc w:val="both"/>
        <w:rPr>
          <w:sz w:val="24"/>
        </w:rPr>
      </w:pPr>
      <w:r>
        <w:rPr>
          <w:sz w:val="24"/>
        </w:rPr>
        <w:t>For a liable entity that is a </w:t>
      </w:r>
      <w:r>
        <w:rPr>
          <w:i/>
          <w:sz w:val="24"/>
        </w:rPr>
        <w:t>Market Customer</w:t>
      </w:r>
      <w:r>
        <w:rPr>
          <w:sz w:val="24"/>
        </w:rPr>
        <w:t>, a liable entity's liable load relates to the </w:t>
      </w:r>
      <w:r>
        <w:rPr>
          <w:i/>
          <w:sz w:val="24"/>
        </w:rPr>
        <w:t>connection points </w:t>
      </w:r>
      <w:r>
        <w:rPr>
          <w:sz w:val="24"/>
        </w:rPr>
        <w:t>for which that liable entity is </w:t>
      </w:r>
      <w:r>
        <w:rPr>
          <w:i/>
          <w:sz w:val="24"/>
        </w:rPr>
        <w:t>financially </w:t>
      </w:r>
      <w:r>
        <w:rPr>
          <w:i/>
          <w:sz w:val="24"/>
        </w:rPr>
        <w:t>responsible </w:t>
      </w:r>
      <w:r>
        <w:rPr>
          <w:sz w:val="24"/>
        </w:rPr>
        <w:t>for a compliance TI and those </w:t>
      </w:r>
      <w:r>
        <w:rPr>
          <w:i/>
          <w:sz w:val="24"/>
        </w:rPr>
        <w:t>connection points </w:t>
      </w:r>
      <w:r>
        <w:rPr>
          <w:sz w:val="24"/>
        </w:rPr>
        <w:t>do not need to be the same </w:t>
      </w:r>
      <w:r>
        <w:rPr>
          <w:i/>
          <w:sz w:val="24"/>
        </w:rPr>
        <w:t>connection points </w:t>
      </w:r>
      <w:r>
        <w:rPr>
          <w:sz w:val="24"/>
        </w:rPr>
        <w:t>referred to in clause</w:t>
      </w:r>
      <w:r>
        <w:rPr>
          <w:spacing w:val="-2"/>
          <w:sz w:val="24"/>
        </w:rPr>
        <w:t> </w:t>
      </w:r>
      <w:r>
        <w:rPr>
          <w:sz w:val="24"/>
        </w:rPr>
        <w:t>4A.D.2.</w:t>
      </w:r>
    </w:p>
    <w:p>
      <w:pPr>
        <w:pStyle w:val="ListParagraph"/>
        <w:numPr>
          <w:ilvl w:val="0"/>
          <w:numId w:val="103"/>
        </w:numPr>
        <w:tabs>
          <w:tab w:pos="1919" w:val="left" w:leader="none"/>
        </w:tabs>
        <w:spacing w:line="240" w:lineRule="auto" w:before="120" w:after="0"/>
        <w:ind w:left="1919" w:right="415" w:hanging="567"/>
        <w:jc w:val="both"/>
        <w:rPr>
          <w:sz w:val="24"/>
        </w:rPr>
      </w:pPr>
      <w:r>
        <w:rPr>
          <w:sz w:val="24"/>
        </w:rPr>
        <w:t>The adjusted peak demand for a compliance TI is the actual demand for the </w:t>
      </w:r>
      <w:r>
        <w:rPr>
          <w:i/>
          <w:sz w:val="24"/>
        </w:rPr>
        <w:t>region </w:t>
      </w:r>
      <w:r>
        <w:rPr>
          <w:sz w:val="24"/>
        </w:rPr>
        <w:t>in that compliance TI as determined under clause 4A.A.4(b) adjusted for the measured actual demand response of all liable entities during that compliance TI as determined in accordance with the </w:t>
      </w:r>
      <w:r>
        <w:rPr>
          <w:i/>
          <w:sz w:val="24"/>
        </w:rPr>
        <w:t>PoLR cost</w:t>
      </w:r>
      <w:r>
        <w:rPr>
          <w:i/>
          <w:spacing w:val="-7"/>
          <w:sz w:val="24"/>
        </w:rPr>
        <w:t> </w:t>
      </w:r>
      <w:r>
        <w:rPr>
          <w:i/>
          <w:sz w:val="24"/>
        </w:rPr>
        <w:t>procedures</w:t>
      </w:r>
      <w:r>
        <w:rPr>
          <w:sz w:val="24"/>
        </w:rPr>
        <w:t>.</w:t>
      </w:r>
    </w:p>
    <w:p>
      <w:pPr>
        <w:pStyle w:val="BodyText"/>
        <w:spacing w:before="10"/>
        <w:ind w:firstLine="0"/>
        <w:jc w:val="left"/>
        <w:rPr>
          <w:sz w:val="20"/>
        </w:rPr>
      </w:pPr>
    </w:p>
    <w:p>
      <w:pPr>
        <w:pStyle w:val="Heading3"/>
        <w:tabs>
          <w:tab w:pos="1656" w:val="left" w:leader="none"/>
        </w:tabs>
        <w:ind w:left="218" w:firstLine="0"/>
      </w:pPr>
      <w:bookmarkStart w:name="Division 3 AEMO notifications to AER" w:id="218"/>
      <w:bookmarkEnd w:id="218"/>
      <w:r>
        <w:rPr>
          <w:b w:val="0"/>
        </w:rPr>
      </w:r>
      <w:bookmarkStart w:name="_bookmark92" w:id="219"/>
      <w:bookmarkEnd w:id="219"/>
      <w:r>
        <w:rPr>
          <w:b w:val="0"/>
        </w:rPr>
      </w:r>
      <w:r>
        <w:rPr/>
        <w:t>Division</w:t>
      </w:r>
      <w:r>
        <w:rPr>
          <w:spacing w:val="-4"/>
        </w:rPr>
        <w:t> </w:t>
      </w:r>
      <w:r>
        <w:rPr/>
        <w:t>3</w:t>
        <w:tab/>
        <w:t>AEMO notifications to</w:t>
      </w:r>
      <w:r>
        <w:rPr>
          <w:spacing w:val="-1"/>
        </w:rPr>
        <w:t> </w:t>
      </w:r>
      <w:r>
        <w:rPr/>
        <w:t>AER</w:t>
      </w:r>
    </w:p>
    <w:p>
      <w:pPr>
        <w:pStyle w:val="Heading4"/>
        <w:tabs>
          <w:tab w:pos="1351" w:val="left" w:leader="none"/>
        </w:tabs>
        <w:spacing w:before="240"/>
        <w:ind w:left="218" w:firstLine="0"/>
      </w:pPr>
      <w:bookmarkStart w:name="4A.F.4 AEMO notification of compliance t" w:id="220"/>
      <w:bookmarkEnd w:id="220"/>
      <w:r>
        <w:rPr>
          <w:b w:val="0"/>
        </w:rPr>
      </w:r>
      <w:bookmarkStart w:name="_bookmark93" w:id="221"/>
      <w:bookmarkEnd w:id="221"/>
      <w:r>
        <w:rPr>
          <w:b w:val="0"/>
        </w:rPr>
      </w:r>
      <w:r>
        <w:rPr/>
        <w:t>4A.F.4</w:t>
        <w:tab/>
        <w:t>AEMO notification of compliance trading</w:t>
      </w:r>
      <w:r>
        <w:rPr>
          <w:spacing w:val="-3"/>
        </w:rPr>
        <w:t> </w:t>
      </w:r>
      <w:r>
        <w:rPr/>
        <w:t>intervals</w:t>
      </w:r>
    </w:p>
    <w:p>
      <w:pPr>
        <w:pStyle w:val="ListParagraph"/>
        <w:numPr>
          <w:ilvl w:val="0"/>
          <w:numId w:val="104"/>
        </w:numPr>
        <w:tabs>
          <w:tab w:pos="1919" w:val="left" w:leader="none"/>
        </w:tabs>
        <w:spacing w:line="240" w:lineRule="auto" w:before="120" w:after="0"/>
        <w:ind w:left="1919" w:right="415" w:hanging="567"/>
        <w:jc w:val="both"/>
        <w:rPr>
          <w:sz w:val="24"/>
        </w:rPr>
      </w:pPr>
      <w:r>
        <w:rPr>
          <w:sz w:val="24"/>
        </w:rPr>
        <w:t>Within 15 </w:t>
      </w:r>
      <w:r>
        <w:rPr>
          <w:i/>
          <w:sz w:val="24"/>
        </w:rPr>
        <w:t>business days </w:t>
      </w:r>
      <w:r>
        <w:rPr>
          <w:sz w:val="24"/>
        </w:rPr>
        <w:t>of the end of the </w:t>
      </w:r>
      <w:r>
        <w:rPr>
          <w:i/>
          <w:sz w:val="24"/>
        </w:rPr>
        <w:t>reliability gap period</w:t>
      </w:r>
      <w:r>
        <w:rPr>
          <w:sz w:val="24"/>
        </w:rPr>
        <w:t>, </w:t>
      </w:r>
      <w:r>
        <w:rPr>
          <w:i/>
          <w:sz w:val="24"/>
        </w:rPr>
        <w:t>AEMO </w:t>
      </w:r>
      <w:r>
        <w:rPr>
          <w:sz w:val="24"/>
        </w:rPr>
        <w:t>must give written notice to the </w:t>
      </w:r>
      <w:r>
        <w:rPr>
          <w:i/>
          <w:sz w:val="24"/>
        </w:rPr>
        <w:t>AER </w:t>
      </w:r>
      <w:r>
        <w:rPr>
          <w:sz w:val="24"/>
        </w:rPr>
        <w:t>in the form required by the Contracts and Firmness Guidelines of the</w:t>
      </w:r>
      <w:r>
        <w:rPr>
          <w:spacing w:val="-3"/>
          <w:sz w:val="24"/>
        </w:rPr>
        <w:t> </w:t>
      </w:r>
      <w:r>
        <w:rPr>
          <w:sz w:val="24"/>
        </w:rPr>
        <w:t>following:</w:t>
      </w:r>
    </w:p>
    <w:p>
      <w:pPr>
        <w:pStyle w:val="ListParagraph"/>
        <w:numPr>
          <w:ilvl w:val="1"/>
          <w:numId w:val="104"/>
        </w:numPr>
        <w:tabs>
          <w:tab w:pos="2486" w:val="left" w:leader="none"/>
        </w:tabs>
        <w:spacing w:line="240" w:lineRule="auto" w:before="120" w:after="0"/>
        <w:ind w:left="2486" w:right="416" w:hanging="567"/>
        <w:jc w:val="both"/>
        <w:rPr>
          <w:sz w:val="24"/>
        </w:rPr>
      </w:pPr>
      <w:r>
        <w:rPr>
          <w:sz w:val="24"/>
        </w:rPr>
        <w:t>whether or not there are any compliance TIs and if so, which gap trading intervals are a compliance TI;</w:t>
      </w:r>
      <w:r>
        <w:rPr>
          <w:spacing w:val="-2"/>
          <w:sz w:val="24"/>
        </w:rPr>
        <w:t> </w:t>
      </w:r>
      <w:r>
        <w:rPr>
          <w:sz w:val="24"/>
        </w:rPr>
        <w:t>and</w:t>
      </w:r>
    </w:p>
    <w:p>
      <w:pPr>
        <w:pStyle w:val="ListParagraph"/>
        <w:numPr>
          <w:ilvl w:val="1"/>
          <w:numId w:val="104"/>
        </w:numPr>
        <w:tabs>
          <w:tab w:pos="2486" w:val="left" w:leader="none"/>
        </w:tabs>
        <w:spacing w:line="240" w:lineRule="auto" w:before="120" w:after="0"/>
        <w:ind w:left="2486" w:right="416" w:hanging="567"/>
        <w:jc w:val="both"/>
        <w:rPr>
          <w:sz w:val="24"/>
        </w:rPr>
      </w:pPr>
      <w:r>
        <w:rPr>
          <w:sz w:val="24"/>
        </w:rPr>
        <w:t>any other information required by the Contracts and Firmness Guidelines.</w:t>
      </w:r>
    </w:p>
    <w:p>
      <w:pPr>
        <w:pStyle w:val="ListParagraph"/>
        <w:numPr>
          <w:ilvl w:val="0"/>
          <w:numId w:val="104"/>
        </w:numPr>
        <w:tabs>
          <w:tab w:pos="1919" w:val="left" w:leader="none"/>
        </w:tabs>
        <w:spacing w:line="240" w:lineRule="auto" w:before="120" w:after="0"/>
        <w:ind w:left="1918" w:right="0" w:hanging="567"/>
        <w:jc w:val="both"/>
        <w:rPr>
          <w:sz w:val="24"/>
        </w:rPr>
      </w:pPr>
      <w:r>
        <w:rPr>
          <w:i/>
          <w:sz w:val="24"/>
        </w:rPr>
        <w:t>AEMO</w:t>
      </w:r>
      <w:r>
        <w:rPr>
          <w:i/>
          <w:spacing w:val="33"/>
          <w:sz w:val="24"/>
        </w:rPr>
        <w:t> </w:t>
      </w:r>
      <w:r>
        <w:rPr>
          <w:sz w:val="24"/>
        </w:rPr>
        <w:t>must</w:t>
      </w:r>
      <w:r>
        <w:rPr>
          <w:spacing w:val="34"/>
          <w:sz w:val="24"/>
        </w:rPr>
        <w:t> </w:t>
      </w:r>
      <w:r>
        <w:rPr>
          <w:sz w:val="24"/>
        </w:rPr>
        <w:t>publish</w:t>
      </w:r>
      <w:r>
        <w:rPr>
          <w:spacing w:val="33"/>
          <w:sz w:val="24"/>
        </w:rPr>
        <w:t> </w:t>
      </w:r>
      <w:r>
        <w:rPr>
          <w:sz w:val="24"/>
        </w:rPr>
        <w:t>a</w:t>
      </w:r>
      <w:r>
        <w:rPr>
          <w:spacing w:val="34"/>
          <w:sz w:val="24"/>
        </w:rPr>
        <w:t> </w:t>
      </w:r>
      <w:r>
        <w:rPr>
          <w:sz w:val="24"/>
        </w:rPr>
        <w:t>notice</w:t>
      </w:r>
      <w:r>
        <w:rPr>
          <w:spacing w:val="33"/>
          <w:sz w:val="24"/>
        </w:rPr>
        <w:t> </w:t>
      </w:r>
      <w:r>
        <w:rPr>
          <w:sz w:val="24"/>
        </w:rPr>
        <w:t>under</w:t>
      </w:r>
      <w:r>
        <w:rPr>
          <w:spacing w:val="34"/>
          <w:sz w:val="24"/>
        </w:rPr>
        <w:t> </w:t>
      </w:r>
      <w:r>
        <w:rPr>
          <w:sz w:val="24"/>
        </w:rPr>
        <w:t>paragraph</w:t>
      </w:r>
      <w:r>
        <w:rPr>
          <w:spacing w:val="33"/>
          <w:sz w:val="24"/>
        </w:rPr>
        <w:t> </w:t>
      </w:r>
      <w:r>
        <w:rPr>
          <w:sz w:val="24"/>
        </w:rPr>
        <w:t>(a)</w:t>
      </w:r>
      <w:r>
        <w:rPr>
          <w:spacing w:val="34"/>
          <w:sz w:val="24"/>
        </w:rPr>
        <w:t> </w:t>
      </w:r>
      <w:r>
        <w:rPr>
          <w:sz w:val="24"/>
        </w:rPr>
        <w:t>on</w:t>
      </w:r>
      <w:r>
        <w:rPr>
          <w:spacing w:val="33"/>
          <w:sz w:val="24"/>
        </w:rPr>
        <w:t> </w:t>
      </w:r>
      <w:r>
        <w:rPr>
          <w:sz w:val="24"/>
        </w:rPr>
        <w:t>its</w:t>
      </w:r>
      <w:r>
        <w:rPr>
          <w:spacing w:val="34"/>
          <w:sz w:val="24"/>
        </w:rPr>
        <w:t> </w:t>
      </w:r>
      <w:r>
        <w:rPr>
          <w:sz w:val="24"/>
        </w:rPr>
        <w:t>website</w:t>
      </w:r>
      <w:r>
        <w:rPr>
          <w:spacing w:val="33"/>
          <w:sz w:val="24"/>
        </w:rPr>
        <w:t> </w:t>
      </w:r>
      <w:r>
        <w:rPr>
          <w:sz w:val="24"/>
        </w:rPr>
        <w:t>within</w:t>
      </w:r>
      <w:r>
        <w:rPr>
          <w:spacing w:val="34"/>
          <w:sz w:val="24"/>
        </w:rPr>
        <w:t> </w:t>
      </w:r>
      <w:r>
        <w:rPr>
          <w:sz w:val="24"/>
        </w:rPr>
        <w:t>5</w:t>
      </w:r>
    </w:p>
    <w:p>
      <w:pPr>
        <w:spacing w:before="0"/>
        <w:ind w:left="1919" w:right="0" w:firstLine="0"/>
        <w:jc w:val="both"/>
        <w:rPr>
          <w:sz w:val="24"/>
        </w:rPr>
      </w:pPr>
      <w:r>
        <w:rPr>
          <w:i/>
          <w:sz w:val="24"/>
        </w:rPr>
        <w:t>business days </w:t>
      </w:r>
      <w:r>
        <w:rPr>
          <w:sz w:val="24"/>
        </w:rPr>
        <w:t>of submitting it to the </w:t>
      </w:r>
      <w:r>
        <w:rPr>
          <w:i/>
          <w:sz w:val="24"/>
        </w:rPr>
        <w:t>AER</w:t>
      </w:r>
      <w:r>
        <w:rPr>
          <w:sz w:val="24"/>
        </w:rPr>
        <w:t>.</w:t>
      </w:r>
    </w:p>
    <w:p>
      <w:pPr>
        <w:pStyle w:val="BodyText"/>
        <w:spacing w:before="10"/>
        <w:ind w:firstLine="0"/>
        <w:jc w:val="left"/>
        <w:rPr>
          <w:sz w:val="20"/>
        </w:rPr>
      </w:pPr>
    </w:p>
    <w:p>
      <w:pPr>
        <w:pStyle w:val="Heading4"/>
        <w:tabs>
          <w:tab w:pos="1351" w:val="left" w:leader="none"/>
        </w:tabs>
        <w:ind w:left="218" w:firstLine="0"/>
      </w:pPr>
      <w:bookmarkStart w:name="4A.F.5 AEMO compliance report" w:id="222"/>
      <w:bookmarkEnd w:id="222"/>
      <w:r>
        <w:rPr>
          <w:b w:val="0"/>
        </w:rPr>
      </w:r>
      <w:bookmarkStart w:name="_bookmark94" w:id="223"/>
      <w:bookmarkEnd w:id="223"/>
      <w:r>
        <w:rPr>
          <w:b w:val="0"/>
        </w:rPr>
      </w:r>
      <w:r>
        <w:rPr/>
        <w:t>4A.F.5</w:t>
        <w:tab/>
        <w:t>AEMO compliance</w:t>
      </w:r>
      <w:r>
        <w:rPr>
          <w:spacing w:val="-3"/>
        </w:rPr>
        <w:t> </w:t>
      </w:r>
      <w:r>
        <w:rPr/>
        <w:t>report</w:t>
      </w:r>
    </w:p>
    <w:p>
      <w:pPr>
        <w:pStyle w:val="BodyText"/>
        <w:ind w:left="1352" w:right="416" w:firstLine="0"/>
      </w:pPr>
      <w:r>
        <w:rPr/>
        <w:t>If </w:t>
      </w:r>
      <w:r>
        <w:rPr>
          <w:i/>
        </w:rPr>
        <w:t>AEMO </w:t>
      </w:r>
      <w:r>
        <w:rPr/>
        <w:t>has notified the </w:t>
      </w:r>
      <w:r>
        <w:rPr>
          <w:i/>
        </w:rPr>
        <w:t>AER </w:t>
      </w:r>
      <w:r>
        <w:rPr/>
        <w:t>of compliance TIs under clause 4A.F.4, then within 40 weeks after the end of the </w:t>
      </w:r>
      <w:r>
        <w:rPr>
          <w:i/>
        </w:rPr>
        <w:t>reliability gap period</w:t>
      </w:r>
      <w:r>
        <w:rPr/>
        <w:t>, </w:t>
      </w:r>
      <w:r>
        <w:rPr>
          <w:i/>
        </w:rPr>
        <w:t>AEMO </w:t>
      </w:r>
      <w:r>
        <w:rPr/>
        <w:t>must give a written notice to the </w:t>
      </w:r>
      <w:r>
        <w:rPr>
          <w:i/>
        </w:rPr>
        <w:t>AER </w:t>
      </w:r>
      <w:r>
        <w:rPr/>
        <w:t>in the form required by the Contracts and Firmness Guidelines including the following:</w:t>
      </w:r>
    </w:p>
    <w:p>
      <w:pPr>
        <w:pStyle w:val="ListParagraph"/>
        <w:numPr>
          <w:ilvl w:val="0"/>
          <w:numId w:val="105"/>
        </w:numPr>
        <w:tabs>
          <w:tab w:pos="1919" w:val="left" w:leader="none"/>
        </w:tabs>
        <w:spacing w:line="240" w:lineRule="auto" w:before="120" w:after="0"/>
        <w:ind w:left="1918" w:right="0" w:hanging="567"/>
        <w:jc w:val="both"/>
        <w:rPr>
          <w:sz w:val="24"/>
        </w:rPr>
      </w:pPr>
      <w:r>
        <w:rPr>
          <w:sz w:val="24"/>
        </w:rPr>
        <w:t>each liable entity's liable share for each compliance TI;</w:t>
      </w:r>
      <w:r>
        <w:rPr>
          <w:spacing w:val="-4"/>
          <w:sz w:val="24"/>
        </w:rPr>
        <w:t> </w:t>
      </w:r>
      <w:r>
        <w:rPr>
          <w:sz w:val="24"/>
        </w:rPr>
        <w:t>and</w:t>
      </w:r>
    </w:p>
    <w:p>
      <w:pPr>
        <w:pStyle w:val="ListParagraph"/>
        <w:numPr>
          <w:ilvl w:val="0"/>
          <w:numId w:val="105"/>
        </w:numPr>
        <w:tabs>
          <w:tab w:pos="1919" w:val="left" w:leader="none"/>
        </w:tabs>
        <w:spacing w:line="240" w:lineRule="auto" w:before="120" w:after="0"/>
        <w:ind w:left="1918" w:right="0" w:hanging="567"/>
        <w:jc w:val="both"/>
        <w:rPr>
          <w:sz w:val="24"/>
        </w:rPr>
      </w:pPr>
      <w:r>
        <w:rPr>
          <w:sz w:val="24"/>
        </w:rPr>
        <w:t>any other information required by the Contracts and Firmness</w:t>
      </w:r>
      <w:r>
        <w:rPr>
          <w:spacing w:val="-8"/>
          <w:sz w:val="24"/>
        </w:rPr>
        <w:t> </w:t>
      </w:r>
      <w:r>
        <w:rPr>
          <w:sz w:val="24"/>
        </w:rPr>
        <w:t>Guidelines.</w:t>
      </w:r>
    </w:p>
    <w:p>
      <w:pPr>
        <w:pStyle w:val="BodyText"/>
        <w:spacing w:before="10"/>
        <w:ind w:firstLine="0"/>
        <w:jc w:val="left"/>
        <w:rPr>
          <w:sz w:val="20"/>
        </w:rPr>
      </w:pPr>
    </w:p>
    <w:p>
      <w:pPr>
        <w:pStyle w:val="Heading3"/>
        <w:tabs>
          <w:tab w:pos="1656" w:val="left" w:leader="none"/>
        </w:tabs>
        <w:ind w:left="218" w:firstLine="0"/>
      </w:pPr>
      <w:bookmarkStart w:name="Division 4 AER assessment of compliance" w:id="224"/>
      <w:bookmarkEnd w:id="224"/>
      <w:r>
        <w:rPr>
          <w:b w:val="0"/>
        </w:rPr>
      </w:r>
      <w:bookmarkStart w:name="_bookmark95" w:id="225"/>
      <w:bookmarkEnd w:id="225"/>
      <w:r>
        <w:rPr>
          <w:b w:val="0"/>
        </w:rPr>
      </w:r>
      <w:r>
        <w:rPr/>
        <w:t>Division</w:t>
      </w:r>
      <w:r>
        <w:rPr>
          <w:spacing w:val="-4"/>
        </w:rPr>
        <w:t> </w:t>
      </w:r>
      <w:r>
        <w:rPr/>
        <w:t>4</w:t>
        <w:tab/>
        <w:t>AER assessment of</w:t>
      </w:r>
      <w:r>
        <w:rPr>
          <w:spacing w:val="-2"/>
        </w:rPr>
        <w:t> </w:t>
      </w:r>
      <w:r>
        <w:rPr/>
        <w:t>compliance</w:t>
      </w:r>
    </w:p>
    <w:p>
      <w:pPr>
        <w:pStyle w:val="Heading4"/>
        <w:tabs>
          <w:tab w:pos="1351" w:val="left" w:leader="none"/>
        </w:tabs>
        <w:spacing w:before="240"/>
        <w:ind w:left="218" w:firstLine="0"/>
      </w:pPr>
      <w:bookmarkStart w:name="4A.F.6 Reliability Compliance Procedures" w:id="226"/>
      <w:bookmarkEnd w:id="226"/>
      <w:r>
        <w:rPr>
          <w:b w:val="0"/>
        </w:rPr>
      </w:r>
      <w:bookmarkStart w:name="_bookmark96" w:id="227"/>
      <w:bookmarkEnd w:id="227"/>
      <w:r>
        <w:rPr>
          <w:b w:val="0"/>
        </w:rPr>
      </w:r>
      <w:r>
        <w:rPr/>
        <w:t>4A.F.6</w:t>
        <w:tab/>
        <w:t>Reliability Compliance Procedures and</w:t>
      </w:r>
      <w:r>
        <w:rPr>
          <w:spacing w:val="-4"/>
        </w:rPr>
        <w:t> </w:t>
      </w:r>
      <w:r>
        <w:rPr/>
        <w:t>Guidelines</w:t>
      </w:r>
    </w:p>
    <w:p>
      <w:pPr>
        <w:pStyle w:val="ListParagraph"/>
        <w:numPr>
          <w:ilvl w:val="0"/>
          <w:numId w:val="106"/>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make, </w:t>
      </w:r>
      <w:r>
        <w:rPr>
          <w:i/>
          <w:sz w:val="24"/>
        </w:rPr>
        <w:t>publish </w:t>
      </w:r>
      <w:r>
        <w:rPr>
          <w:sz w:val="24"/>
        </w:rPr>
        <w:t>and may amend the Reliability Compliance Procedures and Guidelines in accordance with the </w:t>
      </w:r>
      <w:r>
        <w:rPr>
          <w:i/>
          <w:sz w:val="24"/>
        </w:rPr>
        <w:t>Rules consultation </w:t>
      </w:r>
      <w:r>
        <w:rPr>
          <w:i/>
          <w:sz w:val="24"/>
        </w:rPr>
        <w:t>procedures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Under section 18ZI(1) of the </w:t>
      </w:r>
      <w:r>
        <w:rPr>
          <w:i/>
          <w:sz w:val="20"/>
        </w:rPr>
        <w:t>National Electricity Law</w:t>
      </w:r>
      <w:r>
        <w:rPr>
          <w:sz w:val="20"/>
        </w:rPr>
        <w:t>, the </w:t>
      </w:r>
      <w:r>
        <w:rPr>
          <w:i/>
          <w:sz w:val="20"/>
        </w:rPr>
        <w:t>AER </w:t>
      </w:r>
      <w:r>
        <w:rPr>
          <w:sz w:val="20"/>
        </w:rPr>
        <w:t>must make Reliability Compliance Procedures and Guide lines in accordance with the consultation procedure provided for under the </w:t>
      </w:r>
      <w:r>
        <w:rPr>
          <w:i/>
          <w:sz w:val="20"/>
        </w:rPr>
        <w:t>Rules</w:t>
      </w:r>
      <w:r>
        <w:rPr>
          <w:sz w:val="20"/>
        </w:rPr>
        <w:t>.</w:t>
      </w:r>
    </w:p>
    <w:p>
      <w:pPr>
        <w:pStyle w:val="ListParagraph"/>
        <w:numPr>
          <w:ilvl w:val="0"/>
          <w:numId w:val="106"/>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make minor or administrative amendments to the Reliability Compliance Procedures and Guidelines without complying with the </w:t>
      </w:r>
      <w:r>
        <w:rPr>
          <w:i/>
          <w:sz w:val="24"/>
        </w:rPr>
        <w:t>Rules </w:t>
      </w:r>
      <w:r>
        <w:rPr>
          <w:i/>
          <w:sz w:val="24"/>
        </w:rPr>
        <w:t>consultation</w:t>
      </w:r>
      <w:r>
        <w:rPr>
          <w:i/>
          <w:spacing w:val="-1"/>
          <w:sz w:val="24"/>
        </w:rPr>
        <w:t> </w:t>
      </w:r>
      <w:r>
        <w:rPr>
          <w:i/>
          <w:sz w:val="24"/>
        </w:rPr>
        <w:t>procedures</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4A.F.7 AER assessment" w:id="228"/>
      <w:bookmarkEnd w:id="228"/>
      <w:r>
        <w:rPr>
          <w:b w:val="0"/>
        </w:rPr>
      </w:r>
      <w:bookmarkStart w:name="_bookmark97" w:id="229"/>
      <w:bookmarkEnd w:id="229"/>
      <w:r>
        <w:rPr>
          <w:b w:val="0"/>
        </w:rPr>
      </w:r>
      <w:r>
        <w:rPr/>
        <w:t>4A.F.7</w:t>
        <w:tab/>
        <w:t>AER</w:t>
      </w:r>
      <w:r>
        <w:rPr>
          <w:spacing w:val="-2"/>
        </w:rPr>
        <w:t> </w:t>
      </w:r>
      <w:r>
        <w:rPr/>
        <w:t>assessment</w:t>
      </w:r>
    </w:p>
    <w:p>
      <w:pPr>
        <w:pStyle w:val="ListParagraph"/>
        <w:numPr>
          <w:ilvl w:val="0"/>
          <w:numId w:val="10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assess compliance under section 14R(2) in accordance with the Reliability Compliance Procedures and</w:t>
      </w:r>
      <w:r>
        <w:rPr>
          <w:spacing w:val="-5"/>
          <w:sz w:val="24"/>
        </w:rPr>
        <w:t> </w:t>
      </w:r>
      <w:r>
        <w:rPr>
          <w:sz w:val="24"/>
        </w:rPr>
        <w:t>Guidelines.</w:t>
      </w:r>
    </w:p>
    <w:p>
      <w:pPr>
        <w:pStyle w:val="ListParagraph"/>
        <w:numPr>
          <w:ilvl w:val="0"/>
          <w:numId w:val="107"/>
        </w:numPr>
        <w:tabs>
          <w:tab w:pos="1919" w:val="left" w:leader="none"/>
        </w:tabs>
        <w:spacing w:line="240" w:lineRule="auto" w:before="120" w:after="0"/>
        <w:ind w:left="1919" w:right="416" w:hanging="567"/>
        <w:jc w:val="both"/>
        <w:rPr>
          <w:sz w:val="24"/>
        </w:rPr>
      </w:pPr>
      <w:r>
        <w:rPr>
          <w:sz w:val="24"/>
        </w:rPr>
        <w:t>For the purposes of section 14R(3) of the </w:t>
      </w:r>
      <w:r>
        <w:rPr>
          <w:i/>
          <w:sz w:val="24"/>
        </w:rPr>
        <w:t>National Electricity Law</w:t>
      </w:r>
      <w:r>
        <w:rPr>
          <w:sz w:val="24"/>
        </w:rPr>
        <w:t>, a liable entity's net contract position for a compliance TI</w:t>
      </w:r>
      <w:r>
        <w:rPr>
          <w:spacing w:val="-3"/>
          <w:sz w:val="24"/>
        </w:rPr>
        <w:t> </w:t>
      </w:r>
      <w:r>
        <w:rPr>
          <w:sz w:val="24"/>
        </w:rPr>
        <w:t>is:</w:t>
      </w:r>
    </w:p>
    <w:p>
      <w:pPr>
        <w:pStyle w:val="ListParagraph"/>
        <w:numPr>
          <w:ilvl w:val="1"/>
          <w:numId w:val="107"/>
        </w:numPr>
        <w:tabs>
          <w:tab w:pos="2486" w:val="left" w:leader="none"/>
        </w:tabs>
        <w:spacing w:line="240" w:lineRule="auto" w:before="120" w:after="0"/>
        <w:ind w:left="2486" w:right="414" w:hanging="567"/>
        <w:jc w:val="both"/>
        <w:rPr>
          <w:sz w:val="24"/>
        </w:rPr>
      </w:pPr>
      <w:r>
        <w:rPr>
          <w:sz w:val="24"/>
        </w:rPr>
        <w:t>for a liable entity that is not a new entrant, their net contract position at the contract position day or, if the </w:t>
      </w:r>
      <w:r>
        <w:rPr>
          <w:i/>
          <w:sz w:val="24"/>
        </w:rPr>
        <w:t>AER </w:t>
      </w:r>
      <w:r>
        <w:rPr>
          <w:sz w:val="24"/>
        </w:rPr>
        <w:t>has approved an adjustment, their net contract position at the adjustment day;</w:t>
      </w:r>
      <w:r>
        <w:rPr>
          <w:spacing w:val="-3"/>
          <w:sz w:val="24"/>
        </w:rPr>
        <w:t> </w:t>
      </w:r>
      <w:r>
        <w:rPr>
          <w:sz w:val="24"/>
        </w:rPr>
        <w:t>or</w:t>
      </w:r>
    </w:p>
    <w:p>
      <w:pPr>
        <w:pStyle w:val="ListParagraph"/>
        <w:numPr>
          <w:ilvl w:val="1"/>
          <w:numId w:val="107"/>
        </w:numPr>
        <w:tabs>
          <w:tab w:pos="2486" w:val="left" w:leader="none"/>
        </w:tabs>
        <w:spacing w:line="240" w:lineRule="auto" w:before="120" w:after="0"/>
        <w:ind w:left="2486" w:right="414" w:hanging="567"/>
        <w:jc w:val="both"/>
        <w:rPr>
          <w:sz w:val="24"/>
        </w:rPr>
      </w:pPr>
      <w:r>
        <w:rPr>
          <w:sz w:val="24"/>
        </w:rPr>
        <w:t>for a liable entity that is a new entrant, their net contract position is deemed to be zero at the contract position day and is taken to </w:t>
      </w:r>
      <w:r>
        <w:rPr>
          <w:spacing w:val="-6"/>
          <w:sz w:val="24"/>
        </w:rPr>
        <w:t>be </w:t>
      </w:r>
      <w:r>
        <w:rPr>
          <w:sz w:val="24"/>
        </w:rPr>
        <w:t>adjusted to be the new entrant's net contract position on the </w:t>
      </w:r>
      <w:r>
        <w:rPr>
          <w:spacing w:val="-4"/>
          <w:sz w:val="24"/>
        </w:rPr>
        <w:t>new </w:t>
      </w:r>
      <w:r>
        <w:rPr>
          <w:sz w:val="24"/>
        </w:rPr>
        <w:t>entrant contract position day or, if the </w:t>
      </w:r>
      <w:r>
        <w:rPr>
          <w:i/>
          <w:sz w:val="24"/>
        </w:rPr>
        <w:t>AER </w:t>
      </w:r>
      <w:r>
        <w:rPr>
          <w:sz w:val="24"/>
        </w:rPr>
        <w:t>has approved </w:t>
      </w:r>
      <w:r>
        <w:rPr>
          <w:spacing w:val="-6"/>
          <w:sz w:val="24"/>
        </w:rPr>
        <w:t>an </w:t>
      </w:r>
      <w:r>
        <w:rPr>
          <w:sz w:val="24"/>
        </w:rPr>
        <w:t>adjustment after the new entrant contract position day, their net contract position at the adjustment</w:t>
      </w:r>
      <w:r>
        <w:rPr>
          <w:spacing w:val="-2"/>
          <w:sz w:val="24"/>
        </w:rPr>
        <w:t> </w:t>
      </w:r>
      <w:r>
        <w:rPr>
          <w:sz w:val="24"/>
        </w:rPr>
        <w:t>day,</w:t>
      </w:r>
    </w:p>
    <w:p>
      <w:pPr>
        <w:pStyle w:val="BodyText"/>
        <w:ind w:left="1919" w:right="415" w:firstLine="0"/>
      </w:pPr>
      <w:r>
        <w:rPr/>
        <w:t>in each case as reported by the liable entity or as otherwise determined by the </w:t>
      </w:r>
      <w:r>
        <w:rPr>
          <w:i/>
        </w:rPr>
        <w:t>AER</w:t>
      </w:r>
      <w:r>
        <w:rPr/>
        <w:t>.</w:t>
      </w:r>
    </w:p>
    <w:p>
      <w:pPr>
        <w:pStyle w:val="ListParagraph"/>
        <w:numPr>
          <w:ilvl w:val="0"/>
          <w:numId w:val="107"/>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w:t>
      </w:r>
      <w:r>
        <w:rPr>
          <w:i/>
          <w:spacing w:val="-1"/>
          <w:sz w:val="24"/>
        </w:rPr>
        <w:t> </w:t>
      </w:r>
      <w:r>
        <w:rPr>
          <w:sz w:val="24"/>
        </w:rPr>
        <w:t>must:</w:t>
      </w:r>
    </w:p>
    <w:p>
      <w:pPr>
        <w:pStyle w:val="ListParagraph"/>
        <w:numPr>
          <w:ilvl w:val="1"/>
          <w:numId w:val="107"/>
        </w:numPr>
        <w:tabs>
          <w:tab w:pos="2485" w:val="left" w:leader="none"/>
          <w:tab w:pos="2486" w:val="left" w:leader="none"/>
        </w:tabs>
        <w:spacing w:line="240" w:lineRule="auto" w:before="120" w:after="0"/>
        <w:ind w:left="2486" w:right="414" w:hanging="567"/>
        <w:jc w:val="left"/>
        <w:rPr>
          <w:sz w:val="24"/>
        </w:rPr>
      </w:pPr>
      <w:r>
        <w:rPr>
          <w:sz w:val="24"/>
        </w:rPr>
        <w:t>give written notice to a liable entity if its net contract position is less than the liable entity's liable share for a compliance TI;</w:t>
      </w:r>
      <w:r>
        <w:rPr>
          <w:spacing w:val="-6"/>
          <w:sz w:val="24"/>
        </w:rPr>
        <w:t> </w:t>
      </w:r>
      <w:r>
        <w:rPr>
          <w:sz w:val="24"/>
        </w:rPr>
        <w:t>and</w:t>
      </w:r>
    </w:p>
    <w:p>
      <w:pPr>
        <w:pStyle w:val="ListParagraph"/>
        <w:numPr>
          <w:ilvl w:val="1"/>
          <w:numId w:val="107"/>
        </w:numPr>
        <w:tabs>
          <w:tab w:pos="2485" w:val="left" w:leader="none"/>
          <w:tab w:pos="2486" w:val="left" w:leader="none"/>
        </w:tabs>
        <w:spacing w:line="240" w:lineRule="auto" w:before="120" w:after="0"/>
        <w:ind w:left="2486" w:right="415" w:hanging="567"/>
        <w:jc w:val="left"/>
        <w:rPr>
          <w:sz w:val="24"/>
        </w:rPr>
      </w:pPr>
      <w:r>
        <w:rPr>
          <w:sz w:val="24"/>
        </w:rPr>
        <w:t>give the liable entity an opportunity to respond to the notice before giving a report to </w:t>
      </w:r>
      <w:r>
        <w:rPr>
          <w:i/>
          <w:sz w:val="24"/>
        </w:rPr>
        <w:t>AEMO </w:t>
      </w:r>
      <w:r>
        <w:rPr>
          <w:sz w:val="24"/>
        </w:rPr>
        <w:t>under clause</w:t>
      </w:r>
      <w:r>
        <w:rPr>
          <w:spacing w:val="-1"/>
          <w:sz w:val="24"/>
        </w:rPr>
        <w:t> </w:t>
      </w:r>
      <w:r>
        <w:rPr>
          <w:sz w:val="24"/>
        </w:rPr>
        <w:t>4A.F.8,</w:t>
      </w:r>
    </w:p>
    <w:p>
      <w:pPr>
        <w:pStyle w:val="BodyText"/>
        <w:ind w:left="1919" w:firstLine="0"/>
        <w:jc w:val="left"/>
      </w:pPr>
      <w:r>
        <w:rPr/>
        <w:t>in accordance with the Reliability Compliance Procedures and Guidelines.</w:t>
      </w:r>
    </w:p>
    <w:p>
      <w:pPr>
        <w:pStyle w:val="BodyText"/>
        <w:spacing w:before="10"/>
        <w:ind w:firstLine="0"/>
        <w:jc w:val="left"/>
        <w:rPr>
          <w:sz w:val="20"/>
        </w:rPr>
      </w:pPr>
    </w:p>
    <w:p>
      <w:pPr>
        <w:pStyle w:val="Heading4"/>
        <w:tabs>
          <w:tab w:pos="1351" w:val="left" w:leader="none"/>
        </w:tabs>
        <w:ind w:left="218" w:firstLine="0"/>
      </w:pPr>
      <w:bookmarkStart w:name="4A.F.8 AER notification to AEMO for PoLR" w:id="230"/>
      <w:bookmarkEnd w:id="230"/>
      <w:r>
        <w:rPr>
          <w:b w:val="0"/>
        </w:rPr>
      </w:r>
      <w:bookmarkStart w:name="_bookmark98" w:id="231"/>
      <w:bookmarkEnd w:id="231"/>
      <w:r>
        <w:rPr>
          <w:b w:val="0"/>
        </w:rPr>
      </w:r>
      <w:r>
        <w:rPr/>
        <w:t>4A.F.8</w:t>
        <w:tab/>
        <w:t>AER notification to AEMO for PoLR</w:t>
      </w:r>
      <w:r>
        <w:rPr>
          <w:spacing w:val="-5"/>
        </w:rPr>
        <w:t> </w:t>
      </w:r>
      <w:r>
        <w:rPr/>
        <w:t>costs</w:t>
      </w:r>
    </w:p>
    <w:p>
      <w:pPr>
        <w:pStyle w:val="ListParagraph"/>
        <w:numPr>
          <w:ilvl w:val="0"/>
          <w:numId w:val="108"/>
        </w:numPr>
        <w:tabs>
          <w:tab w:pos="1919" w:val="left" w:leader="none"/>
        </w:tabs>
        <w:spacing w:line="240" w:lineRule="auto" w:before="120" w:after="0"/>
        <w:ind w:left="1919" w:right="413" w:hanging="567"/>
        <w:jc w:val="both"/>
        <w:rPr>
          <w:sz w:val="24"/>
        </w:rPr>
      </w:pPr>
      <w:r>
        <w:rPr>
          <w:sz w:val="24"/>
        </w:rPr>
        <w:t>If a liable entity's net contract position is less than the liable entity's liable share for a compliance TI, the </w:t>
      </w:r>
      <w:r>
        <w:rPr>
          <w:i/>
          <w:sz w:val="24"/>
        </w:rPr>
        <w:t>AER </w:t>
      </w:r>
      <w:r>
        <w:rPr>
          <w:sz w:val="24"/>
        </w:rPr>
        <w:t>must, in accordance with the process  and timeframes of the Reliability Compliance Procedures and Guidelines, give written notice to </w:t>
      </w:r>
      <w:r>
        <w:rPr>
          <w:i/>
          <w:sz w:val="24"/>
        </w:rPr>
        <w:t>AEMO</w:t>
      </w:r>
      <w:r>
        <w:rPr>
          <w:i/>
          <w:spacing w:val="-1"/>
          <w:sz w:val="24"/>
        </w:rPr>
        <w:t> </w:t>
      </w:r>
      <w:r>
        <w:rPr>
          <w:sz w:val="24"/>
        </w:rPr>
        <w:t>of:</w:t>
      </w:r>
    </w:p>
    <w:p>
      <w:pPr>
        <w:pStyle w:val="ListParagraph"/>
        <w:numPr>
          <w:ilvl w:val="1"/>
          <w:numId w:val="108"/>
        </w:numPr>
        <w:tabs>
          <w:tab w:pos="2485" w:val="left" w:leader="none"/>
          <w:tab w:pos="2486" w:val="left" w:leader="none"/>
        </w:tabs>
        <w:spacing w:line="240" w:lineRule="auto" w:before="120" w:after="0"/>
        <w:ind w:left="2485" w:right="0" w:hanging="567"/>
        <w:jc w:val="left"/>
        <w:rPr>
          <w:sz w:val="24"/>
        </w:rPr>
      </w:pPr>
      <w:r>
        <w:rPr>
          <w:sz w:val="24"/>
        </w:rPr>
        <w:t>the identity of that liable entity ("</w:t>
      </w:r>
      <w:r>
        <w:rPr>
          <w:b/>
          <w:sz w:val="24"/>
        </w:rPr>
        <w:t>PoLR liable</w:t>
      </w:r>
      <w:r>
        <w:rPr>
          <w:b/>
          <w:spacing w:val="-2"/>
          <w:sz w:val="24"/>
        </w:rPr>
        <w:t> </w:t>
      </w:r>
      <w:r>
        <w:rPr>
          <w:b/>
          <w:sz w:val="24"/>
        </w:rPr>
        <w:t>entity</w:t>
      </w:r>
      <w:r>
        <w:rPr>
          <w:sz w:val="24"/>
        </w:rPr>
        <w:t>");</w:t>
      </w:r>
    </w:p>
    <w:p>
      <w:pPr>
        <w:pStyle w:val="ListParagraph"/>
        <w:numPr>
          <w:ilvl w:val="1"/>
          <w:numId w:val="108"/>
        </w:numPr>
        <w:tabs>
          <w:tab w:pos="2485" w:val="left" w:leader="none"/>
          <w:tab w:pos="2486" w:val="left" w:leader="none"/>
        </w:tabs>
        <w:spacing w:line="240" w:lineRule="auto" w:before="120" w:after="0"/>
        <w:ind w:left="2486" w:right="415" w:hanging="567"/>
        <w:jc w:val="left"/>
        <w:rPr>
          <w:sz w:val="24"/>
        </w:rPr>
      </w:pPr>
      <w:r>
        <w:rPr>
          <w:sz w:val="24"/>
        </w:rPr>
        <w:t>each gap trading interval for which the liable entity is a </w:t>
      </w:r>
      <w:r>
        <w:rPr>
          <w:i/>
          <w:sz w:val="24"/>
        </w:rPr>
        <w:t>PoLR liable </w:t>
      </w:r>
      <w:r>
        <w:rPr>
          <w:i/>
          <w:sz w:val="24"/>
        </w:rPr>
        <w:t>entity </w:t>
      </w:r>
      <w:r>
        <w:rPr>
          <w:sz w:val="24"/>
        </w:rPr>
        <w:t>("</w:t>
      </w:r>
      <w:r>
        <w:rPr>
          <w:b/>
          <w:sz w:val="24"/>
        </w:rPr>
        <w:t>PoLR</w:t>
      </w:r>
      <w:r>
        <w:rPr>
          <w:b/>
          <w:spacing w:val="-1"/>
          <w:sz w:val="24"/>
        </w:rPr>
        <w:t> </w:t>
      </w:r>
      <w:r>
        <w:rPr>
          <w:b/>
          <w:sz w:val="24"/>
        </w:rPr>
        <w:t>TI</w:t>
      </w:r>
      <w:r>
        <w:rPr>
          <w:sz w:val="24"/>
        </w:rPr>
        <w:t>");</w:t>
      </w:r>
    </w:p>
    <w:p>
      <w:pPr>
        <w:pStyle w:val="ListParagraph"/>
        <w:numPr>
          <w:ilvl w:val="1"/>
          <w:numId w:val="108"/>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uncontracted MW position </w:t>
      </w:r>
      <w:r>
        <w:rPr>
          <w:sz w:val="24"/>
        </w:rPr>
        <w:t>for the </w:t>
      </w:r>
      <w:r>
        <w:rPr>
          <w:i/>
          <w:sz w:val="24"/>
        </w:rPr>
        <w:t>PoLR liable entity </w:t>
      </w:r>
      <w:r>
        <w:rPr>
          <w:sz w:val="24"/>
        </w:rPr>
        <w:t>for</w:t>
      </w:r>
      <w:r>
        <w:rPr>
          <w:spacing w:val="6"/>
          <w:sz w:val="24"/>
        </w:rPr>
        <w:t> </w:t>
      </w:r>
      <w:r>
        <w:rPr>
          <w:sz w:val="24"/>
        </w:rPr>
        <w:t>each</w:t>
      </w:r>
    </w:p>
    <w:p>
      <w:pPr>
        <w:spacing w:before="0"/>
        <w:ind w:left="2486" w:right="0" w:firstLine="0"/>
        <w:jc w:val="left"/>
        <w:rPr>
          <w:sz w:val="24"/>
        </w:rPr>
      </w:pPr>
      <w:r>
        <w:rPr>
          <w:i/>
          <w:sz w:val="24"/>
        </w:rPr>
        <w:t>PoLR TI</w:t>
      </w:r>
      <w:r>
        <w:rPr>
          <w:sz w:val="24"/>
        </w:rPr>
        <w:t>; and</w:t>
      </w:r>
    </w:p>
    <w:p>
      <w:pPr>
        <w:pStyle w:val="ListParagraph"/>
        <w:numPr>
          <w:ilvl w:val="1"/>
          <w:numId w:val="108"/>
        </w:numPr>
        <w:tabs>
          <w:tab w:pos="2485" w:val="left" w:leader="none"/>
          <w:tab w:pos="2486" w:val="left" w:leader="none"/>
        </w:tabs>
        <w:spacing w:line="240" w:lineRule="auto" w:before="120" w:after="0"/>
        <w:ind w:left="2486" w:right="415" w:hanging="567"/>
        <w:jc w:val="left"/>
        <w:rPr>
          <w:sz w:val="24"/>
        </w:rPr>
      </w:pPr>
      <w:r>
        <w:rPr>
          <w:sz w:val="24"/>
        </w:rPr>
        <w:t>any other information required by the Reliability </w:t>
      </w:r>
      <w:r>
        <w:rPr>
          <w:spacing w:val="-3"/>
          <w:sz w:val="24"/>
        </w:rPr>
        <w:t>Compliance </w:t>
      </w:r>
      <w:r>
        <w:rPr>
          <w:sz w:val="24"/>
        </w:rPr>
        <w:t>Procedures and</w:t>
      </w:r>
      <w:r>
        <w:rPr>
          <w:spacing w:val="-2"/>
          <w:sz w:val="24"/>
        </w:rPr>
        <w:t> </w:t>
      </w:r>
      <w:r>
        <w:rPr>
          <w:sz w:val="24"/>
        </w:rPr>
        <w:t>Guidelines,</w:t>
      </w:r>
    </w:p>
    <w:p>
      <w:pPr>
        <w:spacing w:before="120"/>
        <w:ind w:left="1919" w:right="0" w:firstLine="0"/>
        <w:jc w:val="both"/>
        <w:rPr>
          <w:sz w:val="24"/>
        </w:rPr>
      </w:pPr>
      <w:r>
        <w:rPr>
          <w:sz w:val="24"/>
        </w:rPr>
        <w:t>("</w:t>
      </w:r>
      <w:r>
        <w:rPr>
          <w:b/>
          <w:sz w:val="24"/>
        </w:rPr>
        <w:t>AER PoLR report</w:t>
      </w:r>
      <w:r>
        <w:rPr>
          <w:sz w:val="24"/>
        </w:rPr>
        <w:t>").</w:t>
      </w:r>
    </w:p>
    <w:p>
      <w:pPr>
        <w:pStyle w:val="ListParagraph"/>
        <w:numPr>
          <w:ilvl w:val="0"/>
          <w:numId w:val="108"/>
        </w:numPr>
        <w:tabs>
          <w:tab w:pos="1919" w:val="left" w:leader="none"/>
        </w:tabs>
        <w:spacing w:line="240" w:lineRule="auto" w:before="120" w:after="0"/>
        <w:ind w:left="1919" w:right="414" w:hanging="567"/>
        <w:jc w:val="both"/>
        <w:rPr>
          <w:sz w:val="24"/>
        </w:rPr>
      </w:pPr>
      <w:r>
        <w:rPr>
          <w:sz w:val="24"/>
        </w:rPr>
        <w:t>A </w:t>
      </w:r>
      <w:r>
        <w:rPr>
          <w:i/>
          <w:sz w:val="24"/>
        </w:rPr>
        <w:t>PoLR liable entity's uncontracted MW position </w:t>
      </w:r>
      <w:r>
        <w:rPr>
          <w:sz w:val="24"/>
        </w:rPr>
        <w:t>for a </w:t>
      </w:r>
      <w:r>
        <w:rPr>
          <w:i/>
          <w:sz w:val="24"/>
        </w:rPr>
        <w:t>PoLR TI </w:t>
      </w:r>
      <w:r>
        <w:rPr>
          <w:sz w:val="24"/>
        </w:rPr>
        <w:t>is the number of megawatts by which the liable entity's liable share for that </w:t>
      </w:r>
      <w:r>
        <w:rPr>
          <w:i/>
          <w:sz w:val="24"/>
        </w:rPr>
        <w:t>PoLR </w:t>
      </w:r>
      <w:r>
        <w:rPr>
          <w:i/>
          <w:sz w:val="24"/>
        </w:rPr>
        <w:t>TI </w:t>
      </w:r>
      <w:r>
        <w:rPr>
          <w:sz w:val="24"/>
        </w:rPr>
        <w:t>exceeds its net contract position for that </w:t>
      </w:r>
      <w:r>
        <w:rPr>
          <w:i/>
          <w:sz w:val="24"/>
        </w:rPr>
        <w:t>PoLR TI </w:t>
      </w:r>
      <w:r>
        <w:rPr>
          <w:sz w:val="24"/>
        </w:rPr>
        <w:t>("</w:t>
      </w:r>
      <w:r>
        <w:rPr>
          <w:b/>
          <w:sz w:val="24"/>
        </w:rPr>
        <w:t>uncontracted MW position</w:t>
      </w:r>
      <w:r>
        <w:rPr>
          <w:sz w:val="24"/>
        </w:rPr>
        <w:t>").</w:t>
      </w:r>
    </w:p>
    <w:p>
      <w:pPr>
        <w:pStyle w:val="ListParagraph"/>
        <w:numPr>
          <w:ilvl w:val="0"/>
          <w:numId w:val="108"/>
        </w:numPr>
        <w:tabs>
          <w:tab w:pos="1919" w:val="left" w:leader="none"/>
        </w:tabs>
        <w:spacing w:line="240" w:lineRule="auto" w:before="120" w:after="0"/>
        <w:ind w:left="1918" w:right="0" w:hanging="567"/>
        <w:jc w:val="both"/>
        <w:rPr>
          <w:sz w:val="24"/>
        </w:rPr>
      </w:pPr>
      <w:r>
        <w:rPr>
          <w:sz w:val="24"/>
        </w:rPr>
        <w:t>The</w:t>
      </w:r>
      <w:r>
        <w:rPr>
          <w:spacing w:val="7"/>
          <w:sz w:val="24"/>
        </w:rPr>
        <w:t> </w:t>
      </w:r>
      <w:r>
        <w:rPr>
          <w:i/>
          <w:sz w:val="24"/>
        </w:rPr>
        <w:t>AER</w:t>
      </w:r>
      <w:r>
        <w:rPr>
          <w:i/>
          <w:spacing w:val="7"/>
          <w:sz w:val="24"/>
        </w:rPr>
        <w:t> </w:t>
      </w:r>
      <w:r>
        <w:rPr>
          <w:sz w:val="24"/>
        </w:rPr>
        <w:t>must</w:t>
      </w:r>
      <w:r>
        <w:rPr>
          <w:spacing w:val="8"/>
          <w:sz w:val="24"/>
        </w:rPr>
        <w:t> </w:t>
      </w:r>
      <w:r>
        <w:rPr>
          <w:sz w:val="24"/>
        </w:rPr>
        <w:t>publish</w:t>
      </w:r>
      <w:r>
        <w:rPr>
          <w:spacing w:val="7"/>
          <w:sz w:val="24"/>
        </w:rPr>
        <w:t> </w:t>
      </w:r>
      <w:r>
        <w:rPr>
          <w:sz w:val="24"/>
        </w:rPr>
        <w:t>on</w:t>
      </w:r>
      <w:r>
        <w:rPr>
          <w:spacing w:val="7"/>
          <w:sz w:val="24"/>
        </w:rPr>
        <w:t> </w:t>
      </w:r>
      <w:r>
        <w:rPr>
          <w:sz w:val="24"/>
        </w:rPr>
        <w:t>its</w:t>
      </w:r>
      <w:r>
        <w:rPr>
          <w:spacing w:val="8"/>
          <w:sz w:val="24"/>
        </w:rPr>
        <w:t> </w:t>
      </w:r>
      <w:r>
        <w:rPr>
          <w:sz w:val="24"/>
        </w:rPr>
        <w:t>website</w:t>
      </w:r>
      <w:r>
        <w:rPr>
          <w:spacing w:val="7"/>
          <w:sz w:val="24"/>
        </w:rPr>
        <w:t> </w:t>
      </w:r>
      <w:r>
        <w:rPr>
          <w:sz w:val="24"/>
        </w:rPr>
        <w:t>a</w:t>
      </w:r>
      <w:r>
        <w:rPr>
          <w:spacing w:val="8"/>
          <w:sz w:val="24"/>
        </w:rPr>
        <w:t> </w:t>
      </w:r>
      <w:r>
        <w:rPr>
          <w:sz w:val="24"/>
        </w:rPr>
        <w:t>list</w:t>
      </w:r>
      <w:r>
        <w:rPr>
          <w:spacing w:val="7"/>
          <w:sz w:val="24"/>
        </w:rPr>
        <w:t> </w:t>
      </w:r>
      <w:r>
        <w:rPr>
          <w:sz w:val="24"/>
        </w:rPr>
        <w:t>of</w:t>
      </w:r>
      <w:r>
        <w:rPr>
          <w:spacing w:val="7"/>
          <w:sz w:val="24"/>
        </w:rPr>
        <w:t> </w:t>
      </w:r>
      <w:r>
        <w:rPr>
          <w:sz w:val="24"/>
        </w:rPr>
        <w:t>the</w:t>
      </w:r>
      <w:r>
        <w:rPr>
          <w:spacing w:val="8"/>
          <w:sz w:val="24"/>
        </w:rPr>
        <w:t> </w:t>
      </w:r>
      <w:r>
        <w:rPr>
          <w:i/>
          <w:sz w:val="24"/>
        </w:rPr>
        <w:t>PoLR</w:t>
      </w:r>
      <w:r>
        <w:rPr>
          <w:i/>
          <w:spacing w:val="7"/>
          <w:sz w:val="24"/>
        </w:rPr>
        <w:t> </w:t>
      </w:r>
      <w:r>
        <w:rPr>
          <w:i/>
          <w:sz w:val="24"/>
        </w:rPr>
        <w:t>liable</w:t>
      </w:r>
      <w:r>
        <w:rPr>
          <w:i/>
          <w:spacing w:val="8"/>
          <w:sz w:val="24"/>
        </w:rPr>
        <w:t> </w:t>
      </w:r>
      <w:r>
        <w:rPr>
          <w:i/>
          <w:sz w:val="24"/>
        </w:rPr>
        <w:t>entities</w:t>
      </w:r>
      <w:r>
        <w:rPr>
          <w:i/>
          <w:spacing w:val="7"/>
          <w:sz w:val="24"/>
        </w:rPr>
        <w:t> </w:t>
      </w:r>
      <w:r>
        <w:rPr>
          <w:sz w:val="24"/>
        </w:rPr>
        <w:t>in</w:t>
      </w:r>
      <w:r>
        <w:rPr>
          <w:spacing w:val="7"/>
          <w:sz w:val="24"/>
        </w:rPr>
        <w:t> </w:t>
      </w:r>
      <w:r>
        <w:rPr>
          <w:sz w:val="24"/>
        </w:rPr>
        <w:t>the</w:t>
      </w:r>
    </w:p>
    <w:p>
      <w:pPr>
        <w:spacing w:before="0"/>
        <w:ind w:left="1919" w:right="0" w:firstLine="0"/>
        <w:jc w:val="both"/>
        <w:rPr>
          <w:sz w:val="24"/>
        </w:rPr>
      </w:pPr>
      <w:r>
        <w:rPr>
          <w:i/>
          <w:sz w:val="24"/>
        </w:rPr>
        <w:t>AER PoLR report </w:t>
      </w:r>
      <w:r>
        <w:rPr>
          <w:sz w:val="24"/>
        </w:rPr>
        <w:t>within 5 </w:t>
      </w:r>
      <w:r>
        <w:rPr>
          <w:i/>
          <w:sz w:val="24"/>
        </w:rPr>
        <w:t>business days </w:t>
      </w:r>
      <w:r>
        <w:rPr>
          <w:sz w:val="24"/>
        </w:rPr>
        <w:t>of providing the report to </w:t>
      </w:r>
      <w:r>
        <w:rPr>
          <w:i/>
          <w:sz w:val="24"/>
        </w:rPr>
        <w:t>AEMO</w:t>
      </w:r>
      <w:r>
        <w:rPr>
          <w:sz w:val="24"/>
        </w:rPr>
        <w:t>.</w:t>
      </w:r>
    </w:p>
    <w:p>
      <w:pPr>
        <w:spacing w:after="0"/>
        <w:jc w:val="both"/>
        <w:rPr>
          <w:sz w:val="24"/>
        </w:rPr>
        <w:sectPr>
          <w:pgSz w:w="11910" w:h="16840"/>
          <w:pgMar w:header="686" w:footer="637" w:top="1320" w:bottom="820" w:left="1200" w:right="1000"/>
        </w:sectPr>
      </w:pPr>
    </w:p>
    <w:p>
      <w:pPr>
        <w:pStyle w:val="Heading3"/>
        <w:tabs>
          <w:tab w:pos="1656" w:val="left" w:leader="none"/>
        </w:tabs>
        <w:spacing w:before="83"/>
        <w:ind w:left="218" w:firstLine="0"/>
      </w:pPr>
      <w:bookmarkStart w:name="Division 5 Miscellaneous" w:id="232"/>
      <w:bookmarkEnd w:id="232"/>
      <w:r>
        <w:rPr>
          <w:b w:val="0"/>
        </w:rPr>
      </w:r>
      <w:bookmarkStart w:name="_bookmark99" w:id="233"/>
      <w:bookmarkEnd w:id="233"/>
      <w:r>
        <w:rPr>
          <w:b w:val="0"/>
        </w:rPr>
      </w:r>
      <w:r>
        <w:rPr/>
        <w:t>Division</w:t>
      </w:r>
      <w:r>
        <w:rPr>
          <w:spacing w:val="-4"/>
        </w:rPr>
        <w:t> </w:t>
      </w:r>
      <w:r>
        <w:rPr/>
        <w:t>5</w:t>
        <w:tab/>
        <w:t>Miscellaneous</w:t>
      </w:r>
    </w:p>
    <w:p>
      <w:pPr>
        <w:pStyle w:val="Heading4"/>
        <w:tabs>
          <w:tab w:pos="1351" w:val="left" w:leader="none"/>
        </w:tabs>
        <w:spacing w:before="240"/>
        <w:ind w:left="218" w:firstLine="0"/>
      </w:pPr>
      <w:bookmarkStart w:name="4A.F.9 Demand response information" w:id="234"/>
      <w:bookmarkEnd w:id="234"/>
      <w:r>
        <w:rPr>
          <w:b w:val="0"/>
        </w:rPr>
      </w:r>
      <w:bookmarkStart w:name="_bookmark100" w:id="235"/>
      <w:bookmarkEnd w:id="235"/>
      <w:r>
        <w:rPr>
          <w:b w:val="0"/>
        </w:rPr>
      </w:r>
      <w:r>
        <w:rPr/>
        <w:t>4A.F.9</w:t>
        <w:tab/>
        <w:t>Demand response</w:t>
      </w:r>
      <w:r>
        <w:rPr>
          <w:spacing w:val="-1"/>
        </w:rPr>
        <w:t> </w:t>
      </w:r>
      <w:r>
        <w:rPr/>
        <w:t>information</w:t>
      </w:r>
    </w:p>
    <w:p>
      <w:pPr>
        <w:pStyle w:val="BodyText"/>
        <w:ind w:left="1352" w:firstLine="0"/>
      </w:pPr>
      <w:r>
        <w:rPr/>
        <w:t>A liable entity must:</w:t>
      </w:r>
    </w:p>
    <w:p>
      <w:pPr>
        <w:pStyle w:val="ListParagraph"/>
        <w:numPr>
          <w:ilvl w:val="0"/>
          <w:numId w:val="109"/>
        </w:numPr>
        <w:tabs>
          <w:tab w:pos="1919" w:val="left" w:leader="none"/>
        </w:tabs>
        <w:spacing w:line="240" w:lineRule="auto" w:before="120" w:after="0"/>
        <w:ind w:left="1919" w:right="415" w:hanging="567"/>
        <w:jc w:val="both"/>
        <w:rPr>
          <w:sz w:val="24"/>
        </w:rPr>
      </w:pPr>
      <w:r>
        <w:rPr>
          <w:sz w:val="24"/>
        </w:rPr>
        <w:t>maintain records and documents relating to the operation and use of demand side participation contracts or other arrangements that are qualifying contracts (including the </w:t>
      </w:r>
      <w:r>
        <w:rPr>
          <w:i/>
          <w:sz w:val="24"/>
        </w:rPr>
        <w:t>NMIs </w:t>
      </w:r>
      <w:r>
        <w:rPr>
          <w:sz w:val="24"/>
        </w:rPr>
        <w:t>to which they relate);</w:t>
      </w:r>
      <w:r>
        <w:rPr>
          <w:spacing w:val="-1"/>
          <w:sz w:val="24"/>
        </w:rPr>
        <w:t> </w:t>
      </w:r>
      <w:r>
        <w:rPr>
          <w:sz w:val="24"/>
        </w:rPr>
        <w:t>and</w:t>
      </w:r>
    </w:p>
    <w:p>
      <w:pPr>
        <w:pStyle w:val="ListParagraph"/>
        <w:numPr>
          <w:ilvl w:val="0"/>
          <w:numId w:val="109"/>
        </w:numPr>
        <w:tabs>
          <w:tab w:pos="1919" w:val="left" w:leader="none"/>
        </w:tabs>
        <w:spacing w:line="240" w:lineRule="auto" w:before="120" w:after="0"/>
        <w:ind w:left="1918" w:right="0" w:hanging="567"/>
        <w:jc w:val="both"/>
        <w:rPr>
          <w:sz w:val="24"/>
        </w:rPr>
      </w:pPr>
      <w:r>
        <w:rPr>
          <w:sz w:val="24"/>
        </w:rPr>
        <w:t>make these records available to </w:t>
      </w:r>
      <w:r>
        <w:rPr>
          <w:i/>
          <w:sz w:val="24"/>
        </w:rPr>
        <w:t>AEMO </w:t>
      </w:r>
      <w:r>
        <w:rPr>
          <w:sz w:val="24"/>
        </w:rPr>
        <w:t>on</w:t>
      </w:r>
      <w:r>
        <w:rPr>
          <w:spacing w:val="-2"/>
          <w:sz w:val="24"/>
        </w:rPr>
        <w:t> </w:t>
      </w:r>
      <w:r>
        <w:rPr>
          <w:sz w:val="24"/>
        </w:rPr>
        <w:t>request,</w:t>
      </w:r>
    </w:p>
    <w:p>
      <w:pPr>
        <w:spacing w:before="120"/>
        <w:ind w:left="1352" w:right="0" w:firstLine="0"/>
        <w:jc w:val="both"/>
        <w:rPr>
          <w:sz w:val="24"/>
        </w:rPr>
      </w:pPr>
      <w:r>
        <w:rPr>
          <w:sz w:val="24"/>
        </w:rPr>
        <w:t>in each case, in accordance with the </w:t>
      </w:r>
      <w:r>
        <w:rPr>
          <w:i/>
          <w:sz w:val="24"/>
        </w:rPr>
        <w:t>PoLR cost procedures</w:t>
      </w:r>
      <w:r>
        <w:rPr>
          <w:sz w:val="24"/>
        </w:rPr>
        <w:t>.</w:t>
      </w:r>
    </w:p>
    <w:p>
      <w:pPr>
        <w:pStyle w:val="BodyText"/>
        <w:spacing w:before="10"/>
        <w:ind w:firstLine="0"/>
        <w:jc w:val="left"/>
        <w:rPr>
          <w:sz w:val="20"/>
        </w:rPr>
      </w:pPr>
    </w:p>
    <w:p>
      <w:pPr>
        <w:pStyle w:val="Heading4"/>
        <w:tabs>
          <w:tab w:pos="1351" w:val="left" w:leader="none"/>
        </w:tabs>
        <w:ind w:left="218" w:firstLine="0"/>
      </w:pPr>
      <w:bookmarkStart w:name="4A.F.10 PoLR cost procedures" w:id="236"/>
      <w:bookmarkEnd w:id="236"/>
      <w:r>
        <w:rPr>
          <w:b w:val="0"/>
        </w:rPr>
      </w:r>
      <w:bookmarkStart w:name="_bookmark101" w:id="237"/>
      <w:bookmarkEnd w:id="237"/>
      <w:r>
        <w:rPr>
          <w:b w:val="0"/>
        </w:rPr>
      </w:r>
      <w:r>
        <w:rPr/>
        <w:t>4A.F.10</w:t>
        <w:tab/>
        <w:t>PoLR cost</w:t>
      </w:r>
      <w:r>
        <w:rPr>
          <w:spacing w:val="-2"/>
        </w:rPr>
        <w:t> </w:t>
      </w:r>
      <w:r>
        <w:rPr/>
        <w:t>procedures</w:t>
      </w:r>
    </w:p>
    <w:p>
      <w:pPr>
        <w:spacing w:before="120"/>
        <w:ind w:left="1352" w:right="0" w:firstLine="0"/>
        <w:jc w:val="both"/>
        <w:rPr>
          <w:sz w:val="24"/>
        </w:rPr>
      </w:pPr>
      <w:r>
        <w:rPr>
          <w:sz w:val="24"/>
        </w:rPr>
        <w:t>The </w:t>
      </w:r>
      <w:r>
        <w:rPr>
          <w:i/>
          <w:sz w:val="24"/>
        </w:rPr>
        <w:t>PoLR cost procedures </w:t>
      </w:r>
      <w:r>
        <w:rPr>
          <w:sz w:val="24"/>
        </w:rPr>
        <w:t>must include the following:</w:t>
      </w:r>
    </w:p>
    <w:p>
      <w:pPr>
        <w:pStyle w:val="ListParagraph"/>
        <w:numPr>
          <w:ilvl w:val="0"/>
          <w:numId w:val="110"/>
        </w:numPr>
        <w:tabs>
          <w:tab w:pos="1919" w:val="left" w:leader="none"/>
        </w:tabs>
        <w:spacing w:line="240" w:lineRule="auto" w:before="120" w:after="0"/>
        <w:ind w:left="1919" w:right="415" w:hanging="567"/>
        <w:jc w:val="both"/>
        <w:rPr>
          <w:sz w:val="24"/>
        </w:rPr>
      </w:pPr>
      <w:r>
        <w:rPr>
          <w:sz w:val="24"/>
        </w:rPr>
        <w:t>how a liable entity's measured actual demand response will be determined for a </w:t>
      </w:r>
      <w:r>
        <w:rPr>
          <w:i/>
          <w:sz w:val="24"/>
        </w:rPr>
        <w:t>trading</w:t>
      </w:r>
      <w:r>
        <w:rPr>
          <w:i/>
          <w:spacing w:val="-1"/>
          <w:sz w:val="24"/>
        </w:rPr>
        <w:t> </w:t>
      </w:r>
      <w:r>
        <w:rPr>
          <w:i/>
          <w:sz w:val="24"/>
        </w:rPr>
        <w:t>interval</w:t>
      </w:r>
      <w:r>
        <w:rPr>
          <w:sz w:val="24"/>
        </w:rPr>
        <w:t>;</w:t>
      </w:r>
    </w:p>
    <w:p>
      <w:pPr>
        <w:pStyle w:val="ListParagraph"/>
        <w:numPr>
          <w:ilvl w:val="0"/>
          <w:numId w:val="110"/>
        </w:numPr>
        <w:tabs>
          <w:tab w:pos="1919" w:val="left" w:leader="none"/>
        </w:tabs>
        <w:spacing w:line="240" w:lineRule="auto" w:before="120" w:after="0"/>
        <w:ind w:left="1919" w:right="415" w:hanging="567"/>
        <w:jc w:val="both"/>
        <w:rPr>
          <w:sz w:val="24"/>
        </w:rPr>
      </w:pPr>
      <w:r>
        <w:rPr>
          <w:sz w:val="24"/>
        </w:rPr>
        <w:t>the records a liable entity must maintain in respect of activating demand  side participation contracts or other arrangements which are qualifying contracts; and</w:t>
      </w:r>
    </w:p>
    <w:p>
      <w:pPr>
        <w:pStyle w:val="ListParagraph"/>
        <w:numPr>
          <w:ilvl w:val="0"/>
          <w:numId w:val="110"/>
        </w:numPr>
        <w:tabs>
          <w:tab w:pos="1919" w:val="left" w:leader="none"/>
        </w:tabs>
        <w:spacing w:line="240" w:lineRule="auto" w:before="120" w:after="0"/>
        <w:ind w:left="1919" w:right="414" w:hanging="567"/>
        <w:jc w:val="both"/>
        <w:rPr>
          <w:sz w:val="24"/>
        </w:rPr>
      </w:pPr>
      <w:r>
        <w:rPr>
          <w:sz w:val="24"/>
        </w:rPr>
        <w:t>how a liable entity's liable load and liable share for each </w:t>
      </w:r>
      <w:r>
        <w:rPr>
          <w:i/>
          <w:sz w:val="24"/>
        </w:rPr>
        <w:t>compliance TI </w:t>
      </w:r>
      <w:r>
        <w:rPr>
          <w:sz w:val="24"/>
        </w:rPr>
        <w:t>is determined.</w:t>
      </w:r>
    </w:p>
    <w:p>
      <w:pPr>
        <w:pStyle w:val="BodyText"/>
        <w:spacing w:before="10"/>
        <w:ind w:firstLine="0"/>
        <w:jc w:val="left"/>
        <w:rPr>
          <w:sz w:val="20"/>
        </w:rPr>
      </w:pPr>
    </w:p>
    <w:p>
      <w:pPr>
        <w:pStyle w:val="Heading2"/>
        <w:tabs>
          <w:tab w:pos="1352" w:val="left" w:leader="none"/>
          <w:tab w:pos="9317" w:val="left" w:leader="none"/>
        </w:tabs>
      </w:pPr>
      <w:bookmarkStart w:name="Part G Market Liquidity Obligation" w:id="238"/>
      <w:bookmarkEnd w:id="238"/>
      <w:r>
        <w:rPr>
          <w:b w:val="0"/>
        </w:rPr>
      </w:r>
      <w:bookmarkStart w:name="_bookmark102" w:id="239"/>
      <w:bookmarkEnd w:id="239"/>
      <w:r>
        <w:rPr>
          <w:b w:val="0"/>
        </w:rPr>
      </w:r>
      <w:r>
        <w:rPr>
          <w:shd w:fill="D9D9D9" w:color="auto" w:val="clear"/>
        </w:rPr>
        <w:t>Part G</w:t>
        <w:tab/>
        <w:t>Market Liquidity</w:t>
      </w:r>
      <w:r>
        <w:rPr>
          <w:spacing w:val="-3"/>
          <w:shd w:fill="D9D9D9" w:color="auto" w:val="clear"/>
        </w:rPr>
        <w:t> </w:t>
      </w:r>
      <w:r>
        <w:rPr>
          <w:shd w:fill="D9D9D9" w:color="auto" w:val="clear"/>
        </w:rPr>
        <w:t>Obligation</w:t>
        <w:tab/>
      </w:r>
    </w:p>
    <w:p>
      <w:pPr>
        <w:pStyle w:val="Heading3"/>
        <w:tabs>
          <w:tab w:pos="1656" w:val="left" w:leader="none"/>
        </w:tabs>
        <w:spacing w:before="240"/>
        <w:ind w:left="218" w:firstLine="0"/>
      </w:pPr>
      <w:bookmarkStart w:name="Division 1 Preliminary" w:id="240"/>
      <w:bookmarkEnd w:id="240"/>
      <w:r>
        <w:rPr>
          <w:b w:val="0"/>
        </w:rPr>
      </w:r>
      <w:bookmarkStart w:name="_bookmark103" w:id="241"/>
      <w:bookmarkEnd w:id="241"/>
      <w:r>
        <w:rPr>
          <w:b w:val="0"/>
        </w:rPr>
      </w:r>
      <w:r>
        <w:rPr/>
        <w:t>Division</w:t>
      </w:r>
      <w:r>
        <w:rPr>
          <w:spacing w:val="-4"/>
        </w:rPr>
        <w:t> </w:t>
      </w:r>
      <w:r>
        <w:rPr/>
        <w:t>1</w:t>
        <w:tab/>
        <w:t>Preliminary</w:t>
      </w:r>
    </w:p>
    <w:p>
      <w:pPr>
        <w:pStyle w:val="Heading4"/>
        <w:tabs>
          <w:tab w:pos="1351" w:val="left" w:leader="none"/>
        </w:tabs>
        <w:spacing w:before="240"/>
        <w:ind w:left="218" w:firstLine="0"/>
      </w:pPr>
      <w:bookmarkStart w:name="4A.G.1 Overview of Part G" w:id="242"/>
      <w:bookmarkEnd w:id="242"/>
      <w:r>
        <w:rPr>
          <w:b w:val="0"/>
        </w:rPr>
      </w:r>
      <w:bookmarkStart w:name="_bookmark104" w:id="243"/>
      <w:bookmarkEnd w:id="243"/>
      <w:r>
        <w:rPr>
          <w:b w:val="0"/>
        </w:rPr>
      </w:r>
      <w:r>
        <w:rPr/>
        <w:t>4A.G.1</w:t>
        <w:tab/>
        <w:t>Overview of Part G</w:t>
      </w:r>
    </w:p>
    <w:p>
      <w:pPr>
        <w:pStyle w:val="ListParagraph"/>
        <w:numPr>
          <w:ilvl w:val="0"/>
          <w:numId w:val="111"/>
        </w:numPr>
        <w:tabs>
          <w:tab w:pos="1919" w:val="left" w:leader="none"/>
        </w:tabs>
        <w:spacing w:line="240" w:lineRule="auto" w:before="120" w:after="0"/>
        <w:ind w:left="1919" w:right="415" w:hanging="567"/>
        <w:jc w:val="both"/>
        <w:rPr>
          <w:sz w:val="24"/>
        </w:rPr>
      </w:pPr>
      <w:r>
        <w:rPr>
          <w:sz w:val="24"/>
        </w:rPr>
        <w:t>The purpose of this Part G is to facilitate transparency and liquidity in the trading of electricity futures contracts relating to a forecast reliability gap period.</w:t>
      </w:r>
    </w:p>
    <w:p>
      <w:pPr>
        <w:pStyle w:val="ListParagraph"/>
        <w:numPr>
          <w:ilvl w:val="0"/>
          <w:numId w:val="111"/>
        </w:numPr>
        <w:tabs>
          <w:tab w:pos="1919" w:val="left" w:leader="none"/>
        </w:tabs>
        <w:spacing w:line="240" w:lineRule="auto" w:before="120" w:after="0"/>
        <w:ind w:left="1919" w:right="415" w:hanging="567"/>
        <w:jc w:val="both"/>
        <w:rPr>
          <w:sz w:val="24"/>
        </w:rPr>
      </w:pPr>
      <w:r>
        <w:rPr>
          <w:sz w:val="24"/>
        </w:rPr>
        <w:t>For the duration of a liquidity period in a </w:t>
      </w:r>
      <w:r>
        <w:rPr>
          <w:i/>
          <w:sz w:val="24"/>
        </w:rPr>
        <w:t>region</w:t>
      </w:r>
      <w:r>
        <w:rPr>
          <w:sz w:val="24"/>
        </w:rPr>
        <w:t>, each MLO generator must offer to buy and sell MLO products on a MLO exchange as required under this Part</w:t>
      </w:r>
      <w:r>
        <w:rPr>
          <w:spacing w:val="-2"/>
          <w:sz w:val="24"/>
        </w:rPr>
        <w:t> </w:t>
      </w:r>
      <w:r>
        <w:rPr>
          <w:sz w:val="24"/>
        </w:rPr>
        <w:t>G.</w:t>
      </w:r>
    </w:p>
    <w:p>
      <w:pPr>
        <w:pStyle w:val="ListParagraph"/>
        <w:numPr>
          <w:ilvl w:val="0"/>
          <w:numId w:val="111"/>
        </w:numPr>
        <w:tabs>
          <w:tab w:pos="1919" w:val="left" w:leader="none"/>
        </w:tabs>
        <w:spacing w:line="240" w:lineRule="auto" w:before="120" w:after="0"/>
        <w:ind w:left="1918" w:right="0" w:hanging="567"/>
        <w:jc w:val="both"/>
        <w:rPr>
          <w:sz w:val="24"/>
        </w:rPr>
      </w:pPr>
      <w:r>
        <w:rPr>
          <w:sz w:val="24"/>
        </w:rPr>
        <w:t>Division</w:t>
      </w:r>
      <w:r>
        <w:rPr>
          <w:spacing w:val="14"/>
          <w:sz w:val="24"/>
        </w:rPr>
        <w:t> </w:t>
      </w:r>
      <w:r>
        <w:rPr>
          <w:sz w:val="24"/>
        </w:rPr>
        <w:t>2</w:t>
      </w:r>
      <w:r>
        <w:rPr>
          <w:spacing w:val="15"/>
          <w:sz w:val="24"/>
        </w:rPr>
        <w:t> </w:t>
      </w:r>
      <w:r>
        <w:rPr>
          <w:sz w:val="24"/>
        </w:rPr>
        <w:t>specifies</w:t>
      </w:r>
      <w:r>
        <w:rPr>
          <w:spacing w:val="15"/>
          <w:sz w:val="24"/>
        </w:rPr>
        <w:t> </w:t>
      </w:r>
      <w:r>
        <w:rPr>
          <w:sz w:val="24"/>
        </w:rPr>
        <w:t>how</w:t>
      </w:r>
      <w:r>
        <w:rPr>
          <w:spacing w:val="15"/>
          <w:sz w:val="24"/>
        </w:rPr>
        <w:t> </w:t>
      </w:r>
      <w:r>
        <w:rPr>
          <w:sz w:val="24"/>
        </w:rPr>
        <w:t>this</w:t>
      </w:r>
      <w:r>
        <w:rPr>
          <w:spacing w:val="15"/>
          <w:sz w:val="24"/>
        </w:rPr>
        <w:t> </w:t>
      </w:r>
      <w:r>
        <w:rPr>
          <w:sz w:val="24"/>
        </w:rPr>
        <w:t>Part</w:t>
      </w:r>
      <w:r>
        <w:rPr>
          <w:spacing w:val="15"/>
          <w:sz w:val="24"/>
        </w:rPr>
        <w:t> </w:t>
      </w:r>
      <w:r>
        <w:rPr>
          <w:sz w:val="24"/>
        </w:rPr>
        <w:t>applies</w:t>
      </w:r>
      <w:r>
        <w:rPr>
          <w:spacing w:val="15"/>
          <w:sz w:val="24"/>
        </w:rPr>
        <w:t> </w:t>
      </w:r>
      <w:r>
        <w:rPr>
          <w:sz w:val="24"/>
        </w:rPr>
        <w:t>to</w:t>
      </w:r>
      <w:r>
        <w:rPr>
          <w:spacing w:val="15"/>
          <w:sz w:val="24"/>
        </w:rPr>
        <w:t> </w:t>
      </w:r>
      <w:r>
        <w:rPr>
          <w:i/>
          <w:sz w:val="24"/>
        </w:rPr>
        <w:t>Market</w:t>
      </w:r>
      <w:r>
        <w:rPr>
          <w:i/>
          <w:spacing w:val="14"/>
          <w:sz w:val="24"/>
        </w:rPr>
        <w:t> </w:t>
      </w:r>
      <w:r>
        <w:rPr>
          <w:i/>
          <w:sz w:val="24"/>
        </w:rPr>
        <w:t>Generators</w:t>
      </w:r>
      <w:r>
        <w:rPr>
          <w:i/>
          <w:spacing w:val="15"/>
          <w:sz w:val="24"/>
        </w:rPr>
        <w:t> </w:t>
      </w:r>
      <w:r>
        <w:rPr>
          <w:sz w:val="24"/>
        </w:rPr>
        <w:t>and</w:t>
      </w:r>
      <w:r>
        <w:rPr>
          <w:spacing w:val="15"/>
          <w:sz w:val="24"/>
        </w:rPr>
        <w:t> </w:t>
      </w:r>
      <w:r>
        <w:rPr>
          <w:sz w:val="24"/>
        </w:rPr>
        <w:t>how</w:t>
      </w:r>
      <w:r>
        <w:rPr>
          <w:spacing w:val="15"/>
          <w:sz w:val="24"/>
        </w:rPr>
        <w:t> </w:t>
      </w:r>
      <w:r>
        <w:rPr>
          <w:sz w:val="24"/>
        </w:rPr>
        <w:t>a</w:t>
      </w:r>
    </w:p>
    <w:p>
      <w:pPr>
        <w:spacing w:before="0"/>
        <w:ind w:left="1919" w:right="0" w:firstLine="0"/>
        <w:jc w:val="both"/>
        <w:rPr>
          <w:sz w:val="24"/>
        </w:rPr>
      </w:pPr>
      <w:r>
        <w:rPr>
          <w:i/>
          <w:sz w:val="24"/>
        </w:rPr>
        <w:t>Market Generator's </w:t>
      </w:r>
      <w:r>
        <w:rPr>
          <w:sz w:val="24"/>
        </w:rPr>
        <w:t>trading right holder is identified.</w:t>
      </w:r>
    </w:p>
    <w:p>
      <w:pPr>
        <w:pStyle w:val="ListParagraph"/>
        <w:numPr>
          <w:ilvl w:val="0"/>
          <w:numId w:val="111"/>
        </w:numPr>
        <w:tabs>
          <w:tab w:pos="1919" w:val="left" w:leader="none"/>
        </w:tabs>
        <w:spacing w:line="240" w:lineRule="auto" w:before="120" w:after="0"/>
        <w:ind w:left="1919" w:right="416" w:hanging="567"/>
        <w:jc w:val="both"/>
        <w:rPr>
          <w:sz w:val="24"/>
        </w:rPr>
      </w:pPr>
      <w:r>
        <w:rPr>
          <w:sz w:val="24"/>
        </w:rPr>
        <w:t>Division 3 provides for how a trading right holder is taken to be a member of one or more trading</w:t>
      </w:r>
      <w:r>
        <w:rPr>
          <w:spacing w:val="-1"/>
          <w:sz w:val="24"/>
        </w:rPr>
        <w:t> </w:t>
      </w:r>
      <w:r>
        <w:rPr>
          <w:sz w:val="24"/>
        </w:rPr>
        <w:t>groups.</w:t>
      </w:r>
    </w:p>
    <w:p>
      <w:pPr>
        <w:pStyle w:val="ListParagraph"/>
        <w:numPr>
          <w:ilvl w:val="0"/>
          <w:numId w:val="111"/>
        </w:numPr>
        <w:tabs>
          <w:tab w:pos="1919" w:val="left" w:leader="none"/>
        </w:tabs>
        <w:spacing w:line="240" w:lineRule="auto" w:before="120" w:after="0"/>
        <w:ind w:left="1919" w:right="414" w:hanging="567"/>
        <w:jc w:val="both"/>
        <w:rPr>
          <w:sz w:val="24"/>
        </w:rPr>
      </w:pPr>
      <w:r>
        <w:rPr>
          <w:sz w:val="24"/>
        </w:rPr>
        <w:t>Division 4 sets out how a </w:t>
      </w:r>
      <w:r>
        <w:rPr>
          <w:i/>
          <w:sz w:val="24"/>
        </w:rPr>
        <w:t>Market Generator's </w:t>
      </w:r>
      <w:r>
        <w:rPr>
          <w:sz w:val="24"/>
        </w:rPr>
        <w:t>generator capacity is allocated to a trading group, for the purposes of assessing each trading group's market share of </w:t>
      </w:r>
      <w:r>
        <w:rPr>
          <w:i/>
          <w:sz w:val="24"/>
        </w:rPr>
        <w:t>generation </w:t>
      </w:r>
      <w:r>
        <w:rPr>
          <w:sz w:val="24"/>
        </w:rPr>
        <w:t>in a</w:t>
      </w:r>
      <w:r>
        <w:rPr>
          <w:spacing w:val="-2"/>
          <w:sz w:val="24"/>
        </w:rPr>
        <w:t> </w:t>
      </w:r>
      <w:r>
        <w:rPr>
          <w:i/>
          <w:sz w:val="24"/>
        </w:rPr>
        <w:t>region</w:t>
      </w:r>
      <w:r>
        <w:rPr>
          <w:sz w:val="24"/>
        </w:rPr>
        <w:t>.</w:t>
      </w:r>
    </w:p>
    <w:p>
      <w:pPr>
        <w:pStyle w:val="ListParagraph"/>
        <w:numPr>
          <w:ilvl w:val="0"/>
          <w:numId w:val="111"/>
        </w:numPr>
        <w:tabs>
          <w:tab w:pos="1920" w:val="left" w:leader="none"/>
        </w:tabs>
        <w:spacing w:line="240" w:lineRule="auto" w:before="120" w:after="0"/>
        <w:ind w:left="1919" w:right="417" w:hanging="567"/>
        <w:jc w:val="both"/>
        <w:rPr>
          <w:sz w:val="24"/>
        </w:rPr>
      </w:pPr>
      <w:r>
        <w:rPr>
          <w:sz w:val="24"/>
        </w:rPr>
        <w:t>Division 5 determines which </w:t>
      </w:r>
      <w:r>
        <w:rPr>
          <w:i/>
          <w:sz w:val="24"/>
        </w:rPr>
        <w:t>Market Generators </w:t>
      </w:r>
      <w:r>
        <w:rPr>
          <w:sz w:val="24"/>
        </w:rPr>
        <w:t>are taken to be MLO generators and are required to comply with a liquidity</w:t>
      </w:r>
      <w:r>
        <w:rPr>
          <w:spacing w:val="-4"/>
          <w:sz w:val="24"/>
        </w:rPr>
        <w:t> </w:t>
      </w:r>
      <w:r>
        <w:rPr>
          <w:sz w:val="24"/>
        </w:rPr>
        <w:t>obligation.</w:t>
      </w:r>
    </w:p>
    <w:p>
      <w:pPr>
        <w:pStyle w:val="ListParagraph"/>
        <w:numPr>
          <w:ilvl w:val="0"/>
          <w:numId w:val="111"/>
        </w:numPr>
        <w:tabs>
          <w:tab w:pos="1919" w:val="left" w:leader="none"/>
        </w:tabs>
        <w:spacing w:line="240" w:lineRule="auto" w:before="120" w:after="0"/>
        <w:ind w:left="1919" w:right="414" w:hanging="567"/>
        <w:jc w:val="both"/>
        <w:rPr>
          <w:sz w:val="24"/>
        </w:rPr>
      </w:pPr>
      <w:r>
        <w:rPr>
          <w:sz w:val="24"/>
        </w:rPr>
        <w:t>Division 6 provides for the </w:t>
      </w:r>
      <w:r>
        <w:rPr>
          <w:i/>
          <w:sz w:val="24"/>
        </w:rPr>
        <w:t>AER </w:t>
      </w:r>
      <w:r>
        <w:rPr>
          <w:sz w:val="24"/>
        </w:rPr>
        <w:t>to maintain a MLO register of each MLO generator, each MLO group and the trading group capacity of each trading group.</w:t>
      </w:r>
    </w:p>
    <w:p>
      <w:pPr>
        <w:spacing w:after="0" w:line="240" w:lineRule="auto"/>
        <w:jc w:val="both"/>
        <w:rPr>
          <w:sz w:val="24"/>
        </w:rPr>
        <w:sectPr>
          <w:pgSz w:w="11910" w:h="16840"/>
          <w:pgMar w:header="686" w:footer="637" w:top="1320" w:bottom="820" w:left="1200" w:right="1000"/>
        </w:sectPr>
      </w:pPr>
    </w:p>
    <w:p>
      <w:pPr>
        <w:pStyle w:val="ListParagraph"/>
        <w:numPr>
          <w:ilvl w:val="0"/>
          <w:numId w:val="111"/>
        </w:numPr>
        <w:tabs>
          <w:tab w:pos="1919" w:val="left" w:leader="none"/>
        </w:tabs>
        <w:spacing w:line="240" w:lineRule="auto" w:before="83" w:after="0"/>
        <w:ind w:left="1919" w:right="417" w:hanging="567"/>
        <w:jc w:val="both"/>
        <w:rPr>
          <w:sz w:val="24"/>
        </w:rPr>
      </w:pPr>
      <w:r>
        <w:rPr>
          <w:sz w:val="24"/>
        </w:rPr>
        <w:t>Division 7 specifies when a liquidity period starts and ends, and the notices the </w:t>
      </w:r>
      <w:r>
        <w:rPr>
          <w:i/>
          <w:sz w:val="24"/>
        </w:rPr>
        <w:t>AER </w:t>
      </w:r>
      <w:r>
        <w:rPr>
          <w:sz w:val="24"/>
        </w:rPr>
        <w:t>must give prior to, at the start, and at the end of a liquidity</w:t>
      </w:r>
      <w:r>
        <w:rPr>
          <w:spacing w:val="-8"/>
          <w:sz w:val="24"/>
        </w:rPr>
        <w:t> </w:t>
      </w:r>
      <w:r>
        <w:rPr>
          <w:sz w:val="24"/>
        </w:rPr>
        <w:t>period.</w:t>
      </w:r>
    </w:p>
    <w:p>
      <w:pPr>
        <w:pStyle w:val="ListParagraph"/>
        <w:numPr>
          <w:ilvl w:val="0"/>
          <w:numId w:val="111"/>
        </w:numPr>
        <w:tabs>
          <w:tab w:pos="1919" w:val="left" w:leader="none"/>
        </w:tabs>
        <w:spacing w:line="240" w:lineRule="auto" w:before="120" w:after="0"/>
        <w:ind w:left="1919" w:right="414" w:hanging="567"/>
        <w:jc w:val="both"/>
        <w:rPr>
          <w:sz w:val="24"/>
        </w:rPr>
      </w:pPr>
      <w:r>
        <w:rPr>
          <w:sz w:val="24"/>
        </w:rPr>
        <w:t>Division 8 imposes a liquidity obligation on a MLO generator, and sets out the manner in which it must be performed and the process for appointing MLO nominees to perform the liquidity</w:t>
      </w:r>
      <w:r>
        <w:rPr>
          <w:spacing w:val="-2"/>
          <w:sz w:val="24"/>
        </w:rPr>
        <w:t> </w:t>
      </w:r>
      <w:r>
        <w:rPr>
          <w:sz w:val="24"/>
        </w:rPr>
        <w:t>obligation.</w:t>
      </w:r>
    </w:p>
    <w:p>
      <w:pPr>
        <w:pStyle w:val="ListParagraph"/>
        <w:numPr>
          <w:ilvl w:val="0"/>
          <w:numId w:val="111"/>
        </w:numPr>
        <w:tabs>
          <w:tab w:pos="1919" w:val="left" w:leader="none"/>
        </w:tabs>
        <w:spacing w:line="240" w:lineRule="auto" w:before="120" w:after="0"/>
        <w:ind w:left="1919" w:right="416" w:hanging="567"/>
        <w:jc w:val="both"/>
        <w:rPr>
          <w:sz w:val="24"/>
        </w:rPr>
      </w:pPr>
      <w:r>
        <w:rPr>
          <w:sz w:val="24"/>
        </w:rPr>
        <w:t>Division 9 specifies the type of electricity futures contracts which constitute MLO products and the MLO exchange on which they must be</w:t>
      </w:r>
      <w:r>
        <w:rPr>
          <w:spacing w:val="-9"/>
          <w:sz w:val="24"/>
        </w:rPr>
        <w:t> </w:t>
      </w:r>
      <w:r>
        <w:rPr>
          <w:sz w:val="24"/>
        </w:rPr>
        <w:t>offered.</w:t>
      </w:r>
    </w:p>
    <w:p>
      <w:pPr>
        <w:pStyle w:val="ListParagraph"/>
        <w:numPr>
          <w:ilvl w:val="0"/>
          <w:numId w:val="111"/>
        </w:numPr>
        <w:tabs>
          <w:tab w:pos="1919" w:val="left" w:leader="none"/>
        </w:tabs>
        <w:spacing w:line="240" w:lineRule="auto" w:before="120" w:after="0"/>
        <w:ind w:left="1918" w:right="0" w:hanging="567"/>
        <w:jc w:val="both"/>
        <w:rPr>
          <w:sz w:val="24"/>
        </w:rPr>
      </w:pPr>
      <w:r>
        <w:rPr>
          <w:sz w:val="24"/>
        </w:rPr>
        <w:t>Division 10 deals with compliance and the making of the MLO</w:t>
      </w:r>
      <w:r>
        <w:rPr>
          <w:spacing w:val="-12"/>
          <w:sz w:val="24"/>
        </w:rPr>
        <w:t> </w:t>
      </w:r>
      <w:r>
        <w:rPr>
          <w:sz w:val="24"/>
        </w:rPr>
        <w:t>Guidelines.</w:t>
      </w:r>
    </w:p>
    <w:p>
      <w:pPr>
        <w:pStyle w:val="BodyText"/>
        <w:spacing w:before="10"/>
        <w:ind w:firstLine="0"/>
        <w:jc w:val="left"/>
        <w:rPr>
          <w:sz w:val="20"/>
        </w:rPr>
      </w:pPr>
    </w:p>
    <w:p>
      <w:pPr>
        <w:pStyle w:val="Heading4"/>
        <w:tabs>
          <w:tab w:pos="1351" w:val="left" w:leader="none"/>
        </w:tabs>
        <w:ind w:left="218" w:firstLine="0"/>
      </w:pPr>
      <w:bookmarkStart w:name="4A.G.2 Purpose and application" w:id="244"/>
      <w:bookmarkEnd w:id="244"/>
      <w:r>
        <w:rPr>
          <w:b w:val="0"/>
        </w:rPr>
      </w:r>
      <w:bookmarkStart w:name="_bookmark105" w:id="245"/>
      <w:bookmarkEnd w:id="245"/>
      <w:r>
        <w:rPr>
          <w:b w:val="0"/>
        </w:rPr>
      </w:r>
      <w:r>
        <w:rPr/>
        <w:t>4A.G.2</w:t>
        <w:tab/>
        <w:t>Purpose and</w:t>
      </w:r>
      <w:r>
        <w:rPr>
          <w:spacing w:val="-2"/>
        </w:rPr>
        <w:t> </w:t>
      </w:r>
      <w:r>
        <w:rPr/>
        <w:t>application</w:t>
      </w:r>
    </w:p>
    <w:p>
      <w:pPr>
        <w:pStyle w:val="ListParagraph"/>
        <w:numPr>
          <w:ilvl w:val="0"/>
          <w:numId w:val="112"/>
        </w:numPr>
        <w:tabs>
          <w:tab w:pos="1919" w:val="left" w:leader="none"/>
        </w:tabs>
        <w:spacing w:line="240" w:lineRule="auto" w:before="120" w:after="0"/>
        <w:ind w:left="1918" w:right="0" w:hanging="567"/>
        <w:jc w:val="both"/>
        <w:rPr>
          <w:sz w:val="24"/>
        </w:rPr>
      </w:pPr>
      <w:r>
        <w:rPr>
          <w:sz w:val="24"/>
        </w:rPr>
        <w:t>This Part G does not apply in the Tasmanian</w:t>
      </w:r>
      <w:r>
        <w:rPr>
          <w:spacing w:val="-4"/>
          <w:sz w:val="24"/>
        </w:rPr>
        <w:t> </w:t>
      </w:r>
      <w:r>
        <w:rPr>
          <w:i/>
          <w:sz w:val="24"/>
        </w:rPr>
        <w:t>region</w:t>
      </w:r>
      <w:r>
        <w:rPr>
          <w:sz w:val="24"/>
        </w:rPr>
        <w:t>.</w:t>
      </w:r>
    </w:p>
    <w:p>
      <w:pPr>
        <w:pStyle w:val="ListParagraph"/>
        <w:numPr>
          <w:ilvl w:val="0"/>
          <w:numId w:val="112"/>
        </w:numPr>
        <w:tabs>
          <w:tab w:pos="1919" w:val="left" w:leader="none"/>
        </w:tabs>
        <w:spacing w:line="240" w:lineRule="auto" w:before="120" w:after="0"/>
        <w:ind w:left="1919" w:right="415" w:hanging="567"/>
        <w:jc w:val="both"/>
        <w:rPr>
          <w:sz w:val="24"/>
        </w:rPr>
      </w:pPr>
      <w:r>
        <w:rPr>
          <w:sz w:val="24"/>
        </w:rPr>
        <w:t>A liquidity obligation applies in a </w:t>
      </w:r>
      <w:r>
        <w:rPr>
          <w:i/>
          <w:sz w:val="24"/>
        </w:rPr>
        <w:t>region </w:t>
      </w:r>
      <w:r>
        <w:rPr>
          <w:sz w:val="24"/>
        </w:rPr>
        <w:t>in respect of which a T-3 reliability instrument has been</w:t>
      </w:r>
      <w:r>
        <w:rPr>
          <w:spacing w:val="-1"/>
          <w:sz w:val="24"/>
        </w:rPr>
        <w:t> </w:t>
      </w:r>
      <w:r>
        <w:rPr>
          <w:sz w:val="24"/>
        </w:rPr>
        <w:t>made.</w:t>
      </w:r>
    </w:p>
    <w:p>
      <w:pPr>
        <w:pStyle w:val="ListParagraph"/>
        <w:numPr>
          <w:ilvl w:val="0"/>
          <w:numId w:val="112"/>
        </w:numPr>
        <w:tabs>
          <w:tab w:pos="1919" w:val="left" w:leader="none"/>
        </w:tabs>
        <w:spacing w:line="240" w:lineRule="auto" w:before="120" w:after="0"/>
        <w:ind w:left="1919" w:right="414" w:hanging="567"/>
        <w:jc w:val="both"/>
        <w:rPr>
          <w:sz w:val="24"/>
        </w:rPr>
      </w:pPr>
      <w:r>
        <w:rPr>
          <w:sz w:val="24"/>
        </w:rPr>
        <w:t>In this Part G, a reference to a T-1 reliability instrument, </w:t>
      </w:r>
      <w:r>
        <w:rPr>
          <w:i/>
          <w:sz w:val="24"/>
        </w:rPr>
        <w:t>forecast reliability </w:t>
      </w:r>
      <w:r>
        <w:rPr>
          <w:i/>
          <w:sz w:val="24"/>
        </w:rPr>
        <w:t>gap</w:t>
      </w:r>
      <w:r>
        <w:rPr>
          <w:sz w:val="24"/>
        </w:rPr>
        <w:t>, forecast reliability gap period, </w:t>
      </w:r>
      <w:r>
        <w:rPr>
          <w:i/>
          <w:sz w:val="24"/>
        </w:rPr>
        <w:t>region</w:t>
      </w:r>
      <w:r>
        <w:rPr>
          <w:sz w:val="24"/>
        </w:rPr>
        <w:t>, liquidity period, liquidity obligation, MLO group, MLO generator and MLO nominee is to be construed as related to the applicable T-3 reliability</w:t>
      </w:r>
      <w:r>
        <w:rPr>
          <w:spacing w:val="-3"/>
          <w:sz w:val="24"/>
        </w:rPr>
        <w:t> </w:t>
      </w:r>
      <w:r>
        <w:rPr>
          <w:sz w:val="24"/>
        </w:rPr>
        <w:t>instrument.</w:t>
      </w:r>
    </w:p>
    <w:p>
      <w:pPr>
        <w:pStyle w:val="ListParagraph"/>
        <w:numPr>
          <w:ilvl w:val="0"/>
          <w:numId w:val="112"/>
        </w:numPr>
        <w:tabs>
          <w:tab w:pos="1919" w:val="left" w:leader="none"/>
        </w:tabs>
        <w:spacing w:line="240" w:lineRule="auto" w:before="120" w:after="0"/>
        <w:ind w:left="1918" w:right="0" w:hanging="567"/>
        <w:jc w:val="both"/>
        <w:rPr>
          <w:sz w:val="24"/>
        </w:rPr>
      </w:pPr>
      <w:r>
        <w:rPr>
          <w:sz w:val="24"/>
        </w:rPr>
        <w:t>To</w:t>
      </w:r>
      <w:r>
        <w:rPr>
          <w:spacing w:val="38"/>
          <w:sz w:val="24"/>
        </w:rPr>
        <w:t> </w:t>
      </w:r>
      <w:r>
        <w:rPr>
          <w:sz w:val="24"/>
        </w:rPr>
        <w:t>avoid</w:t>
      </w:r>
      <w:r>
        <w:rPr>
          <w:spacing w:val="39"/>
          <w:sz w:val="24"/>
        </w:rPr>
        <w:t> </w:t>
      </w:r>
      <w:r>
        <w:rPr>
          <w:sz w:val="24"/>
        </w:rPr>
        <w:t>doubt,</w:t>
      </w:r>
      <w:r>
        <w:rPr>
          <w:spacing w:val="38"/>
          <w:sz w:val="24"/>
        </w:rPr>
        <w:t> </w:t>
      </w:r>
      <w:r>
        <w:rPr>
          <w:sz w:val="24"/>
        </w:rPr>
        <w:t>there</w:t>
      </w:r>
      <w:r>
        <w:rPr>
          <w:spacing w:val="39"/>
          <w:sz w:val="24"/>
        </w:rPr>
        <w:t> </w:t>
      </w:r>
      <w:r>
        <w:rPr>
          <w:sz w:val="24"/>
        </w:rPr>
        <w:t>may</w:t>
      </w:r>
      <w:r>
        <w:rPr>
          <w:spacing w:val="39"/>
          <w:sz w:val="24"/>
        </w:rPr>
        <w:t> </w:t>
      </w:r>
      <w:r>
        <w:rPr>
          <w:sz w:val="24"/>
        </w:rPr>
        <w:t>be</w:t>
      </w:r>
      <w:r>
        <w:rPr>
          <w:spacing w:val="38"/>
          <w:sz w:val="24"/>
        </w:rPr>
        <w:t> </w:t>
      </w:r>
      <w:r>
        <w:rPr>
          <w:sz w:val="24"/>
        </w:rPr>
        <w:t>more</w:t>
      </w:r>
      <w:r>
        <w:rPr>
          <w:spacing w:val="39"/>
          <w:sz w:val="24"/>
        </w:rPr>
        <w:t> </w:t>
      </w:r>
      <w:r>
        <w:rPr>
          <w:sz w:val="24"/>
        </w:rPr>
        <w:t>than</w:t>
      </w:r>
      <w:r>
        <w:rPr>
          <w:spacing w:val="38"/>
          <w:sz w:val="24"/>
        </w:rPr>
        <w:t> </w:t>
      </w:r>
      <w:r>
        <w:rPr>
          <w:sz w:val="24"/>
        </w:rPr>
        <w:t>one</w:t>
      </w:r>
      <w:r>
        <w:rPr>
          <w:spacing w:val="39"/>
          <w:sz w:val="24"/>
        </w:rPr>
        <w:t> </w:t>
      </w:r>
      <w:r>
        <w:rPr>
          <w:sz w:val="24"/>
        </w:rPr>
        <w:t>liquidity</w:t>
      </w:r>
      <w:r>
        <w:rPr>
          <w:spacing w:val="38"/>
          <w:sz w:val="24"/>
        </w:rPr>
        <w:t> </w:t>
      </w:r>
      <w:r>
        <w:rPr>
          <w:sz w:val="24"/>
        </w:rPr>
        <w:t>period</w:t>
      </w:r>
      <w:r>
        <w:rPr>
          <w:spacing w:val="39"/>
          <w:sz w:val="24"/>
        </w:rPr>
        <w:t> </w:t>
      </w:r>
      <w:r>
        <w:rPr>
          <w:sz w:val="24"/>
        </w:rPr>
        <w:t>in</w:t>
      </w:r>
      <w:r>
        <w:rPr>
          <w:spacing w:val="39"/>
          <w:sz w:val="24"/>
        </w:rPr>
        <w:t> </w:t>
      </w:r>
      <w:r>
        <w:rPr>
          <w:sz w:val="24"/>
        </w:rPr>
        <w:t>a</w:t>
      </w:r>
      <w:r>
        <w:rPr>
          <w:spacing w:val="38"/>
          <w:sz w:val="24"/>
        </w:rPr>
        <w:t> </w:t>
      </w:r>
      <w:r>
        <w:rPr>
          <w:sz w:val="24"/>
        </w:rPr>
        <w:t>single</w:t>
      </w:r>
    </w:p>
    <w:p>
      <w:pPr>
        <w:spacing w:before="0"/>
        <w:ind w:left="1919" w:right="0" w:firstLine="0"/>
        <w:jc w:val="both"/>
        <w:rPr>
          <w:sz w:val="24"/>
        </w:rPr>
      </w:pPr>
      <w:r>
        <w:rPr>
          <w:i/>
          <w:sz w:val="24"/>
        </w:rPr>
        <w:t>region </w:t>
      </w:r>
      <w:r>
        <w:rPr>
          <w:sz w:val="24"/>
        </w:rPr>
        <w:t>at any one time.</w:t>
      </w:r>
    </w:p>
    <w:p>
      <w:pPr>
        <w:pStyle w:val="BodyText"/>
        <w:spacing w:before="10"/>
        <w:ind w:firstLine="0"/>
        <w:jc w:val="left"/>
        <w:rPr>
          <w:sz w:val="20"/>
        </w:rPr>
      </w:pPr>
    </w:p>
    <w:p>
      <w:pPr>
        <w:pStyle w:val="Heading3"/>
        <w:tabs>
          <w:tab w:pos="1656" w:val="left" w:leader="none"/>
        </w:tabs>
        <w:ind w:left="218" w:firstLine="0"/>
      </w:pPr>
      <w:bookmarkStart w:name="Division 2 Market Generators and trading" w:id="246"/>
      <w:bookmarkEnd w:id="246"/>
      <w:r>
        <w:rPr>
          <w:b w:val="0"/>
        </w:rPr>
      </w:r>
      <w:bookmarkStart w:name="_bookmark106" w:id="247"/>
      <w:bookmarkEnd w:id="247"/>
      <w:r>
        <w:rPr>
          <w:b w:val="0"/>
        </w:rPr>
      </w:r>
      <w:r>
        <w:rPr/>
        <w:t>Division</w:t>
      </w:r>
      <w:r>
        <w:rPr>
          <w:spacing w:val="-4"/>
        </w:rPr>
        <w:t> </w:t>
      </w:r>
      <w:r>
        <w:rPr/>
        <w:t>2</w:t>
        <w:tab/>
        <w:t>Market Generators and trading right</w:t>
      </w:r>
      <w:r>
        <w:rPr>
          <w:spacing w:val="-4"/>
        </w:rPr>
        <w:t> </w:t>
      </w:r>
      <w:r>
        <w:rPr/>
        <w:t>holders</w:t>
      </w:r>
    </w:p>
    <w:p>
      <w:pPr>
        <w:pStyle w:val="Heading4"/>
        <w:tabs>
          <w:tab w:pos="1351" w:val="left" w:leader="none"/>
        </w:tabs>
        <w:spacing w:before="240"/>
        <w:ind w:left="218" w:firstLine="0"/>
      </w:pPr>
      <w:bookmarkStart w:name="4A.G.3 Market Generators and generator c" w:id="248"/>
      <w:bookmarkEnd w:id="248"/>
      <w:r>
        <w:rPr>
          <w:b w:val="0"/>
        </w:rPr>
      </w:r>
      <w:bookmarkStart w:name="_bookmark107" w:id="249"/>
      <w:bookmarkEnd w:id="249"/>
      <w:r>
        <w:rPr>
          <w:b w:val="0"/>
        </w:rPr>
      </w:r>
      <w:r>
        <w:rPr/>
        <w:t>4A.G.3</w:t>
        <w:tab/>
        <w:t>Market Generators and generator</w:t>
      </w:r>
      <w:r>
        <w:rPr>
          <w:spacing w:val="-5"/>
        </w:rPr>
        <w:t> </w:t>
      </w:r>
      <w:r>
        <w:rPr/>
        <w:t>capacity</w:t>
      </w:r>
    </w:p>
    <w:p>
      <w:pPr>
        <w:pStyle w:val="ListParagraph"/>
        <w:numPr>
          <w:ilvl w:val="0"/>
          <w:numId w:val="113"/>
        </w:numPr>
        <w:tabs>
          <w:tab w:pos="1919" w:val="left" w:leader="none"/>
        </w:tabs>
        <w:spacing w:line="240" w:lineRule="auto" w:before="120" w:after="0"/>
        <w:ind w:left="1919" w:right="415" w:hanging="567"/>
        <w:jc w:val="both"/>
        <w:rPr>
          <w:sz w:val="24"/>
        </w:rPr>
      </w:pPr>
      <w:r>
        <w:rPr>
          <w:sz w:val="24"/>
        </w:rPr>
        <w:t>This Part applies to a </w:t>
      </w:r>
      <w:r>
        <w:rPr>
          <w:i/>
          <w:sz w:val="24"/>
        </w:rPr>
        <w:t>Market Generator </w:t>
      </w:r>
      <w:r>
        <w:rPr>
          <w:sz w:val="24"/>
        </w:rPr>
        <w:t>in each </w:t>
      </w:r>
      <w:r>
        <w:rPr>
          <w:i/>
          <w:sz w:val="24"/>
        </w:rPr>
        <w:t>region</w:t>
      </w:r>
      <w:r>
        <w:rPr>
          <w:sz w:val="24"/>
        </w:rPr>
        <w:t>, in so far as its activities relate to any one or more </w:t>
      </w:r>
      <w:r>
        <w:rPr>
          <w:i/>
          <w:sz w:val="24"/>
        </w:rPr>
        <w:t>scheduled generating units </w:t>
      </w:r>
      <w:r>
        <w:rPr>
          <w:sz w:val="24"/>
        </w:rPr>
        <w:t>that</w:t>
      </w:r>
      <w:r>
        <w:rPr>
          <w:spacing w:val="-9"/>
          <w:sz w:val="24"/>
        </w:rPr>
        <w:t> </w:t>
      </w:r>
      <w:r>
        <w:rPr>
          <w:sz w:val="24"/>
        </w:rPr>
        <w:t>are:</w:t>
      </w:r>
    </w:p>
    <w:p>
      <w:pPr>
        <w:pStyle w:val="ListParagraph"/>
        <w:numPr>
          <w:ilvl w:val="1"/>
          <w:numId w:val="113"/>
        </w:numPr>
        <w:tabs>
          <w:tab w:pos="2486" w:val="left" w:leader="none"/>
        </w:tabs>
        <w:spacing w:line="240" w:lineRule="auto" w:before="120" w:after="0"/>
        <w:ind w:left="2485" w:right="0" w:hanging="567"/>
        <w:jc w:val="both"/>
        <w:rPr>
          <w:sz w:val="24"/>
        </w:rPr>
      </w:pPr>
      <w:r>
        <w:rPr>
          <w:sz w:val="24"/>
        </w:rPr>
        <w:t>classified as a </w:t>
      </w:r>
      <w:r>
        <w:rPr>
          <w:i/>
          <w:sz w:val="24"/>
        </w:rPr>
        <w:t>market generating unit </w:t>
      </w:r>
      <w:r>
        <w:rPr>
          <w:sz w:val="24"/>
        </w:rPr>
        <w:t>under Chapter 2;</w:t>
      </w:r>
      <w:r>
        <w:rPr>
          <w:spacing w:val="-4"/>
          <w:sz w:val="24"/>
        </w:rPr>
        <w:t> </w:t>
      </w:r>
      <w:r>
        <w:rPr>
          <w:sz w:val="24"/>
        </w:rPr>
        <w:t>and</w:t>
      </w:r>
    </w:p>
    <w:p>
      <w:pPr>
        <w:pStyle w:val="ListParagraph"/>
        <w:numPr>
          <w:ilvl w:val="1"/>
          <w:numId w:val="113"/>
        </w:numPr>
        <w:tabs>
          <w:tab w:pos="2486" w:val="left" w:leader="none"/>
        </w:tabs>
        <w:spacing w:line="240" w:lineRule="auto" w:before="120" w:after="0"/>
        <w:ind w:left="2485" w:right="0" w:hanging="567"/>
        <w:jc w:val="both"/>
        <w:rPr>
          <w:sz w:val="24"/>
        </w:rPr>
      </w:pPr>
      <w:r>
        <w:rPr>
          <w:sz w:val="24"/>
        </w:rPr>
        <w:t>located in that</w:t>
      </w:r>
      <w:r>
        <w:rPr>
          <w:spacing w:val="-1"/>
          <w:sz w:val="24"/>
        </w:rPr>
        <w:t> </w:t>
      </w:r>
      <w:r>
        <w:rPr>
          <w:i/>
          <w:sz w:val="24"/>
        </w:rPr>
        <w:t>region</w:t>
      </w:r>
      <w:r>
        <w:rPr>
          <w:sz w:val="24"/>
        </w:rPr>
        <w:t>.</w:t>
      </w:r>
    </w:p>
    <w:p>
      <w:pPr>
        <w:pStyle w:val="ListParagraph"/>
        <w:numPr>
          <w:ilvl w:val="0"/>
          <w:numId w:val="113"/>
        </w:numPr>
        <w:tabs>
          <w:tab w:pos="1919" w:val="left" w:leader="none"/>
        </w:tabs>
        <w:spacing w:line="240" w:lineRule="auto" w:before="120" w:after="0"/>
        <w:ind w:left="1919" w:right="415" w:hanging="567"/>
        <w:jc w:val="both"/>
        <w:rPr>
          <w:sz w:val="24"/>
        </w:rPr>
      </w:pPr>
      <w:r>
        <w:rPr>
          <w:sz w:val="24"/>
        </w:rPr>
        <w:t>Subject to clause 4A.G.21(b), generator capacity means, in respect of a </w:t>
      </w:r>
      <w:r>
        <w:rPr>
          <w:i/>
          <w:sz w:val="24"/>
        </w:rPr>
        <w:t>Market Generator </w:t>
      </w:r>
      <w:r>
        <w:rPr>
          <w:sz w:val="24"/>
        </w:rPr>
        <w:t>for a </w:t>
      </w:r>
      <w:r>
        <w:rPr>
          <w:i/>
          <w:sz w:val="24"/>
        </w:rPr>
        <w:t>region</w:t>
      </w:r>
      <w:r>
        <w:rPr>
          <w:sz w:val="24"/>
        </w:rPr>
        <w:t>, the registered capacity of each </w:t>
      </w:r>
      <w:r>
        <w:rPr>
          <w:i/>
          <w:sz w:val="24"/>
        </w:rPr>
        <w:t>scheduled </w:t>
      </w:r>
      <w:r>
        <w:rPr>
          <w:i/>
          <w:sz w:val="24"/>
        </w:rPr>
        <w:t>generating unit </w:t>
      </w:r>
      <w:r>
        <w:rPr>
          <w:sz w:val="24"/>
        </w:rPr>
        <w:t>of that </w:t>
      </w:r>
      <w:r>
        <w:rPr>
          <w:i/>
          <w:sz w:val="24"/>
        </w:rPr>
        <w:t>Market Generator </w:t>
      </w:r>
      <w:r>
        <w:rPr>
          <w:sz w:val="24"/>
        </w:rPr>
        <w:t>that</w:t>
      </w:r>
      <w:r>
        <w:rPr>
          <w:spacing w:val="-2"/>
          <w:sz w:val="24"/>
        </w:rPr>
        <w:t> </w:t>
      </w:r>
      <w:r>
        <w:rPr>
          <w:sz w:val="24"/>
        </w:rPr>
        <w:t>is:</w:t>
      </w:r>
    </w:p>
    <w:p>
      <w:pPr>
        <w:pStyle w:val="ListParagraph"/>
        <w:numPr>
          <w:ilvl w:val="1"/>
          <w:numId w:val="113"/>
        </w:numPr>
        <w:tabs>
          <w:tab w:pos="2486" w:val="left" w:leader="none"/>
        </w:tabs>
        <w:spacing w:line="240" w:lineRule="auto" w:before="120" w:after="0"/>
        <w:ind w:left="2485" w:right="0" w:hanging="567"/>
        <w:jc w:val="both"/>
        <w:rPr>
          <w:sz w:val="24"/>
        </w:rPr>
      </w:pPr>
      <w:r>
        <w:rPr>
          <w:sz w:val="24"/>
        </w:rPr>
        <w:t>classified as a </w:t>
      </w:r>
      <w:r>
        <w:rPr>
          <w:i/>
          <w:sz w:val="24"/>
        </w:rPr>
        <w:t>market generating unit </w:t>
      </w:r>
      <w:r>
        <w:rPr>
          <w:sz w:val="24"/>
        </w:rPr>
        <w:t>under Chapter 2;</w:t>
      </w:r>
      <w:r>
        <w:rPr>
          <w:spacing w:val="-4"/>
          <w:sz w:val="24"/>
        </w:rPr>
        <w:t> </w:t>
      </w:r>
      <w:r>
        <w:rPr>
          <w:sz w:val="24"/>
        </w:rPr>
        <w:t>and</w:t>
      </w:r>
    </w:p>
    <w:p>
      <w:pPr>
        <w:pStyle w:val="ListParagraph"/>
        <w:numPr>
          <w:ilvl w:val="1"/>
          <w:numId w:val="113"/>
        </w:numPr>
        <w:tabs>
          <w:tab w:pos="2486" w:val="left" w:leader="none"/>
        </w:tabs>
        <w:spacing w:line="240" w:lineRule="auto" w:before="120" w:after="0"/>
        <w:ind w:left="2485" w:right="0" w:hanging="567"/>
        <w:jc w:val="both"/>
        <w:rPr>
          <w:sz w:val="24"/>
        </w:rPr>
      </w:pPr>
      <w:r>
        <w:rPr>
          <w:sz w:val="24"/>
        </w:rPr>
        <w:t>located in that</w:t>
      </w:r>
      <w:r>
        <w:rPr>
          <w:spacing w:val="-1"/>
          <w:sz w:val="24"/>
        </w:rPr>
        <w:t> </w:t>
      </w:r>
      <w:r>
        <w:rPr>
          <w:i/>
          <w:sz w:val="24"/>
        </w:rPr>
        <w:t>region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4 Trading rights and trading right " w:id="250"/>
      <w:bookmarkEnd w:id="250"/>
      <w:r>
        <w:rPr>
          <w:b w:val="0"/>
        </w:rPr>
      </w:r>
      <w:bookmarkStart w:name="_bookmark108" w:id="251"/>
      <w:bookmarkEnd w:id="251"/>
      <w:r>
        <w:rPr>
          <w:b w:val="0"/>
        </w:rPr>
      </w:r>
      <w:r>
        <w:rPr/>
        <w:t>4A.G.4</w:t>
        <w:tab/>
        <w:t>Trading rights and trading right</w:t>
      </w:r>
      <w:r>
        <w:rPr>
          <w:spacing w:val="-6"/>
        </w:rPr>
        <w:t> </w:t>
      </w:r>
      <w:r>
        <w:rPr/>
        <w:t>holders</w:t>
      </w:r>
    </w:p>
    <w:p>
      <w:pPr>
        <w:pStyle w:val="ListParagraph"/>
        <w:numPr>
          <w:ilvl w:val="0"/>
          <w:numId w:val="114"/>
        </w:numPr>
        <w:tabs>
          <w:tab w:pos="1919" w:val="left" w:leader="none"/>
        </w:tabs>
        <w:spacing w:line="240" w:lineRule="auto" w:before="120" w:after="0"/>
        <w:ind w:left="1919" w:right="415" w:hanging="567"/>
        <w:jc w:val="both"/>
        <w:rPr>
          <w:sz w:val="24"/>
        </w:rPr>
      </w:pPr>
      <w:r>
        <w:rPr>
          <w:sz w:val="24"/>
        </w:rPr>
        <w:t>A person ("</w:t>
      </w:r>
      <w:r>
        <w:rPr>
          <w:b/>
          <w:sz w:val="24"/>
        </w:rPr>
        <w:t>trading right holder</w:t>
      </w:r>
      <w:r>
        <w:rPr>
          <w:sz w:val="24"/>
        </w:rPr>
        <w:t>") holds a trading right, in respect of a </w:t>
      </w:r>
      <w:r>
        <w:rPr>
          <w:i/>
          <w:sz w:val="24"/>
        </w:rPr>
        <w:t>Market Generator's </w:t>
      </w:r>
      <w:r>
        <w:rPr>
          <w:sz w:val="24"/>
        </w:rPr>
        <w:t>generator capacity, if it has dispatch control over all or a portion of that generator</w:t>
      </w:r>
      <w:r>
        <w:rPr>
          <w:spacing w:val="-1"/>
          <w:sz w:val="24"/>
        </w:rPr>
        <w:t> </w:t>
      </w:r>
      <w:r>
        <w:rPr>
          <w:sz w:val="24"/>
        </w:rPr>
        <w:t>capacity.</w:t>
      </w:r>
    </w:p>
    <w:p>
      <w:pPr>
        <w:pStyle w:val="ListParagraph"/>
        <w:numPr>
          <w:ilvl w:val="0"/>
          <w:numId w:val="114"/>
        </w:numPr>
        <w:tabs>
          <w:tab w:pos="1919" w:val="left" w:leader="none"/>
        </w:tabs>
        <w:spacing w:line="240" w:lineRule="auto" w:before="120" w:after="0"/>
        <w:ind w:left="1919" w:right="415" w:hanging="567"/>
        <w:jc w:val="both"/>
        <w:rPr>
          <w:sz w:val="24"/>
        </w:rPr>
      </w:pPr>
      <w:r>
        <w:rPr>
          <w:sz w:val="24"/>
        </w:rPr>
        <w:t>For the purposes of paragraph (a), dispatch control means the ability to control the making of </w:t>
      </w:r>
      <w:r>
        <w:rPr>
          <w:i/>
          <w:sz w:val="24"/>
        </w:rPr>
        <w:t>dispatch offers </w:t>
      </w:r>
      <w:r>
        <w:rPr>
          <w:sz w:val="24"/>
        </w:rPr>
        <w:t>under Chapter 3 in relation to all or </w:t>
      </w:r>
      <w:r>
        <w:rPr>
          <w:spacing w:val="-11"/>
          <w:sz w:val="24"/>
        </w:rPr>
        <w:t>a </w:t>
      </w:r>
      <w:r>
        <w:rPr>
          <w:sz w:val="24"/>
        </w:rPr>
        <w:t>portion of a </w:t>
      </w:r>
      <w:r>
        <w:rPr>
          <w:i/>
          <w:sz w:val="24"/>
        </w:rPr>
        <w:t>Market Generator's </w:t>
      </w:r>
      <w:r>
        <w:rPr>
          <w:sz w:val="24"/>
        </w:rPr>
        <w:t>generator capacity, as determined in the MLO</w:t>
      </w:r>
      <w:r>
        <w:rPr>
          <w:spacing w:val="-2"/>
          <w:sz w:val="24"/>
        </w:rPr>
        <w:t> </w:t>
      </w:r>
      <w:r>
        <w:rPr>
          <w:sz w:val="24"/>
        </w:rPr>
        <w:t>Guidelines.</w:t>
      </w:r>
    </w:p>
    <w:p>
      <w:pPr>
        <w:spacing w:after="0" w:line="240" w:lineRule="auto"/>
        <w:jc w:val="both"/>
        <w:rPr>
          <w:sz w:val="24"/>
        </w:rPr>
        <w:sectPr>
          <w:pgSz w:w="11910" w:h="16840"/>
          <w:pgMar w:header="686" w:footer="637" w:top="1320" w:bottom="820" w:left="1200" w:right="1000"/>
        </w:sectPr>
      </w:pPr>
    </w:p>
    <w:p>
      <w:pPr>
        <w:pStyle w:val="ListParagraph"/>
        <w:numPr>
          <w:ilvl w:val="0"/>
          <w:numId w:val="114"/>
        </w:numPr>
        <w:tabs>
          <w:tab w:pos="1919" w:val="left" w:leader="none"/>
        </w:tabs>
        <w:spacing w:line="240" w:lineRule="auto" w:before="83" w:after="0"/>
        <w:ind w:left="1919" w:right="415" w:hanging="567"/>
        <w:jc w:val="both"/>
        <w:rPr>
          <w:sz w:val="24"/>
        </w:rPr>
      </w:pPr>
      <w:r>
        <w:rPr>
          <w:sz w:val="24"/>
        </w:rPr>
        <w:t>If two or more trading right holders hold trading rights in relation to the same </w:t>
      </w:r>
      <w:r>
        <w:rPr>
          <w:i/>
          <w:sz w:val="24"/>
        </w:rPr>
        <w:t>Market Generator's </w:t>
      </w:r>
      <w:r>
        <w:rPr>
          <w:sz w:val="24"/>
        </w:rPr>
        <w:t>generator capacity, then the quantity of each trading right is</w:t>
      </w:r>
      <w:r>
        <w:rPr>
          <w:spacing w:val="-1"/>
          <w:sz w:val="24"/>
        </w:rPr>
        <w:t> </w:t>
      </w:r>
      <w:r>
        <w:rPr>
          <w:sz w:val="24"/>
        </w:rPr>
        <w:t>determined:</w:t>
      </w:r>
    </w:p>
    <w:p>
      <w:pPr>
        <w:pStyle w:val="ListParagraph"/>
        <w:numPr>
          <w:ilvl w:val="1"/>
          <w:numId w:val="114"/>
        </w:numPr>
        <w:tabs>
          <w:tab w:pos="2486" w:val="left" w:leader="none"/>
        </w:tabs>
        <w:spacing w:line="240" w:lineRule="auto" w:before="120" w:after="0"/>
        <w:ind w:left="2486" w:right="415" w:hanging="567"/>
        <w:jc w:val="both"/>
        <w:rPr>
          <w:sz w:val="24"/>
        </w:rPr>
      </w:pPr>
      <w:r>
        <w:rPr>
          <w:sz w:val="24"/>
        </w:rPr>
        <w:t>in proportion to the degree of dispatch control held by the relevant trading right</w:t>
      </w:r>
      <w:r>
        <w:rPr>
          <w:spacing w:val="-1"/>
          <w:sz w:val="24"/>
        </w:rPr>
        <w:t> </w:t>
      </w:r>
      <w:r>
        <w:rPr>
          <w:sz w:val="24"/>
        </w:rPr>
        <w:t>holder;</w:t>
      </w:r>
    </w:p>
    <w:p>
      <w:pPr>
        <w:pStyle w:val="ListParagraph"/>
        <w:numPr>
          <w:ilvl w:val="1"/>
          <w:numId w:val="114"/>
        </w:numPr>
        <w:tabs>
          <w:tab w:pos="2486" w:val="left" w:leader="none"/>
        </w:tabs>
        <w:spacing w:line="240" w:lineRule="auto" w:before="120" w:after="0"/>
        <w:ind w:left="2486" w:right="414" w:hanging="567"/>
        <w:jc w:val="both"/>
        <w:rPr>
          <w:sz w:val="24"/>
        </w:rPr>
      </w:pPr>
      <w:r>
        <w:rPr>
          <w:sz w:val="24"/>
        </w:rPr>
        <w:t>such that the aggregate trading rights held by each trading right holder must be equal to the generator capacity of the relevant </w:t>
      </w:r>
      <w:r>
        <w:rPr>
          <w:i/>
          <w:sz w:val="24"/>
        </w:rPr>
        <w:t>Market </w:t>
      </w:r>
      <w:r>
        <w:rPr>
          <w:i/>
          <w:sz w:val="24"/>
        </w:rPr>
        <w:t>Generator</w:t>
      </w:r>
      <w:r>
        <w:rPr>
          <w:sz w:val="24"/>
        </w:rPr>
        <w:t>;</w:t>
      </w:r>
      <w:r>
        <w:rPr>
          <w:spacing w:val="-1"/>
          <w:sz w:val="24"/>
        </w:rPr>
        <w:t> </w:t>
      </w:r>
      <w:r>
        <w:rPr>
          <w:sz w:val="24"/>
        </w:rPr>
        <w:t>and</w:t>
      </w:r>
    </w:p>
    <w:p>
      <w:pPr>
        <w:pStyle w:val="BodyText"/>
        <w:ind w:left="1919" w:firstLine="0"/>
      </w:pPr>
      <w:r>
        <w:rPr/>
        <w:t>(2) in accordance with the MLO Guidelines.</w:t>
      </w:r>
    </w:p>
    <w:p>
      <w:pPr>
        <w:pStyle w:val="ListParagraph"/>
        <w:numPr>
          <w:ilvl w:val="0"/>
          <w:numId w:val="114"/>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is not satisfied that the information provided by a </w:t>
      </w:r>
      <w:r>
        <w:rPr>
          <w:i/>
          <w:sz w:val="24"/>
        </w:rPr>
        <w:t>Market </w:t>
      </w:r>
      <w:r>
        <w:rPr>
          <w:i/>
          <w:sz w:val="24"/>
        </w:rPr>
        <w:t>Generator </w:t>
      </w:r>
      <w:r>
        <w:rPr>
          <w:sz w:val="24"/>
        </w:rPr>
        <w:t>under clause 4A.G.13 relating to the identity of its trading right holders, or the trading rights held by each of its trading right holders, is consistent with the dispatch control arrangements applicable to that </w:t>
      </w:r>
      <w:r>
        <w:rPr>
          <w:i/>
          <w:sz w:val="24"/>
        </w:rPr>
        <w:t>Market </w:t>
      </w:r>
      <w:r>
        <w:rPr>
          <w:i/>
          <w:sz w:val="24"/>
        </w:rPr>
        <w:t>Generator's </w:t>
      </w:r>
      <w:r>
        <w:rPr>
          <w:sz w:val="24"/>
        </w:rPr>
        <w:t>generator capacity, then the </w:t>
      </w:r>
      <w:r>
        <w:rPr>
          <w:i/>
          <w:sz w:val="24"/>
        </w:rPr>
        <w:t>AER </w:t>
      </w:r>
      <w:r>
        <w:rPr>
          <w:sz w:val="24"/>
        </w:rPr>
        <w:t>may, in accordance with the MLO Guidelines, make its own determination</w:t>
      </w:r>
      <w:r>
        <w:rPr>
          <w:spacing w:val="-4"/>
          <w:sz w:val="24"/>
        </w:rPr>
        <w:t> </w:t>
      </w:r>
      <w:r>
        <w:rPr>
          <w:sz w:val="24"/>
        </w:rPr>
        <w:t>of:</w:t>
      </w:r>
    </w:p>
    <w:p>
      <w:pPr>
        <w:pStyle w:val="ListParagraph"/>
        <w:numPr>
          <w:ilvl w:val="1"/>
          <w:numId w:val="114"/>
        </w:numPr>
        <w:tabs>
          <w:tab w:pos="2486" w:val="left" w:leader="none"/>
        </w:tabs>
        <w:spacing w:line="240" w:lineRule="auto" w:before="120" w:after="0"/>
        <w:ind w:left="2485" w:right="0" w:hanging="567"/>
        <w:jc w:val="both"/>
        <w:rPr>
          <w:sz w:val="24"/>
        </w:rPr>
      </w:pPr>
      <w:r>
        <w:rPr>
          <w:sz w:val="24"/>
        </w:rPr>
        <w:t>the identity of each </w:t>
      </w:r>
      <w:r>
        <w:rPr>
          <w:i/>
          <w:sz w:val="24"/>
        </w:rPr>
        <w:t>Market Generator's </w:t>
      </w:r>
      <w:r>
        <w:rPr>
          <w:sz w:val="24"/>
        </w:rPr>
        <w:t>trading right holder;</w:t>
      </w:r>
      <w:r>
        <w:rPr>
          <w:spacing w:val="-5"/>
          <w:sz w:val="24"/>
        </w:rPr>
        <w:t> </w:t>
      </w:r>
      <w:r>
        <w:rPr>
          <w:sz w:val="24"/>
        </w:rPr>
        <w:t>and</w:t>
      </w:r>
    </w:p>
    <w:p>
      <w:pPr>
        <w:pStyle w:val="ListParagraph"/>
        <w:numPr>
          <w:ilvl w:val="1"/>
          <w:numId w:val="114"/>
        </w:numPr>
        <w:tabs>
          <w:tab w:pos="2486" w:val="left" w:leader="none"/>
        </w:tabs>
        <w:spacing w:line="240" w:lineRule="auto" w:before="120" w:after="0"/>
        <w:ind w:left="2485" w:right="0" w:hanging="567"/>
        <w:jc w:val="both"/>
        <w:rPr>
          <w:sz w:val="24"/>
        </w:rPr>
      </w:pPr>
      <w:r>
        <w:rPr>
          <w:sz w:val="24"/>
        </w:rPr>
        <w:t>the trading rights held by that trading right</w:t>
      </w:r>
      <w:r>
        <w:rPr>
          <w:spacing w:val="-1"/>
          <w:sz w:val="24"/>
        </w:rPr>
        <w:t> </w:t>
      </w:r>
      <w:r>
        <w:rPr>
          <w:sz w:val="24"/>
        </w:rPr>
        <w:t>holder.</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3"/>
        <w:tabs>
          <w:tab w:pos="1656" w:val="left" w:leader="none"/>
        </w:tabs>
        <w:ind w:left="218" w:firstLine="0"/>
      </w:pPr>
      <w:bookmarkStart w:name="Division 3 Trading groups" w:id="252"/>
      <w:bookmarkEnd w:id="252"/>
      <w:r>
        <w:rPr>
          <w:b w:val="0"/>
        </w:rPr>
      </w:r>
      <w:bookmarkStart w:name="_bookmark109" w:id="253"/>
      <w:bookmarkEnd w:id="253"/>
      <w:r>
        <w:rPr>
          <w:b w:val="0"/>
        </w:rPr>
      </w:r>
      <w:r>
        <w:rPr/>
        <w:t>Division</w:t>
      </w:r>
      <w:r>
        <w:rPr>
          <w:spacing w:val="-4"/>
        </w:rPr>
        <w:t> </w:t>
      </w:r>
      <w:r>
        <w:rPr/>
        <w:t>3</w:t>
        <w:tab/>
        <w:t>Trading groups</w:t>
      </w:r>
    </w:p>
    <w:p>
      <w:pPr>
        <w:pStyle w:val="Heading4"/>
        <w:tabs>
          <w:tab w:pos="1351" w:val="left" w:leader="none"/>
        </w:tabs>
        <w:spacing w:before="240"/>
        <w:ind w:left="218" w:firstLine="0"/>
      </w:pPr>
      <w:bookmarkStart w:name="4A.G.5 Trading group" w:id="254"/>
      <w:bookmarkEnd w:id="254"/>
      <w:r>
        <w:rPr>
          <w:b w:val="0"/>
        </w:rPr>
      </w:r>
      <w:bookmarkStart w:name="_bookmark110" w:id="255"/>
      <w:bookmarkEnd w:id="255"/>
      <w:r>
        <w:rPr>
          <w:b w:val="0"/>
        </w:rPr>
      </w:r>
      <w:r>
        <w:rPr/>
        <w:t>4A.G.5</w:t>
        <w:tab/>
        <w:t>Trading</w:t>
      </w:r>
      <w:r>
        <w:rPr>
          <w:spacing w:val="-1"/>
        </w:rPr>
        <w:t> </w:t>
      </w:r>
      <w:r>
        <w:rPr/>
        <w:t>group</w:t>
      </w:r>
    </w:p>
    <w:p>
      <w:pPr>
        <w:pStyle w:val="ListParagraph"/>
        <w:numPr>
          <w:ilvl w:val="0"/>
          <w:numId w:val="115"/>
        </w:numPr>
        <w:tabs>
          <w:tab w:pos="1918" w:val="left" w:leader="none"/>
          <w:tab w:pos="1919" w:val="left" w:leader="none"/>
        </w:tabs>
        <w:spacing w:line="240" w:lineRule="auto" w:before="120" w:after="0"/>
        <w:ind w:left="1918" w:right="0" w:hanging="567"/>
        <w:jc w:val="left"/>
        <w:rPr>
          <w:sz w:val="24"/>
        </w:rPr>
      </w:pPr>
      <w:r>
        <w:rPr>
          <w:sz w:val="24"/>
        </w:rPr>
        <w:t>Trading group means a group of one or more trading right</w:t>
      </w:r>
      <w:r>
        <w:rPr>
          <w:spacing w:val="-4"/>
          <w:sz w:val="24"/>
        </w:rPr>
        <w:t> </w:t>
      </w:r>
      <w:r>
        <w:rPr>
          <w:sz w:val="24"/>
        </w:rPr>
        <w:t>holders:</w:t>
      </w:r>
    </w:p>
    <w:p>
      <w:pPr>
        <w:pStyle w:val="ListParagraph"/>
        <w:numPr>
          <w:ilvl w:val="1"/>
          <w:numId w:val="115"/>
        </w:numPr>
        <w:tabs>
          <w:tab w:pos="2485" w:val="left" w:leader="none"/>
          <w:tab w:pos="2486" w:val="left" w:leader="none"/>
        </w:tabs>
        <w:spacing w:line="240" w:lineRule="auto" w:before="120" w:after="0"/>
        <w:ind w:left="2485" w:right="0" w:hanging="567"/>
        <w:jc w:val="left"/>
        <w:rPr>
          <w:i/>
          <w:sz w:val="24"/>
        </w:rPr>
      </w:pPr>
      <w:r>
        <w:rPr>
          <w:sz w:val="24"/>
        </w:rPr>
        <w:t>that</w:t>
      </w:r>
      <w:r>
        <w:rPr>
          <w:spacing w:val="18"/>
          <w:sz w:val="24"/>
        </w:rPr>
        <w:t> </w:t>
      </w:r>
      <w:r>
        <w:rPr>
          <w:sz w:val="24"/>
        </w:rPr>
        <w:t>hold</w:t>
      </w:r>
      <w:r>
        <w:rPr>
          <w:spacing w:val="18"/>
          <w:sz w:val="24"/>
        </w:rPr>
        <w:t> </w:t>
      </w:r>
      <w:r>
        <w:rPr>
          <w:sz w:val="24"/>
        </w:rPr>
        <w:t>trading</w:t>
      </w:r>
      <w:r>
        <w:rPr>
          <w:spacing w:val="19"/>
          <w:sz w:val="24"/>
        </w:rPr>
        <w:t> </w:t>
      </w:r>
      <w:r>
        <w:rPr>
          <w:sz w:val="24"/>
        </w:rPr>
        <w:t>rights</w:t>
      </w:r>
      <w:r>
        <w:rPr>
          <w:spacing w:val="18"/>
          <w:sz w:val="24"/>
        </w:rPr>
        <w:t> </w:t>
      </w:r>
      <w:r>
        <w:rPr>
          <w:sz w:val="24"/>
        </w:rPr>
        <w:t>in</w:t>
      </w:r>
      <w:r>
        <w:rPr>
          <w:spacing w:val="19"/>
          <w:sz w:val="24"/>
        </w:rPr>
        <w:t> </w:t>
      </w:r>
      <w:r>
        <w:rPr>
          <w:sz w:val="24"/>
        </w:rPr>
        <w:t>respect</w:t>
      </w:r>
      <w:r>
        <w:rPr>
          <w:spacing w:val="18"/>
          <w:sz w:val="24"/>
        </w:rPr>
        <w:t> </w:t>
      </w:r>
      <w:r>
        <w:rPr>
          <w:sz w:val="24"/>
        </w:rPr>
        <w:t>of</w:t>
      </w:r>
      <w:r>
        <w:rPr>
          <w:spacing w:val="18"/>
          <w:sz w:val="24"/>
        </w:rPr>
        <w:t> </w:t>
      </w:r>
      <w:r>
        <w:rPr>
          <w:i/>
          <w:sz w:val="24"/>
        </w:rPr>
        <w:t>scheduled</w:t>
      </w:r>
      <w:r>
        <w:rPr>
          <w:i/>
          <w:spacing w:val="19"/>
          <w:sz w:val="24"/>
        </w:rPr>
        <w:t> </w:t>
      </w:r>
      <w:r>
        <w:rPr>
          <w:i/>
          <w:sz w:val="24"/>
        </w:rPr>
        <w:t>generating</w:t>
      </w:r>
      <w:r>
        <w:rPr>
          <w:i/>
          <w:spacing w:val="18"/>
          <w:sz w:val="24"/>
        </w:rPr>
        <w:t> </w:t>
      </w:r>
      <w:r>
        <w:rPr>
          <w:i/>
          <w:sz w:val="24"/>
        </w:rPr>
        <w:t>units</w:t>
      </w:r>
    </w:p>
    <w:p>
      <w:pPr>
        <w:pStyle w:val="BodyText"/>
        <w:spacing w:before="0"/>
        <w:ind w:left="2486" w:firstLine="0"/>
        <w:jc w:val="left"/>
      </w:pPr>
      <w:r>
        <w:rPr/>
        <w:t>located in the same </w:t>
      </w:r>
      <w:r>
        <w:rPr>
          <w:i/>
        </w:rPr>
        <w:t>region</w:t>
      </w:r>
      <w:r>
        <w:rPr/>
        <w:t>; and</w:t>
      </w:r>
    </w:p>
    <w:p>
      <w:pPr>
        <w:pStyle w:val="ListParagraph"/>
        <w:numPr>
          <w:ilvl w:val="1"/>
          <w:numId w:val="115"/>
        </w:numPr>
        <w:tabs>
          <w:tab w:pos="2485" w:val="left" w:leader="none"/>
          <w:tab w:pos="2486" w:val="left" w:leader="none"/>
        </w:tabs>
        <w:spacing w:line="240" w:lineRule="auto" w:before="120" w:after="0"/>
        <w:ind w:left="2486" w:right="414" w:hanging="567"/>
        <w:jc w:val="left"/>
        <w:rPr>
          <w:sz w:val="24"/>
        </w:rPr>
      </w:pPr>
      <w:r>
        <w:rPr>
          <w:sz w:val="24"/>
        </w:rPr>
        <w:t>that are taken to belong to a common corporate group in accordance with paragraph</w:t>
      </w:r>
      <w:r>
        <w:rPr>
          <w:spacing w:val="-2"/>
          <w:sz w:val="24"/>
        </w:rPr>
        <w:t> </w:t>
      </w:r>
      <w:r>
        <w:rPr>
          <w:sz w:val="24"/>
        </w:rPr>
        <w:t>(b).</w:t>
      </w:r>
    </w:p>
    <w:p>
      <w:pPr>
        <w:pStyle w:val="ListParagraph"/>
        <w:numPr>
          <w:ilvl w:val="0"/>
          <w:numId w:val="115"/>
        </w:numPr>
        <w:tabs>
          <w:tab w:pos="1918" w:val="left" w:leader="none"/>
          <w:tab w:pos="1919" w:val="left" w:leader="none"/>
        </w:tabs>
        <w:spacing w:line="240" w:lineRule="auto" w:before="120" w:after="0"/>
        <w:ind w:left="1919" w:right="414" w:hanging="567"/>
        <w:jc w:val="left"/>
        <w:rPr>
          <w:sz w:val="24"/>
        </w:rPr>
      </w:pPr>
      <w:r>
        <w:rPr>
          <w:sz w:val="24"/>
        </w:rPr>
        <w:t>Two or more trading right holders belong to a common corporate group where:</w:t>
      </w:r>
    </w:p>
    <w:p>
      <w:pPr>
        <w:pStyle w:val="ListParagraph"/>
        <w:numPr>
          <w:ilvl w:val="1"/>
          <w:numId w:val="115"/>
        </w:numPr>
        <w:tabs>
          <w:tab w:pos="2485" w:val="left" w:leader="none"/>
          <w:tab w:pos="2486" w:val="left" w:leader="none"/>
        </w:tabs>
        <w:spacing w:line="240" w:lineRule="auto" w:before="120" w:after="0"/>
        <w:ind w:left="2486" w:right="415" w:hanging="567"/>
        <w:jc w:val="left"/>
        <w:rPr>
          <w:sz w:val="24"/>
        </w:rPr>
      </w:pPr>
      <w:r>
        <w:rPr>
          <w:sz w:val="24"/>
        </w:rPr>
        <w:t>each trading right holder has an ultimate controlling entity in common;</w:t>
      </w:r>
      <w:r>
        <w:rPr>
          <w:spacing w:val="-1"/>
          <w:sz w:val="24"/>
        </w:rPr>
        <w:t> </w:t>
      </w:r>
      <w:r>
        <w:rPr>
          <w:sz w:val="24"/>
        </w:rPr>
        <w:t>or</w:t>
      </w:r>
    </w:p>
    <w:p>
      <w:pPr>
        <w:pStyle w:val="ListParagraph"/>
        <w:numPr>
          <w:ilvl w:val="1"/>
          <w:numId w:val="115"/>
        </w:numPr>
        <w:tabs>
          <w:tab w:pos="2485" w:val="left" w:leader="none"/>
          <w:tab w:pos="2486" w:val="left" w:leader="none"/>
        </w:tabs>
        <w:spacing w:line="240" w:lineRule="auto" w:before="120" w:after="0"/>
        <w:ind w:left="2486" w:right="414" w:hanging="567"/>
        <w:jc w:val="left"/>
        <w:rPr>
          <w:sz w:val="24"/>
        </w:rPr>
      </w:pPr>
      <w:r>
        <w:rPr>
          <w:sz w:val="24"/>
        </w:rPr>
        <w:t>a trading right holder is an ultimate controlling entity of another trading right</w:t>
      </w:r>
      <w:r>
        <w:rPr>
          <w:spacing w:val="-1"/>
          <w:sz w:val="24"/>
        </w:rPr>
        <w:t> </w:t>
      </w:r>
      <w:r>
        <w:rPr>
          <w:sz w:val="24"/>
        </w:rPr>
        <w:t>holder.</w:t>
      </w:r>
    </w:p>
    <w:p>
      <w:pPr>
        <w:pStyle w:val="ListParagraph"/>
        <w:numPr>
          <w:ilvl w:val="0"/>
          <w:numId w:val="115"/>
        </w:numPr>
        <w:tabs>
          <w:tab w:pos="1918" w:val="left" w:leader="none"/>
          <w:tab w:pos="1919" w:val="left" w:leader="none"/>
        </w:tabs>
        <w:spacing w:line="240" w:lineRule="auto" w:before="120" w:after="0"/>
        <w:ind w:left="1919" w:right="415" w:hanging="567"/>
        <w:jc w:val="left"/>
        <w:rPr>
          <w:sz w:val="24"/>
        </w:rPr>
      </w:pPr>
      <w:r>
        <w:rPr>
          <w:sz w:val="24"/>
        </w:rPr>
        <w:t>For the purposes of this Division, a trading right holder may belong to more than one trading</w:t>
      </w:r>
      <w:r>
        <w:rPr>
          <w:spacing w:val="-1"/>
          <w:sz w:val="24"/>
        </w:rPr>
        <w:t> </w:t>
      </w:r>
      <w:r>
        <w:rPr>
          <w:sz w:val="24"/>
        </w:rPr>
        <w:t>group.</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6 Controlling entity" w:id="256"/>
      <w:bookmarkEnd w:id="256"/>
      <w:r>
        <w:rPr>
          <w:b w:val="0"/>
        </w:rPr>
      </w:r>
      <w:bookmarkStart w:name="_bookmark111" w:id="257"/>
      <w:bookmarkEnd w:id="257"/>
      <w:r>
        <w:rPr>
          <w:b w:val="0"/>
        </w:rPr>
      </w:r>
      <w:r>
        <w:rPr/>
        <w:t>4A.G.6</w:t>
        <w:tab/>
        <w:t>Controlling</w:t>
      </w:r>
      <w:r>
        <w:rPr>
          <w:spacing w:val="-1"/>
        </w:rPr>
        <w:t> </w:t>
      </w:r>
      <w:r>
        <w:rPr/>
        <w:t>entity</w:t>
      </w:r>
    </w:p>
    <w:p>
      <w:pPr>
        <w:pStyle w:val="ListParagraph"/>
        <w:numPr>
          <w:ilvl w:val="0"/>
          <w:numId w:val="116"/>
        </w:numPr>
        <w:tabs>
          <w:tab w:pos="1918" w:val="left" w:leader="none"/>
          <w:tab w:pos="1919" w:val="left" w:leader="none"/>
        </w:tabs>
        <w:spacing w:line="240" w:lineRule="auto" w:before="120" w:after="0"/>
        <w:ind w:left="1919" w:right="415" w:hanging="567"/>
        <w:jc w:val="left"/>
        <w:rPr>
          <w:sz w:val="24"/>
        </w:rPr>
      </w:pPr>
      <w:r>
        <w:rPr>
          <w:sz w:val="24"/>
        </w:rPr>
        <w:t>Controlling entity means, in respect of a trading right holder, each entity  that is in a position to directly or indirectly influence or</w:t>
      </w:r>
      <w:r>
        <w:rPr>
          <w:spacing w:val="-3"/>
          <w:sz w:val="24"/>
        </w:rPr>
        <w:t> </w:t>
      </w:r>
      <w:r>
        <w:rPr>
          <w:sz w:val="24"/>
        </w:rPr>
        <w:t>control:</w:t>
      </w:r>
    </w:p>
    <w:p>
      <w:pPr>
        <w:pStyle w:val="ListParagraph"/>
        <w:numPr>
          <w:ilvl w:val="1"/>
          <w:numId w:val="116"/>
        </w:numPr>
        <w:tabs>
          <w:tab w:pos="2485" w:val="left" w:leader="none"/>
          <w:tab w:pos="2486" w:val="left" w:leader="none"/>
        </w:tabs>
        <w:spacing w:line="240" w:lineRule="auto" w:before="120" w:after="0"/>
        <w:ind w:left="2485" w:right="0" w:hanging="567"/>
        <w:jc w:val="left"/>
        <w:rPr>
          <w:sz w:val="24"/>
        </w:rPr>
      </w:pPr>
      <w:r>
        <w:rPr>
          <w:sz w:val="24"/>
        </w:rPr>
        <w:t>that trading right holder;</w:t>
      </w:r>
      <w:r>
        <w:rPr>
          <w:spacing w:val="-1"/>
          <w:sz w:val="24"/>
        </w:rPr>
        <w:t> </w:t>
      </w:r>
      <w:r>
        <w:rPr>
          <w:sz w:val="24"/>
        </w:rPr>
        <w:t>or</w:t>
      </w:r>
    </w:p>
    <w:p>
      <w:pPr>
        <w:spacing w:after="0" w:line="240" w:lineRule="auto"/>
        <w:jc w:val="left"/>
        <w:rPr>
          <w:sz w:val="24"/>
        </w:rPr>
        <w:sectPr>
          <w:pgSz w:w="11910" w:h="16840"/>
          <w:pgMar w:header="686" w:footer="637" w:top="1320" w:bottom="820" w:left="1200" w:right="1000"/>
        </w:sectPr>
      </w:pPr>
    </w:p>
    <w:p>
      <w:pPr>
        <w:pStyle w:val="ListParagraph"/>
        <w:numPr>
          <w:ilvl w:val="1"/>
          <w:numId w:val="116"/>
        </w:numPr>
        <w:tabs>
          <w:tab w:pos="2486" w:val="left" w:leader="none"/>
        </w:tabs>
        <w:spacing w:line="343" w:lineRule="auto" w:before="83" w:after="0"/>
        <w:ind w:left="1919" w:right="893" w:firstLine="0"/>
        <w:jc w:val="both"/>
        <w:rPr>
          <w:sz w:val="24"/>
        </w:rPr>
      </w:pPr>
      <w:r>
        <w:rPr>
          <w:sz w:val="24"/>
        </w:rPr>
        <w:t>any entity covered by a previous application of this paragraph </w:t>
      </w:r>
      <w:r>
        <w:rPr>
          <w:spacing w:val="-4"/>
          <w:sz w:val="24"/>
        </w:rPr>
        <w:t>(a), </w:t>
      </w:r>
      <w:r>
        <w:rPr>
          <w:sz w:val="24"/>
        </w:rPr>
        <w:t>and in each case, subject to this</w:t>
      </w:r>
      <w:r>
        <w:rPr>
          <w:spacing w:val="-2"/>
          <w:sz w:val="24"/>
        </w:rPr>
        <w:t> </w:t>
      </w:r>
      <w:r>
        <w:rPr>
          <w:sz w:val="24"/>
        </w:rPr>
        <w:t>clause.</w:t>
      </w:r>
    </w:p>
    <w:p>
      <w:pPr>
        <w:pStyle w:val="ListParagraph"/>
        <w:numPr>
          <w:ilvl w:val="0"/>
          <w:numId w:val="116"/>
        </w:numPr>
        <w:tabs>
          <w:tab w:pos="1919" w:val="left" w:leader="none"/>
        </w:tabs>
        <w:spacing w:line="240" w:lineRule="auto" w:before="3" w:after="0"/>
        <w:ind w:left="1919" w:right="415" w:hanging="567"/>
        <w:jc w:val="both"/>
        <w:rPr>
          <w:sz w:val="24"/>
        </w:rPr>
      </w:pPr>
      <w:r>
        <w:rPr>
          <w:sz w:val="24"/>
        </w:rPr>
        <w:t>Ultimate controlling entity means, in respect of a trading right holder, the controlling entity of that trading right holder</w:t>
      </w:r>
      <w:r>
        <w:rPr>
          <w:spacing w:val="-2"/>
          <w:sz w:val="24"/>
        </w:rPr>
        <w:t> </w:t>
      </w:r>
      <w:r>
        <w:rPr>
          <w:sz w:val="24"/>
        </w:rPr>
        <w:t>which:</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is not a controlled entity within the meaning of paragraph (c);</w:t>
      </w:r>
      <w:r>
        <w:rPr>
          <w:spacing w:val="-3"/>
          <w:sz w:val="24"/>
        </w:rPr>
        <w:t> </w:t>
      </w:r>
      <w:r>
        <w:rPr>
          <w:sz w:val="24"/>
        </w:rPr>
        <w:t>or</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is taken to have no controlling entity under paragraph</w:t>
      </w:r>
      <w:r>
        <w:rPr>
          <w:spacing w:val="-2"/>
          <w:sz w:val="24"/>
        </w:rPr>
        <w:t> </w:t>
      </w:r>
      <w:r>
        <w:rPr>
          <w:sz w:val="24"/>
        </w:rPr>
        <w:t>(e).</w:t>
      </w:r>
    </w:p>
    <w:p>
      <w:pPr>
        <w:pStyle w:val="ListParagraph"/>
        <w:numPr>
          <w:ilvl w:val="0"/>
          <w:numId w:val="116"/>
        </w:numPr>
        <w:tabs>
          <w:tab w:pos="1919" w:val="left" w:leader="none"/>
        </w:tabs>
        <w:spacing w:line="240" w:lineRule="auto" w:before="120" w:after="0"/>
        <w:ind w:left="1919" w:right="414" w:hanging="567"/>
        <w:jc w:val="both"/>
        <w:rPr>
          <w:sz w:val="24"/>
        </w:rPr>
      </w:pPr>
      <w:r>
        <w:rPr>
          <w:sz w:val="24"/>
        </w:rPr>
        <w:t>For the purposes of this clause, an entity (the "</w:t>
      </w:r>
      <w:r>
        <w:rPr>
          <w:b/>
          <w:sz w:val="24"/>
        </w:rPr>
        <w:t>first entity</w:t>
      </w:r>
      <w:r>
        <w:rPr>
          <w:sz w:val="24"/>
        </w:rPr>
        <w:t>") will be taken to be in a position to directly or indirectly influence or control another entity (the "</w:t>
      </w:r>
      <w:r>
        <w:rPr>
          <w:b/>
          <w:sz w:val="24"/>
        </w:rPr>
        <w:t>second entity</w:t>
      </w:r>
      <w:r>
        <w:rPr>
          <w:sz w:val="24"/>
        </w:rPr>
        <w:t>")</w:t>
      </w:r>
      <w:r>
        <w:rPr>
          <w:spacing w:val="-3"/>
          <w:sz w:val="24"/>
        </w:rPr>
        <w:t> </w:t>
      </w:r>
      <w:r>
        <w:rPr>
          <w:sz w:val="24"/>
        </w:rPr>
        <w:t>if:</w:t>
      </w:r>
    </w:p>
    <w:p>
      <w:pPr>
        <w:pStyle w:val="ListParagraph"/>
        <w:numPr>
          <w:ilvl w:val="1"/>
          <w:numId w:val="116"/>
        </w:numPr>
        <w:tabs>
          <w:tab w:pos="2486" w:val="left" w:leader="none"/>
        </w:tabs>
        <w:spacing w:line="240" w:lineRule="auto" w:before="120" w:after="0"/>
        <w:ind w:left="2486" w:right="415" w:hanging="567"/>
        <w:jc w:val="both"/>
        <w:rPr>
          <w:sz w:val="24"/>
        </w:rPr>
      </w:pPr>
      <w:r>
        <w:rPr>
          <w:sz w:val="24"/>
        </w:rPr>
        <w:t>the first entity is in a position to exercise voting or veto rights in relation to the body that governs the second</w:t>
      </w:r>
      <w:r>
        <w:rPr>
          <w:spacing w:val="-3"/>
          <w:sz w:val="24"/>
        </w:rPr>
        <w:t> </w:t>
      </w:r>
      <w:r>
        <w:rPr>
          <w:sz w:val="24"/>
        </w:rPr>
        <w:t>entity;</w:t>
      </w:r>
    </w:p>
    <w:p>
      <w:pPr>
        <w:pStyle w:val="ListParagraph"/>
        <w:numPr>
          <w:ilvl w:val="1"/>
          <w:numId w:val="116"/>
        </w:numPr>
        <w:tabs>
          <w:tab w:pos="2486" w:val="left" w:leader="none"/>
        </w:tabs>
        <w:spacing w:line="240" w:lineRule="auto" w:before="120" w:after="0"/>
        <w:ind w:left="2486" w:right="414" w:hanging="567"/>
        <w:jc w:val="both"/>
        <w:rPr>
          <w:sz w:val="24"/>
        </w:rPr>
      </w:pPr>
      <w:r>
        <w:rPr>
          <w:sz w:val="24"/>
        </w:rPr>
        <w:t>the first entity is in a position to make decisions that materially impact on the running of, or strategic direction in relation to, the second entity;</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the first entity has the ability to</w:t>
      </w:r>
      <w:r>
        <w:rPr>
          <w:spacing w:val="-1"/>
          <w:sz w:val="24"/>
        </w:rPr>
        <w:t> </w:t>
      </w:r>
      <w:r>
        <w:rPr>
          <w:sz w:val="24"/>
        </w:rPr>
        <w:t>appoint:</w:t>
      </w:r>
    </w:p>
    <w:p>
      <w:pPr>
        <w:pStyle w:val="ListParagraph"/>
        <w:numPr>
          <w:ilvl w:val="2"/>
          <w:numId w:val="116"/>
        </w:numPr>
        <w:tabs>
          <w:tab w:pos="3053" w:val="left" w:leader="none"/>
        </w:tabs>
        <w:spacing w:line="240" w:lineRule="auto" w:before="120" w:after="0"/>
        <w:ind w:left="3052" w:right="0" w:hanging="567"/>
        <w:jc w:val="both"/>
        <w:rPr>
          <w:sz w:val="24"/>
        </w:rPr>
      </w:pPr>
      <w:r>
        <w:rPr>
          <w:sz w:val="24"/>
        </w:rPr>
        <w:t>persons to the body that governs the second entity;</w:t>
      </w:r>
      <w:r>
        <w:rPr>
          <w:spacing w:val="-5"/>
          <w:sz w:val="24"/>
        </w:rPr>
        <w:t> </w:t>
      </w:r>
      <w:r>
        <w:rPr>
          <w:sz w:val="24"/>
        </w:rPr>
        <w:t>or</w:t>
      </w:r>
    </w:p>
    <w:p>
      <w:pPr>
        <w:pStyle w:val="ListParagraph"/>
        <w:numPr>
          <w:ilvl w:val="2"/>
          <w:numId w:val="116"/>
        </w:numPr>
        <w:tabs>
          <w:tab w:pos="3054" w:val="left" w:leader="none"/>
        </w:tabs>
        <w:spacing w:line="240" w:lineRule="auto" w:before="120" w:after="0"/>
        <w:ind w:left="3053" w:right="0" w:hanging="568"/>
        <w:jc w:val="both"/>
        <w:rPr>
          <w:sz w:val="24"/>
        </w:rPr>
      </w:pPr>
      <w:r>
        <w:rPr>
          <w:sz w:val="24"/>
        </w:rPr>
        <w:t>key personnel involved in running the second</w:t>
      </w:r>
      <w:r>
        <w:rPr>
          <w:spacing w:val="-3"/>
          <w:sz w:val="24"/>
        </w:rPr>
        <w:t> </w:t>
      </w:r>
      <w:r>
        <w:rPr>
          <w:sz w:val="24"/>
        </w:rPr>
        <w:t>entity;</w:t>
      </w:r>
    </w:p>
    <w:p>
      <w:pPr>
        <w:pStyle w:val="ListParagraph"/>
        <w:numPr>
          <w:ilvl w:val="1"/>
          <w:numId w:val="116"/>
        </w:numPr>
        <w:tabs>
          <w:tab w:pos="2486" w:val="left" w:leader="none"/>
        </w:tabs>
        <w:spacing w:line="240" w:lineRule="auto" w:before="120" w:after="0"/>
        <w:ind w:left="2486" w:right="415" w:hanging="567"/>
        <w:jc w:val="both"/>
        <w:rPr>
          <w:sz w:val="24"/>
        </w:rPr>
      </w:pPr>
      <w:r>
        <w:rPr>
          <w:sz w:val="24"/>
        </w:rPr>
        <w:t>the first entity is in a position to influence or determine decisions relating</w:t>
      </w:r>
      <w:r>
        <w:rPr>
          <w:spacing w:val="-1"/>
          <w:sz w:val="24"/>
        </w:rPr>
        <w:t> </w:t>
      </w:r>
      <w:r>
        <w:rPr>
          <w:sz w:val="24"/>
        </w:rPr>
        <w:t>to:</w:t>
      </w:r>
    </w:p>
    <w:p>
      <w:pPr>
        <w:pStyle w:val="ListParagraph"/>
        <w:numPr>
          <w:ilvl w:val="2"/>
          <w:numId w:val="116"/>
        </w:numPr>
        <w:tabs>
          <w:tab w:pos="3052" w:val="left" w:leader="none"/>
          <w:tab w:pos="3053" w:val="left" w:leader="none"/>
        </w:tabs>
        <w:spacing w:line="240" w:lineRule="auto" w:before="120" w:after="0"/>
        <w:ind w:left="3053" w:right="416" w:hanging="567"/>
        <w:jc w:val="left"/>
        <w:rPr>
          <w:sz w:val="24"/>
        </w:rPr>
      </w:pPr>
      <w:r>
        <w:rPr>
          <w:sz w:val="24"/>
        </w:rPr>
        <w:t>the business plan, or any other management plan, for the second entity;</w:t>
      </w:r>
    </w:p>
    <w:p>
      <w:pPr>
        <w:pStyle w:val="ListParagraph"/>
        <w:numPr>
          <w:ilvl w:val="2"/>
          <w:numId w:val="116"/>
        </w:numPr>
        <w:tabs>
          <w:tab w:pos="3052" w:val="left" w:leader="none"/>
          <w:tab w:pos="3054" w:val="left" w:leader="none"/>
        </w:tabs>
        <w:spacing w:line="240" w:lineRule="auto" w:before="120" w:after="0"/>
        <w:ind w:left="3053" w:right="0" w:hanging="568"/>
        <w:jc w:val="left"/>
        <w:rPr>
          <w:sz w:val="24"/>
        </w:rPr>
      </w:pPr>
      <w:r>
        <w:rPr>
          <w:sz w:val="24"/>
        </w:rPr>
        <w:t>major expenditure relating to the second</w:t>
      </w:r>
      <w:r>
        <w:rPr>
          <w:spacing w:val="-3"/>
          <w:sz w:val="24"/>
        </w:rPr>
        <w:t> </w:t>
      </w:r>
      <w:r>
        <w:rPr>
          <w:sz w:val="24"/>
        </w:rPr>
        <w:t>entity;</w:t>
      </w:r>
    </w:p>
    <w:p>
      <w:pPr>
        <w:pStyle w:val="ListParagraph"/>
        <w:numPr>
          <w:ilvl w:val="2"/>
          <w:numId w:val="116"/>
        </w:numPr>
        <w:tabs>
          <w:tab w:pos="3052" w:val="left" w:leader="none"/>
          <w:tab w:pos="3053" w:val="left" w:leader="none"/>
        </w:tabs>
        <w:spacing w:line="240" w:lineRule="auto" w:before="120" w:after="0"/>
        <w:ind w:left="3052" w:right="0" w:hanging="567"/>
        <w:jc w:val="left"/>
        <w:rPr>
          <w:sz w:val="24"/>
        </w:rPr>
      </w:pPr>
      <w:r>
        <w:rPr>
          <w:sz w:val="24"/>
        </w:rPr>
        <w:t>major contracts or transactions involving the second entity;</w:t>
      </w:r>
      <w:r>
        <w:rPr>
          <w:spacing w:val="-5"/>
          <w:sz w:val="24"/>
        </w:rPr>
        <w:t> </w:t>
      </w:r>
      <w:r>
        <w:rPr>
          <w:sz w:val="24"/>
        </w:rPr>
        <w:t>or</w:t>
      </w:r>
    </w:p>
    <w:p>
      <w:pPr>
        <w:pStyle w:val="ListParagraph"/>
        <w:numPr>
          <w:ilvl w:val="2"/>
          <w:numId w:val="116"/>
        </w:numPr>
        <w:tabs>
          <w:tab w:pos="3052" w:val="left" w:leader="none"/>
          <w:tab w:pos="3054" w:val="left" w:leader="none"/>
        </w:tabs>
        <w:spacing w:line="240" w:lineRule="auto" w:before="120" w:after="0"/>
        <w:ind w:left="3053" w:right="0" w:hanging="568"/>
        <w:jc w:val="left"/>
        <w:rPr>
          <w:sz w:val="24"/>
        </w:rPr>
      </w:pPr>
      <w:r>
        <w:rPr>
          <w:sz w:val="24"/>
        </w:rPr>
        <w:t>major loans involving the second entity;</w:t>
      </w:r>
      <w:r>
        <w:rPr>
          <w:spacing w:val="-2"/>
          <w:sz w:val="24"/>
        </w:rPr>
        <w:t> </w:t>
      </w:r>
      <w:r>
        <w:rPr>
          <w:sz w:val="24"/>
        </w:rPr>
        <w:t>or</w:t>
      </w:r>
    </w:p>
    <w:p>
      <w:pPr>
        <w:pStyle w:val="ListParagraph"/>
        <w:numPr>
          <w:ilvl w:val="1"/>
          <w:numId w:val="116"/>
        </w:numPr>
        <w:tabs>
          <w:tab w:pos="2486" w:val="left" w:leader="none"/>
        </w:tabs>
        <w:spacing w:line="240" w:lineRule="auto" w:before="120" w:after="0"/>
        <w:ind w:left="2486" w:right="414" w:hanging="567"/>
        <w:jc w:val="both"/>
        <w:rPr>
          <w:sz w:val="24"/>
        </w:rPr>
      </w:pPr>
      <w:r>
        <w:rPr>
          <w:sz w:val="24"/>
        </w:rPr>
        <w:t>the first entity, together with any associates of the first entity, holds an interest of at least 10% in the second entity (including if any of the interests are held jointly with one or more other</w:t>
      </w:r>
      <w:r>
        <w:rPr>
          <w:spacing w:val="-4"/>
          <w:sz w:val="24"/>
        </w:rPr>
        <w:t> </w:t>
      </w:r>
      <w:r>
        <w:rPr>
          <w:sz w:val="24"/>
        </w:rPr>
        <w:t>entities).</w:t>
      </w:r>
    </w:p>
    <w:p>
      <w:pPr>
        <w:pStyle w:val="ListParagraph"/>
        <w:numPr>
          <w:ilvl w:val="0"/>
          <w:numId w:val="116"/>
        </w:numPr>
        <w:tabs>
          <w:tab w:pos="1919" w:val="left" w:leader="none"/>
        </w:tabs>
        <w:spacing w:line="240" w:lineRule="auto" w:before="120" w:after="0"/>
        <w:ind w:left="1919" w:right="416" w:hanging="567"/>
        <w:jc w:val="both"/>
        <w:rPr>
          <w:sz w:val="24"/>
        </w:rPr>
      </w:pPr>
      <w:r>
        <w:rPr>
          <w:sz w:val="24"/>
        </w:rPr>
        <w:t>For the purposes of subparagraph (c)(5), "</w:t>
      </w:r>
      <w:r>
        <w:rPr>
          <w:b/>
          <w:sz w:val="24"/>
        </w:rPr>
        <w:t>associate</w:t>
      </w:r>
      <w:r>
        <w:rPr>
          <w:sz w:val="24"/>
        </w:rPr>
        <w:t>" has the meaning given in the </w:t>
      </w:r>
      <w:r>
        <w:rPr>
          <w:i/>
          <w:sz w:val="24"/>
        </w:rPr>
        <w:t>Corporations Act 2001</w:t>
      </w:r>
      <w:r>
        <w:rPr>
          <w:i/>
          <w:spacing w:val="-1"/>
          <w:sz w:val="24"/>
        </w:rPr>
        <w:t> </w:t>
      </w:r>
      <w:r>
        <w:rPr>
          <w:sz w:val="24"/>
        </w:rPr>
        <w:t>(Cth).</w:t>
      </w:r>
    </w:p>
    <w:p>
      <w:pPr>
        <w:pStyle w:val="ListParagraph"/>
        <w:numPr>
          <w:ilvl w:val="0"/>
          <w:numId w:val="116"/>
        </w:numPr>
        <w:tabs>
          <w:tab w:pos="1919" w:val="left" w:leader="none"/>
        </w:tabs>
        <w:spacing w:line="240" w:lineRule="auto" w:before="120" w:after="0"/>
        <w:ind w:left="1919" w:right="414" w:hanging="567"/>
        <w:jc w:val="both"/>
        <w:rPr>
          <w:sz w:val="24"/>
        </w:rPr>
      </w:pPr>
      <w:r>
        <w:rPr>
          <w:sz w:val="24"/>
        </w:rPr>
        <w:t>For the purposes of this clause, an entity is taken to have no controlling entity</w:t>
      </w:r>
      <w:r>
        <w:rPr>
          <w:spacing w:val="-1"/>
          <w:sz w:val="24"/>
        </w:rPr>
        <w:t> </w:t>
      </w:r>
      <w:r>
        <w:rPr>
          <w:sz w:val="24"/>
        </w:rPr>
        <w:t>where:</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the securities of that entity</w:t>
      </w:r>
      <w:r>
        <w:rPr>
          <w:spacing w:val="-2"/>
          <w:sz w:val="24"/>
        </w:rPr>
        <w:t> </w:t>
      </w:r>
      <w:r>
        <w:rPr>
          <w:sz w:val="24"/>
        </w:rPr>
        <w:t>are:</w:t>
      </w:r>
    </w:p>
    <w:p>
      <w:pPr>
        <w:pStyle w:val="ListParagraph"/>
        <w:numPr>
          <w:ilvl w:val="2"/>
          <w:numId w:val="116"/>
        </w:numPr>
        <w:tabs>
          <w:tab w:pos="3053" w:val="left" w:leader="none"/>
        </w:tabs>
        <w:spacing w:line="240" w:lineRule="auto" w:before="120" w:after="0"/>
        <w:ind w:left="3052" w:right="0" w:hanging="567"/>
        <w:jc w:val="both"/>
        <w:rPr>
          <w:sz w:val="24"/>
        </w:rPr>
      </w:pPr>
      <w:r>
        <w:rPr>
          <w:sz w:val="24"/>
        </w:rPr>
        <w:t>listed</w:t>
      </w:r>
      <w:r>
        <w:rPr>
          <w:spacing w:val="24"/>
          <w:sz w:val="24"/>
        </w:rPr>
        <w:t> </w:t>
      </w:r>
      <w:r>
        <w:rPr>
          <w:sz w:val="24"/>
        </w:rPr>
        <w:t>(within</w:t>
      </w:r>
      <w:r>
        <w:rPr>
          <w:spacing w:val="24"/>
          <w:sz w:val="24"/>
        </w:rPr>
        <w:t> </w:t>
      </w:r>
      <w:r>
        <w:rPr>
          <w:sz w:val="24"/>
        </w:rPr>
        <w:t>the</w:t>
      </w:r>
      <w:r>
        <w:rPr>
          <w:spacing w:val="25"/>
          <w:sz w:val="24"/>
        </w:rPr>
        <w:t> </w:t>
      </w:r>
      <w:r>
        <w:rPr>
          <w:sz w:val="24"/>
        </w:rPr>
        <w:t>meaning</w:t>
      </w:r>
      <w:r>
        <w:rPr>
          <w:spacing w:val="24"/>
          <w:sz w:val="24"/>
        </w:rPr>
        <w:t> </w:t>
      </w:r>
      <w:r>
        <w:rPr>
          <w:sz w:val="24"/>
        </w:rPr>
        <w:t>given</w:t>
      </w:r>
      <w:r>
        <w:rPr>
          <w:spacing w:val="25"/>
          <w:sz w:val="24"/>
        </w:rPr>
        <w:t> </w:t>
      </w:r>
      <w:r>
        <w:rPr>
          <w:sz w:val="24"/>
        </w:rPr>
        <w:t>to</w:t>
      </w:r>
      <w:r>
        <w:rPr>
          <w:spacing w:val="24"/>
          <w:sz w:val="24"/>
        </w:rPr>
        <w:t> </w:t>
      </w:r>
      <w:r>
        <w:rPr>
          <w:sz w:val="24"/>
        </w:rPr>
        <w:t>that</w:t>
      </w:r>
      <w:r>
        <w:rPr>
          <w:spacing w:val="25"/>
          <w:sz w:val="24"/>
        </w:rPr>
        <w:t> </w:t>
      </w:r>
      <w:r>
        <w:rPr>
          <w:sz w:val="24"/>
        </w:rPr>
        <w:t>word</w:t>
      </w:r>
      <w:r>
        <w:rPr>
          <w:spacing w:val="24"/>
          <w:sz w:val="24"/>
        </w:rPr>
        <w:t> </w:t>
      </w:r>
      <w:r>
        <w:rPr>
          <w:sz w:val="24"/>
        </w:rPr>
        <w:t>in</w:t>
      </w:r>
      <w:r>
        <w:rPr>
          <w:spacing w:val="25"/>
          <w:sz w:val="24"/>
        </w:rPr>
        <w:t> </w:t>
      </w:r>
      <w:r>
        <w:rPr>
          <w:sz w:val="24"/>
        </w:rPr>
        <w:t>the</w:t>
      </w:r>
    </w:p>
    <w:p>
      <w:pPr>
        <w:spacing w:before="0"/>
        <w:ind w:left="3053" w:right="0" w:firstLine="0"/>
        <w:jc w:val="both"/>
        <w:rPr>
          <w:sz w:val="24"/>
        </w:rPr>
      </w:pPr>
      <w:r>
        <w:rPr>
          <w:i/>
          <w:sz w:val="24"/>
        </w:rPr>
        <w:t>Corporations Act 2001 </w:t>
      </w:r>
      <w:r>
        <w:rPr>
          <w:sz w:val="24"/>
        </w:rPr>
        <w:t>(Cth)); or</w:t>
      </w:r>
    </w:p>
    <w:p>
      <w:pPr>
        <w:pStyle w:val="ListParagraph"/>
        <w:numPr>
          <w:ilvl w:val="2"/>
          <w:numId w:val="116"/>
        </w:numPr>
        <w:tabs>
          <w:tab w:pos="3054" w:val="left" w:leader="none"/>
        </w:tabs>
        <w:spacing w:line="240" w:lineRule="auto" w:before="120" w:after="0"/>
        <w:ind w:left="3053" w:right="415" w:hanging="567"/>
        <w:jc w:val="both"/>
        <w:rPr>
          <w:sz w:val="24"/>
        </w:rPr>
      </w:pPr>
      <w:r>
        <w:rPr>
          <w:sz w:val="24"/>
        </w:rPr>
        <w:t>publicly listed on an equivalent foreign financial market or securities</w:t>
      </w:r>
      <w:r>
        <w:rPr>
          <w:spacing w:val="-1"/>
          <w:sz w:val="24"/>
        </w:rPr>
        <w:t> </w:t>
      </w:r>
      <w:r>
        <w:rPr>
          <w:sz w:val="24"/>
        </w:rPr>
        <w:t>exchange;</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the</w:t>
      </w:r>
      <w:r>
        <w:rPr>
          <w:spacing w:val="51"/>
          <w:sz w:val="24"/>
        </w:rPr>
        <w:t> </w:t>
      </w:r>
      <w:r>
        <w:rPr>
          <w:sz w:val="24"/>
        </w:rPr>
        <w:t>securities</w:t>
      </w:r>
      <w:r>
        <w:rPr>
          <w:spacing w:val="51"/>
          <w:sz w:val="24"/>
        </w:rPr>
        <w:t> </w:t>
      </w:r>
      <w:r>
        <w:rPr>
          <w:sz w:val="24"/>
        </w:rPr>
        <w:t>of</w:t>
      </w:r>
      <w:r>
        <w:rPr>
          <w:spacing w:val="50"/>
          <w:sz w:val="24"/>
        </w:rPr>
        <w:t> </w:t>
      </w:r>
      <w:r>
        <w:rPr>
          <w:sz w:val="24"/>
        </w:rPr>
        <w:t>that</w:t>
      </w:r>
      <w:r>
        <w:rPr>
          <w:spacing w:val="50"/>
          <w:sz w:val="24"/>
        </w:rPr>
        <w:t> </w:t>
      </w:r>
      <w:r>
        <w:rPr>
          <w:sz w:val="24"/>
        </w:rPr>
        <w:t>entity</w:t>
      </w:r>
      <w:r>
        <w:rPr>
          <w:spacing w:val="51"/>
          <w:sz w:val="24"/>
        </w:rPr>
        <w:t> </w:t>
      </w:r>
      <w:r>
        <w:rPr>
          <w:sz w:val="24"/>
        </w:rPr>
        <w:t>are</w:t>
      </w:r>
      <w:r>
        <w:rPr>
          <w:spacing w:val="50"/>
          <w:sz w:val="24"/>
        </w:rPr>
        <w:t> </w:t>
      </w:r>
      <w:r>
        <w:rPr>
          <w:sz w:val="24"/>
        </w:rPr>
        <w:t>wholly</w:t>
      </w:r>
      <w:r>
        <w:rPr>
          <w:spacing w:val="50"/>
          <w:sz w:val="24"/>
        </w:rPr>
        <w:t> </w:t>
      </w:r>
      <w:r>
        <w:rPr>
          <w:sz w:val="24"/>
        </w:rPr>
        <w:t>and</w:t>
      </w:r>
      <w:r>
        <w:rPr>
          <w:spacing w:val="51"/>
          <w:sz w:val="24"/>
        </w:rPr>
        <w:t> </w:t>
      </w:r>
      <w:r>
        <w:rPr>
          <w:sz w:val="24"/>
        </w:rPr>
        <w:t>directly</w:t>
      </w:r>
      <w:r>
        <w:rPr>
          <w:spacing w:val="50"/>
          <w:sz w:val="24"/>
        </w:rPr>
        <w:t> </w:t>
      </w:r>
      <w:r>
        <w:rPr>
          <w:sz w:val="24"/>
        </w:rPr>
        <w:t>owned</w:t>
      </w:r>
      <w:r>
        <w:rPr>
          <w:spacing w:val="51"/>
          <w:sz w:val="24"/>
        </w:rPr>
        <w:t> </w:t>
      </w:r>
      <w:r>
        <w:rPr>
          <w:sz w:val="24"/>
        </w:rPr>
        <w:t>by</w:t>
      </w:r>
      <w:r>
        <w:rPr>
          <w:spacing w:val="50"/>
          <w:sz w:val="24"/>
        </w:rPr>
        <w:t> </w:t>
      </w:r>
      <w:r>
        <w:rPr>
          <w:sz w:val="24"/>
        </w:rPr>
        <w:t>any</w:t>
      </w:r>
    </w:p>
    <w:p>
      <w:pPr>
        <w:spacing w:before="0"/>
        <w:ind w:left="2486" w:right="0" w:firstLine="0"/>
        <w:jc w:val="both"/>
        <w:rPr>
          <w:sz w:val="24"/>
        </w:rPr>
      </w:pPr>
      <w:r>
        <w:rPr>
          <w:i/>
          <w:sz w:val="24"/>
        </w:rPr>
        <w:t>participating jurisdiction</w:t>
      </w:r>
      <w:r>
        <w:rPr>
          <w:sz w:val="24"/>
        </w:rPr>
        <w:t>; or</w:t>
      </w:r>
    </w:p>
    <w:p>
      <w:pPr>
        <w:pStyle w:val="ListParagraph"/>
        <w:numPr>
          <w:ilvl w:val="1"/>
          <w:numId w:val="116"/>
        </w:numPr>
        <w:tabs>
          <w:tab w:pos="2486" w:val="left" w:leader="none"/>
        </w:tabs>
        <w:spacing w:line="240" w:lineRule="auto" w:before="120" w:after="0"/>
        <w:ind w:left="2485" w:right="0" w:hanging="567"/>
        <w:jc w:val="both"/>
        <w:rPr>
          <w:sz w:val="24"/>
        </w:rPr>
      </w:pPr>
      <w:r>
        <w:rPr>
          <w:sz w:val="24"/>
        </w:rPr>
        <w:t>that</w:t>
      </w:r>
      <w:r>
        <w:rPr>
          <w:spacing w:val="41"/>
          <w:sz w:val="24"/>
        </w:rPr>
        <w:t> </w:t>
      </w:r>
      <w:r>
        <w:rPr>
          <w:sz w:val="24"/>
        </w:rPr>
        <w:t>entity</w:t>
      </w:r>
      <w:r>
        <w:rPr>
          <w:spacing w:val="42"/>
          <w:sz w:val="24"/>
        </w:rPr>
        <w:t> </w:t>
      </w:r>
      <w:r>
        <w:rPr>
          <w:sz w:val="24"/>
        </w:rPr>
        <w:t>is</w:t>
      </w:r>
      <w:r>
        <w:rPr>
          <w:spacing w:val="41"/>
          <w:sz w:val="24"/>
        </w:rPr>
        <w:t> </w:t>
      </w:r>
      <w:r>
        <w:rPr>
          <w:sz w:val="24"/>
        </w:rPr>
        <w:t>a</w:t>
      </w:r>
      <w:r>
        <w:rPr>
          <w:spacing w:val="42"/>
          <w:sz w:val="24"/>
        </w:rPr>
        <w:t> </w:t>
      </w:r>
      <w:r>
        <w:rPr>
          <w:sz w:val="24"/>
        </w:rPr>
        <w:t>public</w:t>
      </w:r>
      <w:r>
        <w:rPr>
          <w:spacing w:val="41"/>
          <w:sz w:val="24"/>
        </w:rPr>
        <w:t> </w:t>
      </w:r>
      <w:r>
        <w:rPr>
          <w:sz w:val="24"/>
        </w:rPr>
        <w:t>statutory</w:t>
      </w:r>
      <w:r>
        <w:rPr>
          <w:spacing w:val="42"/>
          <w:sz w:val="24"/>
        </w:rPr>
        <w:t> </w:t>
      </w:r>
      <w:r>
        <w:rPr>
          <w:sz w:val="24"/>
        </w:rPr>
        <w:t>body</w:t>
      </w:r>
      <w:r>
        <w:rPr>
          <w:spacing w:val="41"/>
          <w:sz w:val="24"/>
        </w:rPr>
        <w:t> </w:t>
      </w:r>
      <w:r>
        <w:rPr>
          <w:sz w:val="24"/>
        </w:rPr>
        <w:t>constituted</w:t>
      </w:r>
      <w:r>
        <w:rPr>
          <w:spacing w:val="42"/>
          <w:sz w:val="24"/>
        </w:rPr>
        <w:t> </w:t>
      </w:r>
      <w:r>
        <w:rPr>
          <w:sz w:val="24"/>
        </w:rPr>
        <w:t>under</w:t>
      </w:r>
      <w:r>
        <w:rPr>
          <w:spacing w:val="41"/>
          <w:sz w:val="24"/>
        </w:rPr>
        <w:t> </w:t>
      </w:r>
      <w:r>
        <w:rPr>
          <w:sz w:val="24"/>
        </w:rPr>
        <w:t>an</w:t>
      </w:r>
      <w:r>
        <w:rPr>
          <w:spacing w:val="42"/>
          <w:sz w:val="24"/>
        </w:rPr>
        <w:t> </w:t>
      </w:r>
      <w:r>
        <w:rPr>
          <w:sz w:val="24"/>
        </w:rPr>
        <w:t>Act</w:t>
      </w:r>
      <w:r>
        <w:rPr>
          <w:spacing w:val="41"/>
          <w:sz w:val="24"/>
        </w:rPr>
        <w:t> </w:t>
      </w:r>
      <w:r>
        <w:rPr>
          <w:sz w:val="24"/>
        </w:rPr>
        <w:t>of</w:t>
      </w:r>
      <w:r>
        <w:rPr>
          <w:spacing w:val="42"/>
          <w:sz w:val="24"/>
        </w:rPr>
        <w:t> </w:t>
      </w:r>
      <w:r>
        <w:rPr>
          <w:sz w:val="24"/>
        </w:rPr>
        <w:t>a</w:t>
      </w:r>
    </w:p>
    <w:p>
      <w:pPr>
        <w:spacing w:before="0"/>
        <w:ind w:left="2486" w:right="0" w:firstLine="0"/>
        <w:jc w:val="both"/>
        <w:rPr>
          <w:sz w:val="24"/>
        </w:rPr>
      </w:pPr>
      <w:r>
        <w:rPr>
          <w:i/>
          <w:sz w:val="24"/>
        </w:rPr>
        <w:t>participating jurisdiction</w:t>
      </w:r>
      <w:r>
        <w:rPr>
          <w:sz w:val="24"/>
        </w:rPr>
        <w:t>.</w:t>
      </w:r>
    </w:p>
    <w:p>
      <w:pPr>
        <w:spacing w:after="0"/>
        <w:jc w:val="both"/>
        <w:rPr>
          <w:sz w:val="24"/>
        </w:rPr>
        <w:sectPr>
          <w:pgSz w:w="11910" w:h="16840"/>
          <w:pgMar w:header="686" w:footer="637" w:top="1320" w:bottom="820" w:left="1200" w:right="1000"/>
        </w:sectPr>
      </w:pPr>
    </w:p>
    <w:p>
      <w:pPr>
        <w:pStyle w:val="ListParagraph"/>
        <w:numPr>
          <w:ilvl w:val="0"/>
          <w:numId w:val="116"/>
        </w:numPr>
        <w:tabs>
          <w:tab w:pos="1919" w:val="left" w:leader="none"/>
          <w:tab w:pos="1920" w:val="left" w:leader="none"/>
        </w:tabs>
        <w:spacing w:line="240" w:lineRule="auto" w:before="83" w:after="0"/>
        <w:ind w:left="1919" w:right="0" w:hanging="568"/>
        <w:jc w:val="left"/>
        <w:rPr>
          <w:sz w:val="24"/>
        </w:rPr>
      </w:pPr>
      <w:r>
        <w:rPr>
          <w:sz w:val="24"/>
        </w:rPr>
        <w:t>For the purposes of this clause, "</w:t>
      </w:r>
      <w:r>
        <w:rPr>
          <w:b/>
          <w:sz w:val="24"/>
        </w:rPr>
        <w:t>entity</w:t>
      </w:r>
      <w:r>
        <w:rPr>
          <w:sz w:val="24"/>
        </w:rPr>
        <w:t>" means any of the</w:t>
      </w:r>
      <w:r>
        <w:rPr>
          <w:spacing w:val="-6"/>
          <w:sz w:val="24"/>
        </w:rPr>
        <w:t> </w:t>
      </w:r>
      <w:r>
        <w:rPr>
          <w:sz w:val="24"/>
        </w:rPr>
        <w:t>following:</w:t>
      </w:r>
    </w:p>
    <w:p>
      <w:pPr>
        <w:pStyle w:val="ListParagraph"/>
        <w:numPr>
          <w:ilvl w:val="1"/>
          <w:numId w:val="116"/>
        </w:numPr>
        <w:tabs>
          <w:tab w:pos="2485" w:val="left" w:leader="none"/>
          <w:tab w:pos="2486" w:val="left" w:leader="none"/>
        </w:tabs>
        <w:spacing w:line="240" w:lineRule="auto" w:before="120" w:after="0"/>
        <w:ind w:left="2486" w:right="416" w:hanging="567"/>
        <w:jc w:val="left"/>
        <w:rPr>
          <w:sz w:val="24"/>
        </w:rPr>
      </w:pPr>
      <w:r>
        <w:rPr>
          <w:sz w:val="24"/>
        </w:rPr>
        <w:t>an individual, whether or not resident in Australia or an Australian citizen;</w:t>
      </w:r>
    </w:p>
    <w:p>
      <w:pPr>
        <w:pStyle w:val="ListParagraph"/>
        <w:numPr>
          <w:ilvl w:val="1"/>
          <w:numId w:val="116"/>
        </w:numPr>
        <w:tabs>
          <w:tab w:pos="2485" w:val="left" w:leader="none"/>
          <w:tab w:pos="2486" w:val="left" w:leader="none"/>
        </w:tabs>
        <w:spacing w:line="240" w:lineRule="auto" w:before="120" w:after="0"/>
        <w:ind w:left="2486" w:right="416" w:hanging="567"/>
        <w:jc w:val="left"/>
        <w:rPr>
          <w:sz w:val="24"/>
        </w:rPr>
      </w:pPr>
      <w:r>
        <w:rPr>
          <w:sz w:val="24"/>
        </w:rPr>
        <w:t>a body corporate, whether or not formed, or carrying on business, in Australia;</w:t>
      </w:r>
    </w:p>
    <w:p>
      <w:pPr>
        <w:pStyle w:val="ListParagraph"/>
        <w:numPr>
          <w:ilvl w:val="1"/>
          <w:numId w:val="116"/>
        </w:numPr>
        <w:tabs>
          <w:tab w:pos="2485" w:val="left" w:leader="none"/>
          <w:tab w:pos="2486" w:val="left" w:leader="none"/>
        </w:tabs>
        <w:spacing w:line="240" w:lineRule="auto" w:before="120" w:after="0"/>
        <w:ind w:left="2485" w:right="0" w:hanging="567"/>
        <w:jc w:val="left"/>
        <w:rPr>
          <w:sz w:val="24"/>
        </w:rPr>
      </w:pPr>
      <w:r>
        <w:rPr>
          <w:sz w:val="24"/>
        </w:rPr>
        <w:t>a body politic, whether or not an Australian body</w:t>
      </w:r>
      <w:r>
        <w:rPr>
          <w:spacing w:val="-4"/>
          <w:sz w:val="24"/>
        </w:rPr>
        <w:t> </w:t>
      </w:r>
      <w:r>
        <w:rPr>
          <w:sz w:val="24"/>
        </w:rPr>
        <w:t>politic;</w:t>
      </w:r>
    </w:p>
    <w:p>
      <w:pPr>
        <w:pStyle w:val="ListParagraph"/>
        <w:numPr>
          <w:ilvl w:val="1"/>
          <w:numId w:val="116"/>
        </w:numPr>
        <w:tabs>
          <w:tab w:pos="2485" w:val="left" w:leader="none"/>
          <w:tab w:pos="2486" w:val="left" w:leader="none"/>
        </w:tabs>
        <w:spacing w:line="240" w:lineRule="auto" w:before="120" w:after="0"/>
        <w:ind w:left="2486" w:right="416" w:hanging="567"/>
        <w:jc w:val="left"/>
        <w:rPr>
          <w:sz w:val="24"/>
        </w:rPr>
      </w:pPr>
      <w:r>
        <w:rPr>
          <w:sz w:val="24"/>
        </w:rPr>
        <w:t>a partnership or unincorporated joint venture, whether or not formed in</w:t>
      </w:r>
      <w:r>
        <w:rPr>
          <w:spacing w:val="-1"/>
          <w:sz w:val="24"/>
        </w:rPr>
        <w:t> </w:t>
      </w:r>
      <w:r>
        <w:rPr>
          <w:sz w:val="24"/>
        </w:rPr>
        <w:t>Australia;</w:t>
      </w:r>
    </w:p>
    <w:p>
      <w:pPr>
        <w:pStyle w:val="ListParagraph"/>
        <w:numPr>
          <w:ilvl w:val="1"/>
          <w:numId w:val="116"/>
        </w:numPr>
        <w:tabs>
          <w:tab w:pos="2485" w:val="left" w:leader="none"/>
          <w:tab w:pos="2486" w:val="left" w:leader="none"/>
        </w:tabs>
        <w:spacing w:line="240" w:lineRule="auto" w:before="120" w:after="0"/>
        <w:ind w:left="2485" w:right="0" w:hanging="567"/>
        <w:jc w:val="left"/>
        <w:rPr>
          <w:sz w:val="24"/>
        </w:rPr>
      </w:pPr>
      <w:r>
        <w:rPr>
          <w:sz w:val="24"/>
        </w:rPr>
        <w:t>a trust, whether or not created in</w:t>
      </w:r>
      <w:r>
        <w:rPr>
          <w:spacing w:val="-3"/>
          <w:sz w:val="24"/>
        </w:rPr>
        <w:t> </w:t>
      </w:r>
      <w:r>
        <w:rPr>
          <w:sz w:val="24"/>
        </w:rPr>
        <w:t>Australia;</w:t>
      </w:r>
    </w:p>
    <w:p>
      <w:pPr>
        <w:pStyle w:val="ListParagraph"/>
        <w:numPr>
          <w:ilvl w:val="1"/>
          <w:numId w:val="116"/>
        </w:numPr>
        <w:tabs>
          <w:tab w:pos="2485" w:val="left" w:leader="none"/>
          <w:tab w:pos="2486" w:val="left" w:leader="none"/>
        </w:tabs>
        <w:spacing w:line="240" w:lineRule="auto" w:before="120" w:after="0"/>
        <w:ind w:left="2486" w:right="416" w:hanging="567"/>
        <w:jc w:val="left"/>
        <w:rPr>
          <w:sz w:val="24"/>
        </w:rPr>
      </w:pPr>
      <w:r>
        <w:rPr>
          <w:sz w:val="24"/>
        </w:rPr>
        <w:t>a superannuation, pension or investment fund, whether or not created in Australia;</w:t>
      </w:r>
      <w:r>
        <w:rPr>
          <w:spacing w:val="-1"/>
          <w:sz w:val="24"/>
        </w:rPr>
        <w:t> </w:t>
      </w:r>
      <w:r>
        <w:rPr>
          <w:sz w:val="24"/>
        </w:rPr>
        <w:t>or</w:t>
      </w:r>
    </w:p>
    <w:p>
      <w:pPr>
        <w:pStyle w:val="ListParagraph"/>
        <w:numPr>
          <w:ilvl w:val="1"/>
          <w:numId w:val="116"/>
        </w:numPr>
        <w:tabs>
          <w:tab w:pos="2485" w:val="left" w:leader="none"/>
          <w:tab w:pos="2486" w:val="left" w:leader="none"/>
        </w:tabs>
        <w:spacing w:line="240" w:lineRule="auto" w:before="120" w:after="0"/>
        <w:ind w:left="2485" w:right="0" w:hanging="567"/>
        <w:jc w:val="left"/>
        <w:rPr>
          <w:sz w:val="24"/>
        </w:rPr>
      </w:pPr>
      <w:r>
        <w:rPr>
          <w:sz w:val="24"/>
        </w:rPr>
        <w:t>an unincorporated foreign</w:t>
      </w:r>
      <w:r>
        <w:rPr>
          <w:spacing w:val="-1"/>
          <w:sz w:val="24"/>
        </w:rPr>
        <w:t> </w:t>
      </w:r>
      <w:r>
        <w:rPr>
          <w:sz w:val="24"/>
        </w:rPr>
        <w:t>entity.</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3"/>
        <w:tabs>
          <w:tab w:pos="1656" w:val="left" w:leader="none"/>
        </w:tabs>
        <w:ind w:left="218" w:firstLine="0"/>
      </w:pPr>
      <w:bookmarkStart w:name="Division 4 Traced capacity and trading g" w:id="258"/>
      <w:bookmarkEnd w:id="258"/>
      <w:r>
        <w:rPr>
          <w:b w:val="0"/>
        </w:rPr>
      </w:r>
      <w:bookmarkStart w:name="_bookmark112" w:id="259"/>
      <w:bookmarkEnd w:id="259"/>
      <w:r>
        <w:rPr>
          <w:b w:val="0"/>
        </w:rPr>
      </w:r>
      <w:r>
        <w:rPr/>
        <w:t>Division</w:t>
      </w:r>
      <w:r>
        <w:rPr>
          <w:spacing w:val="-4"/>
        </w:rPr>
        <w:t> </w:t>
      </w:r>
      <w:r>
        <w:rPr/>
        <w:t>4</w:t>
        <w:tab/>
        <w:t>Traced capacity and trading group</w:t>
      </w:r>
      <w:r>
        <w:rPr>
          <w:spacing w:val="-5"/>
        </w:rPr>
        <w:t> </w:t>
      </w:r>
      <w:r>
        <w:rPr/>
        <w:t>capacity</w:t>
      </w:r>
    </w:p>
    <w:p>
      <w:pPr>
        <w:pStyle w:val="Heading4"/>
        <w:tabs>
          <w:tab w:pos="1351" w:val="left" w:leader="none"/>
        </w:tabs>
        <w:spacing w:before="240"/>
        <w:ind w:left="218" w:firstLine="0"/>
      </w:pPr>
      <w:bookmarkStart w:name="4A.G.7 Traced capacity" w:id="260"/>
      <w:bookmarkEnd w:id="260"/>
      <w:r>
        <w:rPr>
          <w:b w:val="0"/>
        </w:rPr>
      </w:r>
      <w:bookmarkStart w:name="_bookmark113" w:id="261"/>
      <w:bookmarkEnd w:id="261"/>
      <w:r>
        <w:rPr>
          <w:b w:val="0"/>
        </w:rPr>
      </w:r>
      <w:r>
        <w:rPr/>
        <w:t>4A.G.7</w:t>
        <w:tab/>
        <w:t>Traced</w:t>
      </w:r>
      <w:r>
        <w:rPr>
          <w:spacing w:val="-1"/>
        </w:rPr>
        <w:t> </w:t>
      </w:r>
      <w:r>
        <w:rPr/>
        <w:t>capacity</w:t>
      </w:r>
    </w:p>
    <w:p>
      <w:pPr>
        <w:pStyle w:val="ListParagraph"/>
        <w:numPr>
          <w:ilvl w:val="0"/>
          <w:numId w:val="117"/>
        </w:numPr>
        <w:tabs>
          <w:tab w:pos="1919" w:val="left" w:leader="none"/>
        </w:tabs>
        <w:spacing w:line="240" w:lineRule="auto" w:before="120" w:after="0"/>
        <w:ind w:left="1919" w:right="415" w:hanging="567"/>
        <w:jc w:val="both"/>
        <w:rPr>
          <w:sz w:val="24"/>
        </w:rPr>
      </w:pPr>
      <w:r>
        <w:rPr>
          <w:sz w:val="24"/>
        </w:rPr>
        <w:t>Traced capacity means each parcel of a </w:t>
      </w:r>
      <w:r>
        <w:rPr>
          <w:i/>
          <w:sz w:val="24"/>
        </w:rPr>
        <w:t>Market Generator's </w:t>
      </w:r>
      <w:r>
        <w:rPr>
          <w:sz w:val="24"/>
        </w:rPr>
        <w:t>generator capacity that is allocated to a trading group under clause</w:t>
      </w:r>
      <w:r>
        <w:rPr>
          <w:spacing w:val="-3"/>
          <w:sz w:val="24"/>
        </w:rPr>
        <w:t> </w:t>
      </w:r>
      <w:r>
        <w:rPr>
          <w:sz w:val="24"/>
        </w:rPr>
        <w:t>4A.G.8.</w:t>
      </w:r>
    </w:p>
    <w:p>
      <w:pPr>
        <w:pStyle w:val="ListParagraph"/>
        <w:numPr>
          <w:ilvl w:val="0"/>
          <w:numId w:val="117"/>
        </w:numPr>
        <w:tabs>
          <w:tab w:pos="1919" w:val="left" w:leader="none"/>
        </w:tabs>
        <w:spacing w:line="240" w:lineRule="auto" w:before="120" w:after="0"/>
        <w:ind w:left="1919" w:right="414" w:hanging="567"/>
        <w:jc w:val="both"/>
        <w:rPr>
          <w:sz w:val="24"/>
        </w:rPr>
      </w:pPr>
      <w:r>
        <w:rPr>
          <w:sz w:val="24"/>
        </w:rPr>
        <w:t>Each reference in this Part G to an allocation of a </w:t>
      </w:r>
      <w:r>
        <w:rPr>
          <w:i/>
          <w:sz w:val="24"/>
        </w:rPr>
        <w:t>Market Generator's </w:t>
      </w:r>
      <w:r>
        <w:rPr>
          <w:sz w:val="24"/>
        </w:rPr>
        <w:t>traced capacity, is taken to be a reference to the allocation of that traced capacity under this Division</w:t>
      </w:r>
      <w:r>
        <w:rPr>
          <w:spacing w:val="-1"/>
          <w:sz w:val="24"/>
        </w:rPr>
        <w:t> </w:t>
      </w:r>
      <w:r>
        <w:rPr>
          <w:sz w:val="24"/>
        </w:rPr>
        <w:t>4.</w:t>
      </w:r>
    </w:p>
    <w:p>
      <w:pPr>
        <w:pStyle w:val="ListParagraph"/>
        <w:numPr>
          <w:ilvl w:val="0"/>
          <w:numId w:val="117"/>
        </w:numPr>
        <w:tabs>
          <w:tab w:pos="1919" w:val="left" w:leader="none"/>
        </w:tabs>
        <w:spacing w:line="240" w:lineRule="auto" w:before="120" w:after="0"/>
        <w:ind w:left="1919" w:right="415" w:hanging="567"/>
        <w:jc w:val="both"/>
        <w:rPr>
          <w:sz w:val="24"/>
        </w:rPr>
      </w:pPr>
      <w:r>
        <w:rPr>
          <w:sz w:val="24"/>
        </w:rPr>
        <w:t>Each allocation of generation capacity under clause 4A.G.8 comprises a separate parcel of traced</w:t>
      </w:r>
      <w:r>
        <w:rPr>
          <w:spacing w:val="-2"/>
          <w:sz w:val="24"/>
        </w:rPr>
        <w:t> </w:t>
      </w:r>
      <w:r>
        <w:rPr>
          <w:sz w:val="24"/>
        </w:rPr>
        <w:t>capacity.</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8 Tracing capacity to trading group" w:id="262"/>
      <w:bookmarkEnd w:id="262"/>
      <w:r>
        <w:rPr>
          <w:b w:val="0"/>
        </w:rPr>
      </w:r>
      <w:bookmarkStart w:name="_bookmark114" w:id="263"/>
      <w:bookmarkEnd w:id="263"/>
      <w:r>
        <w:rPr>
          <w:b w:val="0"/>
        </w:rPr>
      </w:r>
      <w:r>
        <w:rPr/>
        <w:t>4A.G.8</w:t>
        <w:tab/>
        <w:t>Tracing capacity to trading</w:t>
      </w:r>
      <w:r>
        <w:rPr>
          <w:spacing w:val="-2"/>
        </w:rPr>
        <w:t> </w:t>
      </w:r>
      <w:r>
        <w:rPr/>
        <w:t>groups</w:t>
      </w:r>
    </w:p>
    <w:p>
      <w:pPr>
        <w:pStyle w:val="ListParagraph"/>
        <w:numPr>
          <w:ilvl w:val="0"/>
          <w:numId w:val="118"/>
        </w:numPr>
        <w:tabs>
          <w:tab w:pos="1919" w:val="left" w:leader="none"/>
        </w:tabs>
        <w:spacing w:line="240" w:lineRule="auto" w:before="120" w:after="0"/>
        <w:ind w:left="1919" w:right="415" w:hanging="567"/>
        <w:jc w:val="both"/>
        <w:rPr>
          <w:sz w:val="24"/>
        </w:rPr>
      </w:pPr>
      <w:r>
        <w:rPr>
          <w:sz w:val="24"/>
        </w:rPr>
        <w:t>If a trading right holder belongs to only one trading group, then each trading right held by that trading right holder, is taken to be allocated to that </w:t>
      </w:r>
      <w:r>
        <w:rPr>
          <w:spacing w:val="-3"/>
          <w:sz w:val="24"/>
        </w:rPr>
        <w:t>trading </w:t>
      </w:r>
      <w:r>
        <w:rPr>
          <w:sz w:val="24"/>
        </w:rPr>
        <w:t>group.</w:t>
      </w:r>
    </w:p>
    <w:p>
      <w:pPr>
        <w:pStyle w:val="ListParagraph"/>
        <w:numPr>
          <w:ilvl w:val="0"/>
          <w:numId w:val="118"/>
        </w:numPr>
        <w:tabs>
          <w:tab w:pos="1919" w:val="left" w:leader="none"/>
        </w:tabs>
        <w:spacing w:line="240" w:lineRule="auto" w:before="120" w:after="0"/>
        <w:ind w:left="1919" w:right="414" w:hanging="567"/>
        <w:jc w:val="both"/>
        <w:rPr>
          <w:sz w:val="24"/>
        </w:rPr>
      </w:pPr>
      <w:r>
        <w:rPr>
          <w:sz w:val="24"/>
        </w:rPr>
        <w:t>If a trading right holder belongs to more than one trading group, then each trading right held by that trading right holder is taken to be allocated amongst those trading groups, taking into</w:t>
      </w:r>
      <w:r>
        <w:rPr>
          <w:spacing w:val="-1"/>
          <w:sz w:val="24"/>
        </w:rPr>
        <w:t> </w:t>
      </w:r>
      <w:r>
        <w:rPr>
          <w:sz w:val="24"/>
        </w:rPr>
        <w:t>account:</w:t>
      </w:r>
    </w:p>
    <w:p>
      <w:pPr>
        <w:pStyle w:val="ListParagraph"/>
        <w:numPr>
          <w:ilvl w:val="1"/>
          <w:numId w:val="118"/>
        </w:numPr>
        <w:tabs>
          <w:tab w:pos="2486" w:val="left" w:leader="none"/>
        </w:tabs>
        <w:spacing w:line="240" w:lineRule="auto" w:before="120" w:after="0"/>
        <w:ind w:left="2486" w:right="414" w:hanging="567"/>
        <w:jc w:val="both"/>
        <w:rPr>
          <w:sz w:val="24"/>
        </w:rPr>
      </w:pPr>
      <w:r>
        <w:rPr>
          <w:sz w:val="24"/>
        </w:rPr>
        <w:t>the extent to which each relevant controlling entity is able to influence or control (within the meaning given in Division 3) that trading right holder;</w:t>
      </w:r>
      <w:r>
        <w:rPr>
          <w:spacing w:val="-1"/>
          <w:sz w:val="24"/>
        </w:rPr>
        <w:t> </w:t>
      </w:r>
      <w:r>
        <w:rPr>
          <w:sz w:val="24"/>
        </w:rPr>
        <w:t>and</w:t>
      </w:r>
    </w:p>
    <w:p>
      <w:pPr>
        <w:pStyle w:val="ListParagraph"/>
        <w:numPr>
          <w:ilvl w:val="1"/>
          <w:numId w:val="118"/>
        </w:numPr>
        <w:tabs>
          <w:tab w:pos="2486" w:val="left" w:leader="none"/>
        </w:tabs>
        <w:spacing w:line="240" w:lineRule="auto" w:before="120" w:after="0"/>
        <w:ind w:left="2485" w:right="0" w:hanging="567"/>
        <w:jc w:val="both"/>
        <w:rPr>
          <w:sz w:val="24"/>
        </w:rPr>
      </w:pPr>
      <w:r>
        <w:rPr>
          <w:sz w:val="24"/>
        </w:rPr>
        <w:t>any other criteria specified in the MLO</w:t>
      </w:r>
      <w:r>
        <w:rPr>
          <w:spacing w:val="-5"/>
          <w:sz w:val="24"/>
        </w:rPr>
        <w:t> </w:t>
      </w:r>
      <w:r>
        <w:rPr>
          <w:sz w:val="24"/>
        </w:rPr>
        <w:t>Guidelines.</w:t>
      </w:r>
    </w:p>
    <w:p>
      <w:pPr>
        <w:pStyle w:val="ListParagraph"/>
        <w:numPr>
          <w:ilvl w:val="0"/>
          <w:numId w:val="118"/>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is not satisfied that the allocation of a </w:t>
      </w:r>
      <w:r>
        <w:rPr>
          <w:i/>
          <w:sz w:val="24"/>
        </w:rPr>
        <w:t>Market Generator's </w:t>
      </w:r>
      <w:r>
        <w:rPr>
          <w:sz w:val="24"/>
        </w:rPr>
        <w:t>generator capacity, as notified under clause 4A.G.13, is consistent with the ownership and commercial arrangements applicable to the relevant trading right</w:t>
      </w:r>
      <w:r>
        <w:rPr>
          <w:spacing w:val="30"/>
          <w:sz w:val="24"/>
        </w:rPr>
        <w:t> </w:t>
      </w:r>
      <w:r>
        <w:rPr>
          <w:sz w:val="24"/>
        </w:rPr>
        <w:t>holder,</w:t>
      </w:r>
      <w:r>
        <w:rPr>
          <w:spacing w:val="30"/>
          <w:sz w:val="24"/>
        </w:rPr>
        <w:t> </w:t>
      </w:r>
      <w:r>
        <w:rPr>
          <w:sz w:val="24"/>
        </w:rPr>
        <w:t>then</w:t>
      </w:r>
      <w:r>
        <w:rPr>
          <w:spacing w:val="30"/>
          <w:sz w:val="24"/>
        </w:rPr>
        <w:t> </w:t>
      </w:r>
      <w:r>
        <w:rPr>
          <w:sz w:val="24"/>
        </w:rPr>
        <w:t>the</w:t>
      </w:r>
      <w:r>
        <w:rPr>
          <w:spacing w:val="30"/>
          <w:sz w:val="24"/>
        </w:rPr>
        <w:t> </w:t>
      </w:r>
      <w:r>
        <w:rPr>
          <w:i/>
          <w:sz w:val="24"/>
        </w:rPr>
        <w:t>AER</w:t>
      </w:r>
      <w:r>
        <w:rPr>
          <w:i/>
          <w:spacing w:val="30"/>
          <w:sz w:val="24"/>
        </w:rPr>
        <w:t> </w:t>
      </w:r>
      <w:r>
        <w:rPr>
          <w:sz w:val="24"/>
        </w:rPr>
        <w:t>may,</w:t>
      </w:r>
      <w:r>
        <w:rPr>
          <w:spacing w:val="30"/>
          <w:sz w:val="24"/>
        </w:rPr>
        <w:t> </w:t>
      </w:r>
      <w:r>
        <w:rPr>
          <w:sz w:val="24"/>
        </w:rPr>
        <w:t>in</w:t>
      </w:r>
      <w:r>
        <w:rPr>
          <w:spacing w:val="30"/>
          <w:sz w:val="24"/>
        </w:rPr>
        <w:t> </w:t>
      </w:r>
      <w:r>
        <w:rPr>
          <w:sz w:val="24"/>
        </w:rPr>
        <w:t>accordance</w:t>
      </w:r>
      <w:r>
        <w:rPr>
          <w:spacing w:val="30"/>
          <w:sz w:val="24"/>
        </w:rPr>
        <w:t> </w:t>
      </w:r>
      <w:r>
        <w:rPr>
          <w:sz w:val="24"/>
        </w:rPr>
        <w:t>with</w:t>
      </w:r>
      <w:r>
        <w:rPr>
          <w:spacing w:val="30"/>
          <w:sz w:val="24"/>
        </w:rPr>
        <w:t> </w:t>
      </w:r>
      <w:r>
        <w:rPr>
          <w:sz w:val="24"/>
        </w:rPr>
        <w:t>the</w:t>
      </w:r>
      <w:r>
        <w:rPr>
          <w:spacing w:val="31"/>
          <w:sz w:val="24"/>
        </w:rPr>
        <w:t> </w:t>
      </w:r>
      <w:r>
        <w:rPr>
          <w:sz w:val="24"/>
        </w:rPr>
        <w:t>MLO</w:t>
      </w:r>
      <w:r>
        <w:rPr>
          <w:spacing w:val="30"/>
          <w:sz w:val="24"/>
        </w:rPr>
        <w:t> </w:t>
      </w:r>
      <w:r>
        <w:rPr>
          <w:sz w:val="24"/>
        </w:rPr>
        <w:t>Guidelines,</w:t>
      </w:r>
    </w:p>
    <w:p>
      <w:pPr>
        <w:spacing w:after="0" w:line="240" w:lineRule="auto"/>
        <w:jc w:val="both"/>
        <w:rPr>
          <w:sz w:val="24"/>
        </w:rPr>
        <w:sectPr>
          <w:pgSz w:w="11910" w:h="16840"/>
          <w:pgMar w:header="686" w:footer="637" w:top="1320" w:bottom="820" w:left="1200" w:right="1000"/>
        </w:sectPr>
      </w:pPr>
    </w:p>
    <w:p>
      <w:pPr>
        <w:spacing w:before="83"/>
        <w:ind w:left="1919" w:right="0" w:firstLine="0"/>
        <w:jc w:val="both"/>
        <w:rPr>
          <w:i/>
          <w:sz w:val="24"/>
        </w:rPr>
      </w:pPr>
      <w:r>
        <w:rPr>
          <w:sz w:val="24"/>
        </w:rPr>
        <w:t>make its own determination of the allocation of that </w:t>
      </w:r>
      <w:r>
        <w:rPr>
          <w:i/>
          <w:sz w:val="24"/>
        </w:rPr>
        <w:t>Market Generator's</w:t>
      </w:r>
    </w:p>
    <w:p>
      <w:pPr>
        <w:pStyle w:val="BodyText"/>
        <w:spacing w:before="0"/>
        <w:ind w:left="1919" w:firstLine="0"/>
      </w:pPr>
      <w:r>
        <w:rPr/>
        <w:t>generator capacity.</w:t>
      </w:r>
    </w:p>
    <w:p>
      <w:pPr>
        <w:pStyle w:val="ListParagraph"/>
        <w:numPr>
          <w:ilvl w:val="0"/>
          <w:numId w:val="118"/>
        </w:numPr>
        <w:tabs>
          <w:tab w:pos="1919" w:val="left" w:leader="none"/>
        </w:tabs>
        <w:spacing w:line="240" w:lineRule="auto" w:before="120" w:after="0"/>
        <w:ind w:left="1919" w:right="415" w:hanging="567"/>
        <w:jc w:val="both"/>
        <w:rPr>
          <w:sz w:val="24"/>
        </w:rPr>
      </w:pPr>
      <w:r>
        <w:rPr>
          <w:sz w:val="24"/>
        </w:rPr>
        <w:t>If paragraph (b) applies and a </w:t>
      </w:r>
      <w:r>
        <w:rPr>
          <w:i/>
          <w:sz w:val="24"/>
        </w:rPr>
        <w:t>Market Generator </w:t>
      </w:r>
      <w:r>
        <w:rPr>
          <w:sz w:val="24"/>
        </w:rPr>
        <w:t>fails to notify the </w:t>
      </w:r>
      <w:r>
        <w:rPr>
          <w:i/>
          <w:sz w:val="24"/>
        </w:rPr>
        <w:t>AER </w:t>
      </w:r>
      <w:r>
        <w:rPr>
          <w:sz w:val="24"/>
        </w:rPr>
        <w:t>of the allocation of its generator capacity as required under clause 4A.G.13, then the relevant parcel of that </w:t>
      </w:r>
      <w:r>
        <w:rPr>
          <w:i/>
          <w:sz w:val="24"/>
        </w:rPr>
        <w:t>Market Generator's </w:t>
      </w:r>
      <w:r>
        <w:rPr>
          <w:sz w:val="24"/>
        </w:rPr>
        <w:t>generator capacity, is allocated to each relevant trading group</w:t>
      </w:r>
      <w:r>
        <w:rPr>
          <w:spacing w:val="-2"/>
          <w:sz w:val="24"/>
        </w:rPr>
        <w:t> </w:t>
      </w:r>
      <w:r>
        <w:rPr>
          <w:sz w:val="24"/>
        </w:rPr>
        <w:t>simultaneously.</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9 Trading group capacity" w:id="264"/>
      <w:bookmarkEnd w:id="264"/>
      <w:r>
        <w:rPr>
          <w:b w:val="0"/>
        </w:rPr>
      </w:r>
      <w:bookmarkStart w:name="_bookmark115" w:id="265"/>
      <w:bookmarkEnd w:id="265"/>
      <w:r>
        <w:rPr>
          <w:b w:val="0"/>
        </w:rPr>
      </w:r>
      <w:r>
        <w:rPr/>
        <w:t>4A.G.9</w:t>
        <w:tab/>
        <w:t>Trading group</w:t>
      </w:r>
      <w:r>
        <w:rPr>
          <w:spacing w:val="-2"/>
        </w:rPr>
        <w:t> </w:t>
      </w:r>
      <w:r>
        <w:rPr/>
        <w:t>capacity</w:t>
      </w:r>
    </w:p>
    <w:p>
      <w:pPr>
        <w:pStyle w:val="ListParagraph"/>
        <w:numPr>
          <w:ilvl w:val="0"/>
          <w:numId w:val="119"/>
        </w:numPr>
        <w:tabs>
          <w:tab w:pos="1919" w:val="left" w:leader="none"/>
        </w:tabs>
        <w:spacing w:line="240" w:lineRule="auto" w:before="120" w:after="0"/>
        <w:ind w:left="1919" w:right="416" w:hanging="567"/>
        <w:jc w:val="both"/>
        <w:rPr>
          <w:sz w:val="24"/>
        </w:rPr>
      </w:pPr>
      <w:r>
        <w:rPr>
          <w:sz w:val="24"/>
        </w:rPr>
        <w:t>Trading group capacity means, in respect of a trading group, the aggregate quantity of each parcel of traced capacity in a </w:t>
      </w:r>
      <w:r>
        <w:rPr>
          <w:i/>
          <w:sz w:val="24"/>
        </w:rPr>
        <w:t>region </w:t>
      </w:r>
      <w:r>
        <w:rPr>
          <w:sz w:val="24"/>
        </w:rPr>
        <w:t>that is allocated to that trading group.</w:t>
      </w:r>
    </w:p>
    <w:p>
      <w:pPr>
        <w:pStyle w:val="ListParagraph"/>
        <w:numPr>
          <w:ilvl w:val="0"/>
          <w:numId w:val="119"/>
        </w:numPr>
        <w:tabs>
          <w:tab w:pos="1919" w:val="left" w:leader="none"/>
        </w:tabs>
        <w:spacing w:line="240" w:lineRule="auto" w:before="120" w:after="0"/>
        <w:ind w:left="1918" w:right="0" w:hanging="567"/>
        <w:jc w:val="both"/>
        <w:rPr>
          <w:sz w:val="24"/>
        </w:rPr>
      </w:pPr>
      <w:r>
        <w:rPr>
          <w:sz w:val="24"/>
        </w:rPr>
        <w:t>Trading group capacity is calculated separately for each</w:t>
      </w:r>
      <w:r>
        <w:rPr>
          <w:spacing w:val="-4"/>
          <w:sz w:val="24"/>
        </w:rPr>
        <w:t> </w:t>
      </w:r>
      <w:r>
        <w:rPr>
          <w:i/>
          <w:sz w:val="24"/>
        </w:rPr>
        <w:t>region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3"/>
        <w:tabs>
          <w:tab w:pos="1656" w:val="left" w:leader="none"/>
        </w:tabs>
        <w:ind w:left="218" w:firstLine="0"/>
      </w:pPr>
      <w:bookmarkStart w:name="Division 5 MLO generators and MLO groups" w:id="266"/>
      <w:bookmarkEnd w:id="266"/>
      <w:r>
        <w:rPr>
          <w:b w:val="0"/>
        </w:rPr>
      </w:r>
      <w:bookmarkStart w:name="_bookmark116" w:id="267"/>
      <w:bookmarkEnd w:id="267"/>
      <w:r>
        <w:rPr>
          <w:b w:val="0"/>
        </w:rPr>
      </w:r>
      <w:r>
        <w:rPr/>
        <w:t>Division</w:t>
      </w:r>
      <w:r>
        <w:rPr>
          <w:spacing w:val="-4"/>
        </w:rPr>
        <w:t> </w:t>
      </w:r>
      <w:r>
        <w:rPr/>
        <w:t>5</w:t>
        <w:tab/>
        <w:t>MLO generators and MLO</w:t>
      </w:r>
      <w:r>
        <w:rPr>
          <w:spacing w:val="-1"/>
        </w:rPr>
        <w:t> </w:t>
      </w:r>
      <w:r>
        <w:rPr/>
        <w:t>groups</w:t>
      </w:r>
    </w:p>
    <w:p>
      <w:pPr>
        <w:pStyle w:val="Heading4"/>
        <w:tabs>
          <w:tab w:pos="1351" w:val="left" w:leader="none"/>
        </w:tabs>
        <w:spacing w:before="240"/>
        <w:ind w:left="218" w:firstLine="0"/>
      </w:pPr>
      <w:bookmarkStart w:name="4A.G.10 MLO group" w:id="268"/>
      <w:bookmarkEnd w:id="268"/>
      <w:r>
        <w:rPr>
          <w:b w:val="0"/>
        </w:rPr>
      </w:r>
      <w:bookmarkStart w:name="_bookmark117" w:id="269"/>
      <w:bookmarkEnd w:id="269"/>
      <w:r>
        <w:rPr>
          <w:b w:val="0"/>
        </w:rPr>
      </w:r>
      <w:r>
        <w:rPr/>
        <w:t>4A.G.10</w:t>
        <w:tab/>
        <w:t>MLO</w:t>
      </w:r>
      <w:r>
        <w:rPr>
          <w:spacing w:val="-1"/>
        </w:rPr>
        <w:t> </w:t>
      </w:r>
      <w:r>
        <w:rPr/>
        <w:t>group</w:t>
      </w:r>
    </w:p>
    <w:p>
      <w:pPr>
        <w:pStyle w:val="BodyText"/>
        <w:ind w:left="1352" w:right="414" w:firstLine="0"/>
      </w:pPr>
      <w:r>
        <w:rPr/>
        <w:t>MLO group means, for a </w:t>
      </w:r>
      <w:r>
        <w:rPr>
          <w:i/>
        </w:rPr>
        <w:t>region </w:t>
      </w:r>
      <w:r>
        <w:rPr/>
        <w:t>in a quarter, a trading group in relation to which its trading group capacity at the end of the two preceding quarters exceeds on average, 15% of the aggregate of the average trading group capacity of all trading groups in the relevant </w:t>
      </w:r>
      <w:r>
        <w:rPr>
          <w:i/>
        </w:rPr>
        <w:t>region</w:t>
      </w:r>
      <w:r>
        <w:rPr/>
        <w:t>, at the end of the two preceding quarters.</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11 MLO generator" w:id="270"/>
      <w:bookmarkEnd w:id="270"/>
      <w:r>
        <w:rPr>
          <w:b w:val="0"/>
        </w:rPr>
      </w:r>
      <w:bookmarkStart w:name="_bookmark118" w:id="271"/>
      <w:bookmarkEnd w:id="271"/>
      <w:r>
        <w:rPr>
          <w:b w:val="0"/>
        </w:rPr>
      </w:r>
      <w:r>
        <w:rPr/>
        <w:t>4A.G.11</w:t>
        <w:tab/>
        <w:t>MLO</w:t>
      </w:r>
      <w:r>
        <w:rPr>
          <w:spacing w:val="-1"/>
        </w:rPr>
        <w:t> </w:t>
      </w:r>
      <w:r>
        <w:rPr/>
        <w:t>generator</w:t>
      </w:r>
    </w:p>
    <w:p>
      <w:pPr>
        <w:pStyle w:val="BodyText"/>
        <w:ind w:left="1352" w:right="415" w:firstLine="0"/>
      </w:pPr>
      <w:r>
        <w:rPr/>
        <w:t>MLO generator means, for a </w:t>
      </w:r>
      <w:r>
        <w:rPr>
          <w:i/>
        </w:rPr>
        <w:t>region </w:t>
      </w:r>
      <w:r>
        <w:rPr/>
        <w:t>in a quarter, a </w:t>
      </w:r>
      <w:r>
        <w:rPr>
          <w:i/>
        </w:rPr>
        <w:t>Market Generator </w:t>
      </w:r>
      <w:r>
        <w:rPr/>
        <w:t>where a parcel of its traced capacity is allocated to a MLO group.</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See Chapter 11, Part ZZZR, clause 11.116.11.</w:t>
      </w:r>
    </w:p>
    <w:p>
      <w:pPr>
        <w:pStyle w:val="BodyText"/>
        <w:spacing w:before="10"/>
        <w:ind w:firstLine="0"/>
        <w:jc w:val="left"/>
        <w:rPr>
          <w:sz w:val="20"/>
        </w:rPr>
      </w:pPr>
    </w:p>
    <w:p>
      <w:pPr>
        <w:pStyle w:val="Heading3"/>
        <w:tabs>
          <w:tab w:pos="1656" w:val="left" w:leader="none"/>
        </w:tabs>
        <w:ind w:left="218" w:firstLine="0"/>
      </w:pPr>
      <w:bookmarkStart w:name="Division 6 Market Generator information" w:id="272"/>
      <w:bookmarkEnd w:id="272"/>
      <w:r>
        <w:rPr>
          <w:b w:val="0"/>
        </w:rPr>
      </w:r>
      <w:bookmarkStart w:name="_bookmark119" w:id="273"/>
      <w:bookmarkEnd w:id="273"/>
      <w:r>
        <w:rPr>
          <w:b w:val="0"/>
        </w:rPr>
      </w:r>
      <w:r>
        <w:rPr/>
        <w:t>Division</w:t>
      </w:r>
      <w:r>
        <w:rPr>
          <w:spacing w:val="-4"/>
        </w:rPr>
        <w:t> </w:t>
      </w:r>
      <w:r>
        <w:rPr/>
        <w:t>6</w:t>
        <w:tab/>
        <w:t>Market Generator</w:t>
      </w:r>
      <w:r>
        <w:rPr>
          <w:spacing w:val="-1"/>
        </w:rPr>
        <w:t> </w:t>
      </w:r>
      <w:r>
        <w:rPr/>
        <w:t>information</w:t>
      </w:r>
    </w:p>
    <w:p>
      <w:pPr>
        <w:pStyle w:val="Heading4"/>
        <w:tabs>
          <w:tab w:pos="1351" w:val="left" w:leader="none"/>
        </w:tabs>
        <w:spacing w:before="240"/>
        <w:ind w:left="218" w:firstLine="0"/>
      </w:pPr>
      <w:bookmarkStart w:name="4A.G.12 MLO register" w:id="274"/>
      <w:bookmarkEnd w:id="274"/>
      <w:r>
        <w:rPr>
          <w:b w:val="0"/>
        </w:rPr>
      </w:r>
      <w:bookmarkStart w:name="_bookmark120" w:id="275"/>
      <w:bookmarkEnd w:id="275"/>
      <w:r>
        <w:rPr>
          <w:b w:val="0"/>
        </w:rPr>
      </w:r>
      <w:r>
        <w:rPr/>
        <w:t>4A.G.12</w:t>
        <w:tab/>
        <w:t>MLO</w:t>
      </w:r>
      <w:r>
        <w:rPr>
          <w:spacing w:val="-1"/>
        </w:rPr>
        <w:t> </w:t>
      </w:r>
      <w:r>
        <w:rPr/>
        <w:t>register</w:t>
      </w:r>
    </w:p>
    <w:p>
      <w:pPr>
        <w:pStyle w:val="ListParagraph"/>
        <w:numPr>
          <w:ilvl w:val="0"/>
          <w:numId w:val="120"/>
        </w:numPr>
        <w:tabs>
          <w:tab w:pos="1918" w:val="left" w:leader="none"/>
          <w:tab w:pos="1919" w:val="left" w:leader="none"/>
        </w:tabs>
        <w:spacing w:line="240" w:lineRule="auto" w:before="120" w:after="0"/>
        <w:ind w:left="1919" w:right="414" w:hanging="567"/>
        <w:jc w:val="left"/>
        <w:rPr>
          <w:sz w:val="24"/>
        </w:rPr>
      </w:pPr>
      <w:r>
        <w:rPr>
          <w:sz w:val="24"/>
        </w:rPr>
        <w:t>The </w:t>
      </w:r>
      <w:r>
        <w:rPr>
          <w:i/>
          <w:sz w:val="24"/>
        </w:rPr>
        <w:t>AER </w:t>
      </w:r>
      <w:r>
        <w:rPr>
          <w:sz w:val="24"/>
        </w:rPr>
        <w:t>must establish, maintain and </w:t>
      </w:r>
      <w:r>
        <w:rPr>
          <w:i/>
          <w:sz w:val="24"/>
        </w:rPr>
        <w:t>publish </w:t>
      </w:r>
      <w:r>
        <w:rPr>
          <w:sz w:val="24"/>
        </w:rPr>
        <w:t>a MLO register in accordance with the MLO</w:t>
      </w:r>
      <w:r>
        <w:rPr>
          <w:spacing w:val="-3"/>
          <w:sz w:val="24"/>
        </w:rPr>
        <w:t> </w:t>
      </w:r>
      <w:r>
        <w:rPr>
          <w:sz w:val="24"/>
        </w:rPr>
        <w:t>Guidelines.</w:t>
      </w:r>
    </w:p>
    <w:p>
      <w:pPr>
        <w:pStyle w:val="ListParagraph"/>
        <w:numPr>
          <w:ilvl w:val="0"/>
          <w:numId w:val="120"/>
        </w:numPr>
        <w:tabs>
          <w:tab w:pos="1918" w:val="left" w:leader="none"/>
          <w:tab w:pos="1919" w:val="left" w:leader="none"/>
        </w:tabs>
        <w:spacing w:line="240" w:lineRule="auto" w:before="120" w:after="0"/>
        <w:ind w:left="1918" w:right="0" w:hanging="567"/>
        <w:jc w:val="left"/>
        <w:rPr>
          <w:sz w:val="24"/>
        </w:rPr>
      </w:pPr>
      <w:r>
        <w:rPr>
          <w:sz w:val="24"/>
        </w:rPr>
        <w:t>In respect of each </w:t>
      </w:r>
      <w:r>
        <w:rPr>
          <w:i/>
          <w:sz w:val="24"/>
        </w:rPr>
        <w:t>region</w:t>
      </w:r>
      <w:r>
        <w:rPr>
          <w:sz w:val="24"/>
        </w:rPr>
        <w:t>, the MLO register must</w:t>
      </w:r>
      <w:r>
        <w:rPr>
          <w:spacing w:val="-4"/>
          <w:sz w:val="24"/>
        </w:rPr>
        <w:t> </w:t>
      </w:r>
      <w:r>
        <w:rPr>
          <w:sz w:val="24"/>
        </w:rPr>
        <w:t>identify:</w:t>
      </w:r>
    </w:p>
    <w:p>
      <w:pPr>
        <w:pStyle w:val="ListParagraph"/>
        <w:numPr>
          <w:ilvl w:val="1"/>
          <w:numId w:val="120"/>
        </w:numPr>
        <w:tabs>
          <w:tab w:pos="2485" w:val="left" w:leader="none"/>
          <w:tab w:pos="2486" w:val="left" w:leader="none"/>
        </w:tabs>
        <w:spacing w:line="240" w:lineRule="auto" w:before="120" w:after="0"/>
        <w:ind w:left="2485" w:right="0" w:hanging="567"/>
        <w:jc w:val="left"/>
        <w:rPr>
          <w:sz w:val="24"/>
        </w:rPr>
      </w:pPr>
      <w:r>
        <w:rPr>
          <w:sz w:val="24"/>
        </w:rPr>
        <w:t>each </w:t>
      </w:r>
      <w:r>
        <w:rPr>
          <w:i/>
          <w:sz w:val="24"/>
        </w:rPr>
        <w:t>Market</w:t>
      </w:r>
      <w:r>
        <w:rPr>
          <w:i/>
          <w:spacing w:val="-1"/>
          <w:sz w:val="24"/>
        </w:rPr>
        <w:t> </w:t>
      </w:r>
      <w:r>
        <w:rPr>
          <w:i/>
          <w:sz w:val="24"/>
        </w:rPr>
        <w:t>Generator</w:t>
      </w:r>
      <w:r>
        <w:rPr>
          <w:sz w:val="24"/>
        </w:rPr>
        <w:t>;</w:t>
      </w:r>
    </w:p>
    <w:p>
      <w:pPr>
        <w:pStyle w:val="ListParagraph"/>
        <w:numPr>
          <w:ilvl w:val="1"/>
          <w:numId w:val="120"/>
        </w:numPr>
        <w:tabs>
          <w:tab w:pos="2485" w:val="left" w:leader="none"/>
          <w:tab w:pos="2486" w:val="left" w:leader="none"/>
        </w:tabs>
        <w:spacing w:line="240" w:lineRule="auto" w:before="120" w:after="0"/>
        <w:ind w:left="2485" w:right="0" w:hanging="567"/>
        <w:jc w:val="left"/>
        <w:rPr>
          <w:sz w:val="24"/>
        </w:rPr>
      </w:pPr>
      <w:r>
        <w:rPr>
          <w:sz w:val="24"/>
        </w:rPr>
        <w:t>the generator capacity of each </w:t>
      </w:r>
      <w:r>
        <w:rPr>
          <w:i/>
          <w:sz w:val="24"/>
        </w:rPr>
        <w:t>Market</w:t>
      </w:r>
      <w:r>
        <w:rPr>
          <w:i/>
          <w:spacing w:val="-11"/>
          <w:sz w:val="24"/>
        </w:rPr>
        <w:t> </w:t>
      </w:r>
      <w:r>
        <w:rPr>
          <w:i/>
          <w:sz w:val="24"/>
        </w:rPr>
        <w:t>Generator</w:t>
      </w:r>
      <w:r>
        <w:rPr>
          <w:sz w:val="24"/>
        </w:rPr>
        <w:t>;</w:t>
      </w:r>
    </w:p>
    <w:p>
      <w:pPr>
        <w:pStyle w:val="ListParagraph"/>
        <w:numPr>
          <w:ilvl w:val="1"/>
          <w:numId w:val="120"/>
        </w:numPr>
        <w:tabs>
          <w:tab w:pos="2485" w:val="left" w:leader="none"/>
          <w:tab w:pos="2486" w:val="left" w:leader="none"/>
        </w:tabs>
        <w:spacing w:line="240" w:lineRule="auto" w:before="120" w:after="0"/>
        <w:ind w:left="2485" w:right="0" w:hanging="567"/>
        <w:jc w:val="left"/>
        <w:rPr>
          <w:sz w:val="24"/>
        </w:rPr>
      </w:pPr>
      <w:r>
        <w:rPr>
          <w:sz w:val="24"/>
        </w:rPr>
        <w:t>each trading right holder of each </w:t>
      </w:r>
      <w:r>
        <w:rPr>
          <w:i/>
          <w:sz w:val="24"/>
        </w:rPr>
        <w:t>Market</w:t>
      </w:r>
      <w:r>
        <w:rPr>
          <w:i/>
          <w:spacing w:val="-12"/>
          <w:sz w:val="24"/>
        </w:rPr>
        <w:t> </w:t>
      </w:r>
      <w:r>
        <w:rPr>
          <w:i/>
          <w:sz w:val="24"/>
        </w:rPr>
        <w:t>Generator</w:t>
      </w:r>
      <w:r>
        <w:rPr>
          <w:sz w:val="24"/>
        </w:rPr>
        <w:t>;</w:t>
      </w:r>
    </w:p>
    <w:p>
      <w:pPr>
        <w:pStyle w:val="ListParagraph"/>
        <w:numPr>
          <w:ilvl w:val="1"/>
          <w:numId w:val="120"/>
        </w:numPr>
        <w:tabs>
          <w:tab w:pos="2485" w:val="left" w:leader="none"/>
          <w:tab w:pos="2486" w:val="left" w:leader="none"/>
        </w:tabs>
        <w:spacing w:line="240" w:lineRule="auto" w:before="120" w:after="0"/>
        <w:ind w:left="2485" w:right="0" w:hanging="567"/>
        <w:jc w:val="left"/>
        <w:rPr>
          <w:sz w:val="24"/>
        </w:rPr>
      </w:pPr>
      <w:r>
        <w:rPr>
          <w:sz w:val="24"/>
        </w:rPr>
        <w:t>the trading rights held by each trading right</w:t>
      </w:r>
      <w:r>
        <w:rPr>
          <w:spacing w:val="-1"/>
          <w:sz w:val="24"/>
        </w:rPr>
        <w:t> </w:t>
      </w:r>
      <w:r>
        <w:rPr>
          <w:sz w:val="24"/>
        </w:rPr>
        <w:t>holder;</w:t>
      </w:r>
    </w:p>
    <w:p>
      <w:pPr>
        <w:spacing w:after="0" w:line="240" w:lineRule="auto"/>
        <w:jc w:val="left"/>
        <w:rPr>
          <w:sz w:val="24"/>
        </w:rPr>
        <w:sectPr>
          <w:pgSz w:w="11910" w:h="16840"/>
          <w:pgMar w:header="686" w:footer="637" w:top="1320" w:bottom="820" w:left="1200" w:right="1000"/>
        </w:sectPr>
      </w:pPr>
    </w:p>
    <w:p>
      <w:pPr>
        <w:pStyle w:val="ListParagraph"/>
        <w:numPr>
          <w:ilvl w:val="1"/>
          <w:numId w:val="120"/>
        </w:numPr>
        <w:tabs>
          <w:tab w:pos="2485" w:val="left" w:leader="none"/>
          <w:tab w:pos="2486" w:val="left" w:leader="none"/>
        </w:tabs>
        <w:spacing w:line="240" w:lineRule="auto" w:before="83" w:after="0"/>
        <w:ind w:left="2485" w:right="0" w:hanging="567"/>
        <w:jc w:val="left"/>
        <w:rPr>
          <w:sz w:val="24"/>
        </w:rPr>
      </w:pPr>
      <w:r>
        <w:rPr>
          <w:sz w:val="24"/>
        </w:rPr>
        <w:t>each trading group;</w:t>
      </w:r>
    </w:p>
    <w:p>
      <w:pPr>
        <w:pStyle w:val="ListParagraph"/>
        <w:numPr>
          <w:ilvl w:val="1"/>
          <w:numId w:val="120"/>
        </w:numPr>
        <w:tabs>
          <w:tab w:pos="2485" w:val="left" w:leader="none"/>
          <w:tab w:pos="2486" w:val="left" w:leader="none"/>
        </w:tabs>
        <w:spacing w:line="240" w:lineRule="auto" w:before="120" w:after="0"/>
        <w:ind w:left="2486" w:right="416" w:hanging="567"/>
        <w:jc w:val="left"/>
        <w:rPr>
          <w:sz w:val="24"/>
        </w:rPr>
      </w:pPr>
      <w:r>
        <w:rPr>
          <w:sz w:val="24"/>
        </w:rPr>
        <w:t>the allocation of each parcel of a </w:t>
      </w:r>
      <w:r>
        <w:rPr>
          <w:i/>
          <w:sz w:val="24"/>
        </w:rPr>
        <w:t>Market Generator's </w:t>
      </w:r>
      <w:r>
        <w:rPr>
          <w:sz w:val="24"/>
        </w:rPr>
        <w:t>traced capacity to a trading</w:t>
      </w:r>
      <w:r>
        <w:rPr>
          <w:spacing w:val="-1"/>
          <w:sz w:val="24"/>
        </w:rPr>
        <w:t> </w:t>
      </w:r>
      <w:r>
        <w:rPr>
          <w:sz w:val="24"/>
        </w:rPr>
        <w:t>group;</w:t>
      </w:r>
    </w:p>
    <w:p>
      <w:pPr>
        <w:pStyle w:val="ListParagraph"/>
        <w:numPr>
          <w:ilvl w:val="1"/>
          <w:numId w:val="120"/>
        </w:numPr>
        <w:tabs>
          <w:tab w:pos="2485" w:val="left" w:leader="none"/>
          <w:tab w:pos="2486" w:val="left" w:leader="none"/>
        </w:tabs>
        <w:spacing w:line="240" w:lineRule="auto" w:before="120" w:after="0"/>
        <w:ind w:left="2485" w:right="0" w:hanging="567"/>
        <w:jc w:val="left"/>
        <w:rPr>
          <w:sz w:val="24"/>
        </w:rPr>
      </w:pPr>
      <w:r>
        <w:rPr>
          <w:sz w:val="24"/>
        </w:rPr>
        <w:t>the trading group capacity of each trading</w:t>
      </w:r>
      <w:r>
        <w:rPr>
          <w:spacing w:val="-1"/>
          <w:sz w:val="24"/>
        </w:rPr>
        <w:t> </w:t>
      </w:r>
      <w:r>
        <w:rPr>
          <w:sz w:val="24"/>
        </w:rPr>
        <w:t>group;</w:t>
      </w:r>
    </w:p>
    <w:p>
      <w:pPr>
        <w:pStyle w:val="ListParagraph"/>
        <w:numPr>
          <w:ilvl w:val="1"/>
          <w:numId w:val="120"/>
        </w:numPr>
        <w:tabs>
          <w:tab w:pos="2486" w:val="left" w:leader="none"/>
        </w:tabs>
        <w:spacing w:line="240" w:lineRule="auto" w:before="120" w:after="0"/>
        <w:ind w:left="2486" w:right="414" w:hanging="567"/>
        <w:jc w:val="both"/>
        <w:rPr>
          <w:sz w:val="24"/>
        </w:rPr>
      </w:pPr>
      <w:r>
        <w:rPr>
          <w:sz w:val="24"/>
        </w:rPr>
        <w:t>the proportion that the average trading group capacity of each trading group at the end of the two preceding quarters, bears to the aggregate of the average trading group capacity of all trading groups in that </w:t>
      </w:r>
      <w:r>
        <w:rPr>
          <w:i/>
          <w:sz w:val="24"/>
        </w:rPr>
        <w:t>region </w:t>
      </w:r>
      <w:r>
        <w:rPr>
          <w:sz w:val="24"/>
        </w:rPr>
        <w:t>at the end of the two preceding</w:t>
      </w:r>
      <w:r>
        <w:rPr>
          <w:spacing w:val="-3"/>
          <w:sz w:val="24"/>
        </w:rPr>
        <w:t> </w:t>
      </w:r>
      <w:r>
        <w:rPr>
          <w:sz w:val="24"/>
        </w:rPr>
        <w:t>quarters;</w:t>
      </w:r>
    </w:p>
    <w:p>
      <w:pPr>
        <w:pStyle w:val="ListParagraph"/>
        <w:numPr>
          <w:ilvl w:val="1"/>
          <w:numId w:val="120"/>
        </w:numPr>
        <w:tabs>
          <w:tab w:pos="2486" w:val="left" w:leader="none"/>
        </w:tabs>
        <w:spacing w:line="240" w:lineRule="auto" w:before="120" w:after="0"/>
        <w:ind w:left="2485" w:right="0" w:hanging="567"/>
        <w:jc w:val="both"/>
        <w:rPr>
          <w:sz w:val="24"/>
        </w:rPr>
      </w:pPr>
      <w:r>
        <w:rPr>
          <w:sz w:val="24"/>
        </w:rPr>
        <w:t>each MLO</w:t>
      </w:r>
      <w:r>
        <w:rPr>
          <w:spacing w:val="-2"/>
          <w:sz w:val="24"/>
        </w:rPr>
        <w:t> </w:t>
      </w:r>
      <w:r>
        <w:rPr>
          <w:sz w:val="24"/>
        </w:rPr>
        <w:t>generator;</w:t>
      </w:r>
    </w:p>
    <w:p>
      <w:pPr>
        <w:pStyle w:val="ListParagraph"/>
        <w:numPr>
          <w:ilvl w:val="1"/>
          <w:numId w:val="120"/>
        </w:numPr>
        <w:tabs>
          <w:tab w:pos="2486" w:val="left" w:leader="none"/>
        </w:tabs>
        <w:spacing w:line="240" w:lineRule="auto" w:before="120" w:after="0"/>
        <w:ind w:left="2485" w:right="0" w:hanging="567"/>
        <w:jc w:val="both"/>
        <w:rPr>
          <w:sz w:val="24"/>
        </w:rPr>
      </w:pPr>
      <w:r>
        <w:rPr>
          <w:sz w:val="24"/>
        </w:rPr>
        <w:t>each MLO</w:t>
      </w:r>
      <w:r>
        <w:rPr>
          <w:spacing w:val="-2"/>
          <w:sz w:val="24"/>
        </w:rPr>
        <w:t> </w:t>
      </w:r>
      <w:r>
        <w:rPr>
          <w:sz w:val="24"/>
        </w:rPr>
        <w:t>group;</w:t>
      </w:r>
    </w:p>
    <w:p>
      <w:pPr>
        <w:pStyle w:val="ListParagraph"/>
        <w:numPr>
          <w:ilvl w:val="1"/>
          <w:numId w:val="120"/>
        </w:numPr>
        <w:tabs>
          <w:tab w:pos="2486" w:val="left" w:leader="none"/>
        </w:tabs>
        <w:spacing w:line="240" w:lineRule="auto" w:before="120" w:after="0"/>
        <w:ind w:left="2485" w:right="0" w:hanging="567"/>
        <w:jc w:val="both"/>
        <w:rPr>
          <w:sz w:val="24"/>
        </w:rPr>
      </w:pPr>
      <w:r>
        <w:rPr>
          <w:sz w:val="24"/>
        </w:rPr>
        <w:t>each MLO nominee and its appointing MLO generator;</w:t>
      </w:r>
      <w:r>
        <w:rPr>
          <w:spacing w:val="-4"/>
          <w:sz w:val="24"/>
        </w:rPr>
        <w:t> </w:t>
      </w:r>
      <w:r>
        <w:rPr>
          <w:sz w:val="24"/>
        </w:rPr>
        <w:t>and</w:t>
      </w:r>
    </w:p>
    <w:p>
      <w:pPr>
        <w:pStyle w:val="ListParagraph"/>
        <w:numPr>
          <w:ilvl w:val="1"/>
          <w:numId w:val="120"/>
        </w:numPr>
        <w:tabs>
          <w:tab w:pos="2486" w:val="left" w:leader="none"/>
        </w:tabs>
        <w:spacing w:line="240" w:lineRule="auto" w:before="120" w:after="0"/>
        <w:ind w:left="2486" w:right="415" w:hanging="567"/>
        <w:jc w:val="both"/>
        <w:rPr>
          <w:sz w:val="24"/>
        </w:rPr>
      </w:pPr>
      <w:r>
        <w:rPr>
          <w:sz w:val="24"/>
        </w:rPr>
        <w:t>any other information that the </w:t>
      </w:r>
      <w:r>
        <w:rPr>
          <w:i/>
          <w:sz w:val="24"/>
        </w:rPr>
        <w:t>AER </w:t>
      </w:r>
      <w:r>
        <w:rPr>
          <w:sz w:val="24"/>
        </w:rPr>
        <w:t>is required to publish on the MLO register in accordance with the MLO</w:t>
      </w:r>
      <w:r>
        <w:rPr>
          <w:spacing w:val="-4"/>
          <w:sz w:val="24"/>
        </w:rPr>
        <w:t> </w:t>
      </w:r>
      <w:r>
        <w:rPr>
          <w:sz w:val="24"/>
        </w:rPr>
        <w:t>Guidelines.</w:t>
      </w:r>
    </w:p>
    <w:p>
      <w:pPr>
        <w:pStyle w:val="ListParagraph"/>
        <w:numPr>
          <w:ilvl w:val="0"/>
          <w:numId w:val="120"/>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update the MLO register within 5 </w:t>
      </w:r>
      <w:r>
        <w:rPr>
          <w:i/>
          <w:sz w:val="24"/>
        </w:rPr>
        <w:t>business days </w:t>
      </w:r>
      <w:r>
        <w:rPr>
          <w:sz w:val="24"/>
        </w:rPr>
        <w:t>of becoming aware that the MLO register is no longer</w:t>
      </w:r>
      <w:r>
        <w:rPr>
          <w:spacing w:val="-2"/>
          <w:sz w:val="24"/>
        </w:rPr>
        <w:t> </w:t>
      </w:r>
      <w:r>
        <w:rPr>
          <w:sz w:val="24"/>
        </w:rPr>
        <w:t>correct.</w:t>
      </w:r>
    </w:p>
    <w:p>
      <w:pPr>
        <w:pStyle w:val="ListParagraph"/>
        <w:numPr>
          <w:ilvl w:val="0"/>
          <w:numId w:val="120"/>
        </w:numPr>
        <w:tabs>
          <w:tab w:pos="1919" w:val="left" w:leader="none"/>
        </w:tabs>
        <w:spacing w:line="240" w:lineRule="auto" w:before="120" w:after="0"/>
        <w:ind w:left="1919" w:right="415" w:hanging="567"/>
        <w:jc w:val="both"/>
        <w:rPr>
          <w:sz w:val="24"/>
        </w:rPr>
      </w:pPr>
      <w:r>
        <w:rPr>
          <w:sz w:val="24"/>
        </w:rPr>
        <w:t>If, as a result of updating the MLO register under paragraph (c), a trading group is no longer a MLO group for a </w:t>
      </w:r>
      <w:r>
        <w:rPr>
          <w:i/>
          <w:sz w:val="24"/>
        </w:rPr>
        <w:t>region</w:t>
      </w:r>
      <w:r>
        <w:rPr>
          <w:sz w:val="24"/>
        </w:rPr>
        <w:t>, then the </w:t>
      </w:r>
      <w:r>
        <w:rPr>
          <w:i/>
          <w:sz w:val="24"/>
        </w:rPr>
        <w:t>AER </w:t>
      </w:r>
      <w:r>
        <w:rPr>
          <w:sz w:val="24"/>
        </w:rPr>
        <w:t>must notify  each MLO generator which has a parcel of traced capacity allocated to that trading group on the same day that it </w:t>
      </w:r>
      <w:r>
        <w:rPr>
          <w:i/>
          <w:sz w:val="24"/>
        </w:rPr>
        <w:t>publishes </w:t>
      </w:r>
      <w:r>
        <w:rPr>
          <w:sz w:val="24"/>
        </w:rPr>
        <w:t>the relevant update to </w:t>
      </w:r>
      <w:r>
        <w:rPr>
          <w:spacing w:val="-5"/>
          <w:sz w:val="24"/>
        </w:rPr>
        <w:t>the </w:t>
      </w:r>
      <w:r>
        <w:rPr>
          <w:sz w:val="24"/>
        </w:rPr>
        <w:t>MLO</w:t>
      </w:r>
      <w:r>
        <w:rPr>
          <w:spacing w:val="-2"/>
          <w:sz w:val="24"/>
        </w:rPr>
        <w:t> </w:t>
      </w:r>
      <w:r>
        <w:rPr>
          <w:sz w:val="24"/>
        </w:rPr>
        <w:t>register.</w:t>
      </w:r>
    </w:p>
    <w:p>
      <w:pPr>
        <w:pStyle w:val="ListParagraph"/>
        <w:numPr>
          <w:ilvl w:val="0"/>
          <w:numId w:val="120"/>
        </w:numPr>
        <w:tabs>
          <w:tab w:pos="1919" w:val="left" w:leader="none"/>
        </w:tabs>
        <w:spacing w:line="240" w:lineRule="auto" w:before="120" w:after="0"/>
        <w:ind w:left="1919" w:right="416" w:hanging="567"/>
        <w:jc w:val="both"/>
        <w:rPr>
          <w:sz w:val="24"/>
        </w:rPr>
      </w:pPr>
      <w:r>
        <w:rPr>
          <w:sz w:val="24"/>
        </w:rPr>
        <w:t>If the </w:t>
      </w:r>
      <w:r>
        <w:rPr>
          <w:i/>
          <w:sz w:val="24"/>
        </w:rPr>
        <w:t>AER </w:t>
      </w:r>
      <w:r>
        <w:rPr>
          <w:sz w:val="24"/>
        </w:rPr>
        <w:t>issues a notice to a MLO generator under paragraph (d) ("</w:t>
      </w:r>
      <w:r>
        <w:rPr>
          <w:b/>
          <w:sz w:val="24"/>
        </w:rPr>
        <w:t>MLO exit notice</w:t>
      </w:r>
      <w:r>
        <w:rPr>
          <w:sz w:val="24"/>
        </w:rPr>
        <w:t>") during a liquidity</w:t>
      </w:r>
      <w:r>
        <w:rPr>
          <w:spacing w:val="-1"/>
          <w:sz w:val="24"/>
        </w:rPr>
        <w:t> </w:t>
      </w:r>
      <w:r>
        <w:rPr>
          <w:sz w:val="24"/>
        </w:rPr>
        <w:t>period:</w:t>
      </w:r>
    </w:p>
    <w:p>
      <w:pPr>
        <w:pStyle w:val="ListParagraph"/>
        <w:numPr>
          <w:ilvl w:val="1"/>
          <w:numId w:val="120"/>
        </w:numPr>
        <w:tabs>
          <w:tab w:pos="2486" w:val="left" w:leader="none"/>
        </w:tabs>
        <w:spacing w:line="240" w:lineRule="auto" w:before="120" w:after="0"/>
        <w:ind w:left="2486" w:right="414" w:hanging="567"/>
        <w:jc w:val="both"/>
        <w:rPr>
          <w:sz w:val="24"/>
        </w:rPr>
      </w:pPr>
      <w:r>
        <w:rPr>
          <w:sz w:val="24"/>
        </w:rPr>
        <w:t>the liquidity obligation ends for that </w:t>
      </w:r>
      <w:r>
        <w:rPr>
          <w:i/>
          <w:sz w:val="24"/>
        </w:rPr>
        <w:t>Market Generator </w:t>
      </w:r>
      <w:r>
        <w:rPr>
          <w:sz w:val="24"/>
        </w:rPr>
        <w:t>in respect of the parcel of its traced capacity allocated to the relevant MLO group, at midnight on the date specified in that</w:t>
      </w:r>
      <w:r>
        <w:rPr>
          <w:spacing w:val="-3"/>
          <w:sz w:val="24"/>
        </w:rPr>
        <w:t> </w:t>
      </w:r>
      <w:r>
        <w:rPr>
          <w:sz w:val="24"/>
        </w:rPr>
        <w:t>notice;</w:t>
      </w:r>
    </w:p>
    <w:p>
      <w:pPr>
        <w:pStyle w:val="ListParagraph"/>
        <w:numPr>
          <w:ilvl w:val="1"/>
          <w:numId w:val="120"/>
        </w:numPr>
        <w:tabs>
          <w:tab w:pos="2486" w:val="left" w:leader="none"/>
        </w:tabs>
        <w:spacing w:line="240" w:lineRule="auto" w:before="120" w:after="0"/>
        <w:ind w:left="2485" w:right="0" w:hanging="567"/>
        <w:jc w:val="both"/>
        <w:rPr>
          <w:sz w:val="24"/>
        </w:rPr>
      </w:pPr>
      <w:r>
        <w:rPr>
          <w:sz w:val="24"/>
        </w:rPr>
        <w:t>the date specified in the MLO exit notice must be the later</w:t>
      </w:r>
      <w:r>
        <w:rPr>
          <w:spacing w:val="-5"/>
          <w:sz w:val="24"/>
        </w:rPr>
        <w:t> </w:t>
      </w:r>
      <w:r>
        <w:rPr>
          <w:sz w:val="24"/>
        </w:rPr>
        <w:t>of:</w:t>
      </w:r>
    </w:p>
    <w:p>
      <w:pPr>
        <w:pStyle w:val="ListParagraph"/>
        <w:numPr>
          <w:ilvl w:val="2"/>
          <w:numId w:val="120"/>
        </w:numPr>
        <w:tabs>
          <w:tab w:pos="3053" w:val="left" w:leader="none"/>
        </w:tabs>
        <w:spacing w:line="240" w:lineRule="auto" w:before="120" w:after="0"/>
        <w:ind w:left="3053" w:right="415" w:hanging="567"/>
        <w:jc w:val="both"/>
        <w:rPr>
          <w:sz w:val="24"/>
        </w:rPr>
      </w:pPr>
      <w:r>
        <w:rPr>
          <w:sz w:val="24"/>
        </w:rPr>
        <w:t>if immediately prior to the time the MLO exit notice is issued there are three or more MLO Groups in the relevant </w:t>
      </w:r>
      <w:r>
        <w:rPr>
          <w:i/>
          <w:sz w:val="24"/>
        </w:rPr>
        <w:t>region</w:t>
      </w:r>
      <w:r>
        <w:rPr>
          <w:sz w:val="24"/>
        </w:rPr>
        <w:t>, the day that is one </w:t>
      </w:r>
      <w:r>
        <w:rPr>
          <w:i/>
          <w:sz w:val="24"/>
        </w:rPr>
        <w:t>business day </w:t>
      </w:r>
      <w:r>
        <w:rPr>
          <w:sz w:val="24"/>
        </w:rPr>
        <w:t>after the date the exit notice is issued;</w:t>
      </w:r>
    </w:p>
    <w:p>
      <w:pPr>
        <w:pStyle w:val="ListParagraph"/>
        <w:numPr>
          <w:ilvl w:val="2"/>
          <w:numId w:val="120"/>
        </w:numPr>
        <w:tabs>
          <w:tab w:pos="3054" w:val="left" w:leader="none"/>
        </w:tabs>
        <w:spacing w:line="240" w:lineRule="auto" w:before="120" w:after="0"/>
        <w:ind w:left="3053" w:right="414" w:hanging="567"/>
        <w:jc w:val="both"/>
        <w:rPr>
          <w:sz w:val="24"/>
        </w:rPr>
      </w:pPr>
      <w:r>
        <w:rPr>
          <w:sz w:val="24"/>
        </w:rPr>
        <w:t>if immediately prior to the time the MLO exit notice is issued there are two MLO Groups in the relevant </w:t>
      </w:r>
      <w:r>
        <w:rPr>
          <w:i/>
          <w:sz w:val="24"/>
        </w:rPr>
        <w:t>region </w:t>
      </w:r>
      <w:r>
        <w:rPr>
          <w:sz w:val="24"/>
        </w:rPr>
        <w:t>and the </w:t>
      </w:r>
      <w:r>
        <w:rPr>
          <w:i/>
          <w:sz w:val="24"/>
        </w:rPr>
        <w:t>AER </w:t>
      </w:r>
      <w:r>
        <w:rPr>
          <w:sz w:val="24"/>
        </w:rPr>
        <w:t>is not issuing a notice under paragraph (f) in relation to that  </w:t>
      </w:r>
      <w:r>
        <w:rPr>
          <w:i/>
          <w:sz w:val="24"/>
        </w:rPr>
        <w:t>region</w:t>
      </w:r>
      <w:r>
        <w:rPr>
          <w:sz w:val="24"/>
        </w:rPr>
        <w:t>, the day that is one </w:t>
      </w:r>
      <w:r>
        <w:rPr>
          <w:i/>
          <w:sz w:val="24"/>
        </w:rPr>
        <w:t>business day </w:t>
      </w:r>
      <w:r>
        <w:rPr>
          <w:sz w:val="24"/>
        </w:rPr>
        <w:t>after the date the notice is issued; or</w:t>
      </w:r>
    </w:p>
    <w:p>
      <w:pPr>
        <w:pStyle w:val="ListParagraph"/>
        <w:numPr>
          <w:ilvl w:val="2"/>
          <w:numId w:val="120"/>
        </w:numPr>
        <w:tabs>
          <w:tab w:pos="3053" w:val="left" w:leader="none"/>
        </w:tabs>
        <w:spacing w:line="240" w:lineRule="auto" w:before="120" w:after="0"/>
        <w:ind w:left="3053" w:right="414" w:hanging="567"/>
        <w:jc w:val="both"/>
        <w:rPr>
          <w:sz w:val="24"/>
        </w:rPr>
      </w:pPr>
      <w:r>
        <w:rPr>
          <w:sz w:val="24"/>
        </w:rPr>
        <w:t>if immediately prior to the time the MLO exit notice is issued there are two MLO Groups in the relevant </w:t>
      </w:r>
      <w:r>
        <w:rPr>
          <w:i/>
          <w:sz w:val="24"/>
        </w:rPr>
        <w:t>region </w:t>
      </w:r>
      <w:r>
        <w:rPr>
          <w:sz w:val="24"/>
        </w:rPr>
        <w:t>and the </w:t>
      </w:r>
      <w:r>
        <w:rPr>
          <w:i/>
          <w:sz w:val="24"/>
        </w:rPr>
        <w:t>AER </w:t>
      </w:r>
      <w:r>
        <w:rPr>
          <w:sz w:val="24"/>
        </w:rPr>
        <w:t>is issuing a notice under paragraph (f) in relation to that </w:t>
      </w:r>
      <w:r>
        <w:rPr>
          <w:i/>
          <w:sz w:val="24"/>
        </w:rPr>
        <w:t>region</w:t>
      </w:r>
      <w:r>
        <w:rPr>
          <w:sz w:val="24"/>
        </w:rPr>
        <w:t>, the day immediately before the day specified in the MLO</w:t>
      </w:r>
      <w:r>
        <w:rPr>
          <w:spacing w:val="31"/>
          <w:sz w:val="24"/>
        </w:rPr>
        <w:t> </w:t>
      </w:r>
      <w:r>
        <w:rPr>
          <w:sz w:val="24"/>
        </w:rPr>
        <w:t>entry notice under paragraph</w:t>
      </w:r>
      <w:r>
        <w:rPr>
          <w:spacing w:val="-1"/>
          <w:sz w:val="24"/>
        </w:rPr>
        <w:t> </w:t>
      </w:r>
      <w:r>
        <w:rPr>
          <w:sz w:val="24"/>
        </w:rPr>
        <w:t>(g).</w:t>
      </w:r>
    </w:p>
    <w:p>
      <w:pPr>
        <w:pStyle w:val="ListParagraph"/>
        <w:numPr>
          <w:ilvl w:val="0"/>
          <w:numId w:val="120"/>
        </w:numPr>
        <w:tabs>
          <w:tab w:pos="1920" w:val="left" w:leader="none"/>
        </w:tabs>
        <w:spacing w:line="240" w:lineRule="auto" w:before="120" w:after="0"/>
        <w:ind w:left="1919" w:right="415" w:hanging="567"/>
        <w:jc w:val="both"/>
        <w:rPr>
          <w:sz w:val="24"/>
        </w:rPr>
      </w:pPr>
      <w:r>
        <w:rPr>
          <w:sz w:val="24"/>
        </w:rPr>
        <w:t>If, as a result of updating the MLO register under paragraph (c), a trading group is taken to become a MLO group for a </w:t>
      </w:r>
      <w:r>
        <w:rPr>
          <w:i/>
          <w:sz w:val="24"/>
        </w:rPr>
        <w:t>region</w:t>
      </w:r>
      <w:r>
        <w:rPr>
          <w:sz w:val="24"/>
        </w:rPr>
        <w:t>, then the </w:t>
      </w:r>
      <w:r>
        <w:rPr>
          <w:i/>
          <w:sz w:val="24"/>
        </w:rPr>
        <w:t>AER </w:t>
      </w:r>
      <w:r>
        <w:rPr>
          <w:sz w:val="24"/>
        </w:rPr>
        <w:t>must notify each MLO generator which has a parcel of traced capacity</w:t>
      </w:r>
      <w:r>
        <w:rPr>
          <w:spacing w:val="10"/>
          <w:sz w:val="24"/>
        </w:rPr>
        <w:t> </w:t>
      </w:r>
      <w:r>
        <w:rPr>
          <w:sz w:val="24"/>
        </w:rPr>
        <w:t>allocated</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to that group on the same day that it </w:t>
      </w:r>
      <w:r>
        <w:rPr>
          <w:i/>
        </w:rPr>
        <w:t>publishes </w:t>
      </w:r>
      <w:r>
        <w:rPr/>
        <w:t>the relevant update to the MLO register.</w:t>
      </w:r>
    </w:p>
    <w:p>
      <w:pPr>
        <w:pStyle w:val="ListParagraph"/>
        <w:numPr>
          <w:ilvl w:val="0"/>
          <w:numId w:val="120"/>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issues a notice to a MLO generator under paragraph (f) ("</w:t>
      </w:r>
      <w:r>
        <w:rPr>
          <w:b/>
          <w:sz w:val="24"/>
        </w:rPr>
        <w:t>MLO entry notice</w:t>
      </w:r>
      <w:r>
        <w:rPr>
          <w:sz w:val="24"/>
        </w:rPr>
        <w:t>") during a liquidity period, then that MLO generator must comply with the liquidity obligation in respect of the parcel of its traced capacity allocated to the relevant MLO group, on and from the date that is 10 </w:t>
      </w:r>
      <w:r>
        <w:rPr>
          <w:i/>
          <w:sz w:val="24"/>
        </w:rPr>
        <w:t>business days </w:t>
      </w:r>
      <w:r>
        <w:rPr>
          <w:sz w:val="24"/>
        </w:rPr>
        <w:t>after the date the notice is</w:t>
      </w:r>
      <w:r>
        <w:rPr>
          <w:spacing w:val="-2"/>
          <w:sz w:val="24"/>
        </w:rPr>
        <w:t> </w:t>
      </w:r>
      <w:r>
        <w:rPr>
          <w:sz w:val="24"/>
        </w:rPr>
        <w:t>issued.</w:t>
      </w:r>
    </w:p>
    <w:p>
      <w:pPr>
        <w:pStyle w:val="ListParagraph"/>
        <w:numPr>
          <w:ilvl w:val="0"/>
          <w:numId w:val="120"/>
        </w:numPr>
        <w:tabs>
          <w:tab w:pos="1919" w:val="left" w:leader="none"/>
        </w:tabs>
        <w:spacing w:line="240" w:lineRule="auto" w:before="120" w:after="0"/>
        <w:ind w:left="1919" w:right="415" w:hanging="567"/>
        <w:jc w:val="both"/>
        <w:rPr>
          <w:sz w:val="24"/>
        </w:rPr>
      </w:pPr>
      <w:r>
        <w:rPr>
          <w:sz w:val="24"/>
        </w:rPr>
        <w:t>The trading group referred to in paragraph (f) will be taken to be a MLO group for the relevant </w:t>
      </w:r>
      <w:r>
        <w:rPr>
          <w:i/>
          <w:sz w:val="24"/>
        </w:rPr>
        <w:t>region </w:t>
      </w:r>
      <w:r>
        <w:rPr>
          <w:sz w:val="24"/>
        </w:rPr>
        <w:t>from the date the </w:t>
      </w:r>
      <w:r>
        <w:rPr>
          <w:i/>
          <w:sz w:val="24"/>
        </w:rPr>
        <w:t>AER </w:t>
      </w:r>
      <w:r>
        <w:rPr>
          <w:sz w:val="24"/>
        </w:rPr>
        <w:t>issues the MLO entry notice, despite the liquidity obligation of each relevant </w:t>
      </w:r>
      <w:r>
        <w:rPr>
          <w:i/>
          <w:sz w:val="24"/>
        </w:rPr>
        <w:t>Market Generator </w:t>
      </w:r>
      <w:r>
        <w:rPr>
          <w:sz w:val="24"/>
        </w:rPr>
        <w:t>commencing on the date specified in paragraph</w:t>
      </w:r>
      <w:r>
        <w:rPr>
          <w:spacing w:val="-3"/>
          <w:sz w:val="24"/>
        </w:rPr>
        <w:t> </w:t>
      </w:r>
      <w:r>
        <w:rPr>
          <w:sz w:val="24"/>
        </w:rPr>
        <w:t>(g).</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13 Market Generator information" w:id="276"/>
      <w:bookmarkEnd w:id="276"/>
      <w:r>
        <w:rPr>
          <w:b w:val="0"/>
        </w:rPr>
      </w:r>
      <w:bookmarkStart w:name="_bookmark121" w:id="277"/>
      <w:bookmarkEnd w:id="277"/>
      <w:r>
        <w:rPr>
          <w:b w:val="0"/>
        </w:rPr>
      </w:r>
      <w:r>
        <w:rPr/>
        <w:t>4A.G.13</w:t>
        <w:tab/>
        <w:t>Market Generator</w:t>
      </w:r>
      <w:r>
        <w:rPr>
          <w:spacing w:val="-2"/>
        </w:rPr>
        <w:t> </w:t>
      </w:r>
      <w:r>
        <w:rPr/>
        <w:t>information</w:t>
      </w:r>
    </w:p>
    <w:p>
      <w:pPr>
        <w:pStyle w:val="ListParagraph"/>
        <w:numPr>
          <w:ilvl w:val="0"/>
          <w:numId w:val="121"/>
        </w:numPr>
        <w:tabs>
          <w:tab w:pos="1918" w:val="left" w:leader="none"/>
          <w:tab w:pos="1919" w:val="left" w:leader="none"/>
        </w:tabs>
        <w:spacing w:line="240" w:lineRule="auto" w:before="120" w:after="0"/>
        <w:ind w:left="1918" w:right="0" w:hanging="567"/>
        <w:jc w:val="left"/>
        <w:rPr>
          <w:sz w:val="24"/>
        </w:rPr>
      </w:pPr>
      <w:r>
        <w:rPr>
          <w:sz w:val="24"/>
        </w:rPr>
        <w:t>Each </w:t>
      </w:r>
      <w:r>
        <w:rPr>
          <w:i/>
          <w:sz w:val="24"/>
        </w:rPr>
        <w:t>Market Generator</w:t>
      </w:r>
      <w:r>
        <w:rPr>
          <w:i/>
          <w:spacing w:val="-2"/>
          <w:sz w:val="24"/>
        </w:rPr>
        <w:t> </w:t>
      </w:r>
      <w:r>
        <w:rPr>
          <w:sz w:val="24"/>
        </w:rPr>
        <w:t>must:</w:t>
      </w:r>
    </w:p>
    <w:p>
      <w:pPr>
        <w:pStyle w:val="ListParagraph"/>
        <w:numPr>
          <w:ilvl w:val="1"/>
          <w:numId w:val="121"/>
        </w:numPr>
        <w:tabs>
          <w:tab w:pos="2485" w:val="left" w:leader="none"/>
          <w:tab w:pos="2486" w:val="left" w:leader="none"/>
        </w:tabs>
        <w:spacing w:line="240" w:lineRule="auto" w:before="120" w:after="0"/>
        <w:ind w:left="2486" w:right="415" w:hanging="567"/>
        <w:jc w:val="left"/>
        <w:rPr>
          <w:sz w:val="24"/>
        </w:rPr>
      </w:pPr>
      <w:r>
        <w:rPr>
          <w:sz w:val="24"/>
        </w:rPr>
        <w:t>provide the </w:t>
      </w:r>
      <w:r>
        <w:rPr>
          <w:i/>
          <w:sz w:val="24"/>
        </w:rPr>
        <w:t>AER </w:t>
      </w:r>
      <w:r>
        <w:rPr>
          <w:sz w:val="24"/>
        </w:rPr>
        <w:t>with the following information in accordance with the MLO</w:t>
      </w:r>
      <w:r>
        <w:rPr>
          <w:spacing w:val="-2"/>
          <w:sz w:val="24"/>
        </w:rPr>
        <w:t> </w:t>
      </w:r>
      <w:r>
        <w:rPr>
          <w:sz w:val="24"/>
        </w:rPr>
        <w:t>Guidelines:</w:t>
      </w:r>
    </w:p>
    <w:p>
      <w:pPr>
        <w:pStyle w:val="ListParagraph"/>
        <w:numPr>
          <w:ilvl w:val="2"/>
          <w:numId w:val="121"/>
        </w:numPr>
        <w:tabs>
          <w:tab w:pos="3052" w:val="left" w:leader="none"/>
          <w:tab w:pos="3053" w:val="left" w:leader="none"/>
        </w:tabs>
        <w:spacing w:line="240" w:lineRule="auto" w:before="120" w:after="0"/>
        <w:ind w:left="3053" w:right="416" w:hanging="567"/>
        <w:jc w:val="left"/>
        <w:rPr>
          <w:sz w:val="24"/>
        </w:rPr>
      </w:pPr>
      <w:r>
        <w:rPr>
          <w:sz w:val="24"/>
        </w:rPr>
        <w:t>the </w:t>
      </w:r>
      <w:r>
        <w:rPr>
          <w:i/>
          <w:sz w:val="24"/>
        </w:rPr>
        <w:t>scheduled generating units </w:t>
      </w:r>
      <w:r>
        <w:rPr>
          <w:sz w:val="24"/>
        </w:rPr>
        <w:t>in relation to which it is a </w:t>
      </w:r>
      <w:r>
        <w:rPr>
          <w:i/>
          <w:sz w:val="24"/>
        </w:rPr>
        <w:t>Market </w:t>
      </w:r>
      <w:r>
        <w:rPr>
          <w:i/>
          <w:sz w:val="24"/>
        </w:rPr>
        <w:t>Generator</w:t>
      </w:r>
      <w:r>
        <w:rPr>
          <w:sz w:val="24"/>
        </w:rPr>
        <w:t>;</w:t>
      </w:r>
    </w:p>
    <w:p>
      <w:pPr>
        <w:pStyle w:val="ListParagraph"/>
        <w:numPr>
          <w:ilvl w:val="2"/>
          <w:numId w:val="121"/>
        </w:numPr>
        <w:tabs>
          <w:tab w:pos="3052" w:val="left" w:leader="none"/>
          <w:tab w:pos="3054" w:val="left" w:leader="none"/>
        </w:tabs>
        <w:spacing w:line="240" w:lineRule="auto" w:before="120" w:after="0"/>
        <w:ind w:left="3053" w:right="0" w:hanging="568"/>
        <w:jc w:val="left"/>
        <w:rPr>
          <w:sz w:val="24"/>
        </w:rPr>
      </w:pPr>
      <w:r>
        <w:rPr>
          <w:sz w:val="24"/>
        </w:rPr>
        <w:t>its generator</w:t>
      </w:r>
      <w:r>
        <w:rPr>
          <w:spacing w:val="-1"/>
          <w:sz w:val="24"/>
        </w:rPr>
        <w:t> </w:t>
      </w:r>
      <w:r>
        <w:rPr>
          <w:sz w:val="24"/>
        </w:rPr>
        <w:t>capacity;</w:t>
      </w:r>
    </w:p>
    <w:p>
      <w:pPr>
        <w:pStyle w:val="ListParagraph"/>
        <w:numPr>
          <w:ilvl w:val="2"/>
          <w:numId w:val="121"/>
        </w:numPr>
        <w:tabs>
          <w:tab w:pos="3052" w:val="left" w:leader="none"/>
          <w:tab w:pos="3053" w:val="left" w:leader="none"/>
        </w:tabs>
        <w:spacing w:line="240" w:lineRule="auto" w:before="120" w:after="0"/>
        <w:ind w:left="3052" w:right="0" w:hanging="567"/>
        <w:jc w:val="left"/>
        <w:rPr>
          <w:sz w:val="24"/>
        </w:rPr>
      </w:pPr>
      <w:r>
        <w:rPr>
          <w:sz w:val="24"/>
        </w:rPr>
        <w:t>the identity of each of its trading right</w:t>
      </w:r>
      <w:r>
        <w:rPr>
          <w:spacing w:val="-1"/>
          <w:sz w:val="24"/>
        </w:rPr>
        <w:t> </w:t>
      </w:r>
      <w:r>
        <w:rPr>
          <w:sz w:val="24"/>
        </w:rPr>
        <w:t>holders;</w:t>
      </w:r>
    </w:p>
    <w:p>
      <w:pPr>
        <w:pStyle w:val="ListParagraph"/>
        <w:numPr>
          <w:ilvl w:val="2"/>
          <w:numId w:val="121"/>
        </w:numPr>
        <w:tabs>
          <w:tab w:pos="3052" w:val="left" w:leader="none"/>
          <w:tab w:pos="3054" w:val="left" w:leader="none"/>
        </w:tabs>
        <w:spacing w:line="240" w:lineRule="auto" w:before="120" w:after="0"/>
        <w:ind w:left="3053" w:right="415" w:hanging="567"/>
        <w:jc w:val="left"/>
        <w:rPr>
          <w:sz w:val="24"/>
        </w:rPr>
      </w:pPr>
      <w:r>
        <w:rPr>
          <w:sz w:val="24"/>
        </w:rPr>
        <w:t>the trading rights held by each of its trading right holders, as determined under clause</w:t>
      </w:r>
      <w:r>
        <w:rPr>
          <w:spacing w:val="-2"/>
          <w:sz w:val="24"/>
        </w:rPr>
        <w:t> </w:t>
      </w:r>
      <w:r>
        <w:rPr>
          <w:sz w:val="24"/>
        </w:rPr>
        <w:t>4A.G.4;</w:t>
      </w:r>
    </w:p>
    <w:p>
      <w:pPr>
        <w:pStyle w:val="ListParagraph"/>
        <w:numPr>
          <w:ilvl w:val="2"/>
          <w:numId w:val="121"/>
        </w:numPr>
        <w:tabs>
          <w:tab w:pos="3052" w:val="left" w:leader="none"/>
          <w:tab w:pos="3053" w:val="left" w:leader="none"/>
        </w:tabs>
        <w:spacing w:line="240" w:lineRule="auto" w:before="120" w:after="0"/>
        <w:ind w:left="3053" w:right="415" w:hanging="567"/>
        <w:jc w:val="left"/>
        <w:rPr>
          <w:sz w:val="24"/>
        </w:rPr>
      </w:pPr>
      <w:r>
        <w:rPr>
          <w:sz w:val="24"/>
        </w:rPr>
        <w:t>the trading group to which each of its trading right holders belongs;</w:t>
      </w:r>
    </w:p>
    <w:p>
      <w:pPr>
        <w:pStyle w:val="ListParagraph"/>
        <w:numPr>
          <w:ilvl w:val="2"/>
          <w:numId w:val="121"/>
        </w:numPr>
        <w:tabs>
          <w:tab w:pos="3052" w:val="left" w:leader="none"/>
          <w:tab w:pos="3053" w:val="left" w:leader="none"/>
        </w:tabs>
        <w:spacing w:line="240" w:lineRule="auto" w:before="120" w:after="0"/>
        <w:ind w:left="3053" w:right="415" w:hanging="567"/>
        <w:jc w:val="left"/>
        <w:rPr>
          <w:sz w:val="24"/>
        </w:rPr>
      </w:pPr>
      <w:r>
        <w:rPr>
          <w:sz w:val="24"/>
        </w:rPr>
        <w:t>the identity of the ultimate controlling entity of each of its trading right</w:t>
      </w:r>
      <w:r>
        <w:rPr>
          <w:spacing w:val="-1"/>
          <w:sz w:val="24"/>
        </w:rPr>
        <w:t> </w:t>
      </w:r>
      <w:r>
        <w:rPr>
          <w:sz w:val="24"/>
        </w:rPr>
        <w:t>holders;</w:t>
      </w:r>
    </w:p>
    <w:p>
      <w:pPr>
        <w:pStyle w:val="ListParagraph"/>
        <w:numPr>
          <w:ilvl w:val="2"/>
          <w:numId w:val="121"/>
        </w:numPr>
        <w:tabs>
          <w:tab w:pos="3053" w:val="left" w:leader="none"/>
        </w:tabs>
        <w:spacing w:line="240" w:lineRule="auto" w:before="120" w:after="0"/>
        <w:ind w:left="3053" w:right="415" w:hanging="567"/>
        <w:jc w:val="left"/>
        <w:rPr>
          <w:sz w:val="24"/>
        </w:rPr>
      </w:pPr>
      <w:r>
        <w:rPr>
          <w:sz w:val="24"/>
        </w:rPr>
        <w:t>the allocation of its traced capacity to one or more trading groups, as determined under clause</w:t>
      </w:r>
      <w:r>
        <w:rPr>
          <w:spacing w:val="-1"/>
          <w:sz w:val="24"/>
        </w:rPr>
        <w:t> </w:t>
      </w:r>
      <w:r>
        <w:rPr>
          <w:sz w:val="24"/>
        </w:rPr>
        <w:t>4A.G.8;</w:t>
      </w:r>
    </w:p>
    <w:p>
      <w:pPr>
        <w:pStyle w:val="ListParagraph"/>
        <w:numPr>
          <w:ilvl w:val="2"/>
          <w:numId w:val="121"/>
        </w:numPr>
        <w:tabs>
          <w:tab w:pos="3053" w:val="left" w:leader="none"/>
        </w:tabs>
        <w:spacing w:line="240" w:lineRule="auto" w:before="120" w:after="0"/>
        <w:ind w:left="3053" w:right="414" w:hanging="567"/>
        <w:jc w:val="left"/>
        <w:rPr>
          <w:sz w:val="24"/>
        </w:rPr>
      </w:pPr>
      <w:r>
        <w:rPr>
          <w:sz w:val="24"/>
        </w:rPr>
        <w:t>the trading group capacity of each trading group to which each of its trading right holders belong;</w:t>
      </w:r>
      <w:r>
        <w:rPr>
          <w:spacing w:val="-2"/>
          <w:sz w:val="24"/>
        </w:rPr>
        <w:t> </w:t>
      </w:r>
      <w:r>
        <w:rPr>
          <w:sz w:val="24"/>
        </w:rPr>
        <w:t>and</w:t>
      </w:r>
    </w:p>
    <w:p>
      <w:pPr>
        <w:pStyle w:val="ListParagraph"/>
        <w:numPr>
          <w:ilvl w:val="2"/>
          <w:numId w:val="121"/>
        </w:numPr>
        <w:tabs>
          <w:tab w:pos="3052" w:val="left" w:leader="none"/>
          <w:tab w:pos="3054" w:val="left" w:leader="none"/>
        </w:tabs>
        <w:spacing w:line="240" w:lineRule="auto" w:before="120" w:after="0"/>
        <w:ind w:left="3053" w:right="415" w:hanging="567"/>
        <w:jc w:val="left"/>
        <w:rPr>
          <w:sz w:val="24"/>
        </w:rPr>
      </w:pPr>
      <w:r>
        <w:rPr>
          <w:sz w:val="24"/>
        </w:rPr>
        <w:t>any traced capacity for which it has appointed a MLO nominee to discharge, and the identity of that MLO</w:t>
      </w:r>
      <w:r>
        <w:rPr>
          <w:spacing w:val="-3"/>
          <w:sz w:val="24"/>
        </w:rPr>
        <w:t> </w:t>
      </w:r>
      <w:r>
        <w:rPr>
          <w:sz w:val="24"/>
        </w:rPr>
        <w:t>nominee,</w:t>
      </w:r>
    </w:p>
    <w:p>
      <w:pPr>
        <w:pStyle w:val="BodyText"/>
        <w:ind w:left="2486" w:firstLine="0"/>
        <w:jc w:val="left"/>
      </w:pPr>
      <w:r>
        <w:rPr/>
        <w:t>in accordance with the MLO Guidelines;</w:t>
      </w:r>
    </w:p>
    <w:p>
      <w:pPr>
        <w:pStyle w:val="ListParagraph"/>
        <w:numPr>
          <w:ilvl w:val="1"/>
          <w:numId w:val="121"/>
        </w:numPr>
        <w:tabs>
          <w:tab w:pos="2486" w:val="left" w:leader="none"/>
        </w:tabs>
        <w:spacing w:line="240" w:lineRule="auto" w:before="120" w:after="0"/>
        <w:ind w:left="2486" w:right="416" w:hanging="567"/>
        <w:jc w:val="both"/>
        <w:rPr>
          <w:sz w:val="24"/>
        </w:rPr>
      </w:pPr>
      <w:r>
        <w:rPr>
          <w:sz w:val="24"/>
        </w:rPr>
        <w:t>provide the </w:t>
      </w:r>
      <w:r>
        <w:rPr>
          <w:i/>
          <w:sz w:val="24"/>
        </w:rPr>
        <w:t>AER </w:t>
      </w:r>
      <w:r>
        <w:rPr>
          <w:sz w:val="24"/>
        </w:rPr>
        <w:t>with all supporting information requested by the </w:t>
      </w:r>
      <w:r>
        <w:rPr>
          <w:i/>
          <w:sz w:val="24"/>
        </w:rPr>
        <w:t>AER </w:t>
      </w:r>
      <w:r>
        <w:rPr>
          <w:sz w:val="24"/>
        </w:rPr>
        <w:t>for the purposes of determining that the information provided by that </w:t>
      </w:r>
      <w:r>
        <w:rPr>
          <w:i/>
          <w:sz w:val="24"/>
        </w:rPr>
        <w:t>Market Generator </w:t>
      </w:r>
      <w:r>
        <w:rPr>
          <w:sz w:val="24"/>
        </w:rPr>
        <w:t>under this clause is</w:t>
      </w:r>
      <w:r>
        <w:rPr>
          <w:spacing w:val="-3"/>
          <w:sz w:val="24"/>
        </w:rPr>
        <w:t> </w:t>
      </w:r>
      <w:r>
        <w:rPr>
          <w:sz w:val="24"/>
        </w:rPr>
        <w:t>correct;</w:t>
      </w:r>
    </w:p>
    <w:p>
      <w:pPr>
        <w:pStyle w:val="ListParagraph"/>
        <w:numPr>
          <w:ilvl w:val="1"/>
          <w:numId w:val="121"/>
        </w:numPr>
        <w:tabs>
          <w:tab w:pos="2486" w:val="left" w:leader="none"/>
        </w:tabs>
        <w:spacing w:line="240" w:lineRule="auto" w:before="120" w:after="0"/>
        <w:ind w:left="2486" w:right="414" w:hanging="567"/>
        <w:jc w:val="both"/>
        <w:rPr>
          <w:sz w:val="24"/>
        </w:rPr>
      </w:pPr>
      <w:r>
        <w:rPr>
          <w:sz w:val="24"/>
        </w:rPr>
        <w:t>if an event or series of related events occurs ("</w:t>
      </w:r>
      <w:r>
        <w:rPr>
          <w:b/>
          <w:sz w:val="24"/>
        </w:rPr>
        <w:t>change event</w:t>
      </w:r>
      <w:r>
        <w:rPr>
          <w:sz w:val="24"/>
        </w:rPr>
        <w:t>"), and as a result of that change event, any information previously provided under this clause is no longer correct, notify and update the </w:t>
      </w:r>
      <w:r>
        <w:rPr>
          <w:i/>
          <w:sz w:val="24"/>
        </w:rPr>
        <w:t>AER </w:t>
      </w:r>
      <w:r>
        <w:rPr>
          <w:sz w:val="24"/>
        </w:rPr>
        <w:t>with the correct information, within 10 </w:t>
      </w:r>
      <w:r>
        <w:rPr>
          <w:i/>
          <w:sz w:val="24"/>
        </w:rPr>
        <w:t>business days </w:t>
      </w:r>
      <w:r>
        <w:rPr>
          <w:sz w:val="24"/>
        </w:rPr>
        <w:t>of the change event; and</w:t>
      </w:r>
    </w:p>
    <w:p>
      <w:pPr>
        <w:spacing w:after="0" w:line="240" w:lineRule="auto"/>
        <w:jc w:val="both"/>
        <w:rPr>
          <w:sz w:val="24"/>
        </w:rPr>
        <w:sectPr>
          <w:pgSz w:w="11910" w:h="16840"/>
          <w:pgMar w:header="686" w:footer="637" w:top="1320" w:bottom="820" w:left="1200" w:right="1000"/>
        </w:sectPr>
      </w:pPr>
    </w:p>
    <w:p>
      <w:pPr>
        <w:pStyle w:val="ListParagraph"/>
        <w:numPr>
          <w:ilvl w:val="1"/>
          <w:numId w:val="121"/>
        </w:numPr>
        <w:tabs>
          <w:tab w:pos="2486" w:val="left" w:leader="none"/>
        </w:tabs>
        <w:spacing w:line="240" w:lineRule="auto" w:before="83" w:after="0"/>
        <w:ind w:left="2486" w:right="415" w:hanging="567"/>
        <w:jc w:val="both"/>
        <w:rPr>
          <w:sz w:val="24"/>
        </w:rPr>
      </w:pPr>
      <w:r>
        <w:rPr>
          <w:sz w:val="24"/>
        </w:rPr>
        <w:t>provide any other information required to be provided in accordance with the MLO</w:t>
      </w:r>
      <w:r>
        <w:rPr>
          <w:spacing w:val="-3"/>
          <w:sz w:val="24"/>
        </w:rPr>
        <w:t> </w:t>
      </w:r>
      <w:r>
        <w:rPr>
          <w:sz w:val="24"/>
        </w:rPr>
        <w:t>Guidelines.</w:t>
      </w:r>
    </w:p>
    <w:p>
      <w:pPr>
        <w:pStyle w:val="ListParagraph"/>
        <w:numPr>
          <w:ilvl w:val="0"/>
          <w:numId w:val="121"/>
        </w:numPr>
        <w:tabs>
          <w:tab w:pos="1919" w:val="left" w:leader="none"/>
        </w:tabs>
        <w:spacing w:line="240" w:lineRule="auto" w:before="120" w:after="0"/>
        <w:ind w:left="1919" w:right="415" w:hanging="567"/>
        <w:jc w:val="both"/>
        <w:rPr>
          <w:sz w:val="24"/>
        </w:rPr>
      </w:pPr>
      <w:r>
        <w:rPr>
          <w:sz w:val="24"/>
        </w:rPr>
        <w:t>A </w:t>
      </w:r>
      <w:r>
        <w:rPr>
          <w:i/>
          <w:sz w:val="24"/>
        </w:rPr>
        <w:t>Market Generator </w:t>
      </w:r>
      <w:r>
        <w:rPr>
          <w:sz w:val="24"/>
        </w:rPr>
        <w:t>may provide information to the </w:t>
      </w:r>
      <w:r>
        <w:rPr>
          <w:i/>
          <w:sz w:val="24"/>
        </w:rPr>
        <w:t>AER </w:t>
      </w:r>
      <w:r>
        <w:rPr>
          <w:sz w:val="24"/>
        </w:rPr>
        <w:t>under this clause on behalf of other </w:t>
      </w:r>
      <w:r>
        <w:rPr>
          <w:i/>
          <w:sz w:val="24"/>
        </w:rPr>
        <w:t>Market Generators </w:t>
      </w:r>
      <w:r>
        <w:rPr>
          <w:sz w:val="24"/>
        </w:rPr>
        <w:t>whose trading right holder belongs to the same trading group, in which case, those other </w:t>
      </w:r>
      <w:r>
        <w:rPr>
          <w:i/>
          <w:sz w:val="24"/>
        </w:rPr>
        <w:t>Market Generators </w:t>
      </w:r>
      <w:r>
        <w:rPr>
          <w:sz w:val="24"/>
        </w:rPr>
        <w:t>will be taken to have complied with this</w:t>
      </w:r>
      <w:r>
        <w:rPr>
          <w:spacing w:val="-2"/>
          <w:sz w:val="24"/>
        </w:rPr>
        <w:t> </w:t>
      </w:r>
      <w:r>
        <w:rPr>
          <w:sz w:val="24"/>
        </w:rPr>
        <w:t>clause.</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See Chapter 11, Part ZZZR, clause 11.116.11.</w:t>
      </w:r>
    </w:p>
    <w:p>
      <w:pPr>
        <w:pStyle w:val="BodyText"/>
        <w:spacing w:before="10"/>
        <w:ind w:firstLine="0"/>
        <w:jc w:val="left"/>
        <w:rPr>
          <w:sz w:val="20"/>
        </w:rPr>
      </w:pPr>
    </w:p>
    <w:p>
      <w:pPr>
        <w:pStyle w:val="Heading4"/>
        <w:tabs>
          <w:tab w:pos="1351" w:val="left" w:leader="none"/>
        </w:tabs>
        <w:ind w:left="218" w:firstLine="0"/>
      </w:pPr>
      <w:bookmarkStart w:name="4A.G.14 Applications to the AER" w:id="278"/>
      <w:bookmarkEnd w:id="278"/>
      <w:r>
        <w:rPr>
          <w:b w:val="0"/>
        </w:rPr>
      </w:r>
      <w:bookmarkStart w:name="_bookmark122" w:id="279"/>
      <w:bookmarkEnd w:id="279"/>
      <w:r>
        <w:rPr>
          <w:b w:val="0"/>
        </w:rPr>
      </w:r>
      <w:r>
        <w:rPr/>
        <w:t>4A.G.14</w:t>
        <w:tab/>
        <w:t>Applications to the</w:t>
      </w:r>
      <w:r>
        <w:rPr>
          <w:spacing w:val="-1"/>
        </w:rPr>
        <w:t> </w:t>
      </w:r>
      <w:r>
        <w:rPr/>
        <w:t>AER</w:t>
      </w:r>
    </w:p>
    <w:p>
      <w:pPr>
        <w:pStyle w:val="ListParagraph"/>
        <w:numPr>
          <w:ilvl w:val="0"/>
          <w:numId w:val="122"/>
        </w:numPr>
        <w:tabs>
          <w:tab w:pos="1918" w:val="left" w:leader="none"/>
          <w:tab w:pos="1919" w:val="left" w:leader="none"/>
        </w:tabs>
        <w:spacing w:line="240" w:lineRule="auto" w:before="120" w:after="0"/>
        <w:ind w:left="1918" w:right="0" w:hanging="567"/>
        <w:jc w:val="left"/>
        <w:rPr>
          <w:sz w:val="24"/>
        </w:rPr>
      </w:pPr>
      <w:r>
        <w:rPr>
          <w:sz w:val="24"/>
        </w:rPr>
        <w:t>A </w:t>
      </w:r>
      <w:r>
        <w:rPr>
          <w:i/>
          <w:sz w:val="24"/>
        </w:rPr>
        <w:t>Market Generator </w:t>
      </w:r>
      <w:r>
        <w:rPr>
          <w:sz w:val="24"/>
        </w:rPr>
        <w:t>may apply to the </w:t>
      </w:r>
      <w:r>
        <w:rPr>
          <w:i/>
          <w:sz w:val="24"/>
        </w:rPr>
        <w:t>AER </w:t>
      </w:r>
      <w:r>
        <w:rPr>
          <w:sz w:val="24"/>
        </w:rPr>
        <w:t>for a</w:t>
      </w:r>
      <w:r>
        <w:rPr>
          <w:spacing w:val="-3"/>
          <w:sz w:val="24"/>
        </w:rPr>
        <w:t> </w:t>
      </w:r>
      <w:r>
        <w:rPr>
          <w:sz w:val="24"/>
        </w:rPr>
        <w:t>determination:</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sz w:val="24"/>
        </w:rPr>
        <w:t>that it is, or is not, a MLO</w:t>
      </w:r>
      <w:r>
        <w:rPr>
          <w:spacing w:val="-3"/>
          <w:sz w:val="24"/>
        </w:rPr>
        <w:t> </w:t>
      </w:r>
      <w:r>
        <w:rPr>
          <w:sz w:val="24"/>
        </w:rPr>
        <w:t>generator;</w:t>
      </w:r>
    </w:p>
    <w:p>
      <w:pPr>
        <w:pStyle w:val="ListParagraph"/>
        <w:numPr>
          <w:ilvl w:val="1"/>
          <w:numId w:val="122"/>
        </w:numPr>
        <w:tabs>
          <w:tab w:pos="2485" w:val="left" w:leader="none"/>
          <w:tab w:pos="2486" w:val="left" w:leader="none"/>
        </w:tabs>
        <w:spacing w:line="240" w:lineRule="auto" w:before="120" w:after="0"/>
        <w:ind w:left="2486" w:right="415" w:hanging="567"/>
        <w:jc w:val="left"/>
        <w:rPr>
          <w:sz w:val="24"/>
        </w:rPr>
      </w:pPr>
      <w:r>
        <w:rPr>
          <w:sz w:val="24"/>
        </w:rPr>
        <w:t>that its trading right holder is, or is not, a member of a trading group; and</w:t>
      </w:r>
    </w:p>
    <w:p>
      <w:pPr>
        <w:pStyle w:val="ListParagraph"/>
        <w:numPr>
          <w:ilvl w:val="1"/>
          <w:numId w:val="122"/>
        </w:numPr>
        <w:tabs>
          <w:tab w:pos="2485" w:val="left" w:leader="none"/>
          <w:tab w:pos="2486" w:val="left" w:leader="none"/>
        </w:tabs>
        <w:spacing w:line="343" w:lineRule="auto" w:before="120" w:after="0"/>
        <w:ind w:left="1919" w:right="562" w:firstLine="0"/>
        <w:jc w:val="left"/>
        <w:rPr>
          <w:sz w:val="24"/>
        </w:rPr>
      </w:pPr>
      <w:r>
        <w:rPr>
          <w:sz w:val="24"/>
        </w:rPr>
        <w:t>of how one or more parcels of its traced capacity should be allocated, in accordance with the MLO</w:t>
      </w:r>
      <w:r>
        <w:rPr>
          <w:spacing w:val="-3"/>
          <w:sz w:val="24"/>
        </w:rPr>
        <w:t> </w:t>
      </w:r>
      <w:r>
        <w:rPr>
          <w:sz w:val="24"/>
        </w:rPr>
        <w:t>Guidelines.</w:t>
      </w:r>
    </w:p>
    <w:p>
      <w:pPr>
        <w:pStyle w:val="ListParagraph"/>
        <w:numPr>
          <w:ilvl w:val="0"/>
          <w:numId w:val="122"/>
        </w:numPr>
        <w:tabs>
          <w:tab w:pos="1918" w:val="left" w:leader="none"/>
          <w:tab w:pos="1919" w:val="left" w:leader="none"/>
        </w:tabs>
        <w:spacing w:line="240" w:lineRule="auto" w:before="3" w:after="0"/>
        <w:ind w:left="1918" w:right="0" w:hanging="567"/>
        <w:jc w:val="left"/>
        <w:rPr>
          <w:sz w:val="24"/>
        </w:rPr>
      </w:pPr>
      <w:r>
        <w:rPr>
          <w:sz w:val="24"/>
        </w:rPr>
        <w:t>The</w:t>
      </w:r>
      <w:r>
        <w:rPr>
          <w:spacing w:val="34"/>
          <w:sz w:val="24"/>
        </w:rPr>
        <w:t> </w:t>
      </w:r>
      <w:r>
        <w:rPr>
          <w:i/>
          <w:sz w:val="24"/>
        </w:rPr>
        <w:t>AER</w:t>
      </w:r>
      <w:r>
        <w:rPr>
          <w:i/>
          <w:spacing w:val="35"/>
          <w:sz w:val="24"/>
        </w:rPr>
        <w:t> </w:t>
      </w:r>
      <w:r>
        <w:rPr>
          <w:sz w:val="24"/>
        </w:rPr>
        <w:t>must</w:t>
      </w:r>
      <w:r>
        <w:rPr>
          <w:spacing w:val="35"/>
          <w:sz w:val="24"/>
        </w:rPr>
        <w:t> </w:t>
      </w:r>
      <w:r>
        <w:rPr>
          <w:sz w:val="24"/>
        </w:rPr>
        <w:t>promptly</w:t>
      </w:r>
      <w:r>
        <w:rPr>
          <w:spacing w:val="35"/>
          <w:sz w:val="24"/>
        </w:rPr>
        <w:t> </w:t>
      </w:r>
      <w:r>
        <w:rPr>
          <w:sz w:val="24"/>
        </w:rPr>
        <w:t>on</w:t>
      </w:r>
      <w:r>
        <w:rPr>
          <w:spacing w:val="35"/>
          <w:sz w:val="24"/>
        </w:rPr>
        <w:t> </w:t>
      </w:r>
      <w:r>
        <w:rPr>
          <w:sz w:val="24"/>
        </w:rPr>
        <w:t>receipt</w:t>
      </w:r>
      <w:r>
        <w:rPr>
          <w:spacing w:val="35"/>
          <w:sz w:val="24"/>
        </w:rPr>
        <w:t> </w:t>
      </w:r>
      <w:r>
        <w:rPr>
          <w:sz w:val="24"/>
        </w:rPr>
        <w:t>of</w:t>
      </w:r>
      <w:r>
        <w:rPr>
          <w:spacing w:val="35"/>
          <w:sz w:val="24"/>
        </w:rPr>
        <w:t> </w:t>
      </w:r>
      <w:r>
        <w:rPr>
          <w:sz w:val="24"/>
        </w:rPr>
        <w:t>an</w:t>
      </w:r>
      <w:r>
        <w:rPr>
          <w:spacing w:val="34"/>
          <w:sz w:val="24"/>
        </w:rPr>
        <w:t> </w:t>
      </w:r>
      <w:r>
        <w:rPr>
          <w:sz w:val="24"/>
        </w:rPr>
        <w:t>application</w:t>
      </w:r>
      <w:r>
        <w:rPr>
          <w:spacing w:val="35"/>
          <w:sz w:val="24"/>
        </w:rPr>
        <w:t> </w:t>
      </w:r>
      <w:r>
        <w:rPr>
          <w:sz w:val="24"/>
        </w:rPr>
        <w:t>under</w:t>
      </w:r>
      <w:r>
        <w:rPr>
          <w:spacing w:val="35"/>
          <w:sz w:val="24"/>
        </w:rPr>
        <w:t> </w:t>
      </w:r>
      <w:r>
        <w:rPr>
          <w:sz w:val="24"/>
        </w:rPr>
        <w:t>paragraph</w:t>
      </w:r>
      <w:r>
        <w:rPr>
          <w:spacing w:val="35"/>
          <w:sz w:val="24"/>
        </w:rPr>
        <w:t> </w:t>
      </w:r>
      <w:r>
        <w:rPr>
          <w:sz w:val="24"/>
        </w:rPr>
        <w:t>(a)</w:t>
      </w:r>
    </w:p>
    <w:p>
      <w:pPr>
        <w:pStyle w:val="BodyText"/>
        <w:spacing w:before="0"/>
        <w:ind w:left="1919" w:firstLine="0"/>
        <w:jc w:val="left"/>
      </w:pPr>
      <w:r>
        <w:rPr>
          <w:i/>
        </w:rPr>
        <w:t>publish </w:t>
      </w:r>
      <w:r>
        <w:rPr/>
        <w:t>a notice that it has received the application.</w:t>
      </w:r>
    </w:p>
    <w:p>
      <w:pPr>
        <w:pStyle w:val="ListParagraph"/>
        <w:numPr>
          <w:ilvl w:val="0"/>
          <w:numId w:val="122"/>
        </w:numPr>
        <w:tabs>
          <w:tab w:pos="1918" w:val="left" w:leader="none"/>
          <w:tab w:pos="1919" w:val="left" w:leader="none"/>
        </w:tabs>
        <w:spacing w:line="240" w:lineRule="auto" w:before="120" w:after="0"/>
        <w:ind w:left="1918" w:right="0" w:hanging="567"/>
        <w:jc w:val="left"/>
        <w:rPr>
          <w:sz w:val="24"/>
        </w:rPr>
      </w:pPr>
      <w:r>
        <w:rPr>
          <w:sz w:val="24"/>
        </w:rPr>
        <w:t>If, as a result of an application under paragraph (a), the </w:t>
      </w:r>
      <w:r>
        <w:rPr>
          <w:i/>
          <w:sz w:val="24"/>
        </w:rPr>
        <w:t>AER </w:t>
      </w:r>
      <w:r>
        <w:rPr>
          <w:sz w:val="24"/>
        </w:rPr>
        <w:t>is satisfied</w:t>
      </w:r>
      <w:r>
        <w:rPr>
          <w:spacing w:val="-11"/>
          <w:sz w:val="24"/>
        </w:rPr>
        <w:t> </w:t>
      </w:r>
      <w:r>
        <w:rPr>
          <w:sz w:val="24"/>
        </w:rPr>
        <w:t>that:</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sz w:val="24"/>
        </w:rPr>
        <w:t>a </w:t>
      </w:r>
      <w:r>
        <w:rPr>
          <w:i/>
          <w:sz w:val="24"/>
        </w:rPr>
        <w:t>Market Generator </w:t>
      </w:r>
      <w:r>
        <w:rPr>
          <w:sz w:val="24"/>
        </w:rPr>
        <w:t>is no longer a MLO generator for a</w:t>
      </w:r>
      <w:r>
        <w:rPr>
          <w:spacing w:val="-9"/>
          <w:sz w:val="24"/>
        </w:rPr>
        <w:t> </w:t>
      </w:r>
      <w:r>
        <w:rPr>
          <w:i/>
          <w:sz w:val="24"/>
        </w:rPr>
        <w:t>region</w:t>
      </w:r>
      <w:r>
        <w:rPr>
          <w:sz w:val="24"/>
        </w:rPr>
        <w:t>;</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sz w:val="24"/>
        </w:rPr>
        <w:t>a trading group is no longer a MLO group for a</w:t>
      </w:r>
      <w:r>
        <w:rPr>
          <w:spacing w:val="-7"/>
          <w:sz w:val="24"/>
        </w:rPr>
        <w:t> </w:t>
      </w:r>
      <w:r>
        <w:rPr>
          <w:i/>
          <w:sz w:val="24"/>
        </w:rPr>
        <w:t>region</w:t>
      </w:r>
      <w:r>
        <w:rPr>
          <w:sz w:val="24"/>
        </w:rPr>
        <w:t>;</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sz w:val="24"/>
        </w:rPr>
        <w:t>a new trading group is taken to be a MLO group for a </w:t>
      </w:r>
      <w:r>
        <w:rPr>
          <w:i/>
          <w:sz w:val="24"/>
        </w:rPr>
        <w:t>region</w:t>
      </w:r>
      <w:r>
        <w:rPr>
          <w:sz w:val="24"/>
        </w:rPr>
        <w:t>;</w:t>
      </w:r>
      <w:r>
        <w:rPr>
          <w:spacing w:val="-6"/>
          <w:sz w:val="24"/>
        </w:rPr>
        <w:t> </w:t>
      </w:r>
      <w:r>
        <w:rPr>
          <w:sz w:val="24"/>
        </w:rPr>
        <w:t>or</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sz w:val="24"/>
        </w:rPr>
        <w:t>the trading group capacity of a trading group has</w:t>
      </w:r>
      <w:r>
        <w:rPr>
          <w:spacing w:val="-1"/>
          <w:sz w:val="24"/>
        </w:rPr>
        <w:t> </w:t>
      </w:r>
      <w:r>
        <w:rPr>
          <w:sz w:val="24"/>
        </w:rPr>
        <w:t>changed,</w:t>
      </w:r>
    </w:p>
    <w:p>
      <w:pPr>
        <w:pStyle w:val="BodyText"/>
        <w:ind w:left="1919" w:firstLine="0"/>
        <w:jc w:val="left"/>
      </w:pPr>
      <w:r>
        <w:rPr/>
        <w:t>then the </w:t>
      </w:r>
      <w:r>
        <w:rPr>
          <w:i/>
        </w:rPr>
        <w:t>AER </w:t>
      </w:r>
      <w:r>
        <w:rPr/>
        <w:t>must update the MLO register in accordance with clause 4A.G.12(c).</w:t>
      </w:r>
    </w:p>
    <w:p>
      <w:pPr>
        <w:pStyle w:val="ListParagraph"/>
        <w:numPr>
          <w:ilvl w:val="0"/>
          <w:numId w:val="12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w:t>
      </w:r>
      <w:r>
        <w:rPr>
          <w:i/>
          <w:spacing w:val="-1"/>
          <w:sz w:val="24"/>
        </w:rPr>
        <w:t> </w:t>
      </w:r>
      <w:r>
        <w:rPr>
          <w:sz w:val="24"/>
        </w:rPr>
        <w:t>must:</w:t>
      </w:r>
    </w:p>
    <w:p>
      <w:pPr>
        <w:pStyle w:val="ListParagraph"/>
        <w:numPr>
          <w:ilvl w:val="1"/>
          <w:numId w:val="122"/>
        </w:numPr>
        <w:tabs>
          <w:tab w:pos="2485" w:val="left" w:leader="none"/>
          <w:tab w:pos="2486" w:val="left" w:leader="none"/>
        </w:tabs>
        <w:spacing w:line="240" w:lineRule="auto" w:before="120" w:after="0"/>
        <w:ind w:left="2486" w:right="416" w:hanging="567"/>
        <w:jc w:val="left"/>
        <w:rPr>
          <w:sz w:val="24"/>
        </w:rPr>
      </w:pPr>
      <w:r>
        <w:rPr>
          <w:sz w:val="24"/>
        </w:rPr>
        <w:t>notify the </w:t>
      </w:r>
      <w:r>
        <w:rPr>
          <w:i/>
          <w:sz w:val="24"/>
        </w:rPr>
        <w:t>Market Generator </w:t>
      </w:r>
      <w:r>
        <w:rPr>
          <w:sz w:val="24"/>
        </w:rPr>
        <w:t>of its decision whether to approve or reject an application under paragraph (a);</w:t>
      </w:r>
      <w:r>
        <w:rPr>
          <w:spacing w:val="-1"/>
          <w:sz w:val="24"/>
        </w:rPr>
        <w:t> </w:t>
      </w:r>
      <w:r>
        <w:rPr>
          <w:sz w:val="24"/>
        </w:rPr>
        <w:t>and</w:t>
      </w:r>
    </w:p>
    <w:p>
      <w:pPr>
        <w:pStyle w:val="ListParagraph"/>
        <w:numPr>
          <w:ilvl w:val="1"/>
          <w:numId w:val="122"/>
        </w:numPr>
        <w:tabs>
          <w:tab w:pos="2485" w:val="left" w:leader="none"/>
          <w:tab w:pos="2486" w:val="left" w:leader="none"/>
        </w:tabs>
        <w:spacing w:line="240" w:lineRule="auto" w:before="120" w:after="0"/>
        <w:ind w:left="2485" w:right="0" w:hanging="567"/>
        <w:jc w:val="left"/>
        <w:rPr>
          <w:sz w:val="24"/>
        </w:rPr>
      </w:pPr>
      <w:r>
        <w:rPr>
          <w:i/>
          <w:sz w:val="24"/>
        </w:rPr>
        <w:t>publish </w:t>
      </w:r>
      <w:r>
        <w:rPr>
          <w:sz w:val="24"/>
        </w:rPr>
        <w:t>a notice of that</w:t>
      </w:r>
      <w:r>
        <w:rPr>
          <w:spacing w:val="-1"/>
          <w:sz w:val="24"/>
        </w:rPr>
        <w:t> </w:t>
      </w:r>
      <w:r>
        <w:rPr>
          <w:sz w:val="24"/>
        </w:rPr>
        <w:t>decision,</w:t>
      </w:r>
    </w:p>
    <w:p>
      <w:pPr>
        <w:pStyle w:val="BodyText"/>
        <w:ind w:left="1919" w:firstLine="0"/>
        <w:jc w:val="left"/>
      </w:pPr>
      <w:r>
        <w:rPr/>
        <w:t>within the timeframes specified in the MLO Guidelines.</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Any application or determination under this clause only applies in respect of the period after 1 July 2021. See Chapter 11, Part ZZZR, clause 11.116.11.</w:t>
      </w:r>
    </w:p>
    <w:p>
      <w:pPr>
        <w:pStyle w:val="BodyText"/>
        <w:spacing w:before="10"/>
        <w:ind w:firstLine="0"/>
        <w:jc w:val="left"/>
        <w:rPr>
          <w:sz w:val="20"/>
        </w:rPr>
      </w:pPr>
    </w:p>
    <w:p>
      <w:pPr>
        <w:pStyle w:val="Heading3"/>
        <w:tabs>
          <w:tab w:pos="1656" w:val="left" w:leader="none"/>
        </w:tabs>
        <w:ind w:left="218" w:firstLine="0"/>
      </w:pPr>
      <w:bookmarkStart w:name="Division 7 Liquidity period" w:id="280"/>
      <w:bookmarkEnd w:id="280"/>
      <w:r>
        <w:rPr>
          <w:b w:val="0"/>
        </w:rPr>
      </w:r>
      <w:bookmarkStart w:name="_bookmark123" w:id="281"/>
      <w:bookmarkEnd w:id="281"/>
      <w:r>
        <w:rPr>
          <w:b w:val="0"/>
        </w:rPr>
      </w:r>
      <w:r>
        <w:rPr/>
        <w:t>Division</w:t>
      </w:r>
      <w:r>
        <w:rPr>
          <w:spacing w:val="-4"/>
        </w:rPr>
        <w:t> </w:t>
      </w:r>
      <w:r>
        <w:rPr/>
        <w:t>7</w:t>
        <w:tab/>
        <w:t>Liquidity period</w:t>
      </w:r>
    </w:p>
    <w:p>
      <w:pPr>
        <w:pStyle w:val="Heading4"/>
        <w:tabs>
          <w:tab w:pos="1351" w:val="left" w:leader="none"/>
        </w:tabs>
        <w:spacing w:before="240"/>
        <w:ind w:left="218" w:firstLine="0"/>
      </w:pPr>
      <w:bookmarkStart w:name="4A.G.15 Notices prior to a liquidity per" w:id="282"/>
      <w:bookmarkEnd w:id="282"/>
      <w:r>
        <w:rPr>
          <w:b w:val="0"/>
        </w:rPr>
      </w:r>
      <w:bookmarkStart w:name="_bookmark124" w:id="283"/>
      <w:bookmarkEnd w:id="283"/>
      <w:r>
        <w:rPr>
          <w:b w:val="0"/>
        </w:rPr>
      </w:r>
      <w:r>
        <w:rPr/>
        <w:t>4A.G.15</w:t>
        <w:tab/>
        <w:t>Notices prior to a liquidity</w:t>
      </w:r>
      <w:r>
        <w:rPr>
          <w:spacing w:val="-3"/>
        </w:rPr>
        <w:t> </w:t>
      </w:r>
      <w:r>
        <w:rPr/>
        <w:t>period</w:t>
      </w:r>
    </w:p>
    <w:p>
      <w:pPr>
        <w:pStyle w:val="ListParagraph"/>
        <w:numPr>
          <w:ilvl w:val="0"/>
          <w:numId w:val="123"/>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receives a request for a T-3 reliability instrument under clause 4A.C.1, it must notify each MLO generator in the relevant </w:t>
      </w:r>
      <w:r>
        <w:rPr>
          <w:i/>
          <w:sz w:val="24"/>
        </w:rPr>
        <w:t>region </w:t>
      </w:r>
      <w:r>
        <w:rPr>
          <w:sz w:val="24"/>
        </w:rPr>
        <w:t>in accordance with the MLO</w:t>
      </w:r>
      <w:r>
        <w:rPr>
          <w:spacing w:val="-3"/>
          <w:sz w:val="24"/>
        </w:rPr>
        <w:t> </w:t>
      </w:r>
      <w:r>
        <w:rPr>
          <w:sz w:val="24"/>
        </w:rPr>
        <w:t>Guidelines.</w:t>
      </w:r>
    </w:p>
    <w:p>
      <w:pPr>
        <w:spacing w:after="0" w:line="240" w:lineRule="auto"/>
        <w:jc w:val="both"/>
        <w:rPr>
          <w:sz w:val="24"/>
        </w:rPr>
        <w:sectPr>
          <w:pgSz w:w="11910" w:h="16840"/>
          <w:pgMar w:header="686" w:footer="637" w:top="1320" w:bottom="820" w:left="1200" w:right="1000"/>
        </w:sectPr>
      </w:pPr>
    </w:p>
    <w:p>
      <w:pPr>
        <w:pStyle w:val="ListParagraph"/>
        <w:numPr>
          <w:ilvl w:val="0"/>
          <w:numId w:val="123"/>
        </w:numPr>
        <w:tabs>
          <w:tab w:pos="1919" w:val="left" w:leader="none"/>
        </w:tabs>
        <w:spacing w:line="240" w:lineRule="auto" w:before="83" w:after="0"/>
        <w:ind w:left="1919" w:right="414" w:hanging="567"/>
        <w:jc w:val="both"/>
        <w:rPr>
          <w:sz w:val="24"/>
        </w:rPr>
      </w:pPr>
      <w:r>
        <w:rPr>
          <w:sz w:val="24"/>
        </w:rPr>
        <w:t>If the </w:t>
      </w:r>
      <w:r>
        <w:rPr>
          <w:i/>
          <w:sz w:val="24"/>
        </w:rPr>
        <w:t>AER </w:t>
      </w:r>
      <w:r>
        <w:rPr>
          <w:sz w:val="24"/>
        </w:rPr>
        <w:t>decides not to make a T-3 reliability instrument under clause 4A.C.8, it must notify each MLO generator in the relevant </w:t>
      </w:r>
      <w:r>
        <w:rPr>
          <w:i/>
          <w:sz w:val="24"/>
        </w:rPr>
        <w:t>region </w:t>
      </w:r>
      <w:r>
        <w:rPr>
          <w:sz w:val="24"/>
        </w:rPr>
        <w:t>in accordance with the MLO</w:t>
      </w:r>
      <w:r>
        <w:rPr>
          <w:spacing w:val="-3"/>
          <w:sz w:val="24"/>
        </w:rPr>
        <w:t> </w:t>
      </w:r>
      <w:r>
        <w:rPr>
          <w:sz w:val="24"/>
        </w:rPr>
        <w:t>Guidelines.</w:t>
      </w:r>
    </w:p>
    <w:p>
      <w:pPr>
        <w:pStyle w:val="BodyText"/>
        <w:spacing w:before="10"/>
        <w:ind w:firstLine="0"/>
        <w:jc w:val="left"/>
        <w:rPr>
          <w:sz w:val="20"/>
        </w:rPr>
      </w:pPr>
    </w:p>
    <w:p>
      <w:pPr>
        <w:pStyle w:val="Heading4"/>
        <w:tabs>
          <w:tab w:pos="1351" w:val="left" w:leader="none"/>
        </w:tabs>
        <w:ind w:left="218" w:firstLine="0"/>
      </w:pPr>
      <w:bookmarkStart w:name="4A.G.16 Duration of liquidity period" w:id="284"/>
      <w:bookmarkEnd w:id="284"/>
      <w:r>
        <w:rPr>
          <w:b w:val="0"/>
        </w:rPr>
      </w:r>
      <w:bookmarkStart w:name="_bookmark125" w:id="285"/>
      <w:bookmarkEnd w:id="285"/>
      <w:r>
        <w:rPr>
          <w:b w:val="0"/>
        </w:rPr>
      </w:r>
      <w:r>
        <w:rPr/>
        <w:t>4A.G.16</w:t>
        <w:tab/>
        <w:t>Duration of liquidity</w:t>
      </w:r>
      <w:r>
        <w:rPr>
          <w:spacing w:val="-3"/>
        </w:rPr>
        <w:t> </w:t>
      </w:r>
      <w:r>
        <w:rPr/>
        <w:t>period</w:t>
      </w:r>
    </w:p>
    <w:p>
      <w:pPr>
        <w:pStyle w:val="ListParagraph"/>
        <w:numPr>
          <w:ilvl w:val="0"/>
          <w:numId w:val="124"/>
        </w:numPr>
        <w:tabs>
          <w:tab w:pos="1919" w:val="left" w:leader="none"/>
        </w:tabs>
        <w:spacing w:line="240" w:lineRule="auto" w:before="120" w:after="0"/>
        <w:ind w:left="1919" w:right="416" w:hanging="567"/>
        <w:jc w:val="both"/>
        <w:rPr>
          <w:sz w:val="24"/>
        </w:rPr>
      </w:pPr>
      <w:r>
        <w:rPr>
          <w:sz w:val="24"/>
        </w:rPr>
        <w:t>If a T-3 reliability instrument is made for a </w:t>
      </w:r>
      <w:r>
        <w:rPr>
          <w:i/>
          <w:sz w:val="24"/>
        </w:rPr>
        <w:t>region</w:t>
      </w:r>
      <w:r>
        <w:rPr>
          <w:sz w:val="24"/>
        </w:rPr>
        <w:t>, a liquidity period starts in that </w:t>
      </w:r>
      <w:r>
        <w:rPr>
          <w:i/>
          <w:sz w:val="24"/>
        </w:rPr>
        <w:t>region </w:t>
      </w:r>
      <w:r>
        <w:rPr>
          <w:sz w:val="24"/>
        </w:rPr>
        <w:t>on the later</w:t>
      </w:r>
      <w:r>
        <w:rPr>
          <w:spacing w:val="-3"/>
          <w:sz w:val="24"/>
        </w:rPr>
        <w:t> </w:t>
      </w:r>
      <w:r>
        <w:rPr>
          <w:sz w:val="24"/>
        </w:rPr>
        <w:t>of:</w:t>
      </w:r>
    </w:p>
    <w:p>
      <w:pPr>
        <w:pStyle w:val="ListParagraph"/>
        <w:numPr>
          <w:ilvl w:val="1"/>
          <w:numId w:val="124"/>
        </w:numPr>
        <w:tabs>
          <w:tab w:pos="2486" w:val="left" w:leader="none"/>
        </w:tabs>
        <w:spacing w:line="240" w:lineRule="auto" w:before="120" w:after="0"/>
        <w:ind w:left="2486" w:right="414" w:hanging="567"/>
        <w:jc w:val="both"/>
        <w:rPr>
          <w:sz w:val="24"/>
        </w:rPr>
      </w:pPr>
      <w:r>
        <w:rPr>
          <w:sz w:val="24"/>
        </w:rPr>
        <w:t>the day that is 5 </w:t>
      </w:r>
      <w:r>
        <w:rPr>
          <w:i/>
          <w:sz w:val="24"/>
        </w:rPr>
        <w:t>business days </w:t>
      </w:r>
      <w:r>
        <w:rPr>
          <w:sz w:val="24"/>
        </w:rPr>
        <w:t>after that T-3 reliability instrument takes</w:t>
      </w:r>
      <w:r>
        <w:rPr>
          <w:spacing w:val="-1"/>
          <w:sz w:val="24"/>
        </w:rPr>
        <w:t> </w:t>
      </w:r>
      <w:r>
        <w:rPr>
          <w:sz w:val="24"/>
        </w:rPr>
        <w:t>effect;</w:t>
      </w:r>
    </w:p>
    <w:p>
      <w:pPr>
        <w:pStyle w:val="ListParagraph"/>
        <w:numPr>
          <w:ilvl w:val="1"/>
          <w:numId w:val="124"/>
        </w:numPr>
        <w:tabs>
          <w:tab w:pos="2486" w:val="left" w:leader="none"/>
        </w:tabs>
        <w:spacing w:line="240" w:lineRule="auto" w:before="120" w:after="0"/>
        <w:ind w:left="2485" w:right="0" w:hanging="567"/>
        <w:jc w:val="both"/>
        <w:rPr>
          <w:sz w:val="24"/>
        </w:rPr>
      </w:pPr>
      <w:r>
        <w:rPr>
          <w:sz w:val="24"/>
        </w:rPr>
        <w:t>the day there is more than one MLO group in that </w:t>
      </w:r>
      <w:r>
        <w:rPr>
          <w:i/>
          <w:sz w:val="24"/>
        </w:rPr>
        <w:t>region</w:t>
      </w:r>
      <w:r>
        <w:rPr>
          <w:sz w:val="24"/>
        </w:rPr>
        <w:t>;</w:t>
      </w:r>
      <w:r>
        <w:rPr>
          <w:spacing w:val="-5"/>
          <w:sz w:val="24"/>
        </w:rPr>
        <w:t> </w:t>
      </w:r>
      <w:r>
        <w:rPr>
          <w:sz w:val="24"/>
        </w:rPr>
        <w:t>or</w:t>
      </w:r>
    </w:p>
    <w:p>
      <w:pPr>
        <w:pStyle w:val="ListParagraph"/>
        <w:numPr>
          <w:ilvl w:val="1"/>
          <w:numId w:val="124"/>
        </w:numPr>
        <w:tabs>
          <w:tab w:pos="2486" w:val="left" w:leader="none"/>
        </w:tabs>
        <w:spacing w:line="240" w:lineRule="auto" w:before="120" w:after="0"/>
        <w:ind w:left="2486" w:right="415" w:hanging="567"/>
        <w:jc w:val="both"/>
        <w:rPr>
          <w:sz w:val="24"/>
        </w:rPr>
      </w:pPr>
      <w:r>
        <w:rPr>
          <w:sz w:val="24"/>
        </w:rPr>
        <w:t>where a liquidity period ends because of an event occurring </w:t>
      </w:r>
      <w:r>
        <w:rPr>
          <w:spacing w:val="-3"/>
          <w:sz w:val="24"/>
        </w:rPr>
        <w:t>under </w:t>
      </w:r>
      <w:r>
        <w:rPr>
          <w:sz w:val="24"/>
        </w:rPr>
        <w:t>subparagraphs (d)(3), (d)(4) or (d)(5), the day that event is no longer subsisting.</w:t>
      </w:r>
    </w:p>
    <w:p>
      <w:pPr>
        <w:pStyle w:val="ListParagraph"/>
        <w:numPr>
          <w:ilvl w:val="0"/>
          <w:numId w:val="124"/>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w:t>
      </w:r>
      <w:r>
        <w:rPr>
          <w:i/>
          <w:sz w:val="24"/>
        </w:rPr>
        <w:t>publish </w:t>
      </w:r>
      <w:r>
        <w:rPr>
          <w:sz w:val="24"/>
        </w:rPr>
        <w:t>a notice of the date on which a liquidity period starts in a </w:t>
      </w:r>
      <w:r>
        <w:rPr>
          <w:i/>
          <w:sz w:val="24"/>
        </w:rPr>
        <w:t>region</w:t>
      </w:r>
      <w:r>
        <w:rPr>
          <w:sz w:val="24"/>
        </w:rPr>
        <w:t>, as determined under paragraph</w:t>
      </w:r>
      <w:r>
        <w:rPr>
          <w:spacing w:val="-2"/>
          <w:sz w:val="24"/>
        </w:rPr>
        <w:t> </w:t>
      </w:r>
      <w:r>
        <w:rPr>
          <w:sz w:val="24"/>
        </w:rPr>
        <w:t>(a).</w:t>
      </w:r>
    </w:p>
    <w:p>
      <w:pPr>
        <w:pStyle w:val="ListParagraph"/>
        <w:numPr>
          <w:ilvl w:val="0"/>
          <w:numId w:val="124"/>
        </w:numPr>
        <w:tabs>
          <w:tab w:pos="1919" w:val="left" w:leader="none"/>
        </w:tabs>
        <w:spacing w:line="240" w:lineRule="auto" w:before="120" w:after="0"/>
        <w:ind w:left="1918" w:right="0" w:hanging="567"/>
        <w:jc w:val="both"/>
        <w:rPr>
          <w:sz w:val="24"/>
        </w:rPr>
      </w:pPr>
      <w:r>
        <w:rPr>
          <w:sz w:val="24"/>
        </w:rPr>
        <w:t>To</w:t>
      </w:r>
      <w:r>
        <w:rPr>
          <w:spacing w:val="44"/>
          <w:sz w:val="24"/>
        </w:rPr>
        <w:t> </w:t>
      </w:r>
      <w:r>
        <w:rPr>
          <w:sz w:val="24"/>
        </w:rPr>
        <w:t>avoid</w:t>
      </w:r>
      <w:r>
        <w:rPr>
          <w:spacing w:val="44"/>
          <w:sz w:val="24"/>
        </w:rPr>
        <w:t> </w:t>
      </w:r>
      <w:r>
        <w:rPr>
          <w:sz w:val="24"/>
        </w:rPr>
        <w:t>doubt,</w:t>
      </w:r>
      <w:r>
        <w:rPr>
          <w:spacing w:val="45"/>
          <w:sz w:val="24"/>
        </w:rPr>
        <w:t> </w:t>
      </w:r>
      <w:r>
        <w:rPr>
          <w:sz w:val="24"/>
        </w:rPr>
        <w:t>a</w:t>
      </w:r>
      <w:r>
        <w:rPr>
          <w:spacing w:val="44"/>
          <w:sz w:val="24"/>
        </w:rPr>
        <w:t> </w:t>
      </w:r>
      <w:r>
        <w:rPr>
          <w:sz w:val="24"/>
        </w:rPr>
        <w:t>liquidity</w:t>
      </w:r>
      <w:r>
        <w:rPr>
          <w:spacing w:val="45"/>
          <w:sz w:val="24"/>
        </w:rPr>
        <w:t> </w:t>
      </w:r>
      <w:r>
        <w:rPr>
          <w:sz w:val="24"/>
        </w:rPr>
        <w:t>period</w:t>
      </w:r>
      <w:r>
        <w:rPr>
          <w:spacing w:val="44"/>
          <w:sz w:val="24"/>
        </w:rPr>
        <w:t> </w:t>
      </w:r>
      <w:r>
        <w:rPr>
          <w:sz w:val="24"/>
        </w:rPr>
        <w:t>commences</w:t>
      </w:r>
      <w:r>
        <w:rPr>
          <w:spacing w:val="45"/>
          <w:sz w:val="24"/>
        </w:rPr>
        <w:t> </w:t>
      </w:r>
      <w:r>
        <w:rPr>
          <w:sz w:val="24"/>
        </w:rPr>
        <w:t>regardless</w:t>
      </w:r>
      <w:r>
        <w:rPr>
          <w:spacing w:val="44"/>
          <w:sz w:val="24"/>
        </w:rPr>
        <w:t> </w:t>
      </w:r>
      <w:r>
        <w:rPr>
          <w:sz w:val="24"/>
        </w:rPr>
        <w:t>of</w:t>
      </w:r>
      <w:r>
        <w:rPr>
          <w:spacing w:val="44"/>
          <w:sz w:val="24"/>
        </w:rPr>
        <w:t> </w:t>
      </w:r>
      <w:r>
        <w:rPr>
          <w:sz w:val="24"/>
        </w:rPr>
        <w:t>whether</w:t>
      </w:r>
      <w:r>
        <w:rPr>
          <w:spacing w:val="45"/>
          <w:sz w:val="24"/>
        </w:rPr>
        <w:t> </w:t>
      </w:r>
      <w:r>
        <w:rPr>
          <w:sz w:val="24"/>
        </w:rPr>
        <w:t>the</w:t>
      </w:r>
    </w:p>
    <w:p>
      <w:pPr>
        <w:spacing w:before="0"/>
        <w:ind w:left="1919" w:right="0" w:firstLine="0"/>
        <w:jc w:val="both"/>
        <w:rPr>
          <w:sz w:val="24"/>
        </w:rPr>
      </w:pPr>
      <w:r>
        <w:rPr>
          <w:i/>
          <w:sz w:val="24"/>
        </w:rPr>
        <w:t>AER </w:t>
      </w:r>
      <w:r>
        <w:rPr>
          <w:sz w:val="24"/>
        </w:rPr>
        <w:t>has </w:t>
      </w:r>
      <w:r>
        <w:rPr>
          <w:i/>
          <w:sz w:val="24"/>
        </w:rPr>
        <w:t>published </w:t>
      </w:r>
      <w:r>
        <w:rPr>
          <w:sz w:val="24"/>
        </w:rPr>
        <w:t>a notice under clause 4A.G.15(a).</w:t>
      </w:r>
    </w:p>
    <w:p>
      <w:pPr>
        <w:pStyle w:val="ListParagraph"/>
        <w:numPr>
          <w:ilvl w:val="0"/>
          <w:numId w:val="124"/>
        </w:numPr>
        <w:tabs>
          <w:tab w:pos="1919" w:val="left" w:leader="none"/>
        </w:tabs>
        <w:spacing w:line="240" w:lineRule="auto" w:before="120" w:after="0"/>
        <w:ind w:left="1918" w:right="0" w:hanging="567"/>
        <w:jc w:val="both"/>
        <w:rPr>
          <w:sz w:val="24"/>
        </w:rPr>
      </w:pPr>
      <w:r>
        <w:rPr>
          <w:sz w:val="24"/>
        </w:rPr>
        <w:t>A liquidity period ends on the date that is the earlier</w:t>
      </w:r>
      <w:r>
        <w:rPr>
          <w:spacing w:val="-1"/>
          <w:sz w:val="24"/>
        </w:rPr>
        <w:t> </w:t>
      </w:r>
      <w:r>
        <w:rPr>
          <w:sz w:val="24"/>
        </w:rPr>
        <w:t>of:</w:t>
      </w:r>
    </w:p>
    <w:p>
      <w:pPr>
        <w:pStyle w:val="ListParagraph"/>
        <w:numPr>
          <w:ilvl w:val="1"/>
          <w:numId w:val="124"/>
        </w:numPr>
        <w:tabs>
          <w:tab w:pos="2486" w:val="left" w:leader="none"/>
        </w:tabs>
        <w:spacing w:line="240" w:lineRule="auto" w:before="120" w:after="0"/>
        <w:ind w:left="2485" w:right="0" w:hanging="567"/>
        <w:jc w:val="both"/>
        <w:rPr>
          <w:sz w:val="24"/>
        </w:rPr>
      </w:pPr>
      <w:r>
        <w:rPr>
          <w:sz w:val="24"/>
        </w:rPr>
        <w:t>the T-1 cut off day for the relevant </w:t>
      </w:r>
      <w:r>
        <w:rPr>
          <w:i/>
          <w:sz w:val="24"/>
        </w:rPr>
        <w:t>forecast reliability</w:t>
      </w:r>
      <w:r>
        <w:rPr>
          <w:i/>
          <w:spacing w:val="-6"/>
          <w:sz w:val="24"/>
        </w:rPr>
        <w:t> </w:t>
      </w:r>
      <w:r>
        <w:rPr>
          <w:i/>
          <w:sz w:val="24"/>
        </w:rPr>
        <w:t>gap</w:t>
      </w:r>
      <w:r>
        <w:rPr>
          <w:sz w:val="24"/>
        </w:rPr>
        <w:t>;</w:t>
      </w:r>
    </w:p>
    <w:p>
      <w:pPr>
        <w:pStyle w:val="ListParagraph"/>
        <w:numPr>
          <w:ilvl w:val="1"/>
          <w:numId w:val="124"/>
        </w:numPr>
        <w:tabs>
          <w:tab w:pos="2486" w:val="left" w:leader="none"/>
        </w:tabs>
        <w:spacing w:line="240" w:lineRule="auto" w:before="120" w:after="0"/>
        <w:ind w:left="2485" w:right="0" w:hanging="567"/>
        <w:jc w:val="both"/>
        <w:rPr>
          <w:sz w:val="24"/>
        </w:rPr>
      </w:pPr>
      <w:r>
        <w:rPr>
          <w:sz w:val="24"/>
        </w:rPr>
        <w:t>the date </w:t>
      </w:r>
      <w:r>
        <w:rPr>
          <w:i/>
          <w:sz w:val="24"/>
        </w:rPr>
        <w:t>AEMO </w:t>
      </w:r>
      <w:r>
        <w:rPr>
          <w:sz w:val="24"/>
        </w:rPr>
        <w:t>publishes a notice under clause</w:t>
      </w:r>
      <w:r>
        <w:rPr>
          <w:spacing w:val="-2"/>
          <w:sz w:val="24"/>
        </w:rPr>
        <w:t> </w:t>
      </w:r>
      <w:r>
        <w:rPr>
          <w:sz w:val="24"/>
        </w:rPr>
        <w:t>4A.C.5(a);</w:t>
      </w:r>
    </w:p>
    <w:p>
      <w:pPr>
        <w:pStyle w:val="ListParagraph"/>
        <w:numPr>
          <w:ilvl w:val="1"/>
          <w:numId w:val="124"/>
        </w:numPr>
        <w:tabs>
          <w:tab w:pos="2485" w:val="left" w:leader="none"/>
          <w:tab w:pos="2486" w:val="left" w:leader="none"/>
        </w:tabs>
        <w:spacing w:line="240" w:lineRule="auto" w:before="120" w:after="0"/>
        <w:ind w:left="2486" w:right="415" w:hanging="567"/>
        <w:jc w:val="left"/>
        <w:rPr>
          <w:sz w:val="24"/>
        </w:rPr>
      </w:pPr>
      <w:r>
        <w:rPr>
          <w:sz w:val="24"/>
        </w:rPr>
        <w:t>the date the </w:t>
      </w:r>
      <w:r>
        <w:rPr>
          <w:i/>
          <w:sz w:val="24"/>
        </w:rPr>
        <w:t>AER </w:t>
      </w:r>
      <w:r>
        <w:rPr>
          <w:sz w:val="24"/>
        </w:rPr>
        <w:t>updates the MLO register to indicate there are less than two MLO groups in the relevant</w:t>
      </w:r>
      <w:r>
        <w:rPr>
          <w:spacing w:val="-4"/>
          <w:sz w:val="24"/>
        </w:rPr>
        <w:t> </w:t>
      </w:r>
      <w:r>
        <w:rPr>
          <w:i/>
          <w:sz w:val="24"/>
        </w:rPr>
        <w:t>region</w:t>
      </w:r>
      <w:r>
        <w:rPr>
          <w:sz w:val="24"/>
        </w:rPr>
        <w:t>;</w:t>
      </w:r>
    </w:p>
    <w:p>
      <w:pPr>
        <w:pStyle w:val="ListParagraph"/>
        <w:numPr>
          <w:ilvl w:val="1"/>
          <w:numId w:val="124"/>
        </w:numPr>
        <w:tabs>
          <w:tab w:pos="2485" w:val="left" w:leader="none"/>
          <w:tab w:pos="2486" w:val="left" w:leader="none"/>
        </w:tabs>
        <w:spacing w:line="240" w:lineRule="auto" w:before="120" w:after="0"/>
        <w:ind w:left="2486" w:right="415" w:hanging="567"/>
        <w:jc w:val="left"/>
        <w:rPr>
          <w:sz w:val="24"/>
        </w:rPr>
      </w:pPr>
      <w:r>
        <w:rPr>
          <w:sz w:val="24"/>
        </w:rPr>
        <w:t>the date that there is no current MLO exchange in respect of the relevant </w:t>
      </w:r>
      <w:r>
        <w:rPr>
          <w:i/>
          <w:sz w:val="24"/>
        </w:rPr>
        <w:t>region</w:t>
      </w:r>
      <w:r>
        <w:rPr>
          <w:sz w:val="24"/>
        </w:rPr>
        <w:t>;</w:t>
      </w:r>
      <w:r>
        <w:rPr>
          <w:spacing w:val="-1"/>
          <w:sz w:val="24"/>
        </w:rPr>
        <w:t> </w:t>
      </w:r>
      <w:r>
        <w:rPr>
          <w:sz w:val="24"/>
        </w:rPr>
        <w:t>and</w:t>
      </w:r>
    </w:p>
    <w:p>
      <w:pPr>
        <w:pStyle w:val="ListParagraph"/>
        <w:numPr>
          <w:ilvl w:val="1"/>
          <w:numId w:val="124"/>
        </w:numPr>
        <w:tabs>
          <w:tab w:pos="2485" w:val="left" w:leader="none"/>
          <w:tab w:pos="2486" w:val="left" w:leader="none"/>
        </w:tabs>
        <w:spacing w:line="240" w:lineRule="auto" w:before="120" w:after="0"/>
        <w:ind w:left="2486" w:right="415" w:hanging="567"/>
        <w:jc w:val="left"/>
        <w:rPr>
          <w:sz w:val="24"/>
        </w:rPr>
      </w:pPr>
      <w:r>
        <w:rPr>
          <w:sz w:val="24"/>
        </w:rPr>
        <w:t>the date that all MLO products are no longer permitted to be bought and sold on any MLO exchange in the relevant</w:t>
      </w:r>
      <w:r>
        <w:rPr>
          <w:spacing w:val="-6"/>
          <w:sz w:val="24"/>
        </w:rPr>
        <w:t> </w:t>
      </w:r>
      <w:r>
        <w:rPr>
          <w:i/>
          <w:sz w:val="24"/>
        </w:rPr>
        <w:t>region</w:t>
      </w:r>
      <w:r>
        <w:rPr>
          <w:sz w:val="24"/>
        </w:rPr>
        <w:t>.</w:t>
      </w:r>
    </w:p>
    <w:p>
      <w:pPr>
        <w:pStyle w:val="ListParagraph"/>
        <w:numPr>
          <w:ilvl w:val="0"/>
          <w:numId w:val="124"/>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w:t>
      </w:r>
      <w:r>
        <w:rPr>
          <w:i/>
          <w:sz w:val="24"/>
        </w:rPr>
        <w:t>publish </w:t>
      </w:r>
      <w:r>
        <w:rPr>
          <w:sz w:val="24"/>
        </w:rPr>
        <w:t>a notice of the date on which a liquidity period ends in a </w:t>
      </w:r>
      <w:r>
        <w:rPr>
          <w:i/>
          <w:sz w:val="24"/>
        </w:rPr>
        <w:t>region</w:t>
      </w:r>
      <w:r>
        <w:rPr>
          <w:sz w:val="24"/>
        </w:rPr>
        <w:t>, as determined under paragraph</w:t>
      </w:r>
      <w:r>
        <w:rPr>
          <w:spacing w:val="-2"/>
          <w:sz w:val="24"/>
        </w:rPr>
        <w:t> </w:t>
      </w:r>
      <w:r>
        <w:rPr>
          <w:sz w:val="24"/>
        </w:rPr>
        <w:t>(d).</w:t>
      </w:r>
    </w:p>
    <w:p>
      <w:pPr>
        <w:pStyle w:val="BodyText"/>
        <w:spacing w:before="10"/>
        <w:ind w:firstLine="0"/>
        <w:jc w:val="left"/>
        <w:rPr>
          <w:sz w:val="20"/>
        </w:rPr>
      </w:pPr>
    </w:p>
    <w:p>
      <w:pPr>
        <w:pStyle w:val="Heading3"/>
        <w:tabs>
          <w:tab w:pos="1656" w:val="left" w:leader="none"/>
        </w:tabs>
        <w:ind w:left="218" w:firstLine="0"/>
      </w:pPr>
      <w:bookmarkStart w:name="Division 8 Liquidity obligation" w:id="286"/>
      <w:bookmarkEnd w:id="286"/>
      <w:r>
        <w:rPr>
          <w:b w:val="0"/>
        </w:rPr>
      </w:r>
      <w:bookmarkStart w:name="_bookmark126" w:id="287"/>
      <w:bookmarkEnd w:id="287"/>
      <w:r>
        <w:rPr>
          <w:b w:val="0"/>
        </w:rPr>
      </w:r>
      <w:r>
        <w:rPr/>
        <w:t>Division</w:t>
      </w:r>
      <w:r>
        <w:rPr>
          <w:spacing w:val="-4"/>
        </w:rPr>
        <w:t> </w:t>
      </w:r>
      <w:r>
        <w:rPr/>
        <w:t>8</w:t>
        <w:tab/>
        <w:t>Liquidity obligation</w:t>
      </w:r>
    </w:p>
    <w:p>
      <w:pPr>
        <w:pStyle w:val="Heading4"/>
        <w:tabs>
          <w:tab w:pos="1351" w:val="left" w:leader="none"/>
        </w:tabs>
        <w:spacing w:before="240"/>
        <w:ind w:left="218" w:firstLine="0"/>
      </w:pPr>
      <w:bookmarkStart w:name="4A.G.17 Liquidity obligation" w:id="288"/>
      <w:bookmarkEnd w:id="288"/>
      <w:r>
        <w:rPr>
          <w:b w:val="0"/>
        </w:rPr>
      </w:r>
      <w:bookmarkStart w:name="_bookmark127" w:id="289"/>
      <w:bookmarkEnd w:id="289"/>
      <w:r>
        <w:rPr>
          <w:b w:val="0"/>
        </w:rPr>
      </w:r>
      <w:r>
        <w:rPr/>
        <w:t>4A.G.17</w:t>
        <w:tab/>
        <w:t>Liquidity</w:t>
      </w:r>
      <w:r>
        <w:rPr>
          <w:spacing w:val="-2"/>
        </w:rPr>
        <w:t> </w:t>
      </w:r>
      <w:r>
        <w:rPr/>
        <w:t>obligation</w:t>
      </w:r>
    </w:p>
    <w:p>
      <w:pPr>
        <w:pStyle w:val="ListParagraph"/>
        <w:numPr>
          <w:ilvl w:val="0"/>
          <w:numId w:val="125"/>
        </w:numPr>
        <w:tabs>
          <w:tab w:pos="1919" w:val="left" w:leader="none"/>
        </w:tabs>
        <w:spacing w:line="240" w:lineRule="auto" w:before="120" w:after="0"/>
        <w:ind w:left="1919" w:right="416" w:hanging="567"/>
        <w:jc w:val="both"/>
        <w:rPr>
          <w:sz w:val="24"/>
        </w:rPr>
      </w:pPr>
      <w:r>
        <w:rPr>
          <w:sz w:val="24"/>
        </w:rPr>
        <w:t>In this Division, a liquidity obligation applies to a MLO generator on a separate (and, if applicable, simultaneous) basis for each relevant liquidity period, </w:t>
      </w:r>
      <w:r>
        <w:rPr>
          <w:i/>
          <w:sz w:val="24"/>
        </w:rPr>
        <w:t>region </w:t>
      </w:r>
      <w:r>
        <w:rPr>
          <w:sz w:val="24"/>
        </w:rPr>
        <w:t>and parcel of traced capacity allocated to a MLO</w:t>
      </w:r>
      <w:r>
        <w:rPr>
          <w:spacing w:val="-8"/>
          <w:sz w:val="24"/>
        </w:rPr>
        <w:t> </w:t>
      </w:r>
      <w:r>
        <w:rPr>
          <w:sz w:val="24"/>
        </w:rPr>
        <w:t>group.</w:t>
      </w:r>
    </w:p>
    <w:p>
      <w:pPr>
        <w:pStyle w:val="ListParagraph"/>
        <w:numPr>
          <w:ilvl w:val="0"/>
          <w:numId w:val="125"/>
        </w:numPr>
        <w:tabs>
          <w:tab w:pos="1919" w:val="left" w:leader="none"/>
        </w:tabs>
        <w:spacing w:line="240" w:lineRule="auto" w:before="120" w:after="0"/>
        <w:ind w:left="1919" w:right="414" w:hanging="567"/>
        <w:jc w:val="both"/>
        <w:rPr>
          <w:sz w:val="24"/>
        </w:rPr>
      </w:pPr>
      <w:r>
        <w:rPr>
          <w:sz w:val="24"/>
        </w:rPr>
        <w:t>Subject to clause 4A.G.19 and clause 4A.G.21, in relation to each liquidity period, a MLO generator must perform its liquidity obligation in accordance with clause</w:t>
      </w:r>
      <w:r>
        <w:rPr>
          <w:spacing w:val="-3"/>
          <w:sz w:val="24"/>
        </w:rPr>
        <w:t> </w:t>
      </w:r>
      <w:r>
        <w:rPr>
          <w:sz w:val="24"/>
        </w:rPr>
        <w:t>4A.G.18.</w:t>
      </w:r>
    </w:p>
    <w:p>
      <w:pPr>
        <w:pStyle w:val="BodyText"/>
        <w:spacing w:before="10"/>
        <w:ind w:firstLine="0"/>
        <w:jc w:val="left"/>
        <w:rPr>
          <w:sz w:val="20"/>
        </w:rPr>
      </w:pPr>
    </w:p>
    <w:p>
      <w:pPr>
        <w:pStyle w:val="Heading4"/>
        <w:tabs>
          <w:tab w:pos="1351" w:val="left" w:leader="none"/>
        </w:tabs>
        <w:ind w:left="218" w:firstLine="0"/>
      </w:pPr>
      <w:bookmarkStart w:name="4A.G.18 Performing a liquidity obligatio" w:id="290"/>
      <w:bookmarkEnd w:id="290"/>
      <w:r>
        <w:rPr>
          <w:b w:val="0"/>
        </w:rPr>
      </w:r>
      <w:bookmarkStart w:name="_bookmark128" w:id="291"/>
      <w:bookmarkEnd w:id="291"/>
      <w:r>
        <w:rPr>
          <w:b w:val="0"/>
        </w:rPr>
      </w:r>
      <w:r>
        <w:rPr/>
        <w:t>4A.G.18</w:t>
        <w:tab/>
        <w:t>Performing a liquidity</w:t>
      </w:r>
      <w:r>
        <w:rPr>
          <w:spacing w:val="-2"/>
        </w:rPr>
        <w:t> </w:t>
      </w:r>
      <w:r>
        <w:rPr/>
        <w:t>obligation</w:t>
      </w:r>
    </w:p>
    <w:p>
      <w:pPr>
        <w:pStyle w:val="ListParagraph"/>
        <w:numPr>
          <w:ilvl w:val="0"/>
          <w:numId w:val="126"/>
        </w:numPr>
        <w:tabs>
          <w:tab w:pos="1918" w:val="left" w:leader="none"/>
          <w:tab w:pos="1919" w:val="left" w:leader="none"/>
        </w:tabs>
        <w:spacing w:line="240" w:lineRule="auto" w:before="120" w:after="0"/>
        <w:ind w:left="1919" w:right="414" w:hanging="567"/>
        <w:jc w:val="left"/>
        <w:rPr>
          <w:sz w:val="24"/>
        </w:rPr>
      </w:pPr>
      <w:r>
        <w:rPr>
          <w:sz w:val="24"/>
        </w:rPr>
        <w:t>A trading period means a period of 30 minutes occurring between the times of:</w:t>
      </w:r>
    </w:p>
    <w:p>
      <w:pPr>
        <w:pStyle w:val="ListParagraph"/>
        <w:numPr>
          <w:ilvl w:val="1"/>
          <w:numId w:val="126"/>
        </w:numPr>
        <w:tabs>
          <w:tab w:pos="2486" w:val="left" w:leader="none"/>
        </w:tabs>
        <w:spacing w:line="240" w:lineRule="auto" w:before="120" w:after="0"/>
        <w:ind w:left="2485" w:right="0" w:hanging="567"/>
        <w:jc w:val="both"/>
        <w:rPr>
          <w:sz w:val="24"/>
        </w:rPr>
      </w:pPr>
      <w:r>
        <w:rPr>
          <w:sz w:val="24"/>
        </w:rPr>
        <w:t>11.00am to 11.30am (</w:t>
      </w:r>
      <w:r>
        <w:rPr>
          <w:i/>
          <w:sz w:val="24"/>
        </w:rPr>
        <w:t>Sydney time</w:t>
      </w:r>
      <w:r>
        <w:rPr>
          <w:sz w:val="24"/>
        </w:rPr>
        <w:t>);</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126"/>
        </w:numPr>
        <w:tabs>
          <w:tab w:pos="2486" w:val="left" w:leader="none"/>
        </w:tabs>
        <w:spacing w:line="240" w:lineRule="auto" w:before="83" w:after="0"/>
        <w:ind w:left="2485" w:right="0" w:hanging="567"/>
        <w:jc w:val="both"/>
        <w:rPr>
          <w:sz w:val="24"/>
        </w:rPr>
      </w:pPr>
      <w:r>
        <w:rPr>
          <w:sz w:val="24"/>
        </w:rPr>
        <w:t>3.30pm to 4.00pm (</w:t>
      </w:r>
      <w:r>
        <w:rPr>
          <w:i/>
          <w:sz w:val="24"/>
        </w:rPr>
        <w:t>Sydney</w:t>
      </w:r>
      <w:r>
        <w:rPr>
          <w:i/>
          <w:spacing w:val="-1"/>
          <w:sz w:val="24"/>
        </w:rPr>
        <w:t> </w:t>
      </w:r>
      <w:r>
        <w:rPr>
          <w:i/>
          <w:sz w:val="24"/>
        </w:rPr>
        <w:t>time</w:t>
      </w:r>
      <w:r>
        <w:rPr>
          <w:sz w:val="24"/>
        </w:rPr>
        <w:t>),</w:t>
      </w:r>
    </w:p>
    <w:p>
      <w:pPr>
        <w:pStyle w:val="BodyText"/>
        <w:ind w:left="1919" w:right="415" w:firstLine="0"/>
      </w:pPr>
      <w:r>
        <w:rPr/>
        <w:t>or two other thirty minute periods nominated and published by the relevant MLO exchange.</w:t>
      </w:r>
    </w:p>
    <w:p>
      <w:pPr>
        <w:pStyle w:val="ListParagraph"/>
        <w:numPr>
          <w:ilvl w:val="0"/>
          <w:numId w:val="126"/>
        </w:numPr>
        <w:tabs>
          <w:tab w:pos="1919" w:val="left" w:leader="none"/>
        </w:tabs>
        <w:spacing w:line="240" w:lineRule="auto" w:before="120" w:after="0"/>
        <w:ind w:left="1919" w:right="415" w:hanging="567"/>
        <w:jc w:val="both"/>
        <w:rPr>
          <w:sz w:val="24"/>
        </w:rPr>
      </w:pPr>
      <w:r>
        <w:rPr>
          <w:sz w:val="24"/>
        </w:rPr>
        <w:t>A MLO generator must, in respect of a month, perform its liquidity obligation for at least the number of target trading periods for that</w:t>
      </w:r>
      <w:r>
        <w:rPr>
          <w:spacing w:val="-5"/>
          <w:sz w:val="24"/>
        </w:rPr>
        <w:t> </w:t>
      </w:r>
      <w:r>
        <w:rPr>
          <w:sz w:val="24"/>
        </w:rPr>
        <w:t>month.</w:t>
      </w:r>
    </w:p>
    <w:p>
      <w:pPr>
        <w:pStyle w:val="ListParagraph"/>
        <w:numPr>
          <w:ilvl w:val="0"/>
          <w:numId w:val="126"/>
        </w:numPr>
        <w:tabs>
          <w:tab w:pos="1919" w:val="left" w:leader="none"/>
        </w:tabs>
        <w:spacing w:line="240" w:lineRule="auto" w:before="120" w:after="0"/>
        <w:ind w:left="1918" w:right="0" w:hanging="567"/>
        <w:jc w:val="both"/>
        <w:rPr>
          <w:sz w:val="24"/>
        </w:rPr>
      </w:pPr>
      <w:r>
        <w:rPr>
          <w:sz w:val="24"/>
        </w:rPr>
        <w:t>Target trading periods means, in respect of a</w:t>
      </w:r>
      <w:r>
        <w:rPr>
          <w:spacing w:val="-1"/>
          <w:sz w:val="24"/>
        </w:rPr>
        <w:t> </w:t>
      </w:r>
      <w:r>
        <w:rPr>
          <w:sz w:val="24"/>
        </w:rPr>
        <w:t>month:</w:t>
      </w:r>
    </w:p>
    <w:p>
      <w:pPr>
        <w:pStyle w:val="ListParagraph"/>
        <w:numPr>
          <w:ilvl w:val="1"/>
          <w:numId w:val="126"/>
        </w:numPr>
        <w:tabs>
          <w:tab w:pos="2486" w:val="left" w:leader="none"/>
        </w:tabs>
        <w:spacing w:line="240" w:lineRule="auto" w:before="120" w:after="0"/>
        <w:ind w:left="2486" w:right="414" w:hanging="567"/>
        <w:jc w:val="both"/>
        <w:rPr>
          <w:sz w:val="24"/>
        </w:rPr>
      </w:pPr>
      <w:r>
        <w:rPr>
          <w:sz w:val="24"/>
        </w:rPr>
        <w:t>the number of trading periods occurring in that month during which the relevant MLO exchange is open for trading, less 10;</w:t>
      </w:r>
      <w:r>
        <w:rPr>
          <w:spacing w:val="-4"/>
          <w:sz w:val="24"/>
        </w:rPr>
        <w:t> </w:t>
      </w:r>
      <w:r>
        <w:rPr>
          <w:sz w:val="24"/>
        </w:rPr>
        <w:t>and</w:t>
      </w:r>
    </w:p>
    <w:p>
      <w:pPr>
        <w:pStyle w:val="ListParagraph"/>
        <w:numPr>
          <w:ilvl w:val="1"/>
          <w:numId w:val="126"/>
        </w:numPr>
        <w:tabs>
          <w:tab w:pos="2486" w:val="left" w:leader="none"/>
        </w:tabs>
        <w:spacing w:line="240" w:lineRule="auto" w:before="120" w:after="0"/>
        <w:ind w:left="2486" w:right="415" w:hanging="567"/>
        <w:jc w:val="both"/>
        <w:rPr>
          <w:sz w:val="24"/>
        </w:rPr>
      </w:pPr>
      <w:r>
        <w:rPr>
          <w:sz w:val="24"/>
        </w:rPr>
        <w:t>where a liquidity period starts or ends during that month, the number of trading periods referred to in subparagraph (c)(1), as proportionately reduced in accordance with the MLO</w:t>
      </w:r>
      <w:r>
        <w:rPr>
          <w:spacing w:val="-9"/>
          <w:sz w:val="24"/>
        </w:rPr>
        <w:t> </w:t>
      </w:r>
      <w:r>
        <w:rPr>
          <w:sz w:val="24"/>
        </w:rPr>
        <w:t>Guidelines.</w:t>
      </w:r>
    </w:p>
    <w:p>
      <w:pPr>
        <w:pStyle w:val="ListParagraph"/>
        <w:numPr>
          <w:ilvl w:val="0"/>
          <w:numId w:val="126"/>
        </w:numPr>
        <w:tabs>
          <w:tab w:pos="1919" w:val="left" w:leader="none"/>
        </w:tabs>
        <w:spacing w:line="240" w:lineRule="auto" w:before="120" w:after="0"/>
        <w:ind w:left="1919" w:right="415" w:hanging="567"/>
        <w:jc w:val="both"/>
        <w:rPr>
          <w:sz w:val="24"/>
        </w:rPr>
      </w:pPr>
      <w:r>
        <w:rPr>
          <w:sz w:val="24"/>
        </w:rPr>
        <w:t>A MLO generator performs its liquidity obligation for a trading period (in respect of a parcel of traced capacity allocated to a MLO group, in a </w:t>
      </w:r>
      <w:r>
        <w:rPr>
          <w:i/>
          <w:sz w:val="24"/>
        </w:rPr>
        <w:t>region</w:t>
      </w:r>
      <w:r>
        <w:rPr>
          <w:sz w:val="24"/>
        </w:rPr>
        <w:t>) if the MLO generator offers simultaneously to buy and sell on a MLO exchange MLO products relating to the entirety of the relevant forecast reliability gap period, such that, in the trading period, an aggregate quantity of MLO products equal to or greater than the minimum block is</w:t>
      </w:r>
      <w:r>
        <w:rPr>
          <w:spacing w:val="-5"/>
          <w:sz w:val="24"/>
        </w:rPr>
        <w:t> </w:t>
      </w:r>
      <w:r>
        <w:rPr>
          <w:sz w:val="24"/>
        </w:rPr>
        <w:t>either:</w:t>
      </w:r>
    </w:p>
    <w:p>
      <w:pPr>
        <w:pStyle w:val="ListParagraph"/>
        <w:numPr>
          <w:ilvl w:val="1"/>
          <w:numId w:val="126"/>
        </w:numPr>
        <w:tabs>
          <w:tab w:pos="2486" w:val="left" w:leader="none"/>
        </w:tabs>
        <w:spacing w:line="240" w:lineRule="auto" w:before="120" w:after="0"/>
        <w:ind w:left="2485" w:right="0" w:hanging="567"/>
        <w:jc w:val="both"/>
        <w:rPr>
          <w:sz w:val="24"/>
        </w:rPr>
      </w:pPr>
      <w:r>
        <w:rPr>
          <w:sz w:val="24"/>
        </w:rPr>
        <w:t>accepted via the MLO exchange;</w:t>
      </w:r>
      <w:r>
        <w:rPr>
          <w:spacing w:val="-2"/>
          <w:sz w:val="24"/>
        </w:rPr>
        <w:t> </w:t>
      </w:r>
      <w:r>
        <w:rPr>
          <w:sz w:val="24"/>
        </w:rPr>
        <w:t>or</w:t>
      </w:r>
    </w:p>
    <w:p>
      <w:pPr>
        <w:pStyle w:val="ListParagraph"/>
        <w:numPr>
          <w:ilvl w:val="1"/>
          <w:numId w:val="126"/>
        </w:numPr>
        <w:tabs>
          <w:tab w:pos="2486" w:val="left" w:leader="none"/>
        </w:tabs>
        <w:spacing w:line="240" w:lineRule="auto" w:before="120" w:after="0"/>
        <w:ind w:left="2485" w:right="0" w:hanging="567"/>
        <w:jc w:val="both"/>
        <w:rPr>
          <w:sz w:val="24"/>
        </w:rPr>
      </w:pPr>
      <w:r>
        <w:rPr>
          <w:sz w:val="24"/>
        </w:rPr>
        <w:t>available on the MLO exchange for at least 25</w:t>
      </w:r>
      <w:r>
        <w:rPr>
          <w:spacing w:val="-4"/>
          <w:sz w:val="24"/>
        </w:rPr>
        <w:t> </w:t>
      </w:r>
      <w:r>
        <w:rPr>
          <w:sz w:val="24"/>
        </w:rPr>
        <w:t>minutes.</w:t>
      </w:r>
    </w:p>
    <w:p>
      <w:pPr>
        <w:pStyle w:val="ListParagraph"/>
        <w:numPr>
          <w:ilvl w:val="0"/>
          <w:numId w:val="126"/>
        </w:numPr>
        <w:tabs>
          <w:tab w:pos="1919" w:val="left" w:leader="none"/>
        </w:tabs>
        <w:spacing w:line="240" w:lineRule="auto" w:before="120" w:after="0"/>
        <w:ind w:left="1918" w:right="0" w:hanging="567"/>
        <w:jc w:val="both"/>
        <w:rPr>
          <w:sz w:val="24"/>
        </w:rPr>
      </w:pPr>
      <w:r>
        <w:rPr>
          <w:sz w:val="24"/>
        </w:rPr>
        <w:t>If:</w:t>
      </w:r>
    </w:p>
    <w:p>
      <w:pPr>
        <w:pStyle w:val="ListParagraph"/>
        <w:numPr>
          <w:ilvl w:val="1"/>
          <w:numId w:val="126"/>
        </w:numPr>
        <w:tabs>
          <w:tab w:pos="2486" w:val="left" w:leader="none"/>
        </w:tabs>
        <w:spacing w:line="240" w:lineRule="auto" w:before="120" w:after="0"/>
        <w:ind w:left="2486" w:right="416" w:hanging="567"/>
        <w:jc w:val="both"/>
        <w:rPr>
          <w:sz w:val="24"/>
        </w:rPr>
      </w:pPr>
      <w:r>
        <w:rPr>
          <w:sz w:val="24"/>
        </w:rPr>
        <w:t>a MLO generator has a parcel of traced capacity in a </w:t>
      </w:r>
      <w:r>
        <w:rPr>
          <w:i/>
          <w:sz w:val="24"/>
        </w:rPr>
        <w:t>region </w:t>
      </w:r>
      <w:r>
        <w:rPr>
          <w:sz w:val="24"/>
        </w:rPr>
        <w:t>that is allocated to a MLO group;</w:t>
      </w:r>
      <w:r>
        <w:rPr>
          <w:spacing w:val="-2"/>
          <w:sz w:val="24"/>
        </w:rPr>
        <w:t> </w:t>
      </w:r>
      <w:r>
        <w:rPr>
          <w:sz w:val="24"/>
        </w:rPr>
        <w:t>and</w:t>
      </w:r>
    </w:p>
    <w:p>
      <w:pPr>
        <w:pStyle w:val="ListParagraph"/>
        <w:numPr>
          <w:ilvl w:val="1"/>
          <w:numId w:val="126"/>
        </w:numPr>
        <w:tabs>
          <w:tab w:pos="2486" w:val="left" w:leader="none"/>
        </w:tabs>
        <w:spacing w:line="240" w:lineRule="auto" w:before="120" w:after="0"/>
        <w:ind w:left="2486" w:right="416" w:hanging="567"/>
        <w:jc w:val="both"/>
        <w:rPr>
          <w:sz w:val="24"/>
        </w:rPr>
      </w:pPr>
      <w:r>
        <w:rPr>
          <w:sz w:val="24"/>
        </w:rPr>
        <w:t>a MLO nominee has been appointed with respect to that parcel of traced</w:t>
      </w:r>
      <w:r>
        <w:rPr>
          <w:spacing w:val="-1"/>
          <w:sz w:val="24"/>
        </w:rPr>
        <w:t> </w:t>
      </w:r>
      <w:r>
        <w:rPr>
          <w:sz w:val="24"/>
        </w:rPr>
        <w:t>capacity,</w:t>
      </w:r>
    </w:p>
    <w:p>
      <w:pPr>
        <w:pStyle w:val="BodyText"/>
        <w:ind w:left="1919" w:right="415" w:firstLine="0"/>
      </w:pPr>
      <w:r>
        <w:rPr/>
        <w:t>then the MLO generator is taken to have complied with paragraph (d) in respect of the parcel of traced capacity if the MLO nominee (on behalf of all relevant MLO generators) offers simultaneously to buy and sell on a MLO exchange MLO products relating to the entirety of the relevant forecast reliability gap period, such that, in the trading period, an aggregate quantity of MLO products equal to or greater than the minimum block is either:</w:t>
      </w:r>
    </w:p>
    <w:p>
      <w:pPr>
        <w:pStyle w:val="ListParagraph"/>
        <w:numPr>
          <w:ilvl w:val="1"/>
          <w:numId w:val="126"/>
        </w:numPr>
        <w:tabs>
          <w:tab w:pos="2486" w:val="left" w:leader="none"/>
        </w:tabs>
        <w:spacing w:line="240" w:lineRule="auto" w:before="120" w:after="0"/>
        <w:ind w:left="2485" w:right="0" w:hanging="567"/>
        <w:jc w:val="both"/>
        <w:rPr>
          <w:sz w:val="24"/>
        </w:rPr>
      </w:pPr>
      <w:r>
        <w:rPr>
          <w:sz w:val="24"/>
        </w:rPr>
        <w:t>accepted via a MLO exchange;</w:t>
      </w:r>
      <w:r>
        <w:rPr>
          <w:spacing w:val="-3"/>
          <w:sz w:val="24"/>
        </w:rPr>
        <w:t> </w:t>
      </w:r>
      <w:r>
        <w:rPr>
          <w:sz w:val="24"/>
        </w:rPr>
        <w:t>or</w:t>
      </w:r>
    </w:p>
    <w:p>
      <w:pPr>
        <w:pStyle w:val="ListParagraph"/>
        <w:numPr>
          <w:ilvl w:val="1"/>
          <w:numId w:val="126"/>
        </w:numPr>
        <w:tabs>
          <w:tab w:pos="2486" w:val="left" w:leader="none"/>
        </w:tabs>
        <w:spacing w:line="240" w:lineRule="auto" w:before="120" w:after="0"/>
        <w:ind w:left="2485" w:right="0" w:hanging="567"/>
        <w:jc w:val="both"/>
        <w:rPr>
          <w:sz w:val="24"/>
        </w:rPr>
      </w:pPr>
      <w:r>
        <w:rPr>
          <w:sz w:val="24"/>
        </w:rPr>
        <w:t>available on a MLO exchange for at least 25</w:t>
      </w:r>
      <w:r>
        <w:rPr>
          <w:spacing w:val="-4"/>
          <w:sz w:val="24"/>
        </w:rPr>
        <w:t> </w:t>
      </w:r>
      <w:r>
        <w:rPr>
          <w:sz w:val="24"/>
        </w:rPr>
        <w:t>minutes.</w:t>
      </w:r>
    </w:p>
    <w:p>
      <w:pPr>
        <w:pStyle w:val="ListParagraph"/>
        <w:numPr>
          <w:ilvl w:val="0"/>
          <w:numId w:val="126"/>
        </w:numPr>
        <w:tabs>
          <w:tab w:pos="1920" w:val="left" w:leader="none"/>
        </w:tabs>
        <w:spacing w:line="240" w:lineRule="auto" w:before="120" w:after="0"/>
        <w:ind w:left="1919" w:right="416" w:hanging="567"/>
        <w:jc w:val="both"/>
        <w:rPr>
          <w:sz w:val="24"/>
        </w:rPr>
      </w:pPr>
      <w:r>
        <w:rPr>
          <w:sz w:val="24"/>
        </w:rPr>
        <w:t>For the purposes of paragraphs (d) and (e), a MLO generator or</w:t>
      </w:r>
      <w:r>
        <w:rPr>
          <w:spacing w:val="14"/>
          <w:sz w:val="24"/>
        </w:rPr>
        <w:t> </w:t>
      </w:r>
      <w:r>
        <w:rPr>
          <w:sz w:val="24"/>
        </w:rPr>
        <w:t>MLO nominee is taken to offer MLO products relating to the entirety of</w:t>
      </w:r>
      <w:r>
        <w:rPr>
          <w:spacing w:val="16"/>
          <w:sz w:val="24"/>
        </w:rPr>
        <w:t> </w:t>
      </w:r>
      <w:r>
        <w:rPr>
          <w:sz w:val="24"/>
        </w:rPr>
        <w:t>the relevant forecast reliability gap period if it</w:t>
      </w:r>
      <w:r>
        <w:rPr>
          <w:spacing w:val="-2"/>
          <w:sz w:val="24"/>
        </w:rPr>
        <w:t> </w:t>
      </w:r>
      <w:r>
        <w:rPr>
          <w:sz w:val="24"/>
        </w:rPr>
        <w:t>either:</w:t>
      </w:r>
    </w:p>
    <w:p>
      <w:pPr>
        <w:pStyle w:val="ListParagraph"/>
        <w:numPr>
          <w:ilvl w:val="1"/>
          <w:numId w:val="126"/>
        </w:numPr>
        <w:tabs>
          <w:tab w:pos="2486" w:val="left" w:leader="none"/>
        </w:tabs>
        <w:spacing w:line="240" w:lineRule="auto" w:before="120" w:after="0"/>
        <w:ind w:left="2486" w:right="415" w:hanging="567"/>
        <w:jc w:val="both"/>
        <w:rPr>
          <w:sz w:val="24"/>
        </w:rPr>
      </w:pPr>
      <w:r>
        <w:rPr>
          <w:sz w:val="24"/>
        </w:rPr>
        <w:t>offers MLO products that each has a contract period that covers all of the </w:t>
      </w:r>
      <w:r>
        <w:rPr>
          <w:i/>
          <w:sz w:val="24"/>
        </w:rPr>
        <w:t>trading intervals </w:t>
      </w:r>
      <w:r>
        <w:rPr>
          <w:sz w:val="24"/>
        </w:rPr>
        <w:t>identified in the relevant forecast reliability gap period; or</w:t>
      </w:r>
    </w:p>
    <w:p>
      <w:pPr>
        <w:pStyle w:val="ListParagraph"/>
        <w:numPr>
          <w:ilvl w:val="1"/>
          <w:numId w:val="126"/>
        </w:numPr>
        <w:tabs>
          <w:tab w:pos="2486" w:val="left" w:leader="none"/>
        </w:tabs>
        <w:spacing w:line="240" w:lineRule="auto" w:before="120" w:after="0"/>
        <w:ind w:left="2486" w:right="414" w:hanging="567"/>
        <w:jc w:val="both"/>
        <w:rPr>
          <w:sz w:val="24"/>
        </w:rPr>
      </w:pPr>
      <w:r>
        <w:rPr>
          <w:sz w:val="24"/>
        </w:rPr>
        <w:t>offers MLO products with contract periods which, taken as a whole, cover all of the </w:t>
      </w:r>
      <w:r>
        <w:rPr>
          <w:i/>
          <w:sz w:val="24"/>
        </w:rPr>
        <w:t>trading intervals </w:t>
      </w:r>
      <w:r>
        <w:rPr>
          <w:sz w:val="24"/>
        </w:rPr>
        <w:t>identified in the relevant forecast reliability gap</w:t>
      </w:r>
      <w:r>
        <w:rPr>
          <w:spacing w:val="-1"/>
          <w:sz w:val="24"/>
        </w:rPr>
        <w:t> </w:t>
      </w:r>
      <w:r>
        <w:rPr>
          <w:sz w:val="24"/>
        </w:rPr>
        <w:t>period.</w:t>
      </w:r>
    </w:p>
    <w:p>
      <w:pPr>
        <w:spacing w:after="0" w:line="240" w:lineRule="auto"/>
        <w:jc w:val="both"/>
        <w:rPr>
          <w:sz w:val="24"/>
        </w:rPr>
        <w:sectPr>
          <w:pgSz w:w="11910" w:h="16840"/>
          <w:pgMar w:header="686" w:footer="637" w:top="1320" w:bottom="820" w:left="1200" w:right="1000"/>
        </w:sectPr>
      </w:pPr>
    </w:p>
    <w:p>
      <w:pPr>
        <w:pStyle w:val="ListParagraph"/>
        <w:numPr>
          <w:ilvl w:val="0"/>
          <w:numId w:val="126"/>
        </w:numPr>
        <w:tabs>
          <w:tab w:pos="1918" w:val="left" w:leader="none"/>
          <w:tab w:pos="1919" w:val="left" w:leader="none"/>
        </w:tabs>
        <w:spacing w:line="240" w:lineRule="auto" w:before="83" w:after="0"/>
        <w:ind w:left="1919" w:right="415" w:hanging="567"/>
        <w:jc w:val="left"/>
        <w:rPr>
          <w:sz w:val="24"/>
        </w:rPr>
      </w:pPr>
      <w:r>
        <w:rPr>
          <w:sz w:val="24"/>
        </w:rPr>
        <w:t>For the purposes of paragraphs (d) and (e), the minimum block means, in relation to a trading</w:t>
      </w:r>
      <w:r>
        <w:rPr>
          <w:spacing w:val="-1"/>
          <w:sz w:val="24"/>
        </w:rPr>
        <w:t> </w:t>
      </w:r>
      <w:r>
        <w:rPr>
          <w:sz w:val="24"/>
        </w:rPr>
        <w:t>period:</w:t>
      </w:r>
    </w:p>
    <w:p>
      <w:pPr>
        <w:pStyle w:val="ListParagraph"/>
        <w:numPr>
          <w:ilvl w:val="1"/>
          <w:numId w:val="126"/>
        </w:numPr>
        <w:tabs>
          <w:tab w:pos="2485" w:val="left" w:leader="none"/>
          <w:tab w:pos="2486" w:val="left" w:leader="none"/>
        </w:tabs>
        <w:spacing w:line="240" w:lineRule="auto" w:before="120" w:after="0"/>
        <w:ind w:left="2486" w:right="416" w:hanging="567"/>
        <w:jc w:val="left"/>
        <w:rPr>
          <w:sz w:val="24"/>
        </w:rPr>
      </w:pPr>
      <w:r>
        <w:rPr>
          <w:sz w:val="24"/>
        </w:rPr>
        <w:t>for MLO products that comprise a contract in South Australia: 2 MW; and</w:t>
      </w:r>
    </w:p>
    <w:p>
      <w:pPr>
        <w:pStyle w:val="ListParagraph"/>
        <w:numPr>
          <w:ilvl w:val="1"/>
          <w:numId w:val="126"/>
        </w:numPr>
        <w:tabs>
          <w:tab w:pos="2485" w:val="left" w:leader="none"/>
          <w:tab w:pos="2486" w:val="left" w:leader="none"/>
        </w:tabs>
        <w:spacing w:line="240" w:lineRule="auto" w:before="120" w:after="0"/>
        <w:ind w:left="2486" w:right="415" w:hanging="567"/>
        <w:jc w:val="left"/>
        <w:rPr>
          <w:sz w:val="24"/>
        </w:rPr>
      </w:pPr>
      <w:r>
        <w:rPr>
          <w:sz w:val="24"/>
        </w:rPr>
        <w:t>for MLO products that comprise a contract in any other </w:t>
      </w:r>
      <w:r>
        <w:rPr>
          <w:i/>
          <w:sz w:val="24"/>
        </w:rPr>
        <w:t>region</w:t>
      </w:r>
      <w:r>
        <w:rPr>
          <w:sz w:val="24"/>
        </w:rPr>
        <w:t>: 5 MW.</w:t>
      </w:r>
    </w:p>
    <w:p>
      <w:pPr>
        <w:pStyle w:val="ListParagraph"/>
        <w:numPr>
          <w:ilvl w:val="0"/>
          <w:numId w:val="126"/>
        </w:numPr>
        <w:tabs>
          <w:tab w:pos="1919" w:val="left" w:leader="none"/>
        </w:tabs>
        <w:spacing w:line="240" w:lineRule="auto" w:before="120" w:after="0"/>
        <w:ind w:left="1919" w:right="415" w:hanging="567"/>
        <w:jc w:val="both"/>
        <w:rPr>
          <w:sz w:val="24"/>
        </w:rPr>
      </w:pPr>
      <w:r>
        <w:rPr>
          <w:sz w:val="24"/>
        </w:rPr>
        <w:t>A MLO generator must ensure that the difference between the price of an offer to buy and an offer to sell each MLO product ("</w:t>
      </w:r>
      <w:r>
        <w:rPr>
          <w:b/>
          <w:sz w:val="24"/>
        </w:rPr>
        <w:t>bid-offer spread</w:t>
      </w:r>
      <w:r>
        <w:rPr>
          <w:sz w:val="24"/>
        </w:rPr>
        <w:t>") does not exceed the relevant limit set out</w:t>
      </w:r>
      <w:r>
        <w:rPr>
          <w:spacing w:val="-2"/>
          <w:sz w:val="24"/>
        </w:rPr>
        <w:t> </w:t>
      </w:r>
      <w:r>
        <w:rPr>
          <w:sz w:val="24"/>
        </w:rPr>
        <w:t>below:</w:t>
      </w:r>
    </w:p>
    <w:p>
      <w:pPr>
        <w:pStyle w:val="ListParagraph"/>
        <w:numPr>
          <w:ilvl w:val="1"/>
          <w:numId w:val="126"/>
        </w:numPr>
        <w:tabs>
          <w:tab w:pos="2486" w:val="left" w:leader="none"/>
        </w:tabs>
        <w:spacing w:line="240" w:lineRule="auto" w:before="120" w:after="0"/>
        <w:ind w:left="2486" w:right="415" w:hanging="567"/>
        <w:jc w:val="both"/>
        <w:rPr>
          <w:sz w:val="24"/>
        </w:rPr>
      </w:pPr>
      <w:r>
        <w:rPr>
          <w:sz w:val="24"/>
        </w:rPr>
        <w:t>for MLO products that comprise a baseload or peak load contract in Queensland, New South Wales and Victoria: 5% or $1 per MWh (whichever is the higher</w:t>
      </w:r>
      <w:r>
        <w:rPr>
          <w:spacing w:val="-1"/>
          <w:sz w:val="24"/>
        </w:rPr>
        <w:t> </w:t>
      </w:r>
      <w:r>
        <w:rPr>
          <w:sz w:val="24"/>
        </w:rPr>
        <w:t>amount);</w:t>
      </w:r>
    </w:p>
    <w:p>
      <w:pPr>
        <w:pStyle w:val="ListParagraph"/>
        <w:numPr>
          <w:ilvl w:val="1"/>
          <w:numId w:val="126"/>
        </w:numPr>
        <w:tabs>
          <w:tab w:pos="2486" w:val="left" w:leader="none"/>
        </w:tabs>
        <w:spacing w:line="240" w:lineRule="auto" w:before="120" w:after="0"/>
        <w:ind w:left="2486" w:right="415" w:hanging="567"/>
        <w:jc w:val="both"/>
        <w:rPr>
          <w:sz w:val="24"/>
        </w:rPr>
      </w:pPr>
      <w:r>
        <w:rPr>
          <w:sz w:val="24"/>
        </w:rPr>
        <w:t>for MLO products that comprise a baseload or peak load contract in South Australia: 7% or $1 per MWh (whichever is the higher  amount);</w:t>
      </w:r>
      <w:r>
        <w:rPr>
          <w:spacing w:val="-1"/>
          <w:sz w:val="24"/>
        </w:rPr>
        <w:t> </w:t>
      </w:r>
      <w:r>
        <w:rPr>
          <w:sz w:val="24"/>
        </w:rPr>
        <w:t>and</w:t>
      </w:r>
    </w:p>
    <w:p>
      <w:pPr>
        <w:pStyle w:val="ListParagraph"/>
        <w:numPr>
          <w:ilvl w:val="1"/>
          <w:numId w:val="126"/>
        </w:numPr>
        <w:tabs>
          <w:tab w:pos="2486" w:val="left" w:leader="none"/>
        </w:tabs>
        <w:spacing w:line="240" w:lineRule="auto" w:before="120" w:after="0"/>
        <w:ind w:left="2486" w:right="415" w:hanging="567"/>
        <w:jc w:val="both"/>
        <w:rPr>
          <w:sz w:val="24"/>
        </w:rPr>
      </w:pPr>
      <w:r>
        <w:rPr>
          <w:sz w:val="24"/>
        </w:rPr>
        <w:t>for MLO products that comprise a cap contract: 10% or $1 per MWh (whichever is the higher</w:t>
      </w:r>
      <w:r>
        <w:rPr>
          <w:spacing w:val="-1"/>
          <w:sz w:val="24"/>
        </w:rPr>
        <w:t> </w:t>
      </w:r>
      <w:r>
        <w:rPr>
          <w:sz w:val="24"/>
        </w:rPr>
        <w:t>amount).</w:t>
      </w:r>
    </w:p>
    <w:p>
      <w:pPr>
        <w:pStyle w:val="BodyText"/>
        <w:spacing w:before="10"/>
        <w:ind w:firstLine="0"/>
        <w:jc w:val="left"/>
        <w:rPr>
          <w:sz w:val="20"/>
        </w:rPr>
      </w:pPr>
    </w:p>
    <w:p>
      <w:pPr>
        <w:pStyle w:val="Heading4"/>
        <w:tabs>
          <w:tab w:pos="1351" w:val="left" w:leader="none"/>
        </w:tabs>
        <w:ind w:left="218" w:firstLine="0"/>
      </w:pPr>
      <w:bookmarkStart w:name="4A.G.19 Volume limits" w:id="292"/>
      <w:bookmarkEnd w:id="292"/>
      <w:r>
        <w:rPr>
          <w:b w:val="0"/>
        </w:rPr>
      </w:r>
      <w:bookmarkStart w:name="_bookmark129" w:id="293"/>
      <w:bookmarkEnd w:id="293"/>
      <w:r>
        <w:rPr>
          <w:b w:val="0"/>
        </w:rPr>
      </w:r>
      <w:r>
        <w:rPr/>
        <w:t>4A.G.19</w:t>
        <w:tab/>
        <w:t>Volume limits</w:t>
      </w:r>
    </w:p>
    <w:p>
      <w:pPr>
        <w:pStyle w:val="ListParagraph"/>
        <w:numPr>
          <w:ilvl w:val="0"/>
          <w:numId w:val="127"/>
        </w:numPr>
        <w:tabs>
          <w:tab w:pos="1919" w:val="left" w:leader="none"/>
        </w:tabs>
        <w:spacing w:line="240" w:lineRule="auto" w:before="120" w:after="0"/>
        <w:ind w:left="1919" w:right="415" w:hanging="567"/>
        <w:jc w:val="both"/>
        <w:rPr>
          <w:sz w:val="24"/>
        </w:rPr>
      </w:pPr>
      <w:r>
        <w:rPr>
          <w:sz w:val="24"/>
        </w:rPr>
        <w:t>In a liquidity period, a MLO generator is not required to perform its liquidity obligation in relation to a parcel of traced capacity allocated to a MLO group if the aggregate MLO group transactions of that MLO group for that liquidity period exceeds 10% of the MLO group's trading </w:t>
      </w:r>
      <w:r>
        <w:rPr>
          <w:spacing w:val="-3"/>
          <w:sz w:val="24"/>
        </w:rPr>
        <w:t>group </w:t>
      </w:r>
      <w:r>
        <w:rPr>
          <w:sz w:val="24"/>
        </w:rPr>
        <w:t>capacity for the relevant</w:t>
      </w:r>
      <w:r>
        <w:rPr>
          <w:spacing w:val="-1"/>
          <w:sz w:val="24"/>
        </w:rPr>
        <w:t> </w:t>
      </w:r>
      <w:r>
        <w:rPr>
          <w:i/>
          <w:sz w:val="24"/>
        </w:rPr>
        <w:t>region</w:t>
      </w:r>
      <w:r>
        <w:rPr>
          <w:sz w:val="24"/>
        </w:rPr>
        <w:t>.</w:t>
      </w:r>
    </w:p>
    <w:p>
      <w:pPr>
        <w:pStyle w:val="ListParagraph"/>
        <w:numPr>
          <w:ilvl w:val="0"/>
          <w:numId w:val="127"/>
        </w:numPr>
        <w:tabs>
          <w:tab w:pos="1919" w:val="left" w:leader="none"/>
        </w:tabs>
        <w:spacing w:line="240" w:lineRule="auto" w:before="120" w:after="0"/>
        <w:ind w:left="1919" w:right="414" w:hanging="567"/>
        <w:jc w:val="both"/>
        <w:rPr>
          <w:sz w:val="24"/>
        </w:rPr>
      </w:pPr>
      <w:r>
        <w:rPr>
          <w:sz w:val="24"/>
        </w:rPr>
        <w:t>In a quarter, a MLO generator is not required to perform its liquidity obligation in relation to a parcel of traced capacity allocated to a MLO group if the aggregate MLO group transactions of that MLO group for that quarter exceeds 1.25% of the MLO group's trading group capacity for the relevant</w:t>
      </w:r>
      <w:r>
        <w:rPr>
          <w:spacing w:val="-1"/>
          <w:sz w:val="24"/>
        </w:rPr>
        <w:t> </w:t>
      </w:r>
      <w:r>
        <w:rPr>
          <w:i/>
          <w:sz w:val="24"/>
        </w:rPr>
        <w:t>region</w:t>
      </w:r>
      <w:r>
        <w:rPr>
          <w:sz w:val="24"/>
        </w:rPr>
        <w:t>.</w:t>
      </w:r>
    </w:p>
    <w:p>
      <w:pPr>
        <w:pStyle w:val="ListParagraph"/>
        <w:numPr>
          <w:ilvl w:val="0"/>
          <w:numId w:val="127"/>
        </w:numPr>
        <w:tabs>
          <w:tab w:pos="1919" w:val="left" w:leader="none"/>
        </w:tabs>
        <w:spacing w:line="240" w:lineRule="auto" w:before="120" w:after="0"/>
        <w:ind w:left="1919" w:right="417" w:hanging="567"/>
        <w:jc w:val="both"/>
        <w:rPr>
          <w:sz w:val="24"/>
        </w:rPr>
      </w:pPr>
      <w:r>
        <w:rPr>
          <w:sz w:val="24"/>
        </w:rPr>
        <w:t>In a liquidity period or quarter, 'aggregate MLO Group transactions' means with respect to a MLO group and a</w:t>
      </w:r>
      <w:r>
        <w:rPr>
          <w:spacing w:val="-5"/>
          <w:sz w:val="24"/>
        </w:rPr>
        <w:t> </w:t>
      </w:r>
      <w:r>
        <w:rPr>
          <w:i/>
          <w:sz w:val="24"/>
        </w:rPr>
        <w:t>region</w:t>
      </w:r>
      <w:r>
        <w:rPr>
          <w:sz w:val="24"/>
        </w:rPr>
        <w:t>:</w:t>
      </w:r>
    </w:p>
    <w:p>
      <w:pPr>
        <w:pStyle w:val="ListParagraph"/>
        <w:numPr>
          <w:ilvl w:val="1"/>
          <w:numId w:val="127"/>
        </w:numPr>
        <w:tabs>
          <w:tab w:pos="2486" w:val="left" w:leader="none"/>
        </w:tabs>
        <w:spacing w:line="240" w:lineRule="auto" w:before="120" w:after="0"/>
        <w:ind w:left="2486" w:right="416" w:hanging="567"/>
        <w:jc w:val="both"/>
        <w:rPr>
          <w:sz w:val="24"/>
        </w:rPr>
      </w:pPr>
      <w:r>
        <w:rPr>
          <w:sz w:val="24"/>
        </w:rPr>
        <w:t>the MLO Group's aggregate quantity of qualifying MLO group transactions for the period,</w:t>
      </w:r>
      <w:r>
        <w:rPr>
          <w:spacing w:val="-1"/>
          <w:sz w:val="24"/>
        </w:rPr>
        <w:t> </w:t>
      </w:r>
      <w:r>
        <w:rPr>
          <w:sz w:val="24"/>
        </w:rPr>
        <w:t>less</w:t>
      </w:r>
    </w:p>
    <w:p>
      <w:pPr>
        <w:pStyle w:val="ListParagraph"/>
        <w:numPr>
          <w:ilvl w:val="1"/>
          <w:numId w:val="127"/>
        </w:numPr>
        <w:tabs>
          <w:tab w:pos="2486" w:val="left" w:leader="none"/>
        </w:tabs>
        <w:spacing w:line="240" w:lineRule="auto" w:before="120" w:after="0"/>
        <w:ind w:left="2486" w:right="416" w:hanging="567"/>
        <w:jc w:val="both"/>
        <w:rPr>
          <w:sz w:val="24"/>
        </w:rPr>
      </w:pPr>
      <w:r>
        <w:rPr>
          <w:sz w:val="24"/>
        </w:rPr>
        <w:t>the total volume (in MW) of MLO products purchased by, or</w:t>
      </w:r>
      <w:r>
        <w:rPr>
          <w:spacing w:val="33"/>
          <w:sz w:val="24"/>
        </w:rPr>
        <w:t> </w:t>
      </w:r>
      <w:r>
        <w:rPr>
          <w:sz w:val="24"/>
        </w:rPr>
        <w:t>on behalf of, a relevant MLO generator or a member of that MLO group in that</w:t>
      </w:r>
      <w:r>
        <w:rPr>
          <w:spacing w:val="-1"/>
          <w:sz w:val="24"/>
        </w:rPr>
        <w:t> </w:t>
      </w:r>
      <w:r>
        <w:rPr>
          <w:sz w:val="24"/>
        </w:rPr>
        <w:t>period.</w:t>
      </w:r>
    </w:p>
    <w:p>
      <w:pPr>
        <w:pStyle w:val="ListParagraph"/>
        <w:numPr>
          <w:ilvl w:val="0"/>
          <w:numId w:val="127"/>
        </w:numPr>
        <w:tabs>
          <w:tab w:pos="1919" w:val="left" w:leader="none"/>
        </w:tabs>
        <w:spacing w:line="240" w:lineRule="auto" w:before="120" w:after="0"/>
        <w:ind w:left="1919" w:right="416" w:hanging="567"/>
        <w:jc w:val="both"/>
        <w:rPr>
          <w:sz w:val="24"/>
        </w:rPr>
      </w:pPr>
      <w:r>
        <w:rPr>
          <w:sz w:val="24"/>
        </w:rPr>
        <w:t>In each trading period, the quantity of qualifying MLO group transactions for each MLO Group (for each relevant </w:t>
      </w:r>
      <w:r>
        <w:rPr>
          <w:i/>
          <w:sz w:val="24"/>
        </w:rPr>
        <w:t>region</w:t>
      </w:r>
      <w:r>
        <w:rPr>
          <w:sz w:val="24"/>
        </w:rPr>
        <w:t>) comprises the lesser</w:t>
      </w:r>
      <w:r>
        <w:rPr>
          <w:spacing w:val="-11"/>
          <w:sz w:val="24"/>
        </w:rPr>
        <w:t> </w:t>
      </w:r>
      <w:r>
        <w:rPr>
          <w:sz w:val="24"/>
        </w:rPr>
        <w:t>of:</w:t>
      </w:r>
    </w:p>
    <w:p>
      <w:pPr>
        <w:pStyle w:val="ListParagraph"/>
        <w:numPr>
          <w:ilvl w:val="1"/>
          <w:numId w:val="127"/>
        </w:numPr>
        <w:tabs>
          <w:tab w:pos="2486" w:val="left" w:leader="none"/>
        </w:tabs>
        <w:spacing w:line="240" w:lineRule="auto" w:before="120" w:after="0"/>
        <w:ind w:left="2486" w:right="416" w:hanging="567"/>
        <w:jc w:val="both"/>
        <w:rPr>
          <w:sz w:val="24"/>
        </w:rPr>
      </w:pPr>
      <w:r>
        <w:rPr>
          <w:sz w:val="24"/>
        </w:rPr>
        <w:t>the total quantity (in MW) of MLO products sold by, or on behalf of relevant MLO generators with respect to a parcel of traced capacity that is allocated to that MLO Group;</w:t>
      </w:r>
      <w:r>
        <w:rPr>
          <w:spacing w:val="-4"/>
          <w:sz w:val="24"/>
        </w:rPr>
        <w:t> </w:t>
      </w:r>
      <w:r>
        <w:rPr>
          <w:sz w:val="24"/>
        </w:rPr>
        <w:t>and</w:t>
      </w:r>
    </w:p>
    <w:p>
      <w:pPr>
        <w:pStyle w:val="ListParagraph"/>
        <w:numPr>
          <w:ilvl w:val="1"/>
          <w:numId w:val="127"/>
        </w:numPr>
        <w:tabs>
          <w:tab w:pos="2486" w:val="left" w:leader="none"/>
        </w:tabs>
        <w:spacing w:line="240" w:lineRule="auto" w:before="120" w:after="0"/>
        <w:ind w:left="2485" w:right="0" w:hanging="567"/>
        <w:jc w:val="both"/>
        <w:rPr>
          <w:sz w:val="24"/>
        </w:rPr>
      </w:pPr>
      <w:r>
        <w:rPr>
          <w:sz w:val="24"/>
        </w:rPr>
        <w:t>5 MW (or, if the </w:t>
      </w:r>
      <w:r>
        <w:rPr>
          <w:i/>
          <w:sz w:val="24"/>
        </w:rPr>
        <w:t>region </w:t>
      </w:r>
      <w:r>
        <w:rPr>
          <w:sz w:val="24"/>
        </w:rPr>
        <w:t>is South Australia, 2</w:t>
      </w:r>
      <w:r>
        <w:rPr>
          <w:spacing w:val="-8"/>
          <w:sz w:val="24"/>
        </w:rPr>
        <w:t> </w:t>
      </w:r>
      <w:r>
        <w:rPr>
          <w:sz w:val="24"/>
        </w:rPr>
        <w:t>MW).</w:t>
      </w:r>
    </w:p>
    <w:p>
      <w:pPr>
        <w:pStyle w:val="ListParagraph"/>
        <w:numPr>
          <w:ilvl w:val="0"/>
          <w:numId w:val="127"/>
        </w:numPr>
        <w:tabs>
          <w:tab w:pos="1919" w:val="left" w:leader="none"/>
        </w:tabs>
        <w:spacing w:line="240" w:lineRule="auto" w:before="120" w:after="0"/>
        <w:ind w:left="1919" w:right="415" w:hanging="567"/>
        <w:jc w:val="both"/>
        <w:rPr>
          <w:sz w:val="24"/>
        </w:rPr>
      </w:pPr>
      <w:r>
        <w:rPr>
          <w:sz w:val="24"/>
        </w:rPr>
        <w:t>In each quarter, the quantity of qualifying MLO group transactions for each MLO group (for each relevant </w:t>
      </w:r>
      <w:r>
        <w:rPr>
          <w:i/>
          <w:sz w:val="24"/>
        </w:rPr>
        <w:t>region</w:t>
      </w:r>
      <w:r>
        <w:rPr>
          <w:sz w:val="24"/>
        </w:rPr>
        <w:t>) comprises the lesser</w:t>
      </w:r>
      <w:r>
        <w:rPr>
          <w:spacing w:val="-6"/>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ListParagraph"/>
        <w:numPr>
          <w:ilvl w:val="1"/>
          <w:numId w:val="127"/>
        </w:numPr>
        <w:tabs>
          <w:tab w:pos="2486" w:val="left" w:leader="none"/>
        </w:tabs>
        <w:spacing w:line="240" w:lineRule="auto" w:before="83" w:after="0"/>
        <w:ind w:left="2486" w:right="416" w:hanging="567"/>
        <w:jc w:val="both"/>
        <w:rPr>
          <w:sz w:val="24"/>
        </w:rPr>
      </w:pPr>
      <w:r>
        <w:rPr>
          <w:sz w:val="24"/>
        </w:rPr>
        <w:t>the total quantity (in MW) of MLO products sold by, or on behalf of relevant MLO generators with respect to a parcel of traced capacity that is allocated to that MLO group;</w:t>
      </w:r>
      <w:r>
        <w:rPr>
          <w:spacing w:val="-2"/>
          <w:sz w:val="24"/>
        </w:rPr>
        <w:t> </w:t>
      </w:r>
      <w:r>
        <w:rPr>
          <w:sz w:val="24"/>
        </w:rPr>
        <w:t>and</w:t>
      </w:r>
    </w:p>
    <w:p>
      <w:pPr>
        <w:pStyle w:val="ListParagraph"/>
        <w:numPr>
          <w:ilvl w:val="1"/>
          <w:numId w:val="127"/>
        </w:numPr>
        <w:tabs>
          <w:tab w:pos="2486" w:val="left" w:leader="none"/>
        </w:tabs>
        <w:spacing w:line="240" w:lineRule="auto" w:before="120" w:after="0"/>
        <w:ind w:left="2485" w:right="0" w:hanging="567"/>
        <w:jc w:val="both"/>
        <w:rPr>
          <w:sz w:val="24"/>
        </w:rPr>
      </w:pPr>
      <w:r>
        <w:rPr>
          <w:sz w:val="24"/>
        </w:rPr>
        <w:t>1.25%</w:t>
      </w:r>
      <w:r>
        <w:rPr>
          <w:spacing w:val="46"/>
          <w:sz w:val="24"/>
        </w:rPr>
        <w:t> </w:t>
      </w:r>
      <w:r>
        <w:rPr>
          <w:sz w:val="24"/>
        </w:rPr>
        <w:t>of</w:t>
      </w:r>
      <w:r>
        <w:rPr>
          <w:spacing w:val="47"/>
          <w:sz w:val="24"/>
        </w:rPr>
        <w:t> </w:t>
      </w:r>
      <w:r>
        <w:rPr>
          <w:sz w:val="24"/>
        </w:rPr>
        <w:t>the</w:t>
      </w:r>
      <w:r>
        <w:rPr>
          <w:spacing w:val="47"/>
          <w:sz w:val="24"/>
        </w:rPr>
        <w:t> </w:t>
      </w:r>
      <w:r>
        <w:rPr>
          <w:sz w:val="24"/>
        </w:rPr>
        <w:t>MLO</w:t>
      </w:r>
      <w:r>
        <w:rPr>
          <w:spacing w:val="46"/>
          <w:sz w:val="24"/>
        </w:rPr>
        <w:t> </w:t>
      </w:r>
      <w:r>
        <w:rPr>
          <w:sz w:val="24"/>
        </w:rPr>
        <w:t>group's</w:t>
      </w:r>
      <w:r>
        <w:rPr>
          <w:spacing w:val="47"/>
          <w:sz w:val="24"/>
        </w:rPr>
        <w:t> </w:t>
      </w:r>
      <w:r>
        <w:rPr>
          <w:sz w:val="24"/>
        </w:rPr>
        <w:t>trading</w:t>
      </w:r>
      <w:r>
        <w:rPr>
          <w:spacing w:val="47"/>
          <w:sz w:val="24"/>
        </w:rPr>
        <w:t> </w:t>
      </w:r>
      <w:r>
        <w:rPr>
          <w:sz w:val="24"/>
        </w:rPr>
        <w:t>group</w:t>
      </w:r>
      <w:r>
        <w:rPr>
          <w:spacing w:val="47"/>
          <w:sz w:val="24"/>
        </w:rPr>
        <w:t> </w:t>
      </w:r>
      <w:r>
        <w:rPr>
          <w:sz w:val="24"/>
        </w:rPr>
        <w:t>capacity</w:t>
      </w:r>
      <w:r>
        <w:rPr>
          <w:spacing w:val="46"/>
          <w:sz w:val="24"/>
        </w:rPr>
        <w:t> </w:t>
      </w:r>
      <w:r>
        <w:rPr>
          <w:sz w:val="24"/>
        </w:rPr>
        <w:t>for</w:t>
      </w:r>
      <w:r>
        <w:rPr>
          <w:spacing w:val="47"/>
          <w:sz w:val="24"/>
        </w:rPr>
        <w:t> </w:t>
      </w:r>
      <w:r>
        <w:rPr>
          <w:sz w:val="24"/>
        </w:rPr>
        <w:t>the</w:t>
      </w:r>
      <w:r>
        <w:rPr>
          <w:spacing w:val="47"/>
          <w:sz w:val="24"/>
        </w:rPr>
        <w:t> </w:t>
      </w:r>
      <w:r>
        <w:rPr>
          <w:sz w:val="24"/>
        </w:rPr>
        <w:t>relevant</w:t>
      </w:r>
    </w:p>
    <w:p>
      <w:pPr>
        <w:spacing w:before="0"/>
        <w:ind w:left="2486" w:right="0" w:firstLine="0"/>
        <w:jc w:val="left"/>
        <w:rPr>
          <w:sz w:val="24"/>
        </w:rPr>
      </w:pPr>
      <w:r>
        <w:rPr>
          <w:i/>
          <w:sz w:val="24"/>
        </w:rPr>
        <w:t>region</w:t>
      </w:r>
      <w:r>
        <w:rPr>
          <w:sz w:val="24"/>
        </w:rPr>
        <w:t>.</w:t>
      </w:r>
    </w:p>
    <w:p>
      <w:pPr>
        <w:pStyle w:val="BodyText"/>
        <w:spacing w:before="10"/>
        <w:ind w:firstLine="0"/>
        <w:jc w:val="left"/>
        <w:rPr>
          <w:sz w:val="20"/>
        </w:rPr>
      </w:pPr>
    </w:p>
    <w:p>
      <w:pPr>
        <w:pStyle w:val="Heading4"/>
        <w:tabs>
          <w:tab w:pos="1351" w:val="left" w:leader="none"/>
        </w:tabs>
        <w:ind w:left="218" w:firstLine="0"/>
      </w:pPr>
      <w:bookmarkStart w:name="4A.G.20 Appointment of MLO nominee" w:id="294"/>
      <w:bookmarkEnd w:id="294"/>
      <w:r>
        <w:rPr>
          <w:b w:val="0"/>
        </w:rPr>
      </w:r>
      <w:bookmarkStart w:name="_bookmark130" w:id="295"/>
      <w:bookmarkEnd w:id="295"/>
      <w:r>
        <w:rPr>
          <w:b w:val="0"/>
        </w:rPr>
      </w:r>
      <w:r>
        <w:rPr/>
        <w:t>4A.G.20</w:t>
        <w:tab/>
        <w:t>Appointment of MLO</w:t>
      </w:r>
      <w:r>
        <w:rPr>
          <w:spacing w:val="-3"/>
        </w:rPr>
        <w:t> </w:t>
      </w:r>
      <w:r>
        <w:rPr/>
        <w:t>nominee</w:t>
      </w:r>
    </w:p>
    <w:p>
      <w:pPr>
        <w:pStyle w:val="ListParagraph"/>
        <w:numPr>
          <w:ilvl w:val="0"/>
          <w:numId w:val="128"/>
        </w:numPr>
        <w:tabs>
          <w:tab w:pos="1919" w:val="left" w:leader="none"/>
        </w:tabs>
        <w:spacing w:line="240" w:lineRule="auto" w:before="120" w:after="0"/>
        <w:ind w:left="1918" w:right="0" w:hanging="567"/>
        <w:jc w:val="both"/>
        <w:rPr>
          <w:sz w:val="24"/>
        </w:rPr>
      </w:pPr>
      <w:r>
        <w:rPr>
          <w:sz w:val="24"/>
        </w:rPr>
        <w:t>A MLO nominee means a person</w:t>
      </w:r>
      <w:r>
        <w:rPr>
          <w:spacing w:val="-2"/>
          <w:sz w:val="24"/>
        </w:rPr>
        <w:t> </w:t>
      </w:r>
      <w:r>
        <w:rPr>
          <w:sz w:val="24"/>
        </w:rPr>
        <w:t>who:</w:t>
      </w:r>
    </w:p>
    <w:p>
      <w:pPr>
        <w:pStyle w:val="ListParagraph"/>
        <w:numPr>
          <w:ilvl w:val="1"/>
          <w:numId w:val="128"/>
        </w:numPr>
        <w:tabs>
          <w:tab w:pos="2486" w:val="left" w:leader="none"/>
        </w:tabs>
        <w:spacing w:line="240" w:lineRule="auto" w:before="120" w:after="0"/>
        <w:ind w:left="2486" w:right="416" w:hanging="567"/>
        <w:jc w:val="both"/>
        <w:rPr>
          <w:sz w:val="24"/>
        </w:rPr>
      </w:pPr>
      <w:r>
        <w:rPr>
          <w:sz w:val="24"/>
        </w:rPr>
        <w:t>a MLO generator has appointed to perform a liquidity obligation on its behalf under paragraph (b);</w:t>
      </w:r>
      <w:r>
        <w:rPr>
          <w:spacing w:val="-1"/>
          <w:sz w:val="24"/>
        </w:rPr>
        <w:t> </w:t>
      </w:r>
      <w:r>
        <w:rPr>
          <w:sz w:val="24"/>
        </w:rPr>
        <w:t>and</w:t>
      </w:r>
    </w:p>
    <w:p>
      <w:pPr>
        <w:pStyle w:val="ListParagraph"/>
        <w:numPr>
          <w:ilvl w:val="1"/>
          <w:numId w:val="128"/>
        </w:numPr>
        <w:tabs>
          <w:tab w:pos="2486" w:val="left" w:leader="none"/>
        </w:tabs>
        <w:spacing w:line="343" w:lineRule="auto" w:before="120" w:after="0"/>
        <w:ind w:left="1919" w:right="3413" w:firstLine="0"/>
        <w:jc w:val="both"/>
        <w:rPr>
          <w:sz w:val="24"/>
        </w:rPr>
      </w:pPr>
      <w:r>
        <w:rPr>
          <w:sz w:val="24"/>
        </w:rPr>
        <w:t>has been registered as a MLO </w:t>
      </w:r>
      <w:r>
        <w:rPr>
          <w:spacing w:val="-3"/>
          <w:sz w:val="24"/>
        </w:rPr>
        <w:t>nominee, </w:t>
      </w:r>
      <w:r>
        <w:rPr>
          <w:sz w:val="24"/>
        </w:rPr>
        <w:t>in accordance with the MLO</w:t>
      </w:r>
      <w:r>
        <w:rPr>
          <w:spacing w:val="-6"/>
          <w:sz w:val="24"/>
        </w:rPr>
        <w:t> </w:t>
      </w:r>
      <w:r>
        <w:rPr>
          <w:sz w:val="24"/>
        </w:rPr>
        <w:t>Guidelines.</w:t>
      </w:r>
    </w:p>
    <w:p>
      <w:pPr>
        <w:pStyle w:val="ListParagraph"/>
        <w:numPr>
          <w:ilvl w:val="0"/>
          <w:numId w:val="128"/>
        </w:numPr>
        <w:tabs>
          <w:tab w:pos="1919" w:val="left" w:leader="none"/>
        </w:tabs>
        <w:spacing w:line="240" w:lineRule="auto" w:before="3" w:after="0"/>
        <w:ind w:left="1919" w:right="415" w:hanging="567"/>
        <w:jc w:val="both"/>
        <w:rPr>
          <w:sz w:val="24"/>
        </w:rPr>
      </w:pPr>
      <w:r>
        <w:rPr>
          <w:sz w:val="24"/>
        </w:rPr>
        <w:t>A MLO generator may appoint a MLO nominee to perform a liquidity obligation on its behalf in relation to a parcel of traced capacity allocated to a MLO</w:t>
      </w:r>
      <w:r>
        <w:rPr>
          <w:spacing w:val="-2"/>
          <w:sz w:val="24"/>
        </w:rPr>
        <w:t> </w:t>
      </w:r>
      <w:r>
        <w:rPr>
          <w:sz w:val="24"/>
        </w:rPr>
        <w:t>group.</w:t>
      </w:r>
    </w:p>
    <w:p>
      <w:pPr>
        <w:pStyle w:val="ListParagraph"/>
        <w:numPr>
          <w:ilvl w:val="0"/>
          <w:numId w:val="128"/>
        </w:numPr>
        <w:tabs>
          <w:tab w:pos="1919" w:val="left" w:leader="none"/>
        </w:tabs>
        <w:spacing w:line="240" w:lineRule="auto" w:before="120" w:after="0"/>
        <w:ind w:left="1919" w:right="417" w:hanging="567"/>
        <w:jc w:val="both"/>
        <w:rPr>
          <w:sz w:val="24"/>
        </w:rPr>
      </w:pPr>
      <w:r>
        <w:rPr>
          <w:sz w:val="24"/>
        </w:rPr>
        <w:t>A MLO generator remains wholly responsible for the performance of its liquidity obligation, notwithstanding the appointment of a MLO</w:t>
      </w:r>
      <w:r>
        <w:rPr>
          <w:spacing w:val="-6"/>
          <w:sz w:val="24"/>
        </w:rPr>
        <w:t> </w:t>
      </w:r>
      <w:r>
        <w:rPr>
          <w:sz w:val="24"/>
        </w:rPr>
        <w:t>nominee.</w:t>
      </w:r>
    </w:p>
    <w:p>
      <w:pPr>
        <w:pStyle w:val="ListParagraph"/>
        <w:numPr>
          <w:ilvl w:val="0"/>
          <w:numId w:val="128"/>
        </w:numPr>
        <w:tabs>
          <w:tab w:pos="1919" w:val="left" w:leader="none"/>
        </w:tabs>
        <w:spacing w:line="240" w:lineRule="auto" w:before="120" w:after="0"/>
        <w:ind w:left="1919" w:right="415" w:hanging="567"/>
        <w:jc w:val="both"/>
        <w:rPr>
          <w:sz w:val="24"/>
        </w:rPr>
      </w:pPr>
      <w:r>
        <w:rPr>
          <w:sz w:val="24"/>
        </w:rPr>
        <w:t>If a MLO generator has two or more parcels of traced capacity allocated to different MLO groups, it may appoint a different MLO nominee</w:t>
      </w:r>
      <w:r>
        <w:rPr>
          <w:spacing w:val="44"/>
          <w:sz w:val="24"/>
        </w:rPr>
        <w:t> </w:t>
      </w:r>
      <w:r>
        <w:rPr>
          <w:sz w:val="24"/>
        </w:rPr>
        <w:t>under paragraph (b) in respect of each parcel, provided that the appointment of the MLO nominee relates to the entirety of that</w:t>
      </w:r>
      <w:r>
        <w:rPr>
          <w:spacing w:val="-4"/>
          <w:sz w:val="24"/>
        </w:rPr>
        <w:t> </w:t>
      </w:r>
      <w:r>
        <w:rPr>
          <w:sz w:val="24"/>
        </w:rPr>
        <w:t>parcel.</w:t>
      </w:r>
    </w:p>
    <w:p>
      <w:pPr>
        <w:pStyle w:val="ListParagraph"/>
        <w:numPr>
          <w:ilvl w:val="0"/>
          <w:numId w:val="128"/>
        </w:numPr>
        <w:tabs>
          <w:tab w:pos="1919" w:val="left" w:leader="none"/>
        </w:tabs>
        <w:spacing w:line="240" w:lineRule="auto" w:before="120" w:after="0"/>
        <w:ind w:left="1919" w:right="416" w:hanging="567"/>
        <w:jc w:val="both"/>
        <w:rPr>
          <w:sz w:val="24"/>
        </w:rPr>
      </w:pPr>
      <w:r>
        <w:rPr>
          <w:sz w:val="24"/>
        </w:rPr>
        <w:t>If two or more parcels of traced capacity are allocated to the same MLO group, each relevant MLO generator must appoint the same MLO nominee in respect of that</w:t>
      </w:r>
      <w:r>
        <w:rPr>
          <w:spacing w:val="-2"/>
          <w:sz w:val="24"/>
        </w:rPr>
        <w:t> </w:t>
      </w:r>
      <w:r>
        <w:rPr>
          <w:sz w:val="24"/>
        </w:rPr>
        <w:t>parcel.</w:t>
      </w:r>
    </w:p>
    <w:p>
      <w:pPr>
        <w:pStyle w:val="ListParagraph"/>
        <w:numPr>
          <w:ilvl w:val="0"/>
          <w:numId w:val="128"/>
        </w:numPr>
        <w:tabs>
          <w:tab w:pos="1920" w:val="left" w:leader="none"/>
        </w:tabs>
        <w:spacing w:line="240" w:lineRule="auto" w:before="120" w:after="0"/>
        <w:ind w:left="1919" w:right="415" w:hanging="567"/>
        <w:jc w:val="both"/>
        <w:rPr>
          <w:sz w:val="24"/>
        </w:rPr>
      </w:pPr>
      <w:r>
        <w:rPr>
          <w:sz w:val="24"/>
        </w:rPr>
        <w:t>If a person is a MLO nominee in respect of two or more parcels of traced capacity allocated to different MLO groups, in a </w:t>
      </w:r>
      <w:r>
        <w:rPr>
          <w:i/>
          <w:sz w:val="24"/>
        </w:rPr>
        <w:t>region</w:t>
      </w:r>
      <w:r>
        <w:rPr>
          <w:sz w:val="24"/>
        </w:rPr>
        <w:t>,</w:t>
      </w:r>
      <w:r>
        <w:rPr>
          <w:spacing w:val="-5"/>
          <w:sz w:val="24"/>
        </w:rPr>
        <w:t> </w:t>
      </w:r>
      <w:r>
        <w:rPr>
          <w:sz w:val="24"/>
        </w:rPr>
        <w:t>then:</w:t>
      </w:r>
    </w:p>
    <w:p>
      <w:pPr>
        <w:pStyle w:val="ListParagraph"/>
        <w:numPr>
          <w:ilvl w:val="1"/>
          <w:numId w:val="128"/>
        </w:numPr>
        <w:tabs>
          <w:tab w:pos="2486" w:val="left" w:leader="none"/>
        </w:tabs>
        <w:spacing w:line="240" w:lineRule="auto" w:before="120" w:after="0"/>
        <w:ind w:left="2486" w:right="415" w:hanging="567"/>
        <w:jc w:val="both"/>
        <w:rPr>
          <w:sz w:val="24"/>
        </w:rPr>
      </w:pPr>
      <w:r>
        <w:rPr>
          <w:sz w:val="24"/>
        </w:rPr>
        <w:t>the MLO nominee may, by keeping contemporaneous records, allocate particular acts or omissions to one or more MLO generators or MLO groups (as applicable);</w:t>
      </w:r>
      <w:r>
        <w:rPr>
          <w:spacing w:val="-2"/>
          <w:sz w:val="24"/>
        </w:rPr>
        <w:t> </w:t>
      </w:r>
      <w:r>
        <w:rPr>
          <w:sz w:val="24"/>
        </w:rPr>
        <w:t>and</w:t>
      </w:r>
    </w:p>
    <w:p>
      <w:pPr>
        <w:pStyle w:val="ListParagraph"/>
        <w:numPr>
          <w:ilvl w:val="1"/>
          <w:numId w:val="128"/>
        </w:numPr>
        <w:tabs>
          <w:tab w:pos="2486" w:val="left" w:leader="none"/>
        </w:tabs>
        <w:spacing w:line="240" w:lineRule="auto" w:before="120" w:after="0"/>
        <w:ind w:left="2486" w:right="414" w:hanging="567"/>
        <w:jc w:val="both"/>
        <w:rPr>
          <w:sz w:val="24"/>
        </w:rPr>
      </w:pPr>
      <w:r>
        <w:rPr>
          <w:sz w:val="24"/>
        </w:rPr>
        <w:t>in all other cases, any acts or omissions of the MLO nominee in connection with the liquidity period are taken to be made on behalf of all such MLO generators or MLO groups (as applicable) jointly, in proportion to the volume that each parcel of traced capacity bears </w:t>
      </w:r>
      <w:r>
        <w:rPr>
          <w:spacing w:val="-6"/>
          <w:sz w:val="24"/>
        </w:rPr>
        <w:t>to </w:t>
      </w:r>
      <w:r>
        <w:rPr>
          <w:sz w:val="24"/>
        </w:rPr>
        <w:t>the aggregate of all parcels of traced capacity in respect of which that MLO Nominee is</w:t>
      </w:r>
      <w:r>
        <w:rPr>
          <w:spacing w:val="-3"/>
          <w:sz w:val="24"/>
        </w:rPr>
        <w:t> </w:t>
      </w:r>
      <w:r>
        <w:rPr>
          <w:sz w:val="24"/>
        </w:rPr>
        <w:t>appointed.</w:t>
      </w:r>
    </w:p>
    <w:p>
      <w:pPr>
        <w:pStyle w:val="BodyText"/>
        <w:spacing w:before="10"/>
        <w:ind w:firstLine="0"/>
        <w:jc w:val="left"/>
        <w:rPr>
          <w:sz w:val="20"/>
        </w:rPr>
      </w:pPr>
    </w:p>
    <w:p>
      <w:pPr>
        <w:pStyle w:val="Heading4"/>
        <w:tabs>
          <w:tab w:pos="1351" w:val="left" w:leader="none"/>
        </w:tabs>
        <w:ind w:left="218" w:firstLine="0"/>
      </w:pPr>
      <w:bookmarkStart w:name="4A.G.21 Exemptions" w:id="296"/>
      <w:bookmarkEnd w:id="296"/>
      <w:r>
        <w:rPr>
          <w:b w:val="0"/>
        </w:rPr>
      </w:r>
      <w:bookmarkStart w:name="_bookmark131" w:id="297"/>
      <w:bookmarkEnd w:id="297"/>
      <w:r>
        <w:rPr>
          <w:b w:val="0"/>
        </w:rPr>
      </w:r>
      <w:r>
        <w:rPr/>
        <w:t>4A.G.21</w:t>
        <w:tab/>
        <w:t>Exemptions</w:t>
      </w:r>
    </w:p>
    <w:p>
      <w:pPr>
        <w:pStyle w:val="ListParagraph"/>
        <w:numPr>
          <w:ilvl w:val="0"/>
          <w:numId w:val="129"/>
        </w:numPr>
        <w:tabs>
          <w:tab w:pos="1918" w:val="left" w:leader="none"/>
          <w:tab w:pos="1919" w:val="left" w:leader="none"/>
        </w:tabs>
        <w:spacing w:line="240" w:lineRule="auto" w:before="120" w:after="0"/>
        <w:ind w:left="1919" w:right="416" w:hanging="567"/>
        <w:jc w:val="left"/>
        <w:rPr>
          <w:sz w:val="24"/>
        </w:rPr>
      </w:pPr>
      <w:r>
        <w:rPr>
          <w:sz w:val="24"/>
        </w:rPr>
        <w:t>A MLO generator is not required to perform its liquidity obligation in the following</w:t>
      </w:r>
      <w:r>
        <w:rPr>
          <w:spacing w:val="-1"/>
          <w:sz w:val="24"/>
        </w:rPr>
        <w:t> </w:t>
      </w:r>
      <w:r>
        <w:rPr>
          <w:sz w:val="24"/>
        </w:rPr>
        <w:t>circumstances:</w:t>
      </w:r>
    </w:p>
    <w:p>
      <w:pPr>
        <w:pStyle w:val="ListParagraph"/>
        <w:numPr>
          <w:ilvl w:val="1"/>
          <w:numId w:val="129"/>
        </w:numPr>
        <w:tabs>
          <w:tab w:pos="2485" w:val="left" w:leader="none"/>
          <w:tab w:pos="2486" w:val="left" w:leader="none"/>
        </w:tabs>
        <w:spacing w:line="240" w:lineRule="auto" w:before="120" w:after="0"/>
        <w:ind w:left="2485" w:right="0" w:hanging="567"/>
        <w:jc w:val="left"/>
        <w:rPr>
          <w:sz w:val="24"/>
        </w:rPr>
      </w:pPr>
      <w:r>
        <w:rPr>
          <w:sz w:val="24"/>
        </w:rPr>
        <w:t>if</w:t>
      </w:r>
      <w:r>
        <w:rPr>
          <w:spacing w:val="7"/>
          <w:sz w:val="24"/>
        </w:rPr>
        <w:t> </w:t>
      </w:r>
      <w:r>
        <w:rPr>
          <w:sz w:val="24"/>
        </w:rPr>
        <w:t>doing</w:t>
      </w:r>
      <w:r>
        <w:rPr>
          <w:spacing w:val="6"/>
          <w:sz w:val="24"/>
        </w:rPr>
        <w:t> </w:t>
      </w:r>
      <w:r>
        <w:rPr>
          <w:sz w:val="24"/>
        </w:rPr>
        <w:t>so</w:t>
      </w:r>
      <w:r>
        <w:rPr>
          <w:spacing w:val="7"/>
          <w:sz w:val="24"/>
        </w:rPr>
        <w:t> </w:t>
      </w:r>
      <w:r>
        <w:rPr>
          <w:sz w:val="24"/>
        </w:rPr>
        <w:t>would</w:t>
      </w:r>
      <w:r>
        <w:rPr>
          <w:spacing w:val="7"/>
          <w:sz w:val="24"/>
        </w:rPr>
        <w:t> </w:t>
      </w:r>
      <w:r>
        <w:rPr>
          <w:sz w:val="24"/>
        </w:rPr>
        <w:t>constitute</w:t>
      </w:r>
      <w:r>
        <w:rPr>
          <w:spacing w:val="7"/>
          <w:sz w:val="24"/>
        </w:rPr>
        <w:t> </w:t>
      </w:r>
      <w:r>
        <w:rPr>
          <w:sz w:val="24"/>
        </w:rPr>
        <w:t>a</w:t>
      </w:r>
      <w:r>
        <w:rPr>
          <w:spacing w:val="6"/>
          <w:sz w:val="24"/>
        </w:rPr>
        <w:t> </w:t>
      </w:r>
      <w:r>
        <w:rPr>
          <w:sz w:val="24"/>
        </w:rPr>
        <w:t>breach</w:t>
      </w:r>
      <w:r>
        <w:rPr>
          <w:spacing w:val="7"/>
          <w:sz w:val="24"/>
        </w:rPr>
        <w:t> </w:t>
      </w:r>
      <w:r>
        <w:rPr>
          <w:sz w:val="24"/>
        </w:rPr>
        <w:t>of</w:t>
      </w:r>
      <w:r>
        <w:rPr>
          <w:spacing w:val="7"/>
          <w:sz w:val="24"/>
        </w:rPr>
        <w:t> </w:t>
      </w:r>
      <w:r>
        <w:rPr>
          <w:sz w:val="24"/>
        </w:rPr>
        <w:t>sections</w:t>
      </w:r>
      <w:r>
        <w:rPr>
          <w:spacing w:val="6"/>
          <w:sz w:val="24"/>
        </w:rPr>
        <w:t> </w:t>
      </w:r>
      <w:r>
        <w:rPr>
          <w:sz w:val="24"/>
        </w:rPr>
        <w:t>588G</w:t>
      </w:r>
      <w:r>
        <w:rPr>
          <w:spacing w:val="7"/>
          <w:sz w:val="24"/>
        </w:rPr>
        <w:t> </w:t>
      </w:r>
      <w:r>
        <w:rPr>
          <w:sz w:val="24"/>
        </w:rPr>
        <w:t>or</w:t>
      </w:r>
      <w:r>
        <w:rPr>
          <w:spacing w:val="7"/>
          <w:sz w:val="24"/>
        </w:rPr>
        <w:t> </w:t>
      </w:r>
      <w:r>
        <w:rPr>
          <w:sz w:val="24"/>
        </w:rPr>
        <w:t>588V</w:t>
      </w:r>
      <w:r>
        <w:rPr>
          <w:spacing w:val="7"/>
          <w:sz w:val="24"/>
        </w:rPr>
        <w:t> </w:t>
      </w:r>
      <w:r>
        <w:rPr>
          <w:sz w:val="24"/>
        </w:rPr>
        <w:t>of</w:t>
      </w:r>
      <w:r>
        <w:rPr>
          <w:spacing w:val="6"/>
          <w:sz w:val="24"/>
        </w:rPr>
        <w:t> </w:t>
      </w:r>
      <w:r>
        <w:rPr>
          <w:sz w:val="24"/>
        </w:rPr>
        <w:t>the</w:t>
      </w:r>
    </w:p>
    <w:p>
      <w:pPr>
        <w:spacing w:before="0"/>
        <w:ind w:left="2486" w:right="0" w:firstLine="0"/>
        <w:jc w:val="left"/>
        <w:rPr>
          <w:sz w:val="24"/>
        </w:rPr>
      </w:pPr>
      <w:r>
        <w:rPr>
          <w:i/>
          <w:sz w:val="24"/>
        </w:rPr>
        <w:t>Corporations Act 2001 </w:t>
      </w:r>
      <w:r>
        <w:rPr>
          <w:sz w:val="24"/>
        </w:rPr>
        <w:t>(Cth) by:</w:t>
      </w:r>
    </w:p>
    <w:p>
      <w:pPr>
        <w:pStyle w:val="ListParagraph"/>
        <w:numPr>
          <w:ilvl w:val="2"/>
          <w:numId w:val="129"/>
        </w:numPr>
        <w:tabs>
          <w:tab w:pos="3052" w:val="left" w:leader="none"/>
          <w:tab w:pos="3053" w:val="left" w:leader="none"/>
        </w:tabs>
        <w:spacing w:line="240" w:lineRule="auto" w:before="120" w:after="0"/>
        <w:ind w:left="3052" w:right="0" w:hanging="567"/>
        <w:jc w:val="left"/>
        <w:rPr>
          <w:sz w:val="24"/>
        </w:rPr>
      </w:pPr>
      <w:r>
        <w:rPr>
          <w:sz w:val="24"/>
        </w:rPr>
        <w:t>that MLO</w:t>
      </w:r>
      <w:r>
        <w:rPr>
          <w:spacing w:val="-2"/>
          <w:sz w:val="24"/>
        </w:rPr>
        <w:t> </w:t>
      </w:r>
      <w:r>
        <w:rPr>
          <w:sz w:val="24"/>
        </w:rPr>
        <w:t>generator;</w:t>
      </w:r>
    </w:p>
    <w:p>
      <w:pPr>
        <w:pStyle w:val="ListParagraph"/>
        <w:numPr>
          <w:ilvl w:val="2"/>
          <w:numId w:val="129"/>
        </w:numPr>
        <w:tabs>
          <w:tab w:pos="3052" w:val="left" w:leader="none"/>
          <w:tab w:pos="3054" w:val="left" w:leader="none"/>
        </w:tabs>
        <w:spacing w:line="240" w:lineRule="auto" w:before="120" w:after="0"/>
        <w:ind w:left="3053" w:right="0" w:hanging="568"/>
        <w:jc w:val="left"/>
        <w:rPr>
          <w:sz w:val="24"/>
        </w:rPr>
      </w:pPr>
      <w:r>
        <w:rPr>
          <w:sz w:val="24"/>
        </w:rPr>
        <w:t>an officer of that MLO</w:t>
      </w:r>
      <w:r>
        <w:rPr>
          <w:spacing w:val="-2"/>
          <w:sz w:val="24"/>
        </w:rPr>
        <w:t> </w:t>
      </w:r>
      <w:r>
        <w:rPr>
          <w:sz w:val="24"/>
        </w:rPr>
        <w:t>generator;</w:t>
      </w:r>
    </w:p>
    <w:p>
      <w:pPr>
        <w:spacing w:after="0" w:line="240" w:lineRule="auto"/>
        <w:jc w:val="left"/>
        <w:rPr>
          <w:sz w:val="24"/>
        </w:rPr>
        <w:sectPr>
          <w:pgSz w:w="11910" w:h="16840"/>
          <w:pgMar w:header="686" w:footer="637" w:top="1320" w:bottom="820" w:left="1200" w:right="1000"/>
        </w:sectPr>
      </w:pPr>
    </w:p>
    <w:p>
      <w:pPr>
        <w:pStyle w:val="ListParagraph"/>
        <w:numPr>
          <w:ilvl w:val="2"/>
          <w:numId w:val="129"/>
        </w:numPr>
        <w:tabs>
          <w:tab w:pos="3053" w:val="left" w:leader="none"/>
        </w:tabs>
        <w:spacing w:line="240" w:lineRule="auto" w:before="83" w:after="0"/>
        <w:ind w:left="3053" w:right="416" w:hanging="567"/>
        <w:jc w:val="both"/>
        <w:rPr>
          <w:sz w:val="24"/>
        </w:rPr>
      </w:pPr>
      <w:r>
        <w:rPr>
          <w:sz w:val="24"/>
        </w:rPr>
        <w:t>a member of the MLO group to which a parcel of that MLO generator's traced capacity has been allocated;</w:t>
      </w:r>
      <w:r>
        <w:rPr>
          <w:spacing w:val="-2"/>
          <w:sz w:val="24"/>
        </w:rPr>
        <w:t> </w:t>
      </w:r>
      <w:r>
        <w:rPr>
          <w:sz w:val="24"/>
        </w:rPr>
        <w:t>or</w:t>
      </w:r>
    </w:p>
    <w:p>
      <w:pPr>
        <w:pStyle w:val="ListParagraph"/>
        <w:numPr>
          <w:ilvl w:val="2"/>
          <w:numId w:val="129"/>
        </w:numPr>
        <w:tabs>
          <w:tab w:pos="3054" w:val="left" w:leader="none"/>
        </w:tabs>
        <w:spacing w:line="240" w:lineRule="auto" w:before="120" w:after="0"/>
        <w:ind w:left="3053" w:right="0" w:hanging="568"/>
        <w:jc w:val="both"/>
        <w:rPr>
          <w:sz w:val="24"/>
        </w:rPr>
      </w:pPr>
      <w:r>
        <w:rPr>
          <w:sz w:val="24"/>
        </w:rPr>
        <w:t>an officer of a company referred to in subparagraph</w:t>
      </w:r>
      <w:r>
        <w:rPr>
          <w:spacing w:val="-2"/>
          <w:sz w:val="24"/>
        </w:rPr>
        <w:t> </w:t>
      </w:r>
      <w:r>
        <w:rPr>
          <w:sz w:val="24"/>
        </w:rPr>
        <w:t>(iii);</w:t>
      </w:r>
    </w:p>
    <w:p>
      <w:pPr>
        <w:pStyle w:val="ListParagraph"/>
        <w:numPr>
          <w:ilvl w:val="1"/>
          <w:numId w:val="129"/>
        </w:numPr>
        <w:tabs>
          <w:tab w:pos="2486" w:val="left" w:leader="none"/>
        </w:tabs>
        <w:spacing w:line="240" w:lineRule="auto" w:before="120" w:after="0"/>
        <w:ind w:left="2486" w:right="415" w:hanging="567"/>
        <w:jc w:val="both"/>
        <w:rPr>
          <w:sz w:val="24"/>
        </w:rPr>
      </w:pPr>
      <w:r>
        <w:rPr>
          <w:sz w:val="24"/>
        </w:rPr>
        <w:t>while it or its MLO nominee is suspended or prohibited from makings bids and offers for MLO products on any MLO exchange in the relevant </w:t>
      </w:r>
      <w:r>
        <w:rPr>
          <w:i/>
          <w:sz w:val="24"/>
        </w:rPr>
        <w:t>region</w:t>
      </w:r>
      <w:r>
        <w:rPr>
          <w:sz w:val="24"/>
        </w:rPr>
        <w:t>, in accordance with the relevant rules of that MLO exchange or the </w:t>
      </w:r>
      <w:r>
        <w:rPr>
          <w:i/>
          <w:sz w:val="24"/>
        </w:rPr>
        <w:t>Corporations Act 2001</w:t>
      </w:r>
      <w:r>
        <w:rPr>
          <w:i/>
          <w:spacing w:val="-1"/>
          <w:sz w:val="24"/>
        </w:rPr>
        <w:t> </w:t>
      </w:r>
      <w:r>
        <w:rPr>
          <w:sz w:val="24"/>
        </w:rPr>
        <w:t>(Cth);</w:t>
      </w:r>
    </w:p>
    <w:p>
      <w:pPr>
        <w:pStyle w:val="ListParagraph"/>
        <w:numPr>
          <w:ilvl w:val="1"/>
          <w:numId w:val="129"/>
        </w:numPr>
        <w:tabs>
          <w:tab w:pos="2486" w:val="left" w:leader="none"/>
        </w:tabs>
        <w:spacing w:line="240" w:lineRule="auto" w:before="120" w:after="0"/>
        <w:ind w:left="2486" w:right="415" w:hanging="567"/>
        <w:jc w:val="both"/>
        <w:rPr>
          <w:sz w:val="24"/>
        </w:rPr>
      </w:pPr>
      <w:r>
        <w:rPr>
          <w:sz w:val="24"/>
        </w:rPr>
        <w:t>while the trading of all MLO products is temporarily suspended on each MLO exchange in that </w:t>
      </w:r>
      <w:r>
        <w:rPr>
          <w:i/>
          <w:sz w:val="24"/>
        </w:rPr>
        <w:t>region</w:t>
      </w:r>
      <w:r>
        <w:rPr>
          <w:sz w:val="24"/>
        </w:rPr>
        <w:t>;</w:t>
      </w:r>
      <w:r>
        <w:rPr>
          <w:spacing w:val="-2"/>
          <w:sz w:val="24"/>
        </w:rPr>
        <w:t> </w:t>
      </w:r>
      <w:r>
        <w:rPr>
          <w:sz w:val="24"/>
        </w:rPr>
        <w:t>or</w:t>
      </w:r>
    </w:p>
    <w:p>
      <w:pPr>
        <w:pStyle w:val="ListParagraph"/>
        <w:numPr>
          <w:ilvl w:val="1"/>
          <w:numId w:val="129"/>
        </w:numPr>
        <w:tabs>
          <w:tab w:pos="2486" w:val="left" w:leader="none"/>
        </w:tabs>
        <w:spacing w:line="240" w:lineRule="auto" w:before="120" w:after="0"/>
        <w:ind w:left="2486" w:right="416" w:hanging="567"/>
        <w:jc w:val="both"/>
        <w:rPr>
          <w:sz w:val="24"/>
        </w:rPr>
      </w:pPr>
      <w:r>
        <w:rPr>
          <w:sz w:val="24"/>
        </w:rPr>
        <w:t>any other circumstances set out in the MLO Guidelines where a MLO generator is not required to perform its liquidity</w:t>
      </w:r>
      <w:r>
        <w:rPr>
          <w:spacing w:val="-2"/>
          <w:sz w:val="24"/>
        </w:rPr>
        <w:t> </w:t>
      </w:r>
      <w:r>
        <w:rPr>
          <w:sz w:val="24"/>
        </w:rPr>
        <w:t>obligation.</w:t>
      </w:r>
    </w:p>
    <w:p>
      <w:pPr>
        <w:pStyle w:val="ListParagraph"/>
        <w:numPr>
          <w:ilvl w:val="0"/>
          <w:numId w:val="129"/>
        </w:numPr>
        <w:tabs>
          <w:tab w:pos="1919" w:val="left" w:leader="none"/>
        </w:tabs>
        <w:spacing w:line="240" w:lineRule="auto" w:before="120" w:after="0"/>
        <w:ind w:left="1919" w:right="414" w:hanging="567"/>
        <w:jc w:val="both"/>
        <w:rPr>
          <w:sz w:val="24"/>
        </w:rPr>
      </w:pPr>
      <w:r>
        <w:rPr>
          <w:sz w:val="24"/>
        </w:rPr>
        <w:t>If a </w:t>
      </w:r>
      <w:r>
        <w:rPr>
          <w:i/>
          <w:sz w:val="24"/>
        </w:rPr>
        <w:t>scheduled generating unit </w:t>
      </w:r>
      <w:r>
        <w:rPr>
          <w:sz w:val="24"/>
        </w:rPr>
        <w:t>is the subject of a notice to </w:t>
      </w:r>
      <w:r>
        <w:rPr>
          <w:i/>
          <w:sz w:val="24"/>
        </w:rPr>
        <w:t>AEMO </w:t>
      </w:r>
      <w:r>
        <w:rPr>
          <w:sz w:val="24"/>
        </w:rPr>
        <w:t>under clause 2.10.1(a)(2) and the </w:t>
      </w:r>
      <w:r>
        <w:rPr>
          <w:i/>
          <w:sz w:val="24"/>
        </w:rPr>
        <w:t>closure date </w:t>
      </w:r>
      <w:r>
        <w:rPr>
          <w:sz w:val="24"/>
        </w:rPr>
        <w:t>specified in the notice is earlier than the start of a forecast reliability gap period, then in this Division, for the purposes of determining MLO generators and assessing compliance with the liquidity obligation in relation to that forecast reliability gap </w:t>
      </w:r>
      <w:r>
        <w:rPr>
          <w:spacing w:val="-3"/>
          <w:sz w:val="24"/>
        </w:rPr>
        <w:t>period, </w:t>
      </w:r>
      <w:r>
        <w:rPr>
          <w:sz w:val="24"/>
        </w:rPr>
        <w:t>generator capacity is taken not to include the registered capacity of the </w:t>
      </w:r>
      <w:r>
        <w:rPr>
          <w:i/>
          <w:sz w:val="24"/>
        </w:rPr>
        <w:t>scheduled generating unit </w:t>
      </w:r>
      <w:r>
        <w:rPr>
          <w:sz w:val="24"/>
        </w:rPr>
        <w:t>that is the subject of the notice, as determined (where relevant) in accordance with the MLO</w:t>
      </w:r>
      <w:r>
        <w:rPr>
          <w:spacing w:val="-5"/>
          <w:sz w:val="24"/>
        </w:rPr>
        <w:t> </w:t>
      </w:r>
      <w:r>
        <w:rPr>
          <w:sz w:val="24"/>
        </w:rPr>
        <w:t>Guidelines.</w:t>
      </w:r>
    </w:p>
    <w:p>
      <w:pPr>
        <w:pStyle w:val="ListParagraph"/>
        <w:numPr>
          <w:ilvl w:val="0"/>
          <w:numId w:val="129"/>
        </w:numPr>
        <w:tabs>
          <w:tab w:pos="1919" w:val="left" w:leader="none"/>
        </w:tabs>
        <w:spacing w:line="240" w:lineRule="auto" w:before="120" w:after="0"/>
        <w:ind w:left="1919" w:right="415" w:hanging="567"/>
        <w:jc w:val="both"/>
        <w:rPr>
          <w:sz w:val="24"/>
        </w:rPr>
      </w:pPr>
      <w:r>
        <w:rPr>
          <w:sz w:val="24"/>
        </w:rPr>
        <w:t>To avoid doubt, clause 4A.G.13(a)(3) still applies in respect of a notice referred to in paragraph</w:t>
      </w:r>
      <w:r>
        <w:rPr>
          <w:spacing w:val="-1"/>
          <w:sz w:val="24"/>
        </w:rPr>
        <w:t> </w:t>
      </w:r>
      <w:r>
        <w:rPr>
          <w:sz w:val="24"/>
        </w:rPr>
        <w:t>(b).</w:t>
      </w:r>
    </w:p>
    <w:p>
      <w:pPr>
        <w:pStyle w:val="BodyText"/>
        <w:spacing w:before="10"/>
        <w:ind w:firstLine="0"/>
        <w:jc w:val="left"/>
        <w:rPr>
          <w:sz w:val="20"/>
        </w:rPr>
      </w:pPr>
    </w:p>
    <w:p>
      <w:pPr>
        <w:pStyle w:val="Heading3"/>
        <w:tabs>
          <w:tab w:pos="1656" w:val="left" w:leader="none"/>
        </w:tabs>
        <w:ind w:left="218" w:firstLine="0"/>
      </w:pPr>
      <w:bookmarkStart w:name="Division 9 MLO products and MLO exchange" w:id="298"/>
      <w:bookmarkEnd w:id="298"/>
      <w:r>
        <w:rPr>
          <w:b w:val="0"/>
        </w:rPr>
      </w:r>
      <w:bookmarkStart w:name="_bookmark132" w:id="299"/>
      <w:bookmarkEnd w:id="299"/>
      <w:r>
        <w:rPr>
          <w:b w:val="0"/>
        </w:rPr>
      </w:r>
      <w:r>
        <w:rPr/>
        <w:t>Division</w:t>
      </w:r>
      <w:r>
        <w:rPr>
          <w:spacing w:val="-4"/>
        </w:rPr>
        <w:t> </w:t>
      </w:r>
      <w:r>
        <w:rPr/>
        <w:t>9</w:t>
        <w:tab/>
        <w:t>MLO products and MLO</w:t>
      </w:r>
      <w:r>
        <w:rPr>
          <w:spacing w:val="-1"/>
        </w:rPr>
        <w:t> </w:t>
      </w:r>
      <w:r>
        <w:rPr/>
        <w:t>exchange</w:t>
      </w:r>
    </w:p>
    <w:p>
      <w:pPr>
        <w:pStyle w:val="Heading4"/>
        <w:tabs>
          <w:tab w:pos="1351" w:val="left" w:leader="none"/>
        </w:tabs>
        <w:spacing w:before="240"/>
        <w:ind w:left="218" w:firstLine="0"/>
      </w:pPr>
      <w:bookmarkStart w:name="4A.G.22 MLO products" w:id="300"/>
      <w:bookmarkEnd w:id="300"/>
      <w:r>
        <w:rPr>
          <w:b w:val="0"/>
        </w:rPr>
      </w:r>
      <w:bookmarkStart w:name="_bookmark133" w:id="301"/>
      <w:bookmarkEnd w:id="301"/>
      <w:r>
        <w:rPr>
          <w:b w:val="0"/>
        </w:rPr>
      </w:r>
      <w:r>
        <w:rPr/>
        <w:t>4A.G.22</w:t>
        <w:tab/>
        <w:t>MLO</w:t>
      </w:r>
      <w:r>
        <w:rPr>
          <w:spacing w:val="-1"/>
        </w:rPr>
        <w:t> </w:t>
      </w:r>
      <w:r>
        <w:rPr/>
        <w:t>products</w:t>
      </w:r>
    </w:p>
    <w:p>
      <w:pPr>
        <w:pStyle w:val="ListParagraph"/>
        <w:numPr>
          <w:ilvl w:val="0"/>
          <w:numId w:val="130"/>
        </w:numPr>
        <w:tabs>
          <w:tab w:pos="1919" w:val="left" w:leader="none"/>
        </w:tabs>
        <w:spacing w:line="240" w:lineRule="auto" w:before="120" w:after="0"/>
        <w:ind w:left="1919" w:right="415" w:hanging="567"/>
        <w:jc w:val="both"/>
        <w:rPr>
          <w:sz w:val="24"/>
        </w:rPr>
      </w:pPr>
      <w:r>
        <w:rPr>
          <w:sz w:val="24"/>
        </w:rPr>
        <w:t>A MLO product means an electricity 'derivative' (within the meaning given to that word in the </w:t>
      </w:r>
      <w:r>
        <w:rPr>
          <w:i/>
          <w:sz w:val="24"/>
        </w:rPr>
        <w:t>Corporations Act 2001 </w:t>
      </w:r>
      <w:r>
        <w:rPr>
          <w:sz w:val="24"/>
        </w:rPr>
        <w:t>(Cth)) contract</w:t>
      </w:r>
      <w:r>
        <w:rPr>
          <w:spacing w:val="-4"/>
          <w:sz w:val="24"/>
        </w:rPr>
        <w:t> </w:t>
      </w:r>
      <w:r>
        <w:rPr>
          <w:sz w:val="24"/>
        </w:rPr>
        <w:t>which:</w:t>
      </w:r>
    </w:p>
    <w:p>
      <w:pPr>
        <w:pStyle w:val="ListParagraph"/>
        <w:numPr>
          <w:ilvl w:val="1"/>
          <w:numId w:val="130"/>
        </w:numPr>
        <w:tabs>
          <w:tab w:pos="2486" w:val="left" w:leader="none"/>
        </w:tabs>
        <w:spacing w:line="240" w:lineRule="auto" w:before="120" w:after="0"/>
        <w:ind w:left="2485" w:right="0" w:hanging="567"/>
        <w:jc w:val="both"/>
        <w:rPr>
          <w:sz w:val="24"/>
        </w:rPr>
      </w:pPr>
      <w:r>
        <w:rPr>
          <w:sz w:val="24"/>
        </w:rPr>
        <w:t>has a contract unit of</w:t>
      </w:r>
      <w:r>
        <w:rPr>
          <w:spacing w:val="-1"/>
          <w:sz w:val="24"/>
        </w:rPr>
        <w:t> </w:t>
      </w:r>
      <w:r>
        <w:rPr>
          <w:sz w:val="24"/>
        </w:rPr>
        <w:t>either:</w:t>
      </w:r>
    </w:p>
    <w:p>
      <w:pPr>
        <w:pStyle w:val="ListParagraph"/>
        <w:numPr>
          <w:ilvl w:val="2"/>
          <w:numId w:val="130"/>
        </w:numPr>
        <w:tabs>
          <w:tab w:pos="3053" w:val="left" w:leader="none"/>
        </w:tabs>
        <w:spacing w:line="240" w:lineRule="auto" w:before="120" w:after="0"/>
        <w:ind w:left="3053" w:right="416" w:hanging="567"/>
        <w:jc w:val="both"/>
        <w:rPr>
          <w:sz w:val="24"/>
        </w:rPr>
      </w:pPr>
      <w:r>
        <w:rPr>
          <w:sz w:val="24"/>
        </w:rPr>
        <w:t>1 MW of electrical energy per hour based on a base load </w:t>
      </w:r>
      <w:r>
        <w:rPr>
          <w:spacing w:val="-3"/>
          <w:sz w:val="24"/>
        </w:rPr>
        <w:t>period, </w:t>
      </w:r>
      <w:r>
        <w:rPr>
          <w:sz w:val="24"/>
        </w:rPr>
        <w:t>being from 00:00 hours Monday to 24:00 Sunday (in the relevant </w:t>
      </w:r>
      <w:r>
        <w:rPr>
          <w:i/>
          <w:sz w:val="24"/>
        </w:rPr>
        <w:t>region</w:t>
      </w:r>
      <w:r>
        <w:rPr>
          <w:sz w:val="24"/>
        </w:rPr>
        <w:t>) over the duration of the contract period (as specified in subparagraph (a)(2)(ii));</w:t>
      </w:r>
      <w:r>
        <w:rPr>
          <w:spacing w:val="-3"/>
          <w:sz w:val="24"/>
        </w:rPr>
        <w:t> </w:t>
      </w:r>
      <w:r>
        <w:rPr>
          <w:sz w:val="24"/>
        </w:rPr>
        <w:t>or</w:t>
      </w:r>
    </w:p>
    <w:p>
      <w:pPr>
        <w:pStyle w:val="ListParagraph"/>
        <w:numPr>
          <w:ilvl w:val="2"/>
          <w:numId w:val="130"/>
        </w:numPr>
        <w:tabs>
          <w:tab w:pos="3054" w:val="left" w:leader="none"/>
        </w:tabs>
        <w:spacing w:line="240" w:lineRule="auto" w:before="120" w:after="0"/>
        <w:ind w:left="3053" w:right="415" w:hanging="567"/>
        <w:jc w:val="both"/>
        <w:rPr>
          <w:sz w:val="24"/>
        </w:rPr>
      </w:pPr>
      <w:r>
        <w:rPr>
          <w:sz w:val="24"/>
        </w:rPr>
        <w:t>1 MW of electrical energy per hour based on a peak load period, being from 07:00 hours to 22:00 hours (in the relevant </w:t>
      </w:r>
      <w:r>
        <w:rPr>
          <w:i/>
          <w:sz w:val="24"/>
        </w:rPr>
        <w:t>region</w:t>
      </w:r>
      <w:r>
        <w:rPr>
          <w:sz w:val="24"/>
        </w:rPr>
        <w:t>) Monday to Friday (excluding public holidays) over the duration of the contract period (as specified in subparagraph (a)(2)(ii)), provided that, if the </w:t>
      </w:r>
      <w:r>
        <w:rPr>
          <w:i/>
          <w:sz w:val="24"/>
        </w:rPr>
        <w:t>trading intervals </w:t>
      </w:r>
      <w:r>
        <w:rPr>
          <w:sz w:val="24"/>
        </w:rPr>
        <w:t>identified in the relevant </w:t>
      </w:r>
      <w:r>
        <w:rPr>
          <w:i/>
          <w:sz w:val="24"/>
        </w:rPr>
        <w:t>forecast reliability gap </w:t>
      </w:r>
      <w:r>
        <w:rPr>
          <w:sz w:val="24"/>
        </w:rPr>
        <w:t>apply only during parts of a day, then the contract unit must include those </w:t>
      </w:r>
      <w:r>
        <w:rPr>
          <w:i/>
          <w:sz w:val="24"/>
        </w:rPr>
        <w:t>trading intervals</w:t>
      </w:r>
      <w:r>
        <w:rPr>
          <w:sz w:val="24"/>
        </w:rPr>
        <w:t>;</w:t>
      </w:r>
      <w:r>
        <w:rPr>
          <w:spacing w:val="-1"/>
          <w:sz w:val="24"/>
        </w:rPr>
        <w:t> </w:t>
      </w:r>
      <w:r>
        <w:rPr>
          <w:sz w:val="24"/>
        </w:rPr>
        <w:t>and</w:t>
      </w:r>
    </w:p>
    <w:p>
      <w:pPr>
        <w:pStyle w:val="ListParagraph"/>
        <w:numPr>
          <w:ilvl w:val="1"/>
          <w:numId w:val="130"/>
        </w:numPr>
        <w:tabs>
          <w:tab w:pos="2486" w:val="left" w:leader="none"/>
        </w:tabs>
        <w:spacing w:line="240" w:lineRule="auto" w:before="120" w:after="0"/>
        <w:ind w:left="2485" w:right="0" w:hanging="567"/>
        <w:jc w:val="both"/>
        <w:rPr>
          <w:sz w:val="24"/>
        </w:rPr>
      </w:pPr>
      <w:r>
        <w:rPr>
          <w:sz w:val="24"/>
        </w:rPr>
        <w:t>satisfies each of the following</w:t>
      </w:r>
      <w:r>
        <w:rPr>
          <w:spacing w:val="-2"/>
          <w:sz w:val="24"/>
        </w:rPr>
        <w:t> </w:t>
      </w:r>
      <w:r>
        <w:rPr>
          <w:sz w:val="24"/>
        </w:rPr>
        <w:t>criteria:</w:t>
      </w:r>
    </w:p>
    <w:p>
      <w:pPr>
        <w:pStyle w:val="ListParagraph"/>
        <w:numPr>
          <w:ilvl w:val="2"/>
          <w:numId w:val="130"/>
        </w:numPr>
        <w:tabs>
          <w:tab w:pos="3053" w:val="left" w:leader="none"/>
        </w:tabs>
        <w:spacing w:line="240" w:lineRule="auto" w:before="120" w:after="0"/>
        <w:ind w:left="3053" w:right="415" w:hanging="567"/>
        <w:jc w:val="both"/>
        <w:rPr>
          <w:sz w:val="24"/>
        </w:rPr>
      </w:pPr>
      <w:r>
        <w:rPr>
          <w:sz w:val="24"/>
        </w:rPr>
        <w:t>it is a contract relating to electrical energy bought and sold in  the </w:t>
      </w:r>
      <w:r>
        <w:rPr>
          <w:i/>
          <w:sz w:val="24"/>
        </w:rPr>
        <w:t>region </w:t>
      </w:r>
      <w:r>
        <w:rPr>
          <w:sz w:val="24"/>
        </w:rPr>
        <w:t>in which the </w:t>
      </w:r>
      <w:r>
        <w:rPr>
          <w:i/>
          <w:sz w:val="24"/>
        </w:rPr>
        <w:t>forecast reliability gap </w:t>
      </w:r>
      <w:r>
        <w:rPr>
          <w:sz w:val="24"/>
        </w:rPr>
        <w:t>has been identified;</w:t>
      </w:r>
    </w:p>
    <w:p>
      <w:pPr>
        <w:spacing w:after="0" w:line="240" w:lineRule="auto"/>
        <w:jc w:val="both"/>
        <w:rPr>
          <w:sz w:val="24"/>
        </w:rPr>
        <w:sectPr>
          <w:pgSz w:w="11910" w:h="16840"/>
          <w:pgMar w:header="686" w:footer="637" w:top="1320" w:bottom="820" w:left="1200" w:right="1000"/>
        </w:sectPr>
      </w:pPr>
    </w:p>
    <w:p>
      <w:pPr>
        <w:pStyle w:val="ListParagraph"/>
        <w:numPr>
          <w:ilvl w:val="2"/>
          <w:numId w:val="130"/>
        </w:numPr>
        <w:tabs>
          <w:tab w:pos="3054" w:val="left" w:leader="none"/>
        </w:tabs>
        <w:spacing w:line="240" w:lineRule="auto" w:before="83" w:after="0"/>
        <w:ind w:left="3053" w:right="414" w:hanging="567"/>
        <w:jc w:val="both"/>
        <w:rPr>
          <w:sz w:val="24"/>
        </w:rPr>
      </w:pPr>
      <w:r>
        <w:rPr>
          <w:sz w:val="24"/>
        </w:rPr>
        <w:t>the contract period is monthly or quarterly, provided the contract period covers all of the </w:t>
      </w:r>
      <w:r>
        <w:rPr>
          <w:i/>
          <w:sz w:val="24"/>
        </w:rPr>
        <w:t>trading intervals </w:t>
      </w:r>
      <w:r>
        <w:rPr>
          <w:sz w:val="24"/>
        </w:rPr>
        <w:t>identified in the relevant </w:t>
      </w:r>
      <w:r>
        <w:rPr>
          <w:i/>
          <w:sz w:val="24"/>
        </w:rPr>
        <w:t>forecast reliability gap </w:t>
      </w:r>
      <w:r>
        <w:rPr>
          <w:sz w:val="24"/>
        </w:rPr>
        <w:t>period, in that month or</w:t>
      </w:r>
      <w:r>
        <w:rPr>
          <w:spacing w:val="-9"/>
          <w:sz w:val="24"/>
        </w:rPr>
        <w:t> </w:t>
      </w:r>
      <w:r>
        <w:rPr>
          <w:sz w:val="24"/>
        </w:rPr>
        <w:t>quarter;</w:t>
      </w:r>
    </w:p>
    <w:p>
      <w:pPr>
        <w:pStyle w:val="ListParagraph"/>
        <w:numPr>
          <w:ilvl w:val="2"/>
          <w:numId w:val="130"/>
        </w:numPr>
        <w:tabs>
          <w:tab w:pos="3053" w:val="left" w:leader="none"/>
        </w:tabs>
        <w:spacing w:line="240" w:lineRule="auto" w:before="120" w:after="0"/>
        <w:ind w:left="3052" w:right="0" w:hanging="567"/>
        <w:jc w:val="both"/>
        <w:rPr>
          <w:sz w:val="24"/>
        </w:rPr>
      </w:pPr>
      <w:r>
        <w:rPr>
          <w:sz w:val="24"/>
        </w:rPr>
        <w:t>the maximum contract unit is 1</w:t>
      </w:r>
      <w:r>
        <w:rPr>
          <w:spacing w:val="-2"/>
          <w:sz w:val="24"/>
        </w:rPr>
        <w:t> </w:t>
      </w:r>
      <w:r>
        <w:rPr>
          <w:sz w:val="24"/>
        </w:rPr>
        <w:t>MWh;</w:t>
      </w:r>
    </w:p>
    <w:p>
      <w:pPr>
        <w:pStyle w:val="ListParagraph"/>
        <w:numPr>
          <w:ilvl w:val="2"/>
          <w:numId w:val="130"/>
        </w:numPr>
        <w:tabs>
          <w:tab w:pos="3054" w:val="left" w:leader="none"/>
        </w:tabs>
        <w:spacing w:line="240" w:lineRule="auto" w:before="120" w:after="0"/>
        <w:ind w:left="3053" w:right="0" w:hanging="568"/>
        <w:jc w:val="both"/>
        <w:rPr>
          <w:sz w:val="24"/>
        </w:rPr>
      </w:pPr>
      <w:r>
        <w:rPr>
          <w:sz w:val="24"/>
        </w:rPr>
        <w:t>the contract price is quoted in AUD per MWh;</w:t>
      </w:r>
      <w:r>
        <w:rPr>
          <w:spacing w:val="-5"/>
          <w:sz w:val="24"/>
        </w:rPr>
        <w:t> </w:t>
      </w:r>
      <w:r>
        <w:rPr>
          <w:sz w:val="24"/>
        </w:rPr>
        <w:t>and</w:t>
      </w:r>
    </w:p>
    <w:p>
      <w:pPr>
        <w:pStyle w:val="ListParagraph"/>
        <w:numPr>
          <w:ilvl w:val="2"/>
          <w:numId w:val="130"/>
        </w:numPr>
        <w:tabs>
          <w:tab w:pos="3053" w:val="left" w:leader="none"/>
        </w:tabs>
        <w:spacing w:line="240" w:lineRule="auto" w:before="120" w:after="0"/>
        <w:ind w:left="3052" w:right="0" w:hanging="567"/>
        <w:jc w:val="both"/>
        <w:rPr>
          <w:sz w:val="24"/>
        </w:rPr>
      </w:pPr>
      <w:r>
        <w:rPr>
          <w:sz w:val="24"/>
        </w:rPr>
        <w:t>the</w:t>
      </w:r>
      <w:r>
        <w:rPr>
          <w:spacing w:val="50"/>
          <w:sz w:val="24"/>
        </w:rPr>
        <w:t> </w:t>
      </w:r>
      <w:r>
        <w:rPr>
          <w:sz w:val="24"/>
        </w:rPr>
        <w:t>contract</w:t>
      </w:r>
      <w:r>
        <w:rPr>
          <w:spacing w:val="51"/>
          <w:sz w:val="24"/>
        </w:rPr>
        <w:t> </w:t>
      </w:r>
      <w:r>
        <w:rPr>
          <w:sz w:val="24"/>
        </w:rPr>
        <w:t>quantity</w:t>
      </w:r>
      <w:r>
        <w:rPr>
          <w:spacing w:val="51"/>
          <w:sz w:val="24"/>
        </w:rPr>
        <w:t> </w:t>
      </w:r>
      <w:r>
        <w:rPr>
          <w:sz w:val="24"/>
        </w:rPr>
        <w:t>is</w:t>
      </w:r>
      <w:r>
        <w:rPr>
          <w:spacing w:val="51"/>
          <w:sz w:val="24"/>
        </w:rPr>
        <w:t> </w:t>
      </w:r>
      <w:r>
        <w:rPr>
          <w:sz w:val="24"/>
        </w:rPr>
        <w:t>for</w:t>
      </w:r>
      <w:r>
        <w:rPr>
          <w:spacing w:val="50"/>
          <w:sz w:val="24"/>
        </w:rPr>
        <w:t> </w:t>
      </w:r>
      <w:r>
        <w:rPr>
          <w:sz w:val="24"/>
        </w:rPr>
        <w:t>an</w:t>
      </w:r>
      <w:r>
        <w:rPr>
          <w:spacing w:val="51"/>
          <w:sz w:val="24"/>
        </w:rPr>
        <w:t> </w:t>
      </w:r>
      <w:r>
        <w:rPr>
          <w:sz w:val="24"/>
        </w:rPr>
        <w:t>identical</w:t>
      </w:r>
      <w:r>
        <w:rPr>
          <w:spacing w:val="51"/>
          <w:sz w:val="24"/>
        </w:rPr>
        <w:t> </w:t>
      </w:r>
      <w:r>
        <w:rPr>
          <w:sz w:val="24"/>
        </w:rPr>
        <w:t>contract</w:t>
      </w:r>
      <w:r>
        <w:rPr>
          <w:spacing w:val="51"/>
          <w:sz w:val="24"/>
        </w:rPr>
        <w:t> </w:t>
      </w:r>
      <w:r>
        <w:rPr>
          <w:sz w:val="24"/>
        </w:rPr>
        <w:t>unit</w:t>
      </w:r>
      <w:r>
        <w:rPr>
          <w:spacing w:val="51"/>
          <w:sz w:val="24"/>
        </w:rPr>
        <w:t> </w:t>
      </w:r>
      <w:r>
        <w:rPr>
          <w:sz w:val="24"/>
        </w:rPr>
        <w:t>in</w:t>
      </w:r>
      <w:r>
        <w:rPr>
          <w:spacing w:val="50"/>
          <w:sz w:val="24"/>
        </w:rPr>
        <w:t> </w:t>
      </w:r>
      <w:r>
        <w:rPr>
          <w:sz w:val="24"/>
        </w:rPr>
        <w:t>each</w:t>
      </w:r>
    </w:p>
    <w:p>
      <w:pPr>
        <w:spacing w:before="0"/>
        <w:ind w:left="3053" w:right="0" w:firstLine="0"/>
        <w:jc w:val="both"/>
        <w:rPr>
          <w:sz w:val="24"/>
        </w:rPr>
      </w:pPr>
      <w:r>
        <w:rPr>
          <w:i/>
          <w:sz w:val="24"/>
        </w:rPr>
        <w:t>trading interval</w:t>
      </w:r>
      <w:r>
        <w:rPr>
          <w:sz w:val="24"/>
        </w:rPr>
        <w:t>.</w:t>
      </w:r>
    </w:p>
    <w:p>
      <w:pPr>
        <w:pStyle w:val="ListParagraph"/>
        <w:numPr>
          <w:ilvl w:val="0"/>
          <w:numId w:val="13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approve other products (which do not satisfy the criteria set out in this rule) in accordance with the MLO</w:t>
      </w:r>
      <w:r>
        <w:rPr>
          <w:spacing w:val="-6"/>
          <w:sz w:val="24"/>
        </w:rPr>
        <w:t> </w:t>
      </w:r>
      <w:r>
        <w:rPr>
          <w:sz w:val="24"/>
        </w:rPr>
        <w:t>Guidelines.</w:t>
      </w:r>
    </w:p>
    <w:p>
      <w:pPr>
        <w:pStyle w:val="ListParagraph"/>
        <w:numPr>
          <w:ilvl w:val="0"/>
          <w:numId w:val="13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establish, maintain and </w:t>
      </w:r>
      <w:r>
        <w:rPr>
          <w:i/>
          <w:sz w:val="24"/>
        </w:rPr>
        <w:t>publish </w:t>
      </w:r>
      <w:r>
        <w:rPr>
          <w:sz w:val="24"/>
        </w:rPr>
        <w:t>a register of each</w:t>
      </w:r>
      <w:r>
        <w:rPr>
          <w:spacing w:val="28"/>
          <w:sz w:val="24"/>
        </w:rPr>
        <w:t> </w:t>
      </w:r>
      <w:r>
        <w:rPr>
          <w:sz w:val="24"/>
        </w:rPr>
        <w:t>MLO product.</w:t>
      </w:r>
    </w:p>
    <w:p>
      <w:pPr>
        <w:pStyle w:val="BodyText"/>
        <w:spacing w:before="10"/>
        <w:ind w:firstLine="0"/>
        <w:jc w:val="left"/>
        <w:rPr>
          <w:sz w:val="20"/>
        </w:rPr>
      </w:pPr>
    </w:p>
    <w:p>
      <w:pPr>
        <w:pStyle w:val="Heading4"/>
        <w:tabs>
          <w:tab w:pos="1351" w:val="left" w:leader="none"/>
        </w:tabs>
        <w:ind w:left="218" w:firstLine="0"/>
      </w:pPr>
      <w:bookmarkStart w:name="4A.G.23 MLO exchange" w:id="302"/>
      <w:bookmarkEnd w:id="302"/>
      <w:r>
        <w:rPr>
          <w:b w:val="0"/>
        </w:rPr>
      </w:r>
      <w:bookmarkStart w:name="_bookmark134" w:id="303"/>
      <w:bookmarkEnd w:id="303"/>
      <w:r>
        <w:rPr>
          <w:b w:val="0"/>
        </w:rPr>
      </w:r>
      <w:r>
        <w:rPr/>
        <w:t>4A.G.23</w:t>
        <w:tab/>
        <w:t>MLO</w:t>
      </w:r>
      <w:r>
        <w:rPr>
          <w:spacing w:val="-1"/>
        </w:rPr>
        <w:t> </w:t>
      </w:r>
      <w:r>
        <w:rPr/>
        <w:t>exchange</w:t>
      </w:r>
    </w:p>
    <w:p>
      <w:pPr>
        <w:pStyle w:val="ListParagraph"/>
        <w:numPr>
          <w:ilvl w:val="0"/>
          <w:numId w:val="131"/>
        </w:numPr>
        <w:tabs>
          <w:tab w:pos="1919" w:val="left" w:leader="none"/>
        </w:tabs>
        <w:spacing w:line="240" w:lineRule="auto" w:before="120" w:after="0"/>
        <w:ind w:left="1919" w:right="414" w:hanging="567"/>
        <w:jc w:val="both"/>
        <w:rPr>
          <w:sz w:val="24"/>
        </w:rPr>
      </w:pPr>
      <w:r>
        <w:rPr>
          <w:sz w:val="24"/>
        </w:rPr>
        <w:t>A MLO exchange is a trading facility that is approved by the </w:t>
      </w:r>
      <w:r>
        <w:rPr>
          <w:i/>
          <w:sz w:val="24"/>
        </w:rPr>
        <w:t>AER </w:t>
      </w:r>
      <w:r>
        <w:rPr>
          <w:sz w:val="24"/>
        </w:rPr>
        <w:t>under this rule in order to facilitate the trading of MLO</w:t>
      </w:r>
      <w:r>
        <w:rPr>
          <w:spacing w:val="-3"/>
          <w:sz w:val="24"/>
        </w:rPr>
        <w:t> </w:t>
      </w:r>
      <w:r>
        <w:rPr>
          <w:sz w:val="24"/>
        </w:rPr>
        <w:t>products.</w:t>
      </w:r>
    </w:p>
    <w:p>
      <w:pPr>
        <w:pStyle w:val="ListParagraph"/>
        <w:numPr>
          <w:ilvl w:val="0"/>
          <w:numId w:val="131"/>
        </w:numPr>
        <w:tabs>
          <w:tab w:pos="1919" w:val="left" w:leader="none"/>
        </w:tabs>
        <w:spacing w:line="240" w:lineRule="auto" w:before="120" w:after="0"/>
        <w:ind w:left="1919" w:right="414" w:hanging="567"/>
        <w:jc w:val="both"/>
        <w:rPr>
          <w:sz w:val="24"/>
        </w:rPr>
      </w:pPr>
      <w:r>
        <w:rPr>
          <w:sz w:val="24"/>
        </w:rPr>
        <w:t>A person may apply to the </w:t>
      </w:r>
      <w:r>
        <w:rPr>
          <w:i/>
          <w:sz w:val="24"/>
        </w:rPr>
        <w:t>AER </w:t>
      </w:r>
      <w:r>
        <w:rPr>
          <w:sz w:val="24"/>
        </w:rPr>
        <w:t>for a trading facility it owns, operates or controls, to be approved by the </w:t>
      </w:r>
      <w:r>
        <w:rPr>
          <w:i/>
          <w:sz w:val="24"/>
        </w:rPr>
        <w:t>AER </w:t>
      </w:r>
      <w:r>
        <w:rPr>
          <w:sz w:val="24"/>
        </w:rPr>
        <w:t>as a MLO exchange in accordance with the MLO</w:t>
      </w:r>
      <w:r>
        <w:rPr>
          <w:spacing w:val="-2"/>
          <w:sz w:val="24"/>
        </w:rPr>
        <w:t> </w:t>
      </w:r>
      <w:r>
        <w:rPr>
          <w:sz w:val="24"/>
        </w:rPr>
        <w:t>Guidelines.</w:t>
      </w:r>
    </w:p>
    <w:p>
      <w:pPr>
        <w:pStyle w:val="ListParagraph"/>
        <w:numPr>
          <w:ilvl w:val="0"/>
          <w:numId w:val="131"/>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determine whether the applicant's trading facility is to be approved and designated as a MLO exchange, in accordance with the consultation process and procedure set out in the MLO</w:t>
      </w:r>
      <w:r>
        <w:rPr>
          <w:spacing w:val="-7"/>
          <w:sz w:val="24"/>
        </w:rPr>
        <w:t> </w:t>
      </w:r>
      <w:r>
        <w:rPr>
          <w:sz w:val="24"/>
        </w:rPr>
        <w:t>Guidelines.</w:t>
      </w:r>
    </w:p>
    <w:p>
      <w:pPr>
        <w:pStyle w:val="ListParagraph"/>
        <w:numPr>
          <w:ilvl w:val="0"/>
          <w:numId w:val="131"/>
        </w:numPr>
        <w:tabs>
          <w:tab w:pos="1919" w:val="left" w:leader="none"/>
        </w:tabs>
        <w:spacing w:line="240" w:lineRule="auto" w:before="120" w:after="0"/>
        <w:ind w:left="1919" w:right="414" w:hanging="567"/>
        <w:jc w:val="both"/>
        <w:rPr>
          <w:sz w:val="24"/>
        </w:rPr>
      </w:pPr>
      <w:r>
        <w:rPr>
          <w:sz w:val="24"/>
        </w:rPr>
        <w:t>In deciding whether to approve a trading facility, the </w:t>
      </w:r>
      <w:r>
        <w:rPr>
          <w:i/>
          <w:sz w:val="24"/>
        </w:rPr>
        <w:t>AER </w:t>
      </w:r>
      <w:r>
        <w:rPr>
          <w:sz w:val="24"/>
        </w:rPr>
        <w:t>must consider the following</w:t>
      </w:r>
      <w:r>
        <w:rPr>
          <w:spacing w:val="-1"/>
          <w:sz w:val="24"/>
        </w:rPr>
        <w:t> </w:t>
      </w:r>
      <w:r>
        <w:rPr>
          <w:sz w:val="24"/>
        </w:rPr>
        <w:t>criteria:</w:t>
      </w:r>
    </w:p>
    <w:p>
      <w:pPr>
        <w:pStyle w:val="ListParagraph"/>
        <w:numPr>
          <w:ilvl w:val="1"/>
          <w:numId w:val="131"/>
        </w:numPr>
        <w:tabs>
          <w:tab w:pos="2486" w:val="left" w:leader="none"/>
        </w:tabs>
        <w:spacing w:line="240" w:lineRule="auto" w:before="120" w:after="0"/>
        <w:ind w:left="2486" w:right="414" w:hanging="567"/>
        <w:jc w:val="both"/>
        <w:rPr>
          <w:sz w:val="24"/>
        </w:rPr>
      </w:pPr>
      <w:r>
        <w:rPr>
          <w:sz w:val="24"/>
        </w:rPr>
        <w:t>all MLO products (other than any MLO product approved under clause 4A.G.22(b)) are able to be bought and sold on the trading facility;</w:t>
      </w:r>
    </w:p>
    <w:p>
      <w:pPr>
        <w:pStyle w:val="ListParagraph"/>
        <w:numPr>
          <w:ilvl w:val="1"/>
          <w:numId w:val="131"/>
        </w:numPr>
        <w:tabs>
          <w:tab w:pos="2486" w:val="left" w:leader="none"/>
        </w:tabs>
        <w:spacing w:line="240" w:lineRule="auto" w:before="120" w:after="0"/>
        <w:ind w:left="2486" w:right="415" w:hanging="567"/>
        <w:jc w:val="both"/>
        <w:rPr>
          <w:sz w:val="24"/>
        </w:rPr>
      </w:pPr>
      <w:r>
        <w:rPr>
          <w:sz w:val="24"/>
        </w:rPr>
        <w:t>the trading facility has an adequate volume of trading and diversity of participants;</w:t>
      </w:r>
    </w:p>
    <w:p>
      <w:pPr>
        <w:pStyle w:val="ListParagraph"/>
        <w:numPr>
          <w:ilvl w:val="1"/>
          <w:numId w:val="131"/>
        </w:numPr>
        <w:tabs>
          <w:tab w:pos="2486" w:val="left" w:leader="none"/>
        </w:tabs>
        <w:spacing w:line="240" w:lineRule="auto" w:before="120" w:after="0"/>
        <w:ind w:left="2486" w:right="414" w:hanging="567"/>
        <w:jc w:val="both"/>
        <w:rPr>
          <w:sz w:val="24"/>
        </w:rPr>
      </w:pPr>
      <w:r>
        <w:rPr>
          <w:sz w:val="24"/>
        </w:rPr>
        <w:t>the rules of the trading facility include (or will include) appropriate rules to allow MLO generators to perform a liquidity</w:t>
      </w:r>
      <w:r>
        <w:rPr>
          <w:spacing w:val="-4"/>
          <w:sz w:val="24"/>
        </w:rPr>
        <w:t> </w:t>
      </w:r>
      <w:r>
        <w:rPr>
          <w:sz w:val="24"/>
        </w:rPr>
        <w:t>obligation;</w:t>
      </w:r>
    </w:p>
    <w:p>
      <w:pPr>
        <w:pStyle w:val="ListParagraph"/>
        <w:numPr>
          <w:ilvl w:val="1"/>
          <w:numId w:val="131"/>
        </w:numPr>
        <w:tabs>
          <w:tab w:pos="2486" w:val="left" w:leader="none"/>
        </w:tabs>
        <w:spacing w:line="240" w:lineRule="auto" w:before="120" w:after="0"/>
        <w:ind w:left="2485" w:right="0" w:hanging="567"/>
        <w:jc w:val="both"/>
        <w:rPr>
          <w:sz w:val="24"/>
        </w:rPr>
      </w:pPr>
      <w:r>
        <w:rPr>
          <w:sz w:val="24"/>
        </w:rPr>
        <w:t>the trading facility has appropriate credit and prudential</w:t>
      </w:r>
      <w:r>
        <w:rPr>
          <w:spacing w:val="-3"/>
          <w:sz w:val="24"/>
        </w:rPr>
        <w:t> </w:t>
      </w:r>
      <w:r>
        <w:rPr>
          <w:sz w:val="24"/>
        </w:rPr>
        <w:t>arrangements;</w:t>
      </w:r>
    </w:p>
    <w:p>
      <w:pPr>
        <w:pStyle w:val="ListParagraph"/>
        <w:numPr>
          <w:ilvl w:val="1"/>
          <w:numId w:val="131"/>
        </w:numPr>
        <w:tabs>
          <w:tab w:pos="2486" w:val="left" w:leader="none"/>
        </w:tabs>
        <w:spacing w:line="240" w:lineRule="auto" w:before="120" w:after="0"/>
        <w:ind w:left="2485" w:right="0" w:hanging="567"/>
        <w:jc w:val="both"/>
        <w:rPr>
          <w:sz w:val="24"/>
        </w:rPr>
      </w:pPr>
      <w:r>
        <w:rPr>
          <w:sz w:val="24"/>
        </w:rPr>
        <w:t>the costs and ease of trading on the trading facility are</w:t>
      </w:r>
      <w:r>
        <w:rPr>
          <w:spacing w:val="-3"/>
          <w:sz w:val="24"/>
        </w:rPr>
        <w:t> </w:t>
      </w:r>
      <w:r>
        <w:rPr>
          <w:sz w:val="24"/>
        </w:rPr>
        <w:t>reasonable;</w:t>
      </w:r>
    </w:p>
    <w:p>
      <w:pPr>
        <w:pStyle w:val="ListParagraph"/>
        <w:numPr>
          <w:ilvl w:val="1"/>
          <w:numId w:val="131"/>
        </w:numPr>
        <w:tabs>
          <w:tab w:pos="2486" w:val="left" w:leader="none"/>
        </w:tabs>
        <w:spacing w:line="240" w:lineRule="auto" w:before="120" w:after="0"/>
        <w:ind w:left="2486" w:right="414" w:hanging="567"/>
        <w:jc w:val="both"/>
        <w:rPr>
          <w:sz w:val="24"/>
        </w:rPr>
      </w:pPr>
      <w:r>
        <w:rPr>
          <w:sz w:val="24"/>
        </w:rPr>
        <w:t>the </w:t>
      </w:r>
      <w:r>
        <w:rPr>
          <w:i/>
          <w:sz w:val="24"/>
        </w:rPr>
        <w:t>AER </w:t>
      </w:r>
      <w:r>
        <w:rPr>
          <w:sz w:val="24"/>
        </w:rPr>
        <w:t>has a reasonable expectation that the relevant MLO products will be traded on the trading</w:t>
      </w:r>
      <w:r>
        <w:rPr>
          <w:spacing w:val="-2"/>
          <w:sz w:val="24"/>
        </w:rPr>
        <w:t> </w:t>
      </w:r>
      <w:r>
        <w:rPr>
          <w:sz w:val="24"/>
        </w:rPr>
        <w:t>facility;</w:t>
      </w:r>
    </w:p>
    <w:p>
      <w:pPr>
        <w:pStyle w:val="ListParagraph"/>
        <w:numPr>
          <w:ilvl w:val="1"/>
          <w:numId w:val="131"/>
        </w:numPr>
        <w:tabs>
          <w:tab w:pos="2486" w:val="left" w:leader="none"/>
        </w:tabs>
        <w:spacing w:line="240" w:lineRule="auto" w:before="120" w:after="0"/>
        <w:ind w:left="2486" w:right="415" w:hanging="567"/>
        <w:jc w:val="both"/>
        <w:rPr>
          <w:sz w:val="24"/>
        </w:rPr>
      </w:pPr>
      <w:r>
        <w:rPr>
          <w:sz w:val="24"/>
        </w:rPr>
        <w:t>the operator of the trading facility can provide relevant trading data </w:t>
      </w:r>
      <w:r>
        <w:rPr>
          <w:spacing w:val="-6"/>
          <w:sz w:val="24"/>
        </w:rPr>
        <w:t>to </w:t>
      </w:r>
      <w:r>
        <w:rPr>
          <w:sz w:val="24"/>
        </w:rPr>
        <w:t>the </w:t>
      </w:r>
      <w:r>
        <w:rPr>
          <w:i/>
          <w:sz w:val="24"/>
        </w:rPr>
        <w:t>AER </w:t>
      </w:r>
      <w:r>
        <w:rPr>
          <w:sz w:val="24"/>
        </w:rPr>
        <w:t>when requested, for the purposes of monitoring compliance with Division</w:t>
      </w:r>
      <w:r>
        <w:rPr>
          <w:spacing w:val="-3"/>
          <w:sz w:val="24"/>
        </w:rPr>
        <w:t> </w:t>
      </w:r>
      <w:r>
        <w:rPr>
          <w:sz w:val="24"/>
        </w:rPr>
        <w:t>8;</w:t>
      </w:r>
    </w:p>
    <w:p>
      <w:pPr>
        <w:pStyle w:val="ListParagraph"/>
        <w:numPr>
          <w:ilvl w:val="1"/>
          <w:numId w:val="131"/>
        </w:numPr>
        <w:tabs>
          <w:tab w:pos="2486" w:val="left" w:leader="none"/>
        </w:tabs>
        <w:spacing w:line="240" w:lineRule="auto" w:before="120" w:after="0"/>
        <w:ind w:left="2486" w:right="414" w:hanging="567"/>
        <w:jc w:val="both"/>
        <w:rPr>
          <w:sz w:val="24"/>
        </w:rPr>
      </w:pPr>
      <w:r>
        <w:rPr>
          <w:sz w:val="24"/>
        </w:rPr>
        <w:t>the operator of the trading facility holds all licences and approvals required by law to operate the trading facility;</w:t>
      </w:r>
      <w:r>
        <w:rPr>
          <w:spacing w:val="-1"/>
          <w:sz w:val="24"/>
        </w:rPr>
        <w:t> </w:t>
      </w:r>
      <w:r>
        <w:rPr>
          <w:sz w:val="24"/>
        </w:rPr>
        <w:t>and</w:t>
      </w:r>
    </w:p>
    <w:p>
      <w:pPr>
        <w:pStyle w:val="ListParagraph"/>
        <w:numPr>
          <w:ilvl w:val="1"/>
          <w:numId w:val="131"/>
        </w:numPr>
        <w:tabs>
          <w:tab w:pos="2486" w:val="left" w:leader="none"/>
        </w:tabs>
        <w:spacing w:line="240" w:lineRule="auto" w:before="120" w:after="0"/>
        <w:ind w:left="2485" w:right="0" w:hanging="567"/>
        <w:jc w:val="both"/>
        <w:rPr>
          <w:sz w:val="24"/>
        </w:rPr>
      </w:pPr>
      <w:r>
        <w:rPr>
          <w:sz w:val="24"/>
        </w:rPr>
        <w:t>any other relevant criteria set out in the MLO</w:t>
      </w:r>
      <w:r>
        <w:rPr>
          <w:spacing w:val="-5"/>
          <w:sz w:val="24"/>
        </w:rPr>
        <w:t> </w:t>
      </w:r>
      <w:r>
        <w:rPr>
          <w:sz w:val="24"/>
        </w:rPr>
        <w:t>Guidelines.</w:t>
      </w:r>
    </w:p>
    <w:p>
      <w:pPr>
        <w:pStyle w:val="ListParagraph"/>
        <w:numPr>
          <w:ilvl w:val="0"/>
          <w:numId w:val="13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establish, maintain and </w:t>
      </w:r>
      <w:r>
        <w:rPr>
          <w:i/>
          <w:sz w:val="24"/>
        </w:rPr>
        <w:t>publish </w:t>
      </w:r>
      <w:r>
        <w:rPr>
          <w:sz w:val="24"/>
        </w:rPr>
        <w:t>a register of approved MLO exchanges.</w:t>
      </w:r>
    </w:p>
    <w:p>
      <w:pPr>
        <w:spacing w:after="0" w:line="240" w:lineRule="auto"/>
        <w:jc w:val="both"/>
        <w:rPr>
          <w:sz w:val="24"/>
        </w:rPr>
        <w:sectPr>
          <w:pgSz w:w="11910" w:h="16840"/>
          <w:pgMar w:header="686" w:footer="637" w:top="1320" w:bottom="820" w:left="1200" w:right="1000"/>
        </w:sectPr>
      </w:pPr>
    </w:p>
    <w:p>
      <w:pPr>
        <w:pStyle w:val="ListParagraph"/>
        <w:numPr>
          <w:ilvl w:val="0"/>
          <w:numId w:val="131"/>
        </w:numPr>
        <w:tabs>
          <w:tab w:pos="1920" w:val="left" w:leader="none"/>
        </w:tabs>
        <w:spacing w:line="240" w:lineRule="auto" w:before="83" w:after="0"/>
        <w:ind w:left="1919" w:right="414" w:hanging="567"/>
        <w:jc w:val="both"/>
        <w:rPr>
          <w:sz w:val="24"/>
        </w:rPr>
      </w:pPr>
      <w:r>
        <w:rPr>
          <w:sz w:val="24"/>
        </w:rPr>
        <w:t>The </w:t>
      </w:r>
      <w:r>
        <w:rPr>
          <w:i/>
          <w:sz w:val="24"/>
        </w:rPr>
        <w:t>AER </w:t>
      </w:r>
      <w:r>
        <w:rPr>
          <w:sz w:val="24"/>
        </w:rPr>
        <w:t>must conduct annual reviews of each MLO exchange and may revoke registration of any MLO exchange if the </w:t>
      </w:r>
      <w:r>
        <w:rPr>
          <w:i/>
          <w:sz w:val="24"/>
        </w:rPr>
        <w:t>AER </w:t>
      </w:r>
      <w:r>
        <w:rPr>
          <w:sz w:val="24"/>
        </w:rPr>
        <w:t>determines that a MLO exchange no longer satisfies the criteria set out in this</w:t>
      </w:r>
      <w:r>
        <w:rPr>
          <w:spacing w:val="-9"/>
          <w:sz w:val="24"/>
        </w:rPr>
        <w:t> </w:t>
      </w:r>
      <w:r>
        <w:rPr>
          <w:sz w:val="24"/>
        </w:rPr>
        <w:t>clause.</w:t>
      </w:r>
    </w:p>
    <w:p>
      <w:pPr>
        <w:pStyle w:val="BodyText"/>
        <w:spacing w:before="10"/>
        <w:ind w:firstLine="0"/>
        <w:jc w:val="left"/>
        <w:rPr>
          <w:sz w:val="20"/>
        </w:rPr>
      </w:pPr>
    </w:p>
    <w:p>
      <w:pPr>
        <w:pStyle w:val="Heading3"/>
        <w:ind w:left="218" w:firstLine="0"/>
      </w:pPr>
      <w:bookmarkStart w:name="Division 10 Miscellaneous" w:id="304"/>
      <w:bookmarkEnd w:id="304"/>
      <w:r>
        <w:rPr>
          <w:b w:val="0"/>
        </w:rPr>
      </w:r>
      <w:bookmarkStart w:name="_bookmark135" w:id="305"/>
      <w:bookmarkEnd w:id="305"/>
      <w:r>
        <w:rPr>
          <w:b w:val="0"/>
        </w:rPr>
      </w:r>
      <w:r>
        <w:rPr/>
        <w:t>Division 10 Miscellaneous</w:t>
      </w:r>
    </w:p>
    <w:p>
      <w:pPr>
        <w:pStyle w:val="Heading4"/>
        <w:tabs>
          <w:tab w:pos="1351" w:val="left" w:leader="none"/>
        </w:tabs>
        <w:spacing w:before="240"/>
        <w:ind w:left="218" w:firstLine="0"/>
      </w:pPr>
      <w:bookmarkStart w:name="4A.G.24 MLO compliance and reporting" w:id="306"/>
      <w:bookmarkEnd w:id="306"/>
      <w:r>
        <w:rPr>
          <w:b w:val="0"/>
        </w:rPr>
      </w:r>
      <w:bookmarkStart w:name="_bookmark136" w:id="307"/>
      <w:bookmarkEnd w:id="307"/>
      <w:r>
        <w:rPr>
          <w:b w:val="0"/>
        </w:rPr>
      </w:r>
      <w:r>
        <w:rPr/>
        <w:t>4A.G.24</w:t>
        <w:tab/>
        <w:t>MLO compliance and</w:t>
      </w:r>
      <w:r>
        <w:rPr>
          <w:spacing w:val="-2"/>
        </w:rPr>
        <w:t> </w:t>
      </w:r>
      <w:r>
        <w:rPr/>
        <w:t>reporting</w:t>
      </w:r>
    </w:p>
    <w:p>
      <w:pPr>
        <w:pStyle w:val="ListParagraph"/>
        <w:numPr>
          <w:ilvl w:val="0"/>
          <w:numId w:val="132"/>
        </w:numPr>
        <w:tabs>
          <w:tab w:pos="1919" w:val="left" w:leader="none"/>
        </w:tabs>
        <w:spacing w:line="240" w:lineRule="auto" w:before="120" w:after="0"/>
        <w:ind w:left="1919" w:right="415" w:hanging="567"/>
        <w:jc w:val="both"/>
        <w:rPr>
          <w:sz w:val="24"/>
        </w:rPr>
      </w:pPr>
      <w:r>
        <w:rPr>
          <w:sz w:val="24"/>
        </w:rPr>
        <w:t>For the purposes of monitoring and reporting on compliance with a liquidity obligation, a MLO generator is designated to be a regulated entity </w:t>
      </w:r>
      <w:r>
        <w:rPr>
          <w:spacing w:val="-4"/>
          <w:sz w:val="24"/>
        </w:rPr>
        <w:t>(as </w:t>
      </w:r>
      <w:r>
        <w:rPr>
          <w:sz w:val="24"/>
        </w:rPr>
        <w:t>defined in section 18ZA(2) of the </w:t>
      </w:r>
      <w:r>
        <w:rPr>
          <w:i/>
          <w:sz w:val="24"/>
        </w:rPr>
        <w:t>National Electricity</w:t>
      </w:r>
      <w:r>
        <w:rPr>
          <w:i/>
          <w:spacing w:val="-4"/>
          <w:sz w:val="24"/>
        </w:rPr>
        <w:t> </w:t>
      </w:r>
      <w:r>
        <w:rPr>
          <w:i/>
          <w:sz w:val="24"/>
        </w:rPr>
        <w:t>Law</w:t>
      </w:r>
      <w:r>
        <w:rPr>
          <w:sz w:val="24"/>
        </w:rPr>
        <w:t>).</w:t>
      </w:r>
    </w:p>
    <w:p>
      <w:pPr>
        <w:pStyle w:val="ListParagraph"/>
        <w:numPr>
          <w:ilvl w:val="0"/>
          <w:numId w:val="132"/>
        </w:numPr>
        <w:tabs>
          <w:tab w:pos="1919" w:val="left" w:leader="none"/>
        </w:tabs>
        <w:spacing w:line="240" w:lineRule="auto" w:before="120" w:after="0"/>
        <w:ind w:left="1919" w:right="415" w:hanging="567"/>
        <w:jc w:val="both"/>
        <w:rPr>
          <w:sz w:val="24"/>
        </w:rPr>
      </w:pPr>
      <w:r>
        <w:rPr>
          <w:sz w:val="24"/>
        </w:rPr>
        <w:t>For the purposes of a MLO generator's obligations under sections 18ZC, 18ZD and any compliance audit conducted under sections 18ZE or 18ZF of the </w:t>
      </w:r>
      <w:r>
        <w:rPr>
          <w:i/>
          <w:sz w:val="24"/>
        </w:rPr>
        <w:t>National Electricity Law</w:t>
      </w:r>
      <w:r>
        <w:rPr>
          <w:sz w:val="24"/>
        </w:rPr>
        <w:t>, a MLO generator must ensure that it, or the </w:t>
      </w:r>
      <w:r>
        <w:rPr>
          <w:i/>
          <w:sz w:val="24"/>
        </w:rPr>
        <w:t>AER</w:t>
      </w:r>
      <w:r>
        <w:rPr>
          <w:sz w:val="24"/>
        </w:rPr>
        <w:t>, has access to any information relating to that MLO generator's compliance with a liquidity obligation, regardless of whether that information is held by a trading right holder, MLO nominee or an agent acting on the instructions of that MLO</w:t>
      </w:r>
      <w:r>
        <w:rPr>
          <w:spacing w:val="-2"/>
          <w:sz w:val="24"/>
        </w:rPr>
        <w:t> </w:t>
      </w:r>
      <w:r>
        <w:rPr>
          <w:sz w:val="24"/>
        </w:rPr>
        <w:t>nominee.</w:t>
      </w:r>
    </w:p>
    <w:p>
      <w:pPr>
        <w:pStyle w:val="BodyText"/>
        <w:spacing w:before="10"/>
        <w:ind w:firstLine="0"/>
        <w:jc w:val="left"/>
        <w:rPr>
          <w:sz w:val="20"/>
        </w:rPr>
      </w:pPr>
    </w:p>
    <w:p>
      <w:pPr>
        <w:pStyle w:val="Heading4"/>
        <w:tabs>
          <w:tab w:pos="1351" w:val="left" w:leader="none"/>
        </w:tabs>
        <w:ind w:left="218" w:firstLine="0"/>
      </w:pPr>
      <w:bookmarkStart w:name="4A.G.25 MLO Guidelines" w:id="308"/>
      <w:bookmarkEnd w:id="308"/>
      <w:r>
        <w:rPr>
          <w:b w:val="0"/>
        </w:rPr>
      </w:r>
      <w:bookmarkStart w:name="_bookmark137" w:id="309"/>
      <w:bookmarkEnd w:id="309"/>
      <w:r>
        <w:rPr>
          <w:b w:val="0"/>
        </w:rPr>
      </w:r>
      <w:r>
        <w:rPr/>
        <w:t>4A.G.25</w:t>
        <w:tab/>
        <w:t>MLO</w:t>
      </w:r>
      <w:r>
        <w:rPr>
          <w:spacing w:val="-1"/>
        </w:rPr>
        <w:t> </w:t>
      </w:r>
      <w:r>
        <w:rPr/>
        <w:t>Guidelines</w:t>
      </w:r>
    </w:p>
    <w:p>
      <w:pPr>
        <w:pStyle w:val="ListParagraph"/>
        <w:numPr>
          <w:ilvl w:val="0"/>
          <w:numId w:val="133"/>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w:t>
      </w:r>
      <w:r>
        <w:rPr>
          <w:i/>
          <w:sz w:val="24"/>
        </w:rPr>
        <w:t>publish </w:t>
      </w:r>
      <w:r>
        <w:rPr>
          <w:sz w:val="24"/>
        </w:rPr>
        <w:t>and may amend the MLO Guidelines in accordance with the </w:t>
      </w:r>
      <w:r>
        <w:rPr>
          <w:i/>
          <w:sz w:val="24"/>
        </w:rPr>
        <w:t>Rules consultation</w:t>
      </w:r>
      <w:r>
        <w:rPr>
          <w:i/>
          <w:spacing w:val="-2"/>
          <w:sz w:val="24"/>
        </w:rPr>
        <w:t> </w:t>
      </w:r>
      <w:r>
        <w:rPr>
          <w:i/>
          <w:sz w:val="24"/>
        </w:rPr>
        <w:t>procedures</w:t>
      </w:r>
      <w:r>
        <w:rPr>
          <w:sz w:val="24"/>
        </w:rPr>
        <w:t>.</w:t>
      </w:r>
    </w:p>
    <w:p>
      <w:pPr>
        <w:pStyle w:val="ListParagraph"/>
        <w:numPr>
          <w:ilvl w:val="0"/>
          <w:numId w:val="133"/>
        </w:numPr>
        <w:tabs>
          <w:tab w:pos="1919" w:val="left" w:leader="none"/>
        </w:tabs>
        <w:spacing w:line="240" w:lineRule="auto" w:before="120" w:after="0"/>
        <w:ind w:left="1918" w:right="0" w:hanging="567"/>
        <w:jc w:val="both"/>
        <w:rPr>
          <w:sz w:val="24"/>
        </w:rPr>
      </w:pPr>
      <w:r>
        <w:rPr>
          <w:sz w:val="24"/>
        </w:rPr>
        <w:t>The MLO Guidelines must address the following</w:t>
      </w:r>
      <w:r>
        <w:rPr>
          <w:spacing w:val="-3"/>
          <w:sz w:val="24"/>
        </w:rPr>
        <w:t> </w:t>
      </w:r>
      <w:r>
        <w:rPr>
          <w:sz w:val="24"/>
        </w:rPr>
        <w:t>matters:</w:t>
      </w:r>
    </w:p>
    <w:p>
      <w:pPr>
        <w:pStyle w:val="ListParagraph"/>
        <w:numPr>
          <w:ilvl w:val="1"/>
          <w:numId w:val="133"/>
        </w:numPr>
        <w:tabs>
          <w:tab w:pos="2486" w:val="left" w:leader="none"/>
        </w:tabs>
        <w:spacing w:line="240" w:lineRule="auto" w:before="120" w:after="0"/>
        <w:ind w:left="2486" w:right="415" w:hanging="567"/>
        <w:jc w:val="both"/>
        <w:rPr>
          <w:sz w:val="24"/>
        </w:rPr>
      </w:pPr>
      <w:r>
        <w:rPr>
          <w:sz w:val="24"/>
        </w:rPr>
        <w:t>the methodology and process for determining what parcel of a </w:t>
      </w:r>
      <w:r>
        <w:rPr>
          <w:i/>
          <w:sz w:val="24"/>
        </w:rPr>
        <w:t>Market </w:t>
      </w:r>
      <w:r>
        <w:rPr>
          <w:i/>
          <w:sz w:val="24"/>
        </w:rPr>
        <w:t>Generator's </w:t>
      </w:r>
      <w:r>
        <w:rPr>
          <w:sz w:val="24"/>
        </w:rPr>
        <w:t>generator capacity is held by a trading right</w:t>
      </w:r>
      <w:r>
        <w:rPr>
          <w:spacing w:val="-8"/>
          <w:sz w:val="24"/>
        </w:rPr>
        <w:t> </w:t>
      </w:r>
      <w:r>
        <w:rPr>
          <w:sz w:val="24"/>
        </w:rPr>
        <w:t>holder;</w:t>
      </w:r>
    </w:p>
    <w:p>
      <w:pPr>
        <w:pStyle w:val="ListParagraph"/>
        <w:numPr>
          <w:ilvl w:val="1"/>
          <w:numId w:val="133"/>
        </w:numPr>
        <w:tabs>
          <w:tab w:pos="2486" w:val="left" w:leader="none"/>
        </w:tabs>
        <w:spacing w:line="240" w:lineRule="auto" w:before="120" w:after="0"/>
        <w:ind w:left="2486" w:right="415" w:hanging="567"/>
        <w:jc w:val="both"/>
        <w:rPr>
          <w:sz w:val="24"/>
        </w:rPr>
      </w:pPr>
      <w:r>
        <w:rPr>
          <w:sz w:val="24"/>
        </w:rPr>
        <w:t>the methodology and process for allocating a </w:t>
      </w:r>
      <w:r>
        <w:rPr>
          <w:i/>
          <w:sz w:val="24"/>
        </w:rPr>
        <w:t>Market Generator's </w:t>
      </w:r>
      <w:r>
        <w:rPr>
          <w:sz w:val="24"/>
        </w:rPr>
        <w:t>generator capacity to one or more trading groups under clause 4A.G.8, and any supporting material a </w:t>
      </w:r>
      <w:r>
        <w:rPr>
          <w:i/>
          <w:sz w:val="24"/>
        </w:rPr>
        <w:t>Market Generator </w:t>
      </w:r>
      <w:r>
        <w:rPr>
          <w:sz w:val="24"/>
        </w:rPr>
        <w:t>must provide when notifying the </w:t>
      </w:r>
      <w:r>
        <w:rPr>
          <w:i/>
          <w:sz w:val="24"/>
        </w:rPr>
        <w:t>AER </w:t>
      </w:r>
      <w:r>
        <w:rPr>
          <w:sz w:val="24"/>
        </w:rPr>
        <w:t>of an</w:t>
      </w:r>
      <w:r>
        <w:rPr>
          <w:spacing w:val="-1"/>
          <w:sz w:val="24"/>
        </w:rPr>
        <w:t> </w:t>
      </w:r>
      <w:r>
        <w:rPr>
          <w:sz w:val="24"/>
        </w:rPr>
        <w:t>allocation;</w:t>
      </w:r>
    </w:p>
    <w:p>
      <w:pPr>
        <w:pStyle w:val="ListParagraph"/>
        <w:numPr>
          <w:ilvl w:val="1"/>
          <w:numId w:val="133"/>
        </w:numPr>
        <w:tabs>
          <w:tab w:pos="2486" w:val="left" w:leader="none"/>
        </w:tabs>
        <w:spacing w:line="240" w:lineRule="auto" w:before="120" w:after="0"/>
        <w:ind w:left="2486" w:right="415" w:hanging="567"/>
        <w:jc w:val="both"/>
        <w:rPr>
          <w:sz w:val="24"/>
        </w:rPr>
      </w:pPr>
      <w:r>
        <w:rPr>
          <w:sz w:val="24"/>
        </w:rPr>
        <w:t>the process by which the </w:t>
      </w:r>
      <w:r>
        <w:rPr>
          <w:i/>
          <w:sz w:val="24"/>
        </w:rPr>
        <w:t>AER </w:t>
      </w:r>
      <w:r>
        <w:rPr>
          <w:sz w:val="24"/>
        </w:rPr>
        <w:t>must establish, maintain and update the MLO register, and the information the </w:t>
      </w:r>
      <w:r>
        <w:rPr>
          <w:i/>
          <w:sz w:val="24"/>
        </w:rPr>
        <w:t>AER </w:t>
      </w:r>
      <w:r>
        <w:rPr>
          <w:sz w:val="24"/>
        </w:rPr>
        <w:t>must </w:t>
      </w:r>
      <w:r>
        <w:rPr>
          <w:i/>
          <w:sz w:val="24"/>
        </w:rPr>
        <w:t>publish </w:t>
      </w:r>
      <w:r>
        <w:rPr>
          <w:sz w:val="24"/>
        </w:rPr>
        <w:t>on the MLO register;</w:t>
      </w:r>
    </w:p>
    <w:p>
      <w:pPr>
        <w:pStyle w:val="ListParagraph"/>
        <w:numPr>
          <w:ilvl w:val="1"/>
          <w:numId w:val="133"/>
        </w:numPr>
        <w:tabs>
          <w:tab w:pos="2486" w:val="left" w:leader="none"/>
        </w:tabs>
        <w:spacing w:line="240" w:lineRule="auto" w:before="120" w:after="0"/>
        <w:ind w:left="2485" w:right="0" w:hanging="567"/>
        <w:jc w:val="both"/>
        <w:rPr>
          <w:sz w:val="24"/>
        </w:rPr>
      </w:pPr>
      <w:r>
        <w:rPr>
          <w:sz w:val="24"/>
        </w:rPr>
        <w:t>the</w:t>
      </w:r>
      <w:r>
        <w:rPr>
          <w:spacing w:val="10"/>
          <w:sz w:val="24"/>
        </w:rPr>
        <w:t> </w:t>
      </w:r>
      <w:r>
        <w:rPr>
          <w:sz w:val="24"/>
        </w:rPr>
        <w:t>information</w:t>
      </w:r>
      <w:r>
        <w:rPr>
          <w:spacing w:val="10"/>
          <w:sz w:val="24"/>
        </w:rPr>
        <w:t> </w:t>
      </w:r>
      <w:r>
        <w:rPr>
          <w:sz w:val="24"/>
        </w:rPr>
        <w:t>that</w:t>
      </w:r>
      <w:r>
        <w:rPr>
          <w:spacing w:val="11"/>
          <w:sz w:val="24"/>
        </w:rPr>
        <w:t> </w:t>
      </w:r>
      <w:r>
        <w:rPr>
          <w:sz w:val="24"/>
        </w:rPr>
        <w:t>each</w:t>
      </w:r>
      <w:r>
        <w:rPr>
          <w:spacing w:val="10"/>
          <w:sz w:val="24"/>
        </w:rPr>
        <w:t> </w:t>
      </w:r>
      <w:r>
        <w:rPr>
          <w:i/>
          <w:sz w:val="24"/>
        </w:rPr>
        <w:t>Market</w:t>
      </w:r>
      <w:r>
        <w:rPr>
          <w:i/>
          <w:spacing w:val="10"/>
          <w:sz w:val="24"/>
        </w:rPr>
        <w:t> </w:t>
      </w:r>
      <w:r>
        <w:rPr>
          <w:i/>
          <w:sz w:val="24"/>
        </w:rPr>
        <w:t>Generator</w:t>
      </w:r>
      <w:r>
        <w:rPr>
          <w:i/>
          <w:spacing w:val="11"/>
          <w:sz w:val="24"/>
        </w:rPr>
        <w:t> </w:t>
      </w:r>
      <w:r>
        <w:rPr>
          <w:sz w:val="24"/>
        </w:rPr>
        <w:t>is</w:t>
      </w:r>
      <w:r>
        <w:rPr>
          <w:spacing w:val="10"/>
          <w:sz w:val="24"/>
        </w:rPr>
        <w:t> </w:t>
      </w:r>
      <w:r>
        <w:rPr>
          <w:sz w:val="24"/>
        </w:rPr>
        <w:t>required</w:t>
      </w:r>
      <w:r>
        <w:rPr>
          <w:spacing w:val="11"/>
          <w:sz w:val="24"/>
        </w:rPr>
        <w:t> </w:t>
      </w:r>
      <w:r>
        <w:rPr>
          <w:sz w:val="24"/>
        </w:rPr>
        <w:t>to</w:t>
      </w:r>
      <w:r>
        <w:rPr>
          <w:spacing w:val="10"/>
          <w:sz w:val="24"/>
        </w:rPr>
        <w:t> </w:t>
      </w:r>
      <w:r>
        <w:rPr>
          <w:sz w:val="24"/>
        </w:rPr>
        <w:t>provide</w:t>
      </w:r>
      <w:r>
        <w:rPr>
          <w:spacing w:val="10"/>
          <w:sz w:val="24"/>
        </w:rPr>
        <w:t> </w:t>
      </w:r>
      <w:r>
        <w:rPr>
          <w:sz w:val="24"/>
        </w:rPr>
        <w:t>the</w:t>
      </w:r>
    </w:p>
    <w:p>
      <w:pPr>
        <w:pStyle w:val="BodyText"/>
        <w:spacing w:before="0"/>
        <w:ind w:left="2486" w:firstLine="0"/>
      </w:pPr>
      <w:r>
        <w:rPr>
          <w:i/>
        </w:rPr>
        <w:t>AER </w:t>
      </w:r>
      <w:r>
        <w:rPr/>
        <w:t>under clause 4A.G.13;</w:t>
      </w:r>
    </w:p>
    <w:p>
      <w:pPr>
        <w:pStyle w:val="ListParagraph"/>
        <w:numPr>
          <w:ilvl w:val="1"/>
          <w:numId w:val="133"/>
        </w:numPr>
        <w:tabs>
          <w:tab w:pos="2486" w:val="left" w:leader="none"/>
        </w:tabs>
        <w:spacing w:line="240" w:lineRule="auto" w:before="120" w:after="0"/>
        <w:ind w:left="2486" w:right="415" w:hanging="567"/>
        <w:jc w:val="both"/>
        <w:rPr>
          <w:sz w:val="24"/>
        </w:rPr>
      </w:pPr>
      <w:r>
        <w:rPr>
          <w:sz w:val="24"/>
        </w:rPr>
        <w:t>the form and content of, and process for, submitting an application under clause 4A.G.14, including any supporting material which must be submitted with the</w:t>
      </w:r>
      <w:r>
        <w:rPr>
          <w:spacing w:val="-2"/>
          <w:sz w:val="24"/>
        </w:rPr>
        <w:t> </w:t>
      </w:r>
      <w:r>
        <w:rPr>
          <w:sz w:val="24"/>
        </w:rPr>
        <w:t>application;</w:t>
      </w:r>
    </w:p>
    <w:p>
      <w:pPr>
        <w:pStyle w:val="ListParagraph"/>
        <w:numPr>
          <w:ilvl w:val="1"/>
          <w:numId w:val="133"/>
        </w:numPr>
        <w:tabs>
          <w:tab w:pos="2486" w:val="left" w:leader="none"/>
        </w:tabs>
        <w:spacing w:line="240" w:lineRule="auto" w:before="120" w:after="0"/>
        <w:ind w:left="2486" w:right="414" w:hanging="567"/>
        <w:jc w:val="both"/>
        <w:rPr>
          <w:sz w:val="24"/>
        </w:rPr>
      </w:pPr>
      <w:r>
        <w:rPr>
          <w:sz w:val="24"/>
        </w:rPr>
        <w:t>the information to be included in, and the form of, a notice of</w:t>
      </w:r>
      <w:r>
        <w:rPr>
          <w:spacing w:val="18"/>
          <w:sz w:val="24"/>
        </w:rPr>
        <w:t> </w:t>
      </w:r>
      <w:r>
        <w:rPr>
          <w:sz w:val="24"/>
        </w:rPr>
        <w:t>a potential liquidity period, or the commencement or conclusion of </w:t>
      </w:r>
      <w:r>
        <w:rPr>
          <w:spacing w:val="-12"/>
          <w:sz w:val="24"/>
        </w:rPr>
        <w:t>a </w:t>
      </w:r>
      <w:r>
        <w:rPr>
          <w:sz w:val="24"/>
        </w:rPr>
        <w:t>liquidity period issued under clauses 4A.G.15 or</w:t>
      </w:r>
      <w:r>
        <w:rPr>
          <w:spacing w:val="-1"/>
          <w:sz w:val="24"/>
        </w:rPr>
        <w:t> </w:t>
      </w:r>
      <w:r>
        <w:rPr>
          <w:sz w:val="24"/>
        </w:rPr>
        <w:t>4A.G.16;</w:t>
      </w:r>
    </w:p>
    <w:p>
      <w:pPr>
        <w:pStyle w:val="ListParagraph"/>
        <w:numPr>
          <w:ilvl w:val="1"/>
          <w:numId w:val="133"/>
        </w:numPr>
        <w:tabs>
          <w:tab w:pos="2486" w:val="left" w:leader="none"/>
        </w:tabs>
        <w:spacing w:line="240" w:lineRule="auto" w:before="120" w:after="0"/>
        <w:ind w:left="2486" w:right="416" w:hanging="567"/>
        <w:jc w:val="both"/>
        <w:rPr>
          <w:sz w:val="24"/>
        </w:rPr>
      </w:pPr>
      <w:r>
        <w:rPr>
          <w:sz w:val="24"/>
        </w:rPr>
        <w:t>the process for registering and appointing MLO nominees under clause 4A.G.20;</w:t>
      </w:r>
    </w:p>
    <w:p>
      <w:pPr>
        <w:pStyle w:val="ListParagraph"/>
        <w:numPr>
          <w:ilvl w:val="1"/>
          <w:numId w:val="133"/>
        </w:numPr>
        <w:tabs>
          <w:tab w:pos="2486" w:val="left" w:leader="none"/>
        </w:tabs>
        <w:spacing w:line="240" w:lineRule="auto" w:before="120" w:after="0"/>
        <w:ind w:left="2486" w:right="414" w:hanging="567"/>
        <w:jc w:val="both"/>
        <w:rPr>
          <w:sz w:val="24"/>
        </w:rPr>
      </w:pPr>
      <w:r>
        <w:rPr>
          <w:sz w:val="24"/>
        </w:rPr>
        <w:t>any circumstances in which a MLO generator is not required to perform its liquidity obligation, as contemplated under clause 4A.G.21;</w:t>
      </w:r>
    </w:p>
    <w:p>
      <w:pPr>
        <w:spacing w:after="0" w:line="240" w:lineRule="auto"/>
        <w:jc w:val="both"/>
        <w:rPr>
          <w:sz w:val="24"/>
        </w:rPr>
        <w:sectPr>
          <w:pgSz w:w="11910" w:h="16840"/>
          <w:pgMar w:header="686" w:footer="637" w:top="1320" w:bottom="820" w:left="1200" w:right="1000"/>
        </w:sectPr>
      </w:pPr>
    </w:p>
    <w:p>
      <w:pPr>
        <w:pStyle w:val="ListParagraph"/>
        <w:numPr>
          <w:ilvl w:val="1"/>
          <w:numId w:val="133"/>
        </w:numPr>
        <w:tabs>
          <w:tab w:pos="2486" w:val="left" w:leader="none"/>
        </w:tabs>
        <w:spacing w:line="240" w:lineRule="auto" w:before="83" w:after="0"/>
        <w:ind w:left="2486" w:right="415" w:hanging="567"/>
        <w:jc w:val="both"/>
        <w:rPr>
          <w:sz w:val="24"/>
        </w:rPr>
      </w:pPr>
      <w:r>
        <w:rPr>
          <w:sz w:val="24"/>
        </w:rPr>
        <w:t>the circumstances in which the </w:t>
      </w:r>
      <w:r>
        <w:rPr>
          <w:i/>
          <w:sz w:val="24"/>
        </w:rPr>
        <w:t>AER </w:t>
      </w:r>
      <w:r>
        <w:rPr>
          <w:sz w:val="24"/>
        </w:rPr>
        <w:t>may approve other products as MLO products under clause 4A.G.22 which do not otherwise satisfy the criteria set out at clause 4A.G.22(a);</w:t>
      </w:r>
      <w:r>
        <w:rPr>
          <w:spacing w:val="-3"/>
          <w:sz w:val="24"/>
        </w:rPr>
        <w:t> </w:t>
      </w:r>
      <w:r>
        <w:rPr>
          <w:sz w:val="24"/>
        </w:rPr>
        <w:t>and</w:t>
      </w:r>
    </w:p>
    <w:p>
      <w:pPr>
        <w:pStyle w:val="ListParagraph"/>
        <w:numPr>
          <w:ilvl w:val="1"/>
          <w:numId w:val="133"/>
        </w:numPr>
        <w:tabs>
          <w:tab w:pos="2486" w:val="left" w:leader="none"/>
        </w:tabs>
        <w:spacing w:line="240" w:lineRule="auto" w:before="120" w:after="0"/>
        <w:ind w:left="2485" w:right="0" w:hanging="567"/>
        <w:jc w:val="both"/>
        <w:rPr>
          <w:sz w:val="24"/>
        </w:rPr>
      </w:pPr>
      <w:r>
        <w:rPr>
          <w:sz w:val="24"/>
        </w:rPr>
        <w:t>the process and criteria for approving a MLO</w:t>
      </w:r>
      <w:r>
        <w:rPr>
          <w:spacing w:val="-2"/>
          <w:sz w:val="24"/>
        </w:rPr>
        <w:t> </w:t>
      </w:r>
      <w:r>
        <w:rPr>
          <w:sz w:val="24"/>
        </w:rPr>
        <w:t>exchange.</w:t>
      </w:r>
    </w:p>
    <w:p>
      <w:pPr>
        <w:pStyle w:val="BodyText"/>
        <w:spacing w:before="10"/>
        <w:ind w:firstLine="0"/>
        <w:jc w:val="left"/>
        <w:rPr>
          <w:sz w:val="20"/>
        </w:rPr>
      </w:pPr>
    </w:p>
    <w:p>
      <w:pPr>
        <w:pStyle w:val="Heading2"/>
        <w:tabs>
          <w:tab w:pos="1352" w:val="left" w:leader="none"/>
          <w:tab w:pos="9317" w:val="left" w:leader="none"/>
        </w:tabs>
      </w:pPr>
      <w:bookmarkStart w:name="Part H Voluntary Book Build" w:id="310"/>
      <w:bookmarkEnd w:id="310"/>
      <w:r>
        <w:rPr>
          <w:b w:val="0"/>
        </w:rPr>
      </w:r>
      <w:bookmarkStart w:name="_bookmark138" w:id="311"/>
      <w:bookmarkEnd w:id="311"/>
      <w:r>
        <w:rPr>
          <w:b w:val="0"/>
        </w:rPr>
      </w:r>
      <w:r>
        <w:rPr>
          <w:shd w:fill="D9D9D9" w:color="auto" w:val="clear"/>
        </w:rPr>
        <w:t>Part H</w:t>
        <w:tab/>
        <w:t>Voluntary Book</w:t>
      </w:r>
      <w:r>
        <w:rPr>
          <w:spacing w:val="-9"/>
          <w:shd w:fill="D9D9D9" w:color="auto" w:val="clear"/>
        </w:rPr>
        <w:t> </w:t>
      </w:r>
      <w:r>
        <w:rPr>
          <w:shd w:fill="D9D9D9" w:color="auto" w:val="clear"/>
        </w:rPr>
        <w:t>Build</w:t>
        <w:tab/>
      </w:r>
    </w:p>
    <w:p>
      <w:pPr>
        <w:pStyle w:val="Heading4"/>
        <w:tabs>
          <w:tab w:pos="1351" w:val="left" w:leader="none"/>
        </w:tabs>
        <w:spacing w:before="240"/>
        <w:ind w:left="218" w:firstLine="0"/>
      </w:pPr>
      <w:bookmarkStart w:name=" " w:id="312"/>
      <w:bookmarkEnd w:id="312"/>
      <w:r>
        <w:rPr>
          <w:b w:val="0"/>
        </w:rPr>
      </w:r>
      <w:bookmarkStart w:name="4A.H.1 Purpose and application" w:id="313"/>
      <w:bookmarkEnd w:id="313"/>
      <w:r>
        <w:rPr>
          <w:b w:val="0"/>
        </w:rPr>
      </w:r>
      <w:bookmarkStart w:name="_bookmark139" w:id="314"/>
      <w:bookmarkEnd w:id="314"/>
      <w:r>
        <w:rPr>
          <w:b w:val="0"/>
        </w:rPr>
      </w:r>
      <w:r>
        <w:rPr/>
        <w:t>4A.H.1</w:t>
        <w:tab/>
        <w:t>Purpose and</w:t>
      </w:r>
      <w:r>
        <w:rPr>
          <w:spacing w:val="-2"/>
        </w:rPr>
        <w:t> </w:t>
      </w:r>
      <w:r>
        <w:rPr/>
        <w:t>application</w:t>
      </w:r>
    </w:p>
    <w:p>
      <w:pPr>
        <w:pStyle w:val="ListParagraph"/>
        <w:numPr>
          <w:ilvl w:val="0"/>
          <w:numId w:val="134"/>
        </w:numPr>
        <w:tabs>
          <w:tab w:pos="1919" w:val="left" w:leader="none"/>
        </w:tabs>
        <w:spacing w:line="240" w:lineRule="auto" w:before="120" w:after="0"/>
        <w:ind w:left="1919" w:right="414" w:hanging="567"/>
        <w:jc w:val="both"/>
        <w:rPr>
          <w:sz w:val="24"/>
        </w:rPr>
      </w:pPr>
      <w:r>
        <w:rPr>
          <w:sz w:val="24"/>
        </w:rPr>
        <w:t>The purpose of a </w:t>
      </w:r>
      <w:r>
        <w:rPr>
          <w:i/>
          <w:sz w:val="24"/>
        </w:rPr>
        <w:t>voluntary book build </w:t>
      </w:r>
      <w:r>
        <w:rPr>
          <w:sz w:val="24"/>
        </w:rPr>
        <w:t>mechanism is to assist a liable entity to secure qualifying contracts after a T-3 reliability instrument has been made.</w:t>
      </w:r>
    </w:p>
    <w:p>
      <w:pPr>
        <w:pStyle w:val="ListParagraph"/>
        <w:numPr>
          <w:ilvl w:val="0"/>
          <w:numId w:val="134"/>
        </w:numPr>
        <w:tabs>
          <w:tab w:pos="1919" w:val="left" w:leader="none"/>
        </w:tabs>
        <w:spacing w:line="240" w:lineRule="auto" w:before="120" w:after="0"/>
        <w:ind w:left="1919" w:right="416" w:hanging="567"/>
        <w:jc w:val="both"/>
        <w:rPr>
          <w:sz w:val="24"/>
        </w:rPr>
      </w:pPr>
      <w:r>
        <w:rPr>
          <w:sz w:val="24"/>
        </w:rPr>
        <w:t>A </w:t>
      </w:r>
      <w:r>
        <w:rPr>
          <w:i/>
          <w:sz w:val="24"/>
        </w:rPr>
        <w:t>voluntary book build </w:t>
      </w:r>
      <w:r>
        <w:rPr>
          <w:sz w:val="24"/>
        </w:rPr>
        <w:t>is distinct from the liquidity obligation set out in Part G and book build contracts offered under the </w:t>
      </w:r>
      <w:r>
        <w:rPr>
          <w:i/>
          <w:sz w:val="24"/>
        </w:rPr>
        <w:t>voluntary book build </w:t>
      </w:r>
      <w:r>
        <w:rPr>
          <w:sz w:val="24"/>
        </w:rPr>
        <w:t>will not satisfy a liquidity obligation of a MLO Generator in Part</w:t>
      </w:r>
      <w:r>
        <w:rPr>
          <w:spacing w:val="-11"/>
          <w:sz w:val="24"/>
        </w:rPr>
        <w:t> </w:t>
      </w:r>
      <w:r>
        <w:rPr>
          <w:sz w:val="24"/>
        </w:rPr>
        <w:t>G.</w:t>
      </w:r>
    </w:p>
    <w:p>
      <w:pPr>
        <w:pStyle w:val="ListParagraph"/>
        <w:numPr>
          <w:ilvl w:val="0"/>
          <w:numId w:val="134"/>
        </w:numPr>
        <w:tabs>
          <w:tab w:pos="1919" w:val="left" w:leader="none"/>
        </w:tabs>
        <w:spacing w:line="240" w:lineRule="auto" w:before="120" w:after="0"/>
        <w:ind w:left="1919" w:right="415" w:hanging="567"/>
        <w:jc w:val="both"/>
        <w:rPr>
          <w:sz w:val="24"/>
        </w:rPr>
      </w:pPr>
      <w:r>
        <w:rPr>
          <w:sz w:val="24"/>
        </w:rPr>
        <w:t>The purpose of a </w:t>
      </w:r>
      <w:r>
        <w:rPr>
          <w:i/>
          <w:sz w:val="24"/>
        </w:rPr>
        <w:t>voluntary book build </w:t>
      </w:r>
      <w:r>
        <w:rPr>
          <w:sz w:val="24"/>
        </w:rPr>
        <w:t>is to incentivise the delivery of new capacity to reduce a </w:t>
      </w:r>
      <w:r>
        <w:rPr>
          <w:i/>
          <w:sz w:val="24"/>
        </w:rPr>
        <w:t>forecast reliability gap </w:t>
      </w:r>
      <w:r>
        <w:rPr>
          <w:sz w:val="24"/>
        </w:rPr>
        <w:t>for </w:t>
      </w:r>
      <w:r>
        <w:rPr>
          <w:i/>
          <w:sz w:val="24"/>
        </w:rPr>
        <w:t>a region</w:t>
      </w:r>
      <w:r>
        <w:rPr>
          <w:sz w:val="24"/>
        </w:rPr>
        <w:t>, by matching buyers and sellers of book build contracts, with detailed terms and conditions to be finalised directly between the relevant matched book build participants.</w:t>
      </w:r>
    </w:p>
    <w:p>
      <w:pPr>
        <w:pStyle w:val="BodyText"/>
        <w:spacing w:before="10"/>
        <w:ind w:firstLine="0"/>
        <w:jc w:val="left"/>
        <w:rPr>
          <w:sz w:val="20"/>
        </w:rPr>
      </w:pPr>
    </w:p>
    <w:p>
      <w:pPr>
        <w:pStyle w:val="Heading4"/>
        <w:tabs>
          <w:tab w:pos="1351" w:val="left" w:leader="none"/>
        </w:tabs>
        <w:ind w:left="218" w:firstLine="0"/>
      </w:pPr>
      <w:bookmarkStart w:name="4A.H.2 Book Build Procedures" w:id="315"/>
      <w:bookmarkEnd w:id="315"/>
      <w:r>
        <w:rPr>
          <w:b w:val="0"/>
        </w:rPr>
      </w:r>
      <w:bookmarkStart w:name="_bookmark140" w:id="316"/>
      <w:bookmarkEnd w:id="316"/>
      <w:r>
        <w:rPr>
          <w:b w:val="0"/>
        </w:rPr>
      </w:r>
      <w:r>
        <w:rPr/>
        <w:t>4A.H.2</w:t>
        <w:tab/>
        <w:t>Book Build</w:t>
      </w:r>
      <w:r>
        <w:rPr>
          <w:spacing w:val="-3"/>
        </w:rPr>
        <w:t> </w:t>
      </w:r>
      <w:r>
        <w:rPr/>
        <w:t>Procedures</w:t>
      </w:r>
    </w:p>
    <w:p>
      <w:pPr>
        <w:pStyle w:val="ListParagraph"/>
        <w:numPr>
          <w:ilvl w:val="0"/>
          <w:numId w:val="135"/>
        </w:numPr>
        <w:tabs>
          <w:tab w:pos="1919" w:val="left" w:leader="none"/>
        </w:tabs>
        <w:spacing w:line="240" w:lineRule="auto" w:before="120" w:after="0"/>
        <w:ind w:left="1919" w:right="414" w:hanging="567"/>
        <w:jc w:val="both"/>
        <w:rPr>
          <w:sz w:val="24"/>
        </w:rPr>
      </w:pPr>
      <w:r>
        <w:rPr>
          <w:i/>
          <w:sz w:val="24"/>
        </w:rPr>
        <w:t>AEMO </w:t>
      </w:r>
      <w:r>
        <w:rPr>
          <w:sz w:val="24"/>
        </w:rPr>
        <w:t>must develop, publish on its website and maintain, in accordance with the </w:t>
      </w:r>
      <w:r>
        <w:rPr>
          <w:i/>
          <w:sz w:val="24"/>
        </w:rPr>
        <w:t>Rules consultation procedures</w:t>
      </w:r>
      <w:r>
        <w:rPr>
          <w:sz w:val="24"/>
        </w:rPr>
        <w:t>, the Book Build</w:t>
      </w:r>
      <w:r>
        <w:rPr>
          <w:spacing w:val="-8"/>
          <w:sz w:val="24"/>
        </w:rPr>
        <w:t> </w:t>
      </w:r>
      <w:r>
        <w:rPr>
          <w:sz w:val="24"/>
        </w:rPr>
        <w:t>Procedures.</w:t>
      </w:r>
    </w:p>
    <w:p>
      <w:pPr>
        <w:pStyle w:val="ListParagraph"/>
        <w:numPr>
          <w:ilvl w:val="0"/>
          <w:numId w:val="135"/>
        </w:numPr>
        <w:tabs>
          <w:tab w:pos="1919" w:val="left" w:leader="none"/>
        </w:tabs>
        <w:spacing w:line="240" w:lineRule="auto" w:before="120" w:after="0"/>
        <w:ind w:left="1918" w:right="0" w:hanging="567"/>
        <w:jc w:val="both"/>
        <w:rPr>
          <w:sz w:val="24"/>
        </w:rPr>
      </w:pPr>
      <w:r>
        <w:rPr>
          <w:sz w:val="24"/>
        </w:rPr>
        <w:t>The Book Build Procedures may</w:t>
      </w:r>
      <w:r>
        <w:rPr>
          <w:spacing w:val="-2"/>
          <w:sz w:val="24"/>
        </w:rPr>
        <w:t> </w:t>
      </w:r>
      <w:r>
        <w:rPr>
          <w:sz w:val="24"/>
        </w:rPr>
        <w:t>include:</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an accreditation process for eligible persons to be accredited as </w:t>
      </w:r>
      <w:r>
        <w:rPr>
          <w:i/>
          <w:sz w:val="24"/>
        </w:rPr>
        <w:t>book </w:t>
      </w:r>
      <w:r>
        <w:rPr>
          <w:i/>
          <w:sz w:val="24"/>
        </w:rPr>
        <w:t>build participants </w:t>
      </w:r>
      <w:r>
        <w:rPr>
          <w:sz w:val="24"/>
        </w:rPr>
        <w:t>(including circumstances under which accreditation can be revoked by </w:t>
      </w:r>
      <w:r>
        <w:rPr>
          <w:i/>
          <w:sz w:val="24"/>
        </w:rPr>
        <w:t>AEMO</w:t>
      </w:r>
      <w:r>
        <w:rPr>
          <w:sz w:val="24"/>
        </w:rPr>
        <w:t>) which may include any credit support requirements;</w:t>
      </w:r>
    </w:p>
    <w:p>
      <w:pPr>
        <w:pStyle w:val="ListParagraph"/>
        <w:numPr>
          <w:ilvl w:val="1"/>
          <w:numId w:val="135"/>
        </w:numPr>
        <w:tabs>
          <w:tab w:pos="2486" w:val="left" w:leader="none"/>
        </w:tabs>
        <w:spacing w:line="240" w:lineRule="auto" w:before="120" w:after="0"/>
        <w:ind w:left="2485" w:right="0" w:hanging="567"/>
        <w:jc w:val="both"/>
        <w:rPr>
          <w:sz w:val="24"/>
        </w:rPr>
      </w:pPr>
      <w:r>
        <w:rPr>
          <w:sz w:val="24"/>
        </w:rPr>
        <w:t>the terms and conditions of participation in the </w:t>
      </w:r>
      <w:r>
        <w:rPr>
          <w:i/>
          <w:sz w:val="24"/>
        </w:rPr>
        <w:t>voluntary book</w:t>
      </w:r>
      <w:r>
        <w:rPr>
          <w:i/>
          <w:spacing w:val="-3"/>
          <w:sz w:val="24"/>
        </w:rPr>
        <w:t> </w:t>
      </w:r>
      <w:r>
        <w:rPr>
          <w:i/>
          <w:sz w:val="24"/>
        </w:rPr>
        <w:t>build</w:t>
      </w:r>
      <w:r>
        <w:rPr>
          <w:sz w:val="24"/>
        </w:rPr>
        <w:t>;</w:t>
      </w:r>
    </w:p>
    <w:p>
      <w:pPr>
        <w:pStyle w:val="ListParagraph"/>
        <w:numPr>
          <w:ilvl w:val="1"/>
          <w:numId w:val="135"/>
        </w:numPr>
        <w:tabs>
          <w:tab w:pos="2486" w:val="left" w:leader="none"/>
        </w:tabs>
        <w:spacing w:line="240" w:lineRule="auto" w:before="120" w:after="0"/>
        <w:ind w:left="2485" w:right="0" w:hanging="567"/>
        <w:jc w:val="both"/>
        <w:rPr>
          <w:sz w:val="24"/>
        </w:rPr>
      </w:pPr>
      <w:r>
        <w:rPr>
          <w:sz w:val="24"/>
        </w:rPr>
        <w:t>the terms and conditions of the book build participation</w:t>
      </w:r>
      <w:r>
        <w:rPr>
          <w:spacing w:val="-2"/>
          <w:sz w:val="24"/>
        </w:rPr>
        <w:t> </w:t>
      </w:r>
      <w:r>
        <w:rPr>
          <w:sz w:val="24"/>
        </w:rPr>
        <w:t>agreement;</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the requirements a contract must satisfy in order for it to be offered as a book build contract (with the objective that the contract </w:t>
      </w:r>
      <w:r>
        <w:rPr>
          <w:spacing w:val="-4"/>
          <w:sz w:val="24"/>
        </w:rPr>
        <w:t>will </w:t>
      </w:r>
      <w:r>
        <w:rPr>
          <w:sz w:val="24"/>
        </w:rPr>
        <w:t>constitute a qualifying</w:t>
      </w:r>
      <w:r>
        <w:rPr>
          <w:spacing w:val="-1"/>
          <w:sz w:val="24"/>
        </w:rPr>
        <w:t> </w:t>
      </w:r>
      <w:r>
        <w:rPr>
          <w:sz w:val="24"/>
        </w:rPr>
        <w:t>contract);</w:t>
      </w:r>
    </w:p>
    <w:p>
      <w:pPr>
        <w:pStyle w:val="ListParagraph"/>
        <w:numPr>
          <w:ilvl w:val="1"/>
          <w:numId w:val="135"/>
        </w:numPr>
        <w:tabs>
          <w:tab w:pos="2486" w:val="left" w:leader="none"/>
        </w:tabs>
        <w:spacing w:line="240" w:lineRule="auto" w:before="120" w:after="0"/>
        <w:ind w:left="2486" w:right="414" w:hanging="567"/>
        <w:jc w:val="both"/>
        <w:rPr>
          <w:sz w:val="24"/>
        </w:rPr>
      </w:pPr>
      <w:r>
        <w:rPr>
          <w:sz w:val="24"/>
        </w:rPr>
        <w:t>the information to be included in, and form of, an application </w:t>
      </w:r>
      <w:r>
        <w:rPr>
          <w:spacing w:val="-4"/>
          <w:sz w:val="24"/>
        </w:rPr>
        <w:t>for </w:t>
      </w:r>
      <w:r>
        <w:rPr>
          <w:sz w:val="24"/>
        </w:rPr>
        <w:t>accreditation as a </w:t>
      </w:r>
      <w:r>
        <w:rPr>
          <w:i/>
          <w:sz w:val="24"/>
        </w:rPr>
        <w:t>book build participant </w:t>
      </w:r>
      <w:r>
        <w:rPr>
          <w:sz w:val="24"/>
        </w:rPr>
        <w:t>under clause</w:t>
      </w:r>
      <w:r>
        <w:rPr>
          <w:spacing w:val="-3"/>
          <w:sz w:val="24"/>
        </w:rPr>
        <w:t> </w:t>
      </w:r>
      <w:r>
        <w:rPr>
          <w:sz w:val="24"/>
        </w:rPr>
        <w:t>4A.H.4;</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the process for applying to be accredited as a </w:t>
      </w:r>
      <w:r>
        <w:rPr>
          <w:i/>
          <w:sz w:val="24"/>
        </w:rPr>
        <w:t>book build participant </w:t>
      </w:r>
      <w:r>
        <w:rPr>
          <w:sz w:val="24"/>
        </w:rPr>
        <w:t>including notice requirements, information requirements and assessment</w:t>
      </w:r>
      <w:r>
        <w:rPr>
          <w:spacing w:val="-1"/>
          <w:sz w:val="24"/>
        </w:rPr>
        <w:t> </w:t>
      </w:r>
      <w:r>
        <w:rPr>
          <w:sz w:val="24"/>
        </w:rPr>
        <w:t>criteria;</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the information a </w:t>
      </w:r>
      <w:r>
        <w:rPr>
          <w:i/>
          <w:sz w:val="24"/>
        </w:rPr>
        <w:t>book build participant </w:t>
      </w:r>
      <w:r>
        <w:rPr>
          <w:sz w:val="24"/>
        </w:rPr>
        <w:t>must provide on request </w:t>
      </w:r>
      <w:r>
        <w:rPr>
          <w:spacing w:val="-6"/>
          <w:sz w:val="24"/>
        </w:rPr>
        <w:t>by </w:t>
      </w:r>
      <w:r>
        <w:rPr>
          <w:i/>
          <w:sz w:val="24"/>
        </w:rPr>
        <w:t>AEMO </w:t>
      </w:r>
      <w:r>
        <w:rPr>
          <w:sz w:val="24"/>
        </w:rPr>
        <w:t>to confirm that each contract it offers in a </w:t>
      </w:r>
      <w:r>
        <w:rPr>
          <w:i/>
          <w:sz w:val="24"/>
        </w:rPr>
        <w:t>voluntary book build </w:t>
      </w:r>
      <w:r>
        <w:rPr>
          <w:sz w:val="24"/>
        </w:rPr>
        <w:t>is a book build</w:t>
      </w:r>
      <w:r>
        <w:rPr>
          <w:spacing w:val="-1"/>
          <w:sz w:val="24"/>
        </w:rPr>
        <w:t> </w:t>
      </w:r>
      <w:r>
        <w:rPr>
          <w:sz w:val="24"/>
        </w:rPr>
        <w:t>contract;</w:t>
      </w:r>
    </w:p>
    <w:p>
      <w:pPr>
        <w:pStyle w:val="ListParagraph"/>
        <w:numPr>
          <w:ilvl w:val="1"/>
          <w:numId w:val="135"/>
        </w:numPr>
        <w:tabs>
          <w:tab w:pos="2486" w:val="left" w:leader="none"/>
        </w:tabs>
        <w:spacing w:line="240" w:lineRule="auto" w:before="120" w:after="0"/>
        <w:ind w:left="2486" w:right="415" w:hanging="567"/>
        <w:jc w:val="both"/>
        <w:rPr>
          <w:i/>
          <w:sz w:val="24"/>
        </w:rPr>
      </w:pPr>
      <w:r>
        <w:rPr>
          <w:sz w:val="24"/>
        </w:rPr>
        <w:t>the process for </w:t>
      </w:r>
      <w:r>
        <w:rPr>
          <w:i/>
          <w:sz w:val="24"/>
        </w:rPr>
        <w:t>book build participants </w:t>
      </w:r>
      <w:r>
        <w:rPr>
          <w:sz w:val="24"/>
        </w:rPr>
        <w:t>to follow when offering book build contracts (which may include a requirement for a </w:t>
      </w:r>
      <w:r>
        <w:rPr>
          <w:i/>
          <w:sz w:val="24"/>
        </w:rPr>
        <w:t>book build </w:t>
      </w:r>
      <w:r>
        <w:rPr>
          <w:i/>
          <w:sz w:val="24"/>
        </w:rPr>
        <w:t>participant</w:t>
      </w:r>
      <w:r>
        <w:rPr>
          <w:i/>
          <w:spacing w:val="36"/>
          <w:sz w:val="24"/>
        </w:rPr>
        <w:t> </w:t>
      </w:r>
      <w:r>
        <w:rPr>
          <w:sz w:val="24"/>
        </w:rPr>
        <w:t>to</w:t>
      </w:r>
      <w:r>
        <w:rPr>
          <w:spacing w:val="36"/>
          <w:sz w:val="24"/>
        </w:rPr>
        <w:t> </w:t>
      </w:r>
      <w:r>
        <w:rPr>
          <w:sz w:val="24"/>
        </w:rPr>
        <w:t>provide</w:t>
      </w:r>
      <w:r>
        <w:rPr>
          <w:spacing w:val="36"/>
          <w:sz w:val="24"/>
        </w:rPr>
        <w:t> </w:t>
      </w:r>
      <w:r>
        <w:rPr>
          <w:sz w:val="24"/>
        </w:rPr>
        <w:t>the</w:t>
      </w:r>
      <w:r>
        <w:rPr>
          <w:spacing w:val="36"/>
          <w:sz w:val="24"/>
        </w:rPr>
        <w:t> </w:t>
      </w:r>
      <w:r>
        <w:rPr>
          <w:sz w:val="24"/>
        </w:rPr>
        <w:t>essential</w:t>
      </w:r>
      <w:r>
        <w:rPr>
          <w:spacing w:val="36"/>
          <w:sz w:val="24"/>
        </w:rPr>
        <w:t> </w:t>
      </w:r>
      <w:r>
        <w:rPr>
          <w:sz w:val="24"/>
        </w:rPr>
        <w:t>minimum</w:t>
      </w:r>
      <w:r>
        <w:rPr>
          <w:spacing w:val="37"/>
          <w:sz w:val="24"/>
        </w:rPr>
        <w:t> </w:t>
      </w:r>
      <w:r>
        <w:rPr>
          <w:sz w:val="24"/>
        </w:rPr>
        <w:t>terms</w:t>
      </w:r>
      <w:r>
        <w:rPr>
          <w:spacing w:val="36"/>
          <w:sz w:val="24"/>
        </w:rPr>
        <w:t> </w:t>
      </w:r>
      <w:r>
        <w:rPr>
          <w:sz w:val="24"/>
        </w:rPr>
        <w:t>of</w:t>
      </w:r>
      <w:r>
        <w:rPr>
          <w:spacing w:val="36"/>
          <w:sz w:val="24"/>
        </w:rPr>
        <w:t> </w:t>
      </w:r>
      <w:r>
        <w:rPr>
          <w:sz w:val="24"/>
        </w:rPr>
        <w:t>a</w:t>
      </w:r>
      <w:r>
        <w:rPr>
          <w:spacing w:val="36"/>
          <w:sz w:val="24"/>
        </w:rPr>
        <w:t> </w:t>
      </w:r>
      <w:r>
        <w:rPr>
          <w:i/>
          <w:sz w:val="24"/>
        </w:rPr>
        <w:t>book</w:t>
      </w:r>
      <w:r>
        <w:rPr>
          <w:i/>
          <w:spacing w:val="36"/>
          <w:sz w:val="24"/>
        </w:rPr>
        <w:t> </w:t>
      </w:r>
      <w:r>
        <w:rPr>
          <w:i/>
          <w:spacing w:val="-3"/>
          <w:sz w:val="24"/>
        </w:rPr>
        <w:t>build</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i/>
          <w:sz w:val="24"/>
        </w:rPr>
        <w:t>contract </w:t>
      </w:r>
      <w:r>
        <w:rPr>
          <w:sz w:val="24"/>
        </w:rPr>
        <w:t>which that </w:t>
      </w:r>
      <w:r>
        <w:rPr>
          <w:i/>
          <w:sz w:val="24"/>
        </w:rPr>
        <w:t>book build participant </w:t>
      </w:r>
      <w:r>
        <w:rPr>
          <w:sz w:val="24"/>
        </w:rPr>
        <w:t>requires any matched book build participant to accept, which </w:t>
      </w:r>
      <w:r>
        <w:rPr>
          <w:i/>
          <w:sz w:val="24"/>
        </w:rPr>
        <w:t>AEMO </w:t>
      </w:r>
      <w:r>
        <w:rPr>
          <w:sz w:val="24"/>
        </w:rPr>
        <w:t>will use for matching purposes);</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the minimum period for which an offer to enter into a book build contract must remain capable of</w:t>
      </w:r>
      <w:r>
        <w:rPr>
          <w:spacing w:val="-1"/>
          <w:sz w:val="24"/>
        </w:rPr>
        <w:t> </w:t>
      </w:r>
      <w:r>
        <w:rPr>
          <w:sz w:val="24"/>
        </w:rPr>
        <w:t>acceptance;</w:t>
      </w:r>
    </w:p>
    <w:p>
      <w:pPr>
        <w:pStyle w:val="ListParagraph"/>
        <w:numPr>
          <w:ilvl w:val="1"/>
          <w:numId w:val="135"/>
        </w:numPr>
        <w:tabs>
          <w:tab w:pos="2486" w:val="left" w:leader="none"/>
        </w:tabs>
        <w:spacing w:line="240" w:lineRule="auto" w:before="120" w:after="0"/>
        <w:ind w:left="2486" w:right="416" w:hanging="567"/>
        <w:jc w:val="both"/>
        <w:rPr>
          <w:sz w:val="24"/>
        </w:rPr>
      </w:pPr>
      <w:r>
        <w:rPr>
          <w:sz w:val="24"/>
        </w:rPr>
        <w:t>requirements and procedures for </w:t>
      </w:r>
      <w:r>
        <w:rPr>
          <w:i/>
          <w:sz w:val="24"/>
        </w:rPr>
        <w:t>book build participants </w:t>
      </w:r>
      <w:r>
        <w:rPr>
          <w:sz w:val="24"/>
        </w:rPr>
        <w:t>to </w:t>
      </w:r>
      <w:r>
        <w:rPr>
          <w:spacing w:val="-4"/>
          <w:sz w:val="24"/>
        </w:rPr>
        <w:t>follow </w:t>
      </w:r>
      <w:r>
        <w:rPr>
          <w:sz w:val="24"/>
        </w:rPr>
        <w:t>once they become matched book build participants under a </w:t>
      </w:r>
      <w:r>
        <w:rPr>
          <w:i/>
          <w:sz w:val="24"/>
        </w:rPr>
        <w:t>voluntary </w:t>
      </w:r>
      <w:r>
        <w:rPr>
          <w:i/>
          <w:sz w:val="24"/>
        </w:rPr>
        <w:t>book</w:t>
      </w:r>
      <w:r>
        <w:rPr>
          <w:i/>
          <w:spacing w:val="-1"/>
          <w:sz w:val="24"/>
        </w:rPr>
        <w:t> </w:t>
      </w:r>
      <w:r>
        <w:rPr>
          <w:i/>
          <w:sz w:val="24"/>
        </w:rPr>
        <w:t>build</w:t>
      </w:r>
      <w:r>
        <w:rPr>
          <w:sz w:val="24"/>
        </w:rPr>
        <w:t>;</w:t>
      </w:r>
    </w:p>
    <w:p>
      <w:pPr>
        <w:pStyle w:val="ListParagraph"/>
        <w:numPr>
          <w:ilvl w:val="1"/>
          <w:numId w:val="135"/>
        </w:numPr>
        <w:tabs>
          <w:tab w:pos="2486" w:val="left" w:leader="none"/>
        </w:tabs>
        <w:spacing w:line="240" w:lineRule="auto" w:before="120" w:after="0"/>
        <w:ind w:left="2486" w:right="414" w:hanging="567"/>
        <w:jc w:val="both"/>
        <w:rPr>
          <w:sz w:val="24"/>
        </w:rPr>
      </w:pPr>
      <w:r>
        <w:rPr>
          <w:sz w:val="24"/>
        </w:rPr>
        <w:t>the methodology which </w:t>
      </w:r>
      <w:r>
        <w:rPr>
          <w:i/>
          <w:sz w:val="24"/>
        </w:rPr>
        <w:t>AEMO </w:t>
      </w:r>
      <w:r>
        <w:rPr>
          <w:sz w:val="24"/>
        </w:rPr>
        <w:t>will apply to match offers and bids for book build</w:t>
      </w:r>
      <w:r>
        <w:rPr>
          <w:spacing w:val="-1"/>
          <w:sz w:val="24"/>
        </w:rPr>
        <w:t> </w:t>
      </w:r>
      <w:r>
        <w:rPr>
          <w:sz w:val="24"/>
        </w:rPr>
        <w:t>contracts;</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the form of notice and type of information each matched book </w:t>
      </w:r>
      <w:r>
        <w:rPr>
          <w:spacing w:val="-3"/>
          <w:sz w:val="24"/>
        </w:rPr>
        <w:t>build </w:t>
      </w:r>
      <w:r>
        <w:rPr>
          <w:sz w:val="24"/>
        </w:rPr>
        <w:t>participant is required to provide to </w:t>
      </w:r>
      <w:r>
        <w:rPr>
          <w:i/>
          <w:sz w:val="24"/>
        </w:rPr>
        <w:t>AEMO </w:t>
      </w:r>
      <w:r>
        <w:rPr>
          <w:sz w:val="24"/>
        </w:rPr>
        <w:t>under clause 4A.H.6;</w:t>
      </w:r>
      <w:r>
        <w:rPr>
          <w:spacing w:val="-3"/>
          <w:sz w:val="24"/>
        </w:rPr>
        <w:t> </w:t>
      </w:r>
      <w:r>
        <w:rPr>
          <w:sz w:val="24"/>
        </w:rPr>
        <w:t>and</w:t>
      </w:r>
    </w:p>
    <w:p>
      <w:pPr>
        <w:pStyle w:val="ListParagraph"/>
        <w:numPr>
          <w:ilvl w:val="1"/>
          <w:numId w:val="135"/>
        </w:numPr>
        <w:tabs>
          <w:tab w:pos="2486" w:val="left" w:leader="none"/>
        </w:tabs>
        <w:spacing w:line="240" w:lineRule="auto" w:before="120" w:after="0"/>
        <w:ind w:left="2486" w:right="415" w:hanging="567"/>
        <w:jc w:val="both"/>
        <w:rPr>
          <w:sz w:val="24"/>
        </w:rPr>
      </w:pPr>
      <w:r>
        <w:rPr>
          <w:sz w:val="24"/>
        </w:rPr>
        <w:t>a requirement for </w:t>
      </w:r>
      <w:r>
        <w:rPr>
          <w:i/>
          <w:sz w:val="24"/>
        </w:rPr>
        <w:t>AEMO </w:t>
      </w:r>
      <w:r>
        <w:rPr>
          <w:sz w:val="24"/>
        </w:rPr>
        <w:t>to establish, maintain and publish on its website a register of </w:t>
      </w:r>
      <w:r>
        <w:rPr>
          <w:i/>
          <w:sz w:val="24"/>
        </w:rPr>
        <w:t>book build participants</w:t>
      </w:r>
      <w:r>
        <w:rPr>
          <w:sz w:val="24"/>
        </w:rPr>
        <w:t>, and any other information relevant to the administration of the </w:t>
      </w:r>
      <w:r>
        <w:rPr>
          <w:i/>
          <w:sz w:val="24"/>
        </w:rPr>
        <w:t>voluntary book</w:t>
      </w:r>
      <w:r>
        <w:rPr>
          <w:i/>
          <w:spacing w:val="-5"/>
          <w:sz w:val="24"/>
        </w:rPr>
        <w:t> </w:t>
      </w:r>
      <w:r>
        <w:rPr>
          <w:i/>
          <w:sz w:val="24"/>
        </w:rPr>
        <w:t>build</w:t>
      </w:r>
      <w:r>
        <w:rPr>
          <w:sz w:val="24"/>
        </w:rPr>
        <w:t>.</w:t>
      </w:r>
    </w:p>
    <w:p>
      <w:pPr>
        <w:pStyle w:val="ListParagraph"/>
        <w:numPr>
          <w:ilvl w:val="0"/>
          <w:numId w:val="135"/>
        </w:numPr>
        <w:tabs>
          <w:tab w:pos="1919" w:val="left" w:leader="none"/>
        </w:tabs>
        <w:spacing w:line="240" w:lineRule="auto" w:before="120" w:after="0"/>
        <w:ind w:left="1919" w:right="415" w:hanging="567"/>
        <w:jc w:val="both"/>
        <w:rPr>
          <w:sz w:val="24"/>
        </w:rPr>
      </w:pPr>
      <w:r>
        <w:rPr>
          <w:i/>
          <w:sz w:val="24"/>
        </w:rPr>
        <w:t>AEMO </w:t>
      </w:r>
      <w:r>
        <w:rPr>
          <w:sz w:val="24"/>
        </w:rPr>
        <w:t>may make minor or administrative amendments to the Book Build Procedures without complying with the </w:t>
      </w:r>
      <w:r>
        <w:rPr>
          <w:i/>
          <w:sz w:val="24"/>
        </w:rPr>
        <w:t>Rules consultation</w:t>
      </w:r>
      <w:r>
        <w:rPr>
          <w:i/>
          <w:spacing w:val="-12"/>
          <w:sz w:val="24"/>
        </w:rPr>
        <w:t> </w:t>
      </w:r>
      <w:r>
        <w:rPr>
          <w:i/>
          <w:sz w:val="24"/>
        </w:rPr>
        <w:t>procedures</w:t>
      </w:r>
      <w:r>
        <w:rPr>
          <w:sz w:val="24"/>
        </w:rPr>
        <w:t>.</w:t>
      </w:r>
    </w:p>
    <w:p>
      <w:pPr>
        <w:pStyle w:val="BodyText"/>
        <w:spacing w:before="10"/>
        <w:ind w:firstLine="0"/>
        <w:jc w:val="left"/>
        <w:rPr>
          <w:sz w:val="20"/>
        </w:rPr>
      </w:pPr>
    </w:p>
    <w:p>
      <w:pPr>
        <w:pStyle w:val="Heading4"/>
        <w:tabs>
          <w:tab w:pos="1351" w:val="left" w:leader="none"/>
        </w:tabs>
        <w:ind w:left="218" w:firstLine="0"/>
      </w:pPr>
      <w:bookmarkStart w:name="4A.H.3 Commencement of voluntary book bu" w:id="317"/>
      <w:bookmarkEnd w:id="317"/>
      <w:r>
        <w:rPr>
          <w:b w:val="0"/>
        </w:rPr>
      </w:r>
      <w:bookmarkStart w:name="_bookmark141" w:id="318"/>
      <w:bookmarkEnd w:id="318"/>
      <w:r>
        <w:rPr>
          <w:b w:val="0"/>
        </w:rPr>
      </w:r>
      <w:r>
        <w:rPr/>
        <w:t>4A.H.3</w:t>
        <w:tab/>
        <w:t>Commencement of voluntary book</w:t>
      </w:r>
      <w:r>
        <w:rPr>
          <w:spacing w:val="-4"/>
        </w:rPr>
        <w:t> </w:t>
      </w:r>
      <w:r>
        <w:rPr/>
        <w:t>build</w:t>
      </w:r>
    </w:p>
    <w:p>
      <w:pPr>
        <w:pStyle w:val="ListParagraph"/>
        <w:numPr>
          <w:ilvl w:val="0"/>
          <w:numId w:val="136"/>
        </w:numPr>
        <w:tabs>
          <w:tab w:pos="1919" w:val="left" w:leader="none"/>
        </w:tabs>
        <w:spacing w:line="240" w:lineRule="auto" w:before="120" w:after="0"/>
        <w:ind w:left="1918" w:right="0" w:hanging="567"/>
        <w:jc w:val="both"/>
        <w:rPr>
          <w:sz w:val="24"/>
        </w:rPr>
      </w:pPr>
      <w:r>
        <w:rPr>
          <w:sz w:val="24"/>
        </w:rPr>
        <w:t>Subject to paragraph</w:t>
      </w:r>
      <w:r>
        <w:rPr>
          <w:spacing w:val="-1"/>
          <w:sz w:val="24"/>
        </w:rPr>
        <w:t> </w:t>
      </w:r>
      <w:r>
        <w:rPr>
          <w:sz w:val="24"/>
        </w:rPr>
        <w:t>(b):</w:t>
      </w:r>
    </w:p>
    <w:p>
      <w:pPr>
        <w:pStyle w:val="ListParagraph"/>
        <w:numPr>
          <w:ilvl w:val="1"/>
          <w:numId w:val="136"/>
        </w:numPr>
        <w:tabs>
          <w:tab w:pos="2486" w:val="left" w:leader="none"/>
        </w:tabs>
        <w:spacing w:line="240" w:lineRule="auto" w:before="120" w:after="0"/>
        <w:ind w:left="2486" w:right="414" w:hanging="567"/>
        <w:jc w:val="both"/>
        <w:rPr>
          <w:sz w:val="24"/>
        </w:rPr>
      </w:pPr>
      <w:r>
        <w:rPr>
          <w:sz w:val="24"/>
        </w:rPr>
        <w:t>if the </w:t>
      </w:r>
      <w:r>
        <w:rPr>
          <w:i/>
          <w:sz w:val="24"/>
        </w:rPr>
        <w:t>AER </w:t>
      </w:r>
      <w:r>
        <w:rPr>
          <w:sz w:val="24"/>
        </w:rPr>
        <w:t>makes a T-3 reliability instrument, and the Book </w:t>
      </w:r>
      <w:r>
        <w:rPr>
          <w:spacing w:val="-3"/>
          <w:sz w:val="24"/>
        </w:rPr>
        <w:t>Build </w:t>
      </w:r>
      <w:r>
        <w:rPr>
          <w:sz w:val="24"/>
        </w:rPr>
        <w:t>Procedures have been developed and published under clause 4A.H.2, then </w:t>
      </w:r>
      <w:r>
        <w:rPr>
          <w:i/>
          <w:sz w:val="24"/>
        </w:rPr>
        <w:t>AEMO </w:t>
      </w:r>
      <w:r>
        <w:rPr>
          <w:sz w:val="24"/>
        </w:rPr>
        <w:t>must conduct a </w:t>
      </w:r>
      <w:r>
        <w:rPr>
          <w:i/>
          <w:sz w:val="24"/>
        </w:rPr>
        <w:t>voluntary book build </w:t>
      </w:r>
      <w:r>
        <w:rPr>
          <w:sz w:val="24"/>
        </w:rPr>
        <w:t>in the relevant </w:t>
      </w:r>
      <w:r>
        <w:rPr>
          <w:i/>
          <w:sz w:val="24"/>
        </w:rPr>
        <w:t>region </w:t>
      </w:r>
      <w:r>
        <w:rPr>
          <w:sz w:val="24"/>
        </w:rPr>
        <w:t>for the relevant forecast reliability gap period;</w:t>
      </w:r>
      <w:r>
        <w:rPr>
          <w:spacing w:val="-6"/>
          <w:sz w:val="24"/>
        </w:rPr>
        <w:t> </w:t>
      </w:r>
      <w:r>
        <w:rPr>
          <w:sz w:val="24"/>
        </w:rPr>
        <w:t>and</w:t>
      </w:r>
    </w:p>
    <w:p>
      <w:pPr>
        <w:pStyle w:val="ListParagraph"/>
        <w:numPr>
          <w:ilvl w:val="1"/>
          <w:numId w:val="136"/>
        </w:numPr>
        <w:tabs>
          <w:tab w:pos="2486" w:val="left" w:leader="none"/>
        </w:tabs>
        <w:spacing w:line="240" w:lineRule="auto" w:before="120" w:after="0"/>
        <w:ind w:left="2486" w:right="414" w:hanging="567"/>
        <w:jc w:val="both"/>
        <w:rPr>
          <w:sz w:val="24"/>
        </w:rPr>
      </w:pPr>
      <w:r>
        <w:rPr>
          <w:sz w:val="24"/>
        </w:rPr>
        <w:t>if the relevant </w:t>
      </w:r>
      <w:r>
        <w:rPr>
          <w:i/>
          <w:sz w:val="24"/>
        </w:rPr>
        <w:t>forecast reliability gap </w:t>
      </w:r>
      <w:r>
        <w:rPr>
          <w:sz w:val="24"/>
        </w:rPr>
        <w:t>still remains on the day that is 12 months after the T-3 reliability instrument is made, then </w:t>
      </w:r>
      <w:r>
        <w:rPr>
          <w:i/>
          <w:sz w:val="24"/>
        </w:rPr>
        <w:t>AEMO </w:t>
      </w:r>
      <w:r>
        <w:rPr>
          <w:sz w:val="24"/>
        </w:rPr>
        <w:t>may conduct a </w:t>
      </w:r>
      <w:r>
        <w:rPr>
          <w:i/>
          <w:sz w:val="24"/>
        </w:rPr>
        <w:t>voluntary book build </w:t>
      </w:r>
      <w:r>
        <w:rPr>
          <w:sz w:val="24"/>
        </w:rPr>
        <w:t>in the relevant </w:t>
      </w:r>
      <w:r>
        <w:rPr>
          <w:i/>
          <w:sz w:val="24"/>
        </w:rPr>
        <w:t>region </w:t>
      </w:r>
      <w:r>
        <w:rPr>
          <w:sz w:val="24"/>
        </w:rPr>
        <w:t>for the relevant forecast reliability gap</w:t>
      </w:r>
      <w:r>
        <w:rPr>
          <w:spacing w:val="-1"/>
          <w:sz w:val="24"/>
        </w:rPr>
        <w:t> </w:t>
      </w:r>
      <w:r>
        <w:rPr>
          <w:sz w:val="24"/>
        </w:rPr>
        <w:t>period,</w:t>
      </w:r>
    </w:p>
    <w:p>
      <w:pPr>
        <w:pStyle w:val="BodyText"/>
        <w:ind w:left="1919" w:firstLine="0"/>
      </w:pPr>
      <w:r>
        <w:rPr/>
        <w:t>in accordance with the Book Build Procedures.</w:t>
      </w:r>
    </w:p>
    <w:p>
      <w:pPr>
        <w:pStyle w:val="ListParagraph"/>
        <w:numPr>
          <w:ilvl w:val="0"/>
          <w:numId w:val="136"/>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conducts a </w:t>
      </w:r>
      <w:r>
        <w:rPr>
          <w:i/>
          <w:sz w:val="24"/>
        </w:rPr>
        <w:t>voluntary book build </w:t>
      </w:r>
      <w:r>
        <w:rPr>
          <w:sz w:val="24"/>
        </w:rPr>
        <w:t>it must publish a notice on </w:t>
      </w:r>
      <w:r>
        <w:rPr>
          <w:spacing w:val="-5"/>
          <w:sz w:val="24"/>
        </w:rPr>
        <w:t>its </w:t>
      </w:r>
      <w:r>
        <w:rPr>
          <w:sz w:val="24"/>
        </w:rPr>
        <w:t>website, by the day that is at least 20 </w:t>
      </w:r>
      <w:r>
        <w:rPr>
          <w:i/>
          <w:sz w:val="24"/>
        </w:rPr>
        <w:t>business days </w:t>
      </w:r>
      <w:r>
        <w:rPr>
          <w:sz w:val="24"/>
        </w:rPr>
        <w:t>before the day that the </w:t>
      </w:r>
      <w:r>
        <w:rPr>
          <w:i/>
          <w:sz w:val="24"/>
        </w:rPr>
        <w:t>voluntary book build </w:t>
      </w:r>
      <w:r>
        <w:rPr>
          <w:sz w:val="24"/>
        </w:rPr>
        <w:t>starts, which specifies the date the </w:t>
      </w:r>
      <w:r>
        <w:rPr>
          <w:i/>
          <w:sz w:val="24"/>
        </w:rPr>
        <w:t>voluntary book </w:t>
      </w:r>
      <w:r>
        <w:rPr>
          <w:i/>
          <w:sz w:val="24"/>
        </w:rPr>
        <w:t>build </w:t>
      </w:r>
      <w:r>
        <w:rPr>
          <w:sz w:val="24"/>
        </w:rPr>
        <w:t>will</w:t>
      </w:r>
      <w:r>
        <w:rPr>
          <w:spacing w:val="-1"/>
          <w:sz w:val="24"/>
        </w:rPr>
        <w:t> </w:t>
      </w:r>
      <w:r>
        <w:rPr>
          <w:sz w:val="24"/>
        </w:rPr>
        <w:t>commence.</w:t>
      </w:r>
    </w:p>
    <w:p>
      <w:pPr>
        <w:pStyle w:val="BodyText"/>
        <w:spacing w:before="10"/>
        <w:ind w:firstLine="0"/>
        <w:jc w:val="left"/>
        <w:rPr>
          <w:sz w:val="20"/>
        </w:rPr>
      </w:pPr>
    </w:p>
    <w:p>
      <w:pPr>
        <w:pStyle w:val="Heading4"/>
        <w:tabs>
          <w:tab w:pos="1351" w:val="left" w:leader="none"/>
        </w:tabs>
        <w:ind w:left="218" w:firstLine="0"/>
      </w:pPr>
      <w:bookmarkStart w:name="4A.H.4 Participation in the voluntary bo" w:id="319"/>
      <w:bookmarkEnd w:id="319"/>
      <w:r>
        <w:rPr>
          <w:b w:val="0"/>
        </w:rPr>
      </w:r>
      <w:bookmarkStart w:name="_bookmark142" w:id="320"/>
      <w:bookmarkEnd w:id="320"/>
      <w:r>
        <w:rPr>
          <w:b w:val="0"/>
        </w:rPr>
      </w:r>
      <w:r>
        <w:rPr/>
        <w:t>4A.H.4</w:t>
        <w:tab/>
        <w:t>Participation in the voluntary book</w:t>
      </w:r>
      <w:r>
        <w:rPr>
          <w:spacing w:val="-2"/>
        </w:rPr>
        <w:t> </w:t>
      </w:r>
      <w:r>
        <w:rPr/>
        <w:t>build</w:t>
      </w:r>
    </w:p>
    <w:p>
      <w:pPr>
        <w:pStyle w:val="ListParagraph"/>
        <w:numPr>
          <w:ilvl w:val="0"/>
          <w:numId w:val="137"/>
        </w:numPr>
        <w:tabs>
          <w:tab w:pos="1919" w:val="left" w:leader="none"/>
        </w:tabs>
        <w:spacing w:line="240" w:lineRule="auto" w:before="120" w:after="0"/>
        <w:ind w:left="1919" w:right="415" w:hanging="567"/>
        <w:jc w:val="both"/>
        <w:rPr>
          <w:sz w:val="24"/>
        </w:rPr>
      </w:pPr>
      <w:r>
        <w:rPr>
          <w:sz w:val="24"/>
        </w:rPr>
        <w:t>Only a </w:t>
      </w:r>
      <w:r>
        <w:rPr>
          <w:i/>
          <w:sz w:val="24"/>
        </w:rPr>
        <w:t>book build participant </w:t>
      </w:r>
      <w:r>
        <w:rPr>
          <w:sz w:val="24"/>
        </w:rPr>
        <w:t>accredited by </w:t>
      </w:r>
      <w:r>
        <w:rPr>
          <w:i/>
          <w:sz w:val="24"/>
        </w:rPr>
        <w:t>AEMO</w:t>
      </w:r>
      <w:r>
        <w:rPr>
          <w:sz w:val="24"/>
        </w:rPr>
        <w:t>, in accordance with the Book Build Procedures, may participate in a </w:t>
      </w:r>
      <w:r>
        <w:rPr>
          <w:i/>
          <w:sz w:val="24"/>
        </w:rPr>
        <w:t>voluntary book</w:t>
      </w:r>
      <w:r>
        <w:rPr>
          <w:i/>
          <w:spacing w:val="-5"/>
          <w:sz w:val="24"/>
        </w:rPr>
        <w:t> </w:t>
      </w:r>
      <w:r>
        <w:rPr>
          <w:i/>
          <w:sz w:val="24"/>
        </w:rPr>
        <w:t>build</w:t>
      </w:r>
      <w:r>
        <w:rPr>
          <w:sz w:val="24"/>
        </w:rPr>
        <w:t>.</w:t>
      </w:r>
    </w:p>
    <w:p>
      <w:pPr>
        <w:pStyle w:val="ListParagraph"/>
        <w:numPr>
          <w:ilvl w:val="0"/>
          <w:numId w:val="137"/>
        </w:numPr>
        <w:tabs>
          <w:tab w:pos="1919" w:val="left" w:leader="none"/>
        </w:tabs>
        <w:spacing w:line="240" w:lineRule="auto" w:before="120" w:after="0"/>
        <w:ind w:left="1918" w:right="0" w:hanging="567"/>
        <w:jc w:val="both"/>
        <w:rPr>
          <w:sz w:val="24"/>
        </w:rPr>
      </w:pPr>
      <w:r>
        <w:rPr>
          <w:sz w:val="24"/>
        </w:rPr>
        <w:t>To be eligible for accreditation as a </w:t>
      </w:r>
      <w:r>
        <w:rPr>
          <w:i/>
          <w:sz w:val="24"/>
        </w:rPr>
        <w:t>book build participant</w:t>
      </w:r>
      <w:r>
        <w:rPr>
          <w:sz w:val="24"/>
        </w:rPr>
        <w:t>, a person</w:t>
      </w:r>
      <w:r>
        <w:rPr>
          <w:spacing w:val="-3"/>
          <w:sz w:val="24"/>
        </w:rPr>
        <w:t> </w:t>
      </w:r>
      <w:r>
        <w:rPr>
          <w:sz w:val="24"/>
        </w:rPr>
        <w:t>must:</w:t>
      </w:r>
    </w:p>
    <w:p>
      <w:pPr>
        <w:pStyle w:val="ListParagraph"/>
        <w:numPr>
          <w:ilvl w:val="1"/>
          <w:numId w:val="137"/>
        </w:numPr>
        <w:tabs>
          <w:tab w:pos="2486" w:val="left" w:leader="none"/>
        </w:tabs>
        <w:spacing w:line="240" w:lineRule="auto" w:before="120" w:after="0"/>
        <w:ind w:left="2485" w:right="0" w:hanging="567"/>
        <w:jc w:val="both"/>
        <w:rPr>
          <w:sz w:val="24"/>
        </w:rPr>
      </w:pPr>
      <w:r>
        <w:rPr>
          <w:sz w:val="24"/>
        </w:rPr>
        <w:t>enter into an agreement ("</w:t>
      </w:r>
      <w:r>
        <w:rPr>
          <w:b/>
          <w:sz w:val="24"/>
        </w:rPr>
        <w:t>book build participation agreement</w:t>
      </w:r>
      <w:r>
        <w:rPr>
          <w:sz w:val="24"/>
        </w:rPr>
        <w:t>")</w:t>
      </w:r>
      <w:r>
        <w:rPr>
          <w:spacing w:val="-8"/>
          <w:sz w:val="24"/>
        </w:rPr>
        <w:t> </w:t>
      </w:r>
      <w:r>
        <w:rPr>
          <w:sz w:val="24"/>
        </w:rPr>
        <w:t>with</w:t>
      </w:r>
    </w:p>
    <w:p>
      <w:pPr>
        <w:pStyle w:val="BodyText"/>
        <w:spacing w:before="0"/>
        <w:ind w:left="2486" w:firstLine="0"/>
      </w:pPr>
      <w:r>
        <w:rPr>
          <w:i/>
        </w:rPr>
        <w:t>AEMO </w:t>
      </w:r>
      <w:r>
        <w:rPr/>
        <w:t>under which, at a minimum, it agrees to:</w:t>
      </w:r>
    </w:p>
    <w:p>
      <w:pPr>
        <w:pStyle w:val="ListParagraph"/>
        <w:numPr>
          <w:ilvl w:val="2"/>
          <w:numId w:val="137"/>
        </w:numPr>
        <w:tabs>
          <w:tab w:pos="3053" w:val="left" w:leader="none"/>
        </w:tabs>
        <w:spacing w:line="240" w:lineRule="auto" w:before="120" w:after="0"/>
        <w:ind w:left="3053" w:right="414" w:hanging="567"/>
        <w:jc w:val="both"/>
        <w:rPr>
          <w:sz w:val="24"/>
        </w:rPr>
      </w:pPr>
      <w:r>
        <w:rPr>
          <w:sz w:val="24"/>
        </w:rPr>
        <w:t>participate in the </w:t>
      </w:r>
      <w:r>
        <w:rPr>
          <w:i/>
          <w:sz w:val="24"/>
        </w:rPr>
        <w:t>voluntary book build </w:t>
      </w:r>
      <w:r>
        <w:rPr>
          <w:sz w:val="24"/>
        </w:rPr>
        <w:t>in good faith, including in making bids or offers, as well as in negotiations to finalise terms with its matched book build</w:t>
      </w:r>
      <w:r>
        <w:rPr>
          <w:spacing w:val="-2"/>
          <w:sz w:val="24"/>
        </w:rPr>
        <w:t> </w:t>
      </w:r>
      <w:r>
        <w:rPr>
          <w:sz w:val="24"/>
        </w:rPr>
        <w:t>participant;</w:t>
      </w:r>
    </w:p>
    <w:p>
      <w:pPr>
        <w:pStyle w:val="ListParagraph"/>
        <w:numPr>
          <w:ilvl w:val="2"/>
          <w:numId w:val="137"/>
        </w:numPr>
        <w:tabs>
          <w:tab w:pos="3054" w:val="left" w:leader="none"/>
        </w:tabs>
        <w:spacing w:line="240" w:lineRule="auto" w:before="120" w:after="0"/>
        <w:ind w:left="3053" w:right="0" w:hanging="568"/>
        <w:jc w:val="both"/>
        <w:rPr>
          <w:sz w:val="24"/>
        </w:rPr>
      </w:pPr>
      <w:r>
        <w:rPr>
          <w:sz w:val="24"/>
        </w:rPr>
        <w:t>comply with the terms of the Book Build</w:t>
      </w:r>
      <w:r>
        <w:rPr>
          <w:spacing w:val="-3"/>
          <w:sz w:val="24"/>
        </w:rPr>
        <w:t> </w:t>
      </w:r>
      <w:r>
        <w:rPr>
          <w:sz w:val="24"/>
        </w:rPr>
        <w:t>Procedures;</w:t>
      </w:r>
    </w:p>
    <w:p>
      <w:pPr>
        <w:spacing w:after="0" w:line="240" w:lineRule="auto"/>
        <w:jc w:val="both"/>
        <w:rPr>
          <w:sz w:val="24"/>
        </w:rPr>
        <w:sectPr>
          <w:pgSz w:w="11910" w:h="16840"/>
          <w:pgMar w:header="686" w:footer="637" w:top="1320" w:bottom="820" w:left="1200" w:right="1000"/>
        </w:sectPr>
      </w:pPr>
    </w:p>
    <w:p>
      <w:pPr>
        <w:pStyle w:val="ListParagraph"/>
        <w:numPr>
          <w:ilvl w:val="2"/>
          <w:numId w:val="137"/>
        </w:numPr>
        <w:tabs>
          <w:tab w:pos="3053" w:val="left" w:leader="none"/>
        </w:tabs>
        <w:spacing w:line="240" w:lineRule="auto" w:before="83" w:after="0"/>
        <w:ind w:left="3052" w:right="0" w:hanging="567"/>
        <w:jc w:val="both"/>
        <w:rPr>
          <w:sz w:val="24"/>
        </w:rPr>
      </w:pPr>
      <w:r>
        <w:rPr>
          <w:sz w:val="24"/>
        </w:rPr>
        <w:t>indemnify</w:t>
      </w:r>
      <w:r>
        <w:rPr>
          <w:spacing w:val="48"/>
          <w:sz w:val="24"/>
        </w:rPr>
        <w:t> </w:t>
      </w:r>
      <w:r>
        <w:rPr>
          <w:i/>
          <w:sz w:val="24"/>
        </w:rPr>
        <w:t>AEMO</w:t>
      </w:r>
      <w:r>
        <w:rPr>
          <w:i/>
          <w:spacing w:val="49"/>
          <w:sz w:val="24"/>
        </w:rPr>
        <w:t> </w:t>
      </w:r>
      <w:r>
        <w:rPr>
          <w:sz w:val="24"/>
        </w:rPr>
        <w:t>against</w:t>
      </w:r>
      <w:r>
        <w:rPr>
          <w:spacing w:val="49"/>
          <w:sz w:val="24"/>
        </w:rPr>
        <w:t> </w:t>
      </w:r>
      <w:r>
        <w:rPr>
          <w:sz w:val="24"/>
        </w:rPr>
        <w:t>any</w:t>
      </w:r>
      <w:r>
        <w:rPr>
          <w:spacing w:val="49"/>
          <w:sz w:val="24"/>
        </w:rPr>
        <w:t> </w:t>
      </w:r>
      <w:r>
        <w:rPr>
          <w:sz w:val="24"/>
        </w:rPr>
        <w:t>loss</w:t>
      </w:r>
      <w:r>
        <w:rPr>
          <w:spacing w:val="49"/>
          <w:sz w:val="24"/>
        </w:rPr>
        <w:t> </w:t>
      </w:r>
      <w:r>
        <w:rPr>
          <w:sz w:val="24"/>
        </w:rPr>
        <w:t>or</w:t>
      </w:r>
      <w:r>
        <w:rPr>
          <w:spacing w:val="49"/>
          <w:sz w:val="24"/>
        </w:rPr>
        <w:t> </w:t>
      </w:r>
      <w:r>
        <w:rPr>
          <w:sz w:val="24"/>
        </w:rPr>
        <w:t>damages</w:t>
      </w:r>
      <w:r>
        <w:rPr>
          <w:spacing w:val="49"/>
          <w:sz w:val="24"/>
        </w:rPr>
        <w:t> </w:t>
      </w:r>
      <w:r>
        <w:rPr>
          <w:sz w:val="24"/>
        </w:rPr>
        <w:t>arising</w:t>
      </w:r>
      <w:r>
        <w:rPr>
          <w:spacing w:val="49"/>
          <w:sz w:val="24"/>
        </w:rPr>
        <w:t> </w:t>
      </w:r>
      <w:r>
        <w:rPr>
          <w:sz w:val="24"/>
        </w:rPr>
        <w:t>out</w:t>
      </w:r>
      <w:r>
        <w:rPr>
          <w:spacing w:val="49"/>
          <w:sz w:val="24"/>
        </w:rPr>
        <w:t> </w:t>
      </w:r>
      <w:r>
        <w:rPr>
          <w:sz w:val="24"/>
        </w:rPr>
        <w:t>of</w:t>
      </w:r>
    </w:p>
    <w:p>
      <w:pPr>
        <w:spacing w:before="0"/>
        <w:ind w:left="3053" w:right="0" w:firstLine="0"/>
        <w:jc w:val="both"/>
        <w:rPr>
          <w:sz w:val="24"/>
        </w:rPr>
      </w:pPr>
      <w:r>
        <w:rPr>
          <w:i/>
          <w:sz w:val="24"/>
        </w:rPr>
        <w:t>AEMO</w:t>
      </w:r>
      <w:r>
        <w:rPr>
          <w:sz w:val="24"/>
        </w:rPr>
        <w:t>'s role in operating the </w:t>
      </w:r>
      <w:r>
        <w:rPr>
          <w:i/>
          <w:sz w:val="24"/>
        </w:rPr>
        <w:t>voluntary book build</w:t>
      </w:r>
      <w:r>
        <w:rPr>
          <w:sz w:val="24"/>
        </w:rPr>
        <w:t>;</w:t>
      </w:r>
    </w:p>
    <w:p>
      <w:pPr>
        <w:pStyle w:val="ListParagraph"/>
        <w:numPr>
          <w:ilvl w:val="2"/>
          <w:numId w:val="137"/>
        </w:numPr>
        <w:tabs>
          <w:tab w:pos="3054" w:val="left" w:leader="none"/>
        </w:tabs>
        <w:spacing w:line="240" w:lineRule="auto" w:before="120" w:after="0"/>
        <w:ind w:left="3053" w:right="0" w:hanging="568"/>
        <w:jc w:val="both"/>
        <w:rPr>
          <w:sz w:val="24"/>
        </w:rPr>
      </w:pPr>
      <w:r>
        <w:rPr>
          <w:sz w:val="24"/>
        </w:rPr>
        <w:t>pay any book build fees;</w:t>
      </w:r>
      <w:r>
        <w:rPr>
          <w:spacing w:val="-1"/>
          <w:sz w:val="24"/>
        </w:rPr>
        <w:t> </w:t>
      </w:r>
      <w:r>
        <w:rPr>
          <w:sz w:val="24"/>
        </w:rPr>
        <w:t>and</w:t>
      </w:r>
    </w:p>
    <w:p>
      <w:pPr>
        <w:pStyle w:val="ListParagraph"/>
        <w:numPr>
          <w:ilvl w:val="1"/>
          <w:numId w:val="137"/>
        </w:numPr>
        <w:tabs>
          <w:tab w:pos="2486" w:val="left" w:leader="none"/>
        </w:tabs>
        <w:spacing w:line="240" w:lineRule="auto" w:before="120" w:after="0"/>
        <w:ind w:left="2486" w:right="415" w:hanging="567"/>
        <w:jc w:val="both"/>
        <w:rPr>
          <w:sz w:val="24"/>
        </w:rPr>
      </w:pPr>
      <w:r>
        <w:rPr>
          <w:sz w:val="24"/>
        </w:rPr>
        <w:t>satisfy </w:t>
      </w:r>
      <w:r>
        <w:rPr>
          <w:i/>
          <w:sz w:val="24"/>
        </w:rPr>
        <w:t>AEMO </w:t>
      </w:r>
      <w:r>
        <w:rPr>
          <w:sz w:val="24"/>
        </w:rPr>
        <w:t>that it meets the eligibility criteria set out in the Book Build</w:t>
      </w:r>
      <w:r>
        <w:rPr>
          <w:spacing w:val="-1"/>
          <w:sz w:val="24"/>
        </w:rPr>
        <w:t> </w:t>
      </w:r>
      <w:r>
        <w:rPr>
          <w:sz w:val="24"/>
        </w:rPr>
        <w:t>Procedures.</w:t>
      </w:r>
    </w:p>
    <w:p>
      <w:pPr>
        <w:pStyle w:val="ListParagraph"/>
        <w:numPr>
          <w:ilvl w:val="0"/>
          <w:numId w:val="137"/>
        </w:numPr>
        <w:tabs>
          <w:tab w:pos="1919" w:val="left" w:leader="none"/>
        </w:tabs>
        <w:spacing w:line="240" w:lineRule="auto" w:before="120" w:after="0"/>
        <w:ind w:left="1919" w:right="414" w:hanging="567"/>
        <w:jc w:val="both"/>
        <w:rPr>
          <w:sz w:val="24"/>
        </w:rPr>
      </w:pPr>
      <w:r>
        <w:rPr>
          <w:i/>
          <w:sz w:val="24"/>
        </w:rPr>
        <w:t>AEMO </w:t>
      </w:r>
      <w:r>
        <w:rPr>
          <w:sz w:val="24"/>
        </w:rPr>
        <w:t>may exempt persons or classes of persons from any one or more requirements of the accreditation process for </w:t>
      </w:r>
      <w:r>
        <w:rPr>
          <w:i/>
          <w:sz w:val="24"/>
        </w:rPr>
        <w:t>book build participants </w:t>
      </w:r>
      <w:r>
        <w:rPr>
          <w:sz w:val="24"/>
        </w:rPr>
        <w:t>set out in the Book Build Procedures, subject to such conditions as </w:t>
      </w:r>
      <w:r>
        <w:rPr>
          <w:i/>
          <w:sz w:val="24"/>
        </w:rPr>
        <w:t>AEMO </w:t>
      </w:r>
      <w:r>
        <w:rPr>
          <w:sz w:val="24"/>
        </w:rPr>
        <w:t>considers</w:t>
      </w:r>
      <w:r>
        <w:rPr>
          <w:spacing w:val="-1"/>
          <w:sz w:val="24"/>
        </w:rPr>
        <w:t> </w:t>
      </w:r>
      <w:r>
        <w:rPr>
          <w:sz w:val="24"/>
        </w:rPr>
        <w:t>appropriate.</w:t>
      </w:r>
    </w:p>
    <w:p>
      <w:pPr>
        <w:pStyle w:val="BodyText"/>
        <w:spacing w:before="10"/>
        <w:ind w:firstLine="0"/>
        <w:jc w:val="left"/>
        <w:rPr>
          <w:sz w:val="20"/>
        </w:rPr>
      </w:pPr>
    </w:p>
    <w:p>
      <w:pPr>
        <w:pStyle w:val="Heading4"/>
        <w:tabs>
          <w:tab w:pos="1351" w:val="left" w:leader="none"/>
        </w:tabs>
        <w:ind w:left="218" w:firstLine="0"/>
      </w:pPr>
      <w:bookmarkStart w:name="4A.H.5 Book build fees" w:id="321"/>
      <w:bookmarkEnd w:id="321"/>
      <w:r>
        <w:rPr>
          <w:b w:val="0"/>
        </w:rPr>
      </w:r>
      <w:bookmarkStart w:name="_bookmark143" w:id="322"/>
      <w:bookmarkEnd w:id="322"/>
      <w:r>
        <w:rPr>
          <w:b w:val="0"/>
        </w:rPr>
      </w:r>
      <w:r>
        <w:rPr/>
        <w:t>4A.H.5</w:t>
        <w:tab/>
        <w:t>Book build</w:t>
      </w:r>
      <w:r>
        <w:rPr>
          <w:spacing w:val="-2"/>
        </w:rPr>
        <w:t> </w:t>
      </w:r>
      <w:r>
        <w:rPr/>
        <w:t>fees</w:t>
      </w:r>
    </w:p>
    <w:p>
      <w:pPr>
        <w:pStyle w:val="ListParagraph"/>
        <w:numPr>
          <w:ilvl w:val="0"/>
          <w:numId w:val="138"/>
        </w:numPr>
        <w:tabs>
          <w:tab w:pos="1919" w:val="left" w:leader="none"/>
        </w:tabs>
        <w:spacing w:line="240" w:lineRule="auto" w:before="120" w:after="0"/>
        <w:ind w:left="1919" w:right="416" w:hanging="567"/>
        <w:jc w:val="both"/>
        <w:rPr>
          <w:sz w:val="24"/>
        </w:rPr>
      </w:pPr>
      <w:r>
        <w:rPr>
          <w:sz w:val="24"/>
        </w:rPr>
        <w:t>Book build fees are recoverable by </w:t>
      </w:r>
      <w:r>
        <w:rPr>
          <w:i/>
          <w:sz w:val="24"/>
        </w:rPr>
        <w:t>AEMO </w:t>
      </w:r>
      <w:r>
        <w:rPr>
          <w:sz w:val="24"/>
        </w:rPr>
        <w:t>in accordance with the structure of </w:t>
      </w:r>
      <w:r>
        <w:rPr>
          <w:i/>
          <w:sz w:val="24"/>
        </w:rPr>
        <w:t>Participant</w:t>
      </w:r>
      <w:r>
        <w:rPr>
          <w:i/>
          <w:spacing w:val="-1"/>
          <w:sz w:val="24"/>
        </w:rPr>
        <w:t> </w:t>
      </w:r>
      <w:r>
        <w:rPr>
          <w:i/>
          <w:sz w:val="24"/>
        </w:rPr>
        <w:t>fees</w:t>
      </w:r>
      <w:r>
        <w:rPr>
          <w:sz w:val="24"/>
        </w:rPr>
        <w:t>.</w:t>
      </w:r>
    </w:p>
    <w:p>
      <w:pPr>
        <w:pStyle w:val="ListParagraph"/>
        <w:numPr>
          <w:ilvl w:val="0"/>
          <w:numId w:val="138"/>
        </w:numPr>
        <w:tabs>
          <w:tab w:pos="1919" w:val="left" w:leader="none"/>
        </w:tabs>
        <w:spacing w:line="240" w:lineRule="auto" w:before="120" w:after="0"/>
        <w:ind w:left="1919" w:right="415" w:hanging="567"/>
        <w:jc w:val="both"/>
        <w:rPr>
          <w:sz w:val="24"/>
        </w:rPr>
      </w:pPr>
      <w:r>
        <w:rPr>
          <w:sz w:val="24"/>
        </w:rPr>
        <w:t>A </w:t>
      </w:r>
      <w:r>
        <w:rPr>
          <w:i/>
          <w:sz w:val="24"/>
        </w:rPr>
        <w:t>book build participant </w:t>
      </w:r>
      <w:r>
        <w:rPr>
          <w:sz w:val="24"/>
        </w:rPr>
        <w:t>will bear its own costs in participating in a voluntary book</w:t>
      </w:r>
      <w:r>
        <w:rPr>
          <w:spacing w:val="-1"/>
          <w:sz w:val="24"/>
        </w:rPr>
        <w:t> </w:t>
      </w:r>
      <w:r>
        <w:rPr>
          <w:sz w:val="24"/>
        </w:rPr>
        <w:t>build.</w:t>
      </w:r>
    </w:p>
    <w:p>
      <w:pPr>
        <w:pStyle w:val="BodyText"/>
        <w:spacing w:before="10"/>
        <w:ind w:firstLine="0"/>
        <w:jc w:val="left"/>
        <w:rPr>
          <w:sz w:val="20"/>
        </w:rPr>
      </w:pPr>
    </w:p>
    <w:p>
      <w:pPr>
        <w:pStyle w:val="Heading4"/>
        <w:tabs>
          <w:tab w:pos="1351" w:val="left" w:leader="none"/>
        </w:tabs>
        <w:ind w:left="218" w:firstLine="0"/>
      </w:pPr>
      <w:bookmarkStart w:name="4A.H.6 Reporting" w:id="323"/>
      <w:bookmarkEnd w:id="323"/>
      <w:r>
        <w:rPr>
          <w:b w:val="0"/>
        </w:rPr>
      </w:r>
      <w:bookmarkStart w:name="_bookmark144" w:id="324"/>
      <w:bookmarkEnd w:id="324"/>
      <w:r>
        <w:rPr>
          <w:b w:val="0"/>
        </w:rPr>
      </w:r>
      <w:r>
        <w:rPr/>
        <w:t>4A.H.6</w:t>
        <w:tab/>
        <w:t>Reporting</w:t>
      </w:r>
    </w:p>
    <w:p>
      <w:pPr>
        <w:spacing w:before="120"/>
        <w:ind w:left="1352" w:right="0" w:firstLine="0"/>
        <w:jc w:val="left"/>
        <w:rPr>
          <w:sz w:val="24"/>
        </w:rPr>
      </w:pPr>
      <w:r>
        <w:rPr>
          <w:sz w:val="24"/>
        </w:rPr>
        <w:t>Within 6 months of the date </w:t>
      </w:r>
      <w:r>
        <w:rPr>
          <w:i/>
          <w:sz w:val="24"/>
        </w:rPr>
        <w:t>AEMO </w:t>
      </w:r>
      <w:r>
        <w:rPr>
          <w:sz w:val="24"/>
        </w:rPr>
        <w:t>conducts a </w:t>
      </w:r>
      <w:r>
        <w:rPr>
          <w:i/>
          <w:sz w:val="24"/>
        </w:rPr>
        <w:t>voluntary book build</w:t>
      </w:r>
      <w:r>
        <w:rPr>
          <w:sz w:val="24"/>
        </w:rPr>
        <w:t>:</w:t>
      </w:r>
    </w:p>
    <w:p>
      <w:pPr>
        <w:pStyle w:val="ListParagraph"/>
        <w:numPr>
          <w:ilvl w:val="0"/>
          <w:numId w:val="139"/>
        </w:numPr>
        <w:tabs>
          <w:tab w:pos="1918" w:val="left" w:leader="none"/>
          <w:tab w:pos="1919" w:val="left" w:leader="none"/>
        </w:tabs>
        <w:spacing w:line="240" w:lineRule="auto" w:before="120" w:after="0"/>
        <w:ind w:left="1919" w:right="415" w:hanging="567"/>
        <w:jc w:val="left"/>
        <w:rPr>
          <w:sz w:val="24"/>
        </w:rPr>
      </w:pPr>
      <w:r>
        <w:rPr>
          <w:sz w:val="24"/>
        </w:rPr>
        <w:t>each matched book build participant must notify </w:t>
      </w:r>
      <w:r>
        <w:rPr>
          <w:i/>
          <w:sz w:val="24"/>
        </w:rPr>
        <w:t>AEMO </w:t>
      </w:r>
      <w:r>
        <w:rPr>
          <w:sz w:val="24"/>
        </w:rPr>
        <w:t>whether it entered into a book build contract with its matched book build participant;</w:t>
      </w:r>
      <w:r>
        <w:rPr>
          <w:spacing w:val="-4"/>
          <w:sz w:val="24"/>
        </w:rPr>
        <w:t> </w:t>
      </w:r>
      <w:r>
        <w:rPr>
          <w:sz w:val="24"/>
        </w:rPr>
        <w:t>and</w:t>
      </w:r>
    </w:p>
    <w:p>
      <w:pPr>
        <w:pStyle w:val="ListParagraph"/>
        <w:numPr>
          <w:ilvl w:val="0"/>
          <w:numId w:val="139"/>
        </w:numPr>
        <w:tabs>
          <w:tab w:pos="1918" w:val="left" w:leader="none"/>
          <w:tab w:pos="1919" w:val="left" w:leader="none"/>
        </w:tabs>
        <w:spacing w:line="240" w:lineRule="auto" w:before="120" w:after="0"/>
        <w:ind w:left="1918" w:right="0" w:hanging="567"/>
        <w:jc w:val="left"/>
        <w:rPr>
          <w:i/>
          <w:sz w:val="24"/>
        </w:rPr>
      </w:pPr>
      <w:r>
        <w:rPr>
          <w:sz w:val="24"/>
        </w:rPr>
        <w:t>each</w:t>
      </w:r>
      <w:r>
        <w:rPr>
          <w:spacing w:val="26"/>
          <w:sz w:val="24"/>
        </w:rPr>
        <w:t> </w:t>
      </w:r>
      <w:r>
        <w:rPr>
          <w:i/>
          <w:sz w:val="24"/>
        </w:rPr>
        <w:t>book</w:t>
      </w:r>
      <w:r>
        <w:rPr>
          <w:i/>
          <w:spacing w:val="27"/>
          <w:sz w:val="24"/>
        </w:rPr>
        <w:t> </w:t>
      </w:r>
      <w:r>
        <w:rPr>
          <w:i/>
          <w:sz w:val="24"/>
        </w:rPr>
        <w:t>build</w:t>
      </w:r>
      <w:r>
        <w:rPr>
          <w:i/>
          <w:spacing w:val="27"/>
          <w:sz w:val="24"/>
        </w:rPr>
        <w:t> </w:t>
      </w:r>
      <w:r>
        <w:rPr>
          <w:i/>
          <w:sz w:val="24"/>
        </w:rPr>
        <w:t>participant</w:t>
      </w:r>
      <w:r>
        <w:rPr>
          <w:i/>
          <w:spacing w:val="27"/>
          <w:sz w:val="24"/>
        </w:rPr>
        <w:t> </w:t>
      </w:r>
      <w:r>
        <w:rPr>
          <w:sz w:val="24"/>
        </w:rPr>
        <w:t>must</w:t>
      </w:r>
      <w:r>
        <w:rPr>
          <w:spacing w:val="27"/>
          <w:sz w:val="24"/>
        </w:rPr>
        <w:t> </w:t>
      </w:r>
      <w:r>
        <w:rPr>
          <w:sz w:val="24"/>
        </w:rPr>
        <w:t>provide</w:t>
      </w:r>
      <w:r>
        <w:rPr>
          <w:spacing w:val="26"/>
          <w:sz w:val="24"/>
        </w:rPr>
        <w:t> </w:t>
      </w:r>
      <w:r>
        <w:rPr>
          <w:sz w:val="24"/>
        </w:rPr>
        <w:t>any</w:t>
      </w:r>
      <w:r>
        <w:rPr>
          <w:spacing w:val="27"/>
          <w:sz w:val="24"/>
        </w:rPr>
        <w:t> </w:t>
      </w:r>
      <w:r>
        <w:rPr>
          <w:sz w:val="24"/>
        </w:rPr>
        <w:t>other</w:t>
      </w:r>
      <w:r>
        <w:rPr>
          <w:spacing w:val="27"/>
          <w:sz w:val="24"/>
        </w:rPr>
        <w:t> </w:t>
      </w:r>
      <w:r>
        <w:rPr>
          <w:sz w:val="24"/>
        </w:rPr>
        <w:t>information</w:t>
      </w:r>
      <w:r>
        <w:rPr>
          <w:spacing w:val="27"/>
          <w:sz w:val="24"/>
        </w:rPr>
        <w:t> </w:t>
      </w:r>
      <w:r>
        <w:rPr>
          <w:sz w:val="24"/>
        </w:rPr>
        <w:t>to</w:t>
      </w:r>
      <w:r>
        <w:rPr>
          <w:spacing w:val="27"/>
          <w:sz w:val="24"/>
        </w:rPr>
        <w:t> </w:t>
      </w:r>
      <w:r>
        <w:rPr>
          <w:i/>
          <w:sz w:val="24"/>
        </w:rPr>
        <w:t>AEMO</w:t>
      </w:r>
    </w:p>
    <w:p>
      <w:pPr>
        <w:pStyle w:val="BodyText"/>
        <w:spacing w:line="343" w:lineRule="auto" w:before="0"/>
        <w:ind w:left="1352" w:right="2512" w:firstLine="567"/>
        <w:jc w:val="left"/>
      </w:pPr>
      <w:r>
        <w:rPr/>
        <w:t>relating to its participation in the </w:t>
      </w:r>
      <w:r>
        <w:rPr>
          <w:i/>
        </w:rPr>
        <w:t>voluntary book build</w:t>
      </w:r>
      <w:r>
        <w:rPr/>
        <w:t>, in accordance with the Book Build Procedures.</w:t>
      </w:r>
    </w:p>
    <w:p>
      <w:pPr>
        <w:spacing w:after="0" w:line="343" w:lineRule="auto"/>
        <w:jc w:val="left"/>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5</w:t>
                  </w:r>
                </w:p>
              </w:txbxContent>
            </v:textbox>
            <v:fill type="solid"/>
            <v:stroke dashstyle="solid"/>
          </v:shape>
        </w:pict>
      </w:r>
      <w:r>
        <w:rPr>
          <w:position w:val="0"/>
          <w:sz w:val="20"/>
        </w:rPr>
      </w:r>
    </w:p>
    <w:p>
      <w:pPr>
        <w:spacing w:after="0"/>
        <w:jc w:val="left"/>
        <w:rPr>
          <w:sz w:val="20"/>
        </w:rPr>
        <w:sectPr>
          <w:headerReference w:type="default" r:id="rId52"/>
          <w:footerReference w:type="default" r:id="rId53"/>
          <w:pgSz w:w="11910" w:h="16840"/>
          <w:pgMar w:header="686" w:footer="637" w:top="1320" w:bottom="820" w:left="1200" w:right="1000"/>
          <w:pgNumType w:start="75"/>
        </w:sectPr>
      </w:pPr>
    </w:p>
    <w:p>
      <w:pPr>
        <w:pStyle w:val="BodyText"/>
        <w:spacing w:before="4"/>
        <w:ind w:firstLine="0"/>
        <w:jc w:val="left"/>
        <w:rPr>
          <w:sz w:val="17"/>
        </w:rPr>
      </w:pPr>
    </w:p>
    <w:p>
      <w:pPr>
        <w:spacing w:after="0"/>
        <w:jc w:val="left"/>
        <w:rPr>
          <w:sz w:val="17"/>
        </w:rPr>
        <w:sectPr>
          <w:headerReference w:type="default" r:id="rId54"/>
          <w:footerReference w:type="default" r:id="rId55"/>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2" w:right="1847" w:hanging="1134"/>
        <w:jc w:val="left"/>
      </w:pPr>
      <w:bookmarkStart w:name="5. Network Connection Access, Planning a" w:id="325"/>
      <w:bookmarkEnd w:id="325"/>
      <w:r>
        <w:rPr>
          <w:b w:val="0"/>
        </w:rPr>
      </w:r>
      <w:bookmarkStart w:name="_bookmark145" w:id="326"/>
      <w:bookmarkEnd w:id="326"/>
      <w:r>
        <w:rPr>
          <w:b w:val="0"/>
        </w:rPr>
      </w:r>
      <w:bookmarkStart w:name="_bookmark145" w:id="327"/>
      <w:bookmarkEnd w:id="327"/>
      <w:r>
        <w:rPr/>
        <w:t>Networ</w:t>
      </w:r>
      <w:r>
        <w:rPr/>
        <w:t>k Connection Access, Planning and Expansion</w:t>
      </w:r>
    </w:p>
    <w:p>
      <w:pPr>
        <w:pStyle w:val="Heading2"/>
        <w:tabs>
          <w:tab w:pos="1352" w:val="left" w:leader="none"/>
          <w:tab w:pos="9317" w:val="left" w:leader="none"/>
        </w:tabs>
        <w:spacing w:before="240"/>
      </w:pPr>
      <w:bookmarkStart w:name="Part A Introduction" w:id="328"/>
      <w:bookmarkEnd w:id="328"/>
      <w:r>
        <w:rPr>
          <w:b w:val="0"/>
        </w:rPr>
      </w:r>
      <w:bookmarkStart w:name="_bookmark146" w:id="329"/>
      <w:bookmarkEnd w:id="329"/>
      <w:r>
        <w:rPr>
          <w:b w:val="0"/>
        </w:rPr>
      </w:r>
      <w:r>
        <w:rPr>
          <w:shd w:fill="D9D9D9" w:color="auto" w:val="clear"/>
        </w:rPr>
        <w:t>Part A</w:t>
        <w:tab/>
        <w:t>Introduction</w:t>
        <w:tab/>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5.1 Introduction to Chapter 5" w:id="330"/>
      <w:bookmarkEnd w:id="330"/>
      <w:r>
        <w:rPr>
          <w:b w:val="0"/>
        </w:rPr>
      </w:r>
      <w:bookmarkStart w:name="_bookmark147" w:id="331"/>
      <w:bookmarkEnd w:id="331"/>
      <w:r>
        <w:rPr>
          <w:b w:val="0"/>
        </w:rPr>
      </w:r>
      <w:bookmarkStart w:name="_bookmark147" w:id="332"/>
      <w:bookmarkEnd w:id="332"/>
      <w:r>
        <w:rPr/>
        <w:t>I</w:t>
      </w:r>
      <w:r>
        <w:rPr/>
        <w:t>ntroduction to Chapter</w:t>
      </w:r>
      <w:r>
        <w:rPr>
          <w:spacing w:val="-3"/>
        </w:rPr>
        <w:t> </w:t>
      </w:r>
      <w:r>
        <w:rPr/>
        <w:t>5</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5.1.1 Structure of this Chapter" w:id="333"/>
      <w:bookmarkEnd w:id="333"/>
      <w:r>
        <w:rPr>
          <w:b w:val="0"/>
        </w:rPr>
      </w:r>
      <w:bookmarkStart w:name="_bookmark148" w:id="334"/>
      <w:bookmarkEnd w:id="334"/>
      <w:r>
        <w:rPr>
          <w:b w:val="0"/>
        </w:rPr>
      </w:r>
      <w:bookmarkStart w:name="_bookmark148" w:id="335"/>
      <w:bookmarkEnd w:id="335"/>
      <w:r>
        <w:rPr/>
        <w:t>Structure</w:t>
      </w:r>
      <w:r>
        <w:rPr/>
        <w:t> of this</w:t>
      </w:r>
      <w:r>
        <w:rPr>
          <w:spacing w:val="-1"/>
        </w:rPr>
        <w:t> </w:t>
      </w:r>
      <w:r>
        <w:rPr/>
        <w:t>Chapter</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This Chapter deals with matters relating to</w:t>
      </w:r>
      <w:r>
        <w:rPr>
          <w:spacing w:val="-2"/>
          <w:sz w:val="24"/>
        </w:rPr>
        <w:t> </w:t>
      </w:r>
      <w:r>
        <w:rPr>
          <w:i/>
          <w:sz w:val="24"/>
        </w:rPr>
        <w:t>networks</w:t>
      </w:r>
      <w:r>
        <w:rPr>
          <w:sz w:val="24"/>
        </w:rPr>
        <w:t>.</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It is divided into the following</w:t>
      </w:r>
      <w:r>
        <w:rPr>
          <w:spacing w:val="-2"/>
          <w:sz w:val="24"/>
        </w:rPr>
        <w:t> </w:t>
      </w:r>
      <w:r>
        <w:rPr>
          <w:sz w:val="24"/>
        </w:rPr>
        <w:t>Parts:</w:t>
      </w:r>
    </w:p>
    <w:p>
      <w:pPr>
        <w:pStyle w:val="ListParagraph"/>
        <w:numPr>
          <w:ilvl w:val="4"/>
          <w:numId w:val="54"/>
        </w:numPr>
        <w:tabs>
          <w:tab w:pos="2486" w:val="left" w:leader="none"/>
        </w:tabs>
        <w:spacing w:line="240" w:lineRule="auto" w:before="120" w:after="0"/>
        <w:ind w:left="2485" w:right="0" w:hanging="567"/>
        <w:jc w:val="both"/>
        <w:rPr>
          <w:sz w:val="24"/>
        </w:rPr>
      </w:pPr>
      <w:r>
        <w:rPr>
          <w:sz w:val="24"/>
        </w:rPr>
        <w:t>this Part is</w:t>
      </w:r>
      <w:r>
        <w:rPr>
          <w:spacing w:val="-2"/>
          <w:sz w:val="24"/>
        </w:rPr>
        <w:t> </w:t>
      </w:r>
      <w:r>
        <w:rPr>
          <w:sz w:val="24"/>
        </w:rPr>
        <w:t>introductory;</w:t>
      </w:r>
    </w:p>
    <w:p>
      <w:pPr>
        <w:pStyle w:val="ListParagraph"/>
        <w:numPr>
          <w:ilvl w:val="4"/>
          <w:numId w:val="54"/>
        </w:numPr>
        <w:tabs>
          <w:tab w:pos="2486" w:val="left" w:leader="none"/>
        </w:tabs>
        <w:spacing w:line="240" w:lineRule="auto" w:before="120" w:after="0"/>
        <w:ind w:left="2486" w:right="414" w:hanging="567"/>
        <w:jc w:val="both"/>
        <w:rPr>
          <w:sz w:val="24"/>
        </w:rPr>
      </w:pPr>
      <w:r>
        <w:rPr>
          <w:sz w:val="24"/>
        </w:rPr>
        <w:t>Part B provides a framework for </w:t>
      </w:r>
      <w:r>
        <w:rPr>
          <w:i/>
          <w:sz w:val="24"/>
        </w:rPr>
        <w:t>connection </w:t>
      </w:r>
      <w:r>
        <w:rPr>
          <w:sz w:val="24"/>
        </w:rPr>
        <w:t>and access to a </w:t>
      </w:r>
      <w:r>
        <w:rPr>
          <w:i/>
          <w:sz w:val="24"/>
        </w:rPr>
        <w:t>transmission network </w:t>
      </w:r>
      <w:r>
        <w:rPr>
          <w:sz w:val="24"/>
        </w:rPr>
        <w:t>or a </w:t>
      </w:r>
      <w:r>
        <w:rPr>
          <w:i/>
          <w:sz w:val="24"/>
        </w:rPr>
        <w:t>distribution network </w:t>
      </w:r>
      <w:r>
        <w:rPr>
          <w:sz w:val="24"/>
        </w:rPr>
        <w:t>and to the </w:t>
      </w:r>
      <w:r>
        <w:rPr>
          <w:i/>
          <w:sz w:val="24"/>
        </w:rPr>
        <w:t>national </w:t>
      </w:r>
      <w:r>
        <w:rPr>
          <w:i/>
          <w:sz w:val="24"/>
        </w:rPr>
        <w:t>grid</w:t>
      </w:r>
      <w:r>
        <w:rPr>
          <w:sz w:val="24"/>
        </w:rPr>
        <w:t>;</w:t>
      </w:r>
    </w:p>
    <w:p>
      <w:pPr>
        <w:pStyle w:val="ListParagraph"/>
        <w:numPr>
          <w:ilvl w:val="4"/>
          <w:numId w:val="54"/>
        </w:numPr>
        <w:tabs>
          <w:tab w:pos="2486" w:val="left" w:leader="none"/>
        </w:tabs>
        <w:spacing w:line="240" w:lineRule="auto" w:before="120" w:after="0"/>
        <w:ind w:left="2486" w:right="414" w:hanging="567"/>
        <w:jc w:val="both"/>
        <w:rPr>
          <w:sz w:val="24"/>
        </w:rPr>
      </w:pPr>
      <w:r>
        <w:rPr>
          <w:sz w:val="24"/>
        </w:rPr>
        <w:t>Part C addresses the </w:t>
      </w:r>
      <w:r>
        <w:rPr>
          <w:i/>
          <w:sz w:val="24"/>
        </w:rPr>
        <w:t>network </w:t>
      </w:r>
      <w:r>
        <w:rPr>
          <w:sz w:val="24"/>
        </w:rPr>
        <w:t>related issues following the negotiation of a </w:t>
      </w:r>
      <w:r>
        <w:rPr>
          <w:i/>
          <w:sz w:val="24"/>
        </w:rPr>
        <w:t>connection agreement </w:t>
      </w:r>
      <w:r>
        <w:rPr>
          <w:sz w:val="24"/>
        </w:rPr>
        <w:t>under Part B, namely the design of </w:t>
      </w:r>
      <w:r>
        <w:rPr>
          <w:i/>
          <w:sz w:val="24"/>
        </w:rPr>
        <w:t>connected </w:t>
      </w:r>
      <w:r>
        <w:rPr>
          <w:sz w:val="24"/>
        </w:rPr>
        <w:t>equipment, inspection and testing, commissioning and </w:t>
      </w:r>
      <w:r>
        <w:rPr>
          <w:i/>
          <w:sz w:val="24"/>
        </w:rPr>
        <w:t>disconnection </w:t>
      </w:r>
      <w:r>
        <w:rPr>
          <w:sz w:val="24"/>
        </w:rPr>
        <w:t>and reconnection;</w:t>
      </w:r>
      <w:r>
        <w:rPr>
          <w:spacing w:val="-1"/>
          <w:sz w:val="24"/>
        </w:rPr>
        <w:t> </w:t>
      </w:r>
      <w:r>
        <w:rPr>
          <w:sz w:val="24"/>
        </w:rPr>
        <w:t>and</w:t>
      </w:r>
    </w:p>
    <w:p>
      <w:pPr>
        <w:pStyle w:val="ListParagraph"/>
        <w:numPr>
          <w:ilvl w:val="4"/>
          <w:numId w:val="54"/>
        </w:numPr>
        <w:tabs>
          <w:tab w:pos="2486" w:val="left" w:leader="none"/>
        </w:tabs>
        <w:spacing w:line="240" w:lineRule="auto" w:before="120" w:after="0"/>
        <w:ind w:left="2485" w:right="0" w:hanging="567"/>
        <w:jc w:val="both"/>
        <w:rPr>
          <w:sz w:val="24"/>
        </w:rPr>
      </w:pPr>
      <w:r>
        <w:rPr>
          <w:sz w:val="24"/>
        </w:rPr>
        <w:t>Part</w:t>
      </w:r>
      <w:r>
        <w:rPr>
          <w:spacing w:val="44"/>
          <w:sz w:val="24"/>
        </w:rPr>
        <w:t> </w:t>
      </w:r>
      <w:r>
        <w:rPr>
          <w:sz w:val="24"/>
        </w:rPr>
        <w:t>D</w:t>
      </w:r>
      <w:r>
        <w:rPr>
          <w:spacing w:val="46"/>
          <w:sz w:val="24"/>
        </w:rPr>
        <w:t> </w:t>
      </w:r>
      <w:r>
        <w:rPr>
          <w:sz w:val="24"/>
        </w:rPr>
        <w:t>deals</w:t>
      </w:r>
      <w:r>
        <w:rPr>
          <w:spacing w:val="44"/>
          <w:sz w:val="24"/>
        </w:rPr>
        <w:t> </w:t>
      </w:r>
      <w:r>
        <w:rPr>
          <w:sz w:val="24"/>
        </w:rPr>
        <w:t>with</w:t>
      </w:r>
      <w:r>
        <w:rPr>
          <w:spacing w:val="45"/>
          <w:sz w:val="24"/>
        </w:rPr>
        <w:t> </w:t>
      </w:r>
      <w:r>
        <w:rPr>
          <w:sz w:val="24"/>
        </w:rPr>
        <w:t>the</w:t>
      </w:r>
      <w:r>
        <w:rPr>
          <w:spacing w:val="44"/>
          <w:sz w:val="24"/>
        </w:rPr>
        <w:t> </w:t>
      </w:r>
      <w:r>
        <w:rPr>
          <w:sz w:val="24"/>
        </w:rPr>
        <w:t>planning</w:t>
      </w:r>
      <w:r>
        <w:rPr>
          <w:spacing w:val="45"/>
          <w:sz w:val="24"/>
        </w:rPr>
        <w:t> </w:t>
      </w:r>
      <w:r>
        <w:rPr>
          <w:sz w:val="24"/>
        </w:rPr>
        <w:t>and</w:t>
      </w:r>
      <w:r>
        <w:rPr>
          <w:spacing w:val="44"/>
          <w:sz w:val="24"/>
        </w:rPr>
        <w:t> </w:t>
      </w:r>
      <w:r>
        <w:rPr>
          <w:sz w:val="24"/>
        </w:rPr>
        <w:t>expansion</w:t>
      </w:r>
      <w:r>
        <w:rPr>
          <w:spacing w:val="45"/>
          <w:sz w:val="24"/>
        </w:rPr>
        <w:t> </w:t>
      </w:r>
      <w:r>
        <w:rPr>
          <w:sz w:val="24"/>
        </w:rPr>
        <w:t>of</w:t>
      </w:r>
      <w:r>
        <w:rPr>
          <w:spacing w:val="44"/>
          <w:sz w:val="24"/>
        </w:rPr>
        <w:t> </w:t>
      </w:r>
      <w:r>
        <w:rPr>
          <w:i/>
          <w:sz w:val="24"/>
        </w:rPr>
        <w:t>networks</w:t>
      </w:r>
      <w:r>
        <w:rPr>
          <w:i/>
          <w:spacing w:val="45"/>
          <w:sz w:val="24"/>
        </w:rPr>
        <w:t> </w:t>
      </w:r>
      <w:r>
        <w:rPr>
          <w:sz w:val="24"/>
        </w:rPr>
        <w:t>and</w:t>
      </w:r>
      <w:r>
        <w:rPr>
          <w:spacing w:val="44"/>
          <w:sz w:val="24"/>
        </w:rPr>
        <w:t> </w:t>
      </w:r>
      <w:r>
        <w:rPr>
          <w:sz w:val="24"/>
        </w:rPr>
        <w:t>the</w:t>
      </w:r>
    </w:p>
    <w:p>
      <w:pPr>
        <w:spacing w:before="0"/>
        <w:ind w:left="2486" w:right="0" w:firstLine="0"/>
        <w:jc w:val="both"/>
        <w:rPr>
          <w:sz w:val="24"/>
        </w:rPr>
      </w:pPr>
      <w:r>
        <w:rPr>
          <w:i/>
          <w:sz w:val="24"/>
        </w:rPr>
        <w:t>national grid</w:t>
      </w:r>
      <w:r>
        <w:rPr>
          <w:sz w:val="24"/>
        </w:rPr>
        <w:t>.</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5.1.2 Overview of Part B and connection " w:id="336"/>
      <w:bookmarkEnd w:id="336"/>
      <w:r>
        <w:rPr>
          <w:b w:val="0"/>
        </w:rPr>
      </w:r>
      <w:bookmarkStart w:name="_bookmark149" w:id="337"/>
      <w:bookmarkEnd w:id="337"/>
      <w:r>
        <w:rPr>
          <w:b w:val="0"/>
        </w:rPr>
      </w:r>
      <w:bookmarkStart w:name="_bookmark149" w:id="338"/>
      <w:bookmarkEnd w:id="338"/>
      <w:r>
        <w:rPr/>
        <w:t>Overview</w:t>
      </w:r>
      <w:r>
        <w:rPr/>
        <w:t> of Part B and connection and access under the</w:t>
      </w:r>
      <w:r>
        <w:rPr>
          <w:spacing w:val="-10"/>
        </w:rPr>
        <w:t> </w:t>
      </w:r>
      <w:r>
        <w:rPr/>
        <w:t>Rules</w:t>
      </w:r>
    </w:p>
    <w:p>
      <w:pPr>
        <w:pStyle w:val="ListParagraph"/>
        <w:numPr>
          <w:ilvl w:val="3"/>
          <w:numId w:val="54"/>
        </w:numPr>
        <w:tabs>
          <w:tab w:pos="1919" w:val="left" w:leader="none"/>
        </w:tabs>
        <w:spacing w:line="240" w:lineRule="auto" w:before="120" w:after="0"/>
        <w:ind w:left="1918" w:right="0" w:hanging="567"/>
        <w:jc w:val="both"/>
        <w:rPr>
          <w:sz w:val="24"/>
        </w:rPr>
      </w:pPr>
      <w:r>
        <w:rPr>
          <w:sz w:val="24"/>
        </w:rPr>
        <w:t>Rule 5.1A sets out the purpose, application and principles for Part</w:t>
      </w:r>
      <w:r>
        <w:rPr>
          <w:spacing w:val="-6"/>
          <w:sz w:val="24"/>
        </w:rPr>
        <w:t> </w:t>
      </w:r>
      <w:r>
        <w:rPr>
          <w:sz w:val="24"/>
        </w:rPr>
        <w:t>B.</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Rule 5.2 sets out the obligations of </w:t>
      </w:r>
      <w:r>
        <w:rPr>
          <w:i/>
          <w:sz w:val="24"/>
        </w:rPr>
        <w:t>Registered Participants </w:t>
      </w:r>
      <w:r>
        <w:rPr>
          <w:sz w:val="24"/>
        </w:rPr>
        <w:t>under Part B and other relevant Parts of this Chapter</w:t>
      </w:r>
      <w:r>
        <w:rPr>
          <w:spacing w:val="-2"/>
          <w:sz w:val="24"/>
        </w:rPr>
        <w:t> </w:t>
      </w:r>
      <w:r>
        <w:rPr>
          <w:sz w:val="24"/>
        </w:rPr>
        <w:t>5.</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Rule 5.2A sets out obligations and principles relevant to </w:t>
      </w:r>
      <w:r>
        <w:rPr>
          <w:i/>
          <w:sz w:val="24"/>
        </w:rPr>
        <w:t>connection </w:t>
      </w:r>
      <w:r>
        <w:rPr>
          <w:sz w:val="24"/>
        </w:rPr>
        <w:t>and access to </w:t>
      </w:r>
      <w:r>
        <w:rPr>
          <w:i/>
          <w:sz w:val="24"/>
        </w:rPr>
        <w:t>transmission networks </w:t>
      </w:r>
      <w:r>
        <w:rPr>
          <w:sz w:val="24"/>
        </w:rPr>
        <w:t>and </w:t>
      </w:r>
      <w:r>
        <w:rPr>
          <w:i/>
          <w:sz w:val="24"/>
        </w:rPr>
        <w:t>large dedicated connection assets</w:t>
      </w:r>
      <w:r>
        <w:rPr>
          <w:sz w:val="24"/>
        </w:rPr>
        <w:t>. </w:t>
      </w:r>
      <w:r>
        <w:rPr>
          <w:spacing w:val="-3"/>
          <w:sz w:val="24"/>
        </w:rPr>
        <w:t>This </w:t>
      </w:r>
      <w:r>
        <w:rPr>
          <w:sz w:val="24"/>
        </w:rPr>
        <w:t>includes the classification of certain services relating to assets relevant to </w:t>
      </w:r>
      <w:r>
        <w:rPr>
          <w:i/>
          <w:sz w:val="24"/>
        </w:rPr>
        <w:t>connection </w:t>
      </w:r>
      <w:r>
        <w:rPr>
          <w:sz w:val="24"/>
        </w:rPr>
        <w:t>as </w:t>
      </w:r>
      <w:r>
        <w:rPr>
          <w:i/>
          <w:sz w:val="24"/>
        </w:rPr>
        <w:t>prescribed transmission services</w:t>
      </w:r>
      <w:r>
        <w:rPr>
          <w:sz w:val="24"/>
        </w:rPr>
        <w:t>, </w:t>
      </w:r>
      <w:r>
        <w:rPr>
          <w:i/>
          <w:sz w:val="24"/>
        </w:rPr>
        <w:t>negotiated transmission </w:t>
      </w:r>
      <w:r>
        <w:rPr>
          <w:i/>
          <w:sz w:val="24"/>
        </w:rPr>
        <w:t>services </w:t>
      </w:r>
      <w:r>
        <w:rPr>
          <w:sz w:val="24"/>
        </w:rPr>
        <w:t>and </w:t>
      </w:r>
      <w:r>
        <w:rPr>
          <w:i/>
          <w:sz w:val="24"/>
        </w:rPr>
        <w:t>non-regulated transmission services</w:t>
      </w:r>
      <w:r>
        <w:rPr>
          <w:sz w:val="24"/>
        </w:rPr>
        <w:t>. Rule 5.2A does not apply to the </w:t>
      </w:r>
      <w:r>
        <w:rPr>
          <w:i/>
          <w:sz w:val="24"/>
        </w:rPr>
        <w:t>declared transmission system </w:t>
      </w:r>
      <w:r>
        <w:rPr>
          <w:sz w:val="24"/>
        </w:rPr>
        <w:t>of an </w:t>
      </w:r>
      <w:r>
        <w:rPr>
          <w:i/>
          <w:sz w:val="24"/>
        </w:rPr>
        <w:t>adoptive</w:t>
      </w:r>
      <w:r>
        <w:rPr>
          <w:i/>
          <w:spacing w:val="-3"/>
          <w:sz w:val="24"/>
        </w:rPr>
        <w:t> </w:t>
      </w:r>
      <w:r>
        <w:rPr>
          <w:i/>
          <w:sz w:val="24"/>
        </w:rPr>
        <w:t>jurisdiction</w:t>
      </w:r>
      <w:r>
        <w:rPr>
          <w:sz w:val="24"/>
        </w:rPr>
        <w:t>.</w:t>
      </w:r>
    </w:p>
    <w:p>
      <w:pPr>
        <w:pStyle w:val="ListParagraph"/>
        <w:numPr>
          <w:ilvl w:val="3"/>
          <w:numId w:val="54"/>
        </w:numPr>
        <w:tabs>
          <w:tab w:pos="1919" w:val="left" w:leader="none"/>
        </w:tabs>
        <w:spacing w:line="240" w:lineRule="auto" w:before="120" w:after="0"/>
        <w:ind w:left="1919" w:right="415" w:hanging="567"/>
        <w:jc w:val="both"/>
        <w:rPr>
          <w:sz w:val="24"/>
        </w:rPr>
      </w:pPr>
      <w:r>
        <w:rPr>
          <w:sz w:val="24"/>
        </w:rPr>
        <w:t>Rules 5.3, 5.3A and 5.3AA and Chapter 5A set out processes by which </w:t>
      </w:r>
      <w:r>
        <w:rPr>
          <w:i/>
          <w:sz w:val="24"/>
        </w:rPr>
        <w:t>Connection Applicants </w:t>
      </w:r>
      <w:r>
        <w:rPr>
          <w:sz w:val="24"/>
        </w:rPr>
        <w:t>can negotiate for connection and access to the </w:t>
      </w:r>
      <w:r>
        <w:rPr>
          <w:i/>
          <w:sz w:val="24"/>
        </w:rPr>
        <w:t>national grid </w:t>
      </w:r>
      <w:r>
        <w:rPr>
          <w:sz w:val="24"/>
        </w:rPr>
        <w:t>from a </w:t>
      </w:r>
      <w:r>
        <w:rPr>
          <w:i/>
          <w:sz w:val="24"/>
        </w:rPr>
        <w:t>Network Service Provider</w:t>
      </w:r>
      <w:r>
        <w:rPr>
          <w:sz w:val="24"/>
        </w:rPr>
        <w:t>. The process applicable will depend on the nature of the application. The table below sets out an overview of the relevant</w:t>
      </w:r>
      <w:r>
        <w:rPr>
          <w:spacing w:val="-1"/>
          <w:sz w:val="24"/>
        </w:rPr>
        <w:t> </w:t>
      </w:r>
      <w:r>
        <w:rPr>
          <w:sz w:val="24"/>
        </w:rPr>
        <w:t>processes:</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36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Connection Applicant</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Process</w:t>
            </w:r>
          </w:p>
        </w:tc>
      </w:tr>
      <w:tr>
        <w:trPr>
          <w:trHeight w:val="1775" w:hRule="atLeast"/>
        </w:trPr>
        <w:tc>
          <w:tcPr>
            <w:tcW w:w="3685" w:type="dxa"/>
            <w:tcBorders>
              <w:top w:val="single" w:sz="4" w:space="0" w:color="000000"/>
              <w:bottom w:val="single" w:sz="4" w:space="0" w:color="000000"/>
              <w:right w:val="single" w:sz="4" w:space="0" w:color="000000"/>
            </w:tcBorders>
          </w:tcPr>
          <w:p>
            <w:pPr>
              <w:pStyle w:val="TableParagraph"/>
              <w:spacing w:line="270" w:lineRule="atLeast"/>
              <w:ind w:left="40" w:right="23"/>
              <w:rPr>
                <w:sz w:val="24"/>
              </w:rPr>
            </w:pPr>
            <w:r>
              <w:rPr>
                <w:sz w:val="24"/>
              </w:rPr>
              <w:t>A </w:t>
            </w:r>
            <w:r>
              <w:rPr>
                <w:i/>
                <w:sz w:val="24"/>
              </w:rPr>
              <w:t>Registered Participant </w:t>
            </w:r>
            <w:r>
              <w:rPr>
                <w:sz w:val="24"/>
              </w:rPr>
              <w:t>or a person intending to become a </w:t>
            </w:r>
            <w:r>
              <w:rPr>
                <w:i/>
                <w:sz w:val="24"/>
              </w:rPr>
              <w:t>Registered </w:t>
            </w:r>
            <w:r>
              <w:rPr>
                <w:i/>
                <w:sz w:val="24"/>
              </w:rPr>
              <w:t>Participant </w:t>
            </w:r>
            <w:r>
              <w:rPr>
                <w:sz w:val="24"/>
              </w:rPr>
              <w:t>for a </w:t>
            </w:r>
            <w:r>
              <w:rPr>
                <w:i/>
                <w:sz w:val="24"/>
              </w:rPr>
              <w:t>generating plant </w:t>
            </w:r>
            <w:r>
              <w:rPr>
                <w:i/>
                <w:sz w:val="24"/>
              </w:rPr>
              <w:t>connecting </w:t>
            </w:r>
            <w:r>
              <w:rPr>
                <w:sz w:val="24"/>
              </w:rPr>
              <w:t>to a </w:t>
            </w:r>
            <w:r>
              <w:rPr>
                <w:i/>
                <w:sz w:val="24"/>
              </w:rPr>
              <w:t>transmission network </w:t>
            </w:r>
            <w:r>
              <w:rPr>
                <w:sz w:val="24"/>
              </w:rPr>
              <w:t>or a person who is covered by an exemption from the requirement to</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bl>
    <w:p>
      <w:pPr>
        <w:spacing w:after="0"/>
        <w:rPr>
          <w:sz w:val="24"/>
        </w:rPr>
        <w:sectPr>
          <w:headerReference w:type="default" r:id="rId56"/>
          <w:footerReference w:type="default" r:id="rId57"/>
          <w:pgSz w:w="11910" w:h="16840"/>
          <w:pgMar w:header="686" w:footer="637" w:top="1320" w:bottom="820" w:left="1200" w:right="1000"/>
          <w:pgNumType w:start="77"/>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36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Connection Applicant</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Process</w:t>
            </w:r>
          </w:p>
        </w:tc>
      </w:tr>
      <w:tr>
        <w:trPr>
          <w:trHeight w:val="1223" w:hRule="atLeast"/>
        </w:trPr>
        <w:tc>
          <w:tcPr>
            <w:tcW w:w="3685" w:type="dxa"/>
            <w:tcBorders>
              <w:top w:val="single" w:sz="4" w:space="0" w:color="000000"/>
              <w:bottom w:val="single" w:sz="4" w:space="0" w:color="000000"/>
              <w:right w:val="single" w:sz="4" w:space="0" w:color="000000"/>
            </w:tcBorders>
          </w:tcPr>
          <w:p>
            <w:pPr>
              <w:pStyle w:val="TableParagraph"/>
              <w:spacing w:before="0"/>
              <w:ind w:left="40" w:right="371"/>
              <w:rPr>
                <w:i/>
                <w:sz w:val="24"/>
              </w:rPr>
            </w:pPr>
            <w:r>
              <w:rPr>
                <w:sz w:val="24"/>
              </w:rPr>
              <w:t>hold a licence for operating in the electricity supply industry for a </w:t>
            </w:r>
            <w:r>
              <w:rPr>
                <w:i/>
                <w:sz w:val="24"/>
              </w:rPr>
              <w:t>generating plant connecting </w:t>
            </w:r>
            <w:r>
              <w:rPr>
                <w:sz w:val="24"/>
              </w:rPr>
              <w:t>to a </w:t>
            </w:r>
            <w:r>
              <w:rPr>
                <w:i/>
                <w:sz w:val="24"/>
              </w:rPr>
              <w:t>transmission network</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1619" w:hRule="atLeast"/>
        </w:trPr>
        <w:tc>
          <w:tcPr>
            <w:tcW w:w="3685" w:type="dxa"/>
            <w:tcBorders>
              <w:top w:val="single" w:sz="4" w:space="0" w:color="000000"/>
              <w:bottom w:val="single" w:sz="4" w:space="0" w:color="000000"/>
              <w:right w:val="single" w:sz="4" w:space="0" w:color="000000"/>
            </w:tcBorders>
          </w:tcPr>
          <w:p>
            <w:pPr>
              <w:pStyle w:val="TableParagraph"/>
              <w:ind w:left="40" w:right="23"/>
              <w:rPr>
                <w:i/>
                <w:sz w:val="24"/>
              </w:rPr>
            </w:pPr>
            <w:r>
              <w:rPr>
                <w:sz w:val="24"/>
              </w:rPr>
              <w:t>A </w:t>
            </w:r>
            <w:r>
              <w:rPr>
                <w:i/>
                <w:sz w:val="24"/>
              </w:rPr>
              <w:t>Registered Participant </w:t>
            </w:r>
            <w:r>
              <w:rPr>
                <w:sz w:val="24"/>
              </w:rPr>
              <w:t>or a person intending to become a </w:t>
            </w:r>
            <w:r>
              <w:rPr>
                <w:i/>
                <w:sz w:val="24"/>
              </w:rPr>
              <w:t>Registered </w:t>
            </w:r>
            <w:r>
              <w:rPr>
                <w:i/>
                <w:sz w:val="24"/>
              </w:rPr>
              <w:t>Participant </w:t>
            </w:r>
            <w:r>
              <w:rPr>
                <w:sz w:val="24"/>
              </w:rPr>
              <w:t>(or a person pursuant to clause 5.1A.1(c)) for a </w:t>
            </w:r>
            <w:r>
              <w:rPr>
                <w:i/>
                <w:sz w:val="24"/>
              </w:rPr>
              <w:t>load </w:t>
            </w:r>
            <w:r>
              <w:rPr>
                <w:i/>
                <w:sz w:val="24"/>
              </w:rPr>
              <w:t>connecting </w:t>
            </w:r>
            <w:r>
              <w:rPr>
                <w:sz w:val="24"/>
              </w:rPr>
              <w:t>to a </w:t>
            </w:r>
            <w:r>
              <w:rPr>
                <w:i/>
                <w:sz w:val="24"/>
              </w:rPr>
              <w:t>transmission network</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r>
        <w:trPr>
          <w:trHeight w:val="2171" w:hRule="atLeast"/>
        </w:trPr>
        <w:tc>
          <w:tcPr>
            <w:tcW w:w="3685" w:type="dxa"/>
            <w:tcBorders>
              <w:top w:val="single" w:sz="4" w:space="0" w:color="000000"/>
              <w:bottom w:val="single" w:sz="4" w:space="0" w:color="000000"/>
              <w:right w:val="single" w:sz="4" w:space="0" w:color="000000"/>
            </w:tcBorders>
          </w:tcPr>
          <w:p>
            <w:pPr>
              <w:pStyle w:val="TableParagraph"/>
              <w:ind w:left="40" w:right="50"/>
              <w:rPr>
                <w:sz w:val="24"/>
              </w:rPr>
            </w:pPr>
            <w:r>
              <w:rPr>
                <w:sz w:val="24"/>
              </w:rPr>
              <w:t>A </w:t>
            </w:r>
            <w:r>
              <w:rPr>
                <w:i/>
                <w:sz w:val="24"/>
              </w:rPr>
              <w:t>load connecting </w:t>
            </w:r>
            <w:r>
              <w:rPr>
                <w:sz w:val="24"/>
              </w:rPr>
              <w:t>to a </w:t>
            </w:r>
            <w:r>
              <w:rPr>
                <w:i/>
                <w:sz w:val="24"/>
              </w:rPr>
              <w:t>distribution </w:t>
            </w:r>
            <w:r>
              <w:rPr>
                <w:i/>
                <w:sz w:val="24"/>
              </w:rPr>
              <w:t>network </w:t>
            </w:r>
            <w:r>
              <w:rPr>
                <w:sz w:val="24"/>
              </w:rPr>
              <w:t>where the </w:t>
            </w:r>
            <w:r>
              <w:rPr>
                <w:i/>
                <w:sz w:val="24"/>
              </w:rPr>
              <w:t>Connection </w:t>
            </w:r>
            <w:r>
              <w:rPr>
                <w:i/>
                <w:sz w:val="24"/>
              </w:rPr>
              <w:t>Applicant </w:t>
            </w:r>
            <w:r>
              <w:rPr>
                <w:sz w:val="24"/>
              </w:rPr>
              <w:t>is a </w:t>
            </w:r>
            <w:r>
              <w:rPr>
                <w:i/>
                <w:sz w:val="24"/>
              </w:rPr>
              <w:t>Registered Participant </w:t>
            </w:r>
            <w:r>
              <w:rPr>
                <w:sz w:val="24"/>
              </w:rPr>
              <w:t>or a person intending to become a </w:t>
            </w:r>
            <w:r>
              <w:rPr>
                <w:i/>
                <w:sz w:val="24"/>
              </w:rPr>
              <w:t>Registered Participant </w:t>
            </w:r>
            <w:r>
              <w:rPr>
                <w:sz w:val="24"/>
              </w:rPr>
              <w:t>(and is not acting as the agent of a </w:t>
            </w:r>
            <w:r>
              <w:rPr>
                <w:i/>
                <w:sz w:val="24"/>
              </w:rPr>
              <w:t>retail </w:t>
            </w:r>
            <w:r>
              <w:rPr>
                <w:i/>
                <w:sz w:val="24"/>
              </w:rPr>
              <w:t>customer</w:t>
            </w:r>
            <w:r>
              <w:rPr>
                <w:sz w:val="24"/>
              </w:rPr>
              <w: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r>
        <w:trPr>
          <w:trHeight w:val="2171" w:hRule="atLeast"/>
        </w:trPr>
        <w:tc>
          <w:tcPr>
            <w:tcW w:w="3685" w:type="dxa"/>
            <w:tcBorders>
              <w:top w:val="single" w:sz="4" w:space="0" w:color="000000"/>
              <w:bottom w:val="single" w:sz="4" w:space="0" w:color="000000"/>
              <w:right w:val="single" w:sz="4" w:space="0" w:color="000000"/>
            </w:tcBorders>
          </w:tcPr>
          <w:p>
            <w:pPr>
              <w:pStyle w:val="TableParagraph"/>
              <w:ind w:left="40" w:right="37"/>
              <w:rPr>
                <w:sz w:val="24"/>
              </w:rPr>
            </w:pPr>
            <w:r>
              <w:rPr>
                <w:sz w:val="24"/>
              </w:rPr>
              <w:t>A </w:t>
            </w:r>
            <w:r>
              <w:rPr>
                <w:i/>
                <w:sz w:val="24"/>
              </w:rPr>
              <w:t>distribution network connecting </w:t>
            </w:r>
            <w:r>
              <w:rPr>
                <w:sz w:val="24"/>
              </w:rPr>
              <w:t>to another </w:t>
            </w:r>
            <w:r>
              <w:rPr>
                <w:i/>
                <w:sz w:val="24"/>
              </w:rPr>
              <w:t>distribution network </w:t>
            </w:r>
            <w:r>
              <w:rPr>
                <w:sz w:val="24"/>
              </w:rPr>
              <w:t>or to a </w:t>
            </w:r>
            <w:r>
              <w:rPr>
                <w:i/>
                <w:sz w:val="24"/>
              </w:rPr>
              <w:t>transmission network </w:t>
            </w:r>
            <w:r>
              <w:rPr>
                <w:sz w:val="24"/>
              </w:rPr>
              <w:t>where the </w:t>
            </w:r>
            <w:r>
              <w:rPr>
                <w:i/>
                <w:sz w:val="24"/>
              </w:rPr>
              <w:t>Connection Applicant </w:t>
            </w:r>
            <w:r>
              <w:rPr>
                <w:sz w:val="24"/>
              </w:rPr>
              <w:t>is a </w:t>
            </w:r>
            <w:r>
              <w:rPr>
                <w:i/>
                <w:sz w:val="24"/>
              </w:rPr>
              <w:t>Registered </w:t>
            </w:r>
            <w:r>
              <w:rPr>
                <w:i/>
                <w:sz w:val="24"/>
              </w:rPr>
              <w:t>Participant</w:t>
            </w:r>
            <w:r>
              <w:rPr>
                <w:sz w:val="24"/>
              </w:rPr>
              <w:t>, intending to become a </w:t>
            </w:r>
            <w:r>
              <w:rPr>
                <w:i/>
                <w:sz w:val="24"/>
              </w:rPr>
              <w:t>Registered Participant </w:t>
            </w:r>
            <w:r>
              <w:rPr>
                <w:sz w:val="24"/>
              </w:rPr>
              <w:t>or will obtain an exemption from registration</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r>
        <w:trPr>
          <w:trHeight w:val="1343" w:hRule="atLeast"/>
        </w:trPr>
        <w:tc>
          <w:tcPr>
            <w:tcW w:w="3685" w:type="dxa"/>
            <w:tcBorders>
              <w:top w:val="single" w:sz="4" w:space="0" w:color="000000"/>
              <w:bottom w:val="single" w:sz="4" w:space="0" w:color="000000"/>
              <w:right w:val="single" w:sz="4" w:space="0" w:color="000000"/>
            </w:tcBorders>
          </w:tcPr>
          <w:p>
            <w:pPr>
              <w:pStyle w:val="TableParagraph"/>
              <w:ind w:left="40" w:right="50"/>
              <w:rPr>
                <w:i/>
                <w:sz w:val="24"/>
              </w:rPr>
            </w:pPr>
            <w:r>
              <w:rPr>
                <w:sz w:val="24"/>
              </w:rPr>
              <w:t>A </w:t>
            </w:r>
            <w:r>
              <w:rPr>
                <w:i/>
                <w:sz w:val="24"/>
              </w:rPr>
              <w:t>Market Network Service Provider </w:t>
            </w:r>
            <w:r>
              <w:rPr>
                <w:sz w:val="24"/>
              </w:rPr>
              <w:t>or person intending to register as one seeking </w:t>
            </w:r>
            <w:r>
              <w:rPr>
                <w:i/>
                <w:sz w:val="24"/>
              </w:rPr>
              <w:t>connection </w:t>
            </w:r>
            <w:r>
              <w:rPr>
                <w:sz w:val="24"/>
              </w:rPr>
              <w:t>to a </w:t>
            </w:r>
            <w:r>
              <w:rPr>
                <w:i/>
                <w:sz w:val="24"/>
              </w:rPr>
              <w:t>distribution </w:t>
            </w:r>
            <w:r>
              <w:rPr>
                <w:i/>
                <w:sz w:val="24"/>
              </w:rPr>
              <w:t>network </w:t>
            </w:r>
            <w:r>
              <w:rPr>
                <w:sz w:val="24"/>
              </w:rPr>
              <w:t>or a </w:t>
            </w:r>
            <w:r>
              <w:rPr>
                <w:i/>
                <w:sz w:val="24"/>
              </w:rPr>
              <w:t>transmission network</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r>
        <w:trPr>
          <w:trHeight w:val="1895" w:hRule="atLeast"/>
        </w:trPr>
        <w:tc>
          <w:tcPr>
            <w:tcW w:w="3685" w:type="dxa"/>
            <w:tcBorders>
              <w:top w:val="single" w:sz="4" w:space="0" w:color="000000"/>
              <w:bottom w:val="single" w:sz="4" w:space="0" w:color="000000"/>
              <w:right w:val="single" w:sz="4" w:space="0" w:color="000000"/>
            </w:tcBorders>
          </w:tcPr>
          <w:p>
            <w:pPr>
              <w:pStyle w:val="TableParagraph"/>
              <w:ind w:left="40" w:right="124"/>
              <w:rPr>
                <w:i/>
                <w:sz w:val="24"/>
              </w:rPr>
            </w:pPr>
            <w:r>
              <w:rPr>
                <w:sz w:val="24"/>
              </w:rPr>
              <w:t>An </w:t>
            </w:r>
            <w:r>
              <w:rPr>
                <w:i/>
                <w:sz w:val="24"/>
              </w:rPr>
              <w:t>embedded generating unit </w:t>
            </w:r>
            <w:r>
              <w:rPr>
                <w:i/>
                <w:sz w:val="24"/>
              </w:rPr>
              <w:t>connecting </w:t>
            </w:r>
            <w:r>
              <w:rPr>
                <w:sz w:val="24"/>
              </w:rPr>
              <w:t>to a </w:t>
            </w:r>
            <w:r>
              <w:rPr>
                <w:i/>
                <w:sz w:val="24"/>
              </w:rPr>
              <w:t>distribution network </w:t>
            </w:r>
            <w:r>
              <w:rPr>
                <w:sz w:val="24"/>
              </w:rPr>
              <w:t>where the </w:t>
            </w:r>
            <w:r>
              <w:rPr>
                <w:i/>
                <w:sz w:val="24"/>
              </w:rPr>
              <w:t>Connection Applicant </w:t>
            </w:r>
            <w:r>
              <w:rPr>
                <w:sz w:val="24"/>
              </w:rPr>
              <w:t>is a </w:t>
            </w:r>
            <w:r>
              <w:rPr>
                <w:i/>
                <w:sz w:val="24"/>
              </w:rPr>
              <w:t>Registered Participant </w:t>
            </w:r>
            <w:r>
              <w:rPr>
                <w:sz w:val="24"/>
              </w:rPr>
              <w:t>or a person intending to become a </w:t>
            </w:r>
            <w:r>
              <w:rPr>
                <w:i/>
                <w:sz w:val="24"/>
              </w:rPr>
              <w:t>Registered </w:t>
            </w:r>
            <w:r>
              <w:rPr>
                <w:i/>
                <w:sz w:val="24"/>
              </w:rPr>
              <w:t>Participant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64"/>
              <w:rPr>
                <w:sz w:val="24"/>
              </w:rPr>
            </w:pPr>
            <w:r>
              <w:rPr>
                <w:sz w:val="24"/>
              </w:rPr>
              <w:t>Rules 5.3 and 5.3A apply (see clause 5.3.1A for the interaction between the two rules)</w:t>
            </w:r>
          </w:p>
        </w:tc>
      </w:tr>
      <w:tr>
        <w:trPr>
          <w:trHeight w:val="1895" w:hRule="atLeast"/>
        </w:trPr>
        <w:tc>
          <w:tcPr>
            <w:tcW w:w="3685" w:type="dxa"/>
            <w:tcBorders>
              <w:top w:val="single" w:sz="4" w:space="0" w:color="000000"/>
              <w:bottom w:val="single" w:sz="4" w:space="0" w:color="000000"/>
              <w:right w:val="single" w:sz="4" w:space="0" w:color="000000"/>
            </w:tcBorders>
          </w:tcPr>
          <w:p>
            <w:pPr>
              <w:pStyle w:val="TableParagraph"/>
              <w:ind w:left="40" w:right="58"/>
              <w:rPr>
                <w:sz w:val="24"/>
              </w:rPr>
            </w:pPr>
            <w:r>
              <w:rPr>
                <w:sz w:val="24"/>
              </w:rPr>
              <w:t>A non-registered embedded generator who makes an election for rule 5.3A to apply instead of Chapter 5A or a non-registered embedded generator above the relevant materiality threshold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64"/>
              <w:rPr>
                <w:sz w:val="24"/>
              </w:rPr>
            </w:pPr>
            <w:r>
              <w:rPr>
                <w:sz w:val="24"/>
              </w:rPr>
              <w:t>Rules 5.3 and 5.3A apply (see clause 5.3.1A for the interaction between the two rules)</w:t>
            </w:r>
          </w:p>
        </w:tc>
      </w:tr>
      <w:tr>
        <w:trPr>
          <w:trHeight w:val="1067" w:hRule="atLeast"/>
        </w:trPr>
        <w:tc>
          <w:tcPr>
            <w:tcW w:w="3685" w:type="dxa"/>
            <w:tcBorders>
              <w:top w:val="single" w:sz="4" w:space="0" w:color="000000"/>
              <w:bottom w:val="single" w:sz="4" w:space="0" w:color="000000"/>
              <w:right w:val="single" w:sz="4" w:space="0" w:color="000000"/>
            </w:tcBorders>
          </w:tcPr>
          <w:p>
            <w:pPr>
              <w:pStyle w:val="TableParagraph"/>
              <w:ind w:left="40" w:right="111"/>
              <w:rPr>
                <w:sz w:val="24"/>
              </w:rPr>
            </w:pPr>
            <w:r>
              <w:rPr>
                <w:sz w:val="24"/>
              </w:rPr>
              <w:t>A </w:t>
            </w:r>
            <w:r>
              <w:rPr>
                <w:i/>
                <w:sz w:val="24"/>
              </w:rPr>
              <w:t>Generator </w:t>
            </w:r>
            <w:r>
              <w:rPr>
                <w:sz w:val="24"/>
              </w:rPr>
              <w:t>wishing to alter a </w:t>
            </w:r>
            <w:r>
              <w:rPr>
                <w:i/>
                <w:sz w:val="24"/>
              </w:rPr>
              <w:t>connected generating plant </w:t>
            </w:r>
            <w:r>
              <w:rPr>
                <w:sz w:val="24"/>
              </w:rPr>
              <w:t>in the circumstances set out in clause 5.3.9</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Clause 5.3.9 applies</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36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Connection Applicant</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Process</w:t>
            </w:r>
          </w:p>
        </w:tc>
      </w:tr>
      <w:tr>
        <w:trPr>
          <w:trHeight w:val="2447" w:hRule="atLeast"/>
        </w:trPr>
        <w:tc>
          <w:tcPr>
            <w:tcW w:w="3685" w:type="dxa"/>
            <w:tcBorders>
              <w:top w:val="single" w:sz="4" w:space="0" w:color="000000"/>
              <w:bottom w:val="single" w:sz="4" w:space="0" w:color="000000"/>
              <w:right w:val="single" w:sz="4" w:space="0" w:color="000000"/>
            </w:tcBorders>
          </w:tcPr>
          <w:p>
            <w:pPr>
              <w:pStyle w:val="TableParagraph"/>
              <w:ind w:left="40" w:right="57"/>
              <w:rPr>
                <w:sz w:val="24"/>
              </w:rPr>
            </w:pPr>
            <w:r>
              <w:rPr>
                <w:sz w:val="24"/>
              </w:rPr>
              <w:t>A </w:t>
            </w:r>
            <w:r>
              <w:rPr>
                <w:i/>
                <w:sz w:val="24"/>
              </w:rPr>
              <w:t>Connection Applicant </w:t>
            </w:r>
            <w:r>
              <w:rPr>
                <w:sz w:val="24"/>
              </w:rPr>
              <w:t>for </w:t>
            </w:r>
            <w:r>
              <w:rPr>
                <w:i/>
                <w:sz w:val="24"/>
              </w:rPr>
              <w:t>prescribed transmission services </w:t>
            </w:r>
            <w:r>
              <w:rPr>
                <w:sz w:val="24"/>
              </w:rPr>
              <w:t>or </w:t>
            </w:r>
            <w:r>
              <w:rPr>
                <w:i/>
                <w:sz w:val="24"/>
              </w:rPr>
              <w:t>negotiated transmission services </w:t>
            </w:r>
            <w:r>
              <w:rPr>
                <w:sz w:val="24"/>
              </w:rPr>
              <w:t>that do not require the establishment or modification of a </w:t>
            </w:r>
            <w:r>
              <w:rPr>
                <w:i/>
                <w:sz w:val="24"/>
              </w:rPr>
              <w:t>connection </w:t>
            </w:r>
            <w:r>
              <w:rPr>
                <w:sz w:val="24"/>
              </w:rPr>
              <w:t>or alteration of a </w:t>
            </w:r>
            <w:r>
              <w:rPr>
                <w:i/>
                <w:sz w:val="24"/>
              </w:rPr>
              <w:t>connected generating </w:t>
            </w:r>
            <w:r>
              <w:rPr>
                <w:i/>
                <w:sz w:val="24"/>
              </w:rPr>
              <w:t>plant </w:t>
            </w:r>
            <w:r>
              <w:rPr>
                <w:sz w:val="24"/>
              </w:rPr>
              <w:t>in the circumstances set out in clause 5.3.9</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570"/>
              <w:rPr>
                <w:sz w:val="24"/>
              </w:rPr>
            </w:pPr>
            <w:r>
              <w:rPr>
                <w:sz w:val="24"/>
              </w:rPr>
              <w:t>Rule 5.3 applies as modified by clause 5.2A.3(c)</w:t>
            </w:r>
          </w:p>
        </w:tc>
      </w:tr>
      <w:tr>
        <w:trPr>
          <w:trHeight w:val="1067" w:hRule="atLeast"/>
        </w:trPr>
        <w:tc>
          <w:tcPr>
            <w:tcW w:w="3685" w:type="dxa"/>
            <w:tcBorders>
              <w:top w:val="single" w:sz="4" w:space="0" w:color="000000"/>
              <w:bottom w:val="single" w:sz="4" w:space="0" w:color="000000"/>
              <w:right w:val="single" w:sz="4" w:space="0" w:color="000000"/>
            </w:tcBorders>
          </w:tcPr>
          <w:p>
            <w:pPr>
              <w:pStyle w:val="TableParagraph"/>
              <w:ind w:left="40" w:right="174"/>
              <w:jc w:val="both"/>
              <w:rPr>
                <w:i/>
                <w:sz w:val="24"/>
              </w:rPr>
            </w:pPr>
            <w:r>
              <w:rPr>
                <w:sz w:val="24"/>
              </w:rPr>
              <w:t>An </w:t>
            </w:r>
            <w:r>
              <w:rPr>
                <w:i/>
                <w:sz w:val="24"/>
              </w:rPr>
              <w:t>Embedded Generator </w:t>
            </w:r>
            <w:r>
              <w:rPr>
                <w:sz w:val="24"/>
              </w:rPr>
              <w:t>or </w:t>
            </w:r>
            <w:r>
              <w:rPr>
                <w:i/>
                <w:sz w:val="24"/>
              </w:rPr>
              <w:t>Market </w:t>
            </w:r>
            <w:r>
              <w:rPr>
                <w:i/>
                <w:sz w:val="24"/>
              </w:rPr>
              <w:t>Network Service Provider </w:t>
            </w:r>
            <w:r>
              <w:rPr>
                <w:sz w:val="24"/>
              </w:rPr>
              <w:t>applying for </w:t>
            </w:r>
            <w:r>
              <w:rPr>
                <w:i/>
                <w:sz w:val="24"/>
              </w:rPr>
              <w:t>distribution network user access</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131"/>
              <w:rPr>
                <w:sz w:val="24"/>
              </w:rPr>
            </w:pPr>
            <w:r>
              <w:rPr>
                <w:sz w:val="24"/>
              </w:rPr>
              <w:t>Rule 5.3 or 5.3A (as applicable) and rule 5.3AA apply</w:t>
            </w:r>
          </w:p>
        </w:tc>
      </w:tr>
      <w:tr>
        <w:trPr>
          <w:trHeight w:val="1067" w:hRule="atLeast"/>
        </w:trPr>
        <w:tc>
          <w:tcPr>
            <w:tcW w:w="3685" w:type="dxa"/>
            <w:tcBorders>
              <w:top w:val="single" w:sz="4" w:space="0" w:color="000000"/>
              <w:bottom w:val="single" w:sz="4" w:space="0" w:color="000000"/>
              <w:right w:val="single" w:sz="4" w:space="0" w:color="000000"/>
            </w:tcBorders>
          </w:tcPr>
          <w:p>
            <w:pPr>
              <w:pStyle w:val="TableParagraph"/>
              <w:ind w:left="40" w:right="530"/>
              <w:rPr>
                <w:i/>
                <w:sz w:val="24"/>
              </w:rPr>
            </w:pPr>
            <w:r>
              <w:rPr>
                <w:sz w:val="24"/>
              </w:rPr>
              <w:t>A </w:t>
            </w:r>
            <w:r>
              <w:rPr>
                <w:i/>
                <w:sz w:val="24"/>
              </w:rPr>
              <w:t>load </w:t>
            </w:r>
            <w:r>
              <w:rPr>
                <w:sz w:val="24"/>
              </w:rPr>
              <w:t>or </w:t>
            </w:r>
            <w:r>
              <w:rPr>
                <w:i/>
                <w:sz w:val="24"/>
              </w:rPr>
              <w:t>generating plant </w:t>
            </w:r>
            <w:r>
              <w:rPr>
                <w:i/>
                <w:sz w:val="24"/>
              </w:rPr>
              <w:t>connecting </w:t>
            </w:r>
            <w:r>
              <w:rPr>
                <w:sz w:val="24"/>
              </w:rPr>
              <w:t>to a </w:t>
            </w:r>
            <w:r>
              <w:rPr>
                <w:i/>
                <w:sz w:val="24"/>
              </w:rPr>
              <w:t>declared shared </w:t>
            </w:r>
            <w:r>
              <w:rPr>
                <w:i/>
                <w:sz w:val="24"/>
              </w:rPr>
              <w:t>network</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137"/>
              <w:rPr>
                <w:sz w:val="24"/>
              </w:rPr>
            </w:pPr>
            <w:r>
              <w:rPr>
                <w:sz w:val="24"/>
              </w:rPr>
              <w:t>Rule 5.3 as modified by clause 5.1A.1(d) to (g) and rule 5.3B apply</w:t>
            </w:r>
          </w:p>
        </w:tc>
      </w:tr>
      <w:tr>
        <w:trPr>
          <w:trHeight w:val="2447" w:hRule="atLeast"/>
        </w:trPr>
        <w:tc>
          <w:tcPr>
            <w:tcW w:w="3685" w:type="dxa"/>
            <w:tcBorders>
              <w:top w:val="single" w:sz="4" w:space="0" w:color="000000"/>
              <w:bottom w:val="single" w:sz="4" w:space="0" w:color="000000"/>
              <w:right w:val="single" w:sz="4" w:space="0" w:color="000000"/>
            </w:tcBorders>
          </w:tcPr>
          <w:p>
            <w:pPr>
              <w:pStyle w:val="TableParagraph"/>
              <w:ind w:left="40" w:right="91"/>
              <w:rPr>
                <w:sz w:val="24"/>
              </w:rPr>
            </w:pPr>
            <w:r>
              <w:rPr>
                <w:sz w:val="24"/>
              </w:rPr>
              <w:t>A </w:t>
            </w:r>
            <w:r>
              <w:rPr>
                <w:i/>
                <w:sz w:val="24"/>
              </w:rPr>
              <w:t>load </w:t>
            </w:r>
            <w:r>
              <w:rPr>
                <w:sz w:val="24"/>
              </w:rPr>
              <w:t>that is above the relevant materiality threshold </w:t>
            </w:r>
            <w:r>
              <w:rPr>
                <w:i/>
                <w:sz w:val="24"/>
              </w:rPr>
              <w:t>connecting </w:t>
            </w:r>
            <w:r>
              <w:rPr>
                <w:sz w:val="24"/>
              </w:rPr>
              <w:t>to a </w:t>
            </w:r>
            <w:r>
              <w:rPr>
                <w:i/>
                <w:sz w:val="24"/>
              </w:rPr>
              <w:t>distribution network </w:t>
            </w:r>
            <w:r>
              <w:rPr>
                <w:sz w:val="24"/>
              </w:rPr>
              <w:t>where the </w:t>
            </w:r>
            <w:r>
              <w:rPr>
                <w:i/>
                <w:sz w:val="24"/>
              </w:rPr>
              <w:t>Connection Applicant </w:t>
            </w:r>
            <w:r>
              <w:rPr>
                <w:sz w:val="24"/>
              </w:rPr>
              <w:t>is not a </w:t>
            </w:r>
            <w:r>
              <w:rPr>
                <w:i/>
                <w:sz w:val="24"/>
              </w:rPr>
              <w:t>Registered Participant </w:t>
            </w:r>
            <w:r>
              <w:rPr>
                <w:sz w:val="24"/>
              </w:rPr>
              <w:t>and is not intending to become a </w:t>
            </w:r>
            <w:r>
              <w:rPr>
                <w:i/>
                <w:sz w:val="24"/>
              </w:rPr>
              <w:t>Registered </w:t>
            </w:r>
            <w:r>
              <w:rPr>
                <w:i/>
                <w:sz w:val="24"/>
              </w:rPr>
              <w:t>Participant </w:t>
            </w:r>
            <w:r>
              <w:rPr>
                <w:sz w:val="24"/>
              </w:rPr>
              <w:t>(unless it is acting as</w:t>
            </w:r>
          </w:p>
          <w:p>
            <w:pPr>
              <w:pStyle w:val="TableParagraph"/>
              <w:spacing w:before="0"/>
              <w:ind w:left="40"/>
              <w:rPr>
                <w:sz w:val="24"/>
              </w:rPr>
            </w:pPr>
            <w:r>
              <w:rPr>
                <w:sz w:val="24"/>
              </w:rPr>
              <w:t>the agent of a </w:t>
            </w:r>
            <w:r>
              <w:rPr>
                <w:i/>
                <w:sz w:val="24"/>
              </w:rPr>
              <w:t>retail customer</w:t>
            </w:r>
            <w:r>
              <w:rPr>
                <w:sz w:val="24"/>
              </w:rPr>
              <w: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Rule 5.3 applies</w:t>
            </w:r>
          </w:p>
        </w:tc>
      </w:tr>
      <w:tr>
        <w:trPr>
          <w:trHeight w:val="4499" w:hRule="atLeast"/>
        </w:trPr>
        <w:tc>
          <w:tcPr>
            <w:tcW w:w="3685" w:type="dxa"/>
            <w:tcBorders>
              <w:top w:val="single" w:sz="4" w:space="0" w:color="000000"/>
              <w:bottom w:val="single" w:sz="4" w:space="0" w:color="000000"/>
              <w:right w:val="single" w:sz="4" w:space="0" w:color="000000"/>
            </w:tcBorders>
          </w:tcPr>
          <w:p>
            <w:pPr>
              <w:pStyle w:val="TableParagraph"/>
              <w:ind w:left="40" w:right="91"/>
              <w:rPr>
                <w:sz w:val="24"/>
              </w:rPr>
            </w:pPr>
            <w:r>
              <w:rPr>
                <w:sz w:val="24"/>
              </w:rPr>
              <w:t>A </w:t>
            </w:r>
            <w:r>
              <w:rPr>
                <w:i/>
                <w:sz w:val="24"/>
              </w:rPr>
              <w:t>load </w:t>
            </w:r>
            <w:r>
              <w:rPr>
                <w:sz w:val="24"/>
              </w:rPr>
              <w:t>that is below the relevant materiality threshold </w:t>
            </w:r>
            <w:r>
              <w:rPr>
                <w:i/>
                <w:sz w:val="24"/>
              </w:rPr>
              <w:t>connecting </w:t>
            </w:r>
            <w:r>
              <w:rPr>
                <w:sz w:val="24"/>
              </w:rPr>
              <w:t>to a </w:t>
            </w:r>
            <w:r>
              <w:rPr>
                <w:i/>
                <w:sz w:val="24"/>
              </w:rPr>
              <w:t>distribution network </w:t>
            </w:r>
            <w:r>
              <w:rPr>
                <w:sz w:val="24"/>
              </w:rPr>
              <w:t>where the </w:t>
            </w:r>
            <w:r>
              <w:rPr>
                <w:i/>
                <w:sz w:val="24"/>
              </w:rPr>
              <w:t>Connection Applicant </w:t>
            </w:r>
            <w:r>
              <w:rPr>
                <w:sz w:val="24"/>
              </w:rPr>
              <w:t>is not a </w:t>
            </w:r>
            <w:r>
              <w:rPr>
                <w:i/>
                <w:sz w:val="24"/>
              </w:rPr>
              <w:t>Registered Participant </w:t>
            </w:r>
            <w:r>
              <w:rPr>
                <w:sz w:val="24"/>
              </w:rPr>
              <w:t>and is not intending to become a </w:t>
            </w:r>
            <w:r>
              <w:rPr>
                <w:i/>
                <w:sz w:val="24"/>
              </w:rPr>
              <w:t>Registered </w:t>
            </w:r>
            <w:r>
              <w:rPr>
                <w:i/>
                <w:sz w:val="24"/>
              </w:rPr>
              <w:t>Participant </w:t>
            </w:r>
            <w:r>
              <w:rPr>
                <w:sz w:val="24"/>
              </w:rPr>
              <w:t>(unless it is acting as the agent of a </w:t>
            </w:r>
            <w:r>
              <w:rPr>
                <w:i/>
                <w:sz w:val="24"/>
              </w:rPr>
              <w:t>retail customer</w:t>
            </w:r>
            <w:r>
              <w:rPr>
                <w:sz w:val="24"/>
              </w:rPr>
              <w:t>)</w:t>
            </w:r>
          </w:p>
          <w:p>
            <w:pPr>
              <w:pStyle w:val="TableParagraph"/>
              <w:ind w:left="40" w:right="229"/>
              <w:rPr>
                <w:sz w:val="24"/>
              </w:rPr>
            </w:pPr>
            <w:r>
              <w:rPr>
                <w:sz w:val="24"/>
              </w:rPr>
              <w:t>A non-registered embedded generator who does not make an election for Rule 5.3A to apply instead of Chapter 5A, other than a non-registered embedded generator above the relevant materiality threshold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Chapter 5A applies</w:t>
            </w:r>
          </w:p>
        </w:tc>
      </w:tr>
      <w:tr>
        <w:trPr>
          <w:trHeight w:val="1343" w:hRule="atLeast"/>
        </w:trPr>
        <w:tc>
          <w:tcPr>
            <w:tcW w:w="3685" w:type="dxa"/>
            <w:tcBorders>
              <w:top w:val="single" w:sz="4" w:space="0" w:color="000000"/>
              <w:right w:val="single" w:sz="4" w:space="0" w:color="000000"/>
            </w:tcBorders>
          </w:tcPr>
          <w:p>
            <w:pPr>
              <w:pStyle w:val="TableParagraph"/>
              <w:ind w:left="40" w:right="31"/>
              <w:rPr>
                <w:i/>
                <w:sz w:val="24"/>
              </w:rPr>
            </w:pPr>
            <w:r>
              <w:rPr>
                <w:sz w:val="24"/>
              </w:rPr>
              <w:t>A </w:t>
            </w:r>
            <w:r>
              <w:rPr>
                <w:i/>
                <w:sz w:val="24"/>
              </w:rPr>
              <w:t>retail customer </w:t>
            </w:r>
            <w:r>
              <w:rPr>
                <w:sz w:val="24"/>
              </w:rPr>
              <w:t>(or a </w:t>
            </w:r>
            <w:r>
              <w:rPr>
                <w:i/>
                <w:sz w:val="24"/>
              </w:rPr>
              <w:t>retailer </w:t>
            </w:r>
            <w:r>
              <w:rPr>
                <w:sz w:val="24"/>
              </w:rPr>
              <w:t>on behalf of that customer) </w:t>
            </w:r>
            <w:r>
              <w:rPr>
                <w:i/>
                <w:sz w:val="24"/>
              </w:rPr>
              <w:t>connecting </w:t>
            </w:r>
            <w:r>
              <w:rPr>
                <w:sz w:val="24"/>
              </w:rPr>
              <w:t>a micro embedded generator to a </w:t>
            </w:r>
            <w:r>
              <w:rPr>
                <w:i/>
                <w:sz w:val="24"/>
              </w:rPr>
              <w:t>distribution network</w:t>
            </w:r>
          </w:p>
        </w:tc>
        <w:tc>
          <w:tcPr>
            <w:tcW w:w="3685" w:type="dxa"/>
            <w:tcBorders>
              <w:top w:val="single" w:sz="4" w:space="0" w:color="000000"/>
              <w:left w:val="single" w:sz="4" w:space="0" w:color="000000"/>
              <w:right w:val="single" w:sz="4" w:space="0" w:color="000000"/>
            </w:tcBorders>
          </w:tcPr>
          <w:p>
            <w:pPr>
              <w:pStyle w:val="TableParagraph"/>
              <w:rPr>
                <w:sz w:val="24"/>
              </w:rPr>
            </w:pPr>
            <w:r>
              <w:rPr>
                <w:sz w:val="24"/>
              </w:rPr>
              <w:t>Chapter 5A applies</w:t>
            </w:r>
          </w:p>
        </w:tc>
      </w:tr>
    </w:tbl>
    <w:p>
      <w:pPr>
        <w:spacing w:after="0"/>
        <w:rPr>
          <w:sz w:val="24"/>
        </w:rPr>
        <w:sectPr>
          <w:pgSz w:w="11910" w:h="16840"/>
          <w:pgMar w:header="686" w:footer="637" w:top="1320" w:bottom="820" w:left="1200" w:right="1000"/>
        </w:sectPr>
      </w:pPr>
    </w:p>
    <w:p>
      <w:pPr>
        <w:pStyle w:val="ListParagraph"/>
        <w:numPr>
          <w:ilvl w:val="3"/>
          <w:numId w:val="54"/>
        </w:numPr>
        <w:tabs>
          <w:tab w:pos="1919" w:val="left" w:leader="none"/>
        </w:tabs>
        <w:spacing w:line="240" w:lineRule="auto" w:before="83" w:after="0"/>
        <w:ind w:left="1918" w:right="0" w:hanging="567"/>
        <w:jc w:val="both"/>
        <w:rPr>
          <w:i/>
          <w:sz w:val="24"/>
        </w:rPr>
      </w:pPr>
      <w:r>
        <w:rPr>
          <w:sz w:val="24"/>
        </w:rPr>
        <w:t>In addition to the rules referred to in paragraph (d), in relation to</w:t>
      </w:r>
      <w:r>
        <w:rPr>
          <w:spacing w:val="1"/>
          <w:sz w:val="24"/>
        </w:rPr>
        <w:t> </w:t>
      </w:r>
      <w:r>
        <w:rPr>
          <w:i/>
          <w:sz w:val="24"/>
        </w:rPr>
        <w:t>connection</w:t>
      </w:r>
    </w:p>
    <w:p>
      <w:pPr>
        <w:spacing w:before="0"/>
        <w:ind w:left="1919" w:right="0" w:firstLine="0"/>
        <w:jc w:val="both"/>
        <w:rPr>
          <w:sz w:val="24"/>
        </w:rPr>
      </w:pPr>
      <w:r>
        <w:rPr>
          <w:sz w:val="24"/>
        </w:rPr>
        <w:t>and access to a </w:t>
      </w:r>
      <w:r>
        <w:rPr>
          <w:i/>
          <w:sz w:val="24"/>
        </w:rPr>
        <w:t>distribution network</w:t>
      </w:r>
      <w:r>
        <w:rPr>
          <w:sz w:val="24"/>
        </w:rPr>
        <w:t>:</w:t>
      </w:r>
    </w:p>
    <w:p>
      <w:pPr>
        <w:pStyle w:val="ListParagraph"/>
        <w:numPr>
          <w:ilvl w:val="4"/>
          <w:numId w:val="54"/>
        </w:numPr>
        <w:tabs>
          <w:tab w:pos="2486" w:val="left" w:leader="none"/>
        </w:tabs>
        <w:spacing w:line="240" w:lineRule="auto" w:before="120" w:after="0"/>
        <w:ind w:left="2486" w:right="416" w:hanging="567"/>
        <w:jc w:val="both"/>
        <w:rPr>
          <w:sz w:val="24"/>
        </w:rPr>
      </w:pPr>
      <w:r>
        <w:rPr>
          <w:sz w:val="24"/>
        </w:rPr>
        <w:t>a </w:t>
      </w:r>
      <w:r>
        <w:rPr>
          <w:i/>
          <w:sz w:val="24"/>
        </w:rPr>
        <w:t>Distribution Network Service Provider </w:t>
      </w:r>
      <w:r>
        <w:rPr>
          <w:sz w:val="24"/>
        </w:rPr>
        <w:t>must comply with its </w:t>
      </w:r>
      <w:r>
        <w:rPr>
          <w:i/>
          <w:sz w:val="24"/>
        </w:rPr>
        <w:t>negotiating framework </w:t>
      </w:r>
      <w:r>
        <w:rPr>
          <w:sz w:val="24"/>
        </w:rPr>
        <w:t>and </w:t>
      </w:r>
      <w:r>
        <w:rPr>
          <w:i/>
          <w:sz w:val="24"/>
        </w:rPr>
        <w:t>Negotiated Distribution Service Criteria </w:t>
      </w:r>
      <w:r>
        <w:rPr>
          <w:sz w:val="24"/>
        </w:rPr>
        <w:t>when </w:t>
      </w:r>
      <w:r>
        <w:rPr>
          <w:i/>
          <w:sz w:val="24"/>
        </w:rPr>
        <w:t>negotiating the terms and conditions of access </w:t>
      </w:r>
      <w:r>
        <w:rPr>
          <w:sz w:val="24"/>
        </w:rPr>
        <w:t>to </w:t>
      </w:r>
      <w:r>
        <w:rPr>
          <w:i/>
          <w:sz w:val="24"/>
        </w:rPr>
        <w:t>negotiated </w:t>
      </w:r>
      <w:r>
        <w:rPr>
          <w:i/>
          <w:sz w:val="24"/>
        </w:rPr>
        <w:t>distribution</w:t>
      </w:r>
      <w:r>
        <w:rPr>
          <w:i/>
          <w:spacing w:val="-1"/>
          <w:sz w:val="24"/>
        </w:rPr>
        <w:t> </w:t>
      </w:r>
      <w:r>
        <w:rPr>
          <w:i/>
          <w:sz w:val="24"/>
        </w:rPr>
        <w:t>services</w:t>
      </w:r>
      <w:r>
        <w:rPr>
          <w:sz w:val="24"/>
        </w:rPr>
        <w:t>;</w:t>
      </w:r>
    </w:p>
    <w:p>
      <w:pPr>
        <w:pStyle w:val="ListParagraph"/>
        <w:numPr>
          <w:ilvl w:val="4"/>
          <w:numId w:val="54"/>
        </w:numPr>
        <w:tabs>
          <w:tab w:pos="2486" w:val="left" w:leader="none"/>
        </w:tabs>
        <w:spacing w:line="240" w:lineRule="auto" w:before="120" w:after="0"/>
        <w:ind w:left="2486" w:right="414" w:hanging="567"/>
        <w:jc w:val="both"/>
        <w:rPr>
          <w:sz w:val="24"/>
        </w:rPr>
      </w:pPr>
      <w:r>
        <w:rPr>
          <w:sz w:val="24"/>
        </w:rPr>
        <w:t>disputes relating to the </w:t>
      </w:r>
      <w:r>
        <w:rPr>
          <w:i/>
          <w:sz w:val="24"/>
        </w:rPr>
        <w:t>terms and conditions of access </w:t>
      </w:r>
      <w:r>
        <w:rPr>
          <w:sz w:val="24"/>
        </w:rPr>
        <w:t>to a </w:t>
      </w:r>
      <w:r>
        <w:rPr>
          <w:i/>
          <w:spacing w:val="-3"/>
          <w:sz w:val="24"/>
        </w:rPr>
        <w:t>direct </w:t>
      </w:r>
      <w:r>
        <w:rPr>
          <w:i/>
          <w:sz w:val="24"/>
        </w:rPr>
        <w:t>control service </w:t>
      </w:r>
      <w:r>
        <w:rPr>
          <w:sz w:val="24"/>
        </w:rPr>
        <w:t>or to a </w:t>
      </w:r>
      <w:r>
        <w:rPr>
          <w:i/>
          <w:sz w:val="24"/>
        </w:rPr>
        <w:t>negotiated distribution service</w:t>
      </w:r>
      <w:r>
        <w:rPr>
          <w:sz w:val="24"/>
        </w:rPr>
        <w:t>, </w:t>
      </w:r>
      <w:r>
        <w:rPr>
          <w:i/>
          <w:sz w:val="24"/>
        </w:rPr>
        <w:t>access charges </w:t>
      </w:r>
      <w:r>
        <w:rPr>
          <w:sz w:val="24"/>
        </w:rPr>
        <w:t>or matters referred to in clause 5.3AA(f) (</w:t>
      </w:r>
      <w:r>
        <w:rPr>
          <w:i/>
          <w:sz w:val="24"/>
        </w:rPr>
        <w:t>negotiated use of system </w:t>
      </w:r>
      <w:r>
        <w:rPr>
          <w:i/>
          <w:sz w:val="24"/>
        </w:rPr>
        <w:t>charges</w:t>
      </w:r>
      <w:r>
        <w:rPr>
          <w:sz w:val="24"/>
        </w:rPr>
        <w:t>) or 5.3AA(h) (avoided charges for the locational component of </w:t>
      </w:r>
      <w:r>
        <w:rPr>
          <w:i/>
          <w:sz w:val="24"/>
        </w:rPr>
        <w:t>prescribed TUOS services</w:t>
      </w:r>
      <w:r>
        <w:rPr>
          <w:sz w:val="24"/>
        </w:rPr>
        <w:t>) may be referred to the </w:t>
      </w:r>
      <w:r>
        <w:rPr>
          <w:i/>
          <w:sz w:val="24"/>
        </w:rPr>
        <w:t>AER </w:t>
      </w:r>
      <w:r>
        <w:rPr>
          <w:sz w:val="24"/>
        </w:rPr>
        <w:t>in accordance with Part L of Chapter</w:t>
      </w:r>
      <w:r>
        <w:rPr>
          <w:spacing w:val="-3"/>
          <w:sz w:val="24"/>
        </w:rPr>
        <w:t> </w:t>
      </w:r>
      <w:r>
        <w:rPr>
          <w:sz w:val="24"/>
        </w:rPr>
        <w:t>6;</w:t>
      </w:r>
    </w:p>
    <w:p>
      <w:pPr>
        <w:pStyle w:val="ListParagraph"/>
        <w:numPr>
          <w:ilvl w:val="4"/>
          <w:numId w:val="54"/>
        </w:numPr>
        <w:tabs>
          <w:tab w:pos="2486" w:val="left" w:leader="none"/>
        </w:tabs>
        <w:spacing w:line="240" w:lineRule="auto" w:before="120" w:after="0"/>
        <w:ind w:left="2486" w:right="416" w:hanging="567"/>
        <w:jc w:val="both"/>
        <w:rPr>
          <w:sz w:val="24"/>
        </w:rPr>
      </w:pPr>
      <w:r>
        <w:rPr>
          <w:sz w:val="24"/>
        </w:rPr>
        <w:t>Part G of Chapter 5A provides for dispute resolution by the </w:t>
      </w:r>
      <w:r>
        <w:rPr>
          <w:i/>
          <w:sz w:val="24"/>
        </w:rPr>
        <w:t>AER </w:t>
      </w:r>
      <w:r>
        <w:rPr>
          <w:sz w:val="24"/>
        </w:rPr>
        <w:t>for certain disputes under Chapter 5A;</w:t>
      </w:r>
      <w:r>
        <w:rPr>
          <w:spacing w:val="-2"/>
          <w:sz w:val="24"/>
        </w:rPr>
        <w:t> </w:t>
      </w:r>
      <w:r>
        <w:rPr>
          <w:sz w:val="24"/>
        </w:rPr>
        <w:t>and</w:t>
      </w:r>
    </w:p>
    <w:p>
      <w:pPr>
        <w:pStyle w:val="ListParagraph"/>
        <w:numPr>
          <w:ilvl w:val="4"/>
          <w:numId w:val="54"/>
        </w:numPr>
        <w:tabs>
          <w:tab w:pos="2486" w:val="left" w:leader="none"/>
        </w:tabs>
        <w:spacing w:line="240" w:lineRule="auto" w:before="120" w:after="0"/>
        <w:ind w:left="2486" w:right="416" w:hanging="567"/>
        <w:jc w:val="both"/>
        <w:rPr>
          <w:sz w:val="24"/>
        </w:rPr>
      </w:pPr>
      <w:r>
        <w:rPr>
          <w:sz w:val="24"/>
        </w:rPr>
        <w:t>other disputes relating to </w:t>
      </w:r>
      <w:r>
        <w:rPr>
          <w:i/>
          <w:sz w:val="24"/>
        </w:rPr>
        <w:t>connection </w:t>
      </w:r>
      <w:r>
        <w:rPr>
          <w:sz w:val="24"/>
        </w:rPr>
        <w:t>and access may be subject to dispute resolution under rule</w:t>
      </w:r>
      <w:r>
        <w:rPr>
          <w:spacing w:val="-1"/>
          <w:sz w:val="24"/>
        </w:rPr>
        <w:t> </w:t>
      </w:r>
      <w:r>
        <w:rPr>
          <w:sz w:val="24"/>
        </w:rPr>
        <w:t>8.2.</w:t>
      </w:r>
    </w:p>
    <w:p>
      <w:pPr>
        <w:pStyle w:val="ListParagraph"/>
        <w:numPr>
          <w:ilvl w:val="3"/>
          <w:numId w:val="54"/>
        </w:numPr>
        <w:tabs>
          <w:tab w:pos="1920" w:val="left" w:leader="none"/>
        </w:tabs>
        <w:spacing w:line="240" w:lineRule="auto" w:before="120" w:after="0"/>
        <w:ind w:left="1919" w:right="0" w:hanging="568"/>
        <w:jc w:val="both"/>
        <w:rPr>
          <w:i/>
          <w:sz w:val="24"/>
        </w:rPr>
      </w:pPr>
      <w:r>
        <w:rPr>
          <w:sz w:val="24"/>
        </w:rPr>
        <w:t>In addition to the rules referred to in paragraph (d), in relation to</w:t>
      </w:r>
      <w:r>
        <w:rPr>
          <w:spacing w:val="1"/>
          <w:sz w:val="24"/>
        </w:rPr>
        <w:t> </w:t>
      </w:r>
      <w:r>
        <w:rPr>
          <w:i/>
          <w:sz w:val="24"/>
        </w:rPr>
        <w:t>connection</w:t>
      </w:r>
    </w:p>
    <w:p>
      <w:pPr>
        <w:spacing w:before="0"/>
        <w:ind w:left="1919" w:right="0" w:firstLine="0"/>
        <w:jc w:val="both"/>
        <w:rPr>
          <w:sz w:val="24"/>
        </w:rPr>
      </w:pPr>
      <w:r>
        <w:rPr>
          <w:sz w:val="24"/>
        </w:rPr>
        <w:t>and access to a </w:t>
      </w:r>
      <w:r>
        <w:rPr>
          <w:i/>
          <w:sz w:val="24"/>
        </w:rPr>
        <w:t>transmission network</w:t>
      </w:r>
      <w:r>
        <w:rPr>
          <w:sz w:val="24"/>
        </w:rPr>
        <w:t>:</w:t>
      </w:r>
    </w:p>
    <w:p>
      <w:pPr>
        <w:pStyle w:val="ListParagraph"/>
        <w:numPr>
          <w:ilvl w:val="4"/>
          <w:numId w:val="54"/>
        </w:numPr>
        <w:tabs>
          <w:tab w:pos="2486" w:val="left" w:leader="none"/>
        </w:tabs>
        <w:spacing w:line="240" w:lineRule="auto" w:before="120" w:after="0"/>
        <w:ind w:left="2486" w:right="415" w:hanging="567"/>
        <w:jc w:val="both"/>
        <w:rPr>
          <w:sz w:val="24"/>
        </w:rPr>
      </w:pPr>
      <w:r>
        <w:rPr>
          <w:sz w:val="24"/>
        </w:rPr>
        <w:t>the negotiating principles set out in Chapter 6, rather than schedule 5.11, will apply to negotiations between a </w:t>
      </w:r>
      <w:r>
        <w:rPr>
          <w:i/>
          <w:sz w:val="24"/>
        </w:rPr>
        <w:t>Transmission Network </w:t>
      </w:r>
      <w:r>
        <w:rPr>
          <w:i/>
          <w:sz w:val="24"/>
        </w:rPr>
        <w:t>Service Provider </w:t>
      </w:r>
      <w:r>
        <w:rPr>
          <w:sz w:val="24"/>
        </w:rPr>
        <w:t>and a </w:t>
      </w:r>
      <w:r>
        <w:rPr>
          <w:i/>
          <w:sz w:val="24"/>
        </w:rPr>
        <w:t>Connection Applicant </w:t>
      </w:r>
      <w:r>
        <w:rPr>
          <w:sz w:val="24"/>
        </w:rPr>
        <w:t>for </w:t>
      </w:r>
      <w:r>
        <w:rPr>
          <w:i/>
          <w:spacing w:val="-3"/>
          <w:sz w:val="24"/>
        </w:rPr>
        <w:t>negotiated </w:t>
      </w:r>
      <w:r>
        <w:rPr>
          <w:i/>
          <w:sz w:val="24"/>
        </w:rPr>
        <w:t>transmission services </w:t>
      </w:r>
      <w:r>
        <w:rPr>
          <w:sz w:val="24"/>
        </w:rPr>
        <w:t>(as if they were </w:t>
      </w:r>
      <w:r>
        <w:rPr>
          <w:i/>
          <w:sz w:val="24"/>
        </w:rPr>
        <w:t>negotiated distribution </w:t>
      </w:r>
      <w:r>
        <w:rPr>
          <w:i/>
          <w:sz w:val="24"/>
        </w:rPr>
        <w:t>services</w:t>
      </w:r>
      <w:r>
        <w:rPr>
          <w:sz w:val="24"/>
        </w:rPr>
        <w:t>);</w:t>
      </w:r>
    </w:p>
    <w:p>
      <w:pPr>
        <w:pStyle w:val="ListParagraph"/>
        <w:numPr>
          <w:ilvl w:val="4"/>
          <w:numId w:val="54"/>
        </w:numPr>
        <w:tabs>
          <w:tab w:pos="2486" w:val="left" w:leader="none"/>
        </w:tabs>
        <w:spacing w:line="240" w:lineRule="auto" w:before="120" w:after="0"/>
        <w:ind w:left="2486" w:right="416" w:hanging="567"/>
        <w:jc w:val="both"/>
        <w:rPr>
          <w:sz w:val="24"/>
        </w:rPr>
      </w:pPr>
      <w:r>
        <w:rPr>
          <w:sz w:val="24"/>
        </w:rPr>
        <w:t>rule 5.4 provides a framework for </w:t>
      </w:r>
      <w:r>
        <w:rPr>
          <w:i/>
          <w:sz w:val="24"/>
        </w:rPr>
        <w:t>Connection Applicants </w:t>
      </w:r>
      <w:r>
        <w:rPr>
          <w:spacing w:val="-5"/>
          <w:sz w:val="24"/>
        </w:rPr>
        <w:t>and </w:t>
      </w:r>
      <w:r>
        <w:rPr>
          <w:i/>
          <w:sz w:val="24"/>
        </w:rPr>
        <w:t>Transmission Network Service Providers </w:t>
      </w:r>
      <w:r>
        <w:rPr>
          <w:sz w:val="24"/>
        </w:rPr>
        <w:t>to appoint an </w:t>
      </w:r>
      <w:r>
        <w:rPr>
          <w:i/>
          <w:sz w:val="24"/>
        </w:rPr>
        <w:t>Independent </w:t>
      </w:r>
      <w:r>
        <w:rPr>
          <w:i/>
          <w:sz w:val="24"/>
        </w:rPr>
        <w:t>Engineer </w:t>
      </w:r>
      <w:r>
        <w:rPr>
          <w:sz w:val="24"/>
        </w:rPr>
        <w:t>to provide advice on certain technical matters;</w:t>
      </w:r>
      <w:r>
        <w:rPr>
          <w:spacing w:val="-3"/>
          <w:sz w:val="24"/>
        </w:rPr>
        <w:t> </w:t>
      </w:r>
      <w:r>
        <w:rPr>
          <w:sz w:val="24"/>
        </w:rPr>
        <w:t>and</w:t>
      </w:r>
    </w:p>
    <w:p>
      <w:pPr>
        <w:pStyle w:val="ListParagraph"/>
        <w:numPr>
          <w:ilvl w:val="4"/>
          <w:numId w:val="54"/>
        </w:numPr>
        <w:tabs>
          <w:tab w:pos="2486" w:val="left" w:leader="none"/>
        </w:tabs>
        <w:spacing w:line="240" w:lineRule="auto" w:before="120" w:after="0"/>
        <w:ind w:left="2486" w:right="415" w:hanging="567"/>
        <w:jc w:val="both"/>
        <w:rPr>
          <w:sz w:val="24"/>
        </w:rPr>
      </w:pPr>
      <w:r>
        <w:rPr>
          <w:sz w:val="24"/>
        </w:rPr>
        <w:t>disputes between a </w:t>
      </w:r>
      <w:r>
        <w:rPr>
          <w:i/>
          <w:sz w:val="24"/>
        </w:rPr>
        <w:t>Transmission Network Service Provider </w:t>
      </w:r>
      <w:r>
        <w:rPr>
          <w:sz w:val="24"/>
        </w:rPr>
        <w:t>and a </w:t>
      </w:r>
      <w:r>
        <w:rPr>
          <w:i/>
          <w:sz w:val="24"/>
        </w:rPr>
        <w:t>Connection Applicant </w:t>
      </w:r>
      <w:r>
        <w:rPr>
          <w:sz w:val="24"/>
        </w:rPr>
        <w:t>as to </w:t>
      </w:r>
      <w:r>
        <w:rPr>
          <w:i/>
          <w:sz w:val="24"/>
        </w:rPr>
        <w:t>terms and conditions of access </w:t>
      </w:r>
      <w:r>
        <w:rPr>
          <w:sz w:val="24"/>
        </w:rPr>
        <w:t>for the provision of </w:t>
      </w:r>
      <w:r>
        <w:rPr>
          <w:i/>
          <w:sz w:val="24"/>
        </w:rPr>
        <w:t>prescribed transmission services </w:t>
      </w:r>
      <w:r>
        <w:rPr>
          <w:sz w:val="24"/>
        </w:rPr>
        <w:t>or for the provision of </w:t>
      </w:r>
      <w:r>
        <w:rPr>
          <w:i/>
          <w:sz w:val="24"/>
        </w:rPr>
        <w:t>negotiated transmission services </w:t>
      </w:r>
      <w:r>
        <w:rPr>
          <w:sz w:val="24"/>
        </w:rPr>
        <w:t>will be determined under Chapter 6, rather than rule 5.5 (as if they were </w:t>
      </w:r>
      <w:r>
        <w:rPr>
          <w:i/>
          <w:sz w:val="24"/>
        </w:rPr>
        <w:t>negotiated distribution</w:t>
      </w:r>
      <w:r>
        <w:rPr>
          <w:i/>
          <w:spacing w:val="-9"/>
          <w:sz w:val="24"/>
        </w:rPr>
        <w:t> </w:t>
      </w:r>
      <w:r>
        <w:rPr>
          <w:i/>
          <w:sz w:val="24"/>
        </w:rPr>
        <w:t>services</w:t>
      </w:r>
      <w:r>
        <w:rPr>
          <w:sz w:val="24"/>
        </w:rPr>
        <w:t>).</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Part B also provides for a </w:t>
      </w:r>
      <w:r>
        <w:rPr>
          <w:i/>
          <w:sz w:val="24"/>
        </w:rPr>
        <w:t>Dedicated Connection Asset Service Provider </w:t>
      </w:r>
      <w:r>
        <w:rPr>
          <w:sz w:val="24"/>
        </w:rPr>
        <w:t>to have an </w:t>
      </w:r>
      <w:r>
        <w:rPr>
          <w:i/>
          <w:sz w:val="24"/>
        </w:rPr>
        <w:t>access policy </w:t>
      </w:r>
      <w:r>
        <w:rPr>
          <w:sz w:val="24"/>
        </w:rPr>
        <w:t>for a </w:t>
      </w:r>
      <w:r>
        <w:rPr>
          <w:i/>
          <w:sz w:val="24"/>
        </w:rPr>
        <w:t>large dedicated connection asset </w:t>
      </w:r>
      <w:r>
        <w:rPr>
          <w:sz w:val="24"/>
        </w:rPr>
        <w:t>and for </w:t>
      </w:r>
      <w:r>
        <w:rPr>
          <w:i/>
          <w:sz w:val="24"/>
        </w:rPr>
        <w:t>commercial arbitration </w:t>
      </w:r>
      <w:r>
        <w:rPr>
          <w:sz w:val="24"/>
        </w:rPr>
        <w:t>under rule 5.5 to apply to a </w:t>
      </w:r>
      <w:r>
        <w:rPr>
          <w:i/>
          <w:sz w:val="24"/>
        </w:rPr>
        <w:t>large DCA services </w:t>
      </w:r>
      <w:r>
        <w:rPr>
          <w:i/>
          <w:sz w:val="24"/>
        </w:rPr>
        <w:t>access dispute</w:t>
      </w:r>
      <w:r>
        <w:rPr>
          <w:sz w:val="24"/>
        </w:rPr>
        <w:t>.</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5.1.3 Definitions" w:id="339"/>
      <w:bookmarkEnd w:id="339"/>
      <w:r>
        <w:rPr>
          <w:b w:val="0"/>
        </w:rPr>
      </w:r>
      <w:bookmarkStart w:name="_bookmark150" w:id="340"/>
      <w:bookmarkEnd w:id="340"/>
      <w:r>
        <w:rPr>
          <w:b w:val="0"/>
        </w:rPr>
      </w:r>
      <w:bookmarkStart w:name="_bookmark150" w:id="341"/>
      <w:bookmarkEnd w:id="341"/>
      <w:r>
        <w:rPr/>
        <w:t>Definition</w:t>
      </w:r>
      <w:r>
        <w:rPr/>
        <w:t>s</w:t>
      </w:r>
    </w:p>
    <w:p>
      <w:pPr>
        <w:pStyle w:val="BodyText"/>
        <w:ind w:left="1352" w:firstLine="0"/>
      </w:pPr>
      <w:r>
        <w:rPr/>
        <w:t>In this Chapter:</w:t>
      </w:r>
    </w:p>
    <w:p>
      <w:pPr>
        <w:spacing w:before="120"/>
        <w:ind w:left="1352" w:right="0" w:firstLine="0"/>
        <w:jc w:val="both"/>
        <w:rPr>
          <w:sz w:val="24"/>
        </w:rPr>
      </w:pPr>
      <w:r>
        <w:rPr>
          <w:b/>
          <w:sz w:val="24"/>
        </w:rPr>
        <w:t>non-registered embedded generator </w:t>
      </w:r>
      <w:r>
        <w:rPr>
          <w:sz w:val="24"/>
        </w:rPr>
        <w:t>has the same meaning as in clause 5A.A.1</w:t>
      </w:r>
    </w:p>
    <w:p>
      <w:pPr>
        <w:pStyle w:val="BodyText"/>
        <w:ind w:left="1352" w:right="415" w:firstLine="0"/>
      </w:pPr>
      <w:r>
        <w:rPr>
          <w:b/>
        </w:rPr>
        <w:t>relevant materiality threshold </w:t>
      </w:r>
      <w:r>
        <w:rPr/>
        <w:t>means a generation or load capacity threshold (for a local electricity system or part of a local electricity system), in MW, specified by a local instrument for the purposes of this</w:t>
      </w:r>
      <w:r>
        <w:rPr>
          <w:spacing w:val="-5"/>
        </w:rPr>
        <w:t> </w:t>
      </w:r>
      <w:r>
        <w:rPr/>
        <w:t>definition.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requirements of this Chapter 5 relating to the materiality threshold will take effect in this jurisdiction when a threshold is specified by a local instrument.</w:t>
      </w:r>
    </w:p>
    <w:p>
      <w:pPr>
        <w:spacing w:after="0"/>
        <w:jc w:val="both"/>
        <w:rPr>
          <w:sz w:val="20"/>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B Network Connection and Access" w:id="342"/>
      <w:bookmarkEnd w:id="342"/>
      <w:r>
        <w:rPr>
          <w:b w:val="0"/>
        </w:rPr>
      </w:r>
      <w:bookmarkStart w:name="_bookmark151" w:id="343"/>
      <w:bookmarkEnd w:id="343"/>
      <w:r>
        <w:rPr>
          <w:b w:val="0"/>
        </w:rPr>
      </w:r>
      <w:r>
        <w:rPr>
          <w:shd w:fill="D9D9D9" w:color="auto" w:val="clear"/>
        </w:rPr>
        <w:t>Part B</w:t>
        <w:tab/>
        <w:t>Network Connection and</w:t>
      </w:r>
      <w:r>
        <w:rPr>
          <w:spacing w:val="-23"/>
          <w:shd w:fill="D9D9D9" w:color="auto" w:val="clear"/>
        </w:rPr>
        <w:t> </w:t>
      </w:r>
      <w:r>
        <w:rPr>
          <w:shd w:fill="D9D9D9" w:color="auto" w:val="clear"/>
        </w:rPr>
        <w:t>Access</w:t>
        <w:tab/>
      </w:r>
    </w:p>
    <w:p>
      <w:pPr>
        <w:pStyle w:val="Heading3"/>
        <w:tabs>
          <w:tab w:pos="1351" w:val="left" w:leader="none"/>
        </w:tabs>
        <w:spacing w:before="240"/>
        <w:ind w:left="218" w:firstLine="0"/>
      </w:pPr>
      <w:bookmarkStart w:name="5.1A Introduction to Part B" w:id="344"/>
      <w:bookmarkEnd w:id="344"/>
      <w:r>
        <w:rPr>
          <w:b w:val="0"/>
        </w:rPr>
      </w:r>
      <w:bookmarkStart w:name="_bookmark152" w:id="345"/>
      <w:bookmarkEnd w:id="345"/>
      <w:r>
        <w:rPr>
          <w:b w:val="0"/>
        </w:rPr>
      </w:r>
      <w:r>
        <w:rPr/>
        <w:t>5.1A</w:t>
        <w:tab/>
        <w:t>Introduction to Part</w:t>
      </w:r>
      <w:r>
        <w:rPr>
          <w:spacing w:val="-2"/>
        </w:rPr>
        <w:t> </w:t>
      </w:r>
      <w:r>
        <w:rPr/>
        <w:t>B</w:t>
      </w:r>
    </w:p>
    <w:p>
      <w:pPr>
        <w:pStyle w:val="Heading4"/>
        <w:numPr>
          <w:ilvl w:val="1"/>
          <w:numId w:val="140"/>
        </w:numPr>
        <w:tabs>
          <w:tab w:pos="553" w:val="left" w:leader="none"/>
          <w:tab w:pos="1351" w:val="left" w:leader="none"/>
        </w:tabs>
        <w:spacing w:line="240" w:lineRule="auto" w:before="240" w:after="0"/>
        <w:ind w:left="552" w:right="0" w:hanging="335"/>
        <w:jc w:val="left"/>
      </w:pPr>
      <w:bookmarkStart w:name="5.1A.1 Purpose and Application" w:id="346"/>
      <w:bookmarkEnd w:id="346"/>
      <w:r>
        <w:rPr>
          <w:b w:val="0"/>
        </w:rPr>
      </w:r>
      <w:bookmarkStart w:name="_bookmark153" w:id="347"/>
      <w:bookmarkEnd w:id="347"/>
      <w:r>
        <w:rPr>
          <w:b w:val="0"/>
        </w:rPr>
      </w:r>
      <w:bookmarkStart w:name="_bookmark153" w:id="348"/>
      <w:bookmarkEnd w:id="348"/>
      <w:r>
        <w:rPr/>
        <w:t>A.</w:t>
      </w:r>
      <w:r>
        <w:rPr/>
        <w:t>1</w:t>
        <w:tab/>
        <w:t>Purpose and</w:t>
      </w:r>
      <w:r>
        <w:rPr>
          <w:spacing w:val="-2"/>
        </w:rPr>
        <w:t> </w:t>
      </w:r>
      <w:r>
        <w:rPr/>
        <w:t>Application</w:t>
      </w:r>
    </w:p>
    <w:p>
      <w:pPr>
        <w:pStyle w:val="ListParagraph"/>
        <w:numPr>
          <w:ilvl w:val="2"/>
          <w:numId w:val="140"/>
        </w:numPr>
        <w:tabs>
          <w:tab w:pos="1919" w:val="left" w:leader="none"/>
        </w:tabs>
        <w:spacing w:line="240" w:lineRule="auto" w:before="120" w:after="0"/>
        <w:ind w:left="1918" w:right="0" w:hanging="567"/>
        <w:jc w:val="both"/>
        <w:rPr>
          <w:sz w:val="24"/>
        </w:rPr>
      </w:pPr>
      <w:r>
        <w:rPr>
          <w:sz w:val="24"/>
        </w:rPr>
        <w:t>This Part</w:t>
      </w:r>
      <w:r>
        <w:rPr>
          <w:spacing w:val="-2"/>
          <w:sz w:val="24"/>
        </w:rPr>
        <w:t> </w:t>
      </w:r>
      <w:r>
        <w:rPr>
          <w:sz w:val="24"/>
        </w:rPr>
        <w:t>B:</w:t>
      </w:r>
    </w:p>
    <w:p>
      <w:pPr>
        <w:pStyle w:val="ListParagraph"/>
        <w:numPr>
          <w:ilvl w:val="3"/>
          <w:numId w:val="140"/>
        </w:numPr>
        <w:tabs>
          <w:tab w:pos="2486" w:val="left" w:leader="none"/>
        </w:tabs>
        <w:spacing w:line="240" w:lineRule="auto" w:before="120" w:after="0"/>
        <w:ind w:left="2485" w:right="0" w:hanging="567"/>
        <w:jc w:val="both"/>
        <w:rPr>
          <w:sz w:val="24"/>
        </w:rPr>
      </w:pPr>
      <w:r>
        <w:rPr>
          <w:sz w:val="24"/>
        </w:rPr>
        <w:t>[</w:t>
      </w:r>
      <w:r>
        <w:rPr>
          <w:b/>
          <w:sz w:val="24"/>
        </w:rPr>
        <w:t>Deleted</w:t>
      </w:r>
      <w:r>
        <w:rPr>
          <w:sz w:val="24"/>
        </w:rPr>
        <w:t>]</w:t>
      </w:r>
    </w:p>
    <w:p>
      <w:pPr>
        <w:pStyle w:val="ListParagraph"/>
        <w:numPr>
          <w:ilvl w:val="3"/>
          <w:numId w:val="140"/>
        </w:numPr>
        <w:tabs>
          <w:tab w:pos="2486" w:val="left" w:leader="none"/>
        </w:tabs>
        <w:spacing w:line="240" w:lineRule="auto" w:before="120" w:after="0"/>
        <w:ind w:left="2485" w:right="0" w:hanging="567"/>
        <w:jc w:val="both"/>
        <w:rPr>
          <w:sz w:val="24"/>
        </w:rPr>
      </w:pPr>
      <w:r>
        <w:rPr>
          <w:sz w:val="24"/>
        </w:rPr>
        <w:t>has the following</w:t>
      </w:r>
      <w:r>
        <w:rPr>
          <w:spacing w:val="-1"/>
          <w:sz w:val="24"/>
        </w:rPr>
        <w:t> </w:t>
      </w:r>
      <w:r>
        <w:rPr>
          <w:sz w:val="24"/>
        </w:rPr>
        <w:t>aims:</w:t>
      </w:r>
    </w:p>
    <w:p>
      <w:pPr>
        <w:pStyle w:val="ListParagraph"/>
        <w:numPr>
          <w:ilvl w:val="4"/>
          <w:numId w:val="140"/>
        </w:numPr>
        <w:tabs>
          <w:tab w:pos="3053" w:val="left" w:leader="none"/>
        </w:tabs>
        <w:spacing w:line="240" w:lineRule="auto" w:before="120" w:after="0"/>
        <w:ind w:left="3053" w:right="415" w:hanging="567"/>
        <w:jc w:val="both"/>
        <w:rPr>
          <w:sz w:val="24"/>
        </w:rPr>
      </w:pPr>
      <w:r>
        <w:rPr>
          <w:sz w:val="24"/>
        </w:rPr>
        <w:t>to detail the principles and guidelines governing </w:t>
      </w:r>
      <w:r>
        <w:rPr>
          <w:i/>
          <w:sz w:val="24"/>
        </w:rPr>
        <w:t>connection </w:t>
      </w:r>
      <w:r>
        <w:rPr>
          <w:spacing w:val="-4"/>
          <w:sz w:val="24"/>
        </w:rPr>
        <w:t>and </w:t>
      </w:r>
      <w:r>
        <w:rPr>
          <w:sz w:val="24"/>
        </w:rPr>
        <w:t>access to a</w:t>
      </w:r>
      <w:r>
        <w:rPr>
          <w:spacing w:val="-3"/>
          <w:sz w:val="24"/>
        </w:rPr>
        <w:t> </w:t>
      </w:r>
      <w:r>
        <w:rPr>
          <w:i/>
          <w:sz w:val="24"/>
        </w:rPr>
        <w:t>network</w:t>
      </w:r>
      <w:r>
        <w:rPr>
          <w:sz w:val="24"/>
        </w:rPr>
        <w:t>;</w:t>
      </w:r>
    </w:p>
    <w:p>
      <w:pPr>
        <w:pStyle w:val="ListParagraph"/>
        <w:numPr>
          <w:ilvl w:val="4"/>
          <w:numId w:val="140"/>
        </w:numPr>
        <w:tabs>
          <w:tab w:pos="3054" w:val="left" w:leader="none"/>
        </w:tabs>
        <w:spacing w:line="240" w:lineRule="auto" w:before="120" w:after="0"/>
        <w:ind w:left="3053" w:right="415" w:hanging="567"/>
        <w:jc w:val="both"/>
        <w:rPr>
          <w:sz w:val="24"/>
        </w:rPr>
      </w:pPr>
      <w:r>
        <w:rPr>
          <w:sz w:val="24"/>
        </w:rPr>
        <w:t>to establish the process to be followed by a </w:t>
      </w:r>
      <w:r>
        <w:rPr>
          <w:i/>
          <w:sz w:val="24"/>
        </w:rPr>
        <w:t>Registered </w:t>
      </w:r>
      <w:r>
        <w:rPr>
          <w:i/>
          <w:sz w:val="24"/>
        </w:rPr>
        <w:t>Participant </w:t>
      </w:r>
      <w:r>
        <w:rPr>
          <w:sz w:val="24"/>
        </w:rPr>
        <w:t>or a person intending to become a </w:t>
      </w:r>
      <w:r>
        <w:rPr>
          <w:i/>
          <w:sz w:val="24"/>
        </w:rPr>
        <w:t>Registered </w:t>
      </w:r>
      <w:r>
        <w:rPr>
          <w:i/>
          <w:sz w:val="24"/>
        </w:rPr>
        <w:t>Participant </w:t>
      </w:r>
      <w:r>
        <w:rPr>
          <w:sz w:val="24"/>
        </w:rPr>
        <w:t>for establishing or modifying a </w:t>
      </w:r>
      <w:r>
        <w:rPr>
          <w:i/>
          <w:sz w:val="24"/>
        </w:rPr>
        <w:t>connection </w:t>
      </w:r>
      <w:r>
        <w:rPr>
          <w:sz w:val="24"/>
        </w:rPr>
        <w:t>to a </w:t>
      </w:r>
      <w:r>
        <w:rPr>
          <w:i/>
          <w:sz w:val="24"/>
        </w:rPr>
        <w:t>network </w:t>
      </w:r>
      <w:r>
        <w:rPr>
          <w:sz w:val="24"/>
        </w:rPr>
        <w:t>or for altering </w:t>
      </w:r>
      <w:r>
        <w:rPr>
          <w:i/>
          <w:sz w:val="24"/>
        </w:rPr>
        <w:t>generating plant connected </w:t>
      </w:r>
      <w:r>
        <w:rPr>
          <w:sz w:val="24"/>
        </w:rPr>
        <w:t>to a</w:t>
      </w:r>
      <w:r>
        <w:rPr>
          <w:spacing w:val="-3"/>
          <w:sz w:val="24"/>
        </w:rPr>
        <w:t> </w:t>
      </w:r>
      <w:r>
        <w:rPr>
          <w:i/>
          <w:sz w:val="24"/>
        </w:rPr>
        <w:t>network</w:t>
      </w:r>
      <w:r>
        <w:rPr>
          <w:sz w:val="24"/>
        </w:rPr>
        <w:t>;</w:t>
      </w:r>
    </w:p>
    <w:p>
      <w:pPr>
        <w:pStyle w:val="ListParagraph"/>
        <w:numPr>
          <w:ilvl w:val="4"/>
          <w:numId w:val="140"/>
        </w:numPr>
        <w:tabs>
          <w:tab w:pos="3053" w:val="left" w:leader="none"/>
        </w:tabs>
        <w:spacing w:line="240" w:lineRule="auto" w:before="120" w:after="0"/>
        <w:ind w:left="3053" w:right="414" w:hanging="567"/>
        <w:jc w:val="both"/>
        <w:rPr>
          <w:sz w:val="24"/>
        </w:rPr>
      </w:pPr>
      <w:r>
        <w:rPr>
          <w:sz w:val="24"/>
        </w:rPr>
        <w:t>to address a </w:t>
      </w:r>
      <w:r>
        <w:rPr>
          <w:i/>
          <w:sz w:val="24"/>
        </w:rPr>
        <w:t>Connection Applicant's </w:t>
      </w:r>
      <w:r>
        <w:rPr>
          <w:sz w:val="24"/>
        </w:rPr>
        <w:t>reasonable expectations of the level and standard of </w:t>
      </w:r>
      <w:r>
        <w:rPr>
          <w:i/>
          <w:sz w:val="24"/>
        </w:rPr>
        <w:t>power transfer capability </w:t>
      </w:r>
      <w:r>
        <w:rPr>
          <w:sz w:val="24"/>
        </w:rPr>
        <w:t>that the relevant </w:t>
      </w:r>
      <w:r>
        <w:rPr>
          <w:i/>
          <w:sz w:val="24"/>
        </w:rPr>
        <w:t>network </w:t>
      </w:r>
      <w:r>
        <w:rPr>
          <w:sz w:val="24"/>
        </w:rPr>
        <w:t>should provide;</w:t>
      </w:r>
      <w:r>
        <w:rPr>
          <w:spacing w:val="-3"/>
          <w:sz w:val="24"/>
        </w:rPr>
        <w:t> </w:t>
      </w:r>
      <w:r>
        <w:rPr>
          <w:sz w:val="24"/>
        </w:rPr>
        <w:t>and</w:t>
      </w:r>
    </w:p>
    <w:p>
      <w:pPr>
        <w:pStyle w:val="ListParagraph"/>
        <w:numPr>
          <w:ilvl w:val="4"/>
          <w:numId w:val="140"/>
        </w:numPr>
        <w:tabs>
          <w:tab w:pos="3054" w:val="left" w:leader="none"/>
        </w:tabs>
        <w:spacing w:line="240" w:lineRule="auto" w:before="120" w:after="0"/>
        <w:ind w:left="3053" w:right="415" w:hanging="567"/>
        <w:jc w:val="both"/>
        <w:rPr>
          <w:sz w:val="24"/>
        </w:rPr>
      </w:pPr>
      <w:r>
        <w:rPr>
          <w:sz w:val="24"/>
        </w:rPr>
        <w:t>to establish processes to ensure ongoing compliance with the technical requirements of this Part B to facilitate management of the </w:t>
      </w:r>
      <w:r>
        <w:rPr>
          <w:i/>
          <w:sz w:val="24"/>
        </w:rPr>
        <w:t>national</w:t>
      </w:r>
      <w:r>
        <w:rPr>
          <w:i/>
          <w:spacing w:val="-1"/>
          <w:sz w:val="24"/>
        </w:rPr>
        <w:t> </w:t>
      </w:r>
      <w:r>
        <w:rPr>
          <w:i/>
          <w:sz w:val="24"/>
        </w:rPr>
        <w:t>grid</w:t>
      </w:r>
      <w:r>
        <w:rPr>
          <w:sz w:val="24"/>
        </w:rPr>
        <w:t>.</w:t>
      </w:r>
    </w:p>
    <w:p>
      <w:pPr>
        <w:pStyle w:val="ListParagraph"/>
        <w:numPr>
          <w:ilvl w:val="2"/>
          <w:numId w:val="140"/>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2"/>
          <w:numId w:val="140"/>
        </w:numPr>
        <w:tabs>
          <w:tab w:pos="1919" w:val="left" w:leader="none"/>
        </w:tabs>
        <w:spacing w:line="240" w:lineRule="auto" w:before="120" w:after="0"/>
        <w:ind w:left="1919" w:right="414" w:hanging="567"/>
        <w:jc w:val="both"/>
        <w:rPr>
          <w:sz w:val="24"/>
        </w:rPr>
      </w:pPr>
      <w:r>
        <w:rPr>
          <w:sz w:val="24"/>
        </w:rPr>
        <w:t>If a person who is not a </w:t>
      </w:r>
      <w:r>
        <w:rPr>
          <w:i/>
          <w:sz w:val="24"/>
        </w:rPr>
        <w:t>Registered Participant </w:t>
      </w:r>
      <w:r>
        <w:rPr>
          <w:sz w:val="24"/>
        </w:rPr>
        <w:t>or a person intending to become a </w:t>
      </w:r>
      <w:r>
        <w:rPr>
          <w:i/>
          <w:sz w:val="24"/>
        </w:rPr>
        <w:t>Registered Participant </w:t>
      </w:r>
      <w:r>
        <w:rPr>
          <w:sz w:val="24"/>
        </w:rPr>
        <w:t>requests </w:t>
      </w:r>
      <w:r>
        <w:rPr>
          <w:i/>
          <w:sz w:val="24"/>
        </w:rPr>
        <w:t>connection </w:t>
      </w:r>
      <w:r>
        <w:rPr>
          <w:sz w:val="24"/>
        </w:rPr>
        <w:t>of a </w:t>
      </w:r>
      <w:r>
        <w:rPr>
          <w:i/>
          <w:sz w:val="24"/>
        </w:rPr>
        <w:t>load </w:t>
      </w:r>
      <w:r>
        <w:rPr>
          <w:sz w:val="24"/>
        </w:rPr>
        <w:t>to </w:t>
      </w:r>
      <w:r>
        <w:rPr>
          <w:spacing w:val="-11"/>
          <w:sz w:val="24"/>
        </w:rPr>
        <w:t>a </w:t>
      </w:r>
      <w:r>
        <w:rPr>
          <w:i/>
          <w:sz w:val="24"/>
        </w:rPr>
        <w:t>transmission network </w:t>
      </w:r>
      <w:r>
        <w:rPr>
          <w:sz w:val="24"/>
        </w:rPr>
        <w:t>and agrees to comply with this Part B as if that person was a </w:t>
      </w:r>
      <w:r>
        <w:rPr>
          <w:i/>
          <w:sz w:val="24"/>
        </w:rPr>
        <w:t>Registered Participant</w:t>
      </w:r>
      <w:r>
        <w:rPr>
          <w:sz w:val="24"/>
        </w:rPr>
        <w:t>, the relevant </w:t>
      </w:r>
      <w:r>
        <w:rPr>
          <w:i/>
          <w:sz w:val="24"/>
        </w:rPr>
        <w:t>Transmission Network Service </w:t>
      </w:r>
      <w:r>
        <w:rPr>
          <w:i/>
          <w:sz w:val="24"/>
        </w:rPr>
        <w:t>Provider </w:t>
      </w:r>
      <w:r>
        <w:rPr>
          <w:sz w:val="24"/>
        </w:rPr>
        <w:t>must comply with this Part B as if that person was a </w:t>
      </w:r>
      <w:r>
        <w:rPr>
          <w:i/>
          <w:sz w:val="24"/>
        </w:rPr>
        <w:t>Registered </w:t>
      </w:r>
      <w:r>
        <w:rPr>
          <w:i/>
          <w:sz w:val="24"/>
        </w:rPr>
        <w:t>Participant</w:t>
      </w:r>
      <w:r>
        <w:rPr>
          <w:sz w:val="24"/>
        </w:rPr>
        <w:t>.</w:t>
      </w:r>
    </w:p>
    <w:p>
      <w:pPr>
        <w:pStyle w:val="ListParagraph"/>
        <w:numPr>
          <w:ilvl w:val="2"/>
          <w:numId w:val="140"/>
        </w:numPr>
        <w:tabs>
          <w:tab w:pos="1919" w:val="left" w:leader="none"/>
        </w:tabs>
        <w:spacing w:line="240" w:lineRule="auto" w:before="120" w:after="0"/>
        <w:ind w:left="1919" w:right="414" w:hanging="567"/>
        <w:jc w:val="both"/>
        <w:rPr>
          <w:sz w:val="24"/>
        </w:rPr>
      </w:pPr>
      <w:r>
        <w:rPr>
          <w:sz w:val="24"/>
        </w:rPr>
        <w:t>Subject to paragraphs (e) and (g), the following </w:t>
      </w:r>
      <w:r>
        <w:rPr>
          <w:i/>
          <w:sz w:val="24"/>
        </w:rPr>
        <w:t>Rules </w:t>
      </w:r>
      <w:r>
        <w:rPr>
          <w:sz w:val="24"/>
        </w:rPr>
        <w:t>apply in the application of this Part B to </w:t>
      </w:r>
      <w:r>
        <w:rPr>
          <w:i/>
          <w:sz w:val="24"/>
        </w:rPr>
        <w:t>transmission services </w:t>
      </w:r>
      <w:r>
        <w:rPr>
          <w:sz w:val="24"/>
        </w:rPr>
        <w:t>provided by means of, or in connection with, the </w:t>
      </w:r>
      <w:r>
        <w:rPr>
          <w:i/>
          <w:sz w:val="24"/>
        </w:rPr>
        <w:t>declared transmission system </w:t>
      </w:r>
      <w:r>
        <w:rPr>
          <w:sz w:val="24"/>
        </w:rPr>
        <w:t>of an </w:t>
      </w:r>
      <w:r>
        <w:rPr>
          <w:i/>
          <w:sz w:val="24"/>
        </w:rPr>
        <w:t>adoptive </w:t>
      </w:r>
      <w:r>
        <w:rPr>
          <w:i/>
          <w:sz w:val="24"/>
        </w:rPr>
        <w:t>jurisdiction</w:t>
      </w:r>
      <w:r>
        <w:rPr>
          <w:sz w:val="24"/>
        </w:rPr>
        <w:t>:</w:t>
      </w:r>
    </w:p>
    <w:p>
      <w:pPr>
        <w:pStyle w:val="ListParagraph"/>
        <w:numPr>
          <w:ilvl w:val="3"/>
          <w:numId w:val="140"/>
        </w:numPr>
        <w:tabs>
          <w:tab w:pos="2486" w:val="left" w:leader="none"/>
        </w:tabs>
        <w:spacing w:line="240" w:lineRule="auto" w:before="120" w:after="0"/>
        <w:ind w:left="2486" w:right="415" w:hanging="567"/>
        <w:jc w:val="both"/>
        <w:rPr>
          <w:sz w:val="24"/>
        </w:rPr>
      </w:pPr>
      <w:r>
        <w:rPr>
          <w:sz w:val="24"/>
        </w:rPr>
        <w:t>a reference to a </w:t>
      </w:r>
      <w:r>
        <w:rPr>
          <w:i/>
          <w:sz w:val="24"/>
        </w:rPr>
        <w:t>Network Service Provider </w:t>
      </w:r>
      <w:r>
        <w:rPr>
          <w:sz w:val="24"/>
        </w:rPr>
        <w:t>is, in relation to </w:t>
      </w:r>
      <w:r>
        <w:rPr>
          <w:spacing w:val="-6"/>
          <w:sz w:val="24"/>
        </w:rPr>
        <w:t>the </w:t>
      </w:r>
      <w:r>
        <w:rPr>
          <w:sz w:val="24"/>
        </w:rPr>
        <w:t>provision of </w:t>
      </w:r>
      <w:r>
        <w:rPr>
          <w:i/>
          <w:sz w:val="24"/>
        </w:rPr>
        <w:t>connection services</w:t>
      </w:r>
      <w:r>
        <w:rPr>
          <w:sz w:val="24"/>
        </w:rPr>
        <w:t>, to be read as a reference to a </w:t>
      </w:r>
      <w:r>
        <w:rPr>
          <w:i/>
          <w:sz w:val="24"/>
        </w:rPr>
        <w:t>declared transmission system operator</w:t>
      </w:r>
      <w:r>
        <w:rPr>
          <w:sz w:val="24"/>
        </w:rPr>
        <w:t>;</w:t>
      </w:r>
      <w:r>
        <w:rPr>
          <w:spacing w:val="-4"/>
          <w:sz w:val="24"/>
        </w:rPr>
        <w:t> </w:t>
      </w:r>
      <w:r>
        <w:rPr>
          <w:sz w:val="24"/>
        </w:rPr>
        <w:t>and</w:t>
      </w:r>
    </w:p>
    <w:p>
      <w:pPr>
        <w:pStyle w:val="ListParagraph"/>
        <w:numPr>
          <w:ilvl w:val="3"/>
          <w:numId w:val="140"/>
        </w:numPr>
        <w:tabs>
          <w:tab w:pos="2486" w:val="left" w:leader="none"/>
        </w:tabs>
        <w:spacing w:line="240" w:lineRule="auto" w:before="120" w:after="0"/>
        <w:ind w:left="2486" w:right="415" w:hanging="567"/>
        <w:jc w:val="both"/>
        <w:rPr>
          <w:sz w:val="24"/>
        </w:rPr>
      </w:pPr>
      <w:r>
        <w:rPr>
          <w:sz w:val="24"/>
        </w:rPr>
        <w:t>a reference to a </w:t>
      </w:r>
      <w:r>
        <w:rPr>
          <w:i/>
          <w:sz w:val="24"/>
        </w:rPr>
        <w:t>Network Service Provider </w:t>
      </w:r>
      <w:r>
        <w:rPr>
          <w:sz w:val="24"/>
        </w:rPr>
        <w:t>is, in relation to </w:t>
      </w:r>
      <w:r>
        <w:rPr>
          <w:spacing w:val="-6"/>
          <w:sz w:val="24"/>
        </w:rPr>
        <w:t>the </w:t>
      </w:r>
      <w:r>
        <w:rPr>
          <w:sz w:val="24"/>
        </w:rPr>
        <w:t>provision of </w:t>
      </w:r>
      <w:r>
        <w:rPr>
          <w:i/>
          <w:sz w:val="24"/>
        </w:rPr>
        <w:t>shared transmission services</w:t>
      </w:r>
      <w:r>
        <w:rPr>
          <w:sz w:val="24"/>
        </w:rPr>
        <w:t>, to be read as a reference to </w:t>
      </w:r>
      <w:r>
        <w:rPr>
          <w:i/>
          <w:sz w:val="24"/>
        </w:rPr>
        <w:t>AEMO</w:t>
      </w:r>
      <w:r>
        <w:rPr>
          <w:sz w:val="24"/>
        </w:rPr>
        <w:t>.</w:t>
      </w:r>
    </w:p>
    <w:p>
      <w:pPr>
        <w:pStyle w:val="ListParagraph"/>
        <w:numPr>
          <w:ilvl w:val="2"/>
          <w:numId w:val="140"/>
        </w:numPr>
        <w:tabs>
          <w:tab w:pos="1919" w:val="left" w:leader="none"/>
        </w:tabs>
        <w:spacing w:line="240" w:lineRule="auto" w:before="120" w:after="0"/>
        <w:ind w:left="1919" w:right="415" w:hanging="567"/>
        <w:jc w:val="both"/>
        <w:rPr>
          <w:sz w:val="24"/>
        </w:rPr>
      </w:pPr>
      <w:r>
        <w:rPr>
          <w:sz w:val="24"/>
        </w:rPr>
        <w:t>A reference in any of the following provisions to a </w:t>
      </w:r>
      <w:r>
        <w:rPr>
          <w:i/>
          <w:sz w:val="24"/>
        </w:rPr>
        <w:t>Network Service </w:t>
      </w:r>
      <w:r>
        <w:rPr>
          <w:i/>
          <w:sz w:val="24"/>
        </w:rPr>
        <w:t>Provider </w:t>
      </w:r>
      <w:r>
        <w:rPr>
          <w:sz w:val="24"/>
        </w:rPr>
        <w:t>will, in relation to the </w:t>
      </w:r>
      <w:r>
        <w:rPr>
          <w:i/>
          <w:sz w:val="24"/>
        </w:rPr>
        <w:t>declaredtransmission system </w:t>
      </w:r>
      <w:r>
        <w:rPr>
          <w:sz w:val="24"/>
        </w:rPr>
        <w:t>of an </w:t>
      </w:r>
      <w:r>
        <w:rPr>
          <w:i/>
          <w:sz w:val="24"/>
        </w:rPr>
        <w:t>adoptive </w:t>
      </w:r>
      <w:r>
        <w:rPr>
          <w:i/>
          <w:sz w:val="24"/>
        </w:rPr>
        <w:t>jurisdiction</w:t>
      </w:r>
      <w:r>
        <w:rPr>
          <w:sz w:val="24"/>
        </w:rPr>
        <w:t>, be construed as a reference to</w:t>
      </w:r>
      <w:r>
        <w:rPr>
          <w:spacing w:val="-1"/>
          <w:sz w:val="24"/>
        </w:rPr>
        <w:t> </w:t>
      </w:r>
      <w:r>
        <w:rPr>
          <w:i/>
          <w:sz w:val="24"/>
        </w:rPr>
        <w:t>AEMO</w:t>
      </w:r>
      <w:r>
        <w:rPr>
          <w:sz w:val="24"/>
        </w:rPr>
        <w:t>:</w:t>
      </w:r>
    </w:p>
    <w:p>
      <w:pPr>
        <w:pStyle w:val="BodyText"/>
        <w:tabs>
          <w:tab w:pos="2485" w:val="left" w:leader="none"/>
        </w:tabs>
        <w:ind w:left="1919" w:firstLine="0"/>
        <w:jc w:val="left"/>
      </w:pPr>
      <w:r>
        <w:rPr/>
        <w:t>(1)</w:t>
        <w:tab/>
        <w:t>clause 5.2.3(b);</w:t>
      </w:r>
    </w:p>
    <w:p>
      <w:pPr>
        <w:pStyle w:val="ListParagraph"/>
        <w:numPr>
          <w:ilvl w:val="0"/>
          <w:numId w:val="141"/>
        </w:numPr>
        <w:tabs>
          <w:tab w:pos="2485" w:val="left" w:leader="none"/>
          <w:tab w:pos="2486" w:val="left" w:leader="none"/>
        </w:tabs>
        <w:spacing w:line="240" w:lineRule="auto" w:before="120" w:after="0"/>
        <w:ind w:left="2485" w:right="0" w:hanging="567"/>
        <w:jc w:val="left"/>
        <w:rPr>
          <w:sz w:val="24"/>
        </w:rPr>
      </w:pPr>
      <w:r>
        <w:rPr>
          <w:sz w:val="24"/>
        </w:rPr>
        <w:t>clause 5.2.6;</w:t>
      </w:r>
    </w:p>
    <w:p>
      <w:pPr>
        <w:pStyle w:val="ListParagraph"/>
        <w:numPr>
          <w:ilvl w:val="0"/>
          <w:numId w:val="141"/>
        </w:numPr>
        <w:tabs>
          <w:tab w:pos="2485" w:val="left" w:leader="none"/>
          <w:tab w:pos="2486" w:val="left" w:leader="none"/>
        </w:tabs>
        <w:spacing w:line="240" w:lineRule="auto" w:before="120" w:after="0"/>
        <w:ind w:left="2485" w:right="0" w:hanging="567"/>
        <w:jc w:val="left"/>
        <w:rPr>
          <w:sz w:val="24"/>
        </w:rPr>
      </w:pPr>
      <w:r>
        <w:rPr>
          <w:sz w:val="24"/>
        </w:rPr>
        <w:t>clause 5.3A.12;</w:t>
      </w:r>
    </w:p>
    <w:p>
      <w:pPr>
        <w:spacing w:after="0" w:line="240" w:lineRule="auto"/>
        <w:jc w:val="left"/>
        <w:rPr>
          <w:sz w:val="24"/>
        </w:rPr>
        <w:sectPr>
          <w:pgSz w:w="11910" w:h="16840"/>
          <w:pgMar w:header="686" w:footer="637" w:top="1320" w:bottom="820" w:left="1200" w:right="1000"/>
        </w:sectPr>
      </w:pPr>
    </w:p>
    <w:p>
      <w:pPr>
        <w:pStyle w:val="ListParagraph"/>
        <w:numPr>
          <w:ilvl w:val="0"/>
          <w:numId w:val="141"/>
        </w:numPr>
        <w:tabs>
          <w:tab w:pos="2485" w:val="left" w:leader="none"/>
          <w:tab w:pos="2486" w:val="left" w:leader="none"/>
        </w:tabs>
        <w:spacing w:line="240" w:lineRule="auto" w:before="83" w:after="0"/>
        <w:ind w:left="2485" w:right="0" w:hanging="567"/>
        <w:jc w:val="left"/>
        <w:rPr>
          <w:sz w:val="24"/>
        </w:rPr>
      </w:pPr>
      <w:r>
        <w:rPr>
          <w:sz w:val="24"/>
        </w:rPr>
        <w:t>clause 5.7.6;</w:t>
      </w:r>
    </w:p>
    <w:p>
      <w:pPr>
        <w:pStyle w:val="ListParagraph"/>
        <w:numPr>
          <w:ilvl w:val="0"/>
          <w:numId w:val="141"/>
        </w:numPr>
        <w:tabs>
          <w:tab w:pos="2485" w:val="left" w:leader="none"/>
          <w:tab w:pos="2486" w:val="left" w:leader="none"/>
        </w:tabs>
        <w:spacing w:line="240" w:lineRule="auto" w:before="120" w:after="0"/>
        <w:ind w:left="2485" w:right="0" w:hanging="567"/>
        <w:jc w:val="left"/>
        <w:rPr>
          <w:sz w:val="24"/>
        </w:rPr>
      </w:pPr>
      <w:r>
        <w:rPr>
          <w:sz w:val="24"/>
        </w:rPr>
        <w:t>clause 5.7.7 (except clause</w:t>
      </w:r>
      <w:r>
        <w:rPr>
          <w:spacing w:val="-1"/>
          <w:sz w:val="24"/>
        </w:rPr>
        <w:t> </w:t>
      </w:r>
      <w:r>
        <w:rPr>
          <w:sz w:val="24"/>
        </w:rPr>
        <w:t>5.7.7(c));</w:t>
      </w:r>
    </w:p>
    <w:p>
      <w:pPr>
        <w:pStyle w:val="BodyText"/>
        <w:tabs>
          <w:tab w:pos="2485" w:val="left" w:leader="none"/>
        </w:tabs>
        <w:ind w:left="1919" w:firstLine="0"/>
        <w:jc w:val="left"/>
      </w:pPr>
      <w:r>
        <w:rPr/>
        <w:t>(6)</w:t>
        <w:tab/>
        <w:t>rule 5.11;</w:t>
      </w:r>
    </w:p>
    <w:p>
      <w:pPr>
        <w:pStyle w:val="BodyText"/>
        <w:tabs>
          <w:tab w:pos="2485" w:val="left" w:leader="none"/>
        </w:tabs>
        <w:ind w:left="1919" w:firstLine="0"/>
        <w:jc w:val="left"/>
      </w:pPr>
      <w:r>
        <w:rPr/>
        <w:t>(7)</w:t>
        <w:tab/>
        <w:t>clause 5.12.1;</w:t>
      </w:r>
    </w:p>
    <w:p>
      <w:pPr>
        <w:pStyle w:val="BodyText"/>
        <w:tabs>
          <w:tab w:pos="2485" w:val="left" w:leader="none"/>
        </w:tabs>
        <w:ind w:left="1919" w:firstLine="0"/>
        <w:jc w:val="left"/>
      </w:pPr>
      <w:r>
        <w:rPr/>
        <w:t>(8)</w:t>
        <w:tab/>
        <w:t>clause 5.12.2 (except clause</w:t>
      </w:r>
      <w:r>
        <w:rPr>
          <w:spacing w:val="-1"/>
        </w:rPr>
        <w:t> </w:t>
      </w:r>
      <w:r>
        <w:rPr/>
        <w:t>5.12.2(c)(2));</w:t>
      </w:r>
    </w:p>
    <w:p>
      <w:pPr>
        <w:pStyle w:val="BodyText"/>
        <w:tabs>
          <w:tab w:pos="2485" w:val="left" w:leader="none"/>
        </w:tabs>
        <w:ind w:left="1919" w:firstLine="0"/>
        <w:jc w:val="left"/>
      </w:pPr>
      <w:r>
        <w:rPr/>
        <w:t>(9)</w:t>
        <w:tab/>
        <w:t>clause 5.14.1;</w:t>
      </w:r>
    </w:p>
    <w:p>
      <w:pPr>
        <w:pStyle w:val="ListParagraph"/>
        <w:numPr>
          <w:ilvl w:val="0"/>
          <w:numId w:val="142"/>
        </w:numPr>
        <w:tabs>
          <w:tab w:pos="2486" w:val="left" w:leader="none"/>
        </w:tabs>
        <w:spacing w:line="240" w:lineRule="auto" w:before="120" w:after="0"/>
        <w:ind w:left="2485" w:right="0" w:hanging="567"/>
        <w:jc w:val="left"/>
        <w:rPr>
          <w:sz w:val="24"/>
        </w:rPr>
      </w:pPr>
      <w:r>
        <w:rPr>
          <w:sz w:val="24"/>
        </w:rPr>
        <w:t>schedule 5.1, clause</w:t>
      </w:r>
      <w:r>
        <w:rPr>
          <w:spacing w:val="-2"/>
          <w:sz w:val="24"/>
        </w:rPr>
        <w:t> </w:t>
      </w:r>
      <w:r>
        <w:rPr>
          <w:sz w:val="24"/>
        </w:rPr>
        <w:t>S5.1.2.3;</w:t>
      </w:r>
    </w:p>
    <w:p>
      <w:pPr>
        <w:pStyle w:val="ListParagraph"/>
        <w:numPr>
          <w:ilvl w:val="0"/>
          <w:numId w:val="142"/>
        </w:numPr>
        <w:tabs>
          <w:tab w:pos="2486" w:val="left" w:leader="none"/>
        </w:tabs>
        <w:spacing w:line="240" w:lineRule="auto" w:before="120" w:after="0"/>
        <w:ind w:left="2485" w:right="0" w:hanging="567"/>
        <w:jc w:val="left"/>
        <w:rPr>
          <w:sz w:val="24"/>
        </w:rPr>
      </w:pPr>
      <w:r>
        <w:rPr>
          <w:sz w:val="24"/>
        </w:rPr>
        <w:t>schedule 5.3, clause</w:t>
      </w:r>
      <w:r>
        <w:rPr>
          <w:spacing w:val="-2"/>
          <w:sz w:val="24"/>
        </w:rPr>
        <w:t> </w:t>
      </w:r>
      <w:r>
        <w:rPr>
          <w:sz w:val="24"/>
        </w:rPr>
        <w:t>S5.3.5.</w:t>
      </w:r>
    </w:p>
    <w:p>
      <w:pPr>
        <w:pStyle w:val="ListParagraph"/>
        <w:numPr>
          <w:ilvl w:val="2"/>
          <w:numId w:val="140"/>
        </w:numPr>
        <w:tabs>
          <w:tab w:pos="1919" w:val="left" w:leader="none"/>
          <w:tab w:pos="1920" w:val="left" w:leader="none"/>
        </w:tabs>
        <w:spacing w:line="240" w:lineRule="auto" w:before="120" w:after="0"/>
        <w:ind w:left="1919" w:right="0" w:hanging="568"/>
        <w:jc w:val="left"/>
        <w:rPr>
          <w:sz w:val="24"/>
        </w:rPr>
      </w:pPr>
      <w:r>
        <w:rPr>
          <w:sz w:val="24"/>
        </w:rPr>
        <w:t>Subject to clause (f1) a reference</w:t>
      </w:r>
      <w:r>
        <w:rPr>
          <w:spacing w:val="-3"/>
          <w:sz w:val="24"/>
        </w:rPr>
        <w:t> </w:t>
      </w:r>
      <w:r>
        <w:rPr>
          <w:sz w:val="24"/>
        </w:rPr>
        <w:t>in:</w:t>
      </w:r>
    </w:p>
    <w:p>
      <w:pPr>
        <w:pStyle w:val="ListParagraph"/>
        <w:numPr>
          <w:ilvl w:val="3"/>
          <w:numId w:val="140"/>
        </w:numPr>
        <w:tabs>
          <w:tab w:pos="2485" w:val="left" w:leader="none"/>
          <w:tab w:pos="2486" w:val="left" w:leader="none"/>
        </w:tabs>
        <w:spacing w:line="240" w:lineRule="auto" w:before="120" w:after="0"/>
        <w:ind w:left="2485" w:right="0" w:hanging="567"/>
        <w:jc w:val="left"/>
        <w:rPr>
          <w:sz w:val="24"/>
        </w:rPr>
      </w:pPr>
      <w:r>
        <w:rPr>
          <w:sz w:val="24"/>
        </w:rPr>
        <w:t>the definition of RIT-T proponent in clause</w:t>
      </w:r>
      <w:r>
        <w:rPr>
          <w:spacing w:val="-1"/>
          <w:sz w:val="24"/>
        </w:rPr>
        <w:t> </w:t>
      </w:r>
      <w:r>
        <w:rPr>
          <w:sz w:val="24"/>
        </w:rPr>
        <w:t>5.10.2;</w:t>
      </w:r>
    </w:p>
    <w:p>
      <w:pPr>
        <w:pStyle w:val="BodyText"/>
        <w:tabs>
          <w:tab w:pos="2485" w:val="left" w:leader="none"/>
        </w:tabs>
        <w:ind w:left="1919" w:firstLine="0"/>
        <w:jc w:val="left"/>
      </w:pPr>
      <w:r>
        <w:rPr/>
        <w:t>(2)</w:t>
        <w:tab/>
        <w:t>clause 5.14.3;</w:t>
      </w:r>
    </w:p>
    <w:p>
      <w:pPr>
        <w:pStyle w:val="BodyText"/>
        <w:tabs>
          <w:tab w:pos="2485" w:val="left" w:leader="none"/>
        </w:tabs>
        <w:ind w:left="1919" w:firstLine="0"/>
        <w:jc w:val="left"/>
      </w:pPr>
      <w:r>
        <w:rPr/>
        <w:t>(3)</w:t>
        <w:tab/>
        <w:t>clause 5.16.4;</w:t>
      </w:r>
    </w:p>
    <w:p>
      <w:pPr>
        <w:pStyle w:val="BodyText"/>
        <w:tabs>
          <w:tab w:pos="2485" w:val="left" w:leader="none"/>
        </w:tabs>
        <w:ind w:left="1919" w:firstLine="0"/>
        <w:jc w:val="left"/>
      </w:pPr>
      <w:r>
        <w:rPr/>
        <w:t>(4)</w:t>
        <w:tab/>
        <w:t>clause 5.16.5;</w:t>
      </w:r>
    </w:p>
    <w:p>
      <w:pPr>
        <w:pStyle w:val="BodyText"/>
        <w:tabs>
          <w:tab w:pos="2485" w:val="left" w:leader="none"/>
        </w:tabs>
        <w:ind w:left="1919" w:firstLine="0"/>
        <w:jc w:val="left"/>
      </w:pPr>
      <w:r>
        <w:rPr/>
        <w:t>(5)</w:t>
        <w:tab/>
        <w:t>rule</w:t>
      </w:r>
      <w:r>
        <w:rPr>
          <w:spacing w:val="-1"/>
        </w:rPr>
        <w:t> </w:t>
      </w:r>
      <w:r>
        <w:rPr/>
        <w:t>5.18;</w:t>
      </w:r>
    </w:p>
    <w:p>
      <w:pPr>
        <w:pStyle w:val="BodyText"/>
        <w:tabs>
          <w:tab w:pos="2485" w:val="left" w:leader="none"/>
        </w:tabs>
        <w:ind w:left="1919" w:firstLine="0"/>
        <w:jc w:val="left"/>
      </w:pPr>
      <w:r>
        <w:rPr/>
        <w:t>(6)</w:t>
        <w:tab/>
        <w:t>rule</w:t>
      </w:r>
      <w:r>
        <w:rPr>
          <w:spacing w:val="-1"/>
        </w:rPr>
        <w:t> </w:t>
      </w:r>
      <w:r>
        <w:rPr/>
        <w:t>5.19;</w:t>
      </w:r>
    </w:p>
    <w:p>
      <w:pPr>
        <w:pStyle w:val="ListParagraph"/>
        <w:numPr>
          <w:ilvl w:val="0"/>
          <w:numId w:val="143"/>
        </w:numPr>
        <w:tabs>
          <w:tab w:pos="2485" w:val="left" w:leader="none"/>
          <w:tab w:pos="2486" w:val="left" w:leader="none"/>
        </w:tabs>
        <w:spacing w:line="240" w:lineRule="auto" w:before="120" w:after="0"/>
        <w:ind w:left="2485" w:right="0" w:hanging="567"/>
        <w:jc w:val="left"/>
        <w:rPr>
          <w:sz w:val="24"/>
        </w:rPr>
      </w:pPr>
      <w:r>
        <w:rPr>
          <w:sz w:val="24"/>
        </w:rPr>
        <w:t>rule 5.20B;</w:t>
      </w:r>
      <w:r>
        <w:rPr>
          <w:spacing w:val="-1"/>
          <w:sz w:val="24"/>
        </w:rPr>
        <w:t> </w:t>
      </w:r>
      <w:r>
        <w:rPr>
          <w:sz w:val="24"/>
        </w:rPr>
        <w:t>and</w:t>
      </w:r>
    </w:p>
    <w:p>
      <w:pPr>
        <w:pStyle w:val="ListParagraph"/>
        <w:numPr>
          <w:ilvl w:val="0"/>
          <w:numId w:val="143"/>
        </w:numPr>
        <w:tabs>
          <w:tab w:pos="2485" w:val="left" w:leader="none"/>
          <w:tab w:pos="2486" w:val="left" w:leader="none"/>
        </w:tabs>
        <w:spacing w:line="240" w:lineRule="auto" w:before="120" w:after="0"/>
        <w:ind w:left="2485" w:right="0" w:hanging="567"/>
        <w:jc w:val="left"/>
        <w:rPr>
          <w:sz w:val="24"/>
        </w:rPr>
      </w:pPr>
      <w:r>
        <w:rPr>
          <w:sz w:val="24"/>
        </w:rPr>
        <w:t>rule 5.20C,</w:t>
      </w:r>
    </w:p>
    <w:p>
      <w:pPr>
        <w:spacing w:before="120"/>
        <w:ind w:left="1919" w:right="414" w:firstLine="0"/>
        <w:jc w:val="both"/>
        <w:rPr>
          <w:sz w:val="24"/>
        </w:rPr>
      </w:pPr>
      <w:r>
        <w:rPr>
          <w:sz w:val="24"/>
        </w:rPr>
        <w:t>to a </w:t>
      </w:r>
      <w:r>
        <w:rPr>
          <w:i/>
          <w:sz w:val="24"/>
        </w:rPr>
        <w:t>Transmission Network Service Provider </w:t>
      </w:r>
      <w:r>
        <w:rPr>
          <w:sz w:val="24"/>
        </w:rPr>
        <w:t>will, in relation to the </w:t>
      </w:r>
      <w:r>
        <w:rPr>
          <w:i/>
          <w:sz w:val="24"/>
        </w:rPr>
        <w:t>declared </w:t>
      </w:r>
      <w:r>
        <w:rPr>
          <w:i/>
          <w:sz w:val="24"/>
        </w:rPr>
        <w:t>transmission system </w:t>
      </w:r>
      <w:r>
        <w:rPr>
          <w:sz w:val="24"/>
        </w:rPr>
        <w:t>of an </w:t>
      </w:r>
      <w:r>
        <w:rPr>
          <w:i/>
          <w:sz w:val="24"/>
        </w:rPr>
        <w:t>adoptive jurisdiction</w:t>
      </w:r>
      <w:r>
        <w:rPr>
          <w:sz w:val="24"/>
        </w:rPr>
        <w:t>, be construed as a reference to </w:t>
      </w:r>
      <w:r>
        <w:rPr>
          <w:i/>
          <w:sz w:val="24"/>
        </w:rPr>
        <w:t>AEMO</w:t>
      </w:r>
      <w:r>
        <w:rPr>
          <w:sz w:val="24"/>
        </w:rPr>
        <w:t>.</w:t>
      </w:r>
    </w:p>
    <w:p>
      <w:pPr>
        <w:pStyle w:val="BodyText"/>
        <w:tabs>
          <w:tab w:pos="1919" w:val="left" w:leader="none"/>
        </w:tabs>
        <w:ind w:left="1352" w:firstLine="0"/>
        <w:jc w:val="left"/>
      </w:pPr>
      <w:r>
        <w:rPr/>
        <w:t>(f1)</w:t>
        <w:tab/>
        <w:t>A reference</w:t>
      </w:r>
      <w:r>
        <w:rPr>
          <w:spacing w:val="-2"/>
        </w:rPr>
        <w:t> </w:t>
      </w:r>
      <w:r>
        <w:rPr/>
        <w:t>in:</w:t>
      </w:r>
    </w:p>
    <w:p>
      <w:pPr>
        <w:pStyle w:val="ListParagraph"/>
        <w:numPr>
          <w:ilvl w:val="0"/>
          <w:numId w:val="144"/>
        </w:numPr>
        <w:tabs>
          <w:tab w:pos="2485" w:val="left" w:leader="none"/>
          <w:tab w:pos="2486" w:val="left" w:leader="none"/>
        </w:tabs>
        <w:spacing w:line="240" w:lineRule="auto" w:before="120" w:after="0"/>
        <w:ind w:left="2485" w:right="0" w:hanging="567"/>
        <w:jc w:val="left"/>
        <w:rPr>
          <w:sz w:val="24"/>
        </w:rPr>
      </w:pPr>
      <w:r>
        <w:rPr>
          <w:sz w:val="24"/>
        </w:rPr>
        <w:t>the definition of RIT-T proponent in clause</w:t>
      </w:r>
      <w:r>
        <w:rPr>
          <w:spacing w:val="-1"/>
          <w:sz w:val="24"/>
        </w:rPr>
        <w:t> </w:t>
      </w:r>
      <w:r>
        <w:rPr>
          <w:sz w:val="24"/>
        </w:rPr>
        <w:t>5.10.2;</w:t>
      </w:r>
    </w:p>
    <w:p>
      <w:pPr>
        <w:pStyle w:val="ListParagraph"/>
        <w:numPr>
          <w:ilvl w:val="0"/>
          <w:numId w:val="144"/>
        </w:numPr>
        <w:tabs>
          <w:tab w:pos="2485" w:val="left" w:leader="none"/>
          <w:tab w:pos="2486" w:val="left" w:leader="none"/>
        </w:tabs>
        <w:spacing w:line="240" w:lineRule="auto" w:before="120" w:after="0"/>
        <w:ind w:left="2485" w:right="0" w:hanging="567"/>
        <w:jc w:val="left"/>
        <w:rPr>
          <w:sz w:val="24"/>
        </w:rPr>
      </w:pPr>
      <w:r>
        <w:rPr>
          <w:sz w:val="24"/>
        </w:rPr>
        <w:t>clause 5.16.4; and</w:t>
      </w:r>
    </w:p>
    <w:p>
      <w:pPr>
        <w:pStyle w:val="BodyText"/>
        <w:tabs>
          <w:tab w:pos="2485" w:val="left" w:leader="none"/>
        </w:tabs>
        <w:ind w:left="1919" w:firstLine="0"/>
        <w:jc w:val="left"/>
      </w:pPr>
      <w:r>
        <w:rPr/>
        <w:t>(3)</w:t>
        <w:tab/>
        <w:t>clause 5.16.5,</w:t>
      </w:r>
    </w:p>
    <w:p>
      <w:pPr>
        <w:spacing w:before="120"/>
        <w:ind w:left="1919" w:right="414" w:firstLine="0"/>
        <w:jc w:val="both"/>
        <w:rPr>
          <w:sz w:val="24"/>
        </w:rPr>
      </w:pPr>
      <w:r>
        <w:rPr>
          <w:sz w:val="24"/>
        </w:rPr>
        <w:t>to a </w:t>
      </w:r>
      <w:r>
        <w:rPr>
          <w:i/>
          <w:sz w:val="24"/>
        </w:rPr>
        <w:t>Transmission Network Service Provider </w:t>
      </w:r>
      <w:r>
        <w:rPr>
          <w:sz w:val="24"/>
        </w:rPr>
        <w:t>will, in relation to the </w:t>
      </w:r>
      <w:r>
        <w:rPr>
          <w:i/>
          <w:sz w:val="24"/>
        </w:rPr>
        <w:t>declared </w:t>
      </w:r>
      <w:r>
        <w:rPr>
          <w:i/>
          <w:sz w:val="24"/>
        </w:rPr>
        <w:t>transmission system </w:t>
      </w:r>
      <w:r>
        <w:rPr>
          <w:sz w:val="24"/>
        </w:rPr>
        <w:t>of an </w:t>
      </w:r>
      <w:r>
        <w:rPr>
          <w:i/>
          <w:sz w:val="24"/>
        </w:rPr>
        <w:t>adoptive jurisdiction</w:t>
      </w:r>
      <w:r>
        <w:rPr>
          <w:sz w:val="24"/>
        </w:rPr>
        <w:t>, be construed as a reference to the relevant </w:t>
      </w:r>
      <w:r>
        <w:rPr>
          <w:i/>
          <w:sz w:val="24"/>
        </w:rPr>
        <w:t>declared transmission system operator </w:t>
      </w:r>
      <w:r>
        <w:rPr>
          <w:sz w:val="24"/>
        </w:rPr>
        <w:t>where:</w:t>
      </w:r>
    </w:p>
    <w:p>
      <w:pPr>
        <w:pStyle w:val="ListParagraph"/>
        <w:numPr>
          <w:ilvl w:val="0"/>
          <w:numId w:val="145"/>
        </w:numPr>
        <w:tabs>
          <w:tab w:pos="2486" w:val="left" w:leader="none"/>
        </w:tabs>
        <w:spacing w:line="240" w:lineRule="auto" w:before="120" w:after="0"/>
        <w:ind w:left="2486" w:right="415" w:hanging="567"/>
        <w:jc w:val="both"/>
        <w:rPr>
          <w:sz w:val="24"/>
        </w:rPr>
      </w:pPr>
      <w:r>
        <w:rPr>
          <w:sz w:val="24"/>
        </w:rPr>
        <w:t>the relevant RIT-T project (as defined in clause 5.10.2) is to </w:t>
      </w:r>
      <w:r>
        <w:rPr>
          <w:spacing w:val="-3"/>
          <w:sz w:val="24"/>
        </w:rPr>
        <w:t>address  </w:t>
      </w:r>
      <w:r>
        <w:rPr>
          <w:sz w:val="24"/>
        </w:rPr>
        <w:t>an </w:t>
      </w:r>
      <w:r>
        <w:rPr>
          <w:i/>
          <w:sz w:val="24"/>
        </w:rPr>
        <w:t>identified need </w:t>
      </w:r>
      <w:r>
        <w:rPr>
          <w:sz w:val="24"/>
        </w:rPr>
        <w:t>that arises from the retirement or de-rating of </w:t>
      </w:r>
      <w:r>
        <w:rPr>
          <w:i/>
          <w:sz w:val="24"/>
        </w:rPr>
        <w:t>network </w:t>
      </w:r>
      <w:r>
        <w:rPr>
          <w:sz w:val="24"/>
        </w:rPr>
        <w:t>assets;</w:t>
      </w:r>
      <w:r>
        <w:rPr>
          <w:spacing w:val="-1"/>
          <w:sz w:val="24"/>
        </w:rPr>
        <w:t> </w:t>
      </w:r>
      <w:r>
        <w:rPr>
          <w:sz w:val="24"/>
        </w:rPr>
        <w:t>and</w:t>
      </w:r>
    </w:p>
    <w:p>
      <w:pPr>
        <w:pStyle w:val="ListParagraph"/>
        <w:numPr>
          <w:ilvl w:val="0"/>
          <w:numId w:val="145"/>
        </w:numPr>
        <w:tabs>
          <w:tab w:pos="2486" w:val="left" w:leader="none"/>
        </w:tabs>
        <w:spacing w:line="240" w:lineRule="auto" w:before="120" w:after="0"/>
        <w:ind w:left="2486" w:right="415" w:hanging="567"/>
        <w:jc w:val="both"/>
        <w:rPr>
          <w:sz w:val="24"/>
        </w:rPr>
      </w:pPr>
      <w:r>
        <w:rPr>
          <w:sz w:val="24"/>
        </w:rPr>
        <w:t>a credible option (as defined in clause 5.10.2) for that RIT-T project (as defined in clause 5.10.2) is replacement of </w:t>
      </w:r>
      <w:r>
        <w:rPr>
          <w:i/>
          <w:sz w:val="24"/>
        </w:rPr>
        <w:t>network</w:t>
      </w:r>
      <w:r>
        <w:rPr>
          <w:i/>
          <w:spacing w:val="-2"/>
          <w:sz w:val="24"/>
        </w:rPr>
        <w:t> </w:t>
      </w:r>
      <w:r>
        <w:rPr>
          <w:sz w:val="24"/>
        </w:rPr>
        <w:t>assets.</w:t>
      </w:r>
    </w:p>
    <w:p>
      <w:pPr>
        <w:pStyle w:val="ListParagraph"/>
        <w:numPr>
          <w:ilvl w:val="2"/>
          <w:numId w:val="140"/>
        </w:numPr>
        <w:tabs>
          <w:tab w:pos="1919" w:val="left" w:leader="none"/>
        </w:tabs>
        <w:spacing w:line="240" w:lineRule="auto" w:before="120" w:after="0"/>
        <w:ind w:left="1919" w:right="414" w:hanging="567"/>
        <w:jc w:val="both"/>
        <w:rPr>
          <w:sz w:val="24"/>
        </w:rPr>
      </w:pPr>
      <w:r>
        <w:rPr>
          <w:sz w:val="24"/>
        </w:rPr>
        <w:t>A reference in any of the following provisions to a </w:t>
      </w:r>
      <w:r>
        <w:rPr>
          <w:i/>
          <w:sz w:val="24"/>
        </w:rPr>
        <w:t>Network Service </w:t>
      </w:r>
      <w:r>
        <w:rPr>
          <w:i/>
          <w:sz w:val="24"/>
        </w:rPr>
        <w:t>Provider </w:t>
      </w:r>
      <w:r>
        <w:rPr>
          <w:sz w:val="24"/>
        </w:rPr>
        <w:t>will, in relation to the </w:t>
      </w:r>
      <w:r>
        <w:rPr>
          <w:i/>
          <w:sz w:val="24"/>
        </w:rPr>
        <w:t>declaredtransmission system </w:t>
      </w:r>
      <w:r>
        <w:rPr>
          <w:sz w:val="24"/>
        </w:rPr>
        <w:t>of an </w:t>
      </w:r>
      <w:r>
        <w:rPr>
          <w:i/>
          <w:sz w:val="24"/>
        </w:rPr>
        <w:t>adoptive </w:t>
      </w:r>
      <w:r>
        <w:rPr>
          <w:i/>
          <w:sz w:val="24"/>
        </w:rPr>
        <w:t>jurisdiction</w:t>
      </w:r>
      <w:r>
        <w:rPr>
          <w:sz w:val="24"/>
        </w:rPr>
        <w:t>, be construed as a reference to the relevant </w:t>
      </w:r>
      <w:r>
        <w:rPr>
          <w:i/>
          <w:sz w:val="24"/>
        </w:rPr>
        <w:t>declared </w:t>
      </w:r>
      <w:r>
        <w:rPr>
          <w:i/>
          <w:sz w:val="24"/>
        </w:rPr>
        <w:t>transmission system</w:t>
      </w:r>
      <w:r>
        <w:rPr>
          <w:i/>
          <w:spacing w:val="-1"/>
          <w:sz w:val="24"/>
        </w:rPr>
        <w:t> </w:t>
      </w:r>
      <w:r>
        <w:rPr>
          <w:i/>
          <w:sz w:val="24"/>
        </w:rPr>
        <w:t>operator</w:t>
      </w:r>
      <w:r>
        <w:rPr>
          <w:sz w:val="24"/>
        </w:rPr>
        <w:t>:</w:t>
      </w:r>
    </w:p>
    <w:p>
      <w:pPr>
        <w:pStyle w:val="BodyText"/>
        <w:ind w:left="1919" w:firstLine="0"/>
      </w:pPr>
      <w:r>
        <w:rPr/>
        <w:t>(1) clause 5.2.3(d)(12), (e) and (e1)(except 5.2.3(e1)(2));</w:t>
      </w:r>
    </w:p>
    <w:p>
      <w:pPr>
        <w:pStyle w:val="ListParagraph"/>
        <w:numPr>
          <w:ilvl w:val="0"/>
          <w:numId w:val="146"/>
        </w:numPr>
        <w:tabs>
          <w:tab w:pos="2486" w:val="left" w:leader="none"/>
        </w:tabs>
        <w:spacing w:line="240" w:lineRule="auto" w:before="120" w:after="0"/>
        <w:ind w:left="2485" w:right="0" w:hanging="567"/>
        <w:jc w:val="both"/>
        <w:rPr>
          <w:sz w:val="24"/>
        </w:rPr>
      </w:pPr>
      <w:r>
        <w:rPr>
          <w:sz w:val="24"/>
        </w:rPr>
        <w:t>clause 5.3.4A(c) and (d);</w:t>
      </w:r>
    </w:p>
    <w:p>
      <w:pPr>
        <w:spacing w:after="0" w:line="240" w:lineRule="auto"/>
        <w:jc w:val="both"/>
        <w:rPr>
          <w:sz w:val="24"/>
        </w:rPr>
        <w:sectPr>
          <w:pgSz w:w="11910" w:h="16840"/>
          <w:pgMar w:header="686" w:footer="637" w:top="1320" w:bottom="820" w:left="1200" w:right="1000"/>
        </w:sectPr>
      </w:pPr>
    </w:p>
    <w:p>
      <w:pPr>
        <w:pStyle w:val="ListParagraph"/>
        <w:numPr>
          <w:ilvl w:val="0"/>
          <w:numId w:val="146"/>
        </w:numPr>
        <w:tabs>
          <w:tab w:pos="2485" w:val="left" w:leader="none"/>
          <w:tab w:pos="2486" w:val="left" w:leader="none"/>
        </w:tabs>
        <w:spacing w:line="240" w:lineRule="auto" w:before="83" w:after="0"/>
        <w:ind w:left="2485" w:right="0" w:hanging="567"/>
        <w:jc w:val="left"/>
        <w:rPr>
          <w:sz w:val="24"/>
        </w:rPr>
      </w:pPr>
      <w:r>
        <w:rPr>
          <w:sz w:val="24"/>
        </w:rPr>
        <w:t>clause 5.9.3;</w:t>
      </w:r>
    </w:p>
    <w:p>
      <w:pPr>
        <w:pStyle w:val="ListParagraph"/>
        <w:numPr>
          <w:ilvl w:val="0"/>
          <w:numId w:val="146"/>
        </w:numPr>
        <w:tabs>
          <w:tab w:pos="2485" w:val="left" w:leader="none"/>
          <w:tab w:pos="2486" w:val="left" w:leader="none"/>
        </w:tabs>
        <w:spacing w:line="240" w:lineRule="auto" w:before="120" w:after="0"/>
        <w:ind w:left="2485" w:right="0" w:hanging="567"/>
        <w:jc w:val="left"/>
        <w:rPr>
          <w:sz w:val="24"/>
        </w:rPr>
      </w:pPr>
      <w:r>
        <w:rPr>
          <w:sz w:val="24"/>
        </w:rPr>
        <w:t>clause 5.9.4;</w:t>
      </w:r>
    </w:p>
    <w:p>
      <w:pPr>
        <w:pStyle w:val="ListParagraph"/>
        <w:numPr>
          <w:ilvl w:val="0"/>
          <w:numId w:val="146"/>
        </w:numPr>
        <w:tabs>
          <w:tab w:pos="2485" w:val="left" w:leader="none"/>
          <w:tab w:pos="2486" w:val="left" w:leader="none"/>
        </w:tabs>
        <w:spacing w:line="240" w:lineRule="auto" w:before="120" w:after="0"/>
        <w:ind w:left="2485" w:right="0" w:hanging="567"/>
        <w:jc w:val="left"/>
        <w:rPr>
          <w:sz w:val="24"/>
        </w:rPr>
      </w:pPr>
      <w:r>
        <w:rPr>
          <w:sz w:val="24"/>
        </w:rPr>
        <w:t>clause 5.9.6;</w:t>
      </w:r>
    </w:p>
    <w:p>
      <w:pPr>
        <w:pStyle w:val="ListParagraph"/>
        <w:numPr>
          <w:ilvl w:val="0"/>
          <w:numId w:val="146"/>
        </w:numPr>
        <w:tabs>
          <w:tab w:pos="2485" w:val="left" w:leader="none"/>
          <w:tab w:pos="2486" w:val="left" w:leader="none"/>
        </w:tabs>
        <w:spacing w:line="240" w:lineRule="auto" w:before="120" w:after="0"/>
        <w:ind w:left="2485" w:right="0" w:hanging="567"/>
        <w:jc w:val="left"/>
        <w:rPr>
          <w:sz w:val="24"/>
        </w:rPr>
      </w:pPr>
      <w:r>
        <w:rPr>
          <w:sz w:val="24"/>
        </w:rPr>
        <w:t>Schedule 5.1, clause</w:t>
      </w:r>
      <w:r>
        <w:rPr>
          <w:spacing w:val="-2"/>
          <w:sz w:val="24"/>
        </w:rPr>
        <w:t> </w:t>
      </w:r>
      <w:r>
        <w:rPr>
          <w:sz w:val="24"/>
        </w:rPr>
        <w:t>S5.1.10.3(a);</w:t>
      </w:r>
    </w:p>
    <w:p>
      <w:pPr>
        <w:pStyle w:val="ListParagraph"/>
        <w:numPr>
          <w:ilvl w:val="0"/>
          <w:numId w:val="146"/>
        </w:numPr>
        <w:tabs>
          <w:tab w:pos="2485" w:val="left" w:leader="none"/>
          <w:tab w:pos="2486" w:val="left" w:leader="none"/>
        </w:tabs>
        <w:spacing w:line="240" w:lineRule="auto" w:before="120" w:after="0"/>
        <w:ind w:left="2485" w:right="0" w:hanging="567"/>
        <w:jc w:val="left"/>
        <w:rPr>
          <w:sz w:val="24"/>
        </w:rPr>
      </w:pPr>
      <w:r>
        <w:rPr>
          <w:sz w:val="24"/>
        </w:rPr>
        <w:t>Schedule 5.2 clause</w:t>
      </w:r>
      <w:r>
        <w:rPr>
          <w:spacing w:val="-2"/>
          <w:sz w:val="24"/>
        </w:rPr>
        <w:t> </w:t>
      </w:r>
      <w:r>
        <w:rPr>
          <w:sz w:val="24"/>
        </w:rPr>
        <w:t>S5.2.3(a)(8).</w:t>
      </w:r>
    </w:p>
    <w:p>
      <w:pPr>
        <w:pStyle w:val="BodyText"/>
        <w:spacing w:before="10"/>
        <w:ind w:firstLine="0"/>
        <w:jc w:val="left"/>
        <w:rPr>
          <w:sz w:val="20"/>
        </w:rPr>
      </w:pPr>
    </w:p>
    <w:p>
      <w:pPr>
        <w:pStyle w:val="Heading4"/>
        <w:numPr>
          <w:ilvl w:val="1"/>
          <w:numId w:val="147"/>
        </w:numPr>
        <w:tabs>
          <w:tab w:pos="553" w:val="left" w:leader="none"/>
          <w:tab w:pos="1351" w:val="left" w:leader="none"/>
        </w:tabs>
        <w:spacing w:line="240" w:lineRule="auto" w:before="0" w:after="0"/>
        <w:ind w:left="552" w:right="0" w:hanging="335"/>
        <w:jc w:val="left"/>
        <w:rPr>
          <w:sz w:val="22"/>
        </w:rPr>
      </w:pPr>
      <w:bookmarkStart w:name="5.1A.2 Principles" w:id="349"/>
      <w:bookmarkEnd w:id="349"/>
      <w:r>
        <w:rPr>
          <w:b w:val="0"/>
        </w:rPr>
      </w:r>
      <w:bookmarkStart w:name="_bookmark154" w:id="350"/>
      <w:bookmarkEnd w:id="350"/>
      <w:r>
        <w:rPr>
          <w:b w:val="0"/>
        </w:rPr>
      </w:r>
      <w:bookmarkStart w:name="_bookmark154" w:id="351"/>
      <w:bookmarkEnd w:id="351"/>
      <w:r>
        <w:rPr/>
        <w:t>A.</w:t>
      </w:r>
      <w:r>
        <w:rPr/>
        <w:t>2</w:t>
        <w:tab/>
        <w:t>Principles</w:t>
      </w:r>
    </w:p>
    <w:p>
      <w:pPr>
        <w:pStyle w:val="BodyText"/>
        <w:ind w:left="1352" w:firstLine="0"/>
      </w:pPr>
      <w:r>
        <w:rPr/>
        <w:t>This Part B is based on the following principles relating to </w:t>
      </w:r>
      <w:r>
        <w:rPr>
          <w:i/>
        </w:rPr>
        <w:t>connection </w:t>
      </w:r>
      <w:r>
        <w:rPr/>
        <w:t>to the</w:t>
      </w:r>
    </w:p>
    <w:p>
      <w:pPr>
        <w:spacing w:before="0"/>
        <w:ind w:left="1352" w:right="0" w:firstLine="0"/>
        <w:jc w:val="both"/>
        <w:rPr>
          <w:sz w:val="24"/>
        </w:rPr>
      </w:pPr>
      <w:r>
        <w:rPr>
          <w:i/>
          <w:sz w:val="24"/>
        </w:rPr>
        <w:t>national grid</w:t>
      </w:r>
      <w:r>
        <w:rPr>
          <w:sz w:val="24"/>
        </w:rPr>
        <w:t>:</w:t>
      </w:r>
    </w:p>
    <w:p>
      <w:pPr>
        <w:pStyle w:val="ListParagraph"/>
        <w:numPr>
          <w:ilvl w:val="2"/>
          <w:numId w:val="147"/>
        </w:numPr>
        <w:tabs>
          <w:tab w:pos="1919" w:val="left" w:leader="none"/>
        </w:tabs>
        <w:spacing w:line="240" w:lineRule="auto" w:before="120" w:after="0"/>
        <w:ind w:left="1919" w:right="415" w:hanging="567"/>
        <w:jc w:val="both"/>
        <w:rPr>
          <w:sz w:val="24"/>
        </w:rPr>
      </w:pPr>
      <w:r>
        <w:rPr>
          <w:sz w:val="24"/>
        </w:rPr>
        <w:t>all </w:t>
      </w:r>
      <w:r>
        <w:rPr>
          <w:i/>
          <w:sz w:val="24"/>
        </w:rPr>
        <w:t>Registered Participants </w:t>
      </w:r>
      <w:r>
        <w:rPr>
          <w:sz w:val="24"/>
        </w:rPr>
        <w:t>should have the opportunity to form  a </w:t>
      </w:r>
      <w:r>
        <w:rPr>
          <w:i/>
          <w:sz w:val="24"/>
        </w:rPr>
        <w:t>connection </w:t>
      </w:r>
      <w:r>
        <w:rPr>
          <w:sz w:val="24"/>
        </w:rPr>
        <w:t>to a </w:t>
      </w:r>
      <w:r>
        <w:rPr>
          <w:i/>
          <w:sz w:val="24"/>
        </w:rPr>
        <w:t>network </w:t>
      </w:r>
      <w:r>
        <w:rPr>
          <w:sz w:val="24"/>
        </w:rPr>
        <w:t>and have access to the </w:t>
      </w:r>
      <w:r>
        <w:rPr>
          <w:i/>
          <w:sz w:val="24"/>
        </w:rPr>
        <w:t>network services </w:t>
      </w:r>
      <w:r>
        <w:rPr>
          <w:sz w:val="24"/>
        </w:rPr>
        <w:t>provided  by the </w:t>
      </w:r>
      <w:r>
        <w:rPr>
          <w:i/>
          <w:sz w:val="24"/>
        </w:rPr>
        <w:t>networks </w:t>
      </w:r>
      <w:r>
        <w:rPr>
          <w:sz w:val="24"/>
        </w:rPr>
        <w:t>forming part of the </w:t>
      </w:r>
      <w:r>
        <w:rPr>
          <w:i/>
          <w:sz w:val="24"/>
        </w:rPr>
        <w:t>national</w:t>
      </w:r>
      <w:r>
        <w:rPr>
          <w:i/>
          <w:spacing w:val="-1"/>
          <w:sz w:val="24"/>
        </w:rPr>
        <w:t> </w:t>
      </w:r>
      <w:r>
        <w:rPr>
          <w:i/>
          <w:sz w:val="24"/>
        </w:rPr>
        <w:t>grid</w:t>
      </w:r>
      <w:r>
        <w:rPr>
          <w:sz w:val="24"/>
        </w:rPr>
        <w:t>;</w:t>
      </w:r>
    </w:p>
    <w:p>
      <w:pPr>
        <w:pStyle w:val="ListParagraph"/>
        <w:numPr>
          <w:ilvl w:val="2"/>
          <w:numId w:val="147"/>
        </w:numPr>
        <w:tabs>
          <w:tab w:pos="1919" w:val="left" w:leader="none"/>
        </w:tabs>
        <w:spacing w:line="240" w:lineRule="auto" w:before="120" w:after="0"/>
        <w:ind w:left="1919" w:right="415" w:hanging="567"/>
        <w:jc w:val="both"/>
        <w:rPr>
          <w:sz w:val="24"/>
        </w:rPr>
      </w:pPr>
      <w:r>
        <w:rPr>
          <w:sz w:val="24"/>
        </w:rPr>
        <w:t>the terms and conditions on which </w:t>
      </w:r>
      <w:r>
        <w:rPr>
          <w:i/>
          <w:sz w:val="24"/>
        </w:rPr>
        <w:t>connection </w:t>
      </w:r>
      <w:r>
        <w:rPr>
          <w:sz w:val="24"/>
        </w:rPr>
        <w:t>to a </w:t>
      </w:r>
      <w:r>
        <w:rPr>
          <w:i/>
          <w:sz w:val="24"/>
        </w:rPr>
        <w:t>network </w:t>
      </w:r>
      <w:r>
        <w:rPr>
          <w:sz w:val="24"/>
        </w:rPr>
        <w:t>and provision of </w:t>
      </w:r>
      <w:r>
        <w:rPr>
          <w:i/>
          <w:sz w:val="24"/>
        </w:rPr>
        <w:t>network service </w:t>
      </w:r>
      <w:r>
        <w:rPr>
          <w:sz w:val="24"/>
        </w:rPr>
        <w:t>is to be granted are to be set out in commercial agreements on reasonable terms entered into between a </w:t>
      </w:r>
      <w:r>
        <w:rPr>
          <w:i/>
          <w:sz w:val="24"/>
        </w:rPr>
        <w:t>Network Service Provider </w:t>
      </w:r>
      <w:r>
        <w:rPr>
          <w:sz w:val="24"/>
        </w:rPr>
        <w:t>and other </w:t>
      </w:r>
      <w:r>
        <w:rPr>
          <w:i/>
          <w:sz w:val="24"/>
        </w:rPr>
        <w:t>Registered</w:t>
      </w:r>
      <w:r>
        <w:rPr>
          <w:i/>
          <w:spacing w:val="-1"/>
          <w:sz w:val="24"/>
        </w:rPr>
        <w:t> </w:t>
      </w:r>
      <w:r>
        <w:rPr>
          <w:i/>
          <w:sz w:val="24"/>
        </w:rPr>
        <w:t>Participants</w:t>
      </w:r>
      <w:r>
        <w:rPr>
          <w:sz w:val="24"/>
        </w:rPr>
        <w:t>;</w:t>
      </w:r>
    </w:p>
    <w:p>
      <w:pPr>
        <w:pStyle w:val="ListParagraph"/>
        <w:numPr>
          <w:ilvl w:val="2"/>
          <w:numId w:val="147"/>
        </w:numPr>
        <w:tabs>
          <w:tab w:pos="1919" w:val="left" w:leader="none"/>
        </w:tabs>
        <w:spacing w:line="240" w:lineRule="auto" w:before="120" w:after="0"/>
        <w:ind w:left="1919" w:right="414" w:hanging="567"/>
        <w:jc w:val="both"/>
        <w:rPr>
          <w:sz w:val="24"/>
        </w:rPr>
      </w:pPr>
      <w:r>
        <w:rPr>
          <w:sz w:val="24"/>
        </w:rPr>
        <w:t>the technical terms and conditions of </w:t>
      </w:r>
      <w:r>
        <w:rPr>
          <w:i/>
          <w:sz w:val="24"/>
        </w:rPr>
        <w:t>connection agreements </w:t>
      </w:r>
      <w:r>
        <w:rPr>
          <w:sz w:val="24"/>
        </w:rPr>
        <w:t>regarding standards of performance must be established in accordance with the requirements of </w:t>
      </w:r>
      <w:r>
        <w:rPr>
          <w:i/>
          <w:sz w:val="24"/>
        </w:rPr>
        <w:t>jurisdictional electricity legislation</w:t>
      </w:r>
      <w:r>
        <w:rPr>
          <w:sz w:val="24"/>
        </w:rPr>
        <w:t>, with the objective of ensuring that the </w:t>
      </w:r>
      <w:r>
        <w:rPr>
          <w:i/>
          <w:sz w:val="24"/>
        </w:rPr>
        <w:t>power system </w:t>
      </w:r>
      <w:r>
        <w:rPr>
          <w:sz w:val="24"/>
        </w:rPr>
        <w:t>operates securely and reliably and in accordance with any </w:t>
      </w:r>
      <w:r>
        <w:rPr>
          <w:i/>
          <w:sz w:val="24"/>
        </w:rPr>
        <w:t>system</w:t>
      </w:r>
      <w:r>
        <w:rPr>
          <w:i/>
          <w:spacing w:val="-4"/>
          <w:sz w:val="24"/>
        </w:rPr>
        <w:t> </w:t>
      </w:r>
      <w:r>
        <w:rPr>
          <w:i/>
          <w:sz w:val="24"/>
        </w:rPr>
        <w:t>standard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(c) will be requirements that correspond to the matters set out in schedules</w:t>
      </w:r>
      <w:r>
        <w:rPr>
          <w:spacing w:val="-15"/>
          <w:sz w:val="20"/>
        </w:rPr>
        <w:t> </w:t>
      </w:r>
      <w:r>
        <w:rPr>
          <w:sz w:val="20"/>
        </w:rPr>
        <w:t>5.1,</w:t>
      </w:r>
    </w:p>
    <w:p>
      <w:pPr>
        <w:pStyle w:val="ListParagraph"/>
        <w:numPr>
          <w:ilvl w:val="1"/>
          <w:numId w:val="147"/>
        </w:numPr>
        <w:tabs>
          <w:tab w:pos="2227" w:val="left" w:leader="none"/>
        </w:tabs>
        <w:spacing w:line="240" w:lineRule="auto" w:before="0" w:after="0"/>
        <w:ind w:left="1919" w:right="414" w:firstLine="0"/>
        <w:jc w:val="both"/>
        <w:rPr>
          <w:sz w:val="20"/>
        </w:rPr>
      </w:pPr>
      <w:r>
        <w:rPr>
          <w:sz w:val="20"/>
        </w:rPr>
        <w:t>and 5.3 in the </w:t>
      </w:r>
      <w:r>
        <w:rPr>
          <w:i/>
          <w:sz w:val="20"/>
        </w:rPr>
        <w:t>Rules </w:t>
      </w:r>
      <w:r>
        <w:rPr>
          <w:sz w:val="20"/>
        </w:rPr>
        <w:t>applying in other </w:t>
      </w:r>
      <w:r>
        <w:rPr>
          <w:i/>
          <w:sz w:val="20"/>
        </w:rPr>
        <w:t>participating jurisdictions</w:t>
      </w:r>
      <w:r>
        <w:rPr>
          <w:sz w:val="20"/>
        </w:rPr>
        <w:t>. The system standards referred to in paragraph (c) are those that correspond to the </w:t>
      </w:r>
      <w:r>
        <w:rPr>
          <w:i/>
          <w:sz w:val="20"/>
        </w:rPr>
        <w:t>system standards </w:t>
      </w:r>
      <w:r>
        <w:rPr>
          <w:sz w:val="20"/>
        </w:rPr>
        <w:t>in schedule 5.1a in the </w:t>
      </w:r>
      <w:r>
        <w:rPr>
          <w:i/>
          <w:sz w:val="20"/>
        </w:rPr>
        <w:t>Rules </w:t>
      </w:r>
      <w:r>
        <w:rPr>
          <w:sz w:val="20"/>
        </w:rPr>
        <w:t>applying in other </w:t>
      </w:r>
      <w:r>
        <w:rPr>
          <w:i/>
          <w:sz w:val="20"/>
        </w:rPr>
        <w:t>participating jurisdictions</w:t>
      </w:r>
      <w:r>
        <w:rPr>
          <w:sz w:val="20"/>
        </w:rPr>
        <w:t>. The application of </w:t>
      </w:r>
      <w:r>
        <w:rPr>
          <w:spacing w:val="4"/>
          <w:sz w:val="20"/>
        </w:rPr>
        <w:t> </w:t>
      </w:r>
      <w:r>
        <w:rPr>
          <w:sz w:val="20"/>
        </w:rPr>
        <w:t>paragraph</w:t>
      </w:r>
    </w:p>
    <w:p>
      <w:pPr>
        <w:pStyle w:val="ListParagraph"/>
        <w:numPr>
          <w:ilvl w:val="0"/>
          <w:numId w:val="148"/>
        </w:numPr>
        <w:tabs>
          <w:tab w:pos="2191" w:val="left" w:leader="none"/>
        </w:tabs>
        <w:spacing w:line="240" w:lineRule="auto" w:before="0" w:after="0"/>
        <w:ind w:left="2190" w:right="0" w:hanging="272"/>
        <w:jc w:val="both"/>
        <w:rPr>
          <w:sz w:val="20"/>
        </w:rPr>
      </w:pPr>
      <w:r>
        <w:rPr>
          <w:sz w:val="20"/>
        </w:rPr>
        <w:t>will be revisited as part of the phased implementation of the </w:t>
      </w:r>
      <w:r>
        <w:rPr>
          <w:i/>
          <w:sz w:val="20"/>
        </w:rPr>
        <w:t>Rules </w:t>
      </w:r>
      <w:r>
        <w:rPr>
          <w:sz w:val="20"/>
        </w:rPr>
        <w:t>in this</w:t>
      </w:r>
      <w:r>
        <w:rPr>
          <w:spacing w:val="-8"/>
          <w:sz w:val="20"/>
        </w:rPr>
        <w:t> </w:t>
      </w:r>
      <w:r>
        <w:rPr>
          <w:sz w:val="20"/>
        </w:rPr>
        <w:t>jurisdiction.</w:t>
      </w:r>
    </w:p>
    <w:p>
      <w:pPr>
        <w:pStyle w:val="ListParagraph"/>
        <w:numPr>
          <w:ilvl w:val="0"/>
          <w:numId w:val="148"/>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0"/>
          <w:numId w:val="148"/>
        </w:numPr>
        <w:tabs>
          <w:tab w:pos="1919" w:val="left" w:leader="none"/>
        </w:tabs>
        <w:spacing w:line="240" w:lineRule="auto" w:before="120" w:after="0"/>
        <w:ind w:left="1918" w:right="0" w:hanging="567"/>
        <w:jc w:val="both"/>
        <w:rPr>
          <w:sz w:val="24"/>
        </w:rPr>
      </w:pPr>
      <w:r>
        <w:rPr>
          <w:sz w:val="24"/>
        </w:rPr>
        <w:t>the operation of the </w:t>
      </w:r>
      <w:r>
        <w:rPr>
          <w:i/>
          <w:sz w:val="24"/>
        </w:rPr>
        <w:t>Rules </w:t>
      </w:r>
      <w:r>
        <w:rPr>
          <w:sz w:val="24"/>
        </w:rPr>
        <w:t>should result in the achievement</w:t>
      </w:r>
      <w:r>
        <w:rPr>
          <w:spacing w:val="-4"/>
          <w:sz w:val="24"/>
        </w:rPr>
        <w:t> </w:t>
      </w:r>
      <w:r>
        <w:rPr>
          <w:sz w:val="24"/>
        </w:rPr>
        <w:t>of:</w:t>
      </w:r>
    </w:p>
    <w:p>
      <w:pPr>
        <w:pStyle w:val="ListParagraph"/>
        <w:numPr>
          <w:ilvl w:val="1"/>
          <w:numId w:val="148"/>
        </w:numPr>
        <w:tabs>
          <w:tab w:pos="2486" w:val="left" w:leader="none"/>
        </w:tabs>
        <w:spacing w:line="240" w:lineRule="auto" w:before="120" w:after="0"/>
        <w:ind w:left="2485" w:right="0" w:hanging="567"/>
        <w:jc w:val="both"/>
        <w:rPr>
          <w:sz w:val="24"/>
        </w:rPr>
      </w:pPr>
      <w:r>
        <w:rPr>
          <w:sz w:val="24"/>
        </w:rPr>
        <w:t>long term benefits to </w:t>
      </w:r>
      <w:r>
        <w:rPr>
          <w:i/>
          <w:sz w:val="24"/>
        </w:rPr>
        <w:t>Registered Participants </w:t>
      </w:r>
      <w:r>
        <w:rPr>
          <w:sz w:val="24"/>
        </w:rPr>
        <w:t>in terms of cost</w:t>
      </w:r>
      <w:r>
        <w:rPr>
          <w:spacing w:val="-26"/>
          <w:sz w:val="24"/>
        </w:rPr>
        <w:t> </w:t>
      </w:r>
      <w:r>
        <w:rPr>
          <w:sz w:val="24"/>
        </w:rPr>
        <w:t>and</w:t>
      </w:r>
    </w:p>
    <w:p>
      <w:pPr>
        <w:spacing w:before="0"/>
        <w:ind w:left="2486" w:right="0" w:firstLine="0"/>
        <w:jc w:val="both"/>
        <w:rPr>
          <w:sz w:val="24"/>
        </w:rPr>
      </w:pPr>
      <w:r>
        <w:rPr>
          <w:i/>
          <w:sz w:val="24"/>
        </w:rPr>
        <w:t>reliability </w:t>
      </w:r>
      <w:r>
        <w:rPr>
          <w:sz w:val="24"/>
        </w:rPr>
        <w:t>of the </w:t>
      </w:r>
      <w:r>
        <w:rPr>
          <w:i/>
          <w:sz w:val="24"/>
        </w:rPr>
        <w:t>national grid</w:t>
      </w:r>
      <w:r>
        <w:rPr>
          <w:sz w:val="24"/>
        </w:rPr>
        <w:t>; and</w:t>
      </w:r>
    </w:p>
    <w:p>
      <w:pPr>
        <w:pStyle w:val="ListParagraph"/>
        <w:numPr>
          <w:ilvl w:val="1"/>
          <w:numId w:val="148"/>
        </w:numPr>
        <w:tabs>
          <w:tab w:pos="2486" w:val="left" w:leader="none"/>
        </w:tabs>
        <w:spacing w:line="240" w:lineRule="auto" w:before="120" w:after="0"/>
        <w:ind w:left="2486" w:right="414" w:hanging="567"/>
        <w:jc w:val="both"/>
        <w:rPr>
          <w:sz w:val="24"/>
        </w:rPr>
      </w:pPr>
      <w:r>
        <w:rPr>
          <w:sz w:val="24"/>
        </w:rPr>
        <w:t>open communication and information flows relating to </w:t>
      </w:r>
      <w:r>
        <w:rPr>
          <w:i/>
          <w:sz w:val="24"/>
        </w:rPr>
        <w:t>connections </w:t>
      </w:r>
      <w:r>
        <w:rPr>
          <w:sz w:val="24"/>
        </w:rPr>
        <w:t>between </w:t>
      </w:r>
      <w:r>
        <w:rPr>
          <w:i/>
          <w:sz w:val="24"/>
        </w:rPr>
        <w:t>Registered Participants </w:t>
      </w:r>
      <w:r>
        <w:rPr>
          <w:sz w:val="24"/>
        </w:rPr>
        <w:t>themselves, and between </w:t>
      </w:r>
      <w:r>
        <w:rPr>
          <w:i/>
          <w:sz w:val="24"/>
        </w:rPr>
        <w:t>Registered </w:t>
      </w:r>
      <w:r>
        <w:rPr>
          <w:i/>
          <w:sz w:val="24"/>
        </w:rPr>
        <w:t>Participants </w:t>
      </w:r>
      <w:r>
        <w:rPr>
          <w:sz w:val="24"/>
        </w:rPr>
        <w:t>and </w:t>
      </w:r>
      <w:r>
        <w:rPr>
          <w:i/>
          <w:sz w:val="24"/>
        </w:rPr>
        <w:t>NTESMO</w:t>
      </w:r>
      <w:r>
        <w:rPr>
          <w:sz w:val="24"/>
        </w:rPr>
        <w:t>, while ensuring the security of </w:t>
      </w:r>
      <w:r>
        <w:rPr>
          <w:i/>
          <w:sz w:val="24"/>
        </w:rPr>
        <w:t>confidential </w:t>
      </w:r>
      <w:r>
        <w:rPr>
          <w:i/>
          <w:sz w:val="24"/>
        </w:rPr>
        <w:t>information </w:t>
      </w:r>
      <w:r>
        <w:rPr>
          <w:sz w:val="24"/>
        </w:rPr>
        <w:t>belonging to competitors in the</w:t>
      </w:r>
      <w:r>
        <w:rPr>
          <w:spacing w:val="-2"/>
          <w:sz w:val="24"/>
        </w:rPr>
        <w:t> </w:t>
      </w:r>
      <w:r>
        <w:rPr>
          <w:i/>
          <w:sz w:val="24"/>
        </w:rPr>
        <w:t>market</w:t>
      </w:r>
      <w:r>
        <w:rPr>
          <w:sz w:val="24"/>
        </w:rPr>
        <w:t>.</w:t>
      </w:r>
    </w:p>
    <w:p>
      <w:pPr>
        <w:pStyle w:val="BodyText"/>
        <w:spacing w:before="10"/>
        <w:ind w:firstLine="0"/>
        <w:jc w:val="left"/>
        <w:rPr>
          <w:sz w:val="20"/>
        </w:rPr>
      </w:pPr>
    </w:p>
    <w:p>
      <w:pPr>
        <w:pStyle w:val="Heading4"/>
        <w:numPr>
          <w:ilvl w:val="1"/>
          <w:numId w:val="149"/>
        </w:numPr>
        <w:tabs>
          <w:tab w:pos="553" w:val="left" w:leader="none"/>
          <w:tab w:pos="1351" w:val="left" w:leader="none"/>
        </w:tabs>
        <w:spacing w:line="240" w:lineRule="auto" w:before="0" w:after="0"/>
        <w:ind w:left="552" w:right="0" w:hanging="335"/>
        <w:jc w:val="left"/>
        <w:rPr>
          <w:sz w:val="22"/>
        </w:rPr>
      </w:pPr>
      <w:bookmarkStart w:name="5.1A.3 Dedicated connection asset servic" w:id="352"/>
      <w:bookmarkEnd w:id="352"/>
      <w:r>
        <w:rPr>
          <w:b w:val="0"/>
        </w:rPr>
      </w:r>
      <w:bookmarkStart w:name="_bookmark155" w:id="353"/>
      <w:bookmarkEnd w:id="353"/>
      <w:r>
        <w:rPr>
          <w:b w:val="0"/>
        </w:rPr>
      </w:r>
      <w:bookmarkStart w:name="_bookmark155" w:id="354"/>
      <w:bookmarkEnd w:id="354"/>
      <w:r>
        <w:rPr/>
        <w:t>A.</w:t>
      </w:r>
      <w:r>
        <w:rPr/>
        <w:t>3</w:t>
        <w:tab/>
        <w:t>Dedicated connection asset service</w:t>
      </w:r>
      <w:r>
        <w:rPr>
          <w:spacing w:val="-7"/>
        </w:rPr>
        <w:t> </w:t>
      </w:r>
      <w:r>
        <w:rPr/>
        <w:t>providers</w:t>
      </w:r>
    </w:p>
    <w:p>
      <w:pPr>
        <w:pStyle w:val="ListParagraph"/>
        <w:numPr>
          <w:ilvl w:val="2"/>
          <w:numId w:val="149"/>
        </w:numPr>
        <w:tabs>
          <w:tab w:pos="1919" w:val="left" w:leader="none"/>
        </w:tabs>
        <w:spacing w:line="240" w:lineRule="auto" w:before="120" w:after="0"/>
        <w:ind w:left="1919" w:right="415" w:hanging="567"/>
        <w:jc w:val="both"/>
        <w:rPr>
          <w:sz w:val="24"/>
        </w:rPr>
      </w:pPr>
      <w:r>
        <w:rPr>
          <w:sz w:val="24"/>
        </w:rPr>
        <w:t>A person must not engage in the activity of owning, controlling or operating a </w:t>
      </w:r>
      <w:r>
        <w:rPr>
          <w:i/>
          <w:sz w:val="24"/>
        </w:rPr>
        <w:t>dedicated connection asset </w:t>
      </w:r>
      <w:r>
        <w:rPr>
          <w:sz w:val="24"/>
        </w:rPr>
        <w:t>unless the person is a </w:t>
      </w:r>
      <w:r>
        <w:rPr>
          <w:i/>
          <w:sz w:val="24"/>
        </w:rPr>
        <w:t>Transmission Network </w:t>
      </w:r>
      <w:r>
        <w:rPr>
          <w:i/>
          <w:sz w:val="24"/>
        </w:rPr>
        <w:t>Service Provider</w:t>
      </w:r>
      <w:r>
        <w:rPr>
          <w:sz w:val="24"/>
        </w:rPr>
        <w:t>, or a person who holds an exemption from the requirement to hold a licence under Part 3 of the </w:t>
      </w:r>
      <w:r>
        <w:rPr>
          <w:i/>
          <w:sz w:val="24"/>
        </w:rPr>
        <w:t>Electricity Reform Act 2000 </w:t>
      </w:r>
      <w:r>
        <w:rPr>
          <w:sz w:val="24"/>
        </w:rPr>
        <w:t>(NT) to own or operate that </w:t>
      </w:r>
      <w:r>
        <w:rPr>
          <w:i/>
          <w:sz w:val="24"/>
        </w:rPr>
        <w:t>dedicated connection</w:t>
      </w:r>
      <w:r>
        <w:rPr>
          <w:i/>
          <w:spacing w:val="-1"/>
          <w:sz w:val="24"/>
        </w:rPr>
        <w:t> </w:t>
      </w:r>
      <w:r>
        <w:rPr>
          <w:i/>
          <w:sz w:val="24"/>
        </w:rPr>
        <w:t>asset</w:t>
      </w:r>
      <w:r>
        <w:rPr>
          <w:sz w:val="24"/>
        </w:rPr>
        <w:t>.</w:t>
      </w:r>
    </w:p>
    <w:p>
      <w:pPr>
        <w:pStyle w:val="ListParagraph"/>
        <w:numPr>
          <w:ilvl w:val="2"/>
          <w:numId w:val="149"/>
        </w:numPr>
        <w:tabs>
          <w:tab w:pos="1919" w:val="left" w:leader="none"/>
        </w:tabs>
        <w:spacing w:line="240" w:lineRule="auto" w:before="120" w:after="0"/>
        <w:ind w:left="1919" w:right="415" w:hanging="567"/>
        <w:jc w:val="both"/>
        <w:rPr>
          <w:sz w:val="24"/>
        </w:rPr>
      </w:pPr>
      <w:r>
        <w:rPr>
          <w:sz w:val="24"/>
        </w:rPr>
        <w:t>A person who holds an exemption from the requirement to hold a licence under</w:t>
      </w:r>
      <w:r>
        <w:rPr>
          <w:spacing w:val="26"/>
          <w:sz w:val="24"/>
        </w:rPr>
        <w:t> </w:t>
      </w:r>
      <w:r>
        <w:rPr>
          <w:sz w:val="24"/>
        </w:rPr>
        <w:t>Part</w:t>
      </w:r>
      <w:r>
        <w:rPr>
          <w:spacing w:val="27"/>
          <w:sz w:val="24"/>
        </w:rPr>
        <w:t> </w:t>
      </w:r>
      <w:r>
        <w:rPr>
          <w:sz w:val="24"/>
        </w:rPr>
        <w:t>3</w:t>
      </w:r>
      <w:r>
        <w:rPr>
          <w:spacing w:val="26"/>
          <w:sz w:val="24"/>
        </w:rPr>
        <w:t> </w:t>
      </w:r>
      <w:r>
        <w:rPr>
          <w:sz w:val="24"/>
        </w:rPr>
        <w:t>of</w:t>
      </w:r>
      <w:r>
        <w:rPr>
          <w:spacing w:val="27"/>
          <w:sz w:val="24"/>
        </w:rPr>
        <w:t> </w:t>
      </w:r>
      <w:r>
        <w:rPr>
          <w:sz w:val="24"/>
        </w:rPr>
        <w:t>the</w:t>
      </w:r>
      <w:r>
        <w:rPr>
          <w:spacing w:val="27"/>
          <w:sz w:val="24"/>
        </w:rPr>
        <w:t> </w:t>
      </w:r>
      <w:r>
        <w:rPr>
          <w:i/>
          <w:sz w:val="24"/>
        </w:rPr>
        <w:t>Electricity</w:t>
      </w:r>
      <w:r>
        <w:rPr>
          <w:i/>
          <w:spacing w:val="26"/>
          <w:sz w:val="24"/>
        </w:rPr>
        <w:t> </w:t>
      </w:r>
      <w:r>
        <w:rPr>
          <w:i/>
          <w:sz w:val="24"/>
        </w:rPr>
        <w:t>Reform</w:t>
      </w:r>
      <w:r>
        <w:rPr>
          <w:i/>
          <w:spacing w:val="27"/>
          <w:sz w:val="24"/>
        </w:rPr>
        <w:t> </w:t>
      </w:r>
      <w:r>
        <w:rPr>
          <w:i/>
          <w:sz w:val="24"/>
        </w:rPr>
        <w:t>Act</w:t>
      </w:r>
      <w:r>
        <w:rPr>
          <w:i/>
          <w:spacing w:val="27"/>
          <w:sz w:val="24"/>
        </w:rPr>
        <w:t> </w:t>
      </w:r>
      <w:r>
        <w:rPr>
          <w:i/>
          <w:sz w:val="24"/>
        </w:rPr>
        <w:t>2000</w:t>
      </w:r>
      <w:r>
        <w:rPr>
          <w:i/>
          <w:spacing w:val="26"/>
          <w:sz w:val="24"/>
        </w:rPr>
        <w:t> </w:t>
      </w:r>
      <w:r>
        <w:rPr>
          <w:sz w:val="24"/>
        </w:rPr>
        <w:t>(NT)</w:t>
      </w:r>
      <w:r>
        <w:rPr>
          <w:spacing w:val="27"/>
          <w:sz w:val="24"/>
        </w:rPr>
        <w:t> </w:t>
      </w:r>
      <w:r>
        <w:rPr>
          <w:sz w:val="24"/>
        </w:rPr>
        <w:t>to</w:t>
      </w:r>
      <w:r>
        <w:rPr>
          <w:spacing w:val="27"/>
          <w:sz w:val="24"/>
        </w:rPr>
        <w:t> </w:t>
      </w:r>
      <w:r>
        <w:rPr>
          <w:sz w:val="24"/>
        </w:rPr>
        <w:t>own</w:t>
      </w:r>
      <w:r>
        <w:rPr>
          <w:spacing w:val="26"/>
          <w:sz w:val="24"/>
        </w:rPr>
        <w:t> </w:t>
      </w:r>
      <w:r>
        <w:rPr>
          <w:sz w:val="24"/>
        </w:rPr>
        <w:t>or</w:t>
      </w:r>
      <w:r>
        <w:rPr>
          <w:spacing w:val="27"/>
          <w:sz w:val="24"/>
        </w:rPr>
        <w:t> </w:t>
      </w:r>
      <w:r>
        <w:rPr>
          <w:sz w:val="24"/>
        </w:rPr>
        <w:t>operate</w:t>
      </w:r>
      <w:r>
        <w:rPr>
          <w:spacing w:val="27"/>
          <w:sz w:val="24"/>
        </w:rPr>
        <w:t> </w:t>
      </w:r>
      <w:r>
        <w:rPr>
          <w:sz w:val="24"/>
        </w:rPr>
        <w:t>a</w:t>
      </w:r>
    </w:p>
    <w:p>
      <w:pPr>
        <w:spacing w:after="0" w:line="240" w:lineRule="auto"/>
        <w:jc w:val="both"/>
        <w:rPr>
          <w:sz w:val="24"/>
        </w:rPr>
        <w:sectPr>
          <w:pgSz w:w="11910" w:h="16840"/>
          <w:pgMar w:header="686" w:footer="637" w:top="1320" w:bottom="820" w:left="1200" w:right="1000"/>
        </w:sectPr>
      </w:pPr>
    </w:p>
    <w:p>
      <w:pPr>
        <w:spacing w:before="83"/>
        <w:ind w:left="1919" w:right="414" w:firstLine="0"/>
        <w:jc w:val="both"/>
        <w:rPr>
          <w:sz w:val="24"/>
        </w:rPr>
      </w:pPr>
      <w:r>
        <w:rPr>
          <w:i/>
          <w:sz w:val="24"/>
        </w:rPr>
        <w:t>large dedicated connection asset </w:t>
      </w:r>
      <w:r>
        <w:rPr>
          <w:sz w:val="24"/>
        </w:rPr>
        <w:t>must, in relation to that </w:t>
      </w:r>
      <w:r>
        <w:rPr>
          <w:i/>
          <w:sz w:val="24"/>
        </w:rPr>
        <w:t>dedicated </w:t>
      </w:r>
      <w:r>
        <w:rPr>
          <w:i/>
          <w:sz w:val="24"/>
        </w:rPr>
        <w:t>connection asset</w:t>
      </w:r>
      <w:r>
        <w:rPr>
          <w:sz w:val="24"/>
        </w:rPr>
        <w:t>, comply with clause 5.2A(6)(c), clause 5.2A.8 and rule 5.5 as if that person were a </w:t>
      </w:r>
      <w:r>
        <w:rPr>
          <w:i/>
          <w:sz w:val="24"/>
        </w:rPr>
        <w:t>Dedicated Connection Asset Service Provider</w:t>
      </w:r>
      <w:r>
        <w:rPr>
          <w:sz w:val="24"/>
        </w:rPr>
        <w:t>.</w:t>
      </w:r>
    </w:p>
    <w:p>
      <w:pPr>
        <w:pStyle w:val="ListParagraph"/>
        <w:numPr>
          <w:ilvl w:val="2"/>
          <w:numId w:val="149"/>
        </w:numPr>
        <w:tabs>
          <w:tab w:pos="1919" w:val="left" w:leader="none"/>
        </w:tabs>
        <w:spacing w:line="240" w:lineRule="auto" w:before="120" w:after="0"/>
        <w:ind w:left="1918" w:right="0" w:hanging="567"/>
        <w:jc w:val="both"/>
        <w:rPr>
          <w:sz w:val="24"/>
        </w:rPr>
      </w:pPr>
      <w:r>
        <w:rPr>
          <w:sz w:val="24"/>
        </w:rPr>
        <w:t>A </w:t>
      </w:r>
      <w:r>
        <w:rPr>
          <w:i/>
          <w:sz w:val="24"/>
        </w:rPr>
        <w:t>Dedicated Connection Asset Service Provider</w:t>
      </w:r>
      <w:r>
        <w:rPr>
          <w:i/>
          <w:spacing w:val="-1"/>
          <w:sz w:val="24"/>
        </w:rPr>
        <w:t> </w:t>
      </w:r>
      <w:r>
        <w:rPr>
          <w:sz w:val="24"/>
        </w:rPr>
        <w:t>is:</w:t>
      </w:r>
    </w:p>
    <w:p>
      <w:pPr>
        <w:pStyle w:val="ListParagraph"/>
        <w:numPr>
          <w:ilvl w:val="3"/>
          <w:numId w:val="149"/>
        </w:numPr>
        <w:tabs>
          <w:tab w:pos="2486" w:val="left" w:leader="none"/>
        </w:tabs>
        <w:spacing w:line="240" w:lineRule="auto" w:before="120" w:after="0"/>
        <w:ind w:left="2486" w:right="415" w:hanging="567"/>
        <w:jc w:val="both"/>
        <w:rPr>
          <w:sz w:val="24"/>
        </w:rPr>
      </w:pPr>
      <w:r>
        <w:rPr>
          <w:sz w:val="24"/>
        </w:rPr>
        <w:t>only required to comply with a rule that is expressed to apply to a </w:t>
      </w:r>
      <w:r>
        <w:rPr>
          <w:i/>
          <w:sz w:val="24"/>
        </w:rPr>
        <w:t>Network Service Provider </w:t>
      </w:r>
      <w:r>
        <w:rPr>
          <w:sz w:val="24"/>
        </w:rPr>
        <w:t>or a </w:t>
      </w:r>
      <w:r>
        <w:rPr>
          <w:i/>
          <w:sz w:val="24"/>
        </w:rPr>
        <w:t>Transmission Network Service </w:t>
      </w:r>
      <w:r>
        <w:rPr>
          <w:i/>
          <w:sz w:val="24"/>
        </w:rPr>
        <w:t>Provider </w:t>
      </w:r>
      <w:r>
        <w:rPr>
          <w:sz w:val="24"/>
        </w:rPr>
        <w:t>in those capacities where the rule expressly provides that it applies to a </w:t>
      </w:r>
      <w:r>
        <w:rPr>
          <w:i/>
          <w:sz w:val="24"/>
        </w:rPr>
        <w:t>Dedicated Connection Asset Service Provider</w:t>
      </w:r>
      <w:r>
        <w:rPr>
          <w:sz w:val="24"/>
        </w:rPr>
        <w:t>;</w:t>
      </w:r>
      <w:r>
        <w:rPr>
          <w:spacing w:val="-6"/>
          <w:sz w:val="24"/>
        </w:rPr>
        <w:t> </w:t>
      </w:r>
      <w:r>
        <w:rPr>
          <w:sz w:val="24"/>
        </w:rPr>
        <w:t>and</w:t>
      </w:r>
    </w:p>
    <w:p>
      <w:pPr>
        <w:pStyle w:val="ListParagraph"/>
        <w:numPr>
          <w:ilvl w:val="3"/>
          <w:numId w:val="149"/>
        </w:numPr>
        <w:tabs>
          <w:tab w:pos="2486" w:val="left" w:leader="none"/>
        </w:tabs>
        <w:spacing w:line="240" w:lineRule="auto" w:before="120" w:after="0"/>
        <w:ind w:left="2485" w:right="0" w:hanging="567"/>
        <w:jc w:val="both"/>
        <w:rPr>
          <w:sz w:val="24"/>
        </w:rPr>
      </w:pPr>
      <w:r>
        <w:rPr>
          <w:sz w:val="24"/>
        </w:rPr>
        <w:t>required</w:t>
      </w:r>
      <w:r>
        <w:rPr>
          <w:spacing w:val="32"/>
          <w:sz w:val="24"/>
        </w:rPr>
        <w:t> </w:t>
      </w:r>
      <w:r>
        <w:rPr>
          <w:sz w:val="24"/>
        </w:rPr>
        <w:t>to</w:t>
      </w:r>
      <w:r>
        <w:rPr>
          <w:spacing w:val="32"/>
          <w:sz w:val="24"/>
        </w:rPr>
        <w:t> </w:t>
      </w:r>
      <w:r>
        <w:rPr>
          <w:sz w:val="24"/>
        </w:rPr>
        <w:t>comply</w:t>
      </w:r>
      <w:r>
        <w:rPr>
          <w:spacing w:val="32"/>
          <w:sz w:val="24"/>
        </w:rPr>
        <w:t> </w:t>
      </w:r>
      <w:r>
        <w:rPr>
          <w:sz w:val="24"/>
        </w:rPr>
        <w:t>with</w:t>
      </w:r>
      <w:r>
        <w:rPr>
          <w:spacing w:val="32"/>
          <w:sz w:val="24"/>
        </w:rPr>
        <w:t> </w:t>
      </w:r>
      <w:r>
        <w:rPr>
          <w:sz w:val="24"/>
        </w:rPr>
        <w:t>all</w:t>
      </w:r>
      <w:r>
        <w:rPr>
          <w:spacing w:val="32"/>
          <w:sz w:val="24"/>
        </w:rPr>
        <w:t> </w:t>
      </w:r>
      <w:r>
        <w:rPr>
          <w:sz w:val="24"/>
        </w:rPr>
        <w:t>rules</w:t>
      </w:r>
      <w:r>
        <w:rPr>
          <w:spacing w:val="32"/>
          <w:sz w:val="24"/>
        </w:rPr>
        <w:t> </w:t>
      </w:r>
      <w:r>
        <w:rPr>
          <w:sz w:val="24"/>
        </w:rPr>
        <w:t>which</w:t>
      </w:r>
      <w:r>
        <w:rPr>
          <w:spacing w:val="32"/>
          <w:sz w:val="24"/>
        </w:rPr>
        <w:t> </w:t>
      </w:r>
      <w:r>
        <w:rPr>
          <w:sz w:val="24"/>
        </w:rPr>
        <w:t>are</w:t>
      </w:r>
      <w:r>
        <w:rPr>
          <w:spacing w:val="32"/>
          <w:sz w:val="24"/>
        </w:rPr>
        <w:t> </w:t>
      </w:r>
      <w:r>
        <w:rPr>
          <w:sz w:val="24"/>
        </w:rPr>
        <w:t>expressed</w:t>
      </w:r>
      <w:r>
        <w:rPr>
          <w:spacing w:val="32"/>
          <w:sz w:val="24"/>
        </w:rPr>
        <w:t> </w:t>
      </w:r>
      <w:r>
        <w:rPr>
          <w:sz w:val="24"/>
        </w:rPr>
        <w:t>to</w:t>
      </w:r>
      <w:r>
        <w:rPr>
          <w:spacing w:val="33"/>
          <w:sz w:val="24"/>
        </w:rPr>
        <w:t> </w:t>
      </w:r>
      <w:r>
        <w:rPr>
          <w:sz w:val="24"/>
        </w:rPr>
        <w:t>apply</w:t>
      </w:r>
      <w:r>
        <w:rPr>
          <w:spacing w:val="32"/>
          <w:sz w:val="24"/>
        </w:rPr>
        <w:t> </w:t>
      </w:r>
      <w:r>
        <w:rPr>
          <w:sz w:val="24"/>
        </w:rPr>
        <w:t>to</w:t>
      </w:r>
      <w:r>
        <w:rPr>
          <w:spacing w:val="32"/>
          <w:sz w:val="24"/>
        </w:rPr>
        <w:t> </w:t>
      </w:r>
      <w:r>
        <w:rPr>
          <w:sz w:val="24"/>
        </w:rPr>
        <w:t>a</w:t>
      </w:r>
    </w:p>
    <w:p>
      <w:pPr>
        <w:spacing w:before="0"/>
        <w:ind w:left="2486" w:right="0" w:firstLine="0"/>
        <w:jc w:val="both"/>
        <w:rPr>
          <w:sz w:val="24"/>
        </w:rPr>
      </w:pPr>
      <w:r>
        <w:rPr>
          <w:i/>
          <w:sz w:val="24"/>
        </w:rPr>
        <w:t>Registered Participant</w:t>
      </w:r>
      <w:r>
        <w:rPr>
          <w:sz w:val="24"/>
        </w:rPr>
        <w:t>.</w:t>
      </w:r>
    </w:p>
    <w:p>
      <w:pPr>
        <w:pStyle w:val="ListParagraph"/>
        <w:numPr>
          <w:ilvl w:val="2"/>
          <w:numId w:val="149"/>
        </w:numPr>
        <w:tabs>
          <w:tab w:pos="1919" w:val="left" w:leader="none"/>
        </w:tabs>
        <w:spacing w:line="240" w:lineRule="auto" w:before="120" w:after="0"/>
        <w:ind w:left="1919" w:right="415" w:hanging="567"/>
        <w:jc w:val="both"/>
        <w:rPr>
          <w:sz w:val="24"/>
        </w:rPr>
      </w:pPr>
      <w:r>
        <w:rPr>
          <w:sz w:val="24"/>
        </w:rPr>
        <w:t>A </w:t>
      </w:r>
      <w:r>
        <w:rPr>
          <w:i/>
          <w:sz w:val="24"/>
        </w:rPr>
        <w:t>Transmission Network Service Provider </w:t>
      </w:r>
      <w:r>
        <w:rPr>
          <w:sz w:val="24"/>
        </w:rPr>
        <w:t>is taken to be a </w:t>
      </w:r>
      <w:r>
        <w:rPr>
          <w:i/>
          <w:sz w:val="24"/>
        </w:rPr>
        <w:t>Dedicated </w:t>
      </w:r>
      <w:r>
        <w:rPr>
          <w:i/>
          <w:sz w:val="24"/>
        </w:rPr>
        <w:t>Connection Asset Service Provider </w:t>
      </w:r>
      <w:r>
        <w:rPr>
          <w:sz w:val="24"/>
        </w:rPr>
        <w:t>only in so far as its activities relate to any of its </w:t>
      </w:r>
      <w:r>
        <w:rPr>
          <w:i/>
          <w:sz w:val="24"/>
        </w:rPr>
        <w:t>dedicated connection</w:t>
      </w:r>
      <w:r>
        <w:rPr>
          <w:i/>
          <w:spacing w:val="-1"/>
          <w:sz w:val="24"/>
        </w:rPr>
        <w:t> </w:t>
      </w:r>
      <w:r>
        <w:rPr>
          <w:i/>
          <w:sz w:val="24"/>
        </w:rPr>
        <w:t>assets</w:t>
      </w:r>
      <w:r>
        <w:rPr>
          <w:sz w:val="24"/>
        </w:rPr>
        <w:t>.</w:t>
      </w:r>
    </w:p>
    <w:p>
      <w:pPr>
        <w:pStyle w:val="BodyText"/>
        <w:spacing w:before="10"/>
        <w:ind w:firstLine="0"/>
        <w:jc w:val="left"/>
        <w:rPr>
          <w:sz w:val="20"/>
        </w:rPr>
      </w:pPr>
    </w:p>
    <w:p>
      <w:pPr>
        <w:pStyle w:val="Heading3"/>
        <w:numPr>
          <w:ilvl w:val="1"/>
          <w:numId w:val="149"/>
        </w:numPr>
        <w:tabs>
          <w:tab w:pos="1351" w:val="left" w:leader="none"/>
          <w:tab w:pos="1353" w:val="left" w:leader="none"/>
        </w:tabs>
        <w:spacing w:line="240" w:lineRule="auto" w:before="0" w:after="0"/>
        <w:ind w:left="1352" w:right="0" w:hanging="1135"/>
        <w:jc w:val="left"/>
      </w:pPr>
      <w:bookmarkStart w:name="5.2 Obligations" w:id="355"/>
      <w:bookmarkEnd w:id="355"/>
      <w:r>
        <w:rPr>
          <w:b w:val="0"/>
        </w:rPr>
      </w:r>
      <w:bookmarkStart w:name="_bookmark156" w:id="356"/>
      <w:bookmarkEnd w:id="356"/>
      <w:r>
        <w:rPr>
          <w:b w:val="0"/>
        </w:rPr>
      </w:r>
      <w:bookmarkStart w:name="_bookmark156" w:id="357"/>
      <w:bookmarkEnd w:id="357"/>
      <w:r>
        <w:rPr/>
        <w:t>O</w:t>
      </w:r>
      <w:r>
        <w:rPr/>
        <w:t>bligations</w:t>
      </w:r>
    </w:p>
    <w:p>
      <w:pPr>
        <w:pStyle w:val="Heading4"/>
        <w:numPr>
          <w:ilvl w:val="2"/>
          <w:numId w:val="150"/>
        </w:numPr>
        <w:tabs>
          <w:tab w:pos="1351" w:val="left" w:leader="none"/>
          <w:tab w:pos="1352" w:val="left" w:leader="none"/>
        </w:tabs>
        <w:spacing w:line="240" w:lineRule="auto" w:before="240" w:after="0"/>
        <w:ind w:left="1351" w:right="0" w:hanging="1134"/>
        <w:jc w:val="left"/>
      </w:pPr>
      <w:bookmarkStart w:name="5.2.1 Obligations of Registered Particip" w:id="358"/>
      <w:bookmarkEnd w:id="358"/>
      <w:r>
        <w:rPr>
          <w:b w:val="0"/>
        </w:rPr>
      </w:r>
      <w:bookmarkStart w:name="_bookmark157" w:id="359"/>
      <w:bookmarkEnd w:id="359"/>
      <w:r>
        <w:rPr>
          <w:b w:val="0"/>
        </w:rPr>
      </w:r>
      <w:bookmarkStart w:name="_bookmark157" w:id="360"/>
      <w:bookmarkEnd w:id="360"/>
      <w:r>
        <w:rPr/>
        <w:t>Obl</w:t>
      </w:r>
      <w:r>
        <w:rPr/>
        <w:t>igations of Registered</w:t>
      </w:r>
      <w:r>
        <w:rPr>
          <w:spacing w:val="-1"/>
        </w:rPr>
        <w:t> </w:t>
      </w:r>
      <w:r>
        <w:rPr/>
        <w:t>Participants</w:t>
      </w:r>
    </w:p>
    <w:p>
      <w:pPr>
        <w:pStyle w:val="ListParagraph"/>
        <w:numPr>
          <w:ilvl w:val="3"/>
          <w:numId w:val="150"/>
        </w:numPr>
        <w:tabs>
          <w:tab w:pos="1919" w:val="left" w:leader="none"/>
        </w:tabs>
        <w:spacing w:line="240" w:lineRule="auto" w:before="120" w:after="0"/>
        <w:ind w:left="1919" w:right="414" w:hanging="567"/>
        <w:jc w:val="both"/>
        <w:rPr>
          <w:sz w:val="24"/>
        </w:rPr>
      </w:pPr>
      <w:r>
        <w:rPr>
          <w:sz w:val="24"/>
        </w:rPr>
        <w:t>All </w:t>
      </w:r>
      <w:r>
        <w:rPr>
          <w:i/>
          <w:sz w:val="24"/>
        </w:rPr>
        <w:t>Registered Participants </w:t>
      </w:r>
      <w:r>
        <w:rPr>
          <w:sz w:val="24"/>
        </w:rPr>
        <w:t>must maintain and operate (or ensure their authorised </w:t>
      </w:r>
      <w:r>
        <w:rPr>
          <w:i/>
          <w:sz w:val="24"/>
        </w:rPr>
        <w:t>representatives </w:t>
      </w:r>
      <w:r>
        <w:rPr>
          <w:sz w:val="24"/>
        </w:rPr>
        <w:t>maintain and operate) all equipment that is part of their </w:t>
      </w:r>
      <w:r>
        <w:rPr>
          <w:i/>
          <w:sz w:val="24"/>
        </w:rPr>
        <w:t>facilities </w:t>
      </w:r>
      <w:r>
        <w:rPr>
          <w:sz w:val="24"/>
        </w:rPr>
        <w:t>in accordance</w:t>
      </w:r>
      <w:r>
        <w:rPr>
          <w:spacing w:val="-1"/>
          <w:sz w:val="24"/>
        </w:rPr>
        <w:t> </w:t>
      </w:r>
      <w:r>
        <w:rPr>
          <w:sz w:val="24"/>
        </w:rPr>
        <w:t>with:</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sz w:val="24"/>
        </w:rPr>
        <w:t>relevant</w:t>
      </w:r>
      <w:r>
        <w:rPr>
          <w:spacing w:val="-1"/>
          <w:sz w:val="24"/>
        </w:rPr>
        <w:t> </w:t>
      </w:r>
      <w:r>
        <w:rPr>
          <w:sz w:val="24"/>
        </w:rPr>
        <w:t>laws;</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sz w:val="24"/>
        </w:rPr>
        <w:t>the requirements of the </w:t>
      </w:r>
      <w:r>
        <w:rPr>
          <w:i/>
          <w:sz w:val="24"/>
        </w:rPr>
        <w:t>Rules</w:t>
      </w:r>
      <w:r>
        <w:rPr>
          <w:sz w:val="24"/>
        </w:rPr>
        <w:t>;</w:t>
      </w:r>
      <w:r>
        <w:rPr>
          <w:spacing w:val="-1"/>
          <w:sz w:val="24"/>
        </w:rPr>
        <w:t> </w:t>
      </w:r>
      <w:r>
        <w:rPr>
          <w:sz w:val="24"/>
        </w:rPr>
        <w:t>and</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i/>
          <w:sz w:val="24"/>
        </w:rPr>
        <w:t>good electricity industry practice </w:t>
      </w:r>
      <w:r>
        <w:rPr>
          <w:sz w:val="24"/>
        </w:rPr>
        <w:t>and relevant </w:t>
      </w:r>
      <w:r>
        <w:rPr>
          <w:i/>
          <w:sz w:val="24"/>
        </w:rPr>
        <w:t>Australian</w:t>
      </w:r>
      <w:r>
        <w:rPr>
          <w:i/>
          <w:spacing w:val="-2"/>
          <w:sz w:val="24"/>
        </w:rPr>
        <w:t> </w:t>
      </w:r>
      <w:r>
        <w:rPr>
          <w:i/>
          <w:sz w:val="24"/>
        </w:rPr>
        <w:t>Standards</w:t>
      </w:r>
      <w:r>
        <w:rPr>
          <w:sz w:val="24"/>
        </w:rPr>
        <w:t>.</w:t>
      </w:r>
    </w:p>
    <w:p>
      <w:pPr>
        <w:pStyle w:val="ListParagraph"/>
        <w:numPr>
          <w:ilvl w:val="3"/>
          <w:numId w:val="150"/>
        </w:numPr>
        <w:tabs>
          <w:tab w:pos="1919" w:val="left" w:leader="none"/>
        </w:tabs>
        <w:spacing w:line="240" w:lineRule="auto" w:before="120" w:after="0"/>
        <w:ind w:left="1919" w:right="413" w:hanging="567"/>
        <w:jc w:val="both"/>
        <w:rPr>
          <w:sz w:val="24"/>
        </w:rPr>
      </w:pPr>
      <w:r>
        <w:rPr>
          <w:sz w:val="24"/>
        </w:rPr>
        <w:t>All </w:t>
      </w:r>
      <w:r>
        <w:rPr>
          <w:i/>
          <w:sz w:val="24"/>
        </w:rPr>
        <w:t>Registered Participants </w:t>
      </w:r>
      <w:r>
        <w:rPr>
          <w:sz w:val="24"/>
        </w:rPr>
        <w:t>must ensure that the </w:t>
      </w:r>
      <w:r>
        <w:rPr>
          <w:i/>
          <w:sz w:val="24"/>
        </w:rPr>
        <w:t>connection agreements </w:t>
      </w:r>
      <w:r>
        <w:rPr>
          <w:sz w:val="24"/>
        </w:rPr>
        <w:t>to which they are a party require the provision and maintenance of all required </w:t>
      </w:r>
      <w:r>
        <w:rPr>
          <w:i/>
          <w:sz w:val="24"/>
        </w:rPr>
        <w:t>facilities </w:t>
      </w:r>
      <w:r>
        <w:rPr>
          <w:sz w:val="24"/>
        </w:rPr>
        <w:t>consistent with </w:t>
      </w:r>
      <w:r>
        <w:rPr>
          <w:i/>
          <w:sz w:val="24"/>
        </w:rPr>
        <w:t>good electricity industry practice </w:t>
      </w:r>
      <w:r>
        <w:rPr>
          <w:sz w:val="24"/>
        </w:rPr>
        <w:t>and must operate their equipment in a</w:t>
      </w:r>
      <w:r>
        <w:rPr>
          <w:spacing w:val="-2"/>
          <w:sz w:val="24"/>
        </w:rPr>
        <w:t> </w:t>
      </w:r>
      <w:r>
        <w:rPr>
          <w:sz w:val="24"/>
        </w:rPr>
        <w:t>manner:</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to assist in preventing or controlling instability within the </w:t>
      </w:r>
      <w:r>
        <w:rPr>
          <w:i/>
          <w:sz w:val="24"/>
        </w:rPr>
        <w:t>power </w:t>
      </w:r>
      <w:r>
        <w:rPr>
          <w:i/>
          <w:sz w:val="24"/>
        </w:rPr>
        <w:t>system</w:t>
      </w:r>
      <w:r>
        <w:rPr>
          <w:sz w:val="24"/>
        </w:rPr>
        <w:t>;</w:t>
      </w:r>
    </w:p>
    <w:p>
      <w:pPr>
        <w:pStyle w:val="ListParagraph"/>
        <w:numPr>
          <w:ilvl w:val="4"/>
          <w:numId w:val="150"/>
        </w:numPr>
        <w:tabs>
          <w:tab w:pos="2486" w:val="left" w:leader="none"/>
        </w:tabs>
        <w:spacing w:line="240" w:lineRule="auto" w:before="120" w:after="0"/>
        <w:ind w:left="2485" w:right="0" w:hanging="567"/>
        <w:jc w:val="both"/>
        <w:rPr>
          <w:sz w:val="24"/>
        </w:rPr>
      </w:pPr>
      <w:r>
        <w:rPr>
          <w:sz w:val="24"/>
        </w:rPr>
        <w:t>to comply with their </w:t>
      </w:r>
      <w:r>
        <w:rPr>
          <w:i/>
          <w:sz w:val="24"/>
        </w:rPr>
        <w:t>performance</w:t>
      </w:r>
      <w:r>
        <w:rPr>
          <w:i/>
          <w:spacing w:val="-3"/>
          <w:sz w:val="24"/>
        </w:rPr>
        <w:t> </w:t>
      </w:r>
      <w:r>
        <w:rPr>
          <w:i/>
          <w:sz w:val="24"/>
        </w:rPr>
        <w:t>standards</w:t>
      </w:r>
      <w:r>
        <w:rPr>
          <w:sz w:val="24"/>
        </w:rPr>
        <w:t>;</w:t>
      </w:r>
    </w:p>
    <w:p>
      <w:pPr>
        <w:pStyle w:val="ListParagraph"/>
        <w:numPr>
          <w:ilvl w:val="4"/>
          <w:numId w:val="150"/>
        </w:numPr>
        <w:tabs>
          <w:tab w:pos="2486" w:val="left" w:leader="none"/>
        </w:tabs>
        <w:spacing w:line="240" w:lineRule="auto" w:before="120" w:after="0"/>
        <w:ind w:left="2486" w:right="416" w:hanging="567"/>
        <w:jc w:val="both"/>
        <w:rPr>
          <w:sz w:val="24"/>
        </w:rPr>
      </w:pPr>
      <w:r>
        <w:rPr>
          <w:sz w:val="24"/>
        </w:rPr>
        <w:t>to assist in the maintenance of, or restoration to, a </w:t>
      </w:r>
      <w:r>
        <w:rPr>
          <w:i/>
          <w:sz w:val="24"/>
        </w:rPr>
        <w:t>satisfactory </w:t>
      </w:r>
      <w:r>
        <w:rPr>
          <w:i/>
          <w:sz w:val="24"/>
        </w:rPr>
        <w:t>operating state </w:t>
      </w:r>
      <w:r>
        <w:rPr>
          <w:sz w:val="24"/>
        </w:rPr>
        <w:t>of the </w:t>
      </w:r>
      <w:r>
        <w:rPr>
          <w:i/>
          <w:sz w:val="24"/>
        </w:rPr>
        <w:t>power system</w:t>
      </w:r>
      <w:r>
        <w:rPr>
          <w:sz w:val="24"/>
        </w:rPr>
        <w:t>;</w:t>
      </w:r>
      <w:r>
        <w:rPr>
          <w:spacing w:val="-2"/>
          <w:sz w:val="24"/>
        </w:rPr>
        <w:t> </w:t>
      </w:r>
      <w:r>
        <w:rPr>
          <w:sz w:val="24"/>
        </w:rPr>
        <w:t>and</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to prevent uncontrolled separation of the </w:t>
      </w:r>
      <w:r>
        <w:rPr>
          <w:i/>
          <w:sz w:val="24"/>
        </w:rPr>
        <w:t>power system </w:t>
      </w:r>
      <w:r>
        <w:rPr>
          <w:sz w:val="24"/>
        </w:rPr>
        <w:t>into isolated network elements, or network break-up, or </w:t>
      </w:r>
      <w:r>
        <w:rPr>
          <w:i/>
          <w:sz w:val="24"/>
        </w:rPr>
        <w:t>cascading outages</w:t>
      </w:r>
      <w:r>
        <w:rPr>
          <w:sz w:val="24"/>
        </w:rPr>
        <w:t>, following any </w:t>
      </w:r>
      <w:r>
        <w:rPr>
          <w:i/>
          <w:sz w:val="24"/>
        </w:rPr>
        <w:t>power system</w:t>
      </w:r>
      <w:r>
        <w:rPr>
          <w:i/>
          <w:spacing w:val="-3"/>
          <w:sz w:val="24"/>
        </w:rPr>
        <w:t> </w:t>
      </w:r>
      <w:r>
        <w:rPr>
          <w:sz w:val="24"/>
        </w:rPr>
        <w:t>incident.</w:t>
      </w:r>
    </w:p>
    <w:p>
      <w:pPr>
        <w:pStyle w:val="BodyText"/>
        <w:spacing w:before="10"/>
        <w:ind w:firstLine="0"/>
        <w:jc w:val="left"/>
        <w:rPr>
          <w:sz w:val="20"/>
        </w:rPr>
      </w:pPr>
    </w:p>
    <w:p>
      <w:pPr>
        <w:pStyle w:val="Heading4"/>
        <w:numPr>
          <w:ilvl w:val="2"/>
          <w:numId w:val="150"/>
        </w:numPr>
        <w:tabs>
          <w:tab w:pos="1351" w:val="left" w:leader="none"/>
          <w:tab w:pos="1352" w:val="left" w:leader="none"/>
        </w:tabs>
        <w:spacing w:line="240" w:lineRule="auto" w:before="0" w:after="0"/>
        <w:ind w:left="1351" w:right="0" w:hanging="1134"/>
        <w:jc w:val="left"/>
      </w:pPr>
      <w:bookmarkStart w:name="5.2.2 Connection agreements" w:id="361"/>
      <w:bookmarkEnd w:id="361"/>
      <w:r>
        <w:rPr>
          <w:b w:val="0"/>
        </w:rPr>
      </w:r>
      <w:bookmarkStart w:name="_bookmark158" w:id="362"/>
      <w:bookmarkEnd w:id="362"/>
      <w:r>
        <w:rPr>
          <w:b w:val="0"/>
        </w:rPr>
      </w:r>
      <w:bookmarkStart w:name="_bookmark158" w:id="363"/>
      <w:bookmarkEnd w:id="363"/>
      <w:r>
        <w:rPr/>
        <w:t>Connectio</w:t>
      </w:r>
      <w:r>
        <w:rPr/>
        <w:t>n</w:t>
      </w:r>
      <w:r>
        <w:rPr>
          <w:spacing w:val="-2"/>
        </w:rPr>
        <w:t> </w:t>
      </w:r>
      <w:r>
        <w:rPr/>
        <w:t>agreements</w:t>
      </w:r>
    </w:p>
    <w:p>
      <w:pPr>
        <w:pStyle w:val="ListParagraph"/>
        <w:numPr>
          <w:ilvl w:val="3"/>
          <w:numId w:val="150"/>
        </w:numPr>
        <w:tabs>
          <w:tab w:pos="1919" w:val="left" w:leader="none"/>
        </w:tabs>
        <w:spacing w:line="240" w:lineRule="auto" w:before="120" w:after="0"/>
        <w:ind w:left="1919" w:right="414" w:hanging="567"/>
        <w:jc w:val="both"/>
        <w:rPr>
          <w:sz w:val="24"/>
        </w:rPr>
      </w:pPr>
      <w:r>
        <w:rPr>
          <w:sz w:val="24"/>
        </w:rPr>
        <w:t>If requested to do so by a </w:t>
      </w:r>
      <w:r>
        <w:rPr>
          <w:i/>
          <w:sz w:val="24"/>
        </w:rPr>
        <w:t>Transmission Network User</w:t>
      </w:r>
      <w:r>
        <w:rPr>
          <w:sz w:val="24"/>
        </w:rPr>
        <w:t>, </w:t>
      </w:r>
      <w:r>
        <w:rPr>
          <w:i/>
          <w:sz w:val="24"/>
        </w:rPr>
        <w:t>Distribution Network </w:t>
      </w:r>
      <w:r>
        <w:rPr>
          <w:i/>
          <w:sz w:val="24"/>
        </w:rPr>
        <w:t>User</w:t>
      </w:r>
      <w:r>
        <w:rPr>
          <w:sz w:val="24"/>
        </w:rPr>
        <w:t>, </w:t>
      </w:r>
      <w:r>
        <w:rPr>
          <w:i/>
          <w:sz w:val="24"/>
        </w:rPr>
        <w:t>NTESMO </w:t>
      </w:r>
      <w:r>
        <w:rPr>
          <w:sz w:val="24"/>
        </w:rPr>
        <w:t>or the </w:t>
      </w:r>
      <w:r>
        <w:rPr>
          <w:i/>
          <w:sz w:val="24"/>
        </w:rPr>
        <w:t>AER</w:t>
      </w:r>
      <w:r>
        <w:rPr>
          <w:sz w:val="24"/>
        </w:rPr>
        <w:t>, the </w:t>
      </w:r>
      <w:r>
        <w:rPr>
          <w:i/>
          <w:sz w:val="24"/>
        </w:rPr>
        <w:t>Utilities Commission </w:t>
      </w:r>
      <w:r>
        <w:rPr>
          <w:sz w:val="24"/>
        </w:rPr>
        <w:t>(in relation to a </w:t>
      </w:r>
      <w:r>
        <w:rPr>
          <w:i/>
          <w:sz w:val="24"/>
        </w:rPr>
        <w:t>dedicated connection asset</w:t>
      </w:r>
      <w:r>
        <w:rPr>
          <w:sz w:val="24"/>
        </w:rPr>
        <w:t>), a </w:t>
      </w:r>
      <w:r>
        <w:rPr>
          <w:i/>
          <w:sz w:val="24"/>
        </w:rPr>
        <w:t>Network Service Provider </w:t>
      </w:r>
      <w:r>
        <w:rPr>
          <w:sz w:val="24"/>
        </w:rPr>
        <w:t>and </w:t>
      </w:r>
      <w:r>
        <w:rPr>
          <w:spacing w:val="-12"/>
          <w:sz w:val="24"/>
        </w:rPr>
        <w:t>a</w:t>
      </w:r>
      <w:r>
        <w:rPr>
          <w:spacing w:val="36"/>
          <w:sz w:val="24"/>
        </w:rPr>
        <w:t> </w:t>
      </w:r>
      <w:r>
        <w:rPr>
          <w:i/>
          <w:sz w:val="24"/>
        </w:rPr>
        <w:t>Transmission Network User </w:t>
      </w:r>
      <w:r>
        <w:rPr>
          <w:sz w:val="24"/>
        </w:rPr>
        <w:t>or </w:t>
      </w:r>
      <w:r>
        <w:rPr>
          <w:i/>
          <w:sz w:val="24"/>
        </w:rPr>
        <w:t>Distribution Network User </w:t>
      </w:r>
      <w:r>
        <w:rPr>
          <w:sz w:val="24"/>
        </w:rPr>
        <w:t>(as the case may be) must document the terms of any </w:t>
      </w:r>
      <w:r>
        <w:rPr>
          <w:i/>
          <w:sz w:val="24"/>
        </w:rPr>
        <w:t>network connection </w:t>
      </w:r>
      <w:r>
        <w:rPr>
          <w:sz w:val="24"/>
        </w:rPr>
        <w:t>arrangements made prior to 1 July 2019 and the resulting document will then be deemed to be a </w:t>
      </w:r>
      <w:r>
        <w:rPr>
          <w:i/>
          <w:sz w:val="24"/>
        </w:rPr>
        <w:t>connection agreement </w:t>
      </w:r>
      <w:r>
        <w:rPr>
          <w:sz w:val="24"/>
        </w:rPr>
        <w:t>for the purposes of the</w:t>
      </w:r>
      <w:r>
        <w:rPr>
          <w:spacing w:val="-1"/>
          <w:sz w:val="24"/>
        </w:rPr>
        <w:t> </w:t>
      </w:r>
      <w:r>
        <w:rPr>
          <w:i/>
          <w:sz w:val="24"/>
        </w:rPr>
        <w:t>Rules</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0"/>
        </w:numPr>
        <w:tabs>
          <w:tab w:pos="1919" w:val="left" w:leader="none"/>
        </w:tabs>
        <w:spacing w:line="240" w:lineRule="auto" w:before="120" w:after="0"/>
        <w:ind w:left="1918" w:right="0" w:hanging="567"/>
        <w:jc w:val="both"/>
        <w:rPr>
          <w:sz w:val="24"/>
        </w:rPr>
      </w:pPr>
      <w:r>
        <w:rPr>
          <w:sz w:val="24"/>
        </w:rPr>
        <w:t>The </w:t>
      </w:r>
      <w:r>
        <w:rPr>
          <w:i/>
          <w:sz w:val="24"/>
        </w:rPr>
        <w:t>Rules </w:t>
      </w:r>
      <w:r>
        <w:rPr>
          <w:sz w:val="24"/>
        </w:rPr>
        <w:t>apply</w:t>
      </w:r>
      <w:r>
        <w:rPr>
          <w:spacing w:val="-1"/>
          <w:sz w:val="24"/>
        </w:rPr>
        <w:t> </w:t>
      </w:r>
      <w:r>
        <w:rPr>
          <w:sz w:val="24"/>
        </w:rPr>
        <w:t>to:</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i/>
          <w:sz w:val="24"/>
        </w:rPr>
        <w:t>connection agreements </w:t>
      </w:r>
      <w:r>
        <w:rPr>
          <w:sz w:val="24"/>
        </w:rPr>
        <w:t>made after 1 July</w:t>
      </w:r>
      <w:r>
        <w:rPr>
          <w:spacing w:val="-3"/>
          <w:sz w:val="24"/>
        </w:rPr>
        <w:t> </w:t>
      </w:r>
      <w:r>
        <w:rPr>
          <w:sz w:val="24"/>
        </w:rPr>
        <w:t>2019;</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sz w:val="24"/>
        </w:rPr>
        <w:t>deemed </w:t>
      </w:r>
      <w:r>
        <w:rPr>
          <w:i/>
          <w:sz w:val="24"/>
        </w:rPr>
        <w:t>connection agreements </w:t>
      </w:r>
      <w:r>
        <w:rPr>
          <w:sz w:val="24"/>
        </w:rPr>
        <w:t>under paragraph (a);</w:t>
      </w:r>
      <w:r>
        <w:rPr>
          <w:spacing w:val="-1"/>
          <w:sz w:val="24"/>
        </w:rPr>
        <w:t> </w:t>
      </w:r>
      <w:r>
        <w:rPr>
          <w:sz w:val="24"/>
        </w:rPr>
        <w:t>and</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sz w:val="24"/>
        </w:rPr>
        <w:t>requests to establish </w:t>
      </w:r>
      <w:r>
        <w:rPr>
          <w:i/>
          <w:sz w:val="24"/>
        </w:rPr>
        <w:t>connection </w:t>
      </w:r>
      <w:r>
        <w:rPr>
          <w:sz w:val="24"/>
        </w:rPr>
        <w:t>after 1 July</w:t>
      </w:r>
      <w:r>
        <w:rPr>
          <w:spacing w:val="-1"/>
          <w:sz w:val="24"/>
        </w:rPr>
        <w:t> </w:t>
      </w:r>
      <w:r>
        <w:rPr>
          <w:sz w:val="24"/>
        </w:rPr>
        <w:t>2019.</w:t>
      </w:r>
    </w:p>
    <w:p>
      <w:pPr>
        <w:pStyle w:val="ListParagraph"/>
        <w:numPr>
          <w:ilvl w:val="3"/>
          <w:numId w:val="150"/>
        </w:numPr>
        <w:tabs>
          <w:tab w:pos="1918" w:val="left" w:leader="none"/>
          <w:tab w:pos="1919" w:val="left" w:leader="none"/>
        </w:tabs>
        <w:spacing w:line="240" w:lineRule="auto" w:before="120" w:after="0"/>
        <w:ind w:left="1919" w:right="414" w:hanging="567"/>
        <w:jc w:val="left"/>
        <w:rPr>
          <w:sz w:val="24"/>
        </w:rPr>
      </w:pPr>
      <w:r>
        <w:rPr>
          <w:sz w:val="24"/>
        </w:rPr>
        <w:t>This Chapter is neither intended to have, nor is it to be read or construed as having, the effect</w:t>
      </w:r>
      <w:r>
        <w:rPr>
          <w:spacing w:val="-1"/>
          <w:sz w:val="24"/>
        </w:rPr>
        <w:t> </w:t>
      </w:r>
      <w:r>
        <w:rPr>
          <w:sz w:val="24"/>
        </w:rPr>
        <w:t>of:</w:t>
      </w:r>
    </w:p>
    <w:p>
      <w:pPr>
        <w:pStyle w:val="ListParagraph"/>
        <w:numPr>
          <w:ilvl w:val="4"/>
          <w:numId w:val="150"/>
        </w:numPr>
        <w:tabs>
          <w:tab w:pos="2485" w:val="left" w:leader="none"/>
          <w:tab w:pos="2486" w:val="left" w:leader="none"/>
        </w:tabs>
        <w:spacing w:line="240" w:lineRule="auto" w:before="120" w:after="0"/>
        <w:ind w:left="2485" w:right="0" w:hanging="567"/>
        <w:jc w:val="left"/>
        <w:rPr>
          <w:sz w:val="24"/>
        </w:rPr>
      </w:pPr>
      <w:r>
        <w:rPr>
          <w:sz w:val="24"/>
        </w:rPr>
        <w:t>altering any of the terms of a </w:t>
      </w:r>
      <w:r>
        <w:rPr>
          <w:i/>
          <w:sz w:val="24"/>
        </w:rPr>
        <w:t>connection agreement</w:t>
      </w:r>
      <w:r>
        <w:rPr>
          <w:sz w:val="24"/>
        </w:rPr>
        <w:t>;</w:t>
      </w:r>
      <w:r>
        <w:rPr>
          <w:spacing w:val="-2"/>
          <w:sz w:val="24"/>
        </w:rPr>
        <w:t> </w:t>
      </w:r>
      <w:r>
        <w:rPr>
          <w:sz w:val="24"/>
        </w:rPr>
        <w:t>or</w:t>
      </w:r>
    </w:p>
    <w:p>
      <w:pPr>
        <w:pStyle w:val="ListParagraph"/>
        <w:numPr>
          <w:ilvl w:val="4"/>
          <w:numId w:val="150"/>
        </w:numPr>
        <w:tabs>
          <w:tab w:pos="2485" w:val="left" w:leader="none"/>
          <w:tab w:pos="2486" w:val="left" w:leader="none"/>
        </w:tabs>
        <w:spacing w:line="240" w:lineRule="auto" w:before="120" w:after="0"/>
        <w:ind w:left="2486" w:right="415" w:hanging="567"/>
        <w:jc w:val="left"/>
        <w:rPr>
          <w:sz w:val="24"/>
        </w:rPr>
      </w:pPr>
      <w:r>
        <w:rPr>
          <w:sz w:val="24"/>
        </w:rPr>
        <w:t>altering the contractual rights or obligations of any of the parties under the </w:t>
      </w:r>
      <w:r>
        <w:rPr>
          <w:i/>
          <w:sz w:val="24"/>
        </w:rPr>
        <w:t>connection agreement </w:t>
      </w:r>
      <w:r>
        <w:rPr>
          <w:sz w:val="24"/>
        </w:rPr>
        <w:t>as between those parties;</w:t>
      </w:r>
      <w:r>
        <w:rPr>
          <w:spacing w:val="-2"/>
          <w:sz w:val="24"/>
        </w:rPr>
        <w:t> </w:t>
      </w:r>
      <w:r>
        <w:rPr>
          <w:sz w:val="24"/>
        </w:rPr>
        <w:t>or</w:t>
      </w:r>
    </w:p>
    <w:p>
      <w:pPr>
        <w:pStyle w:val="ListParagraph"/>
        <w:numPr>
          <w:ilvl w:val="4"/>
          <w:numId w:val="150"/>
        </w:numPr>
        <w:tabs>
          <w:tab w:pos="2485" w:val="left" w:leader="none"/>
          <w:tab w:pos="2486" w:val="left" w:leader="none"/>
        </w:tabs>
        <w:spacing w:line="240" w:lineRule="auto" w:before="120" w:after="0"/>
        <w:ind w:left="2486" w:right="415" w:hanging="567"/>
        <w:jc w:val="left"/>
        <w:rPr>
          <w:sz w:val="24"/>
        </w:rPr>
      </w:pPr>
      <w:r>
        <w:rPr>
          <w:sz w:val="24"/>
        </w:rPr>
        <w:t>relieving the parties under any such </w:t>
      </w:r>
      <w:r>
        <w:rPr>
          <w:i/>
          <w:sz w:val="24"/>
        </w:rPr>
        <w:t>connection agreement </w:t>
      </w:r>
      <w:r>
        <w:rPr>
          <w:sz w:val="24"/>
        </w:rPr>
        <w:t>of their contractual obligations under such an</w:t>
      </w:r>
      <w:r>
        <w:rPr>
          <w:spacing w:val="-2"/>
          <w:sz w:val="24"/>
        </w:rPr>
        <w:t> </w:t>
      </w:r>
      <w:r>
        <w:rPr>
          <w:sz w:val="24"/>
        </w:rPr>
        <w:t>agreement.</w:t>
      </w:r>
    </w:p>
    <w:p>
      <w:pPr>
        <w:pStyle w:val="ListParagraph"/>
        <w:numPr>
          <w:ilvl w:val="3"/>
          <w:numId w:val="150"/>
        </w:numPr>
        <w:tabs>
          <w:tab w:pos="1919" w:val="left" w:leader="none"/>
        </w:tabs>
        <w:spacing w:line="240" w:lineRule="auto" w:before="120" w:after="0"/>
        <w:ind w:left="1919" w:right="414" w:hanging="567"/>
        <w:jc w:val="both"/>
        <w:rPr>
          <w:sz w:val="24"/>
        </w:rPr>
      </w:pPr>
      <w:r>
        <w:rPr>
          <w:sz w:val="24"/>
        </w:rPr>
        <w:t>Notwithstanding the provisions of clause 5.2.2(c), if any obligation imposed or right conferred on a </w:t>
      </w:r>
      <w:r>
        <w:rPr>
          <w:i/>
          <w:sz w:val="24"/>
        </w:rPr>
        <w:t>Registered Participant </w:t>
      </w:r>
      <w:r>
        <w:rPr>
          <w:sz w:val="24"/>
        </w:rPr>
        <w:t>by this Chapter is inconsistent with the terms of a </w:t>
      </w:r>
      <w:r>
        <w:rPr>
          <w:i/>
          <w:sz w:val="24"/>
        </w:rPr>
        <w:t>connection agreement </w:t>
      </w:r>
      <w:r>
        <w:rPr>
          <w:sz w:val="24"/>
        </w:rPr>
        <w:t>to which the </w:t>
      </w:r>
      <w:r>
        <w:rPr>
          <w:i/>
          <w:sz w:val="24"/>
        </w:rPr>
        <w:t>Rules </w:t>
      </w:r>
      <w:r>
        <w:rPr>
          <w:sz w:val="24"/>
        </w:rPr>
        <w:t>apply and the application of the inconsistent terms of the </w:t>
      </w:r>
      <w:r>
        <w:rPr>
          <w:i/>
          <w:sz w:val="24"/>
        </w:rPr>
        <w:t>connection agreement </w:t>
      </w:r>
      <w:r>
        <w:rPr>
          <w:sz w:val="24"/>
        </w:rPr>
        <w:t>would adversely affect the quality or security of </w:t>
      </w:r>
      <w:r>
        <w:rPr>
          <w:i/>
          <w:sz w:val="24"/>
        </w:rPr>
        <w:t>network service </w:t>
      </w:r>
      <w:r>
        <w:rPr>
          <w:sz w:val="24"/>
        </w:rPr>
        <w:t>to other </w:t>
      </w:r>
      <w:r>
        <w:rPr>
          <w:i/>
          <w:sz w:val="24"/>
        </w:rPr>
        <w:t>Network </w:t>
      </w:r>
      <w:r>
        <w:rPr>
          <w:i/>
          <w:sz w:val="24"/>
        </w:rPr>
        <w:t>Users</w:t>
      </w:r>
      <w:r>
        <w:rPr>
          <w:sz w:val="24"/>
        </w:rPr>
        <w:t>, the parties to the </w:t>
      </w:r>
      <w:r>
        <w:rPr>
          <w:i/>
          <w:sz w:val="24"/>
        </w:rPr>
        <w:t>connection agreement </w:t>
      </w:r>
      <w:r>
        <w:rPr>
          <w:sz w:val="24"/>
        </w:rPr>
        <w:t>must observe the provisions of this Chapter as if they prevail over the </w:t>
      </w:r>
      <w:r>
        <w:rPr>
          <w:i/>
          <w:sz w:val="24"/>
        </w:rPr>
        <w:t>connection agreement </w:t>
      </w:r>
      <w:r>
        <w:rPr>
          <w:sz w:val="24"/>
        </w:rPr>
        <w:t>to the extent of the</w:t>
      </w:r>
      <w:r>
        <w:rPr>
          <w:spacing w:val="-1"/>
          <w:sz w:val="24"/>
        </w:rPr>
        <w:t> </w:t>
      </w:r>
      <w:r>
        <w:rPr>
          <w:sz w:val="24"/>
        </w:rPr>
        <w:t>inconsistency.</w:t>
      </w:r>
    </w:p>
    <w:p>
      <w:pPr>
        <w:pStyle w:val="BodyText"/>
        <w:spacing w:before="10"/>
        <w:ind w:firstLine="0"/>
        <w:jc w:val="left"/>
        <w:rPr>
          <w:sz w:val="20"/>
        </w:rPr>
      </w:pPr>
    </w:p>
    <w:p>
      <w:pPr>
        <w:pStyle w:val="Heading4"/>
        <w:numPr>
          <w:ilvl w:val="2"/>
          <w:numId w:val="150"/>
        </w:numPr>
        <w:tabs>
          <w:tab w:pos="1351" w:val="left" w:leader="none"/>
          <w:tab w:pos="1352" w:val="left" w:leader="none"/>
        </w:tabs>
        <w:spacing w:line="240" w:lineRule="auto" w:before="0" w:after="0"/>
        <w:ind w:left="1351" w:right="0" w:hanging="1134"/>
        <w:jc w:val="left"/>
      </w:pPr>
      <w:bookmarkStart w:name="5.2.3 Obligations of network service pro" w:id="364"/>
      <w:bookmarkEnd w:id="364"/>
      <w:r>
        <w:rPr>
          <w:b w:val="0"/>
        </w:rPr>
      </w:r>
      <w:bookmarkStart w:name="_bookmark159" w:id="365"/>
      <w:bookmarkEnd w:id="365"/>
      <w:r>
        <w:rPr>
          <w:b w:val="0"/>
        </w:rPr>
      </w:r>
      <w:bookmarkStart w:name="_bookmark159" w:id="366"/>
      <w:bookmarkEnd w:id="366"/>
      <w:r>
        <w:rPr/>
        <w:t>Obl</w:t>
      </w:r>
      <w:r>
        <w:rPr/>
        <w:t>igations of network service</w:t>
      </w:r>
      <w:r>
        <w:rPr>
          <w:spacing w:val="-2"/>
        </w:rPr>
        <w:t> </w:t>
      </w:r>
      <w:r>
        <w:rPr/>
        <w:t>providers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(a) and (k) of this clause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50"/>
        </w:numPr>
        <w:tabs>
          <w:tab w:pos="1919" w:val="left" w:leader="none"/>
        </w:tabs>
        <w:spacing w:line="240" w:lineRule="auto" w:before="120" w:after="0"/>
        <w:ind w:left="1919" w:right="415" w:hanging="567"/>
        <w:jc w:val="both"/>
        <w:rPr>
          <w:sz w:val="24"/>
        </w:rPr>
      </w:pPr>
      <w:r>
        <w:rPr>
          <w:sz w:val="24"/>
        </w:rPr>
        <w:t>To be registered by </w:t>
      </w:r>
      <w:r>
        <w:rPr>
          <w:i/>
          <w:sz w:val="24"/>
        </w:rPr>
        <w:t>AEMO </w:t>
      </w:r>
      <w:r>
        <w:rPr>
          <w:sz w:val="24"/>
        </w:rPr>
        <w:t>as a </w:t>
      </w:r>
      <w:r>
        <w:rPr>
          <w:i/>
          <w:sz w:val="24"/>
        </w:rPr>
        <w:t>Network Service Provider</w:t>
      </w:r>
      <w:r>
        <w:rPr>
          <w:sz w:val="24"/>
        </w:rPr>
        <w:t>, a person must satisfy the relevant requirements specified in Chapter 2 and submit an application to </w:t>
      </w:r>
      <w:r>
        <w:rPr>
          <w:i/>
          <w:sz w:val="24"/>
        </w:rPr>
        <w:t>AEMO </w:t>
      </w:r>
      <w:r>
        <w:rPr>
          <w:sz w:val="24"/>
        </w:rPr>
        <w:t>in such form as </w:t>
      </w:r>
      <w:r>
        <w:rPr>
          <w:i/>
          <w:sz w:val="24"/>
        </w:rPr>
        <w:t>AEMO </w:t>
      </w:r>
      <w:r>
        <w:rPr>
          <w:sz w:val="24"/>
        </w:rPr>
        <w:t>may</w:t>
      </w:r>
      <w:r>
        <w:rPr>
          <w:spacing w:val="-3"/>
          <w:sz w:val="24"/>
        </w:rPr>
        <w:t> </w:t>
      </w:r>
      <w:r>
        <w:rPr>
          <w:sz w:val="24"/>
        </w:rPr>
        <w:t>require.</w:t>
      </w:r>
    </w:p>
    <w:p>
      <w:pPr>
        <w:pStyle w:val="ListParagraph"/>
        <w:numPr>
          <w:ilvl w:val="3"/>
          <w:numId w:val="150"/>
        </w:numPr>
        <w:tabs>
          <w:tab w:pos="1919" w:val="left" w:leader="none"/>
        </w:tabs>
        <w:spacing w:line="240" w:lineRule="auto" w:before="120" w:after="0"/>
        <w:ind w:left="1918" w:right="0" w:hanging="567"/>
        <w:jc w:val="both"/>
        <w:rPr>
          <w:i/>
          <w:sz w:val="24"/>
        </w:rPr>
      </w:pPr>
      <w:r>
        <w:rPr>
          <w:sz w:val="24"/>
        </w:rPr>
        <w:t>A </w:t>
      </w:r>
      <w:r>
        <w:rPr>
          <w:i/>
          <w:sz w:val="24"/>
        </w:rPr>
        <w:t>Network Service Provider </w:t>
      </w:r>
      <w:r>
        <w:rPr>
          <w:sz w:val="24"/>
        </w:rPr>
        <w:t>must comply with the </w:t>
      </w:r>
      <w:r>
        <w:rPr>
          <w:i/>
          <w:sz w:val="24"/>
        </w:rPr>
        <w:t>power</w:t>
      </w:r>
      <w:r>
        <w:rPr>
          <w:i/>
          <w:spacing w:val="43"/>
          <w:sz w:val="24"/>
        </w:rPr>
        <w:t> </w:t>
      </w:r>
      <w:r>
        <w:rPr>
          <w:i/>
          <w:sz w:val="24"/>
        </w:rPr>
        <w:t>system</w:t>
      </w:r>
    </w:p>
    <w:p>
      <w:pPr>
        <w:pStyle w:val="BodyText"/>
        <w:spacing w:before="0"/>
        <w:ind w:left="1919" w:firstLine="0"/>
      </w:pPr>
      <w:r>
        <w:rPr/>
        <w:t>performance and quality of </w:t>
      </w:r>
      <w:r>
        <w:rPr>
          <w:i/>
        </w:rPr>
        <w:t>supply </w:t>
      </w:r>
      <w:r>
        <w:rPr/>
        <w:t>standards:</w:t>
      </w:r>
    </w:p>
    <w:p>
      <w:pPr>
        <w:pStyle w:val="ListParagraph"/>
        <w:numPr>
          <w:ilvl w:val="4"/>
          <w:numId w:val="150"/>
        </w:numPr>
        <w:tabs>
          <w:tab w:pos="2486" w:val="left" w:leader="none"/>
        </w:tabs>
        <w:spacing w:line="240" w:lineRule="auto" w:before="120" w:after="0"/>
        <w:ind w:left="2485" w:right="0" w:hanging="567"/>
        <w:jc w:val="both"/>
        <w:rPr>
          <w:sz w:val="24"/>
        </w:rPr>
      </w:pPr>
      <w:r>
        <w:rPr>
          <w:sz w:val="24"/>
        </w:rPr>
        <w:t>described in </w:t>
      </w:r>
      <w:r>
        <w:rPr>
          <w:i/>
          <w:sz w:val="24"/>
        </w:rPr>
        <w:t>jurisdictional electricity</w:t>
      </w:r>
      <w:r>
        <w:rPr>
          <w:i/>
          <w:spacing w:val="-1"/>
          <w:sz w:val="24"/>
        </w:rPr>
        <w:t> </w:t>
      </w:r>
      <w:r>
        <w:rPr>
          <w:i/>
          <w:sz w:val="24"/>
        </w:rPr>
        <w:t>legislation</w:t>
      </w:r>
      <w:r>
        <w:rPr>
          <w:sz w:val="24"/>
        </w:rPr>
        <w:t>;</w:t>
      </w:r>
    </w:p>
    <w:p>
      <w:pPr>
        <w:pStyle w:val="ListParagraph"/>
        <w:numPr>
          <w:ilvl w:val="4"/>
          <w:numId w:val="150"/>
        </w:numPr>
        <w:tabs>
          <w:tab w:pos="2485" w:val="left" w:leader="none"/>
          <w:tab w:pos="2486" w:val="left" w:leader="none"/>
        </w:tabs>
        <w:spacing w:line="240" w:lineRule="auto" w:before="120" w:after="0"/>
        <w:ind w:left="2486" w:right="415" w:hanging="567"/>
        <w:jc w:val="left"/>
        <w:rPr>
          <w:sz w:val="24"/>
        </w:rPr>
      </w:pPr>
      <w:r>
        <w:rPr>
          <w:sz w:val="24"/>
        </w:rPr>
        <w:t>in accordance with any </w:t>
      </w:r>
      <w:r>
        <w:rPr>
          <w:i/>
          <w:sz w:val="24"/>
        </w:rPr>
        <w:t>connection agreement </w:t>
      </w:r>
      <w:r>
        <w:rPr>
          <w:sz w:val="24"/>
        </w:rPr>
        <w:t>with a </w:t>
      </w:r>
      <w:r>
        <w:rPr>
          <w:i/>
          <w:sz w:val="24"/>
        </w:rPr>
        <w:t>Registered </w:t>
      </w:r>
      <w:r>
        <w:rPr>
          <w:i/>
          <w:sz w:val="24"/>
        </w:rPr>
        <w:t>Participant</w:t>
      </w:r>
      <w:r>
        <w:rPr>
          <w:sz w:val="24"/>
        </w:rPr>
        <w:t>,</w:t>
      </w:r>
    </w:p>
    <w:p>
      <w:pPr>
        <w:spacing w:before="120"/>
        <w:ind w:left="1919" w:right="0" w:firstLine="0"/>
        <w:jc w:val="left"/>
        <w:rPr>
          <w:i/>
          <w:sz w:val="24"/>
        </w:rPr>
      </w:pPr>
      <w:r>
        <w:rPr>
          <w:sz w:val="24"/>
        </w:rPr>
        <w:t>and if there is an inconsistency between </w:t>
      </w:r>
      <w:r>
        <w:rPr>
          <w:i/>
          <w:sz w:val="24"/>
        </w:rPr>
        <w:t>jurisdictional electricity legislation</w:t>
      </w:r>
    </w:p>
    <w:p>
      <w:pPr>
        <w:spacing w:before="0"/>
        <w:ind w:left="1919" w:right="0" w:firstLine="0"/>
        <w:jc w:val="left"/>
        <w:rPr>
          <w:sz w:val="24"/>
        </w:rPr>
      </w:pPr>
      <w:r>
        <w:rPr>
          <w:sz w:val="24"/>
        </w:rPr>
        <w:t>and such a </w:t>
      </w:r>
      <w:r>
        <w:rPr>
          <w:i/>
          <w:sz w:val="24"/>
        </w:rPr>
        <w:t>connection agreement</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if compliance with the relevant provision of the </w:t>
      </w:r>
      <w:r>
        <w:rPr>
          <w:i/>
          <w:sz w:val="24"/>
        </w:rPr>
        <w:t>connection agreement </w:t>
      </w:r>
      <w:r>
        <w:rPr>
          <w:sz w:val="24"/>
        </w:rPr>
        <w:t>would adversely affect the quality or security of </w:t>
      </w:r>
      <w:r>
        <w:rPr>
          <w:i/>
          <w:sz w:val="24"/>
        </w:rPr>
        <w:t>network service </w:t>
      </w:r>
      <w:r>
        <w:rPr>
          <w:sz w:val="24"/>
        </w:rPr>
        <w:t>to other </w:t>
      </w:r>
      <w:r>
        <w:rPr>
          <w:i/>
          <w:sz w:val="24"/>
        </w:rPr>
        <w:t>Network Users</w:t>
      </w:r>
      <w:r>
        <w:rPr>
          <w:sz w:val="24"/>
        </w:rPr>
        <w:t>, the </w:t>
      </w:r>
      <w:r>
        <w:rPr>
          <w:i/>
          <w:sz w:val="24"/>
        </w:rPr>
        <w:t>jurisdictional electricity legislation </w:t>
      </w:r>
      <w:r>
        <w:rPr>
          <w:sz w:val="24"/>
        </w:rPr>
        <w:t>is to prevail;</w:t>
      </w:r>
    </w:p>
    <w:p>
      <w:pPr>
        <w:spacing w:after="0" w:line="240" w:lineRule="auto"/>
        <w:jc w:val="both"/>
        <w:rPr>
          <w:sz w:val="24"/>
        </w:rPr>
        <w:sectPr>
          <w:pgSz w:w="11910" w:h="16840"/>
          <w:pgMar w:header="686" w:footer="637" w:top="1320" w:bottom="820" w:left="1200" w:right="1000"/>
        </w:sectPr>
      </w:pPr>
    </w:p>
    <w:p>
      <w:pPr>
        <w:pStyle w:val="ListParagraph"/>
        <w:numPr>
          <w:ilvl w:val="4"/>
          <w:numId w:val="150"/>
        </w:numPr>
        <w:tabs>
          <w:tab w:pos="2485" w:val="left" w:leader="none"/>
          <w:tab w:pos="2486" w:val="left" w:leader="none"/>
        </w:tabs>
        <w:spacing w:line="240" w:lineRule="auto" w:before="83" w:after="0"/>
        <w:ind w:left="2485" w:right="0" w:hanging="567"/>
        <w:jc w:val="left"/>
        <w:rPr>
          <w:sz w:val="24"/>
        </w:rPr>
      </w:pPr>
      <w:r>
        <w:rPr>
          <w:sz w:val="24"/>
        </w:rPr>
        <w:t>otherwise the </w:t>
      </w:r>
      <w:r>
        <w:rPr>
          <w:i/>
          <w:sz w:val="24"/>
        </w:rPr>
        <w:t>connection agreement </w:t>
      </w:r>
      <w:r>
        <w:rPr>
          <w:sz w:val="24"/>
        </w:rPr>
        <w:t>is to</w:t>
      </w:r>
      <w:r>
        <w:rPr>
          <w:spacing w:val="-1"/>
          <w:sz w:val="24"/>
        </w:rPr>
        <w:t> </w:t>
      </w:r>
      <w:r>
        <w:rPr>
          <w:sz w:val="24"/>
        </w:rPr>
        <w:t>prevail.</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requirements that will apply under </w:t>
      </w:r>
      <w:r>
        <w:rPr>
          <w:i/>
          <w:sz w:val="20"/>
        </w:rPr>
        <w:t>jurisdictional electricity legislation </w:t>
      </w:r>
      <w:r>
        <w:rPr>
          <w:sz w:val="20"/>
        </w:rPr>
        <w:t>for the purposes of paragraph (b) will be requirements that correspond to the matters set out in schedule 5.1 in the </w:t>
      </w:r>
      <w:r>
        <w:rPr>
          <w:i/>
          <w:sz w:val="20"/>
        </w:rPr>
        <w:t>Rules </w:t>
      </w:r>
      <w:r>
        <w:rPr>
          <w:sz w:val="20"/>
        </w:rPr>
        <w:t>applying in other </w:t>
      </w:r>
      <w:r>
        <w:rPr>
          <w:i/>
          <w:sz w:val="20"/>
        </w:rPr>
        <w:t>participating jurisdictions</w:t>
      </w:r>
      <w:r>
        <w:rPr>
          <w:sz w:val="20"/>
        </w:rPr>
        <w:t>. The application of paragraph (b) will be revisited as part of the phased implementation of the </w:t>
      </w:r>
      <w:r>
        <w:rPr>
          <w:i/>
          <w:sz w:val="20"/>
        </w:rPr>
        <w:t>Rules </w:t>
      </w:r>
      <w:r>
        <w:rPr>
          <w:sz w:val="20"/>
        </w:rPr>
        <w:t>in this jurisdiction.</w:t>
      </w:r>
    </w:p>
    <w:p>
      <w:pPr>
        <w:pStyle w:val="ListParagraph"/>
        <w:numPr>
          <w:ilvl w:val="3"/>
          <w:numId w:val="150"/>
        </w:numPr>
        <w:tabs>
          <w:tab w:pos="1919" w:val="left" w:leader="none"/>
        </w:tabs>
        <w:spacing w:line="240" w:lineRule="auto" w:before="120" w:after="0"/>
        <w:ind w:left="1919" w:right="414" w:hanging="567"/>
        <w:jc w:val="both"/>
        <w:rPr>
          <w:sz w:val="24"/>
        </w:rPr>
      </w:pPr>
      <w:r>
        <w:rPr>
          <w:sz w:val="24"/>
        </w:rPr>
        <w:t>Where the provisions of the </w:t>
      </w:r>
      <w:r>
        <w:rPr>
          <w:i/>
          <w:sz w:val="24"/>
        </w:rPr>
        <w:t>connection agreement </w:t>
      </w:r>
      <w:r>
        <w:rPr>
          <w:sz w:val="24"/>
        </w:rPr>
        <w:t>vary the technical requirements set out in </w:t>
      </w:r>
      <w:r>
        <w:rPr>
          <w:i/>
          <w:sz w:val="24"/>
        </w:rPr>
        <w:t>jurisdictional electricity legislation</w:t>
      </w:r>
      <w:r>
        <w:rPr>
          <w:sz w:val="24"/>
        </w:rPr>
        <w:t>, the relevant </w:t>
      </w:r>
      <w:r>
        <w:rPr>
          <w:i/>
          <w:sz w:val="24"/>
        </w:rPr>
        <w:t>Network Service Provider </w:t>
      </w:r>
      <w:r>
        <w:rPr>
          <w:sz w:val="24"/>
        </w:rPr>
        <w:t>must report on such variations to </w:t>
      </w:r>
      <w:r>
        <w:rPr>
          <w:i/>
          <w:sz w:val="24"/>
        </w:rPr>
        <w:t>NTESMO </w:t>
      </w:r>
      <w:r>
        <w:rPr>
          <w:sz w:val="24"/>
        </w:rPr>
        <w:t>on an annual</w:t>
      </w:r>
      <w:r>
        <w:rPr>
          <w:spacing w:val="-1"/>
          <w:sz w:val="24"/>
        </w:rPr>
        <w:t> </w:t>
      </w:r>
      <w:r>
        <w:rPr>
          <w:sz w:val="24"/>
        </w:rPr>
        <w:t>basis.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3" w:firstLine="0"/>
        <w:jc w:val="both"/>
        <w:rPr>
          <w:sz w:val="20"/>
        </w:rPr>
      </w:pPr>
      <w:r>
        <w:rPr>
          <w:sz w:val="20"/>
        </w:rPr>
        <w:t>The requirements that will apply under </w:t>
      </w:r>
      <w:r>
        <w:rPr>
          <w:i/>
          <w:sz w:val="20"/>
        </w:rPr>
        <w:t>jurisdictional electricity legislation </w:t>
      </w:r>
      <w:r>
        <w:rPr>
          <w:sz w:val="20"/>
        </w:rPr>
        <w:t>for the purposes of paragraph (c) will be requirements that correspond to the matters set out in the schedules to Chapter 5 in the </w:t>
      </w:r>
      <w:r>
        <w:rPr>
          <w:i/>
          <w:sz w:val="20"/>
        </w:rPr>
        <w:t>Rules </w:t>
      </w:r>
      <w:r>
        <w:rPr>
          <w:sz w:val="20"/>
        </w:rPr>
        <w:t>applying in other </w:t>
      </w:r>
      <w:r>
        <w:rPr>
          <w:i/>
          <w:sz w:val="20"/>
        </w:rPr>
        <w:t>participating jurisdictions</w:t>
      </w:r>
      <w:r>
        <w:rPr>
          <w:sz w:val="20"/>
        </w:rPr>
        <w:t>. The application of paragraph (c) will be revisited as part of the phased implementation of the </w:t>
      </w:r>
      <w:r>
        <w:rPr>
          <w:i/>
          <w:sz w:val="20"/>
        </w:rPr>
        <w:t>Rules </w:t>
      </w:r>
      <w:r>
        <w:rPr>
          <w:sz w:val="20"/>
        </w:rPr>
        <w:t>in this jurisdiction.</w:t>
      </w:r>
    </w:p>
    <w:p>
      <w:pPr>
        <w:pStyle w:val="ListParagraph"/>
        <w:numPr>
          <w:ilvl w:val="3"/>
          <w:numId w:val="150"/>
        </w:numPr>
        <w:tabs>
          <w:tab w:pos="1919" w:val="left" w:leader="none"/>
        </w:tabs>
        <w:spacing w:line="240" w:lineRule="auto" w:before="120" w:after="0"/>
        <w:ind w:left="1918" w:right="0" w:hanging="567"/>
        <w:jc w:val="both"/>
        <w:rPr>
          <w:sz w:val="24"/>
        </w:rPr>
      </w:pPr>
      <w:r>
        <w:rPr>
          <w:sz w:val="24"/>
        </w:rPr>
        <w:t>A </w:t>
      </w:r>
      <w:r>
        <w:rPr>
          <w:i/>
          <w:sz w:val="24"/>
        </w:rPr>
        <w:t>Network Service Provider</w:t>
      </w:r>
      <w:r>
        <w:rPr>
          <w:i/>
          <w:spacing w:val="-1"/>
          <w:sz w:val="24"/>
        </w:rPr>
        <w:t> </w:t>
      </w:r>
      <w:r>
        <w:rPr>
          <w:sz w:val="24"/>
        </w:rPr>
        <w:t>must:</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review and process </w:t>
      </w:r>
      <w:r>
        <w:rPr>
          <w:i/>
          <w:sz w:val="24"/>
        </w:rPr>
        <w:t>applications to connect </w:t>
      </w:r>
      <w:r>
        <w:rPr>
          <w:sz w:val="24"/>
        </w:rPr>
        <w:t>or modify a </w:t>
      </w:r>
      <w:r>
        <w:rPr>
          <w:i/>
          <w:spacing w:val="-3"/>
          <w:sz w:val="24"/>
        </w:rPr>
        <w:t>connection</w:t>
      </w:r>
      <w:r>
        <w:rPr>
          <w:i/>
          <w:spacing w:val="54"/>
          <w:sz w:val="24"/>
        </w:rPr>
        <w:t> </w:t>
      </w:r>
      <w:r>
        <w:rPr>
          <w:sz w:val="24"/>
        </w:rPr>
        <w:t>which are submitted to it and must enter into a </w:t>
      </w:r>
      <w:r>
        <w:rPr>
          <w:i/>
          <w:sz w:val="24"/>
        </w:rPr>
        <w:t>connection agreement </w:t>
      </w:r>
      <w:r>
        <w:rPr>
          <w:sz w:val="24"/>
        </w:rPr>
        <w:t>with each </w:t>
      </w:r>
      <w:r>
        <w:rPr>
          <w:i/>
          <w:sz w:val="24"/>
        </w:rPr>
        <w:t>Registered Participant </w:t>
      </w:r>
      <w:r>
        <w:rPr>
          <w:sz w:val="24"/>
        </w:rPr>
        <w:t>and any other person to which it has provided a </w:t>
      </w:r>
      <w:r>
        <w:rPr>
          <w:i/>
          <w:sz w:val="24"/>
        </w:rPr>
        <w:t>connection </w:t>
      </w:r>
      <w:r>
        <w:rPr>
          <w:sz w:val="24"/>
        </w:rPr>
        <w:t>in accordance with rules 5.3 or 5.3A (as is relevant) to the extent that the </w:t>
      </w:r>
      <w:r>
        <w:rPr>
          <w:i/>
          <w:sz w:val="24"/>
        </w:rPr>
        <w:t>connection point </w:t>
      </w:r>
      <w:r>
        <w:rPr>
          <w:sz w:val="24"/>
        </w:rPr>
        <w:t>relates to its part of  the </w:t>
      </w:r>
      <w:r>
        <w:rPr>
          <w:i/>
          <w:sz w:val="24"/>
        </w:rPr>
        <w:t>national</w:t>
      </w:r>
      <w:r>
        <w:rPr>
          <w:i/>
          <w:spacing w:val="-1"/>
          <w:sz w:val="24"/>
        </w:rPr>
        <w:t> </w:t>
      </w:r>
      <w:r>
        <w:rPr>
          <w:i/>
          <w:sz w:val="24"/>
        </w:rPr>
        <w:t>grid</w:t>
      </w:r>
      <w:r>
        <w:rPr>
          <w:sz w:val="24"/>
        </w:rPr>
        <w:t>;</w:t>
      </w:r>
    </w:p>
    <w:p>
      <w:pPr>
        <w:spacing w:before="120"/>
        <w:ind w:left="2486" w:right="414" w:hanging="567"/>
        <w:jc w:val="both"/>
        <w:rPr>
          <w:sz w:val="24"/>
        </w:rPr>
      </w:pPr>
      <w:r>
        <w:rPr>
          <w:sz w:val="24"/>
        </w:rPr>
        <w:t>(1A) co-operate with any other </w:t>
      </w:r>
      <w:r>
        <w:rPr>
          <w:i/>
          <w:sz w:val="24"/>
        </w:rPr>
        <w:t>Network Service Provider </w:t>
      </w:r>
      <w:r>
        <w:rPr>
          <w:sz w:val="24"/>
        </w:rPr>
        <w:t>who is processing a </w:t>
      </w:r>
      <w:r>
        <w:rPr>
          <w:i/>
          <w:sz w:val="24"/>
        </w:rPr>
        <w:t>connection </w:t>
      </w:r>
      <w:r>
        <w:rPr>
          <w:sz w:val="24"/>
        </w:rPr>
        <w:t>enquiry or </w:t>
      </w:r>
      <w:r>
        <w:rPr>
          <w:i/>
          <w:sz w:val="24"/>
        </w:rPr>
        <w:t>application to connect </w:t>
      </w:r>
      <w:r>
        <w:rPr>
          <w:sz w:val="24"/>
        </w:rPr>
        <w:t>to allow that </w:t>
      </w:r>
      <w:r>
        <w:rPr>
          <w:i/>
          <w:sz w:val="24"/>
        </w:rPr>
        <w:t>connection </w:t>
      </w:r>
      <w:r>
        <w:rPr>
          <w:sz w:val="24"/>
        </w:rPr>
        <w:t>enquiry or </w:t>
      </w:r>
      <w:r>
        <w:rPr>
          <w:i/>
          <w:sz w:val="24"/>
        </w:rPr>
        <w:t>application to connect </w:t>
      </w:r>
      <w:r>
        <w:rPr>
          <w:sz w:val="24"/>
        </w:rPr>
        <w:t>to be processed expeditiously and in accordance with rules 5.3 or 5.3A (as is relevant);</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ensure that, to the extent that a </w:t>
      </w:r>
      <w:r>
        <w:rPr>
          <w:i/>
          <w:sz w:val="24"/>
        </w:rPr>
        <w:t>connection point </w:t>
      </w:r>
      <w:r>
        <w:rPr>
          <w:sz w:val="24"/>
        </w:rPr>
        <w:t>relates to its part of the </w:t>
      </w:r>
      <w:r>
        <w:rPr>
          <w:i/>
          <w:sz w:val="24"/>
        </w:rPr>
        <w:t>national grid</w:t>
      </w:r>
      <w:r>
        <w:rPr>
          <w:sz w:val="24"/>
        </w:rPr>
        <w:t>, every arrangement for </w:t>
      </w:r>
      <w:r>
        <w:rPr>
          <w:i/>
          <w:sz w:val="24"/>
        </w:rPr>
        <w:t>connection </w:t>
      </w:r>
      <w:r>
        <w:rPr>
          <w:sz w:val="24"/>
        </w:rPr>
        <w:t>with a </w:t>
      </w:r>
      <w:r>
        <w:rPr>
          <w:i/>
          <w:sz w:val="24"/>
        </w:rPr>
        <w:t>Registered </w:t>
      </w:r>
      <w:r>
        <w:rPr>
          <w:i/>
          <w:sz w:val="24"/>
        </w:rPr>
        <w:t>Participant </w:t>
      </w:r>
      <w:r>
        <w:rPr>
          <w:sz w:val="24"/>
        </w:rPr>
        <w:t>or any other arrangement involving a </w:t>
      </w:r>
      <w:r>
        <w:rPr>
          <w:i/>
          <w:sz w:val="24"/>
        </w:rPr>
        <w:t>connection </w:t>
      </w:r>
      <w:r>
        <w:rPr>
          <w:i/>
          <w:sz w:val="24"/>
        </w:rPr>
        <w:t>agreement </w:t>
      </w:r>
      <w:r>
        <w:rPr>
          <w:sz w:val="24"/>
        </w:rPr>
        <w:t>with that </w:t>
      </w:r>
      <w:r>
        <w:rPr>
          <w:i/>
          <w:sz w:val="24"/>
        </w:rPr>
        <w:t>Network Service Provider </w:t>
      </w:r>
      <w:r>
        <w:rPr>
          <w:sz w:val="24"/>
        </w:rPr>
        <w:t>complies with all relevant provisions of the</w:t>
      </w:r>
      <w:r>
        <w:rPr>
          <w:spacing w:val="-1"/>
          <w:sz w:val="24"/>
        </w:rPr>
        <w:t> </w:t>
      </w:r>
      <w:r>
        <w:rPr>
          <w:i/>
          <w:sz w:val="24"/>
        </w:rPr>
        <w:t>Rules</w:t>
      </w:r>
      <w:r>
        <w:rPr>
          <w:sz w:val="24"/>
        </w:rPr>
        <w:t>;</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co-ordinate the design aspects of equipment proposed to be </w:t>
      </w:r>
      <w:r>
        <w:rPr>
          <w:i/>
          <w:sz w:val="24"/>
        </w:rPr>
        <w:t>connected </w:t>
      </w:r>
      <w:r>
        <w:rPr>
          <w:sz w:val="24"/>
        </w:rPr>
        <w:t>to its </w:t>
      </w:r>
      <w:r>
        <w:rPr>
          <w:i/>
          <w:sz w:val="24"/>
        </w:rPr>
        <w:t>networks </w:t>
      </w:r>
      <w:r>
        <w:rPr>
          <w:sz w:val="24"/>
        </w:rPr>
        <w:t>with those of other </w:t>
      </w:r>
      <w:r>
        <w:rPr>
          <w:i/>
          <w:sz w:val="24"/>
        </w:rPr>
        <w:t>Network Service Providers </w:t>
      </w:r>
      <w:r>
        <w:rPr>
          <w:sz w:val="24"/>
        </w:rPr>
        <w:t>in accordance with rule 5.6 in order to seek to achieve </w:t>
      </w:r>
      <w:r>
        <w:rPr>
          <w:i/>
          <w:sz w:val="24"/>
        </w:rPr>
        <w:t>power system </w:t>
      </w:r>
      <w:r>
        <w:rPr>
          <w:sz w:val="24"/>
        </w:rPr>
        <w:t>performance requirements in accordance with </w:t>
      </w:r>
      <w:r>
        <w:rPr>
          <w:i/>
          <w:sz w:val="24"/>
        </w:rPr>
        <w:t>jurisdictional electricity </w:t>
      </w:r>
      <w:r>
        <w:rPr>
          <w:i/>
          <w:sz w:val="24"/>
        </w:rPr>
        <w:t>legislation</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together with other </w:t>
      </w:r>
      <w:r>
        <w:rPr>
          <w:i/>
          <w:sz w:val="24"/>
        </w:rPr>
        <w:t>Network Service Providers</w:t>
      </w:r>
      <w:r>
        <w:rPr>
          <w:sz w:val="24"/>
        </w:rPr>
        <w:t>, arrange for and participate in planning and development of their </w:t>
      </w:r>
      <w:r>
        <w:rPr>
          <w:i/>
          <w:sz w:val="24"/>
        </w:rPr>
        <w:t>networks</w:t>
      </w:r>
      <w:r>
        <w:rPr>
          <w:i/>
          <w:spacing w:val="-5"/>
          <w:sz w:val="24"/>
        </w:rPr>
        <w:t> </w:t>
      </w:r>
      <w:r>
        <w:rPr>
          <w:sz w:val="24"/>
        </w:rPr>
        <w:t>and</w:t>
      </w:r>
    </w:p>
    <w:p>
      <w:pPr>
        <w:spacing w:after="0" w:line="240" w:lineRule="auto"/>
        <w:jc w:val="both"/>
        <w:rPr>
          <w:sz w:val="24"/>
        </w:rPr>
        <w:sectPr>
          <w:pgSz w:w="11910" w:h="16840"/>
          <w:pgMar w:header="686" w:footer="637" w:top="1320" w:bottom="820" w:left="1200" w:right="1000"/>
        </w:sectPr>
      </w:pPr>
    </w:p>
    <w:p>
      <w:pPr>
        <w:spacing w:before="83"/>
        <w:ind w:left="2486" w:right="416" w:firstLine="0"/>
        <w:jc w:val="both"/>
        <w:rPr>
          <w:sz w:val="24"/>
        </w:rPr>
      </w:pPr>
      <w:r>
        <w:rPr>
          <w:i/>
          <w:sz w:val="24"/>
        </w:rPr>
        <w:t>connection points </w:t>
      </w:r>
      <w:r>
        <w:rPr>
          <w:sz w:val="24"/>
        </w:rPr>
        <w:t>on or with those </w:t>
      </w:r>
      <w:r>
        <w:rPr>
          <w:i/>
          <w:sz w:val="24"/>
        </w:rPr>
        <w:t>networks </w:t>
      </w:r>
      <w:r>
        <w:rPr>
          <w:sz w:val="24"/>
        </w:rPr>
        <w:t>in accordance with Part D of Chapter 5;</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permit and participate in inspection and testing of </w:t>
      </w:r>
      <w:r>
        <w:rPr>
          <w:i/>
          <w:sz w:val="24"/>
        </w:rPr>
        <w:t>facilities </w:t>
      </w:r>
      <w:r>
        <w:rPr>
          <w:sz w:val="24"/>
        </w:rPr>
        <w:t>and equipment in accordance with rule</w:t>
      </w:r>
      <w:r>
        <w:rPr>
          <w:spacing w:val="-2"/>
          <w:sz w:val="24"/>
        </w:rPr>
        <w:t> </w:t>
      </w:r>
      <w:r>
        <w:rPr>
          <w:sz w:val="24"/>
        </w:rPr>
        <w:t>5.7;</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permit and participate in commissioning of </w:t>
      </w:r>
      <w:r>
        <w:rPr>
          <w:i/>
          <w:sz w:val="24"/>
        </w:rPr>
        <w:t>facilities </w:t>
      </w:r>
      <w:r>
        <w:rPr>
          <w:sz w:val="24"/>
        </w:rPr>
        <w:t>and </w:t>
      </w:r>
      <w:r>
        <w:rPr>
          <w:spacing w:val="-3"/>
          <w:sz w:val="24"/>
        </w:rPr>
        <w:t>equipment </w:t>
      </w:r>
      <w:r>
        <w:rPr>
          <w:sz w:val="24"/>
        </w:rPr>
        <w:t>which are to be </w:t>
      </w:r>
      <w:r>
        <w:rPr>
          <w:i/>
          <w:sz w:val="24"/>
        </w:rPr>
        <w:t>connected </w:t>
      </w:r>
      <w:r>
        <w:rPr>
          <w:sz w:val="24"/>
        </w:rPr>
        <w:t>to its </w:t>
      </w:r>
      <w:r>
        <w:rPr>
          <w:i/>
          <w:sz w:val="24"/>
        </w:rPr>
        <w:t>network </w:t>
      </w:r>
      <w:r>
        <w:rPr>
          <w:sz w:val="24"/>
        </w:rPr>
        <w:t>in accordance with rule</w:t>
      </w:r>
      <w:r>
        <w:rPr>
          <w:spacing w:val="-10"/>
          <w:sz w:val="24"/>
        </w:rPr>
        <w:t> </w:t>
      </w:r>
      <w:r>
        <w:rPr>
          <w:sz w:val="24"/>
        </w:rPr>
        <w:t>5.8;</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advise a </w:t>
      </w:r>
      <w:r>
        <w:rPr>
          <w:i/>
          <w:sz w:val="24"/>
        </w:rPr>
        <w:t>Registered Participant </w:t>
      </w:r>
      <w:r>
        <w:rPr>
          <w:sz w:val="24"/>
        </w:rPr>
        <w:t>or other person with whom there is a </w:t>
      </w:r>
      <w:r>
        <w:rPr>
          <w:i/>
          <w:sz w:val="24"/>
        </w:rPr>
        <w:t>connection agreement </w:t>
      </w:r>
      <w:r>
        <w:rPr>
          <w:sz w:val="24"/>
        </w:rPr>
        <w:t>upon request of any expected interruption characteristics at a </w:t>
      </w:r>
      <w:r>
        <w:rPr>
          <w:i/>
          <w:sz w:val="24"/>
        </w:rPr>
        <w:t>connection point </w:t>
      </w:r>
      <w:r>
        <w:rPr>
          <w:sz w:val="24"/>
        </w:rPr>
        <w:t>on or with its </w:t>
      </w:r>
      <w:r>
        <w:rPr>
          <w:i/>
          <w:sz w:val="24"/>
        </w:rPr>
        <w:t>network </w:t>
      </w:r>
      <w:r>
        <w:rPr>
          <w:sz w:val="24"/>
        </w:rPr>
        <w:t>so that the </w:t>
      </w:r>
      <w:r>
        <w:rPr>
          <w:i/>
          <w:sz w:val="24"/>
        </w:rPr>
        <w:t>Registered Participant </w:t>
      </w:r>
      <w:r>
        <w:rPr>
          <w:sz w:val="24"/>
        </w:rPr>
        <w:t>or other person may make alternative arrangements for </w:t>
      </w:r>
      <w:r>
        <w:rPr>
          <w:i/>
          <w:sz w:val="24"/>
        </w:rPr>
        <w:t>supply </w:t>
      </w:r>
      <w:r>
        <w:rPr>
          <w:sz w:val="24"/>
        </w:rPr>
        <w:t>during such interruptions, including negotiating for an alternative or backup</w:t>
      </w:r>
      <w:r>
        <w:rPr>
          <w:spacing w:val="-1"/>
          <w:sz w:val="24"/>
        </w:rPr>
        <w:t> </w:t>
      </w:r>
      <w:r>
        <w:rPr>
          <w:i/>
          <w:sz w:val="24"/>
        </w:rPr>
        <w:t>connection</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use its reasonable endeavours to ensure that modelling data used </w:t>
      </w:r>
      <w:r>
        <w:rPr>
          <w:spacing w:val="-4"/>
          <w:sz w:val="24"/>
        </w:rPr>
        <w:t>for </w:t>
      </w:r>
      <w:r>
        <w:rPr>
          <w:sz w:val="24"/>
        </w:rPr>
        <w:t>planning, design and operational purposes is complete and </w:t>
      </w:r>
      <w:r>
        <w:rPr>
          <w:spacing w:val="-3"/>
          <w:sz w:val="24"/>
        </w:rPr>
        <w:t>accurate </w:t>
      </w:r>
      <w:r>
        <w:rPr>
          <w:sz w:val="24"/>
        </w:rPr>
        <w:t>and order tests in accordance with rule 5.7 where there are reasonable grounds to question the validity of</w:t>
      </w:r>
      <w:r>
        <w:rPr>
          <w:spacing w:val="-2"/>
          <w:sz w:val="24"/>
        </w:rPr>
        <w:t> </w:t>
      </w:r>
      <w:r>
        <w:rPr>
          <w:sz w:val="24"/>
        </w:rPr>
        <w:t>data;</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provide to </w:t>
      </w:r>
      <w:r>
        <w:rPr>
          <w:i/>
          <w:sz w:val="24"/>
        </w:rPr>
        <w:t>NTESMO </w:t>
      </w:r>
      <w:r>
        <w:rPr>
          <w:sz w:val="24"/>
        </w:rPr>
        <w:t>and other </w:t>
      </w:r>
      <w:r>
        <w:rPr>
          <w:i/>
          <w:sz w:val="24"/>
        </w:rPr>
        <w:t>Network Service Providers </w:t>
      </w:r>
      <w:r>
        <w:rPr>
          <w:sz w:val="24"/>
        </w:rPr>
        <w:t>all data available to it and reasonably required for modelling the static and </w:t>
      </w:r>
      <w:r>
        <w:rPr>
          <w:i/>
          <w:sz w:val="24"/>
        </w:rPr>
        <w:t>dynamic performance </w:t>
      </w:r>
      <w:r>
        <w:rPr>
          <w:sz w:val="24"/>
        </w:rPr>
        <w:t>of the </w:t>
      </w:r>
      <w:r>
        <w:rPr>
          <w:i/>
          <w:sz w:val="24"/>
        </w:rPr>
        <w:t>power</w:t>
      </w:r>
      <w:r>
        <w:rPr>
          <w:i/>
          <w:spacing w:val="-1"/>
          <w:sz w:val="24"/>
        </w:rPr>
        <w:t> </w:t>
      </w:r>
      <w:r>
        <w:rPr>
          <w:i/>
          <w:sz w:val="24"/>
        </w:rPr>
        <w:t>system</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forward to </w:t>
      </w:r>
      <w:r>
        <w:rPr>
          <w:i/>
          <w:sz w:val="24"/>
        </w:rPr>
        <w:t>NTESMO </w:t>
      </w:r>
      <w:r>
        <w:rPr>
          <w:sz w:val="24"/>
        </w:rPr>
        <w:t>and other </w:t>
      </w:r>
      <w:r>
        <w:rPr>
          <w:i/>
          <w:sz w:val="24"/>
        </w:rPr>
        <w:t>Network Service Providers </w:t>
      </w:r>
      <w:r>
        <w:rPr>
          <w:sz w:val="24"/>
        </w:rPr>
        <w:t>subsequent updates of the data referred to in subparagraph (9) and, to the best </w:t>
      </w:r>
      <w:r>
        <w:rPr>
          <w:spacing w:val="-6"/>
          <w:sz w:val="24"/>
        </w:rPr>
        <w:t>of </w:t>
      </w:r>
      <w:r>
        <w:rPr>
          <w:sz w:val="24"/>
        </w:rPr>
        <w:t>its ability and knowledge, ensure that all data used for the purposes referred to in rules 5.3 or 5.3A (as is relevant) is consistent with data used for such purposes by other </w:t>
      </w:r>
      <w:r>
        <w:rPr>
          <w:i/>
          <w:sz w:val="24"/>
        </w:rPr>
        <w:t>Network Service</w:t>
      </w:r>
      <w:r>
        <w:rPr>
          <w:i/>
          <w:spacing w:val="-4"/>
          <w:sz w:val="24"/>
        </w:rPr>
        <w:t> </w:t>
      </w:r>
      <w:r>
        <w:rPr>
          <w:i/>
          <w:sz w:val="24"/>
        </w:rPr>
        <w:t>Providers</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provide to </w:t>
      </w:r>
      <w:r>
        <w:rPr>
          <w:i/>
          <w:sz w:val="24"/>
        </w:rPr>
        <w:t>NTESMO </w:t>
      </w:r>
      <w:r>
        <w:rPr>
          <w:sz w:val="24"/>
        </w:rPr>
        <w:t>the information required from </w:t>
      </w:r>
      <w:r>
        <w:rPr>
          <w:i/>
          <w:sz w:val="24"/>
        </w:rPr>
        <w:t>Generators </w:t>
      </w:r>
      <w:r>
        <w:rPr>
          <w:sz w:val="24"/>
        </w:rPr>
        <w:t>and </w:t>
      </w:r>
      <w:r>
        <w:rPr>
          <w:i/>
          <w:sz w:val="24"/>
        </w:rPr>
        <w:t>Customers </w:t>
      </w:r>
      <w:r>
        <w:rPr>
          <w:sz w:val="24"/>
        </w:rPr>
        <w:t>to support a </w:t>
      </w:r>
      <w:r>
        <w:rPr>
          <w:i/>
          <w:sz w:val="24"/>
        </w:rPr>
        <w:t>connection application </w:t>
      </w:r>
      <w:r>
        <w:rPr>
          <w:sz w:val="24"/>
        </w:rPr>
        <w:t>under these </w:t>
      </w:r>
      <w:r>
        <w:rPr>
          <w:i/>
          <w:sz w:val="24"/>
        </w:rPr>
        <w:t>Rules </w:t>
      </w:r>
      <w:r>
        <w:rPr>
          <w:sz w:val="24"/>
        </w:rPr>
        <w:t>and </w:t>
      </w:r>
      <w:r>
        <w:rPr>
          <w:i/>
          <w:sz w:val="24"/>
        </w:rPr>
        <w:t>jurisdictional electricity legislation</w:t>
      </w:r>
      <w:r>
        <w:rPr>
          <w:sz w:val="24"/>
        </w:rPr>
        <w:t>;</w:t>
      </w:r>
      <w:r>
        <w:rPr>
          <w:spacing w:val="-1"/>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The requirements that will apply under </w:t>
      </w:r>
      <w:r>
        <w:rPr>
          <w:i/>
          <w:sz w:val="20"/>
        </w:rPr>
        <w:t>jurisdictional electricity legislation </w:t>
      </w:r>
      <w:r>
        <w:rPr>
          <w:sz w:val="20"/>
        </w:rPr>
        <w:t>for the purposes of paragraph (d)(3) will be requirements that correspond to the matters set</w:t>
      </w:r>
    </w:p>
    <w:p>
      <w:pPr>
        <w:spacing w:after="0"/>
        <w:jc w:val="both"/>
        <w:rPr>
          <w:sz w:val="20"/>
        </w:rPr>
        <w:sectPr>
          <w:pgSz w:w="11910" w:h="16840"/>
          <w:pgMar w:header="686" w:footer="637" w:top="1320" w:bottom="820" w:left="1200" w:right="1000"/>
        </w:sectPr>
      </w:pPr>
    </w:p>
    <w:p>
      <w:pPr>
        <w:spacing w:before="83"/>
        <w:ind w:left="2486" w:right="414" w:firstLine="0"/>
        <w:jc w:val="both"/>
        <w:rPr>
          <w:sz w:val="20"/>
        </w:rPr>
      </w:pPr>
      <w:r>
        <w:rPr>
          <w:sz w:val="20"/>
        </w:rPr>
        <w:t>out in schedule 5.1, in the </w:t>
      </w:r>
      <w:r>
        <w:rPr>
          <w:i/>
          <w:sz w:val="20"/>
        </w:rPr>
        <w:t>Rules </w:t>
      </w:r>
      <w:r>
        <w:rPr>
          <w:sz w:val="20"/>
        </w:rPr>
        <w:t>applying in other </w:t>
      </w:r>
      <w:r>
        <w:rPr>
          <w:i/>
          <w:sz w:val="20"/>
        </w:rPr>
        <w:t>participating jurisdictions</w:t>
      </w:r>
      <w:r>
        <w:rPr>
          <w:sz w:val="20"/>
        </w:rPr>
        <w:t>. The information referred to in paragraph (d)(11) corresponds to the information required under schedule 5.2 or 5.3 in the </w:t>
      </w:r>
      <w:r>
        <w:rPr>
          <w:i/>
          <w:sz w:val="20"/>
        </w:rPr>
        <w:t>Rules </w:t>
      </w:r>
      <w:r>
        <w:rPr>
          <w:sz w:val="20"/>
        </w:rPr>
        <w:t>applying in other </w:t>
      </w:r>
      <w:r>
        <w:rPr>
          <w:i/>
          <w:sz w:val="20"/>
        </w:rPr>
        <w:t>participating jurisdictions</w:t>
      </w:r>
      <w:r>
        <w:rPr>
          <w:sz w:val="20"/>
        </w:rPr>
        <w:t>. The application of paragraph (d)(3) and (11) will be revisited as part of the phased implementation of the </w:t>
      </w:r>
      <w:r>
        <w:rPr>
          <w:i/>
          <w:sz w:val="20"/>
        </w:rPr>
        <w:t>Rules </w:t>
      </w:r>
      <w:r>
        <w:rPr>
          <w:sz w:val="20"/>
        </w:rPr>
        <w:t>in this jurisdiction.</w:t>
      </w:r>
    </w:p>
    <w:p>
      <w:pPr>
        <w:pStyle w:val="ListParagraph"/>
        <w:numPr>
          <w:ilvl w:val="4"/>
          <w:numId w:val="150"/>
        </w:numPr>
        <w:tabs>
          <w:tab w:pos="2486" w:val="left" w:leader="none"/>
        </w:tabs>
        <w:spacing w:line="240" w:lineRule="auto" w:before="120" w:after="0"/>
        <w:ind w:left="2486" w:right="414" w:hanging="567"/>
        <w:jc w:val="both"/>
        <w:rPr>
          <w:sz w:val="24"/>
        </w:rPr>
      </w:pPr>
      <w:r>
        <w:rPr>
          <w:sz w:val="24"/>
        </w:rPr>
        <w:t>where </w:t>
      </w:r>
      <w:r>
        <w:rPr>
          <w:i/>
          <w:sz w:val="24"/>
        </w:rPr>
        <w:t>network augmentations</w:t>
      </w:r>
      <w:r>
        <w:rPr>
          <w:sz w:val="24"/>
        </w:rPr>
        <w:t>, setting changes or other technical issues arise which could impact across </w:t>
      </w:r>
      <w:r>
        <w:rPr>
          <w:i/>
          <w:sz w:val="24"/>
        </w:rPr>
        <w:t>regional </w:t>
      </w:r>
      <w:r>
        <w:rPr>
          <w:sz w:val="24"/>
        </w:rPr>
        <w:t>boundaries, provide </w:t>
      </w:r>
      <w:r>
        <w:rPr>
          <w:i/>
          <w:sz w:val="24"/>
        </w:rPr>
        <w:t>AEMO </w:t>
      </w:r>
      <w:r>
        <w:rPr>
          <w:sz w:val="24"/>
        </w:rPr>
        <w:t>with a written report on the impact and its</w:t>
      </w:r>
      <w:r>
        <w:rPr>
          <w:spacing w:val="-5"/>
          <w:sz w:val="24"/>
        </w:rPr>
        <w:t> </w:t>
      </w:r>
      <w:r>
        <w:rPr>
          <w:sz w:val="24"/>
        </w:rPr>
        <w:t>effects.</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0"/>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(including a </w:t>
      </w:r>
      <w:r>
        <w:rPr>
          <w:i/>
          <w:sz w:val="24"/>
        </w:rPr>
        <w:t>Dedicated Connection Asset </w:t>
      </w:r>
      <w:r>
        <w:rPr>
          <w:i/>
          <w:sz w:val="24"/>
        </w:rPr>
        <w:t>Service Provider</w:t>
      </w:r>
      <w:r>
        <w:rPr>
          <w:sz w:val="24"/>
        </w:rPr>
        <w:t>) must arrange for operation of that part of the </w:t>
      </w:r>
      <w:r>
        <w:rPr>
          <w:i/>
          <w:sz w:val="24"/>
        </w:rPr>
        <w:t>national grid </w:t>
      </w:r>
      <w:r>
        <w:rPr>
          <w:sz w:val="24"/>
        </w:rPr>
        <w:t>over which it has control in accordance with instructions given by </w:t>
      </w:r>
      <w:r>
        <w:rPr>
          <w:i/>
          <w:sz w:val="24"/>
        </w:rPr>
        <w:t>NTESMO</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5" w:hanging="567"/>
        <w:jc w:val="both"/>
        <w:rPr>
          <w:sz w:val="24"/>
        </w:rPr>
      </w:pPr>
      <w:r>
        <w:rPr>
          <w:sz w:val="24"/>
        </w:rPr>
        <w:t>(e1) A </w:t>
      </w:r>
      <w:r>
        <w:rPr>
          <w:i/>
          <w:sz w:val="24"/>
        </w:rPr>
        <w:t>Network Service Provider </w:t>
      </w:r>
      <w:r>
        <w:rPr>
          <w:sz w:val="24"/>
        </w:rPr>
        <w:t>must, except in so far as its </w:t>
      </w:r>
      <w:r>
        <w:rPr>
          <w:i/>
          <w:sz w:val="24"/>
        </w:rPr>
        <w:t>market network </w:t>
      </w:r>
      <w:r>
        <w:rPr>
          <w:i/>
          <w:sz w:val="24"/>
        </w:rPr>
        <w:t>services </w:t>
      </w:r>
      <w:r>
        <w:rPr>
          <w:sz w:val="24"/>
        </w:rPr>
        <w:t>and parts of its </w:t>
      </w:r>
      <w:r>
        <w:rPr>
          <w:i/>
          <w:sz w:val="24"/>
        </w:rPr>
        <w:t>network </w:t>
      </w:r>
      <w:r>
        <w:rPr>
          <w:sz w:val="24"/>
        </w:rPr>
        <w:t>which are used solely for the provision of </w:t>
      </w:r>
      <w:r>
        <w:rPr>
          <w:i/>
          <w:sz w:val="24"/>
        </w:rPr>
        <w:t>market network services </w:t>
      </w:r>
      <w:r>
        <w:rPr>
          <w:sz w:val="24"/>
        </w:rPr>
        <w:t>are concerned, arrange for:</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management, maintenance and operation of its part of the </w:t>
      </w:r>
      <w:r>
        <w:rPr>
          <w:i/>
          <w:sz w:val="24"/>
        </w:rPr>
        <w:t>national </w:t>
      </w:r>
      <w:r>
        <w:rPr>
          <w:i/>
          <w:sz w:val="24"/>
        </w:rPr>
        <w:t>grid </w:t>
      </w:r>
      <w:r>
        <w:rPr>
          <w:sz w:val="24"/>
        </w:rPr>
        <w:t>such that, in the </w:t>
      </w:r>
      <w:r>
        <w:rPr>
          <w:i/>
          <w:sz w:val="24"/>
        </w:rPr>
        <w:t>satisfactory operating state</w:t>
      </w:r>
      <w:r>
        <w:rPr>
          <w:sz w:val="24"/>
        </w:rPr>
        <w:t>, electricity may be transferred continuously at a </w:t>
      </w:r>
      <w:r>
        <w:rPr>
          <w:i/>
          <w:sz w:val="24"/>
        </w:rPr>
        <w:t>connection point </w:t>
      </w:r>
      <w:r>
        <w:rPr>
          <w:sz w:val="24"/>
        </w:rPr>
        <w:t>on or with its </w:t>
      </w:r>
      <w:r>
        <w:rPr>
          <w:i/>
          <w:sz w:val="24"/>
        </w:rPr>
        <w:t>network </w:t>
      </w:r>
      <w:r>
        <w:rPr>
          <w:sz w:val="24"/>
        </w:rPr>
        <w:t>up to the </w:t>
      </w:r>
      <w:r>
        <w:rPr>
          <w:i/>
          <w:sz w:val="24"/>
        </w:rPr>
        <w:t>agreed</w:t>
      </w:r>
      <w:r>
        <w:rPr>
          <w:i/>
          <w:spacing w:val="-1"/>
          <w:sz w:val="24"/>
        </w:rPr>
        <w:t> </w:t>
      </w:r>
      <w:r>
        <w:rPr>
          <w:i/>
          <w:sz w:val="24"/>
        </w:rPr>
        <w:t>capability</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operation of its </w:t>
      </w:r>
      <w:r>
        <w:rPr>
          <w:i/>
          <w:sz w:val="24"/>
        </w:rPr>
        <w:t>network </w:t>
      </w:r>
      <w:r>
        <w:rPr>
          <w:sz w:val="24"/>
        </w:rPr>
        <w:t>such that the fault level at any </w:t>
      </w:r>
      <w:r>
        <w:rPr>
          <w:i/>
          <w:sz w:val="24"/>
        </w:rPr>
        <w:t>connection </w:t>
      </w:r>
      <w:r>
        <w:rPr>
          <w:i/>
          <w:sz w:val="24"/>
        </w:rPr>
        <w:t>point </w:t>
      </w:r>
      <w:r>
        <w:rPr>
          <w:sz w:val="24"/>
        </w:rPr>
        <w:t>on or with that </w:t>
      </w:r>
      <w:r>
        <w:rPr>
          <w:i/>
          <w:sz w:val="24"/>
        </w:rPr>
        <w:t>network </w:t>
      </w:r>
      <w:r>
        <w:rPr>
          <w:sz w:val="24"/>
        </w:rPr>
        <w:t>does not breach the limits that have been specified in a </w:t>
      </w:r>
      <w:r>
        <w:rPr>
          <w:i/>
          <w:sz w:val="24"/>
        </w:rPr>
        <w:t>connection</w:t>
      </w:r>
      <w:r>
        <w:rPr>
          <w:i/>
          <w:spacing w:val="-1"/>
          <w:sz w:val="24"/>
        </w:rPr>
        <w:t> </w:t>
      </w:r>
      <w:r>
        <w:rPr>
          <w:i/>
          <w:sz w:val="24"/>
        </w:rPr>
        <w:t>agreement</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management, maintenance and operation of its </w:t>
      </w:r>
      <w:r>
        <w:rPr>
          <w:i/>
          <w:sz w:val="24"/>
        </w:rPr>
        <w:t>network </w:t>
      </w:r>
      <w:r>
        <w:rPr>
          <w:sz w:val="24"/>
        </w:rPr>
        <w:t>to minimise the number of interruptions to </w:t>
      </w:r>
      <w:r>
        <w:rPr>
          <w:i/>
          <w:sz w:val="24"/>
        </w:rPr>
        <w:t>agreed capability </w:t>
      </w:r>
      <w:r>
        <w:rPr>
          <w:sz w:val="24"/>
        </w:rPr>
        <w:t>at a </w:t>
      </w:r>
      <w:r>
        <w:rPr>
          <w:i/>
          <w:sz w:val="24"/>
        </w:rPr>
        <w:t>connection </w:t>
      </w:r>
      <w:r>
        <w:rPr>
          <w:i/>
          <w:spacing w:val="-3"/>
          <w:sz w:val="24"/>
        </w:rPr>
        <w:t>point </w:t>
      </w:r>
      <w:r>
        <w:rPr>
          <w:sz w:val="24"/>
        </w:rPr>
        <w:t>on or with that </w:t>
      </w:r>
      <w:r>
        <w:rPr>
          <w:i/>
          <w:sz w:val="24"/>
        </w:rPr>
        <w:t>network </w:t>
      </w:r>
      <w:r>
        <w:rPr>
          <w:sz w:val="24"/>
        </w:rPr>
        <w:t>by using </w:t>
      </w:r>
      <w:r>
        <w:rPr>
          <w:i/>
          <w:sz w:val="24"/>
        </w:rPr>
        <w:t>good electricity industry practice</w:t>
      </w:r>
      <w:r>
        <w:rPr>
          <w:sz w:val="24"/>
        </w:rPr>
        <w:t>; and</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restoration of the </w:t>
      </w:r>
      <w:r>
        <w:rPr>
          <w:i/>
          <w:sz w:val="24"/>
        </w:rPr>
        <w:t>agreed capability </w:t>
      </w:r>
      <w:r>
        <w:rPr>
          <w:sz w:val="24"/>
        </w:rPr>
        <w:t>at a </w:t>
      </w:r>
      <w:r>
        <w:rPr>
          <w:i/>
          <w:sz w:val="24"/>
        </w:rPr>
        <w:t>connection point </w:t>
      </w:r>
      <w:r>
        <w:rPr>
          <w:sz w:val="24"/>
        </w:rPr>
        <w:t>on or with that </w:t>
      </w:r>
      <w:r>
        <w:rPr>
          <w:i/>
          <w:sz w:val="24"/>
        </w:rPr>
        <w:t>network </w:t>
      </w:r>
      <w:r>
        <w:rPr>
          <w:sz w:val="24"/>
        </w:rPr>
        <w:t>as soon as reasonably practicable following </w:t>
      </w:r>
      <w:r>
        <w:rPr>
          <w:spacing w:val="-4"/>
          <w:sz w:val="24"/>
        </w:rPr>
        <w:t>any </w:t>
      </w:r>
      <w:r>
        <w:rPr>
          <w:sz w:val="24"/>
        </w:rPr>
        <w:t>interruption at that </w:t>
      </w:r>
      <w:r>
        <w:rPr>
          <w:i/>
          <w:sz w:val="24"/>
        </w:rPr>
        <w:t>connection</w:t>
      </w:r>
      <w:r>
        <w:rPr>
          <w:i/>
          <w:spacing w:val="-2"/>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0"/>
        </w:numPr>
        <w:tabs>
          <w:tab w:pos="1920" w:val="left" w:leader="none"/>
        </w:tabs>
        <w:spacing w:line="240" w:lineRule="auto" w:before="120" w:after="0"/>
        <w:ind w:left="1919" w:right="416" w:hanging="567"/>
        <w:jc w:val="both"/>
        <w:rPr>
          <w:sz w:val="24"/>
        </w:rPr>
      </w:pPr>
      <w:r>
        <w:rPr>
          <w:sz w:val="24"/>
        </w:rPr>
        <w:t>A </w:t>
      </w:r>
      <w:r>
        <w:rPr>
          <w:i/>
          <w:sz w:val="24"/>
        </w:rPr>
        <w:t>Network Service Provider </w:t>
      </w:r>
      <w:r>
        <w:rPr>
          <w:sz w:val="24"/>
        </w:rPr>
        <w:t>must comply with </w:t>
      </w:r>
      <w:r>
        <w:rPr>
          <w:i/>
          <w:sz w:val="24"/>
        </w:rPr>
        <w:t>applicable regulatory </w:t>
      </w:r>
      <w:r>
        <w:rPr>
          <w:i/>
          <w:sz w:val="24"/>
        </w:rPr>
        <w:t>instruments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3"/>
          <w:numId w:val="150"/>
        </w:numPr>
        <w:tabs>
          <w:tab w:pos="1919" w:val="left" w:leader="none"/>
        </w:tabs>
        <w:spacing w:line="240" w:lineRule="auto" w:before="83" w:after="0"/>
        <w:ind w:left="1919" w:right="415" w:hanging="567"/>
        <w:jc w:val="both"/>
        <w:rPr>
          <w:sz w:val="24"/>
        </w:rPr>
      </w:pPr>
      <w:r>
        <w:rPr>
          <w:sz w:val="24"/>
        </w:rPr>
        <w:t>Each </w:t>
      </w:r>
      <w:r>
        <w:rPr>
          <w:i/>
          <w:sz w:val="24"/>
        </w:rPr>
        <w:t>Network Service Provider </w:t>
      </w:r>
      <w:r>
        <w:rPr>
          <w:sz w:val="24"/>
        </w:rPr>
        <w:t>must in respect of new or altered </w:t>
      </w:r>
      <w:r>
        <w:rPr>
          <w:spacing w:val="-3"/>
          <w:sz w:val="24"/>
        </w:rPr>
        <w:t>equipment </w:t>
      </w:r>
      <w:r>
        <w:rPr>
          <w:sz w:val="24"/>
        </w:rPr>
        <w:t>owned, operated or controlled by it for the purpose of providing a </w:t>
      </w:r>
      <w:r>
        <w:rPr>
          <w:i/>
          <w:spacing w:val="-3"/>
          <w:sz w:val="24"/>
        </w:rPr>
        <w:t>market </w:t>
      </w:r>
      <w:r>
        <w:rPr>
          <w:i/>
          <w:sz w:val="24"/>
        </w:rPr>
        <w:t>network</w:t>
      </w:r>
      <w:r>
        <w:rPr>
          <w:i/>
          <w:spacing w:val="-1"/>
          <w:sz w:val="24"/>
        </w:rPr>
        <w:t> </w:t>
      </w:r>
      <w:r>
        <w:rPr>
          <w:i/>
          <w:sz w:val="24"/>
        </w:rPr>
        <w:t>service</w:t>
      </w:r>
      <w:r>
        <w:rPr>
          <w:sz w:val="24"/>
        </w:rPr>
        <w:t>:</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submit an </w:t>
      </w:r>
      <w:r>
        <w:rPr>
          <w:i/>
          <w:sz w:val="24"/>
        </w:rPr>
        <w:t>application to connect </w:t>
      </w:r>
      <w:r>
        <w:rPr>
          <w:sz w:val="24"/>
        </w:rPr>
        <w:t>and enter into a </w:t>
      </w:r>
      <w:r>
        <w:rPr>
          <w:i/>
          <w:sz w:val="24"/>
        </w:rPr>
        <w:t>connection </w:t>
      </w:r>
      <w:r>
        <w:rPr>
          <w:i/>
          <w:sz w:val="24"/>
        </w:rPr>
        <w:t>agreement </w:t>
      </w:r>
      <w:r>
        <w:rPr>
          <w:sz w:val="24"/>
        </w:rPr>
        <w:t>with a </w:t>
      </w:r>
      <w:r>
        <w:rPr>
          <w:i/>
          <w:sz w:val="24"/>
        </w:rPr>
        <w:t>Network Service  Provider  </w:t>
      </w:r>
      <w:r>
        <w:rPr>
          <w:sz w:val="24"/>
        </w:rPr>
        <w:t>in  accordance  with  rule 5.3 prior to that equipment being connected to the </w:t>
      </w:r>
      <w:r>
        <w:rPr>
          <w:i/>
          <w:sz w:val="24"/>
        </w:rPr>
        <w:t>network </w:t>
      </w:r>
      <w:r>
        <w:rPr>
          <w:sz w:val="24"/>
        </w:rPr>
        <w:t>of that </w:t>
      </w:r>
      <w:r>
        <w:rPr>
          <w:i/>
          <w:sz w:val="24"/>
        </w:rPr>
        <w:t>Network Service Provider </w:t>
      </w:r>
      <w:r>
        <w:rPr>
          <w:sz w:val="24"/>
        </w:rPr>
        <w:t>or altered (as the case may</w:t>
      </w:r>
      <w:r>
        <w:rPr>
          <w:spacing w:val="-2"/>
          <w:sz w:val="24"/>
        </w:rPr>
        <w:t> </w:t>
      </w:r>
      <w:r>
        <w:rPr>
          <w:sz w:val="24"/>
        </w:rPr>
        <w:t>be);</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comply with the reasonable requirements of </w:t>
      </w:r>
      <w:r>
        <w:rPr>
          <w:i/>
          <w:sz w:val="24"/>
        </w:rPr>
        <w:t>AEMO </w:t>
      </w:r>
      <w:r>
        <w:rPr>
          <w:sz w:val="24"/>
        </w:rPr>
        <w:t>and the relevant </w:t>
      </w:r>
      <w:r>
        <w:rPr>
          <w:i/>
          <w:sz w:val="24"/>
        </w:rPr>
        <w:t>Network Service Provider </w:t>
      </w:r>
      <w:r>
        <w:rPr>
          <w:sz w:val="24"/>
        </w:rPr>
        <w:t>in respect of design requirements </w:t>
      </w:r>
      <w:r>
        <w:rPr>
          <w:spacing w:val="-6"/>
          <w:sz w:val="24"/>
        </w:rPr>
        <w:t>of </w:t>
      </w:r>
      <w:r>
        <w:rPr>
          <w:sz w:val="24"/>
        </w:rPr>
        <w:t>equipment proposed to be </w:t>
      </w:r>
      <w:r>
        <w:rPr>
          <w:i/>
          <w:sz w:val="24"/>
        </w:rPr>
        <w:t>connected </w:t>
      </w:r>
      <w:r>
        <w:rPr>
          <w:sz w:val="24"/>
        </w:rPr>
        <w:t>to the </w:t>
      </w:r>
      <w:r>
        <w:rPr>
          <w:i/>
          <w:sz w:val="24"/>
        </w:rPr>
        <w:t>network </w:t>
      </w:r>
      <w:r>
        <w:rPr>
          <w:sz w:val="24"/>
        </w:rPr>
        <w:t>of that </w:t>
      </w:r>
      <w:r>
        <w:rPr>
          <w:i/>
          <w:sz w:val="24"/>
        </w:rPr>
        <w:t>Network </w:t>
      </w:r>
      <w:r>
        <w:rPr>
          <w:i/>
          <w:sz w:val="24"/>
        </w:rPr>
        <w:t>Service Provider </w:t>
      </w:r>
      <w:r>
        <w:rPr>
          <w:sz w:val="24"/>
        </w:rPr>
        <w:t>in accordance with rule 5.6 and schedule</w:t>
      </w:r>
      <w:r>
        <w:rPr>
          <w:spacing w:val="-9"/>
          <w:sz w:val="24"/>
        </w:rPr>
        <w:t> </w:t>
      </w:r>
      <w:r>
        <w:rPr>
          <w:sz w:val="24"/>
        </w:rPr>
        <w:t>5.3a;</w:t>
      </w:r>
    </w:p>
    <w:p>
      <w:pPr>
        <w:pStyle w:val="ListParagraph"/>
        <w:numPr>
          <w:ilvl w:val="4"/>
          <w:numId w:val="150"/>
        </w:numPr>
        <w:tabs>
          <w:tab w:pos="2486" w:val="left" w:leader="none"/>
        </w:tabs>
        <w:spacing w:line="240" w:lineRule="auto" w:before="120" w:after="0"/>
        <w:ind w:left="2485" w:right="0" w:hanging="567"/>
        <w:jc w:val="both"/>
        <w:rPr>
          <w:i/>
          <w:sz w:val="24"/>
        </w:rPr>
      </w:pPr>
      <w:r>
        <w:rPr>
          <w:sz w:val="24"/>
        </w:rPr>
        <w:t>provide forecast information to the relevant </w:t>
      </w:r>
      <w:r>
        <w:rPr>
          <w:i/>
          <w:sz w:val="24"/>
        </w:rPr>
        <w:t>Network Service</w:t>
      </w:r>
      <w:r>
        <w:rPr>
          <w:i/>
          <w:spacing w:val="3"/>
          <w:sz w:val="24"/>
        </w:rPr>
        <w:t> </w:t>
      </w:r>
      <w:r>
        <w:rPr>
          <w:i/>
          <w:sz w:val="24"/>
        </w:rPr>
        <w:t>Provider</w:t>
      </w:r>
    </w:p>
    <w:p>
      <w:pPr>
        <w:pStyle w:val="BodyText"/>
        <w:spacing w:before="0"/>
        <w:ind w:left="2486" w:firstLine="0"/>
      </w:pPr>
      <w:r>
        <w:rPr/>
        <w:t>in accordance with Part D of Chapter 5;</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permit and participate in inspection and testing of </w:t>
      </w:r>
      <w:r>
        <w:rPr>
          <w:i/>
          <w:sz w:val="24"/>
        </w:rPr>
        <w:t>facilities </w:t>
      </w:r>
      <w:r>
        <w:rPr>
          <w:sz w:val="24"/>
        </w:rPr>
        <w:t>and equipment in accordance with rule</w:t>
      </w:r>
      <w:r>
        <w:rPr>
          <w:spacing w:val="-2"/>
          <w:sz w:val="24"/>
        </w:rPr>
        <w:t> </w:t>
      </w:r>
      <w:r>
        <w:rPr>
          <w:sz w:val="24"/>
        </w:rPr>
        <w:t>5.7;</w:t>
      </w:r>
    </w:p>
    <w:p>
      <w:pPr>
        <w:pStyle w:val="ListParagraph"/>
        <w:numPr>
          <w:ilvl w:val="4"/>
          <w:numId w:val="150"/>
        </w:numPr>
        <w:tabs>
          <w:tab w:pos="2486" w:val="left" w:leader="none"/>
        </w:tabs>
        <w:spacing w:line="240" w:lineRule="auto" w:before="120" w:after="0"/>
        <w:ind w:left="2486" w:right="415" w:hanging="567"/>
        <w:jc w:val="both"/>
        <w:rPr>
          <w:sz w:val="24"/>
        </w:rPr>
      </w:pPr>
      <w:r>
        <w:rPr>
          <w:sz w:val="24"/>
        </w:rPr>
        <w:t>permit and participate in commissioning of </w:t>
      </w:r>
      <w:r>
        <w:rPr>
          <w:i/>
          <w:sz w:val="24"/>
        </w:rPr>
        <w:t>facilities </w:t>
      </w:r>
      <w:r>
        <w:rPr>
          <w:sz w:val="24"/>
        </w:rPr>
        <w:t>and </w:t>
      </w:r>
      <w:r>
        <w:rPr>
          <w:spacing w:val="-3"/>
          <w:sz w:val="24"/>
        </w:rPr>
        <w:t>equipment </w:t>
      </w:r>
      <w:r>
        <w:rPr>
          <w:sz w:val="24"/>
        </w:rPr>
        <w:t>which are to be </w:t>
      </w:r>
      <w:r>
        <w:rPr>
          <w:i/>
          <w:sz w:val="24"/>
        </w:rPr>
        <w:t>connected </w:t>
      </w:r>
      <w:r>
        <w:rPr>
          <w:sz w:val="24"/>
        </w:rPr>
        <w:t>to a </w:t>
      </w:r>
      <w:r>
        <w:rPr>
          <w:i/>
          <w:sz w:val="24"/>
        </w:rPr>
        <w:t>network </w:t>
      </w:r>
      <w:r>
        <w:rPr>
          <w:sz w:val="24"/>
        </w:rPr>
        <w:t>for the first time in accordance with rule 5.8;</w:t>
      </w:r>
      <w:r>
        <w:rPr>
          <w:spacing w:val="-3"/>
          <w:sz w:val="24"/>
        </w:rPr>
        <w:t> </w:t>
      </w:r>
      <w:r>
        <w:rPr>
          <w:sz w:val="24"/>
        </w:rPr>
        <w:t>and</w:t>
      </w:r>
    </w:p>
    <w:p>
      <w:pPr>
        <w:pStyle w:val="Heading4"/>
        <w:numPr>
          <w:ilvl w:val="4"/>
          <w:numId w:val="150"/>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150"/>
        </w:numPr>
        <w:tabs>
          <w:tab w:pos="2486" w:val="left" w:leader="none"/>
        </w:tabs>
        <w:spacing w:line="240" w:lineRule="auto" w:before="120" w:after="0"/>
        <w:ind w:left="2486" w:right="416" w:hanging="567"/>
        <w:jc w:val="both"/>
        <w:rPr>
          <w:sz w:val="24"/>
        </w:rPr>
      </w:pPr>
      <w:r>
        <w:rPr>
          <w:sz w:val="24"/>
        </w:rPr>
        <w:t>give notice of intended voluntary permanent </w:t>
      </w:r>
      <w:r>
        <w:rPr>
          <w:i/>
          <w:sz w:val="24"/>
        </w:rPr>
        <w:t>disconnection </w:t>
      </w:r>
      <w:r>
        <w:rPr>
          <w:spacing w:val="-6"/>
          <w:sz w:val="24"/>
        </w:rPr>
        <w:t>in </w:t>
      </w:r>
      <w:r>
        <w:rPr>
          <w:sz w:val="24"/>
        </w:rPr>
        <w:t>accordance with rule</w:t>
      </w:r>
      <w:r>
        <w:rPr>
          <w:spacing w:val="-2"/>
          <w:sz w:val="24"/>
        </w:rPr>
        <w:t> </w:t>
      </w:r>
      <w:r>
        <w:rPr>
          <w:sz w:val="24"/>
        </w:rPr>
        <w:t>5.9.</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5" w:hanging="567"/>
        <w:jc w:val="both"/>
        <w:rPr>
          <w:sz w:val="24"/>
        </w:rPr>
      </w:pPr>
      <w:r>
        <w:rPr>
          <w:sz w:val="24"/>
        </w:rPr>
        <w:t>(g1)  A </w:t>
      </w:r>
      <w:r>
        <w:rPr>
          <w:i/>
          <w:sz w:val="24"/>
        </w:rPr>
        <w:t>Network Service Provider </w:t>
      </w:r>
      <w:r>
        <w:rPr>
          <w:sz w:val="24"/>
        </w:rPr>
        <w:t>must comply with any terms and conditions of  a </w:t>
      </w:r>
      <w:r>
        <w:rPr>
          <w:i/>
          <w:sz w:val="24"/>
        </w:rPr>
        <w:t>connection agreement </w:t>
      </w:r>
      <w:r>
        <w:rPr>
          <w:sz w:val="24"/>
        </w:rPr>
        <w:t>for its </w:t>
      </w:r>
      <w:r>
        <w:rPr>
          <w:i/>
          <w:sz w:val="24"/>
        </w:rPr>
        <w:t>market network service facilities </w:t>
      </w:r>
      <w:r>
        <w:rPr>
          <w:sz w:val="24"/>
        </w:rPr>
        <w:t>that provide for the implementation, operation, maintenance or performance of a </w:t>
      </w:r>
      <w:r>
        <w:rPr>
          <w:i/>
          <w:sz w:val="24"/>
        </w:rPr>
        <w:t>system </w:t>
      </w:r>
      <w:r>
        <w:rPr>
          <w:i/>
          <w:sz w:val="24"/>
        </w:rPr>
        <w:t>strength remediation</w:t>
      </w:r>
      <w:r>
        <w:rPr>
          <w:i/>
          <w:spacing w:val="-2"/>
          <w:sz w:val="24"/>
        </w:rPr>
        <w:t> </w:t>
      </w:r>
      <w:r>
        <w:rPr>
          <w:i/>
          <w:sz w:val="24"/>
        </w:rPr>
        <w:t>scheme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0"/>
        </w:numPr>
        <w:tabs>
          <w:tab w:pos="1980" w:val="left" w:leader="none"/>
        </w:tabs>
        <w:spacing w:line="343" w:lineRule="auto" w:before="120" w:after="0"/>
        <w:ind w:left="1352" w:right="6793" w:firstLine="0"/>
        <w:jc w:val="both"/>
        <w:rPr>
          <w:b/>
          <w:sz w:val="24"/>
        </w:rPr>
      </w:pPr>
      <w:r>
        <w:rPr>
          <w:b/>
          <w:spacing w:val="-3"/>
          <w:sz w:val="24"/>
        </w:rPr>
        <w:t>[Deleted] </w:t>
      </w:r>
      <w:r>
        <w:rPr>
          <w:sz w:val="24"/>
        </w:rPr>
        <w:t>(h1) </w:t>
      </w:r>
      <w:r>
        <w:rPr>
          <w:b/>
          <w:spacing w:val="-3"/>
          <w:sz w:val="24"/>
        </w:rPr>
        <w:t>[Deleted] </w:t>
      </w:r>
      <w:r>
        <w:rPr>
          <w:sz w:val="24"/>
        </w:rPr>
        <w:t>(h2) </w:t>
      </w:r>
      <w:r>
        <w:rPr>
          <w:b/>
          <w:spacing w:val="-3"/>
          <w:sz w:val="24"/>
        </w:rPr>
        <w:t>[Deleted] </w:t>
      </w:r>
      <w:r>
        <w:rPr>
          <w:sz w:val="24"/>
        </w:rPr>
        <w:t>(h3)</w:t>
      </w:r>
      <w:r>
        <w:rPr>
          <w:spacing w:val="55"/>
          <w:sz w:val="24"/>
        </w:rPr>
        <w:t> </w:t>
      </w:r>
      <w:r>
        <w:rPr>
          <w:b/>
          <w:spacing w:val="-3"/>
          <w:sz w:val="24"/>
        </w:rPr>
        <w:t>[Deleted]</w:t>
      </w:r>
    </w:p>
    <w:p>
      <w:pPr>
        <w:pStyle w:val="ListParagraph"/>
        <w:numPr>
          <w:ilvl w:val="3"/>
          <w:numId w:val="150"/>
        </w:numPr>
        <w:tabs>
          <w:tab w:pos="1919" w:val="left" w:leader="none"/>
        </w:tabs>
        <w:spacing w:line="240" w:lineRule="auto" w:before="6" w:after="0"/>
        <w:ind w:left="1919" w:right="414" w:hanging="567"/>
        <w:jc w:val="both"/>
        <w:rPr>
          <w:sz w:val="24"/>
        </w:rPr>
      </w:pPr>
      <w:r>
        <w:rPr>
          <w:sz w:val="24"/>
        </w:rPr>
        <w:t>This Chapter is neither intended to require, nor is it to be read or construed as having the effect of requiring, a </w:t>
      </w:r>
      <w:r>
        <w:rPr>
          <w:i/>
          <w:sz w:val="24"/>
        </w:rPr>
        <w:t>Network Service Provider </w:t>
      </w:r>
      <w:r>
        <w:rPr>
          <w:sz w:val="24"/>
        </w:rPr>
        <w:t>to permit </w:t>
      </w:r>
      <w:r>
        <w:rPr>
          <w:i/>
          <w:sz w:val="24"/>
        </w:rPr>
        <w:t>connection </w:t>
      </w:r>
      <w:r>
        <w:rPr>
          <w:sz w:val="24"/>
        </w:rPr>
        <w:t>to or to </w:t>
      </w:r>
      <w:r>
        <w:rPr>
          <w:i/>
          <w:sz w:val="24"/>
        </w:rPr>
        <w:t>augment </w:t>
      </w:r>
      <w:r>
        <w:rPr>
          <w:sz w:val="24"/>
        </w:rPr>
        <w:t>any part of its </w:t>
      </w:r>
      <w:r>
        <w:rPr>
          <w:i/>
          <w:sz w:val="24"/>
        </w:rPr>
        <w:t>network </w:t>
      </w:r>
      <w:r>
        <w:rPr>
          <w:sz w:val="24"/>
        </w:rPr>
        <w:t>which is solely used for the provision of </w:t>
      </w:r>
      <w:r>
        <w:rPr>
          <w:i/>
          <w:sz w:val="24"/>
        </w:rPr>
        <w:t>market network</w:t>
      </w:r>
      <w:r>
        <w:rPr>
          <w:i/>
          <w:spacing w:val="-3"/>
          <w:sz w:val="24"/>
        </w:rPr>
        <w:t> </w:t>
      </w:r>
      <w:r>
        <w:rPr>
          <w:i/>
          <w:sz w:val="24"/>
        </w:rPr>
        <w:t>services</w:t>
      </w:r>
      <w:r>
        <w:rPr>
          <w:sz w:val="24"/>
        </w:rPr>
        <w:t>.</w:t>
      </w:r>
    </w:p>
    <w:p>
      <w:pPr>
        <w:pStyle w:val="ListParagraph"/>
        <w:numPr>
          <w:ilvl w:val="3"/>
          <w:numId w:val="150"/>
        </w:numPr>
        <w:tabs>
          <w:tab w:pos="1919" w:val="left" w:leader="none"/>
        </w:tabs>
        <w:spacing w:line="240" w:lineRule="auto" w:before="120" w:after="0"/>
        <w:ind w:left="1919" w:right="416" w:hanging="567"/>
        <w:jc w:val="both"/>
        <w:rPr>
          <w:sz w:val="24"/>
        </w:rPr>
      </w:pPr>
      <w:r>
        <w:rPr>
          <w:sz w:val="24"/>
        </w:rPr>
        <w:t>If in NTESMO’s reasonable opinion, there is a risk a Network Service Provider’s plant or equipment</w:t>
      </w:r>
      <w:r>
        <w:rPr>
          <w:spacing w:val="-3"/>
          <w:sz w:val="24"/>
        </w:rPr>
        <w:t> </w:t>
      </w:r>
      <w:r>
        <w:rPr>
          <w:sz w:val="24"/>
        </w:rPr>
        <w:t>will:</w:t>
      </w:r>
    </w:p>
    <w:p>
      <w:pPr>
        <w:spacing w:after="0" w:line="240" w:lineRule="auto"/>
        <w:jc w:val="both"/>
        <w:rPr>
          <w:sz w:val="24"/>
        </w:rPr>
        <w:sectPr>
          <w:pgSz w:w="11910" w:h="16840"/>
          <w:pgMar w:header="686" w:footer="637" w:top="1320" w:bottom="820" w:left="1200" w:right="1000"/>
        </w:sectPr>
      </w:pPr>
    </w:p>
    <w:p>
      <w:pPr>
        <w:pStyle w:val="ListParagraph"/>
        <w:numPr>
          <w:ilvl w:val="4"/>
          <w:numId w:val="150"/>
        </w:numPr>
        <w:tabs>
          <w:tab w:pos="2486" w:val="left" w:leader="none"/>
        </w:tabs>
        <w:spacing w:line="240" w:lineRule="auto" w:before="83" w:after="0"/>
        <w:ind w:left="2486" w:right="415" w:hanging="567"/>
        <w:jc w:val="both"/>
        <w:rPr>
          <w:sz w:val="24"/>
        </w:rPr>
      </w:pPr>
      <w:r>
        <w:rPr>
          <w:sz w:val="24"/>
        </w:rPr>
        <w:t>adversely affect network capability, power system security, quality or reliability of supply, inter-regional power transfer capability;</w:t>
      </w:r>
      <w:r>
        <w:rPr>
          <w:spacing w:val="-5"/>
          <w:sz w:val="24"/>
        </w:rPr>
        <w:t> </w:t>
      </w:r>
      <w:r>
        <w:rPr>
          <w:sz w:val="24"/>
        </w:rPr>
        <w:t>or</w:t>
      </w:r>
    </w:p>
    <w:p>
      <w:pPr>
        <w:pStyle w:val="ListParagraph"/>
        <w:numPr>
          <w:ilvl w:val="4"/>
          <w:numId w:val="150"/>
        </w:numPr>
        <w:tabs>
          <w:tab w:pos="2486" w:val="left" w:leader="none"/>
        </w:tabs>
        <w:spacing w:line="240" w:lineRule="auto" w:before="120" w:after="0"/>
        <w:ind w:left="2485" w:right="0" w:hanging="567"/>
        <w:jc w:val="both"/>
        <w:rPr>
          <w:sz w:val="24"/>
        </w:rPr>
      </w:pPr>
      <w:r>
        <w:rPr>
          <w:sz w:val="24"/>
        </w:rPr>
        <w:t>adversely affect the use of a network by a Network</w:t>
      </w:r>
      <w:r>
        <w:rPr>
          <w:spacing w:val="-5"/>
          <w:sz w:val="24"/>
        </w:rPr>
        <w:t> </w:t>
      </w:r>
      <w:r>
        <w:rPr>
          <w:sz w:val="24"/>
        </w:rPr>
        <w:t>User,</w:t>
      </w:r>
    </w:p>
    <w:p>
      <w:pPr>
        <w:pStyle w:val="BodyText"/>
        <w:ind w:left="1919" w:right="416" w:firstLine="0"/>
      </w:pPr>
      <w:r>
        <w:rPr/>
        <w:t>NTESMO may request the Network Service Provider to provide information relating to the protection systems and the control systems of the equipment, and following such a request, the Network Service Provider must provide the information to NTESMO and any other relevant Network Service Provider(s).</w:t>
      </w:r>
    </w:p>
    <w:p>
      <w:pPr>
        <w:pStyle w:val="BodyText"/>
        <w:spacing w:before="0"/>
        <w:ind w:firstLine="0"/>
        <w:jc w:val="left"/>
        <w:rPr>
          <w:sz w:val="26"/>
        </w:rPr>
      </w:pPr>
    </w:p>
    <w:p>
      <w:pPr>
        <w:spacing w:before="217"/>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clause is classified as a civil penalty provision under the National Electricity (South Australia) Regulations. (See clause 6(1) and Schedule 1 of the National Electricity (South Australia)</w:t>
      </w:r>
      <w:r>
        <w:rPr>
          <w:spacing w:val="-2"/>
          <w:sz w:val="20"/>
        </w:rPr>
        <w:t> </w:t>
      </w:r>
      <w:r>
        <w:rPr>
          <w:sz w:val="20"/>
        </w:rPr>
        <w:t>Regulations.)</w:t>
      </w:r>
    </w:p>
    <w:p>
      <w:pPr>
        <w:spacing w:before="120"/>
        <w:ind w:left="1352" w:right="0" w:firstLine="0"/>
        <w:jc w:val="left"/>
        <w:rPr>
          <w:rFonts w:ascii="Arial"/>
          <w:b/>
          <w:sz w:val="20"/>
        </w:rPr>
      </w:pPr>
      <w:r>
        <w:rPr>
          <w:rFonts w:ascii="Arial"/>
          <w:b/>
          <w:sz w:val="20"/>
        </w:rPr>
        <w:t>Note</w:t>
      </w:r>
    </w:p>
    <w:p>
      <w:pPr>
        <w:spacing w:before="120"/>
        <w:ind w:left="1352" w:right="0" w:firstLine="0"/>
        <w:jc w:val="both"/>
        <w:rPr>
          <w:i/>
          <w:sz w:val="20"/>
        </w:rPr>
      </w:pPr>
      <w:r>
        <w:rPr>
          <w:sz w:val="20"/>
        </w:rPr>
        <w:t>The application of paragraph (j) will be revisited as part of the phased implementation of the </w:t>
      </w:r>
      <w:r>
        <w:rPr>
          <w:i/>
          <w:sz w:val="20"/>
        </w:rPr>
        <w:t>Rules</w:t>
      </w:r>
    </w:p>
    <w:p>
      <w:pPr>
        <w:spacing w:before="0"/>
        <w:ind w:left="1352" w:right="0" w:firstLine="0"/>
        <w:jc w:val="both"/>
        <w:rPr>
          <w:sz w:val="20"/>
        </w:rPr>
      </w:pPr>
      <w:r>
        <w:rPr>
          <w:sz w:val="20"/>
        </w:rPr>
        <w:t>in this jurisdiction.</w:t>
      </w:r>
    </w:p>
    <w:p>
      <w:pPr>
        <w:pStyle w:val="ListParagraph"/>
        <w:numPr>
          <w:ilvl w:val="3"/>
          <w:numId w:val="150"/>
        </w:numPr>
        <w:tabs>
          <w:tab w:pos="1919" w:val="left" w:leader="none"/>
        </w:tabs>
        <w:spacing w:line="240" w:lineRule="auto" w:before="120" w:after="0"/>
        <w:ind w:left="1919" w:right="414" w:hanging="567"/>
        <w:jc w:val="both"/>
        <w:rPr>
          <w:sz w:val="24"/>
        </w:rPr>
      </w:pPr>
      <w:r>
        <w:rPr>
          <w:sz w:val="24"/>
        </w:rPr>
        <w:t>If in </w:t>
      </w:r>
      <w:r>
        <w:rPr>
          <w:i/>
          <w:sz w:val="24"/>
        </w:rPr>
        <w:t>AEMO</w:t>
      </w:r>
      <w:r>
        <w:rPr>
          <w:sz w:val="24"/>
        </w:rPr>
        <w:t>'s reasonable opinion, information of the type described  in clause 4.3.4(o) is required to enable a </w:t>
      </w:r>
      <w:r>
        <w:rPr>
          <w:i/>
          <w:sz w:val="24"/>
        </w:rPr>
        <w:t>Network Service Provider </w:t>
      </w:r>
      <w:r>
        <w:rPr>
          <w:sz w:val="24"/>
        </w:rPr>
        <w:t>to conduct the assessment required by clause 5.3.4B, </w:t>
      </w:r>
      <w:r>
        <w:rPr>
          <w:i/>
          <w:sz w:val="24"/>
        </w:rPr>
        <w:t>AEMO </w:t>
      </w:r>
      <w:r>
        <w:rPr>
          <w:sz w:val="24"/>
        </w:rPr>
        <w:t>may request any other relevant </w:t>
      </w:r>
      <w:r>
        <w:rPr>
          <w:i/>
          <w:sz w:val="24"/>
        </w:rPr>
        <w:t>Network Service Provider </w:t>
      </w:r>
      <w:r>
        <w:rPr>
          <w:sz w:val="24"/>
        </w:rPr>
        <w:t>to provide the information,  and following such a request, that </w:t>
      </w:r>
      <w:r>
        <w:rPr>
          <w:i/>
          <w:sz w:val="24"/>
        </w:rPr>
        <w:t>Network Service Provider </w:t>
      </w:r>
      <w:r>
        <w:rPr>
          <w:sz w:val="24"/>
        </w:rPr>
        <w:t>must provide the information to </w:t>
      </w:r>
      <w:r>
        <w:rPr>
          <w:i/>
          <w:sz w:val="24"/>
        </w:rPr>
        <w:t>AEMO </w:t>
      </w:r>
      <w:r>
        <w:rPr>
          <w:sz w:val="24"/>
        </w:rPr>
        <w:t>and the other relevant </w:t>
      </w:r>
      <w:r>
        <w:rPr>
          <w:i/>
          <w:sz w:val="24"/>
        </w:rPr>
        <w:t>Network Service</w:t>
      </w:r>
      <w:r>
        <w:rPr>
          <w:i/>
          <w:spacing w:val="-3"/>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0"/>
        </w:numPr>
        <w:tabs>
          <w:tab w:pos="1919" w:val="left" w:leader="none"/>
        </w:tabs>
        <w:spacing w:line="240" w:lineRule="auto" w:before="120" w:after="0"/>
        <w:ind w:left="1919" w:right="415" w:hanging="567"/>
        <w:jc w:val="both"/>
        <w:rPr>
          <w:sz w:val="24"/>
        </w:rPr>
      </w:pPr>
      <w:r>
        <w:rPr>
          <w:sz w:val="24"/>
        </w:rPr>
        <w:t>All information provided to </w:t>
      </w:r>
      <w:r>
        <w:rPr>
          <w:i/>
          <w:sz w:val="24"/>
        </w:rPr>
        <w:t>NTESMO </w:t>
      </w:r>
      <w:r>
        <w:rPr>
          <w:sz w:val="24"/>
        </w:rPr>
        <w:t>and the relevant </w:t>
      </w:r>
      <w:r>
        <w:rPr>
          <w:i/>
          <w:sz w:val="24"/>
        </w:rPr>
        <w:t>Network Service </w:t>
      </w:r>
      <w:r>
        <w:rPr>
          <w:i/>
          <w:sz w:val="24"/>
        </w:rPr>
        <w:t>Provider</w:t>
      </w:r>
      <w:r>
        <w:rPr>
          <w:sz w:val="24"/>
        </w:rPr>
        <w:t>(s) under paragraph (j) must be treated as </w:t>
      </w:r>
      <w:r>
        <w:rPr>
          <w:i/>
          <w:sz w:val="24"/>
        </w:rPr>
        <w:t>confidential information </w:t>
      </w:r>
      <w:r>
        <w:rPr>
          <w:sz w:val="24"/>
        </w:rPr>
        <w:t>by those</w:t>
      </w:r>
      <w:r>
        <w:rPr>
          <w:spacing w:val="-1"/>
          <w:sz w:val="24"/>
        </w:rPr>
        <w:t> </w:t>
      </w:r>
      <w:r>
        <w:rPr>
          <w:sz w:val="24"/>
        </w:rPr>
        <w:t>recipients.</w:t>
      </w:r>
    </w:p>
    <w:p>
      <w:pPr>
        <w:pStyle w:val="BodyText"/>
        <w:spacing w:before="10"/>
        <w:ind w:firstLine="0"/>
        <w:jc w:val="left"/>
        <w:rPr>
          <w:sz w:val="20"/>
        </w:rPr>
      </w:pPr>
    </w:p>
    <w:p>
      <w:pPr>
        <w:pStyle w:val="Heading4"/>
        <w:numPr>
          <w:ilvl w:val="2"/>
          <w:numId w:val="151"/>
        </w:numPr>
        <w:tabs>
          <w:tab w:pos="753" w:val="left" w:leader="none"/>
          <w:tab w:pos="1351" w:val="left" w:leader="none"/>
        </w:tabs>
        <w:spacing w:line="240" w:lineRule="auto" w:before="0" w:after="0"/>
        <w:ind w:left="752" w:right="0" w:hanging="535"/>
        <w:jc w:val="left"/>
      </w:pPr>
      <w:bookmarkStart w:name="5.2.3A Obligations of Market Network Ser" w:id="367"/>
      <w:bookmarkEnd w:id="367"/>
      <w:r>
        <w:rPr>
          <w:b w:val="0"/>
        </w:rPr>
      </w:r>
      <w:bookmarkStart w:name="_bookmark160" w:id="368"/>
      <w:bookmarkEnd w:id="368"/>
      <w:r>
        <w:rPr>
          <w:b w:val="0"/>
        </w:rPr>
      </w:r>
      <w:bookmarkStart w:name="_bookmark160" w:id="369"/>
      <w:bookmarkEnd w:id="369"/>
      <w:r>
        <w:rPr/>
        <w:t>A</w:t>
      </w:r>
      <w:r>
        <w:rPr/>
        <w:tab/>
        <w:t>Obligations of Market Network Service</w:t>
      </w:r>
      <w:r>
        <w:rPr>
          <w:spacing w:val="-4"/>
        </w:rPr>
        <w:t> </w:t>
      </w:r>
      <w:r>
        <w:rPr/>
        <w:t>Providers</w:t>
      </w:r>
    </w:p>
    <w:p>
      <w:pPr>
        <w:pStyle w:val="ListParagraph"/>
        <w:numPr>
          <w:ilvl w:val="3"/>
          <w:numId w:val="151"/>
        </w:numPr>
        <w:tabs>
          <w:tab w:pos="1918" w:val="left" w:leader="none"/>
          <w:tab w:pos="1919" w:val="left" w:leader="none"/>
        </w:tabs>
        <w:spacing w:line="240" w:lineRule="auto" w:before="120" w:after="0"/>
        <w:ind w:left="1919" w:right="416" w:hanging="567"/>
        <w:jc w:val="left"/>
        <w:rPr>
          <w:sz w:val="24"/>
        </w:rPr>
      </w:pPr>
      <w:r>
        <w:rPr>
          <w:sz w:val="24"/>
        </w:rPr>
        <w:t>If in </w:t>
      </w:r>
      <w:r>
        <w:rPr>
          <w:i/>
          <w:sz w:val="24"/>
        </w:rPr>
        <w:t>AEMO</w:t>
      </w:r>
      <w:r>
        <w:rPr>
          <w:sz w:val="24"/>
        </w:rPr>
        <w:t>'s reasonable opinion, there is a risk a </w:t>
      </w:r>
      <w:r>
        <w:rPr>
          <w:i/>
          <w:sz w:val="24"/>
        </w:rPr>
        <w:t>Market Network Service </w:t>
      </w:r>
      <w:r>
        <w:rPr>
          <w:i/>
          <w:sz w:val="24"/>
        </w:rPr>
        <w:t>Provider</w:t>
      </w:r>
      <w:r>
        <w:rPr>
          <w:sz w:val="24"/>
        </w:rPr>
        <w:t>'s </w:t>
      </w:r>
      <w:r>
        <w:rPr>
          <w:i/>
          <w:sz w:val="24"/>
        </w:rPr>
        <w:t>plant </w:t>
      </w:r>
      <w:r>
        <w:rPr>
          <w:sz w:val="24"/>
        </w:rPr>
        <w:t>or equipment</w:t>
      </w:r>
      <w:r>
        <w:rPr>
          <w:spacing w:val="-2"/>
          <w:sz w:val="24"/>
        </w:rPr>
        <w:t> </w:t>
      </w:r>
      <w:r>
        <w:rPr>
          <w:sz w:val="24"/>
        </w:rPr>
        <w:t>will:</w:t>
      </w:r>
    </w:p>
    <w:p>
      <w:pPr>
        <w:pStyle w:val="ListParagraph"/>
        <w:numPr>
          <w:ilvl w:val="4"/>
          <w:numId w:val="151"/>
        </w:numPr>
        <w:tabs>
          <w:tab w:pos="2485" w:val="left" w:leader="none"/>
          <w:tab w:pos="2486" w:val="left" w:leader="none"/>
        </w:tabs>
        <w:spacing w:line="240" w:lineRule="auto" w:before="120" w:after="0"/>
        <w:ind w:left="2486" w:right="416" w:hanging="567"/>
        <w:jc w:val="left"/>
        <w:rPr>
          <w:sz w:val="24"/>
        </w:rPr>
      </w:pPr>
      <w:r>
        <w:rPr>
          <w:sz w:val="24"/>
        </w:rPr>
        <w:t>adversely affect </w:t>
      </w:r>
      <w:r>
        <w:rPr>
          <w:i/>
          <w:sz w:val="24"/>
        </w:rPr>
        <w:t>network capability</w:t>
      </w:r>
      <w:r>
        <w:rPr>
          <w:sz w:val="24"/>
        </w:rPr>
        <w:t>, </w:t>
      </w:r>
      <w:r>
        <w:rPr>
          <w:i/>
          <w:sz w:val="24"/>
        </w:rPr>
        <w:t>power system security</w:t>
      </w:r>
      <w:r>
        <w:rPr>
          <w:sz w:val="24"/>
        </w:rPr>
        <w:t>, quality or reliability of </w:t>
      </w:r>
      <w:r>
        <w:rPr>
          <w:i/>
          <w:sz w:val="24"/>
        </w:rPr>
        <w:t>supply</w:t>
      </w:r>
      <w:r>
        <w:rPr>
          <w:sz w:val="24"/>
        </w:rPr>
        <w:t>, </w:t>
      </w:r>
      <w:r>
        <w:rPr>
          <w:i/>
          <w:sz w:val="24"/>
        </w:rPr>
        <w:t>inter-regional power transfer</w:t>
      </w:r>
      <w:r>
        <w:rPr>
          <w:i/>
          <w:spacing w:val="-3"/>
          <w:sz w:val="24"/>
        </w:rPr>
        <w:t> </w:t>
      </w:r>
      <w:r>
        <w:rPr>
          <w:i/>
          <w:sz w:val="24"/>
        </w:rPr>
        <w:t>capability</w:t>
      </w:r>
      <w:r>
        <w:rPr>
          <w:sz w:val="24"/>
        </w:rPr>
        <w:t>;</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adversely affect the use of a </w:t>
      </w:r>
      <w:r>
        <w:rPr>
          <w:i/>
          <w:sz w:val="24"/>
        </w:rPr>
        <w:t>network </w:t>
      </w:r>
      <w:r>
        <w:rPr>
          <w:sz w:val="24"/>
        </w:rPr>
        <w:t>by a </w:t>
      </w:r>
      <w:r>
        <w:rPr>
          <w:i/>
          <w:sz w:val="24"/>
        </w:rPr>
        <w:t>Network User</w:t>
      </w:r>
      <w:r>
        <w:rPr>
          <w:sz w:val="24"/>
        </w:rPr>
        <w:t>;</w:t>
      </w:r>
      <w:r>
        <w:rPr>
          <w:spacing w:val="-4"/>
          <w:sz w:val="24"/>
        </w:rPr>
        <w:t> </w:t>
      </w:r>
      <w:r>
        <w:rPr>
          <w:sz w:val="24"/>
        </w:rPr>
        <w:t>or</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have an </w:t>
      </w:r>
      <w:r>
        <w:rPr>
          <w:i/>
          <w:sz w:val="24"/>
        </w:rPr>
        <w:t>adverse system strength</w:t>
      </w:r>
      <w:r>
        <w:rPr>
          <w:i/>
          <w:spacing w:val="-4"/>
          <w:sz w:val="24"/>
        </w:rPr>
        <w:t> </w:t>
      </w:r>
      <w:r>
        <w:rPr>
          <w:i/>
          <w:sz w:val="24"/>
        </w:rPr>
        <w:t>impact</w:t>
      </w:r>
      <w:r>
        <w:rPr>
          <w:sz w:val="24"/>
        </w:rPr>
        <w:t>,</w:t>
      </w:r>
    </w:p>
    <w:p>
      <w:pPr>
        <w:spacing w:before="120"/>
        <w:ind w:left="1919" w:right="415" w:firstLine="0"/>
        <w:jc w:val="both"/>
        <w:rPr>
          <w:sz w:val="24"/>
        </w:rPr>
      </w:pPr>
      <w:r>
        <w:rPr>
          <w:i/>
          <w:sz w:val="24"/>
        </w:rPr>
        <w:t>AEMO </w:t>
      </w:r>
      <w:r>
        <w:rPr>
          <w:sz w:val="24"/>
        </w:rPr>
        <w:t>may request the </w:t>
      </w:r>
      <w:r>
        <w:rPr>
          <w:i/>
          <w:sz w:val="24"/>
        </w:rPr>
        <w:t>Market Network Service Provider </w:t>
      </w:r>
      <w:r>
        <w:rPr>
          <w:sz w:val="24"/>
        </w:rPr>
        <w:t>to provide information of the type described in clause S5.3a.1(a1), and following such a request, the </w:t>
      </w:r>
      <w:r>
        <w:rPr>
          <w:i/>
          <w:sz w:val="24"/>
        </w:rPr>
        <w:t>Market Network Service Provider </w:t>
      </w:r>
      <w:r>
        <w:rPr>
          <w:sz w:val="24"/>
        </w:rPr>
        <w:t>must provide the information to </w:t>
      </w:r>
      <w:r>
        <w:rPr>
          <w:i/>
          <w:sz w:val="24"/>
        </w:rPr>
        <w:t>AEMO </w:t>
      </w:r>
      <w:r>
        <w:rPr>
          <w:sz w:val="24"/>
        </w:rPr>
        <w:t>and the relevant </w:t>
      </w:r>
      <w:r>
        <w:rPr>
          <w:i/>
          <w:sz w:val="24"/>
        </w:rPr>
        <w:t>Network Service Provider</w:t>
      </w:r>
      <w:r>
        <w:rPr>
          <w:sz w:val="24"/>
        </w:rPr>
        <w:t>(s) in accordance with the requirements and circumstances specified in the </w:t>
      </w:r>
      <w:r>
        <w:rPr>
          <w:i/>
          <w:sz w:val="24"/>
        </w:rPr>
        <w:t>Power </w:t>
      </w:r>
      <w:r>
        <w:rPr>
          <w:i/>
          <w:sz w:val="24"/>
        </w:rPr>
        <w:t>System Model Guidelines</w:t>
      </w:r>
      <w:r>
        <w:rPr>
          <w:sz w:val="24"/>
        </w:rPr>
        <w:t>, the </w:t>
      </w:r>
      <w:r>
        <w:rPr>
          <w:i/>
          <w:sz w:val="24"/>
        </w:rPr>
        <w:t>Power System Design Data Sheet </w:t>
      </w:r>
      <w:r>
        <w:rPr>
          <w:sz w:val="24"/>
        </w:rPr>
        <w:t>and the </w:t>
      </w:r>
      <w:r>
        <w:rPr>
          <w:i/>
          <w:sz w:val="24"/>
        </w:rPr>
        <w:t>Power System Setting Data</w:t>
      </w:r>
      <w:r>
        <w:rPr>
          <w:i/>
          <w:spacing w:val="-2"/>
          <w:sz w:val="24"/>
        </w:rPr>
        <w:t> </w:t>
      </w:r>
      <w:r>
        <w:rPr>
          <w:i/>
          <w:sz w:val="24"/>
        </w:rPr>
        <w:t>Sheet</w:t>
      </w:r>
      <w:r>
        <w:rPr>
          <w:sz w:val="24"/>
        </w:rPr>
        <w:t>.</w:t>
      </w:r>
    </w:p>
    <w:p>
      <w:pPr>
        <w:spacing w:after="0"/>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9" w:right="414" w:hanging="567"/>
        <w:jc w:val="both"/>
        <w:rPr>
          <w:sz w:val="24"/>
        </w:rPr>
      </w:pPr>
      <w:r>
        <w:rPr>
          <w:sz w:val="24"/>
        </w:rPr>
        <w:t>If in </w:t>
      </w:r>
      <w:r>
        <w:rPr>
          <w:i/>
          <w:sz w:val="24"/>
        </w:rPr>
        <w:t>AEMO</w:t>
      </w:r>
      <w:r>
        <w:rPr>
          <w:sz w:val="24"/>
        </w:rPr>
        <w:t>'s reasonable opinion, information of the type described  in clause S5.3a.1(a1) is required to enable a </w:t>
      </w:r>
      <w:r>
        <w:rPr>
          <w:i/>
          <w:sz w:val="24"/>
        </w:rPr>
        <w:t>Network Service Provider </w:t>
      </w:r>
      <w:r>
        <w:rPr>
          <w:sz w:val="24"/>
        </w:rPr>
        <w:t>to conduct the assessment required by clause 5.3.4B, </w:t>
      </w:r>
      <w:r>
        <w:rPr>
          <w:i/>
          <w:sz w:val="24"/>
        </w:rPr>
        <w:t>AEMO </w:t>
      </w:r>
      <w:r>
        <w:rPr>
          <w:sz w:val="24"/>
        </w:rPr>
        <w:t>may request a </w:t>
      </w:r>
      <w:r>
        <w:rPr>
          <w:i/>
          <w:sz w:val="24"/>
        </w:rPr>
        <w:t>Market Network Service Provider </w:t>
      </w:r>
      <w:r>
        <w:rPr>
          <w:sz w:val="24"/>
        </w:rPr>
        <w:t>to provide the information, and following such a request, the </w:t>
      </w:r>
      <w:r>
        <w:rPr>
          <w:i/>
          <w:sz w:val="24"/>
        </w:rPr>
        <w:t>Market Network Service Provider </w:t>
      </w:r>
      <w:r>
        <w:rPr>
          <w:sz w:val="24"/>
        </w:rPr>
        <w:t>must provide the information to </w:t>
      </w:r>
      <w:r>
        <w:rPr>
          <w:i/>
          <w:sz w:val="24"/>
        </w:rPr>
        <w:t>AEMO </w:t>
      </w:r>
      <w:r>
        <w:rPr>
          <w:sz w:val="24"/>
        </w:rPr>
        <w:t>and the relevant </w:t>
      </w:r>
      <w:r>
        <w:rPr>
          <w:i/>
          <w:sz w:val="24"/>
        </w:rPr>
        <w:t>Network Service</w:t>
      </w:r>
      <w:r>
        <w:rPr>
          <w:i/>
          <w:spacing w:val="-2"/>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9" w:right="415" w:hanging="567"/>
        <w:jc w:val="both"/>
        <w:rPr>
          <w:sz w:val="24"/>
        </w:rPr>
      </w:pPr>
      <w:r>
        <w:rPr>
          <w:sz w:val="24"/>
        </w:rPr>
        <w:t>All information provided to </w:t>
      </w:r>
      <w:r>
        <w:rPr>
          <w:i/>
          <w:sz w:val="24"/>
        </w:rPr>
        <w:t>AEMO </w:t>
      </w:r>
      <w:r>
        <w:rPr>
          <w:sz w:val="24"/>
        </w:rPr>
        <w:t>and the relevant </w:t>
      </w:r>
      <w:r>
        <w:rPr>
          <w:i/>
          <w:sz w:val="24"/>
        </w:rPr>
        <w:t>Network Service </w:t>
      </w:r>
      <w:r>
        <w:rPr>
          <w:i/>
          <w:sz w:val="24"/>
        </w:rPr>
        <w:t>Provider</w:t>
      </w:r>
      <w:r>
        <w:rPr>
          <w:sz w:val="24"/>
        </w:rPr>
        <w:t>(s) under paragraphs (a) and (b) must be treated as </w:t>
      </w:r>
      <w:r>
        <w:rPr>
          <w:i/>
          <w:sz w:val="24"/>
        </w:rPr>
        <w:t>confidential </w:t>
      </w:r>
      <w:r>
        <w:rPr>
          <w:i/>
          <w:sz w:val="24"/>
        </w:rPr>
        <w:t>information </w:t>
      </w:r>
      <w:r>
        <w:rPr>
          <w:sz w:val="24"/>
        </w:rPr>
        <w:t>by those</w:t>
      </w:r>
      <w:r>
        <w:rPr>
          <w:spacing w:val="-1"/>
          <w:sz w:val="24"/>
        </w:rPr>
        <w:t> </w:t>
      </w:r>
      <w:r>
        <w:rPr>
          <w:sz w:val="24"/>
        </w:rPr>
        <w:t>recipients.</w:t>
      </w:r>
    </w:p>
    <w:p>
      <w:pPr>
        <w:pStyle w:val="BodyText"/>
        <w:spacing w:before="10"/>
        <w:ind w:firstLine="0"/>
        <w:jc w:val="left"/>
        <w:rPr>
          <w:sz w:val="20"/>
        </w:rPr>
      </w:pPr>
    </w:p>
    <w:p>
      <w:pPr>
        <w:pStyle w:val="Heading4"/>
        <w:numPr>
          <w:ilvl w:val="2"/>
          <w:numId w:val="151"/>
        </w:numPr>
        <w:tabs>
          <w:tab w:pos="1351" w:val="left" w:leader="none"/>
          <w:tab w:pos="1352" w:val="left" w:leader="none"/>
        </w:tabs>
        <w:spacing w:line="240" w:lineRule="auto" w:before="0" w:after="0"/>
        <w:ind w:left="1351" w:right="0" w:hanging="1134"/>
        <w:jc w:val="left"/>
      </w:pPr>
      <w:bookmarkStart w:name="5.2.4 Obligations of customers" w:id="370"/>
      <w:bookmarkEnd w:id="370"/>
      <w:r>
        <w:rPr>
          <w:b w:val="0"/>
        </w:rPr>
      </w:r>
      <w:bookmarkStart w:name="_bookmark161" w:id="371"/>
      <w:bookmarkEnd w:id="371"/>
      <w:r>
        <w:rPr>
          <w:b w:val="0"/>
        </w:rPr>
      </w:r>
      <w:bookmarkStart w:name="_bookmark161" w:id="372"/>
      <w:bookmarkEnd w:id="372"/>
      <w:r>
        <w:rPr/>
        <w:t>Obl</w:t>
      </w:r>
      <w:r>
        <w:rPr/>
        <w:t>igations of</w:t>
      </w:r>
      <w:r>
        <w:rPr>
          <w:spacing w:val="-1"/>
        </w:rPr>
        <w:t> </w:t>
      </w:r>
      <w:r>
        <w:rPr/>
        <w:t>customers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(d)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151"/>
        </w:numPr>
        <w:tabs>
          <w:tab w:pos="1919" w:val="left" w:leader="none"/>
        </w:tabs>
        <w:spacing w:line="240" w:lineRule="auto" w:before="120" w:after="0"/>
        <w:ind w:left="1918" w:right="0" w:hanging="567"/>
        <w:jc w:val="both"/>
        <w:rPr>
          <w:sz w:val="24"/>
        </w:rPr>
      </w:pPr>
      <w:r>
        <w:rPr>
          <w:sz w:val="24"/>
        </w:rPr>
        <w:t>Each</w:t>
      </w:r>
      <w:r>
        <w:rPr>
          <w:spacing w:val="14"/>
          <w:sz w:val="24"/>
        </w:rPr>
        <w:t> </w:t>
      </w:r>
      <w:r>
        <w:rPr>
          <w:i/>
          <w:sz w:val="24"/>
        </w:rPr>
        <w:t>Customer</w:t>
      </w:r>
      <w:r>
        <w:rPr>
          <w:i/>
          <w:spacing w:val="15"/>
          <w:sz w:val="24"/>
        </w:rPr>
        <w:t> </w:t>
      </w:r>
      <w:r>
        <w:rPr>
          <w:sz w:val="24"/>
        </w:rPr>
        <w:t>must</w:t>
      </w:r>
      <w:r>
        <w:rPr>
          <w:spacing w:val="15"/>
          <w:sz w:val="24"/>
        </w:rPr>
        <w:t> </w:t>
      </w:r>
      <w:r>
        <w:rPr>
          <w:sz w:val="24"/>
        </w:rPr>
        <w:t>plan</w:t>
      </w:r>
      <w:r>
        <w:rPr>
          <w:spacing w:val="14"/>
          <w:sz w:val="24"/>
        </w:rPr>
        <w:t> </w:t>
      </w:r>
      <w:r>
        <w:rPr>
          <w:sz w:val="24"/>
        </w:rPr>
        <w:t>and</w:t>
      </w:r>
      <w:r>
        <w:rPr>
          <w:spacing w:val="15"/>
          <w:sz w:val="24"/>
        </w:rPr>
        <w:t> </w:t>
      </w:r>
      <w:r>
        <w:rPr>
          <w:sz w:val="24"/>
        </w:rPr>
        <w:t>design</w:t>
      </w:r>
      <w:r>
        <w:rPr>
          <w:spacing w:val="15"/>
          <w:sz w:val="24"/>
        </w:rPr>
        <w:t> </w:t>
      </w:r>
      <w:r>
        <w:rPr>
          <w:sz w:val="24"/>
        </w:rPr>
        <w:t>its</w:t>
      </w:r>
      <w:r>
        <w:rPr>
          <w:spacing w:val="15"/>
          <w:sz w:val="24"/>
        </w:rPr>
        <w:t> </w:t>
      </w:r>
      <w:r>
        <w:rPr>
          <w:i/>
          <w:sz w:val="24"/>
        </w:rPr>
        <w:t>facilities</w:t>
      </w:r>
      <w:r>
        <w:rPr>
          <w:i/>
          <w:spacing w:val="14"/>
          <w:sz w:val="24"/>
        </w:rPr>
        <w:t> </w:t>
      </w:r>
      <w:r>
        <w:rPr>
          <w:sz w:val="24"/>
        </w:rPr>
        <w:t>and</w:t>
      </w:r>
      <w:r>
        <w:rPr>
          <w:spacing w:val="15"/>
          <w:sz w:val="24"/>
        </w:rPr>
        <w:t> </w:t>
      </w:r>
      <w:r>
        <w:rPr>
          <w:sz w:val="24"/>
        </w:rPr>
        <w:t>ensure</w:t>
      </w:r>
      <w:r>
        <w:rPr>
          <w:spacing w:val="15"/>
          <w:sz w:val="24"/>
        </w:rPr>
        <w:t> </w:t>
      </w:r>
      <w:r>
        <w:rPr>
          <w:sz w:val="24"/>
        </w:rPr>
        <w:t>that</w:t>
      </w:r>
      <w:r>
        <w:rPr>
          <w:spacing w:val="14"/>
          <w:sz w:val="24"/>
        </w:rPr>
        <w:t> </w:t>
      </w:r>
      <w:r>
        <w:rPr>
          <w:sz w:val="24"/>
        </w:rPr>
        <w:t>its</w:t>
      </w:r>
    </w:p>
    <w:p>
      <w:pPr>
        <w:spacing w:before="0"/>
        <w:ind w:left="1919" w:right="0" w:firstLine="0"/>
        <w:jc w:val="left"/>
        <w:rPr>
          <w:sz w:val="24"/>
        </w:rPr>
      </w:pPr>
      <w:r>
        <w:rPr>
          <w:i/>
          <w:sz w:val="24"/>
        </w:rPr>
        <w:t>facilities </w:t>
      </w:r>
      <w:r>
        <w:rPr>
          <w:sz w:val="24"/>
        </w:rPr>
        <w:t>are operated to comply with:</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its </w:t>
      </w:r>
      <w:r>
        <w:rPr>
          <w:i/>
          <w:sz w:val="24"/>
        </w:rPr>
        <w:t>connection agreement </w:t>
      </w:r>
      <w:r>
        <w:rPr>
          <w:sz w:val="24"/>
        </w:rPr>
        <w:t>with a </w:t>
      </w:r>
      <w:r>
        <w:rPr>
          <w:i/>
          <w:sz w:val="24"/>
        </w:rPr>
        <w:t>Network Service</w:t>
      </w:r>
      <w:r>
        <w:rPr>
          <w:i/>
          <w:spacing w:val="-3"/>
          <w:sz w:val="24"/>
        </w:rPr>
        <w:t> </w:t>
      </w:r>
      <w:r>
        <w:rPr>
          <w:i/>
          <w:sz w:val="24"/>
        </w:rPr>
        <w:t>Provider</w:t>
      </w:r>
      <w:r>
        <w:rPr>
          <w:sz w:val="24"/>
        </w:rPr>
        <w:t>;</w:t>
      </w:r>
    </w:p>
    <w:p>
      <w:pPr>
        <w:pStyle w:val="ListParagraph"/>
        <w:numPr>
          <w:ilvl w:val="4"/>
          <w:numId w:val="151"/>
        </w:numPr>
        <w:tabs>
          <w:tab w:pos="2485" w:val="left" w:leader="none"/>
          <w:tab w:pos="2486" w:val="left" w:leader="none"/>
        </w:tabs>
        <w:spacing w:line="240" w:lineRule="auto" w:before="120" w:after="0"/>
        <w:ind w:left="2486" w:right="415" w:hanging="567"/>
        <w:jc w:val="left"/>
        <w:rPr>
          <w:sz w:val="24"/>
        </w:rPr>
      </w:pPr>
      <w:r>
        <w:rPr>
          <w:sz w:val="24"/>
        </w:rPr>
        <w:t>subject to clause 5.2.4(a)(1), all applicable </w:t>
      </w:r>
      <w:r>
        <w:rPr>
          <w:i/>
          <w:sz w:val="24"/>
        </w:rPr>
        <w:t>performance standards</w:t>
      </w:r>
      <w:r>
        <w:rPr>
          <w:sz w:val="24"/>
        </w:rPr>
        <w:t>; and</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subject to clause 5.2.4(a)(2), the </w:t>
      </w:r>
      <w:r>
        <w:rPr>
          <w:i/>
          <w:sz w:val="24"/>
        </w:rPr>
        <w:t>system</w:t>
      </w:r>
      <w:r>
        <w:rPr>
          <w:i/>
          <w:spacing w:val="-5"/>
          <w:sz w:val="24"/>
        </w:rPr>
        <w:t> </w:t>
      </w:r>
      <w:r>
        <w:rPr>
          <w:i/>
          <w:sz w:val="24"/>
        </w:rPr>
        <w:t>standards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8" w:right="0" w:hanging="567"/>
        <w:jc w:val="both"/>
        <w:rPr>
          <w:sz w:val="24"/>
        </w:rPr>
      </w:pPr>
      <w:r>
        <w:rPr>
          <w:sz w:val="24"/>
        </w:rPr>
        <w:t>A </w:t>
      </w:r>
      <w:r>
        <w:rPr>
          <w:i/>
          <w:sz w:val="24"/>
        </w:rPr>
        <w:t>Customer </w:t>
      </w:r>
      <w:r>
        <w:rPr>
          <w:sz w:val="24"/>
        </w:rPr>
        <w:t>must:</w:t>
      </w:r>
    </w:p>
    <w:p>
      <w:pPr>
        <w:pStyle w:val="ListParagraph"/>
        <w:numPr>
          <w:ilvl w:val="4"/>
          <w:numId w:val="151"/>
        </w:numPr>
        <w:tabs>
          <w:tab w:pos="2486" w:val="left" w:leader="none"/>
        </w:tabs>
        <w:spacing w:line="240" w:lineRule="auto" w:before="120" w:after="0"/>
        <w:ind w:left="2486" w:right="414" w:hanging="567"/>
        <w:jc w:val="both"/>
        <w:rPr>
          <w:sz w:val="24"/>
        </w:rPr>
      </w:pPr>
      <w:r>
        <w:rPr>
          <w:sz w:val="24"/>
        </w:rPr>
        <w:t>submit an </w:t>
      </w:r>
      <w:r>
        <w:rPr>
          <w:i/>
          <w:sz w:val="24"/>
        </w:rPr>
        <w:t>application to connect </w:t>
      </w:r>
      <w:r>
        <w:rPr>
          <w:sz w:val="24"/>
        </w:rPr>
        <w:t>in respect of new or altered equipment owned, operated or controlled by the </w:t>
      </w:r>
      <w:r>
        <w:rPr>
          <w:i/>
          <w:sz w:val="24"/>
        </w:rPr>
        <w:t>Customer </w:t>
      </w:r>
      <w:r>
        <w:rPr>
          <w:sz w:val="24"/>
        </w:rPr>
        <w:t>and enter into a </w:t>
      </w:r>
      <w:r>
        <w:rPr>
          <w:i/>
          <w:sz w:val="24"/>
        </w:rPr>
        <w:t>connection agreement </w:t>
      </w:r>
      <w:r>
        <w:rPr>
          <w:sz w:val="24"/>
        </w:rPr>
        <w:t>with a </w:t>
      </w:r>
      <w:r>
        <w:rPr>
          <w:i/>
          <w:sz w:val="24"/>
        </w:rPr>
        <w:t>Network Service Provider </w:t>
      </w:r>
      <w:r>
        <w:rPr>
          <w:sz w:val="24"/>
        </w:rPr>
        <w:t>in accordance with rule 5.3 prior to that equipment being </w:t>
      </w:r>
      <w:r>
        <w:rPr>
          <w:i/>
          <w:sz w:val="24"/>
        </w:rPr>
        <w:t>connected </w:t>
      </w:r>
      <w:r>
        <w:rPr>
          <w:sz w:val="24"/>
        </w:rPr>
        <w:t>to the </w:t>
      </w:r>
      <w:r>
        <w:rPr>
          <w:i/>
          <w:sz w:val="24"/>
        </w:rPr>
        <w:t>network </w:t>
      </w:r>
      <w:r>
        <w:rPr>
          <w:sz w:val="24"/>
        </w:rPr>
        <w:t>of that </w:t>
      </w:r>
      <w:r>
        <w:rPr>
          <w:i/>
          <w:sz w:val="24"/>
        </w:rPr>
        <w:t>Network Service Provider </w:t>
      </w:r>
      <w:r>
        <w:rPr>
          <w:sz w:val="24"/>
        </w:rPr>
        <w:t>or altered (as the case may be);</w:t>
      </w:r>
    </w:p>
    <w:p>
      <w:pPr>
        <w:pStyle w:val="ListParagraph"/>
        <w:numPr>
          <w:ilvl w:val="4"/>
          <w:numId w:val="151"/>
        </w:numPr>
        <w:tabs>
          <w:tab w:pos="2486" w:val="left" w:leader="none"/>
        </w:tabs>
        <w:spacing w:line="240" w:lineRule="auto" w:before="120" w:after="0"/>
        <w:ind w:left="2486" w:right="415" w:hanging="567"/>
        <w:jc w:val="both"/>
        <w:rPr>
          <w:sz w:val="24"/>
        </w:rPr>
      </w:pPr>
      <w:r>
        <w:rPr>
          <w:sz w:val="24"/>
        </w:rPr>
        <w:t>comply with the reasonable requirements of the relevant </w:t>
      </w:r>
      <w:r>
        <w:rPr>
          <w:i/>
          <w:sz w:val="24"/>
        </w:rPr>
        <w:t>Network </w:t>
      </w:r>
      <w:r>
        <w:rPr>
          <w:i/>
          <w:sz w:val="24"/>
        </w:rPr>
        <w:t>Service Provider </w:t>
      </w:r>
      <w:r>
        <w:rPr>
          <w:sz w:val="24"/>
        </w:rPr>
        <w:t>in respect of design requirements of equipment proposed to be </w:t>
      </w:r>
      <w:r>
        <w:rPr>
          <w:i/>
          <w:sz w:val="24"/>
        </w:rPr>
        <w:t>connected </w:t>
      </w:r>
      <w:r>
        <w:rPr>
          <w:sz w:val="24"/>
        </w:rPr>
        <w:t>to the </w:t>
      </w:r>
      <w:r>
        <w:rPr>
          <w:i/>
          <w:sz w:val="24"/>
        </w:rPr>
        <w:t>network </w:t>
      </w:r>
      <w:r>
        <w:rPr>
          <w:sz w:val="24"/>
        </w:rPr>
        <w:t>of that </w:t>
      </w:r>
      <w:r>
        <w:rPr>
          <w:i/>
          <w:sz w:val="24"/>
        </w:rPr>
        <w:t>Network Service </w:t>
      </w:r>
      <w:r>
        <w:rPr>
          <w:i/>
          <w:sz w:val="24"/>
        </w:rPr>
        <w:t>Provider </w:t>
      </w:r>
      <w:r>
        <w:rPr>
          <w:sz w:val="24"/>
        </w:rPr>
        <w:t>in accordance with rule 5.6 and any relevant </w:t>
      </w:r>
      <w:r>
        <w:rPr>
          <w:spacing w:val="-3"/>
          <w:sz w:val="24"/>
        </w:rPr>
        <w:t>technical </w:t>
      </w:r>
      <w:r>
        <w:rPr>
          <w:sz w:val="24"/>
        </w:rPr>
        <w:t>requirements in </w:t>
      </w:r>
      <w:r>
        <w:rPr>
          <w:i/>
          <w:sz w:val="24"/>
        </w:rPr>
        <w:t>jurisdictional electricity</w:t>
      </w:r>
      <w:r>
        <w:rPr>
          <w:i/>
          <w:spacing w:val="-1"/>
          <w:sz w:val="24"/>
        </w:rPr>
        <w:t> </w:t>
      </w:r>
      <w:r>
        <w:rPr>
          <w:i/>
          <w:sz w:val="24"/>
        </w:rPr>
        <w:t>legislation</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151"/>
        </w:numPr>
        <w:tabs>
          <w:tab w:pos="2486" w:val="left" w:leader="none"/>
        </w:tabs>
        <w:spacing w:line="240" w:lineRule="auto" w:before="83" w:after="0"/>
        <w:ind w:left="2486" w:right="415" w:hanging="567"/>
        <w:jc w:val="both"/>
        <w:rPr>
          <w:sz w:val="24"/>
        </w:rPr>
      </w:pPr>
      <w:r>
        <w:rPr>
          <w:sz w:val="24"/>
        </w:rPr>
        <w:t>provide </w:t>
      </w:r>
      <w:r>
        <w:rPr>
          <w:i/>
          <w:sz w:val="24"/>
        </w:rPr>
        <w:t>load </w:t>
      </w:r>
      <w:r>
        <w:rPr>
          <w:sz w:val="24"/>
        </w:rPr>
        <w:t>forecast information to the relevant </w:t>
      </w:r>
      <w:r>
        <w:rPr>
          <w:i/>
          <w:sz w:val="24"/>
        </w:rPr>
        <w:t>Network </w:t>
      </w:r>
      <w:r>
        <w:rPr>
          <w:i/>
          <w:spacing w:val="-3"/>
          <w:sz w:val="24"/>
        </w:rPr>
        <w:t>Service </w:t>
      </w:r>
      <w:r>
        <w:rPr>
          <w:i/>
          <w:sz w:val="24"/>
        </w:rPr>
        <w:t>Provider </w:t>
      </w:r>
      <w:r>
        <w:rPr>
          <w:sz w:val="24"/>
        </w:rPr>
        <w:t>in accordance with Part B of Chapter</w:t>
      </w:r>
      <w:r>
        <w:rPr>
          <w:spacing w:val="-2"/>
          <w:sz w:val="24"/>
        </w:rPr>
        <w:t> </w:t>
      </w:r>
      <w:r>
        <w:rPr>
          <w:sz w:val="24"/>
        </w:rPr>
        <w:t>5;</w:t>
      </w:r>
    </w:p>
    <w:p>
      <w:pPr>
        <w:pStyle w:val="ListParagraph"/>
        <w:numPr>
          <w:ilvl w:val="4"/>
          <w:numId w:val="151"/>
        </w:numPr>
        <w:tabs>
          <w:tab w:pos="2486" w:val="left" w:leader="none"/>
        </w:tabs>
        <w:spacing w:line="240" w:lineRule="auto" w:before="120" w:after="0"/>
        <w:ind w:left="2486" w:right="415" w:hanging="567"/>
        <w:jc w:val="both"/>
        <w:rPr>
          <w:sz w:val="24"/>
        </w:rPr>
      </w:pPr>
      <w:r>
        <w:rPr>
          <w:sz w:val="24"/>
        </w:rPr>
        <w:t>permit and participate in inspection and testing of </w:t>
      </w:r>
      <w:r>
        <w:rPr>
          <w:i/>
          <w:sz w:val="24"/>
        </w:rPr>
        <w:t>facilities </w:t>
      </w:r>
      <w:r>
        <w:rPr>
          <w:sz w:val="24"/>
        </w:rPr>
        <w:t>and equipment in accordance with rule</w:t>
      </w:r>
      <w:r>
        <w:rPr>
          <w:spacing w:val="-2"/>
          <w:sz w:val="24"/>
        </w:rPr>
        <w:t> </w:t>
      </w:r>
      <w:r>
        <w:rPr>
          <w:sz w:val="24"/>
        </w:rPr>
        <w:t>5.7;</w:t>
      </w:r>
    </w:p>
    <w:p>
      <w:pPr>
        <w:pStyle w:val="ListParagraph"/>
        <w:numPr>
          <w:ilvl w:val="4"/>
          <w:numId w:val="151"/>
        </w:numPr>
        <w:tabs>
          <w:tab w:pos="2486" w:val="left" w:leader="none"/>
        </w:tabs>
        <w:spacing w:line="240" w:lineRule="auto" w:before="120" w:after="0"/>
        <w:ind w:left="2486" w:right="415" w:hanging="567"/>
        <w:jc w:val="both"/>
        <w:rPr>
          <w:sz w:val="24"/>
        </w:rPr>
      </w:pPr>
      <w:r>
        <w:rPr>
          <w:sz w:val="24"/>
        </w:rPr>
        <w:t>permit and participate in commissioning of </w:t>
      </w:r>
      <w:r>
        <w:rPr>
          <w:i/>
          <w:sz w:val="24"/>
        </w:rPr>
        <w:t>facilities </w:t>
      </w:r>
      <w:r>
        <w:rPr>
          <w:sz w:val="24"/>
        </w:rPr>
        <w:t>and </w:t>
      </w:r>
      <w:r>
        <w:rPr>
          <w:spacing w:val="-3"/>
          <w:sz w:val="24"/>
        </w:rPr>
        <w:t>equipment </w:t>
      </w:r>
      <w:r>
        <w:rPr>
          <w:sz w:val="24"/>
        </w:rPr>
        <w:t>which are to be </w:t>
      </w:r>
      <w:r>
        <w:rPr>
          <w:i/>
          <w:sz w:val="24"/>
        </w:rPr>
        <w:t>connected </w:t>
      </w:r>
      <w:r>
        <w:rPr>
          <w:sz w:val="24"/>
        </w:rPr>
        <w:t>to a </w:t>
      </w:r>
      <w:r>
        <w:rPr>
          <w:i/>
          <w:sz w:val="24"/>
        </w:rPr>
        <w:t>network </w:t>
      </w:r>
      <w:r>
        <w:rPr>
          <w:sz w:val="24"/>
        </w:rPr>
        <w:t>for the first time in accordance with rule 5.8;</w:t>
      </w:r>
      <w:r>
        <w:rPr>
          <w:spacing w:val="-3"/>
          <w:sz w:val="24"/>
        </w:rPr>
        <w:t> </w:t>
      </w:r>
      <w:r>
        <w:rPr>
          <w:sz w:val="24"/>
        </w:rPr>
        <w:t>and</w:t>
      </w:r>
    </w:p>
    <w:p>
      <w:pPr>
        <w:pStyle w:val="Heading4"/>
        <w:numPr>
          <w:ilvl w:val="4"/>
          <w:numId w:val="151"/>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151"/>
        </w:numPr>
        <w:tabs>
          <w:tab w:pos="2486" w:val="left" w:leader="none"/>
        </w:tabs>
        <w:spacing w:line="240" w:lineRule="auto" w:before="120" w:after="0"/>
        <w:ind w:left="2486" w:right="415" w:hanging="567"/>
        <w:jc w:val="both"/>
        <w:rPr>
          <w:sz w:val="24"/>
        </w:rPr>
      </w:pPr>
      <w:r>
        <w:rPr>
          <w:sz w:val="24"/>
        </w:rPr>
        <w:t>give notice of any intended voluntary permanent </w:t>
      </w:r>
      <w:r>
        <w:rPr>
          <w:i/>
          <w:sz w:val="24"/>
        </w:rPr>
        <w:t>disconnection </w:t>
      </w:r>
      <w:r>
        <w:rPr>
          <w:spacing w:val="-6"/>
          <w:sz w:val="24"/>
        </w:rPr>
        <w:t>in </w:t>
      </w:r>
      <w:r>
        <w:rPr>
          <w:sz w:val="24"/>
        </w:rPr>
        <w:t>accordance with rule</w:t>
      </w:r>
      <w:r>
        <w:rPr>
          <w:spacing w:val="-2"/>
          <w:sz w:val="24"/>
        </w:rPr>
        <w:t> </w:t>
      </w:r>
      <w:r>
        <w:rPr>
          <w:sz w:val="24"/>
        </w:rPr>
        <w:t>5.9.</w:t>
      </w:r>
    </w:p>
    <w:p>
      <w:pPr>
        <w:spacing w:before="120"/>
        <w:ind w:left="1919" w:right="0" w:firstLine="0"/>
        <w:jc w:val="left"/>
        <w:rPr>
          <w:rFonts w:ascii="Arial"/>
          <w:b/>
          <w:sz w:val="20"/>
        </w:rPr>
      </w:pPr>
      <w:r>
        <w:rPr>
          <w:rFonts w:ascii="Arial"/>
          <w:b/>
          <w:sz w:val="20"/>
        </w:rPr>
        <w:t>Note</w:t>
      </w:r>
    </w:p>
    <w:p>
      <w:pPr>
        <w:spacing w:before="120"/>
        <w:ind w:left="1789" w:right="416" w:firstLine="0"/>
        <w:jc w:val="right"/>
        <w:rPr>
          <w:sz w:val="20"/>
        </w:rPr>
      </w:pPr>
      <w:r>
        <w:rPr>
          <w:sz w:val="20"/>
        </w:rPr>
        <w:t>The requirements that will apply under </w:t>
      </w:r>
      <w:r>
        <w:rPr>
          <w:i/>
          <w:sz w:val="20"/>
        </w:rPr>
        <w:t>jurisdictional electricity legislation </w:t>
      </w:r>
      <w:r>
        <w:rPr>
          <w:sz w:val="20"/>
        </w:rPr>
        <w:t>for</w:t>
      </w:r>
      <w:r>
        <w:rPr>
          <w:spacing w:val="29"/>
          <w:sz w:val="20"/>
        </w:rPr>
        <w:t> </w:t>
      </w:r>
      <w:r>
        <w:rPr>
          <w:sz w:val="20"/>
        </w:rPr>
        <w:t>the</w:t>
      </w:r>
      <w:r>
        <w:rPr>
          <w:spacing w:val="3"/>
          <w:sz w:val="20"/>
        </w:rPr>
        <w:t> </w:t>
      </w:r>
      <w:r>
        <w:rPr>
          <w:sz w:val="20"/>
        </w:rPr>
        <w:t>purposes of</w:t>
      </w:r>
      <w:r>
        <w:rPr>
          <w:spacing w:val="11"/>
          <w:sz w:val="20"/>
        </w:rPr>
        <w:t> </w:t>
      </w:r>
      <w:r>
        <w:rPr>
          <w:sz w:val="20"/>
        </w:rPr>
        <w:t>paragraph</w:t>
      </w:r>
      <w:r>
        <w:rPr>
          <w:spacing w:val="12"/>
          <w:sz w:val="20"/>
        </w:rPr>
        <w:t> </w:t>
      </w:r>
      <w:r>
        <w:rPr>
          <w:sz w:val="20"/>
        </w:rPr>
        <w:t>(b)(2)</w:t>
      </w:r>
      <w:r>
        <w:rPr>
          <w:spacing w:val="12"/>
          <w:sz w:val="20"/>
        </w:rPr>
        <w:t> </w:t>
      </w:r>
      <w:r>
        <w:rPr>
          <w:sz w:val="20"/>
        </w:rPr>
        <w:t>will</w:t>
      </w:r>
      <w:r>
        <w:rPr>
          <w:spacing w:val="11"/>
          <w:sz w:val="20"/>
        </w:rPr>
        <w:t> </w:t>
      </w:r>
      <w:r>
        <w:rPr>
          <w:sz w:val="20"/>
        </w:rPr>
        <w:t>be</w:t>
      </w:r>
      <w:r>
        <w:rPr>
          <w:spacing w:val="12"/>
          <w:sz w:val="20"/>
        </w:rPr>
        <w:t> </w:t>
      </w:r>
      <w:r>
        <w:rPr>
          <w:sz w:val="20"/>
        </w:rPr>
        <w:t>requirements</w:t>
      </w:r>
      <w:r>
        <w:rPr>
          <w:spacing w:val="12"/>
          <w:sz w:val="20"/>
        </w:rPr>
        <w:t> </w:t>
      </w:r>
      <w:r>
        <w:rPr>
          <w:sz w:val="20"/>
        </w:rPr>
        <w:t>that</w:t>
      </w:r>
      <w:r>
        <w:rPr>
          <w:spacing w:val="12"/>
          <w:sz w:val="20"/>
        </w:rPr>
        <w:t> </w:t>
      </w:r>
      <w:r>
        <w:rPr>
          <w:sz w:val="20"/>
        </w:rPr>
        <w:t>correspond</w:t>
      </w:r>
      <w:r>
        <w:rPr>
          <w:spacing w:val="11"/>
          <w:sz w:val="20"/>
        </w:rPr>
        <w:t> </w:t>
      </w:r>
      <w:r>
        <w:rPr>
          <w:sz w:val="20"/>
        </w:rPr>
        <w:t>to</w:t>
      </w:r>
      <w:r>
        <w:rPr>
          <w:spacing w:val="12"/>
          <w:sz w:val="20"/>
        </w:rPr>
        <w:t> </w:t>
      </w:r>
      <w:r>
        <w:rPr>
          <w:sz w:val="20"/>
        </w:rPr>
        <w:t>the</w:t>
      </w:r>
      <w:r>
        <w:rPr>
          <w:spacing w:val="12"/>
          <w:sz w:val="20"/>
        </w:rPr>
        <w:t> </w:t>
      </w:r>
      <w:r>
        <w:rPr>
          <w:sz w:val="20"/>
        </w:rPr>
        <w:t>matters</w:t>
      </w:r>
      <w:r>
        <w:rPr>
          <w:spacing w:val="12"/>
          <w:sz w:val="20"/>
        </w:rPr>
        <w:t> </w:t>
      </w:r>
      <w:r>
        <w:rPr>
          <w:sz w:val="20"/>
        </w:rPr>
        <w:t>set</w:t>
      </w:r>
      <w:r>
        <w:rPr>
          <w:spacing w:val="11"/>
          <w:sz w:val="20"/>
        </w:rPr>
        <w:t> </w:t>
      </w:r>
      <w:r>
        <w:rPr>
          <w:sz w:val="20"/>
        </w:rPr>
        <w:t>out</w:t>
      </w:r>
      <w:r>
        <w:rPr>
          <w:spacing w:val="12"/>
          <w:sz w:val="20"/>
        </w:rPr>
        <w:t> </w:t>
      </w:r>
      <w:r>
        <w:rPr>
          <w:sz w:val="20"/>
        </w:rPr>
        <w:t>in</w:t>
      </w:r>
      <w:r>
        <w:rPr>
          <w:spacing w:val="12"/>
          <w:sz w:val="20"/>
        </w:rPr>
        <w:t> </w:t>
      </w:r>
      <w:r>
        <w:rPr>
          <w:sz w:val="20"/>
        </w:rPr>
        <w:t>schedule</w:t>
      </w:r>
    </w:p>
    <w:p>
      <w:pPr>
        <w:pStyle w:val="ListParagraph"/>
        <w:numPr>
          <w:ilvl w:val="1"/>
          <w:numId w:val="149"/>
        </w:numPr>
        <w:tabs>
          <w:tab w:pos="2232" w:val="left" w:leader="none"/>
        </w:tabs>
        <w:spacing w:line="240" w:lineRule="auto" w:before="0" w:after="0"/>
        <w:ind w:left="1919" w:right="415" w:firstLine="0"/>
        <w:jc w:val="right"/>
        <w:rPr>
          <w:sz w:val="20"/>
        </w:rPr>
      </w:pPr>
      <w:r>
        <w:rPr>
          <w:sz w:val="20"/>
        </w:rPr>
        <w:t>in</w:t>
      </w:r>
      <w:r>
        <w:rPr>
          <w:spacing w:val="11"/>
          <w:sz w:val="20"/>
        </w:rPr>
        <w:t> </w:t>
      </w:r>
      <w:r>
        <w:rPr>
          <w:sz w:val="20"/>
        </w:rPr>
        <w:t>the</w:t>
      </w:r>
      <w:r>
        <w:rPr>
          <w:spacing w:val="11"/>
          <w:sz w:val="20"/>
        </w:rPr>
        <w:t> </w:t>
      </w:r>
      <w:r>
        <w:rPr>
          <w:i/>
          <w:sz w:val="20"/>
        </w:rPr>
        <w:t>Rules</w:t>
      </w:r>
      <w:r>
        <w:rPr>
          <w:i/>
          <w:spacing w:val="12"/>
          <w:sz w:val="20"/>
        </w:rPr>
        <w:t> </w:t>
      </w:r>
      <w:r>
        <w:rPr>
          <w:sz w:val="20"/>
        </w:rPr>
        <w:t>applying</w:t>
      </w:r>
      <w:r>
        <w:rPr>
          <w:spacing w:val="11"/>
          <w:sz w:val="20"/>
        </w:rPr>
        <w:t> </w:t>
      </w:r>
      <w:r>
        <w:rPr>
          <w:sz w:val="20"/>
        </w:rPr>
        <w:t>in</w:t>
      </w:r>
      <w:r>
        <w:rPr>
          <w:spacing w:val="12"/>
          <w:sz w:val="20"/>
        </w:rPr>
        <w:t> </w:t>
      </w:r>
      <w:r>
        <w:rPr>
          <w:sz w:val="20"/>
        </w:rPr>
        <w:t>other</w:t>
      </w:r>
      <w:r>
        <w:rPr>
          <w:spacing w:val="11"/>
          <w:sz w:val="20"/>
        </w:rPr>
        <w:t> </w:t>
      </w:r>
      <w:r>
        <w:rPr>
          <w:i/>
          <w:sz w:val="20"/>
        </w:rPr>
        <w:t>participating</w:t>
      </w:r>
      <w:r>
        <w:rPr>
          <w:i/>
          <w:spacing w:val="12"/>
          <w:sz w:val="20"/>
        </w:rPr>
        <w:t> </w:t>
      </w:r>
      <w:r>
        <w:rPr>
          <w:i/>
          <w:sz w:val="20"/>
        </w:rPr>
        <w:t>jurisdictions</w:t>
      </w:r>
      <w:r>
        <w:rPr>
          <w:sz w:val="20"/>
        </w:rPr>
        <w:t>.</w:t>
      </w:r>
      <w:r>
        <w:rPr>
          <w:spacing w:val="11"/>
          <w:sz w:val="20"/>
        </w:rPr>
        <w:t> </w:t>
      </w:r>
      <w:r>
        <w:rPr>
          <w:sz w:val="20"/>
        </w:rPr>
        <w:t>The</w:t>
      </w:r>
      <w:r>
        <w:rPr>
          <w:spacing w:val="12"/>
          <w:sz w:val="20"/>
        </w:rPr>
        <w:t> </w:t>
      </w:r>
      <w:r>
        <w:rPr>
          <w:sz w:val="20"/>
        </w:rPr>
        <w:t>application</w:t>
      </w:r>
      <w:r>
        <w:rPr>
          <w:spacing w:val="11"/>
          <w:sz w:val="20"/>
        </w:rPr>
        <w:t> </w:t>
      </w:r>
      <w:r>
        <w:rPr>
          <w:sz w:val="20"/>
        </w:rPr>
        <w:t>of</w:t>
      </w:r>
      <w:r>
        <w:rPr>
          <w:spacing w:val="12"/>
          <w:sz w:val="20"/>
        </w:rPr>
        <w:t> </w:t>
      </w:r>
      <w:r>
        <w:rPr>
          <w:sz w:val="20"/>
        </w:rPr>
        <w:t>paragraph (b)(2) will be revisited as part of the phased implementation of the </w:t>
      </w:r>
      <w:r>
        <w:rPr>
          <w:i/>
          <w:sz w:val="20"/>
        </w:rPr>
        <w:t>Rules </w:t>
      </w:r>
      <w:r>
        <w:rPr>
          <w:sz w:val="20"/>
        </w:rPr>
        <w:t>in this</w:t>
      </w:r>
      <w:r>
        <w:rPr>
          <w:spacing w:val="-10"/>
          <w:sz w:val="20"/>
        </w:rPr>
        <w:t> </w:t>
      </w:r>
      <w:r>
        <w:rPr>
          <w:sz w:val="20"/>
        </w:rPr>
        <w:t>jurisdiction.</w:t>
      </w:r>
    </w:p>
    <w:p>
      <w:pPr>
        <w:pStyle w:val="ListParagraph"/>
        <w:numPr>
          <w:ilvl w:val="3"/>
          <w:numId w:val="151"/>
        </w:numPr>
        <w:tabs>
          <w:tab w:pos="566" w:val="left" w:leader="none"/>
          <w:tab w:pos="1919" w:val="left" w:leader="none"/>
        </w:tabs>
        <w:spacing w:line="240" w:lineRule="auto" w:before="120" w:after="0"/>
        <w:ind w:left="1918" w:right="414" w:hanging="1919"/>
        <w:jc w:val="right"/>
        <w:rPr>
          <w:i/>
          <w:sz w:val="24"/>
        </w:rPr>
      </w:pPr>
      <w:r>
        <w:rPr>
          <w:sz w:val="24"/>
        </w:rPr>
        <w:t>If</w:t>
      </w:r>
      <w:r>
        <w:rPr>
          <w:spacing w:val="17"/>
          <w:sz w:val="24"/>
        </w:rPr>
        <w:t> </w:t>
      </w:r>
      <w:r>
        <w:rPr>
          <w:sz w:val="24"/>
        </w:rPr>
        <w:t>in </w:t>
      </w:r>
      <w:r>
        <w:rPr>
          <w:i/>
          <w:sz w:val="24"/>
        </w:rPr>
        <w:t>NTESMO</w:t>
      </w:r>
      <w:r>
        <w:rPr>
          <w:sz w:val="24"/>
        </w:rPr>
        <w:t>’s</w:t>
      </w:r>
      <w:r>
        <w:rPr>
          <w:spacing w:val="18"/>
          <w:sz w:val="24"/>
        </w:rPr>
        <w:t> </w:t>
      </w:r>
      <w:r>
        <w:rPr>
          <w:sz w:val="24"/>
        </w:rPr>
        <w:t>reasonable</w:t>
      </w:r>
      <w:r>
        <w:rPr>
          <w:spacing w:val="18"/>
          <w:sz w:val="24"/>
        </w:rPr>
        <w:t> </w:t>
      </w:r>
      <w:r>
        <w:rPr>
          <w:sz w:val="24"/>
        </w:rPr>
        <w:t>opinion,</w:t>
      </w:r>
      <w:r>
        <w:rPr>
          <w:spacing w:val="18"/>
          <w:sz w:val="24"/>
        </w:rPr>
        <w:t> </w:t>
      </w:r>
      <w:r>
        <w:rPr>
          <w:sz w:val="24"/>
        </w:rPr>
        <w:t>there</w:t>
      </w:r>
      <w:r>
        <w:rPr>
          <w:spacing w:val="18"/>
          <w:sz w:val="24"/>
        </w:rPr>
        <w:t> </w:t>
      </w:r>
      <w:r>
        <w:rPr>
          <w:sz w:val="24"/>
        </w:rPr>
        <w:t>is</w:t>
      </w:r>
      <w:r>
        <w:rPr>
          <w:spacing w:val="18"/>
          <w:sz w:val="24"/>
        </w:rPr>
        <w:t> </w:t>
      </w:r>
      <w:r>
        <w:rPr>
          <w:sz w:val="24"/>
        </w:rPr>
        <w:t>a</w:t>
      </w:r>
      <w:r>
        <w:rPr>
          <w:spacing w:val="18"/>
          <w:sz w:val="24"/>
        </w:rPr>
        <w:t> </w:t>
      </w:r>
      <w:r>
        <w:rPr>
          <w:sz w:val="24"/>
        </w:rPr>
        <w:t>risk</w:t>
      </w:r>
      <w:r>
        <w:rPr>
          <w:spacing w:val="18"/>
          <w:sz w:val="24"/>
        </w:rPr>
        <w:t> </w:t>
      </w:r>
      <w:r>
        <w:rPr>
          <w:sz w:val="24"/>
        </w:rPr>
        <w:t>that</w:t>
      </w:r>
      <w:r>
        <w:rPr>
          <w:spacing w:val="18"/>
          <w:sz w:val="24"/>
        </w:rPr>
        <w:t> </w:t>
      </w:r>
      <w:r>
        <w:rPr>
          <w:sz w:val="24"/>
        </w:rPr>
        <w:t>a</w:t>
      </w:r>
      <w:r>
        <w:rPr>
          <w:spacing w:val="18"/>
          <w:sz w:val="24"/>
        </w:rPr>
        <w:t> </w:t>
      </w:r>
      <w:r>
        <w:rPr>
          <w:i/>
          <w:sz w:val="24"/>
        </w:rPr>
        <w:t>Customer’s</w:t>
      </w:r>
      <w:r>
        <w:rPr>
          <w:i/>
          <w:spacing w:val="18"/>
          <w:sz w:val="24"/>
        </w:rPr>
        <w:t> </w:t>
      </w:r>
      <w:r>
        <w:rPr>
          <w:i/>
          <w:sz w:val="24"/>
        </w:rPr>
        <w:t>plant</w:t>
      </w:r>
    </w:p>
    <w:p>
      <w:pPr>
        <w:pStyle w:val="BodyText"/>
        <w:spacing w:before="0"/>
        <w:ind w:left="1919" w:firstLine="0"/>
        <w:jc w:val="left"/>
      </w:pPr>
      <w:r>
        <w:rPr/>
        <w:t>will:</w:t>
      </w:r>
    </w:p>
    <w:p>
      <w:pPr>
        <w:pStyle w:val="ListParagraph"/>
        <w:numPr>
          <w:ilvl w:val="4"/>
          <w:numId w:val="151"/>
        </w:numPr>
        <w:tabs>
          <w:tab w:pos="2485" w:val="left" w:leader="none"/>
          <w:tab w:pos="2486" w:val="left" w:leader="none"/>
        </w:tabs>
        <w:spacing w:line="240" w:lineRule="auto" w:before="120" w:after="0"/>
        <w:ind w:left="2486" w:right="416" w:hanging="567"/>
        <w:jc w:val="left"/>
        <w:rPr>
          <w:sz w:val="24"/>
        </w:rPr>
      </w:pPr>
      <w:r>
        <w:rPr>
          <w:sz w:val="24"/>
        </w:rPr>
        <w:t>adversely affect </w:t>
      </w:r>
      <w:r>
        <w:rPr>
          <w:i/>
          <w:sz w:val="24"/>
        </w:rPr>
        <w:t>network capability</w:t>
      </w:r>
      <w:r>
        <w:rPr>
          <w:sz w:val="24"/>
        </w:rPr>
        <w:t>, </w:t>
      </w:r>
      <w:r>
        <w:rPr>
          <w:i/>
          <w:sz w:val="24"/>
        </w:rPr>
        <w:t>power system security</w:t>
      </w:r>
      <w:r>
        <w:rPr>
          <w:sz w:val="24"/>
        </w:rPr>
        <w:t>, quality or reliability of </w:t>
      </w:r>
      <w:r>
        <w:rPr>
          <w:i/>
          <w:sz w:val="24"/>
        </w:rPr>
        <w:t>supply</w:t>
      </w:r>
      <w:r>
        <w:rPr>
          <w:sz w:val="24"/>
        </w:rPr>
        <w:t>, </w:t>
      </w:r>
      <w:r>
        <w:rPr>
          <w:i/>
          <w:sz w:val="24"/>
        </w:rPr>
        <w:t>inter-regional power transfer capability</w:t>
      </w:r>
      <w:r>
        <w:rPr>
          <w:sz w:val="24"/>
        </w:rPr>
        <w:t>;</w:t>
      </w:r>
      <w:r>
        <w:rPr>
          <w:spacing w:val="-4"/>
          <w:sz w:val="24"/>
        </w:rPr>
        <w:t> </w:t>
      </w:r>
      <w:r>
        <w:rPr>
          <w:sz w:val="24"/>
        </w:rPr>
        <w:t>or</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adversely affect the use of a </w:t>
      </w:r>
      <w:r>
        <w:rPr>
          <w:i/>
          <w:sz w:val="24"/>
        </w:rPr>
        <w:t>network </w:t>
      </w:r>
      <w:r>
        <w:rPr>
          <w:sz w:val="24"/>
        </w:rPr>
        <w:t>by a </w:t>
      </w:r>
      <w:r>
        <w:rPr>
          <w:i/>
          <w:sz w:val="24"/>
        </w:rPr>
        <w:t>Network</w:t>
      </w:r>
      <w:r>
        <w:rPr>
          <w:i/>
          <w:spacing w:val="-3"/>
          <w:sz w:val="24"/>
        </w:rPr>
        <w:t> </w:t>
      </w:r>
      <w:r>
        <w:rPr>
          <w:i/>
          <w:sz w:val="24"/>
        </w:rPr>
        <w:t>User</w:t>
      </w:r>
      <w:r>
        <w:rPr>
          <w:sz w:val="24"/>
        </w:rPr>
        <w:t>,</w:t>
      </w:r>
    </w:p>
    <w:p>
      <w:pPr>
        <w:spacing w:before="120"/>
        <w:ind w:left="1919" w:right="415" w:firstLine="0"/>
        <w:jc w:val="both"/>
        <w:rPr>
          <w:sz w:val="24"/>
        </w:rPr>
      </w:pPr>
      <w:r>
        <w:rPr>
          <w:i/>
          <w:sz w:val="24"/>
        </w:rPr>
        <w:t>NTESMO </w:t>
      </w:r>
      <w:r>
        <w:rPr>
          <w:sz w:val="24"/>
        </w:rPr>
        <w:t>may request a </w:t>
      </w:r>
      <w:r>
        <w:rPr>
          <w:i/>
          <w:sz w:val="24"/>
        </w:rPr>
        <w:t>Customer </w:t>
      </w:r>
      <w:r>
        <w:rPr>
          <w:sz w:val="24"/>
        </w:rPr>
        <w:t>to provide information relating to </w:t>
      </w:r>
      <w:r>
        <w:rPr>
          <w:spacing w:val="-5"/>
          <w:sz w:val="24"/>
        </w:rPr>
        <w:t>the </w:t>
      </w:r>
      <w:r>
        <w:rPr>
          <w:i/>
          <w:sz w:val="24"/>
        </w:rPr>
        <w:t>protection systems </w:t>
      </w:r>
      <w:r>
        <w:rPr>
          <w:sz w:val="24"/>
        </w:rPr>
        <w:t>and </w:t>
      </w:r>
      <w:r>
        <w:rPr>
          <w:i/>
          <w:sz w:val="24"/>
        </w:rPr>
        <w:t>control systems </w:t>
      </w:r>
      <w:r>
        <w:rPr>
          <w:sz w:val="24"/>
        </w:rPr>
        <w:t>of the equipment, and following such a request, the </w:t>
      </w:r>
      <w:r>
        <w:rPr>
          <w:i/>
          <w:sz w:val="24"/>
        </w:rPr>
        <w:t>Customer </w:t>
      </w:r>
      <w:r>
        <w:rPr>
          <w:sz w:val="24"/>
        </w:rPr>
        <w:t>must provide the information to </w:t>
      </w:r>
      <w:r>
        <w:rPr>
          <w:i/>
          <w:sz w:val="24"/>
        </w:rPr>
        <w:t>NTESMO </w:t>
      </w:r>
      <w:r>
        <w:rPr>
          <w:sz w:val="24"/>
        </w:rPr>
        <w:t>and the relevant </w:t>
      </w:r>
      <w:r>
        <w:rPr>
          <w:i/>
          <w:sz w:val="24"/>
        </w:rPr>
        <w:t>Network Service</w:t>
      </w:r>
      <w:r>
        <w:rPr>
          <w:i/>
          <w:spacing w:val="-1"/>
          <w:sz w:val="24"/>
        </w:rPr>
        <w:t> </w:t>
      </w:r>
      <w:r>
        <w:rPr>
          <w:i/>
          <w:sz w:val="24"/>
        </w:rPr>
        <w:t>Provider</w:t>
      </w:r>
      <w:r>
        <w:rPr>
          <w:sz w:val="24"/>
        </w:rPr>
        <w: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The application of paragraph (c) will be revisited as part of the phased implementation of the </w:t>
      </w:r>
      <w:r>
        <w:rPr>
          <w:i/>
          <w:sz w:val="20"/>
        </w:rPr>
        <w:t>Rules </w:t>
      </w:r>
      <w:r>
        <w:rPr>
          <w:sz w:val="20"/>
        </w:rPr>
        <w:t>in this jurisdiction.</w:t>
      </w:r>
    </w:p>
    <w:p>
      <w:pPr>
        <w:pStyle w:val="ListParagraph"/>
        <w:numPr>
          <w:ilvl w:val="3"/>
          <w:numId w:val="151"/>
        </w:numPr>
        <w:tabs>
          <w:tab w:pos="1919" w:val="left" w:leader="none"/>
        </w:tabs>
        <w:spacing w:line="240" w:lineRule="auto" w:before="120" w:after="0"/>
        <w:ind w:left="1919" w:right="415" w:hanging="567"/>
        <w:jc w:val="both"/>
        <w:rPr>
          <w:sz w:val="24"/>
        </w:rPr>
      </w:pPr>
      <w:r>
        <w:rPr>
          <w:sz w:val="24"/>
        </w:rPr>
        <w:t>If in </w:t>
      </w:r>
      <w:r>
        <w:rPr>
          <w:i/>
          <w:sz w:val="24"/>
        </w:rPr>
        <w:t>AEMO</w:t>
      </w:r>
      <w:r>
        <w:rPr>
          <w:sz w:val="24"/>
        </w:rPr>
        <w:t>'s reasonable opinion, information of the type described  in clause S5.3.1(a1) is required to enable a </w:t>
      </w:r>
      <w:r>
        <w:rPr>
          <w:i/>
          <w:sz w:val="24"/>
        </w:rPr>
        <w:t>Network Service Provider </w:t>
      </w:r>
      <w:r>
        <w:rPr>
          <w:spacing w:val="-6"/>
          <w:sz w:val="24"/>
        </w:rPr>
        <w:t>to </w:t>
      </w:r>
      <w:r>
        <w:rPr>
          <w:sz w:val="24"/>
        </w:rPr>
        <w:t>conduct the assessment required by clause 5.3.4B, </w:t>
      </w:r>
      <w:r>
        <w:rPr>
          <w:i/>
          <w:sz w:val="24"/>
        </w:rPr>
        <w:t>AEMO </w:t>
      </w:r>
      <w:r>
        <w:rPr>
          <w:sz w:val="24"/>
        </w:rPr>
        <w:t>may request </w:t>
      </w:r>
      <w:r>
        <w:rPr>
          <w:spacing w:val="-11"/>
          <w:sz w:val="24"/>
        </w:rPr>
        <w:t>a </w:t>
      </w:r>
      <w:r>
        <w:rPr>
          <w:i/>
          <w:sz w:val="24"/>
        </w:rPr>
        <w:t>Customer </w:t>
      </w:r>
      <w:r>
        <w:rPr>
          <w:sz w:val="24"/>
        </w:rPr>
        <w:t>to which Schedule 5.3 applies, to provide the information, and following such a request, the </w:t>
      </w:r>
      <w:r>
        <w:rPr>
          <w:i/>
          <w:sz w:val="24"/>
        </w:rPr>
        <w:t>Customer </w:t>
      </w:r>
      <w:r>
        <w:rPr>
          <w:sz w:val="24"/>
        </w:rPr>
        <w:t>must provide the information to </w:t>
      </w:r>
      <w:r>
        <w:rPr>
          <w:i/>
          <w:sz w:val="24"/>
        </w:rPr>
        <w:t>AEMO </w:t>
      </w:r>
      <w:r>
        <w:rPr>
          <w:sz w:val="24"/>
        </w:rPr>
        <w:t>and the relevant </w:t>
      </w:r>
      <w:r>
        <w:rPr>
          <w:i/>
          <w:sz w:val="24"/>
        </w:rPr>
        <w:t>Network Service</w:t>
      </w:r>
      <w:r>
        <w:rPr>
          <w:i/>
          <w:spacing w:val="-1"/>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9" w:right="415" w:hanging="567"/>
        <w:jc w:val="both"/>
        <w:rPr>
          <w:sz w:val="24"/>
        </w:rPr>
      </w:pPr>
      <w:r>
        <w:rPr>
          <w:sz w:val="24"/>
        </w:rPr>
        <w:t>All information provided to </w:t>
      </w:r>
      <w:r>
        <w:rPr>
          <w:i/>
          <w:sz w:val="24"/>
        </w:rPr>
        <w:t>NTESMO </w:t>
      </w:r>
      <w:r>
        <w:rPr>
          <w:sz w:val="24"/>
        </w:rPr>
        <w:t>and the relevant </w:t>
      </w:r>
      <w:r>
        <w:rPr>
          <w:i/>
          <w:sz w:val="24"/>
        </w:rPr>
        <w:t>Network Service </w:t>
      </w:r>
      <w:r>
        <w:rPr>
          <w:i/>
          <w:sz w:val="24"/>
        </w:rPr>
        <w:t>Provider</w:t>
      </w:r>
      <w:r>
        <w:rPr>
          <w:sz w:val="24"/>
        </w:rPr>
        <w:t>(s) under paragraph (c) must be treated as </w:t>
      </w:r>
      <w:r>
        <w:rPr>
          <w:i/>
          <w:sz w:val="24"/>
        </w:rPr>
        <w:t>confidential information </w:t>
      </w:r>
      <w:r>
        <w:rPr>
          <w:sz w:val="24"/>
        </w:rPr>
        <w:t>by those</w:t>
      </w:r>
      <w:r>
        <w:rPr>
          <w:spacing w:val="-1"/>
          <w:sz w:val="24"/>
        </w:rPr>
        <w:t> </w:t>
      </w:r>
      <w:r>
        <w:rPr>
          <w:sz w:val="24"/>
        </w:rPr>
        <w:t>recipients.</w:t>
      </w:r>
    </w:p>
    <w:p>
      <w:pPr>
        <w:spacing w:after="0" w:line="240" w:lineRule="auto"/>
        <w:jc w:val="both"/>
        <w:rPr>
          <w:sz w:val="24"/>
        </w:rPr>
        <w:sectPr>
          <w:pgSz w:w="11910" w:h="16840"/>
          <w:pgMar w:header="686" w:footer="637" w:top="1320" w:bottom="820" w:left="1200" w:right="1000"/>
        </w:sectPr>
      </w:pPr>
    </w:p>
    <w:p>
      <w:pPr>
        <w:pStyle w:val="Heading4"/>
        <w:numPr>
          <w:ilvl w:val="2"/>
          <w:numId w:val="151"/>
        </w:numPr>
        <w:tabs>
          <w:tab w:pos="1351" w:val="left" w:leader="none"/>
          <w:tab w:pos="1352" w:val="left" w:leader="none"/>
        </w:tabs>
        <w:spacing w:line="240" w:lineRule="auto" w:before="83" w:after="0"/>
        <w:ind w:left="1351" w:right="0" w:hanging="1134"/>
        <w:jc w:val="left"/>
      </w:pPr>
      <w:bookmarkStart w:name="5.2.5 Obligations of Generators" w:id="373"/>
      <w:bookmarkEnd w:id="373"/>
      <w:r>
        <w:rPr>
          <w:b w:val="0"/>
        </w:rPr>
      </w:r>
      <w:bookmarkStart w:name="_bookmark162" w:id="374"/>
      <w:bookmarkEnd w:id="374"/>
      <w:r>
        <w:rPr>
          <w:b w:val="0"/>
        </w:rPr>
      </w:r>
      <w:bookmarkStart w:name="_bookmark162" w:id="375"/>
      <w:bookmarkEnd w:id="375"/>
      <w:r>
        <w:rPr/>
        <w:t>Obl</w:t>
      </w:r>
      <w:r>
        <w:rPr/>
        <w:t>igations of</w:t>
      </w:r>
      <w:r>
        <w:rPr>
          <w:spacing w:val="-1"/>
        </w:rPr>
        <w:t> </w:t>
      </w:r>
      <w:r>
        <w:rPr/>
        <w:t>Generators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(c) and (e) of this clause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51"/>
        </w:numPr>
        <w:tabs>
          <w:tab w:pos="1919" w:val="left" w:leader="none"/>
        </w:tabs>
        <w:spacing w:line="240" w:lineRule="auto" w:before="120" w:after="0"/>
        <w:ind w:left="1919" w:right="415" w:hanging="567"/>
        <w:jc w:val="both"/>
        <w:rPr>
          <w:sz w:val="24"/>
        </w:rPr>
      </w:pPr>
      <w:r>
        <w:rPr>
          <w:sz w:val="24"/>
        </w:rPr>
        <w:t>A </w:t>
      </w:r>
      <w:r>
        <w:rPr>
          <w:i/>
          <w:sz w:val="24"/>
        </w:rPr>
        <w:t>Generator </w:t>
      </w:r>
      <w:r>
        <w:rPr>
          <w:sz w:val="24"/>
        </w:rPr>
        <w:t>must plan and design its </w:t>
      </w:r>
      <w:r>
        <w:rPr>
          <w:i/>
          <w:sz w:val="24"/>
        </w:rPr>
        <w:t>facilities </w:t>
      </w:r>
      <w:r>
        <w:rPr>
          <w:sz w:val="24"/>
        </w:rPr>
        <w:t>and ensure that they are operated to comply</w:t>
      </w:r>
      <w:r>
        <w:rPr>
          <w:spacing w:val="-1"/>
          <w:sz w:val="24"/>
        </w:rPr>
        <w:t> </w:t>
      </w:r>
      <w:r>
        <w:rPr>
          <w:sz w:val="24"/>
        </w:rPr>
        <w:t>with:</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performance standards </w:t>
      </w:r>
      <w:r>
        <w:rPr>
          <w:sz w:val="24"/>
        </w:rPr>
        <w:t>applicable to those</w:t>
      </w:r>
      <w:r>
        <w:rPr>
          <w:spacing w:val="-3"/>
          <w:sz w:val="24"/>
        </w:rPr>
        <w:t> </w:t>
      </w:r>
      <w:r>
        <w:rPr>
          <w:i/>
          <w:sz w:val="24"/>
        </w:rPr>
        <w:t>facilities</w:t>
      </w:r>
      <w:r>
        <w:rPr>
          <w:sz w:val="24"/>
        </w:rPr>
        <w:t>;</w:t>
      </w:r>
    </w:p>
    <w:p>
      <w:pPr>
        <w:pStyle w:val="ListParagraph"/>
        <w:numPr>
          <w:ilvl w:val="4"/>
          <w:numId w:val="151"/>
        </w:numPr>
        <w:tabs>
          <w:tab w:pos="2485" w:val="left" w:leader="none"/>
          <w:tab w:pos="2486" w:val="left" w:leader="none"/>
        </w:tabs>
        <w:spacing w:line="240" w:lineRule="auto" w:before="120" w:after="0"/>
        <w:ind w:left="2486" w:right="416" w:hanging="567"/>
        <w:jc w:val="left"/>
        <w:rPr>
          <w:sz w:val="24"/>
        </w:rPr>
      </w:pPr>
      <w:r>
        <w:rPr>
          <w:sz w:val="24"/>
        </w:rPr>
        <w:t>subject to subparagraph (1), its </w:t>
      </w:r>
      <w:r>
        <w:rPr>
          <w:i/>
          <w:sz w:val="24"/>
        </w:rPr>
        <w:t>connection agreement </w:t>
      </w:r>
      <w:r>
        <w:rPr>
          <w:sz w:val="24"/>
        </w:rPr>
        <w:t>applicable to those </w:t>
      </w:r>
      <w:r>
        <w:rPr>
          <w:i/>
          <w:sz w:val="24"/>
        </w:rPr>
        <w:t>facilities</w:t>
      </w:r>
      <w:r>
        <w:rPr>
          <w:sz w:val="24"/>
        </w:rPr>
        <w:t>;</w:t>
      </w:r>
      <w:r>
        <w:rPr>
          <w:spacing w:val="-1"/>
          <w:sz w:val="24"/>
        </w:rPr>
        <w:t> </w:t>
      </w:r>
      <w:r>
        <w:rPr>
          <w:sz w:val="24"/>
        </w:rPr>
        <w:t>and</w:t>
      </w:r>
    </w:p>
    <w:p>
      <w:pPr>
        <w:pStyle w:val="ListParagraph"/>
        <w:numPr>
          <w:ilvl w:val="4"/>
          <w:numId w:val="151"/>
        </w:numPr>
        <w:tabs>
          <w:tab w:pos="2485" w:val="left" w:leader="none"/>
          <w:tab w:pos="2486" w:val="left" w:leader="none"/>
        </w:tabs>
        <w:spacing w:line="240" w:lineRule="auto" w:before="120" w:after="0"/>
        <w:ind w:left="2485" w:right="0" w:hanging="567"/>
        <w:jc w:val="left"/>
        <w:rPr>
          <w:sz w:val="24"/>
        </w:rPr>
      </w:pPr>
      <w:r>
        <w:rPr>
          <w:sz w:val="24"/>
        </w:rPr>
        <w:t>subject to subparagraph (2), the </w:t>
      </w:r>
      <w:r>
        <w:rPr>
          <w:i/>
          <w:sz w:val="24"/>
        </w:rPr>
        <w:t>system</w:t>
      </w:r>
      <w:r>
        <w:rPr>
          <w:i/>
          <w:spacing w:val="-6"/>
          <w:sz w:val="24"/>
        </w:rPr>
        <w:t> </w:t>
      </w:r>
      <w:r>
        <w:rPr>
          <w:i/>
          <w:sz w:val="24"/>
        </w:rPr>
        <w:t>standards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8" w:right="0" w:hanging="567"/>
        <w:jc w:val="both"/>
        <w:rPr>
          <w:sz w:val="24"/>
        </w:rPr>
      </w:pPr>
      <w:r>
        <w:rPr>
          <w:sz w:val="24"/>
        </w:rPr>
        <w:t>A </w:t>
      </w:r>
      <w:r>
        <w:rPr>
          <w:i/>
          <w:sz w:val="24"/>
        </w:rPr>
        <w:t>Generator</w:t>
      </w:r>
      <w:r>
        <w:rPr>
          <w:i/>
          <w:spacing w:val="-2"/>
          <w:sz w:val="24"/>
        </w:rPr>
        <w:t> </w:t>
      </w:r>
      <w:r>
        <w:rPr>
          <w:sz w:val="24"/>
        </w:rPr>
        <w:t>must:</w:t>
      </w:r>
    </w:p>
    <w:p>
      <w:pPr>
        <w:pStyle w:val="ListParagraph"/>
        <w:numPr>
          <w:ilvl w:val="4"/>
          <w:numId w:val="151"/>
        </w:numPr>
        <w:tabs>
          <w:tab w:pos="2486" w:val="left" w:leader="none"/>
        </w:tabs>
        <w:spacing w:line="240" w:lineRule="auto" w:before="120" w:after="0"/>
        <w:ind w:left="2486" w:right="415" w:hanging="567"/>
        <w:jc w:val="both"/>
        <w:rPr>
          <w:sz w:val="24"/>
        </w:rPr>
      </w:pPr>
      <w:r>
        <w:rPr>
          <w:sz w:val="24"/>
        </w:rPr>
        <w:t>submit an </w:t>
      </w:r>
      <w:r>
        <w:rPr>
          <w:i/>
          <w:sz w:val="24"/>
        </w:rPr>
        <w:t>application to connect </w:t>
      </w:r>
      <w:r>
        <w:rPr>
          <w:sz w:val="24"/>
        </w:rPr>
        <w:t>in respect of new </w:t>
      </w:r>
      <w:r>
        <w:rPr>
          <w:i/>
          <w:sz w:val="24"/>
        </w:rPr>
        <w:t>generating plant </w:t>
      </w:r>
      <w:r>
        <w:rPr>
          <w:sz w:val="24"/>
        </w:rPr>
        <w:t>owned, operated or controlled by the </w:t>
      </w:r>
      <w:r>
        <w:rPr>
          <w:i/>
          <w:sz w:val="24"/>
        </w:rPr>
        <w:t>Generator</w:t>
      </w:r>
      <w:r>
        <w:rPr>
          <w:sz w:val="24"/>
        </w:rPr>
        <w:t>, or to be owned, operated or controlled by the </w:t>
      </w:r>
      <w:r>
        <w:rPr>
          <w:i/>
          <w:sz w:val="24"/>
        </w:rPr>
        <w:t>Generator</w:t>
      </w:r>
      <w:r>
        <w:rPr>
          <w:sz w:val="24"/>
        </w:rPr>
        <w:t>, and enter into a </w:t>
      </w:r>
      <w:r>
        <w:rPr>
          <w:i/>
          <w:sz w:val="24"/>
        </w:rPr>
        <w:t>connection </w:t>
      </w:r>
      <w:r>
        <w:rPr>
          <w:i/>
          <w:sz w:val="24"/>
        </w:rPr>
        <w:t>agreement</w:t>
      </w:r>
      <w:r>
        <w:rPr>
          <w:i/>
          <w:spacing w:val="29"/>
          <w:sz w:val="24"/>
        </w:rPr>
        <w:t> </w:t>
      </w:r>
      <w:r>
        <w:rPr>
          <w:sz w:val="24"/>
        </w:rPr>
        <w:t>with</w:t>
      </w:r>
      <w:r>
        <w:rPr>
          <w:spacing w:val="30"/>
          <w:sz w:val="24"/>
        </w:rPr>
        <w:t> </w:t>
      </w:r>
      <w:r>
        <w:rPr>
          <w:sz w:val="24"/>
        </w:rPr>
        <w:t>a</w:t>
      </w:r>
      <w:r>
        <w:rPr>
          <w:spacing w:val="29"/>
          <w:sz w:val="24"/>
        </w:rPr>
        <w:t> </w:t>
      </w:r>
      <w:r>
        <w:rPr>
          <w:i/>
          <w:sz w:val="24"/>
        </w:rPr>
        <w:t>Network</w:t>
      </w:r>
      <w:r>
        <w:rPr>
          <w:i/>
          <w:spacing w:val="29"/>
          <w:sz w:val="24"/>
        </w:rPr>
        <w:t> </w:t>
      </w:r>
      <w:r>
        <w:rPr>
          <w:i/>
          <w:sz w:val="24"/>
        </w:rPr>
        <w:t>Service</w:t>
      </w:r>
      <w:r>
        <w:rPr>
          <w:i/>
          <w:spacing w:val="30"/>
          <w:sz w:val="24"/>
        </w:rPr>
        <w:t> </w:t>
      </w:r>
      <w:r>
        <w:rPr>
          <w:i/>
          <w:sz w:val="24"/>
        </w:rPr>
        <w:t>Provider</w:t>
      </w:r>
      <w:r>
        <w:rPr>
          <w:i/>
          <w:spacing w:val="30"/>
          <w:sz w:val="24"/>
        </w:rPr>
        <w:t> </w:t>
      </w:r>
      <w:r>
        <w:rPr>
          <w:sz w:val="24"/>
        </w:rPr>
        <w:t>in</w:t>
      </w:r>
      <w:r>
        <w:rPr>
          <w:spacing w:val="30"/>
          <w:sz w:val="24"/>
        </w:rPr>
        <w:t> </w:t>
      </w:r>
      <w:r>
        <w:rPr>
          <w:sz w:val="24"/>
        </w:rPr>
        <w:t>accordance</w:t>
      </w:r>
      <w:r>
        <w:rPr>
          <w:spacing w:val="29"/>
          <w:sz w:val="24"/>
        </w:rPr>
        <w:t> </w:t>
      </w:r>
      <w:r>
        <w:rPr>
          <w:sz w:val="24"/>
        </w:rPr>
        <w:t>with</w:t>
      </w:r>
      <w:r>
        <w:rPr>
          <w:spacing w:val="30"/>
          <w:sz w:val="24"/>
        </w:rPr>
        <w:t> </w:t>
      </w:r>
      <w:r>
        <w:rPr>
          <w:sz w:val="24"/>
        </w:rPr>
        <w:t>rule</w:t>
      </w:r>
    </w:p>
    <w:p>
      <w:pPr>
        <w:spacing w:before="0"/>
        <w:ind w:left="2486" w:right="416" w:firstLine="0"/>
        <w:jc w:val="both"/>
        <w:rPr>
          <w:sz w:val="24"/>
        </w:rPr>
      </w:pPr>
      <w:r>
        <w:rPr>
          <w:sz w:val="24"/>
        </w:rPr>
        <w:t>5.3 prior to that </w:t>
      </w:r>
      <w:r>
        <w:rPr>
          <w:i/>
          <w:sz w:val="24"/>
        </w:rPr>
        <w:t>generating plant </w:t>
      </w:r>
      <w:r>
        <w:rPr>
          <w:sz w:val="24"/>
        </w:rPr>
        <w:t>being </w:t>
      </w:r>
      <w:r>
        <w:rPr>
          <w:i/>
          <w:sz w:val="24"/>
        </w:rPr>
        <w:t>connected </w:t>
      </w:r>
      <w:r>
        <w:rPr>
          <w:sz w:val="24"/>
        </w:rPr>
        <w:t>to the </w:t>
      </w:r>
      <w:r>
        <w:rPr>
          <w:i/>
          <w:sz w:val="24"/>
        </w:rPr>
        <w:t>network </w:t>
      </w:r>
      <w:r>
        <w:rPr>
          <w:sz w:val="24"/>
        </w:rPr>
        <w:t>of that provider;</w:t>
      </w:r>
    </w:p>
    <w:p>
      <w:pPr>
        <w:pStyle w:val="ListParagraph"/>
        <w:numPr>
          <w:ilvl w:val="0"/>
          <w:numId w:val="152"/>
        </w:numPr>
        <w:tabs>
          <w:tab w:pos="2486" w:val="left" w:leader="none"/>
        </w:tabs>
        <w:spacing w:line="240" w:lineRule="auto" w:before="120" w:after="0"/>
        <w:ind w:left="2486" w:right="415" w:hanging="567"/>
        <w:jc w:val="both"/>
        <w:rPr>
          <w:sz w:val="24"/>
        </w:rPr>
      </w:pPr>
      <w:r>
        <w:rPr>
          <w:sz w:val="24"/>
        </w:rPr>
        <w:t>comply with the reasonable requirements of the relevant </w:t>
      </w:r>
      <w:r>
        <w:rPr>
          <w:i/>
          <w:sz w:val="24"/>
        </w:rPr>
        <w:t>Network </w:t>
      </w:r>
      <w:r>
        <w:rPr>
          <w:i/>
          <w:sz w:val="24"/>
        </w:rPr>
        <w:t>Service Provider </w:t>
      </w:r>
      <w:r>
        <w:rPr>
          <w:sz w:val="24"/>
        </w:rPr>
        <w:t>in respect of design requirements of </w:t>
      </w:r>
      <w:r>
        <w:rPr>
          <w:i/>
          <w:sz w:val="24"/>
        </w:rPr>
        <w:t>generating plant </w:t>
      </w:r>
      <w:r>
        <w:rPr>
          <w:sz w:val="24"/>
        </w:rPr>
        <w:t>proposed to be </w:t>
      </w:r>
      <w:r>
        <w:rPr>
          <w:i/>
          <w:sz w:val="24"/>
        </w:rPr>
        <w:t>connected </w:t>
      </w:r>
      <w:r>
        <w:rPr>
          <w:sz w:val="24"/>
        </w:rPr>
        <w:t>to the </w:t>
      </w:r>
      <w:r>
        <w:rPr>
          <w:i/>
          <w:sz w:val="24"/>
        </w:rPr>
        <w:t>network </w:t>
      </w:r>
      <w:r>
        <w:rPr>
          <w:sz w:val="24"/>
        </w:rPr>
        <w:t>of that provider </w:t>
      </w:r>
      <w:r>
        <w:rPr>
          <w:spacing w:val="-6"/>
          <w:sz w:val="24"/>
        </w:rPr>
        <w:t>in  </w:t>
      </w:r>
      <w:r>
        <w:rPr>
          <w:sz w:val="24"/>
        </w:rPr>
        <w:t>accordance with rule 5.6 and any relevant technical requirements in </w:t>
      </w:r>
      <w:r>
        <w:rPr>
          <w:i/>
          <w:sz w:val="24"/>
        </w:rPr>
        <w:t>jurisdictional electricity</w:t>
      </w:r>
      <w:r>
        <w:rPr>
          <w:i/>
          <w:spacing w:val="-1"/>
          <w:sz w:val="24"/>
        </w:rPr>
        <w:t> </w:t>
      </w:r>
      <w:r>
        <w:rPr>
          <w:i/>
          <w:sz w:val="24"/>
        </w:rPr>
        <w:t>legislation</w:t>
      </w:r>
      <w:r>
        <w:rPr>
          <w:sz w:val="24"/>
        </w:rPr>
        <w:t>;</w:t>
      </w:r>
    </w:p>
    <w:p>
      <w:pPr>
        <w:pStyle w:val="ListParagraph"/>
        <w:numPr>
          <w:ilvl w:val="0"/>
          <w:numId w:val="152"/>
        </w:numPr>
        <w:tabs>
          <w:tab w:pos="2486" w:val="left" w:leader="none"/>
        </w:tabs>
        <w:spacing w:line="240" w:lineRule="auto" w:before="120" w:after="0"/>
        <w:ind w:left="2486" w:right="415" w:hanging="567"/>
        <w:jc w:val="both"/>
        <w:rPr>
          <w:sz w:val="24"/>
        </w:rPr>
      </w:pPr>
      <w:r>
        <w:rPr>
          <w:sz w:val="24"/>
        </w:rPr>
        <w:t>provide </w:t>
      </w:r>
      <w:r>
        <w:rPr>
          <w:i/>
          <w:sz w:val="24"/>
        </w:rPr>
        <w:t>generation </w:t>
      </w:r>
      <w:r>
        <w:rPr>
          <w:sz w:val="24"/>
        </w:rPr>
        <w:t>forecast information to the relevant </w:t>
      </w:r>
      <w:r>
        <w:rPr>
          <w:i/>
          <w:sz w:val="24"/>
        </w:rPr>
        <w:t>Network </w:t>
      </w:r>
      <w:r>
        <w:rPr>
          <w:i/>
          <w:sz w:val="24"/>
        </w:rPr>
        <w:t>Service Provider </w:t>
      </w:r>
      <w:r>
        <w:rPr>
          <w:sz w:val="24"/>
        </w:rPr>
        <w:t>in accordance with Part D of Chapter</w:t>
      </w:r>
      <w:r>
        <w:rPr>
          <w:spacing w:val="-7"/>
          <w:sz w:val="24"/>
        </w:rPr>
        <w:t> </w:t>
      </w:r>
      <w:r>
        <w:rPr>
          <w:sz w:val="24"/>
        </w:rPr>
        <w:t>5;</w:t>
      </w:r>
    </w:p>
    <w:p>
      <w:pPr>
        <w:pStyle w:val="ListParagraph"/>
        <w:numPr>
          <w:ilvl w:val="0"/>
          <w:numId w:val="152"/>
        </w:numPr>
        <w:tabs>
          <w:tab w:pos="2486" w:val="left" w:leader="none"/>
        </w:tabs>
        <w:spacing w:line="240" w:lineRule="auto" w:before="120" w:after="0"/>
        <w:ind w:left="2486" w:right="415" w:hanging="567"/>
        <w:jc w:val="both"/>
        <w:rPr>
          <w:sz w:val="24"/>
        </w:rPr>
      </w:pPr>
      <w:r>
        <w:rPr>
          <w:sz w:val="24"/>
        </w:rPr>
        <w:t>permit and participate in inspection and testing of </w:t>
      </w:r>
      <w:r>
        <w:rPr>
          <w:i/>
          <w:sz w:val="24"/>
        </w:rPr>
        <w:t>facilities </w:t>
      </w:r>
      <w:r>
        <w:rPr>
          <w:sz w:val="24"/>
        </w:rPr>
        <w:t>and equipment in accordance with rule</w:t>
      </w:r>
      <w:r>
        <w:rPr>
          <w:spacing w:val="-2"/>
          <w:sz w:val="24"/>
        </w:rPr>
        <w:t> </w:t>
      </w:r>
      <w:r>
        <w:rPr>
          <w:sz w:val="24"/>
        </w:rPr>
        <w:t>5.7;</w:t>
      </w:r>
    </w:p>
    <w:p>
      <w:pPr>
        <w:pStyle w:val="ListParagraph"/>
        <w:numPr>
          <w:ilvl w:val="0"/>
          <w:numId w:val="152"/>
        </w:numPr>
        <w:tabs>
          <w:tab w:pos="2486" w:val="left" w:leader="none"/>
        </w:tabs>
        <w:spacing w:line="240" w:lineRule="auto" w:before="120" w:after="0"/>
        <w:ind w:left="2486" w:right="415" w:hanging="567"/>
        <w:jc w:val="both"/>
        <w:rPr>
          <w:sz w:val="24"/>
        </w:rPr>
      </w:pPr>
      <w:r>
        <w:rPr>
          <w:sz w:val="24"/>
        </w:rPr>
        <w:t>permit and participate in commissioning of </w:t>
      </w:r>
      <w:r>
        <w:rPr>
          <w:i/>
          <w:sz w:val="24"/>
        </w:rPr>
        <w:t>facilities </w:t>
      </w:r>
      <w:r>
        <w:rPr>
          <w:sz w:val="24"/>
        </w:rPr>
        <w:t>and </w:t>
      </w:r>
      <w:r>
        <w:rPr>
          <w:spacing w:val="-3"/>
          <w:sz w:val="24"/>
        </w:rPr>
        <w:t>equipment </w:t>
      </w:r>
      <w:r>
        <w:rPr>
          <w:sz w:val="24"/>
        </w:rPr>
        <w:t>which are to be </w:t>
      </w:r>
      <w:r>
        <w:rPr>
          <w:i/>
          <w:sz w:val="24"/>
        </w:rPr>
        <w:t>connected </w:t>
      </w:r>
      <w:r>
        <w:rPr>
          <w:sz w:val="24"/>
        </w:rPr>
        <w:t>to a </w:t>
      </w:r>
      <w:r>
        <w:rPr>
          <w:i/>
          <w:sz w:val="24"/>
        </w:rPr>
        <w:t>network </w:t>
      </w:r>
      <w:r>
        <w:rPr>
          <w:sz w:val="24"/>
        </w:rPr>
        <w:t>for the first time in accordance with rule 5.8;</w:t>
      </w:r>
      <w:r>
        <w:rPr>
          <w:spacing w:val="-3"/>
          <w:sz w:val="24"/>
        </w:rPr>
        <w:t> </w:t>
      </w:r>
      <w:r>
        <w:rPr>
          <w:sz w:val="24"/>
        </w:rPr>
        <w:t>and</w:t>
      </w:r>
    </w:p>
    <w:p>
      <w:pPr>
        <w:pStyle w:val="ListParagraph"/>
        <w:numPr>
          <w:ilvl w:val="0"/>
          <w:numId w:val="152"/>
        </w:numPr>
        <w:tabs>
          <w:tab w:pos="2486" w:val="left" w:leader="none"/>
        </w:tabs>
        <w:spacing w:line="240" w:lineRule="auto" w:before="120" w:after="0"/>
        <w:ind w:left="2486" w:right="416" w:hanging="567"/>
        <w:jc w:val="both"/>
        <w:rPr>
          <w:sz w:val="24"/>
        </w:rPr>
      </w:pPr>
      <w:r>
        <w:rPr>
          <w:sz w:val="24"/>
        </w:rPr>
        <w:t>give notice of intended voluntary permanent </w:t>
      </w:r>
      <w:r>
        <w:rPr>
          <w:i/>
          <w:sz w:val="24"/>
        </w:rPr>
        <w:t>disconnection </w:t>
      </w:r>
      <w:r>
        <w:rPr>
          <w:spacing w:val="-6"/>
          <w:sz w:val="24"/>
        </w:rPr>
        <w:t>in </w:t>
      </w:r>
      <w:r>
        <w:rPr>
          <w:sz w:val="24"/>
        </w:rPr>
        <w:t>accordance with rule</w:t>
      </w:r>
      <w:r>
        <w:rPr>
          <w:spacing w:val="-2"/>
          <w:sz w:val="24"/>
        </w:rPr>
        <w:t> </w:t>
      </w:r>
      <w:r>
        <w:rPr>
          <w:sz w:val="24"/>
        </w:rPr>
        <w:t>5.9.</w:t>
      </w:r>
    </w:p>
    <w:p>
      <w:pPr>
        <w:spacing w:before="120"/>
        <w:ind w:left="1919" w:right="0" w:firstLine="0"/>
        <w:jc w:val="left"/>
        <w:rPr>
          <w:rFonts w:ascii="Arial"/>
          <w:b/>
          <w:sz w:val="20"/>
        </w:rPr>
      </w:pPr>
      <w:r>
        <w:rPr>
          <w:rFonts w:ascii="Arial"/>
          <w:b/>
          <w:sz w:val="20"/>
        </w:rPr>
        <w:t>Note</w:t>
      </w:r>
    </w:p>
    <w:p>
      <w:pPr>
        <w:spacing w:before="120"/>
        <w:ind w:left="1789" w:right="416" w:firstLine="0"/>
        <w:jc w:val="right"/>
        <w:rPr>
          <w:sz w:val="20"/>
        </w:rPr>
      </w:pPr>
      <w:r>
        <w:rPr>
          <w:sz w:val="20"/>
        </w:rPr>
        <w:t>The requirements that will apply under </w:t>
      </w:r>
      <w:r>
        <w:rPr>
          <w:i/>
          <w:sz w:val="20"/>
        </w:rPr>
        <w:t>jurisdictional electricity legislation </w:t>
      </w:r>
      <w:r>
        <w:rPr>
          <w:sz w:val="20"/>
        </w:rPr>
        <w:t>for</w:t>
      </w:r>
      <w:r>
        <w:rPr>
          <w:spacing w:val="29"/>
          <w:sz w:val="20"/>
        </w:rPr>
        <w:t> </w:t>
      </w:r>
      <w:r>
        <w:rPr>
          <w:sz w:val="20"/>
        </w:rPr>
        <w:t>the</w:t>
      </w:r>
      <w:r>
        <w:rPr>
          <w:spacing w:val="3"/>
          <w:sz w:val="20"/>
        </w:rPr>
        <w:t> </w:t>
      </w:r>
      <w:r>
        <w:rPr>
          <w:sz w:val="20"/>
        </w:rPr>
        <w:t>purposes of</w:t>
      </w:r>
      <w:r>
        <w:rPr>
          <w:spacing w:val="11"/>
          <w:sz w:val="20"/>
        </w:rPr>
        <w:t> </w:t>
      </w:r>
      <w:r>
        <w:rPr>
          <w:sz w:val="20"/>
        </w:rPr>
        <w:t>paragraph</w:t>
      </w:r>
      <w:r>
        <w:rPr>
          <w:spacing w:val="12"/>
          <w:sz w:val="20"/>
        </w:rPr>
        <w:t> </w:t>
      </w:r>
      <w:r>
        <w:rPr>
          <w:sz w:val="20"/>
        </w:rPr>
        <w:t>(b)(2)</w:t>
      </w:r>
      <w:r>
        <w:rPr>
          <w:spacing w:val="12"/>
          <w:sz w:val="20"/>
        </w:rPr>
        <w:t> </w:t>
      </w:r>
      <w:r>
        <w:rPr>
          <w:sz w:val="20"/>
        </w:rPr>
        <w:t>will</w:t>
      </w:r>
      <w:r>
        <w:rPr>
          <w:spacing w:val="11"/>
          <w:sz w:val="20"/>
        </w:rPr>
        <w:t> </w:t>
      </w:r>
      <w:r>
        <w:rPr>
          <w:sz w:val="20"/>
        </w:rPr>
        <w:t>be</w:t>
      </w:r>
      <w:r>
        <w:rPr>
          <w:spacing w:val="12"/>
          <w:sz w:val="20"/>
        </w:rPr>
        <w:t> </w:t>
      </w:r>
      <w:r>
        <w:rPr>
          <w:sz w:val="20"/>
        </w:rPr>
        <w:t>requirements</w:t>
      </w:r>
      <w:r>
        <w:rPr>
          <w:spacing w:val="12"/>
          <w:sz w:val="20"/>
        </w:rPr>
        <w:t> </w:t>
      </w:r>
      <w:r>
        <w:rPr>
          <w:sz w:val="20"/>
        </w:rPr>
        <w:t>that</w:t>
      </w:r>
      <w:r>
        <w:rPr>
          <w:spacing w:val="12"/>
          <w:sz w:val="20"/>
        </w:rPr>
        <w:t> </w:t>
      </w:r>
      <w:r>
        <w:rPr>
          <w:sz w:val="20"/>
        </w:rPr>
        <w:t>correspond</w:t>
      </w:r>
      <w:r>
        <w:rPr>
          <w:spacing w:val="11"/>
          <w:sz w:val="20"/>
        </w:rPr>
        <w:t> </w:t>
      </w:r>
      <w:r>
        <w:rPr>
          <w:sz w:val="20"/>
        </w:rPr>
        <w:t>to</w:t>
      </w:r>
      <w:r>
        <w:rPr>
          <w:spacing w:val="12"/>
          <w:sz w:val="20"/>
        </w:rPr>
        <w:t> </w:t>
      </w:r>
      <w:r>
        <w:rPr>
          <w:sz w:val="20"/>
        </w:rPr>
        <w:t>the</w:t>
      </w:r>
      <w:r>
        <w:rPr>
          <w:spacing w:val="12"/>
          <w:sz w:val="20"/>
        </w:rPr>
        <w:t> </w:t>
      </w:r>
      <w:r>
        <w:rPr>
          <w:sz w:val="20"/>
        </w:rPr>
        <w:t>matters</w:t>
      </w:r>
      <w:r>
        <w:rPr>
          <w:spacing w:val="12"/>
          <w:sz w:val="20"/>
        </w:rPr>
        <w:t> </w:t>
      </w:r>
      <w:r>
        <w:rPr>
          <w:sz w:val="20"/>
        </w:rPr>
        <w:t>set</w:t>
      </w:r>
      <w:r>
        <w:rPr>
          <w:spacing w:val="11"/>
          <w:sz w:val="20"/>
        </w:rPr>
        <w:t> </w:t>
      </w:r>
      <w:r>
        <w:rPr>
          <w:sz w:val="20"/>
        </w:rPr>
        <w:t>out</w:t>
      </w:r>
      <w:r>
        <w:rPr>
          <w:spacing w:val="12"/>
          <w:sz w:val="20"/>
        </w:rPr>
        <w:t> </w:t>
      </w:r>
      <w:r>
        <w:rPr>
          <w:sz w:val="20"/>
        </w:rPr>
        <w:t>in</w:t>
      </w:r>
      <w:r>
        <w:rPr>
          <w:spacing w:val="12"/>
          <w:sz w:val="20"/>
        </w:rPr>
        <w:t> </w:t>
      </w:r>
      <w:r>
        <w:rPr>
          <w:sz w:val="20"/>
        </w:rPr>
        <w:t>schedule</w:t>
      </w:r>
    </w:p>
    <w:p>
      <w:pPr>
        <w:spacing w:before="0"/>
        <w:ind w:left="1789" w:right="415" w:firstLine="0"/>
        <w:jc w:val="right"/>
        <w:rPr>
          <w:sz w:val="20"/>
        </w:rPr>
      </w:pPr>
      <w:r>
        <w:rPr>
          <w:sz w:val="20"/>
        </w:rPr>
        <w:t>5.3</w:t>
      </w:r>
      <w:r>
        <w:rPr>
          <w:spacing w:val="11"/>
          <w:sz w:val="20"/>
        </w:rPr>
        <w:t> </w:t>
      </w:r>
      <w:r>
        <w:rPr>
          <w:sz w:val="20"/>
        </w:rPr>
        <w:t>in</w:t>
      </w:r>
      <w:r>
        <w:rPr>
          <w:spacing w:val="12"/>
          <w:sz w:val="20"/>
        </w:rPr>
        <w:t> </w:t>
      </w:r>
      <w:r>
        <w:rPr>
          <w:sz w:val="20"/>
        </w:rPr>
        <w:t>the</w:t>
      </w:r>
      <w:r>
        <w:rPr>
          <w:spacing w:val="11"/>
          <w:sz w:val="20"/>
        </w:rPr>
        <w:t> </w:t>
      </w:r>
      <w:r>
        <w:rPr>
          <w:i/>
          <w:sz w:val="20"/>
        </w:rPr>
        <w:t>Rules</w:t>
      </w:r>
      <w:r>
        <w:rPr>
          <w:i/>
          <w:spacing w:val="12"/>
          <w:sz w:val="20"/>
        </w:rPr>
        <w:t> </w:t>
      </w:r>
      <w:r>
        <w:rPr>
          <w:sz w:val="20"/>
        </w:rPr>
        <w:t>applying</w:t>
      </w:r>
      <w:r>
        <w:rPr>
          <w:spacing w:val="11"/>
          <w:sz w:val="20"/>
        </w:rPr>
        <w:t> </w:t>
      </w:r>
      <w:r>
        <w:rPr>
          <w:sz w:val="20"/>
        </w:rPr>
        <w:t>in</w:t>
      </w:r>
      <w:r>
        <w:rPr>
          <w:spacing w:val="12"/>
          <w:sz w:val="20"/>
        </w:rPr>
        <w:t> </w:t>
      </w:r>
      <w:r>
        <w:rPr>
          <w:sz w:val="20"/>
        </w:rPr>
        <w:t>other</w:t>
      </w:r>
      <w:r>
        <w:rPr>
          <w:spacing w:val="11"/>
          <w:sz w:val="20"/>
        </w:rPr>
        <w:t> </w:t>
      </w:r>
      <w:r>
        <w:rPr>
          <w:i/>
          <w:sz w:val="20"/>
        </w:rPr>
        <w:t>participating</w:t>
      </w:r>
      <w:r>
        <w:rPr>
          <w:i/>
          <w:spacing w:val="12"/>
          <w:sz w:val="20"/>
        </w:rPr>
        <w:t> </w:t>
      </w:r>
      <w:r>
        <w:rPr>
          <w:i/>
          <w:sz w:val="20"/>
        </w:rPr>
        <w:t>jurisdictions</w:t>
      </w:r>
      <w:r>
        <w:rPr>
          <w:sz w:val="20"/>
        </w:rPr>
        <w:t>.</w:t>
      </w:r>
      <w:r>
        <w:rPr>
          <w:spacing w:val="11"/>
          <w:sz w:val="20"/>
        </w:rPr>
        <w:t> </w:t>
      </w:r>
      <w:r>
        <w:rPr>
          <w:sz w:val="20"/>
        </w:rPr>
        <w:t>The</w:t>
      </w:r>
      <w:r>
        <w:rPr>
          <w:spacing w:val="12"/>
          <w:sz w:val="20"/>
        </w:rPr>
        <w:t> </w:t>
      </w:r>
      <w:r>
        <w:rPr>
          <w:sz w:val="20"/>
        </w:rPr>
        <w:t>application</w:t>
      </w:r>
      <w:r>
        <w:rPr>
          <w:spacing w:val="11"/>
          <w:sz w:val="20"/>
        </w:rPr>
        <w:t> </w:t>
      </w:r>
      <w:r>
        <w:rPr>
          <w:sz w:val="20"/>
        </w:rPr>
        <w:t>of</w:t>
      </w:r>
      <w:r>
        <w:rPr>
          <w:spacing w:val="12"/>
          <w:sz w:val="20"/>
        </w:rPr>
        <w:t> </w:t>
      </w:r>
      <w:r>
        <w:rPr>
          <w:sz w:val="20"/>
        </w:rPr>
        <w:t>paragraph (b)(2) will be revisited as part of the phased implementation of the </w:t>
      </w:r>
      <w:r>
        <w:rPr>
          <w:i/>
          <w:sz w:val="20"/>
        </w:rPr>
        <w:t>Rules </w:t>
      </w:r>
      <w:r>
        <w:rPr>
          <w:sz w:val="20"/>
        </w:rPr>
        <w:t>in this</w:t>
      </w:r>
      <w:r>
        <w:rPr>
          <w:spacing w:val="-10"/>
          <w:sz w:val="20"/>
        </w:rPr>
        <w:t> </w:t>
      </w:r>
      <w:r>
        <w:rPr>
          <w:sz w:val="20"/>
        </w:rPr>
        <w:t>jurisdiction.</w:t>
      </w:r>
    </w:p>
    <w:p>
      <w:pPr>
        <w:pStyle w:val="ListParagraph"/>
        <w:numPr>
          <w:ilvl w:val="3"/>
          <w:numId w:val="151"/>
        </w:numPr>
        <w:tabs>
          <w:tab w:pos="1918" w:val="left" w:leader="none"/>
          <w:tab w:pos="1919" w:val="left" w:leader="none"/>
        </w:tabs>
        <w:spacing w:line="240" w:lineRule="auto" w:before="120" w:after="0"/>
        <w:ind w:left="1919" w:right="415" w:hanging="567"/>
        <w:jc w:val="right"/>
        <w:rPr>
          <w:sz w:val="24"/>
        </w:rPr>
      </w:pPr>
      <w:r>
        <w:rPr>
          <w:sz w:val="24"/>
        </w:rPr>
        <w:t>A</w:t>
      </w:r>
      <w:r>
        <w:rPr>
          <w:spacing w:val="28"/>
          <w:sz w:val="24"/>
        </w:rPr>
        <w:t> </w:t>
      </w:r>
      <w:r>
        <w:rPr>
          <w:i/>
          <w:sz w:val="24"/>
        </w:rPr>
        <w:t>Generator</w:t>
      </w:r>
      <w:r>
        <w:rPr>
          <w:i/>
          <w:spacing w:val="29"/>
          <w:sz w:val="24"/>
        </w:rPr>
        <w:t> </w:t>
      </w:r>
      <w:r>
        <w:rPr>
          <w:sz w:val="24"/>
        </w:rPr>
        <w:t>must</w:t>
      </w:r>
      <w:r>
        <w:rPr>
          <w:spacing w:val="29"/>
          <w:sz w:val="24"/>
        </w:rPr>
        <w:t> </w:t>
      </w:r>
      <w:r>
        <w:rPr>
          <w:sz w:val="24"/>
        </w:rPr>
        <w:t>comply</w:t>
      </w:r>
      <w:r>
        <w:rPr>
          <w:spacing w:val="28"/>
          <w:sz w:val="24"/>
        </w:rPr>
        <w:t> </w:t>
      </w:r>
      <w:r>
        <w:rPr>
          <w:sz w:val="24"/>
        </w:rPr>
        <w:t>with</w:t>
      </w:r>
      <w:r>
        <w:rPr>
          <w:spacing w:val="29"/>
          <w:sz w:val="24"/>
        </w:rPr>
        <w:t> </w:t>
      </w:r>
      <w:r>
        <w:rPr>
          <w:sz w:val="24"/>
        </w:rPr>
        <w:t>any</w:t>
      </w:r>
      <w:r>
        <w:rPr>
          <w:spacing w:val="29"/>
          <w:sz w:val="24"/>
        </w:rPr>
        <w:t> </w:t>
      </w:r>
      <w:r>
        <w:rPr>
          <w:sz w:val="24"/>
        </w:rPr>
        <w:t>terms</w:t>
      </w:r>
      <w:r>
        <w:rPr>
          <w:spacing w:val="29"/>
          <w:sz w:val="24"/>
        </w:rPr>
        <w:t> </w:t>
      </w:r>
      <w:r>
        <w:rPr>
          <w:sz w:val="24"/>
        </w:rPr>
        <w:t>and</w:t>
      </w:r>
      <w:r>
        <w:rPr>
          <w:spacing w:val="28"/>
          <w:sz w:val="24"/>
        </w:rPr>
        <w:t> </w:t>
      </w:r>
      <w:r>
        <w:rPr>
          <w:sz w:val="24"/>
        </w:rPr>
        <w:t>conditions</w:t>
      </w:r>
      <w:r>
        <w:rPr>
          <w:spacing w:val="29"/>
          <w:sz w:val="24"/>
        </w:rPr>
        <w:t> </w:t>
      </w:r>
      <w:r>
        <w:rPr>
          <w:sz w:val="24"/>
        </w:rPr>
        <w:t>of</w:t>
      </w:r>
      <w:r>
        <w:rPr>
          <w:spacing w:val="29"/>
          <w:sz w:val="24"/>
        </w:rPr>
        <w:t> </w:t>
      </w:r>
      <w:r>
        <w:rPr>
          <w:sz w:val="24"/>
        </w:rPr>
        <w:t>a</w:t>
      </w:r>
      <w:r>
        <w:rPr>
          <w:spacing w:val="29"/>
          <w:sz w:val="24"/>
        </w:rPr>
        <w:t> </w:t>
      </w:r>
      <w:r>
        <w:rPr>
          <w:i/>
          <w:sz w:val="24"/>
        </w:rPr>
        <w:t>connection</w:t>
      </w:r>
      <w:r>
        <w:rPr>
          <w:i/>
          <w:sz w:val="24"/>
        </w:rPr>
        <w:t> agreement</w:t>
      </w:r>
      <w:r>
        <w:rPr>
          <w:i/>
          <w:spacing w:val="43"/>
          <w:sz w:val="24"/>
        </w:rPr>
        <w:t> </w:t>
      </w:r>
      <w:r>
        <w:rPr>
          <w:sz w:val="24"/>
        </w:rPr>
        <w:t>for</w:t>
      </w:r>
      <w:r>
        <w:rPr>
          <w:spacing w:val="43"/>
          <w:sz w:val="24"/>
        </w:rPr>
        <w:t> </w:t>
      </w:r>
      <w:r>
        <w:rPr>
          <w:sz w:val="24"/>
        </w:rPr>
        <w:t>its</w:t>
      </w:r>
      <w:r>
        <w:rPr>
          <w:spacing w:val="43"/>
          <w:sz w:val="24"/>
        </w:rPr>
        <w:t> </w:t>
      </w:r>
      <w:r>
        <w:rPr>
          <w:i/>
          <w:sz w:val="24"/>
        </w:rPr>
        <w:t>generating</w:t>
      </w:r>
      <w:r>
        <w:rPr>
          <w:i/>
          <w:spacing w:val="43"/>
          <w:sz w:val="24"/>
        </w:rPr>
        <w:t> </w:t>
      </w:r>
      <w:r>
        <w:rPr>
          <w:i/>
          <w:sz w:val="24"/>
        </w:rPr>
        <w:t>system</w:t>
      </w:r>
      <w:r>
        <w:rPr>
          <w:i/>
          <w:spacing w:val="43"/>
          <w:sz w:val="24"/>
        </w:rPr>
        <w:t> </w:t>
      </w:r>
      <w:r>
        <w:rPr>
          <w:sz w:val="24"/>
        </w:rPr>
        <w:t>that</w:t>
      </w:r>
      <w:r>
        <w:rPr>
          <w:spacing w:val="43"/>
          <w:sz w:val="24"/>
        </w:rPr>
        <w:t> </w:t>
      </w:r>
      <w:r>
        <w:rPr>
          <w:sz w:val="24"/>
        </w:rPr>
        <w:t>provide</w:t>
      </w:r>
      <w:r>
        <w:rPr>
          <w:spacing w:val="43"/>
          <w:sz w:val="24"/>
        </w:rPr>
        <w:t> </w:t>
      </w:r>
      <w:r>
        <w:rPr>
          <w:sz w:val="24"/>
        </w:rPr>
        <w:t>for</w:t>
      </w:r>
      <w:r>
        <w:rPr>
          <w:spacing w:val="43"/>
          <w:sz w:val="24"/>
        </w:rPr>
        <w:t> </w:t>
      </w:r>
      <w:r>
        <w:rPr>
          <w:sz w:val="24"/>
        </w:rPr>
        <w:t>the</w:t>
      </w:r>
      <w:r>
        <w:rPr>
          <w:spacing w:val="43"/>
          <w:sz w:val="24"/>
        </w:rPr>
        <w:t> </w:t>
      </w:r>
      <w:r>
        <w:rPr>
          <w:sz w:val="24"/>
        </w:rPr>
        <w:t>implementation,</w:t>
      </w:r>
    </w:p>
    <w:p>
      <w:pPr>
        <w:spacing w:after="0" w:line="240" w:lineRule="auto"/>
        <w:jc w:val="right"/>
        <w:rPr>
          <w:sz w:val="24"/>
        </w:rPr>
        <w:sectPr>
          <w:pgSz w:w="11910" w:h="16840"/>
          <w:pgMar w:header="686" w:footer="637" w:top="1320" w:bottom="820" w:left="1200" w:right="1000"/>
        </w:sectPr>
      </w:pPr>
    </w:p>
    <w:p>
      <w:pPr>
        <w:spacing w:before="83"/>
        <w:ind w:left="1919" w:right="416" w:firstLine="0"/>
        <w:jc w:val="both"/>
        <w:rPr>
          <w:sz w:val="24"/>
        </w:rPr>
      </w:pPr>
      <w:r>
        <w:rPr>
          <w:sz w:val="24"/>
        </w:rPr>
        <w:t>operation, maintenance or performance of a </w:t>
      </w:r>
      <w:r>
        <w:rPr>
          <w:i/>
          <w:sz w:val="24"/>
        </w:rPr>
        <w:t>system strength remediation </w:t>
      </w:r>
      <w:r>
        <w:rPr>
          <w:i/>
          <w:sz w:val="24"/>
        </w:rPr>
        <w:t>scheme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19" w:val="left" w:leader="none"/>
        </w:tabs>
        <w:spacing w:line="240" w:lineRule="auto" w:before="120" w:after="0"/>
        <w:ind w:left="1918" w:right="0" w:hanging="567"/>
        <w:jc w:val="both"/>
        <w:rPr>
          <w:i/>
          <w:sz w:val="24"/>
        </w:rPr>
      </w:pPr>
      <w:r>
        <w:rPr>
          <w:sz w:val="24"/>
        </w:rPr>
        <w:t>If</w:t>
      </w:r>
      <w:r>
        <w:rPr>
          <w:spacing w:val="-1"/>
          <w:sz w:val="24"/>
        </w:rPr>
        <w:t> </w:t>
      </w:r>
      <w:r>
        <w:rPr>
          <w:sz w:val="24"/>
        </w:rPr>
        <w:t>in</w:t>
      </w:r>
      <w:r>
        <w:rPr>
          <w:spacing w:val="11"/>
          <w:sz w:val="24"/>
        </w:rPr>
        <w:t> </w:t>
      </w:r>
      <w:r>
        <w:rPr>
          <w:i/>
          <w:sz w:val="24"/>
        </w:rPr>
        <w:t>NTESMO’s</w:t>
      </w:r>
      <w:r>
        <w:rPr>
          <w:i/>
          <w:spacing w:val="11"/>
          <w:sz w:val="24"/>
        </w:rPr>
        <w:t> </w:t>
      </w:r>
      <w:r>
        <w:rPr>
          <w:sz w:val="24"/>
        </w:rPr>
        <w:t>reasonable</w:t>
      </w:r>
      <w:r>
        <w:rPr>
          <w:spacing w:val="12"/>
          <w:sz w:val="24"/>
        </w:rPr>
        <w:t> </w:t>
      </w:r>
      <w:r>
        <w:rPr>
          <w:sz w:val="24"/>
        </w:rPr>
        <w:t>opinion,</w:t>
      </w:r>
      <w:r>
        <w:rPr>
          <w:spacing w:val="11"/>
          <w:sz w:val="24"/>
        </w:rPr>
        <w:t> </w:t>
      </w:r>
      <w:r>
        <w:rPr>
          <w:sz w:val="24"/>
        </w:rPr>
        <w:t>there</w:t>
      </w:r>
      <w:r>
        <w:rPr>
          <w:spacing w:val="11"/>
          <w:sz w:val="24"/>
        </w:rPr>
        <w:t> </w:t>
      </w:r>
      <w:r>
        <w:rPr>
          <w:sz w:val="24"/>
        </w:rPr>
        <w:t>is</w:t>
      </w:r>
      <w:r>
        <w:rPr>
          <w:spacing w:val="12"/>
          <w:sz w:val="24"/>
        </w:rPr>
        <w:t> </w:t>
      </w:r>
      <w:r>
        <w:rPr>
          <w:sz w:val="24"/>
        </w:rPr>
        <w:t>a</w:t>
      </w:r>
      <w:r>
        <w:rPr>
          <w:spacing w:val="11"/>
          <w:sz w:val="24"/>
        </w:rPr>
        <w:t> </w:t>
      </w:r>
      <w:r>
        <w:rPr>
          <w:sz w:val="24"/>
        </w:rPr>
        <w:t>risk</w:t>
      </w:r>
      <w:r>
        <w:rPr>
          <w:spacing w:val="11"/>
          <w:sz w:val="24"/>
        </w:rPr>
        <w:t> </w:t>
      </w:r>
      <w:r>
        <w:rPr>
          <w:sz w:val="24"/>
        </w:rPr>
        <w:t>that</w:t>
      </w:r>
      <w:r>
        <w:rPr>
          <w:spacing w:val="11"/>
          <w:sz w:val="24"/>
        </w:rPr>
        <w:t> </w:t>
      </w:r>
      <w:r>
        <w:rPr>
          <w:sz w:val="24"/>
        </w:rPr>
        <w:t>a</w:t>
      </w:r>
      <w:r>
        <w:rPr>
          <w:spacing w:val="12"/>
          <w:sz w:val="24"/>
        </w:rPr>
        <w:t> </w:t>
      </w:r>
      <w:r>
        <w:rPr>
          <w:i/>
          <w:sz w:val="24"/>
        </w:rPr>
        <w:t>Generator’s</w:t>
      </w:r>
      <w:r>
        <w:rPr>
          <w:i/>
          <w:spacing w:val="11"/>
          <w:sz w:val="24"/>
        </w:rPr>
        <w:t> </w:t>
      </w:r>
      <w:r>
        <w:rPr>
          <w:i/>
          <w:sz w:val="24"/>
        </w:rPr>
        <w:t>plant</w:t>
      </w:r>
    </w:p>
    <w:p>
      <w:pPr>
        <w:pStyle w:val="BodyText"/>
        <w:spacing w:before="0"/>
        <w:ind w:left="1919" w:firstLine="0"/>
        <w:jc w:val="left"/>
      </w:pPr>
      <w:r>
        <w:rPr/>
        <w:t>will:</w:t>
      </w:r>
    </w:p>
    <w:p>
      <w:pPr>
        <w:pStyle w:val="ListParagraph"/>
        <w:numPr>
          <w:ilvl w:val="4"/>
          <w:numId w:val="151"/>
        </w:numPr>
        <w:tabs>
          <w:tab w:pos="2485" w:val="left" w:leader="none"/>
          <w:tab w:pos="2486" w:val="left" w:leader="none"/>
        </w:tabs>
        <w:spacing w:line="240" w:lineRule="auto" w:before="120" w:after="0"/>
        <w:ind w:left="2486" w:right="416" w:hanging="567"/>
        <w:jc w:val="left"/>
        <w:rPr>
          <w:sz w:val="24"/>
        </w:rPr>
      </w:pPr>
      <w:r>
        <w:rPr>
          <w:sz w:val="24"/>
        </w:rPr>
        <w:t>adversely affect </w:t>
      </w:r>
      <w:r>
        <w:rPr>
          <w:i/>
          <w:sz w:val="24"/>
        </w:rPr>
        <w:t>network capability</w:t>
      </w:r>
      <w:r>
        <w:rPr>
          <w:sz w:val="24"/>
        </w:rPr>
        <w:t>, </w:t>
      </w:r>
      <w:r>
        <w:rPr>
          <w:i/>
          <w:sz w:val="24"/>
        </w:rPr>
        <w:t>power system security</w:t>
      </w:r>
      <w:r>
        <w:rPr>
          <w:sz w:val="24"/>
        </w:rPr>
        <w:t>, quality or reliability of </w:t>
      </w:r>
      <w:r>
        <w:rPr>
          <w:i/>
          <w:sz w:val="24"/>
        </w:rPr>
        <w:t>supply</w:t>
      </w:r>
      <w:r>
        <w:rPr>
          <w:sz w:val="24"/>
        </w:rPr>
        <w:t>, </w:t>
      </w:r>
      <w:r>
        <w:rPr>
          <w:i/>
          <w:sz w:val="24"/>
        </w:rPr>
        <w:t>inter-regional power transfer capability</w:t>
      </w:r>
      <w:r>
        <w:rPr>
          <w:sz w:val="24"/>
        </w:rPr>
        <w:t>;</w:t>
      </w:r>
      <w:r>
        <w:rPr>
          <w:spacing w:val="-4"/>
          <w:sz w:val="24"/>
        </w:rPr>
        <w:t> </w:t>
      </w:r>
      <w:r>
        <w:rPr>
          <w:sz w:val="24"/>
        </w:rPr>
        <w:t>or</w:t>
      </w:r>
    </w:p>
    <w:p>
      <w:pPr>
        <w:pStyle w:val="ListParagraph"/>
        <w:numPr>
          <w:ilvl w:val="4"/>
          <w:numId w:val="151"/>
        </w:numPr>
        <w:tabs>
          <w:tab w:pos="2485" w:val="left" w:leader="none"/>
          <w:tab w:pos="2486" w:val="left" w:leader="none"/>
        </w:tabs>
        <w:spacing w:line="240" w:lineRule="auto" w:before="120" w:after="0"/>
        <w:ind w:left="2485" w:right="0" w:hanging="567"/>
        <w:jc w:val="left"/>
        <w:rPr>
          <w:i/>
          <w:sz w:val="24"/>
        </w:rPr>
      </w:pPr>
      <w:r>
        <w:rPr>
          <w:sz w:val="24"/>
        </w:rPr>
        <w:t>adversely affect the use of a </w:t>
      </w:r>
      <w:r>
        <w:rPr>
          <w:i/>
          <w:sz w:val="24"/>
        </w:rPr>
        <w:t>networ</w:t>
      </w:r>
      <w:r>
        <w:rPr>
          <w:sz w:val="24"/>
        </w:rPr>
        <w:t>k by a </w:t>
      </w:r>
      <w:r>
        <w:rPr>
          <w:i/>
          <w:sz w:val="24"/>
        </w:rPr>
        <w:t>Network</w:t>
      </w:r>
      <w:r>
        <w:rPr>
          <w:i/>
          <w:spacing w:val="-2"/>
          <w:sz w:val="24"/>
        </w:rPr>
        <w:t> </w:t>
      </w:r>
      <w:r>
        <w:rPr>
          <w:i/>
          <w:sz w:val="24"/>
        </w:rPr>
        <w:t>User</w:t>
      </w:r>
    </w:p>
    <w:p>
      <w:pPr>
        <w:spacing w:before="120"/>
        <w:ind w:left="1919" w:right="414" w:firstLine="0"/>
        <w:jc w:val="both"/>
        <w:rPr>
          <w:sz w:val="24"/>
        </w:rPr>
      </w:pPr>
      <w:r>
        <w:rPr>
          <w:i/>
          <w:sz w:val="24"/>
        </w:rPr>
        <w:t>NTESMO </w:t>
      </w:r>
      <w:r>
        <w:rPr>
          <w:sz w:val="24"/>
        </w:rPr>
        <w:t>may request a </w:t>
      </w:r>
      <w:r>
        <w:rPr>
          <w:i/>
          <w:sz w:val="24"/>
        </w:rPr>
        <w:t>Generator </w:t>
      </w:r>
      <w:r>
        <w:rPr>
          <w:sz w:val="24"/>
        </w:rPr>
        <w:t>to provide information relating to the </w:t>
      </w:r>
      <w:r>
        <w:rPr>
          <w:i/>
          <w:sz w:val="24"/>
        </w:rPr>
        <w:t>protection systems </w:t>
      </w:r>
      <w:r>
        <w:rPr>
          <w:sz w:val="24"/>
        </w:rPr>
        <w:t>and the </w:t>
      </w:r>
      <w:r>
        <w:rPr>
          <w:i/>
          <w:sz w:val="24"/>
        </w:rPr>
        <w:t>control systems </w:t>
      </w:r>
      <w:r>
        <w:rPr>
          <w:sz w:val="24"/>
        </w:rPr>
        <w:t>of the equipment, and following such a request, the </w:t>
      </w:r>
      <w:r>
        <w:rPr>
          <w:i/>
          <w:sz w:val="24"/>
        </w:rPr>
        <w:t>Generator </w:t>
      </w:r>
      <w:r>
        <w:rPr>
          <w:sz w:val="24"/>
        </w:rPr>
        <w:t>must provide the information to </w:t>
      </w:r>
      <w:r>
        <w:rPr>
          <w:i/>
          <w:sz w:val="24"/>
        </w:rPr>
        <w:t>NTESMO </w:t>
      </w:r>
      <w:r>
        <w:rPr>
          <w:sz w:val="24"/>
        </w:rPr>
        <w:t>and the relevant </w:t>
      </w:r>
      <w:r>
        <w:rPr>
          <w:i/>
          <w:sz w:val="24"/>
        </w:rPr>
        <w:t>Network Service Provider</w:t>
      </w:r>
      <w:r>
        <w:rPr>
          <w:sz w:val="24"/>
        </w:rPr>
        <w: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application of paragraph (d) will be revisited as part of the phased implementation of the </w:t>
      </w:r>
      <w:r>
        <w:rPr>
          <w:i/>
          <w:sz w:val="20"/>
        </w:rPr>
        <w:t>Rules </w:t>
      </w:r>
      <w:r>
        <w:rPr>
          <w:sz w:val="20"/>
        </w:rPr>
        <w:t>in this jurisdiction.</w:t>
      </w:r>
    </w:p>
    <w:p>
      <w:pPr>
        <w:pStyle w:val="ListParagraph"/>
        <w:numPr>
          <w:ilvl w:val="3"/>
          <w:numId w:val="151"/>
        </w:numPr>
        <w:tabs>
          <w:tab w:pos="1919" w:val="left" w:leader="none"/>
        </w:tabs>
        <w:spacing w:line="240" w:lineRule="auto" w:before="120" w:after="0"/>
        <w:ind w:left="1919" w:right="414" w:hanging="567"/>
        <w:jc w:val="both"/>
        <w:rPr>
          <w:sz w:val="24"/>
        </w:rPr>
      </w:pPr>
      <w:r>
        <w:rPr>
          <w:sz w:val="24"/>
        </w:rPr>
        <w:t>If in </w:t>
      </w:r>
      <w:r>
        <w:rPr>
          <w:i/>
          <w:sz w:val="24"/>
        </w:rPr>
        <w:t>AEMO</w:t>
      </w:r>
      <w:r>
        <w:rPr>
          <w:sz w:val="24"/>
        </w:rPr>
        <w:t>'s reasonable opinion, information of the type described  in clause S5.2.4 is required to enable a </w:t>
      </w:r>
      <w:r>
        <w:rPr>
          <w:i/>
          <w:sz w:val="24"/>
        </w:rPr>
        <w:t>Network Service Provider </w:t>
      </w:r>
      <w:r>
        <w:rPr>
          <w:sz w:val="24"/>
        </w:rPr>
        <w:t>to conduct the assessment required by clause 5.3.4B, </w:t>
      </w:r>
      <w:r>
        <w:rPr>
          <w:i/>
          <w:sz w:val="24"/>
        </w:rPr>
        <w:t>AEMO </w:t>
      </w:r>
      <w:r>
        <w:rPr>
          <w:sz w:val="24"/>
        </w:rPr>
        <w:t>may request a </w:t>
      </w:r>
      <w:r>
        <w:rPr>
          <w:i/>
          <w:sz w:val="24"/>
        </w:rPr>
        <w:t>Generator </w:t>
      </w:r>
      <w:r>
        <w:rPr>
          <w:sz w:val="24"/>
        </w:rPr>
        <w:t>to provide the information, and following such a request, the </w:t>
      </w:r>
      <w:r>
        <w:rPr>
          <w:i/>
          <w:sz w:val="24"/>
        </w:rPr>
        <w:t>Generator </w:t>
      </w:r>
      <w:r>
        <w:rPr>
          <w:sz w:val="24"/>
        </w:rPr>
        <w:t>must provide the information to </w:t>
      </w:r>
      <w:r>
        <w:rPr>
          <w:i/>
          <w:sz w:val="24"/>
        </w:rPr>
        <w:t>AEMO </w:t>
      </w:r>
      <w:r>
        <w:rPr>
          <w:sz w:val="24"/>
        </w:rPr>
        <w:t>and the relevant </w:t>
      </w:r>
      <w:r>
        <w:rPr>
          <w:i/>
          <w:sz w:val="24"/>
        </w:rPr>
        <w:t>Network Service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1"/>
        </w:numPr>
        <w:tabs>
          <w:tab w:pos="1920" w:val="left" w:leader="none"/>
        </w:tabs>
        <w:spacing w:line="240" w:lineRule="auto" w:before="120" w:after="0"/>
        <w:ind w:left="1919" w:right="415" w:hanging="567"/>
        <w:jc w:val="both"/>
        <w:rPr>
          <w:sz w:val="24"/>
        </w:rPr>
      </w:pPr>
      <w:r>
        <w:rPr>
          <w:sz w:val="24"/>
        </w:rPr>
        <w:t>All information provided to </w:t>
      </w:r>
      <w:r>
        <w:rPr>
          <w:i/>
          <w:sz w:val="24"/>
        </w:rPr>
        <w:t>NTESMO </w:t>
      </w:r>
      <w:r>
        <w:rPr>
          <w:sz w:val="24"/>
        </w:rPr>
        <w:t>and the relevant </w:t>
      </w:r>
      <w:r>
        <w:rPr>
          <w:i/>
          <w:sz w:val="24"/>
        </w:rPr>
        <w:t>Network Service </w:t>
      </w:r>
      <w:r>
        <w:rPr>
          <w:i/>
          <w:sz w:val="24"/>
        </w:rPr>
        <w:t>Provider</w:t>
      </w:r>
      <w:r>
        <w:rPr>
          <w:sz w:val="24"/>
        </w:rPr>
        <w:t>(s) under paragraph (d) must be treated as </w:t>
      </w:r>
      <w:r>
        <w:rPr>
          <w:i/>
          <w:sz w:val="24"/>
        </w:rPr>
        <w:t>confidential information </w:t>
      </w:r>
      <w:r>
        <w:rPr>
          <w:i/>
          <w:sz w:val="24"/>
        </w:rPr>
        <w:t>by those</w:t>
      </w:r>
      <w:r>
        <w:rPr>
          <w:i/>
          <w:spacing w:val="-1"/>
          <w:sz w:val="24"/>
        </w:rPr>
        <w:t> </w:t>
      </w:r>
      <w:r>
        <w:rPr>
          <w:i/>
          <w:sz w:val="24"/>
        </w:rPr>
        <w:t>recipients</w:t>
      </w:r>
      <w:r>
        <w:rPr>
          <w:sz w:val="24"/>
        </w:rPr>
        <w:t>.</w:t>
      </w:r>
    </w:p>
    <w:p>
      <w:pPr>
        <w:pStyle w:val="BodyText"/>
        <w:spacing w:before="10"/>
        <w:ind w:firstLine="0"/>
        <w:jc w:val="left"/>
        <w:rPr>
          <w:sz w:val="20"/>
        </w:rPr>
      </w:pPr>
    </w:p>
    <w:p>
      <w:pPr>
        <w:pStyle w:val="Heading4"/>
        <w:numPr>
          <w:ilvl w:val="2"/>
          <w:numId w:val="151"/>
        </w:numPr>
        <w:tabs>
          <w:tab w:pos="1351" w:val="left" w:leader="none"/>
          <w:tab w:pos="1352" w:val="left" w:leader="none"/>
        </w:tabs>
        <w:spacing w:line="240" w:lineRule="auto" w:before="0" w:after="0"/>
        <w:ind w:left="1351" w:right="0" w:hanging="1134"/>
        <w:jc w:val="left"/>
      </w:pPr>
      <w:bookmarkStart w:name="5.2.6 Obligations of AEMO" w:id="376"/>
      <w:bookmarkEnd w:id="376"/>
      <w:r>
        <w:rPr>
          <w:b w:val="0"/>
        </w:rPr>
      </w:r>
      <w:bookmarkStart w:name="_bookmark163" w:id="377"/>
      <w:bookmarkEnd w:id="377"/>
      <w:r>
        <w:rPr>
          <w:b w:val="0"/>
        </w:rPr>
      </w:r>
      <w:bookmarkStart w:name="_bookmark163" w:id="378"/>
      <w:bookmarkEnd w:id="378"/>
      <w:r>
        <w:rPr/>
        <w:t>Obl</w:t>
      </w:r>
      <w:r>
        <w:rPr/>
        <w:t>igations of</w:t>
      </w:r>
      <w:r>
        <w:rPr>
          <w:spacing w:val="-1"/>
        </w:rPr>
        <w:t> </w:t>
      </w:r>
      <w:r>
        <w:rPr/>
        <w:t>AEMO</w:t>
      </w:r>
    </w:p>
    <w:p>
      <w:pPr>
        <w:spacing w:before="120"/>
        <w:ind w:left="1352" w:right="414" w:firstLine="0"/>
        <w:jc w:val="both"/>
        <w:rPr>
          <w:sz w:val="24"/>
        </w:rPr>
      </w:pPr>
      <w:r>
        <w:rPr>
          <w:i/>
          <w:sz w:val="24"/>
        </w:rPr>
        <w:t>AEMO </w:t>
      </w:r>
      <w:r>
        <w:rPr>
          <w:sz w:val="24"/>
        </w:rPr>
        <w:t>must provide to </w:t>
      </w:r>
      <w:r>
        <w:rPr>
          <w:i/>
          <w:sz w:val="24"/>
        </w:rPr>
        <w:t>Network Service Providers </w:t>
      </w:r>
      <w:r>
        <w:rPr>
          <w:sz w:val="24"/>
        </w:rPr>
        <w:t>on request, a copy of any report provided to </w:t>
      </w:r>
      <w:r>
        <w:rPr>
          <w:i/>
          <w:sz w:val="24"/>
        </w:rPr>
        <w:t>AEMO </w:t>
      </w:r>
      <w:r>
        <w:rPr>
          <w:sz w:val="24"/>
        </w:rPr>
        <w:t>by a </w:t>
      </w:r>
      <w:r>
        <w:rPr>
          <w:i/>
          <w:sz w:val="24"/>
        </w:rPr>
        <w:t>Network Service Provider </w:t>
      </w:r>
      <w:r>
        <w:rPr>
          <w:sz w:val="24"/>
        </w:rPr>
        <w:t>under</w:t>
      </w:r>
      <w:r>
        <w:rPr>
          <w:spacing w:val="44"/>
          <w:sz w:val="24"/>
        </w:rPr>
        <w:t> </w:t>
      </w:r>
      <w:r>
        <w:rPr>
          <w:sz w:val="24"/>
        </w:rPr>
        <w:t>clause 5.2.3(d)(12). If a </w:t>
      </w:r>
      <w:r>
        <w:rPr>
          <w:i/>
          <w:sz w:val="24"/>
        </w:rPr>
        <w:t>Registered Participant </w:t>
      </w:r>
      <w:r>
        <w:rPr>
          <w:sz w:val="24"/>
        </w:rPr>
        <w:t>reasonably considers that it is or may be adversely affected by a development or change in another </w:t>
      </w:r>
      <w:r>
        <w:rPr>
          <w:i/>
          <w:sz w:val="24"/>
        </w:rPr>
        <w:t>region</w:t>
      </w:r>
      <w:r>
        <w:rPr>
          <w:sz w:val="24"/>
        </w:rPr>
        <w:t>, the </w:t>
      </w:r>
      <w:r>
        <w:rPr>
          <w:i/>
          <w:sz w:val="24"/>
        </w:rPr>
        <w:t>Registered </w:t>
      </w:r>
      <w:r>
        <w:rPr>
          <w:i/>
          <w:sz w:val="24"/>
        </w:rPr>
        <w:t>Participant </w:t>
      </w:r>
      <w:r>
        <w:rPr>
          <w:sz w:val="24"/>
        </w:rPr>
        <w:t>may request the preparation of a report by the relevant </w:t>
      </w:r>
      <w:r>
        <w:rPr>
          <w:i/>
          <w:sz w:val="24"/>
        </w:rPr>
        <w:t>Network </w:t>
      </w:r>
      <w:r>
        <w:rPr>
          <w:i/>
          <w:sz w:val="24"/>
        </w:rPr>
        <w:t>Service Provider </w:t>
      </w:r>
      <w:r>
        <w:rPr>
          <w:sz w:val="24"/>
        </w:rPr>
        <w:t>as to the technical impacts of the development or change. If so requested, the </w:t>
      </w:r>
      <w:r>
        <w:rPr>
          <w:i/>
          <w:sz w:val="24"/>
        </w:rPr>
        <w:t>Network Service Provider </w:t>
      </w:r>
      <w:r>
        <w:rPr>
          <w:sz w:val="24"/>
        </w:rPr>
        <w:t>must prepare such a report and provide a copy of it to </w:t>
      </w:r>
      <w:r>
        <w:rPr>
          <w:i/>
          <w:sz w:val="24"/>
        </w:rPr>
        <w:t>AEMO</w:t>
      </w:r>
      <w:r>
        <w:rPr>
          <w:sz w:val="24"/>
        </w:rPr>
        <w:t>, the </w:t>
      </w:r>
      <w:r>
        <w:rPr>
          <w:i/>
          <w:sz w:val="24"/>
        </w:rPr>
        <w:t>Registered Participant </w:t>
      </w:r>
      <w:r>
        <w:rPr>
          <w:sz w:val="24"/>
        </w:rPr>
        <w:t>requesting the report and, on request, any other </w:t>
      </w:r>
      <w:r>
        <w:rPr>
          <w:i/>
          <w:sz w:val="24"/>
        </w:rPr>
        <w:t>Registered</w:t>
      </w:r>
      <w:r>
        <w:rPr>
          <w:i/>
          <w:spacing w:val="-2"/>
          <w:sz w:val="24"/>
        </w:rPr>
        <w:t> </w:t>
      </w:r>
      <w:r>
        <w:rPr>
          <w:i/>
          <w:sz w:val="24"/>
        </w:rPr>
        <w:t>Participant</w:t>
      </w:r>
      <w:r>
        <w:rPr>
          <w:sz w:val="24"/>
        </w:rPr>
        <w:t>.</w:t>
      </w:r>
    </w:p>
    <w:p>
      <w:pPr>
        <w:spacing w:after="0"/>
        <w:jc w:val="both"/>
        <w:rPr>
          <w:sz w:val="24"/>
        </w:rPr>
        <w:sectPr>
          <w:pgSz w:w="11910" w:h="16840"/>
          <w:pgMar w:header="686" w:footer="637" w:top="1320" w:bottom="820" w:left="1200" w:right="1000"/>
        </w:sectPr>
      </w:pPr>
    </w:p>
    <w:p>
      <w:pPr>
        <w:pStyle w:val="Heading4"/>
        <w:numPr>
          <w:ilvl w:val="2"/>
          <w:numId w:val="153"/>
        </w:numPr>
        <w:tabs>
          <w:tab w:pos="753" w:val="left" w:leader="none"/>
          <w:tab w:pos="1351" w:val="left" w:leader="none"/>
        </w:tabs>
        <w:spacing w:line="240" w:lineRule="auto" w:before="83" w:after="0"/>
        <w:ind w:left="752" w:right="0" w:hanging="535"/>
        <w:jc w:val="left"/>
      </w:pPr>
      <w:bookmarkStart w:name="5.2.6A AEMO review of technical requirem" w:id="379"/>
      <w:bookmarkEnd w:id="379"/>
      <w:r>
        <w:rPr>
          <w:b w:val="0"/>
        </w:rPr>
      </w:r>
      <w:bookmarkStart w:name="_bookmark164" w:id="380"/>
      <w:bookmarkEnd w:id="380"/>
      <w:r>
        <w:rPr>
          <w:b w:val="0"/>
        </w:rPr>
      </w:r>
      <w:bookmarkStart w:name="_bookmark164" w:id="381"/>
      <w:bookmarkEnd w:id="381"/>
      <w:r>
        <w:rPr/>
        <w:t>A</w:t>
      </w:r>
      <w:r>
        <w:rPr/>
        <w:tab/>
        <w:t>AEMO review of technical requirements for</w:t>
      </w:r>
      <w:r>
        <w:rPr>
          <w:spacing w:val="-7"/>
        </w:rPr>
        <w:t> </w:t>
      </w:r>
      <w:r>
        <w:rPr/>
        <w:t>connection</w:t>
      </w:r>
    </w:p>
    <w:p>
      <w:pPr>
        <w:pStyle w:val="ListParagraph"/>
        <w:numPr>
          <w:ilvl w:val="3"/>
          <w:numId w:val="153"/>
        </w:numPr>
        <w:tabs>
          <w:tab w:pos="1919" w:val="left" w:leader="none"/>
        </w:tabs>
        <w:spacing w:line="240" w:lineRule="auto" w:before="120" w:after="0"/>
        <w:ind w:left="1919" w:right="415" w:hanging="567"/>
        <w:jc w:val="both"/>
        <w:rPr>
          <w:sz w:val="24"/>
        </w:rPr>
      </w:pPr>
      <w:r>
        <w:rPr>
          <w:i/>
          <w:sz w:val="24"/>
        </w:rPr>
        <w:t>AEMO </w:t>
      </w:r>
      <w:r>
        <w:rPr>
          <w:sz w:val="24"/>
        </w:rPr>
        <w:t>must conduct a review of some or all of the technical requirements set out in Schedule 5.2, Schedule 5.3 and Schedule 5.3a at least once in every five year period (and may conduct a review more frequently if </w:t>
      </w:r>
      <w:r>
        <w:rPr>
          <w:i/>
          <w:sz w:val="24"/>
        </w:rPr>
        <w:t>AEMO </w:t>
      </w:r>
      <w:r>
        <w:rPr>
          <w:sz w:val="24"/>
        </w:rPr>
        <w:t>considers necessary) to assess whether those requirements should be amended, having regard</w:t>
      </w:r>
      <w:r>
        <w:rPr>
          <w:spacing w:val="-1"/>
          <w:sz w:val="24"/>
        </w:rPr>
        <w:t> </w:t>
      </w:r>
      <w:r>
        <w:rPr>
          <w:sz w:val="24"/>
        </w:rPr>
        <w:t>to:</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national electricity</w:t>
      </w:r>
      <w:r>
        <w:rPr>
          <w:i/>
          <w:spacing w:val="-1"/>
          <w:sz w:val="24"/>
        </w:rPr>
        <w:t> </w:t>
      </w:r>
      <w:r>
        <w:rPr>
          <w:i/>
          <w:sz w:val="24"/>
        </w:rPr>
        <w:t>objective</w:t>
      </w:r>
      <w:r>
        <w:rPr>
          <w:sz w:val="24"/>
        </w:rPr>
        <w:t>;</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the need to achieve and maintain </w:t>
      </w:r>
      <w:r>
        <w:rPr>
          <w:i/>
          <w:sz w:val="24"/>
        </w:rPr>
        <w:t>power system</w:t>
      </w:r>
      <w:r>
        <w:rPr>
          <w:i/>
          <w:spacing w:val="-4"/>
          <w:sz w:val="24"/>
        </w:rPr>
        <w:t> </w:t>
      </w:r>
      <w:r>
        <w:rPr>
          <w:i/>
          <w:sz w:val="24"/>
        </w:rPr>
        <w:t>security</w:t>
      </w:r>
      <w:r>
        <w:rPr>
          <w:sz w:val="24"/>
        </w:rPr>
        <w:t>;</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changes in </w:t>
      </w:r>
      <w:r>
        <w:rPr>
          <w:i/>
          <w:sz w:val="24"/>
        </w:rPr>
        <w:t>power system </w:t>
      </w:r>
      <w:r>
        <w:rPr>
          <w:sz w:val="24"/>
        </w:rPr>
        <w:t>conditions;</w:t>
      </w:r>
      <w:r>
        <w:rPr>
          <w:spacing w:val="-3"/>
          <w:sz w:val="24"/>
        </w:rPr>
        <w:t> </w:t>
      </w:r>
      <w:r>
        <w:rPr>
          <w:sz w:val="24"/>
        </w:rPr>
        <w:t>and</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changes in technology and capabilities of </w:t>
      </w:r>
      <w:r>
        <w:rPr>
          <w:i/>
          <w:sz w:val="24"/>
        </w:rPr>
        <w:t>facilities </w:t>
      </w:r>
      <w:r>
        <w:rPr>
          <w:sz w:val="24"/>
        </w:rPr>
        <w:t>and</w:t>
      </w:r>
      <w:r>
        <w:rPr>
          <w:spacing w:val="-2"/>
          <w:sz w:val="24"/>
        </w:rPr>
        <w:t> </w:t>
      </w:r>
      <w:r>
        <w:rPr>
          <w:i/>
          <w:sz w:val="24"/>
        </w:rPr>
        <w:t>plant</w:t>
      </w:r>
      <w:r>
        <w:rPr>
          <w:sz w:val="24"/>
        </w:rPr>
        <w:t>.</w:t>
      </w:r>
    </w:p>
    <w:p>
      <w:pPr>
        <w:pStyle w:val="ListParagraph"/>
        <w:numPr>
          <w:ilvl w:val="3"/>
          <w:numId w:val="153"/>
        </w:numPr>
        <w:tabs>
          <w:tab w:pos="1918" w:val="left" w:leader="none"/>
          <w:tab w:pos="1919" w:val="left" w:leader="none"/>
        </w:tabs>
        <w:spacing w:line="240" w:lineRule="auto" w:before="120" w:after="0"/>
        <w:ind w:left="1919" w:right="414" w:hanging="567"/>
        <w:jc w:val="left"/>
        <w:rPr>
          <w:sz w:val="24"/>
        </w:rPr>
      </w:pPr>
      <w:r>
        <w:rPr>
          <w:sz w:val="24"/>
        </w:rPr>
        <w:t>When conducting a review under this clause 5.2.6A, </w:t>
      </w:r>
      <w:r>
        <w:rPr>
          <w:i/>
          <w:sz w:val="24"/>
        </w:rPr>
        <w:t>AEMO </w:t>
      </w:r>
      <w:r>
        <w:rPr>
          <w:sz w:val="24"/>
        </w:rPr>
        <w:t>must consult with, among other affected parties, the </w:t>
      </w:r>
      <w:r>
        <w:rPr>
          <w:i/>
          <w:sz w:val="24"/>
        </w:rPr>
        <w:t>Reliability</w:t>
      </w:r>
      <w:r>
        <w:rPr>
          <w:i/>
          <w:spacing w:val="-3"/>
          <w:sz w:val="24"/>
        </w:rPr>
        <w:t> </w:t>
      </w:r>
      <w:r>
        <w:rPr>
          <w:i/>
          <w:sz w:val="24"/>
        </w:rPr>
        <w:t>Panel</w:t>
      </w:r>
      <w:r>
        <w:rPr>
          <w:sz w:val="24"/>
        </w:rPr>
        <w:t>.</w:t>
      </w:r>
    </w:p>
    <w:p>
      <w:pPr>
        <w:pStyle w:val="ListParagraph"/>
        <w:numPr>
          <w:ilvl w:val="3"/>
          <w:numId w:val="153"/>
        </w:numPr>
        <w:tabs>
          <w:tab w:pos="1918" w:val="left" w:leader="none"/>
          <w:tab w:pos="1919" w:val="left" w:leader="none"/>
        </w:tabs>
        <w:spacing w:line="240" w:lineRule="auto" w:before="120" w:after="0"/>
        <w:ind w:left="1919" w:right="415" w:hanging="567"/>
        <w:jc w:val="left"/>
        <w:rPr>
          <w:sz w:val="24"/>
        </w:rPr>
      </w:pPr>
      <w:r>
        <w:rPr>
          <w:i/>
          <w:sz w:val="24"/>
        </w:rPr>
        <w:t>AEMO </w:t>
      </w:r>
      <w:r>
        <w:rPr>
          <w:sz w:val="24"/>
        </w:rPr>
        <w:t>must commence a review under this clause 5.2.6A with the publication of an approach paper on its website, which</w:t>
      </w:r>
      <w:r>
        <w:rPr>
          <w:spacing w:val="-5"/>
          <w:sz w:val="24"/>
        </w:rPr>
        <w:t> </w:t>
      </w:r>
      <w:r>
        <w:rPr>
          <w:sz w:val="24"/>
        </w:rPr>
        <w:t>must:</w:t>
      </w:r>
    </w:p>
    <w:p>
      <w:pPr>
        <w:pStyle w:val="ListParagraph"/>
        <w:numPr>
          <w:ilvl w:val="4"/>
          <w:numId w:val="153"/>
        </w:numPr>
        <w:tabs>
          <w:tab w:pos="2485" w:val="left" w:leader="none"/>
          <w:tab w:pos="2486" w:val="left" w:leader="none"/>
        </w:tabs>
        <w:spacing w:line="240" w:lineRule="auto" w:before="120" w:after="0"/>
        <w:ind w:left="2486" w:right="416" w:hanging="567"/>
        <w:jc w:val="left"/>
        <w:rPr>
          <w:sz w:val="24"/>
        </w:rPr>
      </w:pPr>
      <w:r>
        <w:rPr>
          <w:sz w:val="24"/>
        </w:rPr>
        <w:t>set out the scope of the review, including the nature and extent of the issues to be</w:t>
      </w:r>
      <w:r>
        <w:rPr>
          <w:spacing w:val="-1"/>
          <w:sz w:val="24"/>
        </w:rPr>
        <w:t> </w:t>
      </w:r>
      <w:r>
        <w:rPr>
          <w:sz w:val="24"/>
        </w:rPr>
        <w:t>reviewed;</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describe the technical requirements to be consulted on;</w:t>
      </w:r>
      <w:r>
        <w:rPr>
          <w:spacing w:val="-2"/>
          <w:sz w:val="24"/>
        </w:rPr>
        <w:t> </w:t>
      </w:r>
      <w:r>
        <w:rPr>
          <w:sz w:val="24"/>
        </w:rPr>
        <w:t>and</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state the date by which a draft report will be</w:t>
      </w:r>
      <w:r>
        <w:rPr>
          <w:spacing w:val="-6"/>
          <w:sz w:val="24"/>
        </w:rPr>
        <w:t> </w:t>
      </w:r>
      <w:r>
        <w:rPr>
          <w:sz w:val="24"/>
        </w:rPr>
        <w:t>published.</w:t>
      </w:r>
    </w:p>
    <w:p>
      <w:pPr>
        <w:pStyle w:val="ListParagraph"/>
        <w:numPr>
          <w:ilvl w:val="3"/>
          <w:numId w:val="153"/>
        </w:numPr>
        <w:tabs>
          <w:tab w:pos="1918" w:val="left" w:leader="none"/>
          <w:tab w:pos="1919" w:val="left" w:leader="none"/>
        </w:tabs>
        <w:spacing w:line="240" w:lineRule="auto" w:before="120" w:after="0"/>
        <w:ind w:left="1918" w:right="0" w:hanging="567"/>
        <w:jc w:val="left"/>
        <w:rPr>
          <w:sz w:val="24"/>
        </w:rPr>
      </w:pPr>
      <w:r>
        <w:rPr>
          <w:i/>
          <w:sz w:val="24"/>
        </w:rPr>
        <w:t>AEMO </w:t>
      </w:r>
      <w:r>
        <w:rPr>
          <w:sz w:val="24"/>
        </w:rPr>
        <w:t>must publish a draft report on its website</w:t>
      </w:r>
      <w:r>
        <w:rPr>
          <w:spacing w:val="-3"/>
          <w:sz w:val="24"/>
        </w:rPr>
        <w:t> </w:t>
      </w:r>
      <w:r>
        <w:rPr>
          <w:sz w:val="24"/>
        </w:rPr>
        <w:t>that:</w:t>
      </w:r>
    </w:p>
    <w:p>
      <w:pPr>
        <w:pStyle w:val="ListParagraph"/>
        <w:numPr>
          <w:ilvl w:val="4"/>
          <w:numId w:val="153"/>
        </w:numPr>
        <w:tabs>
          <w:tab w:pos="2486" w:val="left" w:leader="none"/>
        </w:tabs>
        <w:spacing w:line="240" w:lineRule="auto" w:before="120" w:after="0"/>
        <w:ind w:left="2486" w:right="414" w:hanging="567"/>
        <w:jc w:val="both"/>
        <w:rPr>
          <w:sz w:val="24"/>
        </w:rPr>
      </w:pPr>
      <w:r>
        <w:rPr>
          <w:sz w:val="24"/>
        </w:rPr>
        <w:t>sets out </w:t>
      </w:r>
      <w:r>
        <w:rPr>
          <w:i/>
          <w:sz w:val="24"/>
        </w:rPr>
        <w:t>AEMO's </w:t>
      </w:r>
      <w:r>
        <w:rPr>
          <w:sz w:val="24"/>
        </w:rPr>
        <w:t>recommendations for any amendments to the technical requirements set out in Schedule 5.2, Schedule 5.3 and Schedule 5.3a and the reasons for those recommendations;</w:t>
      </w:r>
      <w:r>
        <w:rPr>
          <w:spacing w:val="-6"/>
          <w:sz w:val="24"/>
        </w:rPr>
        <w:t> </w:t>
      </w:r>
      <w:r>
        <w:rPr>
          <w:sz w:val="24"/>
        </w:rPr>
        <w:t>and</w:t>
      </w:r>
    </w:p>
    <w:p>
      <w:pPr>
        <w:pStyle w:val="ListParagraph"/>
        <w:numPr>
          <w:ilvl w:val="4"/>
          <w:numId w:val="153"/>
        </w:numPr>
        <w:tabs>
          <w:tab w:pos="2486" w:val="left" w:leader="none"/>
        </w:tabs>
        <w:spacing w:line="240" w:lineRule="auto" w:before="120" w:after="0"/>
        <w:ind w:left="2486" w:right="415" w:hanging="567"/>
        <w:jc w:val="both"/>
        <w:rPr>
          <w:sz w:val="24"/>
        </w:rPr>
      </w:pPr>
      <w:r>
        <w:rPr>
          <w:sz w:val="24"/>
        </w:rPr>
        <w:t>includes an invitation for written submissions to be made to </w:t>
      </w:r>
      <w:r>
        <w:rPr>
          <w:i/>
          <w:sz w:val="24"/>
        </w:rPr>
        <w:t>AEMO </w:t>
      </w:r>
      <w:r>
        <w:rPr>
          <w:sz w:val="24"/>
        </w:rPr>
        <w:t>within a period specified in the invitation (which must be at least 30 </w:t>
      </w:r>
      <w:r>
        <w:rPr>
          <w:i/>
          <w:sz w:val="24"/>
        </w:rPr>
        <w:t>business days</w:t>
      </w:r>
      <w:r>
        <w:rPr>
          <w:sz w:val="24"/>
        </w:rPr>
        <w:t>) on the technical requirements and recommendations </w:t>
      </w:r>
      <w:r>
        <w:rPr>
          <w:spacing w:val="-6"/>
          <w:sz w:val="24"/>
        </w:rPr>
        <w:t>in </w:t>
      </w:r>
      <w:r>
        <w:rPr>
          <w:sz w:val="24"/>
        </w:rPr>
        <w:t>the draft report and must publish any submissions on its</w:t>
      </w:r>
      <w:r>
        <w:rPr>
          <w:spacing w:val="30"/>
          <w:sz w:val="24"/>
        </w:rPr>
        <w:t> </w:t>
      </w:r>
      <w:r>
        <w:rPr>
          <w:sz w:val="24"/>
        </w:rPr>
        <w:t>website, subject to obligations in respect of </w:t>
      </w:r>
      <w:r>
        <w:rPr>
          <w:i/>
          <w:sz w:val="24"/>
        </w:rPr>
        <w:t>confidential</w:t>
      </w:r>
      <w:r>
        <w:rPr>
          <w:i/>
          <w:spacing w:val="-5"/>
          <w:sz w:val="24"/>
        </w:rPr>
        <w:t> </w:t>
      </w:r>
      <w:r>
        <w:rPr>
          <w:i/>
          <w:sz w:val="24"/>
        </w:rPr>
        <w:t>information</w:t>
      </w:r>
      <w:r>
        <w:rPr>
          <w:sz w:val="24"/>
        </w:rPr>
        <w:t>.</w:t>
      </w:r>
    </w:p>
    <w:p>
      <w:pPr>
        <w:pStyle w:val="ListParagraph"/>
        <w:numPr>
          <w:ilvl w:val="3"/>
          <w:numId w:val="153"/>
        </w:numPr>
        <w:tabs>
          <w:tab w:pos="1919" w:val="left" w:leader="none"/>
        </w:tabs>
        <w:spacing w:line="240" w:lineRule="auto" w:before="120" w:after="0"/>
        <w:ind w:left="1919" w:right="415" w:hanging="567"/>
        <w:jc w:val="both"/>
        <w:rPr>
          <w:sz w:val="24"/>
        </w:rPr>
      </w:pPr>
      <w:r>
        <w:rPr>
          <w:i/>
          <w:sz w:val="24"/>
        </w:rPr>
        <w:t>AEMO </w:t>
      </w:r>
      <w:r>
        <w:rPr>
          <w:sz w:val="24"/>
        </w:rPr>
        <w:t>must publish a final report on its website within 12 months of the approach paper's publication under paragraph (c), setting out </w:t>
      </w:r>
      <w:r>
        <w:rPr>
          <w:i/>
          <w:sz w:val="24"/>
        </w:rPr>
        <w:t>AEMO's </w:t>
      </w:r>
      <w:r>
        <w:rPr>
          <w:sz w:val="24"/>
        </w:rPr>
        <w:t>recommendations for any amendments to the technical requirements set out in Schedule 5.2, Schedule 5.3 and Schedule 5.3a, having regard to the matters set out in subparagraphs (a)(1) to (4) and any submissions made in response to its invitation under subparagraph</w:t>
      </w:r>
      <w:r>
        <w:rPr>
          <w:spacing w:val="-2"/>
          <w:sz w:val="24"/>
        </w:rPr>
        <w:t> </w:t>
      </w:r>
      <w:r>
        <w:rPr>
          <w:sz w:val="24"/>
        </w:rPr>
        <w:t>(d)(2).</w:t>
      </w:r>
    </w:p>
    <w:p>
      <w:pPr>
        <w:pStyle w:val="ListParagraph"/>
        <w:numPr>
          <w:ilvl w:val="3"/>
          <w:numId w:val="153"/>
        </w:numPr>
        <w:tabs>
          <w:tab w:pos="1920" w:val="left" w:leader="none"/>
        </w:tabs>
        <w:spacing w:line="240" w:lineRule="auto" w:before="120" w:after="0"/>
        <w:ind w:left="1919" w:right="415" w:hanging="567"/>
        <w:jc w:val="both"/>
        <w:rPr>
          <w:sz w:val="24"/>
        </w:rPr>
      </w:pPr>
      <w:r>
        <w:rPr>
          <w:sz w:val="24"/>
        </w:rPr>
        <w:t>As soon as practicable following publication of a final report under paragraph (e), </w:t>
      </w:r>
      <w:r>
        <w:rPr>
          <w:i/>
          <w:sz w:val="24"/>
        </w:rPr>
        <w:t>AEMO </w:t>
      </w:r>
      <w:r>
        <w:rPr>
          <w:sz w:val="24"/>
        </w:rPr>
        <w:t>must provide written notification to the </w:t>
      </w:r>
      <w:r>
        <w:rPr>
          <w:i/>
          <w:sz w:val="24"/>
        </w:rPr>
        <w:t>AEMC </w:t>
      </w:r>
      <w:r>
        <w:rPr>
          <w:sz w:val="24"/>
        </w:rPr>
        <w:t>as to whether </w:t>
      </w:r>
      <w:r>
        <w:rPr>
          <w:i/>
          <w:sz w:val="24"/>
        </w:rPr>
        <w:t>AEMO </w:t>
      </w:r>
      <w:r>
        <w:rPr>
          <w:sz w:val="24"/>
        </w:rPr>
        <w:t>will be submitting a </w:t>
      </w:r>
      <w:r>
        <w:rPr>
          <w:i/>
          <w:sz w:val="24"/>
        </w:rPr>
        <w:t>Rule </w:t>
      </w:r>
      <w:r>
        <w:rPr>
          <w:sz w:val="24"/>
        </w:rPr>
        <w:t>change proposal that results from the review.</w:t>
      </w:r>
    </w:p>
    <w:p>
      <w:pPr>
        <w:pStyle w:val="BodyText"/>
        <w:spacing w:before="10"/>
        <w:ind w:firstLine="0"/>
        <w:jc w:val="left"/>
        <w:rPr>
          <w:sz w:val="20"/>
        </w:rPr>
      </w:pPr>
    </w:p>
    <w:p>
      <w:pPr>
        <w:pStyle w:val="Heading4"/>
        <w:numPr>
          <w:ilvl w:val="2"/>
          <w:numId w:val="153"/>
        </w:numPr>
        <w:tabs>
          <w:tab w:pos="1351" w:val="left" w:leader="none"/>
          <w:tab w:pos="1352" w:val="left" w:leader="none"/>
        </w:tabs>
        <w:spacing w:line="240" w:lineRule="auto" w:before="0" w:after="0"/>
        <w:ind w:left="1351" w:right="0" w:hanging="1134"/>
        <w:jc w:val="left"/>
      </w:pPr>
      <w:bookmarkStart w:name="5.2.7 Obligations of Dedicated Connectio" w:id="382"/>
      <w:bookmarkEnd w:id="382"/>
      <w:r>
        <w:rPr>
          <w:b w:val="0"/>
        </w:rPr>
      </w:r>
      <w:bookmarkStart w:name="_bookmark165" w:id="383"/>
      <w:bookmarkEnd w:id="383"/>
      <w:r>
        <w:rPr>
          <w:b w:val="0"/>
        </w:rPr>
      </w:r>
      <w:bookmarkStart w:name="_bookmark165" w:id="384"/>
      <w:bookmarkEnd w:id="384"/>
      <w:r>
        <w:rPr/>
        <w:t>Obl</w:t>
      </w:r>
      <w:r>
        <w:rPr/>
        <w:t>igations of Dedicated Connection Asset Service</w:t>
      </w:r>
      <w:r>
        <w:rPr>
          <w:spacing w:val="-8"/>
        </w:rPr>
        <w:t> </w:t>
      </w:r>
      <w:r>
        <w:rPr/>
        <w:t>Providers</w:t>
      </w:r>
    </w:p>
    <w:p>
      <w:pPr>
        <w:pStyle w:val="ListParagraph"/>
        <w:numPr>
          <w:ilvl w:val="3"/>
          <w:numId w:val="153"/>
        </w:numPr>
        <w:tabs>
          <w:tab w:pos="1919" w:val="left" w:leader="none"/>
        </w:tabs>
        <w:spacing w:line="240" w:lineRule="auto" w:before="120" w:after="0"/>
        <w:ind w:left="1919" w:right="415" w:hanging="567"/>
        <w:jc w:val="both"/>
        <w:rPr>
          <w:sz w:val="24"/>
        </w:rPr>
      </w:pPr>
      <w:r>
        <w:rPr>
          <w:sz w:val="24"/>
        </w:rPr>
        <w:t>A </w:t>
      </w:r>
      <w:r>
        <w:rPr>
          <w:i/>
          <w:sz w:val="24"/>
        </w:rPr>
        <w:t>Dedicated Connection Asset Service Provider </w:t>
      </w:r>
      <w:r>
        <w:rPr>
          <w:sz w:val="24"/>
        </w:rPr>
        <w:t>must classify its </w:t>
      </w:r>
      <w:r>
        <w:rPr>
          <w:i/>
          <w:sz w:val="24"/>
        </w:rPr>
        <w:t>dedicated </w:t>
      </w:r>
      <w:r>
        <w:rPr>
          <w:i/>
          <w:sz w:val="24"/>
        </w:rPr>
        <w:t>connection asset </w:t>
      </w:r>
      <w:r>
        <w:rPr>
          <w:sz w:val="24"/>
        </w:rPr>
        <w:t>as a </w:t>
      </w:r>
      <w:r>
        <w:rPr>
          <w:i/>
          <w:sz w:val="24"/>
        </w:rPr>
        <w:t>small dedicated connection asset </w:t>
      </w:r>
      <w:r>
        <w:rPr>
          <w:sz w:val="24"/>
        </w:rPr>
        <w:t>or a </w:t>
      </w:r>
      <w:r>
        <w:rPr>
          <w:i/>
          <w:sz w:val="24"/>
        </w:rPr>
        <w:t>large dedicated </w:t>
      </w:r>
      <w:r>
        <w:rPr>
          <w:i/>
          <w:sz w:val="24"/>
        </w:rPr>
        <w:t>connection asset </w:t>
      </w:r>
      <w:r>
        <w:rPr>
          <w:sz w:val="24"/>
        </w:rPr>
        <w:t>in accordance with </w:t>
      </w:r>
      <w:r>
        <w:rPr>
          <w:i/>
          <w:sz w:val="24"/>
        </w:rPr>
        <w:t>jurisdictional electricity</w:t>
      </w:r>
      <w:r>
        <w:rPr>
          <w:i/>
          <w:spacing w:val="-6"/>
          <w:sz w:val="24"/>
        </w:rPr>
        <w:t> </w:t>
      </w:r>
      <w:r>
        <w:rPr>
          <w:i/>
          <w:sz w:val="24"/>
        </w:rPr>
        <w:t>legislation</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w:t>
      </w:r>
      <w:r>
        <w:rPr>
          <w:i/>
          <w:sz w:val="20"/>
        </w:rPr>
        <w:t>jurisdiction electricity legislation </w:t>
      </w:r>
      <w:r>
        <w:rPr>
          <w:sz w:val="20"/>
        </w:rPr>
        <w:t>that is relevant to the classification of a </w:t>
      </w:r>
      <w:r>
        <w:rPr>
          <w:i/>
          <w:sz w:val="20"/>
        </w:rPr>
        <w:t>dedicated </w:t>
      </w:r>
      <w:r>
        <w:rPr>
          <w:i/>
          <w:sz w:val="20"/>
        </w:rPr>
        <w:t>connection asset </w:t>
      </w:r>
      <w:r>
        <w:rPr>
          <w:sz w:val="20"/>
        </w:rPr>
        <w:t>is the </w:t>
      </w:r>
      <w:r>
        <w:rPr>
          <w:i/>
          <w:sz w:val="20"/>
        </w:rPr>
        <w:t>Electricity Reform Act 2000 </w:t>
      </w:r>
      <w:r>
        <w:rPr>
          <w:sz w:val="20"/>
        </w:rPr>
        <w:t>(NT) and the </w:t>
      </w:r>
      <w:r>
        <w:rPr>
          <w:i/>
          <w:sz w:val="20"/>
        </w:rPr>
        <w:t>National Electricity </w:t>
      </w:r>
      <w:r>
        <w:rPr>
          <w:i/>
          <w:sz w:val="20"/>
        </w:rPr>
        <w:t>(Northern Territory) (National Uniform Legislation) Act 2015</w:t>
      </w:r>
      <w:r>
        <w:rPr>
          <w:sz w:val="20"/>
        </w:rPr>
        <w:t>.</w:t>
      </w:r>
    </w:p>
    <w:p>
      <w:pPr>
        <w:pStyle w:val="ListParagraph"/>
        <w:numPr>
          <w:ilvl w:val="3"/>
          <w:numId w:val="153"/>
        </w:numPr>
        <w:tabs>
          <w:tab w:pos="1919" w:val="left" w:leader="none"/>
        </w:tabs>
        <w:spacing w:line="240" w:lineRule="auto" w:before="120" w:after="0"/>
        <w:ind w:left="1919" w:right="414" w:hanging="567"/>
        <w:jc w:val="both"/>
        <w:rPr>
          <w:sz w:val="24"/>
        </w:rPr>
      </w:pPr>
      <w:r>
        <w:rPr>
          <w:sz w:val="24"/>
        </w:rPr>
        <w:t>A </w:t>
      </w:r>
      <w:r>
        <w:rPr>
          <w:i/>
          <w:sz w:val="24"/>
        </w:rPr>
        <w:t>Dedicated Connection Asset Service Provider </w:t>
      </w:r>
      <w:r>
        <w:rPr>
          <w:sz w:val="24"/>
        </w:rPr>
        <w:t>must plan and design its </w:t>
      </w:r>
      <w:r>
        <w:rPr>
          <w:i/>
          <w:sz w:val="24"/>
        </w:rPr>
        <w:t>dedicated connection assets </w:t>
      </w:r>
      <w:r>
        <w:rPr>
          <w:sz w:val="24"/>
        </w:rPr>
        <w:t>and ensure that they are operated to comply with:</w:t>
      </w:r>
    </w:p>
    <w:p>
      <w:pPr>
        <w:pStyle w:val="ListParagraph"/>
        <w:numPr>
          <w:ilvl w:val="4"/>
          <w:numId w:val="153"/>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performance standards </w:t>
      </w:r>
      <w:r>
        <w:rPr>
          <w:sz w:val="24"/>
        </w:rPr>
        <w:t>applicable to those </w:t>
      </w:r>
      <w:r>
        <w:rPr>
          <w:i/>
          <w:sz w:val="24"/>
        </w:rPr>
        <w:t>facilities connected </w:t>
      </w:r>
      <w:r>
        <w:rPr>
          <w:sz w:val="24"/>
        </w:rPr>
        <w:t>to those </w:t>
      </w:r>
      <w:r>
        <w:rPr>
          <w:i/>
          <w:sz w:val="24"/>
        </w:rPr>
        <w:t>dedicated connection</w:t>
      </w:r>
      <w:r>
        <w:rPr>
          <w:i/>
          <w:spacing w:val="-1"/>
          <w:sz w:val="24"/>
        </w:rPr>
        <w:t> </w:t>
      </w:r>
      <w:r>
        <w:rPr>
          <w:i/>
          <w:sz w:val="24"/>
        </w:rPr>
        <w:t>assets</w:t>
      </w:r>
      <w:r>
        <w:rPr>
          <w:sz w:val="24"/>
        </w:rPr>
        <w:t>;</w:t>
      </w:r>
    </w:p>
    <w:p>
      <w:pPr>
        <w:pStyle w:val="ListParagraph"/>
        <w:numPr>
          <w:ilvl w:val="4"/>
          <w:numId w:val="153"/>
        </w:numPr>
        <w:tabs>
          <w:tab w:pos="2485" w:val="left" w:leader="none"/>
          <w:tab w:pos="2486" w:val="left" w:leader="none"/>
        </w:tabs>
        <w:spacing w:line="240" w:lineRule="auto" w:before="120" w:after="0"/>
        <w:ind w:left="2486" w:right="416" w:hanging="567"/>
        <w:jc w:val="left"/>
        <w:rPr>
          <w:sz w:val="24"/>
        </w:rPr>
      </w:pPr>
      <w:r>
        <w:rPr>
          <w:sz w:val="24"/>
        </w:rPr>
        <w:t>subject to subparagraph (1), its </w:t>
      </w:r>
      <w:r>
        <w:rPr>
          <w:i/>
          <w:sz w:val="24"/>
        </w:rPr>
        <w:t>connection agreement </w:t>
      </w:r>
      <w:r>
        <w:rPr>
          <w:sz w:val="24"/>
        </w:rPr>
        <w:t>applicable to those </w:t>
      </w:r>
      <w:r>
        <w:rPr>
          <w:i/>
          <w:sz w:val="24"/>
        </w:rPr>
        <w:t>dedicated connection assets</w:t>
      </w:r>
      <w:r>
        <w:rPr>
          <w:sz w:val="24"/>
        </w:rPr>
        <w:t>;</w:t>
      </w:r>
      <w:r>
        <w:rPr>
          <w:spacing w:val="-1"/>
          <w:sz w:val="24"/>
        </w:rPr>
        <w:t> </w:t>
      </w:r>
      <w:r>
        <w:rPr>
          <w:sz w:val="24"/>
        </w:rPr>
        <w:t>and</w:t>
      </w:r>
    </w:p>
    <w:p>
      <w:pPr>
        <w:pStyle w:val="ListParagraph"/>
        <w:numPr>
          <w:ilvl w:val="4"/>
          <w:numId w:val="153"/>
        </w:numPr>
        <w:tabs>
          <w:tab w:pos="2485" w:val="left" w:leader="none"/>
          <w:tab w:pos="2486" w:val="left" w:leader="none"/>
        </w:tabs>
        <w:spacing w:line="240" w:lineRule="auto" w:before="120" w:after="0"/>
        <w:ind w:left="2485" w:right="0" w:hanging="567"/>
        <w:jc w:val="left"/>
        <w:rPr>
          <w:sz w:val="24"/>
        </w:rPr>
      </w:pPr>
      <w:r>
        <w:rPr>
          <w:sz w:val="24"/>
        </w:rPr>
        <w:t>subject to subparagraph (2), the </w:t>
      </w:r>
      <w:r>
        <w:rPr>
          <w:i/>
          <w:sz w:val="24"/>
        </w:rPr>
        <w:t>system</w:t>
      </w:r>
      <w:r>
        <w:rPr>
          <w:i/>
          <w:spacing w:val="-6"/>
          <w:sz w:val="24"/>
        </w:rPr>
        <w:t> </w:t>
      </w:r>
      <w:r>
        <w:rPr>
          <w:i/>
          <w:sz w:val="24"/>
        </w:rPr>
        <w:t>standards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53"/>
        </w:numPr>
        <w:tabs>
          <w:tab w:pos="1919" w:val="left" w:leader="none"/>
        </w:tabs>
        <w:spacing w:line="240" w:lineRule="auto" w:before="120" w:after="0"/>
        <w:ind w:left="1919" w:right="415" w:hanging="567"/>
        <w:jc w:val="both"/>
        <w:rPr>
          <w:sz w:val="24"/>
        </w:rPr>
      </w:pPr>
      <w:r>
        <w:rPr>
          <w:sz w:val="24"/>
        </w:rPr>
        <w:t>A </w:t>
      </w:r>
      <w:r>
        <w:rPr>
          <w:i/>
          <w:sz w:val="24"/>
        </w:rPr>
        <w:t>Dedicated Connection Asset Service Provider </w:t>
      </w:r>
      <w:r>
        <w:rPr>
          <w:sz w:val="24"/>
        </w:rPr>
        <w:t>for a </w:t>
      </w:r>
      <w:r>
        <w:rPr>
          <w:i/>
          <w:sz w:val="24"/>
        </w:rPr>
        <w:t>large dedicated </w:t>
      </w:r>
      <w:r>
        <w:rPr>
          <w:i/>
          <w:sz w:val="24"/>
        </w:rPr>
        <w:t>connection asset </w:t>
      </w:r>
      <w:r>
        <w:rPr>
          <w:sz w:val="24"/>
        </w:rPr>
        <w:t>must prepare, maintain and publish an </w:t>
      </w:r>
      <w:r>
        <w:rPr>
          <w:i/>
          <w:sz w:val="24"/>
        </w:rPr>
        <w:t>access policy </w:t>
      </w:r>
      <w:r>
        <w:rPr>
          <w:spacing w:val="-6"/>
          <w:sz w:val="24"/>
        </w:rPr>
        <w:t>in </w:t>
      </w:r>
      <w:r>
        <w:rPr>
          <w:sz w:val="24"/>
        </w:rPr>
        <w:t>accordance with clause</w:t>
      </w:r>
      <w:r>
        <w:rPr>
          <w:spacing w:val="-3"/>
          <w:sz w:val="24"/>
        </w:rPr>
        <w:t> </w:t>
      </w:r>
      <w:r>
        <w:rPr>
          <w:sz w:val="24"/>
        </w:rPr>
        <w:t>5.2A.8.</w:t>
      </w:r>
    </w:p>
    <w:p>
      <w:pPr>
        <w:pStyle w:val="ListParagraph"/>
        <w:numPr>
          <w:ilvl w:val="3"/>
          <w:numId w:val="153"/>
        </w:numPr>
        <w:tabs>
          <w:tab w:pos="1919" w:val="left" w:leader="none"/>
        </w:tabs>
        <w:spacing w:line="240" w:lineRule="auto" w:before="120" w:after="0"/>
        <w:ind w:left="1918" w:right="0" w:hanging="567"/>
        <w:jc w:val="both"/>
        <w:rPr>
          <w:sz w:val="24"/>
        </w:rPr>
      </w:pPr>
      <w:r>
        <w:rPr>
          <w:sz w:val="24"/>
        </w:rPr>
        <w:t>A </w:t>
      </w:r>
      <w:r>
        <w:rPr>
          <w:i/>
          <w:sz w:val="24"/>
        </w:rPr>
        <w:t>Dedicated Connection Asset Service Provider</w:t>
      </w:r>
      <w:r>
        <w:rPr>
          <w:i/>
          <w:spacing w:val="-1"/>
          <w:sz w:val="24"/>
        </w:rPr>
        <w:t> </w:t>
      </w:r>
      <w:r>
        <w:rPr>
          <w:sz w:val="24"/>
        </w:rPr>
        <w:t>must:</w:t>
      </w:r>
    </w:p>
    <w:p>
      <w:pPr>
        <w:pStyle w:val="ListParagraph"/>
        <w:numPr>
          <w:ilvl w:val="4"/>
          <w:numId w:val="153"/>
        </w:numPr>
        <w:tabs>
          <w:tab w:pos="2486" w:val="left" w:leader="none"/>
        </w:tabs>
        <w:spacing w:line="240" w:lineRule="auto" w:before="120" w:after="0"/>
        <w:ind w:left="2486" w:right="415" w:hanging="567"/>
        <w:jc w:val="both"/>
        <w:rPr>
          <w:sz w:val="24"/>
        </w:rPr>
      </w:pPr>
      <w:r>
        <w:rPr>
          <w:sz w:val="24"/>
        </w:rPr>
        <w:t>permit and participate in inspection and testing of </w:t>
      </w:r>
      <w:r>
        <w:rPr>
          <w:i/>
          <w:sz w:val="24"/>
        </w:rPr>
        <w:t>facilities </w:t>
      </w:r>
      <w:r>
        <w:rPr>
          <w:sz w:val="24"/>
        </w:rPr>
        <w:t>and equipment in accordance with rule</w:t>
      </w:r>
      <w:r>
        <w:rPr>
          <w:spacing w:val="-2"/>
          <w:sz w:val="24"/>
        </w:rPr>
        <w:t> </w:t>
      </w:r>
      <w:r>
        <w:rPr>
          <w:sz w:val="24"/>
        </w:rPr>
        <w:t>5.7;</w:t>
      </w:r>
    </w:p>
    <w:p>
      <w:pPr>
        <w:pStyle w:val="ListParagraph"/>
        <w:numPr>
          <w:ilvl w:val="4"/>
          <w:numId w:val="153"/>
        </w:numPr>
        <w:tabs>
          <w:tab w:pos="2486" w:val="left" w:leader="none"/>
        </w:tabs>
        <w:spacing w:line="240" w:lineRule="auto" w:before="120" w:after="0"/>
        <w:ind w:left="2486" w:right="415" w:hanging="567"/>
        <w:jc w:val="both"/>
        <w:rPr>
          <w:sz w:val="24"/>
        </w:rPr>
      </w:pPr>
      <w:r>
        <w:rPr>
          <w:sz w:val="24"/>
        </w:rPr>
        <w:t>permit and participate in commissioning of </w:t>
      </w:r>
      <w:r>
        <w:rPr>
          <w:i/>
          <w:sz w:val="24"/>
        </w:rPr>
        <w:t>facilities </w:t>
      </w:r>
      <w:r>
        <w:rPr>
          <w:sz w:val="24"/>
        </w:rPr>
        <w:t>and </w:t>
      </w:r>
      <w:r>
        <w:rPr>
          <w:spacing w:val="-3"/>
          <w:sz w:val="24"/>
        </w:rPr>
        <w:t>equipment </w:t>
      </w:r>
      <w:r>
        <w:rPr>
          <w:sz w:val="24"/>
        </w:rPr>
        <w:t>which are to be </w:t>
      </w:r>
      <w:r>
        <w:rPr>
          <w:i/>
          <w:sz w:val="24"/>
        </w:rPr>
        <w:t>connected </w:t>
      </w:r>
      <w:r>
        <w:rPr>
          <w:sz w:val="24"/>
        </w:rPr>
        <w:t>to a </w:t>
      </w:r>
      <w:r>
        <w:rPr>
          <w:i/>
          <w:sz w:val="24"/>
        </w:rPr>
        <w:t>network </w:t>
      </w:r>
      <w:r>
        <w:rPr>
          <w:sz w:val="24"/>
        </w:rPr>
        <w:t>for the first time in accordance with rule</w:t>
      </w:r>
      <w:r>
        <w:rPr>
          <w:spacing w:val="-2"/>
          <w:sz w:val="24"/>
        </w:rPr>
        <w:t> </w:t>
      </w:r>
      <w:r>
        <w:rPr>
          <w:sz w:val="24"/>
        </w:rPr>
        <w:t>5.8;</w:t>
      </w:r>
    </w:p>
    <w:p>
      <w:pPr>
        <w:pStyle w:val="ListParagraph"/>
        <w:numPr>
          <w:ilvl w:val="4"/>
          <w:numId w:val="153"/>
        </w:numPr>
        <w:tabs>
          <w:tab w:pos="2486" w:val="left" w:leader="none"/>
        </w:tabs>
        <w:spacing w:line="240" w:lineRule="auto" w:before="120" w:after="0"/>
        <w:ind w:left="2486" w:right="416" w:hanging="567"/>
        <w:jc w:val="both"/>
        <w:rPr>
          <w:sz w:val="24"/>
        </w:rPr>
      </w:pPr>
      <w:r>
        <w:rPr>
          <w:sz w:val="24"/>
        </w:rPr>
        <w:t>give notice of intended voluntary permanent </w:t>
      </w:r>
      <w:r>
        <w:rPr>
          <w:i/>
          <w:sz w:val="24"/>
        </w:rPr>
        <w:t>disconnection </w:t>
      </w:r>
      <w:r>
        <w:rPr>
          <w:spacing w:val="-6"/>
          <w:sz w:val="24"/>
        </w:rPr>
        <w:t>in </w:t>
      </w:r>
      <w:r>
        <w:rPr>
          <w:sz w:val="24"/>
        </w:rPr>
        <w:t>accordance with rule 5.9;</w:t>
      </w:r>
      <w:r>
        <w:rPr>
          <w:spacing w:val="-3"/>
          <w:sz w:val="24"/>
        </w:rPr>
        <w:t> </w:t>
      </w:r>
      <w:r>
        <w:rPr>
          <w:sz w:val="24"/>
        </w:rPr>
        <w:t>and</w:t>
      </w:r>
    </w:p>
    <w:p>
      <w:pPr>
        <w:pStyle w:val="ListParagraph"/>
        <w:numPr>
          <w:ilvl w:val="4"/>
          <w:numId w:val="153"/>
        </w:numPr>
        <w:tabs>
          <w:tab w:pos="2486" w:val="left" w:leader="none"/>
        </w:tabs>
        <w:spacing w:line="240" w:lineRule="auto" w:before="120" w:after="0"/>
        <w:ind w:left="2486" w:right="414" w:hanging="567"/>
        <w:jc w:val="both"/>
        <w:rPr>
          <w:sz w:val="24"/>
        </w:rPr>
      </w:pPr>
      <w:r>
        <w:rPr>
          <w:sz w:val="24"/>
        </w:rPr>
        <w:t>in relation to a </w:t>
      </w:r>
      <w:r>
        <w:rPr>
          <w:i/>
          <w:sz w:val="24"/>
        </w:rPr>
        <w:t>connection </w:t>
      </w:r>
      <w:r>
        <w:rPr>
          <w:sz w:val="24"/>
        </w:rPr>
        <w:t>to an </w:t>
      </w:r>
      <w:r>
        <w:rPr>
          <w:i/>
          <w:sz w:val="24"/>
        </w:rPr>
        <w:t>identified user shared asset</w:t>
      </w:r>
      <w:r>
        <w:rPr>
          <w:sz w:val="24"/>
        </w:rPr>
        <w:t>, ensure that there is a </w:t>
      </w:r>
      <w:r>
        <w:rPr>
          <w:i/>
          <w:sz w:val="24"/>
        </w:rPr>
        <w:t>connection agreement </w:t>
      </w:r>
      <w:r>
        <w:rPr>
          <w:sz w:val="24"/>
        </w:rPr>
        <w:t>between itself and the </w:t>
      </w:r>
      <w:r>
        <w:rPr>
          <w:i/>
          <w:sz w:val="24"/>
        </w:rPr>
        <w:t>Primary </w:t>
      </w:r>
      <w:r>
        <w:rPr>
          <w:i/>
          <w:sz w:val="24"/>
        </w:rPr>
        <w:t>Transmission Network Service</w:t>
      </w:r>
      <w:r>
        <w:rPr>
          <w:i/>
          <w:spacing w:val="-2"/>
          <w:sz w:val="24"/>
        </w:rPr>
        <w:t> </w:t>
      </w:r>
      <w:r>
        <w:rPr>
          <w:i/>
          <w:sz w:val="24"/>
        </w:rPr>
        <w:t>Provider</w:t>
      </w:r>
      <w:r>
        <w:rPr>
          <w:sz w:val="24"/>
        </w:rPr>
        <w:t>.</w:t>
      </w:r>
    </w:p>
    <w:p>
      <w:pPr>
        <w:pStyle w:val="BodyText"/>
        <w:spacing w:before="10"/>
        <w:ind w:firstLine="0"/>
        <w:jc w:val="left"/>
        <w:rPr>
          <w:sz w:val="20"/>
        </w:rPr>
      </w:pPr>
    </w:p>
    <w:p>
      <w:pPr>
        <w:pStyle w:val="Heading3"/>
        <w:tabs>
          <w:tab w:pos="1351" w:val="left" w:leader="none"/>
        </w:tabs>
        <w:ind w:left="218" w:firstLine="0"/>
      </w:pPr>
      <w:bookmarkStart w:name="5.2A Transmission network connection and" w:id="385"/>
      <w:bookmarkEnd w:id="385"/>
      <w:r>
        <w:rPr>
          <w:b w:val="0"/>
        </w:rPr>
      </w:r>
      <w:bookmarkStart w:name="_bookmark166" w:id="386"/>
      <w:bookmarkEnd w:id="386"/>
      <w:r>
        <w:rPr>
          <w:b w:val="0"/>
        </w:rPr>
      </w:r>
      <w:r>
        <w:rPr/>
        <w:t>5.2A</w:t>
        <w:tab/>
        <w:t>Transmission network connection and</w:t>
      </w:r>
      <w:r>
        <w:rPr>
          <w:spacing w:val="-5"/>
        </w:rPr>
        <w:t> </w:t>
      </w:r>
      <w:r>
        <w:rPr/>
        <w:t>access</w:t>
      </w:r>
    </w:p>
    <w:p>
      <w:pPr>
        <w:pStyle w:val="Heading4"/>
        <w:numPr>
          <w:ilvl w:val="1"/>
          <w:numId w:val="154"/>
        </w:numPr>
        <w:tabs>
          <w:tab w:pos="553" w:val="left" w:leader="none"/>
          <w:tab w:pos="1351" w:val="left" w:leader="none"/>
        </w:tabs>
        <w:spacing w:line="240" w:lineRule="auto" w:before="240" w:after="0"/>
        <w:ind w:left="552" w:right="0" w:hanging="335"/>
        <w:jc w:val="left"/>
      </w:pPr>
      <w:bookmarkStart w:name="5.2A.1 Application" w:id="387"/>
      <w:bookmarkEnd w:id="387"/>
      <w:r>
        <w:rPr>
          <w:b w:val="0"/>
        </w:rPr>
      </w:r>
      <w:bookmarkStart w:name="_bookmark167" w:id="388"/>
      <w:bookmarkEnd w:id="388"/>
      <w:r>
        <w:rPr>
          <w:b w:val="0"/>
        </w:rPr>
      </w:r>
      <w:bookmarkStart w:name="_bookmark167" w:id="389"/>
      <w:bookmarkEnd w:id="389"/>
      <w:r>
        <w:rPr/>
        <w:t>A.</w:t>
      </w:r>
      <w:r>
        <w:rPr/>
        <w:t>1</w:t>
        <w:tab/>
        <w:t>Application</w:t>
      </w:r>
    </w:p>
    <w:p>
      <w:pPr>
        <w:pStyle w:val="ListParagraph"/>
        <w:numPr>
          <w:ilvl w:val="2"/>
          <w:numId w:val="154"/>
        </w:numPr>
        <w:tabs>
          <w:tab w:pos="1918" w:val="left" w:leader="none"/>
          <w:tab w:pos="1919" w:val="left" w:leader="none"/>
        </w:tabs>
        <w:spacing w:line="240" w:lineRule="auto" w:before="120" w:after="0"/>
        <w:ind w:left="1918" w:right="0" w:hanging="567"/>
        <w:jc w:val="left"/>
        <w:rPr>
          <w:sz w:val="24"/>
        </w:rPr>
      </w:pPr>
      <w:r>
        <w:rPr>
          <w:sz w:val="24"/>
        </w:rPr>
        <w:t>This</w:t>
      </w:r>
      <w:r>
        <w:rPr>
          <w:spacing w:val="32"/>
          <w:sz w:val="24"/>
        </w:rPr>
        <w:t> </w:t>
      </w:r>
      <w:r>
        <w:rPr>
          <w:sz w:val="24"/>
        </w:rPr>
        <w:t>rule</w:t>
      </w:r>
      <w:r>
        <w:rPr>
          <w:spacing w:val="33"/>
          <w:sz w:val="24"/>
        </w:rPr>
        <w:t> </w:t>
      </w:r>
      <w:r>
        <w:rPr>
          <w:sz w:val="24"/>
        </w:rPr>
        <w:t>5.2A</w:t>
      </w:r>
      <w:r>
        <w:rPr>
          <w:spacing w:val="32"/>
          <w:sz w:val="24"/>
        </w:rPr>
        <w:t> </w:t>
      </w:r>
      <w:r>
        <w:rPr>
          <w:sz w:val="24"/>
        </w:rPr>
        <w:t>does</w:t>
      </w:r>
      <w:r>
        <w:rPr>
          <w:spacing w:val="33"/>
          <w:sz w:val="24"/>
        </w:rPr>
        <w:t> </w:t>
      </w:r>
      <w:r>
        <w:rPr>
          <w:sz w:val="24"/>
        </w:rPr>
        <w:t>not</w:t>
      </w:r>
      <w:r>
        <w:rPr>
          <w:spacing w:val="33"/>
          <w:sz w:val="24"/>
        </w:rPr>
        <w:t> </w:t>
      </w:r>
      <w:r>
        <w:rPr>
          <w:sz w:val="24"/>
        </w:rPr>
        <w:t>apply</w:t>
      </w:r>
      <w:r>
        <w:rPr>
          <w:spacing w:val="32"/>
          <w:sz w:val="24"/>
        </w:rPr>
        <w:t> </w:t>
      </w:r>
      <w:r>
        <w:rPr>
          <w:sz w:val="24"/>
        </w:rPr>
        <w:t>in</w:t>
      </w:r>
      <w:r>
        <w:rPr>
          <w:spacing w:val="33"/>
          <w:sz w:val="24"/>
        </w:rPr>
        <w:t> </w:t>
      </w:r>
      <w:r>
        <w:rPr>
          <w:sz w:val="24"/>
        </w:rPr>
        <w:t>relation</w:t>
      </w:r>
      <w:r>
        <w:rPr>
          <w:spacing w:val="32"/>
          <w:sz w:val="24"/>
        </w:rPr>
        <w:t> </w:t>
      </w:r>
      <w:r>
        <w:rPr>
          <w:sz w:val="24"/>
        </w:rPr>
        <w:t>to</w:t>
      </w:r>
      <w:r>
        <w:rPr>
          <w:spacing w:val="33"/>
          <w:sz w:val="24"/>
        </w:rPr>
        <w:t> </w:t>
      </w:r>
      <w:r>
        <w:rPr>
          <w:i/>
          <w:sz w:val="24"/>
        </w:rPr>
        <w:t>connection</w:t>
      </w:r>
      <w:r>
        <w:rPr>
          <w:i/>
          <w:spacing w:val="33"/>
          <w:sz w:val="24"/>
        </w:rPr>
        <w:t> </w:t>
      </w:r>
      <w:r>
        <w:rPr>
          <w:sz w:val="24"/>
        </w:rPr>
        <w:t>and</w:t>
      </w:r>
      <w:r>
        <w:rPr>
          <w:spacing w:val="32"/>
          <w:sz w:val="24"/>
        </w:rPr>
        <w:t> </w:t>
      </w:r>
      <w:r>
        <w:rPr>
          <w:sz w:val="24"/>
        </w:rPr>
        <w:t>access</w:t>
      </w:r>
      <w:r>
        <w:rPr>
          <w:spacing w:val="33"/>
          <w:sz w:val="24"/>
        </w:rPr>
        <w:t> </w:t>
      </w:r>
      <w:r>
        <w:rPr>
          <w:sz w:val="24"/>
        </w:rPr>
        <w:t>to</w:t>
      </w:r>
      <w:r>
        <w:rPr>
          <w:spacing w:val="32"/>
          <w:sz w:val="24"/>
        </w:rPr>
        <w:t> </w:t>
      </w:r>
      <w:r>
        <w:rPr>
          <w:sz w:val="24"/>
        </w:rPr>
        <w:t>the</w:t>
      </w:r>
    </w:p>
    <w:p>
      <w:pPr>
        <w:spacing w:before="0"/>
        <w:ind w:left="1919" w:right="0" w:firstLine="0"/>
        <w:jc w:val="left"/>
        <w:rPr>
          <w:sz w:val="24"/>
        </w:rPr>
      </w:pPr>
      <w:r>
        <w:rPr>
          <w:i/>
          <w:sz w:val="24"/>
        </w:rPr>
        <w:t>declared transmission system </w:t>
      </w:r>
      <w:r>
        <w:rPr>
          <w:sz w:val="24"/>
        </w:rPr>
        <w:t>of an </w:t>
      </w:r>
      <w:r>
        <w:rPr>
          <w:i/>
          <w:sz w:val="24"/>
        </w:rPr>
        <w:t>adoptive jurisdiction</w:t>
      </w:r>
      <w:r>
        <w:rPr>
          <w:sz w:val="24"/>
        </w:rPr>
        <w:t>.</w:t>
      </w:r>
    </w:p>
    <w:p>
      <w:pPr>
        <w:pStyle w:val="ListParagraph"/>
        <w:numPr>
          <w:ilvl w:val="2"/>
          <w:numId w:val="154"/>
        </w:numPr>
        <w:tabs>
          <w:tab w:pos="1918" w:val="left" w:leader="none"/>
          <w:tab w:pos="1919" w:val="left" w:leader="none"/>
        </w:tabs>
        <w:spacing w:line="240" w:lineRule="auto" w:before="120" w:after="0"/>
        <w:ind w:left="1919" w:right="415" w:hanging="567"/>
        <w:jc w:val="left"/>
        <w:rPr>
          <w:sz w:val="24"/>
        </w:rPr>
      </w:pPr>
      <w:r>
        <w:rPr>
          <w:sz w:val="24"/>
        </w:rPr>
        <w:t>In this rule 5.2A, a reference to ownership in relation to an asset includes a leasehold</w:t>
      </w:r>
      <w:r>
        <w:rPr>
          <w:spacing w:val="-1"/>
          <w:sz w:val="24"/>
        </w:rPr>
        <w:t> </w:t>
      </w:r>
      <w:r>
        <w:rPr>
          <w:sz w:val="24"/>
        </w:rPr>
        <w:t>interest.</w:t>
      </w:r>
    </w:p>
    <w:p>
      <w:pPr>
        <w:pStyle w:val="BodyText"/>
        <w:spacing w:before="10"/>
        <w:ind w:firstLine="0"/>
        <w:jc w:val="left"/>
        <w:rPr>
          <w:sz w:val="20"/>
        </w:rPr>
      </w:pPr>
    </w:p>
    <w:p>
      <w:pPr>
        <w:pStyle w:val="Heading4"/>
        <w:numPr>
          <w:ilvl w:val="1"/>
          <w:numId w:val="155"/>
        </w:numPr>
        <w:tabs>
          <w:tab w:pos="553" w:val="left" w:leader="none"/>
          <w:tab w:pos="1351" w:val="left" w:leader="none"/>
        </w:tabs>
        <w:spacing w:line="240" w:lineRule="auto" w:before="0" w:after="0"/>
        <w:ind w:left="552" w:right="0" w:hanging="335"/>
        <w:jc w:val="left"/>
      </w:pPr>
      <w:bookmarkStart w:name="5.2A.2 Relevant assets" w:id="390"/>
      <w:bookmarkEnd w:id="390"/>
      <w:r>
        <w:rPr>
          <w:b w:val="0"/>
        </w:rPr>
      </w:r>
      <w:bookmarkStart w:name="_bookmark168" w:id="391"/>
      <w:bookmarkEnd w:id="391"/>
      <w:r>
        <w:rPr>
          <w:b w:val="0"/>
        </w:rPr>
      </w:r>
      <w:bookmarkStart w:name="_bookmark168" w:id="392"/>
      <w:bookmarkEnd w:id="392"/>
      <w:r>
        <w:rPr/>
        <w:t>A.</w:t>
      </w:r>
      <w:r>
        <w:rPr/>
        <w:t>2</w:t>
        <w:tab/>
        <w:t>Relevant</w:t>
      </w:r>
      <w:r>
        <w:rPr>
          <w:spacing w:val="-1"/>
        </w:rPr>
        <w:t> </w:t>
      </w:r>
      <w:r>
        <w:rPr/>
        <w:t>assets</w:t>
      </w:r>
    </w:p>
    <w:p>
      <w:pPr>
        <w:pStyle w:val="ListParagraph"/>
        <w:numPr>
          <w:ilvl w:val="2"/>
          <w:numId w:val="155"/>
        </w:numPr>
        <w:tabs>
          <w:tab w:pos="1919" w:val="left" w:leader="none"/>
        </w:tabs>
        <w:spacing w:line="240" w:lineRule="auto" w:before="120" w:after="0"/>
        <w:ind w:left="1919" w:right="415" w:hanging="567"/>
        <w:jc w:val="both"/>
        <w:rPr>
          <w:sz w:val="24"/>
        </w:rPr>
      </w:pPr>
      <w:r>
        <w:rPr>
          <w:sz w:val="24"/>
        </w:rPr>
        <w:t>The assets relevant to </w:t>
      </w:r>
      <w:r>
        <w:rPr>
          <w:i/>
          <w:sz w:val="24"/>
        </w:rPr>
        <w:t>connection </w:t>
      </w:r>
      <w:r>
        <w:rPr>
          <w:sz w:val="24"/>
        </w:rPr>
        <w:t>and access to the </w:t>
      </w:r>
      <w:r>
        <w:rPr>
          <w:i/>
          <w:sz w:val="24"/>
        </w:rPr>
        <w:t>transmission network </w:t>
      </w:r>
      <w:r>
        <w:rPr>
          <w:sz w:val="24"/>
        </w:rPr>
        <w:t>and the person who is responsible for those assets are set out in the following</w:t>
      </w:r>
      <w:r>
        <w:rPr>
          <w:spacing w:val="-1"/>
          <w:sz w:val="24"/>
        </w:rPr>
        <w:t> </w:t>
      </w:r>
      <w:r>
        <w:rPr>
          <w:sz w:val="24"/>
        </w:rPr>
        <w:t>table:</w:t>
      </w:r>
    </w:p>
    <w:p>
      <w:pPr>
        <w:spacing w:after="0" w:line="240" w:lineRule="auto"/>
        <w:jc w:val="both"/>
        <w:rPr>
          <w:sz w:val="24"/>
        </w:rPr>
        <w:sectPr>
          <w:pgSz w:w="11910" w:h="16840"/>
          <w:pgMar w:header="686" w:footer="637" w:top="1320" w:bottom="820" w:left="1200" w:right="1000"/>
        </w:sectPr>
      </w:pPr>
    </w:p>
    <w:p>
      <w:pPr>
        <w:pStyle w:val="BodyText"/>
        <w:spacing w:before="7" w:after="1"/>
        <w:ind w:firstLine="0"/>
        <w:jc w:val="left"/>
        <w:rPr>
          <w:sz w:val="19"/>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36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Asset</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Responsible Person</w:t>
            </w:r>
          </w:p>
        </w:tc>
      </w:tr>
      <w:tr>
        <w:trPr>
          <w:trHeight w:val="791"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primary </w:t>
            </w:r>
            <w:r>
              <w:rPr>
                <w:i/>
                <w:sz w:val="24"/>
              </w:rPr>
              <w:t>transmission network </w:t>
            </w:r>
            <w:r>
              <w:rPr>
                <w:sz w:val="24"/>
              </w:rPr>
              <w:t>in the</w:t>
            </w:r>
          </w:p>
          <w:p>
            <w:pPr>
              <w:pStyle w:val="TableParagraph"/>
              <w:spacing w:before="0"/>
              <w:ind w:left="40"/>
              <w:rPr>
                <w:sz w:val="24"/>
              </w:rPr>
            </w:pPr>
            <w:r>
              <w:rPr>
                <w:i/>
                <w:sz w:val="24"/>
              </w:rPr>
              <w:t>participating jurisdictions</w:t>
            </w:r>
            <w:r>
              <w:rPr>
                <w:sz w:val="24"/>
              </w:rPr>
              <w: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583"/>
              <w:rPr>
                <w:i/>
                <w:sz w:val="24"/>
              </w:rPr>
            </w:pPr>
            <w:r>
              <w:rPr>
                <w:i/>
                <w:sz w:val="24"/>
              </w:rPr>
              <w:t>Primary Transmission Network </w:t>
            </w:r>
            <w:r>
              <w:rPr>
                <w:i/>
                <w:sz w:val="24"/>
              </w:rPr>
              <w:t>Service Provider</w:t>
            </w:r>
          </w:p>
        </w:tc>
      </w:tr>
      <w:tr>
        <w:trPr>
          <w:trHeight w:val="1463" w:hRule="atLeast"/>
        </w:trPr>
        <w:tc>
          <w:tcPr>
            <w:tcW w:w="3685" w:type="dxa"/>
            <w:tcBorders>
              <w:top w:val="single" w:sz="4" w:space="0" w:color="000000"/>
              <w:bottom w:val="single" w:sz="4" w:space="0" w:color="000000"/>
              <w:right w:val="single" w:sz="4" w:space="0" w:color="000000"/>
            </w:tcBorders>
          </w:tcPr>
          <w:p>
            <w:pPr>
              <w:pStyle w:val="TableParagraph"/>
              <w:ind w:left="40" w:right="277"/>
              <w:rPr>
                <w:i/>
                <w:sz w:val="24"/>
              </w:rPr>
            </w:pPr>
            <w:r>
              <w:rPr>
                <w:i/>
                <w:sz w:val="24"/>
              </w:rPr>
              <w:t>identified user shared asset </w:t>
            </w:r>
            <w:r>
              <w:rPr>
                <w:sz w:val="24"/>
              </w:rPr>
              <w:t>owned by the </w:t>
            </w:r>
            <w:r>
              <w:rPr>
                <w:i/>
                <w:sz w:val="24"/>
              </w:rPr>
              <w:t>Primary Transmission </w:t>
            </w:r>
            <w:r>
              <w:rPr>
                <w:i/>
                <w:sz w:val="24"/>
              </w:rPr>
              <w:t>Network Service Provider</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583"/>
              <w:rPr>
                <w:i/>
                <w:sz w:val="24"/>
              </w:rPr>
            </w:pPr>
            <w:r>
              <w:rPr>
                <w:i/>
                <w:sz w:val="24"/>
              </w:rPr>
              <w:t>Primary Transmission Network </w:t>
            </w:r>
            <w:r>
              <w:rPr>
                <w:i/>
                <w:sz w:val="24"/>
              </w:rPr>
              <w:t>Service Provider</w:t>
            </w:r>
          </w:p>
          <w:p>
            <w:pPr>
              <w:pStyle w:val="TableParagraph"/>
              <w:rPr>
                <w:sz w:val="24"/>
              </w:rPr>
            </w:pPr>
            <w:r>
              <w:rPr>
                <w:sz w:val="24"/>
              </w:rPr>
              <w:t>(forms part of that provider's broader</w:t>
            </w:r>
          </w:p>
          <w:p>
            <w:pPr>
              <w:pStyle w:val="TableParagraph"/>
              <w:spacing w:before="0"/>
              <w:rPr>
                <w:sz w:val="24"/>
              </w:rPr>
            </w:pPr>
            <w:r>
              <w:rPr>
                <w:i/>
                <w:sz w:val="24"/>
              </w:rPr>
              <w:t>transmission network</w:t>
            </w:r>
            <w:r>
              <w:rPr>
                <w:sz w:val="24"/>
              </w:rPr>
              <w:t>)</w:t>
            </w:r>
          </w:p>
        </w:tc>
      </w:tr>
      <w:tr>
        <w:trPr>
          <w:trHeight w:val="2291" w:hRule="atLeast"/>
        </w:trPr>
        <w:tc>
          <w:tcPr>
            <w:tcW w:w="3685" w:type="dxa"/>
            <w:tcBorders>
              <w:top w:val="single" w:sz="4" w:space="0" w:color="000000"/>
              <w:bottom w:val="single" w:sz="4" w:space="0" w:color="000000"/>
              <w:right w:val="single" w:sz="4" w:space="0" w:color="000000"/>
            </w:tcBorders>
          </w:tcPr>
          <w:p>
            <w:pPr>
              <w:pStyle w:val="TableParagraph"/>
              <w:ind w:left="40"/>
              <w:rPr>
                <w:i/>
                <w:sz w:val="24"/>
              </w:rPr>
            </w:pPr>
            <w:r>
              <w:rPr>
                <w:i/>
                <w:sz w:val="24"/>
              </w:rPr>
              <w:t>third party IUSA</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251"/>
              <w:rPr>
                <w:sz w:val="24"/>
              </w:rPr>
            </w:pPr>
            <w:r>
              <w:rPr>
                <w:i/>
                <w:sz w:val="24"/>
              </w:rPr>
              <w:t>Primary Transmission Network </w:t>
            </w:r>
            <w:r>
              <w:rPr>
                <w:i/>
                <w:sz w:val="24"/>
              </w:rPr>
              <w:t>Service Provider </w:t>
            </w:r>
            <w:r>
              <w:rPr>
                <w:sz w:val="24"/>
              </w:rPr>
              <w:t>(as controller and operator of the </w:t>
            </w:r>
            <w:r>
              <w:rPr>
                <w:i/>
                <w:sz w:val="24"/>
              </w:rPr>
              <w:t>third party IUSA </w:t>
            </w:r>
            <w:r>
              <w:rPr>
                <w:sz w:val="24"/>
              </w:rPr>
              <w:t>under a </w:t>
            </w:r>
            <w:r>
              <w:rPr>
                <w:i/>
                <w:sz w:val="24"/>
              </w:rPr>
              <w:t>network operating </w:t>
            </w:r>
            <w:r>
              <w:rPr>
                <w:i/>
                <w:sz w:val="24"/>
              </w:rPr>
              <w:t>agreement</w:t>
            </w:r>
            <w:r>
              <w:rPr>
                <w:sz w:val="24"/>
              </w:rPr>
              <w:t>)</w:t>
            </w:r>
          </w:p>
          <w:p>
            <w:pPr>
              <w:pStyle w:val="TableParagraph"/>
              <w:rPr>
                <w:sz w:val="24"/>
              </w:rPr>
            </w:pPr>
            <w:r>
              <w:rPr>
                <w:sz w:val="24"/>
              </w:rPr>
              <w:t>(forms part of that provider's broader</w:t>
            </w:r>
          </w:p>
          <w:p>
            <w:pPr>
              <w:pStyle w:val="TableParagraph"/>
              <w:spacing w:before="0"/>
              <w:rPr>
                <w:sz w:val="24"/>
              </w:rPr>
            </w:pPr>
            <w:r>
              <w:rPr>
                <w:i/>
                <w:sz w:val="24"/>
              </w:rPr>
              <w:t>transmission network</w:t>
            </w:r>
            <w:r>
              <w:rPr>
                <w:sz w:val="24"/>
              </w:rPr>
              <w:t>)</w:t>
            </w:r>
          </w:p>
        </w:tc>
      </w:tr>
      <w:tr>
        <w:trPr>
          <w:trHeight w:val="791" w:hRule="atLeast"/>
        </w:trPr>
        <w:tc>
          <w:tcPr>
            <w:tcW w:w="3685" w:type="dxa"/>
            <w:tcBorders>
              <w:top w:val="single" w:sz="4" w:space="0" w:color="000000"/>
              <w:bottom w:val="single" w:sz="4" w:space="0" w:color="000000"/>
              <w:right w:val="single" w:sz="4" w:space="0" w:color="000000"/>
            </w:tcBorders>
          </w:tcPr>
          <w:p>
            <w:pPr>
              <w:pStyle w:val="TableParagraph"/>
              <w:ind w:left="40"/>
              <w:rPr>
                <w:i/>
                <w:sz w:val="24"/>
              </w:rPr>
            </w:pPr>
            <w:r>
              <w:rPr>
                <w:i/>
                <w:sz w:val="24"/>
              </w:rPr>
              <w:t>dedicated connection asset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124"/>
              <w:rPr>
                <w:i/>
                <w:sz w:val="24"/>
              </w:rPr>
            </w:pPr>
            <w:r>
              <w:rPr>
                <w:i/>
                <w:sz w:val="24"/>
              </w:rPr>
              <w:t>Dedicated Connection Asset Service </w:t>
            </w:r>
            <w:r>
              <w:rPr>
                <w:i/>
                <w:sz w:val="24"/>
              </w:rPr>
              <w:t>Provider</w:t>
            </w:r>
          </w:p>
        </w:tc>
      </w:tr>
      <w:tr>
        <w:trPr>
          <w:trHeight w:val="791" w:hRule="atLeast"/>
        </w:trPr>
        <w:tc>
          <w:tcPr>
            <w:tcW w:w="3685" w:type="dxa"/>
            <w:tcBorders>
              <w:top w:val="single" w:sz="4" w:space="0" w:color="000000"/>
              <w:bottom w:val="single" w:sz="4" w:space="0" w:color="000000"/>
              <w:right w:val="single" w:sz="4" w:space="0" w:color="000000"/>
            </w:tcBorders>
          </w:tcPr>
          <w:p>
            <w:pPr>
              <w:pStyle w:val="TableParagraph"/>
              <w:ind w:left="40"/>
              <w:rPr>
                <w:i/>
                <w:sz w:val="24"/>
              </w:rPr>
            </w:pPr>
            <w:r>
              <w:rPr>
                <w:i/>
                <w:sz w:val="24"/>
              </w:rPr>
              <w:t>network connection asset</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right="676"/>
              <w:rPr>
                <w:i/>
                <w:sz w:val="24"/>
              </w:rPr>
            </w:pPr>
            <w:r>
              <w:rPr>
                <w:i/>
                <w:sz w:val="24"/>
              </w:rPr>
              <w:t>Transmission Network Service </w:t>
            </w:r>
            <w:r>
              <w:rPr>
                <w:i/>
                <w:sz w:val="24"/>
              </w:rPr>
              <w:t>Provider</w:t>
            </w:r>
          </w:p>
        </w:tc>
      </w:tr>
      <w:tr>
        <w:trPr>
          <w:trHeight w:val="791" w:hRule="atLeast"/>
        </w:trPr>
        <w:tc>
          <w:tcPr>
            <w:tcW w:w="3685" w:type="dxa"/>
            <w:tcBorders>
              <w:top w:val="single" w:sz="4" w:space="0" w:color="000000"/>
              <w:right w:val="single" w:sz="4" w:space="0" w:color="000000"/>
            </w:tcBorders>
          </w:tcPr>
          <w:p>
            <w:pPr>
              <w:pStyle w:val="TableParagraph"/>
              <w:ind w:left="40" w:right="290"/>
              <w:rPr>
                <w:i/>
                <w:sz w:val="24"/>
              </w:rPr>
            </w:pPr>
            <w:r>
              <w:rPr>
                <w:i/>
                <w:sz w:val="24"/>
              </w:rPr>
              <w:t>facility </w:t>
            </w:r>
            <w:r>
              <w:rPr>
                <w:sz w:val="24"/>
              </w:rPr>
              <w:t>of a </w:t>
            </w:r>
            <w:r>
              <w:rPr>
                <w:i/>
                <w:sz w:val="24"/>
              </w:rPr>
              <w:t>Transmission Network </w:t>
            </w:r>
            <w:r>
              <w:rPr>
                <w:i/>
                <w:sz w:val="24"/>
              </w:rPr>
              <w:t>User</w:t>
            </w:r>
          </w:p>
        </w:tc>
        <w:tc>
          <w:tcPr>
            <w:tcW w:w="3685" w:type="dxa"/>
            <w:tcBorders>
              <w:top w:val="single" w:sz="4" w:space="0" w:color="000000"/>
              <w:left w:val="single" w:sz="4" w:space="0" w:color="000000"/>
              <w:right w:val="single" w:sz="4" w:space="0" w:color="000000"/>
            </w:tcBorders>
          </w:tcPr>
          <w:p>
            <w:pPr>
              <w:pStyle w:val="TableParagraph"/>
              <w:ind w:right="431"/>
              <w:rPr>
                <w:sz w:val="24"/>
              </w:rPr>
            </w:pPr>
            <w:r>
              <w:rPr>
                <w:i/>
                <w:sz w:val="24"/>
              </w:rPr>
              <w:t>Transmission Network User </w:t>
            </w:r>
            <w:r>
              <w:rPr>
                <w:sz w:val="24"/>
              </w:rPr>
              <w:t>(if registration required or obtained)</w:t>
            </w:r>
          </w:p>
        </w:tc>
      </w:tr>
    </w:tbl>
    <w:p>
      <w:pPr>
        <w:pStyle w:val="BodyText"/>
        <w:spacing w:before="7"/>
        <w:ind w:firstLine="0"/>
        <w:jc w:val="left"/>
        <w:rPr>
          <w:sz w:val="26"/>
        </w:rPr>
      </w:pPr>
    </w:p>
    <w:p>
      <w:pPr>
        <w:pStyle w:val="ListParagraph"/>
        <w:numPr>
          <w:ilvl w:val="2"/>
          <w:numId w:val="155"/>
        </w:numPr>
        <w:tabs>
          <w:tab w:pos="1919" w:val="left" w:leader="none"/>
        </w:tabs>
        <w:spacing w:line="240" w:lineRule="auto" w:before="90" w:after="0"/>
        <w:ind w:left="1919" w:right="415" w:hanging="567"/>
        <w:jc w:val="both"/>
        <w:rPr>
          <w:sz w:val="24"/>
        </w:rPr>
      </w:pPr>
      <w:r>
        <w:rPr>
          <w:sz w:val="24"/>
        </w:rPr>
        <w:t>The intention of this rule 5.2A is that there is a responsible person for each asset connecting the </w:t>
      </w:r>
      <w:r>
        <w:rPr>
          <w:i/>
          <w:sz w:val="24"/>
        </w:rPr>
        <w:t>transmission network </w:t>
      </w:r>
      <w:r>
        <w:rPr>
          <w:sz w:val="24"/>
        </w:rPr>
        <w:t>to the </w:t>
      </w:r>
      <w:r>
        <w:rPr>
          <w:i/>
          <w:sz w:val="24"/>
        </w:rPr>
        <w:t>facilities </w:t>
      </w:r>
      <w:r>
        <w:rPr>
          <w:sz w:val="24"/>
        </w:rPr>
        <w:t>of </w:t>
      </w:r>
      <w:r>
        <w:rPr>
          <w:spacing w:val="-4"/>
          <w:sz w:val="24"/>
        </w:rPr>
        <w:t>the</w:t>
      </w:r>
      <w:r>
        <w:rPr>
          <w:spacing w:val="52"/>
          <w:sz w:val="24"/>
        </w:rPr>
        <w:t> </w:t>
      </w:r>
      <w:r>
        <w:rPr>
          <w:i/>
          <w:sz w:val="24"/>
        </w:rPr>
        <w:t>Transmission Network</w:t>
      </w:r>
      <w:r>
        <w:rPr>
          <w:i/>
          <w:spacing w:val="-2"/>
          <w:sz w:val="24"/>
        </w:rPr>
        <w:t> </w:t>
      </w:r>
      <w:r>
        <w:rPr>
          <w:i/>
          <w:sz w:val="24"/>
        </w:rPr>
        <w:t>User</w:t>
      </w:r>
      <w:r>
        <w:rPr>
          <w:sz w:val="24"/>
        </w:rPr>
        <w:t>.</w:t>
      </w:r>
    </w:p>
    <w:p>
      <w:pPr>
        <w:pStyle w:val="BodyText"/>
        <w:spacing w:before="10"/>
        <w:ind w:firstLine="0"/>
        <w:jc w:val="left"/>
        <w:rPr>
          <w:sz w:val="20"/>
        </w:rPr>
      </w:pPr>
    </w:p>
    <w:p>
      <w:pPr>
        <w:pStyle w:val="Heading4"/>
        <w:numPr>
          <w:ilvl w:val="1"/>
          <w:numId w:val="156"/>
        </w:numPr>
        <w:tabs>
          <w:tab w:pos="553" w:val="left" w:leader="none"/>
          <w:tab w:pos="1351" w:val="left" w:leader="none"/>
        </w:tabs>
        <w:spacing w:line="240" w:lineRule="auto" w:before="0" w:after="0"/>
        <w:ind w:left="552" w:right="0" w:hanging="335"/>
        <w:jc w:val="left"/>
      </w:pPr>
      <w:bookmarkStart w:name="5.2A.3 Connection and access to transmis" w:id="393"/>
      <w:bookmarkEnd w:id="393"/>
      <w:r>
        <w:rPr>
          <w:b w:val="0"/>
        </w:rPr>
      </w:r>
      <w:bookmarkStart w:name="_bookmark169" w:id="394"/>
      <w:bookmarkEnd w:id="394"/>
      <w:r>
        <w:rPr>
          <w:b w:val="0"/>
        </w:rPr>
      </w:r>
      <w:bookmarkStart w:name="_bookmark169" w:id="395"/>
      <w:bookmarkEnd w:id="395"/>
      <w:r>
        <w:rPr/>
        <w:t>A.</w:t>
      </w:r>
      <w:r>
        <w:rPr/>
        <w:t>3</w:t>
        <w:tab/>
        <w:t>Connection and access to transmission</w:t>
      </w:r>
      <w:r>
        <w:rPr>
          <w:spacing w:val="-9"/>
        </w:rPr>
        <w:t> </w:t>
      </w:r>
      <w:r>
        <w:rPr/>
        <w:t>services</w:t>
      </w:r>
    </w:p>
    <w:p>
      <w:pPr>
        <w:pStyle w:val="ListParagraph"/>
        <w:numPr>
          <w:ilvl w:val="2"/>
          <w:numId w:val="156"/>
        </w:numPr>
        <w:tabs>
          <w:tab w:pos="1919" w:val="left" w:leader="none"/>
        </w:tabs>
        <w:spacing w:line="240" w:lineRule="auto" w:before="120" w:after="0"/>
        <w:ind w:left="1919" w:right="414" w:hanging="567"/>
        <w:jc w:val="both"/>
        <w:rPr>
          <w:sz w:val="24"/>
        </w:rPr>
      </w:pPr>
      <w:r>
        <w:rPr>
          <w:sz w:val="24"/>
        </w:rPr>
        <w:t>The following </w:t>
      </w:r>
      <w:r>
        <w:rPr>
          <w:i/>
          <w:sz w:val="24"/>
        </w:rPr>
        <w:t>transmission services </w:t>
      </w:r>
      <w:r>
        <w:rPr>
          <w:sz w:val="24"/>
        </w:rPr>
        <w:t>are relevant to </w:t>
      </w:r>
      <w:r>
        <w:rPr>
          <w:i/>
          <w:sz w:val="24"/>
        </w:rPr>
        <w:t>connection </w:t>
      </w:r>
      <w:r>
        <w:rPr>
          <w:sz w:val="24"/>
        </w:rPr>
        <w:t>and access to the </w:t>
      </w:r>
      <w:r>
        <w:rPr>
          <w:i/>
          <w:sz w:val="24"/>
        </w:rPr>
        <w:t>transmission</w:t>
      </w:r>
      <w:r>
        <w:rPr>
          <w:i/>
          <w:spacing w:val="-1"/>
          <w:sz w:val="24"/>
        </w:rPr>
        <w:t> </w:t>
      </w:r>
      <w:r>
        <w:rPr>
          <w:i/>
          <w:sz w:val="24"/>
        </w:rPr>
        <w:t>network</w:t>
      </w:r>
      <w:r>
        <w:rPr>
          <w:sz w:val="24"/>
        </w:rPr>
        <w:t>:</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7"/>
        <w:gridCol w:w="3676"/>
        <w:gridCol w:w="1847"/>
      </w:tblGrid>
      <w:tr>
        <w:trPr>
          <w:trHeight w:val="671" w:hRule="atLeast"/>
        </w:trPr>
        <w:tc>
          <w:tcPr>
            <w:tcW w:w="1847" w:type="dxa"/>
            <w:tcBorders>
              <w:bottom w:val="single" w:sz="4" w:space="0" w:color="000000"/>
              <w:right w:val="single" w:sz="4" w:space="0" w:color="000000"/>
            </w:tcBorders>
            <w:shd w:val="clear" w:color="auto" w:fill="D9D9D9"/>
          </w:tcPr>
          <w:p>
            <w:pPr>
              <w:pStyle w:val="TableParagraph"/>
              <w:spacing w:line="270" w:lineRule="atLeast"/>
              <w:ind w:left="40" w:right="251"/>
              <w:rPr>
                <w:rFonts w:ascii="Arial"/>
                <w:b/>
                <w:sz w:val="24"/>
              </w:rPr>
            </w:pPr>
            <w:r>
              <w:rPr>
                <w:rFonts w:ascii="Arial"/>
                <w:b/>
                <w:sz w:val="24"/>
              </w:rPr>
              <w:t>Service classification</w:t>
            </w:r>
          </w:p>
        </w:tc>
        <w:tc>
          <w:tcPr>
            <w:tcW w:w="3676"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TNSP obligations</w:t>
            </w:r>
          </w:p>
        </w:tc>
        <w:tc>
          <w:tcPr>
            <w:tcW w:w="1847"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799"/>
              <w:rPr>
                <w:rFonts w:ascii="Arial"/>
                <w:b/>
                <w:sz w:val="24"/>
              </w:rPr>
            </w:pPr>
            <w:r>
              <w:rPr>
                <w:rFonts w:ascii="Arial"/>
                <w:b/>
                <w:sz w:val="24"/>
              </w:rPr>
              <w:t>Assets involved</w:t>
            </w:r>
          </w:p>
        </w:tc>
      </w:tr>
      <w:tr>
        <w:trPr>
          <w:trHeight w:val="1343" w:hRule="atLeast"/>
        </w:trPr>
        <w:tc>
          <w:tcPr>
            <w:tcW w:w="1847" w:type="dxa"/>
            <w:tcBorders>
              <w:top w:val="single" w:sz="4" w:space="0" w:color="000000"/>
              <w:bottom w:val="single" w:sz="4" w:space="0" w:color="000000"/>
              <w:right w:val="single" w:sz="4" w:space="0" w:color="000000"/>
            </w:tcBorders>
          </w:tcPr>
          <w:p>
            <w:pPr>
              <w:pStyle w:val="TableParagraph"/>
              <w:ind w:left="40" w:right="545"/>
              <w:rPr>
                <w:i/>
                <w:sz w:val="24"/>
              </w:rPr>
            </w:pPr>
            <w:r>
              <w:rPr>
                <w:i/>
                <w:sz w:val="24"/>
              </w:rPr>
              <w:t>prescribed </w:t>
            </w:r>
            <w:r>
              <w:rPr>
                <w:i/>
                <w:sz w:val="24"/>
              </w:rPr>
              <w:t>transmission services</w:t>
            </w:r>
          </w:p>
        </w:tc>
        <w:tc>
          <w:tcPr>
            <w:tcW w:w="3676" w:type="dxa"/>
            <w:tcBorders>
              <w:top w:val="single" w:sz="4" w:space="0" w:color="000000"/>
              <w:left w:val="single" w:sz="4" w:space="0" w:color="000000"/>
              <w:bottom w:val="single" w:sz="4" w:space="0" w:color="000000"/>
              <w:right w:val="single" w:sz="4" w:space="0" w:color="000000"/>
            </w:tcBorders>
          </w:tcPr>
          <w:p>
            <w:pPr>
              <w:pStyle w:val="TableParagraph"/>
              <w:ind w:left="44" w:right="356"/>
              <w:rPr>
                <w:sz w:val="24"/>
              </w:rPr>
            </w:pPr>
            <w:r>
              <w:rPr>
                <w:sz w:val="24"/>
              </w:rPr>
              <w:t>Subject to access under Chapter 5 and economic regulation under Chapter 6</w:t>
            </w:r>
          </w:p>
        </w:tc>
        <w:tc>
          <w:tcPr>
            <w:tcW w:w="1847" w:type="dxa"/>
            <w:tcBorders>
              <w:top w:val="single" w:sz="4" w:space="0" w:color="000000"/>
              <w:left w:val="single" w:sz="4" w:space="0" w:color="000000"/>
              <w:bottom w:val="single" w:sz="4" w:space="0" w:color="000000"/>
              <w:right w:val="single" w:sz="4" w:space="0" w:color="000000"/>
            </w:tcBorders>
          </w:tcPr>
          <w:p>
            <w:pPr>
              <w:pStyle w:val="TableParagraph"/>
              <w:ind w:left="44" w:right="86"/>
              <w:rPr>
                <w:i/>
                <w:sz w:val="24"/>
              </w:rPr>
            </w:pPr>
            <w:r>
              <w:rPr>
                <w:i/>
                <w:sz w:val="24"/>
              </w:rPr>
              <w:t>transmission </w:t>
            </w:r>
            <w:r>
              <w:rPr>
                <w:i/>
                <w:sz w:val="24"/>
              </w:rPr>
              <w:t>network </w:t>
            </w:r>
            <w:r>
              <w:rPr>
                <w:sz w:val="24"/>
              </w:rPr>
              <w:t>and </w:t>
            </w:r>
            <w:r>
              <w:rPr>
                <w:i/>
                <w:sz w:val="24"/>
              </w:rPr>
              <w:t>network </w:t>
            </w:r>
            <w:r>
              <w:rPr>
                <w:i/>
                <w:sz w:val="24"/>
              </w:rPr>
              <w:t>connection assets</w:t>
            </w:r>
          </w:p>
        </w:tc>
      </w:tr>
      <w:tr>
        <w:trPr>
          <w:trHeight w:val="1067" w:hRule="atLeast"/>
        </w:trPr>
        <w:tc>
          <w:tcPr>
            <w:tcW w:w="1847" w:type="dxa"/>
            <w:tcBorders>
              <w:top w:val="single" w:sz="4" w:space="0" w:color="000000"/>
              <w:bottom w:val="single" w:sz="4" w:space="0" w:color="000000"/>
              <w:right w:val="single" w:sz="4" w:space="0" w:color="000000"/>
            </w:tcBorders>
          </w:tcPr>
          <w:p>
            <w:pPr>
              <w:pStyle w:val="TableParagraph"/>
              <w:ind w:left="40" w:right="545"/>
              <w:rPr>
                <w:i/>
                <w:sz w:val="24"/>
              </w:rPr>
            </w:pPr>
            <w:r>
              <w:rPr>
                <w:i/>
                <w:sz w:val="24"/>
              </w:rPr>
              <w:t>negotiated </w:t>
            </w:r>
            <w:r>
              <w:rPr>
                <w:i/>
                <w:sz w:val="24"/>
              </w:rPr>
              <w:t>transmission services</w:t>
            </w:r>
          </w:p>
        </w:tc>
        <w:tc>
          <w:tcPr>
            <w:tcW w:w="3676" w:type="dxa"/>
            <w:tcBorders>
              <w:top w:val="single" w:sz="4" w:space="0" w:color="000000"/>
              <w:left w:val="single" w:sz="4" w:space="0" w:color="000000"/>
              <w:bottom w:val="single" w:sz="4" w:space="0" w:color="000000"/>
              <w:right w:val="single" w:sz="4" w:space="0" w:color="000000"/>
            </w:tcBorders>
          </w:tcPr>
          <w:p>
            <w:pPr>
              <w:pStyle w:val="TableParagraph"/>
              <w:ind w:left="44" w:right="443"/>
              <w:rPr>
                <w:sz w:val="24"/>
              </w:rPr>
            </w:pPr>
            <w:r>
              <w:rPr>
                <w:sz w:val="24"/>
              </w:rPr>
              <w:t>Subject to access under Chapter 5 and economic regulation under Chapter 6</w:t>
            </w:r>
          </w:p>
        </w:tc>
        <w:tc>
          <w:tcPr>
            <w:tcW w:w="1847" w:type="dxa"/>
            <w:tcBorders>
              <w:top w:val="single" w:sz="4" w:space="0" w:color="000000"/>
              <w:left w:val="single" w:sz="4" w:space="0" w:color="000000"/>
              <w:bottom w:val="single" w:sz="4" w:space="0" w:color="000000"/>
              <w:right w:val="single" w:sz="4" w:space="0" w:color="000000"/>
            </w:tcBorders>
          </w:tcPr>
          <w:p>
            <w:pPr>
              <w:pStyle w:val="TableParagraph"/>
              <w:ind w:left="44" w:right="546"/>
              <w:rPr>
                <w:i/>
                <w:sz w:val="24"/>
              </w:rPr>
            </w:pPr>
            <w:r>
              <w:rPr>
                <w:i/>
                <w:sz w:val="24"/>
              </w:rPr>
              <w:t>transmission </w:t>
            </w:r>
            <w:r>
              <w:rPr>
                <w:i/>
                <w:sz w:val="24"/>
              </w:rPr>
              <w:t>network</w:t>
            </w:r>
          </w:p>
        </w:tc>
      </w:tr>
      <w:tr>
        <w:trPr>
          <w:trHeight w:val="395" w:hRule="atLeast"/>
        </w:trPr>
        <w:tc>
          <w:tcPr>
            <w:tcW w:w="1847" w:type="dxa"/>
            <w:tcBorders>
              <w:top w:val="single" w:sz="4" w:space="0" w:color="000000"/>
              <w:bottom w:val="single" w:sz="4" w:space="0" w:color="000000"/>
              <w:right w:val="single" w:sz="4" w:space="0" w:color="000000"/>
            </w:tcBorders>
          </w:tcPr>
          <w:p>
            <w:pPr>
              <w:pStyle w:val="TableParagraph"/>
              <w:spacing w:line="256" w:lineRule="exact"/>
              <w:ind w:left="40"/>
              <w:rPr>
                <w:i/>
                <w:sz w:val="24"/>
              </w:rPr>
            </w:pPr>
            <w:r>
              <w:rPr>
                <w:i/>
                <w:sz w:val="24"/>
              </w:rPr>
              <w:t>large DCA</w:t>
            </w:r>
          </w:p>
        </w:tc>
        <w:tc>
          <w:tcPr>
            <w:tcW w:w="367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left="44"/>
              <w:rPr>
                <w:i/>
                <w:sz w:val="24"/>
              </w:rPr>
            </w:pPr>
            <w:r>
              <w:rPr>
                <w:sz w:val="24"/>
              </w:rPr>
              <w:t>Subject to access under the </w:t>
            </w:r>
            <w:r>
              <w:rPr>
                <w:i/>
                <w:sz w:val="24"/>
              </w:rPr>
              <w:t>access</w:t>
            </w:r>
          </w:p>
        </w:tc>
        <w:tc>
          <w:tcPr>
            <w:tcW w:w="1847"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left="44"/>
              <w:rPr>
                <w:i/>
                <w:sz w:val="24"/>
              </w:rPr>
            </w:pPr>
            <w:r>
              <w:rPr>
                <w:i/>
                <w:sz w:val="24"/>
              </w:rPr>
              <w:t>large dedicated</w:t>
            </w:r>
          </w:p>
        </w:tc>
      </w:tr>
    </w:tbl>
    <w:p>
      <w:pPr>
        <w:spacing w:after="0" w:line="256" w:lineRule="exac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7"/>
        <w:gridCol w:w="3676"/>
        <w:gridCol w:w="1847"/>
      </w:tblGrid>
      <w:tr>
        <w:trPr>
          <w:trHeight w:val="671" w:hRule="atLeast"/>
        </w:trPr>
        <w:tc>
          <w:tcPr>
            <w:tcW w:w="1847" w:type="dxa"/>
            <w:tcBorders>
              <w:bottom w:val="single" w:sz="4" w:space="0" w:color="000000"/>
              <w:right w:val="single" w:sz="4" w:space="0" w:color="000000"/>
            </w:tcBorders>
            <w:shd w:val="clear" w:color="auto" w:fill="D9D9D9"/>
          </w:tcPr>
          <w:p>
            <w:pPr>
              <w:pStyle w:val="TableParagraph"/>
              <w:spacing w:line="270" w:lineRule="atLeast"/>
              <w:ind w:left="40" w:right="251"/>
              <w:rPr>
                <w:rFonts w:ascii="Arial"/>
                <w:b/>
                <w:sz w:val="24"/>
              </w:rPr>
            </w:pPr>
            <w:r>
              <w:rPr>
                <w:rFonts w:ascii="Arial"/>
                <w:b/>
                <w:sz w:val="24"/>
              </w:rPr>
              <w:t>Service classification</w:t>
            </w:r>
          </w:p>
        </w:tc>
        <w:tc>
          <w:tcPr>
            <w:tcW w:w="3676"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TNSP obligations</w:t>
            </w:r>
          </w:p>
        </w:tc>
        <w:tc>
          <w:tcPr>
            <w:tcW w:w="1847"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799"/>
              <w:rPr>
                <w:rFonts w:ascii="Arial"/>
                <w:b/>
                <w:sz w:val="24"/>
              </w:rPr>
            </w:pPr>
            <w:r>
              <w:rPr>
                <w:rFonts w:ascii="Arial"/>
                <w:b/>
                <w:sz w:val="24"/>
              </w:rPr>
              <w:t>Assets involved</w:t>
            </w:r>
          </w:p>
        </w:tc>
      </w:tr>
      <w:tr>
        <w:trPr>
          <w:trHeight w:val="671" w:hRule="atLeast"/>
        </w:trPr>
        <w:tc>
          <w:tcPr>
            <w:tcW w:w="1847" w:type="dxa"/>
            <w:tcBorders>
              <w:top w:val="single" w:sz="4" w:space="0" w:color="000000"/>
              <w:bottom w:val="single" w:sz="4" w:space="0" w:color="000000"/>
              <w:right w:val="single" w:sz="4" w:space="0" w:color="000000"/>
            </w:tcBorders>
          </w:tcPr>
          <w:p>
            <w:pPr>
              <w:pStyle w:val="TableParagraph"/>
              <w:spacing w:before="0"/>
              <w:ind w:left="40"/>
              <w:rPr>
                <w:i/>
                <w:sz w:val="24"/>
              </w:rPr>
            </w:pPr>
            <w:r>
              <w:rPr>
                <w:i/>
                <w:sz w:val="24"/>
              </w:rPr>
              <w:t>services</w:t>
            </w:r>
          </w:p>
        </w:tc>
        <w:tc>
          <w:tcPr>
            <w:tcW w:w="3676" w:type="dxa"/>
            <w:tcBorders>
              <w:top w:val="single" w:sz="4" w:space="0" w:color="000000"/>
              <w:left w:val="single" w:sz="4" w:space="0" w:color="000000"/>
              <w:bottom w:val="single" w:sz="4" w:space="0" w:color="000000"/>
              <w:right w:val="single" w:sz="4" w:space="0" w:color="000000"/>
            </w:tcBorders>
          </w:tcPr>
          <w:p>
            <w:pPr>
              <w:pStyle w:val="TableParagraph"/>
              <w:spacing w:before="0"/>
              <w:ind w:left="44" w:right="623"/>
              <w:rPr>
                <w:sz w:val="24"/>
              </w:rPr>
            </w:pPr>
            <w:r>
              <w:rPr>
                <w:i/>
                <w:sz w:val="24"/>
              </w:rPr>
              <w:t>policy </w:t>
            </w:r>
            <w:r>
              <w:rPr>
                <w:sz w:val="24"/>
              </w:rPr>
              <w:t>established under clause 5.2A.8</w:t>
            </w:r>
          </w:p>
        </w:tc>
        <w:tc>
          <w:tcPr>
            <w:tcW w:w="1847" w:type="dxa"/>
            <w:tcBorders>
              <w:top w:val="single" w:sz="4" w:space="0" w:color="000000"/>
              <w:left w:val="single" w:sz="4" w:space="0" w:color="000000"/>
              <w:bottom w:val="single" w:sz="4" w:space="0" w:color="000000"/>
              <w:right w:val="single" w:sz="4" w:space="0" w:color="000000"/>
            </w:tcBorders>
          </w:tcPr>
          <w:p>
            <w:pPr>
              <w:pStyle w:val="TableParagraph"/>
              <w:spacing w:before="0"/>
              <w:ind w:left="44"/>
              <w:rPr>
                <w:i/>
                <w:sz w:val="24"/>
              </w:rPr>
            </w:pPr>
            <w:r>
              <w:rPr>
                <w:i/>
                <w:sz w:val="24"/>
              </w:rPr>
              <w:t>connection assets</w:t>
            </w:r>
          </w:p>
        </w:tc>
      </w:tr>
      <w:tr>
        <w:trPr>
          <w:trHeight w:val="1067" w:hRule="atLeast"/>
        </w:trPr>
        <w:tc>
          <w:tcPr>
            <w:tcW w:w="1847" w:type="dxa"/>
            <w:tcBorders>
              <w:top w:val="single" w:sz="4" w:space="0" w:color="000000"/>
              <w:right w:val="single" w:sz="4" w:space="0" w:color="000000"/>
            </w:tcBorders>
          </w:tcPr>
          <w:p>
            <w:pPr>
              <w:pStyle w:val="TableParagraph"/>
              <w:ind w:left="40" w:right="412"/>
              <w:rPr>
                <w:i/>
                <w:sz w:val="24"/>
              </w:rPr>
            </w:pPr>
            <w:r>
              <w:rPr>
                <w:i/>
                <w:sz w:val="24"/>
              </w:rPr>
              <w:t>non-regulated </w:t>
            </w:r>
            <w:r>
              <w:rPr>
                <w:i/>
                <w:sz w:val="24"/>
              </w:rPr>
              <w:t>transmission services</w:t>
            </w:r>
          </w:p>
        </w:tc>
        <w:tc>
          <w:tcPr>
            <w:tcW w:w="3676" w:type="dxa"/>
            <w:tcBorders>
              <w:top w:val="single" w:sz="4" w:space="0" w:color="000000"/>
              <w:left w:val="single" w:sz="4" w:space="0" w:color="000000"/>
              <w:right w:val="single" w:sz="4" w:space="0" w:color="000000"/>
            </w:tcBorders>
          </w:tcPr>
          <w:p>
            <w:pPr>
              <w:pStyle w:val="TableParagraph"/>
              <w:ind w:left="44" w:right="156"/>
              <w:rPr>
                <w:sz w:val="24"/>
              </w:rPr>
            </w:pPr>
            <w:r>
              <w:rPr>
                <w:sz w:val="24"/>
              </w:rPr>
              <w:t>Not subject to access under Chapter 5 or economic regulation under Chapter 6</w:t>
            </w:r>
          </w:p>
        </w:tc>
        <w:tc>
          <w:tcPr>
            <w:tcW w:w="1847" w:type="dxa"/>
            <w:tcBorders>
              <w:top w:val="single" w:sz="4" w:space="0" w:color="000000"/>
              <w:left w:val="single" w:sz="4" w:space="0" w:color="000000"/>
              <w:right w:val="single" w:sz="4" w:space="0" w:color="000000"/>
            </w:tcBorders>
          </w:tcPr>
          <w:p>
            <w:pPr>
              <w:pStyle w:val="TableParagraph"/>
              <w:ind w:left="44" w:right="546"/>
              <w:rPr>
                <w:i/>
                <w:sz w:val="24"/>
              </w:rPr>
            </w:pPr>
            <w:r>
              <w:rPr>
                <w:i/>
                <w:sz w:val="24"/>
              </w:rPr>
              <w:t>transmission </w:t>
            </w:r>
            <w:r>
              <w:rPr>
                <w:i/>
                <w:sz w:val="24"/>
              </w:rPr>
              <w:t>system</w:t>
            </w:r>
          </w:p>
        </w:tc>
      </w:tr>
    </w:tbl>
    <w:p>
      <w:pPr>
        <w:pStyle w:val="BodyText"/>
        <w:spacing w:before="8"/>
        <w:ind w:firstLine="0"/>
        <w:jc w:val="left"/>
        <w:rPr>
          <w:sz w:val="26"/>
        </w:rPr>
      </w:pPr>
    </w:p>
    <w:p>
      <w:pPr>
        <w:pStyle w:val="ListParagraph"/>
        <w:numPr>
          <w:ilvl w:val="2"/>
          <w:numId w:val="156"/>
        </w:numPr>
        <w:tabs>
          <w:tab w:pos="1919" w:val="left" w:leader="none"/>
        </w:tabs>
        <w:spacing w:line="240" w:lineRule="auto" w:before="90" w:after="0"/>
        <w:ind w:left="1919" w:right="414" w:hanging="567"/>
        <w:jc w:val="both"/>
        <w:rPr>
          <w:sz w:val="24"/>
        </w:rPr>
      </w:pPr>
      <w:r>
        <w:rPr>
          <w:sz w:val="24"/>
        </w:rPr>
        <w:t>A </w:t>
      </w:r>
      <w:r>
        <w:rPr>
          <w:i/>
          <w:sz w:val="24"/>
        </w:rPr>
        <w:t>Connection Applicant </w:t>
      </w:r>
      <w:r>
        <w:rPr>
          <w:sz w:val="24"/>
        </w:rPr>
        <w:t>may apply to a </w:t>
      </w:r>
      <w:r>
        <w:rPr>
          <w:i/>
          <w:sz w:val="24"/>
        </w:rPr>
        <w:t>Transmission Network Service </w:t>
      </w:r>
      <w:r>
        <w:rPr>
          <w:i/>
          <w:sz w:val="24"/>
        </w:rPr>
        <w:t>Provider </w:t>
      </w:r>
      <w:r>
        <w:rPr>
          <w:sz w:val="24"/>
        </w:rPr>
        <w:t>for provision of a </w:t>
      </w:r>
      <w:r>
        <w:rPr>
          <w:i/>
          <w:sz w:val="24"/>
        </w:rPr>
        <w:t>prescribed transmission service </w:t>
      </w:r>
      <w:r>
        <w:rPr>
          <w:sz w:val="24"/>
        </w:rPr>
        <w:t>or a </w:t>
      </w:r>
      <w:r>
        <w:rPr>
          <w:i/>
          <w:sz w:val="24"/>
        </w:rPr>
        <w:t>negotiated </w:t>
      </w:r>
      <w:r>
        <w:rPr>
          <w:i/>
          <w:sz w:val="24"/>
        </w:rPr>
        <w:t>transmission service </w:t>
      </w:r>
      <w:r>
        <w:rPr>
          <w:sz w:val="24"/>
        </w:rPr>
        <w:t>in accordance with rule 5.3 and the relevant </w:t>
      </w:r>
      <w:r>
        <w:rPr>
          <w:i/>
          <w:sz w:val="24"/>
        </w:rPr>
        <w:t>Transmission Network Service Provider </w:t>
      </w:r>
      <w:r>
        <w:rPr>
          <w:sz w:val="24"/>
        </w:rPr>
        <w:t>must comply with this Chapter 5 in negotiating a </w:t>
      </w:r>
      <w:r>
        <w:rPr>
          <w:i/>
          <w:sz w:val="24"/>
        </w:rPr>
        <w:t>connection agreement </w:t>
      </w:r>
      <w:r>
        <w:rPr>
          <w:sz w:val="24"/>
        </w:rPr>
        <w:t>for the requested</w:t>
      </w:r>
      <w:r>
        <w:rPr>
          <w:spacing w:val="-3"/>
          <w:sz w:val="24"/>
        </w:rPr>
        <w:t> </w:t>
      </w:r>
      <w:r>
        <w:rPr>
          <w:sz w:val="24"/>
        </w:rPr>
        <w:t>service.</w:t>
      </w:r>
    </w:p>
    <w:p>
      <w:pPr>
        <w:pStyle w:val="ListParagraph"/>
        <w:numPr>
          <w:ilvl w:val="2"/>
          <w:numId w:val="156"/>
        </w:numPr>
        <w:tabs>
          <w:tab w:pos="1919" w:val="left" w:leader="none"/>
        </w:tabs>
        <w:spacing w:line="240" w:lineRule="auto" w:before="120" w:after="0"/>
        <w:ind w:left="1919" w:right="414" w:hanging="567"/>
        <w:jc w:val="both"/>
        <w:rPr>
          <w:sz w:val="24"/>
        </w:rPr>
      </w:pPr>
      <w:r>
        <w:rPr>
          <w:sz w:val="24"/>
        </w:rPr>
        <w:t>If the </w:t>
      </w:r>
      <w:r>
        <w:rPr>
          <w:i/>
          <w:sz w:val="24"/>
        </w:rPr>
        <w:t>prescribed transmission service </w:t>
      </w:r>
      <w:r>
        <w:rPr>
          <w:sz w:val="24"/>
        </w:rPr>
        <w:t>or </w:t>
      </w:r>
      <w:r>
        <w:rPr>
          <w:i/>
          <w:sz w:val="24"/>
        </w:rPr>
        <w:t>negotiated transmission service </w:t>
      </w:r>
      <w:r>
        <w:rPr>
          <w:sz w:val="24"/>
        </w:rPr>
        <w:t>sought under paragraph (b) does not require the </w:t>
      </w:r>
      <w:r>
        <w:rPr>
          <w:i/>
          <w:sz w:val="24"/>
        </w:rPr>
        <w:t>Connection Applicant </w:t>
      </w:r>
      <w:r>
        <w:rPr>
          <w:sz w:val="24"/>
        </w:rPr>
        <w:t>to establish or modify a </w:t>
      </w:r>
      <w:r>
        <w:rPr>
          <w:i/>
          <w:sz w:val="24"/>
        </w:rPr>
        <w:t>connection </w:t>
      </w:r>
      <w:r>
        <w:rPr>
          <w:sz w:val="24"/>
        </w:rPr>
        <w:t>or alter a </w:t>
      </w:r>
      <w:r>
        <w:rPr>
          <w:i/>
          <w:sz w:val="24"/>
        </w:rPr>
        <w:t>generating plant </w:t>
      </w:r>
      <w:r>
        <w:rPr>
          <w:sz w:val="24"/>
        </w:rPr>
        <w:t>in the circumstances set out in clause 5.3.9, the processes in rules 5.3 and 5.4 will apply with such modifications as is appropriate to the nature of the service requested, together with (if required) the provisions of Chapter 6 in relation to any dispute as to </w:t>
      </w:r>
      <w:r>
        <w:rPr>
          <w:i/>
          <w:sz w:val="24"/>
        </w:rPr>
        <w:t>terms and conditions of access </w:t>
      </w:r>
      <w:r>
        <w:rPr>
          <w:sz w:val="24"/>
        </w:rPr>
        <w:t>(as if the </w:t>
      </w:r>
      <w:r>
        <w:rPr>
          <w:i/>
          <w:sz w:val="24"/>
        </w:rPr>
        <w:t>prescribed </w:t>
      </w:r>
      <w:r>
        <w:rPr>
          <w:i/>
          <w:sz w:val="24"/>
        </w:rPr>
        <w:t>transmission service </w:t>
      </w:r>
      <w:r>
        <w:rPr>
          <w:sz w:val="24"/>
        </w:rPr>
        <w:t>or the </w:t>
      </w:r>
      <w:r>
        <w:rPr>
          <w:i/>
          <w:sz w:val="24"/>
        </w:rPr>
        <w:t>negotiated transmission service </w:t>
      </w:r>
      <w:r>
        <w:rPr>
          <w:sz w:val="24"/>
        </w:rPr>
        <w:t>were a </w:t>
      </w:r>
      <w:r>
        <w:rPr>
          <w:i/>
          <w:sz w:val="24"/>
        </w:rPr>
        <w:t>negotiated distribution</w:t>
      </w:r>
      <w:r>
        <w:rPr>
          <w:i/>
          <w:spacing w:val="-1"/>
          <w:sz w:val="24"/>
        </w:rPr>
        <w:t> </w:t>
      </w:r>
      <w:r>
        <w:rPr>
          <w:i/>
          <w:sz w:val="24"/>
        </w:rPr>
        <w:t>service</w:t>
      </w:r>
      <w:r>
        <w:rPr>
          <w:sz w:val="24"/>
        </w:rPr>
        <w:t>).</w:t>
      </w:r>
    </w:p>
    <w:p>
      <w:pPr>
        <w:pStyle w:val="ListParagraph"/>
        <w:numPr>
          <w:ilvl w:val="2"/>
          <w:numId w:val="156"/>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must provide </w:t>
      </w:r>
      <w:r>
        <w:rPr>
          <w:i/>
          <w:sz w:val="24"/>
        </w:rPr>
        <w:t>prescribed </w:t>
      </w:r>
      <w:r>
        <w:rPr>
          <w:i/>
          <w:sz w:val="24"/>
        </w:rPr>
        <w:t>transmission services </w:t>
      </w:r>
      <w:r>
        <w:rPr>
          <w:sz w:val="24"/>
        </w:rPr>
        <w:t>or </w:t>
      </w:r>
      <w:r>
        <w:rPr>
          <w:i/>
          <w:sz w:val="24"/>
        </w:rPr>
        <w:t>negotiated transmission services </w:t>
      </w:r>
      <w:r>
        <w:rPr>
          <w:sz w:val="24"/>
        </w:rPr>
        <w:t>on </w:t>
      </w:r>
      <w:r>
        <w:rPr>
          <w:i/>
          <w:sz w:val="24"/>
        </w:rPr>
        <w:t>terms and </w:t>
      </w:r>
      <w:r>
        <w:rPr>
          <w:i/>
          <w:sz w:val="24"/>
        </w:rPr>
        <w:t>conditions of access </w:t>
      </w:r>
      <w:r>
        <w:rPr>
          <w:sz w:val="24"/>
        </w:rPr>
        <w:t>that are consistent with the requirements of Chapters 4, 5 and 6A of the </w:t>
      </w:r>
      <w:r>
        <w:rPr>
          <w:i/>
          <w:sz w:val="24"/>
        </w:rPr>
        <w:t>Rules </w:t>
      </w:r>
      <w:r>
        <w:rPr>
          <w:sz w:val="24"/>
        </w:rPr>
        <w:t>(as</w:t>
      </w:r>
      <w:r>
        <w:rPr>
          <w:spacing w:val="-1"/>
          <w:sz w:val="24"/>
        </w:rPr>
        <w:t> </w:t>
      </w:r>
      <w:r>
        <w:rPr>
          <w:sz w:val="24"/>
        </w:rPr>
        <w:t>applicable).</w:t>
      </w:r>
    </w:p>
    <w:p>
      <w:pPr>
        <w:pStyle w:val="ListParagraph"/>
        <w:numPr>
          <w:ilvl w:val="2"/>
          <w:numId w:val="156"/>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or a person who is provided </w:t>
      </w:r>
      <w:r>
        <w:rPr>
          <w:i/>
          <w:sz w:val="24"/>
        </w:rPr>
        <w:t>prescribed transmission services </w:t>
      </w:r>
      <w:r>
        <w:rPr>
          <w:sz w:val="24"/>
        </w:rPr>
        <w:t>or </w:t>
      </w:r>
      <w:r>
        <w:rPr>
          <w:i/>
          <w:sz w:val="24"/>
        </w:rPr>
        <w:t>negotiated transmission services </w:t>
      </w:r>
      <w:r>
        <w:rPr>
          <w:sz w:val="24"/>
        </w:rPr>
        <w:t>must not engage in conduct for the purpose of preventing or hindering access to those</w:t>
      </w:r>
      <w:r>
        <w:rPr>
          <w:spacing w:val="-1"/>
          <w:sz w:val="24"/>
        </w:rPr>
        <w:t> </w:t>
      </w:r>
      <w:r>
        <w:rPr>
          <w:sz w:val="24"/>
        </w:rPr>
        <w:t>services.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56"/>
        </w:numPr>
        <w:tabs>
          <w:tab w:pos="1920" w:val="left" w:leader="none"/>
        </w:tabs>
        <w:spacing w:line="240" w:lineRule="auto" w:before="120" w:after="0"/>
        <w:ind w:left="1919" w:right="414" w:hanging="567"/>
        <w:jc w:val="both"/>
        <w:rPr>
          <w:sz w:val="24"/>
        </w:rPr>
      </w:pPr>
      <w:r>
        <w:rPr>
          <w:sz w:val="24"/>
        </w:rPr>
        <w:t>The </w:t>
      </w:r>
      <w:r>
        <w:rPr>
          <w:i/>
          <w:sz w:val="24"/>
        </w:rPr>
        <w:t>Connection Applicant </w:t>
      </w:r>
      <w:r>
        <w:rPr>
          <w:sz w:val="24"/>
        </w:rPr>
        <w:t>may terminate negotiations with the </w:t>
      </w:r>
      <w:r>
        <w:rPr>
          <w:i/>
          <w:sz w:val="24"/>
        </w:rPr>
        <w:t>Transmission Network Service Provider </w:t>
      </w:r>
      <w:r>
        <w:rPr>
          <w:sz w:val="24"/>
        </w:rPr>
        <w:t>at any time during the </w:t>
      </w:r>
      <w:r>
        <w:rPr>
          <w:i/>
          <w:sz w:val="24"/>
        </w:rPr>
        <w:t>connection </w:t>
      </w:r>
      <w:r>
        <w:rPr>
          <w:sz w:val="24"/>
        </w:rPr>
        <w:t>process provided under rules 5.3 and 5.3A with at least three </w:t>
      </w:r>
      <w:r>
        <w:rPr>
          <w:i/>
          <w:sz w:val="24"/>
        </w:rPr>
        <w:t>business days' </w:t>
      </w:r>
      <w:r>
        <w:rPr>
          <w:sz w:val="24"/>
        </w:rPr>
        <w:t>prior written</w:t>
      </w:r>
      <w:r>
        <w:rPr>
          <w:spacing w:val="-1"/>
          <w:sz w:val="24"/>
        </w:rPr>
        <w:t> </w:t>
      </w:r>
      <w:r>
        <w:rPr>
          <w:sz w:val="24"/>
        </w:rPr>
        <w:t>notice.</w:t>
      </w:r>
    </w:p>
    <w:p>
      <w:pPr>
        <w:pStyle w:val="ListParagraph"/>
        <w:numPr>
          <w:ilvl w:val="2"/>
          <w:numId w:val="156"/>
        </w:numPr>
        <w:tabs>
          <w:tab w:pos="1919" w:val="left" w:leader="none"/>
        </w:tabs>
        <w:spacing w:line="240" w:lineRule="auto" w:before="120" w:after="0"/>
        <w:ind w:left="1919" w:right="416" w:hanging="567"/>
        <w:jc w:val="both"/>
        <w:rPr>
          <w:sz w:val="24"/>
        </w:rPr>
      </w:pPr>
      <w:r>
        <w:rPr>
          <w:sz w:val="24"/>
        </w:rPr>
        <w:t>A </w:t>
      </w:r>
      <w:r>
        <w:rPr>
          <w:i/>
          <w:sz w:val="24"/>
        </w:rPr>
        <w:t>Transmission Network Service Provider </w:t>
      </w:r>
      <w:r>
        <w:rPr>
          <w:sz w:val="24"/>
        </w:rPr>
        <w:t>may terminate negotiations with the </w:t>
      </w:r>
      <w:r>
        <w:rPr>
          <w:i/>
          <w:sz w:val="24"/>
        </w:rPr>
        <w:t>Connection Applicant </w:t>
      </w:r>
      <w:r>
        <w:rPr>
          <w:sz w:val="24"/>
        </w:rPr>
        <w:t>with at least three </w:t>
      </w:r>
      <w:r>
        <w:rPr>
          <w:i/>
          <w:sz w:val="24"/>
        </w:rPr>
        <w:t>business days</w:t>
      </w:r>
      <w:r>
        <w:rPr>
          <w:sz w:val="24"/>
        </w:rPr>
        <w:t>' prior written notice</w:t>
      </w:r>
      <w:r>
        <w:rPr>
          <w:spacing w:val="-1"/>
          <w:sz w:val="24"/>
        </w:rPr>
        <w:t> </w:t>
      </w:r>
      <w:r>
        <w:rPr>
          <w:sz w:val="24"/>
        </w:rPr>
        <w:t>if:</w:t>
      </w:r>
    </w:p>
    <w:p>
      <w:pPr>
        <w:pStyle w:val="ListParagraph"/>
        <w:numPr>
          <w:ilvl w:val="3"/>
          <w:numId w:val="156"/>
        </w:numPr>
        <w:tabs>
          <w:tab w:pos="2486" w:val="left" w:leader="none"/>
        </w:tabs>
        <w:spacing w:line="240" w:lineRule="auto" w:before="120" w:after="0"/>
        <w:ind w:left="2486" w:right="415" w:hanging="567"/>
        <w:jc w:val="both"/>
        <w:rPr>
          <w:sz w:val="24"/>
        </w:rPr>
      </w:pPr>
      <w:r>
        <w:rPr>
          <w:sz w:val="24"/>
        </w:rPr>
        <w:t>the </w:t>
      </w:r>
      <w:r>
        <w:rPr>
          <w:i/>
          <w:sz w:val="24"/>
        </w:rPr>
        <w:t>Connection Applicant </w:t>
      </w:r>
      <w:r>
        <w:rPr>
          <w:sz w:val="24"/>
        </w:rPr>
        <w:t>becomes insolvent or an equivalent </w:t>
      </w:r>
      <w:r>
        <w:rPr>
          <w:spacing w:val="-3"/>
          <w:sz w:val="24"/>
        </w:rPr>
        <w:t>event </w:t>
      </w:r>
      <w:r>
        <w:rPr>
          <w:sz w:val="24"/>
        </w:rPr>
        <w:t>occurs;</w:t>
      </w:r>
    </w:p>
    <w:p>
      <w:pPr>
        <w:spacing w:after="0" w:line="240" w:lineRule="auto"/>
        <w:jc w:val="both"/>
        <w:rPr>
          <w:sz w:val="24"/>
        </w:rPr>
        <w:sectPr>
          <w:pgSz w:w="11910" w:h="16840"/>
          <w:pgMar w:header="686" w:footer="637" w:top="1320" w:bottom="820" w:left="1200" w:right="1000"/>
        </w:sectPr>
      </w:pPr>
    </w:p>
    <w:p>
      <w:pPr>
        <w:pStyle w:val="ListParagraph"/>
        <w:numPr>
          <w:ilvl w:val="3"/>
          <w:numId w:val="156"/>
        </w:numPr>
        <w:tabs>
          <w:tab w:pos="2486" w:val="left" w:leader="none"/>
        </w:tabs>
        <w:spacing w:line="240" w:lineRule="auto" w:before="83" w:after="0"/>
        <w:ind w:left="2486" w:right="415" w:hanging="567"/>
        <w:jc w:val="both"/>
        <w:rPr>
          <w:sz w:val="24"/>
        </w:rPr>
      </w:pPr>
      <w:r>
        <w:rPr>
          <w:sz w:val="24"/>
        </w:rPr>
        <w:t>the </w:t>
      </w:r>
      <w:r>
        <w:rPr>
          <w:i/>
          <w:sz w:val="24"/>
        </w:rPr>
        <w:t>Connection Applicant </w:t>
      </w:r>
      <w:r>
        <w:rPr>
          <w:sz w:val="24"/>
        </w:rPr>
        <w:t>has, in the </w:t>
      </w:r>
      <w:r>
        <w:rPr>
          <w:i/>
          <w:sz w:val="24"/>
        </w:rPr>
        <w:t>Transmission Network Service </w:t>
      </w:r>
      <w:r>
        <w:rPr>
          <w:i/>
          <w:sz w:val="24"/>
        </w:rPr>
        <w:t>Provider's </w:t>
      </w:r>
      <w:r>
        <w:rPr>
          <w:sz w:val="24"/>
        </w:rPr>
        <w:t>reasonable opinion, provided false or </w:t>
      </w:r>
      <w:r>
        <w:rPr>
          <w:spacing w:val="-3"/>
          <w:sz w:val="24"/>
        </w:rPr>
        <w:t>misleading </w:t>
      </w:r>
      <w:r>
        <w:rPr>
          <w:sz w:val="24"/>
        </w:rPr>
        <w:t>information;</w:t>
      </w:r>
    </w:p>
    <w:p>
      <w:pPr>
        <w:pStyle w:val="ListParagraph"/>
        <w:numPr>
          <w:ilvl w:val="3"/>
          <w:numId w:val="156"/>
        </w:numPr>
        <w:tabs>
          <w:tab w:pos="2486" w:val="left" w:leader="none"/>
        </w:tabs>
        <w:spacing w:line="240" w:lineRule="auto" w:before="120" w:after="0"/>
        <w:ind w:left="2486" w:right="416" w:hanging="567"/>
        <w:jc w:val="both"/>
        <w:rPr>
          <w:sz w:val="24"/>
        </w:rPr>
      </w:pPr>
      <w:r>
        <w:rPr>
          <w:sz w:val="24"/>
        </w:rPr>
        <w:t>the </w:t>
      </w:r>
      <w:r>
        <w:rPr>
          <w:i/>
          <w:sz w:val="24"/>
        </w:rPr>
        <w:t>Transmission Network Service Provider </w:t>
      </w:r>
      <w:r>
        <w:rPr>
          <w:sz w:val="24"/>
        </w:rPr>
        <w:t>has reasonable grounds to believe that the </w:t>
      </w:r>
      <w:r>
        <w:rPr>
          <w:i/>
          <w:sz w:val="24"/>
        </w:rPr>
        <w:t>Connection Applicant </w:t>
      </w:r>
      <w:r>
        <w:rPr>
          <w:sz w:val="24"/>
        </w:rPr>
        <w:t>is not negotiating in good faith; or</w:t>
      </w:r>
    </w:p>
    <w:p>
      <w:pPr>
        <w:pStyle w:val="ListParagraph"/>
        <w:numPr>
          <w:ilvl w:val="3"/>
          <w:numId w:val="156"/>
        </w:numPr>
        <w:tabs>
          <w:tab w:pos="2486" w:val="left" w:leader="none"/>
        </w:tabs>
        <w:spacing w:line="240" w:lineRule="auto" w:before="120" w:after="0"/>
        <w:ind w:left="2486" w:right="415" w:hanging="567"/>
        <w:jc w:val="both"/>
        <w:rPr>
          <w:sz w:val="24"/>
        </w:rPr>
      </w:pPr>
      <w:r>
        <w:rPr>
          <w:sz w:val="24"/>
        </w:rPr>
        <w:t>the </w:t>
      </w:r>
      <w:r>
        <w:rPr>
          <w:i/>
          <w:sz w:val="24"/>
        </w:rPr>
        <w:t>Transmission Network Service Provider </w:t>
      </w:r>
      <w:r>
        <w:rPr>
          <w:sz w:val="24"/>
        </w:rPr>
        <w:t>has formed the reasonable opinion that the </w:t>
      </w:r>
      <w:r>
        <w:rPr>
          <w:i/>
          <w:sz w:val="24"/>
        </w:rPr>
        <w:t>Connection Applicant </w:t>
      </w:r>
      <w:r>
        <w:rPr>
          <w:sz w:val="24"/>
        </w:rPr>
        <w:t>does not intend to obtain </w:t>
      </w:r>
      <w:r>
        <w:rPr>
          <w:spacing w:val="-5"/>
          <w:sz w:val="24"/>
        </w:rPr>
        <w:t>the </w:t>
      </w:r>
      <w:r>
        <w:rPr>
          <w:sz w:val="24"/>
        </w:rPr>
        <w:t>service.</w:t>
      </w:r>
    </w:p>
    <w:p>
      <w:pPr>
        <w:pStyle w:val="BodyText"/>
        <w:spacing w:before="10"/>
        <w:ind w:firstLine="0"/>
        <w:jc w:val="left"/>
        <w:rPr>
          <w:sz w:val="20"/>
        </w:rPr>
      </w:pPr>
    </w:p>
    <w:p>
      <w:pPr>
        <w:pStyle w:val="Heading4"/>
        <w:numPr>
          <w:ilvl w:val="1"/>
          <w:numId w:val="157"/>
        </w:numPr>
        <w:tabs>
          <w:tab w:pos="553" w:val="left" w:leader="none"/>
          <w:tab w:pos="1351" w:val="left" w:leader="none"/>
        </w:tabs>
        <w:spacing w:line="240" w:lineRule="auto" w:before="0" w:after="0"/>
        <w:ind w:left="552" w:right="0" w:hanging="335"/>
        <w:jc w:val="left"/>
      </w:pPr>
      <w:bookmarkStart w:name="5.2A.4 Transmission services related to " w:id="396"/>
      <w:bookmarkEnd w:id="396"/>
      <w:r>
        <w:rPr>
          <w:b w:val="0"/>
        </w:rPr>
      </w:r>
      <w:bookmarkStart w:name="_bookmark170" w:id="397"/>
      <w:bookmarkEnd w:id="397"/>
      <w:r>
        <w:rPr>
          <w:b w:val="0"/>
        </w:rPr>
      </w:r>
      <w:bookmarkStart w:name="_bookmark170" w:id="398"/>
      <w:bookmarkEnd w:id="398"/>
      <w:r>
        <w:rPr/>
        <w:t>A.</w:t>
      </w:r>
      <w:r>
        <w:rPr/>
        <w:t>4</w:t>
        <w:tab/>
        <w:t>Transmission services related to</w:t>
      </w:r>
      <w:r>
        <w:rPr>
          <w:spacing w:val="-5"/>
        </w:rPr>
        <w:t> </w:t>
      </w:r>
      <w:r>
        <w:rPr/>
        <w:t>connection</w:t>
      </w:r>
    </w:p>
    <w:p>
      <w:pPr>
        <w:pStyle w:val="ListParagraph"/>
        <w:numPr>
          <w:ilvl w:val="2"/>
          <w:numId w:val="157"/>
        </w:numPr>
        <w:tabs>
          <w:tab w:pos="1919" w:val="left" w:leader="none"/>
        </w:tabs>
        <w:spacing w:line="240" w:lineRule="auto" w:before="120" w:after="0"/>
        <w:ind w:left="1919" w:right="415" w:hanging="567"/>
        <w:jc w:val="both"/>
        <w:rPr>
          <w:sz w:val="24"/>
        </w:rPr>
      </w:pPr>
      <w:r>
        <w:rPr>
          <w:sz w:val="24"/>
        </w:rPr>
        <w:t>If a service related to assets relevant for </w:t>
      </w:r>
      <w:r>
        <w:rPr>
          <w:i/>
          <w:sz w:val="24"/>
        </w:rPr>
        <w:t>connection </w:t>
      </w:r>
      <w:r>
        <w:rPr>
          <w:sz w:val="24"/>
        </w:rPr>
        <w:t>in the following table is classified as:</w:t>
      </w:r>
    </w:p>
    <w:p>
      <w:pPr>
        <w:pStyle w:val="ListParagraph"/>
        <w:numPr>
          <w:ilvl w:val="3"/>
          <w:numId w:val="157"/>
        </w:numPr>
        <w:tabs>
          <w:tab w:pos="2486" w:val="left" w:leader="none"/>
        </w:tabs>
        <w:spacing w:line="240" w:lineRule="auto" w:before="120" w:after="0"/>
        <w:ind w:left="2486" w:right="415" w:hanging="567"/>
        <w:jc w:val="both"/>
        <w:rPr>
          <w:sz w:val="24"/>
        </w:rPr>
      </w:pPr>
      <w:r>
        <w:rPr>
          <w:i/>
          <w:sz w:val="24"/>
        </w:rPr>
        <w:t>contestable </w:t>
      </w:r>
      <w:r>
        <w:rPr>
          <w:sz w:val="24"/>
        </w:rPr>
        <w:t>– then the </w:t>
      </w:r>
      <w:r>
        <w:rPr>
          <w:i/>
          <w:sz w:val="24"/>
        </w:rPr>
        <w:t>Primary Transmission Network Service </w:t>
      </w:r>
      <w:r>
        <w:rPr>
          <w:i/>
          <w:sz w:val="24"/>
        </w:rPr>
        <w:t>Provider </w:t>
      </w:r>
      <w:r>
        <w:rPr>
          <w:sz w:val="24"/>
        </w:rPr>
        <w:t>may (but is not obliged to) provide that service as a </w:t>
      </w:r>
      <w:r>
        <w:rPr>
          <w:i/>
          <w:sz w:val="24"/>
        </w:rPr>
        <w:t>non- </w:t>
      </w:r>
      <w:r>
        <w:rPr>
          <w:i/>
          <w:sz w:val="24"/>
        </w:rPr>
        <w:t>regulated transmission service </w:t>
      </w:r>
      <w:r>
        <w:rPr>
          <w:sz w:val="24"/>
        </w:rPr>
        <w:t>on request from a </w:t>
      </w:r>
      <w:r>
        <w:rPr>
          <w:i/>
          <w:sz w:val="24"/>
        </w:rPr>
        <w:t>Connection </w:t>
      </w:r>
      <w:r>
        <w:rPr>
          <w:i/>
          <w:sz w:val="24"/>
        </w:rPr>
        <w:t>Applicant</w:t>
      </w:r>
      <w:r>
        <w:rPr>
          <w:sz w:val="24"/>
        </w:rPr>
        <w:t>.</w:t>
      </w:r>
    </w:p>
    <w:p>
      <w:pPr>
        <w:pStyle w:val="ListParagraph"/>
        <w:numPr>
          <w:ilvl w:val="3"/>
          <w:numId w:val="157"/>
        </w:numPr>
        <w:tabs>
          <w:tab w:pos="2486" w:val="left" w:leader="none"/>
        </w:tabs>
        <w:spacing w:line="240" w:lineRule="auto" w:before="120" w:after="0"/>
        <w:ind w:left="2486" w:right="415" w:hanging="567"/>
        <w:jc w:val="both"/>
        <w:rPr>
          <w:sz w:val="24"/>
        </w:rPr>
      </w:pPr>
      <w:r>
        <w:rPr>
          <w:sz w:val="24"/>
        </w:rPr>
        <w:t>non-contestable – then the </w:t>
      </w:r>
      <w:r>
        <w:rPr>
          <w:i/>
          <w:sz w:val="24"/>
        </w:rPr>
        <w:t>Primary Transmission Network Service </w:t>
      </w:r>
      <w:r>
        <w:rPr>
          <w:i/>
          <w:sz w:val="24"/>
        </w:rPr>
        <w:t>Provider </w:t>
      </w:r>
      <w:r>
        <w:rPr>
          <w:sz w:val="24"/>
        </w:rPr>
        <w:t>has the exclusive right to provide that service and must negotiate under rule 5.3 to do so as a </w:t>
      </w:r>
      <w:r>
        <w:rPr>
          <w:i/>
          <w:sz w:val="24"/>
        </w:rPr>
        <w:t>negotiated transmission service </w:t>
      </w:r>
      <w:r>
        <w:rPr>
          <w:sz w:val="24"/>
        </w:rPr>
        <w:t>on request from a </w:t>
      </w:r>
      <w:r>
        <w:rPr>
          <w:i/>
          <w:sz w:val="24"/>
        </w:rPr>
        <w:t>Connection</w:t>
      </w:r>
      <w:r>
        <w:rPr>
          <w:i/>
          <w:spacing w:val="-2"/>
          <w:sz w:val="24"/>
        </w:rPr>
        <w:t> </w:t>
      </w:r>
      <w:r>
        <w:rPr>
          <w:i/>
          <w:sz w:val="24"/>
        </w:rPr>
        <w:t>Applicant</w:t>
      </w:r>
      <w:r>
        <w:rPr>
          <w:sz w:val="24"/>
        </w:rPr>
        <w:t>.</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0"/>
        <w:gridCol w:w="1590"/>
        <w:gridCol w:w="3167"/>
        <w:gridCol w:w="1590"/>
      </w:tblGrid>
      <w:tr>
        <w:trPr>
          <w:trHeight w:val="671" w:hRule="atLeast"/>
        </w:trPr>
        <w:tc>
          <w:tcPr>
            <w:tcW w:w="1590"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Asset</w:t>
            </w:r>
          </w:p>
        </w:tc>
        <w:tc>
          <w:tcPr>
            <w:tcW w:w="1590"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Service</w:t>
            </w:r>
          </w:p>
        </w:tc>
        <w:tc>
          <w:tcPr>
            <w:tcW w:w="3167"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Example of service</w:t>
            </w:r>
          </w:p>
        </w:tc>
        <w:tc>
          <w:tcPr>
            <w:tcW w:w="1590"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101"/>
              <w:rPr>
                <w:rFonts w:ascii="Arial"/>
                <w:b/>
                <w:sz w:val="24"/>
              </w:rPr>
            </w:pPr>
            <w:r>
              <w:rPr>
                <w:rFonts w:ascii="Arial"/>
                <w:b/>
                <w:sz w:val="24"/>
              </w:rPr>
              <w:t>Classificatio n</w:t>
            </w:r>
          </w:p>
        </w:tc>
      </w:tr>
      <w:tr>
        <w:trPr>
          <w:trHeight w:val="6407" w:hRule="atLeast"/>
        </w:trPr>
        <w:tc>
          <w:tcPr>
            <w:tcW w:w="1590" w:type="dxa"/>
            <w:tcBorders>
              <w:top w:val="single" w:sz="4" w:space="0" w:color="000000"/>
              <w:bottom w:val="single" w:sz="4" w:space="0" w:color="000000"/>
              <w:right w:val="single" w:sz="4" w:space="0" w:color="000000"/>
            </w:tcBorders>
          </w:tcPr>
          <w:p>
            <w:pPr>
              <w:pStyle w:val="TableParagraph"/>
              <w:ind w:left="40" w:right="135"/>
              <w:rPr>
                <w:i/>
                <w:sz w:val="24"/>
              </w:rPr>
            </w:pPr>
            <w:r>
              <w:rPr>
                <w:i/>
                <w:sz w:val="24"/>
              </w:rPr>
              <w:t>transmission </w:t>
            </w:r>
            <w:r>
              <w:rPr>
                <w:i/>
                <w:sz w:val="24"/>
              </w:rPr>
              <w:t>network </w:t>
            </w:r>
            <w:r>
              <w:rPr>
                <w:sz w:val="24"/>
              </w:rPr>
              <w:t>including </w:t>
            </w:r>
            <w:r>
              <w:rPr>
                <w:i/>
                <w:sz w:val="24"/>
              </w:rPr>
              <w:t>identified user </w:t>
            </w:r>
            <w:r>
              <w:rPr>
                <w:i/>
                <w:sz w:val="24"/>
              </w:rPr>
              <w:t>shared asset</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288"/>
              <w:rPr>
                <w:i/>
                <w:sz w:val="24"/>
              </w:rPr>
            </w:pPr>
            <w:r>
              <w:rPr>
                <w:sz w:val="24"/>
              </w:rPr>
              <w:t>Functional specification for </w:t>
            </w:r>
            <w:r>
              <w:rPr>
                <w:i/>
                <w:sz w:val="24"/>
              </w:rPr>
              <w:t>IUSA</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Specification of:</w:t>
            </w:r>
          </w:p>
          <w:p>
            <w:pPr>
              <w:pStyle w:val="TableParagraph"/>
              <w:numPr>
                <w:ilvl w:val="0"/>
                <w:numId w:val="158"/>
              </w:numPr>
              <w:tabs>
                <w:tab w:pos="612" w:val="left" w:leader="none"/>
                <w:tab w:pos="613" w:val="left" w:leader="none"/>
              </w:tabs>
              <w:spacing w:line="240" w:lineRule="auto" w:before="120" w:after="0"/>
              <w:ind w:left="612" w:right="590" w:hanging="567"/>
              <w:jc w:val="left"/>
              <w:rPr>
                <w:sz w:val="24"/>
              </w:rPr>
            </w:pPr>
            <w:r>
              <w:rPr>
                <w:sz w:val="24"/>
              </w:rPr>
              <w:t>preferred </w:t>
            </w:r>
            <w:r>
              <w:rPr>
                <w:spacing w:val="-3"/>
                <w:sz w:val="24"/>
              </w:rPr>
              <w:t>equipment </w:t>
            </w:r>
            <w:r>
              <w:rPr>
                <w:sz w:val="24"/>
              </w:rPr>
              <w:t>suppliers;</w:t>
            </w:r>
          </w:p>
          <w:p>
            <w:pPr>
              <w:pStyle w:val="TableParagraph"/>
              <w:numPr>
                <w:ilvl w:val="0"/>
                <w:numId w:val="158"/>
              </w:numPr>
              <w:tabs>
                <w:tab w:pos="612" w:val="left" w:leader="none"/>
                <w:tab w:pos="613" w:val="left" w:leader="none"/>
              </w:tabs>
              <w:spacing w:line="240" w:lineRule="auto" w:before="120" w:after="0"/>
              <w:ind w:left="612" w:right="0" w:hanging="568"/>
              <w:jc w:val="left"/>
              <w:rPr>
                <w:sz w:val="24"/>
              </w:rPr>
            </w:pPr>
            <w:r>
              <w:rPr>
                <w:sz w:val="24"/>
              </w:rPr>
              <w:t>preferred</w:t>
            </w:r>
            <w:r>
              <w:rPr>
                <w:spacing w:val="-1"/>
                <w:sz w:val="24"/>
              </w:rPr>
              <w:t> </w:t>
            </w:r>
            <w:r>
              <w:rPr>
                <w:sz w:val="24"/>
              </w:rPr>
              <w:t>equipment;</w:t>
            </w:r>
          </w:p>
          <w:p>
            <w:pPr>
              <w:pStyle w:val="TableParagraph"/>
              <w:numPr>
                <w:ilvl w:val="0"/>
                <w:numId w:val="158"/>
              </w:numPr>
              <w:tabs>
                <w:tab w:pos="612" w:val="left" w:leader="none"/>
                <w:tab w:pos="613" w:val="left" w:leader="none"/>
              </w:tabs>
              <w:spacing w:line="240" w:lineRule="auto" w:before="120" w:after="0"/>
              <w:ind w:left="612" w:right="0" w:hanging="568"/>
              <w:jc w:val="left"/>
              <w:rPr>
                <w:sz w:val="24"/>
              </w:rPr>
            </w:pPr>
            <w:r>
              <w:rPr>
                <w:sz w:val="24"/>
              </w:rPr>
              <w:t>land/access</w:t>
            </w:r>
            <w:r>
              <w:rPr>
                <w:spacing w:val="-3"/>
                <w:sz w:val="24"/>
              </w:rPr>
              <w:t> </w:t>
            </w:r>
            <w:r>
              <w:rPr>
                <w:sz w:val="24"/>
              </w:rPr>
              <w:t>requirements;</w:t>
            </w:r>
          </w:p>
          <w:p>
            <w:pPr>
              <w:pStyle w:val="TableParagraph"/>
              <w:numPr>
                <w:ilvl w:val="0"/>
                <w:numId w:val="158"/>
              </w:numPr>
              <w:tabs>
                <w:tab w:pos="612" w:val="left" w:leader="none"/>
                <w:tab w:pos="613" w:val="left" w:leader="none"/>
              </w:tabs>
              <w:spacing w:line="240" w:lineRule="auto" w:before="120" w:after="0"/>
              <w:ind w:left="612" w:right="0" w:hanging="568"/>
              <w:jc w:val="left"/>
              <w:rPr>
                <w:sz w:val="24"/>
              </w:rPr>
            </w:pPr>
            <w:r>
              <w:rPr>
                <w:sz w:val="24"/>
              </w:rPr>
              <w:t>design</w:t>
            </w:r>
            <w:r>
              <w:rPr>
                <w:spacing w:val="-2"/>
                <w:sz w:val="24"/>
              </w:rPr>
              <w:t> </w:t>
            </w:r>
            <w:r>
              <w:rPr>
                <w:sz w:val="24"/>
              </w:rPr>
              <w:t>specifications;</w:t>
            </w:r>
          </w:p>
          <w:p>
            <w:pPr>
              <w:pStyle w:val="TableParagraph"/>
              <w:numPr>
                <w:ilvl w:val="0"/>
                <w:numId w:val="158"/>
              </w:numPr>
              <w:tabs>
                <w:tab w:pos="612" w:val="left" w:leader="none"/>
                <w:tab w:pos="613" w:val="left" w:leader="none"/>
              </w:tabs>
              <w:spacing w:line="240" w:lineRule="auto" w:before="120" w:after="0"/>
              <w:ind w:left="612" w:right="0" w:hanging="568"/>
              <w:jc w:val="left"/>
              <w:rPr>
                <w:sz w:val="24"/>
              </w:rPr>
            </w:pPr>
            <w:r>
              <w:rPr>
                <w:sz w:val="24"/>
              </w:rPr>
              <w:t>single line</w:t>
            </w:r>
            <w:r>
              <w:rPr>
                <w:spacing w:val="-1"/>
                <w:sz w:val="24"/>
              </w:rPr>
              <w:t> </w:t>
            </w:r>
            <w:r>
              <w:rPr>
                <w:sz w:val="24"/>
              </w:rPr>
              <w:t>diagrams;</w:t>
            </w:r>
          </w:p>
          <w:p>
            <w:pPr>
              <w:pStyle w:val="TableParagraph"/>
              <w:numPr>
                <w:ilvl w:val="0"/>
                <w:numId w:val="158"/>
              </w:numPr>
              <w:tabs>
                <w:tab w:pos="612" w:val="left" w:leader="none"/>
                <w:tab w:pos="613" w:val="left" w:leader="none"/>
              </w:tabs>
              <w:spacing w:line="240" w:lineRule="auto" w:before="120" w:after="0"/>
              <w:ind w:left="612" w:right="342" w:hanging="567"/>
              <w:jc w:val="left"/>
              <w:rPr>
                <w:sz w:val="24"/>
              </w:rPr>
            </w:pPr>
            <w:r>
              <w:rPr>
                <w:sz w:val="24"/>
              </w:rPr>
              <w:t>remote monitoring </w:t>
            </w:r>
            <w:r>
              <w:rPr>
                <w:spacing w:val="-5"/>
                <w:sz w:val="24"/>
              </w:rPr>
              <w:t>and </w:t>
            </w:r>
            <w:r>
              <w:rPr>
                <w:sz w:val="24"/>
              </w:rPr>
              <w:t>communication requirements;</w:t>
            </w:r>
          </w:p>
          <w:p>
            <w:pPr>
              <w:pStyle w:val="TableParagraph"/>
              <w:numPr>
                <w:ilvl w:val="0"/>
                <w:numId w:val="158"/>
              </w:numPr>
              <w:tabs>
                <w:tab w:pos="612" w:val="left" w:leader="none"/>
                <w:tab w:pos="613" w:val="left" w:leader="none"/>
              </w:tabs>
              <w:spacing w:line="240" w:lineRule="auto" w:before="120" w:after="0"/>
              <w:ind w:left="612" w:right="310" w:hanging="567"/>
              <w:jc w:val="left"/>
              <w:rPr>
                <w:sz w:val="24"/>
              </w:rPr>
            </w:pPr>
            <w:r>
              <w:rPr>
                <w:sz w:val="24"/>
              </w:rPr>
              <w:t>protection, control and metering</w:t>
            </w:r>
            <w:r>
              <w:rPr>
                <w:spacing w:val="21"/>
                <w:sz w:val="24"/>
              </w:rPr>
              <w:t> </w:t>
            </w:r>
            <w:r>
              <w:rPr>
                <w:spacing w:val="-3"/>
                <w:sz w:val="24"/>
              </w:rPr>
              <w:t>requirements;</w:t>
            </w:r>
          </w:p>
          <w:p>
            <w:pPr>
              <w:pStyle w:val="TableParagraph"/>
              <w:numPr>
                <w:ilvl w:val="0"/>
                <w:numId w:val="158"/>
              </w:numPr>
              <w:tabs>
                <w:tab w:pos="612" w:val="left" w:leader="none"/>
                <w:tab w:pos="613" w:val="left" w:leader="none"/>
              </w:tabs>
              <w:spacing w:line="240" w:lineRule="auto" w:before="120" w:after="0"/>
              <w:ind w:left="612" w:right="642" w:hanging="567"/>
              <w:jc w:val="left"/>
              <w:rPr>
                <w:sz w:val="24"/>
              </w:rPr>
            </w:pPr>
            <w:r>
              <w:rPr>
                <w:sz w:val="24"/>
              </w:rPr>
              <w:t>minimum </w:t>
            </w:r>
            <w:r>
              <w:rPr>
                <w:spacing w:val="-3"/>
                <w:sz w:val="24"/>
              </w:rPr>
              <w:t>operating </w:t>
            </w:r>
            <w:r>
              <w:rPr>
                <w:sz w:val="24"/>
              </w:rPr>
              <w:t>conditions;</w:t>
            </w:r>
          </w:p>
          <w:p>
            <w:pPr>
              <w:pStyle w:val="TableParagraph"/>
              <w:numPr>
                <w:ilvl w:val="0"/>
                <w:numId w:val="158"/>
              </w:numPr>
              <w:tabs>
                <w:tab w:pos="612" w:val="left" w:leader="none"/>
                <w:tab w:pos="613" w:val="left" w:leader="none"/>
              </w:tabs>
              <w:spacing w:line="240" w:lineRule="auto" w:before="120" w:after="0"/>
              <w:ind w:left="612" w:right="278" w:hanging="567"/>
              <w:jc w:val="left"/>
              <w:rPr>
                <w:sz w:val="24"/>
              </w:rPr>
            </w:pPr>
            <w:r>
              <w:rPr>
                <w:sz w:val="24"/>
              </w:rPr>
              <w:t>supervisory control </w:t>
            </w:r>
            <w:r>
              <w:rPr>
                <w:spacing w:val="-4"/>
                <w:sz w:val="24"/>
              </w:rPr>
              <w:t>and </w:t>
            </w:r>
            <w:r>
              <w:rPr>
                <w:sz w:val="24"/>
              </w:rPr>
              <w:t>data aquisition system interface</w:t>
            </w:r>
            <w:r>
              <w:rPr>
                <w:spacing w:val="-2"/>
                <w:sz w:val="24"/>
              </w:rPr>
              <w:t> </w:t>
            </w:r>
            <w:r>
              <w:rPr>
                <w:sz w:val="24"/>
              </w:rPr>
              <w:t>requirements;</w:t>
            </w:r>
          </w:p>
          <w:p>
            <w:pPr>
              <w:pStyle w:val="TableParagraph"/>
              <w:numPr>
                <w:ilvl w:val="0"/>
                <w:numId w:val="158"/>
              </w:numPr>
              <w:tabs>
                <w:tab w:pos="612" w:val="left" w:leader="none"/>
                <w:tab w:pos="613" w:val="left" w:leader="none"/>
              </w:tabs>
              <w:spacing w:line="240" w:lineRule="auto" w:before="120" w:after="0"/>
              <w:ind w:left="612" w:right="0" w:hanging="568"/>
              <w:jc w:val="left"/>
              <w:rPr>
                <w:sz w:val="24"/>
              </w:rPr>
            </w:pPr>
            <w:r>
              <w:rPr>
                <w:sz w:val="24"/>
              </w:rPr>
              <w:t>equipment</w:t>
            </w:r>
            <w:r>
              <w:rPr>
                <w:spacing w:val="-1"/>
                <w:sz w:val="24"/>
              </w:rPr>
              <w:t> </w:t>
            </w:r>
            <w:r>
              <w:rPr>
                <w:sz w:val="24"/>
              </w:rPr>
              <w:t>ratings;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435"/>
              <w:rPr>
                <w:sz w:val="24"/>
              </w:rPr>
            </w:pPr>
            <w:r>
              <w:rPr>
                <w:sz w:val="24"/>
              </w:rPr>
              <w:t>non- contestable</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0"/>
        <w:gridCol w:w="1590"/>
        <w:gridCol w:w="3167"/>
        <w:gridCol w:w="1590"/>
      </w:tblGrid>
      <w:tr>
        <w:trPr>
          <w:trHeight w:val="671" w:hRule="atLeast"/>
        </w:trPr>
        <w:tc>
          <w:tcPr>
            <w:tcW w:w="1590"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Asset</w:t>
            </w:r>
          </w:p>
        </w:tc>
        <w:tc>
          <w:tcPr>
            <w:tcW w:w="1590"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Service</w:t>
            </w:r>
          </w:p>
        </w:tc>
        <w:tc>
          <w:tcPr>
            <w:tcW w:w="3167"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Example of service</w:t>
            </w:r>
          </w:p>
        </w:tc>
        <w:tc>
          <w:tcPr>
            <w:tcW w:w="1590"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101"/>
              <w:rPr>
                <w:rFonts w:ascii="Arial"/>
                <w:b/>
                <w:sz w:val="24"/>
              </w:rPr>
            </w:pPr>
            <w:r>
              <w:rPr>
                <w:rFonts w:ascii="Arial"/>
                <w:b/>
                <w:sz w:val="24"/>
              </w:rPr>
              <w:t>Classificatio n</w:t>
            </w:r>
          </w:p>
        </w:tc>
      </w:tr>
      <w:tr>
        <w:trPr>
          <w:trHeight w:val="1067" w:hRule="atLeast"/>
        </w:trPr>
        <w:tc>
          <w:tcPr>
            <w:tcW w:w="1590"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1590"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167" w:type="dxa"/>
            <w:tcBorders>
              <w:top w:val="single" w:sz="4" w:space="0" w:color="000000"/>
              <w:left w:val="single" w:sz="4" w:space="0" w:color="000000"/>
              <w:bottom w:val="single" w:sz="4" w:space="0" w:color="000000"/>
              <w:right w:val="single" w:sz="4" w:space="0" w:color="000000"/>
            </w:tcBorders>
          </w:tcPr>
          <w:p>
            <w:pPr>
              <w:pStyle w:val="TableParagraph"/>
              <w:numPr>
                <w:ilvl w:val="0"/>
                <w:numId w:val="159"/>
              </w:numPr>
              <w:tabs>
                <w:tab w:pos="612" w:val="left" w:leader="none"/>
                <w:tab w:pos="613" w:val="left" w:leader="none"/>
              </w:tabs>
              <w:spacing w:line="240" w:lineRule="auto" w:before="0" w:after="0"/>
              <w:ind w:left="612" w:right="496" w:hanging="567"/>
              <w:jc w:val="left"/>
              <w:rPr>
                <w:sz w:val="24"/>
              </w:rPr>
            </w:pPr>
            <w:r>
              <w:rPr>
                <w:sz w:val="24"/>
              </w:rPr>
              <w:t>equipment </w:t>
            </w:r>
            <w:r>
              <w:rPr>
                <w:spacing w:val="-3"/>
                <w:sz w:val="24"/>
              </w:rPr>
              <w:t>protection </w:t>
            </w:r>
            <w:r>
              <w:rPr>
                <w:sz w:val="24"/>
              </w:rPr>
              <w:t>ratings;</w:t>
            </w:r>
            <w:r>
              <w:rPr>
                <w:spacing w:val="-1"/>
                <w:sz w:val="24"/>
              </w:rPr>
              <w:t> </w:t>
            </w:r>
            <w:r>
              <w:rPr>
                <w:sz w:val="24"/>
              </w:rPr>
              <w:t>and</w:t>
            </w:r>
          </w:p>
          <w:p>
            <w:pPr>
              <w:pStyle w:val="TableParagraph"/>
              <w:numPr>
                <w:ilvl w:val="0"/>
                <w:numId w:val="159"/>
              </w:numPr>
              <w:tabs>
                <w:tab w:pos="612" w:val="left" w:leader="none"/>
                <w:tab w:pos="613" w:val="left" w:leader="none"/>
              </w:tabs>
              <w:spacing w:line="240" w:lineRule="auto" w:before="120" w:after="0"/>
              <w:ind w:left="612" w:right="0" w:hanging="568"/>
              <w:jc w:val="left"/>
              <w:rPr>
                <w:sz w:val="24"/>
              </w:rPr>
            </w:pPr>
            <w:r>
              <w:rPr>
                <w:sz w:val="24"/>
              </w:rPr>
              <w:t>spare parts</w:t>
            </w:r>
            <w:r>
              <w:rPr>
                <w:spacing w:val="-2"/>
                <w:sz w:val="24"/>
              </w:rPr>
              <w:t> </w:t>
            </w:r>
            <w:r>
              <w:rPr>
                <w:sz w:val="24"/>
              </w:rPr>
              <w:t>itineraries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8543" w:hRule="atLeast"/>
        </w:trPr>
        <w:tc>
          <w:tcPr>
            <w:tcW w:w="1590" w:type="dxa"/>
            <w:tcBorders>
              <w:top w:val="single" w:sz="4" w:space="0" w:color="000000"/>
              <w:bottom w:val="single" w:sz="4" w:space="0" w:color="000000"/>
              <w:right w:val="single" w:sz="4" w:space="0" w:color="000000"/>
            </w:tcBorders>
          </w:tcPr>
          <w:p>
            <w:pPr>
              <w:pStyle w:val="TableParagraph"/>
              <w:ind w:left="40" w:right="135"/>
              <w:rPr>
                <w:i/>
                <w:sz w:val="24"/>
              </w:rPr>
            </w:pPr>
            <w:r>
              <w:rPr>
                <w:i/>
                <w:sz w:val="24"/>
              </w:rPr>
              <w:t>identified user </w:t>
            </w:r>
            <w:r>
              <w:rPr>
                <w:i/>
                <w:sz w:val="24"/>
              </w:rPr>
              <w:t>shared asset</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15"/>
              <w:rPr>
                <w:i/>
                <w:sz w:val="24"/>
              </w:rPr>
            </w:pPr>
            <w:r>
              <w:rPr>
                <w:sz w:val="24"/>
              </w:rPr>
              <w:t>Detailed design for </w:t>
            </w:r>
            <w:r>
              <w:rPr>
                <w:i/>
                <w:sz w:val="24"/>
              </w:rPr>
              <w:t>IUSA</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Provision of:</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site</w:t>
            </w:r>
            <w:r>
              <w:rPr>
                <w:spacing w:val="-1"/>
                <w:sz w:val="24"/>
              </w:rPr>
              <w:t> </w:t>
            </w:r>
            <w:r>
              <w:rPr>
                <w:sz w:val="24"/>
              </w:rPr>
              <w:t>plan;</w:t>
            </w:r>
          </w:p>
          <w:p>
            <w:pPr>
              <w:pStyle w:val="TableParagraph"/>
              <w:numPr>
                <w:ilvl w:val="0"/>
                <w:numId w:val="160"/>
              </w:numPr>
              <w:tabs>
                <w:tab w:pos="612" w:val="left" w:leader="none"/>
                <w:tab w:pos="613" w:val="left" w:leader="none"/>
              </w:tabs>
              <w:spacing w:line="240" w:lineRule="auto" w:before="120" w:after="0"/>
              <w:ind w:left="612" w:right="1009" w:hanging="567"/>
              <w:jc w:val="left"/>
              <w:rPr>
                <w:sz w:val="24"/>
              </w:rPr>
            </w:pPr>
            <w:r>
              <w:rPr>
                <w:sz w:val="24"/>
              </w:rPr>
              <w:t>asset layout </w:t>
            </w:r>
            <w:r>
              <w:rPr>
                <w:spacing w:val="-5"/>
                <w:sz w:val="24"/>
              </w:rPr>
              <w:t>and </w:t>
            </w:r>
            <w:r>
              <w:rPr>
                <w:sz w:val="24"/>
              </w:rPr>
              <w:t>configuration;</w:t>
            </w:r>
          </w:p>
          <w:p>
            <w:pPr>
              <w:pStyle w:val="TableParagraph"/>
              <w:numPr>
                <w:ilvl w:val="0"/>
                <w:numId w:val="160"/>
              </w:numPr>
              <w:tabs>
                <w:tab w:pos="612" w:val="left" w:leader="none"/>
                <w:tab w:pos="613" w:val="left" w:leader="none"/>
              </w:tabs>
              <w:spacing w:line="240" w:lineRule="auto" w:before="120" w:after="0"/>
              <w:ind w:left="612" w:right="624" w:hanging="567"/>
              <w:jc w:val="left"/>
              <w:rPr>
                <w:sz w:val="24"/>
              </w:rPr>
            </w:pPr>
            <w:r>
              <w:rPr>
                <w:sz w:val="24"/>
              </w:rPr>
              <w:t>the specification</w:t>
            </w:r>
            <w:r>
              <w:rPr>
                <w:spacing w:val="-10"/>
                <w:sz w:val="24"/>
              </w:rPr>
              <w:t> </w:t>
            </w:r>
            <w:r>
              <w:rPr>
                <w:sz w:val="24"/>
              </w:rPr>
              <w:t>for vendor</w:t>
            </w:r>
            <w:r>
              <w:rPr>
                <w:spacing w:val="-1"/>
                <w:sz w:val="24"/>
              </w:rPr>
              <w:t> </w:t>
            </w:r>
            <w:r>
              <w:rPr>
                <w:sz w:val="24"/>
              </w:rPr>
              <w:t>equipment;</w:t>
            </w:r>
          </w:p>
          <w:p>
            <w:pPr>
              <w:pStyle w:val="TableParagraph"/>
              <w:numPr>
                <w:ilvl w:val="0"/>
                <w:numId w:val="160"/>
              </w:numPr>
              <w:tabs>
                <w:tab w:pos="612" w:val="left" w:leader="none"/>
                <w:tab w:pos="613" w:val="left" w:leader="none"/>
              </w:tabs>
              <w:spacing w:line="240" w:lineRule="auto" w:before="120" w:after="0"/>
              <w:ind w:left="612" w:right="104" w:hanging="567"/>
              <w:jc w:val="left"/>
              <w:rPr>
                <w:sz w:val="24"/>
              </w:rPr>
            </w:pPr>
            <w:r>
              <w:rPr>
                <w:sz w:val="24"/>
              </w:rPr>
              <w:t>civil, structural, mechanical and </w:t>
            </w:r>
            <w:r>
              <w:rPr>
                <w:spacing w:val="-3"/>
                <w:sz w:val="24"/>
              </w:rPr>
              <w:t>electrical </w:t>
            </w:r>
            <w:r>
              <w:rPr>
                <w:sz w:val="24"/>
              </w:rPr>
              <w:t>detailed</w:t>
            </w:r>
            <w:r>
              <w:rPr>
                <w:spacing w:val="-1"/>
                <w:sz w:val="24"/>
              </w:rPr>
              <w:t> </w:t>
            </w:r>
            <w:r>
              <w:rPr>
                <w:sz w:val="24"/>
              </w:rPr>
              <w:t>design;</w:t>
            </w:r>
          </w:p>
          <w:p>
            <w:pPr>
              <w:pStyle w:val="TableParagraph"/>
              <w:numPr>
                <w:ilvl w:val="0"/>
                <w:numId w:val="160"/>
              </w:numPr>
              <w:tabs>
                <w:tab w:pos="612" w:val="left" w:leader="none"/>
                <w:tab w:pos="613" w:val="left" w:leader="none"/>
              </w:tabs>
              <w:spacing w:line="240" w:lineRule="auto" w:before="120" w:after="0"/>
              <w:ind w:left="612" w:right="356" w:hanging="567"/>
              <w:jc w:val="left"/>
              <w:rPr>
                <w:sz w:val="24"/>
              </w:rPr>
            </w:pPr>
            <w:r>
              <w:rPr>
                <w:sz w:val="24"/>
              </w:rPr>
              <w:t>issued for </w:t>
            </w:r>
            <w:r>
              <w:rPr>
                <w:spacing w:val="-3"/>
                <w:sz w:val="24"/>
              </w:rPr>
              <w:t>construction </w:t>
            </w:r>
            <w:r>
              <w:rPr>
                <w:sz w:val="24"/>
              </w:rPr>
              <w:t>drawings;</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as built</w:t>
            </w:r>
            <w:r>
              <w:rPr>
                <w:spacing w:val="-1"/>
                <w:sz w:val="24"/>
              </w:rPr>
              <w:t> </w:t>
            </w:r>
            <w:r>
              <w:rPr>
                <w:sz w:val="24"/>
              </w:rPr>
              <w:t>drawings;</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tender</w:t>
            </w:r>
            <w:r>
              <w:rPr>
                <w:spacing w:val="-1"/>
                <w:sz w:val="24"/>
              </w:rPr>
              <w:t> </w:t>
            </w:r>
            <w:r>
              <w:rPr>
                <w:sz w:val="24"/>
              </w:rPr>
              <w:t>specifications;</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cable</w:t>
            </w:r>
            <w:r>
              <w:rPr>
                <w:spacing w:val="-1"/>
                <w:sz w:val="24"/>
              </w:rPr>
              <w:t> </w:t>
            </w:r>
            <w:r>
              <w:rPr>
                <w:sz w:val="24"/>
              </w:rPr>
              <w:t>schedules;</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protection</w:t>
            </w:r>
            <w:r>
              <w:rPr>
                <w:spacing w:val="-1"/>
                <w:sz w:val="24"/>
              </w:rPr>
              <w:t> </w:t>
            </w:r>
            <w:r>
              <w:rPr>
                <w:sz w:val="24"/>
              </w:rPr>
              <w:t>settings;</w:t>
            </w:r>
          </w:p>
          <w:p>
            <w:pPr>
              <w:pStyle w:val="TableParagraph"/>
              <w:numPr>
                <w:ilvl w:val="0"/>
                <w:numId w:val="160"/>
              </w:numPr>
              <w:tabs>
                <w:tab w:pos="612" w:val="left" w:leader="none"/>
                <w:tab w:pos="613" w:val="left" w:leader="none"/>
              </w:tabs>
              <w:spacing w:line="240" w:lineRule="auto" w:before="120" w:after="0"/>
              <w:ind w:left="612" w:right="630" w:hanging="567"/>
              <w:jc w:val="left"/>
              <w:rPr>
                <w:sz w:val="24"/>
              </w:rPr>
            </w:pPr>
            <w:r>
              <w:rPr>
                <w:sz w:val="24"/>
              </w:rPr>
              <w:t>applicable </w:t>
            </w:r>
            <w:r>
              <w:rPr>
                <w:spacing w:val="-3"/>
                <w:sz w:val="24"/>
              </w:rPr>
              <w:t>technical </w:t>
            </w:r>
            <w:r>
              <w:rPr>
                <w:sz w:val="24"/>
              </w:rPr>
              <w:t>studies;</w:t>
            </w:r>
          </w:p>
          <w:p>
            <w:pPr>
              <w:pStyle w:val="TableParagraph"/>
              <w:numPr>
                <w:ilvl w:val="0"/>
                <w:numId w:val="160"/>
              </w:numPr>
              <w:tabs>
                <w:tab w:pos="612" w:val="left" w:leader="none"/>
                <w:tab w:pos="613" w:val="left" w:leader="none"/>
              </w:tabs>
              <w:spacing w:line="240" w:lineRule="auto" w:before="120" w:after="0"/>
              <w:ind w:left="612" w:right="0" w:hanging="568"/>
              <w:jc w:val="left"/>
              <w:rPr>
                <w:sz w:val="24"/>
              </w:rPr>
            </w:pPr>
            <w:r>
              <w:rPr>
                <w:sz w:val="24"/>
              </w:rPr>
              <w:t>earthing</w:t>
            </w:r>
            <w:r>
              <w:rPr>
                <w:spacing w:val="-1"/>
                <w:sz w:val="24"/>
              </w:rPr>
              <w:t> </w:t>
            </w:r>
            <w:r>
              <w:rPr>
                <w:sz w:val="24"/>
              </w:rPr>
              <w:t>design;</w:t>
            </w:r>
          </w:p>
          <w:p>
            <w:pPr>
              <w:pStyle w:val="TableParagraph"/>
              <w:numPr>
                <w:ilvl w:val="0"/>
                <w:numId w:val="160"/>
              </w:numPr>
              <w:tabs>
                <w:tab w:pos="612" w:val="left" w:leader="none"/>
                <w:tab w:pos="613" w:val="left" w:leader="none"/>
              </w:tabs>
              <w:spacing w:line="240" w:lineRule="auto" w:before="120" w:after="0"/>
              <w:ind w:left="612" w:right="376" w:hanging="567"/>
              <w:jc w:val="left"/>
              <w:rPr>
                <w:sz w:val="24"/>
              </w:rPr>
            </w:pPr>
            <w:r>
              <w:rPr>
                <w:sz w:val="24"/>
              </w:rPr>
              <w:t>the design of </w:t>
            </w:r>
            <w:r>
              <w:rPr>
                <w:spacing w:val="-3"/>
                <w:sz w:val="24"/>
              </w:rPr>
              <w:t>lightning </w:t>
            </w:r>
            <w:r>
              <w:rPr>
                <w:sz w:val="24"/>
              </w:rPr>
              <w:t>protection;</w:t>
            </w:r>
            <w:r>
              <w:rPr>
                <w:spacing w:val="-1"/>
                <w:sz w:val="24"/>
              </w:rPr>
              <w:t> </w:t>
            </w:r>
            <w:r>
              <w:rPr>
                <w:sz w:val="24"/>
              </w:rPr>
              <w:t>and</w:t>
            </w:r>
          </w:p>
          <w:p>
            <w:pPr>
              <w:pStyle w:val="TableParagraph"/>
              <w:numPr>
                <w:ilvl w:val="0"/>
                <w:numId w:val="160"/>
              </w:numPr>
              <w:tabs>
                <w:tab w:pos="612" w:val="left" w:leader="none"/>
                <w:tab w:pos="613" w:val="left" w:leader="none"/>
              </w:tabs>
              <w:spacing w:line="240" w:lineRule="auto" w:before="120" w:after="0"/>
              <w:ind w:left="612" w:right="296" w:hanging="567"/>
              <w:jc w:val="left"/>
              <w:rPr>
                <w:sz w:val="24"/>
              </w:rPr>
            </w:pPr>
            <w:r>
              <w:rPr>
                <w:sz w:val="24"/>
              </w:rPr>
              <w:t>the design of </w:t>
            </w:r>
            <w:r>
              <w:rPr>
                <w:spacing w:val="-3"/>
                <w:sz w:val="24"/>
              </w:rPr>
              <w:t>insulation </w:t>
            </w:r>
            <w:r>
              <w:rPr>
                <w:sz w:val="24"/>
              </w:rPr>
              <w:t>co-ordination,</w:t>
            </w:r>
          </w:p>
          <w:p>
            <w:pPr>
              <w:pStyle w:val="TableParagraph"/>
              <w:ind w:right="259"/>
              <w:rPr>
                <w:sz w:val="24"/>
              </w:rPr>
            </w:pPr>
            <w:r>
              <w:rPr>
                <w:sz w:val="24"/>
              </w:rPr>
              <w:t>consistent with the functional specification.</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i/>
                <w:sz w:val="24"/>
              </w:rPr>
              <w:t>contestable</w:t>
            </w:r>
          </w:p>
        </w:tc>
      </w:tr>
      <w:tr>
        <w:trPr>
          <w:trHeight w:val="1895" w:hRule="atLeast"/>
        </w:trPr>
        <w:tc>
          <w:tcPr>
            <w:tcW w:w="1590" w:type="dxa"/>
            <w:tcBorders>
              <w:top w:val="single" w:sz="4" w:space="0" w:color="000000"/>
              <w:bottom w:val="single" w:sz="4" w:space="0" w:color="000000"/>
              <w:right w:val="single" w:sz="4" w:space="0" w:color="000000"/>
            </w:tcBorders>
          </w:tcPr>
          <w:p>
            <w:pPr>
              <w:pStyle w:val="TableParagraph"/>
              <w:ind w:left="40" w:right="288"/>
              <w:rPr>
                <w:i/>
                <w:sz w:val="24"/>
              </w:rPr>
            </w:pPr>
            <w:r>
              <w:rPr>
                <w:i/>
                <w:sz w:val="24"/>
              </w:rPr>
              <w:t>transmission </w:t>
            </w:r>
            <w:r>
              <w:rPr>
                <w:i/>
                <w:sz w:val="24"/>
              </w:rPr>
              <w:t>network</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Cut-in works</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ind w:right="5"/>
              <w:rPr>
                <w:sz w:val="24"/>
              </w:rPr>
            </w:pPr>
            <w:r>
              <w:rPr>
                <w:sz w:val="24"/>
              </w:rPr>
              <w:t>Interface works which cut into the existing shared </w:t>
            </w:r>
            <w:r>
              <w:rPr>
                <w:i/>
                <w:sz w:val="24"/>
              </w:rPr>
              <w:t>transmission </w:t>
            </w:r>
            <w:r>
              <w:rPr>
                <w:i/>
                <w:sz w:val="24"/>
              </w:rPr>
              <w:t>network</w:t>
            </w:r>
            <w:r>
              <w:rPr>
                <w:sz w:val="24"/>
              </w:rPr>
              <w:t>, these may include tower realignment, protection control and communications requirements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435"/>
              <w:rPr>
                <w:sz w:val="24"/>
              </w:rPr>
            </w:pPr>
            <w:r>
              <w:rPr>
                <w:sz w:val="24"/>
              </w:rPr>
              <w:t>non- contestable</w:t>
            </w:r>
          </w:p>
        </w:tc>
      </w:tr>
      <w:tr>
        <w:trPr>
          <w:trHeight w:val="1067" w:hRule="atLeast"/>
        </w:trPr>
        <w:tc>
          <w:tcPr>
            <w:tcW w:w="1590" w:type="dxa"/>
            <w:tcBorders>
              <w:top w:val="single" w:sz="4" w:space="0" w:color="000000"/>
              <w:bottom w:val="single" w:sz="4" w:space="0" w:color="000000"/>
              <w:right w:val="single" w:sz="4" w:space="0" w:color="000000"/>
            </w:tcBorders>
          </w:tcPr>
          <w:p>
            <w:pPr>
              <w:pStyle w:val="TableParagraph"/>
              <w:ind w:left="40" w:right="422"/>
              <w:rPr>
                <w:i/>
                <w:sz w:val="24"/>
              </w:rPr>
            </w:pPr>
            <w:r>
              <w:rPr>
                <w:i/>
                <w:sz w:val="24"/>
              </w:rPr>
              <w:t>contestable </w:t>
            </w:r>
            <w:r>
              <w:rPr>
                <w:i/>
                <w:sz w:val="24"/>
              </w:rPr>
              <w:t>IUSA</w:t>
            </w:r>
          </w:p>
          <w:p>
            <w:pPr>
              <w:pStyle w:val="TableParagraph"/>
              <w:spacing w:before="0"/>
              <w:ind w:left="40"/>
              <w:rPr>
                <w:i/>
                <w:sz w:val="24"/>
              </w:rPr>
            </w:pPr>
            <w:r>
              <w:rPr>
                <w:i/>
                <w:sz w:val="24"/>
              </w:rPr>
              <w:t>components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148"/>
              <w:rPr>
                <w:sz w:val="24"/>
              </w:rPr>
            </w:pPr>
            <w:r>
              <w:rPr>
                <w:sz w:val="24"/>
              </w:rPr>
              <w:t>Construction / ownership</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ind w:right="119"/>
              <w:rPr>
                <w:sz w:val="24"/>
              </w:rPr>
            </w:pPr>
            <w:r>
              <w:rPr>
                <w:sz w:val="24"/>
              </w:rPr>
              <w:t>Construction and/or ownership of a substation</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i/>
                <w:sz w:val="24"/>
              </w:rPr>
              <w:t>contestable</w:t>
            </w:r>
          </w:p>
        </w:tc>
      </w:tr>
      <w:tr>
        <w:trPr>
          <w:trHeight w:val="671" w:hRule="atLeast"/>
        </w:trPr>
        <w:tc>
          <w:tcPr>
            <w:tcW w:w="1590" w:type="dxa"/>
            <w:tcBorders>
              <w:top w:val="single" w:sz="4" w:space="0" w:color="000000"/>
              <w:bottom w:val="single" w:sz="4" w:space="0" w:color="000000"/>
              <w:right w:val="single" w:sz="4" w:space="0" w:color="000000"/>
            </w:tcBorders>
          </w:tcPr>
          <w:p>
            <w:pPr>
              <w:pStyle w:val="TableParagraph"/>
              <w:spacing w:line="270" w:lineRule="atLeast"/>
              <w:ind w:left="40" w:right="422"/>
              <w:rPr>
                <w:i/>
                <w:sz w:val="24"/>
              </w:rPr>
            </w:pPr>
            <w:r>
              <w:rPr>
                <w:i/>
                <w:sz w:val="24"/>
              </w:rPr>
              <w:t>non- </w:t>
            </w:r>
            <w:r>
              <w:rPr>
                <w:i/>
                <w:sz w:val="24"/>
              </w:rPr>
              <w:t>contestable</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Construction /</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right="285"/>
              <w:rPr>
                <w:sz w:val="24"/>
              </w:rPr>
            </w:pPr>
            <w:r>
              <w:rPr>
                <w:sz w:val="24"/>
              </w:rPr>
              <w:t>Installation and ownership of supervisory control and data</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non-</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0"/>
        <w:gridCol w:w="1590"/>
        <w:gridCol w:w="3167"/>
        <w:gridCol w:w="1590"/>
      </w:tblGrid>
      <w:tr>
        <w:trPr>
          <w:trHeight w:val="671" w:hRule="atLeast"/>
        </w:trPr>
        <w:tc>
          <w:tcPr>
            <w:tcW w:w="1590"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Asset</w:t>
            </w:r>
          </w:p>
        </w:tc>
        <w:tc>
          <w:tcPr>
            <w:tcW w:w="1590"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Service</w:t>
            </w:r>
          </w:p>
        </w:tc>
        <w:tc>
          <w:tcPr>
            <w:tcW w:w="3167"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Example of service</w:t>
            </w:r>
          </w:p>
        </w:tc>
        <w:tc>
          <w:tcPr>
            <w:tcW w:w="1590"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101"/>
              <w:rPr>
                <w:rFonts w:ascii="Arial"/>
                <w:b/>
                <w:sz w:val="24"/>
              </w:rPr>
            </w:pPr>
            <w:r>
              <w:rPr>
                <w:rFonts w:ascii="Arial"/>
                <w:b/>
                <w:sz w:val="24"/>
              </w:rPr>
              <w:t>Classificatio n</w:t>
            </w:r>
          </w:p>
        </w:tc>
      </w:tr>
      <w:tr>
        <w:trPr>
          <w:trHeight w:val="1223" w:hRule="atLeast"/>
        </w:trPr>
        <w:tc>
          <w:tcPr>
            <w:tcW w:w="1590" w:type="dxa"/>
            <w:tcBorders>
              <w:top w:val="single" w:sz="4" w:space="0" w:color="000000"/>
              <w:bottom w:val="single" w:sz="4" w:space="0" w:color="000000"/>
              <w:right w:val="single" w:sz="4" w:space="0" w:color="000000"/>
            </w:tcBorders>
          </w:tcPr>
          <w:p>
            <w:pPr>
              <w:pStyle w:val="TableParagraph"/>
              <w:spacing w:before="0"/>
              <w:ind w:left="40"/>
              <w:rPr>
                <w:i/>
                <w:sz w:val="24"/>
              </w:rPr>
            </w:pPr>
            <w:r>
              <w:rPr>
                <w:i/>
                <w:sz w:val="24"/>
              </w:rPr>
              <w:t>IUSA</w:t>
            </w:r>
          </w:p>
          <w:p>
            <w:pPr>
              <w:pStyle w:val="TableParagraph"/>
              <w:spacing w:before="0"/>
              <w:ind w:left="40"/>
              <w:rPr>
                <w:i/>
                <w:sz w:val="24"/>
              </w:rPr>
            </w:pPr>
            <w:r>
              <w:rPr>
                <w:i/>
                <w:sz w:val="24"/>
              </w:rPr>
              <w:t>components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spacing w:before="0"/>
              <w:rPr>
                <w:sz w:val="24"/>
              </w:rPr>
            </w:pPr>
            <w:r>
              <w:rPr>
                <w:sz w:val="24"/>
              </w:rPr>
              <w:t>ownership</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spacing w:before="0"/>
              <w:ind w:right="45"/>
              <w:rPr>
                <w:i/>
                <w:sz w:val="24"/>
              </w:rPr>
            </w:pPr>
            <w:r>
              <w:rPr>
                <w:sz w:val="24"/>
              </w:rPr>
              <w:t>acquisition systems and cabling forming part of the </w:t>
            </w:r>
            <w:r>
              <w:rPr>
                <w:i/>
                <w:sz w:val="24"/>
              </w:rPr>
              <w:t>Primary </w:t>
            </w:r>
            <w:r>
              <w:rPr>
                <w:i/>
                <w:sz w:val="24"/>
              </w:rPr>
              <w:t>Transmission Network Service Provider's control system</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spacing w:before="0"/>
              <w:rPr>
                <w:sz w:val="24"/>
              </w:rPr>
            </w:pPr>
            <w:r>
              <w:rPr>
                <w:sz w:val="24"/>
              </w:rPr>
              <w:t>contestable</w:t>
            </w:r>
          </w:p>
        </w:tc>
      </w:tr>
      <w:tr>
        <w:trPr>
          <w:trHeight w:val="2447" w:hRule="atLeast"/>
        </w:trPr>
        <w:tc>
          <w:tcPr>
            <w:tcW w:w="1590" w:type="dxa"/>
            <w:tcBorders>
              <w:top w:val="single" w:sz="4" w:space="0" w:color="000000"/>
              <w:bottom w:val="single" w:sz="4" w:space="0" w:color="000000"/>
              <w:right w:val="single" w:sz="4" w:space="0" w:color="000000"/>
            </w:tcBorders>
          </w:tcPr>
          <w:p>
            <w:pPr>
              <w:pStyle w:val="TableParagraph"/>
              <w:ind w:left="40" w:right="135"/>
              <w:rPr>
                <w:i/>
                <w:sz w:val="24"/>
              </w:rPr>
            </w:pPr>
            <w:r>
              <w:rPr>
                <w:i/>
                <w:sz w:val="24"/>
              </w:rPr>
              <w:t>identified user </w:t>
            </w:r>
            <w:r>
              <w:rPr>
                <w:i/>
                <w:sz w:val="24"/>
              </w:rPr>
              <w:t>shared asset </w:t>
            </w:r>
            <w:r>
              <w:rPr>
                <w:sz w:val="24"/>
              </w:rPr>
              <w:t>owned by the </w:t>
            </w:r>
            <w:r>
              <w:rPr>
                <w:i/>
                <w:sz w:val="24"/>
              </w:rPr>
              <w:t>Primary </w:t>
            </w:r>
            <w:r>
              <w:rPr>
                <w:i/>
                <w:sz w:val="24"/>
              </w:rPr>
              <w:t>Transmission Network Service Provider</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202"/>
              <w:rPr>
                <w:sz w:val="24"/>
              </w:rPr>
            </w:pPr>
            <w:r>
              <w:rPr>
                <w:sz w:val="24"/>
              </w:rPr>
              <w:t>Control, operation and maintenance</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ind w:right="65"/>
              <w:rPr>
                <w:sz w:val="24"/>
              </w:rPr>
            </w:pPr>
            <w:r>
              <w:rPr>
                <w:i/>
                <w:sz w:val="24"/>
              </w:rPr>
              <w:t>Primary Transmission Network </w:t>
            </w:r>
            <w:r>
              <w:rPr>
                <w:i/>
                <w:sz w:val="24"/>
              </w:rPr>
              <w:t>Service Provider </w:t>
            </w:r>
            <w:r>
              <w:rPr>
                <w:sz w:val="24"/>
              </w:rPr>
              <w:t>provides operation and maintenance services</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435"/>
              <w:rPr>
                <w:sz w:val="24"/>
              </w:rPr>
            </w:pPr>
            <w:r>
              <w:rPr>
                <w:sz w:val="24"/>
              </w:rPr>
              <w:t>non- contestable</w:t>
            </w:r>
          </w:p>
        </w:tc>
      </w:tr>
      <w:tr>
        <w:trPr>
          <w:trHeight w:val="2171" w:hRule="atLeast"/>
        </w:trPr>
        <w:tc>
          <w:tcPr>
            <w:tcW w:w="1590" w:type="dxa"/>
            <w:tcBorders>
              <w:top w:val="single" w:sz="4" w:space="0" w:color="000000"/>
              <w:bottom w:val="single" w:sz="4" w:space="0" w:color="000000"/>
              <w:right w:val="single" w:sz="4" w:space="0" w:color="000000"/>
            </w:tcBorders>
          </w:tcPr>
          <w:p>
            <w:pPr>
              <w:pStyle w:val="TableParagraph"/>
              <w:ind w:left="40" w:right="481"/>
              <w:rPr>
                <w:i/>
                <w:sz w:val="24"/>
              </w:rPr>
            </w:pPr>
            <w:r>
              <w:rPr>
                <w:i/>
                <w:sz w:val="24"/>
              </w:rPr>
              <w:t>third party </w:t>
            </w:r>
            <w:r>
              <w:rPr>
                <w:i/>
                <w:sz w:val="24"/>
              </w:rPr>
              <w:t>IUSA</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202"/>
              <w:rPr>
                <w:i/>
                <w:sz w:val="24"/>
              </w:rPr>
            </w:pPr>
            <w:r>
              <w:rPr>
                <w:sz w:val="24"/>
              </w:rPr>
              <w:t>Control, operation and maintenance under a </w:t>
            </w:r>
            <w:r>
              <w:rPr>
                <w:i/>
                <w:sz w:val="24"/>
              </w:rPr>
              <w:t>network </w:t>
            </w:r>
            <w:r>
              <w:rPr>
                <w:i/>
                <w:sz w:val="24"/>
              </w:rPr>
              <w:t>operating agreement</w:t>
            </w:r>
          </w:p>
        </w:tc>
        <w:tc>
          <w:tcPr>
            <w:tcW w:w="31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See clause 5.2A.7</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ind w:right="435"/>
              <w:rPr>
                <w:sz w:val="24"/>
              </w:rPr>
            </w:pPr>
            <w:r>
              <w:rPr>
                <w:sz w:val="24"/>
              </w:rPr>
              <w:t>non- contestable</w:t>
            </w:r>
          </w:p>
        </w:tc>
      </w:tr>
      <w:tr>
        <w:trPr>
          <w:trHeight w:val="1343" w:hRule="atLeast"/>
        </w:trPr>
        <w:tc>
          <w:tcPr>
            <w:tcW w:w="1590" w:type="dxa"/>
            <w:tcBorders>
              <w:top w:val="single" w:sz="4" w:space="0" w:color="000000"/>
              <w:right w:val="single" w:sz="4" w:space="0" w:color="000000"/>
            </w:tcBorders>
          </w:tcPr>
          <w:p>
            <w:pPr>
              <w:pStyle w:val="TableParagraph"/>
              <w:ind w:left="40" w:right="462"/>
              <w:rPr>
                <w:i/>
                <w:sz w:val="24"/>
              </w:rPr>
            </w:pPr>
            <w:r>
              <w:rPr>
                <w:i/>
                <w:sz w:val="24"/>
              </w:rPr>
              <w:t>dedicated </w:t>
            </w:r>
            <w:r>
              <w:rPr>
                <w:i/>
                <w:sz w:val="24"/>
              </w:rPr>
              <w:t>connection assets</w:t>
            </w:r>
          </w:p>
        </w:tc>
        <w:tc>
          <w:tcPr>
            <w:tcW w:w="1590" w:type="dxa"/>
            <w:tcBorders>
              <w:top w:val="single" w:sz="4" w:space="0" w:color="000000"/>
              <w:left w:val="single" w:sz="4" w:space="0" w:color="000000"/>
              <w:right w:val="single" w:sz="4" w:space="0" w:color="000000"/>
            </w:tcBorders>
          </w:tcPr>
          <w:p>
            <w:pPr>
              <w:pStyle w:val="TableParagraph"/>
              <w:ind w:right="275"/>
              <w:rPr>
                <w:sz w:val="24"/>
              </w:rPr>
            </w:pPr>
            <w:r>
              <w:rPr>
                <w:sz w:val="24"/>
              </w:rPr>
              <w:t>All development aspects</w:t>
            </w:r>
          </w:p>
        </w:tc>
        <w:tc>
          <w:tcPr>
            <w:tcW w:w="3167" w:type="dxa"/>
            <w:tcBorders>
              <w:top w:val="single" w:sz="4" w:space="0" w:color="000000"/>
              <w:left w:val="single" w:sz="4" w:space="0" w:color="000000"/>
              <w:right w:val="single" w:sz="4" w:space="0" w:color="000000"/>
            </w:tcBorders>
          </w:tcPr>
          <w:p>
            <w:pPr>
              <w:pStyle w:val="TableParagraph"/>
              <w:ind w:right="153"/>
              <w:rPr>
                <w:i/>
                <w:sz w:val="24"/>
              </w:rPr>
            </w:pPr>
            <w:r>
              <w:rPr>
                <w:sz w:val="24"/>
              </w:rPr>
              <w:t>Design, construction, maintenance and ownership of a power line connecting a </w:t>
            </w:r>
            <w:r>
              <w:rPr>
                <w:i/>
                <w:sz w:val="24"/>
              </w:rPr>
              <w:t>facility</w:t>
            </w:r>
          </w:p>
        </w:tc>
        <w:tc>
          <w:tcPr>
            <w:tcW w:w="1590" w:type="dxa"/>
            <w:tcBorders>
              <w:top w:val="single" w:sz="4" w:space="0" w:color="000000"/>
              <w:left w:val="single" w:sz="4" w:space="0" w:color="000000"/>
              <w:right w:val="single" w:sz="4" w:space="0" w:color="000000"/>
            </w:tcBorders>
          </w:tcPr>
          <w:p>
            <w:pPr>
              <w:pStyle w:val="TableParagraph"/>
              <w:rPr>
                <w:i/>
                <w:sz w:val="24"/>
              </w:rPr>
            </w:pPr>
            <w:r>
              <w:rPr>
                <w:i/>
                <w:sz w:val="24"/>
              </w:rPr>
              <w:t>contestable</w:t>
            </w:r>
          </w:p>
        </w:tc>
      </w:tr>
    </w:tbl>
    <w:p>
      <w:pPr>
        <w:pStyle w:val="BodyText"/>
        <w:spacing w:before="8"/>
        <w:ind w:firstLine="0"/>
        <w:jc w:val="left"/>
        <w:rPr>
          <w:sz w:val="26"/>
        </w:rPr>
      </w:pPr>
    </w:p>
    <w:p>
      <w:pPr>
        <w:pStyle w:val="ListParagraph"/>
        <w:numPr>
          <w:ilvl w:val="2"/>
          <w:numId w:val="157"/>
        </w:numPr>
        <w:tabs>
          <w:tab w:pos="1919" w:val="left" w:leader="none"/>
        </w:tabs>
        <w:spacing w:line="240" w:lineRule="auto" w:before="90" w:after="0"/>
        <w:ind w:left="1919" w:right="414" w:hanging="567"/>
        <w:jc w:val="both"/>
        <w:rPr>
          <w:sz w:val="24"/>
        </w:rPr>
      </w:pPr>
      <w:r>
        <w:rPr>
          <w:sz w:val="24"/>
        </w:rPr>
        <w:t>If the capital cost of all the components that make up an </w:t>
      </w:r>
      <w:r>
        <w:rPr>
          <w:i/>
          <w:sz w:val="24"/>
        </w:rPr>
        <w:t>identified user </w:t>
      </w:r>
      <w:r>
        <w:rPr>
          <w:i/>
          <w:sz w:val="24"/>
        </w:rPr>
        <w:t>shared asset </w:t>
      </w:r>
      <w:r>
        <w:rPr>
          <w:sz w:val="24"/>
        </w:rPr>
        <w:t>is reasonably expected by the </w:t>
      </w:r>
      <w:r>
        <w:rPr>
          <w:i/>
          <w:sz w:val="24"/>
        </w:rPr>
        <w:t>Primary Transmission Network </w:t>
      </w:r>
      <w:r>
        <w:rPr>
          <w:i/>
          <w:sz w:val="24"/>
        </w:rPr>
        <w:t>Service Provider </w:t>
      </w:r>
      <w:r>
        <w:rPr>
          <w:sz w:val="24"/>
        </w:rPr>
        <w:t>to be $10 million or less, the </w:t>
      </w:r>
      <w:r>
        <w:rPr>
          <w:i/>
          <w:sz w:val="24"/>
        </w:rPr>
        <w:t>Primary Transmission </w:t>
      </w:r>
      <w:r>
        <w:rPr>
          <w:i/>
          <w:sz w:val="24"/>
        </w:rPr>
        <w:t>Network Service Provider </w:t>
      </w:r>
      <w:r>
        <w:rPr>
          <w:sz w:val="24"/>
        </w:rPr>
        <w:t>must undertake the detailed design, construction and ownership of the </w:t>
      </w:r>
      <w:r>
        <w:rPr>
          <w:i/>
          <w:sz w:val="24"/>
        </w:rPr>
        <w:t>identified user shared asset </w:t>
      </w:r>
      <w:r>
        <w:rPr>
          <w:sz w:val="24"/>
        </w:rPr>
        <w:t>as a </w:t>
      </w:r>
      <w:r>
        <w:rPr>
          <w:i/>
          <w:sz w:val="24"/>
        </w:rPr>
        <w:t>negotiated </w:t>
      </w:r>
      <w:r>
        <w:rPr>
          <w:i/>
          <w:sz w:val="24"/>
        </w:rPr>
        <w:t>transmission</w:t>
      </w:r>
      <w:r>
        <w:rPr>
          <w:i/>
          <w:spacing w:val="-1"/>
          <w:sz w:val="24"/>
        </w:rPr>
        <w:t> </w:t>
      </w:r>
      <w:r>
        <w:rPr>
          <w:i/>
          <w:sz w:val="24"/>
        </w:rPr>
        <w:t>service</w:t>
      </w:r>
      <w:r>
        <w:rPr>
          <w:sz w:val="24"/>
        </w:rPr>
        <w:t>.</w:t>
      </w:r>
    </w:p>
    <w:p>
      <w:pPr>
        <w:pStyle w:val="ListParagraph"/>
        <w:numPr>
          <w:ilvl w:val="2"/>
          <w:numId w:val="157"/>
        </w:numPr>
        <w:tabs>
          <w:tab w:pos="1919" w:val="left" w:leader="none"/>
        </w:tabs>
        <w:spacing w:line="240" w:lineRule="auto" w:before="120" w:after="0"/>
        <w:ind w:left="1919" w:right="415" w:hanging="567"/>
        <w:jc w:val="both"/>
        <w:rPr>
          <w:sz w:val="24"/>
        </w:rPr>
      </w:pPr>
      <w:r>
        <w:rPr>
          <w:sz w:val="24"/>
        </w:rPr>
        <w:t>If the capital cost of all the components that make up an </w:t>
      </w:r>
      <w:r>
        <w:rPr>
          <w:i/>
          <w:sz w:val="24"/>
        </w:rPr>
        <w:t>identified user </w:t>
      </w:r>
      <w:r>
        <w:rPr>
          <w:i/>
          <w:sz w:val="24"/>
        </w:rPr>
        <w:t>shared asset </w:t>
      </w:r>
      <w:r>
        <w:rPr>
          <w:sz w:val="24"/>
        </w:rPr>
        <w:t>is reasonably expected by the </w:t>
      </w:r>
      <w:r>
        <w:rPr>
          <w:i/>
          <w:sz w:val="24"/>
        </w:rPr>
        <w:t>Primary Transmission Network </w:t>
      </w:r>
      <w:r>
        <w:rPr>
          <w:i/>
          <w:sz w:val="24"/>
        </w:rPr>
        <w:t>Service Provider </w:t>
      </w:r>
      <w:r>
        <w:rPr>
          <w:sz w:val="24"/>
        </w:rPr>
        <w:t>to exceed $10 million, the detailed design, </w:t>
      </w:r>
      <w:r>
        <w:rPr>
          <w:spacing w:val="-3"/>
          <w:sz w:val="24"/>
        </w:rPr>
        <w:t>construction</w:t>
      </w:r>
      <w:r>
        <w:rPr>
          <w:spacing w:val="54"/>
          <w:sz w:val="24"/>
        </w:rPr>
        <w:t> </w:t>
      </w:r>
      <w:r>
        <w:rPr>
          <w:sz w:val="24"/>
        </w:rPr>
        <w:t>and ownership of each component of the </w:t>
      </w:r>
      <w:r>
        <w:rPr>
          <w:i/>
          <w:sz w:val="24"/>
        </w:rPr>
        <w:t>identified user shared asset </w:t>
      </w:r>
      <w:r>
        <w:rPr>
          <w:sz w:val="24"/>
        </w:rPr>
        <w:t>is a </w:t>
      </w:r>
      <w:r>
        <w:rPr>
          <w:i/>
          <w:sz w:val="24"/>
        </w:rPr>
        <w:t>non-regulated transmission service </w:t>
      </w:r>
      <w:r>
        <w:rPr>
          <w:sz w:val="24"/>
        </w:rPr>
        <w:t>to the extent that it satisfies the following</w:t>
      </w:r>
      <w:r>
        <w:rPr>
          <w:spacing w:val="-1"/>
          <w:sz w:val="24"/>
        </w:rPr>
        <w:t> </w:t>
      </w:r>
      <w:r>
        <w:rPr>
          <w:sz w:val="24"/>
        </w:rPr>
        <w:t>criteria:</w:t>
      </w:r>
    </w:p>
    <w:p>
      <w:pPr>
        <w:pStyle w:val="ListParagraph"/>
        <w:numPr>
          <w:ilvl w:val="3"/>
          <w:numId w:val="157"/>
        </w:numPr>
        <w:tabs>
          <w:tab w:pos="2486" w:val="left" w:leader="none"/>
        </w:tabs>
        <w:spacing w:line="240" w:lineRule="auto" w:before="120" w:after="0"/>
        <w:ind w:left="2486" w:right="415" w:hanging="567"/>
        <w:jc w:val="both"/>
        <w:rPr>
          <w:sz w:val="24"/>
        </w:rPr>
      </w:pPr>
      <w:r>
        <w:rPr>
          <w:sz w:val="24"/>
        </w:rPr>
        <w:t>the component being constructed is new or a complete replacement of existing assets (and does not involve the reconfiguration of existing assets); and</w:t>
      </w:r>
    </w:p>
    <w:p>
      <w:pPr>
        <w:pStyle w:val="ListParagraph"/>
        <w:numPr>
          <w:ilvl w:val="3"/>
          <w:numId w:val="157"/>
        </w:numPr>
        <w:tabs>
          <w:tab w:pos="2486" w:val="left" w:leader="none"/>
        </w:tabs>
        <w:spacing w:line="240" w:lineRule="auto" w:before="120" w:after="0"/>
        <w:ind w:left="2486" w:right="415" w:hanging="567"/>
        <w:jc w:val="both"/>
        <w:rPr>
          <w:sz w:val="24"/>
        </w:rPr>
      </w:pPr>
      <w:r>
        <w:rPr>
          <w:sz w:val="24"/>
        </w:rPr>
        <w:t>the detailed design and construction of the relevant component of the </w:t>
      </w:r>
      <w:r>
        <w:rPr>
          <w:i/>
          <w:sz w:val="24"/>
        </w:rPr>
        <w:t>identified user shared asset </w:t>
      </w:r>
      <w:r>
        <w:rPr>
          <w:sz w:val="24"/>
        </w:rPr>
        <w:t>is separable in that the new component will be distinct and definable from the existing </w:t>
      </w:r>
      <w:r>
        <w:rPr>
          <w:i/>
          <w:sz w:val="24"/>
        </w:rPr>
        <w:t>transmission</w:t>
      </w:r>
      <w:r>
        <w:rPr>
          <w:i/>
          <w:spacing w:val="-11"/>
          <w:sz w:val="24"/>
        </w:rPr>
        <w:t> </w:t>
      </w:r>
      <w:r>
        <w:rPr>
          <w:i/>
          <w:sz w:val="24"/>
        </w:rPr>
        <w:t>network</w:t>
      </w:r>
      <w:r>
        <w:rPr>
          <w:sz w:val="24"/>
        </w:rPr>
        <w:t>,</w:t>
      </w:r>
    </w:p>
    <w:p>
      <w:pPr>
        <w:spacing w:after="0" w:line="240" w:lineRule="auto"/>
        <w:jc w:val="both"/>
        <w:rPr>
          <w:sz w:val="24"/>
        </w:rPr>
        <w:sectPr>
          <w:pgSz w:w="11910" w:h="16840"/>
          <w:pgMar w:header="686" w:footer="637" w:top="1320" w:bottom="820" w:left="1200" w:right="1000"/>
        </w:sectPr>
      </w:pPr>
    </w:p>
    <w:p>
      <w:pPr>
        <w:pStyle w:val="Heading4"/>
        <w:spacing w:before="83"/>
        <w:ind w:left="1919" w:firstLine="0"/>
        <w:jc w:val="both"/>
        <w:rPr>
          <w:rFonts w:ascii="Times New Roman"/>
          <w:b w:val="0"/>
        </w:rPr>
      </w:pPr>
      <w:r>
        <w:rPr>
          <w:rFonts w:ascii="Times New Roman"/>
          <w:b w:val="0"/>
        </w:rPr>
        <w:t>("</w:t>
      </w:r>
      <w:r>
        <w:rPr>
          <w:rFonts w:ascii="Times New Roman"/>
        </w:rPr>
        <w:t>contestable IUSA components</w:t>
      </w:r>
      <w:r>
        <w:rPr>
          <w:rFonts w:ascii="Times New Roman"/>
          <w:b w:val="0"/>
        </w:rPr>
        <w:t>").</w:t>
      </w:r>
    </w:p>
    <w:p>
      <w:pPr>
        <w:pStyle w:val="ListParagraph"/>
        <w:numPr>
          <w:ilvl w:val="2"/>
          <w:numId w:val="157"/>
        </w:numPr>
        <w:tabs>
          <w:tab w:pos="1919" w:val="left" w:leader="none"/>
        </w:tabs>
        <w:spacing w:line="240" w:lineRule="auto" w:before="120" w:after="0"/>
        <w:ind w:left="1919" w:right="414" w:hanging="567"/>
        <w:jc w:val="both"/>
        <w:rPr>
          <w:sz w:val="24"/>
        </w:rPr>
      </w:pPr>
      <w:r>
        <w:rPr>
          <w:sz w:val="24"/>
        </w:rPr>
        <w:t>To the extent that any components of an </w:t>
      </w:r>
      <w:r>
        <w:rPr>
          <w:i/>
          <w:sz w:val="24"/>
        </w:rPr>
        <w:t>identified user shared asset </w:t>
      </w:r>
      <w:r>
        <w:rPr>
          <w:sz w:val="24"/>
        </w:rPr>
        <w:t>do not satisfy the criteria set out in paragraph (c) ("</w:t>
      </w:r>
      <w:r>
        <w:rPr>
          <w:b/>
          <w:sz w:val="24"/>
        </w:rPr>
        <w:t>non-contestable IUSA components</w:t>
      </w:r>
      <w:r>
        <w:rPr>
          <w:sz w:val="24"/>
        </w:rPr>
        <w:t>"), the </w:t>
      </w:r>
      <w:r>
        <w:rPr>
          <w:i/>
          <w:sz w:val="24"/>
        </w:rPr>
        <w:t>Primary Transmission Network Service Provider </w:t>
      </w:r>
      <w:r>
        <w:rPr>
          <w:sz w:val="24"/>
        </w:rPr>
        <w:t>must negotiate under rule 5.3 to undertake the detailed design, construction and ownership of the </w:t>
      </w:r>
      <w:r>
        <w:rPr>
          <w:i/>
          <w:sz w:val="24"/>
        </w:rPr>
        <w:t>non-contestable IUSA components </w:t>
      </w:r>
      <w:r>
        <w:rPr>
          <w:sz w:val="24"/>
        </w:rPr>
        <w:t>as a </w:t>
      </w:r>
      <w:r>
        <w:rPr>
          <w:i/>
          <w:sz w:val="24"/>
        </w:rPr>
        <w:t>negotiated </w:t>
      </w:r>
      <w:r>
        <w:rPr>
          <w:i/>
          <w:sz w:val="24"/>
        </w:rPr>
        <w:t>transmission</w:t>
      </w:r>
      <w:r>
        <w:rPr>
          <w:i/>
          <w:spacing w:val="-1"/>
          <w:sz w:val="24"/>
        </w:rPr>
        <w:t> </w:t>
      </w:r>
      <w:r>
        <w:rPr>
          <w:i/>
          <w:sz w:val="24"/>
        </w:rPr>
        <w:t>service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Parties may seek the advice of an </w:t>
      </w:r>
      <w:r>
        <w:rPr>
          <w:i/>
          <w:sz w:val="20"/>
        </w:rPr>
        <w:t>Independent Engineer </w:t>
      </w:r>
      <w:r>
        <w:rPr>
          <w:sz w:val="20"/>
        </w:rPr>
        <w:t>under rule 5.4 if the parties cannot agree on whether a component of an </w:t>
      </w:r>
      <w:r>
        <w:rPr>
          <w:i/>
          <w:sz w:val="20"/>
        </w:rPr>
        <w:t>identified user shared asset </w:t>
      </w:r>
      <w:r>
        <w:rPr>
          <w:sz w:val="20"/>
        </w:rPr>
        <w:t>based on the criteria under subparagraph (c)(1) and (2) is a </w:t>
      </w:r>
      <w:r>
        <w:rPr>
          <w:i/>
          <w:sz w:val="20"/>
        </w:rPr>
        <w:t>contestable IUSA component </w:t>
      </w:r>
      <w:r>
        <w:rPr>
          <w:sz w:val="20"/>
        </w:rPr>
        <w:t>or a </w:t>
      </w:r>
      <w:r>
        <w:rPr>
          <w:i/>
          <w:sz w:val="20"/>
        </w:rPr>
        <w:t>non-contestable IUSA </w:t>
      </w:r>
      <w:r>
        <w:rPr>
          <w:i/>
          <w:sz w:val="20"/>
        </w:rPr>
        <w:t>component</w:t>
      </w:r>
      <w:r>
        <w:rPr>
          <w:sz w:val="20"/>
        </w:rPr>
        <w:t>.</w:t>
      </w:r>
    </w:p>
    <w:p>
      <w:pPr>
        <w:pStyle w:val="BodyText"/>
        <w:spacing w:before="10"/>
        <w:ind w:firstLine="0"/>
        <w:jc w:val="left"/>
        <w:rPr>
          <w:sz w:val="20"/>
        </w:rPr>
      </w:pPr>
    </w:p>
    <w:p>
      <w:pPr>
        <w:pStyle w:val="Heading4"/>
        <w:numPr>
          <w:ilvl w:val="1"/>
          <w:numId w:val="161"/>
        </w:numPr>
        <w:tabs>
          <w:tab w:pos="553" w:val="left" w:leader="none"/>
          <w:tab w:pos="1351" w:val="left" w:leader="none"/>
        </w:tabs>
        <w:spacing w:line="240" w:lineRule="auto" w:before="0" w:after="0"/>
        <w:ind w:left="552" w:right="0" w:hanging="335"/>
        <w:jc w:val="left"/>
      </w:pPr>
      <w:bookmarkStart w:name="5.2A.5 Publication and provision of info" w:id="399"/>
      <w:bookmarkEnd w:id="399"/>
      <w:r>
        <w:rPr>
          <w:b w:val="0"/>
        </w:rPr>
      </w:r>
      <w:bookmarkStart w:name="_bookmark171" w:id="400"/>
      <w:bookmarkEnd w:id="400"/>
      <w:r>
        <w:rPr>
          <w:b w:val="0"/>
        </w:rPr>
      </w:r>
      <w:bookmarkStart w:name="_bookmark171" w:id="401"/>
      <w:bookmarkEnd w:id="401"/>
      <w:r>
        <w:rPr/>
        <w:t>A.</w:t>
      </w:r>
      <w:r>
        <w:rPr/>
        <w:t>5</w:t>
        <w:tab/>
        <w:t>Publication and provision of</w:t>
      </w:r>
      <w:r>
        <w:rPr>
          <w:spacing w:val="-2"/>
        </w:rPr>
        <w:t> </w:t>
      </w:r>
      <w:r>
        <w:rPr/>
        <w:t>information</w:t>
      </w:r>
    </w:p>
    <w:p>
      <w:pPr>
        <w:pStyle w:val="ListParagraph"/>
        <w:numPr>
          <w:ilvl w:val="2"/>
          <w:numId w:val="161"/>
        </w:numPr>
        <w:tabs>
          <w:tab w:pos="1919" w:val="left" w:leader="none"/>
        </w:tabs>
        <w:spacing w:line="240" w:lineRule="auto" w:before="120" w:after="0"/>
        <w:ind w:left="1919" w:right="414" w:hanging="567"/>
        <w:jc w:val="both"/>
        <w:rPr>
          <w:sz w:val="24"/>
        </w:rPr>
      </w:pPr>
      <w:r>
        <w:rPr>
          <w:sz w:val="24"/>
        </w:rPr>
        <w:t>A </w:t>
      </w:r>
      <w:r>
        <w:rPr>
          <w:i/>
          <w:sz w:val="24"/>
        </w:rPr>
        <w:t>Primary Transmission Network Service Provider </w:t>
      </w:r>
      <w:r>
        <w:rPr>
          <w:sz w:val="24"/>
        </w:rPr>
        <w:t>must publish the information on its website, or provide the information to a </w:t>
      </w:r>
      <w:r>
        <w:rPr>
          <w:i/>
          <w:sz w:val="24"/>
        </w:rPr>
        <w:t>Connection </w:t>
      </w:r>
      <w:r>
        <w:rPr>
          <w:i/>
          <w:sz w:val="24"/>
        </w:rPr>
        <w:t>Applicant </w:t>
      </w:r>
      <w:r>
        <w:rPr>
          <w:sz w:val="24"/>
        </w:rPr>
        <w:t>on request, as required by schedule</w:t>
      </w:r>
      <w:r>
        <w:rPr>
          <w:spacing w:val="-1"/>
          <w:sz w:val="24"/>
        </w:rPr>
        <w:t> </w:t>
      </w:r>
      <w:r>
        <w:rPr>
          <w:sz w:val="24"/>
        </w:rPr>
        <w:t>5.10.</w:t>
      </w:r>
    </w:p>
    <w:p>
      <w:pPr>
        <w:pStyle w:val="ListParagraph"/>
        <w:numPr>
          <w:ilvl w:val="2"/>
          <w:numId w:val="161"/>
        </w:numPr>
        <w:tabs>
          <w:tab w:pos="1919" w:val="left" w:leader="none"/>
        </w:tabs>
        <w:spacing w:line="240" w:lineRule="auto" w:before="120" w:after="0"/>
        <w:ind w:left="1919" w:right="414" w:hanging="567"/>
        <w:jc w:val="both"/>
        <w:rPr>
          <w:sz w:val="24"/>
        </w:rPr>
      </w:pPr>
      <w:r>
        <w:rPr>
          <w:sz w:val="24"/>
        </w:rPr>
        <w:t>A </w:t>
      </w:r>
      <w:r>
        <w:rPr>
          <w:i/>
          <w:sz w:val="24"/>
        </w:rPr>
        <w:t>Primary Transmission Network Service Provider </w:t>
      </w:r>
      <w:r>
        <w:rPr>
          <w:sz w:val="24"/>
        </w:rPr>
        <w:t>may charge </w:t>
      </w:r>
      <w:r>
        <w:rPr>
          <w:spacing w:val="-12"/>
          <w:sz w:val="24"/>
        </w:rPr>
        <w:t>a </w:t>
      </w:r>
      <w:r>
        <w:rPr>
          <w:i/>
          <w:sz w:val="24"/>
        </w:rPr>
        <w:t>Connection Applicant </w:t>
      </w:r>
      <w:r>
        <w:rPr>
          <w:sz w:val="24"/>
        </w:rPr>
        <w:t>a fee for providing information where specified under schedule 5.10, the amount of which must not be more than necessary to cover the reasonable costs of work required to prepare that</w:t>
      </w:r>
      <w:r>
        <w:rPr>
          <w:spacing w:val="-5"/>
          <w:sz w:val="24"/>
        </w:rPr>
        <w:t> </w:t>
      </w:r>
      <w:r>
        <w:rPr>
          <w:sz w:val="24"/>
        </w:rPr>
        <w:t>information.</w:t>
      </w:r>
    </w:p>
    <w:p>
      <w:pPr>
        <w:pStyle w:val="ListParagraph"/>
        <w:numPr>
          <w:ilvl w:val="2"/>
          <w:numId w:val="161"/>
        </w:numPr>
        <w:tabs>
          <w:tab w:pos="1919" w:val="left" w:leader="none"/>
        </w:tabs>
        <w:spacing w:line="240" w:lineRule="auto" w:before="120" w:after="0"/>
        <w:ind w:left="1919" w:right="415" w:hanging="567"/>
        <w:jc w:val="both"/>
        <w:rPr>
          <w:sz w:val="24"/>
        </w:rPr>
      </w:pPr>
      <w:r>
        <w:rPr>
          <w:sz w:val="24"/>
        </w:rPr>
        <w:t>A </w:t>
      </w:r>
      <w:r>
        <w:rPr>
          <w:i/>
          <w:sz w:val="24"/>
        </w:rPr>
        <w:t>Transmission Network Service Provider </w:t>
      </w:r>
      <w:r>
        <w:rPr>
          <w:sz w:val="24"/>
        </w:rPr>
        <w:t>and a </w:t>
      </w:r>
      <w:r>
        <w:rPr>
          <w:i/>
          <w:sz w:val="24"/>
        </w:rPr>
        <w:t>Connection Applicant </w:t>
      </w:r>
      <w:r>
        <w:rPr>
          <w:sz w:val="24"/>
        </w:rPr>
        <w:t>must provide information (including commercial information) reasonably required by the other party that would facilitate effective negotiation for the provision of a </w:t>
      </w:r>
      <w:r>
        <w:rPr>
          <w:i/>
          <w:sz w:val="24"/>
        </w:rPr>
        <w:t>negotiated transmission service </w:t>
      </w:r>
      <w:r>
        <w:rPr>
          <w:sz w:val="24"/>
        </w:rPr>
        <w:t>in a timely</w:t>
      </w:r>
      <w:r>
        <w:rPr>
          <w:spacing w:val="-5"/>
          <w:sz w:val="24"/>
        </w:rPr>
        <w:t> </w:t>
      </w:r>
      <w:r>
        <w:rPr>
          <w:sz w:val="24"/>
        </w:rPr>
        <w:t>manner.</w:t>
      </w:r>
    </w:p>
    <w:p>
      <w:pPr>
        <w:pStyle w:val="ListParagraph"/>
        <w:numPr>
          <w:ilvl w:val="2"/>
          <w:numId w:val="161"/>
        </w:numPr>
        <w:tabs>
          <w:tab w:pos="1919" w:val="left" w:leader="none"/>
        </w:tabs>
        <w:spacing w:line="240" w:lineRule="auto" w:before="120" w:after="0"/>
        <w:ind w:left="1919" w:right="415" w:hanging="567"/>
        <w:jc w:val="both"/>
        <w:rPr>
          <w:sz w:val="24"/>
        </w:rPr>
      </w:pPr>
      <w:r>
        <w:rPr>
          <w:sz w:val="24"/>
        </w:rPr>
        <w:t>The </w:t>
      </w:r>
      <w:r>
        <w:rPr>
          <w:i/>
          <w:sz w:val="24"/>
        </w:rPr>
        <w:t>Connection Applicant </w:t>
      </w:r>
      <w:r>
        <w:rPr>
          <w:sz w:val="24"/>
        </w:rPr>
        <w:t>must procure that any persons it engages to undertake services which are specified to be </w:t>
      </w:r>
      <w:r>
        <w:rPr>
          <w:i/>
          <w:sz w:val="24"/>
        </w:rPr>
        <w:t>contestable </w:t>
      </w:r>
      <w:r>
        <w:rPr>
          <w:sz w:val="24"/>
        </w:rPr>
        <w:t>in the table in clause 5.2A.4(a) provide information reasonably requested by the </w:t>
      </w:r>
      <w:r>
        <w:rPr>
          <w:i/>
          <w:sz w:val="24"/>
        </w:rPr>
        <w:t>Primary </w:t>
      </w:r>
      <w:r>
        <w:rPr>
          <w:i/>
          <w:sz w:val="24"/>
        </w:rPr>
        <w:t>Transmission Network Service</w:t>
      </w:r>
      <w:r>
        <w:rPr>
          <w:i/>
          <w:spacing w:val="-2"/>
          <w:sz w:val="24"/>
        </w:rPr>
        <w:t> </w:t>
      </w:r>
      <w:r>
        <w:rPr>
          <w:i/>
          <w:sz w:val="24"/>
        </w:rPr>
        <w:t>Provider</w:t>
      </w:r>
      <w:r>
        <w:rPr>
          <w:sz w:val="24"/>
        </w:rPr>
        <w:t>.</w:t>
      </w:r>
    </w:p>
    <w:p>
      <w:pPr>
        <w:pStyle w:val="ListParagraph"/>
        <w:numPr>
          <w:ilvl w:val="2"/>
          <w:numId w:val="161"/>
        </w:numPr>
        <w:tabs>
          <w:tab w:pos="1919" w:val="left" w:leader="none"/>
        </w:tabs>
        <w:spacing w:line="240" w:lineRule="auto" w:before="120" w:after="0"/>
        <w:ind w:left="1919" w:right="415" w:hanging="567"/>
        <w:jc w:val="both"/>
        <w:rPr>
          <w:sz w:val="24"/>
        </w:rPr>
      </w:pPr>
      <w:r>
        <w:rPr>
          <w:sz w:val="24"/>
        </w:rPr>
        <w:t>Information required to be provided under paragraphs (c) and (d) that </w:t>
      </w:r>
      <w:r>
        <w:rPr>
          <w:spacing w:val="-6"/>
          <w:sz w:val="24"/>
        </w:rPr>
        <w:t>is </w:t>
      </w:r>
      <w:r>
        <w:rPr>
          <w:sz w:val="24"/>
        </w:rPr>
        <w:t>confidential may be provided subject to a condition that the receiving party must not provide any part of that information to any other person without the consent of the party who provided the</w:t>
      </w:r>
      <w:r>
        <w:rPr>
          <w:spacing w:val="-4"/>
          <w:sz w:val="24"/>
        </w:rPr>
        <w:t> </w:t>
      </w:r>
      <w:r>
        <w:rPr>
          <w:sz w:val="24"/>
        </w:rPr>
        <w:t>information.</w:t>
      </w:r>
    </w:p>
    <w:p>
      <w:pPr>
        <w:pStyle w:val="BodyText"/>
        <w:spacing w:before="10"/>
        <w:ind w:firstLine="0"/>
        <w:jc w:val="left"/>
        <w:rPr>
          <w:sz w:val="20"/>
        </w:rPr>
      </w:pPr>
    </w:p>
    <w:p>
      <w:pPr>
        <w:pStyle w:val="Heading4"/>
        <w:numPr>
          <w:ilvl w:val="1"/>
          <w:numId w:val="162"/>
        </w:numPr>
        <w:tabs>
          <w:tab w:pos="553" w:val="left" w:leader="none"/>
          <w:tab w:pos="1351" w:val="left" w:leader="none"/>
        </w:tabs>
        <w:spacing w:line="240" w:lineRule="auto" w:before="0" w:after="0"/>
        <w:ind w:left="552" w:right="0" w:hanging="335"/>
        <w:jc w:val="left"/>
      </w:pPr>
      <w:bookmarkStart w:name="5.2A.6 Negotiating principles" w:id="402"/>
      <w:bookmarkEnd w:id="402"/>
      <w:r>
        <w:rPr>
          <w:b w:val="0"/>
        </w:rPr>
      </w:r>
      <w:bookmarkStart w:name="_bookmark172" w:id="403"/>
      <w:bookmarkEnd w:id="403"/>
      <w:r>
        <w:rPr>
          <w:b w:val="0"/>
        </w:rPr>
      </w:r>
      <w:bookmarkStart w:name="_bookmark172" w:id="404"/>
      <w:bookmarkEnd w:id="404"/>
      <w:r>
        <w:rPr/>
        <w:t>A.</w:t>
      </w:r>
      <w:r>
        <w:rPr/>
        <w:t>6</w:t>
        <w:tab/>
        <w:t>Negotiating</w:t>
      </w:r>
      <w:r>
        <w:rPr>
          <w:spacing w:val="-2"/>
        </w:rPr>
        <w:t> </w:t>
      </w:r>
      <w:r>
        <w:rPr/>
        <w:t>principles</w:t>
      </w:r>
    </w:p>
    <w:p>
      <w:pPr>
        <w:pStyle w:val="ListParagraph"/>
        <w:numPr>
          <w:ilvl w:val="2"/>
          <w:numId w:val="162"/>
        </w:numPr>
        <w:tabs>
          <w:tab w:pos="1919" w:val="left" w:leader="none"/>
        </w:tabs>
        <w:spacing w:line="240" w:lineRule="auto" w:before="120" w:after="0"/>
        <w:ind w:left="1919" w:right="414" w:hanging="567"/>
        <w:jc w:val="both"/>
        <w:rPr>
          <w:sz w:val="24"/>
        </w:rPr>
      </w:pPr>
      <w:r>
        <w:rPr>
          <w:sz w:val="24"/>
        </w:rPr>
        <w:t>If a </w:t>
      </w:r>
      <w:r>
        <w:rPr>
          <w:i/>
          <w:sz w:val="24"/>
        </w:rPr>
        <w:t>Connection Applicant </w:t>
      </w:r>
      <w:r>
        <w:rPr>
          <w:sz w:val="24"/>
        </w:rPr>
        <w:t>seeks access to </w:t>
      </w:r>
      <w:r>
        <w:rPr>
          <w:i/>
          <w:sz w:val="24"/>
        </w:rPr>
        <w:t>negotiated transmission services</w:t>
      </w:r>
      <w:r>
        <w:rPr>
          <w:sz w:val="24"/>
        </w:rPr>
        <w:t>, including in relation to an </w:t>
      </w:r>
      <w:r>
        <w:rPr>
          <w:i/>
          <w:sz w:val="24"/>
        </w:rPr>
        <w:t>identified user shared asset</w:t>
      </w:r>
      <w:r>
        <w:rPr>
          <w:sz w:val="24"/>
        </w:rPr>
        <w:t>, the </w:t>
      </w:r>
      <w:r>
        <w:rPr>
          <w:i/>
          <w:sz w:val="24"/>
        </w:rPr>
        <w:t>Transmission </w:t>
      </w:r>
      <w:r>
        <w:rPr>
          <w:i/>
          <w:sz w:val="24"/>
        </w:rPr>
        <w:t>Network Service Provider </w:t>
      </w:r>
      <w:r>
        <w:rPr>
          <w:sz w:val="24"/>
        </w:rPr>
        <w:t>and the </w:t>
      </w:r>
      <w:r>
        <w:rPr>
          <w:i/>
          <w:sz w:val="24"/>
        </w:rPr>
        <w:t>Connection Applicant </w:t>
      </w:r>
      <w:r>
        <w:rPr>
          <w:sz w:val="24"/>
        </w:rPr>
        <w:t>must, in negotiating pursuant to rule 5.3 and other relevant </w:t>
      </w:r>
      <w:r>
        <w:rPr>
          <w:i/>
          <w:sz w:val="24"/>
        </w:rPr>
        <w:t>Rules</w:t>
      </w:r>
      <w:r>
        <w:rPr>
          <w:sz w:val="24"/>
        </w:rPr>
        <w:t>, negotiate in accordance with Chapter</w:t>
      </w:r>
      <w:r>
        <w:rPr>
          <w:spacing w:val="-2"/>
          <w:sz w:val="24"/>
        </w:rPr>
        <w:t> </w:t>
      </w:r>
      <w:r>
        <w:rPr>
          <w:sz w:val="24"/>
        </w:rPr>
        <w:t>6.</w:t>
      </w:r>
    </w:p>
    <w:p>
      <w:pPr>
        <w:pStyle w:val="ListParagraph"/>
        <w:numPr>
          <w:ilvl w:val="2"/>
          <w:numId w:val="162"/>
        </w:numPr>
        <w:tabs>
          <w:tab w:pos="1919" w:val="left" w:leader="none"/>
        </w:tabs>
        <w:spacing w:line="240" w:lineRule="auto" w:before="120" w:after="0"/>
        <w:ind w:left="1918" w:right="0" w:hanging="567"/>
        <w:jc w:val="both"/>
        <w:rPr>
          <w:sz w:val="24"/>
        </w:rPr>
      </w:pPr>
      <w:r>
        <w:rPr>
          <w:sz w:val="24"/>
        </w:rPr>
        <w:t>A </w:t>
      </w:r>
      <w:r>
        <w:rPr>
          <w:i/>
          <w:sz w:val="24"/>
        </w:rPr>
        <w:t>Transmission Network Service Provider </w:t>
      </w:r>
      <w:r>
        <w:rPr>
          <w:sz w:val="24"/>
        </w:rPr>
        <w:t>must, in accordance with</w:t>
      </w:r>
      <w:r>
        <w:rPr>
          <w:spacing w:val="-15"/>
          <w:sz w:val="24"/>
        </w:rPr>
        <w:t> </w:t>
      </w:r>
      <w:r>
        <w:rPr>
          <w:sz w:val="24"/>
        </w:rPr>
        <w:t>the</w:t>
      </w:r>
    </w:p>
    <w:p>
      <w:pPr>
        <w:spacing w:before="0"/>
        <w:ind w:left="1919" w:right="0" w:firstLine="0"/>
        <w:jc w:val="both"/>
        <w:rPr>
          <w:sz w:val="24"/>
        </w:rPr>
      </w:pPr>
      <w:r>
        <w:rPr>
          <w:i/>
          <w:sz w:val="24"/>
        </w:rPr>
        <w:t>negotiating principles</w:t>
      </w:r>
      <w:r>
        <w:rPr>
          <w:sz w:val="24"/>
        </w:rPr>
        <w:t>:</w:t>
      </w:r>
    </w:p>
    <w:p>
      <w:pPr>
        <w:pStyle w:val="ListParagraph"/>
        <w:numPr>
          <w:ilvl w:val="3"/>
          <w:numId w:val="162"/>
        </w:numPr>
        <w:tabs>
          <w:tab w:pos="2486" w:val="left" w:leader="none"/>
        </w:tabs>
        <w:spacing w:line="240" w:lineRule="auto" w:before="120" w:after="0"/>
        <w:ind w:left="2486" w:right="415" w:hanging="567"/>
        <w:jc w:val="both"/>
        <w:rPr>
          <w:sz w:val="24"/>
        </w:rPr>
      </w:pPr>
      <w:r>
        <w:rPr>
          <w:sz w:val="24"/>
        </w:rPr>
        <w:t>on request, identify and inform a </w:t>
      </w:r>
      <w:r>
        <w:rPr>
          <w:i/>
          <w:sz w:val="24"/>
        </w:rPr>
        <w:t>Connection Applicant </w:t>
      </w:r>
      <w:r>
        <w:rPr>
          <w:sz w:val="24"/>
        </w:rPr>
        <w:t>of </w:t>
      </w:r>
      <w:r>
        <w:rPr>
          <w:spacing w:val="-5"/>
          <w:sz w:val="24"/>
        </w:rPr>
        <w:t>the </w:t>
      </w:r>
      <w:r>
        <w:rPr>
          <w:sz w:val="24"/>
        </w:rPr>
        <w:t>reasonable costs and/or the increase or decrease in costs (as appropriate) of providing a </w:t>
      </w:r>
      <w:r>
        <w:rPr>
          <w:i/>
          <w:sz w:val="24"/>
        </w:rPr>
        <w:t>negotiated transmission</w:t>
      </w:r>
      <w:r>
        <w:rPr>
          <w:i/>
          <w:spacing w:val="-3"/>
          <w:sz w:val="24"/>
        </w:rPr>
        <w:t> </w:t>
      </w:r>
      <w:r>
        <w:rPr>
          <w:i/>
          <w:sz w:val="24"/>
        </w:rPr>
        <w:t>service</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162"/>
        </w:numPr>
        <w:tabs>
          <w:tab w:pos="2486" w:val="left" w:leader="none"/>
        </w:tabs>
        <w:spacing w:line="240" w:lineRule="auto" w:before="83" w:after="0"/>
        <w:ind w:left="2486" w:right="414" w:hanging="567"/>
        <w:jc w:val="both"/>
        <w:rPr>
          <w:sz w:val="24"/>
        </w:rPr>
      </w:pPr>
      <w:r>
        <w:rPr>
          <w:sz w:val="24"/>
        </w:rPr>
        <w:t>on request, demonstrate to a </w:t>
      </w:r>
      <w:r>
        <w:rPr>
          <w:i/>
          <w:sz w:val="24"/>
        </w:rPr>
        <w:t>Connection Applicant </w:t>
      </w:r>
      <w:r>
        <w:rPr>
          <w:sz w:val="24"/>
        </w:rPr>
        <w:t>that the charges for providing a </w:t>
      </w:r>
      <w:r>
        <w:rPr>
          <w:i/>
          <w:sz w:val="24"/>
        </w:rPr>
        <w:t>negotiated transmission service </w:t>
      </w:r>
      <w:r>
        <w:rPr>
          <w:sz w:val="24"/>
        </w:rPr>
        <w:t>reflect those costs and/or the cost increment or decrement (as</w:t>
      </w:r>
      <w:r>
        <w:rPr>
          <w:spacing w:val="-1"/>
          <w:sz w:val="24"/>
        </w:rPr>
        <w:t> </w:t>
      </w:r>
      <w:r>
        <w:rPr>
          <w:sz w:val="24"/>
        </w:rPr>
        <w:t>appropriate);</w:t>
      </w:r>
    </w:p>
    <w:p>
      <w:pPr>
        <w:pStyle w:val="ListParagraph"/>
        <w:numPr>
          <w:ilvl w:val="3"/>
          <w:numId w:val="162"/>
        </w:numPr>
        <w:tabs>
          <w:tab w:pos="2486" w:val="left" w:leader="none"/>
        </w:tabs>
        <w:spacing w:line="240" w:lineRule="auto" w:before="120" w:after="0"/>
        <w:ind w:left="2485" w:right="0" w:hanging="567"/>
        <w:jc w:val="both"/>
        <w:rPr>
          <w:i/>
          <w:sz w:val="24"/>
        </w:rPr>
      </w:pPr>
      <w:r>
        <w:rPr>
          <w:sz w:val="24"/>
        </w:rPr>
        <w:t>determine</w:t>
      </w:r>
      <w:r>
        <w:rPr>
          <w:spacing w:val="20"/>
          <w:sz w:val="24"/>
        </w:rPr>
        <w:t> </w:t>
      </w:r>
      <w:r>
        <w:rPr>
          <w:sz w:val="24"/>
        </w:rPr>
        <w:t>the</w:t>
      </w:r>
      <w:r>
        <w:rPr>
          <w:spacing w:val="21"/>
          <w:sz w:val="24"/>
        </w:rPr>
        <w:t> </w:t>
      </w:r>
      <w:r>
        <w:rPr>
          <w:sz w:val="24"/>
        </w:rPr>
        <w:t>potential</w:t>
      </w:r>
      <w:r>
        <w:rPr>
          <w:spacing w:val="20"/>
          <w:sz w:val="24"/>
        </w:rPr>
        <w:t> </w:t>
      </w:r>
      <w:r>
        <w:rPr>
          <w:sz w:val="24"/>
        </w:rPr>
        <w:t>impact</w:t>
      </w:r>
      <w:r>
        <w:rPr>
          <w:spacing w:val="21"/>
          <w:sz w:val="24"/>
        </w:rPr>
        <w:t> </w:t>
      </w:r>
      <w:r>
        <w:rPr>
          <w:sz w:val="24"/>
        </w:rPr>
        <w:t>on</w:t>
      </w:r>
      <w:r>
        <w:rPr>
          <w:spacing w:val="21"/>
          <w:sz w:val="24"/>
        </w:rPr>
        <w:t> </w:t>
      </w:r>
      <w:r>
        <w:rPr>
          <w:sz w:val="24"/>
        </w:rPr>
        <w:t>other</w:t>
      </w:r>
      <w:r>
        <w:rPr>
          <w:spacing w:val="20"/>
          <w:sz w:val="24"/>
        </w:rPr>
        <w:t> </w:t>
      </w:r>
      <w:r>
        <w:rPr>
          <w:i/>
          <w:sz w:val="24"/>
        </w:rPr>
        <w:t>Transmission</w:t>
      </w:r>
      <w:r>
        <w:rPr>
          <w:i/>
          <w:spacing w:val="21"/>
          <w:sz w:val="24"/>
        </w:rPr>
        <w:t> </w:t>
      </w:r>
      <w:r>
        <w:rPr>
          <w:i/>
          <w:sz w:val="24"/>
        </w:rPr>
        <w:t>Network</w:t>
      </w:r>
      <w:r>
        <w:rPr>
          <w:i/>
          <w:spacing w:val="21"/>
          <w:sz w:val="24"/>
        </w:rPr>
        <w:t> </w:t>
      </w:r>
      <w:r>
        <w:rPr>
          <w:i/>
          <w:sz w:val="24"/>
        </w:rPr>
        <w:t>Users</w:t>
      </w:r>
    </w:p>
    <w:p>
      <w:pPr>
        <w:spacing w:before="0"/>
        <w:ind w:left="2486" w:right="0" w:firstLine="0"/>
        <w:jc w:val="both"/>
        <w:rPr>
          <w:sz w:val="24"/>
        </w:rPr>
      </w:pPr>
      <w:r>
        <w:rPr>
          <w:sz w:val="24"/>
        </w:rPr>
        <w:t>of the provision of a </w:t>
      </w:r>
      <w:r>
        <w:rPr>
          <w:i/>
          <w:sz w:val="24"/>
        </w:rPr>
        <w:t>negotiated transmission service</w:t>
      </w:r>
      <w:r>
        <w:rPr>
          <w:sz w:val="24"/>
        </w:rPr>
        <w:t>; and</w:t>
      </w:r>
    </w:p>
    <w:p>
      <w:pPr>
        <w:pStyle w:val="ListParagraph"/>
        <w:numPr>
          <w:ilvl w:val="3"/>
          <w:numId w:val="162"/>
        </w:numPr>
        <w:tabs>
          <w:tab w:pos="2486" w:val="left" w:leader="none"/>
        </w:tabs>
        <w:spacing w:line="240" w:lineRule="auto" w:before="120" w:after="0"/>
        <w:ind w:left="2486" w:right="414" w:hanging="567"/>
        <w:jc w:val="both"/>
        <w:rPr>
          <w:sz w:val="24"/>
        </w:rPr>
      </w:pPr>
      <w:r>
        <w:rPr>
          <w:sz w:val="24"/>
        </w:rPr>
        <w:t>notify and consult with any affected </w:t>
      </w:r>
      <w:r>
        <w:rPr>
          <w:i/>
          <w:sz w:val="24"/>
        </w:rPr>
        <w:t>Transmission Network Users </w:t>
      </w:r>
      <w:r>
        <w:rPr>
          <w:sz w:val="24"/>
        </w:rPr>
        <w:t>and ensure that the provision of a </w:t>
      </w:r>
      <w:r>
        <w:rPr>
          <w:i/>
          <w:sz w:val="24"/>
        </w:rPr>
        <w:t>negotiated transmission service </w:t>
      </w:r>
      <w:r>
        <w:rPr>
          <w:sz w:val="24"/>
        </w:rPr>
        <w:t>does not result in non-compliance with obligations in relation to other </w:t>
      </w:r>
      <w:r>
        <w:rPr>
          <w:i/>
          <w:sz w:val="24"/>
        </w:rPr>
        <w:t>Transmission Network Users </w:t>
      </w:r>
      <w:r>
        <w:rPr>
          <w:sz w:val="24"/>
        </w:rPr>
        <w:t>under the</w:t>
      </w:r>
      <w:r>
        <w:rPr>
          <w:spacing w:val="-4"/>
          <w:sz w:val="24"/>
        </w:rPr>
        <w:t> </w:t>
      </w:r>
      <w:r>
        <w:rPr>
          <w:i/>
          <w:sz w:val="24"/>
        </w:rPr>
        <w:t>Rules</w:t>
      </w:r>
      <w:r>
        <w:rPr>
          <w:sz w:val="24"/>
        </w:rPr>
        <w:t>.</w:t>
      </w:r>
    </w:p>
    <w:p>
      <w:pPr>
        <w:pStyle w:val="ListParagraph"/>
        <w:numPr>
          <w:ilvl w:val="2"/>
          <w:numId w:val="162"/>
        </w:numPr>
        <w:tabs>
          <w:tab w:pos="1919" w:val="left" w:leader="none"/>
        </w:tabs>
        <w:spacing w:line="240" w:lineRule="auto" w:before="120" w:after="0"/>
        <w:ind w:left="1919" w:right="415" w:hanging="567"/>
        <w:jc w:val="both"/>
        <w:rPr>
          <w:sz w:val="24"/>
        </w:rPr>
      </w:pPr>
      <w:r>
        <w:rPr>
          <w:sz w:val="24"/>
        </w:rPr>
        <w:t>If an applicant seeks </w:t>
      </w:r>
      <w:r>
        <w:rPr>
          <w:i/>
          <w:sz w:val="24"/>
        </w:rPr>
        <w:t>large DCA services</w:t>
      </w:r>
      <w:r>
        <w:rPr>
          <w:sz w:val="24"/>
        </w:rPr>
        <w:t>, the </w:t>
      </w:r>
      <w:r>
        <w:rPr>
          <w:i/>
          <w:sz w:val="24"/>
        </w:rPr>
        <w:t>Dedicated Connection Asset </w:t>
      </w:r>
      <w:r>
        <w:rPr>
          <w:i/>
          <w:sz w:val="24"/>
        </w:rPr>
        <w:t>Service Provider </w:t>
      </w:r>
      <w:r>
        <w:rPr>
          <w:sz w:val="24"/>
        </w:rPr>
        <w:t>must comply with its </w:t>
      </w:r>
      <w:r>
        <w:rPr>
          <w:i/>
          <w:sz w:val="24"/>
        </w:rPr>
        <w:t>access policy </w:t>
      </w:r>
      <w:r>
        <w:rPr>
          <w:sz w:val="24"/>
        </w:rPr>
        <w:t>and the negotiating principles in schedule</w:t>
      </w:r>
      <w:r>
        <w:rPr>
          <w:spacing w:val="-2"/>
          <w:sz w:val="24"/>
        </w:rPr>
        <w:t> </w:t>
      </w:r>
      <w:r>
        <w:rPr>
          <w:sz w:val="24"/>
        </w:rPr>
        <w:t>5.12.</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1"/>
          <w:numId w:val="163"/>
        </w:numPr>
        <w:tabs>
          <w:tab w:pos="553" w:val="left" w:leader="none"/>
          <w:tab w:pos="1351" w:val="left" w:leader="none"/>
        </w:tabs>
        <w:spacing w:line="240" w:lineRule="auto" w:before="0" w:after="0"/>
        <w:ind w:left="552" w:right="0" w:hanging="335"/>
        <w:jc w:val="left"/>
      </w:pPr>
      <w:bookmarkStart w:name="5.2A.7 Third party IUSAs" w:id="405"/>
      <w:bookmarkEnd w:id="405"/>
      <w:r>
        <w:rPr>
          <w:b w:val="0"/>
        </w:rPr>
      </w:r>
      <w:bookmarkStart w:name="_bookmark173" w:id="406"/>
      <w:bookmarkEnd w:id="406"/>
      <w:r>
        <w:rPr>
          <w:b w:val="0"/>
        </w:rPr>
      </w:r>
      <w:bookmarkStart w:name="_bookmark173" w:id="407"/>
      <w:bookmarkEnd w:id="407"/>
      <w:r>
        <w:rPr/>
        <w:t>A.</w:t>
      </w:r>
      <w:r>
        <w:rPr/>
        <w:t>7</w:t>
        <w:tab/>
        <w:t>Third party</w:t>
      </w:r>
      <w:r>
        <w:rPr>
          <w:spacing w:val="-2"/>
        </w:rPr>
        <w:t> </w:t>
      </w:r>
      <w:r>
        <w:rPr/>
        <w:t>IUSAs</w:t>
      </w:r>
    </w:p>
    <w:p>
      <w:pPr>
        <w:pStyle w:val="ListParagraph"/>
        <w:numPr>
          <w:ilvl w:val="2"/>
          <w:numId w:val="163"/>
        </w:numPr>
        <w:tabs>
          <w:tab w:pos="1919" w:val="left" w:leader="none"/>
        </w:tabs>
        <w:spacing w:line="240" w:lineRule="auto" w:before="120" w:after="0"/>
        <w:ind w:left="1919" w:right="414" w:hanging="567"/>
        <w:jc w:val="both"/>
        <w:rPr>
          <w:sz w:val="24"/>
        </w:rPr>
      </w:pPr>
      <w:r>
        <w:rPr>
          <w:sz w:val="24"/>
        </w:rPr>
        <w:t>A person must not commission, or permit the commissioning of, a </w:t>
      </w:r>
      <w:r>
        <w:rPr>
          <w:i/>
          <w:sz w:val="24"/>
        </w:rPr>
        <w:t>third </w:t>
      </w:r>
      <w:r>
        <w:rPr>
          <w:i/>
          <w:sz w:val="24"/>
        </w:rPr>
        <w:t>party IUSA </w:t>
      </w:r>
      <w:r>
        <w:rPr>
          <w:sz w:val="24"/>
        </w:rPr>
        <w:t>unless there is a </w:t>
      </w:r>
      <w:r>
        <w:rPr>
          <w:i/>
          <w:sz w:val="24"/>
        </w:rPr>
        <w:t>network operating agreement </w:t>
      </w:r>
      <w:r>
        <w:rPr>
          <w:sz w:val="24"/>
        </w:rPr>
        <w:t>between</w:t>
      </w:r>
      <w:r>
        <w:rPr>
          <w:spacing w:val="36"/>
          <w:sz w:val="24"/>
        </w:rPr>
        <w:t> </w:t>
      </w:r>
      <w:r>
        <w:rPr>
          <w:sz w:val="24"/>
        </w:rPr>
        <w:t>the owner of that </w:t>
      </w:r>
      <w:r>
        <w:rPr>
          <w:i/>
          <w:sz w:val="24"/>
        </w:rPr>
        <w:t>third party IUSA </w:t>
      </w:r>
      <w:r>
        <w:rPr>
          <w:sz w:val="24"/>
        </w:rPr>
        <w:t>and the </w:t>
      </w:r>
      <w:r>
        <w:rPr>
          <w:i/>
          <w:sz w:val="24"/>
        </w:rPr>
        <w:t>Primary Transmission Network </w:t>
      </w:r>
      <w:r>
        <w:rPr>
          <w:i/>
          <w:sz w:val="24"/>
        </w:rPr>
        <w:t>Service</w:t>
      </w:r>
      <w:r>
        <w:rPr>
          <w:i/>
          <w:spacing w:val="-1"/>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w:t>
      </w:r>
      <w:r>
        <w:rPr>
          <w:spacing w:val="-2"/>
          <w:sz w:val="20"/>
        </w:rPr>
        <w:t> </w:t>
      </w:r>
      <w:r>
        <w:rPr>
          <w:sz w:val="20"/>
        </w:rPr>
        <w:t>Regulations.)</w:t>
      </w:r>
    </w:p>
    <w:p>
      <w:pPr>
        <w:pStyle w:val="ListParagraph"/>
        <w:numPr>
          <w:ilvl w:val="2"/>
          <w:numId w:val="163"/>
        </w:numPr>
        <w:tabs>
          <w:tab w:pos="1919" w:val="left" w:leader="none"/>
        </w:tabs>
        <w:spacing w:line="240" w:lineRule="auto" w:before="120" w:after="0"/>
        <w:ind w:left="1918" w:right="0" w:hanging="567"/>
        <w:jc w:val="both"/>
        <w:rPr>
          <w:sz w:val="24"/>
        </w:rPr>
      </w:pPr>
      <w:r>
        <w:rPr>
          <w:sz w:val="24"/>
        </w:rPr>
        <w:t>The</w:t>
      </w:r>
      <w:r>
        <w:rPr>
          <w:spacing w:val="34"/>
          <w:sz w:val="24"/>
        </w:rPr>
        <w:t> </w:t>
      </w:r>
      <w:r>
        <w:rPr>
          <w:sz w:val="24"/>
        </w:rPr>
        <w:t>person</w:t>
      </w:r>
      <w:r>
        <w:rPr>
          <w:spacing w:val="35"/>
          <w:sz w:val="24"/>
        </w:rPr>
        <w:t> </w:t>
      </w:r>
      <w:r>
        <w:rPr>
          <w:sz w:val="24"/>
        </w:rPr>
        <w:t>who</w:t>
      </w:r>
      <w:r>
        <w:rPr>
          <w:spacing w:val="34"/>
          <w:sz w:val="24"/>
        </w:rPr>
        <w:t> </w:t>
      </w:r>
      <w:r>
        <w:rPr>
          <w:sz w:val="24"/>
        </w:rPr>
        <w:t>owns</w:t>
      </w:r>
      <w:r>
        <w:rPr>
          <w:spacing w:val="35"/>
          <w:sz w:val="24"/>
        </w:rPr>
        <w:t> </w:t>
      </w:r>
      <w:r>
        <w:rPr>
          <w:sz w:val="24"/>
        </w:rPr>
        <w:t>or</w:t>
      </w:r>
      <w:r>
        <w:rPr>
          <w:spacing w:val="35"/>
          <w:sz w:val="24"/>
        </w:rPr>
        <w:t> </w:t>
      </w:r>
      <w:r>
        <w:rPr>
          <w:sz w:val="24"/>
        </w:rPr>
        <w:t>is</w:t>
      </w:r>
      <w:r>
        <w:rPr>
          <w:spacing w:val="34"/>
          <w:sz w:val="24"/>
        </w:rPr>
        <w:t> </w:t>
      </w:r>
      <w:r>
        <w:rPr>
          <w:sz w:val="24"/>
        </w:rPr>
        <w:t>intending</w:t>
      </w:r>
      <w:r>
        <w:rPr>
          <w:spacing w:val="35"/>
          <w:sz w:val="24"/>
        </w:rPr>
        <w:t> </w:t>
      </w:r>
      <w:r>
        <w:rPr>
          <w:sz w:val="24"/>
        </w:rPr>
        <w:t>to</w:t>
      </w:r>
      <w:r>
        <w:rPr>
          <w:spacing w:val="35"/>
          <w:sz w:val="24"/>
        </w:rPr>
        <w:t> </w:t>
      </w:r>
      <w:r>
        <w:rPr>
          <w:sz w:val="24"/>
        </w:rPr>
        <w:t>own</w:t>
      </w:r>
      <w:r>
        <w:rPr>
          <w:spacing w:val="34"/>
          <w:sz w:val="24"/>
        </w:rPr>
        <w:t> </w:t>
      </w:r>
      <w:r>
        <w:rPr>
          <w:sz w:val="24"/>
        </w:rPr>
        <w:t>a</w:t>
      </w:r>
      <w:r>
        <w:rPr>
          <w:spacing w:val="35"/>
          <w:sz w:val="24"/>
        </w:rPr>
        <w:t> </w:t>
      </w:r>
      <w:r>
        <w:rPr>
          <w:i/>
          <w:sz w:val="24"/>
        </w:rPr>
        <w:t>third</w:t>
      </w:r>
      <w:r>
        <w:rPr>
          <w:i/>
          <w:spacing w:val="35"/>
          <w:sz w:val="24"/>
        </w:rPr>
        <w:t> </w:t>
      </w:r>
      <w:r>
        <w:rPr>
          <w:i/>
          <w:sz w:val="24"/>
        </w:rPr>
        <w:t>party</w:t>
      </w:r>
      <w:r>
        <w:rPr>
          <w:i/>
          <w:spacing w:val="33"/>
          <w:sz w:val="24"/>
        </w:rPr>
        <w:t> </w:t>
      </w:r>
      <w:r>
        <w:rPr>
          <w:i/>
          <w:sz w:val="24"/>
        </w:rPr>
        <w:t>IUSA</w:t>
      </w:r>
      <w:r>
        <w:rPr>
          <w:i/>
          <w:spacing w:val="35"/>
          <w:sz w:val="24"/>
        </w:rPr>
        <w:t> </w:t>
      </w:r>
      <w:r>
        <w:rPr>
          <w:sz w:val="24"/>
        </w:rPr>
        <w:t>and</w:t>
      </w:r>
      <w:r>
        <w:rPr>
          <w:spacing w:val="35"/>
          <w:sz w:val="24"/>
        </w:rPr>
        <w:t> </w:t>
      </w:r>
      <w:r>
        <w:rPr>
          <w:sz w:val="24"/>
        </w:rPr>
        <w:t>the</w:t>
      </w:r>
    </w:p>
    <w:p>
      <w:pPr>
        <w:spacing w:before="0"/>
        <w:ind w:left="1919" w:right="0" w:firstLine="0"/>
        <w:jc w:val="both"/>
        <w:rPr>
          <w:sz w:val="24"/>
        </w:rPr>
      </w:pPr>
      <w:r>
        <w:rPr>
          <w:i/>
          <w:sz w:val="24"/>
        </w:rPr>
        <w:t>Primary Transmission Network Service Provider </w:t>
      </w:r>
      <w:r>
        <w:rPr>
          <w:sz w:val="24"/>
        </w:rPr>
        <w:t>must:</w:t>
      </w:r>
    </w:p>
    <w:p>
      <w:pPr>
        <w:pStyle w:val="ListParagraph"/>
        <w:numPr>
          <w:ilvl w:val="3"/>
          <w:numId w:val="163"/>
        </w:numPr>
        <w:tabs>
          <w:tab w:pos="2486" w:val="left" w:leader="none"/>
        </w:tabs>
        <w:spacing w:line="240" w:lineRule="auto" w:before="120" w:after="0"/>
        <w:ind w:left="2485" w:right="0" w:hanging="567"/>
        <w:jc w:val="both"/>
        <w:rPr>
          <w:i/>
          <w:sz w:val="24"/>
        </w:rPr>
      </w:pPr>
      <w:r>
        <w:rPr>
          <w:sz w:val="24"/>
        </w:rPr>
        <w:t>include terms and conditions in the </w:t>
      </w:r>
      <w:r>
        <w:rPr>
          <w:i/>
          <w:sz w:val="24"/>
        </w:rPr>
        <w:t>network operating</w:t>
      </w:r>
      <w:r>
        <w:rPr>
          <w:i/>
          <w:spacing w:val="53"/>
          <w:sz w:val="24"/>
        </w:rPr>
        <w:t> </w:t>
      </w:r>
      <w:r>
        <w:rPr>
          <w:i/>
          <w:sz w:val="24"/>
        </w:rPr>
        <w:t>agreement</w:t>
      </w:r>
    </w:p>
    <w:p>
      <w:pPr>
        <w:pStyle w:val="BodyText"/>
        <w:spacing w:before="0"/>
        <w:ind w:left="2486" w:firstLine="0"/>
      </w:pPr>
      <w:r>
        <w:rPr/>
        <w:t>which give effect to the requirements of paragraphs (c) and (d);</w:t>
      </w:r>
    </w:p>
    <w:p>
      <w:pPr>
        <w:pStyle w:val="ListParagraph"/>
        <w:numPr>
          <w:ilvl w:val="3"/>
          <w:numId w:val="163"/>
        </w:numPr>
        <w:tabs>
          <w:tab w:pos="2486" w:val="left" w:leader="none"/>
        </w:tabs>
        <w:spacing w:line="240" w:lineRule="auto" w:before="120" w:after="0"/>
        <w:ind w:left="2486" w:right="414" w:hanging="567"/>
        <w:jc w:val="both"/>
        <w:rPr>
          <w:sz w:val="24"/>
        </w:rPr>
      </w:pPr>
      <w:r>
        <w:rPr>
          <w:sz w:val="24"/>
        </w:rPr>
        <w:t>include terms and conditions in the </w:t>
      </w:r>
      <w:r>
        <w:rPr>
          <w:i/>
          <w:sz w:val="24"/>
        </w:rPr>
        <w:t>network operating agreement </w:t>
      </w:r>
      <w:r>
        <w:rPr>
          <w:sz w:val="24"/>
        </w:rPr>
        <w:t>of the kind set out in Part B of schedule 5.6;</w:t>
      </w:r>
      <w:r>
        <w:rPr>
          <w:spacing w:val="-6"/>
          <w:sz w:val="24"/>
        </w:rPr>
        <w:t> </w:t>
      </w:r>
      <w:r>
        <w:rPr>
          <w:sz w:val="24"/>
        </w:rPr>
        <w:t>and</w:t>
      </w:r>
    </w:p>
    <w:p>
      <w:pPr>
        <w:pStyle w:val="ListParagraph"/>
        <w:numPr>
          <w:ilvl w:val="3"/>
          <w:numId w:val="163"/>
        </w:numPr>
        <w:tabs>
          <w:tab w:pos="2486" w:val="left" w:leader="none"/>
        </w:tabs>
        <w:spacing w:line="240" w:lineRule="auto" w:before="120" w:after="0"/>
        <w:ind w:left="2485" w:right="0" w:hanging="567"/>
        <w:jc w:val="both"/>
        <w:rPr>
          <w:sz w:val="24"/>
        </w:rPr>
      </w:pPr>
      <w:r>
        <w:rPr>
          <w:sz w:val="24"/>
        </w:rPr>
        <w:t>negotiate the </w:t>
      </w:r>
      <w:r>
        <w:rPr>
          <w:i/>
          <w:sz w:val="24"/>
        </w:rPr>
        <w:t>network operating agreement </w:t>
      </w:r>
      <w:r>
        <w:rPr>
          <w:sz w:val="24"/>
        </w:rPr>
        <w:t>in accordance with</w:t>
      </w:r>
      <w:r>
        <w:rPr>
          <w:spacing w:val="16"/>
          <w:sz w:val="24"/>
        </w:rPr>
        <w:t> </w:t>
      </w:r>
      <w:r>
        <w:rPr>
          <w:sz w:val="24"/>
        </w:rPr>
        <w:t>the</w:t>
      </w:r>
    </w:p>
    <w:p>
      <w:pPr>
        <w:spacing w:before="0"/>
        <w:ind w:left="2486" w:right="0" w:firstLine="0"/>
        <w:jc w:val="both"/>
        <w:rPr>
          <w:sz w:val="24"/>
        </w:rPr>
      </w:pPr>
      <w:r>
        <w:rPr>
          <w:i/>
          <w:sz w:val="24"/>
        </w:rPr>
        <w:t>negotiating principles </w:t>
      </w:r>
      <w:r>
        <w:rPr>
          <w:sz w:val="24"/>
        </w:rPr>
        <w:t>(where applicable).</w:t>
      </w:r>
    </w:p>
    <w:p>
      <w:pPr>
        <w:pStyle w:val="ListParagraph"/>
        <w:numPr>
          <w:ilvl w:val="2"/>
          <w:numId w:val="163"/>
        </w:numPr>
        <w:tabs>
          <w:tab w:pos="1919" w:val="left" w:leader="none"/>
        </w:tabs>
        <w:spacing w:line="240" w:lineRule="auto" w:before="120" w:after="0"/>
        <w:ind w:left="1919" w:right="414" w:hanging="567"/>
        <w:jc w:val="both"/>
        <w:rPr>
          <w:sz w:val="24"/>
        </w:rPr>
      </w:pPr>
      <w:r>
        <w:rPr>
          <w:sz w:val="24"/>
        </w:rPr>
        <w:t>The term of the </w:t>
      </w:r>
      <w:r>
        <w:rPr>
          <w:i/>
          <w:sz w:val="24"/>
        </w:rPr>
        <w:t>network operating agreement </w:t>
      </w:r>
      <w:r>
        <w:rPr>
          <w:sz w:val="24"/>
        </w:rPr>
        <w:t>must be for a period which is at least equal to the term of the longest </w:t>
      </w:r>
      <w:r>
        <w:rPr>
          <w:i/>
          <w:sz w:val="24"/>
        </w:rPr>
        <w:t>connection agreement </w:t>
      </w:r>
      <w:r>
        <w:rPr>
          <w:sz w:val="24"/>
        </w:rPr>
        <w:t>of a member of the initial </w:t>
      </w:r>
      <w:r>
        <w:rPr>
          <w:i/>
          <w:sz w:val="24"/>
        </w:rPr>
        <w:t>identified user group </w:t>
      </w:r>
      <w:r>
        <w:rPr>
          <w:sz w:val="24"/>
        </w:rPr>
        <w:t>for the </w:t>
      </w:r>
      <w:r>
        <w:rPr>
          <w:i/>
          <w:sz w:val="24"/>
        </w:rPr>
        <w:t>third party</w:t>
      </w:r>
      <w:r>
        <w:rPr>
          <w:i/>
          <w:spacing w:val="-1"/>
          <w:sz w:val="24"/>
        </w:rPr>
        <w:t> </w:t>
      </w:r>
      <w:r>
        <w:rPr>
          <w:i/>
          <w:sz w:val="24"/>
        </w:rPr>
        <w:t>IUSA</w:t>
      </w:r>
      <w:r>
        <w:rPr>
          <w:sz w:val="24"/>
        </w:rPr>
        <w:t>.</w:t>
      </w:r>
    </w:p>
    <w:p>
      <w:pPr>
        <w:pStyle w:val="ListParagraph"/>
        <w:numPr>
          <w:ilvl w:val="2"/>
          <w:numId w:val="163"/>
        </w:numPr>
        <w:tabs>
          <w:tab w:pos="1919" w:val="left" w:leader="none"/>
        </w:tabs>
        <w:spacing w:line="240" w:lineRule="auto" w:before="120" w:after="0"/>
        <w:ind w:left="1919" w:right="415" w:hanging="567"/>
        <w:jc w:val="both"/>
        <w:rPr>
          <w:sz w:val="24"/>
        </w:rPr>
      </w:pPr>
      <w:r>
        <w:rPr>
          <w:sz w:val="24"/>
        </w:rPr>
        <w:t>The </w:t>
      </w:r>
      <w:r>
        <w:rPr>
          <w:i/>
          <w:sz w:val="24"/>
        </w:rPr>
        <w:t>network operating agreement </w:t>
      </w:r>
      <w:r>
        <w:rPr>
          <w:sz w:val="24"/>
        </w:rPr>
        <w:t>must provide for the </w:t>
      </w:r>
      <w:r>
        <w:rPr>
          <w:i/>
          <w:sz w:val="24"/>
        </w:rPr>
        <w:t>Primary </w:t>
      </w:r>
      <w:r>
        <w:rPr>
          <w:i/>
          <w:sz w:val="24"/>
        </w:rPr>
        <w:t>Transmission Network Service Provider</w:t>
      </w:r>
      <w:r>
        <w:rPr>
          <w:i/>
          <w:spacing w:val="-2"/>
          <w:sz w:val="24"/>
        </w:rPr>
        <w:t> </w:t>
      </w:r>
      <w:r>
        <w:rPr>
          <w:sz w:val="24"/>
        </w:rPr>
        <w:t>to:</w:t>
      </w:r>
    </w:p>
    <w:p>
      <w:pPr>
        <w:pStyle w:val="ListParagraph"/>
        <w:numPr>
          <w:ilvl w:val="3"/>
          <w:numId w:val="163"/>
        </w:numPr>
        <w:tabs>
          <w:tab w:pos="2486" w:val="left" w:leader="none"/>
        </w:tabs>
        <w:spacing w:line="240" w:lineRule="auto" w:before="120" w:after="0"/>
        <w:ind w:left="2486" w:right="414" w:hanging="567"/>
        <w:jc w:val="both"/>
        <w:rPr>
          <w:sz w:val="24"/>
        </w:rPr>
      </w:pPr>
      <w:r>
        <w:rPr>
          <w:sz w:val="24"/>
        </w:rPr>
        <w:t>have operation and control of the </w:t>
      </w:r>
      <w:r>
        <w:rPr>
          <w:i/>
          <w:sz w:val="24"/>
        </w:rPr>
        <w:t>third party IUSA </w:t>
      </w:r>
      <w:r>
        <w:rPr>
          <w:sz w:val="24"/>
        </w:rPr>
        <w:t>(including </w:t>
      </w:r>
      <w:r>
        <w:rPr>
          <w:spacing w:val="-4"/>
          <w:sz w:val="24"/>
        </w:rPr>
        <w:t>the </w:t>
      </w:r>
      <w:r>
        <w:rPr>
          <w:sz w:val="24"/>
        </w:rPr>
        <w:t>rights and obligations to maintain that asset) for an agreed charge </w:t>
      </w:r>
      <w:r>
        <w:rPr>
          <w:spacing w:val="-6"/>
          <w:sz w:val="24"/>
        </w:rPr>
        <w:t>or </w:t>
      </w:r>
      <w:r>
        <w:rPr>
          <w:sz w:val="24"/>
        </w:rPr>
        <w:t>based on an agreed charging</w:t>
      </w:r>
      <w:r>
        <w:rPr>
          <w:spacing w:val="-1"/>
          <w:sz w:val="24"/>
        </w:rPr>
        <w:t> </w:t>
      </w:r>
      <w:r>
        <w:rPr>
          <w:sz w:val="24"/>
        </w:rPr>
        <w:t>methodology;</w:t>
      </w:r>
    </w:p>
    <w:p>
      <w:pPr>
        <w:pStyle w:val="ListParagraph"/>
        <w:numPr>
          <w:ilvl w:val="3"/>
          <w:numId w:val="163"/>
        </w:numPr>
        <w:tabs>
          <w:tab w:pos="2486" w:val="left" w:leader="none"/>
        </w:tabs>
        <w:spacing w:line="240" w:lineRule="auto" w:before="120" w:after="0"/>
        <w:ind w:left="2486" w:right="415" w:hanging="567"/>
        <w:jc w:val="both"/>
        <w:rPr>
          <w:sz w:val="24"/>
        </w:rPr>
      </w:pPr>
      <w:r>
        <w:rPr>
          <w:sz w:val="24"/>
        </w:rPr>
        <w:t>have an option to purchase the </w:t>
      </w:r>
      <w:r>
        <w:rPr>
          <w:i/>
          <w:sz w:val="24"/>
        </w:rPr>
        <w:t>third party IUSA </w:t>
      </w:r>
      <w:r>
        <w:rPr>
          <w:sz w:val="24"/>
        </w:rPr>
        <w:t>at fair market value at the expiry or early termination of the </w:t>
      </w:r>
      <w:r>
        <w:rPr>
          <w:i/>
          <w:sz w:val="24"/>
        </w:rPr>
        <w:t>network operating</w:t>
      </w:r>
      <w:r>
        <w:rPr>
          <w:i/>
          <w:spacing w:val="-3"/>
          <w:sz w:val="24"/>
        </w:rPr>
        <w:t> </w:t>
      </w:r>
      <w:r>
        <w:rPr>
          <w:i/>
          <w:sz w:val="24"/>
        </w:rPr>
        <w:t>agreement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163"/>
        </w:numPr>
        <w:tabs>
          <w:tab w:pos="2485" w:val="left" w:leader="none"/>
          <w:tab w:pos="2486" w:val="left" w:leader="none"/>
        </w:tabs>
        <w:spacing w:line="240" w:lineRule="auto" w:before="83" w:after="0"/>
        <w:ind w:left="2485" w:right="0" w:hanging="567"/>
        <w:jc w:val="left"/>
        <w:rPr>
          <w:sz w:val="24"/>
        </w:rPr>
      </w:pPr>
      <w:r>
        <w:rPr>
          <w:sz w:val="24"/>
        </w:rPr>
        <w:t>alter, replace or augment the </w:t>
      </w:r>
      <w:r>
        <w:rPr>
          <w:i/>
          <w:sz w:val="24"/>
        </w:rPr>
        <w:t>third party</w:t>
      </w:r>
      <w:r>
        <w:rPr>
          <w:i/>
          <w:spacing w:val="-2"/>
          <w:sz w:val="24"/>
        </w:rPr>
        <w:t> </w:t>
      </w:r>
      <w:r>
        <w:rPr>
          <w:i/>
          <w:sz w:val="24"/>
        </w:rPr>
        <w:t>IUSA</w:t>
      </w:r>
      <w:r>
        <w:rPr>
          <w:sz w:val="24"/>
        </w:rPr>
        <w:t>;</w:t>
      </w:r>
    </w:p>
    <w:p>
      <w:pPr>
        <w:pStyle w:val="ListParagraph"/>
        <w:numPr>
          <w:ilvl w:val="3"/>
          <w:numId w:val="163"/>
        </w:numPr>
        <w:tabs>
          <w:tab w:pos="2485" w:val="left" w:leader="none"/>
          <w:tab w:pos="2486" w:val="left" w:leader="none"/>
        </w:tabs>
        <w:spacing w:line="240" w:lineRule="auto" w:before="120" w:after="0"/>
        <w:ind w:left="2486" w:right="415" w:hanging="567"/>
        <w:jc w:val="left"/>
        <w:rPr>
          <w:sz w:val="24"/>
        </w:rPr>
      </w:pPr>
      <w:r>
        <w:rPr>
          <w:sz w:val="24"/>
        </w:rPr>
        <w:t>have the right to connect other persons to the </w:t>
      </w:r>
      <w:r>
        <w:rPr>
          <w:i/>
          <w:sz w:val="24"/>
        </w:rPr>
        <w:t>third party IUSA </w:t>
      </w:r>
      <w:r>
        <w:rPr>
          <w:spacing w:val="-7"/>
          <w:sz w:val="24"/>
        </w:rPr>
        <w:t>in </w:t>
      </w:r>
      <w:r>
        <w:rPr>
          <w:sz w:val="24"/>
        </w:rPr>
        <w:t>accordance with the</w:t>
      </w:r>
      <w:r>
        <w:rPr>
          <w:spacing w:val="-2"/>
          <w:sz w:val="24"/>
        </w:rPr>
        <w:t> </w:t>
      </w:r>
      <w:r>
        <w:rPr>
          <w:i/>
          <w:sz w:val="24"/>
        </w:rPr>
        <w:t>Rules</w:t>
      </w:r>
      <w:r>
        <w:rPr>
          <w:sz w:val="24"/>
        </w:rPr>
        <w:t>;</w:t>
      </w:r>
    </w:p>
    <w:p>
      <w:pPr>
        <w:pStyle w:val="ListParagraph"/>
        <w:numPr>
          <w:ilvl w:val="3"/>
          <w:numId w:val="163"/>
        </w:numPr>
        <w:tabs>
          <w:tab w:pos="2485" w:val="left" w:leader="none"/>
          <w:tab w:pos="2486" w:val="left" w:leader="none"/>
        </w:tabs>
        <w:spacing w:line="240" w:lineRule="auto" w:before="120" w:after="0"/>
        <w:ind w:left="2485" w:right="0" w:hanging="567"/>
        <w:jc w:val="left"/>
        <w:rPr>
          <w:sz w:val="24"/>
        </w:rPr>
      </w:pPr>
      <w:r>
        <w:rPr>
          <w:sz w:val="24"/>
        </w:rPr>
        <w:t>have unrestricted use of, and access to, the </w:t>
      </w:r>
      <w:r>
        <w:rPr>
          <w:i/>
          <w:sz w:val="24"/>
        </w:rPr>
        <w:t>third party IUSA</w:t>
      </w:r>
      <w:r>
        <w:rPr>
          <w:sz w:val="24"/>
        </w:rPr>
        <w:t>;</w:t>
      </w:r>
      <w:r>
        <w:rPr>
          <w:spacing w:val="-3"/>
          <w:sz w:val="24"/>
        </w:rPr>
        <w:t> </w:t>
      </w:r>
      <w:r>
        <w:rPr>
          <w:sz w:val="24"/>
        </w:rPr>
        <w:t>and</w:t>
      </w:r>
    </w:p>
    <w:p>
      <w:pPr>
        <w:pStyle w:val="ListParagraph"/>
        <w:numPr>
          <w:ilvl w:val="3"/>
          <w:numId w:val="163"/>
        </w:numPr>
        <w:tabs>
          <w:tab w:pos="2486" w:val="left" w:leader="none"/>
        </w:tabs>
        <w:spacing w:line="240" w:lineRule="auto" w:before="120" w:after="0"/>
        <w:ind w:left="2486" w:right="414" w:hanging="567"/>
        <w:jc w:val="both"/>
        <w:rPr>
          <w:sz w:val="24"/>
        </w:rPr>
      </w:pPr>
      <w:r>
        <w:rPr>
          <w:sz w:val="24"/>
        </w:rPr>
        <w:t>treat the </w:t>
      </w:r>
      <w:r>
        <w:rPr>
          <w:i/>
          <w:sz w:val="24"/>
        </w:rPr>
        <w:t>third party IUSA </w:t>
      </w:r>
      <w:r>
        <w:rPr>
          <w:sz w:val="24"/>
        </w:rPr>
        <w:t>as forming part of the </w:t>
      </w:r>
      <w:r>
        <w:rPr>
          <w:i/>
          <w:sz w:val="24"/>
        </w:rPr>
        <w:t>Primary  </w:t>
      </w:r>
      <w:r>
        <w:rPr>
          <w:i/>
          <w:sz w:val="24"/>
        </w:rPr>
        <w:t>Transmission Network Service Provider's transmission network </w:t>
      </w:r>
      <w:r>
        <w:rPr>
          <w:sz w:val="24"/>
        </w:rPr>
        <w:t>in all material respects and provide </w:t>
      </w:r>
      <w:r>
        <w:rPr>
          <w:i/>
          <w:sz w:val="24"/>
        </w:rPr>
        <w:t>transmission services </w:t>
      </w:r>
      <w:r>
        <w:rPr>
          <w:sz w:val="24"/>
        </w:rPr>
        <w:t>to any </w:t>
      </w:r>
      <w:r>
        <w:rPr>
          <w:i/>
          <w:sz w:val="24"/>
        </w:rPr>
        <w:t>Transmission Network User </w:t>
      </w:r>
      <w:r>
        <w:rPr>
          <w:sz w:val="24"/>
        </w:rPr>
        <w:t>in accordance with the</w:t>
      </w:r>
      <w:r>
        <w:rPr>
          <w:spacing w:val="-6"/>
          <w:sz w:val="24"/>
        </w:rPr>
        <w:t> </w:t>
      </w:r>
      <w:r>
        <w:rPr>
          <w:i/>
          <w:sz w:val="24"/>
        </w:rPr>
        <w:t>Rules</w:t>
      </w:r>
      <w:r>
        <w:rPr>
          <w:sz w:val="24"/>
        </w:rPr>
        <w:t>.</w:t>
      </w:r>
    </w:p>
    <w:p>
      <w:pPr>
        <w:pStyle w:val="ListParagraph"/>
        <w:numPr>
          <w:ilvl w:val="2"/>
          <w:numId w:val="163"/>
        </w:numPr>
        <w:tabs>
          <w:tab w:pos="1919" w:val="left" w:leader="none"/>
        </w:tabs>
        <w:spacing w:line="240" w:lineRule="auto" w:before="120" w:after="0"/>
        <w:ind w:left="1918" w:right="0" w:hanging="567"/>
        <w:jc w:val="both"/>
        <w:rPr>
          <w:sz w:val="24"/>
        </w:rPr>
      </w:pPr>
      <w:r>
        <w:rPr>
          <w:sz w:val="24"/>
        </w:rPr>
        <w:t>A person who owns a </w:t>
      </w:r>
      <w:r>
        <w:rPr>
          <w:i/>
          <w:sz w:val="24"/>
        </w:rPr>
        <w:t>third party IUSA </w:t>
      </w:r>
      <w:r>
        <w:rPr>
          <w:sz w:val="24"/>
        </w:rPr>
        <w:t>must</w:t>
      </w:r>
      <w:r>
        <w:rPr>
          <w:spacing w:val="-2"/>
          <w:sz w:val="24"/>
        </w:rPr>
        <w:t> </w:t>
      </w:r>
      <w:r>
        <w:rPr>
          <w:sz w:val="24"/>
        </w:rPr>
        <w:t>not:</w:t>
      </w:r>
    </w:p>
    <w:p>
      <w:pPr>
        <w:pStyle w:val="ListParagraph"/>
        <w:numPr>
          <w:ilvl w:val="3"/>
          <w:numId w:val="163"/>
        </w:numPr>
        <w:tabs>
          <w:tab w:pos="2485" w:val="left" w:leader="none"/>
          <w:tab w:pos="2486" w:val="left" w:leader="none"/>
        </w:tabs>
        <w:spacing w:line="240" w:lineRule="auto" w:before="120" w:after="0"/>
        <w:ind w:left="2485" w:right="0" w:hanging="567"/>
        <w:jc w:val="left"/>
        <w:rPr>
          <w:sz w:val="24"/>
        </w:rPr>
      </w:pPr>
      <w:r>
        <w:rPr>
          <w:sz w:val="24"/>
        </w:rPr>
        <w:t>own, operate or control a </w:t>
      </w:r>
      <w:r>
        <w:rPr>
          <w:i/>
          <w:sz w:val="24"/>
        </w:rPr>
        <w:t>generating</w:t>
      </w:r>
      <w:r>
        <w:rPr>
          <w:i/>
          <w:spacing w:val="-2"/>
          <w:sz w:val="24"/>
        </w:rPr>
        <w:t> </w:t>
      </w:r>
      <w:r>
        <w:rPr>
          <w:i/>
          <w:sz w:val="24"/>
        </w:rPr>
        <w:t>system</w:t>
      </w:r>
      <w:r>
        <w:rPr>
          <w:sz w:val="24"/>
        </w:rPr>
        <w:t>;</w:t>
      </w:r>
    </w:p>
    <w:p>
      <w:pPr>
        <w:pStyle w:val="ListParagraph"/>
        <w:numPr>
          <w:ilvl w:val="3"/>
          <w:numId w:val="163"/>
        </w:numPr>
        <w:tabs>
          <w:tab w:pos="2485" w:val="left" w:leader="none"/>
          <w:tab w:pos="2486" w:val="left" w:leader="none"/>
        </w:tabs>
        <w:spacing w:line="240" w:lineRule="auto" w:before="120" w:after="0"/>
        <w:ind w:left="2485" w:right="0" w:hanging="567"/>
        <w:jc w:val="left"/>
        <w:rPr>
          <w:sz w:val="24"/>
        </w:rPr>
      </w:pPr>
      <w:r>
        <w:rPr>
          <w:sz w:val="24"/>
        </w:rPr>
        <w:t>own, operate or control a </w:t>
      </w:r>
      <w:r>
        <w:rPr>
          <w:i/>
          <w:sz w:val="24"/>
        </w:rPr>
        <w:t>facility </w:t>
      </w:r>
      <w:r>
        <w:rPr>
          <w:sz w:val="24"/>
        </w:rPr>
        <w:t>utilising electrical </w:t>
      </w:r>
      <w:r>
        <w:rPr>
          <w:i/>
          <w:sz w:val="24"/>
        </w:rPr>
        <w:t>energy</w:t>
      </w:r>
      <w:r>
        <w:rPr>
          <w:sz w:val="24"/>
        </w:rPr>
        <w:t>;</w:t>
      </w:r>
      <w:r>
        <w:rPr>
          <w:spacing w:val="-3"/>
          <w:sz w:val="24"/>
        </w:rPr>
        <w:t> </w:t>
      </w:r>
      <w:r>
        <w:rPr>
          <w:sz w:val="24"/>
        </w:rPr>
        <w:t>or</w:t>
      </w:r>
    </w:p>
    <w:p>
      <w:pPr>
        <w:pStyle w:val="ListParagraph"/>
        <w:numPr>
          <w:ilvl w:val="3"/>
          <w:numId w:val="163"/>
        </w:numPr>
        <w:tabs>
          <w:tab w:pos="2485" w:val="left" w:leader="none"/>
          <w:tab w:pos="2486" w:val="left" w:leader="none"/>
        </w:tabs>
        <w:spacing w:line="240" w:lineRule="auto" w:before="120" w:after="0"/>
        <w:ind w:left="2485" w:right="0" w:hanging="567"/>
        <w:jc w:val="left"/>
        <w:rPr>
          <w:sz w:val="24"/>
        </w:rPr>
      </w:pPr>
      <w:r>
        <w:rPr>
          <w:sz w:val="24"/>
        </w:rPr>
        <w:t>be a related entity of a person owning, operating or controlling</w:t>
      </w:r>
      <w:r>
        <w:rPr>
          <w:spacing w:val="12"/>
          <w:sz w:val="24"/>
        </w:rPr>
        <w:t> </w:t>
      </w:r>
      <w:r>
        <w:rPr>
          <w:sz w:val="24"/>
        </w:rPr>
        <w:t>a</w:t>
      </w:r>
    </w:p>
    <w:p>
      <w:pPr>
        <w:spacing w:line="343" w:lineRule="auto" w:before="0"/>
        <w:ind w:left="1919" w:right="1918" w:firstLine="567"/>
        <w:jc w:val="left"/>
        <w:rPr>
          <w:sz w:val="24"/>
        </w:rPr>
      </w:pPr>
      <w:r>
        <w:rPr>
          <w:i/>
          <w:sz w:val="24"/>
        </w:rPr>
        <w:t>generating system </w:t>
      </w:r>
      <w:r>
        <w:rPr>
          <w:sz w:val="24"/>
        </w:rPr>
        <w:t>or </w:t>
      </w:r>
      <w:r>
        <w:rPr>
          <w:i/>
          <w:sz w:val="24"/>
        </w:rPr>
        <w:t>facility </w:t>
      </w:r>
      <w:r>
        <w:rPr>
          <w:sz w:val="24"/>
        </w:rPr>
        <w:t>utilising electrical </w:t>
      </w:r>
      <w:r>
        <w:rPr>
          <w:i/>
          <w:sz w:val="24"/>
        </w:rPr>
        <w:t>energy</w:t>
      </w:r>
      <w:r>
        <w:rPr>
          <w:sz w:val="24"/>
        </w:rPr>
        <w:t>, that is </w:t>
      </w:r>
      <w:r>
        <w:rPr>
          <w:i/>
          <w:sz w:val="24"/>
        </w:rPr>
        <w:t>connected </w:t>
      </w:r>
      <w:r>
        <w:rPr>
          <w:sz w:val="24"/>
        </w:rPr>
        <w:t>to that </w:t>
      </w:r>
      <w:r>
        <w:rPr>
          <w:i/>
          <w:sz w:val="24"/>
        </w:rPr>
        <w:t>third party IUSA</w:t>
      </w:r>
      <w:r>
        <w:rPr>
          <w:sz w:val="24"/>
        </w:rPr>
        <w:t>.</w:t>
      </w:r>
    </w:p>
    <w:p>
      <w:pPr>
        <w:spacing w:before="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63"/>
        </w:numPr>
        <w:tabs>
          <w:tab w:pos="1920" w:val="left" w:leader="none"/>
        </w:tabs>
        <w:spacing w:line="240" w:lineRule="auto" w:before="120" w:after="0"/>
        <w:ind w:left="1919" w:right="0" w:hanging="568"/>
        <w:jc w:val="both"/>
        <w:rPr>
          <w:sz w:val="24"/>
        </w:rPr>
      </w:pPr>
      <w:r>
        <w:rPr>
          <w:sz w:val="24"/>
        </w:rPr>
        <w:t>In paragraph</w:t>
      </w:r>
      <w:r>
        <w:rPr>
          <w:spacing w:val="-1"/>
          <w:sz w:val="24"/>
        </w:rPr>
        <w:t> </w:t>
      </w:r>
      <w:r>
        <w:rPr>
          <w:sz w:val="24"/>
        </w:rPr>
        <w:t>(e):</w:t>
      </w:r>
    </w:p>
    <w:p>
      <w:pPr>
        <w:pStyle w:val="BodyText"/>
        <w:ind w:left="1919" w:right="414" w:firstLine="0"/>
      </w:pPr>
      <w:r>
        <w:rPr>
          <w:b/>
        </w:rPr>
        <w:t>related entity </w:t>
      </w:r>
      <w:r>
        <w:rPr/>
        <w:t>means, in relation to an entity, an entity that controls, or is controlled by, that first mentioned entity;</w:t>
      </w:r>
    </w:p>
    <w:p>
      <w:pPr>
        <w:spacing w:before="120"/>
        <w:ind w:left="1919" w:right="414" w:firstLine="0"/>
        <w:jc w:val="both"/>
        <w:rPr>
          <w:sz w:val="24"/>
        </w:rPr>
      </w:pPr>
      <w:r>
        <w:rPr>
          <w:b/>
          <w:sz w:val="24"/>
        </w:rPr>
        <w:t>entity </w:t>
      </w:r>
      <w:r>
        <w:rPr>
          <w:sz w:val="24"/>
        </w:rPr>
        <w:t>has the meaning given in the </w:t>
      </w:r>
      <w:r>
        <w:rPr>
          <w:i/>
          <w:sz w:val="24"/>
        </w:rPr>
        <w:t>Corporations Act 2001 </w:t>
      </w:r>
      <w:r>
        <w:rPr>
          <w:sz w:val="24"/>
        </w:rPr>
        <w:t>(Cth) subject to section 64A of the </w:t>
      </w:r>
      <w:r>
        <w:rPr>
          <w:i/>
          <w:sz w:val="24"/>
        </w:rPr>
        <w:t>Corporations Act 2001 </w:t>
      </w:r>
      <w:r>
        <w:rPr>
          <w:sz w:val="24"/>
        </w:rPr>
        <w:t>(Cth) not applying to such meaning; and</w:t>
      </w:r>
    </w:p>
    <w:p>
      <w:pPr>
        <w:spacing w:before="120"/>
        <w:ind w:left="1919" w:right="0" w:firstLine="0"/>
        <w:jc w:val="both"/>
        <w:rPr>
          <w:sz w:val="24"/>
        </w:rPr>
      </w:pPr>
      <w:r>
        <w:rPr>
          <w:b/>
          <w:sz w:val="24"/>
        </w:rPr>
        <w:t>control </w:t>
      </w:r>
      <w:r>
        <w:rPr>
          <w:sz w:val="24"/>
        </w:rPr>
        <w:t>has the meaning given in the </w:t>
      </w:r>
      <w:r>
        <w:rPr>
          <w:i/>
          <w:sz w:val="24"/>
        </w:rPr>
        <w:t>Corporations Act 2001 </w:t>
      </w:r>
      <w:r>
        <w:rPr>
          <w:sz w:val="24"/>
        </w:rPr>
        <w:t>(Cth).</w:t>
      </w:r>
    </w:p>
    <w:p>
      <w:pPr>
        <w:pStyle w:val="BodyText"/>
        <w:spacing w:before="10"/>
        <w:ind w:firstLine="0"/>
        <w:jc w:val="left"/>
        <w:rPr>
          <w:sz w:val="20"/>
        </w:rPr>
      </w:pPr>
    </w:p>
    <w:p>
      <w:pPr>
        <w:pStyle w:val="Heading4"/>
        <w:numPr>
          <w:ilvl w:val="1"/>
          <w:numId w:val="164"/>
        </w:numPr>
        <w:tabs>
          <w:tab w:pos="553" w:val="left" w:leader="none"/>
          <w:tab w:pos="1351" w:val="left" w:leader="none"/>
        </w:tabs>
        <w:spacing w:line="240" w:lineRule="auto" w:before="0" w:after="0"/>
        <w:ind w:left="552" w:right="0" w:hanging="335"/>
        <w:jc w:val="left"/>
        <w:rPr>
          <w:sz w:val="22"/>
        </w:rPr>
      </w:pPr>
      <w:bookmarkStart w:name="5.2A.8 Access framework for large dedica" w:id="408"/>
      <w:bookmarkEnd w:id="408"/>
      <w:r>
        <w:rPr>
          <w:b w:val="0"/>
        </w:rPr>
      </w:r>
      <w:bookmarkStart w:name="_bookmark174" w:id="409"/>
      <w:bookmarkEnd w:id="409"/>
      <w:r>
        <w:rPr>
          <w:b w:val="0"/>
        </w:rPr>
      </w:r>
      <w:bookmarkStart w:name="_bookmark174" w:id="410"/>
      <w:bookmarkEnd w:id="410"/>
      <w:r>
        <w:rPr/>
        <w:t>A.</w:t>
      </w:r>
      <w:r>
        <w:rPr/>
        <w:t>8</w:t>
        <w:tab/>
        <w:t>Access framework for large dedicated connection</w:t>
      </w:r>
      <w:r>
        <w:rPr>
          <w:spacing w:val="-5"/>
        </w:rPr>
        <w:t> </w:t>
      </w:r>
      <w:r>
        <w:rPr/>
        <w:t>assets</w:t>
      </w:r>
    </w:p>
    <w:p>
      <w:pPr>
        <w:pStyle w:val="ListParagraph"/>
        <w:numPr>
          <w:ilvl w:val="2"/>
          <w:numId w:val="164"/>
        </w:numPr>
        <w:tabs>
          <w:tab w:pos="1919" w:val="left" w:leader="none"/>
        </w:tabs>
        <w:spacing w:line="240" w:lineRule="auto" w:before="120" w:after="0"/>
        <w:ind w:left="1918" w:right="0" w:hanging="567"/>
        <w:jc w:val="both"/>
        <w:rPr>
          <w:sz w:val="24"/>
        </w:rPr>
      </w:pPr>
      <w:r>
        <w:rPr>
          <w:sz w:val="24"/>
        </w:rPr>
        <w:t>This clause 5.2A.8 applies only to </w:t>
      </w:r>
      <w:r>
        <w:rPr>
          <w:i/>
          <w:sz w:val="24"/>
        </w:rPr>
        <w:t>large dedicated connection</w:t>
      </w:r>
      <w:r>
        <w:rPr>
          <w:i/>
          <w:spacing w:val="-3"/>
          <w:sz w:val="24"/>
        </w:rPr>
        <w:t> </w:t>
      </w:r>
      <w:r>
        <w:rPr>
          <w:i/>
          <w:sz w:val="24"/>
        </w:rPr>
        <w:t>assets</w:t>
      </w:r>
      <w:r>
        <w:rPr>
          <w:sz w:val="24"/>
        </w:rPr>
        <w:t>.</w:t>
      </w:r>
    </w:p>
    <w:p>
      <w:pPr>
        <w:pStyle w:val="ListParagraph"/>
        <w:numPr>
          <w:ilvl w:val="2"/>
          <w:numId w:val="164"/>
        </w:numPr>
        <w:tabs>
          <w:tab w:pos="1919" w:val="left" w:leader="none"/>
        </w:tabs>
        <w:spacing w:line="240" w:lineRule="auto" w:before="120" w:after="0"/>
        <w:ind w:left="1919" w:right="415" w:hanging="567"/>
        <w:jc w:val="both"/>
        <w:rPr>
          <w:sz w:val="24"/>
        </w:rPr>
      </w:pPr>
      <w:r>
        <w:rPr>
          <w:sz w:val="24"/>
        </w:rPr>
        <w:t>A </w:t>
      </w:r>
      <w:r>
        <w:rPr>
          <w:i/>
          <w:sz w:val="24"/>
        </w:rPr>
        <w:t>Dedicated Connection Asset Service Provider </w:t>
      </w:r>
      <w:r>
        <w:rPr>
          <w:sz w:val="24"/>
        </w:rPr>
        <w:t>must prepare, maintain and publish an </w:t>
      </w:r>
      <w:r>
        <w:rPr>
          <w:i/>
          <w:sz w:val="24"/>
        </w:rPr>
        <w:t>access policy </w:t>
      </w:r>
      <w:r>
        <w:rPr>
          <w:sz w:val="24"/>
        </w:rPr>
        <w:t>on its website to provide a framework for applicants to obtain access to </w:t>
      </w:r>
      <w:r>
        <w:rPr>
          <w:i/>
          <w:sz w:val="24"/>
        </w:rPr>
        <w:t>large DCA services</w:t>
      </w:r>
      <w:r>
        <w:rPr>
          <w:sz w:val="24"/>
        </w:rPr>
        <w:t>. An </w:t>
      </w:r>
      <w:r>
        <w:rPr>
          <w:i/>
          <w:sz w:val="24"/>
        </w:rPr>
        <w:t>access policy </w:t>
      </w:r>
      <w:r>
        <w:rPr>
          <w:sz w:val="24"/>
        </w:rPr>
        <w:t>must include, as a minimum, the following</w:t>
      </w:r>
      <w:r>
        <w:rPr>
          <w:spacing w:val="-1"/>
          <w:sz w:val="24"/>
        </w:rPr>
        <w:t> </w:t>
      </w:r>
      <w:r>
        <w:rPr>
          <w:sz w:val="24"/>
        </w:rPr>
        <w:t>information:</w:t>
      </w:r>
    </w:p>
    <w:p>
      <w:pPr>
        <w:pStyle w:val="ListParagraph"/>
        <w:numPr>
          <w:ilvl w:val="3"/>
          <w:numId w:val="164"/>
        </w:numPr>
        <w:tabs>
          <w:tab w:pos="2486" w:val="left" w:leader="none"/>
        </w:tabs>
        <w:spacing w:line="240" w:lineRule="auto" w:before="120" w:after="0"/>
        <w:ind w:left="2486" w:right="414" w:hanging="567"/>
        <w:jc w:val="both"/>
        <w:rPr>
          <w:sz w:val="24"/>
        </w:rPr>
      </w:pPr>
      <w:r>
        <w:rPr>
          <w:sz w:val="24"/>
        </w:rPr>
        <w:t>a description of the routes, tenure arrangements and main components of the </w:t>
      </w:r>
      <w:r>
        <w:rPr>
          <w:i/>
          <w:sz w:val="24"/>
        </w:rPr>
        <w:t>large dedicated connection asset </w:t>
      </w:r>
      <w:r>
        <w:rPr>
          <w:sz w:val="24"/>
        </w:rPr>
        <w:t>and the </w:t>
      </w:r>
      <w:r>
        <w:rPr>
          <w:i/>
          <w:sz w:val="24"/>
        </w:rPr>
        <w:t>facilities connected </w:t>
      </w:r>
      <w:r>
        <w:rPr>
          <w:sz w:val="24"/>
        </w:rPr>
        <w:t>to it;</w:t>
      </w:r>
    </w:p>
    <w:p>
      <w:pPr>
        <w:pStyle w:val="ListParagraph"/>
        <w:numPr>
          <w:ilvl w:val="3"/>
          <w:numId w:val="164"/>
        </w:numPr>
        <w:tabs>
          <w:tab w:pos="2486" w:val="left" w:leader="none"/>
        </w:tabs>
        <w:spacing w:line="240" w:lineRule="auto" w:before="120" w:after="0"/>
        <w:ind w:left="2486" w:right="415" w:hanging="567"/>
        <w:jc w:val="both"/>
        <w:rPr>
          <w:sz w:val="24"/>
        </w:rPr>
      </w:pPr>
      <w:r>
        <w:rPr>
          <w:sz w:val="24"/>
        </w:rPr>
        <w:t>any material regulatory limitations relating to the development and operation of the </w:t>
      </w:r>
      <w:r>
        <w:rPr>
          <w:i/>
          <w:sz w:val="24"/>
        </w:rPr>
        <w:t>large dedicated connection</w:t>
      </w:r>
      <w:r>
        <w:rPr>
          <w:i/>
          <w:spacing w:val="-1"/>
          <w:sz w:val="24"/>
        </w:rPr>
        <w:t> </w:t>
      </w:r>
      <w:r>
        <w:rPr>
          <w:i/>
          <w:sz w:val="24"/>
        </w:rPr>
        <w:t>asset</w:t>
      </w:r>
      <w:r>
        <w:rPr>
          <w:sz w:val="24"/>
        </w:rPr>
        <w:t>;</w:t>
      </w:r>
    </w:p>
    <w:p>
      <w:pPr>
        <w:pStyle w:val="ListParagraph"/>
        <w:numPr>
          <w:ilvl w:val="3"/>
          <w:numId w:val="164"/>
        </w:numPr>
        <w:tabs>
          <w:tab w:pos="2486" w:val="left" w:leader="none"/>
        </w:tabs>
        <w:spacing w:line="240" w:lineRule="auto" w:before="120" w:after="0"/>
        <w:ind w:left="2486" w:right="415" w:hanging="567"/>
        <w:jc w:val="both"/>
        <w:rPr>
          <w:sz w:val="24"/>
        </w:rPr>
      </w:pPr>
      <w:r>
        <w:rPr>
          <w:sz w:val="24"/>
        </w:rPr>
        <w:t>the pricing principles and the key terms which are proposed to apply to the provision of </w:t>
      </w:r>
      <w:r>
        <w:rPr>
          <w:i/>
          <w:sz w:val="24"/>
        </w:rPr>
        <w:t>large DCA services </w:t>
      </w:r>
      <w:r>
        <w:rPr>
          <w:sz w:val="24"/>
        </w:rPr>
        <w:t>where such principles and terms must be consistent with schedule</w:t>
      </w:r>
      <w:r>
        <w:rPr>
          <w:spacing w:val="-4"/>
          <w:sz w:val="24"/>
        </w:rPr>
        <w:t> </w:t>
      </w:r>
      <w:r>
        <w:rPr>
          <w:sz w:val="24"/>
        </w:rPr>
        <w:t>5.12;</w:t>
      </w:r>
    </w:p>
    <w:p>
      <w:pPr>
        <w:pStyle w:val="ListParagraph"/>
        <w:numPr>
          <w:ilvl w:val="3"/>
          <w:numId w:val="164"/>
        </w:numPr>
        <w:tabs>
          <w:tab w:pos="2486" w:val="left" w:leader="none"/>
        </w:tabs>
        <w:spacing w:line="240" w:lineRule="auto" w:before="120" w:after="0"/>
        <w:ind w:left="2486" w:right="415" w:hanging="567"/>
        <w:jc w:val="both"/>
        <w:rPr>
          <w:sz w:val="24"/>
        </w:rPr>
      </w:pPr>
      <w:r>
        <w:rPr>
          <w:sz w:val="24"/>
        </w:rPr>
        <w:t>the process by which an applicant may seek access to </w:t>
      </w:r>
      <w:r>
        <w:rPr>
          <w:i/>
          <w:sz w:val="24"/>
        </w:rPr>
        <w:t>large DCA </w:t>
      </w:r>
      <w:r>
        <w:rPr>
          <w:i/>
          <w:sz w:val="24"/>
        </w:rPr>
        <w:t>services</w:t>
      </w:r>
      <w:r>
        <w:rPr>
          <w:sz w:val="24"/>
        </w:rPr>
        <w:t>,</w:t>
      </w:r>
      <w:r>
        <w:rPr>
          <w:spacing w:val="25"/>
          <w:sz w:val="24"/>
        </w:rPr>
        <w:t> </w:t>
      </w:r>
      <w:r>
        <w:rPr>
          <w:sz w:val="24"/>
        </w:rPr>
        <w:t>which</w:t>
      </w:r>
      <w:r>
        <w:rPr>
          <w:spacing w:val="26"/>
          <w:sz w:val="24"/>
        </w:rPr>
        <w:t> </w:t>
      </w:r>
      <w:r>
        <w:rPr>
          <w:sz w:val="24"/>
        </w:rPr>
        <w:t>must</w:t>
      </w:r>
      <w:r>
        <w:rPr>
          <w:spacing w:val="25"/>
          <w:sz w:val="24"/>
        </w:rPr>
        <w:t> </w:t>
      </w:r>
      <w:r>
        <w:rPr>
          <w:sz w:val="24"/>
        </w:rPr>
        <w:t>include</w:t>
      </w:r>
      <w:r>
        <w:rPr>
          <w:spacing w:val="26"/>
          <w:sz w:val="24"/>
        </w:rPr>
        <w:t> </w:t>
      </w:r>
      <w:r>
        <w:rPr>
          <w:sz w:val="24"/>
        </w:rPr>
        <w:t>a</w:t>
      </w:r>
      <w:r>
        <w:rPr>
          <w:spacing w:val="26"/>
          <w:sz w:val="24"/>
        </w:rPr>
        <w:t> </w:t>
      </w:r>
      <w:r>
        <w:rPr>
          <w:sz w:val="24"/>
        </w:rPr>
        <w:t>right</w:t>
      </w:r>
      <w:r>
        <w:rPr>
          <w:spacing w:val="25"/>
          <w:sz w:val="24"/>
        </w:rPr>
        <w:t> </w:t>
      </w:r>
      <w:r>
        <w:rPr>
          <w:sz w:val="24"/>
        </w:rPr>
        <w:t>for</w:t>
      </w:r>
      <w:r>
        <w:rPr>
          <w:spacing w:val="26"/>
          <w:sz w:val="24"/>
        </w:rPr>
        <w:t> </w:t>
      </w:r>
      <w:r>
        <w:rPr>
          <w:sz w:val="24"/>
        </w:rPr>
        <w:t>an</w:t>
      </w:r>
      <w:r>
        <w:rPr>
          <w:spacing w:val="26"/>
          <w:sz w:val="24"/>
        </w:rPr>
        <w:t> </w:t>
      </w:r>
      <w:r>
        <w:rPr>
          <w:sz w:val="24"/>
        </w:rPr>
        <w:t>applicant</w:t>
      </w:r>
      <w:r>
        <w:rPr>
          <w:spacing w:val="25"/>
          <w:sz w:val="24"/>
        </w:rPr>
        <w:t> </w:t>
      </w:r>
      <w:r>
        <w:rPr>
          <w:sz w:val="24"/>
        </w:rPr>
        <w:t>to</w:t>
      </w:r>
      <w:r>
        <w:rPr>
          <w:spacing w:val="26"/>
          <w:sz w:val="24"/>
        </w:rPr>
        <w:t> </w:t>
      </w:r>
      <w:r>
        <w:rPr>
          <w:sz w:val="24"/>
        </w:rPr>
        <w:t>obtain</w:t>
      </w:r>
    </w:p>
    <w:p>
      <w:pPr>
        <w:spacing w:after="0" w:line="240" w:lineRule="auto"/>
        <w:jc w:val="both"/>
        <w:rPr>
          <w:sz w:val="24"/>
        </w:rPr>
        <w:sectPr>
          <w:pgSz w:w="11910" w:h="16840"/>
          <w:pgMar w:header="686" w:footer="637" w:top="1320" w:bottom="820" w:left="1200" w:right="1000"/>
        </w:sectPr>
      </w:pPr>
    </w:p>
    <w:p>
      <w:pPr>
        <w:pStyle w:val="BodyText"/>
        <w:spacing w:before="83"/>
        <w:ind w:left="2486" w:right="415" w:firstLine="0"/>
      </w:pPr>
      <w:r>
        <w:rPr/>
        <w:t>sufficient information to enable it to prepare a request for the </w:t>
      </w:r>
      <w:r>
        <w:rPr>
          <w:i/>
        </w:rPr>
        <w:t>large </w:t>
      </w:r>
      <w:r>
        <w:rPr>
          <w:i/>
        </w:rPr>
        <w:t>DCA services </w:t>
      </w:r>
      <w:r>
        <w:rPr/>
        <w:t>it requires and contact details for access enquiries; and</w:t>
      </w:r>
    </w:p>
    <w:p>
      <w:pPr>
        <w:pStyle w:val="ListParagraph"/>
        <w:numPr>
          <w:ilvl w:val="3"/>
          <w:numId w:val="164"/>
        </w:numPr>
        <w:tabs>
          <w:tab w:pos="2486" w:val="left" w:leader="none"/>
        </w:tabs>
        <w:spacing w:line="240" w:lineRule="auto" w:before="120" w:after="0"/>
        <w:ind w:left="2486" w:right="415" w:hanging="567"/>
        <w:jc w:val="both"/>
        <w:rPr>
          <w:sz w:val="24"/>
        </w:rPr>
      </w:pPr>
      <w:r>
        <w:rPr>
          <w:sz w:val="24"/>
        </w:rPr>
        <w:t>advice on the availability of commercial arbitration under rule 5.5 in the case of a</w:t>
      </w:r>
      <w:r>
        <w:rPr>
          <w:spacing w:val="-2"/>
          <w:sz w:val="24"/>
        </w:rPr>
        <w:t> </w:t>
      </w:r>
      <w:r>
        <w:rPr>
          <w:sz w:val="24"/>
        </w:rPr>
        <w:t>dispute.</w:t>
      </w:r>
    </w:p>
    <w:p>
      <w:pPr>
        <w:pStyle w:val="ListParagraph"/>
        <w:numPr>
          <w:ilvl w:val="2"/>
          <w:numId w:val="164"/>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has the function</w:t>
      </w:r>
      <w:r>
        <w:rPr>
          <w:spacing w:val="-1"/>
          <w:sz w:val="24"/>
        </w:rPr>
        <w:t> </w:t>
      </w:r>
      <w:r>
        <w:rPr>
          <w:sz w:val="24"/>
        </w:rPr>
        <w:t>of:</w:t>
      </w:r>
    </w:p>
    <w:p>
      <w:pPr>
        <w:pStyle w:val="ListParagraph"/>
        <w:numPr>
          <w:ilvl w:val="3"/>
          <w:numId w:val="164"/>
        </w:numPr>
        <w:tabs>
          <w:tab w:pos="2486" w:val="left" w:leader="none"/>
        </w:tabs>
        <w:spacing w:line="240" w:lineRule="auto" w:before="120" w:after="0"/>
        <w:ind w:left="2485" w:right="0" w:hanging="567"/>
        <w:jc w:val="both"/>
        <w:rPr>
          <w:sz w:val="24"/>
        </w:rPr>
      </w:pPr>
      <w:r>
        <w:rPr>
          <w:sz w:val="24"/>
        </w:rPr>
        <w:t>approving an </w:t>
      </w:r>
      <w:r>
        <w:rPr>
          <w:i/>
          <w:sz w:val="24"/>
        </w:rPr>
        <w:t>access policy </w:t>
      </w:r>
      <w:r>
        <w:rPr>
          <w:sz w:val="24"/>
        </w:rPr>
        <w:t>and variations to it;</w:t>
      </w:r>
      <w:r>
        <w:rPr>
          <w:spacing w:val="-1"/>
          <w:sz w:val="24"/>
        </w:rPr>
        <w:t> </w:t>
      </w:r>
      <w:r>
        <w:rPr>
          <w:sz w:val="24"/>
        </w:rPr>
        <w:t>and</w:t>
      </w:r>
    </w:p>
    <w:p>
      <w:pPr>
        <w:pStyle w:val="ListParagraph"/>
        <w:numPr>
          <w:ilvl w:val="3"/>
          <w:numId w:val="164"/>
        </w:numPr>
        <w:tabs>
          <w:tab w:pos="2486" w:val="left" w:leader="none"/>
        </w:tabs>
        <w:spacing w:line="240" w:lineRule="auto" w:before="120" w:after="0"/>
        <w:ind w:left="2485" w:right="0" w:hanging="567"/>
        <w:jc w:val="both"/>
        <w:rPr>
          <w:sz w:val="24"/>
        </w:rPr>
      </w:pPr>
      <w:r>
        <w:rPr>
          <w:sz w:val="24"/>
        </w:rPr>
        <w:t>enforcing compliance with an </w:t>
      </w:r>
      <w:r>
        <w:rPr>
          <w:i/>
          <w:sz w:val="24"/>
        </w:rPr>
        <w:t>access</w:t>
      </w:r>
      <w:r>
        <w:rPr>
          <w:i/>
          <w:spacing w:val="-2"/>
          <w:sz w:val="24"/>
        </w:rPr>
        <w:t> </w:t>
      </w:r>
      <w:r>
        <w:rPr>
          <w:i/>
          <w:sz w:val="24"/>
        </w:rPr>
        <w:t>policy</w:t>
      </w:r>
      <w:r>
        <w:rPr>
          <w:sz w:val="24"/>
        </w:rPr>
        <w:t>.</w:t>
      </w:r>
    </w:p>
    <w:p>
      <w:pPr>
        <w:pStyle w:val="ListParagraph"/>
        <w:numPr>
          <w:ilvl w:val="2"/>
          <w:numId w:val="164"/>
        </w:numPr>
        <w:tabs>
          <w:tab w:pos="1919" w:val="left" w:leader="none"/>
        </w:tabs>
        <w:spacing w:line="240" w:lineRule="auto" w:before="120" w:after="0"/>
        <w:ind w:left="1919" w:right="414" w:hanging="567"/>
        <w:jc w:val="both"/>
        <w:rPr>
          <w:sz w:val="24"/>
        </w:rPr>
      </w:pPr>
      <w:r>
        <w:rPr>
          <w:sz w:val="24"/>
        </w:rPr>
        <w:t>Within 30 days of an asset being classified as a </w:t>
      </w:r>
      <w:r>
        <w:rPr>
          <w:i/>
          <w:sz w:val="24"/>
        </w:rPr>
        <w:t>large dedicated connection </w:t>
      </w:r>
      <w:r>
        <w:rPr>
          <w:i/>
          <w:sz w:val="24"/>
        </w:rPr>
        <w:t>asset </w:t>
      </w:r>
      <w:r>
        <w:rPr>
          <w:sz w:val="24"/>
        </w:rPr>
        <w:t>under in accordance with </w:t>
      </w:r>
      <w:r>
        <w:rPr>
          <w:i/>
          <w:sz w:val="24"/>
        </w:rPr>
        <w:t>jurisdictional electricity legislation</w:t>
      </w:r>
      <w:r>
        <w:rPr>
          <w:sz w:val="24"/>
        </w:rPr>
        <w:t>, a </w:t>
      </w:r>
      <w:r>
        <w:rPr>
          <w:i/>
          <w:sz w:val="24"/>
        </w:rPr>
        <w:t>Dedicated Connection Asset Service Provider </w:t>
      </w:r>
      <w:r>
        <w:rPr>
          <w:sz w:val="24"/>
        </w:rPr>
        <w:t>must submit an </w:t>
      </w:r>
      <w:r>
        <w:rPr>
          <w:i/>
          <w:sz w:val="24"/>
        </w:rPr>
        <w:t>access policy </w:t>
      </w:r>
      <w:r>
        <w:rPr>
          <w:sz w:val="24"/>
        </w:rPr>
        <w:t>for approval by the</w:t>
      </w:r>
      <w:r>
        <w:rPr>
          <w:spacing w:val="-1"/>
          <w:sz w:val="24"/>
        </w:rPr>
        <w:t> </w:t>
      </w:r>
      <w:r>
        <w:rPr>
          <w:i/>
          <w:sz w:val="24"/>
        </w:rPr>
        <w:t>AER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w:t>
      </w:r>
      <w:r>
        <w:rPr>
          <w:i/>
          <w:sz w:val="20"/>
        </w:rPr>
        <w:t>jurisdiction electricity legislation </w:t>
      </w:r>
      <w:r>
        <w:rPr>
          <w:sz w:val="20"/>
        </w:rPr>
        <w:t>that is relevant to the classification of a </w:t>
      </w:r>
      <w:r>
        <w:rPr>
          <w:i/>
          <w:sz w:val="20"/>
        </w:rPr>
        <w:t>dedicated </w:t>
      </w:r>
      <w:r>
        <w:rPr>
          <w:i/>
          <w:sz w:val="20"/>
        </w:rPr>
        <w:t>connection asset </w:t>
      </w:r>
      <w:r>
        <w:rPr>
          <w:sz w:val="20"/>
        </w:rPr>
        <w:t>is the </w:t>
      </w:r>
      <w:r>
        <w:rPr>
          <w:i/>
          <w:sz w:val="20"/>
        </w:rPr>
        <w:t>Electricity Reform Act 2000 </w:t>
      </w:r>
      <w:r>
        <w:rPr>
          <w:sz w:val="20"/>
        </w:rPr>
        <w:t>(NT) and the </w:t>
      </w:r>
      <w:r>
        <w:rPr>
          <w:i/>
          <w:sz w:val="20"/>
        </w:rPr>
        <w:t>National Electricity </w:t>
      </w:r>
      <w:r>
        <w:rPr>
          <w:i/>
          <w:sz w:val="20"/>
        </w:rPr>
        <w:t>(Northern Territory) (National Uniform Legislation) Act 2015</w:t>
      </w:r>
      <w:r>
        <w:rPr>
          <w:sz w:val="20"/>
        </w:rPr>
        <w:t>.</w:t>
      </w:r>
    </w:p>
    <w:p>
      <w:pPr>
        <w:pStyle w:val="ListParagraph"/>
        <w:numPr>
          <w:ilvl w:val="2"/>
          <w:numId w:val="164"/>
        </w:numPr>
        <w:tabs>
          <w:tab w:pos="1919" w:val="left" w:leader="none"/>
        </w:tabs>
        <w:spacing w:line="240" w:lineRule="auto" w:before="120" w:after="0"/>
        <w:ind w:left="1919" w:right="415" w:hanging="567"/>
        <w:jc w:val="both"/>
        <w:rPr>
          <w:sz w:val="24"/>
        </w:rPr>
      </w:pPr>
      <w:r>
        <w:rPr>
          <w:sz w:val="24"/>
        </w:rPr>
        <w:t>A </w:t>
      </w:r>
      <w:r>
        <w:rPr>
          <w:i/>
          <w:sz w:val="24"/>
        </w:rPr>
        <w:t>Dedicated Connection Asset Service Provider </w:t>
      </w:r>
      <w:r>
        <w:rPr>
          <w:sz w:val="24"/>
        </w:rPr>
        <w:t>may seek approval of a variation to an </w:t>
      </w:r>
      <w:r>
        <w:rPr>
          <w:i/>
          <w:sz w:val="24"/>
        </w:rPr>
        <w:t>access policy </w:t>
      </w:r>
      <w:r>
        <w:rPr>
          <w:sz w:val="24"/>
        </w:rPr>
        <w:t>from the </w:t>
      </w:r>
      <w:r>
        <w:rPr>
          <w:i/>
          <w:sz w:val="24"/>
        </w:rPr>
        <w:t>AER </w:t>
      </w:r>
      <w:r>
        <w:rPr>
          <w:sz w:val="24"/>
        </w:rPr>
        <w:t>at any time and must do so where required to keep the </w:t>
      </w:r>
      <w:r>
        <w:rPr>
          <w:i/>
          <w:sz w:val="24"/>
        </w:rPr>
        <w:t>access policy </w:t>
      </w:r>
      <w:r>
        <w:rPr>
          <w:sz w:val="24"/>
        </w:rPr>
        <w:t>up to</w:t>
      </w:r>
      <w:r>
        <w:rPr>
          <w:spacing w:val="-3"/>
          <w:sz w:val="24"/>
        </w:rPr>
        <w:t> </w:t>
      </w:r>
      <w:r>
        <w:rPr>
          <w:sz w:val="24"/>
        </w:rPr>
        <w:t>date.</w:t>
      </w:r>
    </w:p>
    <w:p>
      <w:pPr>
        <w:pStyle w:val="ListParagraph"/>
        <w:numPr>
          <w:ilvl w:val="2"/>
          <w:numId w:val="164"/>
        </w:numPr>
        <w:tabs>
          <w:tab w:pos="1920" w:val="left" w:leader="none"/>
        </w:tabs>
        <w:spacing w:line="240" w:lineRule="auto" w:before="120" w:after="0"/>
        <w:ind w:left="1919" w:right="415" w:hanging="567"/>
        <w:jc w:val="both"/>
        <w:rPr>
          <w:sz w:val="24"/>
        </w:rPr>
      </w:pPr>
      <w:r>
        <w:rPr>
          <w:sz w:val="24"/>
        </w:rPr>
        <w:t>The </w:t>
      </w:r>
      <w:r>
        <w:rPr>
          <w:i/>
          <w:sz w:val="24"/>
        </w:rPr>
        <w:t>AER </w:t>
      </w:r>
      <w:r>
        <w:rPr>
          <w:sz w:val="24"/>
        </w:rPr>
        <w:t>must approve an </w:t>
      </w:r>
      <w:r>
        <w:rPr>
          <w:i/>
          <w:sz w:val="24"/>
        </w:rPr>
        <w:t>access policy</w:t>
      </w:r>
      <w:r>
        <w:rPr>
          <w:sz w:val="24"/>
        </w:rPr>
        <w:t>, or a variation to an </w:t>
      </w:r>
      <w:r>
        <w:rPr>
          <w:i/>
          <w:sz w:val="24"/>
        </w:rPr>
        <w:t>access policy</w:t>
      </w:r>
      <w:r>
        <w:rPr>
          <w:sz w:val="24"/>
        </w:rPr>
        <w:t>, if it is reasonably satisfied that it complies with paragraph (b). If the </w:t>
      </w:r>
      <w:r>
        <w:rPr>
          <w:i/>
          <w:sz w:val="24"/>
        </w:rPr>
        <w:t>AER </w:t>
      </w:r>
      <w:r>
        <w:rPr>
          <w:sz w:val="24"/>
        </w:rPr>
        <w:t>does not approve an </w:t>
      </w:r>
      <w:r>
        <w:rPr>
          <w:i/>
          <w:sz w:val="24"/>
        </w:rPr>
        <w:t>access policy </w:t>
      </w:r>
      <w:r>
        <w:rPr>
          <w:sz w:val="24"/>
        </w:rPr>
        <w:t>submitted under paragraph (d), the </w:t>
      </w:r>
      <w:r>
        <w:rPr>
          <w:i/>
          <w:sz w:val="24"/>
        </w:rPr>
        <w:t>AER </w:t>
      </w:r>
      <w:r>
        <w:rPr>
          <w:sz w:val="24"/>
        </w:rPr>
        <w:t>must notify of the changes required for it to be approved. If an </w:t>
      </w:r>
      <w:r>
        <w:rPr>
          <w:i/>
          <w:sz w:val="24"/>
        </w:rPr>
        <w:t>access policy </w:t>
      </w:r>
      <w:r>
        <w:rPr>
          <w:sz w:val="24"/>
        </w:rPr>
        <w:t>is not approved within 6 months of the </w:t>
      </w:r>
      <w:r>
        <w:rPr>
          <w:i/>
          <w:sz w:val="24"/>
        </w:rPr>
        <w:t>AER's </w:t>
      </w:r>
      <w:r>
        <w:rPr>
          <w:sz w:val="24"/>
        </w:rPr>
        <w:t>notification of required changes, the </w:t>
      </w:r>
      <w:r>
        <w:rPr>
          <w:i/>
          <w:sz w:val="24"/>
        </w:rPr>
        <w:t>AER </w:t>
      </w:r>
      <w:r>
        <w:rPr>
          <w:sz w:val="24"/>
        </w:rPr>
        <w:t>may itself propose an </w:t>
      </w:r>
      <w:r>
        <w:rPr>
          <w:i/>
          <w:sz w:val="24"/>
        </w:rPr>
        <w:t>access</w:t>
      </w:r>
      <w:r>
        <w:rPr>
          <w:i/>
          <w:spacing w:val="-2"/>
          <w:sz w:val="24"/>
        </w:rPr>
        <w:t> </w:t>
      </w:r>
      <w:r>
        <w:rPr>
          <w:i/>
          <w:sz w:val="24"/>
        </w:rPr>
        <w:t>policy</w:t>
      </w:r>
      <w:r>
        <w:rPr>
          <w:sz w:val="24"/>
        </w:rPr>
        <w:t>.</w:t>
      </w:r>
    </w:p>
    <w:p>
      <w:pPr>
        <w:pStyle w:val="ListParagraph"/>
        <w:numPr>
          <w:ilvl w:val="2"/>
          <w:numId w:val="164"/>
        </w:numPr>
        <w:tabs>
          <w:tab w:pos="1919" w:val="left" w:leader="none"/>
        </w:tabs>
        <w:spacing w:line="240" w:lineRule="auto" w:before="120" w:after="0"/>
        <w:ind w:left="1918" w:right="0" w:hanging="567"/>
        <w:jc w:val="both"/>
        <w:rPr>
          <w:sz w:val="24"/>
        </w:rPr>
      </w:pPr>
      <w:r>
        <w:rPr>
          <w:sz w:val="24"/>
        </w:rPr>
        <w:t>The </w:t>
      </w:r>
      <w:r>
        <w:rPr>
          <w:i/>
          <w:sz w:val="24"/>
        </w:rPr>
        <w:t>AER's </w:t>
      </w:r>
      <w:r>
        <w:rPr>
          <w:sz w:val="24"/>
        </w:rPr>
        <w:t>proposal for an </w:t>
      </w:r>
      <w:r>
        <w:rPr>
          <w:i/>
          <w:sz w:val="24"/>
        </w:rPr>
        <w:t>access policy </w:t>
      </w:r>
      <w:r>
        <w:rPr>
          <w:sz w:val="24"/>
        </w:rPr>
        <w:t>is to be formulated with regard</w:t>
      </w:r>
      <w:r>
        <w:rPr>
          <w:spacing w:val="-3"/>
          <w:sz w:val="24"/>
        </w:rPr>
        <w:t> </w:t>
      </w:r>
      <w:r>
        <w:rPr>
          <w:sz w:val="24"/>
        </w:rPr>
        <w:t>to:</w:t>
      </w:r>
    </w:p>
    <w:p>
      <w:pPr>
        <w:pStyle w:val="ListParagraph"/>
        <w:numPr>
          <w:ilvl w:val="3"/>
          <w:numId w:val="164"/>
        </w:numPr>
        <w:tabs>
          <w:tab w:pos="2485" w:val="left" w:leader="none"/>
          <w:tab w:pos="2486" w:val="left" w:leader="none"/>
        </w:tabs>
        <w:spacing w:line="240" w:lineRule="auto" w:before="120" w:after="0"/>
        <w:ind w:left="2485" w:right="0" w:hanging="567"/>
        <w:jc w:val="left"/>
        <w:rPr>
          <w:sz w:val="24"/>
        </w:rPr>
      </w:pPr>
      <w:r>
        <w:rPr>
          <w:sz w:val="24"/>
        </w:rPr>
        <w:t>the minimum requirements set out in paragraph</w:t>
      </w:r>
      <w:r>
        <w:rPr>
          <w:spacing w:val="-2"/>
          <w:sz w:val="24"/>
        </w:rPr>
        <w:t> </w:t>
      </w:r>
      <w:r>
        <w:rPr>
          <w:sz w:val="24"/>
        </w:rPr>
        <w:t>(b);</w:t>
      </w:r>
    </w:p>
    <w:p>
      <w:pPr>
        <w:pStyle w:val="ListParagraph"/>
        <w:numPr>
          <w:ilvl w:val="3"/>
          <w:numId w:val="164"/>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Dedicated Connection Asset Service Provider's </w:t>
      </w:r>
      <w:r>
        <w:rPr>
          <w:sz w:val="24"/>
        </w:rPr>
        <w:t>proposed </w:t>
      </w:r>
      <w:r>
        <w:rPr>
          <w:i/>
          <w:sz w:val="24"/>
        </w:rPr>
        <w:t>access </w:t>
      </w:r>
      <w:r>
        <w:rPr>
          <w:i/>
          <w:sz w:val="24"/>
        </w:rPr>
        <w:t>policy</w:t>
      </w:r>
      <w:r>
        <w:rPr>
          <w:sz w:val="24"/>
        </w:rPr>
        <w:t>;</w:t>
      </w:r>
      <w:r>
        <w:rPr>
          <w:spacing w:val="-1"/>
          <w:sz w:val="24"/>
        </w:rPr>
        <w:t> </w:t>
      </w:r>
      <w:r>
        <w:rPr>
          <w:sz w:val="24"/>
        </w:rPr>
        <w:t>and</w:t>
      </w:r>
    </w:p>
    <w:p>
      <w:pPr>
        <w:pStyle w:val="ListParagraph"/>
        <w:numPr>
          <w:ilvl w:val="3"/>
          <w:numId w:val="164"/>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AER's </w:t>
      </w:r>
      <w:r>
        <w:rPr>
          <w:sz w:val="24"/>
        </w:rPr>
        <w:t>reasons for refusing to approve the proposed </w:t>
      </w:r>
      <w:r>
        <w:rPr>
          <w:i/>
          <w:sz w:val="24"/>
        </w:rPr>
        <w:t>access</w:t>
      </w:r>
      <w:r>
        <w:rPr>
          <w:i/>
          <w:spacing w:val="-3"/>
          <w:sz w:val="24"/>
        </w:rPr>
        <w:t> </w:t>
      </w:r>
      <w:r>
        <w:rPr>
          <w:i/>
          <w:sz w:val="24"/>
        </w:rPr>
        <w:t>policy</w:t>
      </w:r>
      <w:r>
        <w:rPr>
          <w:sz w:val="24"/>
        </w:rPr>
        <w:t>.</w:t>
      </w:r>
    </w:p>
    <w:p>
      <w:pPr>
        <w:pStyle w:val="ListParagraph"/>
        <w:numPr>
          <w:ilvl w:val="2"/>
          <w:numId w:val="16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 </w:t>
      </w:r>
      <w:r>
        <w:rPr>
          <w:sz w:val="24"/>
        </w:rPr>
        <w:t>may (but is not obliged to) consult on its</w:t>
      </w:r>
      <w:r>
        <w:rPr>
          <w:spacing w:val="-2"/>
          <w:sz w:val="24"/>
        </w:rPr>
        <w:t> </w:t>
      </w:r>
      <w:r>
        <w:rPr>
          <w:sz w:val="24"/>
        </w:rPr>
        <w:t>proposal.</w:t>
      </w:r>
    </w:p>
    <w:p>
      <w:pPr>
        <w:pStyle w:val="ListParagraph"/>
        <w:numPr>
          <w:ilvl w:val="2"/>
          <w:numId w:val="164"/>
        </w:numPr>
        <w:tabs>
          <w:tab w:pos="1918" w:val="left" w:leader="none"/>
          <w:tab w:pos="1919" w:val="left" w:leader="none"/>
        </w:tabs>
        <w:spacing w:line="240" w:lineRule="auto" w:before="120" w:after="0"/>
        <w:ind w:left="1919" w:right="415" w:hanging="567"/>
        <w:jc w:val="left"/>
        <w:rPr>
          <w:sz w:val="24"/>
        </w:rPr>
      </w:pPr>
      <w:r>
        <w:rPr>
          <w:sz w:val="24"/>
        </w:rPr>
        <w:t>If the </w:t>
      </w:r>
      <w:r>
        <w:rPr>
          <w:i/>
          <w:sz w:val="24"/>
        </w:rPr>
        <w:t>AER </w:t>
      </w:r>
      <w:r>
        <w:rPr>
          <w:sz w:val="24"/>
        </w:rPr>
        <w:t>decides to approve an </w:t>
      </w:r>
      <w:r>
        <w:rPr>
          <w:i/>
          <w:sz w:val="24"/>
        </w:rPr>
        <w:t>access policy </w:t>
      </w:r>
      <w:r>
        <w:rPr>
          <w:sz w:val="24"/>
        </w:rPr>
        <w:t>proposed by the </w:t>
      </w:r>
      <w:r>
        <w:rPr>
          <w:i/>
          <w:sz w:val="24"/>
        </w:rPr>
        <w:t>AER</w:t>
      </w:r>
      <w:r>
        <w:rPr>
          <w:sz w:val="24"/>
        </w:rPr>
        <w:t>, it must:</w:t>
      </w:r>
    </w:p>
    <w:p>
      <w:pPr>
        <w:pStyle w:val="ListParagraph"/>
        <w:numPr>
          <w:ilvl w:val="3"/>
          <w:numId w:val="164"/>
        </w:numPr>
        <w:tabs>
          <w:tab w:pos="2485" w:val="left" w:leader="none"/>
          <w:tab w:pos="2486" w:val="left" w:leader="none"/>
        </w:tabs>
        <w:spacing w:line="240" w:lineRule="auto" w:before="120" w:after="0"/>
        <w:ind w:left="2486" w:right="415" w:hanging="567"/>
        <w:jc w:val="left"/>
        <w:rPr>
          <w:sz w:val="24"/>
        </w:rPr>
      </w:pPr>
      <w:r>
        <w:rPr>
          <w:sz w:val="24"/>
        </w:rPr>
        <w:t>give a copy of the decision to the </w:t>
      </w:r>
      <w:r>
        <w:rPr>
          <w:i/>
          <w:sz w:val="24"/>
        </w:rPr>
        <w:t>Dedicated Connection Asset Service </w:t>
      </w:r>
      <w:r>
        <w:rPr>
          <w:i/>
          <w:sz w:val="24"/>
        </w:rPr>
        <w:t>Provider</w:t>
      </w:r>
      <w:r>
        <w:rPr>
          <w:sz w:val="24"/>
        </w:rPr>
        <w:t>;</w:t>
      </w:r>
      <w:r>
        <w:rPr>
          <w:spacing w:val="-1"/>
          <w:sz w:val="24"/>
        </w:rPr>
        <w:t> </w:t>
      </w:r>
      <w:r>
        <w:rPr>
          <w:sz w:val="24"/>
        </w:rPr>
        <w:t>and</w:t>
      </w:r>
    </w:p>
    <w:p>
      <w:pPr>
        <w:pStyle w:val="ListParagraph"/>
        <w:numPr>
          <w:ilvl w:val="3"/>
          <w:numId w:val="164"/>
        </w:numPr>
        <w:tabs>
          <w:tab w:pos="2485" w:val="left" w:leader="none"/>
          <w:tab w:pos="2486" w:val="left" w:leader="none"/>
        </w:tabs>
        <w:spacing w:line="240" w:lineRule="auto" w:before="120" w:after="0"/>
        <w:ind w:left="2486" w:right="415" w:hanging="567"/>
        <w:jc w:val="left"/>
        <w:rPr>
          <w:sz w:val="24"/>
        </w:rPr>
      </w:pPr>
      <w:r>
        <w:rPr>
          <w:i/>
          <w:sz w:val="24"/>
        </w:rPr>
        <w:t>publish </w:t>
      </w:r>
      <w:r>
        <w:rPr>
          <w:sz w:val="24"/>
        </w:rPr>
        <w:t>the decision on the </w:t>
      </w:r>
      <w:r>
        <w:rPr>
          <w:i/>
          <w:sz w:val="24"/>
        </w:rPr>
        <w:t>AER's </w:t>
      </w:r>
      <w:r>
        <w:rPr>
          <w:sz w:val="24"/>
        </w:rPr>
        <w:t>website and make it available for inspection, during business hours, at the </w:t>
      </w:r>
      <w:r>
        <w:rPr>
          <w:i/>
          <w:sz w:val="24"/>
        </w:rPr>
        <w:t>AER's </w:t>
      </w:r>
      <w:r>
        <w:rPr>
          <w:sz w:val="24"/>
        </w:rPr>
        <w:t>public</w:t>
      </w:r>
      <w:r>
        <w:rPr>
          <w:spacing w:val="-2"/>
          <w:sz w:val="24"/>
        </w:rPr>
        <w:t> </w:t>
      </w:r>
      <w:r>
        <w:rPr>
          <w:sz w:val="24"/>
        </w:rPr>
        <w:t>offices.</w:t>
      </w:r>
    </w:p>
    <w:p>
      <w:pPr>
        <w:pStyle w:val="ListParagraph"/>
        <w:numPr>
          <w:ilvl w:val="2"/>
          <w:numId w:val="164"/>
        </w:numPr>
        <w:tabs>
          <w:tab w:pos="1918" w:val="left" w:leader="none"/>
          <w:tab w:pos="1919" w:val="left" w:leader="none"/>
        </w:tabs>
        <w:spacing w:line="240" w:lineRule="auto" w:before="120" w:after="0"/>
        <w:ind w:left="1918" w:right="0" w:hanging="567"/>
        <w:jc w:val="left"/>
        <w:rPr>
          <w:sz w:val="24"/>
        </w:rPr>
      </w:pPr>
      <w:r>
        <w:rPr>
          <w:sz w:val="24"/>
        </w:rPr>
        <w:t>An</w:t>
      </w:r>
      <w:r>
        <w:rPr>
          <w:spacing w:val="39"/>
          <w:sz w:val="24"/>
        </w:rPr>
        <w:t> </w:t>
      </w:r>
      <w:r>
        <w:rPr>
          <w:i/>
          <w:sz w:val="24"/>
        </w:rPr>
        <w:t>access</w:t>
      </w:r>
      <w:r>
        <w:rPr>
          <w:i/>
          <w:spacing w:val="40"/>
          <w:sz w:val="24"/>
        </w:rPr>
        <w:t> </w:t>
      </w:r>
      <w:r>
        <w:rPr>
          <w:i/>
          <w:sz w:val="24"/>
        </w:rPr>
        <w:t>policy</w:t>
      </w:r>
      <w:r>
        <w:rPr>
          <w:sz w:val="24"/>
        </w:rPr>
        <w:t>,</w:t>
      </w:r>
      <w:r>
        <w:rPr>
          <w:spacing w:val="40"/>
          <w:sz w:val="24"/>
        </w:rPr>
        <w:t> </w:t>
      </w:r>
      <w:r>
        <w:rPr>
          <w:sz w:val="24"/>
        </w:rPr>
        <w:t>or</w:t>
      </w:r>
      <w:r>
        <w:rPr>
          <w:spacing w:val="40"/>
          <w:sz w:val="24"/>
        </w:rPr>
        <w:t> </w:t>
      </w:r>
      <w:r>
        <w:rPr>
          <w:sz w:val="24"/>
        </w:rPr>
        <w:t>a</w:t>
      </w:r>
      <w:r>
        <w:rPr>
          <w:spacing w:val="40"/>
          <w:sz w:val="24"/>
        </w:rPr>
        <w:t> </w:t>
      </w:r>
      <w:r>
        <w:rPr>
          <w:sz w:val="24"/>
        </w:rPr>
        <w:t>variation</w:t>
      </w:r>
      <w:r>
        <w:rPr>
          <w:spacing w:val="40"/>
          <w:sz w:val="24"/>
        </w:rPr>
        <w:t> </w:t>
      </w:r>
      <w:r>
        <w:rPr>
          <w:sz w:val="24"/>
        </w:rPr>
        <w:t>to</w:t>
      </w:r>
      <w:r>
        <w:rPr>
          <w:spacing w:val="39"/>
          <w:sz w:val="24"/>
        </w:rPr>
        <w:t> </w:t>
      </w:r>
      <w:r>
        <w:rPr>
          <w:sz w:val="24"/>
        </w:rPr>
        <w:t>it,</w:t>
      </w:r>
      <w:r>
        <w:rPr>
          <w:spacing w:val="40"/>
          <w:sz w:val="24"/>
        </w:rPr>
        <w:t> </w:t>
      </w:r>
      <w:r>
        <w:rPr>
          <w:sz w:val="24"/>
        </w:rPr>
        <w:t>takes</w:t>
      </w:r>
      <w:r>
        <w:rPr>
          <w:spacing w:val="40"/>
          <w:sz w:val="24"/>
        </w:rPr>
        <w:t> </w:t>
      </w:r>
      <w:r>
        <w:rPr>
          <w:sz w:val="24"/>
        </w:rPr>
        <w:t>effect</w:t>
      </w:r>
      <w:r>
        <w:rPr>
          <w:spacing w:val="40"/>
          <w:sz w:val="24"/>
        </w:rPr>
        <w:t> </w:t>
      </w:r>
      <w:r>
        <w:rPr>
          <w:sz w:val="24"/>
        </w:rPr>
        <w:t>on</w:t>
      </w:r>
      <w:r>
        <w:rPr>
          <w:spacing w:val="40"/>
          <w:sz w:val="24"/>
        </w:rPr>
        <w:t> </w:t>
      </w:r>
      <w:r>
        <w:rPr>
          <w:sz w:val="24"/>
        </w:rPr>
        <w:t>a</w:t>
      </w:r>
      <w:r>
        <w:rPr>
          <w:spacing w:val="40"/>
          <w:sz w:val="24"/>
        </w:rPr>
        <w:t> </w:t>
      </w:r>
      <w:r>
        <w:rPr>
          <w:sz w:val="24"/>
        </w:rPr>
        <w:t>date</w:t>
      </w:r>
      <w:r>
        <w:rPr>
          <w:spacing w:val="39"/>
          <w:sz w:val="24"/>
        </w:rPr>
        <w:t> </w:t>
      </w:r>
      <w:r>
        <w:rPr>
          <w:sz w:val="24"/>
        </w:rPr>
        <w:t>fixed</w:t>
      </w:r>
      <w:r>
        <w:rPr>
          <w:spacing w:val="40"/>
          <w:sz w:val="24"/>
        </w:rPr>
        <w:t> </w:t>
      </w:r>
      <w:r>
        <w:rPr>
          <w:sz w:val="24"/>
        </w:rPr>
        <w:t>in</w:t>
      </w:r>
      <w:r>
        <w:rPr>
          <w:spacing w:val="40"/>
          <w:sz w:val="24"/>
        </w:rPr>
        <w:t> </w:t>
      </w:r>
      <w:r>
        <w:rPr>
          <w:sz w:val="24"/>
        </w:rPr>
        <w:t>the</w:t>
      </w:r>
    </w:p>
    <w:p>
      <w:pPr>
        <w:spacing w:before="0"/>
        <w:ind w:left="1919" w:right="0" w:firstLine="0"/>
        <w:jc w:val="left"/>
        <w:rPr>
          <w:sz w:val="24"/>
        </w:rPr>
      </w:pPr>
      <w:r>
        <w:rPr>
          <w:i/>
          <w:sz w:val="24"/>
        </w:rPr>
        <w:t>AER's </w:t>
      </w:r>
      <w:r>
        <w:rPr>
          <w:sz w:val="24"/>
        </w:rPr>
        <w:t>decision to approve it.</w:t>
      </w:r>
    </w:p>
    <w:p>
      <w:pPr>
        <w:spacing w:after="0"/>
        <w:jc w:val="left"/>
        <w:rPr>
          <w:sz w:val="24"/>
        </w:rPr>
        <w:sectPr>
          <w:pgSz w:w="11910" w:h="16840"/>
          <w:pgMar w:header="686" w:footer="637" w:top="1320" w:bottom="820" w:left="1200" w:right="1000"/>
        </w:sectPr>
      </w:pPr>
    </w:p>
    <w:p>
      <w:pPr>
        <w:pStyle w:val="ListParagraph"/>
        <w:numPr>
          <w:ilvl w:val="2"/>
          <w:numId w:val="164"/>
        </w:numPr>
        <w:tabs>
          <w:tab w:pos="1919" w:val="left" w:leader="none"/>
        </w:tabs>
        <w:spacing w:line="240" w:lineRule="auto" w:before="83" w:after="0"/>
        <w:ind w:left="1919" w:right="414" w:hanging="567"/>
        <w:jc w:val="both"/>
        <w:rPr>
          <w:sz w:val="24"/>
        </w:rPr>
      </w:pPr>
      <w:r>
        <w:rPr>
          <w:sz w:val="24"/>
        </w:rPr>
        <w:t>A </w:t>
      </w:r>
      <w:r>
        <w:rPr>
          <w:i/>
          <w:sz w:val="24"/>
        </w:rPr>
        <w:t>Dedicated Connection Asset Service Provider </w:t>
      </w:r>
      <w:r>
        <w:rPr>
          <w:sz w:val="24"/>
        </w:rPr>
        <w:t>must report on requests for </w:t>
      </w:r>
      <w:r>
        <w:rPr>
          <w:i/>
          <w:sz w:val="24"/>
        </w:rPr>
        <w:t>connection </w:t>
      </w:r>
      <w:r>
        <w:rPr>
          <w:sz w:val="24"/>
        </w:rPr>
        <w:t>and access to a </w:t>
      </w:r>
      <w:r>
        <w:rPr>
          <w:i/>
          <w:sz w:val="24"/>
        </w:rPr>
        <w:t>large dedicated connection asset </w:t>
      </w:r>
      <w:r>
        <w:rPr>
          <w:sz w:val="24"/>
        </w:rPr>
        <w:t>to the </w:t>
      </w:r>
      <w:r>
        <w:rPr>
          <w:i/>
          <w:sz w:val="24"/>
        </w:rPr>
        <w:t>AER </w:t>
      </w:r>
      <w:r>
        <w:rPr>
          <w:sz w:val="24"/>
        </w:rPr>
        <w:t>when such requests are made and when an agreement for access is entered into, in the manner and form notified by the</w:t>
      </w:r>
      <w:r>
        <w:rPr>
          <w:spacing w:val="-3"/>
          <w:sz w:val="24"/>
        </w:rPr>
        <w:t> </w:t>
      </w:r>
      <w:r>
        <w:rPr>
          <w:i/>
          <w:sz w:val="24"/>
        </w:rPr>
        <w:t>AER</w:t>
      </w:r>
      <w:r>
        <w:rPr>
          <w:sz w:val="24"/>
        </w:rPr>
        <w:t>.</w:t>
      </w:r>
    </w:p>
    <w:p>
      <w:pPr>
        <w:pStyle w:val="ListParagraph"/>
        <w:numPr>
          <w:ilvl w:val="2"/>
          <w:numId w:val="164"/>
        </w:numPr>
        <w:tabs>
          <w:tab w:pos="1919" w:val="left" w:leader="none"/>
        </w:tabs>
        <w:spacing w:line="240" w:lineRule="auto" w:before="120" w:after="0"/>
        <w:ind w:left="1919" w:right="414" w:hanging="567"/>
        <w:jc w:val="both"/>
        <w:rPr>
          <w:sz w:val="24"/>
        </w:rPr>
      </w:pPr>
      <w:r>
        <w:rPr>
          <w:sz w:val="24"/>
        </w:rPr>
        <w:t>A </w:t>
      </w:r>
      <w:r>
        <w:rPr>
          <w:i/>
          <w:sz w:val="24"/>
        </w:rPr>
        <w:t>Dedicated Connection Asset Service Provider </w:t>
      </w:r>
      <w:r>
        <w:rPr>
          <w:sz w:val="24"/>
        </w:rPr>
        <w:t>or a person who is provided </w:t>
      </w:r>
      <w:r>
        <w:rPr>
          <w:i/>
          <w:sz w:val="24"/>
        </w:rPr>
        <w:t>large DCA services </w:t>
      </w:r>
      <w:r>
        <w:rPr>
          <w:sz w:val="24"/>
        </w:rPr>
        <w:t>must not engage in conduct for the purpose of preventing or hindering access to </w:t>
      </w:r>
      <w:r>
        <w:rPr>
          <w:i/>
          <w:sz w:val="24"/>
        </w:rPr>
        <w:t>large DCA</w:t>
      </w:r>
      <w:r>
        <w:rPr>
          <w:i/>
          <w:spacing w:val="-4"/>
          <w:sz w:val="24"/>
        </w:rPr>
        <w:t> </w:t>
      </w:r>
      <w:r>
        <w:rPr>
          <w:i/>
          <w:sz w:val="24"/>
        </w:rPr>
        <w:t>services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64"/>
        </w:numPr>
        <w:tabs>
          <w:tab w:pos="1919" w:val="left" w:leader="none"/>
        </w:tabs>
        <w:spacing w:line="240" w:lineRule="auto" w:before="120" w:after="0"/>
        <w:ind w:left="1919" w:right="414" w:hanging="567"/>
        <w:jc w:val="both"/>
        <w:rPr>
          <w:sz w:val="24"/>
        </w:rPr>
      </w:pPr>
      <w:r>
        <w:rPr>
          <w:sz w:val="24"/>
        </w:rPr>
        <w:t>A </w:t>
      </w:r>
      <w:r>
        <w:rPr>
          <w:i/>
          <w:sz w:val="24"/>
        </w:rPr>
        <w:t>Dedicated Connection Asset Service Provider </w:t>
      </w:r>
      <w:r>
        <w:rPr>
          <w:sz w:val="24"/>
        </w:rPr>
        <w:t>may, but is not required to, give access to an applicant for </w:t>
      </w:r>
      <w:r>
        <w:rPr>
          <w:i/>
          <w:sz w:val="24"/>
        </w:rPr>
        <w:t>large DCA services </w:t>
      </w:r>
      <w:r>
        <w:rPr>
          <w:sz w:val="24"/>
        </w:rPr>
        <w:t>if doing so would mean the </w:t>
      </w:r>
      <w:r>
        <w:rPr>
          <w:i/>
          <w:sz w:val="24"/>
        </w:rPr>
        <w:t>large dedicated connection asset </w:t>
      </w:r>
      <w:r>
        <w:rPr>
          <w:sz w:val="24"/>
        </w:rPr>
        <w:t>would no longer constitute a </w:t>
      </w:r>
      <w:r>
        <w:rPr>
          <w:i/>
          <w:sz w:val="24"/>
        </w:rPr>
        <w:t>dedicated </w:t>
      </w:r>
      <w:r>
        <w:rPr>
          <w:i/>
          <w:sz w:val="24"/>
        </w:rPr>
        <w:t>connection</w:t>
      </w:r>
      <w:r>
        <w:rPr>
          <w:i/>
          <w:spacing w:val="-1"/>
          <w:sz w:val="24"/>
        </w:rPr>
        <w:t> </w:t>
      </w:r>
      <w:r>
        <w:rPr>
          <w:i/>
          <w:sz w:val="24"/>
        </w:rPr>
        <w:t>asset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An example of where clause 5.2A.8(m) may apply is where the applicant for access to </w:t>
      </w:r>
      <w:r>
        <w:rPr>
          <w:i/>
          <w:sz w:val="20"/>
        </w:rPr>
        <w:t>large </w:t>
      </w:r>
      <w:r>
        <w:rPr>
          <w:i/>
          <w:sz w:val="20"/>
        </w:rPr>
        <w:t>DCA services </w:t>
      </w:r>
      <w:r>
        <w:rPr>
          <w:sz w:val="20"/>
        </w:rPr>
        <w:t>is a </w:t>
      </w:r>
      <w:r>
        <w:rPr>
          <w:i/>
          <w:sz w:val="20"/>
        </w:rPr>
        <w:t>Distribution Network Service Provider </w:t>
      </w:r>
      <w:r>
        <w:rPr>
          <w:sz w:val="20"/>
        </w:rPr>
        <w:t>or a person not seeking access to those services as part of the </w:t>
      </w:r>
      <w:r>
        <w:rPr>
          <w:i/>
          <w:sz w:val="20"/>
        </w:rPr>
        <w:t>identified user group</w:t>
      </w:r>
      <w:r>
        <w:rPr>
          <w:sz w:val="20"/>
        </w:rPr>
        <w:t>. The creation of a new </w:t>
      </w:r>
      <w:r>
        <w:rPr>
          <w:i/>
          <w:sz w:val="20"/>
        </w:rPr>
        <w:t>connection point </w:t>
      </w:r>
      <w:r>
        <w:rPr>
          <w:sz w:val="20"/>
        </w:rPr>
        <w:t>could change the nature of the services being provided by the </w:t>
      </w:r>
      <w:r>
        <w:rPr>
          <w:i/>
          <w:sz w:val="20"/>
        </w:rPr>
        <w:t>large dedicated connection </w:t>
      </w:r>
      <w:r>
        <w:rPr>
          <w:i/>
          <w:sz w:val="20"/>
        </w:rPr>
        <w:t>asset </w:t>
      </w:r>
      <w:r>
        <w:rPr>
          <w:sz w:val="20"/>
        </w:rPr>
        <w:t>and therefore change its regulatory treatment.</w:t>
      </w:r>
    </w:p>
    <w:p>
      <w:pPr>
        <w:pStyle w:val="BodyText"/>
        <w:spacing w:before="10"/>
        <w:ind w:firstLine="0"/>
        <w:jc w:val="left"/>
        <w:rPr>
          <w:sz w:val="20"/>
        </w:rPr>
      </w:pPr>
    </w:p>
    <w:p>
      <w:pPr>
        <w:pStyle w:val="Heading3"/>
        <w:numPr>
          <w:ilvl w:val="1"/>
          <w:numId w:val="164"/>
        </w:numPr>
        <w:tabs>
          <w:tab w:pos="1351" w:val="left" w:leader="none"/>
          <w:tab w:pos="1353" w:val="left" w:leader="none"/>
        </w:tabs>
        <w:spacing w:line="240" w:lineRule="auto" w:before="0" w:after="0"/>
        <w:ind w:left="1352" w:right="0" w:hanging="1135"/>
        <w:jc w:val="left"/>
      </w:pPr>
      <w:bookmarkStart w:name="5.3 Establishing or Modifying Connection" w:id="411"/>
      <w:bookmarkEnd w:id="411"/>
      <w:r>
        <w:rPr>
          <w:b w:val="0"/>
        </w:rPr>
      </w:r>
      <w:bookmarkStart w:name="_bookmark175" w:id="412"/>
      <w:bookmarkEnd w:id="412"/>
      <w:r>
        <w:rPr>
          <w:b w:val="0"/>
        </w:rPr>
      </w:r>
      <w:bookmarkStart w:name="_bookmark175" w:id="413"/>
      <w:bookmarkEnd w:id="413"/>
      <w:r>
        <w:rPr/>
        <w:t>Establ</w:t>
      </w:r>
      <w:r>
        <w:rPr/>
        <w:t>ishing or Modifying</w:t>
      </w:r>
      <w:r>
        <w:rPr>
          <w:spacing w:val="-1"/>
        </w:rPr>
        <w:t> </w:t>
      </w:r>
      <w:r>
        <w:rPr/>
        <w:t>Connection</w:t>
      </w:r>
    </w:p>
    <w:p>
      <w:pPr>
        <w:pStyle w:val="Heading4"/>
        <w:numPr>
          <w:ilvl w:val="2"/>
          <w:numId w:val="165"/>
        </w:numPr>
        <w:tabs>
          <w:tab w:pos="1351" w:val="left" w:leader="none"/>
          <w:tab w:pos="1352" w:val="left" w:leader="none"/>
        </w:tabs>
        <w:spacing w:line="240" w:lineRule="auto" w:before="240" w:after="0"/>
        <w:ind w:left="1351" w:right="0" w:hanging="1134"/>
        <w:jc w:val="left"/>
      </w:pPr>
      <w:bookmarkStart w:name="5.3.1 Process and procedures" w:id="414"/>
      <w:bookmarkEnd w:id="414"/>
      <w:r>
        <w:rPr>
          <w:b w:val="0"/>
        </w:rPr>
      </w:r>
      <w:bookmarkStart w:name="_bookmark176" w:id="415"/>
      <w:bookmarkEnd w:id="415"/>
      <w:r>
        <w:rPr>
          <w:b w:val="0"/>
        </w:rPr>
      </w:r>
      <w:bookmarkStart w:name="_bookmark176" w:id="416"/>
      <w:bookmarkEnd w:id="416"/>
      <w:r>
        <w:rPr/>
        <w:t>Process</w:t>
      </w:r>
      <w:r>
        <w:rPr/>
        <w:t> and</w:t>
      </w:r>
      <w:r>
        <w:rPr>
          <w:spacing w:val="-1"/>
        </w:rPr>
        <w:t> </w:t>
      </w:r>
      <w:r>
        <w:rPr/>
        <w:t>procedures</w:t>
      </w:r>
    </w:p>
    <w:p>
      <w:pPr>
        <w:pStyle w:val="ListParagraph"/>
        <w:numPr>
          <w:ilvl w:val="3"/>
          <w:numId w:val="165"/>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5.3:</w:t>
      </w:r>
    </w:p>
    <w:p>
      <w:pPr>
        <w:spacing w:before="120"/>
        <w:ind w:left="1919" w:right="413" w:firstLine="0"/>
        <w:jc w:val="both"/>
        <w:rPr>
          <w:sz w:val="24"/>
        </w:rPr>
      </w:pPr>
      <w:r>
        <w:rPr>
          <w:b/>
          <w:sz w:val="24"/>
        </w:rPr>
        <w:t>establish a connection </w:t>
      </w:r>
      <w:r>
        <w:rPr>
          <w:sz w:val="24"/>
        </w:rPr>
        <w:t>includes modify an existing </w:t>
      </w:r>
      <w:r>
        <w:rPr>
          <w:i/>
          <w:sz w:val="24"/>
        </w:rPr>
        <w:t>connection </w:t>
      </w:r>
      <w:r>
        <w:rPr>
          <w:sz w:val="24"/>
        </w:rPr>
        <w:t>or  alter </w:t>
      </w:r>
      <w:r>
        <w:rPr>
          <w:i/>
          <w:sz w:val="24"/>
        </w:rPr>
        <w:t>plant </w:t>
      </w:r>
      <w:r>
        <w:rPr>
          <w:sz w:val="24"/>
        </w:rPr>
        <w:t>but does not include alterations to </w:t>
      </w:r>
      <w:r>
        <w:rPr>
          <w:i/>
          <w:sz w:val="24"/>
        </w:rPr>
        <w:t>generating plant </w:t>
      </w:r>
      <w:r>
        <w:rPr>
          <w:sz w:val="24"/>
        </w:rPr>
        <w:t>in the circumstances set out in clause</w:t>
      </w:r>
      <w:r>
        <w:rPr>
          <w:spacing w:val="-2"/>
          <w:sz w:val="24"/>
        </w:rPr>
        <w:t> </w:t>
      </w:r>
      <w:r>
        <w:rPr>
          <w:sz w:val="24"/>
        </w:rPr>
        <w:t>5.3.9.</w:t>
      </w:r>
    </w:p>
    <w:p>
      <w:pPr>
        <w:pStyle w:val="ListParagraph"/>
        <w:numPr>
          <w:ilvl w:val="3"/>
          <w:numId w:val="165"/>
        </w:numPr>
        <w:tabs>
          <w:tab w:pos="1919" w:val="left" w:leader="none"/>
        </w:tabs>
        <w:spacing w:line="240" w:lineRule="auto" w:before="120" w:after="0"/>
        <w:ind w:left="1919" w:right="415" w:hanging="567"/>
        <w:jc w:val="both"/>
        <w:rPr>
          <w:sz w:val="24"/>
        </w:rPr>
      </w:pPr>
      <w:r>
        <w:rPr>
          <w:sz w:val="24"/>
        </w:rPr>
        <w:t>The following persons wishing to establish a </w:t>
      </w:r>
      <w:r>
        <w:rPr>
          <w:i/>
          <w:sz w:val="24"/>
        </w:rPr>
        <w:t>connection </w:t>
      </w:r>
      <w:r>
        <w:rPr>
          <w:sz w:val="24"/>
        </w:rPr>
        <w:t>to a </w:t>
      </w:r>
      <w:r>
        <w:rPr>
          <w:i/>
          <w:sz w:val="24"/>
        </w:rPr>
        <w:t>network </w:t>
      </w:r>
      <w:r>
        <w:rPr>
          <w:sz w:val="24"/>
        </w:rPr>
        <w:t>must follow the procedures in this rule</w:t>
      </w:r>
      <w:r>
        <w:rPr>
          <w:spacing w:val="-1"/>
          <w:sz w:val="24"/>
        </w:rPr>
        <w:t> </w:t>
      </w:r>
      <w:r>
        <w:rPr>
          <w:sz w:val="24"/>
        </w:rPr>
        <w:t>5.3:</w:t>
      </w:r>
    </w:p>
    <w:p>
      <w:pPr>
        <w:pStyle w:val="ListParagraph"/>
        <w:numPr>
          <w:ilvl w:val="4"/>
          <w:numId w:val="165"/>
        </w:numPr>
        <w:tabs>
          <w:tab w:pos="2486" w:val="left" w:leader="none"/>
        </w:tabs>
        <w:spacing w:line="240" w:lineRule="auto" w:before="120" w:after="0"/>
        <w:ind w:left="2485" w:right="0" w:hanging="567"/>
        <w:jc w:val="both"/>
        <w:rPr>
          <w:sz w:val="24"/>
        </w:rPr>
      </w:pPr>
      <w:r>
        <w:rPr>
          <w:sz w:val="24"/>
        </w:rPr>
        <w:t>a </w:t>
      </w:r>
      <w:r>
        <w:rPr>
          <w:i/>
          <w:sz w:val="24"/>
        </w:rPr>
        <w:t>Registered</w:t>
      </w:r>
      <w:r>
        <w:rPr>
          <w:i/>
          <w:spacing w:val="-1"/>
          <w:sz w:val="24"/>
        </w:rPr>
        <w:t> </w:t>
      </w:r>
      <w:r>
        <w:rPr>
          <w:i/>
          <w:sz w:val="24"/>
        </w:rPr>
        <w:t>Participant</w:t>
      </w:r>
      <w:r>
        <w:rPr>
          <w:sz w:val="24"/>
        </w:rPr>
        <w:t>;</w:t>
      </w:r>
    </w:p>
    <w:p>
      <w:pPr>
        <w:pStyle w:val="ListParagraph"/>
        <w:numPr>
          <w:ilvl w:val="4"/>
          <w:numId w:val="165"/>
        </w:numPr>
        <w:tabs>
          <w:tab w:pos="2486" w:val="left" w:leader="none"/>
        </w:tabs>
        <w:spacing w:line="240" w:lineRule="auto" w:before="120" w:after="0"/>
        <w:ind w:left="2485" w:right="0" w:hanging="567"/>
        <w:jc w:val="both"/>
        <w:rPr>
          <w:sz w:val="24"/>
        </w:rPr>
      </w:pPr>
      <w:r>
        <w:rPr>
          <w:sz w:val="24"/>
        </w:rPr>
        <w:t>a person intending to become a </w:t>
      </w:r>
      <w:r>
        <w:rPr>
          <w:i/>
          <w:sz w:val="24"/>
        </w:rPr>
        <w:t>Registered</w:t>
      </w:r>
      <w:r>
        <w:rPr>
          <w:i/>
          <w:spacing w:val="-1"/>
          <w:sz w:val="24"/>
        </w:rPr>
        <w:t> </w:t>
      </w:r>
      <w:r>
        <w:rPr>
          <w:i/>
          <w:sz w:val="24"/>
        </w:rPr>
        <w:t>Participant</w:t>
      </w:r>
      <w:r>
        <w:rPr>
          <w:sz w:val="24"/>
        </w:rPr>
        <w:t>;</w:t>
      </w:r>
    </w:p>
    <w:p>
      <w:pPr>
        <w:pStyle w:val="ListParagraph"/>
        <w:numPr>
          <w:ilvl w:val="4"/>
          <w:numId w:val="165"/>
        </w:numPr>
        <w:tabs>
          <w:tab w:pos="2486" w:val="left" w:leader="none"/>
        </w:tabs>
        <w:spacing w:line="240" w:lineRule="auto" w:before="120" w:after="0"/>
        <w:ind w:left="2486" w:right="415" w:hanging="567"/>
        <w:jc w:val="both"/>
        <w:rPr>
          <w:sz w:val="24"/>
        </w:rPr>
      </w:pPr>
      <w:r>
        <w:rPr>
          <w:sz w:val="24"/>
        </w:rPr>
        <w:t>a person who is covered by an exemption from the requirement to hold a licence for operating in the electricity supply industry for a </w:t>
      </w:r>
      <w:r>
        <w:rPr>
          <w:i/>
          <w:sz w:val="24"/>
        </w:rPr>
        <w:t>generating plant connecting </w:t>
      </w:r>
      <w:r>
        <w:rPr>
          <w:sz w:val="24"/>
        </w:rPr>
        <w:t>to a </w:t>
      </w:r>
      <w:r>
        <w:rPr>
          <w:i/>
          <w:sz w:val="24"/>
        </w:rPr>
        <w:t>transmission network </w:t>
      </w:r>
      <w:r>
        <w:rPr>
          <w:sz w:val="24"/>
        </w:rPr>
        <w:t>or a </w:t>
      </w:r>
      <w:r>
        <w:rPr>
          <w:i/>
          <w:sz w:val="24"/>
        </w:rPr>
        <w:t>load </w:t>
      </w:r>
      <w:r>
        <w:rPr>
          <w:i/>
          <w:sz w:val="24"/>
        </w:rPr>
        <w:t>connecting </w:t>
      </w:r>
      <w:r>
        <w:rPr>
          <w:sz w:val="24"/>
        </w:rPr>
        <w:t>to a </w:t>
      </w:r>
      <w:r>
        <w:rPr>
          <w:i/>
          <w:sz w:val="24"/>
        </w:rPr>
        <w:t>transmission</w:t>
      </w:r>
      <w:r>
        <w:rPr>
          <w:i/>
          <w:spacing w:val="-1"/>
          <w:sz w:val="24"/>
        </w:rPr>
        <w:t> </w:t>
      </w:r>
      <w:r>
        <w:rPr>
          <w:i/>
          <w:sz w:val="24"/>
        </w:rPr>
        <w:t>network</w:t>
      </w:r>
      <w:r>
        <w:rPr>
          <w:sz w:val="24"/>
        </w:rPr>
        <w:t>;</w:t>
      </w:r>
    </w:p>
    <w:p>
      <w:pPr>
        <w:pStyle w:val="ListParagraph"/>
        <w:numPr>
          <w:ilvl w:val="4"/>
          <w:numId w:val="165"/>
        </w:numPr>
        <w:tabs>
          <w:tab w:pos="2486" w:val="left" w:leader="none"/>
        </w:tabs>
        <w:spacing w:line="240" w:lineRule="auto" w:before="120" w:after="0"/>
        <w:ind w:left="2486" w:right="415" w:hanging="567"/>
        <w:jc w:val="both"/>
        <w:rPr>
          <w:sz w:val="24"/>
        </w:rPr>
      </w:pPr>
      <w:r>
        <w:rPr>
          <w:sz w:val="24"/>
        </w:rPr>
        <w:t>a person seeking to establish a </w:t>
      </w:r>
      <w:r>
        <w:rPr>
          <w:i/>
          <w:sz w:val="24"/>
        </w:rPr>
        <w:t>connection </w:t>
      </w:r>
      <w:r>
        <w:rPr>
          <w:sz w:val="24"/>
        </w:rPr>
        <w:t>to a </w:t>
      </w:r>
      <w:r>
        <w:rPr>
          <w:i/>
          <w:sz w:val="24"/>
        </w:rPr>
        <w:t>distribution network </w:t>
      </w:r>
      <w:r>
        <w:rPr>
          <w:sz w:val="24"/>
        </w:rPr>
        <w:t>for a </w:t>
      </w:r>
      <w:r>
        <w:rPr>
          <w:i/>
          <w:sz w:val="24"/>
        </w:rPr>
        <w:t>load </w:t>
      </w:r>
      <w:r>
        <w:rPr>
          <w:sz w:val="24"/>
        </w:rPr>
        <w:t>above the relevant materiality</w:t>
      </w:r>
      <w:r>
        <w:rPr>
          <w:spacing w:val="-2"/>
          <w:sz w:val="24"/>
        </w:rPr>
        <w:t> </w:t>
      </w:r>
      <w:r>
        <w:rPr>
          <w:sz w:val="24"/>
        </w:rPr>
        <w:t>threshold.</w:t>
      </w:r>
    </w:p>
    <w:p>
      <w:pPr>
        <w:pStyle w:val="ListParagraph"/>
        <w:numPr>
          <w:ilvl w:val="3"/>
          <w:numId w:val="165"/>
        </w:numPr>
        <w:tabs>
          <w:tab w:pos="1919" w:val="left" w:leader="none"/>
        </w:tabs>
        <w:spacing w:line="240" w:lineRule="auto" w:before="120" w:after="0"/>
        <w:ind w:left="1919" w:right="416" w:hanging="567"/>
        <w:jc w:val="both"/>
        <w:rPr>
          <w:sz w:val="24"/>
        </w:rPr>
      </w:pPr>
      <w:r>
        <w:rPr>
          <w:sz w:val="24"/>
        </w:rPr>
        <w:t>A </w:t>
      </w:r>
      <w:r>
        <w:rPr>
          <w:i/>
          <w:sz w:val="24"/>
        </w:rPr>
        <w:t>Generator </w:t>
      </w:r>
      <w:r>
        <w:rPr>
          <w:sz w:val="24"/>
        </w:rPr>
        <w:t>wishing to alter </w:t>
      </w:r>
      <w:r>
        <w:rPr>
          <w:i/>
          <w:sz w:val="24"/>
        </w:rPr>
        <w:t>connected generating plant </w:t>
      </w:r>
      <w:r>
        <w:rPr>
          <w:sz w:val="24"/>
        </w:rPr>
        <w:t>must comply with clause 5.3.9.</w:t>
      </w:r>
    </w:p>
    <w:p>
      <w:pPr>
        <w:pStyle w:val="ListParagraph"/>
        <w:numPr>
          <w:ilvl w:val="3"/>
          <w:numId w:val="165"/>
        </w:numPr>
        <w:tabs>
          <w:tab w:pos="1919" w:val="left" w:leader="none"/>
        </w:tabs>
        <w:spacing w:line="240" w:lineRule="auto" w:before="120" w:after="0"/>
        <w:ind w:left="1918" w:right="0" w:hanging="567"/>
        <w:jc w:val="both"/>
        <w:rPr>
          <w:sz w:val="24"/>
        </w:rPr>
      </w:pPr>
      <w:r>
        <w:rPr>
          <w:i/>
          <w:sz w:val="24"/>
        </w:rPr>
        <w:t>NTESMO</w:t>
      </w:r>
      <w:r>
        <w:rPr>
          <w:i/>
          <w:spacing w:val="17"/>
          <w:sz w:val="24"/>
        </w:rPr>
        <w:t> </w:t>
      </w:r>
      <w:r>
        <w:rPr>
          <w:sz w:val="24"/>
        </w:rPr>
        <w:t>must</w:t>
      </w:r>
      <w:r>
        <w:rPr>
          <w:spacing w:val="18"/>
          <w:sz w:val="24"/>
        </w:rPr>
        <w:t> </w:t>
      </w:r>
      <w:r>
        <w:rPr>
          <w:sz w:val="24"/>
        </w:rPr>
        <w:t>comply</w:t>
      </w:r>
      <w:r>
        <w:rPr>
          <w:spacing w:val="17"/>
          <w:sz w:val="24"/>
        </w:rPr>
        <w:t> </w:t>
      </w:r>
      <w:r>
        <w:rPr>
          <w:sz w:val="24"/>
        </w:rPr>
        <w:t>with</w:t>
      </w:r>
      <w:r>
        <w:rPr>
          <w:spacing w:val="18"/>
          <w:sz w:val="24"/>
        </w:rPr>
        <w:t> </w:t>
      </w:r>
      <w:r>
        <w:rPr>
          <w:sz w:val="24"/>
        </w:rPr>
        <w:t>clause</w:t>
      </w:r>
      <w:r>
        <w:rPr>
          <w:spacing w:val="18"/>
          <w:sz w:val="24"/>
        </w:rPr>
        <w:t> </w:t>
      </w:r>
      <w:r>
        <w:rPr>
          <w:sz w:val="24"/>
        </w:rPr>
        <w:t>5.3.11</w:t>
      </w:r>
      <w:r>
        <w:rPr>
          <w:spacing w:val="17"/>
          <w:sz w:val="24"/>
        </w:rPr>
        <w:t> </w:t>
      </w:r>
      <w:r>
        <w:rPr>
          <w:sz w:val="24"/>
        </w:rPr>
        <w:t>in</w:t>
      </w:r>
      <w:r>
        <w:rPr>
          <w:spacing w:val="18"/>
          <w:sz w:val="24"/>
        </w:rPr>
        <w:t> </w:t>
      </w:r>
      <w:r>
        <w:rPr>
          <w:sz w:val="24"/>
        </w:rPr>
        <w:t>relation</w:t>
      </w:r>
      <w:r>
        <w:rPr>
          <w:spacing w:val="18"/>
          <w:sz w:val="24"/>
        </w:rPr>
        <w:t> </w:t>
      </w:r>
      <w:r>
        <w:rPr>
          <w:sz w:val="24"/>
        </w:rPr>
        <w:t>to</w:t>
      </w:r>
      <w:r>
        <w:rPr>
          <w:spacing w:val="17"/>
          <w:sz w:val="24"/>
        </w:rPr>
        <w:t> </w:t>
      </w:r>
      <w:r>
        <w:rPr>
          <w:sz w:val="24"/>
        </w:rPr>
        <w:t>requests</w:t>
      </w:r>
      <w:r>
        <w:rPr>
          <w:spacing w:val="18"/>
          <w:sz w:val="24"/>
        </w:rPr>
        <w:t> </w:t>
      </w:r>
      <w:r>
        <w:rPr>
          <w:sz w:val="24"/>
        </w:rPr>
        <w:t>to</w:t>
      </w:r>
      <w:r>
        <w:rPr>
          <w:spacing w:val="18"/>
          <w:sz w:val="24"/>
        </w:rPr>
        <w:t> </w:t>
      </w:r>
      <w:r>
        <w:rPr>
          <w:sz w:val="24"/>
        </w:rPr>
        <w:t>change</w:t>
      </w:r>
    </w:p>
    <w:p>
      <w:pPr>
        <w:spacing w:before="0"/>
        <w:ind w:left="1919" w:right="0" w:firstLine="0"/>
        <w:jc w:val="both"/>
        <w:rPr>
          <w:sz w:val="24"/>
        </w:rPr>
      </w:pPr>
      <w:r>
        <w:rPr>
          <w:i/>
          <w:sz w:val="24"/>
        </w:rPr>
        <w:t>normal voltage</w:t>
      </w:r>
      <w:r>
        <w:rPr>
          <w:sz w:val="24"/>
        </w:rPr>
        <w:t>.</w:t>
      </w:r>
    </w:p>
    <w:p>
      <w:pPr>
        <w:pStyle w:val="ListParagraph"/>
        <w:numPr>
          <w:ilvl w:val="3"/>
          <w:numId w:val="165"/>
        </w:numPr>
        <w:tabs>
          <w:tab w:pos="566" w:val="left" w:leader="none"/>
          <w:tab w:pos="1919" w:val="left" w:leader="none"/>
        </w:tabs>
        <w:spacing w:line="240" w:lineRule="auto" w:before="120" w:after="0"/>
        <w:ind w:left="1918" w:right="416" w:hanging="1919"/>
        <w:jc w:val="right"/>
        <w:rPr>
          <w:sz w:val="24"/>
        </w:rPr>
      </w:pPr>
      <w:r>
        <w:rPr>
          <w:sz w:val="24"/>
        </w:rPr>
        <w:t>For  </w:t>
      </w:r>
      <w:r>
        <w:rPr>
          <w:i/>
          <w:sz w:val="24"/>
        </w:rPr>
        <w:t>connection  </w:t>
      </w:r>
      <w:r>
        <w:rPr>
          <w:sz w:val="24"/>
        </w:rPr>
        <w:t>to  a  </w:t>
      </w:r>
      <w:r>
        <w:rPr>
          <w:i/>
          <w:sz w:val="24"/>
        </w:rPr>
        <w:t>transmission  network</w:t>
      </w:r>
      <w:r>
        <w:rPr>
          <w:sz w:val="24"/>
        </w:rPr>
        <w:t>,  there  may  be  more  than</w:t>
      </w:r>
      <w:r>
        <w:rPr>
          <w:spacing w:val="-19"/>
          <w:sz w:val="24"/>
        </w:rPr>
        <w:t> </w:t>
      </w:r>
      <w:r>
        <w:rPr>
          <w:sz w:val="24"/>
        </w:rPr>
        <w:t>one</w:t>
      </w:r>
    </w:p>
    <w:p>
      <w:pPr>
        <w:spacing w:before="0"/>
        <w:ind w:left="1789" w:right="415" w:firstLine="0"/>
        <w:jc w:val="right"/>
        <w:rPr>
          <w:sz w:val="24"/>
        </w:rPr>
      </w:pPr>
      <w:r>
        <w:rPr>
          <w:i/>
          <w:sz w:val="24"/>
        </w:rPr>
        <w:t>Connection  Applicant </w:t>
      </w:r>
      <w:r>
        <w:rPr>
          <w:sz w:val="24"/>
        </w:rPr>
        <w:t>in  relation to a  </w:t>
      </w:r>
      <w:r>
        <w:rPr>
          <w:i/>
          <w:sz w:val="24"/>
        </w:rPr>
        <w:t>connection </w:t>
      </w:r>
      <w:r>
        <w:rPr>
          <w:sz w:val="24"/>
        </w:rPr>
        <w:t>where there are </w:t>
      </w:r>
      <w:r>
        <w:rPr>
          <w:spacing w:val="25"/>
          <w:sz w:val="24"/>
        </w:rPr>
        <w:t> </w:t>
      </w:r>
      <w:r>
        <w:rPr>
          <w:sz w:val="24"/>
        </w:rPr>
        <w:t>different</w:t>
      </w:r>
    </w:p>
    <w:p>
      <w:pPr>
        <w:spacing w:after="0"/>
        <w:jc w:val="right"/>
        <w:rPr>
          <w:sz w:val="24"/>
        </w:rPr>
        <w:sectPr>
          <w:pgSz w:w="11910" w:h="16840"/>
          <w:pgMar w:header="686" w:footer="637" w:top="1320" w:bottom="820" w:left="1200" w:right="1000"/>
        </w:sectPr>
      </w:pPr>
    </w:p>
    <w:p>
      <w:pPr>
        <w:spacing w:before="83"/>
        <w:ind w:left="1919" w:right="415" w:firstLine="0"/>
        <w:jc w:val="both"/>
        <w:rPr>
          <w:sz w:val="24"/>
        </w:rPr>
      </w:pPr>
      <w:r>
        <w:rPr>
          <w:sz w:val="24"/>
        </w:rPr>
        <w:t>persons developing and owning </w:t>
      </w:r>
      <w:r>
        <w:rPr>
          <w:i/>
          <w:sz w:val="24"/>
        </w:rPr>
        <w:t>contestable IUSA components</w:t>
      </w:r>
      <w:r>
        <w:rPr>
          <w:sz w:val="24"/>
        </w:rPr>
        <w:t>, </w:t>
      </w:r>
      <w:r>
        <w:rPr>
          <w:i/>
          <w:sz w:val="24"/>
        </w:rPr>
        <w:t>dedicated </w:t>
      </w:r>
      <w:r>
        <w:rPr>
          <w:i/>
          <w:sz w:val="24"/>
        </w:rPr>
        <w:t>connection assets </w:t>
      </w:r>
      <w:r>
        <w:rPr>
          <w:sz w:val="24"/>
        </w:rPr>
        <w:t>and </w:t>
      </w:r>
      <w:r>
        <w:rPr>
          <w:i/>
          <w:sz w:val="24"/>
        </w:rPr>
        <w:t>Transmission Network User facilities </w:t>
      </w:r>
      <w:r>
        <w:rPr>
          <w:sz w:val="24"/>
        </w:rPr>
        <w:t>in relation to that </w:t>
      </w:r>
      <w:r>
        <w:rPr>
          <w:i/>
          <w:sz w:val="24"/>
        </w:rPr>
        <w:t>connection</w:t>
      </w:r>
      <w:r>
        <w:rPr>
          <w:sz w:val="24"/>
        </w:rPr>
        <w:t>.</w:t>
      </w:r>
    </w:p>
    <w:p>
      <w:pPr>
        <w:pStyle w:val="BodyText"/>
        <w:spacing w:before="10"/>
        <w:ind w:firstLine="0"/>
        <w:jc w:val="left"/>
        <w:rPr>
          <w:sz w:val="20"/>
        </w:rPr>
      </w:pPr>
    </w:p>
    <w:p>
      <w:pPr>
        <w:pStyle w:val="Heading4"/>
        <w:numPr>
          <w:ilvl w:val="2"/>
          <w:numId w:val="166"/>
        </w:numPr>
        <w:tabs>
          <w:tab w:pos="753" w:val="left" w:leader="none"/>
          <w:tab w:pos="1351" w:val="left" w:leader="none"/>
        </w:tabs>
        <w:spacing w:line="240" w:lineRule="auto" w:before="0" w:after="0"/>
        <w:ind w:left="752" w:right="0" w:hanging="535"/>
        <w:jc w:val="left"/>
      </w:pPr>
      <w:bookmarkStart w:name="5.3.1A Application of rule to connection" w:id="417"/>
      <w:bookmarkEnd w:id="417"/>
      <w:r>
        <w:rPr>
          <w:b w:val="0"/>
        </w:rPr>
      </w:r>
      <w:bookmarkStart w:name="_bookmark177" w:id="418"/>
      <w:bookmarkEnd w:id="418"/>
      <w:r>
        <w:rPr>
          <w:b w:val="0"/>
        </w:rPr>
      </w:r>
      <w:bookmarkStart w:name="_bookmark177" w:id="419"/>
      <w:bookmarkEnd w:id="419"/>
      <w:r>
        <w:rPr/>
        <w:t>A</w:t>
      </w:r>
      <w:r>
        <w:rPr/>
        <w:tab/>
        <w:t>Application of rule to connection of embedded generating</w:t>
      </w:r>
      <w:r>
        <w:rPr>
          <w:spacing w:val="-13"/>
        </w:rPr>
        <w:t> </w:t>
      </w:r>
      <w:r>
        <w:rPr/>
        <w:t>units</w:t>
      </w:r>
    </w:p>
    <w:p>
      <w:pPr>
        <w:pStyle w:val="BodyText"/>
        <w:ind w:left="1352" w:firstLine="0"/>
        <w:jc w:val="left"/>
      </w:pPr>
      <w:r>
        <w:rPr/>
        <w:t>(a)</w:t>
      </w:r>
    </w:p>
    <w:p>
      <w:pPr>
        <w:pStyle w:val="ListParagraph"/>
        <w:numPr>
          <w:ilvl w:val="0"/>
          <w:numId w:val="167"/>
        </w:numPr>
        <w:tabs>
          <w:tab w:pos="1918" w:val="left" w:leader="none"/>
          <w:tab w:pos="1919" w:val="left" w:leader="none"/>
        </w:tabs>
        <w:spacing w:line="240" w:lineRule="auto" w:before="120" w:after="0"/>
        <w:ind w:left="1919" w:right="415" w:hanging="567"/>
        <w:jc w:val="left"/>
        <w:rPr>
          <w:sz w:val="24"/>
        </w:rPr>
      </w:pPr>
      <w:r>
        <w:rPr>
          <w:sz w:val="24"/>
        </w:rPr>
        <w:t>If a </w:t>
      </w:r>
      <w:r>
        <w:rPr>
          <w:i/>
          <w:sz w:val="24"/>
        </w:rPr>
        <w:t>Connection Applicant </w:t>
      </w:r>
      <w:r>
        <w:rPr>
          <w:sz w:val="24"/>
        </w:rPr>
        <w:t>wishes to </w:t>
      </w:r>
      <w:r>
        <w:rPr>
          <w:i/>
          <w:sz w:val="24"/>
        </w:rPr>
        <w:t>connect </w:t>
      </w:r>
      <w:r>
        <w:rPr>
          <w:sz w:val="24"/>
        </w:rPr>
        <w:t>an </w:t>
      </w:r>
      <w:r>
        <w:rPr>
          <w:i/>
          <w:sz w:val="24"/>
        </w:rPr>
        <w:t>embedded generating unit</w:t>
      </w:r>
      <w:r>
        <w:rPr>
          <w:sz w:val="24"/>
        </w:rPr>
        <w:t>, then:</w:t>
      </w:r>
    </w:p>
    <w:p>
      <w:pPr>
        <w:pStyle w:val="ListParagraph"/>
        <w:numPr>
          <w:ilvl w:val="1"/>
          <w:numId w:val="167"/>
        </w:numPr>
        <w:tabs>
          <w:tab w:pos="2486" w:val="left" w:leader="none"/>
        </w:tabs>
        <w:spacing w:line="240" w:lineRule="auto" w:before="120" w:after="0"/>
        <w:ind w:left="2486" w:right="414" w:hanging="567"/>
        <w:jc w:val="both"/>
        <w:rPr>
          <w:sz w:val="24"/>
        </w:rPr>
      </w:pPr>
      <w:r>
        <w:rPr>
          <w:sz w:val="24"/>
        </w:rPr>
        <w:t>unless otherwise provided, rule 5.3A applies to the proposed connection and clauses 5.3.2, 5.3.3, 5.3.4 and 5.3.5 do not apply to the proposed </w:t>
      </w:r>
      <w:r>
        <w:rPr>
          <w:i/>
          <w:sz w:val="24"/>
        </w:rPr>
        <w:t>connection</w:t>
      </w:r>
      <w:r>
        <w:rPr>
          <w:sz w:val="24"/>
        </w:rPr>
        <w:t>;</w:t>
      </w:r>
      <w:r>
        <w:rPr>
          <w:spacing w:val="-1"/>
          <w:sz w:val="24"/>
        </w:rPr>
        <w:t> </w:t>
      </w:r>
      <w:r>
        <w:rPr>
          <w:sz w:val="24"/>
        </w:rPr>
        <w:t>and</w:t>
      </w:r>
    </w:p>
    <w:p>
      <w:pPr>
        <w:pStyle w:val="ListParagraph"/>
        <w:numPr>
          <w:ilvl w:val="1"/>
          <w:numId w:val="167"/>
        </w:numPr>
        <w:tabs>
          <w:tab w:pos="2486" w:val="left" w:leader="none"/>
        </w:tabs>
        <w:spacing w:line="240" w:lineRule="auto" w:before="120" w:after="0"/>
        <w:ind w:left="2486" w:right="415" w:hanging="567"/>
        <w:jc w:val="both"/>
        <w:rPr>
          <w:sz w:val="24"/>
        </w:rPr>
      </w:pPr>
      <w:r>
        <w:rPr>
          <w:sz w:val="24"/>
        </w:rPr>
        <w:t>for the avoidance of doubt, the application of the balance of Chapter 5, Part B to the </w:t>
      </w:r>
      <w:r>
        <w:rPr>
          <w:i/>
          <w:sz w:val="24"/>
        </w:rPr>
        <w:t>Connection Applicant </w:t>
      </w:r>
      <w:r>
        <w:rPr>
          <w:sz w:val="24"/>
        </w:rPr>
        <w:t>is otherwise unaffected by this clause 5.3.1A.</w:t>
      </w:r>
    </w:p>
    <w:p>
      <w:pPr>
        <w:pStyle w:val="ListParagraph"/>
        <w:numPr>
          <w:ilvl w:val="0"/>
          <w:numId w:val="167"/>
        </w:numPr>
        <w:tabs>
          <w:tab w:pos="1919" w:val="left" w:leader="none"/>
        </w:tabs>
        <w:spacing w:line="240" w:lineRule="auto" w:before="120" w:after="0"/>
        <w:ind w:left="1918" w:right="0" w:hanging="567"/>
        <w:jc w:val="both"/>
        <w:rPr>
          <w:sz w:val="24"/>
        </w:rPr>
      </w:pPr>
      <w:r>
        <w:rPr>
          <w:sz w:val="24"/>
        </w:rPr>
        <w:t>A reference to a </w:t>
      </w:r>
      <w:r>
        <w:rPr>
          <w:i/>
          <w:sz w:val="24"/>
        </w:rPr>
        <w:t>Connection Applicant </w:t>
      </w:r>
      <w:r>
        <w:rPr>
          <w:sz w:val="24"/>
        </w:rPr>
        <w:t>in paragraph (b) is to</w:t>
      </w:r>
      <w:r>
        <w:rPr>
          <w:spacing w:val="-3"/>
          <w:sz w:val="24"/>
        </w:rPr>
        <w:t> </w:t>
      </w:r>
      <w:r>
        <w:rPr>
          <w:sz w:val="24"/>
        </w:rPr>
        <w:t>a:</w:t>
      </w:r>
    </w:p>
    <w:p>
      <w:pPr>
        <w:pStyle w:val="ListParagraph"/>
        <w:numPr>
          <w:ilvl w:val="1"/>
          <w:numId w:val="167"/>
        </w:numPr>
        <w:tabs>
          <w:tab w:pos="2486" w:val="left" w:leader="none"/>
        </w:tabs>
        <w:spacing w:line="240" w:lineRule="auto" w:before="120" w:after="0"/>
        <w:ind w:left="2485" w:right="0" w:hanging="567"/>
        <w:jc w:val="both"/>
        <w:rPr>
          <w:sz w:val="24"/>
        </w:rPr>
      </w:pPr>
      <w:r>
        <w:rPr>
          <w:sz w:val="24"/>
        </w:rPr>
        <w:t>person who intends to be an </w:t>
      </w:r>
      <w:r>
        <w:rPr>
          <w:i/>
          <w:sz w:val="24"/>
        </w:rPr>
        <w:t>Embedded</w:t>
      </w:r>
      <w:r>
        <w:rPr>
          <w:i/>
          <w:spacing w:val="-3"/>
          <w:sz w:val="24"/>
        </w:rPr>
        <w:t> </w:t>
      </w:r>
      <w:r>
        <w:rPr>
          <w:i/>
          <w:sz w:val="24"/>
        </w:rPr>
        <w:t>Generator</w:t>
      </w:r>
      <w:r>
        <w:rPr>
          <w:sz w:val="24"/>
        </w:rPr>
        <w:t>;</w:t>
      </w:r>
    </w:p>
    <w:p>
      <w:pPr>
        <w:pStyle w:val="ListParagraph"/>
        <w:numPr>
          <w:ilvl w:val="1"/>
          <w:numId w:val="167"/>
        </w:numPr>
        <w:tabs>
          <w:tab w:pos="2486" w:val="left" w:leader="none"/>
        </w:tabs>
        <w:spacing w:line="240" w:lineRule="auto" w:before="120" w:after="0"/>
        <w:ind w:left="2486" w:right="415" w:hanging="567"/>
        <w:jc w:val="both"/>
        <w:rPr>
          <w:sz w:val="24"/>
        </w:rPr>
      </w:pPr>
      <w:r>
        <w:rPr>
          <w:sz w:val="24"/>
        </w:rPr>
        <w:t>person who is required to apply to the </w:t>
      </w:r>
      <w:r>
        <w:rPr>
          <w:i/>
          <w:sz w:val="24"/>
        </w:rPr>
        <w:t>Utilities Commission </w:t>
      </w:r>
      <w:r>
        <w:rPr>
          <w:sz w:val="24"/>
        </w:rPr>
        <w:t>for an exemption from the requirement to hold a licence for operating in the electricity supply industry as a </w:t>
      </w:r>
      <w:r>
        <w:rPr>
          <w:i/>
          <w:sz w:val="24"/>
        </w:rPr>
        <w:t>Generator </w:t>
      </w:r>
      <w:r>
        <w:rPr>
          <w:sz w:val="24"/>
        </w:rPr>
        <w:t>in respect of an </w:t>
      </w:r>
      <w:r>
        <w:rPr>
          <w:i/>
          <w:sz w:val="24"/>
        </w:rPr>
        <w:t>embedded </w:t>
      </w:r>
      <w:r>
        <w:rPr>
          <w:i/>
          <w:sz w:val="24"/>
        </w:rPr>
        <w:t>generating</w:t>
      </w:r>
      <w:r>
        <w:rPr>
          <w:i/>
          <w:spacing w:val="-1"/>
          <w:sz w:val="24"/>
        </w:rPr>
        <w:t> </w:t>
      </w:r>
      <w:r>
        <w:rPr>
          <w:i/>
          <w:sz w:val="24"/>
        </w:rPr>
        <w:t>unit</w:t>
      </w:r>
      <w:r>
        <w:rPr>
          <w:sz w:val="24"/>
        </w:rPr>
        <w:t>;</w:t>
      </w:r>
    </w:p>
    <w:p>
      <w:pPr>
        <w:pStyle w:val="ListParagraph"/>
        <w:numPr>
          <w:ilvl w:val="1"/>
          <w:numId w:val="167"/>
        </w:numPr>
        <w:tabs>
          <w:tab w:pos="2486" w:val="left" w:leader="none"/>
        </w:tabs>
        <w:spacing w:line="240" w:lineRule="auto" w:before="120" w:after="0"/>
        <w:ind w:left="2486" w:right="415" w:hanging="567"/>
        <w:jc w:val="both"/>
        <w:rPr>
          <w:sz w:val="24"/>
        </w:rPr>
      </w:pPr>
      <w:r>
        <w:rPr>
          <w:sz w:val="24"/>
        </w:rPr>
        <w:t>non-registered embedded generator who has made an election under clause 5A.A.2(c);</w:t>
      </w:r>
      <w:r>
        <w:rPr>
          <w:spacing w:val="-1"/>
          <w:sz w:val="24"/>
        </w:rPr>
        <w:t> </w:t>
      </w:r>
      <w:r>
        <w:rPr>
          <w:sz w:val="24"/>
        </w:rPr>
        <w:t>or</w:t>
      </w:r>
    </w:p>
    <w:p>
      <w:pPr>
        <w:pStyle w:val="ListParagraph"/>
        <w:numPr>
          <w:ilvl w:val="1"/>
          <w:numId w:val="167"/>
        </w:numPr>
        <w:tabs>
          <w:tab w:pos="2486" w:val="left" w:leader="none"/>
        </w:tabs>
        <w:spacing w:line="240" w:lineRule="auto" w:before="120" w:after="0"/>
        <w:ind w:left="2486" w:right="415" w:hanging="567"/>
        <w:jc w:val="both"/>
        <w:rPr>
          <w:sz w:val="24"/>
        </w:rPr>
      </w:pPr>
      <w:r>
        <w:rPr>
          <w:sz w:val="24"/>
        </w:rPr>
        <w:t>non-registered embedded generator above the relevant materiality threshold for the relevant local electricity system, or part of a local electricity</w:t>
      </w:r>
      <w:r>
        <w:rPr>
          <w:spacing w:val="-1"/>
          <w:sz w:val="24"/>
        </w:rPr>
        <w:t> </w:t>
      </w:r>
      <w:r>
        <w:rPr>
          <w:sz w:val="24"/>
        </w:rPr>
        <w:t>system,</w:t>
      </w:r>
    </w:p>
    <w:p>
      <w:pPr>
        <w:spacing w:before="120"/>
        <w:ind w:left="1919" w:right="414" w:firstLine="0"/>
        <w:jc w:val="both"/>
        <w:rPr>
          <w:sz w:val="24"/>
        </w:rPr>
      </w:pPr>
      <w:r>
        <w:rPr>
          <w:sz w:val="24"/>
        </w:rPr>
        <w:t>and who makes a </w:t>
      </w:r>
      <w:r>
        <w:rPr>
          <w:i/>
          <w:sz w:val="24"/>
        </w:rPr>
        <w:t>connection </w:t>
      </w:r>
      <w:r>
        <w:rPr>
          <w:sz w:val="24"/>
        </w:rPr>
        <w:t>enquiry under clause 5.3A.5 or an </w:t>
      </w:r>
      <w:r>
        <w:rPr>
          <w:i/>
          <w:sz w:val="24"/>
        </w:rPr>
        <w:t>application </w:t>
      </w:r>
      <w:r>
        <w:rPr>
          <w:i/>
          <w:sz w:val="24"/>
        </w:rPr>
        <w:t>to connect </w:t>
      </w:r>
      <w:r>
        <w:rPr>
          <w:sz w:val="24"/>
        </w:rPr>
        <w:t>under clause 5.3A.9 in relation to any </w:t>
      </w:r>
      <w:r>
        <w:rPr>
          <w:i/>
          <w:sz w:val="24"/>
        </w:rPr>
        <w:t>generating systems</w:t>
      </w:r>
      <w:r>
        <w:rPr>
          <w:sz w:val="24"/>
        </w:rPr>
        <w:t>, or any </w:t>
      </w:r>
      <w:r>
        <w:rPr>
          <w:i/>
          <w:sz w:val="24"/>
        </w:rPr>
        <w:t>network elements </w:t>
      </w:r>
      <w:r>
        <w:rPr>
          <w:sz w:val="24"/>
        </w:rPr>
        <w:t>used in the provision of a </w:t>
      </w:r>
      <w:r>
        <w:rPr>
          <w:i/>
          <w:sz w:val="24"/>
        </w:rPr>
        <w:t>network service</w:t>
      </w:r>
      <w:r>
        <w:rPr>
          <w:sz w:val="24"/>
        </w:rPr>
        <w:t>, as the case may be.</w:t>
      </w:r>
    </w:p>
    <w:p>
      <w:pPr>
        <w:pStyle w:val="BodyText"/>
        <w:spacing w:before="10"/>
        <w:ind w:firstLine="0"/>
        <w:jc w:val="left"/>
        <w:rPr>
          <w:sz w:val="20"/>
        </w:rPr>
      </w:pPr>
    </w:p>
    <w:p>
      <w:pPr>
        <w:pStyle w:val="Heading4"/>
        <w:numPr>
          <w:ilvl w:val="2"/>
          <w:numId w:val="166"/>
        </w:numPr>
        <w:tabs>
          <w:tab w:pos="1351" w:val="left" w:leader="none"/>
          <w:tab w:pos="1352" w:val="left" w:leader="none"/>
        </w:tabs>
        <w:spacing w:line="240" w:lineRule="auto" w:before="0" w:after="0"/>
        <w:ind w:left="1351" w:right="0" w:hanging="1134"/>
        <w:jc w:val="left"/>
      </w:pPr>
      <w:bookmarkStart w:name="5.3.2 Connection enquiry" w:id="420"/>
      <w:bookmarkEnd w:id="420"/>
      <w:r>
        <w:rPr>
          <w:b w:val="0"/>
        </w:rPr>
      </w:r>
      <w:bookmarkStart w:name="_bookmark178" w:id="421"/>
      <w:bookmarkEnd w:id="421"/>
      <w:r>
        <w:rPr>
          <w:b w:val="0"/>
        </w:rPr>
      </w:r>
      <w:bookmarkStart w:name="_bookmark178" w:id="422"/>
      <w:bookmarkEnd w:id="422"/>
      <w:r>
        <w:rPr/>
        <w:t>Connectio</w:t>
      </w:r>
      <w:r>
        <w:rPr/>
        <w:t>n</w:t>
      </w:r>
      <w:r>
        <w:rPr>
          <w:spacing w:val="-2"/>
        </w:rPr>
        <w:t> </w:t>
      </w:r>
      <w:r>
        <w:rPr/>
        <w:t>enquiry</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A person referred to in clause 5.3.1(b) who wishes to make an </w:t>
      </w:r>
      <w:r>
        <w:rPr>
          <w:i/>
          <w:sz w:val="24"/>
        </w:rPr>
        <w:t>application to </w:t>
      </w:r>
      <w:r>
        <w:rPr>
          <w:i/>
          <w:sz w:val="24"/>
        </w:rPr>
        <w:t>connect </w:t>
      </w:r>
      <w:r>
        <w:rPr>
          <w:sz w:val="24"/>
        </w:rPr>
        <w:t>must first make a </w:t>
      </w:r>
      <w:r>
        <w:rPr>
          <w:i/>
          <w:sz w:val="24"/>
        </w:rPr>
        <w:t>connection </w:t>
      </w:r>
      <w:r>
        <w:rPr>
          <w:sz w:val="24"/>
        </w:rPr>
        <w:t>enquiry by advising the </w:t>
      </w:r>
      <w:r>
        <w:rPr>
          <w:i/>
          <w:sz w:val="24"/>
        </w:rPr>
        <w:t>Local </w:t>
      </w:r>
      <w:r>
        <w:rPr>
          <w:i/>
          <w:sz w:val="24"/>
        </w:rPr>
        <w:t>Network Service Provider </w:t>
      </w:r>
      <w:r>
        <w:rPr>
          <w:sz w:val="24"/>
        </w:rPr>
        <w:t>of the type, magnitude and timing of the proposed </w:t>
      </w:r>
      <w:r>
        <w:rPr>
          <w:i/>
          <w:sz w:val="24"/>
        </w:rPr>
        <w:t>connection </w:t>
      </w:r>
      <w:r>
        <w:rPr>
          <w:sz w:val="24"/>
        </w:rPr>
        <w:t>to that provider's</w:t>
      </w:r>
      <w:r>
        <w:rPr>
          <w:spacing w:val="-1"/>
          <w:sz w:val="24"/>
        </w:rPr>
        <w:t> </w:t>
      </w:r>
      <w:r>
        <w:rPr>
          <w:i/>
          <w:sz w:val="24"/>
        </w:rPr>
        <w:t>network</w:t>
      </w:r>
      <w:r>
        <w:rPr>
          <w:sz w:val="24"/>
        </w:rPr>
        <w:t>.</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If the information submitted with a </w:t>
      </w:r>
      <w:r>
        <w:rPr>
          <w:i/>
          <w:sz w:val="24"/>
        </w:rPr>
        <w:t>connection </w:t>
      </w:r>
      <w:r>
        <w:rPr>
          <w:sz w:val="24"/>
        </w:rPr>
        <w:t>enquiry is inadequate to enable the </w:t>
      </w:r>
      <w:r>
        <w:rPr>
          <w:i/>
          <w:sz w:val="24"/>
        </w:rPr>
        <w:t>Local Network Service Provider </w:t>
      </w:r>
      <w:r>
        <w:rPr>
          <w:sz w:val="24"/>
        </w:rPr>
        <w:t>to process the enquiry the provider must within 5 </w:t>
      </w:r>
      <w:r>
        <w:rPr>
          <w:i/>
          <w:sz w:val="24"/>
        </w:rPr>
        <w:t>business days</w:t>
      </w:r>
      <w:r>
        <w:rPr>
          <w:sz w:val="24"/>
        </w:rPr>
        <w:t>, advise the </w:t>
      </w:r>
      <w:r>
        <w:rPr>
          <w:i/>
          <w:sz w:val="24"/>
        </w:rPr>
        <w:t>Connection Applicant </w:t>
      </w:r>
      <w:r>
        <w:rPr>
          <w:sz w:val="24"/>
        </w:rPr>
        <w:t>what other relevant preliminary information of the kind listed in schedule 5.4 is required before the </w:t>
      </w:r>
      <w:r>
        <w:rPr>
          <w:i/>
          <w:sz w:val="24"/>
        </w:rPr>
        <w:t>connection </w:t>
      </w:r>
      <w:r>
        <w:rPr>
          <w:sz w:val="24"/>
        </w:rPr>
        <w:t>enquiry can be further</w:t>
      </w:r>
      <w:r>
        <w:rPr>
          <w:spacing w:val="-2"/>
          <w:sz w:val="24"/>
        </w:rPr>
        <w:t> </w:t>
      </w:r>
      <w:r>
        <w:rPr>
          <w:sz w:val="24"/>
        </w:rPr>
        <w:t>processed.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3"/>
          <w:numId w:val="166"/>
        </w:numPr>
        <w:tabs>
          <w:tab w:pos="1919" w:val="left" w:leader="none"/>
        </w:tabs>
        <w:spacing w:line="240" w:lineRule="auto" w:before="83" w:after="0"/>
        <w:ind w:left="1919" w:right="415" w:hanging="567"/>
        <w:jc w:val="both"/>
        <w:rPr>
          <w:sz w:val="24"/>
        </w:rPr>
      </w:pPr>
      <w:r>
        <w:rPr>
          <w:sz w:val="24"/>
        </w:rPr>
        <w:t>The </w:t>
      </w:r>
      <w:r>
        <w:rPr>
          <w:i/>
          <w:sz w:val="24"/>
        </w:rPr>
        <w:t>Local Network Service Provider </w:t>
      </w:r>
      <w:r>
        <w:rPr>
          <w:sz w:val="24"/>
        </w:rPr>
        <w:t>must advise the </w:t>
      </w:r>
      <w:r>
        <w:rPr>
          <w:i/>
          <w:sz w:val="24"/>
        </w:rPr>
        <w:t>Connection Applicant </w:t>
      </w:r>
      <w:r>
        <w:rPr>
          <w:sz w:val="24"/>
        </w:rPr>
        <w:t>within 10 </w:t>
      </w:r>
      <w:r>
        <w:rPr>
          <w:i/>
          <w:sz w:val="24"/>
        </w:rPr>
        <w:t>business days </w:t>
      </w:r>
      <w:r>
        <w:rPr>
          <w:sz w:val="24"/>
        </w:rPr>
        <w:t>of receipt of the </w:t>
      </w:r>
      <w:r>
        <w:rPr>
          <w:i/>
          <w:sz w:val="24"/>
        </w:rPr>
        <w:t>connection </w:t>
      </w:r>
      <w:r>
        <w:rPr>
          <w:sz w:val="24"/>
        </w:rPr>
        <w:t>enquiry and the further information required in accordance with paragraph (b) if the enquiry would be more appropriately directed to another </w:t>
      </w:r>
      <w:r>
        <w:rPr>
          <w:i/>
          <w:sz w:val="24"/>
        </w:rPr>
        <w:t>Network Service</w:t>
      </w:r>
      <w:r>
        <w:rPr>
          <w:i/>
          <w:spacing w:val="-2"/>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The </w:t>
      </w:r>
      <w:r>
        <w:rPr>
          <w:i/>
          <w:sz w:val="24"/>
        </w:rPr>
        <w:t>Connection Applicant</w:t>
      </w:r>
      <w:r>
        <w:rPr>
          <w:sz w:val="24"/>
        </w:rPr>
        <w:t>, notwithstanding the advice received </w:t>
      </w:r>
      <w:r>
        <w:rPr>
          <w:spacing w:val="-3"/>
          <w:sz w:val="24"/>
        </w:rPr>
        <w:t>under </w:t>
      </w:r>
      <w:r>
        <w:rPr>
          <w:sz w:val="24"/>
        </w:rPr>
        <w:t>paragraph (c), may if it is reasonable in all the circumstances, request the </w:t>
      </w:r>
      <w:r>
        <w:rPr>
          <w:i/>
          <w:sz w:val="24"/>
        </w:rPr>
        <w:t>Local Network Service Provider </w:t>
      </w:r>
      <w:r>
        <w:rPr>
          <w:sz w:val="24"/>
        </w:rPr>
        <w:t>to process the </w:t>
      </w:r>
      <w:r>
        <w:rPr>
          <w:i/>
          <w:sz w:val="24"/>
        </w:rPr>
        <w:t>connection </w:t>
      </w:r>
      <w:r>
        <w:rPr>
          <w:sz w:val="24"/>
        </w:rPr>
        <w:t>enquiry and the provider must meet this</w:t>
      </w:r>
      <w:r>
        <w:rPr>
          <w:spacing w:val="-1"/>
          <w:sz w:val="24"/>
        </w:rPr>
        <w:t> </w:t>
      </w:r>
      <w:r>
        <w:rPr>
          <w:sz w:val="24"/>
        </w:rPr>
        <w:t>request.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Where the </w:t>
      </w:r>
      <w:r>
        <w:rPr>
          <w:i/>
          <w:sz w:val="24"/>
        </w:rPr>
        <w:t>Local Network Service Provider </w:t>
      </w:r>
      <w:r>
        <w:rPr>
          <w:sz w:val="24"/>
        </w:rPr>
        <w:t>considers that the </w:t>
      </w:r>
      <w:r>
        <w:rPr>
          <w:i/>
          <w:sz w:val="24"/>
        </w:rPr>
        <w:t>connection </w:t>
      </w:r>
      <w:r>
        <w:rPr>
          <w:sz w:val="24"/>
        </w:rPr>
        <w:t>enquiry should be jointly examined by more than one </w:t>
      </w:r>
      <w:r>
        <w:rPr>
          <w:i/>
          <w:sz w:val="24"/>
        </w:rPr>
        <w:t>Network Service </w:t>
      </w:r>
      <w:r>
        <w:rPr>
          <w:i/>
          <w:sz w:val="24"/>
        </w:rPr>
        <w:t>Provider</w:t>
      </w:r>
      <w:r>
        <w:rPr>
          <w:sz w:val="24"/>
        </w:rPr>
        <w:t>, with the agreement of the </w:t>
      </w:r>
      <w:r>
        <w:rPr>
          <w:i/>
          <w:sz w:val="24"/>
        </w:rPr>
        <w:t>Connection Applicant</w:t>
      </w:r>
      <w:r>
        <w:rPr>
          <w:sz w:val="24"/>
        </w:rPr>
        <w:t>, one of those </w:t>
      </w:r>
      <w:r>
        <w:rPr>
          <w:i/>
          <w:sz w:val="24"/>
        </w:rPr>
        <w:t>Network Service Providers </w:t>
      </w:r>
      <w:r>
        <w:rPr>
          <w:sz w:val="24"/>
        </w:rPr>
        <w:t>may be allocated the task of liaising with the </w:t>
      </w:r>
      <w:r>
        <w:rPr>
          <w:i/>
          <w:sz w:val="24"/>
        </w:rPr>
        <w:t>Connection Applicant </w:t>
      </w:r>
      <w:r>
        <w:rPr>
          <w:sz w:val="24"/>
        </w:rPr>
        <w:t>and the other </w:t>
      </w:r>
      <w:r>
        <w:rPr>
          <w:i/>
          <w:sz w:val="24"/>
        </w:rPr>
        <w:t>Network Service Providers </w:t>
      </w:r>
      <w:r>
        <w:rPr>
          <w:sz w:val="24"/>
        </w:rPr>
        <w:t>to process and respond to the</w:t>
      </w:r>
      <w:r>
        <w:rPr>
          <w:spacing w:val="-1"/>
          <w:sz w:val="24"/>
        </w:rPr>
        <w:t> </w:t>
      </w:r>
      <w:r>
        <w:rPr>
          <w:sz w:val="24"/>
        </w:rPr>
        <w:t>enquiry.</w:t>
      </w:r>
    </w:p>
    <w:p>
      <w:pPr>
        <w:pStyle w:val="ListParagraph"/>
        <w:numPr>
          <w:ilvl w:val="3"/>
          <w:numId w:val="166"/>
        </w:numPr>
        <w:tabs>
          <w:tab w:pos="1920" w:val="left" w:leader="none"/>
        </w:tabs>
        <w:spacing w:line="240" w:lineRule="auto" w:before="120" w:after="0"/>
        <w:ind w:left="1919" w:right="414" w:hanging="567"/>
        <w:jc w:val="both"/>
        <w:rPr>
          <w:sz w:val="24"/>
        </w:rPr>
      </w:pPr>
      <w:r>
        <w:rPr>
          <w:sz w:val="24"/>
        </w:rPr>
        <w:t>A </w:t>
      </w:r>
      <w:r>
        <w:rPr>
          <w:i/>
          <w:sz w:val="24"/>
        </w:rPr>
        <w:t>Network Service Provider </w:t>
      </w:r>
      <w:r>
        <w:rPr>
          <w:sz w:val="24"/>
        </w:rPr>
        <w:t>must to the extent that it holds technical information necessary to facilitate the processing of a </w:t>
      </w:r>
      <w:r>
        <w:rPr>
          <w:i/>
          <w:sz w:val="24"/>
        </w:rPr>
        <w:t>connection </w:t>
      </w:r>
      <w:r>
        <w:rPr>
          <w:sz w:val="24"/>
        </w:rPr>
        <w:t>enquiry made in accordance with paragraph (a) or an </w:t>
      </w:r>
      <w:r>
        <w:rPr>
          <w:i/>
          <w:sz w:val="24"/>
        </w:rPr>
        <w:t>application to connect</w:t>
      </w:r>
      <w:r>
        <w:rPr>
          <w:i/>
          <w:spacing w:val="22"/>
          <w:sz w:val="24"/>
        </w:rPr>
        <w:t> </w:t>
      </w:r>
      <w:r>
        <w:rPr>
          <w:sz w:val="24"/>
        </w:rPr>
        <w:t>in accordance with clause 5.3.4(a), provide that information to the </w:t>
      </w:r>
      <w:r>
        <w:rPr>
          <w:i/>
          <w:sz w:val="24"/>
        </w:rPr>
        <w:t>Connection </w:t>
      </w:r>
      <w:r>
        <w:rPr>
          <w:i/>
          <w:sz w:val="24"/>
        </w:rPr>
        <w:t>Applicant </w:t>
      </w:r>
      <w:r>
        <w:rPr>
          <w:sz w:val="24"/>
        </w:rPr>
        <w:t>in accordance with the relevant requirements of </w:t>
      </w:r>
      <w:r>
        <w:rPr>
          <w:i/>
          <w:sz w:val="24"/>
        </w:rPr>
        <w:t>jurisdictional </w:t>
      </w:r>
      <w:r>
        <w:rPr>
          <w:i/>
          <w:sz w:val="24"/>
        </w:rPr>
        <w:t>electricity</w:t>
      </w:r>
      <w:r>
        <w:rPr>
          <w:i/>
          <w:spacing w:val="-1"/>
          <w:sz w:val="24"/>
        </w:rPr>
        <w:t> </w:t>
      </w:r>
      <w:r>
        <w:rPr>
          <w:i/>
          <w:sz w:val="24"/>
        </w:rPr>
        <w:t>legislation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3" w:firstLine="0"/>
        <w:jc w:val="both"/>
        <w:rPr>
          <w:sz w:val="20"/>
        </w:rPr>
      </w:pPr>
      <w:r>
        <w:rPr>
          <w:sz w:val="20"/>
        </w:rPr>
        <w:t>The requirements that will apply under </w:t>
      </w:r>
      <w:r>
        <w:rPr>
          <w:i/>
          <w:sz w:val="20"/>
        </w:rPr>
        <w:t>jurisdictional electricity legislation </w:t>
      </w:r>
      <w:r>
        <w:rPr>
          <w:sz w:val="20"/>
        </w:rPr>
        <w:t>for the purposes of paragraph (f) will be requirements that correspond to the matters set out in schedules 5.1, 5.2, and 5.3 in the </w:t>
      </w:r>
      <w:r>
        <w:rPr>
          <w:i/>
          <w:sz w:val="20"/>
        </w:rPr>
        <w:t>Rules </w:t>
      </w:r>
      <w:r>
        <w:rPr>
          <w:sz w:val="20"/>
        </w:rPr>
        <w:t>applying in other </w:t>
      </w:r>
      <w:r>
        <w:rPr>
          <w:i/>
          <w:sz w:val="20"/>
        </w:rPr>
        <w:t>participating jurisdictions</w:t>
      </w:r>
      <w:r>
        <w:rPr>
          <w:sz w:val="20"/>
        </w:rPr>
        <w:t>. The application of paragraph (f) will be revisited as part of the phased implementation of the </w:t>
      </w:r>
      <w:r>
        <w:rPr>
          <w:i/>
          <w:sz w:val="20"/>
        </w:rPr>
        <w:t>Rules </w:t>
      </w:r>
      <w:r>
        <w:rPr>
          <w:sz w:val="20"/>
        </w:rPr>
        <w:t>in this jurisdiction.</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If applicable, a </w:t>
      </w:r>
      <w:r>
        <w:rPr>
          <w:i/>
          <w:sz w:val="24"/>
        </w:rPr>
        <w:t>Primary Network Service Provider </w:t>
      </w:r>
      <w:r>
        <w:rPr>
          <w:sz w:val="24"/>
        </w:rPr>
        <w:t>may charge a </w:t>
      </w:r>
      <w:r>
        <w:rPr>
          <w:i/>
          <w:sz w:val="24"/>
        </w:rPr>
        <w:t>Connection </w:t>
      </w:r>
      <w:r>
        <w:rPr>
          <w:i/>
          <w:sz w:val="24"/>
        </w:rPr>
        <w:t>Applicant </w:t>
      </w:r>
      <w:r>
        <w:rPr>
          <w:sz w:val="24"/>
        </w:rPr>
        <w:t>an enquiry fee, the amount of which must not be more</w:t>
      </w:r>
      <w:r>
        <w:rPr>
          <w:spacing w:val="30"/>
          <w:sz w:val="24"/>
        </w:rPr>
        <w:t> </w:t>
      </w:r>
      <w:r>
        <w:rPr>
          <w:sz w:val="24"/>
        </w:rPr>
        <w:t>than necessary to cover the reasonable costs of work required to provide the information in clauses 5.3.3(b)(5A) and (7) to</w:t>
      </w:r>
      <w:r>
        <w:rPr>
          <w:spacing w:val="-1"/>
          <w:sz w:val="24"/>
        </w:rPr>
        <w:t> </w:t>
      </w:r>
      <w:r>
        <w:rPr>
          <w:sz w:val="24"/>
        </w:rPr>
        <w:t>(10).</w:t>
      </w:r>
    </w:p>
    <w:p>
      <w:pPr>
        <w:pStyle w:val="BodyText"/>
        <w:spacing w:before="10"/>
        <w:ind w:firstLine="0"/>
        <w:jc w:val="left"/>
        <w:rPr>
          <w:sz w:val="20"/>
        </w:rPr>
      </w:pPr>
    </w:p>
    <w:p>
      <w:pPr>
        <w:pStyle w:val="Heading4"/>
        <w:numPr>
          <w:ilvl w:val="2"/>
          <w:numId w:val="166"/>
        </w:numPr>
        <w:tabs>
          <w:tab w:pos="1351" w:val="left" w:leader="none"/>
          <w:tab w:pos="1352" w:val="left" w:leader="none"/>
        </w:tabs>
        <w:spacing w:line="240" w:lineRule="auto" w:before="0" w:after="0"/>
        <w:ind w:left="1351" w:right="0" w:hanging="1134"/>
        <w:jc w:val="left"/>
      </w:pPr>
      <w:bookmarkStart w:name="5.3.3 Response to connection enquiry" w:id="423"/>
      <w:bookmarkEnd w:id="423"/>
      <w:r>
        <w:rPr>
          <w:b w:val="0"/>
        </w:rPr>
      </w:r>
      <w:bookmarkStart w:name="_bookmark179" w:id="424"/>
      <w:bookmarkEnd w:id="424"/>
      <w:r>
        <w:rPr>
          <w:b w:val="0"/>
        </w:rPr>
      </w:r>
      <w:bookmarkStart w:name="_bookmark179" w:id="425"/>
      <w:bookmarkEnd w:id="425"/>
      <w:r>
        <w:rPr/>
        <w:t>Respons</w:t>
      </w:r>
      <w:r>
        <w:rPr/>
        <w:t>e to connection</w:t>
      </w:r>
      <w:r>
        <w:rPr>
          <w:spacing w:val="-2"/>
        </w:rPr>
        <w:t> </w:t>
      </w:r>
      <w:r>
        <w:rPr/>
        <w:t>enquiry</w:t>
      </w:r>
    </w:p>
    <w:p>
      <w:pPr>
        <w:spacing w:before="120"/>
        <w:ind w:left="1352" w:right="0" w:firstLine="0"/>
        <w:jc w:val="left"/>
        <w:rPr>
          <w:rFonts w:ascii="Arial"/>
          <w:b/>
          <w:sz w:val="20"/>
        </w:rPr>
      </w:pPr>
      <w:r>
        <w:rPr>
          <w:rFonts w:ascii="Arial"/>
          <w:b/>
          <w:sz w:val="20"/>
        </w:rPr>
        <w:t>Note</w:t>
      </w:r>
    </w:p>
    <w:p>
      <w:pPr>
        <w:spacing w:before="120"/>
        <w:ind w:left="1352" w:right="423" w:firstLine="0"/>
        <w:jc w:val="left"/>
        <w:rPr>
          <w:i/>
          <w:sz w:val="20"/>
        </w:rPr>
      </w:pPr>
      <w:r>
        <w:rPr>
          <w:sz w:val="20"/>
        </w:rPr>
        <w:t>Paragraphs (b2), (b3) and (b4) of this clause have no effect in this jurisdiction (see regulation 5A of</w:t>
      </w:r>
      <w:r>
        <w:rPr>
          <w:spacing w:val="37"/>
          <w:sz w:val="20"/>
        </w:rPr>
        <w:t> </w:t>
      </w:r>
      <w:r>
        <w:rPr>
          <w:sz w:val="20"/>
        </w:rPr>
        <w:t>the</w:t>
      </w:r>
      <w:r>
        <w:rPr>
          <w:spacing w:val="38"/>
          <w:sz w:val="20"/>
        </w:rPr>
        <w:t> </w:t>
      </w:r>
      <w:r>
        <w:rPr>
          <w:i/>
          <w:sz w:val="20"/>
        </w:rPr>
        <w:t>National</w:t>
      </w:r>
      <w:r>
        <w:rPr>
          <w:i/>
          <w:spacing w:val="38"/>
          <w:sz w:val="20"/>
        </w:rPr>
        <w:t> </w:t>
      </w:r>
      <w:r>
        <w:rPr>
          <w:i/>
          <w:sz w:val="20"/>
        </w:rPr>
        <w:t>Electricity</w:t>
      </w:r>
      <w:r>
        <w:rPr>
          <w:i/>
          <w:spacing w:val="38"/>
          <w:sz w:val="20"/>
        </w:rPr>
        <w:t> </w:t>
      </w:r>
      <w:r>
        <w:rPr>
          <w:i/>
          <w:sz w:val="20"/>
        </w:rPr>
        <w:t>(Northern</w:t>
      </w:r>
      <w:r>
        <w:rPr>
          <w:i/>
          <w:spacing w:val="37"/>
          <w:sz w:val="20"/>
        </w:rPr>
        <w:t> </w:t>
      </w:r>
      <w:r>
        <w:rPr>
          <w:i/>
          <w:sz w:val="20"/>
        </w:rPr>
        <w:t>Territory)</w:t>
      </w:r>
      <w:r>
        <w:rPr>
          <w:i/>
          <w:spacing w:val="38"/>
          <w:sz w:val="20"/>
        </w:rPr>
        <w:t> </w:t>
      </w:r>
      <w:r>
        <w:rPr>
          <w:i/>
          <w:sz w:val="20"/>
        </w:rPr>
        <w:t>(National</w:t>
      </w:r>
      <w:r>
        <w:rPr>
          <w:i/>
          <w:spacing w:val="38"/>
          <w:sz w:val="20"/>
        </w:rPr>
        <w:t> </w:t>
      </w:r>
      <w:r>
        <w:rPr>
          <w:i/>
          <w:sz w:val="20"/>
        </w:rPr>
        <w:t>Uniform</w:t>
      </w:r>
      <w:r>
        <w:rPr>
          <w:i/>
          <w:spacing w:val="38"/>
          <w:sz w:val="20"/>
        </w:rPr>
        <w:t> </w:t>
      </w:r>
      <w:r>
        <w:rPr>
          <w:i/>
          <w:sz w:val="20"/>
        </w:rPr>
        <w:t>Legislation)</w:t>
      </w:r>
      <w:r>
        <w:rPr>
          <w:i/>
          <w:spacing w:val="37"/>
          <w:sz w:val="20"/>
        </w:rPr>
        <w:t> </w:t>
      </w:r>
      <w:r>
        <w:rPr>
          <w:i/>
          <w:sz w:val="20"/>
        </w:rPr>
        <w:t>(Modification)</w:t>
      </w:r>
    </w:p>
    <w:p>
      <w:pPr>
        <w:spacing w:after="0"/>
        <w:jc w:val="left"/>
        <w:rPr>
          <w:sz w:val="20"/>
        </w:rPr>
        <w:sectPr>
          <w:pgSz w:w="11910" w:h="16840"/>
          <w:pgMar w:header="686" w:footer="637" w:top="1320" w:bottom="820" w:left="1200" w:right="1000"/>
        </w:sectPr>
      </w:pPr>
    </w:p>
    <w:p>
      <w:pPr>
        <w:spacing w:before="83"/>
        <w:ind w:left="1352" w:right="415" w:firstLine="0"/>
        <w:jc w:val="both"/>
        <w:rPr>
          <w:sz w:val="20"/>
        </w:rPr>
      </w:pP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66"/>
        </w:numPr>
        <w:tabs>
          <w:tab w:pos="1919" w:val="left" w:leader="none"/>
        </w:tabs>
        <w:spacing w:line="240" w:lineRule="auto" w:before="120" w:after="0"/>
        <w:ind w:left="1919" w:right="415" w:hanging="567"/>
        <w:jc w:val="both"/>
        <w:rPr>
          <w:sz w:val="24"/>
        </w:rPr>
      </w:pPr>
      <w:r>
        <w:rPr>
          <w:sz w:val="24"/>
        </w:rPr>
        <w:t>In preparing a response to a </w:t>
      </w:r>
      <w:r>
        <w:rPr>
          <w:i/>
          <w:sz w:val="24"/>
        </w:rPr>
        <w:t>connection </w:t>
      </w:r>
      <w:r>
        <w:rPr>
          <w:sz w:val="24"/>
        </w:rPr>
        <w:t>enquiry, the </w:t>
      </w:r>
      <w:r>
        <w:rPr>
          <w:i/>
          <w:sz w:val="24"/>
        </w:rPr>
        <w:t>Network Service </w:t>
      </w:r>
      <w:r>
        <w:rPr>
          <w:i/>
          <w:sz w:val="24"/>
        </w:rPr>
        <w:t>Provider </w:t>
      </w:r>
      <w:r>
        <w:rPr>
          <w:sz w:val="24"/>
        </w:rPr>
        <w:t>must liaise with other </w:t>
      </w:r>
      <w:r>
        <w:rPr>
          <w:i/>
          <w:sz w:val="24"/>
        </w:rPr>
        <w:t>Network Service Providers </w:t>
      </w:r>
      <w:r>
        <w:rPr>
          <w:sz w:val="24"/>
        </w:rPr>
        <w:t>with whom it has </w:t>
      </w:r>
      <w:r>
        <w:rPr>
          <w:i/>
          <w:sz w:val="24"/>
        </w:rPr>
        <w:t>connection agreements</w:t>
      </w:r>
      <w:r>
        <w:rPr>
          <w:sz w:val="24"/>
        </w:rPr>
        <w:t>, if the </w:t>
      </w:r>
      <w:r>
        <w:rPr>
          <w:i/>
          <w:sz w:val="24"/>
        </w:rPr>
        <w:t>Network Service Provider </w:t>
      </w:r>
      <w:r>
        <w:rPr>
          <w:sz w:val="24"/>
        </w:rPr>
        <w:t>believes, in its reasonable opinion, that compliance with the terms and conditions of those </w:t>
      </w:r>
      <w:r>
        <w:rPr>
          <w:i/>
          <w:sz w:val="24"/>
        </w:rPr>
        <w:t>connection agreements </w:t>
      </w:r>
      <w:r>
        <w:rPr>
          <w:sz w:val="24"/>
        </w:rPr>
        <w:t>will be affected. The </w:t>
      </w:r>
      <w:r>
        <w:rPr>
          <w:i/>
          <w:sz w:val="24"/>
        </w:rPr>
        <w:t>Network Service Provider </w:t>
      </w:r>
      <w:r>
        <w:rPr>
          <w:sz w:val="24"/>
        </w:rPr>
        <w:t>responding to the </w:t>
      </w:r>
      <w:r>
        <w:rPr>
          <w:i/>
          <w:sz w:val="24"/>
        </w:rPr>
        <w:t>connection </w:t>
      </w:r>
      <w:r>
        <w:rPr>
          <w:sz w:val="24"/>
        </w:rPr>
        <w:t>enquiry may include in that response the reasonable requirements of any such other </w:t>
      </w:r>
      <w:r>
        <w:rPr>
          <w:i/>
          <w:sz w:val="24"/>
        </w:rPr>
        <w:t>Network Service Providers </w:t>
      </w:r>
      <w:r>
        <w:rPr>
          <w:spacing w:val="-5"/>
          <w:sz w:val="24"/>
        </w:rPr>
        <w:t>for </w:t>
      </w:r>
      <w:r>
        <w:rPr>
          <w:sz w:val="24"/>
        </w:rPr>
        <w:t>information to be provided by the </w:t>
      </w:r>
      <w:r>
        <w:rPr>
          <w:i/>
          <w:sz w:val="24"/>
        </w:rPr>
        <w:t>Connection</w:t>
      </w:r>
      <w:r>
        <w:rPr>
          <w:i/>
          <w:spacing w:val="-2"/>
          <w:sz w:val="24"/>
        </w:rPr>
        <w:t> </w:t>
      </w:r>
      <w:r>
        <w:rPr>
          <w:i/>
          <w:sz w:val="24"/>
        </w:rPr>
        <w:t>Applicant</w:t>
      </w:r>
      <w:r>
        <w:rPr>
          <w:sz w:val="24"/>
        </w:rPr>
        <w:t>.</w:t>
      </w:r>
    </w:p>
    <w:p>
      <w:pPr>
        <w:pStyle w:val="ListParagraph"/>
        <w:numPr>
          <w:ilvl w:val="3"/>
          <w:numId w:val="166"/>
        </w:numPr>
        <w:tabs>
          <w:tab w:pos="1919" w:val="left" w:leader="none"/>
        </w:tabs>
        <w:spacing w:line="240" w:lineRule="auto" w:before="120" w:after="0"/>
        <w:ind w:left="1918" w:right="0" w:hanging="567"/>
        <w:jc w:val="both"/>
        <w:rPr>
          <w:sz w:val="24"/>
        </w:rPr>
      </w:pPr>
      <w:r>
        <w:rPr>
          <w:sz w:val="24"/>
        </w:rPr>
        <w:t>The </w:t>
      </w:r>
      <w:r>
        <w:rPr>
          <w:i/>
          <w:sz w:val="24"/>
        </w:rPr>
        <w:t>Network Service Provider</w:t>
      </w:r>
      <w:r>
        <w:rPr>
          <w:i/>
          <w:spacing w:val="-1"/>
          <w:sz w:val="24"/>
        </w:rPr>
        <w:t> </w:t>
      </w:r>
      <w:r>
        <w:rPr>
          <w:sz w:val="24"/>
        </w:rPr>
        <w:t>must:</w:t>
      </w:r>
    </w:p>
    <w:p>
      <w:pPr>
        <w:pStyle w:val="ListParagraph"/>
        <w:numPr>
          <w:ilvl w:val="4"/>
          <w:numId w:val="166"/>
        </w:numPr>
        <w:tabs>
          <w:tab w:pos="2486" w:val="left" w:leader="none"/>
        </w:tabs>
        <w:spacing w:line="240" w:lineRule="auto" w:before="120" w:after="0"/>
        <w:ind w:left="2486" w:right="414" w:hanging="567"/>
        <w:jc w:val="both"/>
        <w:rPr>
          <w:sz w:val="24"/>
        </w:rPr>
      </w:pPr>
      <w:r>
        <w:rPr>
          <w:sz w:val="24"/>
        </w:rPr>
        <w:t>within 30 </w:t>
      </w:r>
      <w:r>
        <w:rPr>
          <w:i/>
          <w:sz w:val="24"/>
        </w:rPr>
        <w:t>business days </w:t>
      </w:r>
      <w:r>
        <w:rPr>
          <w:sz w:val="24"/>
        </w:rPr>
        <w:t>after receipt of the </w:t>
      </w:r>
      <w:r>
        <w:rPr>
          <w:i/>
          <w:sz w:val="24"/>
        </w:rPr>
        <w:t>connection </w:t>
      </w:r>
      <w:r>
        <w:rPr>
          <w:sz w:val="24"/>
        </w:rPr>
        <w:t>enquiry and all such additional information (if any) advised under clause 5.3.2(b);</w:t>
      </w:r>
      <w:r>
        <w:rPr>
          <w:spacing w:val="-6"/>
          <w:sz w:val="24"/>
        </w:rPr>
        <w:t> </w:t>
      </w:r>
      <w:r>
        <w:rPr>
          <w:sz w:val="24"/>
        </w:rPr>
        <w:t>or</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within 30 </w:t>
      </w:r>
      <w:r>
        <w:rPr>
          <w:i/>
          <w:sz w:val="24"/>
        </w:rPr>
        <w:t>business days </w:t>
      </w:r>
      <w:r>
        <w:rPr>
          <w:sz w:val="24"/>
        </w:rPr>
        <w:t>after receipt of a request from the </w:t>
      </w:r>
      <w:r>
        <w:rPr>
          <w:i/>
          <w:sz w:val="24"/>
        </w:rPr>
        <w:t>Connection </w:t>
      </w:r>
      <w:r>
        <w:rPr>
          <w:i/>
          <w:sz w:val="24"/>
        </w:rPr>
        <w:t>Applicant </w:t>
      </w:r>
      <w:r>
        <w:rPr>
          <w:sz w:val="24"/>
        </w:rPr>
        <w:t>to the </w:t>
      </w:r>
      <w:r>
        <w:rPr>
          <w:i/>
          <w:sz w:val="24"/>
        </w:rPr>
        <w:t>Local Network Service Provider </w:t>
      </w:r>
      <w:r>
        <w:rPr>
          <w:sz w:val="24"/>
        </w:rPr>
        <w:t>to process the </w:t>
      </w:r>
      <w:r>
        <w:rPr>
          <w:i/>
          <w:sz w:val="24"/>
        </w:rPr>
        <w:t>connection </w:t>
      </w:r>
      <w:r>
        <w:rPr>
          <w:sz w:val="24"/>
        </w:rPr>
        <w:t>enquiry under clause</w:t>
      </w:r>
      <w:r>
        <w:rPr>
          <w:spacing w:val="-1"/>
          <w:sz w:val="24"/>
        </w:rPr>
        <w:t> </w:t>
      </w:r>
      <w:r>
        <w:rPr>
          <w:sz w:val="24"/>
        </w:rPr>
        <w:t>5.3.2(d),</w:t>
      </w:r>
    </w:p>
    <w:p>
      <w:pPr>
        <w:spacing w:before="120"/>
        <w:ind w:left="1919" w:right="0" w:firstLine="0"/>
        <w:jc w:val="both"/>
        <w:rPr>
          <w:sz w:val="24"/>
        </w:rPr>
      </w:pPr>
      <w:r>
        <w:rPr>
          <w:sz w:val="24"/>
        </w:rPr>
        <w:t>provide the following information in writing to the </w:t>
      </w:r>
      <w:r>
        <w:rPr>
          <w:i/>
          <w:sz w:val="24"/>
        </w:rPr>
        <w:t>Connection Applicant</w:t>
      </w:r>
      <w:r>
        <w:rPr>
          <w:sz w:val="24"/>
        </w:rPr>
        <w:t>:</w:t>
      </w:r>
    </w:p>
    <w:p>
      <w:pPr>
        <w:pStyle w:val="ListParagraph"/>
        <w:numPr>
          <w:ilvl w:val="4"/>
          <w:numId w:val="166"/>
        </w:numPr>
        <w:tabs>
          <w:tab w:pos="2486" w:val="left" w:leader="none"/>
        </w:tabs>
        <w:spacing w:line="240" w:lineRule="auto" w:before="120" w:after="0"/>
        <w:ind w:left="2485" w:right="0" w:hanging="567"/>
        <w:jc w:val="both"/>
        <w:rPr>
          <w:i/>
          <w:sz w:val="24"/>
        </w:rPr>
      </w:pPr>
      <w:r>
        <w:rPr>
          <w:sz w:val="24"/>
        </w:rPr>
        <w:t>the</w:t>
      </w:r>
      <w:r>
        <w:rPr>
          <w:spacing w:val="36"/>
          <w:sz w:val="24"/>
        </w:rPr>
        <w:t> </w:t>
      </w:r>
      <w:r>
        <w:rPr>
          <w:sz w:val="24"/>
        </w:rPr>
        <w:t>identity</w:t>
      </w:r>
      <w:r>
        <w:rPr>
          <w:spacing w:val="37"/>
          <w:sz w:val="24"/>
        </w:rPr>
        <w:t> </w:t>
      </w:r>
      <w:r>
        <w:rPr>
          <w:sz w:val="24"/>
        </w:rPr>
        <w:t>of</w:t>
      </w:r>
      <w:r>
        <w:rPr>
          <w:spacing w:val="37"/>
          <w:sz w:val="24"/>
        </w:rPr>
        <w:t> </w:t>
      </w:r>
      <w:r>
        <w:rPr>
          <w:sz w:val="24"/>
        </w:rPr>
        <w:t>other</w:t>
      </w:r>
      <w:r>
        <w:rPr>
          <w:spacing w:val="37"/>
          <w:sz w:val="24"/>
        </w:rPr>
        <w:t> </w:t>
      </w:r>
      <w:r>
        <w:rPr>
          <w:sz w:val="24"/>
        </w:rPr>
        <w:t>parties</w:t>
      </w:r>
      <w:r>
        <w:rPr>
          <w:spacing w:val="37"/>
          <w:sz w:val="24"/>
        </w:rPr>
        <w:t> </w:t>
      </w:r>
      <w:r>
        <w:rPr>
          <w:sz w:val="24"/>
        </w:rPr>
        <w:t>that</w:t>
      </w:r>
      <w:r>
        <w:rPr>
          <w:spacing w:val="36"/>
          <w:sz w:val="24"/>
        </w:rPr>
        <w:t> </w:t>
      </w:r>
      <w:r>
        <w:rPr>
          <w:sz w:val="24"/>
        </w:rPr>
        <w:t>the</w:t>
      </w:r>
      <w:r>
        <w:rPr>
          <w:spacing w:val="37"/>
          <w:sz w:val="24"/>
        </w:rPr>
        <w:t> </w:t>
      </w:r>
      <w:r>
        <w:rPr>
          <w:i/>
          <w:sz w:val="24"/>
        </w:rPr>
        <w:t>Network</w:t>
      </w:r>
      <w:r>
        <w:rPr>
          <w:i/>
          <w:spacing w:val="37"/>
          <w:sz w:val="24"/>
        </w:rPr>
        <w:t> </w:t>
      </w:r>
      <w:r>
        <w:rPr>
          <w:i/>
          <w:sz w:val="24"/>
        </w:rPr>
        <w:t>Service</w:t>
      </w:r>
      <w:r>
        <w:rPr>
          <w:i/>
          <w:spacing w:val="37"/>
          <w:sz w:val="24"/>
        </w:rPr>
        <w:t> </w:t>
      </w:r>
      <w:r>
        <w:rPr>
          <w:i/>
          <w:sz w:val="24"/>
        </w:rPr>
        <w:t>Provider</w:t>
      </w:r>
    </w:p>
    <w:p>
      <w:pPr>
        <w:pStyle w:val="BodyText"/>
        <w:spacing w:before="0"/>
        <w:ind w:left="2486" w:firstLine="0"/>
        <w:jc w:val="left"/>
      </w:pPr>
      <w:r>
        <w:rPr/>
        <w:t>considers:</w:t>
      </w:r>
    </w:p>
    <w:p>
      <w:pPr>
        <w:pStyle w:val="ListParagraph"/>
        <w:numPr>
          <w:ilvl w:val="5"/>
          <w:numId w:val="166"/>
        </w:numPr>
        <w:tabs>
          <w:tab w:pos="3052" w:val="left" w:leader="none"/>
          <w:tab w:pos="3053" w:val="left" w:leader="none"/>
        </w:tabs>
        <w:spacing w:line="240" w:lineRule="auto" w:before="120" w:after="0"/>
        <w:ind w:left="3052" w:right="0" w:hanging="567"/>
        <w:jc w:val="left"/>
        <w:rPr>
          <w:sz w:val="24"/>
        </w:rPr>
      </w:pPr>
      <w:r>
        <w:rPr>
          <w:sz w:val="24"/>
        </w:rPr>
        <w:t>will need to be involved in planning to make the </w:t>
      </w:r>
      <w:r>
        <w:rPr>
          <w:i/>
          <w:sz w:val="24"/>
        </w:rPr>
        <w:t>connection</w:t>
      </w:r>
      <w:r>
        <w:rPr>
          <w:sz w:val="24"/>
        </w:rPr>
        <w:t>;</w:t>
      </w:r>
      <w:r>
        <w:rPr>
          <w:spacing w:val="-4"/>
          <w:sz w:val="24"/>
        </w:rPr>
        <w:t> </w:t>
      </w:r>
      <w:r>
        <w:rPr>
          <w:sz w:val="24"/>
        </w:rPr>
        <w:t>and</w:t>
      </w:r>
    </w:p>
    <w:p>
      <w:pPr>
        <w:pStyle w:val="ListParagraph"/>
        <w:numPr>
          <w:ilvl w:val="5"/>
          <w:numId w:val="166"/>
        </w:numPr>
        <w:tabs>
          <w:tab w:pos="3052" w:val="left" w:leader="none"/>
          <w:tab w:pos="3054" w:val="left" w:leader="none"/>
        </w:tabs>
        <w:spacing w:line="240" w:lineRule="auto" w:before="120" w:after="0"/>
        <w:ind w:left="3053" w:right="416" w:hanging="567"/>
        <w:jc w:val="left"/>
        <w:rPr>
          <w:sz w:val="24"/>
        </w:rPr>
      </w:pPr>
      <w:r>
        <w:rPr>
          <w:sz w:val="24"/>
        </w:rPr>
        <w:t>must be paid for </w:t>
      </w:r>
      <w:r>
        <w:rPr>
          <w:i/>
          <w:sz w:val="24"/>
        </w:rPr>
        <w:t>transmission services </w:t>
      </w:r>
      <w:r>
        <w:rPr>
          <w:sz w:val="24"/>
        </w:rPr>
        <w:t>or </w:t>
      </w:r>
      <w:r>
        <w:rPr>
          <w:i/>
          <w:sz w:val="24"/>
        </w:rPr>
        <w:t>distribution services </w:t>
      </w:r>
      <w:r>
        <w:rPr>
          <w:sz w:val="24"/>
        </w:rPr>
        <w:t>in the appropriate</w:t>
      </w:r>
      <w:r>
        <w:rPr>
          <w:spacing w:val="-1"/>
          <w:sz w:val="24"/>
        </w:rPr>
        <w:t> </w:t>
      </w:r>
      <w:r>
        <w:rPr>
          <w:sz w:val="24"/>
        </w:rPr>
        <w:t>jurisdiction;</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whether it will be necessary for any of the parties identified in subparagraph (3) to enter into an agreement with the </w:t>
      </w:r>
      <w:r>
        <w:rPr>
          <w:i/>
          <w:sz w:val="24"/>
        </w:rPr>
        <w:t>Connection </w:t>
      </w:r>
      <w:r>
        <w:rPr>
          <w:i/>
          <w:sz w:val="24"/>
        </w:rPr>
        <w:t>Applicant </w:t>
      </w:r>
      <w:r>
        <w:rPr>
          <w:sz w:val="24"/>
        </w:rPr>
        <w:t>in respect of the provision of </w:t>
      </w:r>
      <w:r>
        <w:rPr>
          <w:i/>
          <w:sz w:val="24"/>
        </w:rPr>
        <w:t>connection </w:t>
      </w:r>
      <w:r>
        <w:rPr>
          <w:sz w:val="24"/>
        </w:rPr>
        <w:t>or </w:t>
      </w:r>
      <w:r>
        <w:rPr>
          <w:spacing w:val="-4"/>
          <w:sz w:val="24"/>
        </w:rPr>
        <w:t>other </w:t>
      </w:r>
      <w:r>
        <w:rPr>
          <w:i/>
          <w:sz w:val="24"/>
        </w:rPr>
        <w:t>transmission services </w:t>
      </w:r>
      <w:r>
        <w:rPr>
          <w:sz w:val="24"/>
        </w:rPr>
        <w:t>or </w:t>
      </w:r>
      <w:r>
        <w:rPr>
          <w:i/>
          <w:sz w:val="24"/>
        </w:rPr>
        <w:t>distribution services </w:t>
      </w:r>
      <w:r>
        <w:rPr>
          <w:sz w:val="24"/>
        </w:rPr>
        <w:t>or both, to the </w:t>
      </w:r>
      <w:r>
        <w:rPr>
          <w:i/>
          <w:sz w:val="24"/>
        </w:rPr>
        <w:t>Connection</w:t>
      </w:r>
      <w:r>
        <w:rPr>
          <w:i/>
          <w:spacing w:val="-1"/>
          <w:sz w:val="24"/>
        </w:rPr>
        <w:t> </w:t>
      </w:r>
      <w:r>
        <w:rPr>
          <w:i/>
          <w:sz w:val="24"/>
        </w:rPr>
        <w:t>Applicant</w:t>
      </w:r>
      <w:r>
        <w:rPr>
          <w:sz w:val="24"/>
        </w:rPr>
        <w:t>;</w:t>
      </w:r>
    </w:p>
    <w:p>
      <w:pPr>
        <w:pStyle w:val="ListParagraph"/>
        <w:numPr>
          <w:ilvl w:val="4"/>
          <w:numId w:val="166"/>
        </w:numPr>
        <w:tabs>
          <w:tab w:pos="2486" w:val="left" w:leader="none"/>
        </w:tabs>
        <w:spacing w:line="240" w:lineRule="auto" w:before="120" w:after="0"/>
        <w:ind w:left="2486" w:right="416" w:hanging="567"/>
        <w:jc w:val="both"/>
        <w:rPr>
          <w:sz w:val="24"/>
        </w:rPr>
      </w:pPr>
      <w:r>
        <w:rPr>
          <w:sz w:val="24"/>
        </w:rPr>
        <w:t>in relation to </w:t>
      </w:r>
      <w:r>
        <w:rPr>
          <w:i/>
          <w:sz w:val="24"/>
        </w:rPr>
        <w:t>Distribution Network Service Providers </w:t>
      </w:r>
      <w:r>
        <w:rPr>
          <w:sz w:val="24"/>
        </w:rPr>
        <w:t>and </w:t>
      </w:r>
      <w:r>
        <w:rPr>
          <w:i/>
          <w:sz w:val="24"/>
        </w:rPr>
        <w:t>Network </w:t>
      </w:r>
      <w:r>
        <w:rPr>
          <w:i/>
          <w:sz w:val="24"/>
        </w:rPr>
        <w:t>Service Providers </w:t>
      </w:r>
      <w:r>
        <w:rPr>
          <w:sz w:val="24"/>
        </w:rPr>
        <w:t>for </w:t>
      </w:r>
      <w:r>
        <w:rPr>
          <w:i/>
          <w:sz w:val="24"/>
        </w:rPr>
        <w:t>declared transmission systems</w:t>
      </w:r>
      <w:r>
        <w:rPr>
          <w:sz w:val="24"/>
        </w:rPr>
        <w:t>, whether any service the </w:t>
      </w:r>
      <w:r>
        <w:rPr>
          <w:i/>
          <w:sz w:val="24"/>
        </w:rPr>
        <w:t>Network Service Provider </w:t>
      </w:r>
      <w:r>
        <w:rPr>
          <w:sz w:val="24"/>
        </w:rPr>
        <w:t>proposes to provide is </w:t>
      </w:r>
      <w:r>
        <w:rPr>
          <w:i/>
          <w:sz w:val="24"/>
        </w:rPr>
        <w:t>contestable </w:t>
      </w:r>
      <w:r>
        <w:rPr>
          <w:sz w:val="24"/>
        </w:rPr>
        <w:t>in the relevant </w:t>
      </w:r>
      <w:r>
        <w:rPr>
          <w:i/>
          <w:sz w:val="24"/>
        </w:rPr>
        <w:t>participating</w:t>
      </w:r>
      <w:r>
        <w:rPr>
          <w:i/>
          <w:spacing w:val="-1"/>
          <w:sz w:val="24"/>
        </w:rPr>
        <w:t> </w:t>
      </w:r>
      <w:r>
        <w:rPr>
          <w:i/>
          <w:sz w:val="24"/>
        </w:rPr>
        <w:t>jurisdiction</w:t>
      </w:r>
      <w:r>
        <w:rPr>
          <w:sz w:val="24"/>
        </w:rPr>
        <w:t>;</w:t>
      </w:r>
    </w:p>
    <w:p>
      <w:pPr>
        <w:spacing w:before="120"/>
        <w:ind w:left="2486" w:right="415" w:hanging="567"/>
        <w:jc w:val="both"/>
        <w:rPr>
          <w:sz w:val="24"/>
        </w:rPr>
      </w:pPr>
      <w:r>
        <w:rPr>
          <w:sz w:val="24"/>
        </w:rPr>
        <w:t>(5A) whether any service a </w:t>
      </w:r>
      <w:r>
        <w:rPr>
          <w:i/>
          <w:sz w:val="24"/>
        </w:rPr>
        <w:t>Transmission Network Service Provider </w:t>
      </w:r>
      <w:r>
        <w:rPr>
          <w:sz w:val="24"/>
        </w:rPr>
        <w:t>proposes to provide in relation to the </w:t>
      </w:r>
      <w:r>
        <w:rPr>
          <w:i/>
          <w:sz w:val="24"/>
        </w:rPr>
        <w:t>connection </w:t>
      </w:r>
      <w:r>
        <w:rPr>
          <w:sz w:val="24"/>
        </w:rPr>
        <w:t>enquiry is a </w:t>
      </w:r>
      <w:r>
        <w:rPr>
          <w:i/>
          <w:sz w:val="24"/>
        </w:rPr>
        <w:t>prescribed transmission service</w:t>
      </w:r>
      <w:r>
        <w:rPr>
          <w:sz w:val="24"/>
        </w:rPr>
        <w:t>, a </w:t>
      </w:r>
      <w:r>
        <w:rPr>
          <w:i/>
          <w:sz w:val="24"/>
        </w:rPr>
        <w:t>negotiated transmission service </w:t>
      </w:r>
      <w:r>
        <w:rPr>
          <w:sz w:val="24"/>
        </w:rPr>
        <w:t>or  a </w:t>
      </w:r>
      <w:r>
        <w:rPr>
          <w:i/>
          <w:sz w:val="24"/>
        </w:rPr>
        <w:t>non-regulated transmission service </w:t>
      </w:r>
      <w:r>
        <w:rPr>
          <w:sz w:val="24"/>
        </w:rPr>
        <w:t>including, if</w:t>
      </w:r>
      <w:r>
        <w:rPr>
          <w:spacing w:val="-5"/>
          <w:sz w:val="24"/>
        </w:rPr>
        <w:t> </w:t>
      </w:r>
      <w:r>
        <w:rPr>
          <w:sz w:val="24"/>
        </w:rPr>
        <w:t>applicable:</w:t>
      </w:r>
    </w:p>
    <w:p>
      <w:pPr>
        <w:pStyle w:val="ListParagraph"/>
        <w:numPr>
          <w:ilvl w:val="5"/>
          <w:numId w:val="166"/>
        </w:numPr>
        <w:tabs>
          <w:tab w:pos="3053" w:val="left" w:leader="none"/>
        </w:tabs>
        <w:spacing w:line="240" w:lineRule="auto" w:before="120" w:after="0"/>
        <w:ind w:left="3053" w:right="415" w:hanging="567"/>
        <w:jc w:val="both"/>
        <w:rPr>
          <w:sz w:val="24"/>
        </w:rPr>
      </w:pPr>
      <w:r>
        <w:rPr>
          <w:sz w:val="24"/>
        </w:rPr>
        <w:t>whether the capital cost of any </w:t>
      </w:r>
      <w:r>
        <w:rPr>
          <w:i/>
          <w:sz w:val="24"/>
        </w:rPr>
        <w:t>identified user shared asset </w:t>
      </w:r>
      <w:r>
        <w:rPr>
          <w:sz w:val="24"/>
        </w:rPr>
        <w:t>is reasonably expected to exceed $10 million;</w:t>
      </w:r>
      <w:r>
        <w:rPr>
          <w:spacing w:val="-1"/>
          <w:sz w:val="24"/>
        </w:rPr>
        <w:t> </w:t>
      </w:r>
      <w:r>
        <w:rPr>
          <w:sz w:val="24"/>
        </w:rPr>
        <w:t>and</w:t>
      </w:r>
    </w:p>
    <w:p>
      <w:pPr>
        <w:pStyle w:val="ListParagraph"/>
        <w:numPr>
          <w:ilvl w:val="5"/>
          <w:numId w:val="166"/>
        </w:numPr>
        <w:tabs>
          <w:tab w:pos="3054" w:val="left" w:leader="none"/>
        </w:tabs>
        <w:spacing w:line="240" w:lineRule="auto" w:before="120" w:after="0"/>
        <w:ind w:left="3053" w:right="415" w:hanging="567"/>
        <w:jc w:val="both"/>
        <w:rPr>
          <w:sz w:val="24"/>
        </w:rPr>
      </w:pPr>
      <w:r>
        <w:rPr>
          <w:sz w:val="24"/>
        </w:rPr>
        <w:t>if so, the </w:t>
      </w:r>
      <w:r>
        <w:rPr>
          <w:i/>
          <w:sz w:val="24"/>
        </w:rPr>
        <w:t>contestable IUSA components </w:t>
      </w:r>
      <w:r>
        <w:rPr>
          <w:sz w:val="24"/>
        </w:rPr>
        <w:t>and </w:t>
      </w:r>
      <w:r>
        <w:rPr>
          <w:i/>
          <w:sz w:val="24"/>
        </w:rPr>
        <w:t>non-contestable </w:t>
      </w:r>
      <w:r>
        <w:rPr>
          <w:i/>
          <w:sz w:val="24"/>
        </w:rPr>
        <w:t>IUSA components</w:t>
      </w:r>
      <w:r>
        <w:rPr>
          <w:sz w:val="24"/>
        </w:rPr>
        <w:t>;</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a </w:t>
      </w:r>
      <w:r>
        <w:rPr>
          <w:i/>
          <w:sz w:val="24"/>
        </w:rPr>
        <w:t>preliminary program </w:t>
      </w:r>
      <w:r>
        <w:rPr>
          <w:sz w:val="24"/>
        </w:rPr>
        <w:t>showing proposed milestones for </w:t>
      </w:r>
      <w:r>
        <w:rPr>
          <w:i/>
          <w:sz w:val="24"/>
        </w:rPr>
        <w:t>connection </w:t>
      </w:r>
      <w:r>
        <w:rPr>
          <w:sz w:val="24"/>
        </w:rPr>
        <w:t>and access activities which may be modified from time to time by agreement of the parties, where such agreement must not be unreasonably</w:t>
      </w:r>
      <w:r>
        <w:rPr>
          <w:spacing w:val="-1"/>
          <w:sz w:val="24"/>
        </w:rPr>
        <w:t> </w:t>
      </w:r>
      <w:r>
        <w:rPr>
          <w:sz w:val="24"/>
        </w:rPr>
        <w:t>withheld;</w:t>
      </w:r>
    </w:p>
    <w:p>
      <w:pPr>
        <w:spacing w:after="0" w:line="240" w:lineRule="auto"/>
        <w:jc w:val="both"/>
        <w:rPr>
          <w:sz w:val="24"/>
        </w:rPr>
        <w:sectPr>
          <w:pgSz w:w="11910" w:h="16840"/>
          <w:pgMar w:header="686" w:footer="637" w:top="1320" w:bottom="820" w:left="1200" w:right="1000"/>
        </w:sectPr>
      </w:pPr>
    </w:p>
    <w:p>
      <w:pPr>
        <w:pStyle w:val="ListParagraph"/>
        <w:numPr>
          <w:ilvl w:val="4"/>
          <w:numId w:val="166"/>
        </w:numPr>
        <w:tabs>
          <w:tab w:pos="2486" w:val="left" w:leader="none"/>
        </w:tabs>
        <w:spacing w:line="240" w:lineRule="auto" w:before="83" w:after="0"/>
        <w:ind w:left="2486" w:right="414" w:hanging="567"/>
        <w:jc w:val="both"/>
        <w:rPr>
          <w:sz w:val="24"/>
        </w:rPr>
      </w:pPr>
      <w:r>
        <w:rPr>
          <w:sz w:val="24"/>
        </w:rPr>
        <w:t>the specification of the interface required to provide the </w:t>
      </w:r>
      <w:r>
        <w:rPr>
          <w:i/>
          <w:sz w:val="24"/>
        </w:rPr>
        <w:t>connection</w:t>
      </w:r>
      <w:r>
        <w:rPr>
          <w:sz w:val="24"/>
        </w:rPr>
        <w:t>, including plant and equipment requirements for the </w:t>
      </w:r>
      <w:r>
        <w:rPr>
          <w:i/>
          <w:sz w:val="24"/>
        </w:rPr>
        <w:t>connection </w:t>
      </w:r>
      <w:r>
        <w:rPr>
          <w:sz w:val="24"/>
        </w:rPr>
        <w:t>of a </w:t>
      </w:r>
      <w:r>
        <w:rPr>
          <w:i/>
          <w:sz w:val="24"/>
        </w:rPr>
        <w:t>dedicated connection asset </w:t>
      </w:r>
      <w:r>
        <w:rPr>
          <w:sz w:val="24"/>
        </w:rPr>
        <w:t>to the </w:t>
      </w:r>
      <w:r>
        <w:rPr>
          <w:i/>
          <w:sz w:val="24"/>
        </w:rPr>
        <w:t>transmission network </w:t>
      </w:r>
      <w:r>
        <w:rPr>
          <w:sz w:val="24"/>
        </w:rPr>
        <w:t>and of </w:t>
      </w:r>
      <w:r>
        <w:rPr>
          <w:spacing w:val="-5"/>
          <w:sz w:val="24"/>
        </w:rPr>
        <w:t>the </w:t>
      </w:r>
      <w:r>
        <w:rPr>
          <w:sz w:val="24"/>
        </w:rPr>
        <w:t>interface between the </w:t>
      </w:r>
      <w:r>
        <w:rPr>
          <w:i/>
          <w:sz w:val="24"/>
        </w:rPr>
        <w:t>transmission network </w:t>
      </w:r>
      <w:r>
        <w:rPr>
          <w:sz w:val="24"/>
        </w:rPr>
        <w:t>and any </w:t>
      </w:r>
      <w:r>
        <w:rPr>
          <w:i/>
          <w:sz w:val="24"/>
        </w:rPr>
        <w:t>contestable IUSA </w:t>
      </w:r>
      <w:r>
        <w:rPr>
          <w:i/>
          <w:sz w:val="24"/>
        </w:rPr>
        <w:t>components</w:t>
      </w:r>
      <w:r>
        <w:rPr>
          <w:sz w:val="24"/>
        </w:rPr>
        <w:t>;</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if applicable, the scope of work for any </w:t>
      </w:r>
      <w:r>
        <w:rPr>
          <w:i/>
          <w:sz w:val="24"/>
        </w:rPr>
        <w:t>non-contestable IUSA </w:t>
      </w:r>
      <w:r>
        <w:rPr>
          <w:i/>
          <w:sz w:val="24"/>
        </w:rPr>
        <w:t>components</w:t>
      </w:r>
      <w:r>
        <w:rPr>
          <w:sz w:val="24"/>
        </w:rPr>
        <w:t>;</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if the response to the </w:t>
      </w:r>
      <w:r>
        <w:rPr>
          <w:i/>
          <w:sz w:val="24"/>
        </w:rPr>
        <w:t>connection enquiry </w:t>
      </w:r>
      <w:r>
        <w:rPr>
          <w:sz w:val="24"/>
        </w:rPr>
        <w:t>specifies the need for an </w:t>
      </w:r>
      <w:r>
        <w:rPr>
          <w:i/>
          <w:sz w:val="24"/>
        </w:rPr>
        <w:t>identified user shared asset </w:t>
      </w:r>
      <w:r>
        <w:rPr>
          <w:sz w:val="24"/>
        </w:rPr>
        <w:t>the capital cost of which is reasonably expected to exceed $10 million, a functional</w:t>
      </w:r>
      <w:r>
        <w:rPr>
          <w:spacing w:val="-3"/>
          <w:sz w:val="24"/>
        </w:rPr>
        <w:t> </w:t>
      </w:r>
      <w:r>
        <w:rPr>
          <w:sz w:val="24"/>
        </w:rPr>
        <w:t>specification:</w:t>
      </w:r>
    </w:p>
    <w:p>
      <w:pPr>
        <w:pStyle w:val="ListParagraph"/>
        <w:numPr>
          <w:ilvl w:val="5"/>
          <w:numId w:val="166"/>
        </w:numPr>
        <w:tabs>
          <w:tab w:pos="3053" w:val="left" w:leader="none"/>
        </w:tabs>
        <w:spacing w:line="240" w:lineRule="auto" w:before="120" w:after="0"/>
        <w:ind w:left="3053" w:right="415" w:hanging="567"/>
        <w:jc w:val="both"/>
        <w:rPr>
          <w:sz w:val="24"/>
        </w:rPr>
      </w:pPr>
      <w:r>
        <w:rPr>
          <w:sz w:val="24"/>
        </w:rPr>
        <w:t>setting out the technical parameters for that asset as described in the table in clause 5.2A.4 with sufficient detail to enable the </w:t>
      </w:r>
      <w:r>
        <w:rPr>
          <w:i/>
          <w:sz w:val="24"/>
        </w:rPr>
        <w:t>Connection Applicant </w:t>
      </w:r>
      <w:r>
        <w:rPr>
          <w:sz w:val="24"/>
        </w:rPr>
        <w:t>to obtain binding tenders for the provision of detailed design, construction and ownership services for the </w:t>
      </w:r>
      <w:r>
        <w:rPr>
          <w:i/>
          <w:sz w:val="24"/>
        </w:rPr>
        <w:t>contestable IUSA</w:t>
      </w:r>
      <w:r>
        <w:rPr>
          <w:i/>
          <w:spacing w:val="-1"/>
          <w:sz w:val="24"/>
        </w:rPr>
        <w:t> </w:t>
      </w:r>
      <w:r>
        <w:rPr>
          <w:i/>
          <w:sz w:val="24"/>
        </w:rPr>
        <w:t>components</w:t>
      </w:r>
      <w:r>
        <w:rPr>
          <w:sz w:val="24"/>
        </w:rPr>
        <w:t>;</w:t>
      </w:r>
    </w:p>
    <w:p>
      <w:pPr>
        <w:pStyle w:val="ListParagraph"/>
        <w:numPr>
          <w:ilvl w:val="5"/>
          <w:numId w:val="166"/>
        </w:numPr>
        <w:tabs>
          <w:tab w:pos="3054" w:val="left" w:leader="none"/>
        </w:tabs>
        <w:spacing w:line="240" w:lineRule="auto" w:before="120" w:after="0"/>
        <w:ind w:left="3053" w:right="415" w:hanging="567"/>
        <w:jc w:val="both"/>
        <w:rPr>
          <w:sz w:val="24"/>
        </w:rPr>
      </w:pPr>
      <w:r>
        <w:rPr>
          <w:sz w:val="24"/>
        </w:rPr>
        <w:t>at the </w:t>
      </w:r>
      <w:r>
        <w:rPr>
          <w:i/>
          <w:sz w:val="24"/>
        </w:rPr>
        <w:t>Primary Transmission Network Service Provider's </w:t>
      </w:r>
      <w:r>
        <w:rPr>
          <w:sz w:val="24"/>
        </w:rPr>
        <w:t>option, that is above those minimum requirements in subparagraph (i) subject to the </w:t>
      </w:r>
      <w:r>
        <w:rPr>
          <w:i/>
          <w:sz w:val="24"/>
        </w:rPr>
        <w:t>Primary Transmission Network Service Provider </w:t>
      </w:r>
      <w:r>
        <w:rPr>
          <w:sz w:val="24"/>
        </w:rPr>
        <w:t>separately identifying the additional requirements and agreeing to fund the additional works related to those</w:t>
      </w:r>
      <w:r>
        <w:rPr>
          <w:spacing w:val="-4"/>
          <w:sz w:val="24"/>
        </w:rPr>
        <w:t> </w:t>
      </w:r>
      <w:r>
        <w:rPr>
          <w:sz w:val="24"/>
        </w:rPr>
        <w:t>requirements;</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an indicative costing for operation and maintenance services for any </w:t>
      </w:r>
      <w:r>
        <w:rPr>
          <w:i/>
          <w:sz w:val="24"/>
        </w:rPr>
        <w:t>identified user shared asset</w:t>
      </w:r>
      <w:r>
        <w:rPr>
          <w:sz w:val="24"/>
        </w:rPr>
        <w:t>, based on the functional specification provided pursuant to subparagraph (9);</w:t>
      </w:r>
      <w:r>
        <w:rPr>
          <w:spacing w:val="-3"/>
          <w:sz w:val="24"/>
        </w:rPr>
        <w:t> </w:t>
      </w:r>
      <w:r>
        <w:rPr>
          <w:sz w:val="24"/>
        </w:rPr>
        <w:t>and</w:t>
      </w:r>
    </w:p>
    <w:p>
      <w:pPr>
        <w:pStyle w:val="ListParagraph"/>
        <w:numPr>
          <w:ilvl w:val="4"/>
          <w:numId w:val="166"/>
        </w:numPr>
        <w:tabs>
          <w:tab w:pos="2486" w:val="left" w:leader="none"/>
        </w:tabs>
        <w:spacing w:line="240" w:lineRule="auto" w:before="120" w:after="0"/>
        <w:ind w:left="2485" w:right="0" w:hanging="567"/>
        <w:jc w:val="both"/>
        <w:rPr>
          <w:sz w:val="24"/>
        </w:rPr>
      </w:pPr>
      <w:r>
        <w:rPr>
          <w:sz w:val="24"/>
        </w:rPr>
        <w:t>the amount of any enquiry fee under clause</w:t>
      </w:r>
      <w:r>
        <w:rPr>
          <w:spacing w:val="-2"/>
          <w:sz w:val="24"/>
        </w:rPr>
        <w:t> </w:t>
      </w:r>
      <w:r>
        <w:rPr>
          <w:sz w:val="24"/>
        </w:rPr>
        <w:t>5.3.2(g).</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352" w:right="0" w:firstLine="0"/>
        <w:jc w:val="both"/>
        <w:rPr>
          <w:sz w:val="24"/>
        </w:rPr>
      </w:pPr>
      <w:r>
        <w:rPr>
          <w:sz w:val="24"/>
        </w:rPr>
        <w:t>(b1) The </w:t>
      </w:r>
      <w:r>
        <w:rPr>
          <w:i/>
          <w:sz w:val="24"/>
        </w:rPr>
        <w:t>Network Service Provider </w:t>
      </w:r>
      <w:r>
        <w:rPr>
          <w:sz w:val="24"/>
        </w:rPr>
        <w:t>must:</w:t>
      </w:r>
    </w:p>
    <w:p>
      <w:pPr>
        <w:pStyle w:val="ListParagraph"/>
        <w:numPr>
          <w:ilvl w:val="0"/>
          <w:numId w:val="168"/>
        </w:numPr>
        <w:tabs>
          <w:tab w:pos="2486" w:val="left" w:leader="none"/>
        </w:tabs>
        <w:spacing w:line="240" w:lineRule="auto" w:before="120" w:after="0"/>
        <w:ind w:left="2486" w:right="414" w:hanging="567"/>
        <w:jc w:val="both"/>
        <w:rPr>
          <w:sz w:val="24"/>
        </w:rPr>
      </w:pPr>
      <w:r>
        <w:rPr>
          <w:sz w:val="24"/>
        </w:rPr>
        <w:t>within 30 </w:t>
      </w:r>
      <w:r>
        <w:rPr>
          <w:i/>
          <w:sz w:val="24"/>
        </w:rPr>
        <w:t>business days </w:t>
      </w:r>
      <w:r>
        <w:rPr>
          <w:sz w:val="24"/>
        </w:rPr>
        <w:t>after receipt of the </w:t>
      </w:r>
      <w:r>
        <w:rPr>
          <w:i/>
          <w:sz w:val="24"/>
        </w:rPr>
        <w:t>connection </w:t>
      </w:r>
      <w:r>
        <w:rPr>
          <w:sz w:val="24"/>
        </w:rPr>
        <w:t>enquiry and all such additional information (if any) advised under clause 5.3.2(b);</w:t>
      </w:r>
      <w:r>
        <w:rPr>
          <w:spacing w:val="-6"/>
          <w:sz w:val="24"/>
        </w:rPr>
        <w:t> </w:t>
      </w:r>
      <w:r>
        <w:rPr>
          <w:sz w:val="24"/>
        </w:rPr>
        <w:t>or</w:t>
      </w:r>
    </w:p>
    <w:p>
      <w:pPr>
        <w:pStyle w:val="ListParagraph"/>
        <w:numPr>
          <w:ilvl w:val="0"/>
          <w:numId w:val="168"/>
        </w:numPr>
        <w:tabs>
          <w:tab w:pos="2486" w:val="left" w:leader="none"/>
        </w:tabs>
        <w:spacing w:line="240" w:lineRule="auto" w:before="120" w:after="0"/>
        <w:ind w:left="2486" w:right="415" w:hanging="567"/>
        <w:jc w:val="both"/>
        <w:rPr>
          <w:sz w:val="24"/>
        </w:rPr>
      </w:pPr>
      <w:r>
        <w:rPr>
          <w:sz w:val="24"/>
        </w:rPr>
        <w:t>within 30 </w:t>
      </w:r>
      <w:r>
        <w:rPr>
          <w:i/>
          <w:sz w:val="24"/>
        </w:rPr>
        <w:t>business days </w:t>
      </w:r>
      <w:r>
        <w:rPr>
          <w:sz w:val="24"/>
        </w:rPr>
        <w:t>after receipt of a request from the </w:t>
      </w:r>
      <w:r>
        <w:rPr>
          <w:i/>
          <w:sz w:val="24"/>
        </w:rPr>
        <w:t>Connection </w:t>
      </w:r>
      <w:r>
        <w:rPr>
          <w:i/>
          <w:sz w:val="24"/>
        </w:rPr>
        <w:t>Applicant </w:t>
      </w:r>
      <w:r>
        <w:rPr>
          <w:sz w:val="24"/>
        </w:rPr>
        <w:t>to the </w:t>
      </w:r>
      <w:r>
        <w:rPr>
          <w:i/>
          <w:sz w:val="24"/>
        </w:rPr>
        <w:t>Local Network Service Provider </w:t>
      </w:r>
      <w:r>
        <w:rPr>
          <w:sz w:val="24"/>
        </w:rPr>
        <w:t>to process the </w:t>
      </w:r>
      <w:r>
        <w:rPr>
          <w:i/>
          <w:sz w:val="24"/>
        </w:rPr>
        <w:t>connection </w:t>
      </w:r>
      <w:r>
        <w:rPr>
          <w:sz w:val="24"/>
        </w:rPr>
        <w:t>enquiry under clause</w:t>
      </w:r>
      <w:r>
        <w:rPr>
          <w:spacing w:val="-1"/>
          <w:sz w:val="24"/>
        </w:rPr>
        <w:t> </w:t>
      </w:r>
      <w:r>
        <w:rPr>
          <w:sz w:val="24"/>
        </w:rPr>
        <w:t>5.3.2(d),</w:t>
      </w:r>
    </w:p>
    <w:p>
      <w:pPr>
        <w:spacing w:before="120"/>
        <w:ind w:left="1919" w:right="416" w:firstLine="0"/>
        <w:jc w:val="both"/>
        <w:rPr>
          <w:sz w:val="24"/>
        </w:rPr>
      </w:pPr>
      <w:r>
        <w:rPr>
          <w:sz w:val="24"/>
        </w:rPr>
        <w:t>provide the </w:t>
      </w:r>
      <w:r>
        <w:rPr>
          <w:i/>
          <w:sz w:val="24"/>
        </w:rPr>
        <w:t>Connection Applicant </w:t>
      </w:r>
      <w:r>
        <w:rPr>
          <w:sz w:val="24"/>
        </w:rPr>
        <w:t>with the following written details of each technical requirement relevant to the proposed </w:t>
      </w:r>
      <w:r>
        <w:rPr>
          <w:i/>
          <w:sz w:val="24"/>
        </w:rPr>
        <w:t>plant</w:t>
      </w:r>
      <w:r>
        <w:rPr>
          <w:sz w:val="24"/>
        </w:rPr>
        <w:t>:</w:t>
      </w:r>
    </w:p>
    <w:p>
      <w:pPr>
        <w:pStyle w:val="ListParagraph"/>
        <w:numPr>
          <w:ilvl w:val="0"/>
          <w:numId w:val="168"/>
        </w:numPr>
        <w:tabs>
          <w:tab w:pos="2486" w:val="left" w:leader="none"/>
        </w:tabs>
        <w:spacing w:line="240" w:lineRule="auto" w:before="120" w:after="0"/>
        <w:ind w:left="2486" w:right="415" w:hanging="567"/>
        <w:jc w:val="both"/>
        <w:rPr>
          <w:sz w:val="24"/>
        </w:rPr>
      </w:pPr>
      <w:r>
        <w:rPr>
          <w:sz w:val="24"/>
        </w:rPr>
        <w:t>the access arrangements specified in the </w:t>
      </w:r>
      <w:r>
        <w:rPr>
          <w:i/>
          <w:sz w:val="24"/>
        </w:rPr>
        <w:t>jurisdictional electricity </w:t>
      </w:r>
      <w:r>
        <w:rPr>
          <w:i/>
          <w:sz w:val="24"/>
        </w:rPr>
        <w:t>legislation</w:t>
      </w:r>
      <w:r>
        <w:rPr>
          <w:sz w:val="24"/>
        </w:rPr>
        <w:t>;</w:t>
      </w:r>
      <w:r>
        <w:rPr>
          <w:spacing w:val="-1"/>
          <w:sz w:val="24"/>
        </w:rPr>
        <w:t> </w:t>
      </w:r>
      <w:r>
        <w:rPr>
          <w:sz w:val="24"/>
        </w:rPr>
        <w:t>and</w:t>
      </w:r>
    </w:p>
    <w:p>
      <w:pPr>
        <w:pStyle w:val="ListParagraph"/>
        <w:numPr>
          <w:ilvl w:val="0"/>
          <w:numId w:val="168"/>
        </w:numPr>
        <w:tabs>
          <w:tab w:pos="2200" w:val="left" w:leader="none"/>
        </w:tabs>
        <w:spacing w:line="240" w:lineRule="auto" w:before="120" w:after="0"/>
        <w:ind w:left="2199" w:right="0" w:hanging="281"/>
        <w:jc w:val="left"/>
        <w:rPr>
          <w:sz w:val="24"/>
        </w:rPr>
      </w:pPr>
      <w:r>
        <w:rPr>
          <w:sz w:val="24"/>
        </w:rPr>
        <w:t>(4)</w:t>
      </w:r>
    </w:p>
    <w:p>
      <w:pPr>
        <w:pStyle w:val="ListParagraph"/>
        <w:numPr>
          <w:ilvl w:val="0"/>
          <w:numId w:val="168"/>
        </w:numPr>
        <w:tabs>
          <w:tab w:pos="2200" w:val="left" w:leader="none"/>
        </w:tabs>
        <w:spacing w:line="240" w:lineRule="auto" w:before="120" w:after="0"/>
        <w:ind w:left="2199" w:right="0" w:hanging="281"/>
        <w:jc w:val="left"/>
        <w:rPr>
          <w:sz w:val="24"/>
        </w:rPr>
      </w:pPr>
      <w:r>
        <w:rPr>
          <w:sz w:val="24"/>
        </w:rPr>
        <w:t>(5)</w:t>
      </w:r>
    </w:p>
    <w:p>
      <w:pPr>
        <w:pStyle w:val="ListParagraph"/>
        <w:numPr>
          <w:ilvl w:val="0"/>
          <w:numId w:val="168"/>
        </w:numPr>
        <w:tabs>
          <w:tab w:pos="2200" w:val="left" w:leader="none"/>
        </w:tabs>
        <w:spacing w:line="240" w:lineRule="auto" w:before="120" w:after="0"/>
        <w:ind w:left="2199" w:right="0" w:hanging="281"/>
        <w:jc w:val="left"/>
        <w:rPr>
          <w:sz w:val="24"/>
        </w:rPr>
      </w:pPr>
      <w:r>
        <w:rPr>
          <w:sz w:val="24"/>
        </w:rPr>
        <w:t>(6)</w:t>
      </w:r>
    </w:p>
    <w:p>
      <w:pPr>
        <w:pStyle w:val="ListParagraph"/>
        <w:numPr>
          <w:ilvl w:val="0"/>
          <w:numId w:val="168"/>
        </w:numPr>
        <w:tabs>
          <w:tab w:pos="2485" w:val="left" w:leader="none"/>
          <w:tab w:pos="2486" w:val="left" w:leader="none"/>
        </w:tabs>
        <w:spacing w:line="240" w:lineRule="auto" w:before="120" w:after="0"/>
        <w:ind w:left="2485" w:right="0" w:hanging="567"/>
        <w:jc w:val="left"/>
        <w:rPr>
          <w:i/>
          <w:sz w:val="24"/>
        </w:rPr>
      </w:pPr>
      <w:r>
        <w:rPr>
          <w:sz w:val="24"/>
        </w:rPr>
        <w:t>the </w:t>
      </w:r>
      <w:r>
        <w:rPr>
          <w:i/>
          <w:sz w:val="24"/>
        </w:rPr>
        <w:t>normal voltage </w:t>
      </w:r>
      <w:r>
        <w:rPr>
          <w:sz w:val="24"/>
        </w:rPr>
        <w:t>level, if that is to change from the </w:t>
      </w:r>
      <w:r>
        <w:rPr>
          <w:i/>
          <w:sz w:val="24"/>
        </w:rPr>
        <w:t>nominal</w:t>
      </w:r>
      <w:r>
        <w:rPr>
          <w:i/>
          <w:spacing w:val="10"/>
          <w:sz w:val="24"/>
        </w:rPr>
        <w:t> </w:t>
      </w:r>
      <w:r>
        <w:rPr>
          <w:i/>
          <w:sz w:val="24"/>
        </w:rPr>
        <w:t>voltage</w:t>
      </w:r>
    </w:p>
    <w:p>
      <w:pPr>
        <w:pStyle w:val="BodyText"/>
        <w:spacing w:before="0"/>
        <w:ind w:left="2486" w:firstLine="0"/>
        <w:jc w:val="left"/>
      </w:pPr>
      <w:r>
        <w:rPr/>
        <w:t>level.</w:t>
      </w:r>
    </w:p>
    <w:p>
      <w:pPr>
        <w:spacing w:after="0"/>
        <w:jc w:val="left"/>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5" w:hanging="567"/>
        <w:jc w:val="both"/>
        <w:rPr>
          <w:sz w:val="24"/>
        </w:rPr>
      </w:pPr>
      <w:r>
        <w:rPr>
          <w:sz w:val="24"/>
        </w:rPr>
        <w:t>(b2) A </w:t>
      </w:r>
      <w:r>
        <w:rPr>
          <w:i/>
          <w:sz w:val="24"/>
        </w:rPr>
        <w:t>Registered Participant</w:t>
      </w:r>
      <w:r>
        <w:rPr>
          <w:sz w:val="24"/>
        </w:rPr>
        <w:t>, </w:t>
      </w:r>
      <w:r>
        <w:rPr>
          <w:i/>
          <w:sz w:val="24"/>
        </w:rPr>
        <w:t>AEMO </w:t>
      </w:r>
      <w:r>
        <w:rPr>
          <w:sz w:val="24"/>
        </w:rPr>
        <w:t>or </w:t>
      </w:r>
      <w:r>
        <w:rPr>
          <w:i/>
          <w:sz w:val="24"/>
        </w:rPr>
        <w:t>interested party </w:t>
      </w:r>
      <w:r>
        <w:rPr>
          <w:sz w:val="24"/>
        </w:rPr>
        <w:t>may request </w:t>
      </w:r>
      <w:r>
        <w:rPr>
          <w:spacing w:val="-4"/>
          <w:sz w:val="24"/>
        </w:rPr>
        <w:t>the </w:t>
      </w:r>
      <w:r>
        <w:rPr>
          <w:i/>
          <w:sz w:val="24"/>
        </w:rPr>
        <w:t>Reliability Panel </w:t>
      </w:r>
      <w:r>
        <w:rPr>
          <w:sz w:val="24"/>
        </w:rPr>
        <w:t>to determine whether, in respect of one or more technical requirements for access, an existing Australian or international standard, or a part thereof, may be adopted as a </w:t>
      </w:r>
      <w:r>
        <w:rPr>
          <w:i/>
          <w:sz w:val="24"/>
        </w:rPr>
        <w:t>plant standard </w:t>
      </w:r>
      <w:r>
        <w:rPr>
          <w:sz w:val="24"/>
        </w:rPr>
        <w:t>for a particular class of </w:t>
      </w:r>
      <w:r>
        <w:rPr>
          <w:i/>
          <w:sz w:val="24"/>
        </w:rPr>
        <w:t>plant</w:t>
      </w:r>
      <w:r>
        <w:rPr>
          <w:sz w:val="24"/>
        </w:rPr>
        <w:t>.</w:t>
      </w:r>
    </w:p>
    <w:p>
      <w:pPr>
        <w:spacing w:before="120"/>
        <w:ind w:left="1919" w:right="415" w:hanging="567"/>
        <w:jc w:val="both"/>
        <w:rPr>
          <w:sz w:val="24"/>
        </w:rPr>
      </w:pPr>
      <w:r>
        <w:rPr>
          <w:sz w:val="24"/>
        </w:rPr>
        <w:t>(b3) Where, in respect of a technical requirement for access, the </w:t>
      </w:r>
      <w:r>
        <w:rPr>
          <w:i/>
          <w:sz w:val="24"/>
        </w:rPr>
        <w:t>Reliability Panel </w:t>
      </w:r>
      <w:r>
        <w:rPr>
          <w:sz w:val="24"/>
        </w:rPr>
        <w:t>determines a </w:t>
      </w:r>
      <w:r>
        <w:rPr>
          <w:i/>
          <w:sz w:val="24"/>
        </w:rPr>
        <w:t>plant standard </w:t>
      </w:r>
      <w:r>
        <w:rPr>
          <w:sz w:val="24"/>
        </w:rPr>
        <w:t>for a particular class of </w:t>
      </w:r>
      <w:r>
        <w:rPr>
          <w:i/>
          <w:sz w:val="24"/>
        </w:rPr>
        <w:t>plant </w:t>
      </w:r>
      <w:r>
        <w:rPr>
          <w:sz w:val="24"/>
        </w:rPr>
        <w:t>in accordance with clause 8.8.1(a)(8) as an acceptable alternative to a particular </w:t>
      </w:r>
      <w:r>
        <w:rPr>
          <w:i/>
          <w:sz w:val="24"/>
        </w:rPr>
        <w:t>minimum </w:t>
      </w:r>
      <w:r>
        <w:rPr>
          <w:i/>
          <w:sz w:val="24"/>
        </w:rPr>
        <w:t>access standard </w:t>
      </w:r>
      <w:r>
        <w:rPr>
          <w:sz w:val="24"/>
        </w:rPr>
        <w:t>or </w:t>
      </w:r>
      <w:r>
        <w:rPr>
          <w:i/>
          <w:sz w:val="24"/>
        </w:rPr>
        <w:t>automatic access standard</w:t>
      </w:r>
      <w:r>
        <w:rPr>
          <w:sz w:val="24"/>
        </w:rPr>
        <w:t>, a </w:t>
      </w:r>
      <w:r>
        <w:rPr>
          <w:i/>
          <w:sz w:val="24"/>
        </w:rPr>
        <w:t>plant </w:t>
      </w:r>
      <w:r>
        <w:rPr>
          <w:sz w:val="24"/>
        </w:rPr>
        <w:t>which meets that </w:t>
      </w:r>
      <w:r>
        <w:rPr>
          <w:i/>
          <w:sz w:val="24"/>
        </w:rPr>
        <w:t>plant standard </w:t>
      </w:r>
      <w:r>
        <w:rPr>
          <w:sz w:val="24"/>
        </w:rPr>
        <w:t>is deemed to meet the applicable </w:t>
      </w:r>
      <w:r>
        <w:rPr>
          <w:i/>
          <w:sz w:val="24"/>
        </w:rPr>
        <w:t>automatic access standard </w:t>
      </w:r>
      <w:r>
        <w:rPr>
          <w:sz w:val="24"/>
        </w:rPr>
        <w:t>or </w:t>
      </w:r>
      <w:r>
        <w:rPr>
          <w:i/>
          <w:sz w:val="24"/>
        </w:rPr>
        <w:t>minimum access standard </w:t>
      </w:r>
      <w:r>
        <w:rPr>
          <w:sz w:val="24"/>
        </w:rPr>
        <w:t>for that technical</w:t>
      </w:r>
      <w:r>
        <w:rPr>
          <w:spacing w:val="-5"/>
          <w:sz w:val="24"/>
        </w:rPr>
        <w:t> </w:t>
      </w:r>
      <w:r>
        <w:rPr>
          <w:sz w:val="24"/>
        </w:rPr>
        <w:t>requirement.</w:t>
      </w:r>
    </w:p>
    <w:p>
      <w:pPr>
        <w:spacing w:before="120"/>
        <w:ind w:left="1919" w:right="416" w:hanging="567"/>
        <w:jc w:val="both"/>
        <w:rPr>
          <w:sz w:val="24"/>
        </w:rPr>
      </w:pPr>
      <w:r>
        <w:rPr>
          <w:sz w:val="24"/>
        </w:rPr>
        <w:t>(b4) In making a determination in accordance with clause 5.3.3(b2)  the </w:t>
      </w:r>
      <w:r>
        <w:rPr>
          <w:i/>
          <w:sz w:val="24"/>
        </w:rPr>
        <w:t>Reliability Panel </w:t>
      </w:r>
      <w:r>
        <w:rPr>
          <w:sz w:val="24"/>
        </w:rPr>
        <w:t>must consult </w:t>
      </w:r>
      <w:r>
        <w:rPr>
          <w:i/>
          <w:sz w:val="24"/>
        </w:rPr>
        <w:t>Registered Participants </w:t>
      </w:r>
      <w:r>
        <w:rPr>
          <w:sz w:val="24"/>
        </w:rPr>
        <w:t>and </w:t>
      </w:r>
      <w:r>
        <w:rPr>
          <w:i/>
          <w:sz w:val="24"/>
        </w:rPr>
        <w:t>AEMO </w:t>
      </w:r>
      <w:r>
        <w:rPr>
          <w:sz w:val="24"/>
        </w:rPr>
        <w:t>using the </w:t>
      </w:r>
      <w:r>
        <w:rPr>
          <w:i/>
          <w:sz w:val="24"/>
        </w:rPr>
        <w:t>Rules consultation</w:t>
      </w:r>
      <w:r>
        <w:rPr>
          <w:i/>
          <w:spacing w:val="-1"/>
          <w:sz w:val="24"/>
        </w:rPr>
        <w:t> </w:t>
      </w:r>
      <w:r>
        <w:rPr>
          <w:i/>
          <w:sz w:val="24"/>
        </w:rPr>
        <w:t>procedures</w:t>
      </w:r>
      <w:r>
        <w:rPr>
          <w:sz w:val="24"/>
        </w:rPr>
        <w:t>.</w:t>
      </w:r>
    </w:p>
    <w:p>
      <w:pPr>
        <w:spacing w:before="120"/>
        <w:ind w:left="1919" w:right="415" w:hanging="567"/>
        <w:jc w:val="both"/>
        <w:rPr>
          <w:sz w:val="24"/>
        </w:rPr>
      </w:pPr>
      <w:r>
        <w:rPr>
          <w:sz w:val="24"/>
        </w:rPr>
        <w:t>(b5) For a </w:t>
      </w:r>
      <w:r>
        <w:rPr>
          <w:i/>
          <w:sz w:val="24"/>
        </w:rPr>
        <w:t>connection point </w:t>
      </w:r>
      <w:r>
        <w:rPr>
          <w:sz w:val="24"/>
        </w:rPr>
        <w:t>for a proposed new </w:t>
      </w:r>
      <w:r>
        <w:rPr>
          <w:i/>
          <w:sz w:val="24"/>
        </w:rPr>
        <w:t>connection </w:t>
      </w:r>
      <w:r>
        <w:rPr>
          <w:sz w:val="24"/>
        </w:rPr>
        <w:t>of  a  </w:t>
      </w:r>
      <w:r>
        <w:rPr>
          <w:i/>
          <w:sz w:val="24"/>
        </w:rPr>
        <w:t>generating </w:t>
      </w:r>
      <w:r>
        <w:rPr>
          <w:i/>
          <w:sz w:val="24"/>
        </w:rPr>
        <w:t>system </w:t>
      </w:r>
      <w:r>
        <w:rPr>
          <w:sz w:val="24"/>
        </w:rPr>
        <w:t>or </w:t>
      </w:r>
      <w:r>
        <w:rPr>
          <w:i/>
          <w:sz w:val="24"/>
        </w:rPr>
        <w:t>market network service facility</w:t>
      </w:r>
      <w:r>
        <w:rPr>
          <w:sz w:val="24"/>
        </w:rPr>
        <w:t>, within the time applicable under paragraph (b1), the </w:t>
      </w:r>
      <w:r>
        <w:rPr>
          <w:i/>
          <w:sz w:val="24"/>
        </w:rPr>
        <w:t>Network Service Provider </w:t>
      </w:r>
      <w:r>
        <w:rPr>
          <w:sz w:val="24"/>
        </w:rPr>
        <w:t>must provide the </w:t>
      </w:r>
      <w:r>
        <w:rPr>
          <w:i/>
          <w:sz w:val="24"/>
        </w:rPr>
        <w:t>Connection </w:t>
      </w:r>
      <w:r>
        <w:rPr>
          <w:i/>
          <w:sz w:val="24"/>
        </w:rPr>
        <w:t>Applicant </w:t>
      </w:r>
      <w:r>
        <w:rPr>
          <w:sz w:val="24"/>
        </w:rPr>
        <w:t>with written details of the minimum </w:t>
      </w:r>
      <w:r>
        <w:rPr>
          <w:i/>
          <w:sz w:val="24"/>
        </w:rPr>
        <w:t>three phase fault level </w:t>
      </w:r>
      <w:r>
        <w:rPr>
          <w:sz w:val="24"/>
        </w:rPr>
        <w:t>at the </w:t>
      </w:r>
      <w:r>
        <w:rPr>
          <w:i/>
          <w:sz w:val="24"/>
        </w:rPr>
        <w:t>connection</w:t>
      </w:r>
      <w:r>
        <w:rPr>
          <w:i/>
          <w:spacing w:val="-1"/>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66"/>
        </w:numPr>
        <w:tabs>
          <w:tab w:pos="1919" w:val="left" w:leader="none"/>
        </w:tabs>
        <w:spacing w:line="240" w:lineRule="auto" w:before="120" w:after="0"/>
        <w:ind w:left="1919" w:right="414" w:hanging="567"/>
        <w:jc w:val="both"/>
        <w:rPr>
          <w:sz w:val="24"/>
        </w:rPr>
      </w:pPr>
      <w:r>
        <w:rPr>
          <w:sz w:val="24"/>
        </w:rPr>
        <w:t>Within 30 </w:t>
      </w:r>
      <w:r>
        <w:rPr>
          <w:i/>
          <w:sz w:val="24"/>
        </w:rPr>
        <w:t>business days </w:t>
      </w:r>
      <w:r>
        <w:rPr>
          <w:sz w:val="24"/>
        </w:rPr>
        <w:t>after receipt of the </w:t>
      </w:r>
      <w:r>
        <w:rPr>
          <w:i/>
          <w:sz w:val="24"/>
        </w:rPr>
        <w:t>connection </w:t>
      </w:r>
      <w:r>
        <w:rPr>
          <w:sz w:val="24"/>
        </w:rPr>
        <w:t>enquiry and all such additional information (if any) advised under clause 5.3.2(b) or, if </w:t>
      </w:r>
      <w:r>
        <w:rPr>
          <w:spacing w:val="-6"/>
          <w:sz w:val="24"/>
        </w:rPr>
        <w:t>the </w:t>
      </w:r>
      <w:r>
        <w:rPr>
          <w:i/>
          <w:sz w:val="24"/>
        </w:rPr>
        <w:t>Connection Applicant </w:t>
      </w:r>
      <w:r>
        <w:rPr>
          <w:sz w:val="24"/>
        </w:rPr>
        <w:t>has requested the </w:t>
      </w:r>
      <w:r>
        <w:rPr>
          <w:i/>
          <w:sz w:val="24"/>
        </w:rPr>
        <w:t>Local Network Service Provider </w:t>
      </w:r>
      <w:r>
        <w:rPr>
          <w:sz w:val="24"/>
        </w:rPr>
        <w:t>to process the </w:t>
      </w:r>
      <w:r>
        <w:rPr>
          <w:i/>
          <w:sz w:val="24"/>
        </w:rPr>
        <w:t>connection </w:t>
      </w:r>
      <w:r>
        <w:rPr>
          <w:sz w:val="24"/>
        </w:rPr>
        <w:t>enquiry under clause 5.3.2(d), within 30 </w:t>
      </w:r>
      <w:r>
        <w:rPr>
          <w:i/>
          <w:sz w:val="24"/>
        </w:rPr>
        <w:t>business </w:t>
      </w:r>
      <w:r>
        <w:rPr>
          <w:i/>
          <w:sz w:val="24"/>
        </w:rPr>
        <w:t>days </w:t>
      </w:r>
      <w:r>
        <w:rPr>
          <w:sz w:val="24"/>
        </w:rPr>
        <w:t>after receipt of that request, the </w:t>
      </w:r>
      <w:r>
        <w:rPr>
          <w:i/>
          <w:sz w:val="24"/>
        </w:rPr>
        <w:t>Network Service Provider </w:t>
      </w:r>
      <w:r>
        <w:rPr>
          <w:sz w:val="24"/>
        </w:rPr>
        <w:t>must  provide to the </w:t>
      </w:r>
      <w:r>
        <w:rPr>
          <w:i/>
          <w:sz w:val="24"/>
        </w:rPr>
        <w:t>Connection Applicant </w:t>
      </w:r>
      <w:r>
        <w:rPr>
          <w:sz w:val="24"/>
        </w:rPr>
        <w:t>written advice of all further information which the </w:t>
      </w:r>
      <w:r>
        <w:rPr>
          <w:i/>
          <w:sz w:val="24"/>
        </w:rPr>
        <w:t>Connection Applicant </w:t>
      </w:r>
      <w:r>
        <w:rPr>
          <w:sz w:val="24"/>
        </w:rPr>
        <w:t>must prepare and obtain in conjunction with the </w:t>
      </w:r>
      <w:r>
        <w:rPr>
          <w:i/>
          <w:sz w:val="24"/>
        </w:rPr>
        <w:t>Network Service Provider </w:t>
      </w:r>
      <w:r>
        <w:rPr>
          <w:sz w:val="24"/>
        </w:rPr>
        <w:t>to enable the </w:t>
      </w:r>
      <w:r>
        <w:rPr>
          <w:i/>
          <w:sz w:val="24"/>
        </w:rPr>
        <w:t>Network </w:t>
      </w:r>
      <w:r>
        <w:rPr>
          <w:i/>
          <w:sz w:val="24"/>
        </w:rPr>
        <w:t>Service Provider </w:t>
      </w:r>
      <w:r>
        <w:rPr>
          <w:sz w:val="24"/>
        </w:rPr>
        <w:t>to assess an </w:t>
      </w:r>
      <w:r>
        <w:rPr>
          <w:i/>
          <w:sz w:val="24"/>
        </w:rPr>
        <w:t>application to connect</w:t>
      </w:r>
      <w:r>
        <w:rPr>
          <w:i/>
          <w:spacing w:val="-3"/>
          <w:sz w:val="24"/>
        </w:rPr>
        <w:t> </w:t>
      </w:r>
      <w:r>
        <w:rPr>
          <w:sz w:val="24"/>
        </w:rPr>
        <w:t>including:</w:t>
      </w:r>
    </w:p>
    <w:p>
      <w:pPr>
        <w:pStyle w:val="ListParagraph"/>
        <w:numPr>
          <w:ilvl w:val="4"/>
          <w:numId w:val="166"/>
        </w:numPr>
        <w:tabs>
          <w:tab w:pos="2486" w:val="left" w:leader="none"/>
        </w:tabs>
        <w:spacing w:line="240" w:lineRule="auto" w:before="120" w:after="0"/>
        <w:ind w:left="2486" w:right="414" w:hanging="567"/>
        <w:jc w:val="both"/>
        <w:rPr>
          <w:sz w:val="24"/>
        </w:rPr>
      </w:pPr>
      <w:r>
        <w:rPr>
          <w:sz w:val="24"/>
        </w:rPr>
        <w:t>details of the </w:t>
      </w:r>
      <w:r>
        <w:rPr>
          <w:i/>
          <w:sz w:val="24"/>
        </w:rPr>
        <w:t>Connection Applicant's connection </w:t>
      </w:r>
      <w:r>
        <w:rPr>
          <w:sz w:val="24"/>
        </w:rPr>
        <w:t>requirements, and the </w:t>
      </w:r>
      <w:r>
        <w:rPr>
          <w:i/>
          <w:sz w:val="24"/>
        </w:rPr>
        <w:t>Connection Applicant's </w:t>
      </w:r>
      <w:r>
        <w:rPr>
          <w:sz w:val="24"/>
        </w:rPr>
        <w:t>specifications of the </w:t>
      </w:r>
      <w:r>
        <w:rPr>
          <w:i/>
          <w:sz w:val="24"/>
        </w:rPr>
        <w:t>facility </w:t>
      </w:r>
      <w:r>
        <w:rPr>
          <w:sz w:val="24"/>
        </w:rPr>
        <w:t>to be connected, consistent with  the  requirements  advised  in  accordance  with  clause 5.3.3(b1);</w:t>
      </w:r>
    </w:p>
    <w:p>
      <w:pPr>
        <w:pStyle w:val="ListParagraph"/>
        <w:numPr>
          <w:ilvl w:val="4"/>
          <w:numId w:val="166"/>
        </w:numPr>
        <w:tabs>
          <w:tab w:pos="2486" w:val="left" w:leader="none"/>
        </w:tabs>
        <w:spacing w:line="240" w:lineRule="auto" w:before="120" w:after="0"/>
        <w:ind w:left="2486" w:right="415" w:hanging="567"/>
        <w:jc w:val="both"/>
        <w:rPr>
          <w:sz w:val="24"/>
        </w:rPr>
      </w:pPr>
      <w:r>
        <w:rPr>
          <w:sz w:val="24"/>
        </w:rPr>
        <w:t>details of the </w:t>
      </w:r>
      <w:r>
        <w:rPr>
          <w:i/>
          <w:sz w:val="24"/>
        </w:rPr>
        <w:t>Connection Applicant's </w:t>
      </w:r>
      <w:r>
        <w:rPr>
          <w:sz w:val="24"/>
        </w:rPr>
        <w:t>reasonable expectations of the level and standard of service of </w:t>
      </w:r>
      <w:r>
        <w:rPr>
          <w:i/>
          <w:sz w:val="24"/>
        </w:rPr>
        <w:t>power transfer capability </w:t>
      </w:r>
      <w:r>
        <w:rPr>
          <w:sz w:val="24"/>
        </w:rPr>
        <w:t>that the </w:t>
      </w:r>
      <w:r>
        <w:rPr>
          <w:i/>
          <w:sz w:val="24"/>
        </w:rPr>
        <w:t>network </w:t>
      </w:r>
      <w:r>
        <w:rPr>
          <w:sz w:val="24"/>
        </w:rPr>
        <w:t>should</w:t>
      </w:r>
      <w:r>
        <w:rPr>
          <w:spacing w:val="-2"/>
          <w:sz w:val="24"/>
        </w:rPr>
        <w:t> </w:t>
      </w:r>
      <w:r>
        <w:rPr>
          <w:sz w:val="24"/>
        </w:rPr>
        <w:t>provide;</w:t>
      </w:r>
    </w:p>
    <w:p>
      <w:pPr>
        <w:pStyle w:val="ListParagraph"/>
        <w:numPr>
          <w:ilvl w:val="4"/>
          <w:numId w:val="166"/>
        </w:numPr>
        <w:tabs>
          <w:tab w:pos="2486" w:val="left" w:leader="none"/>
        </w:tabs>
        <w:spacing w:line="240" w:lineRule="auto" w:before="120" w:after="0"/>
        <w:ind w:left="2486" w:right="414" w:hanging="567"/>
        <w:jc w:val="both"/>
        <w:rPr>
          <w:sz w:val="24"/>
        </w:rPr>
      </w:pPr>
      <w:r>
        <w:rPr>
          <w:sz w:val="24"/>
        </w:rPr>
        <w:t>a list of the technical data to be included with the </w:t>
      </w:r>
      <w:r>
        <w:rPr>
          <w:i/>
          <w:sz w:val="24"/>
        </w:rPr>
        <w:t>application to </w:t>
      </w:r>
      <w:r>
        <w:rPr>
          <w:i/>
          <w:sz w:val="24"/>
        </w:rPr>
        <w:t>connect</w:t>
      </w:r>
      <w:r>
        <w:rPr>
          <w:sz w:val="24"/>
        </w:rPr>
        <w:t>, which may vary depending on the </w:t>
      </w:r>
      <w:r>
        <w:rPr>
          <w:i/>
          <w:sz w:val="24"/>
        </w:rPr>
        <w:t>connection </w:t>
      </w:r>
      <w:r>
        <w:rPr>
          <w:sz w:val="24"/>
        </w:rPr>
        <w:t>requirements and the type, rating and location of the </w:t>
      </w:r>
      <w:r>
        <w:rPr>
          <w:i/>
          <w:sz w:val="24"/>
        </w:rPr>
        <w:t>facility </w:t>
      </w:r>
      <w:r>
        <w:rPr>
          <w:sz w:val="24"/>
        </w:rPr>
        <w:t>to be </w:t>
      </w:r>
      <w:r>
        <w:rPr>
          <w:i/>
          <w:sz w:val="24"/>
        </w:rPr>
        <w:t>connected </w:t>
      </w:r>
      <w:r>
        <w:rPr>
          <w:spacing w:val="-4"/>
          <w:sz w:val="24"/>
        </w:rPr>
        <w:t>and </w:t>
      </w:r>
      <w:r>
        <w:rPr>
          <w:sz w:val="24"/>
        </w:rPr>
        <w:t>will</w:t>
      </w:r>
      <w:r>
        <w:rPr>
          <w:spacing w:val="46"/>
          <w:sz w:val="24"/>
        </w:rPr>
        <w:t> </w:t>
      </w:r>
      <w:r>
        <w:rPr>
          <w:sz w:val="24"/>
        </w:rPr>
        <w:t>generally</w:t>
      </w:r>
      <w:r>
        <w:rPr>
          <w:spacing w:val="46"/>
          <w:sz w:val="24"/>
        </w:rPr>
        <w:t> </w:t>
      </w:r>
      <w:r>
        <w:rPr>
          <w:sz w:val="24"/>
        </w:rPr>
        <w:t>be</w:t>
      </w:r>
      <w:r>
        <w:rPr>
          <w:spacing w:val="46"/>
          <w:sz w:val="24"/>
        </w:rPr>
        <w:t> </w:t>
      </w:r>
      <w:r>
        <w:rPr>
          <w:sz w:val="24"/>
        </w:rPr>
        <w:t>in</w:t>
      </w:r>
      <w:r>
        <w:rPr>
          <w:spacing w:val="47"/>
          <w:sz w:val="24"/>
        </w:rPr>
        <w:t> </w:t>
      </w:r>
      <w:r>
        <w:rPr>
          <w:sz w:val="24"/>
        </w:rPr>
        <w:t>the</w:t>
      </w:r>
      <w:r>
        <w:rPr>
          <w:spacing w:val="46"/>
          <w:sz w:val="24"/>
        </w:rPr>
        <w:t> </w:t>
      </w:r>
      <w:r>
        <w:rPr>
          <w:sz w:val="24"/>
        </w:rPr>
        <w:t>nature</w:t>
      </w:r>
      <w:r>
        <w:rPr>
          <w:spacing w:val="46"/>
          <w:sz w:val="24"/>
        </w:rPr>
        <w:t> </w:t>
      </w:r>
      <w:r>
        <w:rPr>
          <w:sz w:val="24"/>
        </w:rPr>
        <w:t>of</w:t>
      </w:r>
      <w:r>
        <w:rPr>
          <w:spacing w:val="46"/>
          <w:sz w:val="24"/>
        </w:rPr>
        <w:t> </w:t>
      </w:r>
      <w:r>
        <w:rPr>
          <w:sz w:val="24"/>
        </w:rPr>
        <w:t>the</w:t>
      </w:r>
      <w:r>
        <w:rPr>
          <w:spacing w:val="47"/>
          <w:sz w:val="24"/>
        </w:rPr>
        <w:t> </w:t>
      </w:r>
      <w:r>
        <w:rPr>
          <w:sz w:val="24"/>
        </w:rPr>
        <w:t>information</w:t>
      </w:r>
      <w:r>
        <w:rPr>
          <w:spacing w:val="46"/>
          <w:sz w:val="24"/>
        </w:rPr>
        <w:t> </w:t>
      </w:r>
      <w:r>
        <w:rPr>
          <w:sz w:val="24"/>
        </w:rPr>
        <w:t>set</w:t>
      </w:r>
      <w:r>
        <w:rPr>
          <w:spacing w:val="46"/>
          <w:sz w:val="24"/>
        </w:rPr>
        <w:t> </w:t>
      </w:r>
      <w:r>
        <w:rPr>
          <w:sz w:val="24"/>
        </w:rPr>
        <w:t>out</w:t>
      </w:r>
      <w:r>
        <w:rPr>
          <w:spacing w:val="47"/>
          <w:sz w:val="24"/>
        </w:rPr>
        <w:t> </w:t>
      </w:r>
      <w:r>
        <w:rPr>
          <w:sz w:val="24"/>
        </w:rPr>
        <w:t>in</w:t>
      </w:r>
    </w:p>
    <w:p>
      <w:pPr>
        <w:spacing w:after="0" w:line="240" w:lineRule="auto"/>
        <w:jc w:val="both"/>
        <w:rPr>
          <w:sz w:val="24"/>
        </w:rPr>
        <w:sectPr>
          <w:pgSz w:w="11910" w:h="16840"/>
          <w:pgMar w:header="686" w:footer="637" w:top="1320" w:bottom="820" w:left="1200" w:right="1000"/>
        </w:sectPr>
      </w:pPr>
    </w:p>
    <w:p>
      <w:pPr>
        <w:spacing w:before="83"/>
        <w:ind w:left="2486" w:right="414" w:firstLine="0"/>
        <w:jc w:val="both"/>
        <w:rPr>
          <w:sz w:val="24"/>
        </w:rPr>
      </w:pPr>
      <w:r>
        <w:rPr>
          <w:i/>
          <w:sz w:val="24"/>
        </w:rPr>
        <w:t>jurisdictional electricity legislation </w:t>
      </w:r>
      <w:r>
        <w:rPr>
          <w:sz w:val="24"/>
        </w:rPr>
        <w:t>but may be varied by the </w:t>
      </w:r>
      <w:r>
        <w:rPr>
          <w:i/>
          <w:sz w:val="24"/>
        </w:rPr>
        <w:t>Network </w:t>
      </w:r>
      <w:r>
        <w:rPr>
          <w:i/>
          <w:sz w:val="24"/>
        </w:rPr>
        <w:t>Service Provider </w:t>
      </w:r>
      <w:r>
        <w:rPr>
          <w:sz w:val="24"/>
        </w:rPr>
        <w:t>as appropriate to suit the size and complexity of the proposed </w:t>
      </w:r>
      <w:r>
        <w:rPr>
          <w:i/>
          <w:sz w:val="24"/>
        </w:rPr>
        <w:t>facility </w:t>
      </w:r>
      <w:r>
        <w:rPr>
          <w:sz w:val="24"/>
        </w:rPr>
        <w:t>to be </w:t>
      </w:r>
      <w:r>
        <w:rPr>
          <w:i/>
          <w:sz w:val="24"/>
        </w:rPr>
        <w:t>connected</w:t>
      </w:r>
      <w:r>
        <w:rPr>
          <w:sz w:val="24"/>
        </w:rPr>
        <w:t>;</w:t>
      </w:r>
    </w:p>
    <w:p>
      <w:pPr>
        <w:pStyle w:val="ListParagraph"/>
        <w:numPr>
          <w:ilvl w:val="4"/>
          <w:numId w:val="166"/>
        </w:numPr>
        <w:tabs>
          <w:tab w:pos="2486" w:val="left" w:leader="none"/>
        </w:tabs>
        <w:spacing w:line="240" w:lineRule="auto" w:before="120" w:after="0"/>
        <w:ind w:left="2486" w:right="414" w:hanging="567"/>
        <w:jc w:val="both"/>
        <w:rPr>
          <w:sz w:val="24"/>
        </w:rPr>
      </w:pPr>
      <w:r>
        <w:rPr>
          <w:sz w:val="24"/>
        </w:rPr>
        <w:t>commercial information to be supplied by the </w:t>
      </w:r>
      <w:r>
        <w:rPr>
          <w:i/>
          <w:sz w:val="24"/>
        </w:rPr>
        <w:t>Connection Applicant </w:t>
      </w:r>
      <w:r>
        <w:rPr>
          <w:sz w:val="24"/>
        </w:rPr>
        <w:t>to allow the </w:t>
      </w:r>
      <w:r>
        <w:rPr>
          <w:i/>
          <w:sz w:val="24"/>
        </w:rPr>
        <w:t>Network Service Provider </w:t>
      </w:r>
      <w:r>
        <w:rPr>
          <w:sz w:val="24"/>
        </w:rPr>
        <w:t>to make an assessment of </w:t>
      </w:r>
      <w:r>
        <w:rPr>
          <w:spacing w:val="-5"/>
          <w:sz w:val="24"/>
        </w:rPr>
        <w:t>the </w:t>
      </w:r>
      <w:r>
        <w:rPr>
          <w:sz w:val="24"/>
        </w:rPr>
        <w:t>ability of the </w:t>
      </w:r>
      <w:r>
        <w:rPr>
          <w:i/>
          <w:sz w:val="24"/>
        </w:rPr>
        <w:t>Connection Applicant </w:t>
      </w:r>
      <w:r>
        <w:rPr>
          <w:sz w:val="24"/>
        </w:rPr>
        <w:t>to satisfy the prudential requirements set out in rule</w:t>
      </w:r>
      <w:r>
        <w:rPr>
          <w:spacing w:val="-3"/>
          <w:sz w:val="24"/>
        </w:rPr>
        <w:t> </w:t>
      </w:r>
      <w:r>
        <w:rPr>
          <w:sz w:val="24"/>
        </w:rPr>
        <w:t>6.21;</w:t>
      </w:r>
    </w:p>
    <w:p>
      <w:pPr>
        <w:pStyle w:val="ListParagraph"/>
        <w:numPr>
          <w:ilvl w:val="4"/>
          <w:numId w:val="166"/>
        </w:numPr>
        <w:tabs>
          <w:tab w:pos="2486" w:val="left" w:leader="none"/>
        </w:tabs>
        <w:spacing w:line="240" w:lineRule="auto" w:before="120" w:after="0"/>
        <w:ind w:left="2485" w:right="0" w:hanging="567"/>
        <w:jc w:val="both"/>
        <w:rPr>
          <w:sz w:val="24"/>
        </w:rPr>
      </w:pPr>
      <w:r>
        <w:rPr>
          <w:sz w:val="24"/>
        </w:rPr>
        <w:t>the amount of the application fee which is payable on lodgement of</w:t>
      </w:r>
      <w:r>
        <w:rPr>
          <w:spacing w:val="30"/>
          <w:sz w:val="24"/>
        </w:rPr>
        <w:t> </w:t>
      </w:r>
      <w:r>
        <w:rPr>
          <w:sz w:val="24"/>
        </w:rPr>
        <w:t>an</w:t>
      </w:r>
    </w:p>
    <w:p>
      <w:pPr>
        <w:spacing w:before="0"/>
        <w:ind w:left="2486" w:right="0" w:firstLine="0"/>
        <w:jc w:val="both"/>
        <w:rPr>
          <w:sz w:val="24"/>
        </w:rPr>
      </w:pPr>
      <w:r>
        <w:rPr>
          <w:i/>
          <w:sz w:val="24"/>
        </w:rPr>
        <w:t>application to connect</w:t>
      </w:r>
      <w:r>
        <w:rPr>
          <w:sz w:val="24"/>
        </w:rPr>
        <w:t>, such amount:</w:t>
      </w:r>
    </w:p>
    <w:p>
      <w:pPr>
        <w:pStyle w:val="ListParagraph"/>
        <w:numPr>
          <w:ilvl w:val="5"/>
          <w:numId w:val="166"/>
        </w:numPr>
        <w:tabs>
          <w:tab w:pos="3053" w:val="left" w:leader="none"/>
        </w:tabs>
        <w:spacing w:line="240" w:lineRule="auto" w:before="120" w:after="0"/>
        <w:ind w:left="3053" w:right="414" w:hanging="567"/>
        <w:jc w:val="both"/>
        <w:rPr>
          <w:sz w:val="24"/>
        </w:rPr>
      </w:pPr>
      <w:r>
        <w:rPr>
          <w:sz w:val="24"/>
        </w:rPr>
        <w:t>not being more than necessary to cover the reasonable costs of all work anticipated to arise from investigating the </w:t>
      </w:r>
      <w:r>
        <w:rPr>
          <w:i/>
          <w:sz w:val="24"/>
        </w:rPr>
        <w:t>application </w:t>
      </w:r>
      <w:r>
        <w:rPr>
          <w:i/>
          <w:sz w:val="24"/>
        </w:rPr>
        <w:t>to connect </w:t>
      </w:r>
      <w:r>
        <w:rPr>
          <w:sz w:val="24"/>
        </w:rPr>
        <w:t>and preparing the associated offer to </w:t>
      </w:r>
      <w:r>
        <w:rPr>
          <w:i/>
          <w:sz w:val="24"/>
        </w:rPr>
        <w:t>connect </w:t>
      </w:r>
      <w:r>
        <w:rPr>
          <w:sz w:val="24"/>
        </w:rPr>
        <w:t>and to meet the reasonable costs anticipated to be incurred by </w:t>
      </w:r>
      <w:r>
        <w:rPr>
          <w:spacing w:val="-3"/>
          <w:sz w:val="24"/>
        </w:rPr>
        <w:t>other </w:t>
      </w:r>
      <w:r>
        <w:rPr>
          <w:i/>
          <w:sz w:val="24"/>
        </w:rPr>
        <w:t>Network Service Providers </w:t>
      </w:r>
      <w:r>
        <w:rPr>
          <w:sz w:val="24"/>
        </w:rPr>
        <w:t>whose participation in the assessment of the </w:t>
      </w:r>
      <w:r>
        <w:rPr>
          <w:i/>
          <w:sz w:val="24"/>
        </w:rPr>
        <w:t>application to connect </w:t>
      </w:r>
      <w:r>
        <w:rPr>
          <w:sz w:val="24"/>
        </w:rPr>
        <w:t>will be required;</w:t>
      </w:r>
      <w:r>
        <w:rPr>
          <w:spacing w:val="-5"/>
          <w:sz w:val="24"/>
        </w:rPr>
        <w:t> </w:t>
      </w:r>
      <w:r>
        <w:rPr>
          <w:sz w:val="24"/>
        </w:rPr>
        <w:t>and</w:t>
      </w:r>
    </w:p>
    <w:p>
      <w:pPr>
        <w:pStyle w:val="ListParagraph"/>
        <w:numPr>
          <w:ilvl w:val="5"/>
          <w:numId w:val="166"/>
        </w:numPr>
        <w:tabs>
          <w:tab w:pos="3054" w:val="left" w:leader="none"/>
        </w:tabs>
        <w:spacing w:line="240" w:lineRule="auto" w:before="120" w:after="0"/>
        <w:ind w:left="3053" w:right="414" w:hanging="567"/>
        <w:jc w:val="both"/>
        <w:rPr>
          <w:sz w:val="24"/>
        </w:rPr>
      </w:pPr>
      <w:r>
        <w:rPr>
          <w:sz w:val="24"/>
        </w:rPr>
        <w:t>must not include any amount for, or in anticipation of, the costs of the person using an </w:t>
      </w:r>
      <w:r>
        <w:rPr>
          <w:i/>
          <w:sz w:val="24"/>
        </w:rPr>
        <w:t>Independent Engineer</w:t>
      </w:r>
      <w:r>
        <w:rPr>
          <w:sz w:val="24"/>
        </w:rPr>
        <w:t>;</w:t>
      </w:r>
      <w:r>
        <w:rPr>
          <w:spacing w:val="-1"/>
          <w:sz w:val="24"/>
        </w:rPr>
        <w:t> </w:t>
      </w:r>
      <w:r>
        <w:rPr>
          <w:sz w:val="24"/>
        </w:rPr>
        <w:t>and</w:t>
      </w:r>
    </w:p>
    <w:p>
      <w:pPr>
        <w:pStyle w:val="ListParagraph"/>
        <w:numPr>
          <w:ilvl w:val="4"/>
          <w:numId w:val="166"/>
        </w:numPr>
        <w:tabs>
          <w:tab w:pos="2486" w:val="left" w:leader="none"/>
        </w:tabs>
        <w:spacing w:line="240" w:lineRule="auto" w:before="120" w:after="0"/>
        <w:ind w:left="2486" w:right="416" w:hanging="567"/>
        <w:jc w:val="both"/>
        <w:rPr>
          <w:sz w:val="24"/>
        </w:rPr>
      </w:pPr>
      <w:r>
        <w:rPr>
          <w:sz w:val="24"/>
        </w:rPr>
        <w:t>any other information relevant to the submission of an </w:t>
      </w:r>
      <w:r>
        <w:rPr>
          <w:i/>
          <w:sz w:val="24"/>
        </w:rPr>
        <w:t>application to </w:t>
      </w:r>
      <w:r>
        <w:rPr>
          <w:i/>
          <w:sz w:val="24"/>
        </w:rPr>
        <w:t>connect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type of information that will apply under </w:t>
      </w:r>
      <w:r>
        <w:rPr>
          <w:i/>
          <w:sz w:val="20"/>
        </w:rPr>
        <w:t>jurisdictional electricity legislation </w:t>
      </w:r>
      <w:r>
        <w:rPr>
          <w:sz w:val="20"/>
        </w:rPr>
        <w:t>for the purposes</w:t>
      </w:r>
      <w:r>
        <w:rPr>
          <w:spacing w:val="8"/>
          <w:sz w:val="20"/>
        </w:rPr>
        <w:t> </w:t>
      </w:r>
      <w:r>
        <w:rPr>
          <w:sz w:val="20"/>
        </w:rPr>
        <w:t>of</w:t>
      </w:r>
      <w:r>
        <w:rPr>
          <w:spacing w:val="9"/>
          <w:sz w:val="20"/>
        </w:rPr>
        <w:t> </w:t>
      </w:r>
      <w:r>
        <w:rPr>
          <w:sz w:val="20"/>
        </w:rPr>
        <w:t>paragraph</w:t>
      </w:r>
      <w:r>
        <w:rPr>
          <w:spacing w:val="9"/>
          <w:sz w:val="20"/>
        </w:rPr>
        <w:t> </w:t>
      </w:r>
      <w:r>
        <w:rPr>
          <w:sz w:val="20"/>
        </w:rPr>
        <w:t>(c)(3)</w:t>
      </w:r>
      <w:r>
        <w:rPr>
          <w:spacing w:val="9"/>
          <w:sz w:val="20"/>
        </w:rPr>
        <w:t> </w:t>
      </w:r>
      <w:r>
        <w:rPr>
          <w:sz w:val="20"/>
        </w:rPr>
        <w:t>will</w:t>
      </w:r>
      <w:r>
        <w:rPr>
          <w:spacing w:val="9"/>
          <w:sz w:val="20"/>
        </w:rPr>
        <w:t> </w:t>
      </w:r>
      <w:r>
        <w:rPr>
          <w:sz w:val="20"/>
        </w:rPr>
        <w:t>correspond</w:t>
      </w:r>
      <w:r>
        <w:rPr>
          <w:spacing w:val="9"/>
          <w:sz w:val="20"/>
        </w:rPr>
        <w:t> </w:t>
      </w:r>
      <w:r>
        <w:rPr>
          <w:sz w:val="20"/>
        </w:rPr>
        <w:t>to</w:t>
      </w:r>
      <w:r>
        <w:rPr>
          <w:spacing w:val="9"/>
          <w:sz w:val="20"/>
        </w:rPr>
        <w:t> </w:t>
      </w:r>
      <w:r>
        <w:rPr>
          <w:sz w:val="20"/>
        </w:rPr>
        <w:t>the</w:t>
      </w:r>
      <w:r>
        <w:rPr>
          <w:spacing w:val="9"/>
          <w:sz w:val="20"/>
        </w:rPr>
        <w:t> </w:t>
      </w:r>
      <w:r>
        <w:rPr>
          <w:sz w:val="20"/>
        </w:rPr>
        <w:t>type</w:t>
      </w:r>
      <w:r>
        <w:rPr>
          <w:spacing w:val="9"/>
          <w:sz w:val="20"/>
        </w:rPr>
        <w:t> </w:t>
      </w:r>
      <w:r>
        <w:rPr>
          <w:sz w:val="20"/>
        </w:rPr>
        <w:t>of</w:t>
      </w:r>
      <w:r>
        <w:rPr>
          <w:spacing w:val="9"/>
          <w:sz w:val="20"/>
        </w:rPr>
        <w:t> </w:t>
      </w:r>
      <w:r>
        <w:rPr>
          <w:sz w:val="20"/>
        </w:rPr>
        <w:t>information</w:t>
      </w:r>
      <w:r>
        <w:rPr>
          <w:spacing w:val="9"/>
          <w:sz w:val="20"/>
        </w:rPr>
        <w:t> </w:t>
      </w:r>
      <w:r>
        <w:rPr>
          <w:sz w:val="20"/>
        </w:rPr>
        <w:t>set</w:t>
      </w:r>
      <w:r>
        <w:rPr>
          <w:spacing w:val="9"/>
          <w:sz w:val="20"/>
        </w:rPr>
        <w:t> </w:t>
      </w:r>
      <w:r>
        <w:rPr>
          <w:sz w:val="20"/>
        </w:rPr>
        <w:t>out</w:t>
      </w:r>
      <w:r>
        <w:rPr>
          <w:spacing w:val="9"/>
          <w:sz w:val="20"/>
        </w:rPr>
        <w:t> </w:t>
      </w:r>
      <w:r>
        <w:rPr>
          <w:sz w:val="20"/>
        </w:rPr>
        <w:t>in</w:t>
      </w:r>
      <w:r>
        <w:rPr>
          <w:spacing w:val="9"/>
          <w:sz w:val="20"/>
        </w:rPr>
        <w:t> </w:t>
      </w:r>
      <w:r>
        <w:rPr>
          <w:sz w:val="20"/>
        </w:rPr>
        <w:t>schedule</w:t>
      </w:r>
    </w:p>
    <w:p>
      <w:pPr>
        <w:spacing w:before="0"/>
        <w:ind w:left="1919" w:right="415" w:firstLine="0"/>
        <w:jc w:val="left"/>
        <w:rPr>
          <w:sz w:val="20"/>
        </w:rPr>
      </w:pPr>
      <w:r>
        <w:rPr>
          <w:sz w:val="20"/>
        </w:rPr>
        <w:t>5.5 in the </w:t>
      </w:r>
      <w:r>
        <w:rPr>
          <w:i/>
          <w:sz w:val="20"/>
        </w:rPr>
        <w:t>Rules </w:t>
      </w:r>
      <w:r>
        <w:rPr>
          <w:sz w:val="20"/>
        </w:rPr>
        <w:t>applying in other </w:t>
      </w:r>
      <w:r>
        <w:rPr>
          <w:i/>
          <w:sz w:val="20"/>
        </w:rPr>
        <w:t>participating jurisdictions</w:t>
      </w:r>
      <w:r>
        <w:rPr>
          <w:sz w:val="20"/>
        </w:rPr>
        <w:t>. The application of paragraph (c)(3) will be revisited as part of the phased implementation of the </w:t>
      </w:r>
      <w:r>
        <w:rPr>
          <w:i/>
          <w:sz w:val="20"/>
        </w:rPr>
        <w:t>Rules </w:t>
      </w:r>
      <w:r>
        <w:rPr>
          <w:sz w:val="20"/>
        </w:rPr>
        <w:t>in this</w:t>
      </w:r>
      <w:r>
        <w:rPr>
          <w:spacing w:val="-10"/>
          <w:sz w:val="20"/>
        </w:rPr>
        <w:t> </w:t>
      </w:r>
      <w:r>
        <w:rPr>
          <w:sz w:val="20"/>
        </w:rPr>
        <w:t>jurisdiction.</w:t>
      </w:r>
    </w:p>
    <w:p>
      <w:pPr>
        <w:pStyle w:val="BodyText"/>
        <w:spacing w:before="10"/>
        <w:ind w:firstLine="0"/>
        <w:jc w:val="left"/>
        <w:rPr>
          <w:sz w:val="20"/>
        </w:rPr>
      </w:pPr>
    </w:p>
    <w:p>
      <w:pPr>
        <w:pStyle w:val="Heading4"/>
        <w:numPr>
          <w:ilvl w:val="2"/>
          <w:numId w:val="169"/>
        </w:numPr>
        <w:tabs>
          <w:tab w:pos="1351" w:val="left" w:leader="none"/>
          <w:tab w:pos="1352" w:val="left" w:leader="none"/>
        </w:tabs>
        <w:spacing w:line="240" w:lineRule="auto" w:before="0" w:after="0"/>
        <w:ind w:left="1351" w:right="0" w:hanging="1134"/>
        <w:jc w:val="left"/>
      </w:pPr>
      <w:bookmarkStart w:name="5.3.4 Application for connection" w:id="426"/>
      <w:bookmarkEnd w:id="426"/>
      <w:r>
        <w:rPr>
          <w:b w:val="0"/>
        </w:rPr>
      </w:r>
      <w:bookmarkStart w:name="_bookmark180" w:id="427"/>
      <w:bookmarkEnd w:id="427"/>
      <w:r>
        <w:rPr>
          <w:b w:val="0"/>
        </w:rPr>
      </w:r>
      <w:bookmarkStart w:name="_bookmark180" w:id="428"/>
      <w:bookmarkEnd w:id="428"/>
      <w:r>
        <w:rPr/>
        <w:t>Applicatio</w:t>
      </w:r>
      <w:r>
        <w:rPr/>
        <w:t>n for</w:t>
      </w:r>
      <w:r>
        <w:rPr>
          <w:spacing w:val="-1"/>
        </w:rPr>
        <w:t> </w:t>
      </w:r>
      <w:r>
        <w:rPr/>
        <w:t>connection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(e) and (g) of this clause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69"/>
        </w:numPr>
        <w:tabs>
          <w:tab w:pos="1919" w:val="left" w:leader="none"/>
        </w:tabs>
        <w:spacing w:line="240" w:lineRule="auto" w:before="120" w:after="0"/>
        <w:ind w:left="1919" w:right="414" w:hanging="567"/>
        <w:jc w:val="both"/>
        <w:rPr>
          <w:sz w:val="24"/>
        </w:rPr>
      </w:pPr>
      <w:r>
        <w:rPr>
          <w:sz w:val="24"/>
        </w:rPr>
        <w:t>A person who has made a </w:t>
      </w:r>
      <w:r>
        <w:rPr>
          <w:i/>
          <w:sz w:val="24"/>
        </w:rPr>
        <w:t>connection </w:t>
      </w:r>
      <w:r>
        <w:rPr>
          <w:sz w:val="24"/>
        </w:rPr>
        <w:t>enquiry under clause 5.3.2 may, following receipt of the responses under clause 5.3.3, make an </w:t>
      </w:r>
      <w:r>
        <w:rPr>
          <w:i/>
          <w:sz w:val="24"/>
        </w:rPr>
        <w:t>application </w:t>
      </w:r>
      <w:r>
        <w:rPr>
          <w:i/>
          <w:sz w:val="24"/>
        </w:rPr>
        <w:t>to connect </w:t>
      </w:r>
      <w:r>
        <w:rPr>
          <w:sz w:val="24"/>
        </w:rPr>
        <w:t>in accordance with this clause 5.3.4, clause 5.3.4A and clause 5.3.4B.</w:t>
      </w:r>
    </w:p>
    <w:p>
      <w:pPr>
        <w:pStyle w:val="ListParagraph"/>
        <w:numPr>
          <w:ilvl w:val="3"/>
          <w:numId w:val="169"/>
        </w:numPr>
        <w:tabs>
          <w:tab w:pos="1919" w:val="left" w:leader="none"/>
        </w:tabs>
        <w:spacing w:line="240" w:lineRule="auto" w:before="120" w:after="0"/>
        <w:ind w:left="1918" w:right="0" w:hanging="567"/>
        <w:jc w:val="both"/>
        <w:rPr>
          <w:sz w:val="24"/>
        </w:rPr>
      </w:pPr>
      <w:r>
        <w:rPr>
          <w:sz w:val="24"/>
        </w:rPr>
        <w:t>To be eligible for </w:t>
      </w:r>
      <w:r>
        <w:rPr>
          <w:i/>
          <w:sz w:val="24"/>
        </w:rPr>
        <w:t>connection </w:t>
      </w:r>
      <w:r>
        <w:rPr>
          <w:sz w:val="24"/>
        </w:rPr>
        <w:t>the </w:t>
      </w:r>
      <w:r>
        <w:rPr>
          <w:i/>
          <w:sz w:val="24"/>
        </w:rPr>
        <w:t>Connection Applicant </w:t>
      </w:r>
      <w:r>
        <w:rPr>
          <w:sz w:val="24"/>
        </w:rPr>
        <w:t>must submit</w:t>
      </w:r>
      <w:r>
        <w:rPr>
          <w:spacing w:val="-7"/>
          <w:sz w:val="24"/>
        </w:rPr>
        <w:t> </w:t>
      </w:r>
      <w:r>
        <w:rPr>
          <w:sz w:val="24"/>
        </w:rPr>
        <w:t>an</w:t>
      </w:r>
    </w:p>
    <w:p>
      <w:pPr>
        <w:spacing w:before="0"/>
        <w:ind w:left="1919" w:right="0" w:firstLine="0"/>
        <w:jc w:val="left"/>
        <w:rPr>
          <w:sz w:val="24"/>
        </w:rPr>
      </w:pPr>
      <w:r>
        <w:rPr>
          <w:i/>
          <w:sz w:val="24"/>
        </w:rPr>
        <w:t>application to connect </w:t>
      </w:r>
      <w:r>
        <w:rPr>
          <w:sz w:val="24"/>
        </w:rPr>
        <w:t>containing:</w:t>
      </w:r>
    </w:p>
    <w:p>
      <w:pPr>
        <w:pStyle w:val="ListParagraph"/>
        <w:numPr>
          <w:ilvl w:val="4"/>
          <w:numId w:val="169"/>
        </w:numPr>
        <w:tabs>
          <w:tab w:pos="2485" w:val="left" w:leader="none"/>
          <w:tab w:pos="2486" w:val="left" w:leader="none"/>
        </w:tabs>
        <w:spacing w:line="240" w:lineRule="auto" w:before="120" w:after="0"/>
        <w:ind w:left="2485" w:right="0" w:hanging="567"/>
        <w:jc w:val="left"/>
        <w:rPr>
          <w:sz w:val="24"/>
        </w:rPr>
      </w:pPr>
      <w:r>
        <w:rPr>
          <w:sz w:val="24"/>
        </w:rPr>
        <w:t>the information specified in clause</w:t>
      </w:r>
      <w:r>
        <w:rPr>
          <w:spacing w:val="-2"/>
          <w:sz w:val="24"/>
        </w:rPr>
        <w:t> </w:t>
      </w:r>
      <w:r>
        <w:rPr>
          <w:sz w:val="24"/>
        </w:rPr>
        <w:t>5.3.3(c);</w:t>
      </w:r>
    </w:p>
    <w:p>
      <w:pPr>
        <w:pStyle w:val="ListParagraph"/>
        <w:numPr>
          <w:ilvl w:val="4"/>
          <w:numId w:val="169"/>
        </w:numPr>
        <w:tabs>
          <w:tab w:pos="2485" w:val="left" w:leader="none"/>
          <w:tab w:pos="2486" w:val="left" w:leader="none"/>
        </w:tabs>
        <w:spacing w:line="240" w:lineRule="auto" w:before="120" w:after="0"/>
        <w:ind w:left="2485" w:right="0" w:hanging="567"/>
        <w:jc w:val="left"/>
        <w:rPr>
          <w:sz w:val="24"/>
        </w:rPr>
      </w:pPr>
      <w:r>
        <w:rPr>
          <w:sz w:val="24"/>
        </w:rPr>
        <w:t>the relevant application fee to the relevant </w:t>
      </w:r>
      <w:r>
        <w:rPr>
          <w:i/>
          <w:sz w:val="24"/>
        </w:rPr>
        <w:t>Network Service</w:t>
      </w:r>
      <w:r>
        <w:rPr>
          <w:i/>
          <w:spacing w:val="-4"/>
          <w:sz w:val="24"/>
        </w:rPr>
        <w:t> </w:t>
      </w:r>
      <w:r>
        <w:rPr>
          <w:i/>
          <w:sz w:val="24"/>
        </w:rPr>
        <w:t>Provider</w:t>
      </w:r>
      <w:r>
        <w:rPr>
          <w:sz w:val="24"/>
        </w:rPr>
        <w:t>;</w:t>
      </w:r>
    </w:p>
    <w:p>
      <w:pPr>
        <w:pStyle w:val="ListParagraph"/>
        <w:numPr>
          <w:ilvl w:val="4"/>
          <w:numId w:val="169"/>
        </w:numPr>
        <w:tabs>
          <w:tab w:pos="2486" w:val="left" w:leader="none"/>
        </w:tabs>
        <w:spacing w:line="240" w:lineRule="auto" w:before="120" w:after="0"/>
        <w:ind w:left="2486" w:right="415" w:hanging="567"/>
        <w:jc w:val="both"/>
        <w:rPr>
          <w:sz w:val="24"/>
        </w:rPr>
      </w:pPr>
      <w:r>
        <w:rPr>
          <w:sz w:val="24"/>
        </w:rPr>
        <w:t>for services related to </w:t>
      </w:r>
      <w:r>
        <w:rPr>
          <w:i/>
          <w:sz w:val="24"/>
        </w:rPr>
        <w:t>contestable IUSA components </w:t>
      </w:r>
      <w:r>
        <w:rPr>
          <w:sz w:val="24"/>
        </w:rPr>
        <w:t>that the </w:t>
      </w:r>
      <w:r>
        <w:rPr>
          <w:i/>
          <w:sz w:val="24"/>
        </w:rPr>
        <w:t>Connection Applicant </w:t>
      </w:r>
      <w:r>
        <w:rPr>
          <w:sz w:val="24"/>
        </w:rPr>
        <w:t>has not obtained from the </w:t>
      </w:r>
      <w:r>
        <w:rPr>
          <w:i/>
          <w:spacing w:val="-3"/>
          <w:sz w:val="24"/>
        </w:rPr>
        <w:t>Primary  </w:t>
      </w:r>
      <w:r>
        <w:rPr>
          <w:i/>
          <w:sz w:val="24"/>
        </w:rPr>
        <w:t>Transmission Network Service Provider </w:t>
      </w:r>
      <w:r>
        <w:rPr>
          <w:sz w:val="24"/>
        </w:rPr>
        <w:t>(as</w:t>
      </w:r>
      <w:r>
        <w:rPr>
          <w:spacing w:val="-4"/>
          <w:sz w:val="24"/>
        </w:rPr>
        <w:t> </w:t>
      </w:r>
      <w:r>
        <w:rPr>
          <w:sz w:val="24"/>
        </w:rPr>
        <w:t>applicable):</w:t>
      </w:r>
    </w:p>
    <w:p>
      <w:pPr>
        <w:spacing w:after="0" w:line="240" w:lineRule="auto"/>
        <w:jc w:val="both"/>
        <w:rPr>
          <w:sz w:val="24"/>
        </w:rPr>
        <w:sectPr>
          <w:pgSz w:w="11910" w:h="16840"/>
          <w:pgMar w:header="686" w:footer="637" w:top="1320" w:bottom="820" w:left="1200" w:right="1000"/>
        </w:sectPr>
      </w:pPr>
    </w:p>
    <w:p>
      <w:pPr>
        <w:pStyle w:val="ListParagraph"/>
        <w:numPr>
          <w:ilvl w:val="5"/>
          <w:numId w:val="169"/>
        </w:numPr>
        <w:tabs>
          <w:tab w:pos="3053" w:val="left" w:leader="none"/>
        </w:tabs>
        <w:spacing w:line="240" w:lineRule="auto" w:before="83" w:after="0"/>
        <w:ind w:left="3053" w:right="415" w:hanging="567"/>
        <w:jc w:val="both"/>
        <w:rPr>
          <w:sz w:val="24"/>
        </w:rPr>
      </w:pPr>
      <w:r>
        <w:rPr>
          <w:sz w:val="24"/>
        </w:rPr>
        <w:t>the </w:t>
      </w:r>
      <w:r>
        <w:rPr>
          <w:i/>
          <w:sz w:val="24"/>
        </w:rPr>
        <w:t>Connection Applicant</w:t>
      </w:r>
      <w:r>
        <w:rPr>
          <w:sz w:val="24"/>
        </w:rPr>
        <w:t>'s process for how the </w:t>
      </w:r>
      <w:r>
        <w:rPr>
          <w:i/>
          <w:sz w:val="24"/>
        </w:rPr>
        <w:t>Primary </w:t>
      </w:r>
      <w:r>
        <w:rPr>
          <w:i/>
          <w:sz w:val="24"/>
        </w:rPr>
        <w:t>Transmission Network Service Provider </w:t>
      </w:r>
      <w:r>
        <w:rPr>
          <w:sz w:val="24"/>
        </w:rPr>
        <w:t>will undertake a review of the detailed design and inspect the construction of </w:t>
      </w:r>
      <w:r>
        <w:rPr>
          <w:spacing w:val="-3"/>
          <w:sz w:val="24"/>
        </w:rPr>
        <w:t>those </w:t>
      </w:r>
      <w:r>
        <w:rPr>
          <w:sz w:val="24"/>
        </w:rPr>
        <w:t>components and how risks of defects will be</w:t>
      </w:r>
      <w:r>
        <w:rPr>
          <w:spacing w:val="-6"/>
          <w:sz w:val="24"/>
        </w:rPr>
        <w:t> </w:t>
      </w:r>
      <w:r>
        <w:rPr>
          <w:sz w:val="24"/>
        </w:rPr>
        <w:t>addressed;</w:t>
      </w:r>
    </w:p>
    <w:p>
      <w:pPr>
        <w:pStyle w:val="ListParagraph"/>
        <w:numPr>
          <w:ilvl w:val="5"/>
          <w:numId w:val="169"/>
        </w:numPr>
        <w:tabs>
          <w:tab w:pos="3054" w:val="left" w:leader="none"/>
        </w:tabs>
        <w:spacing w:line="240" w:lineRule="auto" w:before="120" w:after="0"/>
        <w:ind w:left="3053" w:right="0" w:hanging="568"/>
        <w:jc w:val="both"/>
        <w:rPr>
          <w:sz w:val="24"/>
        </w:rPr>
      </w:pPr>
      <w:r>
        <w:rPr>
          <w:sz w:val="24"/>
        </w:rPr>
        <w:t>the detailed design of those components;</w:t>
      </w:r>
      <w:r>
        <w:rPr>
          <w:spacing w:val="-1"/>
          <w:sz w:val="24"/>
        </w:rPr>
        <w:t> </w:t>
      </w:r>
      <w:r>
        <w:rPr>
          <w:sz w:val="24"/>
        </w:rPr>
        <w:t>and</w:t>
      </w:r>
    </w:p>
    <w:p>
      <w:pPr>
        <w:pStyle w:val="ListParagraph"/>
        <w:numPr>
          <w:ilvl w:val="5"/>
          <w:numId w:val="169"/>
        </w:numPr>
        <w:tabs>
          <w:tab w:pos="3053" w:val="left" w:leader="none"/>
        </w:tabs>
        <w:spacing w:line="240" w:lineRule="auto" w:before="120" w:after="0"/>
        <w:ind w:left="3053" w:right="415" w:hanging="567"/>
        <w:jc w:val="both"/>
        <w:rPr>
          <w:sz w:val="24"/>
        </w:rPr>
      </w:pPr>
      <w:r>
        <w:rPr>
          <w:sz w:val="24"/>
        </w:rPr>
        <w:t>if the </w:t>
      </w:r>
      <w:r>
        <w:rPr>
          <w:i/>
          <w:sz w:val="24"/>
        </w:rPr>
        <w:t>Primary Transmission Network Service Provider </w:t>
      </w:r>
      <w:r>
        <w:rPr>
          <w:sz w:val="24"/>
        </w:rPr>
        <w:t>will </w:t>
      </w:r>
      <w:r>
        <w:rPr>
          <w:spacing w:val="-4"/>
          <w:sz w:val="24"/>
        </w:rPr>
        <w:t>not </w:t>
      </w:r>
      <w:r>
        <w:rPr>
          <w:sz w:val="24"/>
        </w:rPr>
        <w:t>own the </w:t>
      </w:r>
      <w:r>
        <w:rPr>
          <w:i/>
          <w:sz w:val="24"/>
        </w:rPr>
        <w:t>contestable IUSA components</w:t>
      </w:r>
      <w:r>
        <w:rPr>
          <w:sz w:val="24"/>
        </w:rPr>
        <w:t>, the </w:t>
      </w:r>
      <w:r>
        <w:rPr>
          <w:i/>
          <w:spacing w:val="-3"/>
          <w:sz w:val="24"/>
        </w:rPr>
        <w:t>Connection </w:t>
      </w:r>
      <w:r>
        <w:rPr>
          <w:i/>
          <w:sz w:val="24"/>
        </w:rPr>
        <w:t>Applicant</w:t>
      </w:r>
      <w:r>
        <w:rPr>
          <w:sz w:val="24"/>
        </w:rPr>
        <w:t>'s proposed changes (if any) to the form of </w:t>
      </w:r>
      <w:r>
        <w:rPr>
          <w:i/>
          <w:sz w:val="24"/>
        </w:rPr>
        <w:t>network </w:t>
      </w:r>
      <w:r>
        <w:rPr>
          <w:i/>
          <w:sz w:val="24"/>
        </w:rPr>
        <w:t>operating agreement </w:t>
      </w:r>
      <w:r>
        <w:rPr>
          <w:sz w:val="24"/>
        </w:rPr>
        <w:t>published pursuant to schedule 5.10;</w:t>
      </w:r>
      <w:r>
        <w:rPr>
          <w:spacing w:val="-6"/>
          <w:sz w:val="24"/>
        </w:rPr>
        <w:t> </w:t>
      </w:r>
      <w:r>
        <w:rPr>
          <w:sz w:val="24"/>
        </w:rPr>
        <w:t>and</w:t>
      </w:r>
    </w:p>
    <w:p>
      <w:pPr>
        <w:pStyle w:val="ListParagraph"/>
        <w:numPr>
          <w:ilvl w:val="4"/>
          <w:numId w:val="169"/>
        </w:numPr>
        <w:tabs>
          <w:tab w:pos="2486" w:val="left" w:leader="none"/>
        </w:tabs>
        <w:spacing w:line="240" w:lineRule="auto" w:before="120" w:after="0"/>
        <w:ind w:left="2486" w:right="414" w:hanging="567"/>
        <w:jc w:val="both"/>
        <w:rPr>
          <w:sz w:val="24"/>
        </w:rPr>
      </w:pPr>
      <w:r>
        <w:rPr>
          <w:sz w:val="24"/>
        </w:rPr>
        <w:t>if the </w:t>
      </w:r>
      <w:r>
        <w:rPr>
          <w:i/>
          <w:sz w:val="24"/>
        </w:rPr>
        <w:t>Connection Applicant </w:t>
      </w:r>
      <w:r>
        <w:rPr>
          <w:sz w:val="24"/>
        </w:rPr>
        <w:t>has obtained services related to </w:t>
      </w:r>
      <w:r>
        <w:rPr>
          <w:i/>
          <w:sz w:val="24"/>
        </w:rPr>
        <w:t>contestable IUSA components </w:t>
      </w:r>
      <w:r>
        <w:rPr>
          <w:sz w:val="24"/>
        </w:rPr>
        <w:t>other than from the </w:t>
      </w:r>
      <w:r>
        <w:rPr>
          <w:i/>
          <w:sz w:val="24"/>
        </w:rPr>
        <w:t>Primary </w:t>
      </w:r>
      <w:r>
        <w:rPr>
          <w:i/>
          <w:sz w:val="24"/>
        </w:rPr>
        <w:t>Transmission Network Service Provider</w:t>
      </w:r>
      <w:r>
        <w:rPr>
          <w:sz w:val="24"/>
        </w:rPr>
        <w:t>, all information reasonably required for the </w:t>
      </w:r>
      <w:r>
        <w:rPr>
          <w:i/>
          <w:sz w:val="24"/>
        </w:rPr>
        <w:t>Primary Transmission Network Service Provider </w:t>
      </w:r>
      <w:r>
        <w:rPr>
          <w:sz w:val="24"/>
        </w:rPr>
        <w:t>to properly provide operation and maintenance services for the life of those components, including details of the </w:t>
      </w:r>
      <w:r>
        <w:rPr>
          <w:i/>
          <w:sz w:val="24"/>
        </w:rPr>
        <w:t>contestable IUSA </w:t>
      </w:r>
      <w:r>
        <w:rPr>
          <w:i/>
          <w:sz w:val="24"/>
        </w:rPr>
        <w:t>components</w:t>
      </w:r>
      <w:r>
        <w:rPr>
          <w:sz w:val="24"/>
        </w:rPr>
        <w:t>' construction, instructions for operation and maintenance and health safety and asset management</w:t>
      </w:r>
      <w:r>
        <w:rPr>
          <w:spacing w:val="-4"/>
          <w:sz w:val="24"/>
        </w:rPr>
        <w:t> </w:t>
      </w:r>
      <w:r>
        <w:rPr>
          <w:sz w:val="24"/>
        </w:rPr>
        <w:t>manuals.</w:t>
      </w:r>
    </w:p>
    <w:p>
      <w:pPr>
        <w:spacing w:before="120"/>
        <w:ind w:left="1352" w:right="0" w:firstLine="0"/>
        <w:jc w:val="both"/>
        <w:rPr>
          <w:sz w:val="24"/>
        </w:rPr>
      </w:pPr>
      <w:r>
        <w:rPr>
          <w:sz w:val="24"/>
        </w:rPr>
        <w:t>(b1) The </w:t>
      </w:r>
      <w:r>
        <w:rPr>
          <w:i/>
          <w:sz w:val="24"/>
        </w:rPr>
        <w:t>Connection Applicant's </w:t>
      </w:r>
      <w:r>
        <w:rPr>
          <w:sz w:val="24"/>
        </w:rPr>
        <w:t>detailed design under paragraph (b)(3)(ii):</w:t>
      </w:r>
    </w:p>
    <w:p>
      <w:pPr>
        <w:pStyle w:val="ListParagraph"/>
        <w:numPr>
          <w:ilvl w:val="0"/>
          <w:numId w:val="170"/>
        </w:numPr>
        <w:tabs>
          <w:tab w:pos="2486" w:val="left" w:leader="none"/>
        </w:tabs>
        <w:spacing w:line="240" w:lineRule="auto" w:before="120" w:after="0"/>
        <w:ind w:left="2486" w:right="415" w:hanging="567"/>
        <w:jc w:val="both"/>
        <w:rPr>
          <w:sz w:val="24"/>
        </w:rPr>
      </w:pPr>
      <w:r>
        <w:rPr>
          <w:sz w:val="24"/>
        </w:rPr>
        <w:t>must be consistent with the minimum functional specification provided by the </w:t>
      </w:r>
      <w:r>
        <w:rPr>
          <w:i/>
          <w:sz w:val="24"/>
        </w:rPr>
        <w:t>Primary Transmission Network Service Provider </w:t>
      </w:r>
      <w:r>
        <w:rPr>
          <w:sz w:val="24"/>
        </w:rPr>
        <w:t>under clause</w:t>
      </w:r>
      <w:r>
        <w:rPr>
          <w:spacing w:val="-2"/>
          <w:sz w:val="24"/>
        </w:rPr>
        <w:t> </w:t>
      </w:r>
      <w:r>
        <w:rPr>
          <w:sz w:val="24"/>
        </w:rPr>
        <w:t>5.3.3(b)(9)(i);</w:t>
      </w:r>
    </w:p>
    <w:p>
      <w:pPr>
        <w:pStyle w:val="ListParagraph"/>
        <w:numPr>
          <w:ilvl w:val="0"/>
          <w:numId w:val="170"/>
        </w:numPr>
        <w:tabs>
          <w:tab w:pos="2486" w:val="left" w:leader="none"/>
        </w:tabs>
        <w:spacing w:line="240" w:lineRule="auto" w:before="120" w:after="0"/>
        <w:ind w:left="2486" w:right="415" w:hanging="567"/>
        <w:jc w:val="both"/>
        <w:rPr>
          <w:sz w:val="24"/>
        </w:rPr>
      </w:pPr>
      <w:r>
        <w:rPr>
          <w:sz w:val="24"/>
        </w:rPr>
        <w:t>must not unreasonably inhibit the capacity for future expansion of </w:t>
      </w:r>
      <w:r>
        <w:rPr>
          <w:spacing w:val="-5"/>
          <w:sz w:val="24"/>
        </w:rPr>
        <w:t>the </w:t>
      </w:r>
      <w:r>
        <w:rPr>
          <w:i/>
          <w:sz w:val="24"/>
        </w:rPr>
        <w:t>identified user shared asset </w:t>
      </w:r>
      <w:r>
        <w:rPr>
          <w:sz w:val="24"/>
        </w:rPr>
        <w:t>or preclude the possibility of future </w:t>
      </w:r>
      <w:r>
        <w:rPr>
          <w:i/>
          <w:sz w:val="24"/>
        </w:rPr>
        <w:t>connections </w:t>
      </w:r>
      <w:r>
        <w:rPr>
          <w:sz w:val="24"/>
        </w:rPr>
        <w:t>to that asset;</w:t>
      </w:r>
      <w:r>
        <w:rPr>
          <w:spacing w:val="-2"/>
          <w:sz w:val="24"/>
        </w:rPr>
        <w:t> </w:t>
      </w:r>
      <w:r>
        <w:rPr>
          <w:sz w:val="24"/>
        </w:rPr>
        <w:t>and</w:t>
      </w:r>
    </w:p>
    <w:p>
      <w:pPr>
        <w:pStyle w:val="ListParagraph"/>
        <w:numPr>
          <w:ilvl w:val="0"/>
          <w:numId w:val="170"/>
        </w:numPr>
        <w:tabs>
          <w:tab w:pos="2486" w:val="left" w:leader="none"/>
        </w:tabs>
        <w:spacing w:line="240" w:lineRule="auto" w:before="120" w:after="0"/>
        <w:ind w:left="2486" w:right="414" w:hanging="567"/>
        <w:jc w:val="both"/>
        <w:rPr>
          <w:sz w:val="24"/>
        </w:rPr>
      </w:pPr>
      <w:r>
        <w:rPr>
          <w:sz w:val="24"/>
        </w:rPr>
        <w:t>subject to the </w:t>
      </w:r>
      <w:r>
        <w:rPr>
          <w:i/>
          <w:sz w:val="24"/>
        </w:rPr>
        <w:t>Connection Applicant </w:t>
      </w:r>
      <w:r>
        <w:rPr>
          <w:sz w:val="24"/>
        </w:rPr>
        <w:t>considering the </w:t>
      </w:r>
      <w:r>
        <w:rPr>
          <w:i/>
          <w:sz w:val="24"/>
        </w:rPr>
        <w:t>Primary </w:t>
      </w:r>
      <w:r>
        <w:rPr>
          <w:i/>
          <w:sz w:val="24"/>
        </w:rPr>
        <w:t>Transmission Network Service Provider's </w:t>
      </w:r>
      <w:r>
        <w:rPr>
          <w:sz w:val="24"/>
        </w:rPr>
        <w:t>additional requirements under clause 5.3.3(b)(9)(ii) in good faith, may be (but is not required to be) consistent with those additional</w:t>
      </w:r>
      <w:r>
        <w:rPr>
          <w:spacing w:val="-2"/>
          <w:sz w:val="24"/>
        </w:rPr>
        <w:t> </w:t>
      </w:r>
      <w:r>
        <w:rPr>
          <w:sz w:val="24"/>
        </w:rPr>
        <w:t>requirements.</w:t>
      </w:r>
    </w:p>
    <w:p>
      <w:pPr>
        <w:pStyle w:val="ListParagraph"/>
        <w:numPr>
          <w:ilvl w:val="3"/>
          <w:numId w:val="169"/>
        </w:numPr>
        <w:tabs>
          <w:tab w:pos="1919" w:val="left" w:leader="none"/>
        </w:tabs>
        <w:spacing w:line="240" w:lineRule="auto" w:before="120" w:after="0"/>
        <w:ind w:left="1919" w:right="415" w:hanging="567"/>
        <w:jc w:val="both"/>
        <w:rPr>
          <w:sz w:val="24"/>
        </w:rPr>
      </w:pPr>
      <w:r>
        <w:rPr>
          <w:sz w:val="24"/>
        </w:rPr>
        <w:t>In relation to </w:t>
      </w:r>
      <w:r>
        <w:rPr>
          <w:i/>
          <w:sz w:val="24"/>
        </w:rPr>
        <w:t>Distribution Network Service Providers </w:t>
      </w:r>
      <w:r>
        <w:rPr>
          <w:sz w:val="24"/>
        </w:rPr>
        <w:t>and </w:t>
      </w:r>
      <w:r>
        <w:rPr>
          <w:i/>
          <w:sz w:val="24"/>
        </w:rPr>
        <w:t>Network Service </w:t>
      </w:r>
      <w:r>
        <w:rPr>
          <w:i/>
          <w:sz w:val="24"/>
        </w:rPr>
        <w:t>Providers </w:t>
      </w:r>
      <w:r>
        <w:rPr>
          <w:sz w:val="24"/>
        </w:rPr>
        <w:t>for </w:t>
      </w:r>
      <w:r>
        <w:rPr>
          <w:i/>
          <w:sz w:val="24"/>
        </w:rPr>
        <w:t>declared transmission systems</w:t>
      </w:r>
      <w:r>
        <w:rPr>
          <w:sz w:val="24"/>
        </w:rPr>
        <w:t>, the </w:t>
      </w:r>
      <w:r>
        <w:rPr>
          <w:i/>
          <w:sz w:val="24"/>
        </w:rPr>
        <w:t>Connection Applicant </w:t>
      </w:r>
      <w:r>
        <w:rPr>
          <w:sz w:val="24"/>
        </w:rPr>
        <w:t>may submit </w:t>
      </w:r>
      <w:r>
        <w:rPr>
          <w:i/>
          <w:sz w:val="24"/>
        </w:rPr>
        <w:t>applications to connect </w:t>
      </w:r>
      <w:r>
        <w:rPr>
          <w:sz w:val="24"/>
        </w:rPr>
        <w:t>to more than one </w:t>
      </w:r>
      <w:r>
        <w:rPr>
          <w:i/>
          <w:sz w:val="24"/>
        </w:rPr>
        <w:t>Network Service Provider </w:t>
      </w:r>
      <w:r>
        <w:rPr>
          <w:sz w:val="24"/>
        </w:rPr>
        <w:t>in order to receive additional offers to </w:t>
      </w:r>
      <w:r>
        <w:rPr>
          <w:i/>
          <w:sz w:val="24"/>
        </w:rPr>
        <w:t>connect </w:t>
      </w:r>
      <w:r>
        <w:rPr>
          <w:sz w:val="24"/>
        </w:rPr>
        <w:t>in respect of </w:t>
      </w:r>
      <w:r>
        <w:rPr>
          <w:i/>
          <w:sz w:val="24"/>
        </w:rPr>
        <w:t>facilities </w:t>
      </w:r>
      <w:r>
        <w:rPr>
          <w:sz w:val="24"/>
        </w:rPr>
        <w:t>to be provided that are</w:t>
      </w:r>
      <w:r>
        <w:rPr>
          <w:spacing w:val="-1"/>
          <w:sz w:val="24"/>
        </w:rPr>
        <w:t> </w:t>
      </w:r>
      <w:r>
        <w:rPr>
          <w:i/>
          <w:sz w:val="24"/>
        </w:rPr>
        <w:t>contestable</w:t>
      </w:r>
      <w:r>
        <w:rPr>
          <w:sz w:val="24"/>
        </w:rPr>
        <w:t>.</w:t>
      </w:r>
    </w:p>
    <w:p>
      <w:pPr>
        <w:pStyle w:val="ListParagraph"/>
        <w:numPr>
          <w:ilvl w:val="3"/>
          <w:numId w:val="169"/>
        </w:numPr>
        <w:tabs>
          <w:tab w:pos="1919" w:val="left" w:leader="none"/>
        </w:tabs>
        <w:spacing w:line="240" w:lineRule="auto" w:before="120" w:after="0"/>
        <w:ind w:left="1919" w:right="414" w:hanging="567"/>
        <w:jc w:val="both"/>
        <w:rPr>
          <w:sz w:val="24"/>
        </w:rPr>
      </w:pPr>
      <w:r>
        <w:rPr>
          <w:sz w:val="24"/>
        </w:rPr>
        <w:t>To the extent that an application fee includes amounts to meet </w:t>
      </w:r>
      <w:r>
        <w:rPr>
          <w:spacing w:val="-4"/>
          <w:sz w:val="24"/>
        </w:rPr>
        <w:t>the </w:t>
      </w:r>
      <w:r>
        <w:rPr>
          <w:sz w:val="24"/>
        </w:rPr>
        <w:t>reasonable costs anticipated to be incurred by any other </w:t>
      </w:r>
      <w:r>
        <w:rPr>
          <w:i/>
          <w:sz w:val="24"/>
        </w:rPr>
        <w:t>Network Service </w:t>
      </w:r>
      <w:r>
        <w:rPr>
          <w:i/>
          <w:sz w:val="24"/>
        </w:rPr>
        <w:t>Providers </w:t>
      </w:r>
      <w:r>
        <w:rPr>
          <w:sz w:val="24"/>
        </w:rPr>
        <w:t>in the assessment of the </w:t>
      </w:r>
      <w:r>
        <w:rPr>
          <w:i/>
          <w:sz w:val="24"/>
        </w:rPr>
        <w:t>application to connect</w:t>
      </w:r>
      <w:r>
        <w:rPr>
          <w:sz w:val="24"/>
        </w:rPr>
        <w:t>, a </w:t>
      </w:r>
      <w:r>
        <w:rPr>
          <w:i/>
          <w:sz w:val="24"/>
        </w:rPr>
        <w:t>Network Service </w:t>
      </w:r>
      <w:r>
        <w:rPr>
          <w:i/>
          <w:sz w:val="24"/>
        </w:rPr>
        <w:t>Provider </w:t>
      </w:r>
      <w:r>
        <w:rPr>
          <w:sz w:val="24"/>
        </w:rPr>
        <w:t>who receives the </w:t>
      </w:r>
      <w:r>
        <w:rPr>
          <w:i/>
          <w:sz w:val="24"/>
        </w:rPr>
        <w:t>application to connect </w:t>
      </w:r>
      <w:r>
        <w:rPr>
          <w:sz w:val="24"/>
        </w:rPr>
        <w:t>and associated fee must pay such amounts to the other </w:t>
      </w:r>
      <w:r>
        <w:rPr>
          <w:i/>
          <w:sz w:val="24"/>
        </w:rPr>
        <w:t>Network Service Providers</w:t>
      </w:r>
      <w:r>
        <w:rPr>
          <w:sz w:val="24"/>
        </w:rPr>
        <w:t>, as</w:t>
      </w:r>
      <w:r>
        <w:rPr>
          <w:spacing w:val="-7"/>
          <w:sz w:val="24"/>
        </w:rPr>
        <w:t> </w:t>
      </w:r>
      <w:r>
        <w:rPr>
          <w:sz w:val="24"/>
        </w:rPr>
        <w:t>appropriate.</w:t>
      </w:r>
    </w:p>
    <w:p>
      <w:pPr>
        <w:pStyle w:val="ListParagraph"/>
        <w:numPr>
          <w:ilvl w:val="3"/>
          <w:numId w:val="169"/>
        </w:numPr>
        <w:tabs>
          <w:tab w:pos="1919" w:val="left" w:leader="none"/>
        </w:tabs>
        <w:spacing w:line="240" w:lineRule="auto" w:before="120" w:after="0"/>
        <w:ind w:left="1919" w:right="415" w:hanging="567"/>
        <w:jc w:val="both"/>
        <w:rPr>
          <w:sz w:val="24"/>
        </w:rPr>
      </w:pPr>
      <w:r>
        <w:rPr>
          <w:sz w:val="24"/>
        </w:rPr>
        <w:t>For each technical requirement where the proposed arrangement will not meet the </w:t>
      </w:r>
      <w:r>
        <w:rPr>
          <w:i/>
          <w:sz w:val="24"/>
        </w:rPr>
        <w:t>automatic access standards </w:t>
      </w:r>
      <w:r>
        <w:rPr>
          <w:sz w:val="24"/>
        </w:rPr>
        <w:t>nominated by the </w:t>
      </w:r>
      <w:r>
        <w:rPr>
          <w:i/>
          <w:sz w:val="24"/>
        </w:rPr>
        <w:t>Network Service </w:t>
      </w:r>
      <w:r>
        <w:rPr>
          <w:i/>
          <w:sz w:val="24"/>
        </w:rPr>
        <w:t>Provider </w:t>
      </w:r>
      <w:r>
        <w:rPr>
          <w:sz w:val="24"/>
        </w:rPr>
        <w:t>pursuant to clause 5.3.3(b1), the </w:t>
      </w:r>
      <w:r>
        <w:rPr>
          <w:i/>
          <w:sz w:val="24"/>
        </w:rPr>
        <w:t>Connection Applicant </w:t>
      </w:r>
      <w:r>
        <w:rPr>
          <w:sz w:val="24"/>
        </w:rPr>
        <w:t>must submit with the </w:t>
      </w:r>
      <w:r>
        <w:rPr>
          <w:i/>
          <w:sz w:val="24"/>
        </w:rPr>
        <w:t>application to connect </w:t>
      </w:r>
      <w:r>
        <w:rPr>
          <w:sz w:val="24"/>
        </w:rPr>
        <w:t>a proposal for a </w:t>
      </w:r>
      <w:r>
        <w:rPr>
          <w:i/>
          <w:sz w:val="24"/>
        </w:rPr>
        <w:t>negotiated access </w:t>
      </w:r>
      <w:r>
        <w:rPr>
          <w:i/>
          <w:sz w:val="24"/>
        </w:rPr>
        <w:t>standard </w:t>
      </w:r>
      <w:r>
        <w:rPr>
          <w:sz w:val="24"/>
        </w:rPr>
        <w:t>for each such requirement to be determined in accordance with clause 5.3.4A.</w:t>
      </w:r>
    </w:p>
    <w:p>
      <w:pPr>
        <w:pStyle w:val="ListParagraph"/>
        <w:numPr>
          <w:ilvl w:val="3"/>
          <w:numId w:val="169"/>
        </w:numPr>
        <w:tabs>
          <w:tab w:pos="1920" w:val="left" w:leader="none"/>
        </w:tabs>
        <w:spacing w:line="240" w:lineRule="auto" w:before="120" w:after="0"/>
        <w:ind w:left="1919" w:right="0" w:hanging="568"/>
        <w:jc w:val="both"/>
        <w:rPr>
          <w:sz w:val="24"/>
        </w:rPr>
      </w:pPr>
      <w:r>
        <w:rPr>
          <w:sz w:val="24"/>
        </w:rPr>
        <w:t>The </w:t>
      </w:r>
      <w:r>
        <w:rPr>
          <w:i/>
          <w:sz w:val="24"/>
        </w:rPr>
        <w:t>Connection Applicant</w:t>
      </w:r>
      <w:r>
        <w:rPr>
          <w:i/>
          <w:spacing w:val="-1"/>
          <w:sz w:val="24"/>
        </w:rPr>
        <w:t> </w:t>
      </w:r>
      <w:r>
        <w:rPr>
          <w:sz w:val="24"/>
        </w:rPr>
        <w:t>may:</w:t>
      </w:r>
    </w:p>
    <w:p>
      <w:pPr>
        <w:spacing w:after="0" w:line="240" w:lineRule="auto"/>
        <w:jc w:val="both"/>
        <w:rPr>
          <w:sz w:val="24"/>
        </w:rPr>
        <w:sectPr>
          <w:pgSz w:w="11910" w:h="16840"/>
          <w:pgMar w:header="686" w:footer="637" w:top="1320" w:bottom="820" w:left="1200" w:right="1000"/>
        </w:sectPr>
      </w:pPr>
    </w:p>
    <w:p>
      <w:pPr>
        <w:pStyle w:val="ListParagraph"/>
        <w:numPr>
          <w:ilvl w:val="4"/>
          <w:numId w:val="169"/>
        </w:numPr>
        <w:tabs>
          <w:tab w:pos="2486" w:val="left" w:leader="none"/>
        </w:tabs>
        <w:spacing w:line="240" w:lineRule="auto" w:before="83" w:after="0"/>
        <w:ind w:left="2486" w:right="415" w:hanging="567"/>
        <w:jc w:val="both"/>
        <w:rPr>
          <w:sz w:val="24"/>
        </w:rPr>
      </w:pPr>
      <w:r>
        <w:rPr>
          <w:sz w:val="24"/>
        </w:rPr>
        <w:t>lodge separate </w:t>
      </w:r>
      <w:r>
        <w:rPr>
          <w:i/>
          <w:sz w:val="24"/>
        </w:rPr>
        <w:t>applications to connect </w:t>
      </w:r>
      <w:r>
        <w:rPr>
          <w:sz w:val="24"/>
        </w:rPr>
        <w:t>and separately liaise with the other </w:t>
      </w:r>
      <w:r>
        <w:rPr>
          <w:i/>
          <w:sz w:val="24"/>
        </w:rPr>
        <w:t>Network Service Providers </w:t>
      </w:r>
      <w:r>
        <w:rPr>
          <w:sz w:val="24"/>
        </w:rPr>
        <w:t>identified in clause 5.3.3(b) who may require a form of</w:t>
      </w:r>
      <w:r>
        <w:rPr>
          <w:spacing w:val="-2"/>
          <w:sz w:val="24"/>
        </w:rPr>
        <w:t> </w:t>
      </w:r>
      <w:r>
        <w:rPr>
          <w:sz w:val="24"/>
        </w:rPr>
        <w:t>agreement;</w:t>
      </w:r>
    </w:p>
    <w:p>
      <w:pPr>
        <w:pStyle w:val="ListParagraph"/>
        <w:numPr>
          <w:ilvl w:val="4"/>
          <w:numId w:val="169"/>
        </w:numPr>
        <w:tabs>
          <w:tab w:pos="2486" w:val="left" w:leader="none"/>
        </w:tabs>
        <w:spacing w:line="240" w:lineRule="auto" w:before="120" w:after="0"/>
        <w:ind w:left="2486" w:right="415" w:hanging="567"/>
        <w:jc w:val="both"/>
        <w:rPr>
          <w:sz w:val="24"/>
        </w:rPr>
      </w:pPr>
      <w:r>
        <w:rPr>
          <w:sz w:val="24"/>
        </w:rPr>
        <w:t>lodge one </w:t>
      </w:r>
      <w:r>
        <w:rPr>
          <w:i/>
          <w:sz w:val="24"/>
        </w:rPr>
        <w:t>application to connect </w:t>
      </w:r>
      <w:r>
        <w:rPr>
          <w:sz w:val="24"/>
        </w:rPr>
        <w:t>with the </w:t>
      </w:r>
      <w:r>
        <w:rPr>
          <w:i/>
          <w:sz w:val="24"/>
        </w:rPr>
        <w:t>Network Service Provider </w:t>
      </w:r>
      <w:r>
        <w:rPr>
          <w:sz w:val="24"/>
        </w:rPr>
        <w:t>who processed the </w:t>
      </w:r>
      <w:r>
        <w:rPr>
          <w:i/>
          <w:sz w:val="24"/>
        </w:rPr>
        <w:t>connection </w:t>
      </w:r>
      <w:r>
        <w:rPr>
          <w:sz w:val="24"/>
        </w:rPr>
        <w:t>enquiry and require it to liaise with those other </w:t>
      </w:r>
      <w:r>
        <w:rPr>
          <w:i/>
          <w:sz w:val="24"/>
        </w:rPr>
        <w:t>Network Service Providers </w:t>
      </w:r>
      <w:r>
        <w:rPr>
          <w:sz w:val="24"/>
        </w:rPr>
        <w:t>and obtain and present all necessary draft agreements to the </w:t>
      </w:r>
      <w:r>
        <w:rPr>
          <w:i/>
          <w:sz w:val="24"/>
        </w:rPr>
        <w:t>Connection Applicant</w:t>
      </w:r>
      <w:r>
        <w:rPr>
          <w:sz w:val="24"/>
        </w:rPr>
        <w:t>;</w:t>
      </w:r>
      <w:r>
        <w:rPr>
          <w:spacing w:val="-4"/>
          <w:sz w:val="24"/>
        </w:rPr>
        <w:t> </w:t>
      </w:r>
      <w:r>
        <w:rPr>
          <w:sz w:val="24"/>
        </w:rPr>
        <w:t>or</w:t>
      </w:r>
    </w:p>
    <w:p>
      <w:pPr>
        <w:pStyle w:val="ListParagraph"/>
        <w:numPr>
          <w:ilvl w:val="4"/>
          <w:numId w:val="169"/>
        </w:numPr>
        <w:tabs>
          <w:tab w:pos="2486" w:val="left" w:leader="none"/>
        </w:tabs>
        <w:spacing w:line="240" w:lineRule="auto" w:before="120" w:after="0"/>
        <w:ind w:left="2486" w:right="414" w:hanging="567"/>
        <w:jc w:val="both"/>
        <w:rPr>
          <w:sz w:val="24"/>
        </w:rPr>
      </w:pPr>
      <w:r>
        <w:rPr>
          <w:sz w:val="24"/>
        </w:rPr>
        <w:t>lodge a combined </w:t>
      </w:r>
      <w:r>
        <w:rPr>
          <w:i/>
          <w:sz w:val="24"/>
        </w:rPr>
        <w:t>application to connect </w:t>
      </w:r>
      <w:r>
        <w:rPr>
          <w:sz w:val="24"/>
        </w:rPr>
        <w:t>with the </w:t>
      </w:r>
      <w:r>
        <w:rPr>
          <w:i/>
          <w:sz w:val="24"/>
        </w:rPr>
        <w:t>Primary Network </w:t>
      </w:r>
      <w:r>
        <w:rPr>
          <w:i/>
          <w:sz w:val="24"/>
        </w:rPr>
        <w:t>Service Provider </w:t>
      </w:r>
      <w:r>
        <w:rPr>
          <w:sz w:val="24"/>
        </w:rPr>
        <w:t>where the </w:t>
      </w:r>
      <w:r>
        <w:rPr>
          <w:i/>
          <w:sz w:val="24"/>
        </w:rPr>
        <w:t>connection </w:t>
      </w:r>
      <w:r>
        <w:rPr>
          <w:sz w:val="24"/>
        </w:rPr>
        <w:t>involves more than one </w:t>
      </w:r>
      <w:r>
        <w:rPr>
          <w:i/>
          <w:sz w:val="24"/>
        </w:rPr>
        <w:t>Connection Applicant </w:t>
      </w:r>
      <w:r>
        <w:rPr>
          <w:sz w:val="24"/>
        </w:rPr>
        <w:t>due to different persons developing and </w:t>
      </w:r>
      <w:r>
        <w:rPr>
          <w:spacing w:val="-3"/>
          <w:sz w:val="24"/>
        </w:rPr>
        <w:t>owning </w:t>
      </w:r>
      <w:r>
        <w:rPr>
          <w:i/>
          <w:sz w:val="24"/>
        </w:rPr>
        <w:t>contestable IUSA components</w:t>
      </w:r>
      <w:r>
        <w:rPr>
          <w:sz w:val="24"/>
        </w:rPr>
        <w:t>, </w:t>
      </w:r>
      <w:r>
        <w:rPr>
          <w:i/>
          <w:sz w:val="24"/>
        </w:rPr>
        <w:t>dedicated connection assets </w:t>
      </w:r>
      <w:r>
        <w:rPr>
          <w:sz w:val="24"/>
        </w:rPr>
        <w:t>and </w:t>
      </w:r>
      <w:r>
        <w:rPr>
          <w:i/>
          <w:sz w:val="24"/>
        </w:rPr>
        <w:t>Transmission Network User facilities </w:t>
      </w:r>
      <w:r>
        <w:rPr>
          <w:sz w:val="24"/>
        </w:rPr>
        <w:t>in relation to that</w:t>
      </w:r>
      <w:r>
        <w:rPr>
          <w:spacing w:val="-13"/>
          <w:sz w:val="24"/>
        </w:rPr>
        <w:t> </w:t>
      </w:r>
      <w:r>
        <w:rPr>
          <w:i/>
          <w:sz w:val="24"/>
        </w:rPr>
        <w:t>connection</w:t>
      </w:r>
      <w:r>
        <w:rPr>
          <w:sz w:val="24"/>
        </w:rPr>
        <w:t>.</w:t>
      </w:r>
    </w:p>
    <w:p>
      <w:pPr>
        <w:pStyle w:val="ListParagraph"/>
        <w:numPr>
          <w:ilvl w:val="3"/>
          <w:numId w:val="169"/>
        </w:numPr>
        <w:tabs>
          <w:tab w:pos="1919" w:val="left" w:leader="none"/>
        </w:tabs>
        <w:spacing w:line="240" w:lineRule="auto" w:before="120" w:after="0"/>
        <w:ind w:left="1919" w:right="415" w:hanging="567"/>
        <w:jc w:val="both"/>
        <w:rPr>
          <w:sz w:val="24"/>
        </w:rPr>
      </w:pPr>
      <w:r>
        <w:rPr>
          <w:sz w:val="24"/>
        </w:rPr>
        <w:t>A </w:t>
      </w:r>
      <w:r>
        <w:rPr>
          <w:i/>
          <w:sz w:val="24"/>
        </w:rPr>
        <w:t>Connection Applicant </w:t>
      </w:r>
      <w:r>
        <w:rPr>
          <w:sz w:val="24"/>
        </w:rPr>
        <w:t>who proposes a </w:t>
      </w:r>
      <w:r>
        <w:rPr>
          <w:i/>
          <w:sz w:val="24"/>
        </w:rPr>
        <w:t>system strength remediation </w:t>
      </w:r>
      <w:r>
        <w:rPr>
          <w:i/>
          <w:sz w:val="24"/>
        </w:rPr>
        <w:t>scheme </w:t>
      </w:r>
      <w:r>
        <w:rPr>
          <w:sz w:val="24"/>
        </w:rPr>
        <w:t>under clause 5.3.4B must submit its proposal with the </w:t>
      </w:r>
      <w:r>
        <w:rPr>
          <w:i/>
          <w:sz w:val="24"/>
        </w:rPr>
        <w:t>application to </w:t>
      </w:r>
      <w:r>
        <w:rPr>
          <w:i/>
          <w:sz w:val="24"/>
        </w:rPr>
        <w:t>connect</w:t>
      </w:r>
      <w:r>
        <w:rPr>
          <w:sz w:val="24"/>
        </w:rPr>
        <w:t>.</w:t>
      </w:r>
    </w:p>
    <w:p>
      <w:pPr>
        <w:pStyle w:val="BodyText"/>
        <w:spacing w:before="10"/>
        <w:ind w:firstLine="0"/>
        <w:jc w:val="left"/>
        <w:rPr>
          <w:sz w:val="20"/>
        </w:rPr>
      </w:pPr>
    </w:p>
    <w:p>
      <w:pPr>
        <w:pStyle w:val="Heading4"/>
        <w:numPr>
          <w:ilvl w:val="2"/>
          <w:numId w:val="171"/>
        </w:numPr>
        <w:tabs>
          <w:tab w:pos="753" w:val="left" w:leader="none"/>
          <w:tab w:pos="1351" w:val="left" w:leader="none"/>
        </w:tabs>
        <w:spacing w:line="240" w:lineRule="auto" w:before="0" w:after="0"/>
        <w:ind w:left="752" w:right="0" w:hanging="535"/>
        <w:jc w:val="left"/>
      </w:pPr>
      <w:bookmarkStart w:name="5.3.4A Negotiated access standards" w:id="429"/>
      <w:bookmarkEnd w:id="429"/>
      <w:r>
        <w:rPr>
          <w:b w:val="0"/>
        </w:rPr>
      </w:r>
      <w:bookmarkStart w:name="_bookmark181" w:id="430"/>
      <w:bookmarkEnd w:id="430"/>
      <w:r>
        <w:rPr>
          <w:b w:val="0"/>
        </w:rPr>
      </w:r>
      <w:bookmarkStart w:name="_bookmark181" w:id="431"/>
      <w:bookmarkEnd w:id="431"/>
      <w:r>
        <w:rPr/>
        <w:t>A</w:t>
      </w:r>
      <w:r>
        <w:rPr/>
        <w:tab/>
        <w:t>Negotiated access</w:t>
      </w:r>
      <w:r>
        <w:rPr>
          <w:spacing w:val="-3"/>
        </w:rPr>
        <w:t> </w:t>
      </w:r>
      <w:r>
        <w:rPr/>
        <w:t>standards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Clause 5.3.4A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clause will be revisited as part of the phased implementation of the </w:t>
      </w:r>
      <w:r>
        <w:rPr>
          <w:i/>
          <w:sz w:val="20"/>
        </w:rPr>
        <w:t>Rules </w:t>
      </w:r>
      <w:r>
        <w:rPr>
          <w:sz w:val="20"/>
        </w:rPr>
        <w:t>in this jurisdiction.</w:t>
      </w:r>
    </w:p>
    <w:p>
      <w:pPr>
        <w:pStyle w:val="ListParagraph"/>
        <w:numPr>
          <w:ilvl w:val="3"/>
          <w:numId w:val="171"/>
        </w:numPr>
        <w:tabs>
          <w:tab w:pos="1919" w:val="left" w:leader="none"/>
        </w:tabs>
        <w:spacing w:line="240" w:lineRule="auto" w:before="120" w:after="0"/>
        <w:ind w:left="1918" w:right="0" w:hanging="567"/>
        <w:jc w:val="both"/>
        <w:rPr>
          <w:sz w:val="24"/>
        </w:rPr>
      </w:pPr>
      <w:r>
        <w:rPr>
          <w:i/>
          <w:sz w:val="24"/>
        </w:rPr>
        <w:t>AEMO </w:t>
      </w:r>
      <w:r>
        <w:rPr>
          <w:sz w:val="24"/>
        </w:rPr>
        <w:t>must advise on </w:t>
      </w:r>
      <w:r>
        <w:rPr>
          <w:i/>
          <w:sz w:val="24"/>
        </w:rPr>
        <w:t>AEMO advisory</w:t>
      </w:r>
      <w:r>
        <w:rPr>
          <w:i/>
          <w:spacing w:val="-2"/>
          <w:sz w:val="24"/>
        </w:rPr>
        <w:t> </w:t>
      </w:r>
      <w:r>
        <w:rPr>
          <w:i/>
          <w:sz w:val="24"/>
        </w:rPr>
        <w:t>matters</w:t>
      </w:r>
      <w:r>
        <w:rPr>
          <w:sz w:val="24"/>
        </w:rPr>
        <w:t>.</w:t>
      </w:r>
    </w:p>
    <w:p>
      <w:pPr>
        <w:pStyle w:val="ListParagraph"/>
        <w:numPr>
          <w:ilvl w:val="3"/>
          <w:numId w:val="171"/>
        </w:numPr>
        <w:tabs>
          <w:tab w:pos="1919" w:val="left" w:leader="none"/>
        </w:tabs>
        <w:spacing w:line="240" w:lineRule="auto" w:before="120" w:after="0"/>
        <w:ind w:left="1918" w:right="0" w:hanging="567"/>
        <w:jc w:val="both"/>
        <w:rPr>
          <w:sz w:val="24"/>
        </w:rPr>
      </w:pPr>
      <w:r>
        <w:rPr>
          <w:sz w:val="24"/>
        </w:rPr>
        <w:t>A </w:t>
      </w:r>
      <w:r>
        <w:rPr>
          <w:i/>
          <w:sz w:val="24"/>
        </w:rPr>
        <w:t>negotiated access standard</w:t>
      </w:r>
      <w:r>
        <w:rPr>
          <w:i/>
          <w:spacing w:val="-3"/>
          <w:sz w:val="24"/>
        </w:rPr>
        <w:t> </w:t>
      </w:r>
      <w:r>
        <w:rPr>
          <w:sz w:val="24"/>
        </w:rPr>
        <w:t>must:</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subject to subparagraph (1A), be no less onerous than the corresponding </w:t>
      </w:r>
      <w:r>
        <w:rPr>
          <w:i/>
          <w:sz w:val="24"/>
        </w:rPr>
        <w:t>minimum access standard </w:t>
      </w:r>
      <w:r>
        <w:rPr>
          <w:sz w:val="24"/>
        </w:rPr>
        <w:t>provided by the </w:t>
      </w:r>
      <w:r>
        <w:rPr>
          <w:i/>
          <w:sz w:val="24"/>
        </w:rPr>
        <w:t>Network </w:t>
      </w:r>
      <w:r>
        <w:rPr>
          <w:i/>
          <w:sz w:val="24"/>
        </w:rPr>
        <w:t>Service Provider </w:t>
      </w:r>
      <w:r>
        <w:rPr>
          <w:sz w:val="24"/>
        </w:rPr>
        <w:t>under clauses 5.3.3(b1)(4) or</w:t>
      </w:r>
      <w:r>
        <w:rPr>
          <w:spacing w:val="-5"/>
          <w:sz w:val="24"/>
        </w:rPr>
        <w:t> </w:t>
      </w:r>
      <w:r>
        <w:rPr>
          <w:sz w:val="24"/>
        </w:rPr>
        <w:t>S5.4B(b)(2);</w:t>
      </w:r>
    </w:p>
    <w:p>
      <w:pPr>
        <w:spacing w:before="120"/>
        <w:ind w:left="2486" w:right="414" w:hanging="567"/>
        <w:jc w:val="both"/>
        <w:rPr>
          <w:sz w:val="24"/>
        </w:rPr>
      </w:pPr>
      <w:r>
        <w:rPr>
          <w:sz w:val="24"/>
        </w:rPr>
        <w:t>(1A) with respect to a submission by a </w:t>
      </w:r>
      <w:r>
        <w:rPr>
          <w:i/>
          <w:sz w:val="24"/>
        </w:rPr>
        <w:t>Generator </w:t>
      </w:r>
      <w:r>
        <w:rPr>
          <w:sz w:val="24"/>
        </w:rPr>
        <w:t>under clause 5.3.9(b)(3), be no less onerous than the </w:t>
      </w:r>
      <w:r>
        <w:rPr>
          <w:i/>
          <w:sz w:val="24"/>
        </w:rPr>
        <w:t>performance standard </w:t>
      </w:r>
      <w:r>
        <w:rPr>
          <w:sz w:val="24"/>
        </w:rPr>
        <w:t>that corresponds to the technical requirement that is affected by the alteration to the </w:t>
      </w:r>
      <w:r>
        <w:rPr>
          <w:i/>
          <w:sz w:val="24"/>
        </w:rPr>
        <w:t>generating system</w:t>
      </w:r>
      <w:r>
        <w:rPr>
          <w:sz w:val="24"/>
        </w:rPr>
        <w:t>;</w:t>
      </w:r>
    </w:p>
    <w:p>
      <w:pPr>
        <w:pStyle w:val="ListParagraph"/>
        <w:numPr>
          <w:ilvl w:val="4"/>
          <w:numId w:val="171"/>
        </w:numPr>
        <w:tabs>
          <w:tab w:pos="2485" w:val="left" w:leader="none"/>
          <w:tab w:pos="2486" w:val="left" w:leader="none"/>
        </w:tabs>
        <w:spacing w:line="240" w:lineRule="auto" w:before="120" w:after="0"/>
        <w:ind w:left="2485" w:right="0" w:hanging="567"/>
        <w:jc w:val="left"/>
        <w:rPr>
          <w:sz w:val="24"/>
        </w:rPr>
      </w:pPr>
      <w:r>
        <w:rPr>
          <w:sz w:val="24"/>
        </w:rPr>
        <w:t>be set at a level that will not adversely affect </w:t>
      </w:r>
      <w:r>
        <w:rPr>
          <w:i/>
          <w:sz w:val="24"/>
        </w:rPr>
        <w:t>power system</w:t>
      </w:r>
      <w:r>
        <w:rPr>
          <w:i/>
          <w:spacing w:val="-13"/>
          <w:sz w:val="24"/>
        </w:rPr>
        <w:t> </w:t>
      </w:r>
      <w:r>
        <w:rPr>
          <w:i/>
          <w:sz w:val="24"/>
        </w:rPr>
        <w:t>security</w:t>
      </w:r>
      <w:r>
        <w:rPr>
          <w:sz w:val="24"/>
        </w:rPr>
        <w:t>;</w:t>
      </w:r>
    </w:p>
    <w:p>
      <w:pPr>
        <w:pStyle w:val="ListParagraph"/>
        <w:numPr>
          <w:ilvl w:val="4"/>
          <w:numId w:val="171"/>
        </w:numPr>
        <w:tabs>
          <w:tab w:pos="2485" w:val="left" w:leader="none"/>
          <w:tab w:pos="2486" w:val="left" w:leader="none"/>
        </w:tabs>
        <w:spacing w:line="240" w:lineRule="auto" w:before="120" w:after="0"/>
        <w:ind w:left="2486" w:right="416" w:hanging="567"/>
        <w:jc w:val="left"/>
        <w:rPr>
          <w:sz w:val="24"/>
        </w:rPr>
      </w:pPr>
      <w:r>
        <w:rPr>
          <w:sz w:val="24"/>
        </w:rPr>
        <w:t>be set at a level that will not adversely affect the quality of </w:t>
      </w:r>
      <w:r>
        <w:rPr>
          <w:i/>
          <w:sz w:val="24"/>
        </w:rPr>
        <w:t>supply </w:t>
      </w:r>
      <w:r>
        <w:rPr>
          <w:sz w:val="24"/>
        </w:rPr>
        <w:t>for other </w:t>
      </w:r>
      <w:r>
        <w:rPr>
          <w:i/>
          <w:sz w:val="24"/>
        </w:rPr>
        <w:t>Network Users</w:t>
      </w:r>
      <w:r>
        <w:rPr>
          <w:sz w:val="24"/>
        </w:rPr>
        <w:t>;</w:t>
      </w:r>
      <w:r>
        <w:rPr>
          <w:spacing w:val="-1"/>
          <w:sz w:val="24"/>
        </w:rPr>
        <w:t> </w:t>
      </w:r>
      <w:r>
        <w:rPr>
          <w:sz w:val="24"/>
        </w:rPr>
        <w:t>and</w:t>
      </w:r>
    </w:p>
    <w:p>
      <w:pPr>
        <w:pStyle w:val="ListParagraph"/>
        <w:numPr>
          <w:ilvl w:val="4"/>
          <w:numId w:val="171"/>
        </w:numPr>
        <w:tabs>
          <w:tab w:pos="2485" w:val="left" w:leader="none"/>
          <w:tab w:pos="2486" w:val="left" w:leader="none"/>
        </w:tabs>
        <w:spacing w:line="240" w:lineRule="auto" w:before="120" w:after="0"/>
        <w:ind w:left="2485" w:right="0" w:hanging="567"/>
        <w:jc w:val="left"/>
        <w:rPr>
          <w:sz w:val="24"/>
        </w:rPr>
      </w:pPr>
      <w:r>
        <w:rPr>
          <w:sz w:val="24"/>
        </w:rPr>
        <w:t>in</w:t>
      </w:r>
      <w:r>
        <w:rPr>
          <w:spacing w:val="24"/>
          <w:sz w:val="24"/>
        </w:rPr>
        <w:t> </w:t>
      </w:r>
      <w:r>
        <w:rPr>
          <w:sz w:val="24"/>
        </w:rPr>
        <w:t>respect</w:t>
      </w:r>
      <w:r>
        <w:rPr>
          <w:spacing w:val="25"/>
          <w:sz w:val="24"/>
        </w:rPr>
        <w:t> </w:t>
      </w:r>
      <w:r>
        <w:rPr>
          <w:sz w:val="24"/>
        </w:rPr>
        <w:t>of</w:t>
      </w:r>
      <w:r>
        <w:rPr>
          <w:spacing w:val="25"/>
          <w:sz w:val="24"/>
        </w:rPr>
        <w:t> </w:t>
      </w:r>
      <w:r>
        <w:rPr>
          <w:i/>
          <w:sz w:val="24"/>
        </w:rPr>
        <w:t>generating</w:t>
      </w:r>
      <w:r>
        <w:rPr>
          <w:i/>
          <w:spacing w:val="24"/>
          <w:sz w:val="24"/>
        </w:rPr>
        <w:t> </w:t>
      </w:r>
      <w:r>
        <w:rPr>
          <w:i/>
          <w:sz w:val="24"/>
        </w:rPr>
        <w:t>plant</w:t>
      </w:r>
      <w:r>
        <w:rPr>
          <w:sz w:val="24"/>
        </w:rPr>
        <w:t>,</w:t>
      </w:r>
      <w:r>
        <w:rPr>
          <w:spacing w:val="25"/>
          <w:sz w:val="24"/>
        </w:rPr>
        <w:t> </w:t>
      </w:r>
      <w:r>
        <w:rPr>
          <w:sz w:val="24"/>
        </w:rPr>
        <w:t>meet</w:t>
      </w:r>
      <w:r>
        <w:rPr>
          <w:spacing w:val="25"/>
          <w:sz w:val="24"/>
        </w:rPr>
        <w:t> </w:t>
      </w:r>
      <w:r>
        <w:rPr>
          <w:sz w:val="24"/>
        </w:rPr>
        <w:t>the</w:t>
      </w:r>
      <w:r>
        <w:rPr>
          <w:spacing w:val="24"/>
          <w:sz w:val="24"/>
        </w:rPr>
        <w:t> </w:t>
      </w:r>
      <w:r>
        <w:rPr>
          <w:sz w:val="24"/>
        </w:rPr>
        <w:t>requirements</w:t>
      </w:r>
      <w:r>
        <w:rPr>
          <w:spacing w:val="25"/>
          <w:sz w:val="24"/>
        </w:rPr>
        <w:t> </w:t>
      </w:r>
      <w:r>
        <w:rPr>
          <w:sz w:val="24"/>
        </w:rPr>
        <w:t>applicable</w:t>
      </w:r>
      <w:r>
        <w:rPr>
          <w:spacing w:val="25"/>
          <w:sz w:val="24"/>
        </w:rPr>
        <w:t> </w:t>
      </w:r>
      <w:r>
        <w:rPr>
          <w:sz w:val="24"/>
        </w:rPr>
        <w:t>to</w:t>
      </w:r>
      <w:r>
        <w:rPr>
          <w:spacing w:val="24"/>
          <w:sz w:val="24"/>
        </w:rPr>
        <w:t> </w:t>
      </w:r>
      <w:r>
        <w:rPr>
          <w:sz w:val="24"/>
        </w:rPr>
        <w:t>a</w:t>
      </w:r>
    </w:p>
    <w:p>
      <w:pPr>
        <w:spacing w:before="0"/>
        <w:ind w:left="2486" w:right="0" w:firstLine="0"/>
        <w:jc w:val="left"/>
        <w:rPr>
          <w:sz w:val="24"/>
        </w:rPr>
      </w:pPr>
      <w:r>
        <w:rPr>
          <w:i/>
          <w:sz w:val="24"/>
        </w:rPr>
        <w:t>negotiated access standard </w:t>
      </w:r>
      <w:r>
        <w:rPr>
          <w:sz w:val="24"/>
        </w:rPr>
        <w:t>in Schedule 5.2.</w:t>
      </w:r>
    </w:p>
    <w:p>
      <w:pPr>
        <w:spacing w:before="120"/>
        <w:ind w:left="1919" w:right="415" w:hanging="567"/>
        <w:jc w:val="both"/>
        <w:rPr>
          <w:sz w:val="24"/>
        </w:rPr>
      </w:pPr>
      <w:r>
        <w:rPr>
          <w:sz w:val="24"/>
        </w:rPr>
        <w:t>(b1) When submitting a proposal for a </w:t>
      </w:r>
      <w:r>
        <w:rPr>
          <w:i/>
          <w:sz w:val="24"/>
        </w:rPr>
        <w:t>negotiated access standard </w:t>
      </w:r>
      <w:r>
        <w:rPr>
          <w:sz w:val="24"/>
        </w:rPr>
        <w:t>under clauses 5.3.4(e), 5.3A.9(f), 5.3.9(b)(3) or subparagraph (h)(3), and where there is a corresponding </w:t>
      </w:r>
      <w:r>
        <w:rPr>
          <w:i/>
          <w:sz w:val="24"/>
        </w:rPr>
        <w:t>automatic access standard </w:t>
      </w:r>
      <w:r>
        <w:rPr>
          <w:sz w:val="24"/>
        </w:rPr>
        <w:t>for the relevant technical requirement, a </w:t>
      </w:r>
      <w:r>
        <w:rPr>
          <w:i/>
          <w:sz w:val="24"/>
        </w:rPr>
        <w:t>Connection Applicant </w:t>
      </w:r>
      <w:r>
        <w:rPr>
          <w:sz w:val="24"/>
        </w:rPr>
        <w:t>must propose a standard that is as close as practicable to the corresponding </w:t>
      </w:r>
      <w:r>
        <w:rPr>
          <w:i/>
          <w:sz w:val="24"/>
        </w:rPr>
        <w:t>automatic access standard</w:t>
      </w:r>
      <w:r>
        <w:rPr>
          <w:sz w:val="24"/>
        </w:rPr>
        <w:t>, having regard to:</w:t>
      </w:r>
    </w:p>
    <w:p>
      <w:pPr>
        <w:pStyle w:val="ListParagraph"/>
        <w:numPr>
          <w:ilvl w:val="0"/>
          <w:numId w:val="172"/>
        </w:numPr>
        <w:tabs>
          <w:tab w:pos="2486" w:val="left" w:leader="none"/>
        </w:tabs>
        <w:spacing w:line="240" w:lineRule="auto" w:before="120" w:after="0"/>
        <w:ind w:left="2485" w:right="0" w:hanging="567"/>
        <w:jc w:val="both"/>
        <w:rPr>
          <w:sz w:val="24"/>
        </w:rPr>
      </w:pPr>
      <w:r>
        <w:rPr>
          <w:sz w:val="24"/>
        </w:rPr>
        <w:t>the need to protect the </w:t>
      </w:r>
      <w:r>
        <w:rPr>
          <w:i/>
          <w:sz w:val="24"/>
        </w:rPr>
        <w:t>plant </w:t>
      </w:r>
      <w:r>
        <w:rPr>
          <w:sz w:val="24"/>
        </w:rPr>
        <w:t>from</w:t>
      </w:r>
      <w:r>
        <w:rPr>
          <w:spacing w:val="-1"/>
          <w:sz w:val="24"/>
        </w:rPr>
        <w:t> </w:t>
      </w:r>
      <w:r>
        <w:rPr>
          <w:sz w:val="24"/>
        </w:rPr>
        <w:t>damage;</w:t>
      </w:r>
    </w:p>
    <w:p>
      <w:pPr>
        <w:pStyle w:val="ListParagraph"/>
        <w:numPr>
          <w:ilvl w:val="0"/>
          <w:numId w:val="172"/>
        </w:numPr>
        <w:tabs>
          <w:tab w:pos="2486" w:val="left" w:leader="none"/>
        </w:tabs>
        <w:spacing w:line="240" w:lineRule="auto" w:before="120" w:after="0"/>
        <w:ind w:left="2486" w:right="415" w:hanging="567"/>
        <w:jc w:val="both"/>
        <w:rPr>
          <w:sz w:val="24"/>
        </w:rPr>
      </w:pPr>
      <w:r>
        <w:rPr>
          <w:i/>
          <w:sz w:val="24"/>
        </w:rPr>
        <w:t>power system </w:t>
      </w:r>
      <w:r>
        <w:rPr>
          <w:sz w:val="24"/>
        </w:rPr>
        <w:t>conditions at the location of the proposed </w:t>
      </w:r>
      <w:r>
        <w:rPr>
          <w:i/>
          <w:sz w:val="24"/>
        </w:rPr>
        <w:t>connection</w:t>
      </w:r>
      <w:r>
        <w:rPr>
          <w:sz w:val="24"/>
        </w:rPr>
        <w:t>; and</w:t>
      </w:r>
    </w:p>
    <w:p>
      <w:pPr>
        <w:spacing w:after="0" w:line="240" w:lineRule="auto"/>
        <w:jc w:val="both"/>
        <w:rPr>
          <w:sz w:val="24"/>
        </w:rPr>
        <w:sectPr>
          <w:pgSz w:w="11910" w:h="16840"/>
          <w:pgMar w:header="686" w:footer="637" w:top="1320" w:bottom="820" w:left="1200" w:right="1000"/>
        </w:sectPr>
      </w:pPr>
    </w:p>
    <w:p>
      <w:pPr>
        <w:pStyle w:val="ListParagraph"/>
        <w:numPr>
          <w:ilvl w:val="0"/>
          <w:numId w:val="172"/>
        </w:numPr>
        <w:tabs>
          <w:tab w:pos="2486" w:val="left" w:leader="none"/>
        </w:tabs>
        <w:spacing w:line="240" w:lineRule="auto" w:before="83" w:after="0"/>
        <w:ind w:left="2486" w:right="415" w:hanging="567"/>
        <w:jc w:val="both"/>
        <w:rPr>
          <w:sz w:val="24"/>
        </w:rPr>
      </w:pPr>
      <w:r>
        <w:rPr>
          <w:sz w:val="24"/>
        </w:rPr>
        <w:t>the commercial and technical feasibility of complying with the </w:t>
      </w:r>
      <w:r>
        <w:rPr>
          <w:i/>
          <w:sz w:val="24"/>
        </w:rPr>
        <w:t>automatic access standard </w:t>
      </w:r>
      <w:r>
        <w:rPr>
          <w:sz w:val="24"/>
        </w:rPr>
        <w:t>with respect to the relevant technical requirement.</w:t>
      </w:r>
    </w:p>
    <w:p>
      <w:pPr>
        <w:spacing w:before="120"/>
        <w:ind w:left="1919" w:right="415" w:hanging="567"/>
        <w:jc w:val="both"/>
        <w:rPr>
          <w:sz w:val="24"/>
        </w:rPr>
      </w:pPr>
      <w:r>
        <w:rPr>
          <w:sz w:val="24"/>
        </w:rPr>
        <w:t>(b2) When proposing a </w:t>
      </w:r>
      <w:r>
        <w:rPr>
          <w:i/>
          <w:sz w:val="24"/>
        </w:rPr>
        <w:t>negotiated access standard </w:t>
      </w:r>
      <w:r>
        <w:rPr>
          <w:sz w:val="24"/>
        </w:rPr>
        <w:t>under paragraph (b1), the </w:t>
      </w:r>
      <w:r>
        <w:rPr>
          <w:i/>
          <w:sz w:val="24"/>
        </w:rPr>
        <w:t>Connection Applicant </w:t>
      </w:r>
      <w:r>
        <w:rPr>
          <w:sz w:val="24"/>
        </w:rPr>
        <w:t>must provide reasons and evidence to the </w:t>
      </w:r>
      <w:r>
        <w:rPr>
          <w:i/>
          <w:sz w:val="24"/>
        </w:rPr>
        <w:t>Network </w:t>
      </w:r>
      <w:r>
        <w:rPr>
          <w:i/>
          <w:sz w:val="24"/>
        </w:rPr>
        <w:t>Service Provider </w:t>
      </w:r>
      <w:r>
        <w:rPr>
          <w:sz w:val="24"/>
        </w:rPr>
        <w:t>and </w:t>
      </w:r>
      <w:r>
        <w:rPr>
          <w:i/>
          <w:sz w:val="24"/>
        </w:rPr>
        <w:t>AEMO </w:t>
      </w:r>
      <w:r>
        <w:rPr>
          <w:sz w:val="24"/>
        </w:rPr>
        <w:t>as to why, in the reasonable opinion of the </w:t>
      </w:r>
      <w:r>
        <w:rPr>
          <w:i/>
          <w:sz w:val="24"/>
        </w:rPr>
        <w:t>Connection Applicant</w:t>
      </w:r>
      <w:r>
        <w:rPr>
          <w:sz w:val="24"/>
        </w:rPr>
        <w:t>, the proposed </w:t>
      </w:r>
      <w:r>
        <w:rPr>
          <w:i/>
          <w:sz w:val="24"/>
        </w:rPr>
        <w:t>negotiated access standard </w:t>
      </w:r>
      <w:r>
        <w:rPr>
          <w:sz w:val="24"/>
        </w:rPr>
        <w:t>is appropriate, including:</w:t>
      </w:r>
    </w:p>
    <w:p>
      <w:pPr>
        <w:pStyle w:val="ListParagraph"/>
        <w:numPr>
          <w:ilvl w:val="0"/>
          <w:numId w:val="173"/>
        </w:numPr>
        <w:tabs>
          <w:tab w:pos="2486" w:val="left" w:leader="none"/>
        </w:tabs>
        <w:spacing w:line="240" w:lineRule="auto" w:before="120" w:after="0"/>
        <w:ind w:left="2486" w:right="414" w:hanging="567"/>
        <w:jc w:val="both"/>
        <w:rPr>
          <w:sz w:val="24"/>
        </w:rPr>
      </w:pPr>
      <w:r>
        <w:rPr>
          <w:sz w:val="24"/>
        </w:rPr>
        <w:t>how the </w:t>
      </w:r>
      <w:r>
        <w:rPr>
          <w:i/>
          <w:sz w:val="24"/>
        </w:rPr>
        <w:t>Connection Applicant </w:t>
      </w:r>
      <w:r>
        <w:rPr>
          <w:sz w:val="24"/>
        </w:rPr>
        <w:t>has taken into account the </w:t>
      </w:r>
      <w:r>
        <w:rPr>
          <w:spacing w:val="-3"/>
          <w:sz w:val="24"/>
        </w:rPr>
        <w:t>matters </w:t>
      </w:r>
      <w:r>
        <w:rPr>
          <w:sz w:val="24"/>
        </w:rPr>
        <w:t>outlined in subparagraphs (b1)(1) to (3);</w:t>
      </w:r>
      <w:r>
        <w:rPr>
          <w:spacing w:val="-3"/>
          <w:sz w:val="24"/>
        </w:rPr>
        <w:t> </w:t>
      </w:r>
      <w:r>
        <w:rPr>
          <w:sz w:val="24"/>
        </w:rPr>
        <w:t>and</w:t>
      </w:r>
    </w:p>
    <w:p>
      <w:pPr>
        <w:pStyle w:val="ListParagraph"/>
        <w:numPr>
          <w:ilvl w:val="0"/>
          <w:numId w:val="173"/>
        </w:numPr>
        <w:tabs>
          <w:tab w:pos="2486" w:val="left" w:leader="none"/>
        </w:tabs>
        <w:spacing w:line="240" w:lineRule="auto" w:before="120" w:after="0"/>
        <w:ind w:left="2486" w:right="416" w:hanging="567"/>
        <w:jc w:val="both"/>
        <w:rPr>
          <w:sz w:val="24"/>
        </w:rPr>
      </w:pPr>
      <w:r>
        <w:rPr>
          <w:sz w:val="24"/>
        </w:rPr>
        <w:t>how the proposed </w:t>
      </w:r>
      <w:r>
        <w:rPr>
          <w:i/>
          <w:sz w:val="24"/>
        </w:rPr>
        <w:t>negotiated access standard </w:t>
      </w:r>
      <w:r>
        <w:rPr>
          <w:sz w:val="24"/>
        </w:rPr>
        <w:t>meets the requirements of paragraph (b).</w:t>
      </w:r>
    </w:p>
    <w:p>
      <w:pPr>
        <w:pStyle w:val="ListParagraph"/>
        <w:numPr>
          <w:ilvl w:val="3"/>
          <w:numId w:val="171"/>
        </w:numPr>
        <w:tabs>
          <w:tab w:pos="1919" w:val="left" w:leader="none"/>
        </w:tabs>
        <w:spacing w:line="240" w:lineRule="auto" w:before="120" w:after="0"/>
        <w:ind w:left="1919" w:right="415" w:hanging="567"/>
        <w:jc w:val="both"/>
        <w:rPr>
          <w:sz w:val="24"/>
        </w:rPr>
      </w:pPr>
      <w:r>
        <w:rPr>
          <w:sz w:val="24"/>
        </w:rPr>
        <w:t>Following the receipt of a proposed </w:t>
      </w:r>
      <w:r>
        <w:rPr>
          <w:i/>
          <w:sz w:val="24"/>
        </w:rPr>
        <w:t>negotiated access standard </w:t>
      </w:r>
      <w:r>
        <w:rPr>
          <w:sz w:val="24"/>
        </w:rPr>
        <w:t>under clauses 5.3.4(e), 5.3A.9(f), 5.3.9(b)(3) or subparagraph (h)(3), the </w:t>
      </w:r>
      <w:r>
        <w:rPr>
          <w:i/>
          <w:sz w:val="24"/>
        </w:rPr>
        <w:t>Network </w:t>
      </w:r>
      <w:r>
        <w:rPr>
          <w:i/>
          <w:sz w:val="24"/>
        </w:rPr>
        <w:t>Service Provider </w:t>
      </w:r>
      <w:r>
        <w:rPr>
          <w:sz w:val="24"/>
        </w:rPr>
        <w:t>must consult with </w:t>
      </w:r>
      <w:r>
        <w:rPr>
          <w:i/>
          <w:sz w:val="24"/>
        </w:rPr>
        <w:t>AEMO </w:t>
      </w:r>
      <w:r>
        <w:rPr>
          <w:sz w:val="24"/>
        </w:rPr>
        <w:t>as soon as practicable in relation to </w:t>
      </w:r>
      <w:r>
        <w:rPr>
          <w:i/>
          <w:sz w:val="24"/>
        </w:rPr>
        <w:t>AEMO advisory matters </w:t>
      </w:r>
      <w:r>
        <w:rPr>
          <w:sz w:val="24"/>
        </w:rPr>
        <w:t>for that proposed</w:t>
      </w:r>
      <w:r>
        <w:rPr>
          <w:spacing w:val="-3"/>
          <w:sz w:val="24"/>
        </w:rPr>
        <w:t> </w:t>
      </w:r>
      <w:r>
        <w:rPr>
          <w:sz w:val="24"/>
        </w:rPr>
        <w:t>standard.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1"/>
        </w:numPr>
        <w:tabs>
          <w:tab w:pos="1919" w:val="left" w:leader="none"/>
        </w:tabs>
        <w:spacing w:line="240" w:lineRule="auto" w:before="120" w:after="0"/>
        <w:ind w:left="1918" w:right="0" w:hanging="567"/>
        <w:jc w:val="both"/>
        <w:rPr>
          <w:sz w:val="24"/>
        </w:rPr>
      </w:pPr>
      <w:r>
        <w:rPr>
          <w:sz w:val="24"/>
        </w:rPr>
        <w:t>Within 20 </w:t>
      </w:r>
      <w:r>
        <w:rPr>
          <w:i/>
          <w:sz w:val="24"/>
        </w:rPr>
        <w:t>business days </w:t>
      </w:r>
      <w:r>
        <w:rPr>
          <w:sz w:val="24"/>
        </w:rPr>
        <w:t>following the later</w:t>
      </w:r>
      <w:r>
        <w:rPr>
          <w:spacing w:val="-1"/>
          <w:sz w:val="24"/>
        </w:rPr>
        <w:t> </w:t>
      </w:r>
      <w:r>
        <w:rPr>
          <w:sz w:val="24"/>
        </w:rPr>
        <w:t>of:</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receipt of a proposed </w:t>
      </w:r>
      <w:r>
        <w:rPr>
          <w:i/>
          <w:sz w:val="24"/>
        </w:rPr>
        <w:t>negotiated access standard </w:t>
      </w:r>
      <w:r>
        <w:rPr>
          <w:sz w:val="24"/>
        </w:rPr>
        <w:t>under clauses 5.3.4(e), 5.3A.9(f), 5.3.9(b)(3) or subparagraph (h)(3);</w:t>
      </w:r>
      <w:r>
        <w:rPr>
          <w:spacing w:val="-4"/>
          <w:sz w:val="24"/>
        </w:rPr>
        <w:t> </w:t>
      </w:r>
      <w:r>
        <w:rPr>
          <w:sz w:val="24"/>
        </w:rPr>
        <w:t>and</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receipt of all information required to be provided by the </w:t>
      </w:r>
      <w:r>
        <w:rPr>
          <w:i/>
          <w:spacing w:val="-3"/>
          <w:sz w:val="24"/>
        </w:rPr>
        <w:t>Connection </w:t>
      </w:r>
      <w:r>
        <w:rPr>
          <w:i/>
          <w:sz w:val="24"/>
        </w:rPr>
        <w:t>Applicant </w:t>
      </w:r>
      <w:r>
        <w:rPr>
          <w:sz w:val="24"/>
        </w:rPr>
        <w:t>under clauses S5.2.4, S5.5.6, S5.3.1(a1) or</w:t>
      </w:r>
      <w:r>
        <w:rPr>
          <w:spacing w:val="-18"/>
          <w:sz w:val="24"/>
        </w:rPr>
        <w:t> </w:t>
      </w:r>
      <w:r>
        <w:rPr>
          <w:sz w:val="24"/>
        </w:rPr>
        <w:t>S5.3a.1(a1),</w:t>
      </w:r>
    </w:p>
    <w:p>
      <w:pPr>
        <w:spacing w:before="120"/>
        <w:ind w:left="1919" w:right="415" w:firstLine="0"/>
        <w:jc w:val="both"/>
        <w:rPr>
          <w:sz w:val="24"/>
        </w:rPr>
      </w:pPr>
      <w:r>
        <w:rPr>
          <w:i/>
          <w:sz w:val="24"/>
        </w:rPr>
        <w:t>AEMO </w:t>
      </w:r>
      <w:r>
        <w:rPr>
          <w:sz w:val="24"/>
        </w:rPr>
        <w:t>must advise the </w:t>
      </w:r>
      <w:r>
        <w:rPr>
          <w:i/>
          <w:sz w:val="24"/>
        </w:rPr>
        <w:t>Network Service Provider </w:t>
      </w:r>
      <w:r>
        <w:rPr>
          <w:sz w:val="24"/>
        </w:rPr>
        <w:t>in writing, in respect of </w:t>
      </w:r>
      <w:r>
        <w:rPr>
          <w:i/>
          <w:sz w:val="24"/>
        </w:rPr>
        <w:t>AEMO advisory matters</w:t>
      </w:r>
      <w:r>
        <w:rPr>
          <w:sz w:val="24"/>
        </w:rPr>
        <w:t>, whether the proposed </w:t>
      </w:r>
      <w:r>
        <w:rPr>
          <w:i/>
          <w:sz w:val="24"/>
        </w:rPr>
        <w:t>negotiated access standard </w:t>
      </w:r>
      <w:r>
        <w:rPr>
          <w:sz w:val="24"/>
        </w:rPr>
        <w:t>should be accepted or rejected.</w:t>
      </w:r>
    </w:p>
    <w:p>
      <w:pPr>
        <w:spacing w:before="120"/>
        <w:ind w:left="1919" w:right="416" w:hanging="567"/>
        <w:jc w:val="both"/>
        <w:rPr>
          <w:sz w:val="24"/>
        </w:rPr>
      </w:pPr>
      <w:r>
        <w:rPr>
          <w:sz w:val="24"/>
        </w:rPr>
        <w:t>(d1) When advising the </w:t>
      </w:r>
      <w:r>
        <w:rPr>
          <w:i/>
          <w:sz w:val="24"/>
        </w:rPr>
        <w:t>Network Service Provider </w:t>
      </w:r>
      <w:r>
        <w:rPr>
          <w:sz w:val="24"/>
        </w:rPr>
        <w:t>under paragraph (d) to reject a proposed </w:t>
      </w:r>
      <w:r>
        <w:rPr>
          <w:i/>
          <w:sz w:val="24"/>
        </w:rPr>
        <w:t>negotiated access standard</w:t>
      </w:r>
      <w:r>
        <w:rPr>
          <w:sz w:val="24"/>
        </w:rPr>
        <w:t>, and subject to obligations in respect of </w:t>
      </w:r>
      <w:r>
        <w:rPr>
          <w:i/>
          <w:sz w:val="24"/>
        </w:rPr>
        <w:t>confidential information</w:t>
      </w:r>
      <w:r>
        <w:rPr>
          <w:sz w:val="24"/>
        </w:rPr>
        <w:t>, </w:t>
      </w:r>
      <w:r>
        <w:rPr>
          <w:i/>
          <w:sz w:val="24"/>
        </w:rPr>
        <w:t>AEMO</w:t>
      </w:r>
      <w:r>
        <w:rPr>
          <w:i/>
          <w:spacing w:val="-1"/>
          <w:sz w:val="24"/>
        </w:rPr>
        <w:t> </w:t>
      </w:r>
      <w:r>
        <w:rPr>
          <w:sz w:val="24"/>
        </w:rPr>
        <w:t>must:</w:t>
      </w:r>
    </w:p>
    <w:p>
      <w:pPr>
        <w:pStyle w:val="ListParagraph"/>
        <w:numPr>
          <w:ilvl w:val="0"/>
          <w:numId w:val="174"/>
        </w:numPr>
        <w:tabs>
          <w:tab w:pos="2486" w:val="left" w:leader="none"/>
        </w:tabs>
        <w:spacing w:line="240" w:lineRule="auto" w:before="120" w:after="0"/>
        <w:ind w:left="2486" w:right="415" w:hanging="567"/>
        <w:jc w:val="both"/>
        <w:rPr>
          <w:sz w:val="24"/>
        </w:rPr>
      </w:pPr>
      <w:r>
        <w:rPr>
          <w:sz w:val="24"/>
        </w:rPr>
        <w:t>provide detailed reasons in writing for the rejection to the </w:t>
      </w:r>
      <w:r>
        <w:rPr>
          <w:i/>
          <w:sz w:val="24"/>
        </w:rPr>
        <w:t>Network </w:t>
      </w:r>
      <w:r>
        <w:rPr>
          <w:i/>
          <w:sz w:val="24"/>
        </w:rPr>
        <w:t>Service Provider</w:t>
      </w:r>
      <w:r>
        <w:rPr>
          <w:sz w:val="24"/>
        </w:rPr>
        <w:t>,</w:t>
      </w:r>
      <w:r>
        <w:rPr>
          <w:spacing w:val="-2"/>
          <w:sz w:val="24"/>
        </w:rPr>
        <w:t> </w:t>
      </w:r>
      <w:r>
        <w:rPr>
          <w:sz w:val="24"/>
        </w:rPr>
        <w:t>including:</w:t>
      </w:r>
    </w:p>
    <w:p>
      <w:pPr>
        <w:pStyle w:val="ListParagraph"/>
        <w:numPr>
          <w:ilvl w:val="1"/>
          <w:numId w:val="174"/>
        </w:numPr>
        <w:tabs>
          <w:tab w:pos="3053" w:val="left" w:leader="none"/>
        </w:tabs>
        <w:spacing w:line="240" w:lineRule="auto" w:before="120" w:after="0"/>
        <w:ind w:left="3053" w:right="415" w:hanging="567"/>
        <w:jc w:val="both"/>
        <w:rPr>
          <w:sz w:val="24"/>
        </w:rPr>
      </w:pPr>
      <w:r>
        <w:rPr>
          <w:sz w:val="24"/>
        </w:rPr>
        <w:t>where the basis of </w:t>
      </w:r>
      <w:r>
        <w:rPr>
          <w:i/>
          <w:sz w:val="24"/>
        </w:rPr>
        <w:t>AEMO</w:t>
      </w:r>
      <w:r>
        <w:rPr>
          <w:sz w:val="24"/>
        </w:rPr>
        <w:t>'s advice is lack of evidence from the </w:t>
      </w:r>
      <w:r>
        <w:rPr>
          <w:i/>
          <w:sz w:val="24"/>
        </w:rPr>
        <w:t>Connection Applicant</w:t>
      </w:r>
      <w:r>
        <w:rPr>
          <w:sz w:val="24"/>
        </w:rPr>
        <w:t>, details of the additional evidence of the type referred to in paragraph (b2) </w:t>
      </w:r>
      <w:r>
        <w:rPr>
          <w:i/>
          <w:sz w:val="24"/>
        </w:rPr>
        <w:t>AEMO </w:t>
      </w:r>
      <w:r>
        <w:rPr>
          <w:sz w:val="24"/>
        </w:rPr>
        <w:t>requires to continue assessing the proposed </w:t>
      </w:r>
      <w:r>
        <w:rPr>
          <w:i/>
          <w:sz w:val="24"/>
        </w:rPr>
        <w:t>negotiated access standard</w:t>
      </w:r>
      <w:r>
        <w:rPr>
          <w:sz w:val="24"/>
        </w:rPr>
        <w:t>;</w:t>
      </w:r>
      <w:r>
        <w:rPr>
          <w:spacing w:val="-3"/>
          <w:sz w:val="24"/>
        </w:rPr>
        <w:t> </w:t>
      </w:r>
      <w:r>
        <w:rPr>
          <w:sz w:val="24"/>
        </w:rPr>
        <w:t>and</w:t>
      </w:r>
    </w:p>
    <w:p>
      <w:pPr>
        <w:pStyle w:val="ListParagraph"/>
        <w:numPr>
          <w:ilvl w:val="1"/>
          <w:numId w:val="174"/>
        </w:numPr>
        <w:tabs>
          <w:tab w:pos="3054" w:val="left" w:leader="none"/>
        </w:tabs>
        <w:spacing w:line="240" w:lineRule="auto" w:before="120" w:after="0"/>
        <w:ind w:left="3053" w:right="415" w:hanging="567"/>
        <w:jc w:val="both"/>
        <w:rPr>
          <w:sz w:val="24"/>
        </w:rPr>
      </w:pPr>
      <w:r>
        <w:rPr>
          <w:sz w:val="24"/>
        </w:rPr>
        <w:t>the extent to which each of the matters identified at subparagraphs (b)(1), (b)(1A), (b)(2) and (b)(4) contributed to </w:t>
      </w:r>
      <w:r>
        <w:rPr>
          <w:i/>
          <w:sz w:val="24"/>
        </w:rPr>
        <w:t>AEMO</w:t>
      </w:r>
      <w:r>
        <w:rPr>
          <w:sz w:val="24"/>
        </w:rPr>
        <w:t>'s decision to reject the proposed </w:t>
      </w:r>
      <w:r>
        <w:rPr>
          <w:i/>
          <w:sz w:val="24"/>
        </w:rPr>
        <w:t>negotiated access </w:t>
      </w:r>
      <w:r>
        <w:rPr>
          <w:i/>
          <w:sz w:val="24"/>
        </w:rPr>
        <w:t>standard</w:t>
      </w:r>
      <w:r>
        <w:rPr>
          <w:sz w:val="24"/>
        </w:rPr>
        <w:t>;</w:t>
      </w:r>
      <w:r>
        <w:rPr>
          <w:spacing w:val="-1"/>
          <w:sz w:val="24"/>
        </w:rPr>
        <w:t> </w:t>
      </w:r>
      <w:r>
        <w:rPr>
          <w:sz w:val="24"/>
        </w:rPr>
        <w:t>and</w:t>
      </w:r>
    </w:p>
    <w:p>
      <w:pPr>
        <w:pStyle w:val="ListParagraph"/>
        <w:numPr>
          <w:ilvl w:val="0"/>
          <w:numId w:val="174"/>
        </w:numPr>
        <w:tabs>
          <w:tab w:pos="2486" w:val="left" w:leader="none"/>
        </w:tabs>
        <w:spacing w:line="240" w:lineRule="auto" w:before="120" w:after="0"/>
        <w:ind w:left="2486" w:right="415" w:hanging="567"/>
        <w:jc w:val="both"/>
        <w:rPr>
          <w:sz w:val="24"/>
        </w:rPr>
      </w:pPr>
      <w:r>
        <w:rPr>
          <w:sz w:val="24"/>
        </w:rPr>
        <w:t>recommend a </w:t>
      </w:r>
      <w:r>
        <w:rPr>
          <w:i/>
          <w:sz w:val="24"/>
        </w:rPr>
        <w:t>negotiated access standard </w:t>
      </w:r>
      <w:r>
        <w:rPr>
          <w:sz w:val="24"/>
        </w:rPr>
        <w:t>that </w:t>
      </w:r>
      <w:r>
        <w:rPr>
          <w:i/>
          <w:sz w:val="24"/>
        </w:rPr>
        <w:t>AEMO </w:t>
      </w:r>
      <w:r>
        <w:rPr>
          <w:sz w:val="24"/>
        </w:rPr>
        <w:t>considers meets the requirements of subparagraphs (b)(1), (b)(1A), (b)(2) and</w:t>
      </w:r>
      <w:r>
        <w:rPr>
          <w:spacing w:val="-10"/>
          <w:sz w:val="24"/>
        </w:rPr>
        <w:t> </w:t>
      </w:r>
      <w:r>
        <w:rPr>
          <w:sz w:val="24"/>
        </w:rPr>
        <w:t>(b)(4).</w:t>
      </w:r>
    </w:p>
    <w:p>
      <w:pPr>
        <w:pStyle w:val="ListParagraph"/>
        <w:numPr>
          <w:ilvl w:val="3"/>
          <w:numId w:val="171"/>
        </w:numPr>
        <w:tabs>
          <w:tab w:pos="1919" w:val="left" w:leader="none"/>
        </w:tabs>
        <w:spacing w:line="240" w:lineRule="auto" w:before="120" w:after="0"/>
        <w:ind w:left="1918" w:right="0" w:hanging="567"/>
        <w:jc w:val="both"/>
        <w:rPr>
          <w:sz w:val="24"/>
        </w:rPr>
      </w:pPr>
      <w:r>
        <w:rPr>
          <w:sz w:val="24"/>
        </w:rPr>
        <w:t>Within 30 </w:t>
      </w:r>
      <w:r>
        <w:rPr>
          <w:i/>
          <w:sz w:val="24"/>
        </w:rPr>
        <w:t>business days </w:t>
      </w:r>
      <w:r>
        <w:rPr>
          <w:sz w:val="24"/>
        </w:rPr>
        <w:t>following the later</w:t>
      </w:r>
      <w:r>
        <w:rPr>
          <w:spacing w:val="-1"/>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ListParagraph"/>
        <w:numPr>
          <w:ilvl w:val="4"/>
          <w:numId w:val="171"/>
        </w:numPr>
        <w:tabs>
          <w:tab w:pos="2485" w:val="left" w:leader="none"/>
          <w:tab w:pos="2486" w:val="left" w:leader="none"/>
        </w:tabs>
        <w:spacing w:line="240" w:lineRule="auto" w:before="83" w:after="0"/>
        <w:ind w:left="2486" w:right="416" w:hanging="567"/>
        <w:jc w:val="left"/>
        <w:rPr>
          <w:sz w:val="24"/>
        </w:rPr>
      </w:pPr>
      <w:r>
        <w:rPr>
          <w:sz w:val="24"/>
        </w:rPr>
        <w:t>receipt of a proposed </w:t>
      </w:r>
      <w:r>
        <w:rPr>
          <w:i/>
          <w:sz w:val="24"/>
        </w:rPr>
        <w:t>negotiated access standard </w:t>
      </w:r>
      <w:r>
        <w:rPr>
          <w:sz w:val="24"/>
        </w:rPr>
        <w:t>in accordance with clauses 5.3.4(e), 5.3A.9(f), 5.3.9(b)(3) or subparagraph (h)(3);</w:t>
      </w:r>
      <w:r>
        <w:rPr>
          <w:spacing w:val="-6"/>
          <w:sz w:val="24"/>
        </w:rPr>
        <w:t> </w:t>
      </w:r>
      <w:r>
        <w:rPr>
          <w:sz w:val="24"/>
        </w:rPr>
        <w:t>and</w:t>
      </w:r>
    </w:p>
    <w:p>
      <w:pPr>
        <w:pStyle w:val="ListParagraph"/>
        <w:numPr>
          <w:ilvl w:val="4"/>
          <w:numId w:val="171"/>
        </w:numPr>
        <w:tabs>
          <w:tab w:pos="2485" w:val="left" w:leader="none"/>
          <w:tab w:pos="2486" w:val="left" w:leader="none"/>
        </w:tabs>
        <w:spacing w:line="240" w:lineRule="auto" w:before="120" w:after="0"/>
        <w:ind w:left="2486" w:right="415" w:hanging="567"/>
        <w:jc w:val="left"/>
        <w:rPr>
          <w:sz w:val="24"/>
        </w:rPr>
      </w:pPr>
      <w:r>
        <w:rPr>
          <w:sz w:val="24"/>
        </w:rPr>
        <w:t>receipt of all information required to be provided by the </w:t>
      </w:r>
      <w:r>
        <w:rPr>
          <w:i/>
          <w:spacing w:val="-3"/>
          <w:sz w:val="24"/>
        </w:rPr>
        <w:t>Connection </w:t>
      </w:r>
      <w:r>
        <w:rPr>
          <w:i/>
          <w:sz w:val="24"/>
        </w:rPr>
        <w:t>Applicant </w:t>
      </w:r>
      <w:r>
        <w:rPr>
          <w:sz w:val="24"/>
        </w:rPr>
        <w:t>under clauses S5.2.4, S5.5.6, S5.3.1(a1) or</w:t>
      </w:r>
      <w:r>
        <w:rPr>
          <w:spacing w:val="-18"/>
          <w:sz w:val="24"/>
        </w:rPr>
        <w:t> </w:t>
      </w:r>
      <w:r>
        <w:rPr>
          <w:sz w:val="24"/>
        </w:rPr>
        <w:t>S5.3a.1(a1),</w:t>
      </w:r>
    </w:p>
    <w:p>
      <w:pPr>
        <w:spacing w:before="120"/>
        <w:ind w:left="1919" w:right="415" w:firstLine="0"/>
        <w:jc w:val="left"/>
        <w:rPr>
          <w:sz w:val="24"/>
        </w:rPr>
      </w:pPr>
      <w:r>
        <w:rPr>
          <w:sz w:val="24"/>
        </w:rPr>
        <w:t>the </w:t>
      </w:r>
      <w:r>
        <w:rPr>
          <w:i/>
          <w:sz w:val="24"/>
        </w:rPr>
        <w:t>Network Service Provider </w:t>
      </w:r>
      <w:r>
        <w:rPr>
          <w:sz w:val="24"/>
        </w:rPr>
        <w:t>must accept or reject a proposed </w:t>
      </w:r>
      <w:r>
        <w:rPr>
          <w:i/>
          <w:sz w:val="24"/>
        </w:rPr>
        <w:t>negotiated </w:t>
      </w:r>
      <w:r>
        <w:rPr>
          <w:i/>
          <w:sz w:val="24"/>
        </w:rPr>
        <w:t>access standard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1"/>
        </w:numPr>
        <w:tabs>
          <w:tab w:pos="1920" w:val="left" w:leader="none"/>
        </w:tabs>
        <w:spacing w:line="240" w:lineRule="auto" w:before="120" w:after="0"/>
        <w:ind w:left="1919" w:right="415" w:hanging="567"/>
        <w:jc w:val="both"/>
        <w:rPr>
          <w:sz w:val="24"/>
        </w:rPr>
      </w:pPr>
      <w:r>
        <w:rPr>
          <w:sz w:val="24"/>
        </w:rPr>
        <w:t>The </w:t>
      </w:r>
      <w:r>
        <w:rPr>
          <w:i/>
          <w:sz w:val="24"/>
        </w:rPr>
        <w:t>Network Service Provider </w:t>
      </w:r>
      <w:r>
        <w:rPr>
          <w:sz w:val="24"/>
        </w:rPr>
        <w:t>must reject the proposed </w:t>
      </w:r>
      <w:r>
        <w:rPr>
          <w:i/>
          <w:sz w:val="24"/>
        </w:rPr>
        <w:t>negotiated access </w:t>
      </w:r>
      <w:r>
        <w:rPr>
          <w:i/>
          <w:sz w:val="24"/>
        </w:rPr>
        <w:t>standard</w:t>
      </w:r>
      <w:r>
        <w:rPr>
          <w:i/>
          <w:spacing w:val="-2"/>
          <w:sz w:val="24"/>
        </w:rPr>
        <w:t> </w:t>
      </w:r>
      <w:r>
        <w:rPr>
          <w:sz w:val="24"/>
        </w:rPr>
        <w:t>where:</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in the </w:t>
      </w:r>
      <w:r>
        <w:rPr>
          <w:i/>
          <w:sz w:val="24"/>
        </w:rPr>
        <w:t>Network Service Provider</w:t>
      </w:r>
      <w:r>
        <w:rPr>
          <w:sz w:val="24"/>
        </w:rPr>
        <w:t>'s reasonable opinion, one or more of the requirements at subparagraphs (b)(1), (b)(1A), (b)(3) and (b)(4) are not met;</w:t>
      </w:r>
      <w:r>
        <w:rPr>
          <w:spacing w:val="-1"/>
          <w:sz w:val="24"/>
        </w:rPr>
        <w:t> </w:t>
      </w:r>
      <w:r>
        <w:rPr>
          <w:sz w:val="24"/>
        </w:rPr>
        <w:t>or</w:t>
      </w:r>
    </w:p>
    <w:p>
      <w:pPr>
        <w:pStyle w:val="ListParagraph"/>
        <w:numPr>
          <w:ilvl w:val="4"/>
          <w:numId w:val="171"/>
        </w:numPr>
        <w:tabs>
          <w:tab w:pos="2486" w:val="left" w:leader="none"/>
        </w:tabs>
        <w:spacing w:line="240" w:lineRule="auto" w:before="120" w:after="0"/>
        <w:ind w:left="2486" w:right="416" w:hanging="567"/>
        <w:jc w:val="both"/>
        <w:rPr>
          <w:sz w:val="24"/>
        </w:rPr>
      </w:pPr>
      <w:r>
        <w:rPr>
          <w:i/>
          <w:sz w:val="24"/>
        </w:rPr>
        <w:t>AEMO </w:t>
      </w:r>
      <w:r>
        <w:rPr>
          <w:sz w:val="24"/>
        </w:rPr>
        <w:t>has advised the </w:t>
      </w:r>
      <w:r>
        <w:rPr>
          <w:i/>
          <w:sz w:val="24"/>
        </w:rPr>
        <w:t>Network Service Provider </w:t>
      </w:r>
      <w:r>
        <w:rPr>
          <w:sz w:val="24"/>
        </w:rPr>
        <w:t>under paragraph </w:t>
      </w:r>
      <w:r>
        <w:rPr>
          <w:spacing w:val="-5"/>
          <w:sz w:val="24"/>
        </w:rPr>
        <w:t>(d) </w:t>
      </w:r>
      <w:r>
        <w:rPr>
          <w:sz w:val="24"/>
        </w:rPr>
        <w:t>to reject the proposed </w:t>
      </w:r>
      <w:r>
        <w:rPr>
          <w:i/>
          <w:sz w:val="24"/>
        </w:rPr>
        <w:t>negotiated access</w:t>
      </w:r>
      <w:r>
        <w:rPr>
          <w:i/>
          <w:spacing w:val="-3"/>
          <w:sz w:val="24"/>
        </w:rPr>
        <w:t> </w:t>
      </w:r>
      <w:r>
        <w:rPr>
          <w:i/>
          <w:sz w:val="24"/>
        </w:rPr>
        <w:t>standard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1"/>
        </w:numPr>
        <w:tabs>
          <w:tab w:pos="1919" w:val="left" w:leader="none"/>
        </w:tabs>
        <w:spacing w:line="240" w:lineRule="auto" w:before="120" w:after="0"/>
        <w:ind w:left="1919" w:right="416" w:hanging="567"/>
        <w:jc w:val="both"/>
        <w:rPr>
          <w:sz w:val="24"/>
        </w:rPr>
      </w:pPr>
      <w:r>
        <w:rPr>
          <w:sz w:val="24"/>
        </w:rPr>
        <w:t>If a </w:t>
      </w:r>
      <w:r>
        <w:rPr>
          <w:i/>
          <w:sz w:val="24"/>
        </w:rPr>
        <w:t>Network Service Provider </w:t>
      </w:r>
      <w:r>
        <w:rPr>
          <w:sz w:val="24"/>
        </w:rPr>
        <w:t>rejects a proposed </w:t>
      </w:r>
      <w:r>
        <w:rPr>
          <w:i/>
          <w:sz w:val="24"/>
        </w:rPr>
        <w:t>negotiated </w:t>
      </w:r>
      <w:r>
        <w:rPr>
          <w:i/>
          <w:spacing w:val="-3"/>
          <w:sz w:val="24"/>
        </w:rPr>
        <w:t>access </w:t>
      </w:r>
      <w:r>
        <w:rPr>
          <w:i/>
          <w:sz w:val="24"/>
        </w:rPr>
        <w:t>standard</w:t>
      </w:r>
      <w:r>
        <w:rPr>
          <w:sz w:val="24"/>
        </w:rPr>
        <w:t>, the </w:t>
      </w:r>
      <w:r>
        <w:rPr>
          <w:i/>
          <w:sz w:val="24"/>
        </w:rPr>
        <w:t>Network Service Provider </w:t>
      </w:r>
      <w:r>
        <w:rPr>
          <w:sz w:val="24"/>
        </w:rPr>
        <w:t>must, at the same</w:t>
      </w:r>
      <w:r>
        <w:rPr>
          <w:spacing w:val="-6"/>
          <w:sz w:val="24"/>
        </w:rPr>
        <w:t> </w:t>
      </w:r>
      <w:r>
        <w:rPr>
          <w:sz w:val="24"/>
        </w:rPr>
        <w:t>time:</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subject to obligations in respect of </w:t>
      </w:r>
      <w:r>
        <w:rPr>
          <w:i/>
          <w:sz w:val="24"/>
        </w:rPr>
        <w:t>confidential information</w:t>
      </w:r>
      <w:r>
        <w:rPr>
          <w:sz w:val="24"/>
        </w:rPr>
        <w:t>, provide to the </w:t>
      </w:r>
      <w:r>
        <w:rPr>
          <w:i/>
          <w:sz w:val="24"/>
        </w:rPr>
        <w:t>Connection</w:t>
      </w:r>
      <w:r>
        <w:rPr>
          <w:i/>
          <w:spacing w:val="-1"/>
          <w:sz w:val="24"/>
        </w:rPr>
        <w:t> </w:t>
      </w:r>
      <w:r>
        <w:rPr>
          <w:i/>
          <w:sz w:val="24"/>
        </w:rPr>
        <w:t>Applicant</w:t>
      </w:r>
      <w:r>
        <w:rPr>
          <w:sz w:val="24"/>
        </w:rPr>
        <w:t>:</w:t>
      </w:r>
    </w:p>
    <w:p>
      <w:pPr>
        <w:pStyle w:val="ListParagraph"/>
        <w:numPr>
          <w:ilvl w:val="5"/>
          <w:numId w:val="171"/>
        </w:numPr>
        <w:tabs>
          <w:tab w:pos="3053" w:val="left" w:leader="none"/>
        </w:tabs>
        <w:spacing w:line="240" w:lineRule="auto" w:before="120" w:after="0"/>
        <w:ind w:left="3053" w:right="414" w:hanging="567"/>
        <w:jc w:val="both"/>
        <w:rPr>
          <w:sz w:val="24"/>
        </w:rPr>
      </w:pPr>
      <w:r>
        <w:rPr>
          <w:sz w:val="24"/>
        </w:rPr>
        <w:t>where the basis for the </w:t>
      </w:r>
      <w:r>
        <w:rPr>
          <w:i/>
          <w:sz w:val="24"/>
        </w:rPr>
        <w:t>Network Service Provider's </w:t>
      </w:r>
      <w:r>
        <w:rPr>
          <w:sz w:val="24"/>
        </w:rPr>
        <w:t>rejection is lack of evidence from the </w:t>
      </w:r>
      <w:r>
        <w:rPr>
          <w:i/>
          <w:sz w:val="24"/>
        </w:rPr>
        <w:t>Connection Applicant</w:t>
      </w:r>
      <w:r>
        <w:rPr>
          <w:sz w:val="24"/>
        </w:rPr>
        <w:t>, details of the additional evidence of the type referred to in paragraph (b2) the </w:t>
      </w:r>
      <w:r>
        <w:rPr>
          <w:i/>
          <w:sz w:val="24"/>
        </w:rPr>
        <w:t>Network Service Provider </w:t>
      </w:r>
      <w:r>
        <w:rPr>
          <w:sz w:val="24"/>
        </w:rPr>
        <w:t>requires to continue assessing </w:t>
      </w:r>
      <w:r>
        <w:rPr>
          <w:spacing w:val="-4"/>
          <w:sz w:val="24"/>
        </w:rPr>
        <w:t>the </w:t>
      </w:r>
      <w:r>
        <w:rPr>
          <w:sz w:val="24"/>
        </w:rPr>
        <w:t>proposed </w:t>
      </w:r>
      <w:r>
        <w:rPr>
          <w:i/>
          <w:sz w:val="24"/>
        </w:rPr>
        <w:t>negotiated access</w:t>
      </w:r>
      <w:r>
        <w:rPr>
          <w:i/>
          <w:spacing w:val="-1"/>
          <w:sz w:val="24"/>
        </w:rPr>
        <w:t> </w:t>
      </w:r>
      <w:r>
        <w:rPr>
          <w:i/>
          <w:sz w:val="24"/>
        </w:rPr>
        <w:t>standard</w:t>
      </w:r>
      <w:r>
        <w:rPr>
          <w:sz w:val="24"/>
        </w:rPr>
        <w:t>;</w:t>
      </w:r>
    </w:p>
    <w:p>
      <w:pPr>
        <w:pStyle w:val="ListParagraph"/>
        <w:numPr>
          <w:ilvl w:val="5"/>
          <w:numId w:val="171"/>
        </w:numPr>
        <w:tabs>
          <w:tab w:pos="3054" w:val="left" w:leader="none"/>
        </w:tabs>
        <w:spacing w:line="240" w:lineRule="auto" w:before="120" w:after="0"/>
        <w:ind w:left="3053" w:right="414" w:hanging="567"/>
        <w:jc w:val="both"/>
        <w:rPr>
          <w:sz w:val="24"/>
        </w:rPr>
      </w:pPr>
      <w:r>
        <w:rPr>
          <w:sz w:val="24"/>
        </w:rPr>
        <w:t>detailed reasons in writing for the rejection, including the extent to which each of the matters identified at subparagraphs (b)(1), (b)(1A), (b)(3) and (b)(4) contributed to the </w:t>
      </w:r>
      <w:r>
        <w:rPr>
          <w:i/>
          <w:sz w:val="24"/>
        </w:rPr>
        <w:t>Network Service </w:t>
      </w:r>
      <w:r>
        <w:rPr>
          <w:i/>
          <w:sz w:val="24"/>
        </w:rPr>
        <w:t>Provider's </w:t>
      </w:r>
      <w:r>
        <w:rPr>
          <w:sz w:val="24"/>
        </w:rPr>
        <w:t>decision to reject the proposed </w:t>
      </w:r>
      <w:r>
        <w:rPr>
          <w:i/>
          <w:sz w:val="24"/>
        </w:rPr>
        <w:t>negotiated </w:t>
      </w:r>
      <w:r>
        <w:rPr>
          <w:i/>
          <w:spacing w:val="-3"/>
          <w:sz w:val="24"/>
        </w:rPr>
        <w:t>access </w:t>
      </w:r>
      <w:r>
        <w:rPr>
          <w:i/>
          <w:sz w:val="24"/>
        </w:rPr>
        <w:t>standard</w:t>
      </w:r>
      <w:r>
        <w:rPr>
          <w:sz w:val="24"/>
        </w:rPr>
        <w:t>;</w:t>
      </w:r>
      <w:r>
        <w:rPr>
          <w:spacing w:val="-1"/>
          <w:sz w:val="24"/>
        </w:rPr>
        <w:t> </w:t>
      </w:r>
      <w:r>
        <w:rPr>
          <w:sz w:val="24"/>
        </w:rPr>
        <w:t>and</w:t>
      </w:r>
    </w:p>
    <w:p>
      <w:pPr>
        <w:pStyle w:val="ListParagraph"/>
        <w:numPr>
          <w:ilvl w:val="5"/>
          <w:numId w:val="171"/>
        </w:numPr>
        <w:tabs>
          <w:tab w:pos="3053" w:val="left" w:leader="none"/>
        </w:tabs>
        <w:spacing w:line="240" w:lineRule="auto" w:before="120" w:after="0"/>
        <w:ind w:left="3053" w:right="415" w:hanging="567"/>
        <w:jc w:val="both"/>
        <w:rPr>
          <w:sz w:val="24"/>
        </w:rPr>
      </w:pPr>
      <w:r>
        <w:rPr>
          <w:sz w:val="24"/>
        </w:rPr>
        <w:t>the detailed reasons and recommendation (if any) provided by </w:t>
      </w:r>
      <w:r>
        <w:rPr>
          <w:i/>
          <w:sz w:val="24"/>
        </w:rPr>
        <w:t>AEMO </w:t>
      </w:r>
      <w:r>
        <w:rPr>
          <w:sz w:val="24"/>
        </w:rPr>
        <w:t>to the </w:t>
      </w:r>
      <w:r>
        <w:rPr>
          <w:i/>
          <w:sz w:val="24"/>
        </w:rPr>
        <w:t>Network Service Provider </w:t>
      </w:r>
      <w:r>
        <w:rPr>
          <w:sz w:val="24"/>
        </w:rPr>
        <w:t>in respect of an </w:t>
      </w:r>
      <w:r>
        <w:rPr>
          <w:i/>
          <w:sz w:val="24"/>
        </w:rPr>
        <w:t>AEMO </w:t>
      </w:r>
      <w:r>
        <w:rPr>
          <w:i/>
          <w:sz w:val="24"/>
        </w:rPr>
        <w:t>advisory matter </w:t>
      </w:r>
      <w:r>
        <w:rPr>
          <w:sz w:val="24"/>
        </w:rPr>
        <w:t>under subparagraphs (d1)(1) and (2);</w:t>
      </w:r>
      <w:r>
        <w:rPr>
          <w:spacing w:val="-6"/>
          <w:sz w:val="24"/>
        </w:rPr>
        <w:t> </w:t>
      </w:r>
      <w:r>
        <w:rPr>
          <w:sz w:val="24"/>
        </w:rPr>
        <w:t>and</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advise the </w:t>
      </w:r>
      <w:r>
        <w:rPr>
          <w:i/>
          <w:sz w:val="24"/>
        </w:rPr>
        <w:t>Connection Applicant </w:t>
      </w:r>
      <w:r>
        <w:rPr>
          <w:sz w:val="24"/>
        </w:rPr>
        <w:t>of a </w:t>
      </w:r>
      <w:r>
        <w:rPr>
          <w:i/>
          <w:sz w:val="24"/>
        </w:rPr>
        <w:t>negotiated access standard </w:t>
      </w:r>
      <w:r>
        <w:rPr>
          <w:sz w:val="24"/>
        </w:rPr>
        <w:t>that the </w:t>
      </w:r>
      <w:r>
        <w:rPr>
          <w:i/>
          <w:sz w:val="24"/>
        </w:rPr>
        <w:t>Network Service Provider </w:t>
      </w:r>
      <w:r>
        <w:rPr>
          <w:sz w:val="24"/>
        </w:rPr>
        <w:t>considers meets the requirements of subparagraphs (b)(1), (b)(1A), (b)(3) and</w:t>
      </w:r>
      <w:r>
        <w:rPr>
          <w:spacing w:val="-3"/>
          <w:sz w:val="24"/>
        </w:rPr>
        <w:t> </w:t>
      </w:r>
      <w:r>
        <w:rPr>
          <w:sz w:val="24"/>
        </w:rPr>
        <w:t>(b)(4).</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3"/>
          <w:numId w:val="171"/>
        </w:numPr>
        <w:tabs>
          <w:tab w:pos="1919" w:val="left" w:leader="none"/>
        </w:tabs>
        <w:spacing w:line="240" w:lineRule="auto" w:before="83" w:after="0"/>
        <w:ind w:left="1919" w:right="415" w:hanging="567"/>
        <w:jc w:val="both"/>
        <w:rPr>
          <w:sz w:val="24"/>
        </w:rPr>
      </w:pPr>
      <w:r>
        <w:rPr>
          <w:sz w:val="24"/>
        </w:rPr>
        <w:t>The </w:t>
      </w:r>
      <w:r>
        <w:rPr>
          <w:i/>
          <w:sz w:val="24"/>
        </w:rPr>
        <w:t>Connection Applicant </w:t>
      </w:r>
      <w:r>
        <w:rPr>
          <w:sz w:val="24"/>
        </w:rPr>
        <w:t>may in relation to a proposed </w:t>
      </w:r>
      <w:r>
        <w:rPr>
          <w:i/>
          <w:sz w:val="24"/>
        </w:rPr>
        <w:t>negotiated </w:t>
      </w:r>
      <w:r>
        <w:rPr>
          <w:i/>
          <w:spacing w:val="-3"/>
          <w:sz w:val="24"/>
        </w:rPr>
        <w:t>access </w:t>
      </w:r>
      <w:r>
        <w:rPr>
          <w:i/>
          <w:sz w:val="24"/>
        </w:rPr>
        <w:t>standard </w:t>
      </w:r>
      <w:r>
        <w:rPr>
          <w:sz w:val="24"/>
        </w:rPr>
        <w:t>advised by a </w:t>
      </w:r>
      <w:r>
        <w:rPr>
          <w:i/>
          <w:sz w:val="24"/>
        </w:rPr>
        <w:t>Network Service Provider </w:t>
      </w:r>
      <w:r>
        <w:rPr>
          <w:sz w:val="24"/>
        </w:rPr>
        <w:t>in accordance with subparagraph</w:t>
      </w:r>
      <w:r>
        <w:rPr>
          <w:spacing w:val="-2"/>
          <w:sz w:val="24"/>
        </w:rPr>
        <w:t> </w:t>
      </w:r>
      <w:r>
        <w:rPr>
          <w:sz w:val="24"/>
        </w:rPr>
        <w:t>(g)(2):</w:t>
      </w:r>
    </w:p>
    <w:p>
      <w:pPr>
        <w:pStyle w:val="ListParagraph"/>
        <w:numPr>
          <w:ilvl w:val="4"/>
          <w:numId w:val="171"/>
        </w:numPr>
        <w:tabs>
          <w:tab w:pos="2486" w:val="left" w:leader="none"/>
        </w:tabs>
        <w:spacing w:line="240" w:lineRule="auto" w:before="120" w:after="0"/>
        <w:ind w:left="2485" w:right="0" w:hanging="567"/>
        <w:jc w:val="both"/>
        <w:rPr>
          <w:sz w:val="24"/>
        </w:rPr>
      </w:pPr>
      <w:r>
        <w:rPr>
          <w:sz w:val="24"/>
        </w:rPr>
        <w:t>accept the proposed </w:t>
      </w:r>
      <w:r>
        <w:rPr>
          <w:i/>
          <w:sz w:val="24"/>
        </w:rPr>
        <w:t>negotiated access</w:t>
      </w:r>
      <w:r>
        <w:rPr>
          <w:i/>
          <w:spacing w:val="-2"/>
          <w:sz w:val="24"/>
        </w:rPr>
        <w:t> </w:t>
      </w:r>
      <w:r>
        <w:rPr>
          <w:i/>
          <w:sz w:val="24"/>
        </w:rPr>
        <w:t>standard</w:t>
      </w:r>
      <w:r>
        <w:rPr>
          <w:sz w:val="24"/>
        </w:rPr>
        <w:t>;</w:t>
      </w:r>
    </w:p>
    <w:p>
      <w:pPr>
        <w:pStyle w:val="ListParagraph"/>
        <w:numPr>
          <w:ilvl w:val="4"/>
          <w:numId w:val="171"/>
        </w:numPr>
        <w:tabs>
          <w:tab w:pos="2486" w:val="left" w:leader="none"/>
        </w:tabs>
        <w:spacing w:line="240" w:lineRule="auto" w:before="120" w:after="0"/>
        <w:ind w:left="2485" w:right="0" w:hanging="567"/>
        <w:jc w:val="both"/>
        <w:rPr>
          <w:sz w:val="24"/>
        </w:rPr>
      </w:pPr>
      <w:r>
        <w:rPr>
          <w:sz w:val="24"/>
        </w:rPr>
        <w:t>reject the proposed </w:t>
      </w:r>
      <w:r>
        <w:rPr>
          <w:i/>
          <w:sz w:val="24"/>
        </w:rPr>
        <w:t>negotiated access</w:t>
      </w:r>
      <w:r>
        <w:rPr>
          <w:i/>
          <w:spacing w:val="-2"/>
          <w:sz w:val="24"/>
        </w:rPr>
        <w:t> </w:t>
      </w:r>
      <w:r>
        <w:rPr>
          <w:i/>
          <w:sz w:val="24"/>
        </w:rPr>
        <w:t>standard</w:t>
      </w:r>
      <w:r>
        <w:rPr>
          <w:sz w:val="24"/>
        </w:rPr>
        <w:t>;</w:t>
      </w:r>
    </w:p>
    <w:p>
      <w:pPr>
        <w:pStyle w:val="ListParagraph"/>
        <w:numPr>
          <w:ilvl w:val="4"/>
          <w:numId w:val="171"/>
        </w:numPr>
        <w:tabs>
          <w:tab w:pos="2486" w:val="left" w:leader="none"/>
        </w:tabs>
        <w:spacing w:line="240" w:lineRule="auto" w:before="120" w:after="0"/>
        <w:ind w:left="2486" w:right="416" w:hanging="567"/>
        <w:jc w:val="both"/>
        <w:rPr>
          <w:sz w:val="24"/>
        </w:rPr>
      </w:pPr>
      <w:r>
        <w:rPr>
          <w:sz w:val="24"/>
        </w:rPr>
        <w:t>propose an alternative </w:t>
      </w:r>
      <w:r>
        <w:rPr>
          <w:i/>
          <w:sz w:val="24"/>
        </w:rPr>
        <w:t>negotiated access standard </w:t>
      </w:r>
      <w:r>
        <w:rPr>
          <w:sz w:val="24"/>
        </w:rPr>
        <w:t>to be further evaluated in accordance with the criteria in paragraph (b);</w:t>
      </w:r>
      <w:r>
        <w:rPr>
          <w:spacing w:val="-5"/>
          <w:sz w:val="24"/>
        </w:rPr>
        <w:t> </w:t>
      </w:r>
      <w:r>
        <w:rPr>
          <w:sz w:val="24"/>
        </w:rPr>
        <w:t>or</w:t>
      </w:r>
    </w:p>
    <w:p>
      <w:pPr>
        <w:pStyle w:val="ListParagraph"/>
        <w:numPr>
          <w:ilvl w:val="4"/>
          <w:numId w:val="171"/>
        </w:numPr>
        <w:tabs>
          <w:tab w:pos="2486" w:val="left" w:leader="none"/>
        </w:tabs>
        <w:spacing w:line="240" w:lineRule="auto" w:before="120" w:after="0"/>
        <w:ind w:left="2486" w:right="415" w:hanging="567"/>
        <w:jc w:val="both"/>
        <w:rPr>
          <w:sz w:val="24"/>
        </w:rPr>
      </w:pPr>
      <w:r>
        <w:rPr>
          <w:sz w:val="24"/>
        </w:rPr>
        <w:t>elect to adopt the relevant </w:t>
      </w:r>
      <w:r>
        <w:rPr>
          <w:i/>
          <w:sz w:val="24"/>
        </w:rPr>
        <w:t>automatic access standard </w:t>
      </w:r>
      <w:r>
        <w:rPr>
          <w:sz w:val="24"/>
        </w:rPr>
        <w:t>or a corresponding </w:t>
      </w:r>
      <w:r>
        <w:rPr>
          <w:i/>
          <w:sz w:val="24"/>
        </w:rPr>
        <w:t>plant</w:t>
      </w:r>
      <w:r>
        <w:rPr>
          <w:i/>
          <w:spacing w:val="-1"/>
          <w:sz w:val="24"/>
        </w:rPr>
        <w:t> </w:t>
      </w:r>
      <w:r>
        <w:rPr>
          <w:i/>
          <w:sz w:val="24"/>
        </w:rPr>
        <w:t>standard</w:t>
      </w:r>
      <w:r>
        <w:rPr>
          <w:sz w:val="24"/>
        </w:rPr>
        <w:t>.</w:t>
      </w:r>
    </w:p>
    <w:p>
      <w:pPr>
        <w:pStyle w:val="ListParagraph"/>
        <w:numPr>
          <w:ilvl w:val="3"/>
          <w:numId w:val="171"/>
        </w:numPr>
        <w:tabs>
          <w:tab w:pos="1919" w:val="left" w:leader="none"/>
        </w:tabs>
        <w:spacing w:line="240" w:lineRule="auto" w:before="120" w:after="0"/>
        <w:ind w:left="1919" w:right="414" w:hanging="567"/>
        <w:jc w:val="both"/>
        <w:rPr>
          <w:sz w:val="24"/>
        </w:rPr>
      </w:pPr>
      <w:r>
        <w:rPr>
          <w:sz w:val="24"/>
        </w:rPr>
        <w:t>An </w:t>
      </w:r>
      <w:r>
        <w:rPr>
          <w:i/>
          <w:sz w:val="24"/>
        </w:rPr>
        <w:t>automatic access standard </w:t>
      </w:r>
      <w:r>
        <w:rPr>
          <w:sz w:val="24"/>
        </w:rPr>
        <w:t>or if the procedures in this clause 5.3.4A have been followed a </w:t>
      </w:r>
      <w:r>
        <w:rPr>
          <w:i/>
          <w:sz w:val="24"/>
        </w:rPr>
        <w:t>negotiated access standard</w:t>
      </w:r>
      <w:r>
        <w:rPr>
          <w:sz w:val="24"/>
        </w:rPr>
        <w:t>, that forms part of the terms and conditions of a </w:t>
      </w:r>
      <w:r>
        <w:rPr>
          <w:i/>
          <w:sz w:val="24"/>
        </w:rPr>
        <w:t>connection agreement</w:t>
      </w:r>
      <w:r>
        <w:rPr>
          <w:sz w:val="24"/>
        </w:rPr>
        <w:t>, is taken to be the </w:t>
      </w:r>
      <w:r>
        <w:rPr>
          <w:i/>
          <w:sz w:val="24"/>
        </w:rPr>
        <w:t>performance standard </w:t>
      </w:r>
      <w:r>
        <w:rPr>
          <w:sz w:val="24"/>
        </w:rPr>
        <w:t>applicable to the </w:t>
      </w:r>
      <w:r>
        <w:rPr>
          <w:i/>
          <w:sz w:val="24"/>
        </w:rPr>
        <w:t>connected plant </w:t>
      </w:r>
      <w:r>
        <w:rPr>
          <w:sz w:val="24"/>
        </w:rPr>
        <w:t>for the relevant technical</w:t>
      </w:r>
      <w:r>
        <w:rPr>
          <w:spacing w:val="-1"/>
          <w:sz w:val="24"/>
        </w:rPr>
        <w:t> </w:t>
      </w:r>
      <w:r>
        <w:rPr>
          <w:sz w:val="24"/>
        </w:rPr>
        <w:t>requirement.</w:t>
      </w:r>
    </w:p>
    <w:p>
      <w:pPr>
        <w:pStyle w:val="BodyText"/>
        <w:spacing w:before="10"/>
        <w:ind w:firstLine="0"/>
        <w:jc w:val="left"/>
        <w:rPr>
          <w:sz w:val="20"/>
        </w:rPr>
      </w:pPr>
    </w:p>
    <w:p>
      <w:pPr>
        <w:pStyle w:val="Heading4"/>
        <w:numPr>
          <w:ilvl w:val="2"/>
          <w:numId w:val="175"/>
        </w:numPr>
        <w:tabs>
          <w:tab w:pos="753" w:val="left" w:leader="none"/>
          <w:tab w:pos="1351" w:val="left" w:leader="none"/>
        </w:tabs>
        <w:spacing w:line="240" w:lineRule="auto" w:before="0" w:after="0"/>
        <w:ind w:left="752" w:right="0" w:hanging="535"/>
        <w:jc w:val="left"/>
      </w:pPr>
      <w:bookmarkStart w:name="5.3.4B System strength remediation for n" w:id="432"/>
      <w:bookmarkEnd w:id="432"/>
      <w:r>
        <w:rPr>
          <w:b w:val="0"/>
        </w:rPr>
      </w:r>
      <w:bookmarkStart w:name="_bookmark182" w:id="433"/>
      <w:bookmarkEnd w:id="433"/>
      <w:r>
        <w:rPr>
          <w:b w:val="0"/>
        </w:rPr>
      </w:r>
      <w:bookmarkStart w:name="_bookmark182" w:id="434"/>
      <w:bookmarkEnd w:id="434"/>
      <w:r>
        <w:rPr/>
        <w:t>B</w:t>
      </w:r>
      <w:r>
        <w:rPr/>
        <w:tab/>
        <w:t>System strength remediation for new</w:t>
      </w:r>
      <w:r>
        <w:rPr>
          <w:spacing w:val="-3"/>
        </w:rPr>
        <w:t> </w:t>
      </w:r>
      <w:r>
        <w:rPr/>
        <w:t>connections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Clause 5.3.4B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clause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in accordance with the </w:t>
      </w:r>
      <w:r>
        <w:rPr>
          <w:i/>
          <w:sz w:val="24"/>
        </w:rPr>
        <w:t>system strength </w:t>
      </w:r>
      <w:r>
        <w:rPr>
          <w:i/>
          <w:sz w:val="24"/>
        </w:rPr>
        <w:t>impact assessment guidelines</w:t>
      </w:r>
      <w:r>
        <w:rPr>
          <w:sz w:val="24"/>
        </w:rPr>
        <w:t>, undertake a </w:t>
      </w:r>
      <w:r>
        <w:rPr>
          <w:i/>
          <w:sz w:val="24"/>
        </w:rPr>
        <w:t>system strength impact </w:t>
      </w:r>
      <w:r>
        <w:rPr>
          <w:i/>
          <w:sz w:val="24"/>
        </w:rPr>
        <w:t>assessment </w:t>
      </w:r>
      <w:r>
        <w:rPr>
          <w:sz w:val="24"/>
        </w:rPr>
        <w:t>for each proposed new </w:t>
      </w:r>
      <w:r>
        <w:rPr>
          <w:i/>
          <w:sz w:val="24"/>
        </w:rPr>
        <w:t>connection </w:t>
      </w:r>
      <w:r>
        <w:rPr>
          <w:sz w:val="24"/>
        </w:rPr>
        <w:t>of a </w:t>
      </w:r>
      <w:r>
        <w:rPr>
          <w:i/>
          <w:sz w:val="24"/>
        </w:rPr>
        <w:t>generating system </w:t>
      </w:r>
      <w:r>
        <w:rPr>
          <w:sz w:val="24"/>
        </w:rPr>
        <w:t>or </w:t>
      </w:r>
      <w:r>
        <w:rPr>
          <w:i/>
          <w:sz w:val="24"/>
        </w:rPr>
        <w:t>market network service facility </w:t>
      </w:r>
      <w:r>
        <w:rPr>
          <w:sz w:val="24"/>
        </w:rPr>
        <w:t>and any proposed alteration to a </w:t>
      </w:r>
      <w:r>
        <w:rPr>
          <w:i/>
          <w:sz w:val="24"/>
        </w:rPr>
        <w:t>generating </w:t>
      </w:r>
      <w:r>
        <w:rPr>
          <w:i/>
          <w:sz w:val="24"/>
        </w:rPr>
        <w:t>system </w:t>
      </w:r>
      <w:r>
        <w:rPr>
          <w:sz w:val="24"/>
        </w:rPr>
        <w:t>to which clause 5.3.9 applies. A </w:t>
      </w:r>
      <w:r>
        <w:rPr>
          <w:i/>
          <w:sz w:val="24"/>
        </w:rPr>
        <w:t>Network Service Provider </w:t>
      </w:r>
      <w:r>
        <w:rPr>
          <w:sz w:val="24"/>
        </w:rPr>
        <w:t>must make:</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a preliminary assessment if it is in receipt of a </w:t>
      </w:r>
      <w:r>
        <w:rPr>
          <w:i/>
          <w:sz w:val="24"/>
        </w:rPr>
        <w:t>connection </w:t>
      </w:r>
      <w:r>
        <w:rPr>
          <w:sz w:val="24"/>
        </w:rPr>
        <w:t>enquiry or a request by a </w:t>
      </w:r>
      <w:r>
        <w:rPr>
          <w:i/>
          <w:sz w:val="24"/>
        </w:rPr>
        <w:t>Generator </w:t>
      </w:r>
      <w:r>
        <w:rPr>
          <w:sz w:val="24"/>
        </w:rPr>
        <w:t>under clause 5.3.9(c1);</w:t>
      </w:r>
      <w:r>
        <w:rPr>
          <w:spacing w:val="-2"/>
          <w:sz w:val="24"/>
        </w:rPr>
        <w:t> </w:t>
      </w:r>
      <w:r>
        <w:rPr>
          <w:sz w:val="24"/>
        </w:rPr>
        <w:t>and</w:t>
      </w:r>
    </w:p>
    <w:p>
      <w:pPr>
        <w:pStyle w:val="ListParagraph"/>
        <w:numPr>
          <w:ilvl w:val="4"/>
          <w:numId w:val="175"/>
        </w:numPr>
        <w:tabs>
          <w:tab w:pos="2486" w:val="left" w:leader="none"/>
        </w:tabs>
        <w:spacing w:line="240" w:lineRule="auto" w:before="120" w:after="0"/>
        <w:ind w:left="2486" w:right="413" w:hanging="567"/>
        <w:jc w:val="both"/>
        <w:rPr>
          <w:sz w:val="24"/>
        </w:rPr>
      </w:pPr>
      <w:r>
        <w:rPr>
          <w:sz w:val="24"/>
        </w:rPr>
        <w:t>a full assessment if it is in receipt of an </w:t>
      </w:r>
      <w:r>
        <w:rPr>
          <w:i/>
          <w:sz w:val="24"/>
        </w:rPr>
        <w:t>application to connect </w:t>
      </w:r>
      <w:r>
        <w:rPr>
          <w:sz w:val="24"/>
        </w:rPr>
        <w:t>or submission from a </w:t>
      </w:r>
      <w:r>
        <w:rPr>
          <w:i/>
          <w:sz w:val="24"/>
        </w:rPr>
        <w:t>Generator </w:t>
      </w:r>
      <w:r>
        <w:rPr>
          <w:sz w:val="24"/>
        </w:rPr>
        <w:t>under clause 5.3.9, unless the preliminary assessment indicates that the full assessment is not needed.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give the results of the preliminary assessment and the full assessment to the </w:t>
      </w:r>
      <w:r>
        <w:rPr>
          <w:i/>
          <w:sz w:val="24"/>
        </w:rPr>
        <w:t>Connection Applicant </w:t>
      </w:r>
      <w:r>
        <w:rPr>
          <w:sz w:val="24"/>
        </w:rPr>
        <w:t>or </w:t>
      </w:r>
      <w:r>
        <w:rPr>
          <w:i/>
          <w:sz w:val="24"/>
        </w:rPr>
        <w:t>Generator </w:t>
      </w:r>
      <w:r>
        <w:rPr>
          <w:sz w:val="24"/>
        </w:rPr>
        <w:t>concerned following consultation with</w:t>
      </w:r>
      <w:r>
        <w:rPr>
          <w:spacing w:val="-4"/>
          <w:sz w:val="24"/>
        </w:rPr>
        <w:t> </w:t>
      </w:r>
      <w:r>
        <w:rPr>
          <w:i/>
          <w:sz w:val="24"/>
        </w:rPr>
        <w:t>AEMO</w:t>
      </w:r>
      <w:r>
        <w:rPr>
          <w:sz w:val="24"/>
        </w:rPr>
        <w:t>.</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A dispute referred to in paragraph (d) between any</w:t>
      </w:r>
      <w:r>
        <w:rPr>
          <w:spacing w:val="-1"/>
          <w:sz w:val="24"/>
        </w:rPr>
        <w:t> </w:t>
      </w:r>
      <w:r>
        <w:rPr>
          <w:sz w:val="24"/>
        </w:rPr>
        <w:t>of:</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i/>
          <w:sz w:val="24"/>
        </w:rPr>
        <w:t>AEMO</w:t>
      </w:r>
      <w:r>
        <w:rPr>
          <w:sz w:val="24"/>
        </w:rPr>
        <w:t>;</w:t>
      </w:r>
    </w:p>
    <w:p>
      <w:pPr>
        <w:pStyle w:val="ListParagraph"/>
        <w:numPr>
          <w:ilvl w:val="4"/>
          <w:numId w:val="175"/>
        </w:numPr>
        <w:tabs>
          <w:tab w:pos="2485" w:val="left" w:leader="none"/>
          <w:tab w:pos="2486" w:val="left" w:leader="none"/>
        </w:tabs>
        <w:spacing w:line="240" w:lineRule="auto" w:before="120" w:after="0"/>
        <w:ind w:left="2486" w:right="415" w:hanging="567"/>
        <w:jc w:val="left"/>
        <w:rPr>
          <w:sz w:val="24"/>
        </w:rPr>
      </w:pPr>
      <w:r>
        <w:rPr>
          <w:sz w:val="24"/>
        </w:rPr>
        <w:t>A </w:t>
      </w:r>
      <w:r>
        <w:rPr>
          <w:i/>
          <w:sz w:val="24"/>
        </w:rPr>
        <w:t>Network Service Provider </w:t>
      </w:r>
      <w:r>
        <w:rPr>
          <w:sz w:val="24"/>
        </w:rPr>
        <w:t>required to conduct an assessment under paragraph</w:t>
      </w:r>
      <w:r>
        <w:rPr>
          <w:spacing w:val="-1"/>
          <w:sz w:val="24"/>
        </w:rPr>
        <w:t> </w:t>
      </w:r>
      <w:r>
        <w:rPr>
          <w:sz w:val="24"/>
        </w:rPr>
        <w:t>(a);</w:t>
      </w:r>
    </w:p>
    <w:p>
      <w:pPr>
        <w:spacing w:after="0" w:line="240" w:lineRule="auto"/>
        <w:jc w:val="left"/>
        <w:rPr>
          <w:sz w:val="24"/>
        </w:rPr>
        <w:sectPr>
          <w:pgSz w:w="11910" w:h="16840"/>
          <w:pgMar w:header="686" w:footer="637" w:top="1320" w:bottom="820" w:left="1200" w:right="1000"/>
        </w:sectPr>
      </w:pPr>
    </w:p>
    <w:p>
      <w:pPr>
        <w:pStyle w:val="ListParagraph"/>
        <w:numPr>
          <w:ilvl w:val="4"/>
          <w:numId w:val="175"/>
        </w:numPr>
        <w:tabs>
          <w:tab w:pos="2486" w:val="left" w:leader="none"/>
        </w:tabs>
        <w:spacing w:line="240" w:lineRule="auto" w:before="83" w:after="0"/>
        <w:ind w:left="2485" w:right="0" w:hanging="567"/>
        <w:jc w:val="both"/>
        <w:rPr>
          <w:i/>
          <w:sz w:val="24"/>
        </w:rPr>
      </w:pPr>
      <w:r>
        <w:rPr>
          <w:sz w:val="24"/>
        </w:rPr>
        <w:t>a</w:t>
      </w:r>
      <w:r>
        <w:rPr>
          <w:spacing w:val="19"/>
          <w:sz w:val="24"/>
        </w:rPr>
        <w:t> </w:t>
      </w:r>
      <w:r>
        <w:rPr>
          <w:i/>
          <w:sz w:val="24"/>
        </w:rPr>
        <w:t>Connection</w:t>
      </w:r>
      <w:r>
        <w:rPr>
          <w:i/>
          <w:spacing w:val="19"/>
          <w:sz w:val="24"/>
        </w:rPr>
        <w:t> </w:t>
      </w:r>
      <w:r>
        <w:rPr>
          <w:i/>
          <w:sz w:val="24"/>
        </w:rPr>
        <w:t>Applicant</w:t>
      </w:r>
      <w:r>
        <w:rPr>
          <w:i/>
          <w:spacing w:val="19"/>
          <w:sz w:val="24"/>
        </w:rPr>
        <w:t> </w:t>
      </w:r>
      <w:r>
        <w:rPr>
          <w:sz w:val="24"/>
        </w:rPr>
        <w:t>who</w:t>
      </w:r>
      <w:r>
        <w:rPr>
          <w:spacing w:val="19"/>
          <w:sz w:val="24"/>
        </w:rPr>
        <w:t> </w:t>
      </w:r>
      <w:r>
        <w:rPr>
          <w:sz w:val="24"/>
        </w:rPr>
        <w:t>has</w:t>
      </w:r>
      <w:r>
        <w:rPr>
          <w:spacing w:val="19"/>
          <w:sz w:val="24"/>
        </w:rPr>
        <w:t> </w:t>
      </w:r>
      <w:r>
        <w:rPr>
          <w:sz w:val="24"/>
        </w:rPr>
        <w:t>submitted</w:t>
      </w:r>
      <w:r>
        <w:rPr>
          <w:spacing w:val="20"/>
          <w:sz w:val="24"/>
        </w:rPr>
        <w:t> </w:t>
      </w:r>
      <w:r>
        <w:rPr>
          <w:sz w:val="24"/>
        </w:rPr>
        <w:t>an</w:t>
      </w:r>
      <w:r>
        <w:rPr>
          <w:spacing w:val="19"/>
          <w:sz w:val="24"/>
        </w:rPr>
        <w:t> </w:t>
      </w:r>
      <w:r>
        <w:rPr>
          <w:i/>
          <w:sz w:val="24"/>
        </w:rPr>
        <w:t>application</w:t>
      </w:r>
      <w:r>
        <w:rPr>
          <w:i/>
          <w:spacing w:val="19"/>
          <w:sz w:val="24"/>
        </w:rPr>
        <w:t> </w:t>
      </w:r>
      <w:r>
        <w:rPr>
          <w:i/>
          <w:sz w:val="24"/>
        </w:rPr>
        <w:t>to</w:t>
      </w:r>
      <w:r>
        <w:rPr>
          <w:i/>
          <w:spacing w:val="19"/>
          <w:sz w:val="24"/>
        </w:rPr>
        <w:t> </w:t>
      </w:r>
      <w:r>
        <w:rPr>
          <w:i/>
          <w:sz w:val="24"/>
        </w:rPr>
        <w:t>connect</w:t>
      </w:r>
    </w:p>
    <w:p>
      <w:pPr>
        <w:pStyle w:val="BodyText"/>
        <w:spacing w:before="0"/>
        <w:ind w:left="2486" w:firstLine="0"/>
      </w:pPr>
      <w:r>
        <w:rPr/>
        <w:t>for which a full assessment is required under paragraph (a); and</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a </w:t>
      </w:r>
      <w:r>
        <w:rPr>
          <w:i/>
          <w:sz w:val="24"/>
        </w:rPr>
        <w:t>Generator </w:t>
      </w:r>
      <w:r>
        <w:rPr>
          <w:sz w:val="24"/>
        </w:rPr>
        <w:t>who proposes an alteration to a </w:t>
      </w:r>
      <w:r>
        <w:rPr>
          <w:i/>
          <w:sz w:val="24"/>
        </w:rPr>
        <w:t>generating system </w:t>
      </w:r>
      <w:r>
        <w:rPr>
          <w:sz w:val="24"/>
        </w:rPr>
        <w:t>to which clause 5.3.9 applies and for which a full assessment is required under paragraph</w:t>
      </w:r>
      <w:r>
        <w:rPr>
          <w:spacing w:val="-1"/>
          <w:sz w:val="24"/>
        </w:rPr>
        <w:t> </w:t>
      </w:r>
      <w:r>
        <w:rPr>
          <w:sz w:val="24"/>
        </w:rPr>
        <w:t>(a),</w:t>
      </w:r>
    </w:p>
    <w:p>
      <w:pPr>
        <w:pStyle w:val="BodyText"/>
        <w:ind w:left="1919" w:firstLine="0"/>
      </w:pPr>
      <w:r>
        <w:rPr/>
        <w:t>may be determined under rule 8.2.</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Paragraph (c) applies to any dispute relating to the assessment of an </w:t>
      </w:r>
      <w:r>
        <w:rPr>
          <w:i/>
          <w:sz w:val="24"/>
        </w:rPr>
        <w:t>adverse </w:t>
      </w:r>
      <w:r>
        <w:rPr>
          <w:i/>
          <w:sz w:val="24"/>
        </w:rPr>
        <w:t>system strength impact </w:t>
      </w:r>
      <w:r>
        <w:rPr>
          <w:sz w:val="24"/>
        </w:rPr>
        <w:t>as a result of conducting a </w:t>
      </w:r>
      <w:r>
        <w:rPr>
          <w:i/>
          <w:sz w:val="24"/>
        </w:rPr>
        <w:t>system strength impact </w:t>
      </w:r>
      <w:r>
        <w:rPr>
          <w:i/>
          <w:sz w:val="24"/>
        </w:rPr>
        <w:t>assessment </w:t>
      </w:r>
      <w:r>
        <w:rPr>
          <w:sz w:val="24"/>
        </w:rPr>
        <w:t>including a dispute in relation</w:t>
      </w:r>
      <w:r>
        <w:rPr>
          <w:spacing w:val="-3"/>
          <w:sz w:val="24"/>
        </w:rPr>
        <w:t> </w:t>
      </w:r>
      <w:r>
        <w:rPr>
          <w:sz w:val="24"/>
        </w:rPr>
        <w:t>to:</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whether the model specified by </w:t>
      </w:r>
      <w:r>
        <w:rPr>
          <w:i/>
          <w:sz w:val="24"/>
        </w:rPr>
        <w:t>AEMO </w:t>
      </w:r>
      <w:r>
        <w:rPr>
          <w:sz w:val="24"/>
        </w:rPr>
        <w:t>for the purposes of clause 4.6.6(b)(2) was reasonably appropriate for conducting the </w:t>
      </w:r>
      <w:r>
        <w:rPr>
          <w:i/>
          <w:sz w:val="24"/>
        </w:rPr>
        <w:t>system </w:t>
      </w:r>
      <w:r>
        <w:rPr>
          <w:i/>
          <w:sz w:val="24"/>
        </w:rPr>
        <w:t>strength impact assessment</w:t>
      </w:r>
      <w:r>
        <w:rPr>
          <w:sz w:val="24"/>
        </w:rPr>
        <w:t>;</w:t>
      </w:r>
      <w:r>
        <w:rPr>
          <w:spacing w:val="-2"/>
          <w:sz w:val="24"/>
        </w:rPr>
        <w:t> </w:t>
      </w:r>
      <w:r>
        <w:rPr>
          <w:sz w:val="24"/>
        </w:rPr>
        <w:t>and</w:t>
      </w:r>
    </w:p>
    <w:p>
      <w:pPr>
        <w:pStyle w:val="ListParagraph"/>
        <w:numPr>
          <w:ilvl w:val="4"/>
          <w:numId w:val="175"/>
        </w:numPr>
        <w:tabs>
          <w:tab w:pos="2486" w:val="left" w:leader="none"/>
        </w:tabs>
        <w:spacing w:line="240" w:lineRule="auto" w:before="120" w:after="0"/>
        <w:ind w:left="2485" w:right="0" w:hanging="567"/>
        <w:jc w:val="both"/>
        <w:rPr>
          <w:i/>
          <w:sz w:val="24"/>
        </w:rPr>
      </w:pPr>
      <w:r>
        <w:rPr>
          <w:sz w:val="24"/>
        </w:rPr>
        <w:t>the</w:t>
      </w:r>
      <w:r>
        <w:rPr>
          <w:spacing w:val="40"/>
          <w:sz w:val="24"/>
        </w:rPr>
        <w:t> </w:t>
      </w:r>
      <w:r>
        <w:rPr>
          <w:sz w:val="24"/>
        </w:rPr>
        <w:t>application</w:t>
      </w:r>
      <w:r>
        <w:rPr>
          <w:spacing w:val="41"/>
          <w:sz w:val="24"/>
        </w:rPr>
        <w:t> </w:t>
      </w:r>
      <w:r>
        <w:rPr>
          <w:sz w:val="24"/>
        </w:rPr>
        <w:t>of</w:t>
      </w:r>
      <w:r>
        <w:rPr>
          <w:spacing w:val="41"/>
          <w:sz w:val="24"/>
        </w:rPr>
        <w:t> </w:t>
      </w:r>
      <w:r>
        <w:rPr>
          <w:sz w:val="24"/>
        </w:rPr>
        <w:t>the</w:t>
      </w:r>
      <w:r>
        <w:rPr>
          <w:spacing w:val="41"/>
          <w:sz w:val="24"/>
        </w:rPr>
        <w:t> </w:t>
      </w:r>
      <w:r>
        <w:rPr>
          <w:i/>
          <w:sz w:val="24"/>
        </w:rPr>
        <w:t>system</w:t>
      </w:r>
      <w:r>
        <w:rPr>
          <w:i/>
          <w:spacing w:val="39"/>
          <w:sz w:val="24"/>
        </w:rPr>
        <w:t> </w:t>
      </w:r>
      <w:r>
        <w:rPr>
          <w:i/>
          <w:sz w:val="24"/>
        </w:rPr>
        <w:t>strength</w:t>
      </w:r>
      <w:r>
        <w:rPr>
          <w:i/>
          <w:spacing w:val="41"/>
          <w:sz w:val="24"/>
        </w:rPr>
        <w:t> </w:t>
      </w:r>
      <w:r>
        <w:rPr>
          <w:i/>
          <w:sz w:val="24"/>
        </w:rPr>
        <w:t>impact</w:t>
      </w:r>
      <w:r>
        <w:rPr>
          <w:i/>
          <w:spacing w:val="41"/>
          <w:sz w:val="24"/>
        </w:rPr>
        <w:t> </w:t>
      </w:r>
      <w:r>
        <w:rPr>
          <w:i/>
          <w:sz w:val="24"/>
        </w:rPr>
        <w:t>assessment</w:t>
      </w:r>
      <w:r>
        <w:rPr>
          <w:i/>
          <w:spacing w:val="40"/>
          <w:sz w:val="24"/>
        </w:rPr>
        <w:t> </w:t>
      </w:r>
      <w:r>
        <w:rPr>
          <w:i/>
          <w:sz w:val="24"/>
        </w:rPr>
        <w:t>guidelines</w:t>
      </w:r>
    </w:p>
    <w:p>
      <w:pPr>
        <w:spacing w:before="0"/>
        <w:ind w:left="2486" w:right="0" w:firstLine="0"/>
        <w:jc w:val="both"/>
        <w:rPr>
          <w:sz w:val="24"/>
        </w:rPr>
      </w:pPr>
      <w:r>
        <w:rPr>
          <w:sz w:val="24"/>
        </w:rPr>
        <w:t>when undertaking a </w:t>
      </w:r>
      <w:r>
        <w:rPr>
          <w:i/>
          <w:sz w:val="24"/>
        </w:rPr>
        <w:t>system strength impact assessment</w:t>
      </w:r>
      <w:r>
        <w:rPr>
          <w:sz w:val="24"/>
        </w:rPr>
        <w:t>.</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Subject to paragraph (f), a </w:t>
      </w:r>
      <w:r>
        <w:rPr>
          <w:i/>
          <w:sz w:val="24"/>
        </w:rPr>
        <w:t>Network Service Provider </w:t>
      </w:r>
      <w:r>
        <w:rPr>
          <w:sz w:val="24"/>
        </w:rPr>
        <w:t>must undertake </w:t>
      </w:r>
      <w:r>
        <w:rPr>
          <w:i/>
          <w:sz w:val="24"/>
        </w:rPr>
        <w:t>system </w:t>
      </w:r>
      <w:r>
        <w:rPr>
          <w:i/>
          <w:sz w:val="24"/>
        </w:rPr>
        <w:t>strength connection works </w:t>
      </w:r>
      <w:r>
        <w:rPr>
          <w:sz w:val="24"/>
        </w:rPr>
        <w:t>at the cost of the </w:t>
      </w:r>
      <w:r>
        <w:rPr>
          <w:i/>
          <w:sz w:val="24"/>
        </w:rPr>
        <w:t>Connection Applicant </w:t>
      </w:r>
      <w:r>
        <w:rPr>
          <w:sz w:val="24"/>
        </w:rPr>
        <w:t>or </w:t>
      </w:r>
      <w:r>
        <w:rPr>
          <w:i/>
          <w:sz w:val="24"/>
        </w:rPr>
        <w:t>Generator </w:t>
      </w:r>
      <w:r>
        <w:rPr>
          <w:sz w:val="24"/>
        </w:rPr>
        <w:t>(as applicable) if the full assessment undertaken in accordance with the </w:t>
      </w:r>
      <w:r>
        <w:rPr>
          <w:i/>
          <w:sz w:val="24"/>
        </w:rPr>
        <w:t>system strength impact assessment guidelines </w:t>
      </w:r>
      <w:r>
        <w:rPr>
          <w:sz w:val="24"/>
        </w:rPr>
        <w:t>indicates that the </w:t>
      </w:r>
      <w:r>
        <w:rPr>
          <w:i/>
          <w:sz w:val="24"/>
        </w:rPr>
        <w:t>Connection Applicant's </w:t>
      </w:r>
      <w:r>
        <w:rPr>
          <w:sz w:val="24"/>
        </w:rPr>
        <w:t>proposed new </w:t>
      </w:r>
      <w:r>
        <w:rPr>
          <w:i/>
          <w:sz w:val="24"/>
        </w:rPr>
        <w:t>connection </w:t>
      </w:r>
      <w:r>
        <w:rPr>
          <w:sz w:val="24"/>
        </w:rPr>
        <w:t>of a </w:t>
      </w:r>
      <w:r>
        <w:rPr>
          <w:i/>
          <w:sz w:val="24"/>
        </w:rPr>
        <w:t>generating facility </w:t>
      </w:r>
      <w:r>
        <w:rPr>
          <w:spacing w:val="-6"/>
          <w:sz w:val="24"/>
        </w:rPr>
        <w:t>or </w:t>
      </w:r>
      <w:r>
        <w:rPr>
          <w:i/>
          <w:sz w:val="24"/>
        </w:rPr>
        <w:t>market network service facility </w:t>
      </w:r>
      <w:r>
        <w:rPr>
          <w:sz w:val="24"/>
        </w:rPr>
        <w:t>or the </w:t>
      </w:r>
      <w:r>
        <w:rPr>
          <w:i/>
          <w:sz w:val="24"/>
        </w:rPr>
        <w:t>Generator's </w:t>
      </w:r>
      <w:r>
        <w:rPr>
          <w:sz w:val="24"/>
        </w:rPr>
        <w:t>proposed alteration to a </w:t>
      </w:r>
      <w:r>
        <w:rPr>
          <w:i/>
          <w:sz w:val="24"/>
        </w:rPr>
        <w:t>generating system </w:t>
      </w:r>
      <w:r>
        <w:rPr>
          <w:sz w:val="24"/>
        </w:rPr>
        <w:t>to which clause 5.3.9 applies will have an </w:t>
      </w:r>
      <w:r>
        <w:rPr>
          <w:i/>
          <w:sz w:val="24"/>
        </w:rPr>
        <w:t>adverse system </w:t>
      </w:r>
      <w:r>
        <w:rPr>
          <w:i/>
          <w:sz w:val="24"/>
        </w:rPr>
        <w:t>strength</w:t>
      </w:r>
      <w:r>
        <w:rPr>
          <w:i/>
          <w:spacing w:val="-2"/>
          <w:sz w:val="24"/>
        </w:rPr>
        <w:t> </w:t>
      </w:r>
      <w:r>
        <w:rPr>
          <w:i/>
          <w:sz w:val="24"/>
        </w:rPr>
        <w:t>impact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20" w:val="left" w:leader="none"/>
        </w:tabs>
        <w:spacing w:line="240" w:lineRule="auto" w:before="120" w:after="0"/>
        <w:ind w:left="1919" w:right="416" w:hanging="567"/>
        <w:jc w:val="both"/>
        <w:rPr>
          <w:sz w:val="24"/>
        </w:rPr>
      </w:pPr>
      <w:r>
        <w:rPr>
          <w:sz w:val="24"/>
        </w:rPr>
        <w:t>Paragraph (e) does not require a </w:t>
      </w:r>
      <w:r>
        <w:rPr>
          <w:i/>
          <w:sz w:val="24"/>
        </w:rPr>
        <w:t>Network Service Provider </w:t>
      </w:r>
      <w:r>
        <w:rPr>
          <w:sz w:val="24"/>
        </w:rPr>
        <w:t>to undertake, nor permit a </w:t>
      </w:r>
      <w:r>
        <w:rPr>
          <w:i/>
          <w:sz w:val="24"/>
        </w:rPr>
        <w:t>Network Service Provider </w:t>
      </w:r>
      <w:r>
        <w:rPr>
          <w:sz w:val="24"/>
        </w:rPr>
        <w:t>to require, </w:t>
      </w:r>
      <w:r>
        <w:rPr>
          <w:i/>
          <w:sz w:val="24"/>
        </w:rPr>
        <w:t>system strength connection </w:t>
      </w:r>
      <w:r>
        <w:rPr>
          <w:i/>
          <w:sz w:val="24"/>
        </w:rPr>
        <w:t>works </w:t>
      </w:r>
      <w:r>
        <w:rPr>
          <w:sz w:val="24"/>
        </w:rPr>
        <w:t>in the following</w:t>
      </w:r>
      <w:r>
        <w:rPr>
          <w:spacing w:val="-1"/>
          <w:sz w:val="24"/>
        </w:rPr>
        <w:t> </w:t>
      </w:r>
      <w:r>
        <w:rPr>
          <w:sz w:val="24"/>
        </w:rPr>
        <w:t>circumstances:</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proposed new </w:t>
      </w:r>
      <w:r>
        <w:rPr>
          <w:i/>
          <w:sz w:val="24"/>
        </w:rPr>
        <w:t>connection </w:t>
      </w:r>
      <w:r>
        <w:rPr>
          <w:sz w:val="24"/>
        </w:rPr>
        <w:t>or alteration does not</w:t>
      </w:r>
      <w:r>
        <w:rPr>
          <w:spacing w:val="-1"/>
          <w:sz w:val="24"/>
        </w:rPr>
        <w:t> </w:t>
      </w:r>
      <w:r>
        <w:rPr>
          <w:sz w:val="24"/>
        </w:rPr>
        <w:t>proceed;</w:t>
      </w:r>
    </w:p>
    <w:p>
      <w:pPr>
        <w:pStyle w:val="ListParagraph"/>
        <w:numPr>
          <w:ilvl w:val="4"/>
          <w:numId w:val="175"/>
        </w:numPr>
        <w:tabs>
          <w:tab w:pos="2486" w:val="left" w:leader="none"/>
        </w:tabs>
        <w:spacing w:line="240" w:lineRule="auto" w:before="120" w:after="0"/>
        <w:ind w:left="2486" w:right="414" w:hanging="567"/>
        <w:jc w:val="both"/>
        <w:rPr>
          <w:sz w:val="24"/>
        </w:rPr>
      </w:pPr>
      <w:r>
        <w:rPr>
          <w:sz w:val="24"/>
        </w:rPr>
        <w:t>to the extent that the </w:t>
      </w:r>
      <w:r>
        <w:rPr>
          <w:i/>
          <w:sz w:val="24"/>
        </w:rPr>
        <w:t>adverse system strength impact </w:t>
      </w:r>
      <w:r>
        <w:rPr>
          <w:sz w:val="24"/>
        </w:rPr>
        <w:t>referred to in paragraph (e) is or will be avoided or remedied by a </w:t>
      </w:r>
      <w:r>
        <w:rPr>
          <w:i/>
          <w:sz w:val="24"/>
        </w:rPr>
        <w:t>system strength </w:t>
      </w:r>
      <w:r>
        <w:rPr>
          <w:i/>
          <w:sz w:val="24"/>
        </w:rPr>
        <w:t>remediation scheme </w:t>
      </w:r>
      <w:r>
        <w:rPr>
          <w:sz w:val="24"/>
        </w:rPr>
        <w:t>agreed or determined under this clause and implemented by the </w:t>
      </w:r>
      <w:r>
        <w:rPr>
          <w:i/>
          <w:sz w:val="24"/>
        </w:rPr>
        <w:t>Registered Participant </w:t>
      </w:r>
      <w:r>
        <w:rPr>
          <w:sz w:val="24"/>
        </w:rPr>
        <w:t>in accordance with its </w:t>
      </w:r>
      <w:r>
        <w:rPr>
          <w:i/>
          <w:sz w:val="24"/>
        </w:rPr>
        <w:t>connection agreement</w:t>
      </w:r>
      <w:r>
        <w:rPr>
          <w:sz w:val="24"/>
        </w:rPr>
        <w:t>;</w:t>
      </w:r>
      <w:r>
        <w:rPr>
          <w:spacing w:val="-1"/>
          <w:sz w:val="24"/>
        </w:rPr>
        <w:t> </w:t>
      </w:r>
      <w:r>
        <w:rPr>
          <w:sz w:val="24"/>
        </w:rPr>
        <w:t>or</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to</w:t>
      </w:r>
      <w:r>
        <w:rPr>
          <w:spacing w:val="30"/>
          <w:sz w:val="24"/>
        </w:rPr>
        <w:t> </w:t>
      </w:r>
      <w:r>
        <w:rPr>
          <w:sz w:val="24"/>
        </w:rPr>
        <w:t>the</w:t>
      </w:r>
      <w:r>
        <w:rPr>
          <w:spacing w:val="31"/>
          <w:sz w:val="24"/>
        </w:rPr>
        <w:t> </w:t>
      </w:r>
      <w:r>
        <w:rPr>
          <w:sz w:val="24"/>
        </w:rPr>
        <w:t>extent</w:t>
      </w:r>
      <w:r>
        <w:rPr>
          <w:spacing w:val="31"/>
          <w:sz w:val="24"/>
        </w:rPr>
        <w:t> </w:t>
      </w:r>
      <w:r>
        <w:rPr>
          <w:sz w:val="24"/>
        </w:rPr>
        <w:t>that</w:t>
      </w:r>
      <w:r>
        <w:rPr>
          <w:spacing w:val="30"/>
          <w:sz w:val="24"/>
        </w:rPr>
        <w:t> </w:t>
      </w:r>
      <w:r>
        <w:rPr>
          <w:sz w:val="24"/>
        </w:rPr>
        <w:t>the</w:t>
      </w:r>
      <w:r>
        <w:rPr>
          <w:spacing w:val="31"/>
          <w:sz w:val="24"/>
        </w:rPr>
        <w:t> </w:t>
      </w:r>
      <w:r>
        <w:rPr>
          <w:sz w:val="24"/>
        </w:rPr>
        <w:t>impact</w:t>
      </w:r>
      <w:r>
        <w:rPr>
          <w:spacing w:val="31"/>
          <w:sz w:val="24"/>
        </w:rPr>
        <w:t> </w:t>
      </w:r>
      <w:r>
        <w:rPr>
          <w:sz w:val="24"/>
        </w:rPr>
        <w:t>is</w:t>
      </w:r>
      <w:r>
        <w:rPr>
          <w:spacing w:val="30"/>
          <w:sz w:val="24"/>
        </w:rPr>
        <w:t> </w:t>
      </w:r>
      <w:r>
        <w:rPr>
          <w:sz w:val="24"/>
        </w:rPr>
        <w:t>below</w:t>
      </w:r>
      <w:r>
        <w:rPr>
          <w:spacing w:val="31"/>
          <w:sz w:val="24"/>
        </w:rPr>
        <w:t> </w:t>
      </w:r>
      <w:r>
        <w:rPr>
          <w:sz w:val="24"/>
        </w:rPr>
        <w:t>any</w:t>
      </w:r>
      <w:r>
        <w:rPr>
          <w:spacing w:val="31"/>
          <w:sz w:val="24"/>
        </w:rPr>
        <w:t> </w:t>
      </w:r>
      <w:r>
        <w:rPr>
          <w:sz w:val="24"/>
        </w:rPr>
        <w:t>threshold</w:t>
      </w:r>
      <w:r>
        <w:rPr>
          <w:spacing w:val="31"/>
          <w:sz w:val="24"/>
        </w:rPr>
        <w:t> </w:t>
      </w:r>
      <w:r>
        <w:rPr>
          <w:sz w:val="24"/>
        </w:rPr>
        <w:t>specified</w:t>
      </w:r>
      <w:r>
        <w:rPr>
          <w:spacing w:val="30"/>
          <w:sz w:val="24"/>
        </w:rPr>
        <w:t> </w:t>
      </w:r>
      <w:r>
        <w:rPr>
          <w:sz w:val="24"/>
        </w:rPr>
        <w:t>in</w:t>
      </w:r>
      <w:r>
        <w:rPr>
          <w:spacing w:val="31"/>
          <w:sz w:val="24"/>
        </w:rPr>
        <w:t> </w:t>
      </w:r>
      <w:r>
        <w:rPr>
          <w:sz w:val="24"/>
        </w:rPr>
        <w:t>the</w:t>
      </w:r>
    </w:p>
    <w:p>
      <w:pPr>
        <w:spacing w:before="0"/>
        <w:ind w:left="2486" w:right="0" w:firstLine="0"/>
        <w:jc w:val="both"/>
        <w:rPr>
          <w:sz w:val="24"/>
        </w:rPr>
      </w:pPr>
      <w:r>
        <w:rPr>
          <w:i/>
          <w:sz w:val="24"/>
        </w:rPr>
        <w:t>system strength impact assessment guidelines </w:t>
      </w:r>
      <w:r>
        <w:rPr>
          <w:sz w:val="24"/>
        </w:rPr>
        <w:t>for this purpose.</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A </w:t>
      </w:r>
      <w:r>
        <w:rPr>
          <w:i/>
          <w:sz w:val="24"/>
        </w:rPr>
        <w:t>Connection Applicant </w:t>
      </w:r>
      <w:r>
        <w:rPr>
          <w:sz w:val="24"/>
        </w:rPr>
        <w:t>must include any proposal for a </w:t>
      </w:r>
      <w:r>
        <w:rPr>
          <w:i/>
          <w:sz w:val="24"/>
        </w:rPr>
        <w:t>system strength </w:t>
      </w:r>
      <w:r>
        <w:rPr>
          <w:i/>
          <w:sz w:val="24"/>
        </w:rPr>
        <w:t>remediation scheme </w:t>
      </w:r>
      <w:r>
        <w:rPr>
          <w:sz w:val="24"/>
        </w:rPr>
        <w:t>in its </w:t>
      </w:r>
      <w:r>
        <w:rPr>
          <w:i/>
          <w:sz w:val="24"/>
        </w:rPr>
        <w:t>application to connect </w:t>
      </w:r>
      <w:r>
        <w:rPr>
          <w:sz w:val="24"/>
        </w:rPr>
        <w:t>or its proposal under clause 5.3.9(b)(4).</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A </w:t>
      </w:r>
      <w:r>
        <w:rPr>
          <w:i/>
          <w:sz w:val="24"/>
        </w:rPr>
        <w:t>Connection Applicant </w:t>
      </w:r>
      <w:r>
        <w:rPr>
          <w:sz w:val="24"/>
        </w:rPr>
        <w:t>proposing to install </w:t>
      </w:r>
      <w:r>
        <w:rPr>
          <w:i/>
          <w:sz w:val="24"/>
        </w:rPr>
        <w:t>plant </w:t>
      </w:r>
      <w:r>
        <w:rPr>
          <w:sz w:val="24"/>
        </w:rPr>
        <w:t>as part of a </w:t>
      </w:r>
      <w:r>
        <w:rPr>
          <w:i/>
          <w:sz w:val="24"/>
        </w:rPr>
        <w:t>system </w:t>
      </w:r>
      <w:r>
        <w:rPr>
          <w:i/>
          <w:sz w:val="24"/>
        </w:rPr>
        <w:t>strength remediation scheme </w:t>
      </w:r>
      <w:r>
        <w:rPr>
          <w:sz w:val="24"/>
        </w:rPr>
        <w:t>must include a description of the </w:t>
      </w:r>
      <w:r>
        <w:rPr>
          <w:i/>
          <w:sz w:val="24"/>
        </w:rPr>
        <w:t>plant</w:t>
      </w:r>
      <w:r>
        <w:rPr>
          <w:sz w:val="24"/>
        </w:rPr>
        <w:t>, the ratings of the proposed </w:t>
      </w:r>
      <w:r>
        <w:rPr>
          <w:i/>
          <w:sz w:val="24"/>
        </w:rPr>
        <w:t>plant </w:t>
      </w:r>
      <w:r>
        <w:rPr>
          <w:sz w:val="24"/>
        </w:rPr>
        <w:t>(in MVA) and other information (including models) reasonably required by the </w:t>
      </w:r>
      <w:r>
        <w:rPr>
          <w:i/>
          <w:sz w:val="24"/>
        </w:rPr>
        <w:t>Network Service Provider </w:t>
      </w:r>
      <w:r>
        <w:rPr>
          <w:sz w:val="24"/>
        </w:rPr>
        <w:t>and </w:t>
      </w:r>
      <w:r>
        <w:rPr>
          <w:i/>
          <w:sz w:val="24"/>
        </w:rPr>
        <w:t>AEMO </w:t>
      </w:r>
      <w:r>
        <w:rPr>
          <w:spacing w:val="-6"/>
          <w:sz w:val="24"/>
        </w:rPr>
        <w:t>to </w:t>
      </w:r>
      <w:r>
        <w:rPr>
          <w:sz w:val="24"/>
        </w:rPr>
        <w:t>assess the </w:t>
      </w:r>
      <w:r>
        <w:rPr>
          <w:i/>
          <w:sz w:val="24"/>
        </w:rPr>
        <w:t>system strength remediation</w:t>
      </w:r>
      <w:r>
        <w:rPr>
          <w:i/>
          <w:spacing w:val="-5"/>
          <w:sz w:val="24"/>
        </w:rPr>
        <w:t> </w:t>
      </w:r>
      <w:r>
        <w:rPr>
          <w:i/>
          <w:sz w:val="24"/>
        </w:rPr>
        <w:t>scheme</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175"/>
        </w:numPr>
        <w:tabs>
          <w:tab w:pos="1919" w:val="left" w:leader="none"/>
        </w:tabs>
        <w:spacing w:line="240" w:lineRule="auto" w:before="83" w:after="0"/>
        <w:ind w:left="1919" w:right="415" w:hanging="567"/>
        <w:jc w:val="both"/>
        <w:rPr>
          <w:sz w:val="24"/>
        </w:rPr>
      </w:pPr>
      <w:r>
        <w:rPr>
          <w:sz w:val="24"/>
        </w:rPr>
        <w:t>A </w:t>
      </w:r>
      <w:r>
        <w:rPr>
          <w:i/>
          <w:sz w:val="24"/>
        </w:rPr>
        <w:t>Network Service Provider </w:t>
      </w:r>
      <w:r>
        <w:rPr>
          <w:sz w:val="24"/>
        </w:rPr>
        <w:t>must, following the receipt of a proposal for a </w:t>
      </w:r>
      <w:r>
        <w:rPr>
          <w:i/>
          <w:sz w:val="24"/>
        </w:rPr>
        <w:t>system strength remediation scheme</w:t>
      </w:r>
      <w:r>
        <w:rPr>
          <w:sz w:val="24"/>
        </w:rPr>
        <w:t>, consult with </w:t>
      </w:r>
      <w:r>
        <w:rPr>
          <w:i/>
          <w:sz w:val="24"/>
        </w:rPr>
        <w:t>AEMO </w:t>
      </w:r>
      <w:r>
        <w:rPr>
          <w:sz w:val="24"/>
        </w:rPr>
        <w:t>as soon as practical in relation to the</w:t>
      </w:r>
      <w:r>
        <w:rPr>
          <w:spacing w:val="-2"/>
          <w:sz w:val="24"/>
        </w:rPr>
        <w:t> </w:t>
      </w:r>
      <w:r>
        <w:rPr>
          <w:sz w:val="24"/>
        </w:rPr>
        <w:t>proposal.</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Following the submission of a proposal for a </w:t>
      </w:r>
      <w:r>
        <w:rPr>
          <w:i/>
          <w:sz w:val="24"/>
        </w:rPr>
        <w:t>system strength remediation </w:t>
      </w:r>
      <w:r>
        <w:rPr>
          <w:i/>
          <w:sz w:val="24"/>
        </w:rPr>
        <w:t>scheme</w:t>
      </w:r>
      <w:r>
        <w:rPr>
          <w:sz w:val="24"/>
        </w:rPr>
        <w:t>, </w:t>
      </w:r>
      <w:r>
        <w:rPr>
          <w:i/>
          <w:sz w:val="24"/>
        </w:rPr>
        <w:t>AEMO </w:t>
      </w:r>
      <w:r>
        <w:rPr>
          <w:sz w:val="24"/>
        </w:rPr>
        <w:t>must use reasonable endeavours to respond to the </w:t>
      </w:r>
      <w:r>
        <w:rPr>
          <w:i/>
          <w:sz w:val="24"/>
        </w:rPr>
        <w:t>Network </w:t>
      </w:r>
      <w:r>
        <w:rPr>
          <w:i/>
          <w:sz w:val="24"/>
        </w:rPr>
        <w:t>Service Provider </w:t>
      </w:r>
      <w:r>
        <w:rPr>
          <w:sz w:val="24"/>
        </w:rPr>
        <w:t>in writing in respect of the proposal within 20 </w:t>
      </w:r>
      <w:r>
        <w:rPr>
          <w:i/>
          <w:sz w:val="24"/>
        </w:rPr>
        <w:t>business </w:t>
      </w:r>
      <w:r>
        <w:rPr>
          <w:i/>
          <w:sz w:val="24"/>
        </w:rPr>
        <w:t>days</w:t>
      </w:r>
      <w:r>
        <w:rPr>
          <w:sz w:val="24"/>
        </w:rPr>
        <w:t>.</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A </w:t>
      </w:r>
      <w:r>
        <w:rPr>
          <w:i/>
          <w:sz w:val="24"/>
        </w:rPr>
        <w:t>Network Service Provider </w:t>
      </w:r>
      <w:r>
        <w:rPr>
          <w:sz w:val="24"/>
        </w:rPr>
        <w:t>must within 10 </w:t>
      </w:r>
      <w:r>
        <w:rPr>
          <w:i/>
          <w:sz w:val="24"/>
        </w:rPr>
        <w:t>business days </w:t>
      </w:r>
      <w:r>
        <w:rPr>
          <w:sz w:val="24"/>
        </w:rPr>
        <w:t>following the receipt of a response from </w:t>
      </w:r>
      <w:r>
        <w:rPr>
          <w:i/>
          <w:sz w:val="24"/>
        </w:rPr>
        <w:t>AEMO </w:t>
      </w:r>
      <w:r>
        <w:rPr>
          <w:sz w:val="24"/>
        </w:rPr>
        <w:t>under paragraph (h) to a proposal for </w:t>
      </w:r>
      <w:r>
        <w:rPr>
          <w:spacing w:val="-13"/>
          <w:sz w:val="24"/>
        </w:rPr>
        <w:t>a </w:t>
      </w:r>
      <w:r>
        <w:rPr>
          <w:i/>
          <w:sz w:val="24"/>
        </w:rPr>
        <w:t>system strength remediation scheme</w:t>
      </w:r>
      <w:r>
        <w:rPr>
          <w:sz w:val="24"/>
        </w:rPr>
        <w:t>, accept or reject the</w:t>
      </w:r>
      <w:r>
        <w:rPr>
          <w:spacing w:val="-12"/>
          <w:sz w:val="24"/>
        </w:rPr>
        <w:t> </w:t>
      </w:r>
      <w:r>
        <w:rPr>
          <w:sz w:val="24"/>
        </w:rPr>
        <w:t>proposal.</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The </w:t>
      </w:r>
      <w:r>
        <w:rPr>
          <w:i/>
          <w:sz w:val="24"/>
        </w:rPr>
        <w:t>Network Service Provider </w:t>
      </w:r>
      <w:r>
        <w:rPr>
          <w:sz w:val="24"/>
        </w:rPr>
        <w:t>must reject a proposal for a </w:t>
      </w:r>
      <w:r>
        <w:rPr>
          <w:i/>
          <w:sz w:val="24"/>
        </w:rPr>
        <w:t>system strength </w:t>
      </w:r>
      <w:r>
        <w:rPr>
          <w:i/>
          <w:sz w:val="24"/>
        </w:rPr>
        <w:t>remediation scheme </w:t>
      </w:r>
      <w:r>
        <w:rPr>
          <w:sz w:val="24"/>
        </w:rPr>
        <w:t>if the scheme is not reasonably likely to achieve its required outcome or</w:t>
      </w:r>
      <w:r>
        <w:rPr>
          <w:spacing w:val="-1"/>
          <w:sz w:val="24"/>
        </w:rPr>
        <w:t> </w:t>
      </w:r>
      <w:r>
        <w:rPr>
          <w:sz w:val="24"/>
        </w:rPr>
        <w:t>would:</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in the reasonable opinion of the </w:t>
      </w:r>
      <w:r>
        <w:rPr>
          <w:i/>
          <w:sz w:val="24"/>
        </w:rPr>
        <w:t>Network Service Provider </w:t>
      </w:r>
      <w:r>
        <w:rPr>
          <w:sz w:val="24"/>
        </w:rPr>
        <w:t>adversely affect quality of </w:t>
      </w:r>
      <w:r>
        <w:rPr>
          <w:i/>
          <w:sz w:val="24"/>
        </w:rPr>
        <w:t>supply </w:t>
      </w:r>
      <w:r>
        <w:rPr>
          <w:sz w:val="24"/>
        </w:rPr>
        <w:t>for other </w:t>
      </w:r>
      <w:r>
        <w:rPr>
          <w:i/>
          <w:sz w:val="24"/>
        </w:rPr>
        <w:t>Network Users</w:t>
      </w:r>
      <w:r>
        <w:rPr>
          <w:sz w:val="24"/>
        </w:rPr>
        <w:t>;</w:t>
      </w:r>
      <w:r>
        <w:rPr>
          <w:spacing w:val="-5"/>
          <w:sz w:val="24"/>
        </w:rPr>
        <w:t> </w:t>
      </w:r>
      <w:r>
        <w:rPr>
          <w:sz w:val="24"/>
        </w:rPr>
        <w:t>or</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on </w:t>
      </w:r>
      <w:r>
        <w:rPr>
          <w:i/>
          <w:sz w:val="24"/>
        </w:rPr>
        <w:t>AEMO's </w:t>
      </w:r>
      <w:r>
        <w:rPr>
          <w:sz w:val="24"/>
        </w:rPr>
        <w:t>reasonable advice, adversely affect </w:t>
      </w:r>
      <w:r>
        <w:rPr>
          <w:i/>
          <w:sz w:val="24"/>
        </w:rPr>
        <w:t>power system</w:t>
      </w:r>
      <w:r>
        <w:rPr>
          <w:i/>
          <w:spacing w:val="-9"/>
          <w:sz w:val="24"/>
        </w:rPr>
        <w:t> </w:t>
      </w:r>
      <w:r>
        <w:rPr>
          <w:i/>
          <w:sz w:val="24"/>
        </w:rPr>
        <w:t>security</w:t>
      </w:r>
      <w:r>
        <w:rPr>
          <w:sz w:val="24"/>
        </w:rPr>
        <w:t>.</w:t>
      </w:r>
    </w:p>
    <w:p>
      <w:pPr>
        <w:pStyle w:val="ListParagraph"/>
        <w:numPr>
          <w:ilvl w:val="3"/>
          <w:numId w:val="175"/>
        </w:numPr>
        <w:tabs>
          <w:tab w:pos="1919" w:val="left" w:leader="none"/>
        </w:tabs>
        <w:spacing w:line="240" w:lineRule="auto" w:before="120" w:after="0"/>
        <w:ind w:left="1919" w:right="417" w:hanging="567"/>
        <w:jc w:val="both"/>
        <w:rPr>
          <w:sz w:val="24"/>
        </w:rPr>
      </w:pPr>
      <w:r>
        <w:rPr>
          <w:sz w:val="24"/>
        </w:rPr>
        <w:t>If a </w:t>
      </w:r>
      <w:r>
        <w:rPr>
          <w:i/>
          <w:sz w:val="24"/>
        </w:rPr>
        <w:t>Network Service Provider </w:t>
      </w:r>
      <w:r>
        <w:rPr>
          <w:sz w:val="24"/>
        </w:rPr>
        <w:t>rejects a proposal for a </w:t>
      </w:r>
      <w:r>
        <w:rPr>
          <w:i/>
          <w:sz w:val="24"/>
        </w:rPr>
        <w:t>system strength </w:t>
      </w:r>
      <w:r>
        <w:rPr>
          <w:i/>
          <w:sz w:val="24"/>
        </w:rPr>
        <w:t>remediation scheme</w:t>
      </w:r>
      <w:r>
        <w:rPr>
          <w:sz w:val="24"/>
        </w:rPr>
        <w:t>, the </w:t>
      </w:r>
      <w:r>
        <w:rPr>
          <w:i/>
          <w:sz w:val="24"/>
        </w:rPr>
        <w:t>Network Service Provider </w:t>
      </w:r>
      <w:r>
        <w:rPr>
          <w:sz w:val="24"/>
        </w:rPr>
        <w:t>must give its reasons but has no obligation to propose a </w:t>
      </w:r>
      <w:r>
        <w:rPr>
          <w:i/>
          <w:sz w:val="24"/>
        </w:rPr>
        <w:t>system strength remediation scheme </w:t>
      </w:r>
      <w:r>
        <w:rPr>
          <w:sz w:val="24"/>
        </w:rPr>
        <w:t>that it will</w:t>
      </w:r>
      <w:r>
        <w:rPr>
          <w:spacing w:val="-2"/>
          <w:sz w:val="24"/>
        </w:rPr>
        <w:t> </w:t>
      </w:r>
      <w:r>
        <w:rPr>
          <w:sz w:val="24"/>
        </w:rPr>
        <w:t>accept.</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The </w:t>
      </w:r>
      <w:r>
        <w:rPr>
          <w:i/>
          <w:sz w:val="24"/>
        </w:rPr>
        <w:t>Connection Applicant </w:t>
      </w:r>
      <w:r>
        <w:rPr>
          <w:sz w:val="24"/>
        </w:rPr>
        <w:t>submitting a proposal for a </w:t>
      </w:r>
      <w:r>
        <w:rPr>
          <w:i/>
          <w:sz w:val="24"/>
        </w:rPr>
        <w:t>system strength </w:t>
      </w:r>
      <w:r>
        <w:rPr>
          <w:i/>
          <w:sz w:val="24"/>
        </w:rPr>
        <w:t>remediation scheme </w:t>
      </w:r>
      <w:r>
        <w:rPr>
          <w:sz w:val="24"/>
        </w:rPr>
        <w:t>rejected by a </w:t>
      </w:r>
      <w:r>
        <w:rPr>
          <w:i/>
          <w:sz w:val="24"/>
        </w:rPr>
        <w:t>Network Service Provider</w:t>
      </w:r>
      <w:r>
        <w:rPr>
          <w:i/>
          <w:spacing w:val="-7"/>
          <w:sz w:val="24"/>
        </w:rPr>
        <w:t> </w:t>
      </w:r>
      <w:r>
        <w:rPr>
          <w:sz w:val="24"/>
        </w:rPr>
        <w:t>may:</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propose an alternative </w:t>
      </w:r>
      <w:r>
        <w:rPr>
          <w:i/>
          <w:sz w:val="24"/>
        </w:rPr>
        <w:t>system strength remediation scheme </w:t>
      </w:r>
      <w:r>
        <w:rPr>
          <w:sz w:val="24"/>
        </w:rPr>
        <w:t>to be further evaluated following the process initiated under paragraph </w:t>
      </w:r>
      <w:r>
        <w:rPr>
          <w:spacing w:val="-3"/>
          <w:sz w:val="24"/>
        </w:rPr>
        <w:t>(i); </w:t>
      </w:r>
      <w:r>
        <w:rPr>
          <w:sz w:val="24"/>
        </w:rPr>
        <w:t>or</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request negotiations under paragraph</w:t>
      </w:r>
      <w:r>
        <w:rPr>
          <w:spacing w:val="-1"/>
          <w:sz w:val="24"/>
        </w:rPr>
        <w:t> </w:t>
      </w:r>
      <w:r>
        <w:rPr>
          <w:sz w:val="24"/>
        </w:rPr>
        <w:t>(o).</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If a </w:t>
      </w:r>
      <w:r>
        <w:rPr>
          <w:i/>
          <w:sz w:val="24"/>
        </w:rPr>
        <w:t>Connection Applicant </w:t>
      </w:r>
      <w:r>
        <w:rPr>
          <w:sz w:val="24"/>
        </w:rPr>
        <w:t>requests negotiations under this paragraph, the </w:t>
      </w:r>
      <w:r>
        <w:rPr>
          <w:i/>
          <w:sz w:val="24"/>
        </w:rPr>
        <w:t>Connection Applicant</w:t>
      </w:r>
      <w:r>
        <w:rPr>
          <w:sz w:val="24"/>
        </w:rPr>
        <w:t>, the </w:t>
      </w:r>
      <w:r>
        <w:rPr>
          <w:i/>
          <w:sz w:val="24"/>
        </w:rPr>
        <w:t>Network Service Provider </w:t>
      </w:r>
      <w:r>
        <w:rPr>
          <w:sz w:val="24"/>
        </w:rPr>
        <w:t>and </w:t>
      </w:r>
      <w:r>
        <w:rPr>
          <w:i/>
          <w:sz w:val="24"/>
        </w:rPr>
        <w:t>AEMO </w:t>
      </w:r>
      <w:r>
        <w:rPr>
          <w:sz w:val="24"/>
        </w:rPr>
        <w:t>must negotiate in good faith to reach agreement in respect of the proposal for a </w:t>
      </w:r>
      <w:r>
        <w:rPr>
          <w:i/>
          <w:sz w:val="24"/>
        </w:rPr>
        <w:t>system strength remediation</w:t>
      </w:r>
      <w:r>
        <w:rPr>
          <w:i/>
          <w:spacing w:val="-4"/>
          <w:sz w:val="24"/>
        </w:rPr>
        <w:t> </w:t>
      </w:r>
      <w:r>
        <w:rPr>
          <w:i/>
          <w:sz w:val="24"/>
        </w:rPr>
        <w:t>scheme</w:t>
      </w:r>
      <w:r>
        <w:rPr>
          <w:sz w:val="24"/>
        </w:rPr>
        <w:t>.</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If the matter is not resolved by negotiation under paragraph</w:t>
      </w:r>
      <w:r>
        <w:rPr>
          <w:spacing w:val="-2"/>
          <w:sz w:val="24"/>
        </w:rPr>
        <w:t> </w:t>
      </w:r>
      <w:r>
        <w:rPr>
          <w:sz w:val="24"/>
        </w:rPr>
        <w:t>(o):</w:t>
      </w:r>
    </w:p>
    <w:p>
      <w:pPr>
        <w:pStyle w:val="ListParagraph"/>
        <w:numPr>
          <w:ilvl w:val="4"/>
          <w:numId w:val="175"/>
        </w:numPr>
        <w:tabs>
          <w:tab w:pos="2486" w:val="left" w:leader="none"/>
        </w:tabs>
        <w:spacing w:line="240" w:lineRule="auto" w:before="120" w:after="0"/>
        <w:ind w:left="2486" w:right="414" w:hanging="567"/>
        <w:jc w:val="both"/>
        <w:rPr>
          <w:sz w:val="24"/>
        </w:rPr>
      </w:pPr>
      <w:r>
        <w:rPr>
          <w:sz w:val="24"/>
        </w:rPr>
        <w:t>in the case of a </w:t>
      </w:r>
      <w:r>
        <w:rPr>
          <w:i/>
          <w:sz w:val="24"/>
        </w:rPr>
        <w:t>connection </w:t>
      </w:r>
      <w:r>
        <w:rPr>
          <w:sz w:val="24"/>
        </w:rPr>
        <w:t>to a </w:t>
      </w:r>
      <w:r>
        <w:rPr>
          <w:i/>
          <w:sz w:val="24"/>
        </w:rPr>
        <w:t>transmission system </w:t>
      </w:r>
      <w:r>
        <w:rPr>
          <w:sz w:val="24"/>
        </w:rPr>
        <w:t>other than the </w:t>
      </w:r>
      <w:r>
        <w:rPr>
          <w:i/>
          <w:sz w:val="24"/>
        </w:rPr>
        <w:t>declared transmission system </w:t>
      </w:r>
      <w:r>
        <w:rPr>
          <w:sz w:val="24"/>
        </w:rPr>
        <w:t>of an </w:t>
      </w:r>
      <w:r>
        <w:rPr>
          <w:i/>
          <w:sz w:val="24"/>
        </w:rPr>
        <w:t>adoptive jurisdiction</w:t>
      </w:r>
      <w:r>
        <w:rPr>
          <w:sz w:val="24"/>
        </w:rPr>
        <w:t>, the matter may be dealt with as a dispute under rule 5.5 (but not rule 8.2);</w:t>
      </w:r>
      <w:r>
        <w:rPr>
          <w:spacing w:val="-6"/>
          <w:sz w:val="24"/>
        </w:rPr>
        <w:t> </w:t>
      </w:r>
      <w:r>
        <w:rPr>
          <w:sz w:val="24"/>
        </w:rPr>
        <w:t>or</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otherwise, may be dealt with under rule 8.2 or as a </w:t>
      </w:r>
      <w:r>
        <w:rPr>
          <w:i/>
          <w:sz w:val="24"/>
        </w:rPr>
        <w:t>distribution service </w:t>
      </w:r>
      <w:r>
        <w:rPr>
          <w:i/>
          <w:sz w:val="24"/>
        </w:rPr>
        <w:t>access dispute </w:t>
      </w:r>
      <w:r>
        <w:rPr>
          <w:sz w:val="24"/>
        </w:rPr>
        <w:t>as</w:t>
      </w:r>
      <w:r>
        <w:rPr>
          <w:spacing w:val="-2"/>
          <w:sz w:val="24"/>
        </w:rPr>
        <w:t> </w:t>
      </w:r>
      <w:r>
        <w:rPr>
          <w:sz w:val="24"/>
        </w:rPr>
        <w:t>applicable.</w:t>
      </w:r>
    </w:p>
    <w:p>
      <w:pPr>
        <w:spacing w:after="0" w:line="240" w:lineRule="auto"/>
        <w:jc w:val="both"/>
        <w:rPr>
          <w:sz w:val="24"/>
        </w:rPr>
        <w:sectPr>
          <w:pgSz w:w="11910" w:h="16840"/>
          <w:pgMar w:header="686" w:footer="637" w:top="1320" w:bottom="820" w:left="1200" w:right="1000"/>
        </w:sectPr>
      </w:pPr>
    </w:p>
    <w:p>
      <w:pPr>
        <w:pStyle w:val="ListParagraph"/>
        <w:numPr>
          <w:ilvl w:val="3"/>
          <w:numId w:val="175"/>
        </w:numPr>
        <w:tabs>
          <w:tab w:pos="1919" w:val="left" w:leader="none"/>
        </w:tabs>
        <w:spacing w:line="240" w:lineRule="auto" w:before="83" w:after="0"/>
        <w:ind w:left="1919" w:right="414" w:hanging="567"/>
        <w:jc w:val="both"/>
        <w:rPr>
          <w:sz w:val="24"/>
        </w:rPr>
      </w:pPr>
      <w:r>
        <w:rPr>
          <w:sz w:val="24"/>
        </w:rPr>
        <w:t>The parties to a </w:t>
      </w:r>
      <w:r>
        <w:rPr>
          <w:i/>
          <w:sz w:val="24"/>
        </w:rPr>
        <w:t>connection agreement </w:t>
      </w:r>
      <w:r>
        <w:rPr>
          <w:sz w:val="24"/>
        </w:rPr>
        <w:t>containing a </w:t>
      </w:r>
      <w:r>
        <w:rPr>
          <w:i/>
          <w:sz w:val="24"/>
        </w:rPr>
        <w:t>system strength </w:t>
      </w:r>
      <w:r>
        <w:rPr>
          <w:i/>
          <w:sz w:val="24"/>
        </w:rPr>
        <w:t>remediation scheme </w:t>
      </w:r>
      <w:r>
        <w:rPr>
          <w:sz w:val="24"/>
        </w:rPr>
        <w:t>must not modify the scheme unless the modified scheme has been agreed or determined under this clause. A </w:t>
      </w:r>
      <w:r>
        <w:rPr>
          <w:i/>
          <w:sz w:val="24"/>
        </w:rPr>
        <w:t>Registered </w:t>
      </w:r>
      <w:r>
        <w:rPr>
          <w:i/>
          <w:sz w:val="24"/>
        </w:rPr>
        <w:t>Participant </w:t>
      </w:r>
      <w:r>
        <w:rPr>
          <w:sz w:val="24"/>
        </w:rPr>
        <w:t>proposing to modify a </w:t>
      </w:r>
      <w:r>
        <w:rPr>
          <w:i/>
          <w:sz w:val="24"/>
        </w:rPr>
        <w:t>system strength remediation scheme </w:t>
      </w:r>
      <w:r>
        <w:rPr>
          <w:sz w:val="24"/>
        </w:rPr>
        <w:t>must submit its proposal for modification to the </w:t>
      </w:r>
      <w:r>
        <w:rPr>
          <w:i/>
          <w:sz w:val="24"/>
        </w:rPr>
        <w:t>Network Service Provider </w:t>
      </w:r>
      <w:r>
        <w:rPr>
          <w:sz w:val="24"/>
        </w:rPr>
        <w:t>for evaluation by the </w:t>
      </w:r>
      <w:r>
        <w:rPr>
          <w:i/>
          <w:sz w:val="24"/>
        </w:rPr>
        <w:t>Network Service Provider </w:t>
      </w:r>
      <w:r>
        <w:rPr>
          <w:sz w:val="24"/>
        </w:rPr>
        <w:t>and </w:t>
      </w:r>
      <w:r>
        <w:rPr>
          <w:i/>
          <w:sz w:val="24"/>
        </w:rPr>
        <w:t>AEMO </w:t>
      </w:r>
      <w:r>
        <w:rPr>
          <w:sz w:val="24"/>
        </w:rPr>
        <w:t>under this clause. Once agreed or determined, the modified scheme must be incorporated as an amendment to the </w:t>
      </w:r>
      <w:r>
        <w:rPr>
          <w:i/>
          <w:sz w:val="24"/>
        </w:rPr>
        <w:t>connection agreement </w:t>
      </w:r>
      <w:r>
        <w:rPr>
          <w:sz w:val="24"/>
        </w:rPr>
        <w:t>and notified to </w:t>
      </w:r>
      <w:r>
        <w:rPr>
          <w:i/>
          <w:sz w:val="24"/>
        </w:rPr>
        <w:t>AEMO </w:t>
      </w:r>
      <w:r>
        <w:rPr>
          <w:sz w:val="24"/>
        </w:rPr>
        <w:t>under clause 5.3.7(g).</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1" w:right="0" w:hanging="1134"/>
        <w:jc w:val="left"/>
      </w:pPr>
      <w:bookmarkStart w:name="5.3.5 Preparation of offer to connect" w:id="435"/>
      <w:bookmarkEnd w:id="435"/>
      <w:r>
        <w:rPr>
          <w:b w:val="0"/>
        </w:rPr>
      </w:r>
      <w:bookmarkStart w:name="_bookmark183" w:id="436"/>
      <w:bookmarkEnd w:id="436"/>
      <w:r>
        <w:rPr>
          <w:b w:val="0"/>
        </w:rPr>
      </w:r>
      <w:bookmarkStart w:name="_bookmark183" w:id="437"/>
      <w:bookmarkEnd w:id="437"/>
      <w:r>
        <w:rPr/>
        <w:t>Preparat</w:t>
      </w:r>
      <w:r>
        <w:rPr/>
        <w:t>ion of offer to</w:t>
      </w:r>
      <w:r>
        <w:rPr>
          <w:spacing w:val="-2"/>
        </w:rPr>
        <w:t> </w:t>
      </w:r>
      <w:r>
        <w:rPr/>
        <w:t>connect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(e)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The Network Service Provider to whom the application to connect is submitted must proceed to prepare an offer to connect in response in accordance with technical standards set out in jurisdictional electricity legislation.</w:t>
      </w:r>
    </w:p>
    <w:p>
      <w:pPr>
        <w:pStyle w:val="ListParagraph"/>
        <w:numPr>
          <w:ilvl w:val="3"/>
          <w:numId w:val="175"/>
        </w:numPr>
        <w:tabs>
          <w:tab w:pos="1919" w:val="left" w:leader="none"/>
        </w:tabs>
        <w:spacing w:line="240" w:lineRule="auto" w:before="120" w:after="0"/>
        <w:ind w:left="1919" w:right="413" w:hanging="567"/>
        <w:jc w:val="both"/>
        <w:rPr>
          <w:sz w:val="24"/>
        </w:rPr>
      </w:pPr>
      <w:r>
        <w:rPr>
          <w:sz w:val="24"/>
        </w:rPr>
        <w:t>The </w:t>
      </w:r>
      <w:r>
        <w:rPr>
          <w:i/>
          <w:sz w:val="24"/>
        </w:rPr>
        <w:t>Network Service Provider </w:t>
      </w:r>
      <w:r>
        <w:rPr>
          <w:sz w:val="24"/>
        </w:rPr>
        <w:t>must use its reasonable endeavours to advise the </w:t>
      </w:r>
      <w:r>
        <w:rPr>
          <w:i/>
          <w:sz w:val="24"/>
        </w:rPr>
        <w:t>Connection Applicant </w:t>
      </w:r>
      <w:r>
        <w:rPr>
          <w:sz w:val="24"/>
        </w:rPr>
        <w:t>of all risks and obligations in respect of the proposed </w:t>
      </w:r>
      <w:r>
        <w:rPr>
          <w:i/>
          <w:sz w:val="24"/>
        </w:rPr>
        <w:t>connection </w:t>
      </w:r>
      <w:r>
        <w:rPr>
          <w:sz w:val="24"/>
        </w:rPr>
        <w:t>associated with planning and environmental laws not contained in the</w:t>
      </w:r>
      <w:r>
        <w:rPr>
          <w:spacing w:val="-1"/>
          <w:sz w:val="24"/>
        </w:rPr>
        <w:t> </w:t>
      </w:r>
      <w:r>
        <w:rPr>
          <w:i/>
          <w:sz w:val="24"/>
        </w:rPr>
        <w:t>Rules</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The </w:t>
      </w:r>
      <w:r>
        <w:rPr>
          <w:i/>
          <w:sz w:val="24"/>
        </w:rPr>
        <w:t>Connection Applicant </w:t>
      </w:r>
      <w:r>
        <w:rPr>
          <w:sz w:val="24"/>
        </w:rPr>
        <w:t>must provide such other additional information in relation to the </w:t>
      </w:r>
      <w:r>
        <w:rPr>
          <w:i/>
          <w:sz w:val="24"/>
        </w:rPr>
        <w:t>application to connect </w:t>
      </w:r>
      <w:r>
        <w:rPr>
          <w:sz w:val="24"/>
        </w:rPr>
        <w:t>as the </w:t>
      </w:r>
      <w:r>
        <w:rPr>
          <w:i/>
          <w:sz w:val="24"/>
        </w:rPr>
        <w:t>Network Service Provider </w:t>
      </w:r>
      <w:r>
        <w:rPr>
          <w:sz w:val="24"/>
        </w:rPr>
        <w:t>reasonably requires to assess the technical performance and costs of </w:t>
      </w:r>
      <w:r>
        <w:rPr>
          <w:spacing w:val="-5"/>
          <w:sz w:val="24"/>
        </w:rPr>
        <w:t>the </w:t>
      </w:r>
      <w:r>
        <w:rPr>
          <w:sz w:val="24"/>
        </w:rPr>
        <w:t>required </w:t>
      </w:r>
      <w:r>
        <w:rPr>
          <w:i/>
          <w:sz w:val="24"/>
        </w:rPr>
        <w:t>connection </w:t>
      </w:r>
      <w:r>
        <w:rPr>
          <w:sz w:val="24"/>
        </w:rPr>
        <w:t>(including the details of any person undertaking the construction, detailed design and/or ownership of </w:t>
      </w:r>
      <w:r>
        <w:rPr>
          <w:i/>
          <w:sz w:val="24"/>
        </w:rPr>
        <w:t>contestable </w:t>
      </w:r>
      <w:r>
        <w:rPr>
          <w:i/>
          <w:spacing w:val="-3"/>
          <w:sz w:val="24"/>
        </w:rPr>
        <w:t>IUSA </w:t>
      </w:r>
      <w:r>
        <w:rPr>
          <w:i/>
          <w:sz w:val="24"/>
        </w:rPr>
        <w:t>components</w:t>
      </w:r>
      <w:r>
        <w:rPr>
          <w:sz w:val="24"/>
        </w:rPr>
        <w:t>) to enable the </w:t>
      </w:r>
      <w:r>
        <w:rPr>
          <w:i/>
          <w:sz w:val="24"/>
        </w:rPr>
        <w:t>Network Service Provider </w:t>
      </w:r>
      <w:r>
        <w:rPr>
          <w:sz w:val="24"/>
        </w:rPr>
        <w:t>to prepare an offer to </w:t>
      </w:r>
      <w:r>
        <w:rPr>
          <w:i/>
          <w:sz w:val="24"/>
        </w:rPr>
        <w:t>connect</w:t>
      </w:r>
      <w:r>
        <w:rPr>
          <w:sz w:val="24"/>
        </w:rPr>
        <w:t>. to prepare an offer to</w:t>
      </w:r>
      <w:r>
        <w:rPr>
          <w:spacing w:val="-1"/>
          <w:sz w:val="24"/>
        </w:rPr>
        <w:t> </w:t>
      </w:r>
      <w:r>
        <w:rPr>
          <w:i/>
          <w:sz w:val="24"/>
        </w:rPr>
        <w:t>connect</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So as to maintain levels of service and quality of </w:t>
      </w:r>
      <w:r>
        <w:rPr>
          <w:i/>
          <w:sz w:val="24"/>
        </w:rPr>
        <w:t>supply </w:t>
      </w:r>
      <w:r>
        <w:rPr>
          <w:sz w:val="24"/>
        </w:rPr>
        <w:t>to existing </w:t>
      </w:r>
      <w:r>
        <w:rPr>
          <w:i/>
          <w:sz w:val="24"/>
        </w:rPr>
        <w:t>Registered Participants </w:t>
      </w:r>
      <w:r>
        <w:rPr>
          <w:sz w:val="24"/>
        </w:rPr>
        <w:t>in accordance with the </w:t>
      </w:r>
      <w:r>
        <w:rPr>
          <w:i/>
          <w:sz w:val="24"/>
        </w:rPr>
        <w:t>Rules</w:t>
      </w:r>
      <w:r>
        <w:rPr>
          <w:sz w:val="24"/>
        </w:rPr>
        <w:t>, the </w:t>
      </w:r>
      <w:r>
        <w:rPr>
          <w:i/>
          <w:sz w:val="24"/>
        </w:rPr>
        <w:t>Network Service </w:t>
      </w:r>
      <w:r>
        <w:rPr>
          <w:i/>
          <w:sz w:val="24"/>
        </w:rPr>
        <w:t>Provider </w:t>
      </w:r>
      <w:r>
        <w:rPr>
          <w:sz w:val="24"/>
        </w:rPr>
        <w:t>in preparing the offer to </w:t>
      </w:r>
      <w:r>
        <w:rPr>
          <w:i/>
          <w:sz w:val="24"/>
        </w:rPr>
        <w:t>connect </w:t>
      </w:r>
      <w:r>
        <w:rPr>
          <w:sz w:val="24"/>
        </w:rPr>
        <w:t>must consult with </w:t>
      </w:r>
      <w:r>
        <w:rPr>
          <w:i/>
          <w:sz w:val="24"/>
        </w:rPr>
        <w:t>NTESMO </w:t>
      </w:r>
      <w:r>
        <w:rPr>
          <w:sz w:val="24"/>
        </w:rPr>
        <w:t>and other </w:t>
      </w:r>
      <w:r>
        <w:rPr>
          <w:i/>
          <w:sz w:val="24"/>
        </w:rPr>
        <w:t>Registered Participants </w:t>
      </w:r>
      <w:r>
        <w:rPr>
          <w:sz w:val="24"/>
        </w:rPr>
        <w:t>with whom it has </w:t>
      </w:r>
      <w:r>
        <w:rPr>
          <w:i/>
          <w:sz w:val="24"/>
        </w:rPr>
        <w:t>connection agreements</w:t>
      </w:r>
      <w:r>
        <w:rPr>
          <w:sz w:val="24"/>
        </w:rPr>
        <w:t>, if the </w:t>
      </w:r>
      <w:r>
        <w:rPr>
          <w:i/>
          <w:sz w:val="24"/>
        </w:rPr>
        <w:t>Network Service Provider </w:t>
      </w:r>
      <w:r>
        <w:rPr>
          <w:sz w:val="24"/>
        </w:rPr>
        <w:t>believes in its reasonable opinion, </w:t>
      </w:r>
      <w:r>
        <w:rPr>
          <w:spacing w:val="-4"/>
          <w:sz w:val="24"/>
        </w:rPr>
        <w:t>that </w:t>
      </w:r>
      <w:r>
        <w:rPr>
          <w:sz w:val="24"/>
        </w:rPr>
        <w:t>compliance with the terms and conditions of those </w:t>
      </w:r>
      <w:r>
        <w:rPr>
          <w:i/>
          <w:sz w:val="24"/>
        </w:rPr>
        <w:t>connection agreements </w:t>
      </w:r>
      <w:r>
        <w:rPr>
          <w:sz w:val="24"/>
        </w:rPr>
        <w:t>will be affected, in order to assess the </w:t>
      </w:r>
      <w:r>
        <w:rPr>
          <w:i/>
          <w:sz w:val="24"/>
        </w:rPr>
        <w:t>application to connect </w:t>
      </w:r>
      <w:r>
        <w:rPr>
          <w:sz w:val="24"/>
        </w:rPr>
        <w:t>and</w:t>
      </w:r>
      <w:r>
        <w:rPr>
          <w:spacing w:val="-10"/>
          <w:sz w:val="24"/>
        </w:rPr>
        <w:t> </w:t>
      </w:r>
      <w:r>
        <w:rPr>
          <w:sz w:val="24"/>
        </w:rPr>
        <w:t>determine:</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technical requirements for the equipment to be</w:t>
      </w:r>
      <w:r>
        <w:rPr>
          <w:spacing w:val="-2"/>
          <w:sz w:val="24"/>
        </w:rPr>
        <w:t> </w:t>
      </w:r>
      <w:r>
        <w:rPr>
          <w:i/>
          <w:sz w:val="24"/>
        </w:rPr>
        <w:t>connected</w:t>
      </w:r>
      <w:r>
        <w:rPr>
          <w:sz w:val="24"/>
        </w:rPr>
        <w:t>;</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extent and cost of </w:t>
      </w:r>
      <w:r>
        <w:rPr>
          <w:i/>
          <w:sz w:val="24"/>
        </w:rPr>
        <w:t>augmentations </w:t>
      </w:r>
      <w:r>
        <w:rPr>
          <w:sz w:val="24"/>
        </w:rPr>
        <w:t>and changes to all</w:t>
      </w:r>
      <w:r>
        <w:rPr>
          <w:spacing w:val="50"/>
          <w:sz w:val="24"/>
        </w:rPr>
        <w:t> </w:t>
      </w:r>
      <w:r>
        <w:rPr>
          <w:sz w:val="24"/>
        </w:rPr>
        <w:t>affected</w:t>
      </w:r>
    </w:p>
    <w:p>
      <w:pPr>
        <w:spacing w:before="0"/>
        <w:ind w:left="2486" w:right="0" w:firstLine="0"/>
        <w:jc w:val="left"/>
        <w:rPr>
          <w:sz w:val="24"/>
        </w:rPr>
      </w:pPr>
      <w:r>
        <w:rPr>
          <w:i/>
          <w:sz w:val="24"/>
        </w:rPr>
        <w:t>networks</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any consequent change in </w:t>
      </w:r>
      <w:r>
        <w:rPr>
          <w:i/>
          <w:sz w:val="24"/>
        </w:rPr>
        <w:t>network service </w:t>
      </w:r>
      <w:r>
        <w:rPr>
          <w:sz w:val="24"/>
        </w:rPr>
        <w:t>charges;</w:t>
      </w:r>
      <w:r>
        <w:rPr>
          <w:spacing w:val="-4"/>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4"/>
          <w:numId w:val="175"/>
        </w:numPr>
        <w:tabs>
          <w:tab w:pos="2486" w:val="left" w:leader="none"/>
        </w:tabs>
        <w:spacing w:line="240" w:lineRule="auto" w:before="83" w:after="0"/>
        <w:ind w:left="2486" w:right="415" w:hanging="567"/>
        <w:jc w:val="both"/>
        <w:rPr>
          <w:sz w:val="24"/>
        </w:rPr>
      </w:pPr>
      <w:r>
        <w:rPr>
          <w:sz w:val="24"/>
        </w:rPr>
        <w:t>any possible material effect of this new </w:t>
      </w:r>
      <w:r>
        <w:rPr>
          <w:i/>
          <w:sz w:val="24"/>
        </w:rPr>
        <w:t>connection </w:t>
      </w:r>
      <w:r>
        <w:rPr>
          <w:sz w:val="24"/>
        </w:rPr>
        <w:t>on the </w:t>
      </w:r>
      <w:r>
        <w:rPr>
          <w:i/>
          <w:sz w:val="24"/>
        </w:rPr>
        <w:t>network </w:t>
      </w:r>
      <w:r>
        <w:rPr>
          <w:i/>
          <w:sz w:val="24"/>
        </w:rPr>
        <w:t>power transfer capability </w:t>
      </w:r>
      <w:r>
        <w:rPr>
          <w:sz w:val="24"/>
        </w:rPr>
        <w:t>including that of other</w:t>
      </w:r>
      <w:r>
        <w:rPr>
          <w:spacing w:val="-2"/>
          <w:sz w:val="24"/>
        </w:rPr>
        <w:t> </w:t>
      </w:r>
      <w:r>
        <w:rPr>
          <w:i/>
          <w:sz w:val="24"/>
        </w:rPr>
        <w:t>networks</w:t>
      </w:r>
      <w:r>
        <w:rPr>
          <w:sz w:val="24"/>
        </w:rPr>
        <w:t>.</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The </w:t>
      </w:r>
      <w:r>
        <w:rPr>
          <w:i/>
          <w:sz w:val="24"/>
        </w:rPr>
        <w:t>Network Service Provider </w:t>
      </w:r>
      <w:r>
        <w:rPr>
          <w:sz w:val="24"/>
        </w:rPr>
        <w:t>preparing the offer to </w:t>
      </w:r>
      <w:r>
        <w:rPr>
          <w:i/>
          <w:sz w:val="24"/>
        </w:rPr>
        <w:t>connect </w:t>
      </w:r>
      <w:r>
        <w:rPr>
          <w:sz w:val="24"/>
        </w:rPr>
        <w:t>must specify in reasonable detail any </w:t>
      </w:r>
      <w:r>
        <w:rPr>
          <w:i/>
          <w:sz w:val="24"/>
        </w:rPr>
        <w:t>system strength connection works </w:t>
      </w:r>
      <w:r>
        <w:rPr>
          <w:sz w:val="24"/>
        </w:rPr>
        <w:t>to be undertaken by the </w:t>
      </w:r>
      <w:r>
        <w:rPr>
          <w:i/>
          <w:sz w:val="24"/>
        </w:rPr>
        <w:t>Network Service</w:t>
      </w:r>
      <w:r>
        <w:rPr>
          <w:i/>
          <w:spacing w:val="-1"/>
          <w:sz w:val="24"/>
        </w:rPr>
        <w:t> </w:t>
      </w:r>
      <w:r>
        <w:rPr>
          <w:i/>
          <w:sz w:val="24"/>
        </w:rPr>
        <w:t>Provider</w:t>
      </w:r>
      <w:r>
        <w:rPr>
          <w:sz w:val="24"/>
        </w:rPr>
        <w:t>.</w:t>
      </w:r>
    </w:p>
    <w:p>
      <w:pPr>
        <w:pStyle w:val="ListParagraph"/>
        <w:numPr>
          <w:ilvl w:val="3"/>
          <w:numId w:val="175"/>
        </w:numPr>
        <w:tabs>
          <w:tab w:pos="1920" w:val="left" w:leader="none"/>
        </w:tabs>
        <w:spacing w:line="240" w:lineRule="auto" w:before="120" w:after="0"/>
        <w:ind w:left="1919" w:right="0" w:hanging="568"/>
        <w:jc w:val="both"/>
        <w:rPr>
          <w:sz w:val="24"/>
        </w:rPr>
      </w:pPr>
      <w:r>
        <w:rPr>
          <w:sz w:val="24"/>
        </w:rPr>
        <w:t>[</w:t>
      </w:r>
      <w:r>
        <w:rPr>
          <w:b/>
          <w:sz w:val="24"/>
        </w:rPr>
        <w:t>Deleted</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preparing the offer to </w:t>
      </w:r>
      <w:r>
        <w:rPr>
          <w:i/>
          <w:sz w:val="24"/>
        </w:rPr>
        <w:t>connect </w:t>
      </w:r>
      <w:r>
        <w:rPr>
          <w:sz w:val="24"/>
        </w:rPr>
        <w:t>must include provision for payment of the reasonable costs associated with </w:t>
      </w:r>
      <w:r>
        <w:rPr>
          <w:i/>
          <w:sz w:val="24"/>
        </w:rPr>
        <w:t>remote </w:t>
      </w:r>
      <w:r>
        <w:rPr>
          <w:i/>
          <w:sz w:val="24"/>
        </w:rPr>
        <w:t>control equipment </w:t>
      </w:r>
      <w:r>
        <w:rPr>
          <w:sz w:val="24"/>
        </w:rPr>
        <w:t>and </w:t>
      </w:r>
      <w:r>
        <w:rPr>
          <w:i/>
          <w:sz w:val="24"/>
        </w:rPr>
        <w:t>remote monitoring equipment </w:t>
      </w:r>
      <w:r>
        <w:rPr>
          <w:sz w:val="24"/>
        </w:rPr>
        <w:t>as required by </w:t>
      </w:r>
      <w:r>
        <w:rPr>
          <w:i/>
          <w:sz w:val="24"/>
        </w:rPr>
        <w:t>NTESMO </w:t>
      </w:r>
      <w:r>
        <w:rPr>
          <w:sz w:val="24"/>
        </w:rPr>
        <w:t>and it may be a condition of the offer to </w:t>
      </w:r>
      <w:r>
        <w:rPr>
          <w:i/>
          <w:sz w:val="24"/>
        </w:rPr>
        <w:t>connect </w:t>
      </w:r>
      <w:r>
        <w:rPr>
          <w:sz w:val="24"/>
        </w:rPr>
        <w:t>that </w:t>
      </w:r>
      <w:r>
        <w:rPr>
          <w:spacing w:val="-4"/>
          <w:sz w:val="24"/>
        </w:rPr>
        <w:t>the </w:t>
      </w:r>
      <w:r>
        <w:rPr>
          <w:i/>
          <w:sz w:val="24"/>
        </w:rPr>
        <w:t>Connection Applicant </w:t>
      </w:r>
      <w:r>
        <w:rPr>
          <w:sz w:val="24"/>
        </w:rPr>
        <w:t>pay such</w:t>
      </w:r>
      <w:r>
        <w:rPr>
          <w:spacing w:val="-2"/>
          <w:sz w:val="24"/>
        </w:rPr>
        <w:t> </w:t>
      </w:r>
      <w:r>
        <w:rPr>
          <w:sz w:val="24"/>
        </w:rPr>
        <w:t>costs.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1" w:right="0" w:hanging="1134"/>
        <w:jc w:val="left"/>
      </w:pPr>
      <w:bookmarkStart w:name="5.3.6 Offer to connect" w:id="438"/>
      <w:bookmarkEnd w:id="438"/>
      <w:r>
        <w:rPr>
          <w:b w:val="0"/>
        </w:rPr>
      </w:r>
      <w:bookmarkStart w:name="_bookmark184" w:id="439"/>
      <w:bookmarkEnd w:id="439"/>
      <w:r>
        <w:rPr>
          <w:b w:val="0"/>
        </w:rPr>
      </w:r>
      <w:bookmarkStart w:name="_bookmark184" w:id="440"/>
      <w:bookmarkEnd w:id="440"/>
      <w:r>
        <w:rPr/>
        <w:t>Offer</w:t>
      </w:r>
      <w:r>
        <w:rPr/>
        <w:t> to</w:t>
      </w:r>
      <w:r>
        <w:rPr>
          <w:spacing w:val="-1"/>
        </w:rPr>
        <w:t> </w:t>
      </w:r>
      <w:r>
        <w:rPr/>
        <w:t>connect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(a2)(3)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paragraphs (a1) and (a2)(3)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processing an </w:t>
      </w:r>
      <w:r>
        <w:rPr>
          <w:i/>
          <w:sz w:val="24"/>
        </w:rPr>
        <w:t>application to connect </w:t>
      </w:r>
      <w:r>
        <w:rPr>
          <w:sz w:val="24"/>
        </w:rPr>
        <w:t>must make an offer to </w:t>
      </w:r>
      <w:r>
        <w:rPr>
          <w:i/>
          <w:sz w:val="24"/>
        </w:rPr>
        <w:t>connect </w:t>
      </w:r>
      <w:r>
        <w:rPr>
          <w:sz w:val="24"/>
        </w:rPr>
        <w:t>the </w:t>
      </w:r>
      <w:r>
        <w:rPr>
          <w:i/>
          <w:sz w:val="24"/>
        </w:rPr>
        <w:t>Connection Applicant's facilities </w:t>
      </w:r>
      <w:r>
        <w:rPr>
          <w:sz w:val="24"/>
        </w:rPr>
        <w:t>to the </w:t>
      </w:r>
      <w:r>
        <w:rPr>
          <w:i/>
          <w:sz w:val="24"/>
        </w:rPr>
        <w:t>network </w:t>
      </w:r>
      <w:r>
        <w:rPr>
          <w:sz w:val="24"/>
        </w:rPr>
        <w:t>within the following</w:t>
      </w:r>
      <w:r>
        <w:rPr>
          <w:spacing w:val="-2"/>
          <w:sz w:val="24"/>
        </w:rPr>
        <w:t> </w:t>
      </w:r>
      <w:r>
        <w:rPr>
          <w:sz w:val="24"/>
        </w:rPr>
        <w:t>timeframes:</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where the </w:t>
      </w:r>
      <w:r>
        <w:rPr>
          <w:i/>
          <w:sz w:val="24"/>
        </w:rPr>
        <w:t>application to connect </w:t>
      </w:r>
      <w:r>
        <w:rPr>
          <w:sz w:val="24"/>
        </w:rPr>
        <w:t>was made under clause 5.3.4(a), the timeframe specified in the </w:t>
      </w:r>
      <w:r>
        <w:rPr>
          <w:i/>
          <w:sz w:val="24"/>
        </w:rPr>
        <w:t>preliminary program</w:t>
      </w:r>
      <w:r>
        <w:rPr>
          <w:sz w:val="24"/>
        </w:rPr>
        <w:t>, subject to clause 5.3.3(b)(6); and</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where the </w:t>
      </w:r>
      <w:r>
        <w:rPr>
          <w:i/>
          <w:sz w:val="24"/>
        </w:rPr>
        <w:t>application to connect </w:t>
      </w:r>
      <w:r>
        <w:rPr>
          <w:sz w:val="24"/>
        </w:rPr>
        <w:t>was made under clause 5.3A.9(b), a period of time no longer than 4 months from the date of receipt of the </w:t>
      </w:r>
      <w:r>
        <w:rPr>
          <w:i/>
          <w:sz w:val="24"/>
        </w:rPr>
        <w:t>application to connect </w:t>
      </w:r>
      <w:r>
        <w:rPr>
          <w:sz w:val="24"/>
        </w:rPr>
        <w:t>and any additional information requested under clause 5.3A.9(d), unless agreed</w:t>
      </w:r>
      <w:r>
        <w:rPr>
          <w:spacing w:val="-2"/>
          <w:sz w:val="24"/>
        </w:rPr>
        <w:t> </w:t>
      </w:r>
      <w:r>
        <w:rPr>
          <w:sz w:val="24"/>
        </w:rPr>
        <w:t>otherwise.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4" w:hanging="567"/>
        <w:jc w:val="both"/>
        <w:rPr>
          <w:sz w:val="24"/>
        </w:rPr>
      </w:pPr>
      <w:r>
        <w:rPr>
          <w:sz w:val="24"/>
        </w:rPr>
        <w:t>(a1) The </w:t>
      </w:r>
      <w:r>
        <w:rPr>
          <w:i/>
          <w:sz w:val="24"/>
        </w:rPr>
        <w:t>Network Service Provider </w:t>
      </w:r>
      <w:r>
        <w:rPr>
          <w:sz w:val="24"/>
        </w:rPr>
        <w:t>may amend the time period referred to in paragraph (a)(1) to allow for any additional time taken in excess of the period allowed in the </w:t>
      </w:r>
      <w:r>
        <w:rPr>
          <w:i/>
          <w:sz w:val="24"/>
        </w:rPr>
        <w:t>preliminary program </w:t>
      </w:r>
      <w:r>
        <w:rPr>
          <w:sz w:val="24"/>
        </w:rPr>
        <w:t>for the negotiation of access standards, where allowed under </w:t>
      </w:r>
      <w:r>
        <w:rPr>
          <w:i/>
          <w:sz w:val="24"/>
        </w:rPr>
        <w:t>jurisdictional electricity</w:t>
      </w:r>
      <w:r>
        <w:rPr>
          <w:i/>
          <w:spacing w:val="-8"/>
          <w:sz w:val="24"/>
        </w:rPr>
        <w:t> </w:t>
      </w:r>
      <w:r>
        <w:rPr>
          <w:i/>
          <w:sz w:val="24"/>
        </w:rPr>
        <w:t>legislation</w:t>
      </w:r>
      <w:r>
        <w:rPr>
          <w:sz w:val="24"/>
        </w:rPr>
        <w:t>.</w:t>
      </w:r>
    </w:p>
    <w:p>
      <w:pPr>
        <w:pStyle w:val="BodyText"/>
        <w:ind w:left="1919" w:right="415"/>
      </w:pPr>
      <w:r>
        <w:rPr/>
        <w:t>(a2) In relation to the timeframes fixed in paragraph (a)(2), for the purposes of calculating elapsed time, the following periods shall be</w:t>
      </w:r>
      <w:r>
        <w:rPr>
          <w:spacing w:val="-4"/>
        </w:rPr>
        <w:t> </w:t>
      </w:r>
      <w:r>
        <w:rPr/>
        <w:t>disregarded:</w:t>
      </w:r>
    </w:p>
    <w:p>
      <w:pPr>
        <w:pStyle w:val="ListParagraph"/>
        <w:numPr>
          <w:ilvl w:val="0"/>
          <w:numId w:val="176"/>
        </w:numPr>
        <w:tabs>
          <w:tab w:pos="2486" w:val="left" w:leader="none"/>
        </w:tabs>
        <w:spacing w:line="240" w:lineRule="auto" w:before="120" w:after="0"/>
        <w:ind w:left="2486" w:right="415" w:hanging="567"/>
        <w:jc w:val="both"/>
        <w:rPr>
          <w:sz w:val="24"/>
        </w:rPr>
      </w:pPr>
      <w:r>
        <w:rPr>
          <w:sz w:val="24"/>
        </w:rPr>
        <w:t>the period that commences on the day when a dispute is initiated under clause 8.2.4(a) and ends of the day on which the dispute is withdrawn or is resolved in accordance with clauses 8.2.6D or 8.2.9(a);</w:t>
      </w:r>
    </w:p>
    <w:p>
      <w:pPr>
        <w:spacing w:after="0" w:line="240" w:lineRule="auto"/>
        <w:jc w:val="both"/>
        <w:rPr>
          <w:sz w:val="24"/>
        </w:rPr>
        <w:sectPr>
          <w:pgSz w:w="11910" w:h="16840"/>
          <w:pgMar w:header="686" w:footer="637" w:top="1320" w:bottom="820" w:left="1200" w:right="1000"/>
        </w:sectPr>
      </w:pPr>
    </w:p>
    <w:p>
      <w:pPr>
        <w:pStyle w:val="ListParagraph"/>
        <w:numPr>
          <w:ilvl w:val="0"/>
          <w:numId w:val="176"/>
        </w:numPr>
        <w:tabs>
          <w:tab w:pos="2486" w:val="left" w:leader="none"/>
        </w:tabs>
        <w:spacing w:line="240" w:lineRule="auto" w:before="83" w:after="0"/>
        <w:ind w:left="2485" w:right="0" w:hanging="567"/>
        <w:jc w:val="both"/>
        <w:rPr>
          <w:sz w:val="24"/>
        </w:rPr>
      </w:pPr>
      <w:r>
        <w:rPr>
          <w:sz w:val="24"/>
        </w:rPr>
        <w:t>any time taken to resolve a </w:t>
      </w:r>
      <w:r>
        <w:rPr>
          <w:i/>
          <w:sz w:val="24"/>
        </w:rPr>
        <w:t>distribution services access dispute</w:t>
      </w:r>
      <w:r>
        <w:rPr>
          <w:sz w:val="24"/>
        </w:rPr>
        <w:t>;</w:t>
      </w:r>
      <w:r>
        <w:rPr>
          <w:spacing w:val="-7"/>
          <w:sz w:val="24"/>
        </w:rPr>
        <w:t> </w:t>
      </w:r>
      <w:r>
        <w:rPr>
          <w:sz w:val="24"/>
        </w:rPr>
        <w:t>and</w:t>
      </w:r>
    </w:p>
    <w:p>
      <w:pPr>
        <w:pStyle w:val="ListParagraph"/>
        <w:numPr>
          <w:ilvl w:val="0"/>
          <w:numId w:val="176"/>
        </w:numPr>
        <w:tabs>
          <w:tab w:pos="2486" w:val="left" w:leader="none"/>
        </w:tabs>
        <w:spacing w:line="240" w:lineRule="auto" w:before="120" w:after="0"/>
        <w:ind w:left="2486" w:right="415" w:hanging="567"/>
        <w:jc w:val="both"/>
        <w:rPr>
          <w:sz w:val="24"/>
        </w:rPr>
      </w:pPr>
      <w:r>
        <w:rPr>
          <w:sz w:val="24"/>
        </w:rPr>
        <w:t>any time taken by </w:t>
      </w:r>
      <w:r>
        <w:rPr>
          <w:i/>
          <w:sz w:val="24"/>
        </w:rPr>
        <w:t>AEMO </w:t>
      </w:r>
      <w:r>
        <w:rPr>
          <w:sz w:val="24"/>
        </w:rPr>
        <w:t>to respond under clause 5.3.4B(j) in excess of 20 </w:t>
      </w:r>
      <w:r>
        <w:rPr>
          <w:i/>
          <w:sz w:val="24"/>
        </w:rPr>
        <w:t>business days</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In relation to an </w:t>
      </w:r>
      <w:r>
        <w:rPr>
          <w:i/>
          <w:sz w:val="24"/>
        </w:rPr>
        <w:t>application to connect </w:t>
      </w:r>
      <w:r>
        <w:rPr>
          <w:sz w:val="24"/>
        </w:rPr>
        <w:t>made under clause 5.3.4(a), the offer to </w:t>
      </w:r>
      <w:r>
        <w:rPr>
          <w:i/>
          <w:sz w:val="24"/>
        </w:rPr>
        <w:t>connect </w:t>
      </w:r>
      <w:r>
        <w:rPr>
          <w:sz w:val="24"/>
        </w:rPr>
        <w:t>must contain the proposed terms and conditions for </w:t>
      </w:r>
      <w:r>
        <w:rPr>
          <w:i/>
          <w:sz w:val="24"/>
        </w:rPr>
        <w:t>connection </w:t>
      </w:r>
      <w:r>
        <w:rPr>
          <w:sz w:val="24"/>
        </w:rPr>
        <w:t>to the </w:t>
      </w:r>
      <w:r>
        <w:rPr>
          <w:i/>
          <w:sz w:val="24"/>
        </w:rPr>
        <w:t>network</w:t>
      </w:r>
      <w:r>
        <w:rPr>
          <w:i/>
          <w:spacing w:val="-1"/>
          <w:sz w:val="24"/>
        </w:rPr>
        <w:t> </w:t>
      </w:r>
      <w:r>
        <w:rPr>
          <w:sz w:val="24"/>
        </w:rPr>
        <w:t>including:</w:t>
      </w:r>
    </w:p>
    <w:p>
      <w:pPr>
        <w:pStyle w:val="ListParagraph"/>
        <w:numPr>
          <w:ilvl w:val="4"/>
          <w:numId w:val="175"/>
        </w:numPr>
        <w:tabs>
          <w:tab w:pos="2486" w:val="left" w:leader="none"/>
        </w:tabs>
        <w:spacing w:line="240" w:lineRule="auto" w:before="120" w:after="0"/>
        <w:ind w:left="2485" w:right="0" w:hanging="567"/>
        <w:jc w:val="both"/>
        <w:rPr>
          <w:i/>
          <w:sz w:val="24"/>
        </w:rPr>
      </w:pPr>
      <w:r>
        <w:rPr>
          <w:sz w:val="24"/>
        </w:rPr>
        <w:t>each technical requirement identified by the </w:t>
      </w:r>
      <w:r>
        <w:rPr>
          <w:i/>
          <w:sz w:val="24"/>
        </w:rPr>
        <w:t>Network Service</w:t>
      </w:r>
      <w:r>
        <w:rPr>
          <w:i/>
          <w:spacing w:val="26"/>
          <w:sz w:val="24"/>
        </w:rPr>
        <w:t> </w:t>
      </w:r>
      <w:r>
        <w:rPr>
          <w:i/>
          <w:sz w:val="24"/>
        </w:rPr>
        <w:t>Provider</w:t>
      </w:r>
    </w:p>
    <w:p>
      <w:pPr>
        <w:pStyle w:val="BodyText"/>
        <w:spacing w:before="0"/>
        <w:ind w:left="2486" w:firstLine="0"/>
      </w:pPr>
      <w:r>
        <w:rPr/>
        <w:t>under clause 5.3.3(b1); and</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the terms and conditions of the kind set out in Part A and (where applicable) Part B of schedule</w:t>
      </w:r>
      <w:r>
        <w:rPr>
          <w:spacing w:val="-2"/>
          <w:sz w:val="24"/>
        </w:rPr>
        <w:t> </w:t>
      </w:r>
      <w:r>
        <w:rPr>
          <w:sz w:val="24"/>
        </w:rPr>
        <w:t>5.6,</w:t>
      </w:r>
    </w:p>
    <w:p>
      <w:pPr>
        <w:spacing w:before="120"/>
        <w:ind w:left="1919" w:right="414" w:firstLine="0"/>
        <w:jc w:val="both"/>
        <w:rPr>
          <w:sz w:val="24"/>
        </w:rPr>
      </w:pPr>
      <w:r>
        <w:rPr>
          <w:sz w:val="24"/>
        </w:rPr>
        <w:t>and must be capable of acceptance by the </w:t>
      </w:r>
      <w:r>
        <w:rPr>
          <w:i/>
          <w:sz w:val="24"/>
        </w:rPr>
        <w:t>Connection Applicant </w:t>
      </w:r>
      <w:r>
        <w:rPr>
          <w:sz w:val="24"/>
        </w:rPr>
        <w:t>so as to constitute a </w:t>
      </w:r>
      <w:r>
        <w:rPr>
          <w:i/>
          <w:sz w:val="24"/>
        </w:rPr>
        <w:t>connection agreement </w:t>
      </w:r>
      <w:r>
        <w:rPr>
          <w:sz w:val="24"/>
        </w:rPr>
        <w:t>and (where applicable) a </w:t>
      </w:r>
      <w:r>
        <w:rPr>
          <w:i/>
          <w:sz w:val="24"/>
        </w:rPr>
        <w:t>network </w:t>
      </w:r>
      <w:r>
        <w:rPr>
          <w:i/>
          <w:sz w:val="24"/>
        </w:rPr>
        <w:t>operating agreement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4" w:hanging="567"/>
        <w:jc w:val="both"/>
        <w:rPr>
          <w:sz w:val="24"/>
        </w:rPr>
      </w:pPr>
      <w:r>
        <w:rPr>
          <w:sz w:val="24"/>
        </w:rPr>
        <w:t>(b1) The proposed terms and conditions detailed in the offer to </w:t>
      </w:r>
      <w:r>
        <w:rPr>
          <w:i/>
          <w:sz w:val="24"/>
        </w:rPr>
        <w:t>connect </w:t>
      </w:r>
      <w:r>
        <w:rPr>
          <w:sz w:val="24"/>
        </w:rPr>
        <w:t>must be no lower than allowed under </w:t>
      </w:r>
      <w:r>
        <w:rPr>
          <w:i/>
          <w:sz w:val="24"/>
        </w:rPr>
        <w:t>jurisdictional electricity</w:t>
      </w:r>
      <w:r>
        <w:rPr>
          <w:i/>
          <w:spacing w:val="-2"/>
          <w:sz w:val="24"/>
        </w:rPr>
        <w:t> </w:t>
      </w:r>
      <w:r>
        <w:rPr>
          <w:i/>
          <w:sz w:val="24"/>
        </w:rPr>
        <w:t>legislation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ind w:left="1352" w:firstLine="0"/>
      </w:pPr>
      <w:r>
        <w:rPr/>
        <w:t>(b2) An offer to </w:t>
      </w:r>
      <w:r>
        <w:rPr>
          <w:i/>
        </w:rPr>
        <w:t>connect </w:t>
      </w:r>
      <w:r>
        <w:rPr/>
        <w:t>made under paragraph (a)(2), must be accompanied by:</w:t>
      </w:r>
    </w:p>
    <w:p>
      <w:pPr>
        <w:pStyle w:val="ListParagraph"/>
        <w:numPr>
          <w:ilvl w:val="0"/>
          <w:numId w:val="177"/>
        </w:numPr>
        <w:tabs>
          <w:tab w:pos="2486" w:val="left" w:leader="none"/>
        </w:tabs>
        <w:spacing w:line="240" w:lineRule="auto" w:before="120" w:after="0"/>
        <w:ind w:left="2486" w:right="414" w:hanging="567"/>
        <w:jc w:val="both"/>
        <w:rPr>
          <w:sz w:val="24"/>
        </w:rPr>
      </w:pPr>
      <w:r>
        <w:rPr>
          <w:sz w:val="24"/>
        </w:rPr>
        <w:t>so far as is relevant, and in relation to services the </w:t>
      </w:r>
      <w:r>
        <w:rPr>
          <w:i/>
          <w:sz w:val="24"/>
        </w:rPr>
        <w:t>Distribution </w:t>
      </w:r>
      <w:r>
        <w:rPr>
          <w:i/>
          <w:sz w:val="24"/>
        </w:rPr>
        <w:t>Network Service Provider </w:t>
      </w:r>
      <w:r>
        <w:rPr>
          <w:sz w:val="24"/>
        </w:rPr>
        <w:t>intends to provide, an itemised statement of </w:t>
      </w:r>
      <w:r>
        <w:rPr>
          <w:i/>
          <w:sz w:val="24"/>
        </w:rPr>
        <w:t>connection </w:t>
      </w:r>
      <w:r>
        <w:rPr>
          <w:sz w:val="24"/>
        </w:rPr>
        <w:t>costs</w:t>
      </w:r>
      <w:r>
        <w:rPr>
          <w:spacing w:val="-1"/>
          <w:sz w:val="24"/>
        </w:rPr>
        <w:t> </w:t>
      </w:r>
      <w:r>
        <w:rPr>
          <w:sz w:val="24"/>
        </w:rPr>
        <w:t>including:</w:t>
      </w:r>
    </w:p>
    <w:p>
      <w:pPr>
        <w:pStyle w:val="ListParagraph"/>
        <w:numPr>
          <w:ilvl w:val="1"/>
          <w:numId w:val="177"/>
        </w:numPr>
        <w:tabs>
          <w:tab w:pos="3052" w:val="left" w:leader="none"/>
          <w:tab w:pos="3053" w:val="left" w:leader="none"/>
        </w:tabs>
        <w:spacing w:line="240" w:lineRule="auto" w:before="120" w:after="0"/>
        <w:ind w:left="3052" w:right="0" w:hanging="567"/>
        <w:jc w:val="left"/>
        <w:rPr>
          <w:sz w:val="24"/>
        </w:rPr>
      </w:pPr>
      <w:r>
        <w:rPr>
          <w:i/>
          <w:sz w:val="24"/>
        </w:rPr>
        <w:t>connection service</w:t>
      </w:r>
      <w:r>
        <w:rPr>
          <w:i/>
          <w:spacing w:val="-1"/>
          <w:sz w:val="24"/>
        </w:rPr>
        <w:t> </w:t>
      </w:r>
      <w:r>
        <w:rPr>
          <w:sz w:val="24"/>
        </w:rPr>
        <w:t>charges;</w:t>
      </w:r>
    </w:p>
    <w:p>
      <w:pPr>
        <w:pStyle w:val="ListParagraph"/>
        <w:numPr>
          <w:ilvl w:val="1"/>
          <w:numId w:val="177"/>
        </w:numPr>
        <w:tabs>
          <w:tab w:pos="3052" w:val="left" w:leader="none"/>
          <w:tab w:pos="3054" w:val="left" w:leader="none"/>
        </w:tabs>
        <w:spacing w:line="240" w:lineRule="auto" w:before="120" w:after="0"/>
        <w:ind w:left="3053" w:right="415" w:hanging="567"/>
        <w:jc w:val="left"/>
        <w:rPr>
          <w:sz w:val="24"/>
        </w:rPr>
      </w:pPr>
      <w:r>
        <w:rPr>
          <w:sz w:val="24"/>
        </w:rPr>
        <w:t>costs associated with </w:t>
      </w:r>
      <w:r>
        <w:rPr>
          <w:i/>
          <w:sz w:val="24"/>
        </w:rPr>
        <w:t>metering </w:t>
      </w:r>
      <w:r>
        <w:rPr>
          <w:sz w:val="24"/>
        </w:rPr>
        <w:t>requirements contained in the offer to</w:t>
      </w:r>
      <w:r>
        <w:rPr>
          <w:spacing w:val="-1"/>
          <w:sz w:val="24"/>
        </w:rPr>
        <w:t> </w:t>
      </w:r>
      <w:r>
        <w:rPr>
          <w:i/>
          <w:sz w:val="24"/>
        </w:rPr>
        <w:t>connect</w:t>
      </w:r>
      <w:r>
        <w:rPr>
          <w:sz w:val="24"/>
        </w:rPr>
        <w:t>;</w:t>
      </w:r>
    </w:p>
    <w:p>
      <w:pPr>
        <w:pStyle w:val="ListParagraph"/>
        <w:numPr>
          <w:ilvl w:val="1"/>
          <w:numId w:val="177"/>
        </w:numPr>
        <w:tabs>
          <w:tab w:pos="3052" w:val="left" w:leader="none"/>
          <w:tab w:pos="3053" w:val="left" w:leader="none"/>
        </w:tabs>
        <w:spacing w:line="240" w:lineRule="auto" w:before="120" w:after="0"/>
        <w:ind w:left="3052" w:right="0" w:hanging="567"/>
        <w:jc w:val="left"/>
        <w:rPr>
          <w:sz w:val="24"/>
        </w:rPr>
      </w:pPr>
      <w:r>
        <w:rPr>
          <w:sz w:val="24"/>
        </w:rPr>
        <w:t>costs of </w:t>
      </w:r>
      <w:r>
        <w:rPr>
          <w:i/>
          <w:sz w:val="24"/>
        </w:rPr>
        <w:t>network</w:t>
      </w:r>
      <w:r>
        <w:rPr>
          <w:i/>
          <w:spacing w:val="-2"/>
          <w:sz w:val="24"/>
        </w:rPr>
        <w:t> </w:t>
      </w:r>
      <w:r>
        <w:rPr>
          <w:i/>
          <w:sz w:val="24"/>
        </w:rPr>
        <w:t>extension</w:t>
      </w:r>
      <w:r>
        <w:rPr>
          <w:sz w:val="24"/>
        </w:rPr>
        <w:t>;</w:t>
      </w:r>
    </w:p>
    <w:p>
      <w:pPr>
        <w:pStyle w:val="ListParagraph"/>
        <w:numPr>
          <w:ilvl w:val="1"/>
          <w:numId w:val="177"/>
        </w:numPr>
        <w:tabs>
          <w:tab w:pos="3052" w:val="left" w:leader="none"/>
          <w:tab w:pos="3054" w:val="left" w:leader="none"/>
        </w:tabs>
        <w:spacing w:line="240" w:lineRule="auto" w:before="120" w:after="0"/>
        <w:ind w:left="3053" w:right="415" w:hanging="567"/>
        <w:jc w:val="left"/>
        <w:rPr>
          <w:sz w:val="24"/>
        </w:rPr>
      </w:pPr>
      <w:r>
        <w:rPr>
          <w:sz w:val="24"/>
        </w:rPr>
        <w:t>details of </w:t>
      </w:r>
      <w:r>
        <w:rPr>
          <w:i/>
          <w:sz w:val="24"/>
        </w:rPr>
        <w:t>augmentation </w:t>
      </w:r>
      <w:r>
        <w:rPr>
          <w:sz w:val="24"/>
        </w:rPr>
        <w:t>required to provide the </w:t>
      </w:r>
      <w:r>
        <w:rPr>
          <w:i/>
          <w:sz w:val="24"/>
        </w:rPr>
        <w:t>connection </w:t>
      </w:r>
      <w:r>
        <w:rPr>
          <w:sz w:val="24"/>
        </w:rPr>
        <w:t>and associated</w:t>
      </w:r>
      <w:r>
        <w:rPr>
          <w:spacing w:val="-1"/>
          <w:sz w:val="24"/>
        </w:rPr>
        <w:t> </w:t>
      </w:r>
      <w:r>
        <w:rPr>
          <w:sz w:val="24"/>
        </w:rPr>
        <w:t>costs;</w:t>
      </w:r>
    </w:p>
    <w:p>
      <w:pPr>
        <w:pStyle w:val="ListParagraph"/>
        <w:numPr>
          <w:ilvl w:val="1"/>
          <w:numId w:val="177"/>
        </w:numPr>
        <w:tabs>
          <w:tab w:pos="3052" w:val="left" w:leader="none"/>
          <w:tab w:pos="3053" w:val="left" w:leader="none"/>
        </w:tabs>
        <w:spacing w:line="240" w:lineRule="auto" w:before="120" w:after="0"/>
        <w:ind w:left="3052" w:right="0" w:hanging="567"/>
        <w:jc w:val="left"/>
        <w:rPr>
          <w:sz w:val="24"/>
        </w:rPr>
      </w:pPr>
      <w:r>
        <w:rPr>
          <w:sz w:val="24"/>
        </w:rPr>
        <w:t>details</w:t>
      </w:r>
      <w:r>
        <w:rPr>
          <w:spacing w:val="35"/>
          <w:sz w:val="24"/>
        </w:rPr>
        <w:t> </w:t>
      </w:r>
      <w:r>
        <w:rPr>
          <w:sz w:val="24"/>
        </w:rPr>
        <w:t>of</w:t>
      </w:r>
      <w:r>
        <w:rPr>
          <w:spacing w:val="36"/>
          <w:sz w:val="24"/>
        </w:rPr>
        <w:t> </w:t>
      </w:r>
      <w:r>
        <w:rPr>
          <w:sz w:val="24"/>
        </w:rPr>
        <w:t>the</w:t>
      </w:r>
      <w:r>
        <w:rPr>
          <w:spacing w:val="36"/>
          <w:sz w:val="24"/>
        </w:rPr>
        <w:t> </w:t>
      </w:r>
      <w:r>
        <w:rPr>
          <w:sz w:val="24"/>
        </w:rPr>
        <w:t>interface</w:t>
      </w:r>
      <w:r>
        <w:rPr>
          <w:spacing w:val="35"/>
          <w:sz w:val="24"/>
        </w:rPr>
        <w:t> </w:t>
      </w:r>
      <w:r>
        <w:rPr>
          <w:sz w:val="24"/>
        </w:rPr>
        <w:t>equipment</w:t>
      </w:r>
      <w:r>
        <w:rPr>
          <w:spacing w:val="36"/>
          <w:sz w:val="24"/>
        </w:rPr>
        <w:t> </w:t>
      </w:r>
      <w:r>
        <w:rPr>
          <w:sz w:val="24"/>
        </w:rPr>
        <w:t>required</w:t>
      </w:r>
      <w:r>
        <w:rPr>
          <w:spacing w:val="36"/>
          <w:sz w:val="24"/>
        </w:rPr>
        <w:t> </w:t>
      </w:r>
      <w:r>
        <w:rPr>
          <w:sz w:val="24"/>
        </w:rPr>
        <w:t>to</w:t>
      </w:r>
      <w:r>
        <w:rPr>
          <w:spacing w:val="36"/>
          <w:sz w:val="24"/>
        </w:rPr>
        <w:t> </w:t>
      </w:r>
      <w:r>
        <w:rPr>
          <w:sz w:val="24"/>
        </w:rPr>
        <w:t>provide</w:t>
      </w:r>
      <w:r>
        <w:rPr>
          <w:spacing w:val="35"/>
          <w:sz w:val="24"/>
        </w:rPr>
        <w:t> </w:t>
      </w:r>
      <w:r>
        <w:rPr>
          <w:sz w:val="24"/>
        </w:rPr>
        <w:t>the</w:t>
      </w:r>
    </w:p>
    <w:p>
      <w:pPr>
        <w:spacing w:before="0"/>
        <w:ind w:left="3053" w:right="0" w:firstLine="0"/>
        <w:jc w:val="left"/>
        <w:rPr>
          <w:sz w:val="24"/>
        </w:rPr>
      </w:pPr>
      <w:r>
        <w:rPr>
          <w:i/>
          <w:sz w:val="24"/>
        </w:rPr>
        <w:t>connection </w:t>
      </w:r>
      <w:r>
        <w:rPr>
          <w:sz w:val="24"/>
        </w:rPr>
        <w:t>and associated costs;</w:t>
      </w:r>
    </w:p>
    <w:p>
      <w:pPr>
        <w:pStyle w:val="ListParagraph"/>
        <w:numPr>
          <w:ilvl w:val="1"/>
          <w:numId w:val="177"/>
        </w:numPr>
        <w:tabs>
          <w:tab w:pos="3052" w:val="left" w:leader="none"/>
          <w:tab w:pos="3053" w:val="left" w:leader="none"/>
        </w:tabs>
        <w:spacing w:line="240" w:lineRule="auto" w:before="120" w:after="0"/>
        <w:ind w:left="3053" w:right="415" w:hanging="567"/>
        <w:jc w:val="left"/>
        <w:rPr>
          <w:sz w:val="24"/>
        </w:rPr>
      </w:pPr>
      <w:r>
        <w:rPr>
          <w:sz w:val="24"/>
        </w:rPr>
        <w:t>details of any ongoing operation and maintenance costs </w:t>
      </w:r>
      <w:r>
        <w:rPr>
          <w:spacing w:val="-4"/>
          <w:sz w:val="24"/>
        </w:rPr>
        <w:t>and </w:t>
      </w:r>
      <w:r>
        <w:rPr>
          <w:sz w:val="24"/>
        </w:rPr>
        <w:t>charges by the </w:t>
      </w:r>
      <w:r>
        <w:rPr>
          <w:i/>
          <w:sz w:val="24"/>
        </w:rPr>
        <w:t>Distribution Network Service Provider</w:t>
      </w:r>
      <w:r>
        <w:rPr>
          <w:sz w:val="24"/>
        </w:rPr>
        <w:t>;</w:t>
      </w:r>
      <w:r>
        <w:rPr>
          <w:spacing w:val="-3"/>
          <w:sz w:val="24"/>
        </w:rPr>
        <w:t> </w:t>
      </w:r>
      <w:r>
        <w:rPr>
          <w:sz w:val="24"/>
        </w:rPr>
        <w:t>and</w:t>
      </w:r>
    </w:p>
    <w:p>
      <w:pPr>
        <w:pStyle w:val="ListParagraph"/>
        <w:numPr>
          <w:ilvl w:val="1"/>
          <w:numId w:val="177"/>
        </w:numPr>
        <w:tabs>
          <w:tab w:pos="3053" w:val="left" w:leader="none"/>
        </w:tabs>
        <w:spacing w:line="240" w:lineRule="auto" w:before="120" w:after="0"/>
        <w:ind w:left="3052" w:right="0" w:hanging="567"/>
        <w:jc w:val="left"/>
        <w:rPr>
          <w:sz w:val="24"/>
        </w:rPr>
      </w:pPr>
      <w:r>
        <w:rPr>
          <w:sz w:val="24"/>
        </w:rPr>
        <w:t>other incidental costs and their basis of</w:t>
      </w:r>
      <w:r>
        <w:rPr>
          <w:spacing w:val="-1"/>
          <w:sz w:val="24"/>
        </w:rPr>
        <w:t> </w:t>
      </w:r>
      <w:r>
        <w:rPr>
          <w:sz w:val="24"/>
        </w:rPr>
        <w:t>calculation;</w:t>
      </w:r>
    </w:p>
    <w:p>
      <w:pPr>
        <w:pStyle w:val="ListParagraph"/>
        <w:numPr>
          <w:ilvl w:val="0"/>
          <w:numId w:val="177"/>
        </w:numPr>
        <w:tabs>
          <w:tab w:pos="2486" w:val="left" w:leader="none"/>
        </w:tabs>
        <w:spacing w:line="240" w:lineRule="auto" w:before="120" w:after="0"/>
        <w:ind w:left="2486" w:right="416" w:hanging="567"/>
        <w:jc w:val="both"/>
        <w:rPr>
          <w:sz w:val="24"/>
        </w:rPr>
      </w:pPr>
      <w:r>
        <w:rPr>
          <w:sz w:val="24"/>
        </w:rPr>
        <w:t>if any item in the statement of costs in subparagraph (1) differs substantially from the estimate provided under clause S5.4B(h), an explanation of the</w:t>
      </w:r>
      <w:r>
        <w:rPr>
          <w:spacing w:val="-1"/>
          <w:sz w:val="24"/>
        </w:rPr>
        <w:t> </w:t>
      </w:r>
      <w:r>
        <w:rPr>
          <w:sz w:val="24"/>
        </w:rPr>
        <w:t>differences;</w:t>
      </w:r>
    </w:p>
    <w:p>
      <w:pPr>
        <w:spacing w:after="0" w:line="240" w:lineRule="auto"/>
        <w:jc w:val="both"/>
        <w:rPr>
          <w:sz w:val="24"/>
        </w:rPr>
        <w:sectPr>
          <w:pgSz w:w="11910" w:h="16840"/>
          <w:pgMar w:header="686" w:footer="637" w:top="1320" w:bottom="820" w:left="1200" w:right="1000"/>
        </w:sectPr>
      </w:pPr>
    </w:p>
    <w:p>
      <w:pPr>
        <w:pStyle w:val="ListParagraph"/>
        <w:numPr>
          <w:ilvl w:val="0"/>
          <w:numId w:val="177"/>
        </w:numPr>
        <w:tabs>
          <w:tab w:pos="2486" w:val="left" w:leader="none"/>
        </w:tabs>
        <w:spacing w:line="240" w:lineRule="auto" w:before="83" w:after="0"/>
        <w:ind w:left="2486" w:right="414" w:hanging="567"/>
        <w:jc w:val="both"/>
        <w:rPr>
          <w:sz w:val="24"/>
        </w:rPr>
      </w:pPr>
      <w:r>
        <w:rPr>
          <w:sz w:val="24"/>
        </w:rPr>
        <w:t>a </w:t>
      </w:r>
      <w:r>
        <w:rPr>
          <w:i/>
          <w:sz w:val="24"/>
        </w:rPr>
        <w:t>connection agreement </w:t>
      </w:r>
      <w:r>
        <w:rPr>
          <w:sz w:val="24"/>
        </w:rPr>
        <w:t>capable of execution by the </w:t>
      </w:r>
      <w:r>
        <w:rPr>
          <w:i/>
          <w:sz w:val="24"/>
        </w:rPr>
        <w:t>Connection </w:t>
      </w:r>
      <w:r>
        <w:rPr>
          <w:i/>
          <w:sz w:val="24"/>
        </w:rPr>
        <w:t>Applicant</w:t>
      </w:r>
      <w:r>
        <w:rPr>
          <w:sz w:val="24"/>
        </w:rPr>
        <w:t>, which must contain the proposed terms and conditions for </w:t>
      </w:r>
      <w:r>
        <w:rPr>
          <w:i/>
          <w:sz w:val="24"/>
        </w:rPr>
        <w:t>connection </w:t>
      </w:r>
      <w:r>
        <w:rPr>
          <w:sz w:val="24"/>
        </w:rPr>
        <w:t>to the </w:t>
      </w:r>
      <w:r>
        <w:rPr>
          <w:i/>
          <w:sz w:val="24"/>
        </w:rPr>
        <w:t>distribution network </w:t>
      </w:r>
      <w:r>
        <w:rPr>
          <w:sz w:val="24"/>
        </w:rPr>
        <w:t>(of the kind set out in Part A of schedule 5.6) including, for each technical requirement identified by the </w:t>
      </w:r>
      <w:r>
        <w:rPr>
          <w:i/>
          <w:sz w:val="24"/>
        </w:rPr>
        <w:t>Distribution Network Service Provider </w:t>
      </w:r>
      <w:r>
        <w:rPr>
          <w:sz w:val="24"/>
        </w:rPr>
        <w:t>in the detailed response provided under clause 5.3A.8(c), the access standards determined in accordance with </w:t>
      </w:r>
      <w:r>
        <w:rPr>
          <w:i/>
          <w:sz w:val="24"/>
        </w:rPr>
        <w:t>jurisdictional electricity legislation</w:t>
      </w:r>
      <w:r>
        <w:rPr>
          <w:sz w:val="24"/>
        </w:rPr>
        <w:t>;</w:t>
      </w:r>
      <w:r>
        <w:rPr>
          <w:spacing w:val="-3"/>
          <w:sz w:val="24"/>
        </w:rPr>
        <w:t> </w:t>
      </w:r>
      <w:r>
        <w:rPr>
          <w:sz w:val="24"/>
        </w:rPr>
        <w:t>and</w:t>
      </w:r>
    </w:p>
    <w:p>
      <w:pPr>
        <w:pStyle w:val="ListParagraph"/>
        <w:numPr>
          <w:ilvl w:val="0"/>
          <w:numId w:val="177"/>
        </w:numPr>
        <w:tabs>
          <w:tab w:pos="2486" w:val="left" w:leader="none"/>
        </w:tabs>
        <w:spacing w:line="240" w:lineRule="auto" w:before="120" w:after="0"/>
        <w:ind w:left="2485" w:right="0" w:hanging="567"/>
        <w:jc w:val="both"/>
        <w:rPr>
          <w:sz w:val="24"/>
        </w:rPr>
      </w:pPr>
      <w:r>
        <w:rPr>
          <w:sz w:val="24"/>
        </w:rPr>
        <w:t>an</w:t>
      </w:r>
      <w:r>
        <w:rPr>
          <w:spacing w:val="-1"/>
          <w:sz w:val="24"/>
        </w:rPr>
        <w:t> </w:t>
      </w:r>
      <w:r>
        <w:rPr>
          <w:sz w:val="24"/>
        </w:rPr>
        <w:t>explanation:</w:t>
      </w:r>
    </w:p>
    <w:p>
      <w:pPr>
        <w:pStyle w:val="ListParagraph"/>
        <w:numPr>
          <w:ilvl w:val="1"/>
          <w:numId w:val="177"/>
        </w:numPr>
        <w:tabs>
          <w:tab w:pos="3053" w:val="left" w:leader="none"/>
        </w:tabs>
        <w:spacing w:line="240" w:lineRule="auto" w:before="120" w:after="0"/>
        <w:ind w:left="3052" w:right="0" w:hanging="567"/>
        <w:jc w:val="both"/>
        <w:rPr>
          <w:sz w:val="24"/>
        </w:rPr>
      </w:pPr>
      <w:r>
        <w:rPr>
          <w:sz w:val="24"/>
        </w:rPr>
        <w:t>of how the offer to </w:t>
      </w:r>
      <w:r>
        <w:rPr>
          <w:i/>
          <w:sz w:val="24"/>
        </w:rPr>
        <w:t>connect </w:t>
      </w:r>
      <w:r>
        <w:rPr>
          <w:sz w:val="24"/>
        </w:rPr>
        <w:t>can be accepted;</w:t>
      </w:r>
      <w:r>
        <w:rPr>
          <w:spacing w:val="-2"/>
          <w:sz w:val="24"/>
        </w:rPr>
        <w:t> </w:t>
      </w:r>
      <w:r>
        <w:rPr>
          <w:sz w:val="24"/>
        </w:rPr>
        <w:t>and</w:t>
      </w:r>
    </w:p>
    <w:p>
      <w:pPr>
        <w:pStyle w:val="ListParagraph"/>
        <w:numPr>
          <w:ilvl w:val="1"/>
          <w:numId w:val="177"/>
        </w:numPr>
        <w:tabs>
          <w:tab w:pos="3054" w:val="left" w:leader="none"/>
        </w:tabs>
        <w:spacing w:line="240" w:lineRule="auto" w:before="120" w:after="0"/>
        <w:ind w:left="3053" w:right="415" w:hanging="567"/>
        <w:jc w:val="both"/>
        <w:rPr>
          <w:sz w:val="24"/>
        </w:rPr>
      </w:pPr>
      <w:r>
        <w:rPr>
          <w:sz w:val="24"/>
        </w:rPr>
        <w:t>that the offer to </w:t>
      </w:r>
      <w:r>
        <w:rPr>
          <w:i/>
          <w:sz w:val="24"/>
        </w:rPr>
        <w:t>connect </w:t>
      </w:r>
      <w:r>
        <w:rPr>
          <w:sz w:val="24"/>
        </w:rPr>
        <w:t>remains open for 20 </w:t>
      </w:r>
      <w:r>
        <w:rPr>
          <w:i/>
          <w:sz w:val="24"/>
        </w:rPr>
        <w:t>business days</w:t>
      </w:r>
      <w:r>
        <w:rPr>
          <w:sz w:val="24"/>
        </w:rPr>
        <w:t>, unless otherwise</w:t>
      </w:r>
      <w:r>
        <w:rPr>
          <w:spacing w:val="-1"/>
          <w:sz w:val="24"/>
        </w:rPr>
        <w:t> </w:t>
      </w:r>
      <w:r>
        <w:rPr>
          <w:sz w:val="24"/>
        </w:rPr>
        <w:t>agreed.</w:t>
      </w:r>
    </w:p>
    <w:p>
      <w:pPr>
        <w:spacing w:before="120"/>
        <w:ind w:left="1919" w:right="415" w:hanging="567"/>
        <w:jc w:val="both"/>
        <w:rPr>
          <w:sz w:val="24"/>
        </w:rPr>
      </w:pPr>
      <w:r>
        <w:rPr>
          <w:sz w:val="24"/>
        </w:rPr>
        <w:t>(b3) An offer to </w:t>
      </w:r>
      <w:r>
        <w:rPr>
          <w:i/>
          <w:sz w:val="24"/>
        </w:rPr>
        <w:t>connect </w:t>
      </w:r>
      <w:r>
        <w:rPr>
          <w:sz w:val="24"/>
        </w:rPr>
        <w:t>made under paragraph (a)(2) must remain open for acceptance for 20 </w:t>
      </w:r>
      <w:r>
        <w:rPr>
          <w:i/>
          <w:sz w:val="24"/>
        </w:rPr>
        <w:t>business days </w:t>
      </w:r>
      <w:r>
        <w:rPr>
          <w:sz w:val="24"/>
        </w:rPr>
        <w:t>from the date it is made and, if not accepted within that period, lapses unless the </w:t>
      </w:r>
      <w:r>
        <w:rPr>
          <w:i/>
          <w:sz w:val="24"/>
        </w:rPr>
        <w:t>Connection Applicant </w:t>
      </w:r>
      <w:r>
        <w:rPr>
          <w:sz w:val="24"/>
        </w:rPr>
        <w:t>has sought an extension of the period of time from the </w:t>
      </w:r>
      <w:r>
        <w:rPr>
          <w:i/>
          <w:sz w:val="24"/>
        </w:rPr>
        <w:t>Distribution Network Service </w:t>
      </w:r>
      <w:r>
        <w:rPr>
          <w:i/>
          <w:sz w:val="24"/>
        </w:rPr>
        <w:t>Provider</w:t>
      </w:r>
      <w:r>
        <w:rPr>
          <w:sz w:val="24"/>
        </w:rPr>
        <w:t>. The </w:t>
      </w:r>
      <w:r>
        <w:rPr>
          <w:i/>
          <w:sz w:val="24"/>
        </w:rPr>
        <w:t>Distribution Network Service Provider </w:t>
      </w:r>
      <w:r>
        <w:rPr>
          <w:sz w:val="24"/>
        </w:rPr>
        <w:t>may not unreasonably withhold consent to the extension.</w:t>
      </w:r>
    </w:p>
    <w:p>
      <w:pPr>
        <w:spacing w:before="120"/>
        <w:ind w:left="1352" w:right="0" w:firstLine="0"/>
        <w:jc w:val="both"/>
        <w:rPr>
          <w:i/>
          <w:sz w:val="24"/>
        </w:rPr>
      </w:pPr>
      <w:r>
        <w:rPr>
          <w:sz w:val="24"/>
        </w:rPr>
        <w:t>(b4) An offer to </w:t>
      </w:r>
      <w:r>
        <w:rPr>
          <w:i/>
          <w:sz w:val="24"/>
        </w:rPr>
        <w:t>connect </w:t>
      </w:r>
      <w:r>
        <w:rPr>
          <w:sz w:val="24"/>
        </w:rPr>
        <w:t>by a </w:t>
      </w:r>
      <w:r>
        <w:rPr>
          <w:i/>
          <w:sz w:val="24"/>
        </w:rPr>
        <w:t>Primary Transmission Network Service Provider</w:t>
      </w:r>
    </w:p>
    <w:p>
      <w:pPr>
        <w:pStyle w:val="BodyText"/>
        <w:spacing w:before="0"/>
        <w:ind w:left="1919" w:firstLine="0"/>
      </w:pPr>
      <w:r>
        <w:rPr/>
        <w:t>made under paragraph (a)(1) must include:</w:t>
      </w:r>
    </w:p>
    <w:p>
      <w:pPr>
        <w:pStyle w:val="ListParagraph"/>
        <w:numPr>
          <w:ilvl w:val="0"/>
          <w:numId w:val="178"/>
        </w:numPr>
        <w:tabs>
          <w:tab w:pos="2486" w:val="left" w:leader="none"/>
        </w:tabs>
        <w:spacing w:line="240" w:lineRule="auto" w:before="120" w:after="0"/>
        <w:ind w:left="2486" w:right="416" w:hanging="567"/>
        <w:jc w:val="both"/>
        <w:rPr>
          <w:sz w:val="24"/>
        </w:rPr>
      </w:pPr>
      <w:r>
        <w:rPr>
          <w:sz w:val="24"/>
        </w:rPr>
        <w:t>the </w:t>
      </w:r>
      <w:r>
        <w:rPr>
          <w:i/>
          <w:sz w:val="24"/>
        </w:rPr>
        <w:t>Primary Transmission Network Service Provider's </w:t>
      </w:r>
      <w:r>
        <w:rPr>
          <w:sz w:val="24"/>
        </w:rPr>
        <w:t>requirements in relation to the matters proposed in clause 5.3.4(b)(3) and (b)(4);</w:t>
      </w:r>
      <w:r>
        <w:rPr>
          <w:spacing w:val="-4"/>
          <w:sz w:val="24"/>
        </w:rPr>
        <w:t> </w:t>
      </w:r>
      <w:r>
        <w:rPr>
          <w:sz w:val="24"/>
        </w:rPr>
        <w:t>and</w:t>
      </w:r>
    </w:p>
    <w:p>
      <w:pPr>
        <w:pStyle w:val="ListParagraph"/>
        <w:numPr>
          <w:ilvl w:val="0"/>
          <w:numId w:val="178"/>
        </w:numPr>
        <w:tabs>
          <w:tab w:pos="2486" w:val="left" w:leader="none"/>
        </w:tabs>
        <w:spacing w:line="240" w:lineRule="auto" w:before="120" w:after="0"/>
        <w:ind w:left="2486" w:right="414" w:hanging="567"/>
        <w:jc w:val="both"/>
        <w:rPr>
          <w:sz w:val="24"/>
        </w:rPr>
      </w:pPr>
      <w:r>
        <w:rPr>
          <w:sz w:val="24"/>
        </w:rPr>
        <w:t>the costs of the services proposed to be provided by the </w:t>
      </w:r>
      <w:r>
        <w:rPr>
          <w:i/>
          <w:sz w:val="24"/>
        </w:rPr>
        <w:t>Primary </w:t>
      </w:r>
      <w:r>
        <w:rPr>
          <w:i/>
          <w:sz w:val="24"/>
        </w:rPr>
        <w:t>Transmission Network Service Provider </w:t>
      </w:r>
      <w:r>
        <w:rPr>
          <w:sz w:val="24"/>
        </w:rPr>
        <w:t>separated between </w:t>
      </w:r>
      <w:r>
        <w:rPr>
          <w:i/>
          <w:sz w:val="24"/>
        </w:rPr>
        <w:t>negotiated </w:t>
      </w:r>
      <w:r>
        <w:rPr>
          <w:i/>
          <w:sz w:val="24"/>
        </w:rPr>
        <w:t>transmission services </w:t>
      </w:r>
      <w:r>
        <w:rPr>
          <w:sz w:val="24"/>
        </w:rPr>
        <w:t>and </w:t>
      </w:r>
      <w:r>
        <w:rPr>
          <w:i/>
          <w:sz w:val="24"/>
        </w:rPr>
        <w:t>non-regulated transmission services </w:t>
      </w:r>
      <w:r>
        <w:rPr>
          <w:sz w:val="24"/>
        </w:rPr>
        <w:t>(if applicable).</w:t>
      </w:r>
    </w:p>
    <w:p>
      <w:pPr>
        <w:spacing w:before="120"/>
        <w:ind w:left="1919" w:right="415" w:hanging="567"/>
        <w:jc w:val="both"/>
        <w:rPr>
          <w:sz w:val="24"/>
        </w:rPr>
      </w:pPr>
      <w:r>
        <w:rPr>
          <w:sz w:val="24"/>
        </w:rPr>
        <w:t>(b5) A </w:t>
      </w:r>
      <w:r>
        <w:rPr>
          <w:i/>
          <w:sz w:val="24"/>
        </w:rPr>
        <w:t>Connection Applicant </w:t>
      </w:r>
      <w:r>
        <w:rPr>
          <w:sz w:val="24"/>
        </w:rPr>
        <w:t>may seek amendments to the offer to </w:t>
      </w:r>
      <w:r>
        <w:rPr>
          <w:i/>
          <w:sz w:val="24"/>
        </w:rPr>
        <w:t>connect </w:t>
      </w:r>
      <w:r>
        <w:rPr>
          <w:sz w:val="24"/>
        </w:rPr>
        <w:t>provided that the </w:t>
      </w:r>
      <w:r>
        <w:rPr>
          <w:i/>
          <w:sz w:val="24"/>
        </w:rPr>
        <w:t>Connection Applicant </w:t>
      </w:r>
      <w:r>
        <w:rPr>
          <w:sz w:val="24"/>
        </w:rPr>
        <w:t>agrees to changes to the </w:t>
      </w:r>
      <w:r>
        <w:rPr>
          <w:i/>
          <w:sz w:val="24"/>
        </w:rPr>
        <w:t>preliminary </w:t>
      </w:r>
      <w:r>
        <w:rPr>
          <w:i/>
          <w:sz w:val="24"/>
        </w:rPr>
        <w:t>program </w:t>
      </w:r>
      <w:r>
        <w:rPr>
          <w:sz w:val="24"/>
        </w:rPr>
        <w:t>to reflect the additional time required to agree the amendments.</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The offer to </w:t>
      </w:r>
      <w:r>
        <w:rPr>
          <w:i/>
          <w:sz w:val="24"/>
        </w:rPr>
        <w:t>connect </w:t>
      </w:r>
      <w:r>
        <w:rPr>
          <w:sz w:val="24"/>
        </w:rPr>
        <w:t>must be fair and reasonable and must be consistent with the safe and </w:t>
      </w:r>
      <w:r>
        <w:rPr>
          <w:i/>
          <w:sz w:val="24"/>
        </w:rPr>
        <w:t>reliable </w:t>
      </w:r>
      <w:r>
        <w:rPr>
          <w:sz w:val="24"/>
        </w:rPr>
        <w:t>operation of the </w:t>
      </w:r>
      <w:r>
        <w:rPr>
          <w:i/>
          <w:sz w:val="24"/>
        </w:rPr>
        <w:t>power system </w:t>
      </w:r>
      <w:r>
        <w:rPr>
          <w:sz w:val="24"/>
        </w:rPr>
        <w:t>in accordance with the </w:t>
      </w:r>
      <w:r>
        <w:rPr>
          <w:i/>
          <w:sz w:val="24"/>
        </w:rPr>
        <w:t>Rules </w:t>
      </w:r>
      <w:r>
        <w:rPr>
          <w:sz w:val="24"/>
        </w:rPr>
        <w:t>and any relevant </w:t>
      </w:r>
      <w:r>
        <w:rPr>
          <w:i/>
          <w:sz w:val="24"/>
        </w:rPr>
        <w:t>jurisdictional electricity legislation</w:t>
      </w:r>
      <w:r>
        <w:rPr>
          <w:sz w:val="24"/>
        </w:rPr>
        <w:t>. Without limitation, unless the parties otherwise agree, to be fair and reasonable an offer to </w:t>
      </w:r>
      <w:r>
        <w:rPr>
          <w:i/>
          <w:sz w:val="24"/>
        </w:rPr>
        <w:t>connect </w:t>
      </w:r>
      <w:r>
        <w:rPr>
          <w:sz w:val="24"/>
        </w:rPr>
        <w:t>must offer </w:t>
      </w:r>
      <w:r>
        <w:rPr>
          <w:i/>
          <w:sz w:val="24"/>
        </w:rPr>
        <w:t>connection </w:t>
      </w:r>
      <w:r>
        <w:rPr>
          <w:sz w:val="24"/>
        </w:rPr>
        <w:t>and </w:t>
      </w:r>
      <w:r>
        <w:rPr>
          <w:i/>
          <w:sz w:val="24"/>
        </w:rPr>
        <w:t>network services </w:t>
      </w:r>
      <w:r>
        <w:rPr>
          <w:sz w:val="24"/>
        </w:rPr>
        <w:t>consistent with any relevant </w:t>
      </w:r>
      <w:r>
        <w:rPr>
          <w:i/>
          <w:sz w:val="24"/>
        </w:rPr>
        <w:t>jurisdictional electricity legislation </w:t>
      </w:r>
      <w:r>
        <w:rPr>
          <w:sz w:val="24"/>
        </w:rPr>
        <w:t>and must not impose conditions on the </w:t>
      </w:r>
      <w:r>
        <w:rPr>
          <w:i/>
          <w:sz w:val="24"/>
        </w:rPr>
        <w:t>Connection Applicant </w:t>
      </w:r>
      <w:r>
        <w:rPr>
          <w:sz w:val="24"/>
        </w:rPr>
        <w:t>which are more onerous than those contemplated in relevant </w:t>
      </w:r>
      <w:r>
        <w:rPr>
          <w:i/>
          <w:sz w:val="24"/>
        </w:rPr>
        <w:t>jurisdictional electricity</w:t>
      </w:r>
      <w:r>
        <w:rPr>
          <w:i/>
          <w:spacing w:val="-1"/>
          <w:sz w:val="24"/>
        </w:rPr>
        <w:t> </w:t>
      </w:r>
      <w:r>
        <w:rPr>
          <w:i/>
          <w:sz w:val="24"/>
        </w:rPr>
        <w:t>legislation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(c) will be requirements that correspond to the matters set out in schedules 5.1,</w:t>
      </w:r>
    </w:p>
    <w:p>
      <w:pPr>
        <w:spacing w:before="0"/>
        <w:ind w:left="1919" w:right="414" w:firstLine="0"/>
        <w:jc w:val="both"/>
        <w:rPr>
          <w:sz w:val="20"/>
        </w:rPr>
      </w:pPr>
      <w:r>
        <w:rPr>
          <w:sz w:val="20"/>
        </w:rPr>
        <w:t>5.2 and 5.3 in the </w:t>
      </w:r>
      <w:r>
        <w:rPr>
          <w:i/>
          <w:sz w:val="20"/>
        </w:rPr>
        <w:t>Rules </w:t>
      </w:r>
      <w:r>
        <w:rPr>
          <w:sz w:val="20"/>
        </w:rPr>
        <w:t>applying in other </w:t>
      </w:r>
      <w:r>
        <w:rPr>
          <w:i/>
          <w:sz w:val="20"/>
        </w:rPr>
        <w:t>participating jurisdictions</w:t>
      </w:r>
      <w:r>
        <w:rPr>
          <w:sz w:val="20"/>
        </w:rPr>
        <w:t>. The application of paragraph (c) will be revisited as part of the phased implementation of the </w:t>
      </w:r>
      <w:r>
        <w:rPr>
          <w:i/>
          <w:sz w:val="20"/>
        </w:rPr>
        <w:t>Rules </w:t>
      </w:r>
      <w:r>
        <w:rPr>
          <w:sz w:val="20"/>
        </w:rPr>
        <w:t>in this jurisdiction.</w:t>
      </w:r>
    </w:p>
    <w:p>
      <w:pPr>
        <w:spacing w:after="0"/>
        <w:jc w:val="both"/>
        <w:rPr>
          <w:sz w:val="20"/>
        </w:rPr>
        <w:sectPr>
          <w:pgSz w:w="11910" w:h="16840"/>
          <w:pgMar w:header="686" w:footer="637" w:top="1320" w:bottom="820" w:left="1200" w:right="1000"/>
        </w:sectPr>
      </w:pPr>
    </w:p>
    <w:p>
      <w:pPr>
        <w:spacing w:before="83"/>
        <w:ind w:left="1352" w:right="0" w:firstLine="0"/>
        <w:jc w:val="both"/>
        <w:rPr>
          <w:b/>
          <w:sz w:val="24"/>
        </w:rPr>
      </w:pPr>
      <w:r>
        <w:rPr>
          <w:sz w:val="24"/>
        </w:rPr>
        <w:t>(c1)</w:t>
      </w:r>
      <w:r>
        <w:rPr>
          <w:spacing w:val="59"/>
          <w:sz w:val="24"/>
        </w:rPr>
        <w:t> </w:t>
      </w:r>
      <w:r>
        <w:rPr>
          <w:b/>
          <w:sz w:val="24"/>
        </w:rPr>
        <w:t>[Deleted]</w:t>
      </w:r>
    </w:p>
    <w:p>
      <w:pPr>
        <w:pStyle w:val="ListParagraph"/>
        <w:numPr>
          <w:ilvl w:val="0"/>
          <w:numId w:val="179"/>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use its reasonable endeavours </w:t>
      </w:r>
      <w:r>
        <w:rPr>
          <w:spacing w:val="-6"/>
          <w:sz w:val="24"/>
        </w:rPr>
        <w:t>to </w:t>
      </w:r>
      <w:r>
        <w:rPr>
          <w:sz w:val="24"/>
        </w:rPr>
        <w:t>provide the </w:t>
      </w:r>
      <w:r>
        <w:rPr>
          <w:i/>
          <w:sz w:val="24"/>
        </w:rPr>
        <w:t>Connection Applicant </w:t>
      </w:r>
      <w:r>
        <w:rPr>
          <w:sz w:val="24"/>
        </w:rPr>
        <w:t>with an offer to </w:t>
      </w:r>
      <w:r>
        <w:rPr>
          <w:i/>
          <w:sz w:val="24"/>
        </w:rPr>
        <w:t>connect </w:t>
      </w:r>
      <w:r>
        <w:rPr>
          <w:sz w:val="24"/>
        </w:rPr>
        <w:t>in accordance with the reasonable requirements of the </w:t>
      </w:r>
      <w:r>
        <w:rPr>
          <w:i/>
          <w:sz w:val="24"/>
        </w:rPr>
        <w:t>Connection Applicant</w:t>
      </w:r>
      <w:r>
        <w:rPr>
          <w:sz w:val="24"/>
        </w:rPr>
        <w:t>, including without limitation, the location of the proposed </w:t>
      </w:r>
      <w:r>
        <w:rPr>
          <w:i/>
          <w:sz w:val="24"/>
        </w:rPr>
        <w:t>connection point </w:t>
      </w:r>
      <w:r>
        <w:rPr>
          <w:sz w:val="24"/>
        </w:rPr>
        <w:t>and the level and standard of </w:t>
      </w:r>
      <w:r>
        <w:rPr>
          <w:i/>
          <w:sz w:val="24"/>
        </w:rPr>
        <w:t>power transfer capability </w:t>
      </w:r>
      <w:r>
        <w:rPr>
          <w:sz w:val="24"/>
        </w:rPr>
        <w:t>that the </w:t>
      </w:r>
      <w:r>
        <w:rPr>
          <w:i/>
          <w:sz w:val="24"/>
        </w:rPr>
        <w:t>network </w:t>
      </w:r>
      <w:r>
        <w:rPr>
          <w:sz w:val="24"/>
        </w:rPr>
        <w:t>will provide.</w:t>
      </w:r>
    </w:p>
    <w:p>
      <w:pPr>
        <w:pStyle w:val="ListParagraph"/>
        <w:numPr>
          <w:ilvl w:val="0"/>
          <w:numId w:val="179"/>
        </w:numPr>
        <w:tabs>
          <w:tab w:pos="1919" w:val="left" w:leader="none"/>
        </w:tabs>
        <w:spacing w:line="240" w:lineRule="auto" w:before="120" w:after="0"/>
        <w:ind w:left="1919" w:right="414" w:hanging="567"/>
        <w:jc w:val="both"/>
        <w:rPr>
          <w:sz w:val="24"/>
        </w:rPr>
      </w:pPr>
      <w:r>
        <w:rPr>
          <w:sz w:val="24"/>
        </w:rPr>
        <w:t>An offer to </w:t>
      </w:r>
      <w:r>
        <w:rPr>
          <w:i/>
          <w:sz w:val="24"/>
        </w:rPr>
        <w:t>connect </w:t>
      </w:r>
      <w:r>
        <w:rPr>
          <w:sz w:val="24"/>
        </w:rPr>
        <w:t>may contain options for </w:t>
      </w:r>
      <w:r>
        <w:rPr>
          <w:i/>
          <w:sz w:val="24"/>
        </w:rPr>
        <w:t>connection </w:t>
      </w:r>
      <w:r>
        <w:rPr>
          <w:sz w:val="24"/>
        </w:rPr>
        <w:t>to a </w:t>
      </w:r>
      <w:r>
        <w:rPr>
          <w:i/>
          <w:sz w:val="24"/>
        </w:rPr>
        <w:t>network </w:t>
      </w:r>
      <w:r>
        <w:rPr>
          <w:sz w:val="24"/>
        </w:rPr>
        <w:t>at more than one point in a </w:t>
      </w:r>
      <w:r>
        <w:rPr>
          <w:i/>
          <w:sz w:val="24"/>
        </w:rPr>
        <w:t>network </w:t>
      </w:r>
      <w:r>
        <w:rPr>
          <w:sz w:val="24"/>
        </w:rPr>
        <w:t>and/or at different levels of service and with different terms and conditions applicable to each </w:t>
      </w:r>
      <w:r>
        <w:rPr>
          <w:i/>
          <w:sz w:val="24"/>
        </w:rPr>
        <w:t>connection point </w:t>
      </w:r>
      <w:r>
        <w:rPr>
          <w:sz w:val="24"/>
        </w:rPr>
        <w:t>according to the different characteristics of </w:t>
      </w:r>
      <w:r>
        <w:rPr>
          <w:i/>
          <w:sz w:val="24"/>
        </w:rPr>
        <w:t>supply </w:t>
      </w:r>
      <w:r>
        <w:rPr>
          <w:sz w:val="24"/>
        </w:rPr>
        <w:t>at each </w:t>
      </w:r>
      <w:r>
        <w:rPr>
          <w:i/>
          <w:sz w:val="24"/>
        </w:rPr>
        <w:t>connection</w:t>
      </w:r>
      <w:r>
        <w:rPr>
          <w:i/>
          <w:spacing w:val="-4"/>
          <w:sz w:val="24"/>
        </w:rPr>
        <w:t> </w:t>
      </w:r>
      <w:r>
        <w:rPr>
          <w:i/>
          <w:sz w:val="24"/>
        </w:rPr>
        <w:t>point</w:t>
      </w:r>
      <w:r>
        <w:rPr>
          <w:sz w:val="24"/>
        </w:rPr>
        <w:t>.</w:t>
      </w:r>
    </w:p>
    <w:p>
      <w:pPr>
        <w:pStyle w:val="ListParagraph"/>
        <w:numPr>
          <w:ilvl w:val="0"/>
          <w:numId w:val="179"/>
        </w:numPr>
        <w:tabs>
          <w:tab w:pos="1920" w:val="left" w:leader="none"/>
        </w:tabs>
        <w:spacing w:line="240" w:lineRule="auto" w:before="120" w:after="0"/>
        <w:ind w:left="1919" w:right="414" w:hanging="567"/>
        <w:jc w:val="both"/>
        <w:rPr>
          <w:sz w:val="24"/>
        </w:rPr>
      </w:pPr>
      <w:r>
        <w:rPr>
          <w:sz w:val="24"/>
        </w:rPr>
        <w:t>Both the </w:t>
      </w:r>
      <w:r>
        <w:rPr>
          <w:i/>
          <w:sz w:val="24"/>
        </w:rPr>
        <w:t>Network Service Provider </w:t>
      </w:r>
      <w:r>
        <w:rPr>
          <w:sz w:val="24"/>
        </w:rPr>
        <w:t>and the </w:t>
      </w:r>
      <w:r>
        <w:rPr>
          <w:i/>
          <w:sz w:val="24"/>
        </w:rPr>
        <w:t>Connection Applicant </w:t>
      </w:r>
      <w:r>
        <w:rPr>
          <w:sz w:val="24"/>
        </w:rPr>
        <w:t>are entitled to negotiate with each other in respect of the provision of </w:t>
      </w:r>
      <w:r>
        <w:rPr>
          <w:i/>
          <w:sz w:val="24"/>
        </w:rPr>
        <w:t>connection </w:t>
      </w:r>
      <w:r>
        <w:rPr>
          <w:sz w:val="24"/>
        </w:rPr>
        <w:t>and any other matters relevant to the provision of </w:t>
      </w:r>
      <w:r>
        <w:rPr>
          <w:i/>
          <w:sz w:val="24"/>
        </w:rPr>
        <w:t>connection </w:t>
      </w:r>
      <w:r>
        <w:rPr>
          <w:sz w:val="24"/>
        </w:rPr>
        <w:t>and, if negotiations occur, the </w:t>
      </w:r>
      <w:r>
        <w:rPr>
          <w:i/>
          <w:sz w:val="24"/>
        </w:rPr>
        <w:t>Network Service Provider </w:t>
      </w:r>
      <w:r>
        <w:rPr>
          <w:sz w:val="24"/>
        </w:rPr>
        <w:t>and the </w:t>
      </w:r>
      <w:r>
        <w:rPr>
          <w:i/>
          <w:sz w:val="24"/>
        </w:rPr>
        <w:t>Connection </w:t>
      </w:r>
      <w:r>
        <w:rPr>
          <w:i/>
          <w:sz w:val="24"/>
        </w:rPr>
        <w:t>Applicant </w:t>
      </w:r>
      <w:r>
        <w:rPr>
          <w:sz w:val="24"/>
        </w:rPr>
        <w:t>must conduct such negotiations in good</w:t>
      </w:r>
      <w:r>
        <w:rPr>
          <w:spacing w:val="-3"/>
          <w:sz w:val="24"/>
        </w:rPr>
        <w:t> </w:t>
      </w:r>
      <w:r>
        <w:rPr>
          <w:sz w:val="24"/>
        </w:rPr>
        <w:t>faith.</w:t>
      </w:r>
    </w:p>
    <w:p>
      <w:pPr>
        <w:pStyle w:val="ListParagraph"/>
        <w:numPr>
          <w:ilvl w:val="0"/>
          <w:numId w:val="179"/>
        </w:numPr>
        <w:tabs>
          <w:tab w:pos="1919" w:val="left" w:leader="none"/>
        </w:tabs>
        <w:spacing w:line="240" w:lineRule="auto" w:before="120" w:after="0"/>
        <w:ind w:left="1919" w:right="415" w:hanging="567"/>
        <w:jc w:val="both"/>
        <w:rPr>
          <w:sz w:val="24"/>
        </w:rPr>
      </w:pPr>
      <w:r>
        <w:rPr>
          <w:sz w:val="24"/>
        </w:rPr>
        <w:t>An offer to </w:t>
      </w:r>
      <w:r>
        <w:rPr>
          <w:i/>
          <w:sz w:val="24"/>
        </w:rPr>
        <w:t>connect </w:t>
      </w:r>
      <w:r>
        <w:rPr>
          <w:sz w:val="24"/>
        </w:rPr>
        <w:t>must define the basis for determining the </w:t>
      </w:r>
      <w:r>
        <w:rPr>
          <w:i/>
          <w:sz w:val="24"/>
        </w:rPr>
        <w:t>transmission </w:t>
      </w:r>
      <w:r>
        <w:rPr>
          <w:i/>
          <w:sz w:val="24"/>
        </w:rPr>
        <w:t>service </w:t>
      </w:r>
      <w:r>
        <w:rPr>
          <w:sz w:val="24"/>
        </w:rPr>
        <w:t>charges in accordance with Chapter 6, including the prudential requirements set out in that Chapter, as if the </w:t>
      </w:r>
      <w:r>
        <w:rPr>
          <w:i/>
          <w:sz w:val="24"/>
        </w:rPr>
        <w:t>transmission service </w:t>
      </w:r>
      <w:r>
        <w:rPr>
          <w:sz w:val="24"/>
        </w:rPr>
        <w:t>charges were </w:t>
      </w:r>
      <w:r>
        <w:rPr>
          <w:i/>
          <w:sz w:val="24"/>
        </w:rPr>
        <w:t>distribution service</w:t>
      </w:r>
      <w:r>
        <w:rPr>
          <w:i/>
          <w:spacing w:val="-2"/>
          <w:sz w:val="24"/>
        </w:rPr>
        <w:t> </w:t>
      </w:r>
      <w:r>
        <w:rPr>
          <w:sz w:val="24"/>
        </w:rPr>
        <w:t>charges.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179"/>
        </w:numPr>
        <w:tabs>
          <w:tab w:pos="1919" w:val="left" w:leader="none"/>
        </w:tabs>
        <w:spacing w:line="240" w:lineRule="auto" w:before="120" w:after="0"/>
        <w:ind w:left="1919" w:right="416" w:hanging="567"/>
        <w:jc w:val="both"/>
        <w:rPr>
          <w:sz w:val="24"/>
        </w:rPr>
      </w:pPr>
      <w:r>
        <w:rPr>
          <w:sz w:val="24"/>
        </w:rPr>
        <w:t>An offer to </w:t>
      </w:r>
      <w:r>
        <w:rPr>
          <w:i/>
          <w:sz w:val="24"/>
        </w:rPr>
        <w:t>connect </w:t>
      </w:r>
      <w:r>
        <w:rPr>
          <w:sz w:val="24"/>
        </w:rPr>
        <w:t>must define the basis for determining </w:t>
      </w:r>
      <w:r>
        <w:rPr>
          <w:i/>
          <w:sz w:val="24"/>
        </w:rPr>
        <w:t>distribution </w:t>
      </w:r>
      <w:r>
        <w:rPr>
          <w:i/>
          <w:sz w:val="24"/>
        </w:rPr>
        <w:t>service </w:t>
      </w:r>
      <w:r>
        <w:rPr>
          <w:sz w:val="24"/>
        </w:rPr>
        <w:t>charges in accordance with Chapter 6, including the prudential requirements set out in Part K of Chapter</w:t>
      </w:r>
      <w:r>
        <w:rPr>
          <w:spacing w:val="-4"/>
          <w:sz w:val="24"/>
        </w:rPr>
        <w:t> </w:t>
      </w:r>
      <w:r>
        <w:rPr>
          <w:sz w:val="24"/>
        </w:rPr>
        <w:t>6.</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179"/>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0"/>
          <w:numId w:val="179"/>
        </w:numPr>
        <w:tabs>
          <w:tab w:pos="1919" w:val="left" w:leader="none"/>
        </w:tabs>
        <w:spacing w:line="240" w:lineRule="auto" w:before="120" w:after="0"/>
        <w:ind w:left="1919" w:right="414" w:hanging="567"/>
        <w:jc w:val="both"/>
        <w:rPr>
          <w:sz w:val="24"/>
        </w:rPr>
      </w:pPr>
      <w:r>
        <w:rPr>
          <w:sz w:val="24"/>
        </w:rPr>
        <w:t>An offer to </w:t>
      </w:r>
      <w:r>
        <w:rPr>
          <w:i/>
          <w:sz w:val="24"/>
        </w:rPr>
        <w:t>connect </w:t>
      </w:r>
      <w:r>
        <w:rPr>
          <w:sz w:val="24"/>
        </w:rPr>
        <w:t>in respect of a </w:t>
      </w:r>
      <w:r>
        <w:rPr>
          <w:i/>
          <w:sz w:val="24"/>
        </w:rPr>
        <w:t>distribution network </w:t>
      </w:r>
      <w:r>
        <w:rPr>
          <w:sz w:val="24"/>
        </w:rPr>
        <w:t>made to an </w:t>
      </w:r>
      <w:r>
        <w:rPr>
          <w:i/>
          <w:sz w:val="24"/>
        </w:rPr>
        <w:t>Embedded Generator </w:t>
      </w:r>
      <w:r>
        <w:rPr>
          <w:sz w:val="24"/>
        </w:rPr>
        <w:t>or a </w:t>
      </w:r>
      <w:r>
        <w:rPr>
          <w:i/>
          <w:sz w:val="24"/>
        </w:rPr>
        <w:t>Market Network Service Provider</w:t>
      </w:r>
      <w:r>
        <w:rPr>
          <w:sz w:val="24"/>
        </w:rPr>
        <w:t>, must conform with the relevant access arrangements set out in rule</w:t>
      </w:r>
      <w:r>
        <w:rPr>
          <w:spacing w:val="-5"/>
          <w:sz w:val="24"/>
        </w:rPr>
        <w:t> </w:t>
      </w:r>
      <w:r>
        <w:rPr>
          <w:sz w:val="24"/>
        </w:rPr>
        <w:t>5.3AA.</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179"/>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2" w:right="1324" w:hanging="1134"/>
        <w:jc w:val="left"/>
      </w:pPr>
      <w:bookmarkStart w:name="5.3.7 Finalisation of connection agreeme" w:id="441"/>
      <w:bookmarkEnd w:id="441"/>
      <w:r>
        <w:rPr>
          <w:b w:val="0"/>
        </w:rPr>
      </w:r>
      <w:bookmarkStart w:name="_bookmark185" w:id="442"/>
      <w:bookmarkEnd w:id="442"/>
      <w:r>
        <w:rPr>
          <w:b w:val="0"/>
        </w:rPr>
      </w:r>
      <w:bookmarkStart w:name="_bookmark185" w:id="443"/>
      <w:bookmarkEnd w:id="443"/>
      <w:r>
        <w:rPr/>
        <w:t>Fina</w:t>
      </w:r>
      <w:r>
        <w:rPr/>
        <w:t>lisation of connection agreements and network operating agreements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i/>
          <w:sz w:val="20"/>
        </w:rPr>
      </w:pPr>
      <w:r>
        <w:rPr>
          <w:sz w:val="20"/>
        </w:rPr>
        <w:t>Paragraphs (c) and (g)(2)(i), (5) and (6) of this clause have no effect in this jurisdiction (see regulation 5A of the </w:t>
      </w:r>
      <w:r>
        <w:rPr>
          <w:i/>
          <w:sz w:val="20"/>
        </w:rPr>
        <w:t>National Electricity (Northern Territory) (National Uniform Legislation)</w:t>
      </w:r>
    </w:p>
    <w:p>
      <w:pPr>
        <w:spacing w:after="0"/>
        <w:jc w:val="both"/>
        <w:rPr>
          <w:sz w:val="20"/>
        </w:rPr>
        <w:sectPr>
          <w:pgSz w:w="11910" w:h="16840"/>
          <w:pgMar w:header="686" w:footer="637" w:top="1320" w:bottom="820" w:left="1200" w:right="1000"/>
        </w:sectPr>
      </w:pPr>
    </w:p>
    <w:p>
      <w:pPr>
        <w:spacing w:before="83"/>
        <w:ind w:left="1352" w:right="415" w:firstLine="0"/>
        <w:jc w:val="both"/>
        <w:rPr>
          <w:sz w:val="20"/>
        </w:rPr>
      </w:pPr>
      <w:r>
        <w:rPr>
          <w:i/>
          <w:sz w:val="20"/>
        </w:rPr>
        <w:t>(Modification) 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If</w:t>
      </w:r>
      <w:r>
        <w:rPr>
          <w:spacing w:val="27"/>
          <w:sz w:val="24"/>
        </w:rPr>
        <w:t> </w:t>
      </w:r>
      <w:r>
        <w:rPr>
          <w:sz w:val="24"/>
        </w:rPr>
        <w:t>a</w:t>
      </w:r>
      <w:r>
        <w:rPr>
          <w:spacing w:val="27"/>
          <w:sz w:val="24"/>
        </w:rPr>
        <w:t> </w:t>
      </w:r>
      <w:r>
        <w:rPr>
          <w:i/>
          <w:sz w:val="24"/>
        </w:rPr>
        <w:t>Connection</w:t>
      </w:r>
      <w:r>
        <w:rPr>
          <w:i/>
          <w:spacing w:val="28"/>
          <w:sz w:val="24"/>
        </w:rPr>
        <w:t> </w:t>
      </w:r>
      <w:r>
        <w:rPr>
          <w:i/>
          <w:sz w:val="24"/>
        </w:rPr>
        <w:t>Applicant</w:t>
      </w:r>
      <w:r>
        <w:rPr>
          <w:i/>
          <w:spacing w:val="27"/>
          <w:sz w:val="24"/>
        </w:rPr>
        <w:t> </w:t>
      </w:r>
      <w:r>
        <w:rPr>
          <w:sz w:val="24"/>
        </w:rPr>
        <w:t>wishes</w:t>
      </w:r>
      <w:r>
        <w:rPr>
          <w:spacing w:val="28"/>
          <w:sz w:val="24"/>
        </w:rPr>
        <w:t> </w:t>
      </w:r>
      <w:r>
        <w:rPr>
          <w:sz w:val="24"/>
        </w:rPr>
        <w:t>to</w:t>
      </w:r>
      <w:r>
        <w:rPr>
          <w:spacing w:val="27"/>
          <w:sz w:val="24"/>
        </w:rPr>
        <w:t> </w:t>
      </w:r>
      <w:r>
        <w:rPr>
          <w:sz w:val="24"/>
        </w:rPr>
        <w:t>accept</w:t>
      </w:r>
      <w:r>
        <w:rPr>
          <w:spacing w:val="27"/>
          <w:sz w:val="24"/>
        </w:rPr>
        <w:t> </w:t>
      </w:r>
      <w:r>
        <w:rPr>
          <w:sz w:val="24"/>
        </w:rPr>
        <w:t>an</w:t>
      </w:r>
      <w:r>
        <w:rPr>
          <w:spacing w:val="28"/>
          <w:sz w:val="24"/>
        </w:rPr>
        <w:t> </w:t>
      </w:r>
      <w:r>
        <w:rPr>
          <w:sz w:val="24"/>
        </w:rPr>
        <w:t>offer</w:t>
      </w:r>
      <w:r>
        <w:rPr>
          <w:spacing w:val="27"/>
          <w:sz w:val="24"/>
        </w:rPr>
        <w:t> </w:t>
      </w:r>
      <w:r>
        <w:rPr>
          <w:sz w:val="24"/>
        </w:rPr>
        <w:t>to</w:t>
      </w:r>
      <w:r>
        <w:rPr>
          <w:spacing w:val="28"/>
          <w:sz w:val="24"/>
        </w:rPr>
        <w:t> </w:t>
      </w:r>
      <w:r>
        <w:rPr>
          <w:i/>
          <w:sz w:val="24"/>
        </w:rPr>
        <w:t>connect</w:t>
      </w:r>
      <w:r>
        <w:rPr>
          <w:sz w:val="24"/>
        </w:rPr>
        <w:t>,</w:t>
      </w:r>
      <w:r>
        <w:rPr>
          <w:spacing w:val="27"/>
          <w:sz w:val="24"/>
        </w:rPr>
        <w:t> </w:t>
      </w:r>
      <w:r>
        <w:rPr>
          <w:sz w:val="24"/>
        </w:rPr>
        <w:t>the</w:t>
      </w:r>
    </w:p>
    <w:p>
      <w:pPr>
        <w:spacing w:before="0"/>
        <w:ind w:left="1919" w:right="0" w:firstLine="0"/>
        <w:jc w:val="both"/>
        <w:rPr>
          <w:sz w:val="24"/>
        </w:rPr>
      </w:pPr>
      <w:r>
        <w:rPr>
          <w:i/>
          <w:sz w:val="24"/>
        </w:rPr>
        <w:t>Connection Applicant </w:t>
      </w:r>
      <w:r>
        <w:rPr>
          <w:sz w:val="24"/>
        </w:rPr>
        <w:t>must negotiate and enter into:</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a </w:t>
      </w:r>
      <w:r>
        <w:rPr>
          <w:i/>
          <w:sz w:val="24"/>
        </w:rPr>
        <w:t>connection agreement </w:t>
      </w:r>
      <w:r>
        <w:rPr>
          <w:sz w:val="24"/>
        </w:rPr>
        <w:t>with each relevant </w:t>
      </w:r>
      <w:r>
        <w:rPr>
          <w:i/>
          <w:sz w:val="24"/>
        </w:rPr>
        <w:t>Network Service Provider </w:t>
      </w:r>
      <w:r>
        <w:rPr>
          <w:sz w:val="24"/>
        </w:rPr>
        <w:t>identified in accordance with clauses 5.3.3(b)(3) and (4) or clauses S5.4.A(d) and (e);</w:t>
      </w:r>
      <w:r>
        <w:rPr>
          <w:spacing w:val="-2"/>
          <w:sz w:val="24"/>
        </w:rPr>
        <w:t> </w:t>
      </w:r>
      <w:r>
        <w:rPr>
          <w:sz w:val="24"/>
        </w:rPr>
        <w:t>and</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if applicable, a </w:t>
      </w:r>
      <w:r>
        <w:rPr>
          <w:i/>
          <w:sz w:val="24"/>
        </w:rPr>
        <w:t>network operating agreement </w:t>
      </w:r>
      <w:r>
        <w:rPr>
          <w:sz w:val="24"/>
        </w:rPr>
        <w:t>with the </w:t>
      </w:r>
      <w:r>
        <w:rPr>
          <w:i/>
          <w:sz w:val="24"/>
        </w:rPr>
        <w:t>Primary </w:t>
      </w:r>
      <w:r>
        <w:rPr>
          <w:i/>
          <w:sz w:val="24"/>
        </w:rPr>
        <w:t>Transmission Network Service</w:t>
      </w:r>
      <w:r>
        <w:rPr>
          <w:i/>
          <w:spacing w:val="-2"/>
          <w:sz w:val="24"/>
        </w:rPr>
        <w:t> </w:t>
      </w:r>
      <w:r>
        <w:rPr>
          <w:i/>
          <w:sz w:val="24"/>
        </w:rPr>
        <w:t>Provider</w:t>
      </w:r>
      <w:r>
        <w:rPr>
          <w:sz w:val="24"/>
        </w:rPr>
        <w:t>,</w:t>
      </w:r>
    </w:p>
    <w:p>
      <w:pPr>
        <w:spacing w:before="120"/>
        <w:ind w:left="1919" w:right="414" w:firstLine="0"/>
        <w:jc w:val="both"/>
        <w:rPr>
          <w:sz w:val="24"/>
        </w:rPr>
      </w:pPr>
      <w:r>
        <w:rPr>
          <w:sz w:val="24"/>
        </w:rPr>
        <w:t>and in doing so must use its reasonable endeavours to negotiate in good faith with all parties with which the </w:t>
      </w:r>
      <w:r>
        <w:rPr>
          <w:i/>
          <w:sz w:val="24"/>
        </w:rPr>
        <w:t>Connection Applicant </w:t>
      </w:r>
      <w:r>
        <w:rPr>
          <w:sz w:val="24"/>
        </w:rPr>
        <w:t>must negotiate such a </w:t>
      </w:r>
      <w:r>
        <w:rPr>
          <w:i/>
          <w:sz w:val="24"/>
        </w:rPr>
        <w:t>connection agreement </w:t>
      </w:r>
      <w:r>
        <w:rPr>
          <w:sz w:val="24"/>
        </w:rPr>
        <w:t>and (if applicable) </w:t>
      </w:r>
      <w:r>
        <w:rPr>
          <w:i/>
          <w:sz w:val="24"/>
        </w:rPr>
        <w:t>network operating </w:t>
      </w:r>
      <w:r>
        <w:rPr>
          <w:i/>
          <w:sz w:val="24"/>
        </w:rPr>
        <w:t>agreement</w:t>
      </w:r>
      <w:r>
        <w:rPr>
          <w:sz w:val="24"/>
        </w:rPr>
        <w:t>.</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The </w:t>
      </w:r>
      <w:r>
        <w:rPr>
          <w:i/>
          <w:sz w:val="24"/>
        </w:rPr>
        <w:t>connection agreement </w:t>
      </w:r>
      <w:r>
        <w:rPr>
          <w:sz w:val="24"/>
        </w:rPr>
        <w:t>must include proposed </w:t>
      </w:r>
      <w:r>
        <w:rPr>
          <w:i/>
          <w:sz w:val="24"/>
        </w:rPr>
        <w:t>performance standards </w:t>
      </w:r>
      <w:r>
        <w:rPr>
          <w:sz w:val="24"/>
        </w:rPr>
        <w:t>with respect to each of the technical requirements identified in accordance with </w:t>
      </w:r>
      <w:r>
        <w:rPr>
          <w:i/>
          <w:sz w:val="24"/>
        </w:rPr>
        <w:t>jurisdictional electricity legislation </w:t>
      </w:r>
      <w:r>
        <w:rPr>
          <w:sz w:val="24"/>
        </w:rPr>
        <w:t>and each proposed </w:t>
      </w:r>
      <w:r>
        <w:rPr>
          <w:i/>
          <w:sz w:val="24"/>
        </w:rPr>
        <w:t>performance </w:t>
      </w:r>
      <w:r>
        <w:rPr>
          <w:i/>
          <w:sz w:val="24"/>
        </w:rPr>
        <w:t>standard </w:t>
      </w:r>
      <w:r>
        <w:rPr>
          <w:sz w:val="24"/>
        </w:rPr>
        <w:t>must have been established in accordance with the relevant technical</w:t>
      </w:r>
      <w:r>
        <w:rPr>
          <w:spacing w:val="-1"/>
          <w:sz w:val="24"/>
        </w:rPr>
        <w:t> </w:t>
      </w:r>
      <w:r>
        <w:rPr>
          <w:sz w:val="24"/>
        </w:rPr>
        <w:t>requirement.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(b) will be requirements that correspond to the matters set out in schedules 5.2 and 5.3 in the </w:t>
      </w:r>
      <w:r>
        <w:rPr>
          <w:i/>
          <w:sz w:val="20"/>
        </w:rPr>
        <w:t>Rules </w:t>
      </w:r>
      <w:r>
        <w:rPr>
          <w:sz w:val="20"/>
        </w:rPr>
        <w:t>applying in other </w:t>
      </w:r>
      <w:r>
        <w:rPr>
          <w:i/>
          <w:sz w:val="20"/>
        </w:rPr>
        <w:t>participating jurisdictions</w:t>
      </w:r>
      <w:r>
        <w:rPr>
          <w:sz w:val="20"/>
        </w:rPr>
        <w:t>. The application of paragraph (b)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The proposed </w:t>
      </w:r>
      <w:r>
        <w:rPr>
          <w:i/>
          <w:sz w:val="24"/>
        </w:rPr>
        <w:t>performance standards </w:t>
      </w:r>
      <w:r>
        <w:rPr>
          <w:sz w:val="24"/>
        </w:rPr>
        <w:t>must be based on the </w:t>
      </w:r>
      <w:r>
        <w:rPr>
          <w:i/>
          <w:sz w:val="24"/>
        </w:rPr>
        <w:t>automatic </w:t>
      </w:r>
      <w:r>
        <w:rPr>
          <w:i/>
          <w:sz w:val="24"/>
        </w:rPr>
        <w:t>access standard </w:t>
      </w:r>
      <w:r>
        <w:rPr>
          <w:sz w:val="24"/>
        </w:rPr>
        <w:t>or, if the procedures in clause 5.3.4A have been followed, the </w:t>
      </w:r>
      <w:r>
        <w:rPr>
          <w:i/>
          <w:sz w:val="24"/>
        </w:rPr>
        <w:t>negotiated access</w:t>
      </w:r>
      <w:r>
        <w:rPr>
          <w:i/>
          <w:spacing w:val="-2"/>
          <w:sz w:val="24"/>
        </w:rPr>
        <w:t> </w:t>
      </w:r>
      <w:r>
        <w:rPr>
          <w:i/>
          <w:sz w:val="24"/>
        </w:rPr>
        <w:t>standard</w:t>
      </w:r>
      <w:r>
        <w:rPr>
          <w:sz w:val="24"/>
        </w:rPr>
        <w:t>.</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The provision of </w:t>
      </w:r>
      <w:r>
        <w:rPr>
          <w:i/>
          <w:sz w:val="24"/>
        </w:rPr>
        <w:t>connection </w:t>
      </w:r>
      <w:r>
        <w:rPr>
          <w:sz w:val="24"/>
        </w:rPr>
        <w:t>by any </w:t>
      </w:r>
      <w:r>
        <w:rPr>
          <w:i/>
          <w:sz w:val="24"/>
        </w:rPr>
        <w:t>Network Service Provider </w:t>
      </w:r>
      <w:r>
        <w:rPr>
          <w:sz w:val="24"/>
        </w:rPr>
        <w:t>may be </w:t>
      </w:r>
      <w:r>
        <w:rPr>
          <w:spacing w:val="-4"/>
          <w:sz w:val="24"/>
        </w:rPr>
        <w:t>made </w:t>
      </w:r>
      <w:r>
        <w:rPr>
          <w:sz w:val="24"/>
        </w:rPr>
        <w:t>subject to gaining environmental and planning approvals for any necessary </w:t>
      </w:r>
      <w:r>
        <w:rPr>
          <w:i/>
          <w:sz w:val="24"/>
        </w:rPr>
        <w:t>augmentation </w:t>
      </w:r>
      <w:r>
        <w:rPr>
          <w:sz w:val="24"/>
        </w:rPr>
        <w:t>or </w:t>
      </w:r>
      <w:r>
        <w:rPr>
          <w:i/>
          <w:sz w:val="24"/>
        </w:rPr>
        <w:t>extension </w:t>
      </w:r>
      <w:r>
        <w:rPr>
          <w:sz w:val="24"/>
        </w:rPr>
        <w:t>works to a</w:t>
      </w:r>
      <w:r>
        <w:rPr>
          <w:spacing w:val="-2"/>
          <w:sz w:val="24"/>
        </w:rPr>
        <w:t> </w:t>
      </w:r>
      <w:r>
        <w:rPr>
          <w:i/>
          <w:sz w:val="24"/>
        </w:rPr>
        <w:t>network</w:t>
      </w:r>
      <w:r>
        <w:rPr>
          <w:sz w:val="24"/>
        </w:rPr>
        <w:t>.</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Where permitted by the applicable law in the relevant </w:t>
      </w:r>
      <w:r>
        <w:rPr>
          <w:i/>
          <w:sz w:val="24"/>
        </w:rPr>
        <w:t>participating </w:t>
      </w:r>
      <w:r>
        <w:rPr>
          <w:i/>
          <w:sz w:val="24"/>
        </w:rPr>
        <w:t>jurisdiction</w:t>
      </w:r>
      <w:r>
        <w:rPr>
          <w:sz w:val="24"/>
        </w:rPr>
        <w:t>, the </w:t>
      </w:r>
      <w:r>
        <w:rPr>
          <w:i/>
          <w:sz w:val="24"/>
        </w:rPr>
        <w:t>connection agreement </w:t>
      </w:r>
      <w:r>
        <w:rPr>
          <w:sz w:val="24"/>
        </w:rPr>
        <w:t>may assign responsibility to the </w:t>
      </w:r>
      <w:r>
        <w:rPr>
          <w:i/>
          <w:sz w:val="24"/>
        </w:rPr>
        <w:t>Connection</w:t>
      </w:r>
      <w:r>
        <w:rPr>
          <w:i/>
          <w:spacing w:val="30"/>
          <w:sz w:val="24"/>
        </w:rPr>
        <w:t> </w:t>
      </w:r>
      <w:r>
        <w:rPr>
          <w:i/>
          <w:sz w:val="24"/>
        </w:rPr>
        <w:t>Applicant</w:t>
      </w:r>
      <w:r>
        <w:rPr>
          <w:i/>
          <w:spacing w:val="30"/>
          <w:sz w:val="24"/>
        </w:rPr>
        <w:t> </w:t>
      </w:r>
      <w:r>
        <w:rPr>
          <w:sz w:val="24"/>
        </w:rPr>
        <w:t>for</w:t>
      </w:r>
      <w:r>
        <w:rPr>
          <w:spacing w:val="31"/>
          <w:sz w:val="24"/>
        </w:rPr>
        <w:t> </w:t>
      </w:r>
      <w:r>
        <w:rPr>
          <w:sz w:val="24"/>
        </w:rPr>
        <w:t>obtaining</w:t>
      </w:r>
      <w:r>
        <w:rPr>
          <w:spacing w:val="30"/>
          <w:sz w:val="24"/>
        </w:rPr>
        <w:t> </w:t>
      </w:r>
      <w:r>
        <w:rPr>
          <w:sz w:val="24"/>
        </w:rPr>
        <w:t>the</w:t>
      </w:r>
      <w:r>
        <w:rPr>
          <w:spacing w:val="30"/>
          <w:sz w:val="24"/>
        </w:rPr>
        <w:t> </w:t>
      </w:r>
      <w:r>
        <w:rPr>
          <w:sz w:val="24"/>
        </w:rPr>
        <w:t>approvals</w:t>
      </w:r>
      <w:r>
        <w:rPr>
          <w:spacing w:val="32"/>
          <w:sz w:val="24"/>
        </w:rPr>
        <w:t> </w:t>
      </w:r>
      <w:r>
        <w:rPr>
          <w:sz w:val="24"/>
        </w:rPr>
        <w:t>referred</w:t>
      </w:r>
      <w:r>
        <w:rPr>
          <w:spacing w:val="30"/>
          <w:sz w:val="24"/>
        </w:rPr>
        <w:t> </w:t>
      </w:r>
      <w:r>
        <w:rPr>
          <w:sz w:val="24"/>
        </w:rPr>
        <w:t>to</w:t>
      </w:r>
      <w:r>
        <w:rPr>
          <w:spacing w:val="31"/>
          <w:sz w:val="24"/>
        </w:rPr>
        <w:t> </w:t>
      </w:r>
      <w:r>
        <w:rPr>
          <w:sz w:val="24"/>
        </w:rPr>
        <w:t>in</w:t>
      </w:r>
      <w:r>
        <w:rPr>
          <w:spacing w:val="31"/>
          <w:sz w:val="24"/>
        </w:rPr>
        <w:t> </w:t>
      </w:r>
      <w:r>
        <w:rPr>
          <w:sz w:val="24"/>
        </w:rPr>
        <w:t>paragraph</w:t>
      </w:r>
    </w:p>
    <w:p>
      <w:pPr>
        <w:pStyle w:val="BodyText"/>
        <w:spacing w:before="0"/>
        <w:ind w:left="1919" w:right="415" w:firstLine="0"/>
      </w:pPr>
      <w:r>
        <w:rPr/>
        <w:t>(d) as part of the project proposal and the </w:t>
      </w:r>
      <w:r>
        <w:rPr>
          <w:i/>
        </w:rPr>
        <w:t>Network Service Provider </w:t>
      </w:r>
      <w:r>
        <w:rPr/>
        <w:t>must provide all reasonable information and may provide reasonable assistance for a reasonable fee to enable preparation of applications for such</w:t>
      </w:r>
      <w:r>
        <w:rPr>
          <w:spacing w:val="-8"/>
        </w:rPr>
        <w:t> </w:t>
      </w:r>
      <w:r>
        <w:rPr/>
        <w:t>approvals.</w:t>
      </w:r>
    </w:p>
    <w:p>
      <w:pPr>
        <w:pStyle w:val="ListParagraph"/>
        <w:numPr>
          <w:ilvl w:val="3"/>
          <w:numId w:val="175"/>
        </w:numPr>
        <w:tabs>
          <w:tab w:pos="1920" w:val="left" w:leader="none"/>
        </w:tabs>
        <w:spacing w:line="240" w:lineRule="auto" w:before="120" w:after="0"/>
        <w:ind w:left="1919" w:right="415" w:hanging="567"/>
        <w:jc w:val="both"/>
        <w:rPr>
          <w:sz w:val="24"/>
        </w:rPr>
      </w:pPr>
      <w:r>
        <w:rPr>
          <w:sz w:val="24"/>
        </w:rPr>
        <w:t>Subject to paragraph (e), each </w:t>
      </w:r>
      <w:r>
        <w:rPr>
          <w:i/>
          <w:sz w:val="24"/>
        </w:rPr>
        <w:t>connection agreement </w:t>
      </w:r>
      <w:r>
        <w:rPr>
          <w:sz w:val="24"/>
        </w:rPr>
        <w:t>must be based on the offer to </w:t>
      </w:r>
      <w:r>
        <w:rPr>
          <w:i/>
          <w:sz w:val="24"/>
        </w:rPr>
        <w:t>connect </w:t>
      </w:r>
      <w:r>
        <w:rPr>
          <w:sz w:val="24"/>
        </w:rPr>
        <w:t>as varied by agreement between the</w:t>
      </w:r>
      <w:r>
        <w:rPr>
          <w:spacing w:val="-1"/>
          <w:sz w:val="24"/>
        </w:rPr>
        <w:t> </w:t>
      </w:r>
      <w:r>
        <w:rPr>
          <w:sz w:val="24"/>
        </w:rPr>
        <w:t>parties.</w:t>
      </w:r>
    </w:p>
    <w:p>
      <w:pPr>
        <w:spacing w:before="120"/>
        <w:ind w:left="1919" w:right="415" w:hanging="567"/>
        <w:jc w:val="both"/>
        <w:rPr>
          <w:sz w:val="24"/>
        </w:rPr>
      </w:pPr>
      <w:r>
        <w:rPr>
          <w:sz w:val="24"/>
        </w:rPr>
        <w:t>(f1) The parties may agree to have one </w:t>
      </w:r>
      <w:r>
        <w:rPr>
          <w:i/>
          <w:sz w:val="24"/>
        </w:rPr>
        <w:t>connection agreement </w:t>
      </w:r>
      <w:r>
        <w:rPr>
          <w:sz w:val="24"/>
        </w:rPr>
        <w:t>between a </w:t>
      </w:r>
      <w:r>
        <w:rPr>
          <w:i/>
          <w:sz w:val="24"/>
        </w:rPr>
        <w:t>Primary </w:t>
      </w:r>
      <w:r>
        <w:rPr>
          <w:i/>
          <w:sz w:val="24"/>
        </w:rPr>
        <w:t>Transmission Network Service Provider</w:t>
      </w:r>
      <w:r>
        <w:rPr>
          <w:sz w:val="24"/>
        </w:rPr>
        <w:t>, </w:t>
      </w:r>
      <w:r>
        <w:rPr>
          <w:i/>
          <w:sz w:val="24"/>
        </w:rPr>
        <w:t>Dedicated Connection Asset </w:t>
      </w:r>
      <w:r>
        <w:rPr>
          <w:i/>
          <w:sz w:val="24"/>
        </w:rPr>
        <w:t>Service Provider </w:t>
      </w:r>
      <w:r>
        <w:rPr>
          <w:sz w:val="24"/>
        </w:rPr>
        <w:t>and a </w:t>
      </w:r>
      <w:r>
        <w:rPr>
          <w:i/>
          <w:sz w:val="24"/>
        </w:rPr>
        <w:t>Transmission Network User </w:t>
      </w:r>
      <w:r>
        <w:rPr>
          <w:sz w:val="24"/>
        </w:rPr>
        <w:t>for a </w:t>
      </w:r>
      <w:r>
        <w:rPr>
          <w:i/>
          <w:sz w:val="24"/>
        </w:rPr>
        <w:t>connection</w:t>
      </w:r>
      <w:r>
        <w:rPr>
          <w:sz w:val="24"/>
        </w:rPr>
        <w:t>.</w:t>
      </w:r>
    </w:p>
    <w:p>
      <w:pPr>
        <w:spacing w:before="120"/>
        <w:ind w:left="1919" w:right="415" w:hanging="567"/>
        <w:jc w:val="both"/>
        <w:rPr>
          <w:sz w:val="24"/>
        </w:rPr>
      </w:pPr>
      <w:r>
        <w:rPr>
          <w:sz w:val="24"/>
        </w:rPr>
        <w:t>(f2) A </w:t>
      </w:r>
      <w:r>
        <w:rPr>
          <w:i/>
          <w:sz w:val="24"/>
        </w:rPr>
        <w:t>network operating agreement </w:t>
      </w:r>
      <w:r>
        <w:rPr>
          <w:sz w:val="24"/>
        </w:rPr>
        <w:t>must be based on the offer to </w:t>
      </w:r>
      <w:r>
        <w:rPr>
          <w:i/>
          <w:sz w:val="24"/>
        </w:rPr>
        <w:t>connect </w:t>
      </w:r>
      <w:r>
        <w:rPr>
          <w:sz w:val="24"/>
        </w:rPr>
        <w:t>as varied by agreement between the parties.</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Within 20 </w:t>
      </w:r>
      <w:r>
        <w:rPr>
          <w:i/>
          <w:sz w:val="24"/>
        </w:rPr>
        <w:t>business days </w:t>
      </w:r>
      <w:r>
        <w:rPr>
          <w:sz w:val="24"/>
        </w:rPr>
        <w:t>of execution of the </w:t>
      </w:r>
      <w:r>
        <w:rPr>
          <w:i/>
          <w:sz w:val="24"/>
        </w:rPr>
        <w:t>connection agreement</w:t>
      </w:r>
      <w:r>
        <w:rPr>
          <w:sz w:val="24"/>
        </w:rPr>
        <w:t>,</w:t>
      </w:r>
      <w:r>
        <w:rPr>
          <w:spacing w:val="17"/>
          <w:sz w:val="24"/>
        </w:rPr>
        <w:t> </w:t>
      </w:r>
      <w:r>
        <w:rPr>
          <w:sz w:val="24"/>
        </w:rPr>
        <w:t>the</w:t>
      </w:r>
    </w:p>
    <w:p>
      <w:pPr>
        <w:spacing w:before="0"/>
        <w:ind w:left="1919" w:right="0" w:firstLine="0"/>
        <w:jc w:val="both"/>
        <w:rPr>
          <w:sz w:val="24"/>
        </w:rPr>
      </w:pPr>
      <w:r>
        <w:rPr>
          <w:i/>
          <w:sz w:val="24"/>
        </w:rPr>
        <w:t>Network Service Provider </w:t>
      </w:r>
      <w:r>
        <w:rPr>
          <w:sz w:val="24"/>
        </w:rPr>
        <w:t>responsible for the </w:t>
      </w:r>
      <w:r>
        <w:rPr>
          <w:i/>
          <w:sz w:val="24"/>
        </w:rPr>
        <w:t>connection point </w:t>
      </w:r>
      <w:r>
        <w:rPr>
          <w:sz w:val="24"/>
        </w:rPr>
        <w:t>and the</w:t>
      </w:r>
    </w:p>
    <w:p>
      <w:pPr>
        <w:spacing w:after="0"/>
        <w:jc w:val="both"/>
        <w:rPr>
          <w:sz w:val="24"/>
        </w:rPr>
        <w:sectPr>
          <w:pgSz w:w="11910" w:h="16840"/>
          <w:pgMar w:header="686" w:footer="637" w:top="1320" w:bottom="820" w:left="1200" w:right="1000"/>
        </w:sectPr>
      </w:pPr>
    </w:p>
    <w:p>
      <w:pPr>
        <w:spacing w:before="83"/>
        <w:ind w:left="1919" w:right="415" w:firstLine="0"/>
        <w:jc w:val="both"/>
        <w:rPr>
          <w:sz w:val="24"/>
        </w:rPr>
      </w:pPr>
      <w:r>
        <w:rPr>
          <w:i/>
          <w:sz w:val="24"/>
        </w:rPr>
        <w:t>Registered Participant </w:t>
      </w:r>
      <w:r>
        <w:rPr>
          <w:sz w:val="24"/>
        </w:rPr>
        <w:t>must jointly notify </w:t>
      </w:r>
      <w:r>
        <w:rPr>
          <w:i/>
          <w:sz w:val="24"/>
        </w:rPr>
        <w:t>NTESMO </w:t>
      </w:r>
      <w:r>
        <w:rPr>
          <w:sz w:val="24"/>
        </w:rPr>
        <w:t>that a </w:t>
      </w:r>
      <w:r>
        <w:rPr>
          <w:i/>
          <w:sz w:val="24"/>
        </w:rPr>
        <w:t>connection </w:t>
      </w:r>
      <w:r>
        <w:rPr>
          <w:i/>
          <w:sz w:val="24"/>
        </w:rPr>
        <w:t>agreement </w:t>
      </w:r>
      <w:r>
        <w:rPr>
          <w:sz w:val="24"/>
        </w:rPr>
        <w:t>has been entered into between them and forward to </w:t>
      </w:r>
      <w:r>
        <w:rPr>
          <w:i/>
          <w:sz w:val="24"/>
        </w:rPr>
        <w:t>NTESMO </w:t>
      </w:r>
      <w:r>
        <w:rPr>
          <w:sz w:val="24"/>
        </w:rPr>
        <w:t>relevant technical details of the proposed </w:t>
      </w:r>
      <w:r>
        <w:rPr>
          <w:i/>
          <w:sz w:val="24"/>
        </w:rPr>
        <w:t>plant </w:t>
      </w:r>
      <w:r>
        <w:rPr>
          <w:sz w:val="24"/>
        </w:rPr>
        <w:t>and </w:t>
      </w:r>
      <w:r>
        <w:rPr>
          <w:i/>
          <w:sz w:val="24"/>
        </w:rPr>
        <w:t>connection</w:t>
      </w:r>
      <w:r>
        <w:rPr>
          <w:sz w:val="24"/>
        </w:rPr>
        <w:t>, including as applicable:</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details of all </w:t>
      </w:r>
      <w:r>
        <w:rPr>
          <w:i/>
          <w:sz w:val="24"/>
        </w:rPr>
        <w:t>performance standards </w:t>
      </w:r>
      <w:r>
        <w:rPr>
          <w:sz w:val="24"/>
        </w:rPr>
        <w:t>that form part of the terms and conditions of the </w:t>
      </w:r>
      <w:r>
        <w:rPr>
          <w:i/>
          <w:sz w:val="24"/>
        </w:rPr>
        <w:t>connection</w:t>
      </w:r>
      <w:r>
        <w:rPr>
          <w:i/>
          <w:spacing w:val="-1"/>
          <w:sz w:val="24"/>
        </w:rPr>
        <w:t> </w:t>
      </w:r>
      <w:r>
        <w:rPr>
          <w:i/>
          <w:sz w:val="24"/>
        </w:rPr>
        <w:t>agreement</w:t>
      </w:r>
      <w:r>
        <w:rPr>
          <w:sz w:val="24"/>
        </w:rPr>
        <w:t>;</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if a </w:t>
      </w:r>
      <w:r>
        <w:rPr>
          <w:i/>
          <w:sz w:val="24"/>
        </w:rPr>
        <w:t>Generator</w:t>
      </w:r>
      <w:r>
        <w:rPr>
          <w:sz w:val="24"/>
        </w:rPr>
        <w:t>, the arrangements</w:t>
      </w:r>
      <w:r>
        <w:rPr>
          <w:spacing w:val="-1"/>
          <w:sz w:val="24"/>
        </w:rPr>
        <w:t> </w:t>
      </w:r>
      <w:r>
        <w:rPr>
          <w:sz w:val="24"/>
        </w:rPr>
        <w:t>for:</w:t>
      </w:r>
    </w:p>
    <w:p>
      <w:pPr>
        <w:pStyle w:val="ListParagraph"/>
        <w:numPr>
          <w:ilvl w:val="5"/>
          <w:numId w:val="175"/>
        </w:numPr>
        <w:tabs>
          <w:tab w:pos="3053" w:val="left" w:leader="none"/>
        </w:tabs>
        <w:spacing w:line="240" w:lineRule="auto" w:before="120" w:after="0"/>
        <w:ind w:left="3053" w:right="416" w:hanging="567"/>
        <w:jc w:val="both"/>
        <w:rPr>
          <w:sz w:val="24"/>
        </w:rPr>
      </w:pPr>
      <w:r>
        <w:rPr>
          <w:sz w:val="24"/>
        </w:rPr>
        <w:t>updating the </w:t>
      </w:r>
      <w:r>
        <w:rPr>
          <w:i/>
          <w:sz w:val="24"/>
        </w:rPr>
        <w:t>releasable user guide </w:t>
      </w:r>
      <w:r>
        <w:rPr>
          <w:sz w:val="24"/>
        </w:rPr>
        <w:t>and other information required under clause S5.2.4(b);</w:t>
      </w:r>
      <w:r>
        <w:rPr>
          <w:spacing w:val="-2"/>
          <w:sz w:val="24"/>
        </w:rPr>
        <w:t> </w:t>
      </w:r>
      <w:r>
        <w:rPr>
          <w:sz w:val="24"/>
        </w:rPr>
        <w:t>and</w:t>
      </w:r>
    </w:p>
    <w:p>
      <w:pPr>
        <w:pStyle w:val="ListParagraph"/>
        <w:numPr>
          <w:ilvl w:val="5"/>
          <w:numId w:val="175"/>
        </w:numPr>
        <w:tabs>
          <w:tab w:pos="3054" w:val="left" w:leader="none"/>
        </w:tabs>
        <w:spacing w:line="240" w:lineRule="auto" w:before="120" w:after="0"/>
        <w:ind w:left="3053" w:right="415" w:hanging="567"/>
        <w:jc w:val="both"/>
        <w:rPr>
          <w:sz w:val="24"/>
        </w:rPr>
      </w:pPr>
      <w:r>
        <w:rPr>
          <w:sz w:val="24"/>
        </w:rPr>
        <w:t>informing </w:t>
      </w:r>
      <w:r>
        <w:rPr>
          <w:i/>
          <w:sz w:val="24"/>
        </w:rPr>
        <w:t>NTESMO </w:t>
      </w:r>
      <w:r>
        <w:rPr>
          <w:sz w:val="24"/>
        </w:rPr>
        <w:t>when the </w:t>
      </w:r>
      <w:r>
        <w:rPr>
          <w:i/>
          <w:sz w:val="24"/>
        </w:rPr>
        <w:t>connection agreement </w:t>
      </w:r>
      <w:r>
        <w:rPr>
          <w:sz w:val="24"/>
        </w:rPr>
        <w:t>expires or is</w:t>
      </w:r>
      <w:r>
        <w:rPr>
          <w:spacing w:val="-1"/>
          <w:sz w:val="24"/>
        </w:rPr>
        <w:t> </w:t>
      </w:r>
      <w:r>
        <w:rPr>
          <w:sz w:val="24"/>
        </w:rPr>
        <w:t>terminated;</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proposed </w:t>
      </w:r>
      <w:r>
        <w:rPr>
          <w:i/>
          <w:sz w:val="24"/>
        </w:rPr>
        <w:t>metering</w:t>
      </w:r>
      <w:r>
        <w:rPr>
          <w:i/>
          <w:spacing w:val="-2"/>
          <w:sz w:val="24"/>
        </w:rPr>
        <w:t> </w:t>
      </w:r>
      <w:r>
        <w:rPr>
          <w:i/>
          <w:sz w:val="24"/>
        </w:rPr>
        <w:t>installation</w:t>
      </w:r>
      <w:r>
        <w:rPr>
          <w:sz w:val="24"/>
        </w:rPr>
        <w:t>;</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arrangements to obtain physical access to the </w:t>
      </w:r>
      <w:r>
        <w:rPr>
          <w:i/>
          <w:sz w:val="24"/>
        </w:rPr>
        <w:t>metering installation </w:t>
      </w:r>
      <w:r>
        <w:rPr>
          <w:sz w:val="24"/>
        </w:rPr>
        <w:t>for the </w:t>
      </w:r>
      <w:r>
        <w:rPr>
          <w:i/>
          <w:sz w:val="24"/>
        </w:rPr>
        <w:t>Metering Provider </w:t>
      </w:r>
      <w:r>
        <w:rPr>
          <w:sz w:val="24"/>
        </w:rPr>
        <w:t>and the </w:t>
      </w:r>
      <w:r>
        <w:rPr>
          <w:i/>
          <w:sz w:val="24"/>
        </w:rPr>
        <w:t>Metering Data Provider </w:t>
      </w:r>
      <w:r>
        <w:rPr>
          <w:sz w:val="24"/>
        </w:rPr>
        <w:t>for </w:t>
      </w:r>
      <w:r>
        <w:rPr>
          <w:i/>
          <w:sz w:val="24"/>
        </w:rPr>
        <w:t>metering </w:t>
      </w:r>
      <w:r>
        <w:rPr>
          <w:i/>
          <w:sz w:val="24"/>
        </w:rPr>
        <w:t>installations </w:t>
      </w:r>
      <w:r>
        <w:rPr>
          <w:sz w:val="24"/>
        </w:rPr>
        <w:t>type 4A, 5 and</w:t>
      </w:r>
      <w:r>
        <w:rPr>
          <w:spacing w:val="-1"/>
          <w:sz w:val="24"/>
        </w:rPr>
        <w:t> </w:t>
      </w:r>
      <w:r>
        <w:rPr>
          <w:sz w:val="24"/>
        </w:rPr>
        <w:t>6;</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w:t>
      </w:r>
      <w:r>
        <w:rPr>
          <w:spacing w:val="14"/>
          <w:sz w:val="24"/>
        </w:rPr>
        <w:t> </w:t>
      </w:r>
      <w:r>
        <w:rPr>
          <w:sz w:val="24"/>
        </w:rPr>
        <w:t>terms</w:t>
      </w:r>
      <w:r>
        <w:rPr>
          <w:spacing w:val="14"/>
          <w:sz w:val="24"/>
        </w:rPr>
        <w:t> </w:t>
      </w:r>
      <w:r>
        <w:rPr>
          <w:sz w:val="24"/>
        </w:rPr>
        <w:t>upon</w:t>
      </w:r>
      <w:r>
        <w:rPr>
          <w:spacing w:val="14"/>
          <w:sz w:val="24"/>
        </w:rPr>
        <w:t> </w:t>
      </w:r>
      <w:r>
        <w:rPr>
          <w:sz w:val="24"/>
        </w:rPr>
        <w:t>which</w:t>
      </w:r>
      <w:r>
        <w:rPr>
          <w:spacing w:val="14"/>
          <w:sz w:val="24"/>
        </w:rPr>
        <w:t> </w:t>
      </w:r>
      <w:r>
        <w:rPr>
          <w:sz w:val="24"/>
        </w:rPr>
        <w:t>a</w:t>
      </w:r>
      <w:r>
        <w:rPr>
          <w:spacing w:val="14"/>
          <w:sz w:val="24"/>
        </w:rPr>
        <w:t> </w:t>
      </w:r>
      <w:r>
        <w:rPr>
          <w:i/>
          <w:sz w:val="24"/>
        </w:rPr>
        <w:t>Registered</w:t>
      </w:r>
      <w:r>
        <w:rPr>
          <w:i/>
          <w:spacing w:val="13"/>
          <w:sz w:val="24"/>
        </w:rPr>
        <w:t> </w:t>
      </w:r>
      <w:r>
        <w:rPr>
          <w:i/>
          <w:sz w:val="24"/>
        </w:rPr>
        <w:t>Participant</w:t>
      </w:r>
      <w:r>
        <w:rPr>
          <w:i/>
          <w:spacing w:val="13"/>
          <w:sz w:val="24"/>
        </w:rPr>
        <w:t> </w:t>
      </w:r>
      <w:r>
        <w:rPr>
          <w:sz w:val="24"/>
        </w:rPr>
        <w:t>is</w:t>
      </w:r>
      <w:r>
        <w:rPr>
          <w:spacing w:val="14"/>
          <w:sz w:val="24"/>
        </w:rPr>
        <w:t> </w:t>
      </w:r>
      <w:r>
        <w:rPr>
          <w:sz w:val="24"/>
        </w:rPr>
        <w:t>to</w:t>
      </w:r>
      <w:r>
        <w:rPr>
          <w:spacing w:val="15"/>
          <w:sz w:val="24"/>
        </w:rPr>
        <w:t> </w:t>
      </w:r>
      <w:r>
        <w:rPr>
          <w:sz w:val="24"/>
        </w:rPr>
        <w:t>supply</w:t>
      </w:r>
      <w:r>
        <w:rPr>
          <w:spacing w:val="13"/>
          <w:sz w:val="24"/>
        </w:rPr>
        <w:t> </w:t>
      </w:r>
      <w:r>
        <w:rPr>
          <w:sz w:val="24"/>
        </w:rPr>
        <w:t>any</w:t>
      </w:r>
    </w:p>
    <w:p>
      <w:pPr>
        <w:spacing w:before="0"/>
        <w:ind w:left="2486" w:right="0" w:firstLine="0"/>
        <w:jc w:val="both"/>
        <w:rPr>
          <w:sz w:val="24"/>
        </w:rPr>
      </w:pPr>
      <w:r>
        <w:rPr>
          <w:i/>
          <w:sz w:val="24"/>
        </w:rPr>
        <w:t>ancillary services </w:t>
      </w:r>
      <w:r>
        <w:rPr>
          <w:sz w:val="24"/>
        </w:rPr>
        <w:t>under the </w:t>
      </w:r>
      <w:r>
        <w:rPr>
          <w:i/>
          <w:sz w:val="24"/>
        </w:rPr>
        <w:t>connection agreement</w:t>
      </w:r>
      <w:r>
        <w:rPr>
          <w:sz w:val="24"/>
        </w:rPr>
        <w:t>; and</w:t>
      </w:r>
    </w:p>
    <w:p>
      <w:pPr>
        <w:pStyle w:val="ListParagraph"/>
        <w:numPr>
          <w:ilvl w:val="4"/>
          <w:numId w:val="175"/>
        </w:numPr>
        <w:tabs>
          <w:tab w:pos="2486" w:val="left" w:leader="none"/>
        </w:tabs>
        <w:spacing w:line="240" w:lineRule="auto" w:before="120" w:after="0"/>
        <w:ind w:left="2486" w:right="417" w:hanging="567"/>
        <w:jc w:val="both"/>
        <w:rPr>
          <w:sz w:val="24"/>
        </w:rPr>
      </w:pPr>
      <w:r>
        <w:rPr>
          <w:sz w:val="24"/>
        </w:rPr>
        <w:t>the details of any </w:t>
      </w:r>
      <w:r>
        <w:rPr>
          <w:i/>
          <w:sz w:val="24"/>
        </w:rPr>
        <w:t>system strength remediation scheme </w:t>
      </w:r>
      <w:r>
        <w:rPr>
          <w:sz w:val="24"/>
        </w:rPr>
        <w:t>agreed, determined or modified under clause</w:t>
      </w:r>
      <w:r>
        <w:rPr>
          <w:spacing w:val="-1"/>
          <w:sz w:val="24"/>
        </w:rPr>
        <w:t> </w:t>
      </w:r>
      <w:r>
        <w:rPr>
          <w:sz w:val="24"/>
        </w:rPr>
        <w:t>5.3.4B.</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19" w:val="left" w:leader="none"/>
        </w:tabs>
        <w:spacing w:line="240" w:lineRule="auto" w:before="120" w:after="0"/>
        <w:ind w:left="1919" w:right="414" w:hanging="567"/>
        <w:jc w:val="both"/>
        <w:rPr>
          <w:sz w:val="24"/>
        </w:rPr>
      </w:pPr>
      <w:r>
        <w:rPr>
          <w:i/>
          <w:sz w:val="24"/>
        </w:rPr>
        <w:t>NTESMO </w:t>
      </w:r>
      <w:r>
        <w:rPr>
          <w:sz w:val="24"/>
        </w:rPr>
        <w:t>must, within 20 </w:t>
      </w:r>
      <w:r>
        <w:rPr>
          <w:i/>
          <w:sz w:val="24"/>
        </w:rPr>
        <w:t>business days </w:t>
      </w:r>
      <w:r>
        <w:rPr>
          <w:sz w:val="24"/>
        </w:rPr>
        <w:t>of receipt of the notice under paragraph (g), advise the relevant </w:t>
      </w:r>
      <w:r>
        <w:rPr>
          <w:i/>
          <w:sz w:val="24"/>
        </w:rPr>
        <w:t>Network Service Provider </w:t>
      </w:r>
      <w:r>
        <w:rPr>
          <w:sz w:val="24"/>
        </w:rPr>
        <w:t>and the </w:t>
      </w:r>
      <w:r>
        <w:rPr>
          <w:i/>
          <w:sz w:val="24"/>
        </w:rPr>
        <w:t>Registered Participant </w:t>
      </w:r>
      <w:r>
        <w:rPr>
          <w:sz w:val="24"/>
        </w:rPr>
        <w:t>of whether the proposed </w:t>
      </w:r>
      <w:r>
        <w:rPr>
          <w:i/>
          <w:sz w:val="24"/>
        </w:rPr>
        <w:t>metering installation </w:t>
      </w:r>
      <w:r>
        <w:rPr>
          <w:sz w:val="24"/>
        </w:rPr>
        <w:t>is acceptable for those </w:t>
      </w:r>
      <w:r>
        <w:rPr>
          <w:i/>
          <w:sz w:val="24"/>
        </w:rPr>
        <w:t>metering installations </w:t>
      </w:r>
      <w:r>
        <w:rPr>
          <w:sz w:val="24"/>
        </w:rPr>
        <w:t>associated with those </w:t>
      </w:r>
      <w:r>
        <w:rPr>
          <w:i/>
          <w:sz w:val="24"/>
        </w:rPr>
        <w:t>connection </w:t>
      </w:r>
      <w:r>
        <w:rPr>
          <w:i/>
          <w:sz w:val="24"/>
        </w:rPr>
        <w:t>points </w:t>
      </w:r>
      <w:r>
        <w:rPr>
          <w:sz w:val="24"/>
        </w:rPr>
        <w:t>which are classified as </w:t>
      </w:r>
      <w:r>
        <w:rPr>
          <w:i/>
          <w:sz w:val="24"/>
        </w:rPr>
        <w:t>metering installation </w:t>
      </w:r>
      <w:r>
        <w:rPr>
          <w:sz w:val="24"/>
        </w:rPr>
        <w:t>types 1, 2, 3 and 4 as specified in schedule</w:t>
      </w:r>
      <w:r>
        <w:rPr>
          <w:spacing w:val="-2"/>
          <w:sz w:val="24"/>
        </w:rPr>
        <w:t> </w:t>
      </w:r>
      <w:r>
        <w:rPr>
          <w:sz w:val="24"/>
        </w:rPr>
        <w:t>7A.4.</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1" w:right="0" w:hanging="1134"/>
        <w:jc w:val="left"/>
      </w:pPr>
      <w:bookmarkStart w:name="5.3.8 Provision and use of information" w:id="444"/>
      <w:bookmarkEnd w:id="444"/>
      <w:r>
        <w:rPr>
          <w:b w:val="0"/>
        </w:rPr>
      </w:r>
      <w:bookmarkStart w:name="_bookmark186" w:id="445"/>
      <w:bookmarkEnd w:id="445"/>
      <w:r>
        <w:rPr>
          <w:b w:val="0"/>
        </w:rPr>
      </w:r>
      <w:bookmarkStart w:name="_bookmark186" w:id="446"/>
      <w:bookmarkEnd w:id="446"/>
      <w:r>
        <w:rPr/>
        <w:t>Provision</w:t>
      </w:r>
      <w:r>
        <w:rPr/>
        <w:t> and use of</w:t>
      </w:r>
      <w:r>
        <w:rPr>
          <w:spacing w:val="-1"/>
        </w:rPr>
        <w:t> </w:t>
      </w:r>
      <w:r>
        <w:rPr/>
        <w:t>information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Paragraph (b)(1) and (2)(iv) of this clause has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provisions will be revisited as part of the phased implementation of the </w:t>
      </w:r>
      <w:r>
        <w:rPr>
          <w:i/>
          <w:sz w:val="20"/>
        </w:rPr>
        <w:t>Rules </w:t>
      </w:r>
      <w:r>
        <w:rPr>
          <w:sz w:val="20"/>
        </w:rPr>
        <w:t>in this</w:t>
      </w:r>
      <w:r>
        <w:rPr>
          <w:spacing w:val="-1"/>
          <w:sz w:val="20"/>
        </w:rPr>
        <w:t> </w:t>
      </w:r>
      <w:r>
        <w:rPr>
          <w:sz w:val="20"/>
        </w:rPr>
        <w:t>jurisdiction.</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The</w:t>
      </w:r>
      <w:r>
        <w:rPr>
          <w:spacing w:val="9"/>
          <w:sz w:val="24"/>
        </w:rPr>
        <w:t> </w:t>
      </w:r>
      <w:r>
        <w:rPr>
          <w:sz w:val="24"/>
        </w:rPr>
        <w:t>data</w:t>
      </w:r>
      <w:r>
        <w:rPr>
          <w:spacing w:val="10"/>
          <w:sz w:val="24"/>
        </w:rPr>
        <w:t> </w:t>
      </w:r>
      <w:r>
        <w:rPr>
          <w:sz w:val="24"/>
        </w:rPr>
        <w:t>and</w:t>
      </w:r>
      <w:r>
        <w:rPr>
          <w:spacing w:val="10"/>
          <w:sz w:val="24"/>
        </w:rPr>
        <w:t> </w:t>
      </w:r>
      <w:r>
        <w:rPr>
          <w:sz w:val="24"/>
        </w:rPr>
        <w:t>information</w:t>
      </w:r>
      <w:r>
        <w:rPr>
          <w:spacing w:val="10"/>
          <w:sz w:val="24"/>
        </w:rPr>
        <w:t> </w:t>
      </w:r>
      <w:r>
        <w:rPr>
          <w:sz w:val="24"/>
        </w:rPr>
        <w:t>provided</w:t>
      </w:r>
      <w:r>
        <w:rPr>
          <w:spacing w:val="9"/>
          <w:sz w:val="24"/>
        </w:rPr>
        <w:t> </w:t>
      </w:r>
      <w:r>
        <w:rPr>
          <w:sz w:val="24"/>
        </w:rPr>
        <w:t>under</w:t>
      </w:r>
      <w:r>
        <w:rPr>
          <w:spacing w:val="10"/>
          <w:sz w:val="24"/>
        </w:rPr>
        <w:t> </w:t>
      </w:r>
      <w:r>
        <w:rPr>
          <w:sz w:val="24"/>
        </w:rPr>
        <w:t>rules</w:t>
      </w:r>
      <w:r>
        <w:rPr>
          <w:spacing w:val="10"/>
          <w:sz w:val="24"/>
        </w:rPr>
        <w:t> </w:t>
      </w:r>
      <w:r>
        <w:rPr>
          <w:sz w:val="24"/>
        </w:rPr>
        <w:t>5.2A,</w:t>
      </w:r>
      <w:r>
        <w:rPr>
          <w:spacing w:val="10"/>
          <w:sz w:val="24"/>
        </w:rPr>
        <w:t> </w:t>
      </w:r>
      <w:r>
        <w:rPr>
          <w:sz w:val="24"/>
        </w:rPr>
        <w:t>5.3</w:t>
      </w:r>
      <w:r>
        <w:rPr>
          <w:spacing w:val="10"/>
          <w:sz w:val="24"/>
        </w:rPr>
        <w:t> </w:t>
      </w:r>
      <w:r>
        <w:rPr>
          <w:sz w:val="24"/>
        </w:rPr>
        <w:t>and</w:t>
      </w:r>
      <w:r>
        <w:rPr>
          <w:spacing w:val="9"/>
          <w:sz w:val="24"/>
        </w:rPr>
        <w:t> </w:t>
      </w:r>
      <w:r>
        <w:rPr>
          <w:sz w:val="24"/>
        </w:rPr>
        <w:t>5.3A</w:t>
      </w:r>
      <w:r>
        <w:rPr>
          <w:spacing w:val="10"/>
          <w:sz w:val="24"/>
        </w:rPr>
        <w:t> </w:t>
      </w:r>
      <w:r>
        <w:rPr>
          <w:sz w:val="24"/>
        </w:rPr>
        <w:t>is</w:t>
      </w:r>
    </w:p>
    <w:p>
      <w:pPr>
        <w:spacing w:before="0"/>
        <w:ind w:left="1919" w:right="0" w:firstLine="0"/>
        <w:jc w:val="both"/>
        <w:rPr>
          <w:sz w:val="24"/>
        </w:rPr>
      </w:pPr>
      <w:r>
        <w:rPr>
          <w:i/>
          <w:sz w:val="24"/>
        </w:rPr>
        <w:t>confidential information </w:t>
      </w:r>
      <w:r>
        <w:rPr>
          <w:sz w:val="24"/>
        </w:rPr>
        <w:t>and must:</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be prepared, given and used in good faith;</w:t>
      </w:r>
      <w:r>
        <w:rPr>
          <w:spacing w:val="-1"/>
          <w:sz w:val="24"/>
        </w:rPr>
        <w:t> </w:t>
      </w:r>
      <w:r>
        <w:rPr>
          <w:sz w:val="24"/>
        </w:rPr>
        <w:t>and</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not be disclosed or made available by the recipient to a third party except as set out in clause 3.13.3 or this clause 5.3.8 or in </w:t>
      </w:r>
      <w:r>
        <w:rPr>
          <w:spacing w:val="-3"/>
          <w:sz w:val="24"/>
        </w:rPr>
        <w:t>accordance </w:t>
      </w:r>
      <w:r>
        <w:rPr>
          <w:sz w:val="24"/>
        </w:rPr>
        <w:t>with rule</w:t>
      </w:r>
      <w:r>
        <w:rPr>
          <w:spacing w:val="-2"/>
          <w:sz w:val="24"/>
        </w:rPr>
        <w:t> </w:t>
      </w:r>
      <w:r>
        <w:rPr>
          <w:sz w:val="24"/>
        </w:rPr>
        <w:t>8.6.</w:t>
      </w:r>
    </w:p>
    <w:p>
      <w:pPr>
        <w:spacing w:before="120"/>
        <w:ind w:left="1919" w:right="415" w:hanging="567"/>
        <w:jc w:val="both"/>
        <w:rPr>
          <w:sz w:val="24"/>
        </w:rPr>
      </w:pPr>
      <w:r>
        <w:rPr>
          <w:sz w:val="24"/>
        </w:rPr>
        <w:t>(a1) The data and information provided to a </w:t>
      </w:r>
      <w:r>
        <w:rPr>
          <w:i/>
          <w:sz w:val="24"/>
        </w:rPr>
        <w:t>Primary Transmission Network </w:t>
      </w:r>
      <w:r>
        <w:rPr>
          <w:i/>
          <w:sz w:val="24"/>
        </w:rPr>
        <w:t>Service Provider </w:t>
      </w:r>
      <w:r>
        <w:rPr>
          <w:sz w:val="24"/>
        </w:rPr>
        <w:t>in relation to its provision of non-contestable services as</w:t>
      </w:r>
    </w:p>
    <w:p>
      <w:pPr>
        <w:spacing w:after="0"/>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specified under clause 5.2A.4(a) must not be used by the </w:t>
      </w:r>
      <w:r>
        <w:rPr>
          <w:i/>
          <w:sz w:val="24"/>
        </w:rPr>
        <w:t>Primary </w:t>
      </w:r>
      <w:r>
        <w:rPr>
          <w:i/>
          <w:sz w:val="24"/>
        </w:rPr>
        <w:t>Transmission Network Service Provider </w:t>
      </w:r>
      <w:r>
        <w:rPr>
          <w:sz w:val="24"/>
        </w:rPr>
        <w:t>for the purpose of tendering for, or negotiating, </w:t>
      </w:r>
      <w:r>
        <w:rPr>
          <w:i/>
          <w:sz w:val="24"/>
        </w:rPr>
        <w:t>contestable </w:t>
      </w:r>
      <w:r>
        <w:rPr>
          <w:sz w:val="24"/>
        </w:rPr>
        <w:t>services specified under clause 5.2A.4(a) in the </w:t>
      </w:r>
      <w:r>
        <w:rPr>
          <w:i/>
          <w:sz w:val="24"/>
        </w:rPr>
        <w:t>connection </w:t>
      </w:r>
      <w:r>
        <w:rPr>
          <w:sz w:val="24"/>
        </w:rPr>
        <w:t>process in which the data or information was given, or in future </w:t>
      </w:r>
      <w:r>
        <w:rPr>
          <w:i/>
          <w:sz w:val="24"/>
        </w:rPr>
        <w:t>connection </w:t>
      </w:r>
      <w:r>
        <w:rPr>
          <w:sz w:val="24"/>
        </w:rPr>
        <w:t>processes, without the consent of the </w:t>
      </w:r>
      <w:r>
        <w:rPr>
          <w:i/>
          <w:sz w:val="24"/>
        </w:rPr>
        <w:t>Connection Applicant</w:t>
      </w:r>
      <w:r>
        <w:rPr>
          <w:sz w:val="24"/>
        </w:rPr>
        <w:t>.</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The data and information to be provided under this rule 5.3 may be shared between a </w:t>
      </w:r>
      <w:r>
        <w:rPr>
          <w:i/>
          <w:sz w:val="24"/>
        </w:rPr>
        <w:t>Network Service Provider </w:t>
      </w:r>
      <w:r>
        <w:rPr>
          <w:sz w:val="24"/>
        </w:rPr>
        <w:t>and </w:t>
      </w:r>
      <w:r>
        <w:rPr>
          <w:i/>
          <w:sz w:val="24"/>
        </w:rPr>
        <w:t>NTESMO </w:t>
      </w:r>
      <w:r>
        <w:rPr>
          <w:sz w:val="24"/>
        </w:rPr>
        <w:t>for the purpose of enabling:</w:t>
      </w:r>
    </w:p>
    <w:p>
      <w:pPr>
        <w:pStyle w:val="ListParagraph"/>
        <w:numPr>
          <w:ilvl w:val="4"/>
          <w:numId w:val="175"/>
        </w:numPr>
        <w:tabs>
          <w:tab w:pos="2486" w:val="left" w:leader="none"/>
        </w:tabs>
        <w:spacing w:line="240" w:lineRule="auto" w:before="120" w:after="0"/>
        <w:ind w:left="2485" w:right="0" w:hanging="567"/>
        <w:jc w:val="both"/>
        <w:rPr>
          <w:i/>
          <w:sz w:val="24"/>
        </w:rPr>
      </w:pPr>
      <w:r>
        <w:rPr>
          <w:sz w:val="24"/>
        </w:rPr>
        <w:t>the </w:t>
      </w:r>
      <w:r>
        <w:rPr>
          <w:i/>
          <w:sz w:val="24"/>
        </w:rPr>
        <w:t>Network Service Provider </w:t>
      </w:r>
      <w:r>
        <w:rPr>
          <w:sz w:val="24"/>
        </w:rPr>
        <w:t>to advise </w:t>
      </w:r>
      <w:r>
        <w:rPr>
          <w:i/>
          <w:sz w:val="24"/>
        </w:rPr>
        <w:t>NTESMO </w:t>
      </w:r>
      <w:r>
        <w:rPr>
          <w:sz w:val="24"/>
        </w:rPr>
        <w:t>of </w:t>
      </w:r>
      <w:r>
        <w:rPr>
          <w:i/>
          <w:sz w:val="24"/>
        </w:rPr>
        <w:t>ancillary</w:t>
      </w:r>
      <w:r>
        <w:rPr>
          <w:i/>
          <w:spacing w:val="12"/>
          <w:sz w:val="24"/>
        </w:rPr>
        <w:t> </w:t>
      </w:r>
      <w:r>
        <w:rPr>
          <w:i/>
          <w:sz w:val="24"/>
        </w:rPr>
        <w:t>services</w:t>
      </w:r>
    </w:p>
    <w:p>
      <w:pPr>
        <w:pStyle w:val="BodyText"/>
        <w:spacing w:before="0"/>
        <w:ind w:left="2486" w:firstLine="0"/>
      </w:pPr>
      <w:r>
        <w:rPr/>
        <w:t>; and</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either party</w:t>
      </w:r>
      <w:r>
        <w:rPr>
          <w:spacing w:val="-1"/>
          <w:sz w:val="24"/>
        </w:rPr>
        <w:t> </w:t>
      </w:r>
      <w:r>
        <w:rPr>
          <w:sz w:val="24"/>
        </w:rPr>
        <w:t>to:</w:t>
      </w:r>
    </w:p>
    <w:p>
      <w:pPr>
        <w:pStyle w:val="ListParagraph"/>
        <w:numPr>
          <w:ilvl w:val="5"/>
          <w:numId w:val="175"/>
        </w:numPr>
        <w:tabs>
          <w:tab w:pos="3053" w:val="left" w:leader="none"/>
        </w:tabs>
        <w:spacing w:line="240" w:lineRule="auto" w:before="120" w:after="0"/>
        <w:ind w:left="3052" w:right="0" w:hanging="567"/>
        <w:jc w:val="both"/>
        <w:rPr>
          <w:sz w:val="24"/>
        </w:rPr>
      </w:pPr>
      <w:r>
        <w:rPr>
          <w:sz w:val="24"/>
        </w:rPr>
        <w:t>assess</w:t>
      </w:r>
      <w:r>
        <w:rPr>
          <w:spacing w:val="17"/>
          <w:sz w:val="24"/>
        </w:rPr>
        <w:t> </w:t>
      </w:r>
      <w:r>
        <w:rPr>
          <w:sz w:val="24"/>
        </w:rPr>
        <w:t>the</w:t>
      </w:r>
      <w:r>
        <w:rPr>
          <w:spacing w:val="18"/>
          <w:sz w:val="24"/>
        </w:rPr>
        <w:t> </w:t>
      </w:r>
      <w:r>
        <w:rPr>
          <w:sz w:val="24"/>
        </w:rPr>
        <w:t>effect</w:t>
      </w:r>
      <w:r>
        <w:rPr>
          <w:spacing w:val="17"/>
          <w:sz w:val="24"/>
        </w:rPr>
        <w:t> </w:t>
      </w:r>
      <w:r>
        <w:rPr>
          <w:sz w:val="24"/>
        </w:rPr>
        <w:t>of</w:t>
      </w:r>
      <w:r>
        <w:rPr>
          <w:spacing w:val="18"/>
          <w:sz w:val="24"/>
        </w:rPr>
        <w:t> </w:t>
      </w:r>
      <w:r>
        <w:rPr>
          <w:sz w:val="24"/>
        </w:rPr>
        <w:t>a</w:t>
      </w:r>
      <w:r>
        <w:rPr>
          <w:spacing w:val="18"/>
          <w:sz w:val="24"/>
        </w:rPr>
        <w:t> </w:t>
      </w:r>
      <w:r>
        <w:rPr>
          <w:sz w:val="24"/>
        </w:rPr>
        <w:t>proposed</w:t>
      </w:r>
      <w:r>
        <w:rPr>
          <w:spacing w:val="17"/>
          <w:sz w:val="24"/>
        </w:rPr>
        <w:t> </w:t>
      </w:r>
      <w:r>
        <w:rPr>
          <w:i/>
          <w:sz w:val="24"/>
        </w:rPr>
        <w:t>facility</w:t>
      </w:r>
      <w:r>
        <w:rPr>
          <w:i/>
          <w:spacing w:val="18"/>
          <w:sz w:val="24"/>
        </w:rPr>
        <w:t> </w:t>
      </w:r>
      <w:r>
        <w:rPr>
          <w:sz w:val="24"/>
        </w:rPr>
        <w:t>or</w:t>
      </w:r>
      <w:r>
        <w:rPr>
          <w:spacing w:val="17"/>
          <w:sz w:val="24"/>
        </w:rPr>
        <w:t> </w:t>
      </w:r>
      <w:r>
        <w:rPr>
          <w:sz w:val="24"/>
        </w:rPr>
        <w:t>proposed</w:t>
      </w:r>
      <w:r>
        <w:rPr>
          <w:spacing w:val="18"/>
          <w:sz w:val="24"/>
        </w:rPr>
        <w:t> </w:t>
      </w:r>
      <w:r>
        <w:rPr>
          <w:sz w:val="24"/>
        </w:rPr>
        <w:t>alteration</w:t>
      </w:r>
      <w:r>
        <w:rPr>
          <w:spacing w:val="18"/>
          <w:sz w:val="24"/>
        </w:rPr>
        <w:t> </w:t>
      </w:r>
      <w:r>
        <w:rPr>
          <w:sz w:val="24"/>
        </w:rPr>
        <w:t>to</w:t>
      </w:r>
    </w:p>
    <w:p>
      <w:pPr>
        <w:spacing w:before="0"/>
        <w:ind w:left="3053" w:right="0" w:firstLine="0"/>
        <w:jc w:val="left"/>
        <w:rPr>
          <w:sz w:val="24"/>
        </w:rPr>
      </w:pPr>
      <w:r>
        <w:rPr>
          <w:i/>
          <w:sz w:val="24"/>
        </w:rPr>
        <w:t>generating plant </w:t>
      </w:r>
      <w:r>
        <w:rPr>
          <w:sz w:val="24"/>
        </w:rPr>
        <w:t>(as the case may be) on:</w:t>
      </w:r>
    </w:p>
    <w:p>
      <w:pPr>
        <w:pStyle w:val="ListParagraph"/>
        <w:numPr>
          <w:ilvl w:val="6"/>
          <w:numId w:val="175"/>
        </w:numPr>
        <w:tabs>
          <w:tab w:pos="3619" w:val="left" w:leader="none"/>
          <w:tab w:pos="3620" w:val="left" w:leader="none"/>
        </w:tabs>
        <w:spacing w:line="240" w:lineRule="auto" w:before="120" w:after="0"/>
        <w:ind w:left="3619" w:right="0" w:hanging="567"/>
        <w:jc w:val="left"/>
        <w:rPr>
          <w:sz w:val="24"/>
        </w:rPr>
      </w:pPr>
      <w:r>
        <w:rPr>
          <w:sz w:val="24"/>
        </w:rPr>
        <w:t>the performance of the </w:t>
      </w:r>
      <w:r>
        <w:rPr>
          <w:i/>
          <w:sz w:val="24"/>
        </w:rPr>
        <w:t>power system</w:t>
      </w:r>
      <w:r>
        <w:rPr>
          <w:sz w:val="24"/>
        </w:rPr>
        <w:t>;</w:t>
      </w:r>
      <w:r>
        <w:rPr>
          <w:spacing w:val="-2"/>
          <w:sz w:val="24"/>
        </w:rPr>
        <w:t> </w:t>
      </w:r>
      <w:r>
        <w:rPr>
          <w:sz w:val="24"/>
        </w:rPr>
        <w:t>or</w:t>
      </w:r>
    </w:p>
    <w:p>
      <w:pPr>
        <w:pStyle w:val="ListParagraph"/>
        <w:numPr>
          <w:ilvl w:val="6"/>
          <w:numId w:val="175"/>
        </w:numPr>
        <w:tabs>
          <w:tab w:pos="3620" w:val="left" w:leader="none"/>
          <w:tab w:pos="3621" w:val="left" w:leader="none"/>
        </w:tabs>
        <w:spacing w:line="240" w:lineRule="auto" w:before="120" w:after="0"/>
        <w:ind w:left="3620" w:right="0" w:hanging="568"/>
        <w:jc w:val="left"/>
        <w:rPr>
          <w:sz w:val="24"/>
        </w:rPr>
      </w:pPr>
      <w:r>
        <w:rPr>
          <w:sz w:val="24"/>
        </w:rPr>
        <w:t>another proposed </w:t>
      </w:r>
      <w:r>
        <w:rPr>
          <w:i/>
          <w:sz w:val="24"/>
        </w:rPr>
        <w:t>facility </w:t>
      </w:r>
      <w:r>
        <w:rPr>
          <w:sz w:val="24"/>
        </w:rPr>
        <w:t>or another proposed</w:t>
      </w:r>
      <w:r>
        <w:rPr>
          <w:spacing w:val="-2"/>
          <w:sz w:val="24"/>
        </w:rPr>
        <w:t> </w:t>
      </w:r>
      <w:r>
        <w:rPr>
          <w:sz w:val="24"/>
        </w:rPr>
        <w:t>alteration;</w:t>
      </w:r>
    </w:p>
    <w:p>
      <w:pPr>
        <w:pStyle w:val="ListParagraph"/>
        <w:numPr>
          <w:ilvl w:val="5"/>
          <w:numId w:val="175"/>
        </w:numPr>
        <w:tabs>
          <w:tab w:pos="3052" w:val="left" w:leader="none"/>
          <w:tab w:pos="3054" w:val="left" w:leader="none"/>
        </w:tabs>
        <w:spacing w:line="240" w:lineRule="auto" w:before="120" w:after="0"/>
        <w:ind w:left="3053" w:right="0" w:hanging="568"/>
        <w:jc w:val="left"/>
        <w:rPr>
          <w:sz w:val="24"/>
        </w:rPr>
      </w:pPr>
      <w:r>
        <w:rPr>
          <w:sz w:val="24"/>
        </w:rPr>
        <w:t>assess proposed </w:t>
      </w:r>
      <w:r>
        <w:rPr>
          <w:i/>
          <w:sz w:val="24"/>
        </w:rPr>
        <w:t>negotiated access</w:t>
      </w:r>
      <w:r>
        <w:rPr>
          <w:i/>
          <w:spacing w:val="-3"/>
          <w:sz w:val="24"/>
        </w:rPr>
        <w:t> </w:t>
      </w:r>
      <w:r>
        <w:rPr>
          <w:i/>
          <w:sz w:val="24"/>
        </w:rPr>
        <w:t>standards</w:t>
      </w:r>
      <w:r>
        <w:rPr>
          <w:sz w:val="24"/>
        </w:rPr>
        <w:t>;</w:t>
      </w:r>
    </w:p>
    <w:p>
      <w:pPr>
        <w:pStyle w:val="ListParagraph"/>
        <w:numPr>
          <w:ilvl w:val="5"/>
          <w:numId w:val="175"/>
        </w:numPr>
        <w:tabs>
          <w:tab w:pos="3052" w:val="left" w:leader="none"/>
          <w:tab w:pos="3053" w:val="left" w:leader="none"/>
        </w:tabs>
        <w:spacing w:line="240" w:lineRule="auto" w:before="120" w:after="0"/>
        <w:ind w:left="3053" w:right="415" w:hanging="567"/>
        <w:jc w:val="left"/>
        <w:rPr>
          <w:sz w:val="24"/>
        </w:rPr>
      </w:pPr>
      <w:r>
        <w:rPr>
          <w:sz w:val="24"/>
        </w:rPr>
        <w:t>determine the extent of any required </w:t>
      </w:r>
      <w:r>
        <w:rPr>
          <w:i/>
          <w:sz w:val="24"/>
        </w:rPr>
        <w:t>augmentation </w:t>
      </w:r>
      <w:r>
        <w:rPr>
          <w:sz w:val="24"/>
        </w:rPr>
        <w:t>or </w:t>
      </w:r>
      <w:r>
        <w:rPr>
          <w:i/>
          <w:sz w:val="24"/>
        </w:rPr>
        <w:t>extension</w:t>
      </w:r>
      <w:r>
        <w:rPr>
          <w:sz w:val="24"/>
        </w:rPr>
        <w:t>; or</w:t>
      </w:r>
    </w:p>
    <w:p>
      <w:pPr>
        <w:pStyle w:val="ListParagraph"/>
        <w:numPr>
          <w:ilvl w:val="5"/>
          <w:numId w:val="175"/>
        </w:numPr>
        <w:tabs>
          <w:tab w:pos="3052" w:val="left" w:leader="none"/>
          <w:tab w:pos="3054" w:val="left" w:leader="none"/>
        </w:tabs>
        <w:spacing w:line="240" w:lineRule="auto" w:before="120" w:after="0"/>
        <w:ind w:left="3053" w:right="0" w:hanging="568"/>
        <w:jc w:val="left"/>
        <w:rPr>
          <w:sz w:val="24"/>
        </w:rPr>
      </w:pPr>
      <w:r>
        <w:rPr>
          <w:sz w:val="24"/>
        </w:rPr>
        <w:t>assess </w:t>
      </w:r>
      <w:r>
        <w:rPr>
          <w:i/>
          <w:sz w:val="24"/>
        </w:rPr>
        <w:t>system strength remediation scheme</w:t>
      </w:r>
      <w:r>
        <w:rPr>
          <w:i/>
          <w:spacing w:val="-9"/>
          <w:sz w:val="24"/>
        </w:rPr>
        <w:t> </w:t>
      </w:r>
      <w:r>
        <w:rPr>
          <w:sz w:val="24"/>
        </w:rPr>
        <w:t>proposals.</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A </w:t>
      </w:r>
      <w:r>
        <w:rPr>
          <w:i/>
          <w:sz w:val="24"/>
        </w:rPr>
        <w:t>Network Service Provider </w:t>
      </w:r>
      <w:r>
        <w:rPr>
          <w:sz w:val="24"/>
        </w:rPr>
        <w:t>may disclose the data and information to be provided under rules 5.2A, 5.3 and 5.3A to another </w:t>
      </w:r>
      <w:r>
        <w:rPr>
          <w:i/>
          <w:sz w:val="24"/>
        </w:rPr>
        <w:t>Network Service </w:t>
      </w:r>
      <w:r>
        <w:rPr>
          <w:i/>
          <w:sz w:val="24"/>
        </w:rPr>
        <w:t>Provider </w:t>
      </w:r>
      <w:r>
        <w:rPr>
          <w:sz w:val="24"/>
        </w:rPr>
        <w:t>if the </w:t>
      </w:r>
      <w:r>
        <w:rPr>
          <w:i/>
          <w:sz w:val="24"/>
        </w:rPr>
        <w:t>Network Service Provider </w:t>
      </w:r>
      <w:r>
        <w:rPr>
          <w:sz w:val="24"/>
        </w:rPr>
        <w:t>considers the information or data is materially relevant to that provider for</w:t>
      </w:r>
      <w:r>
        <w:rPr>
          <w:spacing w:val="-2"/>
          <w:sz w:val="24"/>
        </w:rPr>
        <w:t> </w:t>
      </w:r>
      <w:r>
        <w:rPr>
          <w:i/>
          <w:sz w:val="24"/>
        </w:rPr>
        <w:t>connection</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A person intending to disclose information under paragraphs (b) or (c) must first advise the relevant </w:t>
      </w:r>
      <w:r>
        <w:rPr>
          <w:i/>
          <w:sz w:val="24"/>
        </w:rPr>
        <w:t>Connection Applicant </w:t>
      </w:r>
      <w:r>
        <w:rPr>
          <w:sz w:val="24"/>
        </w:rPr>
        <w:t>of the extent of </w:t>
      </w:r>
      <w:r>
        <w:rPr>
          <w:spacing w:val="-4"/>
          <w:sz w:val="24"/>
        </w:rPr>
        <w:t>the</w:t>
      </w:r>
      <w:r>
        <w:rPr>
          <w:spacing w:val="52"/>
          <w:sz w:val="24"/>
        </w:rPr>
        <w:t> </w:t>
      </w:r>
      <w:r>
        <w:rPr>
          <w:sz w:val="24"/>
        </w:rPr>
        <w:t>disclosure, unless the information may be disclosed in accordance with rule 8.6.</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If a </w:t>
      </w:r>
      <w:r>
        <w:rPr>
          <w:i/>
          <w:sz w:val="24"/>
        </w:rPr>
        <w:t>Connection Applicant </w:t>
      </w:r>
      <w:r>
        <w:rPr>
          <w:sz w:val="24"/>
        </w:rPr>
        <w:t>or </w:t>
      </w:r>
      <w:r>
        <w:rPr>
          <w:i/>
          <w:sz w:val="24"/>
        </w:rPr>
        <w:t>Network Service Provider </w:t>
      </w:r>
      <w:r>
        <w:rPr>
          <w:sz w:val="24"/>
        </w:rPr>
        <w:t>becomes aware of any material change to any information contained in or relevant to </w:t>
      </w:r>
      <w:r>
        <w:rPr>
          <w:spacing w:val="-6"/>
          <w:sz w:val="24"/>
        </w:rPr>
        <w:t>an </w:t>
      </w:r>
      <w:r>
        <w:rPr>
          <w:i/>
          <w:sz w:val="24"/>
        </w:rPr>
        <w:t>application to connect</w:t>
      </w:r>
      <w:r>
        <w:rPr>
          <w:sz w:val="24"/>
        </w:rPr>
        <w:t>, it must promptly notify the other party in writing of that change.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20" w:val="left" w:leader="none"/>
        </w:tabs>
        <w:spacing w:line="240" w:lineRule="auto" w:before="120" w:after="0"/>
        <w:ind w:left="1919" w:right="414" w:hanging="567"/>
        <w:jc w:val="both"/>
        <w:rPr>
          <w:sz w:val="24"/>
        </w:rPr>
      </w:pPr>
      <w:r>
        <w:rPr>
          <w:sz w:val="24"/>
        </w:rPr>
        <w:t>A </w:t>
      </w:r>
      <w:r>
        <w:rPr>
          <w:i/>
          <w:sz w:val="24"/>
        </w:rPr>
        <w:t>Registered Participant </w:t>
      </w:r>
      <w:r>
        <w:rPr>
          <w:sz w:val="24"/>
        </w:rPr>
        <w:t>must, within 5 </w:t>
      </w:r>
      <w:r>
        <w:rPr>
          <w:i/>
          <w:sz w:val="24"/>
        </w:rPr>
        <w:t>business days </w:t>
      </w:r>
      <w:r>
        <w:rPr>
          <w:sz w:val="24"/>
        </w:rPr>
        <w:t>of becoming aware that any information provided to </w:t>
      </w:r>
      <w:r>
        <w:rPr>
          <w:i/>
          <w:sz w:val="24"/>
        </w:rPr>
        <w:t>NTESMO </w:t>
      </w:r>
      <w:r>
        <w:rPr>
          <w:sz w:val="24"/>
        </w:rPr>
        <w:t>in relation to a </w:t>
      </w:r>
      <w:r>
        <w:rPr>
          <w:i/>
          <w:sz w:val="24"/>
        </w:rPr>
        <w:t>performance </w:t>
      </w:r>
      <w:r>
        <w:rPr>
          <w:i/>
          <w:sz w:val="24"/>
        </w:rPr>
        <w:t>standard </w:t>
      </w:r>
      <w:r>
        <w:rPr>
          <w:sz w:val="24"/>
        </w:rPr>
        <w:t>or other information of a kind required to be provided to </w:t>
      </w:r>
      <w:r>
        <w:rPr>
          <w:i/>
          <w:sz w:val="24"/>
        </w:rPr>
        <w:t>NTESMO </w:t>
      </w:r>
      <w:r>
        <w:rPr>
          <w:sz w:val="24"/>
        </w:rPr>
        <w:t>under clause 5.3.7 is incorrect, advise </w:t>
      </w:r>
      <w:r>
        <w:rPr>
          <w:i/>
          <w:sz w:val="24"/>
        </w:rPr>
        <w:t>NTESMO </w:t>
      </w:r>
      <w:r>
        <w:rPr>
          <w:sz w:val="24"/>
        </w:rPr>
        <w:t>of the correct</w:t>
      </w:r>
      <w:r>
        <w:rPr>
          <w:spacing w:val="-4"/>
          <w:sz w:val="24"/>
        </w:rPr>
        <w:t> </w:t>
      </w:r>
      <w:r>
        <w:rPr>
          <w:sz w:val="24"/>
        </w:rPr>
        <w:t>information.</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Heading4"/>
        <w:numPr>
          <w:ilvl w:val="2"/>
          <w:numId w:val="175"/>
        </w:numPr>
        <w:tabs>
          <w:tab w:pos="1351" w:val="left" w:leader="none"/>
          <w:tab w:pos="1352" w:val="left" w:leader="none"/>
        </w:tabs>
        <w:spacing w:line="240" w:lineRule="auto" w:before="83" w:after="0"/>
        <w:ind w:left="1352" w:right="1418" w:hanging="1134"/>
        <w:jc w:val="left"/>
      </w:pPr>
      <w:bookmarkStart w:name="5.3.9 Procedure to be followed by a Gene" w:id="447"/>
      <w:bookmarkEnd w:id="447"/>
      <w:r>
        <w:rPr>
          <w:b w:val="0"/>
        </w:rPr>
      </w:r>
      <w:bookmarkStart w:name="_bookmark187" w:id="448"/>
      <w:bookmarkEnd w:id="448"/>
      <w:r>
        <w:rPr>
          <w:b w:val="0"/>
        </w:rPr>
      </w:r>
      <w:bookmarkStart w:name="_bookmark187" w:id="449"/>
      <w:bookmarkEnd w:id="449"/>
      <w:r>
        <w:rPr/>
        <w:t>Procedure</w:t>
      </w:r>
      <w:r>
        <w:rPr/>
        <w:t> to be followed by a Generator proposing to alter a generating</w:t>
      </w:r>
      <w:r>
        <w:rPr>
          <w:spacing w:val="-1"/>
        </w:rPr>
        <w:t> </w:t>
      </w:r>
      <w:r>
        <w:rPr/>
        <w:t>system</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(a)(2), (b)(4), (c), (c1) and (f) of this clause have no effect in this jurisdiction (see regulation 5A of the </w:t>
      </w:r>
      <w:r>
        <w:rPr>
          <w:i/>
          <w:sz w:val="20"/>
        </w:rPr>
        <w:t>National Electricity (Northern Territory) (National Uniform Legislation) </w:t>
      </w:r>
      <w:r>
        <w:rPr>
          <w:i/>
          <w:sz w:val="20"/>
        </w:rPr>
        <w:t>(Modification) 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This clause 5.3.9 applies where a Generator proposes to alter a connected generating system or a generating system where that alteration would affect performance standards in an existing connection agreement and that alteration:</w:t>
      </w:r>
    </w:p>
    <w:p>
      <w:pPr>
        <w:pStyle w:val="ListParagraph"/>
        <w:numPr>
          <w:ilvl w:val="4"/>
          <w:numId w:val="175"/>
        </w:numPr>
        <w:tabs>
          <w:tab w:pos="2486" w:val="left" w:leader="none"/>
        </w:tabs>
        <w:spacing w:line="240" w:lineRule="auto" w:before="120" w:after="0"/>
        <w:ind w:left="2486" w:right="414" w:hanging="567"/>
        <w:jc w:val="both"/>
        <w:rPr>
          <w:sz w:val="24"/>
        </w:rPr>
      </w:pPr>
      <w:r>
        <w:rPr>
          <w:sz w:val="24"/>
        </w:rPr>
        <w:t>will affect the performance of the </w:t>
      </w:r>
      <w:r>
        <w:rPr>
          <w:i/>
          <w:sz w:val="24"/>
        </w:rPr>
        <w:t>generating system </w:t>
      </w:r>
      <w:r>
        <w:rPr>
          <w:sz w:val="24"/>
        </w:rPr>
        <w:t>relative to any of the technical requirements set out in </w:t>
      </w:r>
      <w:r>
        <w:rPr>
          <w:i/>
          <w:sz w:val="24"/>
        </w:rPr>
        <w:t>jurisdictional electricity </w:t>
      </w:r>
      <w:r>
        <w:rPr>
          <w:i/>
          <w:sz w:val="24"/>
        </w:rPr>
        <w:t>legislation </w:t>
      </w:r>
      <w:r>
        <w:rPr>
          <w:sz w:val="24"/>
        </w:rPr>
        <w:t>within the constraints allowed under </w:t>
      </w:r>
      <w:r>
        <w:rPr>
          <w:i/>
          <w:sz w:val="24"/>
        </w:rPr>
        <w:t>jurisdictional </w:t>
      </w:r>
      <w:r>
        <w:rPr>
          <w:i/>
          <w:sz w:val="24"/>
        </w:rPr>
        <w:t>electricity legislation</w:t>
      </w:r>
      <w:r>
        <w:rPr>
          <w:sz w:val="24"/>
        </w:rPr>
        <w:t>;</w:t>
      </w:r>
      <w:r>
        <w:rPr>
          <w:spacing w:val="-1"/>
          <w:sz w:val="24"/>
        </w:rPr>
        <w:t> </w:t>
      </w:r>
      <w:r>
        <w:rPr>
          <w:sz w:val="24"/>
        </w:rPr>
        <w:t>or</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will, in </w:t>
      </w:r>
      <w:r>
        <w:rPr>
          <w:i/>
          <w:sz w:val="24"/>
        </w:rPr>
        <w:t>AEMO's </w:t>
      </w:r>
      <w:r>
        <w:rPr>
          <w:sz w:val="24"/>
        </w:rPr>
        <w:t>reasonable opinion, have an </w:t>
      </w:r>
      <w:r>
        <w:rPr>
          <w:i/>
          <w:sz w:val="24"/>
        </w:rPr>
        <w:t>adverse system strength </w:t>
      </w:r>
      <w:r>
        <w:rPr>
          <w:i/>
          <w:sz w:val="24"/>
        </w:rPr>
        <w:t>impact</w:t>
      </w:r>
      <w:r>
        <w:rPr>
          <w:sz w:val="24"/>
        </w:rPr>
        <w:t>; or</w:t>
      </w:r>
    </w:p>
    <w:p>
      <w:pPr>
        <w:pStyle w:val="ListParagraph"/>
        <w:numPr>
          <w:ilvl w:val="4"/>
          <w:numId w:val="175"/>
        </w:numPr>
        <w:tabs>
          <w:tab w:pos="2486" w:val="left" w:leader="none"/>
        </w:tabs>
        <w:spacing w:line="240" w:lineRule="auto" w:before="120" w:after="0"/>
        <w:ind w:left="2486" w:right="414" w:hanging="567"/>
        <w:jc w:val="both"/>
        <w:rPr>
          <w:sz w:val="24"/>
        </w:rPr>
      </w:pPr>
      <w:r>
        <w:rPr>
          <w:sz w:val="24"/>
        </w:rPr>
        <w:t>will, in </w:t>
      </w:r>
      <w:r>
        <w:rPr>
          <w:i/>
          <w:sz w:val="24"/>
        </w:rPr>
        <w:t>NTESMO</w:t>
      </w:r>
      <w:r>
        <w:rPr>
          <w:sz w:val="24"/>
        </w:rPr>
        <w:t>’s reasonable opinion, adversely affect </w:t>
      </w:r>
      <w:r>
        <w:rPr>
          <w:i/>
          <w:sz w:val="24"/>
        </w:rPr>
        <w:t>network </w:t>
      </w:r>
      <w:r>
        <w:rPr>
          <w:i/>
          <w:sz w:val="24"/>
        </w:rPr>
        <w:t>capability</w:t>
      </w:r>
      <w:r>
        <w:rPr>
          <w:sz w:val="24"/>
        </w:rPr>
        <w:t>, </w:t>
      </w:r>
      <w:r>
        <w:rPr>
          <w:i/>
          <w:sz w:val="24"/>
        </w:rPr>
        <w:t>power system security</w:t>
      </w:r>
      <w:r>
        <w:rPr>
          <w:sz w:val="24"/>
        </w:rPr>
        <w:t>, quality or reliability of </w:t>
      </w:r>
      <w:r>
        <w:rPr>
          <w:i/>
          <w:sz w:val="24"/>
        </w:rPr>
        <w:t>supply</w:t>
      </w:r>
      <w:r>
        <w:rPr>
          <w:sz w:val="24"/>
        </w:rPr>
        <w:t>, </w:t>
      </w:r>
      <w:r>
        <w:rPr>
          <w:i/>
          <w:sz w:val="24"/>
        </w:rPr>
        <w:t>inter-regional power transfer capability </w:t>
      </w:r>
      <w:r>
        <w:rPr>
          <w:sz w:val="24"/>
        </w:rPr>
        <w:t>or the use of a </w:t>
      </w:r>
      <w:r>
        <w:rPr>
          <w:i/>
          <w:sz w:val="24"/>
        </w:rPr>
        <w:t>network </w:t>
      </w:r>
      <w:r>
        <w:rPr>
          <w:spacing w:val="-7"/>
          <w:sz w:val="24"/>
        </w:rPr>
        <w:t>by </w:t>
      </w:r>
      <w:r>
        <w:rPr>
          <w:sz w:val="24"/>
        </w:rPr>
        <w:t>another </w:t>
      </w:r>
      <w:r>
        <w:rPr>
          <w:i/>
          <w:sz w:val="24"/>
        </w:rPr>
        <w:t>Network</w:t>
      </w:r>
      <w:r>
        <w:rPr>
          <w:i/>
          <w:spacing w:val="-1"/>
          <w:sz w:val="24"/>
        </w:rPr>
        <w:t> </w:t>
      </w:r>
      <w:r>
        <w:rPr>
          <w:i/>
          <w:sz w:val="24"/>
        </w:rPr>
        <w:t>User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requirements that will apply under </w:t>
      </w:r>
      <w:r>
        <w:rPr>
          <w:i/>
          <w:sz w:val="20"/>
        </w:rPr>
        <w:t>jurisdictional electricity legislation </w:t>
      </w:r>
      <w:r>
        <w:rPr>
          <w:sz w:val="20"/>
        </w:rPr>
        <w:t>for the purposes of paragraph (a)(1) will be requirements that correspond to the matters set out in clauses S5.2.5 to 5.2.8 in the </w:t>
      </w:r>
      <w:r>
        <w:rPr>
          <w:i/>
          <w:sz w:val="20"/>
        </w:rPr>
        <w:t>Rules </w:t>
      </w:r>
      <w:r>
        <w:rPr>
          <w:sz w:val="20"/>
        </w:rPr>
        <w:t>applying in other </w:t>
      </w:r>
      <w:r>
        <w:rPr>
          <w:i/>
          <w:sz w:val="20"/>
        </w:rPr>
        <w:t>participating jurisdictions</w:t>
      </w:r>
      <w:r>
        <w:rPr>
          <w:sz w:val="20"/>
        </w:rPr>
        <w:t>. The application of paragraph (a)(1)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6" w:hanging="567"/>
        <w:jc w:val="both"/>
        <w:rPr>
          <w:sz w:val="24"/>
        </w:rPr>
      </w:pPr>
      <w:r>
        <w:rPr>
          <w:sz w:val="24"/>
        </w:rPr>
        <w:t>A </w:t>
      </w:r>
      <w:r>
        <w:rPr>
          <w:i/>
          <w:sz w:val="24"/>
        </w:rPr>
        <w:t>Generator </w:t>
      </w:r>
      <w:r>
        <w:rPr>
          <w:sz w:val="24"/>
        </w:rPr>
        <w:t>to which this clause applies, must submit to the </w:t>
      </w:r>
      <w:r>
        <w:rPr>
          <w:i/>
          <w:sz w:val="24"/>
        </w:rPr>
        <w:t>Network </w:t>
      </w:r>
      <w:r>
        <w:rPr>
          <w:i/>
          <w:sz w:val="24"/>
        </w:rPr>
        <w:t>Service Provider </w:t>
      </w:r>
      <w:r>
        <w:rPr>
          <w:sz w:val="24"/>
        </w:rPr>
        <w:t>with a copy to</w:t>
      </w:r>
      <w:r>
        <w:rPr>
          <w:spacing w:val="-3"/>
          <w:sz w:val="24"/>
        </w:rPr>
        <w:t> </w:t>
      </w:r>
      <w:r>
        <w:rPr>
          <w:i/>
          <w:sz w:val="24"/>
        </w:rPr>
        <w:t>NTESMO</w:t>
      </w:r>
      <w:r>
        <w:rPr>
          <w:sz w:val="24"/>
        </w:rPr>
        <w:t>:</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a description of the nature of the alteration and the timetable for implementation;</w:t>
      </w:r>
    </w:p>
    <w:p>
      <w:pPr>
        <w:pStyle w:val="ListParagraph"/>
        <w:numPr>
          <w:ilvl w:val="4"/>
          <w:numId w:val="175"/>
        </w:numPr>
        <w:tabs>
          <w:tab w:pos="2486" w:val="left" w:leader="none"/>
        </w:tabs>
        <w:spacing w:line="240" w:lineRule="auto" w:before="120" w:after="0"/>
        <w:ind w:left="2486" w:right="416" w:hanging="567"/>
        <w:jc w:val="both"/>
        <w:rPr>
          <w:sz w:val="24"/>
        </w:rPr>
      </w:pPr>
      <w:r>
        <w:rPr>
          <w:sz w:val="24"/>
        </w:rPr>
        <w:t>in respect of the proposed alteration to the </w:t>
      </w:r>
      <w:r>
        <w:rPr>
          <w:i/>
          <w:sz w:val="24"/>
        </w:rPr>
        <w:t>generating system</w:t>
      </w:r>
      <w:r>
        <w:rPr>
          <w:sz w:val="24"/>
        </w:rPr>
        <w:t>, details of the </w:t>
      </w:r>
      <w:r>
        <w:rPr>
          <w:i/>
          <w:sz w:val="24"/>
        </w:rPr>
        <w:t>generating unit </w:t>
      </w:r>
      <w:r>
        <w:rPr>
          <w:sz w:val="24"/>
        </w:rPr>
        <w:t>design data and </w:t>
      </w:r>
      <w:r>
        <w:rPr>
          <w:i/>
          <w:sz w:val="24"/>
        </w:rPr>
        <w:t>generating unit </w:t>
      </w:r>
      <w:r>
        <w:rPr>
          <w:sz w:val="24"/>
        </w:rPr>
        <w:t>setting</w:t>
      </w:r>
      <w:r>
        <w:rPr>
          <w:spacing w:val="-8"/>
          <w:sz w:val="24"/>
        </w:rPr>
        <w:t> </w:t>
      </w:r>
      <w:r>
        <w:rPr>
          <w:sz w:val="24"/>
        </w:rPr>
        <w:t>data;</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175"/>
        </w:numPr>
        <w:tabs>
          <w:tab w:pos="2486" w:val="left" w:leader="none"/>
        </w:tabs>
        <w:spacing w:line="240" w:lineRule="auto" w:before="120" w:after="0"/>
        <w:ind w:left="2486" w:right="414" w:hanging="567"/>
        <w:jc w:val="both"/>
        <w:rPr>
          <w:sz w:val="24"/>
        </w:rPr>
      </w:pPr>
      <w:r>
        <w:rPr>
          <w:sz w:val="24"/>
        </w:rPr>
        <w:t>in relation to each relevant technical requirement for which the proposed alteration to the equipment will affect the performance of the </w:t>
      </w:r>
      <w:r>
        <w:rPr>
          <w:i/>
          <w:sz w:val="24"/>
        </w:rPr>
        <w:t>generating system</w:t>
      </w:r>
      <w:r>
        <w:rPr>
          <w:sz w:val="24"/>
        </w:rPr>
        <w:t>, the proposed amendments to the </w:t>
      </w:r>
      <w:r>
        <w:rPr>
          <w:i/>
          <w:sz w:val="24"/>
        </w:rPr>
        <w:t>plant's </w:t>
      </w:r>
      <w:r>
        <w:rPr>
          <w:sz w:val="24"/>
        </w:rPr>
        <w:t>existing corresponding </w:t>
      </w:r>
      <w:r>
        <w:rPr>
          <w:i/>
          <w:sz w:val="24"/>
        </w:rPr>
        <w:t>performance standard </w:t>
      </w:r>
      <w:r>
        <w:rPr>
          <w:sz w:val="24"/>
        </w:rPr>
        <w:t>for that technical requirement; and</w:t>
      </w:r>
    </w:p>
    <w:p>
      <w:pPr>
        <w:pStyle w:val="ListParagraph"/>
        <w:numPr>
          <w:ilvl w:val="4"/>
          <w:numId w:val="175"/>
        </w:numPr>
        <w:tabs>
          <w:tab w:pos="2486" w:val="left" w:leader="none"/>
        </w:tabs>
        <w:spacing w:line="240" w:lineRule="auto" w:before="120" w:after="0"/>
        <w:ind w:left="2486" w:right="418" w:hanging="567"/>
        <w:jc w:val="both"/>
        <w:rPr>
          <w:sz w:val="24"/>
        </w:rPr>
      </w:pPr>
      <w:r>
        <w:rPr>
          <w:sz w:val="24"/>
        </w:rPr>
        <w:t>where relevant, the </w:t>
      </w:r>
      <w:r>
        <w:rPr>
          <w:i/>
          <w:sz w:val="24"/>
        </w:rPr>
        <w:t>Generator's </w:t>
      </w:r>
      <w:r>
        <w:rPr>
          <w:sz w:val="24"/>
        </w:rPr>
        <w:t>proposed </w:t>
      </w:r>
      <w:r>
        <w:rPr>
          <w:i/>
          <w:sz w:val="24"/>
        </w:rPr>
        <w:t>system strength remediation </w:t>
      </w:r>
      <w:r>
        <w:rPr>
          <w:i/>
          <w:sz w:val="24"/>
        </w:rPr>
        <w:t>scheme</w:t>
      </w:r>
      <w:r>
        <w:rPr>
          <w:sz w:val="24"/>
        </w:rPr>
        <w:t>.</w:t>
      </w:r>
    </w:p>
    <w:p>
      <w:pPr>
        <w:pStyle w:val="ListParagraph"/>
        <w:numPr>
          <w:ilvl w:val="3"/>
          <w:numId w:val="175"/>
        </w:numPr>
        <w:tabs>
          <w:tab w:pos="1919" w:val="left" w:leader="none"/>
        </w:tabs>
        <w:spacing w:line="240" w:lineRule="auto" w:before="120" w:after="0"/>
        <w:ind w:left="1919" w:right="417" w:hanging="567"/>
        <w:jc w:val="both"/>
        <w:rPr>
          <w:sz w:val="24"/>
        </w:rPr>
      </w:pPr>
      <w:r>
        <w:rPr>
          <w:sz w:val="24"/>
        </w:rPr>
        <w:t>Clause 5.3.4A applies to a submission by a </w:t>
      </w:r>
      <w:r>
        <w:rPr>
          <w:i/>
          <w:sz w:val="24"/>
        </w:rPr>
        <w:t>Generator </w:t>
      </w:r>
      <w:r>
        <w:rPr>
          <w:sz w:val="24"/>
        </w:rPr>
        <w:t>under subparagraph (b)(3).</w:t>
      </w:r>
    </w:p>
    <w:p>
      <w:pPr>
        <w:spacing w:after="0" w:line="240" w:lineRule="auto"/>
        <w:jc w:val="both"/>
        <w:rPr>
          <w:sz w:val="24"/>
        </w:rPr>
        <w:sectPr>
          <w:pgSz w:w="11910" w:h="16840"/>
          <w:pgMar w:header="686" w:footer="637" w:top="1320" w:bottom="820" w:left="1200" w:right="1000"/>
        </w:sectPr>
      </w:pPr>
    </w:p>
    <w:p>
      <w:pPr>
        <w:spacing w:before="83"/>
        <w:ind w:left="1919" w:right="415" w:hanging="567"/>
        <w:jc w:val="both"/>
        <w:rPr>
          <w:sz w:val="24"/>
        </w:rPr>
      </w:pPr>
      <w:r>
        <w:rPr>
          <w:sz w:val="24"/>
        </w:rPr>
        <w:t>(c1) Clause 5.3.4B applies to a submission by a </w:t>
      </w:r>
      <w:r>
        <w:rPr>
          <w:i/>
          <w:sz w:val="24"/>
        </w:rPr>
        <w:t>Generator </w:t>
      </w:r>
      <w:r>
        <w:rPr>
          <w:sz w:val="24"/>
        </w:rPr>
        <w:t>under subparagraph (b)(4). A </w:t>
      </w:r>
      <w:r>
        <w:rPr>
          <w:i/>
          <w:sz w:val="24"/>
        </w:rPr>
        <w:t>Generator </w:t>
      </w:r>
      <w:r>
        <w:rPr>
          <w:sz w:val="24"/>
        </w:rPr>
        <w:t>may request the </w:t>
      </w:r>
      <w:r>
        <w:rPr>
          <w:i/>
          <w:sz w:val="24"/>
        </w:rPr>
        <w:t>Network Service Provider </w:t>
      </w:r>
      <w:r>
        <w:rPr>
          <w:sz w:val="24"/>
        </w:rPr>
        <w:t>to undertake a preliminary assessment in accordance with the </w:t>
      </w:r>
      <w:r>
        <w:rPr>
          <w:i/>
          <w:sz w:val="24"/>
        </w:rPr>
        <w:t>system strength impact </w:t>
      </w:r>
      <w:r>
        <w:rPr>
          <w:i/>
          <w:sz w:val="24"/>
        </w:rPr>
        <w:t>assessment guidelines </w:t>
      </w:r>
      <w:r>
        <w:rPr>
          <w:sz w:val="24"/>
        </w:rPr>
        <w:t>before making a submission under paragraph (b).</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Without limiting paragraph (a), a proposed alteration to the following equipment is deemed to affect the performance of the </w:t>
      </w:r>
      <w:r>
        <w:rPr>
          <w:i/>
          <w:sz w:val="24"/>
        </w:rPr>
        <w:t>generating system </w:t>
      </w:r>
      <w:r>
        <w:rPr>
          <w:sz w:val="24"/>
        </w:rPr>
        <w:t>relative to technical requirements, thereby necessitating a submission under subparagraph (b)(3), unless </w:t>
      </w:r>
      <w:r>
        <w:rPr>
          <w:i/>
          <w:sz w:val="24"/>
        </w:rPr>
        <w:t>NTESMO </w:t>
      </w:r>
      <w:r>
        <w:rPr>
          <w:sz w:val="24"/>
        </w:rPr>
        <w:t>and the </w:t>
      </w:r>
      <w:r>
        <w:rPr>
          <w:i/>
          <w:sz w:val="24"/>
        </w:rPr>
        <w:t>Network Service Provider </w:t>
      </w:r>
      <w:r>
        <w:rPr>
          <w:sz w:val="24"/>
        </w:rPr>
        <w:t>otherwise</w:t>
      </w:r>
      <w:r>
        <w:rPr>
          <w:spacing w:val="-1"/>
          <w:sz w:val="24"/>
        </w:rPr>
        <w:t> </w:t>
      </w:r>
      <w:r>
        <w:rPr>
          <w:sz w:val="24"/>
        </w:rPr>
        <w:t>agree:</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machinery</w:t>
      </w:r>
      <w:r>
        <w:rPr>
          <w:spacing w:val="-1"/>
          <w:sz w:val="24"/>
        </w:rPr>
        <w:t> </w:t>
      </w:r>
      <w:r>
        <w:rPr>
          <w:sz w:val="24"/>
        </w:rPr>
        <w:t>windings;</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power</w:t>
      </w:r>
      <w:r>
        <w:rPr>
          <w:spacing w:val="-1"/>
          <w:sz w:val="24"/>
        </w:rPr>
        <w:t> </w:t>
      </w:r>
      <w:r>
        <w:rPr>
          <w:sz w:val="24"/>
        </w:rPr>
        <w:t>converter;</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reactive compensation</w:t>
      </w:r>
      <w:r>
        <w:rPr>
          <w:spacing w:val="-1"/>
          <w:sz w:val="24"/>
        </w:rPr>
        <w:t> </w:t>
      </w:r>
      <w:r>
        <w:rPr>
          <w:sz w:val="24"/>
        </w:rPr>
        <w:t>plant;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i/>
          <w:sz w:val="24"/>
        </w:rPr>
        <w:t>excitation control</w:t>
      </w:r>
      <w:r>
        <w:rPr>
          <w:i/>
          <w:spacing w:val="-1"/>
          <w:sz w:val="24"/>
        </w:rPr>
        <w:t> </w:t>
      </w:r>
      <w:r>
        <w:rPr>
          <w:i/>
          <w:sz w:val="24"/>
        </w:rPr>
        <w:t>system</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i/>
          <w:sz w:val="24"/>
        </w:rPr>
        <w:t>voltage control</w:t>
      </w:r>
      <w:r>
        <w:rPr>
          <w:i/>
          <w:spacing w:val="-1"/>
          <w:sz w:val="24"/>
        </w:rPr>
        <w:t> </w:t>
      </w:r>
      <w:r>
        <w:rPr>
          <w:i/>
          <w:sz w:val="24"/>
        </w:rPr>
        <w:t>system</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governor </w:t>
      </w:r>
      <w:r>
        <w:rPr>
          <w:i/>
          <w:sz w:val="24"/>
        </w:rPr>
        <w:t>control</w:t>
      </w:r>
      <w:r>
        <w:rPr>
          <w:i/>
          <w:spacing w:val="-1"/>
          <w:sz w:val="24"/>
        </w:rPr>
        <w:t> </w:t>
      </w:r>
      <w:r>
        <w:rPr>
          <w:i/>
          <w:sz w:val="24"/>
        </w:rPr>
        <w:t>system</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power </w:t>
      </w:r>
      <w:r>
        <w:rPr>
          <w:i/>
          <w:sz w:val="24"/>
        </w:rPr>
        <w:t>control</w:t>
      </w:r>
      <w:r>
        <w:rPr>
          <w:i/>
          <w:spacing w:val="-1"/>
          <w:sz w:val="24"/>
        </w:rPr>
        <w:t> </w:t>
      </w:r>
      <w:r>
        <w:rPr>
          <w:i/>
          <w:sz w:val="24"/>
        </w:rPr>
        <w:t>system</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i/>
          <w:sz w:val="24"/>
        </w:rPr>
        <w:t>protection</w:t>
      </w:r>
      <w:r>
        <w:rPr>
          <w:i/>
          <w:spacing w:val="-7"/>
          <w:sz w:val="24"/>
        </w:rPr>
        <w:t> </w:t>
      </w:r>
      <w:r>
        <w:rPr>
          <w:i/>
          <w:sz w:val="24"/>
        </w:rPr>
        <w:t>system</w:t>
      </w:r>
      <w:r>
        <w:rPr>
          <w:sz w:val="24"/>
        </w:rPr>
        <w:t>;</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auxiliary</w:t>
      </w:r>
      <w:r>
        <w:rPr>
          <w:spacing w:val="-6"/>
          <w:sz w:val="24"/>
        </w:rPr>
        <w:t> </w:t>
      </w:r>
      <w:r>
        <w:rPr>
          <w:sz w:val="24"/>
        </w:rPr>
        <w:t>supplies;</w:t>
      </w:r>
    </w:p>
    <w:p>
      <w:pPr>
        <w:pStyle w:val="ListParagraph"/>
        <w:numPr>
          <w:ilvl w:val="4"/>
          <w:numId w:val="175"/>
        </w:numPr>
        <w:tabs>
          <w:tab w:pos="2486" w:val="left" w:leader="none"/>
        </w:tabs>
        <w:spacing w:line="240" w:lineRule="auto" w:before="120" w:after="0"/>
        <w:ind w:left="2485" w:right="0" w:hanging="567"/>
        <w:jc w:val="left"/>
        <w:rPr>
          <w:sz w:val="24"/>
        </w:rPr>
      </w:pPr>
      <w:r>
        <w:rPr>
          <w:sz w:val="24"/>
        </w:rPr>
        <w:t>remote control and monitoring</w:t>
      </w:r>
      <w:r>
        <w:rPr>
          <w:spacing w:val="-3"/>
          <w:sz w:val="24"/>
        </w:rPr>
        <w:t> </w:t>
      </w:r>
      <w:r>
        <w:rPr>
          <w:sz w:val="24"/>
        </w:rPr>
        <w:t>system.</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may as a condition of considering </w:t>
      </w:r>
      <w:r>
        <w:rPr>
          <w:spacing w:val="-11"/>
          <w:sz w:val="24"/>
        </w:rPr>
        <w:t>a </w:t>
      </w:r>
      <w:r>
        <w:rPr>
          <w:sz w:val="24"/>
        </w:rPr>
        <w:t>submission made under paragraph (b), require payment of a fee to meet the reasonable costs anticipated to be incurred by the </w:t>
      </w:r>
      <w:r>
        <w:rPr>
          <w:i/>
          <w:sz w:val="24"/>
        </w:rPr>
        <w:t>Network Service Provider</w:t>
      </w:r>
      <w:r>
        <w:rPr>
          <w:sz w:val="24"/>
        </w:rPr>
        <w:t>, and other </w:t>
      </w:r>
      <w:r>
        <w:rPr>
          <w:i/>
          <w:sz w:val="24"/>
        </w:rPr>
        <w:t>Network Service Providers</w:t>
      </w:r>
      <w:r>
        <w:rPr>
          <w:sz w:val="24"/>
        </w:rPr>
        <w:t>, in the assessment of the</w:t>
      </w:r>
      <w:r>
        <w:rPr>
          <w:spacing w:val="-5"/>
          <w:sz w:val="24"/>
        </w:rPr>
        <w:t> </w:t>
      </w:r>
      <w:r>
        <w:rPr>
          <w:sz w:val="24"/>
        </w:rPr>
        <w:t>submission.</w:t>
      </w:r>
    </w:p>
    <w:p>
      <w:pPr>
        <w:pStyle w:val="ListParagraph"/>
        <w:numPr>
          <w:ilvl w:val="3"/>
          <w:numId w:val="175"/>
        </w:numPr>
        <w:tabs>
          <w:tab w:pos="1920" w:val="left" w:leader="none"/>
        </w:tabs>
        <w:spacing w:line="240" w:lineRule="auto" w:before="120" w:after="0"/>
        <w:ind w:left="1919" w:right="415" w:hanging="567"/>
        <w:jc w:val="both"/>
        <w:rPr>
          <w:sz w:val="24"/>
        </w:rPr>
      </w:pPr>
      <w:r>
        <w:rPr>
          <w:sz w:val="24"/>
        </w:rPr>
        <w:t>The </w:t>
      </w:r>
      <w:r>
        <w:rPr>
          <w:i/>
          <w:sz w:val="24"/>
        </w:rPr>
        <w:t>Network Service Provider </w:t>
      </w:r>
      <w:r>
        <w:rPr>
          <w:sz w:val="24"/>
        </w:rPr>
        <w:t>must require payment of a fee under paragraph (e) if so requested by</w:t>
      </w:r>
      <w:r>
        <w:rPr>
          <w:spacing w:val="-2"/>
          <w:sz w:val="24"/>
        </w:rPr>
        <w:t> </w:t>
      </w:r>
      <w:r>
        <w:rPr>
          <w:i/>
          <w:sz w:val="24"/>
        </w:rPr>
        <w:t>AEMO</w:t>
      </w:r>
      <w:r>
        <w:rPr>
          <w:sz w:val="24"/>
        </w:rPr>
        <w:t>.</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On payment of the required fee referred to in paragraph (e), the </w:t>
      </w:r>
      <w:r>
        <w:rPr>
          <w:i/>
          <w:sz w:val="24"/>
        </w:rPr>
        <w:t>Network </w:t>
      </w:r>
      <w:r>
        <w:rPr>
          <w:i/>
          <w:sz w:val="24"/>
        </w:rPr>
        <w:t>Service Provider </w:t>
      </w:r>
      <w:r>
        <w:rPr>
          <w:sz w:val="24"/>
        </w:rPr>
        <w:t>must pay such amounts as are on account of the costs anticipated to be incurred by the other </w:t>
      </w:r>
      <w:r>
        <w:rPr>
          <w:i/>
          <w:sz w:val="24"/>
        </w:rPr>
        <w:t>Network Service Providers </w:t>
      </w:r>
      <w:r>
        <w:rPr>
          <w:sz w:val="24"/>
        </w:rPr>
        <w:t>and </w:t>
      </w:r>
      <w:r>
        <w:rPr>
          <w:i/>
          <w:sz w:val="24"/>
        </w:rPr>
        <w:t>NTESMO</w:t>
      </w:r>
      <w:r>
        <w:rPr>
          <w:sz w:val="24"/>
        </w:rPr>
        <w:t>, as</w:t>
      </w:r>
      <w:r>
        <w:rPr>
          <w:spacing w:val="-1"/>
          <w:sz w:val="24"/>
        </w:rPr>
        <w:t> </w:t>
      </w:r>
      <w:r>
        <w:rPr>
          <w:sz w:val="24"/>
        </w:rPr>
        <w:t>appropriate.</w:t>
      </w:r>
    </w:p>
    <w:p>
      <w:pPr>
        <w:pStyle w:val="ListParagraph"/>
        <w:numPr>
          <w:ilvl w:val="3"/>
          <w:numId w:val="175"/>
        </w:numPr>
        <w:tabs>
          <w:tab w:pos="1919" w:val="left" w:leader="none"/>
        </w:tabs>
        <w:spacing w:line="240" w:lineRule="auto" w:before="120" w:after="0"/>
        <w:ind w:left="1919" w:right="414" w:hanging="567"/>
        <w:jc w:val="both"/>
        <w:rPr>
          <w:sz w:val="24"/>
        </w:rPr>
      </w:pPr>
      <w:r>
        <w:rPr>
          <w:sz w:val="24"/>
        </w:rPr>
        <w:t>If the application of this clause 5.3.9 leads to a variation to an existing </w:t>
      </w:r>
      <w:r>
        <w:rPr>
          <w:i/>
          <w:sz w:val="24"/>
        </w:rPr>
        <w:t>connection agreement </w:t>
      </w:r>
      <w:r>
        <w:rPr>
          <w:sz w:val="24"/>
        </w:rPr>
        <w:t>the </w:t>
      </w:r>
      <w:r>
        <w:rPr>
          <w:i/>
          <w:sz w:val="24"/>
        </w:rPr>
        <w:t>Network Service Provider </w:t>
      </w:r>
      <w:r>
        <w:rPr>
          <w:sz w:val="24"/>
        </w:rPr>
        <w:t>and the </w:t>
      </w:r>
      <w:r>
        <w:rPr>
          <w:i/>
          <w:sz w:val="24"/>
        </w:rPr>
        <w:t>Generator </w:t>
      </w:r>
      <w:r>
        <w:rPr>
          <w:sz w:val="24"/>
        </w:rPr>
        <w:t>must immediately jointly advise </w:t>
      </w:r>
      <w:r>
        <w:rPr>
          <w:i/>
          <w:sz w:val="24"/>
        </w:rPr>
        <w:t>NTESMO</w:t>
      </w:r>
      <w:r>
        <w:rPr>
          <w:sz w:val="24"/>
        </w:rPr>
        <w:t>, including the details of any </w:t>
      </w:r>
      <w:r>
        <w:rPr>
          <w:i/>
          <w:sz w:val="24"/>
        </w:rPr>
        <w:t>performance standards </w:t>
      </w:r>
      <w:r>
        <w:rPr>
          <w:sz w:val="24"/>
        </w:rPr>
        <w:t>amended pursuant to this clause</w:t>
      </w:r>
      <w:r>
        <w:rPr>
          <w:spacing w:val="-5"/>
          <w:sz w:val="24"/>
        </w:rPr>
        <w:t> </w:t>
      </w:r>
      <w:r>
        <w:rPr>
          <w:sz w:val="24"/>
        </w:rPr>
        <w:t>5.3.9.</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2" w:right="884" w:hanging="1134"/>
        <w:jc w:val="left"/>
      </w:pPr>
      <w:bookmarkStart w:name="5.3.10 Acceptance of performance standar" w:id="450"/>
      <w:bookmarkEnd w:id="450"/>
      <w:r>
        <w:rPr>
          <w:b w:val="0"/>
        </w:rPr>
      </w:r>
      <w:bookmarkStart w:name="_bookmark188" w:id="451"/>
      <w:bookmarkEnd w:id="451"/>
      <w:r>
        <w:rPr>
          <w:b w:val="0"/>
        </w:rPr>
      </w:r>
      <w:bookmarkStart w:name="_bookmark188" w:id="452"/>
      <w:bookmarkEnd w:id="452"/>
      <w:r>
        <w:rPr/>
        <w:t>Acc</w:t>
      </w:r>
      <w:r>
        <w:rPr/>
        <w:t>eptance of performance standards for generating plant that is altered</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Paragraphs</w:t>
      </w:r>
      <w:r>
        <w:rPr>
          <w:spacing w:val="4"/>
          <w:sz w:val="20"/>
        </w:rPr>
        <w:t> </w:t>
      </w:r>
      <w:r>
        <w:rPr>
          <w:sz w:val="20"/>
        </w:rPr>
        <w:t>(b)(3)</w:t>
      </w:r>
      <w:r>
        <w:rPr>
          <w:spacing w:val="4"/>
          <w:sz w:val="20"/>
        </w:rPr>
        <w:t> </w:t>
      </w:r>
      <w:r>
        <w:rPr>
          <w:sz w:val="20"/>
        </w:rPr>
        <w:t>and</w:t>
      </w:r>
      <w:r>
        <w:rPr>
          <w:spacing w:val="4"/>
          <w:sz w:val="20"/>
        </w:rPr>
        <w:t> </w:t>
      </w:r>
      <w:r>
        <w:rPr>
          <w:sz w:val="20"/>
        </w:rPr>
        <w:t>(c)</w:t>
      </w:r>
      <w:r>
        <w:rPr>
          <w:spacing w:val="5"/>
          <w:sz w:val="20"/>
        </w:rPr>
        <w:t> </w:t>
      </w:r>
      <w:r>
        <w:rPr>
          <w:sz w:val="20"/>
        </w:rPr>
        <w:t>of</w:t>
      </w:r>
      <w:r>
        <w:rPr>
          <w:spacing w:val="4"/>
          <w:sz w:val="20"/>
        </w:rPr>
        <w:t> </w:t>
      </w:r>
      <w:r>
        <w:rPr>
          <w:sz w:val="20"/>
        </w:rPr>
        <w:t>this</w:t>
      </w:r>
      <w:r>
        <w:rPr>
          <w:spacing w:val="4"/>
          <w:sz w:val="20"/>
        </w:rPr>
        <w:t> </w:t>
      </w:r>
      <w:r>
        <w:rPr>
          <w:sz w:val="20"/>
        </w:rPr>
        <w:t>clause</w:t>
      </w:r>
      <w:r>
        <w:rPr>
          <w:spacing w:val="5"/>
          <w:sz w:val="20"/>
        </w:rPr>
        <w:t> </w:t>
      </w:r>
      <w:r>
        <w:rPr>
          <w:sz w:val="20"/>
        </w:rPr>
        <w:t>have</w:t>
      </w:r>
      <w:r>
        <w:rPr>
          <w:spacing w:val="4"/>
          <w:sz w:val="20"/>
        </w:rPr>
        <w:t> </w:t>
      </w:r>
      <w:r>
        <w:rPr>
          <w:sz w:val="20"/>
        </w:rPr>
        <w:t>no</w:t>
      </w:r>
      <w:r>
        <w:rPr>
          <w:spacing w:val="4"/>
          <w:sz w:val="20"/>
        </w:rPr>
        <w:t> </w:t>
      </w:r>
      <w:r>
        <w:rPr>
          <w:sz w:val="20"/>
        </w:rPr>
        <w:t>effect</w:t>
      </w:r>
      <w:r>
        <w:rPr>
          <w:spacing w:val="4"/>
          <w:sz w:val="20"/>
        </w:rPr>
        <w:t> </w:t>
      </w:r>
      <w:r>
        <w:rPr>
          <w:sz w:val="20"/>
        </w:rPr>
        <w:t>in</w:t>
      </w:r>
      <w:r>
        <w:rPr>
          <w:spacing w:val="5"/>
          <w:sz w:val="20"/>
        </w:rPr>
        <w:t> </w:t>
      </w:r>
      <w:r>
        <w:rPr>
          <w:sz w:val="20"/>
        </w:rPr>
        <w:t>this</w:t>
      </w:r>
      <w:r>
        <w:rPr>
          <w:spacing w:val="4"/>
          <w:sz w:val="20"/>
        </w:rPr>
        <w:t> </w:t>
      </w:r>
      <w:r>
        <w:rPr>
          <w:sz w:val="20"/>
        </w:rPr>
        <w:t>jurisdiction</w:t>
      </w:r>
      <w:r>
        <w:rPr>
          <w:spacing w:val="4"/>
          <w:sz w:val="20"/>
        </w:rPr>
        <w:t> </w:t>
      </w:r>
      <w:r>
        <w:rPr>
          <w:sz w:val="20"/>
        </w:rPr>
        <w:t>(see</w:t>
      </w:r>
      <w:r>
        <w:rPr>
          <w:spacing w:val="5"/>
          <w:sz w:val="20"/>
        </w:rPr>
        <w:t> </w:t>
      </w:r>
      <w:r>
        <w:rPr>
          <w:sz w:val="20"/>
        </w:rPr>
        <w:t>regulation</w:t>
      </w:r>
      <w:r>
        <w:rPr>
          <w:spacing w:val="4"/>
          <w:sz w:val="20"/>
        </w:rPr>
        <w:t> </w:t>
      </w:r>
      <w:r>
        <w:rPr>
          <w:sz w:val="20"/>
        </w:rPr>
        <w:t>5A</w:t>
      </w:r>
      <w:r>
        <w:rPr>
          <w:spacing w:val="4"/>
          <w:sz w:val="20"/>
        </w:rPr>
        <w:t> </w:t>
      </w:r>
      <w:r>
        <w:rPr>
          <w:sz w:val="20"/>
        </w:rPr>
        <w:t>of</w:t>
      </w:r>
      <w:r>
        <w:rPr>
          <w:spacing w:val="5"/>
          <w:sz w:val="20"/>
        </w:rPr>
        <w:t> </w:t>
      </w:r>
      <w:r>
        <w:rPr>
          <w:sz w:val="20"/>
        </w:rPr>
        <w:t>the</w:t>
      </w:r>
    </w:p>
    <w:p>
      <w:pPr>
        <w:spacing w:before="0"/>
        <w:ind w:left="1352" w:right="0" w:firstLine="0"/>
        <w:jc w:val="left"/>
        <w:rPr>
          <w:i/>
          <w:sz w:val="20"/>
        </w:rPr>
      </w:pPr>
      <w:r>
        <w:rPr>
          <w:i/>
          <w:sz w:val="20"/>
        </w:rPr>
        <w:t>National  </w:t>
      </w:r>
      <w:r>
        <w:rPr>
          <w:i/>
          <w:spacing w:val="20"/>
          <w:sz w:val="20"/>
        </w:rPr>
        <w:t> </w:t>
      </w:r>
      <w:r>
        <w:rPr>
          <w:i/>
          <w:sz w:val="20"/>
        </w:rPr>
        <w:t>Electricity  </w:t>
      </w:r>
      <w:r>
        <w:rPr>
          <w:i/>
          <w:spacing w:val="21"/>
          <w:sz w:val="20"/>
        </w:rPr>
        <w:t> </w:t>
      </w:r>
      <w:r>
        <w:rPr>
          <w:i/>
          <w:sz w:val="20"/>
        </w:rPr>
        <w:t>(Northern  </w:t>
      </w:r>
      <w:r>
        <w:rPr>
          <w:i/>
          <w:spacing w:val="21"/>
          <w:sz w:val="20"/>
        </w:rPr>
        <w:t> </w:t>
      </w:r>
      <w:r>
        <w:rPr>
          <w:i/>
          <w:sz w:val="20"/>
        </w:rPr>
        <w:t>Territory)  </w:t>
      </w:r>
      <w:r>
        <w:rPr>
          <w:i/>
          <w:spacing w:val="21"/>
          <w:sz w:val="20"/>
        </w:rPr>
        <w:t> </w:t>
      </w:r>
      <w:r>
        <w:rPr>
          <w:i/>
          <w:sz w:val="20"/>
        </w:rPr>
        <w:t>(National  </w:t>
      </w:r>
      <w:r>
        <w:rPr>
          <w:i/>
          <w:spacing w:val="21"/>
          <w:sz w:val="20"/>
        </w:rPr>
        <w:t> </w:t>
      </w:r>
      <w:r>
        <w:rPr>
          <w:i/>
          <w:sz w:val="20"/>
        </w:rPr>
        <w:t>Uniform  </w:t>
      </w:r>
      <w:r>
        <w:rPr>
          <w:i/>
          <w:spacing w:val="21"/>
          <w:sz w:val="20"/>
        </w:rPr>
        <w:t> </w:t>
      </w:r>
      <w:r>
        <w:rPr>
          <w:i/>
          <w:sz w:val="20"/>
        </w:rPr>
        <w:t>Legislation)  </w:t>
      </w:r>
      <w:r>
        <w:rPr>
          <w:i/>
          <w:spacing w:val="21"/>
          <w:sz w:val="20"/>
        </w:rPr>
        <w:t> </w:t>
      </w:r>
      <w:r>
        <w:rPr>
          <w:i/>
          <w:sz w:val="20"/>
        </w:rPr>
        <w:t>(Modification)</w:t>
      </w:r>
    </w:p>
    <w:p>
      <w:pPr>
        <w:spacing w:after="0"/>
        <w:jc w:val="left"/>
        <w:rPr>
          <w:sz w:val="20"/>
        </w:rPr>
        <w:sectPr>
          <w:pgSz w:w="11910" w:h="16840"/>
          <w:pgMar w:header="686" w:footer="637" w:top="1320" w:bottom="820" w:left="1200" w:right="1000"/>
        </w:sectPr>
      </w:pPr>
    </w:p>
    <w:p>
      <w:pPr>
        <w:spacing w:before="83"/>
        <w:ind w:left="1352" w:right="415" w:firstLine="0"/>
        <w:jc w:val="both"/>
        <w:rPr>
          <w:sz w:val="20"/>
        </w:rPr>
      </w:pP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A person to whom clause 5.3.9 applies must not commission altered </w:t>
      </w:r>
      <w:r>
        <w:rPr>
          <w:i/>
          <w:sz w:val="24"/>
        </w:rPr>
        <w:t>generating plant </w:t>
      </w:r>
      <w:r>
        <w:rPr>
          <w:sz w:val="24"/>
        </w:rPr>
        <w:t>until the </w:t>
      </w:r>
      <w:r>
        <w:rPr>
          <w:i/>
          <w:sz w:val="24"/>
        </w:rPr>
        <w:t>Network Service Provider </w:t>
      </w:r>
      <w:r>
        <w:rPr>
          <w:sz w:val="24"/>
        </w:rPr>
        <w:t>has advised the </w:t>
      </w:r>
      <w:r>
        <w:rPr>
          <w:i/>
          <w:sz w:val="24"/>
        </w:rPr>
        <w:t>Generator </w:t>
      </w:r>
      <w:r>
        <w:rPr>
          <w:sz w:val="24"/>
        </w:rPr>
        <w:t>that it is satisfied in accordance with paragraph</w:t>
      </w:r>
      <w:r>
        <w:rPr>
          <w:spacing w:val="-8"/>
          <w:sz w:val="24"/>
        </w:rPr>
        <w:t> </w:t>
      </w:r>
      <w:r>
        <w:rPr>
          <w:sz w:val="24"/>
        </w:rPr>
        <w:t>(b).</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In relation to altered </w:t>
      </w:r>
      <w:r>
        <w:rPr>
          <w:i/>
          <w:sz w:val="24"/>
        </w:rPr>
        <w:t>generating plant</w:t>
      </w:r>
      <w:r>
        <w:rPr>
          <w:sz w:val="24"/>
        </w:rPr>
        <w:t>, the </w:t>
      </w:r>
      <w:r>
        <w:rPr>
          <w:i/>
          <w:sz w:val="24"/>
        </w:rPr>
        <w:t>Network Service Provider </w:t>
      </w:r>
      <w:r>
        <w:rPr>
          <w:spacing w:val="-3"/>
          <w:sz w:val="24"/>
        </w:rPr>
        <w:t>must  </w:t>
      </w:r>
      <w:r>
        <w:rPr>
          <w:sz w:val="24"/>
        </w:rPr>
        <w:t>be satisfied</w:t>
      </w:r>
      <w:r>
        <w:rPr>
          <w:spacing w:val="-1"/>
          <w:sz w:val="24"/>
        </w:rPr>
        <w:t> </w:t>
      </w:r>
      <w:r>
        <w:rPr>
          <w:sz w:val="24"/>
        </w:rPr>
        <w:t>that:</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relevant person has complied with clause</w:t>
      </w:r>
      <w:r>
        <w:rPr>
          <w:spacing w:val="-2"/>
          <w:sz w:val="24"/>
        </w:rPr>
        <w:t> </w:t>
      </w:r>
      <w:r>
        <w:rPr>
          <w:sz w:val="24"/>
        </w:rPr>
        <w:t>5.3.9;</w:t>
      </w:r>
    </w:p>
    <w:p>
      <w:pPr>
        <w:pStyle w:val="ListParagraph"/>
        <w:numPr>
          <w:ilvl w:val="4"/>
          <w:numId w:val="175"/>
        </w:numPr>
        <w:tabs>
          <w:tab w:pos="2486" w:val="left" w:leader="none"/>
        </w:tabs>
        <w:spacing w:line="240" w:lineRule="auto" w:before="120" w:after="0"/>
        <w:ind w:left="2486" w:right="415" w:hanging="567"/>
        <w:jc w:val="both"/>
        <w:rPr>
          <w:sz w:val="24"/>
        </w:rPr>
      </w:pPr>
      <w:r>
        <w:rPr>
          <w:sz w:val="24"/>
        </w:rPr>
        <w:t>each amended performance standard that has been submitted to the </w:t>
      </w:r>
      <w:r>
        <w:rPr>
          <w:i/>
          <w:sz w:val="24"/>
        </w:rPr>
        <w:t>Network Service Provider </w:t>
      </w:r>
      <w:r>
        <w:rPr>
          <w:sz w:val="24"/>
        </w:rPr>
        <w:t>meets the relevant technical requirements under </w:t>
      </w:r>
      <w:r>
        <w:rPr>
          <w:i/>
          <w:sz w:val="24"/>
        </w:rPr>
        <w:t>jurisdictional electricity legislation</w:t>
      </w:r>
      <w:r>
        <w:rPr>
          <w:sz w:val="24"/>
        </w:rPr>
        <w:t>;</w:t>
      </w:r>
      <w:r>
        <w:rPr>
          <w:spacing w:val="-1"/>
          <w:sz w:val="24"/>
        </w:rPr>
        <w:t> </w:t>
      </w:r>
      <w:r>
        <w:rPr>
          <w:sz w:val="24"/>
        </w:rPr>
        <w:t>and</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any </w:t>
      </w:r>
      <w:r>
        <w:rPr>
          <w:i/>
          <w:sz w:val="24"/>
        </w:rPr>
        <w:t>system strength remediation scheme </w:t>
      </w:r>
      <w:r>
        <w:rPr>
          <w:sz w:val="24"/>
        </w:rPr>
        <w:t>satisfies clause</w:t>
      </w:r>
      <w:r>
        <w:rPr>
          <w:spacing w:val="-11"/>
          <w:sz w:val="24"/>
        </w:rPr>
        <w:t> </w:t>
      </w:r>
      <w:r>
        <w:rPr>
          <w:sz w:val="24"/>
        </w:rPr>
        <w:t>5.3.4B.</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For the purposes of paragraph (a), </w:t>
      </w:r>
      <w:r>
        <w:rPr>
          <w:i/>
          <w:sz w:val="24"/>
        </w:rPr>
        <w:t>NTESMO </w:t>
      </w:r>
      <w:r>
        <w:rPr>
          <w:sz w:val="24"/>
        </w:rPr>
        <w:t>must advise the </w:t>
      </w:r>
      <w:r>
        <w:rPr>
          <w:i/>
          <w:sz w:val="24"/>
        </w:rPr>
        <w:t>Network </w:t>
      </w:r>
      <w:r>
        <w:rPr>
          <w:i/>
          <w:sz w:val="24"/>
        </w:rPr>
        <w:t>Service Provider </w:t>
      </w:r>
      <w:r>
        <w:rPr>
          <w:sz w:val="24"/>
        </w:rPr>
        <w:t>as to whether it is satisfied with the matters referred to paragraph (b).</w:t>
      </w:r>
    </w:p>
    <w:p>
      <w:pPr>
        <w:pStyle w:val="BodyText"/>
        <w:spacing w:before="10"/>
        <w:ind w:firstLine="0"/>
        <w:jc w:val="left"/>
        <w:rPr>
          <w:sz w:val="20"/>
        </w:rPr>
      </w:pPr>
    </w:p>
    <w:p>
      <w:pPr>
        <w:pStyle w:val="Heading4"/>
        <w:numPr>
          <w:ilvl w:val="2"/>
          <w:numId w:val="175"/>
        </w:numPr>
        <w:tabs>
          <w:tab w:pos="1351" w:val="left" w:leader="none"/>
          <w:tab w:pos="1352" w:val="left" w:leader="none"/>
        </w:tabs>
        <w:spacing w:line="240" w:lineRule="auto" w:before="0" w:after="0"/>
        <w:ind w:left="1351" w:right="0" w:hanging="1134"/>
        <w:jc w:val="left"/>
      </w:pPr>
      <w:bookmarkStart w:name="5.3.11 Notification of request to change" w:id="453"/>
      <w:bookmarkEnd w:id="453"/>
      <w:r>
        <w:rPr>
          <w:b w:val="0"/>
        </w:rPr>
      </w:r>
      <w:bookmarkStart w:name="_bookmark189" w:id="454"/>
      <w:bookmarkEnd w:id="454"/>
      <w:r>
        <w:rPr>
          <w:b w:val="0"/>
        </w:rPr>
      </w:r>
      <w:bookmarkStart w:name="_bookmark189" w:id="455"/>
      <w:bookmarkEnd w:id="455"/>
      <w:r>
        <w:rPr/>
        <w:t>Notificatio</w:t>
      </w:r>
      <w:r>
        <w:rPr/>
        <w:t>n of request to change normal</w:t>
      </w:r>
      <w:r>
        <w:rPr>
          <w:spacing w:val="-8"/>
        </w:rPr>
        <w:t> </w:t>
      </w:r>
      <w:r>
        <w:rPr/>
        <w:t>voltage</w:t>
      </w:r>
    </w:p>
    <w:p>
      <w:pPr>
        <w:pStyle w:val="ListParagraph"/>
        <w:numPr>
          <w:ilvl w:val="3"/>
          <w:numId w:val="175"/>
        </w:numPr>
        <w:tabs>
          <w:tab w:pos="1919" w:val="left" w:leader="none"/>
        </w:tabs>
        <w:spacing w:line="240" w:lineRule="auto" w:before="120" w:after="0"/>
        <w:ind w:left="1919" w:right="415" w:hanging="567"/>
        <w:jc w:val="both"/>
        <w:rPr>
          <w:sz w:val="24"/>
        </w:rPr>
      </w:pPr>
      <w:r>
        <w:rPr>
          <w:sz w:val="24"/>
        </w:rPr>
        <w:t>On receipt of a request from a </w:t>
      </w:r>
      <w:r>
        <w:rPr>
          <w:i/>
          <w:sz w:val="24"/>
        </w:rPr>
        <w:t>Network Service Provider </w:t>
      </w:r>
      <w:r>
        <w:rPr>
          <w:sz w:val="24"/>
        </w:rPr>
        <w:t>to change </w:t>
      </w:r>
      <w:r>
        <w:rPr>
          <w:i/>
          <w:sz w:val="24"/>
        </w:rPr>
        <w:t>normal </w:t>
      </w:r>
      <w:r>
        <w:rPr>
          <w:i/>
          <w:sz w:val="24"/>
        </w:rPr>
        <w:t>voltage, NTESMO </w:t>
      </w:r>
      <w:r>
        <w:rPr>
          <w:sz w:val="24"/>
        </w:rPr>
        <w:t>must </w:t>
      </w:r>
      <w:r>
        <w:rPr>
          <w:i/>
          <w:sz w:val="24"/>
        </w:rPr>
        <w:t>publish </w:t>
      </w:r>
      <w:r>
        <w:rPr>
          <w:sz w:val="24"/>
        </w:rPr>
        <w:t>a notice to </w:t>
      </w:r>
      <w:r>
        <w:rPr>
          <w:i/>
          <w:sz w:val="24"/>
        </w:rPr>
        <w:t>Registered Participants </w:t>
      </w:r>
      <w:r>
        <w:rPr>
          <w:sz w:val="24"/>
        </w:rPr>
        <w:t>advising:</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change in </w:t>
      </w:r>
      <w:r>
        <w:rPr>
          <w:i/>
          <w:sz w:val="24"/>
        </w:rPr>
        <w:t>normal voltage </w:t>
      </w:r>
      <w:r>
        <w:rPr>
          <w:sz w:val="24"/>
        </w:rPr>
        <w:t>requested;</w:t>
      </w:r>
      <w:r>
        <w:rPr>
          <w:spacing w:val="-2"/>
          <w:sz w:val="24"/>
        </w:rPr>
        <w:t> </w:t>
      </w:r>
      <w:r>
        <w:rPr>
          <w:sz w:val="24"/>
        </w:rPr>
        <w:t>and</w:t>
      </w:r>
    </w:p>
    <w:p>
      <w:pPr>
        <w:pStyle w:val="ListParagraph"/>
        <w:numPr>
          <w:ilvl w:val="4"/>
          <w:numId w:val="175"/>
        </w:numPr>
        <w:tabs>
          <w:tab w:pos="2486" w:val="left" w:leader="none"/>
        </w:tabs>
        <w:spacing w:line="240" w:lineRule="auto" w:before="120" w:after="0"/>
        <w:ind w:left="2485" w:right="0" w:hanging="567"/>
        <w:jc w:val="both"/>
        <w:rPr>
          <w:sz w:val="24"/>
        </w:rPr>
      </w:pPr>
      <w:r>
        <w:rPr>
          <w:sz w:val="24"/>
        </w:rPr>
        <w:t>the </w:t>
      </w:r>
      <w:r>
        <w:rPr>
          <w:i/>
          <w:sz w:val="24"/>
        </w:rPr>
        <w:t>connection point </w:t>
      </w:r>
      <w:r>
        <w:rPr>
          <w:sz w:val="24"/>
        </w:rPr>
        <w:t>to which the request</w:t>
      </w:r>
      <w:r>
        <w:rPr>
          <w:spacing w:val="-2"/>
          <w:sz w:val="24"/>
        </w:rPr>
        <w:t> </w:t>
      </w:r>
      <w:r>
        <w:rPr>
          <w:sz w:val="24"/>
        </w:rPr>
        <w:t>relates.</w:t>
      </w:r>
    </w:p>
    <w:p>
      <w:pPr>
        <w:spacing w:before="120"/>
        <w:ind w:left="1919" w:right="415" w:hanging="567"/>
        <w:jc w:val="both"/>
        <w:rPr>
          <w:sz w:val="24"/>
        </w:rPr>
      </w:pPr>
      <w:r>
        <w:rPr>
          <w:sz w:val="24"/>
        </w:rPr>
        <w:t>(a1) A request from a </w:t>
      </w:r>
      <w:r>
        <w:rPr>
          <w:i/>
          <w:sz w:val="24"/>
        </w:rPr>
        <w:t>Network Service Provider </w:t>
      </w:r>
      <w:r>
        <w:rPr>
          <w:sz w:val="24"/>
        </w:rPr>
        <w:t>to change </w:t>
      </w:r>
      <w:r>
        <w:rPr>
          <w:i/>
          <w:sz w:val="24"/>
        </w:rPr>
        <w:t>normal voltage </w:t>
      </w:r>
      <w:r>
        <w:rPr>
          <w:sz w:val="24"/>
        </w:rPr>
        <w:t>must  be assessed in accordance with the </w:t>
      </w:r>
      <w:r>
        <w:rPr>
          <w:i/>
          <w:sz w:val="24"/>
        </w:rPr>
        <w:t>Rules consultation</w:t>
      </w:r>
      <w:r>
        <w:rPr>
          <w:i/>
          <w:spacing w:val="-4"/>
          <w:sz w:val="24"/>
        </w:rPr>
        <w:t> </w:t>
      </w:r>
      <w:r>
        <w:rPr>
          <w:i/>
          <w:sz w:val="24"/>
        </w:rPr>
        <w:t>procedures</w:t>
      </w:r>
      <w:r>
        <w:rPr>
          <w:sz w:val="24"/>
        </w:rPr>
        <w:t>.</w:t>
      </w:r>
    </w:p>
    <w:p>
      <w:pPr>
        <w:pStyle w:val="ListParagraph"/>
        <w:numPr>
          <w:ilvl w:val="3"/>
          <w:numId w:val="175"/>
        </w:numPr>
        <w:tabs>
          <w:tab w:pos="1919" w:val="left" w:leader="none"/>
        </w:tabs>
        <w:spacing w:line="240" w:lineRule="auto" w:before="120" w:after="0"/>
        <w:ind w:left="1918" w:right="0" w:hanging="567"/>
        <w:jc w:val="both"/>
        <w:rPr>
          <w:sz w:val="24"/>
        </w:rPr>
      </w:pPr>
      <w:r>
        <w:rPr>
          <w:sz w:val="24"/>
        </w:rPr>
        <w:t>Within</w:t>
      </w:r>
      <w:r>
        <w:rPr>
          <w:spacing w:val="19"/>
          <w:sz w:val="24"/>
        </w:rPr>
        <w:t> </w:t>
      </w:r>
      <w:r>
        <w:rPr>
          <w:sz w:val="24"/>
        </w:rPr>
        <w:t>a</w:t>
      </w:r>
      <w:r>
        <w:rPr>
          <w:spacing w:val="20"/>
          <w:sz w:val="24"/>
        </w:rPr>
        <w:t> </w:t>
      </w:r>
      <w:r>
        <w:rPr>
          <w:sz w:val="24"/>
        </w:rPr>
        <w:t>reasonable</w:t>
      </w:r>
      <w:r>
        <w:rPr>
          <w:spacing w:val="20"/>
          <w:sz w:val="24"/>
        </w:rPr>
        <w:t> </w:t>
      </w:r>
      <w:r>
        <w:rPr>
          <w:sz w:val="24"/>
        </w:rPr>
        <w:t>period</w:t>
      </w:r>
      <w:r>
        <w:rPr>
          <w:spacing w:val="20"/>
          <w:sz w:val="24"/>
        </w:rPr>
        <w:t> </w:t>
      </w:r>
      <w:r>
        <w:rPr>
          <w:sz w:val="24"/>
        </w:rPr>
        <w:t>after</w:t>
      </w:r>
      <w:r>
        <w:rPr>
          <w:spacing w:val="19"/>
          <w:sz w:val="24"/>
        </w:rPr>
        <w:t> </w:t>
      </w:r>
      <w:r>
        <w:rPr>
          <w:sz w:val="24"/>
        </w:rPr>
        <w:t>publication</w:t>
      </w:r>
      <w:r>
        <w:rPr>
          <w:spacing w:val="20"/>
          <w:sz w:val="24"/>
        </w:rPr>
        <w:t> </w:t>
      </w:r>
      <w:r>
        <w:rPr>
          <w:sz w:val="24"/>
        </w:rPr>
        <w:t>of</w:t>
      </w:r>
      <w:r>
        <w:rPr>
          <w:spacing w:val="20"/>
          <w:sz w:val="24"/>
        </w:rPr>
        <w:t> </w:t>
      </w:r>
      <w:r>
        <w:rPr>
          <w:sz w:val="24"/>
        </w:rPr>
        <w:t>the</w:t>
      </w:r>
      <w:r>
        <w:rPr>
          <w:spacing w:val="20"/>
          <w:sz w:val="24"/>
        </w:rPr>
        <w:t> </w:t>
      </w:r>
      <w:r>
        <w:rPr>
          <w:sz w:val="24"/>
        </w:rPr>
        <w:t>notice</w:t>
      </w:r>
      <w:r>
        <w:rPr>
          <w:spacing w:val="19"/>
          <w:sz w:val="24"/>
        </w:rPr>
        <w:t> </w:t>
      </w:r>
      <w:r>
        <w:rPr>
          <w:sz w:val="24"/>
        </w:rPr>
        <w:t>in</w:t>
      </w:r>
      <w:r>
        <w:rPr>
          <w:spacing w:val="20"/>
          <w:sz w:val="24"/>
        </w:rPr>
        <w:t> </w:t>
      </w:r>
      <w:r>
        <w:rPr>
          <w:sz w:val="24"/>
        </w:rPr>
        <w:t>paragraph</w:t>
      </w:r>
      <w:r>
        <w:rPr>
          <w:spacing w:val="20"/>
          <w:sz w:val="24"/>
        </w:rPr>
        <w:t> </w:t>
      </w:r>
      <w:r>
        <w:rPr>
          <w:sz w:val="24"/>
        </w:rPr>
        <w:t>(a),</w:t>
      </w:r>
    </w:p>
    <w:p>
      <w:pPr>
        <w:spacing w:before="0"/>
        <w:ind w:left="1919" w:right="0" w:firstLine="0"/>
        <w:jc w:val="left"/>
        <w:rPr>
          <w:sz w:val="24"/>
        </w:rPr>
      </w:pPr>
      <w:r>
        <w:rPr>
          <w:i/>
          <w:sz w:val="24"/>
        </w:rPr>
        <w:t>NTESMO </w:t>
      </w:r>
      <w:r>
        <w:rPr>
          <w:sz w:val="24"/>
        </w:rPr>
        <w:t>must </w:t>
      </w:r>
      <w:r>
        <w:rPr>
          <w:i/>
          <w:sz w:val="24"/>
        </w:rPr>
        <w:t>publish </w:t>
      </w:r>
      <w:r>
        <w:rPr>
          <w:sz w:val="24"/>
        </w:rPr>
        <w:t>a further notice to </w:t>
      </w:r>
      <w:r>
        <w:rPr>
          <w:i/>
          <w:sz w:val="24"/>
        </w:rPr>
        <w:t>Registered Participants </w:t>
      </w:r>
      <w:r>
        <w:rPr>
          <w:sz w:val="24"/>
        </w:rPr>
        <w:t>advising:</w:t>
      </w:r>
    </w:p>
    <w:p>
      <w:pPr>
        <w:pStyle w:val="ListParagraph"/>
        <w:numPr>
          <w:ilvl w:val="4"/>
          <w:numId w:val="175"/>
        </w:numPr>
        <w:tabs>
          <w:tab w:pos="2485" w:val="left" w:leader="none"/>
          <w:tab w:pos="2486" w:val="left" w:leader="none"/>
        </w:tabs>
        <w:spacing w:line="240" w:lineRule="auto" w:before="120" w:after="0"/>
        <w:ind w:left="2486" w:right="415" w:hanging="567"/>
        <w:jc w:val="left"/>
        <w:rPr>
          <w:sz w:val="24"/>
        </w:rPr>
      </w:pPr>
      <w:r>
        <w:rPr>
          <w:sz w:val="24"/>
        </w:rPr>
        <w:t>whether the </w:t>
      </w:r>
      <w:r>
        <w:rPr>
          <w:i/>
          <w:sz w:val="24"/>
        </w:rPr>
        <w:t>normal voltage </w:t>
      </w:r>
      <w:r>
        <w:rPr>
          <w:sz w:val="24"/>
        </w:rPr>
        <w:t>at the relevant </w:t>
      </w:r>
      <w:r>
        <w:rPr>
          <w:i/>
          <w:sz w:val="24"/>
        </w:rPr>
        <w:t>connection point </w:t>
      </w:r>
      <w:r>
        <w:rPr>
          <w:sz w:val="24"/>
        </w:rPr>
        <w:t>will change;</w:t>
      </w:r>
      <w:r>
        <w:rPr>
          <w:spacing w:val="-1"/>
          <w:sz w:val="24"/>
        </w:rPr>
        <w:t> </w:t>
      </w:r>
      <w:r>
        <w:rPr>
          <w:sz w:val="24"/>
        </w:rPr>
        <w:t>and</w:t>
      </w:r>
    </w:p>
    <w:p>
      <w:pPr>
        <w:pStyle w:val="ListParagraph"/>
        <w:numPr>
          <w:ilvl w:val="4"/>
          <w:numId w:val="175"/>
        </w:numPr>
        <w:tabs>
          <w:tab w:pos="2485" w:val="left" w:leader="none"/>
          <w:tab w:pos="2486" w:val="left" w:leader="none"/>
        </w:tabs>
        <w:spacing w:line="240" w:lineRule="auto" w:before="120" w:after="0"/>
        <w:ind w:left="2485" w:right="0" w:hanging="567"/>
        <w:jc w:val="left"/>
        <w:rPr>
          <w:sz w:val="24"/>
        </w:rPr>
      </w:pPr>
      <w:r>
        <w:rPr>
          <w:sz w:val="24"/>
        </w:rPr>
        <w:t>the nature of, and reasons for, any such</w:t>
      </w:r>
      <w:r>
        <w:rPr>
          <w:spacing w:val="-3"/>
          <w:sz w:val="24"/>
        </w:rPr>
        <w:t> </w:t>
      </w:r>
      <w:r>
        <w:rPr>
          <w:sz w:val="24"/>
        </w:rPr>
        <w:t>change.</w:t>
      </w:r>
    </w:p>
    <w:p>
      <w:pPr>
        <w:spacing w:before="120"/>
        <w:ind w:left="1919" w:right="0" w:firstLine="0"/>
        <w:jc w:val="left"/>
        <w:rPr>
          <w:rFonts w:ascii="Arial"/>
          <w:b/>
          <w:sz w:val="20"/>
        </w:rPr>
      </w:pPr>
      <w:r>
        <w:rPr>
          <w:rFonts w:ascii="Arial"/>
          <w:b/>
          <w:sz w:val="20"/>
        </w:rPr>
        <w:t>Note</w:t>
      </w:r>
    </w:p>
    <w:p>
      <w:pPr>
        <w:spacing w:before="120"/>
        <w:ind w:left="1919" w:right="415" w:firstLine="0"/>
        <w:jc w:val="left"/>
        <w:rPr>
          <w:sz w:val="20"/>
        </w:rPr>
      </w:pPr>
      <w:r>
        <w:rPr>
          <w:i/>
          <w:sz w:val="20"/>
        </w:rPr>
        <w:t>NTESMO’s </w:t>
      </w:r>
      <w:r>
        <w:rPr>
          <w:sz w:val="20"/>
        </w:rPr>
        <w:t>reasonable costs in assessing requests under this clause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3"/>
        <w:tabs>
          <w:tab w:pos="1351" w:val="left" w:leader="none"/>
        </w:tabs>
        <w:ind w:left="218" w:firstLine="0"/>
      </w:pPr>
      <w:bookmarkStart w:name="5.3A Establishing or modifying connectio" w:id="456"/>
      <w:bookmarkEnd w:id="456"/>
      <w:r>
        <w:rPr>
          <w:b w:val="0"/>
        </w:rPr>
      </w:r>
      <w:bookmarkStart w:name="_bookmark190" w:id="457"/>
      <w:bookmarkEnd w:id="457"/>
      <w:r>
        <w:rPr>
          <w:b w:val="0"/>
        </w:rPr>
      </w:r>
      <w:r>
        <w:rPr/>
        <w:t>5.3A</w:t>
        <w:tab/>
        <w:t>Establishing or modifying connection - embedded</w:t>
      </w:r>
      <w:r>
        <w:rPr>
          <w:spacing w:val="-9"/>
        </w:rPr>
        <w:t> </w:t>
      </w:r>
      <w:r>
        <w:rPr/>
        <w:t>generation</w:t>
      </w:r>
    </w:p>
    <w:p>
      <w:pPr>
        <w:pStyle w:val="Heading4"/>
        <w:numPr>
          <w:ilvl w:val="1"/>
          <w:numId w:val="180"/>
        </w:numPr>
        <w:tabs>
          <w:tab w:pos="553" w:val="left" w:leader="none"/>
          <w:tab w:pos="1351" w:val="left" w:leader="none"/>
        </w:tabs>
        <w:spacing w:line="240" w:lineRule="auto" w:before="240" w:after="0"/>
        <w:ind w:left="552" w:right="0" w:hanging="335"/>
        <w:jc w:val="left"/>
      </w:pPr>
      <w:bookmarkStart w:name="5.3A.1 Application of rule 5.3A" w:id="458"/>
      <w:bookmarkEnd w:id="458"/>
      <w:r>
        <w:rPr>
          <w:b w:val="0"/>
        </w:rPr>
      </w:r>
      <w:bookmarkStart w:name="_bookmark191" w:id="459"/>
      <w:bookmarkEnd w:id="459"/>
      <w:r>
        <w:rPr>
          <w:b w:val="0"/>
        </w:rPr>
      </w:r>
      <w:bookmarkStart w:name="_bookmark191" w:id="460"/>
      <w:bookmarkEnd w:id="460"/>
      <w:r>
        <w:rPr/>
        <w:t>A.</w:t>
      </w:r>
      <w:r>
        <w:rPr/>
        <w:t>1</w:t>
        <w:tab/>
        <w:t>Application of rule</w:t>
      </w:r>
      <w:r>
        <w:rPr>
          <w:spacing w:val="-2"/>
        </w:rPr>
        <w:t> </w:t>
      </w:r>
      <w:r>
        <w:rPr/>
        <w:t>5.3A</w:t>
      </w:r>
    </w:p>
    <w:p>
      <w:pPr>
        <w:pStyle w:val="ListParagraph"/>
        <w:numPr>
          <w:ilvl w:val="2"/>
          <w:numId w:val="18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5.3A:</w:t>
      </w:r>
    </w:p>
    <w:p>
      <w:pPr>
        <w:spacing w:before="120"/>
        <w:ind w:left="1919" w:right="415" w:firstLine="0"/>
        <w:jc w:val="left"/>
        <w:rPr>
          <w:sz w:val="24"/>
        </w:rPr>
      </w:pPr>
      <w:r>
        <w:rPr>
          <w:b/>
          <w:sz w:val="24"/>
        </w:rPr>
        <w:t>non-registered embedded generator </w:t>
      </w:r>
      <w:r>
        <w:rPr>
          <w:sz w:val="24"/>
        </w:rPr>
        <w:t>has the same meaning as in clause 5A.A.1</w:t>
      </w:r>
    </w:p>
    <w:p>
      <w:pPr>
        <w:spacing w:after="0"/>
        <w:jc w:val="left"/>
        <w:rPr>
          <w:sz w:val="24"/>
        </w:rPr>
        <w:sectPr>
          <w:pgSz w:w="11910" w:h="16840"/>
          <w:pgMar w:header="686" w:footer="637" w:top="1320" w:bottom="820" w:left="1200" w:right="1000"/>
        </w:sectPr>
      </w:pPr>
    </w:p>
    <w:p>
      <w:pPr>
        <w:pStyle w:val="ListParagraph"/>
        <w:numPr>
          <w:ilvl w:val="2"/>
          <w:numId w:val="180"/>
        </w:numPr>
        <w:tabs>
          <w:tab w:pos="1919" w:val="left" w:leader="none"/>
        </w:tabs>
        <w:spacing w:line="240" w:lineRule="auto" w:before="83" w:after="0"/>
        <w:ind w:left="1919" w:right="414" w:hanging="567"/>
        <w:jc w:val="both"/>
        <w:rPr>
          <w:sz w:val="24"/>
        </w:rPr>
      </w:pPr>
      <w:r>
        <w:rPr>
          <w:sz w:val="24"/>
        </w:rPr>
        <w:t>Where a </w:t>
      </w:r>
      <w:r>
        <w:rPr>
          <w:i/>
          <w:sz w:val="24"/>
        </w:rPr>
        <w:t>Connection Applicant </w:t>
      </w:r>
      <w:r>
        <w:rPr>
          <w:sz w:val="24"/>
        </w:rPr>
        <w:t>wishes to connect an </w:t>
      </w:r>
      <w:r>
        <w:rPr>
          <w:i/>
          <w:sz w:val="24"/>
        </w:rPr>
        <w:t>embedded generating </w:t>
      </w:r>
      <w:r>
        <w:rPr>
          <w:i/>
          <w:sz w:val="24"/>
        </w:rPr>
        <w:t>unit</w:t>
      </w:r>
      <w:r>
        <w:rPr>
          <w:sz w:val="24"/>
        </w:rPr>
        <w:t>, this rule 5.3A</w:t>
      </w:r>
      <w:r>
        <w:rPr>
          <w:spacing w:val="-1"/>
          <w:sz w:val="24"/>
        </w:rPr>
        <w:t> </w:t>
      </w:r>
      <w:r>
        <w:rPr>
          <w:sz w:val="24"/>
        </w:rPr>
        <w:t>applies.</w:t>
      </w:r>
    </w:p>
    <w:p>
      <w:pPr>
        <w:pStyle w:val="ListParagraph"/>
        <w:numPr>
          <w:ilvl w:val="2"/>
          <w:numId w:val="180"/>
        </w:numPr>
        <w:tabs>
          <w:tab w:pos="1919" w:val="left" w:leader="none"/>
        </w:tabs>
        <w:spacing w:line="240" w:lineRule="auto" w:before="120" w:after="0"/>
        <w:ind w:left="1918" w:right="0" w:hanging="567"/>
        <w:jc w:val="both"/>
        <w:rPr>
          <w:sz w:val="24"/>
        </w:rPr>
      </w:pPr>
      <w:r>
        <w:rPr>
          <w:sz w:val="24"/>
        </w:rPr>
        <w:t>For the purposes of this rule 5.3A and Schedules 5.4A and</w:t>
      </w:r>
      <w:r>
        <w:rPr>
          <w:spacing w:val="-5"/>
          <w:sz w:val="24"/>
        </w:rPr>
        <w:t> </w:t>
      </w:r>
      <w:r>
        <w:rPr>
          <w:sz w:val="24"/>
        </w:rPr>
        <w:t>5.4B:</w:t>
      </w:r>
    </w:p>
    <w:p>
      <w:pPr>
        <w:pStyle w:val="ListParagraph"/>
        <w:numPr>
          <w:ilvl w:val="3"/>
          <w:numId w:val="180"/>
        </w:numPr>
        <w:tabs>
          <w:tab w:pos="2486" w:val="left" w:leader="none"/>
        </w:tabs>
        <w:spacing w:line="240" w:lineRule="auto" w:before="120" w:after="0"/>
        <w:ind w:left="2485" w:right="0" w:hanging="567"/>
        <w:jc w:val="both"/>
        <w:rPr>
          <w:sz w:val="24"/>
        </w:rPr>
      </w:pPr>
      <w:r>
        <w:rPr>
          <w:sz w:val="24"/>
        </w:rPr>
        <w:t>a reference to a </w:t>
      </w:r>
      <w:r>
        <w:rPr>
          <w:i/>
          <w:sz w:val="24"/>
        </w:rPr>
        <w:t>Connection Applicant </w:t>
      </w:r>
      <w:r>
        <w:rPr>
          <w:sz w:val="24"/>
        </w:rPr>
        <w:t>is to</w:t>
      </w:r>
      <w:r>
        <w:rPr>
          <w:spacing w:val="-1"/>
          <w:sz w:val="24"/>
        </w:rPr>
        <w:t> </w:t>
      </w:r>
      <w:r>
        <w:rPr>
          <w:sz w:val="24"/>
        </w:rPr>
        <w:t>a:</w:t>
      </w:r>
    </w:p>
    <w:p>
      <w:pPr>
        <w:pStyle w:val="ListParagraph"/>
        <w:numPr>
          <w:ilvl w:val="4"/>
          <w:numId w:val="180"/>
        </w:numPr>
        <w:tabs>
          <w:tab w:pos="3053" w:val="left" w:leader="none"/>
        </w:tabs>
        <w:spacing w:line="240" w:lineRule="auto" w:before="120" w:after="0"/>
        <w:ind w:left="3052" w:right="0" w:hanging="567"/>
        <w:jc w:val="both"/>
        <w:rPr>
          <w:sz w:val="24"/>
        </w:rPr>
      </w:pPr>
      <w:r>
        <w:rPr>
          <w:sz w:val="24"/>
        </w:rPr>
        <w:t>person who intends to be an </w:t>
      </w:r>
      <w:r>
        <w:rPr>
          <w:i/>
          <w:sz w:val="24"/>
        </w:rPr>
        <w:t>Embedded</w:t>
      </w:r>
      <w:r>
        <w:rPr>
          <w:i/>
          <w:spacing w:val="-4"/>
          <w:sz w:val="24"/>
        </w:rPr>
        <w:t> </w:t>
      </w:r>
      <w:r>
        <w:rPr>
          <w:i/>
          <w:sz w:val="24"/>
        </w:rPr>
        <w:t>Generator</w:t>
      </w:r>
      <w:r>
        <w:rPr>
          <w:sz w:val="24"/>
        </w:rPr>
        <w:t>;</w:t>
      </w:r>
    </w:p>
    <w:p>
      <w:pPr>
        <w:pStyle w:val="ListParagraph"/>
        <w:numPr>
          <w:ilvl w:val="4"/>
          <w:numId w:val="180"/>
        </w:numPr>
        <w:tabs>
          <w:tab w:pos="3054" w:val="left" w:leader="none"/>
        </w:tabs>
        <w:spacing w:line="240" w:lineRule="auto" w:before="120" w:after="0"/>
        <w:ind w:left="3053" w:right="415" w:hanging="567"/>
        <w:jc w:val="both"/>
        <w:rPr>
          <w:sz w:val="24"/>
        </w:rPr>
      </w:pPr>
      <w:r>
        <w:rPr>
          <w:sz w:val="24"/>
        </w:rPr>
        <w:t>person who is required to apply to the </w:t>
      </w:r>
      <w:r>
        <w:rPr>
          <w:i/>
          <w:sz w:val="24"/>
        </w:rPr>
        <w:t>Utilities Commission </w:t>
      </w:r>
      <w:r>
        <w:rPr>
          <w:sz w:val="24"/>
        </w:rPr>
        <w:t>for an exemption from the requirement to hold a licence </w:t>
      </w:r>
      <w:r>
        <w:rPr>
          <w:spacing w:val="-4"/>
          <w:sz w:val="24"/>
        </w:rPr>
        <w:t>for</w:t>
      </w:r>
      <w:r>
        <w:rPr>
          <w:spacing w:val="52"/>
          <w:sz w:val="24"/>
        </w:rPr>
        <w:t> </w:t>
      </w:r>
      <w:r>
        <w:rPr>
          <w:sz w:val="24"/>
        </w:rPr>
        <w:t>operating in the electricity industry as a </w:t>
      </w:r>
      <w:r>
        <w:rPr>
          <w:i/>
          <w:sz w:val="24"/>
        </w:rPr>
        <w:t>Generator </w:t>
      </w:r>
      <w:r>
        <w:rPr>
          <w:sz w:val="24"/>
        </w:rPr>
        <w:t>in respect of an </w:t>
      </w:r>
      <w:r>
        <w:rPr>
          <w:i/>
          <w:sz w:val="24"/>
        </w:rPr>
        <w:t>embedded generating</w:t>
      </w:r>
      <w:r>
        <w:rPr>
          <w:i/>
          <w:spacing w:val="-1"/>
          <w:sz w:val="24"/>
        </w:rPr>
        <w:t> </w:t>
      </w:r>
      <w:r>
        <w:rPr>
          <w:i/>
          <w:sz w:val="24"/>
        </w:rPr>
        <w:t>unit</w:t>
      </w:r>
      <w:r>
        <w:rPr>
          <w:sz w:val="24"/>
        </w:rPr>
        <w:t>;</w:t>
      </w:r>
    </w:p>
    <w:p>
      <w:pPr>
        <w:pStyle w:val="ListParagraph"/>
        <w:numPr>
          <w:ilvl w:val="4"/>
          <w:numId w:val="180"/>
        </w:numPr>
        <w:tabs>
          <w:tab w:pos="3053" w:val="left" w:leader="none"/>
        </w:tabs>
        <w:spacing w:line="240" w:lineRule="auto" w:before="120" w:after="0"/>
        <w:ind w:left="3053" w:right="415" w:hanging="567"/>
        <w:jc w:val="both"/>
        <w:rPr>
          <w:sz w:val="24"/>
        </w:rPr>
      </w:pPr>
      <w:r>
        <w:rPr>
          <w:sz w:val="24"/>
        </w:rPr>
        <w:t>non-registered embedded generator who has made an election under clause 5A.A.2(c);</w:t>
      </w:r>
      <w:r>
        <w:rPr>
          <w:spacing w:val="-3"/>
          <w:sz w:val="24"/>
        </w:rPr>
        <w:t> </w:t>
      </w:r>
      <w:r>
        <w:rPr>
          <w:sz w:val="24"/>
        </w:rPr>
        <w:t>or</w:t>
      </w:r>
    </w:p>
    <w:p>
      <w:pPr>
        <w:pStyle w:val="ListParagraph"/>
        <w:numPr>
          <w:ilvl w:val="4"/>
          <w:numId w:val="180"/>
        </w:numPr>
        <w:tabs>
          <w:tab w:pos="3054" w:val="left" w:leader="none"/>
        </w:tabs>
        <w:spacing w:line="240" w:lineRule="auto" w:before="120" w:after="0"/>
        <w:ind w:left="3053" w:right="415" w:hanging="567"/>
        <w:jc w:val="both"/>
        <w:rPr>
          <w:sz w:val="24"/>
        </w:rPr>
      </w:pPr>
      <w:r>
        <w:rPr>
          <w:sz w:val="24"/>
        </w:rPr>
        <w:t>non-registered embedded generator above the relevant materiality threshold for the local electricity system (or part of the local electricity</w:t>
      </w:r>
      <w:r>
        <w:rPr>
          <w:spacing w:val="-1"/>
          <w:sz w:val="24"/>
        </w:rPr>
        <w:t> </w:t>
      </w:r>
      <w:r>
        <w:rPr>
          <w:sz w:val="24"/>
        </w:rPr>
        <w:t>system),</w:t>
      </w:r>
    </w:p>
    <w:p>
      <w:pPr>
        <w:spacing w:before="120"/>
        <w:ind w:left="2486" w:right="414" w:firstLine="0"/>
        <w:jc w:val="both"/>
        <w:rPr>
          <w:sz w:val="24"/>
        </w:rPr>
      </w:pPr>
      <w:r>
        <w:rPr>
          <w:sz w:val="24"/>
        </w:rPr>
        <w:t>and who makes a </w:t>
      </w:r>
      <w:r>
        <w:rPr>
          <w:i/>
          <w:sz w:val="24"/>
        </w:rPr>
        <w:t>connection </w:t>
      </w:r>
      <w:r>
        <w:rPr>
          <w:sz w:val="24"/>
        </w:rPr>
        <w:t>enquiry under clause 5.3A.5 or an </w:t>
      </w:r>
      <w:r>
        <w:rPr>
          <w:i/>
          <w:sz w:val="24"/>
        </w:rPr>
        <w:t>application to connect </w:t>
      </w:r>
      <w:r>
        <w:rPr>
          <w:sz w:val="24"/>
        </w:rPr>
        <w:t>under clause 5.3A.9 in relation to any </w:t>
      </w:r>
      <w:r>
        <w:rPr>
          <w:i/>
          <w:sz w:val="24"/>
        </w:rPr>
        <w:t>generating systems</w:t>
      </w:r>
      <w:r>
        <w:rPr>
          <w:sz w:val="24"/>
        </w:rPr>
        <w:t>, or any </w:t>
      </w:r>
      <w:r>
        <w:rPr>
          <w:i/>
          <w:sz w:val="24"/>
        </w:rPr>
        <w:t>network elements </w:t>
      </w:r>
      <w:r>
        <w:rPr>
          <w:sz w:val="24"/>
        </w:rPr>
        <w:t>used in the provision of a </w:t>
      </w:r>
      <w:r>
        <w:rPr>
          <w:i/>
          <w:sz w:val="24"/>
        </w:rPr>
        <w:t>network service</w:t>
      </w:r>
      <w:r>
        <w:rPr>
          <w:sz w:val="24"/>
        </w:rPr>
        <w:t>, as the case may be.</w:t>
      </w:r>
    </w:p>
    <w:p>
      <w:pPr>
        <w:pStyle w:val="ListParagraph"/>
        <w:numPr>
          <w:ilvl w:val="3"/>
          <w:numId w:val="180"/>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is the </w:t>
      </w:r>
      <w:r>
        <w:rPr>
          <w:i/>
          <w:sz w:val="24"/>
        </w:rPr>
        <w:t>Distribution Network </w:t>
      </w:r>
      <w:r>
        <w:rPr>
          <w:i/>
          <w:sz w:val="24"/>
        </w:rPr>
        <w:t>Service Provider </w:t>
      </w:r>
      <w:r>
        <w:rPr>
          <w:sz w:val="24"/>
        </w:rPr>
        <w:t>required under clause 5.3A.5 to process and respond to a </w:t>
      </w:r>
      <w:r>
        <w:rPr>
          <w:i/>
          <w:sz w:val="24"/>
        </w:rPr>
        <w:t>connection </w:t>
      </w:r>
      <w:r>
        <w:rPr>
          <w:sz w:val="24"/>
        </w:rPr>
        <w:t>enquiry or required under clause 5.3A.10 to prepare </w:t>
      </w:r>
      <w:r>
        <w:rPr>
          <w:spacing w:val="-6"/>
          <w:sz w:val="24"/>
        </w:rPr>
        <w:t>an </w:t>
      </w:r>
      <w:r>
        <w:rPr>
          <w:sz w:val="24"/>
        </w:rPr>
        <w:t>offer to </w:t>
      </w:r>
      <w:r>
        <w:rPr>
          <w:i/>
          <w:sz w:val="24"/>
        </w:rPr>
        <w:t>connect </w:t>
      </w:r>
      <w:r>
        <w:rPr>
          <w:sz w:val="24"/>
        </w:rPr>
        <w:t>for the establishment or modification of a </w:t>
      </w:r>
      <w:r>
        <w:rPr>
          <w:i/>
          <w:sz w:val="24"/>
        </w:rPr>
        <w:t>connection </w:t>
      </w:r>
      <w:r>
        <w:rPr>
          <w:sz w:val="24"/>
        </w:rPr>
        <w:t>to the </w:t>
      </w:r>
      <w:r>
        <w:rPr>
          <w:i/>
          <w:sz w:val="24"/>
        </w:rPr>
        <w:t>distribution network </w:t>
      </w:r>
      <w:r>
        <w:rPr>
          <w:sz w:val="24"/>
        </w:rPr>
        <w:t>owned, controlled or operated by that </w:t>
      </w:r>
      <w:r>
        <w:rPr>
          <w:i/>
          <w:sz w:val="24"/>
        </w:rPr>
        <w:t>Distribution Network Service Provider </w:t>
      </w:r>
      <w:r>
        <w:rPr>
          <w:sz w:val="24"/>
        </w:rPr>
        <w:t>or for the provision of a </w:t>
      </w:r>
      <w:r>
        <w:rPr>
          <w:i/>
          <w:sz w:val="24"/>
        </w:rPr>
        <w:t>network</w:t>
      </w:r>
      <w:r>
        <w:rPr>
          <w:i/>
          <w:spacing w:val="-1"/>
          <w:sz w:val="24"/>
        </w:rPr>
        <w:t> </w:t>
      </w:r>
      <w:r>
        <w:rPr>
          <w:i/>
          <w:sz w:val="24"/>
        </w:rPr>
        <w:t>service</w:t>
      </w:r>
      <w:r>
        <w:rPr>
          <w:sz w:val="24"/>
        </w:rPr>
        <w:t>.</w:t>
      </w:r>
    </w:p>
    <w:p>
      <w:pPr>
        <w:pStyle w:val="BodyText"/>
        <w:spacing w:before="10"/>
        <w:ind w:firstLine="0"/>
        <w:jc w:val="left"/>
        <w:rPr>
          <w:sz w:val="20"/>
        </w:rPr>
      </w:pPr>
    </w:p>
    <w:p>
      <w:pPr>
        <w:pStyle w:val="Heading4"/>
        <w:numPr>
          <w:ilvl w:val="1"/>
          <w:numId w:val="181"/>
        </w:numPr>
        <w:tabs>
          <w:tab w:pos="553" w:val="left" w:leader="none"/>
          <w:tab w:pos="1351" w:val="left" w:leader="none"/>
        </w:tabs>
        <w:spacing w:line="240" w:lineRule="auto" w:before="0" w:after="0"/>
        <w:ind w:left="552" w:right="0" w:hanging="335"/>
        <w:jc w:val="left"/>
      </w:pPr>
      <w:bookmarkStart w:name="5.3A.2 Definitions and miscellaneous" w:id="461"/>
      <w:bookmarkEnd w:id="461"/>
      <w:r>
        <w:rPr>
          <w:b w:val="0"/>
        </w:rPr>
      </w:r>
      <w:bookmarkStart w:name="_bookmark192" w:id="462"/>
      <w:bookmarkEnd w:id="462"/>
      <w:r>
        <w:rPr>
          <w:b w:val="0"/>
        </w:rPr>
      </w:r>
      <w:bookmarkStart w:name="_bookmark192" w:id="463"/>
      <w:bookmarkEnd w:id="463"/>
      <w:r>
        <w:rPr/>
        <w:t>A.</w:t>
      </w:r>
      <w:r>
        <w:rPr/>
        <w:t>2</w:t>
        <w:tab/>
        <w:t>Definitions and</w:t>
      </w:r>
      <w:r>
        <w:rPr>
          <w:spacing w:val="-2"/>
        </w:rPr>
        <w:t> </w:t>
      </w:r>
      <w:r>
        <w:rPr/>
        <w:t>miscellaneous</w:t>
      </w:r>
    </w:p>
    <w:p>
      <w:pPr>
        <w:pStyle w:val="ListParagraph"/>
        <w:numPr>
          <w:ilvl w:val="2"/>
          <w:numId w:val="181"/>
        </w:numPr>
        <w:tabs>
          <w:tab w:pos="1918" w:val="left" w:leader="none"/>
          <w:tab w:pos="1919" w:val="left" w:leader="none"/>
        </w:tabs>
        <w:spacing w:line="240" w:lineRule="auto" w:before="120" w:after="0"/>
        <w:ind w:left="1918" w:right="0" w:hanging="567"/>
        <w:jc w:val="left"/>
        <w:rPr>
          <w:sz w:val="24"/>
        </w:rPr>
      </w:pPr>
      <w:r>
        <w:rPr>
          <w:sz w:val="24"/>
        </w:rPr>
        <w:t>In this rule 5.3A and Schedules 5.4A and</w:t>
      </w:r>
      <w:r>
        <w:rPr>
          <w:spacing w:val="-3"/>
          <w:sz w:val="24"/>
        </w:rPr>
        <w:t> </w:t>
      </w:r>
      <w:r>
        <w:rPr>
          <w:sz w:val="24"/>
        </w:rPr>
        <w:t>5.4B:</w:t>
      </w:r>
    </w:p>
    <w:p>
      <w:pPr>
        <w:spacing w:before="120"/>
        <w:ind w:left="1919" w:right="415" w:firstLine="0"/>
        <w:jc w:val="left"/>
        <w:rPr>
          <w:sz w:val="24"/>
        </w:rPr>
      </w:pPr>
      <w:r>
        <w:rPr>
          <w:b/>
          <w:sz w:val="24"/>
        </w:rPr>
        <w:t>detailed response </w:t>
      </w:r>
      <w:r>
        <w:rPr>
          <w:sz w:val="24"/>
        </w:rPr>
        <w:t>means the response to a </w:t>
      </w:r>
      <w:r>
        <w:rPr>
          <w:i/>
          <w:sz w:val="24"/>
        </w:rPr>
        <w:t>connection </w:t>
      </w:r>
      <w:r>
        <w:rPr>
          <w:sz w:val="24"/>
        </w:rPr>
        <w:t>enquiry prepared under clause 5.3A.8.</w:t>
      </w:r>
    </w:p>
    <w:p>
      <w:pPr>
        <w:spacing w:before="120"/>
        <w:ind w:left="1919" w:right="0" w:firstLine="0"/>
        <w:jc w:val="left"/>
        <w:rPr>
          <w:sz w:val="24"/>
        </w:rPr>
      </w:pPr>
      <w:r>
        <w:rPr>
          <w:b/>
          <w:sz w:val="24"/>
        </w:rPr>
        <w:t>establish a connection </w:t>
      </w:r>
      <w:r>
        <w:rPr>
          <w:sz w:val="24"/>
        </w:rPr>
        <w:t>has the same meaning as in clause 5.3.1.</w:t>
      </w:r>
    </w:p>
    <w:p>
      <w:pPr>
        <w:spacing w:before="120"/>
        <w:ind w:left="1919" w:right="0" w:firstLine="0"/>
        <w:jc w:val="left"/>
        <w:rPr>
          <w:sz w:val="24"/>
        </w:rPr>
      </w:pPr>
      <w:r>
        <w:rPr>
          <w:b/>
          <w:sz w:val="24"/>
        </w:rPr>
        <w:t>information pack </w:t>
      </w:r>
      <w:r>
        <w:rPr>
          <w:sz w:val="24"/>
        </w:rPr>
        <w:t>means information relevant to the making of an</w:t>
      </w:r>
    </w:p>
    <w:p>
      <w:pPr>
        <w:spacing w:before="0"/>
        <w:ind w:left="1919" w:right="0" w:firstLine="0"/>
        <w:jc w:val="left"/>
        <w:rPr>
          <w:sz w:val="24"/>
        </w:rPr>
      </w:pPr>
      <w:r>
        <w:rPr>
          <w:i/>
          <w:sz w:val="24"/>
        </w:rPr>
        <w:t>application to connect </w:t>
      </w:r>
      <w:r>
        <w:rPr>
          <w:sz w:val="24"/>
        </w:rPr>
        <w:t>specified in clause 5.3A.3(b).</w:t>
      </w:r>
    </w:p>
    <w:p>
      <w:pPr>
        <w:spacing w:before="120"/>
        <w:ind w:left="1919" w:right="0" w:firstLine="0"/>
        <w:jc w:val="left"/>
        <w:rPr>
          <w:sz w:val="24"/>
        </w:rPr>
      </w:pPr>
      <w:r>
        <w:rPr>
          <w:b/>
          <w:sz w:val="24"/>
        </w:rPr>
        <w:t>preliminary response </w:t>
      </w:r>
      <w:r>
        <w:rPr>
          <w:sz w:val="24"/>
        </w:rPr>
        <w:t>means the response to a </w:t>
      </w:r>
      <w:r>
        <w:rPr>
          <w:i/>
          <w:sz w:val="24"/>
        </w:rPr>
        <w:t>connection </w:t>
      </w:r>
      <w:r>
        <w:rPr>
          <w:sz w:val="24"/>
        </w:rPr>
        <w:t>enquiry prepared under clause 5.3A.7.</w:t>
      </w:r>
    </w:p>
    <w:p>
      <w:pPr>
        <w:spacing w:before="120"/>
        <w:ind w:left="1919" w:right="0" w:firstLine="0"/>
        <w:jc w:val="left"/>
        <w:rPr>
          <w:sz w:val="24"/>
        </w:rPr>
      </w:pPr>
      <w:r>
        <w:rPr>
          <w:b/>
          <w:sz w:val="24"/>
        </w:rPr>
        <w:t>sub-transmission line </w:t>
      </w:r>
      <w:r>
        <w:rPr>
          <w:sz w:val="24"/>
        </w:rPr>
        <w:t>has the same meaning as in clause 5.10.2.</w:t>
      </w:r>
    </w:p>
    <w:p>
      <w:pPr>
        <w:spacing w:before="120"/>
        <w:ind w:left="1919" w:right="0" w:firstLine="0"/>
        <w:jc w:val="left"/>
        <w:rPr>
          <w:sz w:val="24"/>
        </w:rPr>
      </w:pPr>
      <w:r>
        <w:rPr>
          <w:b/>
          <w:sz w:val="24"/>
        </w:rPr>
        <w:t>zone substation </w:t>
      </w:r>
      <w:r>
        <w:rPr>
          <w:sz w:val="24"/>
        </w:rPr>
        <w:t>has the same meaning as in clause 5.10.2.</w:t>
      </w:r>
    </w:p>
    <w:p>
      <w:pPr>
        <w:pStyle w:val="ListParagraph"/>
        <w:numPr>
          <w:ilvl w:val="2"/>
          <w:numId w:val="181"/>
        </w:numPr>
        <w:tabs>
          <w:tab w:pos="1919" w:val="left" w:leader="none"/>
        </w:tabs>
        <w:spacing w:line="240" w:lineRule="auto" w:before="120" w:after="0"/>
        <w:ind w:left="1919" w:right="414" w:hanging="567"/>
        <w:jc w:val="both"/>
        <w:rPr>
          <w:sz w:val="24"/>
        </w:rPr>
      </w:pPr>
      <w:r>
        <w:rPr>
          <w:sz w:val="24"/>
        </w:rPr>
        <w:t>To the extent a </w:t>
      </w:r>
      <w:r>
        <w:rPr>
          <w:i/>
          <w:sz w:val="24"/>
        </w:rPr>
        <w:t>Distribution Network Service Provider </w:t>
      </w:r>
      <w:r>
        <w:rPr>
          <w:sz w:val="24"/>
        </w:rPr>
        <w:t>has provided information required to be provided under this clause 5.3A by the inclusion of that information</w:t>
      </w:r>
      <w:r>
        <w:rPr>
          <w:spacing w:val="-1"/>
          <w:sz w:val="24"/>
        </w:rPr>
        <w:t> </w:t>
      </w:r>
      <w:r>
        <w:rPr>
          <w:sz w:val="24"/>
        </w:rPr>
        <w:t>in:</w:t>
      </w:r>
    </w:p>
    <w:p>
      <w:pPr>
        <w:pStyle w:val="ListParagraph"/>
        <w:numPr>
          <w:ilvl w:val="3"/>
          <w:numId w:val="181"/>
        </w:numPr>
        <w:tabs>
          <w:tab w:pos="2486" w:val="left" w:leader="none"/>
        </w:tabs>
        <w:spacing w:line="240" w:lineRule="auto" w:before="120" w:after="0"/>
        <w:ind w:left="2485" w:right="0" w:hanging="567"/>
        <w:jc w:val="both"/>
        <w:rPr>
          <w:sz w:val="24"/>
        </w:rPr>
      </w:pPr>
      <w:r>
        <w:rPr>
          <w:sz w:val="24"/>
        </w:rPr>
        <w:t>its demand side engagement document under clause 5.13.1(g);</w:t>
      </w:r>
      <w:r>
        <w:rPr>
          <w:spacing w:val="-4"/>
          <w:sz w:val="24"/>
        </w:rPr>
        <w:t> </w:t>
      </w:r>
      <w:r>
        <w:rPr>
          <w:sz w:val="24"/>
        </w:rPr>
        <w:t>or</w:t>
      </w:r>
    </w:p>
    <w:p>
      <w:pPr>
        <w:pStyle w:val="ListParagraph"/>
        <w:numPr>
          <w:ilvl w:val="3"/>
          <w:numId w:val="181"/>
        </w:numPr>
        <w:tabs>
          <w:tab w:pos="2486" w:val="left" w:leader="none"/>
        </w:tabs>
        <w:spacing w:line="240" w:lineRule="auto" w:before="120" w:after="0"/>
        <w:ind w:left="2485" w:right="0" w:hanging="567"/>
        <w:jc w:val="both"/>
        <w:rPr>
          <w:sz w:val="24"/>
        </w:rPr>
      </w:pPr>
      <w:r>
        <w:rPr>
          <w:sz w:val="24"/>
        </w:rPr>
        <w:t>a </w:t>
      </w:r>
      <w:r>
        <w:rPr>
          <w:i/>
          <w:sz w:val="24"/>
        </w:rPr>
        <w:t>Distribution Annual Planning</w:t>
      </w:r>
      <w:r>
        <w:rPr>
          <w:i/>
          <w:spacing w:val="-2"/>
          <w:sz w:val="24"/>
        </w:rPr>
        <w:t> </w:t>
      </w:r>
      <w:r>
        <w:rPr>
          <w:i/>
          <w:sz w:val="24"/>
        </w:rPr>
        <w:t>Report</w:t>
      </w:r>
      <w:r>
        <w:rPr>
          <w:sz w:val="24"/>
        </w:rPr>
        <w:t>,</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it will comply with the relevant information provision requirements of rule 5.3A by including hyperlinks to the relevant information in information provided to a </w:t>
      </w:r>
      <w:r>
        <w:rPr>
          <w:i/>
        </w:rPr>
        <w:t>Connection Applicant</w:t>
      </w:r>
      <w:r>
        <w:rPr/>
        <w:t>.</w:t>
      </w:r>
    </w:p>
    <w:p>
      <w:pPr>
        <w:pStyle w:val="ListParagraph"/>
        <w:numPr>
          <w:ilvl w:val="2"/>
          <w:numId w:val="181"/>
        </w:numPr>
        <w:tabs>
          <w:tab w:pos="1919" w:val="left" w:leader="none"/>
        </w:tabs>
        <w:spacing w:line="240" w:lineRule="auto" w:before="120" w:after="0"/>
        <w:ind w:left="1919" w:right="414" w:hanging="567"/>
        <w:jc w:val="both"/>
        <w:rPr>
          <w:sz w:val="24"/>
        </w:rPr>
      </w:pPr>
      <w:r>
        <w:rPr>
          <w:sz w:val="24"/>
        </w:rPr>
        <w:t>Where this rule 5.3A fixes a time limit for the provision of information or a response then, for the purposes of calculating elapsed time, the period</w:t>
      </w:r>
      <w:r>
        <w:rPr>
          <w:spacing w:val="-5"/>
          <w:sz w:val="24"/>
        </w:rPr>
        <w:t> </w:t>
      </w:r>
      <w:r>
        <w:rPr>
          <w:sz w:val="24"/>
        </w:rPr>
        <w:t>that:</w:t>
      </w:r>
    </w:p>
    <w:p>
      <w:pPr>
        <w:pStyle w:val="ListParagraph"/>
        <w:numPr>
          <w:ilvl w:val="3"/>
          <w:numId w:val="181"/>
        </w:numPr>
        <w:tabs>
          <w:tab w:pos="2485" w:val="left" w:leader="none"/>
          <w:tab w:pos="2486" w:val="left" w:leader="none"/>
        </w:tabs>
        <w:spacing w:line="240" w:lineRule="auto" w:before="120" w:after="0"/>
        <w:ind w:left="2486" w:right="415" w:hanging="567"/>
        <w:jc w:val="left"/>
        <w:rPr>
          <w:sz w:val="24"/>
        </w:rPr>
      </w:pPr>
      <w:r>
        <w:rPr>
          <w:sz w:val="24"/>
        </w:rPr>
        <w:t>commences on the day when a dispute is initiated under clause 8.2.4(a); and</w:t>
      </w:r>
    </w:p>
    <w:p>
      <w:pPr>
        <w:pStyle w:val="ListParagraph"/>
        <w:numPr>
          <w:ilvl w:val="3"/>
          <w:numId w:val="181"/>
        </w:numPr>
        <w:tabs>
          <w:tab w:pos="2485" w:val="left" w:leader="none"/>
          <w:tab w:pos="2486" w:val="left" w:leader="none"/>
        </w:tabs>
        <w:spacing w:line="240" w:lineRule="auto" w:before="120" w:after="0"/>
        <w:ind w:left="2486" w:right="415" w:hanging="567"/>
        <w:jc w:val="left"/>
        <w:rPr>
          <w:sz w:val="24"/>
        </w:rPr>
      </w:pPr>
      <w:r>
        <w:rPr>
          <w:sz w:val="24"/>
        </w:rPr>
        <w:t>ends on the day on which the dispute is withdrawn or is resolved in accordance with clauses 8.2.6D or</w:t>
      </w:r>
      <w:r>
        <w:rPr>
          <w:spacing w:val="-2"/>
          <w:sz w:val="24"/>
        </w:rPr>
        <w:t> </w:t>
      </w:r>
      <w:r>
        <w:rPr>
          <w:sz w:val="24"/>
        </w:rPr>
        <w:t>8.2.9(a),</w:t>
      </w:r>
    </w:p>
    <w:p>
      <w:pPr>
        <w:pStyle w:val="BodyText"/>
        <w:ind w:left="1919" w:firstLine="0"/>
        <w:jc w:val="left"/>
      </w:pPr>
      <w:r>
        <w:rPr/>
        <w:t>is to be disregarded.</w:t>
      </w:r>
    </w:p>
    <w:p>
      <w:pPr>
        <w:pStyle w:val="BodyText"/>
        <w:spacing w:before="10"/>
        <w:ind w:firstLine="0"/>
        <w:jc w:val="left"/>
        <w:rPr>
          <w:sz w:val="20"/>
        </w:rPr>
      </w:pPr>
    </w:p>
    <w:p>
      <w:pPr>
        <w:pStyle w:val="Heading4"/>
        <w:numPr>
          <w:ilvl w:val="1"/>
          <w:numId w:val="182"/>
        </w:numPr>
        <w:tabs>
          <w:tab w:pos="553" w:val="left" w:leader="none"/>
          <w:tab w:pos="1351" w:val="left" w:leader="none"/>
        </w:tabs>
        <w:spacing w:line="240" w:lineRule="auto" w:before="0" w:after="0"/>
        <w:ind w:left="552" w:right="0" w:hanging="335"/>
        <w:jc w:val="left"/>
      </w:pPr>
      <w:bookmarkStart w:name="5.3A.3 Publication of Information" w:id="464"/>
      <w:bookmarkEnd w:id="464"/>
      <w:r>
        <w:rPr>
          <w:b w:val="0"/>
        </w:rPr>
      </w:r>
      <w:bookmarkStart w:name="_bookmark193" w:id="465"/>
      <w:bookmarkEnd w:id="465"/>
      <w:r>
        <w:rPr>
          <w:b w:val="0"/>
        </w:rPr>
      </w:r>
      <w:bookmarkStart w:name="_bookmark193" w:id="466"/>
      <w:bookmarkEnd w:id="466"/>
      <w:r>
        <w:rPr/>
        <w:t>A.</w:t>
      </w:r>
      <w:r>
        <w:rPr/>
        <w:t>3</w:t>
        <w:tab/>
        <w:t>Publication of</w:t>
      </w:r>
      <w:r>
        <w:rPr>
          <w:spacing w:val="-1"/>
        </w:rPr>
        <w:t> </w:t>
      </w:r>
      <w:r>
        <w:rPr/>
        <w:t>Information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Paragraph (b)(5) and (6)(xi) of this clause has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provisions will be revisited as part of the phased implementation of the </w:t>
      </w:r>
      <w:r>
        <w:rPr>
          <w:i/>
          <w:sz w:val="20"/>
        </w:rPr>
        <w:t>Rules </w:t>
      </w:r>
      <w:r>
        <w:rPr>
          <w:sz w:val="20"/>
        </w:rPr>
        <w:t>in this</w:t>
      </w:r>
      <w:r>
        <w:rPr>
          <w:spacing w:val="-1"/>
          <w:sz w:val="20"/>
        </w:rPr>
        <w:t> </w:t>
      </w:r>
      <w:r>
        <w:rPr>
          <w:sz w:val="20"/>
        </w:rPr>
        <w:t>jurisdiction.</w:t>
      </w:r>
    </w:p>
    <w:p>
      <w:pPr>
        <w:pStyle w:val="ListParagraph"/>
        <w:numPr>
          <w:ilvl w:val="2"/>
          <w:numId w:val="182"/>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w:t>
      </w:r>
      <w:r>
        <w:rPr>
          <w:i/>
          <w:sz w:val="24"/>
        </w:rPr>
        <w:t>publish </w:t>
      </w:r>
      <w:r>
        <w:rPr>
          <w:sz w:val="24"/>
        </w:rPr>
        <w:t>the following in the same location on its</w:t>
      </w:r>
      <w:r>
        <w:rPr>
          <w:spacing w:val="-2"/>
          <w:sz w:val="24"/>
        </w:rPr>
        <w:t> </w:t>
      </w:r>
      <w:r>
        <w:rPr>
          <w:sz w:val="24"/>
        </w:rPr>
        <w:t>website:</w:t>
      </w:r>
    </w:p>
    <w:p>
      <w:pPr>
        <w:pStyle w:val="ListParagraph"/>
        <w:numPr>
          <w:ilvl w:val="3"/>
          <w:numId w:val="182"/>
        </w:numPr>
        <w:tabs>
          <w:tab w:pos="2485" w:val="left" w:leader="none"/>
          <w:tab w:pos="2486" w:val="left" w:leader="none"/>
        </w:tabs>
        <w:spacing w:line="240" w:lineRule="auto" w:before="120" w:after="0"/>
        <w:ind w:left="2485" w:right="0" w:hanging="567"/>
        <w:jc w:val="left"/>
        <w:rPr>
          <w:sz w:val="24"/>
        </w:rPr>
      </w:pPr>
      <w:r>
        <w:rPr>
          <w:sz w:val="24"/>
        </w:rPr>
        <w:t>an enquiry form for </w:t>
      </w:r>
      <w:r>
        <w:rPr>
          <w:i/>
          <w:sz w:val="24"/>
        </w:rPr>
        <w:t>connection </w:t>
      </w:r>
      <w:r>
        <w:rPr>
          <w:sz w:val="24"/>
        </w:rPr>
        <w:t>of an </w:t>
      </w:r>
      <w:r>
        <w:rPr>
          <w:i/>
          <w:sz w:val="24"/>
        </w:rPr>
        <w:t>embedded generating</w:t>
      </w:r>
      <w:r>
        <w:rPr>
          <w:i/>
          <w:spacing w:val="-1"/>
          <w:sz w:val="24"/>
        </w:rPr>
        <w:t> </w:t>
      </w:r>
      <w:r>
        <w:rPr>
          <w:i/>
          <w:sz w:val="24"/>
        </w:rPr>
        <w:t>unit</w:t>
      </w:r>
      <w:r>
        <w:rPr>
          <w:sz w:val="24"/>
        </w:rPr>
        <w:t>;</w:t>
      </w:r>
    </w:p>
    <w:p>
      <w:pPr>
        <w:pStyle w:val="ListParagraph"/>
        <w:numPr>
          <w:ilvl w:val="3"/>
          <w:numId w:val="182"/>
        </w:numPr>
        <w:tabs>
          <w:tab w:pos="2485" w:val="left" w:leader="none"/>
          <w:tab w:pos="2486" w:val="left" w:leader="none"/>
        </w:tabs>
        <w:spacing w:line="240" w:lineRule="auto" w:before="120" w:after="0"/>
        <w:ind w:left="2486" w:right="415" w:hanging="567"/>
        <w:jc w:val="left"/>
        <w:rPr>
          <w:sz w:val="24"/>
        </w:rPr>
      </w:pPr>
      <w:r>
        <w:rPr>
          <w:sz w:val="24"/>
        </w:rPr>
        <w:t>a register of completed embedded generation projects under rule 5.18B; and</w:t>
      </w:r>
    </w:p>
    <w:p>
      <w:pPr>
        <w:pStyle w:val="ListParagraph"/>
        <w:numPr>
          <w:ilvl w:val="3"/>
          <w:numId w:val="182"/>
        </w:numPr>
        <w:tabs>
          <w:tab w:pos="2485" w:val="left" w:leader="none"/>
          <w:tab w:pos="2486" w:val="left" w:leader="none"/>
        </w:tabs>
        <w:spacing w:line="240" w:lineRule="auto" w:before="120" w:after="0"/>
        <w:ind w:left="2485" w:right="0" w:hanging="567"/>
        <w:jc w:val="left"/>
        <w:rPr>
          <w:sz w:val="24"/>
        </w:rPr>
      </w:pPr>
      <w:r>
        <w:rPr>
          <w:sz w:val="24"/>
        </w:rPr>
        <w:t>an information</w:t>
      </w:r>
      <w:r>
        <w:rPr>
          <w:spacing w:val="-1"/>
          <w:sz w:val="24"/>
        </w:rPr>
        <w:t> </w:t>
      </w:r>
      <w:r>
        <w:rPr>
          <w:sz w:val="24"/>
        </w:rPr>
        <w:t>pack.</w:t>
      </w:r>
    </w:p>
    <w:p>
      <w:pPr>
        <w:pStyle w:val="ListParagraph"/>
        <w:numPr>
          <w:ilvl w:val="2"/>
          <w:numId w:val="182"/>
        </w:numPr>
        <w:tabs>
          <w:tab w:pos="1918" w:val="left" w:leader="none"/>
          <w:tab w:pos="1919" w:val="left" w:leader="none"/>
        </w:tabs>
        <w:spacing w:line="240" w:lineRule="auto" w:before="120" w:after="0"/>
        <w:ind w:left="1918" w:right="0" w:hanging="567"/>
        <w:jc w:val="left"/>
        <w:rPr>
          <w:sz w:val="24"/>
        </w:rPr>
      </w:pPr>
      <w:r>
        <w:rPr>
          <w:sz w:val="24"/>
        </w:rPr>
        <w:t>An information pack must</w:t>
      </w:r>
      <w:r>
        <w:rPr>
          <w:spacing w:val="-1"/>
          <w:sz w:val="24"/>
        </w:rPr>
        <w:t> </w:t>
      </w:r>
      <w:r>
        <w:rPr>
          <w:sz w:val="24"/>
        </w:rPr>
        <w:t>include:</w:t>
      </w:r>
    </w:p>
    <w:p>
      <w:pPr>
        <w:pStyle w:val="ListParagraph"/>
        <w:numPr>
          <w:ilvl w:val="3"/>
          <w:numId w:val="182"/>
        </w:numPr>
        <w:tabs>
          <w:tab w:pos="2485" w:val="left" w:leader="none"/>
          <w:tab w:pos="2486" w:val="left" w:leader="none"/>
        </w:tabs>
        <w:spacing w:line="240" w:lineRule="auto" w:before="120" w:after="0"/>
        <w:ind w:left="2486" w:right="416" w:hanging="567"/>
        <w:jc w:val="left"/>
        <w:rPr>
          <w:sz w:val="24"/>
        </w:rPr>
      </w:pPr>
      <w:r>
        <w:rPr>
          <w:sz w:val="24"/>
        </w:rPr>
        <w:t>a description of the process for lodging an </w:t>
      </w:r>
      <w:r>
        <w:rPr>
          <w:i/>
          <w:sz w:val="24"/>
        </w:rPr>
        <w:t>application to connect </w:t>
      </w:r>
      <w:r>
        <w:rPr>
          <w:spacing w:val="-4"/>
          <w:sz w:val="24"/>
        </w:rPr>
        <w:t>for </w:t>
      </w:r>
      <w:r>
        <w:rPr>
          <w:sz w:val="24"/>
        </w:rPr>
        <w:t>an </w:t>
      </w:r>
      <w:r>
        <w:rPr>
          <w:i/>
          <w:sz w:val="24"/>
        </w:rPr>
        <w:t>embedded generating unit</w:t>
      </w:r>
      <w:r>
        <w:rPr>
          <w:sz w:val="24"/>
        </w:rPr>
        <w:t>,</w:t>
      </w:r>
      <w:r>
        <w:rPr>
          <w:spacing w:val="-1"/>
          <w:sz w:val="24"/>
        </w:rPr>
        <w:t> </w:t>
      </w:r>
      <w:r>
        <w:rPr>
          <w:sz w:val="24"/>
        </w:rPr>
        <w:t>including:</w:t>
      </w:r>
    </w:p>
    <w:p>
      <w:pPr>
        <w:pStyle w:val="ListParagraph"/>
        <w:numPr>
          <w:ilvl w:val="4"/>
          <w:numId w:val="182"/>
        </w:numPr>
        <w:tabs>
          <w:tab w:pos="3053" w:val="left" w:leader="none"/>
        </w:tabs>
        <w:spacing w:line="240" w:lineRule="auto" w:before="120" w:after="0"/>
        <w:ind w:left="3053" w:right="415" w:hanging="567"/>
        <w:jc w:val="both"/>
        <w:rPr>
          <w:sz w:val="24"/>
        </w:rPr>
      </w:pPr>
      <w:r>
        <w:rPr>
          <w:sz w:val="24"/>
        </w:rPr>
        <w:t>the purpose of each stage of the </w:t>
      </w:r>
      <w:r>
        <w:rPr>
          <w:i/>
          <w:sz w:val="24"/>
        </w:rPr>
        <w:t>connection </w:t>
      </w:r>
      <w:r>
        <w:rPr>
          <w:sz w:val="24"/>
        </w:rPr>
        <w:t>enquiry and application</w:t>
      </w:r>
      <w:r>
        <w:rPr>
          <w:spacing w:val="-1"/>
          <w:sz w:val="24"/>
        </w:rPr>
        <w:t> </w:t>
      </w:r>
      <w:r>
        <w:rPr>
          <w:sz w:val="24"/>
        </w:rPr>
        <w:t>processes;</w:t>
      </w:r>
    </w:p>
    <w:p>
      <w:pPr>
        <w:pStyle w:val="ListParagraph"/>
        <w:numPr>
          <w:ilvl w:val="4"/>
          <w:numId w:val="182"/>
        </w:numPr>
        <w:tabs>
          <w:tab w:pos="3054" w:val="left" w:leader="none"/>
        </w:tabs>
        <w:spacing w:line="240" w:lineRule="auto" w:before="120" w:after="0"/>
        <w:ind w:left="3053" w:right="416" w:hanging="567"/>
        <w:jc w:val="both"/>
        <w:rPr>
          <w:sz w:val="24"/>
        </w:rPr>
      </w:pPr>
      <w:r>
        <w:rPr>
          <w:sz w:val="24"/>
        </w:rPr>
        <w:t>the steps a </w:t>
      </w:r>
      <w:r>
        <w:rPr>
          <w:i/>
          <w:sz w:val="24"/>
        </w:rPr>
        <w:t>Connection Applicant </w:t>
      </w:r>
      <w:r>
        <w:rPr>
          <w:sz w:val="24"/>
        </w:rPr>
        <w:t>will need to follow at each stage of the </w:t>
      </w:r>
      <w:r>
        <w:rPr>
          <w:i/>
          <w:sz w:val="24"/>
        </w:rPr>
        <w:t>connection </w:t>
      </w:r>
      <w:r>
        <w:rPr>
          <w:sz w:val="24"/>
        </w:rPr>
        <w:t>enquiry and application</w:t>
      </w:r>
      <w:r>
        <w:rPr>
          <w:spacing w:val="-4"/>
          <w:sz w:val="24"/>
        </w:rPr>
        <w:t> </w:t>
      </w:r>
      <w:r>
        <w:rPr>
          <w:sz w:val="24"/>
        </w:rPr>
        <w:t>processes;</w:t>
      </w:r>
    </w:p>
    <w:p>
      <w:pPr>
        <w:pStyle w:val="ListParagraph"/>
        <w:numPr>
          <w:ilvl w:val="4"/>
          <w:numId w:val="182"/>
        </w:numPr>
        <w:tabs>
          <w:tab w:pos="3053" w:val="left" w:leader="none"/>
        </w:tabs>
        <w:spacing w:line="240" w:lineRule="auto" w:before="120" w:after="0"/>
        <w:ind w:left="3053" w:right="415" w:hanging="567"/>
        <w:jc w:val="both"/>
        <w:rPr>
          <w:sz w:val="24"/>
        </w:rPr>
      </w:pPr>
      <w:r>
        <w:rPr>
          <w:sz w:val="24"/>
        </w:rPr>
        <w:t>the information that is to be included by the </w:t>
      </w:r>
      <w:r>
        <w:rPr>
          <w:i/>
          <w:sz w:val="24"/>
        </w:rPr>
        <w:t>Connection </w:t>
      </w:r>
      <w:r>
        <w:rPr>
          <w:i/>
          <w:sz w:val="24"/>
        </w:rPr>
        <w:t>Applicant </w:t>
      </w:r>
      <w:r>
        <w:rPr>
          <w:sz w:val="24"/>
        </w:rPr>
        <w:t>with a </w:t>
      </w:r>
      <w:r>
        <w:rPr>
          <w:i/>
          <w:sz w:val="24"/>
        </w:rPr>
        <w:t>connection </w:t>
      </w:r>
      <w:r>
        <w:rPr>
          <w:sz w:val="24"/>
        </w:rPr>
        <w:t>enquiry and the information </w:t>
      </w:r>
      <w:r>
        <w:rPr>
          <w:spacing w:val="-4"/>
          <w:sz w:val="24"/>
        </w:rPr>
        <w:t>that </w:t>
      </w:r>
      <w:r>
        <w:rPr>
          <w:sz w:val="24"/>
        </w:rPr>
        <w:t>will be made available to the </w:t>
      </w:r>
      <w:r>
        <w:rPr>
          <w:i/>
          <w:sz w:val="24"/>
        </w:rPr>
        <w:t>Connection Applicant </w:t>
      </w:r>
      <w:r>
        <w:rPr>
          <w:sz w:val="24"/>
        </w:rPr>
        <w:t>by the </w:t>
      </w:r>
      <w:r>
        <w:rPr>
          <w:i/>
          <w:sz w:val="24"/>
        </w:rPr>
        <w:t>Distribution Network Service Provider </w:t>
      </w:r>
      <w:r>
        <w:rPr>
          <w:sz w:val="24"/>
        </w:rPr>
        <w:t>at each stage of the </w:t>
      </w:r>
      <w:r>
        <w:rPr>
          <w:i/>
          <w:sz w:val="24"/>
        </w:rPr>
        <w:t>connection</w:t>
      </w:r>
      <w:r>
        <w:rPr>
          <w:i/>
          <w:spacing w:val="-1"/>
          <w:sz w:val="24"/>
        </w:rPr>
        <w:t> </w:t>
      </w:r>
      <w:r>
        <w:rPr>
          <w:sz w:val="24"/>
        </w:rPr>
        <w:t>enquiry;</w:t>
      </w:r>
    </w:p>
    <w:p>
      <w:pPr>
        <w:pStyle w:val="ListParagraph"/>
        <w:numPr>
          <w:ilvl w:val="4"/>
          <w:numId w:val="182"/>
        </w:numPr>
        <w:tabs>
          <w:tab w:pos="3054" w:val="left" w:leader="none"/>
        </w:tabs>
        <w:spacing w:line="240" w:lineRule="auto" w:before="120" w:after="0"/>
        <w:ind w:left="3053" w:right="415" w:hanging="567"/>
        <w:jc w:val="both"/>
        <w:rPr>
          <w:sz w:val="24"/>
        </w:rPr>
      </w:pPr>
      <w:r>
        <w:rPr>
          <w:sz w:val="24"/>
        </w:rPr>
        <w:t>the information that is to be included with an </w:t>
      </w:r>
      <w:r>
        <w:rPr>
          <w:i/>
          <w:sz w:val="24"/>
        </w:rPr>
        <w:t>application to </w:t>
      </w:r>
      <w:r>
        <w:rPr>
          <w:i/>
          <w:sz w:val="24"/>
        </w:rPr>
        <w:t>connect </w:t>
      </w:r>
      <w:r>
        <w:rPr>
          <w:sz w:val="24"/>
        </w:rPr>
        <w:t>and the type of information that will be made available to the </w:t>
      </w:r>
      <w:r>
        <w:rPr>
          <w:i/>
          <w:sz w:val="24"/>
        </w:rPr>
        <w:t>Connection Applicant </w:t>
      </w:r>
      <w:r>
        <w:rPr>
          <w:sz w:val="24"/>
        </w:rPr>
        <w:t>by the </w:t>
      </w:r>
      <w:r>
        <w:rPr>
          <w:i/>
          <w:sz w:val="24"/>
        </w:rPr>
        <w:t>Distribution Network Service </w:t>
      </w:r>
      <w:r>
        <w:rPr>
          <w:i/>
          <w:sz w:val="24"/>
        </w:rPr>
        <w:t>Provider </w:t>
      </w:r>
      <w:r>
        <w:rPr>
          <w:sz w:val="24"/>
        </w:rPr>
        <w:t>after lodgement of the</w:t>
      </w:r>
      <w:r>
        <w:rPr>
          <w:spacing w:val="-2"/>
          <w:sz w:val="24"/>
        </w:rPr>
        <w:t> </w:t>
      </w:r>
      <w:r>
        <w:rPr>
          <w:sz w:val="24"/>
        </w:rPr>
        <w:t>application;</w:t>
      </w:r>
    </w:p>
    <w:p>
      <w:pPr>
        <w:pStyle w:val="ListParagraph"/>
        <w:numPr>
          <w:ilvl w:val="4"/>
          <w:numId w:val="182"/>
        </w:numPr>
        <w:tabs>
          <w:tab w:pos="3053" w:val="left" w:leader="none"/>
        </w:tabs>
        <w:spacing w:line="240" w:lineRule="auto" w:before="120" w:after="0"/>
        <w:ind w:left="3053" w:right="415" w:hanging="567"/>
        <w:jc w:val="both"/>
        <w:rPr>
          <w:sz w:val="24"/>
        </w:rPr>
      </w:pPr>
      <w:r>
        <w:rPr>
          <w:sz w:val="24"/>
        </w:rPr>
        <w:t>the factors taken into account by the </w:t>
      </w:r>
      <w:r>
        <w:rPr>
          <w:i/>
          <w:sz w:val="24"/>
        </w:rPr>
        <w:t>Distribution Network </w:t>
      </w:r>
      <w:r>
        <w:rPr>
          <w:i/>
          <w:sz w:val="24"/>
        </w:rPr>
        <w:t>Service Provider</w:t>
      </w:r>
      <w:r>
        <w:rPr>
          <w:sz w:val="24"/>
        </w:rPr>
        <w:t>, at each stage of the </w:t>
      </w:r>
      <w:r>
        <w:rPr>
          <w:i/>
          <w:sz w:val="24"/>
        </w:rPr>
        <w:t>connection </w:t>
      </w:r>
      <w:r>
        <w:rPr>
          <w:sz w:val="24"/>
        </w:rPr>
        <w:t>enquiry and application, when assessing an </w:t>
      </w:r>
      <w:r>
        <w:rPr>
          <w:i/>
          <w:sz w:val="24"/>
        </w:rPr>
        <w:t>application to connect </w:t>
      </w:r>
      <w:r>
        <w:rPr>
          <w:sz w:val="24"/>
        </w:rPr>
        <w:t>for</w:t>
      </w:r>
      <w:r>
        <w:rPr>
          <w:spacing w:val="28"/>
          <w:sz w:val="24"/>
        </w:rPr>
        <w:t> </w:t>
      </w:r>
      <w:r>
        <w:rPr>
          <w:sz w:val="24"/>
        </w:rPr>
        <w:t>an </w:t>
      </w:r>
      <w:r>
        <w:rPr>
          <w:i/>
          <w:sz w:val="24"/>
        </w:rPr>
        <w:t>embedded generating</w:t>
      </w:r>
      <w:r>
        <w:rPr>
          <w:i/>
          <w:spacing w:val="-1"/>
          <w:sz w:val="24"/>
        </w:rPr>
        <w:t> </w:t>
      </w:r>
      <w:r>
        <w:rPr>
          <w:i/>
          <w:sz w:val="24"/>
        </w:rPr>
        <w:t>unit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182"/>
        </w:numPr>
        <w:tabs>
          <w:tab w:pos="3053" w:val="left" w:leader="none"/>
        </w:tabs>
        <w:spacing w:line="240" w:lineRule="auto" w:before="83" w:after="0"/>
        <w:ind w:left="3053" w:right="414" w:hanging="567"/>
        <w:jc w:val="both"/>
        <w:rPr>
          <w:sz w:val="24"/>
        </w:rPr>
      </w:pPr>
      <w:r>
        <w:rPr>
          <w:sz w:val="24"/>
        </w:rPr>
        <w:t>the process for negotiating any access standards, where allowed under </w:t>
      </w:r>
      <w:r>
        <w:rPr>
          <w:i/>
          <w:sz w:val="24"/>
        </w:rPr>
        <w:t>jurisdictional electricity legislation </w:t>
      </w:r>
      <w:r>
        <w:rPr>
          <w:sz w:val="24"/>
        </w:rPr>
        <w:t>and a summary of the factors the </w:t>
      </w:r>
      <w:r>
        <w:rPr>
          <w:i/>
          <w:sz w:val="24"/>
        </w:rPr>
        <w:t>Distribution Network Service Provider </w:t>
      </w:r>
      <w:r>
        <w:rPr>
          <w:sz w:val="24"/>
        </w:rPr>
        <w:t>takes into account when considering proposed changes to access standards; and</w:t>
      </w:r>
    </w:p>
    <w:p>
      <w:pPr>
        <w:pStyle w:val="ListParagraph"/>
        <w:numPr>
          <w:ilvl w:val="4"/>
          <w:numId w:val="182"/>
        </w:numPr>
        <w:tabs>
          <w:tab w:pos="3053" w:val="left" w:leader="none"/>
        </w:tabs>
        <w:spacing w:line="240" w:lineRule="auto" w:before="120" w:after="0"/>
        <w:ind w:left="3052" w:right="0" w:hanging="567"/>
        <w:jc w:val="both"/>
        <w:rPr>
          <w:sz w:val="24"/>
        </w:rPr>
      </w:pPr>
      <w:r>
        <w:rPr>
          <w:sz w:val="24"/>
        </w:rPr>
        <w:t>a list of services, if any, relevant to the </w:t>
      </w:r>
      <w:r>
        <w:rPr>
          <w:i/>
          <w:sz w:val="24"/>
        </w:rPr>
        <w:t>connection </w:t>
      </w:r>
      <w:r>
        <w:rPr>
          <w:sz w:val="24"/>
        </w:rPr>
        <w:t>that</w:t>
      </w:r>
      <w:r>
        <w:rPr>
          <w:spacing w:val="21"/>
          <w:sz w:val="24"/>
        </w:rPr>
        <w:t> </w:t>
      </w:r>
      <w:r>
        <w:rPr>
          <w:sz w:val="24"/>
        </w:rPr>
        <w:t>are</w:t>
      </w:r>
    </w:p>
    <w:p>
      <w:pPr>
        <w:spacing w:before="0"/>
        <w:ind w:left="3053" w:right="0" w:firstLine="0"/>
        <w:jc w:val="both"/>
        <w:rPr>
          <w:sz w:val="24"/>
        </w:rPr>
      </w:pPr>
      <w:r>
        <w:rPr>
          <w:i/>
          <w:sz w:val="24"/>
        </w:rPr>
        <w:t>contestable </w:t>
      </w:r>
      <w:r>
        <w:rPr>
          <w:sz w:val="24"/>
        </w:rPr>
        <w:t>in the relevant </w:t>
      </w:r>
      <w:r>
        <w:rPr>
          <w:i/>
          <w:sz w:val="24"/>
        </w:rPr>
        <w:t>participating jurisdiction</w:t>
      </w:r>
      <w:r>
        <w:rPr>
          <w:sz w:val="24"/>
        </w:rPr>
        <w:t>;</w:t>
      </w:r>
    </w:p>
    <w:p>
      <w:pPr>
        <w:pStyle w:val="ListParagraph"/>
        <w:numPr>
          <w:ilvl w:val="3"/>
          <w:numId w:val="182"/>
        </w:numPr>
        <w:tabs>
          <w:tab w:pos="2486" w:val="left" w:leader="none"/>
        </w:tabs>
        <w:spacing w:line="240" w:lineRule="auto" w:before="120" w:after="0"/>
        <w:ind w:left="2486" w:right="415" w:hanging="567"/>
        <w:jc w:val="both"/>
        <w:rPr>
          <w:sz w:val="24"/>
        </w:rPr>
      </w:pPr>
      <w:r>
        <w:rPr>
          <w:sz w:val="24"/>
        </w:rPr>
        <w:t>single line diagrams of the </w:t>
      </w:r>
      <w:r>
        <w:rPr>
          <w:i/>
          <w:sz w:val="24"/>
        </w:rPr>
        <w:t>Distribution Network Service Provider's </w:t>
      </w:r>
      <w:r>
        <w:rPr>
          <w:sz w:val="24"/>
        </w:rPr>
        <w:t>preferred </w:t>
      </w:r>
      <w:r>
        <w:rPr>
          <w:i/>
          <w:sz w:val="24"/>
        </w:rPr>
        <w:t>connection </w:t>
      </w:r>
      <w:r>
        <w:rPr>
          <w:sz w:val="24"/>
        </w:rPr>
        <w:t>arrangements, and a range of other possible </w:t>
      </w:r>
      <w:r>
        <w:rPr>
          <w:i/>
          <w:sz w:val="24"/>
        </w:rPr>
        <w:t>connection </w:t>
      </w:r>
      <w:r>
        <w:rPr>
          <w:sz w:val="24"/>
        </w:rPr>
        <w:t>arrangements for integration of an </w:t>
      </w:r>
      <w:r>
        <w:rPr>
          <w:i/>
          <w:sz w:val="24"/>
        </w:rPr>
        <w:t>embedded generating </w:t>
      </w:r>
      <w:r>
        <w:rPr>
          <w:i/>
          <w:sz w:val="24"/>
        </w:rPr>
        <w:t>unit</w:t>
      </w:r>
      <w:r>
        <w:rPr>
          <w:sz w:val="24"/>
        </w:rPr>
        <w:t>, showing the </w:t>
      </w:r>
      <w:r>
        <w:rPr>
          <w:i/>
          <w:sz w:val="24"/>
        </w:rPr>
        <w:t>connection point</w:t>
      </w:r>
      <w:r>
        <w:rPr>
          <w:sz w:val="24"/>
        </w:rPr>
        <w:t>, the point of common coupling, the </w:t>
      </w:r>
      <w:r>
        <w:rPr>
          <w:i/>
          <w:sz w:val="24"/>
        </w:rPr>
        <w:t>embedded generating unit(s)</w:t>
      </w:r>
      <w:r>
        <w:rPr>
          <w:sz w:val="24"/>
        </w:rPr>
        <w:t>, </w:t>
      </w:r>
      <w:r>
        <w:rPr>
          <w:i/>
          <w:sz w:val="24"/>
        </w:rPr>
        <w:t>load(s)</w:t>
      </w:r>
      <w:r>
        <w:rPr>
          <w:sz w:val="24"/>
        </w:rPr>
        <w:t>, </w:t>
      </w:r>
      <w:r>
        <w:rPr>
          <w:i/>
          <w:sz w:val="24"/>
        </w:rPr>
        <w:t>meter(s)</w:t>
      </w:r>
      <w:r>
        <w:rPr>
          <w:sz w:val="24"/>
        </w:rPr>
        <w:t>, circuit breaker(s) and isolator(s);</w:t>
      </w:r>
    </w:p>
    <w:p>
      <w:pPr>
        <w:pStyle w:val="ListParagraph"/>
        <w:numPr>
          <w:ilvl w:val="3"/>
          <w:numId w:val="182"/>
        </w:numPr>
        <w:tabs>
          <w:tab w:pos="2486" w:val="left" w:leader="none"/>
        </w:tabs>
        <w:spacing w:line="240" w:lineRule="auto" w:before="120" w:after="0"/>
        <w:ind w:left="2486" w:right="414" w:hanging="567"/>
        <w:jc w:val="both"/>
        <w:rPr>
          <w:sz w:val="24"/>
        </w:rPr>
      </w:pPr>
      <w:r>
        <w:rPr>
          <w:sz w:val="24"/>
        </w:rPr>
        <w:t>a sample schematic diagram of the </w:t>
      </w:r>
      <w:r>
        <w:rPr>
          <w:i/>
          <w:sz w:val="24"/>
        </w:rPr>
        <w:t>protection system </w:t>
      </w:r>
      <w:r>
        <w:rPr>
          <w:sz w:val="24"/>
        </w:rPr>
        <w:t>and </w:t>
      </w:r>
      <w:r>
        <w:rPr>
          <w:i/>
          <w:sz w:val="24"/>
        </w:rPr>
        <w:t>control </w:t>
      </w:r>
      <w:r>
        <w:rPr>
          <w:i/>
          <w:sz w:val="24"/>
        </w:rPr>
        <w:t>system </w:t>
      </w:r>
      <w:r>
        <w:rPr>
          <w:sz w:val="24"/>
        </w:rPr>
        <w:t>relevant to the </w:t>
      </w:r>
      <w:r>
        <w:rPr>
          <w:i/>
          <w:sz w:val="24"/>
        </w:rPr>
        <w:t>connection </w:t>
      </w:r>
      <w:r>
        <w:rPr>
          <w:sz w:val="24"/>
        </w:rPr>
        <w:t>of an </w:t>
      </w:r>
      <w:r>
        <w:rPr>
          <w:i/>
          <w:sz w:val="24"/>
        </w:rPr>
        <w:t>embedded generating unit </w:t>
      </w:r>
      <w:r>
        <w:rPr>
          <w:sz w:val="24"/>
        </w:rPr>
        <w:t>to the </w:t>
      </w:r>
      <w:r>
        <w:rPr>
          <w:i/>
          <w:sz w:val="24"/>
        </w:rPr>
        <w:t>distribution network</w:t>
      </w:r>
      <w:r>
        <w:rPr>
          <w:sz w:val="24"/>
        </w:rPr>
        <w:t>, showing the </w:t>
      </w:r>
      <w:r>
        <w:rPr>
          <w:i/>
          <w:sz w:val="24"/>
        </w:rPr>
        <w:t>protection system </w:t>
      </w:r>
      <w:r>
        <w:rPr>
          <w:sz w:val="24"/>
        </w:rPr>
        <w:t>and </w:t>
      </w:r>
      <w:r>
        <w:rPr>
          <w:i/>
          <w:sz w:val="24"/>
        </w:rPr>
        <w:t>control </w:t>
      </w:r>
      <w:r>
        <w:rPr>
          <w:i/>
          <w:sz w:val="24"/>
        </w:rPr>
        <w:t>system</w:t>
      </w:r>
      <w:r>
        <w:rPr>
          <w:sz w:val="24"/>
        </w:rPr>
        <w:t>, including all relevant current circuits, relay potential circuits, alarm and monitoring circuits, back-up systems and parameters</w:t>
      </w:r>
      <w:r>
        <w:rPr>
          <w:spacing w:val="35"/>
          <w:sz w:val="24"/>
        </w:rPr>
        <w:t> </w:t>
      </w:r>
      <w:r>
        <w:rPr>
          <w:sz w:val="24"/>
        </w:rPr>
        <w:t>of protection and </w:t>
      </w:r>
      <w:r>
        <w:rPr>
          <w:i/>
          <w:sz w:val="24"/>
        </w:rPr>
        <w:t>control system</w:t>
      </w:r>
      <w:r>
        <w:rPr>
          <w:i/>
          <w:spacing w:val="-2"/>
          <w:sz w:val="24"/>
        </w:rPr>
        <w:t> </w:t>
      </w:r>
      <w:r>
        <w:rPr>
          <w:sz w:val="24"/>
        </w:rPr>
        <w:t>elements;</w:t>
      </w:r>
    </w:p>
    <w:p>
      <w:pPr>
        <w:pStyle w:val="ListParagraph"/>
        <w:numPr>
          <w:ilvl w:val="3"/>
          <w:numId w:val="182"/>
        </w:numPr>
        <w:tabs>
          <w:tab w:pos="2486" w:val="left" w:leader="none"/>
        </w:tabs>
        <w:spacing w:line="240" w:lineRule="auto" w:before="120" w:after="0"/>
        <w:ind w:left="2486" w:right="415" w:hanging="567"/>
        <w:jc w:val="both"/>
        <w:rPr>
          <w:sz w:val="24"/>
        </w:rPr>
      </w:pPr>
      <w:r>
        <w:rPr>
          <w:sz w:val="24"/>
        </w:rPr>
        <w:t>worked examples of </w:t>
      </w:r>
      <w:r>
        <w:rPr>
          <w:i/>
          <w:sz w:val="24"/>
        </w:rPr>
        <w:t>connection service </w:t>
      </w:r>
      <w:r>
        <w:rPr>
          <w:sz w:val="24"/>
        </w:rPr>
        <w:t>charges, enquiry and application fees for the </w:t>
      </w:r>
      <w:r>
        <w:rPr>
          <w:i/>
          <w:sz w:val="24"/>
        </w:rPr>
        <w:t>connection </w:t>
      </w:r>
      <w:r>
        <w:rPr>
          <w:sz w:val="24"/>
        </w:rPr>
        <w:t>of </w:t>
      </w:r>
      <w:r>
        <w:rPr>
          <w:i/>
          <w:sz w:val="24"/>
        </w:rPr>
        <w:t>embedded generating </w:t>
      </w:r>
      <w:r>
        <w:rPr>
          <w:i/>
          <w:spacing w:val="-3"/>
          <w:sz w:val="24"/>
        </w:rPr>
        <w:t>units</w:t>
      </w:r>
      <w:r>
        <w:rPr>
          <w:spacing w:val="-3"/>
          <w:sz w:val="24"/>
        </w:rPr>
        <w:t>, </w:t>
      </w:r>
      <w:r>
        <w:rPr>
          <w:sz w:val="24"/>
        </w:rPr>
        <w:t>based on the preferred and possible </w:t>
      </w:r>
      <w:r>
        <w:rPr>
          <w:i/>
          <w:sz w:val="24"/>
        </w:rPr>
        <w:t>connection </w:t>
      </w:r>
      <w:r>
        <w:rPr>
          <w:sz w:val="24"/>
        </w:rPr>
        <w:t>arrangements set out in paragraph (b)(2);</w:t>
      </w:r>
    </w:p>
    <w:p>
      <w:pPr>
        <w:pStyle w:val="ListParagraph"/>
        <w:numPr>
          <w:ilvl w:val="3"/>
          <w:numId w:val="182"/>
        </w:numPr>
        <w:tabs>
          <w:tab w:pos="2486" w:val="left" w:leader="none"/>
        </w:tabs>
        <w:spacing w:line="240" w:lineRule="auto" w:before="120" w:after="0"/>
        <w:ind w:left="2486" w:right="416" w:hanging="567"/>
        <w:jc w:val="both"/>
        <w:rPr>
          <w:sz w:val="24"/>
        </w:rPr>
      </w:pPr>
      <w:r>
        <w:rPr>
          <w:sz w:val="24"/>
        </w:rPr>
        <w:t>details of any </w:t>
      </w:r>
      <w:r>
        <w:rPr>
          <w:i/>
          <w:sz w:val="24"/>
        </w:rPr>
        <w:t>minimum access standards </w:t>
      </w:r>
      <w:r>
        <w:rPr>
          <w:sz w:val="24"/>
        </w:rPr>
        <w:t>or </w:t>
      </w:r>
      <w:r>
        <w:rPr>
          <w:i/>
          <w:sz w:val="24"/>
        </w:rPr>
        <w:t>plant standards </w:t>
      </w:r>
      <w:r>
        <w:rPr>
          <w:sz w:val="24"/>
        </w:rPr>
        <w:t>the </w:t>
      </w:r>
      <w:r>
        <w:rPr>
          <w:i/>
          <w:sz w:val="24"/>
        </w:rPr>
        <w:t>Distribution Network Service Provider </w:t>
      </w:r>
      <w:r>
        <w:rPr>
          <w:sz w:val="24"/>
        </w:rPr>
        <w:t>considers are applicable to </w:t>
      </w:r>
      <w:r>
        <w:rPr>
          <w:i/>
          <w:sz w:val="24"/>
        </w:rPr>
        <w:t>embedded generating units </w:t>
      </w:r>
      <w:r>
        <w:rPr>
          <w:sz w:val="24"/>
        </w:rPr>
        <w:t>and </w:t>
      </w:r>
      <w:r>
        <w:rPr>
          <w:i/>
          <w:sz w:val="24"/>
        </w:rPr>
        <w:t>generating</w:t>
      </w:r>
      <w:r>
        <w:rPr>
          <w:i/>
          <w:spacing w:val="-1"/>
          <w:sz w:val="24"/>
        </w:rPr>
        <w:t> </w:t>
      </w:r>
      <w:r>
        <w:rPr>
          <w:i/>
          <w:sz w:val="24"/>
        </w:rPr>
        <w:t>plant</w:t>
      </w:r>
      <w:r>
        <w:rPr>
          <w:sz w:val="24"/>
        </w:rPr>
        <w:t>;</w:t>
      </w:r>
    </w:p>
    <w:p>
      <w:pPr>
        <w:pStyle w:val="ListParagraph"/>
        <w:numPr>
          <w:ilvl w:val="3"/>
          <w:numId w:val="182"/>
        </w:numPr>
        <w:tabs>
          <w:tab w:pos="2486" w:val="left" w:leader="none"/>
        </w:tabs>
        <w:spacing w:line="240" w:lineRule="auto" w:before="120" w:after="0"/>
        <w:ind w:left="2486" w:right="414" w:hanging="567"/>
        <w:jc w:val="both"/>
        <w:rPr>
          <w:sz w:val="24"/>
        </w:rPr>
      </w:pPr>
      <w:r>
        <w:rPr>
          <w:sz w:val="24"/>
        </w:rPr>
        <w:t>technical requirements relevant to the processing of a </w:t>
      </w:r>
      <w:r>
        <w:rPr>
          <w:i/>
          <w:sz w:val="24"/>
        </w:rPr>
        <w:t>connection </w:t>
      </w:r>
      <w:r>
        <w:rPr>
          <w:sz w:val="24"/>
        </w:rPr>
        <w:t>enquiry or an </w:t>
      </w:r>
      <w:r>
        <w:rPr>
          <w:i/>
          <w:sz w:val="24"/>
        </w:rPr>
        <w:t>application to connect</w:t>
      </w:r>
      <w:r>
        <w:rPr>
          <w:sz w:val="24"/>
        </w:rPr>
        <w:t>, including information of the type, but not limited</w:t>
      </w:r>
      <w:r>
        <w:rPr>
          <w:spacing w:val="-2"/>
          <w:sz w:val="24"/>
        </w:rPr>
        <w:t> </w:t>
      </w:r>
      <w:r>
        <w:rPr>
          <w:sz w:val="24"/>
        </w:rPr>
        <w:t>to:</w:t>
      </w:r>
    </w:p>
    <w:p>
      <w:pPr>
        <w:pStyle w:val="ListParagraph"/>
        <w:numPr>
          <w:ilvl w:val="4"/>
          <w:numId w:val="182"/>
        </w:numPr>
        <w:tabs>
          <w:tab w:pos="3052" w:val="left" w:leader="none"/>
          <w:tab w:pos="3053" w:val="left" w:leader="none"/>
        </w:tabs>
        <w:spacing w:line="240" w:lineRule="auto" w:before="120" w:after="0"/>
        <w:ind w:left="3052" w:right="0" w:hanging="567"/>
        <w:jc w:val="left"/>
        <w:rPr>
          <w:sz w:val="24"/>
        </w:rPr>
      </w:pPr>
      <w:r>
        <w:rPr>
          <w:i/>
          <w:sz w:val="24"/>
        </w:rPr>
        <w:t>protection systems </w:t>
      </w:r>
      <w:r>
        <w:rPr>
          <w:sz w:val="24"/>
        </w:rPr>
        <w:t>and protection</w:t>
      </w:r>
      <w:r>
        <w:rPr>
          <w:spacing w:val="-3"/>
          <w:sz w:val="24"/>
        </w:rPr>
        <w:t> </w:t>
      </w:r>
      <w:r>
        <w:rPr>
          <w:sz w:val="24"/>
        </w:rPr>
        <w:t>schemes;</w:t>
      </w:r>
    </w:p>
    <w:p>
      <w:pPr>
        <w:pStyle w:val="ListParagraph"/>
        <w:numPr>
          <w:ilvl w:val="4"/>
          <w:numId w:val="182"/>
        </w:numPr>
        <w:tabs>
          <w:tab w:pos="3052" w:val="left" w:leader="none"/>
          <w:tab w:pos="3054" w:val="left" w:leader="none"/>
        </w:tabs>
        <w:spacing w:line="240" w:lineRule="auto" w:before="120" w:after="0"/>
        <w:ind w:left="3053" w:right="0" w:hanging="568"/>
        <w:jc w:val="left"/>
        <w:rPr>
          <w:sz w:val="24"/>
        </w:rPr>
      </w:pPr>
      <w:r>
        <w:rPr>
          <w:sz w:val="24"/>
        </w:rPr>
        <w:t>fault level management</w:t>
      </w:r>
      <w:r>
        <w:rPr>
          <w:spacing w:val="-2"/>
          <w:sz w:val="24"/>
        </w:rPr>
        <w:t> </w:t>
      </w:r>
      <w:r>
        <w:rPr>
          <w:sz w:val="24"/>
        </w:rPr>
        <w:t>principles;</w:t>
      </w:r>
    </w:p>
    <w:p>
      <w:pPr>
        <w:pStyle w:val="ListParagraph"/>
        <w:numPr>
          <w:ilvl w:val="4"/>
          <w:numId w:val="182"/>
        </w:numPr>
        <w:tabs>
          <w:tab w:pos="3052" w:val="left" w:leader="none"/>
          <w:tab w:pos="3053" w:val="left" w:leader="none"/>
        </w:tabs>
        <w:spacing w:line="240" w:lineRule="auto" w:before="120" w:after="0"/>
        <w:ind w:left="3052" w:right="0" w:hanging="567"/>
        <w:jc w:val="left"/>
        <w:rPr>
          <w:sz w:val="24"/>
        </w:rPr>
      </w:pPr>
      <w:r>
        <w:rPr>
          <w:i/>
          <w:sz w:val="24"/>
        </w:rPr>
        <w:t>reactive power capability </w:t>
      </w:r>
      <w:r>
        <w:rPr>
          <w:sz w:val="24"/>
        </w:rPr>
        <w:t>and </w:t>
      </w:r>
      <w:r>
        <w:rPr>
          <w:i/>
          <w:sz w:val="24"/>
        </w:rPr>
        <w:t>power factor</w:t>
      </w:r>
      <w:r>
        <w:rPr>
          <w:i/>
          <w:spacing w:val="-2"/>
          <w:sz w:val="24"/>
        </w:rPr>
        <w:t> </w:t>
      </w:r>
      <w:r>
        <w:rPr>
          <w:sz w:val="24"/>
        </w:rPr>
        <w:t>correction;</w:t>
      </w:r>
    </w:p>
    <w:p>
      <w:pPr>
        <w:pStyle w:val="ListParagraph"/>
        <w:numPr>
          <w:ilvl w:val="4"/>
          <w:numId w:val="182"/>
        </w:numPr>
        <w:tabs>
          <w:tab w:pos="3052" w:val="left" w:leader="none"/>
          <w:tab w:pos="3054" w:val="left" w:leader="none"/>
        </w:tabs>
        <w:spacing w:line="240" w:lineRule="auto" w:before="120" w:after="0"/>
        <w:ind w:left="3053" w:right="0" w:hanging="568"/>
        <w:jc w:val="left"/>
        <w:rPr>
          <w:sz w:val="24"/>
        </w:rPr>
      </w:pPr>
      <w:r>
        <w:rPr>
          <w:sz w:val="24"/>
        </w:rPr>
        <w:t>power quality and how limits are</w:t>
      </w:r>
      <w:r>
        <w:rPr>
          <w:spacing w:val="-2"/>
          <w:sz w:val="24"/>
        </w:rPr>
        <w:t> </w:t>
      </w:r>
      <w:r>
        <w:rPr>
          <w:sz w:val="24"/>
        </w:rPr>
        <w:t>allocated;</w:t>
      </w:r>
    </w:p>
    <w:p>
      <w:pPr>
        <w:pStyle w:val="ListParagraph"/>
        <w:numPr>
          <w:ilvl w:val="4"/>
          <w:numId w:val="182"/>
        </w:numPr>
        <w:tabs>
          <w:tab w:pos="3052" w:val="left" w:leader="none"/>
          <w:tab w:pos="3053" w:val="left" w:leader="none"/>
        </w:tabs>
        <w:spacing w:line="240" w:lineRule="auto" w:before="120" w:after="0"/>
        <w:ind w:left="3052" w:right="0" w:hanging="567"/>
        <w:jc w:val="left"/>
        <w:rPr>
          <w:sz w:val="24"/>
        </w:rPr>
      </w:pPr>
      <w:r>
        <w:rPr>
          <w:sz w:val="24"/>
        </w:rPr>
        <w:t>responses to </w:t>
      </w:r>
      <w:r>
        <w:rPr>
          <w:i/>
          <w:sz w:val="24"/>
        </w:rPr>
        <w:t>frequency </w:t>
      </w:r>
      <w:r>
        <w:rPr>
          <w:sz w:val="24"/>
        </w:rPr>
        <w:t>and </w:t>
      </w:r>
      <w:r>
        <w:rPr>
          <w:i/>
          <w:sz w:val="24"/>
        </w:rPr>
        <w:t>voltage</w:t>
      </w:r>
      <w:r>
        <w:rPr>
          <w:i/>
          <w:spacing w:val="-3"/>
          <w:sz w:val="24"/>
        </w:rPr>
        <w:t> </w:t>
      </w:r>
      <w:r>
        <w:rPr>
          <w:sz w:val="24"/>
        </w:rPr>
        <w:t>disturbances;</w:t>
      </w:r>
    </w:p>
    <w:p>
      <w:pPr>
        <w:pStyle w:val="ListParagraph"/>
        <w:numPr>
          <w:ilvl w:val="4"/>
          <w:numId w:val="182"/>
        </w:numPr>
        <w:tabs>
          <w:tab w:pos="3052" w:val="left" w:leader="none"/>
          <w:tab w:pos="3053" w:val="left" w:leader="none"/>
        </w:tabs>
        <w:spacing w:line="240" w:lineRule="auto" w:before="120" w:after="0"/>
        <w:ind w:left="3052" w:right="0" w:hanging="567"/>
        <w:jc w:val="left"/>
        <w:rPr>
          <w:sz w:val="24"/>
        </w:rPr>
      </w:pPr>
      <w:r>
        <w:rPr>
          <w:i/>
          <w:sz w:val="24"/>
        </w:rPr>
        <w:t>voltage </w:t>
      </w:r>
      <w:r>
        <w:rPr>
          <w:sz w:val="24"/>
        </w:rPr>
        <w:t>control and</w:t>
      </w:r>
      <w:r>
        <w:rPr>
          <w:spacing w:val="-2"/>
          <w:sz w:val="24"/>
        </w:rPr>
        <w:t> </w:t>
      </w:r>
      <w:r>
        <w:rPr>
          <w:sz w:val="24"/>
        </w:rPr>
        <w:t>regulation;</w:t>
      </w:r>
    </w:p>
    <w:p>
      <w:pPr>
        <w:pStyle w:val="ListParagraph"/>
        <w:numPr>
          <w:ilvl w:val="4"/>
          <w:numId w:val="182"/>
        </w:numPr>
        <w:tabs>
          <w:tab w:pos="3053" w:val="left" w:leader="none"/>
        </w:tabs>
        <w:spacing w:line="240" w:lineRule="auto" w:before="120" w:after="0"/>
        <w:ind w:left="3053" w:right="415" w:hanging="567"/>
        <w:jc w:val="left"/>
        <w:rPr>
          <w:sz w:val="24"/>
        </w:rPr>
      </w:pPr>
      <w:r>
        <w:rPr>
          <w:i/>
          <w:sz w:val="24"/>
        </w:rPr>
        <w:t>remote monitoring equipment</w:t>
      </w:r>
      <w:r>
        <w:rPr>
          <w:sz w:val="24"/>
        </w:rPr>
        <w:t>, control and communication requirements;</w:t>
      </w:r>
    </w:p>
    <w:p>
      <w:pPr>
        <w:pStyle w:val="ListParagraph"/>
        <w:numPr>
          <w:ilvl w:val="4"/>
          <w:numId w:val="182"/>
        </w:numPr>
        <w:tabs>
          <w:tab w:pos="3053" w:val="left" w:leader="none"/>
        </w:tabs>
        <w:spacing w:line="240" w:lineRule="auto" w:before="120" w:after="0"/>
        <w:ind w:left="3052" w:right="0" w:hanging="567"/>
        <w:jc w:val="left"/>
        <w:rPr>
          <w:sz w:val="24"/>
        </w:rPr>
      </w:pPr>
      <w:r>
        <w:rPr>
          <w:sz w:val="24"/>
        </w:rPr>
        <w:t>earthing requirements and other relevant safety</w:t>
      </w:r>
      <w:r>
        <w:rPr>
          <w:spacing w:val="-4"/>
          <w:sz w:val="24"/>
        </w:rPr>
        <w:t> </w:t>
      </w:r>
      <w:r>
        <w:rPr>
          <w:sz w:val="24"/>
        </w:rPr>
        <w:t>requirements;</w:t>
      </w:r>
    </w:p>
    <w:p>
      <w:pPr>
        <w:pStyle w:val="ListParagraph"/>
        <w:numPr>
          <w:ilvl w:val="4"/>
          <w:numId w:val="182"/>
        </w:numPr>
        <w:tabs>
          <w:tab w:pos="3054" w:val="left" w:leader="none"/>
        </w:tabs>
        <w:spacing w:line="240" w:lineRule="auto" w:before="120" w:after="0"/>
        <w:ind w:left="3053" w:right="414" w:hanging="567"/>
        <w:jc w:val="both"/>
        <w:rPr>
          <w:sz w:val="24"/>
        </w:rPr>
      </w:pPr>
      <w:r>
        <w:rPr>
          <w:sz w:val="24"/>
        </w:rPr>
        <w:t>circumstances in which </w:t>
      </w:r>
      <w:r>
        <w:rPr>
          <w:i/>
          <w:sz w:val="24"/>
        </w:rPr>
        <w:t>augmentation </w:t>
      </w:r>
      <w:r>
        <w:rPr>
          <w:sz w:val="24"/>
        </w:rPr>
        <w:t>may be required to facilitate integration of an </w:t>
      </w:r>
      <w:r>
        <w:rPr>
          <w:i/>
          <w:sz w:val="24"/>
        </w:rPr>
        <w:t>embedded generating unit </w:t>
      </w:r>
      <w:r>
        <w:rPr>
          <w:sz w:val="24"/>
        </w:rPr>
        <w:t>into the </w:t>
      </w:r>
      <w:r>
        <w:rPr>
          <w:i/>
          <w:sz w:val="24"/>
        </w:rPr>
        <w:t>network</w:t>
      </w:r>
      <w:r>
        <w:rPr>
          <w:sz w:val="24"/>
        </w:rPr>
        <w:t>;</w:t>
      </w:r>
    </w:p>
    <w:p>
      <w:pPr>
        <w:pStyle w:val="ListParagraph"/>
        <w:numPr>
          <w:ilvl w:val="4"/>
          <w:numId w:val="182"/>
        </w:numPr>
        <w:tabs>
          <w:tab w:pos="3053" w:val="left" w:leader="none"/>
        </w:tabs>
        <w:spacing w:line="240" w:lineRule="auto" w:before="120" w:after="0"/>
        <w:ind w:left="3052" w:right="0" w:hanging="567"/>
        <w:jc w:val="both"/>
        <w:rPr>
          <w:sz w:val="24"/>
        </w:rPr>
      </w:pPr>
      <w:r>
        <w:rPr>
          <w:sz w:val="24"/>
        </w:rPr>
        <w:t>commissioning and testing</w:t>
      </w:r>
      <w:r>
        <w:rPr>
          <w:spacing w:val="-1"/>
          <w:sz w:val="24"/>
        </w:rPr>
        <w:t> </w:t>
      </w:r>
      <w:r>
        <w:rPr>
          <w:sz w:val="24"/>
        </w:rPr>
        <w:t>requirements;</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35"/>
        </w:rPr>
      </w:pPr>
    </w:p>
    <w:p>
      <w:pPr>
        <w:pStyle w:val="Heading4"/>
        <w:tabs>
          <w:tab w:pos="1351" w:val="left" w:leader="none"/>
        </w:tabs>
        <w:ind w:left="218" w:firstLine="0"/>
      </w:pPr>
      <w:bookmarkStart w:name="5.3A.4 Fees" w:id="467"/>
      <w:bookmarkEnd w:id="467"/>
      <w:r>
        <w:rPr>
          <w:b w:val="0"/>
        </w:rPr>
      </w:r>
      <w:bookmarkStart w:name="_bookmark194" w:id="468"/>
      <w:bookmarkEnd w:id="468"/>
      <w:r>
        <w:rPr>
          <w:b w:val="0"/>
        </w:rPr>
      </w:r>
      <w:r>
        <w:rPr/>
        <w:t>5.3A.4</w:t>
        <w:tab/>
      </w:r>
      <w:r>
        <w:rPr>
          <w:spacing w:val="-5"/>
        </w:rPr>
        <w:t>Fees</w:t>
      </w:r>
    </w:p>
    <w:p>
      <w:pPr>
        <w:spacing w:before="120"/>
        <w:ind w:left="1352" w:right="0" w:firstLine="0"/>
        <w:jc w:val="left"/>
        <w:rPr>
          <w:rFonts w:ascii="Arial"/>
          <w:b/>
          <w:sz w:val="20"/>
        </w:rPr>
      </w:pPr>
      <w:r>
        <w:rPr>
          <w:rFonts w:ascii="Arial"/>
          <w:b/>
          <w:sz w:val="20"/>
        </w:rPr>
        <w:t>Note</w:t>
      </w:r>
    </w:p>
    <w:p>
      <w:pPr>
        <w:pStyle w:val="ListParagraph"/>
        <w:numPr>
          <w:ilvl w:val="4"/>
          <w:numId w:val="182"/>
        </w:numPr>
        <w:tabs>
          <w:tab w:pos="1114" w:val="left" w:leader="none"/>
        </w:tabs>
        <w:spacing w:line="240" w:lineRule="auto" w:before="83" w:after="0"/>
        <w:ind w:left="1113" w:right="417" w:hanging="567"/>
        <w:jc w:val="both"/>
        <w:rPr>
          <w:sz w:val="24"/>
        </w:rPr>
      </w:pPr>
      <w:r>
        <w:rPr>
          <w:sz w:val="24"/>
        </w:rPr>
        <w:br w:type="column"/>
        <w:t>circumstances in which a </w:t>
      </w:r>
      <w:r>
        <w:rPr>
          <w:i/>
          <w:sz w:val="24"/>
        </w:rPr>
        <w:t>system strength remediation scheme </w:t>
      </w:r>
      <w:r>
        <w:rPr>
          <w:sz w:val="24"/>
        </w:rPr>
        <w:t>or </w:t>
      </w:r>
      <w:r>
        <w:rPr>
          <w:i/>
          <w:sz w:val="24"/>
        </w:rPr>
        <w:t>system strength connection works </w:t>
      </w:r>
      <w:r>
        <w:rPr>
          <w:sz w:val="24"/>
        </w:rPr>
        <w:t>will be required as a condition of </w:t>
      </w:r>
      <w:r>
        <w:rPr>
          <w:i/>
          <w:sz w:val="24"/>
        </w:rPr>
        <w:t>connection</w:t>
      </w:r>
      <w:r>
        <w:rPr>
          <w:sz w:val="24"/>
        </w:rPr>
        <w:t>;</w:t>
      </w:r>
      <w:r>
        <w:rPr>
          <w:spacing w:val="-1"/>
          <w:sz w:val="24"/>
        </w:rPr>
        <w:t> </w:t>
      </w:r>
      <w:r>
        <w:rPr>
          <w:sz w:val="24"/>
        </w:rPr>
        <w:t>and</w:t>
      </w:r>
    </w:p>
    <w:p>
      <w:pPr>
        <w:pStyle w:val="ListParagraph"/>
        <w:numPr>
          <w:ilvl w:val="4"/>
          <w:numId w:val="182"/>
        </w:numPr>
        <w:tabs>
          <w:tab w:pos="1114" w:val="left" w:leader="none"/>
        </w:tabs>
        <w:spacing w:line="240" w:lineRule="auto" w:before="120" w:after="0"/>
        <w:ind w:left="1113" w:right="0" w:hanging="568"/>
        <w:jc w:val="both"/>
        <w:rPr>
          <w:sz w:val="24"/>
        </w:rPr>
      </w:pPr>
      <w:r>
        <w:rPr>
          <w:sz w:val="24"/>
        </w:rPr>
        <w:t>other technical matters relevant to any access standard</w:t>
      </w:r>
      <w:r>
        <w:rPr>
          <w:spacing w:val="40"/>
          <w:sz w:val="24"/>
        </w:rPr>
        <w:t> </w:t>
      </w:r>
      <w:r>
        <w:rPr>
          <w:sz w:val="24"/>
        </w:rPr>
        <w:t>under</w:t>
      </w:r>
    </w:p>
    <w:p>
      <w:pPr>
        <w:spacing w:before="0"/>
        <w:ind w:left="1113" w:right="0" w:firstLine="0"/>
        <w:jc w:val="both"/>
        <w:rPr>
          <w:sz w:val="24"/>
        </w:rPr>
      </w:pPr>
      <w:r>
        <w:rPr>
          <w:i/>
          <w:sz w:val="24"/>
        </w:rPr>
        <w:t>jurisdictional electricity legislation</w:t>
      </w:r>
      <w:r>
        <w:rPr>
          <w:sz w:val="24"/>
        </w:rPr>
        <w:t>; and</w:t>
      </w:r>
    </w:p>
    <w:p>
      <w:pPr>
        <w:pStyle w:val="ListParagraph"/>
        <w:numPr>
          <w:ilvl w:val="3"/>
          <w:numId w:val="182"/>
        </w:numPr>
        <w:tabs>
          <w:tab w:pos="547" w:val="left" w:leader="none"/>
        </w:tabs>
        <w:spacing w:line="240" w:lineRule="auto" w:before="120" w:after="0"/>
        <w:ind w:left="546" w:right="416" w:hanging="567"/>
        <w:jc w:val="both"/>
        <w:rPr>
          <w:sz w:val="24"/>
        </w:rPr>
      </w:pPr>
      <w:r>
        <w:rPr>
          <w:sz w:val="24"/>
        </w:rPr>
        <w:t>model </w:t>
      </w:r>
      <w:r>
        <w:rPr>
          <w:i/>
          <w:sz w:val="24"/>
        </w:rPr>
        <w:t>connection agreements </w:t>
      </w:r>
      <w:r>
        <w:rPr>
          <w:sz w:val="24"/>
        </w:rPr>
        <w:t>used by that </w:t>
      </w:r>
      <w:r>
        <w:rPr>
          <w:i/>
          <w:sz w:val="24"/>
        </w:rPr>
        <w:t>Distribution Network </w:t>
      </w:r>
      <w:r>
        <w:rPr>
          <w:i/>
          <w:sz w:val="24"/>
        </w:rPr>
        <w:t>Service</w:t>
      </w:r>
      <w:r>
        <w:rPr>
          <w:i/>
          <w:spacing w:val="-1"/>
          <w:sz w:val="24"/>
        </w:rPr>
        <w:t> </w:t>
      </w:r>
      <w:r>
        <w:rPr>
          <w:i/>
          <w:sz w:val="24"/>
        </w:rPr>
        <w:t>Provider</w:t>
      </w:r>
      <w:r>
        <w:rPr>
          <w:sz w:val="24"/>
        </w:rPr>
        <w:t>.</w:t>
      </w:r>
    </w:p>
    <w:p>
      <w:pPr>
        <w:spacing w:after="0" w:line="240" w:lineRule="auto"/>
        <w:jc w:val="both"/>
        <w:rPr>
          <w:sz w:val="24"/>
        </w:rPr>
        <w:sectPr>
          <w:pgSz w:w="11910" w:h="16840"/>
          <w:pgMar w:header="686" w:footer="637" w:top="1320" w:bottom="820" w:left="1200" w:right="1000"/>
          <w:cols w:num="2" w:equalWidth="0">
            <w:col w:w="1900" w:space="40"/>
            <w:col w:w="7770"/>
          </w:cols>
        </w:sectPr>
      </w:pPr>
    </w:p>
    <w:p>
      <w:pPr>
        <w:spacing w:before="120"/>
        <w:ind w:left="1352" w:right="415" w:firstLine="0"/>
        <w:jc w:val="both"/>
        <w:rPr>
          <w:sz w:val="20"/>
        </w:rPr>
      </w:pPr>
      <w:r>
        <w:rPr>
          <w:sz w:val="20"/>
        </w:rPr>
        <w:t>Paragraph (e)(2)(ii) of this clause has no effect in this jurisdiction (see regulation 5A of the </w:t>
      </w:r>
      <w:r>
        <w:rPr>
          <w:i/>
          <w:sz w:val="20"/>
        </w:rPr>
        <w:t>National Electricity (Northern Territory) (National Uniform Legislation) (Modification) </w:t>
      </w:r>
      <w:r>
        <w:rPr>
          <w:i/>
          <w:sz w:val="20"/>
        </w:rPr>
        <w:t>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0"/>
          <w:numId w:val="183"/>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charge a </w:t>
      </w:r>
      <w:r>
        <w:rPr>
          <w:i/>
          <w:sz w:val="24"/>
        </w:rPr>
        <w:t>Connection </w:t>
      </w:r>
      <w:r>
        <w:rPr>
          <w:i/>
          <w:sz w:val="24"/>
        </w:rPr>
        <w:t>Applicant </w:t>
      </w:r>
      <w:r>
        <w:rPr>
          <w:sz w:val="24"/>
        </w:rPr>
        <w:t>an enquiry fee, the amount of which must not be more</w:t>
      </w:r>
      <w:r>
        <w:rPr>
          <w:spacing w:val="30"/>
          <w:sz w:val="24"/>
        </w:rPr>
        <w:t> </w:t>
      </w:r>
      <w:r>
        <w:rPr>
          <w:sz w:val="24"/>
        </w:rPr>
        <w:t>than necessary to cover the reasonable costs of work required to prepare a detailed response to the</w:t>
      </w:r>
      <w:r>
        <w:rPr>
          <w:spacing w:val="-1"/>
          <w:sz w:val="24"/>
        </w:rPr>
        <w:t> </w:t>
      </w:r>
      <w:r>
        <w:rPr>
          <w:sz w:val="24"/>
        </w:rPr>
        <w:t>enquiry.</w:t>
      </w:r>
    </w:p>
    <w:p>
      <w:pPr>
        <w:pStyle w:val="ListParagraph"/>
        <w:numPr>
          <w:ilvl w:val="0"/>
          <w:numId w:val="183"/>
        </w:numPr>
        <w:tabs>
          <w:tab w:pos="1919" w:val="left" w:leader="none"/>
        </w:tabs>
        <w:spacing w:line="240" w:lineRule="auto" w:before="120" w:after="0"/>
        <w:ind w:left="1919" w:right="416" w:hanging="567"/>
        <w:jc w:val="both"/>
        <w:rPr>
          <w:sz w:val="24"/>
        </w:rPr>
      </w:pPr>
      <w:r>
        <w:rPr>
          <w:sz w:val="24"/>
        </w:rPr>
        <w:t>The </w:t>
      </w:r>
      <w:r>
        <w:rPr>
          <w:i/>
          <w:sz w:val="24"/>
        </w:rPr>
        <w:t>Distribution Network Service Provider </w:t>
      </w:r>
      <w:r>
        <w:rPr>
          <w:sz w:val="24"/>
        </w:rPr>
        <w:t>may specify that an enquiry fee is payable in</w:t>
      </w:r>
      <w:r>
        <w:rPr>
          <w:spacing w:val="-1"/>
          <w:sz w:val="24"/>
        </w:rPr>
        <w:t> </w:t>
      </w:r>
      <w:r>
        <w:rPr>
          <w:sz w:val="24"/>
        </w:rPr>
        <w:t>components.</w:t>
      </w:r>
    </w:p>
    <w:p>
      <w:pPr>
        <w:pStyle w:val="ListParagraph"/>
        <w:numPr>
          <w:ilvl w:val="0"/>
          <w:numId w:val="183"/>
        </w:numPr>
        <w:tabs>
          <w:tab w:pos="1919" w:val="left" w:leader="none"/>
        </w:tabs>
        <w:spacing w:line="240" w:lineRule="auto" w:before="120" w:after="0"/>
        <w:ind w:left="1919" w:right="416" w:hanging="567"/>
        <w:jc w:val="both"/>
        <w:rPr>
          <w:sz w:val="24"/>
        </w:rPr>
      </w:pPr>
      <w:r>
        <w:rPr>
          <w:sz w:val="24"/>
        </w:rPr>
        <w:t>The enquiry fee, or such component of it identified by the </w:t>
      </w:r>
      <w:r>
        <w:rPr>
          <w:i/>
          <w:sz w:val="24"/>
        </w:rPr>
        <w:t>Distribution </w:t>
      </w:r>
      <w:r>
        <w:rPr>
          <w:i/>
          <w:sz w:val="24"/>
        </w:rPr>
        <w:t>Network Service Provider</w:t>
      </w:r>
      <w:r>
        <w:rPr>
          <w:sz w:val="24"/>
        </w:rPr>
        <w:t>, is payable</w:t>
      </w:r>
      <w:r>
        <w:rPr>
          <w:spacing w:val="-1"/>
          <w:sz w:val="24"/>
        </w:rPr>
        <w:t> </w:t>
      </w:r>
      <w:r>
        <w:rPr>
          <w:sz w:val="24"/>
        </w:rPr>
        <w:t>either:</w:t>
      </w:r>
    </w:p>
    <w:p>
      <w:pPr>
        <w:pStyle w:val="ListParagraph"/>
        <w:numPr>
          <w:ilvl w:val="1"/>
          <w:numId w:val="183"/>
        </w:numPr>
        <w:tabs>
          <w:tab w:pos="2486" w:val="left" w:leader="none"/>
        </w:tabs>
        <w:spacing w:line="240" w:lineRule="auto" w:before="120" w:after="0"/>
        <w:ind w:left="2485" w:right="0" w:hanging="567"/>
        <w:jc w:val="both"/>
        <w:rPr>
          <w:sz w:val="24"/>
        </w:rPr>
      </w:pPr>
      <w:r>
        <w:rPr>
          <w:sz w:val="24"/>
        </w:rPr>
        <w:t>on lodgement of the further information identified in S5.4A(o);</w:t>
      </w:r>
      <w:r>
        <w:rPr>
          <w:spacing w:val="-6"/>
          <w:sz w:val="24"/>
        </w:rPr>
        <w:t> </w:t>
      </w:r>
      <w:r>
        <w:rPr>
          <w:sz w:val="24"/>
        </w:rPr>
        <w:t>or</w:t>
      </w:r>
    </w:p>
    <w:p>
      <w:pPr>
        <w:pStyle w:val="ListParagraph"/>
        <w:numPr>
          <w:ilvl w:val="1"/>
          <w:numId w:val="183"/>
        </w:numPr>
        <w:tabs>
          <w:tab w:pos="2486" w:val="left" w:leader="none"/>
        </w:tabs>
        <w:spacing w:line="240" w:lineRule="auto" w:before="120" w:after="0"/>
        <w:ind w:left="2485" w:right="0" w:hanging="567"/>
        <w:jc w:val="both"/>
        <w:rPr>
          <w:i/>
          <w:sz w:val="24"/>
        </w:rPr>
      </w:pPr>
      <w:r>
        <w:rPr>
          <w:sz w:val="24"/>
        </w:rPr>
        <w:t>on</w:t>
      </w:r>
      <w:r>
        <w:rPr>
          <w:spacing w:val="24"/>
          <w:sz w:val="24"/>
        </w:rPr>
        <w:t> </w:t>
      </w:r>
      <w:r>
        <w:rPr>
          <w:sz w:val="24"/>
        </w:rPr>
        <w:t>receipt</w:t>
      </w:r>
      <w:r>
        <w:rPr>
          <w:spacing w:val="25"/>
          <w:sz w:val="24"/>
        </w:rPr>
        <w:t> </w:t>
      </w:r>
      <w:r>
        <w:rPr>
          <w:sz w:val="24"/>
        </w:rPr>
        <w:t>of</w:t>
      </w:r>
      <w:r>
        <w:rPr>
          <w:spacing w:val="25"/>
          <w:sz w:val="24"/>
        </w:rPr>
        <w:t> </w:t>
      </w:r>
      <w:r>
        <w:rPr>
          <w:sz w:val="24"/>
        </w:rPr>
        <w:t>advice</w:t>
      </w:r>
      <w:r>
        <w:rPr>
          <w:spacing w:val="25"/>
          <w:sz w:val="24"/>
        </w:rPr>
        <w:t> </w:t>
      </w:r>
      <w:r>
        <w:rPr>
          <w:sz w:val="24"/>
        </w:rPr>
        <w:t>from</w:t>
      </w:r>
      <w:r>
        <w:rPr>
          <w:spacing w:val="25"/>
          <w:sz w:val="24"/>
        </w:rPr>
        <w:t> </w:t>
      </w:r>
      <w:r>
        <w:rPr>
          <w:sz w:val="24"/>
        </w:rPr>
        <w:t>the</w:t>
      </w:r>
      <w:r>
        <w:rPr>
          <w:spacing w:val="25"/>
          <w:sz w:val="24"/>
        </w:rPr>
        <w:t> </w:t>
      </w:r>
      <w:r>
        <w:rPr>
          <w:i/>
          <w:sz w:val="24"/>
        </w:rPr>
        <w:t>Distribution</w:t>
      </w:r>
      <w:r>
        <w:rPr>
          <w:i/>
          <w:spacing w:val="25"/>
          <w:sz w:val="24"/>
        </w:rPr>
        <w:t> </w:t>
      </w:r>
      <w:r>
        <w:rPr>
          <w:i/>
          <w:sz w:val="24"/>
        </w:rPr>
        <w:t>Network</w:t>
      </w:r>
      <w:r>
        <w:rPr>
          <w:i/>
          <w:spacing w:val="24"/>
          <w:sz w:val="24"/>
        </w:rPr>
        <w:t> </w:t>
      </w:r>
      <w:r>
        <w:rPr>
          <w:i/>
          <w:sz w:val="24"/>
        </w:rPr>
        <w:t>Service</w:t>
      </w:r>
      <w:r>
        <w:rPr>
          <w:i/>
          <w:spacing w:val="25"/>
          <w:sz w:val="24"/>
        </w:rPr>
        <w:t> </w:t>
      </w:r>
      <w:r>
        <w:rPr>
          <w:i/>
          <w:sz w:val="24"/>
        </w:rPr>
        <w:t>Provider</w:t>
      </w:r>
    </w:p>
    <w:p>
      <w:pPr>
        <w:pStyle w:val="BodyText"/>
        <w:spacing w:before="0"/>
        <w:ind w:left="2486" w:firstLine="0"/>
      </w:pPr>
      <w:r>
        <w:rPr/>
        <w:t>provided pursuant to clause 5.3A.7(b).</w:t>
      </w:r>
    </w:p>
    <w:p>
      <w:pPr>
        <w:pStyle w:val="ListParagraph"/>
        <w:numPr>
          <w:ilvl w:val="0"/>
          <w:numId w:val="183"/>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not charge a fee for the provision of a preliminary</w:t>
      </w:r>
      <w:r>
        <w:rPr>
          <w:spacing w:val="-1"/>
          <w:sz w:val="24"/>
        </w:rPr>
        <w:t> </w:t>
      </w:r>
      <w:r>
        <w:rPr>
          <w:sz w:val="24"/>
        </w:rPr>
        <w:t>response.</w:t>
      </w:r>
    </w:p>
    <w:p>
      <w:pPr>
        <w:pStyle w:val="ListParagraph"/>
        <w:numPr>
          <w:ilvl w:val="0"/>
          <w:numId w:val="183"/>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charge an application fee, payable on lodgement of an </w:t>
      </w:r>
      <w:r>
        <w:rPr>
          <w:i/>
          <w:sz w:val="24"/>
        </w:rPr>
        <w:t>application to connect</w:t>
      </w:r>
      <w:r>
        <w:rPr>
          <w:sz w:val="24"/>
        </w:rPr>
        <w:t>, provided that the </w:t>
      </w:r>
      <w:r>
        <w:rPr>
          <w:spacing w:val="-4"/>
          <w:sz w:val="24"/>
        </w:rPr>
        <w:t>fee </w:t>
      </w:r>
      <w:r>
        <w:rPr>
          <w:sz w:val="24"/>
        </w:rPr>
        <w:t>must not:</w:t>
      </w:r>
    </w:p>
    <w:p>
      <w:pPr>
        <w:pStyle w:val="ListParagraph"/>
        <w:numPr>
          <w:ilvl w:val="1"/>
          <w:numId w:val="183"/>
        </w:numPr>
        <w:tabs>
          <w:tab w:pos="2486" w:val="left" w:leader="none"/>
        </w:tabs>
        <w:spacing w:line="240" w:lineRule="auto" w:before="120" w:after="0"/>
        <w:ind w:left="2486" w:right="415" w:hanging="567"/>
        <w:jc w:val="both"/>
        <w:rPr>
          <w:sz w:val="24"/>
        </w:rPr>
      </w:pPr>
      <w:r>
        <w:rPr>
          <w:sz w:val="24"/>
        </w:rPr>
        <w:t>include an amount for work that was completed in preparing the detailed response to the enquiry;</w:t>
      </w:r>
      <w:r>
        <w:rPr>
          <w:spacing w:val="-1"/>
          <w:sz w:val="24"/>
        </w:rPr>
        <w:t> </w:t>
      </w:r>
      <w:r>
        <w:rPr>
          <w:sz w:val="24"/>
        </w:rPr>
        <w:t>and</w:t>
      </w:r>
    </w:p>
    <w:p>
      <w:pPr>
        <w:pStyle w:val="ListParagraph"/>
        <w:numPr>
          <w:ilvl w:val="1"/>
          <w:numId w:val="183"/>
        </w:numPr>
        <w:tabs>
          <w:tab w:pos="2486" w:val="left" w:leader="none"/>
        </w:tabs>
        <w:spacing w:line="240" w:lineRule="auto" w:before="120" w:after="0"/>
        <w:ind w:left="2485" w:right="0" w:hanging="567"/>
        <w:jc w:val="both"/>
        <w:rPr>
          <w:sz w:val="24"/>
        </w:rPr>
      </w:pPr>
      <w:r>
        <w:rPr>
          <w:sz w:val="24"/>
        </w:rPr>
        <w:t>be more than necessary</w:t>
      </w:r>
      <w:r>
        <w:rPr>
          <w:spacing w:val="-1"/>
          <w:sz w:val="24"/>
        </w:rPr>
        <w:t> </w:t>
      </w:r>
      <w:r>
        <w:rPr>
          <w:sz w:val="24"/>
        </w:rPr>
        <w:t>to:</w:t>
      </w:r>
    </w:p>
    <w:p>
      <w:pPr>
        <w:pStyle w:val="ListParagraph"/>
        <w:numPr>
          <w:ilvl w:val="2"/>
          <w:numId w:val="183"/>
        </w:numPr>
        <w:tabs>
          <w:tab w:pos="3053" w:val="left" w:leader="none"/>
        </w:tabs>
        <w:spacing w:line="240" w:lineRule="auto" w:before="120" w:after="0"/>
        <w:ind w:left="3053" w:right="414" w:hanging="567"/>
        <w:jc w:val="both"/>
        <w:rPr>
          <w:sz w:val="24"/>
        </w:rPr>
      </w:pPr>
      <w:r>
        <w:rPr>
          <w:sz w:val="24"/>
        </w:rPr>
        <w:t>cover the costs of work and expenses reasonably incurred by the </w:t>
      </w:r>
      <w:r>
        <w:rPr>
          <w:i/>
          <w:sz w:val="24"/>
        </w:rPr>
        <w:t>Distribution Network Service Provider </w:t>
      </w:r>
      <w:r>
        <w:rPr>
          <w:sz w:val="24"/>
        </w:rPr>
        <w:t>in assessing the </w:t>
      </w:r>
      <w:r>
        <w:rPr>
          <w:i/>
          <w:sz w:val="24"/>
        </w:rPr>
        <w:t>application to connect </w:t>
      </w:r>
      <w:r>
        <w:rPr>
          <w:sz w:val="24"/>
        </w:rPr>
        <w:t>and making an offer to </w:t>
      </w:r>
      <w:r>
        <w:rPr>
          <w:i/>
          <w:sz w:val="24"/>
        </w:rPr>
        <w:t>connect</w:t>
      </w:r>
      <w:r>
        <w:rPr>
          <w:sz w:val="24"/>
        </w:rPr>
        <w:t>;</w:t>
      </w:r>
      <w:r>
        <w:rPr>
          <w:spacing w:val="-3"/>
          <w:sz w:val="24"/>
        </w:rPr>
        <w:t> </w:t>
      </w:r>
      <w:r>
        <w:rPr>
          <w:sz w:val="24"/>
        </w:rPr>
        <w:t>and</w:t>
      </w:r>
    </w:p>
    <w:p>
      <w:pPr>
        <w:pStyle w:val="ListParagraph"/>
        <w:numPr>
          <w:ilvl w:val="2"/>
          <w:numId w:val="183"/>
        </w:numPr>
        <w:tabs>
          <w:tab w:pos="3054" w:val="left" w:leader="none"/>
        </w:tabs>
        <w:spacing w:line="240" w:lineRule="auto" w:before="120" w:after="0"/>
        <w:ind w:left="3053" w:right="414" w:hanging="567"/>
        <w:jc w:val="both"/>
        <w:rPr>
          <w:sz w:val="24"/>
        </w:rPr>
      </w:pPr>
      <w:r>
        <w:rPr>
          <w:sz w:val="24"/>
        </w:rPr>
        <w:t>meet the reasonable costs anticipated to be incurred by </w:t>
      </w:r>
      <w:r>
        <w:rPr>
          <w:i/>
          <w:sz w:val="24"/>
        </w:rPr>
        <w:t>AEMO </w:t>
      </w:r>
      <w:r>
        <w:rPr>
          <w:sz w:val="24"/>
        </w:rPr>
        <w:t>and other </w:t>
      </w:r>
      <w:r>
        <w:rPr>
          <w:i/>
          <w:sz w:val="24"/>
        </w:rPr>
        <w:t>Network Service Providers </w:t>
      </w:r>
      <w:r>
        <w:rPr>
          <w:sz w:val="24"/>
        </w:rPr>
        <w:t>whose participation in the assessment of the </w:t>
      </w:r>
      <w:r>
        <w:rPr>
          <w:i/>
          <w:sz w:val="24"/>
        </w:rPr>
        <w:t>application to connect </w:t>
      </w:r>
      <w:r>
        <w:rPr>
          <w:sz w:val="24"/>
        </w:rPr>
        <w:t>will be</w:t>
      </w:r>
      <w:r>
        <w:rPr>
          <w:spacing w:val="-4"/>
          <w:sz w:val="24"/>
        </w:rPr>
        <w:t> </w:t>
      </w:r>
      <w:r>
        <w:rPr>
          <w:sz w:val="24"/>
        </w:rPr>
        <w:t>required.</w:t>
      </w:r>
    </w:p>
    <w:p>
      <w:pPr>
        <w:pStyle w:val="BodyText"/>
        <w:spacing w:before="9"/>
        <w:ind w:firstLine="0"/>
        <w:jc w:val="left"/>
        <w:rPr>
          <w:sz w:val="12"/>
        </w:rPr>
      </w:pPr>
    </w:p>
    <w:p>
      <w:pPr>
        <w:pStyle w:val="Heading4"/>
        <w:numPr>
          <w:ilvl w:val="1"/>
          <w:numId w:val="184"/>
        </w:numPr>
        <w:tabs>
          <w:tab w:pos="553" w:val="left" w:leader="none"/>
          <w:tab w:pos="1351" w:val="left" w:leader="none"/>
        </w:tabs>
        <w:spacing w:line="240" w:lineRule="auto" w:before="93" w:after="0"/>
        <w:ind w:left="552" w:right="0" w:hanging="335"/>
        <w:jc w:val="left"/>
      </w:pPr>
      <w:bookmarkStart w:name="5.3A.5 Enquiry" w:id="469"/>
      <w:bookmarkEnd w:id="469"/>
      <w:r>
        <w:rPr>
          <w:b w:val="0"/>
        </w:rPr>
      </w:r>
      <w:bookmarkStart w:name="_bookmark195" w:id="470"/>
      <w:bookmarkEnd w:id="470"/>
      <w:r>
        <w:rPr>
          <w:b w:val="0"/>
        </w:rPr>
      </w:r>
      <w:bookmarkStart w:name="_bookmark195" w:id="471"/>
      <w:bookmarkEnd w:id="471"/>
      <w:r>
        <w:rPr/>
        <w:t>A.</w:t>
      </w:r>
      <w:r>
        <w:rPr/>
        <w:t>5</w:t>
        <w:tab/>
        <w:t>Enquiry</w:t>
      </w:r>
    </w:p>
    <w:p>
      <w:pPr>
        <w:pStyle w:val="ListParagraph"/>
        <w:numPr>
          <w:ilvl w:val="2"/>
          <w:numId w:val="184"/>
        </w:numPr>
        <w:tabs>
          <w:tab w:pos="1918" w:val="left" w:leader="none"/>
          <w:tab w:pos="1919" w:val="left" w:leader="none"/>
        </w:tabs>
        <w:spacing w:line="240" w:lineRule="auto" w:before="120" w:after="0"/>
        <w:ind w:left="1919" w:right="415" w:hanging="567"/>
        <w:jc w:val="left"/>
        <w:rPr>
          <w:sz w:val="24"/>
        </w:rPr>
      </w:pPr>
      <w:r>
        <w:rPr>
          <w:sz w:val="24"/>
        </w:rPr>
        <w:t>A </w:t>
      </w:r>
      <w:r>
        <w:rPr>
          <w:i/>
          <w:sz w:val="24"/>
        </w:rPr>
        <w:t>Connection Applicant </w:t>
      </w:r>
      <w:r>
        <w:rPr>
          <w:sz w:val="24"/>
        </w:rPr>
        <w:t>who wishes to make an </w:t>
      </w:r>
      <w:r>
        <w:rPr>
          <w:i/>
          <w:sz w:val="24"/>
        </w:rPr>
        <w:t>application to connect </w:t>
      </w:r>
      <w:r>
        <w:rPr>
          <w:sz w:val="24"/>
        </w:rPr>
        <w:t>must first make a </w:t>
      </w:r>
      <w:r>
        <w:rPr>
          <w:i/>
          <w:sz w:val="24"/>
        </w:rPr>
        <w:t>connection </w:t>
      </w:r>
      <w:r>
        <w:rPr>
          <w:sz w:val="24"/>
        </w:rPr>
        <w:t>enquiry with the </w:t>
      </w:r>
      <w:r>
        <w:rPr>
          <w:i/>
          <w:sz w:val="24"/>
        </w:rPr>
        <w:t>Local Network Service</w:t>
      </w:r>
      <w:r>
        <w:rPr>
          <w:i/>
          <w:spacing w:val="-8"/>
          <w:sz w:val="24"/>
        </w:rPr>
        <w:t> </w:t>
      </w:r>
      <w:r>
        <w:rPr>
          <w:i/>
          <w:sz w:val="24"/>
        </w:rPr>
        <w:t>Provider</w:t>
      </w:r>
      <w:r>
        <w:rPr>
          <w:sz w:val="24"/>
        </w:rPr>
        <w:t>.</w:t>
      </w:r>
    </w:p>
    <w:p>
      <w:pPr>
        <w:spacing w:after="0" w:line="240" w:lineRule="auto"/>
        <w:jc w:val="left"/>
        <w:rPr>
          <w:sz w:val="24"/>
        </w:rPr>
        <w:sectPr>
          <w:type w:val="continuous"/>
          <w:pgSz w:w="11910" w:h="16840"/>
          <w:pgMar w:top="1360" w:bottom="280" w:left="1200" w:right="1000"/>
        </w:sectPr>
      </w:pPr>
    </w:p>
    <w:p>
      <w:pPr>
        <w:pStyle w:val="ListParagraph"/>
        <w:numPr>
          <w:ilvl w:val="2"/>
          <w:numId w:val="184"/>
        </w:numPr>
        <w:tabs>
          <w:tab w:pos="1918" w:val="left" w:leader="none"/>
          <w:tab w:pos="1919" w:val="left" w:leader="none"/>
        </w:tabs>
        <w:spacing w:line="240" w:lineRule="auto" w:before="83" w:after="0"/>
        <w:ind w:left="1918" w:right="0" w:hanging="567"/>
        <w:jc w:val="left"/>
        <w:rPr>
          <w:sz w:val="24"/>
        </w:rPr>
      </w:pPr>
      <w:r>
        <w:rPr>
          <w:sz w:val="24"/>
        </w:rPr>
        <w:t>Subject</w:t>
      </w:r>
      <w:r>
        <w:rPr>
          <w:spacing w:val="13"/>
          <w:sz w:val="24"/>
        </w:rPr>
        <w:t> </w:t>
      </w:r>
      <w:r>
        <w:rPr>
          <w:sz w:val="24"/>
        </w:rPr>
        <w:t>to</w:t>
      </w:r>
      <w:r>
        <w:rPr>
          <w:spacing w:val="14"/>
          <w:sz w:val="24"/>
        </w:rPr>
        <w:t> </w:t>
      </w:r>
      <w:r>
        <w:rPr>
          <w:sz w:val="24"/>
        </w:rPr>
        <w:t>paragraph</w:t>
      </w:r>
      <w:r>
        <w:rPr>
          <w:spacing w:val="14"/>
          <w:sz w:val="24"/>
        </w:rPr>
        <w:t> </w:t>
      </w:r>
      <w:r>
        <w:rPr>
          <w:sz w:val="24"/>
        </w:rPr>
        <w:t>(c),</w:t>
      </w:r>
      <w:r>
        <w:rPr>
          <w:spacing w:val="14"/>
          <w:sz w:val="24"/>
        </w:rPr>
        <w:t> </w:t>
      </w:r>
      <w:r>
        <w:rPr>
          <w:sz w:val="24"/>
        </w:rPr>
        <w:t>an</w:t>
      </w:r>
      <w:r>
        <w:rPr>
          <w:spacing w:val="14"/>
          <w:sz w:val="24"/>
        </w:rPr>
        <w:t> </w:t>
      </w:r>
      <w:r>
        <w:rPr>
          <w:sz w:val="24"/>
        </w:rPr>
        <w:t>enquiry</w:t>
      </w:r>
      <w:r>
        <w:rPr>
          <w:spacing w:val="14"/>
          <w:sz w:val="24"/>
        </w:rPr>
        <w:t> </w:t>
      </w:r>
      <w:r>
        <w:rPr>
          <w:sz w:val="24"/>
        </w:rPr>
        <w:t>must</w:t>
      </w:r>
      <w:r>
        <w:rPr>
          <w:spacing w:val="13"/>
          <w:sz w:val="24"/>
        </w:rPr>
        <w:t> </w:t>
      </w:r>
      <w:r>
        <w:rPr>
          <w:sz w:val="24"/>
        </w:rPr>
        <w:t>be</w:t>
      </w:r>
      <w:r>
        <w:rPr>
          <w:spacing w:val="14"/>
          <w:sz w:val="24"/>
        </w:rPr>
        <w:t> </w:t>
      </w:r>
      <w:r>
        <w:rPr>
          <w:sz w:val="24"/>
        </w:rPr>
        <w:t>in</w:t>
      </w:r>
      <w:r>
        <w:rPr>
          <w:spacing w:val="14"/>
          <w:sz w:val="24"/>
        </w:rPr>
        <w:t> </w:t>
      </w:r>
      <w:r>
        <w:rPr>
          <w:sz w:val="24"/>
        </w:rPr>
        <w:t>the</w:t>
      </w:r>
      <w:r>
        <w:rPr>
          <w:spacing w:val="14"/>
          <w:sz w:val="24"/>
        </w:rPr>
        <w:t> </w:t>
      </w:r>
      <w:r>
        <w:rPr>
          <w:sz w:val="24"/>
        </w:rPr>
        <w:t>form</w:t>
      </w:r>
      <w:r>
        <w:rPr>
          <w:spacing w:val="14"/>
          <w:sz w:val="24"/>
        </w:rPr>
        <w:t> </w:t>
      </w:r>
      <w:r>
        <w:rPr>
          <w:sz w:val="24"/>
        </w:rPr>
        <w:t>determined</w:t>
      </w:r>
      <w:r>
        <w:rPr>
          <w:spacing w:val="14"/>
          <w:sz w:val="24"/>
        </w:rPr>
        <w:t> </w:t>
      </w:r>
      <w:r>
        <w:rPr>
          <w:sz w:val="24"/>
        </w:rPr>
        <w:t>by</w:t>
      </w:r>
      <w:r>
        <w:rPr>
          <w:spacing w:val="13"/>
          <w:sz w:val="24"/>
        </w:rPr>
        <w:t> </w:t>
      </w:r>
      <w:r>
        <w:rPr>
          <w:sz w:val="24"/>
        </w:rPr>
        <w:t>the</w:t>
      </w:r>
    </w:p>
    <w:p>
      <w:pPr>
        <w:spacing w:before="0"/>
        <w:ind w:left="1919" w:right="0" w:firstLine="0"/>
        <w:jc w:val="left"/>
        <w:rPr>
          <w:sz w:val="24"/>
        </w:rPr>
      </w:pPr>
      <w:r>
        <w:rPr>
          <w:i/>
          <w:sz w:val="24"/>
        </w:rPr>
        <w:t>Local Network Service Provider</w:t>
      </w:r>
      <w:r>
        <w:rPr>
          <w:sz w:val="24"/>
        </w:rPr>
        <w:t>.</w:t>
      </w:r>
    </w:p>
    <w:p>
      <w:pPr>
        <w:pStyle w:val="ListParagraph"/>
        <w:numPr>
          <w:ilvl w:val="2"/>
          <w:numId w:val="184"/>
        </w:numPr>
        <w:tabs>
          <w:tab w:pos="1918" w:val="left" w:leader="none"/>
          <w:tab w:pos="1919" w:val="left" w:leader="none"/>
        </w:tabs>
        <w:spacing w:line="240" w:lineRule="auto" w:before="120" w:after="0"/>
        <w:ind w:left="1918" w:right="0" w:hanging="567"/>
        <w:jc w:val="left"/>
        <w:rPr>
          <w:i/>
          <w:sz w:val="24"/>
        </w:rPr>
      </w:pPr>
      <w:r>
        <w:rPr>
          <w:sz w:val="24"/>
        </w:rPr>
        <w:t>An enquiry form under paragraph (b) must require the </w:t>
      </w:r>
      <w:r>
        <w:rPr>
          <w:i/>
          <w:sz w:val="24"/>
        </w:rPr>
        <w:t>Connection</w:t>
      </w:r>
      <w:r>
        <w:rPr>
          <w:i/>
          <w:spacing w:val="7"/>
          <w:sz w:val="24"/>
        </w:rPr>
        <w:t> </w:t>
      </w:r>
      <w:r>
        <w:rPr>
          <w:i/>
          <w:sz w:val="24"/>
        </w:rPr>
        <w:t>Applicant</w:t>
      </w:r>
    </w:p>
    <w:p>
      <w:pPr>
        <w:pStyle w:val="BodyText"/>
        <w:spacing w:before="0"/>
        <w:ind w:left="1919" w:firstLine="0"/>
        <w:jc w:val="left"/>
      </w:pPr>
      <w:r>
        <w:rPr/>
        <w:t>to provide:</w:t>
      </w:r>
    </w:p>
    <w:p>
      <w:pPr>
        <w:pStyle w:val="ListParagraph"/>
        <w:numPr>
          <w:ilvl w:val="3"/>
          <w:numId w:val="184"/>
        </w:numPr>
        <w:tabs>
          <w:tab w:pos="2485" w:val="left" w:leader="none"/>
          <w:tab w:pos="2486" w:val="left" w:leader="none"/>
        </w:tabs>
        <w:spacing w:line="240" w:lineRule="auto" w:before="120" w:after="0"/>
        <w:ind w:left="2486" w:right="415" w:hanging="567"/>
        <w:jc w:val="left"/>
        <w:rPr>
          <w:sz w:val="24"/>
        </w:rPr>
      </w:pPr>
      <w:r>
        <w:rPr>
          <w:sz w:val="24"/>
        </w:rPr>
        <w:t>a qualitative description of the objectives of the project proposal the subject of the </w:t>
      </w:r>
      <w:r>
        <w:rPr>
          <w:i/>
          <w:sz w:val="24"/>
        </w:rPr>
        <w:t>application to</w:t>
      </w:r>
      <w:r>
        <w:rPr>
          <w:i/>
          <w:spacing w:val="-2"/>
          <w:sz w:val="24"/>
        </w:rPr>
        <w:t> </w:t>
      </w:r>
      <w:r>
        <w:rPr>
          <w:i/>
          <w:sz w:val="24"/>
        </w:rPr>
        <w:t>connect</w:t>
      </w:r>
      <w:r>
        <w:rPr>
          <w:sz w:val="24"/>
        </w:rPr>
        <w:t>;</w:t>
      </w:r>
    </w:p>
    <w:p>
      <w:pPr>
        <w:pStyle w:val="ListParagraph"/>
        <w:numPr>
          <w:ilvl w:val="3"/>
          <w:numId w:val="184"/>
        </w:numPr>
        <w:tabs>
          <w:tab w:pos="2485" w:val="left" w:leader="none"/>
          <w:tab w:pos="2486" w:val="left" w:leader="none"/>
        </w:tabs>
        <w:spacing w:line="240" w:lineRule="auto" w:before="120" w:after="0"/>
        <w:ind w:left="2485" w:right="0" w:hanging="567"/>
        <w:jc w:val="left"/>
        <w:rPr>
          <w:sz w:val="24"/>
        </w:rPr>
      </w:pPr>
      <w:r>
        <w:rPr>
          <w:sz w:val="24"/>
        </w:rPr>
        <w:t>the information specified in Schedule 5.4;</w:t>
      </w:r>
      <w:r>
        <w:rPr>
          <w:spacing w:val="-3"/>
          <w:sz w:val="24"/>
        </w:rPr>
        <w:t> </w:t>
      </w:r>
      <w:r>
        <w:rPr>
          <w:sz w:val="24"/>
        </w:rPr>
        <w:t>and</w:t>
      </w:r>
    </w:p>
    <w:p>
      <w:pPr>
        <w:pStyle w:val="ListParagraph"/>
        <w:numPr>
          <w:ilvl w:val="3"/>
          <w:numId w:val="184"/>
        </w:numPr>
        <w:tabs>
          <w:tab w:pos="2486" w:val="left" w:leader="none"/>
        </w:tabs>
        <w:spacing w:line="240" w:lineRule="auto" w:before="120" w:after="0"/>
        <w:ind w:left="2486" w:right="415" w:hanging="567"/>
        <w:jc w:val="both"/>
        <w:rPr>
          <w:sz w:val="24"/>
        </w:rPr>
      </w:pPr>
      <w:r>
        <w:rPr>
          <w:sz w:val="24"/>
        </w:rPr>
        <w:t>a list of the information required from the </w:t>
      </w:r>
      <w:r>
        <w:rPr>
          <w:i/>
          <w:sz w:val="24"/>
        </w:rPr>
        <w:t>Local Network Service </w:t>
      </w:r>
      <w:r>
        <w:rPr>
          <w:i/>
          <w:sz w:val="24"/>
        </w:rPr>
        <w:t>Provider </w:t>
      </w:r>
      <w:r>
        <w:rPr>
          <w:sz w:val="24"/>
        </w:rPr>
        <w:t>in relation to its </w:t>
      </w:r>
      <w:r>
        <w:rPr>
          <w:i/>
          <w:sz w:val="24"/>
        </w:rPr>
        <w:t>application to connect </w:t>
      </w:r>
      <w:r>
        <w:rPr>
          <w:sz w:val="24"/>
        </w:rPr>
        <w:t>and supporting reasons for its requests.</w:t>
      </w:r>
    </w:p>
    <w:p>
      <w:pPr>
        <w:pStyle w:val="ListParagraph"/>
        <w:numPr>
          <w:ilvl w:val="2"/>
          <w:numId w:val="184"/>
        </w:numPr>
        <w:tabs>
          <w:tab w:pos="1919" w:val="left" w:leader="none"/>
        </w:tabs>
        <w:spacing w:line="240" w:lineRule="auto" w:before="120" w:after="0"/>
        <w:ind w:left="1919" w:right="415" w:hanging="567"/>
        <w:jc w:val="both"/>
        <w:rPr>
          <w:sz w:val="24"/>
        </w:rPr>
      </w:pPr>
      <w:r>
        <w:rPr>
          <w:sz w:val="24"/>
        </w:rPr>
        <w:t>A </w:t>
      </w:r>
      <w:r>
        <w:rPr>
          <w:i/>
          <w:sz w:val="24"/>
        </w:rPr>
        <w:t>Local Network Service Provider </w:t>
      </w:r>
      <w:r>
        <w:rPr>
          <w:sz w:val="24"/>
        </w:rPr>
        <w:t>must, within 5 </w:t>
      </w:r>
      <w:r>
        <w:rPr>
          <w:i/>
          <w:sz w:val="24"/>
        </w:rPr>
        <w:t>business days </w:t>
      </w:r>
      <w:r>
        <w:rPr>
          <w:sz w:val="24"/>
        </w:rPr>
        <w:t>after receiving an enquiry, provide written acknowledgment of receipt of</w:t>
      </w:r>
      <w:r>
        <w:rPr>
          <w:spacing w:val="24"/>
          <w:sz w:val="24"/>
        </w:rPr>
        <w:t> </w:t>
      </w:r>
      <w:r>
        <w:rPr>
          <w:sz w:val="24"/>
        </w:rPr>
        <w:t>the </w:t>
      </w:r>
      <w:r>
        <w:rPr>
          <w:i/>
          <w:sz w:val="24"/>
        </w:rPr>
        <w:t>connection</w:t>
      </w:r>
      <w:r>
        <w:rPr>
          <w:i/>
          <w:spacing w:val="-1"/>
          <w:sz w:val="24"/>
        </w:rPr>
        <w:t> </w:t>
      </w:r>
      <w:r>
        <w:rPr>
          <w:sz w:val="24"/>
        </w:rPr>
        <w:t>enquiry.</w:t>
      </w:r>
    </w:p>
    <w:p>
      <w:pPr>
        <w:pStyle w:val="ListParagraph"/>
        <w:numPr>
          <w:ilvl w:val="2"/>
          <w:numId w:val="184"/>
        </w:numPr>
        <w:tabs>
          <w:tab w:pos="1919" w:val="left" w:leader="none"/>
        </w:tabs>
        <w:spacing w:line="240" w:lineRule="auto" w:before="120" w:after="0"/>
        <w:ind w:left="1919" w:right="415" w:hanging="567"/>
        <w:jc w:val="both"/>
        <w:rPr>
          <w:sz w:val="24"/>
        </w:rPr>
      </w:pPr>
      <w:r>
        <w:rPr>
          <w:sz w:val="24"/>
        </w:rPr>
        <w:t>If the </w:t>
      </w:r>
      <w:r>
        <w:rPr>
          <w:i/>
          <w:sz w:val="24"/>
        </w:rPr>
        <w:t>Local Network Service Provider </w:t>
      </w:r>
      <w:r>
        <w:rPr>
          <w:sz w:val="24"/>
        </w:rPr>
        <w:t>considers that the </w:t>
      </w:r>
      <w:r>
        <w:rPr>
          <w:i/>
          <w:sz w:val="24"/>
        </w:rPr>
        <w:t>connection </w:t>
      </w:r>
      <w:r>
        <w:rPr>
          <w:sz w:val="24"/>
        </w:rPr>
        <w:t>enquiry should be jointly examined by more than one </w:t>
      </w:r>
      <w:r>
        <w:rPr>
          <w:i/>
          <w:sz w:val="24"/>
        </w:rPr>
        <w:t>Distribution Network Service </w:t>
      </w:r>
      <w:r>
        <w:rPr>
          <w:i/>
          <w:sz w:val="24"/>
        </w:rPr>
        <w:t>Provider</w:t>
      </w:r>
      <w:r>
        <w:rPr>
          <w:sz w:val="24"/>
        </w:rPr>
        <w:t>, then, with the agreement of the </w:t>
      </w:r>
      <w:r>
        <w:rPr>
          <w:i/>
          <w:sz w:val="24"/>
        </w:rPr>
        <w:t>Connection Applicant</w:t>
      </w:r>
      <w:r>
        <w:rPr>
          <w:sz w:val="24"/>
        </w:rPr>
        <w:t>, one of those </w:t>
      </w:r>
      <w:r>
        <w:rPr>
          <w:i/>
          <w:sz w:val="24"/>
        </w:rPr>
        <w:t>Distribution Network Service Providers </w:t>
      </w:r>
      <w:r>
        <w:rPr>
          <w:sz w:val="24"/>
        </w:rPr>
        <w:t>may be allocated the task of liaising with the </w:t>
      </w:r>
      <w:r>
        <w:rPr>
          <w:i/>
          <w:sz w:val="24"/>
        </w:rPr>
        <w:t>Connection Applicant </w:t>
      </w:r>
      <w:r>
        <w:rPr>
          <w:sz w:val="24"/>
        </w:rPr>
        <w:t>and the other </w:t>
      </w:r>
      <w:r>
        <w:rPr>
          <w:i/>
          <w:sz w:val="24"/>
        </w:rPr>
        <w:t>Distribution Network </w:t>
      </w:r>
      <w:r>
        <w:rPr>
          <w:i/>
          <w:sz w:val="24"/>
        </w:rPr>
        <w:t>Service Providers </w:t>
      </w:r>
      <w:r>
        <w:rPr>
          <w:sz w:val="24"/>
        </w:rPr>
        <w:t>to process and respond to the</w:t>
      </w:r>
      <w:r>
        <w:rPr>
          <w:spacing w:val="-2"/>
          <w:sz w:val="24"/>
        </w:rPr>
        <w:t> </w:t>
      </w:r>
      <w:r>
        <w:rPr>
          <w:sz w:val="24"/>
        </w:rPr>
        <w:t>enquiry.</w:t>
      </w:r>
    </w:p>
    <w:p>
      <w:pPr>
        <w:pStyle w:val="ListParagraph"/>
        <w:numPr>
          <w:ilvl w:val="2"/>
          <w:numId w:val="184"/>
        </w:numPr>
        <w:tabs>
          <w:tab w:pos="1920" w:val="left" w:leader="none"/>
        </w:tabs>
        <w:spacing w:line="240" w:lineRule="auto" w:before="120" w:after="0"/>
        <w:ind w:left="1919" w:right="414" w:hanging="567"/>
        <w:jc w:val="both"/>
        <w:rPr>
          <w:sz w:val="24"/>
        </w:rPr>
      </w:pPr>
      <w:r>
        <w:rPr>
          <w:sz w:val="24"/>
        </w:rPr>
        <w:t>If the enquiry is incomplete in a material respect, or the </w:t>
      </w:r>
      <w:r>
        <w:rPr>
          <w:i/>
          <w:sz w:val="24"/>
        </w:rPr>
        <w:t>Connection </w:t>
      </w:r>
      <w:r>
        <w:rPr>
          <w:i/>
          <w:sz w:val="24"/>
        </w:rPr>
        <w:t>Applicant </w:t>
      </w:r>
      <w:r>
        <w:rPr>
          <w:sz w:val="24"/>
        </w:rPr>
        <w:t>has lodged an enquiry other than in accordance with the form determined by a </w:t>
      </w:r>
      <w:r>
        <w:rPr>
          <w:i/>
          <w:sz w:val="24"/>
        </w:rPr>
        <w:t>Local Network Service Provider</w:t>
      </w:r>
      <w:r>
        <w:rPr>
          <w:sz w:val="24"/>
        </w:rPr>
        <w:t>, that </w:t>
      </w:r>
      <w:r>
        <w:rPr>
          <w:i/>
          <w:sz w:val="24"/>
        </w:rPr>
        <w:t>Local Network </w:t>
      </w:r>
      <w:r>
        <w:rPr>
          <w:i/>
          <w:sz w:val="24"/>
        </w:rPr>
        <w:t>Service Provider </w:t>
      </w:r>
      <w:r>
        <w:rPr>
          <w:sz w:val="24"/>
        </w:rPr>
        <w:t>must, within 5 </w:t>
      </w:r>
      <w:r>
        <w:rPr>
          <w:i/>
          <w:sz w:val="24"/>
        </w:rPr>
        <w:t>business days </w:t>
      </w:r>
      <w:r>
        <w:rPr>
          <w:sz w:val="24"/>
        </w:rPr>
        <w:t>after receipt of the enquiry, advise the </w:t>
      </w:r>
      <w:r>
        <w:rPr>
          <w:i/>
          <w:sz w:val="24"/>
        </w:rPr>
        <w:t>Connection Applicant </w:t>
      </w:r>
      <w:r>
        <w:rPr>
          <w:sz w:val="24"/>
        </w:rPr>
        <w:t>of the deficiency, and may require the </w:t>
      </w:r>
      <w:r>
        <w:rPr>
          <w:i/>
          <w:sz w:val="24"/>
        </w:rPr>
        <w:t>Connection Applicant </w:t>
      </w:r>
      <w:r>
        <w:rPr>
          <w:sz w:val="24"/>
        </w:rPr>
        <w:t>to provide the necessary</w:t>
      </w:r>
      <w:r>
        <w:rPr>
          <w:spacing w:val="-1"/>
          <w:sz w:val="24"/>
        </w:rPr>
        <w:t> </w:t>
      </w:r>
      <w:r>
        <w:rPr>
          <w:sz w:val="24"/>
        </w:rPr>
        <w:t>information.</w:t>
      </w:r>
    </w:p>
    <w:p>
      <w:pPr>
        <w:pStyle w:val="ListParagraph"/>
        <w:numPr>
          <w:ilvl w:val="2"/>
          <w:numId w:val="184"/>
        </w:numPr>
        <w:tabs>
          <w:tab w:pos="1919" w:val="left" w:leader="none"/>
        </w:tabs>
        <w:spacing w:line="240" w:lineRule="auto" w:before="120" w:after="0"/>
        <w:ind w:left="1919" w:right="414" w:hanging="567"/>
        <w:jc w:val="both"/>
        <w:rPr>
          <w:sz w:val="24"/>
        </w:rPr>
      </w:pPr>
      <w:r>
        <w:rPr>
          <w:sz w:val="24"/>
        </w:rPr>
        <w:t>A </w:t>
      </w:r>
      <w:r>
        <w:rPr>
          <w:i/>
          <w:sz w:val="24"/>
        </w:rPr>
        <w:t>Connection Applicant </w:t>
      </w:r>
      <w:r>
        <w:rPr>
          <w:sz w:val="24"/>
        </w:rPr>
        <w:t>may request in a </w:t>
      </w:r>
      <w:r>
        <w:rPr>
          <w:i/>
          <w:sz w:val="24"/>
        </w:rPr>
        <w:t>connection </w:t>
      </w:r>
      <w:r>
        <w:rPr>
          <w:sz w:val="24"/>
        </w:rPr>
        <w:t>enquiry made under paragraph (a), that the </w:t>
      </w:r>
      <w:r>
        <w:rPr>
          <w:i/>
          <w:sz w:val="24"/>
        </w:rPr>
        <w:t>Local Network Service Provider </w:t>
      </w:r>
      <w:r>
        <w:rPr>
          <w:sz w:val="24"/>
        </w:rPr>
        <w:t>provide only a detailed response under clause 5.3A.8(c) to its enquiry. The </w:t>
      </w:r>
      <w:r>
        <w:rPr>
          <w:i/>
          <w:sz w:val="24"/>
        </w:rPr>
        <w:t>Local Network </w:t>
      </w:r>
      <w:r>
        <w:rPr>
          <w:i/>
          <w:sz w:val="24"/>
        </w:rPr>
        <w:t>Service Provider </w:t>
      </w:r>
      <w:r>
        <w:rPr>
          <w:sz w:val="24"/>
        </w:rPr>
        <w:t>must, within 5 </w:t>
      </w:r>
      <w:r>
        <w:rPr>
          <w:i/>
          <w:sz w:val="24"/>
        </w:rPr>
        <w:t>business days </w:t>
      </w:r>
      <w:r>
        <w:rPr>
          <w:sz w:val="24"/>
        </w:rPr>
        <w:t>after receipt of the enquiry and all such additional information (if any) requested under paragraph (f), advise the </w:t>
      </w:r>
      <w:r>
        <w:rPr>
          <w:i/>
          <w:sz w:val="24"/>
        </w:rPr>
        <w:t>Connection Applicant </w:t>
      </w:r>
      <w:r>
        <w:rPr>
          <w:sz w:val="24"/>
        </w:rPr>
        <w:t>if it agrees to the</w:t>
      </w:r>
      <w:r>
        <w:rPr>
          <w:spacing w:val="-1"/>
          <w:sz w:val="24"/>
        </w:rPr>
        <w:t> </w:t>
      </w:r>
      <w:r>
        <w:rPr>
          <w:sz w:val="24"/>
        </w:rPr>
        <w:t>request.</w:t>
      </w:r>
    </w:p>
    <w:p>
      <w:pPr>
        <w:pStyle w:val="BodyText"/>
        <w:spacing w:before="10"/>
        <w:ind w:firstLine="0"/>
        <w:jc w:val="left"/>
        <w:rPr>
          <w:sz w:val="20"/>
        </w:rPr>
      </w:pPr>
    </w:p>
    <w:p>
      <w:pPr>
        <w:pStyle w:val="Heading4"/>
        <w:numPr>
          <w:ilvl w:val="1"/>
          <w:numId w:val="185"/>
        </w:numPr>
        <w:tabs>
          <w:tab w:pos="553" w:val="left" w:leader="none"/>
          <w:tab w:pos="1351" w:val="left" w:leader="none"/>
        </w:tabs>
        <w:spacing w:line="240" w:lineRule="auto" w:before="0" w:after="0"/>
        <w:ind w:left="552" w:right="0" w:hanging="335"/>
        <w:jc w:val="left"/>
      </w:pPr>
      <w:bookmarkStart w:name="5.3A.6 Response to Enquiry" w:id="472"/>
      <w:bookmarkEnd w:id="472"/>
      <w:r>
        <w:rPr>
          <w:b w:val="0"/>
        </w:rPr>
      </w:r>
      <w:bookmarkStart w:name="_bookmark196" w:id="473"/>
      <w:bookmarkEnd w:id="473"/>
      <w:r>
        <w:rPr>
          <w:b w:val="0"/>
        </w:rPr>
      </w:r>
      <w:bookmarkStart w:name="_bookmark196" w:id="474"/>
      <w:bookmarkEnd w:id="474"/>
      <w:r>
        <w:rPr/>
        <w:t>A.</w:t>
      </w:r>
      <w:r>
        <w:rPr/>
        <w:t>6</w:t>
        <w:tab/>
        <w:t>Response to</w:t>
      </w:r>
      <w:r>
        <w:rPr>
          <w:spacing w:val="-2"/>
        </w:rPr>
        <w:t> </w:t>
      </w:r>
      <w:r>
        <w:rPr/>
        <w:t>Enquiry</w:t>
      </w:r>
    </w:p>
    <w:p>
      <w:pPr>
        <w:pStyle w:val="ListParagraph"/>
        <w:numPr>
          <w:ilvl w:val="2"/>
          <w:numId w:val="185"/>
        </w:numPr>
        <w:tabs>
          <w:tab w:pos="1919" w:val="left" w:leader="none"/>
        </w:tabs>
        <w:spacing w:line="240" w:lineRule="auto" w:before="120" w:after="0"/>
        <w:ind w:left="1919" w:right="416" w:hanging="567"/>
        <w:jc w:val="both"/>
        <w:rPr>
          <w:sz w:val="24"/>
        </w:rPr>
      </w:pPr>
      <w:r>
        <w:rPr>
          <w:sz w:val="24"/>
        </w:rPr>
        <w:t>In response to a </w:t>
      </w:r>
      <w:r>
        <w:rPr>
          <w:i/>
          <w:sz w:val="24"/>
        </w:rPr>
        <w:t>connection </w:t>
      </w:r>
      <w:r>
        <w:rPr>
          <w:sz w:val="24"/>
        </w:rPr>
        <w:t>enquiry, the </w:t>
      </w:r>
      <w:r>
        <w:rPr>
          <w:i/>
          <w:sz w:val="24"/>
        </w:rPr>
        <w:t>Distribution Network Service </w:t>
      </w:r>
      <w:r>
        <w:rPr>
          <w:i/>
          <w:sz w:val="24"/>
        </w:rPr>
        <w:t>Provider </w:t>
      </w:r>
      <w:r>
        <w:rPr>
          <w:sz w:val="24"/>
        </w:rPr>
        <w:t>must</w:t>
      </w:r>
      <w:r>
        <w:rPr>
          <w:spacing w:val="-1"/>
          <w:sz w:val="24"/>
        </w:rPr>
        <w:t> </w:t>
      </w:r>
      <w:r>
        <w:rPr>
          <w:sz w:val="24"/>
        </w:rPr>
        <w:t>provide:</w:t>
      </w:r>
    </w:p>
    <w:p>
      <w:pPr>
        <w:pStyle w:val="ListParagraph"/>
        <w:numPr>
          <w:ilvl w:val="3"/>
          <w:numId w:val="185"/>
        </w:numPr>
        <w:tabs>
          <w:tab w:pos="2486" w:val="left" w:leader="none"/>
        </w:tabs>
        <w:spacing w:line="240" w:lineRule="auto" w:before="120" w:after="0"/>
        <w:ind w:left="2486" w:right="415" w:hanging="567"/>
        <w:jc w:val="both"/>
        <w:rPr>
          <w:sz w:val="24"/>
        </w:rPr>
      </w:pPr>
      <w:r>
        <w:rPr>
          <w:sz w:val="24"/>
        </w:rPr>
        <w:t>subject to clause 5.3A.5(g) or receiving any further information requested under clause 5.3A.5(f), a preliminary response;</w:t>
      </w:r>
      <w:r>
        <w:rPr>
          <w:spacing w:val="-1"/>
          <w:sz w:val="24"/>
        </w:rPr>
        <w:t> </w:t>
      </w:r>
      <w:r>
        <w:rPr>
          <w:sz w:val="24"/>
        </w:rPr>
        <w:t>and</w:t>
      </w:r>
    </w:p>
    <w:p>
      <w:pPr>
        <w:pStyle w:val="ListParagraph"/>
        <w:numPr>
          <w:ilvl w:val="3"/>
          <w:numId w:val="185"/>
        </w:numPr>
        <w:tabs>
          <w:tab w:pos="2486" w:val="left" w:leader="none"/>
        </w:tabs>
        <w:spacing w:line="240" w:lineRule="auto" w:before="120" w:after="0"/>
        <w:ind w:left="2486" w:right="415" w:hanging="567"/>
        <w:jc w:val="both"/>
        <w:rPr>
          <w:sz w:val="24"/>
        </w:rPr>
      </w:pPr>
      <w:r>
        <w:rPr>
          <w:sz w:val="24"/>
        </w:rPr>
        <w:t>subject to receiving the enquiry fee and the further information requested under clause 5.3A.8(b), if relevant, a detailed</w:t>
      </w:r>
      <w:r>
        <w:rPr>
          <w:spacing w:val="-2"/>
          <w:sz w:val="24"/>
        </w:rPr>
        <w:t> </w:t>
      </w:r>
      <w:r>
        <w:rPr>
          <w:sz w:val="24"/>
        </w:rPr>
        <w:t>response.</w:t>
      </w:r>
    </w:p>
    <w:p>
      <w:pPr>
        <w:pStyle w:val="ListParagraph"/>
        <w:numPr>
          <w:ilvl w:val="2"/>
          <w:numId w:val="185"/>
        </w:numPr>
        <w:tabs>
          <w:tab w:pos="1919" w:val="left" w:leader="none"/>
        </w:tabs>
        <w:spacing w:line="240" w:lineRule="auto" w:before="120" w:after="0"/>
        <w:ind w:left="1919" w:right="414" w:hanging="567"/>
        <w:jc w:val="both"/>
        <w:rPr>
          <w:i/>
          <w:sz w:val="24"/>
        </w:rPr>
      </w:pPr>
      <w:r>
        <w:rPr>
          <w:sz w:val="24"/>
        </w:rPr>
        <w:t>In preparing either the detailed response or preliminary response, the </w:t>
      </w:r>
      <w:r>
        <w:rPr>
          <w:i/>
          <w:sz w:val="24"/>
        </w:rPr>
        <w:t>Distribution Network Service Provider </w:t>
      </w:r>
      <w:r>
        <w:rPr>
          <w:sz w:val="24"/>
        </w:rPr>
        <w:t>must liaise with other </w:t>
      </w:r>
      <w:r>
        <w:rPr>
          <w:i/>
          <w:sz w:val="24"/>
        </w:rPr>
        <w:t>Network </w:t>
      </w:r>
      <w:r>
        <w:rPr>
          <w:i/>
          <w:sz w:val="24"/>
        </w:rPr>
        <w:t>Service Providers </w:t>
      </w:r>
      <w:r>
        <w:rPr>
          <w:sz w:val="24"/>
        </w:rPr>
        <w:t>with whom it has </w:t>
      </w:r>
      <w:r>
        <w:rPr>
          <w:i/>
          <w:sz w:val="24"/>
        </w:rPr>
        <w:t>connection agreements</w:t>
      </w:r>
      <w:r>
        <w:rPr>
          <w:sz w:val="24"/>
        </w:rPr>
        <w:t>, if the </w:t>
      </w:r>
      <w:r>
        <w:rPr>
          <w:i/>
          <w:sz w:val="24"/>
        </w:rPr>
        <w:t>Distribution Network Service Provider </w:t>
      </w:r>
      <w:r>
        <w:rPr>
          <w:sz w:val="24"/>
        </w:rPr>
        <w:t>believes, in its reasonable opinion, that compliance with the terms and conditions of those </w:t>
      </w:r>
      <w:r>
        <w:rPr>
          <w:i/>
          <w:sz w:val="24"/>
        </w:rPr>
        <w:t>connection </w:t>
      </w:r>
      <w:r>
        <w:rPr>
          <w:i/>
          <w:sz w:val="24"/>
        </w:rPr>
        <w:t>agreements </w:t>
      </w:r>
      <w:r>
        <w:rPr>
          <w:sz w:val="24"/>
        </w:rPr>
        <w:t>will be affected. The </w:t>
      </w:r>
      <w:r>
        <w:rPr>
          <w:i/>
          <w:sz w:val="24"/>
        </w:rPr>
        <w:t>Distribution Network Service</w:t>
      </w:r>
      <w:r>
        <w:rPr>
          <w:i/>
          <w:spacing w:val="-4"/>
          <w:sz w:val="24"/>
        </w:rPr>
        <w:t> </w:t>
      </w:r>
      <w:r>
        <w:rPr>
          <w:i/>
          <w:sz w:val="24"/>
        </w:rPr>
        <w:t>Provider</w:t>
      </w:r>
    </w:p>
    <w:p>
      <w:pPr>
        <w:spacing w:after="0" w:line="240" w:lineRule="auto"/>
        <w:jc w:val="both"/>
        <w:rPr>
          <w:sz w:val="24"/>
        </w:rPr>
        <w:sectPr>
          <w:pgSz w:w="11910" w:h="16840"/>
          <w:pgMar w:header="686" w:footer="637" w:top="1320" w:bottom="820" w:left="1200" w:right="1000"/>
        </w:sectPr>
      </w:pPr>
    </w:p>
    <w:p>
      <w:pPr>
        <w:spacing w:before="83"/>
        <w:ind w:left="1919" w:right="414" w:firstLine="0"/>
        <w:jc w:val="both"/>
        <w:rPr>
          <w:sz w:val="24"/>
        </w:rPr>
      </w:pPr>
      <w:r>
        <w:rPr>
          <w:sz w:val="24"/>
        </w:rPr>
        <w:t>responding to the </w:t>
      </w:r>
      <w:r>
        <w:rPr>
          <w:i/>
          <w:sz w:val="24"/>
        </w:rPr>
        <w:t>connection </w:t>
      </w:r>
      <w:r>
        <w:rPr>
          <w:sz w:val="24"/>
        </w:rPr>
        <w:t>enquiry may include in its preliminary response or detailed response, the reasonable requirements of any such other </w:t>
      </w:r>
      <w:r>
        <w:rPr>
          <w:i/>
          <w:sz w:val="24"/>
        </w:rPr>
        <w:t>Network Service Providers </w:t>
      </w:r>
      <w:r>
        <w:rPr>
          <w:sz w:val="24"/>
        </w:rPr>
        <w:t>for information to be provided by the </w:t>
      </w:r>
      <w:r>
        <w:rPr>
          <w:i/>
          <w:sz w:val="24"/>
        </w:rPr>
        <w:t>Connection</w:t>
      </w:r>
      <w:r>
        <w:rPr>
          <w:i/>
          <w:spacing w:val="-1"/>
          <w:sz w:val="24"/>
        </w:rPr>
        <w:t> </w:t>
      </w:r>
      <w:r>
        <w:rPr>
          <w:i/>
          <w:sz w:val="24"/>
        </w:rPr>
        <w:t>Applicant</w:t>
      </w:r>
      <w:r>
        <w:rPr>
          <w:sz w:val="24"/>
        </w:rPr>
        <w:t>.</w:t>
      </w:r>
    </w:p>
    <w:p>
      <w:pPr>
        <w:pStyle w:val="BodyText"/>
        <w:spacing w:before="10"/>
        <w:ind w:firstLine="0"/>
        <w:jc w:val="left"/>
        <w:rPr>
          <w:sz w:val="20"/>
        </w:rPr>
      </w:pPr>
    </w:p>
    <w:p>
      <w:pPr>
        <w:pStyle w:val="Heading4"/>
        <w:numPr>
          <w:ilvl w:val="1"/>
          <w:numId w:val="186"/>
        </w:numPr>
        <w:tabs>
          <w:tab w:pos="553" w:val="left" w:leader="none"/>
          <w:tab w:pos="1351" w:val="left" w:leader="none"/>
        </w:tabs>
        <w:spacing w:line="240" w:lineRule="auto" w:before="0" w:after="0"/>
        <w:ind w:left="552" w:right="0" w:hanging="335"/>
        <w:jc w:val="left"/>
      </w:pPr>
      <w:bookmarkStart w:name="5.3A.7 Preliminary Response to Enquiry" w:id="475"/>
      <w:bookmarkEnd w:id="475"/>
      <w:r>
        <w:rPr>
          <w:b w:val="0"/>
        </w:rPr>
      </w:r>
      <w:bookmarkStart w:name="_bookmark197" w:id="476"/>
      <w:bookmarkEnd w:id="476"/>
      <w:r>
        <w:rPr>
          <w:b w:val="0"/>
        </w:rPr>
      </w:r>
      <w:bookmarkStart w:name="_bookmark197" w:id="477"/>
      <w:bookmarkEnd w:id="477"/>
      <w:r>
        <w:rPr/>
        <w:t>A.</w:t>
      </w:r>
      <w:r>
        <w:rPr/>
        <w:t>7</w:t>
        <w:tab/>
        <w:t>Preliminary Response to</w:t>
      </w:r>
      <w:r>
        <w:rPr>
          <w:spacing w:val="-1"/>
        </w:rPr>
        <w:t> </w:t>
      </w:r>
      <w:r>
        <w:rPr/>
        <w:t>Enquiry</w:t>
      </w:r>
    </w:p>
    <w:p>
      <w:pPr>
        <w:pStyle w:val="ListParagraph"/>
        <w:numPr>
          <w:ilvl w:val="2"/>
          <w:numId w:val="186"/>
        </w:numPr>
        <w:tabs>
          <w:tab w:pos="1919" w:val="left" w:leader="none"/>
        </w:tabs>
        <w:spacing w:line="240" w:lineRule="auto" w:before="120" w:after="0"/>
        <w:ind w:left="1918" w:right="0" w:hanging="567"/>
        <w:jc w:val="both"/>
        <w:rPr>
          <w:sz w:val="24"/>
        </w:rPr>
      </w:pPr>
      <w:r>
        <w:rPr>
          <w:sz w:val="24"/>
        </w:rPr>
        <w:t>Unless agreed otherwise, a preliminary response</w:t>
      </w:r>
      <w:r>
        <w:rPr>
          <w:spacing w:val="-2"/>
          <w:sz w:val="24"/>
        </w:rPr>
        <w:t> </w:t>
      </w:r>
      <w:r>
        <w:rPr>
          <w:sz w:val="24"/>
        </w:rPr>
        <w:t>must:</w:t>
      </w:r>
    </w:p>
    <w:p>
      <w:pPr>
        <w:pStyle w:val="ListParagraph"/>
        <w:numPr>
          <w:ilvl w:val="3"/>
          <w:numId w:val="186"/>
        </w:numPr>
        <w:tabs>
          <w:tab w:pos="2486" w:val="left" w:leader="none"/>
        </w:tabs>
        <w:spacing w:line="240" w:lineRule="auto" w:before="120" w:after="0"/>
        <w:ind w:left="2486" w:right="415" w:hanging="567"/>
        <w:jc w:val="both"/>
        <w:rPr>
          <w:sz w:val="24"/>
        </w:rPr>
      </w:pPr>
      <w:r>
        <w:rPr>
          <w:sz w:val="24"/>
        </w:rPr>
        <w:t>be provided within 15 </w:t>
      </w:r>
      <w:r>
        <w:rPr>
          <w:i/>
          <w:sz w:val="24"/>
        </w:rPr>
        <w:t>business days </w:t>
      </w:r>
      <w:r>
        <w:rPr>
          <w:sz w:val="24"/>
        </w:rPr>
        <w:t>of receipt of a </w:t>
      </w:r>
      <w:r>
        <w:rPr>
          <w:i/>
          <w:sz w:val="24"/>
        </w:rPr>
        <w:t>connection </w:t>
      </w:r>
      <w:r>
        <w:rPr>
          <w:sz w:val="24"/>
        </w:rPr>
        <w:t>enquiry and all such additional information (if any) requested under clause 5.3A.5(f); and</w:t>
      </w:r>
    </w:p>
    <w:p>
      <w:pPr>
        <w:pStyle w:val="ListParagraph"/>
        <w:numPr>
          <w:ilvl w:val="3"/>
          <w:numId w:val="186"/>
        </w:numPr>
        <w:tabs>
          <w:tab w:pos="2486" w:val="left" w:leader="none"/>
        </w:tabs>
        <w:spacing w:line="240" w:lineRule="auto" w:before="120" w:after="0"/>
        <w:ind w:left="2485" w:right="0" w:hanging="567"/>
        <w:jc w:val="both"/>
        <w:rPr>
          <w:sz w:val="24"/>
        </w:rPr>
      </w:pPr>
      <w:r>
        <w:rPr>
          <w:sz w:val="24"/>
        </w:rPr>
        <w:t>include the information specified in Schedule</w:t>
      </w:r>
      <w:r>
        <w:rPr>
          <w:spacing w:val="-3"/>
          <w:sz w:val="24"/>
        </w:rPr>
        <w:t> </w:t>
      </w:r>
      <w:r>
        <w:rPr>
          <w:sz w:val="24"/>
        </w:rPr>
        <w:t>5.4A.</w:t>
      </w:r>
    </w:p>
    <w:p>
      <w:pPr>
        <w:pStyle w:val="ListParagraph"/>
        <w:numPr>
          <w:ilvl w:val="2"/>
          <w:numId w:val="186"/>
        </w:numPr>
        <w:tabs>
          <w:tab w:pos="1919" w:val="left" w:leader="none"/>
        </w:tabs>
        <w:spacing w:line="240" w:lineRule="auto" w:before="120" w:after="0"/>
        <w:ind w:left="1919" w:right="415" w:hanging="567"/>
        <w:jc w:val="both"/>
        <w:rPr>
          <w:sz w:val="24"/>
        </w:rPr>
      </w:pPr>
      <w:r>
        <w:rPr>
          <w:sz w:val="24"/>
        </w:rPr>
        <w:t>If the </w:t>
      </w:r>
      <w:r>
        <w:rPr>
          <w:i/>
          <w:sz w:val="24"/>
        </w:rPr>
        <w:t>Distribution Network Service Provider </w:t>
      </w:r>
      <w:r>
        <w:rPr>
          <w:sz w:val="24"/>
        </w:rPr>
        <w:t>has agreed under clause 5.3A.5(g) to not provide a preliminary response, it must advise the </w:t>
      </w:r>
      <w:r>
        <w:rPr>
          <w:i/>
          <w:sz w:val="24"/>
        </w:rPr>
        <w:t>Connection Applicant </w:t>
      </w:r>
      <w:r>
        <w:rPr>
          <w:sz w:val="24"/>
        </w:rPr>
        <w:t>of</w:t>
      </w:r>
      <w:r>
        <w:rPr>
          <w:spacing w:val="-1"/>
          <w:sz w:val="24"/>
        </w:rPr>
        <w:t> </w:t>
      </w:r>
      <w:r>
        <w:rPr>
          <w:sz w:val="24"/>
        </w:rPr>
        <w:t>the:</w:t>
      </w:r>
    </w:p>
    <w:p>
      <w:pPr>
        <w:pStyle w:val="ListParagraph"/>
        <w:numPr>
          <w:ilvl w:val="3"/>
          <w:numId w:val="186"/>
        </w:numPr>
        <w:tabs>
          <w:tab w:pos="2486" w:val="left" w:leader="none"/>
        </w:tabs>
        <w:spacing w:line="240" w:lineRule="auto" w:before="120" w:after="0"/>
        <w:ind w:left="2486" w:right="414" w:hanging="567"/>
        <w:jc w:val="both"/>
        <w:rPr>
          <w:sz w:val="24"/>
        </w:rPr>
      </w:pPr>
      <w:r>
        <w:rPr>
          <w:sz w:val="24"/>
        </w:rPr>
        <w:t>estimate of the enquiry fee payable by the </w:t>
      </w:r>
      <w:r>
        <w:rPr>
          <w:i/>
          <w:sz w:val="24"/>
        </w:rPr>
        <w:t>Connection Applicant </w:t>
      </w:r>
      <w:r>
        <w:rPr>
          <w:sz w:val="24"/>
        </w:rPr>
        <w:t>for the detailed response, including details of how components of the fee were calculated;</w:t>
      </w:r>
      <w:r>
        <w:rPr>
          <w:spacing w:val="-3"/>
          <w:sz w:val="24"/>
        </w:rPr>
        <w:t> </w:t>
      </w:r>
      <w:r>
        <w:rPr>
          <w:sz w:val="24"/>
        </w:rPr>
        <w:t>and</w:t>
      </w:r>
    </w:p>
    <w:p>
      <w:pPr>
        <w:pStyle w:val="ListParagraph"/>
        <w:numPr>
          <w:ilvl w:val="3"/>
          <w:numId w:val="186"/>
        </w:numPr>
        <w:tabs>
          <w:tab w:pos="2486" w:val="left" w:leader="none"/>
        </w:tabs>
        <w:spacing w:line="240" w:lineRule="auto" w:before="120" w:after="0"/>
        <w:ind w:left="2485" w:right="0" w:hanging="567"/>
        <w:jc w:val="both"/>
        <w:rPr>
          <w:sz w:val="24"/>
        </w:rPr>
      </w:pPr>
      <w:r>
        <w:rPr>
          <w:sz w:val="24"/>
        </w:rPr>
        <w:t>the component of the estimate of the enquiry fee payable by</w:t>
      </w:r>
      <w:r>
        <w:rPr>
          <w:spacing w:val="19"/>
          <w:sz w:val="24"/>
        </w:rPr>
        <w:t> </w:t>
      </w:r>
      <w:r>
        <w:rPr>
          <w:sz w:val="24"/>
        </w:rPr>
        <w:t>the</w:t>
      </w:r>
    </w:p>
    <w:p>
      <w:pPr>
        <w:spacing w:before="0"/>
        <w:ind w:left="2486" w:right="0" w:firstLine="0"/>
        <w:jc w:val="both"/>
        <w:rPr>
          <w:sz w:val="24"/>
        </w:rPr>
      </w:pPr>
      <w:r>
        <w:rPr>
          <w:i/>
          <w:sz w:val="24"/>
        </w:rPr>
        <w:t>Connection Applicant </w:t>
      </w:r>
      <w:r>
        <w:rPr>
          <w:sz w:val="24"/>
        </w:rPr>
        <w:t>to request the detailed response,</w:t>
      </w:r>
    </w:p>
    <w:p>
      <w:pPr>
        <w:pStyle w:val="BodyText"/>
        <w:ind w:left="1919" w:right="415" w:firstLine="0"/>
      </w:pPr>
      <w:r>
        <w:rPr/>
        <w:t>within 15 </w:t>
      </w:r>
      <w:r>
        <w:rPr>
          <w:i/>
        </w:rPr>
        <w:t>business days </w:t>
      </w:r>
      <w:r>
        <w:rPr/>
        <w:t>of receipt of a </w:t>
      </w:r>
      <w:r>
        <w:rPr>
          <w:i/>
        </w:rPr>
        <w:t>connection </w:t>
      </w:r>
      <w:r>
        <w:rPr/>
        <w:t>enquiry and all such additional information (if any) requested under clause 5.3A.5(f), unless agreed otherwise.</w:t>
      </w:r>
    </w:p>
    <w:p>
      <w:pPr>
        <w:pStyle w:val="ListParagraph"/>
        <w:numPr>
          <w:ilvl w:val="2"/>
          <w:numId w:val="186"/>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seek an extension of a time period specified in paragraphs (a) or (b) by giving notice, in writing to the </w:t>
      </w:r>
      <w:r>
        <w:rPr>
          <w:i/>
          <w:sz w:val="24"/>
        </w:rPr>
        <w:t>Connection Applicant</w:t>
      </w:r>
      <w:r>
        <w:rPr>
          <w:sz w:val="24"/>
        </w:rPr>
        <w:t>, specifying the reasons required for the extension. The </w:t>
      </w:r>
      <w:r>
        <w:rPr>
          <w:i/>
          <w:sz w:val="24"/>
        </w:rPr>
        <w:t>Connection Applicant </w:t>
      </w:r>
      <w:r>
        <w:rPr>
          <w:sz w:val="24"/>
        </w:rPr>
        <w:t>may not unreasonably withhold consent to that extension.</w:t>
      </w:r>
    </w:p>
    <w:p>
      <w:pPr>
        <w:pStyle w:val="ListParagraph"/>
        <w:numPr>
          <w:ilvl w:val="2"/>
          <w:numId w:val="186"/>
        </w:numPr>
        <w:tabs>
          <w:tab w:pos="1919" w:val="left" w:leader="none"/>
        </w:tabs>
        <w:spacing w:line="240" w:lineRule="auto" w:before="120" w:after="0"/>
        <w:ind w:left="1919" w:right="416" w:hanging="567"/>
        <w:jc w:val="both"/>
        <w:rPr>
          <w:sz w:val="24"/>
        </w:rPr>
      </w:pPr>
      <w:r>
        <w:rPr>
          <w:sz w:val="24"/>
        </w:rPr>
        <w:t>Nothing in paragraph (a) or Schedule 5.4A is to be read or construed as requiring the </w:t>
      </w:r>
      <w:r>
        <w:rPr>
          <w:i/>
          <w:sz w:val="24"/>
        </w:rPr>
        <w:t>Distribution Network Service Provider </w:t>
      </w:r>
      <w:r>
        <w:rPr>
          <w:sz w:val="24"/>
        </w:rPr>
        <w:t>to undertake detailed design or to perform detailed technical studies or analysis to prepare</w:t>
      </w:r>
      <w:r>
        <w:rPr>
          <w:spacing w:val="29"/>
          <w:sz w:val="24"/>
        </w:rPr>
        <w:t> </w:t>
      </w:r>
      <w:r>
        <w:rPr>
          <w:sz w:val="24"/>
        </w:rPr>
        <w:t>a preliminary</w:t>
      </w:r>
      <w:r>
        <w:rPr>
          <w:spacing w:val="-1"/>
          <w:sz w:val="24"/>
        </w:rPr>
        <w:t> </w:t>
      </w:r>
      <w:r>
        <w:rPr>
          <w:sz w:val="24"/>
        </w:rPr>
        <w:t>response.</w:t>
      </w:r>
    </w:p>
    <w:p>
      <w:pPr>
        <w:pStyle w:val="BodyText"/>
        <w:spacing w:before="10"/>
        <w:ind w:firstLine="0"/>
        <w:jc w:val="left"/>
        <w:rPr>
          <w:sz w:val="20"/>
        </w:rPr>
      </w:pPr>
    </w:p>
    <w:p>
      <w:pPr>
        <w:pStyle w:val="Heading4"/>
        <w:numPr>
          <w:ilvl w:val="1"/>
          <w:numId w:val="187"/>
        </w:numPr>
        <w:tabs>
          <w:tab w:pos="553" w:val="left" w:leader="none"/>
          <w:tab w:pos="1351" w:val="left" w:leader="none"/>
        </w:tabs>
        <w:spacing w:line="240" w:lineRule="auto" w:before="0" w:after="0"/>
        <w:ind w:left="552" w:right="0" w:hanging="335"/>
        <w:jc w:val="left"/>
      </w:pPr>
      <w:bookmarkStart w:name="5.3A.8 Detailed Response to Enquiry" w:id="478"/>
      <w:bookmarkEnd w:id="478"/>
      <w:r>
        <w:rPr>
          <w:b w:val="0"/>
        </w:rPr>
      </w:r>
      <w:bookmarkStart w:name="_bookmark198" w:id="479"/>
      <w:bookmarkEnd w:id="479"/>
      <w:r>
        <w:rPr>
          <w:b w:val="0"/>
        </w:rPr>
      </w:r>
      <w:bookmarkStart w:name="_bookmark198" w:id="480"/>
      <w:bookmarkEnd w:id="480"/>
      <w:r>
        <w:rPr/>
        <w:t>A.</w:t>
      </w:r>
      <w:r>
        <w:rPr/>
        <w:t>8</w:t>
        <w:tab/>
        <w:t>Detailed Response to</w:t>
      </w:r>
      <w:r>
        <w:rPr>
          <w:spacing w:val="-3"/>
        </w:rPr>
        <w:t> </w:t>
      </w:r>
      <w:r>
        <w:rPr/>
        <w:t>Enquiry</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(h)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w:t>
      </w:r>
      <w:r>
        <w:rPr>
          <w:spacing w:val="-2"/>
          <w:sz w:val="20"/>
        </w:rPr>
        <w:t> </w:t>
      </w:r>
      <w:r>
        <w:rPr>
          <w:sz w:val="20"/>
        </w:rPr>
        <w:t>jurisdiction.</w:t>
      </w:r>
    </w:p>
    <w:p>
      <w:pPr>
        <w:pStyle w:val="ListParagraph"/>
        <w:numPr>
          <w:ilvl w:val="2"/>
          <w:numId w:val="187"/>
        </w:numPr>
        <w:tabs>
          <w:tab w:pos="1919" w:val="left" w:leader="none"/>
        </w:tabs>
        <w:spacing w:line="240" w:lineRule="auto" w:before="120" w:after="0"/>
        <w:ind w:left="1919" w:right="416" w:hanging="567"/>
        <w:jc w:val="both"/>
        <w:rPr>
          <w:sz w:val="24"/>
        </w:rPr>
      </w:pPr>
      <w:r>
        <w:rPr>
          <w:sz w:val="24"/>
        </w:rPr>
        <w:t>Subject to clause 5.3A.5(g), a </w:t>
      </w:r>
      <w:r>
        <w:rPr>
          <w:i/>
          <w:sz w:val="24"/>
        </w:rPr>
        <w:t>Distribution Network Service Provider </w:t>
      </w:r>
      <w:r>
        <w:rPr>
          <w:sz w:val="24"/>
        </w:rPr>
        <w:t>must within 5 </w:t>
      </w:r>
      <w:r>
        <w:rPr>
          <w:i/>
          <w:sz w:val="24"/>
        </w:rPr>
        <w:t>business days </w:t>
      </w:r>
      <w:r>
        <w:rPr>
          <w:sz w:val="24"/>
        </w:rPr>
        <w:t>after receiving the further information identified in clause S5.4A(o) provide written acknowledgment of receipt of</w:t>
      </w:r>
      <w:r>
        <w:rPr>
          <w:spacing w:val="-5"/>
          <w:sz w:val="24"/>
        </w:rPr>
        <w:t> </w:t>
      </w:r>
      <w:r>
        <w:rPr>
          <w:sz w:val="24"/>
        </w:rPr>
        <w:t>it.</w:t>
      </w:r>
    </w:p>
    <w:p>
      <w:pPr>
        <w:pStyle w:val="ListParagraph"/>
        <w:numPr>
          <w:ilvl w:val="2"/>
          <w:numId w:val="187"/>
        </w:numPr>
        <w:tabs>
          <w:tab w:pos="1919" w:val="left" w:leader="none"/>
        </w:tabs>
        <w:spacing w:line="240" w:lineRule="auto" w:before="120" w:after="0"/>
        <w:ind w:left="1919" w:right="415" w:hanging="567"/>
        <w:jc w:val="both"/>
        <w:rPr>
          <w:sz w:val="24"/>
        </w:rPr>
      </w:pPr>
      <w:r>
        <w:rPr>
          <w:sz w:val="24"/>
        </w:rPr>
        <w:t>If the further information provided under paragraph (a) is incomplete in a material respect the </w:t>
      </w:r>
      <w:r>
        <w:rPr>
          <w:i/>
          <w:sz w:val="24"/>
        </w:rPr>
        <w:t>Distribution Network Service Provider </w:t>
      </w:r>
      <w:r>
        <w:rPr>
          <w:sz w:val="24"/>
        </w:rPr>
        <w:t>must within 10 </w:t>
      </w:r>
      <w:r>
        <w:rPr>
          <w:i/>
          <w:sz w:val="24"/>
        </w:rPr>
        <w:t>business days </w:t>
      </w:r>
      <w:r>
        <w:rPr>
          <w:sz w:val="24"/>
        </w:rPr>
        <w:t>after receipt of it, advise the </w:t>
      </w:r>
      <w:r>
        <w:rPr>
          <w:i/>
          <w:sz w:val="24"/>
        </w:rPr>
        <w:t>Connection Applicant </w:t>
      </w:r>
      <w:r>
        <w:rPr>
          <w:sz w:val="24"/>
        </w:rPr>
        <w:t>of </w:t>
      </w:r>
      <w:r>
        <w:rPr>
          <w:spacing w:val="-4"/>
          <w:sz w:val="24"/>
        </w:rPr>
        <w:t>the </w:t>
      </w:r>
      <w:r>
        <w:rPr>
          <w:sz w:val="24"/>
        </w:rPr>
        <w:t>deficiency and what is required to address</w:t>
      </w:r>
      <w:r>
        <w:rPr>
          <w:spacing w:val="-2"/>
          <w:sz w:val="24"/>
        </w:rPr>
        <w:t> </w:t>
      </w:r>
      <w:r>
        <w:rPr>
          <w:sz w:val="24"/>
        </w:rPr>
        <w:t>it.</w:t>
      </w:r>
    </w:p>
    <w:p>
      <w:pPr>
        <w:spacing w:after="0" w:line="240" w:lineRule="auto"/>
        <w:jc w:val="both"/>
        <w:rPr>
          <w:sz w:val="24"/>
        </w:rPr>
        <w:sectPr>
          <w:pgSz w:w="11910" w:h="16840"/>
          <w:pgMar w:header="686" w:footer="637" w:top="1320" w:bottom="820" w:left="1200" w:right="1000"/>
        </w:sectPr>
      </w:pPr>
    </w:p>
    <w:p>
      <w:pPr>
        <w:pStyle w:val="ListParagraph"/>
        <w:numPr>
          <w:ilvl w:val="2"/>
          <w:numId w:val="187"/>
        </w:numPr>
        <w:tabs>
          <w:tab w:pos="1918" w:val="left" w:leader="none"/>
          <w:tab w:pos="1919" w:val="left" w:leader="none"/>
        </w:tabs>
        <w:spacing w:line="240" w:lineRule="auto" w:before="83" w:after="0"/>
        <w:ind w:left="1918" w:right="0" w:hanging="567"/>
        <w:jc w:val="left"/>
        <w:rPr>
          <w:sz w:val="24"/>
        </w:rPr>
      </w:pPr>
      <w:r>
        <w:rPr>
          <w:sz w:val="24"/>
        </w:rPr>
        <w:t>Unless:</w:t>
      </w:r>
    </w:p>
    <w:p>
      <w:pPr>
        <w:pStyle w:val="ListParagraph"/>
        <w:numPr>
          <w:ilvl w:val="3"/>
          <w:numId w:val="187"/>
        </w:numPr>
        <w:tabs>
          <w:tab w:pos="2485" w:val="left" w:leader="none"/>
          <w:tab w:pos="2486" w:val="left" w:leader="none"/>
        </w:tabs>
        <w:spacing w:line="240" w:lineRule="auto" w:before="120" w:after="0"/>
        <w:ind w:left="2485" w:right="0" w:hanging="567"/>
        <w:jc w:val="left"/>
        <w:rPr>
          <w:sz w:val="24"/>
        </w:rPr>
      </w:pPr>
      <w:r>
        <w:rPr>
          <w:sz w:val="24"/>
        </w:rPr>
        <w:t>agreed otherwise; or</w:t>
      </w:r>
    </w:p>
    <w:p>
      <w:pPr>
        <w:pStyle w:val="ListParagraph"/>
        <w:numPr>
          <w:ilvl w:val="3"/>
          <w:numId w:val="187"/>
        </w:numPr>
        <w:tabs>
          <w:tab w:pos="2485" w:val="left" w:leader="none"/>
          <w:tab w:pos="2486" w:val="left" w:leader="none"/>
        </w:tabs>
        <w:spacing w:line="240" w:lineRule="auto" w:before="120" w:after="0"/>
        <w:ind w:left="2486" w:right="417" w:hanging="567"/>
        <w:jc w:val="left"/>
        <w:rPr>
          <w:sz w:val="24"/>
        </w:rPr>
      </w:pPr>
      <w:r>
        <w:rPr>
          <w:sz w:val="24"/>
        </w:rPr>
        <w:t>the proposed </w:t>
      </w:r>
      <w:r>
        <w:rPr>
          <w:i/>
          <w:sz w:val="24"/>
        </w:rPr>
        <w:t>connection </w:t>
      </w:r>
      <w:r>
        <w:rPr>
          <w:sz w:val="24"/>
        </w:rPr>
        <w:t>requires the application of the</w:t>
      </w:r>
      <w:r>
        <w:rPr>
          <w:spacing w:val="28"/>
          <w:sz w:val="24"/>
        </w:rPr>
        <w:t> </w:t>
      </w:r>
      <w:r>
        <w:rPr>
          <w:i/>
          <w:sz w:val="24"/>
        </w:rPr>
        <w:t>regulatory </w:t>
      </w:r>
      <w:r>
        <w:rPr>
          <w:i/>
          <w:sz w:val="24"/>
        </w:rPr>
        <w:t>investment test for</w:t>
      </w:r>
      <w:r>
        <w:rPr>
          <w:i/>
          <w:spacing w:val="-2"/>
          <w:sz w:val="24"/>
        </w:rPr>
        <w:t> </w:t>
      </w:r>
      <w:r>
        <w:rPr>
          <w:i/>
          <w:sz w:val="24"/>
        </w:rPr>
        <w:t>distribution</w:t>
      </w:r>
      <w:r>
        <w:rPr>
          <w:sz w:val="24"/>
        </w:rPr>
        <w:t>,</w:t>
      </w:r>
    </w:p>
    <w:p>
      <w:pPr>
        <w:spacing w:before="120"/>
        <w:ind w:left="1919" w:right="0" w:firstLine="0"/>
        <w:jc w:val="left"/>
        <w:rPr>
          <w:sz w:val="24"/>
        </w:rPr>
      </w:pPr>
      <w:r>
        <w:rPr>
          <w:sz w:val="24"/>
        </w:rPr>
        <w:t>the </w:t>
      </w:r>
      <w:r>
        <w:rPr>
          <w:i/>
          <w:sz w:val="24"/>
        </w:rPr>
        <w:t>Distribution Network Service Provider </w:t>
      </w:r>
      <w:r>
        <w:rPr>
          <w:sz w:val="24"/>
        </w:rPr>
        <w:t>must provide a detailed response within 30 </w:t>
      </w:r>
      <w:r>
        <w:rPr>
          <w:i/>
          <w:sz w:val="24"/>
        </w:rPr>
        <w:t>business days </w:t>
      </w:r>
      <w:r>
        <w:rPr>
          <w:sz w:val="24"/>
        </w:rPr>
        <w:t>of the date specified under paragraph (d).</w:t>
      </w:r>
    </w:p>
    <w:p>
      <w:pPr>
        <w:pStyle w:val="ListParagraph"/>
        <w:numPr>
          <w:ilvl w:val="2"/>
          <w:numId w:val="187"/>
        </w:numPr>
        <w:tabs>
          <w:tab w:pos="1918" w:val="left" w:leader="none"/>
          <w:tab w:pos="1919" w:val="left" w:leader="none"/>
        </w:tabs>
        <w:spacing w:line="240" w:lineRule="auto" w:before="120" w:after="0"/>
        <w:ind w:left="1918" w:right="0" w:hanging="567"/>
        <w:jc w:val="left"/>
        <w:rPr>
          <w:sz w:val="24"/>
        </w:rPr>
      </w:pPr>
      <w:r>
        <w:rPr>
          <w:sz w:val="24"/>
        </w:rPr>
        <w:t>For</w:t>
      </w:r>
      <w:r>
        <w:rPr>
          <w:spacing w:val="7"/>
          <w:sz w:val="24"/>
        </w:rPr>
        <w:t> </w:t>
      </w:r>
      <w:r>
        <w:rPr>
          <w:sz w:val="24"/>
        </w:rPr>
        <w:t>the</w:t>
      </w:r>
      <w:r>
        <w:rPr>
          <w:spacing w:val="8"/>
          <w:sz w:val="24"/>
        </w:rPr>
        <w:t> </w:t>
      </w:r>
      <w:r>
        <w:rPr>
          <w:sz w:val="24"/>
        </w:rPr>
        <w:t>purposes</w:t>
      </w:r>
      <w:r>
        <w:rPr>
          <w:spacing w:val="9"/>
          <w:sz w:val="24"/>
        </w:rPr>
        <w:t> </w:t>
      </w:r>
      <w:r>
        <w:rPr>
          <w:sz w:val="24"/>
        </w:rPr>
        <w:t>of</w:t>
      </w:r>
      <w:r>
        <w:rPr>
          <w:spacing w:val="7"/>
          <w:sz w:val="24"/>
        </w:rPr>
        <w:t> </w:t>
      </w:r>
      <w:r>
        <w:rPr>
          <w:sz w:val="24"/>
        </w:rPr>
        <w:t>paragraph</w:t>
      </w:r>
      <w:r>
        <w:rPr>
          <w:spacing w:val="8"/>
          <w:sz w:val="24"/>
        </w:rPr>
        <w:t> </w:t>
      </w:r>
      <w:r>
        <w:rPr>
          <w:sz w:val="24"/>
        </w:rPr>
        <w:t>(c),</w:t>
      </w:r>
      <w:r>
        <w:rPr>
          <w:spacing w:val="8"/>
          <w:sz w:val="24"/>
        </w:rPr>
        <w:t> </w:t>
      </w:r>
      <w:r>
        <w:rPr>
          <w:sz w:val="24"/>
        </w:rPr>
        <w:t>the</w:t>
      </w:r>
      <w:r>
        <w:rPr>
          <w:spacing w:val="7"/>
          <w:sz w:val="24"/>
        </w:rPr>
        <w:t> </w:t>
      </w:r>
      <w:r>
        <w:rPr>
          <w:sz w:val="24"/>
        </w:rPr>
        <w:t>relevant</w:t>
      </w:r>
      <w:r>
        <w:rPr>
          <w:spacing w:val="8"/>
          <w:sz w:val="24"/>
        </w:rPr>
        <w:t> </w:t>
      </w:r>
      <w:r>
        <w:rPr>
          <w:sz w:val="24"/>
        </w:rPr>
        <w:t>date</w:t>
      </w:r>
      <w:r>
        <w:rPr>
          <w:spacing w:val="8"/>
          <w:sz w:val="24"/>
        </w:rPr>
        <w:t> </w:t>
      </w:r>
      <w:r>
        <w:rPr>
          <w:sz w:val="24"/>
        </w:rPr>
        <w:t>is</w:t>
      </w:r>
      <w:r>
        <w:rPr>
          <w:spacing w:val="8"/>
          <w:sz w:val="24"/>
        </w:rPr>
        <w:t> </w:t>
      </w:r>
      <w:r>
        <w:rPr>
          <w:sz w:val="24"/>
        </w:rPr>
        <w:t>the</w:t>
      </w:r>
      <w:r>
        <w:rPr>
          <w:spacing w:val="8"/>
          <w:sz w:val="24"/>
        </w:rPr>
        <w:t> </w:t>
      </w:r>
      <w:r>
        <w:rPr>
          <w:sz w:val="24"/>
        </w:rPr>
        <w:t>date</w:t>
      </w:r>
      <w:r>
        <w:rPr>
          <w:spacing w:val="8"/>
          <w:sz w:val="24"/>
        </w:rPr>
        <w:t> </w:t>
      </w:r>
      <w:r>
        <w:rPr>
          <w:sz w:val="24"/>
        </w:rPr>
        <w:t>on</w:t>
      </w:r>
      <w:r>
        <w:rPr>
          <w:spacing w:val="9"/>
          <w:sz w:val="24"/>
        </w:rPr>
        <w:t> </w:t>
      </w:r>
      <w:r>
        <w:rPr>
          <w:sz w:val="24"/>
        </w:rPr>
        <w:t>which</w:t>
      </w:r>
      <w:r>
        <w:rPr>
          <w:spacing w:val="7"/>
          <w:sz w:val="24"/>
        </w:rPr>
        <w:t> </w:t>
      </w:r>
      <w:r>
        <w:rPr>
          <w:sz w:val="24"/>
        </w:rPr>
        <w:t>the</w:t>
      </w:r>
    </w:p>
    <w:p>
      <w:pPr>
        <w:spacing w:before="0"/>
        <w:ind w:left="1919" w:right="0" w:firstLine="0"/>
        <w:jc w:val="left"/>
        <w:rPr>
          <w:sz w:val="24"/>
        </w:rPr>
      </w:pPr>
      <w:r>
        <w:rPr>
          <w:i/>
          <w:sz w:val="24"/>
        </w:rPr>
        <w:t>Distribution Network Service Provider </w:t>
      </w:r>
      <w:r>
        <w:rPr>
          <w:sz w:val="24"/>
        </w:rPr>
        <w:t>has received all of the following:</w:t>
      </w:r>
    </w:p>
    <w:p>
      <w:pPr>
        <w:pStyle w:val="ListParagraph"/>
        <w:numPr>
          <w:ilvl w:val="3"/>
          <w:numId w:val="187"/>
        </w:numPr>
        <w:tabs>
          <w:tab w:pos="2485" w:val="left" w:leader="none"/>
          <w:tab w:pos="2486" w:val="left" w:leader="none"/>
        </w:tabs>
        <w:spacing w:line="240" w:lineRule="auto" w:before="120" w:after="0"/>
        <w:ind w:left="2485" w:right="0" w:hanging="567"/>
        <w:jc w:val="left"/>
        <w:rPr>
          <w:sz w:val="24"/>
        </w:rPr>
      </w:pPr>
      <w:r>
        <w:rPr>
          <w:sz w:val="24"/>
        </w:rPr>
        <w:t>the</w:t>
      </w:r>
      <w:r>
        <w:rPr>
          <w:spacing w:val="8"/>
          <w:sz w:val="24"/>
        </w:rPr>
        <w:t> </w:t>
      </w:r>
      <w:r>
        <w:rPr>
          <w:sz w:val="24"/>
        </w:rPr>
        <w:t>enquiry</w:t>
      </w:r>
      <w:r>
        <w:rPr>
          <w:spacing w:val="9"/>
          <w:sz w:val="24"/>
        </w:rPr>
        <w:t> </w:t>
      </w:r>
      <w:r>
        <w:rPr>
          <w:sz w:val="24"/>
        </w:rPr>
        <w:t>fee,</w:t>
      </w:r>
      <w:r>
        <w:rPr>
          <w:spacing w:val="9"/>
          <w:sz w:val="24"/>
        </w:rPr>
        <w:t> </w:t>
      </w:r>
      <w:r>
        <w:rPr>
          <w:sz w:val="24"/>
        </w:rPr>
        <w:t>or</w:t>
      </w:r>
      <w:r>
        <w:rPr>
          <w:spacing w:val="9"/>
          <w:sz w:val="24"/>
        </w:rPr>
        <w:t> </w:t>
      </w:r>
      <w:r>
        <w:rPr>
          <w:sz w:val="24"/>
        </w:rPr>
        <w:t>any</w:t>
      </w:r>
      <w:r>
        <w:rPr>
          <w:spacing w:val="10"/>
          <w:sz w:val="24"/>
        </w:rPr>
        <w:t> </w:t>
      </w:r>
      <w:r>
        <w:rPr>
          <w:sz w:val="24"/>
        </w:rPr>
        <w:t>component</w:t>
      </w:r>
      <w:r>
        <w:rPr>
          <w:spacing w:val="9"/>
          <w:sz w:val="24"/>
        </w:rPr>
        <w:t> </w:t>
      </w:r>
      <w:r>
        <w:rPr>
          <w:sz w:val="24"/>
        </w:rPr>
        <w:t>of</w:t>
      </w:r>
      <w:r>
        <w:rPr>
          <w:spacing w:val="9"/>
          <w:sz w:val="24"/>
        </w:rPr>
        <w:t> </w:t>
      </w:r>
      <w:r>
        <w:rPr>
          <w:sz w:val="24"/>
        </w:rPr>
        <w:t>the</w:t>
      </w:r>
      <w:r>
        <w:rPr>
          <w:spacing w:val="9"/>
          <w:sz w:val="24"/>
        </w:rPr>
        <w:t> </w:t>
      </w:r>
      <w:r>
        <w:rPr>
          <w:sz w:val="24"/>
        </w:rPr>
        <w:t>enquiry</w:t>
      </w:r>
      <w:r>
        <w:rPr>
          <w:spacing w:val="9"/>
          <w:sz w:val="24"/>
        </w:rPr>
        <w:t> </w:t>
      </w:r>
      <w:r>
        <w:rPr>
          <w:sz w:val="24"/>
        </w:rPr>
        <w:t>fee</w:t>
      </w:r>
      <w:r>
        <w:rPr>
          <w:spacing w:val="9"/>
          <w:sz w:val="24"/>
        </w:rPr>
        <w:t> </w:t>
      </w:r>
      <w:r>
        <w:rPr>
          <w:sz w:val="24"/>
        </w:rPr>
        <w:t>requested</w:t>
      </w:r>
      <w:r>
        <w:rPr>
          <w:spacing w:val="9"/>
          <w:sz w:val="24"/>
        </w:rPr>
        <w:t> </w:t>
      </w:r>
      <w:r>
        <w:rPr>
          <w:sz w:val="24"/>
        </w:rPr>
        <w:t>by</w:t>
      </w:r>
      <w:r>
        <w:rPr>
          <w:spacing w:val="9"/>
          <w:sz w:val="24"/>
        </w:rPr>
        <w:t> </w:t>
      </w:r>
      <w:r>
        <w:rPr>
          <w:sz w:val="24"/>
        </w:rPr>
        <w:t>the</w:t>
      </w:r>
    </w:p>
    <w:p>
      <w:pPr>
        <w:spacing w:before="0"/>
        <w:ind w:left="2486" w:right="0" w:firstLine="0"/>
        <w:jc w:val="left"/>
        <w:rPr>
          <w:sz w:val="24"/>
        </w:rPr>
      </w:pPr>
      <w:r>
        <w:rPr>
          <w:i/>
          <w:sz w:val="24"/>
        </w:rPr>
        <w:t>Distribution Network Service Provider</w:t>
      </w:r>
      <w:r>
        <w:rPr>
          <w:sz w:val="24"/>
        </w:rPr>
        <w:t>;</w:t>
      </w:r>
    </w:p>
    <w:p>
      <w:pPr>
        <w:pStyle w:val="ListParagraph"/>
        <w:numPr>
          <w:ilvl w:val="3"/>
          <w:numId w:val="187"/>
        </w:numPr>
        <w:tabs>
          <w:tab w:pos="2486" w:val="left" w:leader="none"/>
        </w:tabs>
        <w:spacing w:line="240" w:lineRule="auto" w:before="120" w:after="0"/>
        <w:ind w:left="2486" w:right="415" w:hanging="567"/>
        <w:jc w:val="both"/>
        <w:rPr>
          <w:sz w:val="24"/>
        </w:rPr>
      </w:pPr>
      <w:r>
        <w:rPr>
          <w:sz w:val="24"/>
        </w:rPr>
        <w:t>if the </w:t>
      </w:r>
      <w:r>
        <w:rPr>
          <w:i/>
          <w:sz w:val="24"/>
        </w:rPr>
        <w:t>Connection Applicant </w:t>
      </w:r>
      <w:r>
        <w:rPr>
          <w:sz w:val="24"/>
        </w:rPr>
        <w:t>was required to remedy a deficiency </w:t>
      </w:r>
      <w:r>
        <w:rPr>
          <w:spacing w:val="-5"/>
          <w:sz w:val="24"/>
        </w:rPr>
        <w:t>in </w:t>
      </w:r>
      <w:r>
        <w:rPr>
          <w:sz w:val="24"/>
        </w:rPr>
        <w:t>further information provided under paragraph (b), that further information;</w:t>
      </w:r>
      <w:r>
        <w:rPr>
          <w:spacing w:val="-1"/>
          <w:sz w:val="24"/>
        </w:rPr>
        <w:t> </w:t>
      </w:r>
      <w:r>
        <w:rPr>
          <w:sz w:val="24"/>
        </w:rPr>
        <w:t>and</w:t>
      </w:r>
    </w:p>
    <w:p>
      <w:pPr>
        <w:pStyle w:val="ListParagraph"/>
        <w:numPr>
          <w:ilvl w:val="3"/>
          <w:numId w:val="187"/>
        </w:numPr>
        <w:tabs>
          <w:tab w:pos="2486" w:val="left" w:leader="none"/>
        </w:tabs>
        <w:spacing w:line="240" w:lineRule="auto" w:before="120" w:after="0"/>
        <w:ind w:left="2486" w:right="416" w:hanging="567"/>
        <w:jc w:val="both"/>
        <w:rPr>
          <w:sz w:val="24"/>
        </w:rPr>
      </w:pPr>
      <w:r>
        <w:rPr>
          <w:sz w:val="24"/>
        </w:rPr>
        <w:t>if the </w:t>
      </w:r>
      <w:r>
        <w:rPr>
          <w:i/>
          <w:sz w:val="24"/>
        </w:rPr>
        <w:t>Connection Applicant </w:t>
      </w:r>
      <w:r>
        <w:rPr>
          <w:sz w:val="24"/>
        </w:rPr>
        <w:t>was required under clause S5.4A(o) to provide further information, that</w:t>
      </w:r>
      <w:r>
        <w:rPr>
          <w:spacing w:val="-2"/>
          <w:sz w:val="24"/>
        </w:rPr>
        <w:t> </w:t>
      </w:r>
      <w:r>
        <w:rPr>
          <w:sz w:val="24"/>
        </w:rPr>
        <w:t>information.</w:t>
      </w:r>
    </w:p>
    <w:p>
      <w:pPr>
        <w:pStyle w:val="ListParagraph"/>
        <w:numPr>
          <w:ilvl w:val="2"/>
          <w:numId w:val="187"/>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seek an extension of the time period specified in paragraph (c) by giving notice, in writing to the </w:t>
      </w:r>
      <w:r>
        <w:rPr>
          <w:i/>
          <w:sz w:val="24"/>
        </w:rPr>
        <w:t>Connection Applicant</w:t>
      </w:r>
      <w:r>
        <w:rPr>
          <w:sz w:val="24"/>
        </w:rPr>
        <w:t>, specifying the reasons required for the extension. The </w:t>
      </w:r>
      <w:r>
        <w:rPr>
          <w:i/>
          <w:sz w:val="24"/>
        </w:rPr>
        <w:t>Connection Applicant </w:t>
      </w:r>
      <w:r>
        <w:rPr>
          <w:sz w:val="24"/>
        </w:rPr>
        <w:t>may not unreasonably withhold consent to that extension.</w:t>
      </w:r>
    </w:p>
    <w:p>
      <w:pPr>
        <w:pStyle w:val="ListParagraph"/>
        <w:numPr>
          <w:ilvl w:val="2"/>
          <w:numId w:val="187"/>
        </w:numPr>
        <w:tabs>
          <w:tab w:pos="1920" w:val="left" w:leader="none"/>
        </w:tabs>
        <w:spacing w:line="240" w:lineRule="auto" w:before="120" w:after="0"/>
        <w:ind w:left="1919" w:right="415" w:hanging="567"/>
        <w:jc w:val="both"/>
        <w:rPr>
          <w:sz w:val="24"/>
        </w:rPr>
      </w:pPr>
      <w:r>
        <w:rPr>
          <w:sz w:val="24"/>
        </w:rPr>
        <w:t>Where the proposed </w:t>
      </w:r>
      <w:r>
        <w:rPr>
          <w:i/>
          <w:sz w:val="24"/>
        </w:rPr>
        <w:t>connection </w:t>
      </w:r>
      <w:r>
        <w:rPr>
          <w:sz w:val="24"/>
        </w:rPr>
        <w:t>requires the application of the </w:t>
      </w:r>
      <w:r>
        <w:rPr>
          <w:i/>
          <w:sz w:val="24"/>
        </w:rPr>
        <w:t>regulatory </w:t>
      </w:r>
      <w:r>
        <w:rPr>
          <w:i/>
          <w:sz w:val="24"/>
        </w:rPr>
        <w:t>investment test for distribution</w:t>
      </w:r>
      <w:r>
        <w:rPr>
          <w:sz w:val="24"/>
        </w:rPr>
        <w:t>, the </w:t>
      </w:r>
      <w:r>
        <w:rPr>
          <w:i/>
          <w:sz w:val="24"/>
        </w:rPr>
        <w:t>Distribution Network Service Provider </w:t>
      </w:r>
      <w:r>
        <w:rPr>
          <w:sz w:val="24"/>
        </w:rPr>
        <w:t>and the </w:t>
      </w:r>
      <w:r>
        <w:rPr>
          <w:i/>
          <w:sz w:val="24"/>
        </w:rPr>
        <w:t>Connection Applicant </w:t>
      </w:r>
      <w:r>
        <w:rPr>
          <w:sz w:val="24"/>
        </w:rPr>
        <w:t>are to agree a timeframe for the provision of a detailed response, taking into account the status of the relevant RIT-D project (as defined in clause</w:t>
      </w:r>
      <w:r>
        <w:rPr>
          <w:spacing w:val="-2"/>
          <w:sz w:val="24"/>
        </w:rPr>
        <w:t> </w:t>
      </w:r>
      <w:r>
        <w:rPr>
          <w:sz w:val="24"/>
        </w:rPr>
        <w:t>5.10.2).</w:t>
      </w:r>
    </w:p>
    <w:p>
      <w:pPr>
        <w:pStyle w:val="ListParagraph"/>
        <w:numPr>
          <w:ilvl w:val="2"/>
          <w:numId w:val="187"/>
        </w:numPr>
        <w:tabs>
          <w:tab w:pos="1919" w:val="left" w:leader="none"/>
        </w:tabs>
        <w:spacing w:line="240" w:lineRule="auto" w:before="120" w:after="0"/>
        <w:ind w:left="1918" w:right="0" w:hanging="567"/>
        <w:jc w:val="both"/>
        <w:rPr>
          <w:sz w:val="24"/>
        </w:rPr>
      </w:pPr>
      <w:r>
        <w:rPr>
          <w:sz w:val="24"/>
        </w:rPr>
        <w:t>A detailed response must include the information specified</w:t>
      </w:r>
      <w:r>
        <w:rPr>
          <w:spacing w:val="-3"/>
          <w:sz w:val="24"/>
        </w:rPr>
        <w:t> </w:t>
      </w:r>
      <w:r>
        <w:rPr>
          <w:sz w:val="24"/>
        </w:rPr>
        <w:t>in:</w:t>
      </w:r>
    </w:p>
    <w:p>
      <w:pPr>
        <w:pStyle w:val="ListParagraph"/>
        <w:numPr>
          <w:ilvl w:val="3"/>
          <w:numId w:val="187"/>
        </w:numPr>
        <w:tabs>
          <w:tab w:pos="2486" w:val="left" w:leader="none"/>
        </w:tabs>
        <w:spacing w:line="240" w:lineRule="auto" w:before="120" w:after="0"/>
        <w:ind w:left="2485" w:right="0" w:hanging="567"/>
        <w:jc w:val="both"/>
        <w:rPr>
          <w:sz w:val="24"/>
        </w:rPr>
      </w:pPr>
      <w:r>
        <w:rPr>
          <w:sz w:val="24"/>
        </w:rPr>
        <w:t>paragraphs (f), (g) and (m) of Schedule</w:t>
      </w:r>
      <w:r>
        <w:rPr>
          <w:spacing w:val="-2"/>
          <w:sz w:val="24"/>
        </w:rPr>
        <w:t> </w:t>
      </w:r>
      <w:r>
        <w:rPr>
          <w:sz w:val="24"/>
        </w:rPr>
        <w:t>5.4B;</w:t>
      </w:r>
    </w:p>
    <w:p>
      <w:pPr>
        <w:pStyle w:val="ListParagraph"/>
        <w:numPr>
          <w:ilvl w:val="3"/>
          <w:numId w:val="187"/>
        </w:numPr>
        <w:tabs>
          <w:tab w:pos="2486" w:val="left" w:leader="none"/>
        </w:tabs>
        <w:spacing w:line="240" w:lineRule="auto" w:before="120" w:after="0"/>
        <w:ind w:left="2485" w:right="0" w:hanging="567"/>
        <w:jc w:val="both"/>
        <w:rPr>
          <w:sz w:val="24"/>
        </w:rPr>
      </w:pPr>
      <w:r>
        <w:rPr>
          <w:sz w:val="24"/>
        </w:rPr>
        <w:t>paragraphs (a) - (e1), (h) - (l) and (n)-(o) of Schedule</w:t>
      </w:r>
      <w:r>
        <w:rPr>
          <w:spacing w:val="-2"/>
          <w:sz w:val="24"/>
        </w:rPr>
        <w:t> </w:t>
      </w:r>
      <w:r>
        <w:rPr>
          <w:sz w:val="24"/>
        </w:rPr>
        <w:t>5.4B.</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Clause 5.3A.8(g) requires that a detailed response include all information specified in Schedule 5.4B. The above division may be of relevance for enforcement purposes only.</w:t>
      </w:r>
    </w:p>
    <w:p>
      <w:pPr>
        <w:pStyle w:val="ListParagraph"/>
        <w:numPr>
          <w:ilvl w:val="2"/>
          <w:numId w:val="187"/>
        </w:numPr>
        <w:tabs>
          <w:tab w:pos="1919" w:val="left" w:leader="none"/>
        </w:tabs>
        <w:spacing w:line="240" w:lineRule="auto" w:before="120" w:after="0"/>
        <w:ind w:left="1919" w:right="415" w:hanging="567"/>
        <w:jc w:val="both"/>
        <w:rPr>
          <w:sz w:val="24"/>
        </w:rPr>
      </w:pPr>
      <w:r>
        <w:rPr>
          <w:sz w:val="24"/>
        </w:rPr>
        <w:t>A </w:t>
      </w:r>
      <w:r>
        <w:rPr>
          <w:i/>
          <w:sz w:val="24"/>
        </w:rPr>
        <w:t>Connection Applicant </w:t>
      </w:r>
      <w:r>
        <w:rPr>
          <w:sz w:val="24"/>
        </w:rPr>
        <w:t>that is a </w:t>
      </w:r>
      <w:r>
        <w:rPr>
          <w:i/>
          <w:sz w:val="24"/>
        </w:rPr>
        <w:t>Registered Participant</w:t>
      </w:r>
      <w:r>
        <w:rPr>
          <w:sz w:val="24"/>
        </w:rPr>
        <w:t>, </w:t>
      </w:r>
      <w:r>
        <w:rPr>
          <w:i/>
          <w:sz w:val="24"/>
        </w:rPr>
        <w:t>AEMO </w:t>
      </w:r>
      <w:r>
        <w:rPr>
          <w:sz w:val="24"/>
        </w:rPr>
        <w:t>or an </w:t>
      </w:r>
      <w:r>
        <w:rPr>
          <w:i/>
          <w:sz w:val="24"/>
        </w:rPr>
        <w:t>interested party </w:t>
      </w:r>
      <w:r>
        <w:rPr>
          <w:sz w:val="24"/>
        </w:rPr>
        <w:t>may make a request in relation to technical requirements for access to the </w:t>
      </w:r>
      <w:r>
        <w:rPr>
          <w:i/>
          <w:sz w:val="24"/>
        </w:rPr>
        <w:t>Reliability Panel </w:t>
      </w:r>
      <w:r>
        <w:rPr>
          <w:sz w:val="24"/>
        </w:rPr>
        <w:t>in accordance with clause</w:t>
      </w:r>
      <w:r>
        <w:rPr>
          <w:spacing w:val="-8"/>
          <w:sz w:val="24"/>
        </w:rPr>
        <w:t> </w:t>
      </w:r>
      <w:r>
        <w:rPr>
          <w:sz w:val="24"/>
        </w:rPr>
        <w:t>5.3.3(b2)-(b4).</w:t>
      </w:r>
    </w:p>
    <w:p>
      <w:pPr>
        <w:pStyle w:val="BodyText"/>
        <w:spacing w:before="10"/>
        <w:ind w:firstLine="0"/>
        <w:jc w:val="left"/>
        <w:rPr>
          <w:sz w:val="20"/>
        </w:rPr>
      </w:pPr>
    </w:p>
    <w:p>
      <w:pPr>
        <w:pStyle w:val="Heading4"/>
        <w:numPr>
          <w:ilvl w:val="1"/>
          <w:numId w:val="188"/>
        </w:numPr>
        <w:tabs>
          <w:tab w:pos="553" w:val="left" w:leader="none"/>
          <w:tab w:pos="1351" w:val="left" w:leader="none"/>
        </w:tabs>
        <w:spacing w:line="240" w:lineRule="auto" w:before="0" w:after="0"/>
        <w:ind w:left="552" w:right="0" w:hanging="335"/>
        <w:jc w:val="left"/>
      </w:pPr>
      <w:bookmarkStart w:name="5.3A.9 Application for connection" w:id="481"/>
      <w:bookmarkEnd w:id="481"/>
      <w:r>
        <w:rPr>
          <w:b w:val="0"/>
        </w:rPr>
      </w:r>
      <w:bookmarkStart w:name="_bookmark199" w:id="482"/>
      <w:bookmarkEnd w:id="482"/>
      <w:r>
        <w:rPr>
          <w:b w:val="0"/>
        </w:rPr>
      </w:r>
      <w:bookmarkStart w:name="_bookmark199" w:id="483"/>
      <w:bookmarkEnd w:id="483"/>
      <w:r>
        <w:rPr/>
        <w:t>A.</w:t>
      </w:r>
      <w:r>
        <w:rPr/>
        <w:t>9</w:t>
        <w:tab/>
        <w:t>Application for</w:t>
      </w:r>
      <w:r>
        <w:rPr>
          <w:spacing w:val="-1"/>
        </w:rPr>
        <w:t> </w:t>
      </w:r>
      <w:r>
        <w:rPr/>
        <w:t>connection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(e), (f) and (h) of this clause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spacing w:after="0"/>
        <w:jc w:val="both"/>
        <w:rPr>
          <w:sz w:val="20"/>
        </w:rPr>
        <w:sectPr>
          <w:pgSz w:w="11910" w:h="16840"/>
          <w:pgMar w:header="686" w:footer="637" w:top="1320" w:bottom="820" w:left="1200" w:right="1000"/>
        </w:sectPr>
      </w:pPr>
    </w:p>
    <w:p>
      <w:pPr>
        <w:pStyle w:val="ListParagraph"/>
        <w:numPr>
          <w:ilvl w:val="2"/>
          <w:numId w:val="188"/>
        </w:numPr>
        <w:tabs>
          <w:tab w:pos="1919" w:val="left" w:leader="none"/>
        </w:tabs>
        <w:spacing w:line="240" w:lineRule="auto" w:before="83" w:after="0"/>
        <w:ind w:left="1919" w:right="415" w:hanging="567"/>
        <w:jc w:val="both"/>
        <w:rPr>
          <w:sz w:val="24"/>
        </w:rPr>
      </w:pPr>
      <w:r>
        <w:rPr>
          <w:sz w:val="24"/>
        </w:rPr>
        <w:t>Following receipt of a detailed response under clause 5.3A.8, a </w:t>
      </w:r>
      <w:r>
        <w:rPr>
          <w:i/>
          <w:sz w:val="24"/>
        </w:rPr>
        <w:t>Connection </w:t>
      </w:r>
      <w:r>
        <w:rPr>
          <w:i/>
          <w:sz w:val="24"/>
        </w:rPr>
        <w:t>Applicant </w:t>
      </w:r>
      <w:r>
        <w:rPr>
          <w:sz w:val="24"/>
        </w:rPr>
        <w:t>may make an </w:t>
      </w:r>
      <w:r>
        <w:rPr>
          <w:i/>
          <w:sz w:val="24"/>
        </w:rPr>
        <w:t>application to connect </w:t>
      </w:r>
      <w:r>
        <w:rPr>
          <w:sz w:val="24"/>
        </w:rPr>
        <w:t>in accordance with </w:t>
      </w:r>
      <w:r>
        <w:rPr>
          <w:spacing w:val="-3"/>
          <w:sz w:val="24"/>
        </w:rPr>
        <w:t>this </w:t>
      </w:r>
      <w:r>
        <w:rPr>
          <w:sz w:val="24"/>
        </w:rPr>
        <w:t>clause 5.3A.9, and clause</w:t>
      </w:r>
      <w:r>
        <w:rPr>
          <w:spacing w:val="-1"/>
          <w:sz w:val="24"/>
        </w:rPr>
        <w:t> </w:t>
      </w:r>
      <w:r>
        <w:rPr>
          <w:sz w:val="24"/>
        </w:rPr>
        <w:t>5.3.4A.</w:t>
      </w:r>
    </w:p>
    <w:p>
      <w:pPr>
        <w:pStyle w:val="ListParagraph"/>
        <w:numPr>
          <w:ilvl w:val="2"/>
          <w:numId w:val="188"/>
        </w:numPr>
        <w:tabs>
          <w:tab w:pos="1919" w:val="left" w:leader="none"/>
        </w:tabs>
        <w:spacing w:line="240" w:lineRule="auto" w:before="120" w:after="0"/>
        <w:ind w:left="1919" w:right="415" w:hanging="567"/>
        <w:jc w:val="both"/>
        <w:rPr>
          <w:sz w:val="24"/>
        </w:rPr>
      </w:pPr>
      <w:r>
        <w:rPr>
          <w:sz w:val="24"/>
        </w:rPr>
        <w:t>To be eligible for </w:t>
      </w:r>
      <w:r>
        <w:rPr>
          <w:i/>
          <w:sz w:val="24"/>
        </w:rPr>
        <w:t>connection</w:t>
      </w:r>
      <w:r>
        <w:rPr>
          <w:sz w:val="24"/>
        </w:rPr>
        <w:t>, the </w:t>
      </w:r>
      <w:r>
        <w:rPr>
          <w:i/>
          <w:sz w:val="24"/>
        </w:rPr>
        <w:t>Connection Applicant </w:t>
      </w:r>
      <w:r>
        <w:rPr>
          <w:sz w:val="24"/>
        </w:rPr>
        <w:t>must submit an </w:t>
      </w:r>
      <w:r>
        <w:rPr>
          <w:i/>
          <w:sz w:val="24"/>
        </w:rPr>
        <w:t>application to connect </w:t>
      </w:r>
      <w:r>
        <w:rPr>
          <w:sz w:val="24"/>
        </w:rPr>
        <w:t>containing the information specified in the detailed response provided under clause 5.3A.8(c) and the application fee specified under clause S5.4B(m) to the </w:t>
      </w:r>
      <w:r>
        <w:rPr>
          <w:i/>
          <w:sz w:val="24"/>
        </w:rPr>
        <w:t>Distribution Network Service</w:t>
      </w:r>
      <w:r>
        <w:rPr>
          <w:i/>
          <w:spacing w:val="-10"/>
          <w:sz w:val="24"/>
        </w:rPr>
        <w:t> </w:t>
      </w:r>
      <w:r>
        <w:rPr>
          <w:i/>
          <w:sz w:val="24"/>
        </w:rPr>
        <w:t>Provider</w:t>
      </w:r>
      <w:r>
        <w:rPr>
          <w:sz w:val="24"/>
        </w:rPr>
        <w:t>.</w:t>
      </w:r>
    </w:p>
    <w:p>
      <w:pPr>
        <w:pStyle w:val="ListParagraph"/>
        <w:numPr>
          <w:ilvl w:val="2"/>
          <w:numId w:val="188"/>
        </w:numPr>
        <w:tabs>
          <w:tab w:pos="1919" w:val="left" w:leader="none"/>
        </w:tabs>
        <w:spacing w:line="240" w:lineRule="auto" w:before="120" w:after="0"/>
        <w:ind w:left="1919" w:right="415" w:hanging="567"/>
        <w:jc w:val="both"/>
        <w:rPr>
          <w:sz w:val="24"/>
        </w:rPr>
      </w:pPr>
      <w:r>
        <w:rPr>
          <w:sz w:val="24"/>
        </w:rPr>
        <w:t>The </w:t>
      </w:r>
      <w:r>
        <w:rPr>
          <w:i/>
          <w:sz w:val="24"/>
        </w:rPr>
        <w:t>Connection Applicant </w:t>
      </w:r>
      <w:r>
        <w:rPr>
          <w:sz w:val="24"/>
        </w:rPr>
        <w:t>may submit an </w:t>
      </w:r>
      <w:r>
        <w:rPr>
          <w:i/>
          <w:sz w:val="24"/>
        </w:rPr>
        <w:t>application to connect </w:t>
      </w:r>
      <w:r>
        <w:rPr>
          <w:sz w:val="24"/>
        </w:rPr>
        <w:t>to more than one </w:t>
      </w:r>
      <w:r>
        <w:rPr>
          <w:i/>
          <w:sz w:val="24"/>
        </w:rPr>
        <w:t>Distribution Network Service Provider </w:t>
      </w:r>
      <w:r>
        <w:rPr>
          <w:sz w:val="24"/>
        </w:rPr>
        <w:t>in order to receive additional offers to </w:t>
      </w:r>
      <w:r>
        <w:rPr>
          <w:i/>
          <w:sz w:val="24"/>
        </w:rPr>
        <w:t>connect </w:t>
      </w:r>
      <w:r>
        <w:rPr>
          <w:sz w:val="24"/>
        </w:rPr>
        <w:t>in respect of </w:t>
      </w:r>
      <w:r>
        <w:rPr>
          <w:i/>
          <w:sz w:val="24"/>
        </w:rPr>
        <w:t>facilities </w:t>
      </w:r>
      <w:r>
        <w:rPr>
          <w:sz w:val="24"/>
        </w:rPr>
        <w:t>to be provided that are </w:t>
      </w:r>
      <w:r>
        <w:rPr>
          <w:i/>
          <w:sz w:val="24"/>
        </w:rPr>
        <w:t>contestable</w:t>
      </w:r>
      <w:r>
        <w:rPr>
          <w:sz w:val="24"/>
        </w:rPr>
        <w:t>.</w:t>
      </w:r>
    </w:p>
    <w:p>
      <w:pPr>
        <w:pStyle w:val="ListParagraph"/>
        <w:numPr>
          <w:ilvl w:val="2"/>
          <w:numId w:val="188"/>
        </w:numPr>
        <w:tabs>
          <w:tab w:pos="1919" w:val="left" w:leader="none"/>
        </w:tabs>
        <w:spacing w:line="240" w:lineRule="auto" w:before="120" w:after="0"/>
        <w:ind w:left="1919" w:right="415" w:hanging="567"/>
        <w:jc w:val="both"/>
        <w:rPr>
          <w:sz w:val="24"/>
        </w:rPr>
      </w:pPr>
      <w:r>
        <w:rPr>
          <w:sz w:val="24"/>
        </w:rPr>
        <w:t>If the </w:t>
      </w:r>
      <w:r>
        <w:rPr>
          <w:i/>
          <w:sz w:val="24"/>
        </w:rPr>
        <w:t>application to connect </w:t>
      </w:r>
      <w:r>
        <w:rPr>
          <w:sz w:val="24"/>
        </w:rPr>
        <w:t>is incomplete in a material respect the </w:t>
      </w:r>
      <w:r>
        <w:rPr>
          <w:i/>
          <w:sz w:val="24"/>
        </w:rPr>
        <w:t>Distribution Network Service Provider </w:t>
      </w:r>
      <w:r>
        <w:rPr>
          <w:sz w:val="24"/>
        </w:rPr>
        <w:t>must, within 10 </w:t>
      </w:r>
      <w:r>
        <w:rPr>
          <w:i/>
          <w:sz w:val="24"/>
        </w:rPr>
        <w:t>business days </w:t>
      </w:r>
      <w:r>
        <w:rPr>
          <w:sz w:val="24"/>
        </w:rPr>
        <w:t>after receipt of it, advise the </w:t>
      </w:r>
      <w:r>
        <w:rPr>
          <w:i/>
          <w:sz w:val="24"/>
        </w:rPr>
        <w:t>Connection Applicant </w:t>
      </w:r>
      <w:r>
        <w:rPr>
          <w:sz w:val="24"/>
        </w:rPr>
        <w:t>of the deficiency, and the steps required to address</w:t>
      </w:r>
      <w:r>
        <w:rPr>
          <w:spacing w:val="-2"/>
          <w:sz w:val="24"/>
        </w:rPr>
        <w:t> </w:t>
      </w:r>
      <w:r>
        <w:rPr>
          <w:sz w:val="24"/>
        </w:rPr>
        <w:t>it.</w:t>
      </w:r>
    </w:p>
    <w:p>
      <w:pPr>
        <w:pStyle w:val="ListParagraph"/>
        <w:numPr>
          <w:ilvl w:val="2"/>
          <w:numId w:val="188"/>
        </w:numPr>
        <w:tabs>
          <w:tab w:pos="1919" w:val="left" w:leader="none"/>
        </w:tabs>
        <w:spacing w:line="240" w:lineRule="auto" w:before="120" w:after="0"/>
        <w:ind w:left="1919" w:right="414" w:hanging="567"/>
        <w:jc w:val="both"/>
        <w:rPr>
          <w:sz w:val="24"/>
        </w:rPr>
      </w:pPr>
      <w:r>
        <w:rPr>
          <w:sz w:val="24"/>
        </w:rPr>
        <w:t>To the extent that an application fee includes amounts to meet the reasonable costs anticipated to be incurred by any other </w:t>
      </w:r>
      <w:r>
        <w:rPr>
          <w:i/>
          <w:sz w:val="24"/>
        </w:rPr>
        <w:t>Network Service </w:t>
      </w:r>
      <w:r>
        <w:rPr>
          <w:i/>
          <w:sz w:val="24"/>
        </w:rPr>
        <w:t>Providers </w:t>
      </w:r>
      <w:r>
        <w:rPr>
          <w:sz w:val="24"/>
        </w:rPr>
        <w:t>or </w:t>
      </w:r>
      <w:r>
        <w:rPr>
          <w:i/>
          <w:sz w:val="24"/>
        </w:rPr>
        <w:t>AEMO </w:t>
      </w:r>
      <w:r>
        <w:rPr>
          <w:sz w:val="24"/>
        </w:rPr>
        <w:t>in the assessment of the </w:t>
      </w:r>
      <w:r>
        <w:rPr>
          <w:i/>
          <w:sz w:val="24"/>
        </w:rPr>
        <w:t>application to connect</w:t>
      </w:r>
      <w:r>
        <w:rPr>
          <w:sz w:val="24"/>
        </w:rPr>
        <w:t>, a </w:t>
      </w:r>
      <w:r>
        <w:rPr>
          <w:i/>
          <w:sz w:val="24"/>
        </w:rPr>
        <w:t>Distribution Network Service Provider </w:t>
      </w:r>
      <w:r>
        <w:rPr>
          <w:sz w:val="24"/>
        </w:rPr>
        <w:t>who receives the </w:t>
      </w:r>
      <w:r>
        <w:rPr>
          <w:i/>
          <w:sz w:val="24"/>
        </w:rPr>
        <w:t>application to </w:t>
      </w:r>
      <w:r>
        <w:rPr>
          <w:i/>
          <w:sz w:val="24"/>
        </w:rPr>
        <w:t>connect </w:t>
      </w:r>
      <w:r>
        <w:rPr>
          <w:sz w:val="24"/>
        </w:rPr>
        <w:t>and associated fee must pay such amounts to the other </w:t>
      </w:r>
      <w:r>
        <w:rPr>
          <w:i/>
          <w:sz w:val="24"/>
        </w:rPr>
        <w:t>Network </w:t>
      </w:r>
      <w:r>
        <w:rPr>
          <w:i/>
          <w:sz w:val="24"/>
        </w:rPr>
        <w:t>Service Providers </w:t>
      </w:r>
      <w:r>
        <w:rPr>
          <w:sz w:val="24"/>
        </w:rPr>
        <w:t>or </w:t>
      </w:r>
      <w:r>
        <w:rPr>
          <w:i/>
          <w:sz w:val="24"/>
        </w:rPr>
        <w:t>AEMO</w:t>
      </w:r>
      <w:r>
        <w:rPr>
          <w:sz w:val="24"/>
        </w:rPr>
        <w:t>, as</w:t>
      </w:r>
      <w:r>
        <w:rPr>
          <w:spacing w:val="-2"/>
          <w:sz w:val="24"/>
        </w:rPr>
        <w:t> </w:t>
      </w:r>
      <w:r>
        <w:rPr>
          <w:sz w:val="24"/>
        </w:rPr>
        <w:t>appropriate.</w:t>
      </w:r>
    </w:p>
    <w:p>
      <w:pPr>
        <w:pStyle w:val="ListParagraph"/>
        <w:numPr>
          <w:ilvl w:val="2"/>
          <w:numId w:val="188"/>
        </w:numPr>
        <w:tabs>
          <w:tab w:pos="1920" w:val="left" w:leader="none"/>
        </w:tabs>
        <w:spacing w:line="240" w:lineRule="auto" w:before="120" w:after="0"/>
        <w:ind w:left="1919" w:right="415" w:hanging="567"/>
        <w:jc w:val="both"/>
        <w:rPr>
          <w:sz w:val="24"/>
        </w:rPr>
      </w:pPr>
      <w:r>
        <w:rPr>
          <w:sz w:val="24"/>
        </w:rPr>
        <w:t>For each technical requirement where the proposed arrangement will not meet the </w:t>
      </w:r>
      <w:r>
        <w:rPr>
          <w:i/>
          <w:sz w:val="24"/>
        </w:rPr>
        <w:t>automatic access standards </w:t>
      </w:r>
      <w:r>
        <w:rPr>
          <w:sz w:val="24"/>
        </w:rPr>
        <w:t>nominated by the </w:t>
      </w:r>
      <w:r>
        <w:rPr>
          <w:i/>
          <w:sz w:val="24"/>
        </w:rPr>
        <w:t>Distribution Network </w:t>
      </w:r>
      <w:r>
        <w:rPr>
          <w:i/>
          <w:sz w:val="24"/>
        </w:rPr>
        <w:t>Service Provider </w:t>
      </w:r>
      <w:r>
        <w:rPr>
          <w:sz w:val="24"/>
        </w:rPr>
        <w:t>pursuant to clause S5.4B(b), the </w:t>
      </w:r>
      <w:r>
        <w:rPr>
          <w:i/>
          <w:sz w:val="24"/>
        </w:rPr>
        <w:t>Connection Applicant </w:t>
      </w:r>
      <w:r>
        <w:rPr>
          <w:sz w:val="24"/>
        </w:rPr>
        <w:t>must submit with the </w:t>
      </w:r>
      <w:r>
        <w:rPr>
          <w:i/>
          <w:sz w:val="24"/>
        </w:rPr>
        <w:t>application to connect </w:t>
      </w:r>
      <w:r>
        <w:rPr>
          <w:sz w:val="24"/>
        </w:rPr>
        <w:t>a proposal for a </w:t>
      </w:r>
      <w:r>
        <w:rPr>
          <w:i/>
          <w:sz w:val="24"/>
        </w:rPr>
        <w:t>negotiated </w:t>
      </w:r>
      <w:r>
        <w:rPr>
          <w:i/>
          <w:sz w:val="24"/>
        </w:rPr>
        <w:t>access standard </w:t>
      </w:r>
      <w:r>
        <w:rPr>
          <w:sz w:val="24"/>
        </w:rPr>
        <w:t>for each such requirement to be determined in accordance with clause</w:t>
      </w:r>
      <w:r>
        <w:rPr>
          <w:spacing w:val="-3"/>
          <w:sz w:val="24"/>
        </w:rPr>
        <w:t> </w:t>
      </w:r>
      <w:r>
        <w:rPr>
          <w:sz w:val="24"/>
        </w:rPr>
        <w:t>5.3.4A.</w:t>
      </w:r>
    </w:p>
    <w:p>
      <w:pPr>
        <w:pStyle w:val="ListParagraph"/>
        <w:numPr>
          <w:ilvl w:val="2"/>
          <w:numId w:val="188"/>
        </w:numPr>
        <w:tabs>
          <w:tab w:pos="1919" w:val="left" w:leader="none"/>
        </w:tabs>
        <w:spacing w:line="240" w:lineRule="auto" w:before="120" w:after="0"/>
        <w:ind w:left="1918" w:right="0" w:hanging="567"/>
        <w:jc w:val="both"/>
        <w:rPr>
          <w:sz w:val="24"/>
        </w:rPr>
      </w:pPr>
      <w:r>
        <w:rPr>
          <w:sz w:val="24"/>
        </w:rPr>
        <w:t>The </w:t>
      </w:r>
      <w:r>
        <w:rPr>
          <w:i/>
          <w:sz w:val="24"/>
        </w:rPr>
        <w:t>Connection Applicant</w:t>
      </w:r>
      <w:r>
        <w:rPr>
          <w:i/>
          <w:spacing w:val="-1"/>
          <w:sz w:val="24"/>
        </w:rPr>
        <w:t> </w:t>
      </w:r>
      <w:r>
        <w:rPr>
          <w:sz w:val="24"/>
        </w:rPr>
        <w:t>may:</w:t>
      </w:r>
    </w:p>
    <w:p>
      <w:pPr>
        <w:pStyle w:val="ListParagraph"/>
        <w:numPr>
          <w:ilvl w:val="3"/>
          <w:numId w:val="188"/>
        </w:numPr>
        <w:tabs>
          <w:tab w:pos="2486" w:val="left" w:leader="none"/>
        </w:tabs>
        <w:spacing w:line="240" w:lineRule="auto" w:before="120" w:after="0"/>
        <w:ind w:left="2486" w:right="415" w:hanging="567"/>
        <w:jc w:val="both"/>
        <w:rPr>
          <w:sz w:val="24"/>
        </w:rPr>
      </w:pPr>
      <w:r>
        <w:rPr>
          <w:sz w:val="24"/>
        </w:rPr>
        <w:t>lodge separate </w:t>
      </w:r>
      <w:r>
        <w:rPr>
          <w:i/>
          <w:sz w:val="24"/>
        </w:rPr>
        <w:t>applications to connect </w:t>
      </w:r>
      <w:r>
        <w:rPr>
          <w:sz w:val="24"/>
        </w:rPr>
        <w:t>and separately liaise with the other </w:t>
      </w:r>
      <w:r>
        <w:rPr>
          <w:i/>
          <w:sz w:val="24"/>
        </w:rPr>
        <w:t>Network Service Providers </w:t>
      </w:r>
      <w:r>
        <w:rPr>
          <w:sz w:val="24"/>
        </w:rPr>
        <w:t>identified in clause 5.3A.5(e) who may require a form of agreement;</w:t>
      </w:r>
      <w:r>
        <w:rPr>
          <w:spacing w:val="-1"/>
          <w:sz w:val="24"/>
        </w:rPr>
        <w:t> </w:t>
      </w:r>
      <w:r>
        <w:rPr>
          <w:sz w:val="24"/>
        </w:rPr>
        <w:t>or</w:t>
      </w:r>
    </w:p>
    <w:p>
      <w:pPr>
        <w:pStyle w:val="ListParagraph"/>
        <w:numPr>
          <w:ilvl w:val="3"/>
          <w:numId w:val="188"/>
        </w:numPr>
        <w:tabs>
          <w:tab w:pos="2486" w:val="left" w:leader="none"/>
        </w:tabs>
        <w:spacing w:line="240" w:lineRule="auto" w:before="120" w:after="0"/>
        <w:ind w:left="2486" w:right="415" w:hanging="567"/>
        <w:jc w:val="both"/>
        <w:rPr>
          <w:sz w:val="24"/>
        </w:rPr>
      </w:pPr>
      <w:r>
        <w:rPr>
          <w:sz w:val="24"/>
        </w:rPr>
        <w:t>lodge one </w:t>
      </w:r>
      <w:r>
        <w:rPr>
          <w:i/>
          <w:sz w:val="24"/>
        </w:rPr>
        <w:t>application to connect </w:t>
      </w:r>
      <w:r>
        <w:rPr>
          <w:sz w:val="24"/>
        </w:rPr>
        <w:t>with the </w:t>
      </w:r>
      <w:r>
        <w:rPr>
          <w:i/>
          <w:sz w:val="24"/>
        </w:rPr>
        <w:t>Distribution Network </w:t>
      </w:r>
      <w:r>
        <w:rPr>
          <w:i/>
          <w:sz w:val="24"/>
        </w:rPr>
        <w:t>Service Provider </w:t>
      </w:r>
      <w:r>
        <w:rPr>
          <w:sz w:val="24"/>
        </w:rPr>
        <w:t>who processed the </w:t>
      </w:r>
      <w:r>
        <w:rPr>
          <w:i/>
          <w:sz w:val="24"/>
        </w:rPr>
        <w:t>connection </w:t>
      </w:r>
      <w:r>
        <w:rPr>
          <w:sz w:val="24"/>
        </w:rPr>
        <w:t>enquiry and require it to liaise with those other </w:t>
      </w:r>
      <w:r>
        <w:rPr>
          <w:i/>
          <w:sz w:val="24"/>
        </w:rPr>
        <w:t>Network Service Providers </w:t>
      </w:r>
      <w:r>
        <w:rPr>
          <w:sz w:val="24"/>
        </w:rPr>
        <w:t>and obtain and present all necessary draft agreements to the </w:t>
      </w:r>
      <w:r>
        <w:rPr>
          <w:i/>
          <w:sz w:val="24"/>
        </w:rPr>
        <w:t>Connection</w:t>
      </w:r>
      <w:r>
        <w:rPr>
          <w:i/>
          <w:spacing w:val="-3"/>
          <w:sz w:val="24"/>
        </w:rPr>
        <w:t> </w:t>
      </w:r>
      <w:r>
        <w:rPr>
          <w:i/>
          <w:sz w:val="24"/>
        </w:rPr>
        <w:t>Applicant</w:t>
      </w:r>
      <w:r>
        <w:rPr>
          <w:sz w:val="24"/>
        </w:rPr>
        <w:t>.</w:t>
      </w:r>
    </w:p>
    <w:p>
      <w:pPr>
        <w:pStyle w:val="ListParagraph"/>
        <w:numPr>
          <w:ilvl w:val="2"/>
          <w:numId w:val="188"/>
        </w:numPr>
        <w:tabs>
          <w:tab w:pos="1919" w:val="left" w:leader="none"/>
        </w:tabs>
        <w:spacing w:line="240" w:lineRule="auto" w:before="120" w:after="0"/>
        <w:ind w:left="1919" w:right="415" w:hanging="567"/>
        <w:jc w:val="both"/>
        <w:rPr>
          <w:sz w:val="24"/>
        </w:rPr>
      </w:pPr>
      <w:r>
        <w:rPr>
          <w:sz w:val="24"/>
        </w:rPr>
        <w:t>A </w:t>
      </w:r>
      <w:r>
        <w:rPr>
          <w:i/>
          <w:sz w:val="24"/>
        </w:rPr>
        <w:t>Connection Applicant </w:t>
      </w:r>
      <w:r>
        <w:rPr>
          <w:sz w:val="24"/>
        </w:rPr>
        <w:t>who proposes a </w:t>
      </w:r>
      <w:r>
        <w:rPr>
          <w:i/>
          <w:sz w:val="24"/>
        </w:rPr>
        <w:t>system strength remediation </w:t>
      </w:r>
      <w:r>
        <w:rPr>
          <w:i/>
          <w:sz w:val="24"/>
        </w:rPr>
        <w:t>scheme </w:t>
      </w:r>
      <w:r>
        <w:rPr>
          <w:sz w:val="24"/>
        </w:rPr>
        <w:t>under clause 5.3.4B must submit its proposal with the </w:t>
      </w:r>
      <w:r>
        <w:rPr>
          <w:i/>
          <w:sz w:val="24"/>
        </w:rPr>
        <w:t>application to </w:t>
      </w:r>
      <w:r>
        <w:rPr>
          <w:i/>
          <w:sz w:val="24"/>
        </w:rPr>
        <w:t>connect</w:t>
      </w:r>
      <w:r>
        <w:rPr>
          <w:sz w:val="24"/>
        </w:rPr>
        <w:t>.</w:t>
      </w:r>
    </w:p>
    <w:p>
      <w:pPr>
        <w:pStyle w:val="BodyText"/>
        <w:spacing w:before="10"/>
        <w:ind w:firstLine="0"/>
        <w:jc w:val="left"/>
        <w:rPr>
          <w:sz w:val="20"/>
        </w:rPr>
      </w:pPr>
    </w:p>
    <w:p>
      <w:pPr>
        <w:pStyle w:val="Heading4"/>
        <w:numPr>
          <w:ilvl w:val="1"/>
          <w:numId w:val="189"/>
        </w:numPr>
        <w:tabs>
          <w:tab w:pos="553" w:val="left" w:leader="none"/>
          <w:tab w:pos="1351" w:val="left" w:leader="none"/>
        </w:tabs>
        <w:spacing w:line="240" w:lineRule="auto" w:before="0" w:after="0"/>
        <w:ind w:left="552" w:right="0" w:hanging="335"/>
        <w:jc w:val="left"/>
      </w:pPr>
      <w:bookmarkStart w:name="5.3A.10 Preparation of offer to connect" w:id="484"/>
      <w:bookmarkEnd w:id="484"/>
      <w:r>
        <w:rPr>
          <w:b w:val="0"/>
        </w:rPr>
      </w:r>
      <w:bookmarkStart w:name="_bookmark200" w:id="485"/>
      <w:bookmarkEnd w:id="485"/>
      <w:r>
        <w:rPr>
          <w:b w:val="0"/>
        </w:rPr>
      </w:r>
      <w:bookmarkStart w:name="_bookmark200" w:id="486"/>
      <w:bookmarkEnd w:id="486"/>
      <w:r>
        <w:rPr/>
        <w:t>A.1</w:t>
      </w:r>
      <w:r>
        <w:rPr/>
        <w:t>0</w:t>
        <w:tab/>
        <w:t>Preparation of offer to</w:t>
      </w:r>
      <w:r>
        <w:rPr>
          <w:spacing w:val="-2"/>
        </w:rPr>
        <w:t> </w:t>
      </w:r>
      <w:r>
        <w:rPr/>
        <w:t>connect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(f)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spacing w:after="0"/>
        <w:jc w:val="both"/>
        <w:rPr>
          <w:sz w:val="20"/>
        </w:rPr>
        <w:sectPr>
          <w:pgSz w:w="11910" w:h="16840"/>
          <w:pgMar w:header="686" w:footer="637" w:top="1320" w:bottom="820" w:left="1200" w:right="1000"/>
        </w:sectPr>
      </w:pPr>
    </w:p>
    <w:p>
      <w:pPr>
        <w:pStyle w:val="ListParagraph"/>
        <w:numPr>
          <w:ilvl w:val="2"/>
          <w:numId w:val="189"/>
        </w:numPr>
        <w:tabs>
          <w:tab w:pos="1919" w:val="left" w:leader="none"/>
        </w:tabs>
        <w:spacing w:line="240" w:lineRule="auto" w:before="83" w:after="0"/>
        <w:ind w:left="1919" w:right="415" w:hanging="567"/>
        <w:jc w:val="both"/>
        <w:rPr>
          <w:sz w:val="24"/>
        </w:rPr>
      </w:pPr>
      <w:r>
        <w:rPr>
          <w:sz w:val="24"/>
        </w:rPr>
        <w:t>The </w:t>
      </w:r>
      <w:r>
        <w:rPr>
          <w:i/>
          <w:sz w:val="24"/>
        </w:rPr>
        <w:t>Distribution Network Service Provider </w:t>
      </w:r>
      <w:r>
        <w:rPr>
          <w:sz w:val="24"/>
        </w:rPr>
        <w:t>to whom the </w:t>
      </w:r>
      <w:r>
        <w:rPr>
          <w:i/>
          <w:sz w:val="24"/>
        </w:rPr>
        <w:t>application to </w:t>
      </w:r>
      <w:r>
        <w:rPr>
          <w:i/>
          <w:sz w:val="24"/>
        </w:rPr>
        <w:t>connect </w:t>
      </w:r>
      <w:r>
        <w:rPr>
          <w:sz w:val="24"/>
        </w:rPr>
        <w:t>is submitted under clause 5.3A.9(a) in accordance with the  technical requirements set out under </w:t>
      </w:r>
      <w:r>
        <w:rPr>
          <w:i/>
          <w:sz w:val="24"/>
        </w:rPr>
        <w:t>jurisdictional electricity legislation </w:t>
      </w:r>
      <w:r>
        <w:rPr>
          <w:sz w:val="24"/>
        </w:rPr>
        <w:t>must proceed to prepare an offer to </w:t>
      </w:r>
      <w:r>
        <w:rPr>
          <w:i/>
          <w:sz w:val="24"/>
        </w:rPr>
        <w:t>connect </w:t>
      </w:r>
      <w:r>
        <w:rPr>
          <w:sz w:val="24"/>
        </w:rPr>
        <w:t>in</w:t>
      </w:r>
      <w:r>
        <w:rPr>
          <w:spacing w:val="-2"/>
          <w:sz w:val="24"/>
        </w:rPr>
        <w:t> </w:t>
      </w:r>
      <w:r>
        <w:rPr>
          <w:sz w:val="24"/>
        </w:rPr>
        <w:t>response.</w:t>
      </w:r>
    </w:p>
    <w:p>
      <w:pPr>
        <w:pStyle w:val="ListParagraph"/>
        <w:numPr>
          <w:ilvl w:val="2"/>
          <w:numId w:val="189"/>
        </w:numPr>
        <w:tabs>
          <w:tab w:pos="1919" w:val="left" w:leader="none"/>
        </w:tabs>
        <w:spacing w:line="240" w:lineRule="auto" w:before="120" w:after="0"/>
        <w:ind w:left="1919" w:right="415" w:hanging="567"/>
        <w:jc w:val="both"/>
        <w:rPr>
          <w:sz w:val="24"/>
        </w:rPr>
      </w:pPr>
      <w:r>
        <w:rPr>
          <w:sz w:val="24"/>
        </w:rPr>
        <w:t>So as to maintain levels of service and quality of </w:t>
      </w:r>
      <w:r>
        <w:rPr>
          <w:i/>
          <w:sz w:val="24"/>
        </w:rPr>
        <w:t>supply </w:t>
      </w:r>
      <w:r>
        <w:rPr>
          <w:sz w:val="24"/>
        </w:rPr>
        <w:t>to existing </w:t>
      </w:r>
      <w:r>
        <w:rPr>
          <w:i/>
          <w:sz w:val="24"/>
        </w:rPr>
        <w:t>Registered Participants </w:t>
      </w:r>
      <w:r>
        <w:rPr>
          <w:sz w:val="24"/>
        </w:rPr>
        <w:t>in accordance with the </w:t>
      </w:r>
      <w:r>
        <w:rPr>
          <w:i/>
          <w:sz w:val="24"/>
        </w:rPr>
        <w:t>Rules</w:t>
      </w:r>
      <w:r>
        <w:rPr>
          <w:sz w:val="24"/>
        </w:rPr>
        <w:t>, the </w:t>
      </w:r>
      <w:r>
        <w:rPr>
          <w:i/>
          <w:sz w:val="24"/>
        </w:rPr>
        <w:t>Distribution </w:t>
      </w:r>
      <w:r>
        <w:rPr>
          <w:i/>
          <w:sz w:val="24"/>
        </w:rPr>
        <w:t>Network Service Provider </w:t>
      </w:r>
      <w:r>
        <w:rPr>
          <w:sz w:val="24"/>
        </w:rPr>
        <w:t>in preparing the offer to </w:t>
      </w:r>
      <w:r>
        <w:rPr>
          <w:i/>
          <w:sz w:val="24"/>
        </w:rPr>
        <w:t>connect </w:t>
      </w:r>
      <w:r>
        <w:rPr>
          <w:sz w:val="24"/>
        </w:rPr>
        <w:t>must consult with </w:t>
      </w:r>
      <w:r>
        <w:rPr>
          <w:i/>
          <w:sz w:val="24"/>
        </w:rPr>
        <w:t>NTESMO </w:t>
      </w:r>
      <w:r>
        <w:rPr>
          <w:sz w:val="24"/>
        </w:rPr>
        <w:t>and other </w:t>
      </w:r>
      <w:r>
        <w:rPr>
          <w:i/>
          <w:sz w:val="24"/>
        </w:rPr>
        <w:t>Registered Participants </w:t>
      </w:r>
      <w:r>
        <w:rPr>
          <w:sz w:val="24"/>
        </w:rPr>
        <w:t>with whom it has </w:t>
      </w:r>
      <w:r>
        <w:rPr>
          <w:i/>
          <w:sz w:val="24"/>
        </w:rPr>
        <w:t>connection agreements</w:t>
      </w:r>
      <w:r>
        <w:rPr>
          <w:sz w:val="24"/>
        </w:rPr>
        <w:t>, if the </w:t>
      </w:r>
      <w:r>
        <w:rPr>
          <w:i/>
          <w:sz w:val="24"/>
        </w:rPr>
        <w:t>Distribution Network Service Provider </w:t>
      </w:r>
      <w:r>
        <w:rPr>
          <w:sz w:val="24"/>
        </w:rPr>
        <w:t>believes in its reasonable opinion, that compliance with the terms and conditions of those </w:t>
      </w:r>
      <w:r>
        <w:rPr>
          <w:i/>
          <w:sz w:val="24"/>
        </w:rPr>
        <w:t>connection agreements </w:t>
      </w:r>
      <w:r>
        <w:rPr>
          <w:sz w:val="24"/>
        </w:rPr>
        <w:t>will be affected, in order </w:t>
      </w:r>
      <w:r>
        <w:rPr>
          <w:spacing w:val="-5"/>
          <w:sz w:val="24"/>
        </w:rPr>
        <w:t>to </w:t>
      </w:r>
      <w:r>
        <w:rPr>
          <w:sz w:val="24"/>
        </w:rPr>
        <w:t>assess the </w:t>
      </w:r>
      <w:r>
        <w:rPr>
          <w:i/>
          <w:sz w:val="24"/>
        </w:rPr>
        <w:t>application to connect </w:t>
      </w:r>
      <w:r>
        <w:rPr>
          <w:sz w:val="24"/>
        </w:rPr>
        <w:t>and</w:t>
      </w:r>
      <w:r>
        <w:rPr>
          <w:spacing w:val="-2"/>
          <w:sz w:val="24"/>
        </w:rPr>
        <w:t> </w:t>
      </w:r>
      <w:r>
        <w:rPr>
          <w:sz w:val="24"/>
        </w:rPr>
        <w:t>determine:</w:t>
      </w:r>
    </w:p>
    <w:p>
      <w:pPr>
        <w:pStyle w:val="ListParagraph"/>
        <w:numPr>
          <w:ilvl w:val="3"/>
          <w:numId w:val="189"/>
        </w:numPr>
        <w:tabs>
          <w:tab w:pos="2486" w:val="left" w:leader="none"/>
        </w:tabs>
        <w:spacing w:line="240" w:lineRule="auto" w:before="120" w:after="0"/>
        <w:ind w:left="2485" w:right="0" w:hanging="567"/>
        <w:jc w:val="both"/>
        <w:rPr>
          <w:sz w:val="24"/>
        </w:rPr>
      </w:pPr>
      <w:r>
        <w:rPr>
          <w:sz w:val="24"/>
        </w:rPr>
        <w:t>the technical requirements for the equipment to be</w:t>
      </w:r>
      <w:r>
        <w:rPr>
          <w:spacing w:val="-2"/>
          <w:sz w:val="24"/>
        </w:rPr>
        <w:t> </w:t>
      </w:r>
      <w:r>
        <w:rPr>
          <w:i/>
          <w:sz w:val="24"/>
        </w:rPr>
        <w:t>connected</w:t>
      </w:r>
      <w:r>
        <w:rPr>
          <w:sz w:val="24"/>
        </w:rPr>
        <w:t>;</w:t>
      </w:r>
    </w:p>
    <w:p>
      <w:pPr>
        <w:pStyle w:val="ListParagraph"/>
        <w:numPr>
          <w:ilvl w:val="3"/>
          <w:numId w:val="189"/>
        </w:numPr>
        <w:tabs>
          <w:tab w:pos="2486" w:val="left" w:leader="none"/>
        </w:tabs>
        <w:spacing w:line="240" w:lineRule="auto" w:before="120" w:after="0"/>
        <w:ind w:left="2485" w:right="0" w:hanging="567"/>
        <w:jc w:val="both"/>
        <w:rPr>
          <w:sz w:val="24"/>
        </w:rPr>
      </w:pPr>
      <w:r>
        <w:rPr>
          <w:sz w:val="24"/>
        </w:rPr>
        <w:t>the extent and cost of </w:t>
      </w:r>
      <w:r>
        <w:rPr>
          <w:i/>
          <w:sz w:val="24"/>
        </w:rPr>
        <w:t>augmentations </w:t>
      </w:r>
      <w:r>
        <w:rPr>
          <w:sz w:val="24"/>
        </w:rPr>
        <w:t>and changes to all</w:t>
      </w:r>
      <w:r>
        <w:rPr>
          <w:spacing w:val="50"/>
          <w:sz w:val="24"/>
        </w:rPr>
        <w:t> </w:t>
      </w:r>
      <w:r>
        <w:rPr>
          <w:sz w:val="24"/>
        </w:rPr>
        <w:t>affected</w:t>
      </w:r>
    </w:p>
    <w:p>
      <w:pPr>
        <w:spacing w:before="0"/>
        <w:ind w:left="2486" w:right="0" w:firstLine="0"/>
        <w:jc w:val="left"/>
        <w:rPr>
          <w:sz w:val="24"/>
        </w:rPr>
      </w:pPr>
      <w:r>
        <w:rPr>
          <w:i/>
          <w:sz w:val="24"/>
        </w:rPr>
        <w:t>networks</w:t>
      </w:r>
      <w:r>
        <w:rPr>
          <w:sz w:val="24"/>
        </w:rPr>
        <w:t>;</w:t>
      </w:r>
    </w:p>
    <w:p>
      <w:pPr>
        <w:pStyle w:val="ListParagraph"/>
        <w:numPr>
          <w:ilvl w:val="3"/>
          <w:numId w:val="189"/>
        </w:numPr>
        <w:tabs>
          <w:tab w:pos="2485" w:val="left" w:leader="none"/>
          <w:tab w:pos="2486" w:val="left" w:leader="none"/>
        </w:tabs>
        <w:spacing w:line="240" w:lineRule="auto" w:before="120" w:after="0"/>
        <w:ind w:left="2485" w:right="0" w:hanging="567"/>
        <w:jc w:val="left"/>
        <w:rPr>
          <w:sz w:val="24"/>
        </w:rPr>
      </w:pPr>
      <w:r>
        <w:rPr>
          <w:sz w:val="24"/>
        </w:rPr>
        <w:t>any consequent change in </w:t>
      </w:r>
      <w:r>
        <w:rPr>
          <w:i/>
          <w:sz w:val="24"/>
        </w:rPr>
        <w:t>network service </w:t>
      </w:r>
      <w:r>
        <w:rPr>
          <w:sz w:val="24"/>
        </w:rPr>
        <w:t>charges;</w:t>
      </w:r>
      <w:r>
        <w:rPr>
          <w:spacing w:val="-4"/>
          <w:sz w:val="24"/>
        </w:rPr>
        <w:t> </w:t>
      </w:r>
      <w:r>
        <w:rPr>
          <w:sz w:val="24"/>
        </w:rPr>
        <w:t>and</w:t>
      </w:r>
    </w:p>
    <w:p>
      <w:pPr>
        <w:pStyle w:val="ListParagraph"/>
        <w:numPr>
          <w:ilvl w:val="3"/>
          <w:numId w:val="189"/>
        </w:numPr>
        <w:tabs>
          <w:tab w:pos="2485" w:val="left" w:leader="none"/>
          <w:tab w:pos="2486" w:val="left" w:leader="none"/>
        </w:tabs>
        <w:spacing w:line="240" w:lineRule="auto" w:before="120" w:after="0"/>
        <w:ind w:left="2486" w:right="415" w:hanging="567"/>
        <w:jc w:val="left"/>
        <w:rPr>
          <w:sz w:val="24"/>
        </w:rPr>
      </w:pPr>
      <w:r>
        <w:rPr>
          <w:sz w:val="24"/>
        </w:rPr>
        <w:t>any possible material effect of this new </w:t>
      </w:r>
      <w:r>
        <w:rPr>
          <w:i/>
          <w:sz w:val="24"/>
        </w:rPr>
        <w:t>connection </w:t>
      </w:r>
      <w:r>
        <w:rPr>
          <w:sz w:val="24"/>
        </w:rPr>
        <w:t>on the </w:t>
      </w:r>
      <w:r>
        <w:rPr>
          <w:i/>
          <w:sz w:val="24"/>
        </w:rPr>
        <w:t>network </w:t>
      </w:r>
      <w:r>
        <w:rPr>
          <w:i/>
          <w:sz w:val="24"/>
        </w:rPr>
        <w:t>power transfer capability </w:t>
      </w:r>
      <w:r>
        <w:rPr>
          <w:sz w:val="24"/>
        </w:rPr>
        <w:t>including that of other</w:t>
      </w:r>
      <w:r>
        <w:rPr>
          <w:spacing w:val="-2"/>
          <w:sz w:val="24"/>
        </w:rPr>
        <w:t> </w:t>
      </w:r>
      <w:r>
        <w:rPr>
          <w:i/>
          <w:sz w:val="24"/>
        </w:rPr>
        <w:t>networks</w:t>
      </w:r>
      <w:r>
        <w:rPr>
          <w:sz w:val="24"/>
        </w:rPr>
        <w:t>.</w:t>
      </w:r>
    </w:p>
    <w:p>
      <w:pPr>
        <w:pStyle w:val="ListParagraph"/>
        <w:numPr>
          <w:ilvl w:val="2"/>
          <w:numId w:val="189"/>
        </w:numPr>
        <w:tabs>
          <w:tab w:pos="1919" w:val="left" w:leader="none"/>
        </w:tabs>
        <w:spacing w:line="240" w:lineRule="auto" w:before="120" w:after="0"/>
        <w:ind w:left="1919" w:right="415" w:hanging="567"/>
        <w:jc w:val="both"/>
        <w:rPr>
          <w:sz w:val="24"/>
        </w:rPr>
      </w:pPr>
      <w:r>
        <w:rPr>
          <w:sz w:val="24"/>
        </w:rPr>
        <w:t>If the </w:t>
      </w:r>
      <w:r>
        <w:rPr>
          <w:i/>
          <w:sz w:val="24"/>
        </w:rPr>
        <w:t>application to connect </w:t>
      </w:r>
      <w:r>
        <w:rPr>
          <w:sz w:val="24"/>
        </w:rPr>
        <w:t>involves the </w:t>
      </w:r>
      <w:r>
        <w:rPr>
          <w:i/>
          <w:sz w:val="24"/>
        </w:rPr>
        <w:t>connection </w:t>
      </w:r>
      <w:r>
        <w:rPr>
          <w:sz w:val="24"/>
        </w:rPr>
        <w:t>of </w:t>
      </w:r>
      <w:r>
        <w:rPr>
          <w:i/>
          <w:spacing w:val="-3"/>
          <w:sz w:val="24"/>
        </w:rPr>
        <w:t>embedded </w:t>
      </w:r>
      <w:r>
        <w:rPr>
          <w:i/>
          <w:sz w:val="24"/>
        </w:rPr>
        <w:t>generating units </w:t>
      </w:r>
      <w:r>
        <w:rPr>
          <w:sz w:val="24"/>
        </w:rPr>
        <w:t>having a nameplate rating of 10 MW or greater, the </w:t>
      </w:r>
      <w:r>
        <w:rPr>
          <w:i/>
          <w:sz w:val="24"/>
        </w:rPr>
        <w:t>Distribution Network Service Provider </w:t>
      </w:r>
      <w:r>
        <w:rPr>
          <w:sz w:val="24"/>
        </w:rPr>
        <w:t>must consult the relevant </w:t>
      </w:r>
      <w:r>
        <w:rPr>
          <w:i/>
          <w:sz w:val="24"/>
        </w:rPr>
        <w:t>Transmission Network Service Provider </w:t>
      </w:r>
      <w:r>
        <w:rPr>
          <w:sz w:val="24"/>
        </w:rPr>
        <w:t>regarding the impact of the </w:t>
      </w:r>
      <w:r>
        <w:rPr>
          <w:i/>
          <w:sz w:val="24"/>
        </w:rPr>
        <w:t>connection </w:t>
      </w:r>
      <w:r>
        <w:rPr>
          <w:sz w:val="24"/>
        </w:rPr>
        <w:t>contemplated by the </w:t>
      </w:r>
      <w:r>
        <w:rPr>
          <w:i/>
          <w:sz w:val="24"/>
        </w:rPr>
        <w:t>application to connect </w:t>
      </w:r>
      <w:r>
        <w:rPr>
          <w:sz w:val="24"/>
        </w:rPr>
        <w:t>on fault levels, line reclosure protocols, and stability</w:t>
      </w:r>
      <w:r>
        <w:rPr>
          <w:spacing w:val="-1"/>
          <w:sz w:val="24"/>
        </w:rPr>
        <w:t> </w:t>
      </w:r>
      <w:r>
        <w:rPr>
          <w:sz w:val="24"/>
        </w:rPr>
        <w:t>aspects.</w:t>
      </w:r>
    </w:p>
    <w:p>
      <w:pPr>
        <w:pStyle w:val="ListParagraph"/>
        <w:numPr>
          <w:ilvl w:val="2"/>
          <w:numId w:val="189"/>
        </w:numPr>
        <w:tabs>
          <w:tab w:pos="1919" w:val="left" w:leader="none"/>
        </w:tabs>
        <w:spacing w:line="240" w:lineRule="auto" w:before="120" w:after="0"/>
        <w:ind w:left="1919" w:right="414" w:hanging="567"/>
        <w:jc w:val="both"/>
        <w:rPr>
          <w:sz w:val="24"/>
        </w:rPr>
      </w:pPr>
      <w:r>
        <w:rPr>
          <w:sz w:val="24"/>
        </w:rPr>
        <w:t>The </w:t>
      </w:r>
      <w:r>
        <w:rPr>
          <w:i/>
          <w:sz w:val="24"/>
        </w:rPr>
        <w:t>Transmission Network Service Provider </w:t>
      </w:r>
      <w:r>
        <w:rPr>
          <w:sz w:val="24"/>
        </w:rPr>
        <w:t>consulted under paragraph (c) must determine the reasonable costs of addressing those matters for inclusion in the offer to </w:t>
      </w:r>
      <w:r>
        <w:rPr>
          <w:i/>
          <w:sz w:val="24"/>
        </w:rPr>
        <w:t>connect </w:t>
      </w:r>
      <w:r>
        <w:rPr>
          <w:sz w:val="24"/>
        </w:rPr>
        <w:t>and the </w:t>
      </w:r>
      <w:r>
        <w:rPr>
          <w:i/>
          <w:sz w:val="24"/>
        </w:rPr>
        <w:t>Distribution Network Service </w:t>
      </w:r>
      <w:r>
        <w:rPr>
          <w:i/>
          <w:sz w:val="24"/>
        </w:rPr>
        <w:t>Provider </w:t>
      </w:r>
      <w:r>
        <w:rPr>
          <w:sz w:val="24"/>
        </w:rPr>
        <w:t>must make it a condition of the offer to </w:t>
      </w:r>
      <w:r>
        <w:rPr>
          <w:i/>
          <w:sz w:val="24"/>
        </w:rPr>
        <w:t>connect </w:t>
      </w:r>
      <w:r>
        <w:rPr>
          <w:sz w:val="24"/>
        </w:rPr>
        <w:t>that </w:t>
      </w:r>
      <w:r>
        <w:rPr>
          <w:spacing w:val="-5"/>
          <w:sz w:val="24"/>
        </w:rPr>
        <w:t>the </w:t>
      </w:r>
      <w:r>
        <w:rPr>
          <w:i/>
          <w:sz w:val="24"/>
        </w:rPr>
        <w:t>Connection Applicant </w:t>
      </w:r>
      <w:r>
        <w:rPr>
          <w:sz w:val="24"/>
        </w:rPr>
        <w:t>pay these</w:t>
      </w:r>
      <w:r>
        <w:rPr>
          <w:spacing w:val="-1"/>
          <w:sz w:val="24"/>
        </w:rPr>
        <w:t> </w:t>
      </w:r>
      <w:r>
        <w:rPr>
          <w:sz w:val="24"/>
        </w:rPr>
        <w:t>costs.</w:t>
      </w:r>
    </w:p>
    <w:p>
      <w:pPr>
        <w:pStyle w:val="ListParagraph"/>
        <w:numPr>
          <w:ilvl w:val="2"/>
          <w:numId w:val="189"/>
        </w:numPr>
        <w:tabs>
          <w:tab w:pos="1919" w:val="left" w:leader="none"/>
        </w:tabs>
        <w:spacing w:line="240" w:lineRule="auto" w:before="120" w:after="0"/>
        <w:ind w:left="1919" w:right="414" w:hanging="567"/>
        <w:jc w:val="both"/>
        <w:rPr>
          <w:sz w:val="24"/>
        </w:rPr>
      </w:pPr>
      <w:r>
        <w:rPr>
          <w:sz w:val="24"/>
        </w:rPr>
        <w:t>The </w:t>
      </w:r>
      <w:r>
        <w:rPr>
          <w:i/>
          <w:sz w:val="24"/>
        </w:rPr>
        <w:t>Distribution Network Service Provider </w:t>
      </w:r>
      <w:r>
        <w:rPr>
          <w:sz w:val="24"/>
        </w:rPr>
        <w:t>preparing the offer to </w:t>
      </w:r>
      <w:r>
        <w:rPr>
          <w:i/>
          <w:sz w:val="24"/>
        </w:rPr>
        <w:t>connect </w:t>
      </w:r>
      <w:r>
        <w:rPr>
          <w:sz w:val="24"/>
        </w:rPr>
        <w:t>must include provision for payment of the reasonable costs associated with </w:t>
      </w:r>
      <w:r>
        <w:rPr>
          <w:i/>
          <w:sz w:val="24"/>
        </w:rPr>
        <w:t>remote control equipment </w:t>
      </w:r>
      <w:r>
        <w:rPr>
          <w:sz w:val="24"/>
        </w:rPr>
        <w:t>and </w:t>
      </w:r>
      <w:r>
        <w:rPr>
          <w:i/>
          <w:sz w:val="24"/>
        </w:rPr>
        <w:t>remote monitoring equipment </w:t>
      </w:r>
      <w:r>
        <w:rPr>
          <w:sz w:val="24"/>
        </w:rPr>
        <w:t>as required by </w:t>
      </w:r>
      <w:r>
        <w:rPr>
          <w:i/>
          <w:sz w:val="24"/>
        </w:rPr>
        <w:t>NTESMO </w:t>
      </w:r>
      <w:r>
        <w:rPr>
          <w:sz w:val="24"/>
        </w:rPr>
        <w:t>and it may be a condition of the offer to </w:t>
      </w:r>
      <w:r>
        <w:rPr>
          <w:i/>
          <w:sz w:val="24"/>
        </w:rPr>
        <w:t>connect </w:t>
      </w:r>
      <w:r>
        <w:rPr>
          <w:sz w:val="24"/>
        </w:rPr>
        <w:t>that </w:t>
      </w:r>
      <w:r>
        <w:rPr>
          <w:spacing w:val="-4"/>
          <w:sz w:val="24"/>
        </w:rPr>
        <w:t>the </w:t>
      </w:r>
      <w:r>
        <w:rPr>
          <w:i/>
          <w:sz w:val="24"/>
        </w:rPr>
        <w:t>Connection Applicant </w:t>
      </w:r>
      <w:r>
        <w:rPr>
          <w:sz w:val="24"/>
        </w:rPr>
        <w:t>pay these</w:t>
      </w:r>
      <w:r>
        <w:rPr>
          <w:spacing w:val="-1"/>
          <w:sz w:val="24"/>
        </w:rPr>
        <w:t> </w:t>
      </w:r>
      <w:r>
        <w:rPr>
          <w:sz w:val="24"/>
        </w:rPr>
        <w:t>costs.</w:t>
      </w:r>
    </w:p>
    <w:p>
      <w:pPr>
        <w:pStyle w:val="ListParagraph"/>
        <w:numPr>
          <w:ilvl w:val="2"/>
          <w:numId w:val="189"/>
        </w:numPr>
        <w:tabs>
          <w:tab w:pos="1920" w:val="left" w:leader="none"/>
        </w:tabs>
        <w:spacing w:line="240" w:lineRule="auto" w:before="120" w:after="0"/>
        <w:ind w:left="1919" w:right="415" w:hanging="567"/>
        <w:jc w:val="both"/>
        <w:rPr>
          <w:sz w:val="24"/>
        </w:rPr>
      </w:pPr>
      <w:r>
        <w:rPr>
          <w:sz w:val="24"/>
        </w:rPr>
        <w:t>The </w:t>
      </w:r>
      <w:r>
        <w:rPr>
          <w:i/>
          <w:sz w:val="24"/>
        </w:rPr>
        <w:t>Distribution Network Service Provider </w:t>
      </w:r>
      <w:r>
        <w:rPr>
          <w:sz w:val="24"/>
        </w:rPr>
        <w:t>preparing the offer to </w:t>
      </w:r>
      <w:r>
        <w:rPr>
          <w:i/>
          <w:sz w:val="24"/>
        </w:rPr>
        <w:t>connect </w:t>
      </w:r>
      <w:r>
        <w:rPr>
          <w:sz w:val="24"/>
        </w:rPr>
        <w:t>must specify in reasonable detail any </w:t>
      </w:r>
      <w:r>
        <w:rPr>
          <w:i/>
          <w:sz w:val="24"/>
        </w:rPr>
        <w:t>system strength connection works </w:t>
      </w:r>
      <w:r>
        <w:rPr>
          <w:sz w:val="24"/>
        </w:rPr>
        <w:t>to be undertaken by the </w:t>
      </w:r>
      <w:r>
        <w:rPr>
          <w:i/>
          <w:sz w:val="24"/>
        </w:rPr>
        <w:t>Distribution Network Service</w:t>
      </w:r>
      <w:r>
        <w:rPr>
          <w:i/>
          <w:spacing w:val="-4"/>
          <w:sz w:val="24"/>
        </w:rPr>
        <w:t> </w:t>
      </w:r>
      <w:r>
        <w:rPr>
          <w:i/>
          <w:sz w:val="24"/>
        </w:rPr>
        <w:t>Provider</w:t>
      </w:r>
      <w:r>
        <w:rPr>
          <w:sz w:val="24"/>
        </w:rPr>
        <w:t>.</w:t>
      </w:r>
    </w:p>
    <w:p>
      <w:pPr>
        <w:pStyle w:val="BodyText"/>
        <w:spacing w:before="10"/>
        <w:ind w:firstLine="0"/>
        <w:jc w:val="left"/>
        <w:rPr>
          <w:sz w:val="20"/>
        </w:rPr>
      </w:pPr>
    </w:p>
    <w:p>
      <w:pPr>
        <w:pStyle w:val="Heading4"/>
        <w:numPr>
          <w:ilvl w:val="1"/>
          <w:numId w:val="190"/>
        </w:numPr>
        <w:tabs>
          <w:tab w:pos="553" w:val="left" w:leader="none"/>
          <w:tab w:pos="1351" w:val="left" w:leader="none"/>
        </w:tabs>
        <w:spacing w:line="240" w:lineRule="auto" w:before="0" w:after="0"/>
        <w:ind w:left="552" w:right="0" w:hanging="335"/>
        <w:jc w:val="left"/>
      </w:pPr>
      <w:bookmarkStart w:name="5.3A.11 Technical Dispute" w:id="487"/>
      <w:bookmarkEnd w:id="487"/>
      <w:r>
        <w:rPr>
          <w:b w:val="0"/>
        </w:rPr>
      </w:r>
      <w:bookmarkStart w:name="_bookmark201" w:id="488"/>
      <w:bookmarkEnd w:id="488"/>
      <w:r>
        <w:rPr>
          <w:b w:val="0"/>
        </w:rPr>
      </w:r>
      <w:bookmarkStart w:name="_bookmark201" w:id="489"/>
      <w:bookmarkEnd w:id="489"/>
      <w:r>
        <w:rPr/>
        <w:t>A.1</w:t>
      </w:r>
      <w:r>
        <w:rPr/>
        <w:t>1</w:t>
        <w:tab/>
        <w:t>Technical</w:t>
      </w:r>
      <w:r>
        <w:rPr>
          <w:spacing w:val="-1"/>
        </w:rPr>
        <w:t> </w:t>
      </w:r>
      <w:r>
        <w:rPr/>
        <w:t>Dispute</w:t>
      </w:r>
    </w:p>
    <w:p>
      <w:pPr>
        <w:pStyle w:val="ListParagraph"/>
        <w:numPr>
          <w:ilvl w:val="2"/>
          <w:numId w:val="190"/>
        </w:numPr>
        <w:tabs>
          <w:tab w:pos="1919" w:val="left" w:leader="none"/>
        </w:tabs>
        <w:spacing w:line="240" w:lineRule="auto" w:before="120" w:after="0"/>
        <w:ind w:left="1919" w:right="414" w:hanging="567"/>
        <w:jc w:val="both"/>
        <w:rPr>
          <w:sz w:val="24"/>
        </w:rPr>
      </w:pPr>
      <w:r>
        <w:rPr>
          <w:sz w:val="24"/>
        </w:rPr>
        <w:t>Rule 8.2 applies to any dispute between a </w:t>
      </w:r>
      <w:r>
        <w:rPr>
          <w:i/>
          <w:sz w:val="24"/>
        </w:rPr>
        <w:t>Distribution Network Service </w:t>
      </w:r>
      <w:r>
        <w:rPr>
          <w:i/>
          <w:sz w:val="24"/>
        </w:rPr>
        <w:t>Provider </w:t>
      </w:r>
      <w:r>
        <w:rPr>
          <w:sz w:val="24"/>
        </w:rPr>
        <w:t>and a </w:t>
      </w:r>
      <w:r>
        <w:rPr>
          <w:i/>
          <w:sz w:val="24"/>
        </w:rPr>
        <w:t>Connection Applicant </w:t>
      </w:r>
      <w:r>
        <w:rPr>
          <w:sz w:val="24"/>
        </w:rPr>
        <w:t>as to the technical requirements to establish or modify a </w:t>
      </w:r>
      <w:r>
        <w:rPr>
          <w:i/>
          <w:sz w:val="24"/>
        </w:rPr>
        <w:t>connection </w:t>
      </w:r>
      <w:r>
        <w:rPr>
          <w:sz w:val="24"/>
        </w:rPr>
        <w:t>sought by a </w:t>
      </w:r>
      <w:r>
        <w:rPr>
          <w:i/>
          <w:sz w:val="24"/>
        </w:rPr>
        <w:t>Connection Applicant </w:t>
      </w:r>
      <w:r>
        <w:rPr>
          <w:sz w:val="24"/>
        </w:rPr>
        <w:t>in a </w:t>
      </w:r>
      <w:r>
        <w:rPr>
          <w:i/>
          <w:sz w:val="24"/>
        </w:rPr>
        <w:t>connection </w:t>
      </w:r>
      <w:r>
        <w:rPr>
          <w:sz w:val="24"/>
        </w:rPr>
        <w:t>enquiry made under clause 5.3A.5 or an </w:t>
      </w:r>
      <w:r>
        <w:rPr>
          <w:i/>
          <w:sz w:val="24"/>
        </w:rPr>
        <w:t>application to connect </w:t>
      </w:r>
      <w:r>
        <w:rPr>
          <w:sz w:val="24"/>
        </w:rPr>
        <w:t>under clause</w:t>
      </w:r>
      <w:r>
        <w:rPr>
          <w:spacing w:val="-2"/>
          <w:sz w:val="24"/>
        </w:rPr>
        <w:t> </w:t>
      </w:r>
      <w:r>
        <w:rPr>
          <w:sz w:val="24"/>
        </w:rPr>
        <w:t>5.3A.9.</w:t>
      </w:r>
    </w:p>
    <w:p>
      <w:pPr>
        <w:spacing w:after="0" w:line="240" w:lineRule="auto"/>
        <w:jc w:val="both"/>
        <w:rPr>
          <w:sz w:val="24"/>
        </w:rPr>
        <w:sectPr>
          <w:pgSz w:w="11910" w:h="16840"/>
          <w:pgMar w:header="686" w:footer="637" w:top="1320" w:bottom="820" w:left="1200" w:right="1000"/>
        </w:sectPr>
      </w:pPr>
    </w:p>
    <w:p>
      <w:pPr>
        <w:pStyle w:val="Heading4"/>
        <w:numPr>
          <w:ilvl w:val="1"/>
          <w:numId w:val="191"/>
        </w:numPr>
        <w:tabs>
          <w:tab w:pos="553" w:val="left" w:leader="none"/>
          <w:tab w:pos="1351" w:val="left" w:leader="none"/>
        </w:tabs>
        <w:spacing w:line="240" w:lineRule="auto" w:before="83" w:after="0"/>
        <w:ind w:left="552" w:right="0" w:hanging="335"/>
        <w:jc w:val="left"/>
      </w:pPr>
      <w:bookmarkStart w:name="5.3A.12 Network support payments and fun" w:id="490"/>
      <w:bookmarkEnd w:id="490"/>
      <w:r>
        <w:rPr>
          <w:b w:val="0"/>
        </w:rPr>
      </w:r>
      <w:bookmarkStart w:name="_bookmark202" w:id="491"/>
      <w:bookmarkEnd w:id="491"/>
      <w:r>
        <w:rPr>
          <w:b w:val="0"/>
        </w:rPr>
      </w:r>
      <w:bookmarkStart w:name="_bookmark202" w:id="492"/>
      <w:bookmarkEnd w:id="492"/>
      <w:r>
        <w:rPr/>
        <w:t>A.1</w:t>
      </w:r>
      <w:r>
        <w:rPr/>
        <w:t>2</w:t>
        <w:tab/>
        <w:t>Network support payments and</w:t>
      </w:r>
      <w:r>
        <w:rPr>
          <w:spacing w:val="-5"/>
        </w:rPr>
        <w:t> </w:t>
      </w:r>
      <w:r>
        <w:rPr/>
        <w:t>functions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clause 5.3A.12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clause will be revisited as part of the phased implementation of the </w:t>
      </w:r>
      <w:r>
        <w:rPr>
          <w:i/>
          <w:sz w:val="20"/>
        </w:rPr>
        <w:t>Rules </w:t>
      </w:r>
      <w:r>
        <w:rPr>
          <w:sz w:val="20"/>
        </w:rPr>
        <w:t>in this jurisdiction.</w:t>
      </w:r>
    </w:p>
    <w:p>
      <w:pPr>
        <w:pStyle w:val="ListParagraph"/>
        <w:numPr>
          <w:ilvl w:val="2"/>
          <w:numId w:val="191"/>
        </w:numPr>
        <w:tabs>
          <w:tab w:pos="1919" w:val="left" w:leader="none"/>
        </w:tabs>
        <w:spacing w:line="240" w:lineRule="auto" w:before="120" w:after="0"/>
        <w:ind w:left="1919" w:right="415" w:hanging="567"/>
        <w:jc w:val="both"/>
        <w:rPr>
          <w:sz w:val="24"/>
        </w:rPr>
      </w:pPr>
      <w:r>
        <w:rPr>
          <w:sz w:val="24"/>
        </w:rPr>
        <w:t>When negotiating the amount of a </w:t>
      </w:r>
      <w:r>
        <w:rPr>
          <w:i/>
          <w:sz w:val="24"/>
        </w:rPr>
        <w:t>network support payment </w:t>
      </w:r>
      <w:r>
        <w:rPr>
          <w:sz w:val="24"/>
        </w:rPr>
        <w:t>with an </w:t>
      </w:r>
      <w:r>
        <w:rPr>
          <w:i/>
          <w:sz w:val="24"/>
        </w:rPr>
        <w:t>Embedded Generator</w:t>
      </w:r>
      <w:r>
        <w:rPr>
          <w:sz w:val="24"/>
        </w:rPr>
        <w:t>, the </w:t>
      </w:r>
      <w:r>
        <w:rPr>
          <w:i/>
          <w:sz w:val="24"/>
        </w:rPr>
        <w:t>Transmission Network Service Provider </w:t>
      </w:r>
      <w:r>
        <w:rPr>
          <w:sz w:val="24"/>
        </w:rPr>
        <w:t>must take into account</w:t>
      </w:r>
      <w:r>
        <w:rPr>
          <w:spacing w:val="-2"/>
          <w:sz w:val="24"/>
        </w:rPr>
        <w:t> </w:t>
      </w:r>
      <w:r>
        <w:rPr>
          <w:sz w:val="24"/>
        </w:rPr>
        <w:t>the:</w:t>
      </w:r>
    </w:p>
    <w:p>
      <w:pPr>
        <w:pStyle w:val="ListParagraph"/>
        <w:numPr>
          <w:ilvl w:val="3"/>
          <w:numId w:val="191"/>
        </w:numPr>
        <w:tabs>
          <w:tab w:pos="2486" w:val="left" w:leader="none"/>
        </w:tabs>
        <w:spacing w:line="240" w:lineRule="auto" w:before="120" w:after="0"/>
        <w:ind w:left="2485" w:right="0" w:hanging="567"/>
        <w:jc w:val="both"/>
        <w:rPr>
          <w:sz w:val="24"/>
        </w:rPr>
      </w:pPr>
      <w:r>
        <w:rPr>
          <w:sz w:val="24"/>
        </w:rPr>
        <w:t>nature</w:t>
      </w:r>
      <w:r>
        <w:rPr>
          <w:spacing w:val="31"/>
          <w:sz w:val="24"/>
        </w:rPr>
        <w:t> </w:t>
      </w:r>
      <w:r>
        <w:rPr>
          <w:sz w:val="24"/>
        </w:rPr>
        <w:t>of</w:t>
      </w:r>
      <w:r>
        <w:rPr>
          <w:spacing w:val="30"/>
          <w:sz w:val="24"/>
        </w:rPr>
        <w:t> </w:t>
      </w:r>
      <w:r>
        <w:rPr>
          <w:sz w:val="24"/>
        </w:rPr>
        <w:t>the</w:t>
      </w:r>
      <w:r>
        <w:rPr>
          <w:spacing w:val="31"/>
          <w:sz w:val="24"/>
        </w:rPr>
        <w:t> </w:t>
      </w:r>
      <w:r>
        <w:rPr>
          <w:i/>
          <w:sz w:val="24"/>
        </w:rPr>
        <w:t>network</w:t>
      </w:r>
      <w:r>
        <w:rPr>
          <w:i/>
          <w:spacing w:val="2"/>
          <w:sz w:val="24"/>
        </w:rPr>
        <w:t> </w:t>
      </w:r>
      <w:r>
        <w:rPr>
          <w:sz w:val="24"/>
        </w:rPr>
        <w:t>support</w:t>
      </w:r>
      <w:r>
        <w:rPr>
          <w:spacing w:val="31"/>
          <w:sz w:val="24"/>
        </w:rPr>
        <w:t> </w:t>
      </w:r>
      <w:r>
        <w:rPr>
          <w:sz w:val="24"/>
        </w:rPr>
        <w:t>services</w:t>
      </w:r>
      <w:r>
        <w:rPr>
          <w:spacing w:val="31"/>
          <w:sz w:val="24"/>
        </w:rPr>
        <w:t> </w:t>
      </w:r>
      <w:r>
        <w:rPr>
          <w:sz w:val="24"/>
        </w:rPr>
        <w:t>being</w:t>
      </w:r>
      <w:r>
        <w:rPr>
          <w:spacing w:val="31"/>
          <w:sz w:val="24"/>
        </w:rPr>
        <w:t> </w:t>
      </w:r>
      <w:r>
        <w:rPr>
          <w:sz w:val="24"/>
        </w:rPr>
        <w:t>provided</w:t>
      </w:r>
      <w:r>
        <w:rPr>
          <w:spacing w:val="31"/>
          <w:sz w:val="24"/>
        </w:rPr>
        <w:t> </w:t>
      </w:r>
      <w:r>
        <w:rPr>
          <w:sz w:val="24"/>
        </w:rPr>
        <w:t>by</w:t>
      </w:r>
      <w:r>
        <w:rPr>
          <w:spacing w:val="31"/>
          <w:sz w:val="24"/>
        </w:rPr>
        <w:t> </w:t>
      </w:r>
      <w:r>
        <w:rPr>
          <w:sz w:val="24"/>
        </w:rPr>
        <w:t>the</w:t>
      </w:r>
    </w:p>
    <w:p>
      <w:pPr>
        <w:spacing w:before="0"/>
        <w:ind w:left="2486" w:right="0" w:firstLine="0"/>
        <w:jc w:val="both"/>
        <w:rPr>
          <w:sz w:val="24"/>
        </w:rPr>
      </w:pPr>
      <w:r>
        <w:rPr>
          <w:i/>
          <w:sz w:val="24"/>
        </w:rPr>
        <w:t>Embedded Generator</w:t>
      </w:r>
      <w:r>
        <w:rPr>
          <w:sz w:val="24"/>
        </w:rPr>
        <w:t>; and</w:t>
      </w:r>
    </w:p>
    <w:p>
      <w:pPr>
        <w:pStyle w:val="ListParagraph"/>
        <w:numPr>
          <w:ilvl w:val="3"/>
          <w:numId w:val="191"/>
        </w:numPr>
        <w:tabs>
          <w:tab w:pos="2486" w:val="left" w:leader="none"/>
        </w:tabs>
        <w:spacing w:line="240" w:lineRule="auto" w:before="120" w:after="0"/>
        <w:ind w:left="2486" w:right="416" w:hanging="567"/>
        <w:jc w:val="both"/>
        <w:rPr>
          <w:sz w:val="24"/>
        </w:rPr>
      </w:pPr>
      <w:r>
        <w:rPr>
          <w:sz w:val="24"/>
        </w:rPr>
        <w:t>extent to which the </w:t>
      </w:r>
      <w:r>
        <w:rPr>
          <w:i/>
          <w:sz w:val="24"/>
        </w:rPr>
        <w:t>Embedded Generator </w:t>
      </w:r>
      <w:r>
        <w:rPr>
          <w:sz w:val="24"/>
        </w:rPr>
        <w:t>is being, or will be, compensated for providing those </w:t>
      </w:r>
      <w:r>
        <w:rPr>
          <w:i/>
          <w:sz w:val="24"/>
        </w:rPr>
        <w:t>network </w:t>
      </w:r>
      <w:r>
        <w:rPr>
          <w:sz w:val="24"/>
        </w:rPr>
        <w:t>support services by receiving </w:t>
      </w:r>
      <w:r>
        <w:rPr>
          <w:i/>
          <w:sz w:val="24"/>
        </w:rPr>
        <w:t>avoided Customer TUOS</w:t>
      </w:r>
      <w:r>
        <w:rPr>
          <w:i/>
          <w:spacing w:val="-2"/>
          <w:sz w:val="24"/>
        </w:rPr>
        <w:t> </w:t>
      </w:r>
      <w:r>
        <w:rPr>
          <w:i/>
          <w:sz w:val="24"/>
        </w:rPr>
        <w:t>charges</w:t>
      </w:r>
      <w:r>
        <w:rPr>
          <w:sz w:val="24"/>
        </w:rPr>
        <w:t>.</w:t>
      </w:r>
    </w:p>
    <w:p>
      <w:pPr>
        <w:pStyle w:val="ListParagraph"/>
        <w:numPr>
          <w:ilvl w:val="2"/>
          <w:numId w:val="191"/>
        </w:numPr>
        <w:tabs>
          <w:tab w:pos="1919" w:val="left" w:leader="none"/>
        </w:tabs>
        <w:spacing w:line="240" w:lineRule="auto" w:before="120" w:after="0"/>
        <w:ind w:left="1919" w:right="415" w:hanging="567"/>
        <w:jc w:val="both"/>
        <w:rPr>
          <w:sz w:val="24"/>
        </w:rPr>
      </w:pPr>
      <w:r>
        <w:rPr>
          <w:sz w:val="24"/>
        </w:rPr>
        <w:t>Where the relevant </w:t>
      </w:r>
      <w:r>
        <w:rPr>
          <w:i/>
          <w:sz w:val="24"/>
        </w:rPr>
        <w:t>Transmission Network Service Provider </w:t>
      </w:r>
      <w:r>
        <w:rPr>
          <w:sz w:val="24"/>
        </w:rPr>
        <w:t>or </w:t>
      </w:r>
      <w:r>
        <w:rPr>
          <w:i/>
          <w:sz w:val="24"/>
        </w:rPr>
        <w:t>Distribution </w:t>
      </w:r>
      <w:r>
        <w:rPr>
          <w:i/>
          <w:sz w:val="24"/>
        </w:rPr>
        <w:t>Network Service Provider </w:t>
      </w:r>
      <w:r>
        <w:rPr>
          <w:sz w:val="24"/>
        </w:rPr>
        <w:t>decides to implement a </w:t>
      </w:r>
      <w:r>
        <w:rPr>
          <w:i/>
          <w:sz w:val="24"/>
        </w:rPr>
        <w:t>generation </w:t>
      </w:r>
      <w:r>
        <w:rPr>
          <w:sz w:val="24"/>
        </w:rPr>
        <w:t>option as an alternative to </w:t>
      </w:r>
      <w:r>
        <w:rPr>
          <w:i/>
          <w:sz w:val="24"/>
        </w:rPr>
        <w:t>network augmentation</w:t>
      </w:r>
      <w:r>
        <w:rPr>
          <w:sz w:val="24"/>
        </w:rPr>
        <w:t>, the </w:t>
      </w:r>
      <w:r>
        <w:rPr>
          <w:i/>
          <w:sz w:val="24"/>
        </w:rPr>
        <w:t>Network Service Provider</w:t>
      </w:r>
      <w:r>
        <w:rPr>
          <w:i/>
          <w:spacing w:val="-4"/>
          <w:sz w:val="24"/>
        </w:rPr>
        <w:t> </w:t>
      </w:r>
      <w:r>
        <w:rPr>
          <w:sz w:val="24"/>
        </w:rPr>
        <w:t>must:</w:t>
      </w:r>
    </w:p>
    <w:p>
      <w:pPr>
        <w:pStyle w:val="ListParagraph"/>
        <w:numPr>
          <w:ilvl w:val="3"/>
          <w:numId w:val="191"/>
        </w:numPr>
        <w:tabs>
          <w:tab w:pos="2486" w:val="left" w:leader="none"/>
        </w:tabs>
        <w:spacing w:line="240" w:lineRule="auto" w:before="120" w:after="0"/>
        <w:ind w:left="2486" w:right="416" w:hanging="567"/>
        <w:jc w:val="both"/>
        <w:rPr>
          <w:sz w:val="24"/>
        </w:rPr>
      </w:pPr>
      <w:r>
        <w:rPr>
          <w:sz w:val="24"/>
        </w:rPr>
        <w:t>register the </w:t>
      </w:r>
      <w:r>
        <w:rPr>
          <w:i/>
          <w:sz w:val="24"/>
        </w:rPr>
        <w:t>generating unit </w:t>
      </w:r>
      <w:r>
        <w:rPr>
          <w:sz w:val="24"/>
        </w:rPr>
        <w:t>with </w:t>
      </w:r>
      <w:r>
        <w:rPr>
          <w:i/>
          <w:sz w:val="24"/>
        </w:rPr>
        <w:t>AEMO </w:t>
      </w:r>
      <w:r>
        <w:rPr>
          <w:sz w:val="24"/>
        </w:rPr>
        <w:t>and specify that the </w:t>
      </w:r>
      <w:r>
        <w:rPr>
          <w:i/>
          <w:sz w:val="24"/>
        </w:rPr>
        <w:t>generating unit </w:t>
      </w:r>
      <w:r>
        <w:rPr>
          <w:sz w:val="24"/>
        </w:rPr>
        <w:t>may be periodically used to provide a </w:t>
      </w:r>
      <w:r>
        <w:rPr>
          <w:i/>
          <w:sz w:val="24"/>
        </w:rPr>
        <w:t>network </w:t>
      </w:r>
      <w:r>
        <w:rPr>
          <w:sz w:val="24"/>
        </w:rPr>
        <w:t>support function and will not be eligible to set </w:t>
      </w:r>
      <w:r>
        <w:rPr>
          <w:i/>
          <w:sz w:val="24"/>
        </w:rPr>
        <w:t>spot prices </w:t>
      </w:r>
      <w:r>
        <w:rPr>
          <w:sz w:val="24"/>
        </w:rPr>
        <w:t>when </w:t>
      </w:r>
      <w:r>
        <w:rPr>
          <w:i/>
          <w:sz w:val="24"/>
        </w:rPr>
        <w:t>constrained </w:t>
      </w:r>
      <w:r>
        <w:rPr>
          <w:sz w:val="24"/>
        </w:rPr>
        <w:t>on in accordance with clause 3.9.7;</w:t>
      </w:r>
      <w:r>
        <w:rPr>
          <w:spacing w:val="-2"/>
          <w:sz w:val="24"/>
        </w:rPr>
        <w:t> </w:t>
      </w:r>
      <w:r>
        <w:rPr>
          <w:sz w:val="24"/>
        </w:rPr>
        <w:t>and</w:t>
      </w:r>
    </w:p>
    <w:p>
      <w:pPr>
        <w:pStyle w:val="ListParagraph"/>
        <w:numPr>
          <w:ilvl w:val="3"/>
          <w:numId w:val="191"/>
        </w:numPr>
        <w:tabs>
          <w:tab w:pos="2486" w:val="left" w:leader="none"/>
        </w:tabs>
        <w:spacing w:line="240" w:lineRule="auto" w:before="120" w:after="0"/>
        <w:ind w:left="2486" w:right="414" w:hanging="567"/>
        <w:jc w:val="both"/>
        <w:rPr>
          <w:sz w:val="24"/>
        </w:rPr>
      </w:pPr>
      <w:r>
        <w:rPr>
          <w:sz w:val="24"/>
        </w:rPr>
        <w:t>include the cost of this </w:t>
      </w:r>
      <w:r>
        <w:rPr>
          <w:i/>
          <w:sz w:val="24"/>
        </w:rPr>
        <w:t>network </w:t>
      </w:r>
      <w:r>
        <w:rPr>
          <w:sz w:val="24"/>
        </w:rPr>
        <w:t>support service in the calculation of </w:t>
      </w:r>
      <w:r>
        <w:rPr>
          <w:i/>
          <w:sz w:val="24"/>
        </w:rPr>
        <w:t>transmission service </w:t>
      </w:r>
      <w:r>
        <w:rPr>
          <w:sz w:val="24"/>
        </w:rPr>
        <w:t>and </w:t>
      </w:r>
      <w:r>
        <w:rPr>
          <w:i/>
          <w:sz w:val="24"/>
        </w:rPr>
        <w:t>distribution service </w:t>
      </w:r>
      <w:r>
        <w:rPr>
          <w:sz w:val="24"/>
        </w:rPr>
        <w:t>prices determined in accordance with Chapter 6 or Chapter 6A, as the case may</w:t>
      </w:r>
      <w:r>
        <w:rPr>
          <w:spacing w:val="-5"/>
          <w:sz w:val="24"/>
        </w:rPr>
        <w:t> </w:t>
      </w:r>
      <w:r>
        <w:rPr>
          <w:sz w:val="24"/>
        </w:rPr>
        <w:t>be.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3"/>
        <w:numPr>
          <w:ilvl w:val="1"/>
          <w:numId w:val="192"/>
        </w:numPr>
        <w:tabs>
          <w:tab w:pos="581" w:val="left" w:leader="none"/>
          <w:tab w:pos="1351" w:val="left" w:leader="none"/>
        </w:tabs>
        <w:spacing w:line="240" w:lineRule="auto" w:before="0" w:after="0"/>
        <w:ind w:left="580" w:right="0" w:hanging="363"/>
        <w:jc w:val="left"/>
      </w:pPr>
      <w:bookmarkStart w:name="5.3AA Access arrangements relating to Di" w:id="493"/>
      <w:bookmarkEnd w:id="493"/>
      <w:r>
        <w:rPr>
          <w:b w:val="0"/>
        </w:rPr>
      </w:r>
      <w:bookmarkStart w:name="_bookmark203" w:id="494"/>
      <w:bookmarkEnd w:id="494"/>
      <w:r>
        <w:rPr>
          <w:b w:val="0"/>
        </w:rPr>
      </w:r>
      <w:bookmarkStart w:name="_bookmark203" w:id="495"/>
      <w:bookmarkEnd w:id="495"/>
      <w:r>
        <w:rPr/>
        <w:t>A</w:t>
      </w:r>
      <w:r>
        <w:rPr/>
        <w:t>A</w:t>
        <w:tab/>
        <w:t>Access arrangements relating to Distribution</w:t>
      </w:r>
      <w:r>
        <w:rPr>
          <w:spacing w:val="-11"/>
        </w:rPr>
        <w:t> </w:t>
      </w:r>
      <w:r>
        <w:rPr/>
        <w:t>Networks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(h), (i) and, (j) of this rule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pStyle w:val="ListParagraph"/>
        <w:numPr>
          <w:ilvl w:val="2"/>
          <w:numId w:val="192"/>
        </w:numPr>
        <w:tabs>
          <w:tab w:pos="1919" w:val="left" w:leader="none"/>
        </w:tabs>
        <w:spacing w:line="240" w:lineRule="auto" w:before="120" w:after="0"/>
        <w:ind w:left="1918" w:right="0" w:hanging="567"/>
        <w:jc w:val="both"/>
        <w:rPr>
          <w:sz w:val="24"/>
        </w:rPr>
      </w:pPr>
      <w:r>
        <w:rPr>
          <w:sz w:val="24"/>
        </w:rPr>
        <w:t>In this rule</w:t>
      </w:r>
      <w:r>
        <w:rPr>
          <w:spacing w:val="-1"/>
          <w:sz w:val="24"/>
        </w:rPr>
        <w:t> </w:t>
      </w:r>
      <w:r>
        <w:rPr>
          <w:sz w:val="24"/>
        </w:rPr>
        <w:t>5.3AA:</w:t>
      </w:r>
    </w:p>
    <w:p>
      <w:pPr>
        <w:pStyle w:val="ListParagraph"/>
        <w:numPr>
          <w:ilvl w:val="3"/>
          <w:numId w:val="192"/>
        </w:numPr>
        <w:tabs>
          <w:tab w:pos="2486" w:val="left" w:leader="none"/>
        </w:tabs>
        <w:spacing w:line="240" w:lineRule="auto" w:before="120" w:after="0"/>
        <w:ind w:left="2486" w:right="414" w:hanging="567"/>
        <w:jc w:val="both"/>
        <w:rPr>
          <w:sz w:val="24"/>
        </w:rPr>
      </w:pPr>
      <w:r>
        <w:rPr>
          <w:sz w:val="24"/>
        </w:rPr>
        <w:t>the </w:t>
      </w:r>
      <w:r>
        <w:rPr>
          <w:i/>
          <w:sz w:val="24"/>
        </w:rPr>
        <w:t>Distribution Network Service Provider </w:t>
      </w:r>
      <w:r>
        <w:rPr>
          <w:sz w:val="24"/>
        </w:rPr>
        <w:t>is the </w:t>
      </w:r>
      <w:r>
        <w:rPr>
          <w:i/>
          <w:sz w:val="24"/>
        </w:rPr>
        <w:t>Distribution Network </w:t>
      </w:r>
      <w:r>
        <w:rPr>
          <w:i/>
          <w:sz w:val="24"/>
        </w:rPr>
        <w:t>Service Provider </w:t>
      </w:r>
      <w:r>
        <w:rPr>
          <w:sz w:val="24"/>
        </w:rPr>
        <w:t>required under clauses 5.3.3 or 5.3A.5 to process and respond to a </w:t>
      </w:r>
      <w:r>
        <w:rPr>
          <w:i/>
          <w:sz w:val="24"/>
        </w:rPr>
        <w:t>connection </w:t>
      </w:r>
      <w:r>
        <w:rPr>
          <w:sz w:val="24"/>
        </w:rPr>
        <w:t>enquiry or required under clauses 5.3.5 </w:t>
      </w:r>
      <w:r>
        <w:rPr>
          <w:spacing w:val="-5"/>
          <w:sz w:val="24"/>
        </w:rPr>
        <w:t>or </w:t>
      </w:r>
      <w:r>
        <w:rPr>
          <w:sz w:val="24"/>
        </w:rPr>
        <w:t>5.3A.10 to prepare an offer to </w:t>
      </w:r>
      <w:r>
        <w:rPr>
          <w:i/>
          <w:sz w:val="24"/>
        </w:rPr>
        <w:t>connect </w:t>
      </w:r>
      <w:r>
        <w:rPr>
          <w:sz w:val="24"/>
        </w:rPr>
        <w:t>for the establishment or modification of a </w:t>
      </w:r>
      <w:r>
        <w:rPr>
          <w:i/>
          <w:sz w:val="24"/>
        </w:rPr>
        <w:t>connection </w:t>
      </w:r>
      <w:r>
        <w:rPr>
          <w:sz w:val="24"/>
        </w:rPr>
        <w:t>to the </w:t>
      </w:r>
      <w:r>
        <w:rPr>
          <w:i/>
          <w:sz w:val="24"/>
        </w:rPr>
        <w:t>distribution network </w:t>
      </w:r>
      <w:r>
        <w:rPr>
          <w:sz w:val="24"/>
        </w:rPr>
        <w:t>owned, controlled or operated by that </w:t>
      </w:r>
      <w:r>
        <w:rPr>
          <w:i/>
          <w:sz w:val="24"/>
        </w:rPr>
        <w:t>Distribution Network Service Provider </w:t>
      </w:r>
      <w:r>
        <w:rPr>
          <w:sz w:val="24"/>
        </w:rPr>
        <w:t>or for the provision of </w:t>
      </w:r>
      <w:r>
        <w:rPr>
          <w:i/>
          <w:sz w:val="24"/>
        </w:rPr>
        <w:t>network service</w:t>
      </w:r>
      <w:r>
        <w:rPr>
          <w:sz w:val="24"/>
        </w:rPr>
        <w:t>;</w:t>
      </w:r>
      <w:r>
        <w:rPr>
          <w:spacing w:val="-2"/>
          <w:sz w:val="24"/>
        </w:rPr>
        <w:t> </w:t>
      </w:r>
      <w:r>
        <w:rPr>
          <w:sz w:val="24"/>
        </w:rPr>
        <w:t>and</w:t>
      </w:r>
    </w:p>
    <w:p>
      <w:pPr>
        <w:pStyle w:val="ListParagraph"/>
        <w:numPr>
          <w:ilvl w:val="3"/>
          <w:numId w:val="192"/>
        </w:numPr>
        <w:tabs>
          <w:tab w:pos="2486" w:val="left" w:leader="none"/>
        </w:tabs>
        <w:spacing w:line="240" w:lineRule="auto" w:before="120" w:after="0"/>
        <w:ind w:left="2486" w:right="414" w:hanging="567"/>
        <w:jc w:val="both"/>
        <w:rPr>
          <w:sz w:val="24"/>
        </w:rPr>
      </w:pPr>
      <w:r>
        <w:rPr>
          <w:sz w:val="24"/>
        </w:rPr>
        <w:t>the references to a </w:t>
      </w:r>
      <w:r>
        <w:rPr>
          <w:i/>
          <w:sz w:val="24"/>
        </w:rPr>
        <w:t>Connection Applicant </w:t>
      </w:r>
      <w:r>
        <w:rPr>
          <w:sz w:val="24"/>
        </w:rPr>
        <w:t>are to an </w:t>
      </w:r>
      <w:r>
        <w:rPr>
          <w:i/>
          <w:sz w:val="24"/>
        </w:rPr>
        <w:t>Embedded </w:t>
      </w:r>
      <w:r>
        <w:rPr>
          <w:i/>
          <w:sz w:val="24"/>
        </w:rPr>
        <w:t>Generator </w:t>
      </w:r>
      <w:r>
        <w:rPr>
          <w:sz w:val="24"/>
        </w:rPr>
        <w:t>or </w:t>
      </w:r>
      <w:r>
        <w:rPr>
          <w:i/>
          <w:sz w:val="24"/>
        </w:rPr>
        <w:t>Market Network Service Provider </w:t>
      </w:r>
      <w:r>
        <w:rPr>
          <w:sz w:val="24"/>
        </w:rPr>
        <w:t>who makes a </w:t>
      </w:r>
      <w:r>
        <w:rPr>
          <w:i/>
          <w:sz w:val="24"/>
        </w:rPr>
        <w:t>connection</w:t>
      </w:r>
      <w:r>
        <w:rPr>
          <w:i/>
          <w:spacing w:val="15"/>
          <w:sz w:val="24"/>
        </w:rPr>
        <w:t> </w:t>
      </w:r>
      <w:r>
        <w:rPr>
          <w:sz w:val="24"/>
        </w:rPr>
        <w:t>enquiry</w:t>
      </w:r>
      <w:r>
        <w:rPr>
          <w:spacing w:val="16"/>
          <w:sz w:val="24"/>
        </w:rPr>
        <w:t> </w:t>
      </w:r>
      <w:r>
        <w:rPr>
          <w:sz w:val="24"/>
        </w:rPr>
        <w:t>under</w:t>
      </w:r>
      <w:r>
        <w:rPr>
          <w:spacing w:val="16"/>
          <w:sz w:val="24"/>
        </w:rPr>
        <w:t> </w:t>
      </w:r>
      <w:r>
        <w:rPr>
          <w:sz w:val="24"/>
        </w:rPr>
        <w:t>clauses</w:t>
      </w:r>
      <w:r>
        <w:rPr>
          <w:spacing w:val="15"/>
          <w:sz w:val="24"/>
        </w:rPr>
        <w:t> </w:t>
      </w:r>
      <w:r>
        <w:rPr>
          <w:sz w:val="24"/>
        </w:rPr>
        <w:t>5.3.2</w:t>
      </w:r>
      <w:r>
        <w:rPr>
          <w:spacing w:val="16"/>
          <w:sz w:val="24"/>
        </w:rPr>
        <w:t> </w:t>
      </w:r>
      <w:r>
        <w:rPr>
          <w:sz w:val="24"/>
        </w:rPr>
        <w:t>or</w:t>
      </w:r>
      <w:r>
        <w:rPr>
          <w:spacing w:val="16"/>
          <w:sz w:val="24"/>
        </w:rPr>
        <w:t> </w:t>
      </w:r>
      <w:r>
        <w:rPr>
          <w:sz w:val="24"/>
        </w:rPr>
        <w:t>5.3A.5</w:t>
      </w:r>
      <w:r>
        <w:rPr>
          <w:spacing w:val="15"/>
          <w:sz w:val="24"/>
        </w:rPr>
        <w:t> </w:t>
      </w:r>
      <w:r>
        <w:rPr>
          <w:sz w:val="24"/>
        </w:rPr>
        <w:t>or</w:t>
      </w:r>
      <w:r>
        <w:rPr>
          <w:spacing w:val="16"/>
          <w:sz w:val="24"/>
        </w:rPr>
        <w:t> </w:t>
      </w:r>
      <w:r>
        <w:rPr>
          <w:sz w:val="24"/>
        </w:rPr>
        <w:t>an</w:t>
      </w:r>
      <w:r>
        <w:rPr>
          <w:spacing w:val="16"/>
          <w:sz w:val="24"/>
        </w:rPr>
        <w:t> </w:t>
      </w:r>
      <w:r>
        <w:rPr>
          <w:sz w:val="24"/>
        </w:rPr>
        <w:t>application</w:t>
      </w:r>
      <w:r>
        <w:rPr>
          <w:spacing w:val="16"/>
          <w:sz w:val="24"/>
        </w:rPr>
        <w:t> </w:t>
      </w:r>
      <w:r>
        <w:rPr>
          <w:sz w:val="24"/>
        </w:rPr>
        <w:t>to</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i/>
          <w:sz w:val="24"/>
        </w:rPr>
        <w:t>connect </w:t>
      </w:r>
      <w:r>
        <w:rPr>
          <w:sz w:val="24"/>
        </w:rPr>
        <w:t>under clauses 5.3.4 or 5.3A.10 in relation to any </w:t>
      </w:r>
      <w:r>
        <w:rPr>
          <w:i/>
          <w:sz w:val="24"/>
        </w:rPr>
        <w:t>generating </w:t>
      </w:r>
      <w:r>
        <w:rPr>
          <w:i/>
          <w:sz w:val="24"/>
        </w:rPr>
        <w:t>units </w:t>
      </w:r>
      <w:r>
        <w:rPr>
          <w:sz w:val="24"/>
        </w:rPr>
        <w:t>or group of </w:t>
      </w:r>
      <w:r>
        <w:rPr>
          <w:i/>
          <w:sz w:val="24"/>
        </w:rPr>
        <w:t>generating units</w:t>
      </w:r>
      <w:r>
        <w:rPr>
          <w:sz w:val="24"/>
        </w:rPr>
        <w:t>, or any </w:t>
      </w:r>
      <w:r>
        <w:rPr>
          <w:i/>
          <w:sz w:val="24"/>
        </w:rPr>
        <w:t>network elements </w:t>
      </w:r>
      <w:r>
        <w:rPr>
          <w:sz w:val="24"/>
        </w:rPr>
        <w:t>used in the provision of </w:t>
      </w:r>
      <w:r>
        <w:rPr>
          <w:i/>
          <w:sz w:val="24"/>
        </w:rPr>
        <w:t>network service</w:t>
      </w:r>
      <w:r>
        <w:rPr>
          <w:sz w:val="24"/>
        </w:rPr>
        <w:t>, as the case may be.</w:t>
      </w:r>
    </w:p>
    <w:p>
      <w:pPr>
        <w:pStyle w:val="ListParagraph"/>
        <w:numPr>
          <w:ilvl w:val="2"/>
          <w:numId w:val="192"/>
        </w:numPr>
        <w:tabs>
          <w:tab w:pos="1919" w:val="left" w:leader="none"/>
        </w:tabs>
        <w:spacing w:line="240" w:lineRule="auto" w:before="120" w:after="0"/>
        <w:ind w:left="1919" w:right="415" w:hanging="567"/>
        <w:jc w:val="both"/>
        <w:rPr>
          <w:sz w:val="24"/>
        </w:rPr>
      </w:pPr>
      <w:r>
        <w:rPr>
          <w:sz w:val="24"/>
        </w:rPr>
        <w:t>If requested by a </w:t>
      </w:r>
      <w:r>
        <w:rPr>
          <w:i/>
          <w:sz w:val="24"/>
        </w:rPr>
        <w:t>Connection Applicant</w:t>
      </w:r>
      <w:r>
        <w:rPr>
          <w:sz w:val="24"/>
        </w:rPr>
        <w:t>, whether as part of a </w:t>
      </w:r>
      <w:r>
        <w:rPr>
          <w:i/>
          <w:sz w:val="24"/>
        </w:rPr>
        <w:t>connection </w:t>
      </w:r>
      <w:r>
        <w:rPr>
          <w:sz w:val="24"/>
        </w:rPr>
        <w:t>enquiry, application to </w:t>
      </w:r>
      <w:r>
        <w:rPr>
          <w:i/>
          <w:sz w:val="24"/>
        </w:rPr>
        <w:t>connect </w:t>
      </w:r>
      <w:r>
        <w:rPr>
          <w:sz w:val="24"/>
        </w:rPr>
        <w:t>or the subsequent negotiation of a </w:t>
      </w:r>
      <w:r>
        <w:rPr>
          <w:i/>
          <w:sz w:val="24"/>
        </w:rPr>
        <w:t>connection agreement</w:t>
      </w:r>
      <w:r>
        <w:rPr>
          <w:sz w:val="24"/>
        </w:rPr>
        <w:t>, the </w:t>
      </w:r>
      <w:r>
        <w:rPr>
          <w:i/>
          <w:sz w:val="24"/>
        </w:rPr>
        <w:t>Distribution Network Service Provider </w:t>
      </w:r>
      <w:r>
        <w:rPr>
          <w:sz w:val="24"/>
        </w:rPr>
        <w:t>must negotiate in good faith with the </w:t>
      </w:r>
      <w:r>
        <w:rPr>
          <w:i/>
          <w:sz w:val="24"/>
        </w:rPr>
        <w:t>Connection Applicant </w:t>
      </w:r>
      <w:r>
        <w:rPr>
          <w:sz w:val="24"/>
        </w:rPr>
        <w:t>to reach agreement in respect of the </w:t>
      </w:r>
      <w:r>
        <w:rPr>
          <w:i/>
          <w:sz w:val="24"/>
        </w:rPr>
        <w:t>distribution network user access </w:t>
      </w:r>
      <w:r>
        <w:rPr>
          <w:sz w:val="24"/>
        </w:rPr>
        <w:t>arrangements sought by the </w:t>
      </w:r>
      <w:r>
        <w:rPr>
          <w:i/>
          <w:sz w:val="24"/>
        </w:rPr>
        <w:t>Connection</w:t>
      </w:r>
      <w:r>
        <w:rPr>
          <w:i/>
          <w:spacing w:val="-1"/>
          <w:sz w:val="24"/>
        </w:rPr>
        <w:t> </w:t>
      </w:r>
      <w:r>
        <w:rPr>
          <w:i/>
          <w:sz w:val="24"/>
        </w:rPr>
        <w:t>Applicant</w:t>
      </w:r>
      <w:r>
        <w:rPr>
          <w:sz w:val="24"/>
        </w:rPr>
        <w:t>.</w:t>
      </w:r>
    </w:p>
    <w:p>
      <w:pPr>
        <w:pStyle w:val="ListParagraph"/>
        <w:numPr>
          <w:ilvl w:val="2"/>
          <w:numId w:val="192"/>
        </w:numPr>
        <w:tabs>
          <w:tab w:pos="1919" w:val="left" w:leader="none"/>
        </w:tabs>
        <w:spacing w:line="240" w:lineRule="auto" w:before="120" w:after="0"/>
        <w:ind w:left="1918" w:right="0" w:hanging="567"/>
        <w:jc w:val="both"/>
        <w:rPr>
          <w:sz w:val="24"/>
        </w:rPr>
      </w:pPr>
      <w:r>
        <w:rPr>
          <w:sz w:val="24"/>
        </w:rPr>
        <w:t>As a basis for negotiations under paragraph</w:t>
      </w:r>
      <w:r>
        <w:rPr>
          <w:spacing w:val="-2"/>
          <w:sz w:val="24"/>
        </w:rPr>
        <w:t> </w:t>
      </w:r>
      <w:r>
        <w:rPr>
          <w:sz w:val="24"/>
        </w:rPr>
        <w:t>(b):</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the </w:t>
      </w:r>
      <w:r>
        <w:rPr>
          <w:i/>
          <w:sz w:val="24"/>
        </w:rPr>
        <w:t>Connection Applicant </w:t>
      </w:r>
      <w:r>
        <w:rPr>
          <w:sz w:val="24"/>
        </w:rPr>
        <w:t>must provide to the </w:t>
      </w:r>
      <w:r>
        <w:rPr>
          <w:i/>
          <w:sz w:val="24"/>
        </w:rPr>
        <w:t>Distribution Network </w:t>
      </w:r>
      <w:r>
        <w:rPr>
          <w:i/>
          <w:sz w:val="24"/>
        </w:rPr>
        <w:t>Service Provider </w:t>
      </w:r>
      <w:r>
        <w:rPr>
          <w:sz w:val="24"/>
        </w:rPr>
        <w:t>such information as is reasonably requested relating to the expected operation</w:t>
      </w:r>
      <w:r>
        <w:rPr>
          <w:spacing w:val="-1"/>
          <w:sz w:val="24"/>
        </w:rPr>
        <w:t> </w:t>
      </w:r>
      <w:r>
        <w:rPr>
          <w:sz w:val="24"/>
        </w:rPr>
        <w:t>of:</w:t>
      </w:r>
    </w:p>
    <w:p>
      <w:pPr>
        <w:pStyle w:val="ListParagraph"/>
        <w:numPr>
          <w:ilvl w:val="4"/>
          <w:numId w:val="192"/>
        </w:numPr>
        <w:tabs>
          <w:tab w:pos="3053" w:val="left" w:leader="none"/>
        </w:tabs>
        <w:spacing w:line="240" w:lineRule="auto" w:before="120" w:after="0"/>
        <w:ind w:left="3052" w:right="0" w:hanging="567"/>
        <w:jc w:val="both"/>
        <w:rPr>
          <w:sz w:val="24"/>
        </w:rPr>
      </w:pPr>
      <w:r>
        <w:rPr>
          <w:sz w:val="24"/>
        </w:rPr>
        <w:t>its </w:t>
      </w:r>
      <w:r>
        <w:rPr>
          <w:i/>
          <w:sz w:val="24"/>
        </w:rPr>
        <w:t>generating units </w:t>
      </w:r>
      <w:r>
        <w:rPr>
          <w:sz w:val="24"/>
        </w:rPr>
        <w:t>(in the case of an </w:t>
      </w:r>
      <w:r>
        <w:rPr>
          <w:i/>
          <w:sz w:val="24"/>
        </w:rPr>
        <w:t>Embedded Generator</w:t>
      </w:r>
      <w:r>
        <w:rPr>
          <w:sz w:val="24"/>
        </w:rPr>
        <w:t>);</w:t>
      </w:r>
      <w:r>
        <w:rPr>
          <w:spacing w:val="-7"/>
          <w:sz w:val="24"/>
        </w:rPr>
        <w:t> </w:t>
      </w:r>
      <w:r>
        <w:rPr>
          <w:sz w:val="24"/>
        </w:rPr>
        <w:t>or</w:t>
      </w:r>
    </w:p>
    <w:p>
      <w:pPr>
        <w:pStyle w:val="ListParagraph"/>
        <w:numPr>
          <w:ilvl w:val="4"/>
          <w:numId w:val="192"/>
        </w:numPr>
        <w:tabs>
          <w:tab w:pos="3054" w:val="left" w:leader="none"/>
        </w:tabs>
        <w:spacing w:line="240" w:lineRule="auto" w:before="120" w:after="0"/>
        <w:ind w:left="3053" w:right="416" w:hanging="567"/>
        <w:jc w:val="both"/>
        <w:rPr>
          <w:sz w:val="24"/>
        </w:rPr>
      </w:pPr>
      <w:r>
        <w:rPr>
          <w:sz w:val="24"/>
        </w:rPr>
        <w:t>its </w:t>
      </w:r>
      <w:r>
        <w:rPr>
          <w:i/>
          <w:sz w:val="24"/>
        </w:rPr>
        <w:t>network elements </w:t>
      </w:r>
      <w:r>
        <w:rPr>
          <w:sz w:val="24"/>
        </w:rPr>
        <w:t>used in the provision of </w:t>
      </w:r>
      <w:r>
        <w:rPr>
          <w:i/>
          <w:sz w:val="24"/>
        </w:rPr>
        <w:t>network service </w:t>
      </w:r>
      <w:r>
        <w:rPr>
          <w:sz w:val="24"/>
        </w:rPr>
        <w:t>(in the case of a </w:t>
      </w:r>
      <w:r>
        <w:rPr>
          <w:i/>
          <w:sz w:val="24"/>
        </w:rPr>
        <w:t>Market Network Service Provider</w:t>
      </w:r>
      <w:r>
        <w:rPr>
          <w:sz w:val="24"/>
        </w:rPr>
        <w:t>);</w:t>
      </w:r>
      <w:r>
        <w:rPr>
          <w:spacing w:val="-4"/>
          <w:sz w:val="24"/>
        </w:rPr>
        <w:t> </w:t>
      </w:r>
      <w:r>
        <w:rPr>
          <w:sz w:val="24"/>
        </w:rPr>
        <w:t>and</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must provide to the </w:t>
      </w:r>
      <w:r>
        <w:rPr>
          <w:i/>
          <w:sz w:val="24"/>
        </w:rPr>
        <w:t>Connection Applicant </w:t>
      </w:r>
      <w:r>
        <w:rPr>
          <w:sz w:val="24"/>
        </w:rPr>
        <w:t>such information as is reasonably requested to allow the </w:t>
      </w:r>
      <w:r>
        <w:rPr>
          <w:i/>
          <w:sz w:val="24"/>
        </w:rPr>
        <w:t>Connection Applicant </w:t>
      </w:r>
      <w:r>
        <w:rPr>
          <w:sz w:val="24"/>
        </w:rPr>
        <w:t>to fully assess the commercial significance of the </w:t>
      </w:r>
      <w:r>
        <w:rPr>
          <w:i/>
          <w:sz w:val="24"/>
        </w:rPr>
        <w:t>distribution network user access </w:t>
      </w:r>
      <w:r>
        <w:rPr>
          <w:sz w:val="24"/>
        </w:rPr>
        <w:t>arrangements sought by the </w:t>
      </w:r>
      <w:r>
        <w:rPr>
          <w:i/>
          <w:sz w:val="24"/>
        </w:rPr>
        <w:t>Connection Applicant </w:t>
      </w:r>
      <w:r>
        <w:rPr>
          <w:sz w:val="24"/>
        </w:rPr>
        <w:t>and offered by the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2"/>
          <w:numId w:val="192"/>
        </w:numPr>
        <w:tabs>
          <w:tab w:pos="1919" w:val="left" w:leader="none"/>
        </w:tabs>
        <w:spacing w:line="240" w:lineRule="auto" w:before="120" w:after="0"/>
        <w:ind w:left="1918" w:right="0" w:hanging="567"/>
        <w:jc w:val="both"/>
        <w:rPr>
          <w:i/>
          <w:sz w:val="24"/>
        </w:rPr>
      </w:pPr>
      <w:r>
        <w:rPr>
          <w:sz w:val="24"/>
        </w:rPr>
        <w:t>A </w:t>
      </w:r>
      <w:r>
        <w:rPr>
          <w:i/>
          <w:sz w:val="24"/>
        </w:rPr>
        <w:t>Connection Applicant </w:t>
      </w:r>
      <w:r>
        <w:rPr>
          <w:sz w:val="24"/>
        </w:rPr>
        <w:t>may seek </w:t>
      </w:r>
      <w:r>
        <w:rPr>
          <w:i/>
          <w:sz w:val="24"/>
        </w:rPr>
        <w:t>distribution network user</w:t>
      </w:r>
      <w:r>
        <w:rPr>
          <w:i/>
          <w:spacing w:val="56"/>
          <w:sz w:val="24"/>
        </w:rPr>
        <w:t> </w:t>
      </w:r>
      <w:r>
        <w:rPr>
          <w:i/>
          <w:sz w:val="24"/>
        </w:rPr>
        <w:t>access</w:t>
      </w:r>
    </w:p>
    <w:p>
      <w:pPr>
        <w:spacing w:before="0"/>
        <w:ind w:left="1919" w:right="0" w:firstLine="0"/>
        <w:jc w:val="both"/>
        <w:rPr>
          <w:sz w:val="24"/>
        </w:rPr>
      </w:pPr>
      <w:r>
        <w:rPr>
          <w:sz w:val="24"/>
        </w:rPr>
        <w:t>arrangements at any level of </w:t>
      </w:r>
      <w:r>
        <w:rPr>
          <w:i/>
          <w:sz w:val="24"/>
        </w:rPr>
        <w:t>power transfer capability </w:t>
      </w:r>
      <w:r>
        <w:rPr>
          <w:sz w:val="24"/>
        </w:rPr>
        <w:t>between zero and:</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in the case of an </w:t>
      </w:r>
      <w:r>
        <w:rPr>
          <w:i/>
          <w:sz w:val="24"/>
        </w:rPr>
        <w:t>Embedded Generator</w:t>
      </w:r>
      <w:r>
        <w:rPr>
          <w:sz w:val="24"/>
        </w:rPr>
        <w:t>, the </w:t>
      </w:r>
      <w:r>
        <w:rPr>
          <w:i/>
          <w:sz w:val="24"/>
        </w:rPr>
        <w:t>maximum power input </w:t>
      </w:r>
      <w:r>
        <w:rPr>
          <w:sz w:val="24"/>
        </w:rPr>
        <w:t>of the relevant </w:t>
      </w:r>
      <w:r>
        <w:rPr>
          <w:i/>
          <w:sz w:val="24"/>
        </w:rPr>
        <w:t>generating units </w:t>
      </w:r>
      <w:r>
        <w:rPr>
          <w:sz w:val="24"/>
        </w:rPr>
        <w:t>or group of </w:t>
      </w:r>
      <w:r>
        <w:rPr>
          <w:i/>
          <w:sz w:val="24"/>
        </w:rPr>
        <w:t>generating units</w:t>
      </w:r>
      <w:r>
        <w:rPr>
          <w:sz w:val="24"/>
        </w:rPr>
        <w:t>;</w:t>
      </w:r>
      <w:r>
        <w:rPr>
          <w:spacing w:val="-3"/>
          <w:sz w:val="24"/>
        </w:rPr>
        <w:t> </w:t>
      </w:r>
      <w:r>
        <w:rPr>
          <w:sz w:val="24"/>
        </w:rPr>
        <w:t>and</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in the case of a </w:t>
      </w:r>
      <w:r>
        <w:rPr>
          <w:i/>
          <w:sz w:val="24"/>
        </w:rPr>
        <w:t>Market Network Service Provider</w:t>
      </w:r>
      <w:r>
        <w:rPr>
          <w:sz w:val="24"/>
        </w:rPr>
        <w:t>, the </w:t>
      </w:r>
      <w:r>
        <w:rPr>
          <w:i/>
          <w:sz w:val="24"/>
        </w:rPr>
        <w:t>power transfer </w:t>
      </w:r>
      <w:r>
        <w:rPr>
          <w:i/>
          <w:sz w:val="24"/>
        </w:rPr>
        <w:t>capability </w:t>
      </w:r>
      <w:r>
        <w:rPr>
          <w:sz w:val="24"/>
        </w:rPr>
        <w:t>of the relevant </w:t>
      </w:r>
      <w:r>
        <w:rPr>
          <w:i/>
          <w:sz w:val="24"/>
        </w:rPr>
        <w:t>network</w:t>
      </w:r>
      <w:r>
        <w:rPr>
          <w:i/>
          <w:spacing w:val="-1"/>
          <w:sz w:val="24"/>
        </w:rPr>
        <w:t> </w:t>
      </w:r>
      <w:r>
        <w:rPr>
          <w:i/>
          <w:sz w:val="24"/>
        </w:rPr>
        <w:t>elements</w:t>
      </w:r>
      <w:r>
        <w:rPr>
          <w:sz w:val="24"/>
        </w:rPr>
        <w:t>.</w:t>
      </w:r>
    </w:p>
    <w:p>
      <w:pPr>
        <w:pStyle w:val="ListParagraph"/>
        <w:numPr>
          <w:ilvl w:val="2"/>
          <w:numId w:val="192"/>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 </w:t>
      </w:r>
      <w:r>
        <w:rPr>
          <w:sz w:val="24"/>
        </w:rPr>
        <w:t>must use reasonable endeavours to provide the </w:t>
      </w:r>
      <w:r>
        <w:rPr>
          <w:i/>
          <w:sz w:val="24"/>
        </w:rPr>
        <w:t>distribution network user access </w:t>
      </w:r>
      <w:r>
        <w:rPr>
          <w:sz w:val="24"/>
        </w:rPr>
        <w:t>arrangements being sought by the </w:t>
      </w:r>
      <w:r>
        <w:rPr>
          <w:i/>
          <w:sz w:val="24"/>
        </w:rPr>
        <w:t>Connection Applicant </w:t>
      </w:r>
      <w:r>
        <w:rPr>
          <w:sz w:val="24"/>
        </w:rPr>
        <w:t>subject to those arrangements being consistent with </w:t>
      </w:r>
      <w:r>
        <w:rPr>
          <w:i/>
          <w:sz w:val="24"/>
        </w:rPr>
        <w:t>good electricity industry practice</w:t>
      </w:r>
      <w:r>
        <w:rPr>
          <w:i/>
          <w:spacing w:val="-3"/>
          <w:sz w:val="24"/>
        </w:rPr>
        <w:t> </w:t>
      </w:r>
      <w:r>
        <w:rPr>
          <w:sz w:val="24"/>
        </w:rPr>
        <w:t>considering:</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the </w:t>
      </w:r>
      <w:r>
        <w:rPr>
          <w:i/>
          <w:sz w:val="24"/>
        </w:rPr>
        <w:t>distribution connection assets </w:t>
      </w:r>
      <w:r>
        <w:rPr>
          <w:sz w:val="24"/>
        </w:rPr>
        <w:t>to be provided by the </w:t>
      </w:r>
      <w:r>
        <w:rPr>
          <w:i/>
          <w:sz w:val="24"/>
        </w:rPr>
        <w:t>Distribution </w:t>
      </w:r>
      <w:r>
        <w:rPr>
          <w:i/>
          <w:sz w:val="24"/>
        </w:rPr>
        <w:t>Network Service Provider </w:t>
      </w:r>
      <w:r>
        <w:rPr>
          <w:sz w:val="24"/>
        </w:rPr>
        <w:t>or otherwise at the </w:t>
      </w:r>
      <w:r>
        <w:rPr>
          <w:i/>
          <w:sz w:val="24"/>
        </w:rPr>
        <w:t>connection point</w:t>
      </w:r>
      <w:r>
        <w:rPr>
          <w:sz w:val="24"/>
        </w:rPr>
        <w:t>;</w:t>
      </w:r>
      <w:r>
        <w:rPr>
          <w:spacing w:val="-5"/>
          <w:sz w:val="24"/>
        </w:rPr>
        <w:t> </w:t>
      </w:r>
      <w:r>
        <w:rPr>
          <w:sz w:val="24"/>
        </w:rPr>
        <w:t>and</w:t>
      </w:r>
    </w:p>
    <w:p>
      <w:pPr>
        <w:pStyle w:val="ListParagraph"/>
        <w:numPr>
          <w:ilvl w:val="3"/>
          <w:numId w:val="192"/>
        </w:numPr>
        <w:tabs>
          <w:tab w:pos="2486" w:val="left" w:leader="none"/>
        </w:tabs>
        <w:spacing w:line="240" w:lineRule="auto" w:before="120" w:after="0"/>
        <w:ind w:left="2486" w:right="414" w:hanging="567"/>
        <w:jc w:val="both"/>
        <w:rPr>
          <w:sz w:val="24"/>
        </w:rPr>
      </w:pPr>
      <w:r>
        <w:rPr>
          <w:sz w:val="24"/>
        </w:rPr>
        <w:t>the potential </w:t>
      </w:r>
      <w:r>
        <w:rPr>
          <w:i/>
          <w:sz w:val="24"/>
        </w:rPr>
        <w:t>augmentations </w:t>
      </w:r>
      <w:r>
        <w:rPr>
          <w:sz w:val="24"/>
        </w:rPr>
        <w:t>or </w:t>
      </w:r>
      <w:r>
        <w:rPr>
          <w:i/>
          <w:sz w:val="24"/>
        </w:rPr>
        <w:t>extensions </w:t>
      </w:r>
      <w:r>
        <w:rPr>
          <w:sz w:val="24"/>
        </w:rPr>
        <w:t>required to be undertaken  on all affected </w:t>
      </w:r>
      <w:r>
        <w:rPr>
          <w:i/>
          <w:sz w:val="24"/>
        </w:rPr>
        <w:t>transmission networks </w:t>
      </w:r>
      <w:r>
        <w:rPr>
          <w:sz w:val="24"/>
        </w:rPr>
        <w:t>or </w:t>
      </w:r>
      <w:r>
        <w:rPr>
          <w:i/>
          <w:sz w:val="24"/>
        </w:rPr>
        <w:t>distribution networks </w:t>
      </w:r>
      <w:r>
        <w:rPr>
          <w:sz w:val="24"/>
        </w:rPr>
        <w:t>to provide that level of </w:t>
      </w:r>
      <w:r>
        <w:rPr>
          <w:i/>
          <w:sz w:val="24"/>
        </w:rPr>
        <w:t>power transfer capability </w:t>
      </w:r>
      <w:r>
        <w:rPr>
          <w:sz w:val="24"/>
        </w:rPr>
        <w:t>over the period of the </w:t>
      </w:r>
      <w:r>
        <w:rPr>
          <w:i/>
          <w:sz w:val="24"/>
        </w:rPr>
        <w:t>connection agreement </w:t>
      </w:r>
      <w:r>
        <w:rPr>
          <w:sz w:val="24"/>
        </w:rPr>
        <w:t>taking into account the amount of </w:t>
      </w:r>
      <w:r>
        <w:rPr>
          <w:i/>
          <w:sz w:val="24"/>
        </w:rPr>
        <w:t>power </w:t>
      </w:r>
      <w:r>
        <w:rPr>
          <w:i/>
          <w:sz w:val="24"/>
        </w:rPr>
        <w:t>transfer capability </w:t>
      </w:r>
      <w:r>
        <w:rPr>
          <w:sz w:val="24"/>
        </w:rPr>
        <w:t>provided to other </w:t>
      </w:r>
      <w:r>
        <w:rPr>
          <w:i/>
          <w:sz w:val="24"/>
        </w:rPr>
        <w:t>Registered Participants </w:t>
      </w:r>
      <w:r>
        <w:rPr>
          <w:spacing w:val="-3"/>
          <w:sz w:val="24"/>
        </w:rPr>
        <w:t>under</w:t>
      </w:r>
      <w:r>
        <w:rPr>
          <w:spacing w:val="54"/>
          <w:sz w:val="24"/>
        </w:rPr>
        <w:t> </w:t>
      </w:r>
      <w:r>
        <w:rPr>
          <w:i/>
          <w:sz w:val="24"/>
        </w:rPr>
        <w:t>distribution network user access </w:t>
      </w:r>
      <w:r>
        <w:rPr>
          <w:sz w:val="24"/>
        </w:rPr>
        <w:t>arrangements in respect of all affected </w:t>
      </w:r>
      <w:r>
        <w:rPr>
          <w:i/>
          <w:sz w:val="24"/>
        </w:rPr>
        <w:t>distribution</w:t>
      </w:r>
      <w:r>
        <w:rPr>
          <w:i/>
          <w:spacing w:val="-1"/>
          <w:sz w:val="24"/>
        </w:rPr>
        <w:t> </w:t>
      </w:r>
      <w:r>
        <w:rPr>
          <w:i/>
          <w:sz w:val="24"/>
        </w:rPr>
        <w:t>networks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2"/>
          <w:numId w:val="192"/>
        </w:numPr>
        <w:tabs>
          <w:tab w:pos="1920" w:val="left" w:leader="none"/>
        </w:tabs>
        <w:spacing w:line="240" w:lineRule="auto" w:before="83" w:after="0"/>
        <w:ind w:left="1919" w:right="0" w:hanging="568"/>
        <w:jc w:val="both"/>
        <w:rPr>
          <w:i/>
          <w:sz w:val="24"/>
        </w:rPr>
      </w:pPr>
      <w:r>
        <w:rPr>
          <w:sz w:val="24"/>
        </w:rPr>
        <w:t>The</w:t>
      </w:r>
      <w:r>
        <w:rPr>
          <w:spacing w:val="34"/>
          <w:sz w:val="24"/>
        </w:rPr>
        <w:t> </w:t>
      </w:r>
      <w:r>
        <w:rPr>
          <w:i/>
          <w:sz w:val="24"/>
        </w:rPr>
        <w:t>Distribution</w:t>
      </w:r>
      <w:r>
        <w:rPr>
          <w:i/>
          <w:spacing w:val="35"/>
          <w:sz w:val="24"/>
        </w:rPr>
        <w:t> </w:t>
      </w:r>
      <w:r>
        <w:rPr>
          <w:i/>
          <w:sz w:val="24"/>
        </w:rPr>
        <w:t>Network</w:t>
      </w:r>
      <w:r>
        <w:rPr>
          <w:i/>
          <w:spacing w:val="35"/>
          <w:sz w:val="24"/>
        </w:rPr>
        <w:t> </w:t>
      </w:r>
      <w:r>
        <w:rPr>
          <w:i/>
          <w:sz w:val="24"/>
        </w:rPr>
        <w:t>Service</w:t>
      </w:r>
      <w:r>
        <w:rPr>
          <w:i/>
          <w:spacing w:val="35"/>
          <w:sz w:val="24"/>
        </w:rPr>
        <w:t> </w:t>
      </w:r>
      <w:r>
        <w:rPr>
          <w:i/>
          <w:sz w:val="24"/>
        </w:rPr>
        <w:t>Provider</w:t>
      </w:r>
      <w:r>
        <w:rPr>
          <w:i/>
          <w:spacing w:val="35"/>
          <w:sz w:val="24"/>
        </w:rPr>
        <w:t> </w:t>
      </w:r>
      <w:r>
        <w:rPr>
          <w:sz w:val="24"/>
        </w:rPr>
        <w:t>and</w:t>
      </w:r>
      <w:r>
        <w:rPr>
          <w:spacing w:val="35"/>
          <w:sz w:val="24"/>
        </w:rPr>
        <w:t> </w:t>
      </w:r>
      <w:r>
        <w:rPr>
          <w:sz w:val="24"/>
        </w:rPr>
        <w:t>the</w:t>
      </w:r>
      <w:r>
        <w:rPr>
          <w:spacing w:val="35"/>
          <w:sz w:val="24"/>
        </w:rPr>
        <w:t> </w:t>
      </w:r>
      <w:r>
        <w:rPr>
          <w:i/>
          <w:sz w:val="24"/>
        </w:rPr>
        <w:t>Connection</w:t>
      </w:r>
      <w:r>
        <w:rPr>
          <w:i/>
          <w:spacing w:val="35"/>
          <w:sz w:val="24"/>
        </w:rPr>
        <w:t> </w:t>
      </w:r>
      <w:r>
        <w:rPr>
          <w:i/>
          <w:sz w:val="24"/>
        </w:rPr>
        <w:t>Applicant</w:t>
      </w:r>
    </w:p>
    <w:p>
      <w:pPr>
        <w:pStyle w:val="BodyText"/>
        <w:spacing w:before="0"/>
        <w:ind w:left="1919" w:firstLine="0"/>
      </w:pPr>
      <w:r>
        <w:rPr/>
        <w:t>must negotiate in good faith to reach agreement as appropriate on:</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the </w:t>
      </w:r>
      <w:r>
        <w:rPr>
          <w:i/>
          <w:sz w:val="24"/>
        </w:rPr>
        <w:t>connection service </w:t>
      </w:r>
      <w:r>
        <w:rPr>
          <w:sz w:val="24"/>
        </w:rPr>
        <w:t>charge to be paid by the </w:t>
      </w:r>
      <w:r>
        <w:rPr>
          <w:i/>
          <w:sz w:val="24"/>
        </w:rPr>
        <w:t>Connection Applicant </w:t>
      </w:r>
      <w:r>
        <w:rPr>
          <w:sz w:val="24"/>
        </w:rPr>
        <w:t>in relation to </w:t>
      </w:r>
      <w:r>
        <w:rPr>
          <w:i/>
          <w:sz w:val="24"/>
        </w:rPr>
        <w:t>distribution connection assets </w:t>
      </w:r>
      <w:r>
        <w:rPr>
          <w:sz w:val="24"/>
        </w:rPr>
        <w:t>to be provided by </w:t>
      </w:r>
      <w:r>
        <w:rPr>
          <w:spacing w:val="-4"/>
          <w:sz w:val="24"/>
        </w:rPr>
        <w:t>the </w:t>
      </w:r>
      <w:r>
        <w:rPr>
          <w:i/>
          <w:sz w:val="24"/>
        </w:rPr>
        <w:t>Distribution Network Service</w:t>
      </w:r>
      <w:r>
        <w:rPr>
          <w:i/>
          <w:spacing w:val="-2"/>
          <w:sz w:val="24"/>
        </w:rPr>
        <w:t> </w:t>
      </w:r>
      <w:r>
        <w:rPr>
          <w:i/>
          <w:sz w:val="24"/>
        </w:rPr>
        <w:t>Provider</w:t>
      </w:r>
      <w:r>
        <w:rPr>
          <w:sz w:val="24"/>
        </w:rPr>
        <w:t>;</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in the case of a </w:t>
      </w:r>
      <w:r>
        <w:rPr>
          <w:i/>
          <w:sz w:val="24"/>
        </w:rPr>
        <w:t>Market Network Service Provider</w:t>
      </w:r>
      <w:r>
        <w:rPr>
          <w:sz w:val="24"/>
        </w:rPr>
        <w:t>, the service level standards to which the </w:t>
      </w:r>
      <w:r>
        <w:rPr>
          <w:i/>
          <w:sz w:val="24"/>
        </w:rPr>
        <w:t>Market Network Service Provider </w:t>
      </w:r>
      <w:r>
        <w:rPr>
          <w:sz w:val="24"/>
        </w:rPr>
        <w:t>requires the </w:t>
      </w:r>
      <w:r>
        <w:rPr>
          <w:i/>
          <w:sz w:val="24"/>
        </w:rPr>
        <w:t>Distribution Network Service Provider </w:t>
      </w:r>
      <w:r>
        <w:rPr>
          <w:sz w:val="24"/>
        </w:rPr>
        <w:t>to adhere in providing its services;</w:t>
      </w:r>
    </w:p>
    <w:p>
      <w:pPr>
        <w:pStyle w:val="ListParagraph"/>
        <w:numPr>
          <w:ilvl w:val="3"/>
          <w:numId w:val="192"/>
        </w:numPr>
        <w:tabs>
          <w:tab w:pos="2486" w:val="left" w:leader="none"/>
        </w:tabs>
        <w:spacing w:line="240" w:lineRule="auto" w:before="120" w:after="0"/>
        <w:ind w:left="2485" w:right="0" w:hanging="567"/>
        <w:jc w:val="both"/>
        <w:rPr>
          <w:sz w:val="24"/>
        </w:rPr>
      </w:pPr>
      <w:r>
        <w:rPr>
          <w:sz w:val="24"/>
        </w:rPr>
        <w:t>the </w:t>
      </w:r>
      <w:r>
        <w:rPr>
          <w:i/>
          <w:sz w:val="24"/>
        </w:rPr>
        <w:t>use of system services </w:t>
      </w:r>
      <w:r>
        <w:rPr>
          <w:sz w:val="24"/>
        </w:rPr>
        <w:t>charge to be</w:t>
      </w:r>
      <w:r>
        <w:rPr>
          <w:spacing w:val="-4"/>
          <w:sz w:val="24"/>
        </w:rPr>
        <w:t> </w:t>
      </w:r>
      <w:r>
        <w:rPr>
          <w:sz w:val="24"/>
        </w:rPr>
        <w:t>paid:</w:t>
      </w:r>
    </w:p>
    <w:p>
      <w:pPr>
        <w:pStyle w:val="ListParagraph"/>
        <w:numPr>
          <w:ilvl w:val="4"/>
          <w:numId w:val="192"/>
        </w:numPr>
        <w:tabs>
          <w:tab w:pos="3053" w:val="left" w:leader="none"/>
        </w:tabs>
        <w:spacing w:line="240" w:lineRule="auto" w:before="120" w:after="0"/>
        <w:ind w:left="3053" w:right="415" w:hanging="567"/>
        <w:jc w:val="both"/>
        <w:rPr>
          <w:sz w:val="24"/>
        </w:rPr>
      </w:pPr>
      <w:r>
        <w:rPr>
          <w:sz w:val="24"/>
        </w:rPr>
        <w:t>by the </w:t>
      </w:r>
      <w:r>
        <w:rPr>
          <w:i/>
          <w:sz w:val="24"/>
        </w:rPr>
        <w:t>Connection Applicant </w:t>
      </w:r>
      <w:r>
        <w:rPr>
          <w:sz w:val="24"/>
        </w:rPr>
        <w:t>in relation to any </w:t>
      </w:r>
      <w:r>
        <w:rPr>
          <w:i/>
          <w:sz w:val="24"/>
        </w:rPr>
        <w:t>augmentations </w:t>
      </w:r>
      <w:r>
        <w:rPr>
          <w:sz w:val="24"/>
        </w:rPr>
        <w:t>or </w:t>
      </w:r>
      <w:r>
        <w:rPr>
          <w:i/>
          <w:sz w:val="24"/>
        </w:rPr>
        <w:t>extensions </w:t>
      </w:r>
      <w:r>
        <w:rPr>
          <w:sz w:val="24"/>
        </w:rPr>
        <w:t>required to be undertaken on all  affected </w:t>
      </w:r>
      <w:r>
        <w:rPr>
          <w:i/>
          <w:sz w:val="24"/>
        </w:rPr>
        <w:t>transmission networks </w:t>
      </w:r>
      <w:r>
        <w:rPr>
          <w:sz w:val="24"/>
        </w:rPr>
        <w:t>and </w:t>
      </w:r>
      <w:r>
        <w:rPr>
          <w:i/>
          <w:sz w:val="24"/>
        </w:rPr>
        <w:t>distribution networks</w:t>
      </w:r>
      <w:r>
        <w:rPr>
          <w:sz w:val="24"/>
        </w:rPr>
        <w:t>;</w:t>
      </w:r>
      <w:r>
        <w:rPr>
          <w:spacing w:val="-1"/>
          <w:sz w:val="24"/>
        </w:rPr>
        <w:t> </w:t>
      </w:r>
      <w:r>
        <w:rPr>
          <w:sz w:val="24"/>
        </w:rPr>
        <w:t>and</w:t>
      </w:r>
    </w:p>
    <w:p>
      <w:pPr>
        <w:pStyle w:val="ListParagraph"/>
        <w:numPr>
          <w:ilvl w:val="4"/>
          <w:numId w:val="192"/>
        </w:numPr>
        <w:tabs>
          <w:tab w:pos="3054" w:val="left" w:leader="none"/>
        </w:tabs>
        <w:spacing w:line="240" w:lineRule="auto" w:before="120" w:after="0"/>
        <w:ind w:left="3053" w:right="414" w:hanging="567"/>
        <w:jc w:val="both"/>
        <w:rPr>
          <w:sz w:val="24"/>
        </w:rPr>
      </w:pPr>
      <w:r>
        <w:rPr>
          <w:sz w:val="24"/>
        </w:rPr>
        <w:t>where the </w:t>
      </w:r>
      <w:r>
        <w:rPr>
          <w:i/>
          <w:sz w:val="24"/>
        </w:rPr>
        <w:t>Connection Applicant </w:t>
      </w:r>
      <w:r>
        <w:rPr>
          <w:sz w:val="24"/>
        </w:rPr>
        <w:t>is a </w:t>
      </w:r>
      <w:r>
        <w:rPr>
          <w:i/>
          <w:sz w:val="24"/>
        </w:rPr>
        <w:t>Market Network Service </w:t>
      </w:r>
      <w:r>
        <w:rPr>
          <w:i/>
          <w:sz w:val="24"/>
        </w:rPr>
        <w:t>Provider</w:t>
      </w:r>
      <w:r>
        <w:rPr>
          <w:sz w:val="24"/>
        </w:rPr>
        <w:t>, to the </w:t>
      </w:r>
      <w:r>
        <w:rPr>
          <w:i/>
          <w:sz w:val="24"/>
        </w:rPr>
        <w:t>Market Network Service Provider </w:t>
      </w:r>
      <w:r>
        <w:rPr>
          <w:sz w:val="24"/>
        </w:rPr>
        <w:t>in respect </w:t>
      </w:r>
      <w:r>
        <w:rPr>
          <w:spacing w:val="-6"/>
          <w:sz w:val="24"/>
        </w:rPr>
        <w:t>of </w:t>
      </w:r>
      <w:r>
        <w:rPr>
          <w:sz w:val="24"/>
        </w:rPr>
        <w:t>any reduction in the long run marginal cost of </w:t>
      </w:r>
      <w:r>
        <w:rPr>
          <w:i/>
          <w:sz w:val="24"/>
        </w:rPr>
        <w:t>augmenting </w:t>
      </w:r>
      <w:r>
        <w:rPr>
          <w:spacing w:val="-5"/>
          <w:sz w:val="24"/>
        </w:rPr>
        <w:t>the </w:t>
      </w:r>
      <w:r>
        <w:rPr>
          <w:i/>
          <w:sz w:val="24"/>
        </w:rPr>
        <w:t>distribution network </w:t>
      </w:r>
      <w:r>
        <w:rPr>
          <w:sz w:val="24"/>
        </w:rPr>
        <w:t>as a result of it being </w:t>
      </w:r>
      <w:r>
        <w:rPr>
          <w:i/>
          <w:sz w:val="24"/>
        </w:rPr>
        <w:t>connected </w:t>
      </w:r>
      <w:r>
        <w:rPr>
          <w:sz w:val="24"/>
        </w:rPr>
        <w:t>to</w:t>
      </w:r>
      <w:r>
        <w:rPr>
          <w:spacing w:val="36"/>
          <w:sz w:val="24"/>
        </w:rPr>
        <w:t> </w:t>
      </w:r>
      <w:r>
        <w:rPr>
          <w:sz w:val="24"/>
        </w:rPr>
        <w:t>the </w:t>
      </w:r>
      <w:r>
        <w:rPr>
          <w:i/>
          <w:sz w:val="24"/>
        </w:rPr>
        <w:t>distribution</w:t>
      </w:r>
      <w:r>
        <w:rPr>
          <w:i/>
          <w:spacing w:val="-1"/>
          <w:sz w:val="24"/>
        </w:rPr>
        <w:t> </w:t>
      </w:r>
      <w:r>
        <w:rPr>
          <w:i/>
          <w:sz w:val="24"/>
        </w:rPr>
        <w:t>network</w:t>
      </w:r>
      <w:r>
        <w:rPr>
          <w:sz w:val="24"/>
        </w:rPr>
        <w:t>,</w:t>
      </w:r>
    </w:p>
    <w:p>
      <w:pPr>
        <w:spacing w:before="120"/>
        <w:ind w:left="3053" w:right="0" w:firstLine="0"/>
        <w:jc w:val="both"/>
        <w:rPr>
          <w:sz w:val="24"/>
        </w:rPr>
      </w:pPr>
      <w:r>
        <w:rPr>
          <w:sz w:val="24"/>
        </w:rPr>
        <w:t>(</w:t>
      </w:r>
      <w:r>
        <w:rPr>
          <w:i/>
          <w:sz w:val="24"/>
        </w:rPr>
        <w:t>negotiated use of system charges</w:t>
      </w:r>
      <w:r>
        <w:rPr>
          <w:sz w:val="24"/>
        </w:rPr>
        <w:t>); and</w:t>
      </w:r>
    </w:p>
    <w:p>
      <w:pPr>
        <w:pStyle w:val="ListParagraph"/>
        <w:numPr>
          <w:ilvl w:val="3"/>
          <w:numId w:val="192"/>
        </w:numPr>
        <w:tabs>
          <w:tab w:pos="2486" w:val="left" w:leader="none"/>
        </w:tabs>
        <w:spacing w:line="240" w:lineRule="auto" w:before="120" w:after="0"/>
        <w:ind w:left="2485" w:right="0" w:hanging="567"/>
        <w:jc w:val="both"/>
        <w:rPr>
          <w:sz w:val="24"/>
        </w:rPr>
      </w:pPr>
      <w:r>
        <w:rPr>
          <w:sz w:val="24"/>
        </w:rPr>
        <w:t>the following</w:t>
      </w:r>
      <w:r>
        <w:rPr>
          <w:spacing w:val="-1"/>
          <w:sz w:val="24"/>
        </w:rPr>
        <w:t> </w:t>
      </w:r>
      <w:r>
        <w:rPr>
          <w:sz w:val="24"/>
        </w:rPr>
        <w:t>amounts:</w:t>
      </w:r>
    </w:p>
    <w:p>
      <w:pPr>
        <w:pStyle w:val="ListParagraph"/>
        <w:numPr>
          <w:ilvl w:val="4"/>
          <w:numId w:val="192"/>
        </w:numPr>
        <w:tabs>
          <w:tab w:pos="3053" w:val="left" w:leader="none"/>
        </w:tabs>
        <w:spacing w:line="240" w:lineRule="auto" w:before="120" w:after="0"/>
        <w:ind w:left="3053" w:right="415" w:hanging="567"/>
        <w:jc w:val="both"/>
        <w:rPr>
          <w:sz w:val="24"/>
        </w:rPr>
      </w:pPr>
      <w:r>
        <w:rPr>
          <w:sz w:val="24"/>
        </w:rPr>
        <w:t>the amount to be paid by the </w:t>
      </w:r>
      <w:r>
        <w:rPr>
          <w:i/>
          <w:sz w:val="24"/>
        </w:rPr>
        <w:t>Connection Applicant </w:t>
      </w:r>
      <w:r>
        <w:rPr>
          <w:sz w:val="24"/>
        </w:rPr>
        <w:t>to </w:t>
      </w:r>
      <w:r>
        <w:rPr>
          <w:spacing w:val="-4"/>
          <w:sz w:val="24"/>
        </w:rPr>
        <w:t>the</w:t>
      </w:r>
      <w:r>
        <w:rPr>
          <w:spacing w:val="52"/>
          <w:sz w:val="24"/>
        </w:rPr>
        <w:t> </w:t>
      </w:r>
      <w:r>
        <w:rPr>
          <w:i/>
          <w:sz w:val="24"/>
        </w:rPr>
        <w:t>Distribution Network Service Provider </w:t>
      </w:r>
      <w:r>
        <w:rPr>
          <w:sz w:val="24"/>
        </w:rPr>
        <w:t>in relation to the costs reasonably incurred by the </w:t>
      </w:r>
      <w:r>
        <w:rPr>
          <w:i/>
          <w:sz w:val="24"/>
        </w:rPr>
        <w:t>Distribution Network </w:t>
      </w:r>
      <w:r>
        <w:rPr>
          <w:i/>
          <w:spacing w:val="-3"/>
          <w:sz w:val="24"/>
        </w:rPr>
        <w:t>Service </w:t>
      </w:r>
      <w:r>
        <w:rPr>
          <w:i/>
          <w:sz w:val="24"/>
        </w:rPr>
        <w:t>Provider </w:t>
      </w:r>
      <w:r>
        <w:rPr>
          <w:sz w:val="24"/>
        </w:rPr>
        <w:t>in providing </w:t>
      </w:r>
      <w:r>
        <w:rPr>
          <w:i/>
          <w:sz w:val="24"/>
        </w:rPr>
        <w:t>distribution network user</w:t>
      </w:r>
      <w:r>
        <w:rPr>
          <w:i/>
          <w:spacing w:val="-3"/>
          <w:sz w:val="24"/>
        </w:rPr>
        <w:t> </w:t>
      </w:r>
      <w:r>
        <w:rPr>
          <w:i/>
          <w:sz w:val="24"/>
        </w:rPr>
        <w:t>access</w:t>
      </w:r>
      <w:r>
        <w:rPr>
          <w:sz w:val="24"/>
        </w:rPr>
        <w:t>;</w:t>
      </w:r>
    </w:p>
    <w:p>
      <w:pPr>
        <w:pStyle w:val="ListParagraph"/>
        <w:numPr>
          <w:ilvl w:val="4"/>
          <w:numId w:val="192"/>
        </w:numPr>
        <w:tabs>
          <w:tab w:pos="3054" w:val="left" w:leader="none"/>
        </w:tabs>
        <w:spacing w:line="240" w:lineRule="auto" w:before="120" w:after="0"/>
        <w:ind w:left="3053" w:right="0" w:hanging="568"/>
        <w:jc w:val="both"/>
        <w:rPr>
          <w:sz w:val="24"/>
        </w:rPr>
      </w:pPr>
      <w:r>
        <w:rPr>
          <w:sz w:val="24"/>
        </w:rPr>
        <w:t>where the </w:t>
      </w:r>
      <w:r>
        <w:rPr>
          <w:i/>
          <w:sz w:val="24"/>
        </w:rPr>
        <w:t>Connection Applicant </w:t>
      </w:r>
      <w:r>
        <w:rPr>
          <w:sz w:val="24"/>
        </w:rPr>
        <w:t>is an </w:t>
      </w:r>
      <w:r>
        <w:rPr>
          <w:i/>
          <w:sz w:val="24"/>
        </w:rPr>
        <w:t>Embedded</w:t>
      </w:r>
      <w:r>
        <w:rPr>
          <w:i/>
          <w:spacing w:val="-7"/>
          <w:sz w:val="24"/>
        </w:rPr>
        <w:t> </w:t>
      </w:r>
      <w:r>
        <w:rPr>
          <w:i/>
          <w:sz w:val="24"/>
        </w:rPr>
        <w:t>Generator</w:t>
      </w:r>
      <w:r>
        <w:rPr>
          <w:sz w:val="24"/>
        </w:rPr>
        <w:t>:</w:t>
      </w:r>
    </w:p>
    <w:p>
      <w:pPr>
        <w:pStyle w:val="ListParagraph"/>
        <w:numPr>
          <w:ilvl w:val="5"/>
          <w:numId w:val="192"/>
        </w:numPr>
        <w:tabs>
          <w:tab w:pos="3620" w:val="left" w:leader="none"/>
        </w:tabs>
        <w:spacing w:line="240" w:lineRule="auto" w:before="120" w:after="0"/>
        <w:ind w:left="3620" w:right="415" w:hanging="567"/>
        <w:jc w:val="both"/>
        <w:rPr>
          <w:sz w:val="24"/>
        </w:rPr>
      </w:pPr>
      <w:r>
        <w:rPr>
          <w:sz w:val="24"/>
        </w:rPr>
        <w:t>the compensation to be provided by the </w:t>
      </w:r>
      <w:r>
        <w:rPr>
          <w:i/>
          <w:sz w:val="24"/>
        </w:rPr>
        <w:t>Distribution </w:t>
      </w:r>
      <w:r>
        <w:rPr>
          <w:i/>
          <w:sz w:val="24"/>
        </w:rPr>
        <w:t>Network Service Provider </w:t>
      </w:r>
      <w:r>
        <w:rPr>
          <w:sz w:val="24"/>
        </w:rPr>
        <w:t>to the </w:t>
      </w:r>
      <w:r>
        <w:rPr>
          <w:i/>
          <w:sz w:val="24"/>
        </w:rPr>
        <w:t>Embedded Generator </w:t>
      </w:r>
      <w:r>
        <w:rPr>
          <w:sz w:val="24"/>
        </w:rPr>
        <w:t>in the event that the </w:t>
      </w:r>
      <w:r>
        <w:rPr>
          <w:i/>
          <w:sz w:val="24"/>
        </w:rPr>
        <w:t>generating units </w:t>
      </w:r>
      <w:r>
        <w:rPr>
          <w:sz w:val="24"/>
        </w:rPr>
        <w:t>or group of </w:t>
      </w:r>
      <w:r>
        <w:rPr>
          <w:i/>
          <w:sz w:val="24"/>
        </w:rPr>
        <w:t>generating </w:t>
      </w:r>
      <w:r>
        <w:rPr>
          <w:i/>
          <w:sz w:val="24"/>
        </w:rPr>
        <w:t>units </w:t>
      </w:r>
      <w:r>
        <w:rPr>
          <w:sz w:val="24"/>
        </w:rPr>
        <w:t>of the </w:t>
      </w:r>
      <w:r>
        <w:rPr>
          <w:i/>
          <w:sz w:val="24"/>
        </w:rPr>
        <w:t>Embedded Generator </w:t>
      </w:r>
      <w:r>
        <w:rPr>
          <w:sz w:val="24"/>
        </w:rPr>
        <w:t>are </w:t>
      </w:r>
      <w:r>
        <w:rPr>
          <w:i/>
          <w:sz w:val="24"/>
        </w:rPr>
        <w:t>constrained off </w:t>
      </w:r>
      <w:r>
        <w:rPr>
          <w:sz w:val="24"/>
        </w:rPr>
        <w:t>or </w:t>
      </w:r>
      <w:r>
        <w:rPr>
          <w:i/>
          <w:sz w:val="24"/>
        </w:rPr>
        <w:t>constrained on </w:t>
      </w:r>
      <w:r>
        <w:rPr>
          <w:sz w:val="24"/>
        </w:rPr>
        <w:t>during a </w:t>
      </w:r>
      <w:r>
        <w:rPr>
          <w:i/>
          <w:sz w:val="24"/>
        </w:rPr>
        <w:t>trading interval</w:t>
      </w:r>
      <w:r>
        <w:rPr>
          <w:sz w:val="24"/>
        </w:rPr>
        <w:t>;</w:t>
      </w:r>
      <w:r>
        <w:rPr>
          <w:spacing w:val="-2"/>
          <w:sz w:val="24"/>
        </w:rPr>
        <w:t> </w:t>
      </w:r>
      <w:r>
        <w:rPr>
          <w:sz w:val="24"/>
        </w:rPr>
        <w:t>and</w:t>
      </w:r>
    </w:p>
    <w:p>
      <w:pPr>
        <w:pStyle w:val="ListParagraph"/>
        <w:numPr>
          <w:ilvl w:val="5"/>
          <w:numId w:val="192"/>
        </w:numPr>
        <w:tabs>
          <w:tab w:pos="3621" w:val="left" w:leader="none"/>
        </w:tabs>
        <w:spacing w:line="240" w:lineRule="auto" w:before="120" w:after="0"/>
        <w:ind w:left="3620" w:right="414" w:hanging="567"/>
        <w:jc w:val="both"/>
        <w:rPr>
          <w:sz w:val="24"/>
        </w:rPr>
      </w:pPr>
      <w:r>
        <w:rPr>
          <w:sz w:val="24"/>
        </w:rPr>
        <w:t>the compensation to be provided by the </w:t>
      </w:r>
      <w:r>
        <w:rPr>
          <w:i/>
          <w:sz w:val="24"/>
        </w:rPr>
        <w:t>Embedded </w:t>
      </w:r>
      <w:r>
        <w:rPr>
          <w:i/>
          <w:sz w:val="24"/>
        </w:rPr>
        <w:t>Generator </w:t>
      </w:r>
      <w:r>
        <w:rPr>
          <w:sz w:val="24"/>
        </w:rPr>
        <w:t>to the </w:t>
      </w:r>
      <w:r>
        <w:rPr>
          <w:i/>
          <w:sz w:val="24"/>
        </w:rPr>
        <w:t>Distribution Network Service Provider </w:t>
      </w:r>
      <w:r>
        <w:rPr>
          <w:sz w:val="24"/>
        </w:rPr>
        <w:t>in the event that dispatch of the </w:t>
      </w:r>
      <w:r>
        <w:rPr>
          <w:i/>
          <w:sz w:val="24"/>
        </w:rPr>
        <w:t>Embedded </w:t>
      </w:r>
      <w:r>
        <w:rPr>
          <w:i/>
          <w:spacing w:val="-3"/>
          <w:sz w:val="24"/>
        </w:rPr>
        <w:t>Generator's </w:t>
      </w:r>
      <w:r>
        <w:rPr>
          <w:i/>
          <w:sz w:val="24"/>
        </w:rPr>
        <w:t>generating units </w:t>
      </w:r>
      <w:r>
        <w:rPr>
          <w:sz w:val="24"/>
        </w:rPr>
        <w:t>or group of </w:t>
      </w:r>
      <w:r>
        <w:rPr>
          <w:i/>
          <w:sz w:val="24"/>
        </w:rPr>
        <w:t>generating units </w:t>
      </w:r>
      <w:r>
        <w:rPr>
          <w:sz w:val="24"/>
        </w:rPr>
        <w:t>causes another </w:t>
      </w:r>
      <w:r>
        <w:rPr>
          <w:i/>
          <w:sz w:val="24"/>
        </w:rPr>
        <w:t>Generator's generating units </w:t>
      </w:r>
      <w:r>
        <w:rPr>
          <w:sz w:val="24"/>
        </w:rPr>
        <w:t>or group of </w:t>
      </w:r>
      <w:r>
        <w:rPr>
          <w:i/>
          <w:sz w:val="24"/>
        </w:rPr>
        <w:t>generating units </w:t>
      </w:r>
      <w:r>
        <w:rPr>
          <w:sz w:val="24"/>
        </w:rPr>
        <w:t>to be </w:t>
      </w:r>
      <w:r>
        <w:rPr>
          <w:i/>
          <w:sz w:val="24"/>
        </w:rPr>
        <w:t>constrained off </w:t>
      </w:r>
      <w:r>
        <w:rPr>
          <w:sz w:val="24"/>
        </w:rPr>
        <w:t>or </w:t>
      </w:r>
      <w:r>
        <w:rPr>
          <w:i/>
          <w:sz w:val="24"/>
        </w:rPr>
        <w:t>constrained </w:t>
      </w:r>
      <w:r>
        <w:rPr>
          <w:i/>
          <w:spacing w:val="-5"/>
          <w:sz w:val="24"/>
        </w:rPr>
        <w:t>on</w:t>
      </w:r>
      <w:r>
        <w:rPr>
          <w:spacing w:val="-5"/>
          <w:sz w:val="24"/>
        </w:rPr>
        <w:t>; </w:t>
      </w:r>
      <w:r>
        <w:rPr>
          <w:sz w:val="24"/>
        </w:rPr>
        <w:t>and</w:t>
      </w:r>
    </w:p>
    <w:p>
      <w:pPr>
        <w:pStyle w:val="ListParagraph"/>
        <w:numPr>
          <w:ilvl w:val="4"/>
          <w:numId w:val="192"/>
        </w:numPr>
        <w:tabs>
          <w:tab w:pos="3053" w:val="left" w:leader="none"/>
        </w:tabs>
        <w:spacing w:line="240" w:lineRule="auto" w:before="120" w:after="0"/>
        <w:ind w:left="3053" w:right="415" w:hanging="567"/>
        <w:jc w:val="both"/>
        <w:rPr>
          <w:sz w:val="24"/>
        </w:rPr>
      </w:pPr>
      <w:r>
        <w:rPr>
          <w:sz w:val="24"/>
        </w:rPr>
        <w:t>where the </w:t>
      </w:r>
      <w:r>
        <w:rPr>
          <w:i/>
          <w:sz w:val="24"/>
        </w:rPr>
        <w:t>Connection Applicant </w:t>
      </w:r>
      <w:r>
        <w:rPr>
          <w:sz w:val="24"/>
        </w:rPr>
        <w:t>is a </w:t>
      </w:r>
      <w:r>
        <w:rPr>
          <w:i/>
          <w:sz w:val="24"/>
        </w:rPr>
        <w:t>Market Network Service </w:t>
      </w:r>
      <w:r>
        <w:rPr>
          <w:i/>
          <w:sz w:val="24"/>
        </w:rPr>
        <w:t>Provider</w:t>
      </w:r>
      <w:r>
        <w:rPr>
          <w:sz w:val="24"/>
        </w:rPr>
        <w:t>:</w:t>
      </w:r>
    </w:p>
    <w:p>
      <w:pPr>
        <w:pStyle w:val="ListParagraph"/>
        <w:numPr>
          <w:ilvl w:val="5"/>
          <w:numId w:val="192"/>
        </w:numPr>
        <w:tabs>
          <w:tab w:pos="3620" w:val="left" w:leader="none"/>
        </w:tabs>
        <w:spacing w:line="240" w:lineRule="auto" w:before="120" w:after="0"/>
        <w:ind w:left="3620" w:right="415" w:hanging="567"/>
        <w:jc w:val="both"/>
        <w:rPr>
          <w:sz w:val="24"/>
        </w:rPr>
      </w:pPr>
      <w:r>
        <w:rPr>
          <w:sz w:val="24"/>
        </w:rPr>
        <w:t>the compensation to be provided by the </w:t>
      </w:r>
      <w:r>
        <w:rPr>
          <w:i/>
          <w:sz w:val="24"/>
        </w:rPr>
        <w:t>Distribution </w:t>
      </w:r>
      <w:r>
        <w:rPr>
          <w:i/>
          <w:sz w:val="24"/>
        </w:rPr>
        <w:t>Network Service Provider </w:t>
      </w:r>
      <w:r>
        <w:rPr>
          <w:sz w:val="24"/>
        </w:rPr>
        <w:t>to the </w:t>
      </w:r>
      <w:r>
        <w:rPr>
          <w:i/>
          <w:sz w:val="24"/>
        </w:rPr>
        <w:t>Market Network Service </w:t>
      </w:r>
      <w:r>
        <w:rPr>
          <w:i/>
          <w:sz w:val="24"/>
        </w:rPr>
        <w:t>Provider </w:t>
      </w:r>
      <w:r>
        <w:rPr>
          <w:sz w:val="24"/>
        </w:rPr>
        <w:t>in the event that the </w:t>
      </w:r>
      <w:r>
        <w:rPr>
          <w:i/>
          <w:sz w:val="24"/>
        </w:rPr>
        <w:t>distribution network </w:t>
      </w:r>
      <w:r>
        <w:rPr>
          <w:i/>
          <w:spacing w:val="-4"/>
          <w:sz w:val="24"/>
        </w:rPr>
        <w:t>user </w:t>
      </w:r>
      <w:r>
        <w:rPr>
          <w:i/>
          <w:sz w:val="24"/>
        </w:rPr>
        <w:t>access </w:t>
      </w:r>
      <w:r>
        <w:rPr>
          <w:sz w:val="24"/>
        </w:rPr>
        <w:t>is not provided;</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5"/>
          <w:numId w:val="192"/>
        </w:numPr>
        <w:tabs>
          <w:tab w:pos="3621" w:val="left" w:leader="none"/>
        </w:tabs>
        <w:spacing w:line="240" w:lineRule="auto" w:before="83" w:after="0"/>
        <w:ind w:left="3620" w:right="414" w:hanging="567"/>
        <w:jc w:val="both"/>
        <w:rPr>
          <w:sz w:val="24"/>
        </w:rPr>
      </w:pPr>
      <w:r>
        <w:rPr>
          <w:sz w:val="24"/>
        </w:rPr>
        <w:t>the compensation to be provided by the </w:t>
      </w:r>
      <w:r>
        <w:rPr>
          <w:i/>
          <w:sz w:val="24"/>
        </w:rPr>
        <w:t>Market Network </w:t>
      </w:r>
      <w:r>
        <w:rPr>
          <w:i/>
          <w:sz w:val="24"/>
        </w:rPr>
        <w:t>Service Provider </w:t>
      </w:r>
      <w:r>
        <w:rPr>
          <w:sz w:val="24"/>
        </w:rPr>
        <w:t>to the </w:t>
      </w:r>
      <w:r>
        <w:rPr>
          <w:i/>
          <w:sz w:val="24"/>
        </w:rPr>
        <w:t>Distribution Network Service </w:t>
      </w:r>
      <w:r>
        <w:rPr>
          <w:i/>
          <w:sz w:val="24"/>
        </w:rPr>
        <w:t>Provider </w:t>
      </w:r>
      <w:r>
        <w:rPr>
          <w:sz w:val="24"/>
        </w:rPr>
        <w:t>in the event that dispatch of the relevant </w:t>
      </w:r>
      <w:r>
        <w:rPr>
          <w:i/>
          <w:sz w:val="24"/>
        </w:rPr>
        <w:t>market </w:t>
      </w:r>
      <w:r>
        <w:rPr>
          <w:i/>
          <w:sz w:val="24"/>
        </w:rPr>
        <w:t>network service </w:t>
      </w:r>
      <w:r>
        <w:rPr>
          <w:sz w:val="24"/>
        </w:rPr>
        <w:t>causes a </w:t>
      </w:r>
      <w:r>
        <w:rPr>
          <w:i/>
          <w:sz w:val="24"/>
        </w:rPr>
        <w:t>Generator's generating units </w:t>
      </w:r>
      <w:r>
        <w:rPr>
          <w:sz w:val="24"/>
        </w:rPr>
        <w:t>or group of </w:t>
      </w:r>
      <w:r>
        <w:rPr>
          <w:i/>
          <w:sz w:val="24"/>
        </w:rPr>
        <w:t>generating units </w:t>
      </w:r>
      <w:r>
        <w:rPr>
          <w:sz w:val="24"/>
        </w:rPr>
        <w:t>to be </w:t>
      </w:r>
      <w:r>
        <w:rPr>
          <w:i/>
          <w:sz w:val="24"/>
        </w:rPr>
        <w:t>constrained off </w:t>
      </w:r>
      <w:r>
        <w:rPr>
          <w:spacing w:val="-7"/>
          <w:sz w:val="24"/>
        </w:rPr>
        <w:t>or </w:t>
      </w:r>
      <w:r>
        <w:rPr>
          <w:i/>
          <w:sz w:val="24"/>
        </w:rPr>
        <w:t>constrained on </w:t>
      </w:r>
      <w:r>
        <w:rPr>
          <w:sz w:val="24"/>
        </w:rPr>
        <w:t>during a </w:t>
      </w:r>
      <w:r>
        <w:rPr>
          <w:i/>
          <w:sz w:val="24"/>
        </w:rPr>
        <w:t>trading interval </w:t>
      </w:r>
      <w:r>
        <w:rPr>
          <w:sz w:val="24"/>
        </w:rPr>
        <w:t>or causes the </w:t>
      </w:r>
      <w:r>
        <w:rPr>
          <w:i/>
          <w:sz w:val="24"/>
        </w:rPr>
        <w:t>dispatch </w:t>
      </w:r>
      <w:r>
        <w:rPr>
          <w:sz w:val="24"/>
        </w:rPr>
        <w:t>of another </w:t>
      </w:r>
      <w:r>
        <w:rPr>
          <w:i/>
          <w:sz w:val="24"/>
        </w:rPr>
        <w:t>market network service </w:t>
      </w:r>
      <w:r>
        <w:rPr>
          <w:sz w:val="24"/>
        </w:rPr>
        <w:t>to be </w:t>
      </w:r>
      <w:r>
        <w:rPr>
          <w:i/>
          <w:sz w:val="24"/>
        </w:rPr>
        <w:t>constrained</w:t>
      </w:r>
      <w:r>
        <w:rPr>
          <w:sz w:val="24"/>
        </w:rPr>
        <w:t>.</w:t>
      </w:r>
    </w:p>
    <w:p>
      <w:pPr>
        <w:pStyle w:val="ListParagraph"/>
        <w:numPr>
          <w:ilvl w:val="2"/>
          <w:numId w:val="192"/>
        </w:numPr>
        <w:tabs>
          <w:tab w:pos="1919" w:val="left" w:leader="none"/>
        </w:tabs>
        <w:spacing w:line="240" w:lineRule="auto" w:before="120" w:after="0"/>
        <w:ind w:left="1919" w:right="415" w:hanging="567"/>
        <w:jc w:val="both"/>
        <w:rPr>
          <w:sz w:val="24"/>
        </w:rPr>
      </w:pPr>
      <w:r>
        <w:rPr>
          <w:sz w:val="24"/>
        </w:rPr>
        <w:t>The maximum </w:t>
      </w:r>
      <w:r>
        <w:rPr>
          <w:i/>
          <w:sz w:val="24"/>
        </w:rPr>
        <w:t>negotiated use of system charges </w:t>
      </w:r>
      <w:r>
        <w:rPr>
          <w:sz w:val="24"/>
        </w:rPr>
        <w:t>applied by a </w:t>
      </w:r>
      <w:r>
        <w:rPr>
          <w:i/>
          <w:sz w:val="24"/>
        </w:rPr>
        <w:t>Distribution </w:t>
      </w:r>
      <w:r>
        <w:rPr>
          <w:i/>
          <w:sz w:val="24"/>
        </w:rPr>
        <w:t>Network Service Provider </w:t>
      </w:r>
      <w:r>
        <w:rPr>
          <w:sz w:val="24"/>
        </w:rPr>
        <w:t>must be in accordance with the applicable requirements of Chapter 6 and the </w:t>
      </w:r>
      <w:r>
        <w:rPr>
          <w:i/>
          <w:sz w:val="24"/>
        </w:rPr>
        <w:t>Negotiated Distribution Service Criteria </w:t>
      </w:r>
      <w:r>
        <w:rPr>
          <w:sz w:val="24"/>
        </w:rPr>
        <w:t>applicable to the </w:t>
      </w:r>
      <w:r>
        <w:rPr>
          <w:i/>
          <w:sz w:val="24"/>
        </w:rPr>
        <w:t>Distribution Network Service</w:t>
      </w:r>
      <w:r>
        <w:rPr>
          <w:i/>
          <w:spacing w:val="-2"/>
          <w:sz w:val="24"/>
        </w:rPr>
        <w:t> </w:t>
      </w:r>
      <w:r>
        <w:rPr>
          <w:i/>
          <w:sz w:val="24"/>
        </w:rPr>
        <w:t>Provider</w:t>
      </w:r>
      <w:r>
        <w:rPr>
          <w:sz w:val="24"/>
        </w:rPr>
        <w:t>.</w:t>
      </w:r>
    </w:p>
    <w:p>
      <w:pPr>
        <w:pStyle w:val="ListParagraph"/>
        <w:numPr>
          <w:ilvl w:val="2"/>
          <w:numId w:val="192"/>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pass through to a </w:t>
      </w:r>
      <w:r>
        <w:rPr>
          <w:i/>
          <w:sz w:val="24"/>
        </w:rPr>
        <w:t>Connection </w:t>
      </w:r>
      <w:r>
        <w:rPr>
          <w:i/>
          <w:sz w:val="24"/>
        </w:rPr>
        <w:t>Applicant </w:t>
      </w:r>
      <w:r>
        <w:rPr>
          <w:sz w:val="24"/>
        </w:rPr>
        <w:t>the amount calculated in accordance with paragraph (i) for the locational component of </w:t>
      </w:r>
      <w:r>
        <w:rPr>
          <w:i/>
          <w:sz w:val="24"/>
        </w:rPr>
        <w:t>prescribed TUOS services </w:t>
      </w:r>
      <w:r>
        <w:rPr>
          <w:sz w:val="24"/>
        </w:rPr>
        <w:t>that would have been payable by the </w:t>
      </w:r>
      <w:r>
        <w:rPr>
          <w:i/>
          <w:sz w:val="24"/>
        </w:rPr>
        <w:t>Distribution Network Service Provider </w:t>
      </w:r>
      <w:r>
        <w:rPr>
          <w:sz w:val="24"/>
        </w:rPr>
        <w:t>to a </w:t>
      </w:r>
      <w:r>
        <w:rPr>
          <w:i/>
          <w:sz w:val="24"/>
        </w:rPr>
        <w:t>Transmission </w:t>
      </w:r>
      <w:r>
        <w:rPr>
          <w:i/>
          <w:sz w:val="24"/>
        </w:rPr>
        <w:t>Network Service Provider </w:t>
      </w:r>
      <w:r>
        <w:rPr>
          <w:sz w:val="24"/>
        </w:rPr>
        <w:t>had the </w:t>
      </w:r>
      <w:r>
        <w:rPr>
          <w:i/>
          <w:sz w:val="24"/>
        </w:rPr>
        <w:t>Connection Applicant </w:t>
      </w:r>
      <w:r>
        <w:rPr>
          <w:sz w:val="24"/>
        </w:rPr>
        <w:t>not been </w:t>
      </w:r>
      <w:r>
        <w:rPr>
          <w:i/>
          <w:spacing w:val="-3"/>
          <w:sz w:val="24"/>
        </w:rPr>
        <w:t>connected </w:t>
      </w:r>
      <w:r>
        <w:rPr>
          <w:sz w:val="24"/>
        </w:rPr>
        <w:t>to its </w:t>
      </w:r>
      <w:r>
        <w:rPr>
          <w:i/>
          <w:sz w:val="24"/>
        </w:rPr>
        <w:t>distribution</w:t>
      </w:r>
      <w:r>
        <w:rPr>
          <w:i/>
          <w:spacing w:val="-1"/>
          <w:sz w:val="24"/>
        </w:rPr>
        <w:t> </w:t>
      </w:r>
      <w:r>
        <w:rPr>
          <w:i/>
          <w:sz w:val="24"/>
        </w:rPr>
        <w:t>network</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192"/>
        </w:numPr>
        <w:tabs>
          <w:tab w:pos="1919" w:val="left" w:leader="none"/>
        </w:tabs>
        <w:spacing w:line="240" w:lineRule="auto" w:before="120" w:after="0"/>
        <w:ind w:left="1919" w:right="413" w:hanging="567"/>
        <w:jc w:val="both"/>
        <w:rPr>
          <w:sz w:val="24"/>
        </w:rPr>
      </w:pPr>
      <w:r>
        <w:rPr>
          <w:sz w:val="24"/>
        </w:rPr>
        <w:t>To calculate the amount to be passed through to a </w:t>
      </w:r>
      <w:r>
        <w:rPr>
          <w:i/>
          <w:sz w:val="24"/>
        </w:rPr>
        <w:t>Connection Applicant </w:t>
      </w:r>
      <w:r>
        <w:rPr>
          <w:sz w:val="24"/>
        </w:rPr>
        <w:t>in accordance with paragraph (h), a </w:t>
      </w:r>
      <w:r>
        <w:rPr>
          <w:i/>
          <w:sz w:val="24"/>
        </w:rPr>
        <w:t>Distribution Network Service Provider </w:t>
      </w:r>
      <w:r>
        <w:rPr>
          <w:sz w:val="24"/>
        </w:rPr>
        <w:t>must, if prices for the locational component of </w:t>
      </w:r>
      <w:r>
        <w:rPr>
          <w:i/>
          <w:sz w:val="24"/>
        </w:rPr>
        <w:t>prescribed TUOS services </w:t>
      </w:r>
      <w:r>
        <w:rPr>
          <w:sz w:val="24"/>
        </w:rPr>
        <w:t>were in force at the relevant </w:t>
      </w:r>
      <w:r>
        <w:rPr>
          <w:i/>
          <w:sz w:val="24"/>
        </w:rPr>
        <w:t>transmission network connection point </w:t>
      </w:r>
      <w:r>
        <w:rPr>
          <w:sz w:val="24"/>
        </w:rPr>
        <w:t>throughout the relevant </w:t>
      </w:r>
      <w:r>
        <w:rPr>
          <w:i/>
          <w:sz w:val="24"/>
        </w:rPr>
        <w:t>financial</w:t>
      </w:r>
      <w:r>
        <w:rPr>
          <w:i/>
          <w:spacing w:val="-1"/>
          <w:sz w:val="24"/>
        </w:rPr>
        <w:t> </w:t>
      </w:r>
      <w:r>
        <w:rPr>
          <w:i/>
          <w:sz w:val="24"/>
        </w:rPr>
        <w:t>year</w:t>
      </w:r>
      <w:r>
        <w:rPr>
          <w:sz w:val="24"/>
        </w:rPr>
        <w:t>:</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determine the charges for the locational component of </w:t>
      </w:r>
      <w:r>
        <w:rPr>
          <w:i/>
          <w:sz w:val="24"/>
        </w:rPr>
        <w:t>prescribed </w:t>
      </w:r>
      <w:r>
        <w:rPr>
          <w:i/>
          <w:sz w:val="24"/>
        </w:rPr>
        <w:t>TUOS services </w:t>
      </w:r>
      <w:r>
        <w:rPr>
          <w:sz w:val="24"/>
        </w:rPr>
        <w:t>that would have been payable by the </w:t>
      </w:r>
      <w:r>
        <w:rPr>
          <w:i/>
          <w:sz w:val="24"/>
        </w:rPr>
        <w:t>Distribution </w:t>
      </w:r>
      <w:r>
        <w:rPr>
          <w:i/>
          <w:sz w:val="24"/>
        </w:rPr>
        <w:t>Network Service Provider </w:t>
      </w:r>
      <w:r>
        <w:rPr>
          <w:sz w:val="24"/>
        </w:rPr>
        <w:t>for the relevant </w:t>
      </w:r>
      <w:r>
        <w:rPr>
          <w:i/>
          <w:sz w:val="24"/>
        </w:rPr>
        <w:t>financial</w:t>
      </w:r>
      <w:r>
        <w:rPr>
          <w:i/>
          <w:spacing w:val="-2"/>
          <w:sz w:val="24"/>
        </w:rPr>
        <w:t> </w:t>
      </w:r>
      <w:r>
        <w:rPr>
          <w:i/>
          <w:sz w:val="24"/>
        </w:rPr>
        <w:t>year</w:t>
      </w:r>
      <w:r>
        <w:rPr>
          <w:sz w:val="24"/>
        </w:rPr>
        <w:t>:</w:t>
      </w:r>
    </w:p>
    <w:p>
      <w:pPr>
        <w:pStyle w:val="ListParagraph"/>
        <w:numPr>
          <w:ilvl w:val="4"/>
          <w:numId w:val="192"/>
        </w:numPr>
        <w:tabs>
          <w:tab w:pos="3053" w:val="left" w:leader="none"/>
        </w:tabs>
        <w:spacing w:line="240" w:lineRule="auto" w:before="120" w:after="0"/>
        <w:ind w:left="3053" w:right="414" w:hanging="567"/>
        <w:jc w:val="both"/>
        <w:rPr>
          <w:sz w:val="24"/>
        </w:rPr>
      </w:pPr>
      <w:r>
        <w:rPr>
          <w:sz w:val="24"/>
        </w:rPr>
        <w:t>where the </w:t>
      </w:r>
      <w:r>
        <w:rPr>
          <w:i/>
          <w:sz w:val="24"/>
        </w:rPr>
        <w:t>Connection Applicant </w:t>
      </w:r>
      <w:r>
        <w:rPr>
          <w:sz w:val="24"/>
        </w:rPr>
        <w:t>is an </w:t>
      </w:r>
      <w:r>
        <w:rPr>
          <w:i/>
          <w:sz w:val="24"/>
        </w:rPr>
        <w:t>Embedded Generator</w:t>
      </w:r>
      <w:r>
        <w:rPr>
          <w:sz w:val="24"/>
        </w:rPr>
        <w:t>, if that </w:t>
      </w:r>
      <w:r>
        <w:rPr>
          <w:i/>
          <w:sz w:val="24"/>
        </w:rPr>
        <w:t>Embedded Generator </w:t>
      </w:r>
      <w:r>
        <w:rPr>
          <w:sz w:val="24"/>
        </w:rPr>
        <w:t>had not injected any </w:t>
      </w:r>
      <w:r>
        <w:rPr>
          <w:i/>
          <w:sz w:val="24"/>
        </w:rPr>
        <w:t>energy </w:t>
      </w:r>
      <w:r>
        <w:rPr>
          <w:sz w:val="24"/>
        </w:rPr>
        <w:t>at its </w:t>
      </w:r>
      <w:r>
        <w:rPr>
          <w:i/>
          <w:sz w:val="24"/>
        </w:rPr>
        <w:t>connection point </w:t>
      </w:r>
      <w:r>
        <w:rPr>
          <w:sz w:val="24"/>
        </w:rPr>
        <w:t>during that </w:t>
      </w:r>
      <w:r>
        <w:rPr>
          <w:i/>
          <w:sz w:val="24"/>
        </w:rPr>
        <w:t>financial</w:t>
      </w:r>
      <w:r>
        <w:rPr>
          <w:i/>
          <w:spacing w:val="-2"/>
          <w:sz w:val="24"/>
        </w:rPr>
        <w:t> </w:t>
      </w:r>
      <w:r>
        <w:rPr>
          <w:i/>
          <w:sz w:val="24"/>
        </w:rPr>
        <w:t>year</w:t>
      </w:r>
      <w:r>
        <w:rPr>
          <w:sz w:val="24"/>
        </w:rPr>
        <w:t>;</w:t>
      </w:r>
    </w:p>
    <w:p>
      <w:pPr>
        <w:pStyle w:val="ListParagraph"/>
        <w:numPr>
          <w:ilvl w:val="4"/>
          <w:numId w:val="192"/>
        </w:numPr>
        <w:tabs>
          <w:tab w:pos="3054" w:val="left" w:leader="none"/>
        </w:tabs>
        <w:spacing w:line="240" w:lineRule="auto" w:before="120" w:after="0"/>
        <w:ind w:left="3053" w:right="415" w:hanging="567"/>
        <w:jc w:val="both"/>
        <w:rPr>
          <w:sz w:val="24"/>
        </w:rPr>
      </w:pPr>
      <w:r>
        <w:rPr>
          <w:sz w:val="24"/>
        </w:rPr>
        <w:t>where the </w:t>
      </w:r>
      <w:r>
        <w:rPr>
          <w:i/>
          <w:sz w:val="24"/>
        </w:rPr>
        <w:t>Connection Applicant </w:t>
      </w:r>
      <w:r>
        <w:rPr>
          <w:sz w:val="24"/>
        </w:rPr>
        <w:t>is a </w:t>
      </w:r>
      <w:r>
        <w:rPr>
          <w:i/>
          <w:sz w:val="24"/>
        </w:rPr>
        <w:t>Market Network Service </w:t>
      </w:r>
      <w:r>
        <w:rPr>
          <w:i/>
          <w:sz w:val="24"/>
        </w:rPr>
        <w:t>Provider</w:t>
      </w:r>
      <w:r>
        <w:rPr>
          <w:sz w:val="24"/>
        </w:rPr>
        <w:t>, if the </w:t>
      </w:r>
      <w:r>
        <w:rPr>
          <w:i/>
          <w:sz w:val="24"/>
        </w:rPr>
        <w:t>Market Network Service Provider </w:t>
      </w:r>
      <w:r>
        <w:rPr>
          <w:sz w:val="24"/>
        </w:rPr>
        <w:t>had not </w:t>
      </w:r>
      <w:r>
        <w:rPr>
          <w:spacing w:val="-3"/>
          <w:sz w:val="24"/>
        </w:rPr>
        <w:t>been </w:t>
      </w:r>
      <w:r>
        <w:rPr>
          <w:i/>
          <w:sz w:val="24"/>
        </w:rPr>
        <w:t>connected </w:t>
      </w:r>
      <w:r>
        <w:rPr>
          <w:sz w:val="24"/>
        </w:rPr>
        <w:t>to the </w:t>
      </w:r>
      <w:r>
        <w:rPr>
          <w:i/>
          <w:sz w:val="24"/>
        </w:rPr>
        <w:t>Distribution Network Service Provider's </w:t>
      </w:r>
      <w:r>
        <w:rPr>
          <w:i/>
          <w:sz w:val="24"/>
        </w:rPr>
        <w:t>distribution network </w:t>
      </w:r>
      <w:r>
        <w:rPr>
          <w:sz w:val="24"/>
        </w:rPr>
        <w:t>during that </w:t>
      </w:r>
      <w:r>
        <w:rPr>
          <w:i/>
          <w:sz w:val="24"/>
        </w:rPr>
        <w:t>financial year</w:t>
      </w:r>
      <w:r>
        <w:rPr>
          <w:sz w:val="24"/>
        </w:rPr>
        <w:t>;</w:t>
      </w:r>
      <w:r>
        <w:rPr>
          <w:spacing w:val="-1"/>
          <w:sz w:val="24"/>
        </w:rPr>
        <w:t> </w:t>
      </w:r>
      <w:r>
        <w:rPr>
          <w:sz w:val="24"/>
        </w:rPr>
        <w:t>and</w:t>
      </w:r>
    </w:p>
    <w:p>
      <w:pPr>
        <w:pStyle w:val="ListParagraph"/>
        <w:numPr>
          <w:ilvl w:val="3"/>
          <w:numId w:val="192"/>
        </w:numPr>
        <w:tabs>
          <w:tab w:pos="2486" w:val="left" w:leader="none"/>
        </w:tabs>
        <w:spacing w:line="240" w:lineRule="auto" w:before="120" w:after="0"/>
        <w:ind w:left="2486" w:right="415" w:hanging="567"/>
        <w:jc w:val="both"/>
        <w:rPr>
          <w:sz w:val="24"/>
        </w:rPr>
      </w:pPr>
      <w:r>
        <w:rPr>
          <w:sz w:val="24"/>
        </w:rPr>
        <w:t>determine the amount by which the charges calculated in subparagraph (1) exceed the amount for the locational component of </w:t>
      </w:r>
      <w:r>
        <w:rPr>
          <w:i/>
          <w:sz w:val="24"/>
        </w:rPr>
        <w:t>prescribed TUOS services </w:t>
      </w:r>
      <w:r>
        <w:rPr>
          <w:sz w:val="24"/>
        </w:rPr>
        <w:t>actually payable by the </w:t>
      </w:r>
      <w:r>
        <w:rPr>
          <w:i/>
          <w:sz w:val="24"/>
        </w:rPr>
        <w:t>Distribution </w:t>
      </w:r>
      <w:r>
        <w:rPr>
          <w:i/>
          <w:sz w:val="24"/>
        </w:rPr>
        <w:t>Network Service Provider</w:t>
      </w:r>
      <w:r>
        <w:rPr>
          <w:sz w:val="24"/>
        </w:rPr>
        <w:t>, which amount will be the relevant amount for the purposes of paragraph</w:t>
      </w:r>
      <w:r>
        <w:rPr>
          <w:spacing w:val="-1"/>
          <w:sz w:val="24"/>
        </w:rPr>
        <w:t> </w:t>
      </w:r>
      <w:r>
        <w:rPr>
          <w:sz w:val="24"/>
        </w:rPr>
        <w:t>(h).</w:t>
      </w:r>
    </w:p>
    <w:p>
      <w:pPr>
        <w:pStyle w:val="ListParagraph"/>
        <w:numPr>
          <w:ilvl w:val="2"/>
          <w:numId w:val="192"/>
        </w:numPr>
        <w:tabs>
          <w:tab w:pos="1919" w:val="left" w:leader="none"/>
        </w:tabs>
        <w:spacing w:line="240" w:lineRule="auto" w:before="120" w:after="0"/>
        <w:ind w:left="1919" w:right="414" w:hanging="567"/>
        <w:jc w:val="both"/>
        <w:rPr>
          <w:sz w:val="24"/>
        </w:rPr>
      </w:pPr>
      <w:r>
        <w:rPr>
          <w:sz w:val="24"/>
        </w:rPr>
        <w:t>Where prices for the locational component of </w:t>
      </w:r>
      <w:r>
        <w:rPr>
          <w:i/>
          <w:sz w:val="24"/>
        </w:rPr>
        <w:t>prescribed TUOS services </w:t>
      </w:r>
      <w:r>
        <w:rPr>
          <w:sz w:val="24"/>
        </w:rPr>
        <w:t>were not in force at the relevant </w:t>
      </w:r>
      <w:r>
        <w:rPr>
          <w:i/>
          <w:sz w:val="24"/>
        </w:rPr>
        <w:t>distribution network connection point </w:t>
      </w:r>
      <w:r>
        <w:rPr>
          <w:sz w:val="24"/>
        </w:rPr>
        <w:t>throughout the relevant </w:t>
      </w:r>
      <w:r>
        <w:rPr>
          <w:i/>
          <w:sz w:val="24"/>
        </w:rPr>
        <w:t>financial year</w:t>
      </w:r>
      <w:r>
        <w:rPr>
          <w:sz w:val="24"/>
        </w:rPr>
        <w:t>, as referred to in paragraph (i), the </w:t>
      </w:r>
      <w:r>
        <w:rPr>
          <w:i/>
          <w:sz w:val="24"/>
        </w:rPr>
        <w:t>Distribution Network Service Provider </w:t>
      </w:r>
      <w:r>
        <w:rPr>
          <w:sz w:val="24"/>
        </w:rPr>
        <w:t>must apply an equivalent procedure to that referred to in paragraph (i) in relation to that component of</w:t>
      </w:r>
      <w:r>
        <w:rPr>
          <w:spacing w:val="33"/>
          <w:sz w:val="24"/>
        </w:rPr>
        <w:t> </w:t>
      </w:r>
      <w:r>
        <w:rPr>
          <w:sz w:val="24"/>
        </w:rPr>
        <w:t>its</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i/>
          <w:sz w:val="24"/>
        </w:rPr>
        <w:t>transmission use of system service </w:t>
      </w:r>
      <w:r>
        <w:rPr>
          <w:sz w:val="24"/>
        </w:rPr>
        <w:t>charges which is deemed by the relevant </w:t>
      </w:r>
      <w:r>
        <w:rPr>
          <w:i/>
          <w:sz w:val="24"/>
        </w:rPr>
        <w:t>Transmission Network Service Provider </w:t>
      </w:r>
      <w:r>
        <w:rPr>
          <w:sz w:val="24"/>
        </w:rPr>
        <w:t>to represent the marginal cost of </w:t>
      </w:r>
      <w:r>
        <w:rPr>
          <w:i/>
          <w:sz w:val="24"/>
        </w:rPr>
        <w:t>transmission</w:t>
      </w:r>
      <w:r>
        <w:rPr>
          <w:sz w:val="24"/>
        </w:rPr>
        <w:t>, less an allowance for locational signals present in the </w:t>
      </w:r>
      <w:r>
        <w:rPr>
          <w:i/>
          <w:sz w:val="24"/>
        </w:rPr>
        <w:t>spot </w:t>
      </w:r>
      <w:r>
        <w:rPr>
          <w:i/>
          <w:sz w:val="24"/>
        </w:rPr>
        <w:t>market</w:t>
      </w:r>
      <w:r>
        <w:rPr>
          <w:sz w:val="24"/>
        </w:rPr>
        <w:t>, to determine the relevant amount for the purposes of paragraph (h).</w:t>
      </w:r>
    </w:p>
    <w:p>
      <w:pPr>
        <w:pStyle w:val="BodyText"/>
        <w:spacing w:before="10"/>
        <w:ind w:firstLine="0"/>
        <w:jc w:val="left"/>
        <w:rPr>
          <w:sz w:val="20"/>
        </w:rPr>
      </w:pPr>
    </w:p>
    <w:p>
      <w:pPr>
        <w:pStyle w:val="Heading3"/>
        <w:numPr>
          <w:ilvl w:val="1"/>
          <w:numId w:val="193"/>
        </w:numPr>
        <w:tabs>
          <w:tab w:pos="581" w:val="left" w:leader="none"/>
          <w:tab w:pos="1351" w:val="left" w:leader="none"/>
        </w:tabs>
        <w:spacing w:line="240" w:lineRule="auto" w:before="0" w:after="0"/>
        <w:ind w:left="580" w:right="0" w:hanging="363"/>
        <w:jc w:val="left"/>
      </w:pPr>
      <w:bookmarkStart w:name="5.3B Application for connection to decla" w:id="496"/>
      <w:bookmarkEnd w:id="496"/>
      <w:r>
        <w:rPr>
          <w:b w:val="0"/>
        </w:rPr>
      </w:r>
      <w:bookmarkStart w:name="_bookmark204" w:id="497"/>
      <w:bookmarkEnd w:id="497"/>
      <w:r>
        <w:rPr>
          <w:b w:val="0"/>
        </w:rPr>
      </w:r>
      <w:bookmarkStart w:name="_bookmark204" w:id="498"/>
      <w:bookmarkEnd w:id="498"/>
      <w:r>
        <w:rPr/>
        <w:t>B</w:t>
      </w:r>
      <w:r>
        <w:rPr/>
        <w:tab/>
        <w:t>Application for connection to declared shared</w:t>
      </w:r>
      <w:r>
        <w:rPr>
          <w:spacing w:val="-6"/>
        </w:rPr>
        <w:t> </w:t>
      </w:r>
      <w:r>
        <w:rPr/>
        <w:t>network</w:t>
      </w:r>
    </w:p>
    <w:p>
      <w:pPr>
        <w:pStyle w:val="ListParagraph"/>
        <w:numPr>
          <w:ilvl w:val="2"/>
          <w:numId w:val="193"/>
        </w:numPr>
        <w:tabs>
          <w:tab w:pos="1919" w:val="left" w:leader="none"/>
        </w:tabs>
        <w:spacing w:line="240" w:lineRule="auto" w:before="120" w:after="0"/>
        <w:ind w:left="1919" w:right="415" w:hanging="567"/>
        <w:jc w:val="both"/>
        <w:rPr>
          <w:sz w:val="24"/>
        </w:rPr>
      </w:pPr>
      <w:r>
        <w:rPr>
          <w:sz w:val="24"/>
        </w:rPr>
        <w:t>In relation to a </w:t>
      </w:r>
      <w:r>
        <w:rPr>
          <w:i/>
          <w:sz w:val="24"/>
        </w:rPr>
        <w:t>declared transmission system</w:t>
      </w:r>
      <w:r>
        <w:rPr>
          <w:sz w:val="24"/>
        </w:rPr>
        <w:t>, the powers, functions and responsibilities of the </w:t>
      </w:r>
      <w:r>
        <w:rPr>
          <w:i/>
          <w:sz w:val="24"/>
        </w:rPr>
        <w:t>Network Service Provider </w:t>
      </w:r>
      <w:r>
        <w:rPr>
          <w:sz w:val="24"/>
        </w:rPr>
        <w:t>are divided between </w:t>
      </w:r>
      <w:r>
        <w:rPr>
          <w:i/>
          <w:sz w:val="24"/>
        </w:rPr>
        <w:t>AEMO </w:t>
      </w:r>
      <w:r>
        <w:rPr>
          <w:sz w:val="24"/>
        </w:rPr>
        <w:t>and the </w:t>
      </w:r>
      <w:r>
        <w:rPr>
          <w:i/>
          <w:sz w:val="24"/>
        </w:rPr>
        <w:t>declared transmission system operator </w:t>
      </w:r>
      <w:r>
        <w:rPr>
          <w:sz w:val="24"/>
        </w:rPr>
        <w:t>as</w:t>
      </w:r>
      <w:r>
        <w:rPr>
          <w:spacing w:val="-2"/>
          <w:sz w:val="24"/>
        </w:rPr>
        <w:t> </w:t>
      </w:r>
      <w:r>
        <w:rPr>
          <w:sz w:val="24"/>
        </w:rPr>
        <w:t>follows:</w:t>
      </w:r>
    </w:p>
    <w:p>
      <w:pPr>
        <w:pStyle w:val="ListParagraph"/>
        <w:numPr>
          <w:ilvl w:val="3"/>
          <w:numId w:val="193"/>
        </w:numPr>
        <w:tabs>
          <w:tab w:pos="2486" w:val="left" w:leader="none"/>
        </w:tabs>
        <w:spacing w:line="240" w:lineRule="auto" w:before="120" w:after="0"/>
        <w:ind w:left="2485" w:right="0" w:hanging="567"/>
        <w:jc w:val="both"/>
        <w:rPr>
          <w:sz w:val="24"/>
        </w:rPr>
      </w:pPr>
      <w:r>
        <w:rPr>
          <w:i/>
          <w:sz w:val="24"/>
        </w:rPr>
        <w:t>AEMO</w:t>
      </w:r>
      <w:r>
        <w:rPr>
          <w:i/>
          <w:spacing w:val="15"/>
          <w:sz w:val="24"/>
        </w:rPr>
        <w:t> </w:t>
      </w:r>
      <w:r>
        <w:rPr>
          <w:sz w:val="24"/>
        </w:rPr>
        <w:t>is</w:t>
      </w:r>
      <w:r>
        <w:rPr>
          <w:spacing w:val="16"/>
          <w:sz w:val="24"/>
        </w:rPr>
        <w:t> </w:t>
      </w:r>
      <w:r>
        <w:rPr>
          <w:sz w:val="24"/>
        </w:rPr>
        <w:t>the</w:t>
      </w:r>
      <w:r>
        <w:rPr>
          <w:spacing w:val="16"/>
          <w:sz w:val="24"/>
        </w:rPr>
        <w:t> </w:t>
      </w:r>
      <w:r>
        <w:rPr>
          <w:i/>
          <w:sz w:val="24"/>
        </w:rPr>
        <w:t>Network</w:t>
      </w:r>
      <w:r>
        <w:rPr>
          <w:i/>
          <w:spacing w:val="16"/>
          <w:sz w:val="24"/>
        </w:rPr>
        <w:t> </w:t>
      </w:r>
      <w:r>
        <w:rPr>
          <w:i/>
          <w:sz w:val="24"/>
        </w:rPr>
        <w:t>Service</w:t>
      </w:r>
      <w:r>
        <w:rPr>
          <w:i/>
          <w:spacing w:val="16"/>
          <w:sz w:val="24"/>
        </w:rPr>
        <w:t> </w:t>
      </w:r>
      <w:r>
        <w:rPr>
          <w:i/>
          <w:sz w:val="24"/>
        </w:rPr>
        <w:t>Provider</w:t>
      </w:r>
      <w:r>
        <w:rPr>
          <w:i/>
          <w:spacing w:val="16"/>
          <w:sz w:val="24"/>
        </w:rPr>
        <w:t> </w:t>
      </w:r>
      <w:r>
        <w:rPr>
          <w:sz w:val="24"/>
        </w:rPr>
        <w:t>in</w:t>
      </w:r>
      <w:r>
        <w:rPr>
          <w:spacing w:val="16"/>
          <w:sz w:val="24"/>
        </w:rPr>
        <w:t> </w:t>
      </w:r>
      <w:r>
        <w:rPr>
          <w:sz w:val="24"/>
        </w:rPr>
        <w:t>respect</w:t>
      </w:r>
      <w:r>
        <w:rPr>
          <w:spacing w:val="16"/>
          <w:sz w:val="24"/>
        </w:rPr>
        <w:t> </w:t>
      </w:r>
      <w:r>
        <w:rPr>
          <w:sz w:val="24"/>
        </w:rPr>
        <w:t>of</w:t>
      </w:r>
      <w:r>
        <w:rPr>
          <w:spacing w:val="15"/>
          <w:sz w:val="24"/>
        </w:rPr>
        <w:t> </w:t>
      </w:r>
      <w:r>
        <w:rPr>
          <w:sz w:val="24"/>
        </w:rPr>
        <w:t>the</w:t>
      </w:r>
      <w:r>
        <w:rPr>
          <w:spacing w:val="16"/>
          <w:sz w:val="24"/>
        </w:rPr>
        <w:t> </w:t>
      </w:r>
      <w:r>
        <w:rPr>
          <w:sz w:val="24"/>
        </w:rPr>
        <w:t>provision</w:t>
      </w:r>
      <w:r>
        <w:rPr>
          <w:spacing w:val="16"/>
          <w:sz w:val="24"/>
        </w:rPr>
        <w:t> </w:t>
      </w:r>
      <w:r>
        <w:rPr>
          <w:sz w:val="24"/>
        </w:rPr>
        <w:t>of</w:t>
      </w:r>
    </w:p>
    <w:p>
      <w:pPr>
        <w:spacing w:before="0"/>
        <w:ind w:left="2486" w:right="0" w:firstLine="0"/>
        <w:jc w:val="both"/>
        <w:rPr>
          <w:sz w:val="24"/>
        </w:rPr>
      </w:pPr>
      <w:r>
        <w:rPr>
          <w:i/>
          <w:sz w:val="24"/>
        </w:rPr>
        <w:t>shared transmission services</w:t>
      </w:r>
      <w:r>
        <w:rPr>
          <w:sz w:val="24"/>
        </w:rPr>
        <w:t>; and</w:t>
      </w:r>
    </w:p>
    <w:p>
      <w:pPr>
        <w:pStyle w:val="ListParagraph"/>
        <w:numPr>
          <w:ilvl w:val="3"/>
          <w:numId w:val="193"/>
        </w:numPr>
        <w:tabs>
          <w:tab w:pos="2486" w:val="left" w:leader="none"/>
        </w:tabs>
        <w:spacing w:line="240" w:lineRule="auto" w:before="120" w:after="0"/>
        <w:ind w:left="2486" w:right="416" w:hanging="567"/>
        <w:jc w:val="both"/>
        <w:rPr>
          <w:sz w:val="24"/>
        </w:rPr>
      </w:pPr>
      <w:r>
        <w:rPr>
          <w:sz w:val="24"/>
        </w:rPr>
        <w:t>the relevant </w:t>
      </w:r>
      <w:r>
        <w:rPr>
          <w:i/>
          <w:sz w:val="24"/>
        </w:rPr>
        <w:t>declared transmission system operator </w:t>
      </w:r>
      <w:r>
        <w:rPr>
          <w:sz w:val="24"/>
        </w:rPr>
        <w:t>is the </w:t>
      </w:r>
      <w:r>
        <w:rPr>
          <w:i/>
          <w:sz w:val="24"/>
        </w:rPr>
        <w:t>Network </w:t>
      </w:r>
      <w:r>
        <w:rPr>
          <w:i/>
          <w:sz w:val="24"/>
        </w:rPr>
        <w:t>Service Provider </w:t>
      </w:r>
      <w:r>
        <w:rPr>
          <w:sz w:val="24"/>
        </w:rPr>
        <w:t>in respect of the provision of </w:t>
      </w:r>
      <w:r>
        <w:rPr>
          <w:i/>
          <w:sz w:val="24"/>
        </w:rPr>
        <w:t>connection</w:t>
      </w:r>
      <w:r>
        <w:rPr>
          <w:i/>
          <w:spacing w:val="-7"/>
          <w:sz w:val="24"/>
        </w:rPr>
        <w:t> </w:t>
      </w:r>
      <w:r>
        <w:rPr>
          <w:i/>
          <w:sz w:val="24"/>
        </w:rPr>
        <w:t>services</w:t>
      </w:r>
      <w:r>
        <w:rPr>
          <w:sz w:val="24"/>
        </w:rPr>
        <w:t>.</w:t>
      </w:r>
    </w:p>
    <w:p>
      <w:pPr>
        <w:pStyle w:val="ListParagraph"/>
        <w:numPr>
          <w:ilvl w:val="2"/>
          <w:numId w:val="193"/>
        </w:numPr>
        <w:tabs>
          <w:tab w:pos="1919" w:val="left" w:leader="none"/>
        </w:tabs>
        <w:spacing w:line="240" w:lineRule="auto" w:before="120" w:after="0"/>
        <w:ind w:left="1918" w:right="0" w:hanging="567"/>
        <w:jc w:val="both"/>
        <w:rPr>
          <w:sz w:val="24"/>
        </w:rPr>
      </w:pPr>
      <w:r>
        <w:rPr>
          <w:sz w:val="24"/>
        </w:rPr>
        <w:t>If:</w:t>
      </w:r>
    </w:p>
    <w:p>
      <w:pPr>
        <w:pStyle w:val="ListParagraph"/>
        <w:numPr>
          <w:ilvl w:val="3"/>
          <w:numId w:val="193"/>
        </w:numPr>
        <w:tabs>
          <w:tab w:pos="2486" w:val="left" w:leader="none"/>
        </w:tabs>
        <w:spacing w:line="240" w:lineRule="auto" w:before="120" w:after="0"/>
        <w:ind w:left="2486" w:right="416" w:hanging="567"/>
        <w:jc w:val="both"/>
        <w:rPr>
          <w:sz w:val="24"/>
        </w:rPr>
      </w:pPr>
      <w:r>
        <w:rPr>
          <w:sz w:val="24"/>
        </w:rPr>
        <w:t>a </w:t>
      </w:r>
      <w:r>
        <w:rPr>
          <w:i/>
          <w:sz w:val="24"/>
        </w:rPr>
        <w:t>declared transmission system operator </w:t>
      </w:r>
      <w:r>
        <w:rPr>
          <w:sz w:val="24"/>
        </w:rPr>
        <w:t>receives a </w:t>
      </w:r>
      <w:r>
        <w:rPr>
          <w:i/>
          <w:sz w:val="24"/>
        </w:rPr>
        <w:t>connection </w:t>
      </w:r>
      <w:r>
        <w:rPr>
          <w:sz w:val="24"/>
        </w:rPr>
        <w:t>inquiry or an </w:t>
      </w:r>
      <w:r>
        <w:rPr>
          <w:i/>
          <w:sz w:val="24"/>
        </w:rPr>
        <w:t>application to connect </w:t>
      </w:r>
      <w:r>
        <w:rPr>
          <w:sz w:val="24"/>
        </w:rPr>
        <w:t>to a </w:t>
      </w:r>
      <w:r>
        <w:rPr>
          <w:i/>
          <w:sz w:val="24"/>
        </w:rPr>
        <w:t>declared shared network</w:t>
      </w:r>
      <w:r>
        <w:rPr>
          <w:sz w:val="24"/>
        </w:rPr>
        <w:t>;</w:t>
      </w:r>
      <w:r>
        <w:rPr>
          <w:spacing w:val="-5"/>
          <w:sz w:val="24"/>
        </w:rPr>
        <w:t> </w:t>
      </w:r>
      <w:r>
        <w:rPr>
          <w:sz w:val="24"/>
        </w:rPr>
        <w:t>and</w:t>
      </w:r>
    </w:p>
    <w:p>
      <w:pPr>
        <w:pStyle w:val="ListParagraph"/>
        <w:numPr>
          <w:ilvl w:val="3"/>
          <w:numId w:val="193"/>
        </w:numPr>
        <w:tabs>
          <w:tab w:pos="2486" w:val="left" w:leader="none"/>
        </w:tabs>
        <w:spacing w:line="240" w:lineRule="auto" w:before="120" w:after="0"/>
        <w:ind w:left="2485" w:right="0" w:hanging="567"/>
        <w:jc w:val="both"/>
        <w:rPr>
          <w:sz w:val="24"/>
        </w:rPr>
      </w:pPr>
      <w:r>
        <w:rPr>
          <w:sz w:val="24"/>
        </w:rPr>
        <w:t>the</w:t>
      </w:r>
      <w:r>
        <w:rPr>
          <w:spacing w:val="21"/>
          <w:sz w:val="24"/>
        </w:rPr>
        <w:t> </w:t>
      </w:r>
      <w:r>
        <w:rPr>
          <w:sz w:val="24"/>
        </w:rPr>
        <w:t>inquiry</w:t>
      </w:r>
      <w:r>
        <w:rPr>
          <w:spacing w:val="22"/>
          <w:sz w:val="24"/>
        </w:rPr>
        <w:t> </w:t>
      </w:r>
      <w:r>
        <w:rPr>
          <w:sz w:val="24"/>
        </w:rPr>
        <w:t>or</w:t>
      </w:r>
      <w:r>
        <w:rPr>
          <w:spacing w:val="21"/>
          <w:sz w:val="24"/>
        </w:rPr>
        <w:t> </w:t>
      </w:r>
      <w:r>
        <w:rPr>
          <w:sz w:val="24"/>
        </w:rPr>
        <w:t>application</w:t>
      </w:r>
      <w:r>
        <w:rPr>
          <w:spacing w:val="22"/>
          <w:sz w:val="24"/>
        </w:rPr>
        <w:t> </w:t>
      </w:r>
      <w:r>
        <w:rPr>
          <w:sz w:val="24"/>
        </w:rPr>
        <w:t>relates</w:t>
      </w:r>
      <w:r>
        <w:rPr>
          <w:spacing w:val="22"/>
          <w:sz w:val="24"/>
        </w:rPr>
        <w:t> </w:t>
      </w:r>
      <w:r>
        <w:rPr>
          <w:sz w:val="24"/>
        </w:rPr>
        <w:t>in</w:t>
      </w:r>
      <w:r>
        <w:rPr>
          <w:spacing w:val="21"/>
          <w:sz w:val="24"/>
        </w:rPr>
        <w:t> </w:t>
      </w:r>
      <w:r>
        <w:rPr>
          <w:sz w:val="24"/>
        </w:rPr>
        <w:t>whole</w:t>
      </w:r>
      <w:r>
        <w:rPr>
          <w:spacing w:val="22"/>
          <w:sz w:val="24"/>
        </w:rPr>
        <w:t> </w:t>
      </w:r>
      <w:r>
        <w:rPr>
          <w:sz w:val="24"/>
        </w:rPr>
        <w:t>or</w:t>
      </w:r>
      <w:r>
        <w:rPr>
          <w:spacing w:val="22"/>
          <w:sz w:val="24"/>
        </w:rPr>
        <w:t> </w:t>
      </w:r>
      <w:r>
        <w:rPr>
          <w:sz w:val="24"/>
        </w:rPr>
        <w:t>part</w:t>
      </w:r>
      <w:r>
        <w:rPr>
          <w:spacing w:val="21"/>
          <w:sz w:val="24"/>
        </w:rPr>
        <w:t> </w:t>
      </w:r>
      <w:r>
        <w:rPr>
          <w:sz w:val="24"/>
        </w:rPr>
        <w:t>to</w:t>
      </w:r>
      <w:r>
        <w:rPr>
          <w:spacing w:val="22"/>
          <w:sz w:val="24"/>
        </w:rPr>
        <w:t> </w:t>
      </w:r>
      <w:r>
        <w:rPr>
          <w:sz w:val="24"/>
        </w:rPr>
        <w:t>the</w:t>
      </w:r>
      <w:r>
        <w:rPr>
          <w:spacing w:val="22"/>
          <w:sz w:val="24"/>
        </w:rPr>
        <w:t> </w:t>
      </w:r>
      <w:r>
        <w:rPr>
          <w:sz w:val="24"/>
        </w:rPr>
        <w:t>provision</w:t>
      </w:r>
      <w:r>
        <w:rPr>
          <w:spacing w:val="21"/>
          <w:sz w:val="24"/>
        </w:rPr>
        <w:t> </w:t>
      </w:r>
      <w:r>
        <w:rPr>
          <w:sz w:val="24"/>
        </w:rPr>
        <w:t>of</w:t>
      </w:r>
    </w:p>
    <w:p>
      <w:pPr>
        <w:spacing w:before="0"/>
        <w:ind w:left="2486" w:right="0" w:firstLine="0"/>
        <w:jc w:val="both"/>
        <w:rPr>
          <w:sz w:val="24"/>
        </w:rPr>
      </w:pPr>
      <w:r>
        <w:rPr>
          <w:i/>
          <w:sz w:val="24"/>
        </w:rPr>
        <w:t>shared transmission services</w:t>
      </w:r>
      <w:r>
        <w:rPr>
          <w:sz w:val="24"/>
        </w:rPr>
        <w:t>;</w:t>
      </w:r>
    </w:p>
    <w:p>
      <w:pPr>
        <w:spacing w:before="120"/>
        <w:ind w:left="1919" w:right="415" w:firstLine="0"/>
        <w:jc w:val="both"/>
        <w:rPr>
          <w:sz w:val="24"/>
        </w:rPr>
      </w:pPr>
      <w:r>
        <w:rPr>
          <w:sz w:val="24"/>
        </w:rPr>
        <w:t>the </w:t>
      </w:r>
      <w:r>
        <w:rPr>
          <w:i/>
          <w:sz w:val="24"/>
        </w:rPr>
        <w:t>declared transmission system operator </w:t>
      </w:r>
      <w:r>
        <w:rPr>
          <w:sz w:val="24"/>
        </w:rPr>
        <w:t>must pass on to </w:t>
      </w:r>
      <w:r>
        <w:rPr>
          <w:i/>
          <w:sz w:val="24"/>
        </w:rPr>
        <w:t>AEMO </w:t>
      </w:r>
      <w:r>
        <w:rPr>
          <w:sz w:val="24"/>
        </w:rPr>
        <w:t>the information provided by the applicant in connection with the inquiry or application.</w:t>
      </w:r>
    </w:p>
    <w:p>
      <w:pPr>
        <w:pStyle w:val="BodyText"/>
        <w:tabs>
          <w:tab w:pos="566" w:val="left" w:leader="none"/>
          <w:tab w:pos="1516" w:val="left" w:leader="none"/>
          <w:tab w:pos="2525" w:val="left" w:leader="none"/>
          <w:tab w:pos="3547" w:val="left" w:leader="none"/>
          <w:tab w:pos="5023" w:val="left" w:leader="none"/>
          <w:tab w:pos="5505" w:val="left" w:leader="none"/>
          <w:tab w:pos="5894" w:val="left" w:leader="none"/>
          <w:tab w:pos="6557" w:val="left" w:leader="none"/>
        </w:tabs>
        <w:ind w:right="416" w:firstLine="0"/>
        <w:jc w:val="right"/>
      </w:pPr>
      <w:r>
        <w:rPr/>
        <w:t>(c)</w:t>
        <w:tab/>
        <w:t>Clauses</w:t>
        <w:tab/>
        <w:t>5.3.1(e),</w:t>
        <w:tab/>
        <w:t>5.3.2(g),</w:t>
        <w:tab/>
        <w:t>5.3.3(b)(5A),</w:t>
        <w:tab/>
        <w:t>(7)</w:t>
        <w:tab/>
        <w:t>to</w:t>
        <w:tab/>
        <w:t>(11),</w:t>
        <w:tab/>
      </w:r>
      <w:r>
        <w:rPr>
          <w:spacing w:val="-1"/>
        </w:rPr>
        <w:t>5.3.3(c)(5)(ii),</w:t>
      </w:r>
    </w:p>
    <w:p>
      <w:pPr>
        <w:pStyle w:val="BodyText"/>
        <w:spacing w:before="0"/>
        <w:ind w:left="1789" w:right="415" w:firstLine="0"/>
        <w:jc w:val="right"/>
      </w:pPr>
      <w:r>
        <w:rPr/>
        <w:t>5.3.4(b)(3)  and  (4),  5.3.4(b1),  5.3.4(f)(3),  5.3.6(b4)  and  (b5),  </w:t>
      </w:r>
      <w:r>
        <w:rPr>
          <w:spacing w:val="6"/>
        </w:rPr>
        <w:t> </w:t>
      </w:r>
      <w:r>
        <w:rPr/>
        <w:t>5.3.7(a2),</w:t>
      </w:r>
    </w:p>
    <w:p>
      <w:pPr>
        <w:spacing w:before="0"/>
        <w:ind w:left="1919" w:right="415" w:firstLine="0"/>
        <w:jc w:val="both"/>
        <w:rPr>
          <w:sz w:val="24"/>
        </w:rPr>
      </w:pPr>
      <w:r>
        <w:rPr>
          <w:sz w:val="24"/>
        </w:rPr>
        <w:t>5.3.7(f1) and (f2) and 5.3.8(a2) do not apply in respect of a </w:t>
      </w:r>
      <w:r>
        <w:rPr>
          <w:i/>
          <w:sz w:val="24"/>
        </w:rPr>
        <w:t>declared </w:t>
      </w:r>
      <w:r>
        <w:rPr>
          <w:i/>
          <w:sz w:val="24"/>
        </w:rPr>
        <w:t>transmission system</w:t>
      </w:r>
      <w:r>
        <w:rPr>
          <w:sz w:val="24"/>
        </w:rPr>
        <w:t>.</w:t>
      </w:r>
    </w:p>
    <w:p>
      <w:pPr>
        <w:pStyle w:val="BodyText"/>
        <w:spacing w:before="10"/>
        <w:ind w:firstLine="0"/>
        <w:jc w:val="left"/>
        <w:rPr>
          <w:sz w:val="20"/>
        </w:rPr>
      </w:pPr>
    </w:p>
    <w:p>
      <w:pPr>
        <w:pStyle w:val="Heading3"/>
        <w:numPr>
          <w:ilvl w:val="1"/>
          <w:numId w:val="193"/>
        </w:numPr>
        <w:tabs>
          <w:tab w:pos="1351" w:val="left" w:leader="none"/>
          <w:tab w:pos="1353" w:val="left" w:leader="none"/>
        </w:tabs>
        <w:spacing w:line="240" w:lineRule="auto" w:before="0" w:after="0"/>
        <w:ind w:left="1352" w:right="0" w:hanging="1135"/>
        <w:jc w:val="left"/>
      </w:pPr>
      <w:bookmarkStart w:name="5.4 Independent Engineer" w:id="499"/>
      <w:bookmarkEnd w:id="499"/>
      <w:r>
        <w:rPr>
          <w:b w:val="0"/>
        </w:rPr>
      </w:r>
      <w:bookmarkStart w:name="_bookmark205" w:id="500"/>
      <w:bookmarkEnd w:id="500"/>
      <w:r>
        <w:rPr>
          <w:b w:val="0"/>
        </w:rPr>
      </w:r>
      <w:bookmarkStart w:name="_bookmark205" w:id="501"/>
      <w:bookmarkEnd w:id="501"/>
      <w:r>
        <w:rPr/>
        <w:t>I</w:t>
      </w:r>
      <w:r>
        <w:rPr/>
        <w:t>ndependent</w:t>
      </w:r>
      <w:r>
        <w:rPr>
          <w:spacing w:val="-1"/>
        </w:rPr>
        <w:t> </w:t>
      </w:r>
      <w:r>
        <w:rPr/>
        <w:t>Engineer</w:t>
      </w:r>
    </w:p>
    <w:p>
      <w:pPr>
        <w:pStyle w:val="Heading4"/>
        <w:numPr>
          <w:ilvl w:val="2"/>
          <w:numId w:val="194"/>
        </w:numPr>
        <w:tabs>
          <w:tab w:pos="1351" w:val="left" w:leader="none"/>
          <w:tab w:pos="1352" w:val="left" w:leader="none"/>
        </w:tabs>
        <w:spacing w:line="240" w:lineRule="auto" w:before="240" w:after="0"/>
        <w:ind w:left="1351" w:right="0" w:hanging="1134"/>
        <w:jc w:val="left"/>
      </w:pPr>
      <w:bookmarkStart w:name="5.4.1 Application" w:id="502"/>
      <w:bookmarkEnd w:id="502"/>
      <w:r>
        <w:rPr>
          <w:b w:val="0"/>
        </w:rPr>
      </w:r>
      <w:bookmarkStart w:name="_bookmark206" w:id="503"/>
      <w:bookmarkEnd w:id="503"/>
      <w:r>
        <w:rPr>
          <w:b w:val="0"/>
        </w:rPr>
      </w:r>
      <w:bookmarkStart w:name="_bookmark206" w:id="504"/>
      <w:bookmarkEnd w:id="504"/>
      <w:r>
        <w:rPr/>
        <w:t>Applicatio</w:t>
      </w:r>
      <w:r>
        <w:rPr/>
        <w:t>n</w:t>
      </w:r>
    </w:p>
    <w:p>
      <w:pPr>
        <w:pStyle w:val="ListParagraph"/>
        <w:numPr>
          <w:ilvl w:val="3"/>
          <w:numId w:val="194"/>
        </w:numPr>
        <w:tabs>
          <w:tab w:pos="1919" w:val="left" w:leader="none"/>
        </w:tabs>
        <w:spacing w:line="240" w:lineRule="auto" w:before="120" w:after="0"/>
        <w:ind w:left="1918" w:right="0" w:hanging="567"/>
        <w:jc w:val="both"/>
        <w:rPr>
          <w:sz w:val="24"/>
        </w:rPr>
      </w:pPr>
      <w:r>
        <w:rPr>
          <w:sz w:val="24"/>
        </w:rPr>
        <w:t>This rule 5.4 does not apply to the </w:t>
      </w:r>
      <w:r>
        <w:rPr>
          <w:i/>
          <w:sz w:val="24"/>
        </w:rPr>
        <w:t>declared transmission system </w:t>
      </w:r>
      <w:r>
        <w:rPr>
          <w:sz w:val="24"/>
        </w:rPr>
        <w:t>of</w:t>
      </w:r>
      <w:r>
        <w:rPr>
          <w:spacing w:val="-23"/>
          <w:sz w:val="24"/>
        </w:rPr>
        <w:t> </w:t>
      </w:r>
      <w:r>
        <w:rPr>
          <w:sz w:val="24"/>
        </w:rPr>
        <w:t>an</w:t>
      </w:r>
    </w:p>
    <w:p>
      <w:pPr>
        <w:spacing w:before="0"/>
        <w:ind w:left="1919" w:right="0" w:firstLine="0"/>
        <w:jc w:val="both"/>
        <w:rPr>
          <w:sz w:val="24"/>
        </w:rPr>
      </w:pPr>
      <w:r>
        <w:rPr>
          <w:i/>
          <w:sz w:val="24"/>
        </w:rPr>
        <w:t>adoptive jurisdiction</w:t>
      </w:r>
      <w:r>
        <w:rPr>
          <w:sz w:val="24"/>
        </w:rPr>
        <w:t>.</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This rule 5.4 applies only if a relevant </w:t>
      </w:r>
      <w:r>
        <w:rPr>
          <w:i/>
          <w:sz w:val="24"/>
        </w:rPr>
        <w:t>Transmission Network Service </w:t>
      </w:r>
      <w:r>
        <w:rPr>
          <w:i/>
          <w:sz w:val="24"/>
        </w:rPr>
        <w:t>Provider </w:t>
      </w:r>
      <w:r>
        <w:rPr>
          <w:sz w:val="24"/>
        </w:rPr>
        <w:t>or a </w:t>
      </w:r>
      <w:r>
        <w:rPr>
          <w:i/>
          <w:sz w:val="24"/>
        </w:rPr>
        <w:t>Connection Applicant </w:t>
      </w:r>
      <w:r>
        <w:rPr>
          <w:sz w:val="24"/>
        </w:rPr>
        <w:t>requires independent advice in order to reach agreement on or</w:t>
      </w:r>
      <w:r>
        <w:rPr>
          <w:spacing w:val="-1"/>
          <w:sz w:val="24"/>
        </w:rPr>
        <w:t> </w:t>
      </w:r>
      <w:r>
        <w:rPr>
          <w:sz w:val="24"/>
        </w:rPr>
        <w:t>resolve:</w:t>
      </w:r>
    </w:p>
    <w:p>
      <w:pPr>
        <w:pStyle w:val="ListParagraph"/>
        <w:numPr>
          <w:ilvl w:val="4"/>
          <w:numId w:val="194"/>
        </w:numPr>
        <w:tabs>
          <w:tab w:pos="2486" w:val="left" w:leader="none"/>
        </w:tabs>
        <w:spacing w:line="240" w:lineRule="auto" w:before="120" w:after="0"/>
        <w:ind w:left="2486" w:right="416" w:hanging="567"/>
        <w:jc w:val="both"/>
        <w:rPr>
          <w:sz w:val="24"/>
        </w:rPr>
      </w:pPr>
      <w:r>
        <w:rPr>
          <w:sz w:val="24"/>
        </w:rPr>
        <w:t>a technical issue in relation to </w:t>
      </w:r>
      <w:r>
        <w:rPr>
          <w:i/>
          <w:sz w:val="24"/>
        </w:rPr>
        <w:t>negotiated transmission services </w:t>
      </w:r>
      <w:r>
        <w:rPr>
          <w:sz w:val="24"/>
        </w:rPr>
        <w:t>related to a </w:t>
      </w:r>
      <w:r>
        <w:rPr>
          <w:i/>
          <w:sz w:val="24"/>
        </w:rPr>
        <w:t>connection </w:t>
      </w:r>
      <w:r>
        <w:rPr>
          <w:sz w:val="24"/>
        </w:rPr>
        <w:t>sought by the </w:t>
      </w:r>
      <w:r>
        <w:rPr>
          <w:i/>
          <w:sz w:val="24"/>
        </w:rPr>
        <w:t>Connection</w:t>
      </w:r>
      <w:r>
        <w:rPr>
          <w:i/>
          <w:spacing w:val="-3"/>
          <w:sz w:val="24"/>
        </w:rPr>
        <w:t> </w:t>
      </w:r>
      <w:r>
        <w:rPr>
          <w:i/>
          <w:sz w:val="24"/>
        </w:rPr>
        <w:t>Applicant</w:t>
      </w:r>
      <w:r>
        <w:rPr>
          <w:sz w:val="24"/>
        </w:rPr>
        <w:t>;</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whether assets or components form part of a </w:t>
      </w:r>
      <w:r>
        <w:rPr>
          <w:i/>
          <w:sz w:val="24"/>
        </w:rPr>
        <w:t>dedicated connection </w:t>
      </w:r>
      <w:r>
        <w:rPr>
          <w:i/>
          <w:sz w:val="24"/>
        </w:rPr>
        <w:t>asset </w:t>
      </w:r>
      <w:r>
        <w:rPr>
          <w:sz w:val="24"/>
        </w:rPr>
        <w:t>or form part of an </w:t>
      </w:r>
      <w:r>
        <w:rPr>
          <w:i/>
          <w:sz w:val="24"/>
        </w:rPr>
        <w:t>identified user shared</w:t>
      </w:r>
      <w:r>
        <w:rPr>
          <w:i/>
          <w:spacing w:val="-3"/>
          <w:sz w:val="24"/>
        </w:rPr>
        <w:t> </w:t>
      </w:r>
      <w:r>
        <w:rPr>
          <w:i/>
          <w:sz w:val="24"/>
        </w:rPr>
        <w:t>asset</w:t>
      </w:r>
      <w:r>
        <w:rPr>
          <w:sz w:val="24"/>
        </w:rPr>
        <w:t>;</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whether or not a component of an </w:t>
      </w:r>
      <w:r>
        <w:rPr>
          <w:i/>
          <w:sz w:val="24"/>
        </w:rPr>
        <w:t>identified user shared asset </w:t>
      </w:r>
      <w:r>
        <w:rPr>
          <w:sz w:val="24"/>
        </w:rPr>
        <w:t>is a </w:t>
      </w:r>
      <w:r>
        <w:rPr>
          <w:i/>
          <w:sz w:val="24"/>
        </w:rPr>
        <w:t>contestable IUSA component </w:t>
      </w:r>
      <w:r>
        <w:rPr>
          <w:sz w:val="24"/>
        </w:rPr>
        <w:t>pursuant to clause 5.2A.4(c)(1) and </w:t>
      </w:r>
      <w:r>
        <w:rPr>
          <w:spacing w:val="-3"/>
          <w:sz w:val="24"/>
        </w:rPr>
        <w:t>(2); </w:t>
      </w:r>
      <w:r>
        <w:rPr>
          <w:sz w:val="24"/>
        </w:rPr>
        <w:t>or</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whether the detailed design of a </w:t>
      </w:r>
      <w:r>
        <w:rPr>
          <w:i/>
          <w:sz w:val="24"/>
        </w:rPr>
        <w:t>contestable IUSA component </w:t>
      </w:r>
      <w:r>
        <w:rPr>
          <w:spacing w:val="-6"/>
          <w:sz w:val="24"/>
        </w:rPr>
        <w:t>is </w:t>
      </w:r>
      <w:r>
        <w:rPr>
          <w:sz w:val="24"/>
        </w:rPr>
        <w:t>consistent with the functional specification for the relevant </w:t>
      </w:r>
      <w:r>
        <w:rPr>
          <w:i/>
          <w:sz w:val="24"/>
        </w:rPr>
        <w:t>identified </w:t>
      </w:r>
      <w:r>
        <w:rPr>
          <w:i/>
          <w:sz w:val="24"/>
        </w:rPr>
        <w:t>user shared</w:t>
      </w:r>
      <w:r>
        <w:rPr>
          <w:i/>
          <w:spacing w:val="-2"/>
          <w:sz w:val="24"/>
        </w:rPr>
        <w:t> </w:t>
      </w:r>
      <w:r>
        <w:rPr>
          <w:i/>
          <w:sz w:val="24"/>
        </w:rPr>
        <w:t>asset</w:t>
      </w:r>
      <w:r>
        <w:rPr>
          <w:sz w:val="24"/>
        </w:rPr>
        <w:t>,</w:t>
      </w:r>
    </w:p>
    <w:p>
      <w:pPr>
        <w:spacing w:after="0" w:line="240" w:lineRule="auto"/>
        <w:jc w:val="both"/>
        <w:rPr>
          <w:sz w:val="24"/>
        </w:rPr>
        <w:sectPr>
          <w:pgSz w:w="11910" w:h="16840"/>
          <w:pgMar w:header="686" w:footer="637" w:top="1320" w:bottom="820" w:left="1200" w:right="1000"/>
        </w:sectPr>
      </w:pPr>
    </w:p>
    <w:p>
      <w:pPr>
        <w:spacing w:before="83"/>
        <w:ind w:left="2486" w:right="0" w:firstLine="0"/>
        <w:jc w:val="left"/>
        <w:rPr>
          <w:sz w:val="24"/>
        </w:rPr>
      </w:pPr>
      <w:r>
        <w:rPr>
          <w:sz w:val="24"/>
        </w:rPr>
        <w:t>("</w:t>
      </w:r>
      <w:r>
        <w:rPr>
          <w:b/>
          <w:sz w:val="24"/>
        </w:rPr>
        <w:t>technical matter</w:t>
      </w:r>
      <w:r>
        <w:rPr>
          <w:sz w:val="24"/>
        </w:rPr>
        <w:t>").</w:t>
      </w:r>
    </w:p>
    <w:p>
      <w:pPr>
        <w:pStyle w:val="ListParagraph"/>
        <w:numPr>
          <w:ilvl w:val="3"/>
          <w:numId w:val="194"/>
        </w:numPr>
        <w:tabs>
          <w:tab w:pos="1918" w:val="left" w:leader="none"/>
          <w:tab w:pos="1919" w:val="left" w:leader="none"/>
        </w:tabs>
        <w:spacing w:line="240" w:lineRule="auto" w:before="120" w:after="0"/>
        <w:ind w:left="1918" w:right="0" w:hanging="567"/>
        <w:jc w:val="left"/>
        <w:rPr>
          <w:sz w:val="24"/>
        </w:rPr>
      </w:pPr>
      <w:r>
        <w:rPr>
          <w:sz w:val="24"/>
        </w:rPr>
        <w:t>A technical matter does not include issues relating</w:t>
      </w:r>
      <w:r>
        <w:rPr>
          <w:spacing w:val="-1"/>
          <w:sz w:val="24"/>
        </w:rPr>
        <w:t> </w:t>
      </w:r>
      <w:r>
        <w:rPr>
          <w:sz w:val="24"/>
        </w:rPr>
        <w:t>to:</w:t>
      </w:r>
    </w:p>
    <w:p>
      <w:pPr>
        <w:pStyle w:val="ListParagraph"/>
        <w:numPr>
          <w:ilvl w:val="4"/>
          <w:numId w:val="194"/>
        </w:numPr>
        <w:tabs>
          <w:tab w:pos="2485" w:val="left" w:leader="none"/>
          <w:tab w:pos="2486" w:val="left" w:leader="none"/>
        </w:tabs>
        <w:spacing w:line="240" w:lineRule="auto" w:before="120" w:after="0"/>
        <w:ind w:left="2485" w:right="0" w:hanging="567"/>
        <w:jc w:val="left"/>
        <w:rPr>
          <w:sz w:val="24"/>
        </w:rPr>
      </w:pPr>
      <w:r>
        <w:rPr>
          <w:sz w:val="24"/>
        </w:rPr>
        <w:t>the cost or commercial terms</w:t>
      </w:r>
      <w:r>
        <w:rPr>
          <w:spacing w:val="-1"/>
          <w:sz w:val="24"/>
        </w:rPr>
        <w:t> </w:t>
      </w:r>
      <w:r>
        <w:rPr>
          <w:sz w:val="24"/>
        </w:rPr>
        <w:t>of;</w:t>
      </w:r>
    </w:p>
    <w:p>
      <w:pPr>
        <w:pStyle w:val="ListParagraph"/>
        <w:numPr>
          <w:ilvl w:val="4"/>
          <w:numId w:val="194"/>
        </w:numPr>
        <w:tabs>
          <w:tab w:pos="2485" w:val="left" w:leader="none"/>
          <w:tab w:pos="2486" w:val="left" w:leader="none"/>
        </w:tabs>
        <w:spacing w:line="240" w:lineRule="auto" w:before="120" w:after="0"/>
        <w:ind w:left="2485" w:right="0" w:hanging="567"/>
        <w:jc w:val="left"/>
        <w:rPr>
          <w:sz w:val="24"/>
        </w:rPr>
      </w:pPr>
      <w:r>
        <w:rPr>
          <w:sz w:val="24"/>
        </w:rPr>
        <w:t>the process relating to;</w:t>
      </w:r>
      <w:r>
        <w:rPr>
          <w:spacing w:val="-1"/>
          <w:sz w:val="24"/>
        </w:rPr>
        <w:t> </w:t>
      </w:r>
      <w:r>
        <w:rPr>
          <w:sz w:val="24"/>
        </w:rPr>
        <w:t>or</w:t>
      </w:r>
    </w:p>
    <w:p>
      <w:pPr>
        <w:pStyle w:val="ListParagraph"/>
        <w:numPr>
          <w:ilvl w:val="4"/>
          <w:numId w:val="194"/>
        </w:numPr>
        <w:tabs>
          <w:tab w:pos="2485" w:val="left" w:leader="none"/>
          <w:tab w:pos="2486" w:val="left" w:leader="none"/>
        </w:tabs>
        <w:spacing w:line="343" w:lineRule="auto" w:before="120" w:after="0"/>
        <w:ind w:left="1919" w:right="5918" w:firstLine="0"/>
        <w:jc w:val="left"/>
        <w:rPr>
          <w:sz w:val="24"/>
        </w:rPr>
      </w:pPr>
      <w:r>
        <w:rPr>
          <w:sz w:val="24"/>
        </w:rPr>
        <w:t>the timing </w:t>
      </w:r>
      <w:r>
        <w:rPr>
          <w:spacing w:val="-5"/>
          <w:sz w:val="24"/>
        </w:rPr>
        <w:t>of, </w:t>
      </w:r>
      <w:r>
        <w:rPr>
          <w:sz w:val="24"/>
        </w:rPr>
        <w:t>the</w:t>
      </w:r>
      <w:r>
        <w:rPr>
          <w:spacing w:val="-1"/>
          <w:sz w:val="24"/>
        </w:rPr>
        <w:t> </w:t>
      </w:r>
      <w:r>
        <w:rPr>
          <w:i/>
          <w:sz w:val="24"/>
        </w:rPr>
        <w:t>connection</w:t>
      </w:r>
      <w:r>
        <w:rPr>
          <w:sz w:val="24"/>
        </w:rPr>
        <w:t>.</w:t>
      </w:r>
    </w:p>
    <w:p>
      <w:pPr>
        <w:pStyle w:val="Heading4"/>
        <w:numPr>
          <w:ilvl w:val="2"/>
          <w:numId w:val="194"/>
        </w:numPr>
        <w:tabs>
          <w:tab w:pos="1351" w:val="left" w:leader="none"/>
          <w:tab w:pos="1352" w:val="left" w:leader="none"/>
        </w:tabs>
        <w:spacing w:line="240" w:lineRule="auto" w:before="123" w:after="0"/>
        <w:ind w:left="1351" w:right="0" w:hanging="1134"/>
        <w:jc w:val="left"/>
      </w:pPr>
      <w:bookmarkStart w:name="5.4.2 Establishment of a pool" w:id="505"/>
      <w:bookmarkEnd w:id="505"/>
      <w:r>
        <w:rPr>
          <w:b w:val="0"/>
        </w:rPr>
      </w:r>
      <w:bookmarkStart w:name="_bookmark207" w:id="506"/>
      <w:bookmarkEnd w:id="506"/>
      <w:r>
        <w:rPr>
          <w:b w:val="0"/>
        </w:rPr>
      </w:r>
      <w:bookmarkStart w:name="_bookmark207" w:id="507"/>
      <w:bookmarkEnd w:id="507"/>
      <w:r>
        <w:rPr/>
        <w:t>Establishment</w:t>
      </w:r>
      <w:r>
        <w:rPr/>
        <w:t> of a</w:t>
      </w:r>
      <w:r>
        <w:rPr>
          <w:spacing w:val="-2"/>
        </w:rPr>
        <w:t> </w:t>
      </w:r>
      <w:r>
        <w:rPr/>
        <w:t>pool</w:t>
      </w:r>
    </w:p>
    <w:p>
      <w:pPr>
        <w:pStyle w:val="ListParagraph"/>
        <w:numPr>
          <w:ilvl w:val="3"/>
          <w:numId w:val="194"/>
        </w:numPr>
        <w:tabs>
          <w:tab w:pos="1919" w:val="left" w:leader="none"/>
        </w:tabs>
        <w:spacing w:line="240" w:lineRule="auto" w:before="120" w:after="0"/>
        <w:ind w:left="1919" w:right="414" w:hanging="567"/>
        <w:jc w:val="both"/>
        <w:rPr>
          <w:sz w:val="24"/>
        </w:rPr>
      </w:pPr>
      <w:r>
        <w:rPr>
          <w:sz w:val="24"/>
        </w:rPr>
        <w:t>The </w:t>
      </w:r>
      <w:r>
        <w:rPr>
          <w:i/>
          <w:sz w:val="24"/>
        </w:rPr>
        <w:t>Adviser </w:t>
      </w:r>
      <w:r>
        <w:rPr>
          <w:sz w:val="24"/>
        </w:rPr>
        <w:t>must establish and maintain a pool of persons (who may be individuals or firms) from whom the </w:t>
      </w:r>
      <w:r>
        <w:rPr>
          <w:i/>
          <w:sz w:val="24"/>
        </w:rPr>
        <w:t>Independent Engineer </w:t>
      </w:r>
      <w:r>
        <w:rPr>
          <w:sz w:val="24"/>
        </w:rPr>
        <w:t>may be selected in accordance with clauses 5.4.3(d)(2) or</w:t>
      </w:r>
      <w:r>
        <w:rPr>
          <w:spacing w:val="-2"/>
          <w:sz w:val="24"/>
        </w:rPr>
        <w:t> </w:t>
      </w:r>
      <w:r>
        <w:rPr>
          <w:sz w:val="24"/>
        </w:rPr>
        <w:t>5.4.4(a)(4).</w:t>
      </w:r>
    </w:p>
    <w:p>
      <w:pPr>
        <w:pStyle w:val="ListParagraph"/>
        <w:numPr>
          <w:ilvl w:val="3"/>
          <w:numId w:val="194"/>
        </w:numPr>
        <w:tabs>
          <w:tab w:pos="1919" w:val="left" w:leader="none"/>
        </w:tabs>
        <w:spacing w:line="240" w:lineRule="auto" w:before="120" w:after="0"/>
        <w:ind w:left="1919" w:right="414" w:hanging="567"/>
        <w:jc w:val="both"/>
        <w:rPr>
          <w:sz w:val="24"/>
        </w:rPr>
      </w:pPr>
      <w:r>
        <w:rPr>
          <w:sz w:val="24"/>
        </w:rPr>
        <w:t>In selecting persons for the pool, the </w:t>
      </w:r>
      <w:r>
        <w:rPr>
          <w:i/>
          <w:sz w:val="24"/>
        </w:rPr>
        <w:t>Adviser </w:t>
      </w:r>
      <w:r>
        <w:rPr>
          <w:sz w:val="24"/>
        </w:rPr>
        <w:t>must have regard to the need for the person to have sufficient experience and expertise in technical matters involved in </w:t>
      </w:r>
      <w:r>
        <w:rPr>
          <w:i/>
          <w:sz w:val="24"/>
        </w:rPr>
        <w:t>connections </w:t>
      </w:r>
      <w:r>
        <w:rPr>
          <w:sz w:val="24"/>
        </w:rPr>
        <w:t>to the </w:t>
      </w:r>
      <w:r>
        <w:rPr>
          <w:i/>
          <w:sz w:val="24"/>
        </w:rPr>
        <w:t>transmission</w:t>
      </w:r>
      <w:r>
        <w:rPr>
          <w:i/>
          <w:spacing w:val="-4"/>
          <w:sz w:val="24"/>
        </w:rPr>
        <w:t> </w:t>
      </w:r>
      <w:r>
        <w:rPr>
          <w:i/>
          <w:sz w:val="24"/>
        </w:rPr>
        <w:t>network</w:t>
      </w:r>
      <w:r>
        <w:rPr>
          <w:sz w:val="24"/>
        </w:rPr>
        <w:t>.</w:t>
      </w:r>
    </w:p>
    <w:p>
      <w:pPr>
        <w:pStyle w:val="ListParagraph"/>
        <w:numPr>
          <w:ilvl w:val="3"/>
          <w:numId w:val="194"/>
        </w:numPr>
        <w:tabs>
          <w:tab w:pos="1919" w:val="left" w:leader="none"/>
        </w:tabs>
        <w:spacing w:line="240" w:lineRule="auto" w:before="120" w:after="0"/>
        <w:ind w:left="1919" w:right="414" w:hanging="567"/>
        <w:jc w:val="both"/>
        <w:rPr>
          <w:sz w:val="24"/>
        </w:rPr>
      </w:pPr>
      <w:r>
        <w:rPr>
          <w:sz w:val="24"/>
        </w:rPr>
        <w:t>The </w:t>
      </w:r>
      <w:r>
        <w:rPr>
          <w:i/>
          <w:sz w:val="24"/>
        </w:rPr>
        <w:t>Adviser </w:t>
      </w:r>
      <w:r>
        <w:rPr>
          <w:sz w:val="24"/>
        </w:rPr>
        <w:t>must review the composition of the pool at least every two years.</w:t>
      </w:r>
    </w:p>
    <w:p>
      <w:pPr>
        <w:pStyle w:val="BodyText"/>
        <w:spacing w:before="10"/>
        <w:ind w:firstLine="0"/>
        <w:jc w:val="left"/>
        <w:rPr>
          <w:sz w:val="20"/>
        </w:rPr>
      </w:pPr>
    </w:p>
    <w:p>
      <w:pPr>
        <w:pStyle w:val="Heading4"/>
        <w:numPr>
          <w:ilvl w:val="2"/>
          <w:numId w:val="194"/>
        </w:numPr>
        <w:tabs>
          <w:tab w:pos="1351" w:val="left" w:leader="none"/>
          <w:tab w:pos="1352" w:val="left" w:leader="none"/>
        </w:tabs>
        <w:spacing w:line="240" w:lineRule="auto" w:before="0" w:after="0"/>
        <w:ind w:left="1351" w:right="0" w:hanging="1134"/>
        <w:jc w:val="left"/>
      </w:pPr>
      <w:bookmarkStart w:name="5.4.3 Initiating the Independent Enginee" w:id="508"/>
      <w:bookmarkEnd w:id="508"/>
      <w:r>
        <w:rPr>
          <w:b w:val="0"/>
        </w:rPr>
      </w:r>
      <w:bookmarkStart w:name="_bookmark208" w:id="509"/>
      <w:bookmarkEnd w:id="509"/>
      <w:r>
        <w:rPr>
          <w:b w:val="0"/>
        </w:rPr>
      </w:r>
      <w:bookmarkStart w:name="_bookmark208" w:id="510"/>
      <w:bookmarkEnd w:id="510"/>
      <w:r>
        <w:rPr/>
        <w:t>Init</w:t>
      </w:r>
      <w:r>
        <w:rPr/>
        <w:t>iating the Independent Engineer</w:t>
      </w:r>
      <w:r>
        <w:rPr>
          <w:spacing w:val="-1"/>
        </w:rPr>
        <w:t> </w:t>
      </w:r>
      <w:r>
        <w:rPr/>
        <w:t>process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(c)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If a technical matter arises that requires independent advice in order to </w:t>
      </w:r>
      <w:r>
        <w:rPr>
          <w:spacing w:val="-3"/>
          <w:sz w:val="24"/>
        </w:rPr>
        <w:t>reach </w:t>
      </w:r>
      <w:r>
        <w:rPr>
          <w:sz w:val="24"/>
        </w:rPr>
        <w:t>an agreement or resolution, a </w:t>
      </w:r>
      <w:r>
        <w:rPr>
          <w:i/>
          <w:sz w:val="24"/>
        </w:rPr>
        <w:t>Transmission Network Service Provider </w:t>
      </w:r>
      <w:r>
        <w:rPr>
          <w:sz w:val="24"/>
        </w:rPr>
        <w:t>or a </w:t>
      </w:r>
      <w:r>
        <w:rPr>
          <w:i/>
          <w:sz w:val="24"/>
        </w:rPr>
        <w:t>Connection Applicant </w:t>
      </w:r>
      <w:r>
        <w:rPr>
          <w:sz w:val="24"/>
        </w:rPr>
        <w:t>may serve a notice on the other party</w:t>
      </w:r>
      <w:r>
        <w:rPr>
          <w:spacing w:val="-5"/>
          <w:sz w:val="24"/>
        </w:rPr>
        <w:t> </w:t>
      </w:r>
      <w:r>
        <w:rPr>
          <w:sz w:val="24"/>
        </w:rPr>
        <w:t>that:</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requires the parties to engage an </w:t>
      </w:r>
      <w:r>
        <w:rPr>
          <w:i/>
          <w:sz w:val="24"/>
        </w:rPr>
        <w:t>Independent</w:t>
      </w:r>
      <w:r>
        <w:rPr>
          <w:i/>
          <w:spacing w:val="-1"/>
          <w:sz w:val="24"/>
        </w:rPr>
        <w:t> </w:t>
      </w:r>
      <w:r>
        <w:rPr>
          <w:i/>
          <w:sz w:val="24"/>
        </w:rPr>
        <w:t>Engineer</w:t>
      </w:r>
      <w:r>
        <w:rPr>
          <w:sz w:val="24"/>
        </w:rPr>
        <w:t>;</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includes a statement setting out the technical matter;</w:t>
      </w:r>
      <w:r>
        <w:rPr>
          <w:spacing w:val="-3"/>
          <w:sz w:val="24"/>
        </w:rPr>
        <w:t> </w:t>
      </w:r>
      <w:r>
        <w:rPr>
          <w:sz w:val="24"/>
        </w:rPr>
        <w:t>and</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may request the receiving party to provide information about </w:t>
      </w:r>
      <w:r>
        <w:rPr>
          <w:spacing w:val="-4"/>
          <w:sz w:val="24"/>
        </w:rPr>
        <w:t>the </w:t>
      </w:r>
      <w:r>
        <w:rPr>
          <w:sz w:val="24"/>
        </w:rPr>
        <w:t>technical</w:t>
      </w:r>
      <w:r>
        <w:rPr>
          <w:spacing w:val="-1"/>
          <w:sz w:val="24"/>
        </w:rPr>
        <w:t> </w:t>
      </w:r>
      <w:r>
        <w:rPr>
          <w:sz w:val="24"/>
        </w:rPr>
        <w:t>matter.</w:t>
      </w:r>
    </w:p>
    <w:p>
      <w:pPr>
        <w:pStyle w:val="ListParagraph"/>
        <w:numPr>
          <w:ilvl w:val="3"/>
          <w:numId w:val="194"/>
        </w:numPr>
        <w:tabs>
          <w:tab w:pos="1919" w:val="left" w:leader="none"/>
        </w:tabs>
        <w:spacing w:line="240" w:lineRule="auto" w:before="120" w:after="0"/>
        <w:ind w:left="1918" w:right="0" w:hanging="567"/>
        <w:jc w:val="both"/>
        <w:rPr>
          <w:sz w:val="24"/>
        </w:rPr>
      </w:pPr>
      <w:r>
        <w:rPr>
          <w:sz w:val="24"/>
        </w:rPr>
        <w:t>If another </w:t>
      </w:r>
      <w:r>
        <w:rPr>
          <w:i/>
          <w:sz w:val="24"/>
        </w:rPr>
        <w:t>Transmission Network Service</w:t>
      </w:r>
      <w:r>
        <w:rPr>
          <w:i/>
          <w:spacing w:val="-3"/>
          <w:sz w:val="24"/>
        </w:rPr>
        <w:t> </w:t>
      </w:r>
      <w:r>
        <w:rPr>
          <w:i/>
          <w:sz w:val="24"/>
        </w:rPr>
        <w:t>Provider</w:t>
      </w:r>
      <w:r>
        <w:rPr>
          <w:sz w:val="24"/>
        </w:rPr>
        <w:t>:</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has the task of liaising with the </w:t>
      </w:r>
      <w:r>
        <w:rPr>
          <w:i/>
          <w:sz w:val="24"/>
        </w:rPr>
        <w:t>Connection Applicant </w:t>
      </w:r>
      <w:r>
        <w:rPr>
          <w:sz w:val="24"/>
        </w:rPr>
        <w:t>under clause 5.3.2(e); or</w:t>
      </w:r>
    </w:p>
    <w:p>
      <w:pPr>
        <w:pStyle w:val="ListParagraph"/>
        <w:numPr>
          <w:ilvl w:val="4"/>
          <w:numId w:val="194"/>
        </w:numPr>
        <w:tabs>
          <w:tab w:pos="2486" w:val="left" w:leader="none"/>
        </w:tabs>
        <w:spacing w:line="240" w:lineRule="auto" w:before="120" w:after="0"/>
        <w:ind w:left="2485" w:right="0" w:hanging="567"/>
        <w:jc w:val="both"/>
        <w:rPr>
          <w:i/>
          <w:sz w:val="24"/>
        </w:rPr>
      </w:pPr>
      <w:r>
        <w:rPr>
          <w:sz w:val="24"/>
        </w:rPr>
        <w:t>has</w:t>
      </w:r>
      <w:r>
        <w:rPr>
          <w:spacing w:val="34"/>
          <w:sz w:val="24"/>
        </w:rPr>
        <w:t> </w:t>
      </w:r>
      <w:r>
        <w:rPr>
          <w:sz w:val="24"/>
        </w:rPr>
        <w:t>been</w:t>
      </w:r>
      <w:r>
        <w:rPr>
          <w:spacing w:val="34"/>
          <w:sz w:val="24"/>
        </w:rPr>
        <w:t> </w:t>
      </w:r>
      <w:r>
        <w:rPr>
          <w:sz w:val="24"/>
        </w:rPr>
        <w:t>identified</w:t>
      </w:r>
      <w:r>
        <w:rPr>
          <w:spacing w:val="35"/>
          <w:sz w:val="24"/>
        </w:rPr>
        <w:t> </w:t>
      </w:r>
      <w:r>
        <w:rPr>
          <w:sz w:val="24"/>
        </w:rPr>
        <w:t>as</w:t>
      </w:r>
      <w:r>
        <w:rPr>
          <w:spacing w:val="34"/>
          <w:sz w:val="24"/>
        </w:rPr>
        <w:t> </w:t>
      </w:r>
      <w:r>
        <w:rPr>
          <w:sz w:val="24"/>
        </w:rPr>
        <w:t>a</w:t>
      </w:r>
      <w:r>
        <w:rPr>
          <w:spacing w:val="34"/>
          <w:sz w:val="24"/>
        </w:rPr>
        <w:t> </w:t>
      </w:r>
      <w:r>
        <w:rPr>
          <w:sz w:val="24"/>
        </w:rPr>
        <w:t>party</w:t>
      </w:r>
      <w:r>
        <w:rPr>
          <w:spacing w:val="35"/>
          <w:sz w:val="24"/>
        </w:rPr>
        <w:t> </w:t>
      </w:r>
      <w:r>
        <w:rPr>
          <w:sz w:val="24"/>
        </w:rPr>
        <w:t>with</w:t>
      </w:r>
      <w:r>
        <w:rPr>
          <w:spacing w:val="34"/>
          <w:sz w:val="24"/>
        </w:rPr>
        <w:t> </w:t>
      </w:r>
      <w:r>
        <w:rPr>
          <w:sz w:val="24"/>
        </w:rPr>
        <w:t>whom</w:t>
      </w:r>
      <w:r>
        <w:rPr>
          <w:spacing w:val="34"/>
          <w:sz w:val="24"/>
        </w:rPr>
        <w:t> </w:t>
      </w:r>
      <w:r>
        <w:rPr>
          <w:sz w:val="24"/>
        </w:rPr>
        <w:t>the</w:t>
      </w:r>
      <w:r>
        <w:rPr>
          <w:spacing w:val="34"/>
          <w:sz w:val="24"/>
        </w:rPr>
        <w:t> </w:t>
      </w:r>
      <w:r>
        <w:rPr>
          <w:i/>
          <w:sz w:val="24"/>
        </w:rPr>
        <w:t>Connection</w:t>
      </w:r>
      <w:r>
        <w:rPr>
          <w:i/>
          <w:spacing w:val="34"/>
          <w:sz w:val="24"/>
        </w:rPr>
        <w:t> </w:t>
      </w:r>
      <w:r>
        <w:rPr>
          <w:i/>
          <w:sz w:val="24"/>
        </w:rPr>
        <w:t>Applicant</w:t>
      </w:r>
    </w:p>
    <w:p>
      <w:pPr>
        <w:pStyle w:val="BodyText"/>
        <w:spacing w:before="0"/>
        <w:ind w:left="2486" w:firstLine="0"/>
      </w:pPr>
      <w:r>
        <w:rPr/>
        <w:t>must enter into an agreement with under clause 5.3.3(b)(4),</w:t>
      </w:r>
    </w:p>
    <w:p>
      <w:pPr>
        <w:spacing w:before="120"/>
        <w:ind w:left="1919" w:right="415" w:firstLine="0"/>
        <w:jc w:val="both"/>
        <w:rPr>
          <w:sz w:val="24"/>
        </w:rPr>
      </w:pPr>
      <w:r>
        <w:rPr>
          <w:sz w:val="24"/>
        </w:rPr>
        <w:t>and has an interest in the technical issue under clause 5.4.1(b)(1), that </w:t>
      </w:r>
      <w:r>
        <w:rPr>
          <w:i/>
          <w:sz w:val="24"/>
        </w:rPr>
        <w:t>Transmission Network Service Provider </w:t>
      </w:r>
      <w:r>
        <w:rPr>
          <w:sz w:val="24"/>
        </w:rPr>
        <w:t>must also be served with a copy of the notice under paragraph (a) and must participate in the </w:t>
      </w:r>
      <w:r>
        <w:rPr>
          <w:i/>
          <w:sz w:val="24"/>
        </w:rPr>
        <w:t>Independent </w:t>
      </w:r>
      <w:r>
        <w:rPr>
          <w:i/>
          <w:sz w:val="24"/>
        </w:rPr>
        <w:t>Engineer</w:t>
      </w:r>
      <w:r>
        <w:rPr>
          <w:i/>
          <w:spacing w:val="-2"/>
          <w:sz w:val="24"/>
        </w:rPr>
        <w:t> </w:t>
      </w:r>
      <w:r>
        <w:rPr>
          <w:sz w:val="24"/>
        </w:rPr>
        <w:t>process.</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If the technical matter involves a matter that relates to an </w:t>
      </w:r>
      <w:r>
        <w:rPr>
          <w:i/>
          <w:sz w:val="24"/>
        </w:rPr>
        <w:t>AEMO advisory </w:t>
      </w:r>
      <w:r>
        <w:rPr>
          <w:i/>
          <w:sz w:val="24"/>
        </w:rPr>
        <w:t>matter</w:t>
      </w:r>
      <w:r>
        <w:rPr>
          <w:sz w:val="24"/>
        </w:rPr>
        <w:t>, then </w:t>
      </w:r>
      <w:r>
        <w:rPr>
          <w:i/>
          <w:sz w:val="24"/>
        </w:rPr>
        <w:t>AEMO </w:t>
      </w:r>
      <w:r>
        <w:rPr>
          <w:sz w:val="24"/>
        </w:rPr>
        <w:t>must also be served with a copy of the notice under paragraph (a) and may participate in the </w:t>
      </w:r>
      <w:r>
        <w:rPr>
          <w:i/>
          <w:sz w:val="24"/>
        </w:rPr>
        <w:t>Independent Engineer</w:t>
      </w:r>
      <w:r>
        <w:rPr>
          <w:i/>
          <w:spacing w:val="-3"/>
          <w:sz w:val="24"/>
        </w:rPr>
        <w:t> </w:t>
      </w:r>
      <w:r>
        <w:rPr>
          <w:sz w:val="24"/>
        </w:rPr>
        <w:t>process.</w:t>
      </w:r>
    </w:p>
    <w:p>
      <w:pPr>
        <w:spacing w:after="0" w:line="240" w:lineRule="auto"/>
        <w:jc w:val="both"/>
        <w:rPr>
          <w:sz w:val="24"/>
        </w:rPr>
        <w:sectPr>
          <w:pgSz w:w="11910" w:h="16840"/>
          <w:pgMar w:header="686" w:footer="637" w:top="1320" w:bottom="820" w:left="1200" w:right="1000"/>
        </w:sectPr>
      </w:pPr>
    </w:p>
    <w:p>
      <w:pPr>
        <w:pStyle w:val="ListParagraph"/>
        <w:numPr>
          <w:ilvl w:val="3"/>
          <w:numId w:val="194"/>
        </w:numPr>
        <w:tabs>
          <w:tab w:pos="1919" w:val="left" w:leader="none"/>
        </w:tabs>
        <w:spacing w:line="240" w:lineRule="auto" w:before="83" w:after="0"/>
        <w:ind w:left="1919" w:right="416" w:hanging="567"/>
        <w:jc w:val="both"/>
        <w:rPr>
          <w:sz w:val="24"/>
        </w:rPr>
      </w:pPr>
      <w:r>
        <w:rPr>
          <w:sz w:val="24"/>
        </w:rPr>
        <w:t>Within 10 </w:t>
      </w:r>
      <w:r>
        <w:rPr>
          <w:i/>
          <w:sz w:val="24"/>
        </w:rPr>
        <w:t>business days </w:t>
      </w:r>
      <w:r>
        <w:rPr>
          <w:sz w:val="24"/>
        </w:rPr>
        <w:t>of service of a notice under paragraph (a), a party may:</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agree that the technical matter be resolved through an </w:t>
      </w:r>
      <w:r>
        <w:rPr>
          <w:spacing w:val="-3"/>
          <w:sz w:val="24"/>
        </w:rPr>
        <w:t>alternative </w:t>
      </w:r>
      <w:r>
        <w:rPr>
          <w:sz w:val="24"/>
        </w:rPr>
        <w:t>means as agreed by the parties on the terms agreed between </w:t>
      </w:r>
      <w:r>
        <w:rPr>
          <w:spacing w:val="-5"/>
          <w:sz w:val="24"/>
        </w:rPr>
        <w:t>the </w:t>
      </w:r>
      <w:r>
        <w:rPr>
          <w:sz w:val="24"/>
        </w:rPr>
        <w:t>parties;</w:t>
      </w:r>
      <w:r>
        <w:rPr>
          <w:spacing w:val="-1"/>
          <w:sz w:val="24"/>
        </w:rPr>
        <w:t> </w:t>
      </w:r>
      <w:r>
        <w:rPr>
          <w:sz w:val="24"/>
        </w:rPr>
        <w:t>or</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agree to appoint an </w:t>
      </w:r>
      <w:r>
        <w:rPr>
          <w:i/>
          <w:sz w:val="24"/>
        </w:rPr>
        <w:t>Independent Engineer </w:t>
      </w:r>
      <w:r>
        <w:rPr>
          <w:sz w:val="24"/>
        </w:rPr>
        <w:t>from the pool and the scope of work the </w:t>
      </w:r>
      <w:r>
        <w:rPr>
          <w:i/>
          <w:sz w:val="24"/>
        </w:rPr>
        <w:t>Independent Engineer </w:t>
      </w:r>
      <w:r>
        <w:rPr>
          <w:sz w:val="24"/>
        </w:rPr>
        <w:t>is to</w:t>
      </w:r>
      <w:r>
        <w:rPr>
          <w:spacing w:val="-2"/>
          <w:sz w:val="24"/>
        </w:rPr>
        <w:t> </w:t>
      </w:r>
      <w:r>
        <w:rPr>
          <w:sz w:val="24"/>
        </w:rPr>
        <w:t>undertake.</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If the parties appoint an </w:t>
      </w:r>
      <w:r>
        <w:rPr>
          <w:i/>
          <w:sz w:val="24"/>
        </w:rPr>
        <w:t>Independent Engineer </w:t>
      </w:r>
      <w:r>
        <w:rPr>
          <w:sz w:val="24"/>
        </w:rPr>
        <w:t>in accordance with subparagraph (d)(2), the parties are not required to notify the </w:t>
      </w:r>
      <w:r>
        <w:rPr>
          <w:i/>
          <w:sz w:val="24"/>
        </w:rPr>
        <w:t>Adviser </w:t>
      </w:r>
      <w:r>
        <w:rPr>
          <w:sz w:val="24"/>
        </w:rPr>
        <w:t>of the agreed selection in which case clauses 5.4.5 and 5.4.6</w:t>
      </w:r>
      <w:r>
        <w:rPr>
          <w:spacing w:val="-3"/>
          <w:sz w:val="24"/>
        </w:rPr>
        <w:t> </w:t>
      </w:r>
      <w:r>
        <w:rPr>
          <w:sz w:val="24"/>
        </w:rPr>
        <w:t>apply.</w:t>
      </w:r>
    </w:p>
    <w:p>
      <w:pPr>
        <w:pStyle w:val="BodyText"/>
        <w:spacing w:before="10"/>
        <w:ind w:firstLine="0"/>
        <w:jc w:val="left"/>
        <w:rPr>
          <w:sz w:val="20"/>
        </w:rPr>
      </w:pPr>
    </w:p>
    <w:p>
      <w:pPr>
        <w:pStyle w:val="Heading4"/>
        <w:numPr>
          <w:ilvl w:val="2"/>
          <w:numId w:val="194"/>
        </w:numPr>
        <w:tabs>
          <w:tab w:pos="1351" w:val="left" w:leader="none"/>
          <w:tab w:pos="1352" w:val="left" w:leader="none"/>
        </w:tabs>
        <w:spacing w:line="240" w:lineRule="auto" w:before="0" w:after="0"/>
        <w:ind w:left="1351" w:right="0" w:hanging="1134"/>
        <w:jc w:val="left"/>
      </w:pPr>
      <w:bookmarkStart w:name="5.4.4 Referral to the Adviser" w:id="511"/>
      <w:bookmarkEnd w:id="511"/>
      <w:r>
        <w:rPr>
          <w:b w:val="0"/>
        </w:rPr>
      </w:r>
      <w:bookmarkStart w:name="_bookmark209" w:id="512"/>
      <w:bookmarkEnd w:id="512"/>
      <w:r>
        <w:rPr>
          <w:b w:val="0"/>
        </w:rPr>
      </w:r>
      <w:bookmarkStart w:name="_bookmark209" w:id="513"/>
      <w:bookmarkEnd w:id="513"/>
      <w:r>
        <w:rPr/>
        <w:t>Refe</w:t>
      </w:r>
      <w:r>
        <w:rPr/>
        <w:t>rral to the</w:t>
      </w:r>
      <w:r>
        <w:rPr>
          <w:spacing w:val="-3"/>
        </w:rPr>
        <w:t> </w:t>
      </w:r>
      <w:r>
        <w:rPr/>
        <w:t>Adviser</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If the parties do not reach an agreement under clause 5.4.3(d) within 10 </w:t>
      </w:r>
      <w:r>
        <w:rPr>
          <w:i/>
          <w:sz w:val="24"/>
        </w:rPr>
        <w:t>business days </w:t>
      </w:r>
      <w:r>
        <w:rPr>
          <w:sz w:val="24"/>
        </w:rPr>
        <w:t>of service of a notice under clause 5.4.3(a), any party may refer the technical matter to the </w:t>
      </w:r>
      <w:r>
        <w:rPr>
          <w:i/>
          <w:sz w:val="24"/>
        </w:rPr>
        <w:t>Adviser </w:t>
      </w:r>
      <w:r>
        <w:rPr>
          <w:sz w:val="24"/>
        </w:rPr>
        <w:t>by serving on the </w:t>
      </w:r>
      <w:r>
        <w:rPr>
          <w:i/>
          <w:sz w:val="24"/>
        </w:rPr>
        <w:t>Adviser </w:t>
      </w:r>
      <w:r>
        <w:rPr>
          <w:sz w:val="24"/>
        </w:rPr>
        <w:t>a notice, which</w:t>
      </w:r>
      <w:r>
        <w:rPr>
          <w:spacing w:val="-2"/>
          <w:sz w:val="24"/>
        </w:rPr>
        <w:t> </w:t>
      </w:r>
      <w:r>
        <w:rPr>
          <w:sz w:val="24"/>
        </w:rPr>
        <w:t>must:</w:t>
      </w:r>
    </w:p>
    <w:p>
      <w:pPr>
        <w:pStyle w:val="ListParagraph"/>
        <w:numPr>
          <w:ilvl w:val="4"/>
          <w:numId w:val="194"/>
        </w:numPr>
        <w:tabs>
          <w:tab w:pos="2485" w:val="left" w:leader="none"/>
          <w:tab w:pos="2486" w:val="left" w:leader="none"/>
        </w:tabs>
        <w:spacing w:line="240" w:lineRule="auto" w:before="120" w:after="0"/>
        <w:ind w:left="2485" w:right="0" w:hanging="567"/>
        <w:jc w:val="left"/>
        <w:rPr>
          <w:sz w:val="24"/>
        </w:rPr>
      </w:pPr>
      <w:r>
        <w:rPr>
          <w:sz w:val="24"/>
        </w:rPr>
        <w:t>be in a form approved and published by the</w:t>
      </w:r>
      <w:r>
        <w:rPr>
          <w:spacing w:val="-2"/>
          <w:sz w:val="24"/>
        </w:rPr>
        <w:t> </w:t>
      </w:r>
      <w:r>
        <w:rPr>
          <w:i/>
          <w:sz w:val="24"/>
        </w:rPr>
        <w:t>Adviser</w:t>
      </w:r>
      <w:r>
        <w:rPr>
          <w:sz w:val="24"/>
        </w:rPr>
        <w:t>;</w:t>
      </w:r>
    </w:p>
    <w:p>
      <w:pPr>
        <w:pStyle w:val="ListParagraph"/>
        <w:numPr>
          <w:ilvl w:val="4"/>
          <w:numId w:val="194"/>
        </w:numPr>
        <w:tabs>
          <w:tab w:pos="2485" w:val="left" w:leader="none"/>
          <w:tab w:pos="2486" w:val="left" w:leader="none"/>
        </w:tabs>
        <w:spacing w:line="240" w:lineRule="auto" w:before="120" w:after="0"/>
        <w:ind w:left="2486" w:right="416" w:hanging="567"/>
        <w:jc w:val="left"/>
        <w:rPr>
          <w:sz w:val="24"/>
        </w:rPr>
      </w:pPr>
      <w:r>
        <w:rPr>
          <w:sz w:val="24"/>
        </w:rPr>
        <w:t>contain the names of the parties who seek advice on the technical matter;</w:t>
      </w:r>
    </w:p>
    <w:p>
      <w:pPr>
        <w:pStyle w:val="ListParagraph"/>
        <w:numPr>
          <w:ilvl w:val="4"/>
          <w:numId w:val="194"/>
        </w:numPr>
        <w:tabs>
          <w:tab w:pos="2485" w:val="left" w:leader="none"/>
          <w:tab w:pos="2486" w:val="left" w:leader="none"/>
        </w:tabs>
        <w:spacing w:line="240" w:lineRule="auto" w:before="120" w:after="0"/>
        <w:ind w:left="2485" w:right="0" w:hanging="567"/>
        <w:jc w:val="left"/>
        <w:rPr>
          <w:sz w:val="24"/>
        </w:rPr>
      </w:pPr>
      <w:r>
        <w:rPr>
          <w:sz w:val="24"/>
        </w:rPr>
        <w:t>contain a statement setting out the technical</w:t>
      </w:r>
      <w:r>
        <w:rPr>
          <w:spacing w:val="-2"/>
          <w:sz w:val="24"/>
        </w:rPr>
        <w:t> </w:t>
      </w:r>
      <w:r>
        <w:rPr>
          <w:sz w:val="24"/>
        </w:rPr>
        <w:t>matter;</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if the parties have agreed on an </w:t>
      </w:r>
      <w:r>
        <w:rPr>
          <w:i/>
          <w:sz w:val="24"/>
        </w:rPr>
        <w:t>Independent Engineer</w:t>
      </w:r>
      <w:r>
        <w:rPr>
          <w:sz w:val="24"/>
        </w:rPr>
        <w:t>, the name </w:t>
      </w:r>
      <w:r>
        <w:rPr>
          <w:spacing w:val="-6"/>
          <w:sz w:val="24"/>
        </w:rPr>
        <w:t>of </w:t>
      </w:r>
      <w:r>
        <w:rPr>
          <w:sz w:val="24"/>
        </w:rPr>
        <w:t>that </w:t>
      </w:r>
      <w:r>
        <w:rPr>
          <w:i/>
          <w:sz w:val="24"/>
        </w:rPr>
        <w:t>Independent Engineer </w:t>
      </w:r>
      <w:r>
        <w:rPr>
          <w:sz w:val="24"/>
        </w:rPr>
        <w:t>or in the absence of such agreement, contain a request for the </w:t>
      </w:r>
      <w:r>
        <w:rPr>
          <w:i/>
          <w:sz w:val="24"/>
        </w:rPr>
        <w:t>Adviser </w:t>
      </w:r>
      <w:r>
        <w:rPr>
          <w:sz w:val="24"/>
        </w:rPr>
        <w:t>to select an </w:t>
      </w:r>
      <w:r>
        <w:rPr>
          <w:i/>
          <w:sz w:val="24"/>
        </w:rPr>
        <w:t>Independent</w:t>
      </w:r>
      <w:r>
        <w:rPr>
          <w:i/>
          <w:spacing w:val="-7"/>
          <w:sz w:val="24"/>
        </w:rPr>
        <w:t> </w:t>
      </w:r>
      <w:r>
        <w:rPr>
          <w:i/>
          <w:sz w:val="24"/>
        </w:rPr>
        <w:t>Engineer</w:t>
      </w:r>
      <w:r>
        <w:rPr>
          <w:sz w:val="24"/>
        </w:rPr>
        <w:t>;</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contain the scope of advice required in respect of the technical matter, as agreed by the parties and in the absence of such agreement, request the </w:t>
      </w:r>
      <w:r>
        <w:rPr>
          <w:i/>
          <w:sz w:val="24"/>
        </w:rPr>
        <w:t>Adviser </w:t>
      </w:r>
      <w:r>
        <w:rPr>
          <w:sz w:val="24"/>
        </w:rPr>
        <w:t>to assist in determining the scope (which the </w:t>
      </w:r>
      <w:r>
        <w:rPr>
          <w:i/>
          <w:sz w:val="24"/>
        </w:rPr>
        <w:t>Adviser </w:t>
      </w:r>
      <w:r>
        <w:rPr>
          <w:sz w:val="24"/>
        </w:rPr>
        <w:t>may do in consultation with the parties and the </w:t>
      </w:r>
      <w:r>
        <w:rPr>
          <w:i/>
          <w:sz w:val="24"/>
        </w:rPr>
        <w:t>Independent Engineer </w:t>
      </w:r>
      <w:r>
        <w:rPr>
          <w:sz w:val="24"/>
        </w:rPr>
        <w:t>once appointed);</w:t>
      </w:r>
      <w:r>
        <w:rPr>
          <w:spacing w:val="-1"/>
          <w:sz w:val="24"/>
        </w:rPr>
        <w:t> </w:t>
      </w:r>
      <w:r>
        <w:rPr>
          <w:sz w:val="24"/>
        </w:rPr>
        <w:t>and</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specify a time frame by which the advice from the </w:t>
      </w:r>
      <w:r>
        <w:rPr>
          <w:i/>
          <w:sz w:val="24"/>
        </w:rPr>
        <w:t>Independent </w:t>
      </w:r>
      <w:r>
        <w:rPr>
          <w:i/>
          <w:sz w:val="24"/>
        </w:rPr>
        <w:t>Engineer </w:t>
      </w:r>
      <w:r>
        <w:rPr>
          <w:sz w:val="24"/>
        </w:rPr>
        <w:t>is required so as to allow the </w:t>
      </w:r>
      <w:r>
        <w:rPr>
          <w:i/>
          <w:sz w:val="24"/>
        </w:rPr>
        <w:t>Adviser </w:t>
      </w:r>
      <w:r>
        <w:rPr>
          <w:sz w:val="24"/>
        </w:rPr>
        <w:t>to consider the availability of potential </w:t>
      </w:r>
      <w:r>
        <w:rPr>
          <w:i/>
          <w:sz w:val="24"/>
        </w:rPr>
        <w:t>Independent</w:t>
      </w:r>
      <w:r>
        <w:rPr>
          <w:i/>
          <w:spacing w:val="-1"/>
          <w:sz w:val="24"/>
        </w:rPr>
        <w:t> </w:t>
      </w:r>
      <w:r>
        <w:rPr>
          <w:i/>
          <w:sz w:val="24"/>
        </w:rPr>
        <w:t>Engineers</w:t>
      </w:r>
      <w:r>
        <w:rPr>
          <w:sz w:val="24"/>
        </w:rPr>
        <w:t>.</w:t>
      </w:r>
    </w:p>
    <w:p>
      <w:pPr>
        <w:pStyle w:val="ListParagraph"/>
        <w:numPr>
          <w:ilvl w:val="3"/>
          <w:numId w:val="194"/>
        </w:numPr>
        <w:tabs>
          <w:tab w:pos="1919" w:val="left" w:leader="none"/>
        </w:tabs>
        <w:spacing w:line="240" w:lineRule="auto" w:before="120" w:after="0"/>
        <w:ind w:left="1919" w:right="416" w:hanging="567"/>
        <w:jc w:val="both"/>
        <w:rPr>
          <w:sz w:val="24"/>
        </w:rPr>
      </w:pPr>
      <w:r>
        <w:rPr>
          <w:sz w:val="24"/>
        </w:rPr>
        <w:t>If the </w:t>
      </w:r>
      <w:r>
        <w:rPr>
          <w:i/>
          <w:sz w:val="24"/>
        </w:rPr>
        <w:t>Adviser </w:t>
      </w:r>
      <w:r>
        <w:rPr>
          <w:sz w:val="24"/>
        </w:rPr>
        <w:t>is requested to select an </w:t>
      </w:r>
      <w:r>
        <w:rPr>
          <w:i/>
          <w:sz w:val="24"/>
        </w:rPr>
        <w:t>Independent Engineer </w:t>
      </w:r>
      <w:r>
        <w:rPr>
          <w:sz w:val="24"/>
        </w:rPr>
        <w:t>from the pool under clause 5.4.2, it</w:t>
      </w:r>
      <w:r>
        <w:rPr>
          <w:spacing w:val="-2"/>
          <w:sz w:val="24"/>
        </w:rPr>
        <w:t> </w:t>
      </w:r>
      <w:r>
        <w:rPr>
          <w:sz w:val="24"/>
        </w:rPr>
        <w:t>must:</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use reasonable endeavours to ensure the cost,</w:t>
      </w:r>
      <w:r>
        <w:rPr>
          <w:spacing w:val="42"/>
          <w:sz w:val="24"/>
        </w:rPr>
        <w:t> </w:t>
      </w:r>
      <w:r>
        <w:rPr>
          <w:sz w:val="24"/>
        </w:rPr>
        <w:t>availability, independence and expertise and experience of the selected </w:t>
      </w:r>
      <w:r>
        <w:rPr>
          <w:i/>
          <w:sz w:val="24"/>
        </w:rPr>
        <w:t>Independent Engineer </w:t>
      </w:r>
      <w:r>
        <w:rPr>
          <w:sz w:val="24"/>
        </w:rPr>
        <w:t>is appropriate to the technical</w:t>
      </w:r>
      <w:r>
        <w:rPr>
          <w:spacing w:val="-2"/>
          <w:sz w:val="24"/>
        </w:rPr>
        <w:t> </w:t>
      </w:r>
      <w:r>
        <w:rPr>
          <w:sz w:val="24"/>
        </w:rPr>
        <w:t>matter;</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consult with the parties prior to appointment,</w:t>
      </w:r>
      <w:r>
        <w:rPr>
          <w:spacing w:val="-2"/>
          <w:sz w:val="24"/>
        </w:rPr>
        <w:t> </w:t>
      </w:r>
      <w:r>
        <w:rPr>
          <w:sz w:val="24"/>
        </w:rPr>
        <w:t>and</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unless</w:t>
      </w:r>
      <w:r>
        <w:rPr>
          <w:spacing w:val="38"/>
          <w:sz w:val="24"/>
        </w:rPr>
        <w:t> </w:t>
      </w:r>
      <w:r>
        <w:rPr>
          <w:sz w:val="24"/>
        </w:rPr>
        <w:t>the</w:t>
      </w:r>
      <w:r>
        <w:rPr>
          <w:spacing w:val="38"/>
          <w:sz w:val="24"/>
        </w:rPr>
        <w:t> </w:t>
      </w:r>
      <w:r>
        <w:rPr>
          <w:sz w:val="24"/>
        </w:rPr>
        <w:t>parties</w:t>
      </w:r>
      <w:r>
        <w:rPr>
          <w:spacing w:val="39"/>
          <w:sz w:val="24"/>
        </w:rPr>
        <w:t> </w:t>
      </w:r>
      <w:r>
        <w:rPr>
          <w:sz w:val="24"/>
        </w:rPr>
        <w:t>otherwise</w:t>
      </w:r>
      <w:r>
        <w:rPr>
          <w:spacing w:val="37"/>
          <w:sz w:val="24"/>
        </w:rPr>
        <w:t> </w:t>
      </w:r>
      <w:r>
        <w:rPr>
          <w:sz w:val="24"/>
        </w:rPr>
        <w:t>agree,</w:t>
      </w:r>
      <w:r>
        <w:rPr>
          <w:spacing w:val="38"/>
          <w:sz w:val="24"/>
        </w:rPr>
        <w:t> </w:t>
      </w:r>
      <w:r>
        <w:rPr>
          <w:sz w:val="24"/>
        </w:rPr>
        <w:t>make</w:t>
      </w:r>
      <w:r>
        <w:rPr>
          <w:spacing w:val="38"/>
          <w:sz w:val="24"/>
        </w:rPr>
        <w:t> </w:t>
      </w:r>
      <w:r>
        <w:rPr>
          <w:sz w:val="24"/>
        </w:rPr>
        <w:t>the</w:t>
      </w:r>
      <w:r>
        <w:rPr>
          <w:spacing w:val="38"/>
          <w:sz w:val="24"/>
        </w:rPr>
        <w:t> </w:t>
      </w:r>
      <w:r>
        <w:rPr>
          <w:sz w:val="24"/>
        </w:rPr>
        <w:t>appointment</w:t>
      </w:r>
      <w:r>
        <w:rPr>
          <w:spacing w:val="38"/>
          <w:sz w:val="24"/>
        </w:rPr>
        <w:t> </w:t>
      </w:r>
      <w:r>
        <w:rPr>
          <w:sz w:val="24"/>
        </w:rPr>
        <w:t>within</w:t>
      </w:r>
      <w:r>
        <w:rPr>
          <w:spacing w:val="39"/>
          <w:sz w:val="24"/>
        </w:rPr>
        <w:t> </w:t>
      </w:r>
      <w:r>
        <w:rPr>
          <w:sz w:val="24"/>
        </w:rPr>
        <w:t>15</w:t>
      </w:r>
    </w:p>
    <w:p>
      <w:pPr>
        <w:spacing w:before="0"/>
        <w:ind w:left="2486" w:right="0" w:firstLine="0"/>
        <w:jc w:val="both"/>
        <w:rPr>
          <w:sz w:val="24"/>
        </w:rPr>
      </w:pPr>
      <w:r>
        <w:rPr>
          <w:i/>
          <w:sz w:val="24"/>
        </w:rPr>
        <w:t>business days </w:t>
      </w:r>
      <w:r>
        <w:rPr>
          <w:sz w:val="24"/>
        </w:rPr>
        <w:t>of the notice under paragraph (a).</w:t>
      </w:r>
    </w:p>
    <w:p>
      <w:pPr>
        <w:pStyle w:val="ListParagraph"/>
        <w:numPr>
          <w:ilvl w:val="3"/>
          <w:numId w:val="194"/>
        </w:numPr>
        <w:tabs>
          <w:tab w:pos="1919" w:val="left" w:leader="none"/>
        </w:tabs>
        <w:spacing w:line="240" w:lineRule="auto" w:before="120" w:after="0"/>
        <w:ind w:left="1919" w:right="416" w:hanging="567"/>
        <w:jc w:val="both"/>
        <w:rPr>
          <w:sz w:val="24"/>
        </w:rPr>
      </w:pPr>
      <w:r>
        <w:rPr>
          <w:sz w:val="24"/>
        </w:rPr>
        <w:t>Despite the requirement to consult set out in subparagraph (b)(3), a selection of the </w:t>
      </w:r>
      <w:r>
        <w:rPr>
          <w:i/>
          <w:sz w:val="24"/>
        </w:rPr>
        <w:t>Adviser </w:t>
      </w:r>
      <w:r>
        <w:rPr>
          <w:sz w:val="24"/>
        </w:rPr>
        <w:t>is final and binding upon all</w:t>
      </w:r>
      <w:r>
        <w:rPr>
          <w:spacing w:val="-1"/>
          <w:sz w:val="24"/>
        </w:rPr>
        <w:t> </w:t>
      </w:r>
      <w:r>
        <w:rPr>
          <w:sz w:val="24"/>
        </w:rPr>
        <w:t>parties.</w:t>
      </w:r>
    </w:p>
    <w:p>
      <w:pPr>
        <w:spacing w:after="0" w:line="240" w:lineRule="auto"/>
        <w:jc w:val="both"/>
        <w:rPr>
          <w:sz w:val="24"/>
        </w:rPr>
        <w:sectPr>
          <w:pgSz w:w="11910" w:h="16840"/>
          <w:pgMar w:header="686" w:footer="637" w:top="1320" w:bottom="820" w:left="1200" w:right="1000"/>
        </w:sectPr>
      </w:pPr>
    </w:p>
    <w:p>
      <w:pPr>
        <w:pStyle w:val="Heading4"/>
        <w:numPr>
          <w:ilvl w:val="2"/>
          <w:numId w:val="194"/>
        </w:numPr>
        <w:tabs>
          <w:tab w:pos="1351" w:val="left" w:leader="none"/>
          <w:tab w:pos="1352" w:val="left" w:leader="none"/>
        </w:tabs>
        <w:spacing w:line="240" w:lineRule="auto" w:before="83" w:after="0"/>
        <w:ind w:left="1351" w:right="0" w:hanging="1134"/>
        <w:jc w:val="left"/>
      </w:pPr>
      <w:bookmarkStart w:name="5.4.5 Proceedings and decisions of the I" w:id="514"/>
      <w:bookmarkEnd w:id="514"/>
      <w:r>
        <w:rPr>
          <w:b w:val="0"/>
        </w:rPr>
      </w:r>
      <w:bookmarkStart w:name="_bookmark210" w:id="515"/>
      <w:bookmarkEnd w:id="515"/>
      <w:r>
        <w:rPr>
          <w:b w:val="0"/>
        </w:rPr>
      </w:r>
      <w:bookmarkStart w:name="_bookmark210" w:id="516"/>
      <w:bookmarkEnd w:id="516"/>
      <w:r>
        <w:rPr/>
        <w:t>Proceedings</w:t>
      </w:r>
      <w:r>
        <w:rPr/>
        <w:t> and decisions of the Independent</w:t>
      </w:r>
      <w:r>
        <w:rPr>
          <w:spacing w:val="-3"/>
        </w:rPr>
        <w:t> </w:t>
      </w:r>
      <w:r>
        <w:rPr/>
        <w:t>Engineer</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(e)(4)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The </w:t>
      </w:r>
      <w:r>
        <w:rPr>
          <w:i/>
          <w:sz w:val="24"/>
        </w:rPr>
        <w:t>Independent Engineer </w:t>
      </w:r>
      <w:r>
        <w:rPr>
          <w:sz w:val="24"/>
        </w:rPr>
        <w:t>may request documents and information from the parties that it reasonably considers is required to provide advice on the technical matter and a party must comply with such a</w:t>
      </w:r>
      <w:r>
        <w:rPr>
          <w:spacing w:val="-6"/>
          <w:sz w:val="24"/>
        </w:rPr>
        <w:t> </w:t>
      </w:r>
      <w:r>
        <w:rPr>
          <w:sz w:val="24"/>
        </w:rPr>
        <w:t>request.</w:t>
      </w:r>
    </w:p>
    <w:p>
      <w:pPr>
        <w:pStyle w:val="ListParagraph"/>
        <w:numPr>
          <w:ilvl w:val="3"/>
          <w:numId w:val="194"/>
        </w:numPr>
        <w:tabs>
          <w:tab w:pos="1919" w:val="left" w:leader="none"/>
        </w:tabs>
        <w:spacing w:line="240" w:lineRule="auto" w:before="120" w:after="0"/>
        <w:ind w:left="1919" w:right="414" w:hanging="567"/>
        <w:jc w:val="both"/>
        <w:rPr>
          <w:sz w:val="24"/>
        </w:rPr>
      </w:pPr>
      <w:r>
        <w:rPr>
          <w:sz w:val="24"/>
        </w:rPr>
        <w:t>As a condition of providing documents and information, a party may require the </w:t>
      </w:r>
      <w:r>
        <w:rPr>
          <w:i/>
          <w:sz w:val="24"/>
        </w:rPr>
        <w:t>Independent Engineer </w:t>
      </w:r>
      <w:r>
        <w:rPr>
          <w:sz w:val="24"/>
        </w:rPr>
        <w:t>to agree to be bound to the confidentiality obligations under rule 8.6 as if the </w:t>
      </w:r>
      <w:r>
        <w:rPr>
          <w:i/>
          <w:sz w:val="24"/>
        </w:rPr>
        <w:t>Independent Engineer </w:t>
      </w:r>
      <w:r>
        <w:rPr>
          <w:sz w:val="24"/>
        </w:rPr>
        <w:t>was a </w:t>
      </w:r>
      <w:r>
        <w:rPr>
          <w:i/>
          <w:sz w:val="24"/>
        </w:rPr>
        <w:t>Registered </w:t>
      </w:r>
      <w:r>
        <w:rPr>
          <w:i/>
          <w:sz w:val="24"/>
        </w:rPr>
        <w:t>Participant</w:t>
      </w:r>
      <w:r>
        <w:rPr>
          <w:sz w:val="24"/>
        </w:rPr>
        <w:t>.</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The </w:t>
      </w:r>
      <w:r>
        <w:rPr>
          <w:i/>
          <w:sz w:val="24"/>
        </w:rPr>
        <w:t>Independent Engineer </w:t>
      </w:r>
      <w:r>
        <w:rPr>
          <w:sz w:val="24"/>
        </w:rPr>
        <w:t>must provide its written advice on a technical matter promptly, and in any case must do so within 30 </w:t>
      </w:r>
      <w:r>
        <w:rPr>
          <w:i/>
          <w:sz w:val="24"/>
        </w:rPr>
        <w:t>business days </w:t>
      </w:r>
      <w:r>
        <w:rPr>
          <w:sz w:val="24"/>
        </w:rPr>
        <w:t>after the </w:t>
      </w:r>
      <w:r>
        <w:rPr>
          <w:i/>
          <w:sz w:val="24"/>
        </w:rPr>
        <w:t>Independent Engineer </w:t>
      </w:r>
      <w:r>
        <w:rPr>
          <w:sz w:val="24"/>
        </w:rPr>
        <w:t>is appointed unless the parties otherwise</w:t>
      </w:r>
      <w:r>
        <w:rPr>
          <w:spacing w:val="-4"/>
          <w:sz w:val="24"/>
        </w:rPr>
        <w:t> </w:t>
      </w:r>
      <w:r>
        <w:rPr>
          <w:sz w:val="24"/>
        </w:rPr>
        <w:t>agree.</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The </w:t>
      </w:r>
      <w:r>
        <w:rPr>
          <w:i/>
          <w:sz w:val="24"/>
        </w:rPr>
        <w:t>Transmission Network Service Provider </w:t>
      </w:r>
      <w:r>
        <w:rPr>
          <w:sz w:val="24"/>
        </w:rPr>
        <w:t>may amend the time period referred to in any stage of the </w:t>
      </w:r>
      <w:r>
        <w:rPr>
          <w:i/>
          <w:sz w:val="24"/>
        </w:rPr>
        <w:t>connection </w:t>
      </w:r>
      <w:r>
        <w:rPr>
          <w:sz w:val="24"/>
        </w:rPr>
        <w:t>process under the </w:t>
      </w:r>
      <w:r>
        <w:rPr>
          <w:i/>
          <w:sz w:val="24"/>
        </w:rPr>
        <w:t>preliminary </w:t>
      </w:r>
      <w:r>
        <w:rPr>
          <w:i/>
          <w:sz w:val="24"/>
        </w:rPr>
        <w:t>program </w:t>
      </w:r>
      <w:r>
        <w:rPr>
          <w:sz w:val="24"/>
        </w:rPr>
        <w:t>to allow for the additional time reasonably required for the </w:t>
      </w:r>
      <w:r>
        <w:rPr>
          <w:i/>
          <w:sz w:val="24"/>
        </w:rPr>
        <w:t>Independent Engineer </w:t>
      </w:r>
      <w:r>
        <w:rPr>
          <w:sz w:val="24"/>
        </w:rPr>
        <w:t>process under this rule</w:t>
      </w:r>
      <w:r>
        <w:rPr>
          <w:spacing w:val="-2"/>
          <w:sz w:val="24"/>
        </w:rPr>
        <w:t> </w:t>
      </w:r>
      <w:r>
        <w:rPr>
          <w:sz w:val="24"/>
        </w:rPr>
        <w:t>5.4.</w:t>
      </w:r>
    </w:p>
    <w:p>
      <w:pPr>
        <w:pStyle w:val="ListParagraph"/>
        <w:numPr>
          <w:ilvl w:val="3"/>
          <w:numId w:val="194"/>
        </w:numPr>
        <w:tabs>
          <w:tab w:pos="1919" w:val="left" w:leader="none"/>
        </w:tabs>
        <w:spacing w:line="240" w:lineRule="auto" w:before="120" w:after="0"/>
        <w:ind w:left="1919" w:right="415" w:hanging="567"/>
        <w:jc w:val="both"/>
        <w:rPr>
          <w:sz w:val="24"/>
        </w:rPr>
      </w:pPr>
      <w:r>
        <w:rPr>
          <w:sz w:val="24"/>
        </w:rPr>
        <w:t>The </w:t>
      </w:r>
      <w:r>
        <w:rPr>
          <w:i/>
          <w:sz w:val="24"/>
        </w:rPr>
        <w:t>Independent Engineer </w:t>
      </w:r>
      <w:r>
        <w:rPr>
          <w:sz w:val="24"/>
        </w:rPr>
        <w:t>must have regard to the following matters </w:t>
      </w:r>
      <w:r>
        <w:rPr>
          <w:spacing w:val="-6"/>
          <w:sz w:val="24"/>
        </w:rPr>
        <w:t>in </w:t>
      </w:r>
      <w:r>
        <w:rPr>
          <w:sz w:val="24"/>
        </w:rPr>
        <w:t>forming their</w:t>
      </w:r>
      <w:r>
        <w:rPr>
          <w:spacing w:val="-1"/>
          <w:sz w:val="24"/>
        </w:rPr>
        <w:t> </w:t>
      </w:r>
      <w:r>
        <w:rPr>
          <w:sz w:val="24"/>
        </w:rPr>
        <w:t>advice:</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the technical requirements of the </w:t>
      </w:r>
      <w:r>
        <w:rPr>
          <w:i/>
          <w:sz w:val="24"/>
        </w:rPr>
        <w:t>connection </w:t>
      </w:r>
      <w:r>
        <w:rPr>
          <w:sz w:val="24"/>
        </w:rPr>
        <w:t>proposed by either of the parties;</w:t>
      </w:r>
    </w:p>
    <w:p>
      <w:pPr>
        <w:pStyle w:val="ListParagraph"/>
        <w:numPr>
          <w:ilvl w:val="4"/>
          <w:numId w:val="194"/>
        </w:numPr>
        <w:tabs>
          <w:tab w:pos="2486" w:val="left" w:leader="none"/>
        </w:tabs>
        <w:spacing w:line="240" w:lineRule="auto" w:before="120" w:after="0"/>
        <w:ind w:left="2486" w:right="415" w:hanging="567"/>
        <w:jc w:val="both"/>
        <w:rPr>
          <w:sz w:val="24"/>
        </w:rPr>
      </w:pPr>
      <w:r>
        <w:rPr>
          <w:sz w:val="24"/>
        </w:rPr>
        <w:t>the requirement under clause 5.3.4(b1)(2) that the technical requirements of the </w:t>
      </w:r>
      <w:r>
        <w:rPr>
          <w:i/>
          <w:sz w:val="24"/>
        </w:rPr>
        <w:t>connection </w:t>
      </w:r>
      <w:r>
        <w:rPr>
          <w:sz w:val="24"/>
        </w:rPr>
        <w:t>must not unreasonably inhibit the capacity for future expansion of an </w:t>
      </w:r>
      <w:r>
        <w:rPr>
          <w:i/>
          <w:sz w:val="24"/>
        </w:rPr>
        <w:t>identified user shared asset </w:t>
      </w:r>
      <w:r>
        <w:rPr>
          <w:sz w:val="24"/>
        </w:rPr>
        <w:t>or preclude the possibility of future</w:t>
      </w:r>
      <w:r>
        <w:rPr>
          <w:spacing w:val="-2"/>
          <w:sz w:val="24"/>
        </w:rPr>
        <w:t> </w:t>
      </w:r>
      <w:r>
        <w:rPr>
          <w:i/>
          <w:sz w:val="24"/>
        </w:rPr>
        <w:t>connections</w:t>
      </w:r>
      <w:r>
        <w:rPr>
          <w:sz w:val="24"/>
        </w:rPr>
        <w:t>;</w:t>
      </w:r>
    </w:p>
    <w:p>
      <w:pPr>
        <w:pStyle w:val="ListParagraph"/>
        <w:numPr>
          <w:ilvl w:val="4"/>
          <w:numId w:val="194"/>
        </w:numPr>
        <w:tabs>
          <w:tab w:pos="2486" w:val="left" w:leader="none"/>
        </w:tabs>
        <w:spacing w:line="240" w:lineRule="auto" w:before="120" w:after="0"/>
        <w:ind w:left="2486" w:right="414" w:hanging="567"/>
        <w:jc w:val="both"/>
        <w:rPr>
          <w:sz w:val="24"/>
        </w:rPr>
      </w:pPr>
      <w:r>
        <w:rPr>
          <w:sz w:val="24"/>
        </w:rPr>
        <w:t>the technical requirements of the </w:t>
      </w:r>
      <w:r>
        <w:rPr>
          <w:i/>
          <w:sz w:val="24"/>
        </w:rPr>
        <w:t>connection </w:t>
      </w:r>
      <w:r>
        <w:rPr>
          <w:sz w:val="24"/>
        </w:rPr>
        <w:t>should be consistent with </w:t>
      </w:r>
      <w:r>
        <w:rPr>
          <w:i/>
          <w:sz w:val="24"/>
        </w:rPr>
        <w:t>good electricity industry practice </w:t>
      </w:r>
      <w:r>
        <w:rPr>
          <w:sz w:val="24"/>
        </w:rPr>
        <w:t>and contribute to a safe, reliable and secure </w:t>
      </w:r>
      <w:r>
        <w:rPr>
          <w:i/>
          <w:sz w:val="24"/>
        </w:rPr>
        <w:t>transmission</w:t>
      </w:r>
      <w:r>
        <w:rPr>
          <w:i/>
          <w:spacing w:val="-2"/>
          <w:sz w:val="24"/>
        </w:rPr>
        <w:t> </w:t>
      </w:r>
      <w:r>
        <w:rPr>
          <w:i/>
          <w:sz w:val="24"/>
        </w:rPr>
        <w:t>system</w:t>
      </w:r>
      <w:r>
        <w:rPr>
          <w:sz w:val="24"/>
        </w:rPr>
        <w:t>;</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any submissions made by </w:t>
      </w:r>
      <w:r>
        <w:rPr>
          <w:i/>
          <w:sz w:val="24"/>
        </w:rPr>
        <w:t>AEMO </w:t>
      </w:r>
      <w:r>
        <w:rPr>
          <w:sz w:val="24"/>
        </w:rPr>
        <w:t>on an </w:t>
      </w:r>
      <w:r>
        <w:rPr>
          <w:i/>
          <w:sz w:val="24"/>
        </w:rPr>
        <w:t>AEMO advisory matter</w:t>
      </w:r>
      <w:r>
        <w:rPr>
          <w:sz w:val="24"/>
        </w:rPr>
        <w:t>;</w:t>
      </w:r>
      <w:r>
        <w:rPr>
          <w:spacing w:val="-7"/>
          <w:sz w:val="24"/>
        </w:rPr>
        <w:t> </w:t>
      </w:r>
      <w:r>
        <w:rPr>
          <w:sz w:val="24"/>
        </w:rPr>
        <w:t>and</w:t>
      </w:r>
    </w:p>
    <w:p>
      <w:pPr>
        <w:pStyle w:val="ListParagraph"/>
        <w:numPr>
          <w:ilvl w:val="4"/>
          <w:numId w:val="194"/>
        </w:numPr>
        <w:tabs>
          <w:tab w:pos="2486" w:val="left" w:leader="none"/>
        </w:tabs>
        <w:spacing w:line="240" w:lineRule="auto" w:before="120" w:after="0"/>
        <w:ind w:left="2485" w:right="0" w:hanging="567"/>
        <w:jc w:val="both"/>
        <w:rPr>
          <w:sz w:val="24"/>
        </w:rPr>
      </w:pPr>
      <w:r>
        <w:rPr>
          <w:sz w:val="24"/>
        </w:rPr>
        <w:t>any relevant requirements and obligations under the</w:t>
      </w:r>
      <w:r>
        <w:rPr>
          <w:spacing w:val="47"/>
          <w:sz w:val="24"/>
        </w:rPr>
        <w:t> </w:t>
      </w:r>
      <w:r>
        <w:rPr>
          <w:sz w:val="24"/>
        </w:rPr>
        <w:t>applicable</w:t>
      </w:r>
    </w:p>
    <w:p>
      <w:pPr>
        <w:spacing w:before="0"/>
        <w:ind w:left="2486" w:right="0" w:firstLine="0"/>
        <w:jc w:val="both"/>
        <w:rPr>
          <w:sz w:val="24"/>
        </w:rPr>
      </w:pPr>
      <w:r>
        <w:rPr>
          <w:i/>
          <w:sz w:val="24"/>
        </w:rPr>
        <w:t>jurisdictional electricity legislation</w:t>
      </w:r>
      <w:r>
        <w:rPr>
          <w:sz w:val="24"/>
        </w:rPr>
        <w:t>.</w:t>
      </w:r>
    </w:p>
    <w:p>
      <w:pPr>
        <w:pStyle w:val="ListParagraph"/>
        <w:numPr>
          <w:ilvl w:val="3"/>
          <w:numId w:val="194"/>
        </w:numPr>
        <w:tabs>
          <w:tab w:pos="1920" w:val="left" w:leader="none"/>
        </w:tabs>
        <w:spacing w:line="240" w:lineRule="auto" w:before="120" w:after="0"/>
        <w:ind w:left="1919" w:right="415" w:hanging="567"/>
        <w:jc w:val="both"/>
        <w:rPr>
          <w:sz w:val="24"/>
        </w:rPr>
      </w:pPr>
      <w:r>
        <w:rPr>
          <w:sz w:val="24"/>
        </w:rPr>
        <w:t>The </w:t>
      </w:r>
      <w:r>
        <w:rPr>
          <w:i/>
          <w:sz w:val="24"/>
        </w:rPr>
        <w:t>Independent Engineer </w:t>
      </w:r>
      <w:r>
        <w:rPr>
          <w:sz w:val="24"/>
        </w:rPr>
        <w:t>is not bound by the rules of evidence and may inform itself in any manner it thinks</w:t>
      </w:r>
      <w:r>
        <w:rPr>
          <w:spacing w:val="-1"/>
          <w:sz w:val="24"/>
        </w:rPr>
        <w:t> </w:t>
      </w:r>
      <w:r>
        <w:rPr>
          <w:sz w:val="24"/>
        </w:rPr>
        <w:t>fit.</w:t>
      </w:r>
    </w:p>
    <w:p>
      <w:pPr>
        <w:pStyle w:val="ListParagraph"/>
        <w:numPr>
          <w:ilvl w:val="3"/>
          <w:numId w:val="194"/>
        </w:numPr>
        <w:tabs>
          <w:tab w:pos="1919" w:val="left" w:leader="none"/>
        </w:tabs>
        <w:spacing w:line="240" w:lineRule="auto" w:before="120" w:after="0"/>
        <w:ind w:left="1919" w:right="414" w:hanging="567"/>
        <w:jc w:val="both"/>
        <w:rPr>
          <w:sz w:val="24"/>
        </w:rPr>
      </w:pPr>
      <w:r>
        <w:rPr>
          <w:sz w:val="24"/>
        </w:rPr>
        <w:t>The </w:t>
      </w:r>
      <w:r>
        <w:rPr>
          <w:i/>
          <w:sz w:val="24"/>
        </w:rPr>
        <w:t>Independent Engineer </w:t>
      </w:r>
      <w:r>
        <w:rPr>
          <w:sz w:val="24"/>
        </w:rPr>
        <w:t>is a person who facilitates the resolution of disputes on technical matters, and is a protected person for the purposes </w:t>
      </w:r>
      <w:r>
        <w:rPr>
          <w:spacing w:val="-6"/>
          <w:sz w:val="24"/>
        </w:rPr>
        <w:t>of </w:t>
      </w:r>
      <w:r>
        <w:rPr>
          <w:sz w:val="24"/>
        </w:rPr>
        <w:t>section 120B of the </w:t>
      </w:r>
      <w:r>
        <w:rPr>
          <w:i/>
          <w:sz w:val="24"/>
        </w:rPr>
        <w:t>National Electricity Law </w:t>
      </w:r>
      <w:r>
        <w:rPr>
          <w:sz w:val="24"/>
        </w:rPr>
        <w:t>in relation to the exercise of its powers and functions carried out under this clause</w:t>
      </w:r>
      <w:r>
        <w:rPr>
          <w:spacing w:val="-1"/>
          <w:sz w:val="24"/>
        </w:rPr>
        <w:t> </w:t>
      </w:r>
      <w:r>
        <w:rPr>
          <w:sz w:val="24"/>
        </w:rPr>
        <w:t>5.4.5.</w:t>
      </w:r>
    </w:p>
    <w:p>
      <w:pPr>
        <w:pStyle w:val="ListParagraph"/>
        <w:numPr>
          <w:ilvl w:val="3"/>
          <w:numId w:val="194"/>
        </w:numPr>
        <w:tabs>
          <w:tab w:pos="1919" w:val="left" w:leader="none"/>
        </w:tabs>
        <w:spacing w:line="240" w:lineRule="auto" w:before="120" w:after="0"/>
        <w:ind w:left="1918" w:right="0" w:hanging="567"/>
        <w:jc w:val="both"/>
        <w:rPr>
          <w:sz w:val="24"/>
        </w:rPr>
      </w:pPr>
      <w:r>
        <w:rPr>
          <w:sz w:val="24"/>
        </w:rPr>
        <w:t>The </w:t>
      </w:r>
      <w:r>
        <w:rPr>
          <w:i/>
          <w:sz w:val="24"/>
        </w:rPr>
        <w:t>Independent Engineer's </w:t>
      </w:r>
      <w:r>
        <w:rPr>
          <w:sz w:val="24"/>
        </w:rPr>
        <w:t>advice is not binding on the</w:t>
      </w:r>
      <w:r>
        <w:rPr>
          <w:spacing w:val="-2"/>
          <w:sz w:val="24"/>
        </w:rPr>
        <w:t> </w:t>
      </w:r>
      <w:r>
        <w:rPr>
          <w:sz w:val="24"/>
        </w:rPr>
        <w:t>parties.</w:t>
      </w:r>
    </w:p>
    <w:p>
      <w:pPr>
        <w:spacing w:after="0" w:line="240" w:lineRule="auto"/>
        <w:jc w:val="both"/>
        <w:rPr>
          <w:sz w:val="24"/>
        </w:rPr>
        <w:sectPr>
          <w:pgSz w:w="11910" w:h="16840"/>
          <w:pgMar w:header="686" w:footer="637" w:top="1320" w:bottom="820" w:left="1200" w:right="1000"/>
        </w:sectPr>
      </w:pPr>
    </w:p>
    <w:p>
      <w:pPr>
        <w:pStyle w:val="Heading4"/>
        <w:numPr>
          <w:ilvl w:val="2"/>
          <w:numId w:val="194"/>
        </w:numPr>
        <w:tabs>
          <w:tab w:pos="1351" w:val="left" w:leader="none"/>
          <w:tab w:pos="1352" w:val="left" w:leader="none"/>
        </w:tabs>
        <w:spacing w:line="240" w:lineRule="auto" w:before="83" w:after="0"/>
        <w:ind w:left="1351" w:right="0" w:hanging="1134"/>
        <w:jc w:val="left"/>
      </w:pPr>
      <w:bookmarkStart w:name="5.4.6 Costs of the Independent Engineer" w:id="517"/>
      <w:bookmarkEnd w:id="517"/>
      <w:r>
        <w:rPr>
          <w:b w:val="0"/>
        </w:rPr>
      </w:r>
      <w:bookmarkStart w:name="_bookmark211" w:id="518"/>
      <w:bookmarkEnd w:id="518"/>
      <w:r>
        <w:rPr>
          <w:b w:val="0"/>
        </w:rPr>
      </w:r>
      <w:bookmarkStart w:name="_bookmark211" w:id="519"/>
      <w:bookmarkEnd w:id="519"/>
      <w:r>
        <w:rPr/>
        <w:t>Cost</w:t>
      </w:r>
      <w:r>
        <w:rPr/>
        <w:t>s of the Independent</w:t>
      </w:r>
      <w:r>
        <w:rPr>
          <w:spacing w:val="-2"/>
        </w:rPr>
        <w:t> </w:t>
      </w:r>
      <w:r>
        <w:rPr/>
        <w:t>Engineer</w:t>
      </w:r>
    </w:p>
    <w:p>
      <w:pPr>
        <w:pStyle w:val="BodyText"/>
        <w:ind w:left="1352" w:right="414" w:firstLine="0"/>
      </w:pPr>
      <w:r>
        <w:rPr/>
        <w:t>The costs of any </w:t>
      </w:r>
      <w:r>
        <w:rPr>
          <w:i/>
        </w:rPr>
        <w:t>Independent Engineer</w:t>
      </w:r>
      <w:r>
        <w:rPr/>
        <w:t>, including any costs incurred by the </w:t>
      </w:r>
      <w:r>
        <w:rPr>
          <w:i/>
        </w:rPr>
        <w:t>Adviser </w:t>
      </w:r>
      <w:r>
        <w:rPr/>
        <w:t>in performing the functions of the </w:t>
      </w:r>
      <w:r>
        <w:rPr>
          <w:i/>
        </w:rPr>
        <w:t>Adviser </w:t>
      </w:r>
      <w:r>
        <w:rPr/>
        <w:t>in clause 5.4.4 are to be borne equally by the parties, unless otherwise agreed by the parties.</w:t>
      </w:r>
    </w:p>
    <w:p>
      <w:pPr>
        <w:pStyle w:val="BodyText"/>
        <w:spacing w:before="10"/>
        <w:ind w:firstLine="0"/>
        <w:jc w:val="left"/>
        <w:rPr>
          <w:sz w:val="20"/>
        </w:rPr>
      </w:pPr>
    </w:p>
    <w:p>
      <w:pPr>
        <w:pStyle w:val="Heading3"/>
        <w:tabs>
          <w:tab w:pos="1351" w:val="left" w:leader="none"/>
        </w:tabs>
        <w:ind w:left="218" w:firstLine="0"/>
      </w:pPr>
      <w:bookmarkStart w:name="5.4A [Deleted]" w:id="520"/>
      <w:bookmarkEnd w:id="520"/>
      <w:r>
        <w:rPr>
          <w:b w:val="0"/>
        </w:rPr>
      </w:r>
      <w:bookmarkStart w:name="_bookmark212" w:id="521"/>
      <w:bookmarkEnd w:id="521"/>
      <w:r>
        <w:rPr>
          <w:b w:val="0"/>
        </w:rPr>
      </w:r>
      <w:r>
        <w:rPr/>
        <w:t>5.4A</w:t>
        <w:tab/>
        <w:t>[Deleted]</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In the transitional rules, rule 5.4A and its associated definitions will be preserved in relation to the</w:t>
      </w:r>
    </w:p>
    <w:p>
      <w:pPr>
        <w:spacing w:before="0"/>
        <w:ind w:left="1352" w:right="0" w:firstLine="0"/>
        <w:jc w:val="both"/>
        <w:rPr>
          <w:sz w:val="20"/>
        </w:rPr>
      </w:pPr>
      <w:r>
        <w:rPr>
          <w:i/>
          <w:sz w:val="20"/>
        </w:rPr>
        <w:t>declared transmission system </w:t>
      </w:r>
      <w:r>
        <w:rPr>
          <w:sz w:val="20"/>
        </w:rPr>
        <w:t>of an </w:t>
      </w:r>
      <w:r>
        <w:rPr>
          <w:i/>
          <w:sz w:val="20"/>
        </w:rPr>
        <w:t>adoptive jurisdiction</w:t>
      </w:r>
      <w:r>
        <w:rPr>
          <w:sz w:val="20"/>
        </w:rPr>
        <w:t>.</w:t>
      </w:r>
    </w:p>
    <w:p>
      <w:pPr>
        <w:pStyle w:val="BodyText"/>
        <w:spacing w:before="10"/>
        <w:ind w:firstLine="0"/>
        <w:jc w:val="left"/>
        <w:rPr>
          <w:sz w:val="20"/>
        </w:rPr>
      </w:pPr>
    </w:p>
    <w:p>
      <w:pPr>
        <w:pStyle w:val="Heading3"/>
        <w:numPr>
          <w:ilvl w:val="1"/>
          <w:numId w:val="195"/>
        </w:numPr>
        <w:tabs>
          <w:tab w:pos="581" w:val="left" w:leader="none"/>
          <w:tab w:pos="1351" w:val="left" w:leader="none"/>
        </w:tabs>
        <w:spacing w:line="240" w:lineRule="auto" w:before="0" w:after="0"/>
        <w:ind w:left="580" w:right="0" w:hanging="363"/>
        <w:jc w:val="left"/>
      </w:pPr>
      <w:bookmarkStart w:name="5.4AA [Deleted]" w:id="522"/>
      <w:bookmarkEnd w:id="522"/>
      <w:r>
        <w:rPr>
          <w:b w:val="0"/>
        </w:rPr>
      </w:r>
      <w:bookmarkStart w:name="_bookmark213" w:id="523"/>
      <w:bookmarkEnd w:id="523"/>
      <w:r>
        <w:rPr>
          <w:b w:val="0"/>
        </w:rPr>
      </w:r>
      <w:bookmarkStart w:name="_bookmark213" w:id="524"/>
      <w:bookmarkEnd w:id="524"/>
      <w:r>
        <w:rPr/>
        <w:t>A</w:t>
      </w:r>
      <w:r>
        <w:rPr/>
        <w:t>A</w:t>
        <w:tab/>
        <w:t>[Deleted]</w:t>
      </w:r>
    </w:p>
    <w:p>
      <w:pPr>
        <w:pStyle w:val="Heading3"/>
        <w:numPr>
          <w:ilvl w:val="1"/>
          <w:numId w:val="195"/>
        </w:numPr>
        <w:tabs>
          <w:tab w:pos="1351" w:val="left" w:leader="none"/>
          <w:tab w:pos="1353" w:val="left" w:leader="none"/>
        </w:tabs>
        <w:spacing w:line="240" w:lineRule="auto" w:before="240" w:after="0"/>
        <w:ind w:left="1352" w:right="1766" w:hanging="1134"/>
        <w:jc w:val="left"/>
      </w:pPr>
      <w:bookmarkStart w:name="5.5 Commercial arbitration for prescribe" w:id="525"/>
      <w:bookmarkEnd w:id="525"/>
      <w:r>
        <w:rPr>
          <w:b w:val="0"/>
        </w:rPr>
      </w:r>
      <w:bookmarkStart w:name="_bookmark214" w:id="526"/>
      <w:bookmarkEnd w:id="526"/>
      <w:r>
        <w:rPr>
          <w:b w:val="0"/>
        </w:rPr>
      </w:r>
      <w:bookmarkStart w:name="_bookmark214" w:id="527"/>
      <w:bookmarkEnd w:id="527"/>
      <w:r>
        <w:rPr/>
        <w:t>Commercia</w:t>
      </w:r>
      <w:r>
        <w:rPr/>
        <w:t>l arbitration for prescribed and negotiated transmission services and large DCA</w:t>
      </w:r>
      <w:r>
        <w:rPr>
          <w:spacing w:val="-8"/>
        </w:rPr>
        <w:t> </w:t>
      </w:r>
      <w:r>
        <w:rPr/>
        <w:t>services</w:t>
      </w:r>
    </w:p>
    <w:p>
      <w:pPr>
        <w:pStyle w:val="Heading4"/>
        <w:numPr>
          <w:ilvl w:val="2"/>
          <w:numId w:val="195"/>
        </w:numPr>
        <w:tabs>
          <w:tab w:pos="1351" w:val="left" w:leader="none"/>
          <w:tab w:pos="1352" w:val="left" w:leader="none"/>
        </w:tabs>
        <w:spacing w:line="240" w:lineRule="auto" w:before="240" w:after="0"/>
        <w:ind w:left="1351" w:right="0" w:hanging="1134"/>
        <w:jc w:val="left"/>
      </w:pPr>
      <w:bookmarkStart w:name="5.5.1 Application" w:id="528"/>
      <w:bookmarkEnd w:id="528"/>
      <w:r>
        <w:rPr>
          <w:b w:val="0"/>
        </w:rPr>
      </w:r>
      <w:bookmarkStart w:name="_bookmark215" w:id="529"/>
      <w:bookmarkEnd w:id="529"/>
      <w:r>
        <w:rPr>
          <w:b w:val="0"/>
        </w:rPr>
      </w:r>
      <w:bookmarkStart w:name="_bookmark215" w:id="530"/>
      <w:bookmarkEnd w:id="530"/>
      <w:r>
        <w:rPr/>
        <w:t>Applicatio</w:t>
      </w:r>
      <w:r>
        <w:rPr/>
        <w:t>n</w:t>
      </w:r>
    </w:p>
    <w:p>
      <w:pPr>
        <w:pStyle w:val="ListParagraph"/>
        <w:numPr>
          <w:ilvl w:val="3"/>
          <w:numId w:val="195"/>
        </w:numPr>
        <w:tabs>
          <w:tab w:pos="1919" w:val="left" w:leader="none"/>
        </w:tabs>
        <w:spacing w:line="240" w:lineRule="auto" w:before="120" w:after="0"/>
        <w:ind w:left="1918" w:right="0" w:hanging="567"/>
        <w:jc w:val="both"/>
        <w:rPr>
          <w:sz w:val="24"/>
        </w:rPr>
      </w:pPr>
      <w:r>
        <w:rPr>
          <w:sz w:val="24"/>
        </w:rPr>
        <w:t>This rule 5.5 does not apply to the </w:t>
      </w:r>
      <w:r>
        <w:rPr>
          <w:i/>
          <w:sz w:val="24"/>
        </w:rPr>
        <w:t>declared transmission system </w:t>
      </w:r>
      <w:r>
        <w:rPr>
          <w:sz w:val="24"/>
        </w:rPr>
        <w:t>of</w:t>
      </w:r>
      <w:r>
        <w:rPr>
          <w:spacing w:val="-23"/>
          <w:sz w:val="24"/>
        </w:rPr>
        <w:t> </w:t>
      </w:r>
      <w:r>
        <w:rPr>
          <w:sz w:val="24"/>
        </w:rPr>
        <w:t>an</w:t>
      </w:r>
    </w:p>
    <w:p>
      <w:pPr>
        <w:spacing w:before="0"/>
        <w:ind w:left="1919" w:right="0" w:firstLine="0"/>
        <w:jc w:val="both"/>
        <w:rPr>
          <w:sz w:val="24"/>
        </w:rPr>
      </w:pPr>
      <w:r>
        <w:rPr>
          <w:i/>
          <w:sz w:val="24"/>
        </w:rPr>
        <w:t>adoptive jurisdiction</w:t>
      </w:r>
      <w:r>
        <w:rPr>
          <w:sz w:val="24"/>
        </w:rPr>
        <w:t>.</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This rule 5.5 applies to any dispute which may arise between a </w:t>
      </w:r>
      <w:r>
        <w:rPr>
          <w:i/>
          <w:sz w:val="24"/>
        </w:rPr>
        <w:t>Transmission Network Service Provider </w:t>
      </w:r>
      <w:r>
        <w:rPr>
          <w:sz w:val="24"/>
        </w:rPr>
        <w:t>(including a </w:t>
      </w:r>
      <w:r>
        <w:rPr>
          <w:i/>
          <w:sz w:val="24"/>
        </w:rPr>
        <w:t>Dedicated Connection </w:t>
      </w:r>
      <w:r>
        <w:rPr>
          <w:i/>
          <w:sz w:val="24"/>
        </w:rPr>
        <w:t>Asset Service Provider </w:t>
      </w:r>
      <w:r>
        <w:rPr>
          <w:sz w:val="24"/>
        </w:rPr>
        <w:t>for a </w:t>
      </w:r>
      <w:r>
        <w:rPr>
          <w:i/>
          <w:sz w:val="24"/>
        </w:rPr>
        <w:t>large dedicated connection asset</w:t>
      </w:r>
      <w:r>
        <w:rPr>
          <w:sz w:val="24"/>
        </w:rPr>
        <w:t>) (a </w:t>
      </w:r>
      <w:r>
        <w:rPr>
          <w:b/>
          <w:sz w:val="24"/>
        </w:rPr>
        <w:t>provider</w:t>
      </w:r>
      <w:r>
        <w:rPr>
          <w:sz w:val="24"/>
        </w:rPr>
        <w:t>) and a </w:t>
      </w:r>
      <w:r>
        <w:rPr>
          <w:i/>
          <w:sz w:val="24"/>
        </w:rPr>
        <w:t>Connection Applicant </w:t>
      </w:r>
      <w:r>
        <w:rPr>
          <w:sz w:val="24"/>
        </w:rPr>
        <w:t>or a person seeking </w:t>
      </w:r>
      <w:r>
        <w:rPr>
          <w:i/>
          <w:sz w:val="24"/>
        </w:rPr>
        <w:t>large DCA services </w:t>
      </w:r>
      <w:r>
        <w:rPr>
          <w:sz w:val="24"/>
        </w:rPr>
        <w:t>(an </w:t>
      </w:r>
      <w:r>
        <w:rPr>
          <w:b/>
          <w:sz w:val="24"/>
        </w:rPr>
        <w:t>applicant</w:t>
      </w:r>
      <w:r>
        <w:rPr>
          <w:sz w:val="24"/>
        </w:rPr>
        <w:t>) as to </w:t>
      </w:r>
      <w:r>
        <w:rPr>
          <w:i/>
          <w:sz w:val="24"/>
        </w:rPr>
        <w:t>terms and conditions of access</w:t>
      </w:r>
      <w:r>
        <w:rPr>
          <w:sz w:val="24"/>
        </w:rPr>
        <w:t>, for the provision </w:t>
      </w:r>
      <w:r>
        <w:rPr>
          <w:spacing w:val="-6"/>
          <w:sz w:val="24"/>
        </w:rPr>
        <w:t>of </w:t>
      </w:r>
      <w:r>
        <w:rPr>
          <w:i/>
          <w:sz w:val="24"/>
        </w:rPr>
        <w:t>prescribed transmission services</w:t>
      </w:r>
      <w:r>
        <w:rPr>
          <w:sz w:val="24"/>
        </w:rPr>
        <w:t>, the provision of </w:t>
      </w:r>
      <w:r>
        <w:rPr>
          <w:i/>
          <w:sz w:val="24"/>
        </w:rPr>
        <w:t>negotiated transmission </w:t>
      </w:r>
      <w:r>
        <w:rPr>
          <w:i/>
          <w:sz w:val="24"/>
        </w:rPr>
        <w:t>services </w:t>
      </w:r>
      <w:r>
        <w:rPr>
          <w:sz w:val="24"/>
        </w:rPr>
        <w:t>(each a </w:t>
      </w:r>
      <w:r>
        <w:rPr>
          <w:i/>
          <w:sz w:val="24"/>
        </w:rPr>
        <w:t>transmission services access dispute</w:t>
      </w:r>
      <w:r>
        <w:rPr>
          <w:sz w:val="24"/>
        </w:rPr>
        <w:t>); or the provision of </w:t>
      </w:r>
      <w:r>
        <w:rPr>
          <w:i/>
          <w:sz w:val="24"/>
        </w:rPr>
        <w:t>large DCA services </w:t>
      </w:r>
      <w:r>
        <w:rPr>
          <w:sz w:val="24"/>
        </w:rPr>
        <w:t>(a </w:t>
      </w:r>
      <w:r>
        <w:rPr>
          <w:i/>
          <w:sz w:val="24"/>
        </w:rPr>
        <w:t>large DCA services access dispute</w:t>
      </w:r>
      <w:r>
        <w:rPr>
          <w:sz w:val="24"/>
        </w:rPr>
        <w:t>) (as</w:t>
      </w:r>
      <w:r>
        <w:rPr>
          <w:spacing w:val="-21"/>
          <w:sz w:val="24"/>
        </w:rPr>
        <w:t> </w:t>
      </w:r>
      <w:r>
        <w:rPr>
          <w:sz w:val="24"/>
        </w:rPr>
        <w:t>applicable).</w:t>
      </w:r>
    </w:p>
    <w:p>
      <w:pPr>
        <w:spacing w:before="120"/>
        <w:ind w:left="1919" w:right="414" w:hanging="567"/>
        <w:jc w:val="both"/>
        <w:rPr>
          <w:sz w:val="24"/>
        </w:rPr>
      </w:pPr>
      <w:r>
        <w:rPr>
          <w:sz w:val="24"/>
        </w:rPr>
        <w:t>(b1) Despite paragraph (b), for this jurisdiction, this rule 5.5 only applies to any dispute which may arise between a </w:t>
      </w:r>
      <w:r>
        <w:rPr>
          <w:i/>
          <w:sz w:val="24"/>
        </w:rPr>
        <w:t>Dedicated Connection Asset</w:t>
      </w:r>
      <w:r>
        <w:rPr>
          <w:i/>
          <w:spacing w:val="35"/>
          <w:sz w:val="24"/>
        </w:rPr>
        <w:t> </w:t>
      </w:r>
      <w:r>
        <w:rPr>
          <w:i/>
          <w:sz w:val="24"/>
        </w:rPr>
        <w:t>Service </w:t>
      </w:r>
      <w:r>
        <w:rPr>
          <w:i/>
          <w:sz w:val="24"/>
        </w:rPr>
        <w:t>Provider </w:t>
      </w:r>
      <w:r>
        <w:rPr>
          <w:sz w:val="24"/>
        </w:rPr>
        <w:t>for a </w:t>
      </w:r>
      <w:r>
        <w:rPr>
          <w:i/>
          <w:sz w:val="24"/>
        </w:rPr>
        <w:t>large dedicated connection asset </w:t>
      </w:r>
      <w:r>
        <w:rPr>
          <w:sz w:val="24"/>
        </w:rPr>
        <w:t>(a </w:t>
      </w:r>
      <w:r>
        <w:rPr>
          <w:b/>
          <w:sz w:val="24"/>
        </w:rPr>
        <w:t>provider</w:t>
      </w:r>
      <w:r>
        <w:rPr>
          <w:sz w:val="24"/>
        </w:rPr>
        <w:t>) and a person seeking </w:t>
      </w:r>
      <w:r>
        <w:rPr>
          <w:i/>
          <w:sz w:val="24"/>
        </w:rPr>
        <w:t>large DCA services </w:t>
      </w:r>
      <w:r>
        <w:rPr>
          <w:sz w:val="24"/>
        </w:rPr>
        <w:t>(an </w:t>
      </w:r>
      <w:r>
        <w:rPr>
          <w:b/>
          <w:sz w:val="24"/>
        </w:rPr>
        <w:t>applicant</w:t>
      </w:r>
      <w:r>
        <w:rPr>
          <w:sz w:val="24"/>
        </w:rPr>
        <w:t>) as to </w:t>
      </w:r>
      <w:r>
        <w:rPr>
          <w:i/>
          <w:sz w:val="24"/>
        </w:rPr>
        <w:t>terms and conditions of </w:t>
      </w:r>
      <w:r>
        <w:rPr>
          <w:i/>
          <w:sz w:val="24"/>
        </w:rPr>
        <w:t>access</w:t>
      </w:r>
      <w:r>
        <w:rPr>
          <w:sz w:val="24"/>
        </w:rPr>
        <w:t>, for the provision of </w:t>
      </w:r>
      <w:r>
        <w:rPr>
          <w:i/>
          <w:sz w:val="24"/>
        </w:rPr>
        <w:t>large DCA services </w:t>
      </w:r>
      <w:r>
        <w:rPr>
          <w:sz w:val="24"/>
        </w:rPr>
        <w:t>(a </w:t>
      </w:r>
      <w:r>
        <w:rPr>
          <w:i/>
          <w:sz w:val="24"/>
        </w:rPr>
        <w:t>large DCA services </w:t>
      </w:r>
      <w:r>
        <w:rPr>
          <w:i/>
          <w:sz w:val="24"/>
        </w:rPr>
        <w:t>access dispute</w:t>
      </w:r>
      <w:r>
        <w:rPr>
          <w:sz w:val="24"/>
        </w:rPr>
        <w:t>).</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For the purposes of </w:t>
      </w:r>
      <w:r>
        <w:rPr>
          <w:i/>
          <w:sz w:val="24"/>
        </w:rPr>
        <w:t>large DCA services</w:t>
      </w:r>
      <w:r>
        <w:rPr>
          <w:sz w:val="24"/>
        </w:rPr>
        <w:t>, the </w:t>
      </w:r>
      <w:r>
        <w:rPr>
          <w:i/>
          <w:sz w:val="24"/>
        </w:rPr>
        <w:t>terms and conditions of access </w:t>
      </w:r>
      <w:r>
        <w:rPr>
          <w:sz w:val="24"/>
        </w:rPr>
        <w:t>are the price of, and the other terms and conditions for, the provision of those </w:t>
      </w:r>
      <w:r>
        <w:rPr>
          <w:i/>
          <w:sz w:val="24"/>
        </w:rPr>
        <w:t>large DCA services</w:t>
      </w:r>
      <w:r>
        <w:rPr>
          <w:sz w:val="24"/>
        </w:rPr>
        <w:t>, as determined under the </w:t>
      </w:r>
      <w:r>
        <w:rPr>
          <w:i/>
          <w:sz w:val="24"/>
        </w:rPr>
        <w:t>access</w:t>
      </w:r>
      <w:r>
        <w:rPr>
          <w:i/>
          <w:spacing w:val="-6"/>
          <w:sz w:val="24"/>
        </w:rPr>
        <w:t> </w:t>
      </w:r>
      <w:r>
        <w:rPr>
          <w:i/>
          <w:sz w:val="24"/>
        </w:rPr>
        <w:t>policy</w:t>
      </w:r>
      <w:r>
        <w:rPr>
          <w:sz w:val="24"/>
        </w:rPr>
        <w:t>.</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1" w:right="0" w:hanging="1134"/>
        <w:jc w:val="left"/>
      </w:pPr>
      <w:bookmarkStart w:name="5.5.2 Notification of dispute" w:id="531"/>
      <w:bookmarkEnd w:id="531"/>
      <w:r>
        <w:rPr>
          <w:b w:val="0"/>
        </w:rPr>
      </w:r>
      <w:bookmarkStart w:name="_bookmark216" w:id="532"/>
      <w:bookmarkEnd w:id="532"/>
      <w:r>
        <w:rPr>
          <w:b w:val="0"/>
        </w:rPr>
      </w:r>
      <w:bookmarkStart w:name="_bookmark216" w:id="533"/>
      <w:bookmarkEnd w:id="533"/>
      <w:r>
        <w:rPr/>
        <w:t>Notificatio</w:t>
      </w:r>
      <w:r>
        <w:rPr/>
        <w:t>n of</w:t>
      </w:r>
      <w:r>
        <w:rPr>
          <w:spacing w:val="-2"/>
        </w:rPr>
        <w:t> </w:t>
      </w:r>
      <w:r>
        <w:rPr/>
        <w:t>dispute</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A provider or an applicant may notify the </w:t>
      </w:r>
      <w:r>
        <w:rPr>
          <w:i/>
          <w:sz w:val="24"/>
        </w:rPr>
        <w:t>AER </w:t>
      </w:r>
      <w:r>
        <w:rPr>
          <w:sz w:val="24"/>
        </w:rPr>
        <w:t>in writing that a </w:t>
      </w:r>
      <w:r>
        <w:rPr>
          <w:i/>
          <w:sz w:val="24"/>
        </w:rPr>
        <w:t>transmission </w:t>
      </w:r>
      <w:r>
        <w:rPr>
          <w:i/>
          <w:sz w:val="24"/>
        </w:rPr>
        <w:t>services access dispute </w:t>
      </w:r>
      <w:r>
        <w:rPr>
          <w:sz w:val="24"/>
        </w:rPr>
        <w:t>or </w:t>
      </w:r>
      <w:r>
        <w:rPr>
          <w:i/>
          <w:sz w:val="24"/>
        </w:rPr>
        <w:t>large DCA services access dispute</w:t>
      </w:r>
      <w:r>
        <w:rPr>
          <w:i/>
          <w:spacing w:val="-10"/>
          <w:sz w:val="24"/>
        </w:rPr>
        <w:t> </w:t>
      </w:r>
      <w:r>
        <w:rPr>
          <w:sz w:val="24"/>
        </w:rPr>
        <w:t>exists.</w:t>
      </w:r>
    </w:p>
    <w:p>
      <w:pPr>
        <w:pStyle w:val="ListParagraph"/>
        <w:numPr>
          <w:ilvl w:val="3"/>
          <w:numId w:val="195"/>
        </w:numPr>
        <w:tabs>
          <w:tab w:pos="1919" w:val="left" w:leader="none"/>
        </w:tabs>
        <w:spacing w:line="240" w:lineRule="auto" w:before="120" w:after="0"/>
        <w:ind w:left="1919" w:right="416" w:hanging="567"/>
        <w:jc w:val="both"/>
        <w:rPr>
          <w:sz w:val="24"/>
        </w:rPr>
      </w:pPr>
      <w:r>
        <w:rPr>
          <w:sz w:val="24"/>
        </w:rPr>
        <w:t>On receiving a notification under paragraph (a), the </w:t>
      </w:r>
      <w:r>
        <w:rPr>
          <w:i/>
          <w:sz w:val="24"/>
        </w:rPr>
        <w:t>AER </w:t>
      </w:r>
      <w:r>
        <w:rPr>
          <w:sz w:val="24"/>
        </w:rPr>
        <w:t>must give notice in writing of the dispute to the other party to the</w:t>
      </w:r>
      <w:r>
        <w:rPr>
          <w:spacing w:val="-3"/>
          <w:sz w:val="24"/>
        </w:rPr>
        <w:t> </w:t>
      </w:r>
      <w:r>
        <w:rPr>
          <w:sz w:val="24"/>
        </w:rPr>
        <w:t>dispute.</w:t>
      </w:r>
    </w:p>
    <w:p>
      <w:pPr>
        <w:pStyle w:val="ListParagraph"/>
        <w:numPr>
          <w:ilvl w:val="3"/>
          <w:numId w:val="195"/>
        </w:numPr>
        <w:tabs>
          <w:tab w:pos="1919" w:val="left" w:leader="none"/>
        </w:tabs>
        <w:spacing w:line="240" w:lineRule="auto" w:before="120" w:after="0"/>
        <w:ind w:left="1919" w:right="416" w:hanging="567"/>
        <w:jc w:val="both"/>
        <w:rPr>
          <w:sz w:val="24"/>
        </w:rPr>
      </w:pPr>
      <w:r>
        <w:rPr>
          <w:sz w:val="24"/>
        </w:rPr>
        <w:t>A provider or an applicant who has given notice of a dispute under paragraph (a) may withdraw notification of the dispute at any time by written notice to the </w:t>
      </w:r>
      <w:r>
        <w:rPr>
          <w:i/>
          <w:sz w:val="24"/>
        </w:rPr>
        <w:t>AER </w:t>
      </w:r>
      <w:r>
        <w:rPr>
          <w:sz w:val="24"/>
        </w:rPr>
        <w:t>and the other party to the</w:t>
      </w:r>
      <w:r>
        <w:rPr>
          <w:spacing w:val="-4"/>
          <w:sz w:val="24"/>
        </w:rPr>
        <w:t> </w:t>
      </w:r>
      <w:r>
        <w:rPr>
          <w:sz w:val="24"/>
        </w:rPr>
        <w:t>dispute.</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If the notification of a dispute is withdrawn under paragraph (c), it is taken for the purposes of this clause 5.5.2 to never have been</w:t>
      </w:r>
      <w:r>
        <w:rPr>
          <w:spacing w:val="-2"/>
          <w:sz w:val="24"/>
        </w:rPr>
        <w:t> </w:t>
      </w:r>
      <w:r>
        <w:rPr>
          <w:sz w:val="24"/>
        </w:rPr>
        <w:t>given.</w:t>
      </w:r>
    </w:p>
    <w:p>
      <w:pPr>
        <w:spacing w:after="0" w:line="240" w:lineRule="auto"/>
        <w:jc w:val="both"/>
        <w:rPr>
          <w:sz w:val="24"/>
        </w:rPr>
        <w:sectPr>
          <w:pgSz w:w="11910" w:h="16840"/>
          <w:pgMar w:header="686" w:footer="637" w:top="1320" w:bottom="820" w:left="1200" w:right="1000"/>
        </w:sectPr>
      </w:pPr>
    </w:p>
    <w:p>
      <w:pPr>
        <w:pStyle w:val="Heading4"/>
        <w:numPr>
          <w:ilvl w:val="2"/>
          <w:numId w:val="195"/>
        </w:numPr>
        <w:tabs>
          <w:tab w:pos="1351" w:val="left" w:leader="none"/>
          <w:tab w:pos="1352" w:val="left" w:leader="none"/>
        </w:tabs>
        <w:spacing w:line="240" w:lineRule="auto" w:before="83" w:after="0"/>
        <w:ind w:left="1351" w:right="0" w:hanging="1134"/>
        <w:jc w:val="left"/>
      </w:pPr>
      <w:bookmarkStart w:name="5.5.3 Appointment of commercial arbitrat" w:id="534"/>
      <w:bookmarkEnd w:id="534"/>
      <w:r>
        <w:rPr>
          <w:b w:val="0"/>
        </w:rPr>
      </w:r>
      <w:bookmarkStart w:name="_bookmark217" w:id="535"/>
      <w:bookmarkEnd w:id="535"/>
      <w:r>
        <w:rPr>
          <w:b w:val="0"/>
        </w:rPr>
      </w:r>
      <w:bookmarkStart w:name="_bookmark217" w:id="536"/>
      <w:bookmarkEnd w:id="536"/>
      <w:r>
        <w:rPr/>
        <w:t>Appoin</w:t>
      </w:r>
      <w:r>
        <w:rPr/>
        <w:t>tment of commercial</w:t>
      </w:r>
      <w:r>
        <w:rPr>
          <w:spacing w:val="-4"/>
        </w:rPr>
        <w:t> </w:t>
      </w:r>
      <w:r>
        <w:rPr/>
        <w:t>arbitrator</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On receiving a notification under clause 5.5.2(a), the </w:t>
      </w:r>
      <w:r>
        <w:rPr>
          <w:i/>
          <w:sz w:val="24"/>
        </w:rPr>
        <w:t>AER </w:t>
      </w:r>
      <w:r>
        <w:rPr>
          <w:sz w:val="24"/>
        </w:rPr>
        <w:t>must request the provider and the applicant, by a time specified by the </w:t>
      </w:r>
      <w:r>
        <w:rPr>
          <w:i/>
          <w:sz w:val="24"/>
        </w:rPr>
        <w:t>AER</w:t>
      </w:r>
      <w:r>
        <w:rPr>
          <w:sz w:val="24"/>
        </w:rPr>
        <w:t>, to nominate to the </w:t>
      </w:r>
      <w:r>
        <w:rPr>
          <w:i/>
          <w:sz w:val="24"/>
        </w:rPr>
        <w:t>AER </w:t>
      </w:r>
      <w:r>
        <w:rPr>
          <w:sz w:val="24"/>
        </w:rPr>
        <w:t>two persons each for appointment as the </w:t>
      </w:r>
      <w:r>
        <w:rPr>
          <w:i/>
          <w:sz w:val="24"/>
        </w:rPr>
        <w:t>commercial arbitrator </w:t>
      </w:r>
      <w:r>
        <w:rPr>
          <w:spacing w:val="-6"/>
          <w:sz w:val="24"/>
        </w:rPr>
        <w:t>to </w:t>
      </w:r>
      <w:r>
        <w:rPr>
          <w:sz w:val="24"/>
        </w:rPr>
        <w:t>determine the </w:t>
      </w:r>
      <w:r>
        <w:rPr>
          <w:i/>
          <w:sz w:val="24"/>
        </w:rPr>
        <w:t>transmission services access dispute </w:t>
      </w:r>
      <w:r>
        <w:rPr>
          <w:sz w:val="24"/>
        </w:rPr>
        <w:t>or </w:t>
      </w:r>
      <w:r>
        <w:rPr>
          <w:i/>
          <w:sz w:val="24"/>
        </w:rPr>
        <w:t>large DCA services </w:t>
      </w:r>
      <w:r>
        <w:rPr>
          <w:i/>
          <w:sz w:val="24"/>
        </w:rPr>
        <w:t>access dispute</w:t>
      </w:r>
      <w:r>
        <w:rPr>
          <w:sz w:val="24"/>
        </w:rPr>
        <w:t>. The provider and applicant may make the</w:t>
      </w:r>
      <w:r>
        <w:rPr>
          <w:spacing w:val="-3"/>
          <w:sz w:val="24"/>
        </w:rPr>
        <w:t> </w:t>
      </w:r>
      <w:r>
        <w:rPr>
          <w:sz w:val="24"/>
        </w:rPr>
        <w:t>nominations.</w:t>
      </w:r>
    </w:p>
    <w:p>
      <w:pPr>
        <w:pStyle w:val="ListParagraph"/>
        <w:numPr>
          <w:ilvl w:val="3"/>
          <w:numId w:val="195"/>
        </w:numPr>
        <w:tabs>
          <w:tab w:pos="1919" w:val="left" w:leader="none"/>
        </w:tabs>
        <w:spacing w:line="240" w:lineRule="auto" w:before="120" w:after="0"/>
        <w:ind w:left="1918" w:right="0" w:hanging="567"/>
        <w:jc w:val="both"/>
        <w:rPr>
          <w:i/>
          <w:sz w:val="24"/>
        </w:rPr>
      </w:pPr>
      <w:r>
        <w:rPr>
          <w:sz w:val="24"/>
        </w:rPr>
        <w:t>As</w:t>
      </w:r>
      <w:r>
        <w:rPr>
          <w:spacing w:val="38"/>
          <w:sz w:val="24"/>
        </w:rPr>
        <w:t> </w:t>
      </w:r>
      <w:r>
        <w:rPr>
          <w:sz w:val="24"/>
        </w:rPr>
        <w:t>soon</w:t>
      </w:r>
      <w:r>
        <w:rPr>
          <w:spacing w:val="38"/>
          <w:sz w:val="24"/>
        </w:rPr>
        <w:t> </w:t>
      </w:r>
      <w:r>
        <w:rPr>
          <w:sz w:val="24"/>
        </w:rPr>
        <w:t>as</w:t>
      </w:r>
      <w:r>
        <w:rPr>
          <w:spacing w:val="38"/>
          <w:sz w:val="24"/>
        </w:rPr>
        <w:t> </w:t>
      </w:r>
      <w:r>
        <w:rPr>
          <w:sz w:val="24"/>
        </w:rPr>
        <w:t>practicable</w:t>
      </w:r>
      <w:r>
        <w:rPr>
          <w:spacing w:val="38"/>
          <w:sz w:val="24"/>
        </w:rPr>
        <w:t> </w:t>
      </w:r>
      <w:r>
        <w:rPr>
          <w:sz w:val="24"/>
        </w:rPr>
        <w:t>after</w:t>
      </w:r>
      <w:r>
        <w:rPr>
          <w:spacing w:val="38"/>
          <w:sz w:val="24"/>
        </w:rPr>
        <w:t> </w:t>
      </w:r>
      <w:r>
        <w:rPr>
          <w:sz w:val="24"/>
        </w:rPr>
        <w:t>the</w:t>
      </w:r>
      <w:r>
        <w:rPr>
          <w:spacing w:val="38"/>
          <w:sz w:val="24"/>
        </w:rPr>
        <w:t> </w:t>
      </w:r>
      <w:r>
        <w:rPr>
          <w:sz w:val="24"/>
        </w:rPr>
        <w:t>expiry</w:t>
      </w:r>
      <w:r>
        <w:rPr>
          <w:spacing w:val="38"/>
          <w:sz w:val="24"/>
        </w:rPr>
        <w:t> </w:t>
      </w:r>
      <w:r>
        <w:rPr>
          <w:sz w:val="24"/>
        </w:rPr>
        <w:t>of</w:t>
      </w:r>
      <w:r>
        <w:rPr>
          <w:spacing w:val="38"/>
          <w:sz w:val="24"/>
        </w:rPr>
        <w:t> </w:t>
      </w:r>
      <w:r>
        <w:rPr>
          <w:sz w:val="24"/>
        </w:rPr>
        <w:t>the</w:t>
      </w:r>
      <w:r>
        <w:rPr>
          <w:spacing w:val="38"/>
          <w:sz w:val="24"/>
        </w:rPr>
        <w:t> </w:t>
      </w:r>
      <w:r>
        <w:rPr>
          <w:sz w:val="24"/>
        </w:rPr>
        <w:t>time</w:t>
      </w:r>
      <w:r>
        <w:rPr>
          <w:spacing w:val="38"/>
          <w:sz w:val="24"/>
        </w:rPr>
        <w:t> </w:t>
      </w:r>
      <w:r>
        <w:rPr>
          <w:sz w:val="24"/>
        </w:rPr>
        <w:t>specified</w:t>
      </w:r>
      <w:r>
        <w:rPr>
          <w:spacing w:val="38"/>
          <w:sz w:val="24"/>
        </w:rPr>
        <w:t> </w:t>
      </w:r>
      <w:r>
        <w:rPr>
          <w:sz w:val="24"/>
        </w:rPr>
        <w:t>by</w:t>
      </w:r>
      <w:r>
        <w:rPr>
          <w:spacing w:val="39"/>
          <w:sz w:val="24"/>
        </w:rPr>
        <w:t> </w:t>
      </w:r>
      <w:r>
        <w:rPr>
          <w:sz w:val="24"/>
        </w:rPr>
        <w:t>the</w:t>
      </w:r>
      <w:r>
        <w:rPr>
          <w:spacing w:val="38"/>
          <w:sz w:val="24"/>
        </w:rPr>
        <w:t> </w:t>
      </w:r>
      <w:r>
        <w:rPr>
          <w:i/>
          <w:sz w:val="24"/>
        </w:rPr>
        <w:t>AER</w:t>
      </w:r>
    </w:p>
    <w:p>
      <w:pPr>
        <w:pStyle w:val="BodyText"/>
        <w:spacing w:before="0"/>
        <w:ind w:left="1919" w:firstLine="0"/>
      </w:pPr>
      <w:r>
        <w:rPr/>
        <w:t>under paragraph (a), the </w:t>
      </w:r>
      <w:r>
        <w:rPr>
          <w:i/>
        </w:rPr>
        <w:t>AER </w:t>
      </w:r>
      <w:r>
        <w:rPr/>
        <w:t>must appoint:</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one of the persons (if any) nominated to the </w:t>
      </w:r>
      <w:r>
        <w:rPr>
          <w:i/>
          <w:sz w:val="24"/>
        </w:rPr>
        <w:t>AER </w:t>
      </w:r>
      <w:r>
        <w:rPr>
          <w:sz w:val="24"/>
        </w:rPr>
        <w:t>by the provider or the applicant under paragraph (a);</w:t>
      </w:r>
      <w:r>
        <w:rPr>
          <w:spacing w:val="-2"/>
          <w:sz w:val="24"/>
        </w:rPr>
        <w:t> </w:t>
      </w:r>
      <w:r>
        <w:rPr>
          <w:sz w:val="24"/>
        </w:rPr>
        <w:t>or</w:t>
      </w:r>
    </w:p>
    <w:p>
      <w:pPr>
        <w:pStyle w:val="ListParagraph"/>
        <w:numPr>
          <w:ilvl w:val="4"/>
          <w:numId w:val="195"/>
        </w:numPr>
        <w:tabs>
          <w:tab w:pos="2486" w:val="left" w:leader="none"/>
        </w:tabs>
        <w:spacing w:line="240" w:lineRule="auto" w:before="120" w:after="0"/>
        <w:ind w:left="2486" w:right="416" w:hanging="567"/>
        <w:jc w:val="both"/>
        <w:rPr>
          <w:sz w:val="24"/>
        </w:rPr>
      </w:pPr>
      <w:r>
        <w:rPr>
          <w:sz w:val="24"/>
        </w:rPr>
        <w:t>if neither the provider or the applicant nominate any such</w:t>
      </w:r>
      <w:r>
        <w:rPr>
          <w:spacing w:val="43"/>
          <w:sz w:val="24"/>
        </w:rPr>
        <w:t> </w:t>
      </w:r>
      <w:r>
        <w:rPr>
          <w:sz w:val="24"/>
        </w:rPr>
        <w:t>person within the time specified by the </w:t>
      </w:r>
      <w:r>
        <w:rPr>
          <w:i/>
          <w:sz w:val="24"/>
        </w:rPr>
        <w:t>AER </w:t>
      </w:r>
      <w:r>
        <w:rPr>
          <w:sz w:val="24"/>
        </w:rPr>
        <w:t>under paragraph (a) or all of the persons</w:t>
      </w:r>
      <w:r>
        <w:rPr>
          <w:spacing w:val="11"/>
          <w:sz w:val="24"/>
        </w:rPr>
        <w:t> </w:t>
      </w:r>
      <w:r>
        <w:rPr>
          <w:sz w:val="24"/>
        </w:rPr>
        <w:t>so</w:t>
      </w:r>
      <w:r>
        <w:rPr>
          <w:spacing w:val="11"/>
          <w:sz w:val="24"/>
        </w:rPr>
        <w:t> </w:t>
      </w:r>
      <w:r>
        <w:rPr>
          <w:sz w:val="24"/>
        </w:rPr>
        <w:t>nominated</w:t>
      </w:r>
      <w:r>
        <w:rPr>
          <w:spacing w:val="11"/>
          <w:sz w:val="24"/>
        </w:rPr>
        <w:t> </w:t>
      </w:r>
      <w:r>
        <w:rPr>
          <w:sz w:val="24"/>
        </w:rPr>
        <w:t>do</w:t>
      </w:r>
      <w:r>
        <w:rPr>
          <w:spacing w:val="11"/>
          <w:sz w:val="24"/>
        </w:rPr>
        <w:t> </w:t>
      </w:r>
      <w:r>
        <w:rPr>
          <w:sz w:val="24"/>
        </w:rPr>
        <w:t>not</w:t>
      </w:r>
      <w:r>
        <w:rPr>
          <w:spacing w:val="11"/>
          <w:sz w:val="24"/>
        </w:rPr>
        <w:t> </w:t>
      </w:r>
      <w:r>
        <w:rPr>
          <w:sz w:val="24"/>
        </w:rPr>
        <w:t>qualify</w:t>
      </w:r>
      <w:r>
        <w:rPr>
          <w:spacing w:val="11"/>
          <w:sz w:val="24"/>
        </w:rPr>
        <w:t> </w:t>
      </w:r>
      <w:r>
        <w:rPr>
          <w:sz w:val="24"/>
        </w:rPr>
        <w:t>for</w:t>
      </w:r>
      <w:r>
        <w:rPr>
          <w:spacing w:val="11"/>
          <w:sz w:val="24"/>
        </w:rPr>
        <w:t> </w:t>
      </w:r>
      <w:r>
        <w:rPr>
          <w:sz w:val="24"/>
        </w:rPr>
        <w:t>appointment</w:t>
      </w:r>
      <w:r>
        <w:rPr>
          <w:spacing w:val="11"/>
          <w:sz w:val="24"/>
        </w:rPr>
        <w:t> </w:t>
      </w:r>
      <w:r>
        <w:rPr>
          <w:sz w:val="24"/>
        </w:rPr>
        <w:t>under</w:t>
      </w:r>
      <w:r>
        <w:rPr>
          <w:spacing w:val="12"/>
          <w:sz w:val="24"/>
        </w:rPr>
        <w:t> </w:t>
      </w:r>
      <w:r>
        <w:rPr>
          <w:spacing w:val="-3"/>
          <w:sz w:val="24"/>
        </w:rPr>
        <w:t>paragraph</w:t>
      </w:r>
    </w:p>
    <w:p>
      <w:pPr>
        <w:pStyle w:val="BodyText"/>
        <w:spacing w:before="0"/>
        <w:ind w:left="2486" w:firstLine="0"/>
      </w:pPr>
      <w:r>
        <w:rPr/>
        <w:t>(d) or (e), a person determined by the </w:t>
      </w:r>
      <w:r>
        <w:rPr>
          <w:i/>
        </w:rPr>
        <w:t>AER</w:t>
      </w:r>
      <w:r>
        <w:rPr/>
        <w:t>,</w:t>
      </w:r>
    </w:p>
    <w:p>
      <w:pPr>
        <w:spacing w:before="120"/>
        <w:ind w:left="1919" w:right="415" w:firstLine="0"/>
        <w:jc w:val="both"/>
        <w:rPr>
          <w:sz w:val="24"/>
        </w:rPr>
      </w:pPr>
      <w:r>
        <w:rPr>
          <w:sz w:val="24"/>
        </w:rPr>
        <w:t>as the </w:t>
      </w:r>
      <w:r>
        <w:rPr>
          <w:i/>
          <w:sz w:val="24"/>
        </w:rPr>
        <w:t>commercial arbitrator </w:t>
      </w:r>
      <w:r>
        <w:rPr>
          <w:sz w:val="24"/>
        </w:rPr>
        <w:t>to determine the dispute, and must refer the dispute to that </w:t>
      </w:r>
      <w:r>
        <w:rPr>
          <w:i/>
          <w:sz w:val="24"/>
        </w:rPr>
        <w:t>commercial arbitrator</w:t>
      </w:r>
      <w:r>
        <w:rPr>
          <w:sz w:val="24"/>
        </w:rPr>
        <w:t>.</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A decision of the </w:t>
      </w:r>
      <w:r>
        <w:rPr>
          <w:i/>
          <w:sz w:val="24"/>
        </w:rPr>
        <w:t>AER </w:t>
      </w:r>
      <w:r>
        <w:rPr>
          <w:sz w:val="24"/>
        </w:rPr>
        <w:t>as to the appointment of the </w:t>
      </w:r>
      <w:r>
        <w:rPr>
          <w:i/>
          <w:sz w:val="24"/>
        </w:rPr>
        <w:t>commercial arbitrator </w:t>
      </w:r>
      <w:r>
        <w:rPr>
          <w:sz w:val="24"/>
        </w:rPr>
        <w:t>is final and binding on the provider and the</w:t>
      </w:r>
      <w:r>
        <w:rPr>
          <w:spacing w:val="-1"/>
          <w:sz w:val="24"/>
        </w:rPr>
        <w:t> </w:t>
      </w:r>
      <w:r>
        <w:rPr>
          <w:sz w:val="24"/>
        </w:rPr>
        <w:t>applicant.</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only appoint a person as the </w:t>
      </w:r>
      <w:r>
        <w:rPr>
          <w:i/>
          <w:sz w:val="24"/>
        </w:rPr>
        <w:t>commercial arbitrator </w:t>
      </w:r>
      <w:r>
        <w:rPr>
          <w:sz w:val="24"/>
        </w:rPr>
        <w:t>if that person is experienced or trained in dispute resolution</w:t>
      </w:r>
      <w:r>
        <w:rPr>
          <w:spacing w:val="-1"/>
          <w:sz w:val="24"/>
        </w:rPr>
        <w:t> </w:t>
      </w:r>
      <w:r>
        <w:rPr>
          <w:sz w:val="24"/>
        </w:rPr>
        <w:t>techniques.</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A person is not eligible for appointment as the </w:t>
      </w:r>
      <w:r>
        <w:rPr>
          <w:i/>
          <w:sz w:val="24"/>
        </w:rPr>
        <w:t>commercial arbitrator </w:t>
      </w:r>
      <w:r>
        <w:rPr>
          <w:sz w:val="24"/>
        </w:rPr>
        <w:t>if that person has any interest that may conflict with, or which may be seen to conflict with, the impartial resolution of the dispute. Where the person who is appointed as the </w:t>
      </w:r>
      <w:r>
        <w:rPr>
          <w:i/>
          <w:sz w:val="24"/>
        </w:rPr>
        <w:t>commercial arbitrator </w:t>
      </w:r>
      <w:r>
        <w:rPr>
          <w:sz w:val="24"/>
        </w:rPr>
        <w:t>becomes aware of such conflict after that person commences the hearing of the dispute, the person must advise the parties to that</w:t>
      </w:r>
      <w:r>
        <w:rPr>
          <w:spacing w:val="-1"/>
          <w:sz w:val="24"/>
        </w:rPr>
        <w:t> </w:t>
      </w:r>
      <w:r>
        <w:rPr>
          <w:sz w:val="24"/>
        </w:rPr>
        <w:t>effect.</w:t>
      </w:r>
    </w:p>
    <w:p>
      <w:pPr>
        <w:pStyle w:val="ListParagraph"/>
        <w:numPr>
          <w:ilvl w:val="3"/>
          <w:numId w:val="195"/>
        </w:numPr>
        <w:tabs>
          <w:tab w:pos="1920" w:val="left" w:leader="none"/>
        </w:tabs>
        <w:spacing w:line="240" w:lineRule="auto" w:before="120" w:after="0"/>
        <w:ind w:left="1919" w:right="0" w:hanging="568"/>
        <w:jc w:val="both"/>
        <w:rPr>
          <w:sz w:val="24"/>
        </w:rPr>
      </w:pPr>
      <w:r>
        <w:rPr>
          <w:sz w:val="24"/>
        </w:rPr>
        <w:t>Where:</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the provider or the applicant believes that the person appointed as </w:t>
      </w:r>
      <w:r>
        <w:rPr>
          <w:spacing w:val="-5"/>
          <w:sz w:val="24"/>
        </w:rPr>
        <w:t>the </w:t>
      </w:r>
      <w:r>
        <w:rPr>
          <w:i/>
          <w:sz w:val="24"/>
        </w:rPr>
        <w:t>commercial arbitrator </w:t>
      </w:r>
      <w:r>
        <w:rPr>
          <w:sz w:val="24"/>
        </w:rPr>
        <w:t>has an interest which may conflict with the impartial resolution of the dispute;</w:t>
      </w:r>
      <w:r>
        <w:rPr>
          <w:spacing w:val="-1"/>
          <w:sz w:val="24"/>
        </w:rPr>
        <w:t> </w:t>
      </w:r>
      <w:r>
        <w:rPr>
          <w:sz w:val="24"/>
        </w:rPr>
        <w:t>or</w:t>
      </w:r>
    </w:p>
    <w:p>
      <w:pPr>
        <w:pStyle w:val="ListParagraph"/>
        <w:numPr>
          <w:ilvl w:val="4"/>
          <w:numId w:val="195"/>
        </w:numPr>
        <w:tabs>
          <w:tab w:pos="2486" w:val="left" w:leader="none"/>
        </w:tabs>
        <w:spacing w:line="240" w:lineRule="auto" w:before="120" w:after="0"/>
        <w:ind w:left="2486" w:right="414" w:hanging="567"/>
        <w:jc w:val="both"/>
        <w:rPr>
          <w:sz w:val="24"/>
        </w:rPr>
      </w:pPr>
      <w:r>
        <w:rPr>
          <w:sz w:val="24"/>
        </w:rPr>
        <w:t>the person appointed as the </w:t>
      </w:r>
      <w:r>
        <w:rPr>
          <w:i/>
          <w:sz w:val="24"/>
        </w:rPr>
        <w:t>commercial arbitrator </w:t>
      </w:r>
      <w:r>
        <w:rPr>
          <w:sz w:val="24"/>
        </w:rPr>
        <w:t>discloses the existence of such an</w:t>
      </w:r>
      <w:r>
        <w:rPr>
          <w:spacing w:val="-2"/>
          <w:sz w:val="24"/>
        </w:rPr>
        <w:t> </w:t>
      </w:r>
      <w:r>
        <w:rPr>
          <w:sz w:val="24"/>
        </w:rPr>
        <w:t>interest,</w:t>
      </w:r>
    </w:p>
    <w:p>
      <w:pPr>
        <w:pStyle w:val="BodyText"/>
        <w:ind w:left="1919" w:right="415" w:firstLine="0"/>
      </w:pPr>
      <w:r>
        <w:rPr/>
        <w:t>the person must not continue to hear and determine the dispute, except with the written consent of the provider and the applicant.</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1" w:right="0" w:hanging="1134"/>
        <w:jc w:val="left"/>
      </w:pPr>
      <w:bookmarkStart w:name="5.5.4 Procedures of commercial arbitrato" w:id="537"/>
      <w:bookmarkEnd w:id="537"/>
      <w:r>
        <w:rPr>
          <w:b w:val="0"/>
        </w:rPr>
      </w:r>
      <w:bookmarkStart w:name="_bookmark218" w:id="538"/>
      <w:bookmarkEnd w:id="538"/>
      <w:r>
        <w:rPr>
          <w:b w:val="0"/>
        </w:rPr>
      </w:r>
      <w:bookmarkStart w:name="_bookmark218" w:id="539"/>
      <w:bookmarkEnd w:id="539"/>
      <w:r>
        <w:rPr/>
        <w:t>Procedures</w:t>
      </w:r>
      <w:r>
        <w:rPr/>
        <w:t> of commercial</w:t>
      </w:r>
      <w:r>
        <w:rPr>
          <w:spacing w:val="-2"/>
        </w:rPr>
        <w:t> </w:t>
      </w:r>
      <w:r>
        <w:rPr/>
        <w:t>arbitrator</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The </w:t>
      </w:r>
      <w:r>
        <w:rPr>
          <w:i/>
          <w:sz w:val="24"/>
        </w:rPr>
        <w:t>commercial arbitrator </w:t>
      </w:r>
      <w:r>
        <w:rPr>
          <w:sz w:val="24"/>
        </w:rPr>
        <w:t>may give to the parties such directions as it considers</w:t>
      </w:r>
      <w:r>
        <w:rPr>
          <w:spacing w:val="-1"/>
          <w:sz w:val="24"/>
        </w:rPr>
        <w:t> </w:t>
      </w:r>
      <w:r>
        <w:rPr>
          <w:sz w:val="24"/>
        </w:rPr>
        <w:t>necessary:</w:t>
      </w:r>
    </w:p>
    <w:p>
      <w:pPr>
        <w:pStyle w:val="ListParagraph"/>
        <w:numPr>
          <w:ilvl w:val="4"/>
          <w:numId w:val="195"/>
        </w:numPr>
        <w:tabs>
          <w:tab w:pos="2486" w:val="left" w:leader="none"/>
        </w:tabs>
        <w:spacing w:line="240" w:lineRule="auto" w:before="120" w:after="0"/>
        <w:ind w:left="2486" w:right="414" w:hanging="567"/>
        <w:jc w:val="both"/>
        <w:rPr>
          <w:sz w:val="24"/>
        </w:rPr>
      </w:pPr>
      <w:r>
        <w:rPr>
          <w:sz w:val="24"/>
        </w:rPr>
        <w:t>for the proper conduct of the proceedings, including in relation to the provision of documents and information to the other party and </w:t>
      </w:r>
      <w:r>
        <w:rPr>
          <w:spacing w:val="-4"/>
          <w:sz w:val="24"/>
        </w:rPr>
        <w:t>the </w:t>
      </w:r>
      <w:r>
        <w:rPr>
          <w:sz w:val="24"/>
        </w:rPr>
        <w:t>making of oral and written</w:t>
      </w:r>
      <w:r>
        <w:rPr>
          <w:spacing w:val="-2"/>
          <w:sz w:val="24"/>
        </w:rPr>
        <w:t> </w:t>
      </w:r>
      <w:r>
        <w:rPr>
          <w:sz w:val="24"/>
        </w:rPr>
        <w:t>submissions;</w:t>
      </w:r>
    </w:p>
    <w:p>
      <w:pPr>
        <w:pStyle w:val="ListParagraph"/>
        <w:numPr>
          <w:ilvl w:val="4"/>
          <w:numId w:val="195"/>
        </w:numPr>
        <w:tabs>
          <w:tab w:pos="2486" w:val="left" w:leader="none"/>
        </w:tabs>
        <w:spacing w:line="240" w:lineRule="auto" w:before="120" w:after="0"/>
        <w:ind w:left="2486" w:right="414" w:hanging="567"/>
        <w:jc w:val="both"/>
        <w:rPr>
          <w:sz w:val="24"/>
        </w:rPr>
      </w:pPr>
      <w:r>
        <w:rPr>
          <w:sz w:val="24"/>
        </w:rPr>
        <w:t>relating to the use and disclosure of information obtained from the other party to the dispute (including a direction to keep information confidential);</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195"/>
        </w:numPr>
        <w:tabs>
          <w:tab w:pos="2486" w:val="left" w:leader="none"/>
        </w:tabs>
        <w:spacing w:line="240" w:lineRule="auto" w:before="83" w:after="0"/>
        <w:ind w:left="2486" w:right="415" w:hanging="567"/>
        <w:jc w:val="both"/>
        <w:rPr>
          <w:sz w:val="24"/>
        </w:rPr>
      </w:pPr>
      <w:r>
        <w:rPr>
          <w:sz w:val="24"/>
        </w:rPr>
        <w:t>in relation to the participation (if any) of legal representatives of the parties in the</w:t>
      </w:r>
      <w:r>
        <w:rPr>
          <w:spacing w:val="-1"/>
          <w:sz w:val="24"/>
        </w:rPr>
        <w:t> </w:t>
      </w:r>
      <w:r>
        <w:rPr>
          <w:sz w:val="24"/>
        </w:rPr>
        <w:t>proceedings.</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The </w:t>
      </w:r>
      <w:r>
        <w:rPr>
          <w:i/>
          <w:sz w:val="24"/>
        </w:rPr>
        <w:t>commercial arbitrator </w:t>
      </w:r>
      <w:r>
        <w:rPr>
          <w:sz w:val="24"/>
        </w:rPr>
        <w:t>must observe the rules of procedural fairness, but is not bound by the rules of evidence and may inform itself in any manner it thinks</w:t>
      </w:r>
      <w:r>
        <w:rPr>
          <w:spacing w:val="-1"/>
          <w:sz w:val="24"/>
        </w:rPr>
        <w:t> </w:t>
      </w:r>
      <w:r>
        <w:rPr>
          <w:sz w:val="24"/>
        </w:rPr>
        <w:t>fit.</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1" w:right="0" w:hanging="1134"/>
        <w:jc w:val="left"/>
      </w:pPr>
      <w:bookmarkStart w:name="5.5.5 Powers of commercial arbitrator in" w:id="540"/>
      <w:bookmarkEnd w:id="540"/>
      <w:r>
        <w:rPr>
          <w:b w:val="0"/>
        </w:rPr>
      </w:r>
      <w:bookmarkStart w:name="_bookmark219" w:id="541"/>
      <w:bookmarkEnd w:id="541"/>
      <w:r>
        <w:rPr>
          <w:b w:val="0"/>
        </w:rPr>
      </w:r>
      <w:bookmarkStart w:name="_bookmark219" w:id="542"/>
      <w:bookmarkEnd w:id="542"/>
      <w:r>
        <w:rPr/>
        <w:t>Powers</w:t>
      </w:r>
      <w:r>
        <w:rPr/>
        <w:t> of commercial arbitrator in determining</w:t>
      </w:r>
      <w:r>
        <w:rPr>
          <w:spacing w:val="-7"/>
        </w:rPr>
        <w:t> </w:t>
      </w:r>
      <w:r>
        <w:rPr/>
        <w:t>disputes</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In determining a </w:t>
      </w:r>
      <w:r>
        <w:rPr>
          <w:i/>
          <w:sz w:val="24"/>
        </w:rPr>
        <w:t>transmission services access dispute </w:t>
      </w:r>
      <w:r>
        <w:rPr>
          <w:sz w:val="24"/>
        </w:rPr>
        <w:t>in relation to</w:t>
      </w:r>
      <w:r>
        <w:rPr>
          <w:spacing w:val="29"/>
          <w:sz w:val="24"/>
        </w:rPr>
        <w:t> </w:t>
      </w:r>
      <w:r>
        <w:rPr>
          <w:sz w:val="24"/>
        </w:rPr>
        <w:t>the </w:t>
      </w:r>
      <w:r>
        <w:rPr>
          <w:i/>
          <w:sz w:val="24"/>
        </w:rPr>
        <w:t>terms and conditions of access </w:t>
      </w:r>
      <w:r>
        <w:rPr>
          <w:sz w:val="24"/>
        </w:rPr>
        <w:t>for the provision of </w:t>
      </w:r>
      <w:r>
        <w:rPr>
          <w:i/>
          <w:sz w:val="24"/>
        </w:rPr>
        <w:t>prescribed transmission </w:t>
      </w:r>
      <w:r>
        <w:rPr>
          <w:i/>
          <w:sz w:val="24"/>
        </w:rPr>
        <w:t>services </w:t>
      </w:r>
      <w:r>
        <w:rPr>
          <w:sz w:val="24"/>
        </w:rPr>
        <w:t>the </w:t>
      </w:r>
      <w:r>
        <w:rPr>
          <w:i/>
          <w:sz w:val="24"/>
        </w:rPr>
        <w:t>commercial arbitrator </w:t>
      </w:r>
      <w:r>
        <w:rPr>
          <w:sz w:val="24"/>
        </w:rPr>
        <w:t>must</w:t>
      </w:r>
      <w:r>
        <w:rPr>
          <w:spacing w:val="-2"/>
          <w:sz w:val="24"/>
        </w:rPr>
        <w:t> </w:t>
      </w:r>
      <w:r>
        <w:rPr>
          <w:sz w:val="24"/>
        </w:rPr>
        <w:t>apply:</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in relation to price, the </w:t>
      </w:r>
      <w:r>
        <w:rPr>
          <w:i/>
          <w:sz w:val="24"/>
        </w:rPr>
        <w:t>pricing methodology </w:t>
      </w:r>
      <w:r>
        <w:rPr>
          <w:sz w:val="24"/>
        </w:rPr>
        <w:t>of the relevant </w:t>
      </w:r>
      <w:r>
        <w:rPr>
          <w:i/>
          <w:sz w:val="24"/>
        </w:rPr>
        <w:t>Transmission Network Service Provider </w:t>
      </w:r>
      <w:r>
        <w:rPr>
          <w:sz w:val="24"/>
        </w:rPr>
        <w:t>approved by the </w:t>
      </w:r>
      <w:r>
        <w:rPr>
          <w:i/>
          <w:sz w:val="24"/>
        </w:rPr>
        <w:t>AER </w:t>
      </w:r>
      <w:r>
        <w:rPr>
          <w:sz w:val="24"/>
        </w:rPr>
        <w:t>under Part E and Part J of Chapter 6A of the</w:t>
      </w:r>
      <w:r>
        <w:rPr>
          <w:spacing w:val="-4"/>
          <w:sz w:val="24"/>
        </w:rPr>
        <w:t> </w:t>
      </w:r>
      <w:r>
        <w:rPr>
          <w:i/>
          <w:sz w:val="24"/>
        </w:rPr>
        <w:t>Rules</w:t>
      </w:r>
      <w:r>
        <w:rPr>
          <w:sz w:val="24"/>
        </w:rPr>
        <w:t>;</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in</w:t>
      </w:r>
      <w:r>
        <w:rPr>
          <w:spacing w:val="14"/>
          <w:sz w:val="24"/>
        </w:rPr>
        <w:t> </w:t>
      </w:r>
      <w:r>
        <w:rPr>
          <w:sz w:val="24"/>
        </w:rPr>
        <w:t>relation</w:t>
      </w:r>
      <w:r>
        <w:rPr>
          <w:spacing w:val="15"/>
          <w:sz w:val="24"/>
        </w:rPr>
        <w:t> </w:t>
      </w:r>
      <w:r>
        <w:rPr>
          <w:sz w:val="24"/>
        </w:rPr>
        <w:t>to</w:t>
      </w:r>
      <w:r>
        <w:rPr>
          <w:spacing w:val="15"/>
          <w:sz w:val="24"/>
        </w:rPr>
        <w:t> </w:t>
      </w:r>
      <w:r>
        <w:rPr>
          <w:sz w:val="24"/>
        </w:rPr>
        <w:t>other</w:t>
      </w:r>
      <w:r>
        <w:rPr>
          <w:spacing w:val="15"/>
          <w:sz w:val="24"/>
        </w:rPr>
        <w:t> </w:t>
      </w:r>
      <w:r>
        <w:rPr>
          <w:sz w:val="24"/>
        </w:rPr>
        <w:t>terms</w:t>
      </w:r>
      <w:r>
        <w:rPr>
          <w:spacing w:val="15"/>
          <w:sz w:val="24"/>
        </w:rPr>
        <w:t> </w:t>
      </w:r>
      <w:r>
        <w:rPr>
          <w:sz w:val="24"/>
        </w:rPr>
        <w:t>and</w:t>
      </w:r>
      <w:r>
        <w:rPr>
          <w:spacing w:val="15"/>
          <w:sz w:val="24"/>
        </w:rPr>
        <w:t> </w:t>
      </w:r>
      <w:r>
        <w:rPr>
          <w:sz w:val="24"/>
        </w:rPr>
        <w:t>conditions,</w:t>
      </w:r>
      <w:r>
        <w:rPr>
          <w:spacing w:val="15"/>
          <w:sz w:val="24"/>
        </w:rPr>
        <w:t> </w:t>
      </w:r>
      <w:r>
        <w:rPr>
          <w:sz w:val="24"/>
        </w:rPr>
        <w:t>Chapters</w:t>
      </w:r>
      <w:r>
        <w:rPr>
          <w:spacing w:val="15"/>
          <w:sz w:val="24"/>
        </w:rPr>
        <w:t> </w:t>
      </w:r>
      <w:r>
        <w:rPr>
          <w:sz w:val="24"/>
        </w:rPr>
        <w:t>4,</w:t>
      </w:r>
      <w:r>
        <w:rPr>
          <w:spacing w:val="15"/>
          <w:sz w:val="24"/>
        </w:rPr>
        <w:t> </w:t>
      </w:r>
      <w:r>
        <w:rPr>
          <w:sz w:val="24"/>
        </w:rPr>
        <w:t>5</w:t>
      </w:r>
      <w:r>
        <w:rPr>
          <w:spacing w:val="14"/>
          <w:sz w:val="24"/>
        </w:rPr>
        <w:t> </w:t>
      </w:r>
      <w:r>
        <w:rPr>
          <w:sz w:val="24"/>
        </w:rPr>
        <w:t>and</w:t>
      </w:r>
      <w:r>
        <w:rPr>
          <w:spacing w:val="15"/>
          <w:sz w:val="24"/>
        </w:rPr>
        <w:t> </w:t>
      </w:r>
      <w:r>
        <w:rPr>
          <w:sz w:val="24"/>
        </w:rPr>
        <w:t>6A</w:t>
      </w:r>
      <w:r>
        <w:rPr>
          <w:spacing w:val="15"/>
          <w:sz w:val="24"/>
        </w:rPr>
        <w:t> </w:t>
      </w:r>
      <w:r>
        <w:rPr>
          <w:sz w:val="24"/>
        </w:rPr>
        <w:t>of</w:t>
      </w:r>
      <w:r>
        <w:rPr>
          <w:spacing w:val="15"/>
          <w:sz w:val="24"/>
        </w:rPr>
        <w:t> </w:t>
      </w:r>
      <w:r>
        <w:rPr>
          <w:sz w:val="24"/>
        </w:rPr>
        <w:t>the</w:t>
      </w:r>
    </w:p>
    <w:p>
      <w:pPr>
        <w:spacing w:before="0"/>
        <w:ind w:left="2486" w:right="0" w:firstLine="0"/>
        <w:jc w:val="both"/>
        <w:rPr>
          <w:sz w:val="24"/>
        </w:rPr>
      </w:pPr>
      <w:r>
        <w:rPr>
          <w:i/>
          <w:sz w:val="24"/>
        </w:rPr>
        <w:t>Rules</w:t>
      </w:r>
      <w:r>
        <w:rPr>
          <w:sz w:val="24"/>
        </w:rPr>
        <w:t>; and</w:t>
      </w:r>
    </w:p>
    <w:p>
      <w:pPr>
        <w:pStyle w:val="ListParagraph"/>
        <w:numPr>
          <w:ilvl w:val="4"/>
          <w:numId w:val="195"/>
        </w:numPr>
        <w:tabs>
          <w:tab w:pos="2486" w:val="left" w:leader="none"/>
        </w:tabs>
        <w:spacing w:line="240" w:lineRule="auto" w:before="120" w:after="0"/>
        <w:ind w:left="2486" w:right="414" w:hanging="567"/>
        <w:jc w:val="both"/>
        <w:rPr>
          <w:sz w:val="24"/>
        </w:rPr>
      </w:pPr>
      <w:r>
        <w:rPr>
          <w:sz w:val="24"/>
        </w:rPr>
        <w:t>in relation to all </w:t>
      </w:r>
      <w:r>
        <w:rPr>
          <w:i/>
          <w:sz w:val="24"/>
        </w:rPr>
        <w:t>terms and conditions of access </w:t>
      </w:r>
      <w:r>
        <w:rPr>
          <w:sz w:val="24"/>
        </w:rPr>
        <w:t>(including price) the decision of </w:t>
      </w:r>
      <w:r>
        <w:rPr>
          <w:i/>
          <w:sz w:val="24"/>
        </w:rPr>
        <w:t>AEMO </w:t>
      </w:r>
      <w:r>
        <w:rPr>
          <w:sz w:val="24"/>
        </w:rPr>
        <w:t>or the </w:t>
      </w:r>
      <w:r>
        <w:rPr>
          <w:i/>
          <w:sz w:val="24"/>
        </w:rPr>
        <w:t>AER </w:t>
      </w:r>
      <w:r>
        <w:rPr>
          <w:sz w:val="24"/>
        </w:rPr>
        <w:t>where those decisions relate to those terms and conditions and are made under Chapters 4, 5 and 6A of the </w:t>
      </w:r>
      <w:r>
        <w:rPr>
          <w:i/>
          <w:sz w:val="24"/>
        </w:rPr>
        <w:t>Rules</w:t>
      </w:r>
      <w:r>
        <w:rPr>
          <w:sz w:val="24"/>
        </w:rPr>
        <w:t>.</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In determining a </w:t>
      </w:r>
      <w:r>
        <w:rPr>
          <w:i/>
          <w:sz w:val="24"/>
        </w:rPr>
        <w:t>transmission services access dispute </w:t>
      </w:r>
      <w:r>
        <w:rPr>
          <w:sz w:val="24"/>
        </w:rPr>
        <w:t>in relation to</w:t>
      </w:r>
      <w:r>
        <w:rPr>
          <w:spacing w:val="29"/>
          <w:sz w:val="24"/>
        </w:rPr>
        <w:t> </w:t>
      </w:r>
      <w:r>
        <w:rPr>
          <w:sz w:val="24"/>
        </w:rPr>
        <w:t>the </w:t>
      </w:r>
      <w:r>
        <w:rPr>
          <w:i/>
          <w:sz w:val="24"/>
        </w:rPr>
        <w:t>terms and conditions of access </w:t>
      </w:r>
      <w:r>
        <w:rPr>
          <w:sz w:val="24"/>
        </w:rPr>
        <w:t>for the provision of a </w:t>
      </w:r>
      <w:r>
        <w:rPr>
          <w:i/>
          <w:sz w:val="24"/>
        </w:rPr>
        <w:t>negotiated </w:t>
      </w:r>
      <w:r>
        <w:rPr>
          <w:i/>
          <w:sz w:val="24"/>
        </w:rPr>
        <w:t>transmission service </w:t>
      </w:r>
      <w:r>
        <w:rPr>
          <w:sz w:val="24"/>
        </w:rPr>
        <w:t>the </w:t>
      </w:r>
      <w:r>
        <w:rPr>
          <w:i/>
          <w:sz w:val="24"/>
        </w:rPr>
        <w:t>commercial arbitrator </w:t>
      </w:r>
      <w:r>
        <w:rPr>
          <w:sz w:val="24"/>
        </w:rPr>
        <w:t>must</w:t>
      </w:r>
      <w:r>
        <w:rPr>
          <w:spacing w:val="-2"/>
          <w:sz w:val="24"/>
        </w:rPr>
        <w:t> </w:t>
      </w:r>
      <w:r>
        <w:rPr>
          <w:sz w:val="24"/>
        </w:rPr>
        <w:t>apply:</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in relation to price for the provision of that service by the provider,</w:t>
      </w:r>
      <w:r>
        <w:rPr>
          <w:spacing w:val="7"/>
          <w:sz w:val="24"/>
        </w:rPr>
        <w:t> </w:t>
      </w:r>
      <w:r>
        <w:rPr>
          <w:sz w:val="24"/>
        </w:rPr>
        <w:t>the</w:t>
      </w:r>
    </w:p>
    <w:p>
      <w:pPr>
        <w:spacing w:before="0"/>
        <w:ind w:left="2486" w:right="0" w:firstLine="0"/>
        <w:jc w:val="both"/>
        <w:rPr>
          <w:sz w:val="24"/>
        </w:rPr>
      </w:pPr>
      <w:r>
        <w:rPr>
          <w:i/>
          <w:sz w:val="24"/>
        </w:rPr>
        <w:t>negotiating principles </w:t>
      </w:r>
      <w:r>
        <w:rPr>
          <w:sz w:val="24"/>
        </w:rPr>
        <w:t>that are applicable to that dispute;</w:t>
      </w:r>
    </w:p>
    <w:p>
      <w:pPr>
        <w:pStyle w:val="ListParagraph"/>
        <w:numPr>
          <w:ilvl w:val="4"/>
          <w:numId w:val="195"/>
        </w:numPr>
        <w:tabs>
          <w:tab w:pos="2486" w:val="left" w:leader="none"/>
        </w:tabs>
        <w:spacing w:line="240" w:lineRule="auto" w:before="120" w:after="0"/>
        <w:ind w:left="2485" w:right="0" w:hanging="567"/>
        <w:jc w:val="both"/>
        <w:rPr>
          <w:i/>
          <w:sz w:val="24"/>
        </w:rPr>
      </w:pPr>
      <w:r>
        <w:rPr>
          <w:sz w:val="24"/>
        </w:rPr>
        <w:t>in</w:t>
      </w:r>
      <w:r>
        <w:rPr>
          <w:spacing w:val="41"/>
          <w:sz w:val="24"/>
        </w:rPr>
        <w:t> </w:t>
      </w:r>
      <w:r>
        <w:rPr>
          <w:sz w:val="24"/>
        </w:rPr>
        <w:t>relation</w:t>
      </w:r>
      <w:r>
        <w:rPr>
          <w:spacing w:val="42"/>
          <w:sz w:val="24"/>
        </w:rPr>
        <w:t> </w:t>
      </w:r>
      <w:r>
        <w:rPr>
          <w:sz w:val="24"/>
        </w:rPr>
        <w:t>to</w:t>
      </w:r>
      <w:r>
        <w:rPr>
          <w:spacing w:val="41"/>
          <w:sz w:val="24"/>
        </w:rPr>
        <w:t> </w:t>
      </w:r>
      <w:r>
        <w:rPr>
          <w:sz w:val="24"/>
        </w:rPr>
        <w:t>other</w:t>
      </w:r>
      <w:r>
        <w:rPr>
          <w:spacing w:val="42"/>
          <w:sz w:val="24"/>
        </w:rPr>
        <w:t> </w:t>
      </w:r>
      <w:r>
        <w:rPr>
          <w:sz w:val="24"/>
        </w:rPr>
        <w:t>terms</w:t>
      </w:r>
      <w:r>
        <w:rPr>
          <w:spacing w:val="41"/>
          <w:sz w:val="24"/>
        </w:rPr>
        <w:t> </w:t>
      </w:r>
      <w:r>
        <w:rPr>
          <w:sz w:val="24"/>
        </w:rPr>
        <w:t>and</w:t>
      </w:r>
      <w:r>
        <w:rPr>
          <w:spacing w:val="41"/>
          <w:sz w:val="24"/>
        </w:rPr>
        <w:t> </w:t>
      </w:r>
      <w:r>
        <w:rPr>
          <w:sz w:val="24"/>
        </w:rPr>
        <w:t>conditions,</w:t>
      </w:r>
      <w:r>
        <w:rPr>
          <w:spacing w:val="41"/>
          <w:sz w:val="24"/>
        </w:rPr>
        <w:t> </w:t>
      </w:r>
      <w:r>
        <w:rPr>
          <w:sz w:val="24"/>
        </w:rPr>
        <w:t>the</w:t>
      </w:r>
      <w:r>
        <w:rPr>
          <w:spacing w:val="41"/>
          <w:sz w:val="24"/>
        </w:rPr>
        <w:t> </w:t>
      </w:r>
      <w:r>
        <w:rPr>
          <w:i/>
          <w:sz w:val="24"/>
        </w:rPr>
        <w:t>negotiating</w:t>
      </w:r>
      <w:r>
        <w:rPr>
          <w:i/>
          <w:spacing w:val="42"/>
          <w:sz w:val="24"/>
        </w:rPr>
        <w:t> </w:t>
      </w:r>
      <w:r>
        <w:rPr>
          <w:i/>
          <w:sz w:val="24"/>
        </w:rPr>
        <w:t>principles</w:t>
      </w:r>
    </w:p>
    <w:p>
      <w:pPr>
        <w:pStyle w:val="BodyText"/>
        <w:spacing w:before="0"/>
        <w:ind w:left="2486" w:firstLine="0"/>
      </w:pPr>
      <w:r>
        <w:rPr/>
        <w:t>that are applicable to that dispute and Chapters 4 and 5 of the </w:t>
      </w:r>
      <w:r>
        <w:rPr>
          <w:i/>
        </w:rPr>
        <w:t>Rules</w:t>
      </w:r>
      <w:r>
        <w:rPr/>
        <w:t>;</w:t>
      </w:r>
    </w:p>
    <w:p>
      <w:pPr>
        <w:pStyle w:val="ListParagraph"/>
        <w:numPr>
          <w:ilvl w:val="4"/>
          <w:numId w:val="195"/>
        </w:numPr>
        <w:tabs>
          <w:tab w:pos="2486" w:val="left" w:leader="none"/>
        </w:tabs>
        <w:spacing w:line="240" w:lineRule="auto" w:before="120" w:after="0"/>
        <w:ind w:left="2486" w:right="414" w:hanging="567"/>
        <w:jc w:val="both"/>
        <w:rPr>
          <w:sz w:val="24"/>
        </w:rPr>
      </w:pPr>
      <w:r>
        <w:rPr>
          <w:sz w:val="24"/>
        </w:rPr>
        <w:t>in relation to all </w:t>
      </w:r>
      <w:r>
        <w:rPr>
          <w:i/>
          <w:sz w:val="24"/>
        </w:rPr>
        <w:t>terms and conditions of access </w:t>
      </w:r>
      <w:r>
        <w:rPr>
          <w:sz w:val="24"/>
        </w:rPr>
        <w:t>(including price) the decision of </w:t>
      </w:r>
      <w:r>
        <w:rPr>
          <w:i/>
          <w:sz w:val="24"/>
        </w:rPr>
        <w:t>AEMO </w:t>
      </w:r>
      <w:r>
        <w:rPr>
          <w:sz w:val="24"/>
        </w:rPr>
        <w:t>or the </w:t>
      </w:r>
      <w:r>
        <w:rPr>
          <w:i/>
          <w:sz w:val="24"/>
        </w:rPr>
        <w:t>AER </w:t>
      </w:r>
      <w:r>
        <w:rPr>
          <w:sz w:val="24"/>
        </w:rPr>
        <w:t>where those decisions relate to those terms and conditions and are made under Chapters 4 and 5 of </w:t>
      </w:r>
      <w:r>
        <w:rPr>
          <w:spacing w:val="-5"/>
          <w:sz w:val="24"/>
        </w:rPr>
        <w:t>the </w:t>
      </w:r>
      <w:r>
        <w:rPr>
          <w:i/>
          <w:sz w:val="24"/>
        </w:rPr>
        <w:t>Rules</w:t>
      </w:r>
      <w:r>
        <w:rPr>
          <w:sz w:val="24"/>
        </w:rPr>
        <w:t>.</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In determining a </w:t>
      </w:r>
      <w:r>
        <w:rPr>
          <w:i/>
          <w:sz w:val="24"/>
        </w:rPr>
        <w:t>large DCA services access dispute </w:t>
      </w:r>
      <w:r>
        <w:rPr>
          <w:sz w:val="24"/>
        </w:rPr>
        <w:t>in relation to the </w:t>
      </w:r>
      <w:r>
        <w:rPr>
          <w:i/>
          <w:sz w:val="24"/>
        </w:rPr>
        <w:t>terms </w:t>
      </w:r>
      <w:r>
        <w:rPr>
          <w:i/>
          <w:sz w:val="24"/>
        </w:rPr>
        <w:t>and conditions of access </w:t>
      </w:r>
      <w:r>
        <w:rPr>
          <w:sz w:val="24"/>
        </w:rPr>
        <w:t>for the provision of </w:t>
      </w:r>
      <w:r>
        <w:rPr>
          <w:i/>
          <w:sz w:val="24"/>
        </w:rPr>
        <w:t>large DCA services</w:t>
      </w:r>
      <w:r>
        <w:rPr>
          <w:sz w:val="24"/>
        </w:rPr>
        <w:t>, the </w:t>
      </w:r>
      <w:r>
        <w:rPr>
          <w:i/>
          <w:sz w:val="24"/>
        </w:rPr>
        <w:t>commercial arbitrator</w:t>
      </w:r>
      <w:r>
        <w:rPr>
          <w:i/>
          <w:spacing w:val="-1"/>
          <w:sz w:val="24"/>
        </w:rPr>
        <w:t> </w:t>
      </w:r>
      <w:r>
        <w:rPr>
          <w:sz w:val="24"/>
        </w:rPr>
        <w:t>must:</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apply the </w:t>
      </w:r>
      <w:r>
        <w:rPr>
          <w:i/>
          <w:sz w:val="24"/>
        </w:rPr>
        <w:t>access policy </w:t>
      </w:r>
      <w:r>
        <w:rPr>
          <w:sz w:val="24"/>
        </w:rPr>
        <w:t>of the </w:t>
      </w:r>
      <w:r>
        <w:rPr>
          <w:i/>
          <w:sz w:val="24"/>
        </w:rPr>
        <w:t>Dedicated Connection Asset Service </w:t>
      </w:r>
      <w:r>
        <w:rPr>
          <w:i/>
          <w:sz w:val="24"/>
        </w:rPr>
        <w:t>Provider</w:t>
      </w:r>
      <w:r>
        <w:rPr>
          <w:sz w:val="24"/>
        </w:rPr>
        <w:t>;</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apply the relevant negotiating principles in schedule</w:t>
      </w:r>
      <w:r>
        <w:rPr>
          <w:spacing w:val="-3"/>
          <w:sz w:val="24"/>
        </w:rPr>
        <w:t> </w:t>
      </w:r>
      <w:r>
        <w:rPr>
          <w:sz w:val="24"/>
        </w:rPr>
        <w:t>5.12;</w:t>
      </w:r>
    </w:p>
    <w:p>
      <w:pPr>
        <w:pStyle w:val="ListParagraph"/>
        <w:numPr>
          <w:ilvl w:val="4"/>
          <w:numId w:val="195"/>
        </w:numPr>
        <w:tabs>
          <w:tab w:pos="2486" w:val="left" w:leader="none"/>
        </w:tabs>
        <w:spacing w:line="240" w:lineRule="auto" w:before="120" w:after="0"/>
        <w:ind w:left="2486" w:right="416" w:hanging="567"/>
        <w:jc w:val="both"/>
        <w:rPr>
          <w:sz w:val="24"/>
        </w:rPr>
      </w:pPr>
      <w:r>
        <w:rPr>
          <w:sz w:val="24"/>
        </w:rPr>
        <w:t>have regard to the legitimate business interests of the </w:t>
      </w:r>
      <w:r>
        <w:rPr>
          <w:i/>
          <w:sz w:val="24"/>
        </w:rPr>
        <w:t>Dedicated </w:t>
      </w:r>
      <w:r>
        <w:rPr>
          <w:i/>
          <w:sz w:val="24"/>
        </w:rPr>
        <w:t>Connection Asset Service</w:t>
      </w:r>
      <w:r>
        <w:rPr>
          <w:i/>
          <w:spacing w:val="-1"/>
          <w:sz w:val="24"/>
        </w:rPr>
        <w:t> </w:t>
      </w:r>
      <w:r>
        <w:rPr>
          <w:i/>
          <w:sz w:val="24"/>
        </w:rPr>
        <w:t>Provider</w:t>
      </w:r>
      <w:r>
        <w:rPr>
          <w:sz w:val="24"/>
        </w:rPr>
        <w:t>;</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have</w:t>
      </w:r>
      <w:r>
        <w:rPr>
          <w:spacing w:val="21"/>
          <w:sz w:val="24"/>
        </w:rPr>
        <w:t> </w:t>
      </w:r>
      <w:r>
        <w:rPr>
          <w:sz w:val="24"/>
        </w:rPr>
        <w:t>regard</w:t>
      </w:r>
      <w:r>
        <w:rPr>
          <w:spacing w:val="22"/>
          <w:sz w:val="24"/>
        </w:rPr>
        <w:t> </w:t>
      </w:r>
      <w:r>
        <w:rPr>
          <w:sz w:val="24"/>
        </w:rPr>
        <w:t>to</w:t>
      </w:r>
      <w:r>
        <w:rPr>
          <w:spacing w:val="21"/>
          <w:sz w:val="24"/>
        </w:rPr>
        <w:t> </w:t>
      </w:r>
      <w:r>
        <w:rPr>
          <w:sz w:val="24"/>
        </w:rPr>
        <w:t>the</w:t>
      </w:r>
      <w:r>
        <w:rPr>
          <w:spacing w:val="22"/>
          <w:sz w:val="24"/>
        </w:rPr>
        <w:t> </w:t>
      </w:r>
      <w:r>
        <w:rPr>
          <w:sz w:val="24"/>
        </w:rPr>
        <w:t>interests</w:t>
      </w:r>
      <w:r>
        <w:rPr>
          <w:spacing w:val="21"/>
          <w:sz w:val="24"/>
        </w:rPr>
        <w:t> </w:t>
      </w:r>
      <w:r>
        <w:rPr>
          <w:sz w:val="24"/>
        </w:rPr>
        <w:t>of</w:t>
      </w:r>
      <w:r>
        <w:rPr>
          <w:spacing w:val="22"/>
          <w:sz w:val="24"/>
        </w:rPr>
        <w:t> </w:t>
      </w:r>
      <w:r>
        <w:rPr>
          <w:sz w:val="24"/>
        </w:rPr>
        <w:t>all</w:t>
      </w:r>
      <w:r>
        <w:rPr>
          <w:spacing w:val="21"/>
          <w:sz w:val="24"/>
        </w:rPr>
        <w:t> </w:t>
      </w:r>
      <w:r>
        <w:rPr>
          <w:sz w:val="24"/>
        </w:rPr>
        <w:t>persons</w:t>
      </w:r>
      <w:r>
        <w:rPr>
          <w:spacing w:val="22"/>
          <w:sz w:val="24"/>
        </w:rPr>
        <w:t> </w:t>
      </w:r>
      <w:r>
        <w:rPr>
          <w:sz w:val="24"/>
        </w:rPr>
        <w:t>who</w:t>
      </w:r>
      <w:r>
        <w:rPr>
          <w:spacing w:val="22"/>
          <w:sz w:val="24"/>
        </w:rPr>
        <w:t> </w:t>
      </w:r>
      <w:r>
        <w:rPr>
          <w:sz w:val="24"/>
        </w:rPr>
        <w:t>have</w:t>
      </w:r>
      <w:r>
        <w:rPr>
          <w:spacing w:val="21"/>
          <w:sz w:val="24"/>
        </w:rPr>
        <w:t> </w:t>
      </w:r>
      <w:r>
        <w:rPr>
          <w:sz w:val="24"/>
        </w:rPr>
        <w:t>rights</w:t>
      </w:r>
      <w:r>
        <w:rPr>
          <w:spacing w:val="22"/>
          <w:sz w:val="24"/>
        </w:rPr>
        <w:t> </w:t>
      </w:r>
      <w:r>
        <w:rPr>
          <w:sz w:val="24"/>
        </w:rPr>
        <w:t>to</w:t>
      </w:r>
      <w:r>
        <w:rPr>
          <w:spacing w:val="21"/>
          <w:sz w:val="24"/>
        </w:rPr>
        <w:t> </w:t>
      </w:r>
      <w:r>
        <w:rPr>
          <w:sz w:val="24"/>
        </w:rPr>
        <w:t>use</w:t>
      </w:r>
      <w:r>
        <w:rPr>
          <w:spacing w:val="22"/>
          <w:sz w:val="24"/>
        </w:rPr>
        <w:t> </w:t>
      </w:r>
      <w:r>
        <w:rPr>
          <w:sz w:val="24"/>
        </w:rPr>
        <w:t>the</w:t>
      </w:r>
    </w:p>
    <w:p>
      <w:pPr>
        <w:spacing w:before="0"/>
        <w:ind w:left="2486" w:right="0" w:firstLine="0"/>
        <w:jc w:val="both"/>
        <w:rPr>
          <w:sz w:val="24"/>
        </w:rPr>
      </w:pPr>
      <w:r>
        <w:rPr>
          <w:i/>
          <w:sz w:val="24"/>
        </w:rPr>
        <w:t>large DCA services</w:t>
      </w:r>
      <w:r>
        <w:rPr>
          <w:sz w:val="24"/>
        </w:rPr>
        <w:t>; and</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have regard to the operational and technical requirements necessary for the safe and reliable operation of the </w:t>
      </w:r>
      <w:r>
        <w:rPr>
          <w:i/>
          <w:sz w:val="24"/>
        </w:rPr>
        <w:t>large dedicated connection </w:t>
      </w:r>
      <w:r>
        <w:rPr>
          <w:i/>
          <w:sz w:val="24"/>
        </w:rPr>
        <w:t>asset </w:t>
      </w:r>
      <w:r>
        <w:rPr>
          <w:sz w:val="24"/>
        </w:rPr>
        <w:t>and any </w:t>
      </w:r>
      <w:r>
        <w:rPr>
          <w:i/>
          <w:sz w:val="24"/>
        </w:rPr>
        <w:t>facility connected </w:t>
      </w:r>
      <w:r>
        <w:rPr>
          <w:sz w:val="24"/>
        </w:rPr>
        <w:t>to</w:t>
      </w:r>
      <w:r>
        <w:rPr>
          <w:spacing w:val="-1"/>
          <w:sz w:val="24"/>
        </w:rPr>
        <w:t> </w:t>
      </w:r>
      <w:r>
        <w:rPr>
          <w:sz w:val="24"/>
        </w:rPr>
        <w:t>it.</w:t>
      </w:r>
    </w:p>
    <w:p>
      <w:pPr>
        <w:spacing w:after="0" w:line="240" w:lineRule="auto"/>
        <w:jc w:val="both"/>
        <w:rPr>
          <w:sz w:val="24"/>
        </w:rPr>
        <w:sectPr>
          <w:pgSz w:w="11910" w:h="16840"/>
          <w:pgMar w:header="686" w:footer="637" w:top="1320" w:bottom="820" w:left="1200" w:right="1000"/>
        </w:sectPr>
      </w:pPr>
    </w:p>
    <w:p>
      <w:pPr>
        <w:pStyle w:val="ListParagraph"/>
        <w:numPr>
          <w:ilvl w:val="3"/>
          <w:numId w:val="195"/>
        </w:numPr>
        <w:tabs>
          <w:tab w:pos="1919" w:val="left" w:leader="none"/>
        </w:tabs>
        <w:spacing w:line="240" w:lineRule="auto" w:before="83" w:after="0"/>
        <w:ind w:left="1919" w:right="414" w:hanging="567"/>
        <w:jc w:val="both"/>
        <w:rPr>
          <w:sz w:val="24"/>
        </w:rPr>
      </w:pPr>
      <w:r>
        <w:rPr>
          <w:sz w:val="24"/>
        </w:rPr>
        <w:t>In determining a </w:t>
      </w:r>
      <w:r>
        <w:rPr>
          <w:i/>
          <w:sz w:val="24"/>
        </w:rPr>
        <w:t>transmission services access dispute </w:t>
      </w:r>
      <w:r>
        <w:rPr>
          <w:sz w:val="24"/>
        </w:rPr>
        <w:t>in relation to</w:t>
      </w:r>
      <w:r>
        <w:rPr>
          <w:spacing w:val="29"/>
          <w:sz w:val="24"/>
        </w:rPr>
        <w:t> </w:t>
      </w:r>
      <w:r>
        <w:rPr>
          <w:sz w:val="24"/>
        </w:rPr>
        <w:t>the </w:t>
      </w:r>
      <w:r>
        <w:rPr>
          <w:i/>
          <w:sz w:val="24"/>
        </w:rPr>
        <w:t>terms and conditions of access </w:t>
      </w:r>
      <w:r>
        <w:rPr>
          <w:sz w:val="24"/>
        </w:rPr>
        <w:t>for the provision of </w:t>
      </w:r>
      <w:r>
        <w:rPr>
          <w:i/>
          <w:sz w:val="24"/>
        </w:rPr>
        <w:t>negotiated transmission </w:t>
      </w:r>
      <w:r>
        <w:rPr>
          <w:i/>
          <w:sz w:val="24"/>
        </w:rPr>
        <w:t>services </w:t>
      </w:r>
      <w:r>
        <w:rPr>
          <w:sz w:val="24"/>
        </w:rPr>
        <w:t>a </w:t>
      </w:r>
      <w:r>
        <w:rPr>
          <w:i/>
          <w:sz w:val="24"/>
        </w:rPr>
        <w:t>commercial arbitrator</w:t>
      </w:r>
      <w:r>
        <w:rPr>
          <w:i/>
          <w:spacing w:val="-3"/>
          <w:sz w:val="24"/>
        </w:rPr>
        <w:t> </w:t>
      </w:r>
      <w:r>
        <w:rPr>
          <w:sz w:val="24"/>
        </w:rPr>
        <w:t>may:</w:t>
      </w:r>
    </w:p>
    <w:p>
      <w:pPr>
        <w:pStyle w:val="ListParagraph"/>
        <w:numPr>
          <w:ilvl w:val="4"/>
          <w:numId w:val="195"/>
        </w:numPr>
        <w:tabs>
          <w:tab w:pos="2486" w:val="left" w:leader="none"/>
        </w:tabs>
        <w:spacing w:line="240" w:lineRule="auto" w:before="120" w:after="0"/>
        <w:ind w:left="2485" w:right="0" w:hanging="567"/>
        <w:jc w:val="both"/>
        <w:rPr>
          <w:i/>
          <w:sz w:val="24"/>
        </w:rPr>
      </w:pPr>
      <w:r>
        <w:rPr>
          <w:sz w:val="24"/>
        </w:rPr>
        <w:t>have regard to other matters which the </w:t>
      </w:r>
      <w:r>
        <w:rPr>
          <w:i/>
          <w:sz w:val="24"/>
        </w:rPr>
        <w:t>commercial</w:t>
      </w:r>
      <w:r>
        <w:rPr>
          <w:i/>
          <w:spacing w:val="50"/>
          <w:sz w:val="24"/>
        </w:rPr>
        <w:t> </w:t>
      </w:r>
      <w:r>
        <w:rPr>
          <w:i/>
          <w:sz w:val="24"/>
        </w:rPr>
        <w:t>arbitrator</w:t>
      </w:r>
    </w:p>
    <w:p>
      <w:pPr>
        <w:pStyle w:val="BodyText"/>
        <w:spacing w:before="0"/>
        <w:ind w:left="2486" w:firstLine="0"/>
      </w:pPr>
      <w:r>
        <w:rPr/>
        <w:t>considers relevant.</w:t>
      </w:r>
    </w:p>
    <w:p>
      <w:pPr>
        <w:pStyle w:val="ListParagraph"/>
        <w:numPr>
          <w:ilvl w:val="4"/>
          <w:numId w:val="195"/>
        </w:numPr>
        <w:tabs>
          <w:tab w:pos="2486" w:val="left" w:leader="none"/>
        </w:tabs>
        <w:spacing w:line="240" w:lineRule="auto" w:before="120" w:after="0"/>
        <w:ind w:left="2486" w:right="417" w:hanging="567"/>
        <w:jc w:val="both"/>
        <w:rPr>
          <w:sz w:val="24"/>
        </w:rPr>
      </w:pPr>
      <w:r>
        <w:rPr>
          <w:sz w:val="24"/>
        </w:rPr>
        <w:t>hear evidence or receive submissions from </w:t>
      </w:r>
      <w:r>
        <w:rPr>
          <w:i/>
          <w:sz w:val="24"/>
        </w:rPr>
        <w:t>AEMO </w:t>
      </w:r>
      <w:r>
        <w:rPr>
          <w:sz w:val="24"/>
        </w:rPr>
        <w:t>and </w:t>
      </w:r>
      <w:r>
        <w:rPr>
          <w:i/>
          <w:sz w:val="24"/>
        </w:rPr>
        <w:t>Transmission </w:t>
      </w:r>
      <w:r>
        <w:rPr>
          <w:i/>
          <w:sz w:val="24"/>
        </w:rPr>
        <w:t>Network Users </w:t>
      </w:r>
      <w:r>
        <w:rPr>
          <w:sz w:val="24"/>
        </w:rPr>
        <w:t>who may be adversely</w:t>
      </w:r>
      <w:r>
        <w:rPr>
          <w:spacing w:val="-3"/>
          <w:sz w:val="24"/>
        </w:rPr>
        <w:t> </w:t>
      </w:r>
      <w:r>
        <w:rPr>
          <w:sz w:val="24"/>
        </w:rPr>
        <w:t>affected.</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In determining a </w:t>
      </w:r>
      <w:r>
        <w:rPr>
          <w:i/>
          <w:sz w:val="24"/>
        </w:rPr>
        <w:t>transmission services access dispute </w:t>
      </w:r>
      <w:r>
        <w:rPr>
          <w:sz w:val="24"/>
        </w:rPr>
        <w:t>in relation to</w:t>
      </w:r>
      <w:r>
        <w:rPr>
          <w:spacing w:val="29"/>
          <w:sz w:val="24"/>
        </w:rPr>
        <w:t> </w:t>
      </w:r>
      <w:r>
        <w:rPr>
          <w:sz w:val="24"/>
        </w:rPr>
        <w:t>the </w:t>
      </w:r>
      <w:r>
        <w:rPr>
          <w:i/>
          <w:sz w:val="24"/>
        </w:rPr>
        <w:t>terms and conditions of access </w:t>
      </w:r>
      <w:r>
        <w:rPr>
          <w:sz w:val="24"/>
        </w:rPr>
        <w:t>for the provision of </w:t>
      </w:r>
      <w:r>
        <w:rPr>
          <w:i/>
          <w:sz w:val="24"/>
        </w:rPr>
        <w:t>prescribed transmission </w:t>
      </w:r>
      <w:r>
        <w:rPr>
          <w:i/>
          <w:sz w:val="24"/>
        </w:rPr>
        <w:t>services </w:t>
      </w:r>
      <w:r>
        <w:rPr>
          <w:sz w:val="24"/>
        </w:rPr>
        <w:t>a </w:t>
      </w:r>
      <w:r>
        <w:rPr>
          <w:i/>
          <w:sz w:val="24"/>
        </w:rPr>
        <w:t>commercial arbitrator</w:t>
      </w:r>
      <w:r>
        <w:rPr>
          <w:i/>
          <w:spacing w:val="-3"/>
          <w:sz w:val="24"/>
        </w:rPr>
        <w:t> </w:t>
      </w:r>
      <w:r>
        <w:rPr>
          <w:sz w:val="24"/>
        </w:rPr>
        <w:t>may:</w:t>
      </w:r>
    </w:p>
    <w:p>
      <w:pPr>
        <w:pStyle w:val="ListParagraph"/>
        <w:numPr>
          <w:ilvl w:val="4"/>
          <w:numId w:val="195"/>
        </w:numPr>
        <w:tabs>
          <w:tab w:pos="2486" w:val="left" w:leader="none"/>
        </w:tabs>
        <w:spacing w:line="240" w:lineRule="auto" w:before="120" w:after="0"/>
        <w:ind w:left="2485" w:right="0" w:hanging="567"/>
        <w:jc w:val="both"/>
        <w:rPr>
          <w:i/>
          <w:sz w:val="24"/>
        </w:rPr>
      </w:pPr>
      <w:r>
        <w:rPr>
          <w:sz w:val="24"/>
        </w:rPr>
        <w:t>have regard to other matters which the </w:t>
      </w:r>
      <w:r>
        <w:rPr>
          <w:i/>
          <w:sz w:val="24"/>
        </w:rPr>
        <w:t>commercial</w:t>
      </w:r>
      <w:r>
        <w:rPr>
          <w:i/>
          <w:spacing w:val="50"/>
          <w:sz w:val="24"/>
        </w:rPr>
        <w:t> </w:t>
      </w:r>
      <w:r>
        <w:rPr>
          <w:i/>
          <w:sz w:val="24"/>
        </w:rPr>
        <w:t>arbitrator</w:t>
      </w:r>
    </w:p>
    <w:p>
      <w:pPr>
        <w:pStyle w:val="BodyText"/>
        <w:spacing w:before="0"/>
        <w:ind w:left="2486" w:firstLine="0"/>
      </w:pPr>
      <w:r>
        <w:rPr/>
        <w:t>considers relevant.</w:t>
      </w:r>
    </w:p>
    <w:p>
      <w:pPr>
        <w:pStyle w:val="ListParagraph"/>
        <w:numPr>
          <w:ilvl w:val="4"/>
          <w:numId w:val="195"/>
        </w:numPr>
        <w:tabs>
          <w:tab w:pos="2486" w:val="left" w:leader="none"/>
        </w:tabs>
        <w:spacing w:line="240" w:lineRule="auto" w:before="120" w:after="0"/>
        <w:ind w:left="2486" w:right="416" w:hanging="567"/>
        <w:jc w:val="both"/>
        <w:rPr>
          <w:sz w:val="24"/>
        </w:rPr>
      </w:pPr>
      <w:r>
        <w:rPr>
          <w:sz w:val="24"/>
        </w:rPr>
        <w:t>hear evidence or receive submissions from </w:t>
      </w:r>
      <w:r>
        <w:rPr>
          <w:i/>
          <w:sz w:val="24"/>
        </w:rPr>
        <w:t>AEMO </w:t>
      </w:r>
      <w:r>
        <w:rPr>
          <w:sz w:val="24"/>
        </w:rPr>
        <w:t>in relation to </w:t>
      </w:r>
      <w:r>
        <w:rPr>
          <w:i/>
          <w:sz w:val="24"/>
        </w:rPr>
        <w:t>power </w:t>
      </w:r>
      <w:r>
        <w:rPr>
          <w:i/>
          <w:sz w:val="24"/>
        </w:rPr>
        <w:t>system security </w:t>
      </w:r>
      <w:r>
        <w:rPr>
          <w:sz w:val="24"/>
        </w:rPr>
        <w:t>matters and from </w:t>
      </w:r>
      <w:r>
        <w:rPr>
          <w:i/>
          <w:sz w:val="24"/>
        </w:rPr>
        <w:t>Transmission Network Users </w:t>
      </w:r>
      <w:r>
        <w:rPr>
          <w:sz w:val="24"/>
        </w:rPr>
        <w:t>who may be adversely</w:t>
      </w:r>
      <w:r>
        <w:rPr>
          <w:spacing w:val="-2"/>
          <w:sz w:val="24"/>
        </w:rPr>
        <w:t> </w:t>
      </w:r>
      <w:r>
        <w:rPr>
          <w:sz w:val="24"/>
        </w:rPr>
        <w:t>affected.</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1" w:right="0" w:hanging="1134"/>
        <w:jc w:val="left"/>
      </w:pPr>
      <w:bookmarkStart w:name="5.5.6 Determination of disputes" w:id="543"/>
      <w:bookmarkEnd w:id="543"/>
      <w:r>
        <w:rPr>
          <w:b w:val="0"/>
        </w:rPr>
      </w:r>
      <w:bookmarkStart w:name="_bookmark220" w:id="544"/>
      <w:bookmarkEnd w:id="544"/>
      <w:r>
        <w:rPr>
          <w:b w:val="0"/>
        </w:rPr>
      </w:r>
      <w:bookmarkStart w:name="_bookmark220" w:id="545"/>
      <w:bookmarkEnd w:id="545"/>
      <w:r>
        <w:rPr/>
        <w:t>Dete</w:t>
      </w:r>
      <w:r>
        <w:rPr/>
        <w:t>rmination of</w:t>
      </w:r>
      <w:r>
        <w:rPr>
          <w:spacing w:val="-1"/>
        </w:rPr>
        <w:t> </w:t>
      </w:r>
      <w:r>
        <w:rPr/>
        <w:t>disputes</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Subject to paragraph (c), the </w:t>
      </w:r>
      <w:r>
        <w:rPr>
          <w:i/>
          <w:sz w:val="24"/>
        </w:rPr>
        <w:t>commercial arbitrator </w:t>
      </w:r>
      <w:r>
        <w:rPr>
          <w:sz w:val="24"/>
        </w:rPr>
        <w:t>must determine </w:t>
      </w:r>
      <w:r>
        <w:rPr>
          <w:spacing w:val="-4"/>
          <w:sz w:val="24"/>
        </w:rPr>
        <w:t>the </w:t>
      </w:r>
      <w:r>
        <w:rPr>
          <w:sz w:val="24"/>
        </w:rPr>
        <w:t>dispute as quickly as possible, and in any case it must do so within 30 </w:t>
      </w:r>
      <w:r>
        <w:rPr>
          <w:i/>
          <w:sz w:val="24"/>
        </w:rPr>
        <w:t>business days </w:t>
      </w:r>
      <w:r>
        <w:rPr>
          <w:sz w:val="24"/>
        </w:rPr>
        <w:t>after the dispute is referred to the </w:t>
      </w:r>
      <w:r>
        <w:rPr>
          <w:i/>
          <w:sz w:val="24"/>
        </w:rPr>
        <w:t>commercial</w:t>
      </w:r>
      <w:r>
        <w:rPr>
          <w:i/>
          <w:spacing w:val="-2"/>
          <w:sz w:val="24"/>
        </w:rPr>
        <w:t> </w:t>
      </w:r>
      <w:r>
        <w:rPr>
          <w:i/>
          <w:sz w:val="24"/>
        </w:rPr>
        <w:t>arbitrator</w:t>
      </w:r>
      <w:r>
        <w:rPr>
          <w:sz w:val="24"/>
        </w:rPr>
        <w:t>.</w:t>
      </w:r>
    </w:p>
    <w:p>
      <w:pPr>
        <w:pStyle w:val="ListParagraph"/>
        <w:numPr>
          <w:ilvl w:val="3"/>
          <w:numId w:val="195"/>
        </w:numPr>
        <w:tabs>
          <w:tab w:pos="1919" w:val="left" w:leader="none"/>
        </w:tabs>
        <w:spacing w:line="240" w:lineRule="auto" w:before="120" w:after="0"/>
        <w:ind w:left="1918" w:right="0" w:hanging="567"/>
        <w:jc w:val="both"/>
        <w:rPr>
          <w:sz w:val="24"/>
        </w:rPr>
      </w:pPr>
      <w:r>
        <w:rPr>
          <w:sz w:val="24"/>
        </w:rPr>
        <w:t>The determination of the </w:t>
      </w:r>
      <w:r>
        <w:rPr>
          <w:i/>
          <w:sz w:val="24"/>
        </w:rPr>
        <w:t>commercial</w:t>
      </w:r>
      <w:r>
        <w:rPr>
          <w:i/>
          <w:spacing w:val="-1"/>
          <w:sz w:val="24"/>
        </w:rPr>
        <w:t> </w:t>
      </w:r>
      <w:r>
        <w:rPr>
          <w:i/>
          <w:sz w:val="24"/>
        </w:rPr>
        <w:t>arbitrator</w:t>
      </w:r>
      <w:r>
        <w:rPr>
          <w:sz w:val="24"/>
        </w:rPr>
        <w:t>:</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may direct the provision of </w:t>
      </w:r>
      <w:r>
        <w:rPr>
          <w:i/>
          <w:sz w:val="24"/>
        </w:rPr>
        <w:t>prescribed transmissions services </w:t>
      </w:r>
      <w:r>
        <w:rPr>
          <w:sz w:val="24"/>
        </w:rPr>
        <w:t>and </w:t>
      </w:r>
      <w:r>
        <w:rPr>
          <w:i/>
          <w:sz w:val="24"/>
        </w:rPr>
        <w:t>negotiated transmission services </w:t>
      </w:r>
      <w:r>
        <w:rPr>
          <w:sz w:val="24"/>
        </w:rPr>
        <w:t>in accordance with Chapters 4, 5 and 6A of the</w:t>
      </w:r>
      <w:r>
        <w:rPr>
          <w:spacing w:val="-1"/>
          <w:sz w:val="24"/>
        </w:rPr>
        <w:t> </w:t>
      </w:r>
      <w:r>
        <w:rPr>
          <w:i/>
          <w:sz w:val="24"/>
        </w:rPr>
        <w:t>Rules</w:t>
      </w:r>
      <w:r>
        <w:rPr>
          <w:sz w:val="24"/>
        </w:rPr>
        <w:t>;</w:t>
      </w:r>
    </w:p>
    <w:p>
      <w:pPr>
        <w:pStyle w:val="ListParagraph"/>
        <w:numPr>
          <w:ilvl w:val="4"/>
          <w:numId w:val="195"/>
        </w:numPr>
        <w:tabs>
          <w:tab w:pos="2486" w:val="left" w:leader="none"/>
        </w:tabs>
        <w:spacing w:line="240" w:lineRule="auto" w:before="120" w:after="0"/>
        <w:ind w:left="2486" w:right="416" w:hanging="567"/>
        <w:jc w:val="both"/>
        <w:rPr>
          <w:sz w:val="24"/>
        </w:rPr>
      </w:pPr>
      <w:r>
        <w:rPr>
          <w:sz w:val="24"/>
        </w:rPr>
        <w:t>may specify, for a </w:t>
      </w:r>
      <w:r>
        <w:rPr>
          <w:i/>
          <w:sz w:val="24"/>
        </w:rPr>
        <w:t>negotiated transmission service </w:t>
      </w:r>
      <w:r>
        <w:rPr>
          <w:sz w:val="24"/>
        </w:rPr>
        <w:t>or a </w:t>
      </w:r>
      <w:r>
        <w:rPr>
          <w:i/>
          <w:sz w:val="24"/>
        </w:rPr>
        <w:t>large DCA </w:t>
      </w:r>
      <w:r>
        <w:rPr>
          <w:i/>
          <w:sz w:val="24"/>
        </w:rPr>
        <w:t>service</w:t>
      </w:r>
      <w:r>
        <w:rPr>
          <w:sz w:val="24"/>
        </w:rPr>
        <w:t>, a price or charge in such a way that it is or is to be adjusted over</w:t>
      </w:r>
      <w:r>
        <w:rPr>
          <w:spacing w:val="-1"/>
          <w:sz w:val="24"/>
        </w:rPr>
        <w:t> </w:t>
      </w:r>
      <w:r>
        <w:rPr>
          <w:sz w:val="24"/>
        </w:rPr>
        <w:t>time;</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may direct the provision of </w:t>
      </w:r>
      <w:r>
        <w:rPr>
          <w:i/>
          <w:sz w:val="24"/>
        </w:rPr>
        <w:t>large DCA services </w:t>
      </w:r>
      <w:r>
        <w:rPr>
          <w:sz w:val="24"/>
        </w:rPr>
        <w:t>in accordance with the access policy of the </w:t>
      </w:r>
      <w:r>
        <w:rPr>
          <w:i/>
          <w:sz w:val="24"/>
        </w:rPr>
        <w:t>Dedicated Connection Asset Service Provider</w:t>
      </w:r>
      <w:r>
        <w:rPr>
          <w:sz w:val="24"/>
        </w:rPr>
        <w:t>; and</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only where the dispute is a </w:t>
      </w:r>
      <w:r>
        <w:rPr>
          <w:i/>
          <w:sz w:val="24"/>
        </w:rPr>
        <w:t>large DCA services access dispute</w:t>
      </w:r>
      <w:r>
        <w:rPr>
          <w:sz w:val="24"/>
        </w:rPr>
        <w:t>, may require the enlargement or increase in capacity of, or alterations to, </w:t>
      </w:r>
      <w:r>
        <w:rPr>
          <w:spacing w:val="-12"/>
          <w:sz w:val="24"/>
        </w:rPr>
        <w:t>a </w:t>
      </w:r>
      <w:r>
        <w:rPr>
          <w:i/>
          <w:sz w:val="24"/>
        </w:rPr>
        <w:t>large dedicated connection</w:t>
      </w:r>
      <w:r>
        <w:rPr>
          <w:i/>
          <w:spacing w:val="-1"/>
          <w:sz w:val="24"/>
        </w:rPr>
        <w:t> </w:t>
      </w:r>
      <w:r>
        <w:rPr>
          <w:i/>
          <w:sz w:val="24"/>
        </w:rPr>
        <w:t>asset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An adjustment as referred to in subparagraph (2) may, for example, be appropriate where the cost of providing the </w:t>
      </w:r>
      <w:r>
        <w:rPr>
          <w:i/>
          <w:sz w:val="20"/>
        </w:rPr>
        <w:t>negotiated transmission service </w:t>
      </w:r>
      <w:r>
        <w:rPr>
          <w:sz w:val="20"/>
        </w:rPr>
        <w:t>to a </w:t>
      </w:r>
      <w:r>
        <w:rPr>
          <w:i/>
          <w:sz w:val="20"/>
        </w:rPr>
        <w:t>Connection Applicant </w:t>
      </w:r>
      <w:r>
        <w:rPr>
          <w:sz w:val="20"/>
        </w:rPr>
        <w:t>or person seeking </w:t>
      </w:r>
      <w:r>
        <w:rPr>
          <w:i/>
          <w:sz w:val="20"/>
        </w:rPr>
        <w:t>large DCA services </w:t>
      </w:r>
      <w:r>
        <w:rPr>
          <w:sz w:val="20"/>
        </w:rPr>
        <w:t>changes because the assets used to provide that service are subsequently used to provide a service to another person and the payment for the service by that other person enables the </w:t>
      </w:r>
      <w:r>
        <w:rPr>
          <w:i/>
          <w:sz w:val="20"/>
        </w:rPr>
        <w:t>Transmission Network Service Provider </w:t>
      </w:r>
      <w:r>
        <w:rPr>
          <w:sz w:val="20"/>
        </w:rPr>
        <w:t>or </w:t>
      </w:r>
      <w:r>
        <w:rPr>
          <w:i/>
          <w:sz w:val="20"/>
        </w:rPr>
        <w:t>Dedicated Connection Asset Service Provider </w:t>
      </w:r>
      <w:r>
        <w:rPr>
          <w:sz w:val="20"/>
        </w:rPr>
        <w:t>to recoup some of those costs from that other person.</w:t>
      </w:r>
    </w:p>
    <w:p>
      <w:pPr>
        <w:pStyle w:val="ListParagraph"/>
        <w:numPr>
          <w:ilvl w:val="3"/>
          <w:numId w:val="195"/>
        </w:numPr>
        <w:tabs>
          <w:tab w:pos="1919" w:val="left" w:leader="none"/>
        </w:tabs>
        <w:spacing w:line="240" w:lineRule="auto" w:before="120" w:after="0"/>
        <w:ind w:left="1918" w:right="0" w:hanging="567"/>
        <w:jc w:val="both"/>
        <w:rPr>
          <w:sz w:val="24"/>
        </w:rPr>
      </w:pPr>
      <w:r>
        <w:rPr>
          <w:sz w:val="24"/>
        </w:rPr>
        <w:t>The</w:t>
      </w:r>
      <w:r>
        <w:rPr>
          <w:spacing w:val="24"/>
          <w:sz w:val="24"/>
        </w:rPr>
        <w:t> </w:t>
      </w:r>
      <w:r>
        <w:rPr>
          <w:i/>
          <w:sz w:val="24"/>
        </w:rPr>
        <w:t>commercial</w:t>
      </w:r>
      <w:r>
        <w:rPr>
          <w:i/>
          <w:spacing w:val="25"/>
          <w:sz w:val="24"/>
        </w:rPr>
        <w:t> </w:t>
      </w:r>
      <w:r>
        <w:rPr>
          <w:i/>
          <w:sz w:val="24"/>
        </w:rPr>
        <w:t>arbitrator</w:t>
      </w:r>
      <w:r>
        <w:rPr>
          <w:i/>
          <w:spacing w:val="25"/>
          <w:sz w:val="24"/>
        </w:rPr>
        <w:t> </w:t>
      </w:r>
      <w:r>
        <w:rPr>
          <w:sz w:val="24"/>
        </w:rPr>
        <w:t>may</w:t>
      </w:r>
      <w:r>
        <w:rPr>
          <w:spacing w:val="24"/>
          <w:sz w:val="24"/>
        </w:rPr>
        <w:t> </w:t>
      </w:r>
      <w:r>
        <w:rPr>
          <w:sz w:val="24"/>
        </w:rPr>
        <w:t>extend</w:t>
      </w:r>
      <w:r>
        <w:rPr>
          <w:spacing w:val="25"/>
          <w:sz w:val="24"/>
        </w:rPr>
        <w:t> </w:t>
      </w:r>
      <w:r>
        <w:rPr>
          <w:sz w:val="24"/>
        </w:rPr>
        <w:t>the</w:t>
      </w:r>
      <w:r>
        <w:rPr>
          <w:spacing w:val="25"/>
          <w:sz w:val="24"/>
        </w:rPr>
        <w:t> </w:t>
      </w:r>
      <w:r>
        <w:rPr>
          <w:sz w:val="24"/>
        </w:rPr>
        <w:t>period</w:t>
      </w:r>
      <w:r>
        <w:rPr>
          <w:spacing w:val="25"/>
          <w:sz w:val="24"/>
        </w:rPr>
        <w:t> </w:t>
      </w:r>
      <w:r>
        <w:rPr>
          <w:sz w:val="24"/>
        </w:rPr>
        <w:t>referred</w:t>
      </w:r>
      <w:r>
        <w:rPr>
          <w:spacing w:val="24"/>
          <w:sz w:val="24"/>
        </w:rPr>
        <w:t> </w:t>
      </w:r>
      <w:r>
        <w:rPr>
          <w:sz w:val="24"/>
        </w:rPr>
        <w:t>to</w:t>
      </w:r>
      <w:r>
        <w:rPr>
          <w:spacing w:val="25"/>
          <w:sz w:val="24"/>
        </w:rPr>
        <w:t> </w:t>
      </w:r>
      <w:r>
        <w:rPr>
          <w:sz w:val="24"/>
        </w:rPr>
        <w:t>in</w:t>
      </w:r>
      <w:r>
        <w:rPr>
          <w:spacing w:val="25"/>
          <w:sz w:val="24"/>
        </w:rPr>
        <w:t> </w:t>
      </w:r>
      <w:r>
        <w:rPr>
          <w:sz w:val="24"/>
        </w:rPr>
        <w:t>paragraph</w:t>
      </w:r>
    </w:p>
    <w:p>
      <w:pPr>
        <w:pStyle w:val="BodyText"/>
        <w:spacing w:before="0"/>
        <w:ind w:left="1919" w:firstLine="0"/>
      </w:pPr>
      <w:r>
        <w:rPr/>
        <w:t>(a) if the provider and the applicant so agree in writing.</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The </w:t>
      </w:r>
      <w:r>
        <w:rPr>
          <w:i/>
          <w:sz w:val="24"/>
        </w:rPr>
        <w:t>commercial arbitrator </w:t>
      </w:r>
      <w:r>
        <w:rPr>
          <w:sz w:val="24"/>
        </w:rPr>
        <w:t>may at any time terminate the proceedings without making a decision if it considers</w:t>
      </w:r>
      <w:r>
        <w:rPr>
          <w:spacing w:val="-3"/>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4"/>
          <w:numId w:val="195"/>
        </w:numPr>
        <w:tabs>
          <w:tab w:pos="2486" w:val="left" w:leader="none"/>
        </w:tabs>
        <w:spacing w:line="240" w:lineRule="auto" w:before="83" w:after="0"/>
        <w:ind w:left="2485" w:right="0" w:hanging="567"/>
        <w:jc w:val="both"/>
        <w:rPr>
          <w:sz w:val="24"/>
        </w:rPr>
      </w:pPr>
      <w:r>
        <w:rPr>
          <w:sz w:val="24"/>
        </w:rPr>
        <w:t>the dispute is misconceived or lacking in</w:t>
      </w:r>
      <w:r>
        <w:rPr>
          <w:spacing w:val="-3"/>
          <w:sz w:val="24"/>
        </w:rPr>
        <w:t> </w:t>
      </w:r>
      <w:r>
        <w:rPr>
          <w:sz w:val="24"/>
        </w:rPr>
        <w:t>substance;</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the notification of the dispute to the </w:t>
      </w:r>
      <w:r>
        <w:rPr>
          <w:i/>
          <w:sz w:val="24"/>
        </w:rPr>
        <w:t>AER </w:t>
      </w:r>
      <w:r>
        <w:rPr>
          <w:sz w:val="24"/>
        </w:rPr>
        <w:t>under clause 5.5.2(a) was vexatious;</w:t>
      </w:r>
      <w:r>
        <w:rPr>
          <w:spacing w:val="-2"/>
          <w:sz w:val="24"/>
        </w:rPr>
        <w:t> </w:t>
      </w:r>
      <w:r>
        <w:rPr>
          <w:sz w:val="24"/>
        </w:rPr>
        <w:t>or</w:t>
      </w:r>
    </w:p>
    <w:p>
      <w:pPr>
        <w:pStyle w:val="ListParagraph"/>
        <w:numPr>
          <w:ilvl w:val="4"/>
          <w:numId w:val="195"/>
        </w:numPr>
        <w:tabs>
          <w:tab w:pos="2486" w:val="left" w:leader="none"/>
        </w:tabs>
        <w:spacing w:line="240" w:lineRule="auto" w:before="120" w:after="0"/>
        <w:ind w:left="2486" w:right="415" w:hanging="567"/>
        <w:jc w:val="both"/>
        <w:rPr>
          <w:sz w:val="24"/>
        </w:rPr>
      </w:pPr>
      <w:r>
        <w:rPr>
          <w:sz w:val="24"/>
        </w:rPr>
        <w:t>the party who notified the dispute to the </w:t>
      </w:r>
      <w:r>
        <w:rPr>
          <w:i/>
          <w:sz w:val="24"/>
        </w:rPr>
        <w:t>AER </w:t>
      </w:r>
      <w:r>
        <w:rPr>
          <w:sz w:val="24"/>
        </w:rPr>
        <w:t>under clause 5.5.2(a) has not negotiated in good faith or has notified the dispute prematurely or unreasonably.</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The </w:t>
      </w:r>
      <w:r>
        <w:rPr>
          <w:i/>
          <w:sz w:val="24"/>
        </w:rPr>
        <w:t>commercial arbitrator </w:t>
      </w:r>
      <w:r>
        <w:rPr>
          <w:sz w:val="24"/>
        </w:rPr>
        <w:t>must terminate the proceedings without making a decision if at any time, whether on application by the provider or the applicant or otherwise, the arbitrator determines that the </w:t>
      </w:r>
      <w:r>
        <w:rPr>
          <w:i/>
          <w:sz w:val="24"/>
        </w:rPr>
        <w:t>transmission </w:t>
      </w:r>
      <w:r>
        <w:rPr>
          <w:i/>
          <w:sz w:val="24"/>
        </w:rPr>
        <w:t>service </w:t>
      </w:r>
      <w:r>
        <w:rPr>
          <w:sz w:val="24"/>
        </w:rPr>
        <w:t>or </w:t>
      </w:r>
      <w:r>
        <w:rPr>
          <w:i/>
          <w:sz w:val="24"/>
        </w:rPr>
        <w:t>large DCA service </w:t>
      </w:r>
      <w:r>
        <w:rPr>
          <w:sz w:val="24"/>
        </w:rPr>
        <w:t>is capable of being provided on a genuinely competitive basis by a person other than the provider or an entity which is associated with the</w:t>
      </w:r>
      <w:r>
        <w:rPr>
          <w:spacing w:val="-1"/>
          <w:sz w:val="24"/>
        </w:rPr>
        <w:t> </w:t>
      </w:r>
      <w:r>
        <w:rPr>
          <w:sz w:val="24"/>
        </w:rPr>
        <w:t>provider.</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1" w:right="0" w:hanging="1134"/>
        <w:jc w:val="left"/>
      </w:pPr>
      <w:bookmarkStart w:name="5.5.7 Costs of dispute" w:id="546"/>
      <w:bookmarkEnd w:id="546"/>
      <w:r>
        <w:rPr>
          <w:b w:val="0"/>
        </w:rPr>
      </w:r>
      <w:bookmarkStart w:name="_bookmark221" w:id="547"/>
      <w:bookmarkEnd w:id="547"/>
      <w:r>
        <w:rPr>
          <w:b w:val="0"/>
        </w:rPr>
      </w:r>
      <w:bookmarkStart w:name="_bookmark221" w:id="548"/>
      <w:bookmarkEnd w:id="548"/>
      <w:r>
        <w:rPr/>
        <w:t>Cost</w:t>
      </w:r>
      <w:r>
        <w:rPr/>
        <w:t>s of</w:t>
      </w:r>
      <w:r>
        <w:rPr>
          <w:spacing w:val="-2"/>
        </w:rPr>
        <w:t> </w:t>
      </w:r>
      <w:r>
        <w:rPr/>
        <w:t>dispute</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The fees and costs of the </w:t>
      </w:r>
      <w:r>
        <w:rPr>
          <w:i/>
          <w:sz w:val="24"/>
        </w:rPr>
        <w:t>commercial arbitrator </w:t>
      </w:r>
      <w:r>
        <w:rPr>
          <w:sz w:val="24"/>
        </w:rPr>
        <w:t>must be borne equally by the provider and the applicant</w:t>
      </w:r>
      <w:r>
        <w:rPr>
          <w:spacing w:val="-1"/>
          <w:sz w:val="24"/>
        </w:rPr>
        <w:t> </w:t>
      </w:r>
      <w:r>
        <w:rPr>
          <w:sz w:val="24"/>
        </w:rPr>
        <w:t>unless:</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paragraph (b) applies;</w:t>
      </w:r>
      <w:r>
        <w:rPr>
          <w:spacing w:val="-2"/>
          <w:sz w:val="24"/>
        </w:rPr>
        <w:t> </w:t>
      </w:r>
      <w:r>
        <w:rPr>
          <w:sz w:val="24"/>
        </w:rPr>
        <w:t>or</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otherwise agreed between the provider and the</w:t>
      </w:r>
      <w:r>
        <w:rPr>
          <w:spacing w:val="-2"/>
          <w:sz w:val="24"/>
        </w:rPr>
        <w:t> </w:t>
      </w:r>
      <w:r>
        <w:rPr>
          <w:sz w:val="24"/>
        </w:rPr>
        <w:t>applicant.</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The costs of determining the dispute (including the legal costs of either </w:t>
      </w:r>
      <w:r>
        <w:rPr>
          <w:spacing w:val="-6"/>
          <w:sz w:val="24"/>
        </w:rPr>
        <w:t>of </w:t>
      </w:r>
      <w:r>
        <w:rPr>
          <w:sz w:val="24"/>
        </w:rPr>
        <w:t>the parties) may be allocated by the </w:t>
      </w:r>
      <w:r>
        <w:rPr>
          <w:i/>
          <w:sz w:val="24"/>
        </w:rPr>
        <w:t>commercial arbitrator </w:t>
      </w:r>
      <w:r>
        <w:rPr>
          <w:sz w:val="24"/>
        </w:rPr>
        <w:t>for payment as between the parties as part of any</w:t>
      </w:r>
      <w:r>
        <w:rPr>
          <w:spacing w:val="-2"/>
          <w:sz w:val="24"/>
        </w:rPr>
        <w:t> </w:t>
      </w:r>
      <w:r>
        <w:rPr>
          <w:sz w:val="24"/>
        </w:rPr>
        <w:t>determination.</w:t>
      </w:r>
    </w:p>
    <w:p>
      <w:pPr>
        <w:pStyle w:val="ListParagraph"/>
        <w:numPr>
          <w:ilvl w:val="3"/>
          <w:numId w:val="195"/>
        </w:numPr>
        <w:tabs>
          <w:tab w:pos="1919" w:val="left" w:leader="none"/>
        </w:tabs>
        <w:spacing w:line="240" w:lineRule="auto" w:before="120" w:after="0"/>
        <w:ind w:left="1919" w:right="413" w:hanging="567"/>
        <w:jc w:val="both"/>
        <w:rPr>
          <w:sz w:val="24"/>
        </w:rPr>
      </w:pPr>
      <w:r>
        <w:rPr>
          <w:sz w:val="24"/>
        </w:rPr>
        <w:t>In deciding to allocate costs against one of the parties to the dispute, the </w:t>
      </w:r>
      <w:r>
        <w:rPr>
          <w:i/>
          <w:sz w:val="24"/>
        </w:rPr>
        <w:t>commercial arbitrator </w:t>
      </w:r>
      <w:r>
        <w:rPr>
          <w:sz w:val="24"/>
        </w:rPr>
        <w:t>may have regard to any relevant matters including (but not limited to) whether the conduct of that party unreasonably prolonged or escalated the dispute or otherwise increased the costs of resolving the</w:t>
      </w:r>
      <w:r>
        <w:rPr>
          <w:spacing w:val="-1"/>
          <w:sz w:val="24"/>
        </w:rPr>
        <w:t> </w:t>
      </w:r>
      <w:r>
        <w:rPr>
          <w:sz w:val="24"/>
        </w:rPr>
        <w:t>dispute.</w:t>
      </w:r>
    </w:p>
    <w:p>
      <w:pPr>
        <w:pStyle w:val="BodyText"/>
        <w:spacing w:before="10"/>
        <w:ind w:firstLine="0"/>
        <w:jc w:val="left"/>
        <w:rPr>
          <w:sz w:val="20"/>
        </w:rPr>
      </w:pPr>
    </w:p>
    <w:p>
      <w:pPr>
        <w:pStyle w:val="Heading4"/>
        <w:numPr>
          <w:ilvl w:val="2"/>
          <w:numId w:val="195"/>
        </w:numPr>
        <w:tabs>
          <w:tab w:pos="1351" w:val="left" w:leader="none"/>
          <w:tab w:pos="1352" w:val="left" w:leader="none"/>
        </w:tabs>
        <w:spacing w:line="240" w:lineRule="auto" w:before="0" w:after="0"/>
        <w:ind w:left="1352" w:right="1018" w:hanging="1134"/>
        <w:jc w:val="left"/>
      </w:pPr>
      <w:bookmarkStart w:name="5.5.8 Enforcement of agreement or determ" w:id="549"/>
      <w:bookmarkEnd w:id="549"/>
      <w:r>
        <w:rPr>
          <w:b w:val="0"/>
        </w:rPr>
      </w:r>
      <w:bookmarkStart w:name="_bookmark222" w:id="550"/>
      <w:bookmarkEnd w:id="550"/>
      <w:r>
        <w:rPr>
          <w:b w:val="0"/>
        </w:rPr>
      </w:r>
      <w:bookmarkStart w:name="_bookmark222" w:id="551"/>
      <w:bookmarkEnd w:id="551"/>
      <w:r>
        <w:rPr/>
        <w:t>Enforcement</w:t>
      </w:r>
      <w:r>
        <w:rPr/>
        <w:t> of agreement or determination and requirement for reasons</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Where the provider and the applicant reach agreement (whether or not the matter is before a </w:t>
      </w:r>
      <w:r>
        <w:rPr>
          <w:i/>
          <w:sz w:val="24"/>
        </w:rPr>
        <w:t>commercial arbitrator</w:t>
      </w:r>
      <w:r>
        <w:rPr>
          <w:sz w:val="24"/>
        </w:rPr>
        <w:t>), the parties may execute a written agreement recording their resolution of that</w:t>
      </w:r>
      <w:r>
        <w:rPr>
          <w:spacing w:val="-1"/>
          <w:sz w:val="24"/>
        </w:rPr>
        <w:t> </w:t>
      </w:r>
      <w:r>
        <w:rPr>
          <w:sz w:val="24"/>
        </w:rPr>
        <w:t>dispute.</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The </w:t>
      </w:r>
      <w:r>
        <w:rPr>
          <w:i/>
          <w:sz w:val="24"/>
        </w:rPr>
        <w:t>commercial arbitrator </w:t>
      </w:r>
      <w:r>
        <w:rPr>
          <w:sz w:val="24"/>
        </w:rPr>
        <w:t>must give its decision determining the dispute, together with its reasons for that decision, in writing and must provide a copy of its</w:t>
      </w:r>
      <w:r>
        <w:rPr>
          <w:spacing w:val="-1"/>
          <w:sz w:val="24"/>
        </w:rPr>
        <w:t> </w:t>
      </w:r>
      <w:r>
        <w:rPr>
          <w:sz w:val="24"/>
        </w:rPr>
        <w:t>determination:</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to the provider and to the applicant;</w:t>
      </w:r>
      <w:r>
        <w:rPr>
          <w:spacing w:val="-2"/>
          <w:sz w:val="24"/>
        </w:rPr>
        <w:t> </w:t>
      </w:r>
      <w:r>
        <w:rPr>
          <w:sz w:val="24"/>
        </w:rPr>
        <w:t>and</w:t>
      </w:r>
    </w:p>
    <w:p>
      <w:pPr>
        <w:pStyle w:val="ListParagraph"/>
        <w:numPr>
          <w:ilvl w:val="4"/>
          <w:numId w:val="195"/>
        </w:numPr>
        <w:tabs>
          <w:tab w:pos="2486" w:val="left" w:leader="none"/>
        </w:tabs>
        <w:spacing w:line="240" w:lineRule="auto" w:before="120" w:after="0"/>
        <w:ind w:left="2485" w:right="0" w:hanging="567"/>
        <w:jc w:val="both"/>
        <w:rPr>
          <w:sz w:val="24"/>
        </w:rPr>
      </w:pPr>
      <w:r>
        <w:rPr>
          <w:sz w:val="24"/>
        </w:rPr>
        <w:t>(except</w:t>
      </w:r>
      <w:r>
        <w:rPr>
          <w:spacing w:val="28"/>
          <w:sz w:val="24"/>
        </w:rPr>
        <w:t> </w:t>
      </w:r>
      <w:r>
        <w:rPr>
          <w:sz w:val="24"/>
        </w:rPr>
        <w:t>to</w:t>
      </w:r>
      <w:r>
        <w:rPr>
          <w:spacing w:val="29"/>
          <w:sz w:val="24"/>
        </w:rPr>
        <w:t> </w:t>
      </w:r>
      <w:r>
        <w:rPr>
          <w:sz w:val="24"/>
        </w:rPr>
        <w:t>the</w:t>
      </w:r>
      <w:r>
        <w:rPr>
          <w:spacing w:val="29"/>
          <w:sz w:val="24"/>
        </w:rPr>
        <w:t> </w:t>
      </w:r>
      <w:r>
        <w:rPr>
          <w:sz w:val="24"/>
        </w:rPr>
        <w:t>extent</w:t>
      </w:r>
      <w:r>
        <w:rPr>
          <w:spacing w:val="28"/>
          <w:sz w:val="24"/>
        </w:rPr>
        <w:t> </w:t>
      </w:r>
      <w:r>
        <w:rPr>
          <w:sz w:val="24"/>
        </w:rPr>
        <w:t>that</w:t>
      </w:r>
      <w:r>
        <w:rPr>
          <w:spacing w:val="29"/>
          <w:sz w:val="24"/>
        </w:rPr>
        <w:t> </w:t>
      </w:r>
      <w:r>
        <w:rPr>
          <w:sz w:val="24"/>
        </w:rPr>
        <w:t>it</w:t>
      </w:r>
      <w:r>
        <w:rPr>
          <w:spacing w:val="28"/>
          <w:sz w:val="24"/>
        </w:rPr>
        <w:t> </w:t>
      </w:r>
      <w:r>
        <w:rPr>
          <w:sz w:val="24"/>
        </w:rPr>
        <w:t>contains</w:t>
      </w:r>
      <w:r>
        <w:rPr>
          <w:spacing w:val="30"/>
          <w:sz w:val="24"/>
        </w:rPr>
        <w:t> </w:t>
      </w:r>
      <w:r>
        <w:rPr>
          <w:sz w:val="24"/>
        </w:rPr>
        <w:t>confidential</w:t>
      </w:r>
      <w:r>
        <w:rPr>
          <w:spacing w:val="29"/>
          <w:sz w:val="24"/>
        </w:rPr>
        <w:t> </w:t>
      </w:r>
      <w:r>
        <w:rPr>
          <w:sz w:val="24"/>
        </w:rPr>
        <w:t>information)</w:t>
      </w:r>
      <w:r>
        <w:rPr>
          <w:spacing w:val="28"/>
          <w:sz w:val="24"/>
        </w:rPr>
        <w:t> </w:t>
      </w:r>
      <w:r>
        <w:rPr>
          <w:sz w:val="24"/>
        </w:rPr>
        <w:t>to</w:t>
      </w:r>
      <w:r>
        <w:rPr>
          <w:spacing w:val="30"/>
          <w:sz w:val="24"/>
        </w:rPr>
        <w:t> </w:t>
      </w:r>
      <w:r>
        <w:rPr>
          <w:sz w:val="24"/>
        </w:rPr>
        <w:t>the</w:t>
      </w:r>
    </w:p>
    <w:p>
      <w:pPr>
        <w:pStyle w:val="BodyText"/>
        <w:spacing w:before="0"/>
        <w:ind w:left="2486" w:firstLine="0"/>
      </w:pPr>
      <w:r>
        <w:rPr>
          <w:i/>
        </w:rPr>
        <w:t>AER </w:t>
      </w:r>
      <w:r>
        <w:rPr/>
        <w:t>for publication.</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An agreement that is executed under paragraph (a) and a determination of the </w:t>
      </w:r>
      <w:r>
        <w:rPr>
          <w:i/>
          <w:sz w:val="24"/>
        </w:rPr>
        <w:t>commercial arbitrator </w:t>
      </w:r>
      <w:r>
        <w:rPr>
          <w:sz w:val="24"/>
        </w:rPr>
        <w:t>under paragraph (b) are binding on the provider and the applicant, and any failure to comply with such an agreement or determination is a breach of the </w:t>
      </w:r>
      <w:r>
        <w:rPr>
          <w:i/>
          <w:sz w:val="24"/>
        </w:rPr>
        <w:t>Rules </w:t>
      </w:r>
      <w:r>
        <w:rPr>
          <w:sz w:val="24"/>
        </w:rPr>
        <w:t>in respect of which the </w:t>
      </w:r>
      <w:r>
        <w:rPr>
          <w:i/>
          <w:sz w:val="24"/>
        </w:rPr>
        <w:t>AER </w:t>
      </w:r>
      <w:r>
        <w:rPr>
          <w:sz w:val="24"/>
        </w:rPr>
        <w:t>may take action in accordance with the </w:t>
      </w:r>
      <w:r>
        <w:rPr>
          <w:i/>
          <w:sz w:val="24"/>
        </w:rPr>
        <w:t>National Electricity</w:t>
      </w:r>
      <w:r>
        <w:rPr>
          <w:i/>
          <w:spacing w:val="-3"/>
          <w:sz w:val="24"/>
        </w:rPr>
        <w:t> </w:t>
      </w:r>
      <w:r>
        <w:rPr>
          <w:i/>
          <w:sz w:val="24"/>
        </w:rPr>
        <w:t>Law</w:t>
      </w:r>
      <w:r>
        <w:rPr>
          <w:sz w:val="24"/>
        </w:rPr>
        <w:t>.</w:t>
      </w:r>
    </w:p>
    <w:p>
      <w:pPr>
        <w:spacing w:after="0" w:line="240" w:lineRule="auto"/>
        <w:jc w:val="both"/>
        <w:rPr>
          <w:sz w:val="24"/>
        </w:rPr>
        <w:sectPr>
          <w:pgSz w:w="11910" w:h="16840"/>
          <w:pgMar w:header="686" w:footer="637" w:top="1320" w:bottom="820" w:left="1200" w:right="1000"/>
        </w:sectPr>
      </w:pPr>
    </w:p>
    <w:p>
      <w:pPr>
        <w:pStyle w:val="Heading4"/>
        <w:numPr>
          <w:ilvl w:val="2"/>
          <w:numId w:val="195"/>
        </w:numPr>
        <w:tabs>
          <w:tab w:pos="1351" w:val="left" w:leader="none"/>
          <w:tab w:pos="1352" w:val="left" w:leader="none"/>
        </w:tabs>
        <w:spacing w:line="240" w:lineRule="auto" w:before="83" w:after="0"/>
        <w:ind w:left="1351" w:right="0" w:hanging="1134"/>
        <w:jc w:val="left"/>
      </w:pPr>
      <w:bookmarkStart w:name="5.5.9 Miscellaneous" w:id="552"/>
      <w:bookmarkEnd w:id="552"/>
      <w:r>
        <w:rPr>
          <w:b w:val="0"/>
        </w:rPr>
      </w:r>
      <w:bookmarkStart w:name="_bookmark223" w:id="553"/>
      <w:bookmarkEnd w:id="553"/>
      <w:r>
        <w:rPr>
          <w:b w:val="0"/>
        </w:rPr>
      </w:r>
      <w:bookmarkStart w:name="_bookmark223" w:id="554"/>
      <w:bookmarkEnd w:id="554"/>
      <w:r>
        <w:rPr/>
        <w:t>Miscellaneous</w:t>
      </w:r>
    </w:p>
    <w:p>
      <w:pPr>
        <w:pStyle w:val="ListParagraph"/>
        <w:numPr>
          <w:ilvl w:val="3"/>
          <w:numId w:val="195"/>
        </w:numPr>
        <w:tabs>
          <w:tab w:pos="1919" w:val="left" w:leader="none"/>
        </w:tabs>
        <w:spacing w:line="240" w:lineRule="auto" w:before="120" w:after="0"/>
        <w:ind w:left="1919" w:right="415" w:hanging="567"/>
        <w:jc w:val="both"/>
        <w:rPr>
          <w:sz w:val="24"/>
        </w:rPr>
      </w:pPr>
      <w:r>
        <w:rPr>
          <w:sz w:val="24"/>
        </w:rPr>
        <w:t>To the extent permitted by law, a person who is appointed as a </w:t>
      </w:r>
      <w:r>
        <w:rPr>
          <w:i/>
          <w:sz w:val="24"/>
        </w:rPr>
        <w:t>commercial </w:t>
      </w:r>
      <w:r>
        <w:rPr>
          <w:i/>
          <w:sz w:val="24"/>
        </w:rPr>
        <w:t>arbitrator </w:t>
      </w:r>
      <w:r>
        <w:rPr>
          <w:sz w:val="24"/>
        </w:rPr>
        <w:t>is not liable for any loss, damage or liability suffered or incurred by any person as a consequence of any act or omission of that person which was done in good faith in connection with the</w:t>
      </w:r>
      <w:r>
        <w:rPr>
          <w:spacing w:val="-2"/>
          <w:sz w:val="24"/>
        </w:rPr>
        <w:t> </w:t>
      </w:r>
      <w:r>
        <w:rPr>
          <w:sz w:val="24"/>
        </w:rPr>
        <w:t>dispute</w:t>
      </w:r>
    </w:p>
    <w:p>
      <w:pPr>
        <w:pStyle w:val="ListParagraph"/>
        <w:numPr>
          <w:ilvl w:val="3"/>
          <w:numId w:val="195"/>
        </w:numPr>
        <w:tabs>
          <w:tab w:pos="1919" w:val="left" w:leader="none"/>
        </w:tabs>
        <w:spacing w:line="240" w:lineRule="auto" w:before="120" w:after="0"/>
        <w:ind w:left="1919" w:right="414" w:hanging="567"/>
        <w:jc w:val="both"/>
        <w:rPr>
          <w:sz w:val="24"/>
        </w:rPr>
      </w:pPr>
      <w:r>
        <w:rPr>
          <w:sz w:val="24"/>
        </w:rPr>
        <w:t>A person who is appointed as a </w:t>
      </w:r>
      <w:r>
        <w:rPr>
          <w:i/>
          <w:sz w:val="24"/>
        </w:rPr>
        <w:t>commercial arbitrator </w:t>
      </w:r>
      <w:r>
        <w:rPr>
          <w:sz w:val="24"/>
        </w:rPr>
        <w:t>may, before acting in relation to the dispute, require the parties to the dispute (and any one of them) to execute a release and indemnity in relation to any loss, damage or liability that that person would, but for the release or indemnity, suffer or incur as a consequence of any act or omission done in good faith </w:t>
      </w:r>
      <w:r>
        <w:rPr>
          <w:spacing w:val="-7"/>
          <w:sz w:val="24"/>
        </w:rPr>
        <w:t>in </w:t>
      </w:r>
      <w:r>
        <w:rPr>
          <w:sz w:val="24"/>
        </w:rPr>
        <w:t>connection with the</w:t>
      </w:r>
      <w:r>
        <w:rPr>
          <w:spacing w:val="-2"/>
          <w:sz w:val="24"/>
        </w:rPr>
        <w:t> </w:t>
      </w:r>
      <w:r>
        <w:rPr>
          <w:sz w:val="24"/>
        </w:rPr>
        <w:t>dispute.</w:t>
      </w:r>
    </w:p>
    <w:p>
      <w:pPr>
        <w:pStyle w:val="BodyText"/>
        <w:spacing w:before="10"/>
        <w:ind w:firstLine="0"/>
        <w:jc w:val="left"/>
        <w:rPr>
          <w:sz w:val="20"/>
        </w:rPr>
      </w:pPr>
    </w:p>
    <w:p>
      <w:pPr>
        <w:pStyle w:val="Heading3"/>
        <w:numPr>
          <w:ilvl w:val="1"/>
          <w:numId w:val="196"/>
        </w:numPr>
        <w:tabs>
          <w:tab w:pos="581" w:val="left" w:leader="none"/>
          <w:tab w:pos="1423" w:val="left" w:leader="none"/>
        </w:tabs>
        <w:spacing w:line="240" w:lineRule="auto" w:before="0" w:after="0"/>
        <w:ind w:left="580" w:right="0" w:hanging="363"/>
        <w:jc w:val="left"/>
      </w:pPr>
      <w:bookmarkStart w:name="5.5A   [Deleted]" w:id="555"/>
      <w:bookmarkEnd w:id="555"/>
      <w:r>
        <w:rPr>
          <w:b w:val="0"/>
        </w:rPr>
      </w:r>
      <w:bookmarkStart w:name="_bookmark224" w:id="556"/>
      <w:bookmarkEnd w:id="556"/>
      <w:r>
        <w:rPr>
          <w:b w:val="0"/>
        </w:rPr>
      </w:r>
      <w:bookmarkStart w:name="_bookmark224" w:id="557"/>
      <w:bookmarkEnd w:id="557"/>
      <w:r>
        <w:rPr/>
        <w:t>A</w:t>
      </w:r>
      <w:r>
        <w:rPr/>
        <w:tab/>
        <w:t>[Deleted]</w:t>
      </w:r>
    </w:p>
    <w:p>
      <w:pPr>
        <w:tabs>
          <w:tab w:pos="1352" w:val="left" w:leader="none"/>
          <w:tab w:pos="9317" w:val="left" w:leader="none"/>
        </w:tabs>
        <w:spacing w:before="240"/>
        <w:ind w:left="218" w:right="0" w:firstLine="0"/>
        <w:jc w:val="left"/>
        <w:rPr>
          <w:rFonts w:ascii="Arial"/>
          <w:b/>
          <w:sz w:val="28"/>
        </w:rPr>
      </w:pPr>
      <w:bookmarkStart w:name="Part C Post-Connection Agreement matters" w:id="558"/>
      <w:bookmarkEnd w:id="558"/>
      <w:r>
        <w:rPr/>
      </w:r>
      <w:bookmarkStart w:name="_bookmark225" w:id="559"/>
      <w:bookmarkEnd w:id="559"/>
      <w:r>
        <w:rPr/>
      </w:r>
      <w:r>
        <w:rPr>
          <w:rFonts w:ascii="Arial"/>
          <w:b/>
          <w:sz w:val="28"/>
          <w:shd w:fill="D9D9D9" w:color="auto" w:val="clear"/>
        </w:rPr>
        <w:t>Part C</w:t>
        <w:tab/>
        <w:t>Post-Connection Agreement</w:t>
      </w:r>
      <w:r>
        <w:rPr>
          <w:rFonts w:ascii="Arial"/>
          <w:b/>
          <w:spacing w:val="-14"/>
          <w:sz w:val="28"/>
          <w:shd w:fill="D9D9D9" w:color="auto" w:val="clear"/>
        </w:rPr>
        <w:t> </w:t>
      </w:r>
      <w:r>
        <w:rPr>
          <w:rFonts w:ascii="Arial"/>
          <w:b/>
          <w:sz w:val="28"/>
          <w:shd w:fill="D9D9D9" w:color="auto" w:val="clear"/>
        </w:rPr>
        <w:t>matters</w:t>
        <w:tab/>
      </w:r>
    </w:p>
    <w:p>
      <w:pPr>
        <w:pStyle w:val="Heading3"/>
        <w:numPr>
          <w:ilvl w:val="1"/>
          <w:numId w:val="196"/>
        </w:numPr>
        <w:tabs>
          <w:tab w:pos="1351" w:val="left" w:leader="none"/>
          <w:tab w:pos="1353" w:val="left" w:leader="none"/>
        </w:tabs>
        <w:spacing w:line="240" w:lineRule="auto" w:before="240" w:after="0"/>
        <w:ind w:left="1352" w:right="0" w:hanging="1135"/>
        <w:jc w:val="left"/>
      </w:pPr>
      <w:bookmarkStart w:name="5.6 Design of Connected Equipment" w:id="560"/>
      <w:bookmarkEnd w:id="560"/>
      <w:r>
        <w:rPr>
          <w:b w:val="0"/>
        </w:rPr>
      </w:r>
      <w:bookmarkStart w:name="_bookmark226" w:id="561"/>
      <w:bookmarkEnd w:id="561"/>
      <w:r>
        <w:rPr>
          <w:b w:val="0"/>
        </w:rPr>
      </w:r>
      <w:bookmarkStart w:name="_bookmark226" w:id="562"/>
      <w:bookmarkEnd w:id="562"/>
      <w:r>
        <w:rPr/>
        <w:t>Desig</w:t>
      </w:r>
      <w:r>
        <w:rPr/>
        <w:t>n of Connected</w:t>
      </w:r>
      <w:r>
        <w:rPr>
          <w:spacing w:val="-3"/>
        </w:rPr>
        <w:t> </w:t>
      </w:r>
      <w:r>
        <w:rPr/>
        <w:t>Equipment</w:t>
      </w:r>
    </w:p>
    <w:p>
      <w:pPr>
        <w:pStyle w:val="Heading4"/>
        <w:numPr>
          <w:ilvl w:val="2"/>
          <w:numId w:val="196"/>
        </w:numPr>
        <w:tabs>
          <w:tab w:pos="1351" w:val="left" w:leader="none"/>
          <w:tab w:pos="1352" w:val="left" w:leader="none"/>
        </w:tabs>
        <w:spacing w:line="240" w:lineRule="auto" w:before="240" w:after="0"/>
        <w:ind w:left="1351" w:right="0" w:hanging="1134"/>
        <w:jc w:val="left"/>
      </w:pPr>
      <w:bookmarkStart w:name="5.6.1 Application" w:id="563"/>
      <w:bookmarkEnd w:id="563"/>
      <w:r>
        <w:rPr>
          <w:b w:val="0"/>
        </w:rPr>
      </w:r>
      <w:bookmarkStart w:name="_bookmark227" w:id="564"/>
      <w:bookmarkEnd w:id="564"/>
      <w:r>
        <w:rPr>
          <w:b w:val="0"/>
        </w:rPr>
      </w:r>
      <w:bookmarkStart w:name="_bookmark227" w:id="565"/>
      <w:bookmarkEnd w:id="565"/>
      <w:r>
        <w:rPr/>
        <w:t>Applicatio</w:t>
      </w:r>
      <w:r>
        <w:rPr/>
        <w:t>n</w:t>
      </w:r>
    </w:p>
    <w:p>
      <w:pPr>
        <w:pStyle w:val="BodyText"/>
        <w:ind w:left="1352" w:right="1379" w:firstLine="0"/>
        <w:jc w:val="left"/>
      </w:pPr>
      <w:r>
        <w:rPr/>
        <w:t>This rule 5.6 applies to new installations and modifications to existing installations that include alterations to existing </w:t>
      </w:r>
      <w:r>
        <w:rPr>
          <w:i/>
        </w:rPr>
        <w:t>generating plant</w:t>
      </w:r>
      <w:r>
        <w:rPr/>
        <w:t>,</w:t>
      </w:r>
      <w:r>
        <w:rPr>
          <w:spacing w:val="-3"/>
        </w:rPr>
        <w:t> </w:t>
      </w:r>
      <w:r>
        <w:rPr/>
        <w:t>after:</w:t>
      </w:r>
    </w:p>
    <w:p>
      <w:pPr>
        <w:pStyle w:val="ListParagraph"/>
        <w:numPr>
          <w:ilvl w:val="3"/>
          <w:numId w:val="196"/>
        </w:numPr>
        <w:tabs>
          <w:tab w:pos="1918" w:val="left" w:leader="none"/>
          <w:tab w:pos="1919" w:val="left" w:leader="none"/>
        </w:tabs>
        <w:spacing w:line="240" w:lineRule="auto" w:before="120" w:after="0"/>
        <w:ind w:left="1919" w:right="415" w:hanging="567"/>
        <w:jc w:val="left"/>
        <w:rPr>
          <w:sz w:val="24"/>
        </w:rPr>
      </w:pPr>
      <w:r>
        <w:rPr>
          <w:sz w:val="24"/>
        </w:rPr>
        <w:t>13 December 1998, in the case of installations located in </w:t>
      </w:r>
      <w:r>
        <w:rPr>
          <w:i/>
          <w:sz w:val="24"/>
        </w:rPr>
        <w:t>participating </w:t>
      </w:r>
      <w:r>
        <w:rPr>
          <w:i/>
          <w:sz w:val="24"/>
        </w:rPr>
        <w:t>jurisdictions </w:t>
      </w:r>
      <w:r>
        <w:rPr>
          <w:sz w:val="24"/>
        </w:rPr>
        <w:t>other than Tasmania and the Northern</w:t>
      </w:r>
      <w:r>
        <w:rPr>
          <w:spacing w:val="-2"/>
          <w:sz w:val="24"/>
        </w:rPr>
        <w:t> </w:t>
      </w:r>
      <w:r>
        <w:rPr>
          <w:sz w:val="24"/>
        </w:rPr>
        <w:t>Territory;</w:t>
      </w:r>
    </w:p>
    <w:p>
      <w:pPr>
        <w:pStyle w:val="ListParagraph"/>
        <w:numPr>
          <w:ilvl w:val="3"/>
          <w:numId w:val="196"/>
        </w:numPr>
        <w:tabs>
          <w:tab w:pos="1918" w:val="left" w:leader="none"/>
          <w:tab w:pos="1919" w:val="left" w:leader="none"/>
        </w:tabs>
        <w:spacing w:line="240" w:lineRule="auto" w:before="120" w:after="0"/>
        <w:ind w:left="1918" w:right="0" w:hanging="567"/>
        <w:jc w:val="left"/>
        <w:rPr>
          <w:sz w:val="24"/>
        </w:rPr>
      </w:pPr>
      <w:r>
        <w:rPr>
          <w:sz w:val="24"/>
        </w:rPr>
        <w:t>29 May 2005, in the case of installations located in Tasmania;</w:t>
      </w:r>
      <w:r>
        <w:rPr>
          <w:spacing w:val="-3"/>
          <w:sz w:val="24"/>
        </w:rPr>
        <w:t> </w:t>
      </w:r>
      <w:r>
        <w:rPr>
          <w:sz w:val="24"/>
        </w:rPr>
        <w:t>and</w:t>
      </w:r>
    </w:p>
    <w:p>
      <w:pPr>
        <w:pStyle w:val="ListParagraph"/>
        <w:numPr>
          <w:ilvl w:val="3"/>
          <w:numId w:val="196"/>
        </w:numPr>
        <w:tabs>
          <w:tab w:pos="1918" w:val="left" w:leader="none"/>
          <w:tab w:pos="1919" w:val="left" w:leader="none"/>
        </w:tabs>
        <w:spacing w:line="240" w:lineRule="auto" w:before="120" w:after="0"/>
        <w:ind w:left="1918" w:right="0" w:hanging="567"/>
        <w:jc w:val="left"/>
        <w:rPr>
          <w:sz w:val="24"/>
        </w:rPr>
      </w:pPr>
      <w:r>
        <w:rPr>
          <w:sz w:val="24"/>
        </w:rPr>
        <w:t>1 July 2019 in the case of installations located in the Northern</w:t>
      </w:r>
      <w:r>
        <w:rPr>
          <w:spacing w:val="-5"/>
          <w:sz w:val="24"/>
        </w:rPr>
        <w:t> </w:t>
      </w:r>
      <w:r>
        <w:rPr>
          <w:sz w:val="24"/>
        </w:rPr>
        <w:t>Territory.</w:t>
      </w:r>
    </w:p>
    <w:p>
      <w:pPr>
        <w:pStyle w:val="BodyText"/>
        <w:spacing w:before="10"/>
        <w:ind w:firstLine="0"/>
        <w:jc w:val="left"/>
        <w:rPr>
          <w:sz w:val="20"/>
        </w:rPr>
      </w:pPr>
    </w:p>
    <w:p>
      <w:pPr>
        <w:pStyle w:val="Heading4"/>
        <w:numPr>
          <w:ilvl w:val="2"/>
          <w:numId w:val="196"/>
        </w:numPr>
        <w:tabs>
          <w:tab w:pos="1351" w:val="left" w:leader="none"/>
          <w:tab w:pos="1352" w:val="left" w:leader="none"/>
        </w:tabs>
        <w:spacing w:line="240" w:lineRule="auto" w:before="0" w:after="0"/>
        <w:ind w:left="1351" w:right="0" w:hanging="1134"/>
        <w:jc w:val="left"/>
      </w:pPr>
      <w:bookmarkStart w:name="5.6.2 Advice of inconsistencies" w:id="566"/>
      <w:bookmarkEnd w:id="566"/>
      <w:r>
        <w:rPr>
          <w:b w:val="0"/>
        </w:rPr>
      </w:r>
      <w:bookmarkStart w:name="_bookmark228" w:id="567"/>
      <w:bookmarkEnd w:id="567"/>
      <w:r>
        <w:rPr>
          <w:b w:val="0"/>
        </w:rPr>
      </w:r>
      <w:bookmarkStart w:name="_bookmark228" w:id="568"/>
      <w:bookmarkEnd w:id="568"/>
      <w:r>
        <w:rPr/>
        <w:t>Advic</w:t>
      </w:r>
      <w:r>
        <w:rPr/>
        <w:t>e of</w:t>
      </w:r>
      <w:r>
        <w:rPr>
          <w:spacing w:val="-2"/>
        </w:rPr>
        <w:t> </w:t>
      </w:r>
      <w:r>
        <w:rPr/>
        <w:t>inconsistencies</w:t>
      </w:r>
    </w:p>
    <w:p>
      <w:pPr>
        <w:pStyle w:val="ListParagraph"/>
        <w:numPr>
          <w:ilvl w:val="3"/>
          <w:numId w:val="196"/>
        </w:numPr>
        <w:tabs>
          <w:tab w:pos="1919" w:val="left" w:leader="none"/>
        </w:tabs>
        <w:spacing w:line="240" w:lineRule="auto" w:before="120" w:after="0"/>
        <w:ind w:left="1919" w:right="415" w:hanging="567"/>
        <w:jc w:val="both"/>
        <w:rPr>
          <w:sz w:val="24"/>
        </w:rPr>
      </w:pPr>
      <w:r>
        <w:rPr>
          <w:sz w:val="24"/>
        </w:rPr>
        <w:t>At any stage prior to commissioning the </w:t>
      </w:r>
      <w:r>
        <w:rPr>
          <w:i/>
          <w:sz w:val="24"/>
        </w:rPr>
        <w:t>facility </w:t>
      </w:r>
      <w:r>
        <w:rPr>
          <w:sz w:val="24"/>
        </w:rPr>
        <w:t>in respect of a </w:t>
      </w:r>
      <w:r>
        <w:rPr>
          <w:i/>
          <w:sz w:val="24"/>
        </w:rPr>
        <w:t>connection </w:t>
      </w:r>
      <w:r>
        <w:rPr>
          <w:sz w:val="24"/>
        </w:rPr>
        <w:t>if there is an inconsistency between the proposed equipment and the </w:t>
      </w:r>
      <w:r>
        <w:rPr>
          <w:i/>
          <w:sz w:val="24"/>
        </w:rPr>
        <w:t>connection agreement </w:t>
      </w:r>
      <w:r>
        <w:rPr>
          <w:sz w:val="24"/>
        </w:rPr>
        <w:t>including the </w:t>
      </w:r>
      <w:r>
        <w:rPr>
          <w:i/>
          <w:sz w:val="24"/>
        </w:rPr>
        <w:t>performance standards</w:t>
      </w:r>
      <w:r>
        <w:rPr>
          <w:sz w:val="24"/>
        </w:rPr>
        <w:t>, the </w:t>
      </w:r>
      <w:r>
        <w:rPr>
          <w:i/>
          <w:sz w:val="24"/>
        </w:rPr>
        <w:t>Registered </w:t>
      </w:r>
      <w:r>
        <w:rPr>
          <w:i/>
          <w:sz w:val="24"/>
        </w:rPr>
        <w:t>Participant </w:t>
      </w:r>
      <w:r>
        <w:rPr>
          <w:sz w:val="24"/>
        </w:rPr>
        <w:t>or the person intending to be registered as a </w:t>
      </w:r>
      <w:r>
        <w:rPr>
          <w:i/>
          <w:sz w:val="24"/>
        </w:rPr>
        <w:t>Generator</w:t>
      </w:r>
      <w:r>
        <w:rPr>
          <w:i/>
          <w:spacing w:val="-8"/>
          <w:sz w:val="24"/>
        </w:rPr>
        <w:t> </w:t>
      </w:r>
      <w:r>
        <w:rPr>
          <w:sz w:val="24"/>
        </w:rPr>
        <w:t>must:</w:t>
      </w:r>
    </w:p>
    <w:p>
      <w:pPr>
        <w:pStyle w:val="ListParagraph"/>
        <w:numPr>
          <w:ilvl w:val="4"/>
          <w:numId w:val="196"/>
        </w:numPr>
        <w:tabs>
          <w:tab w:pos="2486" w:val="left" w:leader="none"/>
        </w:tabs>
        <w:spacing w:line="240" w:lineRule="auto" w:before="120" w:after="0"/>
        <w:ind w:left="2486" w:right="415" w:hanging="567"/>
        <w:jc w:val="both"/>
        <w:rPr>
          <w:sz w:val="24"/>
        </w:rPr>
      </w:pPr>
      <w:r>
        <w:rPr>
          <w:sz w:val="24"/>
        </w:rPr>
        <w:t>advise the relevant </w:t>
      </w:r>
      <w:r>
        <w:rPr>
          <w:i/>
          <w:sz w:val="24"/>
        </w:rPr>
        <w:t>Network Service Provider </w:t>
      </w:r>
      <w:r>
        <w:rPr>
          <w:sz w:val="24"/>
        </w:rPr>
        <w:t>and, if the inconsistency relates to </w:t>
      </w:r>
      <w:r>
        <w:rPr>
          <w:i/>
          <w:sz w:val="24"/>
        </w:rPr>
        <w:t>performance standards</w:t>
      </w:r>
      <w:r>
        <w:rPr>
          <w:sz w:val="24"/>
        </w:rPr>
        <w:t>, </w:t>
      </w:r>
      <w:r>
        <w:rPr>
          <w:i/>
          <w:sz w:val="24"/>
        </w:rPr>
        <w:t>NTESMO</w:t>
      </w:r>
      <w:r>
        <w:rPr>
          <w:sz w:val="24"/>
        </w:rPr>
        <w:t>, in writing of the inconsistency;</w:t>
      </w:r>
      <w:r>
        <w:rPr>
          <w:spacing w:val="-1"/>
          <w:sz w:val="24"/>
        </w:rPr>
        <w:t> </w:t>
      </w:r>
      <w:r>
        <w:rPr>
          <w:sz w:val="24"/>
        </w:rPr>
        <w:t>and</w:t>
      </w:r>
    </w:p>
    <w:p>
      <w:pPr>
        <w:pStyle w:val="ListParagraph"/>
        <w:numPr>
          <w:ilvl w:val="4"/>
          <w:numId w:val="196"/>
        </w:numPr>
        <w:tabs>
          <w:tab w:pos="2486" w:val="left" w:leader="none"/>
        </w:tabs>
        <w:spacing w:line="240" w:lineRule="auto" w:before="120" w:after="0"/>
        <w:ind w:left="2486" w:right="416" w:hanging="567"/>
        <w:jc w:val="both"/>
        <w:rPr>
          <w:sz w:val="24"/>
        </w:rPr>
      </w:pPr>
      <w:r>
        <w:rPr>
          <w:sz w:val="24"/>
        </w:rPr>
        <w:t>if necessary, negotiate in good faith with the </w:t>
      </w:r>
      <w:r>
        <w:rPr>
          <w:i/>
          <w:sz w:val="24"/>
        </w:rPr>
        <w:t>Network Service </w:t>
      </w:r>
      <w:r>
        <w:rPr>
          <w:i/>
          <w:sz w:val="24"/>
        </w:rPr>
        <w:t>Provider </w:t>
      </w:r>
      <w:r>
        <w:rPr>
          <w:sz w:val="24"/>
        </w:rPr>
        <w:t>any necessary changes to the </w:t>
      </w:r>
      <w:r>
        <w:rPr>
          <w:i/>
          <w:sz w:val="24"/>
        </w:rPr>
        <w:t>connection</w:t>
      </w:r>
      <w:r>
        <w:rPr>
          <w:i/>
          <w:spacing w:val="-2"/>
          <w:sz w:val="24"/>
        </w:rPr>
        <w:t> </w:t>
      </w:r>
      <w:r>
        <w:rPr>
          <w:i/>
          <w:sz w:val="24"/>
        </w:rPr>
        <w:t>agreement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6"/>
        </w:numPr>
        <w:tabs>
          <w:tab w:pos="1919" w:val="left" w:leader="none"/>
        </w:tabs>
        <w:spacing w:line="240" w:lineRule="auto" w:before="120" w:after="0"/>
        <w:ind w:left="1919" w:right="414" w:hanging="567"/>
        <w:jc w:val="both"/>
        <w:rPr>
          <w:sz w:val="24"/>
        </w:rPr>
      </w:pPr>
      <w:r>
        <w:rPr>
          <w:sz w:val="24"/>
        </w:rPr>
        <w:t>If an inconsistency in a </w:t>
      </w:r>
      <w:r>
        <w:rPr>
          <w:i/>
          <w:sz w:val="24"/>
        </w:rPr>
        <w:t>connection agreement </w:t>
      </w:r>
      <w:r>
        <w:rPr>
          <w:sz w:val="24"/>
        </w:rPr>
        <w:t>including a </w:t>
      </w:r>
      <w:r>
        <w:rPr>
          <w:i/>
          <w:sz w:val="24"/>
        </w:rPr>
        <w:t>performance </w:t>
      </w:r>
      <w:r>
        <w:rPr>
          <w:i/>
          <w:sz w:val="24"/>
        </w:rPr>
        <w:t>standard </w:t>
      </w:r>
      <w:r>
        <w:rPr>
          <w:sz w:val="24"/>
        </w:rPr>
        <w:t>is identified under paragraph (a), the </w:t>
      </w:r>
      <w:r>
        <w:rPr>
          <w:i/>
          <w:sz w:val="24"/>
        </w:rPr>
        <w:t>Registered Participant </w:t>
      </w:r>
      <w:r>
        <w:rPr>
          <w:sz w:val="24"/>
        </w:rPr>
        <w:t>or the person intending to be registered as a </w:t>
      </w:r>
      <w:r>
        <w:rPr>
          <w:i/>
          <w:sz w:val="24"/>
        </w:rPr>
        <w:t>Generator </w:t>
      </w:r>
      <w:r>
        <w:rPr>
          <w:sz w:val="24"/>
        </w:rPr>
        <w:t>and the </w:t>
      </w:r>
      <w:r>
        <w:rPr>
          <w:i/>
          <w:sz w:val="24"/>
        </w:rPr>
        <w:t>Network Service </w:t>
      </w:r>
      <w:r>
        <w:rPr>
          <w:i/>
          <w:sz w:val="24"/>
        </w:rPr>
        <w:t>Provider </w:t>
      </w:r>
      <w:r>
        <w:rPr>
          <w:sz w:val="24"/>
        </w:rPr>
        <w:t>must not commission the </w:t>
      </w:r>
      <w:r>
        <w:rPr>
          <w:i/>
          <w:sz w:val="24"/>
        </w:rPr>
        <w:t>facility </w:t>
      </w:r>
      <w:r>
        <w:rPr>
          <w:sz w:val="24"/>
        </w:rPr>
        <w:t>in respect of a </w:t>
      </w:r>
      <w:r>
        <w:rPr>
          <w:i/>
          <w:sz w:val="24"/>
        </w:rPr>
        <w:t>connection </w:t>
      </w:r>
      <w:r>
        <w:rPr>
          <w:sz w:val="24"/>
        </w:rPr>
        <w:t>unless the </w:t>
      </w:r>
      <w:r>
        <w:rPr>
          <w:i/>
          <w:sz w:val="24"/>
        </w:rPr>
        <w:t>facility </w:t>
      </w:r>
      <w:r>
        <w:rPr>
          <w:sz w:val="24"/>
        </w:rPr>
        <w:t>or the </w:t>
      </w:r>
      <w:r>
        <w:rPr>
          <w:i/>
          <w:sz w:val="24"/>
        </w:rPr>
        <w:t>connection agreement </w:t>
      </w:r>
      <w:r>
        <w:rPr>
          <w:sz w:val="24"/>
        </w:rPr>
        <w:t>or </w:t>
      </w:r>
      <w:r>
        <w:rPr>
          <w:i/>
          <w:sz w:val="24"/>
        </w:rPr>
        <w:t>performance standard </w:t>
      </w:r>
      <w:r>
        <w:rPr>
          <w:sz w:val="24"/>
        </w:rPr>
        <w:t>has been varied to remove the</w:t>
      </w:r>
      <w:r>
        <w:rPr>
          <w:spacing w:val="-2"/>
          <w:sz w:val="24"/>
        </w:rPr>
        <w:t> </w:t>
      </w:r>
      <w:r>
        <w:rPr>
          <w:sz w:val="24"/>
        </w:rPr>
        <w:t>inconsistency.</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Heading4"/>
        <w:numPr>
          <w:ilvl w:val="3"/>
          <w:numId w:val="196"/>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BodyText"/>
        <w:spacing w:before="10"/>
        <w:ind w:firstLine="0"/>
        <w:jc w:val="left"/>
        <w:rPr>
          <w:b/>
          <w:sz w:val="20"/>
        </w:rPr>
      </w:pPr>
    </w:p>
    <w:p>
      <w:pPr>
        <w:pStyle w:val="Heading4"/>
        <w:numPr>
          <w:ilvl w:val="2"/>
          <w:numId w:val="196"/>
        </w:numPr>
        <w:tabs>
          <w:tab w:pos="1351" w:val="left" w:leader="none"/>
          <w:tab w:pos="1352" w:val="left" w:leader="none"/>
        </w:tabs>
        <w:spacing w:line="240" w:lineRule="auto" w:before="0" w:after="0"/>
        <w:ind w:left="1351" w:right="0" w:hanging="1134"/>
        <w:jc w:val="left"/>
      </w:pPr>
      <w:bookmarkStart w:name="5.6.3 Additional information" w:id="569"/>
      <w:bookmarkEnd w:id="569"/>
      <w:r>
        <w:rPr>
          <w:b w:val="0"/>
        </w:rPr>
      </w:r>
      <w:bookmarkStart w:name="_bookmark229" w:id="570"/>
      <w:bookmarkEnd w:id="570"/>
      <w:r>
        <w:rPr>
          <w:b w:val="0"/>
        </w:rPr>
      </w:r>
      <w:bookmarkStart w:name="_bookmark229" w:id="571"/>
      <w:bookmarkEnd w:id="571"/>
      <w:r>
        <w:rPr/>
        <w:t>Additio</w:t>
      </w:r>
      <w:r>
        <w:rPr/>
        <w:t>nal</w:t>
      </w:r>
      <w:r>
        <w:rPr>
          <w:spacing w:val="-1"/>
        </w:rPr>
        <w:t> </w:t>
      </w:r>
      <w:r>
        <w:rPr/>
        <w:t>information</w:t>
      </w:r>
    </w:p>
    <w:p>
      <w:pPr>
        <w:spacing w:before="120"/>
        <w:ind w:left="1352" w:right="414" w:firstLine="0"/>
        <w:jc w:val="both"/>
        <w:rPr>
          <w:sz w:val="24"/>
        </w:rPr>
      </w:pPr>
      <w:r>
        <w:rPr>
          <w:sz w:val="24"/>
        </w:rPr>
        <w:t>A </w:t>
      </w:r>
      <w:r>
        <w:rPr>
          <w:i/>
          <w:sz w:val="24"/>
        </w:rPr>
        <w:t>Registered Participant </w:t>
      </w:r>
      <w:r>
        <w:rPr>
          <w:sz w:val="24"/>
        </w:rPr>
        <w:t>must provide any additional information in relation to its </w:t>
      </w:r>
      <w:r>
        <w:rPr>
          <w:i/>
          <w:sz w:val="24"/>
        </w:rPr>
        <w:t>plant </w:t>
      </w:r>
      <w:r>
        <w:rPr>
          <w:sz w:val="24"/>
        </w:rPr>
        <w:t>or associated equipment as the relevant </w:t>
      </w:r>
      <w:r>
        <w:rPr>
          <w:i/>
          <w:sz w:val="24"/>
        </w:rPr>
        <w:t>Network Service Provider </w:t>
      </w:r>
      <w:r>
        <w:rPr>
          <w:sz w:val="24"/>
        </w:rPr>
        <w:t>reasonably requests.</w:t>
      </w:r>
    </w:p>
    <w:p>
      <w:pPr>
        <w:pStyle w:val="BodyText"/>
        <w:spacing w:before="10"/>
        <w:ind w:firstLine="0"/>
        <w:jc w:val="left"/>
        <w:rPr>
          <w:sz w:val="20"/>
        </w:rPr>
      </w:pPr>
    </w:p>
    <w:p>
      <w:pPr>
        <w:pStyle w:val="Heading4"/>
        <w:numPr>
          <w:ilvl w:val="2"/>
          <w:numId w:val="196"/>
        </w:numPr>
        <w:tabs>
          <w:tab w:pos="1351" w:val="left" w:leader="none"/>
          <w:tab w:pos="1352" w:val="left" w:leader="none"/>
        </w:tabs>
        <w:spacing w:line="240" w:lineRule="auto" w:before="0" w:after="0"/>
        <w:ind w:left="1351" w:right="0" w:hanging="1134"/>
        <w:jc w:val="left"/>
      </w:pPr>
      <w:bookmarkStart w:name="5.6.4 Advice on possible non-compliance" w:id="572"/>
      <w:bookmarkEnd w:id="572"/>
      <w:r>
        <w:rPr>
          <w:b w:val="0"/>
        </w:rPr>
      </w:r>
      <w:bookmarkStart w:name="_bookmark230" w:id="573"/>
      <w:bookmarkEnd w:id="573"/>
      <w:r>
        <w:rPr>
          <w:b w:val="0"/>
        </w:rPr>
      </w:r>
      <w:bookmarkStart w:name="_bookmark230" w:id="574"/>
      <w:bookmarkEnd w:id="574"/>
      <w:r>
        <w:rPr/>
        <w:t>Advic</w:t>
      </w:r>
      <w:r>
        <w:rPr/>
        <w:t>e on possible</w:t>
      </w:r>
      <w:r>
        <w:rPr>
          <w:spacing w:val="-2"/>
        </w:rPr>
        <w:t> </w:t>
      </w:r>
      <w:r>
        <w:rPr/>
        <w:t>non-compliance</w:t>
      </w:r>
    </w:p>
    <w:p>
      <w:pPr>
        <w:pStyle w:val="ListParagraph"/>
        <w:numPr>
          <w:ilvl w:val="3"/>
          <w:numId w:val="196"/>
        </w:numPr>
        <w:tabs>
          <w:tab w:pos="1919" w:val="left" w:leader="none"/>
        </w:tabs>
        <w:spacing w:line="240" w:lineRule="auto" w:before="120" w:after="0"/>
        <w:ind w:left="1919" w:right="414" w:hanging="567"/>
        <w:jc w:val="both"/>
        <w:rPr>
          <w:sz w:val="24"/>
        </w:rPr>
      </w:pPr>
      <w:r>
        <w:rPr>
          <w:sz w:val="24"/>
        </w:rPr>
        <w:t>If the relevant </w:t>
      </w:r>
      <w:r>
        <w:rPr>
          <w:i/>
          <w:sz w:val="24"/>
        </w:rPr>
        <w:t>Network Service Provider </w:t>
      </w:r>
      <w:r>
        <w:rPr>
          <w:sz w:val="24"/>
        </w:rPr>
        <w:t>reasonably believes that the design of a proposed </w:t>
      </w:r>
      <w:r>
        <w:rPr>
          <w:i/>
          <w:sz w:val="24"/>
        </w:rPr>
        <w:t>facility </w:t>
      </w:r>
      <w:r>
        <w:rPr>
          <w:sz w:val="24"/>
        </w:rPr>
        <w:t>has potential to adversely and materially affect the performance of the </w:t>
      </w:r>
      <w:r>
        <w:rPr>
          <w:i/>
          <w:sz w:val="24"/>
        </w:rPr>
        <w:t>power system</w:t>
      </w:r>
      <w:r>
        <w:rPr>
          <w:sz w:val="24"/>
        </w:rPr>
        <w:t>, the </w:t>
      </w:r>
      <w:r>
        <w:rPr>
          <w:i/>
          <w:sz w:val="24"/>
        </w:rPr>
        <w:t>Network Service Provider </w:t>
      </w:r>
      <w:r>
        <w:rPr>
          <w:sz w:val="24"/>
        </w:rPr>
        <w:t>may require the </w:t>
      </w:r>
      <w:r>
        <w:rPr>
          <w:i/>
          <w:sz w:val="24"/>
        </w:rPr>
        <w:t>Registered Participant </w:t>
      </w:r>
      <w:r>
        <w:rPr>
          <w:sz w:val="24"/>
        </w:rPr>
        <w:t>to submit to it specified design information and drawings to enable the </w:t>
      </w:r>
      <w:r>
        <w:rPr>
          <w:i/>
          <w:sz w:val="24"/>
        </w:rPr>
        <w:t>Network Service Provider </w:t>
      </w:r>
      <w:r>
        <w:rPr>
          <w:sz w:val="24"/>
        </w:rPr>
        <w:t>to assess the performance of the </w:t>
      </w:r>
      <w:r>
        <w:rPr>
          <w:i/>
          <w:sz w:val="24"/>
        </w:rPr>
        <w:t>facility </w:t>
      </w:r>
      <w:r>
        <w:rPr>
          <w:sz w:val="24"/>
        </w:rPr>
        <w:t>in respect of its interaction with the </w:t>
      </w:r>
      <w:r>
        <w:rPr>
          <w:i/>
          <w:sz w:val="24"/>
        </w:rPr>
        <w:t>power</w:t>
      </w:r>
      <w:r>
        <w:rPr>
          <w:i/>
          <w:spacing w:val="-5"/>
          <w:sz w:val="24"/>
        </w:rPr>
        <w:t> </w:t>
      </w:r>
      <w:r>
        <w:rPr>
          <w:i/>
          <w:sz w:val="24"/>
        </w:rPr>
        <w:t>system</w:t>
      </w:r>
      <w:r>
        <w:rPr>
          <w:sz w:val="24"/>
        </w:rPr>
        <w:t>:</w:t>
      </w:r>
    </w:p>
    <w:p>
      <w:pPr>
        <w:pStyle w:val="ListParagraph"/>
        <w:numPr>
          <w:ilvl w:val="4"/>
          <w:numId w:val="196"/>
        </w:numPr>
        <w:tabs>
          <w:tab w:pos="2486" w:val="left" w:leader="none"/>
        </w:tabs>
        <w:spacing w:line="240" w:lineRule="auto" w:before="120" w:after="0"/>
        <w:ind w:left="2486" w:right="413" w:hanging="567"/>
        <w:jc w:val="both"/>
        <w:rPr>
          <w:sz w:val="24"/>
        </w:rPr>
      </w:pPr>
      <w:r>
        <w:rPr>
          <w:sz w:val="24"/>
        </w:rPr>
        <w:t>after the </w:t>
      </w:r>
      <w:r>
        <w:rPr>
          <w:i/>
          <w:sz w:val="24"/>
        </w:rPr>
        <w:t>Registered Participant </w:t>
      </w:r>
      <w:r>
        <w:rPr>
          <w:sz w:val="24"/>
        </w:rPr>
        <w:t>has entered into an agreement for </w:t>
      </w:r>
      <w:r>
        <w:rPr>
          <w:spacing w:val="-4"/>
          <w:sz w:val="24"/>
        </w:rPr>
        <w:t>the</w:t>
      </w:r>
      <w:r>
        <w:rPr>
          <w:spacing w:val="52"/>
          <w:sz w:val="24"/>
        </w:rPr>
        <w:t> </w:t>
      </w:r>
      <w:r>
        <w:rPr>
          <w:sz w:val="24"/>
        </w:rPr>
        <w:t>supply of </w:t>
      </w:r>
      <w:r>
        <w:rPr>
          <w:i/>
          <w:sz w:val="24"/>
        </w:rPr>
        <w:t>plant </w:t>
      </w:r>
      <w:r>
        <w:rPr>
          <w:sz w:val="24"/>
        </w:rPr>
        <w:t>or associated equipment to be connected;</w:t>
      </w:r>
      <w:r>
        <w:rPr>
          <w:spacing w:val="-4"/>
          <w:sz w:val="24"/>
        </w:rPr>
        <w:t> </w:t>
      </w:r>
      <w:r>
        <w:rPr>
          <w:sz w:val="24"/>
        </w:rPr>
        <w:t>and</w:t>
      </w:r>
    </w:p>
    <w:p>
      <w:pPr>
        <w:pStyle w:val="ListParagraph"/>
        <w:numPr>
          <w:ilvl w:val="4"/>
          <w:numId w:val="196"/>
        </w:numPr>
        <w:tabs>
          <w:tab w:pos="2486" w:val="left" w:leader="none"/>
        </w:tabs>
        <w:spacing w:line="240" w:lineRule="auto" w:before="120" w:after="0"/>
        <w:ind w:left="2486" w:right="416" w:hanging="567"/>
        <w:jc w:val="both"/>
        <w:rPr>
          <w:sz w:val="24"/>
        </w:rPr>
      </w:pPr>
      <w:r>
        <w:rPr>
          <w:sz w:val="24"/>
        </w:rPr>
        <w:t>when the relevant contractor's designs have progressed to a </w:t>
      </w:r>
      <w:r>
        <w:rPr>
          <w:spacing w:val="-3"/>
          <w:sz w:val="24"/>
        </w:rPr>
        <w:t>point </w:t>
      </w:r>
      <w:r>
        <w:rPr>
          <w:sz w:val="24"/>
        </w:rPr>
        <w:t>where preliminary designs are available but prior to manufacture of equipment.</w:t>
      </w:r>
    </w:p>
    <w:p>
      <w:pPr>
        <w:pStyle w:val="ListParagraph"/>
        <w:numPr>
          <w:ilvl w:val="3"/>
          <w:numId w:val="196"/>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within 40 </w:t>
      </w:r>
      <w:r>
        <w:rPr>
          <w:i/>
          <w:sz w:val="24"/>
        </w:rPr>
        <w:t>business days </w:t>
      </w:r>
      <w:r>
        <w:rPr>
          <w:sz w:val="24"/>
        </w:rPr>
        <w:t>of receipt of such information, use its reasonable endeavours to advise the </w:t>
      </w:r>
      <w:r>
        <w:rPr>
          <w:i/>
          <w:sz w:val="24"/>
        </w:rPr>
        <w:t>Registered </w:t>
      </w:r>
      <w:r>
        <w:rPr>
          <w:i/>
          <w:sz w:val="24"/>
        </w:rPr>
        <w:t>Participant </w:t>
      </w:r>
      <w:r>
        <w:rPr>
          <w:sz w:val="24"/>
        </w:rPr>
        <w:t>in writing of any design deficiencies which the </w:t>
      </w:r>
      <w:r>
        <w:rPr>
          <w:i/>
          <w:sz w:val="24"/>
        </w:rPr>
        <w:t>Network Service </w:t>
      </w:r>
      <w:r>
        <w:rPr>
          <w:i/>
          <w:sz w:val="24"/>
        </w:rPr>
        <w:t>Provider </w:t>
      </w:r>
      <w:r>
        <w:rPr>
          <w:sz w:val="24"/>
        </w:rPr>
        <w:t>believes would cause the design to be inconsistent with the </w:t>
      </w:r>
      <w:r>
        <w:rPr>
          <w:i/>
          <w:sz w:val="24"/>
        </w:rPr>
        <w:t>connection agreement </w:t>
      </w:r>
      <w:r>
        <w:rPr>
          <w:sz w:val="24"/>
        </w:rPr>
        <w:t>or the</w:t>
      </w:r>
      <w:r>
        <w:rPr>
          <w:spacing w:val="-1"/>
          <w:sz w:val="24"/>
        </w:rPr>
        <w:t> </w:t>
      </w:r>
      <w:r>
        <w:rPr>
          <w:i/>
          <w:sz w:val="24"/>
        </w:rPr>
        <w:t>Rules</w:t>
      </w:r>
      <w:r>
        <w:rPr>
          <w:sz w:val="24"/>
        </w:rPr>
        <w:t>.</w:t>
      </w:r>
    </w:p>
    <w:p>
      <w:pPr>
        <w:pStyle w:val="ListParagraph"/>
        <w:numPr>
          <w:ilvl w:val="3"/>
          <w:numId w:val="196"/>
        </w:numPr>
        <w:tabs>
          <w:tab w:pos="1919" w:val="left" w:leader="none"/>
        </w:tabs>
        <w:spacing w:line="240" w:lineRule="auto" w:before="120" w:after="0"/>
        <w:ind w:left="1919" w:right="414" w:hanging="567"/>
        <w:jc w:val="both"/>
        <w:rPr>
          <w:sz w:val="24"/>
        </w:rPr>
      </w:pPr>
      <w:r>
        <w:rPr>
          <w:sz w:val="24"/>
        </w:rPr>
        <w:t>Notwithstanding paragraph (b), it is the </w:t>
      </w:r>
      <w:r>
        <w:rPr>
          <w:i/>
          <w:sz w:val="24"/>
        </w:rPr>
        <w:t>Registered Participant's </w:t>
      </w:r>
      <w:r>
        <w:rPr>
          <w:sz w:val="24"/>
        </w:rPr>
        <w:t>sole responsibility to ensure that all </w:t>
      </w:r>
      <w:r>
        <w:rPr>
          <w:i/>
          <w:sz w:val="24"/>
        </w:rPr>
        <w:t>plant </w:t>
      </w:r>
      <w:r>
        <w:rPr>
          <w:sz w:val="24"/>
        </w:rPr>
        <w:t>and equipment associated with the </w:t>
      </w:r>
      <w:r>
        <w:rPr>
          <w:i/>
          <w:sz w:val="24"/>
        </w:rPr>
        <w:t>connection </w:t>
      </w:r>
      <w:r>
        <w:rPr>
          <w:sz w:val="24"/>
        </w:rPr>
        <w:t>complies with the </w:t>
      </w:r>
      <w:r>
        <w:rPr>
          <w:i/>
          <w:sz w:val="24"/>
        </w:rPr>
        <w:t>connection agreement </w:t>
      </w:r>
      <w:r>
        <w:rPr>
          <w:sz w:val="24"/>
        </w:rPr>
        <w:t>and the</w:t>
      </w:r>
      <w:r>
        <w:rPr>
          <w:spacing w:val="-3"/>
          <w:sz w:val="24"/>
        </w:rPr>
        <w:t> </w:t>
      </w:r>
      <w:r>
        <w:rPr>
          <w:i/>
          <w:sz w:val="24"/>
        </w:rPr>
        <w:t>Rules</w:t>
      </w:r>
      <w:r>
        <w:rPr>
          <w:sz w:val="24"/>
        </w:rPr>
        <w:t>.</w:t>
      </w:r>
    </w:p>
    <w:p>
      <w:pPr>
        <w:pStyle w:val="BodyText"/>
        <w:spacing w:before="10"/>
        <w:ind w:firstLine="0"/>
        <w:jc w:val="left"/>
        <w:rPr>
          <w:sz w:val="20"/>
        </w:rPr>
      </w:pPr>
    </w:p>
    <w:p>
      <w:pPr>
        <w:pStyle w:val="Heading3"/>
        <w:numPr>
          <w:ilvl w:val="1"/>
          <w:numId w:val="197"/>
        </w:numPr>
        <w:tabs>
          <w:tab w:pos="581" w:val="left" w:leader="none"/>
          <w:tab w:pos="1423" w:val="left" w:leader="none"/>
        </w:tabs>
        <w:spacing w:line="240" w:lineRule="auto" w:before="0" w:after="0"/>
        <w:ind w:left="580" w:right="0" w:hanging="363"/>
        <w:jc w:val="left"/>
      </w:pPr>
      <w:bookmarkStart w:name="5.6A   [Deleted]" w:id="575"/>
      <w:bookmarkEnd w:id="575"/>
      <w:r>
        <w:rPr>
          <w:b w:val="0"/>
        </w:rPr>
      </w:r>
      <w:bookmarkStart w:name="_bookmark231" w:id="576"/>
      <w:bookmarkEnd w:id="576"/>
      <w:r>
        <w:rPr>
          <w:b w:val="0"/>
        </w:rPr>
      </w:r>
      <w:bookmarkStart w:name="_bookmark231" w:id="577"/>
      <w:bookmarkEnd w:id="577"/>
      <w:r>
        <w:rPr/>
        <w:t>A</w:t>
      </w:r>
      <w:r>
        <w:rPr/>
        <w:tab/>
        <w:t>[Deleted]</w:t>
      </w:r>
    </w:p>
    <w:p>
      <w:pPr>
        <w:pStyle w:val="Heading3"/>
        <w:numPr>
          <w:ilvl w:val="1"/>
          <w:numId w:val="197"/>
        </w:numPr>
        <w:tabs>
          <w:tab w:pos="1351" w:val="left" w:leader="none"/>
          <w:tab w:pos="1353" w:val="left" w:leader="none"/>
        </w:tabs>
        <w:spacing w:line="240" w:lineRule="auto" w:before="240" w:after="0"/>
        <w:ind w:left="1352" w:right="0" w:hanging="1135"/>
        <w:jc w:val="left"/>
      </w:pPr>
      <w:bookmarkStart w:name="5.7 Inspection and Testing" w:id="578"/>
      <w:bookmarkEnd w:id="578"/>
      <w:r>
        <w:rPr>
          <w:b w:val="0"/>
        </w:rPr>
      </w:r>
      <w:bookmarkStart w:name="_bookmark232" w:id="579"/>
      <w:bookmarkEnd w:id="579"/>
      <w:r>
        <w:rPr>
          <w:b w:val="0"/>
        </w:rPr>
      </w:r>
      <w:bookmarkStart w:name="_bookmark232" w:id="580"/>
      <w:bookmarkEnd w:id="580"/>
      <w:r>
        <w:rPr/>
        <w:t>I</w:t>
      </w:r>
      <w:r>
        <w:rPr/>
        <w:t>nspection and</w:t>
      </w:r>
      <w:r>
        <w:rPr>
          <w:spacing w:val="-2"/>
        </w:rPr>
        <w:t> </w:t>
      </w:r>
      <w:r>
        <w:rPr/>
        <w:t>Testing</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7.1 Right of entry and inspection" w:id="581"/>
      <w:bookmarkEnd w:id="581"/>
      <w:r>
        <w:rPr>
          <w:b w:val="0"/>
        </w:rPr>
      </w:r>
      <w:bookmarkStart w:name="_bookmark233" w:id="582"/>
      <w:bookmarkEnd w:id="582"/>
      <w:r>
        <w:rPr>
          <w:b w:val="0"/>
        </w:rPr>
      </w:r>
      <w:bookmarkStart w:name="_bookmark233" w:id="583"/>
      <w:bookmarkEnd w:id="583"/>
      <w:r>
        <w:rPr/>
        <w:t>Righ</w:t>
      </w:r>
      <w:r>
        <w:rPr/>
        <w:t>t of entry and</w:t>
      </w:r>
      <w:r>
        <w:rPr>
          <w:spacing w:val="-4"/>
        </w:rPr>
        <w:t> </w:t>
      </w:r>
      <w:r>
        <w:rPr/>
        <w:t>inspection</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a </w:t>
      </w:r>
      <w:r>
        <w:rPr>
          <w:i/>
          <w:sz w:val="24"/>
        </w:rPr>
        <w:t>Registered Participant </w:t>
      </w:r>
      <w:r>
        <w:rPr>
          <w:sz w:val="24"/>
        </w:rPr>
        <w:t>who is party to a </w:t>
      </w:r>
      <w:r>
        <w:rPr>
          <w:i/>
          <w:sz w:val="24"/>
        </w:rPr>
        <w:t>connection agreement </w:t>
      </w:r>
      <w:r>
        <w:rPr>
          <w:sz w:val="24"/>
        </w:rPr>
        <w:t>reasonably believes that the other party to the </w:t>
      </w:r>
      <w:r>
        <w:rPr>
          <w:i/>
          <w:sz w:val="24"/>
        </w:rPr>
        <w:t>connection agreement </w:t>
      </w:r>
      <w:r>
        <w:rPr>
          <w:sz w:val="24"/>
        </w:rPr>
        <w:t>(being a party who is also a </w:t>
      </w:r>
      <w:r>
        <w:rPr>
          <w:i/>
          <w:sz w:val="24"/>
        </w:rPr>
        <w:t>Registered Participant</w:t>
      </w:r>
      <w:r>
        <w:rPr>
          <w:sz w:val="24"/>
        </w:rPr>
        <w:t>) is not complying with a technical provision of the </w:t>
      </w:r>
      <w:r>
        <w:rPr>
          <w:i/>
          <w:sz w:val="24"/>
        </w:rPr>
        <w:t>Rules </w:t>
      </w:r>
      <w:r>
        <w:rPr>
          <w:sz w:val="24"/>
        </w:rPr>
        <w:t>and that, as a consequence, the first </w:t>
      </w:r>
      <w:r>
        <w:rPr>
          <w:i/>
          <w:sz w:val="24"/>
        </w:rPr>
        <w:t>Registered Participant </w:t>
      </w:r>
      <w:r>
        <w:rPr>
          <w:sz w:val="24"/>
        </w:rPr>
        <w:t>is suffering, or is likely to suffer, a material adverse effect, then the first </w:t>
      </w:r>
      <w:r>
        <w:rPr>
          <w:i/>
          <w:sz w:val="24"/>
        </w:rPr>
        <w:t>Registered Participant </w:t>
      </w:r>
      <w:r>
        <w:rPr>
          <w:sz w:val="24"/>
        </w:rPr>
        <w:t>may enter the relevant </w:t>
      </w:r>
      <w:r>
        <w:rPr>
          <w:i/>
          <w:sz w:val="24"/>
        </w:rPr>
        <w:t>facility </w:t>
      </w:r>
      <w:r>
        <w:rPr>
          <w:sz w:val="24"/>
        </w:rPr>
        <w:t>at the </w:t>
      </w:r>
      <w:r>
        <w:rPr>
          <w:i/>
          <w:sz w:val="24"/>
        </w:rPr>
        <w:t>connection point </w:t>
      </w:r>
      <w:r>
        <w:rPr>
          <w:sz w:val="24"/>
        </w:rPr>
        <w:t>of the other </w:t>
      </w:r>
      <w:r>
        <w:rPr>
          <w:i/>
          <w:sz w:val="24"/>
        </w:rPr>
        <w:t>Registered Participant </w:t>
      </w:r>
      <w:r>
        <w:rPr>
          <w:sz w:val="24"/>
        </w:rPr>
        <w:t>in order to assess compliance by the other </w:t>
      </w:r>
      <w:r>
        <w:rPr>
          <w:i/>
          <w:sz w:val="24"/>
        </w:rPr>
        <w:t>Registered Participant </w:t>
      </w:r>
      <w:r>
        <w:rPr>
          <w:sz w:val="24"/>
        </w:rPr>
        <w:t>with its technical obligations under the</w:t>
      </w:r>
      <w:r>
        <w:rPr>
          <w:spacing w:val="-1"/>
          <w:sz w:val="24"/>
        </w:rPr>
        <w:t> </w:t>
      </w:r>
      <w:r>
        <w:rPr>
          <w:i/>
          <w:sz w:val="24"/>
        </w:rPr>
        <w:t>Rules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197"/>
        </w:numPr>
        <w:tabs>
          <w:tab w:pos="1919" w:val="left" w:leader="none"/>
        </w:tabs>
        <w:spacing w:line="240" w:lineRule="auto" w:before="83" w:after="0"/>
        <w:ind w:left="1919" w:right="414" w:hanging="567"/>
        <w:jc w:val="both"/>
        <w:rPr>
          <w:sz w:val="24"/>
        </w:rPr>
      </w:pPr>
      <w:r>
        <w:rPr>
          <w:sz w:val="24"/>
        </w:rPr>
        <w:t>A </w:t>
      </w:r>
      <w:r>
        <w:rPr>
          <w:i/>
          <w:sz w:val="24"/>
        </w:rPr>
        <w:t>Registered Participant </w:t>
      </w:r>
      <w:r>
        <w:rPr>
          <w:sz w:val="24"/>
        </w:rPr>
        <w:t>who wishes to inspect the </w:t>
      </w:r>
      <w:r>
        <w:rPr>
          <w:i/>
          <w:sz w:val="24"/>
        </w:rPr>
        <w:t>facilities </w:t>
      </w:r>
      <w:r>
        <w:rPr>
          <w:sz w:val="24"/>
        </w:rPr>
        <w:t>of another </w:t>
      </w:r>
      <w:r>
        <w:rPr>
          <w:i/>
          <w:sz w:val="24"/>
        </w:rPr>
        <w:t>Registered Participant </w:t>
      </w:r>
      <w:r>
        <w:rPr>
          <w:sz w:val="24"/>
        </w:rPr>
        <w:t>under clause 5.7.1(a) must give that other </w:t>
      </w:r>
      <w:r>
        <w:rPr>
          <w:i/>
          <w:sz w:val="24"/>
        </w:rPr>
        <w:t>Registered </w:t>
      </w:r>
      <w:r>
        <w:rPr>
          <w:i/>
          <w:sz w:val="24"/>
        </w:rPr>
        <w:t>Participant </w:t>
      </w:r>
      <w:r>
        <w:rPr>
          <w:sz w:val="24"/>
        </w:rPr>
        <w:t>at least 2 </w:t>
      </w:r>
      <w:r>
        <w:rPr>
          <w:i/>
          <w:sz w:val="24"/>
        </w:rPr>
        <w:t>business days </w:t>
      </w:r>
      <w:r>
        <w:rPr>
          <w:sz w:val="24"/>
        </w:rPr>
        <w:t>notice of its intention to carry out an inspection.</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notice given under clause 5.7.1(b) must include the following information:</w:t>
      </w:r>
    </w:p>
    <w:p>
      <w:pPr>
        <w:pStyle w:val="ListParagraph"/>
        <w:numPr>
          <w:ilvl w:val="4"/>
          <w:numId w:val="197"/>
        </w:numPr>
        <w:tabs>
          <w:tab w:pos="2485" w:val="left" w:leader="none"/>
          <w:tab w:pos="2486" w:val="left" w:leader="none"/>
        </w:tabs>
        <w:spacing w:line="240" w:lineRule="auto" w:before="120" w:after="0"/>
        <w:ind w:left="2486" w:right="416" w:hanging="567"/>
        <w:jc w:val="left"/>
        <w:rPr>
          <w:sz w:val="24"/>
        </w:rPr>
      </w:pPr>
      <w:r>
        <w:rPr>
          <w:sz w:val="24"/>
        </w:rPr>
        <w:t>the name of the </w:t>
      </w:r>
      <w:r>
        <w:rPr>
          <w:i/>
          <w:sz w:val="24"/>
        </w:rPr>
        <w:t>representative </w:t>
      </w:r>
      <w:r>
        <w:rPr>
          <w:sz w:val="24"/>
        </w:rPr>
        <w:t>who will be conducting the inspection on behalf of the </w:t>
      </w:r>
      <w:r>
        <w:rPr>
          <w:i/>
          <w:sz w:val="24"/>
        </w:rPr>
        <w:t>Registered</w:t>
      </w:r>
      <w:r>
        <w:rPr>
          <w:i/>
          <w:spacing w:val="-2"/>
          <w:sz w:val="24"/>
        </w:rPr>
        <w:t> </w:t>
      </w:r>
      <w:r>
        <w:rPr>
          <w:i/>
          <w:sz w:val="24"/>
        </w:rPr>
        <w:t>Participant</w:t>
      </w:r>
      <w:r>
        <w:rPr>
          <w:sz w:val="24"/>
        </w:rPr>
        <w:t>;</w:t>
      </w:r>
    </w:p>
    <w:p>
      <w:pPr>
        <w:pStyle w:val="ListParagraph"/>
        <w:numPr>
          <w:ilvl w:val="4"/>
          <w:numId w:val="197"/>
        </w:numPr>
        <w:tabs>
          <w:tab w:pos="2485" w:val="left" w:leader="none"/>
          <w:tab w:pos="2486" w:val="left" w:leader="none"/>
        </w:tabs>
        <w:spacing w:line="240" w:lineRule="auto" w:before="120" w:after="0"/>
        <w:ind w:left="2486" w:right="414" w:hanging="567"/>
        <w:jc w:val="left"/>
        <w:rPr>
          <w:sz w:val="24"/>
        </w:rPr>
      </w:pPr>
      <w:r>
        <w:rPr>
          <w:sz w:val="24"/>
        </w:rPr>
        <w:t>the time when the inspection will commence and the expected time when the inspection will conclude;</w:t>
      </w:r>
      <w:r>
        <w:rPr>
          <w:spacing w:val="-3"/>
          <w:sz w:val="24"/>
        </w:rPr>
        <w:t> </w:t>
      </w:r>
      <w:r>
        <w:rPr>
          <w:sz w:val="24"/>
        </w:rPr>
        <w:t>and</w:t>
      </w:r>
    </w:p>
    <w:p>
      <w:pPr>
        <w:pStyle w:val="ListParagraph"/>
        <w:numPr>
          <w:ilvl w:val="4"/>
          <w:numId w:val="197"/>
        </w:numPr>
        <w:tabs>
          <w:tab w:pos="2485" w:val="left" w:leader="none"/>
          <w:tab w:pos="2486" w:val="left" w:leader="none"/>
        </w:tabs>
        <w:spacing w:line="240" w:lineRule="auto" w:before="120" w:after="0"/>
        <w:ind w:left="2485" w:right="0" w:hanging="567"/>
        <w:jc w:val="left"/>
        <w:rPr>
          <w:sz w:val="24"/>
        </w:rPr>
      </w:pPr>
      <w:r>
        <w:rPr>
          <w:sz w:val="24"/>
        </w:rPr>
        <w:t>the nature of the suspected non-compliance with the</w:t>
      </w:r>
      <w:r>
        <w:rPr>
          <w:spacing w:val="-4"/>
          <w:sz w:val="24"/>
        </w:rPr>
        <w:t> </w:t>
      </w:r>
      <w:r>
        <w:rPr>
          <w:i/>
          <w:sz w:val="24"/>
        </w:rPr>
        <w:t>Rules</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Neither a </w:t>
      </w:r>
      <w:r>
        <w:rPr>
          <w:i/>
          <w:sz w:val="24"/>
        </w:rPr>
        <w:t>Registered Participant </w:t>
      </w:r>
      <w:r>
        <w:rPr>
          <w:sz w:val="24"/>
        </w:rPr>
        <w:t>nor </w:t>
      </w:r>
      <w:r>
        <w:rPr>
          <w:i/>
          <w:sz w:val="24"/>
        </w:rPr>
        <w:t>NTESMO </w:t>
      </w:r>
      <w:r>
        <w:rPr>
          <w:sz w:val="24"/>
        </w:rPr>
        <w:t>may carry out an </w:t>
      </w:r>
      <w:r>
        <w:rPr>
          <w:spacing w:val="-3"/>
          <w:sz w:val="24"/>
        </w:rPr>
        <w:t>inspection </w:t>
      </w:r>
      <w:r>
        <w:rPr>
          <w:sz w:val="24"/>
        </w:rPr>
        <w:t>under this rule 5.7 within 6 </w:t>
      </w:r>
      <w:r>
        <w:rPr>
          <w:i/>
          <w:sz w:val="24"/>
        </w:rPr>
        <w:t>months </w:t>
      </w:r>
      <w:r>
        <w:rPr>
          <w:sz w:val="24"/>
        </w:rPr>
        <w:t>of any previous inspection except for the purpose of verifying the performance of corrective action claimed to have been carried out in respect of a non-conformance observed and documented on the previous inspection or (in the case of </w:t>
      </w:r>
      <w:r>
        <w:rPr>
          <w:i/>
          <w:sz w:val="24"/>
        </w:rPr>
        <w:t>NTESMO</w:t>
      </w:r>
      <w:r>
        <w:rPr>
          <w:sz w:val="24"/>
        </w:rPr>
        <w:t>) for the purpose of reviewing an operating incident in accordance with any requirements under </w:t>
      </w:r>
      <w:r>
        <w:rPr>
          <w:i/>
          <w:sz w:val="24"/>
        </w:rPr>
        <w:t>jurisdictional electricity</w:t>
      </w:r>
      <w:r>
        <w:rPr>
          <w:i/>
          <w:spacing w:val="-1"/>
          <w:sz w:val="24"/>
        </w:rPr>
        <w:t> </w:t>
      </w:r>
      <w:r>
        <w:rPr>
          <w:i/>
          <w:sz w:val="24"/>
        </w:rPr>
        <w:t>legislation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requirements that will apply under </w:t>
      </w:r>
      <w:r>
        <w:rPr>
          <w:i/>
          <w:sz w:val="20"/>
        </w:rPr>
        <w:t>jurisdictional electricity legislation </w:t>
      </w:r>
      <w:r>
        <w:rPr>
          <w:sz w:val="20"/>
        </w:rPr>
        <w:t>for the purposes of paragraph (d) will be requirements that correspond to the matters set out in clause 4.8.15 in the </w:t>
      </w:r>
      <w:r>
        <w:rPr>
          <w:i/>
          <w:sz w:val="20"/>
        </w:rPr>
        <w:t>Rules </w:t>
      </w:r>
      <w:r>
        <w:rPr>
          <w:sz w:val="20"/>
        </w:rPr>
        <w:t>applying in other </w:t>
      </w:r>
      <w:r>
        <w:rPr>
          <w:i/>
          <w:sz w:val="20"/>
        </w:rPr>
        <w:t>participating jurisdictions</w:t>
      </w:r>
      <w:r>
        <w:rPr>
          <w:sz w:val="20"/>
        </w:rPr>
        <w:t>. The application of paragraph (d)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At any time when the </w:t>
      </w:r>
      <w:r>
        <w:rPr>
          <w:i/>
          <w:sz w:val="24"/>
        </w:rPr>
        <w:t>representative </w:t>
      </w:r>
      <w:r>
        <w:rPr>
          <w:sz w:val="24"/>
        </w:rPr>
        <w:t>of a </w:t>
      </w:r>
      <w:r>
        <w:rPr>
          <w:i/>
          <w:sz w:val="24"/>
        </w:rPr>
        <w:t>Registered Participant </w:t>
      </w:r>
      <w:r>
        <w:rPr>
          <w:sz w:val="24"/>
        </w:rPr>
        <w:t>is in another </w:t>
      </w:r>
      <w:r>
        <w:rPr>
          <w:i/>
          <w:sz w:val="24"/>
        </w:rPr>
        <w:t>Registered Participant's facility</w:t>
      </w:r>
      <w:r>
        <w:rPr>
          <w:sz w:val="24"/>
        </w:rPr>
        <w:t>, that </w:t>
      </w:r>
      <w:r>
        <w:rPr>
          <w:i/>
          <w:sz w:val="24"/>
        </w:rPr>
        <w:t>representative</w:t>
      </w:r>
      <w:r>
        <w:rPr>
          <w:i/>
          <w:spacing w:val="-4"/>
          <w:sz w:val="24"/>
        </w:rPr>
        <w:t> </w:t>
      </w:r>
      <w:r>
        <w:rPr>
          <w:sz w:val="24"/>
        </w:rPr>
        <w:t>must:</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cause no damage to the</w:t>
      </w:r>
      <w:r>
        <w:rPr>
          <w:spacing w:val="-2"/>
          <w:sz w:val="24"/>
        </w:rPr>
        <w:t> </w:t>
      </w:r>
      <w:r>
        <w:rPr>
          <w:i/>
          <w:sz w:val="24"/>
        </w:rPr>
        <w:t>facility</w:t>
      </w:r>
      <w:r>
        <w:rPr>
          <w:sz w:val="24"/>
        </w:rPr>
        <w: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only interfere with the operation of the </w:t>
      </w:r>
      <w:r>
        <w:rPr>
          <w:i/>
          <w:sz w:val="24"/>
        </w:rPr>
        <w:t>facility </w:t>
      </w:r>
      <w:r>
        <w:rPr>
          <w:sz w:val="24"/>
        </w:rPr>
        <w:t>to the extent reasonably necessary and approved by the relevant </w:t>
      </w:r>
      <w:r>
        <w:rPr>
          <w:i/>
          <w:sz w:val="24"/>
        </w:rPr>
        <w:t>Registered Participant </w:t>
      </w:r>
      <w:r>
        <w:rPr>
          <w:sz w:val="24"/>
        </w:rPr>
        <w:t>(such approval not to be unreasonably withheld or delayed);</w:t>
      </w:r>
      <w:r>
        <w:rPr>
          <w:spacing w:val="-3"/>
          <w:sz w:val="24"/>
        </w:rPr>
        <w:t> </w:t>
      </w:r>
      <w:r>
        <w:rPr>
          <w:sz w:val="24"/>
        </w:rPr>
        <w:t>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observe "permit to test" access to sites and clearance protocols of the operator of the </w:t>
      </w:r>
      <w:r>
        <w:rPr>
          <w:i/>
          <w:sz w:val="24"/>
        </w:rPr>
        <w:t>facility</w:t>
      </w:r>
      <w:r>
        <w:rPr>
          <w:sz w:val="24"/>
        </w:rPr>
        <w:t>, provided that these are not used by the operator of the </w:t>
      </w:r>
      <w:r>
        <w:rPr>
          <w:i/>
          <w:sz w:val="24"/>
        </w:rPr>
        <w:t>facility </w:t>
      </w:r>
      <w:r>
        <w:rPr>
          <w:sz w:val="24"/>
        </w:rPr>
        <w:t>solely to delay the granting of access to site and inspection.</w:t>
      </w:r>
    </w:p>
    <w:p>
      <w:pPr>
        <w:pStyle w:val="ListParagraph"/>
        <w:numPr>
          <w:ilvl w:val="3"/>
          <w:numId w:val="197"/>
        </w:numPr>
        <w:tabs>
          <w:tab w:pos="1920" w:val="left" w:leader="none"/>
        </w:tabs>
        <w:spacing w:line="240" w:lineRule="auto" w:before="120" w:after="0"/>
        <w:ind w:left="1919" w:right="415" w:hanging="567"/>
        <w:jc w:val="both"/>
        <w:rPr>
          <w:sz w:val="24"/>
        </w:rPr>
      </w:pPr>
      <w:r>
        <w:rPr>
          <w:sz w:val="24"/>
        </w:rPr>
        <w:t>Any </w:t>
      </w:r>
      <w:r>
        <w:rPr>
          <w:i/>
          <w:sz w:val="24"/>
        </w:rPr>
        <w:t>representative </w:t>
      </w:r>
      <w:r>
        <w:rPr>
          <w:sz w:val="24"/>
        </w:rPr>
        <w:t>of a </w:t>
      </w:r>
      <w:r>
        <w:rPr>
          <w:i/>
          <w:sz w:val="24"/>
        </w:rPr>
        <w:t>Registered Participant </w:t>
      </w:r>
      <w:r>
        <w:rPr>
          <w:sz w:val="24"/>
        </w:rPr>
        <w:t>conducting an inspection under this clause 5.7.1 must be appropriately qualified to perform the relevant</w:t>
      </w:r>
      <w:r>
        <w:rPr>
          <w:spacing w:val="-1"/>
          <w:sz w:val="24"/>
        </w:rPr>
        <w:t> </w:t>
      </w:r>
      <w:r>
        <w:rPr>
          <w:sz w:val="24"/>
        </w:rPr>
        <w:t>inspection.</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The costs of inspections under this clause</w:t>
      </w:r>
      <w:r>
        <w:rPr>
          <w:spacing w:val="48"/>
          <w:sz w:val="24"/>
        </w:rPr>
        <w:t> </w:t>
      </w:r>
      <w:r>
        <w:rPr>
          <w:sz w:val="24"/>
        </w:rPr>
        <w:t>5.7.1 must be borne by the</w:t>
      </w:r>
    </w:p>
    <w:p>
      <w:pPr>
        <w:spacing w:before="0"/>
        <w:ind w:left="1919" w:right="0" w:firstLine="0"/>
        <w:jc w:val="both"/>
        <w:rPr>
          <w:sz w:val="24"/>
        </w:rPr>
      </w:pPr>
      <w:r>
        <w:rPr>
          <w:i/>
          <w:sz w:val="24"/>
        </w:rPr>
        <w:t>Registered Participant </w:t>
      </w:r>
      <w:r>
        <w:rPr>
          <w:sz w:val="24"/>
        </w:rPr>
        <w:t>requesting the inspection.</w:t>
      </w:r>
    </w:p>
    <w:p>
      <w:pPr>
        <w:pStyle w:val="ListParagraph"/>
        <w:numPr>
          <w:ilvl w:val="3"/>
          <w:numId w:val="197"/>
        </w:numPr>
        <w:tabs>
          <w:tab w:pos="1919" w:val="left" w:leader="none"/>
        </w:tabs>
        <w:spacing w:line="240" w:lineRule="auto" w:before="120" w:after="0"/>
        <w:ind w:left="1919" w:right="414" w:hanging="567"/>
        <w:jc w:val="both"/>
        <w:rPr>
          <w:sz w:val="24"/>
        </w:rPr>
      </w:pPr>
      <w:r>
        <w:rPr>
          <w:i/>
          <w:sz w:val="24"/>
        </w:rPr>
        <w:t>NTESMO </w:t>
      </w:r>
      <w:r>
        <w:rPr>
          <w:sz w:val="24"/>
        </w:rPr>
        <w:t>or any of its </w:t>
      </w:r>
      <w:r>
        <w:rPr>
          <w:i/>
          <w:sz w:val="24"/>
        </w:rPr>
        <w:t>representatives </w:t>
      </w:r>
      <w:r>
        <w:rPr>
          <w:sz w:val="24"/>
        </w:rPr>
        <w:t>may, in accordance with this rule 5.7, inspect a </w:t>
      </w:r>
      <w:r>
        <w:rPr>
          <w:i/>
          <w:sz w:val="24"/>
        </w:rPr>
        <w:t>facility </w:t>
      </w:r>
      <w:r>
        <w:rPr>
          <w:sz w:val="24"/>
        </w:rPr>
        <w:t>of a </w:t>
      </w:r>
      <w:r>
        <w:rPr>
          <w:i/>
          <w:sz w:val="24"/>
        </w:rPr>
        <w:t>Registered Participant </w:t>
      </w:r>
      <w:r>
        <w:rPr>
          <w:sz w:val="24"/>
        </w:rPr>
        <w:t>and the operation and maintenance of that </w:t>
      </w:r>
      <w:r>
        <w:rPr>
          <w:i/>
          <w:sz w:val="24"/>
        </w:rPr>
        <w:t>facility </w:t>
      </w:r>
      <w:r>
        <w:rPr>
          <w:sz w:val="24"/>
        </w:rPr>
        <w:t>in order</w:t>
      </w:r>
      <w:r>
        <w:rPr>
          <w:spacing w:val="-1"/>
          <w:sz w:val="24"/>
        </w:rPr>
        <w:t> </w:t>
      </w:r>
      <w:r>
        <w:rPr>
          <w:sz w:val="24"/>
        </w:rPr>
        <w:t>to:</w:t>
      </w:r>
    </w:p>
    <w:p>
      <w:pPr>
        <w:pStyle w:val="ListParagraph"/>
        <w:numPr>
          <w:ilvl w:val="4"/>
          <w:numId w:val="197"/>
        </w:numPr>
        <w:tabs>
          <w:tab w:pos="2486" w:val="left" w:leader="none"/>
        </w:tabs>
        <w:spacing w:line="240" w:lineRule="auto" w:before="120" w:after="0"/>
        <w:ind w:left="2486" w:right="416" w:hanging="567"/>
        <w:jc w:val="both"/>
        <w:rPr>
          <w:sz w:val="24"/>
        </w:rPr>
      </w:pPr>
      <w:r>
        <w:rPr>
          <w:sz w:val="24"/>
        </w:rPr>
        <w:t>assess compliance by the relevant </w:t>
      </w:r>
      <w:r>
        <w:rPr>
          <w:i/>
          <w:sz w:val="24"/>
        </w:rPr>
        <w:t>Registered Participant </w:t>
      </w:r>
      <w:r>
        <w:rPr>
          <w:sz w:val="24"/>
        </w:rPr>
        <w:t>with its operational obligations under </w:t>
      </w:r>
      <w:r>
        <w:rPr>
          <w:i/>
          <w:sz w:val="24"/>
        </w:rPr>
        <w:t>jurisdictional electricity</w:t>
      </w:r>
      <w:r>
        <w:rPr>
          <w:i/>
          <w:spacing w:val="-3"/>
          <w:sz w:val="24"/>
        </w:rPr>
        <w:t> </w:t>
      </w:r>
      <w:r>
        <w:rPr>
          <w:i/>
          <w:sz w:val="24"/>
        </w:rPr>
        <w:t>legislation</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197"/>
        </w:numPr>
        <w:tabs>
          <w:tab w:pos="2485" w:val="left" w:leader="none"/>
          <w:tab w:pos="2486" w:val="left" w:leader="none"/>
        </w:tabs>
        <w:spacing w:line="240" w:lineRule="auto" w:before="83" w:after="0"/>
        <w:ind w:left="2486" w:right="415" w:hanging="567"/>
        <w:jc w:val="left"/>
        <w:rPr>
          <w:sz w:val="24"/>
        </w:rPr>
      </w:pPr>
      <w:r>
        <w:rPr>
          <w:sz w:val="24"/>
        </w:rPr>
        <w:t>investigate any possible past or potential threat to </w:t>
      </w:r>
      <w:r>
        <w:rPr>
          <w:i/>
          <w:sz w:val="24"/>
        </w:rPr>
        <w:t>power system </w:t>
      </w:r>
      <w:r>
        <w:rPr>
          <w:i/>
          <w:sz w:val="24"/>
        </w:rPr>
        <w:t>security</w:t>
      </w:r>
      <w:r>
        <w:rPr>
          <w:sz w:val="24"/>
        </w:rPr>
        <w:t>;</w:t>
      </w:r>
      <w:r>
        <w:rPr>
          <w:spacing w:val="-2"/>
          <w:sz w:val="24"/>
        </w:rPr>
        <w:t> </w:t>
      </w:r>
      <w:r>
        <w:rPr>
          <w:sz w:val="24"/>
        </w:rPr>
        <w:t>or</w:t>
      </w:r>
    </w:p>
    <w:p>
      <w:pPr>
        <w:pStyle w:val="ListParagraph"/>
        <w:numPr>
          <w:ilvl w:val="4"/>
          <w:numId w:val="197"/>
        </w:numPr>
        <w:tabs>
          <w:tab w:pos="2485" w:val="left" w:leader="none"/>
          <w:tab w:pos="2486" w:val="left" w:leader="none"/>
        </w:tabs>
        <w:spacing w:line="240" w:lineRule="auto" w:before="120" w:after="0"/>
        <w:ind w:left="2486" w:right="414" w:hanging="567"/>
        <w:jc w:val="left"/>
        <w:rPr>
          <w:sz w:val="24"/>
        </w:rPr>
      </w:pPr>
      <w:r>
        <w:rPr>
          <w:sz w:val="24"/>
        </w:rPr>
        <w:t>conduct any periodic familiarisation or training associated with the operational requirements of the</w:t>
      </w:r>
      <w:r>
        <w:rPr>
          <w:spacing w:val="-1"/>
          <w:sz w:val="24"/>
        </w:rPr>
        <w:t> </w:t>
      </w:r>
      <w:r>
        <w:rPr>
          <w:i/>
          <w:sz w:val="24"/>
        </w:rPr>
        <w:t>facility</w:t>
      </w:r>
      <w:r>
        <w:rPr>
          <w:sz w:val="24"/>
        </w:rPr>
        <w:t>.</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operational obligations that will apply under </w:t>
      </w:r>
      <w:r>
        <w:rPr>
          <w:i/>
          <w:sz w:val="20"/>
        </w:rPr>
        <w:t>jurisdictional electricity legislation </w:t>
      </w:r>
      <w:r>
        <w:rPr>
          <w:sz w:val="20"/>
        </w:rPr>
        <w:t>for the purposes of paragraph (h)(1) will be operational obligations that correspond to those in Chapters 3 and 4 of the </w:t>
      </w:r>
      <w:r>
        <w:rPr>
          <w:i/>
          <w:sz w:val="20"/>
        </w:rPr>
        <w:t>Rules </w:t>
      </w:r>
      <w:r>
        <w:rPr>
          <w:sz w:val="20"/>
        </w:rPr>
        <w:t>applying in other </w:t>
      </w:r>
      <w:r>
        <w:rPr>
          <w:i/>
          <w:sz w:val="20"/>
        </w:rPr>
        <w:t>participating jurisdictions</w:t>
      </w:r>
      <w:r>
        <w:rPr>
          <w:sz w:val="20"/>
        </w:rPr>
        <w:t>. The application of paragraph (h)(1)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Any inspection under clause 5.7.1(a) or (h) must only be for so long as is reasonably</w:t>
      </w:r>
      <w:r>
        <w:rPr>
          <w:spacing w:val="-1"/>
          <w:sz w:val="24"/>
        </w:rPr>
        <w:t> </w:t>
      </w:r>
      <w:r>
        <w:rPr>
          <w:sz w:val="24"/>
        </w:rPr>
        <w:t>necessary.</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Any equipment or goods installed or left on land or in premises of </w:t>
      </w:r>
      <w:r>
        <w:rPr>
          <w:spacing w:val="-13"/>
          <w:sz w:val="24"/>
        </w:rPr>
        <w:t>a </w:t>
      </w:r>
      <w:r>
        <w:rPr>
          <w:i/>
          <w:sz w:val="24"/>
        </w:rPr>
        <w:t>Registered Participant </w:t>
      </w:r>
      <w:r>
        <w:rPr>
          <w:sz w:val="24"/>
        </w:rPr>
        <w:t>after an inspection conducted under clause 5.7.1 do not become the property of the relevant </w:t>
      </w:r>
      <w:r>
        <w:rPr>
          <w:i/>
          <w:sz w:val="24"/>
        </w:rPr>
        <w:t>Registered Participant </w:t>
      </w:r>
      <w:r>
        <w:rPr>
          <w:sz w:val="24"/>
        </w:rPr>
        <w:t>(notwithstanding that they may be annexed or affixed to the relevant land or premises).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In respect of any equipment or goods left on land or premises of a </w:t>
      </w:r>
      <w:r>
        <w:rPr>
          <w:i/>
          <w:sz w:val="24"/>
        </w:rPr>
        <w:t>Registered Participant </w:t>
      </w:r>
      <w:r>
        <w:rPr>
          <w:sz w:val="24"/>
        </w:rPr>
        <w:t>during or after an inspection, a </w:t>
      </w:r>
      <w:r>
        <w:rPr>
          <w:i/>
          <w:sz w:val="24"/>
        </w:rPr>
        <w:t>Registered </w:t>
      </w:r>
      <w:r>
        <w:rPr>
          <w:i/>
          <w:sz w:val="24"/>
        </w:rPr>
        <w:t>Participant</w:t>
      </w:r>
      <w:r>
        <w:rPr>
          <w:sz w:val="24"/>
        </w:rPr>
        <w: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must not use any such equipment or goods for a purpose other than as contemplated in the </w:t>
      </w:r>
      <w:r>
        <w:rPr>
          <w:i/>
          <w:sz w:val="24"/>
        </w:rPr>
        <w:t>Rules </w:t>
      </w:r>
      <w:r>
        <w:rPr>
          <w:sz w:val="24"/>
        </w:rPr>
        <w:t>without the prior written approval of the owner of the equipment or</w:t>
      </w:r>
      <w:r>
        <w:rPr>
          <w:spacing w:val="-1"/>
          <w:sz w:val="24"/>
        </w:rPr>
        <w:t> </w:t>
      </w:r>
      <w:r>
        <w:rPr>
          <w:sz w:val="24"/>
        </w:rPr>
        <w:t>goods;</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must allow the owner of any such equipment or goods to remove any such equipment or goods in whole or in part at a time agreed with the relevant </w:t>
      </w:r>
      <w:r>
        <w:rPr>
          <w:i/>
          <w:sz w:val="24"/>
        </w:rPr>
        <w:t>Registered Participant</w:t>
      </w:r>
      <w:r>
        <w:rPr>
          <w:sz w:val="24"/>
        </w:rPr>
        <w:t>, such agreement not to be unreasonably withheld or delayed;</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must not create or cause to be created any mortgage, charge or lien over any such equipment or</w:t>
      </w:r>
      <w:r>
        <w:rPr>
          <w:spacing w:val="-2"/>
          <w:sz w:val="24"/>
        </w:rPr>
        <w:t> </w:t>
      </w:r>
      <w:r>
        <w:rPr>
          <w:sz w:val="24"/>
        </w:rPr>
        <w:t>goods.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(in the case of an inspection carried out under clause 5.7.1(a)) or </w:t>
      </w:r>
      <w:r>
        <w:rPr>
          <w:i/>
          <w:sz w:val="24"/>
        </w:rPr>
        <w:t>NTESMO </w:t>
      </w:r>
      <w:r>
        <w:rPr>
          <w:sz w:val="24"/>
        </w:rPr>
        <w:t>(in the case of an inspection carried out under clause 5.7.1(h)) must provide the results of that inspection to the </w:t>
      </w:r>
      <w:r>
        <w:rPr>
          <w:i/>
          <w:sz w:val="24"/>
        </w:rPr>
        <w:t>Registered </w:t>
      </w:r>
      <w:r>
        <w:rPr>
          <w:i/>
          <w:sz w:val="24"/>
        </w:rPr>
        <w:t>Participant </w:t>
      </w:r>
      <w:r>
        <w:rPr>
          <w:sz w:val="24"/>
        </w:rPr>
        <w:t>whose </w:t>
      </w:r>
      <w:r>
        <w:rPr>
          <w:i/>
          <w:sz w:val="24"/>
        </w:rPr>
        <w:t>facilities </w:t>
      </w:r>
      <w:r>
        <w:rPr>
          <w:sz w:val="24"/>
        </w:rPr>
        <w:t>have been inspected, any other </w:t>
      </w:r>
      <w:r>
        <w:rPr>
          <w:i/>
          <w:sz w:val="24"/>
        </w:rPr>
        <w:t>Registered </w:t>
      </w:r>
      <w:r>
        <w:rPr>
          <w:i/>
          <w:sz w:val="24"/>
        </w:rPr>
        <w:t>Participant </w:t>
      </w:r>
      <w:r>
        <w:rPr>
          <w:sz w:val="24"/>
        </w:rPr>
        <w:t>which is likely to be materially affected by the results of the test or inspection and </w:t>
      </w:r>
      <w:r>
        <w:rPr>
          <w:i/>
          <w:sz w:val="24"/>
        </w:rPr>
        <w:t>NTESMO </w:t>
      </w:r>
      <w:r>
        <w:rPr>
          <w:sz w:val="24"/>
        </w:rPr>
        <w:t>(in the case of an inspection carried out under clause</w:t>
      </w:r>
      <w:r>
        <w:rPr>
          <w:spacing w:val="-1"/>
          <w:sz w:val="24"/>
        </w:rPr>
        <w:t> </w:t>
      </w:r>
      <w:r>
        <w:rPr>
          <w:sz w:val="24"/>
        </w:rPr>
        <w:t>5.7.1(a)).</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7.2 Right of testing" w:id="584"/>
      <w:bookmarkEnd w:id="584"/>
      <w:r>
        <w:rPr>
          <w:b w:val="0"/>
        </w:rPr>
      </w:r>
      <w:bookmarkStart w:name="_bookmark234" w:id="585"/>
      <w:bookmarkEnd w:id="585"/>
      <w:r>
        <w:rPr>
          <w:b w:val="0"/>
        </w:rPr>
      </w:r>
      <w:bookmarkStart w:name="_bookmark234" w:id="586"/>
      <w:bookmarkEnd w:id="586"/>
      <w:r>
        <w:rPr/>
        <w:t>Righ</w:t>
      </w:r>
      <w:r>
        <w:rPr/>
        <w:t>t of</w:t>
      </w:r>
      <w:r>
        <w:rPr>
          <w:spacing w:val="-2"/>
        </w:rPr>
        <w:t> </w:t>
      </w:r>
      <w:r>
        <w:rPr/>
        <w:t>testing</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Registered Participant</w:t>
      </w:r>
      <w:r>
        <w:rPr>
          <w:sz w:val="24"/>
        </w:rPr>
        <w:t>, who has reasonable grounds to believe that equipment owned or operated by a </w:t>
      </w:r>
      <w:r>
        <w:rPr>
          <w:i/>
          <w:sz w:val="24"/>
        </w:rPr>
        <w:t>Registered Participant </w:t>
      </w:r>
      <w:r>
        <w:rPr>
          <w:sz w:val="24"/>
        </w:rPr>
        <w:t>with whom it has a </w:t>
      </w:r>
      <w:r>
        <w:rPr>
          <w:i/>
          <w:sz w:val="24"/>
        </w:rPr>
        <w:t>connection agreement </w:t>
      </w:r>
      <w:r>
        <w:rPr>
          <w:sz w:val="24"/>
        </w:rPr>
        <w:t>(which equipment is associated with the </w:t>
      </w:r>
      <w:r>
        <w:rPr>
          <w:i/>
          <w:sz w:val="24"/>
        </w:rPr>
        <w:t>connection </w:t>
      </w:r>
      <w:r>
        <w:rPr>
          <w:i/>
          <w:sz w:val="24"/>
        </w:rPr>
        <w:t>agreement</w:t>
      </w:r>
      <w:r>
        <w:rPr>
          <w:sz w:val="24"/>
        </w:rPr>
        <w:t>)</w:t>
      </w:r>
      <w:r>
        <w:rPr>
          <w:spacing w:val="35"/>
          <w:sz w:val="24"/>
        </w:rPr>
        <w:t> </w:t>
      </w:r>
      <w:r>
        <w:rPr>
          <w:sz w:val="24"/>
        </w:rPr>
        <w:t>may</w:t>
      </w:r>
      <w:r>
        <w:rPr>
          <w:spacing w:val="36"/>
          <w:sz w:val="24"/>
        </w:rPr>
        <w:t> </w:t>
      </w:r>
      <w:r>
        <w:rPr>
          <w:sz w:val="24"/>
        </w:rPr>
        <w:t>not</w:t>
      </w:r>
      <w:r>
        <w:rPr>
          <w:spacing w:val="36"/>
          <w:sz w:val="24"/>
        </w:rPr>
        <w:t> </w:t>
      </w:r>
      <w:r>
        <w:rPr>
          <w:sz w:val="24"/>
        </w:rPr>
        <w:t>comply</w:t>
      </w:r>
      <w:r>
        <w:rPr>
          <w:spacing w:val="35"/>
          <w:sz w:val="24"/>
        </w:rPr>
        <w:t> </w:t>
      </w:r>
      <w:r>
        <w:rPr>
          <w:sz w:val="24"/>
        </w:rPr>
        <w:t>with</w:t>
      </w:r>
      <w:r>
        <w:rPr>
          <w:spacing w:val="36"/>
          <w:sz w:val="24"/>
        </w:rPr>
        <w:t> </w:t>
      </w:r>
      <w:r>
        <w:rPr>
          <w:sz w:val="24"/>
        </w:rPr>
        <w:t>the</w:t>
      </w:r>
      <w:r>
        <w:rPr>
          <w:spacing w:val="36"/>
          <w:sz w:val="24"/>
        </w:rPr>
        <w:t> </w:t>
      </w:r>
      <w:r>
        <w:rPr>
          <w:i/>
          <w:sz w:val="24"/>
        </w:rPr>
        <w:t>Rules</w:t>
      </w:r>
      <w:r>
        <w:rPr>
          <w:i/>
          <w:spacing w:val="35"/>
          <w:sz w:val="24"/>
        </w:rPr>
        <w:t> </w:t>
      </w:r>
      <w:r>
        <w:rPr>
          <w:sz w:val="24"/>
        </w:rPr>
        <w:t>or</w:t>
      </w:r>
      <w:r>
        <w:rPr>
          <w:spacing w:val="36"/>
          <w:sz w:val="24"/>
        </w:rPr>
        <w:t> </w:t>
      </w:r>
      <w:r>
        <w:rPr>
          <w:sz w:val="24"/>
        </w:rPr>
        <w:t>the</w:t>
      </w:r>
      <w:r>
        <w:rPr>
          <w:spacing w:val="36"/>
          <w:sz w:val="24"/>
        </w:rPr>
        <w:t> </w:t>
      </w:r>
      <w:r>
        <w:rPr>
          <w:i/>
          <w:sz w:val="24"/>
        </w:rPr>
        <w:t>connection</w:t>
      </w:r>
      <w:r>
        <w:rPr>
          <w:i/>
          <w:spacing w:val="36"/>
          <w:sz w:val="24"/>
        </w:rPr>
        <w:t> </w:t>
      </w:r>
      <w:r>
        <w:rPr>
          <w:i/>
          <w:sz w:val="24"/>
        </w:rPr>
        <w:t>agreement</w:t>
      </w:r>
      <w:r>
        <w:rPr>
          <w:sz w:val="24"/>
        </w:rPr>
        <w:t>,</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may request testing of the relevant equipment by giving notice in writing to the other </w:t>
      </w:r>
      <w:r>
        <w:rPr>
          <w:i/>
        </w:rPr>
        <w:t>Registered Participant</w:t>
      </w:r>
      <w:r>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a notice is given under clause 5.7.2(a) the relevant test is to be conducted at a time agreed by</w:t>
      </w:r>
      <w:r>
        <w:rPr>
          <w:spacing w:val="-1"/>
          <w:sz w:val="24"/>
        </w:rPr>
        <w:t> </w:t>
      </w:r>
      <w:r>
        <w:rPr>
          <w:i/>
          <w:sz w:val="24"/>
        </w:rPr>
        <w:t>NTESMO</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Registered Participant </w:t>
      </w:r>
      <w:r>
        <w:rPr>
          <w:sz w:val="24"/>
        </w:rPr>
        <w:t>who receives a notice under clause 5.7.2(a) must co-operate in relation to conducting tests requested under clause</w:t>
      </w:r>
      <w:r>
        <w:rPr>
          <w:spacing w:val="-3"/>
          <w:sz w:val="24"/>
        </w:rPr>
        <w:t> </w:t>
      </w:r>
      <w:r>
        <w:rPr>
          <w:sz w:val="24"/>
        </w:rPr>
        <w:t>5.7.2(a).</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cost of tests requested under clause 5.7.2(a) must be borne by the </w:t>
      </w:r>
      <w:r>
        <w:rPr>
          <w:i/>
          <w:sz w:val="24"/>
        </w:rPr>
        <w:t>Registered Participant </w:t>
      </w:r>
      <w:r>
        <w:rPr>
          <w:sz w:val="24"/>
        </w:rPr>
        <w:t>requesting the test, unless the equipment is determined by the tests not to comply with the relevant </w:t>
      </w:r>
      <w:r>
        <w:rPr>
          <w:i/>
          <w:sz w:val="24"/>
        </w:rPr>
        <w:t>connection </w:t>
      </w:r>
      <w:r>
        <w:rPr>
          <w:i/>
          <w:sz w:val="24"/>
        </w:rPr>
        <w:t>agreement </w:t>
      </w:r>
      <w:r>
        <w:rPr>
          <w:sz w:val="24"/>
        </w:rPr>
        <w:t>and the </w:t>
      </w:r>
      <w:r>
        <w:rPr>
          <w:i/>
          <w:sz w:val="24"/>
        </w:rPr>
        <w:t>Rules</w:t>
      </w:r>
      <w:r>
        <w:rPr>
          <w:sz w:val="24"/>
        </w:rPr>
        <w:t>, in which case all reasonable costs of such tests must be borne by the owner of that</w:t>
      </w:r>
      <w:r>
        <w:rPr>
          <w:spacing w:val="-2"/>
          <w:sz w:val="24"/>
        </w:rPr>
        <w:t> </w:t>
      </w:r>
      <w:r>
        <w:rPr>
          <w:sz w:val="24"/>
        </w:rPr>
        <w:t>equipment.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Tests conducted in respect of a </w:t>
      </w:r>
      <w:r>
        <w:rPr>
          <w:i/>
          <w:sz w:val="24"/>
        </w:rPr>
        <w:t>connection point </w:t>
      </w:r>
      <w:r>
        <w:rPr>
          <w:sz w:val="24"/>
        </w:rPr>
        <w:t>under clause 5.7.2 must be conducted using test procedures agreed between the relevant</w:t>
      </w:r>
      <w:r>
        <w:rPr>
          <w:spacing w:val="39"/>
          <w:sz w:val="24"/>
        </w:rPr>
        <w:t> </w:t>
      </w:r>
      <w:r>
        <w:rPr>
          <w:i/>
          <w:sz w:val="24"/>
        </w:rPr>
        <w:t>Registered </w:t>
      </w:r>
      <w:r>
        <w:rPr>
          <w:i/>
          <w:sz w:val="24"/>
        </w:rPr>
        <w:t>Participants</w:t>
      </w:r>
      <w:r>
        <w:rPr>
          <w:sz w:val="24"/>
        </w:rPr>
        <w:t>, which agreement is not to be unreasonably withheld or delayed.</w:t>
      </w:r>
    </w:p>
    <w:p>
      <w:pPr>
        <w:pStyle w:val="ListParagraph"/>
        <w:numPr>
          <w:ilvl w:val="3"/>
          <w:numId w:val="197"/>
        </w:numPr>
        <w:tabs>
          <w:tab w:pos="1920" w:val="left" w:leader="none"/>
        </w:tabs>
        <w:spacing w:line="240" w:lineRule="auto" w:before="120" w:after="0"/>
        <w:ind w:left="1919" w:right="415" w:hanging="567"/>
        <w:jc w:val="both"/>
        <w:rPr>
          <w:sz w:val="24"/>
        </w:rPr>
      </w:pPr>
      <w:r>
        <w:rPr>
          <w:sz w:val="24"/>
        </w:rPr>
        <w:t>Tests under clause 5.7.2 must be conducted only by persons with the relevant skills and</w:t>
      </w:r>
      <w:r>
        <w:rPr>
          <w:spacing w:val="-2"/>
          <w:sz w:val="24"/>
        </w:rPr>
        <w:t> </w:t>
      </w:r>
      <w:r>
        <w:rPr>
          <w:sz w:val="24"/>
        </w:rPr>
        <w:t>experience.</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Network Service Provider </w:t>
      </w:r>
      <w:r>
        <w:rPr>
          <w:sz w:val="24"/>
        </w:rPr>
        <w:t>must give </w:t>
      </w:r>
      <w:r>
        <w:rPr>
          <w:i/>
          <w:sz w:val="24"/>
        </w:rPr>
        <w:t>NTESMO </w:t>
      </w:r>
      <w:r>
        <w:rPr>
          <w:sz w:val="24"/>
        </w:rPr>
        <w:t>adequate prior notice of intention to conduct a test in respect of a </w:t>
      </w:r>
      <w:r>
        <w:rPr>
          <w:i/>
          <w:sz w:val="24"/>
        </w:rPr>
        <w:t>connection point </w:t>
      </w:r>
      <w:r>
        <w:rPr>
          <w:sz w:val="24"/>
        </w:rPr>
        <w:t>to that </w:t>
      </w:r>
      <w:r>
        <w:rPr>
          <w:i/>
          <w:sz w:val="24"/>
        </w:rPr>
        <w:t>Network </w:t>
      </w:r>
      <w:r>
        <w:rPr>
          <w:i/>
          <w:sz w:val="24"/>
        </w:rPr>
        <w:t>Service Provider's</w:t>
      </w:r>
      <w:r>
        <w:rPr>
          <w:i/>
          <w:spacing w:val="-1"/>
          <w:sz w:val="24"/>
        </w:rPr>
        <w:t> </w:t>
      </w:r>
      <w:r>
        <w:rPr>
          <w:i/>
          <w:sz w:val="24"/>
        </w:rPr>
        <w:t>network</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w:t>
      </w:r>
      <w:r>
        <w:rPr>
          <w:i/>
          <w:sz w:val="24"/>
        </w:rPr>
        <w:t>Registered Participant </w:t>
      </w:r>
      <w:r>
        <w:rPr>
          <w:sz w:val="24"/>
        </w:rPr>
        <w:t>who requests a test under this clause 5.7.2 may appoint a </w:t>
      </w:r>
      <w:r>
        <w:rPr>
          <w:i/>
          <w:sz w:val="24"/>
        </w:rPr>
        <w:t>representative </w:t>
      </w:r>
      <w:r>
        <w:rPr>
          <w:sz w:val="24"/>
        </w:rPr>
        <w:t>to witness a test and the relevant </w:t>
      </w:r>
      <w:r>
        <w:rPr>
          <w:i/>
          <w:sz w:val="24"/>
        </w:rPr>
        <w:t>Registered </w:t>
      </w:r>
      <w:r>
        <w:rPr>
          <w:i/>
          <w:sz w:val="24"/>
        </w:rPr>
        <w:t>Participant  </w:t>
      </w:r>
      <w:r>
        <w:rPr>
          <w:sz w:val="24"/>
        </w:rPr>
        <w:t>must  permit   a   </w:t>
      </w:r>
      <w:r>
        <w:rPr>
          <w:i/>
          <w:sz w:val="24"/>
        </w:rPr>
        <w:t>representative   </w:t>
      </w:r>
      <w:r>
        <w:rPr>
          <w:sz w:val="24"/>
        </w:rPr>
        <w:t>appointed   under   </w:t>
      </w:r>
      <w:r>
        <w:rPr>
          <w:spacing w:val="-3"/>
          <w:sz w:val="24"/>
        </w:rPr>
        <w:t>this   </w:t>
      </w:r>
      <w:r>
        <w:rPr>
          <w:sz w:val="24"/>
        </w:rPr>
        <w:t>clause 5.7.2(h) to be present while the test is being</w:t>
      </w:r>
      <w:r>
        <w:rPr>
          <w:spacing w:val="-5"/>
          <w:sz w:val="24"/>
        </w:rPr>
        <w:t> </w:t>
      </w:r>
      <w:r>
        <w:rPr>
          <w:sz w:val="24"/>
        </w:rPr>
        <w:t>conducted.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who conducts a test must submit a report to the </w:t>
      </w:r>
      <w:r>
        <w:rPr>
          <w:i/>
          <w:sz w:val="24"/>
        </w:rPr>
        <w:t>Registered Participant </w:t>
      </w:r>
      <w:r>
        <w:rPr>
          <w:sz w:val="24"/>
        </w:rPr>
        <w:t>who requested the relevant test, </w:t>
      </w:r>
      <w:r>
        <w:rPr>
          <w:i/>
          <w:sz w:val="24"/>
        </w:rPr>
        <w:t>NTESMO </w:t>
      </w:r>
      <w:r>
        <w:rPr>
          <w:sz w:val="24"/>
        </w:rPr>
        <w:t>and to any other </w:t>
      </w:r>
      <w:r>
        <w:rPr>
          <w:i/>
          <w:sz w:val="24"/>
        </w:rPr>
        <w:t>Registered Participant </w:t>
      </w:r>
      <w:r>
        <w:rPr>
          <w:sz w:val="24"/>
        </w:rPr>
        <w:t>which is likely to be materially affected by the results of the test, within a reasonable period after the completion of the test and the report is to outline relevant details of the tests conducted, including but not limited to the results of those</w:t>
      </w:r>
      <w:r>
        <w:rPr>
          <w:spacing w:val="-1"/>
          <w:sz w:val="24"/>
        </w:rPr>
        <w:t> </w:t>
      </w:r>
      <w:r>
        <w:rPr>
          <w:sz w:val="24"/>
        </w:rPr>
        <w:t>tests.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may attach test equipment or </w:t>
      </w:r>
      <w:r>
        <w:rPr>
          <w:i/>
          <w:sz w:val="24"/>
        </w:rPr>
        <w:t>monitoring </w:t>
      </w:r>
      <w:r>
        <w:rPr>
          <w:i/>
          <w:sz w:val="24"/>
        </w:rPr>
        <w:t>equipment </w:t>
      </w:r>
      <w:r>
        <w:rPr>
          <w:sz w:val="24"/>
        </w:rPr>
        <w:t>to </w:t>
      </w:r>
      <w:r>
        <w:rPr>
          <w:i/>
          <w:sz w:val="24"/>
        </w:rPr>
        <w:t>plant </w:t>
      </w:r>
      <w:r>
        <w:rPr>
          <w:sz w:val="24"/>
        </w:rPr>
        <w:t>owned by a </w:t>
      </w:r>
      <w:r>
        <w:rPr>
          <w:i/>
          <w:sz w:val="24"/>
        </w:rPr>
        <w:t>Registered Participant </w:t>
      </w:r>
      <w:r>
        <w:rPr>
          <w:sz w:val="24"/>
        </w:rPr>
        <w:t>or require a </w:t>
      </w:r>
      <w:r>
        <w:rPr>
          <w:i/>
          <w:sz w:val="24"/>
        </w:rPr>
        <w:t>Registered Participant </w:t>
      </w:r>
      <w:r>
        <w:rPr>
          <w:sz w:val="24"/>
        </w:rPr>
        <w:t>to attach such test equipment or </w:t>
      </w:r>
      <w:r>
        <w:rPr>
          <w:i/>
          <w:sz w:val="24"/>
        </w:rPr>
        <w:t>monitoring </w:t>
      </w:r>
      <w:r>
        <w:rPr>
          <w:i/>
          <w:sz w:val="24"/>
        </w:rPr>
        <w:t>equipment</w:t>
      </w:r>
      <w:r>
        <w:rPr>
          <w:sz w:val="24"/>
        </w:rPr>
        <w:t>, subject to the provisions of clause 5.7.1 regarding entry and inspection.</w:t>
      </w:r>
    </w:p>
    <w:p>
      <w:pPr>
        <w:spacing w:after="0" w:line="240" w:lineRule="auto"/>
        <w:jc w:val="both"/>
        <w:rPr>
          <w:sz w:val="24"/>
        </w:rPr>
        <w:sectPr>
          <w:pgSz w:w="11910" w:h="16840"/>
          <w:pgMar w:header="686" w:footer="637" w:top="1320" w:bottom="820" w:left="1200" w:right="1000"/>
        </w:sectPr>
      </w:pPr>
    </w:p>
    <w:p>
      <w:pPr>
        <w:pStyle w:val="ListParagraph"/>
        <w:numPr>
          <w:ilvl w:val="3"/>
          <w:numId w:val="197"/>
        </w:numPr>
        <w:tabs>
          <w:tab w:pos="1919" w:val="left" w:leader="none"/>
        </w:tabs>
        <w:spacing w:line="240" w:lineRule="auto" w:before="83" w:after="0"/>
        <w:ind w:left="1919" w:right="415" w:hanging="567"/>
        <w:jc w:val="both"/>
        <w:rPr>
          <w:sz w:val="24"/>
        </w:rPr>
      </w:pPr>
      <w:r>
        <w:rPr>
          <w:sz w:val="24"/>
        </w:rPr>
        <w:t>In carrying out monitoring under clause 5.7.2(j) the </w:t>
      </w:r>
      <w:r>
        <w:rPr>
          <w:i/>
          <w:sz w:val="24"/>
        </w:rPr>
        <w:t>Network Service </w:t>
      </w:r>
      <w:r>
        <w:rPr>
          <w:i/>
          <w:sz w:val="24"/>
        </w:rPr>
        <w:t>Provider </w:t>
      </w:r>
      <w:r>
        <w:rPr>
          <w:sz w:val="24"/>
        </w:rPr>
        <w:t>must not cause the performance of the monitored </w:t>
      </w:r>
      <w:r>
        <w:rPr>
          <w:i/>
          <w:sz w:val="24"/>
        </w:rPr>
        <w:t>plant </w:t>
      </w:r>
      <w:r>
        <w:rPr>
          <w:sz w:val="24"/>
        </w:rPr>
        <w:t>to be </w:t>
      </w:r>
      <w:r>
        <w:rPr>
          <w:i/>
          <w:sz w:val="24"/>
        </w:rPr>
        <w:t>constrained </w:t>
      </w:r>
      <w:r>
        <w:rPr>
          <w:sz w:val="24"/>
        </w:rPr>
        <w:t>in any</w:t>
      </w:r>
      <w:r>
        <w:rPr>
          <w:spacing w:val="-1"/>
          <w:sz w:val="24"/>
        </w:rPr>
        <w:t> </w:t>
      </w:r>
      <w:r>
        <w:rPr>
          <w:sz w:val="24"/>
        </w:rPr>
        <w:t>way.</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2" w:right="672" w:hanging="1134"/>
        <w:jc w:val="left"/>
      </w:pPr>
      <w:bookmarkStart w:name="5.7.3 Tests to demonstrate compliance wi" w:id="587"/>
      <w:bookmarkEnd w:id="587"/>
      <w:r>
        <w:rPr>
          <w:b w:val="0"/>
        </w:rPr>
      </w:r>
      <w:bookmarkStart w:name="_bookmark235" w:id="588"/>
      <w:bookmarkEnd w:id="588"/>
      <w:r>
        <w:rPr>
          <w:b w:val="0"/>
        </w:rPr>
      </w:r>
      <w:bookmarkStart w:name="_bookmark235" w:id="589"/>
      <w:bookmarkEnd w:id="589"/>
      <w:r>
        <w:rPr/>
        <w:t>Tests</w:t>
      </w:r>
      <w:r>
        <w:rPr/>
        <w:t> to demonstrate compliance with connection requirements for generators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application of paragraphs (a)(1), (c), (d) and (f)(1) of this clause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Each </w:t>
      </w:r>
      <w:r>
        <w:rPr>
          <w:i/>
          <w:sz w:val="24"/>
        </w:rPr>
        <w:t>Generator </w:t>
      </w:r>
      <w:r>
        <w:rPr>
          <w:sz w:val="24"/>
        </w:rPr>
        <w:t>must, in accordance with the time frames specified</w:t>
      </w:r>
      <w:r>
        <w:rPr>
          <w:spacing w:val="30"/>
          <w:sz w:val="24"/>
        </w:rPr>
        <w:t> </w:t>
      </w:r>
      <w:r>
        <w:rPr>
          <w:sz w:val="24"/>
        </w:rPr>
        <w:t>by </w:t>
      </w:r>
      <w:r>
        <w:rPr>
          <w:i/>
          <w:sz w:val="24"/>
        </w:rPr>
        <w:t>NTESMO</w:t>
      </w:r>
      <w:r>
        <w:rPr>
          <w:sz w:val="24"/>
        </w:rPr>
        <w:t>, provide evidence to any relevant </w:t>
      </w:r>
      <w:r>
        <w:rPr>
          <w:i/>
          <w:sz w:val="24"/>
        </w:rPr>
        <w:t>Network Service Provider </w:t>
      </w:r>
      <w:r>
        <w:rPr>
          <w:spacing w:val="-4"/>
          <w:sz w:val="24"/>
        </w:rPr>
        <w:t>with</w:t>
      </w:r>
      <w:r>
        <w:rPr>
          <w:spacing w:val="52"/>
          <w:sz w:val="24"/>
        </w:rPr>
        <w:t> </w:t>
      </w:r>
      <w:r>
        <w:rPr>
          <w:sz w:val="24"/>
        </w:rPr>
        <w:t>which that </w:t>
      </w:r>
      <w:r>
        <w:rPr>
          <w:i/>
          <w:sz w:val="24"/>
        </w:rPr>
        <w:t>Generator </w:t>
      </w:r>
      <w:r>
        <w:rPr>
          <w:sz w:val="24"/>
        </w:rPr>
        <w:t>has a </w:t>
      </w:r>
      <w:r>
        <w:rPr>
          <w:i/>
          <w:sz w:val="24"/>
        </w:rPr>
        <w:t>connection agreement </w:t>
      </w:r>
      <w:r>
        <w:rPr>
          <w:sz w:val="24"/>
        </w:rPr>
        <w:t>and to </w:t>
      </w:r>
      <w:r>
        <w:rPr>
          <w:i/>
          <w:sz w:val="24"/>
        </w:rPr>
        <w:t>NTESMO</w:t>
      </w:r>
      <w:r>
        <w:rPr>
          <w:sz w:val="24"/>
        </w:rPr>
        <w:t>, that its </w:t>
      </w:r>
      <w:r>
        <w:rPr>
          <w:i/>
          <w:sz w:val="24"/>
        </w:rPr>
        <w:t>generating system </w:t>
      </w:r>
      <w:r>
        <w:rPr>
          <w:sz w:val="24"/>
        </w:rPr>
        <w:t>complies</w:t>
      </w:r>
      <w:r>
        <w:rPr>
          <w:spacing w:val="-1"/>
          <w:sz w:val="24"/>
        </w:rPr>
        <w:t> </w:t>
      </w:r>
      <w:r>
        <w:rPr>
          <w:sz w:val="24"/>
        </w:rPr>
        <w:t>with:</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the applicable technical requirements under </w:t>
      </w:r>
      <w:r>
        <w:rPr>
          <w:i/>
          <w:sz w:val="24"/>
        </w:rPr>
        <w:t>jurisdictional electricity </w:t>
      </w:r>
      <w:r>
        <w:rPr>
          <w:i/>
          <w:sz w:val="24"/>
        </w:rPr>
        <w:t>legislation</w:t>
      </w:r>
      <w:r>
        <w:rPr>
          <w:sz w:val="24"/>
        </w:rPr>
        <w:t>;</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the relevant </w:t>
      </w:r>
      <w:r>
        <w:rPr>
          <w:i/>
          <w:sz w:val="24"/>
        </w:rPr>
        <w:t>connection agreement </w:t>
      </w:r>
      <w:r>
        <w:rPr>
          <w:sz w:val="24"/>
        </w:rPr>
        <w:t>including the </w:t>
      </w:r>
      <w:r>
        <w:rPr>
          <w:i/>
          <w:sz w:val="24"/>
        </w:rPr>
        <w:t>performance </w:t>
      </w:r>
      <w:r>
        <w:rPr>
          <w:i/>
          <w:sz w:val="24"/>
        </w:rPr>
        <w:t>standards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(a)(1) will be requirements that correspond to the matters set out in clause S5.2.5 as applying in other </w:t>
      </w:r>
      <w:r>
        <w:rPr>
          <w:i/>
          <w:sz w:val="20"/>
        </w:rPr>
        <w:t>participating jurisdictions</w:t>
      </w:r>
      <w:r>
        <w:rPr>
          <w:sz w:val="20"/>
        </w:rPr>
        <w:t>.</w:t>
      </w:r>
    </w:p>
    <w:p>
      <w:pPr>
        <w:pStyle w:val="Heading4"/>
        <w:numPr>
          <w:ilvl w:val="3"/>
          <w:numId w:val="197"/>
        </w:numPr>
        <w:tabs>
          <w:tab w:pos="1919" w:val="left" w:leader="none"/>
        </w:tabs>
        <w:spacing w:line="240" w:lineRule="auto" w:before="120" w:after="0"/>
        <w:ind w:left="1918" w:right="0" w:hanging="567"/>
        <w:jc w:val="both"/>
        <w:rPr>
          <w:rFonts w:ascii="Times New Roman"/>
        </w:rPr>
      </w:pPr>
      <w:r>
        <w:rPr>
          <w:rFonts w:ascii="Times New Roman"/>
        </w:rPr>
        <w:t>[Deleted]</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a test required by clause 5.7.3(a) demonstrates that a </w:t>
      </w:r>
      <w:r>
        <w:rPr>
          <w:i/>
          <w:sz w:val="24"/>
        </w:rPr>
        <w:t>generating system </w:t>
      </w:r>
      <w:r>
        <w:rPr>
          <w:sz w:val="24"/>
        </w:rPr>
        <w:t>is not complying with one or more technical requirements under </w:t>
      </w:r>
      <w:r>
        <w:rPr>
          <w:i/>
          <w:sz w:val="24"/>
        </w:rPr>
        <w:t>jurisdictional </w:t>
      </w:r>
      <w:r>
        <w:rPr>
          <w:i/>
          <w:sz w:val="24"/>
        </w:rPr>
        <w:t>electricity legislation </w:t>
      </w:r>
      <w:r>
        <w:rPr>
          <w:sz w:val="24"/>
        </w:rPr>
        <w:t>or the relevant </w:t>
      </w:r>
      <w:r>
        <w:rPr>
          <w:i/>
          <w:sz w:val="24"/>
        </w:rPr>
        <w:t>connection agreement </w:t>
      </w:r>
      <w:r>
        <w:rPr>
          <w:sz w:val="24"/>
        </w:rPr>
        <w:t>or one or more of the </w:t>
      </w:r>
      <w:r>
        <w:rPr>
          <w:i/>
          <w:sz w:val="24"/>
        </w:rPr>
        <w:t>performance standards </w:t>
      </w:r>
      <w:r>
        <w:rPr>
          <w:sz w:val="24"/>
        </w:rPr>
        <w:t>then the </w:t>
      </w:r>
      <w:r>
        <w:rPr>
          <w:i/>
          <w:sz w:val="24"/>
        </w:rPr>
        <w:t>Generator</w:t>
      </w:r>
      <w:r>
        <w:rPr>
          <w:i/>
          <w:spacing w:val="-4"/>
          <w:sz w:val="24"/>
        </w:rPr>
        <w:t> </w:t>
      </w:r>
      <w:r>
        <w:rPr>
          <w:sz w:val="24"/>
        </w:rPr>
        <w:t>must:</w:t>
      </w:r>
    </w:p>
    <w:p>
      <w:pPr>
        <w:pStyle w:val="ListParagraph"/>
        <w:numPr>
          <w:ilvl w:val="4"/>
          <w:numId w:val="197"/>
        </w:numPr>
        <w:tabs>
          <w:tab w:pos="2486" w:val="left" w:leader="none"/>
        </w:tabs>
        <w:spacing w:line="240" w:lineRule="auto" w:before="120" w:after="0"/>
        <w:ind w:left="2485" w:right="0" w:hanging="567"/>
        <w:jc w:val="both"/>
        <w:rPr>
          <w:i/>
          <w:sz w:val="24"/>
        </w:rPr>
      </w:pPr>
      <w:r>
        <w:rPr>
          <w:sz w:val="24"/>
        </w:rPr>
        <w:t>promptly notify the relevant </w:t>
      </w:r>
      <w:r>
        <w:rPr>
          <w:i/>
          <w:sz w:val="24"/>
        </w:rPr>
        <w:t>Network Service Provider</w:t>
      </w:r>
      <w:r>
        <w:rPr>
          <w:i/>
          <w:spacing w:val="-35"/>
          <w:sz w:val="24"/>
        </w:rPr>
        <w:t> </w:t>
      </w:r>
      <w:r>
        <w:rPr>
          <w:sz w:val="24"/>
        </w:rPr>
        <w:t>and </w:t>
      </w:r>
      <w:r>
        <w:rPr>
          <w:i/>
          <w:sz w:val="24"/>
        </w:rPr>
        <w:t>NTESMO</w:t>
      </w:r>
    </w:p>
    <w:p>
      <w:pPr>
        <w:pStyle w:val="BodyText"/>
        <w:spacing w:before="0"/>
        <w:ind w:left="2486" w:firstLine="0"/>
      </w:pPr>
      <w:r>
        <w:rPr/>
        <w:t>of that fact; 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promptly notify the </w:t>
      </w:r>
      <w:r>
        <w:rPr>
          <w:i/>
          <w:sz w:val="24"/>
        </w:rPr>
        <w:t>Network Service Provider </w:t>
      </w:r>
      <w:r>
        <w:rPr>
          <w:sz w:val="24"/>
        </w:rPr>
        <w:t>and </w:t>
      </w:r>
      <w:r>
        <w:rPr>
          <w:i/>
          <w:sz w:val="24"/>
        </w:rPr>
        <w:t>NTESMO </w:t>
      </w:r>
      <w:r>
        <w:rPr>
          <w:sz w:val="24"/>
        </w:rPr>
        <w:t>of </w:t>
      </w:r>
      <w:r>
        <w:rPr>
          <w:spacing w:val="-4"/>
          <w:sz w:val="24"/>
        </w:rPr>
        <w:t>the </w:t>
      </w:r>
      <w:r>
        <w:rPr>
          <w:sz w:val="24"/>
        </w:rPr>
        <w:t>remedial steps it proposes to take and the timetable for such remedial work;</w:t>
      </w:r>
      <w:r>
        <w:rPr>
          <w:spacing w:val="-2"/>
          <w:sz w:val="24"/>
        </w:rPr>
        <w:t> </w:t>
      </w:r>
      <w:r>
        <w:rPr>
          <w:sz w:val="24"/>
        </w:rPr>
        <w:t>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diligently undertake such remedial work and report at monthly intervals to the </w:t>
      </w:r>
      <w:r>
        <w:rPr>
          <w:i/>
          <w:sz w:val="24"/>
        </w:rPr>
        <w:t>Network Service Provider </w:t>
      </w:r>
      <w:r>
        <w:rPr>
          <w:sz w:val="24"/>
        </w:rPr>
        <w:t>on progress in implementing the remedial action;</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conduct further tests or monitoring on completion of the remedial work to confirm compliance with the relevant technical requirements or </w:t>
      </w:r>
      <w:r>
        <w:rPr>
          <w:i/>
          <w:sz w:val="24"/>
        </w:rPr>
        <w:t>performance standards </w:t>
      </w:r>
      <w:r>
        <w:rPr>
          <w:sz w:val="24"/>
        </w:rPr>
        <w:t>(as the case may</w:t>
      </w:r>
      <w:r>
        <w:rPr>
          <w:spacing w:val="-4"/>
          <w:sz w:val="24"/>
        </w:rPr>
        <w:t> </w:t>
      </w:r>
      <w:r>
        <w:rPr>
          <w:sz w:val="24"/>
        </w:rPr>
        <w:t>be).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(c) will be requirements that correspond to the matters set out in clause S5.2.5 as applying in other </w:t>
      </w:r>
      <w:r>
        <w:rPr>
          <w:i/>
          <w:sz w:val="20"/>
        </w:rPr>
        <w:t>participating jurisdictions</w:t>
      </w:r>
      <w:r>
        <w:rPr>
          <w:sz w:val="20"/>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w:t>
      </w:r>
      <w:r>
        <w:rPr>
          <w:i/>
          <w:sz w:val="24"/>
        </w:rPr>
        <w:t>NTESMO </w:t>
      </w:r>
      <w:r>
        <w:rPr>
          <w:sz w:val="24"/>
        </w:rPr>
        <w:t>reasonably believes that a </w:t>
      </w:r>
      <w:r>
        <w:rPr>
          <w:i/>
          <w:sz w:val="24"/>
        </w:rPr>
        <w:t>generating system </w:t>
      </w:r>
      <w:r>
        <w:rPr>
          <w:sz w:val="24"/>
        </w:rPr>
        <w:t>is not complying with one or more applicable </w:t>
      </w:r>
      <w:r>
        <w:rPr>
          <w:i/>
          <w:sz w:val="24"/>
        </w:rPr>
        <w:t>performance standards </w:t>
      </w:r>
      <w:r>
        <w:rPr>
          <w:sz w:val="24"/>
        </w:rPr>
        <w:t>or one or more applicable technical requirements under </w:t>
      </w:r>
      <w:r>
        <w:rPr>
          <w:i/>
          <w:sz w:val="24"/>
        </w:rPr>
        <w:t>jurisdictional electricity legislation </w:t>
      </w:r>
      <w:r>
        <w:rPr>
          <w:sz w:val="24"/>
        </w:rPr>
        <w:t>or the relevant </w:t>
      </w:r>
      <w:r>
        <w:rPr>
          <w:i/>
          <w:sz w:val="24"/>
        </w:rPr>
        <w:t>connection agreement</w:t>
      </w:r>
      <w:r>
        <w:rPr>
          <w:sz w:val="24"/>
        </w:rPr>
        <w:t>, </w:t>
      </w:r>
      <w:r>
        <w:rPr>
          <w:i/>
          <w:sz w:val="24"/>
        </w:rPr>
        <w:t>NTESMO </w:t>
      </w:r>
      <w:r>
        <w:rPr>
          <w:sz w:val="24"/>
        </w:rPr>
        <w:t>may instruct the </w:t>
      </w:r>
      <w:r>
        <w:rPr>
          <w:i/>
          <w:sz w:val="24"/>
        </w:rPr>
        <w:t>Generator </w:t>
      </w:r>
      <w:r>
        <w:rPr>
          <w:sz w:val="24"/>
        </w:rPr>
        <w:t>to conduct tests within 25 </w:t>
      </w:r>
      <w:r>
        <w:rPr>
          <w:i/>
          <w:sz w:val="24"/>
        </w:rPr>
        <w:t>business days </w:t>
      </w:r>
      <w:r>
        <w:rPr>
          <w:sz w:val="24"/>
        </w:rPr>
        <w:t>to demonstrate that the relevant </w:t>
      </w:r>
      <w:r>
        <w:rPr>
          <w:i/>
          <w:sz w:val="24"/>
        </w:rPr>
        <w:t>generating system </w:t>
      </w:r>
      <w:r>
        <w:rPr>
          <w:sz w:val="24"/>
        </w:rPr>
        <w:t>complies with those </w:t>
      </w:r>
      <w:r>
        <w:rPr>
          <w:i/>
          <w:sz w:val="24"/>
        </w:rPr>
        <w:t>performance standards </w:t>
      </w:r>
      <w:r>
        <w:rPr>
          <w:sz w:val="24"/>
        </w:rPr>
        <w:t>or technical requirements.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(d) will be requirements that correspond to the matters set out in clause S5.2.5 as applying in other </w:t>
      </w:r>
      <w:r>
        <w:rPr>
          <w:i/>
          <w:sz w:val="20"/>
        </w:rPr>
        <w:t>participating jurisdictions</w:t>
      </w:r>
      <w:r>
        <w:rPr>
          <w:sz w:val="20"/>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the tests undertaken in accordance with paragraph (d) provide evidence that the </w:t>
      </w:r>
      <w:r>
        <w:rPr>
          <w:i/>
          <w:sz w:val="24"/>
        </w:rPr>
        <w:t>generating system </w:t>
      </w:r>
      <w:r>
        <w:rPr>
          <w:sz w:val="24"/>
        </w:rPr>
        <w:t>continues to comply with those requirements </w:t>
      </w:r>
      <w:r>
        <w:rPr>
          <w:i/>
          <w:sz w:val="24"/>
        </w:rPr>
        <w:t>NTESMO </w:t>
      </w:r>
      <w:r>
        <w:rPr>
          <w:sz w:val="24"/>
        </w:rPr>
        <w:t>must reimburse the </w:t>
      </w:r>
      <w:r>
        <w:rPr>
          <w:i/>
          <w:sz w:val="24"/>
        </w:rPr>
        <w:t>Generator </w:t>
      </w:r>
      <w:r>
        <w:rPr>
          <w:sz w:val="24"/>
        </w:rPr>
        <w:t>for the reasonable expenses incurred as a direct result of conducting the</w:t>
      </w:r>
      <w:r>
        <w:rPr>
          <w:spacing w:val="-4"/>
          <w:sz w:val="24"/>
        </w:rPr>
        <w:t> </w:t>
      </w:r>
      <w:r>
        <w:rPr>
          <w:sz w:val="24"/>
        </w:rPr>
        <w:t>tests.</w:t>
      </w:r>
    </w:p>
    <w:p>
      <w:pPr>
        <w:pStyle w:val="ListParagraph"/>
        <w:numPr>
          <w:ilvl w:val="3"/>
          <w:numId w:val="197"/>
        </w:numPr>
        <w:tabs>
          <w:tab w:pos="1919" w:val="left" w:leader="none"/>
          <w:tab w:pos="1920" w:val="left" w:leader="none"/>
        </w:tabs>
        <w:spacing w:line="240" w:lineRule="auto" w:before="120" w:after="0"/>
        <w:ind w:left="1919" w:right="0" w:hanging="568"/>
        <w:jc w:val="left"/>
        <w:rPr>
          <w:sz w:val="24"/>
        </w:rPr>
      </w:pPr>
      <w:r>
        <w:rPr>
          <w:sz w:val="24"/>
        </w:rPr>
        <w:t>If</w:t>
      </w:r>
      <w:r>
        <w:rPr>
          <w:spacing w:val="-1"/>
          <w:sz w:val="24"/>
        </w:rPr>
        <w:t> </w:t>
      </w:r>
      <w:r>
        <w:rPr>
          <w:i/>
          <w:sz w:val="24"/>
        </w:rPr>
        <w:t>NTESMO</w:t>
      </w:r>
      <w:r>
        <w:rPr>
          <w:sz w:val="24"/>
        </w:rPr>
        <w: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is satisfied that a </w:t>
      </w:r>
      <w:r>
        <w:rPr>
          <w:i/>
          <w:sz w:val="24"/>
        </w:rPr>
        <w:t>generating system </w:t>
      </w:r>
      <w:r>
        <w:rPr>
          <w:sz w:val="24"/>
        </w:rPr>
        <w:t>is not complying with the relevant </w:t>
      </w:r>
      <w:r>
        <w:rPr>
          <w:i/>
          <w:sz w:val="24"/>
        </w:rPr>
        <w:t>performance standards </w:t>
      </w:r>
      <w:r>
        <w:rPr>
          <w:sz w:val="24"/>
        </w:rPr>
        <w:t>for that system in respect of one or more of the technical requirements set out in </w:t>
      </w:r>
      <w:r>
        <w:rPr>
          <w:i/>
          <w:sz w:val="24"/>
        </w:rPr>
        <w:t>jurisdictional electricity legislation </w:t>
      </w:r>
      <w:r>
        <w:rPr>
          <w:sz w:val="24"/>
        </w:rPr>
        <w:t>and the relevant </w:t>
      </w:r>
      <w:r>
        <w:rPr>
          <w:i/>
          <w:sz w:val="24"/>
        </w:rPr>
        <w:t>connection agreement</w:t>
      </w:r>
      <w:r>
        <w:rPr>
          <w:sz w:val="24"/>
        </w:rPr>
        <w:t>;</w:t>
      </w:r>
      <w:r>
        <w:rPr>
          <w:spacing w:val="-3"/>
          <w:sz w:val="24"/>
        </w:rPr>
        <w:t> </w:t>
      </w:r>
      <w:r>
        <w:rPr>
          <w:sz w:val="24"/>
        </w:rPr>
        <w:t>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holds the reasonable opinion that the performance of the </w:t>
      </w:r>
      <w:r>
        <w:rPr>
          <w:i/>
          <w:sz w:val="24"/>
        </w:rPr>
        <w:t>generating </w:t>
      </w:r>
      <w:r>
        <w:rPr>
          <w:i/>
          <w:sz w:val="24"/>
        </w:rPr>
        <w:t>system </w:t>
      </w:r>
      <w:r>
        <w:rPr>
          <w:sz w:val="24"/>
        </w:rPr>
        <w:t>is or will impede </w:t>
      </w:r>
      <w:r>
        <w:rPr>
          <w:i/>
          <w:sz w:val="24"/>
        </w:rPr>
        <w:t>NTESMO’s </w:t>
      </w:r>
      <w:r>
        <w:rPr>
          <w:sz w:val="24"/>
        </w:rPr>
        <w:t>ability to carry out its role in relation to </w:t>
      </w:r>
      <w:r>
        <w:rPr>
          <w:i/>
          <w:sz w:val="24"/>
        </w:rPr>
        <w:t>power system</w:t>
      </w:r>
      <w:r>
        <w:rPr>
          <w:i/>
          <w:spacing w:val="-2"/>
          <w:sz w:val="24"/>
        </w:rPr>
        <w:t> </w:t>
      </w:r>
      <w:r>
        <w:rPr>
          <w:i/>
          <w:sz w:val="24"/>
        </w:rPr>
        <w:t>security</w:t>
      </w:r>
      <w:r>
        <w:rPr>
          <w:sz w:val="24"/>
        </w:rPr>
        <w:t>,</w:t>
      </w:r>
    </w:p>
    <w:p>
      <w:pPr>
        <w:spacing w:before="120"/>
        <w:ind w:left="1919" w:right="415" w:firstLine="0"/>
        <w:jc w:val="both"/>
        <w:rPr>
          <w:sz w:val="24"/>
        </w:rPr>
      </w:pPr>
      <w:r>
        <w:rPr>
          <w:i/>
          <w:sz w:val="24"/>
        </w:rPr>
        <w:t>NTESMO </w:t>
      </w:r>
      <w:r>
        <w:rPr>
          <w:sz w:val="24"/>
        </w:rPr>
        <w:t>may direct the relevant </w:t>
      </w:r>
      <w:r>
        <w:rPr>
          <w:i/>
          <w:sz w:val="24"/>
        </w:rPr>
        <w:t>Generator </w:t>
      </w:r>
      <w:r>
        <w:rPr>
          <w:sz w:val="24"/>
        </w:rPr>
        <w:t>to operate the </w:t>
      </w:r>
      <w:r>
        <w:rPr>
          <w:i/>
          <w:sz w:val="24"/>
        </w:rPr>
        <w:t>generating </w:t>
      </w:r>
      <w:r>
        <w:rPr>
          <w:i/>
          <w:sz w:val="24"/>
        </w:rPr>
        <w:t>system </w:t>
      </w:r>
      <w:r>
        <w:rPr>
          <w:sz w:val="24"/>
        </w:rPr>
        <w:t>at a particular </w:t>
      </w:r>
      <w:r>
        <w:rPr>
          <w:i/>
          <w:sz w:val="24"/>
        </w:rPr>
        <w:t>generated </w:t>
      </w:r>
      <w:r>
        <w:rPr>
          <w:sz w:val="24"/>
        </w:rPr>
        <w:t>output or in a particular mode until the relevant </w:t>
      </w:r>
      <w:r>
        <w:rPr>
          <w:i/>
          <w:sz w:val="24"/>
        </w:rPr>
        <w:t>Generator </w:t>
      </w:r>
      <w:r>
        <w:rPr>
          <w:sz w:val="24"/>
        </w:rPr>
        <w:t>submits evidence reasonably satisfactory to </w:t>
      </w:r>
      <w:r>
        <w:rPr>
          <w:i/>
          <w:sz w:val="24"/>
        </w:rPr>
        <w:t>NTESMO </w:t>
      </w:r>
      <w:r>
        <w:rPr>
          <w:sz w:val="24"/>
        </w:rPr>
        <w:t>that the </w:t>
      </w:r>
      <w:r>
        <w:rPr>
          <w:i/>
          <w:sz w:val="24"/>
        </w:rPr>
        <w:t>generating system </w:t>
      </w:r>
      <w:r>
        <w:rPr>
          <w:sz w:val="24"/>
        </w:rPr>
        <w:t>is complying with the relevant </w:t>
      </w:r>
      <w:r>
        <w:rPr>
          <w:i/>
          <w:sz w:val="24"/>
        </w:rPr>
        <w:t>performance </w:t>
      </w:r>
      <w:r>
        <w:rPr>
          <w:i/>
          <w:sz w:val="24"/>
        </w:rPr>
        <w:t>standard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(f)(1) will be requirements that correspond to the matters set out in clause S5.2.4, S5.2.5, S5.2.6, S5.2.7 or S5.2.8 as applying in other </w:t>
      </w:r>
      <w:r>
        <w:rPr>
          <w:i/>
          <w:sz w:val="20"/>
        </w:rPr>
        <w:t>participating jurisdictions</w:t>
      </w:r>
      <w:r>
        <w:rPr>
          <w:sz w:val="20"/>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Each </w:t>
      </w:r>
      <w:r>
        <w:rPr>
          <w:i/>
          <w:sz w:val="24"/>
        </w:rPr>
        <w:t>Generator </w:t>
      </w:r>
      <w:r>
        <w:rPr>
          <w:sz w:val="24"/>
        </w:rPr>
        <w:t>must maintain records for 7 years for each of its </w:t>
      </w:r>
      <w:r>
        <w:rPr>
          <w:i/>
          <w:sz w:val="24"/>
        </w:rPr>
        <w:t>generating </w:t>
      </w:r>
      <w:r>
        <w:rPr>
          <w:i/>
          <w:sz w:val="24"/>
        </w:rPr>
        <w:t>systems </w:t>
      </w:r>
      <w:r>
        <w:rPr>
          <w:sz w:val="24"/>
        </w:rPr>
        <w:t>and </w:t>
      </w:r>
      <w:r>
        <w:rPr>
          <w:i/>
          <w:sz w:val="24"/>
        </w:rPr>
        <w:t>power stations </w:t>
      </w:r>
      <w:r>
        <w:rPr>
          <w:sz w:val="24"/>
        </w:rPr>
        <w:t>setting out details of the results of all technical performance and monitoring conducted under this clause 5.7.3 and </w:t>
      </w:r>
      <w:r>
        <w:rPr>
          <w:spacing w:val="-3"/>
          <w:sz w:val="24"/>
        </w:rPr>
        <w:t>make</w:t>
      </w:r>
      <w:r>
        <w:rPr>
          <w:spacing w:val="54"/>
          <w:sz w:val="24"/>
        </w:rPr>
        <w:t> </w:t>
      </w:r>
      <w:r>
        <w:rPr>
          <w:sz w:val="24"/>
        </w:rPr>
        <w:t>these records available to </w:t>
      </w:r>
      <w:r>
        <w:rPr>
          <w:i/>
          <w:sz w:val="24"/>
        </w:rPr>
        <w:t>NTESMO </w:t>
      </w:r>
      <w:r>
        <w:rPr>
          <w:sz w:val="24"/>
        </w:rPr>
        <w:t>on</w:t>
      </w:r>
      <w:r>
        <w:rPr>
          <w:spacing w:val="-2"/>
          <w:sz w:val="24"/>
        </w:rPr>
        <w:t> </w:t>
      </w:r>
      <w:r>
        <w:rPr>
          <w:sz w:val="24"/>
        </w:rPr>
        <w:t>request.</w:t>
      </w:r>
    </w:p>
    <w:p>
      <w:pPr>
        <w:spacing w:after="0" w:line="240" w:lineRule="auto"/>
        <w:jc w:val="both"/>
        <w:rPr>
          <w:sz w:val="24"/>
        </w:rPr>
        <w:sectPr>
          <w:pgSz w:w="11910" w:h="16840"/>
          <w:pgMar w:header="686" w:footer="637" w:top="1320" w:bottom="820" w:left="1200" w:right="1000"/>
        </w:sectPr>
      </w:pPr>
    </w:p>
    <w:p>
      <w:pPr>
        <w:pStyle w:val="Heading4"/>
        <w:numPr>
          <w:ilvl w:val="2"/>
          <w:numId w:val="198"/>
        </w:numPr>
        <w:tabs>
          <w:tab w:pos="753" w:val="left" w:leader="none"/>
          <w:tab w:pos="1351" w:val="left" w:leader="none"/>
        </w:tabs>
        <w:spacing w:line="240" w:lineRule="auto" w:before="83" w:after="0"/>
        <w:ind w:left="1352" w:right="645" w:hanging="1134"/>
        <w:jc w:val="left"/>
      </w:pPr>
      <w:bookmarkStart w:name="5.7.3A Tests to demonstrate compliance w" w:id="590"/>
      <w:bookmarkEnd w:id="590"/>
      <w:r>
        <w:rPr>
          <w:b w:val="0"/>
        </w:rPr>
      </w:r>
      <w:bookmarkStart w:name="_bookmark236" w:id="591"/>
      <w:bookmarkEnd w:id="591"/>
      <w:r>
        <w:rPr>
          <w:b w:val="0"/>
        </w:rPr>
      </w:r>
      <w:bookmarkStart w:name="_bookmark236" w:id="592"/>
      <w:bookmarkEnd w:id="592"/>
      <w:r>
        <w:rPr/>
        <w:t>A</w:t>
      </w:r>
      <w:r>
        <w:rPr/>
        <w:tab/>
        <w:t>Tests to demonstrate compliance with system strength remediation schemes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clause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clause will be revisited as part of the phased implementation of the </w:t>
      </w:r>
      <w:r>
        <w:rPr>
          <w:i/>
          <w:sz w:val="20"/>
        </w:rPr>
        <w:t>Rules </w:t>
      </w:r>
      <w:r>
        <w:rPr>
          <w:sz w:val="20"/>
        </w:rPr>
        <w:t>in this jurisdiction.</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Each </w:t>
      </w:r>
      <w:r>
        <w:rPr>
          <w:i/>
          <w:sz w:val="24"/>
        </w:rPr>
        <w:t>Registered Participant </w:t>
      </w:r>
      <w:r>
        <w:rPr>
          <w:sz w:val="24"/>
        </w:rPr>
        <w:t>required under a </w:t>
      </w:r>
      <w:r>
        <w:rPr>
          <w:i/>
          <w:sz w:val="24"/>
        </w:rPr>
        <w:t>connection agreement </w:t>
      </w:r>
      <w:r>
        <w:rPr>
          <w:sz w:val="24"/>
        </w:rPr>
        <w:t>to implement a </w:t>
      </w:r>
      <w:r>
        <w:rPr>
          <w:i/>
          <w:sz w:val="24"/>
        </w:rPr>
        <w:t>system strength remediation scheme </w:t>
      </w:r>
      <w:r>
        <w:rPr>
          <w:sz w:val="24"/>
        </w:rPr>
        <w:t>by means of </w:t>
      </w:r>
      <w:r>
        <w:rPr>
          <w:i/>
          <w:sz w:val="24"/>
        </w:rPr>
        <w:t>facilities </w:t>
      </w:r>
      <w:r>
        <w:rPr>
          <w:sz w:val="24"/>
        </w:rPr>
        <w:t>owned, operated or controlled by the </w:t>
      </w:r>
      <w:r>
        <w:rPr>
          <w:i/>
          <w:sz w:val="24"/>
        </w:rPr>
        <w:t>Registered Participant </w:t>
      </w:r>
      <w:r>
        <w:rPr>
          <w:sz w:val="24"/>
        </w:rPr>
        <w:t>must at the request of </w:t>
      </w:r>
      <w:r>
        <w:rPr>
          <w:i/>
          <w:sz w:val="24"/>
        </w:rPr>
        <w:t>AEMO </w:t>
      </w:r>
      <w:r>
        <w:rPr>
          <w:sz w:val="24"/>
        </w:rPr>
        <w:t>or the relevant </w:t>
      </w:r>
      <w:r>
        <w:rPr>
          <w:i/>
          <w:sz w:val="24"/>
        </w:rPr>
        <w:t>Network Service Provider </w:t>
      </w:r>
      <w:r>
        <w:rPr>
          <w:sz w:val="24"/>
        </w:rPr>
        <w:t>made not more than once in a calendar year provide evidence that those </w:t>
      </w:r>
      <w:r>
        <w:rPr>
          <w:i/>
          <w:sz w:val="24"/>
        </w:rPr>
        <w:t>facilities </w:t>
      </w:r>
      <w:r>
        <w:rPr>
          <w:sz w:val="24"/>
        </w:rPr>
        <w:t>satisfy the requirements of the </w:t>
      </w:r>
      <w:r>
        <w:rPr>
          <w:i/>
          <w:sz w:val="24"/>
        </w:rPr>
        <w:t>system strength remediation scheme </w:t>
      </w:r>
      <w:r>
        <w:rPr>
          <w:sz w:val="24"/>
        </w:rPr>
        <w:t>set out in the </w:t>
      </w:r>
      <w:r>
        <w:rPr>
          <w:i/>
          <w:sz w:val="24"/>
        </w:rPr>
        <w:t>connection</w:t>
      </w:r>
      <w:r>
        <w:rPr>
          <w:i/>
          <w:spacing w:val="-1"/>
          <w:sz w:val="24"/>
        </w:rPr>
        <w:t> </w:t>
      </w:r>
      <w:r>
        <w:rPr>
          <w:i/>
          <w:sz w:val="24"/>
        </w:rPr>
        <w:t>agreement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6" w:hanging="567"/>
        <w:jc w:val="both"/>
        <w:rPr>
          <w:sz w:val="24"/>
        </w:rPr>
      </w:pPr>
      <w:r>
        <w:rPr>
          <w:sz w:val="24"/>
        </w:rPr>
        <w:t>If at any time the </w:t>
      </w:r>
      <w:r>
        <w:rPr>
          <w:i/>
          <w:sz w:val="24"/>
        </w:rPr>
        <w:t>facilities </w:t>
      </w:r>
      <w:r>
        <w:rPr>
          <w:sz w:val="24"/>
        </w:rPr>
        <w:t>do not satisfy the requirements of the </w:t>
      </w:r>
      <w:r>
        <w:rPr>
          <w:i/>
          <w:sz w:val="24"/>
        </w:rPr>
        <w:t>system </w:t>
      </w:r>
      <w:r>
        <w:rPr>
          <w:i/>
          <w:sz w:val="24"/>
        </w:rPr>
        <w:t>strength remediation scheme </w:t>
      </w:r>
      <w:r>
        <w:rPr>
          <w:sz w:val="24"/>
        </w:rPr>
        <w:t>set out in the </w:t>
      </w:r>
      <w:r>
        <w:rPr>
          <w:i/>
          <w:sz w:val="24"/>
        </w:rPr>
        <w:t>connection agreement</w:t>
      </w:r>
      <w:r>
        <w:rPr>
          <w:sz w:val="24"/>
        </w:rPr>
        <w:t>, the </w:t>
      </w:r>
      <w:r>
        <w:rPr>
          <w:i/>
          <w:sz w:val="24"/>
        </w:rPr>
        <w:t>Registered Participant</w:t>
      </w:r>
      <w:r>
        <w:rPr>
          <w:i/>
          <w:spacing w:val="-1"/>
          <w:sz w:val="24"/>
        </w:rPr>
        <w:t> </w:t>
      </w:r>
      <w:r>
        <w:rPr>
          <w:sz w:val="24"/>
        </w:rPr>
        <w:t>must:</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promptly notify the relevant </w:t>
      </w:r>
      <w:r>
        <w:rPr>
          <w:i/>
          <w:sz w:val="24"/>
        </w:rPr>
        <w:t>Network Service Provider </w:t>
      </w:r>
      <w:r>
        <w:rPr>
          <w:sz w:val="24"/>
        </w:rPr>
        <w:t>and </w:t>
      </w:r>
      <w:r>
        <w:rPr>
          <w:i/>
          <w:sz w:val="24"/>
        </w:rPr>
        <w:t>AEMO </w:t>
      </w:r>
      <w:r>
        <w:rPr>
          <w:sz w:val="24"/>
        </w:rPr>
        <w:t>of that fact;</w:t>
      </w:r>
    </w:p>
    <w:p>
      <w:pPr>
        <w:pStyle w:val="ListParagraph"/>
        <w:numPr>
          <w:ilvl w:val="4"/>
          <w:numId w:val="198"/>
        </w:numPr>
        <w:tabs>
          <w:tab w:pos="2486" w:val="left" w:leader="none"/>
        </w:tabs>
        <w:spacing w:line="240" w:lineRule="auto" w:before="120" w:after="0"/>
        <w:ind w:left="2486" w:right="417" w:hanging="567"/>
        <w:jc w:val="both"/>
        <w:rPr>
          <w:sz w:val="24"/>
        </w:rPr>
      </w:pPr>
      <w:r>
        <w:rPr>
          <w:sz w:val="24"/>
        </w:rPr>
        <w:t>promptly notify the </w:t>
      </w:r>
      <w:r>
        <w:rPr>
          <w:i/>
          <w:sz w:val="24"/>
        </w:rPr>
        <w:t>Network Service Provider </w:t>
      </w:r>
      <w:r>
        <w:rPr>
          <w:sz w:val="24"/>
        </w:rPr>
        <w:t>and </w:t>
      </w:r>
      <w:r>
        <w:rPr>
          <w:i/>
          <w:sz w:val="24"/>
        </w:rPr>
        <w:t>AEMO </w:t>
      </w:r>
      <w:r>
        <w:rPr>
          <w:sz w:val="24"/>
        </w:rPr>
        <w:t>of the remedial steps it proposes to take and the timetable for such remedial work;</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diligently undertake such remedial work and report at monthly intervals to the </w:t>
      </w:r>
      <w:r>
        <w:rPr>
          <w:i/>
          <w:sz w:val="24"/>
        </w:rPr>
        <w:t>Network Service Provider </w:t>
      </w:r>
      <w:r>
        <w:rPr>
          <w:sz w:val="24"/>
        </w:rPr>
        <w:t>on progress in implementing the remedial action;</w:t>
      </w:r>
      <w:r>
        <w:rPr>
          <w:spacing w:val="-1"/>
          <w:sz w:val="24"/>
        </w:rPr>
        <w:t> </w:t>
      </w:r>
      <w:r>
        <w:rPr>
          <w:sz w:val="24"/>
        </w:rPr>
        <w:t>and</w:t>
      </w:r>
    </w:p>
    <w:p>
      <w:pPr>
        <w:pStyle w:val="ListParagraph"/>
        <w:numPr>
          <w:ilvl w:val="4"/>
          <w:numId w:val="198"/>
        </w:numPr>
        <w:tabs>
          <w:tab w:pos="2486" w:val="left" w:leader="none"/>
        </w:tabs>
        <w:spacing w:line="240" w:lineRule="auto" w:before="120" w:after="0"/>
        <w:ind w:left="2486" w:right="414" w:hanging="567"/>
        <w:jc w:val="both"/>
        <w:rPr>
          <w:sz w:val="24"/>
        </w:rPr>
      </w:pPr>
      <w:r>
        <w:rPr>
          <w:sz w:val="24"/>
        </w:rPr>
        <w:t>conduct further tests or monitoring on completion of the remedial work to confirm compliance with the requirements of the </w:t>
      </w:r>
      <w:r>
        <w:rPr>
          <w:i/>
          <w:sz w:val="24"/>
        </w:rPr>
        <w:t>system </w:t>
      </w:r>
      <w:r>
        <w:rPr>
          <w:i/>
          <w:sz w:val="24"/>
        </w:rPr>
        <w:t>strength remediation</w:t>
      </w:r>
      <w:r>
        <w:rPr>
          <w:i/>
          <w:spacing w:val="-2"/>
          <w:sz w:val="24"/>
        </w:rPr>
        <w:t> </w:t>
      </w:r>
      <w:r>
        <w:rPr>
          <w:i/>
          <w:sz w:val="24"/>
        </w:rPr>
        <w:t>scheme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reasonably believes the requirements of a </w:t>
      </w:r>
      <w:r>
        <w:rPr>
          <w:i/>
          <w:sz w:val="24"/>
        </w:rPr>
        <w:t>system strength </w:t>
      </w:r>
      <w:r>
        <w:rPr>
          <w:i/>
          <w:sz w:val="24"/>
        </w:rPr>
        <w:t>remediation scheme </w:t>
      </w:r>
      <w:r>
        <w:rPr>
          <w:sz w:val="24"/>
        </w:rPr>
        <w:t>are not being complied with, </w:t>
      </w:r>
      <w:r>
        <w:rPr>
          <w:i/>
          <w:sz w:val="24"/>
        </w:rPr>
        <w:t>AEMO </w:t>
      </w:r>
      <w:r>
        <w:rPr>
          <w:sz w:val="24"/>
        </w:rPr>
        <w:t>may instruct the </w:t>
      </w:r>
      <w:r>
        <w:rPr>
          <w:i/>
          <w:sz w:val="24"/>
        </w:rPr>
        <w:t>Registered Participant </w:t>
      </w:r>
      <w:r>
        <w:rPr>
          <w:sz w:val="24"/>
        </w:rPr>
        <w:t>to conduct tests within 25 </w:t>
      </w:r>
      <w:r>
        <w:rPr>
          <w:i/>
          <w:sz w:val="24"/>
        </w:rPr>
        <w:t>business days </w:t>
      </w:r>
      <w:r>
        <w:rPr>
          <w:sz w:val="24"/>
        </w:rPr>
        <w:t>to demonstrate that the requirements are being</w:t>
      </w:r>
      <w:r>
        <w:rPr>
          <w:spacing w:val="-1"/>
          <w:sz w:val="24"/>
        </w:rPr>
        <w:t> </w:t>
      </w:r>
      <w:r>
        <w:rPr>
          <w:sz w:val="24"/>
        </w:rPr>
        <w:t>met.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6" w:hanging="567"/>
        <w:jc w:val="both"/>
        <w:rPr>
          <w:sz w:val="24"/>
        </w:rPr>
      </w:pPr>
      <w:r>
        <w:rPr>
          <w:sz w:val="24"/>
        </w:rPr>
        <w:t>If the tests undertaken in accordance with paragraph (c) provide evidence that</w:t>
      </w:r>
      <w:r>
        <w:rPr>
          <w:spacing w:val="40"/>
          <w:sz w:val="24"/>
        </w:rPr>
        <w:t> </w:t>
      </w:r>
      <w:r>
        <w:rPr>
          <w:sz w:val="24"/>
        </w:rPr>
        <w:t>the</w:t>
      </w:r>
      <w:r>
        <w:rPr>
          <w:spacing w:val="42"/>
          <w:sz w:val="24"/>
        </w:rPr>
        <w:t> </w:t>
      </w:r>
      <w:r>
        <w:rPr>
          <w:sz w:val="24"/>
        </w:rPr>
        <w:t>requirements</w:t>
      </w:r>
      <w:r>
        <w:rPr>
          <w:spacing w:val="42"/>
          <w:sz w:val="24"/>
        </w:rPr>
        <w:t> </w:t>
      </w:r>
      <w:r>
        <w:rPr>
          <w:sz w:val="24"/>
        </w:rPr>
        <w:t>of</w:t>
      </w:r>
      <w:r>
        <w:rPr>
          <w:spacing w:val="40"/>
          <w:sz w:val="24"/>
        </w:rPr>
        <w:t> </w:t>
      </w:r>
      <w:r>
        <w:rPr>
          <w:sz w:val="24"/>
        </w:rPr>
        <w:t>a</w:t>
      </w:r>
      <w:r>
        <w:rPr>
          <w:spacing w:val="41"/>
          <w:sz w:val="24"/>
        </w:rPr>
        <w:t> </w:t>
      </w:r>
      <w:r>
        <w:rPr>
          <w:i/>
          <w:sz w:val="24"/>
        </w:rPr>
        <w:t>system</w:t>
      </w:r>
      <w:r>
        <w:rPr>
          <w:i/>
          <w:spacing w:val="42"/>
          <w:sz w:val="24"/>
        </w:rPr>
        <w:t> </w:t>
      </w:r>
      <w:r>
        <w:rPr>
          <w:i/>
          <w:sz w:val="24"/>
        </w:rPr>
        <w:t>strength</w:t>
      </w:r>
      <w:r>
        <w:rPr>
          <w:i/>
          <w:spacing w:val="40"/>
          <w:sz w:val="24"/>
        </w:rPr>
        <w:t> </w:t>
      </w:r>
      <w:r>
        <w:rPr>
          <w:i/>
          <w:sz w:val="24"/>
        </w:rPr>
        <w:t>remediation</w:t>
      </w:r>
      <w:r>
        <w:rPr>
          <w:i/>
          <w:spacing w:val="41"/>
          <w:sz w:val="24"/>
        </w:rPr>
        <w:t> </w:t>
      </w:r>
      <w:r>
        <w:rPr>
          <w:i/>
          <w:sz w:val="24"/>
        </w:rPr>
        <w:t>scheme</w:t>
      </w:r>
      <w:r>
        <w:rPr>
          <w:i/>
          <w:spacing w:val="41"/>
          <w:sz w:val="24"/>
        </w:rPr>
        <w:t> </w:t>
      </w:r>
      <w:r>
        <w:rPr>
          <w:sz w:val="24"/>
        </w:rPr>
        <w:t>are</w:t>
      </w:r>
      <w:r>
        <w:rPr>
          <w:spacing w:val="40"/>
          <w:sz w:val="24"/>
        </w:rPr>
        <w:t> </w:t>
      </w:r>
      <w:r>
        <w:rPr>
          <w:sz w:val="24"/>
        </w:rPr>
        <w:t>being</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complied with, </w:t>
      </w:r>
      <w:r>
        <w:rPr>
          <w:i/>
        </w:rPr>
        <w:t>AEMO </w:t>
      </w:r>
      <w:r>
        <w:rPr/>
        <w:t>must reimburse the </w:t>
      </w:r>
      <w:r>
        <w:rPr>
          <w:i/>
        </w:rPr>
        <w:t>Registered Participant </w:t>
      </w:r>
      <w:r>
        <w:rPr/>
        <w:t>for the reasonable expenses incurred as a direct result of conducting the tests.</w:t>
      </w:r>
    </w:p>
    <w:p>
      <w:pPr>
        <w:pStyle w:val="ListParagraph"/>
        <w:numPr>
          <w:ilvl w:val="3"/>
          <w:numId w:val="198"/>
        </w:numPr>
        <w:tabs>
          <w:tab w:pos="1918" w:val="left" w:leader="none"/>
          <w:tab w:pos="1919" w:val="left" w:leader="none"/>
        </w:tabs>
        <w:spacing w:line="240" w:lineRule="auto" w:before="120" w:after="0"/>
        <w:ind w:left="1918" w:right="0" w:hanging="567"/>
        <w:jc w:val="left"/>
        <w:rPr>
          <w:sz w:val="24"/>
        </w:rPr>
      </w:pPr>
      <w:r>
        <w:rPr>
          <w:sz w:val="24"/>
        </w:rPr>
        <w:t>If </w:t>
      </w:r>
      <w:r>
        <w:rPr>
          <w:i/>
          <w:sz w:val="24"/>
        </w:rPr>
        <w:t>AEMO</w:t>
      </w:r>
      <w:r>
        <w:rPr>
          <w:sz w:val="24"/>
        </w:rPr>
        <w:t>:</w:t>
      </w:r>
    </w:p>
    <w:p>
      <w:pPr>
        <w:pStyle w:val="ListParagraph"/>
        <w:numPr>
          <w:ilvl w:val="4"/>
          <w:numId w:val="198"/>
        </w:numPr>
        <w:tabs>
          <w:tab w:pos="2486" w:val="left" w:leader="none"/>
        </w:tabs>
        <w:spacing w:line="240" w:lineRule="auto" w:before="120" w:after="0"/>
        <w:ind w:left="2486" w:right="418" w:hanging="567"/>
        <w:jc w:val="both"/>
        <w:rPr>
          <w:sz w:val="24"/>
        </w:rPr>
      </w:pPr>
      <w:r>
        <w:rPr>
          <w:sz w:val="24"/>
        </w:rPr>
        <w:t>is satisfied that the requirements of a </w:t>
      </w:r>
      <w:r>
        <w:rPr>
          <w:i/>
          <w:sz w:val="24"/>
        </w:rPr>
        <w:t>system strength remediation </w:t>
      </w:r>
      <w:r>
        <w:rPr>
          <w:i/>
          <w:sz w:val="24"/>
        </w:rPr>
        <w:t>scheme </w:t>
      </w:r>
      <w:r>
        <w:rPr>
          <w:sz w:val="24"/>
        </w:rPr>
        <w:t>are not being complied with;</w:t>
      </w:r>
      <w:r>
        <w:rPr>
          <w:spacing w:val="-5"/>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holds the reasonable opinion that the failure is impeding or will impede </w:t>
      </w:r>
      <w:r>
        <w:rPr>
          <w:i/>
          <w:sz w:val="24"/>
        </w:rPr>
        <w:t>AEMO's </w:t>
      </w:r>
      <w:r>
        <w:rPr>
          <w:sz w:val="24"/>
        </w:rPr>
        <w:t>ability to carry out its role in relation to </w:t>
      </w:r>
      <w:r>
        <w:rPr>
          <w:i/>
          <w:sz w:val="24"/>
        </w:rPr>
        <w:t>power system </w:t>
      </w:r>
      <w:r>
        <w:rPr>
          <w:i/>
          <w:sz w:val="24"/>
        </w:rPr>
        <w:t>security</w:t>
      </w:r>
      <w:r>
        <w:rPr>
          <w:sz w:val="24"/>
        </w:rPr>
        <w:t>,</w:t>
      </w:r>
    </w:p>
    <w:p>
      <w:pPr>
        <w:spacing w:before="120"/>
        <w:ind w:left="1919" w:right="414" w:firstLine="0"/>
        <w:jc w:val="both"/>
        <w:rPr>
          <w:sz w:val="24"/>
        </w:rPr>
      </w:pPr>
      <w:r>
        <w:rPr>
          <w:i/>
          <w:sz w:val="24"/>
        </w:rPr>
        <w:t>AEMO </w:t>
      </w:r>
      <w:r>
        <w:rPr>
          <w:sz w:val="24"/>
        </w:rPr>
        <w:t>may direct the relevant </w:t>
      </w:r>
      <w:r>
        <w:rPr>
          <w:i/>
          <w:sz w:val="24"/>
        </w:rPr>
        <w:t>Registered Participant </w:t>
      </w:r>
      <w:r>
        <w:rPr>
          <w:sz w:val="24"/>
        </w:rPr>
        <w:t>to operate its </w:t>
      </w:r>
      <w:r>
        <w:rPr>
          <w:i/>
          <w:sz w:val="24"/>
        </w:rPr>
        <w:t>facility </w:t>
      </w:r>
      <w:r>
        <w:rPr>
          <w:sz w:val="24"/>
        </w:rPr>
        <w:t>at a particular output or </w:t>
      </w:r>
      <w:r>
        <w:rPr>
          <w:i/>
          <w:sz w:val="24"/>
        </w:rPr>
        <w:t>power transfer capability </w:t>
      </w:r>
      <w:r>
        <w:rPr>
          <w:sz w:val="24"/>
        </w:rPr>
        <w:t>or in a particular mode until the relevant </w:t>
      </w:r>
      <w:r>
        <w:rPr>
          <w:i/>
          <w:sz w:val="24"/>
        </w:rPr>
        <w:t>Registered Participant </w:t>
      </w:r>
      <w:r>
        <w:rPr>
          <w:sz w:val="24"/>
        </w:rPr>
        <w:t>submits evidence reasonably satisfactory to </w:t>
      </w:r>
      <w:r>
        <w:rPr>
          <w:i/>
          <w:sz w:val="24"/>
        </w:rPr>
        <w:t>AEMO </w:t>
      </w:r>
      <w:r>
        <w:rPr>
          <w:sz w:val="24"/>
        </w:rPr>
        <w:t>that the requirements of the </w:t>
      </w:r>
      <w:r>
        <w:rPr>
          <w:i/>
          <w:sz w:val="24"/>
        </w:rPr>
        <w:t>system strength </w:t>
      </w:r>
      <w:r>
        <w:rPr>
          <w:i/>
          <w:sz w:val="24"/>
        </w:rPr>
        <w:t>remediation scheme </w:t>
      </w:r>
      <w:r>
        <w:rPr>
          <w:sz w:val="24"/>
        </w:rPr>
        <w:t>are being complied</w:t>
      </w:r>
      <w:r>
        <w:rPr>
          <w:spacing w:val="-4"/>
          <w:sz w:val="24"/>
        </w:rPr>
        <w:t> </w:t>
      </w:r>
      <w:r>
        <w:rPr>
          <w:sz w:val="24"/>
        </w:rPr>
        <w:t>with.</w:t>
      </w:r>
    </w:p>
    <w:p>
      <w:pPr>
        <w:pStyle w:val="ListParagraph"/>
        <w:numPr>
          <w:ilvl w:val="3"/>
          <w:numId w:val="198"/>
        </w:numPr>
        <w:tabs>
          <w:tab w:pos="1920" w:val="left" w:leader="none"/>
        </w:tabs>
        <w:spacing w:line="240" w:lineRule="auto" w:before="120" w:after="0"/>
        <w:ind w:left="1919" w:right="415" w:hanging="567"/>
        <w:jc w:val="both"/>
        <w:rPr>
          <w:sz w:val="24"/>
        </w:rPr>
      </w:pPr>
      <w:r>
        <w:rPr>
          <w:sz w:val="24"/>
        </w:rPr>
        <w:t>Each </w:t>
      </w:r>
      <w:r>
        <w:rPr>
          <w:i/>
          <w:sz w:val="24"/>
        </w:rPr>
        <w:t>Registered Participant </w:t>
      </w:r>
      <w:r>
        <w:rPr>
          <w:sz w:val="24"/>
        </w:rPr>
        <w:t>referred to in paragraph (a) must maintain records for 7 years for each of its relevant </w:t>
      </w:r>
      <w:r>
        <w:rPr>
          <w:i/>
          <w:sz w:val="24"/>
        </w:rPr>
        <w:t>facilities </w:t>
      </w:r>
      <w:r>
        <w:rPr>
          <w:sz w:val="24"/>
        </w:rPr>
        <w:t>setting out details of the results of monitoring and testing conducted under this clause 5.7.3A and make these records available to </w:t>
      </w:r>
      <w:r>
        <w:rPr>
          <w:i/>
          <w:sz w:val="24"/>
        </w:rPr>
        <w:t>AEMO </w:t>
      </w:r>
      <w:r>
        <w:rPr>
          <w:sz w:val="24"/>
        </w:rPr>
        <w:t>on</w:t>
      </w:r>
      <w:r>
        <w:rPr>
          <w:spacing w:val="-1"/>
          <w:sz w:val="24"/>
        </w:rPr>
        <w:t> </w:t>
      </w:r>
      <w:r>
        <w:rPr>
          <w:sz w:val="24"/>
        </w:rPr>
        <w:t>request.</w:t>
      </w:r>
    </w:p>
    <w:p>
      <w:pPr>
        <w:pStyle w:val="BodyText"/>
        <w:spacing w:before="10"/>
        <w:ind w:firstLine="0"/>
        <w:jc w:val="left"/>
        <w:rPr>
          <w:sz w:val="20"/>
        </w:rPr>
      </w:pPr>
    </w:p>
    <w:p>
      <w:pPr>
        <w:pStyle w:val="Heading4"/>
        <w:numPr>
          <w:ilvl w:val="2"/>
          <w:numId w:val="198"/>
        </w:numPr>
        <w:tabs>
          <w:tab w:pos="1351" w:val="left" w:leader="none"/>
          <w:tab w:pos="1352" w:val="left" w:leader="none"/>
        </w:tabs>
        <w:spacing w:line="240" w:lineRule="auto" w:before="0" w:after="0"/>
        <w:ind w:left="1351" w:right="0" w:hanging="1134"/>
        <w:jc w:val="left"/>
      </w:pPr>
      <w:bookmarkStart w:name="5.7.4 Routine testing of protection equi" w:id="593"/>
      <w:bookmarkEnd w:id="593"/>
      <w:r>
        <w:rPr>
          <w:b w:val="0"/>
        </w:rPr>
      </w:r>
      <w:bookmarkStart w:name="_bookmark237" w:id="594"/>
      <w:bookmarkEnd w:id="594"/>
      <w:r>
        <w:rPr>
          <w:b w:val="0"/>
        </w:rPr>
      </w:r>
      <w:bookmarkStart w:name="_bookmark237" w:id="595"/>
      <w:bookmarkEnd w:id="595"/>
      <w:r>
        <w:rPr/>
        <w:t>Routin</w:t>
      </w:r>
      <w:r>
        <w:rPr/>
        <w:t>e testing of protection</w:t>
      </w:r>
      <w:r>
        <w:rPr>
          <w:spacing w:val="-4"/>
        </w:rPr>
        <w:t> </w:t>
      </w:r>
      <w:r>
        <w:rPr/>
        <w:t>equipment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application of paragraphs (a1) and (a2)(3) of this clause will be revisited as part of the phased implementation of the </w:t>
      </w:r>
      <w:r>
        <w:rPr>
          <w:i/>
          <w:sz w:val="20"/>
        </w:rPr>
        <w:t>Rules </w:t>
      </w:r>
      <w:r>
        <w:rPr>
          <w:sz w:val="20"/>
        </w:rPr>
        <w:t>in this jurisdiction.</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must co-operate with any relevant </w:t>
      </w:r>
      <w:r>
        <w:rPr>
          <w:i/>
          <w:sz w:val="24"/>
        </w:rPr>
        <w:t>Network </w:t>
      </w:r>
      <w:r>
        <w:rPr>
          <w:i/>
          <w:sz w:val="24"/>
        </w:rPr>
        <w:t>Service Provider </w:t>
      </w:r>
      <w:r>
        <w:rPr>
          <w:sz w:val="24"/>
        </w:rPr>
        <w:t>to test the operation of equipment forming part of a </w:t>
      </w:r>
      <w:r>
        <w:rPr>
          <w:i/>
          <w:sz w:val="24"/>
        </w:rPr>
        <w:t>protection system </w:t>
      </w:r>
      <w:r>
        <w:rPr>
          <w:sz w:val="24"/>
        </w:rPr>
        <w:t>relating to a </w:t>
      </w:r>
      <w:r>
        <w:rPr>
          <w:i/>
          <w:sz w:val="24"/>
        </w:rPr>
        <w:t>connection point </w:t>
      </w:r>
      <w:r>
        <w:rPr>
          <w:sz w:val="24"/>
        </w:rPr>
        <w:t>at which that </w:t>
      </w:r>
      <w:r>
        <w:rPr>
          <w:i/>
          <w:sz w:val="24"/>
        </w:rPr>
        <w:t>Registered </w:t>
      </w:r>
      <w:r>
        <w:rPr>
          <w:i/>
          <w:sz w:val="24"/>
        </w:rPr>
        <w:t>Participant </w:t>
      </w:r>
      <w:r>
        <w:rPr>
          <w:sz w:val="24"/>
        </w:rPr>
        <w:t>is </w:t>
      </w:r>
      <w:r>
        <w:rPr>
          <w:i/>
          <w:sz w:val="24"/>
        </w:rPr>
        <w:t>connected </w:t>
      </w:r>
      <w:r>
        <w:rPr>
          <w:sz w:val="24"/>
        </w:rPr>
        <w:t>to a </w:t>
      </w:r>
      <w:r>
        <w:rPr>
          <w:i/>
          <w:sz w:val="24"/>
        </w:rPr>
        <w:t>network </w:t>
      </w:r>
      <w:r>
        <w:rPr>
          <w:sz w:val="24"/>
        </w:rPr>
        <w:t>and the </w:t>
      </w:r>
      <w:r>
        <w:rPr>
          <w:i/>
          <w:sz w:val="24"/>
        </w:rPr>
        <w:t>Registered Participant </w:t>
      </w:r>
      <w:r>
        <w:rPr>
          <w:spacing w:val="-3"/>
          <w:sz w:val="24"/>
        </w:rPr>
        <w:t>must </w:t>
      </w:r>
      <w:r>
        <w:rPr>
          <w:sz w:val="24"/>
        </w:rPr>
        <w:t>conduct these</w:t>
      </w:r>
      <w:r>
        <w:rPr>
          <w:spacing w:val="-1"/>
          <w:sz w:val="24"/>
        </w:rPr>
        <w:t> </w:t>
      </w:r>
      <w:r>
        <w:rPr>
          <w:sz w:val="24"/>
        </w:rPr>
        <w:t>tests:</w:t>
      </w:r>
    </w:p>
    <w:p>
      <w:pPr>
        <w:pStyle w:val="ListParagraph"/>
        <w:numPr>
          <w:ilvl w:val="4"/>
          <w:numId w:val="198"/>
        </w:numPr>
        <w:tabs>
          <w:tab w:pos="2486" w:val="left" w:leader="none"/>
        </w:tabs>
        <w:spacing w:line="240" w:lineRule="auto" w:before="120" w:after="0"/>
        <w:ind w:left="2486" w:right="416" w:hanging="567"/>
        <w:jc w:val="both"/>
        <w:rPr>
          <w:sz w:val="24"/>
        </w:rPr>
      </w:pPr>
      <w:r>
        <w:rPr>
          <w:sz w:val="24"/>
        </w:rPr>
        <w:t>prior to the </w:t>
      </w:r>
      <w:r>
        <w:rPr>
          <w:i/>
          <w:sz w:val="24"/>
        </w:rPr>
        <w:t>plant </w:t>
      </w:r>
      <w:r>
        <w:rPr>
          <w:sz w:val="24"/>
        </w:rPr>
        <w:t>at the relevant </w:t>
      </w:r>
      <w:r>
        <w:rPr>
          <w:i/>
          <w:sz w:val="24"/>
        </w:rPr>
        <w:t>connection point </w:t>
      </w:r>
      <w:r>
        <w:rPr>
          <w:sz w:val="24"/>
        </w:rPr>
        <w:t>being placed in service;</w:t>
      </w:r>
      <w:r>
        <w:rPr>
          <w:spacing w:val="-2"/>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at intervals specified in the </w:t>
      </w:r>
      <w:r>
        <w:rPr>
          <w:i/>
          <w:sz w:val="24"/>
        </w:rPr>
        <w:t>connection agreement </w:t>
      </w:r>
      <w:r>
        <w:rPr>
          <w:sz w:val="24"/>
        </w:rPr>
        <w:t>or in accordance with an asset management plan agreed between the </w:t>
      </w:r>
      <w:r>
        <w:rPr>
          <w:i/>
          <w:sz w:val="24"/>
        </w:rPr>
        <w:t>Network Service </w:t>
      </w:r>
      <w:r>
        <w:rPr>
          <w:i/>
          <w:sz w:val="24"/>
        </w:rPr>
        <w:t>Provider </w:t>
      </w:r>
      <w:r>
        <w:rPr>
          <w:sz w:val="24"/>
        </w:rPr>
        <w:t>and the </w:t>
      </w:r>
      <w:r>
        <w:rPr>
          <w:i/>
          <w:sz w:val="24"/>
        </w:rPr>
        <w:t>Registered</w:t>
      </w:r>
      <w:r>
        <w:rPr>
          <w:i/>
          <w:spacing w:val="-1"/>
          <w:sz w:val="24"/>
        </w:rPr>
        <w:t> </w:t>
      </w:r>
      <w:r>
        <w:rPr>
          <w:i/>
          <w:sz w:val="24"/>
        </w:rPr>
        <w:t>Participant</w:t>
      </w:r>
      <w:r>
        <w:rPr>
          <w:sz w:val="24"/>
        </w:rPr>
        <w:t>.</w:t>
      </w:r>
    </w:p>
    <w:p>
      <w:pPr>
        <w:spacing w:before="120"/>
        <w:ind w:left="1919" w:right="414" w:hanging="567"/>
        <w:jc w:val="both"/>
        <w:rPr>
          <w:sz w:val="24"/>
        </w:rPr>
      </w:pPr>
      <w:r>
        <w:rPr>
          <w:sz w:val="24"/>
        </w:rPr>
        <w:t>(a1) A </w:t>
      </w:r>
      <w:r>
        <w:rPr>
          <w:i/>
          <w:sz w:val="24"/>
        </w:rPr>
        <w:t>Network Service Provider </w:t>
      </w:r>
      <w:r>
        <w:rPr>
          <w:sz w:val="24"/>
        </w:rPr>
        <w:t>must institute and maintain a compliance program to ensure that its </w:t>
      </w:r>
      <w:r>
        <w:rPr>
          <w:i/>
          <w:sz w:val="24"/>
        </w:rPr>
        <w:t>facilities </w:t>
      </w:r>
      <w:r>
        <w:rPr>
          <w:sz w:val="24"/>
        </w:rPr>
        <w:t>of the following types, to the extent that the proper operation of a </w:t>
      </w:r>
      <w:r>
        <w:rPr>
          <w:i/>
          <w:sz w:val="24"/>
        </w:rPr>
        <w:t>facility </w:t>
      </w:r>
      <w:r>
        <w:rPr>
          <w:sz w:val="24"/>
        </w:rPr>
        <w:t>listed in this clause may affect </w:t>
      </w:r>
      <w:r>
        <w:rPr>
          <w:i/>
          <w:sz w:val="24"/>
        </w:rPr>
        <w:t>power </w:t>
      </w:r>
      <w:r>
        <w:rPr>
          <w:i/>
          <w:sz w:val="24"/>
        </w:rPr>
        <w:t>system security</w:t>
      </w:r>
      <w:r>
        <w:rPr>
          <w:sz w:val="24"/>
        </w:rPr>
        <w:t>, operate reliably and in accordance with any performance requirements under </w:t>
      </w:r>
      <w:r>
        <w:rPr>
          <w:i/>
          <w:sz w:val="24"/>
        </w:rPr>
        <w:t>jurisdictional electricity</w:t>
      </w:r>
      <w:r>
        <w:rPr>
          <w:i/>
          <w:spacing w:val="-1"/>
          <w:sz w:val="24"/>
        </w:rPr>
        <w:t> </w:t>
      </w:r>
      <w:r>
        <w:rPr>
          <w:i/>
          <w:sz w:val="24"/>
        </w:rPr>
        <w:t>legislation</w:t>
      </w:r>
      <w:r>
        <w:rPr>
          <w:sz w:val="24"/>
        </w:rPr>
        <w:t>:</w:t>
      </w:r>
    </w:p>
    <w:p>
      <w:pPr>
        <w:pStyle w:val="ListParagraph"/>
        <w:numPr>
          <w:ilvl w:val="0"/>
          <w:numId w:val="199"/>
        </w:numPr>
        <w:tabs>
          <w:tab w:pos="2485" w:val="left" w:leader="none"/>
          <w:tab w:pos="2486" w:val="left" w:leader="none"/>
        </w:tabs>
        <w:spacing w:line="240" w:lineRule="auto" w:before="120" w:after="0"/>
        <w:ind w:left="2485" w:right="0" w:hanging="567"/>
        <w:jc w:val="left"/>
        <w:rPr>
          <w:sz w:val="24"/>
        </w:rPr>
      </w:pPr>
      <w:r>
        <w:rPr>
          <w:i/>
          <w:sz w:val="24"/>
        </w:rPr>
        <w:t>protection</w:t>
      </w:r>
      <w:r>
        <w:rPr>
          <w:i/>
          <w:spacing w:val="-1"/>
          <w:sz w:val="24"/>
        </w:rPr>
        <w:t> </w:t>
      </w:r>
      <w:r>
        <w:rPr>
          <w:i/>
          <w:sz w:val="24"/>
        </w:rPr>
        <w:t>systems</w:t>
      </w:r>
      <w:r>
        <w:rPr>
          <w:sz w:val="24"/>
        </w:rPr>
        <w:t>;</w:t>
      </w:r>
    </w:p>
    <w:p>
      <w:pPr>
        <w:pStyle w:val="ListParagraph"/>
        <w:numPr>
          <w:ilvl w:val="0"/>
          <w:numId w:val="199"/>
        </w:numPr>
        <w:tabs>
          <w:tab w:pos="2485" w:val="left" w:leader="none"/>
          <w:tab w:pos="2486" w:val="left" w:leader="none"/>
        </w:tabs>
        <w:spacing w:line="240" w:lineRule="auto" w:before="120" w:after="0"/>
        <w:ind w:left="2485" w:right="0" w:hanging="567"/>
        <w:jc w:val="left"/>
        <w:rPr>
          <w:sz w:val="24"/>
        </w:rPr>
      </w:pPr>
      <w:r>
        <w:rPr>
          <w:i/>
          <w:sz w:val="24"/>
        </w:rPr>
        <w:t>control systems </w:t>
      </w:r>
      <w:r>
        <w:rPr>
          <w:sz w:val="24"/>
        </w:rPr>
        <w:t>for maintaining or enhancing </w:t>
      </w:r>
      <w:r>
        <w:rPr>
          <w:i/>
          <w:sz w:val="24"/>
        </w:rPr>
        <w:t>power system</w:t>
      </w:r>
      <w:r>
        <w:rPr>
          <w:i/>
          <w:spacing w:val="-6"/>
          <w:sz w:val="24"/>
        </w:rPr>
        <w:t> </w:t>
      </w:r>
      <w:r>
        <w:rPr>
          <w:sz w:val="24"/>
        </w:rPr>
        <w:t>stability;</w:t>
      </w:r>
    </w:p>
    <w:p>
      <w:pPr>
        <w:pStyle w:val="ListParagraph"/>
        <w:numPr>
          <w:ilvl w:val="0"/>
          <w:numId w:val="199"/>
        </w:numPr>
        <w:tabs>
          <w:tab w:pos="2485" w:val="left" w:leader="none"/>
          <w:tab w:pos="2486" w:val="left" w:leader="none"/>
        </w:tabs>
        <w:spacing w:line="240" w:lineRule="auto" w:before="120" w:after="0"/>
        <w:ind w:left="2485" w:right="0" w:hanging="567"/>
        <w:jc w:val="left"/>
        <w:rPr>
          <w:sz w:val="24"/>
        </w:rPr>
      </w:pPr>
      <w:r>
        <w:rPr>
          <w:i/>
          <w:sz w:val="24"/>
        </w:rPr>
        <w:t>control systems </w:t>
      </w:r>
      <w:r>
        <w:rPr>
          <w:sz w:val="24"/>
        </w:rPr>
        <w:t>for controlling </w:t>
      </w:r>
      <w:r>
        <w:rPr>
          <w:i/>
          <w:sz w:val="24"/>
        </w:rPr>
        <w:t>voltage </w:t>
      </w:r>
      <w:r>
        <w:rPr>
          <w:sz w:val="24"/>
        </w:rPr>
        <w:t>or </w:t>
      </w:r>
      <w:r>
        <w:rPr>
          <w:i/>
          <w:sz w:val="24"/>
        </w:rPr>
        <w:t>reactive power</w:t>
      </w:r>
      <w:r>
        <w:rPr>
          <w:sz w:val="24"/>
        </w:rPr>
        <w:t>;</w:t>
      </w:r>
      <w:r>
        <w:rPr>
          <w:spacing w:val="-5"/>
          <w:sz w:val="24"/>
        </w:rPr>
        <w:t> </w:t>
      </w:r>
      <w:r>
        <w:rPr>
          <w:sz w:val="24"/>
        </w:rPr>
        <w:t>and</w:t>
      </w:r>
    </w:p>
    <w:p>
      <w:pPr>
        <w:pStyle w:val="ListParagraph"/>
        <w:numPr>
          <w:ilvl w:val="0"/>
          <w:numId w:val="199"/>
        </w:numPr>
        <w:tabs>
          <w:tab w:pos="2485" w:val="left" w:leader="none"/>
          <w:tab w:pos="2486" w:val="left" w:leader="none"/>
        </w:tabs>
        <w:spacing w:line="240" w:lineRule="auto" w:before="120" w:after="0"/>
        <w:ind w:left="2485" w:right="0" w:hanging="567"/>
        <w:jc w:val="left"/>
        <w:rPr>
          <w:sz w:val="24"/>
        </w:rPr>
      </w:pPr>
      <w:r>
        <w:rPr>
          <w:i/>
          <w:sz w:val="24"/>
        </w:rPr>
        <w:t>control systems </w:t>
      </w:r>
      <w:r>
        <w:rPr>
          <w:sz w:val="24"/>
        </w:rPr>
        <w:t>for </w:t>
      </w:r>
      <w:r>
        <w:rPr>
          <w:i/>
          <w:sz w:val="24"/>
        </w:rPr>
        <w:t>load</w:t>
      </w:r>
      <w:r>
        <w:rPr>
          <w:i/>
          <w:spacing w:val="-2"/>
          <w:sz w:val="24"/>
        </w:rPr>
        <w:t> </w:t>
      </w:r>
      <w:r>
        <w:rPr>
          <w:i/>
          <w:sz w:val="24"/>
        </w:rPr>
        <w:t>shedding</w:t>
      </w:r>
      <w:r>
        <w:rPr>
          <w:sz w:val="24"/>
        </w:rPr>
        <w:t>.</w:t>
      </w:r>
    </w:p>
    <w:p>
      <w:pPr>
        <w:spacing w:after="0" w:line="240" w:lineRule="auto"/>
        <w:jc w:val="left"/>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The requirements that will apply under </w:t>
      </w:r>
      <w:r>
        <w:rPr>
          <w:i/>
          <w:sz w:val="20"/>
        </w:rPr>
        <w:t>jurisdictional electricity legislation </w:t>
      </w:r>
      <w:r>
        <w:rPr>
          <w:sz w:val="20"/>
        </w:rPr>
        <w:t>for the purposes of paragraph (a1) will be requirements that correspond to the matters set out in Schedule</w:t>
      </w:r>
    </w:p>
    <w:p>
      <w:pPr>
        <w:spacing w:before="0"/>
        <w:ind w:left="1919" w:right="0" w:firstLine="0"/>
        <w:jc w:val="both"/>
        <w:rPr>
          <w:sz w:val="20"/>
        </w:rPr>
      </w:pPr>
      <w:r>
        <w:rPr>
          <w:sz w:val="20"/>
        </w:rPr>
        <w:t>5.1 as applying in other </w:t>
      </w:r>
      <w:r>
        <w:rPr>
          <w:i/>
          <w:sz w:val="20"/>
        </w:rPr>
        <w:t>participating jurisdictions</w:t>
      </w:r>
      <w:r>
        <w:rPr>
          <w:sz w:val="20"/>
        </w:rPr>
        <w:t>.</w:t>
      </w:r>
    </w:p>
    <w:p>
      <w:pPr>
        <w:pStyle w:val="BodyText"/>
        <w:ind w:left="1352" w:firstLine="0"/>
      </w:pPr>
      <w:r>
        <w:rPr/>
        <w:t>(a2) A compliance program under clause 5.7.4(a1) must:</w:t>
      </w:r>
    </w:p>
    <w:p>
      <w:pPr>
        <w:pStyle w:val="ListParagraph"/>
        <w:numPr>
          <w:ilvl w:val="0"/>
          <w:numId w:val="200"/>
        </w:numPr>
        <w:tabs>
          <w:tab w:pos="2486" w:val="left" w:leader="none"/>
        </w:tabs>
        <w:spacing w:line="240" w:lineRule="auto" w:before="120" w:after="0"/>
        <w:ind w:left="2485" w:right="0" w:hanging="567"/>
        <w:jc w:val="both"/>
        <w:rPr>
          <w:sz w:val="24"/>
        </w:rPr>
      </w:pPr>
      <w:r>
        <w:rPr>
          <w:sz w:val="24"/>
        </w:rPr>
        <w:t>include monitoring of the performance of the</w:t>
      </w:r>
      <w:r>
        <w:rPr>
          <w:spacing w:val="-1"/>
          <w:sz w:val="24"/>
        </w:rPr>
        <w:t> </w:t>
      </w:r>
      <w:r>
        <w:rPr>
          <w:i/>
          <w:sz w:val="24"/>
        </w:rPr>
        <w:t>facilities</w:t>
      </w:r>
      <w:r>
        <w:rPr>
          <w:sz w:val="24"/>
        </w:rPr>
        <w:t>;</w:t>
      </w:r>
    </w:p>
    <w:p>
      <w:pPr>
        <w:pStyle w:val="ListParagraph"/>
        <w:numPr>
          <w:ilvl w:val="0"/>
          <w:numId w:val="200"/>
        </w:numPr>
        <w:tabs>
          <w:tab w:pos="2486" w:val="left" w:leader="none"/>
        </w:tabs>
        <w:spacing w:line="240" w:lineRule="auto" w:before="120" w:after="0"/>
        <w:ind w:left="2486" w:right="415" w:hanging="567"/>
        <w:jc w:val="both"/>
        <w:rPr>
          <w:sz w:val="24"/>
        </w:rPr>
      </w:pPr>
      <w:r>
        <w:rPr>
          <w:sz w:val="24"/>
        </w:rPr>
        <w:t>to the extent reasonably necessary, include provision for periodic testing of the performance of those </w:t>
      </w:r>
      <w:r>
        <w:rPr>
          <w:i/>
          <w:sz w:val="24"/>
        </w:rPr>
        <w:t>facilities </w:t>
      </w:r>
      <w:r>
        <w:rPr>
          <w:sz w:val="24"/>
        </w:rPr>
        <w:t>upon which </w:t>
      </w:r>
      <w:r>
        <w:rPr>
          <w:i/>
          <w:sz w:val="24"/>
        </w:rPr>
        <w:t>power system </w:t>
      </w:r>
      <w:r>
        <w:rPr>
          <w:i/>
          <w:sz w:val="24"/>
        </w:rPr>
        <w:t>security</w:t>
      </w:r>
      <w:r>
        <w:rPr>
          <w:i/>
          <w:spacing w:val="-2"/>
          <w:sz w:val="24"/>
        </w:rPr>
        <w:t> </w:t>
      </w:r>
      <w:r>
        <w:rPr>
          <w:sz w:val="24"/>
        </w:rPr>
        <w:t>depends;</w:t>
      </w:r>
    </w:p>
    <w:p>
      <w:pPr>
        <w:pStyle w:val="ListParagraph"/>
        <w:numPr>
          <w:ilvl w:val="0"/>
          <w:numId w:val="200"/>
        </w:numPr>
        <w:tabs>
          <w:tab w:pos="2486" w:val="left" w:leader="none"/>
        </w:tabs>
        <w:spacing w:line="240" w:lineRule="auto" w:before="120" w:after="0"/>
        <w:ind w:left="2486" w:right="415" w:hanging="567"/>
        <w:jc w:val="both"/>
        <w:rPr>
          <w:sz w:val="24"/>
        </w:rPr>
      </w:pPr>
      <w:r>
        <w:rPr>
          <w:sz w:val="24"/>
        </w:rPr>
        <w:t>provide reasonable assurance of ongoing compliance of the </w:t>
      </w:r>
      <w:r>
        <w:rPr>
          <w:i/>
          <w:spacing w:val="-3"/>
          <w:sz w:val="24"/>
        </w:rPr>
        <w:t>facilities </w:t>
      </w:r>
      <w:r>
        <w:rPr>
          <w:sz w:val="24"/>
        </w:rPr>
        <w:t>with the relevant performance requirements under </w:t>
      </w:r>
      <w:r>
        <w:rPr>
          <w:i/>
          <w:sz w:val="24"/>
        </w:rPr>
        <w:t>jurisdictional </w:t>
      </w:r>
      <w:r>
        <w:rPr>
          <w:i/>
          <w:sz w:val="24"/>
        </w:rPr>
        <w:t>electricity legislation</w:t>
      </w:r>
      <w:r>
        <w:rPr>
          <w:sz w:val="24"/>
        </w:rPr>
        <w:t>;</w:t>
      </w:r>
      <w:r>
        <w:rPr>
          <w:spacing w:val="-1"/>
          <w:sz w:val="24"/>
        </w:rPr>
        <w:t> </w:t>
      </w:r>
      <w:r>
        <w:rPr>
          <w:sz w:val="24"/>
        </w:rPr>
        <w:t>and</w:t>
      </w:r>
    </w:p>
    <w:p>
      <w:pPr>
        <w:pStyle w:val="ListParagraph"/>
        <w:numPr>
          <w:ilvl w:val="0"/>
          <w:numId w:val="200"/>
        </w:numPr>
        <w:tabs>
          <w:tab w:pos="2486" w:val="left" w:leader="none"/>
        </w:tabs>
        <w:spacing w:line="240" w:lineRule="auto" w:before="120" w:after="0"/>
        <w:ind w:left="2485" w:right="0" w:hanging="567"/>
        <w:jc w:val="both"/>
        <w:rPr>
          <w:sz w:val="24"/>
        </w:rPr>
      </w:pPr>
      <w:r>
        <w:rPr>
          <w:sz w:val="24"/>
        </w:rPr>
        <w:t>be in accordance with </w:t>
      </w:r>
      <w:r>
        <w:rPr>
          <w:i/>
          <w:sz w:val="24"/>
        </w:rPr>
        <w:t>good electricity industry</w:t>
      </w:r>
      <w:r>
        <w:rPr>
          <w:i/>
          <w:spacing w:val="-4"/>
          <w:sz w:val="24"/>
        </w:rPr>
        <w:t> </w:t>
      </w:r>
      <w:r>
        <w:rPr>
          <w:i/>
          <w:sz w:val="24"/>
        </w:rPr>
        <w:t>practice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requirements that will apply under </w:t>
      </w:r>
      <w:r>
        <w:rPr>
          <w:i/>
          <w:sz w:val="20"/>
        </w:rPr>
        <w:t>jurisdictional electricity legislation </w:t>
      </w:r>
      <w:r>
        <w:rPr>
          <w:sz w:val="20"/>
        </w:rPr>
        <w:t>for the purposes of paragraph (a2)(3) will be requirements that correspond to the matters set out in Schedule</w:t>
      </w:r>
    </w:p>
    <w:p>
      <w:pPr>
        <w:spacing w:before="0"/>
        <w:ind w:left="1919" w:right="0" w:firstLine="0"/>
        <w:jc w:val="both"/>
        <w:rPr>
          <w:sz w:val="20"/>
        </w:rPr>
      </w:pPr>
      <w:r>
        <w:rPr>
          <w:sz w:val="20"/>
        </w:rPr>
        <w:t>5.1 as applying in other </w:t>
      </w:r>
      <w:r>
        <w:rPr>
          <w:i/>
          <w:sz w:val="20"/>
        </w:rPr>
        <w:t>participating jurisdictions</w:t>
      </w:r>
      <w:r>
        <w:rPr>
          <w:sz w:val="20"/>
        </w:rPr>
        <w:t>.</w:t>
      </w:r>
    </w:p>
    <w:p>
      <w:pPr>
        <w:pStyle w:val="BodyText"/>
        <w:ind w:left="1919" w:right="415"/>
      </w:pPr>
      <w:r>
        <w:rPr/>
        <w:t>(a3) A </w:t>
      </w:r>
      <w:r>
        <w:rPr>
          <w:i/>
        </w:rPr>
        <w:t>Network Service Provider </w:t>
      </w:r>
      <w:r>
        <w:rPr/>
        <w:t>must immediately notify </w:t>
      </w:r>
      <w:r>
        <w:rPr>
          <w:i/>
        </w:rPr>
        <w:t>NTESMO </w:t>
      </w:r>
      <w:r>
        <w:rPr/>
        <w:t>if </w:t>
      </w:r>
      <w:r>
        <w:rPr>
          <w:spacing w:val="-6"/>
        </w:rPr>
        <w:t>it </w:t>
      </w:r>
      <w:r>
        <w:rPr/>
        <w:t>reasonably believes that a </w:t>
      </w:r>
      <w:r>
        <w:rPr>
          <w:i/>
        </w:rPr>
        <w:t>facility </w:t>
      </w:r>
      <w:r>
        <w:rPr/>
        <w:t>of a type listed in clause 5.7.4(a1) does not comply with, or is likely not to comply with, its performance requirements.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ind w:left="1352" w:firstLine="0"/>
      </w:pPr>
      <w:r>
        <w:rPr/>
        <w:t>(a4) A notice issued under clause 5.7.4(a3) must:</w:t>
      </w:r>
    </w:p>
    <w:p>
      <w:pPr>
        <w:pStyle w:val="ListParagraph"/>
        <w:numPr>
          <w:ilvl w:val="0"/>
          <w:numId w:val="201"/>
        </w:numPr>
        <w:tabs>
          <w:tab w:pos="2486" w:val="left" w:leader="none"/>
        </w:tabs>
        <w:spacing w:line="240" w:lineRule="auto" w:before="120" w:after="0"/>
        <w:ind w:left="2486" w:right="415" w:hanging="567"/>
        <w:jc w:val="both"/>
        <w:rPr>
          <w:sz w:val="24"/>
        </w:rPr>
      </w:pPr>
      <w:r>
        <w:rPr>
          <w:sz w:val="24"/>
        </w:rPr>
        <w:t>identify the </w:t>
      </w:r>
      <w:r>
        <w:rPr>
          <w:i/>
          <w:sz w:val="24"/>
        </w:rPr>
        <w:t>facility </w:t>
      </w:r>
      <w:r>
        <w:rPr>
          <w:sz w:val="24"/>
        </w:rPr>
        <w:t>and the requirement with which the </w:t>
      </w:r>
      <w:r>
        <w:rPr>
          <w:i/>
          <w:sz w:val="24"/>
        </w:rPr>
        <w:t>facility </w:t>
      </w:r>
      <w:r>
        <w:rPr>
          <w:sz w:val="24"/>
        </w:rPr>
        <w:t>does not</w:t>
      </w:r>
      <w:r>
        <w:rPr>
          <w:spacing w:val="-1"/>
          <w:sz w:val="24"/>
        </w:rPr>
        <w:t> </w:t>
      </w:r>
      <w:r>
        <w:rPr>
          <w:sz w:val="24"/>
        </w:rPr>
        <w:t>comply;</w:t>
      </w:r>
    </w:p>
    <w:p>
      <w:pPr>
        <w:pStyle w:val="ListParagraph"/>
        <w:numPr>
          <w:ilvl w:val="0"/>
          <w:numId w:val="201"/>
        </w:numPr>
        <w:tabs>
          <w:tab w:pos="2486" w:val="left" w:leader="none"/>
        </w:tabs>
        <w:spacing w:line="240" w:lineRule="auto" w:before="120" w:after="0"/>
        <w:ind w:left="2486" w:right="415" w:hanging="567"/>
        <w:jc w:val="both"/>
        <w:rPr>
          <w:sz w:val="24"/>
        </w:rPr>
      </w:pPr>
      <w:r>
        <w:rPr>
          <w:sz w:val="24"/>
        </w:rPr>
        <w:t>give an explanation of the reason why the </w:t>
      </w:r>
      <w:r>
        <w:rPr>
          <w:i/>
          <w:sz w:val="24"/>
        </w:rPr>
        <w:t>facility </w:t>
      </w:r>
      <w:r>
        <w:rPr>
          <w:sz w:val="24"/>
        </w:rPr>
        <w:t>failed to comply with its performance</w:t>
      </w:r>
      <w:r>
        <w:rPr>
          <w:spacing w:val="-2"/>
          <w:sz w:val="24"/>
        </w:rPr>
        <w:t> </w:t>
      </w:r>
      <w:r>
        <w:rPr>
          <w:sz w:val="24"/>
        </w:rPr>
        <w:t>requirement;</w:t>
      </w:r>
    </w:p>
    <w:p>
      <w:pPr>
        <w:pStyle w:val="ListParagraph"/>
        <w:numPr>
          <w:ilvl w:val="0"/>
          <w:numId w:val="201"/>
        </w:numPr>
        <w:tabs>
          <w:tab w:pos="2486" w:val="left" w:leader="none"/>
        </w:tabs>
        <w:spacing w:line="240" w:lineRule="auto" w:before="120" w:after="0"/>
        <w:ind w:left="2486" w:right="415" w:hanging="567"/>
        <w:jc w:val="both"/>
        <w:rPr>
          <w:sz w:val="24"/>
        </w:rPr>
      </w:pPr>
      <w:r>
        <w:rPr>
          <w:sz w:val="24"/>
        </w:rPr>
        <w:t>give the date and time when the </w:t>
      </w:r>
      <w:r>
        <w:rPr>
          <w:i/>
          <w:sz w:val="24"/>
        </w:rPr>
        <w:t>facility </w:t>
      </w:r>
      <w:r>
        <w:rPr>
          <w:sz w:val="24"/>
        </w:rPr>
        <w:t>failed to comply with its performance</w:t>
      </w:r>
      <w:r>
        <w:rPr>
          <w:spacing w:val="-1"/>
          <w:sz w:val="24"/>
        </w:rPr>
        <w:t> </w:t>
      </w:r>
      <w:r>
        <w:rPr>
          <w:sz w:val="24"/>
        </w:rPr>
        <w:t>requirement;</w:t>
      </w:r>
    </w:p>
    <w:p>
      <w:pPr>
        <w:pStyle w:val="ListParagraph"/>
        <w:numPr>
          <w:ilvl w:val="0"/>
          <w:numId w:val="201"/>
        </w:numPr>
        <w:tabs>
          <w:tab w:pos="2486" w:val="left" w:leader="none"/>
        </w:tabs>
        <w:spacing w:line="240" w:lineRule="auto" w:before="120" w:after="0"/>
        <w:ind w:left="2486" w:right="415" w:hanging="567"/>
        <w:jc w:val="both"/>
        <w:rPr>
          <w:sz w:val="24"/>
        </w:rPr>
      </w:pPr>
      <w:r>
        <w:rPr>
          <w:sz w:val="24"/>
        </w:rPr>
        <w:t>give the date and time when the </w:t>
      </w:r>
      <w:r>
        <w:rPr>
          <w:i/>
          <w:sz w:val="24"/>
        </w:rPr>
        <w:t>facility </w:t>
      </w:r>
      <w:r>
        <w:rPr>
          <w:sz w:val="24"/>
        </w:rPr>
        <w:t>is expected to again comply with its performance requirement;</w:t>
      </w:r>
      <w:r>
        <w:rPr>
          <w:spacing w:val="-2"/>
          <w:sz w:val="24"/>
        </w:rPr>
        <w:t> </w:t>
      </w:r>
      <w:r>
        <w:rPr>
          <w:sz w:val="24"/>
        </w:rPr>
        <w:t>and</w:t>
      </w:r>
    </w:p>
    <w:p>
      <w:pPr>
        <w:pStyle w:val="ListParagraph"/>
        <w:numPr>
          <w:ilvl w:val="0"/>
          <w:numId w:val="201"/>
        </w:numPr>
        <w:tabs>
          <w:tab w:pos="2486" w:val="left" w:leader="none"/>
        </w:tabs>
        <w:spacing w:line="240" w:lineRule="auto" w:before="120" w:after="0"/>
        <w:ind w:left="2486" w:right="415" w:hanging="567"/>
        <w:jc w:val="both"/>
        <w:rPr>
          <w:sz w:val="24"/>
        </w:rPr>
      </w:pPr>
      <w:r>
        <w:rPr>
          <w:sz w:val="24"/>
        </w:rPr>
        <w:t>describe the expected impact of the failure on the performance of the </w:t>
      </w:r>
      <w:r>
        <w:rPr>
          <w:i/>
          <w:sz w:val="24"/>
        </w:rPr>
        <w:t>Network Service Provider's transmission system </w:t>
      </w:r>
      <w:r>
        <w:rPr>
          <w:sz w:val="24"/>
        </w:rPr>
        <w:t>or </w:t>
      </w:r>
      <w:r>
        <w:rPr>
          <w:i/>
          <w:sz w:val="24"/>
        </w:rPr>
        <w:t>distribution </w:t>
      </w:r>
      <w:r>
        <w:rPr>
          <w:i/>
          <w:sz w:val="24"/>
        </w:rPr>
        <w:t>system</w:t>
      </w:r>
      <w:r>
        <w:rPr>
          <w:sz w:val="24"/>
        </w:rPr>
        <w:t>.</w:t>
      </w:r>
    </w:p>
    <w:p>
      <w:pPr>
        <w:pStyle w:val="ListParagraph"/>
        <w:numPr>
          <w:ilvl w:val="3"/>
          <w:numId w:val="198"/>
        </w:numPr>
        <w:tabs>
          <w:tab w:pos="1919" w:val="left" w:leader="none"/>
        </w:tabs>
        <w:spacing w:line="240" w:lineRule="auto" w:before="120" w:after="0"/>
        <w:ind w:left="1919" w:right="413" w:hanging="567"/>
        <w:jc w:val="both"/>
        <w:rPr>
          <w:sz w:val="24"/>
        </w:rPr>
      </w:pPr>
      <w:r>
        <w:rPr>
          <w:sz w:val="24"/>
        </w:rPr>
        <w:t>Each </w:t>
      </w:r>
      <w:r>
        <w:rPr>
          <w:i/>
          <w:sz w:val="24"/>
        </w:rPr>
        <w:t>Registered Participant </w:t>
      </w:r>
      <w:r>
        <w:rPr>
          <w:sz w:val="24"/>
        </w:rPr>
        <w:t>must bear its own costs of conducting tests under this clause</w:t>
      </w:r>
      <w:r>
        <w:rPr>
          <w:spacing w:val="-1"/>
          <w:sz w:val="24"/>
        </w:rPr>
        <w:t> </w:t>
      </w:r>
      <w:r>
        <w:rPr>
          <w:sz w:val="24"/>
        </w:rPr>
        <w:t>5.7.4.</w:t>
      </w:r>
    </w:p>
    <w:p>
      <w:pPr>
        <w:spacing w:after="0" w:line="240" w:lineRule="auto"/>
        <w:jc w:val="both"/>
        <w:rPr>
          <w:sz w:val="24"/>
        </w:rPr>
        <w:sectPr>
          <w:pgSz w:w="11910" w:h="16840"/>
          <w:pgMar w:header="686" w:footer="637" w:top="1320" w:bottom="820" w:left="1200" w:right="1000"/>
        </w:sectPr>
      </w:pPr>
    </w:p>
    <w:p>
      <w:pPr>
        <w:pStyle w:val="Heading4"/>
        <w:numPr>
          <w:ilvl w:val="2"/>
          <w:numId w:val="198"/>
        </w:numPr>
        <w:tabs>
          <w:tab w:pos="1351" w:val="left" w:leader="none"/>
          <w:tab w:pos="1352" w:val="left" w:leader="none"/>
        </w:tabs>
        <w:spacing w:line="240" w:lineRule="auto" w:before="83" w:after="0"/>
        <w:ind w:left="1352" w:right="1231" w:hanging="1134"/>
        <w:jc w:val="left"/>
      </w:pPr>
      <w:bookmarkStart w:name="5.7.5 Testing by Registered Participants" w:id="596"/>
      <w:bookmarkEnd w:id="596"/>
      <w:r>
        <w:rPr>
          <w:b w:val="0"/>
        </w:rPr>
      </w:r>
      <w:bookmarkStart w:name="_bookmark238" w:id="597"/>
      <w:bookmarkEnd w:id="597"/>
      <w:r>
        <w:rPr>
          <w:b w:val="0"/>
        </w:rPr>
      </w:r>
      <w:bookmarkStart w:name="_bookmark238" w:id="598"/>
      <w:bookmarkEnd w:id="598"/>
      <w:r>
        <w:rPr/>
        <w:t>Testing</w:t>
      </w:r>
      <w:r>
        <w:rPr/>
        <w:t> by Registered Participants of their own plant requiring changes to normal</w:t>
      </w:r>
      <w:r>
        <w:rPr>
          <w:spacing w:val="-3"/>
        </w:rPr>
        <w:t> </w:t>
      </w:r>
      <w:r>
        <w:rPr/>
        <w:t>operation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(a)(2)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proposing to conduct a test on equipment related to a </w:t>
      </w:r>
      <w:r>
        <w:rPr>
          <w:i/>
          <w:sz w:val="24"/>
        </w:rPr>
        <w:t>connection point</w:t>
      </w:r>
      <w:r>
        <w:rPr>
          <w:sz w:val="24"/>
        </w:rPr>
        <w:t>, which requires a change to the normal operation of that equipment, must give notice in writing to the relevant </w:t>
      </w:r>
      <w:r>
        <w:rPr>
          <w:i/>
          <w:sz w:val="24"/>
        </w:rPr>
        <w:t>Network Service </w:t>
      </w:r>
      <w:r>
        <w:rPr>
          <w:i/>
          <w:sz w:val="24"/>
        </w:rPr>
        <w:t>Provider </w:t>
      </w:r>
      <w:r>
        <w:rPr>
          <w:sz w:val="24"/>
        </w:rPr>
        <w:t>of at least 15 </w:t>
      </w:r>
      <w:r>
        <w:rPr>
          <w:i/>
          <w:sz w:val="24"/>
        </w:rPr>
        <w:t>business days</w:t>
      </w:r>
      <w:r>
        <w:rPr>
          <w:i/>
          <w:spacing w:val="-2"/>
          <w:sz w:val="24"/>
        </w:rPr>
        <w:t> </w:t>
      </w:r>
      <w:r>
        <w:rPr>
          <w:sz w:val="24"/>
        </w:rPr>
        <w:t>except:</w:t>
      </w:r>
    </w:p>
    <w:p>
      <w:pPr>
        <w:pStyle w:val="ListParagraph"/>
        <w:numPr>
          <w:ilvl w:val="4"/>
          <w:numId w:val="198"/>
        </w:numPr>
        <w:tabs>
          <w:tab w:pos="2486" w:val="left" w:leader="none"/>
        </w:tabs>
        <w:spacing w:line="240" w:lineRule="auto" w:before="120" w:after="0"/>
        <w:ind w:left="2485" w:right="0" w:hanging="567"/>
        <w:jc w:val="both"/>
        <w:rPr>
          <w:sz w:val="24"/>
        </w:rPr>
      </w:pPr>
      <w:r>
        <w:rPr>
          <w:sz w:val="24"/>
        </w:rPr>
        <w:t>in an emergency;</w:t>
      </w:r>
      <w:r>
        <w:rPr>
          <w:spacing w:val="-1"/>
          <w:sz w:val="24"/>
        </w:rPr>
        <w:t> </w:t>
      </w:r>
      <w:r>
        <w:rPr>
          <w:sz w:val="24"/>
        </w:rPr>
        <w:t>or</w:t>
      </w:r>
    </w:p>
    <w:p>
      <w:pPr>
        <w:pStyle w:val="ListParagraph"/>
        <w:numPr>
          <w:ilvl w:val="4"/>
          <w:numId w:val="198"/>
        </w:numPr>
        <w:tabs>
          <w:tab w:pos="2486" w:val="left" w:leader="none"/>
        </w:tabs>
        <w:spacing w:line="240" w:lineRule="auto" w:before="120" w:after="0"/>
        <w:ind w:left="2486" w:right="414" w:hanging="567"/>
        <w:jc w:val="both"/>
        <w:rPr>
          <w:sz w:val="24"/>
        </w:rPr>
      </w:pPr>
      <w:r>
        <w:rPr>
          <w:sz w:val="24"/>
        </w:rPr>
        <w:t>where </w:t>
      </w:r>
      <w:r>
        <w:rPr>
          <w:i/>
          <w:sz w:val="24"/>
        </w:rPr>
        <w:t>AEMO </w:t>
      </w:r>
      <w:r>
        <w:rPr>
          <w:sz w:val="24"/>
        </w:rPr>
        <w:t>has notified the relevant </w:t>
      </w:r>
      <w:r>
        <w:rPr>
          <w:i/>
          <w:sz w:val="24"/>
        </w:rPr>
        <w:t>Network Service Provider </w:t>
      </w:r>
      <w:r>
        <w:rPr>
          <w:sz w:val="24"/>
        </w:rPr>
        <w:t>of the proposed date and time of a test of the </w:t>
      </w:r>
      <w:r>
        <w:rPr>
          <w:i/>
          <w:sz w:val="24"/>
        </w:rPr>
        <w:t>Registered Participant's </w:t>
      </w:r>
      <w:r>
        <w:rPr>
          <w:sz w:val="24"/>
        </w:rPr>
        <w:t>equipment to be conducted in accordance with the requirements of the </w:t>
      </w:r>
      <w:r>
        <w:rPr>
          <w:i/>
          <w:sz w:val="24"/>
        </w:rPr>
        <w:t>SRAS Guideline</w:t>
      </w:r>
      <w:r>
        <w:rPr>
          <w:sz w:val="24"/>
        </w:rPr>
        <w:t>, under an </w:t>
      </w:r>
      <w:r>
        <w:rPr>
          <w:i/>
          <w:sz w:val="24"/>
        </w:rPr>
        <w:t>ancillary services agreement </w:t>
      </w:r>
      <w:r>
        <w:rPr>
          <w:sz w:val="24"/>
        </w:rPr>
        <w:t>between </w:t>
      </w:r>
      <w:r>
        <w:rPr>
          <w:i/>
          <w:sz w:val="24"/>
        </w:rPr>
        <w:t>AEMO </w:t>
      </w:r>
      <w:r>
        <w:rPr>
          <w:sz w:val="24"/>
        </w:rPr>
        <w:t>and the </w:t>
      </w:r>
      <w:r>
        <w:rPr>
          <w:i/>
          <w:sz w:val="24"/>
        </w:rPr>
        <w:t>Registered</w:t>
      </w:r>
      <w:r>
        <w:rPr>
          <w:i/>
          <w:spacing w:val="-1"/>
          <w:sz w:val="24"/>
        </w:rPr>
        <w:t> </w:t>
      </w:r>
      <w:r>
        <w:rPr>
          <w:i/>
          <w:sz w:val="24"/>
        </w:rPr>
        <w:t>Participant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8" w:right="0" w:hanging="567"/>
        <w:jc w:val="both"/>
        <w:rPr>
          <w:sz w:val="24"/>
        </w:rPr>
      </w:pPr>
      <w:r>
        <w:rPr>
          <w:sz w:val="24"/>
        </w:rPr>
        <w:t>The notice to be provided under clause 5.7.5(a) must</w:t>
      </w:r>
      <w:r>
        <w:rPr>
          <w:spacing w:val="-2"/>
          <w:sz w:val="24"/>
        </w:rPr>
        <w:t> </w:t>
      </w:r>
      <w:r>
        <w:rPr>
          <w:sz w:val="24"/>
        </w:rPr>
        <w:t>include:</w:t>
      </w:r>
    </w:p>
    <w:p>
      <w:pPr>
        <w:pStyle w:val="ListParagraph"/>
        <w:numPr>
          <w:ilvl w:val="4"/>
          <w:numId w:val="198"/>
        </w:numPr>
        <w:tabs>
          <w:tab w:pos="2485" w:val="left" w:leader="none"/>
          <w:tab w:pos="2486" w:val="left" w:leader="none"/>
        </w:tabs>
        <w:spacing w:line="240" w:lineRule="auto" w:before="120" w:after="0"/>
        <w:ind w:left="2485" w:right="0" w:hanging="567"/>
        <w:jc w:val="left"/>
        <w:rPr>
          <w:sz w:val="24"/>
        </w:rPr>
      </w:pPr>
      <w:r>
        <w:rPr>
          <w:sz w:val="24"/>
        </w:rPr>
        <w:t>the nature of the proposed</w:t>
      </w:r>
      <w:r>
        <w:rPr>
          <w:spacing w:val="-1"/>
          <w:sz w:val="24"/>
        </w:rPr>
        <w:t> </w:t>
      </w:r>
      <w:r>
        <w:rPr>
          <w:sz w:val="24"/>
        </w:rPr>
        <w:t>test;</w:t>
      </w:r>
    </w:p>
    <w:p>
      <w:pPr>
        <w:pStyle w:val="ListParagraph"/>
        <w:numPr>
          <w:ilvl w:val="4"/>
          <w:numId w:val="198"/>
        </w:numPr>
        <w:tabs>
          <w:tab w:pos="2485" w:val="left" w:leader="none"/>
          <w:tab w:pos="2486" w:val="left" w:leader="none"/>
        </w:tabs>
        <w:spacing w:line="240" w:lineRule="auto" w:before="120" w:after="0"/>
        <w:ind w:left="2485" w:right="0" w:hanging="567"/>
        <w:jc w:val="left"/>
        <w:rPr>
          <w:sz w:val="24"/>
        </w:rPr>
      </w:pPr>
      <w:r>
        <w:rPr>
          <w:sz w:val="24"/>
        </w:rPr>
        <w:t>the estimated start and finish time for the proposed</w:t>
      </w:r>
      <w:r>
        <w:rPr>
          <w:spacing w:val="-6"/>
          <w:sz w:val="24"/>
        </w:rPr>
        <w:t> </w:t>
      </w:r>
      <w:r>
        <w:rPr>
          <w:sz w:val="24"/>
        </w:rPr>
        <w:t>test;</w:t>
      </w:r>
    </w:p>
    <w:p>
      <w:pPr>
        <w:pStyle w:val="ListParagraph"/>
        <w:numPr>
          <w:ilvl w:val="4"/>
          <w:numId w:val="198"/>
        </w:numPr>
        <w:tabs>
          <w:tab w:pos="2485" w:val="left" w:leader="none"/>
          <w:tab w:pos="2486" w:val="left" w:leader="none"/>
        </w:tabs>
        <w:spacing w:line="240" w:lineRule="auto" w:before="120" w:after="0"/>
        <w:ind w:left="2485" w:right="0" w:hanging="567"/>
        <w:jc w:val="left"/>
        <w:rPr>
          <w:sz w:val="24"/>
        </w:rPr>
      </w:pPr>
      <w:r>
        <w:rPr>
          <w:sz w:val="24"/>
        </w:rPr>
        <w:t>the identity of the equipment to be</w:t>
      </w:r>
      <w:r>
        <w:rPr>
          <w:spacing w:val="-1"/>
          <w:sz w:val="24"/>
        </w:rPr>
        <w:t> </w:t>
      </w:r>
      <w:r>
        <w:rPr>
          <w:sz w:val="24"/>
        </w:rPr>
        <w:t>tested;</w:t>
      </w:r>
    </w:p>
    <w:p>
      <w:pPr>
        <w:pStyle w:val="ListParagraph"/>
        <w:numPr>
          <w:ilvl w:val="4"/>
          <w:numId w:val="198"/>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power system </w:t>
      </w:r>
      <w:r>
        <w:rPr>
          <w:sz w:val="24"/>
        </w:rPr>
        <w:t>conditions required for the conduct of the proposed test;</w:t>
      </w:r>
    </w:p>
    <w:p>
      <w:pPr>
        <w:pStyle w:val="ListParagraph"/>
        <w:numPr>
          <w:ilvl w:val="4"/>
          <w:numId w:val="198"/>
        </w:numPr>
        <w:tabs>
          <w:tab w:pos="2485" w:val="left" w:leader="none"/>
          <w:tab w:pos="2486" w:val="left" w:leader="none"/>
        </w:tabs>
        <w:spacing w:line="240" w:lineRule="auto" w:before="120" w:after="0"/>
        <w:ind w:left="2486" w:right="415" w:hanging="567"/>
        <w:jc w:val="left"/>
        <w:rPr>
          <w:sz w:val="24"/>
        </w:rPr>
      </w:pPr>
      <w:r>
        <w:rPr>
          <w:sz w:val="24"/>
        </w:rPr>
        <w:t>details of any potential adverse consequences of the proposed test </w:t>
      </w:r>
      <w:r>
        <w:rPr>
          <w:spacing w:val="-6"/>
          <w:sz w:val="24"/>
        </w:rPr>
        <w:t>on </w:t>
      </w:r>
      <w:r>
        <w:rPr>
          <w:sz w:val="24"/>
        </w:rPr>
        <w:t>the equipment to be</w:t>
      </w:r>
      <w:r>
        <w:rPr>
          <w:spacing w:val="-2"/>
          <w:sz w:val="24"/>
        </w:rPr>
        <w:t> </w:t>
      </w:r>
      <w:r>
        <w:rPr>
          <w:sz w:val="24"/>
        </w:rPr>
        <w:t>tested;</w:t>
      </w:r>
    </w:p>
    <w:p>
      <w:pPr>
        <w:pStyle w:val="ListParagraph"/>
        <w:numPr>
          <w:ilvl w:val="4"/>
          <w:numId w:val="198"/>
        </w:numPr>
        <w:tabs>
          <w:tab w:pos="2485" w:val="left" w:leader="none"/>
          <w:tab w:pos="2486" w:val="left" w:leader="none"/>
        </w:tabs>
        <w:spacing w:line="240" w:lineRule="auto" w:before="120" w:after="0"/>
        <w:ind w:left="2486" w:right="415" w:hanging="567"/>
        <w:jc w:val="left"/>
        <w:rPr>
          <w:sz w:val="24"/>
        </w:rPr>
      </w:pPr>
      <w:r>
        <w:rPr>
          <w:sz w:val="24"/>
        </w:rPr>
        <w:t>details of any potential adverse consequences of the proposed test </w:t>
      </w:r>
      <w:r>
        <w:rPr>
          <w:spacing w:val="-6"/>
          <w:sz w:val="24"/>
        </w:rPr>
        <w:t>on </w:t>
      </w:r>
      <w:r>
        <w:rPr>
          <w:sz w:val="24"/>
        </w:rPr>
        <w:t>the </w:t>
      </w:r>
      <w:r>
        <w:rPr>
          <w:i/>
          <w:sz w:val="24"/>
        </w:rPr>
        <w:t>power system</w:t>
      </w:r>
      <w:r>
        <w:rPr>
          <w:sz w:val="24"/>
        </w:rPr>
        <w:t>;</w:t>
      </w:r>
      <w:r>
        <w:rPr>
          <w:spacing w:val="-2"/>
          <w:sz w:val="24"/>
        </w:rPr>
        <w:t> </w:t>
      </w:r>
      <w:r>
        <w:rPr>
          <w:sz w:val="24"/>
        </w:rPr>
        <w:t>and</w:t>
      </w:r>
    </w:p>
    <w:p>
      <w:pPr>
        <w:pStyle w:val="ListParagraph"/>
        <w:numPr>
          <w:ilvl w:val="4"/>
          <w:numId w:val="198"/>
        </w:numPr>
        <w:tabs>
          <w:tab w:pos="2485" w:val="left" w:leader="none"/>
          <w:tab w:pos="2486" w:val="left" w:leader="none"/>
        </w:tabs>
        <w:spacing w:line="240" w:lineRule="auto" w:before="120" w:after="0"/>
        <w:ind w:left="2486" w:right="415" w:hanging="567"/>
        <w:jc w:val="left"/>
        <w:rPr>
          <w:sz w:val="24"/>
        </w:rPr>
      </w:pPr>
      <w:r>
        <w:rPr>
          <w:sz w:val="24"/>
        </w:rPr>
        <w:t>the name of the person responsible for the co-ordination of the proposed test on behalf of the </w:t>
      </w:r>
      <w:r>
        <w:rPr>
          <w:i/>
          <w:sz w:val="24"/>
        </w:rPr>
        <w:t>Registered</w:t>
      </w:r>
      <w:r>
        <w:rPr>
          <w:i/>
          <w:spacing w:val="-1"/>
          <w:sz w:val="24"/>
        </w:rPr>
        <w:t> </w:t>
      </w:r>
      <w:r>
        <w:rPr>
          <w:i/>
          <w:sz w:val="24"/>
        </w:rPr>
        <w:t>Participant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The </w:t>
      </w:r>
      <w:r>
        <w:rPr>
          <w:i/>
          <w:sz w:val="24"/>
        </w:rPr>
        <w:t>Network Service Provider </w:t>
      </w:r>
      <w:r>
        <w:rPr>
          <w:sz w:val="24"/>
        </w:rPr>
        <w:t>must review the proposed test described in a notice provided under clause 5.7.5(a) to determine whether the</w:t>
      </w:r>
      <w:r>
        <w:rPr>
          <w:spacing w:val="-7"/>
          <w:sz w:val="24"/>
        </w:rPr>
        <w:t> </w:t>
      </w:r>
      <w:r>
        <w:rPr>
          <w:sz w:val="24"/>
        </w:rPr>
        <w:t>test:</w:t>
      </w:r>
    </w:p>
    <w:p>
      <w:pPr>
        <w:pStyle w:val="ListParagraph"/>
        <w:numPr>
          <w:ilvl w:val="4"/>
          <w:numId w:val="198"/>
        </w:numPr>
        <w:tabs>
          <w:tab w:pos="2486" w:val="left" w:leader="none"/>
        </w:tabs>
        <w:spacing w:line="240" w:lineRule="auto" w:before="120" w:after="0"/>
        <w:ind w:left="2485" w:right="0" w:hanging="567"/>
        <w:jc w:val="both"/>
        <w:rPr>
          <w:sz w:val="24"/>
        </w:rPr>
      </w:pPr>
      <w:r>
        <w:rPr>
          <w:sz w:val="24"/>
        </w:rPr>
        <w:t>could adversely affect the normal operation of the </w:t>
      </w:r>
      <w:r>
        <w:rPr>
          <w:i/>
          <w:sz w:val="24"/>
        </w:rPr>
        <w:t>power</w:t>
      </w:r>
      <w:r>
        <w:rPr>
          <w:i/>
          <w:spacing w:val="-4"/>
          <w:sz w:val="24"/>
        </w:rPr>
        <w:t> </w:t>
      </w:r>
      <w:r>
        <w:rPr>
          <w:i/>
          <w:sz w:val="24"/>
        </w:rPr>
        <w:t>system</w:t>
      </w:r>
      <w:r>
        <w:rPr>
          <w:sz w:val="24"/>
        </w:rPr>
        <w:t>;</w:t>
      </w:r>
    </w:p>
    <w:p>
      <w:pPr>
        <w:pStyle w:val="ListParagraph"/>
        <w:numPr>
          <w:ilvl w:val="4"/>
          <w:numId w:val="198"/>
        </w:numPr>
        <w:tabs>
          <w:tab w:pos="2486" w:val="left" w:leader="none"/>
        </w:tabs>
        <w:spacing w:line="240" w:lineRule="auto" w:before="120" w:after="0"/>
        <w:ind w:left="2485" w:right="0" w:hanging="567"/>
        <w:jc w:val="both"/>
        <w:rPr>
          <w:sz w:val="24"/>
        </w:rPr>
      </w:pPr>
      <w:r>
        <w:rPr>
          <w:sz w:val="24"/>
        </w:rPr>
        <w:t>could cause a threat to </w:t>
      </w:r>
      <w:r>
        <w:rPr>
          <w:i/>
          <w:sz w:val="24"/>
        </w:rPr>
        <w:t>power system</w:t>
      </w:r>
      <w:r>
        <w:rPr>
          <w:i/>
          <w:spacing w:val="-3"/>
          <w:sz w:val="24"/>
        </w:rPr>
        <w:t> </w:t>
      </w:r>
      <w:r>
        <w:rPr>
          <w:i/>
          <w:sz w:val="24"/>
        </w:rPr>
        <w:t>security</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198"/>
        </w:numPr>
        <w:tabs>
          <w:tab w:pos="2486" w:val="left" w:leader="none"/>
        </w:tabs>
        <w:spacing w:line="240" w:lineRule="auto" w:before="83" w:after="0"/>
        <w:ind w:left="2486" w:right="416" w:hanging="567"/>
        <w:jc w:val="both"/>
        <w:rPr>
          <w:sz w:val="24"/>
        </w:rPr>
      </w:pPr>
      <w:r>
        <w:rPr>
          <w:sz w:val="24"/>
        </w:rPr>
        <w:t>requires the </w:t>
      </w:r>
      <w:r>
        <w:rPr>
          <w:i/>
          <w:sz w:val="24"/>
        </w:rPr>
        <w:t>power system </w:t>
      </w:r>
      <w:r>
        <w:rPr>
          <w:sz w:val="24"/>
        </w:rPr>
        <w:t>to be operated in a particular way which differs from the way in which the </w:t>
      </w:r>
      <w:r>
        <w:rPr>
          <w:i/>
          <w:sz w:val="24"/>
        </w:rPr>
        <w:t>power system </w:t>
      </w:r>
      <w:r>
        <w:rPr>
          <w:sz w:val="24"/>
        </w:rPr>
        <w:t>is normally operated; or</w:t>
      </w:r>
    </w:p>
    <w:p>
      <w:pPr>
        <w:pStyle w:val="ListParagraph"/>
        <w:numPr>
          <w:ilvl w:val="4"/>
          <w:numId w:val="198"/>
        </w:numPr>
        <w:tabs>
          <w:tab w:pos="2486" w:val="left" w:leader="none"/>
        </w:tabs>
        <w:spacing w:line="240" w:lineRule="auto" w:before="120" w:after="0"/>
        <w:ind w:left="2485" w:right="0" w:hanging="567"/>
        <w:jc w:val="both"/>
        <w:rPr>
          <w:sz w:val="24"/>
        </w:rPr>
      </w:pPr>
      <w:r>
        <w:rPr>
          <w:sz w:val="24"/>
        </w:rPr>
        <w:t>could affect the normal </w:t>
      </w:r>
      <w:r>
        <w:rPr>
          <w:i/>
          <w:sz w:val="24"/>
        </w:rPr>
        <w:t>metering </w:t>
      </w:r>
      <w:r>
        <w:rPr>
          <w:sz w:val="24"/>
        </w:rPr>
        <w:t>of </w:t>
      </w:r>
      <w:r>
        <w:rPr>
          <w:i/>
          <w:sz w:val="24"/>
        </w:rPr>
        <w:t>energy </w:t>
      </w:r>
      <w:r>
        <w:rPr>
          <w:sz w:val="24"/>
        </w:rPr>
        <w:t>at a </w:t>
      </w:r>
      <w:r>
        <w:rPr>
          <w:i/>
          <w:sz w:val="24"/>
        </w:rPr>
        <w:t>connection</w:t>
      </w:r>
      <w:r>
        <w:rPr>
          <w:i/>
          <w:spacing w:val="-4"/>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the </w:t>
      </w:r>
      <w:r>
        <w:rPr>
          <w:i/>
          <w:sz w:val="24"/>
        </w:rPr>
        <w:t>Network Service Provider </w:t>
      </w:r>
      <w:r>
        <w:rPr>
          <w:sz w:val="24"/>
        </w:rPr>
        <w:t>determines that the proposed test does fulfil one of the conditions specified in clause 5.7.5(c), then the </w:t>
      </w:r>
      <w:r>
        <w:rPr>
          <w:i/>
          <w:sz w:val="24"/>
        </w:rPr>
        <w:t>Registered </w:t>
      </w:r>
      <w:r>
        <w:rPr>
          <w:i/>
          <w:sz w:val="24"/>
        </w:rPr>
        <w:t>Participant </w:t>
      </w:r>
      <w:r>
        <w:rPr>
          <w:sz w:val="24"/>
        </w:rPr>
        <w:t>and </w:t>
      </w:r>
      <w:r>
        <w:rPr>
          <w:i/>
          <w:sz w:val="24"/>
        </w:rPr>
        <w:t>Network Service Provider </w:t>
      </w:r>
      <w:r>
        <w:rPr>
          <w:sz w:val="24"/>
        </w:rPr>
        <w:t>must seek </w:t>
      </w:r>
      <w:r>
        <w:rPr>
          <w:i/>
          <w:sz w:val="24"/>
        </w:rPr>
        <w:t>NTESMO's </w:t>
      </w:r>
      <w:r>
        <w:rPr>
          <w:sz w:val="24"/>
        </w:rPr>
        <w:t>approval prior to undertaking the test, which approval must not be</w:t>
      </w:r>
      <w:r>
        <w:rPr>
          <w:spacing w:val="24"/>
          <w:sz w:val="24"/>
        </w:rPr>
        <w:t> </w:t>
      </w:r>
      <w:r>
        <w:rPr>
          <w:sz w:val="24"/>
        </w:rPr>
        <w:t>unreasonably withheld or</w:t>
      </w:r>
      <w:r>
        <w:rPr>
          <w:spacing w:val="-2"/>
          <w:sz w:val="24"/>
        </w:rPr>
        <w:t> </w:t>
      </w:r>
      <w:r>
        <w:rPr>
          <w:sz w:val="24"/>
        </w:rPr>
        <w:t>delayed.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in </w:t>
      </w:r>
      <w:r>
        <w:rPr>
          <w:i/>
          <w:sz w:val="24"/>
        </w:rPr>
        <w:t>NTESMO's </w:t>
      </w:r>
      <w:r>
        <w:rPr>
          <w:sz w:val="24"/>
        </w:rPr>
        <w:t>reasonable opinion, a test could threaten public safety, damage or threaten to damage equipment or adversely affect the </w:t>
      </w:r>
      <w:r>
        <w:rPr>
          <w:spacing w:val="-3"/>
          <w:sz w:val="24"/>
        </w:rPr>
        <w:t>operation  </w:t>
      </w:r>
      <w:r>
        <w:rPr>
          <w:sz w:val="24"/>
        </w:rPr>
        <w:t>of the </w:t>
      </w:r>
      <w:r>
        <w:rPr>
          <w:i/>
          <w:sz w:val="24"/>
        </w:rPr>
        <w:t>power system</w:t>
      </w:r>
      <w:r>
        <w:rPr>
          <w:sz w:val="24"/>
        </w:rPr>
        <w:t>, </w:t>
      </w:r>
      <w:r>
        <w:rPr>
          <w:i/>
          <w:sz w:val="24"/>
        </w:rPr>
        <w:t>NTESMO </w:t>
      </w:r>
      <w:r>
        <w:rPr>
          <w:sz w:val="24"/>
        </w:rPr>
        <w:t>may direct that the proposed test procedure be modified or that the test not be conducted at the time</w:t>
      </w:r>
      <w:r>
        <w:rPr>
          <w:spacing w:val="-3"/>
          <w:sz w:val="24"/>
        </w:rPr>
        <w:t> </w:t>
      </w:r>
      <w:r>
        <w:rPr>
          <w:sz w:val="24"/>
        </w:rPr>
        <w:t>proposed.</w:t>
      </w:r>
    </w:p>
    <w:p>
      <w:pPr>
        <w:pStyle w:val="ListParagraph"/>
        <w:numPr>
          <w:ilvl w:val="3"/>
          <w:numId w:val="198"/>
        </w:numPr>
        <w:tabs>
          <w:tab w:pos="1920" w:val="left" w:leader="none"/>
        </w:tabs>
        <w:spacing w:line="240" w:lineRule="auto" w:before="120" w:after="0"/>
        <w:ind w:left="1919" w:right="415" w:hanging="567"/>
        <w:jc w:val="both"/>
        <w:rPr>
          <w:sz w:val="24"/>
        </w:rPr>
      </w:pPr>
      <w:r>
        <w:rPr>
          <w:i/>
          <w:sz w:val="24"/>
        </w:rPr>
        <w:t>NTESMO </w:t>
      </w:r>
      <w:r>
        <w:rPr>
          <w:sz w:val="24"/>
        </w:rPr>
        <w:t>must advise </w:t>
      </w:r>
      <w:r>
        <w:rPr>
          <w:i/>
          <w:sz w:val="24"/>
        </w:rPr>
        <w:t>Network Service Providers </w:t>
      </w:r>
      <w:r>
        <w:rPr>
          <w:sz w:val="24"/>
        </w:rPr>
        <w:t>of any test which may have a possible effect on normal </w:t>
      </w:r>
      <w:r>
        <w:rPr>
          <w:i/>
          <w:sz w:val="24"/>
        </w:rPr>
        <w:t>metering </w:t>
      </w:r>
      <w:r>
        <w:rPr>
          <w:sz w:val="24"/>
        </w:rPr>
        <w:t>of </w:t>
      </w:r>
      <w:r>
        <w:rPr>
          <w:i/>
          <w:sz w:val="24"/>
        </w:rPr>
        <w:t>energy </w:t>
      </w:r>
      <w:r>
        <w:rPr>
          <w:sz w:val="24"/>
        </w:rPr>
        <w:t>at a </w:t>
      </w:r>
      <w:r>
        <w:rPr>
          <w:i/>
          <w:sz w:val="24"/>
        </w:rPr>
        <w:t>connection</w:t>
      </w:r>
      <w:r>
        <w:rPr>
          <w:i/>
          <w:spacing w:val="-10"/>
          <w:sz w:val="24"/>
        </w:rPr>
        <w:t> </w:t>
      </w:r>
      <w:r>
        <w:rPr>
          <w:i/>
          <w:sz w:val="24"/>
        </w:rPr>
        <w:t>point</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i/>
          <w:sz w:val="24"/>
        </w:rPr>
        <w:t>NTESMO </w:t>
      </w:r>
      <w:r>
        <w:rPr>
          <w:sz w:val="24"/>
        </w:rPr>
        <w:t>must advise any other </w:t>
      </w:r>
      <w:r>
        <w:rPr>
          <w:i/>
          <w:sz w:val="24"/>
        </w:rPr>
        <w:t>Registered Participants </w:t>
      </w:r>
      <w:r>
        <w:rPr>
          <w:sz w:val="24"/>
        </w:rPr>
        <w:t>who might be adversely affected by a proposed test and consider any </w:t>
      </w:r>
      <w:r>
        <w:rPr>
          <w:spacing w:val="-3"/>
          <w:sz w:val="24"/>
        </w:rPr>
        <w:t>reasonable </w:t>
      </w:r>
      <w:r>
        <w:rPr>
          <w:sz w:val="24"/>
        </w:rPr>
        <w:t>requirements of those </w:t>
      </w:r>
      <w:r>
        <w:rPr>
          <w:i/>
          <w:sz w:val="24"/>
        </w:rPr>
        <w:t>Registered Participants </w:t>
      </w:r>
      <w:r>
        <w:rPr>
          <w:sz w:val="24"/>
        </w:rPr>
        <w:t>when approving the proposed test.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The </w:t>
      </w:r>
      <w:r>
        <w:rPr>
          <w:i/>
          <w:sz w:val="24"/>
        </w:rPr>
        <w:t>Registered Participant </w:t>
      </w:r>
      <w:r>
        <w:rPr>
          <w:sz w:val="24"/>
        </w:rPr>
        <w:t>who conducts a test under this clause 5.7.5 must ensure that the person responsible for the co-ordination of a test promptly advises </w:t>
      </w:r>
      <w:r>
        <w:rPr>
          <w:i/>
          <w:sz w:val="24"/>
        </w:rPr>
        <w:t>NTESMO </w:t>
      </w:r>
      <w:r>
        <w:rPr>
          <w:sz w:val="24"/>
        </w:rPr>
        <w:t>when the test is</w:t>
      </w:r>
      <w:r>
        <w:rPr>
          <w:spacing w:val="-3"/>
          <w:sz w:val="24"/>
        </w:rPr>
        <w:t> </w:t>
      </w:r>
      <w:r>
        <w:rPr>
          <w:sz w:val="24"/>
        </w:rPr>
        <w:t>complete.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w:t>
      </w:r>
      <w:r>
        <w:rPr>
          <w:i/>
          <w:sz w:val="24"/>
        </w:rPr>
        <w:t>NTESMO </w:t>
      </w:r>
      <w:r>
        <w:rPr>
          <w:sz w:val="24"/>
        </w:rPr>
        <w:t>approves a proposed test, </w:t>
      </w:r>
      <w:r>
        <w:rPr>
          <w:i/>
          <w:sz w:val="24"/>
        </w:rPr>
        <w:t>NTESMO </w:t>
      </w:r>
      <w:r>
        <w:rPr>
          <w:sz w:val="24"/>
        </w:rPr>
        <w:t>must use its reasonable endeavours to ensure that </w:t>
      </w:r>
      <w:r>
        <w:rPr>
          <w:i/>
          <w:sz w:val="24"/>
        </w:rPr>
        <w:t>power system </w:t>
      </w:r>
      <w:r>
        <w:rPr>
          <w:sz w:val="24"/>
        </w:rPr>
        <w:t>conditions reasonably required for that test are provided as close as is reasonably practicable to the proposed start time of the test and continue for the proposed duration of the</w:t>
      </w:r>
      <w:r>
        <w:rPr>
          <w:spacing w:val="-7"/>
          <w:sz w:val="24"/>
        </w:rPr>
        <w:t> </w:t>
      </w:r>
      <w:r>
        <w:rPr>
          <w:sz w:val="24"/>
        </w:rPr>
        <w:t>test.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Within a reasonable period after any such test has been conducted, the </w:t>
      </w:r>
      <w:r>
        <w:rPr>
          <w:i/>
          <w:sz w:val="24"/>
        </w:rPr>
        <w:t>Registered Participant </w:t>
      </w:r>
      <w:r>
        <w:rPr>
          <w:sz w:val="24"/>
        </w:rPr>
        <w:t>who has conducted a test under this  clause</w:t>
      </w:r>
      <w:r>
        <w:rPr>
          <w:spacing w:val="-30"/>
          <w:sz w:val="24"/>
        </w:rPr>
        <w:t> </w:t>
      </w:r>
      <w:r>
        <w:rPr>
          <w:sz w:val="24"/>
        </w:rPr>
        <w:t>5.7.5 must provide the </w:t>
      </w:r>
      <w:r>
        <w:rPr>
          <w:i/>
          <w:sz w:val="24"/>
        </w:rPr>
        <w:t>Network Service Provider </w:t>
      </w:r>
      <w:r>
        <w:rPr>
          <w:sz w:val="24"/>
        </w:rPr>
        <w:t>with a report in relation to that test including test results where</w:t>
      </w:r>
      <w:r>
        <w:rPr>
          <w:spacing w:val="-3"/>
          <w:sz w:val="24"/>
        </w:rPr>
        <w:t> </w:t>
      </w:r>
      <w:r>
        <w:rPr>
          <w:sz w:val="24"/>
        </w:rPr>
        <w:t>appropriate.</w:t>
      </w:r>
    </w:p>
    <w:p>
      <w:pPr>
        <w:spacing w:after="0" w:line="240" w:lineRule="auto"/>
        <w:jc w:val="both"/>
        <w:rPr>
          <w:sz w:val="24"/>
        </w:rPr>
        <w:sectPr>
          <w:pgSz w:w="11910" w:h="16840"/>
          <w:pgMar w:header="686" w:footer="637" w:top="1320" w:bottom="820" w:left="1200" w:right="1000"/>
        </w:sectPr>
      </w:pPr>
    </w:p>
    <w:p>
      <w:pPr>
        <w:pStyle w:val="Heading4"/>
        <w:numPr>
          <w:ilvl w:val="2"/>
          <w:numId w:val="198"/>
        </w:numPr>
        <w:tabs>
          <w:tab w:pos="1351" w:val="left" w:leader="none"/>
          <w:tab w:pos="1352" w:val="left" w:leader="none"/>
        </w:tabs>
        <w:spacing w:line="240" w:lineRule="auto" w:before="83" w:after="0"/>
        <w:ind w:left="1351" w:right="0" w:hanging="1134"/>
        <w:jc w:val="left"/>
      </w:pPr>
      <w:bookmarkStart w:name="5.7.6 Tests of generating units requirin" w:id="599"/>
      <w:bookmarkEnd w:id="599"/>
      <w:r>
        <w:rPr>
          <w:b w:val="0"/>
        </w:rPr>
      </w:r>
      <w:bookmarkStart w:name="_bookmark239" w:id="600"/>
      <w:bookmarkEnd w:id="600"/>
      <w:r>
        <w:rPr>
          <w:b w:val="0"/>
        </w:rPr>
      </w:r>
      <w:bookmarkStart w:name="_bookmark239" w:id="601"/>
      <w:bookmarkEnd w:id="601"/>
      <w:r>
        <w:rPr/>
        <w:t>Tests</w:t>
      </w:r>
      <w:r>
        <w:rPr/>
        <w:t> of generating units requiring changes to normal</w:t>
      </w:r>
      <w:r>
        <w:rPr>
          <w:spacing w:val="-7"/>
        </w:rPr>
        <w:t> </w:t>
      </w:r>
      <w:r>
        <w:rPr/>
        <w:t>operation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application of this clause will be revisited as part of the phased implementation of the </w:t>
      </w:r>
      <w:r>
        <w:rPr>
          <w:i/>
          <w:sz w:val="20"/>
        </w:rPr>
        <w:t>Rules </w:t>
      </w:r>
      <w:r>
        <w:rPr>
          <w:sz w:val="20"/>
        </w:rPr>
        <w:t>in this jurisdiction.</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A </w:t>
      </w:r>
      <w:r>
        <w:rPr>
          <w:i/>
          <w:sz w:val="24"/>
        </w:rPr>
        <w:t>Network Service Provider </w:t>
      </w:r>
      <w:r>
        <w:rPr>
          <w:sz w:val="24"/>
        </w:rPr>
        <w:t>may, at intervals of not less than 12 months </w:t>
      </w:r>
      <w:r>
        <w:rPr>
          <w:spacing w:val="-4"/>
          <w:sz w:val="24"/>
        </w:rPr>
        <w:t>per </w:t>
      </w:r>
      <w:r>
        <w:rPr>
          <w:i/>
          <w:sz w:val="24"/>
        </w:rPr>
        <w:t>generating system</w:t>
      </w:r>
      <w:r>
        <w:rPr>
          <w:sz w:val="24"/>
        </w:rPr>
        <w:t>, require the testing by a </w:t>
      </w:r>
      <w:r>
        <w:rPr>
          <w:i/>
          <w:sz w:val="24"/>
        </w:rPr>
        <w:t>Generator </w:t>
      </w:r>
      <w:r>
        <w:rPr>
          <w:sz w:val="24"/>
        </w:rPr>
        <w:t>of any </w:t>
      </w:r>
      <w:r>
        <w:rPr>
          <w:i/>
          <w:sz w:val="24"/>
        </w:rPr>
        <w:t>generating unit </w:t>
      </w:r>
      <w:r>
        <w:rPr>
          <w:i/>
          <w:sz w:val="24"/>
        </w:rPr>
        <w:t>connected </w:t>
      </w:r>
      <w:r>
        <w:rPr>
          <w:sz w:val="24"/>
        </w:rPr>
        <w:t>to the </w:t>
      </w:r>
      <w:r>
        <w:rPr>
          <w:i/>
          <w:sz w:val="24"/>
        </w:rPr>
        <w:t>network </w:t>
      </w:r>
      <w:r>
        <w:rPr>
          <w:sz w:val="24"/>
        </w:rPr>
        <w:t>of that provider in order to assess the performance of the relevant </w:t>
      </w:r>
      <w:r>
        <w:rPr>
          <w:i/>
          <w:sz w:val="24"/>
        </w:rPr>
        <w:t>generating unit </w:t>
      </w:r>
      <w:r>
        <w:rPr>
          <w:sz w:val="24"/>
        </w:rPr>
        <w:t>or </w:t>
      </w:r>
      <w:r>
        <w:rPr>
          <w:i/>
          <w:sz w:val="24"/>
        </w:rPr>
        <w:t>generating system </w:t>
      </w:r>
      <w:r>
        <w:rPr>
          <w:sz w:val="24"/>
        </w:rPr>
        <w:t>for the purposes of a </w:t>
      </w:r>
      <w:r>
        <w:rPr>
          <w:i/>
          <w:sz w:val="24"/>
        </w:rPr>
        <w:t>connection agreement</w:t>
      </w:r>
      <w:r>
        <w:rPr>
          <w:sz w:val="24"/>
        </w:rPr>
        <w:t>, and that provider is entitled to witness such</w:t>
      </w:r>
      <w:r>
        <w:rPr>
          <w:spacing w:val="-10"/>
          <w:sz w:val="24"/>
        </w:rPr>
        <w:t> </w:t>
      </w:r>
      <w:r>
        <w:rPr>
          <w:sz w:val="24"/>
        </w:rPr>
        <w:t>tests.</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If </w:t>
      </w:r>
      <w:r>
        <w:rPr>
          <w:i/>
          <w:sz w:val="24"/>
        </w:rPr>
        <w:t>NTESMO </w:t>
      </w:r>
      <w:r>
        <w:rPr>
          <w:sz w:val="24"/>
        </w:rPr>
        <w:t>reasonably considers that available information, including results from a previous test of a </w:t>
      </w:r>
      <w:r>
        <w:rPr>
          <w:i/>
          <w:sz w:val="24"/>
        </w:rPr>
        <w:t>generating unit </w:t>
      </w:r>
      <w:r>
        <w:rPr>
          <w:sz w:val="24"/>
        </w:rPr>
        <w:t>or </w:t>
      </w:r>
      <w:r>
        <w:rPr>
          <w:i/>
          <w:sz w:val="24"/>
        </w:rPr>
        <w:t>generating system</w:t>
      </w:r>
      <w:r>
        <w:rPr>
          <w:sz w:val="24"/>
        </w:rPr>
        <w:t>, are inadequate, </w:t>
      </w:r>
      <w:r>
        <w:rPr>
          <w:i/>
          <w:sz w:val="24"/>
        </w:rPr>
        <w:t>NTESMO </w:t>
      </w:r>
      <w:r>
        <w:rPr>
          <w:sz w:val="24"/>
        </w:rPr>
        <w:t>may direct a </w:t>
      </w:r>
      <w:r>
        <w:rPr>
          <w:i/>
          <w:sz w:val="24"/>
        </w:rPr>
        <w:t>Network Service Provider </w:t>
      </w:r>
      <w:r>
        <w:rPr>
          <w:sz w:val="24"/>
        </w:rPr>
        <w:t>to require a </w:t>
      </w:r>
      <w:r>
        <w:rPr>
          <w:i/>
          <w:sz w:val="24"/>
        </w:rPr>
        <w:t>Generator </w:t>
      </w:r>
      <w:r>
        <w:rPr>
          <w:sz w:val="24"/>
        </w:rPr>
        <w:t>to conduct a test under paragraph (a), and </w:t>
      </w:r>
      <w:r>
        <w:rPr>
          <w:i/>
          <w:sz w:val="24"/>
        </w:rPr>
        <w:t>NTESMO </w:t>
      </w:r>
      <w:r>
        <w:rPr>
          <w:sz w:val="24"/>
        </w:rPr>
        <w:t>may witness such a</w:t>
      </w:r>
      <w:r>
        <w:rPr>
          <w:spacing w:val="-2"/>
          <w:sz w:val="24"/>
        </w:rPr>
        <w:t> </w:t>
      </w:r>
      <w:r>
        <w:rPr>
          <w:sz w:val="24"/>
        </w:rPr>
        <w:t>test.</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Adequate notice of not less than 15 </w:t>
      </w:r>
      <w:r>
        <w:rPr>
          <w:i/>
          <w:sz w:val="24"/>
        </w:rPr>
        <w:t>business days </w:t>
      </w:r>
      <w:r>
        <w:rPr>
          <w:sz w:val="24"/>
        </w:rPr>
        <w:t>must be given by the </w:t>
      </w:r>
      <w:r>
        <w:rPr>
          <w:i/>
          <w:sz w:val="24"/>
        </w:rPr>
        <w:t>Network Service Provider </w:t>
      </w:r>
      <w:r>
        <w:rPr>
          <w:sz w:val="24"/>
        </w:rPr>
        <w:t>to the </w:t>
      </w:r>
      <w:r>
        <w:rPr>
          <w:i/>
          <w:sz w:val="24"/>
        </w:rPr>
        <w:t>Generator </w:t>
      </w:r>
      <w:r>
        <w:rPr>
          <w:sz w:val="24"/>
        </w:rPr>
        <w:t>before the proposed date of a test under paragraph</w:t>
      </w:r>
      <w:r>
        <w:rPr>
          <w:spacing w:val="-1"/>
          <w:sz w:val="24"/>
        </w:rPr>
        <w:t> </w:t>
      </w:r>
      <w:r>
        <w:rPr>
          <w:sz w:val="24"/>
        </w:rPr>
        <w:t>(a).</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use its best endeavours to ensure </w:t>
      </w:r>
      <w:r>
        <w:rPr>
          <w:spacing w:val="-3"/>
          <w:sz w:val="24"/>
        </w:rPr>
        <w:t>that </w:t>
      </w:r>
      <w:r>
        <w:rPr>
          <w:sz w:val="24"/>
        </w:rPr>
        <w:t>tests permitted under this clause 5.7.6 are conducted at a time which will minimise the departure from the </w:t>
      </w:r>
      <w:r>
        <w:rPr>
          <w:i/>
          <w:sz w:val="24"/>
        </w:rPr>
        <w:t>commitment </w:t>
      </w:r>
      <w:r>
        <w:rPr>
          <w:sz w:val="24"/>
        </w:rPr>
        <w:t>and </w:t>
      </w:r>
      <w:r>
        <w:rPr>
          <w:i/>
          <w:sz w:val="24"/>
        </w:rPr>
        <w:t>dispatch </w:t>
      </w:r>
      <w:r>
        <w:rPr>
          <w:sz w:val="24"/>
        </w:rPr>
        <w:t>that are due to take place as instructed or approved by </w:t>
      </w:r>
      <w:r>
        <w:rPr>
          <w:i/>
          <w:sz w:val="24"/>
        </w:rPr>
        <w:t>NTESMO</w:t>
      </w:r>
      <w:r>
        <w:rPr>
          <w:sz w:val="24"/>
        </w:rPr>
        <w:t>, at that</w:t>
      </w:r>
      <w:r>
        <w:rPr>
          <w:spacing w:val="-1"/>
          <w:sz w:val="24"/>
        </w:rPr>
        <w:t> </w:t>
      </w:r>
      <w:r>
        <w:rPr>
          <w:sz w:val="24"/>
        </w:rPr>
        <w:t>time.</w:t>
      </w:r>
    </w:p>
    <w:p>
      <w:pPr>
        <w:pStyle w:val="ListParagraph"/>
        <w:numPr>
          <w:ilvl w:val="3"/>
          <w:numId w:val="198"/>
        </w:numPr>
        <w:tabs>
          <w:tab w:pos="1919" w:val="left" w:leader="none"/>
        </w:tabs>
        <w:spacing w:line="240" w:lineRule="auto" w:before="120" w:after="0"/>
        <w:ind w:left="1919" w:right="416" w:hanging="567"/>
        <w:jc w:val="both"/>
        <w:rPr>
          <w:sz w:val="24"/>
        </w:rPr>
      </w:pPr>
      <w:r>
        <w:rPr>
          <w:sz w:val="24"/>
        </w:rPr>
        <w:t>If not possible beforehand, a </w:t>
      </w:r>
      <w:r>
        <w:rPr>
          <w:i/>
          <w:sz w:val="24"/>
        </w:rPr>
        <w:t>Generator </w:t>
      </w:r>
      <w:r>
        <w:rPr>
          <w:sz w:val="24"/>
        </w:rPr>
        <w:t>must conduct a test under</w:t>
      </w:r>
      <w:r>
        <w:rPr>
          <w:spacing w:val="39"/>
          <w:sz w:val="24"/>
        </w:rPr>
        <w:t> </w:t>
      </w:r>
      <w:r>
        <w:rPr>
          <w:sz w:val="24"/>
        </w:rPr>
        <w:t>this clause 5.7.6 at the next scheduled </w:t>
      </w:r>
      <w:r>
        <w:rPr>
          <w:i/>
          <w:sz w:val="24"/>
        </w:rPr>
        <w:t>outage </w:t>
      </w:r>
      <w:r>
        <w:rPr>
          <w:sz w:val="24"/>
        </w:rPr>
        <w:t>of the relevant </w:t>
      </w:r>
      <w:r>
        <w:rPr>
          <w:i/>
          <w:sz w:val="24"/>
        </w:rPr>
        <w:t>generating unit </w:t>
      </w:r>
      <w:r>
        <w:rPr>
          <w:sz w:val="24"/>
        </w:rPr>
        <w:t>and in any event within 9 months of the</w:t>
      </w:r>
      <w:r>
        <w:rPr>
          <w:spacing w:val="-3"/>
          <w:sz w:val="24"/>
        </w:rPr>
        <w:t> </w:t>
      </w:r>
      <w:r>
        <w:rPr>
          <w:sz w:val="24"/>
        </w:rPr>
        <w:t>request.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20" w:val="left" w:leader="none"/>
        </w:tabs>
        <w:spacing w:line="240" w:lineRule="auto" w:before="120" w:after="0"/>
        <w:ind w:left="1919" w:right="0" w:hanging="568"/>
        <w:jc w:val="both"/>
        <w:rPr>
          <w:sz w:val="24"/>
        </w:rPr>
      </w:pPr>
      <w:r>
        <w:rPr>
          <w:sz w:val="24"/>
        </w:rPr>
        <w:t>A</w:t>
      </w:r>
      <w:r>
        <w:rPr>
          <w:spacing w:val="12"/>
          <w:sz w:val="24"/>
        </w:rPr>
        <w:t> </w:t>
      </w:r>
      <w:r>
        <w:rPr>
          <w:i/>
          <w:sz w:val="24"/>
        </w:rPr>
        <w:t>Generator</w:t>
      </w:r>
      <w:r>
        <w:rPr>
          <w:i/>
          <w:spacing w:val="13"/>
          <w:sz w:val="24"/>
        </w:rPr>
        <w:t> </w:t>
      </w:r>
      <w:r>
        <w:rPr>
          <w:sz w:val="24"/>
        </w:rPr>
        <w:t>must</w:t>
      </w:r>
      <w:r>
        <w:rPr>
          <w:spacing w:val="13"/>
          <w:sz w:val="24"/>
        </w:rPr>
        <w:t> </w:t>
      </w:r>
      <w:r>
        <w:rPr>
          <w:sz w:val="24"/>
        </w:rPr>
        <w:t>provide</w:t>
      </w:r>
      <w:r>
        <w:rPr>
          <w:spacing w:val="13"/>
          <w:sz w:val="24"/>
        </w:rPr>
        <w:t> </w:t>
      </w:r>
      <w:r>
        <w:rPr>
          <w:sz w:val="24"/>
        </w:rPr>
        <w:t>any</w:t>
      </w:r>
      <w:r>
        <w:rPr>
          <w:spacing w:val="13"/>
          <w:sz w:val="24"/>
        </w:rPr>
        <w:t> </w:t>
      </w:r>
      <w:r>
        <w:rPr>
          <w:sz w:val="24"/>
        </w:rPr>
        <w:t>reasonable</w:t>
      </w:r>
      <w:r>
        <w:rPr>
          <w:spacing w:val="13"/>
          <w:sz w:val="24"/>
        </w:rPr>
        <w:t> </w:t>
      </w:r>
      <w:r>
        <w:rPr>
          <w:sz w:val="24"/>
        </w:rPr>
        <w:t>assistance</w:t>
      </w:r>
      <w:r>
        <w:rPr>
          <w:spacing w:val="13"/>
          <w:sz w:val="24"/>
        </w:rPr>
        <w:t> </w:t>
      </w:r>
      <w:r>
        <w:rPr>
          <w:sz w:val="24"/>
        </w:rPr>
        <w:t>requested</w:t>
      </w:r>
      <w:r>
        <w:rPr>
          <w:spacing w:val="13"/>
          <w:sz w:val="24"/>
        </w:rPr>
        <w:t> </w:t>
      </w:r>
      <w:r>
        <w:rPr>
          <w:sz w:val="24"/>
        </w:rPr>
        <w:t>by</w:t>
      </w:r>
      <w:r>
        <w:rPr>
          <w:spacing w:val="13"/>
          <w:sz w:val="24"/>
        </w:rPr>
        <w:t> </w:t>
      </w:r>
      <w:r>
        <w:rPr>
          <w:sz w:val="24"/>
        </w:rPr>
        <w:t>the</w:t>
      </w:r>
    </w:p>
    <w:p>
      <w:pPr>
        <w:spacing w:before="0"/>
        <w:ind w:left="1919" w:right="0" w:firstLine="0"/>
        <w:jc w:val="both"/>
        <w:rPr>
          <w:sz w:val="24"/>
        </w:rPr>
      </w:pPr>
      <w:r>
        <w:rPr>
          <w:i/>
          <w:sz w:val="24"/>
        </w:rPr>
        <w:t>Network Service Provider </w:t>
      </w:r>
      <w:r>
        <w:rPr>
          <w:sz w:val="24"/>
        </w:rPr>
        <w:t>in relation to the conduct of tests.</w:t>
      </w:r>
    </w:p>
    <w:p>
      <w:pPr>
        <w:spacing w:before="120"/>
        <w:ind w:left="1919" w:right="415" w:hanging="567"/>
        <w:jc w:val="both"/>
        <w:rPr>
          <w:sz w:val="24"/>
        </w:rPr>
      </w:pPr>
      <w:r>
        <w:rPr>
          <w:sz w:val="24"/>
        </w:rPr>
        <w:t>(f1) If requested by a </w:t>
      </w:r>
      <w:r>
        <w:rPr>
          <w:i/>
          <w:sz w:val="24"/>
        </w:rPr>
        <w:t>Network Service Provider </w:t>
      </w:r>
      <w:r>
        <w:rPr>
          <w:sz w:val="24"/>
        </w:rPr>
        <w:t>who required the test under  clause 5.7.6(a), a </w:t>
      </w:r>
      <w:r>
        <w:rPr>
          <w:i/>
          <w:sz w:val="24"/>
        </w:rPr>
        <w:t>Generator </w:t>
      </w:r>
      <w:r>
        <w:rPr>
          <w:sz w:val="24"/>
        </w:rPr>
        <w:t>must provide to the </w:t>
      </w:r>
      <w:r>
        <w:rPr>
          <w:i/>
          <w:sz w:val="24"/>
        </w:rPr>
        <w:t>Network Service Provider </w:t>
      </w:r>
      <w:r>
        <w:rPr>
          <w:sz w:val="24"/>
        </w:rPr>
        <w:t>any relevant information relating to the </w:t>
      </w:r>
      <w:r>
        <w:rPr>
          <w:i/>
          <w:sz w:val="24"/>
        </w:rPr>
        <w:t>plant </w:t>
      </w:r>
      <w:r>
        <w:rPr>
          <w:sz w:val="24"/>
        </w:rPr>
        <w:t>which is the subject of a test carried out under this clause</w:t>
      </w:r>
      <w:r>
        <w:rPr>
          <w:spacing w:val="-2"/>
          <w:sz w:val="24"/>
        </w:rPr>
        <w:t> </w:t>
      </w:r>
      <w:r>
        <w:rPr>
          <w:sz w:val="24"/>
        </w:rPr>
        <w:t>5.7.6.</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Tests conducted under this clause 5.7.6 must be conducted in accordance with test procedures agreed between the </w:t>
      </w:r>
      <w:r>
        <w:rPr>
          <w:i/>
          <w:sz w:val="24"/>
        </w:rPr>
        <w:t>Network Service Provider </w:t>
      </w:r>
      <w:r>
        <w:rPr>
          <w:sz w:val="24"/>
        </w:rPr>
        <w:t>and the relevant </w:t>
      </w:r>
      <w:r>
        <w:rPr>
          <w:i/>
          <w:sz w:val="24"/>
        </w:rPr>
        <w:t>Generator </w:t>
      </w:r>
      <w:r>
        <w:rPr>
          <w:sz w:val="24"/>
        </w:rPr>
        <w:t>and a </w:t>
      </w:r>
      <w:r>
        <w:rPr>
          <w:i/>
          <w:sz w:val="24"/>
        </w:rPr>
        <w:t>Generator </w:t>
      </w:r>
      <w:r>
        <w:rPr>
          <w:sz w:val="24"/>
        </w:rPr>
        <w:t>must not unreasonably withhold its agreement to test procedures proposed for this purpose by the</w:t>
      </w:r>
      <w:r>
        <w:rPr>
          <w:spacing w:val="36"/>
          <w:sz w:val="24"/>
        </w:rPr>
        <w:t> </w:t>
      </w:r>
      <w:r>
        <w:rPr>
          <w:i/>
          <w:sz w:val="24"/>
        </w:rPr>
        <w:t>Network </w:t>
      </w:r>
      <w:r>
        <w:rPr>
          <w:i/>
          <w:sz w:val="24"/>
        </w:rPr>
        <w:t>Service</w:t>
      </w:r>
      <w:r>
        <w:rPr>
          <w:i/>
          <w:spacing w:val="-1"/>
          <w:sz w:val="24"/>
        </w:rPr>
        <w:t> </w:t>
      </w:r>
      <w:r>
        <w:rPr>
          <w:i/>
          <w:sz w:val="24"/>
        </w:rPr>
        <w:t>Provider</w:t>
      </w:r>
      <w:r>
        <w:rPr>
          <w:sz w:val="24"/>
        </w:rPr>
        <w:t>.</w:t>
      </w:r>
    </w:p>
    <w:p>
      <w:pPr>
        <w:pStyle w:val="ListParagraph"/>
        <w:numPr>
          <w:ilvl w:val="3"/>
          <w:numId w:val="198"/>
        </w:numPr>
        <w:tabs>
          <w:tab w:pos="1919" w:val="left" w:leader="none"/>
        </w:tabs>
        <w:spacing w:line="240" w:lineRule="auto" w:before="120" w:after="0"/>
        <w:ind w:left="1919" w:right="416" w:hanging="567"/>
        <w:jc w:val="both"/>
        <w:rPr>
          <w:sz w:val="24"/>
        </w:rPr>
      </w:pPr>
      <w:r>
        <w:rPr>
          <w:sz w:val="24"/>
        </w:rPr>
        <w:t>A </w:t>
      </w:r>
      <w:r>
        <w:rPr>
          <w:i/>
          <w:sz w:val="24"/>
        </w:rPr>
        <w:t>Generator </w:t>
      </w:r>
      <w:r>
        <w:rPr>
          <w:sz w:val="24"/>
        </w:rPr>
        <w:t>must provide the test records obtained from a test under paragraph (a) to the </w:t>
      </w:r>
      <w:r>
        <w:rPr>
          <w:i/>
          <w:sz w:val="24"/>
        </w:rPr>
        <w:t>Network Service</w:t>
      </w:r>
      <w:r>
        <w:rPr>
          <w:i/>
          <w:spacing w:val="-1"/>
          <w:sz w:val="24"/>
        </w:rPr>
        <w:t> </w:t>
      </w:r>
      <w:r>
        <w:rPr>
          <w:i/>
          <w:sz w:val="24"/>
        </w:rPr>
        <w:t>Provider</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The </w:t>
      </w:r>
      <w:r>
        <w:rPr>
          <w:i/>
          <w:sz w:val="24"/>
        </w:rPr>
        <w:t>Generator</w:t>
      </w:r>
      <w:r>
        <w:rPr>
          <w:sz w:val="24"/>
        </w:rPr>
        <w:t>, the </w:t>
      </w:r>
      <w:r>
        <w:rPr>
          <w:i/>
          <w:sz w:val="24"/>
        </w:rPr>
        <w:t>Network Service Provider </w:t>
      </w:r>
      <w:r>
        <w:rPr>
          <w:sz w:val="24"/>
        </w:rPr>
        <w:t>and </w:t>
      </w:r>
      <w:r>
        <w:rPr>
          <w:i/>
          <w:sz w:val="24"/>
        </w:rPr>
        <w:t>NTESMO </w:t>
      </w:r>
      <w:r>
        <w:rPr>
          <w:sz w:val="24"/>
        </w:rPr>
        <w:t>must each bear its own costs associated with tests conducted under this clause 5.7.6 and </w:t>
      </w:r>
      <w:r>
        <w:rPr>
          <w:spacing w:val="-6"/>
          <w:sz w:val="24"/>
        </w:rPr>
        <w:t>no </w:t>
      </w:r>
      <w:r>
        <w:rPr>
          <w:sz w:val="24"/>
        </w:rPr>
        <w:t>compensation is to be payable for financial losses incurred as a result of these tests or associated</w:t>
      </w:r>
      <w:r>
        <w:rPr>
          <w:spacing w:val="-1"/>
          <w:sz w:val="24"/>
        </w:rPr>
        <w:t> </w:t>
      </w:r>
      <w:r>
        <w:rPr>
          <w:sz w:val="24"/>
        </w:rPr>
        <w:t>activities.</w:t>
      </w:r>
    </w:p>
    <w:p>
      <w:pPr>
        <w:spacing w:after="0" w:line="240" w:lineRule="auto"/>
        <w:jc w:val="both"/>
        <w:rPr>
          <w:sz w:val="24"/>
        </w:rPr>
        <w:sectPr>
          <w:pgSz w:w="11910" w:h="16840"/>
          <w:pgMar w:header="686" w:footer="637" w:top="1320" w:bottom="820" w:left="1200" w:right="1000"/>
        </w:sectPr>
      </w:pPr>
    </w:p>
    <w:p>
      <w:pPr>
        <w:pStyle w:val="Heading4"/>
        <w:numPr>
          <w:ilvl w:val="2"/>
          <w:numId w:val="198"/>
        </w:numPr>
        <w:tabs>
          <w:tab w:pos="1351" w:val="left" w:leader="none"/>
          <w:tab w:pos="1352" w:val="left" w:leader="none"/>
        </w:tabs>
        <w:spacing w:line="240" w:lineRule="auto" w:before="83" w:after="0"/>
        <w:ind w:left="1351" w:right="0" w:hanging="1134"/>
        <w:jc w:val="left"/>
      </w:pPr>
      <w:bookmarkStart w:name="5.7.7 Inter-network power system tests" w:id="602"/>
      <w:bookmarkEnd w:id="602"/>
      <w:r>
        <w:rPr>
          <w:b w:val="0"/>
        </w:rPr>
      </w:r>
      <w:bookmarkStart w:name="_bookmark240" w:id="603"/>
      <w:bookmarkEnd w:id="603"/>
      <w:r>
        <w:rPr>
          <w:b w:val="0"/>
        </w:rPr>
      </w:r>
      <w:bookmarkStart w:name="_bookmark240" w:id="604"/>
      <w:bookmarkEnd w:id="604"/>
      <w:r>
        <w:rPr/>
        <w:t>Inter-network</w:t>
      </w:r>
      <w:r>
        <w:rPr/>
        <w:t> power system</w:t>
      </w:r>
      <w:r>
        <w:rPr>
          <w:spacing w:val="-2"/>
        </w:rPr>
        <w:t> </w:t>
      </w:r>
      <w:r>
        <w:rPr/>
        <w:t>tests</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For each kind of development or activity described in the first column of chart 1 below, the </w:t>
      </w:r>
      <w:r>
        <w:rPr>
          <w:i/>
          <w:sz w:val="24"/>
        </w:rPr>
        <w:t>Proponent </w:t>
      </w:r>
      <w:r>
        <w:rPr>
          <w:sz w:val="24"/>
        </w:rPr>
        <w:t>is as set out in the second column and the </w:t>
      </w:r>
      <w:r>
        <w:rPr>
          <w:i/>
          <w:sz w:val="24"/>
        </w:rPr>
        <w:t>Relevant Transmission Network Service Provider </w:t>
      </w:r>
      <w:r>
        <w:rPr>
          <w:sz w:val="24"/>
        </w:rPr>
        <w:t>(</w:t>
      </w:r>
      <w:r>
        <w:rPr>
          <w:i/>
          <w:sz w:val="24"/>
        </w:rPr>
        <w:t>Relevant TNSP</w:t>
      </w:r>
      <w:r>
        <w:rPr>
          <w:sz w:val="24"/>
        </w:rPr>
        <w:t>) is as set out in the third column, respectively, opposite the description of the development or</w:t>
      </w:r>
      <w:r>
        <w:rPr>
          <w:spacing w:val="-1"/>
          <w:sz w:val="24"/>
        </w:rPr>
        <w:t> </w:t>
      </w:r>
      <w:r>
        <w:rPr>
          <w:sz w:val="24"/>
        </w:rPr>
        <w:t>activity.</w:t>
      </w:r>
    </w:p>
    <w:p>
      <w:pPr>
        <w:pStyle w:val="BodyText"/>
        <w:spacing w:before="10"/>
        <w:ind w:firstLine="0"/>
        <w:jc w:val="left"/>
        <w:rPr>
          <w:sz w:val="22"/>
        </w:rPr>
      </w:pPr>
    </w:p>
    <w:p>
      <w:pPr>
        <w:spacing w:before="0"/>
        <w:ind w:left="218" w:right="0" w:firstLine="0"/>
        <w:jc w:val="left"/>
        <w:rPr>
          <w:rFonts w:ascii="Arial"/>
          <w:b/>
          <w:sz w:val="22"/>
        </w:rPr>
      </w:pPr>
      <w:r>
        <w:rPr>
          <w:rFonts w:ascii="Arial"/>
          <w:b/>
          <w:sz w:val="22"/>
        </w:rPr>
        <w:t>Chart 1</w:t>
      </w:r>
    </w:p>
    <w:p>
      <w:pPr>
        <w:pStyle w:val="BodyText"/>
        <w:spacing w:before="3"/>
        <w:ind w:firstLine="0"/>
        <w:jc w:val="left"/>
        <w:rPr>
          <w:rFonts w:ascii="Arial"/>
          <w:b/>
          <w:sz w:val="5"/>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8"/>
        <w:gridCol w:w="2791"/>
        <w:gridCol w:w="2791"/>
        <w:gridCol w:w="2791"/>
      </w:tblGrid>
      <w:tr>
        <w:trPr>
          <w:trHeight w:val="671" w:hRule="atLeast"/>
        </w:trPr>
        <w:tc>
          <w:tcPr>
            <w:tcW w:w="698"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No.</w:t>
            </w:r>
          </w:p>
        </w:tc>
        <w:tc>
          <w:tcPr>
            <w:tcW w:w="2791" w:type="dxa"/>
            <w:tcBorders>
              <w:left w:val="single" w:sz="4" w:space="0" w:color="000000"/>
              <w:right w:val="single" w:sz="4" w:space="0" w:color="000000"/>
            </w:tcBorders>
            <w:shd w:val="clear" w:color="auto" w:fill="D9D9D9"/>
          </w:tcPr>
          <w:p>
            <w:pPr>
              <w:pStyle w:val="TableParagraph"/>
              <w:spacing w:line="270" w:lineRule="atLeast"/>
              <w:ind w:right="35"/>
              <w:rPr>
                <w:rFonts w:ascii="Arial"/>
                <w:b/>
                <w:sz w:val="24"/>
              </w:rPr>
            </w:pPr>
            <w:r>
              <w:rPr>
                <w:rFonts w:ascii="Arial"/>
                <w:b/>
                <w:sz w:val="24"/>
              </w:rPr>
              <w:t>Kind of development or activity</w:t>
            </w:r>
          </w:p>
        </w:tc>
        <w:tc>
          <w:tcPr>
            <w:tcW w:w="2791" w:type="dxa"/>
            <w:tcBorders>
              <w:left w:val="single" w:sz="4" w:space="0" w:color="000000"/>
              <w:right w:val="single" w:sz="4" w:space="0" w:color="000000"/>
            </w:tcBorders>
            <w:shd w:val="clear" w:color="auto" w:fill="D9D9D9"/>
          </w:tcPr>
          <w:p>
            <w:pPr>
              <w:pStyle w:val="TableParagraph"/>
              <w:spacing w:before="110"/>
              <w:rPr>
                <w:rFonts w:ascii="Arial"/>
                <w:b/>
                <w:i/>
                <w:sz w:val="25"/>
              </w:rPr>
            </w:pPr>
            <w:r>
              <w:rPr>
                <w:rFonts w:ascii="Arial"/>
                <w:b/>
                <w:i/>
                <w:sz w:val="25"/>
              </w:rPr>
              <w:t>Proponent</w:t>
            </w:r>
          </w:p>
        </w:tc>
        <w:tc>
          <w:tcPr>
            <w:tcW w:w="2791" w:type="dxa"/>
            <w:tcBorders>
              <w:left w:val="single" w:sz="4" w:space="0" w:color="000000"/>
              <w:right w:val="single" w:sz="4" w:space="0" w:color="000000"/>
            </w:tcBorders>
            <w:shd w:val="clear" w:color="auto" w:fill="D9D9D9"/>
          </w:tcPr>
          <w:p>
            <w:pPr>
              <w:pStyle w:val="TableParagraph"/>
              <w:spacing w:before="110"/>
              <w:ind w:left="44"/>
              <w:rPr>
                <w:rFonts w:ascii="Arial"/>
                <w:b/>
                <w:i/>
                <w:sz w:val="25"/>
              </w:rPr>
            </w:pPr>
            <w:r>
              <w:rPr>
                <w:rFonts w:ascii="Arial"/>
                <w:b/>
                <w:i/>
                <w:sz w:val="25"/>
              </w:rPr>
              <w:t>Relevant TNSP</w:t>
            </w:r>
          </w:p>
        </w:tc>
      </w:tr>
      <w:tr>
        <w:trPr>
          <w:trHeight w:val="395" w:hRule="atLeast"/>
        </w:trPr>
        <w:tc>
          <w:tcPr>
            <w:tcW w:w="698" w:type="dxa"/>
            <w:vMerge/>
            <w:tcBorders>
              <w:top w:val="nil"/>
              <w:bottom w:val="single" w:sz="4" w:space="0" w:color="000000"/>
              <w:right w:val="single" w:sz="4" w:space="0" w:color="000000"/>
            </w:tcBorders>
            <w:shd w:val="clear" w:color="auto" w:fill="D9D9D9"/>
          </w:tcPr>
          <w:p>
            <w:pPr>
              <w:rPr>
                <w:sz w:val="2"/>
                <w:szCs w:val="2"/>
              </w:rPr>
            </w:pP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1</w:t>
            </w: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column 2</w:t>
            </w: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column 3</w:t>
            </w:r>
          </w:p>
        </w:tc>
      </w:tr>
      <w:tr>
        <w:trPr>
          <w:trHeight w:val="2171" w:hRule="atLeast"/>
        </w:trPr>
        <w:tc>
          <w:tcPr>
            <w:tcW w:w="698" w:type="dxa"/>
            <w:tcBorders>
              <w:top w:val="single" w:sz="4" w:space="0" w:color="000000"/>
              <w:bottom w:val="single" w:sz="4" w:space="0" w:color="000000"/>
              <w:right w:val="single" w:sz="4" w:space="0" w:color="000000"/>
            </w:tcBorders>
          </w:tcPr>
          <w:p>
            <w:pPr>
              <w:pStyle w:val="TableParagraph"/>
              <w:ind w:left="40"/>
              <w:rPr>
                <w:sz w:val="24"/>
              </w:rPr>
            </w:pPr>
            <w:r>
              <w:rPr>
                <w:sz w:val="24"/>
              </w:rPr>
              <w:t>1.</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right="130"/>
              <w:rPr>
                <w:sz w:val="24"/>
              </w:rPr>
            </w:pPr>
            <w:r>
              <w:rPr>
                <w:sz w:val="24"/>
              </w:rPr>
              <w:t>A new </w:t>
            </w:r>
            <w:r>
              <w:rPr>
                <w:i/>
                <w:sz w:val="24"/>
              </w:rPr>
              <w:t>transmission line </w:t>
            </w:r>
            <w:r>
              <w:rPr>
                <w:sz w:val="24"/>
              </w:rPr>
              <w:t>between two </w:t>
            </w:r>
            <w:r>
              <w:rPr>
                <w:i/>
                <w:sz w:val="24"/>
              </w:rPr>
              <w:t>networks</w:t>
            </w:r>
            <w:r>
              <w:rPr>
                <w:sz w:val="24"/>
              </w:rPr>
              <w:t>, or within a </w:t>
            </w:r>
            <w:r>
              <w:rPr>
                <w:i/>
                <w:sz w:val="24"/>
              </w:rPr>
              <w:t>transmission </w:t>
            </w:r>
            <w:r>
              <w:rPr>
                <w:i/>
                <w:sz w:val="24"/>
              </w:rPr>
              <w:t>network</w:t>
            </w:r>
            <w:r>
              <w:rPr>
                <w:sz w:val="24"/>
              </w:rPr>
              <w:t>, that is anticipated to have a </w:t>
            </w:r>
            <w:r>
              <w:rPr>
                <w:i/>
                <w:sz w:val="24"/>
              </w:rPr>
              <w:t>material inter- </w:t>
            </w:r>
            <w:r>
              <w:rPr>
                <w:i/>
                <w:sz w:val="24"/>
              </w:rPr>
              <w:t>network impact </w:t>
            </w:r>
            <w:r>
              <w:rPr>
                <w:sz w:val="24"/>
              </w:rPr>
              <w:t>is commissioned.</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224"/>
              <w:rPr>
                <w:sz w:val="24"/>
              </w:rPr>
            </w:pPr>
            <w:r>
              <w:rPr>
                <w:i/>
                <w:sz w:val="24"/>
              </w:rPr>
              <w:t>Network Service Provider </w:t>
            </w:r>
            <w:r>
              <w:rPr>
                <w:sz w:val="24"/>
              </w:rPr>
              <w:t>in respect of the new </w:t>
            </w:r>
            <w:r>
              <w:rPr>
                <w:i/>
                <w:sz w:val="24"/>
              </w:rPr>
              <w:t>transmission line</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30"/>
              <w:rPr>
                <w:sz w:val="24"/>
              </w:rPr>
            </w:pPr>
            <w:r>
              <w:rPr>
                <w:i/>
                <w:sz w:val="24"/>
              </w:rPr>
              <w:t>Proponent </w:t>
            </w:r>
            <w:r>
              <w:rPr>
                <w:sz w:val="24"/>
              </w:rPr>
              <w:t>and the </w:t>
            </w:r>
            <w:r>
              <w:rPr>
                <w:i/>
                <w:sz w:val="24"/>
              </w:rPr>
              <w:t>Transmission Network </w:t>
            </w:r>
            <w:r>
              <w:rPr>
                <w:i/>
                <w:sz w:val="24"/>
              </w:rPr>
              <w:t>Service Provider </w:t>
            </w:r>
            <w:r>
              <w:rPr>
                <w:sz w:val="24"/>
              </w:rPr>
              <w:t>in respect of any </w:t>
            </w:r>
            <w:r>
              <w:rPr>
                <w:i/>
                <w:sz w:val="24"/>
              </w:rPr>
              <w:t>network </w:t>
            </w:r>
            <w:r>
              <w:rPr>
                <w:sz w:val="24"/>
              </w:rPr>
              <w:t>to which the </w:t>
            </w:r>
            <w:r>
              <w:rPr>
                <w:i/>
                <w:sz w:val="24"/>
              </w:rPr>
              <w:t>transmission line </w:t>
            </w:r>
            <w:r>
              <w:rPr>
                <w:sz w:val="24"/>
              </w:rPr>
              <w:t>is </w:t>
            </w:r>
            <w:r>
              <w:rPr>
                <w:i/>
                <w:sz w:val="24"/>
              </w:rPr>
              <w:t>connected</w:t>
            </w:r>
            <w:r>
              <w:rPr>
                <w:sz w:val="24"/>
              </w:rPr>
              <w:t>.</w:t>
            </w:r>
          </w:p>
        </w:tc>
      </w:tr>
      <w:tr>
        <w:trPr>
          <w:trHeight w:val="2447" w:hRule="atLeast"/>
        </w:trPr>
        <w:tc>
          <w:tcPr>
            <w:tcW w:w="698" w:type="dxa"/>
            <w:tcBorders>
              <w:top w:val="single" w:sz="4" w:space="0" w:color="000000"/>
              <w:bottom w:val="single" w:sz="4" w:space="0" w:color="000000"/>
              <w:right w:val="single" w:sz="4" w:space="0" w:color="000000"/>
            </w:tcBorders>
          </w:tcPr>
          <w:p>
            <w:pPr>
              <w:pStyle w:val="TableParagraph"/>
              <w:ind w:left="40"/>
              <w:rPr>
                <w:sz w:val="24"/>
              </w:rPr>
            </w:pPr>
            <w:r>
              <w:rPr>
                <w:sz w:val="24"/>
              </w:rPr>
              <w:t>2.</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right="89"/>
              <w:rPr>
                <w:sz w:val="24"/>
              </w:rPr>
            </w:pPr>
            <w:r>
              <w:rPr>
                <w:sz w:val="24"/>
              </w:rPr>
              <w:t>An existing </w:t>
            </w:r>
            <w:r>
              <w:rPr>
                <w:i/>
                <w:sz w:val="24"/>
              </w:rPr>
              <w:t>transmission </w:t>
            </w:r>
            <w:r>
              <w:rPr>
                <w:i/>
                <w:sz w:val="24"/>
              </w:rPr>
              <w:t>line </w:t>
            </w:r>
            <w:r>
              <w:rPr>
                <w:sz w:val="24"/>
              </w:rPr>
              <w:t>between two </w:t>
            </w:r>
            <w:r>
              <w:rPr>
                <w:i/>
                <w:sz w:val="24"/>
              </w:rPr>
              <w:t>networks</w:t>
            </w:r>
            <w:r>
              <w:rPr>
                <w:sz w:val="24"/>
              </w:rPr>
              <w:t>, or within a </w:t>
            </w:r>
            <w:r>
              <w:rPr>
                <w:i/>
                <w:sz w:val="24"/>
              </w:rPr>
              <w:t>transmission </w:t>
            </w:r>
            <w:r>
              <w:rPr>
                <w:i/>
                <w:sz w:val="24"/>
              </w:rPr>
              <w:t>network</w:t>
            </w:r>
            <w:r>
              <w:rPr>
                <w:sz w:val="24"/>
              </w:rPr>
              <w:t>, that is anticipated to have a </w:t>
            </w:r>
            <w:r>
              <w:rPr>
                <w:i/>
                <w:sz w:val="24"/>
              </w:rPr>
              <w:t>material inter- </w:t>
            </w:r>
            <w:r>
              <w:rPr>
                <w:i/>
                <w:sz w:val="24"/>
              </w:rPr>
              <w:t>network impact </w:t>
            </w:r>
            <w:r>
              <w:rPr>
                <w:sz w:val="24"/>
              </w:rPr>
              <w:t>is </w:t>
            </w:r>
            <w:r>
              <w:rPr>
                <w:i/>
                <w:sz w:val="24"/>
              </w:rPr>
              <w:t>augmented </w:t>
            </w:r>
            <w:r>
              <w:rPr>
                <w:sz w:val="24"/>
              </w:rPr>
              <w:t>or substantially modified.</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224"/>
              <w:rPr>
                <w:sz w:val="24"/>
              </w:rPr>
            </w:pPr>
            <w:r>
              <w:rPr>
                <w:i/>
                <w:sz w:val="24"/>
              </w:rPr>
              <w:t>Network Service Provider </w:t>
            </w:r>
            <w:r>
              <w:rPr>
                <w:sz w:val="24"/>
              </w:rPr>
              <w:t>in respect of the </w:t>
            </w:r>
            <w:r>
              <w:rPr>
                <w:i/>
                <w:sz w:val="24"/>
              </w:rPr>
              <w:t>augmentation </w:t>
            </w:r>
            <w:r>
              <w:rPr>
                <w:sz w:val="24"/>
              </w:rPr>
              <w:t>or modification of the </w:t>
            </w:r>
            <w:r>
              <w:rPr>
                <w:i/>
                <w:sz w:val="24"/>
              </w:rPr>
              <w:t>transmission line</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30"/>
              <w:rPr>
                <w:sz w:val="24"/>
              </w:rPr>
            </w:pPr>
            <w:r>
              <w:rPr>
                <w:i/>
                <w:sz w:val="24"/>
              </w:rPr>
              <w:t>Proponent </w:t>
            </w:r>
            <w:r>
              <w:rPr>
                <w:sz w:val="24"/>
              </w:rPr>
              <w:t>and the </w:t>
            </w:r>
            <w:r>
              <w:rPr>
                <w:i/>
                <w:sz w:val="24"/>
              </w:rPr>
              <w:t>Transmission Network </w:t>
            </w:r>
            <w:r>
              <w:rPr>
                <w:i/>
                <w:sz w:val="24"/>
              </w:rPr>
              <w:t>Service Provider </w:t>
            </w:r>
            <w:r>
              <w:rPr>
                <w:sz w:val="24"/>
              </w:rPr>
              <w:t>in respect of any </w:t>
            </w:r>
            <w:r>
              <w:rPr>
                <w:i/>
                <w:sz w:val="24"/>
              </w:rPr>
              <w:t>network </w:t>
            </w:r>
            <w:r>
              <w:rPr>
                <w:sz w:val="24"/>
              </w:rPr>
              <w:t>to which the </w:t>
            </w:r>
            <w:r>
              <w:rPr>
                <w:i/>
                <w:sz w:val="24"/>
              </w:rPr>
              <w:t>transmission line </w:t>
            </w:r>
            <w:r>
              <w:rPr>
                <w:sz w:val="24"/>
              </w:rPr>
              <w:t>is </w:t>
            </w:r>
            <w:r>
              <w:rPr>
                <w:i/>
                <w:sz w:val="24"/>
              </w:rPr>
              <w:t>connected</w:t>
            </w:r>
            <w:r>
              <w:rPr>
                <w:sz w:val="24"/>
              </w:rPr>
              <w:t>.</w:t>
            </w:r>
          </w:p>
        </w:tc>
      </w:tr>
      <w:tr>
        <w:trPr>
          <w:trHeight w:val="3239" w:hRule="atLeast"/>
        </w:trPr>
        <w:tc>
          <w:tcPr>
            <w:tcW w:w="698" w:type="dxa"/>
            <w:tcBorders>
              <w:top w:val="single" w:sz="4" w:space="0" w:color="000000"/>
              <w:bottom w:val="single" w:sz="4" w:space="0" w:color="000000"/>
              <w:right w:val="single" w:sz="4" w:space="0" w:color="000000"/>
            </w:tcBorders>
          </w:tcPr>
          <w:p>
            <w:pPr>
              <w:pStyle w:val="TableParagraph"/>
              <w:ind w:left="40"/>
              <w:rPr>
                <w:sz w:val="24"/>
              </w:rPr>
            </w:pPr>
            <w:r>
              <w:rPr>
                <w:sz w:val="24"/>
              </w:rPr>
              <w:t>3.</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right="203"/>
              <w:rPr>
                <w:sz w:val="24"/>
              </w:rPr>
            </w:pPr>
            <w:r>
              <w:rPr>
                <w:sz w:val="24"/>
              </w:rPr>
              <w:t>A new </w:t>
            </w:r>
            <w:r>
              <w:rPr>
                <w:i/>
                <w:sz w:val="24"/>
              </w:rPr>
              <w:t>generating unit </w:t>
            </w:r>
            <w:r>
              <w:rPr>
                <w:sz w:val="24"/>
              </w:rPr>
              <w:t>or </w:t>
            </w:r>
            <w:r>
              <w:rPr>
                <w:i/>
                <w:sz w:val="24"/>
              </w:rPr>
              <w:t>facility </w:t>
            </w:r>
            <w:r>
              <w:rPr>
                <w:sz w:val="24"/>
              </w:rPr>
              <w:t>of a </w:t>
            </w:r>
            <w:r>
              <w:rPr>
                <w:i/>
                <w:sz w:val="24"/>
              </w:rPr>
              <w:t>Customer </w:t>
            </w:r>
            <w:r>
              <w:rPr>
                <w:sz w:val="24"/>
              </w:rPr>
              <w:t>or a </w:t>
            </w:r>
            <w:r>
              <w:rPr>
                <w:i/>
                <w:sz w:val="24"/>
              </w:rPr>
              <w:t>network </w:t>
            </w:r>
            <w:r>
              <w:rPr>
                <w:sz w:val="24"/>
              </w:rPr>
              <w:t>development is commissioned that is anticipated to have a </w:t>
            </w:r>
            <w:r>
              <w:rPr>
                <w:i/>
                <w:sz w:val="24"/>
              </w:rPr>
              <w:t>material inter-network </w:t>
            </w:r>
            <w:r>
              <w:rPr>
                <w:i/>
                <w:sz w:val="24"/>
              </w:rPr>
              <w:t>impact</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117"/>
              <w:rPr>
                <w:sz w:val="24"/>
              </w:rPr>
            </w:pPr>
            <w:r>
              <w:rPr>
                <w:i/>
                <w:sz w:val="24"/>
              </w:rPr>
              <w:t>Generator </w:t>
            </w:r>
            <w:r>
              <w:rPr>
                <w:sz w:val="24"/>
              </w:rPr>
              <w:t>in respect of the </w:t>
            </w:r>
            <w:r>
              <w:rPr>
                <w:i/>
                <w:sz w:val="24"/>
              </w:rPr>
              <w:t>generating unit </w:t>
            </w:r>
            <w:r>
              <w:rPr>
                <w:sz w:val="24"/>
              </w:rPr>
              <w:t>and associated </w:t>
            </w:r>
            <w:r>
              <w:rPr>
                <w:i/>
                <w:sz w:val="24"/>
              </w:rPr>
              <w:t>connection </w:t>
            </w:r>
            <w:r>
              <w:rPr>
                <w:i/>
                <w:sz w:val="24"/>
              </w:rPr>
              <w:t>assets</w:t>
            </w:r>
            <w:r>
              <w:rPr>
                <w:sz w:val="24"/>
              </w:rPr>
              <w:t>.</w:t>
            </w:r>
          </w:p>
          <w:p>
            <w:pPr>
              <w:pStyle w:val="TableParagraph"/>
              <w:ind w:left="44" w:right="184"/>
              <w:rPr>
                <w:sz w:val="24"/>
              </w:rPr>
            </w:pPr>
            <w:r>
              <w:rPr>
                <w:i/>
                <w:sz w:val="24"/>
              </w:rPr>
              <w:t>Customer </w:t>
            </w:r>
            <w:r>
              <w:rPr>
                <w:sz w:val="24"/>
              </w:rPr>
              <w:t>in respect of the </w:t>
            </w:r>
            <w:r>
              <w:rPr>
                <w:i/>
                <w:sz w:val="24"/>
              </w:rPr>
              <w:t>facility </w:t>
            </w:r>
            <w:r>
              <w:rPr>
                <w:sz w:val="24"/>
              </w:rPr>
              <w:t>and associated </w:t>
            </w:r>
            <w:r>
              <w:rPr>
                <w:i/>
                <w:sz w:val="24"/>
              </w:rPr>
              <w:t>connection assets</w:t>
            </w:r>
            <w:r>
              <w:rPr>
                <w:sz w:val="24"/>
              </w:rPr>
              <w:t>.</w:t>
            </w:r>
          </w:p>
          <w:p>
            <w:pPr>
              <w:pStyle w:val="TableParagraph"/>
              <w:ind w:left="44" w:right="224"/>
              <w:rPr>
                <w:sz w:val="24"/>
              </w:rPr>
            </w:pPr>
            <w:r>
              <w:rPr>
                <w:i/>
                <w:sz w:val="24"/>
              </w:rPr>
              <w:t>Network Service Provider </w:t>
            </w:r>
            <w:r>
              <w:rPr>
                <w:sz w:val="24"/>
              </w:rPr>
              <w:t>in respect of the relevant </w:t>
            </w:r>
            <w:r>
              <w:rPr>
                <w:i/>
                <w:sz w:val="24"/>
              </w:rPr>
              <w:t>network</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30"/>
              <w:rPr>
                <w:sz w:val="24"/>
              </w:rPr>
            </w:pPr>
            <w:r>
              <w:rPr>
                <w:i/>
                <w:sz w:val="24"/>
              </w:rPr>
              <w:t>Transmission Network </w:t>
            </w:r>
            <w:r>
              <w:rPr>
                <w:i/>
                <w:sz w:val="24"/>
              </w:rPr>
              <w:t>Service Provider </w:t>
            </w:r>
            <w:r>
              <w:rPr>
                <w:sz w:val="24"/>
              </w:rPr>
              <w:t>in respect of any </w:t>
            </w:r>
            <w:r>
              <w:rPr>
                <w:i/>
                <w:sz w:val="24"/>
              </w:rPr>
              <w:t>network </w:t>
            </w:r>
            <w:r>
              <w:rPr>
                <w:sz w:val="24"/>
              </w:rPr>
              <w:t>to which the </w:t>
            </w:r>
            <w:r>
              <w:rPr>
                <w:i/>
                <w:sz w:val="24"/>
              </w:rPr>
              <w:t>generating unit</w:t>
            </w:r>
            <w:r>
              <w:rPr>
                <w:sz w:val="24"/>
              </w:rPr>
              <w:t>, </w:t>
            </w:r>
            <w:r>
              <w:rPr>
                <w:i/>
                <w:sz w:val="24"/>
              </w:rPr>
              <w:t>facility </w:t>
            </w:r>
            <w:r>
              <w:rPr>
                <w:sz w:val="24"/>
              </w:rPr>
              <w:t>or </w:t>
            </w:r>
            <w:r>
              <w:rPr>
                <w:i/>
                <w:sz w:val="24"/>
              </w:rPr>
              <w:t>network </w:t>
            </w:r>
            <w:r>
              <w:rPr>
                <w:sz w:val="24"/>
              </w:rPr>
              <w:t>development is </w:t>
            </w:r>
            <w:r>
              <w:rPr>
                <w:i/>
                <w:sz w:val="24"/>
              </w:rPr>
              <w:t>connected </w:t>
            </w:r>
            <w:r>
              <w:rPr>
                <w:sz w:val="24"/>
              </w:rPr>
              <w:t>and, if a </w:t>
            </w:r>
            <w:r>
              <w:rPr>
                <w:i/>
                <w:sz w:val="24"/>
              </w:rPr>
              <w:t>network </w:t>
            </w:r>
            <w:r>
              <w:rPr>
                <w:sz w:val="24"/>
              </w:rPr>
              <w:t>development, then also the </w:t>
            </w:r>
            <w:r>
              <w:rPr>
                <w:i/>
                <w:sz w:val="24"/>
              </w:rPr>
              <w:t>Proponent</w:t>
            </w:r>
            <w:r>
              <w:rPr>
                <w:sz w:val="24"/>
              </w:rPr>
              <w:t>.</w:t>
            </w:r>
          </w:p>
        </w:tc>
      </w:tr>
      <w:tr>
        <w:trPr>
          <w:trHeight w:val="2447" w:hRule="atLeast"/>
        </w:trPr>
        <w:tc>
          <w:tcPr>
            <w:tcW w:w="698" w:type="dxa"/>
            <w:tcBorders>
              <w:top w:val="single" w:sz="4" w:space="0" w:color="000000"/>
              <w:bottom w:val="single" w:sz="4" w:space="0" w:color="000000"/>
              <w:right w:val="single" w:sz="4" w:space="0" w:color="000000"/>
            </w:tcBorders>
          </w:tcPr>
          <w:p>
            <w:pPr>
              <w:pStyle w:val="TableParagraph"/>
              <w:ind w:left="40"/>
              <w:rPr>
                <w:sz w:val="24"/>
              </w:rPr>
            </w:pPr>
            <w:r>
              <w:rPr>
                <w:sz w:val="24"/>
              </w:rPr>
              <w:t>4.</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right="41"/>
              <w:rPr>
                <w:sz w:val="24"/>
              </w:rPr>
            </w:pPr>
            <w:r>
              <w:rPr>
                <w:sz w:val="24"/>
              </w:rPr>
              <w:t>Setting changes are made </w:t>
            </w:r>
            <w:r>
              <w:rPr>
                <w:spacing w:val="-6"/>
                <w:sz w:val="24"/>
              </w:rPr>
              <w:t>to </w:t>
            </w:r>
            <w:r>
              <w:rPr>
                <w:sz w:val="24"/>
              </w:rPr>
              <w:t>any </w:t>
            </w:r>
            <w:r>
              <w:rPr>
                <w:i/>
                <w:sz w:val="24"/>
              </w:rPr>
              <w:t>power system </w:t>
            </w:r>
            <w:r>
              <w:rPr>
                <w:sz w:val="24"/>
              </w:rPr>
              <w:t>stabilisers as a result of a </w:t>
            </w:r>
            <w:r>
              <w:rPr>
                <w:i/>
                <w:sz w:val="24"/>
              </w:rPr>
              <w:t>generating unit</w:t>
            </w:r>
            <w:r>
              <w:rPr>
                <w:sz w:val="24"/>
              </w:rPr>
              <w:t>, </w:t>
            </w:r>
            <w:r>
              <w:rPr>
                <w:i/>
                <w:sz w:val="24"/>
              </w:rPr>
              <w:t>facility </w:t>
            </w:r>
            <w:r>
              <w:rPr>
                <w:sz w:val="24"/>
              </w:rPr>
              <w:t>of a </w:t>
            </w:r>
            <w:r>
              <w:rPr>
                <w:i/>
                <w:sz w:val="24"/>
              </w:rPr>
              <w:t>Customer </w:t>
            </w:r>
            <w:r>
              <w:rPr>
                <w:sz w:val="24"/>
              </w:rPr>
              <w:t>or </w:t>
            </w:r>
            <w:r>
              <w:rPr>
                <w:i/>
                <w:sz w:val="24"/>
              </w:rPr>
              <w:t>network </w:t>
            </w:r>
            <w:r>
              <w:rPr>
                <w:sz w:val="24"/>
              </w:rPr>
              <w:t>development being commissioned, modified or replaced.</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i/>
                <w:sz w:val="24"/>
              </w:rPr>
              <w:t>Generator </w:t>
            </w:r>
            <w:r>
              <w:rPr>
                <w:sz w:val="24"/>
              </w:rPr>
              <w:t>in respect of the</w:t>
            </w:r>
          </w:p>
          <w:p>
            <w:pPr>
              <w:pStyle w:val="TableParagraph"/>
              <w:spacing w:before="0"/>
              <w:ind w:left="44"/>
              <w:rPr>
                <w:sz w:val="24"/>
              </w:rPr>
            </w:pPr>
            <w:r>
              <w:rPr>
                <w:i/>
                <w:sz w:val="24"/>
              </w:rPr>
              <w:t>generating unit</w:t>
            </w:r>
            <w:r>
              <w:rPr>
                <w:sz w:val="24"/>
              </w:rPr>
              <w:t>.</w:t>
            </w:r>
          </w:p>
          <w:p>
            <w:pPr>
              <w:pStyle w:val="TableParagraph"/>
              <w:ind w:left="44"/>
              <w:rPr>
                <w:sz w:val="24"/>
              </w:rPr>
            </w:pPr>
            <w:r>
              <w:rPr>
                <w:i/>
                <w:sz w:val="24"/>
              </w:rPr>
              <w:t>Customer </w:t>
            </w:r>
            <w:r>
              <w:rPr>
                <w:sz w:val="24"/>
              </w:rPr>
              <w:t>in respect of the</w:t>
            </w:r>
          </w:p>
          <w:p>
            <w:pPr>
              <w:pStyle w:val="TableParagraph"/>
              <w:spacing w:before="0"/>
              <w:ind w:left="44"/>
              <w:rPr>
                <w:sz w:val="24"/>
              </w:rPr>
            </w:pPr>
            <w:r>
              <w:rPr>
                <w:i/>
                <w:sz w:val="24"/>
              </w:rPr>
              <w:t>facility</w:t>
            </w:r>
            <w:r>
              <w:rPr>
                <w:sz w:val="24"/>
              </w:rPr>
              <w:t>.</w:t>
            </w:r>
          </w:p>
          <w:p>
            <w:pPr>
              <w:pStyle w:val="TableParagraph"/>
              <w:ind w:left="44" w:right="224"/>
              <w:rPr>
                <w:sz w:val="24"/>
              </w:rPr>
            </w:pPr>
            <w:r>
              <w:rPr>
                <w:i/>
                <w:sz w:val="24"/>
              </w:rPr>
              <w:t>Network Service Provider </w:t>
            </w:r>
            <w:r>
              <w:rPr>
                <w:sz w:val="24"/>
              </w:rPr>
              <w:t>in respect of the relevant </w:t>
            </w:r>
            <w:r>
              <w:rPr>
                <w:i/>
                <w:sz w:val="24"/>
              </w:rPr>
              <w:t>network</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ight="111"/>
              <w:rPr>
                <w:sz w:val="24"/>
              </w:rPr>
            </w:pPr>
            <w:r>
              <w:rPr>
                <w:i/>
                <w:sz w:val="24"/>
              </w:rPr>
              <w:t>Transmission Network </w:t>
            </w:r>
            <w:r>
              <w:rPr>
                <w:i/>
                <w:sz w:val="24"/>
              </w:rPr>
              <w:t>Service Provider </w:t>
            </w:r>
            <w:r>
              <w:rPr>
                <w:sz w:val="24"/>
              </w:rPr>
              <w:t>in respect of any </w:t>
            </w:r>
            <w:r>
              <w:rPr>
                <w:i/>
                <w:sz w:val="24"/>
              </w:rPr>
              <w:t>transmission </w:t>
            </w:r>
            <w:r>
              <w:rPr>
                <w:i/>
                <w:sz w:val="24"/>
              </w:rPr>
              <w:t>network </w:t>
            </w:r>
            <w:r>
              <w:rPr>
                <w:sz w:val="24"/>
              </w:rPr>
              <w:t>to which the </w:t>
            </w:r>
            <w:r>
              <w:rPr>
                <w:i/>
                <w:sz w:val="24"/>
              </w:rPr>
              <w:t>generating unit</w:t>
            </w:r>
            <w:r>
              <w:rPr>
                <w:sz w:val="24"/>
              </w:rPr>
              <w:t>, </w:t>
            </w:r>
            <w:r>
              <w:rPr>
                <w:i/>
                <w:sz w:val="24"/>
              </w:rPr>
              <w:t>facility </w:t>
            </w:r>
            <w:r>
              <w:rPr>
                <w:sz w:val="24"/>
              </w:rPr>
              <w:t>or </w:t>
            </w:r>
            <w:r>
              <w:rPr>
                <w:i/>
                <w:sz w:val="24"/>
              </w:rPr>
              <w:t>network </w:t>
            </w:r>
            <w:r>
              <w:rPr>
                <w:sz w:val="24"/>
              </w:rPr>
              <w:t>development is </w:t>
            </w:r>
            <w:r>
              <w:rPr>
                <w:i/>
                <w:sz w:val="24"/>
              </w:rPr>
              <w:t>connected</w:t>
            </w:r>
            <w:r>
              <w:rPr>
                <w:sz w:val="24"/>
              </w:rPr>
              <w:t>.</w:t>
            </w:r>
          </w:p>
        </w:tc>
      </w:tr>
    </w:tbl>
    <w:p>
      <w:pPr>
        <w:spacing w:after="0"/>
        <w:rPr>
          <w:sz w:val="24"/>
        </w:rPr>
        <w:sectPr>
          <w:pgSz w:w="11910" w:h="16840"/>
          <w:pgMar w:header="686" w:footer="637" w:top="1320" w:bottom="820" w:left="1200" w:right="1000"/>
        </w:sectPr>
      </w:pPr>
    </w:p>
    <w:p>
      <w:pPr>
        <w:pStyle w:val="BodyText"/>
        <w:spacing w:before="2"/>
        <w:ind w:firstLine="0"/>
        <w:jc w:val="left"/>
        <w:rPr>
          <w:rFonts w:ascii="Arial"/>
          <w:b/>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8"/>
        <w:gridCol w:w="2791"/>
        <w:gridCol w:w="2791"/>
        <w:gridCol w:w="2791"/>
      </w:tblGrid>
      <w:tr>
        <w:trPr>
          <w:trHeight w:val="671" w:hRule="atLeast"/>
        </w:trPr>
        <w:tc>
          <w:tcPr>
            <w:tcW w:w="698"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No.</w:t>
            </w:r>
          </w:p>
        </w:tc>
        <w:tc>
          <w:tcPr>
            <w:tcW w:w="2791" w:type="dxa"/>
            <w:tcBorders>
              <w:left w:val="single" w:sz="4" w:space="0" w:color="000000"/>
              <w:right w:val="single" w:sz="4" w:space="0" w:color="000000"/>
            </w:tcBorders>
            <w:shd w:val="clear" w:color="auto" w:fill="D9D9D9"/>
          </w:tcPr>
          <w:p>
            <w:pPr>
              <w:pStyle w:val="TableParagraph"/>
              <w:spacing w:line="270" w:lineRule="atLeast"/>
              <w:ind w:right="35"/>
              <w:rPr>
                <w:rFonts w:ascii="Arial"/>
                <w:b/>
                <w:sz w:val="24"/>
              </w:rPr>
            </w:pPr>
            <w:r>
              <w:rPr>
                <w:rFonts w:ascii="Arial"/>
                <w:b/>
                <w:sz w:val="24"/>
              </w:rPr>
              <w:t>Kind of development or activity</w:t>
            </w:r>
          </w:p>
        </w:tc>
        <w:tc>
          <w:tcPr>
            <w:tcW w:w="2791" w:type="dxa"/>
            <w:tcBorders>
              <w:left w:val="single" w:sz="4" w:space="0" w:color="000000"/>
              <w:right w:val="single" w:sz="4" w:space="0" w:color="000000"/>
            </w:tcBorders>
            <w:shd w:val="clear" w:color="auto" w:fill="D9D9D9"/>
          </w:tcPr>
          <w:p>
            <w:pPr>
              <w:pStyle w:val="TableParagraph"/>
              <w:spacing w:before="110"/>
              <w:rPr>
                <w:rFonts w:ascii="Arial"/>
                <w:b/>
                <w:i/>
                <w:sz w:val="25"/>
              </w:rPr>
            </w:pPr>
            <w:r>
              <w:rPr>
                <w:rFonts w:ascii="Arial"/>
                <w:b/>
                <w:i/>
                <w:sz w:val="25"/>
              </w:rPr>
              <w:t>Proponent</w:t>
            </w:r>
          </w:p>
        </w:tc>
        <w:tc>
          <w:tcPr>
            <w:tcW w:w="2791" w:type="dxa"/>
            <w:tcBorders>
              <w:left w:val="single" w:sz="4" w:space="0" w:color="000000"/>
              <w:right w:val="single" w:sz="4" w:space="0" w:color="000000"/>
            </w:tcBorders>
            <w:shd w:val="clear" w:color="auto" w:fill="D9D9D9"/>
          </w:tcPr>
          <w:p>
            <w:pPr>
              <w:pStyle w:val="TableParagraph"/>
              <w:spacing w:before="110"/>
              <w:ind w:left="44"/>
              <w:rPr>
                <w:rFonts w:ascii="Arial"/>
                <w:b/>
                <w:i/>
                <w:sz w:val="25"/>
              </w:rPr>
            </w:pPr>
            <w:r>
              <w:rPr>
                <w:rFonts w:ascii="Arial"/>
                <w:b/>
                <w:i/>
                <w:sz w:val="25"/>
              </w:rPr>
              <w:t>Relevant TNSP</w:t>
            </w:r>
          </w:p>
        </w:tc>
      </w:tr>
      <w:tr>
        <w:trPr>
          <w:trHeight w:val="395" w:hRule="atLeast"/>
        </w:trPr>
        <w:tc>
          <w:tcPr>
            <w:tcW w:w="698" w:type="dxa"/>
            <w:vMerge/>
            <w:tcBorders>
              <w:top w:val="nil"/>
              <w:bottom w:val="single" w:sz="4" w:space="0" w:color="000000"/>
              <w:right w:val="single" w:sz="4" w:space="0" w:color="000000"/>
            </w:tcBorders>
            <w:shd w:val="clear" w:color="auto" w:fill="D9D9D9"/>
          </w:tcPr>
          <w:p>
            <w:pPr>
              <w:rPr>
                <w:sz w:val="2"/>
                <w:szCs w:val="2"/>
              </w:rPr>
            </w:pP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1</w:t>
            </w: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column 2</w:t>
            </w:r>
          </w:p>
        </w:tc>
        <w:tc>
          <w:tcPr>
            <w:tcW w:w="279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column 3</w:t>
            </w:r>
          </w:p>
        </w:tc>
      </w:tr>
      <w:tr>
        <w:trPr>
          <w:trHeight w:val="1895" w:hRule="atLeast"/>
        </w:trPr>
        <w:tc>
          <w:tcPr>
            <w:tcW w:w="698" w:type="dxa"/>
            <w:tcBorders>
              <w:top w:val="single" w:sz="4" w:space="0" w:color="000000"/>
              <w:bottom w:val="single" w:sz="4" w:space="0" w:color="000000"/>
              <w:right w:val="single" w:sz="4" w:space="0" w:color="000000"/>
            </w:tcBorders>
          </w:tcPr>
          <w:p>
            <w:pPr>
              <w:pStyle w:val="TableParagraph"/>
              <w:ind w:left="40"/>
              <w:rPr>
                <w:sz w:val="24"/>
              </w:rPr>
            </w:pPr>
            <w:r>
              <w:rPr>
                <w:sz w:val="24"/>
              </w:rPr>
              <w:t>5.</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right="41"/>
              <w:rPr>
                <w:sz w:val="24"/>
              </w:rPr>
            </w:pPr>
            <w:r>
              <w:rPr>
                <w:sz w:val="24"/>
              </w:rPr>
              <w:t>Setting changes are made </w:t>
            </w:r>
            <w:r>
              <w:rPr>
                <w:spacing w:val="-6"/>
                <w:sz w:val="24"/>
              </w:rPr>
              <w:t>to </w:t>
            </w:r>
            <w:r>
              <w:rPr>
                <w:sz w:val="24"/>
              </w:rPr>
              <w:t>any </w:t>
            </w:r>
            <w:r>
              <w:rPr>
                <w:i/>
                <w:sz w:val="24"/>
              </w:rPr>
              <w:t>power system </w:t>
            </w:r>
            <w:r>
              <w:rPr>
                <w:sz w:val="24"/>
              </w:rPr>
              <w:t>stabilisers as a result of a decision by </w:t>
            </w:r>
            <w:r>
              <w:rPr>
                <w:i/>
                <w:sz w:val="24"/>
              </w:rPr>
              <w:t>AEMO</w:t>
            </w:r>
            <w:r>
              <w:rPr>
                <w:sz w:val="24"/>
              </w:rPr>
              <w:t>, which are not covered by item 4 </w:t>
            </w:r>
            <w:r>
              <w:rPr>
                <w:spacing w:val="-8"/>
                <w:sz w:val="24"/>
              </w:rPr>
              <w:t>in </w:t>
            </w:r>
            <w:r>
              <w:rPr>
                <w:sz w:val="24"/>
              </w:rPr>
              <w:t>this</w:t>
            </w:r>
            <w:r>
              <w:rPr>
                <w:spacing w:val="-1"/>
                <w:sz w:val="24"/>
              </w:rPr>
              <w:t> </w:t>
            </w:r>
            <w:r>
              <w:rPr>
                <w:sz w:val="24"/>
              </w:rPr>
              <w:t>chart.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i/>
                <w:sz w:val="24"/>
              </w:rPr>
              <w:t>AEMO</w:t>
            </w:r>
            <w:r>
              <w:rPr>
                <w:sz w:val="24"/>
              </w:rPr>
              <w:t>.</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None.</w:t>
            </w:r>
          </w:p>
        </w:tc>
      </w:tr>
      <w:tr>
        <w:trPr>
          <w:trHeight w:val="2171" w:hRule="atLeast"/>
        </w:trPr>
        <w:tc>
          <w:tcPr>
            <w:tcW w:w="698" w:type="dxa"/>
            <w:tcBorders>
              <w:top w:val="single" w:sz="4" w:space="0" w:color="000000"/>
              <w:right w:val="single" w:sz="4" w:space="0" w:color="000000"/>
            </w:tcBorders>
          </w:tcPr>
          <w:p>
            <w:pPr>
              <w:pStyle w:val="TableParagraph"/>
              <w:ind w:left="40"/>
              <w:rPr>
                <w:sz w:val="24"/>
              </w:rPr>
            </w:pPr>
            <w:r>
              <w:rPr>
                <w:sz w:val="24"/>
              </w:rPr>
              <w:t>6.</w:t>
            </w:r>
          </w:p>
        </w:tc>
        <w:tc>
          <w:tcPr>
            <w:tcW w:w="2791" w:type="dxa"/>
            <w:tcBorders>
              <w:top w:val="single" w:sz="4" w:space="0" w:color="000000"/>
              <w:left w:val="single" w:sz="4" w:space="0" w:color="000000"/>
              <w:right w:val="single" w:sz="4" w:space="0" w:color="000000"/>
            </w:tcBorders>
          </w:tcPr>
          <w:p>
            <w:pPr>
              <w:pStyle w:val="TableParagraph"/>
              <w:ind w:right="36"/>
              <w:rPr>
                <w:sz w:val="24"/>
              </w:rPr>
            </w:pPr>
            <w:r>
              <w:rPr>
                <w:i/>
                <w:sz w:val="24"/>
              </w:rPr>
              <w:t>AEMO </w:t>
            </w:r>
            <w:r>
              <w:rPr>
                <w:sz w:val="24"/>
              </w:rPr>
              <w:t>determines that a test is required to verify the performance of the </w:t>
            </w:r>
            <w:r>
              <w:rPr>
                <w:i/>
                <w:sz w:val="24"/>
              </w:rPr>
              <w:t>power </w:t>
            </w:r>
            <w:r>
              <w:rPr>
                <w:i/>
                <w:sz w:val="24"/>
              </w:rPr>
              <w:t>system </w:t>
            </w:r>
            <w:r>
              <w:rPr>
                <w:sz w:val="24"/>
              </w:rPr>
              <w:t>in light of the results of planning studies or simulations or one or more system incidents.</w:t>
            </w:r>
          </w:p>
        </w:tc>
        <w:tc>
          <w:tcPr>
            <w:tcW w:w="2791" w:type="dxa"/>
            <w:tcBorders>
              <w:top w:val="single" w:sz="4" w:space="0" w:color="000000"/>
              <w:left w:val="single" w:sz="4" w:space="0" w:color="000000"/>
              <w:right w:val="single" w:sz="4" w:space="0" w:color="000000"/>
            </w:tcBorders>
          </w:tcPr>
          <w:p>
            <w:pPr>
              <w:pStyle w:val="TableParagraph"/>
              <w:ind w:left="44"/>
              <w:rPr>
                <w:sz w:val="24"/>
              </w:rPr>
            </w:pPr>
            <w:r>
              <w:rPr>
                <w:i/>
                <w:sz w:val="24"/>
              </w:rPr>
              <w:t>AEMO</w:t>
            </w:r>
            <w:r>
              <w:rPr>
                <w:sz w:val="24"/>
              </w:rPr>
              <w:t>.</w:t>
            </w:r>
          </w:p>
        </w:tc>
        <w:tc>
          <w:tcPr>
            <w:tcW w:w="2791" w:type="dxa"/>
            <w:tcBorders>
              <w:top w:val="single" w:sz="4" w:space="0" w:color="000000"/>
              <w:left w:val="single" w:sz="4" w:space="0" w:color="000000"/>
              <w:right w:val="single" w:sz="4" w:space="0" w:color="000000"/>
            </w:tcBorders>
          </w:tcPr>
          <w:p>
            <w:pPr>
              <w:pStyle w:val="TableParagraph"/>
              <w:ind w:left="44"/>
              <w:rPr>
                <w:sz w:val="24"/>
              </w:rPr>
            </w:pPr>
            <w:r>
              <w:rPr>
                <w:sz w:val="24"/>
              </w:rPr>
              <w:t>None.</w:t>
            </w:r>
          </w:p>
        </w:tc>
      </w:tr>
    </w:tbl>
    <w:p>
      <w:pPr>
        <w:pStyle w:val="BodyText"/>
        <w:spacing w:before="8"/>
        <w:ind w:firstLine="0"/>
        <w:jc w:val="left"/>
        <w:rPr>
          <w:rFonts w:ascii="Arial"/>
          <w:b/>
          <w:sz w:val="26"/>
        </w:rPr>
      </w:pPr>
    </w:p>
    <w:p>
      <w:pPr>
        <w:pStyle w:val="ListParagraph"/>
        <w:numPr>
          <w:ilvl w:val="3"/>
          <w:numId w:val="198"/>
        </w:numPr>
        <w:tabs>
          <w:tab w:pos="1919" w:val="left" w:leader="none"/>
        </w:tabs>
        <w:spacing w:line="240" w:lineRule="auto" w:before="90" w:after="0"/>
        <w:ind w:left="1919" w:right="414" w:hanging="567"/>
        <w:jc w:val="both"/>
        <w:rPr>
          <w:sz w:val="24"/>
        </w:rPr>
      </w:pPr>
      <w:r>
        <w:rPr>
          <w:sz w:val="24"/>
        </w:rPr>
        <w:t>A </w:t>
      </w:r>
      <w:r>
        <w:rPr>
          <w:i/>
          <w:sz w:val="24"/>
        </w:rPr>
        <w:t>Registered Participant</w:t>
      </w:r>
      <w:r>
        <w:rPr>
          <w:sz w:val="24"/>
        </w:rPr>
        <w:t>, not being a </w:t>
      </w:r>
      <w:r>
        <w:rPr>
          <w:i/>
          <w:sz w:val="24"/>
        </w:rPr>
        <w:t>Transmission Network Service </w:t>
      </w:r>
      <w:r>
        <w:rPr>
          <w:i/>
          <w:sz w:val="24"/>
        </w:rPr>
        <w:t>Provider</w:t>
      </w:r>
      <w:r>
        <w:rPr>
          <w:sz w:val="24"/>
        </w:rPr>
        <w:t>, determined in accordance with clause 5.7.7(a) to be a </w:t>
      </w:r>
      <w:r>
        <w:rPr>
          <w:i/>
          <w:sz w:val="24"/>
        </w:rPr>
        <w:t>Proponent </w:t>
      </w:r>
      <w:r>
        <w:rPr>
          <w:sz w:val="24"/>
        </w:rPr>
        <w:t>for a development or activity detailed in chart 1, may require the </w:t>
      </w:r>
      <w:r>
        <w:rPr>
          <w:i/>
          <w:sz w:val="24"/>
        </w:rPr>
        <w:t>Relevant </w:t>
      </w:r>
      <w:r>
        <w:rPr>
          <w:i/>
          <w:sz w:val="24"/>
        </w:rPr>
        <w:t>TNSP </w:t>
      </w:r>
      <w:r>
        <w:rPr>
          <w:sz w:val="24"/>
        </w:rPr>
        <w:t>corresponding to that development or activity to undertake on their behalf their obligations as the </w:t>
      </w:r>
      <w:r>
        <w:rPr>
          <w:i/>
          <w:sz w:val="24"/>
        </w:rPr>
        <w:t>Proponent </w:t>
      </w:r>
      <w:r>
        <w:rPr>
          <w:sz w:val="24"/>
        </w:rPr>
        <w:t>and, where the </w:t>
      </w:r>
      <w:r>
        <w:rPr>
          <w:i/>
          <w:sz w:val="24"/>
        </w:rPr>
        <w:t>Relevant TNSP </w:t>
      </w:r>
      <w:r>
        <w:rPr>
          <w:sz w:val="24"/>
        </w:rPr>
        <w:t>receives a written request to undertake those obligations, the </w:t>
      </w:r>
      <w:r>
        <w:rPr>
          <w:i/>
          <w:sz w:val="24"/>
        </w:rPr>
        <w:t>Relevant TNSP </w:t>
      </w:r>
      <w:r>
        <w:rPr>
          <w:sz w:val="24"/>
        </w:rPr>
        <w:t>must do</w:t>
      </w:r>
      <w:r>
        <w:rPr>
          <w:spacing w:val="-1"/>
          <w:sz w:val="24"/>
        </w:rPr>
        <w:t> </w:t>
      </w:r>
      <w:r>
        <w:rPr>
          <w:sz w:val="24"/>
        </w:rPr>
        <w:t>so.</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Where, in this clause 5.7.7, there is a reference to a </w:t>
      </w:r>
      <w:r>
        <w:rPr>
          <w:i/>
          <w:sz w:val="24"/>
        </w:rPr>
        <w:t>Proponent </w:t>
      </w:r>
      <w:r>
        <w:rPr>
          <w:sz w:val="24"/>
        </w:rPr>
        <w:t>that reference includes a </w:t>
      </w:r>
      <w:r>
        <w:rPr>
          <w:i/>
          <w:sz w:val="24"/>
        </w:rPr>
        <w:t>Relevant TNSP </w:t>
      </w:r>
      <w:r>
        <w:rPr>
          <w:sz w:val="24"/>
        </w:rPr>
        <w:t>required in accordance with clause 5.7.7(b) to undertake the obligations of another </w:t>
      </w:r>
      <w:r>
        <w:rPr>
          <w:i/>
          <w:sz w:val="24"/>
        </w:rPr>
        <w:t>Registered</w:t>
      </w:r>
      <w:r>
        <w:rPr>
          <w:i/>
          <w:spacing w:val="-2"/>
          <w:sz w:val="24"/>
        </w:rPr>
        <w:t> </w:t>
      </w:r>
      <w:r>
        <w:rPr>
          <w:i/>
          <w:sz w:val="24"/>
        </w:rPr>
        <w:t>Participant</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a </w:t>
      </w:r>
      <w:r>
        <w:rPr>
          <w:i/>
          <w:sz w:val="24"/>
        </w:rPr>
        <w:t>Relevant TNSP </w:t>
      </w:r>
      <w:r>
        <w:rPr>
          <w:sz w:val="24"/>
        </w:rPr>
        <w:t>is required by a </w:t>
      </w:r>
      <w:r>
        <w:rPr>
          <w:i/>
          <w:sz w:val="24"/>
        </w:rPr>
        <w:t>Registered Participant </w:t>
      </w:r>
      <w:r>
        <w:rPr>
          <w:sz w:val="24"/>
        </w:rPr>
        <w:t>in respect of a </w:t>
      </w:r>
      <w:r>
        <w:rPr>
          <w:i/>
          <w:sz w:val="24"/>
        </w:rPr>
        <w:t>scheduled generating unit</w:t>
      </w:r>
      <w:r>
        <w:rPr>
          <w:sz w:val="24"/>
        </w:rPr>
        <w:t>, a </w:t>
      </w:r>
      <w:r>
        <w:rPr>
          <w:i/>
          <w:sz w:val="24"/>
        </w:rPr>
        <w:t>semi-scheduled generating unit</w:t>
      </w:r>
      <w:r>
        <w:rPr>
          <w:sz w:val="24"/>
        </w:rPr>
        <w:t>, a </w:t>
      </w:r>
      <w:r>
        <w:rPr>
          <w:i/>
          <w:sz w:val="24"/>
        </w:rPr>
        <w:t>scheduled </w:t>
      </w:r>
      <w:r>
        <w:rPr>
          <w:i/>
          <w:sz w:val="24"/>
        </w:rPr>
        <w:t>load </w:t>
      </w:r>
      <w:r>
        <w:rPr>
          <w:sz w:val="24"/>
        </w:rPr>
        <w:t>or a </w:t>
      </w:r>
      <w:r>
        <w:rPr>
          <w:i/>
          <w:sz w:val="24"/>
        </w:rPr>
        <w:t>market network service</w:t>
      </w:r>
      <w:r>
        <w:rPr>
          <w:sz w:val="24"/>
        </w:rPr>
        <w:t>, any of which have a </w:t>
      </w:r>
      <w:r>
        <w:rPr>
          <w:i/>
          <w:sz w:val="24"/>
        </w:rPr>
        <w:t>nameplate rating </w:t>
      </w:r>
      <w:r>
        <w:rPr>
          <w:sz w:val="24"/>
        </w:rPr>
        <w:t>in excess of 30 MW, to act as a </w:t>
      </w:r>
      <w:r>
        <w:rPr>
          <w:i/>
          <w:sz w:val="24"/>
        </w:rPr>
        <w:t>Proponent </w:t>
      </w:r>
      <w:r>
        <w:rPr>
          <w:sz w:val="24"/>
        </w:rPr>
        <w:t>in accordance with clause 5.7.7(b), that </w:t>
      </w:r>
      <w:r>
        <w:rPr>
          <w:i/>
          <w:sz w:val="24"/>
        </w:rPr>
        <w:t>Relevant TNSP </w:t>
      </w:r>
      <w:r>
        <w:rPr>
          <w:sz w:val="24"/>
        </w:rPr>
        <w:t>is entitled to recover all reasonable costs incurred from the </w:t>
      </w:r>
      <w:r>
        <w:rPr>
          <w:i/>
          <w:sz w:val="24"/>
        </w:rPr>
        <w:t>Registered Participant </w:t>
      </w:r>
      <w:r>
        <w:rPr>
          <w:sz w:val="24"/>
        </w:rPr>
        <w:t>that required the </w:t>
      </w:r>
      <w:r>
        <w:rPr>
          <w:i/>
          <w:sz w:val="24"/>
        </w:rPr>
        <w:t>Relevant TNSP </w:t>
      </w:r>
      <w:r>
        <w:rPr>
          <w:sz w:val="24"/>
        </w:rPr>
        <w:t>to act as the </w:t>
      </w:r>
      <w:r>
        <w:rPr>
          <w:i/>
          <w:sz w:val="24"/>
        </w:rPr>
        <w:t>Proponent</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wishing to undertake a development or conduct an activity listed in item 1, 2, 3 or 4 of chart 1 must notify </w:t>
      </w:r>
      <w:r>
        <w:rPr>
          <w:i/>
          <w:sz w:val="24"/>
        </w:rPr>
        <w:t>AEMO </w:t>
      </w:r>
      <w:r>
        <w:rPr>
          <w:sz w:val="24"/>
        </w:rPr>
        <w:t>not less than 80 </w:t>
      </w:r>
      <w:r>
        <w:rPr>
          <w:i/>
          <w:sz w:val="24"/>
        </w:rPr>
        <w:t>business days </w:t>
      </w:r>
      <w:r>
        <w:rPr>
          <w:sz w:val="24"/>
        </w:rPr>
        <w:t>before the </w:t>
      </w:r>
      <w:r>
        <w:rPr>
          <w:i/>
          <w:sz w:val="24"/>
        </w:rPr>
        <w:t>transmission line</w:t>
      </w:r>
      <w:r>
        <w:rPr>
          <w:sz w:val="24"/>
        </w:rPr>
        <w:t>, </w:t>
      </w:r>
      <w:r>
        <w:rPr>
          <w:i/>
          <w:sz w:val="24"/>
        </w:rPr>
        <w:t>generating unit</w:t>
      </w:r>
      <w:r>
        <w:rPr>
          <w:sz w:val="24"/>
        </w:rPr>
        <w:t>, </w:t>
      </w:r>
      <w:r>
        <w:rPr>
          <w:i/>
          <w:sz w:val="24"/>
        </w:rPr>
        <w:t>facility </w:t>
      </w:r>
      <w:r>
        <w:rPr>
          <w:sz w:val="24"/>
        </w:rPr>
        <w:t>or </w:t>
      </w:r>
      <w:r>
        <w:rPr>
          <w:i/>
          <w:sz w:val="24"/>
        </w:rPr>
        <w:t>network </w:t>
      </w:r>
      <w:r>
        <w:rPr>
          <w:sz w:val="24"/>
        </w:rPr>
        <w:t>development is planned to be commissioned, modified or replaced, giving details of the development or</w:t>
      </w:r>
      <w:r>
        <w:rPr>
          <w:spacing w:val="-1"/>
          <w:sz w:val="24"/>
        </w:rPr>
        <w:t> </w:t>
      </w:r>
      <w:r>
        <w:rPr>
          <w:sz w:val="24"/>
        </w:rPr>
        <w:t>activity.</w:t>
      </w:r>
    </w:p>
    <w:p>
      <w:pPr>
        <w:pStyle w:val="ListParagraph"/>
        <w:numPr>
          <w:ilvl w:val="3"/>
          <w:numId w:val="198"/>
        </w:numPr>
        <w:tabs>
          <w:tab w:pos="1920" w:val="left" w:leader="none"/>
        </w:tabs>
        <w:spacing w:line="240" w:lineRule="auto" w:before="120" w:after="0"/>
        <w:ind w:left="1919" w:right="414" w:hanging="567"/>
        <w:jc w:val="both"/>
        <w:rPr>
          <w:sz w:val="24"/>
        </w:rPr>
      </w:pPr>
      <w:r>
        <w:rPr>
          <w:sz w:val="24"/>
        </w:rPr>
        <w:t>If </w:t>
      </w:r>
      <w:r>
        <w:rPr>
          <w:i/>
          <w:sz w:val="24"/>
        </w:rPr>
        <w:t>AEMO </w:t>
      </w:r>
      <w:r>
        <w:rPr>
          <w:sz w:val="24"/>
        </w:rPr>
        <w:t>receives a notice under clause 5.7.7(e), then it must provide a copy of the notice to each </w:t>
      </w:r>
      <w:r>
        <w:rPr>
          <w:i/>
          <w:sz w:val="24"/>
        </w:rPr>
        <w:t>jurisdictional planning representative </w:t>
      </w:r>
      <w:r>
        <w:rPr>
          <w:sz w:val="24"/>
        </w:rPr>
        <w:t>and consult with each </w:t>
      </w:r>
      <w:r>
        <w:rPr>
          <w:i/>
          <w:sz w:val="24"/>
        </w:rPr>
        <w:t>jurisdictional planning representative </w:t>
      </w:r>
      <w:r>
        <w:rPr>
          <w:sz w:val="24"/>
        </w:rPr>
        <w:t>about the potential impact of the development or</w:t>
      </w:r>
      <w:r>
        <w:rPr>
          <w:spacing w:val="-1"/>
          <w:sz w:val="24"/>
        </w:rPr>
        <w:t> </w:t>
      </w:r>
      <w:r>
        <w:rPr>
          <w:sz w:val="24"/>
        </w:rPr>
        <w:t>activity.</w:t>
      </w:r>
    </w:p>
    <w:p>
      <w:pPr>
        <w:spacing w:after="0" w:line="240" w:lineRule="auto"/>
        <w:jc w:val="both"/>
        <w:rPr>
          <w:sz w:val="24"/>
        </w:rPr>
        <w:sectPr>
          <w:pgSz w:w="11910" w:h="16840"/>
          <w:pgMar w:header="686" w:footer="637" w:top="1320" w:bottom="820" w:left="1200" w:right="1000"/>
        </w:sectPr>
      </w:pPr>
    </w:p>
    <w:p>
      <w:pPr>
        <w:pStyle w:val="ListParagraph"/>
        <w:numPr>
          <w:ilvl w:val="3"/>
          <w:numId w:val="198"/>
        </w:numPr>
        <w:tabs>
          <w:tab w:pos="1919" w:val="left" w:leader="none"/>
        </w:tabs>
        <w:spacing w:line="240" w:lineRule="auto" w:before="83" w:after="0"/>
        <w:ind w:left="1919" w:right="415" w:hanging="567"/>
        <w:jc w:val="both"/>
        <w:rPr>
          <w:sz w:val="24"/>
        </w:rPr>
      </w:pPr>
      <w:r>
        <w:rPr>
          <w:i/>
          <w:sz w:val="24"/>
        </w:rPr>
        <w:t>AEMO </w:t>
      </w:r>
      <w:r>
        <w:rPr>
          <w:sz w:val="24"/>
        </w:rPr>
        <w:t>or the </w:t>
      </w:r>
      <w:r>
        <w:rPr>
          <w:i/>
          <w:sz w:val="24"/>
        </w:rPr>
        <w:t>Relevant TNSP </w:t>
      </w:r>
      <w:r>
        <w:rPr>
          <w:sz w:val="24"/>
        </w:rPr>
        <w:t>for a development or activity may notify </w:t>
      </w:r>
      <w:r>
        <w:rPr>
          <w:spacing w:val="-4"/>
          <w:sz w:val="24"/>
        </w:rPr>
        <w:t>the </w:t>
      </w:r>
      <w:r>
        <w:rPr>
          <w:i/>
          <w:sz w:val="24"/>
        </w:rPr>
        <w:t>Proponent </w:t>
      </w:r>
      <w:r>
        <w:rPr>
          <w:sz w:val="24"/>
        </w:rPr>
        <w:t>of the development or activity that </w:t>
      </w:r>
      <w:r>
        <w:rPr>
          <w:i/>
          <w:sz w:val="24"/>
        </w:rPr>
        <w:t>AEMO </w:t>
      </w:r>
      <w:r>
        <w:rPr>
          <w:sz w:val="24"/>
        </w:rPr>
        <w:t>or the </w:t>
      </w:r>
      <w:r>
        <w:rPr>
          <w:i/>
          <w:sz w:val="24"/>
        </w:rPr>
        <w:t>Relevant TNSP </w:t>
      </w:r>
      <w:r>
        <w:rPr>
          <w:sz w:val="24"/>
        </w:rPr>
        <w:t>believes an </w:t>
      </w:r>
      <w:r>
        <w:rPr>
          <w:i/>
          <w:sz w:val="24"/>
        </w:rPr>
        <w:t>inter-network test </w:t>
      </w:r>
      <w:r>
        <w:rPr>
          <w:sz w:val="24"/>
        </w:rPr>
        <w:t>is required for that development or</w:t>
      </w:r>
      <w:r>
        <w:rPr>
          <w:spacing w:val="-4"/>
          <w:sz w:val="24"/>
        </w:rPr>
        <w:t> </w:t>
      </w:r>
      <w:r>
        <w:rPr>
          <w:sz w:val="24"/>
        </w:rPr>
        <w:t>activity.</w:t>
      </w:r>
    </w:p>
    <w:p>
      <w:pPr>
        <w:pStyle w:val="ListParagraph"/>
        <w:numPr>
          <w:ilvl w:val="3"/>
          <w:numId w:val="198"/>
        </w:numPr>
        <w:tabs>
          <w:tab w:pos="1919" w:val="left" w:leader="none"/>
        </w:tabs>
        <w:spacing w:line="240" w:lineRule="auto" w:before="120" w:after="0"/>
        <w:ind w:left="1919" w:right="415" w:hanging="567"/>
        <w:jc w:val="both"/>
        <w:rPr>
          <w:sz w:val="24"/>
        </w:rPr>
      </w:pPr>
      <w:r>
        <w:rPr>
          <w:i/>
          <w:sz w:val="24"/>
        </w:rPr>
        <w:t>AEMO </w:t>
      </w:r>
      <w:r>
        <w:rPr>
          <w:sz w:val="24"/>
        </w:rPr>
        <w:t>or the </w:t>
      </w:r>
      <w:r>
        <w:rPr>
          <w:i/>
          <w:sz w:val="24"/>
        </w:rPr>
        <w:t>Relevant TNSP </w:t>
      </w:r>
      <w:r>
        <w:rPr>
          <w:sz w:val="24"/>
        </w:rPr>
        <w:t>may only give a notice under clause 5.7.7(g) if:</w:t>
      </w:r>
    </w:p>
    <w:p>
      <w:pPr>
        <w:pStyle w:val="ListParagraph"/>
        <w:numPr>
          <w:ilvl w:val="4"/>
          <w:numId w:val="198"/>
        </w:numPr>
        <w:tabs>
          <w:tab w:pos="2486" w:val="left" w:leader="none"/>
        </w:tabs>
        <w:spacing w:line="240" w:lineRule="auto" w:before="120" w:after="0"/>
        <w:ind w:left="2486" w:right="414" w:hanging="567"/>
        <w:jc w:val="both"/>
        <w:rPr>
          <w:sz w:val="24"/>
        </w:rPr>
      </w:pPr>
      <w:r>
        <w:rPr>
          <w:i/>
          <w:sz w:val="24"/>
        </w:rPr>
        <w:t>AEMO </w:t>
      </w:r>
      <w:r>
        <w:rPr>
          <w:sz w:val="24"/>
        </w:rPr>
        <w:t>or the </w:t>
      </w:r>
      <w:r>
        <w:rPr>
          <w:i/>
          <w:sz w:val="24"/>
        </w:rPr>
        <w:t>Relevant TNSP </w:t>
      </w:r>
      <w:r>
        <w:rPr>
          <w:sz w:val="24"/>
        </w:rPr>
        <w:t>considers that the development or activity may have a material impact on the magnitude of the </w:t>
      </w:r>
      <w:r>
        <w:rPr>
          <w:i/>
          <w:sz w:val="24"/>
        </w:rPr>
        <w:t>power </w:t>
      </w:r>
      <w:r>
        <w:rPr>
          <w:i/>
          <w:sz w:val="24"/>
        </w:rPr>
        <w:t>transfer capability </w:t>
      </w:r>
      <w:r>
        <w:rPr>
          <w:sz w:val="24"/>
        </w:rPr>
        <w:t>of more than one </w:t>
      </w:r>
      <w:r>
        <w:rPr>
          <w:i/>
          <w:sz w:val="24"/>
        </w:rPr>
        <w:t>transmission network </w:t>
      </w:r>
      <w:r>
        <w:rPr>
          <w:sz w:val="24"/>
        </w:rPr>
        <w:t>and, in </w:t>
      </w:r>
      <w:r>
        <w:rPr>
          <w:spacing w:val="-4"/>
          <w:sz w:val="24"/>
        </w:rPr>
        <w:t>the</w:t>
      </w:r>
      <w:r>
        <w:rPr>
          <w:spacing w:val="52"/>
          <w:sz w:val="24"/>
        </w:rPr>
        <w:t> </w:t>
      </w:r>
      <w:r>
        <w:rPr>
          <w:sz w:val="24"/>
        </w:rPr>
        <w:t>circumstances, an </w:t>
      </w:r>
      <w:r>
        <w:rPr>
          <w:i/>
          <w:sz w:val="24"/>
        </w:rPr>
        <w:t>inter-network test </w:t>
      </w:r>
      <w:r>
        <w:rPr>
          <w:sz w:val="24"/>
        </w:rPr>
        <w:t>is required;</w:t>
      </w:r>
      <w:r>
        <w:rPr>
          <w:spacing w:val="-1"/>
          <w:sz w:val="24"/>
        </w:rPr>
        <w:t> </w:t>
      </w:r>
      <w:r>
        <w:rPr>
          <w:sz w:val="24"/>
        </w:rPr>
        <w:t>or</w:t>
      </w:r>
    </w:p>
    <w:p>
      <w:pPr>
        <w:pStyle w:val="ListParagraph"/>
        <w:numPr>
          <w:ilvl w:val="4"/>
          <w:numId w:val="198"/>
        </w:numPr>
        <w:tabs>
          <w:tab w:pos="2486" w:val="left" w:leader="none"/>
        </w:tabs>
        <w:spacing w:line="240" w:lineRule="auto" w:before="120" w:after="0"/>
        <w:ind w:left="2485" w:right="0" w:hanging="567"/>
        <w:jc w:val="both"/>
        <w:rPr>
          <w:i/>
          <w:sz w:val="24"/>
        </w:rPr>
      </w:pPr>
      <w:r>
        <w:rPr>
          <w:sz w:val="24"/>
        </w:rPr>
        <w:t>an </w:t>
      </w:r>
      <w:r>
        <w:rPr>
          <w:i/>
          <w:sz w:val="24"/>
        </w:rPr>
        <w:t>inter-network test </w:t>
      </w:r>
      <w:r>
        <w:rPr>
          <w:sz w:val="24"/>
        </w:rPr>
        <w:t>is required having regard to guidelines</w:t>
      </w:r>
      <w:r>
        <w:rPr>
          <w:spacing w:val="1"/>
          <w:sz w:val="24"/>
        </w:rPr>
        <w:t> </w:t>
      </w:r>
      <w:r>
        <w:rPr>
          <w:i/>
          <w:sz w:val="24"/>
        </w:rPr>
        <w:t>published</w:t>
      </w:r>
    </w:p>
    <w:p>
      <w:pPr>
        <w:pStyle w:val="BodyText"/>
        <w:spacing w:before="0"/>
        <w:ind w:left="2486" w:firstLine="0"/>
      </w:pPr>
      <w:r>
        <w:rPr/>
        <w:t>under clause 5.7.7(k) and the surrounding circumstances.</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If the </w:t>
      </w:r>
      <w:r>
        <w:rPr>
          <w:i/>
          <w:sz w:val="24"/>
        </w:rPr>
        <w:t>Relevant TNSP </w:t>
      </w:r>
      <w:r>
        <w:rPr>
          <w:sz w:val="24"/>
        </w:rPr>
        <w:t>gives a notice under clause 5.7.7(g), then it must also promptly give a copy of the notice to</w:t>
      </w:r>
      <w:r>
        <w:rPr>
          <w:spacing w:val="-1"/>
          <w:sz w:val="24"/>
        </w:rPr>
        <w:t> </w:t>
      </w:r>
      <w:r>
        <w:rPr>
          <w:i/>
          <w:sz w:val="24"/>
        </w:rPr>
        <w:t>AEMO</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undertaking a development or activity listed in chart 1 must provide information reasonably requested by </w:t>
      </w:r>
      <w:r>
        <w:rPr>
          <w:i/>
          <w:sz w:val="24"/>
        </w:rPr>
        <w:t>AEMO </w:t>
      </w:r>
      <w:r>
        <w:rPr>
          <w:sz w:val="24"/>
        </w:rPr>
        <w:t>or the </w:t>
      </w:r>
      <w:r>
        <w:rPr>
          <w:i/>
          <w:sz w:val="24"/>
        </w:rPr>
        <w:t>Relevant TNSP </w:t>
      </w:r>
      <w:r>
        <w:rPr>
          <w:sz w:val="24"/>
        </w:rPr>
        <w:t>for making an assessment under this</w:t>
      </w:r>
      <w:r>
        <w:rPr>
          <w:spacing w:val="-4"/>
          <w:sz w:val="24"/>
        </w:rPr>
        <w:t> </w:t>
      </w:r>
      <w:r>
        <w:rPr>
          <w:sz w:val="24"/>
        </w:rPr>
        <w:t>clause.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i/>
          <w:sz w:val="24"/>
        </w:rPr>
        <w:t>AEMO </w:t>
      </w:r>
      <w:r>
        <w:rPr>
          <w:sz w:val="24"/>
        </w:rPr>
        <w:t>may develop, </w:t>
      </w:r>
      <w:r>
        <w:rPr>
          <w:i/>
          <w:sz w:val="24"/>
        </w:rPr>
        <w:t>publish </w:t>
      </w:r>
      <w:r>
        <w:rPr>
          <w:sz w:val="24"/>
        </w:rPr>
        <w:t>and amend from time to time, in accordance with the </w:t>
      </w:r>
      <w:r>
        <w:rPr>
          <w:i/>
          <w:sz w:val="24"/>
        </w:rPr>
        <w:t>Rules consultation procedures</w:t>
      </w:r>
      <w:r>
        <w:rPr>
          <w:sz w:val="24"/>
        </w:rPr>
        <w:t>, a set of guidelines to assist </w:t>
      </w:r>
      <w:r>
        <w:rPr>
          <w:i/>
          <w:sz w:val="24"/>
        </w:rPr>
        <w:t>Registered Participants </w:t>
      </w:r>
      <w:r>
        <w:rPr>
          <w:sz w:val="24"/>
        </w:rPr>
        <w:t>to determine when an </w:t>
      </w:r>
      <w:r>
        <w:rPr>
          <w:i/>
          <w:sz w:val="24"/>
        </w:rPr>
        <w:t>inter-network test </w:t>
      </w:r>
      <w:r>
        <w:rPr>
          <w:sz w:val="24"/>
        </w:rPr>
        <w:t>may be required.</w:t>
      </w:r>
    </w:p>
    <w:p>
      <w:pPr>
        <w:pStyle w:val="ListParagraph"/>
        <w:numPr>
          <w:ilvl w:val="3"/>
          <w:numId w:val="198"/>
        </w:numPr>
        <w:tabs>
          <w:tab w:pos="1919" w:val="left" w:leader="none"/>
        </w:tabs>
        <w:spacing w:line="240" w:lineRule="auto" w:before="120" w:after="0"/>
        <w:ind w:left="1919" w:right="413" w:hanging="567"/>
        <w:jc w:val="both"/>
        <w:rPr>
          <w:sz w:val="24"/>
        </w:rPr>
      </w:pPr>
      <w:r>
        <w:rPr>
          <w:i/>
          <w:sz w:val="24"/>
        </w:rPr>
        <w:t>AEMO </w:t>
      </w:r>
      <w:r>
        <w:rPr>
          <w:sz w:val="24"/>
        </w:rPr>
        <w:t>and the </w:t>
      </w:r>
      <w:r>
        <w:rPr>
          <w:i/>
          <w:sz w:val="24"/>
        </w:rPr>
        <w:t>Relevant TNSP </w:t>
      </w:r>
      <w:r>
        <w:rPr>
          <w:sz w:val="24"/>
        </w:rPr>
        <w:t>must consider any relevant guidelines in determining whether an </w:t>
      </w:r>
      <w:r>
        <w:rPr>
          <w:i/>
          <w:sz w:val="24"/>
        </w:rPr>
        <w:t>inter-network test </w:t>
      </w:r>
      <w:r>
        <w:rPr>
          <w:sz w:val="24"/>
        </w:rPr>
        <w:t>is</w:t>
      </w:r>
      <w:r>
        <w:rPr>
          <w:spacing w:val="-4"/>
          <w:sz w:val="24"/>
        </w:rPr>
        <w:t> </w:t>
      </w:r>
      <w:r>
        <w:rPr>
          <w:sz w:val="24"/>
        </w:rPr>
        <w:t>required.</w:t>
      </w:r>
    </w:p>
    <w:p>
      <w:pPr>
        <w:pStyle w:val="ListParagraph"/>
        <w:numPr>
          <w:ilvl w:val="3"/>
          <w:numId w:val="198"/>
        </w:numPr>
        <w:tabs>
          <w:tab w:pos="1919" w:val="left" w:leader="none"/>
        </w:tabs>
        <w:spacing w:line="240" w:lineRule="auto" w:before="120" w:after="0"/>
        <w:ind w:left="1919" w:right="413" w:hanging="567"/>
        <w:jc w:val="both"/>
        <w:rPr>
          <w:sz w:val="24"/>
        </w:rPr>
      </w:pPr>
      <w:r>
        <w:rPr>
          <w:sz w:val="24"/>
        </w:rPr>
        <w:t>If </w:t>
      </w:r>
      <w:r>
        <w:rPr>
          <w:i/>
          <w:sz w:val="24"/>
        </w:rPr>
        <w:t>AEMO </w:t>
      </w:r>
      <w:r>
        <w:rPr>
          <w:sz w:val="24"/>
        </w:rPr>
        <w:t>or the </w:t>
      </w:r>
      <w:r>
        <w:rPr>
          <w:i/>
          <w:sz w:val="24"/>
        </w:rPr>
        <w:t>Relevant TNSP </w:t>
      </w:r>
      <w:r>
        <w:rPr>
          <w:sz w:val="24"/>
        </w:rPr>
        <w:t>gives notice under clause 5.7.7(g), then the </w:t>
      </w:r>
      <w:r>
        <w:rPr>
          <w:i/>
          <w:sz w:val="24"/>
        </w:rPr>
        <w:t>Proponent </w:t>
      </w:r>
      <w:r>
        <w:rPr>
          <w:sz w:val="24"/>
        </w:rPr>
        <w:t>must, in consultation with </w:t>
      </w:r>
      <w:r>
        <w:rPr>
          <w:i/>
          <w:sz w:val="24"/>
        </w:rPr>
        <w:t>AEMO</w:t>
      </w:r>
      <w:r>
        <w:rPr>
          <w:sz w:val="24"/>
        </w:rPr>
        <w:t>, prepare a draft </w:t>
      </w:r>
      <w:r>
        <w:rPr>
          <w:i/>
          <w:sz w:val="24"/>
        </w:rPr>
        <w:t>test program </w:t>
      </w:r>
      <w:r>
        <w:rPr>
          <w:sz w:val="24"/>
        </w:rPr>
        <w:t>for the </w:t>
      </w:r>
      <w:r>
        <w:rPr>
          <w:i/>
          <w:sz w:val="24"/>
        </w:rPr>
        <w:t>inter-network test </w:t>
      </w:r>
      <w:r>
        <w:rPr>
          <w:sz w:val="24"/>
        </w:rPr>
        <w:t>and provide it to </w:t>
      </w:r>
      <w:r>
        <w:rPr>
          <w:i/>
          <w:sz w:val="24"/>
        </w:rPr>
        <w:t>AEMO</w:t>
      </w:r>
      <w:r>
        <w:rPr>
          <w:sz w:val="24"/>
        </w:rPr>
        <w:t>, each </w:t>
      </w:r>
      <w:r>
        <w:rPr>
          <w:i/>
          <w:sz w:val="24"/>
        </w:rPr>
        <w:t>jurisdictional </w:t>
      </w:r>
      <w:r>
        <w:rPr>
          <w:i/>
          <w:sz w:val="24"/>
        </w:rPr>
        <w:t>planning representative </w:t>
      </w:r>
      <w:r>
        <w:rPr>
          <w:sz w:val="24"/>
        </w:rPr>
        <w:t>and the </w:t>
      </w:r>
      <w:r>
        <w:rPr>
          <w:i/>
          <w:sz w:val="24"/>
        </w:rPr>
        <w:t>Relevant TNSP </w:t>
      </w:r>
      <w:r>
        <w:rPr>
          <w:sz w:val="24"/>
        </w:rPr>
        <w:t>(if the </w:t>
      </w:r>
      <w:r>
        <w:rPr>
          <w:i/>
          <w:sz w:val="24"/>
        </w:rPr>
        <w:t>Relevant TNSP </w:t>
      </w:r>
      <w:r>
        <w:rPr>
          <w:sz w:val="24"/>
        </w:rPr>
        <w:t>gave the notice).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However, if </w:t>
      </w:r>
      <w:r>
        <w:rPr>
          <w:i/>
          <w:sz w:val="24"/>
        </w:rPr>
        <w:t>AEMO </w:t>
      </w:r>
      <w:r>
        <w:rPr>
          <w:sz w:val="24"/>
        </w:rPr>
        <w:t>determines that an </w:t>
      </w:r>
      <w:r>
        <w:rPr>
          <w:i/>
          <w:sz w:val="24"/>
        </w:rPr>
        <w:t>inter-network test </w:t>
      </w:r>
      <w:r>
        <w:rPr>
          <w:sz w:val="24"/>
        </w:rPr>
        <w:t>is required for </w:t>
      </w:r>
      <w:r>
        <w:rPr>
          <w:spacing w:val="-11"/>
          <w:sz w:val="24"/>
        </w:rPr>
        <w:t>a </w:t>
      </w:r>
      <w:r>
        <w:rPr>
          <w:sz w:val="24"/>
        </w:rPr>
        <w:t>reason contemplated in item 5 or 6 of chart 1, then it must prepare a </w:t>
      </w:r>
      <w:r>
        <w:rPr>
          <w:spacing w:val="-3"/>
          <w:sz w:val="24"/>
        </w:rPr>
        <w:t>draft</w:t>
      </w:r>
      <w:r>
        <w:rPr>
          <w:spacing w:val="54"/>
          <w:sz w:val="24"/>
        </w:rPr>
        <w:t> </w:t>
      </w:r>
      <w:r>
        <w:rPr>
          <w:i/>
          <w:sz w:val="24"/>
        </w:rPr>
        <w:t>test program </w:t>
      </w:r>
      <w:r>
        <w:rPr>
          <w:sz w:val="24"/>
        </w:rPr>
        <w:t>for the </w:t>
      </w:r>
      <w:r>
        <w:rPr>
          <w:i/>
          <w:sz w:val="24"/>
        </w:rPr>
        <w:t>inter-network test </w:t>
      </w:r>
      <w:r>
        <w:rPr>
          <w:sz w:val="24"/>
        </w:rPr>
        <w:t>in consultation with the </w:t>
      </w:r>
      <w:r>
        <w:rPr>
          <w:i/>
          <w:sz w:val="24"/>
        </w:rPr>
        <w:t>jurisdictional </w:t>
      </w:r>
      <w:r>
        <w:rPr>
          <w:i/>
          <w:sz w:val="24"/>
        </w:rPr>
        <w:t>planning representatives </w:t>
      </w:r>
      <w:r>
        <w:rPr>
          <w:sz w:val="24"/>
        </w:rPr>
        <w:t>and provide that draft </w:t>
      </w:r>
      <w:r>
        <w:rPr>
          <w:i/>
          <w:sz w:val="24"/>
        </w:rPr>
        <w:t>test program </w:t>
      </w:r>
      <w:r>
        <w:rPr>
          <w:sz w:val="24"/>
        </w:rPr>
        <w:t>to each </w:t>
      </w:r>
      <w:r>
        <w:rPr>
          <w:i/>
          <w:sz w:val="24"/>
        </w:rPr>
        <w:t>jurisdictional planning</w:t>
      </w:r>
      <w:r>
        <w:rPr>
          <w:i/>
          <w:spacing w:val="-1"/>
          <w:sz w:val="24"/>
        </w:rPr>
        <w:t> </w:t>
      </w:r>
      <w:r>
        <w:rPr>
          <w:i/>
          <w:sz w:val="24"/>
        </w:rPr>
        <w:t>representative</w:t>
      </w:r>
      <w:r>
        <w:rPr>
          <w:sz w:val="24"/>
        </w:rPr>
        <w:t>.</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a </w:t>
      </w:r>
      <w:r>
        <w:rPr>
          <w:i/>
          <w:sz w:val="24"/>
        </w:rPr>
        <w:t>jurisdictional planning representative </w:t>
      </w:r>
      <w:r>
        <w:rPr>
          <w:sz w:val="24"/>
        </w:rPr>
        <w:t>considers that any changes should be made to a draft </w:t>
      </w:r>
      <w:r>
        <w:rPr>
          <w:i/>
          <w:sz w:val="24"/>
        </w:rPr>
        <w:t>test program</w:t>
      </w:r>
      <w:r>
        <w:rPr>
          <w:sz w:val="24"/>
        </w:rPr>
        <w:t>, the </w:t>
      </w:r>
      <w:r>
        <w:rPr>
          <w:i/>
          <w:sz w:val="24"/>
        </w:rPr>
        <w:t>jurisdictional planning representative </w:t>
      </w:r>
      <w:r>
        <w:rPr>
          <w:sz w:val="24"/>
        </w:rPr>
        <w:t>must, within 10 </w:t>
      </w:r>
      <w:r>
        <w:rPr>
          <w:i/>
          <w:sz w:val="24"/>
        </w:rPr>
        <w:t>business days </w:t>
      </w:r>
      <w:r>
        <w:rPr>
          <w:sz w:val="24"/>
        </w:rPr>
        <w:t>after being provided with the draft </w:t>
      </w:r>
      <w:r>
        <w:rPr>
          <w:i/>
          <w:sz w:val="24"/>
        </w:rPr>
        <w:t>test </w:t>
      </w:r>
      <w:r>
        <w:rPr>
          <w:i/>
          <w:sz w:val="24"/>
        </w:rPr>
        <w:t>program</w:t>
      </w:r>
      <w:r>
        <w:rPr>
          <w:sz w:val="24"/>
        </w:rPr>
        <w:t>, make a recommendation to </w:t>
      </w:r>
      <w:r>
        <w:rPr>
          <w:i/>
          <w:sz w:val="24"/>
        </w:rPr>
        <w:t>AEMO </w:t>
      </w:r>
      <w:r>
        <w:rPr>
          <w:sz w:val="24"/>
        </w:rPr>
        <w:t>that identifies the changes it proposes should be made to the draft </w:t>
      </w:r>
      <w:r>
        <w:rPr>
          <w:i/>
          <w:sz w:val="24"/>
        </w:rPr>
        <w:t>test</w:t>
      </w:r>
      <w:r>
        <w:rPr>
          <w:i/>
          <w:spacing w:val="-4"/>
          <w:sz w:val="24"/>
        </w:rPr>
        <w:t> </w:t>
      </w:r>
      <w:r>
        <w:rPr>
          <w:i/>
          <w:sz w:val="24"/>
        </w:rPr>
        <w:t>program</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198"/>
        </w:numPr>
        <w:tabs>
          <w:tab w:pos="1919" w:val="left" w:leader="none"/>
        </w:tabs>
        <w:spacing w:line="240" w:lineRule="auto" w:before="83" w:after="0"/>
        <w:ind w:left="1918" w:right="0" w:hanging="567"/>
        <w:jc w:val="both"/>
        <w:rPr>
          <w:sz w:val="24"/>
        </w:rPr>
      </w:pPr>
      <w:r>
        <w:rPr>
          <w:i/>
          <w:sz w:val="24"/>
        </w:rPr>
        <w:t>AEMO </w:t>
      </w:r>
      <w:r>
        <w:rPr>
          <w:sz w:val="24"/>
        </w:rPr>
        <w:t>must:</w:t>
      </w:r>
    </w:p>
    <w:p>
      <w:pPr>
        <w:pStyle w:val="ListParagraph"/>
        <w:numPr>
          <w:ilvl w:val="4"/>
          <w:numId w:val="198"/>
        </w:numPr>
        <w:tabs>
          <w:tab w:pos="2486" w:val="left" w:leader="none"/>
        </w:tabs>
        <w:spacing w:line="240" w:lineRule="auto" w:before="120" w:after="0"/>
        <w:ind w:left="2486" w:right="415" w:hanging="567"/>
        <w:jc w:val="both"/>
        <w:rPr>
          <w:sz w:val="24"/>
        </w:rPr>
      </w:pPr>
      <w:r>
        <w:rPr>
          <w:i/>
          <w:sz w:val="24"/>
        </w:rPr>
        <w:t>publish </w:t>
      </w:r>
      <w:r>
        <w:rPr>
          <w:sz w:val="24"/>
        </w:rPr>
        <w:t>a copy of the draft </w:t>
      </w:r>
      <w:r>
        <w:rPr>
          <w:i/>
          <w:sz w:val="24"/>
        </w:rPr>
        <w:t>test program </w:t>
      </w:r>
      <w:r>
        <w:rPr>
          <w:sz w:val="24"/>
        </w:rPr>
        <w:t>and any relevant changes recommended by any </w:t>
      </w:r>
      <w:r>
        <w:rPr>
          <w:i/>
          <w:sz w:val="24"/>
        </w:rPr>
        <w:t>jurisdictional planning representative </w:t>
      </w:r>
      <w:r>
        <w:rPr>
          <w:sz w:val="24"/>
        </w:rPr>
        <w:t>and invite interested </w:t>
      </w:r>
      <w:r>
        <w:rPr>
          <w:i/>
          <w:sz w:val="24"/>
        </w:rPr>
        <w:t>Registered Participants </w:t>
      </w:r>
      <w:r>
        <w:rPr>
          <w:sz w:val="24"/>
        </w:rPr>
        <w:t>to make written submissions;</w:t>
      </w:r>
      <w:r>
        <w:rPr>
          <w:spacing w:val="-14"/>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only accept as valid submissions received not later than the closing date for submissions specified in the notice </w:t>
      </w:r>
      <w:r>
        <w:rPr>
          <w:i/>
          <w:sz w:val="24"/>
        </w:rPr>
        <w:t>publishing </w:t>
      </w:r>
      <w:r>
        <w:rPr>
          <w:sz w:val="24"/>
        </w:rPr>
        <w:t>the copy of the draft </w:t>
      </w:r>
      <w:r>
        <w:rPr>
          <w:i/>
          <w:sz w:val="24"/>
        </w:rPr>
        <w:t>test program </w:t>
      </w:r>
      <w:r>
        <w:rPr>
          <w:sz w:val="24"/>
        </w:rPr>
        <w:t>(not to be less than 14 days after the date of </w:t>
      </w:r>
      <w:r>
        <w:rPr>
          <w:i/>
          <w:sz w:val="24"/>
        </w:rPr>
        <w:t>publication</w:t>
      </w:r>
      <w:r>
        <w:rPr>
          <w:sz w:val="24"/>
        </w:rPr>
        <w:t>);</w:t>
      </w:r>
      <w:r>
        <w:rPr>
          <w:spacing w:val="-1"/>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provide the </w:t>
      </w:r>
      <w:r>
        <w:rPr>
          <w:i/>
          <w:sz w:val="24"/>
        </w:rPr>
        <w:t>jurisdictional planning representatives </w:t>
      </w:r>
      <w:r>
        <w:rPr>
          <w:sz w:val="24"/>
        </w:rPr>
        <w:t>with copies of all valid submissions and seek any further recommendations they may have.</w:t>
      </w:r>
    </w:p>
    <w:p>
      <w:pPr>
        <w:pStyle w:val="ListParagraph"/>
        <w:numPr>
          <w:ilvl w:val="3"/>
          <w:numId w:val="198"/>
        </w:numPr>
        <w:tabs>
          <w:tab w:pos="1919" w:val="left" w:leader="none"/>
        </w:tabs>
        <w:spacing w:line="240" w:lineRule="auto" w:before="120" w:after="0"/>
        <w:ind w:left="1919" w:right="414" w:hanging="567"/>
        <w:jc w:val="both"/>
        <w:rPr>
          <w:sz w:val="24"/>
        </w:rPr>
      </w:pPr>
      <w:r>
        <w:rPr>
          <w:i/>
          <w:sz w:val="24"/>
        </w:rPr>
        <w:t>AEMO </w:t>
      </w:r>
      <w:r>
        <w:rPr>
          <w:sz w:val="24"/>
        </w:rPr>
        <w:t>must determine and </w:t>
      </w:r>
      <w:r>
        <w:rPr>
          <w:i/>
          <w:sz w:val="24"/>
        </w:rPr>
        <w:t>publish </w:t>
      </w:r>
      <w:r>
        <w:rPr>
          <w:sz w:val="24"/>
        </w:rPr>
        <w:t>in accordance with clause 3.13.13 the </w:t>
      </w:r>
      <w:r>
        <w:rPr>
          <w:i/>
          <w:sz w:val="24"/>
        </w:rPr>
        <w:t>test program </w:t>
      </w:r>
      <w:r>
        <w:rPr>
          <w:sz w:val="24"/>
        </w:rPr>
        <w:t>for an </w:t>
      </w:r>
      <w:r>
        <w:rPr>
          <w:i/>
          <w:sz w:val="24"/>
        </w:rPr>
        <w:t>inter-network test </w:t>
      </w:r>
      <w:r>
        <w:rPr>
          <w:sz w:val="24"/>
        </w:rPr>
        <w:t>after taking into account the recommendations of the </w:t>
      </w:r>
      <w:r>
        <w:rPr>
          <w:i/>
          <w:sz w:val="24"/>
        </w:rPr>
        <w:t>jurisdictional planning representatives </w:t>
      </w:r>
      <w:r>
        <w:rPr>
          <w:sz w:val="24"/>
        </w:rPr>
        <w:t>and any valid submissions received from </w:t>
      </w:r>
      <w:r>
        <w:rPr>
          <w:i/>
          <w:sz w:val="24"/>
        </w:rPr>
        <w:t>Registered</w:t>
      </w:r>
      <w:r>
        <w:rPr>
          <w:i/>
          <w:spacing w:val="-2"/>
          <w:sz w:val="24"/>
        </w:rPr>
        <w:t> </w:t>
      </w:r>
      <w:r>
        <w:rPr>
          <w:i/>
          <w:sz w:val="24"/>
        </w:rPr>
        <w:t>Participants</w:t>
      </w:r>
      <w:r>
        <w:rPr>
          <w:sz w:val="24"/>
        </w:rPr>
        <w:t>.</w:t>
      </w:r>
    </w:p>
    <w:p>
      <w:pPr>
        <w:pStyle w:val="ListParagraph"/>
        <w:numPr>
          <w:ilvl w:val="3"/>
          <w:numId w:val="198"/>
        </w:numPr>
        <w:tabs>
          <w:tab w:pos="1920" w:val="left" w:leader="none"/>
        </w:tabs>
        <w:spacing w:line="240" w:lineRule="auto" w:before="120" w:after="0"/>
        <w:ind w:left="1919" w:right="415" w:hanging="567"/>
        <w:jc w:val="both"/>
        <w:rPr>
          <w:sz w:val="24"/>
        </w:rPr>
      </w:pPr>
      <w:r>
        <w:rPr>
          <w:sz w:val="24"/>
        </w:rPr>
        <w:t>In determining the </w:t>
      </w:r>
      <w:r>
        <w:rPr>
          <w:i/>
          <w:sz w:val="24"/>
        </w:rPr>
        <w:t>test program</w:t>
      </w:r>
      <w:r>
        <w:rPr>
          <w:sz w:val="24"/>
        </w:rPr>
        <w:t>, </w:t>
      </w:r>
      <w:r>
        <w:rPr>
          <w:i/>
          <w:sz w:val="24"/>
        </w:rPr>
        <w:t>AEMO </w:t>
      </w:r>
      <w:r>
        <w:rPr>
          <w:sz w:val="24"/>
        </w:rPr>
        <w:t>must so far as practicable have regard to the following</w:t>
      </w:r>
      <w:r>
        <w:rPr>
          <w:spacing w:val="-1"/>
          <w:sz w:val="24"/>
        </w:rPr>
        <w:t> </w:t>
      </w:r>
      <w:r>
        <w:rPr>
          <w:sz w:val="24"/>
        </w:rPr>
        <w:t>principles:</w:t>
      </w:r>
    </w:p>
    <w:p>
      <w:pPr>
        <w:pStyle w:val="ListParagraph"/>
        <w:numPr>
          <w:ilvl w:val="4"/>
          <w:numId w:val="198"/>
        </w:numPr>
        <w:tabs>
          <w:tab w:pos="2486" w:val="left" w:leader="none"/>
        </w:tabs>
        <w:spacing w:line="240" w:lineRule="auto" w:before="120" w:after="0"/>
        <w:ind w:left="2486" w:right="415" w:hanging="567"/>
        <w:jc w:val="both"/>
        <w:rPr>
          <w:sz w:val="24"/>
        </w:rPr>
      </w:pPr>
      <w:r>
        <w:rPr>
          <w:i/>
          <w:sz w:val="24"/>
        </w:rPr>
        <w:t>power system security </w:t>
      </w:r>
      <w:r>
        <w:rPr>
          <w:sz w:val="24"/>
        </w:rPr>
        <w:t>must be maintained in accordance with Chapter 4; 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the variation from the </w:t>
      </w:r>
      <w:r>
        <w:rPr>
          <w:i/>
          <w:sz w:val="24"/>
        </w:rPr>
        <w:t>central dispatch </w:t>
      </w:r>
      <w:r>
        <w:rPr>
          <w:sz w:val="24"/>
        </w:rPr>
        <w:t>outcomes that would otherwise occur if there were no </w:t>
      </w:r>
      <w:r>
        <w:rPr>
          <w:i/>
          <w:sz w:val="24"/>
        </w:rPr>
        <w:t>inter-network test </w:t>
      </w:r>
      <w:r>
        <w:rPr>
          <w:sz w:val="24"/>
        </w:rPr>
        <w:t>should be minimised;</w:t>
      </w:r>
      <w:r>
        <w:rPr>
          <w:spacing w:val="-10"/>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the duration of the tests should be as short as possible consistently with test requirements and </w:t>
      </w:r>
      <w:r>
        <w:rPr>
          <w:i/>
          <w:sz w:val="24"/>
        </w:rPr>
        <w:t>power system security</w:t>
      </w:r>
      <w:r>
        <w:rPr>
          <w:sz w:val="24"/>
        </w:rPr>
        <w:t>;</w:t>
      </w:r>
      <w:r>
        <w:rPr>
          <w:spacing w:val="-4"/>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the test facilitation costs to be borne by the </w:t>
      </w:r>
      <w:r>
        <w:rPr>
          <w:i/>
          <w:sz w:val="24"/>
        </w:rPr>
        <w:t>Proponent </w:t>
      </w:r>
      <w:r>
        <w:rPr>
          <w:sz w:val="24"/>
        </w:rPr>
        <w:t>under paragraph (aa) should be kept to the minimum consistent with this paragraph.</w:t>
      </w:r>
    </w:p>
    <w:p>
      <w:pPr>
        <w:pStyle w:val="Heading4"/>
        <w:numPr>
          <w:ilvl w:val="3"/>
          <w:numId w:val="198"/>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An </w:t>
      </w:r>
      <w:r>
        <w:rPr>
          <w:i/>
          <w:sz w:val="24"/>
        </w:rPr>
        <w:t>inter-regional </w:t>
      </w:r>
      <w:r>
        <w:rPr>
          <w:sz w:val="24"/>
        </w:rPr>
        <w:t>test must not be conducted within 20 </w:t>
      </w:r>
      <w:r>
        <w:rPr>
          <w:i/>
          <w:sz w:val="24"/>
        </w:rPr>
        <w:t>business days </w:t>
      </w:r>
      <w:r>
        <w:rPr>
          <w:sz w:val="24"/>
        </w:rPr>
        <w:t>after </w:t>
      </w:r>
      <w:r>
        <w:rPr>
          <w:i/>
          <w:sz w:val="24"/>
        </w:rPr>
        <w:t>AEMO publishes </w:t>
      </w:r>
      <w:r>
        <w:rPr>
          <w:sz w:val="24"/>
        </w:rPr>
        <w:t>the </w:t>
      </w:r>
      <w:r>
        <w:rPr>
          <w:i/>
          <w:sz w:val="24"/>
        </w:rPr>
        <w:t>test program </w:t>
      </w:r>
      <w:r>
        <w:rPr>
          <w:sz w:val="24"/>
        </w:rPr>
        <w:t>for the </w:t>
      </w:r>
      <w:r>
        <w:rPr>
          <w:i/>
          <w:sz w:val="24"/>
        </w:rPr>
        <w:t>inter-network test </w:t>
      </w:r>
      <w:r>
        <w:rPr>
          <w:sz w:val="24"/>
        </w:rPr>
        <w:t>determined by </w:t>
      </w:r>
      <w:r>
        <w:rPr>
          <w:i/>
          <w:sz w:val="24"/>
        </w:rPr>
        <w:t>AEMO </w:t>
      </w:r>
      <w:r>
        <w:rPr>
          <w:sz w:val="24"/>
        </w:rPr>
        <w:t>under clause</w:t>
      </w:r>
      <w:r>
        <w:rPr>
          <w:spacing w:val="-1"/>
          <w:sz w:val="24"/>
        </w:rPr>
        <w:t> </w:t>
      </w:r>
      <w:r>
        <w:rPr>
          <w:sz w:val="24"/>
        </w:rPr>
        <w:t>5.7.7(r).</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The </w:t>
      </w:r>
      <w:r>
        <w:rPr>
          <w:i/>
          <w:sz w:val="24"/>
        </w:rPr>
        <w:t>Proponent </w:t>
      </w:r>
      <w:r>
        <w:rPr>
          <w:sz w:val="24"/>
        </w:rPr>
        <w:t>in respect of an </w:t>
      </w:r>
      <w:r>
        <w:rPr>
          <w:i/>
          <w:sz w:val="24"/>
        </w:rPr>
        <w:t>inter-network test </w:t>
      </w:r>
      <w:r>
        <w:rPr>
          <w:sz w:val="24"/>
        </w:rPr>
        <w:t>must seek to enter into agreements with other </w:t>
      </w:r>
      <w:r>
        <w:rPr>
          <w:i/>
          <w:sz w:val="24"/>
        </w:rPr>
        <w:t>Registered Participants </w:t>
      </w:r>
      <w:r>
        <w:rPr>
          <w:sz w:val="24"/>
        </w:rPr>
        <w:t>to provide the test facilitation services identified in the </w:t>
      </w:r>
      <w:r>
        <w:rPr>
          <w:i/>
          <w:sz w:val="24"/>
        </w:rPr>
        <w:t>test program </w:t>
      </w:r>
      <w:r>
        <w:rPr>
          <w:sz w:val="24"/>
        </w:rPr>
        <w:t>in order to ensure that the </w:t>
      </w:r>
      <w:r>
        <w:rPr>
          <w:i/>
          <w:sz w:val="24"/>
        </w:rPr>
        <w:t>power </w:t>
      </w:r>
      <w:r>
        <w:rPr>
          <w:i/>
          <w:sz w:val="24"/>
        </w:rPr>
        <w:t>system </w:t>
      </w:r>
      <w:r>
        <w:rPr>
          <w:sz w:val="24"/>
        </w:rPr>
        <w:t>conditions required by the </w:t>
      </w:r>
      <w:r>
        <w:rPr>
          <w:i/>
          <w:sz w:val="24"/>
        </w:rPr>
        <w:t>test program </w:t>
      </w:r>
      <w:r>
        <w:rPr>
          <w:sz w:val="24"/>
        </w:rPr>
        <w:t>are</w:t>
      </w:r>
      <w:r>
        <w:rPr>
          <w:spacing w:val="-5"/>
          <w:sz w:val="24"/>
        </w:rPr>
        <w:t> </w:t>
      </w:r>
      <w:r>
        <w:rPr>
          <w:sz w:val="24"/>
        </w:rPr>
        <w:t>achieved.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If the </w:t>
      </w:r>
      <w:r>
        <w:rPr>
          <w:i/>
          <w:sz w:val="24"/>
        </w:rPr>
        <w:t>Proponent </w:t>
      </w:r>
      <w:r>
        <w:rPr>
          <w:sz w:val="24"/>
        </w:rPr>
        <w:t>approaches another </w:t>
      </w:r>
      <w:r>
        <w:rPr>
          <w:i/>
          <w:sz w:val="24"/>
        </w:rPr>
        <w:t>Registered Participant </w:t>
      </w:r>
      <w:r>
        <w:rPr>
          <w:sz w:val="24"/>
        </w:rPr>
        <w:t>seeking to enter into an agreement under clause 5.7.7(u) then the </w:t>
      </w:r>
      <w:r>
        <w:rPr>
          <w:i/>
          <w:sz w:val="24"/>
        </w:rPr>
        <w:t>Proponent </w:t>
      </w:r>
      <w:r>
        <w:rPr>
          <w:sz w:val="24"/>
        </w:rPr>
        <w:t>and the </w:t>
      </w:r>
      <w:r>
        <w:rPr>
          <w:i/>
          <w:sz w:val="24"/>
        </w:rPr>
        <w:t>Registered Participant </w:t>
      </w:r>
      <w:r>
        <w:rPr>
          <w:sz w:val="24"/>
        </w:rPr>
        <w:t>must negotiate in good faith concerning the provision of the relevant test facilitation</w:t>
      </w:r>
      <w:r>
        <w:rPr>
          <w:spacing w:val="-3"/>
          <w:sz w:val="24"/>
        </w:rPr>
        <w:t> </w:t>
      </w:r>
      <w:r>
        <w:rPr>
          <w:sz w:val="24"/>
        </w:rPr>
        <w:t>service.</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a </w:t>
      </w:r>
      <w:r>
        <w:rPr>
          <w:i/>
          <w:sz w:val="24"/>
        </w:rPr>
        <w:t>Proponent </w:t>
      </w:r>
      <w:r>
        <w:rPr>
          <w:sz w:val="24"/>
        </w:rPr>
        <w:t>approaches another </w:t>
      </w:r>
      <w:r>
        <w:rPr>
          <w:i/>
          <w:sz w:val="24"/>
        </w:rPr>
        <w:t>Registered Participant </w:t>
      </w:r>
      <w:r>
        <w:rPr>
          <w:sz w:val="24"/>
        </w:rPr>
        <w:t>as described in clause 5.7.7(v);</w:t>
      </w:r>
      <w:r>
        <w:rPr>
          <w:spacing w:val="-2"/>
          <w:sz w:val="24"/>
        </w:rPr>
        <w:t> </w:t>
      </w:r>
      <w:r>
        <w:rPr>
          <w:sz w:val="24"/>
        </w:rPr>
        <w:t>and</w:t>
      </w:r>
    </w:p>
    <w:p>
      <w:pPr>
        <w:pStyle w:val="ListParagraph"/>
        <w:numPr>
          <w:ilvl w:val="4"/>
          <w:numId w:val="198"/>
        </w:numPr>
        <w:tabs>
          <w:tab w:pos="2486" w:val="left" w:leader="none"/>
        </w:tabs>
        <w:spacing w:line="240" w:lineRule="auto" w:before="120" w:after="0"/>
        <w:ind w:left="2486" w:right="414" w:hanging="567"/>
        <w:jc w:val="both"/>
        <w:rPr>
          <w:sz w:val="24"/>
        </w:rPr>
      </w:pPr>
      <w:r>
        <w:rPr>
          <w:sz w:val="24"/>
        </w:rPr>
        <w:t>the </w:t>
      </w:r>
      <w:r>
        <w:rPr>
          <w:i/>
          <w:sz w:val="24"/>
        </w:rPr>
        <w:t>Proponent </w:t>
      </w:r>
      <w:r>
        <w:rPr>
          <w:sz w:val="24"/>
        </w:rPr>
        <w:t>and the other </w:t>
      </w:r>
      <w:r>
        <w:rPr>
          <w:i/>
          <w:sz w:val="24"/>
        </w:rPr>
        <w:t>Registered Participant </w:t>
      </w:r>
      <w:r>
        <w:rPr>
          <w:sz w:val="24"/>
        </w:rPr>
        <w:t>have not agreed the terms and conditions to be included in the agreement under which the </w:t>
      </w:r>
      <w:r>
        <w:rPr>
          <w:i/>
          <w:sz w:val="24"/>
        </w:rPr>
        <w:t>Registered Participant </w:t>
      </w:r>
      <w:r>
        <w:rPr>
          <w:sz w:val="24"/>
        </w:rPr>
        <w:t>will provide the test facilitation service requested within 15 </w:t>
      </w:r>
      <w:r>
        <w:rPr>
          <w:i/>
          <w:sz w:val="24"/>
        </w:rPr>
        <w:t>business days </w:t>
      </w:r>
      <w:r>
        <w:rPr>
          <w:sz w:val="24"/>
        </w:rPr>
        <w:t>of the</w:t>
      </w:r>
      <w:r>
        <w:rPr>
          <w:spacing w:val="-1"/>
          <w:sz w:val="24"/>
        </w:rPr>
        <w:t> </w:t>
      </w:r>
      <w:r>
        <w:rPr>
          <w:sz w:val="24"/>
        </w:rPr>
        <w:t>approach,</w:t>
      </w:r>
    </w:p>
    <w:p>
      <w:pPr>
        <w:pStyle w:val="BodyText"/>
        <w:ind w:left="1919" w:right="414" w:firstLine="0"/>
      </w:pPr>
      <w:r>
        <w:rPr/>
        <w:t>then those terms and conditions must be determined in accordance with   rule 8.2 and a dispute of this type is deemed to fall within clause</w:t>
      </w:r>
      <w:r>
        <w:rPr>
          <w:spacing w:val="-12"/>
        </w:rPr>
        <w:t> </w:t>
      </w:r>
      <w:r>
        <w:rPr/>
        <w:t>8.2.5(c)(2).</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If the dispute concerns the price which the </w:t>
      </w:r>
      <w:r>
        <w:rPr>
          <w:i/>
          <w:sz w:val="24"/>
        </w:rPr>
        <w:t>Proponent </w:t>
      </w:r>
      <w:r>
        <w:rPr>
          <w:sz w:val="24"/>
        </w:rPr>
        <w:t>is to pay for a test facilitation service, then it must be resolved applying the following principles:</w:t>
      </w:r>
    </w:p>
    <w:p>
      <w:pPr>
        <w:pStyle w:val="ListParagraph"/>
        <w:numPr>
          <w:ilvl w:val="4"/>
          <w:numId w:val="198"/>
        </w:numPr>
        <w:tabs>
          <w:tab w:pos="2486" w:val="left" w:leader="none"/>
        </w:tabs>
        <w:spacing w:line="240" w:lineRule="auto" w:before="120" w:after="0"/>
        <w:ind w:left="2486" w:right="414" w:hanging="567"/>
        <w:jc w:val="both"/>
        <w:rPr>
          <w:sz w:val="24"/>
        </w:rPr>
      </w:pPr>
      <w:r>
        <w:rPr>
          <w:sz w:val="24"/>
        </w:rPr>
        <w:t>the other </w:t>
      </w:r>
      <w:r>
        <w:rPr>
          <w:i/>
          <w:sz w:val="24"/>
        </w:rPr>
        <w:t>Registered Participant </w:t>
      </w:r>
      <w:r>
        <w:rPr>
          <w:sz w:val="24"/>
        </w:rPr>
        <w:t>is entitled to recover the costs it incurs, and a reasonable rate of return on the capital it employs, </w:t>
      </w:r>
      <w:r>
        <w:rPr>
          <w:spacing w:val="-6"/>
          <w:sz w:val="24"/>
        </w:rPr>
        <w:t>in </w:t>
      </w:r>
      <w:r>
        <w:rPr>
          <w:sz w:val="24"/>
        </w:rPr>
        <w:t>providing the test facilitation service, determined taking into account the additional costs associated</w:t>
      </w:r>
      <w:r>
        <w:rPr>
          <w:spacing w:val="-1"/>
          <w:sz w:val="24"/>
        </w:rPr>
        <w:t> </w:t>
      </w:r>
      <w:r>
        <w:rPr>
          <w:sz w:val="24"/>
        </w:rPr>
        <w:t>with:</w:t>
      </w:r>
    </w:p>
    <w:p>
      <w:pPr>
        <w:pStyle w:val="ListParagraph"/>
        <w:numPr>
          <w:ilvl w:val="5"/>
          <w:numId w:val="198"/>
        </w:numPr>
        <w:tabs>
          <w:tab w:pos="3052" w:val="left" w:leader="none"/>
          <w:tab w:pos="3053" w:val="left" w:leader="none"/>
        </w:tabs>
        <w:spacing w:line="240" w:lineRule="auto" w:before="120" w:after="0"/>
        <w:ind w:left="3053" w:right="416" w:hanging="567"/>
        <w:jc w:val="left"/>
        <w:rPr>
          <w:sz w:val="24"/>
        </w:rPr>
      </w:pPr>
      <w:r>
        <w:rPr>
          <w:sz w:val="24"/>
        </w:rPr>
        <w:t>maintaining the equipment necessary to provide the test facilitation</w:t>
      </w:r>
      <w:r>
        <w:rPr>
          <w:spacing w:val="-1"/>
          <w:sz w:val="24"/>
        </w:rPr>
        <w:t> </w:t>
      </w:r>
      <w:r>
        <w:rPr>
          <w:sz w:val="24"/>
        </w:rPr>
        <w:t>service;</w:t>
      </w:r>
    </w:p>
    <w:p>
      <w:pPr>
        <w:pStyle w:val="ListParagraph"/>
        <w:numPr>
          <w:ilvl w:val="5"/>
          <w:numId w:val="198"/>
        </w:numPr>
        <w:tabs>
          <w:tab w:pos="3052" w:val="left" w:leader="none"/>
          <w:tab w:pos="3054" w:val="left" w:leader="none"/>
        </w:tabs>
        <w:spacing w:line="240" w:lineRule="auto" w:before="120" w:after="0"/>
        <w:ind w:left="3053" w:right="415" w:hanging="567"/>
        <w:jc w:val="left"/>
        <w:rPr>
          <w:sz w:val="24"/>
        </w:rPr>
      </w:pPr>
      <w:r>
        <w:rPr>
          <w:sz w:val="24"/>
        </w:rPr>
        <w:t>any labour required to operate and maintain the equipment used to provide the test facilitation service;</w:t>
      </w:r>
      <w:r>
        <w:rPr>
          <w:spacing w:val="-1"/>
          <w:sz w:val="24"/>
        </w:rPr>
        <w:t> </w:t>
      </w:r>
      <w:r>
        <w:rPr>
          <w:sz w:val="24"/>
        </w:rPr>
        <w:t>and</w:t>
      </w:r>
    </w:p>
    <w:p>
      <w:pPr>
        <w:pStyle w:val="ListParagraph"/>
        <w:numPr>
          <w:ilvl w:val="5"/>
          <w:numId w:val="198"/>
        </w:numPr>
        <w:tabs>
          <w:tab w:pos="3052" w:val="left" w:leader="none"/>
          <w:tab w:pos="3053" w:val="left" w:leader="none"/>
        </w:tabs>
        <w:spacing w:line="240" w:lineRule="auto" w:before="120" w:after="0"/>
        <w:ind w:left="3053" w:right="415" w:hanging="567"/>
        <w:jc w:val="left"/>
        <w:rPr>
          <w:sz w:val="24"/>
        </w:rPr>
      </w:pPr>
      <w:r>
        <w:rPr>
          <w:sz w:val="24"/>
        </w:rPr>
        <w:t>any materials consumed when the test facilitation service is utilised;</w:t>
      </w:r>
      <w:r>
        <w:rPr>
          <w:spacing w:val="-1"/>
          <w:sz w:val="24"/>
        </w:rPr>
        <w:t> </w:t>
      </w:r>
      <w:r>
        <w:rPr>
          <w:sz w:val="24"/>
        </w:rPr>
        <w:t>and</w:t>
      </w:r>
    </w:p>
    <w:p>
      <w:pPr>
        <w:pStyle w:val="ListParagraph"/>
        <w:numPr>
          <w:ilvl w:val="4"/>
          <w:numId w:val="198"/>
        </w:numPr>
        <w:tabs>
          <w:tab w:pos="2486" w:val="left" w:leader="none"/>
        </w:tabs>
        <w:spacing w:line="240" w:lineRule="auto" w:before="120" w:after="0"/>
        <w:ind w:left="2486" w:right="414" w:hanging="567"/>
        <w:jc w:val="both"/>
        <w:rPr>
          <w:sz w:val="24"/>
        </w:rPr>
      </w:pPr>
      <w:r>
        <w:rPr>
          <w:sz w:val="24"/>
        </w:rPr>
        <w:t>the other </w:t>
      </w:r>
      <w:r>
        <w:rPr>
          <w:i/>
          <w:sz w:val="24"/>
        </w:rPr>
        <w:t>Registered Participant </w:t>
      </w:r>
      <w:r>
        <w:rPr>
          <w:sz w:val="24"/>
        </w:rPr>
        <w:t>is entitled to be compensated for any commercial opportunities foregone by providing the test facilitation service.</w:t>
      </w:r>
    </w:p>
    <w:p>
      <w:pPr>
        <w:pStyle w:val="ListParagraph"/>
        <w:numPr>
          <w:ilvl w:val="3"/>
          <w:numId w:val="198"/>
        </w:numPr>
        <w:tabs>
          <w:tab w:pos="1919" w:val="left" w:leader="none"/>
        </w:tabs>
        <w:spacing w:line="240" w:lineRule="auto" w:before="120" w:after="0"/>
        <w:ind w:left="1919" w:right="413" w:hanging="567"/>
        <w:jc w:val="both"/>
        <w:rPr>
          <w:sz w:val="24"/>
        </w:rPr>
      </w:pPr>
      <w:r>
        <w:rPr>
          <w:sz w:val="24"/>
        </w:rPr>
        <w:t>When the terms and conditions are determined in accordance with rule 8.2 under this clause 5.7.7, then the </w:t>
      </w:r>
      <w:r>
        <w:rPr>
          <w:i/>
          <w:sz w:val="24"/>
        </w:rPr>
        <w:t>Proponent </w:t>
      </w:r>
      <w:r>
        <w:rPr>
          <w:sz w:val="24"/>
        </w:rPr>
        <w:t>and the other </w:t>
      </w:r>
      <w:r>
        <w:rPr>
          <w:i/>
          <w:sz w:val="24"/>
        </w:rPr>
        <w:t>Registered </w:t>
      </w:r>
      <w:r>
        <w:rPr>
          <w:i/>
          <w:sz w:val="24"/>
        </w:rPr>
        <w:t>Participant </w:t>
      </w:r>
      <w:r>
        <w:rPr>
          <w:sz w:val="24"/>
        </w:rPr>
        <w:t>must enter into an agreement setting out those terms and conditions.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8"/>
        </w:numPr>
        <w:tabs>
          <w:tab w:pos="1919" w:val="left" w:leader="none"/>
        </w:tabs>
        <w:spacing w:line="240" w:lineRule="auto" w:before="120" w:after="0"/>
        <w:ind w:left="1918" w:right="0" w:hanging="567"/>
        <w:jc w:val="both"/>
        <w:rPr>
          <w:sz w:val="24"/>
        </w:rPr>
      </w:pPr>
      <w:r>
        <w:rPr>
          <w:sz w:val="24"/>
        </w:rPr>
        <w:t>If </w:t>
      </w:r>
      <w:r>
        <w:rPr>
          <w:i/>
          <w:sz w:val="24"/>
        </w:rPr>
        <w:t>AEMO </w:t>
      </w:r>
      <w:r>
        <w:rPr>
          <w:sz w:val="24"/>
        </w:rPr>
        <w:t>is not the </w:t>
      </w:r>
      <w:r>
        <w:rPr>
          <w:i/>
          <w:sz w:val="24"/>
        </w:rPr>
        <w:t>Proponent </w:t>
      </w:r>
      <w:r>
        <w:rPr>
          <w:sz w:val="24"/>
        </w:rPr>
        <w:t>in respect of an </w:t>
      </w:r>
      <w:r>
        <w:rPr>
          <w:i/>
          <w:sz w:val="24"/>
        </w:rPr>
        <w:t>inter-network test</w:t>
      </w:r>
      <w:r>
        <w:rPr>
          <w:sz w:val="24"/>
        </w:rPr>
        <w:t>,</w:t>
      </w:r>
      <w:r>
        <w:rPr>
          <w:spacing w:val="34"/>
          <w:sz w:val="24"/>
        </w:rPr>
        <w:t> </w:t>
      </w:r>
      <w:r>
        <w:rPr>
          <w:sz w:val="24"/>
        </w:rPr>
        <w:t>the</w:t>
      </w:r>
    </w:p>
    <w:p>
      <w:pPr>
        <w:spacing w:before="0"/>
        <w:ind w:left="1919" w:right="0" w:firstLine="0"/>
        <w:jc w:val="both"/>
        <w:rPr>
          <w:sz w:val="24"/>
        </w:rPr>
      </w:pPr>
      <w:r>
        <w:rPr>
          <w:i/>
          <w:sz w:val="24"/>
        </w:rPr>
        <w:t>Proponent </w:t>
      </w:r>
      <w:r>
        <w:rPr>
          <w:sz w:val="24"/>
        </w:rPr>
        <w:t>must:</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prior to the scheduled date of the </w:t>
      </w:r>
      <w:r>
        <w:rPr>
          <w:i/>
          <w:sz w:val="24"/>
        </w:rPr>
        <w:t>inter-network test</w:t>
      </w:r>
      <w:r>
        <w:rPr>
          <w:sz w:val="24"/>
        </w:rPr>
        <w:t>, confirm to </w:t>
      </w:r>
      <w:r>
        <w:rPr>
          <w:i/>
          <w:sz w:val="24"/>
        </w:rPr>
        <w:t>AEMO </w:t>
      </w:r>
      <w:r>
        <w:rPr>
          <w:sz w:val="24"/>
        </w:rPr>
        <w:t>that the test facilitation services identified in the </w:t>
      </w:r>
      <w:r>
        <w:rPr>
          <w:i/>
          <w:sz w:val="24"/>
        </w:rPr>
        <w:t>test program </w:t>
      </w:r>
      <w:r>
        <w:rPr>
          <w:sz w:val="24"/>
        </w:rPr>
        <w:t>will be available to be utilised, who will be providing them and the operational arrangements for utilising</w:t>
      </w:r>
      <w:r>
        <w:rPr>
          <w:spacing w:val="-1"/>
          <w:sz w:val="24"/>
        </w:rPr>
        <w:t> </w:t>
      </w:r>
      <w:r>
        <w:rPr>
          <w:sz w:val="24"/>
        </w:rPr>
        <w:t>them;</w:t>
      </w:r>
    </w:p>
    <w:p>
      <w:pPr>
        <w:spacing w:after="0" w:line="240" w:lineRule="auto"/>
        <w:jc w:val="both"/>
        <w:rPr>
          <w:sz w:val="24"/>
        </w:rPr>
        <w:sectPr>
          <w:pgSz w:w="11910" w:h="16840"/>
          <w:pgMar w:header="686" w:footer="637" w:top="1320" w:bottom="820" w:left="1200" w:right="1000"/>
        </w:sectPr>
      </w:pPr>
    </w:p>
    <w:p>
      <w:pPr>
        <w:pStyle w:val="ListParagraph"/>
        <w:numPr>
          <w:ilvl w:val="4"/>
          <w:numId w:val="198"/>
        </w:numPr>
        <w:tabs>
          <w:tab w:pos="2486" w:val="left" w:leader="none"/>
        </w:tabs>
        <w:spacing w:line="240" w:lineRule="auto" w:before="83" w:after="0"/>
        <w:ind w:left="2486" w:right="415" w:hanging="567"/>
        <w:jc w:val="both"/>
        <w:rPr>
          <w:sz w:val="24"/>
        </w:rPr>
      </w:pPr>
      <w:r>
        <w:rPr>
          <w:sz w:val="24"/>
        </w:rPr>
        <w:t>provide sufficient information to enable </w:t>
      </w:r>
      <w:r>
        <w:rPr>
          <w:i/>
          <w:sz w:val="24"/>
        </w:rPr>
        <w:t>AEMO </w:t>
      </w:r>
      <w:r>
        <w:rPr>
          <w:sz w:val="24"/>
        </w:rPr>
        <w:t>to utilise the test facilitation services in conducting the </w:t>
      </w:r>
      <w:r>
        <w:rPr>
          <w:i/>
          <w:sz w:val="24"/>
        </w:rPr>
        <w:t>inter-network test</w:t>
      </w:r>
      <w:r>
        <w:rPr>
          <w:sz w:val="24"/>
        </w:rPr>
        <w:t>;</w:t>
      </w:r>
      <w:r>
        <w:rPr>
          <w:spacing w:val="-4"/>
          <w:sz w:val="24"/>
        </w:rPr>
        <w:t> </w:t>
      </w:r>
      <w:r>
        <w:rPr>
          <w:sz w:val="24"/>
        </w:rPr>
        <w:t>and</w:t>
      </w:r>
    </w:p>
    <w:p>
      <w:pPr>
        <w:pStyle w:val="ListParagraph"/>
        <w:numPr>
          <w:ilvl w:val="4"/>
          <w:numId w:val="198"/>
        </w:numPr>
        <w:tabs>
          <w:tab w:pos="2486" w:val="left" w:leader="none"/>
        </w:tabs>
        <w:spacing w:line="240" w:lineRule="auto" w:before="120" w:after="0"/>
        <w:ind w:left="2486" w:right="415" w:hanging="567"/>
        <w:jc w:val="both"/>
        <w:rPr>
          <w:sz w:val="24"/>
        </w:rPr>
      </w:pPr>
      <w:r>
        <w:rPr>
          <w:sz w:val="24"/>
        </w:rPr>
        <w:t>respond promptly to any queries </w:t>
      </w:r>
      <w:r>
        <w:rPr>
          <w:i/>
          <w:sz w:val="24"/>
        </w:rPr>
        <w:t>AEMO </w:t>
      </w:r>
      <w:r>
        <w:rPr>
          <w:sz w:val="24"/>
        </w:rPr>
        <w:t>raises with the </w:t>
      </w:r>
      <w:r>
        <w:rPr>
          <w:i/>
          <w:sz w:val="24"/>
        </w:rPr>
        <w:t>Proponent </w:t>
      </w:r>
      <w:r>
        <w:rPr>
          <w:sz w:val="24"/>
        </w:rPr>
        <w:t>concerning the availability of the test facilitation services and </w:t>
      </w:r>
      <w:r>
        <w:rPr>
          <w:i/>
          <w:sz w:val="24"/>
        </w:rPr>
        <w:t>AEMO's </w:t>
      </w:r>
      <w:r>
        <w:rPr>
          <w:sz w:val="24"/>
        </w:rPr>
        <w:t>ability to utilise those services in conducting the </w:t>
      </w:r>
      <w:r>
        <w:rPr>
          <w:i/>
          <w:sz w:val="24"/>
        </w:rPr>
        <w:t>inter-network</w:t>
      </w:r>
      <w:r>
        <w:rPr>
          <w:i/>
          <w:spacing w:val="-9"/>
          <w:sz w:val="24"/>
        </w:rPr>
        <w:t> </w:t>
      </w:r>
      <w:r>
        <w:rPr>
          <w:i/>
          <w:sz w:val="24"/>
        </w:rPr>
        <w:t>tests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4" w:hanging="567"/>
        <w:jc w:val="both"/>
        <w:rPr>
          <w:sz w:val="24"/>
        </w:rPr>
      </w:pPr>
      <w:r>
        <w:rPr>
          <w:sz w:val="24"/>
        </w:rPr>
        <w:t>(aa) The </w:t>
      </w:r>
      <w:r>
        <w:rPr>
          <w:i/>
          <w:sz w:val="24"/>
        </w:rPr>
        <w:t>Proponent </w:t>
      </w:r>
      <w:r>
        <w:rPr>
          <w:sz w:val="24"/>
        </w:rPr>
        <w:t>in respect of an </w:t>
      </w:r>
      <w:r>
        <w:rPr>
          <w:i/>
          <w:sz w:val="24"/>
        </w:rPr>
        <w:t>inter-network test </w:t>
      </w:r>
      <w:r>
        <w:rPr>
          <w:sz w:val="24"/>
        </w:rPr>
        <w:t>must bear all of the following costs associated with that </w:t>
      </w:r>
      <w:r>
        <w:rPr>
          <w:i/>
          <w:sz w:val="24"/>
        </w:rPr>
        <w:t>inter-network test</w:t>
      </w:r>
      <w:r>
        <w:rPr>
          <w:sz w:val="24"/>
        </w:rPr>
        <w:t>:</w:t>
      </w:r>
    </w:p>
    <w:p>
      <w:pPr>
        <w:pStyle w:val="ListParagraph"/>
        <w:numPr>
          <w:ilvl w:val="0"/>
          <w:numId w:val="202"/>
        </w:numPr>
        <w:tabs>
          <w:tab w:pos="2486" w:val="left" w:leader="none"/>
        </w:tabs>
        <w:spacing w:line="240" w:lineRule="auto" w:before="120" w:after="0"/>
        <w:ind w:left="2486" w:right="415" w:hanging="567"/>
        <w:jc w:val="both"/>
        <w:rPr>
          <w:sz w:val="24"/>
        </w:rPr>
      </w:pPr>
      <w:r>
        <w:rPr>
          <w:sz w:val="24"/>
        </w:rPr>
        <w:t>any amounts payable under an agreement under which test facilitation services are</w:t>
      </w:r>
      <w:r>
        <w:rPr>
          <w:spacing w:val="-3"/>
          <w:sz w:val="24"/>
        </w:rPr>
        <w:t> </w:t>
      </w:r>
      <w:r>
        <w:rPr>
          <w:sz w:val="24"/>
        </w:rPr>
        <w:t>provided;</w:t>
      </w:r>
    </w:p>
    <w:p>
      <w:pPr>
        <w:pStyle w:val="ListParagraph"/>
        <w:numPr>
          <w:ilvl w:val="0"/>
          <w:numId w:val="202"/>
        </w:numPr>
        <w:tabs>
          <w:tab w:pos="2486" w:val="left" w:leader="none"/>
        </w:tabs>
        <w:spacing w:line="240" w:lineRule="auto" w:before="120" w:after="0"/>
        <w:ind w:left="2486" w:right="414" w:hanging="567"/>
        <w:jc w:val="both"/>
        <w:rPr>
          <w:sz w:val="24"/>
        </w:rPr>
      </w:pPr>
      <w:r>
        <w:rPr>
          <w:sz w:val="24"/>
        </w:rPr>
        <w:t>the </w:t>
      </w:r>
      <w:r>
        <w:rPr>
          <w:i/>
          <w:sz w:val="24"/>
        </w:rPr>
        <w:t>Proponent's </w:t>
      </w:r>
      <w:r>
        <w:rPr>
          <w:sz w:val="24"/>
        </w:rPr>
        <w:t>own costs associated with the </w:t>
      </w:r>
      <w:r>
        <w:rPr>
          <w:i/>
          <w:sz w:val="24"/>
        </w:rPr>
        <w:t>inter-network test </w:t>
      </w:r>
      <w:r>
        <w:rPr>
          <w:sz w:val="24"/>
        </w:rPr>
        <w:t>and in negotiating and administering the  agreements  referred  to  in clause 5.7.7(u);</w:t>
      </w:r>
      <w:r>
        <w:rPr>
          <w:spacing w:val="-1"/>
          <w:sz w:val="24"/>
        </w:rPr>
        <w:t> </w:t>
      </w:r>
      <w:r>
        <w:rPr>
          <w:sz w:val="24"/>
        </w:rPr>
        <w:t>and</w:t>
      </w:r>
    </w:p>
    <w:p>
      <w:pPr>
        <w:pStyle w:val="ListParagraph"/>
        <w:numPr>
          <w:ilvl w:val="0"/>
          <w:numId w:val="202"/>
        </w:numPr>
        <w:tabs>
          <w:tab w:pos="2486" w:val="left" w:leader="none"/>
        </w:tabs>
        <w:spacing w:line="240" w:lineRule="auto" w:before="120" w:after="0"/>
        <w:ind w:left="2486" w:right="414" w:hanging="567"/>
        <w:jc w:val="both"/>
        <w:rPr>
          <w:sz w:val="24"/>
        </w:rPr>
      </w:pPr>
      <w:r>
        <w:rPr>
          <w:sz w:val="24"/>
        </w:rPr>
        <w:t>if the </w:t>
      </w:r>
      <w:r>
        <w:rPr>
          <w:i/>
          <w:sz w:val="24"/>
        </w:rPr>
        <w:t>Proponent </w:t>
      </w:r>
      <w:r>
        <w:rPr>
          <w:sz w:val="24"/>
        </w:rPr>
        <w:t>is not </w:t>
      </w:r>
      <w:r>
        <w:rPr>
          <w:i/>
          <w:sz w:val="24"/>
        </w:rPr>
        <w:t>AEMO </w:t>
      </w:r>
      <w:r>
        <w:rPr>
          <w:sz w:val="24"/>
        </w:rPr>
        <w:t>and the amount of </w:t>
      </w:r>
      <w:r>
        <w:rPr>
          <w:i/>
          <w:sz w:val="24"/>
        </w:rPr>
        <w:t>settlements residue </w:t>
      </w:r>
      <w:r>
        <w:rPr>
          <w:sz w:val="24"/>
        </w:rPr>
        <w:t>on any </w:t>
      </w:r>
      <w:r>
        <w:rPr>
          <w:i/>
          <w:sz w:val="24"/>
        </w:rPr>
        <w:t>directional interconnector </w:t>
      </w:r>
      <w:r>
        <w:rPr>
          <w:sz w:val="24"/>
        </w:rPr>
        <w:t>for a </w:t>
      </w:r>
      <w:r>
        <w:rPr>
          <w:i/>
          <w:sz w:val="24"/>
        </w:rPr>
        <w:t>trading interval </w:t>
      </w:r>
      <w:r>
        <w:rPr>
          <w:sz w:val="24"/>
        </w:rPr>
        <w:t>during which there is an impact on </w:t>
      </w:r>
      <w:r>
        <w:rPr>
          <w:i/>
          <w:sz w:val="24"/>
        </w:rPr>
        <w:t>central dispatch </w:t>
      </w:r>
      <w:r>
        <w:rPr>
          <w:sz w:val="24"/>
        </w:rPr>
        <w:t>outcomes as a result of </w:t>
      </w:r>
      <w:r>
        <w:rPr>
          <w:spacing w:val="-5"/>
          <w:sz w:val="24"/>
        </w:rPr>
        <w:t>the </w:t>
      </w:r>
      <w:r>
        <w:rPr>
          <w:i/>
          <w:sz w:val="24"/>
        </w:rPr>
        <w:t>inter-network test </w:t>
      </w:r>
      <w:r>
        <w:rPr>
          <w:sz w:val="24"/>
        </w:rPr>
        <w:t>is negative, then the </w:t>
      </w:r>
      <w:r>
        <w:rPr>
          <w:i/>
          <w:sz w:val="24"/>
        </w:rPr>
        <w:t>Proponent </w:t>
      </w:r>
      <w:r>
        <w:rPr>
          <w:sz w:val="24"/>
        </w:rPr>
        <w:t>must enter into an agreement with </w:t>
      </w:r>
      <w:r>
        <w:rPr>
          <w:i/>
          <w:sz w:val="24"/>
        </w:rPr>
        <w:t>AEMO </w:t>
      </w:r>
      <w:r>
        <w:rPr>
          <w:sz w:val="24"/>
        </w:rPr>
        <w:t>to pay that amount to</w:t>
      </w:r>
      <w:r>
        <w:rPr>
          <w:spacing w:val="-4"/>
          <w:sz w:val="24"/>
        </w:rPr>
        <w:t> </w:t>
      </w:r>
      <w:r>
        <w:rPr>
          <w:i/>
          <w:sz w:val="24"/>
        </w:rPr>
        <w:t>AEMO</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before="120"/>
        <w:ind w:left="1919" w:right="414" w:hanging="567"/>
        <w:jc w:val="both"/>
        <w:rPr>
          <w:sz w:val="24"/>
        </w:rPr>
      </w:pPr>
      <w:r>
        <w:rPr>
          <w:sz w:val="24"/>
        </w:rPr>
        <w:t>(ab) If the </w:t>
      </w:r>
      <w:r>
        <w:rPr>
          <w:i/>
          <w:sz w:val="24"/>
        </w:rPr>
        <w:t>Proponent </w:t>
      </w:r>
      <w:r>
        <w:rPr>
          <w:sz w:val="24"/>
        </w:rPr>
        <w:t>is </w:t>
      </w:r>
      <w:r>
        <w:rPr>
          <w:i/>
          <w:sz w:val="24"/>
        </w:rPr>
        <w:t>AEMO </w:t>
      </w:r>
      <w:r>
        <w:rPr>
          <w:sz w:val="24"/>
        </w:rPr>
        <w:t>and the amount of </w:t>
      </w:r>
      <w:r>
        <w:rPr>
          <w:i/>
          <w:sz w:val="24"/>
        </w:rPr>
        <w:t>settlements residue </w:t>
      </w:r>
      <w:r>
        <w:rPr>
          <w:sz w:val="24"/>
        </w:rPr>
        <w:t>on any </w:t>
      </w:r>
      <w:r>
        <w:rPr>
          <w:i/>
          <w:sz w:val="24"/>
        </w:rPr>
        <w:t>directional interconnector </w:t>
      </w:r>
      <w:r>
        <w:rPr>
          <w:sz w:val="24"/>
        </w:rPr>
        <w:t>for a </w:t>
      </w:r>
      <w:r>
        <w:rPr>
          <w:i/>
          <w:sz w:val="24"/>
        </w:rPr>
        <w:t>trading interval </w:t>
      </w:r>
      <w:r>
        <w:rPr>
          <w:sz w:val="24"/>
        </w:rPr>
        <w:t>during which there is an impact on </w:t>
      </w:r>
      <w:r>
        <w:rPr>
          <w:i/>
          <w:sz w:val="24"/>
        </w:rPr>
        <w:t>central dispatch </w:t>
      </w:r>
      <w:r>
        <w:rPr>
          <w:sz w:val="24"/>
        </w:rPr>
        <w:t>outcomes as a result of the </w:t>
      </w:r>
      <w:r>
        <w:rPr>
          <w:i/>
          <w:sz w:val="24"/>
        </w:rPr>
        <w:t>inter-network test </w:t>
      </w:r>
      <w:r>
        <w:rPr>
          <w:sz w:val="24"/>
        </w:rPr>
        <w:t>is negative, then </w:t>
      </w:r>
      <w:r>
        <w:rPr>
          <w:i/>
          <w:sz w:val="24"/>
        </w:rPr>
        <w:t>AEMO </w:t>
      </w:r>
      <w:r>
        <w:rPr>
          <w:sz w:val="24"/>
        </w:rPr>
        <w:t>must adjust that residue to be zero and must recover the amount as provided for in clause 2.11.3(b)(2A).</w:t>
      </w:r>
    </w:p>
    <w:p>
      <w:pPr>
        <w:spacing w:before="120"/>
        <w:ind w:left="1919" w:right="415" w:hanging="567"/>
        <w:jc w:val="both"/>
        <w:rPr>
          <w:sz w:val="24"/>
        </w:rPr>
      </w:pPr>
      <w:r>
        <w:rPr>
          <w:sz w:val="24"/>
        </w:rPr>
        <w:t>(ac) </w:t>
      </w:r>
      <w:r>
        <w:rPr>
          <w:i/>
          <w:sz w:val="24"/>
        </w:rPr>
        <w:t>AEMO </w:t>
      </w:r>
      <w:r>
        <w:rPr>
          <w:sz w:val="24"/>
        </w:rPr>
        <w:t>must establish operational conditions to achieve the particular </w:t>
      </w:r>
      <w:r>
        <w:rPr>
          <w:i/>
          <w:sz w:val="24"/>
        </w:rPr>
        <w:t>power </w:t>
      </w:r>
      <w:r>
        <w:rPr>
          <w:i/>
          <w:sz w:val="24"/>
        </w:rPr>
        <w:t>transfer </w:t>
      </w:r>
      <w:r>
        <w:rPr>
          <w:sz w:val="24"/>
        </w:rPr>
        <w:t>levels for each stage of the </w:t>
      </w:r>
      <w:r>
        <w:rPr>
          <w:i/>
          <w:sz w:val="24"/>
        </w:rPr>
        <w:t>inter-network test </w:t>
      </w:r>
      <w:r>
        <w:rPr>
          <w:sz w:val="24"/>
        </w:rPr>
        <w:t>as contemplated by the </w:t>
      </w:r>
      <w:r>
        <w:rPr>
          <w:i/>
          <w:sz w:val="24"/>
        </w:rPr>
        <w:t>test</w:t>
      </w:r>
      <w:r>
        <w:rPr>
          <w:i/>
          <w:spacing w:val="-2"/>
          <w:sz w:val="24"/>
        </w:rPr>
        <w:t> </w:t>
      </w:r>
      <w:r>
        <w:rPr>
          <w:i/>
          <w:sz w:val="24"/>
        </w:rPr>
        <w:t>program</w:t>
      </w:r>
      <w:r>
        <w:rPr>
          <w:sz w:val="24"/>
        </w:rPr>
        <w:t>:</w:t>
      </w:r>
    </w:p>
    <w:p>
      <w:pPr>
        <w:pStyle w:val="ListParagraph"/>
        <w:numPr>
          <w:ilvl w:val="0"/>
          <w:numId w:val="203"/>
        </w:numPr>
        <w:tabs>
          <w:tab w:pos="2486" w:val="left" w:leader="none"/>
        </w:tabs>
        <w:spacing w:line="240" w:lineRule="auto" w:before="120" w:after="0"/>
        <w:ind w:left="2486" w:right="415" w:hanging="567"/>
        <w:jc w:val="both"/>
        <w:rPr>
          <w:sz w:val="24"/>
        </w:rPr>
      </w:pPr>
      <w:r>
        <w:rPr>
          <w:sz w:val="24"/>
        </w:rPr>
        <w:t>utilizing where practicable and economic to do so the test facilitation services identified in the </w:t>
      </w:r>
      <w:r>
        <w:rPr>
          <w:i/>
          <w:sz w:val="24"/>
        </w:rPr>
        <w:t>test program</w:t>
      </w:r>
      <w:r>
        <w:rPr>
          <w:sz w:val="24"/>
        </w:rPr>
        <w:t>;</w:t>
      </w:r>
      <w:r>
        <w:rPr>
          <w:spacing w:val="-3"/>
          <w:sz w:val="24"/>
        </w:rPr>
        <w:t> </w:t>
      </w:r>
      <w:r>
        <w:rPr>
          <w:sz w:val="24"/>
        </w:rPr>
        <w:t>and</w:t>
      </w:r>
    </w:p>
    <w:p>
      <w:pPr>
        <w:pStyle w:val="ListParagraph"/>
        <w:numPr>
          <w:ilvl w:val="0"/>
          <w:numId w:val="203"/>
        </w:numPr>
        <w:tabs>
          <w:tab w:pos="2486" w:val="left" w:leader="none"/>
        </w:tabs>
        <w:spacing w:line="240" w:lineRule="auto" w:before="120" w:after="0"/>
        <w:ind w:left="2486" w:right="415" w:hanging="567"/>
        <w:jc w:val="both"/>
        <w:rPr>
          <w:sz w:val="24"/>
        </w:rPr>
      </w:pPr>
      <w:r>
        <w:rPr>
          <w:sz w:val="24"/>
        </w:rPr>
        <w:t>otherwise, by applying to the minimum extent necessary to fulfil the test requirements, </w:t>
      </w:r>
      <w:r>
        <w:rPr>
          <w:i/>
          <w:sz w:val="24"/>
        </w:rPr>
        <w:t>inter-network testing</w:t>
      </w:r>
      <w:r>
        <w:rPr>
          <w:i/>
          <w:spacing w:val="-1"/>
          <w:sz w:val="24"/>
        </w:rPr>
        <w:t> </w:t>
      </w:r>
      <w:r>
        <w:rPr>
          <w:i/>
          <w:sz w:val="24"/>
        </w:rPr>
        <w:t>constraints</w:t>
      </w:r>
      <w:r>
        <w:rPr>
          <w:sz w:val="24"/>
        </w:rPr>
        <w:t>.</w:t>
      </w:r>
    </w:p>
    <w:p>
      <w:pPr>
        <w:pStyle w:val="BodyText"/>
        <w:ind w:left="1919" w:right="414"/>
      </w:pPr>
      <w:r>
        <w:rPr/>
        <w:t>(ad) An </w:t>
      </w:r>
      <w:r>
        <w:rPr>
          <w:i/>
        </w:rPr>
        <w:t>inter-network test </w:t>
      </w:r>
      <w:r>
        <w:rPr/>
        <w:t>must be coordinated by an officer  nominated  </w:t>
      </w:r>
      <w:r>
        <w:rPr>
          <w:spacing w:val="-6"/>
        </w:rPr>
        <w:t>by </w:t>
      </w:r>
      <w:r>
        <w:rPr>
          <w:i/>
        </w:rPr>
        <w:t>AEMO </w:t>
      </w:r>
      <w:r>
        <w:rPr/>
        <w:t>who has authority to stop the test or any part of it or vary the procedure within pre-approved guidelines determined by </w:t>
      </w:r>
      <w:r>
        <w:rPr>
          <w:i/>
        </w:rPr>
        <w:t>AEMO </w:t>
      </w:r>
      <w:r>
        <w:rPr/>
        <w:t>if that officer considers any of these actions to be reasonably</w:t>
      </w:r>
      <w:r>
        <w:rPr>
          <w:spacing w:val="-2"/>
        </w:rPr>
        <w:t> </w:t>
      </w:r>
      <w:r>
        <w:rPr/>
        <w:t>necessary.</w:t>
      </w:r>
    </w:p>
    <w:p>
      <w:pPr>
        <w:spacing w:before="120"/>
        <w:ind w:left="1352" w:right="0" w:firstLine="0"/>
        <w:jc w:val="both"/>
        <w:rPr>
          <w:sz w:val="24"/>
        </w:rPr>
      </w:pPr>
      <w:r>
        <w:rPr>
          <w:sz w:val="24"/>
        </w:rPr>
        <w:t>(ae) Each </w:t>
      </w:r>
      <w:r>
        <w:rPr>
          <w:i/>
          <w:sz w:val="24"/>
        </w:rPr>
        <w:t>Registered Participant </w:t>
      </w:r>
      <w:r>
        <w:rPr>
          <w:sz w:val="24"/>
        </w:rPr>
        <w:t>must:</w:t>
      </w:r>
    </w:p>
    <w:p>
      <w:pPr>
        <w:pStyle w:val="ListParagraph"/>
        <w:numPr>
          <w:ilvl w:val="0"/>
          <w:numId w:val="204"/>
        </w:numPr>
        <w:tabs>
          <w:tab w:pos="2486" w:val="left" w:leader="none"/>
        </w:tabs>
        <w:spacing w:line="240" w:lineRule="auto" w:before="120" w:after="0"/>
        <w:ind w:left="2486" w:right="414" w:hanging="567"/>
        <w:jc w:val="both"/>
        <w:rPr>
          <w:sz w:val="24"/>
        </w:rPr>
      </w:pPr>
      <w:r>
        <w:rPr>
          <w:sz w:val="24"/>
        </w:rPr>
        <w:t>cooperate with </w:t>
      </w:r>
      <w:r>
        <w:rPr>
          <w:i/>
          <w:sz w:val="24"/>
        </w:rPr>
        <w:t>AEMO </w:t>
      </w:r>
      <w:r>
        <w:rPr>
          <w:sz w:val="24"/>
        </w:rPr>
        <w:t>in planning, preparing for and conducting </w:t>
      </w:r>
      <w:r>
        <w:rPr>
          <w:i/>
          <w:sz w:val="24"/>
        </w:rPr>
        <w:t>inter- </w:t>
      </w:r>
      <w:r>
        <w:rPr>
          <w:i/>
          <w:sz w:val="24"/>
        </w:rPr>
        <w:t>regional</w:t>
      </w:r>
      <w:r>
        <w:rPr>
          <w:i/>
          <w:spacing w:val="-2"/>
          <w:sz w:val="24"/>
        </w:rPr>
        <w:t> </w:t>
      </w:r>
      <w:r>
        <w:rPr>
          <w:sz w:val="24"/>
        </w:rPr>
        <w:t>tests;</w:t>
      </w:r>
    </w:p>
    <w:p>
      <w:pPr>
        <w:spacing w:after="0" w:line="240" w:lineRule="auto"/>
        <w:jc w:val="both"/>
        <w:rPr>
          <w:sz w:val="24"/>
        </w:rPr>
        <w:sectPr>
          <w:pgSz w:w="11910" w:h="16840"/>
          <w:pgMar w:header="686" w:footer="637" w:top="1320" w:bottom="820" w:left="1200" w:right="1000"/>
        </w:sectPr>
      </w:pPr>
    </w:p>
    <w:p>
      <w:pPr>
        <w:pStyle w:val="ListParagraph"/>
        <w:numPr>
          <w:ilvl w:val="0"/>
          <w:numId w:val="204"/>
        </w:numPr>
        <w:tabs>
          <w:tab w:pos="2485" w:val="left" w:leader="none"/>
          <w:tab w:pos="2486" w:val="left" w:leader="none"/>
        </w:tabs>
        <w:spacing w:line="240" w:lineRule="auto" w:before="83" w:after="0"/>
        <w:ind w:left="2486" w:right="415" w:hanging="567"/>
        <w:jc w:val="left"/>
        <w:rPr>
          <w:sz w:val="24"/>
        </w:rPr>
      </w:pPr>
      <w:r>
        <w:rPr>
          <w:sz w:val="24"/>
        </w:rPr>
        <w:t>act in good faith in respect of, and not unreasonably delay, an </w:t>
      </w:r>
      <w:r>
        <w:rPr>
          <w:i/>
          <w:sz w:val="24"/>
        </w:rPr>
        <w:t>inter- </w:t>
      </w:r>
      <w:r>
        <w:rPr>
          <w:i/>
          <w:sz w:val="24"/>
        </w:rPr>
        <w:t>network test</w:t>
      </w:r>
      <w:r>
        <w:rPr>
          <w:sz w:val="24"/>
        </w:rPr>
        <w:t>;</w:t>
      </w:r>
      <w:r>
        <w:rPr>
          <w:spacing w:val="-1"/>
          <w:sz w:val="24"/>
        </w:rPr>
        <w:t> </w:t>
      </w:r>
      <w:r>
        <w:rPr>
          <w:sz w:val="24"/>
        </w:rPr>
        <w:t>and</w:t>
      </w:r>
    </w:p>
    <w:p>
      <w:pPr>
        <w:pStyle w:val="ListParagraph"/>
        <w:numPr>
          <w:ilvl w:val="0"/>
          <w:numId w:val="204"/>
        </w:numPr>
        <w:tabs>
          <w:tab w:pos="2485" w:val="left" w:leader="none"/>
          <w:tab w:pos="2486" w:val="left" w:leader="none"/>
          <w:tab w:pos="3415" w:val="left" w:leader="none"/>
          <w:tab w:pos="4051" w:val="left" w:leader="none"/>
          <w:tab w:pos="4607" w:val="left" w:leader="none"/>
          <w:tab w:pos="5936" w:val="left" w:leader="none"/>
          <w:tab w:pos="6679" w:val="left" w:leader="none"/>
          <w:tab w:pos="7075" w:val="left" w:leader="none"/>
          <w:tab w:pos="7418" w:val="left" w:leader="none"/>
          <w:tab w:pos="7867" w:val="left" w:leader="none"/>
          <w:tab w:pos="8743" w:val="left" w:leader="none"/>
        </w:tabs>
        <w:spacing w:line="240" w:lineRule="auto" w:before="120" w:after="0"/>
        <w:ind w:left="2486" w:right="415" w:hanging="567"/>
        <w:jc w:val="left"/>
        <w:rPr>
          <w:sz w:val="24"/>
        </w:rPr>
      </w:pPr>
      <w:r>
        <w:rPr>
          <w:sz w:val="24"/>
        </w:rPr>
        <w:t>comply</w:t>
        <w:tab/>
        <w:t>with</w:t>
        <w:tab/>
        <w:t>any</w:t>
        <w:tab/>
        <w:t>instructions</w:t>
        <w:tab/>
        <w:t>given</w:t>
        <w:tab/>
        <w:t>to</w:t>
        <w:tab/>
        <w:t>it</w:t>
        <w:tab/>
        <w:t>by</w:t>
        <w:tab/>
      </w:r>
      <w:r>
        <w:rPr>
          <w:i/>
          <w:sz w:val="24"/>
        </w:rPr>
        <w:t>AEMO</w:t>
        <w:tab/>
      </w:r>
      <w:r>
        <w:rPr>
          <w:spacing w:val="-4"/>
          <w:sz w:val="24"/>
        </w:rPr>
        <w:t>under </w:t>
      </w:r>
      <w:r>
        <w:rPr>
          <w:sz w:val="24"/>
        </w:rPr>
        <w:t>clause</w:t>
      </w:r>
      <w:r>
        <w:rPr>
          <w:spacing w:val="-1"/>
          <w:sz w:val="24"/>
        </w:rPr>
        <w:t> </w:t>
      </w:r>
      <w:r>
        <w:rPr>
          <w:sz w:val="24"/>
        </w:rPr>
        <w:t>5.7.7(af).</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ind w:left="1919" w:right="414"/>
      </w:pPr>
      <w:r>
        <w:rPr/>
        <w:t>(af)  </w:t>
      </w:r>
      <w:r>
        <w:rPr>
          <w:i/>
        </w:rPr>
        <w:t>AEMO </w:t>
      </w:r>
      <w:r>
        <w:rPr/>
        <w:t>may utilise test facilitation services under agreements entered into   by the </w:t>
      </w:r>
      <w:r>
        <w:rPr>
          <w:i/>
        </w:rPr>
        <w:t>Proponent </w:t>
      </w:r>
      <w:r>
        <w:rPr/>
        <w:t>under this clause 5.7.7 during an </w:t>
      </w:r>
      <w:r>
        <w:rPr>
          <w:i/>
        </w:rPr>
        <w:t>inter-network test </w:t>
      </w:r>
      <w:r>
        <w:rPr/>
        <w:t>in order to achieve operational conditions on the </w:t>
      </w:r>
      <w:r>
        <w:rPr>
          <w:i/>
        </w:rPr>
        <w:t>power system </w:t>
      </w:r>
      <w:r>
        <w:rPr/>
        <w:t>which are reasonably required to achieve valid test</w:t>
      </w:r>
      <w:r>
        <w:rPr>
          <w:spacing w:val="-2"/>
        </w:rPr>
        <w:t> </w:t>
      </w:r>
      <w:r>
        <w:rPr/>
        <w:t>results.</w:t>
      </w:r>
    </w:p>
    <w:p>
      <w:pPr>
        <w:pStyle w:val="BodyText"/>
        <w:spacing w:before="10"/>
        <w:ind w:firstLine="0"/>
        <w:jc w:val="left"/>
        <w:rPr>
          <w:sz w:val="20"/>
        </w:rPr>
      </w:pPr>
    </w:p>
    <w:p>
      <w:pPr>
        <w:pStyle w:val="Heading4"/>
        <w:numPr>
          <w:ilvl w:val="2"/>
          <w:numId w:val="198"/>
        </w:numPr>
        <w:tabs>
          <w:tab w:pos="1351" w:val="left" w:leader="none"/>
          <w:tab w:pos="1352" w:val="left" w:leader="none"/>
        </w:tabs>
        <w:spacing w:line="240" w:lineRule="auto" w:before="0" w:after="0"/>
        <w:ind w:left="1351" w:right="0" w:hanging="1134"/>
        <w:jc w:val="left"/>
      </w:pPr>
      <w:bookmarkStart w:name="5.7.8 Contestable IUSA components" w:id="605"/>
      <w:bookmarkEnd w:id="605"/>
      <w:r>
        <w:rPr>
          <w:b w:val="0"/>
        </w:rPr>
      </w:r>
      <w:bookmarkStart w:name="_bookmark241" w:id="606"/>
      <w:bookmarkEnd w:id="606"/>
      <w:r>
        <w:rPr>
          <w:b w:val="0"/>
        </w:rPr>
      </w:r>
      <w:bookmarkStart w:name="_bookmark241" w:id="607"/>
      <w:bookmarkEnd w:id="607"/>
      <w:r>
        <w:rPr/>
        <w:t>Contestabl</w:t>
      </w:r>
      <w:r>
        <w:rPr/>
        <w:t>e IUSA</w:t>
      </w:r>
      <w:r>
        <w:rPr>
          <w:spacing w:val="-2"/>
        </w:rPr>
        <w:t> </w:t>
      </w:r>
      <w:r>
        <w:rPr/>
        <w:t>components</w:t>
      </w:r>
    </w:p>
    <w:p>
      <w:pPr>
        <w:pStyle w:val="ListParagraph"/>
        <w:numPr>
          <w:ilvl w:val="3"/>
          <w:numId w:val="198"/>
        </w:numPr>
        <w:tabs>
          <w:tab w:pos="1919" w:val="left" w:leader="none"/>
        </w:tabs>
        <w:spacing w:line="240" w:lineRule="auto" w:before="120" w:after="0"/>
        <w:ind w:left="1919" w:right="414" w:hanging="567"/>
        <w:jc w:val="both"/>
        <w:rPr>
          <w:sz w:val="24"/>
        </w:rPr>
      </w:pPr>
      <w:r>
        <w:rPr>
          <w:sz w:val="24"/>
        </w:rPr>
        <w:t>Before commissioning, the </w:t>
      </w:r>
      <w:r>
        <w:rPr>
          <w:i/>
          <w:sz w:val="24"/>
        </w:rPr>
        <w:t>Primary Transmission Network Service Provider </w:t>
      </w:r>
      <w:r>
        <w:rPr>
          <w:sz w:val="24"/>
        </w:rPr>
        <w:t>must ensure that </w:t>
      </w:r>
      <w:r>
        <w:rPr>
          <w:i/>
          <w:sz w:val="24"/>
        </w:rPr>
        <w:t>contestable IUSA components </w:t>
      </w:r>
      <w:r>
        <w:rPr>
          <w:sz w:val="24"/>
        </w:rPr>
        <w:t>are built to the standards specified in the functional specification provided under clause 5.3.3(b)(9) and the </w:t>
      </w:r>
      <w:r>
        <w:rPr>
          <w:i/>
          <w:sz w:val="24"/>
        </w:rPr>
        <w:t>Connection Applicant </w:t>
      </w:r>
      <w:r>
        <w:rPr>
          <w:sz w:val="24"/>
        </w:rPr>
        <w:t>for the </w:t>
      </w:r>
      <w:r>
        <w:rPr>
          <w:i/>
          <w:sz w:val="24"/>
        </w:rPr>
        <w:t>identified user shared asset </w:t>
      </w:r>
      <w:r>
        <w:rPr>
          <w:sz w:val="24"/>
        </w:rPr>
        <w:t>must provide access to the </w:t>
      </w:r>
      <w:r>
        <w:rPr>
          <w:i/>
          <w:sz w:val="24"/>
        </w:rPr>
        <w:t>Primary Transmission Network Service Provider </w:t>
      </w:r>
      <w:r>
        <w:rPr>
          <w:sz w:val="24"/>
        </w:rPr>
        <w:t>to make inspections, and agree to such tests, as is reasonably required for that purpose.</w:t>
      </w:r>
    </w:p>
    <w:p>
      <w:pPr>
        <w:pStyle w:val="ListParagraph"/>
        <w:numPr>
          <w:ilvl w:val="3"/>
          <w:numId w:val="198"/>
        </w:numPr>
        <w:tabs>
          <w:tab w:pos="1919" w:val="left" w:leader="none"/>
        </w:tabs>
        <w:spacing w:line="240" w:lineRule="auto" w:before="120" w:after="0"/>
        <w:ind w:left="1919" w:right="415" w:hanging="567"/>
        <w:jc w:val="both"/>
        <w:rPr>
          <w:sz w:val="24"/>
        </w:rPr>
      </w:pPr>
      <w:r>
        <w:rPr>
          <w:sz w:val="24"/>
        </w:rPr>
        <w:t>The </w:t>
      </w:r>
      <w:r>
        <w:rPr>
          <w:i/>
          <w:sz w:val="24"/>
        </w:rPr>
        <w:t>Connection Applicant </w:t>
      </w:r>
      <w:r>
        <w:rPr>
          <w:sz w:val="24"/>
        </w:rPr>
        <w:t>for the </w:t>
      </w:r>
      <w:r>
        <w:rPr>
          <w:i/>
          <w:sz w:val="24"/>
        </w:rPr>
        <w:t>identified user shared asset </w:t>
      </w:r>
      <w:r>
        <w:rPr>
          <w:sz w:val="24"/>
        </w:rPr>
        <w:t>must pay the reasonable costs of inspections and tests which are reasonably required by the </w:t>
      </w:r>
      <w:r>
        <w:rPr>
          <w:i/>
          <w:sz w:val="24"/>
        </w:rPr>
        <w:t>Transmission Network Service Provider </w:t>
      </w:r>
      <w:r>
        <w:rPr>
          <w:sz w:val="24"/>
        </w:rPr>
        <w:t>under paragraph</w:t>
      </w:r>
      <w:r>
        <w:rPr>
          <w:spacing w:val="-6"/>
          <w:sz w:val="24"/>
        </w:rPr>
        <w:t> </w:t>
      </w:r>
      <w:r>
        <w:rPr>
          <w:sz w:val="24"/>
        </w:rPr>
        <w:t>(a).</w:t>
      </w:r>
    </w:p>
    <w:p>
      <w:pPr>
        <w:pStyle w:val="BodyText"/>
        <w:spacing w:before="10"/>
        <w:ind w:firstLine="0"/>
        <w:jc w:val="left"/>
        <w:rPr>
          <w:sz w:val="20"/>
        </w:rPr>
      </w:pPr>
    </w:p>
    <w:p>
      <w:pPr>
        <w:pStyle w:val="Heading3"/>
        <w:numPr>
          <w:ilvl w:val="1"/>
          <w:numId w:val="197"/>
        </w:numPr>
        <w:tabs>
          <w:tab w:pos="1351" w:val="left" w:leader="none"/>
          <w:tab w:pos="1353" w:val="left" w:leader="none"/>
        </w:tabs>
        <w:spacing w:line="240" w:lineRule="auto" w:before="0" w:after="0"/>
        <w:ind w:left="1352" w:right="0" w:hanging="1135"/>
        <w:jc w:val="left"/>
      </w:pPr>
      <w:bookmarkStart w:name="5.8 Commissioning" w:id="608"/>
      <w:bookmarkEnd w:id="608"/>
      <w:r>
        <w:rPr>
          <w:b w:val="0"/>
        </w:rPr>
      </w:r>
      <w:bookmarkStart w:name="_bookmark242" w:id="609"/>
      <w:bookmarkEnd w:id="609"/>
      <w:r>
        <w:rPr>
          <w:b w:val="0"/>
        </w:rPr>
      </w:r>
      <w:bookmarkStart w:name="_bookmark242" w:id="610"/>
      <w:bookmarkEnd w:id="610"/>
      <w:r>
        <w:rPr/>
        <w:t>Commissioni</w:t>
      </w:r>
      <w:r>
        <w:rPr/>
        <w:t>ng</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8.1 Requirement to inspect and test eq" w:id="611"/>
      <w:bookmarkEnd w:id="611"/>
      <w:r>
        <w:rPr>
          <w:b w:val="0"/>
        </w:rPr>
      </w:r>
      <w:bookmarkStart w:name="_bookmark243" w:id="612"/>
      <w:bookmarkEnd w:id="612"/>
      <w:r>
        <w:rPr>
          <w:b w:val="0"/>
        </w:rPr>
      </w:r>
      <w:bookmarkStart w:name="_bookmark243" w:id="613"/>
      <w:bookmarkEnd w:id="613"/>
      <w:r>
        <w:rPr/>
        <w:t>Requiremen</w:t>
      </w:r>
      <w:r>
        <w:rPr/>
        <w:t>t to inspect and test</w:t>
      </w:r>
      <w:r>
        <w:rPr>
          <w:spacing w:val="-5"/>
        </w:rPr>
        <w:t> </w:t>
      </w:r>
      <w:r>
        <w:rPr/>
        <w:t>equipment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Registered Participant </w:t>
      </w:r>
      <w:r>
        <w:rPr>
          <w:sz w:val="24"/>
        </w:rPr>
        <w:t>must ensure that any of its new or replacement equipment is inspected and tested to demonstrate that it complies with relevant </w:t>
      </w:r>
      <w:r>
        <w:rPr>
          <w:i/>
          <w:sz w:val="24"/>
        </w:rPr>
        <w:t>Australian Standards</w:t>
      </w:r>
      <w:r>
        <w:rPr>
          <w:sz w:val="24"/>
        </w:rPr>
        <w:t>, the </w:t>
      </w:r>
      <w:r>
        <w:rPr>
          <w:i/>
          <w:sz w:val="24"/>
        </w:rPr>
        <w:t>Rules </w:t>
      </w:r>
      <w:r>
        <w:rPr>
          <w:sz w:val="24"/>
        </w:rPr>
        <w:t>and any relevant </w:t>
      </w:r>
      <w:r>
        <w:rPr>
          <w:i/>
          <w:sz w:val="24"/>
        </w:rPr>
        <w:t>connection </w:t>
      </w:r>
      <w:r>
        <w:rPr>
          <w:i/>
          <w:sz w:val="24"/>
        </w:rPr>
        <w:t>agreement </w:t>
      </w:r>
      <w:r>
        <w:rPr>
          <w:sz w:val="24"/>
        </w:rPr>
        <w:t>prior to or within an agreed time after being </w:t>
      </w:r>
      <w:r>
        <w:rPr>
          <w:i/>
          <w:sz w:val="24"/>
        </w:rPr>
        <w:t>connected </w:t>
      </w:r>
      <w:r>
        <w:rPr>
          <w:sz w:val="24"/>
        </w:rPr>
        <w:t>to a </w:t>
      </w:r>
      <w:r>
        <w:rPr>
          <w:i/>
          <w:sz w:val="24"/>
        </w:rPr>
        <w:t>transmission network </w:t>
      </w:r>
      <w:r>
        <w:rPr>
          <w:sz w:val="24"/>
        </w:rPr>
        <w:t>or </w:t>
      </w:r>
      <w:r>
        <w:rPr>
          <w:i/>
          <w:sz w:val="24"/>
        </w:rPr>
        <w:t>distribution network</w:t>
      </w:r>
      <w:r>
        <w:rPr>
          <w:sz w:val="24"/>
        </w:rPr>
        <w:t>, and the relevant </w:t>
      </w:r>
      <w:r>
        <w:rPr>
          <w:i/>
          <w:sz w:val="24"/>
        </w:rPr>
        <w:t>Network </w:t>
      </w:r>
      <w:r>
        <w:rPr>
          <w:i/>
          <w:sz w:val="24"/>
        </w:rPr>
        <w:t>Service Provider </w:t>
      </w:r>
      <w:r>
        <w:rPr>
          <w:sz w:val="24"/>
        </w:rPr>
        <w:t>is entitled to witness such inspections and</w:t>
      </w:r>
      <w:r>
        <w:rPr>
          <w:spacing w:val="-7"/>
          <w:sz w:val="24"/>
        </w:rPr>
        <w:t> </w:t>
      </w:r>
      <w:r>
        <w:rPr>
          <w:sz w:val="24"/>
        </w:rPr>
        <w:t>tests.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Registered Participant </w:t>
      </w:r>
      <w:r>
        <w:rPr>
          <w:sz w:val="24"/>
        </w:rPr>
        <w:t>must produce test certificates on demand by the relevant </w:t>
      </w:r>
      <w:r>
        <w:rPr>
          <w:i/>
          <w:sz w:val="24"/>
        </w:rPr>
        <w:t>Network Service Provider </w:t>
      </w:r>
      <w:r>
        <w:rPr>
          <w:sz w:val="24"/>
        </w:rPr>
        <w:t>showing that the equipment has passed the tests and complies with the standards set out in clause 5.8.1(a) before </w:t>
      </w:r>
      <w:r>
        <w:rPr>
          <w:i/>
          <w:sz w:val="24"/>
        </w:rPr>
        <w:t>connection </w:t>
      </w:r>
      <w:r>
        <w:rPr>
          <w:sz w:val="24"/>
        </w:rPr>
        <w:t>to a </w:t>
      </w:r>
      <w:r>
        <w:rPr>
          <w:i/>
          <w:sz w:val="24"/>
        </w:rPr>
        <w:t>network</w:t>
      </w:r>
      <w:r>
        <w:rPr>
          <w:sz w:val="24"/>
        </w:rPr>
        <w:t>, or within an agreed time</w:t>
      </w:r>
      <w:r>
        <w:rPr>
          <w:spacing w:val="-2"/>
          <w:sz w:val="24"/>
        </w:rPr>
        <w:t> </w:t>
      </w:r>
      <w:r>
        <w:rPr>
          <w:sz w:val="24"/>
        </w:rPr>
        <w:t>thereafter.</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Heading4"/>
        <w:numPr>
          <w:ilvl w:val="2"/>
          <w:numId w:val="197"/>
        </w:numPr>
        <w:tabs>
          <w:tab w:pos="1351" w:val="left" w:leader="none"/>
          <w:tab w:pos="1352" w:val="left" w:leader="none"/>
        </w:tabs>
        <w:spacing w:line="240" w:lineRule="auto" w:before="83" w:after="0"/>
        <w:ind w:left="1351" w:right="0" w:hanging="1134"/>
        <w:jc w:val="left"/>
      </w:pPr>
      <w:bookmarkStart w:name="5.8.2 Co-ordination during commissioning" w:id="614"/>
      <w:bookmarkEnd w:id="614"/>
      <w:r>
        <w:rPr>
          <w:b w:val="0"/>
        </w:rPr>
      </w:r>
      <w:bookmarkStart w:name="_bookmark244" w:id="615"/>
      <w:bookmarkEnd w:id="615"/>
      <w:r>
        <w:rPr>
          <w:b w:val="0"/>
        </w:rPr>
      </w:r>
      <w:bookmarkStart w:name="_bookmark244" w:id="616"/>
      <w:bookmarkEnd w:id="616"/>
      <w:r>
        <w:rPr/>
        <w:t>Co-ordinatio</w:t>
      </w:r>
      <w:r>
        <w:rPr/>
        <w:t>n during</w:t>
      </w:r>
      <w:r>
        <w:rPr>
          <w:spacing w:val="-2"/>
        </w:rPr>
        <w:t> </w:t>
      </w:r>
      <w:r>
        <w:rPr/>
        <w:t>commissioning</w:t>
      </w:r>
    </w:p>
    <w:p>
      <w:pPr>
        <w:spacing w:before="120"/>
        <w:ind w:left="1352" w:right="414" w:firstLine="0"/>
        <w:jc w:val="both"/>
        <w:rPr>
          <w:sz w:val="24"/>
        </w:rPr>
      </w:pPr>
      <w:r>
        <w:rPr>
          <w:sz w:val="24"/>
        </w:rPr>
        <w:t>A </w:t>
      </w:r>
      <w:r>
        <w:rPr>
          <w:i/>
          <w:sz w:val="24"/>
        </w:rPr>
        <w:t>Registered Participant </w:t>
      </w:r>
      <w:r>
        <w:rPr>
          <w:sz w:val="24"/>
        </w:rPr>
        <w:t>seeking to </w:t>
      </w:r>
      <w:r>
        <w:rPr>
          <w:i/>
          <w:sz w:val="24"/>
        </w:rPr>
        <w:t>connect </w:t>
      </w:r>
      <w:r>
        <w:rPr>
          <w:sz w:val="24"/>
        </w:rPr>
        <w:t>to a </w:t>
      </w:r>
      <w:r>
        <w:rPr>
          <w:i/>
          <w:sz w:val="24"/>
        </w:rPr>
        <w:t>network </w:t>
      </w:r>
      <w:r>
        <w:rPr>
          <w:sz w:val="24"/>
        </w:rPr>
        <w:t>must co-operate with the relevant </w:t>
      </w:r>
      <w:r>
        <w:rPr>
          <w:i/>
          <w:sz w:val="24"/>
        </w:rPr>
        <w:t>Network Service Provider</w:t>
      </w:r>
      <w:r>
        <w:rPr>
          <w:sz w:val="24"/>
        </w:rPr>
        <w:t>(s) and </w:t>
      </w:r>
      <w:r>
        <w:rPr>
          <w:i/>
          <w:sz w:val="24"/>
        </w:rPr>
        <w:t>NTESMO </w:t>
      </w:r>
      <w:r>
        <w:rPr>
          <w:sz w:val="24"/>
        </w:rPr>
        <w:t>to develop procedures to ensure that the commissioning of the </w:t>
      </w:r>
      <w:r>
        <w:rPr>
          <w:i/>
          <w:sz w:val="24"/>
        </w:rPr>
        <w:t>connection </w:t>
      </w:r>
      <w:r>
        <w:rPr>
          <w:sz w:val="24"/>
        </w:rPr>
        <w:t>and </w:t>
      </w:r>
      <w:r>
        <w:rPr>
          <w:i/>
          <w:sz w:val="24"/>
        </w:rPr>
        <w:t>connected facility </w:t>
      </w:r>
      <w:r>
        <w:rPr>
          <w:sz w:val="24"/>
        </w:rPr>
        <w:t>is carried out in a manner</w:t>
      </w:r>
      <w:r>
        <w:rPr>
          <w:spacing w:val="-1"/>
          <w:sz w:val="24"/>
        </w:rPr>
        <w:t> </w:t>
      </w:r>
      <w:r>
        <w:rPr>
          <w:sz w:val="24"/>
        </w:rPr>
        <w:t>that: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does not adversely affect other </w:t>
      </w:r>
      <w:r>
        <w:rPr>
          <w:i/>
          <w:sz w:val="24"/>
        </w:rPr>
        <w:t>Registered Participants </w:t>
      </w:r>
      <w:r>
        <w:rPr>
          <w:sz w:val="24"/>
        </w:rPr>
        <w:t>or affect </w:t>
      </w:r>
      <w:r>
        <w:rPr>
          <w:i/>
          <w:sz w:val="24"/>
        </w:rPr>
        <w:t>power </w:t>
      </w:r>
      <w:r>
        <w:rPr>
          <w:i/>
          <w:sz w:val="24"/>
        </w:rPr>
        <w:t>system security </w:t>
      </w:r>
      <w:r>
        <w:rPr>
          <w:sz w:val="24"/>
        </w:rPr>
        <w:t>or quality of </w:t>
      </w:r>
      <w:r>
        <w:rPr>
          <w:i/>
          <w:sz w:val="24"/>
        </w:rPr>
        <w:t>supply </w:t>
      </w:r>
      <w:r>
        <w:rPr>
          <w:sz w:val="24"/>
        </w:rPr>
        <w:t>of the </w:t>
      </w:r>
      <w:r>
        <w:rPr>
          <w:i/>
          <w:sz w:val="24"/>
        </w:rPr>
        <w:t>power system</w:t>
      </w:r>
      <w:r>
        <w:rPr>
          <w:sz w:val="24"/>
        </w:rPr>
        <w:t>;</w:t>
      </w:r>
      <w:r>
        <w:rPr>
          <w:spacing w:val="-10"/>
          <w:sz w:val="24"/>
        </w:rPr>
        <w:t> </w:t>
      </w:r>
      <w:r>
        <w:rPr>
          <w:sz w:val="24"/>
        </w:rPr>
        <w:t>and</w:t>
      </w:r>
    </w:p>
    <w:p>
      <w:pPr>
        <w:pStyle w:val="ListParagraph"/>
        <w:numPr>
          <w:ilvl w:val="3"/>
          <w:numId w:val="197"/>
        </w:numPr>
        <w:tabs>
          <w:tab w:pos="1919" w:val="left" w:leader="none"/>
        </w:tabs>
        <w:spacing w:line="240" w:lineRule="auto" w:before="120" w:after="0"/>
        <w:ind w:left="1918" w:right="0" w:hanging="567"/>
        <w:jc w:val="both"/>
        <w:rPr>
          <w:i/>
          <w:sz w:val="24"/>
        </w:rPr>
      </w:pPr>
      <w:r>
        <w:rPr>
          <w:sz w:val="24"/>
        </w:rPr>
        <w:t>minimises</w:t>
      </w:r>
      <w:r>
        <w:rPr>
          <w:spacing w:val="24"/>
          <w:sz w:val="24"/>
        </w:rPr>
        <w:t> </w:t>
      </w:r>
      <w:r>
        <w:rPr>
          <w:sz w:val="24"/>
        </w:rPr>
        <w:t>the</w:t>
      </w:r>
      <w:r>
        <w:rPr>
          <w:spacing w:val="25"/>
          <w:sz w:val="24"/>
        </w:rPr>
        <w:t> </w:t>
      </w:r>
      <w:r>
        <w:rPr>
          <w:sz w:val="24"/>
        </w:rPr>
        <w:t>threat</w:t>
      </w:r>
      <w:r>
        <w:rPr>
          <w:spacing w:val="24"/>
          <w:sz w:val="24"/>
        </w:rPr>
        <w:t> </w:t>
      </w:r>
      <w:r>
        <w:rPr>
          <w:sz w:val="24"/>
        </w:rPr>
        <w:t>of</w:t>
      </w:r>
      <w:r>
        <w:rPr>
          <w:spacing w:val="25"/>
          <w:sz w:val="24"/>
        </w:rPr>
        <w:t> </w:t>
      </w:r>
      <w:r>
        <w:rPr>
          <w:sz w:val="24"/>
        </w:rPr>
        <w:t>damage</w:t>
      </w:r>
      <w:r>
        <w:rPr>
          <w:spacing w:val="24"/>
          <w:sz w:val="24"/>
        </w:rPr>
        <w:t> </w:t>
      </w:r>
      <w:r>
        <w:rPr>
          <w:sz w:val="24"/>
        </w:rPr>
        <w:t>to</w:t>
      </w:r>
      <w:r>
        <w:rPr>
          <w:spacing w:val="25"/>
          <w:sz w:val="24"/>
        </w:rPr>
        <w:t> </w:t>
      </w:r>
      <w:r>
        <w:rPr>
          <w:sz w:val="24"/>
        </w:rPr>
        <w:t>any</w:t>
      </w:r>
      <w:r>
        <w:rPr>
          <w:spacing w:val="25"/>
          <w:sz w:val="24"/>
        </w:rPr>
        <w:t> </w:t>
      </w:r>
      <w:r>
        <w:rPr>
          <w:sz w:val="24"/>
        </w:rPr>
        <w:t>other</w:t>
      </w:r>
      <w:r>
        <w:rPr>
          <w:spacing w:val="24"/>
          <w:sz w:val="24"/>
        </w:rPr>
        <w:t> </w:t>
      </w:r>
      <w:r>
        <w:rPr>
          <w:i/>
          <w:sz w:val="24"/>
        </w:rPr>
        <w:t>Registered</w:t>
      </w:r>
      <w:r>
        <w:rPr>
          <w:i/>
          <w:spacing w:val="25"/>
          <w:sz w:val="24"/>
        </w:rPr>
        <w:t> </w:t>
      </w:r>
      <w:r>
        <w:rPr>
          <w:i/>
          <w:sz w:val="24"/>
        </w:rPr>
        <w:t>Participant's</w:t>
      </w:r>
    </w:p>
    <w:p>
      <w:pPr>
        <w:pStyle w:val="BodyText"/>
        <w:spacing w:before="0"/>
        <w:ind w:left="1919" w:firstLine="0"/>
        <w:jc w:val="left"/>
      </w:pPr>
      <w:r>
        <w:rPr/>
        <w:t>equipment.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8.3 Control and protection settings fo" w:id="617"/>
      <w:bookmarkEnd w:id="617"/>
      <w:r>
        <w:rPr>
          <w:b w:val="0"/>
        </w:rPr>
      </w:r>
      <w:bookmarkStart w:name="_bookmark245" w:id="618"/>
      <w:bookmarkEnd w:id="618"/>
      <w:r>
        <w:rPr>
          <w:b w:val="0"/>
        </w:rPr>
      </w:r>
      <w:bookmarkStart w:name="_bookmark245" w:id="619"/>
      <w:bookmarkEnd w:id="619"/>
      <w:r>
        <w:rPr/>
        <w:t>Contro</w:t>
      </w:r>
      <w:r>
        <w:rPr/>
        <w:t>l and protection settings for</w:t>
      </w:r>
      <w:r>
        <w:rPr>
          <w:spacing w:val="-5"/>
        </w:rPr>
        <w:t> </w:t>
      </w:r>
      <w:r>
        <w:rPr/>
        <w:t>equipment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application of this clause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Not less than 3 months prior to the proposed commencement of commissioning by a </w:t>
      </w:r>
      <w:r>
        <w:rPr>
          <w:i/>
          <w:sz w:val="24"/>
        </w:rPr>
        <w:t>Registered Participant </w:t>
      </w:r>
      <w:r>
        <w:rPr>
          <w:sz w:val="24"/>
        </w:rPr>
        <w:t>of any new or replacement equipment that could reasonably be expected to alter performance of the </w:t>
      </w:r>
      <w:r>
        <w:rPr>
          <w:i/>
          <w:sz w:val="24"/>
        </w:rPr>
        <w:t>power system </w:t>
      </w:r>
      <w:r>
        <w:rPr>
          <w:sz w:val="24"/>
        </w:rPr>
        <w:t>(other than replacement by identical equipment), the </w:t>
      </w:r>
      <w:r>
        <w:rPr>
          <w:i/>
          <w:sz w:val="24"/>
        </w:rPr>
        <w:t>Registered Participant </w:t>
      </w:r>
      <w:r>
        <w:rPr>
          <w:sz w:val="24"/>
        </w:rPr>
        <w:t>must submit to the relevant </w:t>
      </w:r>
      <w:r>
        <w:rPr>
          <w:i/>
          <w:sz w:val="24"/>
        </w:rPr>
        <w:t>Network Service </w:t>
      </w:r>
      <w:r>
        <w:rPr>
          <w:i/>
          <w:sz w:val="24"/>
        </w:rPr>
        <w:t>Provider </w:t>
      </w:r>
      <w:r>
        <w:rPr>
          <w:sz w:val="24"/>
        </w:rPr>
        <w:t>sufficient design information including proposed parameter settings to allow critical assessment including analytical modelling of the effect of the new or replacement equipment on the performance of</w:t>
      </w:r>
      <w:r>
        <w:rPr>
          <w:spacing w:val="34"/>
          <w:sz w:val="24"/>
        </w:rPr>
        <w:t> </w:t>
      </w:r>
      <w:r>
        <w:rPr>
          <w:sz w:val="24"/>
        </w:rPr>
        <w:t>the </w:t>
      </w:r>
      <w:r>
        <w:rPr>
          <w:i/>
          <w:sz w:val="24"/>
        </w:rPr>
        <w:t>power</w:t>
      </w:r>
      <w:r>
        <w:rPr>
          <w:i/>
          <w:spacing w:val="-1"/>
          <w:sz w:val="24"/>
        </w:rPr>
        <w:t> </w:t>
      </w:r>
      <w:r>
        <w:rPr>
          <w:i/>
          <w:sz w:val="24"/>
        </w:rPr>
        <w:t>system</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The </w:t>
      </w:r>
      <w:r>
        <w:rPr>
          <w:i/>
          <w:sz w:val="24"/>
        </w:rPr>
        <w:t>Network Service Provider</w:t>
      </w:r>
      <w:r>
        <w:rPr>
          <w:i/>
          <w:spacing w:val="-1"/>
          <w:sz w:val="24"/>
        </w:rPr>
        <w:t> </w:t>
      </w:r>
      <w:r>
        <w:rPr>
          <w:sz w:val="24"/>
        </w:rPr>
        <w:t>must: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consult with other </w:t>
      </w:r>
      <w:r>
        <w:rPr>
          <w:i/>
          <w:sz w:val="24"/>
        </w:rPr>
        <w:t>Registered Participants </w:t>
      </w:r>
      <w:r>
        <w:rPr>
          <w:sz w:val="24"/>
        </w:rPr>
        <w:t>and </w:t>
      </w:r>
      <w:r>
        <w:rPr>
          <w:i/>
          <w:sz w:val="24"/>
        </w:rPr>
        <w:t>NTESMO </w:t>
      </w:r>
      <w:r>
        <w:rPr>
          <w:sz w:val="24"/>
        </w:rPr>
        <w:t>as appropriate;</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within 20 </w:t>
      </w:r>
      <w:r>
        <w:rPr>
          <w:i/>
          <w:sz w:val="24"/>
        </w:rPr>
        <w:t>business days </w:t>
      </w:r>
      <w:r>
        <w:rPr>
          <w:sz w:val="24"/>
        </w:rPr>
        <w:t>of receipt of the design information under clause 5.8.3(a), notify the </w:t>
      </w:r>
      <w:r>
        <w:rPr>
          <w:i/>
          <w:sz w:val="24"/>
        </w:rPr>
        <w:t>Registered Participant </w:t>
      </w:r>
      <w:r>
        <w:rPr>
          <w:sz w:val="24"/>
        </w:rPr>
        <w:t>and </w:t>
      </w:r>
      <w:r>
        <w:rPr>
          <w:i/>
          <w:sz w:val="24"/>
        </w:rPr>
        <w:t>NTESMO </w:t>
      </w:r>
      <w:r>
        <w:rPr>
          <w:sz w:val="24"/>
        </w:rPr>
        <w:t>of any comments on the proposed parameter settings for the new or replacement</w:t>
      </w:r>
      <w:r>
        <w:rPr>
          <w:spacing w:val="-1"/>
          <w:sz w:val="24"/>
        </w:rPr>
        <w:t> </w:t>
      </w:r>
      <w:r>
        <w:rPr>
          <w:sz w:val="24"/>
        </w:rPr>
        <w:t>equipment.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the </w:t>
      </w:r>
      <w:r>
        <w:rPr>
          <w:i/>
          <w:sz w:val="24"/>
        </w:rPr>
        <w:t>Network Service Provider's </w:t>
      </w:r>
      <w:r>
        <w:rPr>
          <w:sz w:val="24"/>
        </w:rPr>
        <w:t>comments include alternative parameter settings for the new or replacement equipment, then the </w:t>
      </w:r>
      <w:r>
        <w:rPr>
          <w:i/>
          <w:sz w:val="24"/>
        </w:rPr>
        <w:t>Registered </w:t>
      </w:r>
      <w:r>
        <w:rPr>
          <w:i/>
          <w:sz w:val="24"/>
        </w:rPr>
        <w:t>Participant </w:t>
      </w:r>
      <w:r>
        <w:rPr>
          <w:sz w:val="24"/>
        </w:rPr>
        <w:t>must notify the </w:t>
      </w:r>
      <w:r>
        <w:rPr>
          <w:i/>
          <w:sz w:val="24"/>
        </w:rPr>
        <w:t>Network Service Provider </w:t>
      </w:r>
      <w:r>
        <w:rPr>
          <w:sz w:val="24"/>
        </w:rPr>
        <w:t>that it either accepts or disagrees with the alternative parameter settings suggested by the </w:t>
      </w:r>
      <w:r>
        <w:rPr>
          <w:i/>
          <w:sz w:val="24"/>
        </w:rPr>
        <w:t>Network Service</w:t>
      </w:r>
      <w:r>
        <w:rPr>
          <w:i/>
          <w:spacing w:val="-1"/>
          <w:sz w:val="24"/>
        </w:rPr>
        <w:t> </w:t>
      </w:r>
      <w:r>
        <w:rPr>
          <w:i/>
          <w:sz w:val="24"/>
        </w:rPr>
        <w:t>Provider</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and the </w:t>
      </w:r>
      <w:r>
        <w:rPr>
          <w:i/>
          <w:sz w:val="24"/>
        </w:rPr>
        <w:t>Registered Participant </w:t>
      </w:r>
      <w:r>
        <w:rPr>
          <w:sz w:val="24"/>
        </w:rPr>
        <w:t>must negotiate parameter settings that are acceptable to them both and if there is any</w:t>
      </w:r>
      <w:r>
        <w:rPr>
          <w:spacing w:val="19"/>
          <w:sz w:val="24"/>
        </w:rPr>
        <w:t> </w:t>
      </w:r>
      <w:r>
        <w:rPr>
          <w:sz w:val="24"/>
        </w:rPr>
        <w:t>unresolved</w:t>
      </w:r>
      <w:r>
        <w:rPr>
          <w:spacing w:val="20"/>
          <w:sz w:val="24"/>
        </w:rPr>
        <w:t> </w:t>
      </w:r>
      <w:r>
        <w:rPr>
          <w:sz w:val="24"/>
        </w:rPr>
        <w:t>disagreement</w:t>
      </w:r>
      <w:r>
        <w:rPr>
          <w:spacing w:val="20"/>
          <w:sz w:val="24"/>
        </w:rPr>
        <w:t> </w:t>
      </w:r>
      <w:r>
        <w:rPr>
          <w:sz w:val="24"/>
        </w:rPr>
        <w:t>between</w:t>
      </w:r>
      <w:r>
        <w:rPr>
          <w:spacing w:val="19"/>
          <w:sz w:val="24"/>
        </w:rPr>
        <w:t> </w:t>
      </w:r>
      <w:r>
        <w:rPr>
          <w:sz w:val="24"/>
        </w:rPr>
        <w:t>them,</w:t>
      </w:r>
      <w:r>
        <w:rPr>
          <w:spacing w:val="20"/>
          <w:sz w:val="24"/>
        </w:rPr>
        <w:t> </w:t>
      </w:r>
      <w:r>
        <w:rPr>
          <w:sz w:val="24"/>
        </w:rPr>
        <w:t>the</w:t>
      </w:r>
      <w:r>
        <w:rPr>
          <w:spacing w:val="20"/>
          <w:sz w:val="24"/>
        </w:rPr>
        <w:t> </w:t>
      </w:r>
      <w:r>
        <w:rPr>
          <w:sz w:val="24"/>
        </w:rPr>
        <w:t>matter</w:t>
      </w:r>
      <w:r>
        <w:rPr>
          <w:spacing w:val="19"/>
          <w:sz w:val="24"/>
        </w:rPr>
        <w:t> </w:t>
      </w:r>
      <w:r>
        <w:rPr>
          <w:sz w:val="24"/>
        </w:rPr>
        <w:t>must</w:t>
      </w:r>
      <w:r>
        <w:rPr>
          <w:spacing w:val="20"/>
          <w:sz w:val="24"/>
        </w:rPr>
        <w:t> </w:t>
      </w:r>
      <w:r>
        <w:rPr>
          <w:sz w:val="24"/>
        </w:rPr>
        <w:t>be</w:t>
      </w:r>
      <w:r>
        <w:rPr>
          <w:spacing w:val="20"/>
          <w:sz w:val="24"/>
        </w:rPr>
        <w:t> </w:t>
      </w:r>
      <w:r>
        <w:rPr>
          <w:sz w:val="24"/>
        </w:rPr>
        <w:t>referred</w:t>
      </w:r>
      <w:r>
        <w:rPr>
          <w:spacing w:val="20"/>
          <w:sz w:val="24"/>
        </w:rPr>
        <w:t> </w:t>
      </w:r>
      <w:r>
        <w:rPr>
          <w:sz w:val="24"/>
        </w:rPr>
        <w:t>to</w:t>
      </w:r>
    </w:p>
    <w:p>
      <w:pPr>
        <w:spacing w:after="0" w:line="240" w:lineRule="auto"/>
        <w:jc w:val="both"/>
        <w:rPr>
          <w:sz w:val="24"/>
        </w:rPr>
        <w:sectPr>
          <w:pgSz w:w="11910" w:h="16840"/>
          <w:pgMar w:header="686" w:footer="637" w:top="1320" w:bottom="820" w:left="1200" w:right="1000"/>
        </w:sectPr>
      </w:pPr>
    </w:p>
    <w:p>
      <w:pPr>
        <w:pStyle w:val="BodyText"/>
        <w:spacing w:before="83"/>
        <w:ind w:left="1919" w:right="417" w:firstLine="0"/>
      </w:pPr>
      <w:r>
        <w:rPr>
          <w:i/>
        </w:rPr>
        <w:t>NTESMO </w:t>
      </w:r>
      <w:r>
        <w:rPr/>
        <w:t>whose decision must be given within 20 </w:t>
      </w:r>
      <w:r>
        <w:rPr>
          <w:i/>
        </w:rPr>
        <w:t>business days </w:t>
      </w:r>
      <w:r>
        <w:rPr/>
        <w:t>of referral of the dispute and, once a decision is given, it is to be final.</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Registered Participant </w:t>
      </w:r>
      <w:r>
        <w:rPr>
          <w:sz w:val="24"/>
        </w:rPr>
        <w:t>and the </w:t>
      </w:r>
      <w:r>
        <w:rPr>
          <w:i/>
          <w:sz w:val="24"/>
        </w:rPr>
        <w:t>Network Service Provider </w:t>
      </w:r>
      <w:r>
        <w:rPr>
          <w:sz w:val="24"/>
        </w:rPr>
        <w:t>must </w:t>
      </w:r>
      <w:r>
        <w:rPr>
          <w:spacing w:val="-5"/>
          <w:sz w:val="24"/>
        </w:rPr>
        <w:t>co- </w:t>
      </w:r>
      <w:r>
        <w:rPr>
          <w:sz w:val="24"/>
        </w:rPr>
        <w:t>operate with each other to ensure that adequate grading of protection is achieved so that faults within the </w:t>
      </w:r>
      <w:r>
        <w:rPr>
          <w:i/>
          <w:sz w:val="24"/>
        </w:rPr>
        <w:t>Registered Participant's facility </w:t>
      </w:r>
      <w:r>
        <w:rPr>
          <w:sz w:val="24"/>
        </w:rPr>
        <w:t>are cleared without adverse effects on the </w:t>
      </w:r>
      <w:r>
        <w:rPr>
          <w:i/>
          <w:sz w:val="24"/>
        </w:rPr>
        <w:t>power</w:t>
      </w:r>
      <w:r>
        <w:rPr>
          <w:i/>
          <w:spacing w:val="-4"/>
          <w:sz w:val="24"/>
        </w:rPr>
        <w:t> </w:t>
      </w:r>
      <w:r>
        <w:rPr>
          <w:i/>
          <w:sz w:val="24"/>
        </w:rPr>
        <w:t>system</w:t>
      </w:r>
      <w:r>
        <w:rPr>
          <w:sz w:val="24"/>
        </w:rPr>
        <w: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8.4 Commissioning program" w:id="620"/>
      <w:bookmarkEnd w:id="620"/>
      <w:r>
        <w:rPr>
          <w:b w:val="0"/>
        </w:rPr>
      </w:r>
      <w:bookmarkStart w:name="_bookmark246" w:id="621"/>
      <w:bookmarkEnd w:id="621"/>
      <w:r>
        <w:rPr>
          <w:b w:val="0"/>
        </w:rPr>
      </w:r>
      <w:bookmarkStart w:name="_bookmark246" w:id="622"/>
      <w:bookmarkEnd w:id="622"/>
      <w:r>
        <w:rPr/>
        <w:t>Commissionin</w:t>
      </w:r>
      <w:r>
        <w:rPr/>
        <w:t>g</w:t>
      </w:r>
      <w:r>
        <w:rPr>
          <w:spacing w:val="-2"/>
        </w:rPr>
        <w:t> </w:t>
      </w:r>
      <w:r>
        <w:rPr/>
        <w:t>program</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Prior to the proposed commencement of commissioning by a </w:t>
      </w:r>
      <w:r>
        <w:rPr>
          <w:i/>
          <w:sz w:val="24"/>
        </w:rPr>
        <w:t>Registered </w:t>
      </w:r>
      <w:r>
        <w:rPr>
          <w:i/>
          <w:sz w:val="24"/>
        </w:rPr>
        <w:t>Participant </w:t>
      </w:r>
      <w:r>
        <w:rPr>
          <w:sz w:val="24"/>
        </w:rPr>
        <w:t>of any new or replacement equipment that could reasonably be expected to alter performance of the </w:t>
      </w:r>
      <w:r>
        <w:rPr>
          <w:i/>
          <w:sz w:val="24"/>
        </w:rPr>
        <w:t>power system</w:t>
      </w:r>
      <w:r>
        <w:rPr>
          <w:sz w:val="24"/>
        </w:rPr>
        <w:t>, the </w:t>
      </w:r>
      <w:r>
        <w:rPr>
          <w:i/>
          <w:sz w:val="24"/>
        </w:rPr>
        <w:t>Registered </w:t>
      </w:r>
      <w:r>
        <w:rPr>
          <w:i/>
          <w:sz w:val="24"/>
        </w:rPr>
        <w:t>Participant </w:t>
      </w:r>
      <w:r>
        <w:rPr>
          <w:sz w:val="24"/>
        </w:rPr>
        <w:t>must advise the relevant </w:t>
      </w:r>
      <w:r>
        <w:rPr>
          <w:i/>
          <w:sz w:val="24"/>
        </w:rPr>
        <w:t>Network Service Provider </w:t>
      </w:r>
      <w:r>
        <w:rPr>
          <w:sz w:val="24"/>
        </w:rPr>
        <w:t>and </w:t>
      </w:r>
      <w:r>
        <w:rPr>
          <w:i/>
          <w:sz w:val="24"/>
        </w:rPr>
        <w:t>NTESMO </w:t>
      </w:r>
      <w:r>
        <w:rPr>
          <w:sz w:val="24"/>
        </w:rPr>
        <w:t>in writing of the commissioning program including test procedures and proposed test equipment to be used in the</w:t>
      </w:r>
      <w:r>
        <w:rPr>
          <w:spacing w:val="-3"/>
          <w:sz w:val="24"/>
        </w:rPr>
        <w:t> </w:t>
      </w:r>
      <w:r>
        <w:rPr>
          <w:sz w:val="24"/>
        </w:rPr>
        <w:t>commissioning.</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Notice under clause 5.8.4(a) must be given not less than 3 months prior to commencement of commissioning for a </w:t>
      </w:r>
      <w:r>
        <w:rPr>
          <w:i/>
          <w:sz w:val="24"/>
        </w:rPr>
        <w:t>connection </w:t>
      </w:r>
      <w:r>
        <w:rPr>
          <w:sz w:val="24"/>
        </w:rPr>
        <w:t>to a </w:t>
      </w:r>
      <w:r>
        <w:rPr>
          <w:i/>
          <w:sz w:val="24"/>
        </w:rPr>
        <w:t>transmission </w:t>
      </w:r>
      <w:r>
        <w:rPr>
          <w:i/>
          <w:sz w:val="24"/>
        </w:rPr>
        <w:t>network </w:t>
      </w:r>
      <w:r>
        <w:rPr>
          <w:sz w:val="24"/>
        </w:rPr>
        <w:t>and not less than 1 month prior to commencement of commissioning for a </w:t>
      </w:r>
      <w:r>
        <w:rPr>
          <w:i/>
          <w:sz w:val="24"/>
        </w:rPr>
        <w:t>connection </w:t>
      </w:r>
      <w:r>
        <w:rPr>
          <w:sz w:val="24"/>
        </w:rPr>
        <w:t>to a </w:t>
      </w:r>
      <w:r>
        <w:rPr>
          <w:i/>
          <w:sz w:val="24"/>
        </w:rPr>
        <w:t>distribution</w:t>
      </w:r>
      <w:r>
        <w:rPr>
          <w:i/>
          <w:spacing w:val="-1"/>
          <w:sz w:val="24"/>
        </w:rPr>
        <w:t> </w:t>
      </w:r>
      <w:r>
        <w:rPr>
          <w:i/>
          <w:sz w:val="24"/>
        </w:rPr>
        <w:t>network</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relevant  </w:t>
      </w:r>
      <w:r>
        <w:rPr>
          <w:i/>
          <w:sz w:val="24"/>
        </w:rPr>
        <w:t>Network  Service  Provider   </w:t>
      </w:r>
      <w:r>
        <w:rPr>
          <w:sz w:val="24"/>
        </w:rPr>
        <w:t>and   </w:t>
      </w:r>
      <w:r>
        <w:rPr>
          <w:i/>
          <w:sz w:val="24"/>
        </w:rPr>
        <w:t>NTESMO   </w:t>
      </w:r>
      <w:r>
        <w:rPr>
          <w:sz w:val="24"/>
        </w:rPr>
        <w:t>must, </w:t>
      </w:r>
      <w:r>
        <w:rPr>
          <w:spacing w:val="38"/>
          <w:sz w:val="24"/>
        </w:rPr>
        <w:t> </w:t>
      </w:r>
      <w:r>
        <w:rPr>
          <w:sz w:val="24"/>
        </w:rPr>
        <w:t>within 15 </w:t>
      </w:r>
      <w:r>
        <w:rPr>
          <w:i/>
          <w:sz w:val="24"/>
        </w:rPr>
        <w:t>business days </w:t>
      </w:r>
      <w:r>
        <w:rPr>
          <w:sz w:val="24"/>
        </w:rPr>
        <w:t>of receipt of such advice under clause 5.8.4(a), notify the </w:t>
      </w:r>
      <w:r>
        <w:rPr>
          <w:i/>
          <w:sz w:val="24"/>
        </w:rPr>
        <w:t>Registered Participant </w:t>
      </w:r>
      <w:r>
        <w:rPr>
          <w:sz w:val="24"/>
        </w:rPr>
        <w:t>either that</w:t>
      </w:r>
      <w:r>
        <w:rPr>
          <w:spacing w:val="-2"/>
          <w:sz w:val="24"/>
        </w:rPr>
        <w:t> </w:t>
      </w:r>
      <w:r>
        <w:rPr>
          <w:sz w:val="24"/>
        </w:rPr>
        <w:t>they:</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agree with the proposed commissioning program;</w:t>
      </w:r>
      <w:r>
        <w:rPr>
          <w:spacing w:val="-3"/>
          <w:sz w:val="24"/>
        </w:rPr>
        <w:t> </w:t>
      </w:r>
      <w:r>
        <w:rPr>
          <w:sz w:val="24"/>
        </w:rPr>
        <w:t>or</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require changes to it in the interest of maintaining </w:t>
      </w:r>
      <w:r>
        <w:rPr>
          <w:i/>
          <w:sz w:val="24"/>
        </w:rPr>
        <w:t>power system </w:t>
      </w:r>
      <w:r>
        <w:rPr>
          <w:i/>
          <w:sz w:val="24"/>
        </w:rPr>
        <w:t>security</w:t>
      </w:r>
      <w:r>
        <w:rPr>
          <w:sz w:val="24"/>
        </w:rPr>
        <w:t>, safety or quality of</w:t>
      </w:r>
      <w:r>
        <w:rPr>
          <w:spacing w:val="-2"/>
          <w:sz w:val="24"/>
        </w:rPr>
        <w:t> </w:t>
      </w:r>
      <w:r>
        <w:rPr>
          <w:i/>
          <w:sz w:val="24"/>
        </w:rPr>
        <w:t>supply</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the relevant </w:t>
      </w:r>
      <w:r>
        <w:rPr>
          <w:i/>
          <w:sz w:val="24"/>
        </w:rPr>
        <w:t>Network Service Provider </w:t>
      </w:r>
      <w:r>
        <w:rPr>
          <w:sz w:val="24"/>
        </w:rPr>
        <w:t>or </w:t>
      </w:r>
      <w:r>
        <w:rPr>
          <w:i/>
          <w:sz w:val="24"/>
        </w:rPr>
        <w:t>NTESMO </w:t>
      </w:r>
      <w:r>
        <w:rPr>
          <w:sz w:val="24"/>
        </w:rPr>
        <w:t>require changes to </w:t>
      </w:r>
      <w:r>
        <w:rPr>
          <w:spacing w:val="-4"/>
          <w:sz w:val="24"/>
        </w:rPr>
        <w:t>the </w:t>
      </w:r>
      <w:r>
        <w:rPr>
          <w:sz w:val="24"/>
        </w:rPr>
        <w:t>proposed commissioning program, then the parties must co-operate to reach agreement and finalise the commissioning program within a reasonable period.</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must not commence the commissioning until the commissioning program has been finalised and the relevant </w:t>
      </w:r>
      <w:r>
        <w:rPr>
          <w:i/>
          <w:sz w:val="24"/>
        </w:rPr>
        <w:t>Network Service </w:t>
      </w:r>
      <w:r>
        <w:rPr>
          <w:i/>
          <w:sz w:val="24"/>
        </w:rPr>
        <w:t>Provider </w:t>
      </w:r>
      <w:r>
        <w:rPr>
          <w:sz w:val="24"/>
        </w:rPr>
        <w:t>and </w:t>
      </w:r>
      <w:r>
        <w:rPr>
          <w:i/>
          <w:sz w:val="24"/>
        </w:rPr>
        <w:t>NTESMO </w:t>
      </w:r>
      <w:r>
        <w:rPr>
          <w:sz w:val="24"/>
        </w:rPr>
        <w:t>must not unreasonably delay finalising a commissioning</w:t>
      </w:r>
      <w:r>
        <w:rPr>
          <w:spacing w:val="-1"/>
          <w:sz w:val="24"/>
        </w:rPr>
        <w:t> </w:t>
      </w:r>
      <w:r>
        <w:rPr>
          <w:sz w:val="24"/>
        </w:rPr>
        <w:t>program.</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8.5 Commissioning tests" w:id="623"/>
      <w:bookmarkEnd w:id="623"/>
      <w:r>
        <w:rPr>
          <w:b w:val="0"/>
        </w:rPr>
      </w:r>
      <w:bookmarkStart w:name="_bookmark247" w:id="624"/>
      <w:bookmarkEnd w:id="624"/>
      <w:r>
        <w:rPr>
          <w:b w:val="0"/>
        </w:rPr>
      </w:r>
      <w:bookmarkStart w:name="_bookmark247" w:id="625"/>
      <w:bookmarkEnd w:id="625"/>
      <w:r>
        <w:rPr/>
        <w:t>Commissionin</w:t>
      </w:r>
      <w:r>
        <w:rPr/>
        <w:t>g</w:t>
      </w:r>
      <w:r>
        <w:rPr>
          <w:spacing w:val="-2"/>
        </w:rPr>
        <w:t> </w:t>
      </w:r>
      <w:r>
        <w:rPr/>
        <w:t>tests</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relevant </w:t>
      </w:r>
      <w:r>
        <w:rPr>
          <w:i/>
          <w:sz w:val="24"/>
        </w:rPr>
        <w:t>Network Service Provider </w:t>
      </w:r>
      <w:r>
        <w:rPr>
          <w:sz w:val="24"/>
        </w:rPr>
        <w:t>and/or </w:t>
      </w:r>
      <w:r>
        <w:rPr>
          <w:i/>
          <w:sz w:val="24"/>
        </w:rPr>
        <w:t>NTESMO </w:t>
      </w:r>
      <w:r>
        <w:rPr>
          <w:sz w:val="24"/>
        </w:rPr>
        <w:t>has the right </w:t>
      </w:r>
      <w:r>
        <w:rPr>
          <w:spacing w:val="-7"/>
          <w:sz w:val="24"/>
        </w:rPr>
        <w:t>to </w:t>
      </w:r>
      <w:r>
        <w:rPr>
          <w:sz w:val="24"/>
        </w:rPr>
        <w:t>witness commissioning tests relating to new or replacement equipment that could reasonably be expected to alter performance of the </w:t>
      </w:r>
      <w:r>
        <w:rPr>
          <w:i/>
          <w:sz w:val="24"/>
        </w:rPr>
        <w:t>power system </w:t>
      </w:r>
      <w:r>
        <w:rPr>
          <w:sz w:val="24"/>
        </w:rPr>
        <w:t>or the accurate </w:t>
      </w:r>
      <w:r>
        <w:rPr>
          <w:i/>
          <w:sz w:val="24"/>
        </w:rPr>
        <w:t>metering </w:t>
      </w:r>
      <w:r>
        <w:rPr>
          <w:sz w:val="24"/>
        </w:rPr>
        <w:t>of</w:t>
      </w:r>
      <w:r>
        <w:rPr>
          <w:spacing w:val="-1"/>
          <w:sz w:val="24"/>
        </w:rPr>
        <w:t> </w:t>
      </w:r>
      <w:r>
        <w:rPr>
          <w:i/>
          <w:sz w:val="24"/>
        </w:rPr>
        <w:t>energy</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relevant </w:t>
      </w:r>
      <w:r>
        <w:rPr>
          <w:i/>
          <w:sz w:val="24"/>
        </w:rPr>
        <w:t>Network Service Provider </w:t>
      </w:r>
      <w:r>
        <w:rPr>
          <w:sz w:val="24"/>
        </w:rPr>
        <w:t>must, within a reasonable period of receiving advice of commissioning tests, notify the </w:t>
      </w:r>
      <w:r>
        <w:rPr>
          <w:i/>
          <w:sz w:val="24"/>
        </w:rPr>
        <w:t>Registered Participant </w:t>
      </w:r>
      <w:r>
        <w:rPr>
          <w:sz w:val="24"/>
        </w:rPr>
        <w:t>whose new or replacement equipment is to be tested under this clause 5.8.5 whether or not</w:t>
      </w:r>
      <w:r>
        <w:rPr>
          <w:spacing w:val="-3"/>
          <w:sz w:val="24"/>
        </w:rPr>
        <w:t> </w:t>
      </w:r>
      <w:r>
        <w:rPr>
          <w:sz w:val="24"/>
        </w:rPr>
        <w:t>it:</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wishes to witness the commissioning tests;</w:t>
      </w:r>
      <w:r>
        <w:rPr>
          <w:spacing w:val="-1"/>
          <w:sz w:val="24"/>
        </w:rPr>
        <w:t> </w:t>
      </w:r>
      <w:r>
        <w:rPr>
          <w:sz w:val="24"/>
        </w:rPr>
        <w:t>and</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agrees with the proposed commissioning</w:t>
      </w:r>
      <w:r>
        <w:rPr>
          <w:spacing w:val="-2"/>
          <w:sz w:val="24"/>
        </w:rPr>
        <w:t> </w:t>
      </w:r>
      <w:r>
        <w:rPr>
          <w:sz w:val="24"/>
        </w:rPr>
        <w:t>times.</w:t>
      </w:r>
    </w:p>
    <w:p>
      <w:pPr>
        <w:spacing w:after="0" w:line="240" w:lineRule="auto"/>
        <w:jc w:val="both"/>
        <w:rPr>
          <w:sz w:val="24"/>
        </w:rPr>
        <w:sectPr>
          <w:pgSz w:w="11910" w:h="16840"/>
          <w:pgMar w:header="686" w:footer="637" w:top="1320" w:bottom="820" w:left="1200" w:right="1000"/>
        </w:sectPr>
      </w:pPr>
    </w:p>
    <w:p>
      <w:pPr>
        <w:pStyle w:val="ListParagraph"/>
        <w:numPr>
          <w:ilvl w:val="3"/>
          <w:numId w:val="197"/>
        </w:numPr>
        <w:tabs>
          <w:tab w:pos="1919" w:val="left" w:leader="none"/>
        </w:tabs>
        <w:spacing w:line="240" w:lineRule="auto" w:before="83" w:after="0"/>
        <w:ind w:left="1919" w:right="414" w:hanging="567"/>
        <w:jc w:val="both"/>
        <w:rPr>
          <w:sz w:val="24"/>
        </w:rPr>
      </w:pPr>
      <w:r>
        <w:rPr>
          <w:sz w:val="24"/>
        </w:rPr>
        <w:t>A </w:t>
      </w:r>
      <w:r>
        <w:rPr>
          <w:i/>
          <w:sz w:val="24"/>
        </w:rPr>
        <w:t>Registered Participant </w:t>
      </w:r>
      <w:r>
        <w:rPr>
          <w:sz w:val="24"/>
        </w:rPr>
        <w:t>whose new or replacement equipment is tested under this clause 5.8.5 must submit to the relevant </w:t>
      </w:r>
      <w:r>
        <w:rPr>
          <w:i/>
          <w:sz w:val="24"/>
        </w:rPr>
        <w:t>Network Service </w:t>
      </w:r>
      <w:r>
        <w:rPr>
          <w:i/>
          <w:sz w:val="24"/>
        </w:rPr>
        <w:t>Provider </w:t>
      </w:r>
      <w:r>
        <w:rPr>
          <w:sz w:val="24"/>
        </w:rPr>
        <w:t>the commissioning test results demonstrating that a new or replacement item of equipment complies with the </w:t>
      </w:r>
      <w:r>
        <w:rPr>
          <w:i/>
          <w:sz w:val="24"/>
        </w:rPr>
        <w:t>Rules </w:t>
      </w:r>
      <w:r>
        <w:rPr>
          <w:sz w:val="24"/>
        </w:rPr>
        <w:t>or the</w:t>
      </w:r>
      <w:r>
        <w:rPr>
          <w:spacing w:val="24"/>
          <w:sz w:val="24"/>
        </w:rPr>
        <w:t> </w:t>
      </w:r>
      <w:r>
        <w:rPr>
          <w:sz w:val="24"/>
        </w:rPr>
        <w:t>relevant </w:t>
      </w:r>
      <w:r>
        <w:rPr>
          <w:i/>
          <w:sz w:val="24"/>
        </w:rPr>
        <w:t>connection agreement </w:t>
      </w:r>
      <w:r>
        <w:rPr>
          <w:sz w:val="24"/>
        </w:rPr>
        <w:t>or both to the satisfaction of the relevant </w:t>
      </w:r>
      <w:r>
        <w:rPr>
          <w:i/>
          <w:sz w:val="24"/>
        </w:rPr>
        <w:t>Network </w:t>
      </w:r>
      <w:r>
        <w:rPr>
          <w:i/>
          <w:sz w:val="24"/>
        </w:rPr>
        <w:t>Service</w:t>
      </w:r>
      <w:r>
        <w:rPr>
          <w:i/>
          <w:spacing w:val="-1"/>
          <w:sz w:val="24"/>
        </w:rPr>
        <w:t> </w:t>
      </w:r>
      <w:r>
        <w:rPr>
          <w:i/>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3" w:hanging="567"/>
        <w:jc w:val="both"/>
        <w:rPr>
          <w:sz w:val="24"/>
        </w:rPr>
      </w:pPr>
      <w:r>
        <w:rPr>
          <w:sz w:val="24"/>
        </w:rPr>
        <w:t>If the commissioning tests conducted in relation to a new or replacement item of equipment demonstrates non-compliance with one or more requirements of the </w:t>
      </w:r>
      <w:r>
        <w:rPr>
          <w:i/>
          <w:sz w:val="24"/>
        </w:rPr>
        <w:t>Rules </w:t>
      </w:r>
      <w:r>
        <w:rPr>
          <w:sz w:val="24"/>
        </w:rPr>
        <w:t>or the relevant </w:t>
      </w:r>
      <w:r>
        <w:rPr>
          <w:i/>
          <w:sz w:val="24"/>
        </w:rPr>
        <w:t>connection agreement </w:t>
      </w:r>
      <w:r>
        <w:rPr>
          <w:sz w:val="24"/>
        </w:rPr>
        <w:t>then </w:t>
      </w:r>
      <w:r>
        <w:rPr>
          <w:spacing w:val="-4"/>
          <w:sz w:val="24"/>
        </w:rPr>
        <w:t>the </w:t>
      </w:r>
      <w:r>
        <w:rPr>
          <w:i/>
          <w:sz w:val="24"/>
        </w:rPr>
        <w:t>Registered Participant </w:t>
      </w:r>
      <w:r>
        <w:rPr>
          <w:sz w:val="24"/>
        </w:rPr>
        <w:t>whose new or replacement equipment was tested under this clause 5.8.5 must promptly meet with the </w:t>
      </w:r>
      <w:r>
        <w:rPr>
          <w:i/>
          <w:sz w:val="24"/>
        </w:rPr>
        <w:t>Network Service </w:t>
      </w:r>
      <w:r>
        <w:rPr>
          <w:i/>
          <w:sz w:val="24"/>
        </w:rPr>
        <w:t>Provider </w:t>
      </w:r>
      <w:r>
        <w:rPr>
          <w:sz w:val="24"/>
        </w:rPr>
        <w:t>to agree on a process aimed at achievement of compliance of the relevant item with the</w:t>
      </w:r>
      <w:r>
        <w:rPr>
          <w:spacing w:val="-1"/>
          <w:sz w:val="24"/>
        </w:rPr>
        <w:t> </w:t>
      </w:r>
      <w:r>
        <w:rPr>
          <w:i/>
          <w:sz w:val="24"/>
        </w:rPr>
        <w:t>Rules</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On request by a </w:t>
      </w:r>
      <w:r>
        <w:rPr>
          <w:i/>
          <w:sz w:val="24"/>
        </w:rPr>
        <w:t>Network Service Provider</w:t>
      </w:r>
      <w:r>
        <w:rPr>
          <w:sz w:val="24"/>
        </w:rPr>
        <w:t>, </w:t>
      </w:r>
      <w:r>
        <w:rPr>
          <w:i/>
          <w:sz w:val="24"/>
        </w:rPr>
        <w:t>NTESMO </w:t>
      </w:r>
      <w:r>
        <w:rPr>
          <w:sz w:val="24"/>
        </w:rPr>
        <w:t>may direct that the commissioning and subsequent </w:t>
      </w:r>
      <w:r>
        <w:rPr>
          <w:i/>
          <w:sz w:val="24"/>
        </w:rPr>
        <w:t>connection </w:t>
      </w:r>
      <w:r>
        <w:rPr>
          <w:sz w:val="24"/>
        </w:rPr>
        <w:t>of the </w:t>
      </w:r>
      <w:r>
        <w:rPr>
          <w:i/>
          <w:sz w:val="24"/>
        </w:rPr>
        <w:t>Registered Participant's </w:t>
      </w:r>
      <w:r>
        <w:rPr>
          <w:sz w:val="24"/>
        </w:rPr>
        <w:t>equipment must not proceed if the relevant equipment does not comply with the requirements described in clause</w:t>
      </w:r>
      <w:r>
        <w:rPr>
          <w:spacing w:val="-1"/>
          <w:sz w:val="24"/>
        </w:rPr>
        <w:t> </w:t>
      </w:r>
      <w:r>
        <w:rPr>
          <w:sz w:val="24"/>
        </w:rPr>
        <w:t>5.8.1(a).</w:t>
      </w:r>
    </w:p>
    <w:p>
      <w:pPr>
        <w:pStyle w:val="BodyText"/>
        <w:spacing w:before="10"/>
        <w:ind w:firstLine="0"/>
        <w:jc w:val="left"/>
        <w:rPr>
          <w:sz w:val="20"/>
        </w:rPr>
      </w:pPr>
    </w:p>
    <w:p>
      <w:pPr>
        <w:pStyle w:val="Heading3"/>
        <w:numPr>
          <w:ilvl w:val="1"/>
          <w:numId w:val="197"/>
        </w:numPr>
        <w:tabs>
          <w:tab w:pos="1351" w:val="left" w:leader="none"/>
          <w:tab w:pos="1353" w:val="left" w:leader="none"/>
        </w:tabs>
        <w:spacing w:line="240" w:lineRule="auto" w:before="0" w:after="0"/>
        <w:ind w:left="1352" w:right="0" w:hanging="1135"/>
        <w:jc w:val="left"/>
      </w:pPr>
      <w:bookmarkStart w:name="5.9 Disconnection and Reconnection" w:id="626"/>
      <w:bookmarkEnd w:id="626"/>
      <w:r>
        <w:rPr>
          <w:b w:val="0"/>
        </w:rPr>
      </w:r>
      <w:bookmarkStart w:name="_bookmark248" w:id="627"/>
      <w:bookmarkEnd w:id="627"/>
      <w:r>
        <w:rPr>
          <w:b w:val="0"/>
        </w:rPr>
      </w:r>
      <w:bookmarkStart w:name="_bookmark248" w:id="628"/>
      <w:bookmarkEnd w:id="628"/>
      <w:r>
        <w:rPr/>
        <w:t>Disconn</w:t>
      </w:r>
      <w:r>
        <w:rPr/>
        <w:t>ection and</w:t>
      </w:r>
      <w:r>
        <w:rPr>
          <w:spacing w:val="-2"/>
        </w:rPr>
        <w:t> </w:t>
      </w:r>
      <w:r>
        <w:rPr/>
        <w:t>Reconnection</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9.1 Voluntary disconnection" w:id="629"/>
      <w:bookmarkEnd w:id="629"/>
      <w:r>
        <w:rPr>
          <w:b w:val="0"/>
        </w:rPr>
      </w:r>
      <w:bookmarkStart w:name="_bookmark249" w:id="630"/>
      <w:bookmarkEnd w:id="630"/>
      <w:r>
        <w:rPr>
          <w:b w:val="0"/>
        </w:rPr>
      </w:r>
      <w:bookmarkStart w:name="_bookmark249" w:id="631"/>
      <w:bookmarkEnd w:id="631"/>
      <w:r>
        <w:rPr/>
        <w:t>Volu</w:t>
      </w:r>
      <w:r>
        <w:rPr/>
        <w:t>ntary</w:t>
      </w:r>
      <w:r>
        <w:rPr>
          <w:spacing w:val="-2"/>
        </w:rPr>
        <w:t> </w:t>
      </w:r>
      <w:r>
        <w:rPr/>
        <w:t>disconnection</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Unless agreed otherwise and specified in a </w:t>
      </w:r>
      <w:r>
        <w:rPr>
          <w:i/>
          <w:sz w:val="24"/>
        </w:rPr>
        <w:t>connection agreement</w:t>
      </w:r>
      <w:r>
        <w:rPr>
          <w:sz w:val="24"/>
        </w:rPr>
        <w:t>, a </w:t>
      </w:r>
      <w:r>
        <w:rPr>
          <w:i/>
          <w:sz w:val="24"/>
        </w:rPr>
        <w:t>Registered Participant </w:t>
      </w:r>
      <w:r>
        <w:rPr>
          <w:sz w:val="24"/>
        </w:rPr>
        <w:t>must give to the relevant </w:t>
      </w:r>
      <w:r>
        <w:rPr>
          <w:i/>
          <w:sz w:val="24"/>
        </w:rPr>
        <w:t>Network Service Provider </w:t>
      </w:r>
      <w:r>
        <w:rPr>
          <w:sz w:val="24"/>
        </w:rPr>
        <w:t>notice in writing of its intention to permanently </w:t>
      </w:r>
      <w:r>
        <w:rPr>
          <w:i/>
          <w:sz w:val="24"/>
        </w:rPr>
        <w:t>disconnect </w:t>
      </w:r>
      <w:r>
        <w:rPr>
          <w:sz w:val="24"/>
        </w:rPr>
        <w:t>a </w:t>
      </w:r>
      <w:r>
        <w:rPr>
          <w:i/>
          <w:sz w:val="24"/>
        </w:rPr>
        <w:t>facility </w:t>
      </w:r>
      <w:r>
        <w:rPr>
          <w:sz w:val="24"/>
        </w:rPr>
        <w:t>from a </w:t>
      </w:r>
      <w:r>
        <w:rPr>
          <w:i/>
          <w:sz w:val="24"/>
        </w:rPr>
        <w:t>connection</w:t>
      </w:r>
      <w:r>
        <w:rPr>
          <w:i/>
          <w:spacing w:val="-1"/>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Registered Participant </w:t>
      </w:r>
      <w:r>
        <w:rPr>
          <w:sz w:val="24"/>
        </w:rPr>
        <w:t>is entitled, subject to the terms of the relevant </w:t>
      </w:r>
      <w:r>
        <w:rPr>
          <w:i/>
          <w:sz w:val="24"/>
        </w:rPr>
        <w:t>connection agreement</w:t>
      </w:r>
      <w:r>
        <w:rPr>
          <w:sz w:val="24"/>
        </w:rPr>
        <w:t>, to require voluntary permanent </w:t>
      </w:r>
      <w:r>
        <w:rPr>
          <w:i/>
          <w:sz w:val="24"/>
        </w:rPr>
        <w:t>disconnection </w:t>
      </w:r>
      <w:r>
        <w:rPr>
          <w:sz w:val="24"/>
        </w:rPr>
        <w:t>of its equipment from a </w:t>
      </w:r>
      <w:r>
        <w:rPr>
          <w:i/>
          <w:sz w:val="24"/>
        </w:rPr>
        <w:t>network </w:t>
      </w:r>
      <w:r>
        <w:rPr>
          <w:sz w:val="24"/>
        </w:rPr>
        <w:t>in which case appropriate operating procedures necessary to ensure that the </w:t>
      </w:r>
      <w:r>
        <w:rPr>
          <w:i/>
          <w:sz w:val="24"/>
        </w:rPr>
        <w:t>disconnection </w:t>
      </w:r>
      <w:r>
        <w:rPr>
          <w:sz w:val="24"/>
        </w:rPr>
        <w:t>will not threaten </w:t>
      </w:r>
      <w:r>
        <w:rPr>
          <w:i/>
          <w:sz w:val="24"/>
        </w:rPr>
        <w:t>power system </w:t>
      </w:r>
      <w:r>
        <w:rPr>
          <w:i/>
          <w:sz w:val="24"/>
        </w:rPr>
        <w:t>security </w:t>
      </w:r>
      <w:r>
        <w:rPr>
          <w:sz w:val="24"/>
        </w:rPr>
        <w:t>must be implemented in accordance with clause</w:t>
      </w:r>
      <w:r>
        <w:rPr>
          <w:spacing w:val="-6"/>
          <w:sz w:val="24"/>
        </w:rPr>
        <w:t> </w:t>
      </w:r>
      <w:r>
        <w:rPr>
          <w:sz w:val="24"/>
        </w:rPr>
        <w:t>5.9.2.</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Registered Participant </w:t>
      </w:r>
      <w:r>
        <w:rPr>
          <w:sz w:val="24"/>
        </w:rPr>
        <w:t>must pay all costs directly attributable to the voluntary </w:t>
      </w:r>
      <w:r>
        <w:rPr>
          <w:i/>
          <w:sz w:val="24"/>
        </w:rPr>
        <w:t>disconnection </w:t>
      </w:r>
      <w:r>
        <w:rPr>
          <w:sz w:val="24"/>
        </w:rPr>
        <w:t>and</w:t>
      </w:r>
      <w:r>
        <w:rPr>
          <w:spacing w:val="-3"/>
          <w:sz w:val="24"/>
        </w:rPr>
        <w:t> </w:t>
      </w:r>
      <w:r>
        <w:rPr>
          <w:i/>
          <w:sz w:val="24"/>
        </w:rPr>
        <w:t>decommissioning</w:t>
      </w:r>
      <w:r>
        <w:rPr>
          <w:sz w:val="24"/>
        </w:rPr>
        <w:t>.</w:t>
      </w:r>
    </w:p>
    <w:p>
      <w:pPr>
        <w:spacing w:after="0" w:line="240" w:lineRule="auto"/>
        <w:jc w:val="both"/>
        <w:rPr>
          <w:sz w:val="24"/>
        </w:rPr>
        <w:sectPr>
          <w:pgSz w:w="11910" w:h="16840"/>
          <w:pgMar w:header="686" w:footer="637" w:top="1320" w:bottom="820" w:left="1200" w:right="1000"/>
        </w:sectPr>
      </w:pPr>
    </w:p>
    <w:p>
      <w:pPr>
        <w:pStyle w:val="Heading4"/>
        <w:numPr>
          <w:ilvl w:val="2"/>
          <w:numId w:val="197"/>
        </w:numPr>
        <w:tabs>
          <w:tab w:pos="1351" w:val="left" w:leader="none"/>
          <w:tab w:pos="1352" w:val="left" w:leader="none"/>
        </w:tabs>
        <w:spacing w:line="240" w:lineRule="auto" w:before="83" w:after="0"/>
        <w:ind w:left="1351" w:right="0" w:hanging="1134"/>
        <w:jc w:val="left"/>
      </w:pPr>
      <w:bookmarkStart w:name="5.9.2 Decommissioning procedures" w:id="632"/>
      <w:bookmarkEnd w:id="632"/>
      <w:r>
        <w:rPr>
          <w:b w:val="0"/>
        </w:rPr>
      </w:r>
      <w:bookmarkStart w:name="_bookmark250" w:id="633"/>
      <w:bookmarkEnd w:id="633"/>
      <w:r>
        <w:rPr>
          <w:b w:val="0"/>
        </w:rPr>
      </w:r>
      <w:bookmarkStart w:name="_bookmark250" w:id="634"/>
      <w:bookmarkEnd w:id="634"/>
      <w:r>
        <w:rPr/>
        <w:t>Decom</w:t>
      </w:r>
      <w:r>
        <w:rPr/>
        <w:t>missioning</w:t>
      </w:r>
      <w:r>
        <w:rPr>
          <w:spacing w:val="-1"/>
        </w:rPr>
        <w:t> </w:t>
      </w:r>
      <w:r>
        <w:rPr/>
        <w:t>procedures</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In the event that a </w:t>
      </w:r>
      <w:r>
        <w:rPr>
          <w:i/>
          <w:sz w:val="24"/>
        </w:rPr>
        <w:t>Registered Participant's facility </w:t>
      </w:r>
      <w:r>
        <w:rPr>
          <w:sz w:val="24"/>
        </w:rPr>
        <w:t>is to be permanently </w:t>
      </w:r>
      <w:r>
        <w:rPr>
          <w:i/>
          <w:sz w:val="24"/>
        </w:rPr>
        <w:t>disconnected </w:t>
      </w:r>
      <w:r>
        <w:rPr>
          <w:sz w:val="24"/>
        </w:rPr>
        <w:t>from a </w:t>
      </w:r>
      <w:r>
        <w:rPr>
          <w:i/>
          <w:sz w:val="24"/>
        </w:rPr>
        <w:t>network</w:t>
      </w:r>
      <w:r>
        <w:rPr>
          <w:sz w:val="24"/>
        </w:rPr>
        <w:t>, whether in accordance with clause 5.9.1 or otherwise, the </w:t>
      </w:r>
      <w:r>
        <w:rPr>
          <w:i/>
          <w:sz w:val="24"/>
        </w:rPr>
        <w:t>Network Service Provider </w:t>
      </w:r>
      <w:r>
        <w:rPr>
          <w:sz w:val="24"/>
        </w:rPr>
        <w:t>and the </w:t>
      </w:r>
      <w:r>
        <w:rPr>
          <w:i/>
          <w:sz w:val="24"/>
        </w:rPr>
        <w:t>Registered</w:t>
      </w:r>
      <w:r>
        <w:rPr>
          <w:i/>
          <w:spacing w:val="44"/>
          <w:sz w:val="24"/>
        </w:rPr>
        <w:t> </w:t>
      </w:r>
      <w:r>
        <w:rPr>
          <w:i/>
          <w:sz w:val="24"/>
        </w:rPr>
        <w:t>Participant </w:t>
      </w:r>
      <w:r>
        <w:rPr>
          <w:sz w:val="24"/>
        </w:rPr>
        <w:t>must, prior to such </w:t>
      </w:r>
      <w:r>
        <w:rPr>
          <w:i/>
          <w:sz w:val="24"/>
        </w:rPr>
        <w:t>disconnection </w:t>
      </w:r>
      <w:r>
        <w:rPr>
          <w:sz w:val="24"/>
        </w:rPr>
        <w:t>occurring, follow agreed procedures for </w:t>
      </w:r>
      <w:r>
        <w:rPr>
          <w:i/>
          <w:sz w:val="24"/>
        </w:rPr>
        <w:t>disconnection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notify </w:t>
      </w:r>
      <w:r>
        <w:rPr>
          <w:i/>
          <w:sz w:val="24"/>
        </w:rPr>
        <w:t>NTESMO </w:t>
      </w:r>
      <w:r>
        <w:rPr>
          <w:sz w:val="24"/>
        </w:rPr>
        <w:t>and any </w:t>
      </w:r>
      <w:r>
        <w:rPr>
          <w:i/>
          <w:spacing w:val="-3"/>
          <w:sz w:val="24"/>
        </w:rPr>
        <w:t>Registered </w:t>
      </w:r>
      <w:r>
        <w:rPr>
          <w:i/>
          <w:sz w:val="24"/>
        </w:rPr>
        <w:t>Participants </w:t>
      </w:r>
      <w:r>
        <w:rPr>
          <w:sz w:val="24"/>
        </w:rPr>
        <w:t>with whom it has a </w:t>
      </w:r>
      <w:r>
        <w:rPr>
          <w:i/>
          <w:sz w:val="24"/>
        </w:rPr>
        <w:t>connection agreement </w:t>
      </w:r>
      <w:r>
        <w:rPr>
          <w:sz w:val="24"/>
        </w:rPr>
        <w:t>if it believes, in its reasonable opinion, the terms and conditions of such a </w:t>
      </w:r>
      <w:r>
        <w:rPr>
          <w:i/>
          <w:sz w:val="24"/>
        </w:rPr>
        <w:t>connection </w:t>
      </w:r>
      <w:r>
        <w:rPr>
          <w:i/>
          <w:sz w:val="24"/>
        </w:rPr>
        <w:t>agreement </w:t>
      </w:r>
      <w:r>
        <w:rPr>
          <w:sz w:val="24"/>
        </w:rPr>
        <w:t>will be affected by procedures for </w:t>
      </w:r>
      <w:r>
        <w:rPr>
          <w:i/>
          <w:sz w:val="24"/>
        </w:rPr>
        <w:t>disconnection </w:t>
      </w:r>
      <w:r>
        <w:rPr>
          <w:sz w:val="24"/>
        </w:rPr>
        <w:t>or proposed procedures agreed with any other </w:t>
      </w:r>
      <w:r>
        <w:rPr>
          <w:i/>
          <w:sz w:val="24"/>
        </w:rPr>
        <w:t>Registered Participant</w:t>
      </w:r>
      <w:r>
        <w:rPr>
          <w:sz w:val="24"/>
        </w:rPr>
        <w:t>. The parties must negotiate any amendments to the procedures for </w:t>
      </w:r>
      <w:r>
        <w:rPr>
          <w:i/>
          <w:sz w:val="24"/>
        </w:rPr>
        <w:t>disconnection </w:t>
      </w:r>
      <w:r>
        <w:rPr>
          <w:sz w:val="24"/>
        </w:rPr>
        <w:t>or the </w:t>
      </w:r>
      <w:r>
        <w:rPr>
          <w:i/>
          <w:sz w:val="24"/>
        </w:rPr>
        <w:t>connection agreement </w:t>
      </w:r>
      <w:r>
        <w:rPr>
          <w:sz w:val="24"/>
        </w:rPr>
        <w:t>that may be</w:t>
      </w:r>
      <w:r>
        <w:rPr>
          <w:spacing w:val="-2"/>
          <w:sz w:val="24"/>
        </w:rPr>
        <w:t> </w:t>
      </w:r>
      <w:r>
        <w:rPr>
          <w:sz w:val="24"/>
        </w:rPr>
        <w:t>required.</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Any </w:t>
      </w:r>
      <w:r>
        <w:rPr>
          <w:i/>
          <w:sz w:val="24"/>
        </w:rPr>
        <w:t>disconnection </w:t>
      </w:r>
      <w:r>
        <w:rPr>
          <w:sz w:val="24"/>
        </w:rPr>
        <w:t>procedures agreed to or determined under clause 5.9.2(a) must be followed by all relevant </w:t>
      </w:r>
      <w:r>
        <w:rPr>
          <w:i/>
          <w:sz w:val="24"/>
        </w:rPr>
        <w:t>Network Service Providers </w:t>
      </w:r>
      <w:r>
        <w:rPr>
          <w:sz w:val="24"/>
        </w:rPr>
        <w:t>and </w:t>
      </w:r>
      <w:r>
        <w:rPr>
          <w:i/>
          <w:sz w:val="24"/>
        </w:rPr>
        <w:t>Registered </w:t>
      </w:r>
      <w:r>
        <w:rPr>
          <w:i/>
          <w:sz w:val="24"/>
        </w:rPr>
        <w:t>Participants</w:t>
      </w:r>
      <w:r>
        <w:rPr>
          <w:sz w:val="24"/>
        </w:rPr>
        <w: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9.3 Involuntary disconnection" w:id="635"/>
      <w:bookmarkEnd w:id="635"/>
      <w:r>
        <w:rPr>
          <w:b w:val="0"/>
        </w:rPr>
      </w:r>
      <w:bookmarkStart w:name="_bookmark251" w:id="636"/>
      <w:bookmarkEnd w:id="636"/>
      <w:r>
        <w:rPr>
          <w:b w:val="0"/>
        </w:rPr>
      </w:r>
      <w:bookmarkStart w:name="_bookmark251" w:id="637"/>
      <w:bookmarkEnd w:id="637"/>
      <w:r>
        <w:rPr/>
        <w:t>Invo</w:t>
      </w:r>
      <w:r>
        <w:rPr/>
        <w:t>luntary</w:t>
      </w:r>
      <w:r>
        <w:rPr>
          <w:spacing w:val="-2"/>
        </w:rPr>
        <w:t> </w:t>
      </w:r>
      <w:r>
        <w:rPr/>
        <w:t>disconnection</w:t>
      </w:r>
    </w:p>
    <w:p>
      <w:pPr>
        <w:pStyle w:val="ListParagraph"/>
        <w:numPr>
          <w:ilvl w:val="3"/>
          <w:numId w:val="197"/>
        </w:numPr>
        <w:tabs>
          <w:tab w:pos="1919" w:val="left" w:leader="none"/>
        </w:tabs>
        <w:spacing w:line="240" w:lineRule="auto" w:before="120" w:after="0"/>
        <w:ind w:left="1919" w:right="415" w:hanging="567"/>
        <w:jc w:val="both"/>
        <w:rPr>
          <w:sz w:val="24"/>
        </w:rPr>
      </w:pPr>
      <w:r>
        <w:rPr>
          <w:i/>
          <w:sz w:val="24"/>
        </w:rPr>
        <w:t>NTESMO </w:t>
      </w:r>
      <w:r>
        <w:rPr>
          <w:sz w:val="24"/>
        </w:rPr>
        <w:t>may direct a </w:t>
      </w:r>
      <w:r>
        <w:rPr>
          <w:i/>
          <w:sz w:val="24"/>
        </w:rPr>
        <w:t>Network Service Provider </w:t>
      </w:r>
      <w:r>
        <w:rPr>
          <w:sz w:val="24"/>
        </w:rPr>
        <w:t>to, or a </w:t>
      </w:r>
      <w:r>
        <w:rPr>
          <w:i/>
          <w:sz w:val="24"/>
        </w:rPr>
        <w:t>Network Service </w:t>
      </w:r>
      <w:r>
        <w:rPr>
          <w:i/>
          <w:sz w:val="24"/>
        </w:rPr>
        <w:t>Provider </w:t>
      </w:r>
      <w:r>
        <w:rPr>
          <w:sz w:val="24"/>
        </w:rPr>
        <w:t>may (either on its own initiative or in accordance with a direction from </w:t>
      </w:r>
      <w:r>
        <w:rPr>
          <w:i/>
          <w:sz w:val="24"/>
        </w:rPr>
        <w:t>NTESMO</w:t>
      </w:r>
      <w:r>
        <w:rPr>
          <w:sz w:val="24"/>
        </w:rPr>
        <w:t>), </w:t>
      </w:r>
      <w:r>
        <w:rPr>
          <w:i/>
          <w:sz w:val="24"/>
        </w:rPr>
        <w:t>disconnect </w:t>
      </w:r>
      <w:r>
        <w:rPr>
          <w:sz w:val="24"/>
        </w:rPr>
        <w:t>a </w:t>
      </w:r>
      <w:r>
        <w:rPr>
          <w:i/>
          <w:sz w:val="24"/>
        </w:rPr>
        <w:t>Registered Participant's facilities </w:t>
      </w:r>
      <w:r>
        <w:rPr>
          <w:sz w:val="24"/>
        </w:rPr>
        <w:t>from </w:t>
      </w:r>
      <w:r>
        <w:rPr>
          <w:spacing w:val="-14"/>
          <w:sz w:val="24"/>
        </w:rPr>
        <w:t>a </w:t>
      </w:r>
      <w:r>
        <w:rPr>
          <w:i/>
          <w:sz w:val="24"/>
        </w:rPr>
        <w:t>network</w:t>
      </w:r>
      <w:r>
        <w:rPr>
          <w:sz w:val="24"/>
        </w:rPr>
        <w:t>, or a </w:t>
      </w:r>
      <w:r>
        <w:rPr>
          <w:i/>
          <w:sz w:val="24"/>
        </w:rPr>
        <w:t>Registered Participant's market loads</w:t>
      </w:r>
      <w:r>
        <w:rPr>
          <w:sz w:val="24"/>
        </w:rPr>
        <w:t>, in the following circumstances:</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pursuant to a direction for a disconnection made by a court</w:t>
      </w:r>
      <w:r>
        <w:rPr>
          <w:spacing w:val="-5"/>
          <w:sz w:val="24"/>
        </w:rPr>
        <w:t> </w:t>
      </w:r>
      <w:r>
        <w:rPr>
          <w:sz w:val="24"/>
        </w:rPr>
        <w:t>under:</w:t>
      </w:r>
    </w:p>
    <w:p>
      <w:pPr>
        <w:pStyle w:val="ListParagraph"/>
        <w:numPr>
          <w:ilvl w:val="5"/>
          <w:numId w:val="197"/>
        </w:numPr>
        <w:tabs>
          <w:tab w:pos="3053" w:val="left" w:leader="none"/>
        </w:tabs>
        <w:spacing w:line="240" w:lineRule="auto" w:before="120" w:after="0"/>
        <w:ind w:left="3052" w:right="0" w:hanging="567"/>
        <w:jc w:val="both"/>
        <w:rPr>
          <w:sz w:val="24"/>
        </w:rPr>
      </w:pPr>
      <w:r>
        <w:rPr>
          <w:sz w:val="24"/>
        </w:rPr>
        <w:t>section 62 or 63 of the </w:t>
      </w:r>
      <w:r>
        <w:rPr>
          <w:i/>
          <w:sz w:val="24"/>
        </w:rPr>
        <w:t>National Electricity</w:t>
      </w:r>
      <w:r>
        <w:rPr>
          <w:i/>
          <w:spacing w:val="-2"/>
          <w:sz w:val="24"/>
        </w:rPr>
        <w:t> </w:t>
      </w:r>
      <w:r>
        <w:rPr>
          <w:i/>
          <w:sz w:val="24"/>
        </w:rPr>
        <w:t>Law</w:t>
      </w:r>
      <w:r>
        <w:rPr>
          <w:sz w:val="24"/>
        </w:rPr>
        <w:t>;</w:t>
      </w:r>
    </w:p>
    <w:p>
      <w:pPr>
        <w:pStyle w:val="ListParagraph"/>
        <w:numPr>
          <w:ilvl w:val="5"/>
          <w:numId w:val="197"/>
        </w:numPr>
        <w:tabs>
          <w:tab w:pos="3053" w:val="left" w:leader="none"/>
        </w:tabs>
        <w:spacing w:line="240" w:lineRule="auto" w:before="120" w:after="0"/>
        <w:ind w:left="3052" w:right="0" w:hanging="567"/>
        <w:jc w:val="both"/>
        <w:rPr>
          <w:i/>
          <w:sz w:val="24"/>
        </w:rPr>
      </w:pPr>
      <w:r>
        <w:rPr>
          <w:sz w:val="24"/>
        </w:rPr>
        <w:t>section 44AAG of the </w:t>
      </w:r>
      <w:r>
        <w:rPr>
          <w:i/>
          <w:sz w:val="24"/>
        </w:rPr>
        <w:t>Competition and Consumer Act</w:t>
      </w:r>
      <w:r>
        <w:rPr>
          <w:i/>
          <w:spacing w:val="6"/>
          <w:sz w:val="24"/>
        </w:rPr>
        <w:t> </w:t>
      </w:r>
      <w:r>
        <w:rPr>
          <w:i/>
          <w:sz w:val="24"/>
        </w:rPr>
        <w:t>2010</w:t>
      </w:r>
    </w:p>
    <w:p>
      <w:pPr>
        <w:pStyle w:val="BodyText"/>
        <w:spacing w:before="0"/>
        <w:ind w:left="3053" w:firstLine="0"/>
      </w:pPr>
      <w:r>
        <w:rPr/>
        <w:t>(Cth); or</w:t>
      </w:r>
    </w:p>
    <w:p>
      <w:pPr>
        <w:pStyle w:val="ListParagraph"/>
        <w:numPr>
          <w:ilvl w:val="5"/>
          <w:numId w:val="197"/>
        </w:numPr>
        <w:tabs>
          <w:tab w:pos="3053" w:val="left" w:leader="none"/>
        </w:tabs>
        <w:spacing w:line="240" w:lineRule="auto" w:before="120" w:after="0"/>
        <w:ind w:left="3052" w:right="0" w:hanging="567"/>
        <w:jc w:val="both"/>
        <w:rPr>
          <w:i/>
          <w:sz w:val="24"/>
        </w:rPr>
      </w:pPr>
      <w:r>
        <w:rPr>
          <w:sz w:val="24"/>
        </w:rPr>
        <w:t>section</w:t>
      </w:r>
      <w:r>
        <w:rPr>
          <w:spacing w:val="38"/>
          <w:sz w:val="24"/>
        </w:rPr>
        <w:t> </w:t>
      </w:r>
      <w:r>
        <w:rPr>
          <w:sz w:val="24"/>
        </w:rPr>
        <w:t>44AAGA</w:t>
      </w:r>
      <w:r>
        <w:rPr>
          <w:spacing w:val="39"/>
          <w:sz w:val="24"/>
        </w:rPr>
        <w:t> </w:t>
      </w:r>
      <w:r>
        <w:rPr>
          <w:sz w:val="24"/>
        </w:rPr>
        <w:t>of</w:t>
      </w:r>
      <w:r>
        <w:rPr>
          <w:spacing w:val="39"/>
          <w:sz w:val="24"/>
        </w:rPr>
        <w:t> </w:t>
      </w:r>
      <w:r>
        <w:rPr>
          <w:sz w:val="24"/>
        </w:rPr>
        <w:t>the</w:t>
      </w:r>
      <w:r>
        <w:rPr>
          <w:spacing w:val="39"/>
          <w:sz w:val="24"/>
        </w:rPr>
        <w:t> </w:t>
      </w:r>
      <w:r>
        <w:rPr>
          <w:i/>
          <w:sz w:val="24"/>
        </w:rPr>
        <w:t>Competition</w:t>
      </w:r>
      <w:r>
        <w:rPr>
          <w:i/>
          <w:spacing w:val="39"/>
          <w:sz w:val="24"/>
        </w:rPr>
        <w:t> </w:t>
      </w:r>
      <w:r>
        <w:rPr>
          <w:i/>
          <w:sz w:val="24"/>
        </w:rPr>
        <w:t>and</w:t>
      </w:r>
      <w:r>
        <w:rPr>
          <w:i/>
          <w:spacing w:val="39"/>
          <w:sz w:val="24"/>
        </w:rPr>
        <w:t> </w:t>
      </w:r>
      <w:r>
        <w:rPr>
          <w:i/>
          <w:sz w:val="24"/>
        </w:rPr>
        <w:t>Consumer</w:t>
      </w:r>
      <w:r>
        <w:rPr>
          <w:i/>
          <w:spacing w:val="38"/>
          <w:sz w:val="24"/>
        </w:rPr>
        <w:t> </w:t>
      </w:r>
      <w:r>
        <w:rPr>
          <w:i/>
          <w:sz w:val="24"/>
        </w:rPr>
        <w:t>Act</w:t>
      </w:r>
      <w:r>
        <w:rPr>
          <w:i/>
          <w:spacing w:val="39"/>
          <w:sz w:val="24"/>
        </w:rPr>
        <w:t> </w:t>
      </w:r>
      <w:r>
        <w:rPr>
          <w:i/>
          <w:sz w:val="24"/>
        </w:rPr>
        <w:t>2010</w:t>
      </w:r>
    </w:p>
    <w:p>
      <w:pPr>
        <w:pStyle w:val="BodyText"/>
        <w:spacing w:before="0"/>
        <w:ind w:left="3053" w:firstLine="0"/>
        <w:jc w:val="left"/>
      </w:pPr>
      <w:r>
        <w:rPr/>
        <w:t>(Cth).</w:t>
      </w:r>
    </w:p>
    <w:p>
      <w:pPr>
        <w:pStyle w:val="ListParagraph"/>
        <w:numPr>
          <w:ilvl w:val="4"/>
          <w:numId w:val="197"/>
        </w:numPr>
        <w:tabs>
          <w:tab w:pos="2485" w:val="left" w:leader="none"/>
          <w:tab w:pos="2486" w:val="left" w:leader="none"/>
        </w:tabs>
        <w:spacing w:line="240" w:lineRule="auto" w:before="120" w:after="0"/>
        <w:ind w:left="2485" w:right="0" w:hanging="567"/>
        <w:jc w:val="left"/>
        <w:rPr>
          <w:sz w:val="24"/>
        </w:rPr>
      </w:pPr>
      <w:r>
        <w:rPr>
          <w:sz w:val="24"/>
        </w:rPr>
        <w:t>during an emergency in accordance with clause</w:t>
      </w:r>
      <w:r>
        <w:rPr>
          <w:spacing w:val="-3"/>
          <w:sz w:val="24"/>
        </w:rPr>
        <w:t> </w:t>
      </w:r>
      <w:r>
        <w:rPr>
          <w:sz w:val="24"/>
        </w:rPr>
        <w:t>5.9.5;</w:t>
      </w:r>
    </w:p>
    <w:p>
      <w:pPr>
        <w:pStyle w:val="ListParagraph"/>
        <w:numPr>
          <w:ilvl w:val="4"/>
          <w:numId w:val="197"/>
        </w:numPr>
        <w:tabs>
          <w:tab w:pos="2485" w:val="left" w:leader="none"/>
          <w:tab w:pos="2486" w:val="left" w:leader="none"/>
        </w:tabs>
        <w:spacing w:line="240" w:lineRule="auto" w:before="120" w:after="0"/>
        <w:ind w:left="2485" w:right="0" w:hanging="567"/>
        <w:jc w:val="left"/>
        <w:rPr>
          <w:sz w:val="24"/>
        </w:rPr>
      </w:pPr>
      <w:r>
        <w:rPr>
          <w:sz w:val="24"/>
        </w:rPr>
        <w:t>in accordance with the </w:t>
      </w:r>
      <w:r>
        <w:rPr>
          <w:i/>
          <w:sz w:val="24"/>
        </w:rPr>
        <w:t>National Electricity Law</w:t>
      </w:r>
      <w:r>
        <w:rPr>
          <w:sz w:val="24"/>
        </w:rPr>
        <w:t>;</w:t>
      </w:r>
      <w:r>
        <w:rPr>
          <w:spacing w:val="-3"/>
          <w:sz w:val="24"/>
        </w:rPr>
        <w:t> </w:t>
      </w:r>
      <w:r>
        <w:rPr>
          <w:sz w:val="24"/>
        </w:rPr>
        <w:t>or</w:t>
      </w:r>
    </w:p>
    <w:p>
      <w:pPr>
        <w:pStyle w:val="ListParagraph"/>
        <w:numPr>
          <w:ilvl w:val="4"/>
          <w:numId w:val="197"/>
        </w:numPr>
        <w:tabs>
          <w:tab w:pos="2485" w:val="left" w:leader="none"/>
          <w:tab w:pos="2486" w:val="left" w:leader="none"/>
        </w:tabs>
        <w:spacing w:line="240" w:lineRule="auto" w:before="120" w:after="0"/>
        <w:ind w:left="2486" w:right="414" w:hanging="567"/>
        <w:jc w:val="left"/>
        <w:rPr>
          <w:sz w:val="24"/>
        </w:rPr>
      </w:pPr>
      <w:r>
        <w:rPr>
          <w:sz w:val="24"/>
        </w:rPr>
        <w:t>in accordance with the provisions of the </w:t>
      </w:r>
      <w:r>
        <w:rPr>
          <w:i/>
          <w:sz w:val="24"/>
        </w:rPr>
        <w:t>Registered Participant's </w:t>
      </w:r>
      <w:r>
        <w:rPr>
          <w:i/>
          <w:sz w:val="24"/>
        </w:rPr>
        <w:t>connection</w:t>
      </w:r>
      <w:r>
        <w:rPr>
          <w:i/>
          <w:spacing w:val="-1"/>
          <w:sz w:val="24"/>
        </w:rPr>
        <w:t> </w:t>
      </w:r>
      <w:r>
        <w:rPr>
          <w:i/>
          <w:sz w:val="24"/>
        </w:rPr>
        <w:t>agreement</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In all cases of </w:t>
      </w:r>
      <w:r>
        <w:rPr>
          <w:i/>
          <w:sz w:val="24"/>
        </w:rPr>
        <w:t>disconnection </w:t>
      </w:r>
      <w:r>
        <w:rPr>
          <w:sz w:val="24"/>
        </w:rPr>
        <w:t>by a </w:t>
      </w:r>
      <w:r>
        <w:rPr>
          <w:i/>
          <w:sz w:val="24"/>
        </w:rPr>
        <w:t>Network Service Provider </w:t>
      </w:r>
      <w:r>
        <w:rPr>
          <w:sz w:val="24"/>
        </w:rPr>
        <w:t>at </w:t>
      </w:r>
      <w:r>
        <w:rPr>
          <w:i/>
          <w:sz w:val="24"/>
        </w:rPr>
        <w:t>NTESMO's </w:t>
      </w:r>
      <w:r>
        <w:rPr>
          <w:sz w:val="24"/>
        </w:rPr>
        <w:t>direction during an emergency in accordance with clause 5.9.5, </w:t>
      </w:r>
      <w:r>
        <w:rPr>
          <w:i/>
          <w:sz w:val="24"/>
        </w:rPr>
        <w:t>NTESMO </w:t>
      </w:r>
      <w:r>
        <w:rPr>
          <w:sz w:val="24"/>
        </w:rPr>
        <w:t>must undertake a review under any relevant </w:t>
      </w:r>
      <w:r>
        <w:rPr>
          <w:i/>
          <w:sz w:val="24"/>
        </w:rPr>
        <w:t>jurisdictional electricity </w:t>
      </w:r>
      <w:r>
        <w:rPr>
          <w:i/>
          <w:sz w:val="24"/>
        </w:rPr>
        <w:t>legislation </w:t>
      </w:r>
      <w:r>
        <w:rPr>
          <w:sz w:val="24"/>
        </w:rPr>
        <w:t>and </w:t>
      </w:r>
      <w:r>
        <w:rPr>
          <w:i/>
          <w:sz w:val="24"/>
        </w:rPr>
        <w:t>NTESMO </w:t>
      </w:r>
      <w:r>
        <w:rPr>
          <w:sz w:val="24"/>
        </w:rPr>
        <w:t>must then provide a report to the </w:t>
      </w:r>
      <w:r>
        <w:rPr>
          <w:i/>
          <w:sz w:val="24"/>
        </w:rPr>
        <w:t>Registered </w:t>
      </w:r>
      <w:r>
        <w:rPr>
          <w:i/>
          <w:sz w:val="24"/>
        </w:rPr>
        <w:t>Participant</w:t>
      </w:r>
      <w:r>
        <w:rPr>
          <w:sz w:val="24"/>
        </w:rPr>
        <w:t>, the </w:t>
      </w:r>
      <w:r>
        <w:rPr>
          <w:i/>
          <w:sz w:val="24"/>
        </w:rPr>
        <w:t>AEMC </w:t>
      </w:r>
      <w:r>
        <w:rPr>
          <w:sz w:val="24"/>
        </w:rPr>
        <w:t>and the </w:t>
      </w:r>
      <w:r>
        <w:rPr>
          <w:i/>
          <w:sz w:val="24"/>
        </w:rPr>
        <w:t>AER </w:t>
      </w:r>
      <w:r>
        <w:rPr>
          <w:sz w:val="24"/>
        </w:rPr>
        <w:t>advising of the circumstances requiring such</w:t>
      </w:r>
      <w:r>
        <w:rPr>
          <w:spacing w:val="-2"/>
          <w:sz w:val="24"/>
        </w:rPr>
        <w:t> </w:t>
      </w:r>
      <w:r>
        <w:rPr>
          <w:sz w:val="24"/>
        </w:rPr>
        <w:t>action.</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requirements that will apply under </w:t>
      </w:r>
      <w:r>
        <w:rPr>
          <w:i/>
          <w:sz w:val="20"/>
        </w:rPr>
        <w:t>jurisdictional electricity legislation </w:t>
      </w:r>
      <w:r>
        <w:rPr>
          <w:sz w:val="20"/>
        </w:rPr>
        <w:t>for the purposes of paragraph (b) will be requirements that correspond to the matters set out in clause 4.8.15 in the </w:t>
      </w:r>
      <w:r>
        <w:rPr>
          <w:i/>
          <w:sz w:val="20"/>
        </w:rPr>
        <w:t>Rules </w:t>
      </w:r>
      <w:r>
        <w:rPr>
          <w:sz w:val="20"/>
        </w:rPr>
        <w:t>applying in other </w:t>
      </w:r>
      <w:r>
        <w:rPr>
          <w:i/>
          <w:sz w:val="20"/>
        </w:rPr>
        <w:t>participating jurisdictions</w:t>
      </w:r>
      <w:r>
        <w:rPr>
          <w:sz w:val="20"/>
        </w:rPr>
        <w:t>. The application of paragraph (b)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8" w:right="0" w:hanging="567"/>
        <w:jc w:val="both"/>
        <w:rPr>
          <w:i/>
          <w:sz w:val="24"/>
        </w:rPr>
      </w:pPr>
      <w:r>
        <w:rPr>
          <w:sz w:val="24"/>
        </w:rPr>
        <w:t>A</w:t>
      </w:r>
      <w:r>
        <w:rPr>
          <w:spacing w:val="36"/>
          <w:sz w:val="24"/>
        </w:rPr>
        <w:t> </w:t>
      </w:r>
      <w:r>
        <w:rPr>
          <w:i/>
          <w:sz w:val="24"/>
        </w:rPr>
        <w:t>Network</w:t>
      </w:r>
      <w:r>
        <w:rPr>
          <w:i/>
          <w:spacing w:val="37"/>
          <w:sz w:val="24"/>
        </w:rPr>
        <w:t> </w:t>
      </w:r>
      <w:r>
        <w:rPr>
          <w:i/>
          <w:sz w:val="24"/>
        </w:rPr>
        <w:t>Service</w:t>
      </w:r>
      <w:r>
        <w:rPr>
          <w:i/>
          <w:spacing w:val="37"/>
          <w:sz w:val="24"/>
        </w:rPr>
        <w:t> </w:t>
      </w:r>
      <w:r>
        <w:rPr>
          <w:i/>
          <w:sz w:val="24"/>
        </w:rPr>
        <w:t>Provider</w:t>
      </w:r>
      <w:r>
        <w:rPr>
          <w:i/>
          <w:spacing w:val="36"/>
          <w:sz w:val="24"/>
        </w:rPr>
        <w:t> </w:t>
      </w:r>
      <w:r>
        <w:rPr>
          <w:sz w:val="24"/>
        </w:rPr>
        <w:t>that</w:t>
      </w:r>
      <w:r>
        <w:rPr>
          <w:spacing w:val="37"/>
          <w:sz w:val="24"/>
        </w:rPr>
        <w:t> </w:t>
      </w:r>
      <w:r>
        <w:rPr>
          <w:sz w:val="24"/>
        </w:rPr>
        <w:t>has</w:t>
      </w:r>
      <w:r>
        <w:rPr>
          <w:spacing w:val="37"/>
          <w:sz w:val="24"/>
        </w:rPr>
        <w:t> </w:t>
      </w:r>
      <w:r>
        <w:rPr>
          <w:sz w:val="24"/>
        </w:rPr>
        <w:t>received</w:t>
      </w:r>
      <w:r>
        <w:rPr>
          <w:spacing w:val="37"/>
          <w:sz w:val="24"/>
        </w:rPr>
        <w:t> </w:t>
      </w:r>
      <w:r>
        <w:rPr>
          <w:sz w:val="24"/>
        </w:rPr>
        <w:t>a</w:t>
      </w:r>
      <w:r>
        <w:rPr>
          <w:spacing w:val="36"/>
          <w:sz w:val="24"/>
        </w:rPr>
        <w:t> </w:t>
      </w:r>
      <w:r>
        <w:rPr>
          <w:sz w:val="24"/>
        </w:rPr>
        <w:t>direction</w:t>
      </w:r>
      <w:r>
        <w:rPr>
          <w:spacing w:val="37"/>
          <w:sz w:val="24"/>
        </w:rPr>
        <w:t> </w:t>
      </w:r>
      <w:r>
        <w:rPr>
          <w:sz w:val="24"/>
        </w:rPr>
        <w:t>from</w:t>
      </w:r>
      <w:r>
        <w:rPr>
          <w:spacing w:val="37"/>
          <w:sz w:val="24"/>
        </w:rPr>
        <w:t> </w:t>
      </w:r>
      <w:r>
        <w:rPr>
          <w:i/>
          <w:sz w:val="24"/>
        </w:rPr>
        <w:t>NTESMO</w:t>
      </w:r>
    </w:p>
    <w:p>
      <w:pPr>
        <w:pStyle w:val="BodyText"/>
        <w:spacing w:before="0"/>
        <w:ind w:left="1919" w:firstLine="0"/>
      </w:pPr>
      <w:r>
        <w:rPr/>
        <w:t>under this clause 5.9.3 must comply with that direction promptly.</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Registered Participant’s facilities </w:t>
      </w:r>
      <w:r>
        <w:rPr>
          <w:sz w:val="24"/>
        </w:rPr>
        <w:t>or </w:t>
      </w:r>
      <w:r>
        <w:rPr>
          <w:i/>
          <w:sz w:val="24"/>
        </w:rPr>
        <w:t>market load </w:t>
      </w:r>
      <w:r>
        <w:rPr>
          <w:sz w:val="24"/>
        </w:rPr>
        <w:t>may be disconnected from the </w:t>
      </w:r>
      <w:r>
        <w:rPr>
          <w:i/>
          <w:sz w:val="24"/>
        </w:rPr>
        <w:t>network </w:t>
      </w:r>
      <w:r>
        <w:rPr>
          <w:sz w:val="24"/>
        </w:rPr>
        <w:t>under an emergency frequency control arrangement if this is permitted under </w:t>
      </w:r>
      <w:r>
        <w:rPr>
          <w:i/>
          <w:sz w:val="24"/>
        </w:rPr>
        <w:t>jurisdictional electricity</w:t>
      </w:r>
      <w:r>
        <w:rPr>
          <w:i/>
          <w:spacing w:val="-1"/>
          <w:sz w:val="24"/>
        </w:rPr>
        <w:t> </w:t>
      </w:r>
      <w:r>
        <w:rPr>
          <w:i/>
          <w:sz w:val="24"/>
        </w:rPr>
        <w:t>legislation</w:t>
      </w:r>
      <w:r>
        <w:rPr>
          <w:sz w:val="24"/>
        </w:rPr>
        <w: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9.4 Direction to disconnect" w:id="638"/>
      <w:bookmarkEnd w:id="638"/>
      <w:r>
        <w:rPr>
          <w:b w:val="0"/>
        </w:rPr>
      </w:r>
      <w:bookmarkStart w:name="_bookmark252" w:id="639"/>
      <w:bookmarkEnd w:id="639"/>
      <w:r>
        <w:rPr>
          <w:b w:val="0"/>
        </w:rPr>
      </w:r>
      <w:bookmarkStart w:name="_bookmark252" w:id="640"/>
      <w:bookmarkEnd w:id="640"/>
      <w:r>
        <w:rPr/>
        <w:t>Directio</w:t>
      </w:r>
      <w:r>
        <w:rPr/>
        <w:t>n to</w:t>
      </w:r>
      <w:r>
        <w:rPr>
          <w:spacing w:val="-2"/>
        </w:rPr>
        <w:t> </w:t>
      </w:r>
      <w:r>
        <w:rPr/>
        <w:t>disconnect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Where a </w:t>
      </w:r>
      <w:r>
        <w:rPr>
          <w:i/>
          <w:sz w:val="24"/>
        </w:rPr>
        <w:t>disconnection </w:t>
      </w:r>
      <w:r>
        <w:rPr>
          <w:sz w:val="24"/>
        </w:rPr>
        <w:t>is made pursuant to clause 5.9.3(a)(1), neither </w:t>
      </w:r>
      <w:r>
        <w:rPr>
          <w:i/>
          <w:sz w:val="24"/>
        </w:rPr>
        <w:t>NTESMO </w:t>
      </w:r>
      <w:r>
        <w:rPr>
          <w:sz w:val="24"/>
        </w:rPr>
        <w:t>nor the relevant </w:t>
      </w:r>
      <w:r>
        <w:rPr>
          <w:i/>
          <w:sz w:val="24"/>
        </w:rPr>
        <w:t>Network Service Provider </w:t>
      </w:r>
      <w:r>
        <w:rPr>
          <w:sz w:val="24"/>
        </w:rPr>
        <w:t>is liable in any way for any loss or damage suffered or incurred by the </w:t>
      </w:r>
      <w:r>
        <w:rPr>
          <w:i/>
          <w:sz w:val="24"/>
        </w:rPr>
        <w:t>Registered Participant </w:t>
      </w:r>
      <w:r>
        <w:rPr>
          <w:sz w:val="24"/>
        </w:rPr>
        <w:t>by reason of the </w:t>
      </w:r>
      <w:r>
        <w:rPr>
          <w:i/>
          <w:sz w:val="24"/>
        </w:rPr>
        <w:t>disconnection </w:t>
      </w:r>
      <w:r>
        <w:rPr>
          <w:sz w:val="24"/>
        </w:rPr>
        <w:t>and neither </w:t>
      </w:r>
      <w:r>
        <w:rPr>
          <w:i/>
          <w:sz w:val="24"/>
        </w:rPr>
        <w:t>NTESMO </w:t>
      </w:r>
      <w:r>
        <w:rPr>
          <w:sz w:val="24"/>
        </w:rPr>
        <w:t>nor the relevant </w:t>
      </w:r>
      <w:r>
        <w:rPr>
          <w:i/>
          <w:sz w:val="24"/>
        </w:rPr>
        <w:t>Network </w:t>
      </w:r>
      <w:r>
        <w:rPr>
          <w:i/>
          <w:sz w:val="24"/>
        </w:rPr>
        <w:t>Service Provider </w:t>
      </w:r>
      <w:r>
        <w:rPr>
          <w:sz w:val="24"/>
        </w:rPr>
        <w:t>is obliged for the duration of the </w:t>
      </w:r>
      <w:r>
        <w:rPr>
          <w:i/>
          <w:sz w:val="24"/>
        </w:rPr>
        <w:t>disconnection </w:t>
      </w:r>
      <w:r>
        <w:rPr>
          <w:sz w:val="24"/>
        </w:rPr>
        <w:t>to fulfil  any agreement to convey electricity to or from the </w:t>
      </w:r>
      <w:r>
        <w:rPr>
          <w:i/>
          <w:sz w:val="24"/>
        </w:rPr>
        <w:t>Registered Participant's </w:t>
      </w:r>
      <w:r>
        <w:rPr>
          <w:i/>
          <w:sz w:val="24"/>
        </w:rPr>
        <w:t>facility</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Registered Participant </w:t>
      </w:r>
      <w:r>
        <w:rPr>
          <w:sz w:val="24"/>
        </w:rPr>
        <w:t>must not bring proceedings against </w:t>
      </w:r>
      <w:r>
        <w:rPr>
          <w:i/>
          <w:sz w:val="24"/>
        </w:rPr>
        <w:t>NTESMO </w:t>
      </w:r>
      <w:r>
        <w:rPr>
          <w:sz w:val="24"/>
        </w:rPr>
        <w:t>or a </w:t>
      </w:r>
      <w:r>
        <w:rPr>
          <w:i/>
          <w:sz w:val="24"/>
        </w:rPr>
        <w:t>Network Service Provider </w:t>
      </w:r>
      <w:r>
        <w:rPr>
          <w:sz w:val="24"/>
        </w:rPr>
        <w:t>to seek to recover any amount for any loss or damage described in clause</w:t>
      </w:r>
      <w:r>
        <w:rPr>
          <w:spacing w:val="-2"/>
          <w:sz w:val="24"/>
        </w:rPr>
        <w:t> </w:t>
      </w:r>
      <w:r>
        <w:rPr>
          <w:sz w:val="24"/>
        </w:rPr>
        <w:t>5.9.4(a).</w:t>
      </w:r>
    </w:p>
    <w:p>
      <w:pPr>
        <w:pStyle w:val="ListParagraph"/>
        <w:numPr>
          <w:ilvl w:val="3"/>
          <w:numId w:val="197"/>
        </w:numPr>
        <w:tabs>
          <w:tab w:pos="1919" w:val="left" w:leader="none"/>
        </w:tabs>
        <w:spacing w:line="240" w:lineRule="auto" w:before="120" w:after="0"/>
        <w:ind w:left="1919" w:right="415" w:hanging="567"/>
        <w:jc w:val="both"/>
        <w:rPr>
          <w:sz w:val="24"/>
        </w:rPr>
      </w:pPr>
      <w:r>
        <w:rPr>
          <w:i/>
          <w:sz w:val="24"/>
        </w:rPr>
        <w:t>Transmission service </w:t>
      </w:r>
      <w:r>
        <w:rPr>
          <w:sz w:val="24"/>
        </w:rPr>
        <w:t>charges and </w:t>
      </w:r>
      <w:r>
        <w:rPr>
          <w:i/>
          <w:sz w:val="24"/>
        </w:rPr>
        <w:t>distribution service </w:t>
      </w:r>
      <w:r>
        <w:rPr>
          <w:sz w:val="24"/>
        </w:rPr>
        <w:t>charges must be paid by a </w:t>
      </w:r>
      <w:r>
        <w:rPr>
          <w:i/>
          <w:sz w:val="24"/>
        </w:rPr>
        <w:t>Registered Participant </w:t>
      </w:r>
      <w:r>
        <w:rPr>
          <w:sz w:val="24"/>
        </w:rPr>
        <w:t>whose </w:t>
      </w:r>
      <w:r>
        <w:rPr>
          <w:i/>
          <w:sz w:val="24"/>
        </w:rPr>
        <w:t>facilities </w:t>
      </w:r>
      <w:r>
        <w:rPr>
          <w:sz w:val="24"/>
        </w:rPr>
        <w:t>have been </w:t>
      </w:r>
      <w:r>
        <w:rPr>
          <w:i/>
          <w:sz w:val="24"/>
        </w:rPr>
        <w:t>disconnected </w:t>
      </w:r>
      <w:r>
        <w:rPr>
          <w:sz w:val="24"/>
        </w:rPr>
        <w:t>under clause 5.9.3 as if any </w:t>
      </w:r>
      <w:r>
        <w:rPr>
          <w:i/>
          <w:sz w:val="24"/>
        </w:rPr>
        <w:t>disconnection </w:t>
      </w:r>
      <w:r>
        <w:rPr>
          <w:sz w:val="24"/>
        </w:rPr>
        <w:t>had not</w:t>
      </w:r>
      <w:r>
        <w:rPr>
          <w:spacing w:val="-2"/>
          <w:sz w:val="24"/>
        </w:rPr>
        <w:t> </w:t>
      </w:r>
      <w:r>
        <w:rPr>
          <w:sz w:val="24"/>
        </w:rPr>
        <w:t>occurred.</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that has received a direction from </w:t>
      </w:r>
      <w:r>
        <w:rPr>
          <w:i/>
          <w:sz w:val="24"/>
        </w:rPr>
        <w:t>NTESMO </w:t>
      </w:r>
      <w:r>
        <w:rPr>
          <w:sz w:val="24"/>
        </w:rPr>
        <w:t>to </w:t>
      </w:r>
      <w:r>
        <w:rPr>
          <w:i/>
          <w:sz w:val="24"/>
        </w:rPr>
        <w:t>disconnect </w:t>
      </w:r>
      <w:r>
        <w:rPr>
          <w:sz w:val="24"/>
        </w:rPr>
        <w:t>a </w:t>
      </w:r>
      <w:r>
        <w:rPr>
          <w:i/>
          <w:sz w:val="24"/>
        </w:rPr>
        <w:t>Registered Participant's facilities </w:t>
      </w:r>
      <w:r>
        <w:rPr>
          <w:sz w:val="24"/>
        </w:rPr>
        <w:t>in the circumstances described in clause 5.9.3(a)(1) must comply with that direction</w:t>
      </w:r>
      <w:r>
        <w:rPr>
          <w:spacing w:val="-6"/>
          <w:sz w:val="24"/>
        </w:rPr>
        <w:t> </w:t>
      </w:r>
      <w:r>
        <w:rPr>
          <w:sz w:val="24"/>
        </w:rPr>
        <w:t>promptly.</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205"/>
        </w:numPr>
        <w:tabs>
          <w:tab w:pos="753" w:val="left" w:leader="none"/>
          <w:tab w:pos="1351" w:val="left" w:leader="none"/>
        </w:tabs>
        <w:spacing w:line="240" w:lineRule="auto" w:before="0" w:after="0"/>
        <w:ind w:left="752" w:right="0" w:hanging="535"/>
        <w:jc w:val="left"/>
      </w:pPr>
      <w:bookmarkStart w:name="5.9.4A Notification of disconnection" w:id="641"/>
      <w:bookmarkEnd w:id="641"/>
      <w:r>
        <w:rPr>
          <w:b w:val="0"/>
        </w:rPr>
      </w:r>
      <w:bookmarkStart w:name="_bookmark253" w:id="642"/>
      <w:bookmarkEnd w:id="642"/>
      <w:r>
        <w:rPr>
          <w:b w:val="0"/>
        </w:rPr>
      </w:r>
      <w:bookmarkStart w:name="_bookmark253" w:id="643"/>
      <w:bookmarkEnd w:id="643"/>
      <w:r>
        <w:rPr/>
        <w:t>A</w:t>
      </w:r>
      <w:r>
        <w:rPr/>
        <w:tab/>
        <w:t>Notification of</w:t>
      </w:r>
      <w:r>
        <w:rPr>
          <w:spacing w:val="-2"/>
        </w:rPr>
        <w:t> </w:t>
      </w:r>
      <w:r>
        <w:rPr/>
        <w:t>disconnection</w:t>
      </w:r>
    </w:p>
    <w:p>
      <w:pPr>
        <w:spacing w:before="120"/>
        <w:ind w:left="1352" w:right="415" w:firstLine="0"/>
        <w:jc w:val="both"/>
        <w:rPr>
          <w:sz w:val="24"/>
        </w:rPr>
      </w:pPr>
      <w:r>
        <w:rPr>
          <w:sz w:val="24"/>
        </w:rPr>
        <w:t>If the </w:t>
      </w:r>
      <w:r>
        <w:rPr>
          <w:i/>
          <w:sz w:val="24"/>
        </w:rPr>
        <w:t>AER </w:t>
      </w:r>
      <w:r>
        <w:rPr>
          <w:sz w:val="24"/>
        </w:rPr>
        <w:t>applies to a court for a direction, under section 62 or 63 of the </w:t>
      </w:r>
      <w:r>
        <w:rPr>
          <w:i/>
          <w:sz w:val="24"/>
        </w:rPr>
        <w:t>National </w:t>
      </w:r>
      <w:r>
        <w:rPr>
          <w:i/>
          <w:sz w:val="24"/>
        </w:rPr>
        <w:t>Electricity Law </w:t>
      </w:r>
      <w:r>
        <w:rPr>
          <w:sz w:val="24"/>
        </w:rPr>
        <w:t>or pursuant to regulations made under section 44AAG of the </w:t>
      </w:r>
      <w:r>
        <w:rPr>
          <w:i/>
          <w:sz w:val="24"/>
        </w:rPr>
        <w:t>Competition and Consumer Act 2010 </w:t>
      </w:r>
      <w:r>
        <w:rPr>
          <w:sz w:val="24"/>
        </w:rPr>
        <w:t>(Cth), that a </w:t>
      </w:r>
      <w:r>
        <w:rPr>
          <w:i/>
          <w:sz w:val="24"/>
        </w:rPr>
        <w:t>Registered Participant's market </w:t>
      </w:r>
      <w:r>
        <w:rPr>
          <w:i/>
          <w:sz w:val="24"/>
        </w:rPr>
        <w:t>loads </w:t>
      </w:r>
      <w:r>
        <w:rPr>
          <w:sz w:val="24"/>
        </w:rPr>
        <w:t>be </w:t>
      </w:r>
      <w:r>
        <w:rPr>
          <w:i/>
          <w:sz w:val="24"/>
        </w:rPr>
        <w:t>disconnected</w:t>
      </w:r>
      <w:r>
        <w:rPr>
          <w:sz w:val="24"/>
        </w:rPr>
        <w:t>, the </w:t>
      </w:r>
      <w:r>
        <w:rPr>
          <w:i/>
          <w:sz w:val="24"/>
        </w:rPr>
        <w:t>AER </w:t>
      </w:r>
      <w:r>
        <w:rPr>
          <w:sz w:val="24"/>
        </w:rPr>
        <w:t>must promptly notify </w:t>
      </w:r>
      <w:r>
        <w:rPr>
          <w:i/>
          <w:sz w:val="24"/>
        </w:rPr>
        <w:t>NTESMO </w:t>
      </w:r>
      <w:r>
        <w:rPr>
          <w:sz w:val="24"/>
        </w:rPr>
        <w:t>and the </w:t>
      </w:r>
      <w:r>
        <w:rPr>
          <w:i/>
          <w:sz w:val="24"/>
        </w:rPr>
        <w:t>participating jurisdictions </w:t>
      </w:r>
      <w:r>
        <w:rPr>
          <w:sz w:val="24"/>
        </w:rPr>
        <w:t>which the </w:t>
      </w:r>
      <w:r>
        <w:rPr>
          <w:i/>
          <w:sz w:val="24"/>
        </w:rPr>
        <w:t>AER </w:t>
      </w:r>
      <w:r>
        <w:rPr>
          <w:sz w:val="24"/>
        </w:rPr>
        <w:t>considers may be affected.</w:t>
      </w:r>
    </w:p>
    <w:p>
      <w:pPr>
        <w:spacing w:after="0"/>
        <w:jc w:val="both"/>
        <w:rPr>
          <w:sz w:val="24"/>
        </w:rPr>
        <w:sectPr>
          <w:pgSz w:w="11910" w:h="16840"/>
          <w:pgMar w:header="686" w:footer="637" w:top="1320" w:bottom="820" w:left="1200" w:right="1000"/>
        </w:sectPr>
      </w:pPr>
    </w:p>
    <w:p>
      <w:pPr>
        <w:pStyle w:val="Heading4"/>
        <w:numPr>
          <w:ilvl w:val="2"/>
          <w:numId w:val="205"/>
        </w:numPr>
        <w:tabs>
          <w:tab w:pos="1351" w:val="left" w:leader="none"/>
          <w:tab w:pos="1352" w:val="left" w:leader="none"/>
        </w:tabs>
        <w:spacing w:line="240" w:lineRule="auto" w:before="83" w:after="0"/>
        <w:ind w:left="1351" w:right="0" w:hanging="1134"/>
        <w:jc w:val="left"/>
      </w:pPr>
      <w:bookmarkStart w:name="5.9.5 Disconnection during an emergency" w:id="644"/>
      <w:bookmarkEnd w:id="644"/>
      <w:r>
        <w:rPr>
          <w:b w:val="0"/>
        </w:rPr>
      </w:r>
      <w:bookmarkStart w:name="_bookmark254" w:id="645"/>
      <w:bookmarkEnd w:id="645"/>
      <w:r>
        <w:rPr>
          <w:b w:val="0"/>
        </w:rPr>
      </w:r>
      <w:bookmarkStart w:name="_bookmark254" w:id="646"/>
      <w:bookmarkEnd w:id="646"/>
      <w:r>
        <w:rPr/>
        <w:t>Disconnectio</w:t>
      </w:r>
      <w:r>
        <w:rPr/>
        <w:t>n during an</w:t>
      </w:r>
      <w:r>
        <w:rPr>
          <w:spacing w:val="-4"/>
        </w:rPr>
        <w:t> </w:t>
      </w:r>
      <w:r>
        <w:rPr/>
        <w:t>emergency</w:t>
      </w:r>
    </w:p>
    <w:p>
      <w:pPr>
        <w:pStyle w:val="ListParagraph"/>
        <w:numPr>
          <w:ilvl w:val="3"/>
          <w:numId w:val="205"/>
        </w:numPr>
        <w:tabs>
          <w:tab w:pos="1919" w:val="left" w:leader="none"/>
        </w:tabs>
        <w:spacing w:line="240" w:lineRule="auto" w:before="120" w:after="0"/>
        <w:ind w:left="1919" w:right="415" w:hanging="567"/>
        <w:jc w:val="both"/>
        <w:rPr>
          <w:sz w:val="24"/>
        </w:rPr>
      </w:pPr>
      <w:r>
        <w:rPr>
          <w:sz w:val="24"/>
        </w:rPr>
        <w:t>Where </w:t>
      </w:r>
      <w:r>
        <w:rPr>
          <w:i/>
          <w:sz w:val="24"/>
        </w:rPr>
        <w:t>NTESMO </w:t>
      </w:r>
      <w:r>
        <w:rPr>
          <w:sz w:val="24"/>
        </w:rPr>
        <w:t>may direct a </w:t>
      </w:r>
      <w:r>
        <w:rPr>
          <w:i/>
          <w:sz w:val="24"/>
        </w:rPr>
        <w:t>Network Service Provider </w:t>
      </w:r>
      <w:r>
        <w:rPr>
          <w:sz w:val="24"/>
        </w:rPr>
        <w:t>to </w:t>
      </w:r>
      <w:r>
        <w:rPr>
          <w:i/>
          <w:sz w:val="24"/>
        </w:rPr>
        <w:t>disconnect </w:t>
      </w:r>
      <w:r>
        <w:rPr>
          <w:sz w:val="24"/>
        </w:rPr>
        <w:t>a </w:t>
      </w:r>
      <w:r>
        <w:rPr>
          <w:i/>
          <w:sz w:val="24"/>
        </w:rPr>
        <w:t>Registered Participant's facilities </w:t>
      </w:r>
      <w:r>
        <w:rPr>
          <w:sz w:val="24"/>
        </w:rPr>
        <w:t>during an emergency under the </w:t>
      </w:r>
      <w:r>
        <w:rPr>
          <w:i/>
          <w:sz w:val="24"/>
        </w:rPr>
        <w:t>Rules </w:t>
      </w:r>
      <w:r>
        <w:rPr>
          <w:sz w:val="24"/>
        </w:rPr>
        <w:t>or otherwise, then </w:t>
      </w:r>
      <w:r>
        <w:rPr>
          <w:i/>
          <w:sz w:val="24"/>
        </w:rPr>
        <w:t>NTESMO</w:t>
      </w:r>
      <w:r>
        <w:rPr>
          <w:i/>
          <w:spacing w:val="-1"/>
          <w:sz w:val="24"/>
        </w:rPr>
        <w:t> </w:t>
      </w:r>
      <w:r>
        <w:rPr>
          <w:sz w:val="24"/>
        </w:rPr>
        <w:t>may:</w:t>
      </w:r>
    </w:p>
    <w:p>
      <w:pPr>
        <w:pStyle w:val="ListParagraph"/>
        <w:numPr>
          <w:ilvl w:val="4"/>
          <w:numId w:val="205"/>
        </w:numPr>
        <w:tabs>
          <w:tab w:pos="2486" w:val="left" w:leader="none"/>
        </w:tabs>
        <w:spacing w:line="240" w:lineRule="auto" w:before="120" w:after="0"/>
        <w:ind w:left="2486" w:right="415" w:hanging="567"/>
        <w:jc w:val="both"/>
        <w:rPr>
          <w:sz w:val="24"/>
        </w:rPr>
      </w:pPr>
      <w:r>
        <w:rPr>
          <w:sz w:val="24"/>
        </w:rPr>
        <w:t>require the relevant </w:t>
      </w:r>
      <w:r>
        <w:rPr>
          <w:i/>
          <w:sz w:val="24"/>
        </w:rPr>
        <w:t>Registered Participant </w:t>
      </w:r>
      <w:r>
        <w:rPr>
          <w:sz w:val="24"/>
        </w:rPr>
        <w:t>to reduce the </w:t>
      </w:r>
      <w:r>
        <w:rPr>
          <w:i/>
          <w:sz w:val="24"/>
        </w:rPr>
        <w:t>power </w:t>
      </w:r>
      <w:r>
        <w:rPr>
          <w:i/>
          <w:sz w:val="24"/>
        </w:rPr>
        <w:t>transfer </w:t>
      </w:r>
      <w:r>
        <w:rPr>
          <w:sz w:val="24"/>
        </w:rPr>
        <w:t>at the proposed point of </w:t>
      </w:r>
      <w:r>
        <w:rPr>
          <w:i/>
          <w:sz w:val="24"/>
        </w:rPr>
        <w:t>disconnection </w:t>
      </w:r>
      <w:r>
        <w:rPr>
          <w:sz w:val="24"/>
        </w:rPr>
        <w:t>to zero in an orderly manner and then direct a </w:t>
      </w:r>
      <w:r>
        <w:rPr>
          <w:i/>
          <w:sz w:val="24"/>
        </w:rPr>
        <w:t>Network Service Provider </w:t>
      </w:r>
      <w:r>
        <w:rPr>
          <w:sz w:val="24"/>
        </w:rPr>
        <w:t>to </w:t>
      </w:r>
      <w:r>
        <w:rPr>
          <w:i/>
          <w:sz w:val="24"/>
        </w:rPr>
        <w:t>disconnect </w:t>
      </w:r>
      <w:r>
        <w:rPr>
          <w:spacing w:val="-4"/>
          <w:sz w:val="24"/>
        </w:rPr>
        <w:t>the </w:t>
      </w:r>
      <w:r>
        <w:rPr>
          <w:i/>
          <w:sz w:val="24"/>
        </w:rPr>
        <w:t>Registered Participant's facility </w:t>
      </w:r>
      <w:r>
        <w:rPr>
          <w:sz w:val="24"/>
        </w:rPr>
        <w:t>by automatic or manual means;</w:t>
      </w:r>
      <w:r>
        <w:rPr>
          <w:spacing w:val="-5"/>
          <w:sz w:val="24"/>
        </w:rPr>
        <w:t> </w:t>
      </w:r>
      <w:r>
        <w:rPr>
          <w:sz w:val="24"/>
        </w:rPr>
        <w:t>or</w:t>
      </w:r>
    </w:p>
    <w:p>
      <w:pPr>
        <w:pStyle w:val="ListParagraph"/>
        <w:numPr>
          <w:ilvl w:val="4"/>
          <w:numId w:val="205"/>
        </w:numPr>
        <w:tabs>
          <w:tab w:pos="2486" w:val="left" w:leader="none"/>
        </w:tabs>
        <w:spacing w:line="240" w:lineRule="auto" w:before="120" w:after="0"/>
        <w:ind w:left="2486" w:right="415" w:hanging="567"/>
        <w:jc w:val="both"/>
        <w:rPr>
          <w:sz w:val="24"/>
        </w:rPr>
      </w:pPr>
      <w:r>
        <w:rPr>
          <w:sz w:val="24"/>
        </w:rPr>
        <w:t>direct a </w:t>
      </w:r>
      <w:r>
        <w:rPr>
          <w:i/>
          <w:sz w:val="24"/>
        </w:rPr>
        <w:t>Network Service Provider </w:t>
      </w:r>
      <w:r>
        <w:rPr>
          <w:sz w:val="24"/>
        </w:rPr>
        <w:t>to immediately </w:t>
      </w:r>
      <w:r>
        <w:rPr>
          <w:i/>
          <w:sz w:val="24"/>
        </w:rPr>
        <w:t>disconnect </w:t>
      </w:r>
      <w:r>
        <w:rPr>
          <w:spacing w:val="-4"/>
          <w:sz w:val="24"/>
        </w:rPr>
        <w:t>the </w:t>
      </w:r>
      <w:r>
        <w:rPr>
          <w:i/>
          <w:sz w:val="24"/>
        </w:rPr>
        <w:t>Registered Participant's facilities </w:t>
      </w:r>
      <w:r>
        <w:rPr>
          <w:sz w:val="24"/>
        </w:rPr>
        <w:t>by automatic or manual means where, in </w:t>
      </w:r>
      <w:r>
        <w:rPr>
          <w:i/>
          <w:sz w:val="24"/>
        </w:rPr>
        <w:t>NTESMO's </w:t>
      </w:r>
      <w:r>
        <w:rPr>
          <w:sz w:val="24"/>
        </w:rPr>
        <w:t>reasonable opinion, it is not appropriate to follow the procedure set out in clause 5.9.5(a)(1) because action </w:t>
      </w:r>
      <w:r>
        <w:rPr>
          <w:spacing w:val="-5"/>
          <w:sz w:val="24"/>
        </w:rPr>
        <w:t>is </w:t>
      </w:r>
      <w:r>
        <w:rPr>
          <w:sz w:val="24"/>
        </w:rPr>
        <w:t>urgently required as a result of a threat to safety of persons, hazard to equipment or a threat to </w:t>
      </w:r>
      <w:r>
        <w:rPr>
          <w:i/>
          <w:sz w:val="24"/>
        </w:rPr>
        <w:t>power system</w:t>
      </w:r>
      <w:r>
        <w:rPr>
          <w:i/>
          <w:spacing w:val="-5"/>
          <w:sz w:val="24"/>
        </w:rPr>
        <w:t> </w:t>
      </w:r>
      <w:r>
        <w:rPr>
          <w:i/>
          <w:sz w:val="24"/>
        </w:rPr>
        <w:t>security</w:t>
      </w:r>
      <w:r>
        <w:rPr>
          <w:sz w:val="24"/>
        </w:rPr>
        <w:t>.</w:t>
      </w:r>
    </w:p>
    <w:p>
      <w:pPr>
        <w:pStyle w:val="ListParagraph"/>
        <w:numPr>
          <w:ilvl w:val="3"/>
          <w:numId w:val="205"/>
        </w:numPr>
        <w:tabs>
          <w:tab w:pos="1919" w:val="left" w:leader="none"/>
        </w:tabs>
        <w:spacing w:line="240" w:lineRule="auto" w:before="120" w:after="0"/>
        <w:ind w:left="1918" w:right="0" w:hanging="567"/>
        <w:jc w:val="both"/>
        <w:rPr>
          <w:i/>
          <w:sz w:val="24"/>
        </w:rPr>
      </w:pPr>
      <w:r>
        <w:rPr>
          <w:sz w:val="24"/>
        </w:rPr>
        <w:t>A</w:t>
      </w:r>
      <w:r>
        <w:rPr>
          <w:spacing w:val="36"/>
          <w:sz w:val="24"/>
        </w:rPr>
        <w:t> </w:t>
      </w:r>
      <w:r>
        <w:rPr>
          <w:i/>
          <w:sz w:val="24"/>
        </w:rPr>
        <w:t>Network</w:t>
      </w:r>
      <w:r>
        <w:rPr>
          <w:i/>
          <w:spacing w:val="37"/>
          <w:sz w:val="24"/>
        </w:rPr>
        <w:t> </w:t>
      </w:r>
      <w:r>
        <w:rPr>
          <w:i/>
          <w:sz w:val="24"/>
        </w:rPr>
        <w:t>Service</w:t>
      </w:r>
      <w:r>
        <w:rPr>
          <w:i/>
          <w:spacing w:val="37"/>
          <w:sz w:val="24"/>
        </w:rPr>
        <w:t> </w:t>
      </w:r>
      <w:r>
        <w:rPr>
          <w:i/>
          <w:sz w:val="24"/>
        </w:rPr>
        <w:t>Provider</w:t>
      </w:r>
      <w:r>
        <w:rPr>
          <w:i/>
          <w:spacing w:val="36"/>
          <w:sz w:val="24"/>
        </w:rPr>
        <w:t> </w:t>
      </w:r>
      <w:r>
        <w:rPr>
          <w:sz w:val="24"/>
        </w:rPr>
        <w:t>that</w:t>
      </w:r>
      <w:r>
        <w:rPr>
          <w:spacing w:val="37"/>
          <w:sz w:val="24"/>
        </w:rPr>
        <w:t> </w:t>
      </w:r>
      <w:r>
        <w:rPr>
          <w:sz w:val="24"/>
        </w:rPr>
        <w:t>has</w:t>
      </w:r>
      <w:r>
        <w:rPr>
          <w:spacing w:val="37"/>
          <w:sz w:val="24"/>
        </w:rPr>
        <w:t> </w:t>
      </w:r>
      <w:r>
        <w:rPr>
          <w:sz w:val="24"/>
        </w:rPr>
        <w:t>received</w:t>
      </w:r>
      <w:r>
        <w:rPr>
          <w:spacing w:val="37"/>
          <w:sz w:val="24"/>
        </w:rPr>
        <w:t> </w:t>
      </w:r>
      <w:r>
        <w:rPr>
          <w:sz w:val="24"/>
        </w:rPr>
        <w:t>a</w:t>
      </w:r>
      <w:r>
        <w:rPr>
          <w:spacing w:val="36"/>
          <w:sz w:val="24"/>
        </w:rPr>
        <w:t> </w:t>
      </w:r>
      <w:r>
        <w:rPr>
          <w:sz w:val="24"/>
        </w:rPr>
        <w:t>direction</w:t>
      </w:r>
      <w:r>
        <w:rPr>
          <w:spacing w:val="37"/>
          <w:sz w:val="24"/>
        </w:rPr>
        <w:t> </w:t>
      </w:r>
      <w:r>
        <w:rPr>
          <w:sz w:val="24"/>
        </w:rPr>
        <w:t>from</w:t>
      </w:r>
      <w:r>
        <w:rPr>
          <w:spacing w:val="37"/>
          <w:sz w:val="24"/>
        </w:rPr>
        <w:t> </w:t>
      </w:r>
      <w:r>
        <w:rPr>
          <w:i/>
          <w:sz w:val="24"/>
        </w:rPr>
        <w:t>NTESMO</w:t>
      </w:r>
    </w:p>
    <w:p>
      <w:pPr>
        <w:pStyle w:val="BodyText"/>
        <w:spacing w:before="0"/>
        <w:ind w:left="1919" w:firstLine="0"/>
      </w:pPr>
      <w:r>
        <w:rPr/>
        <w:t>under this clause 5.9.5 must comply with that direction promptly.</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205"/>
        </w:numPr>
        <w:tabs>
          <w:tab w:pos="1351" w:val="left" w:leader="none"/>
          <w:tab w:pos="1352" w:val="left" w:leader="none"/>
        </w:tabs>
        <w:spacing w:line="240" w:lineRule="auto" w:before="0" w:after="0"/>
        <w:ind w:left="1351" w:right="0" w:hanging="1134"/>
        <w:jc w:val="left"/>
      </w:pPr>
      <w:bookmarkStart w:name="5.9.6 Obligation to reconnect" w:id="647"/>
      <w:bookmarkEnd w:id="647"/>
      <w:r>
        <w:rPr>
          <w:b w:val="0"/>
        </w:rPr>
      </w:r>
      <w:bookmarkStart w:name="_bookmark255" w:id="648"/>
      <w:bookmarkEnd w:id="648"/>
      <w:r>
        <w:rPr>
          <w:b w:val="0"/>
        </w:rPr>
      </w:r>
      <w:bookmarkStart w:name="_bookmark255" w:id="649"/>
      <w:bookmarkEnd w:id="649"/>
      <w:r>
        <w:rPr/>
        <w:t>Obl</w:t>
      </w:r>
      <w:r>
        <w:rPr/>
        <w:t>igation to</w:t>
      </w:r>
      <w:r>
        <w:rPr>
          <w:spacing w:val="-2"/>
        </w:rPr>
        <w:t> </w:t>
      </w:r>
      <w:r>
        <w:rPr/>
        <w:t>reconnect</w:t>
      </w:r>
    </w:p>
    <w:p>
      <w:pPr>
        <w:pStyle w:val="ListParagraph"/>
        <w:numPr>
          <w:ilvl w:val="3"/>
          <w:numId w:val="205"/>
        </w:numPr>
        <w:tabs>
          <w:tab w:pos="1919" w:val="left" w:leader="none"/>
        </w:tabs>
        <w:spacing w:line="240" w:lineRule="auto" w:before="120" w:after="0"/>
        <w:ind w:left="1919" w:right="414" w:hanging="567"/>
        <w:jc w:val="both"/>
        <w:rPr>
          <w:sz w:val="24"/>
        </w:rPr>
      </w:pPr>
      <w:r>
        <w:rPr>
          <w:sz w:val="24"/>
        </w:rPr>
        <w:t>Either </w:t>
      </w:r>
      <w:r>
        <w:rPr>
          <w:i/>
          <w:sz w:val="24"/>
        </w:rPr>
        <w:t>NTESMO </w:t>
      </w:r>
      <w:r>
        <w:rPr>
          <w:sz w:val="24"/>
        </w:rPr>
        <w:t>(by directing the </w:t>
      </w:r>
      <w:r>
        <w:rPr>
          <w:i/>
          <w:sz w:val="24"/>
        </w:rPr>
        <w:t>Network Service Provider</w:t>
      </w:r>
      <w:r>
        <w:rPr>
          <w:sz w:val="24"/>
        </w:rPr>
        <w:t>) or the relevant </w:t>
      </w:r>
      <w:r>
        <w:rPr>
          <w:i/>
          <w:sz w:val="24"/>
        </w:rPr>
        <w:t>Network Service Provider </w:t>
      </w:r>
      <w:r>
        <w:rPr>
          <w:sz w:val="24"/>
        </w:rPr>
        <w:t>(either on its own initiative or in accordance with a direction from </w:t>
      </w:r>
      <w:r>
        <w:rPr>
          <w:i/>
          <w:sz w:val="24"/>
        </w:rPr>
        <w:t>NTESMO</w:t>
      </w:r>
      <w:r>
        <w:rPr>
          <w:sz w:val="24"/>
        </w:rPr>
        <w:t>) must reconnect a </w:t>
      </w:r>
      <w:r>
        <w:rPr>
          <w:i/>
          <w:sz w:val="24"/>
        </w:rPr>
        <w:t>Registered Participant's </w:t>
      </w:r>
      <w:r>
        <w:rPr>
          <w:i/>
          <w:sz w:val="24"/>
        </w:rPr>
        <w:t>facilities </w:t>
      </w:r>
      <w:r>
        <w:rPr>
          <w:sz w:val="24"/>
        </w:rPr>
        <w:t>to a </w:t>
      </w:r>
      <w:r>
        <w:rPr>
          <w:i/>
          <w:sz w:val="24"/>
        </w:rPr>
        <w:t>transmission network </w:t>
      </w:r>
      <w:r>
        <w:rPr>
          <w:sz w:val="24"/>
        </w:rPr>
        <w:t>or </w:t>
      </w:r>
      <w:r>
        <w:rPr>
          <w:i/>
          <w:sz w:val="24"/>
        </w:rPr>
        <w:t>distribution network </w:t>
      </w:r>
      <w:r>
        <w:rPr>
          <w:sz w:val="24"/>
        </w:rPr>
        <w:t>at a reasonable cost to the </w:t>
      </w:r>
      <w:r>
        <w:rPr>
          <w:i/>
          <w:sz w:val="24"/>
        </w:rPr>
        <w:t>Registered Participant </w:t>
      </w:r>
      <w:r>
        <w:rPr>
          <w:sz w:val="24"/>
        </w:rPr>
        <w:t>as soon as practicable</w:t>
      </w:r>
      <w:r>
        <w:rPr>
          <w:spacing w:val="-3"/>
          <w:sz w:val="24"/>
        </w:rPr>
        <w:t> </w:t>
      </w:r>
      <w:r>
        <w:rPr>
          <w:sz w:val="24"/>
        </w:rPr>
        <w:t>if:</w:t>
      </w:r>
    </w:p>
    <w:p>
      <w:pPr>
        <w:pStyle w:val="ListParagraph"/>
        <w:numPr>
          <w:ilvl w:val="4"/>
          <w:numId w:val="205"/>
        </w:numPr>
        <w:tabs>
          <w:tab w:pos="2486" w:val="left" w:leader="none"/>
        </w:tabs>
        <w:spacing w:line="240" w:lineRule="auto" w:before="120" w:after="0"/>
        <w:ind w:left="2486" w:right="414" w:hanging="567"/>
        <w:jc w:val="both"/>
        <w:rPr>
          <w:sz w:val="24"/>
        </w:rPr>
      </w:pPr>
      <w:r>
        <w:rPr>
          <w:i/>
          <w:sz w:val="24"/>
        </w:rPr>
        <w:t>NTESMO </w:t>
      </w:r>
      <w:r>
        <w:rPr>
          <w:sz w:val="24"/>
        </w:rPr>
        <w:t>is reasonably satisfied that there no longer exists </w:t>
      </w:r>
      <w:r>
        <w:rPr>
          <w:spacing w:val="-6"/>
          <w:sz w:val="24"/>
        </w:rPr>
        <w:t>an </w:t>
      </w:r>
      <w:r>
        <w:rPr>
          <w:sz w:val="24"/>
        </w:rPr>
        <w:t>emergency due to which the </w:t>
      </w:r>
      <w:r>
        <w:rPr>
          <w:i/>
          <w:sz w:val="24"/>
        </w:rPr>
        <w:t>Registered Participant's facilities </w:t>
      </w:r>
      <w:r>
        <w:rPr>
          <w:sz w:val="24"/>
        </w:rPr>
        <w:t>were </w:t>
      </w:r>
      <w:r>
        <w:rPr>
          <w:i/>
          <w:sz w:val="24"/>
        </w:rPr>
        <w:t>disconnected </w:t>
      </w:r>
      <w:r>
        <w:rPr>
          <w:sz w:val="24"/>
        </w:rPr>
        <w:t>under clause</w:t>
      </w:r>
      <w:r>
        <w:rPr>
          <w:spacing w:val="-1"/>
          <w:sz w:val="24"/>
        </w:rPr>
        <w:t> </w:t>
      </w:r>
      <w:r>
        <w:rPr>
          <w:sz w:val="24"/>
        </w:rPr>
        <w:t>5.9.5;</w:t>
      </w:r>
    </w:p>
    <w:p>
      <w:pPr>
        <w:pStyle w:val="ListParagraph"/>
        <w:numPr>
          <w:ilvl w:val="4"/>
          <w:numId w:val="205"/>
        </w:numPr>
        <w:tabs>
          <w:tab w:pos="2486" w:val="left" w:leader="none"/>
        </w:tabs>
        <w:spacing w:line="240" w:lineRule="auto" w:before="120" w:after="0"/>
        <w:ind w:left="2486" w:right="414" w:hanging="567"/>
        <w:jc w:val="both"/>
        <w:rPr>
          <w:sz w:val="24"/>
        </w:rPr>
      </w:pPr>
      <w:r>
        <w:rPr>
          <w:i/>
          <w:sz w:val="24"/>
        </w:rPr>
        <w:t>NTESMO </w:t>
      </w:r>
      <w:r>
        <w:rPr>
          <w:sz w:val="24"/>
        </w:rPr>
        <w:t>is reasonably satisfied that there no longer exists a reason for the </w:t>
      </w:r>
      <w:r>
        <w:rPr>
          <w:i/>
          <w:sz w:val="24"/>
        </w:rPr>
        <w:t>disconnection </w:t>
      </w:r>
      <w:r>
        <w:rPr>
          <w:sz w:val="24"/>
        </w:rPr>
        <w:t>under the </w:t>
      </w:r>
      <w:r>
        <w:rPr>
          <w:i/>
          <w:sz w:val="24"/>
        </w:rPr>
        <w:t>National Electricity Law </w:t>
      </w:r>
      <w:r>
        <w:rPr>
          <w:sz w:val="24"/>
        </w:rPr>
        <w:t>or the </w:t>
      </w:r>
      <w:r>
        <w:rPr>
          <w:i/>
          <w:sz w:val="24"/>
        </w:rPr>
        <w:t>Registered Participant's connection</w:t>
      </w:r>
      <w:r>
        <w:rPr>
          <w:i/>
          <w:spacing w:val="-1"/>
          <w:sz w:val="24"/>
        </w:rPr>
        <w:t> </w:t>
      </w:r>
      <w:r>
        <w:rPr>
          <w:i/>
          <w:sz w:val="24"/>
        </w:rPr>
        <w:t>agreement</w:t>
      </w:r>
      <w:r>
        <w:rPr>
          <w:sz w:val="24"/>
        </w:rPr>
        <w:t>;</w:t>
      </w:r>
    </w:p>
    <w:p>
      <w:pPr>
        <w:pStyle w:val="ListParagraph"/>
        <w:numPr>
          <w:ilvl w:val="4"/>
          <w:numId w:val="205"/>
        </w:numPr>
        <w:tabs>
          <w:tab w:pos="2486" w:val="left" w:leader="none"/>
        </w:tabs>
        <w:spacing w:line="240" w:lineRule="auto" w:before="120" w:after="0"/>
        <w:ind w:left="2485" w:right="0" w:hanging="567"/>
        <w:jc w:val="both"/>
        <w:rPr>
          <w:sz w:val="24"/>
        </w:rPr>
      </w:pPr>
      <w:r>
        <w:rPr>
          <w:sz w:val="24"/>
        </w:rPr>
        <w:t>one of the following</w:t>
      </w:r>
      <w:r>
        <w:rPr>
          <w:spacing w:val="-1"/>
          <w:sz w:val="24"/>
        </w:rPr>
        <w:t> </w:t>
      </w:r>
      <w:r>
        <w:rPr>
          <w:sz w:val="24"/>
        </w:rPr>
        <w:t>occurs:</w:t>
      </w:r>
    </w:p>
    <w:p>
      <w:pPr>
        <w:pStyle w:val="ListParagraph"/>
        <w:numPr>
          <w:ilvl w:val="5"/>
          <w:numId w:val="205"/>
        </w:numPr>
        <w:tabs>
          <w:tab w:pos="3053" w:val="left" w:leader="none"/>
        </w:tabs>
        <w:spacing w:line="240" w:lineRule="auto" w:before="120" w:after="0"/>
        <w:ind w:left="3053" w:right="416" w:hanging="567"/>
        <w:jc w:val="both"/>
        <w:rPr>
          <w:sz w:val="24"/>
        </w:rPr>
      </w:pPr>
      <w:r>
        <w:rPr>
          <w:sz w:val="24"/>
        </w:rPr>
        <w:t>a breach of the </w:t>
      </w:r>
      <w:r>
        <w:rPr>
          <w:i/>
          <w:sz w:val="24"/>
        </w:rPr>
        <w:t>Rules </w:t>
      </w:r>
      <w:r>
        <w:rPr>
          <w:sz w:val="24"/>
        </w:rPr>
        <w:t>giving rise to the </w:t>
      </w:r>
      <w:r>
        <w:rPr>
          <w:i/>
          <w:sz w:val="24"/>
        </w:rPr>
        <w:t>disconnection </w:t>
      </w:r>
      <w:r>
        <w:rPr>
          <w:sz w:val="24"/>
        </w:rPr>
        <w:t>has been remedied;</w:t>
      </w:r>
    </w:p>
    <w:p>
      <w:pPr>
        <w:pStyle w:val="ListParagraph"/>
        <w:numPr>
          <w:ilvl w:val="5"/>
          <w:numId w:val="205"/>
        </w:numPr>
        <w:tabs>
          <w:tab w:pos="3054" w:val="left" w:leader="none"/>
        </w:tabs>
        <w:spacing w:line="240" w:lineRule="auto" w:before="120" w:after="0"/>
        <w:ind w:left="3053" w:right="414" w:hanging="567"/>
        <w:jc w:val="both"/>
        <w:rPr>
          <w:sz w:val="24"/>
        </w:rPr>
      </w:pPr>
      <w:r>
        <w:rPr>
          <w:sz w:val="24"/>
        </w:rPr>
        <w:t>where the breach is not capable of remedy, compensation has been agreed and paid by the </w:t>
      </w:r>
      <w:r>
        <w:rPr>
          <w:i/>
          <w:sz w:val="24"/>
        </w:rPr>
        <w:t>Registered Participant </w:t>
      </w:r>
      <w:r>
        <w:rPr>
          <w:sz w:val="24"/>
        </w:rPr>
        <w:t>to the affected parties or, failing agreement, the amount</w:t>
      </w:r>
      <w:r>
        <w:rPr>
          <w:spacing w:val="36"/>
          <w:sz w:val="24"/>
        </w:rPr>
        <w:t> </w:t>
      </w:r>
      <w:r>
        <w:rPr>
          <w:sz w:val="24"/>
        </w:rPr>
        <w:t>of compensation payable has been determined in accordance with the dispute resolution procedure in rule 8.2 and that amount has been</w:t>
      </w:r>
      <w:r>
        <w:rPr>
          <w:spacing w:val="-1"/>
          <w:sz w:val="24"/>
        </w:rPr>
        <w:t> </w:t>
      </w:r>
      <w:r>
        <w:rPr>
          <w:sz w:val="24"/>
        </w:rPr>
        <w:t>paid;</w:t>
      </w:r>
    </w:p>
    <w:p>
      <w:pPr>
        <w:pStyle w:val="ListParagraph"/>
        <w:numPr>
          <w:ilvl w:val="5"/>
          <w:numId w:val="205"/>
        </w:numPr>
        <w:tabs>
          <w:tab w:pos="3053" w:val="left" w:leader="none"/>
        </w:tabs>
        <w:spacing w:line="240" w:lineRule="auto" w:before="120" w:after="0"/>
        <w:ind w:left="3053" w:right="415" w:hanging="567"/>
        <w:jc w:val="both"/>
        <w:rPr>
          <w:sz w:val="24"/>
        </w:rPr>
      </w:pPr>
      <w:r>
        <w:rPr>
          <w:sz w:val="24"/>
        </w:rPr>
        <w:t>where the breach is not capable of remedy and the amount of compensation has not been agreed or determined, assurances </w:t>
      </w:r>
      <w:r>
        <w:rPr>
          <w:spacing w:val="-4"/>
          <w:sz w:val="24"/>
        </w:rPr>
        <w:t>for </w:t>
      </w:r>
      <w:r>
        <w:rPr>
          <w:sz w:val="24"/>
        </w:rPr>
        <w:t>the</w:t>
      </w:r>
      <w:r>
        <w:rPr>
          <w:spacing w:val="9"/>
          <w:sz w:val="24"/>
        </w:rPr>
        <w:t> </w:t>
      </w:r>
      <w:r>
        <w:rPr>
          <w:sz w:val="24"/>
        </w:rPr>
        <w:t>payment</w:t>
      </w:r>
      <w:r>
        <w:rPr>
          <w:spacing w:val="10"/>
          <w:sz w:val="24"/>
        </w:rPr>
        <w:t> </w:t>
      </w:r>
      <w:r>
        <w:rPr>
          <w:sz w:val="24"/>
        </w:rPr>
        <w:t>of</w:t>
      </w:r>
      <w:r>
        <w:rPr>
          <w:spacing w:val="10"/>
          <w:sz w:val="24"/>
        </w:rPr>
        <w:t> </w:t>
      </w:r>
      <w:r>
        <w:rPr>
          <w:sz w:val="24"/>
        </w:rPr>
        <w:t>reasonable</w:t>
      </w:r>
      <w:r>
        <w:rPr>
          <w:spacing w:val="10"/>
          <w:sz w:val="24"/>
        </w:rPr>
        <w:t> </w:t>
      </w:r>
      <w:r>
        <w:rPr>
          <w:sz w:val="24"/>
        </w:rPr>
        <w:t>compensation</w:t>
      </w:r>
      <w:r>
        <w:rPr>
          <w:spacing w:val="10"/>
          <w:sz w:val="24"/>
        </w:rPr>
        <w:t> </w:t>
      </w:r>
      <w:r>
        <w:rPr>
          <w:sz w:val="24"/>
        </w:rPr>
        <w:t>have</w:t>
      </w:r>
      <w:r>
        <w:rPr>
          <w:spacing w:val="10"/>
          <w:sz w:val="24"/>
        </w:rPr>
        <w:t> </w:t>
      </w:r>
      <w:r>
        <w:rPr>
          <w:sz w:val="24"/>
        </w:rPr>
        <w:t>been</w:t>
      </w:r>
      <w:r>
        <w:rPr>
          <w:spacing w:val="11"/>
          <w:sz w:val="24"/>
        </w:rPr>
        <w:t> </w:t>
      </w:r>
      <w:r>
        <w:rPr>
          <w:sz w:val="24"/>
        </w:rPr>
        <w:t>given</w:t>
      </w:r>
      <w:r>
        <w:rPr>
          <w:spacing w:val="10"/>
          <w:sz w:val="24"/>
        </w:rPr>
        <w:t> </w:t>
      </w:r>
      <w:r>
        <w:rPr>
          <w:sz w:val="24"/>
        </w:rPr>
        <w:t>to</w:t>
      </w:r>
      <w:r>
        <w:rPr>
          <w:spacing w:val="10"/>
          <w:sz w:val="24"/>
        </w:rPr>
        <w:t> </w:t>
      </w:r>
      <w:r>
        <w:rPr>
          <w:sz w:val="24"/>
        </w:rPr>
        <w:t>the</w:t>
      </w:r>
    </w:p>
    <w:p>
      <w:pPr>
        <w:spacing w:after="0" w:line="240" w:lineRule="auto"/>
        <w:jc w:val="both"/>
        <w:rPr>
          <w:sz w:val="24"/>
        </w:rPr>
        <w:sectPr>
          <w:pgSz w:w="11910" w:h="16840"/>
          <w:pgMar w:header="686" w:footer="637" w:top="1320" w:bottom="820" w:left="1200" w:right="1000"/>
        </w:sectPr>
      </w:pPr>
    </w:p>
    <w:p>
      <w:pPr>
        <w:spacing w:before="83"/>
        <w:ind w:left="3053" w:right="415" w:firstLine="0"/>
        <w:jc w:val="both"/>
        <w:rPr>
          <w:sz w:val="24"/>
        </w:rPr>
      </w:pPr>
      <w:r>
        <w:rPr>
          <w:sz w:val="24"/>
        </w:rPr>
        <w:t>satisfaction of </w:t>
      </w:r>
      <w:r>
        <w:rPr>
          <w:i/>
          <w:sz w:val="24"/>
        </w:rPr>
        <w:t>NTESMO</w:t>
      </w:r>
      <w:r>
        <w:rPr>
          <w:sz w:val="24"/>
        </w:rPr>
        <w:t>, the </w:t>
      </w:r>
      <w:r>
        <w:rPr>
          <w:i/>
          <w:sz w:val="24"/>
        </w:rPr>
        <w:t>Network Service Provider </w:t>
      </w:r>
      <w:r>
        <w:rPr>
          <w:sz w:val="24"/>
        </w:rPr>
        <w:t>and the parties affected; or</w:t>
      </w:r>
    </w:p>
    <w:p>
      <w:pPr>
        <w:pStyle w:val="ListParagraph"/>
        <w:numPr>
          <w:ilvl w:val="5"/>
          <w:numId w:val="205"/>
        </w:numPr>
        <w:tabs>
          <w:tab w:pos="3054" w:val="left" w:leader="none"/>
        </w:tabs>
        <w:spacing w:line="240" w:lineRule="auto" w:before="120" w:after="0"/>
        <w:ind w:left="3053" w:right="415" w:hanging="567"/>
        <w:jc w:val="both"/>
        <w:rPr>
          <w:sz w:val="24"/>
        </w:rPr>
      </w:pPr>
      <w:r>
        <w:rPr>
          <w:sz w:val="24"/>
        </w:rPr>
        <w:t>the </w:t>
      </w:r>
      <w:r>
        <w:rPr>
          <w:i/>
          <w:sz w:val="24"/>
        </w:rPr>
        <w:t>Registered Participant </w:t>
      </w:r>
      <w:r>
        <w:rPr>
          <w:sz w:val="24"/>
        </w:rPr>
        <w:t>has taken all necessary steps to prevent the re-occurrence of the breach and has </w:t>
      </w:r>
      <w:r>
        <w:rPr>
          <w:spacing w:val="-3"/>
          <w:sz w:val="24"/>
        </w:rPr>
        <w:t>delivered </w:t>
      </w:r>
      <w:r>
        <w:rPr>
          <w:sz w:val="24"/>
        </w:rPr>
        <w:t>binding undertakings to </w:t>
      </w:r>
      <w:r>
        <w:rPr>
          <w:i/>
          <w:sz w:val="24"/>
        </w:rPr>
        <w:t>NTESMO </w:t>
      </w:r>
      <w:r>
        <w:rPr>
          <w:sz w:val="24"/>
        </w:rPr>
        <w:t>or the </w:t>
      </w:r>
      <w:r>
        <w:rPr>
          <w:i/>
          <w:sz w:val="24"/>
        </w:rPr>
        <w:t>Network </w:t>
      </w:r>
      <w:r>
        <w:rPr>
          <w:i/>
          <w:spacing w:val="-3"/>
          <w:sz w:val="24"/>
        </w:rPr>
        <w:t>Service </w:t>
      </w:r>
      <w:r>
        <w:rPr>
          <w:i/>
          <w:sz w:val="24"/>
        </w:rPr>
        <w:t>Provider </w:t>
      </w:r>
      <w:r>
        <w:rPr>
          <w:sz w:val="24"/>
        </w:rPr>
        <w:t>that the breach will not</w:t>
      </w:r>
      <w:r>
        <w:rPr>
          <w:spacing w:val="-1"/>
          <w:sz w:val="24"/>
        </w:rPr>
        <w:t> </w:t>
      </w:r>
      <w:r>
        <w:rPr>
          <w:sz w:val="24"/>
        </w:rPr>
        <w:t>re-occur.</w:t>
      </w:r>
    </w:p>
    <w:p>
      <w:pPr>
        <w:pStyle w:val="ListParagraph"/>
        <w:numPr>
          <w:ilvl w:val="4"/>
          <w:numId w:val="205"/>
        </w:numPr>
        <w:tabs>
          <w:tab w:pos="2486" w:val="left" w:leader="none"/>
        </w:tabs>
        <w:spacing w:line="240" w:lineRule="auto" w:before="120" w:after="0"/>
        <w:ind w:left="2486" w:right="415" w:hanging="567"/>
        <w:jc w:val="both"/>
        <w:rPr>
          <w:sz w:val="24"/>
        </w:rPr>
      </w:pPr>
      <w:r>
        <w:rPr>
          <w:i/>
          <w:sz w:val="24"/>
        </w:rPr>
        <w:t>NTESMO </w:t>
      </w:r>
      <w:r>
        <w:rPr>
          <w:sz w:val="24"/>
        </w:rPr>
        <w:t>determines that the requirements under</w:t>
      </w:r>
      <w:r>
        <w:rPr>
          <w:spacing w:val="43"/>
          <w:sz w:val="24"/>
        </w:rPr>
        <w:t> </w:t>
      </w:r>
      <w:r>
        <w:rPr>
          <w:i/>
          <w:sz w:val="24"/>
        </w:rPr>
        <w:t>jurisdictional </w:t>
      </w:r>
      <w:r>
        <w:rPr>
          <w:i/>
          <w:sz w:val="24"/>
        </w:rPr>
        <w:t>electricity legislation </w:t>
      </w:r>
      <w:r>
        <w:rPr>
          <w:sz w:val="24"/>
        </w:rPr>
        <w:t>for reconnection following disconnection </w:t>
      </w:r>
      <w:r>
        <w:rPr>
          <w:spacing w:val="-3"/>
          <w:sz w:val="24"/>
        </w:rPr>
        <w:t>under </w:t>
      </w:r>
      <w:r>
        <w:rPr>
          <w:sz w:val="24"/>
        </w:rPr>
        <w:t>an emergency frequency control arrangement are</w:t>
      </w:r>
      <w:r>
        <w:rPr>
          <w:spacing w:val="-3"/>
          <w:sz w:val="24"/>
        </w:rPr>
        <w:t> </w:t>
      </w:r>
      <w:r>
        <w:rPr>
          <w:sz w:val="24"/>
        </w:rPr>
        <w:t>satisfied.</w:t>
      </w:r>
    </w:p>
    <w:p>
      <w:pPr>
        <w:pStyle w:val="ListParagraph"/>
        <w:numPr>
          <w:ilvl w:val="3"/>
          <w:numId w:val="205"/>
        </w:numPr>
        <w:tabs>
          <w:tab w:pos="1919" w:val="left" w:leader="none"/>
        </w:tabs>
        <w:spacing w:line="240" w:lineRule="auto" w:before="120" w:after="0"/>
        <w:ind w:left="1919" w:right="415" w:hanging="567"/>
        <w:jc w:val="both"/>
        <w:rPr>
          <w:sz w:val="24"/>
        </w:rPr>
      </w:pPr>
      <w:r>
        <w:rPr>
          <w:sz w:val="24"/>
        </w:rPr>
        <w:t>In carrying out its obligations under clause 5.9.6(a), </w:t>
      </w:r>
      <w:r>
        <w:rPr>
          <w:i/>
          <w:sz w:val="24"/>
        </w:rPr>
        <w:t>NTESMO </w:t>
      </w:r>
      <w:r>
        <w:rPr>
          <w:sz w:val="24"/>
        </w:rPr>
        <w:t>must, to the extent practicable, arrange for the implementation of an equitable sharing of the reconnection of </w:t>
      </w:r>
      <w:r>
        <w:rPr>
          <w:i/>
          <w:sz w:val="24"/>
        </w:rPr>
        <w:t>facilities </w:t>
      </w:r>
      <w:r>
        <w:rPr>
          <w:sz w:val="24"/>
        </w:rPr>
        <w:t>across the relevant local electricity system up to the </w:t>
      </w:r>
      <w:r>
        <w:rPr>
          <w:i/>
          <w:sz w:val="24"/>
        </w:rPr>
        <w:t>power transfer capability </w:t>
      </w:r>
      <w:r>
        <w:rPr>
          <w:sz w:val="24"/>
        </w:rPr>
        <w:t>of the </w:t>
      </w:r>
      <w:r>
        <w:rPr>
          <w:i/>
          <w:sz w:val="24"/>
        </w:rPr>
        <w:t>network </w:t>
      </w:r>
      <w:r>
        <w:rPr>
          <w:sz w:val="24"/>
        </w:rPr>
        <w:t>and, in performing these obligations, both </w:t>
      </w:r>
      <w:r>
        <w:rPr>
          <w:i/>
          <w:sz w:val="24"/>
        </w:rPr>
        <w:t>NTESMO </w:t>
      </w:r>
      <w:r>
        <w:rPr>
          <w:sz w:val="24"/>
        </w:rPr>
        <w:t>and the relevant </w:t>
      </w:r>
      <w:r>
        <w:rPr>
          <w:i/>
          <w:sz w:val="24"/>
        </w:rPr>
        <w:t>Network Service Provider </w:t>
      </w:r>
      <w:r>
        <w:rPr>
          <w:spacing w:val="-3"/>
          <w:sz w:val="24"/>
        </w:rPr>
        <w:t>must, </w:t>
      </w:r>
      <w:r>
        <w:rPr>
          <w:sz w:val="24"/>
        </w:rPr>
        <w:t>to the extent practicable, give priority to reconnection of sensitive</w:t>
      </w:r>
      <w:r>
        <w:rPr>
          <w:spacing w:val="-6"/>
          <w:sz w:val="24"/>
        </w:rPr>
        <w:t> </w:t>
      </w:r>
      <w:r>
        <w:rPr>
          <w:sz w:val="24"/>
        </w:rPr>
        <w:t>loads.</w:t>
      </w:r>
    </w:p>
    <w:p>
      <w:pPr>
        <w:pStyle w:val="ListParagraph"/>
        <w:numPr>
          <w:ilvl w:val="3"/>
          <w:numId w:val="205"/>
        </w:numPr>
        <w:tabs>
          <w:tab w:pos="1919" w:val="left" w:leader="none"/>
        </w:tabs>
        <w:spacing w:line="240" w:lineRule="auto" w:before="120" w:after="0"/>
        <w:ind w:left="1918" w:right="0" w:hanging="567"/>
        <w:jc w:val="both"/>
        <w:rPr>
          <w:i/>
          <w:sz w:val="24"/>
        </w:rPr>
      </w:pPr>
      <w:r>
        <w:rPr>
          <w:sz w:val="24"/>
        </w:rPr>
        <w:t>A</w:t>
      </w:r>
      <w:r>
        <w:rPr>
          <w:spacing w:val="36"/>
          <w:sz w:val="24"/>
        </w:rPr>
        <w:t> </w:t>
      </w:r>
      <w:r>
        <w:rPr>
          <w:i/>
          <w:sz w:val="24"/>
        </w:rPr>
        <w:t>Network</w:t>
      </w:r>
      <w:r>
        <w:rPr>
          <w:i/>
          <w:spacing w:val="37"/>
          <w:sz w:val="24"/>
        </w:rPr>
        <w:t> </w:t>
      </w:r>
      <w:r>
        <w:rPr>
          <w:i/>
          <w:sz w:val="24"/>
        </w:rPr>
        <w:t>Service</w:t>
      </w:r>
      <w:r>
        <w:rPr>
          <w:i/>
          <w:spacing w:val="37"/>
          <w:sz w:val="24"/>
        </w:rPr>
        <w:t> </w:t>
      </w:r>
      <w:r>
        <w:rPr>
          <w:i/>
          <w:sz w:val="24"/>
        </w:rPr>
        <w:t>Provider</w:t>
      </w:r>
      <w:r>
        <w:rPr>
          <w:i/>
          <w:spacing w:val="36"/>
          <w:sz w:val="24"/>
        </w:rPr>
        <w:t> </w:t>
      </w:r>
      <w:r>
        <w:rPr>
          <w:sz w:val="24"/>
        </w:rPr>
        <w:t>that</w:t>
      </w:r>
      <w:r>
        <w:rPr>
          <w:spacing w:val="37"/>
          <w:sz w:val="24"/>
        </w:rPr>
        <w:t> </w:t>
      </w:r>
      <w:r>
        <w:rPr>
          <w:sz w:val="24"/>
        </w:rPr>
        <w:t>has</w:t>
      </w:r>
      <w:r>
        <w:rPr>
          <w:spacing w:val="37"/>
          <w:sz w:val="24"/>
        </w:rPr>
        <w:t> </w:t>
      </w:r>
      <w:r>
        <w:rPr>
          <w:sz w:val="24"/>
        </w:rPr>
        <w:t>received</w:t>
      </w:r>
      <w:r>
        <w:rPr>
          <w:spacing w:val="37"/>
          <w:sz w:val="24"/>
        </w:rPr>
        <w:t> </w:t>
      </w:r>
      <w:r>
        <w:rPr>
          <w:sz w:val="24"/>
        </w:rPr>
        <w:t>a</w:t>
      </w:r>
      <w:r>
        <w:rPr>
          <w:spacing w:val="36"/>
          <w:sz w:val="24"/>
        </w:rPr>
        <w:t> </w:t>
      </w:r>
      <w:r>
        <w:rPr>
          <w:sz w:val="24"/>
        </w:rPr>
        <w:t>direction</w:t>
      </w:r>
      <w:r>
        <w:rPr>
          <w:spacing w:val="37"/>
          <w:sz w:val="24"/>
        </w:rPr>
        <w:t> </w:t>
      </w:r>
      <w:r>
        <w:rPr>
          <w:sz w:val="24"/>
        </w:rPr>
        <w:t>from</w:t>
      </w:r>
      <w:r>
        <w:rPr>
          <w:spacing w:val="37"/>
          <w:sz w:val="24"/>
        </w:rPr>
        <w:t> </w:t>
      </w:r>
      <w:r>
        <w:rPr>
          <w:i/>
          <w:sz w:val="24"/>
        </w:rPr>
        <w:t>NTESMO</w:t>
      </w:r>
    </w:p>
    <w:p>
      <w:pPr>
        <w:pStyle w:val="BodyText"/>
        <w:spacing w:before="0"/>
        <w:ind w:left="1919" w:firstLine="0"/>
      </w:pPr>
      <w:r>
        <w:rPr/>
        <w:t>under this clause 5.9.6 must comply with that direction promptly.</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2"/>
        <w:tabs>
          <w:tab w:pos="1352" w:val="left" w:leader="none"/>
          <w:tab w:pos="9317" w:val="left" w:leader="none"/>
        </w:tabs>
      </w:pPr>
      <w:bookmarkStart w:name="Part D Network Planning and Expansion" w:id="650"/>
      <w:bookmarkEnd w:id="650"/>
      <w:r>
        <w:rPr>
          <w:b w:val="0"/>
        </w:rPr>
      </w:r>
      <w:bookmarkStart w:name="_bookmark256" w:id="651"/>
      <w:bookmarkEnd w:id="651"/>
      <w:r>
        <w:rPr>
          <w:b w:val="0"/>
        </w:rPr>
      </w:r>
      <w:r>
        <w:rPr>
          <w:shd w:fill="D9D9D9" w:color="auto" w:val="clear"/>
        </w:rPr>
        <w:t>Part D</w:t>
        <w:tab/>
        <w:t>Network Planning and</w:t>
      </w:r>
      <w:r>
        <w:rPr>
          <w:spacing w:val="-11"/>
          <w:shd w:fill="D9D9D9" w:color="auto" w:val="clear"/>
        </w:rPr>
        <w:t> </w:t>
      </w:r>
      <w:r>
        <w:rPr>
          <w:shd w:fill="D9D9D9" w:color="auto" w:val="clear"/>
        </w:rPr>
        <w:t>Expansion</w:t>
        <w:tab/>
      </w:r>
    </w:p>
    <w:p>
      <w:pPr>
        <w:pStyle w:val="Heading3"/>
        <w:numPr>
          <w:ilvl w:val="1"/>
          <w:numId w:val="197"/>
        </w:numPr>
        <w:tabs>
          <w:tab w:pos="1351" w:val="left" w:leader="none"/>
          <w:tab w:pos="1353" w:val="left" w:leader="none"/>
        </w:tabs>
        <w:spacing w:line="240" w:lineRule="auto" w:before="240" w:after="0"/>
        <w:ind w:left="1352" w:right="0" w:hanging="1135"/>
        <w:jc w:val="left"/>
      </w:pPr>
      <w:bookmarkStart w:name="5.10 Network development generally" w:id="652"/>
      <w:bookmarkEnd w:id="652"/>
      <w:r>
        <w:rPr>
          <w:b w:val="0"/>
        </w:rPr>
      </w:r>
      <w:bookmarkStart w:name="_bookmark257" w:id="653"/>
      <w:bookmarkEnd w:id="653"/>
      <w:r>
        <w:rPr>
          <w:b w:val="0"/>
        </w:rPr>
      </w:r>
      <w:bookmarkStart w:name="_bookmark257" w:id="654"/>
      <w:bookmarkEnd w:id="654"/>
      <w:r>
        <w:rPr/>
        <w:t>Networ</w:t>
      </w:r>
      <w:r>
        <w:rPr/>
        <w:t>k development</w:t>
      </w:r>
      <w:r>
        <w:rPr>
          <w:spacing w:val="-2"/>
        </w:rPr>
        <w:t> </w:t>
      </w:r>
      <w:r>
        <w:rPr/>
        <w:t>generally</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10.1 Content of Part D" w:id="655"/>
      <w:bookmarkEnd w:id="655"/>
      <w:r>
        <w:rPr>
          <w:b w:val="0"/>
        </w:rPr>
      </w:r>
      <w:bookmarkStart w:name="_bookmark258" w:id="656"/>
      <w:bookmarkEnd w:id="656"/>
      <w:r>
        <w:rPr>
          <w:b w:val="0"/>
        </w:rPr>
      </w:r>
      <w:bookmarkStart w:name="_bookmark258" w:id="657"/>
      <w:bookmarkEnd w:id="657"/>
      <w:r>
        <w:rPr/>
        <w:t>Conten</w:t>
      </w:r>
      <w:r>
        <w:rPr/>
        <w:t>t of Part</w:t>
      </w:r>
      <w:r>
        <w:rPr>
          <w:spacing w:val="-3"/>
        </w:rPr>
        <w:t> </w:t>
      </w:r>
      <w:r>
        <w:rPr/>
        <w:t>D</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5.10.2 sets out local definitions used in Part</w:t>
      </w:r>
      <w:r>
        <w:rPr>
          <w:spacing w:val="-4"/>
          <w:sz w:val="24"/>
        </w:rPr>
        <w:t> </w:t>
      </w:r>
      <w:r>
        <w:rPr>
          <w:sz w:val="24"/>
        </w:rPr>
        <w:t>D.</w:t>
      </w:r>
    </w:p>
    <w:p>
      <w:pPr>
        <w:pStyle w:val="ListParagraph"/>
        <w:numPr>
          <w:ilvl w:val="3"/>
          <w:numId w:val="197"/>
        </w:numPr>
        <w:tabs>
          <w:tab w:pos="1918" w:val="left" w:leader="none"/>
          <w:tab w:pos="1919" w:val="left" w:leader="none"/>
        </w:tabs>
        <w:spacing w:line="240" w:lineRule="auto" w:before="120" w:after="0"/>
        <w:ind w:left="1919" w:right="416" w:hanging="567"/>
        <w:jc w:val="left"/>
        <w:rPr>
          <w:sz w:val="24"/>
        </w:rPr>
      </w:pPr>
      <w:r>
        <w:rPr>
          <w:sz w:val="24"/>
        </w:rPr>
        <w:t>Clause 5.11.1 sets out obligations regarding forecasts for connection points to the </w:t>
      </w:r>
      <w:r>
        <w:rPr>
          <w:i/>
          <w:sz w:val="24"/>
        </w:rPr>
        <w:t>transmission</w:t>
      </w:r>
      <w:r>
        <w:rPr>
          <w:i/>
          <w:spacing w:val="-2"/>
          <w:sz w:val="24"/>
        </w:rPr>
        <w:t> </w:t>
      </w:r>
      <w:r>
        <w:rPr>
          <w:i/>
          <w:sz w:val="24"/>
        </w:rPr>
        <w:t>network</w:t>
      </w:r>
      <w:r>
        <w:rPr>
          <w:sz w:val="24"/>
        </w:rPr>
        <w:t>.</w:t>
      </w:r>
    </w:p>
    <w:p>
      <w:pPr>
        <w:pStyle w:val="ListParagraph"/>
        <w:numPr>
          <w:ilvl w:val="3"/>
          <w:numId w:val="197"/>
        </w:numPr>
        <w:tabs>
          <w:tab w:pos="1918" w:val="left" w:leader="none"/>
          <w:tab w:pos="1919" w:val="left" w:leader="none"/>
        </w:tabs>
        <w:spacing w:line="240" w:lineRule="auto" w:before="120" w:after="0"/>
        <w:ind w:left="1919" w:right="415" w:hanging="567"/>
        <w:jc w:val="left"/>
        <w:rPr>
          <w:sz w:val="24"/>
        </w:rPr>
      </w:pPr>
      <w:r>
        <w:rPr>
          <w:sz w:val="24"/>
        </w:rPr>
        <w:t>Clause 5.11.2 sets out the obligations of </w:t>
      </w:r>
      <w:r>
        <w:rPr>
          <w:i/>
          <w:sz w:val="24"/>
        </w:rPr>
        <w:t>Network Service Providers </w:t>
      </w:r>
      <w:r>
        <w:rPr>
          <w:sz w:val="24"/>
        </w:rPr>
        <w:t>relating to the identification of network</w:t>
      </w:r>
      <w:r>
        <w:rPr>
          <w:spacing w:val="-1"/>
          <w:sz w:val="24"/>
        </w:rPr>
        <w:t> </w:t>
      </w:r>
      <w:r>
        <w:rPr>
          <w:sz w:val="24"/>
        </w:rPr>
        <w:t>limitations.</w:t>
      </w:r>
    </w:p>
    <w:p>
      <w:pPr>
        <w:pStyle w:val="ListParagraph"/>
        <w:numPr>
          <w:ilvl w:val="3"/>
          <w:numId w:val="197"/>
        </w:numPr>
        <w:tabs>
          <w:tab w:pos="1918" w:val="left" w:leader="none"/>
          <w:tab w:pos="1919" w:val="left" w:leader="none"/>
        </w:tabs>
        <w:spacing w:line="240" w:lineRule="auto" w:before="120" w:after="0"/>
        <w:ind w:left="1919" w:right="415" w:hanging="567"/>
        <w:jc w:val="left"/>
        <w:rPr>
          <w:sz w:val="24"/>
        </w:rPr>
      </w:pPr>
      <w:r>
        <w:rPr>
          <w:sz w:val="24"/>
        </w:rPr>
        <w:t>Clause 5.12 sets out planning and reporting obligations for </w:t>
      </w:r>
      <w:r>
        <w:rPr>
          <w:i/>
          <w:sz w:val="24"/>
        </w:rPr>
        <w:t>Transmission </w:t>
      </w:r>
      <w:r>
        <w:rPr>
          <w:i/>
          <w:sz w:val="24"/>
        </w:rPr>
        <w:t>Network Service</w:t>
      </w:r>
      <w:r>
        <w:rPr>
          <w:i/>
          <w:spacing w:val="-1"/>
          <w:sz w:val="24"/>
        </w:rPr>
        <w:t> </w:t>
      </w:r>
      <w:r>
        <w:rPr>
          <w:i/>
          <w:sz w:val="24"/>
        </w:rPr>
        <w:t>Providers</w:t>
      </w:r>
      <w:r>
        <w:rPr>
          <w:sz w:val="24"/>
        </w:rPr>
        <w:t>.</w:t>
      </w:r>
    </w:p>
    <w:p>
      <w:pPr>
        <w:pStyle w:val="ListParagraph"/>
        <w:numPr>
          <w:ilvl w:val="3"/>
          <w:numId w:val="197"/>
        </w:numPr>
        <w:tabs>
          <w:tab w:pos="1918" w:val="left" w:leader="none"/>
          <w:tab w:pos="1919" w:val="left" w:leader="none"/>
        </w:tabs>
        <w:spacing w:line="240" w:lineRule="auto" w:before="120" w:after="0"/>
        <w:ind w:left="1919" w:right="417" w:hanging="567"/>
        <w:jc w:val="left"/>
        <w:rPr>
          <w:sz w:val="24"/>
        </w:rPr>
      </w:pPr>
      <w:r>
        <w:rPr>
          <w:sz w:val="24"/>
        </w:rPr>
        <w:t>Clause 5.13 sets out planning and reporting obligations for </w:t>
      </w:r>
      <w:r>
        <w:rPr>
          <w:i/>
          <w:sz w:val="24"/>
        </w:rPr>
        <w:t>Distribution </w:t>
      </w:r>
      <w:r>
        <w:rPr>
          <w:i/>
          <w:sz w:val="24"/>
        </w:rPr>
        <w:t>Network Service</w:t>
      </w:r>
      <w:r>
        <w:rPr>
          <w:i/>
          <w:spacing w:val="-1"/>
          <w:sz w:val="24"/>
        </w:rPr>
        <w:t> </w:t>
      </w:r>
      <w:r>
        <w:rPr>
          <w:i/>
          <w:sz w:val="24"/>
        </w:rPr>
        <w:t>Providers</w:t>
      </w:r>
      <w:r>
        <w:rPr>
          <w:sz w:val="24"/>
        </w:rPr>
        <w:t>.</w:t>
      </w:r>
    </w:p>
    <w:p>
      <w:pPr>
        <w:pStyle w:val="BodyText"/>
        <w:ind w:left="1919"/>
        <w:jc w:val="left"/>
      </w:pPr>
      <w:r>
        <w:rPr/>
        <w:t>(e1) Clause 5.13A sets out the obligations to provide distribution zone substation information.</w:t>
      </w:r>
    </w:p>
    <w:p>
      <w:pPr>
        <w:pStyle w:val="ListParagraph"/>
        <w:numPr>
          <w:ilvl w:val="3"/>
          <w:numId w:val="197"/>
        </w:numPr>
        <w:tabs>
          <w:tab w:pos="1919" w:val="left" w:leader="none"/>
          <w:tab w:pos="1920" w:val="left" w:leader="none"/>
        </w:tabs>
        <w:spacing w:line="240" w:lineRule="auto" w:before="120" w:after="0"/>
        <w:ind w:left="1919" w:right="416" w:hanging="567"/>
        <w:jc w:val="left"/>
        <w:rPr>
          <w:sz w:val="24"/>
        </w:rPr>
      </w:pPr>
      <w:r>
        <w:rPr>
          <w:sz w:val="24"/>
        </w:rPr>
        <w:t>Clause 5.14 sets out joint planning obligations of </w:t>
      </w:r>
      <w:r>
        <w:rPr>
          <w:i/>
          <w:sz w:val="24"/>
        </w:rPr>
        <w:t>Network Service </w:t>
      </w:r>
      <w:r>
        <w:rPr>
          <w:i/>
          <w:sz w:val="24"/>
        </w:rPr>
        <w:t>Providers</w:t>
      </w:r>
      <w:r>
        <w:rPr>
          <w:sz w:val="24"/>
        </w:rPr>
        <w:t>.</w:t>
      </w:r>
    </w:p>
    <w:p>
      <w:pPr>
        <w:tabs>
          <w:tab w:pos="1919" w:val="left" w:leader="none"/>
        </w:tabs>
        <w:spacing w:before="120"/>
        <w:ind w:left="1352" w:right="0" w:firstLine="0"/>
        <w:jc w:val="left"/>
        <w:rPr>
          <w:sz w:val="24"/>
        </w:rPr>
      </w:pPr>
      <w:r>
        <w:rPr>
          <w:sz w:val="24"/>
        </w:rPr>
        <w:t>(f1)</w:t>
        <w:tab/>
        <w:t>Rule 5.14B relates to guidelines for </w:t>
      </w:r>
      <w:r>
        <w:rPr>
          <w:i/>
          <w:sz w:val="24"/>
        </w:rPr>
        <w:t>Transmission Annual Planning</w:t>
      </w:r>
      <w:r>
        <w:rPr>
          <w:i/>
          <w:spacing w:val="-10"/>
          <w:sz w:val="24"/>
        </w:rPr>
        <w:t> </w:t>
      </w:r>
      <w:r>
        <w:rPr>
          <w:i/>
          <w:sz w:val="24"/>
        </w:rPr>
        <w:t>Reports</w:t>
      </w:r>
      <w:r>
        <w:rPr>
          <w:sz w:val="24"/>
        </w:rPr>
        <w:t>.</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5.15 relates to regulatory investment tests</w:t>
      </w:r>
      <w:r>
        <w:rPr>
          <w:spacing w:val="-2"/>
          <w:sz w:val="24"/>
        </w:rPr>
        <w:t> </w:t>
      </w:r>
      <w:r>
        <w:rPr>
          <w:sz w:val="24"/>
        </w:rPr>
        <w:t>generally.</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5.16 relates to the </w:t>
      </w:r>
      <w:r>
        <w:rPr>
          <w:i/>
          <w:sz w:val="24"/>
        </w:rPr>
        <w:t>regulatory investment test for</w:t>
      </w:r>
      <w:r>
        <w:rPr>
          <w:i/>
          <w:spacing w:val="-7"/>
          <w:sz w:val="24"/>
        </w:rPr>
        <w:t> </w:t>
      </w:r>
      <w:r>
        <w:rPr>
          <w:i/>
          <w:sz w:val="24"/>
        </w:rPr>
        <w:t>transmission</w:t>
      </w:r>
      <w:r>
        <w:rPr>
          <w:sz w:val="24"/>
        </w:rPr>
        <w:t>.</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5.17 relates the </w:t>
      </w:r>
      <w:r>
        <w:rPr>
          <w:i/>
          <w:sz w:val="24"/>
        </w:rPr>
        <w:t>regulatory investment test for</w:t>
      </w:r>
      <w:r>
        <w:rPr>
          <w:i/>
          <w:spacing w:val="-6"/>
          <w:sz w:val="24"/>
        </w:rPr>
        <w:t> </w:t>
      </w:r>
      <w:r>
        <w:rPr>
          <w:i/>
          <w:sz w:val="24"/>
        </w:rPr>
        <w:t>distribution</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3"/>
          <w:numId w:val="197"/>
        </w:numPr>
        <w:tabs>
          <w:tab w:pos="1918" w:val="left" w:leader="none"/>
          <w:tab w:pos="1919" w:val="left" w:leader="none"/>
        </w:tabs>
        <w:spacing w:line="240" w:lineRule="auto" w:before="83" w:after="0"/>
        <w:ind w:left="1918" w:right="0" w:hanging="567"/>
        <w:jc w:val="left"/>
        <w:rPr>
          <w:sz w:val="24"/>
        </w:rPr>
      </w:pPr>
      <w:r>
        <w:rPr>
          <w:sz w:val="24"/>
        </w:rPr>
        <w:t>Clause 5.18 relates to the construction of </w:t>
      </w:r>
      <w:r>
        <w:rPr>
          <w:i/>
          <w:sz w:val="24"/>
        </w:rPr>
        <w:t>funded</w:t>
      </w:r>
      <w:r>
        <w:rPr>
          <w:i/>
          <w:spacing w:val="-2"/>
          <w:sz w:val="24"/>
        </w:rPr>
        <w:t> </w:t>
      </w:r>
      <w:r>
        <w:rPr>
          <w:i/>
          <w:sz w:val="24"/>
        </w:rPr>
        <w:t>augmentations</w:t>
      </w:r>
      <w:r>
        <w:rPr>
          <w:sz w:val="24"/>
        </w:rPr>
        <w:t>.</w:t>
      </w:r>
    </w:p>
    <w:p>
      <w:pPr>
        <w:tabs>
          <w:tab w:pos="1918" w:val="left" w:leader="none"/>
        </w:tabs>
        <w:spacing w:before="120"/>
        <w:ind w:left="1919" w:right="565" w:hanging="567"/>
        <w:jc w:val="left"/>
        <w:rPr>
          <w:sz w:val="24"/>
        </w:rPr>
      </w:pPr>
      <w:r>
        <w:rPr>
          <w:sz w:val="24"/>
        </w:rPr>
        <w:t>(j1)</w:t>
        <w:tab/>
        <w:t>Rule 5.18A sets out the obligations of </w:t>
      </w:r>
      <w:r>
        <w:rPr>
          <w:i/>
          <w:sz w:val="24"/>
        </w:rPr>
        <w:t>Transmission Network Service </w:t>
      </w:r>
      <w:r>
        <w:rPr>
          <w:i/>
          <w:sz w:val="24"/>
        </w:rPr>
        <w:t>Providers </w:t>
      </w:r>
      <w:r>
        <w:rPr>
          <w:sz w:val="24"/>
        </w:rPr>
        <w:t>in relation to a register of large generator</w:t>
      </w:r>
      <w:r>
        <w:rPr>
          <w:spacing w:val="-2"/>
          <w:sz w:val="24"/>
        </w:rPr>
        <w:t> </w:t>
      </w:r>
      <w:r>
        <w:rPr>
          <w:sz w:val="24"/>
        </w:rPr>
        <w:t>connections.</w:t>
      </w:r>
    </w:p>
    <w:p>
      <w:pPr>
        <w:tabs>
          <w:tab w:pos="1918" w:val="left" w:leader="none"/>
        </w:tabs>
        <w:spacing w:before="120"/>
        <w:ind w:left="1352" w:right="0" w:firstLine="0"/>
        <w:jc w:val="left"/>
        <w:rPr>
          <w:i/>
          <w:sz w:val="24"/>
        </w:rPr>
      </w:pPr>
      <w:r>
        <w:rPr>
          <w:sz w:val="24"/>
        </w:rPr>
        <w:t>(j2)</w:t>
        <w:tab/>
        <w:t>Rule</w:t>
      </w:r>
      <w:r>
        <w:rPr>
          <w:spacing w:val="23"/>
          <w:sz w:val="24"/>
        </w:rPr>
        <w:t> </w:t>
      </w:r>
      <w:r>
        <w:rPr>
          <w:sz w:val="24"/>
        </w:rPr>
        <w:t>5.18B</w:t>
      </w:r>
      <w:r>
        <w:rPr>
          <w:spacing w:val="23"/>
          <w:sz w:val="24"/>
        </w:rPr>
        <w:t> </w:t>
      </w:r>
      <w:r>
        <w:rPr>
          <w:sz w:val="24"/>
        </w:rPr>
        <w:t>sets</w:t>
      </w:r>
      <w:r>
        <w:rPr>
          <w:spacing w:val="23"/>
          <w:sz w:val="24"/>
        </w:rPr>
        <w:t> </w:t>
      </w:r>
      <w:r>
        <w:rPr>
          <w:sz w:val="24"/>
        </w:rPr>
        <w:t>out</w:t>
      </w:r>
      <w:r>
        <w:rPr>
          <w:spacing w:val="23"/>
          <w:sz w:val="24"/>
        </w:rPr>
        <w:t> </w:t>
      </w:r>
      <w:r>
        <w:rPr>
          <w:sz w:val="24"/>
        </w:rPr>
        <w:t>obligations</w:t>
      </w:r>
      <w:r>
        <w:rPr>
          <w:spacing w:val="23"/>
          <w:sz w:val="24"/>
        </w:rPr>
        <w:t> </w:t>
      </w:r>
      <w:r>
        <w:rPr>
          <w:sz w:val="24"/>
        </w:rPr>
        <w:t>of</w:t>
      </w:r>
      <w:r>
        <w:rPr>
          <w:spacing w:val="23"/>
          <w:sz w:val="24"/>
        </w:rPr>
        <w:t> </w:t>
      </w:r>
      <w:r>
        <w:rPr>
          <w:i/>
          <w:sz w:val="24"/>
        </w:rPr>
        <w:t>Distribution</w:t>
      </w:r>
      <w:r>
        <w:rPr>
          <w:i/>
          <w:spacing w:val="23"/>
          <w:sz w:val="24"/>
        </w:rPr>
        <w:t> </w:t>
      </w:r>
      <w:r>
        <w:rPr>
          <w:i/>
          <w:sz w:val="24"/>
        </w:rPr>
        <w:t>Network</w:t>
      </w:r>
      <w:r>
        <w:rPr>
          <w:i/>
          <w:spacing w:val="23"/>
          <w:sz w:val="24"/>
        </w:rPr>
        <w:t> </w:t>
      </w:r>
      <w:r>
        <w:rPr>
          <w:i/>
          <w:sz w:val="24"/>
        </w:rPr>
        <w:t>Service</w:t>
      </w:r>
      <w:r>
        <w:rPr>
          <w:i/>
          <w:spacing w:val="23"/>
          <w:sz w:val="24"/>
        </w:rPr>
        <w:t> </w:t>
      </w:r>
      <w:r>
        <w:rPr>
          <w:i/>
          <w:sz w:val="24"/>
        </w:rPr>
        <w:t>Providers</w:t>
      </w:r>
    </w:p>
    <w:p>
      <w:pPr>
        <w:pStyle w:val="BodyText"/>
        <w:spacing w:before="0"/>
        <w:ind w:left="1919" w:firstLine="0"/>
        <w:jc w:val="left"/>
      </w:pPr>
      <w:r>
        <w:rPr/>
        <w:t>in relation to completed embedded generation projects.</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5.19 relates to Scale Efficient Network</w:t>
      </w:r>
      <w:r>
        <w:rPr>
          <w:spacing w:val="-6"/>
          <w:sz w:val="24"/>
        </w:rPr>
        <w:t> </w:t>
      </w:r>
      <w:r>
        <w:rPr>
          <w:sz w:val="24"/>
        </w:rPr>
        <w:t>Extensions.</w:t>
      </w:r>
    </w:p>
    <w:p>
      <w:pPr>
        <w:pStyle w:val="ListParagraph"/>
        <w:numPr>
          <w:ilvl w:val="3"/>
          <w:numId w:val="197"/>
        </w:numPr>
        <w:tabs>
          <w:tab w:pos="1918" w:val="left" w:leader="none"/>
          <w:tab w:pos="1919" w:val="left" w:leader="none"/>
          <w:tab w:pos="2814" w:val="left" w:leader="none"/>
          <w:tab w:pos="3477" w:val="left" w:leader="none"/>
          <w:tab w:pos="4347" w:val="left" w:leader="none"/>
          <w:tab w:pos="4776" w:val="left" w:leader="none"/>
          <w:tab w:pos="5830" w:val="left" w:leader="none"/>
          <w:tab w:pos="6899" w:val="left" w:leader="none"/>
          <w:tab w:pos="8435" w:val="left" w:leader="none"/>
        </w:tabs>
        <w:spacing w:line="240" w:lineRule="auto" w:before="120" w:after="0"/>
        <w:ind w:left="1919" w:right="416" w:hanging="567"/>
        <w:jc w:val="left"/>
        <w:rPr>
          <w:sz w:val="24"/>
        </w:rPr>
      </w:pPr>
      <w:r>
        <w:rPr>
          <w:sz w:val="24"/>
        </w:rPr>
        <w:t>Clause</w:t>
        <w:tab/>
        <w:t>5.20</w:t>
        <w:tab/>
        <w:t>relates</w:t>
        <w:tab/>
        <w:t>to</w:t>
        <w:tab/>
      </w:r>
      <w:r>
        <w:rPr>
          <w:i/>
          <w:sz w:val="24"/>
        </w:rPr>
        <w:t>AEMO's</w:t>
        <w:tab/>
      </w:r>
      <w:r>
        <w:rPr>
          <w:sz w:val="24"/>
        </w:rPr>
        <w:t>National</w:t>
        <w:tab/>
        <w:t>Transmission</w:t>
        <w:tab/>
        <w:t>Planning responsibilities.</w:t>
      </w:r>
    </w:p>
    <w:p>
      <w:pPr>
        <w:pStyle w:val="ListParagraph"/>
        <w:numPr>
          <w:ilvl w:val="3"/>
          <w:numId w:val="197"/>
        </w:numPr>
        <w:tabs>
          <w:tab w:pos="1918" w:val="left" w:leader="none"/>
          <w:tab w:pos="1919" w:val="left" w:leader="none"/>
        </w:tabs>
        <w:spacing w:line="390" w:lineRule="atLeast" w:before="6" w:after="0"/>
        <w:ind w:left="1352" w:right="415" w:firstLine="0"/>
        <w:jc w:val="left"/>
        <w:rPr>
          <w:i/>
          <w:sz w:val="24"/>
        </w:rPr>
      </w:pPr>
      <w:r>
        <w:rPr>
          <w:sz w:val="24"/>
        </w:rPr>
        <w:t>Clause 5.20A relates to </w:t>
      </w:r>
      <w:r>
        <w:rPr>
          <w:i/>
          <w:sz w:val="24"/>
        </w:rPr>
        <w:t>power system frequency </w:t>
      </w:r>
      <w:r>
        <w:rPr>
          <w:sz w:val="24"/>
        </w:rPr>
        <w:t>management planning. (m1)</w:t>
      </w:r>
      <w:r>
        <w:rPr>
          <w:spacing w:val="39"/>
          <w:sz w:val="24"/>
        </w:rPr>
        <w:t> </w:t>
      </w:r>
      <w:r>
        <w:rPr>
          <w:sz w:val="24"/>
        </w:rPr>
        <w:t>Clause</w:t>
      </w:r>
      <w:r>
        <w:rPr>
          <w:spacing w:val="22"/>
          <w:sz w:val="24"/>
        </w:rPr>
        <w:t> </w:t>
      </w:r>
      <w:r>
        <w:rPr>
          <w:sz w:val="24"/>
        </w:rPr>
        <w:t>5.20B</w:t>
      </w:r>
      <w:r>
        <w:rPr>
          <w:spacing w:val="21"/>
          <w:sz w:val="24"/>
        </w:rPr>
        <w:t> </w:t>
      </w:r>
      <w:r>
        <w:rPr>
          <w:sz w:val="24"/>
        </w:rPr>
        <w:t>sets</w:t>
      </w:r>
      <w:r>
        <w:rPr>
          <w:spacing w:val="22"/>
          <w:sz w:val="24"/>
        </w:rPr>
        <w:t> </w:t>
      </w:r>
      <w:r>
        <w:rPr>
          <w:sz w:val="24"/>
        </w:rPr>
        <w:t>out</w:t>
      </w:r>
      <w:r>
        <w:rPr>
          <w:spacing w:val="21"/>
          <w:sz w:val="24"/>
        </w:rPr>
        <w:t> </w:t>
      </w:r>
      <w:r>
        <w:rPr>
          <w:sz w:val="24"/>
        </w:rPr>
        <w:t>the</w:t>
      </w:r>
      <w:r>
        <w:rPr>
          <w:spacing w:val="22"/>
          <w:sz w:val="24"/>
        </w:rPr>
        <w:t> </w:t>
      </w:r>
      <w:r>
        <w:rPr>
          <w:sz w:val="24"/>
        </w:rPr>
        <w:t>process</w:t>
      </w:r>
      <w:r>
        <w:rPr>
          <w:spacing w:val="22"/>
          <w:sz w:val="24"/>
        </w:rPr>
        <w:t> </w:t>
      </w:r>
      <w:r>
        <w:rPr>
          <w:sz w:val="24"/>
        </w:rPr>
        <w:t>for</w:t>
      </w:r>
      <w:r>
        <w:rPr>
          <w:spacing w:val="21"/>
          <w:sz w:val="24"/>
        </w:rPr>
        <w:t> </w:t>
      </w:r>
      <w:r>
        <w:rPr>
          <w:sz w:val="24"/>
        </w:rPr>
        <w:t>identifying</w:t>
      </w:r>
      <w:r>
        <w:rPr>
          <w:spacing w:val="22"/>
          <w:sz w:val="24"/>
        </w:rPr>
        <w:t> </w:t>
      </w:r>
      <w:r>
        <w:rPr>
          <w:sz w:val="24"/>
        </w:rPr>
        <w:t>and</w:t>
      </w:r>
      <w:r>
        <w:rPr>
          <w:spacing w:val="21"/>
          <w:sz w:val="24"/>
        </w:rPr>
        <w:t> </w:t>
      </w:r>
      <w:r>
        <w:rPr>
          <w:sz w:val="24"/>
        </w:rPr>
        <w:t>providing</w:t>
      </w:r>
      <w:r>
        <w:rPr>
          <w:spacing w:val="22"/>
          <w:sz w:val="24"/>
        </w:rPr>
        <w:t> </w:t>
      </w:r>
      <w:r>
        <w:rPr>
          <w:sz w:val="24"/>
        </w:rPr>
        <w:t>the</w:t>
      </w:r>
      <w:r>
        <w:rPr>
          <w:spacing w:val="22"/>
          <w:sz w:val="24"/>
        </w:rPr>
        <w:t> </w:t>
      </w:r>
      <w:r>
        <w:rPr>
          <w:i/>
          <w:sz w:val="24"/>
        </w:rPr>
        <w:t>inertia</w:t>
      </w:r>
    </w:p>
    <w:p>
      <w:pPr>
        <w:spacing w:before="6"/>
        <w:ind w:left="1919" w:right="0" w:firstLine="0"/>
        <w:jc w:val="left"/>
        <w:rPr>
          <w:sz w:val="24"/>
        </w:rPr>
      </w:pPr>
      <w:r>
        <w:rPr>
          <w:i/>
          <w:sz w:val="24"/>
        </w:rPr>
        <w:t>requirements </w:t>
      </w:r>
      <w:r>
        <w:rPr>
          <w:sz w:val="24"/>
        </w:rPr>
        <w:t>for </w:t>
      </w:r>
      <w:r>
        <w:rPr>
          <w:i/>
          <w:sz w:val="24"/>
        </w:rPr>
        <w:t>inertia</w:t>
      </w:r>
      <w:r>
        <w:rPr>
          <w:i/>
          <w:spacing w:val="-17"/>
          <w:sz w:val="24"/>
        </w:rPr>
        <w:t> </w:t>
      </w:r>
      <w:r>
        <w:rPr>
          <w:i/>
          <w:sz w:val="24"/>
        </w:rPr>
        <w:t>sub-networks</w:t>
      </w:r>
      <w:r>
        <w:rPr>
          <w:sz w:val="24"/>
        </w:rPr>
        <w:t>.</w:t>
      </w:r>
    </w:p>
    <w:p>
      <w:pPr>
        <w:spacing w:before="120"/>
        <w:ind w:left="1919" w:right="0" w:hanging="567"/>
        <w:jc w:val="left"/>
        <w:rPr>
          <w:sz w:val="24"/>
        </w:rPr>
      </w:pPr>
      <w:r>
        <w:rPr>
          <w:sz w:val="24"/>
        </w:rPr>
        <w:t>(m2) Clause 5.20C sets out the process for identifying and providing the </w:t>
      </w:r>
      <w:r>
        <w:rPr>
          <w:i/>
          <w:sz w:val="24"/>
        </w:rPr>
        <w:t>system </w:t>
      </w:r>
      <w:r>
        <w:rPr>
          <w:i/>
          <w:sz w:val="24"/>
        </w:rPr>
        <w:t>strength requirements </w:t>
      </w:r>
      <w:r>
        <w:rPr>
          <w:sz w:val="24"/>
        </w:rPr>
        <w:t>for each</w:t>
      </w:r>
      <w:r>
        <w:rPr>
          <w:spacing w:val="-4"/>
          <w:sz w:val="24"/>
        </w:rPr>
        <w:t> </w:t>
      </w:r>
      <w:r>
        <w:rPr>
          <w:i/>
          <w:sz w:val="24"/>
        </w:rPr>
        <w:t>region</w:t>
      </w:r>
      <w:r>
        <w:rPr>
          <w:sz w:val="24"/>
        </w:rPr>
        <w:t>.</w:t>
      </w:r>
    </w:p>
    <w:p>
      <w:pPr>
        <w:pStyle w:val="ListParagraph"/>
        <w:numPr>
          <w:ilvl w:val="3"/>
          <w:numId w:val="197"/>
        </w:numPr>
        <w:tabs>
          <w:tab w:pos="1918" w:val="left" w:leader="none"/>
          <w:tab w:pos="1919" w:val="left" w:leader="none"/>
        </w:tabs>
        <w:spacing w:line="240" w:lineRule="auto" w:before="120" w:after="0"/>
        <w:ind w:left="1919" w:right="415" w:hanging="567"/>
        <w:jc w:val="left"/>
        <w:rPr>
          <w:sz w:val="24"/>
        </w:rPr>
      </w:pPr>
      <w:r>
        <w:rPr>
          <w:sz w:val="24"/>
        </w:rPr>
        <w:t>Clause 5.21 sets out </w:t>
      </w:r>
      <w:r>
        <w:rPr>
          <w:i/>
          <w:sz w:val="24"/>
        </w:rPr>
        <w:t>AEMO's </w:t>
      </w:r>
      <w:r>
        <w:rPr>
          <w:sz w:val="24"/>
        </w:rPr>
        <w:t>obligations to </w:t>
      </w:r>
      <w:r>
        <w:rPr>
          <w:i/>
          <w:sz w:val="24"/>
        </w:rPr>
        <w:t>publish </w:t>
      </w:r>
      <w:r>
        <w:rPr>
          <w:sz w:val="24"/>
        </w:rPr>
        <w:t>information and guidelines and provide advice regarding network</w:t>
      </w:r>
      <w:r>
        <w:rPr>
          <w:spacing w:val="-1"/>
          <w:sz w:val="24"/>
        </w:rPr>
        <w:t> </w:t>
      </w:r>
      <w:r>
        <w:rPr>
          <w:sz w:val="24"/>
        </w:rPr>
        <w:t>development.</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Clause 5.22 relates to the </w:t>
      </w:r>
      <w:r>
        <w:rPr>
          <w:i/>
          <w:sz w:val="24"/>
        </w:rPr>
        <w:t>AEMC's last resort planning</w:t>
      </w:r>
      <w:r>
        <w:rPr>
          <w:i/>
          <w:spacing w:val="-4"/>
          <w:sz w:val="24"/>
        </w:rPr>
        <w:t> </w:t>
      </w:r>
      <w:r>
        <w:rPr>
          <w:i/>
          <w:sz w:val="24"/>
        </w:rPr>
        <w:t>powers</w:t>
      </w:r>
      <w:r>
        <w:rPr>
          <w:sz w:val="24"/>
        </w:rPr>
        <w: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10.2 Definitions" w:id="658"/>
      <w:bookmarkEnd w:id="658"/>
      <w:r>
        <w:rPr>
          <w:b w:val="0"/>
        </w:rPr>
      </w:r>
      <w:bookmarkStart w:name="_bookmark259" w:id="659"/>
      <w:bookmarkEnd w:id="659"/>
      <w:r>
        <w:rPr>
          <w:b w:val="0"/>
        </w:rPr>
      </w:r>
      <w:bookmarkStart w:name="_bookmark259" w:id="660"/>
      <w:bookmarkEnd w:id="660"/>
      <w:r>
        <w:rPr/>
        <w:t>Definition</w:t>
      </w:r>
      <w:r>
        <w:rPr/>
        <w:t>s</w:t>
      </w:r>
    </w:p>
    <w:p>
      <w:pPr>
        <w:pStyle w:val="BodyText"/>
        <w:ind w:left="1352" w:firstLine="0"/>
      </w:pPr>
      <w:r>
        <w:rPr/>
        <w:t>In this Part D and schedules 5.8, 5.9 and 5.4A:</w:t>
      </w:r>
    </w:p>
    <w:p>
      <w:pPr>
        <w:pStyle w:val="BodyText"/>
        <w:ind w:left="1352" w:right="413" w:firstLine="0"/>
      </w:pPr>
      <w:r>
        <w:rPr>
          <w:b/>
        </w:rPr>
        <w:t>asset management </w:t>
      </w:r>
      <w:r>
        <w:rPr/>
        <w:t>means the development and implementation of plans and processes, encompassing management, financial, consumer, engineering, information technology and other business inputs to ensure assets achieve the expected level of performance and minimise costs to consumers over the expected life cycle of the assets.</w:t>
      </w:r>
    </w:p>
    <w:p>
      <w:pPr>
        <w:pStyle w:val="BodyText"/>
        <w:ind w:left="1352" w:right="415" w:firstLine="0"/>
      </w:pPr>
      <w:r>
        <w:rPr>
          <w:b/>
        </w:rPr>
        <w:t>cost threshold </w:t>
      </w:r>
      <w:r>
        <w:rPr/>
        <w:t>means a cost threshold specified in clause 5.15.3(b) or 5.15.3(d) (as relevant).</w:t>
      </w:r>
    </w:p>
    <w:p>
      <w:pPr>
        <w:spacing w:line="343" w:lineRule="auto" w:before="120"/>
        <w:ind w:left="1352" w:right="461" w:firstLine="0"/>
        <w:jc w:val="left"/>
        <w:rPr>
          <w:sz w:val="24"/>
        </w:rPr>
      </w:pPr>
      <w:r>
        <w:rPr>
          <w:b/>
          <w:sz w:val="24"/>
        </w:rPr>
        <w:t>cost threshold determination </w:t>
      </w:r>
      <w:r>
        <w:rPr>
          <w:sz w:val="24"/>
        </w:rPr>
        <w:t>means a final determination under clause 5.15.3(i). </w:t>
      </w:r>
      <w:r>
        <w:rPr>
          <w:b/>
          <w:sz w:val="24"/>
        </w:rPr>
        <w:t>cost threshold review </w:t>
      </w:r>
      <w:r>
        <w:rPr>
          <w:sz w:val="24"/>
        </w:rPr>
        <w:t>means a review conducted under clause 5.15.3(e). </w:t>
      </w:r>
      <w:r>
        <w:rPr>
          <w:b/>
          <w:sz w:val="24"/>
        </w:rPr>
        <w:t>credible option </w:t>
      </w:r>
      <w:r>
        <w:rPr>
          <w:sz w:val="24"/>
        </w:rPr>
        <w:t>has the meaning given to it in clause</w:t>
      </w:r>
      <w:r>
        <w:rPr>
          <w:spacing w:val="-2"/>
          <w:sz w:val="24"/>
        </w:rPr>
        <w:t> </w:t>
      </w:r>
      <w:r>
        <w:rPr>
          <w:sz w:val="24"/>
        </w:rPr>
        <w:t>5.15.2(a).</w:t>
      </w:r>
    </w:p>
    <w:p>
      <w:pPr>
        <w:spacing w:before="4"/>
        <w:ind w:left="1352" w:right="0" w:firstLine="0"/>
        <w:jc w:val="both"/>
        <w:rPr>
          <w:sz w:val="24"/>
        </w:rPr>
      </w:pPr>
      <w:r>
        <w:rPr>
          <w:b/>
          <w:sz w:val="24"/>
        </w:rPr>
        <w:t>demand side engagement document </w:t>
      </w:r>
      <w:r>
        <w:rPr>
          <w:sz w:val="24"/>
        </w:rPr>
        <w:t>means the document </w:t>
      </w:r>
      <w:r>
        <w:rPr>
          <w:i/>
          <w:sz w:val="24"/>
        </w:rPr>
        <w:t>published </w:t>
      </w:r>
      <w:r>
        <w:rPr>
          <w:sz w:val="24"/>
        </w:rPr>
        <w:t>by</w:t>
      </w:r>
      <w:r>
        <w:rPr>
          <w:spacing w:val="53"/>
          <w:sz w:val="24"/>
        </w:rPr>
        <w:t> </w:t>
      </w:r>
      <w:r>
        <w:rPr>
          <w:sz w:val="24"/>
        </w:rPr>
        <w:t>the</w:t>
      </w:r>
    </w:p>
    <w:p>
      <w:pPr>
        <w:spacing w:before="0"/>
        <w:ind w:left="1352" w:right="0" w:firstLine="0"/>
        <w:jc w:val="both"/>
        <w:rPr>
          <w:sz w:val="24"/>
        </w:rPr>
      </w:pPr>
      <w:r>
        <w:rPr>
          <w:i/>
          <w:sz w:val="24"/>
        </w:rPr>
        <w:t>Distribution Network Service Provider </w:t>
      </w:r>
      <w:r>
        <w:rPr>
          <w:sz w:val="24"/>
        </w:rPr>
        <w:t>under clause 5.13.1(g).</w:t>
      </w:r>
    </w:p>
    <w:p>
      <w:pPr>
        <w:spacing w:before="120"/>
        <w:ind w:left="1352" w:right="415" w:firstLine="0"/>
        <w:jc w:val="both"/>
        <w:rPr>
          <w:sz w:val="24"/>
        </w:rPr>
      </w:pPr>
      <w:r>
        <w:rPr>
          <w:b/>
          <w:sz w:val="24"/>
        </w:rPr>
        <w:t>demand side engagement register </w:t>
      </w:r>
      <w:r>
        <w:rPr>
          <w:sz w:val="24"/>
        </w:rPr>
        <w:t>means a facility by which a person can register with a </w:t>
      </w:r>
      <w:r>
        <w:rPr>
          <w:i/>
          <w:sz w:val="24"/>
        </w:rPr>
        <w:t>Distribution Network Service Provider </w:t>
      </w:r>
      <w:r>
        <w:rPr>
          <w:sz w:val="24"/>
        </w:rPr>
        <w:t>their interest in being notified of developments relating to </w:t>
      </w:r>
      <w:r>
        <w:rPr>
          <w:i/>
          <w:sz w:val="24"/>
        </w:rPr>
        <w:t>distribution network </w:t>
      </w:r>
      <w:r>
        <w:rPr>
          <w:sz w:val="24"/>
        </w:rPr>
        <w:t>planning and</w:t>
      </w:r>
      <w:r>
        <w:rPr>
          <w:spacing w:val="-5"/>
          <w:sz w:val="24"/>
        </w:rPr>
        <w:t> </w:t>
      </w:r>
      <w:r>
        <w:rPr>
          <w:sz w:val="24"/>
        </w:rPr>
        <w:t>expansion.</w:t>
      </w:r>
    </w:p>
    <w:p>
      <w:pPr>
        <w:spacing w:before="120"/>
        <w:ind w:left="1352" w:right="416" w:firstLine="0"/>
        <w:jc w:val="both"/>
        <w:rPr>
          <w:sz w:val="24"/>
        </w:rPr>
      </w:pPr>
      <w:r>
        <w:rPr>
          <w:b/>
          <w:sz w:val="24"/>
        </w:rPr>
        <w:t>demand side engagement strategy </w:t>
      </w:r>
      <w:r>
        <w:rPr>
          <w:sz w:val="24"/>
        </w:rPr>
        <w:t>means the strategy developed by a </w:t>
      </w:r>
      <w:r>
        <w:rPr>
          <w:i/>
          <w:sz w:val="24"/>
        </w:rPr>
        <w:t>Distribution Network Service Provider </w:t>
      </w:r>
      <w:r>
        <w:rPr>
          <w:sz w:val="24"/>
        </w:rPr>
        <w:t>under clause 5.13.1(e) and described in its demand side engagement document.</w:t>
      </w:r>
    </w:p>
    <w:p>
      <w:pPr>
        <w:spacing w:before="120"/>
        <w:ind w:left="1352" w:right="415" w:firstLine="0"/>
        <w:jc w:val="both"/>
        <w:rPr>
          <w:sz w:val="24"/>
        </w:rPr>
      </w:pPr>
      <w:r>
        <w:rPr>
          <w:b/>
          <w:sz w:val="24"/>
        </w:rPr>
        <w:t>de-rate </w:t>
      </w:r>
      <w:r>
        <w:rPr>
          <w:sz w:val="24"/>
        </w:rPr>
        <w:t>means, in respect of a </w:t>
      </w:r>
      <w:r>
        <w:rPr>
          <w:i/>
          <w:sz w:val="24"/>
        </w:rPr>
        <w:t>Network Service Provider</w:t>
      </w:r>
      <w:r>
        <w:rPr>
          <w:sz w:val="24"/>
        </w:rPr>
        <w:t>, a reduction in the </w:t>
      </w:r>
      <w:r>
        <w:rPr>
          <w:i/>
          <w:sz w:val="24"/>
        </w:rPr>
        <w:t>network capability </w:t>
      </w:r>
      <w:r>
        <w:rPr>
          <w:sz w:val="24"/>
        </w:rPr>
        <w:t>of a </w:t>
      </w:r>
      <w:r>
        <w:rPr>
          <w:i/>
          <w:sz w:val="24"/>
        </w:rPr>
        <w:t>network element </w:t>
      </w:r>
      <w:r>
        <w:rPr>
          <w:sz w:val="24"/>
        </w:rPr>
        <w:t>in the </w:t>
      </w:r>
      <w:r>
        <w:rPr>
          <w:i/>
          <w:sz w:val="24"/>
        </w:rPr>
        <w:t>network </w:t>
      </w:r>
      <w:r>
        <w:rPr>
          <w:sz w:val="24"/>
        </w:rPr>
        <w:t>of that </w:t>
      </w:r>
      <w:r>
        <w:rPr>
          <w:i/>
          <w:sz w:val="24"/>
        </w:rPr>
        <w:t>Network Service </w:t>
      </w:r>
      <w:r>
        <w:rPr>
          <w:i/>
          <w:sz w:val="24"/>
        </w:rPr>
        <w:t>Provider</w:t>
      </w:r>
      <w:r>
        <w:rPr>
          <w:sz w:val="24"/>
        </w:rPr>
        <w:t>.</w:t>
      </w:r>
    </w:p>
    <w:p>
      <w:pPr>
        <w:pStyle w:val="BodyText"/>
        <w:ind w:left="1352" w:right="415" w:firstLine="0"/>
      </w:pPr>
      <w:r>
        <w:rPr>
          <w:b/>
        </w:rPr>
        <w:t>design fault level </w:t>
      </w:r>
      <w:r>
        <w:rPr/>
        <w:t>means the maximum level of fault current that a </w:t>
      </w:r>
      <w:r>
        <w:rPr>
          <w:i/>
        </w:rPr>
        <w:t>facility </w:t>
      </w:r>
      <w:r>
        <w:rPr/>
        <w:t>can sustain while maintaining operation at an acceptable performance standard.</w:t>
      </w:r>
    </w:p>
    <w:p>
      <w:pPr>
        <w:spacing w:after="0"/>
        <w:sectPr>
          <w:pgSz w:w="11910" w:h="16840"/>
          <w:pgMar w:header="686" w:footer="637" w:top="1320" w:bottom="820" w:left="1200" w:right="1000"/>
        </w:sectPr>
      </w:pPr>
    </w:p>
    <w:p>
      <w:pPr>
        <w:pStyle w:val="BodyText"/>
        <w:spacing w:before="83"/>
        <w:ind w:left="1352" w:firstLine="0"/>
        <w:jc w:val="left"/>
      </w:pPr>
      <w:r>
        <w:rPr>
          <w:b/>
        </w:rPr>
        <w:t>dispute notice </w:t>
      </w:r>
      <w:r>
        <w:rPr/>
        <w:t>has the meaning given in clause 5.16.5(c)(1) and 5.17.5(c)(1).</w:t>
      </w:r>
    </w:p>
    <w:p>
      <w:pPr>
        <w:spacing w:before="120"/>
        <w:ind w:left="1352" w:right="0" w:firstLine="0"/>
        <w:jc w:val="left"/>
        <w:rPr>
          <w:sz w:val="24"/>
        </w:rPr>
      </w:pPr>
      <w:r>
        <w:rPr>
          <w:b/>
          <w:sz w:val="24"/>
        </w:rPr>
        <w:t>disputing party </w:t>
      </w:r>
      <w:r>
        <w:rPr>
          <w:sz w:val="24"/>
        </w:rPr>
        <w:t>has the meaning given in clause 5.16.5(c) and 5.17.5(c).</w:t>
      </w:r>
    </w:p>
    <w:p>
      <w:pPr>
        <w:tabs>
          <w:tab w:pos="3570" w:val="left" w:leader="none"/>
        </w:tabs>
        <w:spacing w:before="120"/>
        <w:ind w:left="1352" w:right="0" w:firstLine="0"/>
        <w:jc w:val="left"/>
        <w:rPr>
          <w:sz w:val="24"/>
        </w:rPr>
      </w:pPr>
      <w:r>
        <w:rPr>
          <w:b/>
          <w:sz w:val="24"/>
        </w:rPr>
        <w:t>distribution </w:t>
      </w:r>
      <w:r>
        <w:rPr>
          <w:b/>
          <w:spacing w:val="43"/>
          <w:sz w:val="24"/>
        </w:rPr>
        <w:t> </w:t>
      </w:r>
      <w:r>
        <w:rPr>
          <w:b/>
          <w:sz w:val="24"/>
        </w:rPr>
        <w:t>asset</w:t>
        <w:tab/>
      </w:r>
      <w:r>
        <w:rPr>
          <w:sz w:val="24"/>
        </w:rPr>
        <w:t>means the apparatus, equipment and plant,</w:t>
      </w:r>
      <w:r>
        <w:rPr>
          <w:spacing w:val="57"/>
          <w:sz w:val="24"/>
        </w:rPr>
        <w:t> </w:t>
      </w:r>
      <w:r>
        <w:rPr>
          <w:sz w:val="24"/>
        </w:rPr>
        <w:t>including</w:t>
      </w:r>
    </w:p>
    <w:p>
      <w:pPr>
        <w:spacing w:before="0"/>
        <w:ind w:left="1352" w:right="0" w:firstLine="0"/>
        <w:jc w:val="left"/>
        <w:rPr>
          <w:sz w:val="24"/>
        </w:rPr>
      </w:pPr>
      <w:r>
        <w:rPr>
          <w:i/>
          <w:sz w:val="24"/>
        </w:rPr>
        <w:t>distribution lines</w:t>
      </w:r>
      <w:r>
        <w:rPr>
          <w:sz w:val="24"/>
        </w:rPr>
        <w:t>, </w:t>
      </w:r>
      <w:r>
        <w:rPr>
          <w:i/>
          <w:sz w:val="24"/>
        </w:rPr>
        <w:t>substations </w:t>
      </w:r>
      <w:r>
        <w:rPr>
          <w:sz w:val="24"/>
        </w:rPr>
        <w:t>and sub-transmission lines, of a </w:t>
      </w:r>
      <w:r>
        <w:rPr>
          <w:i/>
          <w:sz w:val="24"/>
        </w:rPr>
        <w:t>distribution system</w:t>
      </w:r>
      <w:r>
        <w:rPr>
          <w:sz w:val="24"/>
        </w:rPr>
        <w:t>.</w:t>
      </w:r>
    </w:p>
    <w:p>
      <w:pPr>
        <w:spacing w:before="120"/>
        <w:ind w:left="1352" w:right="565" w:firstLine="0"/>
        <w:jc w:val="left"/>
        <w:rPr>
          <w:sz w:val="24"/>
        </w:rPr>
      </w:pPr>
      <w:r>
        <w:rPr>
          <w:b/>
          <w:sz w:val="24"/>
        </w:rPr>
        <w:t>draft project assessment report </w:t>
      </w:r>
      <w:r>
        <w:rPr>
          <w:sz w:val="24"/>
        </w:rPr>
        <w:t>means the report prepared under clause 5.17.4(i).</w:t>
      </w:r>
    </w:p>
    <w:p>
      <w:pPr>
        <w:tabs>
          <w:tab w:pos="5027" w:val="left" w:leader="none"/>
        </w:tabs>
        <w:spacing w:before="120"/>
        <w:ind w:left="1352" w:right="565" w:firstLine="0"/>
        <w:jc w:val="left"/>
        <w:rPr>
          <w:sz w:val="24"/>
        </w:rPr>
      </w:pPr>
      <w:r>
        <w:rPr>
          <w:b/>
          <w:sz w:val="24"/>
        </w:rPr>
        <w:t>final  project </w:t>
      </w:r>
      <w:r>
        <w:rPr>
          <w:b/>
          <w:spacing w:val="34"/>
          <w:sz w:val="24"/>
        </w:rPr>
        <w:t> </w:t>
      </w:r>
      <w:r>
        <w:rPr>
          <w:b/>
          <w:sz w:val="24"/>
        </w:rPr>
        <w:t>assessment </w:t>
      </w:r>
      <w:r>
        <w:rPr>
          <w:b/>
          <w:spacing w:val="16"/>
          <w:sz w:val="24"/>
        </w:rPr>
        <w:t> </w:t>
      </w:r>
      <w:r>
        <w:rPr>
          <w:b/>
          <w:sz w:val="24"/>
        </w:rPr>
        <w:t>report</w:t>
        <w:tab/>
      </w:r>
      <w:r>
        <w:rPr>
          <w:sz w:val="24"/>
        </w:rPr>
        <w:t>means the report prepared under clauses 5.17.4(o) or (p).</w:t>
      </w:r>
    </w:p>
    <w:p>
      <w:pPr>
        <w:spacing w:before="120"/>
        <w:ind w:left="1352" w:right="415" w:firstLine="0"/>
        <w:jc w:val="both"/>
        <w:rPr>
          <w:sz w:val="24"/>
        </w:rPr>
      </w:pPr>
      <w:r>
        <w:rPr>
          <w:b/>
          <w:sz w:val="24"/>
        </w:rPr>
        <w:t>firm delivery capacity </w:t>
      </w:r>
      <w:r>
        <w:rPr>
          <w:sz w:val="24"/>
        </w:rPr>
        <w:t>means the maximum allowable output or load of a </w:t>
      </w:r>
      <w:r>
        <w:rPr>
          <w:i/>
          <w:sz w:val="24"/>
        </w:rPr>
        <w:t>network </w:t>
      </w:r>
      <w:r>
        <w:rPr>
          <w:sz w:val="24"/>
        </w:rPr>
        <w:t>or </w:t>
      </w:r>
      <w:r>
        <w:rPr>
          <w:i/>
          <w:sz w:val="24"/>
        </w:rPr>
        <w:t>facility </w:t>
      </w:r>
      <w:r>
        <w:rPr>
          <w:sz w:val="24"/>
        </w:rPr>
        <w:t>under </w:t>
      </w:r>
      <w:r>
        <w:rPr>
          <w:i/>
          <w:sz w:val="24"/>
        </w:rPr>
        <w:t>single contingency </w:t>
      </w:r>
      <w:r>
        <w:rPr>
          <w:sz w:val="24"/>
        </w:rPr>
        <w:t>conditions, including any short term overload capacity having regard to external factors, such as ambient temperature, that may affect the capacity of the </w:t>
      </w:r>
      <w:r>
        <w:rPr>
          <w:i/>
          <w:sz w:val="24"/>
        </w:rPr>
        <w:t>network </w:t>
      </w:r>
      <w:r>
        <w:rPr>
          <w:sz w:val="24"/>
        </w:rPr>
        <w:t>or</w:t>
      </w:r>
      <w:r>
        <w:rPr>
          <w:spacing w:val="-2"/>
          <w:sz w:val="24"/>
        </w:rPr>
        <w:t> </w:t>
      </w:r>
      <w:r>
        <w:rPr>
          <w:i/>
          <w:sz w:val="24"/>
        </w:rPr>
        <w:t>facility</w:t>
      </w:r>
      <w:r>
        <w:rPr>
          <w:sz w:val="24"/>
        </w:rPr>
        <w:t>.</w:t>
      </w:r>
    </w:p>
    <w:p>
      <w:pPr>
        <w:spacing w:before="120"/>
        <w:ind w:left="1352" w:right="417" w:firstLine="0"/>
        <w:jc w:val="both"/>
        <w:rPr>
          <w:sz w:val="24"/>
        </w:rPr>
      </w:pPr>
      <w:r>
        <w:rPr>
          <w:b/>
          <w:sz w:val="24"/>
        </w:rPr>
        <w:t>forward planning period </w:t>
      </w:r>
      <w:r>
        <w:rPr>
          <w:sz w:val="24"/>
        </w:rPr>
        <w:t>means the period determined by the </w:t>
      </w:r>
      <w:r>
        <w:rPr>
          <w:i/>
          <w:sz w:val="24"/>
        </w:rPr>
        <w:t>Distribution </w:t>
      </w:r>
      <w:r>
        <w:rPr>
          <w:i/>
          <w:sz w:val="24"/>
        </w:rPr>
        <w:t>Network Service Provider </w:t>
      </w:r>
      <w:r>
        <w:rPr>
          <w:sz w:val="24"/>
        </w:rPr>
        <w:t>under clause 5.13.1(a)(1).</w:t>
      </w:r>
    </w:p>
    <w:p>
      <w:pPr>
        <w:pStyle w:val="BodyText"/>
        <w:ind w:left="1352" w:right="415" w:firstLine="0"/>
      </w:pPr>
      <w:r>
        <w:rPr>
          <w:b/>
        </w:rPr>
        <w:t>joint planning project </w:t>
      </w:r>
      <w:r>
        <w:rPr/>
        <w:t>means a project the purpose of which is to address a need identified under clause 5.14.1(d)(3) or clause 5.14.2(a) or clause 5.14.3(a).</w:t>
      </w:r>
    </w:p>
    <w:p>
      <w:pPr>
        <w:spacing w:before="120"/>
        <w:ind w:left="1352" w:right="414" w:firstLine="0"/>
        <w:jc w:val="both"/>
        <w:rPr>
          <w:sz w:val="24"/>
        </w:rPr>
      </w:pPr>
      <w:r>
        <w:rPr>
          <w:b/>
          <w:sz w:val="24"/>
        </w:rPr>
        <w:t>load transfer capacity </w:t>
      </w:r>
      <w:r>
        <w:rPr>
          <w:sz w:val="24"/>
        </w:rPr>
        <w:t>means meeting the </w:t>
      </w:r>
      <w:r>
        <w:rPr>
          <w:i/>
          <w:sz w:val="24"/>
        </w:rPr>
        <w:t>load </w:t>
      </w:r>
      <w:r>
        <w:rPr>
          <w:sz w:val="24"/>
        </w:rPr>
        <w:t>requirements for a </w:t>
      </w:r>
      <w:r>
        <w:rPr>
          <w:i/>
          <w:sz w:val="24"/>
        </w:rPr>
        <w:t>connection </w:t>
      </w:r>
      <w:r>
        <w:rPr>
          <w:i/>
          <w:sz w:val="24"/>
        </w:rPr>
        <w:t>point </w:t>
      </w:r>
      <w:r>
        <w:rPr>
          <w:sz w:val="24"/>
        </w:rPr>
        <w:t>by the reduction of </w:t>
      </w:r>
      <w:r>
        <w:rPr>
          <w:i/>
          <w:sz w:val="24"/>
        </w:rPr>
        <w:t>load </w:t>
      </w:r>
      <w:r>
        <w:rPr>
          <w:sz w:val="24"/>
        </w:rPr>
        <w:t>or group of </w:t>
      </w:r>
      <w:r>
        <w:rPr>
          <w:i/>
          <w:sz w:val="24"/>
        </w:rPr>
        <w:t>loads </w:t>
      </w:r>
      <w:r>
        <w:rPr>
          <w:sz w:val="24"/>
        </w:rPr>
        <w:t>at the </w:t>
      </w:r>
      <w:r>
        <w:rPr>
          <w:i/>
          <w:sz w:val="24"/>
        </w:rPr>
        <w:t>connection point </w:t>
      </w:r>
      <w:r>
        <w:rPr>
          <w:sz w:val="24"/>
        </w:rPr>
        <w:t>and increasing the </w:t>
      </w:r>
      <w:r>
        <w:rPr>
          <w:i/>
          <w:sz w:val="24"/>
        </w:rPr>
        <w:t>load </w:t>
      </w:r>
      <w:r>
        <w:rPr>
          <w:sz w:val="24"/>
        </w:rPr>
        <w:t>or group of </w:t>
      </w:r>
      <w:r>
        <w:rPr>
          <w:i/>
          <w:sz w:val="24"/>
        </w:rPr>
        <w:t>loads </w:t>
      </w:r>
      <w:r>
        <w:rPr>
          <w:sz w:val="24"/>
        </w:rPr>
        <w:t>at a different </w:t>
      </w:r>
      <w:r>
        <w:rPr>
          <w:i/>
          <w:sz w:val="24"/>
        </w:rPr>
        <w:t>connection point</w:t>
      </w:r>
      <w:r>
        <w:rPr>
          <w:sz w:val="24"/>
        </w:rPr>
        <w:t>.</w:t>
      </w:r>
    </w:p>
    <w:p>
      <w:pPr>
        <w:spacing w:before="120"/>
        <w:ind w:left="1352" w:right="0" w:firstLine="0"/>
        <w:jc w:val="both"/>
        <w:rPr>
          <w:sz w:val="24"/>
        </w:rPr>
      </w:pPr>
      <w:r>
        <w:rPr>
          <w:b/>
          <w:sz w:val="24"/>
        </w:rPr>
        <w:t>non-network options report </w:t>
      </w:r>
      <w:r>
        <w:rPr>
          <w:sz w:val="24"/>
        </w:rPr>
        <w:t>means the report prepared under clause 5.17.4(b).</w:t>
      </w:r>
    </w:p>
    <w:p>
      <w:pPr>
        <w:spacing w:before="120"/>
        <w:ind w:left="1352" w:right="0" w:firstLine="0"/>
        <w:jc w:val="both"/>
        <w:rPr>
          <w:sz w:val="24"/>
        </w:rPr>
      </w:pPr>
      <w:r>
        <w:rPr>
          <w:b/>
          <w:sz w:val="24"/>
        </w:rPr>
        <w:t>non-network provider </w:t>
      </w:r>
      <w:r>
        <w:rPr>
          <w:sz w:val="24"/>
        </w:rPr>
        <w:t>means a person who provides </w:t>
      </w:r>
      <w:r>
        <w:rPr>
          <w:i/>
          <w:sz w:val="24"/>
        </w:rPr>
        <w:t>non-network options</w:t>
      </w:r>
      <w:r>
        <w:rPr>
          <w:sz w:val="24"/>
        </w:rPr>
        <w:t>.</w:t>
      </w:r>
    </w:p>
    <w:p>
      <w:pPr>
        <w:pStyle w:val="BodyText"/>
        <w:ind w:left="1352" w:right="415" w:firstLine="0"/>
      </w:pPr>
      <w:r>
        <w:rPr>
          <w:b/>
        </w:rPr>
        <w:t>normal cyclic rating </w:t>
      </w:r>
      <w:r>
        <w:rPr/>
        <w:t>means the normal level of allowable </w:t>
      </w:r>
      <w:r>
        <w:rPr>
          <w:i/>
        </w:rPr>
        <w:t>load </w:t>
      </w:r>
      <w:r>
        <w:rPr/>
        <w:t>on a primary distribution feeder having regard to external factors, such as ambient temperature and wind speed, that may affect the capacity of the primary distribution feeder.</w:t>
      </w:r>
    </w:p>
    <w:p>
      <w:pPr>
        <w:pStyle w:val="BodyText"/>
        <w:ind w:left="1352" w:right="414" w:firstLine="0"/>
      </w:pPr>
      <w:r>
        <w:rPr>
          <w:b/>
        </w:rPr>
        <w:t>potential credible option </w:t>
      </w:r>
      <w:r>
        <w:rPr/>
        <w:t>means an option which a RIT-D proponent or RIT-T proponent (as the case may be) reasonably considers has the potential to be a credible option based on its initial assessment of the </w:t>
      </w:r>
      <w:r>
        <w:rPr>
          <w:i/>
        </w:rPr>
        <w:t>identified need</w:t>
      </w:r>
      <w:r>
        <w:rPr/>
        <w:t>.</w:t>
      </w:r>
    </w:p>
    <w:p>
      <w:pPr>
        <w:spacing w:before="120"/>
        <w:ind w:left="1352" w:right="0" w:firstLine="0"/>
        <w:jc w:val="both"/>
        <w:rPr>
          <w:sz w:val="24"/>
        </w:rPr>
      </w:pPr>
      <w:r>
        <w:rPr>
          <w:b/>
          <w:sz w:val="24"/>
        </w:rPr>
        <w:t>potential transmission project </w:t>
      </w:r>
      <w:r>
        <w:rPr>
          <w:sz w:val="24"/>
        </w:rPr>
        <w:t>means investment in a transmission asset of a</w:t>
      </w:r>
    </w:p>
    <w:p>
      <w:pPr>
        <w:spacing w:before="0"/>
        <w:ind w:left="1352" w:right="0" w:firstLine="0"/>
        <w:jc w:val="both"/>
        <w:rPr>
          <w:sz w:val="24"/>
        </w:rPr>
      </w:pPr>
      <w:r>
        <w:rPr>
          <w:i/>
          <w:sz w:val="24"/>
        </w:rPr>
        <w:t>Transmission Network Service Provider </w:t>
      </w:r>
      <w:r>
        <w:rPr>
          <w:sz w:val="24"/>
        </w:rPr>
        <w:t>which:</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is an </w:t>
      </w:r>
      <w:r>
        <w:rPr>
          <w:i/>
          <w:sz w:val="24"/>
        </w:rPr>
        <w:t>augmentation</w:t>
      </w:r>
      <w:r>
        <w:rPr>
          <w:sz w:val="24"/>
        </w:rPr>
        <w:t>;</w:t>
      </w:r>
      <w:r>
        <w:rPr>
          <w:spacing w:val="-1"/>
          <w:sz w:val="24"/>
        </w:rPr>
        <w:t> </w:t>
      </w:r>
      <w:r>
        <w:rPr>
          <w:sz w:val="24"/>
        </w:rPr>
        <w:t>and</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has an estimated capital cost in excess of $5 million (as varied in accordance with a cost threshold determination);</w:t>
      </w:r>
      <w:r>
        <w:rPr>
          <w:spacing w:val="-2"/>
          <w:sz w:val="24"/>
        </w:rPr>
        <w:t> </w:t>
      </w:r>
      <w:r>
        <w:rPr>
          <w:sz w:val="24"/>
        </w:rPr>
        <w:t>and</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person who identifies the project considers is likely, if constructed, to relieve forecast constraints in respect of </w:t>
      </w:r>
      <w:r>
        <w:rPr>
          <w:i/>
          <w:sz w:val="24"/>
        </w:rPr>
        <w:t>national transmission flow paths </w:t>
      </w:r>
      <w:r>
        <w:rPr>
          <w:sz w:val="24"/>
        </w:rPr>
        <w:t>between </w:t>
      </w:r>
      <w:r>
        <w:rPr>
          <w:i/>
          <w:sz w:val="24"/>
        </w:rPr>
        <w:t>regional reference</w:t>
      </w:r>
      <w:r>
        <w:rPr>
          <w:i/>
          <w:spacing w:val="-2"/>
          <w:sz w:val="24"/>
        </w:rPr>
        <w:t> </w:t>
      </w:r>
      <w:r>
        <w:rPr>
          <w:i/>
          <w:sz w:val="24"/>
        </w:rPr>
        <w:t>nodes</w:t>
      </w:r>
      <w:r>
        <w:rPr>
          <w:sz w:val="24"/>
        </w:rPr>
        <w:t>.</w:t>
      </w:r>
    </w:p>
    <w:p>
      <w:pPr>
        <w:spacing w:before="120"/>
        <w:ind w:left="1352" w:right="0" w:firstLine="0"/>
        <w:jc w:val="both"/>
        <w:rPr>
          <w:sz w:val="24"/>
        </w:rPr>
      </w:pPr>
      <w:r>
        <w:rPr>
          <w:b/>
          <w:sz w:val="24"/>
        </w:rPr>
        <w:t>preferred option </w:t>
      </w:r>
      <w:r>
        <w:rPr>
          <w:sz w:val="24"/>
        </w:rPr>
        <w:t>has the meaning given in clause 5.16.1(b) and 5.17.1(b).</w:t>
      </w:r>
    </w:p>
    <w:p>
      <w:pPr>
        <w:spacing w:before="120"/>
        <w:ind w:left="1352" w:right="414" w:firstLine="0"/>
        <w:jc w:val="both"/>
        <w:rPr>
          <w:sz w:val="24"/>
        </w:rPr>
      </w:pPr>
      <w:r>
        <w:rPr>
          <w:b/>
          <w:sz w:val="24"/>
        </w:rPr>
        <w:t>primary distribution feeder </w:t>
      </w:r>
      <w:r>
        <w:rPr>
          <w:sz w:val="24"/>
        </w:rPr>
        <w:t>means a </w:t>
      </w:r>
      <w:r>
        <w:rPr>
          <w:i/>
          <w:sz w:val="24"/>
        </w:rPr>
        <w:t>distribution line </w:t>
      </w:r>
      <w:r>
        <w:rPr>
          <w:sz w:val="24"/>
        </w:rPr>
        <w:t>connecting a sub- transmission asset to either other </w:t>
      </w:r>
      <w:r>
        <w:rPr>
          <w:i/>
          <w:sz w:val="24"/>
        </w:rPr>
        <w:t>distribution lines </w:t>
      </w:r>
      <w:r>
        <w:rPr>
          <w:sz w:val="24"/>
        </w:rPr>
        <w:t>that are not sub-transmission lines, or to distribution assets that are not sub-transmission assets.</w:t>
      </w:r>
    </w:p>
    <w:p>
      <w:pPr>
        <w:spacing w:before="120"/>
        <w:ind w:left="1352" w:right="415" w:firstLine="0"/>
        <w:jc w:val="both"/>
        <w:rPr>
          <w:sz w:val="24"/>
        </w:rPr>
      </w:pPr>
      <w:r>
        <w:rPr>
          <w:b/>
          <w:sz w:val="24"/>
        </w:rPr>
        <w:t>project assessment conclusions report </w:t>
      </w:r>
      <w:r>
        <w:rPr>
          <w:sz w:val="24"/>
        </w:rPr>
        <w:t>means the report prepared under clause 5.16.4(t) or (u).</w:t>
      </w:r>
    </w:p>
    <w:p>
      <w:pPr>
        <w:spacing w:after="0"/>
        <w:jc w:val="both"/>
        <w:rPr>
          <w:sz w:val="24"/>
        </w:rPr>
        <w:sectPr>
          <w:pgSz w:w="11910" w:h="16840"/>
          <w:pgMar w:header="686" w:footer="637" w:top="1320" w:bottom="820" w:left="1200" w:right="1000"/>
        </w:sectPr>
      </w:pPr>
    </w:p>
    <w:p>
      <w:pPr>
        <w:spacing w:before="83"/>
        <w:ind w:left="1352" w:right="416" w:firstLine="0"/>
        <w:jc w:val="both"/>
        <w:rPr>
          <w:sz w:val="24"/>
        </w:rPr>
      </w:pPr>
      <w:r>
        <w:rPr>
          <w:b/>
          <w:sz w:val="24"/>
        </w:rPr>
        <w:t>project assessment draft report </w:t>
      </w:r>
      <w:r>
        <w:rPr>
          <w:sz w:val="24"/>
        </w:rPr>
        <w:t>means the report prepared under clause 5.16.4(j).</w:t>
      </w:r>
    </w:p>
    <w:p>
      <w:pPr>
        <w:spacing w:before="120"/>
        <w:ind w:left="1352" w:right="415" w:firstLine="0"/>
        <w:jc w:val="both"/>
        <w:rPr>
          <w:sz w:val="24"/>
        </w:rPr>
      </w:pPr>
      <w:r>
        <w:rPr>
          <w:b/>
          <w:sz w:val="24"/>
        </w:rPr>
        <w:t>project specification consultation report </w:t>
      </w:r>
      <w:r>
        <w:rPr>
          <w:sz w:val="24"/>
        </w:rPr>
        <w:t>means the report prepared under clause 5.16.4(b).</w:t>
      </w:r>
    </w:p>
    <w:p>
      <w:pPr>
        <w:spacing w:before="120"/>
        <w:ind w:left="1352" w:right="413" w:firstLine="0"/>
        <w:jc w:val="both"/>
        <w:rPr>
          <w:sz w:val="24"/>
        </w:rPr>
      </w:pPr>
      <w:r>
        <w:rPr>
          <w:b/>
          <w:sz w:val="24"/>
        </w:rPr>
        <w:t>protected event EFCS investment </w:t>
      </w:r>
      <w:r>
        <w:rPr>
          <w:sz w:val="24"/>
        </w:rPr>
        <w:t>means investment by a </w:t>
      </w:r>
      <w:r>
        <w:rPr>
          <w:i/>
          <w:sz w:val="24"/>
        </w:rPr>
        <w:t>Transmission Network </w:t>
      </w:r>
      <w:r>
        <w:rPr>
          <w:i/>
          <w:sz w:val="24"/>
        </w:rPr>
        <w:t>Service Provider </w:t>
      </w:r>
      <w:r>
        <w:rPr>
          <w:sz w:val="24"/>
        </w:rPr>
        <w:t>or a </w:t>
      </w:r>
      <w:r>
        <w:rPr>
          <w:i/>
          <w:sz w:val="24"/>
        </w:rPr>
        <w:t>Distribution Network Service Provider </w:t>
      </w:r>
      <w:r>
        <w:rPr>
          <w:sz w:val="24"/>
        </w:rPr>
        <w:t>for the purposes of installing or modifying an </w:t>
      </w:r>
      <w:r>
        <w:rPr>
          <w:i/>
          <w:sz w:val="24"/>
        </w:rPr>
        <w:t>emergency frequency control scheme </w:t>
      </w:r>
      <w:r>
        <w:rPr>
          <w:sz w:val="24"/>
        </w:rPr>
        <w:t>applicable in respect of the </w:t>
      </w:r>
      <w:r>
        <w:rPr>
          <w:i/>
          <w:sz w:val="24"/>
        </w:rPr>
        <w:t>Network Service Provider's transmission or distribution system </w:t>
      </w:r>
      <w:r>
        <w:rPr>
          <w:sz w:val="24"/>
        </w:rPr>
        <w:t>in accordance with a </w:t>
      </w:r>
      <w:r>
        <w:rPr>
          <w:i/>
          <w:sz w:val="24"/>
        </w:rPr>
        <w:t>protected event EFCS standard</w:t>
      </w:r>
      <w:r>
        <w:rPr>
          <w:sz w:val="24"/>
        </w:rPr>
        <w:t>.</w:t>
      </w:r>
    </w:p>
    <w:p>
      <w:pPr>
        <w:spacing w:before="120"/>
        <w:ind w:left="1352" w:right="0" w:firstLine="0"/>
        <w:jc w:val="both"/>
        <w:rPr>
          <w:sz w:val="24"/>
        </w:rPr>
      </w:pPr>
      <w:r>
        <w:rPr>
          <w:b/>
          <w:sz w:val="24"/>
        </w:rPr>
        <w:t>reconfiguration investment </w:t>
      </w:r>
      <w:r>
        <w:rPr>
          <w:sz w:val="24"/>
        </w:rPr>
        <w:t>has the meaning given to it in clause 5.16.3(a)(5).</w:t>
      </w:r>
    </w:p>
    <w:p>
      <w:pPr>
        <w:spacing w:before="120"/>
        <w:ind w:left="1352" w:right="415" w:firstLine="0"/>
        <w:jc w:val="both"/>
        <w:rPr>
          <w:sz w:val="24"/>
        </w:rPr>
      </w:pPr>
      <w:r>
        <w:rPr>
          <w:b/>
          <w:sz w:val="24"/>
        </w:rPr>
        <w:t>regulatory investment test for distribution application guidelines </w:t>
      </w:r>
      <w:r>
        <w:rPr>
          <w:sz w:val="24"/>
        </w:rPr>
        <w:t>means the guidelines developed and </w:t>
      </w:r>
      <w:r>
        <w:rPr>
          <w:i/>
          <w:sz w:val="24"/>
        </w:rPr>
        <w:t>published </w:t>
      </w:r>
      <w:r>
        <w:rPr>
          <w:sz w:val="24"/>
        </w:rPr>
        <w:t>by the </w:t>
      </w:r>
      <w:r>
        <w:rPr>
          <w:i/>
          <w:sz w:val="24"/>
        </w:rPr>
        <w:t>AER </w:t>
      </w:r>
      <w:r>
        <w:rPr>
          <w:sz w:val="24"/>
        </w:rPr>
        <w:t>in accordance with clause 5.17.2 as in force from time to time, and include amendments made in accordance with clause</w:t>
      </w:r>
      <w:r>
        <w:rPr>
          <w:spacing w:val="-2"/>
          <w:sz w:val="24"/>
        </w:rPr>
        <w:t> </w:t>
      </w:r>
      <w:r>
        <w:rPr>
          <w:sz w:val="24"/>
        </w:rPr>
        <w:t>5.17.2(e).</w:t>
      </w:r>
    </w:p>
    <w:p>
      <w:pPr>
        <w:spacing w:before="120"/>
        <w:ind w:left="1352" w:right="414" w:firstLine="0"/>
        <w:jc w:val="both"/>
        <w:rPr>
          <w:sz w:val="24"/>
        </w:rPr>
      </w:pPr>
      <w:r>
        <w:rPr>
          <w:b/>
          <w:sz w:val="24"/>
        </w:rPr>
        <w:t>regulatory investment test for transmission application guidelines </w:t>
      </w:r>
      <w:r>
        <w:rPr>
          <w:sz w:val="24"/>
        </w:rPr>
        <w:t>means the guidelines developed and </w:t>
      </w:r>
      <w:r>
        <w:rPr>
          <w:i/>
          <w:sz w:val="24"/>
        </w:rPr>
        <w:t>published </w:t>
      </w:r>
      <w:r>
        <w:rPr>
          <w:sz w:val="24"/>
        </w:rPr>
        <w:t>by the </w:t>
      </w:r>
      <w:r>
        <w:rPr>
          <w:i/>
          <w:sz w:val="24"/>
        </w:rPr>
        <w:t>AER </w:t>
      </w:r>
      <w:r>
        <w:rPr>
          <w:sz w:val="24"/>
        </w:rPr>
        <w:t>in accordance with clause 5.16.2 as in force from time to time, and include amendments made in accordance with clause</w:t>
      </w:r>
      <w:r>
        <w:rPr>
          <w:spacing w:val="-2"/>
          <w:sz w:val="24"/>
        </w:rPr>
        <w:t> </w:t>
      </w:r>
      <w:r>
        <w:rPr>
          <w:sz w:val="24"/>
        </w:rPr>
        <w:t>5.16.2(e).</w:t>
      </w:r>
    </w:p>
    <w:p>
      <w:pPr>
        <w:spacing w:before="120"/>
        <w:ind w:left="1352" w:right="414" w:firstLine="0"/>
        <w:jc w:val="both"/>
        <w:rPr>
          <w:sz w:val="24"/>
        </w:rPr>
      </w:pPr>
      <w:r>
        <w:rPr>
          <w:b/>
          <w:sz w:val="24"/>
        </w:rPr>
        <w:t>reliability corrective action </w:t>
      </w:r>
      <w:r>
        <w:rPr>
          <w:sz w:val="24"/>
        </w:rPr>
        <w:t>means investment by a </w:t>
      </w:r>
      <w:r>
        <w:rPr>
          <w:i/>
          <w:sz w:val="24"/>
        </w:rPr>
        <w:t>Transmission Network </w:t>
      </w:r>
      <w:r>
        <w:rPr>
          <w:i/>
          <w:sz w:val="24"/>
        </w:rPr>
        <w:t>Service Provider </w:t>
      </w:r>
      <w:r>
        <w:rPr>
          <w:sz w:val="24"/>
        </w:rPr>
        <w:t>or a </w:t>
      </w:r>
      <w:r>
        <w:rPr>
          <w:i/>
          <w:sz w:val="24"/>
        </w:rPr>
        <w:t>Distribution Network Service Provider </w:t>
      </w:r>
      <w:r>
        <w:rPr>
          <w:sz w:val="24"/>
        </w:rPr>
        <w:t>in respect of its </w:t>
      </w:r>
      <w:r>
        <w:rPr>
          <w:i/>
          <w:sz w:val="24"/>
        </w:rPr>
        <w:t>transmission network </w:t>
      </w:r>
      <w:r>
        <w:rPr>
          <w:sz w:val="24"/>
        </w:rPr>
        <w:t>or </w:t>
      </w:r>
      <w:r>
        <w:rPr>
          <w:i/>
          <w:sz w:val="24"/>
        </w:rPr>
        <w:t>distribution network </w:t>
      </w:r>
      <w:r>
        <w:rPr>
          <w:sz w:val="24"/>
        </w:rPr>
        <w:t>for the purpose of meeting the service standards linked to the technical requirements of </w:t>
      </w:r>
      <w:r>
        <w:rPr>
          <w:i/>
          <w:sz w:val="24"/>
        </w:rPr>
        <w:t>jurisdictional electricity </w:t>
      </w:r>
      <w:r>
        <w:rPr>
          <w:i/>
          <w:sz w:val="24"/>
        </w:rPr>
        <w:t>legislation </w:t>
      </w:r>
      <w:r>
        <w:rPr>
          <w:sz w:val="24"/>
        </w:rPr>
        <w:t>or in </w:t>
      </w:r>
      <w:r>
        <w:rPr>
          <w:i/>
          <w:sz w:val="24"/>
        </w:rPr>
        <w:t>applicable regulatory instruments </w:t>
      </w:r>
      <w:r>
        <w:rPr>
          <w:sz w:val="24"/>
        </w:rPr>
        <w:t>and which may consist of </w:t>
      </w:r>
      <w:r>
        <w:rPr>
          <w:i/>
          <w:sz w:val="24"/>
        </w:rPr>
        <w:t>network options </w:t>
      </w:r>
      <w:r>
        <w:rPr>
          <w:sz w:val="24"/>
        </w:rPr>
        <w:t>or </w:t>
      </w:r>
      <w:r>
        <w:rPr>
          <w:i/>
          <w:sz w:val="24"/>
        </w:rPr>
        <w:t>non-network options</w:t>
      </w:r>
      <w:r>
        <w:rPr>
          <w:sz w:val="24"/>
        </w:rPr>
        <w:t>.</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In the definition of </w:t>
      </w:r>
      <w:r>
        <w:rPr>
          <w:i/>
          <w:sz w:val="20"/>
        </w:rPr>
        <w:t>reliability corrective action</w:t>
      </w:r>
      <w:r>
        <w:rPr>
          <w:sz w:val="20"/>
        </w:rPr>
        <w:t>, the reference to the technical requirements of </w:t>
      </w:r>
      <w:r>
        <w:rPr>
          <w:i/>
          <w:sz w:val="20"/>
        </w:rPr>
        <w:t>jurisdictional electricity legislation </w:t>
      </w:r>
      <w:r>
        <w:rPr>
          <w:sz w:val="20"/>
        </w:rPr>
        <w:t>will be requirements that correspond to the matters set out in Schedule 5.1 in the </w:t>
      </w:r>
      <w:r>
        <w:rPr>
          <w:i/>
          <w:sz w:val="20"/>
        </w:rPr>
        <w:t>Rules </w:t>
      </w:r>
      <w:r>
        <w:rPr>
          <w:sz w:val="20"/>
        </w:rPr>
        <w:t>applying in other </w:t>
      </w:r>
      <w:r>
        <w:rPr>
          <w:i/>
          <w:sz w:val="20"/>
        </w:rPr>
        <w:t>participating jurisdictions</w:t>
      </w:r>
      <w:r>
        <w:rPr>
          <w:sz w:val="20"/>
        </w:rPr>
        <w:t>. This definition will be revisited as part of the phased implementation of the </w:t>
      </w:r>
      <w:r>
        <w:rPr>
          <w:i/>
          <w:sz w:val="20"/>
        </w:rPr>
        <w:t>Rules </w:t>
      </w:r>
      <w:r>
        <w:rPr>
          <w:sz w:val="20"/>
        </w:rPr>
        <w:t>in this jurisdiction.</w:t>
      </w:r>
    </w:p>
    <w:p>
      <w:pPr>
        <w:spacing w:before="120"/>
        <w:ind w:left="1352" w:right="0" w:firstLine="0"/>
        <w:jc w:val="both"/>
        <w:rPr>
          <w:sz w:val="24"/>
        </w:rPr>
      </w:pPr>
      <w:r>
        <w:rPr>
          <w:b/>
          <w:sz w:val="24"/>
        </w:rPr>
        <w:t>RIT-D project </w:t>
      </w:r>
      <w:r>
        <w:rPr>
          <w:sz w:val="24"/>
        </w:rPr>
        <w:t>means:</w:t>
      </w:r>
    </w:p>
    <w:p>
      <w:pPr>
        <w:pStyle w:val="ListParagraph"/>
        <w:numPr>
          <w:ilvl w:val="0"/>
          <w:numId w:val="206"/>
        </w:numPr>
        <w:tabs>
          <w:tab w:pos="1919" w:val="left" w:leader="none"/>
        </w:tabs>
        <w:spacing w:line="240" w:lineRule="auto" w:before="120" w:after="0"/>
        <w:ind w:left="1919" w:right="414" w:hanging="567"/>
        <w:jc w:val="both"/>
        <w:rPr>
          <w:sz w:val="24"/>
        </w:rPr>
      </w:pPr>
      <w:r>
        <w:rPr>
          <w:sz w:val="24"/>
        </w:rPr>
        <w:t>a project the purpose of which is to address an </w:t>
      </w:r>
      <w:r>
        <w:rPr>
          <w:i/>
          <w:sz w:val="24"/>
        </w:rPr>
        <w:t>identified need </w:t>
      </w:r>
      <w:r>
        <w:rPr>
          <w:sz w:val="24"/>
        </w:rPr>
        <w:t>identified by  a </w:t>
      </w:r>
      <w:r>
        <w:rPr>
          <w:i/>
          <w:sz w:val="24"/>
        </w:rPr>
        <w:t>Distribution Network Service Provider</w:t>
      </w:r>
      <w:r>
        <w:rPr>
          <w:sz w:val="24"/>
        </w:rPr>
        <w:t>;</w:t>
      </w:r>
      <w:r>
        <w:rPr>
          <w:spacing w:val="-2"/>
          <w:sz w:val="24"/>
        </w:rPr>
        <w:t> </w:t>
      </w:r>
      <w:r>
        <w:rPr>
          <w:sz w:val="24"/>
        </w:rPr>
        <w:t>or</w:t>
      </w:r>
    </w:p>
    <w:p>
      <w:pPr>
        <w:pStyle w:val="ListParagraph"/>
        <w:numPr>
          <w:ilvl w:val="0"/>
          <w:numId w:val="206"/>
        </w:numPr>
        <w:tabs>
          <w:tab w:pos="1919" w:val="left" w:leader="none"/>
        </w:tabs>
        <w:spacing w:line="240" w:lineRule="auto" w:before="120" w:after="0"/>
        <w:ind w:left="1918" w:right="0" w:hanging="567"/>
        <w:jc w:val="both"/>
        <w:rPr>
          <w:sz w:val="24"/>
        </w:rPr>
      </w:pPr>
      <w:r>
        <w:rPr>
          <w:sz w:val="24"/>
        </w:rPr>
        <w:t>a joint planning project that is not a RIT-T</w:t>
      </w:r>
      <w:r>
        <w:rPr>
          <w:spacing w:val="-1"/>
          <w:sz w:val="24"/>
        </w:rPr>
        <w:t> </w:t>
      </w:r>
      <w:r>
        <w:rPr>
          <w:sz w:val="24"/>
        </w:rPr>
        <w:t>project.</w:t>
      </w:r>
    </w:p>
    <w:p>
      <w:pPr>
        <w:spacing w:before="120"/>
        <w:ind w:left="1352" w:right="414" w:firstLine="0"/>
        <w:jc w:val="both"/>
        <w:rPr>
          <w:sz w:val="24"/>
        </w:rPr>
      </w:pPr>
      <w:r>
        <w:rPr>
          <w:b/>
          <w:sz w:val="24"/>
        </w:rPr>
        <w:t>RIT-D proponent </w:t>
      </w:r>
      <w:r>
        <w:rPr>
          <w:sz w:val="24"/>
        </w:rPr>
        <w:t>means the </w:t>
      </w:r>
      <w:r>
        <w:rPr>
          <w:i/>
          <w:sz w:val="24"/>
        </w:rPr>
        <w:t>Network Service Provider </w:t>
      </w:r>
      <w:r>
        <w:rPr>
          <w:sz w:val="24"/>
        </w:rPr>
        <w:t>applying the </w:t>
      </w:r>
      <w:r>
        <w:rPr>
          <w:i/>
          <w:sz w:val="24"/>
        </w:rPr>
        <w:t>regulatory </w:t>
      </w:r>
      <w:r>
        <w:rPr>
          <w:i/>
          <w:sz w:val="24"/>
        </w:rPr>
        <w:t>investment test for distribution </w:t>
      </w:r>
      <w:r>
        <w:rPr>
          <w:sz w:val="24"/>
        </w:rPr>
        <w:t>to a RIT-D project to address an </w:t>
      </w:r>
      <w:r>
        <w:rPr>
          <w:i/>
          <w:sz w:val="24"/>
        </w:rPr>
        <w:t>identified need</w:t>
      </w:r>
      <w:r>
        <w:rPr>
          <w:sz w:val="24"/>
        </w:rPr>
        <w:t>. The RIT-D proponent may be:</w:t>
      </w:r>
    </w:p>
    <w:p>
      <w:pPr>
        <w:pStyle w:val="ListParagraph"/>
        <w:numPr>
          <w:ilvl w:val="0"/>
          <w:numId w:val="207"/>
        </w:numPr>
        <w:tabs>
          <w:tab w:pos="1919" w:val="left" w:leader="none"/>
        </w:tabs>
        <w:spacing w:line="240" w:lineRule="auto" w:before="120" w:after="0"/>
        <w:ind w:left="1919" w:right="416" w:hanging="567"/>
        <w:jc w:val="both"/>
        <w:rPr>
          <w:sz w:val="24"/>
        </w:rPr>
      </w:pPr>
      <w:r>
        <w:rPr>
          <w:sz w:val="24"/>
        </w:rPr>
        <w:t>if the </w:t>
      </w:r>
      <w:r>
        <w:rPr>
          <w:i/>
          <w:sz w:val="24"/>
        </w:rPr>
        <w:t>identified need </w:t>
      </w:r>
      <w:r>
        <w:rPr>
          <w:sz w:val="24"/>
        </w:rPr>
        <w:t>is identified during joint planning under clause 5.14.1(d)(3), a </w:t>
      </w:r>
      <w:r>
        <w:rPr>
          <w:i/>
          <w:sz w:val="24"/>
        </w:rPr>
        <w:t>Distribution Network Service Provider </w:t>
      </w:r>
      <w:r>
        <w:rPr>
          <w:sz w:val="24"/>
        </w:rPr>
        <w:t>or a </w:t>
      </w:r>
      <w:r>
        <w:rPr>
          <w:i/>
          <w:sz w:val="24"/>
        </w:rPr>
        <w:t>Transmission </w:t>
      </w:r>
      <w:r>
        <w:rPr>
          <w:i/>
          <w:sz w:val="24"/>
        </w:rPr>
        <w:t>Network Service Provider</w:t>
      </w:r>
      <w:r>
        <w:rPr>
          <w:sz w:val="24"/>
        </w:rPr>
        <w:t>;</w:t>
      </w:r>
      <w:r>
        <w:rPr>
          <w:spacing w:val="-1"/>
          <w:sz w:val="24"/>
        </w:rPr>
        <w:t> </w:t>
      </w:r>
      <w:r>
        <w:rPr>
          <w:sz w:val="24"/>
        </w:rPr>
        <w:t>or</w:t>
      </w:r>
    </w:p>
    <w:p>
      <w:pPr>
        <w:pStyle w:val="ListParagraph"/>
        <w:numPr>
          <w:ilvl w:val="0"/>
          <w:numId w:val="207"/>
        </w:numPr>
        <w:tabs>
          <w:tab w:pos="1919" w:val="left" w:leader="none"/>
        </w:tabs>
        <w:spacing w:line="240" w:lineRule="auto" w:before="120" w:after="0"/>
        <w:ind w:left="1918" w:right="0" w:hanging="567"/>
        <w:jc w:val="both"/>
        <w:rPr>
          <w:sz w:val="24"/>
        </w:rPr>
      </w:pPr>
      <w:r>
        <w:rPr>
          <w:sz w:val="24"/>
        </w:rPr>
        <w:t>in any other case, a </w:t>
      </w:r>
      <w:r>
        <w:rPr>
          <w:i/>
          <w:sz w:val="24"/>
        </w:rPr>
        <w:t>Distribution Network Service</w:t>
      </w:r>
      <w:r>
        <w:rPr>
          <w:i/>
          <w:spacing w:val="-5"/>
          <w:sz w:val="24"/>
        </w:rPr>
        <w:t> </w:t>
      </w:r>
      <w:r>
        <w:rPr>
          <w:i/>
          <w:sz w:val="24"/>
        </w:rPr>
        <w:t>Provider</w:t>
      </w:r>
      <w:r>
        <w:rPr>
          <w:sz w:val="24"/>
        </w:rPr>
        <w:t>.</w:t>
      </w:r>
    </w:p>
    <w:p>
      <w:pPr>
        <w:spacing w:before="120"/>
        <w:ind w:left="1352" w:right="0" w:firstLine="0"/>
        <w:jc w:val="both"/>
        <w:rPr>
          <w:sz w:val="24"/>
        </w:rPr>
      </w:pPr>
      <w:r>
        <w:rPr>
          <w:b/>
          <w:sz w:val="24"/>
        </w:rPr>
        <w:t>RIT-T project </w:t>
      </w:r>
      <w:r>
        <w:rPr>
          <w:sz w:val="24"/>
        </w:rPr>
        <w:t>means:</w:t>
      </w:r>
    </w:p>
    <w:p>
      <w:pPr>
        <w:pStyle w:val="ListParagraph"/>
        <w:numPr>
          <w:ilvl w:val="0"/>
          <w:numId w:val="208"/>
        </w:numPr>
        <w:tabs>
          <w:tab w:pos="1919" w:val="left" w:leader="none"/>
        </w:tabs>
        <w:spacing w:line="240" w:lineRule="auto" w:before="120" w:after="0"/>
        <w:ind w:left="1919" w:right="414" w:hanging="567"/>
        <w:jc w:val="both"/>
        <w:rPr>
          <w:sz w:val="24"/>
        </w:rPr>
      </w:pPr>
      <w:r>
        <w:rPr>
          <w:sz w:val="24"/>
        </w:rPr>
        <w:t>a project the purpose of which is to address an </w:t>
      </w:r>
      <w:r>
        <w:rPr>
          <w:i/>
          <w:sz w:val="24"/>
        </w:rPr>
        <w:t>identified need </w:t>
      </w:r>
      <w:r>
        <w:rPr>
          <w:sz w:val="24"/>
        </w:rPr>
        <w:t>identified by  a </w:t>
      </w:r>
      <w:r>
        <w:rPr>
          <w:i/>
          <w:sz w:val="24"/>
        </w:rPr>
        <w:t>Transmission Network Service Provider</w:t>
      </w:r>
      <w:r>
        <w:rPr>
          <w:sz w:val="24"/>
        </w:rPr>
        <w:t>;</w:t>
      </w:r>
      <w:r>
        <w:rPr>
          <w:spacing w:val="-1"/>
          <w:sz w:val="24"/>
        </w:rPr>
        <w:t> </w:t>
      </w:r>
      <w:r>
        <w:rPr>
          <w:sz w:val="24"/>
        </w:rPr>
        <w:t>or</w:t>
      </w:r>
    </w:p>
    <w:p>
      <w:pPr>
        <w:pStyle w:val="ListParagraph"/>
        <w:numPr>
          <w:ilvl w:val="0"/>
          <w:numId w:val="208"/>
        </w:numPr>
        <w:tabs>
          <w:tab w:pos="1919" w:val="left" w:leader="none"/>
        </w:tabs>
        <w:spacing w:line="240" w:lineRule="auto" w:before="120" w:after="0"/>
        <w:ind w:left="1918" w:right="0" w:hanging="567"/>
        <w:jc w:val="both"/>
        <w:rPr>
          <w:sz w:val="24"/>
        </w:rPr>
      </w:pPr>
      <w:r>
        <w:rPr>
          <w:sz w:val="24"/>
        </w:rPr>
        <w:t>a joint planning project</w:t>
      </w:r>
      <w:r>
        <w:rPr>
          <w:spacing w:val="-1"/>
          <w:sz w:val="24"/>
        </w:rPr>
        <w:t> </w:t>
      </w:r>
      <w:r>
        <w:rPr>
          <w:sz w:val="24"/>
        </w:rPr>
        <w:t>if:</w:t>
      </w:r>
    </w:p>
    <w:p>
      <w:pPr>
        <w:spacing w:after="0" w:line="240" w:lineRule="auto"/>
        <w:jc w:val="both"/>
        <w:rPr>
          <w:sz w:val="24"/>
        </w:rPr>
        <w:sectPr>
          <w:pgSz w:w="11910" w:h="16840"/>
          <w:pgMar w:header="686" w:footer="637" w:top="1320" w:bottom="820" w:left="1200" w:right="1000"/>
        </w:sectPr>
      </w:pPr>
    </w:p>
    <w:p>
      <w:pPr>
        <w:pStyle w:val="ListParagraph"/>
        <w:numPr>
          <w:ilvl w:val="1"/>
          <w:numId w:val="208"/>
        </w:numPr>
        <w:tabs>
          <w:tab w:pos="2486" w:val="left" w:leader="none"/>
        </w:tabs>
        <w:spacing w:line="240" w:lineRule="auto" w:before="83" w:after="0"/>
        <w:ind w:left="2486" w:right="414" w:hanging="567"/>
        <w:jc w:val="both"/>
        <w:rPr>
          <w:sz w:val="24"/>
        </w:rPr>
      </w:pPr>
      <w:r>
        <w:rPr>
          <w:sz w:val="24"/>
        </w:rPr>
        <w:t>at least one potential credible option to address the </w:t>
      </w:r>
      <w:r>
        <w:rPr>
          <w:i/>
          <w:sz w:val="24"/>
        </w:rPr>
        <w:t>identified need </w:t>
      </w:r>
      <w:r>
        <w:rPr>
          <w:sz w:val="24"/>
        </w:rPr>
        <w:t>includes investment in a </w:t>
      </w:r>
      <w:r>
        <w:rPr>
          <w:i/>
          <w:sz w:val="24"/>
        </w:rPr>
        <w:t>network </w:t>
      </w:r>
      <w:r>
        <w:rPr>
          <w:sz w:val="24"/>
        </w:rPr>
        <w:t>or </w:t>
      </w:r>
      <w:r>
        <w:rPr>
          <w:i/>
          <w:sz w:val="24"/>
        </w:rPr>
        <w:t>non-network option </w:t>
      </w:r>
      <w:r>
        <w:rPr>
          <w:sz w:val="24"/>
        </w:rPr>
        <w:t>on a </w:t>
      </w:r>
      <w:r>
        <w:rPr>
          <w:i/>
          <w:sz w:val="24"/>
        </w:rPr>
        <w:t>transmission network </w:t>
      </w:r>
      <w:r>
        <w:rPr>
          <w:sz w:val="24"/>
        </w:rPr>
        <w:t>(other than </w:t>
      </w:r>
      <w:r>
        <w:rPr>
          <w:i/>
          <w:sz w:val="24"/>
        </w:rPr>
        <w:t>dual function assets</w:t>
      </w:r>
      <w:r>
        <w:rPr>
          <w:sz w:val="24"/>
        </w:rPr>
        <w:t>) with </w:t>
      </w:r>
      <w:r>
        <w:rPr>
          <w:spacing w:val="-6"/>
          <w:sz w:val="24"/>
        </w:rPr>
        <w:t>an </w:t>
      </w:r>
      <w:r>
        <w:rPr>
          <w:sz w:val="24"/>
        </w:rPr>
        <w:t>estimated capital cost greater than the cost threshold that applies under clause 5.16.3(a)(2);</w:t>
      </w:r>
      <w:r>
        <w:rPr>
          <w:spacing w:val="-1"/>
          <w:sz w:val="24"/>
        </w:rPr>
        <w:t> </w:t>
      </w:r>
      <w:r>
        <w:rPr>
          <w:sz w:val="24"/>
        </w:rPr>
        <w:t>or</w:t>
      </w:r>
    </w:p>
    <w:p>
      <w:pPr>
        <w:pStyle w:val="ListParagraph"/>
        <w:numPr>
          <w:ilvl w:val="1"/>
          <w:numId w:val="208"/>
        </w:numPr>
        <w:tabs>
          <w:tab w:pos="2486" w:val="left" w:leader="none"/>
        </w:tabs>
        <w:spacing w:line="240" w:lineRule="auto" w:before="120" w:after="0"/>
        <w:ind w:left="2486" w:right="414" w:hanging="567"/>
        <w:jc w:val="both"/>
        <w:rPr>
          <w:sz w:val="24"/>
        </w:rPr>
      </w:pPr>
      <w:r>
        <w:rPr>
          <w:sz w:val="24"/>
        </w:rPr>
        <w:t>the </w:t>
      </w:r>
      <w:r>
        <w:rPr>
          <w:i/>
          <w:sz w:val="24"/>
        </w:rPr>
        <w:t>Network Service Providers </w:t>
      </w:r>
      <w:r>
        <w:rPr>
          <w:sz w:val="24"/>
        </w:rPr>
        <w:t>affected by the joint planning project have agreed that the </w:t>
      </w:r>
      <w:r>
        <w:rPr>
          <w:i/>
          <w:sz w:val="24"/>
        </w:rPr>
        <w:t>regulatory investment test for transmission  </w:t>
      </w:r>
      <w:r>
        <w:rPr>
          <w:sz w:val="24"/>
        </w:rPr>
        <w:t>should be applied to the</w:t>
      </w:r>
      <w:r>
        <w:rPr>
          <w:spacing w:val="-2"/>
          <w:sz w:val="24"/>
        </w:rPr>
        <w:t> </w:t>
      </w:r>
      <w:r>
        <w:rPr>
          <w:sz w:val="24"/>
        </w:rPr>
        <w:t>project.</w:t>
      </w:r>
    </w:p>
    <w:p>
      <w:pPr>
        <w:spacing w:before="120"/>
        <w:ind w:left="1352" w:right="415" w:firstLine="0"/>
        <w:jc w:val="both"/>
        <w:rPr>
          <w:sz w:val="24"/>
        </w:rPr>
      </w:pPr>
      <w:r>
        <w:rPr>
          <w:b/>
          <w:sz w:val="24"/>
        </w:rPr>
        <w:t>RIT-T proponent </w:t>
      </w:r>
      <w:r>
        <w:rPr>
          <w:sz w:val="24"/>
        </w:rPr>
        <w:t>means the </w:t>
      </w:r>
      <w:r>
        <w:rPr>
          <w:i/>
          <w:sz w:val="24"/>
        </w:rPr>
        <w:t>Network Service Provider </w:t>
      </w:r>
      <w:r>
        <w:rPr>
          <w:sz w:val="24"/>
        </w:rPr>
        <w:t>applying the </w:t>
      </w:r>
      <w:r>
        <w:rPr>
          <w:i/>
          <w:sz w:val="24"/>
        </w:rPr>
        <w:t>regulatory </w:t>
      </w:r>
      <w:r>
        <w:rPr>
          <w:i/>
          <w:sz w:val="24"/>
        </w:rPr>
        <w:t>investment test for transmission </w:t>
      </w:r>
      <w:r>
        <w:rPr>
          <w:sz w:val="24"/>
        </w:rPr>
        <w:t>to a RIT-T project to address an </w:t>
      </w:r>
      <w:r>
        <w:rPr>
          <w:i/>
          <w:sz w:val="24"/>
        </w:rPr>
        <w:t>identified need</w:t>
      </w:r>
      <w:r>
        <w:rPr>
          <w:sz w:val="24"/>
        </w:rPr>
        <w:t>. The RIT-T proponent may be:</w:t>
      </w:r>
    </w:p>
    <w:p>
      <w:pPr>
        <w:pStyle w:val="ListParagraph"/>
        <w:numPr>
          <w:ilvl w:val="0"/>
          <w:numId w:val="209"/>
        </w:numPr>
        <w:tabs>
          <w:tab w:pos="1919" w:val="left" w:leader="none"/>
        </w:tabs>
        <w:spacing w:line="240" w:lineRule="auto" w:before="120" w:after="0"/>
        <w:ind w:left="1919" w:right="416" w:hanging="567"/>
        <w:jc w:val="both"/>
        <w:rPr>
          <w:sz w:val="24"/>
        </w:rPr>
      </w:pPr>
      <w:r>
        <w:rPr>
          <w:sz w:val="24"/>
        </w:rPr>
        <w:t>if the </w:t>
      </w:r>
      <w:r>
        <w:rPr>
          <w:i/>
          <w:sz w:val="24"/>
        </w:rPr>
        <w:t>identified need </w:t>
      </w:r>
      <w:r>
        <w:rPr>
          <w:sz w:val="24"/>
        </w:rPr>
        <w:t>is identified during joint planning under clause 5.14.1(d)(3), a </w:t>
      </w:r>
      <w:r>
        <w:rPr>
          <w:i/>
          <w:sz w:val="24"/>
        </w:rPr>
        <w:t>Distribution Network Service Provider </w:t>
      </w:r>
      <w:r>
        <w:rPr>
          <w:sz w:val="24"/>
        </w:rPr>
        <w:t>or a </w:t>
      </w:r>
      <w:r>
        <w:rPr>
          <w:i/>
          <w:sz w:val="24"/>
        </w:rPr>
        <w:t>Transmission </w:t>
      </w:r>
      <w:r>
        <w:rPr>
          <w:i/>
          <w:sz w:val="24"/>
        </w:rPr>
        <w:t>Network Service Provider</w:t>
      </w:r>
      <w:r>
        <w:rPr>
          <w:sz w:val="24"/>
        </w:rPr>
        <w:t>;</w:t>
      </w:r>
      <w:r>
        <w:rPr>
          <w:spacing w:val="-1"/>
          <w:sz w:val="24"/>
        </w:rPr>
        <w:t> </w:t>
      </w:r>
      <w:r>
        <w:rPr>
          <w:sz w:val="24"/>
        </w:rPr>
        <w:t>or</w:t>
      </w:r>
    </w:p>
    <w:p>
      <w:pPr>
        <w:pStyle w:val="ListParagraph"/>
        <w:numPr>
          <w:ilvl w:val="0"/>
          <w:numId w:val="209"/>
        </w:numPr>
        <w:tabs>
          <w:tab w:pos="1919" w:val="left" w:leader="none"/>
        </w:tabs>
        <w:spacing w:line="240" w:lineRule="auto" w:before="120" w:after="0"/>
        <w:ind w:left="1919" w:right="416" w:hanging="567"/>
        <w:jc w:val="both"/>
        <w:rPr>
          <w:sz w:val="24"/>
        </w:rPr>
      </w:pPr>
      <w:r>
        <w:rPr>
          <w:sz w:val="24"/>
        </w:rPr>
        <w:t>in any other case (including under clause 5.14.3(a)), a </w:t>
      </w:r>
      <w:r>
        <w:rPr>
          <w:i/>
          <w:sz w:val="24"/>
        </w:rPr>
        <w:t>Transmission </w:t>
      </w:r>
      <w:r>
        <w:rPr>
          <w:i/>
          <w:sz w:val="24"/>
        </w:rPr>
        <w:t>Network Service</w:t>
      </w:r>
      <w:r>
        <w:rPr>
          <w:i/>
          <w:spacing w:val="-1"/>
          <w:sz w:val="24"/>
        </w:rPr>
        <w:t> </w:t>
      </w:r>
      <w:r>
        <w:rPr>
          <w:i/>
          <w:sz w:val="24"/>
        </w:rPr>
        <w:t>Provider</w:t>
      </w:r>
      <w:r>
        <w:rPr>
          <w:sz w:val="24"/>
        </w:rPr>
        <w:t>.</w:t>
      </w:r>
    </w:p>
    <w:p>
      <w:pPr>
        <w:spacing w:before="120"/>
        <w:ind w:left="1352" w:right="414" w:firstLine="0"/>
        <w:jc w:val="both"/>
        <w:rPr>
          <w:sz w:val="24"/>
        </w:rPr>
      </w:pPr>
      <w:r>
        <w:rPr>
          <w:b/>
          <w:sz w:val="24"/>
        </w:rPr>
        <w:t>sub-transmission </w:t>
      </w:r>
      <w:r>
        <w:rPr>
          <w:sz w:val="24"/>
        </w:rPr>
        <w:t>means any part of the</w:t>
      </w:r>
      <w:r>
        <w:rPr>
          <w:i/>
          <w:sz w:val="24"/>
        </w:rPr>
        <w:t>power system </w:t>
      </w:r>
      <w:r>
        <w:rPr>
          <w:sz w:val="24"/>
        </w:rPr>
        <w:t>which operates to deliver electricity from the </w:t>
      </w:r>
      <w:r>
        <w:rPr>
          <w:i/>
          <w:sz w:val="24"/>
        </w:rPr>
        <w:t>transmission system </w:t>
      </w:r>
      <w:r>
        <w:rPr>
          <w:sz w:val="24"/>
        </w:rPr>
        <w:t>to the </w:t>
      </w:r>
      <w:r>
        <w:rPr>
          <w:i/>
          <w:sz w:val="24"/>
        </w:rPr>
        <w:t>distribution network </w:t>
      </w:r>
      <w:r>
        <w:rPr>
          <w:sz w:val="24"/>
        </w:rPr>
        <w:t>and which may form part of the </w:t>
      </w:r>
      <w:r>
        <w:rPr>
          <w:i/>
          <w:sz w:val="24"/>
        </w:rPr>
        <w:t>distribution network</w:t>
      </w:r>
      <w:r>
        <w:rPr>
          <w:sz w:val="24"/>
        </w:rPr>
        <w:t>, including zone</w:t>
      </w:r>
      <w:r>
        <w:rPr>
          <w:spacing w:val="-6"/>
          <w:sz w:val="24"/>
        </w:rPr>
        <w:t> </w:t>
      </w:r>
      <w:r>
        <w:rPr>
          <w:sz w:val="24"/>
        </w:rPr>
        <w:t>substations.</w:t>
      </w:r>
    </w:p>
    <w:p>
      <w:pPr>
        <w:spacing w:before="120"/>
        <w:ind w:left="1352" w:right="415" w:firstLine="0"/>
        <w:jc w:val="both"/>
        <w:rPr>
          <w:sz w:val="24"/>
        </w:rPr>
      </w:pPr>
      <w:r>
        <w:rPr>
          <w:b/>
          <w:sz w:val="24"/>
        </w:rPr>
        <w:t>sub-transmission line </w:t>
      </w:r>
      <w:r>
        <w:rPr>
          <w:sz w:val="24"/>
        </w:rPr>
        <w:t>means a power line connecting a sub-transmission asset to either the </w:t>
      </w:r>
      <w:r>
        <w:rPr>
          <w:i/>
          <w:sz w:val="24"/>
        </w:rPr>
        <w:t>transmission system </w:t>
      </w:r>
      <w:r>
        <w:rPr>
          <w:sz w:val="24"/>
        </w:rPr>
        <w:t>or another sub-transmission asset.</w:t>
      </w:r>
    </w:p>
    <w:p>
      <w:pPr>
        <w:spacing w:before="120"/>
        <w:ind w:left="1352" w:right="416" w:firstLine="0"/>
        <w:jc w:val="both"/>
        <w:rPr>
          <w:sz w:val="24"/>
        </w:rPr>
      </w:pPr>
      <w:r>
        <w:rPr>
          <w:b/>
          <w:sz w:val="24"/>
        </w:rPr>
        <w:t>system limitation </w:t>
      </w:r>
      <w:r>
        <w:rPr>
          <w:sz w:val="24"/>
        </w:rPr>
        <w:t>means a limitation identified by a </w:t>
      </w:r>
      <w:r>
        <w:rPr>
          <w:i/>
          <w:sz w:val="24"/>
        </w:rPr>
        <w:t>Distribution Network Service </w:t>
      </w:r>
      <w:r>
        <w:rPr>
          <w:i/>
          <w:sz w:val="24"/>
        </w:rPr>
        <w:t>Provider </w:t>
      </w:r>
      <w:r>
        <w:rPr>
          <w:sz w:val="24"/>
        </w:rPr>
        <w:t>under clause 5.13.1(d)(2).</w:t>
      </w:r>
    </w:p>
    <w:p>
      <w:pPr>
        <w:spacing w:before="120"/>
        <w:ind w:left="1352" w:right="0" w:firstLine="0"/>
        <w:jc w:val="both"/>
        <w:rPr>
          <w:sz w:val="24"/>
        </w:rPr>
      </w:pPr>
      <w:r>
        <w:rPr>
          <w:b/>
          <w:sz w:val="24"/>
        </w:rPr>
        <w:t>system limitation template </w:t>
      </w:r>
      <w:r>
        <w:rPr>
          <w:sz w:val="24"/>
        </w:rPr>
        <w:t>means a template developed and </w:t>
      </w:r>
      <w:r>
        <w:rPr>
          <w:i/>
          <w:sz w:val="24"/>
        </w:rPr>
        <w:t>published </w:t>
      </w:r>
      <w:r>
        <w:rPr>
          <w:sz w:val="24"/>
        </w:rPr>
        <w:t>by the</w:t>
      </w:r>
    </w:p>
    <w:p>
      <w:pPr>
        <w:pStyle w:val="BodyText"/>
        <w:spacing w:before="0"/>
        <w:ind w:left="1352" w:firstLine="0"/>
      </w:pPr>
      <w:r>
        <w:rPr>
          <w:i/>
        </w:rPr>
        <w:t>AER </w:t>
      </w:r>
      <w:r>
        <w:rPr/>
        <w:t>under clause 5.13.3(a).</w:t>
      </w:r>
    </w:p>
    <w:p>
      <w:pPr>
        <w:spacing w:before="120"/>
        <w:ind w:left="1352" w:right="415" w:firstLine="0"/>
        <w:jc w:val="both"/>
        <w:rPr>
          <w:sz w:val="24"/>
        </w:rPr>
      </w:pPr>
      <w:r>
        <w:rPr>
          <w:b/>
          <w:sz w:val="24"/>
        </w:rPr>
        <w:t>TAPR Guidelines </w:t>
      </w:r>
      <w:r>
        <w:rPr>
          <w:sz w:val="24"/>
        </w:rPr>
        <w:t>means the guidelines </w:t>
      </w:r>
      <w:r>
        <w:rPr>
          <w:i/>
          <w:sz w:val="24"/>
        </w:rPr>
        <w:t>published </w:t>
      </w:r>
      <w:r>
        <w:rPr>
          <w:sz w:val="24"/>
        </w:rPr>
        <w:t>by the </w:t>
      </w:r>
      <w:r>
        <w:rPr>
          <w:i/>
          <w:sz w:val="24"/>
        </w:rPr>
        <w:t>AER </w:t>
      </w:r>
      <w:r>
        <w:rPr>
          <w:sz w:val="24"/>
        </w:rPr>
        <w:t>under clause 5.14B.1.</w:t>
      </w:r>
    </w:p>
    <w:p>
      <w:pPr>
        <w:spacing w:before="120"/>
        <w:ind w:left="1352" w:right="0" w:firstLine="0"/>
        <w:jc w:val="both"/>
        <w:rPr>
          <w:sz w:val="24"/>
        </w:rPr>
      </w:pPr>
      <w:r>
        <w:rPr>
          <w:b/>
          <w:sz w:val="24"/>
        </w:rPr>
        <w:t>total capacity </w:t>
      </w:r>
      <w:r>
        <w:rPr>
          <w:sz w:val="24"/>
        </w:rPr>
        <w:t>means the theoretical maximum allowable output or </w:t>
      </w:r>
      <w:r>
        <w:rPr>
          <w:i/>
          <w:sz w:val="24"/>
        </w:rPr>
        <w:t>load </w:t>
      </w:r>
      <w:r>
        <w:rPr>
          <w:sz w:val="24"/>
        </w:rPr>
        <w:t>of a</w:t>
      </w:r>
    </w:p>
    <w:p>
      <w:pPr>
        <w:spacing w:before="0"/>
        <w:ind w:left="1352" w:right="0" w:firstLine="0"/>
        <w:jc w:val="both"/>
        <w:rPr>
          <w:sz w:val="24"/>
        </w:rPr>
      </w:pPr>
      <w:r>
        <w:rPr>
          <w:i/>
          <w:sz w:val="24"/>
        </w:rPr>
        <w:t>network </w:t>
      </w:r>
      <w:r>
        <w:rPr>
          <w:sz w:val="24"/>
        </w:rPr>
        <w:t>or </w:t>
      </w:r>
      <w:r>
        <w:rPr>
          <w:i/>
          <w:sz w:val="24"/>
        </w:rPr>
        <w:t>facility </w:t>
      </w:r>
      <w:r>
        <w:rPr>
          <w:sz w:val="24"/>
        </w:rPr>
        <w:t>with all network components and equipment intact.</w:t>
      </w:r>
    </w:p>
    <w:p>
      <w:pPr>
        <w:spacing w:before="120"/>
        <w:ind w:left="1352" w:right="0" w:firstLine="0"/>
        <w:jc w:val="both"/>
        <w:rPr>
          <w:sz w:val="24"/>
        </w:rPr>
      </w:pPr>
      <w:r>
        <w:rPr>
          <w:b/>
          <w:sz w:val="24"/>
        </w:rPr>
        <w:t>transmission asset </w:t>
      </w:r>
      <w:r>
        <w:rPr>
          <w:sz w:val="24"/>
        </w:rPr>
        <w:t>means the apparatus, equipment and plant,</w:t>
      </w:r>
      <w:r>
        <w:rPr>
          <w:spacing w:val="55"/>
          <w:sz w:val="24"/>
        </w:rPr>
        <w:t> </w:t>
      </w:r>
      <w:r>
        <w:rPr>
          <w:sz w:val="24"/>
        </w:rPr>
        <w:t>including</w:t>
      </w:r>
    </w:p>
    <w:p>
      <w:pPr>
        <w:spacing w:before="0"/>
        <w:ind w:left="1352" w:right="0" w:firstLine="0"/>
        <w:jc w:val="both"/>
        <w:rPr>
          <w:sz w:val="24"/>
        </w:rPr>
      </w:pPr>
      <w:r>
        <w:rPr>
          <w:i/>
          <w:sz w:val="24"/>
        </w:rPr>
        <w:t>transmission lines </w:t>
      </w:r>
      <w:r>
        <w:rPr>
          <w:sz w:val="24"/>
        </w:rPr>
        <w:t>and </w:t>
      </w:r>
      <w:r>
        <w:rPr>
          <w:i/>
          <w:sz w:val="24"/>
        </w:rPr>
        <w:t>substations </w:t>
      </w:r>
      <w:r>
        <w:rPr>
          <w:sz w:val="24"/>
        </w:rPr>
        <w:t>of a </w:t>
      </w:r>
      <w:r>
        <w:rPr>
          <w:i/>
          <w:sz w:val="24"/>
        </w:rPr>
        <w:t>transmission system</w:t>
      </w:r>
      <w:r>
        <w:rPr>
          <w:sz w:val="24"/>
        </w:rPr>
        <w:t>.</w:t>
      </w:r>
    </w:p>
    <w:p>
      <w:pPr>
        <w:pStyle w:val="Heading4"/>
        <w:spacing w:before="120"/>
        <w:ind w:left="1352" w:firstLine="0"/>
        <w:jc w:val="both"/>
        <w:rPr>
          <w:rFonts w:ascii="Times New Roman"/>
          <w:b w:val="0"/>
        </w:rPr>
      </w:pPr>
      <w:r>
        <w:rPr>
          <w:rFonts w:ascii="Times New Roman"/>
        </w:rPr>
        <w:t>transmission-distribution connection point </w:t>
      </w:r>
      <w:r>
        <w:rPr>
          <w:rFonts w:ascii="Times New Roman"/>
          <w:b w:val="0"/>
        </w:rPr>
        <w:t>means:</w:t>
      </w:r>
    </w:p>
    <w:p>
      <w:pPr>
        <w:pStyle w:val="ListParagraph"/>
        <w:numPr>
          <w:ilvl w:val="0"/>
          <w:numId w:val="210"/>
        </w:numPr>
        <w:tabs>
          <w:tab w:pos="1919" w:val="left" w:leader="none"/>
        </w:tabs>
        <w:spacing w:line="240" w:lineRule="auto" w:before="120" w:after="0"/>
        <w:ind w:left="1918" w:right="0" w:hanging="567"/>
        <w:jc w:val="both"/>
        <w:rPr>
          <w:sz w:val="24"/>
        </w:rPr>
      </w:pPr>
      <w:r>
        <w:rPr>
          <w:sz w:val="24"/>
        </w:rPr>
        <w:t>subject</w:t>
      </w:r>
      <w:r>
        <w:rPr>
          <w:spacing w:val="26"/>
          <w:sz w:val="24"/>
        </w:rPr>
        <w:t> </w:t>
      </w:r>
      <w:r>
        <w:rPr>
          <w:sz w:val="24"/>
        </w:rPr>
        <w:t>to</w:t>
      </w:r>
      <w:r>
        <w:rPr>
          <w:spacing w:val="26"/>
          <w:sz w:val="24"/>
        </w:rPr>
        <w:t> </w:t>
      </w:r>
      <w:r>
        <w:rPr>
          <w:sz w:val="24"/>
        </w:rPr>
        <w:t>paragraph</w:t>
      </w:r>
      <w:r>
        <w:rPr>
          <w:spacing w:val="27"/>
          <w:sz w:val="24"/>
        </w:rPr>
        <w:t> </w:t>
      </w:r>
      <w:r>
        <w:rPr>
          <w:sz w:val="24"/>
        </w:rPr>
        <w:t>(b),</w:t>
      </w:r>
      <w:r>
        <w:rPr>
          <w:spacing w:val="26"/>
          <w:sz w:val="24"/>
        </w:rPr>
        <w:t> </w:t>
      </w:r>
      <w:r>
        <w:rPr>
          <w:sz w:val="24"/>
        </w:rPr>
        <w:t>the</w:t>
      </w:r>
      <w:r>
        <w:rPr>
          <w:spacing w:val="27"/>
          <w:sz w:val="24"/>
        </w:rPr>
        <w:t> </w:t>
      </w:r>
      <w:r>
        <w:rPr>
          <w:sz w:val="24"/>
        </w:rPr>
        <w:t>agreed</w:t>
      </w:r>
      <w:r>
        <w:rPr>
          <w:spacing w:val="26"/>
          <w:sz w:val="24"/>
        </w:rPr>
        <w:t> </w:t>
      </w:r>
      <w:r>
        <w:rPr>
          <w:sz w:val="24"/>
        </w:rPr>
        <w:t>point</w:t>
      </w:r>
      <w:r>
        <w:rPr>
          <w:spacing w:val="27"/>
          <w:sz w:val="24"/>
        </w:rPr>
        <w:t> </w:t>
      </w:r>
      <w:r>
        <w:rPr>
          <w:sz w:val="24"/>
        </w:rPr>
        <w:t>of</w:t>
      </w:r>
      <w:r>
        <w:rPr>
          <w:spacing w:val="26"/>
          <w:sz w:val="24"/>
        </w:rPr>
        <w:t> </w:t>
      </w:r>
      <w:r>
        <w:rPr>
          <w:sz w:val="24"/>
        </w:rPr>
        <w:t>supply</w:t>
      </w:r>
      <w:r>
        <w:rPr>
          <w:spacing w:val="26"/>
          <w:sz w:val="24"/>
        </w:rPr>
        <w:t> </w:t>
      </w:r>
      <w:r>
        <w:rPr>
          <w:sz w:val="24"/>
        </w:rPr>
        <w:t>established</w:t>
      </w:r>
      <w:r>
        <w:rPr>
          <w:spacing w:val="27"/>
          <w:sz w:val="24"/>
        </w:rPr>
        <w:t> </w:t>
      </w:r>
      <w:r>
        <w:rPr>
          <w:sz w:val="24"/>
        </w:rPr>
        <w:t>between</w:t>
      </w:r>
      <w:r>
        <w:rPr>
          <w:spacing w:val="26"/>
          <w:sz w:val="24"/>
        </w:rPr>
        <w:t> </w:t>
      </w:r>
      <w:r>
        <w:rPr>
          <w:sz w:val="24"/>
        </w:rPr>
        <w:t>a</w:t>
      </w:r>
    </w:p>
    <w:p>
      <w:pPr>
        <w:spacing w:before="0"/>
        <w:ind w:left="1919" w:right="0" w:firstLine="0"/>
        <w:jc w:val="both"/>
        <w:rPr>
          <w:sz w:val="24"/>
        </w:rPr>
      </w:pPr>
      <w:r>
        <w:rPr>
          <w:i/>
          <w:sz w:val="24"/>
        </w:rPr>
        <w:t>transmission network </w:t>
      </w:r>
      <w:r>
        <w:rPr>
          <w:sz w:val="24"/>
        </w:rPr>
        <w:t>and a </w:t>
      </w:r>
      <w:r>
        <w:rPr>
          <w:i/>
          <w:sz w:val="24"/>
        </w:rPr>
        <w:t>distribution network</w:t>
      </w:r>
      <w:r>
        <w:rPr>
          <w:sz w:val="24"/>
        </w:rPr>
        <w:t>;</w:t>
      </w:r>
    </w:p>
    <w:p>
      <w:pPr>
        <w:pStyle w:val="ListParagraph"/>
        <w:numPr>
          <w:ilvl w:val="0"/>
          <w:numId w:val="210"/>
        </w:numPr>
        <w:tabs>
          <w:tab w:pos="1919" w:val="left" w:leader="none"/>
        </w:tabs>
        <w:spacing w:line="240" w:lineRule="auto" w:before="120" w:after="0"/>
        <w:ind w:left="1919" w:right="415" w:hanging="567"/>
        <w:jc w:val="both"/>
        <w:rPr>
          <w:sz w:val="24"/>
        </w:rPr>
      </w:pPr>
      <w:r>
        <w:rPr>
          <w:sz w:val="24"/>
        </w:rPr>
        <w:t>in relation to the </w:t>
      </w:r>
      <w:r>
        <w:rPr>
          <w:i/>
          <w:sz w:val="24"/>
        </w:rPr>
        <w:t>declared transmission system </w:t>
      </w:r>
      <w:r>
        <w:rPr>
          <w:sz w:val="24"/>
        </w:rPr>
        <w:t>of an </w:t>
      </w:r>
      <w:r>
        <w:rPr>
          <w:i/>
          <w:sz w:val="24"/>
        </w:rPr>
        <w:t>adoptive jurisdiction</w:t>
      </w:r>
      <w:r>
        <w:rPr>
          <w:sz w:val="24"/>
        </w:rPr>
        <w:t>, the agreed point of supply between the transmission assets of the </w:t>
      </w:r>
      <w:r>
        <w:rPr>
          <w:i/>
          <w:sz w:val="24"/>
        </w:rPr>
        <w:t>declared </w:t>
      </w:r>
      <w:r>
        <w:rPr>
          <w:i/>
          <w:sz w:val="24"/>
        </w:rPr>
        <w:t>transmission system operator </w:t>
      </w:r>
      <w:r>
        <w:rPr>
          <w:sz w:val="24"/>
        </w:rPr>
        <w:t>and a </w:t>
      </w:r>
      <w:r>
        <w:rPr>
          <w:i/>
          <w:sz w:val="24"/>
        </w:rPr>
        <w:t>distribution</w:t>
      </w:r>
      <w:r>
        <w:rPr>
          <w:i/>
          <w:spacing w:val="-1"/>
          <w:sz w:val="24"/>
        </w:rPr>
        <w:t> </w:t>
      </w:r>
      <w:r>
        <w:rPr>
          <w:i/>
          <w:sz w:val="24"/>
        </w:rPr>
        <w:t>network</w:t>
      </w:r>
      <w:r>
        <w:rPr>
          <w:sz w:val="24"/>
        </w:rPr>
        <w:t>.</w:t>
      </w:r>
    </w:p>
    <w:p>
      <w:pPr>
        <w:spacing w:before="120"/>
        <w:ind w:left="1352" w:right="417" w:firstLine="0"/>
        <w:jc w:val="both"/>
        <w:rPr>
          <w:sz w:val="24"/>
        </w:rPr>
      </w:pPr>
      <w:r>
        <w:rPr>
          <w:b/>
          <w:sz w:val="24"/>
        </w:rPr>
        <w:t>zone substation </w:t>
      </w:r>
      <w:r>
        <w:rPr>
          <w:sz w:val="24"/>
        </w:rPr>
        <w:t>means a </w:t>
      </w:r>
      <w:r>
        <w:rPr>
          <w:i/>
          <w:sz w:val="24"/>
        </w:rPr>
        <w:t>substation </w:t>
      </w:r>
      <w:r>
        <w:rPr>
          <w:sz w:val="24"/>
        </w:rPr>
        <w:t>for the purpose of connecting a </w:t>
      </w:r>
      <w:r>
        <w:rPr>
          <w:i/>
          <w:sz w:val="24"/>
        </w:rPr>
        <w:t>distribution </w:t>
      </w:r>
      <w:r>
        <w:rPr>
          <w:i/>
          <w:sz w:val="24"/>
        </w:rPr>
        <w:t>network </w:t>
      </w:r>
      <w:r>
        <w:rPr>
          <w:sz w:val="24"/>
        </w:rPr>
        <w:t>to a sub-transmission </w:t>
      </w:r>
      <w:r>
        <w:rPr>
          <w:i/>
          <w:sz w:val="24"/>
        </w:rPr>
        <w:t>network</w:t>
      </w:r>
      <w:r>
        <w:rPr>
          <w:sz w:val="24"/>
        </w:rPr>
        <w:t>.</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10.3 Interpretation" w:id="661"/>
      <w:bookmarkEnd w:id="661"/>
      <w:r>
        <w:rPr>
          <w:b w:val="0"/>
        </w:rPr>
      </w:r>
      <w:bookmarkStart w:name="_bookmark260" w:id="662"/>
      <w:bookmarkEnd w:id="662"/>
      <w:r>
        <w:rPr>
          <w:b w:val="0"/>
        </w:rPr>
      </w:r>
      <w:bookmarkStart w:name="_bookmark260" w:id="663"/>
      <w:bookmarkEnd w:id="663"/>
      <w:r>
        <w:rPr/>
        <w:t>Interpretation</w:t>
      </w:r>
    </w:p>
    <w:p>
      <w:pPr>
        <w:spacing w:before="120"/>
        <w:ind w:left="1352" w:right="0" w:firstLine="0"/>
        <w:jc w:val="both"/>
        <w:rPr>
          <w:sz w:val="24"/>
        </w:rPr>
      </w:pPr>
      <w:r>
        <w:rPr>
          <w:sz w:val="24"/>
        </w:rPr>
        <w:t>The terms </w:t>
      </w:r>
      <w:r>
        <w:rPr>
          <w:i/>
          <w:sz w:val="24"/>
        </w:rPr>
        <w:t>Network Service Provider</w:t>
      </w:r>
      <w:r>
        <w:rPr>
          <w:sz w:val="24"/>
        </w:rPr>
        <w:t>, </w:t>
      </w:r>
      <w:r>
        <w:rPr>
          <w:i/>
          <w:sz w:val="24"/>
        </w:rPr>
        <w:t>Transmission Network Service Provider</w:t>
      </w:r>
      <w:r>
        <w:rPr>
          <w:i/>
          <w:spacing w:val="30"/>
          <w:sz w:val="24"/>
        </w:rPr>
        <w:t> </w:t>
      </w:r>
      <w:r>
        <w:rPr>
          <w:sz w:val="24"/>
        </w:rPr>
        <w:t>and</w:t>
      </w:r>
    </w:p>
    <w:p>
      <w:pPr>
        <w:spacing w:before="0"/>
        <w:ind w:left="1352" w:right="0" w:firstLine="0"/>
        <w:jc w:val="both"/>
        <w:rPr>
          <w:sz w:val="24"/>
        </w:rPr>
      </w:pPr>
      <w:r>
        <w:rPr>
          <w:i/>
          <w:sz w:val="24"/>
        </w:rPr>
        <w:t>Distribution  Network  Service  Provider  </w:t>
      </w:r>
      <w:r>
        <w:rPr>
          <w:sz w:val="24"/>
        </w:rPr>
        <w:t>when  used  in  rules  5.11  to  5.17  </w:t>
      </w:r>
      <w:r>
        <w:rPr>
          <w:spacing w:val="1"/>
          <w:sz w:val="24"/>
        </w:rPr>
        <w:t> </w:t>
      </w:r>
      <w:r>
        <w:rPr>
          <w:sz w:val="24"/>
        </w:rPr>
        <w:t>and</w:t>
      </w:r>
    </w:p>
    <w:p>
      <w:pPr>
        <w:spacing w:after="0"/>
        <w:jc w:val="both"/>
        <w:rPr>
          <w:sz w:val="24"/>
        </w:rPr>
        <w:sectPr>
          <w:pgSz w:w="11910" w:h="16840"/>
          <w:pgMar w:header="686" w:footer="637" w:top="1320" w:bottom="820" w:left="1200" w:right="1000"/>
        </w:sectPr>
      </w:pPr>
    </w:p>
    <w:p>
      <w:pPr>
        <w:spacing w:before="83"/>
        <w:ind w:left="1352" w:right="414" w:firstLine="0"/>
        <w:jc w:val="both"/>
        <w:rPr>
          <w:sz w:val="24"/>
        </w:rPr>
      </w:pPr>
      <w:r>
        <w:rPr>
          <w:sz w:val="24"/>
        </w:rPr>
        <w:t>schedules 5.8 and 5.9 are not intended to refer to, and are not to be read or construed as referring to, any </w:t>
      </w:r>
      <w:r>
        <w:rPr>
          <w:i/>
          <w:sz w:val="24"/>
        </w:rPr>
        <w:t>Network Service Provider </w:t>
      </w:r>
      <w:r>
        <w:rPr>
          <w:sz w:val="24"/>
        </w:rPr>
        <w:t>in its capacity as a </w:t>
      </w:r>
      <w:r>
        <w:rPr>
          <w:i/>
          <w:sz w:val="24"/>
        </w:rPr>
        <w:t>Market </w:t>
      </w:r>
      <w:r>
        <w:rPr>
          <w:i/>
          <w:sz w:val="24"/>
        </w:rPr>
        <w:t>Network Service Provider</w:t>
      </w:r>
      <w:r>
        <w:rPr>
          <w:sz w:val="24"/>
        </w:rPr>
        <w:t>.</w:t>
      </w:r>
    </w:p>
    <w:p>
      <w:pPr>
        <w:pStyle w:val="BodyText"/>
        <w:spacing w:before="10"/>
        <w:ind w:firstLine="0"/>
        <w:jc w:val="left"/>
        <w:rPr>
          <w:sz w:val="20"/>
        </w:rPr>
      </w:pPr>
    </w:p>
    <w:p>
      <w:pPr>
        <w:pStyle w:val="Heading3"/>
        <w:numPr>
          <w:ilvl w:val="1"/>
          <w:numId w:val="197"/>
        </w:numPr>
        <w:tabs>
          <w:tab w:pos="1351" w:val="left" w:leader="none"/>
          <w:tab w:pos="1353" w:val="left" w:leader="none"/>
        </w:tabs>
        <w:spacing w:line="240" w:lineRule="auto" w:before="0" w:after="0"/>
        <w:ind w:left="1352" w:right="1736" w:hanging="1134"/>
        <w:jc w:val="left"/>
      </w:pPr>
      <w:bookmarkStart w:name="5.11 Forecasts of connection to transmis" w:id="664"/>
      <w:bookmarkEnd w:id="664"/>
      <w:r>
        <w:rPr>
          <w:b w:val="0"/>
        </w:rPr>
      </w:r>
      <w:bookmarkStart w:name="_bookmark261" w:id="665"/>
      <w:bookmarkEnd w:id="665"/>
      <w:r>
        <w:rPr>
          <w:b w:val="0"/>
        </w:rPr>
      </w:r>
      <w:bookmarkStart w:name="_bookmark261" w:id="666"/>
      <w:bookmarkEnd w:id="666"/>
      <w:r>
        <w:rPr/>
        <w:t>F</w:t>
      </w:r>
      <w:r>
        <w:rPr/>
        <w:t>orecasts of connection to transmission network and identification of system</w:t>
      </w:r>
      <w:r>
        <w:rPr>
          <w:spacing w:val="-2"/>
        </w:rPr>
        <w:t> </w:t>
      </w:r>
      <w:r>
        <w:rPr/>
        <w:t>limitations</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11.1 Forecasts for connection to trans" w:id="667"/>
      <w:bookmarkEnd w:id="667"/>
      <w:r>
        <w:rPr>
          <w:b w:val="0"/>
        </w:rPr>
      </w:r>
      <w:bookmarkStart w:name="_bookmark262" w:id="668"/>
      <w:bookmarkEnd w:id="668"/>
      <w:r>
        <w:rPr>
          <w:b w:val="0"/>
        </w:rPr>
      </w:r>
      <w:bookmarkStart w:name="_bookmark262" w:id="669"/>
      <w:bookmarkEnd w:id="669"/>
      <w:r>
        <w:rPr/>
        <w:t>Forecasts</w:t>
      </w:r>
      <w:r>
        <w:rPr/>
        <w:t> for connection to transmission</w:t>
      </w:r>
      <w:r>
        <w:rPr>
          <w:spacing w:val="-5"/>
        </w:rPr>
        <w:t> </w:t>
      </w:r>
      <w:r>
        <w:rPr/>
        <w:t>network</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relevant </w:t>
      </w:r>
      <w:r>
        <w:rPr>
          <w:i/>
          <w:sz w:val="24"/>
        </w:rPr>
        <w:t>Network Service Provider </w:t>
      </w:r>
      <w:r>
        <w:rPr>
          <w:sz w:val="24"/>
        </w:rPr>
        <w:t>must give at least 40 </w:t>
      </w:r>
      <w:r>
        <w:rPr>
          <w:i/>
          <w:sz w:val="24"/>
        </w:rPr>
        <w:t>business days </w:t>
      </w:r>
      <w:r>
        <w:rPr>
          <w:sz w:val="24"/>
        </w:rPr>
        <w:t>written notice to each relevant </w:t>
      </w:r>
      <w:r>
        <w:rPr>
          <w:i/>
          <w:sz w:val="24"/>
        </w:rPr>
        <w:t>Registered Participant </w:t>
      </w:r>
      <w:r>
        <w:rPr>
          <w:sz w:val="24"/>
        </w:rPr>
        <w:t>of the annual date by which the </w:t>
      </w:r>
      <w:r>
        <w:rPr>
          <w:i/>
          <w:sz w:val="24"/>
        </w:rPr>
        <w:t>Registered Participant </w:t>
      </w:r>
      <w:r>
        <w:rPr>
          <w:sz w:val="24"/>
        </w:rPr>
        <w:t>must provide the relevant </w:t>
      </w:r>
      <w:r>
        <w:rPr>
          <w:i/>
          <w:sz w:val="24"/>
        </w:rPr>
        <w:t>Network Service </w:t>
      </w:r>
      <w:r>
        <w:rPr>
          <w:i/>
          <w:sz w:val="24"/>
        </w:rPr>
        <w:t>Provider </w:t>
      </w:r>
      <w:r>
        <w:rPr>
          <w:sz w:val="24"/>
        </w:rPr>
        <w:t>with the short and long term electricity </w:t>
      </w:r>
      <w:r>
        <w:rPr>
          <w:i/>
          <w:sz w:val="24"/>
        </w:rPr>
        <w:t>generation, market network </w:t>
      </w:r>
      <w:r>
        <w:rPr>
          <w:i/>
          <w:sz w:val="24"/>
        </w:rPr>
        <w:t>service </w:t>
      </w:r>
      <w:r>
        <w:rPr>
          <w:sz w:val="24"/>
        </w:rPr>
        <w:t>and </w:t>
      </w:r>
      <w:r>
        <w:rPr>
          <w:i/>
          <w:sz w:val="24"/>
        </w:rPr>
        <w:t>load </w:t>
      </w:r>
      <w:r>
        <w:rPr>
          <w:sz w:val="24"/>
        </w:rPr>
        <w:t>forecast information listed in schedule 5.7 in relation to each </w:t>
      </w:r>
      <w:r>
        <w:rPr>
          <w:i/>
          <w:sz w:val="24"/>
        </w:rPr>
        <w:t>connection point </w:t>
      </w:r>
      <w:r>
        <w:rPr>
          <w:sz w:val="24"/>
        </w:rPr>
        <w:t>which </w:t>
      </w:r>
      <w:r>
        <w:rPr>
          <w:i/>
          <w:sz w:val="24"/>
        </w:rPr>
        <w:t>connects </w:t>
      </w:r>
      <w:r>
        <w:rPr>
          <w:sz w:val="24"/>
        </w:rPr>
        <w:t>the </w:t>
      </w:r>
      <w:r>
        <w:rPr>
          <w:i/>
          <w:sz w:val="24"/>
        </w:rPr>
        <w:t>Registered Participant </w:t>
      </w:r>
      <w:r>
        <w:rPr>
          <w:sz w:val="24"/>
        </w:rPr>
        <w:t>to a </w:t>
      </w:r>
      <w:r>
        <w:rPr>
          <w:i/>
          <w:sz w:val="24"/>
        </w:rPr>
        <w:t>transmission network </w:t>
      </w:r>
      <w:r>
        <w:rPr>
          <w:sz w:val="24"/>
        </w:rPr>
        <w:t>of that </w:t>
      </w:r>
      <w:r>
        <w:rPr>
          <w:i/>
          <w:sz w:val="24"/>
        </w:rPr>
        <w:t>Network Service Provider </w:t>
      </w:r>
      <w:r>
        <w:rPr>
          <w:sz w:val="24"/>
        </w:rPr>
        <w:t>and any </w:t>
      </w:r>
      <w:r>
        <w:rPr>
          <w:spacing w:val="-3"/>
          <w:sz w:val="24"/>
        </w:rPr>
        <w:t>other </w:t>
      </w:r>
      <w:r>
        <w:rPr>
          <w:sz w:val="24"/>
        </w:rPr>
        <w:t>relevant information as reasonably required by the </w:t>
      </w:r>
      <w:r>
        <w:rPr>
          <w:i/>
          <w:sz w:val="24"/>
        </w:rPr>
        <w:t>Network Service </w:t>
      </w:r>
      <w:r>
        <w:rPr>
          <w:i/>
          <w:sz w:val="24"/>
        </w:rPr>
        <w:t>Provider</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Details of planned future </w:t>
      </w:r>
      <w:r>
        <w:rPr>
          <w:i/>
          <w:sz w:val="24"/>
        </w:rPr>
        <w:t>generating units, market network services </w:t>
      </w:r>
      <w:r>
        <w:rPr>
          <w:sz w:val="24"/>
        </w:rPr>
        <w:t>and </w:t>
      </w:r>
      <w:r>
        <w:rPr>
          <w:i/>
          <w:sz w:val="24"/>
        </w:rPr>
        <w:t>loads</w:t>
      </w:r>
      <w:r>
        <w:rPr>
          <w:sz w:val="24"/>
        </w:rPr>
        <w:t>, being details regarding the proposed commencing date, </w:t>
      </w:r>
      <w:r>
        <w:rPr>
          <w:i/>
          <w:sz w:val="24"/>
        </w:rPr>
        <w:t>active power </w:t>
      </w:r>
      <w:r>
        <w:rPr>
          <w:i/>
          <w:sz w:val="24"/>
        </w:rPr>
        <w:t>capability </w:t>
      </w:r>
      <w:r>
        <w:rPr>
          <w:sz w:val="24"/>
        </w:rPr>
        <w:t>and </w:t>
      </w:r>
      <w:r>
        <w:rPr>
          <w:i/>
          <w:sz w:val="24"/>
        </w:rPr>
        <w:t>reactive power capability</w:t>
      </w:r>
      <w:r>
        <w:rPr>
          <w:sz w:val="24"/>
        </w:rPr>
        <w:t>, </w:t>
      </w:r>
      <w:r>
        <w:rPr>
          <w:i/>
          <w:sz w:val="24"/>
        </w:rPr>
        <w:t>power transfer capability</w:t>
      </w:r>
      <w:r>
        <w:rPr>
          <w:sz w:val="24"/>
        </w:rPr>
        <w:t>, operating times/seasons and special operating requirements, must be given by each relevant </w:t>
      </w:r>
      <w:r>
        <w:rPr>
          <w:i/>
          <w:sz w:val="24"/>
        </w:rPr>
        <w:t>Registered Participant </w:t>
      </w:r>
      <w:r>
        <w:rPr>
          <w:sz w:val="24"/>
        </w:rPr>
        <w:t>to the relevant </w:t>
      </w:r>
      <w:r>
        <w:rPr>
          <w:i/>
          <w:sz w:val="24"/>
        </w:rPr>
        <w:t>Network Service </w:t>
      </w:r>
      <w:r>
        <w:rPr>
          <w:i/>
          <w:sz w:val="24"/>
        </w:rPr>
        <w:t>Provider </w:t>
      </w:r>
      <w:r>
        <w:rPr>
          <w:sz w:val="24"/>
        </w:rPr>
        <w:t>on reasonable</w:t>
      </w:r>
      <w:r>
        <w:rPr>
          <w:spacing w:val="-1"/>
          <w:sz w:val="24"/>
        </w:rPr>
        <w:t> </w:t>
      </w:r>
      <w:r>
        <w:rPr>
          <w:sz w:val="24"/>
        </w:rPr>
        <w:t>request.</w:t>
      </w:r>
    </w:p>
    <w:p>
      <w:pPr>
        <w:pStyle w:val="ListParagraph"/>
        <w:numPr>
          <w:ilvl w:val="3"/>
          <w:numId w:val="197"/>
        </w:numPr>
        <w:tabs>
          <w:tab w:pos="1919" w:val="left" w:leader="none"/>
        </w:tabs>
        <w:spacing w:line="240" w:lineRule="auto" w:before="120" w:after="0"/>
        <w:ind w:left="1919" w:right="413" w:hanging="567"/>
        <w:jc w:val="both"/>
        <w:rPr>
          <w:sz w:val="24"/>
        </w:rPr>
      </w:pPr>
      <w:r>
        <w:rPr>
          <w:sz w:val="24"/>
        </w:rPr>
        <w:t>Each relevant </w:t>
      </w:r>
      <w:r>
        <w:rPr>
          <w:i/>
          <w:sz w:val="24"/>
        </w:rPr>
        <w:t>Registered Participant </w:t>
      </w:r>
      <w:r>
        <w:rPr>
          <w:sz w:val="24"/>
        </w:rPr>
        <w:t>must use reasonable endeavours </w:t>
      </w:r>
      <w:r>
        <w:rPr>
          <w:spacing w:val="-6"/>
          <w:sz w:val="24"/>
        </w:rPr>
        <w:t>to </w:t>
      </w:r>
      <w:r>
        <w:rPr>
          <w:sz w:val="24"/>
        </w:rPr>
        <w:t>provide accurate information under paragraph (a) which must include details of any factors which may impact on </w:t>
      </w:r>
      <w:r>
        <w:rPr>
          <w:i/>
          <w:sz w:val="24"/>
        </w:rPr>
        <w:t>load </w:t>
      </w:r>
      <w:r>
        <w:rPr>
          <w:sz w:val="24"/>
        </w:rPr>
        <w:t>forecasts or proposed </w:t>
      </w:r>
      <w:r>
        <w:rPr>
          <w:i/>
          <w:sz w:val="24"/>
        </w:rPr>
        <w:t>facilities </w:t>
      </w:r>
      <w:r>
        <w:rPr>
          <w:sz w:val="24"/>
        </w:rPr>
        <w:t>for </w:t>
      </w:r>
      <w:r>
        <w:rPr>
          <w:i/>
          <w:sz w:val="24"/>
        </w:rPr>
        <w:t>generation </w:t>
      </w:r>
      <w:r>
        <w:rPr>
          <w:sz w:val="24"/>
        </w:rPr>
        <w:t>or </w:t>
      </w:r>
      <w:r>
        <w:rPr>
          <w:i/>
          <w:sz w:val="24"/>
        </w:rPr>
        <w:t>market network</w:t>
      </w:r>
      <w:r>
        <w:rPr>
          <w:i/>
          <w:spacing w:val="-2"/>
          <w:sz w:val="24"/>
        </w:rPr>
        <w:t> </w:t>
      </w:r>
      <w:r>
        <w:rPr>
          <w:i/>
          <w:sz w:val="24"/>
        </w:rPr>
        <w:t>services</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the </w:t>
      </w:r>
      <w:r>
        <w:rPr>
          <w:i/>
          <w:sz w:val="24"/>
        </w:rPr>
        <w:t>Network Service Provider </w:t>
      </w:r>
      <w:r>
        <w:rPr>
          <w:sz w:val="24"/>
        </w:rPr>
        <w:t>reasonably believes any forecast information to be inaccurate, the </w:t>
      </w:r>
      <w:r>
        <w:rPr>
          <w:i/>
          <w:sz w:val="24"/>
        </w:rPr>
        <w:t>Network Service Provider </w:t>
      </w:r>
      <w:r>
        <w:rPr>
          <w:sz w:val="24"/>
        </w:rPr>
        <w:t>may modify that forecast information and must advise the relevant </w:t>
      </w:r>
      <w:r>
        <w:rPr>
          <w:i/>
          <w:sz w:val="24"/>
        </w:rPr>
        <w:t>Registered Participant </w:t>
      </w:r>
      <w:r>
        <w:rPr>
          <w:sz w:val="24"/>
        </w:rPr>
        <w:t>and </w:t>
      </w:r>
      <w:r>
        <w:rPr>
          <w:i/>
          <w:sz w:val="24"/>
        </w:rPr>
        <w:t>NTESMO </w:t>
      </w:r>
      <w:r>
        <w:rPr>
          <w:sz w:val="24"/>
        </w:rPr>
        <w:t>in writing of this action and the reason for the modification. The </w:t>
      </w:r>
      <w:r>
        <w:rPr>
          <w:i/>
          <w:sz w:val="24"/>
        </w:rPr>
        <w:t>Network Service Provider </w:t>
      </w:r>
      <w:r>
        <w:rPr>
          <w:sz w:val="24"/>
        </w:rPr>
        <w:t>is not responsible for any adverse consequences of this action or for failing to modify forecast information under this paragraph</w:t>
      </w:r>
      <w:r>
        <w:rPr>
          <w:spacing w:val="-1"/>
          <w:sz w:val="24"/>
        </w:rPr>
        <w:t> </w:t>
      </w:r>
      <w:r>
        <w:rPr>
          <w:sz w:val="24"/>
        </w:rPr>
        <w:t>(d).</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11.2 Identification of network limitat" w:id="670"/>
      <w:bookmarkEnd w:id="670"/>
      <w:r>
        <w:rPr>
          <w:b w:val="0"/>
        </w:rPr>
      </w:r>
      <w:bookmarkStart w:name="_bookmark263" w:id="671"/>
      <w:bookmarkEnd w:id="671"/>
      <w:r>
        <w:rPr>
          <w:b w:val="0"/>
        </w:rPr>
      </w:r>
      <w:bookmarkStart w:name="_bookmark263" w:id="672"/>
      <w:bookmarkEnd w:id="672"/>
      <w:r>
        <w:rPr/>
        <w:t>Identif</w:t>
      </w:r>
      <w:r>
        <w:rPr/>
        <w:t>ication of network</w:t>
      </w:r>
      <w:r>
        <w:rPr>
          <w:spacing w:val="-1"/>
        </w:rPr>
        <w:t> </w:t>
      </w:r>
      <w:r>
        <w:rPr/>
        <w:t>limitations</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The application of paragraph (b) of this clause will be revisited as part of the phased implementation of the </w:t>
      </w:r>
      <w:r>
        <w:rPr>
          <w:i/>
          <w:sz w:val="20"/>
        </w:rPr>
        <w:t>Rules </w:t>
      </w:r>
      <w:r>
        <w:rPr>
          <w:sz w:val="20"/>
        </w:rPr>
        <w:t>in this jurisdiction.</w:t>
      </w:r>
    </w:p>
    <w:p>
      <w:pPr>
        <w:spacing w:before="120"/>
        <w:ind w:left="1352" w:right="0" w:firstLine="0"/>
        <w:jc w:val="both"/>
        <w:rPr>
          <w:sz w:val="24"/>
        </w:rPr>
      </w:pPr>
      <w:r>
        <w:rPr>
          <w:sz w:val="24"/>
        </w:rPr>
        <w:t>Each </w:t>
      </w:r>
      <w:r>
        <w:rPr>
          <w:i/>
          <w:sz w:val="24"/>
        </w:rPr>
        <w:t>Network Service Provider </w:t>
      </w:r>
      <w:r>
        <w:rPr>
          <w:sz w:val="24"/>
        </w:rPr>
        <w:t>must: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extrapolate the forecasts provided to it by </w:t>
      </w:r>
      <w:r>
        <w:rPr>
          <w:i/>
          <w:sz w:val="24"/>
        </w:rPr>
        <w:t>Registered Participants </w:t>
      </w:r>
      <w:r>
        <w:rPr>
          <w:sz w:val="24"/>
        </w:rPr>
        <w:t>for the purpose of planning;</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if the analysis required by paragraph (a) indicates that any relevant technical limits of the </w:t>
      </w:r>
      <w:r>
        <w:rPr>
          <w:i/>
          <w:sz w:val="24"/>
        </w:rPr>
        <w:t>transmission </w:t>
      </w:r>
      <w:r>
        <w:rPr>
          <w:sz w:val="24"/>
        </w:rPr>
        <w:t>or </w:t>
      </w:r>
      <w:r>
        <w:rPr>
          <w:i/>
          <w:sz w:val="24"/>
        </w:rPr>
        <w:t>distribution systems </w:t>
      </w:r>
      <w:r>
        <w:rPr>
          <w:sz w:val="24"/>
        </w:rPr>
        <w:t>will be exceeded, either in normal conditions or following the contingencies specified in </w:t>
      </w:r>
      <w:r>
        <w:rPr>
          <w:i/>
          <w:sz w:val="24"/>
        </w:rPr>
        <w:t>jurisdictional </w:t>
      </w:r>
      <w:r>
        <w:rPr>
          <w:i/>
          <w:sz w:val="24"/>
        </w:rPr>
        <w:t>electricity legislation</w:t>
      </w:r>
      <w:r>
        <w:rPr>
          <w:sz w:val="24"/>
        </w:rPr>
        <w:t>, notify any affected </w:t>
      </w:r>
      <w:r>
        <w:rPr>
          <w:i/>
          <w:sz w:val="24"/>
        </w:rPr>
        <w:t>Registered Participants </w:t>
      </w:r>
      <w:r>
        <w:rPr>
          <w:spacing w:val="-4"/>
          <w:sz w:val="24"/>
        </w:rPr>
        <w:t>and </w:t>
      </w:r>
      <w:r>
        <w:rPr>
          <w:i/>
          <w:sz w:val="24"/>
        </w:rPr>
        <w:t>NTESMO </w:t>
      </w:r>
      <w:r>
        <w:rPr>
          <w:sz w:val="24"/>
        </w:rPr>
        <w:t>of these limitations;</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contingencies in </w:t>
      </w:r>
      <w:r>
        <w:rPr>
          <w:i/>
          <w:sz w:val="20"/>
        </w:rPr>
        <w:t>jurisdictional electricity legislation </w:t>
      </w:r>
      <w:r>
        <w:rPr>
          <w:sz w:val="20"/>
        </w:rPr>
        <w:t>referred to in paragraph (b) will be contingencies that correspond to the matters set out in Schedule 5.1 in the </w:t>
      </w:r>
      <w:r>
        <w:rPr>
          <w:i/>
          <w:sz w:val="20"/>
        </w:rPr>
        <w:t>Rules </w:t>
      </w:r>
      <w:r>
        <w:rPr>
          <w:sz w:val="20"/>
        </w:rPr>
        <w:t>applying in other </w:t>
      </w:r>
      <w:r>
        <w:rPr>
          <w:i/>
          <w:sz w:val="20"/>
        </w:rPr>
        <w:t>participating jurisdictions</w:t>
      </w:r>
      <w:r>
        <w:rPr>
          <w:sz w:val="20"/>
        </w:rPr>
        <w:t>. The specification of contingencies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notify any affected </w:t>
      </w:r>
      <w:r>
        <w:rPr>
          <w:i/>
          <w:sz w:val="24"/>
        </w:rPr>
        <w:t>Registered Participants </w:t>
      </w:r>
      <w:r>
        <w:rPr>
          <w:sz w:val="24"/>
        </w:rPr>
        <w:t>and </w:t>
      </w:r>
      <w:r>
        <w:rPr>
          <w:i/>
          <w:sz w:val="24"/>
        </w:rPr>
        <w:t>NTESMO </w:t>
      </w:r>
      <w:r>
        <w:rPr>
          <w:sz w:val="24"/>
        </w:rPr>
        <w:t>of the expected time for undertaking proposed corrective action which may consist</w:t>
      </w:r>
      <w:r>
        <w:rPr>
          <w:spacing w:val="-7"/>
          <w:sz w:val="24"/>
        </w:rPr>
        <w:t> </w:t>
      </w:r>
      <w:r>
        <w:rPr>
          <w:sz w:val="24"/>
        </w:rPr>
        <w:t>of:</w:t>
      </w:r>
    </w:p>
    <w:p>
      <w:pPr>
        <w:pStyle w:val="ListParagraph"/>
        <w:numPr>
          <w:ilvl w:val="4"/>
          <w:numId w:val="197"/>
        </w:numPr>
        <w:tabs>
          <w:tab w:pos="2486" w:val="left" w:leader="none"/>
        </w:tabs>
        <w:spacing w:line="240" w:lineRule="auto" w:before="120" w:after="0"/>
        <w:ind w:left="2486" w:right="415" w:hanging="567"/>
        <w:jc w:val="both"/>
        <w:rPr>
          <w:sz w:val="24"/>
        </w:rPr>
      </w:pPr>
      <w:r>
        <w:rPr>
          <w:i/>
          <w:sz w:val="24"/>
        </w:rPr>
        <w:t>dual function assets </w:t>
      </w:r>
      <w:r>
        <w:rPr>
          <w:sz w:val="24"/>
        </w:rPr>
        <w:t>or an investment in a </w:t>
      </w:r>
      <w:r>
        <w:rPr>
          <w:i/>
          <w:sz w:val="24"/>
        </w:rPr>
        <w:t>transmission network </w:t>
      </w:r>
      <w:r>
        <w:rPr>
          <w:sz w:val="24"/>
        </w:rPr>
        <w:t>designed to address limitations in respect of a </w:t>
      </w:r>
      <w:r>
        <w:rPr>
          <w:i/>
          <w:sz w:val="24"/>
        </w:rPr>
        <w:t>distribution network </w:t>
      </w:r>
      <w:r>
        <w:rPr>
          <w:sz w:val="24"/>
        </w:rPr>
        <w:t>notified under paragraph (b);</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i/>
          <w:sz w:val="24"/>
        </w:rPr>
        <w:t>network options </w:t>
      </w:r>
      <w:r>
        <w:rPr>
          <w:sz w:val="24"/>
        </w:rPr>
        <w:t>or </w:t>
      </w:r>
      <w:r>
        <w:rPr>
          <w:i/>
          <w:sz w:val="24"/>
        </w:rPr>
        <w:t>non-network options </w:t>
      </w:r>
      <w:r>
        <w:rPr>
          <w:sz w:val="24"/>
        </w:rPr>
        <w:t>or modifications to </w:t>
      </w:r>
      <w:r>
        <w:rPr>
          <w:i/>
          <w:sz w:val="24"/>
        </w:rPr>
        <w:t>connection facilities</w:t>
      </w:r>
      <w:r>
        <w:rPr>
          <w:sz w:val="24"/>
        </w:rPr>
        <w:t>, designed to address the limitations notified under paragraph (b).</w:t>
      </w:r>
    </w:p>
    <w:p>
      <w:pPr>
        <w:pStyle w:val="BodyText"/>
        <w:spacing w:before="10"/>
        <w:ind w:firstLine="0"/>
        <w:jc w:val="left"/>
        <w:rPr>
          <w:sz w:val="20"/>
        </w:rPr>
      </w:pPr>
    </w:p>
    <w:p>
      <w:pPr>
        <w:pStyle w:val="Heading3"/>
        <w:numPr>
          <w:ilvl w:val="1"/>
          <w:numId w:val="197"/>
        </w:numPr>
        <w:tabs>
          <w:tab w:pos="1351" w:val="left" w:leader="none"/>
          <w:tab w:pos="1353" w:val="left" w:leader="none"/>
        </w:tabs>
        <w:spacing w:line="240" w:lineRule="auto" w:before="0" w:after="0"/>
        <w:ind w:left="1352" w:right="0" w:hanging="1135"/>
        <w:jc w:val="left"/>
      </w:pPr>
      <w:bookmarkStart w:name="5.12 Transmission annual planning proces" w:id="673"/>
      <w:bookmarkEnd w:id="673"/>
      <w:r>
        <w:rPr>
          <w:b w:val="0"/>
        </w:rPr>
      </w:r>
      <w:bookmarkStart w:name="_bookmark264" w:id="674"/>
      <w:bookmarkEnd w:id="674"/>
      <w:r>
        <w:rPr>
          <w:b w:val="0"/>
        </w:rPr>
      </w:r>
      <w:bookmarkStart w:name="_bookmark264" w:id="675"/>
      <w:bookmarkEnd w:id="675"/>
      <w:r>
        <w:rPr/>
        <w:t>T</w:t>
      </w:r>
      <w:r>
        <w:rPr/>
        <w:t>ransmission annual planning</w:t>
      </w:r>
      <w:r>
        <w:rPr>
          <w:spacing w:val="-18"/>
        </w:rPr>
        <w:t> </w:t>
      </w:r>
      <w:r>
        <w:rPr/>
        <w:t>process</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12.1 Transmission annual planning revi" w:id="676"/>
      <w:bookmarkEnd w:id="676"/>
      <w:r>
        <w:rPr>
          <w:b w:val="0"/>
        </w:rPr>
      </w:r>
      <w:bookmarkStart w:name="_bookmark265" w:id="677"/>
      <w:bookmarkEnd w:id="677"/>
      <w:r>
        <w:rPr>
          <w:b w:val="0"/>
        </w:rPr>
      </w:r>
      <w:bookmarkStart w:name="_bookmark265" w:id="678"/>
      <w:bookmarkEnd w:id="678"/>
      <w:r>
        <w:rPr/>
        <w:t>Transmission</w:t>
      </w:r>
      <w:r>
        <w:rPr/>
        <w:t> annual planning</w:t>
      </w:r>
      <w:r>
        <w:rPr>
          <w:spacing w:val="-2"/>
        </w:rPr>
        <w:t> </w:t>
      </w:r>
      <w:r>
        <w:rPr/>
        <w:t>review</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Each </w:t>
      </w:r>
      <w:r>
        <w:rPr>
          <w:i/>
          <w:sz w:val="24"/>
        </w:rPr>
        <w:t>Transmission Network Service Provider </w:t>
      </w:r>
      <w:r>
        <w:rPr>
          <w:sz w:val="24"/>
        </w:rPr>
        <w:t>must analyse the expected future operation of its </w:t>
      </w:r>
      <w:r>
        <w:rPr>
          <w:i/>
          <w:sz w:val="24"/>
        </w:rPr>
        <w:t>transmission networks </w:t>
      </w:r>
      <w:r>
        <w:rPr>
          <w:sz w:val="24"/>
        </w:rPr>
        <w:t>over an appropriate planning period, taking into account the relevant forecast </w:t>
      </w:r>
      <w:r>
        <w:rPr>
          <w:i/>
          <w:sz w:val="24"/>
        </w:rPr>
        <w:t>loads</w:t>
      </w:r>
      <w:r>
        <w:rPr>
          <w:sz w:val="24"/>
        </w:rPr>
        <w:t>, any future </w:t>
      </w:r>
      <w:r>
        <w:rPr>
          <w:i/>
          <w:sz w:val="24"/>
        </w:rPr>
        <w:t>generation</w:t>
      </w:r>
      <w:r>
        <w:rPr>
          <w:sz w:val="24"/>
        </w:rPr>
        <w:t>, </w:t>
      </w:r>
      <w:r>
        <w:rPr>
          <w:i/>
          <w:sz w:val="24"/>
        </w:rPr>
        <w:t>market network service</w:t>
      </w:r>
      <w:r>
        <w:rPr>
          <w:sz w:val="24"/>
        </w:rPr>
        <w:t>, demand side and </w:t>
      </w:r>
      <w:r>
        <w:rPr>
          <w:i/>
          <w:sz w:val="24"/>
        </w:rPr>
        <w:t>transmission </w:t>
      </w:r>
      <w:r>
        <w:rPr>
          <w:sz w:val="24"/>
        </w:rPr>
        <w:t>developments and any other relevant</w:t>
      </w:r>
      <w:r>
        <w:rPr>
          <w:spacing w:val="-1"/>
          <w:sz w:val="24"/>
        </w:rPr>
        <w:t> </w:t>
      </w:r>
      <w:r>
        <w:rPr>
          <w:sz w:val="24"/>
        </w:rPr>
        <w:t>data.</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Each </w:t>
      </w:r>
      <w:r>
        <w:rPr>
          <w:i/>
          <w:sz w:val="24"/>
        </w:rPr>
        <w:t>Transmission Network Service Provider </w:t>
      </w:r>
      <w:r>
        <w:rPr>
          <w:sz w:val="24"/>
        </w:rPr>
        <w:t>must conduct an annual planning review which</w:t>
      </w:r>
      <w:r>
        <w:rPr>
          <w:spacing w:val="-2"/>
          <w:sz w:val="24"/>
        </w:rPr>
        <w:t> </w:t>
      </w:r>
      <w:r>
        <w:rPr>
          <w:sz w:val="24"/>
        </w:rPr>
        <w:t>must: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incorporate the forecast </w:t>
      </w:r>
      <w:r>
        <w:rPr>
          <w:i/>
          <w:sz w:val="24"/>
        </w:rPr>
        <w:t>loads </w:t>
      </w:r>
      <w:r>
        <w:rPr>
          <w:sz w:val="24"/>
        </w:rPr>
        <w:t>as submitted or modified in accordance with clause 5.11.1;</w:t>
      </w:r>
      <w:r>
        <w:rPr>
          <w:spacing w:val="-3"/>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include a review of the adequacy of existing </w:t>
      </w:r>
      <w:r>
        <w:rPr>
          <w:i/>
          <w:sz w:val="24"/>
        </w:rPr>
        <w:t>connection points </w:t>
      </w:r>
      <w:r>
        <w:rPr>
          <w:spacing w:val="-5"/>
          <w:sz w:val="24"/>
        </w:rPr>
        <w:t>and </w:t>
      </w:r>
      <w:r>
        <w:rPr>
          <w:sz w:val="24"/>
        </w:rPr>
        <w:t>relevant parts of the </w:t>
      </w:r>
      <w:r>
        <w:rPr>
          <w:i/>
          <w:sz w:val="24"/>
        </w:rPr>
        <w:t>transmission system </w:t>
      </w:r>
      <w:r>
        <w:rPr>
          <w:sz w:val="24"/>
        </w:rPr>
        <w:t>and planning proposals for future </w:t>
      </w:r>
      <w:r>
        <w:rPr>
          <w:i/>
          <w:sz w:val="24"/>
        </w:rPr>
        <w:t>connection points</w:t>
      </w:r>
      <w:r>
        <w:rPr>
          <w:sz w:val="24"/>
        </w:rPr>
        <w:t>;</w:t>
      </w:r>
      <w:r>
        <w:rPr>
          <w:spacing w:val="-1"/>
          <w:sz w:val="24"/>
        </w:rPr>
        <w:t> </w:t>
      </w:r>
      <w:r>
        <w:rPr>
          <w:sz w:val="24"/>
        </w:rPr>
        <w:t>and</w:t>
      </w:r>
    </w:p>
    <w:p>
      <w:pPr>
        <w:pStyle w:val="ListParagraph"/>
        <w:numPr>
          <w:ilvl w:val="4"/>
          <w:numId w:val="197"/>
        </w:numPr>
        <w:tabs>
          <w:tab w:pos="2200" w:val="left" w:leader="none"/>
        </w:tabs>
        <w:spacing w:line="240" w:lineRule="auto" w:before="120" w:after="0"/>
        <w:ind w:left="2199" w:right="0" w:hanging="281"/>
        <w:jc w:val="left"/>
        <w:rPr>
          <w:sz w:val="24"/>
        </w:rPr>
      </w:pPr>
      <w:r>
        <w:rPr>
          <w:sz w:val="24"/>
        </w:rPr>
        <w:t>(3)</w:t>
      </w:r>
    </w:p>
    <w:p>
      <w:pPr>
        <w:pStyle w:val="ListParagraph"/>
        <w:numPr>
          <w:ilvl w:val="4"/>
          <w:numId w:val="197"/>
        </w:numPr>
        <w:tabs>
          <w:tab w:pos="2486" w:val="left" w:leader="none"/>
        </w:tabs>
        <w:spacing w:line="240" w:lineRule="auto" w:before="120" w:after="0"/>
        <w:ind w:left="2486" w:right="413" w:hanging="567"/>
        <w:jc w:val="both"/>
        <w:rPr>
          <w:sz w:val="24"/>
        </w:rPr>
      </w:pPr>
      <w:r>
        <w:rPr>
          <w:sz w:val="24"/>
        </w:rPr>
        <w:t>consider the potential for </w:t>
      </w:r>
      <w:r>
        <w:rPr>
          <w:i/>
          <w:sz w:val="24"/>
        </w:rPr>
        <w:t>augmentations</w:t>
      </w:r>
      <w:r>
        <w:rPr>
          <w:sz w:val="24"/>
        </w:rPr>
        <w:t>, or non-</w:t>
      </w:r>
      <w:r>
        <w:rPr>
          <w:i/>
          <w:sz w:val="24"/>
        </w:rPr>
        <w:t>network </w:t>
      </w:r>
      <w:r>
        <w:rPr>
          <w:sz w:val="24"/>
        </w:rPr>
        <w:t>alternatives to </w:t>
      </w:r>
      <w:r>
        <w:rPr>
          <w:i/>
          <w:sz w:val="24"/>
        </w:rPr>
        <w:t>augmentations</w:t>
      </w:r>
      <w:r>
        <w:rPr>
          <w:sz w:val="24"/>
        </w:rPr>
        <w:t>, that are likely to provide a net economic benefit </w:t>
      </w:r>
      <w:r>
        <w:rPr>
          <w:spacing w:val="-6"/>
          <w:sz w:val="24"/>
        </w:rPr>
        <w:t>to </w:t>
      </w:r>
      <w:r>
        <w:rPr>
          <w:sz w:val="24"/>
        </w:rPr>
        <w:t>all those who produce, consume and transport electricity in the </w:t>
      </w:r>
      <w:r>
        <w:rPr>
          <w:i/>
          <w:sz w:val="24"/>
        </w:rPr>
        <w:t>market</w:t>
      </w:r>
      <w:r>
        <w:rPr>
          <w:sz w:val="24"/>
        </w:rPr>
        <w:t>;</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consider the condition of </w:t>
      </w:r>
      <w:r>
        <w:rPr>
          <w:i/>
          <w:sz w:val="24"/>
        </w:rPr>
        <w:t>network </w:t>
      </w:r>
      <w:r>
        <w:rPr>
          <w:sz w:val="24"/>
        </w:rPr>
        <w:t>assets;</w:t>
      </w:r>
      <w:r>
        <w:rPr>
          <w:spacing w:val="-1"/>
          <w:sz w:val="24"/>
        </w:rPr>
        <w:t> </w:t>
      </w:r>
      <w:r>
        <w:rPr>
          <w:sz w:val="24"/>
        </w:rPr>
        <w:t>and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consider the potential for replacements of </w:t>
      </w:r>
      <w:r>
        <w:rPr>
          <w:i/>
          <w:sz w:val="24"/>
        </w:rPr>
        <w:t>network </w:t>
      </w:r>
      <w:r>
        <w:rPr>
          <w:sz w:val="24"/>
        </w:rPr>
        <w:t>assets, or </w:t>
      </w:r>
      <w:r>
        <w:rPr>
          <w:i/>
          <w:sz w:val="24"/>
        </w:rPr>
        <w:t>non- </w:t>
      </w:r>
      <w:r>
        <w:rPr>
          <w:i/>
          <w:sz w:val="24"/>
        </w:rPr>
        <w:t>network options </w:t>
      </w:r>
      <w:r>
        <w:rPr>
          <w:sz w:val="24"/>
        </w:rPr>
        <w:t>to replacements of </w:t>
      </w:r>
      <w:r>
        <w:rPr>
          <w:i/>
          <w:sz w:val="24"/>
        </w:rPr>
        <w:t>network </w:t>
      </w:r>
      <w:r>
        <w:rPr>
          <w:sz w:val="24"/>
        </w:rPr>
        <w:t>assets, that are likely </w:t>
      </w:r>
      <w:r>
        <w:rPr>
          <w:spacing w:val="-7"/>
          <w:sz w:val="24"/>
        </w:rPr>
        <w:t>to </w:t>
      </w:r>
      <w:r>
        <w:rPr>
          <w:sz w:val="24"/>
        </w:rPr>
        <w:t>provide a net economic benefit to all those who produce, consume and transport electricity in the</w:t>
      </w:r>
      <w:r>
        <w:rPr>
          <w:spacing w:val="-1"/>
          <w:sz w:val="24"/>
        </w:rPr>
        <w:t> </w:t>
      </w:r>
      <w:r>
        <w:rPr>
          <w:i/>
          <w:sz w:val="24"/>
        </w:rPr>
        <w:t>market</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minimum planning period for the purposes of the annual planning review is 10 years for </w:t>
      </w:r>
      <w:r>
        <w:rPr>
          <w:i/>
          <w:sz w:val="24"/>
        </w:rPr>
        <w:t>transmission</w:t>
      </w:r>
      <w:r>
        <w:rPr>
          <w:i/>
          <w:spacing w:val="-3"/>
          <w:sz w:val="24"/>
        </w:rPr>
        <w:t> </w:t>
      </w:r>
      <w:r>
        <w:rPr>
          <w:i/>
          <w:sz w:val="24"/>
        </w:rPr>
        <w:t>networks</w:t>
      </w:r>
      <w:r>
        <w:rPr>
          <w:sz w:val="24"/>
        </w:rPr>
        <w:t>.</w:t>
      </w:r>
    </w:p>
    <w:p>
      <w:pPr>
        <w:spacing w:after="0" w:line="240" w:lineRule="auto"/>
        <w:jc w:val="both"/>
        <w:rPr>
          <w:sz w:val="24"/>
        </w:rPr>
        <w:sectPr>
          <w:pgSz w:w="11910" w:h="16840"/>
          <w:pgMar w:header="686" w:footer="637" w:top="1320" w:bottom="820" w:left="1200" w:right="1000"/>
        </w:sectPr>
      </w:pPr>
    </w:p>
    <w:p>
      <w:pPr>
        <w:pStyle w:val="Heading4"/>
        <w:numPr>
          <w:ilvl w:val="2"/>
          <w:numId w:val="197"/>
        </w:numPr>
        <w:tabs>
          <w:tab w:pos="1351" w:val="left" w:leader="none"/>
          <w:tab w:pos="1352" w:val="left" w:leader="none"/>
        </w:tabs>
        <w:spacing w:line="240" w:lineRule="auto" w:before="83" w:after="0"/>
        <w:ind w:left="1351" w:right="0" w:hanging="1134"/>
        <w:jc w:val="left"/>
      </w:pPr>
      <w:bookmarkStart w:name="5.12.2 Transmission Annual Planning Repo" w:id="679"/>
      <w:bookmarkEnd w:id="679"/>
      <w:r>
        <w:rPr>
          <w:b w:val="0"/>
        </w:rPr>
      </w:r>
      <w:bookmarkStart w:name="_bookmark266" w:id="680"/>
      <w:bookmarkEnd w:id="680"/>
      <w:r>
        <w:rPr>
          <w:b w:val="0"/>
        </w:rPr>
      </w:r>
      <w:bookmarkStart w:name="_bookmark266" w:id="681"/>
      <w:bookmarkEnd w:id="681"/>
      <w:r>
        <w:rPr/>
        <w:t>Transmission</w:t>
      </w:r>
      <w:r>
        <w:rPr/>
        <w:t> Annual Planning</w:t>
      </w:r>
      <w:r>
        <w:rPr>
          <w:spacing w:val="-3"/>
        </w:rPr>
        <w:t> </w:t>
      </w:r>
      <w:r>
        <w:rPr/>
        <w:t>Report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(c)(6), (6A) and (8)(ii) of this clause has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provisions, the rest of paragraph (c)(8), and paragraph (c)(9) and (10), will be revisited as part of the phased implementation of the </w:t>
      </w:r>
      <w:r>
        <w:rPr>
          <w:i/>
          <w:sz w:val="20"/>
        </w:rPr>
        <w:t>Rules </w:t>
      </w:r>
      <w:r>
        <w:rPr>
          <w:sz w:val="20"/>
        </w:rPr>
        <w:t>in this jurisdiction.</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By 31 December each year all </w:t>
      </w:r>
      <w:r>
        <w:rPr>
          <w:i/>
          <w:sz w:val="24"/>
        </w:rPr>
        <w:t>Transmission Network Service Providers </w:t>
      </w:r>
      <w:r>
        <w:rPr>
          <w:sz w:val="24"/>
        </w:rPr>
        <w:t>must </w:t>
      </w:r>
      <w:r>
        <w:rPr>
          <w:i/>
          <w:sz w:val="24"/>
        </w:rPr>
        <w:t>publish </w:t>
      </w:r>
      <w:r>
        <w:rPr>
          <w:sz w:val="24"/>
        </w:rPr>
        <w:t>a </w:t>
      </w:r>
      <w:r>
        <w:rPr>
          <w:i/>
          <w:sz w:val="24"/>
        </w:rPr>
        <w:t>Transmission Annual Planning Report </w:t>
      </w:r>
      <w:r>
        <w:rPr>
          <w:sz w:val="24"/>
        </w:rPr>
        <w:t>setting out the results of the annual planning review conducted in accordance with clause</w:t>
      </w:r>
      <w:r>
        <w:rPr>
          <w:spacing w:val="-5"/>
          <w:sz w:val="24"/>
        </w:rPr>
        <w:t> </w:t>
      </w:r>
      <w:r>
        <w:rPr>
          <w:sz w:val="24"/>
        </w:rPr>
        <w:t>5.12.1.</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publish its </w:t>
      </w:r>
      <w:r>
        <w:rPr>
          <w:i/>
          <w:sz w:val="24"/>
        </w:rPr>
        <w:t>Transmission Annual Planning </w:t>
      </w:r>
      <w:r>
        <w:rPr>
          <w:i/>
          <w:sz w:val="24"/>
        </w:rPr>
        <w:t>Report </w:t>
      </w:r>
      <w:r>
        <w:rPr>
          <w:sz w:val="24"/>
        </w:rPr>
        <w:t>in the same document as its </w:t>
      </w:r>
      <w:r>
        <w:rPr>
          <w:i/>
          <w:sz w:val="24"/>
        </w:rPr>
        <w:t>Distribution Annual Planning</w:t>
      </w:r>
      <w:r>
        <w:rPr>
          <w:i/>
          <w:spacing w:val="-14"/>
          <w:sz w:val="24"/>
        </w:rPr>
        <w:t> </w:t>
      </w:r>
      <w:r>
        <w:rPr>
          <w:i/>
          <w:sz w:val="24"/>
        </w:rPr>
        <w:t>Report</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w:t>
      </w:r>
      <w:r>
        <w:rPr>
          <w:i/>
          <w:sz w:val="24"/>
        </w:rPr>
        <w:t>Transmission Annual Planning Report </w:t>
      </w:r>
      <w:r>
        <w:rPr>
          <w:sz w:val="24"/>
        </w:rPr>
        <w:t>must be consistent with the TAPR Guidelines and set</w:t>
      </w:r>
      <w:r>
        <w:rPr>
          <w:spacing w:val="-4"/>
          <w:sz w:val="24"/>
        </w:rPr>
        <w:t> </w:t>
      </w:r>
      <w:r>
        <w:rPr>
          <w:sz w:val="24"/>
        </w:rPr>
        <w:t>out: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the forecast </w:t>
      </w:r>
      <w:r>
        <w:rPr>
          <w:i/>
          <w:sz w:val="24"/>
        </w:rPr>
        <w:t>loads </w:t>
      </w:r>
      <w:r>
        <w:rPr>
          <w:sz w:val="24"/>
        </w:rPr>
        <w:t>submitted by a </w:t>
      </w:r>
      <w:r>
        <w:rPr>
          <w:i/>
          <w:sz w:val="24"/>
        </w:rPr>
        <w:t>Distribution Network Service </w:t>
      </w:r>
      <w:r>
        <w:rPr>
          <w:i/>
          <w:sz w:val="24"/>
        </w:rPr>
        <w:t>Provider </w:t>
      </w:r>
      <w:r>
        <w:rPr>
          <w:sz w:val="24"/>
        </w:rPr>
        <w:t>in accordance with clause 5.11.1 or as modified </w:t>
      </w:r>
      <w:r>
        <w:rPr>
          <w:spacing w:val="-7"/>
          <w:sz w:val="24"/>
        </w:rPr>
        <w:t>in </w:t>
      </w:r>
      <w:r>
        <w:rPr>
          <w:sz w:val="24"/>
        </w:rPr>
        <w:t>accordance with clause 5.11.1(d), including at</w:t>
      </w:r>
      <w:r>
        <w:rPr>
          <w:spacing w:val="-4"/>
          <w:sz w:val="24"/>
        </w:rPr>
        <w:t> </w:t>
      </w:r>
      <w:r>
        <w:rPr>
          <w:sz w:val="24"/>
        </w:rPr>
        <w:t>least:</w:t>
      </w:r>
    </w:p>
    <w:p>
      <w:pPr>
        <w:pStyle w:val="ListParagraph"/>
        <w:numPr>
          <w:ilvl w:val="0"/>
          <w:numId w:val="211"/>
        </w:numPr>
        <w:tabs>
          <w:tab w:pos="3053" w:val="left" w:leader="none"/>
        </w:tabs>
        <w:spacing w:line="240" w:lineRule="auto" w:before="120" w:after="0"/>
        <w:ind w:left="3053" w:right="415" w:hanging="567"/>
        <w:jc w:val="both"/>
        <w:rPr>
          <w:sz w:val="24"/>
        </w:rPr>
      </w:pPr>
      <w:r>
        <w:rPr>
          <w:sz w:val="24"/>
        </w:rPr>
        <w:t>a description of the forecasting methodology, sources of input information, and the assumptions applied in respect of the forecast</w:t>
      </w:r>
      <w:r>
        <w:rPr>
          <w:spacing w:val="-1"/>
          <w:sz w:val="24"/>
        </w:rPr>
        <w:t> </w:t>
      </w:r>
      <w:r>
        <w:rPr>
          <w:i/>
          <w:sz w:val="24"/>
        </w:rPr>
        <w:t>loads</w:t>
      </w:r>
      <w:r>
        <w:rPr>
          <w:sz w:val="24"/>
        </w:rPr>
        <w:t>;</w:t>
      </w:r>
    </w:p>
    <w:p>
      <w:pPr>
        <w:pStyle w:val="ListParagraph"/>
        <w:numPr>
          <w:ilvl w:val="0"/>
          <w:numId w:val="211"/>
        </w:numPr>
        <w:tabs>
          <w:tab w:pos="3054" w:val="left" w:leader="none"/>
        </w:tabs>
        <w:spacing w:line="240" w:lineRule="auto" w:before="120" w:after="0"/>
        <w:ind w:left="3053" w:right="416" w:hanging="567"/>
        <w:jc w:val="both"/>
        <w:rPr>
          <w:sz w:val="24"/>
        </w:rPr>
      </w:pPr>
      <w:r>
        <w:rPr>
          <w:sz w:val="24"/>
        </w:rPr>
        <w:t>a description of high, most likely and low growth scenarios in respect of the forecast</w:t>
      </w:r>
      <w:r>
        <w:rPr>
          <w:spacing w:val="-1"/>
          <w:sz w:val="24"/>
        </w:rPr>
        <w:t> </w:t>
      </w:r>
      <w:r>
        <w:rPr>
          <w:i/>
          <w:sz w:val="24"/>
        </w:rPr>
        <w:t>loads</w:t>
      </w:r>
      <w:r>
        <w:rPr>
          <w:sz w:val="24"/>
        </w:rPr>
        <w:t>;</w:t>
      </w:r>
    </w:p>
    <w:p>
      <w:pPr>
        <w:pStyle w:val="ListParagraph"/>
        <w:numPr>
          <w:ilvl w:val="0"/>
          <w:numId w:val="211"/>
        </w:numPr>
        <w:tabs>
          <w:tab w:pos="3053" w:val="left" w:leader="none"/>
        </w:tabs>
        <w:spacing w:line="240" w:lineRule="auto" w:before="120" w:after="0"/>
        <w:ind w:left="3053" w:right="415" w:hanging="567"/>
        <w:jc w:val="both"/>
        <w:rPr>
          <w:sz w:val="24"/>
        </w:rPr>
      </w:pPr>
      <w:r>
        <w:rPr>
          <w:sz w:val="24"/>
        </w:rPr>
        <w:t>an analysis and explanation of any aspects of forecast </w:t>
      </w:r>
      <w:r>
        <w:rPr>
          <w:i/>
          <w:sz w:val="24"/>
        </w:rPr>
        <w:t>loads </w:t>
      </w:r>
      <w:r>
        <w:rPr>
          <w:sz w:val="24"/>
        </w:rPr>
        <w:t>provided in the </w:t>
      </w:r>
      <w:r>
        <w:rPr>
          <w:i/>
          <w:sz w:val="24"/>
        </w:rPr>
        <w:t>Transmission Annual Planning Report </w:t>
      </w:r>
      <w:r>
        <w:rPr>
          <w:sz w:val="24"/>
        </w:rPr>
        <w:t>that have changed significantly from forecasts provided in the </w:t>
      </w:r>
      <w:r>
        <w:rPr>
          <w:i/>
          <w:sz w:val="24"/>
        </w:rPr>
        <w:t>Transmission Annual Planning Report </w:t>
      </w:r>
      <w:r>
        <w:rPr>
          <w:sz w:val="24"/>
        </w:rPr>
        <w:t>from the previous year; and</w:t>
      </w:r>
    </w:p>
    <w:p>
      <w:pPr>
        <w:pStyle w:val="ListParagraph"/>
        <w:numPr>
          <w:ilvl w:val="0"/>
          <w:numId w:val="211"/>
        </w:numPr>
        <w:tabs>
          <w:tab w:pos="3054" w:val="left" w:leader="none"/>
        </w:tabs>
        <w:spacing w:line="240" w:lineRule="auto" w:before="120" w:after="0"/>
        <w:ind w:left="3053" w:right="415" w:hanging="567"/>
        <w:jc w:val="both"/>
        <w:rPr>
          <w:sz w:val="24"/>
        </w:rPr>
      </w:pPr>
      <w:r>
        <w:rPr>
          <w:sz w:val="24"/>
        </w:rPr>
        <w:t>an analysis and explanation of any aspects of forecast </w:t>
      </w:r>
      <w:r>
        <w:rPr>
          <w:i/>
          <w:sz w:val="24"/>
        </w:rPr>
        <w:t>loads </w:t>
      </w:r>
      <w:r>
        <w:rPr>
          <w:sz w:val="24"/>
        </w:rPr>
        <w:t>provided in the </w:t>
      </w:r>
      <w:r>
        <w:rPr>
          <w:i/>
          <w:sz w:val="24"/>
        </w:rPr>
        <w:t>Transmission Annual Planning Report </w:t>
      </w:r>
      <w:r>
        <w:rPr>
          <w:sz w:val="24"/>
        </w:rPr>
        <w:t>from the previous year which are significantly different from the actual outcome;</w:t>
      </w:r>
    </w:p>
    <w:p>
      <w:pPr>
        <w:pStyle w:val="BodyText"/>
        <w:ind w:left="2486" w:right="415"/>
      </w:pPr>
      <w:r>
        <w:rPr/>
        <w:t>(1A) for all </w:t>
      </w:r>
      <w:r>
        <w:rPr>
          <w:i/>
        </w:rPr>
        <w:t>network </w:t>
      </w:r>
      <w:r>
        <w:rPr/>
        <w:t>asset retirements, and for all </w:t>
      </w:r>
      <w:r>
        <w:rPr>
          <w:i/>
        </w:rPr>
        <w:t>network </w:t>
      </w:r>
      <w:r>
        <w:rPr/>
        <w:t>asset de-ratings that would result in a </w:t>
      </w:r>
      <w:r>
        <w:rPr>
          <w:i/>
        </w:rPr>
        <w:t>network constraint</w:t>
      </w:r>
      <w:r>
        <w:rPr/>
        <w:t>, that are planned over the minimum planning period specified in clause 5.12.1(c), the following information in sufficient detail relative to the size or significance of the asset:</w:t>
      </w:r>
    </w:p>
    <w:p>
      <w:pPr>
        <w:pStyle w:val="ListParagraph"/>
        <w:numPr>
          <w:ilvl w:val="0"/>
          <w:numId w:val="212"/>
        </w:numPr>
        <w:tabs>
          <w:tab w:pos="3053" w:val="left" w:leader="none"/>
        </w:tabs>
        <w:spacing w:line="240" w:lineRule="auto" w:before="120" w:after="0"/>
        <w:ind w:left="3052" w:right="0" w:hanging="567"/>
        <w:jc w:val="both"/>
        <w:rPr>
          <w:sz w:val="24"/>
        </w:rPr>
      </w:pPr>
      <w:r>
        <w:rPr>
          <w:sz w:val="24"/>
        </w:rPr>
        <w:t>a description of the </w:t>
      </w:r>
      <w:r>
        <w:rPr>
          <w:i/>
          <w:sz w:val="24"/>
        </w:rPr>
        <w:t>network </w:t>
      </w:r>
      <w:r>
        <w:rPr>
          <w:sz w:val="24"/>
        </w:rPr>
        <w:t>asset, including</w:t>
      </w:r>
      <w:r>
        <w:rPr>
          <w:spacing w:val="-1"/>
          <w:sz w:val="24"/>
        </w:rPr>
        <w:t> </w:t>
      </w:r>
      <w:r>
        <w:rPr>
          <w:sz w:val="24"/>
        </w:rPr>
        <w:t>location;</w:t>
      </w:r>
    </w:p>
    <w:p>
      <w:pPr>
        <w:pStyle w:val="ListParagraph"/>
        <w:numPr>
          <w:ilvl w:val="0"/>
          <w:numId w:val="212"/>
        </w:numPr>
        <w:tabs>
          <w:tab w:pos="3054" w:val="left" w:leader="none"/>
        </w:tabs>
        <w:spacing w:line="240" w:lineRule="auto" w:before="120" w:after="0"/>
        <w:ind w:left="3053" w:right="414" w:hanging="567"/>
        <w:jc w:val="both"/>
        <w:rPr>
          <w:sz w:val="24"/>
        </w:rPr>
      </w:pPr>
      <w:r>
        <w:rPr>
          <w:sz w:val="24"/>
        </w:rPr>
        <w:t>the reasons, including methodologies and assumptions used by the </w:t>
      </w:r>
      <w:r>
        <w:rPr>
          <w:i/>
          <w:sz w:val="24"/>
        </w:rPr>
        <w:t>Transmission Network Service Provider </w:t>
      </w:r>
      <w:r>
        <w:rPr>
          <w:sz w:val="24"/>
        </w:rPr>
        <w:t>for deciding that it is necessary or prudent for the </w:t>
      </w:r>
      <w:r>
        <w:rPr>
          <w:i/>
          <w:sz w:val="24"/>
        </w:rPr>
        <w:t>network </w:t>
      </w:r>
      <w:r>
        <w:rPr>
          <w:sz w:val="24"/>
        </w:rPr>
        <w:t>asset to be retired or de- rated, taking into account factors such as the condition of the </w:t>
      </w:r>
      <w:r>
        <w:rPr>
          <w:i/>
          <w:sz w:val="24"/>
        </w:rPr>
        <w:t>network </w:t>
      </w:r>
      <w:r>
        <w:rPr>
          <w:sz w:val="24"/>
        </w:rPr>
        <w:t>asset;</w:t>
      </w:r>
    </w:p>
    <w:p>
      <w:pPr>
        <w:pStyle w:val="ListParagraph"/>
        <w:numPr>
          <w:ilvl w:val="0"/>
          <w:numId w:val="212"/>
        </w:numPr>
        <w:tabs>
          <w:tab w:pos="3053" w:val="left" w:leader="none"/>
        </w:tabs>
        <w:spacing w:line="240" w:lineRule="auto" w:before="120" w:after="0"/>
        <w:ind w:left="3052" w:right="0" w:hanging="567"/>
        <w:jc w:val="both"/>
        <w:rPr>
          <w:i/>
          <w:sz w:val="24"/>
        </w:rPr>
      </w:pPr>
      <w:r>
        <w:rPr>
          <w:sz w:val="24"/>
        </w:rPr>
        <w:t>the date from which the </w:t>
      </w:r>
      <w:r>
        <w:rPr>
          <w:i/>
          <w:sz w:val="24"/>
        </w:rPr>
        <w:t>Transmission Network Service</w:t>
      </w:r>
      <w:r>
        <w:rPr>
          <w:i/>
          <w:spacing w:val="44"/>
          <w:sz w:val="24"/>
        </w:rPr>
        <w:t> </w:t>
      </w:r>
      <w:r>
        <w:rPr>
          <w:i/>
          <w:sz w:val="24"/>
        </w:rPr>
        <w:t>Provider</w:t>
      </w:r>
    </w:p>
    <w:p>
      <w:pPr>
        <w:pStyle w:val="BodyText"/>
        <w:spacing w:before="0"/>
        <w:ind w:left="3053" w:firstLine="0"/>
      </w:pPr>
      <w:r>
        <w:rPr/>
        <w:t>proposes that the </w:t>
      </w:r>
      <w:r>
        <w:rPr>
          <w:i/>
        </w:rPr>
        <w:t>network </w:t>
      </w:r>
      <w:r>
        <w:rPr/>
        <w:t>asset will be retired or de-rated; and</w:t>
      </w:r>
    </w:p>
    <w:p>
      <w:pPr>
        <w:spacing w:after="0"/>
        <w:sectPr>
          <w:pgSz w:w="11910" w:h="16840"/>
          <w:pgMar w:header="686" w:footer="637" w:top="1320" w:bottom="820" w:left="1200" w:right="1000"/>
        </w:sectPr>
      </w:pPr>
    </w:p>
    <w:p>
      <w:pPr>
        <w:pStyle w:val="ListParagraph"/>
        <w:numPr>
          <w:ilvl w:val="0"/>
          <w:numId w:val="212"/>
        </w:numPr>
        <w:tabs>
          <w:tab w:pos="3054" w:val="left" w:leader="none"/>
        </w:tabs>
        <w:spacing w:line="240" w:lineRule="auto" w:before="83" w:after="0"/>
        <w:ind w:left="3053" w:right="415" w:hanging="567"/>
        <w:jc w:val="both"/>
        <w:rPr>
          <w:sz w:val="24"/>
        </w:rPr>
      </w:pPr>
      <w:r>
        <w:rPr>
          <w:sz w:val="24"/>
        </w:rPr>
        <w:t>if the date to retire or de-rate the </w:t>
      </w:r>
      <w:r>
        <w:rPr>
          <w:i/>
          <w:sz w:val="24"/>
        </w:rPr>
        <w:t>network </w:t>
      </w:r>
      <w:r>
        <w:rPr>
          <w:sz w:val="24"/>
        </w:rPr>
        <w:t>asset has changed since the previous </w:t>
      </w:r>
      <w:r>
        <w:rPr>
          <w:i/>
          <w:sz w:val="24"/>
        </w:rPr>
        <w:t>Transmission Annual Planning Report</w:t>
      </w:r>
      <w:r>
        <w:rPr>
          <w:sz w:val="24"/>
        </w:rPr>
        <w:t>, an explanation of why this has</w:t>
      </w:r>
      <w:r>
        <w:rPr>
          <w:spacing w:val="-2"/>
          <w:sz w:val="24"/>
        </w:rPr>
        <w:t> </w:t>
      </w:r>
      <w:r>
        <w:rPr>
          <w:sz w:val="24"/>
        </w:rPr>
        <w:t>occurred;</w:t>
      </w:r>
    </w:p>
    <w:p>
      <w:pPr>
        <w:pStyle w:val="BodyText"/>
        <w:ind w:left="1919" w:firstLine="0"/>
        <w:rPr>
          <w:i/>
        </w:rPr>
      </w:pPr>
      <w:r>
        <w:rPr/>
        <w:t>(1B) for the purposes of subparagraph (1A), where two or more </w:t>
      </w:r>
      <w:r>
        <w:rPr>
          <w:i/>
        </w:rPr>
        <w:t>network</w:t>
      </w:r>
    </w:p>
    <w:p>
      <w:pPr>
        <w:pStyle w:val="BodyText"/>
        <w:spacing w:before="0"/>
        <w:ind w:left="2486" w:firstLine="0"/>
        <w:jc w:val="left"/>
      </w:pPr>
      <w:r>
        <w:rPr/>
        <w:t>assets are:</w:t>
      </w:r>
    </w:p>
    <w:p>
      <w:pPr>
        <w:pStyle w:val="ListParagraph"/>
        <w:numPr>
          <w:ilvl w:val="0"/>
          <w:numId w:val="213"/>
        </w:numPr>
        <w:tabs>
          <w:tab w:pos="3052" w:val="left" w:leader="none"/>
          <w:tab w:pos="3053" w:val="left" w:leader="none"/>
        </w:tabs>
        <w:spacing w:line="240" w:lineRule="auto" w:before="120" w:after="0"/>
        <w:ind w:left="3052" w:right="0" w:hanging="567"/>
        <w:jc w:val="left"/>
        <w:rPr>
          <w:sz w:val="24"/>
        </w:rPr>
      </w:pPr>
      <w:r>
        <w:rPr>
          <w:sz w:val="24"/>
        </w:rPr>
        <w:t>of the same</w:t>
      </w:r>
      <w:r>
        <w:rPr>
          <w:spacing w:val="-2"/>
          <w:sz w:val="24"/>
        </w:rPr>
        <w:t> </w:t>
      </w:r>
      <w:r>
        <w:rPr>
          <w:sz w:val="24"/>
        </w:rPr>
        <w:t>type;</w:t>
      </w:r>
    </w:p>
    <w:p>
      <w:pPr>
        <w:pStyle w:val="ListParagraph"/>
        <w:numPr>
          <w:ilvl w:val="0"/>
          <w:numId w:val="213"/>
        </w:numPr>
        <w:tabs>
          <w:tab w:pos="3052" w:val="left" w:leader="none"/>
          <w:tab w:pos="3054" w:val="left" w:leader="none"/>
        </w:tabs>
        <w:spacing w:line="240" w:lineRule="auto" w:before="120" w:after="0"/>
        <w:ind w:left="3053" w:right="0" w:hanging="568"/>
        <w:jc w:val="left"/>
        <w:rPr>
          <w:sz w:val="24"/>
        </w:rPr>
      </w:pPr>
      <w:r>
        <w:rPr>
          <w:sz w:val="24"/>
        </w:rPr>
        <w:t>to be retired or de-rated across more than one</w:t>
      </w:r>
      <w:r>
        <w:rPr>
          <w:spacing w:val="-4"/>
          <w:sz w:val="24"/>
        </w:rPr>
        <w:t> </w:t>
      </w:r>
      <w:r>
        <w:rPr>
          <w:sz w:val="24"/>
        </w:rPr>
        <w:t>location;</w:t>
      </w:r>
    </w:p>
    <w:p>
      <w:pPr>
        <w:pStyle w:val="ListParagraph"/>
        <w:numPr>
          <w:ilvl w:val="0"/>
          <w:numId w:val="213"/>
        </w:numPr>
        <w:tabs>
          <w:tab w:pos="3052" w:val="left" w:leader="none"/>
          <w:tab w:pos="3053" w:val="left" w:leader="none"/>
        </w:tabs>
        <w:spacing w:line="240" w:lineRule="auto" w:before="120" w:after="0"/>
        <w:ind w:left="3052" w:right="0" w:hanging="567"/>
        <w:jc w:val="left"/>
        <w:rPr>
          <w:sz w:val="24"/>
        </w:rPr>
      </w:pPr>
      <w:r>
        <w:rPr>
          <w:sz w:val="24"/>
        </w:rPr>
        <w:t>to be retired or de-rated in the same calendar year;</w:t>
      </w:r>
      <w:r>
        <w:rPr>
          <w:spacing w:val="-4"/>
          <w:sz w:val="24"/>
        </w:rPr>
        <w:t> </w:t>
      </w:r>
      <w:r>
        <w:rPr>
          <w:sz w:val="24"/>
        </w:rPr>
        <w:t>and</w:t>
      </w:r>
    </w:p>
    <w:p>
      <w:pPr>
        <w:pStyle w:val="ListParagraph"/>
        <w:numPr>
          <w:ilvl w:val="0"/>
          <w:numId w:val="213"/>
        </w:numPr>
        <w:tabs>
          <w:tab w:pos="3052" w:val="left" w:leader="none"/>
          <w:tab w:pos="3054" w:val="left" w:leader="none"/>
        </w:tabs>
        <w:spacing w:line="240" w:lineRule="auto" w:before="120" w:after="0"/>
        <w:ind w:left="3053" w:right="415" w:hanging="567"/>
        <w:jc w:val="left"/>
        <w:rPr>
          <w:sz w:val="24"/>
        </w:rPr>
      </w:pPr>
      <w:r>
        <w:rPr>
          <w:sz w:val="24"/>
        </w:rPr>
        <w:t>each expected to have a replacement cost less than $200,000 (as varied by a cost threshold</w:t>
      </w:r>
      <w:r>
        <w:rPr>
          <w:spacing w:val="-2"/>
          <w:sz w:val="24"/>
        </w:rPr>
        <w:t> </w:t>
      </w:r>
      <w:r>
        <w:rPr>
          <w:sz w:val="24"/>
        </w:rPr>
        <w:t>determination),</w:t>
      </w:r>
    </w:p>
    <w:p>
      <w:pPr>
        <w:pStyle w:val="BodyText"/>
        <w:ind w:left="2486" w:firstLine="0"/>
        <w:jc w:val="left"/>
      </w:pPr>
      <w:r>
        <w:rPr/>
        <w:t>those assets can be reported together by setting out in the</w:t>
      </w:r>
    </w:p>
    <w:p>
      <w:pPr>
        <w:spacing w:before="0"/>
        <w:ind w:left="2486" w:right="0" w:firstLine="0"/>
        <w:jc w:val="left"/>
        <w:rPr>
          <w:sz w:val="24"/>
        </w:rPr>
      </w:pPr>
      <w:r>
        <w:rPr>
          <w:i/>
          <w:sz w:val="24"/>
        </w:rPr>
        <w:t>Transmission Annual Planning Report</w:t>
      </w:r>
      <w:r>
        <w:rPr>
          <w:sz w:val="24"/>
        </w:rPr>
        <w:t>:</w:t>
      </w:r>
    </w:p>
    <w:p>
      <w:pPr>
        <w:pStyle w:val="ListParagraph"/>
        <w:numPr>
          <w:ilvl w:val="0"/>
          <w:numId w:val="213"/>
        </w:numPr>
        <w:tabs>
          <w:tab w:pos="3053" w:val="left" w:leader="none"/>
        </w:tabs>
        <w:spacing w:line="240" w:lineRule="auto" w:before="120" w:after="0"/>
        <w:ind w:left="3053" w:right="415" w:hanging="567"/>
        <w:jc w:val="both"/>
        <w:rPr>
          <w:sz w:val="24"/>
        </w:rPr>
      </w:pPr>
      <w:r>
        <w:rPr>
          <w:sz w:val="24"/>
        </w:rPr>
        <w:t>a description of the </w:t>
      </w:r>
      <w:r>
        <w:rPr>
          <w:i/>
          <w:sz w:val="24"/>
        </w:rPr>
        <w:t>network </w:t>
      </w:r>
      <w:r>
        <w:rPr>
          <w:sz w:val="24"/>
        </w:rPr>
        <w:t>assets, including a summarised description of their</w:t>
      </w:r>
      <w:r>
        <w:rPr>
          <w:spacing w:val="-1"/>
          <w:sz w:val="24"/>
        </w:rPr>
        <w:t> </w:t>
      </w:r>
      <w:r>
        <w:rPr>
          <w:sz w:val="24"/>
        </w:rPr>
        <w:t>locations;</w:t>
      </w:r>
    </w:p>
    <w:p>
      <w:pPr>
        <w:pStyle w:val="ListParagraph"/>
        <w:numPr>
          <w:ilvl w:val="0"/>
          <w:numId w:val="213"/>
        </w:numPr>
        <w:tabs>
          <w:tab w:pos="3053" w:val="left" w:leader="none"/>
        </w:tabs>
        <w:spacing w:line="240" w:lineRule="auto" w:before="120" w:after="0"/>
        <w:ind w:left="3053" w:right="414" w:hanging="567"/>
        <w:jc w:val="both"/>
        <w:rPr>
          <w:sz w:val="24"/>
        </w:rPr>
      </w:pPr>
      <w:r>
        <w:rPr>
          <w:sz w:val="24"/>
        </w:rPr>
        <w:t>the reasons, including methodologies and assumptions used </w:t>
      </w:r>
      <w:r>
        <w:rPr>
          <w:spacing w:val="-6"/>
          <w:sz w:val="24"/>
        </w:rPr>
        <w:t>by </w:t>
      </w:r>
      <w:r>
        <w:rPr>
          <w:sz w:val="24"/>
        </w:rPr>
        <w:t>the </w:t>
      </w:r>
      <w:r>
        <w:rPr>
          <w:i/>
          <w:sz w:val="24"/>
        </w:rPr>
        <w:t>Transmission Network Service Provider</w:t>
      </w:r>
      <w:r>
        <w:rPr>
          <w:sz w:val="24"/>
        </w:rPr>
        <w:t>, for deciding that it is necessary or prudent for the </w:t>
      </w:r>
      <w:r>
        <w:rPr>
          <w:i/>
          <w:sz w:val="24"/>
        </w:rPr>
        <w:t>network </w:t>
      </w:r>
      <w:r>
        <w:rPr>
          <w:sz w:val="24"/>
        </w:rPr>
        <w:t>assets to be retired or </w:t>
      </w:r>
      <w:r>
        <w:rPr>
          <w:spacing w:val="-5"/>
          <w:sz w:val="24"/>
        </w:rPr>
        <w:t>de- </w:t>
      </w:r>
      <w:r>
        <w:rPr>
          <w:sz w:val="24"/>
        </w:rPr>
        <w:t>rated, taking into account factors such as the condition of the </w:t>
      </w:r>
      <w:r>
        <w:rPr>
          <w:i/>
          <w:sz w:val="24"/>
        </w:rPr>
        <w:t>network </w:t>
      </w:r>
      <w:r>
        <w:rPr>
          <w:sz w:val="24"/>
        </w:rPr>
        <w:t>assets;</w:t>
      </w:r>
    </w:p>
    <w:p>
      <w:pPr>
        <w:pStyle w:val="ListParagraph"/>
        <w:numPr>
          <w:ilvl w:val="0"/>
          <w:numId w:val="213"/>
        </w:numPr>
        <w:tabs>
          <w:tab w:pos="3053" w:val="left" w:leader="none"/>
        </w:tabs>
        <w:spacing w:line="240" w:lineRule="auto" w:before="120" w:after="0"/>
        <w:ind w:left="3052" w:right="0" w:hanging="567"/>
        <w:jc w:val="both"/>
        <w:rPr>
          <w:i/>
          <w:sz w:val="24"/>
        </w:rPr>
      </w:pPr>
      <w:r>
        <w:rPr>
          <w:sz w:val="24"/>
        </w:rPr>
        <w:t>the date from which the </w:t>
      </w:r>
      <w:r>
        <w:rPr>
          <w:i/>
          <w:sz w:val="24"/>
        </w:rPr>
        <w:t>Transmission Network Service</w:t>
      </w:r>
      <w:r>
        <w:rPr>
          <w:i/>
          <w:spacing w:val="44"/>
          <w:sz w:val="24"/>
        </w:rPr>
        <w:t> </w:t>
      </w:r>
      <w:r>
        <w:rPr>
          <w:i/>
          <w:sz w:val="24"/>
        </w:rPr>
        <w:t>Provider</w:t>
      </w:r>
    </w:p>
    <w:p>
      <w:pPr>
        <w:pStyle w:val="BodyText"/>
        <w:spacing w:before="0"/>
        <w:ind w:left="3053" w:firstLine="0"/>
      </w:pPr>
      <w:r>
        <w:rPr/>
        <w:t>proposes that the </w:t>
      </w:r>
      <w:r>
        <w:rPr>
          <w:i/>
        </w:rPr>
        <w:t>network </w:t>
      </w:r>
      <w:r>
        <w:rPr/>
        <w:t>assets will be retired or de-rated; and</w:t>
      </w:r>
    </w:p>
    <w:p>
      <w:pPr>
        <w:pStyle w:val="ListParagraph"/>
        <w:numPr>
          <w:ilvl w:val="0"/>
          <w:numId w:val="213"/>
        </w:numPr>
        <w:tabs>
          <w:tab w:pos="3053" w:val="left" w:leader="none"/>
        </w:tabs>
        <w:spacing w:line="240" w:lineRule="auto" w:before="120" w:after="0"/>
        <w:ind w:left="3053" w:right="415" w:hanging="567"/>
        <w:jc w:val="both"/>
        <w:rPr>
          <w:sz w:val="24"/>
        </w:rPr>
      </w:pPr>
      <w:r>
        <w:rPr>
          <w:sz w:val="24"/>
        </w:rPr>
        <w:t>if the calendar year to retire or de-rate the </w:t>
      </w:r>
      <w:r>
        <w:rPr>
          <w:i/>
          <w:sz w:val="24"/>
        </w:rPr>
        <w:t>network </w:t>
      </w:r>
      <w:r>
        <w:rPr>
          <w:sz w:val="24"/>
        </w:rPr>
        <w:t>assets has changed since the previous </w:t>
      </w:r>
      <w:r>
        <w:rPr>
          <w:i/>
          <w:sz w:val="24"/>
        </w:rPr>
        <w:t>Transmission Annual Planning </w:t>
      </w:r>
      <w:r>
        <w:rPr>
          <w:i/>
          <w:sz w:val="24"/>
        </w:rPr>
        <w:t>Report</w:t>
      </w:r>
      <w:r>
        <w:rPr>
          <w:sz w:val="24"/>
        </w:rPr>
        <w:t>, an explanation of why this has</w:t>
      </w:r>
      <w:r>
        <w:rPr>
          <w:spacing w:val="-3"/>
          <w:sz w:val="24"/>
        </w:rPr>
        <w:t> </w:t>
      </w:r>
      <w:r>
        <w:rPr>
          <w:sz w:val="24"/>
        </w:rPr>
        <w:t>occurred;</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planning proposals for future </w:t>
      </w:r>
      <w:r>
        <w:rPr>
          <w:i/>
          <w:sz w:val="24"/>
        </w:rPr>
        <w:t>connection</w:t>
      </w:r>
      <w:r>
        <w:rPr>
          <w:i/>
          <w:spacing w:val="-1"/>
          <w:sz w:val="24"/>
        </w:rPr>
        <w:t> </w:t>
      </w:r>
      <w:r>
        <w:rPr>
          <w:i/>
          <w:sz w:val="24"/>
        </w:rPr>
        <w:t>points</w:t>
      </w:r>
      <w:r>
        <w:rPr>
          <w:sz w:val="24"/>
        </w:rPr>
        <w: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a forecast of </w:t>
      </w:r>
      <w:r>
        <w:rPr>
          <w:i/>
          <w:sz w:val="24"/>
        </w:rPr>
        <w:t>constraints </w:t>
      </w:r>
      <w:r>
        <w:rPr>
          <w:sz w:val="24"/>
        </w:rPr>
        <w:t>and inability to meet the </w:t>
      </w:r>
      <w:r>
        <w:rPr>
          <w:i/>
          <w:sz w:val="24"/>
        </w:rPr>
        <w:t>network </w:t>
      </w:r>
      <w:r>
        <w:rPr>
          <w:sz w:val="24"/>
        </w:rPr>
        <w:t>performance requirements set out in schedule 5.1 or relevant legislation or regulations of a </w:t>
      </w:r>
      <w:r>
        <w:rPr>
          <w:i/>
          <w:sz w:val="24"/>
        </w:rPr>
        <w:t>participating jurisdiction </w:t>
      </w:r>
      <w:r>
        <w:rPr>
          <w:sz w:val="24"/>
        </w:rPr>
        <w:t>over 1, 3 and 5 years, including at</w:t>
      </w:r>
      <w:r>
        <w:rPr>
          <w:spacing w:val="-1"/>
          <w:sz w:val="24"/>
        </w:rPr>
        <w:t> </w:t>
      </w:r>
      <w:r>
        <w:rPr>
          <w:sz w:val="24"/>
        </w:rPr>
        <w:t>least:</w:t>
      </w:r>
    </w:p>
    <w:p>
      <w:pPr>
        <w:pStyle w:val="ListParagraph"/>
        <w:numPr>
          <w:ilvl w:val="0"/>
          <w:numId w:val="214"/>
        </w:numPr>
        <w:tabs>
          <w:tab w:pos="3053" w:val="left" w:leader="none"/>
        </w:tabs>
        <w:spacing w:line="240" w:lineRule="auto" w:before="120" w:after="0"/>
        <w:ind w:left="3052" w:right="0" w:hanging="567"/>
        <w:jc w:val="both"/>
        <w:rPr>
          <w:sz w:val="24"/>
        </w:rPr>
      </w:pPr>
      <w:r>
        <w:rPr>
          <w:sz w:val="24"/>
        </w:rPr>
        <w:t>a description of the </w:t>
      </w:r>
      <w:r>
        <w:rPr>
          <w:i/>
          <w:sz w:val="24"/>
        </w:rPr>
        <w:t>constraints </w:t>
      </w:r>
      <w:r>
        <w:rPr>
          <w:sz w:val="24"/>
        </w:rPr>
        <w:t>and their</w:t>
      </w:r>
      <w:r>
        <w:rPr>
          <w:spacing w:val="-1"/>
          <w:sz w:val="24"/>
        </w:rPr>
        <w:t> </w:t>
      </w:r>
      <w:r>
        <w:rPr>
          <w:sz w:val="24"/>
        </w:rPr>
        <w:t>causes;</w:t>
      </w:r>
    </w:p>
    <w:p>
      <w:pPr>
        <w:pStyle w:val="ListParagraph"/>
        <w:numPr>
          <w:ilvl w:val="0"/>
          <w:numId w:val="214"/>
        </w:numPr>
        <w:tabs>
          <w:tab w:pos="3054" w:val="left" w:leader="none"/>
        </w:tabs>
        <w:spacing w:line="240" w:lineRule="auto" w:before="120" w:after="0"/>
        <w:ind w:left="3053" w:right="0" w:hanging="568"/>
        <w:jc w:val="both"/>
        <w:rPr>
          <w:sz w:val="24"/>
        </w:rPr>
      </w:pPr>
      <w:r>
        <w:rPr>
          <w:sz w:val="24"/>
        </w:rPr>
        <w:t>the timing and likelihood of the</w:t>
      </w:r>
      <w:r>
        <w:rPr>
          <w:spacing w:val="-1"/>
          <w:sz w:val="24"/>
        </w:rPr>
        <w:t> </w:t>
      </w:r>
      <w:r>
        <w:rPr>
          <w:i/>
          <w:sz w:val="24"/>
        </w:rPr>
        <w:t>constraints</w:t>
      </w:r>
      <w:r>
        <w:rPr>
          <w:sz w:val="24"/>
        </w:rPr>
        <w:t>;</w:t>
      </w:r>
    </w:p>
    <w:p>
      <w:pPr>
        <w:pStyle w:val="ListParagraph"/>
        <w:numPr>
          <w:ilvl w:val="0"/>
          <w:numId w:val="214"/>
        </w:numPr>
        <w:tabs>
          <w:tab w:pos="3053" w:val="left" w:leader="none"/>
        </w:tabs>
        <w:spacing w:line="240" w:lineRule="auto" w:before="120" w:after="0"/>
        <w:ind w:left="3053" w:right="415" w:hanging="567"/>
        <w:jc w:val="both"/>
        <w:rPr>
          <w:sz w:val="24"/>
        </w:rPr>
      </w:pPr>
      <w:r>
        <w:rPr>
          <w:sz w:val="24"/>
        </w:rPr>
        <w:t>a brief discussion of the types of planned future projects that may address the </w:t>
      </w:r>
      <w:r>
        <w:rPr>
          <w:i/>
          <w:sz w:val="24"/>
        </w:rPr>
        <w:t>constraints </w:t>
      </w:r>
      <w:r>
        <w:rPr>
          <w:sz w:val="24"/>
        </w:rPr>
        <w:t>over the next 5 years, if such projects are required;</w:t>
      </w:r>
      <w:r>
        <w:rPr>
          <w:spacing w:val="-2"/>
          <w:sz w:val="24"/>
        </w:rPr>
        <w:t> </w:t>
      </w:r>
      <w:r>
        <w:rPr>
          <w:sz w:val="24"/>
        </w:rPr>
        <w:t>and</w:t>
      </w:r>
    </w:p>
    <w:p>
      <w:pPr>
        <w:pStyle w:val="ListParagraph"/>
        <w:numPr>
          <w:ilvl w:val="0"/>
          <w:numId w:val="214"/>
        </w:numPr>
        <w:tabs>
          <w:tab w:pos="3054" w:val="left" w:leader="none"/>
        </w:tabs>
        <w:spacing w:line="240" w:lineRule="auto" w:before="120" w:after="0"/>
        <w:ind w:left="3053" w:right="0" w:hanging="568"/>
        <w:jc w:val="both"/>
        <w:rPr>
          <w:sz w:val="24"/>
        </w:rPr>
      </w:pPr>
      <w:r>
        <w:rPr>
          <w:sz w:val="24"/>
        </w:rPr>
        <w:t>sufficient information to enable an understanding of</w:t>
      </w:r>
      <w:r>
        <w:rPr>
          <w:spacing w:val="34"/>
          <w:sz w:val="24"/>
        </w:rPr>
        <w:t> </w:t>
      </w:r>
      <w:r>
        <w:rPr>
          <w:sz w:val="24"/>
        </w:rPr>
        <w:t>the</w:t>
      </w:r>
    </w:p>
    <w:p>
      <w:pPr>
        <w:spacing w:before="0"/>
        <w:ind w:left="3053" w:right="0" w:firstLine="0"/>
        <w:jc w:val="both"/>
        <w:rPr>
          <w:sz w:val="24"/>
        </w:rPr>
      </w:pPr>
      <w:r>
        <w:rPr>
          <w:i/>
          <w:sz w:val="24"/>
        </w:rPr>
        <w:t>constraints </w:t>
      </w:r>
      <w:r>
        <w:rPr>
          <w:sz w:val="24"/>
        </w:rPr>
        <w:t>and how such forecasts were developed;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in respect of information required by subparagraph (3), where an estimated reduction in forecast </w:t>
      </w:r>
      <w:r>
        <w:rPr>
          <w:i/>
          <w:sz w:val="24"/>
        </w:rPr>
        <w:t>load </w:t>
      </w:r>
      <w:r>
        <w:rPr>
          <w:sz w:val="24"/>
        </w:rPr>
        <w:t>would defer a forecast </w:t>
      </w:r>
      <w:r>
        <w:rPr>
          <w:i/>
          <w:sz w:val="24"/>
        </w:rPr>
        <w:t>constraint </w:t>
      </w:r>
      <w:r>
        <w:rPr>
          <w:sz w:val="24"/>
        </w:rPr>
        <w:t>for a period of 12 months,</w:t>
      </w:r>
      <w:r>
        <w:rPr>
          <w:spacing w:val="-1"/>
          <w:sz w:val="24"/>
        </w:rPr>
        <w:t> </w:t>
      </w:r>
      <w:r>
        <w:rPr>
          <w:sz w:val="24"/>
        </w:rPr>
        <w:t>include:</w:t>
      </w:r>
    </w:p>
    <w:p>
      <w:pPr>
        <w:pStyle w:val="ListParagraph"/>
        <w:numPr>
          <w:ilvl w:val="0"/>
          <w:numId w:val="215"/>
        </w:numPr>
        <w:tabs>
          <w:tab w:pos="3053" w:val="left" w:leader="none"/>
        </w:tabs>
        <w:spacing w:line="240" w:lineRule="auto" w:before="120" w:after="0"/>
        <w:ind w:left="3052" w:right="0" w:hanging="567"/>
        <w:jc w:val="both"/>
        <w:rPr>
          <w:sz w:val="24"/>
        </w:rPr>
      </w:pPr>
      <w:r>
        <w:rPr>
          <w:sz w:val="24"/>
        </w:rPr>
        <w:t>the year and months in which a </w:t>
      </w:r>
      <w:r>
        <w:rPr>
          <w:i/>
          <w:sz w:val="24"/>
        </w:rPr>
        <w:t>constraint </w:t>
      </w:r>
      <w:r>
        <w:rPr>
          <w:sz w:val="24"/>
        </w:rPr>
        <w:t>is forecast to</w:t>
      </w:r>
      <w:r>
        <w:rPr>
          <w:spacing w:val="-3"/>
          <w:sz w:val="24"/>
        </w:rPr>
        <w:t> </w:t>
      </w:r>
      <w:r>
        <w:rPr>
          <w:sz w:val="24"/>
        </w:rPr>
        <w:t>occur;</w:t>
      </w:r>
    </w:p>
    <w:p>
      <w:pPr>
        <w:pStyle w:val="ListParagraph"/>
        <w:numPr>
          <w:ilvl w:val="0"/>
          <w:numId w:val="215"/>
        </w:numPr>
        <w:tabs>
          <w:tab w:pos="3054" w:val="left" w:leader="none"/>
        </w:tabs>
        <w:spacing w:line="240" w:lineRule="auto" w:before="120" w:after="0"/>
        <w:ind w:left="3053" w:right="416" w:hanging="567"/>
        <w:jc w:val="both"/>
        <w:rPr>
          <w:sz w:val="24"/>
        </w:rPr>
      </w:pPr>
      <w:r>
        <w:rPr>
          <w:sz w:val="24"/>
        </w:rPr>
        <w:t>the relevant </w:t>
      </w:r>
      <w:r>
        <w:rPr>
          <w:i/>
          <w:sz w:val="24"/>
        </w:rPr>
        <w:t>connection points </w:t>
      </w:r>
      <w:r>
        <w:rPr>
          <w:sz w:val="24"/>
        </w:rPr>
        <w:t>at which the estimated reduction in forecast </w:t>
      </w:r>
      <w:r>
        <w:rPr>
          <w:i/>
          <w:sz w:val="24"/>
        </w:rPr>
        <w:t>load </w:t>
      </w:r>
      <w:r>
        <w:rPr>
          <w:sz w:val="24"/>
        </w:rPr>
        <w:t>may</w:t>
      </w:r>
      <w:r>
        <w:rPr>
          <w:spacing w:val="-2"/>
          <w:sz w:val="24"/>
        </w:rPr>
        <w:t> </w:t>
      </w:r>
      <w:r>
        <w:rPr>
          <w:sz w:val="24"/>
        </w:rPr>
        <w:t>occur;</w:t>
      </w:r>
    </w:p>
    <w:p>
      <w:pPr>
        <w:spacing w:after="0" w:line="240" w:lineRule="auto"/>
        <w:jc w:val="both"/>
        <w:rPr>
          <w:sz w:val="24"/>
        </w:rPr>
        <w:sectPr>
          <w:pgSz w:w="11910" w:h="16840"/>
          <w:pgMar w:header="686" w:footer="637" w:top="1320" w:bottom="820" w:left="1200" w:right="1000"/>
        </w:sectPr>
      </w:pPr>
    </w:p>
    <w:p>
      <w:pPr>
        <w:pStyle w:val="ListParagraph"/>
        <w:numPr>
          <w:ilvl w:val="0"/>
          <w:numId w:val="215"/>
        </w:numPr>
        <w:tabs>
          <w:tab w:pos="3053" w:val="left" w:leader="none"/>
        </w:tabs>
        <w:spacing w:line="240" w:lineRule="auto" w:before="83" w:after="0"/>
        <w:ind w:left="3052" w:right="0" w:hanging="567"/>
        <w:jc w:val="both"/>
        <w:rPr>
          <w:sz w:val="24"/>
        </w:rPr>
      </w:pPr>
      <w:r>
        <w:rPr>
          <w:sz w:val="24"/>
        </w:rPr>
        <w:t>the estimated reduction in forecast </w:t>
      </w:r>
      <w:r>
        <w:rPr>
          <w:i/>
          <w:sz w:val="24"/>
        </w:rPr>
        <w:t>load </w:t>
      </w:r>
      <w:r>
        <w:rPr>
          <w:sz w:val="24"/>
        </w:rPr>
        <w:t>in MW needed;</w:t>
      </w:r>
      <w:r>
        <w:rPr>
          <w:spacing w:val="-4"/>
          <w:sz w:val="24"/>
        </w:rPr>
        <w:t> </w:t>
      </w:r>
      <w:r>
        <w:rPr>
          <w:sz w:val="24"/>
        </w:rPr>
        <w:t>and</w:t>
      </w:r>
    </w:p>
    <w:p>
      <w:pPr>
        <w:pStyle w:val="ListParagraph"/>
        <w:numPr>
          <w:ilvl w:val="0"/>
          <w:numId w:val="215"/>
        </w:numPr>
        <w:tabs>
          <w:tab w:pos="3054" w:val="left" w:leader="none"/>
        </w:tabs>
        <w:spacing w:line="240" w:lineRule="auto" w:before="120" w:after="0"/>
        <w:ind w:left="3053" w:right="415" w:hanging="567"/>
        <w:jc w:val="both"/>
        <w:rPr>
          <w:sz w:val="24"/>
        </w:rPr>
      </w:pPr>
      <w:r>
        <w:rPr>
          <w:sz w:val="24"/>
        </w:rPr>
        <w:t>a statement of whether the </w:t>
      </w:r>
      <w:r>
        <w:rPr>
          <w:i/>
          <w:sz w:val="24"/>
        </w:rPr>
        <w:t>Transmission Network Service </w:t>
      </w:r>
      <w:r>
        <w:rPr>
          <w:i/>
          <w:sz w:val="24"/>
        </w:rPr>
        <w:t>Provider </w:t>
      </w:r>
      <w:r>
        <w:rPr>
          <w:sz w:val="24"/>
        </w:rPr>
        <w:t>plans to issue a request for proposals for </w:t>
      </w:r>
      <w:r>
        <w:rPr>
          <w:i/>
          <w:sz w:val="24"/>
        </w:rPr>
        <w:t>augmentation</w:t>
      </w:r>
      <w:r>
        <w:rPr>
          <w:sz w:val="24"/>
        </w:rPr>
        <w:t>, replacement of </w:t>
      </w:r>
      <w:r>
        <w:rPr>
          <w:i/>
          <w:sz w:val="24"/>
        </w:rPr>
        <w:t>network </w:t>
      </w:r>
      <w:r>
        <w:rPr>
          <w:sz w:val="24"/>
        </w:rPr>
        <w:t>assets, or a </w:t>
      </w:r>
      <w:r>
        <w:rPr>
          <w:i/>
          <w:sz w:val="24"/>
        </w:rPr>
        <w:t>non-network </w:t>
      </w:r>
      <w:r>
        <w:rPr>
          <w:i/>
          <w:spacing w:val="-3"/>
          <w:sz w:val="24"/>
        </w:rPr>
        <w:t>option </w:t>
      </w:r>
      <w:r>
        <w:rPr>
          <w:sz w:val="24"/>
        </w:rPr>
        <w:t>identified by the annual planning review conducted under clause 5.12.1(b) and if so, the expected date the request will be</w:t>
      </w:r>
      <w:r>
        <w:rPr>
          <w:spacing w:val="-7"/>
          <w:sz w:val="24"/>
        </w:rPr>
        <w:t> </w:t>
      </w:r>
      <w:r>
        <w:rPr>
          <w:sz w:val="24"/>
        </w:rPr>
        <w:t>issued;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for all proposed </w:t>
      </w:r>
      <w:r>
        <w:rPr>
          <w:i/>
          <w:sz w:val="24"/>
        </w:rPr>
        <w:t>augmentations </w:t>
      </w:r>
      <w:r>
        <w:rPr>
          <w:sz w:val="24"/>
        </w:rPr>
        <w:t>to the </w:t>
      </w:r>
      <w:r>
        <w:rPr>
          <w:i/>
          <w:sz w:val="24"/>
        </w:rPr>
        <w:t>network </w:t>
      </w:r>
      <w:r>
        <w:rPr>
          <w:sz w:val="24"/>
        </w:rPr>
        <w:t>and proposed replacements of </w:t>
      </w:r>
      <w:r>
        <w:rPr>
          <w:i/>
          <w:sz w:val="24"/>
        </w:rPr>
        <w:t>network </w:t>
      </w:r>
      <w:r>
        <w:rPr>
          <w:sz w:val="24"/>
        </w:rPr>
        <w:t>assets the following information, in sufficient detail relative to the size or significance of the project and the proposed operational date of the</w:t>
      </w:r>
      <w:r>
        <w:rPr>
          <w:spacing w:val="-1"/>
          <w:sz w:val="24"/>
        </w:rPr>
        <w:t> </w:t>
      </w:r>
      <w:r>
        <w:rPr>
          <w:sz w:val="24"/>
        </w:rPr>
        <w:t>project:</w:t>
      </w:r>
    </w:p>
    <w:p>
      <w:pPr>
        <w:pStyle w:val="ListParagraph"/>
        <w:numPr>
          <w:ilvl w:val="0"/>
          <w:numId w:val="216"/>
        </w:numPr>
        <w:tabs>
          <w:tab w:pos="3053" w:val="left" w:leader="none"/>
        </w:tabs>
        <w:spacing w:line="240" w:lineRule="auto" w:before="120" w:after="0"/>
        <w:ind w:left="3053" w:right="415" w:hanging="567"/>
        <w:jc w:val="both"/>
        <w:rPr>
          <w:sz w:val="24"/>
        </w:rPr>
      </w:pPr>
      <w:r>
        <w:rPr>
          <w:sz w:val="24"/>
        </w:rPr>
        <w:t>project/asset name and the month and year in which it is proposed that the asset will become</w:t>
      </w:r>
      <w:r>
        <w:rPr>
          <w:spacing w:val="-3"/>
          <w:sz w:val="24"/>
        </w:rPr>
        <w:t> </w:t>
      </w:r>
      <w:r>
        <w:rPr>
          <w:sz w:val="24"/>
        </w:rPr>
        <w:t>operational;</w:t>
      </w:r>
    </w:p>
    <w:p>
      <w:pPr>
        <w:pStyle w:val="ListParagraph"/>
        <w:numPr>
          <w:ilvl w:val="0"/>
          <w:numId w:val="216"/>
        </w:numPr>
        <w:tabs>
          <w:tab w:pos="3054" w:val="left" w:leader="none"/>
        </w:tabs>
        <w:spacing w:line="240" w:lineRule="auto" w:before="120" w:after="0"/>
        <w:ind w:left="3053" w:right="415" w:hanging="567"/>
        <w:jc w:val="both"/>
        <w:rPr>
          <w:sz w:val="24"/>
        </w:rPr>
      </w:pPr>
      <w:r>
        <w:rPr>
          <w:sz w:val="24"/>
        </w:rPr>
        <w:t>the reason for the actual or potential </w:t>
      </w:r>
      <w:r>
        <w:rPr>
          <w:i/>
          <w:sz w:val="24"/>
        </w:rPr>
        <w:t>constraint</w:t>
      </w:r>
      <w:r>
        <w:rPr>
          <w:sz w:val="24"/>
        </w:rPr>
        <w:t>, if any, or inability, if any, to meet the </w:t>
      </w:r>
      <w:r>
        <w:rPr>
          <w:i/>
          <w:sz w:val="24"/>
        </w:rPr>
        <w:t>network </w:t>
      </w:r>
      <w:r>
        <w:rPr>
          <w:sz w:val="24"/>
        </w:rPr>
        <w:t>performance requirements set out in schedule 5.1 or relevant legislation or regulations of a </w:t>
      </w:r>
      <w:r>
        <w:rPr>
          <w:i/>
          <w:sz w:val="24"/>
        </w:rPr>
        <w:t>participating jurisdiction, </w:t>
      </w:r>
      <w:r>
        <w:rPr>
          <w:sz w:val="24"/>
        </w:rPr>
        <w:t>including </w:t>
      </w:r>
      <w:r>
        <w:rPr>
          <w:i/>
          <w:sz w:val="24"/>
        </w:rPr>
        <w:t>load </w:t>
      </w:r>
      <w:r>
        <w:rPr>
          <w:sz w:val="24"/>
        </w:rPr>
        <w:t>forecasts and </w:t>
      </w:r>
      <w:r>
        <w:rPr>
          <w:spacing w:val="-5"/>
          <w:sz w:val="24"/>
        </w:rPr>
        <w:t>all </w:t>
      </w:r>
      <w:r>
        <w:rPr>
          <w:sz w:val="24"/>
        </w:rPr>
        <w:t>assumptions used;</w:t>
      </w:r>
    </w:p>
    <w:p>
      <w:pPr>
        <w:pStyle w:val="ListParagraph"/>
        <w:numPr>
          <w:ilvl w:val="0"/>
          <w:numId w:val="216"/>
        </w:numPr>
        <w:tabs>
          <w:tab w:pos="3053" w:val="left" w:leader="none"/>
        </w:tabs>
        <w:spacing w:line="240" w:lineRule="auto" w:before="120" w:after="0"/>
        <w:ind w:left="3053" w:right="415" w:hanging="567"/>
        <w:jc w:val="both"/>
        <w:rPr>
          <w:sz w:val="24"/>
        </w:rPr>
      </w:pPr>
      <w:r>
        <w:rPr>
          <w:sz w:val="24"/>
        </w:rPr>
        <w:t>the proposed solution to the </w:t>
      </w:r>
      <w:r>
        <w:rPr>
          <w:i/>
          <w:sz w:val="24"/>
        </w:rPr>
        <w:t>constraint </w:t>
      </w:r>
      <w:r>
        <w:rPr>
          <w:sz w:val="24"/>
        </w:rPr>
        <w:t>or inability to meet the </w:t>
      </w:r>
      <w:r>
        <w:rPr>
          <w:i/>
          <w:sz w:val="24"/>
        </w:rPr>
        <w:t>network </w:t>
      </w:r>
      <w:r>
        <w:rPr>
          <w:sz w:val="24"/>
        </w:rPr>
        <w:t>performance requirements identified in subparagraph (ii), if</w:t>
      </w:r>
      <w:r>
        <w:rPr>
          <w:spacing w:val="-1"/>
          <w:sz w:val="24"/>
        </w:rPr>
        <w:t> </w:t>
      </w:r>
      <w:r>
        <w:rPr>
          <w:sz w:val="24"/>
        </w:rPr>
        <w:t>any;</w:t>
      </w:r>
    </w:p>
    <w:p>
      <w:pPr>
        <w:pStyle w:val="ListParagraph"/>
        <w:numPr>
          <w:ilvl w:val="0"/>
          <w:numId w:val="216"/>
        </w:numPr>
        <w:tabs>
          <w:tab w:pos="3054" w:val="left" w:leader="none"/>
        </w:tabs>
        <w:spacing w:line="240" w:lineRule="auto" w:before="120" w:after="0"/>
        <w:ind w:left="3053" w:right="0" w:hanging="568"/>
        <w:jc w:val="both"/>
        <w:rPr>
          <w:sz w:val="24"/>
        </w:rPr>
      </w:pPr>
      <w:r>
        <w:rPr>
          <w:sz w:val="24"/>
        </w:rPr>
        <w:t>total cost of the proposed</w:t>
      </w:r>
      <w:r>
        <w:rPr>
          <w:spacing w:val="-1"/>
          <w:sz w:val="24"/>
        </w:rPr>
        <w:t> </w:t>
      </w:r>
      <w:r>
        <w:rPr>
          <w:sz w:val="24"/>
        </w:rPr>
        <w:t>solution;</w:t>
      </w:r>
    </w:p>
    <w:p>
      <w:pPr>
        <w:pStyle w:val="ListParagraph"/>
        <w:numPr>
          <w:ilvl w:val="0"/>
          <w:numId w:val="216"/>
        </w:numPr>
        <w:tabs>
          <w:tab w:pos="3053" w:val="left" w:leader="none"/>
        </w:tabs>
        <w:spacing w:line="240" w:lineRule="auto" w:before="120" w:after="0"/>
        <w:ind w:left="3053" w:right="415" w:hanging="567"/>
        <w:jc w:val="both"/>
        <w:rPr>
          <w:sz w:val="24"/>
        </w:rPr>
      </w:pPr>
      <w:r>
        <w:rPr>
          <w:sz w:val="24"/>
        </w:rPr>
        <w:t>whether the proposed solution will have a </w:t>
      </w:r>
      <w:r>
        <w:rPr>
          <w:i/>
          <w:sz w:val="24"/>
        </w:rPr>
        <w:t>material inter- </w:t>
      </w:r>
      <w:r>
        <w:rPr>
          <w:i/>
          <w:sz w:val="24"/>
        </w:rPr>
        <w:t>network impact. </w:t>
      </w:r>
      <w:r>
        <w:rPr>
          <w:sz w:val="24"/>
        </w:rPr>
        <w:t>In assessing whether an </w:t>
      </w:r>
      <w:r>
        <w:rPr>
          <w:i/>
          <w:sz w:val="24"/>
        </w:rPr>
        <w:t>augmentation </w:t>
      </w:r>
      <w:r>
        <w:rPr>
          <w:sz w:val="24"/>
        </w:rPr>
        <w:t>to the </w:t>
      </w:r>
      <w:r>
        <w:rPr>
          <w:i/>
          <w:sz w:val="24"/>
        </w:rPr>
        <w:t>network </w:t>
      </w:r>
      <w:r>
        <w:rPr>
          <w:sz w:val="24"/>
        </w:rPr>
        <w:t>will have a </w:t>
      </w:r>
      <w:r>
        <w:rPr>
          <w:i/>
          <w:sz w:val="24"/>
        </w:rPr>
        <w:t>material inter-network impact </w:t>
      </w:r>
      <w:r>
        <w:rPr>
          <w:sz w:val="24"/>
        </w:rPr>
        <w:t>a </w:t>
      </w:r>
      <w:r>
        <w:rPr>
          <w:i/>
          <w:sz w:val="24"/>
        </w:rPr>
        <w:t>Transmission Network Service Provider </w:t>
      </w:r>
      <w:r>
        <w:rPr>
          <w:sz w:val="24"/>
        </w:rPr>
        <w:t>must have regard to the objective set of criteria </w:t>
      </w:r>
      <w:r>
        <w:rPr>
          <w:i/>
          <w:sz w:val="24"/>
        </w:rPr>
        <w:t>published </w:t>
      </w:r>
      <w:r>
        <w:rPr>
          <w:sz w:val="24"/>
        </w:rPr>
        <w:t>by </w:t>
      </w:r>
      <w:r>
        <w:rPr>
          <w:i/>
          <w:sz w:val="24"/>
        </w:rPr>
        <w:t>AEMO </w:t>
      </w:r>
      <w:r>
        <w:rPr>
          <w:sz w:val="24"/>
        </w:rPr>
        <w:t>in accordance with clause 5.21 (if any such criteria have been </w:t>
      </w:r>
      <w:r>
        <w:rPr>
          <w:i/>
          <w:sz w:val="24"/>
        </w:rPr>
        <w:t>published </w:t>
      </w:r>
      <w:r>
        <w:rPr>
          <w:sz w:val="24"/>
        </w:rPr>
        <w:t>by </w:t>
      </w:r>
      <w:r>
        <w:rPr>
          <w:i/>
          <w:sz w:val="24"/>
        </w:rPr>
        <w:t>AEMO</w:t>
      </w:r>
      <w:r>
        <w:rPr>
          <w:sz w:val="24"/>
        </w:rPr>
        <w:t>); and</w:t>
      </w:r>
    </w:p>
    <w:p>
      <w:pPr>
        <w:pStyle w:val="ListParagraph"/>
        <w:numPr>
          <w:ilvl w:val="0"/>
          <w:numId w:val="216"/>
        </w:numPr>
        <w:tabs>
          <w:tab w:pos="3053" w:val="left" w:leader="none"/>
        </w:tabs>
        <w:spacing w:line="240" w:lineRule="auto" w:before="120" w:after="0"/>
        <w:ind w:left="3053" w:right="414" w:hanging="567"/>
        <w:jc w:val="both"/>
        <w:rPr>
          <w:sz w:val="24"/>
        </w:rPr>
      </w:pPr>
      <w:r>
        <w:rPr>
          <w:sz w:val="24"/>
        </w:rPr>
        <w:t>other reasonable </w:t>
      </w:r>
      <w:r>
        <w:rPr>
          <w:i/>
          <w:sz w:val="24"/>
        </w:rPr>
        <w:t>network options </w:t>
      </w:r>
      <w:r>
        <w:rPr>
          <w:sz w:val="24"/>
        </w:rPr>
        <w:t>and </w:t>
      </w:r>
      <w:r>
        <w:rPr>
          <w:i/>
          <w:sz w:val="24"/>
        </w:rPr>
        <w:t>non-network options </w:t>
      </w:r>
      <w:r>
        <w:rPr>
          <w:sz w:val="24"/>
        </w:rPr>
        <w:t>considered to address the actual or potential </w:t>
      </w:r>
      <w:r>
        <w:rPr>
          <w:i/>
          <w:sz w:val="24"/>
        </w:rPr>
        <w:t>constraint </w:t>
      </w:r>
      <w:r>
        <w:rPr>
          <w:spacing w:val="-6"/>
          <w:sz w:val="24"/>
        </w:rPr>
        <w:t>or </w:t>
      </w:r>
      <w:r>
        <w:rPr>
          <w:sz w:val="24"/>
        </w:rPr>
        <w:t>inability to meet the </w:t>
      </w:r>
      <w:r>
        <w:rPr>
          <w:i/>
          <w:sz w:val="24"/>
        </w:rPr>
        <w:t>network </w:t>
      </w:r>
      <w:r>
        <w:rPr>
          <w:sz w:val="24"/>
        </w:rPr>
        <w:t>performance requirements identified in subparagraph (ii), if any. Other reasonable </w:t>
      </w:r>
      <w:r>
        <w:rPr>
          <w:i/>
          <w:sz w:val="24"/>
        </w:rPr>
        <w:t>network </w:t>
      </w:r>
      <w:r>
        <w:rPr>
          <w:sz w:val="24"/>
        </w:rPr>
        <w:t>and  </w:t>
      </w:r>
      <w:r>
        <w:rPr>
          <w:i/>
          <w:sz w:val="24"/>
        </w:rPr>
        <w:t>non-network   options   </w:t>
      </w:r>
      <w:r>
        <w:rPr>
          <w:sz w:val="24"/>
        </w:rPr>
        <w:t>include,   but   are   not   limited   to, </w:t>
      </w:r>
      <w:r>
        <w:rPr>
          <w:i/>
          <w:sz w:val="24"/>
        </w:rPr>
        <w:t>interconnectors</w:t>
      </w:r>
      <w:r>
        <w:rPr>
          <w:sz w:val="24"/>
        </w:rPr>
        <w:t>, </w:t>
      </w:r>
      <w:r>
        <w:rPr>
          <w:i/>
          <w:sz w:val="24"/>
        </w:rPr>
        <w:t>generation </w:t>
      </w:r>
      <w:r>
        <w:rPr>
          <w:sz w:val="24"/>
        </w:rPr>
        <w:t>options, demand side options, </w:t>
      </w:r>
      <w:r>
        <w:rPr>
          <w:i/>
          <w:sz w:val="24"/>
        </w:rPr>
        <w:t>market network service </w:t>
      </w:r>
      <w:r>
        <w:rPr>
          <w:sz w:val="24"/>
        </w:rPr>
        <w:t>options and options involving other </w:t>
      </w:r>
      <w:r>
        <w:rPr>
          <w:i/>
          <w:sz w:val="24"/>
        </w:rPr>
        <w:t>transmission </w:t>
      </w:r>
      <w:r>
        <w:rPr>
          <w:sz w:val="24"/>
        </w:rPr>
        <w:t>and </w:t>
      </w:r>
      <w:r>
        <w:rPr>
          <w:i/>
          <w:sz w:val="24"/>
        </w:rPr>
        <w:t>distribution</w:t>
      </w:r>
      <w:r>
        <w:rPr>
          <w:i/>
          <w:spacing w:val="-1"/>
          <w:sz w:val="24"/>
        </w:rPr>
        <w:t> </w:t>
      </w:r>
      <w:r>
        <w:rPr>
          <w:i/>
          <w:sz w:val="24"/>
        </w:rPr>
        <w:t>networks</w:t>
      </w:r>
      <w:r>
        <w:rPr>
          <w:sz w:val="24"/>
        </w:rPr>
        <w: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the manner in which the proposed </w:t>
      </w:r>
      <w:r>
        <w:rPr>
          <w:i/>
          <w:sz w:val="24"/>
        </w:rPr>
        <w:t>augmentations </w:t>
      </w:r>
      <w:r>
        <w:rPr>
          <w:sz w:val="24"/>
        </w:rPr>
        <w:t>and proposed replacements of </w:t>
      </w:r>
      <w:r>
        <w:rPr>
          <w:i/>
          <w:sz w:val="24"/>
        </w:rPr>
        <w:t>network </w:t>
      </w:r>
      <w:r>
        <w:rPr>
          <w:sz w:val="24"/>
        </w:rPr>
        <w:t>assets relate to the most recent </w:t>
      </w:r>
      <w:r>
        <w:rPr>
          <w:i/>
          <w:sz w:val="24"/>
        </w:rPr>
        <w:t>NTNDP </w:t>
      </w:r>
      <w:r>
        <w:rPr>
          <w:sz w:val="24"/>
        </w:rPr>
        <w:t>and the development strategies for current or potential </w:t>
      </w:r>
      <w:r>
        <w:rPr>
          <w:i/>
          <w:sz w:val="24"/>
        </w:rPr>
        <w:t>national </w:t>
      </w:r>
      <w:r>
        <w:rPr>
          <w:i/>
          <w:sz w:val="24"/>
        </w:rPr>
        <w:t>transmission flow paths </w:t>
      </w:r>
      <w:r>
        <w:rPr>
          <w:sz w:val="24"/>
        </w:rPr>
        <w:t>that are specified in that</w:t>
      </w:r>
      <w:r>
        <w:rPr>
          <w:spacing w:val="-4"/>
          <w:sz w:val="24"/>
        </w:rPr>
        <w:t> </w:t>
      </w:r>
      <w:r>
        <w:rPr>
          <w:i/>
          <w:sz w:val="24"/>
        </w:rPr>
        <w:t>NTNDP</w:t>
      </w:r>
      <w:r>
        <w:rPr>
          <w:sz w:val="24"/>
        </w:rPr>
        <w:t>;</w:t>
      </w:r>
    </w:p>
    <w:p>
      <w:pPr>
        <w:spacing w:before="120"/>
        <w:ind w:left="2486" w:right="415" w:hanging="567"/>
        <w:jc w:val="both"/>
        <w:rPr>
          <w:sz w:val="24"/>
        </w:rPr>
      </w:pPr>
      <w:r>
        <w:rPr>
          <w:sz w:val="24"/>
        </w:rPr>
        <w:t>(6A) for proposed new or modified </w:t>
      </w:r>
      <w:r>
        <w:rPr>
          <w:i/>
          <w:sz w:val="24"/>
        </w:rPr>
        <w:t>emergency frequency control schemes</w:t>
      </w:r>
      <w:r>
        <w:rPr>
          <w:sz w:val="24"/>
        </w:rPr>
        <w:t>, the manner in which the project relates to the most recent </w:t>
      </w:r>
      <w:r>
        <w:rPr>
          <w:i/>
          <w:sz w:val="24"/>
        </w:rPr>
        <w:t>power </w:t>
      </w:r>
      <w:r>
        <w:rPr>
          <w:i/>
          <w:sz w:val="24"/>
        </w:rPr>
        <w:t>system frequency risk review</w:t>
      </w:r>
      <w:r>
        <w:rPr>
          <w:sz w:val="24"/>
        </w:rPr>
        <w: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information on the </w:t>
      </w:r>
      <w:r>
        <w:rPr>
          <w:i/>
          <w:sz w:val="24"/>
        </w:rPr>
        <w:t>Transmission Network Service Provider's </w:t>
      </w:r>
      <w:r>
        <w:rPr>
          <w:sz w:val="24"/>
        </w:rPr>
        <w:t>asset management approach,</w:t>
      </w:r>
      <w:r>
        <w:rPr>
          <w:spacing w:val="-1"/>
          <w:sz w:val="24"/>
        </w:rPr>
        <w:t> </w:t>
      </w:r>
      <w:r>
        <w:rPr>
          <w:sz w:val="24"/>
        </w:rPr>
        <w:t>including:</w:t>
      </w:r>
    </w:p>
    <w:p>
      <w:pPr>
        <w:spacing w:after="0" w:line="240" w:lineRule="auto"/>
        <w:jc w:val="both"/>
        <w:rPr>
          <w:sz w:val="24"/>
        </w:rPr>
        <w:sectPr>
          <w:pgSz w:w="11910" w:h="16840"/>
          <w:pgMar w:header="686" w:footer="637" w:top="1320" w:bottom="820" w:left="1200" w:right="1000"/>
        </w:sectPr>
      </w:pPr>
    </w:p>
    <w:p>
      <w:pPr>
        <w:pStyle w:val="ListParagraph"/>
        <w:numPr>
          <w:ilvl w:val="0"/>
          <w:numId w:val="217"/>
        </w:numPr>
        <w:tabs>
          <w:tab w:pos="3053" w:val="left" w:leader="none"/>
        </w:tabs>
        <w:spacing w:line="240" w:lineRule="auto" w:before="83" w:after="0"/>
        <w:ind w:left="3052" w:right="0" w:hanging="567"/>
        <w:jc w:val="both"/>
        <w:rPr>
          <w:sz w:val="24"/>
        </w:rPr>
      </w:pPr>
      <w:r>
        <w:rPr>
          <w:sz w:val="24"/>
        </w:rPr>
        <w:t>a</w:t>
      </w:r>
      <w:r>
        <w:rPr>
          <w:spacing w:val="23"/>
          <w:sz w:val="24"/>
        </w:rPr>
        <w:t> </w:t>
      </w:r>
      <w:r>
        <w:rPr>
          <w:sz w:val="24"/>
        </w:rPr>
        <w:t>summary</w:t>
      </w:r>
      <w:r>
        <w:rPr>
          <w:spacing w:val="23"/>
          <w:sz w:val="24"/>
        </w:rPr>
        <w:t> </w:t>
      </w:r>
      <w:r>
        <w:rPr>
          <w:sz w:val="24"/>
        </w:rPr>
        <w:t>of</w:t>
      </w:r>
      <w:r>
        <w:rPr>
          <w:spacing w:val="23"/>
          <w:sz w:val="24"/>
        </w:rPr>
        <w:t> </w:t>
      </w:r>
      <w:r>
        <w:rPr>
          <w:sz w:val="24"/>
        </w:rPr>
        <w:t>any</w:t>
      </w:r>
      <w:r>
        <w:rPr>
          <w:spacing w:val="23"/>
          <w:sz w:val="24"/>
        </w:rPr>
        <w:t> </w:t>
      </w:r>
      <w:r>
        <w:rPr>
          <w:sz w:val="24"/>
        </w:rPr>
        <w:t>asset</w:t>
      </w:r>
      <w:r>
        <w:rPr>
          <w:spacing w:val="23"/>
          <w:sz w:val="24"/>
        </w:rPr>
        <w:t> </w:t>
      </w:r>
      <w:r>
        <w:rPr>
          <w:sz w:val="24"/>
        </w:rPr>
        <w:t>management</w:t>
      </w:r>
      <w:r>
        <w:rPr>
          <w:spacing w:val="23"/>
          <w:sz w:val="24"/>
        </w:rPr>
        <w:t> </w:t>
      </w:r>
      <w:r>
        <w:rPr>
          <w:sz w:val="24"/>
        </w:rPr>
        <w:t>strategy</w:t>
      </w:r>
      <w:r>
        <w:rPr>
          <w:spacing w:val="24"/>
          <w:sz w:val="24"/>
        </w:rPr>
        <w:t> </w:t>
      </w:r>
      <w:r>
        <w:rPr>
          <w:sz w:val="24"/>
        </w:rPr>
        <w:t>employed</w:t>
      </w:r>
      <w:r>
        <w:rPr>
          <w:spacing w:val="23"/>
          <w:sz w:val="24"/>
        </w:rPr>
        <w:t> </w:t>
      </w:r>
      <w:r>
        <w:rPr>
          <w:sz w:val="24"/>
        </w:rPr>
        <w:t>by</w:t>
      </w:r>
      <w:r>
        <w:rPr>
          <w:spacing w:val="23"/>
          <w:sz w:val="24"/>
        </w:rPr>
        <w:t> </w:t>
      </w:r>
      <w:r>
        <w:rPr>
          <w:sz w:val="24"/>
        </w:rPr>
        <w:t>the</w:t>
      </w:r>
    </w:p>
    <w:p>
      <w:pPr>
        <w:spacing w:before="0"/>
        <w:ind w:left="3053" w:right="0" w:firstLine="0"/>
        <w:jc w:val="both"/>
        <w:rPr>
          <w:sz w:val="24"/>
        </w:rPr>
      </w:pPr>
      <w:r>
        <w:rPr>
          <w:i/>
          <w:sz w:val="24"/>
        </w:rPr>
        <w:t>Transmission Network Service Provider</w:t>
      </w:r>
      <w:r>
        <w:rPr>
          <w:sz w:val="24"/>
        </w:rPr>
        <w:t>;</w:t>
      </w:r>
    </w:p>
    <w:p>
      <w:pPr>
        <w:pStyle w:val="ListParagraph"/>
        <w:numPr>
          <w:ilvl w:val="0"/>
          <w:numId w:val="217"/>
        </w:numPr>
        <w:tabs>
          <w:tab w:pos="3054" w:val="left" w:leader="none"/>
        </w:tabs>
        <w:spacing w:line="240" w:lineRule="auto" w:before="120" w:after="0"/>
        <w:ind w:left="3053" w:right="415" w:hanging="567"/>
        <w:jc w:val="both"/>
        <w:rPr>
          <w:sz w:val="24"/>
        </w:rPr>
      </w:pPr>
      <w:r>
        <w:rPr>
          <w:sz w:val="24"/>
        </w:rPr>
        <w:t>a summary of any issues that may impact on the system </w:t>
      </w:r>
      <w:r>
        <w:rPr>
          <w:i/>
          <w:sz w:val="24"/>
        </w:rPr>
        <w:t>constraints </w:t>
      </w:r>
      <w:r>
        <w:rPr>
          <w:sz w:val="24"/>
        </w:rPr>
        <w:t>identified in the </w:t>
      </w:r>
      <w:r>
        <w:rPr>
          <w:i/>
          <w:sz w:val="24"/>
        </w:rPr>
        <w:t>Transmission Annual Planning </w:t>
      </w:r>
      <w:r>
        <w:rPr>
          <w:i/>
          <w:sz w:val="24"/>
        </w:rPr>
        <w:t>Report </w:t>
      </w:r>
      <w:r>
        <w:rPr>
          <w:sz w:val="24"/>
        </w:rPr>
        <w:t>that has been identified through carrying out </w:t>
      </w:r>
      <w:r>
        <w:rPr>
          <w:spacing w:val="-4"/>
          <w:sz w:val="24"/>
        </w:rPr>
        <w:t>asset </w:t>
      </w:r>
      <w:r>
        <w:rPr>
          <w:sz w:val="24"/>
        </w:rPr>
        <w:t>management;</w:t>
      </w:r>
      <w:r>
        <w:rPr>
          <w:spacing w:val="-1"/>
          <w:sz w:val="24"/>
        </w:rPr>
        <w:t> </w:t>
      </w:r>
      <w:r>
        <w:rPr>
          <w:sz w:val="24"/>
        </w:rPr>
        <w:t>and</w:t>
      </w:r>
    </w:p>
    <w:p>
      <w:pPr>
        <w:pStyle w:val="ListParagraph"/>
        <w:numPr>
          <w:ilvl w:val="0"/>
          <w:numId w:val="217"/>
        </w:numPr>
        <w:tabs>
          <w:tab w:pos="3053" w:val="left" w:leader="none"/>
        </w:tabs>
        <w:spacing w:line="240" w:lineRule="auto" w:before="120" w:after="0"/>
        <w:ind w:left="3053" w:right="415" w:hanging="567"/>
        <w:jc w:val="both"/>
        <w:rPr>
          <w:sz w:val="24"/>
        </w:rPr>
      </w:pPr>
      <w:r>
        <w:rPr>
          <w:sz w:val="24"/>
        </w:rPr>
        <w:t>information about where further information on the asset management strategy and methodology adopted by the </w:t>
      </w:r>
      <w:r>
        <w:rPr>
          <w:i/>
          <w:sz w:val="24"/>
        </w:rPr>
        <w:t>Transmission Network Service Provider </w:t>
      </w:r>
      <w:r>
        <w:rPr>
          <w:sz w:val="24"/>
        </w:rPr>
        <w:t>may be</w:t>
      </w:r>
      <w:r>
        <w:rPr>
          <w:spacing w:val="-6"/>
          <w:sz w:val="24"/>
        </w:rPr>
        <w:t> </w:t>
      </w:r>
      <w:r>
        <w:rPr>
          <w:sz w:val="24"/>
        </w:rPr>
        <w:t>obtained.</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any information required to be included in a </w:t>
      </w:r>
      <w:r>
        <w:rPr>
          <w:i/>
          <w:sz w:val="24"/>
        </w:rPr>
        <w:t>Transmission Annual </w:t>
      </w:r>
      <w:r>
        <w:rPr>
          <w:i/>
          <w:sz w:val="24"/>
        </w:rPr>
        <w:t>Planning Report</w:t>
      </w:r>
      <w:r>
        <w:rPr>
          <w:i/>
          <w:spacing w:val="-1"/>
          <w:sz w:val="24"/>
        </w:rPr>
        <w:t> </w:t>
      </w:r>
      <w:r>
        <w:rPr>
          <w:sz w:val="24"/>
        </w:rPr>
        <w:t>under:</w:t>
      </w:r>
    </w:p>
    <w:p>
      <w:pPr>
        <w:pStyle w:val="ListParagraph"/>
        <w:numPr>
          <w:ilvl w:val="0"/>
          <w:numId w:val="218"/>
        </w:numPr>
        <w:tabs>
          <w:tab w:pos="3053" w:val="left" w:leader="none"/>
        </w:tabs>
        <w:spacing w:line="240" w:lineRule="auto" w:before="120" w:after="0"/>
        <w:ind w:left="3053" w:right="415" w:hanging="567"/>
        <w:jc w:val="both"/>
        <w:rPr>
          <w:sz w:val="24"/>
        </w:rPr>
      </w:pPr>
      <w:r>
        <w:rPr>
          <w:sz w:val="24"/>
        </w:rPr>
        <w:t>clause 5.16.3(c) in relation to a </w:t>
      </w:r>
      <w:r>
        <w:rPr>
          <w:i/>
          <w:sz w:val="24"/>
        </w:rPr>
        <w:t>network </w:t>
      </w:r>
      <w:r>
        <w:rPr>
          <w:sz w:val="24"/>
        </w:rPr>
        <w:t>investment which is determined to be required to address an urgent and unforeseen </w:t>
      </w:r>
      <w:r>
        <w:rPr>
          <w:i/>
          <w:sz w:val="24"/>
        </w:rPr>
        <w:t>network </w:t>
      </w:r>
      <w:r>
        <w:rPr>
          <w:sz w:val="24"/>
        </w:rPr>
        <w:t>issue;</w:t>
      </w:r>
      <w:r>
        <w:rPr>
          <w:spacing w:val="-2"/>
          <w:sz w:val="24"/>
        </w:rPr>
        <w:t> </w:t>
      </w:r>
      <w:r>
        <w:rPr>
          <w:sz w:val="24"/>
        </w:rPr>
        <w:t>or</w:t>
      </w:r>
    </w:p>
    <w:p>
      <w:pPr>
        <w:pStyle w:val="ListParagraph"/>
        <w:numPr>
          <w:ilvl w:val="0"/>
          <w:numId w:val="218"/>
        </w:numPr>
        <w:tabs>
          <w:tab w:pos="3054" w:val="left" w:leader="none"/>
        </w:tabs>
        <w:spacing w:line="240" w:lineRule="auto" w:before="120" w:after="0"/>
        <w:ind w:left="3053" w:right="414" w:hanging="567"/>
        <w:jc w:val="both"/>
        <w:rPr>
          <w:sz w:val="24"/>
        </w:rPr>
      </w:pPr>
      <w:r>
        <w:rPr>
          <w:sz w:val="24"/>
        </w:rPr>
        <w:t>clauses 5.20B.4(h) and (i) and clauses 5.20C.3(f) and (g) in relation to </w:t>
      </w:r>
      <w:r>
        <w:rPr>
          <w:i/>
          <w:sz w:val="24"/>
        </w:rPr>
        <w:t>network </w:t>
      </w:r>
      <w:r>
        <w:rPr>
          <w:sz w:val="24"/>
        </w:rPr>
        <w:t>investment and other activities to provide </w:t>
      </w:r>
      <w:r>
        <w:rPr>
          <w:i/>
          <w:sz w:val="24"/>
        </w:rPr>
        <w:t>inertia network services</w:t>
      </w:r>
      <w:r>
        <w:rPr>
          <w:sz w:val="24"/>
        </w:rPr>
        <w:t>, </w:t>
      </w:r>
      <w:r>
        <w:rPr>
          <w:i/>
          <w:sz w:val="24"/>
        </w:rPr>
        <w:t>inertia support activities </w:t>
      </w:r>
      <w:r>
        <w:rPr>
          <w:sz w:val="24"/>
        </w:rPr>
        <w:t>or </w:t>
      </w:r>
      <w:r>
        <w:rPr>
          <w:i/>
          <w:sz w:val="24"/>
        </w:rPr>
        <w:t>system </w:t>
      </w:r>
      <w:r>
        <w:rPr>
          <w:i/>
          <w:sz w:val="24"/>
        </w:rPr>
        <w:t>strength</w:t>
      </w:r>
      <w:r>
        <w:rPr>
          <w:i/>
          <w:spacing w:val="-2"/>
          <w:sz w:val="24"/>
        </w:rPr>
        <w:t> </w:t>
      </w:r>
      <w:r>
        <w:rPr>
          <w:i/>
          <w:sz w:val="24"/>
        </w:rPr>
        <w:t>services</w:t>
      </w:r>
      <w:r>
        <w:rPr>
          <w:sz w:val="24"/>
        </w:rPr>
        <w: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emergency controls in place under</w:t>
      </w:r>
      <w:r>
        <w:rPr>
          <w:i/>
          <w:sz w:val="24"/>
        </w:rPr>
        <w:t>jurisdictional electricity legislation</w:t>
      </w:r>
      <w:r>
        <w:rPr>
          <w:sz w:val="24"/>
        </w:rPr>
        <w:t>, including the </w:t>
      </w:r>
      <w:r>
        <w:rPr>
          <w:i/>
          <w:sz w:val="24"/>
        </w:rPr>
        <w:t>Network Service Provider's </w:t>
      </w:r>
      <w:r>
        <w:rPr>
          <w:sz w:val="24"/>
        </w:rPr>
        <w:t>assessment of the need </w:t>
      </w:r>
      <w:r>
        <w:rPr>
          <w:spacing w:val="-4"/>
          <w:sz w:val="24"/>
        </w:rPr>
        <w:t>for </w:t>
      </w:r>
      <w:r>
        <w:rPr>
          <w:sz w:val="24"/>
        </w:rPr>
        <w:t>new or altered emergency controls under that</w:t>
      </w:r>
      <w:r>
        <w:rPr>
          <w:spacing w:val="-2"/>
          <w:sz w:val="24"/>
        </w:rPr>
        <w:t> </w:t>
      </w:r>
      <w:r>
        <w:rPr>
          <w:sz w:val="24"/>
        </w:rPr>
        <w:t>clause;</w:t>
      </w:r>
    </w:p>
    <w:p>
      <w:pPr>
        <w:pStyle w:val="ListParagraph"/>
        <w:numPr>
          <w:ilvl w:val="4"/>
          <w:numId w:val="197"/>
        </w:numPr>
        <w:tabs>
          <w:tab w:pos="2486" w:val="left" w:leader="none"/>
        </w:tabs>
        <w:spacing w:line="240" w:lineRule="auto" w:before="120" w:after="0"/>
        <w:ind w:left="2485" w:right="0" w:hanging="567"/>
        <w:jc w:val="both"/>
        <w:rPr>
          <w:sz w:val="24"/>
        </w:rPr>
      </w:pPr>
      <w:r>
        <w:rPr>
          <w:i/>
          <w:sz w:val="24"/>
        </w:rPr>
        <w:t>facilities </w:t>
      </w:r>
      <w:r>
        <w:rPr>
          <w:sz w:val="24"/>
        </w:rPr>
        <w:t>in place under </w:t>
      </w:r>
      <w:r>
        <w:rPr>
          <w:i/>
          <w:sz w:val="24"/>
        </w:rPr>
        <w:t>jurisdictional electricity</w:t>
      </w:r>
      <w:r>
        <w:rPr>
          <w:i/>
          <w:spacing w:val="-2"/>
          <w:sz w:val="24"/>
        </w:rPr>
        <w:t> </w:t>
      </w:r>
      <w:r>
        <w:rPr>
          <w:i/>
          <w:sz w:val="24"/>
        </w:rPr>
        <w:t>legislation</w:t>
      </w:r>
      <w:r>
        <w:rPr>
          <w:sz w:val="24"/>
        </w:rPr>
        <w: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an analysis and explanation of any other aspects of the </w:t>
      </w:r>
      <w:r>
        <w:rPr>
          <w:i/>
          <w:sz w:val="24"/>
        </w:rPr>
        <w:t>Transmission </w:t>
      </w:r>
      <w:r>
        <w:rPr>
          <w:i/>
          <w:sz w:val="24"/>
        </w:rPr>
        <w:t>Annual Planning Report </w:t>
      </w:r>
      <w:r>
        <w:rPr>
          <w:sz w:val="24"/>
        </w:rPr>
        <w:t>that have changed significantly from the preceding year's </w:t>
      </w:r>
      <w:r>
        <w:rPr>
          <w:i/>
          <w:sz w:val="24"/>
        </w:rPr>
        <w:t>Transmission Annual Planning Report</w:t>
      </w:r>
      <w:r>
        <w:rPr>
          <w:sz w:val="24"/>
        </w:rPr>
        <w:t>, including the reasons why the changes have occurred;</w:t>
      </w:r>
      <w:r>
        <w:rPr>
          <w:spacing w:val="-3"/>
          <w:sz w:val="24"/>
        </w:rPr>
        <w:t> </w:t>
      </w:r>
      <w:r>
        <w:rPr>
          <w:sz w:val="24"/>
        </w:rPr>
        <w:t>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the results of joint planning (if any) undertaken with a </w:t>
      </w:r>
      <w:r>
        <w:rPr>
          <w:i/>
          <w:sz w:val="24"/>
        </w:rPr>
        <w:t>Transmission </w:t>
      </w:r>
      <w:r>
        <w:rPr>
          <w:i/>
          <w:sz w:val="24"/>
        </w:rPr>
        <w:t>Network Service Provider </w:t>
      </w:r>
      <w:r>
        <w:rPr>
          <w:sz w:val="24"/>
        </w:rPr>
        <w:t>under clause 5.14.3 in the preceding </w:t>
      </w:r>
      <w:r>
        <w:rPr>
          <w:spacing w:val="-3"/>
          <w:sz w:val="24"/>
        </w:rPr>
        <w:t>year, </w:t>
      </w:r>
      <w:r>
        <w:rPr>
          <w:sz w:val="24"/>
        </w:rPr>
        <w:t>including a summary of the process and methodology used by the </w:t>
      </w:r>
      <w:r>
        <w:rPr>
          <w:i/>
          <w:sz w:val="24"/>
        </w:rPr>
        <w:t>Transmission Network Service Providers </w:t>
      </w:r>
      <w:r>
        <w:rPr>
          <w:sz w:val="24"/>
        </w:rPr>
        <w:t>to undertake joint planning and the outcomes of that joint</w:t>
      </w:r>
      <w:r>
        <w:rPr>
          <w:spacing w:val="-2"/>
          <w:sz w:val="24"/>
        </w:rPr>
        <w:t> </w:t>
      </w:r>
      <w:r>
        <w:rPr>
          <w:sz w:val="24"/>
        </w:rPr>
        <w:t>planning.</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The emergency controls in </w:t>
      </w:r>
      <w:r>
        <w:rPr>
          <w:i/>
          <w:sz w:val="20"/>
        </w:rPr>
        <w:t>jurisdictional electricity legislation </w:t>
      </w:r>
      <w:r>
        <w:rPr>
          <w:sz w:val="20"/>
        </w:rPr>
        <w:t>referred to in subparagraph</w:t>
      </w:r>
    </w:p>
    <w:p>
      <w:pPr>
        <w:spacing w:before="0"/>
        <w:ind w:left="1919" w:right="414" w:firstLine="0"/>
        <w:jc w:val="both"/>
        <w:rPr>
          <w:sz w:val="20"/>
        </w:rPr>
      </w:pPr>
      <w:r>
        <w:rPr>
          <w:sz w:val="20"/>
        </w:rPr>
        <w:t>(9) will be emergency controls that correspond to clause S5.1.8 in the </w:t>
      </w:r>
      <w:r>
        <w:rPr>
          <w:i/>
          <w:sz w:val="20"/>
        </w:rPr>
        <w:t>Rules </w:t>
      </w:r>
      <w:r>
        <w:rPr>
          <w:sz w:val="20"/>
        </w:rPr>
        <w:t>applying in other </w:t>
      </w:r>
      <w:r>
        <w:rPr>
          <w:i/>
          <w:sz w:val="20"/>
        </w:rPr>
        <w:t>participating jurisdictions</w:t>
      </w:r>
      <w:r>
        <w:rPr>
          <w:sz w:val="20"/>
        </w:rPr>
        <w:t>. The facilities in </w:t>
      </w:r>
      <w:r>
        <w:rPr>
          <w:i/>
          <w:sz w:val="20"/>
        </w:rPr>
        <w:t>jurisdictional electricity legislation </w:t>
      </w:r>
      <w:r>
        <w:rPr>
          <w:sz w:val="20"/>
        </w:rPr>
        <w:t>referred to in subparagraph (10) will be facilities that correspond to clause S5.1.10 in the </w:t>
      </w:r>
      <w:r>
        <w:rPr>
          <w:i/>
          <w:sz w:val="20"/>
        </w:rPr>
        <w:t>Rules </w:t>
      </w:r>
      <w:r>
        <w:rPr>
          <w:sz w:val="20"/>
        </w:rPr>
        <w:t>applying in other </w:t>
      </w:r>
      <w:r>
        <w:rPr>
          <w:i/>
          <w:sz w:val="20"/>
        </w:rPr>
        <w:t>participating jurisdictions</w:t>
      </w:r>
      <w:r>
        <w:rPr>
          <w:sz w:val="20"/>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declared transmission system operator </w:t>
      </w:r>
      <w:r>
        <w:rPr>
          <w:sz w:val="24"/>
        </w:rPr>
        <w:t>for all or part of the </w:t>
      </w:r>
      <w:r>
        <w:rPr>
          <w:i/>
          <w:sz w:val="24"/>
        </w:rPr>
        <w:t>declared </w:t>
      </w:r>
      <w:r>
        <w:rPr>
          <w:i/>
          <w:sz w:val="24"/>
        </w:rPr>
        <w:t>shared network </w:t>
      </w:r>
      <w:r>
        <w:rPr>
          <w:sz w:val="24"/>
        </w:rPr>
        <w:t>must provide to </w:t>
      </w:r>
      <w:r>
        <w:rPr>
          <w:i/>
          <w:sz w:val="24"/>
        </w:rPr>
        <w:t>AEMO </w:t>
      </w:r>
      <w:r>
        <w:rPr>
          <w:sz w:val="24"/>
        </w:rPr>
        <w:t>within a reasonable period of receiving a request, such information as reasonably requested by </w:t>
      </w:r>
      <w:r>
        <w:rPr>
          <w:i/>
          <w:sz w:val="24"/>
        </w:rPr>
        <w:t>AEMO </w:t>
      </w:r>
      <w:r>
        <w:rPr>
          <w:sz w:val="24"/>
        </w:rPr>
        <w:t>to enable it to comply</w:t>
      </w:r>
      <w:r>
        <w:rPr>
          <w:spacing w:val="-2"/>
          <w:sz w:val="24"/>
        </w:rPr>
        <w:t> </w:t>
      </w:r>
      <w:r>
        <w:rPr>
          <w:sz w:val="24"/>
        </w:rPr>
        <w:t>with:</w:t>
      </w:r>
    </w:p>
    <w:p>
      <w:pPr>
        <w:pStyle w:val="BodyText"/>
        <w:tabs>
          <w:tab w:pos="2485" w:val="left" w:leader="none"/>
        </w:tabs>
        <w:ind w:left="1919" w:firstLine="0"/>
        <w:jc w:val="left"/>
      </w:pPr>
      <w:r>
        <w:rPr/>
        <w:t>(1)</w:t>
        <w:tab/>
        <w:t>clause 5.12.1(b)(5);</w:t>
      </w:r>
    </w:p>
    <w:p>
      <w:pPr>
        <w:pStyle w:val="BodyText"/>
        <w:tabs>
          <w:tab w:pos="2485" w:val="left" w:leader="none"/>
        </w:tabs>
        <w:ind w:left="1919" w:firstLine="0"/>
        <w:jc w:val="left"/>
      </w:pPr>
      <w:r>
        <w:rPr/>
        <w:t>(2)</w:t>
        <w:tab/>
        <w:t>clause 5.12.1(b)(6);</w:t>
      </w:r>
    </w:p>
    <w:p>
      <w:pPr>
        <w:pStyle w:val="BodyText"/>
        <w:tabs>
          <w:tab w:pos="2485" w:val="left" w:leader="none"/>
        </w:tabs>
        <w:ind w:left="1919" w:firstLine="0"/>
        <w:jc w:val="left"/>
      </w:pPr>
      <w:r>
        <w:rPr/>
        <w:t>(3)</w:t>
        <w:tab/>
        <w:t>clause 5.12.2(c)(1A);</w:t>
      </w:r>
    </w:p>
    <w:p>
      <w:pPr>
        <w:spacing w:after="0"/>
        <w:jc w:val="left"/>
        <w:sectPr>
          <w:pgSz w:w="11910" w:h="16840"/>
          <w:pgMar w:header="686" w:footer="637" w:top="1320" w:bottom="820" w:left="1200" w:right="1000"/>
        </w:sectPr>
      </w:pPr>
    </w:p>
    <w:p>
      <w:pPr>
        <w:pStyle w:val="BodyText"/>
        <w:tabs>
          <w:tab w:pos="2485" w:val="left" w:leader="none"/>
        </w:tabs>
        <w:spacing w:before="83"/>
        <w:ind w:left="2486" w:right="415"/>
        <w:jc w:val="left"/>
      </w:pPr>
      <w:r>
        <w:rPr/>
        <w:t>(4)</w:t>
        <w:tab/>
        <w:t>clauses 5.12.2(c)(4), (5) and (6) as they relate to the proposed replacement of </w:t>
      </w:r>
      <w:r>
        <w:rPr>
          <w:i/>
        </w:rPr>
        <w:t>network </w:t>
      </w:r>
      <w:r>
        <w:rPr/>
        <w:t>assets;</w:t>
      </w:r>
      <w:r>
        <w:rPr>
          <w:spacing w:val="-2"/>
        </w:rPr>
        <w:t> </w:t>
      </w:r>
      <w:r>
        <w:rPr/>
        <w:t>and</w:t>
      </w:r>
    </w:p>
    <w:p>
      <w:pPr>
        <w:pStyle w:val="BodyText"/>
        <w:tabs>
          <w:tab w:pos="2485" w:val="left" w:leader="none"/>
        </w:tabs>
        <w:ind w:left="1919" w:firstLine="0"/>
        <w:jc w:val="left"/>
      </w:pPr>
      <w:r>
        <w:rPr/>
        <w:t>(5)</w:t>
        <w:tab/>
        <w:t>clause 5.12.2(c)(7).</w:t>
      </w:r>
    </w:p>
    <w:p>
      <w:pPr>
        <w:pStyle w:val="BodyText"/>
        <w:spacing w:before="10"/>
        <w:ind w:firstLine="0"/>
        <w:jc w:val="left"/>
        <w:rPr>
          <w:sz w:val="20"/>
        </w:rPr>
      </w:pPr>
    </w:p>
    <w:p>
      <w:pPr>
        <w:pStyle w:val="Heading3"/>
        <w:numPr>
          <w:ilvl w:val="1"/>
          <w:numId w:val="197"/>
        </w:numPr>
        <w:tabs>
          <w:tab w:pos="1351" w:val="left" w:leader="none"/>
          <w:tab w:pos="1353" w:val="left" w:leader="none"/>
        </w:tabs>
        <w:spacing w:line="240" w:lineRule="auto" w:before="0" w:after="0"/>
        <w:ind w:left="1352" w:right="0" w:hanging="1135"/>
        <w:jc w:val="left"/>
      </w:pPr>
      <w:bookmarkStart w:name="5.13 Distribution annual planning proces" w:id="682"/>
      <w:bookmarkEnd w:id="682"/>
      <w:r>
        <w:rPr>
          <w:b w:val="0"/>
        </w:rPr>
      </w:r>
      <w:bookmarkStart w:name="_bookmark267" w:id="683"/>
      <w:bookmarkEnd w:id="683"/>
      <w:r>
        <w:rPr>
          <w:b w:val="0"/>
        </w:rPr>
      </w:r>
      <w:bookmarkStart w:name="_bookmark267" w:id="684"/>
      <w:bookmarkEnd w:id="684"/>
      <w:r>
        <w:rPr/>
        <w:t>Distribu</w:t>
      </w:r>
      <w:r>
        <w:rPr/>
        <w:t>tion annual planning</w:t>
      </w:r>
      <w:r>
        <w:rPr>
          <w:spacing w:val="-2"/>
        </w:rPr>
        <w:t> </w:t>
      </w:r>
      <w:r>
        <w:rPr/>
        <w:t>process</w:t>
      </w:r>
    </w:p>
    <w:p>
      <w:pPr>
        <w:pStyle w:val="Heading4"/>
        <w:numPr>
          <w:ilvl w:val="2"/>
          <w:numId w:val="197"/>
        </w:numPr>
        <w:tabs>
          <w:tab w:pos="1351" w:val="left" w:leader="none"/>
          <w:tab w:pos="1352" w:val="left" w:leader="none"/>
        </w:tabs>
        <w:spacing w:line="240" w:lineRule="auto" w:before="240" w:after="0"/>
        <w:ind w:left="1351" w:right="0" w:hanging="1134"/>
        <w:jc w:val="left"/>
      </w:pPr>
      <w:bookmarkStart w:name="5.13.1 Distribution annual planning revi" w:id="685"/>
      <w:bookmarkEnd w:id="685"/>
      <w:r>
        <w:rPr>
          <w:b w:val="0"/>
        </w:rPr>
      </w:r>
      <w:bookmarkStart w:name="_bookmark268" w:id="686"/>
      <w:bookmarkEnd w:id="686"/>
      <w:r>
        <w:rPr>
          <w:b w:val="0"/>
        </w:rPr>
      </w:r>
      <w:bookmarkStart w:name="_bookmark268" w:id="687"/>
      <w:bookmarkEnd w:id="687"/>
      <w:r>
        <w:rPr/>
        <w:t>Distributio</w:t>
      </w:r>
      <w:r>
        <w:rPr/>
        <w:t>n annual planning</w:t>
      </w:r>
      <w:r>
        <w:rPr>
          <w:spacing w:val="-5"/>
        </w:rPr>
        <w:t> </w:t>
      </w:r>
      <w:r>
        <w:rPr/>
        <w:t>review</w:t>
      </w:r>
    </w:p>
    <w:p>
      <w:pPr>
        <w:spacing w:before="120"/>
        <w:ind w:left="1352" w:right="0" w:firstLine="0"/>
        <w:jc w:val="left"/>
        <w:rPr>
          <w:b/>
          <w:sz w:val="24"/>
        </w:rPr>
      </w:pPr>
      <w:r>
        <w:rPr>
          <w:b/>
          <w:sz w:val="24"/>
        </w:rPr>
        <w:t>Scope</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A </w:t>
      </w:r>
      <w:r>
        <w:rPr>
          <w:i/>
          <w:sz w:val="24"/>
        </w:rPr>
        <w:t>Distribution Network Service Provider</w:t>
      </w:r>
      <w:r>
        <w:rPr>
          <w:i/>
          <w:spacing w:val="-2"/>
          <w:sz w:val="24"/>
        </w:rPr>
        <w:t> </w:t>
      </w:r>
      <w:r>
        <w:rPr>
          <w:sz w:val="24"/>
        </w:rPr>
        <w:t>must:</w:t>
      </w:r>
    </w:p>
    <w:p>
      <w:pPr>
        <w:pStyle w:val="ListParagraph"/>
        <w:numPr>
          <w:ilvl w:val="4"/>
          <w:numId w:val="197"/>
        </w:numPr>
        <w:tabs>
          <w:tab w:pos="2485" w:val="left" w:leader="none"/>
          <w:tab w:pos="2486" w:val="left" w:leader="none"/>
        </w:tabs>
        <w:spacing w:line="240" w:lineRule="auto" w:before="120" w:after="0"/>
        <w:ind w:left="2486" w:right="415" w:hanging="567"/>
        <w:jc w:val="left"/>
        <w:rPr>
          <w:sz w:val="24"/>
        </w:rPr>
      </w:pPr>
      <w:r>
        <w:rPr>
          <w:sz w:val="24"/>
        </w:rPr>
        <w:t>subject to paragraph (b), determine an appropriate forward planning period for its distribution assets;</w:t>
      </w:r>
      <w:r>
        <w:rPr>
          <w:spacing w:val="-2"/>
          <w:sz w:val="24"/>
        </w:rPr>
        <w:t> </w:t>
      </w:r>
      <w:r>
        <w:rPr>
          <w:sz w:val="24"/>
        </w:rPr>
        <w:t>and</w:t>
      </w:r>
    </w:p>
    <w:p>
      <w:pPr>
        <w:pStyle w:val="ListParagraph"/>
        <w:numPr>
          <w:ilvl w:val="4"/>
          <w:numId w:val="197"/>
        </w:numPr>
        <w:tabs>
          <w:tab w:pos="2485" w:val="left" w:leader="none"/>
          <w:tab w:pos="2486" w:val="left" w:leader="none"/>
        </w:tabs>
        <w:spacing w:line="240" w:lineRule="auto" w:before="120" w:after="0"/>
        <w:ind w:left="2486" w:right="415" w:hanging="567"/>
        <w:jc w:val="left"/>
        <w:rPr>
          <w:sz w:val="24"/>
        </w:rPr>
      </w:pPr>
      <w:r>
        <w:rPr>
          <w:sz w:val="24"/>
        </w:rPr>
        <w:t>analyse the expected future operation of its </w:t>
      </w:r>
      <w:r>
        <w:rPr>
          <w:i/>
          <w:sz w:val="24"/>
        </w:rPr>
        <w:t>network </w:t>
      </w:r>
      <w:r>
        <w:rPr>
          <w:sz w:val="24"/>
        </w:rPr>
        <w:t>over the forward planning period in accordance with this clause</w:t>
      </w:r>
      <w:r>
        <w:rPr>
          <w:spacing w:val="-3"/>
          <w:sz w:val="24"/>
        </w:rPr>
        <w:t> </w:t>
      </w:r>
      <w:r>
        <w:rPr>
          <w:sz w:val="24"/>
        </w:rPr>
        <w:t>5.13.1.</w:t>
      </w:r>
    </w:p>
    <w:p>
      <w:pPr>
        <w:pStyle w:val="ListParagraph"/>
        <w:numPr>
          <w:ilvl w:val="3"/>
          <w:numId w:val="197"/>
        </w:numPr>
        <w:tabs>
          <w:tab w:pos="1918" w:val="left" w:leader="none"/>
          <w:tab w:pos="1919" w:val="left" w:leader="none"/>
        </w:tabs>
        <w:spacing w:line="240" w:lineRule="auto" w:before="120" w:after="0"/>
        <w:ind w:left="1918" w:right="0" w:hanging="567"/>
        <w:jc w:val="left"/>
        <w:rPr>
          <w:i/>
          <w:sz w:val="24"/>
        </w:rPr>
      </w:pPr>
      <w:r>
        <w:rPr>
          <w:sz w:val="24"/>
        </w:rPr>
        <w:t>The</w:t>
      </w:r>
      <w:r>
        <w:rPr>
          <w:spacing w:val="20"/>
          <w:sz w:val="24"/>
        </w:rPr>
        <w:t> </w:t>
      </w:r>
      <w:r>
        <w:rPr>
          <w:sz w:val="24"/>
        </w:rPr>
        <w:t>minimum</w:t>
      </w:r>
      <w:r>
        <w:rPr>
          <w:spacing w:val="21"/>
          <w:sz w:val="24"/>
        </w:rPr>
        <w:t> </w:t>
      </w:r>
      <w:r>
        <w:rPr>
          <w:sz w:val="24"/>
        </w:rPr>
        <w:t>forward</w:t>
      </w:r>
      <w:r>
        <w:rPr>
          <w:spacing w:val="21"/>
          <w:sz w:val="24"/>
        </w:rPr>
        <w:t> </w:t>
      </w:r>
      <w:r>
        <w:rPr>
          <w:sz w:val="24"/>
        </w:rPr>
        <w:t>planning</w:t>
      </w:r>
      <w:r>
        <w:rPr>
          <w:spacing w:val="21"/>
          <w:sz w:val="24"/>
        </w:rPr>
        <w:t> </w:t>
      </w:r>
      <w:r>
        <w:rPr>
          <w:sz w:val="24"/>
        </w:rPr>
        <w:t>period</w:t>
      </w:r>
      <w:r>
        <w:rPr>
          <w:spacing w:val="20"/>
          <w:sz w:val="24"/>
        </w:rPr>
        <w:t> </w:t>
      </w:r>
      <w:r>
        <w:rPr>
          <w:sz w:val="24"/>
        </w:rPr>
        <w:t>for</w:t>
      </w:r>
      <w:r>
        <w:rPr>
          <w:spacing w:val="19"/>
          <w:sz w:val="24"/>
        </w:rPr>
        <w:t> </w:t>
      </w:r>
      <w:r>
        <w:rPr>
          <w:sz w:val="24"/>
        </w:rPr>
        <w:t>the</w:t>
      </w:r>
      <w:r>
        <w:rPr>
          <w:spacing w:val="21"/>
          <w:sz w:val="24"/>
        </w:rPr>
        <w:t> </w:t>
      </w:r>
      <w:r>
        <w:rPr>
          <w:sz w:val="24"/>
        </w:rPr>
        <w:t>purposes</w:t>
      </w:r>
      <w:r>
        <w:rPr>
          <w:spacing w:val="21"/>
          <w:sz w:val="24"/>
        </w:rPr>
        <w:t> </w:t>
      </w:r>
      <w:r>
        <w:rPr>
          <w:sz w:val="24"/>
        </w:rPr>
        <w:t>of</w:t>
      </w:r>
      <w:r>
        <w:rPr>
          <w:spacing w:val="21"/>
          <w:sz w:val="24"/>
        </w:rPr>
        <w:t> </w:t>
      </w:r>
      <w:r>
        <w:rPr>
          <w:sz w:val="24"/>
        </w:rPr>
        <w:t>the</w:t>
      </w:r>
      <w:r>
        <w:rPr>
          <w:spacing w:val="21"/>
          <w:sz w:val="24"/>
        </w:rPr>
        <w:t> </w:t>
      </w:r>
      <w:r>
        <w:rPr>
          <w:i/>
          <w:sz w:val="24"/>
        </w:rPr>
        <w:t>distribution</w:t>
      </w:r>
    </w:p>
    <w:p>
      <w:pPr>
        <w:pStyle w:val="BodyText"/>
        <w:spacing w:before="0"/>
        <w:ind w:left="1919" w:firstLine="0"/>
        <w:jc w:val="left"/>
      </w:pPr>
      <w:r>
        <w:rPr/>
        <w:t>annual planning review is 5 years.</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w:t>
      </w:r>
      <w:r>
        <w:rPr>
          <w:i/>
          <w:sz w:val="24"/>
        </w:rPr>
        <w:t>distribution </w:t>
      </w:r>
      <w:r>
        <w:rPr>
          <w:sz w:val="24"/>
        </w:rPr>
        <w:t>annual planning review must include all assets that </w:t>
      </w:r>
      <w:r>
        <w:rPr>
          <w:spacing w:val="-4"/>
          <w:sz w:val="24"/>
        </w:rPr>
        <w:t>would </w:t>
      </w:r>
      <w:r>
        <w:rPr>
          <w:sz w:val="24"/>
        </w:rPr>
        <w:t>be expected to have a material impact on the </w:t>
      </w:r>
      <w:r>
        <w:rPr>
          <w:i/>
          <w:sz w:val="24"/>
        </w:rPr>
        <w:t>Distribution Network Service </w:t>
      </w:r>
      <w:r>
        <w:rPr>
          <w:i/>
          <w:sz w:val="24"/>
        </w:rPr>
        <w:t>Provider's network </w:t>
      </w:r>
      <w:r>
        <w:rPr>
          <w:sz w:val="24"/>
        </w:rPr>
        <w:t>over the forward planning</w:t>
      </w:r>
      <w:r>
        <w:rPr>
          <w:spacing w:val="-2"/>
          <w:sz w:val="24"/>
        </w:rPr>
        <w:t> </w:t>
      </w:r>
      <w:r>
        <w:rPr>
          <w:sz w:val="24"/>
        </w:rPr>
        <w:t>period.</w:t>
      </w:r>
    </w:p>
    <w:p>
      <w:pPr>
        <w:pStyle w:val="Heading4"/>
        <w:spacing w:before="120"/>
        <w:ind w:left="1352" w:firstLine="0"/>
        <w:rPr>
          <w:rFonts w:ascii="Times New Roman"/>
        </w:rPr>
      </w:pPr>
      <w:r>
        <w:rPr>
          <w:rFonts w:ascii="Times New Roman"/>
        </w:rPr>
        <w:t>Requirements</w:t>
      </w:r>
    </w:p>
    <w:p>
      <w:pPr>
        <w:pStyle w:val="ListParagraph"/>
        <w:numPr>
          <w:ilvl w:val="3"/>
          <w:numId w:val="197"/>
        </w:numPr>
        <w:tabs>
          <w:tab w:pos="1918" w:val="left" w:leader="none"/>
          <w:tab w:pos="1919" w:val="left" w:leader="none"/>
        </w:tabs>
        <w:spacing w:line="240" w:lineRule="auto" w:before="120" w:after="0"/>
        <w:ind w:left="1918" w:right="0" w:hanging="567"/>
        <w:jc w:val="left"/>
        <w:rPr>
          <w:sz w:val="24"/>
        </w:rPr>
      </w:pPr>
      <w:r>
        <w:rPr>
          <w:sz w:val="24"/>
        </w:rPr>
        <w:t>Each </w:t>
      </w:r>
      <w:r>
        <w:rPr>
          <w:i/>
          <w:sz w:val="24"/>
        </w:rPr>
        <w:t>Distribution Network Service Provider </w:t>
      </w:r>
      <w:r>
        <w:rPr>
          <w:sz w:val="24"/>
        </w:rPr>
        <w:t>must, in respect of its</w:t>
      </w:r>
      <w:r>
        <w:rPr>
          <w:spacing w:val="-9"/>
          <w:sz w:val="24"/>
        </w:rPr>
        <w:t> </w:t>
      </w:r>
      <w:r>
        <w:rPr>
          <w:i/>
          <w:sz w:val="24"/>
        </w:rPr>
        <w:t>network</w:t>
      </w:r>
      <w:r>
        <w:rPr>
          <w:sz w:val="24"/>
        </w:rPr>
        <w:t>:</w:t>
      </w:r>
    </w:p>
    <w:p>
      <w:pPr>
        <w:pStyle w:val="ListParagraph"/>
        <w:numPr>
          <w:ilvl w:val="4"/>
          <w:numId w:val="197"/>
        </w:numPr>
        <w:tabs>
          <w:tab w:pos="2485" w:val="left" w:leader="none"/>
          <w:tab w:pos="2486" w:val="left" w:leader="none"/>
        </w:tabs>
        <w:spacing w:line="240" w:lineRule="auto" w:before="120" w:after="0"/>
        <w:ind w:left="2486" w:right="416" w:hanging="567"/>
        <w:jc w:val="left"/>
        <w:rPr>
          <w:sz w:val="24"/>
        </w:rPr>
      </w:pPr>
      <w:r>
        <w:rPr>
          <w:sz w:val="24"/>
        </w:rPr>
        <w:t>prepare forecasts covering the forward planning period of </w:t>
      </w:r>
      <w:r>
        <w:rPr>
          <w:i/>
          <w:sz w:val="24"/>
        </w:rPr>
        <w:t>maximum </w:t>
      </w:r>
      <w:r>
        <w:rPr>
          <w:i/>
          <w:sz w:val="24"/>
        </w:rPr>
        <w:t>demands </w:t>
      </w:r>
      <w:r>
        <w:rPr>
          <w:sz w:val="24"/>
        </w:rPr>
        <w:t>for:</w:t>
      </w:r>
    </w:p>
    <w:p>
      <w:pPr>
        <w:pStyle w:val="ListParagraph"/>
        <w:numPr>
          <w:ilvl w:val="0"/>
          <w:numId w:val="219"/>
        </w:numPr>
        <w:tabs>
          <w:tab w:pos="3052" w:val="left" w:leader="none"/>
          <w:tab w:pos="3053" w:val="left" w:leader="none"/>
        </w:tabs>
        <w:spacing w:line="240" w:lineRule="auto" w:before="120" w:after="0"/>
        <w:ind w:left="3052" w:right="0" w:hanging="567"/>
        <w:jc w:val="left"/>
        <w:rPr>
          <w:sz w:val="24"/>
        </w:rPr>
      </w:pPr>
      <w:r>
        <w:rPr>
          <w:sz w:val="24"/>
        </w:rPr>
        <w:t>sub-transmission</w:t>
      </w:r>
      <w:r>
        <w:rPr>
          <w:spacing w:val="-1"/>
          <w:sz w:val="24"/>
        </w:rPr>
        <w:t> </w:t>
      </w:r>
      <w:r>
        <w:rPr>
          <w:sz w:val="24"/>
        </w:rPr>
        <w:t>lines;</w:t>
      </w:r>
    </w:p>
    <w:p>
      <w:pPr>
        <w:pStyle w:val="ListParagraph"/>
        <w:numPr>
          <w:ilvl w:val="0"/>
          <w:numId w:val="219"/>
        </w:numPr>
        <w:tabs>
          <w:tab w:pos="3052" w:val="left" w:leader="none"/>
          <w:tab w:pos="3054" w:val="left" w:leader="none"/>
        </w:tabs>
        <w:spacing w:line="240" w:lineRule="auto" w:before="120" w:after="0"/>
        <w:ind w:left="3053" w:right="0" w:hanging="568"/>
        <w:jc w:val="left"/>
        <w:rPr>
          <w:sz w:val="24"/>
        </w:rPr>
      </w:pPr>
      <w:r>
        <w:rPr>
          <w:sz w:val="24"/>
        </w:rPr>
        <w:t>zone substations;</w:t>
      </w:r>
      <w:r>
        <w:rPr>
          <w:spacing w:val="-2"/>
          <w:sz w:val="24"/>
        </w:rPr>
        <w:t> </w:t>
      </w:r>
      <w:r>
        <w:rPr>
          <w:sz w:val="24"/>
        </w:rPr>
        <w:t>and</w:t>
      </w:r>
    </w:p>
    <w:p>
      <w:pPr>
        <w:pStyle w:val="ListParagraph"/>
        <w:numPr>
          <w:ilvl w:val="0"/>
          <w:numId w:val="219"/>
        </w:numPr>
        <w:tabs>
          <w:tab w:pos="3052" w:val="left" w:leader="none"/>
          <w:tab w:pos="3053" w:val="left" w:leader="none"/>
        </w:tabs>
        <w:spacing w:line="343" w:lineRule="auto" w:before="120" w:after="0"/>
        <w:ind w:left="2486" w:right="1494" w:firstLine="0"/>
        <w:jc w:val="left"/>
        <w:rPr>
          <w:sz w:val="24"/>
        </w:rPr>
      </w:pPr>
      <w:r>
        <w:rPr>
          <w:sz w:val="24"/>
        </w:rPr>
        <w:t>to the extent practicable, primary distribution </w:t>
      </w:r>
      <w:r>
        <w:rPr>
          <w:spacing w:val="-3"/>
          <w:sz w:val="24"/>
        </w:rPr>
        <w:t>feeders, </w:t>
      </w:r>
      <w:r>
        <w:rPr>
          <w:sz w:val="24"/>
        </w:rPr>
        <w:t>having regard</w:t>
      </w:r>
      <w:r>
        <w:rPr>
          <w:spacing w:val="-1"/>
          <w:sz w:val="24"/>
        </w:rPr>
        <w:t> </w:t>
      </w:r>
      <w:r>
        <w:rPr>
          <w:sz w:val="24"/>
        </w:rPr>
        <w:t>to:</w:t>
      </w:r>
    </w:p>
    <w:p>
      <w:pPr>
        <w:pStyle w:val="ListParagraph"/>
        <w:numPr>
          <w:ilvl w:val="0"/>
          <w:numId w:val="219"/>
        </w:numPr>
        <w:tabs>
          <w:tab w:pos="3052" w:val="left" w:leader="none"/>
          <w:tab w:pos="3054" w:val="left" w:leader="none"/>
        </w:tabs>
        <w:spacing w:line="240" w:lineRule="auto" w:before="3" w:after="0"/>
        <w:ind w:left="3053" w:right="0" w:hanging="568"/>
        <w:jc w:val="left"/>
        <w:rPr>
          <w:sz w:val="24"/>
        </w:rPr>
      </w:pPr>
      <w:r>
        <w:rPr>
          <w:sz w:val="24"/>
        </w:rPr>
        <w:t>the number of customer</w:t>
      </w:r>
      <w:r>
        <w:rPr>
          <w:spacing w:val="-1"/>
          <w:sz w:val="24"/>
        </w:rPr>
        <w:t> </w:t>
      </w:r>
      <w:r>
        <w:rPr>
          <w:i/>
          <w:sz w:val="24"/>
        </w:rPr>
        <w:t>connections</w:t>
      </w:r>
      <w:r>
        <w:rPr>
          <w:sz w:val="24"/>
        </w:rPr>
        <w:t>;</w:t>
      </w:r>
    </w:p>
    <w:p>
      <w:pPr>
        <w:pStyle w:val="ListParagraph"/>
        <w:numPr>
          <w:ilvl w:val="0"/>
          <w:numId w:val="219"/>
        </w:numPr>
        <w:tabs>
          <w:tab w:pos="3052" w:val="left" w:leader="none"/>
          <w:tab w:pos="3053" w:val="left" w:leader="none"/>
        </w:tabs>
        <w:spacing w:line="240" w:lineRule="auto" w:before="120" w:after="0"/>
        <w:ind w:left="3052" w:right="0" w:hanging="567"/>
        <w:jc w:val="left"/>
        <w:rPr>
          <w:sz w:val="24"/>
        </w:rPr>
      </w:pPr>
      <w:r>
        <w:rPr>
          <w:i/>
          <w:sz w:val="24"/>
        </w:rPr>
        <w:t>energy </w:t>
      </w:r>
      <w:r>
        <w:rPr>
          <w:sz w:val="24"/>
        </w:rPr>
        <w:t>consumption;</w:t>
      </w:r>
      <w:r>
        <w:rPr>
          <w:spacing w:val="-1"/>
          <w:sz w:val="24"/>
        </w:rPr>
        <w:t> </w:t>
      </w:r>
      <w:r>
        <w:rPr>
          <w:sz w:val="24"/>
        </w:rPr>
        <w:t>and</w:t>
      </w:r>
    </w:p>
    <w:p>
      <w:pPr>
        <w:pStyle w:val="ListParagraph"/>
        <w:numPr>
          <w:ilvl w:val="0"/>
          <w:numId w:val="219"/>
        </w:numPr>
        <w:tabs>
          <w:tab w:pos="3052" w:val="left" w:leader="none"/>
          <w:tab w:pos="3053" w:val="left" w:leader="none"/>
        </w:tabs>
        <w:spacing w:line="240" w:lineRule="auto" w:before="120" w:after="0"/>
        <w:ind w:left="3052" w:right="0" w:hanging="567"/>
        <w:jc w:val="left"/>
        <w:rPr>
          <w:sz w:val="24"/>
        </w:rPr>
      </w:pPr>
      <w:r>
        <w:rPr>
          <w:sz w:val="24"/>
        </w:rPr>
        <w:t>estimated total output of known </w:t>
      </w:r>
      <w:r>
        <w:rPr>
          <w:i/>
          <w:sz w:val="24"/>
        </w:rPr>
        <w:t>embedded generating</w:t>
      </w:r>
      <w:r>
        <w:rPr>
          <w:i/>
          <w:spacing w:val="-1"/>
          <w:sz w:val="24"/>
        </w:rPr>
        <w:t> </w:t>
      </w:r>
      <w:r>
        <w:rPr>
          <w:i/>
          <w:sz w:val="24"/>
        </w:rPr>
        <w:t>units</w:t>
      </w:r>
      <w:r>
        <w:rPr>
          <w:sz w:val="24"/>
        </w:rPr>
        <w:t>;</w:t>
      </w:r>
    </w:p>
    <w:p>
      <w:pPr>
        <w:pStyle w:val="ListParagraph"/>
        <w:numPr>
          <w:ilvl w:val="4"/>
          <w:numId w:val="197"/>
        </w:numPr>
        <w:tabs>
          <w:tab w:pos="2486" w:val="left" w:leader="none"/>
        </w:tabs>
        <w:spacing w:line="240" w:lineRule="auto" w:before="120" w:after="0"/>
        <w:ind w:left="2486" w:right="414" w:hanging="567"/>
        <w:jc w:val="both"/>
        <w:rPr>
          <w:sz w:val="24"/>
        </w:rPr>
      </w:pPr>
      <w:r>
        <w:rPr>
          <w:sz w:val="24"/>
        </w:rPr>
        <w:t>identify, based on the outcomes of the forecasts in subparagraph (1), limitations on its </w:t>
      </w:r>
      <w:r>
        <w:rPr>
          <w:i/>
          <w:sz w:val="24"/>
        </w:rPr>
        <w:t>network</w:t>
      </w:r>
      <w:r>
        <w:rPr>
          <w:sz w:val="24"/>
        </w:rPr>
        <w:t>, including limitations caused by one or more of the following</w:t>
      </w:r>
      <w:r>
        <w:rPr>
          <w:spacing w:val="-1"/>
          <w:sz w:val="24"/>
        </w:rPr>
        <w:t> </w:t>
      </w:r>
      <w:r>
        <w:rPr>
          <w:sz w:val="24"/>
        </w:rPr>
        <w:t>factors:</w:t>
      </w:r>
    </w:p>
    <w:p>
      <w:pPr>
        <w:pStyle w:val="ListParagraph"/>
        <w:numPr>
          <w:ilvl w:val="0"/>
          <w:numId w:val="220"/>
        </w:numPr>
        <w:tabs>
          <w:tab w:pos="3052" w:val="left" w:leader="none"/>
          <w:tab w:pos="3053" w:val="left" w:leader="none"/>
        </w:tabs>
        <w:spacing w:line="240" w:lineRule="auto" w:before="120" w:after="0"/>
        <w:ind w:left="3052" w:right="0" w:hanging="567"/>
        <w:jc w:val="left"/>
        <w:rPr>
          <w:sz w:val="24"/>
        </w:rPr>
      </w:pPr>
      <w:r>
        <w:rPr>
          <w:sz w:val="24"/>
        </w:rPr>
        <w:t>forecast </w:t>
      </w:r>
      <w:r>
        <w:rPr>
          <w:i/>
          <w:sz w:val="24"/>
        </w:rPr>
        <w:t>load </w:t>
      </w:r>
      <w:r>
        <w:rPr>
          <w:sz w:val="24"/>
        </w:rPr>
        <w:t>exceeding total</w:t>
      </w:r>
      <w:r>
        <w:rPr>
          <w:spacing w:val="-1"/>
          <w:sz w:val="24"/>
        </w:rPr>
        <w:t> </w:t>
      </w:r>
      <w:r>
        <w:rPr>
          <w:sz w:val="24"/>
        </w:rPr>
        <w:t>capacity;</w:t>
      </w:r>
    </w:p>
    <w:p>
      <w:pPr>
        <w:pStyle w:val="ListParagraph"/>
        <w:numPr>
          <w:ilvl w:val="0"/>
          <w:numId w:val="220"/>
        </w:numPr>
        <w:tabs>
          <w:tab w:pos="3052" w:val="left" w:leader="none"/>
          <w:tab w:pos="3054" w:val="left" w:leader="none"/>
        </w:tabs>
        <w:spacing w:line="240" w:lineRule="auto" w:before="120" w:after="0"/>
        <w:ind w:left="3053" w:right="0" w:hanging="568"/>
        <w:jc w:val="left"/>
        <w:rPr>
          <w:sz w:val="24"/>
        </w:rPr>
      </w:pPr>
      <w:r>
        <w:rPr>
          <w:sz w:val="24"/>
        </w:rPr>
        <w:t>the requirement for asset refurbishment or</w:t>
      </w:r>
      <w:r>
        <w:rPr>
          <w:spacing w:val="-2"/>
          <w:sz w:val="24"/>
        </w:rPr>
        <w:t> </w:t>
      </w:r>
      <w:r>
        <w:rPr>
          <w:sz w:val="24"/>
        </w:rPr>
        <w:t>replacement;</w:t>
      </w:r>
    </w:p>
    <w:p>
      <w:pPr>
        <w:pStyle w:val="ListParagraph"/>
        <w:numPr>
          <w:ilvl w:val="0"/>
          <w:numId w:val="220"/>
        </w:numPr>
        <w:tabs>
          <w:tab w:pos="3052" w:val="left" w:leader="none"/>
          <w:tab w:pos="3053" w:val="left" w:leader="none"/>
          <w:tab w:pos="3562" w:val="left" w:leader="none"/>
          <w:tab w:pos="4937" w:val="left" w:leader="none"/>
          <w:tab w:pos="6093" w:val="left" w:leader="none"/>
          <w:tab w:pos="6949" w:val="left" w:leader="none"/>
          <w:tab w:pos="7925" w:val="left" w:leader="none"/>
          <w:tab w:pos="8341" w:val="left" w:leader="none"/>
        </w:tabs>
        <w:spacing w:line="240" w:lineRule="auto" w:before="120" w:after="0"/>
        <w:ind w:left="3052" w:right="0" w:hanging="567"/>
        <w:jc w:val="left"/>
        <w:rPr>
          <w:i/>
          <w:sz w:val="24"/>
        </w:rPr>
      </w:pPr>
      <w:r>
        <w:rPr>
          <w:sz w:val="24"/>
        </w:rPr>
        <w:t>the</w:t>
        <w:tab/>
        <w:t>requirement</w:t>
        <w:tab/>
        <w:t>for </w:t>
      </w:r>
      <w:r>
        <w:rPr>
          <w:i/>
          <w:sz w:val="24"/>
        </w:rPr>
        <w:t>power</w:t>
        <w:tab/>
        <w:t>system</w:t>
        <w:tab/>
        <w:t>security</w:t>
        <w:tab/>
      </w:r>
      <w:r>
        <w:rPr>
          <w:sz w:val="24"/>
        </w:rPr>
        <w:t>or</w:t>
        <w:tab/>
      </w:r>
      <w:r>
        <w:rPr>
          <w:i/>
          <w:sz w:val="24"/>
        </w:rPr>
        <w:t>reliability</w:t>
      </w:r>
    </w:p>
    <w:p>
      <w:pPr>
        <w:pStyle w:val="BodyText"/>
        <w:spacing w:before="0"/>
        <w:ind w:left="3053" w:firstLine="0"/>
        <w:jc w:val="left"/>
      </w:pPr>
      <w:r>
        <w:rPr/>
        <w:t>improvement;</w:t>
      </w:r>
    </w:p>
    <w:p>
      <w:pPr>
        <w:pStyle w:val="ListParagraph"/>
        <w:numPr>
          <w:ilvl w:val="0"/>
          <w:numId w:val="220"/>
        </w:numPr>
        <w:tabs>
          <w:tab w:pos="3052" w:val="left" w:leader="none"/>
          <w:tab w:pos="3054" w:val="left" w:leader="none"/>
        </w:tabs>
        <w:spacing w:line="240" w:lineRule="auto" w:before="120" w:after="0"/>
        <w:ind w:left="3053" w:right="0" w:hanging="568"/>
        <w:jc w:val="left"/>
        <w:rPr>
          <w:sz w:val="24"/>
        </w:rPr>
      </w:pPr>
      <w:r>
        <w:rPr>
          <w:sz w:val="24"/>
        </w:rPr>
        <w:t>design fault levels being</w:t>
      </w:r>
      <w:r>
        <w:rPr>
          <w:spacing w:val="-1"/>
          <w:sz w:val="24"/>
        </w:rPr>
        <w:t> </w:t>
      </w:r>
      <w:r>
        <w:rPr>
          <w:sz w:val="24"/>
        </w:rPr>
        <w:t>exceeded;</w:t>
      </w:r>
    </w:p>
    <w:p>
      <w:pPr>
        <w:pStyle w:val="ListParagraph"/>
        <w:numPr>
          <w:ilvl w:val="0"/>
          <w:numId w:val="220"/>
        </w:numPr>
        <w:tabs>
          <w:tab w:pos="3052" w:val="left" w:leader="none"/>
          <w:tab w:pos="3053" w:val="left" w:leader="none"/>
        </w:tabs>
        <w:spacing w:line="240" w:lineRule="auto" w:before="120" w:after="0"/>
        <w:ind w:left="3053" w:right="416" w:hanging="567"/>
        <w:jc w:val="left"/>
        <w:rPr>
          <w:sz w:val="24"/>
        </w:rPr>
      </w:pPr>
      <w:r>
        <w:rPr>
          <w:sz w:val="24"/>
        </w:rPr>
        <w:t>the requirement for </w:t>
      </w:r>
      <w:r>
        <w:rPr>
          <w:i/>
          <w:sz w:val="24"/>
        </w:rPr>
        <w:t>voltage </w:t>
      </w:r>
      <w:r>
        <w:rPr>
          <w:sz w:val="24"/>
        </w:rPr>
        <w:t>regulation and other aspects </w:t>
      </w:r>
      <w:r>
        <w:rPr>
          <w:spacing w:val="-6"/>
          <w:sz w:val="24"/>
        </w:rPr>
        <w:t>of </w:t>
      </w:r>
      <w:r>
        <w:rPr>
          <w:sz w:val="24"/>
        </w:rPr>
        <w:t>quality of supply to other </w:t>
      </w:r>
      <w:r>
        <w:rPr>
          <w:i/>
          <w:sz w:val="24"/>
        </w:rPr>
        <w:t>Network Users</w:t>
      </w:r>
      <w:r>
        <w:rPr>
          <w:sz w:val="24"/>
        </w:rPr>
        <w:t>;</w:t>
      </w:r>
      <w:r>
        <w:rPr>
          <w:spacing w:val="-4"/>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0"/>
          <w:numId w:val="220"/>
        </w:numPr>
        <w:tabs>
          <w:tab w:pos="3053" w:val="left" w:leader="none"/>
        </w:tabs>
        <w:spacing w:line="240" w:lineRule="auto" w:before="83" w:after="0"/>
        <w:ind w:left="3053" w:right="416" w:hanging="567"/>
        <w:jc w:val="both"/>
        <w:rPr>
          <w:sz w:val="24"/>
        </w:rPr>
      </w:pPr>
      <w:r>
        <w:rPr>
          <w:sz w:val="24"/>
        </w:rPr>
        <w:t>the requirement to meet any </w:t>
      </w:r>
      <w:r>
        <w:rPr>
          <w:i/>
          <w:sz w:val="24"/>
        </w:rPr>
        <w:t>regulatory obligation or </w:t>
      </w:r>
      <w:r>
        <w:rPr>
          <w:i/>
          <w:sz w:val="24"/>
        </w:rPr>
        <w:t>requirement</w:t>
      </w:r>
      <w:r>
        <w:rPr>
          <w:sz w:val="24"/>
        </w:rPr>
        <w:t>;</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identify whether corrective action is required to address any system limitations identified in subparagraph (2) and, if so, identify whether the </w:t>
      </w:r>
      <w:r>
        <w:rPr>
          <w:i/>
          <w:sz w:val="24"/>
        </w:rPr>
        <w:t>Distribution Network Service Provider </w:t>
      </w:r>
      <w:r>
        <w:rPr>
          <w:sz w:val="24"/>
        </w:rPr>
        <w:t>is required</w:t>
      </w:r>
      <w:r>
        <w:rPr>
          <w:spacing w:val="-4"/>
          <w:sz w:val="24"/>
        </w:rPr>
        <w:t> </w:t>
      </w:r>
      <w:r>
        <w:rPr>
          <w:sz w:val="24"/>
        </w:rPr>
        <w:t>to:</w:t>
      </w:r>
    </w:p>
    <w:p>
      <w:pPr>
        <w:pStyle w:val="ListParagraph"/>
        <w:numPr>
          <w:ilvl w:val="0"/>
          <w:numId w:val="221"/>
        </w:numPr>
        <w:tabs>
          <w:tab w:pos="3053" w:val="left" w:leader="none"/>
        </w:tabs>
        <w:spacing w:line="240" w:lineRule="auto" w:before="120" w:after="0"/>
        <w:ind w:left="3053" w:right="415" w:hanging="567"/>
        <w:jc w:val="both"/>
        <w:rPr>
          <w:sz w:val="24"/>
        </w:rPr>
      </w:pPr>
      <w:r>
        <w:rPr>
          <w:sz w:val="24"/>
        </w:rPr>
        <w:t>carry out the requirements of the </w:t>
      </w:r>
      <w:r>
        <w:rPr>
          <w:i/>
          <w:sz w:val="24"/>
        </w:rPr>
        <w:t>regulatory investment test for </w:t>
      </w:r>
      <w:r>
        <w:rPr>
          <w:i/>
          <w:sz w:val="24"/>
        </w:rPr>
        <w:t>distribution</w:t>
      </w:r>
      <w:r>
        <w:rPr>
          <w:sz w:val="24"/>
        </w:rPr>
        <w:t>;</w:t>
      </w:r>
      <w:r>
        <w:rPr>
          <w:spacing w:val="-2"/>
          <w:sz w:val="24"/>
        </w:rPr>
        <w:t> </w:t>
      </w:r>
      <w:r>
        <w:rPr>
          <w:sz w:val="24"/>
        </w:rPr>
        <w:t>and</w:t>
      </w:r>
    </w:p>
    <w:p>
      <w:pPr>
        <w:pStyle w:val="ListParagraph"/>
        <w:numPr>
          <w:ilvl w:val="0"/>
          <w:numId w:val="221"/>
        </w:numPr>
        <w:tabs>
          <w:tab w:pos="3054" w:val="left" w:leader="none"/>
        </w:tabs>
        <w:spacing w:line="240" w:lineRule="auto" w:before="120" w:after="0"/>
        <w:ind w:left="3053" w:right="415" w:hanging="567"/>
        <w:jc w:val="both"/>
        <w:rPr>
          <w:sz w:val="24"/>
        </w:rPr>
      </w:pPr>
      <w:r>
        <w:rPr>
          <w:sz w:val="24"/>
        </w:rPr>
        <w:t>carry out demand side engagement obligations as required under paragraph (f);</w:t>
      </w:r>
      <w:r>
        <w:rPr>
          <w:spacing w:val="-1"/>
          <w:sz w:val="24"/>
        </w:rPr>
        <w:t> </w:t>
      </w:r>
      <w:r>
        <w:rPr>
          <w:sz w:val="24"/>
        </w:rPr>
        <w:t>and</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take into account any </w:t>
      </w:r>
      <w:r>
        <w:rPr>
          <w:i/>
          <w:sz w:val="24"/>
        </w:rPr>
        <w:t>jurisdictional electricity</w:t>
      </w:r>
      <w:r>
        <w:rPr>
          <w:i/>
          <w:spacing w:val="-1"/>
          <w:sz w:val="24"/>
        </w:rPr>
        <w:t> </w:t>
      </w:r>
      <w:r>
        <w:rPr>
          <w:i/>
          <w:sz w:val="24"/>
        </w:rPr>
        <w:t>legislation</w:t>
      </w:r>
      <w:r>
        <w:rPr>
          <w:sz w:val="24"/>
        </w:rPr>
        <w:t>.</w:t>
      </w:r>
    </w:p>
    <w:p>
      <w:pPr>
        <w:pStyle w:val="Heading4"/>
        <w:spacing w:before="120"/>
        <w:ind w:left="1352" w:firstLine="0"/>
        <w:jc w:val="both"/>
        <w:rPr>
          <w:rFonts w:ascii="Times New Roman"/>
        </w:rPr>
      </w:pPr>
      <w:r>
        <w:rPr>
          <w:rFonts w:ascii="Times New Roman"/>
        </w:rPr>
        <w:t>Demand side engagement obligations</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Each </w:t>
      </w:r>
      <w:r>
        <w:rPr>
          <w:i/>
          <w:sz w:val="24"/>
        </w:rPr>
        <w:t>Distribution Network Service Provider </w:t>
      </w:r>
      <w:r>
        <w:rPr>
          <w:sz w:val="24"/>
        </w:rPr>
        <w:t>must develop a strategy</w:t>
      </w:r>
      <w:r>
        <w:rPr>
          <w:spacing w:val="-8"/>
          <w:sz w:val="24"/>
        </w:rPr>
        <w:t> </w:t>
      </w:r>
      <w:r>
        <w:rPr>
          <w:sz w:val="24"/>
        </w:rPr>
        <w:t>for:</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engaging with non-network providers;</w:t>
      </w:r>
      <w:r>
        <w:rPr>
          <w:spacing w:val="-3"/>
          <w:sz w:val="24"/>
        </w:rPr>
        <w:t> </w:t>
      </w:r>
      <w:r>
        <w:rPr>
          <w:sz w:val="24"/>
        </w:rPr>
        <w:t>and</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considering </w:t>
      </w:r>
      <w:r>
        <w:rPr>
          <w:i/>
          <w:sz w:val="24"/>
        </w:rPr>
        <w:t>non-network</w:t>
      </w:r>
      <w:r>
        <w:rPr>
          <w:i/>
          <w:spacing w:val="-1"/>
          <w:sz w:val="24"/>
        </w:rPr>
        <w:t> </w:t>
      </w:r>
      <w:r>
        <w:rPr>
          <w:i/>
          <w:sz w:val="24"/>
        </w:rPr>
        <w:t>options</w:t>
      </w:r>
      <w:r>
        <w:rPr>
          <w:sz w:val="24"/>
        </w:rPr>
        <w:t>.</w:t>
      </w:r>
    </w:p>
    <w:p>
      <w:pPr>
        <w:pStyle w:val="ListParagraph"/>
        <w:numPr>
          <w:ilvl w:val="3"/>
          <w:numId w:val="197"/>
        </w:numPr>
        <w:tabs>
          <w:tab w:pos="1920"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engage with non-network providers and consider </w:t>
      </w:r>
      <w:r>
        <w:rPr>
          <w:i/>
          <w:sz w:val="24"/>
        </w:rPr>
        <w:t>non-network options </w:t>
      </w:r>
      <w:r>
        <w:rPr>
          <w:sz w:val="24"/>
        </w:rPr>
        <w:t>for addressing system limitations in accordance with its demand side engagement</w:t>
      </w:r>
      <w:r>
        <w:rPr>
          <w:spacing w:val="-8"/>
          <w:sz w:val="24"/>
        </w:rPr>
        <w:t> </w:t>
      </w:r>
      <w:r>
        <w:rPr>
          <w:sz w:val="24"/>
        </w:rPr>
        <w:t>strategy.</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document its demand side engagement strategy in a demand side engagement document which must be </w:t>
      </w:r>
      <w:r>
        <w:rPr>
          <w:i/>
          <w:sz w:val="24"/>
        </w:rPr>
        <w:t>published </w:t>
      </w:r>
      <w:r>
        <w:rPr>
          <w:sz w:val="24"/>
        </w:rPr>
        <w:t>by no later than 31 August</w:t>
      </w:r>
      <w:r>
        <w:rPr>
          <w:spacing w:val="-2"/>
          <w:sz w:val="24"/>
        </w:rPr>
        <w:t> </w:t>
      </w:r>
      <w:r>
        <w:rPr>
          <w:sz w:val="24"/>
        </w:rPr>
        <w:t>2020.</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include the information specified in schedule 5.9 in its demand side engagement</w:t>
      </w:r>
      <w:r>
        <w:rPr>
          <w:spacing w:val="-10"/>
          <w:sz w:val="24"/>
        </w:rPr>
        <w:t> </w:t>
      </w:r>
      <w:r>
        <w:rPr>
          <w:sz w:val="24"/>
        </w:rPr>
        <w:t>document.</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review and </w:t>
      </w:r>
      <w:r>
        <w:rPr>
          <w:i/>
          <w:sz w:val="24"/>
        </w:rPr>
        <w:t>publish </w:t>
      </w:r>
      <w:r>
        <w:rPr>
          <w:sz w:val="24"/>
        </w:rPr>
        <w:t>a revised demand side engagement document at least once every three</w:t>
      </w:r>
      <w:r>
        <w:rPr>
          <w:spacing w:val="-4"/>
          <w:sz w:val="24"/>
        </w:rPr>
        <w:t> </w:t>
      </w:r>
      <w:r>
        <w:rPr>
          <w:sz w:val="24"/>
        </w:rPr>
        <w:t>years.</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must establish and maintain a facility by which parties can register their interest in being notified of developments relating to </w:t>
      </w:r>
      <w:r>
        <w:rPr>
          <w:i/>
          <w:sz w:val="24"/>
        </w:rPr>
        <w:t>distribution network </w:t>
      </w:r>
      <w:r>
        <w:rPr>
          <w:sz w:val="24"/>
        </w:rPr>
        <w:t>planning and expansion. A </w:t>
      </w:r>
      <w:r>
        <w:rPr>
          <w:i/>
          <w:sz w:val="24"/>
        </w:rPr>
        <w:t>Distribution Network Service Provider </w:t>
      </w:r>
      <w:r>
        <w:rPr>
          <w:sz w:val="24"/>
        </w:rPr>
        <w:t>must have in place a facility under this paragraph (j) no later than the date of publication of the </w:t>
      </w:r>
      <w:r>
        <w:rPr>
          <w:i/>
          <w:sz w:val="24"/>
        </w:rPr>
        <w:t>Distribution </w:t>
      </w:r>
      <w:r>
        <w:rPr>
          <w:i/>
          <w:sz w:val="24"/>
        </w:rPr>
        <w:t>Network Service Provider's </w:t>
      </w:r>
      <w:r>
        <w:rPr>
          <w:sz w:val="24"/>
        </w:rPr>
        <w:t>demand side engagement document under paragraph (g).</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13.2 Distribution Annual Planning Repo" w:id="688"/>
      <w:bookmarkEnd w:id="688"/>
      <w:r>
        <w:rPr>
          <w:b w:val="0"/>
        </w:rPr>
      </w:r>
      <w:bookmarkStart w:name="_bookmark269" w:id="689"/>
      <w:bookmarkEnd w:id="689"/>
      <w:r>
        <w:rPr>
          <w:b w:val="0"/>
        </w:rPr>
      </w:r>
      <w:bookmarkStart w:name="_bookmark269" w:id="690"/>
      <w:bookmarkEnd w:id="690"/>
      <w:r>
        <w:rPr/>
        <w:t>Distributio</w:t>
      </w:r>
      <w:r>
        <w:rPr/>
        <w:t>n Annual Planning</w:t>
      </w:r>
      <w:r>
        <w:rPr>
          <w:spacing w:val="-4"/>
        </w:rPr>
        <w:t> </w:t>
      </w:r>
      <w:r>
        <w:rPr/>
        <w:t>Report</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For the purposes of this clause</w:t>
      </w:r>
      <w:r>
        <w:rPr>
          <w:spacing w:val="-2"/>
          <w:sz w:val="24"/>
        </w:rPr>
        <w:t> </w:t>
      </w:r>
      <w:r>
        <w:rPr>
          <w:sz w:val="24"/>
        </w:rPr>
        <w:t>5.13.2:</w:t>
      </w:r>
    </w:p>
    <w:p>
      <w:pPr>
        <w:spacing w:before="120"/>
        <w:ind w:left="1919" w:right="0" w:firstLine="0"/>
        <w:jc w:val="both"/>
        <w:rPr>
          <w:sz w:val="24"/>
        </w:rPr>
      </w:pPr>
      <w:r>
        <w:rPr>
          <w:b/>
          <w:sz w:val="24"/>
        </w:rPr>
        <w:t>DAPR date </w:t>
      </w:r>
      <w:r>
        <w:rPr>
          <w:sz w:val="24"/>
        </w:rPr>
        <w:t>means for a </w:t>
      </w:r>
      <w:r>
        <w:rPr>
          <w:i/>
          <w:sz w:val="24"/>
        </w:rPr>
        <w:t>Distribution Network Service Provider</w:t>
      </w:r>
      <w:r>
        <w:rPr>
          <w:sz w:val="24"/>
        </w:rPr>
        <w:t>:</w:t>
      </w:r>
    </w:p>
    <w:p>
      <w:pPr>
        <w:pStyle w:val="ListParagraph"/>
        <w:numPr>
          <w:ilvl w:val="4"/>
          <w:numId w:val="197"/>
        </w:numPr>
        <w:tabs>
          <w:tab w:pos="2486" w:val="left" w:leader="none"/>
        </w:tabs>
        <w:spacing w:line="240" w:lineRule="auto" w:before="120" w:after="0"/>
        <w:ind w:left="2486" w:right="416" w:hanging="567"/>
        <w:jc w:val="both"/>
        <w:rPr>
          <w:sz w:val="24"/>
        </w:rPr>
      </w:pPr>
      <w:r>
        <w:rPr>
          <w:sz w:val="24"/>
        </w:rPr>
        <w:t>the date by which it is required to </w:t>
      </w:r>
      <w:r>
        <w:rPr>
          <w:i/>
          <w:sz w:val="24"/>
        </w:rPr>
        <w:t>publish </w:t>
      </w:r>
      <w:r>
        <w:rPr>
          <w:sz w:val="24"/>
        </w:rPr>
        <w:t>a </w:t>
      </w:r>
      <w:r>
        <w:rPr>
          <w:i/>
          <w:sz w:val="24"/>
        </w:rPr>
        <w:t>Distribution Annual </w:t>
      </w:r>
      <w:r>
        <w:rPr>
          <w:i/>
          <w:sz w:val="24"/>
        </w:rPr>
        <w:t>Planning Report </w:t>
      </w:r>
      <w:r>
        <w:rPr>
          <w:sz w:val="24"/>
        </w:rPr>
        <w:t>under </w:t>
      </w:r>
      <w:r>
        <w:rPr>
          <w:i/>
          <w:sz w:val="24"/>
        </w:rPr>
        <w:t>jurisdictional electricity legislation</w:t>
      </w:r>
      <w:r>
        <w:rPr>
          <w:sz w:val="24"/>
        </w:rPr>
        <w:t>;</w:t>
      </w:r>
      <w:r>
        <w:rPr>
          <w:spacing w:val="-2"/>
          <w:sz w:val="24"/>
        </w:rPr>
        <w:t> </w:t>
      </w:r>
      <w:r>
        <w:rPr>
          <w:sz w:val="24"/>
        </w:rPr>
        <w:t>or</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if no such date is specified in </w:t>
      </w:r>
      <w:r>
        <w:rPr>
          <w:i/>
          <w:sz w:val="24"/>
        </w:rPr>
        <w:t>jurisdictional electricity legislation</w:t>
      </w:r>
      <w:r>
        <w:rPr>
          <w:sz w:val="24"/>
        </w:rPr>
        <w:t>, 31 December.</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By the DAPR date each year, a </w:t>
      </w:r>
      <w:r>
        <w:rPr>
          <w:i/>
          <w:sz w:val="24"/>
        </w:rPr>
        <w:t>Distribution Network Service Provider </w:t>
      </w:r>
      <w:r>
        <w:rPr>
          <w:sz w:val="24"/>
        </w:rPr>
        <w:t>must </w:t>
      </w:r>
      <w:r>
        <w:rPr>
          <w:i/>
          <w:sz w:val="24"/>
        </w:rPr>
        <w:t>publish </w:t>
      </w:r>
      <w:r>
        <w:rPr>
          <w:sz w:val="24"/>
        </w:rPr>
        <w:t>the </w:t>
      </w:r>
      <w:r>
        <w:rPr>
          <w:i/>
          <w:sz w:val="24"/>
        </w:rPr>
        <w:t>Distribution Annual Planning Report </w:t>
      </w:r>
      <w:r>
        <w:rPr>
          <w:sz w:val="24"/>
        </w:rPr>
        <w:t>setting out the results of the </w:t>
      </w:r>
      <w:r>
        <w:rPr>
          <w:i/>
          <w:sz w:val="24"/>
        </w:rPr>
        <w:t>distribution </w:t>
      </w:r>
      <w:r>
        <w:rPr>
          <w:sz w:val="24"/>
        </w:rPr>
        <w:t>annual planning review for the forward planning</w:t>
      </w:r>
      <w:r>
        <w:rPr>
          <w:spacing w:val="-5"/>
          <w:sz w:val="24"/>
        </w:rPr>
        <w:t> </w:t>
      </w:r>
      <w:r>
        <w:rPr>
          <w:sz w:val="24"/>
        </w:rPr>
        <w:t>period.</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Under clause 5.12.2(b), a </w:t>
      </w:r>
      <w:r>
        <w:rPr>
          <w:i/>
          <w:sz w:val="20"/>
        </w:rPr>
        <w:t>Network Service Provider </w:t>
      </w:r>
      <w:r>
        <w:rPr>
          <w:sz w:val="20"/>
        </w:rPr>
        <w:t>may </w:t>
      </w:r>
      <w:r>
        <w:rPr>
          <w:i/>
          <w:sz w:val="20"/>
        </w:rPr>
        <w:t>publish </w:t>
      </w:r>
      <w:r>
        <w:rPr>
          <w:sz w:val="20"/>
        </w:rPr>
        <w:t>its </w:t>
      </w:r>
      <w:r>
        <w:rPr>
          <w:i/>
          <w:sz w:val="20"/>
        </w:rPr>
        <w:t>Transmission Annual </w:t>
      </w:r>
      <w:r>
        <w:rPr>
          <w:i/>
          <w:sz w:val="20"/>
        </w:rPr>
        <w:t>Planning Report </w:t>
      </w:r>
      <w:r>
        <w:rPr>
          <w:sz w:val="20"/>
        </w:rPr>
        <w:t>in the same document as its </w:t>
      </w:r>
      <w:r>
        <w:rPr>
          <w:i/>
          <w:sz w:val="20"/>
        </w:rPr>
        <w:t>Distribution Annual Planning Report </w:t>
      </w:r>
      <w:r>
        <w:rPr>
          <w:sz w:val="20"/>
        </w:rPr>
        <w:t>under this clause 5.13.2.</w:t>
      </w:r>
    </w:p>
    <w:p>
      <w:pPr>
        <w:pStyle w:val="ListParagraph"/>
        <w:numPr>
          <w:ilvl w:val="3"/>
          <w:numId w:val="19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include the information specified in schedule 5.8 in its </w:t>
      </w:r>
      <w:r>
        <w:rPr>
          <w:i/>
          <w:sz w:val="24"/>
        </w:rPr>
        <w:t>Distribution Annual Planning</w:t>
      </w:r>
      <w:r>
        <w:rPr>
          <w:i/>
          <w:spacing w:val="-14"/>
          <w:sz w:val="24"/>
        </w:rPr>
        <w:t> </w:t>
      </w:r>
      <w:r>
        <w:rPr>
          <w:i/>
          <w:sz w:val="24"/>
        </w:rPr>
        <w:t>Report</w:t>
      </w:r>
      <w:r>
        <w:rPr>
          <w:sz w:val="24"/>
        </w:rPr>
        <w:t>.</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Despite paragraph (c), a </w:t>
      </w:r>
      <w:r>
        <w:rPr>
          <w:i/>
          <w:sz w:val="24"/>
        </w:rPr>
        <w:t>Distribution Network Service Provider </w:t>
      </w:r>
      <w:r>
        <w:rPr>
          <w:sz w:val="24"/>
        </w:rPr>
        <w:t>is not required to include in its </w:t>
      </w:r>
      <w:r>
        <w:rPr>
          <w:i/>
          <w:sz w:val="24"/>
        </w:rPr>
        <w:t>Distribution Annual Planning Report </w:t>
      </w:r>
      <w:r>
        <w:rPr>
          <w:sz w:val="24"/>
        </w:rPr>
        <w:t>information required in relation to transmission-distribution connection points if it is required to do so under </w:t>
      </w:r>
      <w:r>
        <w:rPr>
          <w:i/>
          <w:sz w:val="24"/>
        </w:rPr>
        <w:t>jurisdictional electricity</w:t>
      </w:r>
      <w:r>
        <w:rPr>
          <w:i/>
          <w:spacing w:val="-2"/>
          <w:sz w:val="24"/>
        </w:rPr>
        <w:t> </w:t>
      </w:r>
      <w:r>
        <w:rPr>
          <w:i/>
          <w:sz w:val="24"/>
        </w:rPr>
        <w:t>legislation</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As soon as practicable after it </w:t>
      </w:r>
      <w:r>
        <w:rPr>
          <w:i/>
          <w:sz w:val="24"/>
        </w:rPr>
        <w:t>publishes </w:t>
      </w:r>
      <w:r>
        <w:rPr>
          <w:sz w:val="24"/>
        </w:rPr>
        <w:t>a </w:t>
      </w:r>
      <w:r>
        <w:rPr>
          <w:i/>
          <w:sz w:val="24"/>
        </w:rPr>
        <w:t>Distribution Annual Planning </w:t>
      </w:r>
      <w:r>
        <w:rPr>
          <w:i/>
          <w:sz w:val="24"/>
        </w:rPr>
        <w:t>Report </w:t>
      </w:r>
      <w:r>
        <w:rPr>
          <w:sz w:val="24"/>
        </w:rPr>
        <w:t>under paragraph (b), a </w:t>
      </w:r>
      <w:r>
        <w:rPr>
          <w:i/>
          <w:sz w:val="24"/>
        </w:rPr>
        <w:t>Distribution Network Service Provider </w:t>
      </w:r>
      <w:r>
        <w:rPr>
          <w:sz w:val="24"/>
        </w:rPr>
        <w:t>must </w:t>
      </w:r>
      <w:r>
        <w:rPr>
          <w:i/>
          <w:sz w:val="24"/>
        </w:rPr>
        <w:t>publish </w:t>
      </w:r>
      <w:r>
        <w:rPr>
          <w:sz w:val="24"/>
        </w:rPr>
        <w:t>on its website the contact details for a suitably qualified staff member of the </w:t>
      </w:r>
      <w:r>
        <w:rPr>
          <w:i/>
          <w:sz w:val="24"/>
        </w:rPr>
        <w:t>Distribution Network Service Provider </w:t>
      </w:r>
      <w:r>
        <w:rPr>
          <w:sz w:val="24"/>
        </w:rPr>
        <w:t>to whom queries on the report may be</w:t>
      </w:r>
      <w:r>
        <w:rPr>
          <w:spacing w:val="-2"/>
          <w:sz w:val="24"/>
        </w:rPr>
        <w:t> </w:t>
      </w:r>
      <w:r>
        <w:rPr>
          <w:sz w:val="24"/>
        </w:rPr>
        <w:t>directed.</w:t>
      </w:r>
    </w:p>
    <w:p>
      <w:pPr>
        <w:pStyle w:val="BodyText"/>
        <w:spacing w:before="10"/>
        <w:ind w:firstLine="0"/>
        <w:jc w:val="left"/>
        <w:rPr>
          <w:sz w:val="20"/>
        </w:rPr>
      </w:pPr>
    </w:p>
    <w:p>
      <w:pPr>
        <w:pStyle w:val="Heading4"/>
        <w:numPr>
          <w:ilvl w:val="2"/>
          <w:numId w:val="197"/>
        </w:numPr>
        <w:tabs>
          <w:tab w:pos="1351" w:val="left" w:leader="none"/>
          <w:tab w:pos="1352" w:val="left" w:leader="none"/>
        </w:tabs>
        <w:spacing w:line="240" w:lineRule="auto" w:before="0" w:after="0"/>
        <w:ind w:left="1351" w:right="0" w:hanging="1134"/>
        <w:jc w:val="left"/>
      </w:pPr>
      <w:bookmarkStart w:name="5.13.3 Distribution system limitation te" w:id="691"/>
      <w:bookmarkEnd w:id="691"/>
      <w:r>
        <w:rPr>
          <w:b w:val="0"/>
        </w:rPr>
      </w:r>
      <w:bookmarkStart w:name="_bookmark270" w:id="692"/>
      <w:bookmarkEnd w:id="692"/>
      <w:r>
        <w:rPr>
          <w:b w:val="0"/>
        </w:rPr>
      </w:r>
      <w:bookmarkStart w:name="_bookmark270" w:id="693"/>
      <w:bookmarkEnd w:id="693"/>
      <w:r>
        <w:rPr/>
        <w:t>Distributio</w:t>
      </w:r>
      <w:r>
        <w:rPr/>
        <w:t>n system limitation</w:t>
      </w:r>
      <w:r>
        <w:rPr>
          <w:spacing w:val="-2"/>
        </w:rPr>
        <w:t> </w:t>
      </w:r>
      <w:r>
        <w:rPr/>
        <w:t>template</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and </w:t>
      </w:r>
      <w:r>
        <w:rPr>
          <w:i/>
          <w:sz w:val="24"/>
        </w:rPr>
        <w:t>publish </w:t>
      </w:r>
      <w:r>
        <w:rPr>
          <w:sz w:val="24"/>
        </w:rPr>
        <w:t>a system limitation template in accordance with paragraph (c) and having regard to paragraph (b). The system limitation template must be developed by the </w:t>
      </w:r>
      <w:r>
        <w:rPr>
          <w:i/>
          <w:sz w:val="24"/>
        </w:rPr>
        <w:t>AER </w:t>
      </w:r>
      <w:r>
        <w:rPr>
          <w:sz w:val="24"/>
        </w:rPr>
        <w:t>in consultation with </w:t>
      </w:r>
      <w:r>
        <w:rPr>
          <w:i/>
          <w:sz w:val="24"/>
        </w:rPr>
        <w:t>Distribution Network Service Providers </w:t>
      </w:r>
      <w:r>
        <w:rPr>
          <w:sz w:val="24"/>
        </w:rPr>
        <w:t>and any persons who have identified themselves to the </w:t>
      </w:r>
      <w:r>
        <w:rPr>
          <w:i/>
          <w:sz w:val="24"/>
        </w:rPr>
        <w:t>AER </w:t>
      </w:r>
      <w:r>
        <w:rPr>
          <w:sz w:val="24"/>
        </w:rPr>
        <w:t>as having an interest in the form or contents of the system limitation</w:t>
      </w:r>
      <w:r>
        <w:rPr>
          <w:spacing w:val="-3"/>
          <w:sz w:val="24"/>
        </w:rPr>
        <w:t> </w:t>
      </w:r>
      <w:r>
        <w:rPr>
          <w:sz w:val="24"/>
        </w:rPr>
        <w:t>template.</w:t>
      </w:r>
    </w:p>
    <w:p>
      <w:pPr>
        <w:pStyle w:val="ListParagraph"/>
        <w:numPr>
          <w:ilvl w:val="3"/>
          <w:numId w:val="197"/>
        </w:numPr>
        <w:tabs>
          <w:tab w:pos="1919" w:val="left" w:leader="none"/>
        </w:tabs>
        <w:spacing w:line="240" w:lineRule="auto" w:before="120" w:after="0"/>
        <w:ind w:left="1919" w:right="414" w:hanging="567"/>
        <w:jc w:val="both"/>
        <w:rPr>
          <w:sz w:val="24"/>
        </w:rPr>
      </w:pPr>
      <w:r>
        <w:rPr>
          <w:sz w:val="24"/>
        </w:rPr>
        <w:t>The purpose of the system limitation template is to facilitate the publication by </w:t>
      </w:r>
      <w:r>
        <w:rPr>
          <w:i/>
          <w:sz w:val="24"/>
        </w:rPr>
        <w:t>Distribution Network Service Providers </w:t>
      </w:r>
      <w:r>
        <w:rPr>
          <w:sz w:val="24"/>
        </w:rPr>
        <w:t>of information on system limitations referred to in their </w:t>
      </w:r>
      <w:r>
        <w:rPr>
          <w:i/>
          <w:sz w:val="24"/>
        </w:rPr>
        <w:t>Distribution Annual Planning Reports </w:t>
      </w:r>
      <w:r>
        <w:rPr>
          <w:sz w:val="24"/>
        </w:rPr>
        <w:t>in a useable, consistent, accessible format to assist third parties to propose alternative options to address system</w:t>
      </w:r>
      <w:r>
        <w:rPr>
          <w:spacing w:val="-1"/>
          <w:sz w:val="24"/>
        </w:rPr>
        <w:t> </w:t>
      </w:r>
      <w:r>
        <w:rPr>
          <w:sz w:val="24"/>
        </w:rPr>
        <w:t>limitations.</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The system limitation template</w:t>
      </w:r>
      <w:r>
        <w:rPr>
          <w:spacing w:val="-3"/>
          <w:sz w:val="24"/>
        </w:rPr>
        <w:t> </w:t>
      </w:r>
      <w:r>
        <w:rPr>
          <w:sz w:val="24"/>
        </w:rPr>
        <w:t>must:</w:t>
      </w:r>
    </w:p>
    <w:p>
      <w:pPr>
        <w:pStyle w:val="ListParagraph"/>
        <w:numPr>
          <w:ilvl w:val="4"/>
          <w:numId w:val="197"/>
        </w:numPr>
        <w:tabs>
          <w:tab w:pos="2486" w:val="left" w:leader="none"/>
        </w:tabs>
        <w:spacing w:line="240" w:lineRule="auto" w:before="120" w:after="0"/>
        <w:ind w:left="2485" w:right="0" w:hanging="567"/>
        <w:jc w:val="both"/>
        <w:rPr>
          <w:sz w:val="24"/>
        </w:rPr>
      </w:pPr>
      <w:r>
        <w:rPr>
          <w:sz w:val="24"/>
        </w:rPr>
        <w:t>provide a template for the reporting of the following</w:t>
      </w:r>
      <w:r>
        <w:rPr>
          <w:spacing w:val="-3"/>
          <w:sz w:val="24"/>
        </w:rPr>
        <w:t> </w:t>
      </w:r>
      <w:r>
        <w:rPr>
          <w:sz w:val="24"/>
        </w:rPr>
        <w:t>information:</w:t>
      </w:r>
    </w:p>
    <w:p>
      <w:pPr>
        <w:pStyle w:val="ListParagraph"/>
        <w:numPr>
          <w:ilvl w:val="0"/>
          <w:numId w:val="222"/>
        </w:numPr>
        <w:tabs>
          <w:tab w:pos="3053" w:val="left" w:leader="none"/>
        </w:tabs>
        <w:spacing w:line="240" w:lineRule="auto" w:before="120" w:after="0"/>
        <w:ind w:left="3053" w:right="414" w:hanging="567"/>
        <w:jc w:val="both"/>
        <w:rPr>
          <w:sz w:val="24"/>
        </w:rPr>
      </w:pPr>
      <w:r>
        <w:rPr>
          <w:sz w:val="24"/>
        </w:rPr>
        <w:t>the name (or identifier) and location of </w:t>
      </w:r>
      <w:r>
        <w:rPr>
          <w:i/>
          <w:sz w:val="24"/>
        </w:rPr>
        <w:t>substations</w:t>
      </w:r>
      <w:r>
        <w:rPr>
          <w:sz w:val="24"/>
        </w:rPr>
        <w:t>, sub- transmission lines, zone substations and, where appropriate, primary feeders, where there is a system limitation or a projected system limitation during the forward planning period that has been identified in a </w:t>
      </w:r>
      <w:r>
        <w:rPr>
          <w:i/>
          <w:sz w:val="24"/>
        </w:rPr>
        <w:t>Distribution Network Service </w:t>
      </w:r>
      <w:r>
        <w:rPr>
          <w:i/>
          <w:sz w:val="24"/>
        </w:rPr>
        <w:t>Provider's Distribution Annual Planning</w:t>
      </w:r>
      <w:r>
        <w:rPr>
          <w:i/>
          <w:spacing w:val="-2"/>
          <w:sz w:val="24"/>
        </w:rPr>
        <w:t> </w:t>
      </w:r>
      <w:r>
        <w:rPr>
          <w:i/>
          <w:sz w:val="24"/>
        </w:rPr>
        <w:t>Report</w:t>
      </w:r>
      <w:r>
        <w:rPr>
          <w:sz w:val="24"/>
        </w:rPr>
        <w:t>;</w:t>
      </w:r>
    </w:p>
    <w:p>
      <w:pPr>
        <w:pStyle w:val="ListParagraph"/>
        <w:numPr>
          <w:ilvl w:val="0"/>
          <w:numId w:val="222"/>
        </w:numPr>
        <w:tabs>
          <w:tab w:pos="3054" w:val="left" w:leader="none"/>
        </w:tabs>
        <w:spacing w:line="240" w:lineRule="auto" w:before="120" w:after="0"/>
        <w:ind w:left="3053" w:right="415" w:hanging="567"/>
        <w:jc w:val="both"/>
        <w:rPr>
          <w:sz w:val="24"/>
        </w:rPr>
      </w:pPr>
      <w:r>
        <w:rPr>
          <w:sz w:val="24"/>
        </w:rPr>
        <w:t>the estimated timing (months(s) and year) of the system limitation or projected system limitation identified in subparagraph</w:t>
      </w:r>
      <w:r>
        <w:rPr>
          <w:spacing w:val="-2"/>
          <w:sz w:val="24"/>
        </w:rPr>
        <w:t> </w:t>
      </w:r>
      <w:r>
        <w:rPr>
          <w:sz w:val="24"/>
        </w:rPr>
        <w:t>(i);</w:t>
      </w:r>
    </w:p>
    <w:p>
      <w:pPr>
        <w:pStyle w:val="ListParagraph"/>
        <w:numPr>
          <w:ilvl w:val="0"/>
          <w:numId w:val="222"/>
        </w:numPr>
        <w:tabs>
          <w:tab w:pos="3053" w:val="left" w:leader="none"/>
        </w:tabs>
        <w:spacing w:line="240" w:lineRule="auto" w:before="120" w:after="0"/>
        <w:ind w:left="3053" w:right="415" w:hanging="567"/>
        <w:jc w:val="both"/>
        <w:rPr>
          <w:sz w:val="24"/>
        </w:rPr>
      </w:pPr>
      <w:r>
        <w:rPr>
          <w:sz w:val="24"/>
        </w:rPr>
        <w:t>the </w:t>
      </w:r>
      <w:r>
        <w:rPr>
          <w:i/>
          <w:sz w:val="24"/>
        </w:rPr>
        <w:t>Distribution Network Service Provider</w:t>
      </w:r>
      <w:r>
        <w:rPr>
          <w:sz w:val="24"/>
        </w:rPr>
        <w:t>'s proposed option to address the system</w:t>
      </w:r>
      <w:r>
        <w:rPr>
          <w:spacing w:val="-2"/>
          <w:sz w:val="24"/>
        </w:rPr>
        <w:t> </w:t>
      </w:r>
      <w:r>
        <w:rPr>
          <w:sz w:val="24"/>
        </w:rPr>
        <w:t>limitation;</w:t>
      </w:r>
    </w:p>
    <w:p>
      <w:pPr>
        <w:pStyle w:val="ListParagraph"/>
        <w:numPr>
          <w:ilvl w:val="0"/>
          <w:numId w:val="222"/>
        </w:numPr>
        <w:tabs>
          <w:tab w:pos="3054" w:val="left" w:leader="none"/>
        </w:tabs>
        <w:spacing w:line="240" w:lineRule="auto" w:before="120" w:after="0"/>
        <w:ind w:left="3053" w:right="416" w:hanging="567"/>
        <w:jc w:val="both"/>
        <w:rPr>
          <w:sz w:val="24"/>
        </w:rPr>
      </w:pPr>
      <w:r>
        <w:rPr>
          <w:sz w:val="24"/>
        </w:rPr>
        <w:t>the estimated capital or operating cost of the proposed option; and</w:t>
      </w:r>
    </w:p>
    <w:p>
      <w:pPr>
        <w:pStyle w:val="ListParagraph"/>
        <w:numPr>
          <w:ilvl w:val="0"/>
          <w:numId w:val="222"/>
        </w:numPr>
        <w:tabs>
          <w:tab w:pos="3053" w:val="left" w:leader="none"/>
        </w:tabs>
        <w:spacing w:line="240" w:lineRule="auto" w:before="120" w:after="0"/>
        <w:ind w:left="3053" w:right="416" w:hanging="567"/>
        <w:jc w:val="both"/>
        <w:rPr>
          <w:sz w:val="24"/>
        </w:rPr>
      </w:pPr>
      <w:r>
        <w:rPr>
          <w:sz w:val="24"/>
        </w:rPr>
        <w:t>the amount by which peak demand at the location of the system limitation</w:t>
      </w:r>
      <w:r>
        <w:rPr>
          <w:spacing w:val="20"/>
          <w:sz w:val="24"/>
        </w:rPr>
        <w:t> </w:t>
      </w:r>
      <w:r>
        <w:rPr>
          <w:sz w:val="24"/>
        </w:rPr>
        <w:t>or</w:t>
      </w:r>
      <w:r>
        <w:rPr>
          <w:spacing w:val="22"/>
          <w:sz w:val="24"/>
        </w:rPr>
        <w:t> </w:t>
      </w:r>
      <w:r>
        <w:rPr>
          <w:sz w:val="24"/>
        </w:rPr>
        <w:t>projected</w:t>
      </w:r>
      <w:r>
        <w:rPr>
          <w:spacing w:val="21"/>
          <w:sz w:val="24"/>
        </w:rPr>
        <w:t> </w:t>
      </w:r>
      <w:r>
        <w:rPr>
          <w:sz w:val="24"/>
        </w:rPr>
        <w:t>system</w:t>
      </w:r>
      <w:r>
        <w:rPr>
          <w:spacing w:val="21"/>
          <w:sz w:val="24"/>
        </w:rPr>
        <w:t> </w:t>
      </w:r>
      <w:r>
        <w:rPr>
          <w:sz w:val="24"/>
        </w:rPr>
        <w:t>limitation</w:t>
      </w:r>
      <w:r>
        <w:rPr>
          <w:spacing w:val="21"/>
          <w:sz w:val="24"/>
        </w:rPr>
        <w:t> </w:t>
      </w:r>
      <w:r>
        <w:rPr>
          <w:sz w:val="24"/>
        </w:rPr>
        <w:t>would</w:t>
      </w:r>
      <w:r>
        <w:rPr>
          <w:spacing w:val="21"/>
          <w:sz w:val="24"/>
        </w:rPr>
        <w:t> </w:t>
      </w:r>
      <w:r>
        <w:rPr>
          <w:sz w:val="24"/>
        </w:rPr>
        <w:t>need</w:t>
      </w:r>
      <w:r>
        <w:rPr>
          <w:spacing w:val="21"/>
          <w:sz w:val="24"/>
        </w:rPr>
        <w:t> </w:t>
      </w:r>
      <w:r>
        <w:rPr>
          <w:sz w:val="24"/>
        </w:rPr>
        <w:t>to</w:t>
      </w:r>
      <w:r>
        <w:rPr>
          <w:spacing w:val="21"/>
          <w:sz w:val="24"/>
        </w:rPr>
        <w:t> </w:t>
      </w:r>
      <w:r>
        <w:rPr>
          <w:sz w:val="24"/>
        </w:rPr>
        <w:t>be</w:t>
      </w:r>
    </w:p>
    <w:p>
      <w:pPr>
        <w:spacing w:after="0" w:line="240" w:lineRule="auto"/>
        <w:jc w:val="both"/>
        <w:rPr>
          <w:sz w:val="24"/>
        </w:rPr>
        <w:sectPr>
          <w:pgSz w:w="11910" w:h="16840"/>
          <w:pgMar w:header="686" w:footer="637" w:top="1320" w:bottom="820" w:left="1200" w:right="1000"/>
        </w:sectPr>
      </w:pPr>
    </w:p>
    <w:p>
      <w:pPr>
        <w:spacing w:before="83"/>
        <w:ind w:left="3053" w:right="415" w:firstLine="0"/>
        <w:jc w:val="both"/>
        <w:rPr>
          <w:sz w:val="24"/>
        </w:rPr>
      </w:pPr>
      <w:r>
        <w:rPr>
          <w:sz w:val="24"/>
        </w:rPr>
        <w:t>reduced in order to defer the proposed solution, and the dollar value to the </w:t>
      </w:r>
      <w:r>
        <w:rPr>
          <w:i/>
          <w:sz w:val="24"/>
        </w:rPr>
        <w:t>Distribution Network Service Provider </w:t>
      </w:r>
      <w:r>
        <w:rPr>
          <w:sz w:val="24"/>
        </w:rPr>
        <w:t>of each year of deferral; 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include a statement that any information provided using the system limitation template must be read in conjunction with the reporting </w:t>
      </w:r>
      <w:r>
        <w:rPr>
          <w:i/>
          <w:sz w:val="24"/>
        </w:rPr>
        <w:t>Distribution Network Service Provider's Distribution Annual Planning </w:t>
      </w:r>
      <w:r>
        <w:rPr>
          <w:i/>
          <w:sz w:val="24"/>
        </w:rPr>
        <w:t>Report</w:t>
      </w:r>
      <w:r>
        <w:rPr>
          <w:sz w:val="24"/>
        </w:rPr>
        <w:t>.</w:t>
      </w:r>
    </w:p>
    <w:p>
      <w:pPr>
        <w:pStyle w:val="ListParagraph"/>
        <w:numPr>
          <w:ilvl w:val="3"/>
          <w:numId w:val="197"/>
        </w:numPr>
        <w:tabs>
          <w:tab w:pos="1919" w:val="left" w:leader="none"/>
        </w:tabs>
        <w:spacing w:line="240" w:lineRule="auto" w:before="120" w:after="0"/>
        <w:ind w:left="1919" w:right="415" w:hanging="567"/>
        <w:jc w:val="both"/>
        <w:rPr>
          <w:sz w:val="24"/>
        </w:rPr>
      </w:pPr>
      <w:r>
        <w:rPr>
          <w:sz w:val="24"/>
        </w:rPr>
        <w:t>At the same time as it </w:t>
      </w:r>
      <w:r>
        <w:rPr>
          <w:i/>
          <w:sz w:val="24"/>
        </w:rPr>
        <w:t>publishes </w:t>
      </w:r>
      <w:r>
        <w:rPr>
          <w:sz w:val="24"/>
        </w:rPr>
        <w:t>its </w:t>
      </w:r>
      <w:r>
        <w:rPr>
          <w:i/>
          <w:sz w:val="24"/>
        </w:rPr>
        <w:t>Distribution Annual Planning Report </w:t>
      </w:r>
      <w:r>
        <w:rPr>
          <w:sz w:val="24"/>
        </w:rPr>
        <w:t>each year, a </w:t>
      </w:r>
      <w:r>
        <w:rPr>
          <w:i/>
          <w:sz w:val="24"/>
        </w:rPr>
        <w:t>Distribution Network Service Provider </w:t>
      </w:r>
      <w:r>
        <w:rPr>
          <w:sz w:val="24"/>
        </w:rPr>
        <w:t>must </w:t>
      </w:r>
      <w:r>
        <w:rPr>
          <w:i/>
          <w:sz w:val="24"/>
        </w:rPr>
        <w:t>publish </w:t>
      </w:r>
      <w:r>
        <w:rPr>
          <w:sz w:val="24"/>
        </w:rPr>
        <w:t>a report which contains the information specified in paragraph (c) in the form required by the system limitation</w:t>
      </w:r>
      <w:r>
        <w:rPr>
          <w:spacing w:val="-1"/>
          <w:sz w:val="24"/>
        </w:rPr>
        <w:t> </w:t>
      </w:r>
      <w:r>
        <w:rPr>
          <w:sz w:val="24"/>
        </w:rPr>
        <w:t>template.</w:t>
      </w:r>
    </w:p>
    <w:p>
      <w:pPr>
        <w:pStyle w:val="ListParagraph"/>
        <w:numPr>
          <w:ilvl w:val="3"/>
          <w:numId w:val="197"/>
        </w:numPr>
        <w:tabs>
          <w:tab w:pos="1919" w:val="left" w:leader="none"/>
        </w:tabs>
        <w:spacing w:line="240" w:lineRule="auto" w:before="120" w:after="0"/>
        <w:ind w:left="1918" w:right="0" w:hanging="567"/>
        <w:jc w:val="both"/>
        <w:rPr>
          <w:sz w:val="24"/>
        </w:rPr>
      </w:pPr>
      <w:r>
        <w:rPr>
          <w:sz w:val="24"/>
        </w:rPr>
        <w:t>For the application of these </w:t>
      </w:r>
      <w:r>
        <w:rPr>
          <w:i/>
          <w:sz w:val="24"/>
        </w:rPr>
        <w:t>Rules </w:t>
      </w:r>
      <w:r>
        <w:rPr>
          <w:sz w:val="24"/>
        </w:rPr>
        <w:t>in this</w:t>
      </w:r>
      <w:r>
        <w:rPr>
          <w:spacing w:val="-2"/>
          <w:sz w:val="24"/>
        </w:rPr>
        <w:t> </w:t>
      </w:r>
      <w:r>
        <w:rPr>
          <w:sz w:val="24"/>
        </w:rPr>
        <w:t>jurisdiction:</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a system limitation template developed and </w:t>
      </w:r>
      <w:r>
        <w:rPr>
          <w:i/>
          <w:sz w:val="24"/>
        </w:rPr>
        <w:t>published </w:t>
      </w:r>
      <w:r>
        <w:rPr>
          <w:sz w:val="24"/>
        </w:rPr>
        <w:t>by the </w:t>
      </w:r>
      <w:r>
        <w:rPr>
          <w:i/>
          <w:sz w:val="24"/>
        </w:rPr>
        <w:t>AER </w:t>
      </w:r>
      <w:r>
        <w:rPr>
          <w:sz w:val="24"/>
        </w:rPr>
        <w:t>and in operation immediately before 1 July 2019 is taken to have </w:t>
      </w:r>
      <w:r>
        <w:rPr>
          <w:spacing w:val="-3"/>
          <w:sz w:val="24"/>
        </w:rPr>
        <w:t>been </w:t>
      </w:r>
      <w:r>
        <w:rPr>
          <w:sz w:val="24"/>
        </w:rPr>
        <w:t>developed and </w:t>
      </w:r>
      <w:r>
        <w:rPr>
          <w:i/>
          <w:sz w:val="24"/>
        </w:rPr>
        <w:t>published </w:t>
      </w:r>
      <w:r>
        <w:rPr>
          <w:sz w:val="24"/>
        </w:rPr>
        <w:t>by the </w:t>
      </w:r>
      <w:r>
        <w:rPr>
          <w:i/>
          <w:sz w:val="24"/>
        </w:rPr>
        <w:t>AER </w:t>
      </w:r>
      <w:r>
        <w:rPr>
          <w:sz w:val="24"/>
        </w:rPr>
        <w:t>on 1 July 2019;</w:t>
      </w:r>
      <w:r>
        <w:rPr>
          <w:spacing w:val="-3"/>
          <w:sz w:val="24"/>
        </w:rPr>
        <w:t> </w:t>
      </w:r>
      <w:r>
        <w:rPr>
          <w:sz w:val="24"/>
        </w:rPr>
        <w:t>and</w:t>
      </w:r>
    </w:p>
    <w:p>
      <w:pPr>
        <w:pStyle w:val="ListParagraph"/>
        <w:numPr>
          <w:ilvl w:val="4"/>
          <w:numId w:val="197"/>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(a) and (c) in developing and </w:t>
      </w:r>
      <w:r>
        <w:rPr>
          <w:i/>
          <w:sz w:val="24"/>
        </w:rPr>
        <w:t>publishing </w:t>
      </w:r>
      <w:r>
        <w:rPr>
          <w:sz w:val="24"/>
        </w:rPr>
        <w:t>the system limitation</w:t>
      </w:r>
      <w:r>
        <w:rPr>
          <w:spacing w:val="-1"/>
          <w:sz w:val="24"/>
        </w:rPr>
        <w:t> </w:t>
      </w:r>
      <w:r>
        <w:rPr>
          <w:sz w:val="24"/>
        </w:rPr>
        <w:t>template.</w:t>
      </w:r>
    </w:p>
    <w:p>
      <w:pPr>
        <w:pStyle w:val="BodyText"/>
        <w:spacing w:before="10"/>
        <w:ind w:firstLine="0"/>
        <w:jc w:val="left"/>
        <w:rPr>
          <w:sz w:val="20"/>
        </w:rPr>
      </w:pPr>
    </w:p>
    <w:p>
      <w:pPr>
        <w:pStyle w:val="Heading3"/>
        <w:numPr>
          <w:ilvl w:val="1"/>
          <w:numId w:val="223"/>
        </w:numPr>
        <w:tabs>
          <w:tab w:pos="725" w:val="left" w:leader="none"/>
          <w:tab w:pos="1351" w:val="left" w:leader="none"/>
        </w:tabs>
        <w:spacing w:line="240" w:lineRule="auto" w:before="0" w:after="0"/>
        <w:ind w:left="724" w:right="0" w:hanging="507"/>
        <w:jc w:val="left"/>
      </w:pPr>
      <w:bookmarkStart w:name="5.13A Distribution zone substation infor" w:id="694"/>
      <w:bookmarkEnd w:id="694"/>
      <w:r>
        <w:rPr>
          <w:b w:val="0"/>
        </w:rPr>
      </w:r>
      <w:bookmarkStart w:name="_bookmark271" w:id="695"/>
      <w:bookmarkEnd w:id="695"/>
      <w:r>
        <w:rPr>
          <w:b w:val="0"/>
        </w:rPr>
      </w:r>
      <w:bookmarkStart w:name="_bookmark271" w:id="696"/>
      <w:bookmarkEnd w:id="696"/>
      <w:r>
        <w:rPr/>
        <w:t>A</w:t>
      </w:r>
      <w:r>
        <w:rPr/>
        <w:tab/>
        <w:t>Distribution zone substation</w:t>
      </w:r>
      <w:r>
        <w:rPr>
          <w:spacing w:val="-1"/>
        </w:rPr>
        <w:t> </w:t>
      </w:r>
      <w:r>
        <w:rPr/>
        <w:t>information</w:t>
      </w:r>
    </w:p>
    <w:p>
      <w:pPr>
        <w:spacing w:before="220"/>
        <w:ind w:left="1356" w:right="0" w:firstLine="0"/>
        <w:jc w:val="left"/>
        <w:rPr>
          <w:rFonts w:ascii="Arial"/>
          <w:b/>
          <w:sz w:val="22"/>
        </w:rPr>
      </w:pPr>
      <w:r>
        <w:rPr>
          <w:rFonts w:ascii="Arial"/>
          <w:b/>
          <w:sz w:val="22"/>
        </w:rPr>
        <w:t>Definitions</w:t>
      </w:r>
    </w:p>
    <w:p>
      <w:pPr>
        <w:pStyle w:val="ListParagraph"/>
        <w:numPr>
          <w:ilvl w:val="2"/>
          <w:numId w:val="223"/>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rule:</w:t>
      </w:r>
    </w:p>
    <w:p>
      <w:pPr>
        <w:pStyle w:val="BodyText"/>
        <w:ind w:left="1919" w:right="415" w:firstLine="0"/>
      </w:pPr>
      <w:r>
        <w:rPr>
          <w:b/>
        </w:rPr>
        <w:t>annual zone substation report </w:t>
      </w:r>
      <w:r>
        <w:rPr/>
        <w:t>means a report containing historical zone substation information for a reporting year (other than a reporting year covered by the ten year zone substation report).</w:t>
      </w:r>
    </w:p>
    <w:p>
      <w:pPr>
        <w:spacing w:before="120"/>
        <w:ind w:left="1919" w:right="416" w:firstLine="0"/>
        <w:jc w:val="both"/>
        <w:rPr>
          <w:sz w:val="24"/>
        </w:rPr>
      </w:pPr>
      <w:r>
        <w:rPr>
          <w:b/>
          <w:sz w:val="24"/>
        </w:rPr>
        <w:t>reporting year </w:t>
      </w:r>
      <w:r>
        <w:rPr>
          <w:sz w:val="24"/>
        </w:rPr>
        <w:t>for a </w:t>
      </w:r>
      <w:r>
        <w:rPr>
          <w:i/>
          <w:sz w:val="24"/>
        </w:rPr>
        <w:t>Distribution Network Service Provider </w:t>
      </w:r>
      <w:r>
        <w:rPr>
          <w:sz w:val="24"/>
        </w:rPr>
        <w:t>means a period of one year that ends on the same date in each reporting year (e.g. a period of one year ending on 30</w:t>
      </w:r>
      <w:r>
        <w:rPr>
          <w:spacing w:val="-1"/>
          <w:sz w:val="24"/>
        </w:rPr>
        <w:t> </w:t>
      </w:r>
      <w:r>
        <w:rPr>
          <w:sz w:val="24"/>
        </w:rPr>
        <w:t>June).</w:t>
      </w:r>
    </w:p>
    <w:p>
      <w:pPr>
        <w:pStyle w:val="BodyText"/>
        <w:ind w:left="1919" w:right="415" w:firstLine="0"/>
      </w:pPr>
      <w:r>
        <w:rPr>
          <w:b/>
        </w:rPr>
        <w:t>ten year zone substation report </w:t>
      </w:r>
      <w:r>
        <w:rPr/>
        <w:t>means a report containing historical zone substation information that is available for the ten reporting years prior to 1 July 2019.</w:t>
      </w:r>
    </w:p>
    <w:p>
      <w:pPr>
        <w:spacing w:before="120"/>
        <w:ind w:left="1919" w:right="416" w:firstLine="0"/>
        <w:jc w:val="both"/>
        <w:rPr>
          <w:sz w:val="24"/>
        </w:rPr>
      </w:pPr>
      <w:r>
        <w:rPr>
          <w:b/>
          <w:sz w:val="24"/>
        </w:rPr>
        <w:t>zone substation information </w:t>
      </w:r>
      <w:r>
        <w:rPr>
          <w:sz w:val="24"/>
        </w:rPr>
        <w:t>means the information specified in paragraph (b).</w:t>
      </w:r>
    </w:p>
    <w:p>
      <w:pPr>
        <w:spacing w:before="220"/>
        <w:ind w:left="1356" w:right="0" w:firstLine="0"/>
        <w:jc w:val="left"/>
        <w:rPr>
          <w:rFonts w:ascii="Arial"/>
          <w:b/>
          <w:sz w:val="22"/>
        </w:rPr>
      </w:pPr>
      <w:r>
        <w:rPr>
          <w:rFonts w:ascii="Arial"/>
          <w:b/>
          <w:sz w:val="22"/>
        </w:rPr>
        <w:t>Zone substation information</w:t>
      </w:r>
    </w:p>
    <w:p>
      <w:pPr>
        <w:pStyle w:val="ListParagraph"/>
        <w:numPr>
          <w:ilvl w:val="2"/>
          <w:numId w:val="223"/>
        </w:numPr>
        <w:tabs>
          <w:tab w:pos="1919" w:val="left" w:leader="none"/>
        </w:tabs>
        <w:spacing w:line="240" w:lineRule="auto" w:before="120" w:after="0"/>
        <w:ind w:left="1919" w:right="414" w:hanging="567"/>
        <w:jc w:val="both"/>
        <w:rPr>
          <w:sz w:val="24"/>
        </w:rPr>
      </w:pPr>
      <w:r>
        <w:rPr>
          <w:sz w:val="24"/>
        </w:rPr>
        <w:t>Zone substation information means the following information for each zone substation on the </w:t>
      </w:r>
      <w:r>
        <w:rPr>
          <w:i/>
          <w:sz w:val="24"/>
        </w:rPr>
        <w:t>Distribution Network Service Provider's distribution </w:t>
      </w:r>
      <w:r>
        <w:rPr>
          <w:i/>
          <w:sz w:val="24"/>
        </w:rPr>
        <w:t>network</w:t>
      </w:r>
      <w:r>
        <w:rPr>
          <w:sz w:val="24"/>
        </w:rPr>
        <w:t>:</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the name or other identifier for the zone substation that corresponds to that used by the </w:t>
      </w:r>
      <w:r>
        <w:rPr>
          <w:i/>
          <w:sz w:val="24"/>
        </w:rPr>
        <w:t>Distribution Network Service Provider </w:t>
      </w:r>
      <w:r>
        <w:rPr>
          <w:sz w:val="24"/>
        </w:rPr>
        <w:t>in the regional development plan referred to in clause</w:t>
      </w:r>
      <w:r>
        <w:rPr>
          <w:spacing w:val="-2"/>
          <w:sz w:val="24"/>
        </w:rPr>
        <w:t> </w:t>
      </w:r>
      <w:r>
        <w:rPr>
          <w:sz w:val="24"/>
        </w:rPr>
        <w:t>S5.8(n);</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if the </w:t>
      </w:r>
      <w:r>
        <w:rPr>
          <w:i/>
          <w:sz w:val="24"/>
        </w:rPr>
        <w:t>Distribution Network Service Provider </w:t>
      </w:r>
      <w:r>
        <w:rPr>
          <w:sz w:val="24"/>
        </w:rPr>
        <w:t>has determined under paragraph (g) that the </w:t>
      </w:r>
      <w:r>
        <w:rPr>
          <w:i/>
          <w:sz w:val="24"/>
        </w:rPr>
        <w:t>load </w:t>
      </w:r>
      <w:r>
        <w:rPr>
          <w:sz w:val="24"/>
        </w:rPr>
        <w:t>for the zone substation should not</w:t>
      </w:r>
      <w:r>
        <w:rPr>
          <w:spacing w:val="38"/>
          <w:sz w:val="24"/>
        </w:rPr>
        <w:t> </w:t>
      </w:r>
      <w:r>
        <w:rPr>
          <w:sz w:val="24"/>
        </w:rPr>
        <w:t>be</w:t>
      </w:r>
    </w:p>
    <w:p>
      <w:pPr>
        <w:spacing w:after="0" w:line="240" w:lineRule="auto"/>
        <w:jc w:val="both"/>
        <w:rPr>
          <w:sz w:val="24"/>
        </w:rPr>
        <w:sectPr>
          <w:pgSz w:w="11910" w:h="16840"/>
          <w:pgMar w:header="686" w:footer="637" w:top="1320" w:bottom="820" w:left="1200" w:right="1000"/>
        </w:sectPr>
      </w:pPr>
    </w:p>
    <w:p>
      <w:pPr>
        <w:pStyle w:val="BodyText"/>
        <w:spacing w:before="83"/>
        <w:ind w:left="2486" w:firstLine="0"/>
        <w:jc w:val="left"/>
      </w:pPr>
      <w:r>
        <w:rPr/>
        <w:t>disclosed, a statement to the effect that the information has not been provided for that zone substation for reasons of confidentiality;</w:t>
      </w:r>
    </w:p>
    <w:p>
      <w:pPr>
        <w:pStyle w:val="ListParagraph"/>
        <w:numPr>
          <w:ilvl w:val="3"/>
          <w:numId w:val="223"/>
        </w:numPr>
        <w:tabs>
          <w:tab w:pos="2485" w:val="left" w:leader="none"/>
          <w:tab w:pos="2486" w:val="left" w:leader="none"/>
        </w:tabs>
        <w:spacing w:line="240" w:lineRule="auto" w:before="120" w:after="0"/>
        <w:ind w:left="2486" w:right="414" w:hanging="567"/>
        <w:jc w:val="left"/>
        <w:rPr>
          <w:sz w:val="24"/>
        </w:rPr>
      </w:pPr>
      <w:r>
        <w:rPr>
          <w:sz w:val="24"/>
        </w:rPr>
        <w:t>each date and time interval for which </w:t>
      </w:r>
      <w:r>
        <w:rPr>
          <w:i/>
          <w:sz w:val="24"/>
        </w:rPr>
        <w:t>load </w:t>
      </w:r>
      <w:r>
        <w:rPr>
          <w:sz w:val="24"/>
        </w:rPr>
        <w:t>data is available for the zone</w:t>
      </w:r>
      <w:r>
        <w:rPr>
          <w:spacing w:val="-1"/>
          <w:sz w:val="24"/>
        </w:rPr>
        <w:t> </w:t>
      </w:r>
      <w:r>
        <w:rPr>
          <w:sz w:val="24"/>
        </w:rPr>
        <w:t>substation;</w:t>
      </w:r>
    </w:p>
    <w:p>
      <w:pPr>
        <w:pStyle w:val="ListParagraph"/>
        <w:numPr>
          <w:ilvl w:val="3"/>
          <w:numId w:val="223"/>
        </w:numPr>
        <w:tabs>
          <w:tab w:pos="2485" w:val="left" w:leader="none"/>
          <w:tab w:pos="2486" w:val="left" w:leader="none"/>
        </w:tabs>
        <w:spacing w:line="240" w:lineRule="auto" w:before="120" w:after="0"/>
        <w:ind w:left="2485" w:right="0" w:hanging="567"/>
        <w:jc w:val="left"/>
        <w:rPr>
          <w:sz w:val="24"/>
        </w:rPr>
      </w:pPr>
      <w:r>
        <w:rPr>
          <w:sz w:val="24"/>
        </w:rPr>
        <w:t>for</w:t>
      </w:r>
      <w:r>
        <w:rPr>
          <w:spacing w:val="33"/>
          <w:sz w:val="24"/>
        </w:rPr>
        <w:t> </w:t>
      </w:r>
      <w:r>
        <w:rPr>
          <w:sz w:val="24"/>
        </w:rPr>
        <w:t>each</w:t>
      </w:r>
      <w:r>
        <w:rPr>
          <w:spacing w:val="33"/>
          <w:sz w:val="24"/>
        </w:rPr>
        <w:t> </w:t>
      </w:r>
      <w:r>
        <w:rPr>
          <w:sz w:val="24"/>
        </w:rPr>
        <w:t>date</w:t>
      </w:r>
      <w:r>
        <w:rPr>
          <w:spacing w:val="33"/>
          <w:sz w:val="24"/>
        </w:rPr>
        <w:t> </w:t>
      </w:r>
      <w:r>
        <w:rPr>
          <w:sz w:val="24"/>
        </w:rPr>
        <w:t>and</w:t>
      </w:r>
      <w:r>
        <w:rPr>
          <w:spacing w:val="34"/>
          <w:sz w:val="24"/>
        </w:rPr>
        <w:t> </w:t>
      </w:r>
      <w:r>
        <w:rPr>
          <w:sz w:val="24"/>
        </w:rPr>
        <w:t>time</w:t>
      </w:r>
      <w:r>
        <w:rPr>
          <w:spacing w:val="33"/>
          <w:sz w:val="24"/>
        </w:rPr>
        <w:t> </w:t>
      </w:r>
      <w:r>
        <w:rPr>
          <w:sz w:val="24"/>
        </w:rPr>
        <w:t>interval</w:t>
      </w:r>
      <w:r>
        <w:rPr>
          <w:spacing w:val="33"/>
          <w:sz w:val="24"/>
        </w:rPr>
        <w:t> </w:t>
      </w:r>
      <w:r>
        <w:rPr>
          <w:sz w:val="24"/>
        </w:rPr>
        <w:t>specified</w:t>
      </w:r>
      <w:r>
        <w:rPr>
          <w:spacing w:val="33"/>
          <w:sz w:val="24"/>
        </w:rPr>
        <w:t> </w:t>
      </w:r>
      <w:r>
        <w:rPr>
          <w:sz w:val="24"/>
        </w:rPr>
        <w:t>under</w:t>
      </w:r>
      <w:r>
        <w:rPr>
          <w:spacing w:val="34"/>
          <w:sz w:val="24"/>
        </w:rPr>
        <w:t> </w:t>
      </w:r>
      <w:r>
        <w:rPr>
          <w:sz w:val="24"/>
        </w:rPr>
        <w:t>subparagraph</w:t>
      </w:r>
      <w:r>
        <w:rPr>
          <w:spacing w:val="33"/>
          <w:sz w:val="24"/>
        </w:rPr>
        <w:t> </w:t>
      </w:r>
      <w:r>
        <w:rPr>
          <w:sz w:val="24"/>
        </w:rPr>
        <w:t>(b)(3),</w:t>
      </w:r>
    </w:p>
    <w:p>
      <w:pPr>
        <w:spacing w:before="0"/>
        <w:ind w:left="2486" w:right="0" w:firstLine="0"/>
        <w:jc w:val="left"/>
        <w:rPr>
          <w:sz w:val="24"/>
        </w:rPr>
      </w:pPr>
      <w:r>
        <w:rPr>
          <w:i/>
          <w:sz w:val="24"/>
        </w:rPr>
        <w:t>load </w:t>
      </w:r>
      <w:r>
        <w:rPr>
          <w:sz w:val="24"/>
        </w:rPr>
        <w:t>(in kW or MW); and</w:t>
      </w:r>
    </w:p>
    <w:p>
      <w:pPr>
        <w:pStyle w:val="ListParagraph"/>
        <w:numPr>
          <w:ilvl w:val="3"/>
          <w:numId w:val="223"/>
        </w:numPr>
        <w:tabs>
          <w:tab w:pos="2485" w:val="left" w:leader="none"/>
          <w:tab w:pos="2486" w:val="left" w:leader="none"/>
        </w:tabs>
        <w:spacing w:line="240" w:lineRule="auto" w:before="120" w:after="0"/>
        <w:ind w:left="2486" w:right="414" w:hanging="567"/>
        <w:jc w:val="left"/>
        <w:rPr>
          <w:sz w:val="24"/>
        </w:rPr>
      </w:pPr>
      <w:r>
        <w:rPr>
          <w:sz w:val="24"/>
        </w:rPr>
        <w:t>any additional information relating to </w:t>
      </w:r>
      <w:r>
        <w:rPr>
          <w:i/>
          <w:sz w:val="24"/>
        </w:rPr>
        <w:t>load </w:t>
      </w:r>
      <w:r>
        <w:rPr>
          <w:sz w:val="24"/>
        </w:rPr>
        <w:t>at the zone substation that the </w:t>
      </w:r>
      <w:r>
        <w:rPr>
          <w:i/>
          <w:sz w:val="24"/>
        </w:rPr>
        <w:t>Distribution Network Service Provider </w:t>
      </w:r>
      <w:r>
        <w:rPr>
          <w:sz w:val="24"/>
        </w:rPr>
        <w:t>wishes to</w:t>
      </w:r>
      <w:r>
        <w:rPr>
          <w:spacing w:val="-7"/>
          <w:sz w:val="24"/>
        </w:rPr>
        <w:t> </w:t>
      </w:r>
      <w:r>
        <w:rPr>
          <w:sz w:val="24"/>
        </w:rPr>
        <w:t>provide.</w:t>
      </w:r>
    </w:p>
    <w:p>
      <w:pPr>
        <w:spacing w:before="120"/>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The following are examples of additional information that may be provided by a</w:t>
      </w:r>
    </w:p>
    <w:p>
      <w:pPr>
        <w:spacing w:before="0"/>
        <w:ind w:left="2486" w:right="0" w:firstLine="0"/>
        <w:jc w:val="left"/>
        <w:rPr>
          <w:sz w:val="20"/>
        </w:rPr>
      </w:pPr>
      <w:r>
        <w:rPr>
          <w:i/>
          <w:sz w:val="20"/>
        </w:rPr>
        <w:t>Distribution Network Service Provider </w:t>
      </w:r>
      <w:r>
        <w:rPr>
          <w:sz w:val="20"/>
        </w:rPr>
        <w:t>under clause 5.13A(b)(5):</w:t>
      </w:r>
    </w:p>
    <w:p>
      <w:pPr>
        <w:pStyle w:val="ListParagraph"/>
        <w:numPr>
          <w:ilvl w:val="4"/>
          <w:numId w:val="223"/>
        </w:numPr>
        <w:tabs>
          <w:tab w:pos="3052" w:val="left" w:leader="none"/>
          <w:tab w:pos="3053" w:val="left" w:leader="none"/>
        </w:tabs>
        <w:spacing w:line="240" w:lineRule="auto" w:before="120" w:after="0"/>
        <w:ind w:left="3052" w:right="0" w:hanging="567"/>
        <w:jc w:val="left"/>
        <w:rPr>
          <w:sz w:val="24"/>
        </w:rPr>
      </w:pPr>
      <w:r>
        <w:rPr>
          <w:sz w:val="24"/>
        </w:rPr>
        <w:t>apparent power measured in kVA or</w:t>
      </w:r>
      <w:r>
        <w:rPr>
          <w:spacing w:val="-2"/>
          <w:sz w:val="24"/>
        </w:rPr>
        <w:t> </w:t>
      </w:r>
      <w:r>
        <w:rPr>
          <w:sz w:val="24"/>
        </w:rPr>
        <w:t>MVA;</w:t>
      </w:r>
    </w:p>
    <w:p>
      <w:pPr>
        <w:pStyle w:val="ListParagraph"/>
        <w:numPr>
          <w:ilvl w:val="4"/>
          <w:numId w:val="223"/>
        </w:numPr>
        <w:tabs>
          <w:tab w:pos="3052" w:val="left" w:leader="none"/>
          <w:tab w:pos="3053" w:val="left" w:leader="none"/>
        </w:tabs>
        <w:spacing w:line="240" w:lineRule="auto" w:before="120" w:after="0"/>
        <w:ind w:left="3052" w:right="0" w:hanging="567"/>
        <w:jc w:val="left"/>
        <w:rPr>
          <w:sz w:val="24"/>
        </w:rPr>
      </w:pPr>
      <w:r>
        <w:rPr>
          <w:sz w:val="24"/>
        </w:rPr>
        <w:t>reactive power measured in kVAr or MVAr;</w:t>
      </w:r>
      <w:r>
        <w:rPr>
          <w:spacing w:val="-2"/>
          <w:sz w:val="24"/>
        </w:rPr>
        <w:t> </w:t>
      </w:r>
      <w:r>
        <w:rPr>
          <w:sz w:val="24"/>
        </w:rPr>
        <w:t>or</w:t>
      </w:r>
    </w:p>
    <w:p>
      <w:pPr>
        <w:pStyle w:val="ListParagraph"/>
        <w:numPr>
          <w:ilvl w:val="4"/>
          <w:numId w:val="223"/>
        </w:numPr>
        <w:tabs>
          <w:tab w:pos="3052" w:val="left" w:leader="none"/>
          <w:tab w:pos="3053" w:val="left" w:leader="none"/>
        </w:tabs>
        <w:spacing w:line="240" w:lineRule="auto" w:before="120" w:after="0"/>
        <w:ind w:left="3052" w:right="0" w:hanging="567"/>
        <w:jc w:val="left"/>
        <w:rPr>
          <w:sz w:val="24"/>
        </w:rPr>
      </w:pPr>
      <w:r>
        <w:rPr>
          <w:sz w:val="24"/>
        </w:rPr>
        <w:t>power</w:t>
      </w:r>
      <w:r>
        <w:rPr>
          <w:spacing w:val="-1"/>
          <w:sz w:val="24"/>
        </w:rPr>
        <w:t> </w:t>
      </w:r>
      <w:r>
        <w:rPr>
          <w:sz w:val="24"/>
        </w:rPr>
        <w:t>factor.</w:t>
      </w:r>
    </w:p>
    <w:p>
      <w:pPr>
        <w:pStyle w:val="ListParagraph"/>
        <w:numPr>
          <w:ilvl w:val="2"/>
          <w:numId w:val="223"/>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Provider's </w:t>
      </w:r>
      <w:r>
        <w:rPr>
          <w:sz w:val="24"/>
        </w:rPr>
        <w:t>obligation to provide zone substation information under subparagraphs (b)(4) and (5) is to provide raw data. A </w:t>
      </w:r>
      <w:r>
        <w:rPr>
          <w:i/>
          <w:sz w:val="24"/>
        </w:rPr>
        <w:t>Distribution Network Service Provider </w:t>
      </w:r>
      <w:r>
        <w:rPr>
          <w:sz w:val="24"/>
        </w:rPr>
        <w:t>is not required to analyse, assess or validate the quality or accuracy of that data before it is provided to a person who requests it under this rule</w:t>
      </w:r>
      <w:r>
        <w:rPr>
          <w:spacing w:val="-2"/>
          <w:sz w:val="24"/>
        </w:rPr>
        <w:t> </w:t>
      </w:r>
      <w:r>
        <w:rPr>
          <w:sz w:val="24"/>
        </w:rPr>
        <w:t>5.13A.</w:t>
      </w:r>
    </w:p>
    <w:p>
      <w:pPr>
        <w:spacing w:before="220"/>
        <w:ind w:left="1356" w:right="0" w:firstLine="0"/>
        <w:jc w:val="left"/>
        <w:rPr>
          <w:rFonts w:ascii="Arial"/>
          <w:b/>
          <w:sz w:val="22"/>
        </w:rPr>
      </w:pPr>
      <w:r>
        <w:rPr>
          <w:rFonts w:ascii="Arial"/>
          <w:b/>
          <w:sz w:val="22"/>
        </w:rPr>
        <w:t>Requests for zone substation information</w:t>
      </w:r>
    </w:p>
    <w:p>
      <w:pPr>
        <w:pStyle w:val="ListParagraph"/>
        <w:numPr>
          <w:ilvl w:val="2"/>
          <w:numId w:val="223"/>
        </w:numPr>
        <w:tabs>
          <w:tab w:pos="1919" w:val="left" w:leader="none"/>
        </w:tabs>
        <w:spacing w:line="240" w:lineRule="auto" w:before="120" w:after="0"/>
        <w:ind w:left="1918" w:right="0" w:hanging="567"/>
        <w:jc w:val="both"/>
        <w:rPr>
          <w:sz w:val="24"/>
        </w:rPr>
      </w:pPr>
      <w:r>
        <w:rPr>
          <w:sz w:val="24"/>
        </w:rPr>
        <w:t>A </w:t>
      </w:r>
      <w:r>
        <w:rPr>
          <w:i/>
          <w:sz w:val="24"/>
        </w:rPr>
        <w:t>Distribution Network Service Provider </w:t>
      </w:r>
      <w:r>
        <w:rPr>
          <w:sz w:val="24"/>
        </w:rPr>
        <w:t>must publish on its</w:t>
      </w:r>
      <w:r>
        <w:rPr>
          <w:spacing w:val="-7"/>
          <w:sz w:val="24"/>
        </w:rPr>
        <w:t> </w:t>
      </w:r>
      <w:r>
        <w:rPr>
          <w:sz w:val="24"/>
        </w:rPr>
        <w:t>website:</w:t>
      </w:r>
    </w:p>
    <w:p>
      <w:pPr>
        <w:pStyle w:val="ListParagraph"/>
        <w:numPr>
          <w:ilvl w:val="3"/>
          <w:numId w:val="223"/>
        </w:numPr>
        <w:tabs>
          <w:tab w:pos="2486" w:val="left" w:leader="none"/>
        </w:tabs>
        <w:spacing w:line="240" w:lineRule="auto" w:before="120" w:after="0"/>
        <w:ind w:left="2486" w:right="414" w:hanging="567"/>
        <w:jc w:val="both"/>
        <w:rPr>
          <w:sz w:val="24"/>
        </w:rPr>
      </w:pPr>
      <w:r>
        <w:rPr>
          <w:sz w:val="24"/>
        </w:rPr>
        <w:t>information on how a person may request a ten year zone </w:t>
      </w:r>
      <w:r>
        <w:rPr>
          <w:spacing w:val="-3"/>
          <w:sz w:val="24"/>
        </w:rPr>
        <w:t>substation </w:t>
      </w:r>
      <w:r>
        <w:rPr>
          <w:sz w:val="24"/>
        </w:rPr>
        <w:t>report and/or annual zone substation</w:t>
      </w:r>
      <w:r>
        <w:rPr>
          <w:spacing w:val="-1"/>
          <w:sz w:val="24"/>
        </w:rPr>
        <w:t> </w:t>
      </w:r>
      <w:r>
        <w:rPr>
          <w:sz w:val="24"/>
        </w:rPr>
        <w:t>reports;</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the electronic format (and any other format) in which the </w:t>
      </w:r>
      <w:r>
        <w:rPr>
          <w:i/>
          <w:sz w:val="24"/>
        </w:rPr>
        <w:t>Distribution </w:t>
      </w:r>
      <w:r>
        <w:rPr>
          <w:i/>
          <w:sz w:val="24"/>
        </w:rPr>
        <w:t>Network Service Provider </w:t>
      </w:r>
      <w:r>
        <w:rPr>
          <w:sz w:val="24"/>
        </w:rPr>
        <w:t>can make zone substation information available;</w:t>
      </w:r>
    </w:p>
    <w:p>
      <w:pPr>
        <w:pStyle w:val="ListParagraph"/>
        <w:numPr>
          <w:ilvl w:val="3"/>
          <w:numId w:val="223"/>
        </w:numPr>
        <w:tabs>
          <w:tab w:pos="2486" w:val="left" w:leader="none"/>
        </w:tabs>
        <w:spacing w:line="240" w:lineRule="auto" w:before="120" w:after="0"/>
        <w:ind w:left="2486" w:right="416" w:hanging="567"/>
        <w:jc w:val="both"/>
        <w:rPr>
          <w:sz w:val="24"/>
        </w:rPr>
      </w:pPr>
      <w:r>
        <w:rPr>
          <w:sz w:val="24"/>
        </w:rPr>
        <w:t>the end date of the </w:t>
      </w:r>
      <w:r>
        <w:rPr>
          <w:i/>
          <w:sz w:val="24"/>
        </w:rPr>
        <w:t>Distribution Network Service Provider's </w:t>
      </w:r>
      <w:r>
        <w:rPr>
          <w:sz w:val="24"/>
        </w:rPr>
        <w:t>reporting year;</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the start and end dates of the period to which the ten year zone substation report</w:t>
      </w:r>
      <w:r>
        <w:rPr>
          <w:spacing w:val="-3"/>
          <w:sz w:val="24"/>
        </w:rPr>
        <w:t> </w:t>
      </w:r>
      <w:r>
        <w:rPr>
          <w:sz w:val="24"/>
        </w:rPr>
        <w:t>relates;</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details of the annual zone substation reports that are available</w:t>
      </w:r>
      <w:r>
        <w:rPr>
          <w:spacing w:val="42"/>
          <w:sz w:val="24"/>
        </w:rPr>
        <w:t> </w:t>
      </w:r>
      <w:r>
        <w:rPr>
          <w:sz w:val="24"/>
        </w:rPr>
        <w:t>on request;</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information on when the next annual zone substation report will be available on request;</w:t>
      </w:r>
      <w:r>
        <w:rPr>
          <w:spacing w:val="-2"/>
          <w:sz w:val="24"/>
        </w:rPr>
        <w:t> </w:t>
      </w:r>
      <w:r>
        <w:rPr>
          <w:sz w:val="24"/>
        </w:rPr>
        <w:t>and</w:t>
      </w:r>
    </w:p>
    <w:p>
      <w:pPr>
        <w:pStyle w:val="ListParagraph"/>
        <w:numPr>
          <w:ilvl w:val="3"/>
          <w:numId w:val="223"/>
        </w:numPr>
        <w:tabs>
          <w:tab w:pos="2486" w:val="left" w:leader="none"/>
        </w:tabs>
        <w:spacing w:line="240" w:lineRule="auto" w:before="120" w:after="0"/>
        <w:ind w:left="2486" w:right="414" w:hanging="567"/>
        <w:jc w:val="both"/>
        <w:rPr>
          <w:sz w:val="24"/>
        </w:rPr>
      </w:pPr>
      <w:r>
        <w:rPr>
          <w:sz w:val="24"/>
        </w:rPr>
        <w:t>the amount of the fee payable to the </w:t>
      </w:r>
      <w:r>
        <w:rPr>
          <w:i/>
          <w:sz w:val="24"/>
        </w:rPr>
        <w:t>Distribution Network Service </w:t>
      </w:r>
      <w:r>
        <w:rPr>
          <w:i/>
          <w:sz w:val="24"/>
        </w:rPr>
        <w:t>Provider </w:t>
      </w:r>
      <w:r>
        <w:rPr>
          <w:sz w:val="24"/>
        </w:rPr>
        <w:t>for provision of the ten year zone substation report and each annual zone substation report. Any fee specified must be no more than that required to meet the reasonable costs anticipated to be incurred </w:t>
      </w:r>
      <w:r>
        <w:rPr>
          <w:spacing w:val="-6"/>
          <w:sz w:val="24"/>
        </w:rPr>
        <w:t>by </w:t>
      </w:r>
      <w:r>
        <w:rPr>
          <w:sz w:val="24"/>
        </w:rPr>
        <w:t>the </w:t>
      </w:r>
      <w:r>
        <w:rPr>
          <w:i/>
          <w:sz w:val="24"/>
        </w:rPr>
        <w:t>Distribution Network Service Provider </w:t>
      </w:r>
      <w:r>
        <w:rPr>
          <w:sz w:val="24"/>
        </w:rPr>
        <w:t>in providing the relevant zone substation</w:t>
      </w:r>
      <w:r>
        <w:rPr>
          <w:spacing w:val="-1"/>
          <w:sz w:val="24"/>
        </w:rPr>
        <w:t> </w:t>
      </w:r>
      <w:r>
        <w:rPr>
          <w:sz w:val="24"/>
        </w:rPr>
        <w:t>reports.</w:t>
      </w:r>
    </w:p>
    <w:p>
      <w:pPr>
        <w:spacing w:after="0" w:line="240" w:lineRule="auto"/>
        <w:jc w:val="both"/>
        <w:rPr>
          <w:sz w:val="24"/>
        </w:rPr>
        <w:sectPr>
          <w:pgSz w:w="11910" w:h="16840"/>
          <w:pgMar w:header="686" w:footer="637" w:top="1320" w:bottom="820" w:left="1200" w:right="1000"/>
        </w:sectPr>
      </w:pPr>
    </w:p>
    <w:p>
      <w:pPr>
        <w:pStyle w:val="ListParagraph"/>
        <w:numPr>
          <w:ilvl w:val="2"/>
          <w:numId w:val="223"/>
        </w:numPr>
        <w:tabs>
          <w:tab w:pos="1919" w:val="left" w:leader="none"/>
        </w:tabs>
        <w:spacing w:line="240" w:lineRule="auto" w:before="83" w:after="0"/>
        <w:ind w:left="1919" w:right="416" w:hanging="567"/>
        <w:jc w:val="both"/>
        <w:rPr>
          <w:sz w:val="24"/>
        </w:rPr>
      </w:pPr>
      <w:r>
        <w:rPr>
          <w:sz w:val="24"/>
        </w:rPr>
        <w:t>Any person may request a </w:t>
      </w:r>
      <w:r>
        <w:rPr>
          <w:i/>
          <w:sz w:val="24"/>
        </w:rPr>
        <w:t>Distribution Network Service Provider </w:t>
      </w:r>
      <w:r>
        <w:rPr>
          <w:sz w:val="24"/>
        </w:rPr>
        <w:t>to provide zone substation information. A request for zone substation information must:</w:t>
      </w:r>
    </w:p>
    <w:p>
      <w:pPr>
        <w:pStyle w:val="ListParagraph"/>
        <w:numPr>
          <w:ilvl w:val="3"/>
          <w:numId w:val="223"/>
        </w:numPr>
        <w:tabs>
          <w:tab w:pos="2486" w:val="left" w:leader="none"/>
        </w:tabs>
        <w:spacing w:line="240" w:lineRule="auto" w:before="120" w:after="0"/>
        <w:ind w:left="2485" w:right="0" w:hanging="567"/>
        <w:jc w:val="both"/>
        <w:rPr>
          <w:sz w:val="24"/>
        </w:rPr>
      </w:pPr>
      <w:r>
        <w:rPr>
          <w:sz w:val="24"/>
        </w:rPr>
        <w:t>specify whether the person</w:t>
      </w:r>
      <w:r>
        <w:rPr>
          <w:spacing w:val="-4"/>
          <w:sz w:val="24"/>
        </w:rPr>
        <w:t> </w:t>
      </w:r>
      <w:r>
        <w:rPr>
          <w:sz w:val="24"/>
        </w:rPr>
        <w:t>requires:</w:t>
      </w:r>
    </w:p>
    <w:p>
      <w:pPr>
        <w:pStyle w:val="ListParagraph"/>
        <w:numPr>
          <w:ilvl w:val="0"/>
          <w:numId w:val="224"/>
        </w:numPr>
        <w:tabs>
          <w:tab w:pos="3053" w:val="left" w:leader="none"/>
        </w:tabs>
        <w:spacing w:line="240" w:lineRule="auto" w:before="120" w:after="0"/>
        <w:ind w:left="3052" w:right="0" w:hanging="567"/>
        <w:jc w:val="both"/>
        <w:rPr>
          <w:sz w:val="24"/>
        </w:rPr>
      </w:pPr>
      <w:r>
        <w:rPr>
          <w:sz w:val="24"/>
        </w:rPr>
        <w:t>a ten year zone substation report;</w:t>
      </w:r>
      <w:r>
        <w:rPr>
          <w:spacing w:val="-3"/>
          <w:sz w:val="24"/>
        </w:rPr>
        <w:t> </w:t>
      </w:r>
      <w:r>
        <w:rPr>
          <w:sz w:val="24"/>
        </w:rPr>
        <w:t>and/or</w:t>
      </w:r>
    </w:p>
    <w:p>
      <w:pPr>
        <w:pStyle w:val="ListParagraph"/>
        <w:numPr>
          <w:ilvl w:val="0"/>
          <w:numId w:val="224"/>
        </w:numPr>
        <w:tabs>
          <w:tab w:pos="3054" w:val="left" w:leader="none"/>
        </w:tabs>
        <w:spacing w:line="240" w:lineRule="auto" w:before="120" w:after="0"/>
        <w:ind w:left="3053" w:right="0" w:hanging="568"/>
        <w:jc w:val="both"/>
        <w:rPr>
          <w:sz w:val="24"/>
        </w:rPr>
      </w:pPr>
      <w:r>
        <w:rPr>
          <w:sz w:val="24"/>
        </w:rPr>
        <w:t>one or more annual zone substation</w:t>
      </w:r>
      <w:r>
        <w:rPr>
          <w:spacing w:val="-5"/>
          <w:sz w:val="24"/>
        </w:rPr>
        <w:t> </w:t>
      </w:r>
      <w:r>
        <w:rPr>
          <w:sz w:val="24"/>
        </w:rPr>
        <w:t>reports;</w:t>
      </w:r>
    </w:p>
    <w:p>
      <w:pPr>
        <w:pStyle w:val="ListParagraph"/>
        <w:numPr>
          <w:ilvl w:val="3"/>
          <w:numId w:val="223"/>
        </w:numPr>
        <w:tabs>
          <w:tab w:pos="2486" w:val="left" w:leader="none"/>
        </w:tabs>
        <w:spacing w:line="240" w:lineRule="auto" w:before="120" w:after="0"/>
        <w:ind w:left="2486" w:right="416" w:hanging="567"/>
        <w:jc w:val="both"/>
        <w:rPr>
          <w:sz w:val="24"/>
        </w:rPr>
      </w:pPr>
      <w:r>
        <w:rPr>
          <w:sz w:val="24"/>
        </w:rPr>
        <w:t>specify the format in which the person wishes to receive the reports under subparagraph (e)(1), which must be a format specified by the </w:t>
      </w:r>
      <w:r>
        <w:rPr>
          <w:i/>
          <w:sz w:val="24"/>
        </w:rPr>
        <w:t>Distribution Network Service Provider </w:t>
      </w:r>
      <w:r>
        <w:rPr>
          <w:sz w:val="24"/>
        </w:rPr>
        <w:t>under paragraph</w:t>
      </w:r>
      <w:r>
        <w:rPr>
          <w:spacing w:val="-6"/>
          <w:sz w:val="24"/>
        </w:rPr>
        <w:t> </w:t>
      </w:r>
      <w:r>
        <w:rPr>
          <w:sz w:val="24"/>
        </w:rPr>
        <w:t>(d)(2);</w:t>
      </w:r>
    </w:p>
    <w:p>
      <w:pPr>
        <w:pStyle w:val="ListParagraph"/>
        <w:numPr>
          <w:ilvl w:val="3"/>
          <w:numId w:val="223"/>
        </w:numPr>
        <w:tabs>
          <w:tab w:pos="2486" w:val="left" w:leader="none"/>
        </w:tabs>
        <w:spacing w:line="240" w:lineRule="auto" w:before="120" w:after="0"/>
        <w:ind w:left="2485" w:right="0" w:hanging="567"/>
        <w:jc w:val="both"/>
        <w:rPr>
          <w:sz w:val="24"/>
        </w:rPr>
      </w:pPr>
      <w:r>
        <w:rPr>
          <w:sz w:val="24"/>
        </w:rPr>
        <w:t>include an acknowledgment</w:t>
      </w:r>
      <w:r>
        <w:rPr>
          <w:spacing w:val="-1"/>
          <w:sz w:val="24"/>
        </w:rPr>
        <w:t> </w:t>
      </w:r>
      <w:r>
        <w:rPr>
          <w:sz w:val="24"/>
        </w:rPr>
        <w:t>that:</w:t>
      </w:r>
    </w:p>
    <w:p>
      <w:pPr>
        <w:pStyle w:val="ListParagraph"/>
        <w:numPr>
          <w:ilvl w:val="0"/>
          <w:numId w:val="225"/>
        </w:numPr>
        <w:tabs>
          <w:tab w:pos="3053" w:val="left" w:leader="none"/>
        </w:tabs>
        <w:spacing w:line="240" w:lineRule="auto" w:before="120" w:after="0"/>
        <w:ind w:left="3053" w:right="414" w:hanging="567"/>
        <w:jc w:val="both"/>
        <w:rPr>
          <w:sz w:val="24"/>
        </w:rPr>
      </w:pPr>
      <w:r>
        <w:rPr>
          <w:sz w:val="24"/>
        </w:rPr>
        <w:t>any zone substation information provided by the </w:t>
      </w:r>
      <w:r>
        <w:rPr>
          <w:i/>
          <w:sz w:val="24"/>
        </w:rPr>
        <w:t>Distribution </w:t>
      </w:r>
      <w:r>
        <w:rPr>
          <w:i/>
          <w:sz w:val="24"/>
        </w:rPr>
        <w:t>Network Service Provider </w:t>
      </w:r>
      <w:r>
        <w:rPr>
          <w:sz w:val="24"/>
        </w:rPr>
        <w:t>under subparagraphs (b)(4) and (5) is raw data and the </w:t>
      </w:r>
      <w:r>
        <w:rPr>
          <w:i/>
          <w:sz w:val="24"/>
        </w:rPr>
        <w:t>Distribution Network Service Provider </w:t>
      </w:r>
      <w:r>
        <w:rPr>
          <w:sz w:val="24"/>
        </w:rPr>
        <w:t>has not analysed, assessed or validated the quality or accuracy of that data;</w:t>
      </w:r>
      <w:r>
        <w:rPr>
          <w:spacing w:val="-1"/>
          <w:sz w:val="24"/>
        </w:rPr>
        <w:t> </w:t>
      </w:r>
      <w:r>
        <w:rPr>
          <w:sz w:val="24"/>
        </w:rPr>
        <w:t>and</w:t>
      </w:r>
    </w:p>
    <w:p>
      <w:pPr>
        <w:pStyle w:val="ListParagraph"/>
        <w:numPr>
          <w:ilvl w:val="0"/>
          <w:numId w:val="225"/>
        </w:numPr>
        <w:tabs>
          <w:tab w:pos="3054" w:val="left" w:leader="none"/>
        </w:tabs>
        <w:spacing w:line="240" w:lineRule="auto" w:before="120" w:after="0"/>
        <w:ind w:left="3053" w:right="416" w:hanging="567"/>
        <w:jc w:val="both"/>
        <w:rPr>
          <w:sz w:val="24"/>
        </w:rPr>
      </w:pPr>
      <w:r>
        <w:rPr>
          <w:sz w:val="24"/>
        </w:rPr>
        <w:t>the </w:t>
      </w:r>
      <w:r>
        <w:rPr>
          <w:i/>
          <w:sz w:val="24"/>
        </w:rPr>
        <w:t>Distribution Network Service Provider </w:t>
      </w:r>
      <w:r>
        <w:rPr>
          <w:sz w:val="24"/>
        </w:rPr>
        <w:t>makes no warranty or guarantee as to the quality, accuracy or suitability for any particular purpose of the zone substation</w:t>
      </w:r>
      <w:r>
        <w:rPr>
          <w:spacing w:val="-2"/>
          <w:sz w:val="24"/>
        </w:rPr>
        <w:t> </w:t>
      </w:r>
      <w:r>
        <w:rPr>
          <w:sz w:val="24"/>
        </w:rPr>
        <w:t>information;</w:t>
      </w:r>
    </w:p>
    <w:p>
      <w:pPr>
        <w:pStyle w:val="ListParagraph"/>
        <w:numPr>
          <w:ilvl w:val="3"/>
          <w:numId w:val="223"/>
        </w:numPr>
        <w:tabs>
          <w:tab w:pos="2486" w:val="left" w:leader="none"/>
        </w:tabs>
        <w:spacing w:line="240" w:lineRule="auto" w:before="120" w:after="0"/>
        <w:ind w:left="2486" w:right="416" w:hanging="567"/>
        <w:jc w:val="both"/>
        <w:rPr>
          <w:sz w:val="24"/>
        </w:rPr>
      </w:pPr>
      <w:r>
        <w:rPr>
          <w:sz w:val="24"/>
        </w:rPr>
        <w:t>be accompanied by any applicable fees specified on the </w:t>
      </w:r>
      <w:r>
        <w:rPr>
          <w:i/>
          <w:sz w:val="24"/>
        </w:rPr>
        <w:t>Distribution </w:t>
      </w:r>
      <w:r>
        <w:rPr>
          <w:i/>
          <w:sz w:val="24"/>
        </w:rPr>
        <w:t>Network Service Provider's </w:t>
      </w:r>
      <w:r>
        <w:rPr>
          <w:sz w:val="24"/>
        </w:rPr>
        <w:t>website;</w:t>
      </w:r>
      <w:r>
        <w:rPr>
          <w:spacing w:val="-2"/>
          <w:sz w:val="24"/>
        </w:rPr>
        <w:t> </w:t>
      </w:r>
      <w:r>
        <w:rPr>
          <w:sz w:val="24"/>
        </w:rPr>
        <w:t>and</w:t>
      </w:r>
    </w:p>
    <w:p>
      <w:pPr>
        <w:pStyle w:val="ListParagraph"/>
        <w:numPr>
          <w:ilvl w:val="3"/>
          <w:numId w:val="223"/>
        </w:numPr>
        <w:tabs>
          <w:tab w:pos="2486" w:val="left" w:leader="none"/>
        </w:tabs>
        <w:spacing w:line="240" w:lineRule="auto" w:before="120" w:after="0"/>
        <w:ind w:left="2486" w:right="416" w:hanging="567"/>
        <w:jc w:val="both"/>
        <w:rPr>
          <w:sz w:val="24"/>
        </w:rPr>
      </w:pPr>
      <w:r>
        <w:rPr>
          <w:sz w:val="24"/>
        </w:rPr>
        <w:t>otherwise be in the format reasonably required by the </w:t>
      </w:r>
      <w:r>
        <w:rPr>
          <w:i/>
          <w:sz w:val="24"/>
        </w:rPr>
        <w:t>Distribution </w:t>
      </w:r>
      <w:r>
        <w:rPr>
          <w:i/>
          <w:sz w:val="24"/>
        </w:rPr>
        <w:t>Network Service Provider </w:t>
      </w:r>
      <w:r>
        <w:rPr>
          <w:sz w:val="24"/>
        </w:rPr>
        <w:t>and as specified on its</w:t>
      </w:r>
      <w:r>
        <w:rPr>
          <w:spacing w:val="-4"/>
          <w:sz w:val="24"/>
        </w:rPr>
        <w:t> </w:t>
      </w:r>
      <w:r>
        <w:rPr>
          <w:sz w:val="24"/>
        </w:rPr>
        <w:t>website.</w:t>
      </w:r>
    </w:p>
    <w:p>
      <w:pPr>
        <w:spacing w:before="220"/>
        <w:ind w:left="1356" w:right="1023" w:firstLine="0"/>
        <w:jc w:val="left"/>
        <w:rPr>
          <w:rFonts w:ascii="Arial"/>
          <w:b/>
          <w:sz w:val="22"/>
        </w:rPr>
      </w:pPr>
      <w:r>
        <w:rPr>
          <w:rFonts w:ascii="Arial"/>
          <w:b/>
          <w:sz w:val="22"/>
        </w:rPr>
        <w:t>Obligations of Distribution Network Service Providers to provide zone substation information</w:t>
      </w:r>
    </w:p>
    <w:p>
      <w:pPr>
        <w:pStyle w:val="ListParagraph"/>
        <w:numPr>
          <w:ilvl w:val="2"/>
          <w:numId w:val="223"/>
        </w:numPr>
        <w:tabs>
          <w:tab w:pos="1920" w:val="left" w:leader="none"/>
        </w:tabs>
        <w:spacing w:line="240" w:lineRule="auto" w:before="120" w:after="0"/>
        <w:ind w:left="1919" w:right="415" w:hanging="567"/>
        <w:jc w:val="both"/>
        <w:rPr>
          <w:sz w:val="24"/>
        </w:rPr>
      </w:pPr>
      <w:r>
        <w:rPr>
          <w:sz w:val="24"/>
        </w:rPr>
        <w:t>If a </w:t>
      </w:r>
      <w:r>
        <w:rPr>
          <w:i/>
          <w:sz w:val="24"/>
        </w:rPr>
        <w:t>Distribution Network Service Provider </w:t>
      </w:r>
      <w:r>
        <w:rPr>
          <w:sz w:val="24"/>
        </w:rPr>
        <w:t>receives a request in accordance with paragraph (e)</w:t>
      </w:r>
      <w:r>
        <w:rPr>
          <w:spacing w:val="-2"/>
          <w:sz w:val="24"/>
        </w:rPr>
        <w:t> </w:t>
      </w:r>
      <w:r>
        <w:rPr>
          <w:sz w:val="24"/>
        </w:rPr>
        <w:t>it:</w:t>
      </w:r>
    </w:p>
    <w:p>
      <w:pPr>
        <w:pStyle w:val="ListParagraph"/>
        <w:numPr>
          <w:ilvl w:val="3"/>
          <w:numId w:val="223"/>
        </w:numPr>
        <w:tabs>
          <w:tab w:pos="2486" w:val="left" w:leader="none"/>
        </w:tabs>
        <w:spacing w:line="240" w:lineRule="auto" w:before="120" w:after="0"/>
        <w:ind w:left="2486" w:right="415" w:hanging="567"/>
        <w:jc w:val="both"/>
        <w:rPr>
          <w:sz w:val="24"/>
        </w:rPr>
      </w:pPr>
      <w:r>
        <w:rPr>
          <w:sz w:val="24"/>
        </w:rPr>
        <w:t>must provide the report(s) requested as soon as practicable but, in any event, within 30 </w:t>
      </w:r>
      <w:r>
        <w:rPr>
          <w:i/>
          <w:sz w:val="24"/>
        </w:rPr>
        <w:t>business days </w:t>
      </w:r>
      <w:r>
        <w:rPr>
          <w:sz w:val="24"/>
        </w:rPr>
        <w:t>of the date of the request;</w:t>
      </w:r>
      <w:r>
        <w:rPr>
          <w:spacing w:val="-3"/>
          <w:sz w:val="24"/>
        </w:rPr>
        <w:t> </w:t>
      </w:r>
      <w:r>
        <w:rPr>
          <w:sz w:val="24"/>
        </w:rPr>
        <w:t>and</w:t>
      </w:r>
    </w:p>
    <w:p>
      <w:pPr>
        <w:pStyle w:val="ListParagraph"/>
        <w:numPr>
          <w:ilvl w:val="3"/>
          <w:numId w:val="223"/>
        </w:numPr>
        <w:tabs>
          <w:tab w:pos="2486" w:val="left" w:leader="none"/>
        </w:tabs>
        <w:spacing w:line="240" w:lineRule="auto" w:before="120" w:after="0"/>
        <w:ind w:left="2486" w:right="414" w:hanging="567"/>
        <w:jc w:val="both"/>
        <w:rPr>
          <w:sz w:val="24"/>
        </w:rPr>
      </w:pPr>
      <w:r>
        <w:rPr>
          <w:sz w:val="24"/>
        </w:rPr>
        <w:t>must not require the person who requested the report(s) to meet any further conditions or make any further acknowledgments </w:t>
      </w:r>
      <w:r>
        <w:rPr>
          <w:spacing w:val="-6"/>
          <w:sz w:val="24"/>
        </w:rPr>
        <w:t>or </w:t>
      </w:r>
      <w:r>
        <w:rPr>
          <w:sz w:val="24"/>
        </w:rPr>
        <w:t>undertakings to the </w:t>
      </w:r>
      <w:r>
        <w:rPr>
          <w:i/>
          <w:sz w:val="24"/>
        </w:rPr>
        <w:t>Distribution Network Service Provider </w:t>
      </w:r>
      <w:r>
        <w:rPr>
          <w:sz w:val="24"/>
        </w:rPr>
        <w:t>before providing the</w:t>
      </w:r>
      <w:r>
        <w:rPr>
          <w:spacing w:val="-1"/>
          <w:sz w:val="24"/>
        </w:rPr>
        <w:t> </w:t>
      </w:r>
      <w:r>
        <w:rPr>
          <w:sz w:val="24"/>
        </w:rPr>
        <w:t>report(s).</w:t>
      </w:r>
    </w:p>
    <w:p>
      <w:pPr>
        <w:pStyle w:val="ListParagraph"/>
        <w:numPr>
          <w:ilvl w:val="2"/>
          <w:numId w:val="223"/>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is not required to provide information under subparagraphs (b)(3) and (4) for a zone substation if, in the reasonable opinion of the </w:t>
      </w:r>
      <w:r>
        <w:rPr>
          <w:i/>
          <w:sz w:val="24"/>
        </w:rPr>
        <w:t>Distribution Network Service Provider</w:t>
      </w:r>
      <w:r>
        <w:rPr>
          <w:sz w:val="24"/>
        </w:rPr>
        <w:t>, that information is confidential or commercially-sensitive to a third</w:t>
      </w:r>
      <w:r>
        <w:rPr>
          <w:spacing w:val="-3"/>
          <w:sz w:val="24"/>
        </w:rPr>
        <w:t> </w:t>
      </w:r>
      <w:r>
        <w:rPr>
          <w:sz w:val="24"/>
        </w:rPr>
        <w:t>party.</w:t>
      </w:r>
    </w:p>
    <w:p>
      <w:pPr>
        <w:pStyle w:val="BodyText"/>
        <w:spacing w:before="10"/>
        <w:ind w:firstLine="0"/>
        <w:jc w:val="left"/>
        <w:rPr>
          <w:sz w:val="20"/>
        </w:rPr>
      </w:pPr>
    </w:p>
    <w:p>
      <w:pPr>
        <w:pStyle w:val="Heading3"/>
        <w:numPr>
          <w:ilvl w:val="1"/>
          <w:numId w:val="223"/>
        </w:numPr>
        <w:tabs>
          <w:tab w:pos="1351" w:val="left" w:leader="none"/>
          <w:tab w:pos="1353" w:val="left" w:leader="none"/>
        </w:tabs>
        <w:spacing w:line="240" w:lineRule="auto" w:before="0" w:after="0"/>
        <w:ind w:left="1352" w:right="0" w:hanging="1135"/>
        <w:jc w:val="left"/>
      </w:pPr>
      <w:bookmarkStart w:name="5.14 Joint planning" w:id="697"/>
      <w:bookmarkEnd w:id="697"/>
      <w:r>
        <w:rPr>
          <w:b w:val="0"/>
        </w:rPr>
      </w:r>
      <w:bookmarkStart w:name="_bookmark272" w:id="698"/>
      <w:bookmarkEnd w:id="698"/>
      <w:r>
        <w:rPr>
          <w:b w:val="0"/>
        </w:rPr>
      </w:r>
      <w:bookmarkStart w:name="_bookmark272" w:id="699"/>
      <w:bookmarkEnd w:id="699"/>
      <w:r>
        <w:rPr/>
        <w:t>Joi</w:t>
      </w:r>
      <w:r>
        <w:rPr/>
        <w:t>nt</w:t>
      </w:r>
      <w:r>
        <w:rPr>
          <w:spacing w:val="-1"/>
        </w:rPr>
        <w:t> </w:t>
      </w:r>
      <w:r>
        <w:rPr/>
        <w:t>planning</w:t>
      </w:r>
    </w:p>
    <w:p>
      <w:pPr>
        <w:pStyle w:val="Heading4"/>
        <w:numPr>
          <w:ilvl w:val="2"/>
          <w:numId w:val="226"/>
        </w:numPr>
        <w:tabs>
          <w:tab w:pos="1351" w:val="left" w:leader="none"/>
          <w:tab w:pos="1352" w:val="left" w:leader="none"/>
        </w:tabs>
        <w:spacing w:line="240" w:lineRule="auto" w:before="240" w:after="0"/>
        <w:ind w:left="1352" w:right="1511" w:hanging="1134"/>
        <w:jc w:val="left"/>
      </w:pPr>
      <w:bookmarkStart w:name="5.14.1 Joint planning obligations of Tra" w:id="700"/>
      <w:bookmarkEnd w:id="700"/>
      <w:r>
        <w:rPr>
          <w:b w:val="0"/>
        </w:rPr>
      </w:r>
      <w:bookmarkStart w:name="_bookmark273" w:id="701"/>
      <w:bookmarkEnd w:id="701"/>
      <w:r>
        <w:rPr>
          <w:b w:val="0"/>
        </w:rPr>
      </w:r>
      <w:bookmarkStart w:name="_bookmark273" w:id="702"/>
      <w:bookmarkEnd w:id="702"/>
      <w:r>
        <w:rPr/>
        <w:t>Join</w:t>
      </w:r>
      <w:r>
        <w:rPr/>
        <w:t>t planning obligations of Transmission Network Service Providers and Distribution Network Service</w:t>
      </w:r>
      <w:r>
        <w:rPr>
          <w:spacing w:val="-10"/>
        </w:rPr>
        <w:t> </w:t>
      </w:r>
      <w:r>
        <w:rPr/>
        <w:t>Providers</w:t>
      </w:r>
    </w:p>
    <w:p>
      <w:pPr>
        <w:pStyle w:val="ListParagraph"/>
        <w:numPr>
          <w:ilvl w:val="3"/>
          <w:numId w:val="226"/>
        </w:numPr>
        <w:tabs>
          <w:tab w:pos="1918" w:val="left" w:leader="none"/>
          <w:tab w:pos="1919" w:val="left" w:leader="none"/>
        </w:tabs>
        <w:spacing w:line="240" w:lineRule="auto" w:before="120" w:after="0"/>
        <w:ind w:left="1918" w:right="0" w:hanging="567"/>
        <w:jc w:val="left"/>
        <w:rPr>
          <w:sz w:val="24"/>
        </w:rPr>
      </w:pPr>
      <w:r>
        <w:rPr>
          <w:sz w:val="24"/>
        </w:rPr>
        <w:t>Subject to paragraphs (b) and</w:t>
      </w:r>
      <w:r>
        <w:rPr>
          <w:spacing w:val="-1"/>
          <w:sz w:val="24"/>
        </w:rPr>
        <w:t> </w:t>
      </w:r>
      <w:r>
        <w:rPr>
          <w:sz w:val="24"/>
        </w:rPr>
        <w:t>(c):</w:t>
      </w:r>
    </w:p>
    <w:p>
      <w:pPr>
        <w:spacing w:after="0" w:line="240" w:lineRule="auto"/>
        <w:jc w:val="left"/>
        <w:rPr>
          <w:sz w:val="24"/>
        </w:rPr>
        <w:sectPr>
          <w:pgSz w:w="11910" w:h="16840"/>
          <w:pgMar w:header="686" w:footer="637" w:top="1320" w:bottom="820" w:left="1200" w:right="1000"/>
        </w:sectPr>
      </w:pPr>
    </w:p>
    <w:p>
      <w:pPr>
        <w:pStyle w:val="ListParagraph"/>
        <w:numPr>
          <w:ilvl w:val="4"/>
          <w:numId w:val="226"/>
        </w:numPr>
        <w:tabs>
          <w:tab w:pos="2486" w:val="left" w:leader="none"/>
        </w:tabs>
        <w:spacing w:line="240" w:lineRule="auto" w:before="83" w:after="0"/>
        <w:ind w:left="2486" w:right="416" w:hanging="567"/>
        <w:jc w:val="both"/>
        <w:rPr>
          <w:sz w:val="24"/>
        </w:rPr>
      </w:pPr>
      <w:r>
        <w:rPr>
          <w:sz w:val="24"/>
        </w:rPr>
        <w:t>each </w:t>
      </w:r>
      <w:r>
        <w:rPr>
          <w:i/>
          <w:sz w:val="24"/>
        </w:rPr>
        <w:t>Distribution Network Service Provider </w:t>
      </w:r>
      <w:r>
        <w:rPr>
          <w:sz w:val="24"/>
        </w:rPr>
        <w:t>must conduct joint planning with each </w:t>
      </w:r>
      <w:r>
        <w:rPr>
          <w:i/>
          <w:sz w:val="24"/>
        </w:rPr>
        <w:t>Transmission Network Service Provider </w:t>
      </w:r>
      <w:r>
        <w:rPr>
          <w:sz w:val="24"/>
        </w:rPr>
        <w:t>of the </w:t>
      </w:r>
      <w:r>
        <w:rPr>
          <w:i/>
          <w:sz w:val="24"/>
        </w:rPr>
        <w:t>transmission networks </w:t>
      </w:r>
      <w:r>
        <w:rPr>
          <w:sz w:val="24"/>
        </w:rPr>
        <w:t>to which the </w:t>
      </w:r>
      <w:r>
        <w:rPr>
          <w:i/>
          <w:sz w:val="24"/>
        </w:rPr>
        <w:t>Distribution Network Service </w:t>
      </w:r>
      <w:r>
        <w:rPr>
          <w:i/>
          <w:sz w:val="24"/>
        </w:rPr>
        <w:t>Provider's networks </w:t>
      </w:r>
      <w:r>
        <w:rPr>
          <w:sz w:val="24"/>
        </w:rPr>
        <w:t>are </w:t>
      </w:r>
      <w:r>
        <w:rPr>
          <w:i/>
          <w:sz w:val="24"/>
        </w:rPr>
        <w:t>connected</w:t>
      </w:r>
      <w:r>
        <w:rPr>
          <w:sz w:val="24"/>
        </w:rPr>
        <w:t>;</w:t>
      </w:r>
      <w:r>
        <w:rPr>
          <w:spacing w:val="-1"/>
          <w:sz w:val="24"/>
        </w:rPr>
        <w:t> </w:t>
      </w:r>
      <w:r>
        <w:rPr>
          <w:sz w:val="24"/>
        </w:rPr>
        <w:t>and</w:t>
      </w:r>
    </w:p>
    <w:p>
      <w:pPr>
        <w:pStyle w:val="ListParagraph"/>
        <w:numPr>
          <w:ilvl w:val="4"/>
          <w:numId w:val="226"/>
        </w:numPr>
        <w:tabs>
          <w:tab w:pos="2486" w:val="left" w:leader="none"/>
        </w:tabs>
        <w:spacing w:line="240" w:lineRule="auto" w:before="120" w:after="0"/>
        <w:ind w:left="2486" w:right="415" w:hanging="567"/>
        <w:jc w:val="both"/>
        <w:rPr>
          <w:sz w:val="24"/>
        </w:rPr>
      </w:pPr>
      <w:r>
        <w:rPr>
          <w:sz w:val="24"/>
        </w:rPr>
        <w:t>each </w:t>
      </w:r>
      <w:r>
        <w:rPr>
          <w:i/>
          <w:sz w:val="24"/>
        </w:rPr>
        <w:t>Transmission Network Service Provider </w:t>
      </w:r>
      <w:r>
        <w:rPr>
          <w:sz w:val="24"/>
        </w:rPr>
        <w:t>must conduct joint planning with each </w:t>
      </w:r>
      <w:r>
        <w:rPr>
          <w:i/>
          <w:sz w:val="24"/>
        </w:rPr>
        <w:t>Distribution Network Service Provider </w:t>
      </w:r>
      <w:r>
        <w:rPr>
          <w:sz w:val="24"/>
        </w:rPr>
        <w:t>of </w:t>
      </w:r>
      <w:r>
        <w:rPr>
          <w:spacing w:val="-4"/>
          <w:sz w:val="24"/>
        </w:rPr>
        <w:t>the </w:t>
      </w:r>
      <w:r>
        <w:rPr>
          <w:i/>
          <w:sz w:val="24"/>
        </w:rPr>
        <w:t>distribution networks </w:t>
      </w:r>
      <w:r>
        <w:rPr>
          <w:sz w:val="24"/>
        </w:rPr>
        <w:t>to which the </w:t>
      </w:r>
      <w:r>
        <w:rPr>
          <w:i/>
          <w:sz w:val="24"/>
        </w:rPr>
        <w:t>Transmission Network Service </w:t>
      </w:r>
      <w:r>
        <w:rPr>
          <w:i/>
          <w:sz w:val="24"/>
        </w:rPr>
        <w:t>Provider's networks </w:t>
      </w:r>
      <w:r>
        <w:rPr>
          <w:sz w:val="24"/>
        </w:rPr>
        <w:t>are</w:t>
      </w:r>
      <w:r>
        <w:rPr>
          <w:spacing w:val="-1"/>
          <w:sz w:val="24"/>
        </w:rPr>
        <w:t> </w:t>
      </w:r>
      <w:r>
        <w:rPr>
          <w:i/>
          <w:sz w:val="24"/>
        </w:rPr>
        <w:t>connected</w:t>
      </w:r>
      <w:r>
        <w:rPr>
          <w:sz w:val="24"/>
        </w:rPr>
        <w:t>.</w:t>
      </w:r>
    </w:p>
    <w:p>
      <w:pPr>
        <w:pStyle w:val="ListParagraph"/>
        <w:numPr>
          <w:ilvl w:val="3"/>
          <w:numId w:val="226"/>
        </w:numPr>
        <w:tabs>
          <w:tab w:pos="1919" w:val="left" w:leader="none"/>
        </w:tabs>
        <w:spacing w:line="240" w:lineRule="auto" w:before="120" w:after="0"/>
        <w:ind w:left="1919" w:right="414" w:hanging="567"/>
        <w:jc w:val="both"/>
        <w:rPr>
          <w:sz w:val="24"/>
        </w:rPr>
      </w:pPr>
      <w:r>
        <w:rPr>
          <w:sz w:val="24"/>
        </w:rPr>
        <w:t>In the case of the </w:t>
      </w:r>
      <w:r>
        <w:rPr>
          <w:i/>
          <w:sz w:val="24"/>
        </w:rPr>
        <w:t>declared shared network </w:t>
      </w:r>
      <w:r>
        <w:rPr>
          <w:sz w:val="24"/>
        </w:rPr>
        <w:t>of an </w:t>
      </w:r>
      <w:r>
        <w:rPr>
          <w:i/>
          <w:sz w:val="24"/>
        </w:rPr>
        <w:t>adoptive jurisdiction</w:t>
      </w:r>
      <w:r>
        <w:rPr>
          <w:sz w:val="24"/>
        </w:rPr>
        <w:t>, the relevant </w:t>
      </w:r>
      <w:r>
        <w:rPr>
          <w:i/>
          <w:sz w:val="24"/>
        </w:rPr>
        <w:t>declared transmission system operator</w:t>
      </w:r>
      <w:r>
        <w:rPr>
          <w:sz w:val="24"/>
        </w:rPr>
        <w:t>, the relevant </w:t>
      </w:r>
      <w:r>
        <w:rPr>
          <w:i/>
          <w:sz w:val="24"/>
        </w:rPr>
        <w:t>Distribution </w:t>
      </w:r>
      <w:r>
        <w:rPr>
          <w:i/>
          <w:sz w:val="24"/>
        </w:rPr>
        <w:t>Network Service Provider</w:t>
      </w:r>
      <w:r>
        <w:rPr>
          <w:sz w:val="24"/>
        </w:rPr>
        <w:t>, </w:t>
      </w:r>
      <w:r>
        <w:rPr>
          <w:i/>
          <w:sz w:val="24"/>
        </w:rPr>
        <w:t>AEMO </w:t>
      </w:r>
      <w:r>
        <w:rPr>
          <w:sz w:val="24"/>
        </w:rPr>
        <w:t>and any </w:t>
      </w:r>
      <w:r>
        <w:rPr>
          <w:i/>
          <w:sz w:val="24"/>
        </w:rPr>
        <w:t>interested party </w:t>
      </w:r>
      <w:r>
        <w:rPr>
          <w:sz w:val="24"/>
        </w:rPr>
        <w:t>that has informed </w:t>
      </w:r>
      <w:r>
        <w:rPr>
          <w:i/>
          <w:sz w:val="24"/>
        </w:rPr>
        <w:t>AEMO </w:t>
      </w:r>
      <w:r>
        <w:rPr>
          <w:sz w:val="24"/>
        </w:rPr>
        <w:t>of its interest in the relevant plans, shall conduct joint planning.</w:t>
      </w:r>
    </w:p>
    <w:p>
      <w:pPr>
        <w:pStyle w:val="ListParagraph"/>
        <w:numPr>
          <w:ilvl w:val="3"/>
          <w:numId w:val="226"/>
        </w:numPr>
        <w:tabs>
          <w:tab w:pos="1919" w:val="left" w:leader="none"/>
        </w:tabs>
        <w:spacing w:line="240" w:lineRule="auto" w:before="120" w:after="0"/>
        <w:ind w:left="1919" w:right="415" w:hanging="567"/>
        <w:jc w:val="both"/>
        <w:rPr>
          <w:sz w:val="24"/>
        </w:rPr>
      </w:pPr>
      <w:r>
        <w:rPr>
          <w:sz w:val="24"/>
        </w:rPr>
        <w:t>For the purposes of this clause 5.14.1, a </w:t>
      </w:r>
      <w:r>
        <w:rPr>
          <w:i/>
          <w:sz w:val="24"/>
        </w:rPr>
        <w:t>Transmission Network Service </w:t>
      </w:r>
      <w:r>
        <w:rPr>
          <w:i/>
          <w:sz w:val="24"/>
        </w:rPr>
        <w:t>Provider </w:t>
      </w:r>
      <w:r>
        <w:rPr>
          <w:sz w:val="24"/>
        </w:rPr>
        <w:t>does not include a </w:t>
      </w:r>
      <w:r>
        <w:rPr>
          <w:i/>
          <w:sz w:val="24"/>
        </w:rPr>
        <w:t>Network Service Provider </w:t>
      </w:r>
      <w:r>
        <w:rPr>
          <w:sz w:val="24"/>
        </w:rPr>
        <w:t>that is a </w:t>
      </w:r>
      <w:r>
        <w:rPr>
          <w:i/>
          <w:sz w:val="24"/>
        </w:rPr>
        <w:t>Transmission </w:t>
      </w:r>
      <w:r>
        <w:rPr>
          <w:i/>
          <w:sz w:val="24"/>
        </w:rPr>
        <w:t>Network Service Provider </w:t>
      </w:r>
      <w:r>
        <w:rPr>
          <w:sz w:val="24"/>
        </w:rPr>
        <w:t>only because it owns, controls or operates </w:t>
      </w:r>
      <w:r>
        <w:rPr>
          <w:i/>
          <w:spacing w:val="-3"/>
          <w:sz w:val="24"/>
        </w:rPr>
        <w:t>dual </w:t>
      </w:r>
      <w:r>
        <w:rPr>
          <w:i/>
          <w:sz w:val="24"/>
        </w:rPr>
        <w:t>function assets </w:t>
      </w:r>
      <w:r>
        <w:rPr>
          <w:sz w:val="24"/>
        </w:rPr>
        <w:t>or </w:t>
      </w:r>
      <w:r>
        <w:rPr>
          <w:i/>
          <w:sz w:val="24"/>
        </w:rPr>
        <w:t>transmission assets </w:t>
      </w:r>
      <w:r>
        <w:rPr>
          <w:sz w:val="24"/>
        </w:rPr>
        <w:t>that are regulated under Chapter</w:t>
      </w:r>
      <w:r>
        <w:rPr>
          <w:spacing w:val="-10"/>
          <w:sz w:val="24"/>
        </w:rPr>
        <w:t> </w:t>
      </w:r>
      <w:r>
        <w:rPr>
          <w:sz w:val="24"/>
        </w:rPr>
        <w:t>6.</w:t>
      </w:r>
    </w:p>
    <w:p>
      <w:pPr>
        <w:pStyle w:val="ListParagraph"/>
        <w:numPr>
          <w:ilvl w:val="3"/>
          <w:numId w:val="226"/>
        </w:numPr>
        <w:tabs>
          <w:tab w:pos="1919" w:val="left" w:leader="none"/>
        </w:tabs>
        <w:spacing w:line="240" w:lineRule="auto" w:before="120" w:after="0"/>
        <w:ind w:left="1919" w:right="415" w:hanging="567"/>
        <w:jc w:val="both"/>
        <w:rPr>
          <w:sz w:val="24"/>
        </w:rPr>
      </w:pPr>
      <w:r>
        <w:rPr>
          <w:sz w:val="24"/>
        </w:rPr>
        <w:t>The relevant </w:t>
      </w:r>
      <w:r>
        <w:rPr>
          <w:i/>
          <w:sz w:val="24"/>
        </w:rPr>
        <w:t>Distribution Network Service Provider </w:t>
      </w:r>
      <w:r>
        <w:rPr>
          <w:sz w:val="24"/>
        </w:rPr>
        <w:t>and </w:t>
      </w:r>
      <w:r>
        <w:rPr>
          <w:i/>
          <w:sz w:val="24"/>
        </w:rPr>
        <w:t>Transmission </w:t>
      </w:r>
      <w:r>
        <w:rPr>
          <w:i/>
          <w:sz w:val="24"/>
        </w:rPr>
        <w:t>Network Service Provider</w:t>
      </w:r>
      <w:r>
        <w:rPr>
          <w:i/>
          <w:spacing w:val="-1"/>
          <w:sz w:val="24"/>
        </w:rPr>
        <w:t> </w:t>
      </w:r>
      <w:r>
        <w:rPr>
          <w:sz w:val="24"/>
        </w:rPr>
        <w:t>must:</w:t>
      </w:r>
    </w:p>
    <w:p>
      <w:pPr>
        <w:pStyle w:val="ListParagraph"/>
        <w:numPr>
          <w:ilvl w:val="4"/>
          <w:numId w:val="226"/>
        </w:numPr>
        <w:tabs>
          <w:tab w:pos="2486" w:val="left" w:leader="none"/>
        </w:tabs>
        <w:spacing w:line="240" w:lineRule="auto" w:before="120" w:after="0"/>
        <w:ind w:left="2486" w:right="413" w:hanging="567"/>
        <w:jc w:val="both"/>
        <w:rPr>
          <w:sz w:val="24"/>
        </w:rPr>
      </w:pPr>
      <w:r>
        <w:rPr>
          <w:sz w:val="24"/>
        </w:rPr>
        <w:t>assess the adequacy of existing </w:t>
      </w:r>
      <w:r>
        <w:rPr>
          <w:i/>
          <w:sz w:val="24"/>
        </w:rPr>
        <w:t>transmission </w:t>
      </w:r>
      <w:r>
        <w:rPr>
          <w:sz w:val="24"/>
        </w:rPr>
        <w:t>and </w:t>
      </w:r>
      <w:r>
        <w:rPr>
          <w:i/>
          <w:sz w:val="24"/>
        </w:rPr>
        <w:t>distribution networks </w:t>
      </w:r>
      <w:r>
        <w:rPr>
          <w:sz w:val="24"/>
        </w:rPr>
        <w:t>and the assets associated with transmission-distribution connection points over the next five years and to undertake joint planning </w:t>
      </w:r>
      <w:r>
        <w:rPr>
          <w:spacing w:val="-6"/>
          <w:sz w:val="24"/>
        </w:rPr>
        <w:t>of </w:t>
      </w:r>
      <w:r>
        <w:rPr>
          <w:sz w:val="24"/>
        </w:rPr>
        <w:t>projects which relate to both </w:t>
      </w:r>
      <w:r>
        <w:rPr>
          <w:i/>
          <w:sz w:val="24"/>
        </w:rPr>
        <w:t>networks </w:t>
      </w:r>
      <w:r>
        <w:rPr>
          <w:sz w:val="24"/>
        </w:rPr>
        <w:t>(including, where relevant, </w:t>
      </w:r>
      <w:r>
        <w:rPr>
          <w:i/>
          <w:sz w:val="24"/>
        </w:rPr>
        <w:t>dual </w:t>
      </w:r>
      <w:r>
        <w:rPr>
          <w:i/>
          <w:sz w:val="24"/>
        </w:rPr>
        <w:t>function</w:t>
      </w:r>
      <w:r>
        <w:rPr>
          <w:i/>
          <w:spacing w:val="-1"/>
          <w:sz w:val="24"/>
        </w:rPr>
        <w:t> </w:t>
      </w:r>
      <w:r>
        <w:rPr>
          <w:i/>
          <w:sz w:val="24"/>
        </w:rPr>
        <w:t>assets</w:t>
      </w:r>
      <w:r>
        <w:rPr>
          <w:sz w:val="24"/>
        </w:rPr>
        <w:t>);</w:t>
      </w:r>
    </w:p>
    <w:p>
      <w:pPr>
        <w:pStyle w:val="ListParagraph"/>
        <w:numPr>
          <w:ilvl w:val="4"/>
          <w:numId w:val="226"/>
        </w:numPr>
        <w:tabs>
          <w:tab w:pos="2486" w:val="left" w:leader="none"/>
        </w:tabs>
        <w:spacing w:line="240" w:lineRule="auto" w:before="120" w:after="0"/>
        <w:ind w:left="2486" w:right="414" w:hanging="567"/>
        <w:jc w:val="both"/>
        <w:rPr>
          <w:sz w:val="24"/>
        </w:rPr>
      </w:pPr>
      <w:r>
        <w:rPr>
          <w:sz w:val="24"/>
        </w:rPr>
        <w:t>use best endeavours to work together to ensure efficient planning outcomes and to identify the most efficient options to address the needs identified in accordance with subparagraph</w:t>
      </w:r>
      <w:r>
        <w:rPr>
          <w:spacing w:val="-4"/>
          <w:sz w:val="24"/>
        </w:rPr>
        <w:t> </w:t>
      </w:r>
      <w:r>
        <w:rPr>
          <w:sz w:val="24"/>
        </w:rPr>
        <w:t>(4);</w:t>
      </w:r>
    </w:p>
    <w:p>
      <w:pPr>
        <w:pStyle w:val="ListParagraph"/>
        <w:numPr>
          <w:ilvl w:val="4"/>
          <w:numId w:val="226"/>
        </w:numPr>
        <w:tabs>
          <w:tab w:pos="2486" w:val="left" w:leader="none"/>
        </w:tabs>
        <w:spacing w:line="240" w:lineRule="auto" w:before="120" w:after="0"/>
        <w:ind w:left="2485" w:right="0" w:hanging="567"/>
        <w:jc w:val="both"/>
        <w:rPr>
          <w:sz w:val="24"/>
        </w:rPr>
      </w:pPr>
      <w:r>
        <w:rPr>
          <w:sz w:val="24"/>
        </w:rPr>
        <w:t>identify any limitations or</w:t>
      </w:r>
      <w:r>
        <w:rPr>
          <w:spacing w:val="-1"/>
          <w:sz w:val="24"/>
        </w:rPr>
        <w:t> </w:t>
      </w:r>
      <w:r>
        <w:rPr>
          <w:sz w:val="24"/>
        </w:rPr>
        <w:t>constraints:</w:t>
      </w:r>
    </w:p>
    <w:p>
      <w:pPr>
        <w:pStyle w:val="ListParagraph"/>
        <w:numPr>
          <w:ilvl w:val="5"/>
          <w:numId w:val="226"/>
        </w:numPr>
        <w:tabs>
          <w:tab w:pos="3053" w:val="left" w:leader="none"/>
        </w:tabs>
        <w:spacing w:line="240" w:lineRule="auto" w:before="120" w:after="0"/>
        <w:ind w:left="3053" w:right="415" w:hanging="567"/>
        <w:jc w:val="both"/>
        <w:rPr>
          <w:sz w:val="24"/>
        </w:rPr>
      </w:pPr>
      <w:r>
        <w:rPr>
          <w:sz w:val="24"/>
        </w:rPr>
        <w:t>that will affect both the </w:t>
      </w:r>
      <w:r>
        <w:rPr>
          <w:i/>
          <w:sz w:val="24"/>
        </w:rPr>
        <w:t>Transmission Network Service </w:t>
      </w:r>
      <w:r>
        <w:rPr>
          <w:i/>
          <w:sz w:val="24"/>
        </w:rPr>
        <w:t>Provider's </w:t>
      </w:r>
      <w:r>
        <w:rPr>
          <w:sz w:val="24"/>
        </w:rPr>
        <w:t>and </w:t>
      </w:r>
      <w:r>
        <w:rPr>
          <w:i/>
          <w:sz w:val="24"/>
        </w:rPr>
        <w:t>Distribution Network Service Provider's network</w:t>
      </w:r>
      <w:r>
        <w:rPr>
          <w:sz w:val="24"/>
        </w:rPr>
        <w:t>; or</w:t>
      </w:r>
    </w:p>
    <w:p>
      <w:pPr>
        <w:pStyle w:val="ListParagraph"/>
        <w:numPr>
          <w:ilvl w:val="5"/>
          <w:numId w:val="226"/>
        </w:numPr>
        <w:tabs>
          <w:tab w:pos="3054" w:val="left" w:leader="none"/>
        </w:tabs>
        <w:spacing w:line="240" w:lineRule="auto" w:before="120" w:after="0"/>
        <w:ind w:left="3053" w:right="415" w:hanging="567"/>
        <w:jc w:val="both"/>
        <w:rPr>
          <w:sz w:val="24"/>
        </w:rPr>
      </w:pPr>
      <w:r>
        <w:rPr>
          <w:sz w:val="24"/>
        </w:rPr>
        <w:t>which can only be addressed by corrective action that will require coordination by the </w:t>
      </w:r>
      <w:r>
        <w:rPr>
          <w:i/>
          <w:sz w:val="24"/>
        </w:rPr>
        <w:t>Transmission Network Service </w:t>
      </w:r>
      <w:r>
        <w:rPr>
          <w:i/>
          <w:sz w:val="24"/>
        </w:rPr>
        <w:t>Provider </w:t>
      </w:r>
      <w:r>
        <w:rPr>
          <w:sz w:val="24"/>
        </w:rPr>
        <w:t>and the </w:t>
      </w:r>
      <w:r>
        <w:rPr>
          <w:i/>
          <w:sz w:val="24"/>
        </w:rPr>
        <w:t>Distribution Network Service Provider</w:t>
      </w:r>
      <w:r>
        <w:rPr>
          <w:sz w:val="24"/>
        </w:rPr>
        <w:t>;</w:t>
      </w:r>
      <w:r>
        <w:rPr>
          <w:spacing w:val="-11"/>
          <w:sz w:val="24"/>
        </w:rPr>
        <w:t> </w:t>
      </w:r>
      <w:r>
        <w:rPr>
          <w:sz w:val="24"/>
        </w:rPr>
        <w:t>and</w:t>
      </w:r>
    </w:p>
    <w:p>
      <w:pPr>
        <w:pStyle w:val="ListParagraph"/>
        <w:numPr>
          <w:ilvl w:val="4"/>
          <w:numId w:val="226"/>
        </w:numPr>
        <w:tabs>
          <w:tab w:pos="2486" w:val="left" w:leader="none"/>
        </w:tabs>
        <w:spacing w:line="240" w:lineRule="auto" w:before="120" w:after="0"/>
        <w:ind w:left="2486" w:right="416" w:hanging="567"/>
        <w:jc w:val="both"/>
        <w:rPr>
          <w:sz w:val="24"/>
        </w:rPr>
      </w:pPr>
      <w:r>
        <w:rPr>
          <w:sz w:val="24"/>
        </w:rPr>
        <w:t>where the need for a joint planning project is identified </w:t>
      </w:r>
      <w:r>
        <w:rPr>
          <w:spacing w:val="-3"/>
          <w:sz w:val="24"/>
        </w:rPr>
        <w:t>under </w:t>
      </w:r>
      <w:r>
        <w:rPr>
          <w:sz w:val="24"/>
        </w:rPr>
        <w:t>subparagraph</w:t>
      </w:r>
      <w:r>
        <w:rPr>
          <w:spacing w:val="-2"/>
          <w:sz w:val="24"/>
        </w:rPr>
        <w:t> </w:t>
      </w:r>
      <w:r>
        <w:rPr>
          <w:sz w:val="24"/>
        </w:rPr>
        <w:t>(3):</w:t>
      </w:r>
    </w:p>
    <w:p>
      <w:pPr>
        <w:pStyle w:val="ListParagraph"/>
        <w:numPr>
          <w:ilvl w:val="5"/>
          <w:numId w:val="226"/>
        </w:numPr>
        <w:tabs>
          <w:tab w:pos="3053" w:val="left" w:leader="none"/>
        </w:tabs>
        <w:spacing w:line="240" w:lineRule="auto" w:before="120" w:after="0"/>
        <w:ind w:left="3053" w:right="415" w:hanging="567"/>
        <w:jc w:val="both"/>
        <w:rPr>
          <w:sz w:val="24"/>
        </w:rPr>
      </w:pPr>
      <w:r>
        <w:rPr>
          <w:sz w:val="24"/>
        </w:rPr>
        <w:t>jointly determine plans that can be considered by relevant </w:t>
      </w:r>
      <w:r>
        <w:rPr>
          <w:i/>
          <w:sz w:val="24"/>
        </w:rPr>
        <w:t>Registered Participants</w:t>
      </w:r>
      <w:r>
        <w:rPr>
          <w:sz w:val="24"/>
        </w:rPr>
        <w:t>, </w:t>
      </w:r>
      <w:r>
        <w:rPr>
          <w:i/>
          <w:sz w:val="24"/>
        </w:rPr>
        <w:t>AEMO</w:t>
      </w:r>
      <w:r>
        <w:rPr>
          <w:sz w:val="24"/>
        </w:rPr>
        <w:t>, </w:t>
      </w:r>
      <w:r>
        <w:rPr>
          <w:i/>
          <w:sz w:val="24"/>
        </w:rPr>
        <w:t>interested parties</w:t>
      </w:r>
      <w:r>
        <w:rPr>
          <w:sz w:val="24"/>
        </w:rPr>
        <w:t>, and parties registered on the demand side engagement register of each </w:t>
      </w:r>
      <w:r>
        <w:rPr>
          <w:i/>
          <w:sz w:val="24"/>
        </w:rPr>
        <w:t>Distribution Network Service Provider </w:t>
      </w:r>
      <w:r>
        <w:rPr>
          <w:sz w:val="24"/>
        </w:rPr>
        <w:t>involved in joint planning;</w:t>
      </w:r>
    </w:p>
    <w:p>
      <w:pPr>
        <w:pStyle w:val="ListParagraph"/>
        <w:numPr>
          <w:ilvl w:val="5"/>
          <w:numId w:val="226"/>
        </w:numPr>
        <w:tabs>
          <w:tab w:pos="3054" w:val="left" w:leader="none"/>
        </w:tabs>
        <w:spacing w:line="240" w:lineRule="auto" w:before="120" w:after="0"/>
        <w:ind w:left="3053" w:right="415" w:hanging="567"/>
        <w:jc w:val="both"/>
        <w:rPr>
          <w:sz w:val="24"/>
        </w:rPr>
      </w:pPr>
      <w:r>
        <w:rPr>
          <w:sz w:val="24"/>
        </w:rPr>
        <w:t>determine whether the joint planning project is a RIT-T project or a RIT-D project;</w:t>
      </w:r>
      <w:r>
        <w:rPr>
          <w:spacing w:val="-1"/>
          <w:sz w:val="24"/>
        </w:rPr>
        <w:t> </w:t>
      </w:r>
      <w:r>
        <w:rPr>
          <w:sz w:val="24"/>
        </w:rPr>
        <w:t>and</w:t>
      </w:r>
    </w:p>
    <w:p>
      <w:pPr>
        <w:pStyle w:val="ListParagraph"/>
        <w:numPr>
          <w:ilvl w:val="5"/>
          <w:numId w:val="226"/>
        </w:numPr>
        <w:tabs>
          <w:tab w:pos="3053" w:val="left" w:leader="none"/>
        </w:tabs>
        <w:spacing w:line="240" w:lineRule="auto" w:before="120" w:after="0"/>
        <w:ind w:left="3052" w:right="0" w:hanging="567"/>
        <w:jc w:val="both"/>
        <w:rPr>
          <w:sz w:val="24"/>
        </w:rPr>
      </w:pPr>
      <w:r>
        <w:rPr>
          <w:sz w:val="24"/>
        </w:rPr>
        <w:t>may</w:t>
      </w:r>
      <w:r>
        <w:rPr>
          <w:spacing w:val="12"/>
          <w:sz w:val="24"/>
        </w:rPr>
        <w:t> </w:t>
      </w:r>
      <w:r>
        <w:rPr>
          <w:sz w:val="24"/>
        </w:rPr>
        <w:t>agree</w:t>
      </w:r>
      <w:r>
        <w:rPr>
          <w:spacing w:val="13"/>
          <w:sz w:val="24"/>
        </w:rPr>
        <w:t> </w:t>
      </w:r>
      <w:r>
        <w:rPr>
          <w:sz w:val="24"/>
        </w:rPr>
        <w:t>on</w:t>
      </w:r>
      <w:r>
        <w:rPr>
          <w:spacing w:val="12"/>
          <w:sz w:val="24"/>
        </w:rPr>
        <w:t> </w:t>
      </w:r>
      <w:r>
        <w:rPr>
          <w:sz w:val="24"/>
        </w:rPr>
        <w:t>a</w:t>
      </w:r>
      <w:r>
        <w:rPr>
          <w:spacing w:val="13"/>
          <w:sz w:val="24"/>
        </w:rPr>
        <w:t> </w:t>
      </w:r>
      <w:r>
        <w:rPr>
          <w:sz w:val="24"/>
        </w:rPr>
        <w:t>lead</w:t>
      </w:r>
      <w:r>
        <w:rPr>
          <w:spacing w:val="13"/>
          <w:sz w:val="24"/>
        </w:rPr>
        <w:t> </w:t>
      </w:r>
      <w:r>
        <w:rPr>
          <w:sz w:val="24"/>
        </w:rPr>
        <w:t>party</w:t>
      </w:r>
      <w:r>
        <w:rPr>
          <w:spacing w:val="13"/>
          <w:sz w:val="24"/>
        </w:rPr>
        <w:t> </w:t>
      </w:r>
      <w:r>
        <w:rPr>
          <w:sz w:val="24"/>
        </w:rPr>
        <w:t>to</w:t>
      </w:r>
      <w:r>
        <w:rPr>
          <w:spacing w:val="13"/>
          <w:sz w:val="24"/>
        </w:rPr>
        <w:t> </w:t>
      </w:r>
      <w:r>
        <w:rPr>
          <w:sz w:val="24"/>
        </w:rPr>
        <w:t>be</w:t>
      </w:r>
      <w:r>
        <w:rPr>
          <w:spacing w:val="13"/>
          <w:sz w:val="24"/>
        </w:rPr>
        <w:t> </w:t>
      </w:r>
      <w:r>
        <w:rPr>
          <w:sz w:val="24"/>
        </w:rPr>
        <w:t>responsible</w:t>
      </w:r>
      <w:r>
        <w:rPr>
          <w:spacing w:val="12"/>
          <w:sz w:val="24"/>
        </w:rPr>
        <w:t> </w:t>
      </w:r>
      <w:r>
        <w:rPr>
          <w:sz w:val="24"/>
        </w:rPr>
        <w:t>for</w:t>
      </w:r>
      <w:r>
        <w:rPr>
          <w:spacing w:val="13"/>
          <w:sz w:val="24"/>
        </w:rPr>
        <w:t> </w:t>
      </w:r>
      <w:r>
        <w:rPr>
          <w:sz w:val="24"/>
        </w:rPr>
        <w:t>carrying</w:t>
      </w:r>
      <w:r>
        <w:rPr>
          <w:spacing w:val="13"/>
          <w:sz w:val="24"/>
        </w:rPr>
        <w:t> </w:t>
      </w:r>
      <w:r>
        <w:rPr>
          <w:sz w:val="24"/>
        </w:rPr>
        <w:t>out</w:t>
      </w:r>
      <w:r>
        <w:rPr>
          <w:spacing w:val="12"/>
          <w:sz w:val="24"/>
        </w:rPr>
        <w:t> </w:t>
      </w:r>
      <w:r>
        <w:rPr>
          <w:sz w:val="24"/>
        </w:rPr>
        <w:t>the</w:t>
      </w:r>
    </w:p>
    <w:p>
      <w:pPr>
        <w:spacing w:before="0"/>
        <w:ind w:left="3053" w:right="0" w:firstLine="0"/>
        <w:jc w:val="both"/>
        <w:rPr>
          <w:i/>
          <w:sz w:val="24"/>
        </w:rPr>
      </w:pPr>
      <w:r>
        <w:rPr>
          <w:i/>
          <w:sz w:val="24"/>
        </w:rPr>
        <w:t>regulatory investment test for transmission </w:t>
      </w:r>
      <w:r>
        <w:rPr>
          <w:sz w:val="24"/>
        </w:rPr>
        <w:t>or the</w:t>
      </w:r>
      <w:r>
        <w:rPr>
          <w:spacing w:val="59"/>
          <w:sz w:val="24"/>
        </w:rPr>
        <w:t> </w:t>
      </w:r>
      <w:r>
        <w:rPr>
          <w:i/>
          <w:sz w:val="24"/>
        </w:rPr>
        <w:t>regulatory</w:t>
      </w:r>
    </w:p>
    <w:p>
      <w:pPr>
        <w:spacing w:after="0"/>
        <w:jc w:val="both"/>
        <w:rPr>
          <w:sz w:val="24"/>
        </w:rPr>
        <w:sectPr>
          <w:pgSz w:w="11910" w:h="16840"/>
          <w:pgMar w:header="686" w:footer="637" w:top="1320" w:bottom="820" w:left="1200" w:right="1000"/>
        </w:sectPr>
      </w:pPr>
    </w:p>
    <w:p>
      <w:pPr>
        <w:spacing w:before="83"/>
        <w:ind w:left="3053" w:right="415" w:firstLine="0"/>
        <w:jc w:val="both"/>
        <w:rPr>
          <w:sz w:val="24"/>
        </w:rPr>
      </w:pPr>
      <w:r>
        <w:rPr>
          <w:i/>
          <w:sz w:val="24"/>
        </w:rPr>
        <w:t>investment test for distribution </w:t>
      </w:r>
      <w:r>
        <w:rPr>
          <w:sz w:val="24"/>
        </w:rPr>
        <w:t>(as the case may be) in respect of the joint planning project.</w:t>
      </w:r>
    </w:p>
    <w:p>
      <w:pPr>
        <w:pStyle w:val="ListParagraph"/>
        <w:numPr>
          <w:ilvl w:val="3"/>
          <w:numId w:val="226"/>
        </w:numPr>
        <w:tabs>
          <w:tab w:pos="1919" w:val="left" w:leader="none"/>
        </w:tabs>
        <w:spacing w:line="240" w:lineRule="auto" w:before="120" w:after="0"/>
        <w:ind w:left="1919" w:right="414" w:hanging="567"/>
        <w:jc w:val="both"/>
        <w:rPr>
          <w:sz w:val="24"/>
        </w:rPr>
      </w:pPr>
      <w:r>
        <w:rPr>
          <w:sz w:val="24"/>
        </w:rPr>
        <w:t>If a </w:t>
      </w:r>
      <w:r>
        <w:rPr>
          <w:i/>
          <w:sz w:val="24"/>
        </w:rPr>
        <w:t>Network Service Provider</w:t>
      </w:r>
      <w:r>
        <w:rPr>
          <w:sz w:val="24"/>
        </w:rPr>
        <w:t>, as the lead party for one or more </w:t>
      </w:r>
      <w:r>
        <w:rPr>
          <w:i/>
          <w:sz w:val="24"/>
        </w:rPr>
        <w:t>Network </w:t>
      </w:r>
      <w:r>
        <w:rPr>
          <w:i/>
          <w:sz w:val="24"/>
        </w:rPr>
        <w:t>Service Providers</w:t>
      </w:r>
      <w:r>
        <w:rPr>
          <w:sz w:val="24"/>
        </w:rPr>
        <w:t>, undertakes the </w:t>
      </w:r>
      <w:r>
        <w:rPr>
          <w:i/>
          <w:sz w:val="24"/>
        </w:rPr>
        <w:t>regulatory investment test</w:t>
      </w:r>
      <w:r>
        <w:rPr>
          <w:i/>
          <w:spacing w:val="45"/>
          <w:sz w:val="24"/>
        </w:rPr>
        <w:t> </w:t>
      </w:r>
      <w:r>
        <w:rPr>
          <w:i/>
          <w:sz w:val="24"/>
        </w:rPr>
        <w:t>for </w:t>
      </w:r>
      <w:r>
        <w:rPr>
          <w:i/>
          <w:sz w:val="24"/>
        </w:rPr>
        <w:t>transmission </w:t>
      </w:r>
      <w:r>
        <w:rPr>
          <w:sz w:val="24"/>
        </w:rPr>
        <w:t>or the </w:t>
      </w:r>
      <w:r>
        <w:rPr>
          <w:i/>
          <w:sz w:val="24"/>
        </w:rPr>
        <w:t>regulatory investment test for distribution </w:t>
      </w:r>
      <w:r>
        <w:rPr>
          <w:sz w:val="24"/>
        </w:rPr>
        <w:t>(as the case may be) in respect of a joint planning project, the other </w:t>
      </w:r>
      <w:r>
        <w:rPr>
          <w:i/>
          <w:sz w:val="24"/>
        </w:rPr>
        <w:t>Network Service </w:t>
      </w:r>
      <w:r>
        <w:rPr>
          <w:i/>
          <w:sz w:val="24"/>
        </w:rPr>
        <w:t>Providers </w:t>
      </w:r>
      <w:r>
        <w:rPr>
          <w:sz w:val="24"/>
        </w:rPr>
        <w:t>will be taken to have discharged their obligation to undertake the relevant test in respect of that</w:t>
      </w:r>
      <w:r>
        <w:rPr>
          <w:spacing w:val="-1"/>
          <w:sz w:val="24"/>
        </w:rPr>
        <w:t> </w:t>
      </w:r>
      <w:r>
        <w:rPr>
          <w:sz w:val="24"/>
        </w:rPr>
        <w:t>project.</w:t>
      </w:r>
    </w:p>
    <w:p>
      <w:pPr>
        <w:pStyle w:val="BodyText"/>
        <w:spacing w:before="10"/>
        <w:ind w:firstLine="0"/>
        <w:jc w:val="left"/>
        <w:rPr>
          <w:sz w:val="20"/>
        </w:rPr>
      </w:pPr>
    </w:p>
    <w:p>
      <w:pPr>
        <w:pStyle w:val="Heading4"/>
        <w:numPr>
          <w:ilvl w:val="2"/>
          <w:numId w:val="226"/>
        </w:numPr>
        <w:tabs>
          <w:tab w:pos="1351" w:val="left" w:leader="none"/>
          <w:tab w:pos="1352" w:val="left" w:leader="none"/>
        </w:tabs>
        <w:spacing w:line="240" w:lineRule="auto" w:before="0" w:after="0"/>
        <w:ind w:left="1352" w:right="552" w:hanging="1134"/>
        <w:jc w:val="left"/>
      </w:pPr>
      <w:bookmarkStart w:name="5.14.2 Joint planning obligations of Dis" w:id="703"/>
      <w:bookmarkEnd w:id="703"/>
      <w:r>
        <w:rPr>
          <w:b w:val="0"/>
        </w:rPr>
      </w:r>
      <w:bookmarkStart w:name="_bookmark274" w:id="704"/>
      <w:bookmarkEnd w:id="704"/>
      <w:r>
        <w:rPr>
          <w:b w:val="0"/>
        </w:rPr>
      </w:r>
      <w:bookmarkStart w:name="_bookmark274" w:id="705"/>
      <w:bookmarkEnd w:id="705"/>
      <w:r>
        <w:rPr/>
        <w:t>Join</w:t>
      </w:r>
      <w:r>
        <w:rPr/>
        <w:t>t planning obligations of Distribution Network Service Providers and Distribution Network Service</w:t>
      </w:r>
      <w:r>
        <w:rPr>
          <w:spacing w:val="-4"/>
        </w:rPr>
        <w:t> </w:t>
      </w:r>
      <w:r>
        <w:rPr/>
        <w:t>Providers</w:t>
      </w:r>
    </w:p>
    <w:p>
      <w:pPr>
        <w:pStyle w:val="ListParagraph"/>
        <w:numPr>
          <w:ilvl w:val="3"/>
          <w:numId w:val="226"/>
        </w:numPr>
        <w:tabs>
          <w:tab w:pos="1919" w:val="left" w:leader="none"/>
        </w:tabs>
        <w:spacing w:line="240" w:lineRule="auto" w:before="120" w:after="0"/>
        <w:ind w:left="1919" w:right="414" w:hanging="567"/>
        <w:jc w:val="both"/>
        <w:rPr>
          <w:sz w:val="24"/>
        </w:rPr>
      </w:pPr>
      <w:r>
        <w:rPr>
          <w:i/>
          <w:sz w:val="24"/>
        </w:rPr>
        <w:t>Distribution Network Service Providers </w:t>
      </w:r>
      <w:r>
        <w:rPr>
          <w:sz w:val="24"/>
        </w:rPr>
        <w:t>must undertake joint planning with other </w:t>
      </w:r>
      <w:r>
        <w:rPr>
          <w:i/>
          <w:sz w:val="24"/>
        </w:rPr>
        <w:t>Distribution Network Service Providers </w:t>
      </w:r>
      <w:r>
        <w:rPr>
          <w:sz w:val="24"/>
        </w:rPr>
        <w:t>where there is a requirement to consider the need for any </w:t>
      </w:r>
      <w:r>
        <w:rPr>
          <w:i/>
          <w:sz w:val="24"/>
        </w:rPr>
        <w:t>augmentation </w:t>
      </w:r>
      <w:r>
        <w:rPr>
          <w:sz w:val="24"/>
        </w:rPr>
        <w:t>or </w:t>
      </w:r>
      <w:r>
        <w:rPr>
          <w:i/>
          <w:sz w:val="24"/>
        </w:rPr>
        <w:t>non-network options </w:t>
      </w:r>
      <w:r>
        <w:rPr>
          <w:sz w:val="24"/>
        </w:rPr>
        <w:t>that affect more than one </w:t>
      </w:r>
      <w:r>
        <w:rPr>
          <w:i/>
          <w:sz w:val="24"/>
        </w:rPr>
        <w:t>Distribution Network Service Provider's</w:t>
      </w:r>
      <w:r>
        <w:rPr>
          <w:i/>
          <w:spacing w:val="-6"/>
          <w:sz w:val="24"/>
        </w:rPr>
        <w:t> </w:t>
      </w:r>
      <w:r>
        <w:rPr>
          <w:i/>
          <w:sz w:val="24"/>
        </w:rPr>
        <w:t>network</w:t>
      </w:r>
      <w:r>
        <w:rPr>
          <w:sz w:val="24"/>
        </w:rPr>
        <w:t>.</w:t>
      </w:r>
    </w:p>
    <w:p>
      <w:pPr>
        <w:pStyle w:val="ListParagraph"/>
        <w:numPr>
          <w:ilvl w:val="3"/>
          <w:numId w:val="226"/>
        </w:numPr>
        <w:tabs>
          <w:tab w:pos="1919" w:val="left" w:leader="none"/>
        </w:tabs>
        <w:spacing w:line="240" w:lineRule="auto" w:before="120" w:after="0"/>
        <w:ind w:left="1919" w:right="415" w:hanging="567"/>
        <w:jc w:val="both"/>
        <w:rPr>
          <w:sz w:val="24"/>
        </w:rPr>
      </w:pPr>
      <w:r>
        <w:rPr>
          <w:i/>
          <w:sz w:val="24"/>
        </w:rPr>
        <w:t>Distribution Network Service Providers </w:t>
      </w:r>
      <w:r>
        <w:rPr>
          <w:sz w:val="24"/>
        </w:rPr>
        <w:t>involved in joint planning may agree on a lead party to be responsible for carrying out the</w:t>
      </w:r>
      <w:r>
        <w:rPr>
          <w:spacing w:val="11"/>
          <w:sz w:val="24"/>
        </w:rPr>
        <w:t> </w:t>
      </w:r>
      <w:r>
        <w:rPr>
          <w:i/>
          <w:sz w:val="24"/>
        </w:rPr>
        <w:t>regulatory </w:t>
      </w:r>
      <w:r>
        <w:rPr>
          <w:i/>
          <w:sz w:val="24"/>
        </w:rPr>
        <w:t>investment test for distribution </w:t>
      </w:r>
      <w:r>
        <w:rPr>
          <w:sz w:val="24"/>
        </w:rPr>
        <w:t>in respect of the joint planning</w:t>
      </w:r>
      <w:r>
        <w:rPr>
          <w:spacing w:val="-3"/>
          <w:sz w:val="24"/>
        </w:rPr>
        <w:t> </w:t>
      </w:r>
      <w:r>
        <w:rPr>
          <w:sz w:val="24"/>
        </w:rPr>
        <w:t>project.</w:t>
      </w:r>
    </w:p>
    <w:p>
      <w:pPr>
        <w:pStyle w:val="ListParagraph"/>
        <w:numPr>
          <w:ilvl w:val="3"/>
          <w:numId w:val="226"/>
        </w:numPr>
        <w:tabs>
          <w:tab w:pos="1919" w:val="left" w:leader="none"/>
        </w:tabs>
        <w:spacing w:line="240" w:lineRule="auto" w:before="120" w:after="0"/>
        <w:ind w:left="1919" w:right="415" w:hanging="567"/>
        <w:jc w:val="both"/>
        <w:rPr>
          <w:sz w:val="24"/>
        </w:rPr>
      </w:pPr>
      <w:r>
        <w:rPr>
          <w:sz w:val="24"/>
        </w:rPr>
        <w:t>If a </w:t>
      </w:r>
      <w:r>
        <w:rPr>
          <w:i/>
          <w:sz w:val="24"/>
        </w:rPr>
        <w:t>Distribution Network Service Provider</w:t>
      </w:r>
      <w:r>
        <w:rPr>
          <w:sz w:val="24"/>
        </w:rPr>
        <w:t>, as the lead party for one or more </w:t>
      </w:r>
      <w:r>
        <w:rPr>
          <w:i/>
          <w:sz w:val="24"/>
        </w:rPr>
        <w:t>Distribution Network Service Providers</w:t>
      </w:r>
      <w:r>
        <w:rPr>
          <w:sz w:val="24"/>
        </w:rPr>
        <w:t>, undertakes the </w:t>
      </w:r>
      <w:r>
        <w:rPr>
          <w:i/>
          <w:sz w:val="24"/>
        </w:rPr>
        <w:t>regulatory </w:t>
      </w:r>
      <w:r>
        <w:rPr>
          <w:i/>
          <w:sz w:val="24"/>
        </w:rPr>
        <w:t>investment test for distribution </w:t>
      </w:r>
      <w:r>
        <w:rPr>
          <w:sz w:val="24"/>
        </w:rPr>
        <w:t>in respect of a joint planning project, the other </w:t>
      </w:r>
      <w:r>
        <w:rPr>
          <w:i/>
          <w:sz w:val="24"/>
        </w:rPr>
        <w:t>Distribution Network Service Providers </w:t>
      </w:r>
      <w:r>
        <w:rPr>
          <w:sz w:val="24"/>
        </w:rPr>
        <w:t>will be taken to have discharged their obligation to undertake the </w:t>
      </w:r>
      <w:r>
        <w:rPr>
          <w:i/>
          <w:sz w:val="24"/>
        </w:rPr>
        <w:t>regulatory investment test for </w:t>
      </w:r>
      <w:r>
        <w:rPr>
          <w:i/>
          <w:sz w:val="24"/>
        </w:rPr>
        <w:t>distribution </w:t>
      </w:r>
      <w:r>
        <w:rPr>
          <w:sz w:val="24"/>
        </w:rPr>
        <w:t>in respect of that</w:t>
      </w:r>
      <w:r>
        <w:rPr>
          <w:spacing w:val="-2"/>
          <w:sz w:val="24"/>
        </w:rPr>
        <w:t> </w:t>
      </w:r>
      <w:r>
        <w:rPr>
          <w:sz w:val="24"/>
        </w:rPr>
        <w:t>project.</w:t>
      </w:r>
    </w:p>
    <w:p>
      <w:pPr>
        <w:pStyle w:val="BodyText"/>
        <w:spacing w:before="10"/>
        <w:ind w:firstLine="0"/>
        <w:jc w:val="left"/>
        <w:rPr>
          <w:sz w:val="20"/>
        </w:rPr>
      </w:pPr>
    </w:p>
    <w:p>
      <w:pPr>
        <w:pStyle w:val="Heading4"/>
        <w:numPr>
          <w:ilvl w:val="2"/>
          <w:numId w:val="226"/>
        </w:numPr>
        <w:tabs>
          <w:tab w:pos="1351" w:val="left" w:leader="none"/>
          <w:tab w:pos="1352" w:val="left" w:leader="none"/>
        </w:tabs>
        <w:spacing w:line="240" w:lineRule="auto" w:before="0" w:after="0"/>
        <w:ind w:left="1352" w:right="1511" w:hanging="1134"/>
        <w:jc w:val="left"/>
      </w:pPr>
      <w:bookmarkStart w:name="5.14.3 Joint planning obligations of Tra" w:id="706"/>
      <w:bookmarkEnd w:id="706"/>
      <w:r>
        <w:rPr>
          <w:b w:val="0"/>
        </w:rPr>
      </w:r>
      <w:bookmarkStart w:name="_bookmark275" w:id="707"/>
      <w:bookmarkEnd w:id="707"/>
      <w:r>
        <w:rPr>
          <w:b w:val="0"/>
        </w:rPr>
      </w:r>
      <w:bookmarkStart w:name="_bookmark275" w:id="708"/>
      <w:bookmarkEnd w:id="708"/>
      <w:r>
        <w:rPr/>
        <w:t>Join</w:t>
      </w:r>
      <w:r>
        <w:rPr/>
        <w:t>t planning obligations of Transmission Network Service Providers</w:t>
      </w:r>
    </w:p>
    <w:p>
      <w:pPr>
        <w:spacing w:before="120"/>
        <w:ind w:left="1352" w:right="0" w:firstLine="0"/>
        <w:jc w:val="both"/>
        <w:rPr>
          <w:sz w:val="24"/>
        </w:rPr>
      </w:pPr>
      <w:r>
        <w:rPr>
          <w:i/>
          <w:sz w:val="24"/>
        </w:rPr>
        <w:t>Transmission Network Service Providers </w:t>
      </w:r>
      <w:r>
        <w:rPr>
          <w:sz w:val="24"/>
        </w:rPr>
        <w:t>must undertake joint planning if:</w:t>
      </w:r>
    </w:p>
    <w:p>
      <w:pPr>
        <w:pStyle w:val="ListParagraph"/>
        <w:numPr>
          <w:ilvl w:val="3"/>
          <w:numId w:val="226"/>
        </w:numPr>
        <w:tabs>
          <w:tab w:pos="1919" w:val="left" w:leader="none"/>
        </w:tabs>
        <w:spacing w:line="240" w:lineRule="auto" w:before="120" w:after="0"/>
        <w:ind w:left="1919" w:right="413" w:hanging="567"/>
        <w:jc w:val="both"/>
        <w:rPr>
          <w:sz w:val="24"/>
        </w:rPr>
      </w:pPr>
      <w:r>
        <w:rPr>
          <w:sz w:val="24"/>
        </w:rPr>
        <w:t>a possible credible option to address a </w:t>
      </w:r>
      <w:r>
        <w:rPr>
          <w:i/>
          <w:sz w:val="24"/>
        </w:rPr>
        <w:t>constraint </w:t>
      </w:r>
      <w:r>
        <w:rPr>
          <w:sz w:val="24"/>
        </w:rPr>
        <w:t>in a </w:t>
      </w:r>
      <w:r>
        <w:rPr>
          <w:i/>
          <w:sz w:val="24"/>
        </w:rPr>
        <w:t>transmission network </w:t>
      </w:r>
      <w:r>
        <w:rPr>
          <w:sz w:val="24"/>
        </w:rPr>
        <w:t>is an </w:t>
      </w:r>
      <w:r>
        <w:rPr>
          <w:i/>
          <w:sz w:val="24"/>
        </w:rPr>
        <w:t>augmentation </w:t>
      </w:r>
      <w:r>
        <w:rPr>
          <w:sz w:val="24"/>
        </w:rPr>
        <w:t>to the </w:t>
      </w:r>
      <w:r>
        <w:rPr>
          <w:i/>
          <w:sz w:val="24"/>
        </w:rPr>
        <w:t>transmission network </w:t>
      </w:r>
      <w:r>
        <w:rPr>
          <w:sz w:val="24"/>
        </w:rPr>
        <w:t>of another </w:t>
      </w:r>
      <w:r>
        <w:rPr>
          <w:i/>
          <w:sz w:val="24"/>
        </w:rPr>
        <w:t>Transmission </w:t>
      </w:r>
      <w:r>
        <w:rPr>
          <w:i/>
          <w:sz w:val="24"/>
        </w:rPr>
        <w:t>Network Service Provider</w:t>
      </w:r>
      <w:r>
        <w:rPr>
          <w:sz w:val="24"/>
        </w:rPr>
        <w:t>;</w:t>
      </w:r>
      <w:r>
        <w:rPr>
          <w:spacing w:val="-1"/>
          <w:sz w:val="24"/>
        </w:rPr>
        <w:t> </w:t>
      </w:r>
      <w:r>
        <w:rPr>
          <w:sz w:val="24"/>
        </w:rPr>
        <w:t>and</w:t>
      </w:r>
    </w:p>
    <w:p>
      <w:pPr>
        <w:pStyle w:val="ListParagraph"/>
        <w:numPr>
          <w:ilvl w:val="3"/>
          <w:numId w:val="226"/>
        </w:numPr>
        <w:tabs>
          <w:tab w:pos="1919" w:val="left" w:leader="none"/>
        </w:tabs>
        <w:spacing w:line="240" w:lineRule="auto" w:before="120" w:after="0"/>
        <w:ind w:left="1919" w:right="415" w:hanging="567"/>
        <w:jc w:val="both"/>
        <w:rPr>
          <w:sz w:val="24"/>
        </w:rPr>
      </w:pPr>
      <w:r>
        <w:rPr>
          <w:sz w:val="24"/>
        </w:rPr>
        <w:t>that </w:t>
      </w:r>
      <w:r>
        <w:rPr>
          <w:i/>
          <w:sz w:val="24"/>
        </w:rPr>
        <w:t>constraint </w:t>
      </w:r>
      <w:r>
        <w:rPr>
          <w:sz w:val="24"/>
        </w:rPr>
        <w:t>is not already being considered under other processes under the </w:t>
      </w:r>
      <w:r>
        <w:rPr>
          <w:i/>
          <w:sz w:val="24"/>
        </w:rPr>
        <w:t>Rules</w:t>
      </w:r>
      <w:r>
        <w:rPr>
          <w:sz w:val="24"/>
        </w:rPr>
        <w:t>.</w:t>
      </w:r>
    </w:p>
    <w:p>
      <w:pPr>
        <w:pStyle w:val="BodyText"/>
        <w:spacing w:before="10"/>
        <w:ind w:firstLine="0"/>
        <w:jc w:val="left"/>
        <w:rPr>
          <w:sz w:val="20"/>
        </w:rPr>
      </w:pPr>
    </w:p>
    <w:p>
      <w:pPr>
        <w:pStyle w:val="Heading3"/>
        <w:numPr>
          <w:ilvl w:val="1"/>
          <w:numId w:val="227"/>
        </w:numPr>
        <w:tabs>
          <w:tab w:pos="725" w:val="left" w:leader="none"/>
          <w:tab w:pos="1351" w:val="left" w:leader="none"/>
        </w:tabs>
        <w:spacing w:line="240" w:lineRule="auto" w:before="0" w:after="0"/>
        <w:ind w:left="1352" w:right="551" w:hanging="1134"/>
        <w:jc w:val="left"/>
      </w:pPr>
      <w:bookmarkStart w:name="5.14A Joint planning in relation to reti" w:id="709"/>
      <w:bookmarkEnd w:id="709"/>
      <w:r>
        <w:rPr>
          <w:b w:val="0"/>
        </w:rPr>
      </w:r>
      <w:bookmarkStart w:name="_bookmark276" w:id="710"/>
      <w:bookmarkEnd w:id="710"/>
      <w:r>
        <w:rPr>
          <w:b w:val="0"/>
        </w:rPr>
      </w:r>
      <w:bookmarkStart w:name="_bookmark276" w:id="711"/>
      <w:bookmarkEnd w:id="711"/>
      <w:r>
        <w:rPr/>
        <w:t>A</w:t>
      </w:r>
      <w:r>
        <w:rPr/>
        <w:tab/>
        <w:t>Joint planning in relation to retirement or de-ratings of network assets forming part of the Declared Shared</w:t>
      </w:r>
      <w:r>
        <w:rPr>
          <w:spacing w:val="-7"/>
        </w:rPr>
        <w:t> </w:t>
      </w:r>
      <w:r>
        <w:rPr/>
        <w:t>Network</w:t>
      </w:r>
    </w:p>
    <w:p>
      <w:pPr>
        <w:pStyle w:val="ListParagraph"/>
        <w:numPr>
          <w:ilvl w:val="2"/>
          <w:numId w:val="227"/>
        </w:numPr>
        <w:tabs>
          <w:tab w:pos="1919" w:val="left" w:leader="none"/>
        </w:tabs>
        <w:spacing w:line="240" w:lineRule="auto" w:before="120" w:after="0"/>
        <w:ind w:left="1919" w:right="415" w:hanging="567"/>
        <w:jc w:val="both"/>
        <w:rPr>
          <w:sz w:val="24"/>
        </w:rPr>
      </w:pPr>
      <w:r>
        <w:rPr>
          <w:sz w:val="24"/>
        </w:rPr>
        <w:t>In the case of a proposed retirement or de-rating of a </w:t>
      </w:r>
      <w:r>
        <w:rPr>
          <w:i/>
          <w:sz w:val="24"/>
        </w:rPr>
        <w:t>network </w:t>
      </w:r>
      <w:r>
        <w:rPr>
          <w:sz w:val="24"/>
        </w:rPr>
        <w:t>asset that forms part of the </w:t>
      </w:r>
      <w:r>
        <w:rPr>
          <w:i/>
          <w:sz w:val="24"/>
        </w:rPr>
        <w:t>declared shared network </w:t>
      </w:r>
      <w:r>
        <w:rPr>
          <w:sz w:val="24"/>
        </w:rPr>
        <w:t>of an </w:t>
      </w:r>
      <w:r>
        <w:rPr>
          <w:i/>
          <w:sz w:val="24"/>
        </w:rPr>
        <w:t>adoptive jurisdiction</w:t>
      </w:r>
      <w:r>
        <w:rPr>
          <w:sz w:val="24"/>
        </w:rPr>
        <w:t>, </w:t>
      </w:r>
      <w:r>
        <w:rPr>
          <w:i/>
          <w:sz w:val="24"/>
        </w:rPr>
        <w:t>AEMO </w:t>
      </w:r>
      <w:r>
        <w:rPr>
          <w:sz w:val="24"/>
        </w:rPr>
        <w:t>and the relevant </w:t>
      </w:r>
      <w:r>
        <w:rPr>
          <w:i/>
          <w:sz w:val="24"/>
        </w:rPr>
        <w:t>declared transmission system operator </w:t>
      </w:r>
      <w:r>
        <w:rPr>
          <w:sz w:val="24"/>
        </w:rPr>
        <w:t>must conduct joint planning in respect of that proposed retirement or de-rating if an </w:t>
      </w:r>
      <w:r>
        <w:rPr>
          <w:i/>
          <w:sz w:val="24"/>
        </w:rPr>
        <w:t>identified need </w:t>
      </w:r>
      <w:r>
        <w:rPr>
          <w:sz w:val="24"/>
        </w:rPr>
        <w:t>arises from that proposed retirement or</w:t>
      </w:r>
      <w:r>
        <w:rPr>
          <w:spacing w:val="-5"/>
          <w:sz w:val="24"/>
        </w:rPr>
        <w:t> </w:t>
      </w:r>
      <w:r>
        <w:rPr>
          <w:sz w:val="24"/>
        </w:rPr>
        <w:t>de-rating.</w:t>
      </w:r>
    </w:p>
    <w:p>
      <w:pPr>
        <w:pStyle w:val="ListParagraph"/>
        <w:numPr>
          <w:ilvl w:val="2"/>
          <w:numId w:val="227"/>
        </w:numPr>
        <w:tabs>
          <w:tab w:pos="1919" w:val="left" w:leader="none"/>
        </w:tabs>
        <w:spacing w:line="240" w:lineRule="auto" w:before="120" w:after="0"/>
        <w:ind w:left="1919" w:right="413" w:hanging="567"/>
        <w:jc w:val="both"/>
        <w:rPr>
          <w:sz w:val="24"/>
        </w:rPr>
      </w:pPr>
      <w:r>
        <w:rPr>
          <w:sz w:val="24"/>
        </w:rPr>
        <w:t>In conducting joint planning under paragraph (a), </w:t>
      </w:r>
      <w:r>
        <w:rPr>
          <w:i/>
          <w:sz w:val="24"/>
        </w:rPr>
        <w:t>AEMO </w:t>
      </w:r>
      <w:r>
        <w:rPr>
          <w:sz w:val="24"/>
        </w:rPr>
        <w:t>and the </w:t>
      </w:r>
      <w:r>
        <w:rPr>
          <w:i/>
          <w:sz w:val="24"/>
        </w:rPr>
        <w:t>declared </w:t>
      </w:r>
      <w:r>
        <w:rPr>
          <w:i/>
          <w:sz w:val="24"/>
        </w:rPr>
        <w:t>transmission system operator </w:t>
      </w:r>
      <w:r>
        <w:rPr>
          <w:sz w:val="24"/>
        </w:rPr>
        <w:t>must use best endeavours to work together to identify the most efficient options to address the relevant </w:t>
      </w:r>
      <w:r>
        <w:rPr>
          <w:i/>
          <w:sz w:val="24"/>
        </w:rPr>
        <w:t>identified</w:t>
      </w:r>
      <w:r>
        <w:rPr>
          <w:i/>
          <w:spacing w:val="-5"/>
          <w:sz w:val="24"/>
        </w:rPr>
        <w:t> </w:t>
      </w:r>
      <w:r>
        <w:rPr>
          <w:i/>
          <w:sz w:val="24"/>
        </w:rPr>
        <w:t>need</w:t>
      </w:r>
      <w:r>
        <w:rPr>
          <w:sz w:val="24"/>
        </w:rPr>
        <w:t>.</w:t>
      </w:r>
    </w:p>
    <w:p>
      <w:pPr>
        <w:spacing w:after="0" w:line="240" w:lineRule="auto"/>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5.14B TAPR Guidelines" w:id="712"/>
      <w:bookmarkEnd w:id="712"/>
      <w:r>
        <w:rPr>
          <w:b w:val="0"/>
        </w:rPr>
      </w:r>
      <w:bookmarkStart w:name="_bookmark277" w:id="713"/>
      <w:bookmarkEnd w:id="713"/>
      <w:r>
        <w:rPr>
          <w:b w:val="0"/>
        </w:rPr>
      </w:r>
      <w:r>
        <w:rPr/>
        <w:t>5.14B</w:t>
        <w:tab/>
        <w:t>TAPR</w:t>
      </w:r>
      <w:r>
        <w:rPr>
          <w:spacing w:val="-1"/>
        </w:rPr>
        <w:t> </w:t>
      </w:r>
      <w:r>
        <w:rPr/>
        <w:t>Guidelines</w:t>
      </w:r>
    </w:p>
    <w:p>
      <w:pPr>
        <w:pStyle w:val="Heading4"/>
        <w:numPr>
          <w:ilvl w:val="1"/>
          <w:numId w:val="228"/>
        </w:numPr>
        <w:tabs>
          <w:tab w:pos="686" w:val="left" w:leader="none"/>
          <w:tab w:pos="1351" w:val="left" w:leader="none"/>
        </w:tabs>
        <w:spacing w:line="240" w:lineRule="auto" w:before="240" w:after="0"/>
        <w:ind w:left="686" w:right="0" w:hanging="468"/>
        <w:jc w:val="left"/>
        <w:rPr>
          <w:sz w:val="22"/>
        </w:rPr>
      </w:pPr>
      <w:bookmarkStart w:name="5.14B.1 Development of TAPR Guidelines" w:id="714"/>
      <w:bookmarkEnd w:id="714"/>
      <w:r>
        <w:rPr>
          <w:b w:val="0"/>
        </w:rPr>
      </w:r>
      <w:bookmarkStart w:name="_bookmark278" w:id="715"/>
      <w:bookmarkEnd w:id="715"/>
      <w:r>
        <w:rPr>
          <w:b w:val="0"/>
        </w:rPr>
      </w:r>
      <w:bookmarkStart w:name="_bookmark278" w:id="716"/>
      <w:bookmarkEnd w:id="716"/>
      <w:r>
        <w:rPr/>
        <w:t>B.</w:t>
      </w:r>
      <w:r>
        <w:rPr/>
        <w:t>1</w:t>
        <w:tab/>
        <w:t>Development of TAPR</w:t>
      </w:r>
      <w:r>
        <w:rPr>
          <w:spacing w:val="-1"/>
        </w:rPr>
        <w:t> </w:t>
      </w:r>
      <w:r>
        <w:rPr/>
        <w:t>Guidelines</w:t>
      </w:r>
    </w:p>
    <w:p>
      <w:pPr>
        <w:pStyle w:val="ListParagraph"/>
        <w:numPr>
          <w:ilvl w:val="2"/>
          <w:numId w:val="228"/>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in accordance with the </w:t>
      </w:r>
      <w:r>
        <w:rPr>
          <w:i/>
          <w:sz w:val="24"/>
        </w:rPr>
        <w:t>transmission consultation </w:t>
      </w:r>
      <w:r>
        <w:rPr>
          <w:i/>
          <w:sz w:val="24"/>
        </w:rPr>
        <w:t>procedures</w:t>
      </w:r>
      <w:r>
        <w:rPr>
          <w:sz w:val="24"/>
        </w:rPr>
        <w:t>, make and </w:t>
      </w:r>
      <w:r>
        <w:rPr>
          <w:i/>
          <w:sz w:val="24"/>
        </w:rPr>
        <w:t>publish </w:t>
      </w:r>
      <w:r>
        <w:rPr>
          <w:sz w:val="24"/>
        </w:rPr>
        <w:t>TAPR Guidelines that set out the required format of </w:t>
      </w:r>
      <w:r>
        <w:rPr>
          <w:i/>
          <w:sz w:val="24"/>
        </w:rPr>
        <w:t>Transmission Annual Planning</w:t>
      </w:r>
      <w:r>
        <w:rPr>
          <w:i/>
          <w:spacing w:val="-3"/>
          <w:sz w:val="24"/>
        </w:rPr>
        <w:t> </w:t>
      </w:r>
      <w:r>
        <w:rPr>
          <w:i/>
          <w:sz w:val="24"/>
        </w:rPr>
        <w:t>Reports</w:t>
      </w:r>
      <w:r>
        <w:rPr>
          <w:sz w:val="24"/>
        </w:rPr>
        <w:t>.</w:t>
      </w:r>
    </w:p>
    <w:p>
      <w:pPr>
        <w:pStyle w:val="ListParagraph"/>
        <w:numPr>
          <w:ilvl w:val="2"/>
          <w:numId w:val="228"/>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and </w:t>
      </w:r>
      <w:r>
        <w:rPr>
          <w:i/>
          <w:sz w:val="24"/>
        </w:rPr>
        <w:t>publish </w:t>
      </w:r>
      <w:r>
        <w:rPr>
          <w:sz w:val="24"/>
        </w:rPr>
        <w:t>the first TAPR Guidelines under the </w:t>
      </w:r>
      <w:r>
        <w:rPr>
          <w:i/>
          <w:sz w:val="24"/>
        </w:rPr>
        <w:t>Rules </w:t>
      </w:r>
      <w:r>
        <w:rPr>
          <w:sz w:val="24"/>
        </w:rPr>
        <w:t>by the date specified in the </w:t>
      </w:r>
      <w:r>
        <w:rPr>
          <w:i/>
          <w:sz w:val="24"/>
        </w:rPr>
        <w:t>Rules </w:t>
      </w:r>
      <w:r>
        <w:rPr>
          <w:sz w:val="24"/>
        </w:rPr>
        <w:t>and there must be TAPR Guidelines in force at all times after that</w:t>
      </w:r>
      <w:r>
        <w:rPr>
          <w:spacing w:val="-2"/>
          <w:sz w:val="24"/>
        </w:rPr>
        <w:t> </w:t>
      </w:r>
      <w:r>
        <w:rPr>
          <w:sz w:val="24"/>
        </w:rPr>
        <w:t>date.</w:t>
      </w:r>
    </w:p>
    <w:p>
      <w:pPr>
        <w:pStyle w:val="ListParagraph"/>
        <w:numPr>
          <w:ilvl w:val="2"/>
          <w:numId w:val="228"/>
        </w:numPr>
        <w:tabs>
          <w:tab w:pos="1919" w:val="left" w:leader="none"/>
        </w:tabs>
        <w:spacing w:line="240" w:lineRule="auto" w:before="120" w:after="0"/>
        <w:ind w:left="1919" w:right="415" w:hanging="567"/>
        <w:jc w:val="both"/>
        <w:rPr>
          <w:sz w:val="24"/>
        </w:rPr>
      </w:pPr>
      <w:r>
        <w:rPr>
          <w:sz w:val="24"/>
        </w:rPr>
        <w:t>Subject to paragraph (d), the </w:t>
      </w:r>
      <w:r>
        <w:rPr>
          <w:i/>
          <w:sz w:val="24"/>
        </w:rPr>
        <w:t>AER </w:t>
      </w:r>
      <w:r>
        <w:rPr>
          <w:sz w:val="24"/>
        </w:rPr>
        <w:t>may, from time to time and in accordance with the </w:t>
      </w:r>
      <w:r>
        <w:rPr>
          <w:i/>
          <w:sz w:val="24"/>
        </w:rPr>
        <w:t>transmission consultation procedures</w:t>
      </w:r>
      <w:r>
        <w:rPr>
          <w:sz w:val="24"/>
        </w:rPr>
        <w:t>, amend or replace the TAPR Guidelines.</w:t>
      </w:r>
    </w:p>
    <w:p>
      <w:pPr>
        <w:pStyle w:val="ListParagraph"/>
        <w:numPr>
          <w:ilvl w:val="2"/>
          <w:numId w:val="228"/>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make administrative or minor amendments to the TAPR Guidelines without complying with the </w:t>
      </w:r>
      <w:r>
        <w:rPr>
          <w:i/>
          <w:sz w:val="24"/>
        </w:rPr>
        <w:t>transmission consultation </w:t>
      </w:r>
      <w:r>
        <w:rPr>
          <w:i/>
          <w:sz w:val="24"/>
        </w:rPr>
        <w:t>procedures</w:t>
      </w:r>
      <w:r>
        <w:rPr>
          <w:sz w:val="24"/>
        </w:rPr>
        <w:t>.</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Section 12A of the </w:t>
      </w:r>
      <w:r>
        <w:rPr>
          <w:i/>
          <w:sz w:val="20"/>
        </w:rPr>
        <w:t>National Electricity (Northern Territory) (National Uniform Legislation) Act </w:t>
      </w:r>
      <w:r>
        <w:rPr>
          <w:i/>
          <w:sz w:val="20"/>
        </w:rPr>
        <w:t>2015 </w:t>
      </w:r>
      <w:r>
        <w:rPr>
          <w:sz w:val="20"/>
        </w:rPr>
        <w:t>applies to an instrument or decision made by the </w:t>
      </w:r>
      <w:r>
        <w:rPr>
          <w:i/>
          <w:sz w:val="20"/>
        </w:rPr>
        <w:t>AER </w:t>
      </w:r>
      <w:r>
        <w:rPr>
          <w:sz w:val="20"/>
        </w:rPr>
        <w:t>after the enactment of that Act and before the day on which this clause commences operation in the Northern Territory, in circumstances set out in that section. The TAPR Guidelines made and published by the </w:t>
      </w:r>
      <w:r>
        <w:rPr>
          <w:i/>
          <w:sz w:val="20"/>
        </w:rPr>
        <w:t>AER </w:t>
      </w:r>
      <w:r>
        <w:rPr>
          <w:sz w:val="20"/>
        </w:rPr>
        <w:t>under this clause constitute an instrument to which section 12A applies. Accordingly, for the purposes of this clause as it applies as part of the NT national electricity legislation of the Northern Territory, the TAPR Guidelines are taken to be valid and to have effect from 1 July 2019.</w:t>
      </w:r>
    </w:p>
    <w:p>
      <w:pPr>
        <w:pStyle w:val="BodyText"/>
        <w:spacing w:before="10"/>
        <w:ind w:firstLine="0"/>
        <w:jc w:val="left"/>
        <w:rPr>
          <w:sz w:val="20"/>
        </w:rPr>
      </w:pPr>
    </w:p>
    <w:p>
      <w:pPr>
        <w:pStyle w:val="Heading3"/>
        <w:numPr>
          <w:ilvl w:val="1"/>
          <w:numId w:val="228"/>
        </w:numPr>
        <w:tabs>
          <w:tab w:pos="1351" w:val="left" w:leader="none"/>
          <w:tab w:pos="1353" w:val="left" w:leader="none"/>
        </w:tabs>
        <w:spacing w:line="240" w:lineRule="auto" w:before="0" w:after="0"/>
        <w:ind w:left="1352" w:right="0" w:hanging="1135"/>
        <w:jc w:val="left"/>
      </w:pPr>
      <w:bookmarkStart w:name="5.15 Regulatory investment tests general" w:id="717"/>
      <w:bookmarkEnd w:id="717"/>
      <w:r>
        <w:rPr>
          <w:b w:val="0"/>
        </w:rPr>
      </w:r>
      <w:bookmarkStart w:name="_bookmark279" w:id="718"/>
      <w:bookmarkEnd w:id="718"/>
      <w:r>
        <w:rPr>
          <w:b w:val="0"/>
        </w:rPr>
      </w:r>
      <w:bookmarkStart w:name="_bookmark279" w:id="719"/>
      <w:bookmarkEnd w:id="719"/>
      <w:r>
        <w:rPr/>
        <w:t>Regul</w:t>
      </w:r>
      <w:r>
        <w:rPr/>
        <w:t>atory investment tests</w:t>
      </w:r>
      <w:r>
        <w:rPr>
          <w:spacing w:val="-3"/>
        </w:rPr>
        <w:t> </w:t>
      </w:r>
      <w:r>
        <w:rPr/>
        <w:t>generally</w:t>
      </w:r>
    </w:p>
    <w:p>
      <w:pPr>
        <w:pStyle w:val="Heading4"/>
        <w:numPr>
          <w:ilvl w:val="2"/>
          <w:numId w:val="229"/>
        </w:numPr>
        <w:tabs>
          <w:tab w:pos="1351" w:val="left" w:leader="none"/>
          <w:tab w:pos="1352" w:val="left" w:leader="none"/>
        </w:tabs>
        <w:spacing w:line="240" w:lineRule="auto" w:before="240" w:after="0"/>
        <w:ind w:left="1351" w:right="0" w:hanging="1134"/>
        <w:jc w:val="left"/>
      </w:pPr>
      <w:bookmarkStart w:name="5.15.1 Interested parties" w:id="720"/>
      <w:bookmarkEnd w:id="720"/>
      <w:r>
        <w:rPr>
          <w:b w:val="0"/>
        </w:rPr>
      </w:r>
      <w:bookmarkStart w:name="_bookmark280" w:id="721"/>
      <w:bookmarkEnd w:id="721"/>
      <w:r>
        <w:rPr>
          <w:b w:val="0"/>
        </w:rPr>
      </w:r>
      <w:bookmarkStart w:name="_bookmark280" w:id="722"/>
      <w:bookmarkEnd w:id="722"/>
      <w:r>
        <w:rPr/>
        <w:t>Interested</w:t>
      </w:r>
      <w:r>
        <w:rPr/>
        <w:t> parties</w:t>
      </w:r>
    </w:p>
    <w:p>
      <w:pPr>
        <w:pStyle w:val="BodyText"/>
        <w:ind w:left="1352" w:right="414" w:firstLine="0"/>
      </w:pPr>
      <w:r>
        <w:rPr/>
        <w:t>In clauses 5.16.4, 5.16.5, 5.17.4 and 5.17.5, </w:t>
      </w:r>
      <w:r>
        <w:rPr>
          <w:i/>
        </w:rPr>
        <w:t>interested party </w:t>
      </w:r>
      <w:r>
        <w:rPr/>
        <w:t>means a person including an end user or its </w:t>
      </w:r>
      <w:r>
        <w:rPr>
          <w:i/>
        </w:rPr>
        <w:t>representative </w:t>
      </w:r>
      <w:r>
        <w:rPr/>
        <w:t>who, in the </w:t>
      </w:r>
      <w:r>
        <w:rPr>
          <w:i/>
        </w:rPr>
        <w:t>AER's </w:t>
      </w:r>
      <w:r>
        <w:rPr/>
        <w:t>opinion, has the potential to suffer a material and adverse impact from the investment identified as the preferred option in the project assessment conclusions report or the final project assessment report (as the case may be).</w:t>
      </w:r>
    </w:p>
    <w:p>
      <w:pPr>
        <w:pStyle w:val="BodyText"/>
        <w:spacing w:before="10"/>
        <w:ind w:firstLine="0"/>
        <w:jc w:val="left"/>
        <w:rPr>
          <w:sz w:val="20"/>
        </w:rPr>
      </w:pPr>
    </w:p>
    <w:p>
      <w:pPr>
        <w:pStyle w:val="Heading4"/>
        <w:numPr>
          <w:ilvl w:val="2"/>
          <w:numId w:val="229"/>
        </w:numPr>
        <w:tabs>
          <w:tab w:pos="1351" w:val="left" w:leader="none"/>
          <w:tab w:pos="1352" w:val="left" w:leader="none"/>
        </w:tabs>
        <w:spacing w:line="240" w:lineRule="auto" w:before="0" w:after="0"/>
        <w:ind w:left="1351" w:right="0" w:hanging="1134"/>
        <w:jc w:val="left"/>
      </w:pPr>
      <w:bookmarkStart w:name="5.15.2 Identification of a credible opti" w:id="723"/>
      <w:bookmarkEnd w:id="723"/>
      <w:r>
        <w:rPr>
          <w:b w:val="0"/>
        </w:rPr>
      </w:r>
      <w:bookmarkStart w:name="_bookmark281" w:id="724"/>
      <w:bookmarkEnd w:id="724"/>
      <w:r>
        <w:rPr>
          <w:b w:val="0"/>
        </w:rPr>
      </w:r>
      <w:bookmarkStart w:name="_bookmark281" w:id="725"/>
      <w:bookmarkEnd w:id="725"/>
      <w:r>
        <w:rPr/>
        <w:t>Identif</w:t>
      </w:r>
      <w:r>
        <w:rPr/>
        <w:t>ication of a credible</w:t>
      </w:r>
      <w:r>
        <w:rPr>
          <w:spacing w:val="-2"/>
        </w:rPr>
        <w:t> </w:t>
      </w:r>
      <w:r>
        <w:rPr/>
        <w:t>option</w:t>
      </w:r>
    </w:p>
    <w:p>
      <w:pPr>
        <w:pStyle w:val="ListParagraph"/>
        <w:numPr>
          <w:ilvl w:val="3"/>
          <w:numId w:val="229"/>
        </w:numPr>
        <w:tabs>
          <w:tab w:pos="1918" w:val="left" w:leader="none"/>
          <w:tab w:pos="1919" w:val="left" w:leader="none"/>
        </w:tabs>
        <w:spacing w:line="240" w:lineRule="auto" w:before="120" w:after="0"/>
        <w:ind w:left="1918" w:right="0" w:hanging="567"/>
        <w:jc w:val="left"/>
        <w:rPr>
          <w:sz w:val="24"/>
        </w:rPr>
      </w:pPr>
      <w:r>
        <w:rPr>
          <w:sz w:val="24"/>
        </w:rPr>
        <w:t>A credible option is an option (or group of options)</w:t>
      </w:r>
      <w:r>
        <w:rPr>
          <w:spacing w:val="-1"/>
          <w:sz w:val="24"/>
        </w:rPr>
        <w:t> </w:t>
      </w:r>
      <w:r>
        <w:rPr>
          <w:sz w:val="24"/>
        </w:rPr>
        <w:t>that:</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addresses the </w:t>
      </w:r>
      <w:r>
        <w:rPr>
          <w:i/>
          <w:sz w:val="24"/>
        </w:rPr>
        <w:t>identified</w:t>
      </w:r>
      <w:r>
        <w:rPr>
          <w:i/>
          <w:spacing w:val="-2"/>
          <w:sz w:val="24"/>
        </w:rPr>
        <w:t> </w:t>
      </w:r>
      <w:r>
        <w:rPr>
          <w:i/>
          <w:sz w:val="24"/>
        </w:rPr>
        <w:t>need</w:t>
      </w:r>
      <w:r>
        <w:rPr>
          <w:sz w:val="24"/>
        </w:rPr>
        <w:t>;</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is (or are) commercially and technically feasible;</w:t>
      </w:r>
      <w:r>
        <w:rPr>
          <w:spacing w:val="-1"/>
          <w:sz w:val="24"/>
        </w:rPr>
        <w:t> </w:t>
      </w:r>
      <w:r>
        <w:rPr>
          <w:sz w:val="24"/>
        </w:rPr>
        <w:t>and</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can be implemented in sufficient time to meet the </w:t>
      </w:r>
      <w:r>
        <w:rPr>
          <w:i/>
          <w:sz w:val="24"/>
        </w:rPr>
        <w:t>identified</w:t>
      </w:r>
      <w:r>
        <w:rPr>
          <w:i/>
          <w:spacing w:val="-4"/>
          <w:sz w:val="24"/>
        </w:rPr>
        <w:t> </w:t>
      </w:r>
      <w:r>
        <w:rPr>
          <w:i/>
          <w:sz w:val="24"/>
        </w:rPr>
        <w:t>need</w:t>
      </w:r>
      <w:r>
        <w:rPr>
          <w:sz w:val="24"/>
        </w:rPr>
        <w:t>,</w:t>
      </w:r>
    </w:p>
    <w:p>
      <w:pPr>
        <w:pStyle w:val="BodyText"/>
        <w:ind w:left="1919" w:firstLine="0"/>
        <w:jc w:val="left"/>
      </w:pPr>
      <w:r>
        <w:rPr/>
        <w:t>and is (or are) identified as a credible option in accordance with paragraphs</w:t>
      </w:r>
    </w:p>
    <w:p>
      <w:pPr>
        <w:pStyle w:val="ListParagraph"/>
        <w:numPr>
          <w:ilvl w:val="3"/>
          <w:numId w:val="229"/>
        </w:numPr>
        <w:tabs>
          <w:tab w:pos="2259" w:val="left" w:leader="none"/>
        </w:tabs>
        <w:spacing w:line="240" w:lineRule="auto" w:before="0" w:after="0"/>
        <w:ind w:left="2258" w:right="0" w:hanging="340"/>
        <w:jc w:val="left"/>
        <w:rPr>
          <w:sz w:val="24"/>
        </w:rPr>
      </w:pPr>
      <w:r>
        <w:rPr>
          <w:sz w:val="24"/>
        </w:rPr>
        <w:t>or (d) (as</w:t>
      </w:r>
      <w:r>
        <w:rPr>
          <w:spacing w:val="-1"/>
          <w:sz w:val="24"/>
        </w:rPr>
        <w:t> </w:t>
      </w:r>
      <w:r>
        <w:rPr>
          <w:sz w:val="24"/>
        </w:rPr>
        <w:t>relevant).</w:t>
      </w:r>
    </w:p>
    <w:p>
      <w:pPr>
        <w:pStyle w:val="ListParagraph"/>
        <w:numPr>
          <w:ilvl w:val="0"/>
          <w:numId w:val="230"/>
        </w:numPr>
        <w:tabs>
          <w:tab w:pos="1919" w:val="left" w:leader="none"/>
        </w:tabs>
        <w:spacing w:line="240" w:lineRule="auto" w:before="120" w:after="0"/>
        <w:ind w:left="1919" w:right="414" w:hanging="567"/>
        <w:jc w:val="both"/>
        <w:rPr>
          <w:sz w:val="24"/>
        </w:rPr>
      </w:pPr>
      <w:r>
        <w:rPr>
          <w:sz w:val="24"/>
        </w:rPr>
        <w:t>In applying the </w:t>
      </w:r>
      <w:r>
        <w:rPr>
          <w:i/>
          <w:sz w:val="24"/>
        </w:rPr>
        <w:t>regulatory investment test for transmission</w:t>
      </w:r>
      <w:r>
        <w:rPr>
          <w:sz w:val="24"/>
        </w:rPr>
        <w:t>, the RIT-T proponent must consider, in relation to a RIT-T project other than those described in clauses 5.16.3(a)(1)-(8), all options that could reasonably be classified as credible options taking into</w:t>
      </w:r>
      <w:r>
        <w:rPr>
          <w:spacing w:val="-1"/>
          <w:sz w:val="24"/>
        </w:rPr>
        <w:t> </w:t>
      </w:r>
      <w:r>
        <w:rPr>
          <w:sz w:val="24"/>
        </w:rPr>
        <w:t>account:</w:t>
      </w:r>
    </w:p>
    <w:p>
      <w:pPr>
        <w:pStyle w:val="ListParagraph"/>
        <w:numPr>
          <w:ilvl w:val="1"/>
          <w:numId w:val="230"/>
        </w:numPr>
        <w:tabs>
          <w:tab w:pos="2486" w:val="left" w:leader="none"/>
        </w:tabs>
        <w:spacing w:line="240" w:lineRule="auto" w:before="120" w:after="0"/>
        <w:ind w:left="2485" w:right="0" w:hanging="567"/>
        <w:jc w:val="both"/>
        <w:rPr>
          <w:sz w:val="24"/>
        </w:rPr>
      </w:pPr>
      <w:r>
        <w:rPr>
          <w:sz w:val="24"/>
        </w:rPr>
        <w:t>energy</w:t>
      </w:r>
      <w:r>
        <w:rPr>
          <w:spacing w:val="-1"/>
          <w:sz w:val="24"/>
        </w:rPr>
        <w:t> </w:t>
      </w:r>
      <w:r>
        <w:rPr>
          <w:sz w:val="24"/>
        </w:rPr>
        <w:t>source;</w:t>
      </w:r>
    </w:p>
    <w:p>
      <w:pPr>
        <w:spacing w:after="0" w:line="240" w:lineRule="auto"/>
        <w:jc w:val="both"/>
        <w:rPr>
          <w:sz w:val="24"/>
        </w:rPr>
        <w:sectPr>
          <w:pgSz w:w="11910" w:h="16840"/>
          <w:pgMar w:header="686" w:footer="637" w:top="1320" w:bottom="820" w:left="1200" w:right="1000"/>
        </w:sectPr>
      </w:pPr>
    </w:p>
    <w:p>
      <w:pPr>
        <w:pStyle w:val="ListParagraph"/>
        <w:numPr>
          <w:ilvl w:val="1"/>
          <w:numId w:val="230"/>
        </w:numPr>
        <w:tabs>
          <w:tab w:pos="2485" w:val="left" w:leader="none"/>
          <w:tab w:pos="2486" w:val="left" w:leader="none"/>
        </w:tabs>
        <w:spacing w:line="240" w:lineRule="auto" w:before="83" w:after="0"/>
        <w:ind w:left="2485" w:right="0" w:hanging="567"/>
        <w:jc w:val="left"/>
        <w:rPr>
          <w:sz w:val="24"/>
        </w:rPr>
      </w:pPr>
      <w:r>
        <w:rPr>
          <w:sz w:val="24"/>
        </w:rPr>
        <w:t>technology;</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ownership;</w:t>
      </w:r>
    </w:p>
    <w:p>
      <w:pPr>
        <w:pStyle w:val="ListParagraph"/>
        <w:numPr>
          <w:ilvl w:val="1"/>
          <w:numId w:val="230"/>
        </w:numPr>
        <w:tabs>
          <w:tab w:pos="2485" w:val="left" w:leader="none"/>
          <w:tab w:pos="2486" w:val="left" w:leader="none"/>
        </w:tabs>
        <w:spacing w:line="240" w:lineRule="auto" w:before="120" w:after="0"/>
        <w:ind w:left="2486" w:right="414" w:hanging="567"/>
        <w:jc w:val="left"/>
        <w:rPr>
          <w:sz w:val="24"/>
        </w:rPr>
      </w:pPr>
      <w:r>
        <w:rPr>
          <w:sz w:val="24"/>
        </w:rPr>
        <w:t>the extent to which the credible option enables trading of electricity within a local electricity</w:t>
      </w:r>
      <w:r>
        <w:rPr>
          <w:spacing w:val="-2"/>
          <w:sz w:val="24"/>
        </w:rPr>
        <w:t> </w:t>
      </w:r>
      <w:r>
        <w:rPr>
          <w:sz w:val="24"/>
        </w:rPr>
        <w:t>system;</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whether it is a </w:t>
      </w:r>
      <w:r>
        <w:rPr>
          <w:i/>
          <w:sz w:val="24"/>
        </w:rPr>
        <w:t>network option </w:t>
      </w:r>
      <w:r>
        <w:rPr>
          <w:sz w:val="24"/>
        </w:rPr>
        <w:t>or a </w:t>
      </w:r>
      <w:r>
        <w:rPr>
          <w:i/>
          <w:sz w:val="24"/>
        </w:rPr>
        <w:t>non-network</w:t>
      </w:r>
      <w:r>
        <w:rPr>
          <w:i/>
          <w:spacing w:val="-1"/>
          <w:sz w:val="24"/>
        </w:rPr>
        <w:t> </w:t>
      </w:r>
      <w:r>
        <w:rPr>
          <w:i/>
          <w:sz w:val="24"/>
        </w:rPr>
        <w:t>option</w:t>
      </w:r>
      <w:r>
        <w:rPr>
          <w:sz w:val="24"/>
        </w:rPr>
        <w:t>;</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whether the credible option is intended to be</w:t>
      </w:r>
      <w:r>
        <w:rPr>
          <w:spacing w:val="-1"/>
          <w:sz w:val="24"/>
        </w:rPr>
        <w:t> </w:t>
      </w:r>
      <w:r>
        <w:rPr>
          <w:sz w:val="24"/>
        </w:rPr>
        <w:t>regulated;</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whether the credible option has a proponent;</w:t>
      </w:r>
      <w:r>
        <w:rPr>
          <w:spacing w:val="-1"/>
          <w:sz w:val="24"/>
        </w:rPr>
        <w:t> </w:t>
      </w:r>
      <w:r>
        <w:rPr>
          <w:sz w:val="24"/>
        </w:rPr>
        <w:t>and</w:t>
      </w:r>
    </w:p>
    <w:p>
      <w:pPr>
        <w:pStyle w:val="ListParagraph"/>
        <w:numPr>
          <w:ilvl w:val="1"/>
          <w:numId w:val="230"/>
        </w:numPr>
        <w:tabs>
          <w:tab w:pos="2485" w:val="left" w:leader="none"/>
          <w:tab w:pos="2486" w:val="left" w:leader="none"/>
        </w:tabs>
        <w:spacing w:line="240" w:lineRule="auto" w:before="120" w:after="0"/>
        <w:ind w:left="2486" w:right="416" w:hanging="567"/>
        <w:jc w:val="left"/>
        <w:rPr>
          <w:sz w:val="24"/>
        </w:rPr>
      </w:pPr>
      <w:r>
        <w:rPr>
          <w:sz w:val="24"/>
        </w:rPr>
        <w:t>any other factor which the RIT-T proponent reasonably considers should be taken into</w:t>
      </w:r>
      <w:r>
        <w:rPr>
          <w:spacing w:val="-2"/>
          <w:sz w:val="24"/>
        </w:rPr>
        <w:t> </w:t>
      </w:r>
      <w:r>
        <w:rPr>
          <w:sz w:val="24"/>
        </w:rPr>
        <w:t>account.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230"/>
        </w:numPr>
        <w:tabs>
          <w:tab w:pos="1919" w:val="left" w:leader="none"/>
        </w:tabs>
        <w:spacing w:line="240" w:lineRule="auto" w:before="120" w:after="0"/>
        <w:ind w:left="1919" w:right="414" w:hanging="567"/>
        <w:jc w:val="both"/>
        <w:rPr>
          <w:sz w:val="24"/>
        </w:rPr>
      </w:pPr>
      <w:r>
        <w:rPr>
          <w:sz w:val="24"/>
        </w:rPr>
        <w:t>In applying the </w:t>
      </w:r>
      <w:r>
        <w:rPr>
          <w:i/>
          <w:sz w:val="24"/>
        </w:rPr>
        <w:t>regulatory investment test for distribution</w:t>
      </w:r>
      <w:r>
        <w:rPr>
          <w:sz w:val="24"/>
        </w:rPr>
        <w:t>, the RIT-D proponent must consider, in relation to a RIT-D project other than those described in clauses 5.17.3(a)(1)-(7), all options that could reasonably be classified as credible options, without bias as</w:t>
      </w:r>
      <w:r>
        <w:rPr>
          <w:spacing w:val="-1"/>
          <w:sz w:val="24"/>
        </w:rPr>
        <w:t> </w:t>
      </w:r>
      <w:r>
        <w:rPr>
          <w:sz w:val="24"/>
        </w:rPr>
        <w:t>to:</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energy</w:t>
      </w:r>
      <w:r>
        <w:rPr>
          <w:spacing w:val="-1"/>
          <w:sz w:val="24"/>
        </w:rPr>
        <w:t> </w:t>
      </w:r>
      <w:r>
        <w:rPr>
          <w:sz w:val="24"/>
        </w:rPr>
        <w:t>source;</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technology;</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ownership;</w:t>
      </w:r>
      <w:r>
        <w:rPr>
          <w:spacing w:val="-1"/>
          <w:sz w:val="24"/>
        </w:rPr>
        <w:t> </w:t>
      </w:r>
      <w:r>
        <w:rPr>
          <w:sz w:val="24"/>
        </w:rPr>
        <w:t>and</w:t>
      </w:r>
    </w:p>
    <w:p>
      <w:pPr>
        <w:pStyle w:val="ListParagraph"/>
        <w:numPr>
          <w:ilvl w:val="1"/>
          <w:numId w:val="230"/>
        </w:numPr>
        <w:tabs>
          <w:tab w:pos="2485" w:val="left" w:leader="none"/>
          <w:tab w:pos="2486" w:val="left" w:leader="none"/>
        </w:tabs>
        <w:spacing w:line="240" w:lineRule="auto" w:before="120" w:after="0"/>
        <w:ind w:left="2485" w:right="0" w:hanging="567"/>
        <w:jc w:val="left"/>
        <w:rPr>
          <w:sz w:val="24"/>
        </w:rPr>
      </w:pPr>
      <w:r>
        <w:rPr>
          <w:sz w:val="24"/>
        </w:rPr>
        <w:t>whether it is a </w:t>
      </w:r>
      <w:r>
        <w:rPr>
          <w:i/>
          <w:sz w:val="24"/>
        </w:rPr>
        <w:t>network option </w:t>
      </w:r>
      <w:r>
        <w:rPr>
          <w:sz w:val="24"/>
        </w:rPr>
        <w:t>or a </w:t>
      </w:r>
      <w:r>
        <w:rPr>
          <w:i/>
          <w:sz w:val="24"/>
        </w:rPr>
        <w:t>non-network</w:t>
      </w:r>
      <w:r>
        <w:rPr>
          <w:i/>
          <w:spacing w:val="-1"/>
          <w:sz w:val="24"/>
        </w:rPr>
        <w:t> </w:t>
      </w:r>
      <w:r>
        <w:rPr>
          <w:i/>
          <w:sz w:val="24"/>
        </w:rPr>
        <w:t>option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0"/>
          <w:numId w:val="230"/>
        </w:numPr>
        <w:tabs>
          <w:tab w:pos="1919" w:val="left" w:leader="none"/>
        </w:tabs>
        <w:spacing w:line="240" w:lineRule="auto" w:before="120" w:after="0"/>
        <w:ind w:left="1919" w:right="415" w:hanging="567"/>
        <w:jc w:val="both"/>
        <w:rPr>
          <w:sz w:val="24"/>
        </w:rPr>
      </w:pPr>
      <w:r>
        <w:rPr>
          <w:sz w:val="24"/>
        </w:rPr>
        <w:t>The absence of a proponent does not exclude an option from being considered a credible</w:t>
      </w:r>
      <w:r>
        <w:rPr>
          <w:spacing w:val="-2"/>
          <w:sz w:val="24"/>
        </w:rPr>
        <w:t> </w:t>
      </w:r>
      <w:r>
        <w:rPr>
          <w:sz w:val="24"/>
        </w:rPr>
        <w:t>option.</w:t>
      </w:r>
    </w:p>
    <w:p>
      <w:pPr>
        <w:pStyle w:val="BodyText"/>
        <w:spacing w:before="10"/>
        <w:ind w:firstLine="0"/>
        <w:jc w:val="left"/>
        <w:rPr>
          <w:sz w:val="20"/>
        </w:rPr>
      </w:pPr>
    </w:p>
    <w:p>
      <w:pPr>
        <w:pStyle w:val="Heading4"/>
        <w:numPr>
          <w:ilvl w:val="2"/>
          <w:numId w:val="229"/>
        </w:numPr>
        <w:tabs>
          <w:tab w:pos="1351" w:val="left" w:leader="none"/>
          <w:tab w:pos="1352" w:val="left" w:leader="none"/>
        </w:tabs>
        <w:spacing w:line="240" w:lineRule="auto" w:before="0" w:after="0"/>
        <w:ind w:left="1351" w:right="0" w:hanging="1134"/>
        <w:jc w:val="left"/>
      </w:pPr>
      <w:bookmarkStart w:name="5.15.3 Review of costs thresholds" w:id="726"/>
      <w:bookmarkEnd w:id="726"/>
      <w:r>
        <w:rPr>
          <w:b w:val="0"/>
        </w:rPr>
      </w:r>
      <w:bookmarkStart w:name="_bookmark282" w:id="727"/>
      <w:bookmarkEnd w:id="727"/>
      <w:r>
        <w:rPr>
          <w:b w:val="0"/>
        </w:rPr>
      </w:r>
      <w:bookmarkStart w:name="_bookmark282" w:id="728"/>
      <w:bookmarkEnd w:id="728"/>
      <w:r>
        <w:rPr/>
        <w:t>Revie</w:t>
      </w:r>
      <w:r>
        <w:rPr/>
        <w:t>w of costs</w:t>
      </w:r>
      <w:r>
        <w:rPr>
          <w:spacing w:val="-3"/>
        </w:rPr>
        <w:t> </w:t>
      </w:r>
      <w:r>
        <w:rPr/>
        <w:t>thresholds</w:t>
      </w:r>
    </w:p>
    <w:p>
      <w:pPr>
        <w:spacing w:before="120"/>
        <w:ind w:left="1352" w:right="0" w:firstLine="0"/>
        <w:jc w:val="both"/>
        <w:rPr>
          <w:b/>
          <w:sz w:val="24"/>
        </w:rPr>
      </w:pPr>
      <w:r>
        <w:rPr>
          <w:b/>
          <w:sz w:val="24"/>
        </w:rPr>
        <w:t>Regulatory investment test for transmission thresholds</w:t>
      </w:r>
    </w:p>
    <w:p>
      <w:pPr>
        <w:pStyle w:val="ListParagraph"/>
        <w:numPr>
          <w:ilvl w:val="3"/>
          <w:numId w:val="229"/>
        </w:numPr>
        <w:tabs>
          <w:tab w:pos="1919" w:val="left" w:leader="none"/>
        </w:tabs>
        <w:spacing w:line="240" w:lineRule="auto" w:before="120" w:after="0"/>
        <w:ind w:left="1919" w:right="413" w:hanging="567"/>
        <w:jc w:val="both"/>
        <w:rPr>
          <w:sz w:val="24"/>
        </w:rPr>
      </w:pPr>
      <w:r>
        <w:rPr>
          <w:sz w:val="24"/>
        </w:rPr>
        <w:t>Every 3 years the </w:t>
      </w:r>
      <w:r>
        <w:rPr>
          <w:i/>
          <w:sz w:val="24"/>
        </w:rPr>
        <w:t>AER </w:t>
      </w:r>
      <w:r>
        <w:rPr>
          <w:sz w:val="24"/>
        </w:rPr>
        <w:t>must undertake a review of the changes in the input costs used to calculate the estimated capital costs in relation to </w:t>
      </w:r>
      <w:r>
        <w:rPr>
          <w:i/>
          <w:sz w:val="24"/>
        </w:rPr>
        <w:t>transmission </w:t>
      </w:r>
      <w:r>
        <w:rPr>
          <w:sz w:val="24"/>
        </w:rPr>
        <w:t>investment as referred to in paragraph (b), for the purposes of determining whether the cost thresholds specified in paragraph (b) need to be changed to maintain the appropriateness of the cost thresholds over time by adjusting those cost thresholds to reflect any increase or decrease in the input costs since:</w:t>
      </w:r>
    </w:p>
    <w:p>
      <w:pPr>
        <w:pStyle w:val="ListParagraph"/>
        <w:numPr>
          <w:ilvl w:val="4"/>
          <w:numId w:val="229"/>
        </w:numPr>
        <w:tabs>
          <w:tab w:pos="2486" w:val="left" w:leader="none"/>
        </w:tabs>
        <w:spacing w:line="240" w:lineRule="auto" w:before="120" w:after="0"/>
        <w:ind w:left="2485" w:right="0" w:hanging="567"/>
        <w:jc w:val="both"/>
        <w:rPr>
          <w:sz w:val="24"/>
        </w:rPr>
      </w:pPr>
      <w:r>
        <w:rPr>
          <w:sz w:val="24"/>
        </w:rPr>
        <w:t>July 2009 in respect of the first cost threshold review;</w:t>
      </w:r>
      <w:r>
        <w:rPr>
          <w:spacing w:val="-5"/>
          <w:sz w:val="24"/>
        </w:rPr>
        <w:t> </w:t>
      </w:r>
      <w:r>
        <w:rPr>
          <w:sz w:val="24"/>
        </w:rPr>
        <w:t>and</w:t>
      </w:r>
    </w:p>
    <w:p>
      <w:pPr>
        <w:pStyle w:val="ListParagraph"/>
        <w:numPr>
          <w:ilvl w:val="4"/>
          <w:numId w:val="229"/>
        </w:numPr>
        <w:tabs>
          <w:tab w:pos="2486" w:val="left" w:leader="none"/>
        </w:tabs>
        <w:spacing w:line="240" w:lineRule="auto" w:before="120" w:after="0"/>
        <w:ind w:left="2486" w:right="416" w:hanging="567"/>
        <w:jc w:val="both"/>
        <w:rPr>
          <w:sz w:val="24"/>
        </w:rPr>
      </w:pPr>
      <w:r>
        <w:rPr>
          <w:sz w:val="24"/>
        </w:rPr>
        <w:t>the date of the previous review in respect of every subsequent cost threshold</w:t>
      </w:r>
      <w:r>
        <w:rPr>
          <w:spacing w:val="-1"/>
          <w:sz w:val="24"/>
        </w:rPr>
        <w:t> </w:t>
      </w:r>
      <w:r>
        <w:rPr>
          <w:sz w:val="24"/>
        </w:rPr>
        <w:t>review.</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The cost thresholds are regularly reviewed by the </w:t>
      </w:r>
      <w:r>
        <w:rPr>
          <w:i/>
          <w:sz w:val="20"/>
        </w:rPr>
        <w:t>AER </w:t>
      </w:r>
      <w:r>
        <w:rPr>
          <w:sz w:val="20"/>
        </w:rPr>
        <w:t>under paragraph (b). The current thresholds are specified in the latest cost threshold determination available on the </w:t>
      </w:r>
      <w:r>
        <w:rPr>
          <w:i/>
          <w:sz w:val="20"/>
        </w:rPr>
        <w:t>AER</w:t>
      </w:r>
      <w:r>
        <w:rPr>
          <w:sz w:val="20"/>
        </w:rPr>
        <w:t>'s website</w:t>
      </w:r>
      <w:hyperlink r:id="rId58">
        <w:r>
          <w:rPr>
            <w:sz w:val="20"/>
          </w:rPr>
          <w:t> www.aer.gov.au.</w:t>
        </w:r>
      </w:hyperlink>
    </w:p>
    <w:p>
      <w:pPr>
        <w:pStyle w:val="ListParagraph"/>
        <w:numPr>
          <w:ilvl w:val="3"/>
          <w:numId w:val="229"/>
        </w:numPr>
        <w:tabs>
          <w:tab w:pos="1919" w:val="left" w:leader="none"/>
        </w:tabs>
        <w:spacing w:line="240" w:lineRule="auto" w:before="120" w:after="0"/>
        <w:ind w:left="1919" w:right="414" w:hanging="567"/>
        <w:jc w:val="both"/>
        <w:rPr>
          <w:sz w:val="24"/>
        </w:rPr>
      </w:pPr>
      <w:r>
        <w:rPr>
          <w:sz w:val="24"/>
        </w:rPr>
        <w:t>For the purposes of paragraph (a), the cost thresholds for review are the following</w:t>
      </w:r>
      <w:r>
        <w:rPr>
          <w:spacing w:val="-1"/>
          <w:sz w:val="24"/>
        </w:rPr>
        <w:t> </w:t>
      </w:r>
      <w:r>
        <w:rPr>
          <w:sz w:val="24"/>
        </w:rPr>
        <w:t>amounts:</w:t>
      </w:r>
    </w:p>
    <w:p>
      <w:pPr>
        <w:pStyle w:val="Heading4"/>
        <w:numPr>
          <w:ilvl w:val="4"/>
          <w:numId w:val="229"/>
        </w:numPr>
        <w:tabs>
          <w:tab w:pos="2546" w:val="left" w:leader="none"/>
          <w:tab w:pos="2547" w:val="left" w:leader="none"/>
        </w:tabs>
        <w:spacing w:line="240" w:lineRule="auto" w:before="120" w:after="0"/>
        <w:ind w:left="2546" w:right="0" w:hanging="628"/>
        <w:jc w:val="left"/>
        <w:rPr>
          <w:rFonts w:ascii="Times New Roman"/>
        </w:rPr>
      </w:pPr>
      <w:r>
        <w:rPr>
          <w:rFonts w:ascii="Times New Roman"/>
        </w:rPr>
        <w:t>[Deleted]</w:t>
      </w:r>
    </w:p>
    <w:p>
      <w:pPr>
        <w:pStyle w:val="BodyText"/>
        <w:ind w:left="1919" w:firstLine="0"/>
        <w:jc w:val="left"/>
      </w:pPr>
      <w:r>
        <w:rPr/>
        <w:t>(1A) of less than $200,000 referred to in clause 5.12.2(c)(1B)(iv);</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of less than $5 million referred to in clause</w:t>
      </w:r>
      <w:r>
        <w:rPr>
          <w:spacing w:val="-1"/>
          <w:sz w:val="24"/>
        </w:rPr>
        <w:t> </w:t>
      </w:r>
      <w:r>
        <w:rPr>
          <w:sz w:val="24"/>
        </w:rPr>
        <w:t>5.16.3(a)(2);</w:t>
      </w:r>
    </w:p>
    <w:p>
      <w:pPr>
        <w:pStyle w:val="Heading4"/>
        <w:numPr>
          <w:ilvl w:val="4"/>
          <w:numId w:val="229"/>
        </w:numPr>
        <w:tabs>
          <w:tab w:pos="2546" w:val="left" w:leader="none"/>
          <w:tab w:pos="2547" w:val="left" w:leader="none"/>
        </w:tabs>
        <w:spacing w:line="240" w:lineRule="auto" w:before="120" w:after="0"/>
        <w:ind w:left="2546" w:right="0" w:hanging="628"/>
        <w:jc w:val="left"/>
        <w:rPr>
          <w:rFonts w:ascii="Times New Roman"/>
        </w:rPr>
      </w:pPr>
      <w:r>
        <w:rPr>
          <w:rFonts w:ascii="Times New Roman"/>
        </w:rPr>
        <w:t>[Deleted]</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of less than $5 million referred to in clause</w:t>
      </w:r>
      <w:r>
        <w:rPr>
          <w:spacing w:val="-1"/>
          <w:sz w:val="24"/>
        </w:rPr>
        <w:t> </w:t>
      </w:r>
      <w:r>
        <w:rPr>
          <w:sz w:val="24"/>
        </w:rPr>
        <w:t>5.16.3(a)(5);</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of less than $35 million referred to in clause 5.16.4(z1)(1);</w:t>
      </w:r>
      <w:r>
        <w:rPr>
          <w:spacing w:val="-1"/>
          <w:sz w:val="24"/>
        </w:rPr>
        <w:t> </w:t>
      </w:r>
      <w:r>
        <w:rPr>
          <w:sz w:val="24"/>
        </w:rPr>
        <w:t>and</w:t>
      </w:r>
    </w:p>
    <w:p>
      <w:pPr>
        <w:pStyle w:val="ListParagraph"/>
        <w:numPr>
          <w:ilvl w:val="4"/>
          <w:numId w:val="229"/>
        </w:numPr>
        <w:tabs>
          <w:tab w:pos="2486" w:val="left" w:leader="none"/>
        </w:tabs>
        <w:spacing w:line="240" w:lineRule="auto" w:before="120" w:after="0"/>
        <w:ind w:left="2486" w:right="414" w:hanging="567"/>
        <w:jc w:val="both"/>
        <w:rPr>
          <w:sz w:val="24"/>
        </w:rPr>
      </w:pPr>
      <w:r>
        <w:rPr>
          <w:sz w:val="24"/>
        </w:rPr>
        <w:t>in excess of $5 million in relation to investment in transmission assets of the type referred to in the definition of potential transmission project in clause</w:t>
      </w:r>
      <w:r>
        <w:rPr>
          <w:spacing w:val="-1"/>
          <w:sz w:val="24"/>
        </w:rPr>
        <w:t> </w:t>
      </w:r>
      <w:r>
        <w:rPr>
          <w:sz w:val="24"/>
        </w:rPr>
        <w:t>5.10.2.</w:t>
      </w:r>
    </w:p>
    <w:p>
      <w:pPr>
        <w:pStyle w:val="Heading4"/>
        <w:spacing w:before="120"/>
        <w:ind w:left="1352" w:firstLine="0"/>
        <w:jc w:val="both"/>
        <w:rPr>
          <w:rFonts w:ascii="Times New Roman"/>
        </w:rPr>
      </w:pPr>
      <w:r>
        <w:rPr>
          <w:rFonts w:ascii="Times New Roman"/>
        </w:rPr>
        <w:t>Regulatory investment test for distribution costs thresholds</w:t>
      </w:r>
    </w:p>
    <w:p>
      <w:pPr>
        <w:pStyle w:val="ListParagraph"/>
        <w:numPr>
          <w:ilvl w:val="3"/>
          <w:numId w:val="229"/>
        </w:numPr>
        <w:tabs>
          <w:tab w:pos="1919" w:val="left" w:leader="none"/>
        </w:tabs>
        <w:spacing w:line="240" w:lineRule="auto" w:before="120" w:after="0"/>
        <w:ind w:left="1919" w:right="414" w:hanging="567"/>
        <w:jc w:val="both"/>
        <w:rPr>
          <w:sz w:val="24"/>
        </w:rPr>
      </w:pPr>
      <w:r>
        <w:rPr>
          <w:sz w:val="24"/>
        </w:rPr>
        <w:t>Subject to paragraph (f)(2), every 3 years, and at the same time as </w:t>
      </w:r>
      <w:r>
        <w:rPr>
          <w:spacing w:val="-6"/>
          <w:sz w:val="24"/>
        </w:rPr>
        <w:t>it </w:t>
      </w:r>
      <w:r>
        <w:rPr>
          <w:sz w:val="24"/>
        </w:rPr>
        <w:t>undertakes its review of the cost thresholds for </w:t>
      </w:r>
      <w:r>
        <w:rPr>
          <w:i/>
          <w:sz w:val="24"/>
        </w:rPr>
        <w:t>regulatory investment test </w:t>
      </w:r>
      <w:r>
        <w:rPr>
          <w:i/>
          <w:sz w:val="24"/>
        </w:rPr>
        <w:t>for transmission </w:t>
      </w:r>
      <w:r>
        <w:rPr>
          <w:sz w:val="24"/>
        </w:rPr>
        <w:t>under paragraph (a), the </w:t>
      </w:r>
      <w:r>
        <w:rPr>
          <w:i/>
          <w:sz w:val="24"/>
        </w:rPr>
        <w:t>AER </w:t>
      </w:r>
      <w:r>
        <w:rPr>
          <w:sz w:val="24"/>
        </w:rPr>
        <w:t>must undertake a review of the changes in the input costs used to calculate the estimated capital costs in relation to:</w:t>
      </w:r>
    </w:p>
    <w:p>
      <w:pPr>
        <w:pStyle w:val="ListParagraph"/>
        <w:numPr>
          <w:ilvl w:val="4"/>
          <w:numId w:val="229"/>
        </w:numPr>
        <w:tabs>
          <w:tab w:pos="2486" w:val="left" w:leader="none"/>
        </w:tabs>
        <w:spacing w:line="240" w:lineRule="auto" w:before="120" w:after="0"/>
        <w:ind w:left="2485" w:right="0" w:hanging="567"/>
        <w:jc w:val="both"/>
        <w:rPr>
          <w:sz w:val="24"/>
        </w:rPr>
      </w:pPr>
      <w:r>
        <w:rPr>
          <w:sz w:val="24"/>
        </w:rPr>
        <w:t>projects subject to the </w:t>
      </w:r>
      <w:r>
        <w:rPr>
          <w:i/>
          <w:sz w:val="24"/>
        </w:rPr>
        <w:t>regulatory investment test for distribution</w:t>
      </w:r>
      <w:r>
        <w:rPr>
          <w:sz w:val="24"/>
        </w:rPr>
        <w:t>;</w:t>
      </w:r>
      <w:r>
        <w:rPr>
          <w:spacing w:val="-12"/>
          <w:sz w:val="24"/>
        </w:rPr>
        <w:t> </w:t>
      </w:r>
      <w:r>
        <w:rPr>
          <w:sz w:val="24"/>
        </w:rPr>
        <w:t>and</w:t>
      </w:r>
    </w:p>
    <w:p>
      <w:pPr>
        <w:pStyle w:val="ListParagraph"/>
        <w:numPr>
          <w:ilvl w:val="4"/>
          <w:numId w:val="229"/>
        </w:numPr>
        <w:tabs>
          <w:tab w:pos="2486" w:val="left" w:leader="none"/>
        </w:tabs>
        <w:spacing w:line="240" w:lineRule="auto" w:before="120" w:after="0"/>
        <w:ind w:left="2486" w:right="413" w:hanging="567"/>
        <w:jc w:val="both"/>
        <w:rPr>
          <w:sz w:val="24"/>
        </w:rPr>
      </w:pPr>
      <w:r>
        <w:rPr>
          <w:sz w:val="24"/>
        </w:rPr>
        <w:t>the cost threshold for committed investments that are to address </w:t>
      </w:r>
      <w:r>
        <w:rPr>
          <w:spacing w:val="-6"/>
          <w:sz w:val="24"/>
        </w:rPr>
        <w:t>an </w:t>
      </w:r>
      <w:r>
        <w:rPr>
          <w:sz w:val="24"/>
        </w:rPr>
        <w:t>urgent and unforeseen </w:t>
      </w:r>
      <w:r>
        <w:rPr>
          <w:i/>
          <w:sz w:val="24"/>
        </w:rPr>
        <w:t>network </w:t>
      </w:r>
      <w:r>
        <w:rPr>
          <w:sz w:val="24"/>
        </w:rPr>
        <w:t>need subject to the </w:t>
      </w:r>
      <w:r>
        <w:rPr>
          <w:i/>
          <w:sz w:val="24"/>
        </w:rPr>
        <w:t>Distribution  </w:t>
      </w:r>
      <w:r>
        <w:rPr>
          <w:i/>
          <w:sz w:val="24"/>
        </w:rPr>
        <w:t>Annual Planning</w:t>
      </w:r>
      <w:r>
        <w:rPr>
          <w:i/>
          <w:spacing w:val="-1"/>
          <w:sz w:val="24"/>
        </w:rPr>
        <w:t> </w:t>
      </w:r>
      <w:r>
        <w:rPr>
          <w:i/>
          <w:sz w:val="24"/>
        </w:rPr>
        <w:t>Report</w:t>
      </w:r>
      <w:r>
        <w:rPr>
          <w:sz w:val="24"/>
        </w:rPr>
        <w:t>,</w:t>
      </w:r>
    </w:p>
    <w:p>
      <w:pPr>
        <w:pStyle w:val="BodyText"/>
        <w:ind w:left="1919" w:right="414" w:firstLine="0"/>
      </w:pPr>
      <w:r>
        <w:rPr/>
        <w:t>for the purposes of determining whether the costs thresholds specified in paragraph (d) need to be changed to maintain the appropriateness of the cost thresholds over time by adjusting those cost thresholds to reflect any increase or decrease in the input costs</w:t>
      </w:r>
      <w:r>
        <w:rPr>
          <w:spacing w:val="-2"/>
        </w:rPr>
        <w:t> </w:t>
      </w:r>
      <w:r>
        <w:rPr/>
        <w:t>since:</w:t>
      </w:r>
    </w:p>
    <w:p>
      <w:pPr>
        <w:pStyle w:val="ListParagraph"/>
        <w:numPr>
          <w:ilvl w:val="4"/>
          <w:numId w:val="229"/>
        </w:numPr>
        <w:tabs>
          <w:tab w:pos="2486" w:val="left" w:leader="none"/>
        </w:tabs>
        <w:spacing w:line="240" w:lineRule="auto" w:before="120" w:after="0"/>
        <w:ind w:left="2485" w:right="0" w:hanging="567"/>
        <w:jc w:val="both"/>
        <w:rPr>
          <w:sz w:val="24"/>
        </w:rPr>
      </w:pPr>
      <w:r>
        <w:rPr>
          <w:sz w:val="24"/>
        </w:rPr>
        <w:t>1 January 2013 in respect of the first cost threshold review;</w:t>
      </w:r>
      <w:r>
        <w:rPr>
          <w:spacing w:val="-2"/>
          <w:sz w:val="24"/>
        </w:rPr>
        <w:t> </w:t>
      </w:r>
      <w:r>
        <w:rPr>
          <w:sz w:val="24"/>
        </w:rPr>
        <w:t>and</w:t>
      </w:r>
    </w:p>
    <w:p>
      <w:pPr>
        <w:pStyle w:val="ListParagraph"/>
        <w:numPr>
          <w:ilvl w:val="4"/>
          <w:numId w:val="229"/>
        </w:numPr>
        <w:tabs>
          <w:tab w:pos="2486" w:val="left" w:leader="none"/>
        </w:tabs>
        <w:spacing w:line="240" w:lineRule="auto" w:before="120" w:after="0"/>
        <w:ind w:left="2486" w:right="416" w:hanging="567"/>
        <w:jc w:val="both"/>
        <w:rPr>
          <w:sz w:val="24"/>
        </w:rPr>
      </w:pPr>
      <w:r>
        <w:rPr>
          <w:sz w:val="24"/>
        </w:rPr>
        <w:t>the date of the previous review in respect of every subsequent cost threshold</w:t>
      </w:r>
      <w:r>
        <w:rPr>
          <w:spacing w:val="-1"/>
          <w:sz w:val="24"/>
        </w:rPr>
        <w:t> </w:t>
      </w:r>
      <w:r>
        <w:rPr>
          <w:sz w:val="24"/>
        </w:rPr>
        <w:t>review.</w:t>
      </w:r>
    </w:p>
    <w:p>
      <w:pPr>
        <w:pStyle w:val="ListParagraph"/>
        <w:numPr>
          <w:ilvl w:val="3"/>
          <w:numId w:val="229"/>
        </w:numPr>
        <w:tabs>
          <w:tab w:pos="1919" w:val="left" w:leader="none"/>
        </w:tabs>
        <w:spacing w:line="240" w:lineRule="auto" w:before="120" w:after="0"/>
        <w:ind w:left="1919" w:right="414" w:hanging="567"/>
        <w:jc w:val="both"/>
        <w:rPr>
          <w:sz w:val="24"/>
        </w:rPr>
      </w:pPr>
      <w:r>
        <w:rPr>
          <w:sz w:val="24"/>
        </w:rPr>
        <w:t>For the purposes of paragraph (c), the cost thresholds for review are the following</w:t>
      </w:r>
      <w:r>
        <w:rPr>
          <w:spacing w:val="-1"/>
          <w:sz w:val="24"/>
        </w:rPr>
        <w:t> </w:t>
      </w:r>
      <w:r>
        <w:rPr>
          <w:sz w:val="24"/>
        </w:rPr>
        <w:t>amounts:</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$5 million referred to in clause</w:t>
      </w:r>
      <w:r>
        <w:rPr>
          <w:spacing w:val="-2"/>
          <w:sz w:val="24"/>
        </w:rPr>
        <w:t> </w:t>
      </w:r>
      <w:r>
        <w:rPr>
          <w:sz w:val="24"/>
        </w:rPr>
        <w:t>5.17.3(a)(2);</w:t>
      </w:r>
    </w:p>
    <w:p>
      <w:pPr>
        <w:pStyle w:val="Heading4"/>
        <w:numPr>
          <w:ilvl w:val="4"/>
          <w:numId w:val="229"/>
        </w:numPr>
        <w:tabs>
          <w:tab w:pos="2485" w:val="left" w:leader="none"/>
          <w:tab w:pos="2486" w:val="left" w:leader="none"/>
        </w:tabs>
        <w:spacing w:line="240" w:lineRule="auto" w:before="120" w:after="0"/>
        <w:ind w:left="2485" w:right="0" w:hanging="567"/>
        <w:jc w:val="left"/>
        <w:rPr>
          <w:rFonts w:ascii="Times New Roman"/>
          <w:b w:val="0"/>
        </w:rPr>
      </w:pPr>
      <w:r>
        <w:rPr>
          <w:rFonts w:ascii="Times New Roman"/>
        </w:rPr>
        <w:t>[Deleted];</w:t>
      </w:r>
      <w:r>
        <w:rPr>
          <w:rFonts w:ascii="Times New Roman"/>
          <w:b w:val="0"/>
        </w:rPr>
        <w:t>;</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$10 million referred to in clause</w:t>
      </w:r>
      <w:r>
        <w:rPr>
          <w:spacing w:val="-2"/>
          <w:sz w:val="24"/>
        </w:rPr>
        <w:t> </w:t>
      </w:r>
      <w:r>
        <w:rPr>
          <w:sz w:val="24"/>
        </w:rPr>
        <w:t>5.17.4(n)(2);</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$20 million referred to in clause</w:t>
      </w:r>
      <w:r>
        <w:rPr>
          <w:spacing w:val="-2"/>
          <w:sz w:val="24"/>
        </w:rPr>
        <w:t> </w:t>
      </w:r>
      <w:r>
        <w:rPr>
          <w:sz w:val="24"/>
        </w:rPr>
        <w:t>5.17.4(s);</w:t>
      </w:r>
    </w:p>
    <w:p>
      <w:pPr>
        <w:pStyle w:val="BodyText"/>
        <w:ind w:left="1919" w:firstLine="0"/>
        <w:jc w:val="left"/>
      </w:pPr>
      <w:r>
        <w:rPr/>
        <w:t>(4A) of less than $200,000 referred to in S5.8(b2)(4);</w:t>
      </w:r>
    </w:p>
    <w:p>
      <w:pPr>
        <w:pStyle w:val="ListParagraph"/>
        <w:numPr>
          <w:ilvl w:val="4"/>
          <w:numId w:val="229"/>
        </w:numPr>
        <w:tabs>
          <w:tab w:pos="2485" w:val="left" w:leader="none"/>
          <w:tab w:pos="2486" w:val="left" w:leader="none"/>
        </w:tabs>
        <w:spacing w:line="240" w:lineRule="auto" w:before="120" w:after="0"/>
        <w:ind w:left="2485" w:right="0" w:hanging="567"/>
        <w:jc w:val="left"/>
        <w:rPr>
          <w:sz w:val="24"/>
        </w:rPr>
      </w:pPr>
      <w:r>
        <w:rPr>
          <w:sz w:val="24"/>
        </w:rPr>
        <w:t>$2 million referred to in</w:t>
      </w:r>
      <w:r>
        <w:rPr>
          <w:spacing w:val="-1"/>
          <w:sz w:val="24"/>
        </w:rPr>
        <w:t> </w:t>
      </w:r>
      <w:r>
        <w:rPr>
          <w:sz w:val="24"/>
        </w:rPr>
        <w:t>S5.8(g).</w:t>
      </w:r>
    </w:p>
    <w:p>
      <w:pPr>
        <w:spacing w:after="0" w:line="240" w:lineRule="auto"/>
        <w:jc w:val="left"/>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cost thresholds are regularly reviewed by the </w:t>
      </w:r>
      <w:r>
        <w:rPr>
          <w:i/>
          <w:sz w:val="20"/>
        </w:rPr>
        <w:t>AER </w:t>
      </w:r>
      <w:r>
        <w:rPr>
          <w:sz w:val="20"/>
        </w:rPr>
        <w:t>under paragraph (b). The current thresholds are specified in the latest cost threshold determination available on the </w:t>
      </w:r>
      <w:r>
        <w:rPr>
          <w:i/>
          <w:sz w:val="20"/>
        </w:rPr>
        <w:t>AER</w:t>
      </w:r>
      <w:r>
        <w:rPr>
          <w:sz w:val="20"/>
        </w:rPr>
        <w:t>'s website </w:t>
      </w:r>
      <w:hyperlink r:id="rId58">
        <w:r>
          <w:rPr>
            <w:sz w:val="20"/>
          </w:rPr>
          <w:t>www.aer.gov.au.</w:t>
        </w:r>
      </w:hyperlink>
    </w:p>
    <w:p>
      <w:pPr>
        <w:pStyle w:val="Heading4"/>
        <w:spacing w:before="120"/>
        <w:ind w:left="1352" w:firstLine="0"/>
        <w:jc w:val="both"/>
        <w:rPr>
          <w:rFonts w:ascii="Times New Roman"/>
        </w:rPr>
      </w:pPr>
      <w:r>
        <w:rPr>
          <w:rFonts w:ascii="Times New Roman"/>
        </w:rPr>
        <w:t>Cost threshold reviews</w:t>
      </w:r>
    </w:p>
    <w:p>
      <w:pPr>
        <w:pStyle w:val="ListParagraph"/>
        <w:numPr>
          <w:ilvl w:val="3"/>
          <w:numId w:val="229"/>
        </w:numPr>
        <w:tabs>
          <w:tab w:pos="1919" w:val="left" w:leader="none"/>
        </w:tabs>
        <w:spacing w:line="240" w:lineRule="auto" w:before="120" w:after="0"/>
        <w:ind w:left="1919" w:right="414" w:hanging="567"/>
        <w:jc w:val="both"/>
        <w:rPr>
          <w:sz w:val="24"/>
        </w:rPr>
      </w:pPr>
      <w:r>
        <w:rPr>
          <w:sz w:val="24"/>
        </w:rPr>
        <w:t>Each cost threshold review is to be commenced by the </w:t>
      </w:r>
      <w:r>
        <w:rPr>
          <w:i/>
          <w:sz w:val="24"/>
        </w:rPr>
        <w:t>AER </w:t>
      </w:r>
      <w:r>
        <w:rPr>
          <w:sz w:val="24"/>
        </w:rPr>
        <w:t>by 31 July of the relevant</w:t>
      </w:r>
      <w:r>
        <w:rPr>
          <w:spacing w:val="-1"/>
          <w:sz w:val="24"/>
        </w:rPr>
        <w:t> </w:t>
      </w:r>
      <w:r>
        <w:rPr>
          <w:sz w:val="24"/>
        </w:rPr>
        <w:t>year.</w:t>
      </w:r>
    </w:p>
    <w:p>
      <w:pPr>
        <w:pStyle w:val="ListParagraph"/>
        <w:numPr>
          <w:ilvl w:val="3"/>
          <w:numId w:val="229"/>
        </w:numPr>
        <w:tabs>
          <w:tab w:pos="1920" w:val="left" w:leader="none"/>
        </w:tabs>
        <w:spacing w:line="240" w:lineRule="auto" w:before="120" w:after="0"/>
        <w:ind w:left="1919" w:right="0" w:hanging="568"/>
        <w:jc w:val="both"/>
        <w:rPr>
          <w:sz w:val="24"/>
        </w:rPr>
      </w:pPr>
      <w:r>
        <w:rPr>
          <w:sz w:val="24"/>
        </w:rPr>
        <w:t>The first review of the cost thresholds for:</w:t>
      </w:r>
      <w:r>
        <w:rPr>
          <w:spacing w:val="-1"/>
          <w:sz w:val="24"/>
        </w:rPr>
        <w:t> </w:t>
      </w:r>
      <w:r>
        <w:rPr>
          <w:sz w:val="24"/>
        </w:rPr>
        <w:t>:</w:t>
      </w:r>
    </w:p>
    <w:p>
      <w:pPr>
        <w:pStyle w:val="ListParagraph"/>
        <w:numPr>
          <w:ilvl w:val="4"/>
          <w:numId w:val="229"/>
        </w:numPr>
        <w:tabs>
          <w:tab w:pos="2486" w:val="left" w:leader="none"/>
        </w:tabs>
        <w:spacing w:line="240" w:lineRule="auto" w:before="120" w:after="0"/>
        <w:ind w:left="2486" w:right="415" w:hanging="567"/>
        <w:jc w:val="both"/>
        <w:rPr>
          <w:sz w:val="24"/>
        </w:rPr>
      </w:pPr>
      <w:r>
        <w:rPr>
          <w:sz w:val="24"/>
        </w:rPr>
        <w:t>the </w:t>
      </w:r>
      <w:r>
        <w:rPr>
          <w:i/>
          <w:sz w:val="24"/>
        </w:rPr>
        <w:t>regulatory investment test for transmission </w:t>
      </w:r>
      <w:r>
        <w:rPr>
          <w:sz w:val="24"/>
        </w:rPr>
        <w:t>under paragraph (a) must be initiated in 2012;</w:t>
      </w:r>
      <w:r>
        <w:rPr>
          <w:spacing w:val="-1"/>
          <w:sz w:val="24"/>
        </w:rPr>
        <w:t> </w:t>
      </w:r>
      <w:r>
        <w:rPr>
          <w:sz w:val="24"/>
        </w:rPr>
        <w:t>and</w:t>
      </w:r>
    </w:p>
    <w:p>
      <w:pPr>
        <w:pStyle w:val="ListParagraph"/>
        <w:numPr>
          <w:ilvl w:val="4"/>
          <w:numId w:val="229"/>
        </w:numPr>
        <w:tabs>
          <w:tab w:pos="2486" w:val="left" w:leader="none"/>
        </w:tabs>
        <w:spacing w:line="240" w:lineRule="auto" w:before="120" w:after="0"/>
        <w:ind w:left="2486" w:right="415" w:hanging="567"/>
        <w:jc w:val="both"/>
        <w:rPr>
          <w:sz w:val="24"/>
        </w:rPr>
      </w:pPr>
      <w:r>
        <w:rPr>
          <w:sz w:val="24"/>
        </w:rPr>
        <w:t>the </w:t>
      </w:r>
      <w:r>
        <w:rPr>
          <w:i/>
          <w:sz w:val="24"/>
        </w:rPr>
        <w:t>regulatory investment test for distribution </w:t>
      </w:r>
      <w:r>
        <w:rPr>
          <w:sz w:val="24"/>
        </w:rPr>
        <w:t>under paragraph (c) must be initiated in</w:t>
      </w:r>
      <w:r>
        <w:rPr>
          <w:spacing w:val="-1"/>
          <w:sz w:val="24"/>
        </w:rPr>
        <w:t> </w:t>
      </w:r>
      <w:r>
        <w:rPr>
          <w:sz w:val="24"/>
        </w:rPr>
        <w:t>2015.</w:t>
      </w:r>
    </w:p>
    <w:p>
      <w:pPr>
        <w:pStyle w:val="ListParagraph"/>
        <w:numPr>
          <w:ilvl w:val="3"/>
          <w:numId w:val="229"/>
        </w:numPr>
        <w:tabs>
          <w:tab w:pos="1919" w:val="left" w:leader="none"/>
        </w:tabs>
        <w:spacing w:line="240" w:lineRule="auto" w:before="120" w:after="0"/>
        <w:ind w:left="1919" w:right="415" w:hanging="567"/>
        <w:jc w:val="both"/>
        <w:rPr>
          <w:sz w:val="24"/>
        </w:rPr>
      </w:pPr>
      <w:r>
        <w:rPr>
          <w:sz w:val="24"/>
        </w:rPr>
        <w:t>Within six weeks following the commencement of a cost threshold review, the </w:t>
      </w:r>
      <w:r>
        <w:rPr>
          <w:i/>
          <w:sz w:val="24"/>
        </w:rPr>
        <w:t>AER </w:t>
      </w:r>
      <w:r>
        <w:rPr>
          <w:sz w:val="24"/>
        </w:rPr>
        <w:t>must </w:t>
      </w:r>
      <w:r>
        <w:rPr>
          <w:i/>
          <w:sz w:val="24"/>
        </w:rPr>
        <w:t>publish </w:t>
      </w:r>
      <w:r>
        <w:rPr>
          <w:sz w:val="24"/>
        </w:rPr>
        <w:t>a draft determination</w:t>
      </w:r>
      <w:r>
        <w:rPr>
          <w:spacing w:val="-2"/>
          <w:sz w:val="24"/>
        </w:rPr>
        <w:t> </w:t>
      </w:r>
      <w:r>
        <w:rPr>
          <w:sz w:val="24"/>
        </w:rPr>
        <w:t>outlining:</w:t>
      </w:r>
    </w:p>
    <w:p>
      <w:pPr>
        <w:pStyle w:val="ListParagraph"/>
        <w:numPr>
          <w:ilvl w:val="4"/>
          <w:numId w:val="229"/>
        </w:numPr>
        <w:tabs>
          <w:tab w:pos="2486" w:val="left" w:leader="none"/>
        </w:tabs>
        <w:spacing w:line="240" w:lineRule="auto" w:before="120" w:after="0"/>
        <w:ind w:left="2486" w:right="414" w:hanging="567"/>
        <w:jc w:val="both"/>
        <w:rPr>
          <w:sz w:val="24"/>
        </w:rPr>
      </w:pPr>
      <w:r>
        <w:rPr>
          <w:sz w:val="24"/>
        </w:rPr>
        <w:t>whether the </w:t>
      </w:r>
      <w:r>
        <w:rPr>
          <w:i/>
          <w:sz w:val="24"/>
        </w:rPr>
        <w:t>AER </w:t>
      </w:r>
      <w:r>
        <w:rPr>
          <w:sz w:val="24"/>
        </w:rPr>
        <w:t>has formed the view that any of the cost thresholds need to be amended to reflect increases or decreases in the input costs to ensure that the appropriateness of the cost thresholds is maintained over</w:t>
      </w:r>
      <w:r>
        <w:rPr>
          <w:spacing w:val="-1"/>
          <w:sz w:val="24"/>
        </w:rPr>
        <w:t> </w:t>
      </w:r>
      <w:r>
        <w:rPr>
          <w:sz w:val="24"/>
        </w:rPr>
        <w:t>time;</w:t>
      </w:r>
    </w:p>
    <w:p>
      <w:pPr>
        <w:pStyle w:val="ListParagraph"/>
        <w:numPr>
          <w:ilvl w:val="4"/>
          <w:numId w:val="229"/>
        </w:numPr>
        <w:tabs>
          <w:tab w:pos="2486" w:val="left" w:leader="none"/>
        </w:tabs>
        <w:spacing w:line="240" w:lineRule="auto" w:before="120" w:after="0"/>
        <w:ind w:left="2486" w:right="414" w:hanging="567"/>
        <w:jc w:val="both"/>
        <w:rPr>
          <w:sz w:val="24"/>
        </w:rPr>
      </w:pPr>
      <w:r>
        <w:rPr>
          <w:sz w:val="24"/>
        </w:rPr>
        <w:t>its reasons for determining whether the cost thresholds need to </w:t>
      </w:r>
      <w:r>
        <w:rPr>
          <w:spacing w:val="-6"/>
          <w:sz w:val="24"/>
        </w:rPr>
        <w:t>be </w:t>
      </w:r>
      <w:r>
        <w:rPr>
          <w:sz w:val="24"/>
        </w:rPr>
        <w:t>varied to reflect increases or decreases in the input</w:t>
      </w:r>
      <w:r>
        <w:rPr>
          <w:spacing w:val="-1"/>
          <w:sz w:val="24"/>
        </w:rPr>
        <w:t> </w:t>
      </w:r>
      <w:r>
        <w:rPr>
          <w:sz w:val="24"/>
        </w:rPr>
        <w:t>costs;</w:t>
      </w:r>
    </w:p>
    <w:p>
      <w:pPr>
        <w:pStyle w:val="ListParagraph"/>
        <w:numPr>
          <w:ilvl w:val="4"/>
          <w:numId w:val="229"/>
        </w:numPr>
        <w:tabs>
          <w:tab w:pos="2486" w:val="left" w:leader="none"/>
        </w:tabs>
        <w:spacing w:line="240" w:lineRule="auto" w:before="120" w:after="0"/>
        <w:ind w:left="2486" w:right="414" w:hanging="567"/>
        <w:jc w:val="both"/>
        <w:rPr>
          <w:sz w:val="24"/>
        </w:rPr>
      </w:pPr>
      <w:r>
        <w:rPr>
          <w:sz w:val="24"/>
        </w:rPr>
        <w:t>if there is to be a variation in a cost threshold, the amount of the new cost threshold and the date the new cost threshold will take effect;</w:t>
      </w:r>
      <w:r>
        <w:rPr>
          <w:spacing w:val="-6"/>
          <w:sz w:val="24"/>
        </w:rPr>
        <w:t> </w:t>
      </w:r>
      <w:r>
        <w:rPr>
          <w:sz w:val="24"/>
        </w:rPr>
        <w:t>and</w:t>
      </w:r>
    </w:p>
    <w:p>
      <w:pPr>
        <w:pStyle w:val="ListParagraph"/>
        <w:numPr>
          <w:ilvl w:val="4"/>
          <w:numId w:val="229"/>
        </w:numPr>
        <w:tabs>
          <w:tab w:pos="2486" w:val="left" w:leader="none"/>
        </w:tabs>
        <w:spacing w:line="240" w:lineRule="auto" w:before="120" w:after="0"/>
        <w:ind w:left="2485" w:right="0" w:hanging="567"/>
        <w:jc w:val="both"/>
        <w:rPr>
          <w:sz w:val="24"/>
        </w:rPr>
      </w:pPr>
      <w:r>
        <w:rPr>
          <w:sz w:val="24"/>
        </w:rPr>
        <w:t>its reasons for determining the amount of the new cost</w:t>
      </w:r>
      <w:r>
        <w:rPr>
          <w:spacing w:val="-2"/>
          <w:sz w:val="24"/>
        </w:rPr>
        <w:t> </w:t>
      </w:r>
      <w:r>
        <w:rPr>
          <w:sz w:val="24"/>
        </w:rPr>
        <w:t>threshold.</w:t>
      </w:r>
    </w:p>
    <w:p>
      <w:pPr>
        <w:pStyle w:val="ListParagraph"/>
        <w:numPr>
          <w:ilvl w:val="3"/>
          <w:numId w:val="229"/>
        </w:numPr>
        <w:tabs>
          <w:tab w:pos="1919" w:val="left" w:leader="none"/>
        </w:tabs>
        <w:spacing w:line="240" w:lineRule="auto" w:before="120" w:after="0"/>
        <w:ind w:left="1919" w:right="415" w:hanging="567"/>
        <w:jc w:val="both"/>
        <w:rPr>
          <w:sz w:val="24"/>
        </w:rPr>
      </w:pPr>
      <w:r>
        <w:rPr>
          <w:sz w:val="24"/>
        </w:rPr>
        <w:t>At the same time as it </w:t>
      </w:r>
      <w:r>
        <w:rPr>
          <w:i/>
          <w:sz w:val="24"/>
        </w:rPr>
        <w:t>publishes </w:t>
      </w:r>
      <w:r>
        <w:rPr>
          <w:sz w:val="24"/>
        </w:rPr>
        <w:t>the draft determination under paragraph (f), the </w:t>
      </w:r>
      <w:r>
        <w:rPr>
          <w:i/>
          <w:sz w:val="24"/>
        </w:rPr>
        <w:t>AER </w:t>
      </w:r>
      <w:r>
        <w:rPr>
          <w:sz w:val="24"/>
        </w:rPr>
        <w:t>must </w:t>
      </w:r>
      <w:r>
        <w:rPr>
          <w:i/>
          <w:sz w:val="24"/>
        </w:rPr>
        <w:t>publish </w:t>
      </w:r>
      <w:r>
        <w:rPr>
          <w:sz w:val="24"/>
        </w:rPr>
        <w:t>a notice seeking submissions on the draft determination. The notice must specify the period within which written submissions can be made (the cost threshold consultation period) which must be no less than 5 weeks from the date of the</w:t>
      </w:r>
      <w:r>
        <w:rPr>
          <w:spacing w:val="-4"/>
          <w:sz w:val="24"/>
        </w:rPr>
        <w:t> </w:t>
      </w:r>
      <w:r>
        <w:rPr>
          <w:sz w:val="24"/>
        </w:rPr>
        <w:t>notice.</w:t>
      </w:r>
    </w:p>
    <w:p>
      <w:pPr>
        <w:pStyle w:val="ListParagraph"/>
        <w:numPr>
          <w:ilvl w:val="3"/>
          <w:numId w:val="229"/>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consider any written submissions received during the cost threshold consultation period in making its final determination in respect of the matters outlined in paragraph</w:t>
      </w:r>
      <w:r>
        <w:rPr>
          <w:spacing w:val="-1"/>
          <w:sz w:val="24"/>
        </w:rPr>
        <w:t> </w:t>
      </w:r>
      <w:r>
        <w:rPr>
          <w:sz w:val="24"/>
        </w:rPr>
        <w:t>(g).</w:t>
      </w:r>
    </w:p>
    <w:p>
      <w:pPr>
        <w:pStyle w:val="ListParagraph"/>
        <w:numPr>
          <w:ilvl w:val="3"/>
          <w:numId w:val="229"/>
        </w:numPr>
        <w:tabs>
          <w:tab w:pos="1919" w:val="left" w:leader="none"/>
        </w:tabs>
        <w:spacing w:line="240" w:lineRule="auto" w:before="120" w:after="0"/>
        <w:ind w:left="1919" w:right="415" w:hanging="567"/>
        <w:jc w:val="both"/>
        <w:rPr>
          <w:sz w:val="24"/>
        </w:rPr>
      </w:pPr>
      <w:r>
        <w:rPr>
          <w:sz w:val="24"/>
        </w:rPr>
        <w:t>The final determination on cost thresholds must be made and </w:t>
      </w:r>
      <w:r>
        <w:rPr>
          <w:i/>
          <w:sz w:val="24"/>
        </w:rPr>
        <w:t>published </w:t>
      </w:r>
      <w:r>
        <w:rPr>
          <w:sz w:val="24"/>
        </w:rPr>
        <w:t>by the </w:t>
      </w:r>
      <w:r>
        <w:rPr>
          <w:i/>
          <w:sz w:val="24"/>
        </w:rPr>
        <w:t>AER </w:t>
      </w:r>
      <w:r>
        <w:rPr>
          <w:sz w:val="24"/>
        </w:rPr>
        <w:t>within 5 weeks following the end of the cost threshold consultation period.</w:t>
      </w:r>
    </w:p>
    <w:p>
      <w:pPr>
        <w:pStyle w:val="ListParagraph"/>
        <w:numPr>
          <w:ilvl w:val="3"/>
          <w:numId w:val="229"/>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w:t>
      </w:r>
      <w:r>
        <w:rPr>
          <w:i/>
          <w:sz w:val="24"/>
        </w:rPr>
        <w:t>publish </w:t>
      </w:r>
      <w:r>
        <w:rPr>
          <w:sz w:val="24"/>
        </w:rPr>
        <w:t>a draft determination under paragraph (g), a notice under paragraph (h), or a final determination under paragraph (j) for any cost threshold reviews under paragraphs (a) and (c) as a single</w:t>
      </w:r>
      <w:r>
        <w:rPr>
          <w:spacing w:val="-8"/>
          <w:sz w:val="24"/>
        </w:rPr>
        <w:t> </w:t>
      </w:r>
      <w:r>
        <w:rPr>
          <w:sz w:val="24"/>
        </w:rPr>
        <w:t>document.</w:t>
      </w:r>
    </w:p>
    <w:p>
      <w:pPr>
        <w:pStyle w:val="BodyText"/>
        <w:spacing w:before="10"/>
        <w:ind w:firstLine="0"/>
        <w:jc w:val="left"/>
        <w:rPr>
          <w:sz w:val="20"/>
        </w:rPr>
      </w:pPr>
    </w:p>
    <w:p>
      <w:pPr>
        <w:pStyle w:val="Heading4"/>
        <w:numPr>
          <w:ilvl w:val="2"/>
          <w:numId w:val="229"/>
        </w:numPr>
        <w:tabs>
          <w:tab w:pos="1351" w:val="left" w:leader="none"/>
          <w:tab w:pos="1352" w:val="left" w:leader="none"/>
        </w:tabs>
        <w:spacing w:line="240" w:lineRule="auto" w:before="0" w:after="0"/>
        <w:ind w:left="1351" w:right="0" w:hanging="1134"/>
        <w:jc w:val="left"/>
      </w:pPr>
      <w:bookmarkStart w:name="5.15.4 Costs determinations" w:id="729"/>
      <w:bookmarkEnd w:id="729"/>
      <w:r>
        <w:rPr>
          <w:b w:val="0"/>
        </w:rPr>
      </w:r>
      <w:bookmarkStart w:name="_bookmark283" w:id="730"/>
      <w:bookmarkEnd w:id="730"/>
      <w:r>
        <w:rPr>
          <w:b w:val="0"/>
        </w:rPr>
      </w:r>
      <w:bookmarkStart w:name="_bookmark283" w:id="731"/>
      <w:bookmarkEnd w:id="731"/>
      <w:r>
        <w:rPr/>
        <w:t>Cost</w:t>
      </w:r>
      <w:r>
        <w:rPr/>
        <w:t>s</w:t>
      </w:r>
      <w:r>
        <w:rPr>
          <w:spacing w:val="-2"/>
        </w:rPr>
        <w:t> </w:t>
      </w:r>
      <w:r>
        <w:rPr/>
        <w:t>determinations</w:t>
      </w:r>
    </w:p>
    <w:p>
      <w:pPr>
        <w:pStyle w:val="ListParagraph"/>
        <w:numPr>
          <w:ilvl w:val="3"/>
          <w:numId w:val="229"/>
        </w:numPr>
        <w:tabs>
          <w:tab w:pos="1919" w:val="left" w:leader="none"/>
        </w:tabs>
        <w:spacing w:line="240" w:lineRule="auto" w:before="120" w:after="0"/>
        <w:ind w:left="1919" w:right="414" w:hanging="567"/>
        <w:jc w:val="both"/>
        <w:rPr>
          <w:sz w:val="24"/>
        </w:rPr>
      </w:pPr>
      <w:r>
        <w:rPr>
          <w:sz w:val="24"/>
        </w:rPr>
        <w:t>Where the </w:t>
      </w:r>
      <w:r>
        <w:rPr>
          <w:i/>
          <w:sz w:val="24"/>
        </w:rPr>
        <w:t>AER </w:t>
      </w:r>
      <w:r>
        <w:rPr>
          <w:sz w:val="24"/>
        </w:rPr>
        <w:t>engages a consultant to assist in making a determination under clauses 5.16.5, 5.16.6 or 5.17.5 the </w:t>
      </w:r>
      <w:r>
        <w:rPr>
          <w:i/>
          <w:sz w:val="24"/>
        </w:rPr>
        <w:t>AER </w:t>
      </w:r>
      <w:r>
        <w:rPr>
          <w:sz w:val="24"/>
        </w:rPr>
        <w:t>may make a </w:t>
      </w:r>
      <w:r>
        <w:rPr>
          <w:spacing w:val="-3"/>
          <w:sz w:val="24"/>
        </w:rPr>
        <w:t>costs </w:t>
      </w:r>
      <w:r>
        <w:rPr>
          <w:sz w:val="24"/>
        </w:rPr>
        <w:t>determination.</w:t>
      </w:r>
    </w:p>
    <w:p>
      <w:pPr>
        <w:pStyle w:val="ListParagraph"/>
        <w:numPr>
          <w:ilvl w:val="3"/>
          <w:numId w:val="229"/>
        </w:numPr>
        <w:tabs>
          <w:tab w:pos="1919" w:val="left" w:leader="none"/>
        </w:tabs>
        <w:spacing w:line="240" w:lineRule="auto" w:before="120" w:after="0"/>
        <w:ind w:left="1918" w:right="0" w:hanging="567"/>
        <w:jc w:val="both"/>
        <w:rPr>
          <w:sz w:val="24"/>
        </w:rPr>
      </w:pPr>
      <w:r>
        <w:rPr>
          <w:sz w:val="24"/>
        </w:rPr>
        <w:t>Where a costs determination is made, the </w:t>
      </w:r>
      <w:r>
        <w:rPr>
          <w:i/>
          <w:sz w:val="24"/>
        </w:rPr>
        <w:t>AER</w:t>
      </w:r>
      <w:r>
        <w:rPr>
          <w:i/>
          <w:spacing w:val="-2"/>
          <w:sz w:val="24"/>
        </w:rPr>
        <w:t> </w:t>
      </w:r>
      <w:r>
        <w:rPr>
          <w:sz w:val="24"/>
        </w:rPr>
        <w:t>may:</w:t>
      </w:r>
    </w:p>
    <w:p>
      <w:pPr>
        <w:spacing w:after="0" w:line="240" w:lineRule="auto"/>
        <w:jc w:val="both"/>
        <w:rPr>
          <w:sz w:val="24"/>
        </w:rPr>
        <w:sectPr>
          <w:pgSz w:w="11910" w:h="16840"/>
          <w:pgMar w:header="686" w:footer="637" w:top="1320" w:bottom="820" w:left="1200" w:right="1000"/>
        </w:sectPr>
      </w:pPr>
    </w:p>
    <w:p>
      <w:pPr>
        <w:pStyle w:val="ListParagraph"/>
        <w:numPr>
          <w:ilvl w:val="4"/>
          <w:numId w:val="229"/>
        </w:numPr>
        <w:tabs>
          <w:tab w:pos="2486" w:val="left" w:leader="none"/>
        </w:tabs>
        <w:spacing w:line="240" w:lineRule="auto" w:before="83" w:after="0"/>
        <w:ind w:left="2486" w:right="415" w:hanging="567"/>
        <w:jc w:val="both"/>
        <w:rPr>
          <w:sz w:val="24"/>
        </w:rPr>
      </w:pPr>
      <w:r>
        <w:rPr>
          <w:sz w:val="24"/>
        </w:rPr>
        <w:t>render the RIT-T proponent or the RIT-D proponent (as the case </w:t>
      </w:r>
      <w:r>
        <w:rPr>
          <w:spacing w:val="-4"/>
          <w:sz w:val="24"/>
        </w:rPr>
        <w:t>may</w:t>
      </w:r>
      <w:r>
        <w:rPr>
          <w:spacing w:val="52"/>
          <w:sz w:val="24"/>
        </w:rPr>
        <w:t> </w:t>
      </w:r>
      <w:r>
        <w:rPr>
          <w:sz w:val="24"/>
        </w:rPr>
        <w:t>be) an invoice for the costs;</w:t>
      </w:r>
      <w:r>
        <w:rPr>
          <w:spacing w:val="-1"/>
          <w:sz w:val="24"/>
        </w:rPr>
        <w:t> </w:t>
      </w:r>
      <w:r>
        <w:rPr>
          <w:sz w:val="24"/>
        </w:rPr>
        <w:t>or</w:t>
      </w:r>
    </w:p>
    <w:p>
      <w:pPr>
        <w:pStyle w:val="ListParagraph"/>
        <w:numPr>
          <w:ilvl w:val="4"/>
          <w:numId w:val="229"/>
        </w:numPr>
        <w:tabs>
          <w:tab w:pos="2486" w:val="left" w:leader="none"/>
        </w:tabs>
        <w:spacing w:line="240" w:lineRule="auto" w:before="120" w:after="0"/>
        <w:ind w:left="2485" w:right="0" w:hanging="567"/>
        <w:jc w:val="both"/>
        <w:rPr>
          <w:sz w:val="24"/>
        </w:rPr>
      </w:pPr>
      <w:r>
        <w:rPr>
          <w:sz w:val="24"/>
        </w:rPr>
        <w:t>determine that the costs</w:t>
      </w:r>
      <w:r>
        <w:rPr>
          <w:spacing w:val="-1"/>
          <w:sz w:val="24"/>
        </w:rPr>
        <w:t> </w:t>
      </w:r>
      <w:r>
        <w:rPr>
          <w:sz w:val="24"/>
        </w:rPr>
        <w:t>should:</w:t>
      </w:r>
    </w:p>
    <w:p>
      <w:pPr>
        <w:pStyle w:val="ListParagraph"/>
        <w:numPr>
          <w:ilvl w:val="5"/>
          <w:numId w:val="229"/>
        </w:numPr>
        <w:tabs>
          <w:tab w:pos="3053" w:val="left" w:leader="none"/>
        </w:tabs>
        <w:spacing w:line="240" w:lineRule="auto" w:before="120" w:after="0"/>
        <w:ind w:left="3053" w:right="416" w:hanging="567"/>
        <w:jc w:val="both"/>
        <w:rPr>
          <w:sz w:val="24"/>
        </w:rPr>
      </w:pPr>
      <w:r>
        <w:rPr>
          <w:sz w:val="24"/>
        </w:rPr>
        <w:t>be shared by all the parties to the dispute, whether in the same proportion or differing proportions;</w:t>
      </w:r>
      <w:r>
        <w:rPr>
          <w:spacing w:val="-1"/>
          <w:sz w:val="24"/>
        </w:rPr>
        <w:t> </w:t>
      </w:r>
      <w:r>
        <w:rPr>
          <w:sz w:val="24"/>
        </w:rPr>
        <w:t>or</w:t>
      </w:r>
    </w:p>
    <w:p>
      <w:pPr>
        <w:pStyle w:val="ListParagraph"/>
        <w:numPr>
          <w:ilvl w:val="5"/>
          <w:numId w:val="229"/>
        </w:numPr>
        <w:tabs>
          <w:tab w:pos="3054" w:val="left" w:leader="none"/>
        </w:tabs>
        <w:spacing w:line="240" w:lineRule="auto" w:before="120" w:after="0"/>
        <w:ind w:left="3053" w:right="415" w:hanging="567"/>
        <w:jc w:val="both"/>
        <w:rPr>
          <w:sz w:val="24"/>
        </w:rPr>
      </w:pPr>
      <w:r>
        <w:rPr>
          <w:sz w:val="24"/>
        </w:rPr>
        <w:t>be borne by a party or parties to the dispute other than the RIT-T proponent or the RIT-D proponent (as the case may be) whether in the same proportion or differing proportions;</w:t>
      </w:r>
      <w:r>
        <w:rPr>
          <w:spacing w:val="-1"/>
          <w:sz w:val="24"/>
        </w:rPr>
        <w:t> </w:t>
      </w:r>
      <w:r>
        <w:rPr>
          <w:sz w:val="24"/>
        </w:rPr>
        <w:t>and</w:t>
      </w:r>
    </w:p>
    <w:p>
      <w:pPr>
        <w:pStyle w:val="ListParagraph"/>
        <w:numPr>
          <w:ilvl w:val="5"/>
          <w:numId w:val="229"/>
        </w:numPr>
        <w:tabs>
          <w:tab w:pos="3053" w:val="left" w:leader="none"/>
        </w:tabs>
        <w:spacing w:line="240" w:lineRule="auto" w:before="120" w:after="0"/>
        <w:ind w:left="3052" w:right="0" w:hanging="567"/>
        <w:jc w:val="both"/>
        <w:rPr>
          <w:sz w:val="24"/>
        </w:rPr>
      </w:pPr>
      <w:r>
        <w:rPr>
          <w:sz w:val="24"/>
        </w:rPr>
        <w:t>the </w:t>
      </w:r>
      <w:r>
        <w:rPr>
          <w:i/>
          <w:sz w:val="24"/>
        </w:rPr>
        <w:t>AER </w:t>
      </w:r>
      <w:r>
        <w:rPr>
          <w:sz w:val="24"/>
        </w:rPr>
        <w:t>may render invoices</w:t>
      </w:r>
      <w:r>
        <w:rPr>
          <w:spacing w:val="-1"/>
          <w:sz w:val="24"/>
        </w:rPr>
        <w:t> </w:t>
      </w:r>
      <w:r>
        <w:rPr>
          <w:sz w:val="24"/>
        </w:rPr>
        <w:t>accordingly.</w:t>
      </w:r>
    </w:p>
    <w:p>
      <w:pPr>
        <w:pStyle w:val="ListParagraph"/>
        <w:numPr>
          <w:ilvl w:val="3"/>
          <w:numId w:val="229"/>
        </w:numPr>
        <w:tabs>
          <w:tab w:pos="1919" w:val="left" w:leader="none"/>
        </w:tabs>
        <w:spacing w:line="240" w:lineRule="auto" w:before="120" w:after="0"/>
        <w:ind w:left="1919" w:right="415" w:hanging="567"/>
        <w:jc w:val="both"/>
        <w:rPr>
          <w:sz w:val="24"/>
        </w:rPr>
      </w:pPr>
      <w:r>
        <w:rPr>
          <w:sz w:val="24"/>
        </w:rPr>
        <w:t>If an invoice is rendered under subparagraph (b)(2)(iii), the </w:t>
      </w:r>
      <w:r>
        <w:rPr>
          <w:i/>
          <w:sz w:val="24"/>
        </w:rPr>
        <w:t>AER </w:t>
      </w:r>
      <w:r>
        <w:rPr>
          <w:sz w:val="24"/>
        </w:rPr>
        <w:t>must specify a time period for the payment of the invoice that is no later than 30 </w:t>
      </w:r>
      <w:r>
        <w:rPr>
          <w:i/>
          <w:sz w:val="24"/>
        </w:rPr>
        <w:t>business days </w:t>
      </w:r>
      <w:r>
        <w:rPr>
          <w:sz w:val="24"/>
        </w:rPr>
        <w:t>from the date the </w:t>
      </w:r>
      <w:r>
        <w:rPr>
          <w:i/>
          <w:sz w:val="24"/>
        </w:rPr>
        <w:t>AER </w:t>
      </w:r>
      <w:r>
        <w:rPr>
          <w:sz w:val="24"/>
        </w:rPr>
        <w:t>makes a determination under paragraph (a).</w:t>
      </w:r>
    </w:p>
    <w:p>
      <w:pPr>
        <w:pStyle w:val="BodyText"/>
        <w:spacing w:before="10"/>
        <w:ind w:firstLine="0"/>
        <w:jc w:val="left"/>
        <w:rPr>
          <w:sz w:val="20"/>
        </w:rPr>
      </w:pPr>
    </w:p>
    <w:p>
      <w:pPr>
        <w:pStyle w:val="Heading3"/>
        <w:numPr>
          <w:ilvl w:val="1"/>
          <w:numId w:val="228"/>
        </w:numPr>
        <w:tabs>
          <w:tab w:pos="1351" w:val="left" w:leader="none"/>
          <w:tab w:pos="1353" w:val="left" w:leader="none"/>
        </w:tabs>
        <w:spacing w:line="240" w:lineRule="auto" w:before="0" w:after="0"/>
        <w:ind w:left="1352" w:right="0" w:hanging="1135"/>
        <w:jc w:val="left"/>
      </w:pPr>
      <w:bookmarkStart w:name="5.16 Regulatory investment test for tran" w:id="732"/>
      <w:bookmarkEnd w:id="732"/>
      <w:r>
        <w:rPr>
          <w:b w:val="0"/>
        </w:rPr>
      </w:r>
      <w:bookmarkStart w:name="_bookmark284" w:id="733"/>
      <w:bookmarkEnd w:id="733"/>
      <w:r>
        <w:rPr>
          <w:b w:val="0"/>
        </w:rPr>
      </w:r>
      <w:bookmarkStart w:name="_bookmark284" w:id="734"/>
      <w:bookmarkEnd w:id="734"/>
      <w:r>
        <w:rPr/>
        <w:t>Regul</w:t>
      </w:r>
      <w:r>
        <w:rPr/>
        <w:t>atory investment test for</w:t>
      </w:r>
      <w:r>
        <w:rPr>
          <w:spacing w:val="-4"/>
        </w:rPr>
        <w:t> </w:t>
      </w:r>
      <w:r>
        <w:rPr/>
        <w:t>transmission</w:t>
      </w:r>
    </w:p>
    <w:p>
      <w:pPr>
        <w:pStyle w:val="Heading4"/>
        <w:numPr>
          <w:ilvl w:val="2"/>
          <w:numId w:val="231"/>
        </w:numPr>
        <w:tabs>
          <w:tab w:pos="1351" w:val="left" w:leader="none"/>
          <w:tab w:pos="1352" w:val="left" w:leader="none"/>
        </w:tabs>
        <w:spacing w:line="240" w:lineRule="auto" w:before="240" w:after="0"/>
        <w:ind w:left="1351" w:right="0" w:hanging="1134"/>
        <w:jc w:val="left"/>
      </w:pPr>
      <w:bookmarkStart w:name="5.16.1 Principles" w:id="735"/>
      <w:bookmarkEnd w:id="735"/>
      <w:r>
        <w:rPr>
          <w:b w:val="0"/>
        </w:rPr>
      </w:r>
      <w:bookmarkStart w:name="_bookmark285" w:id="736"/>
      <w:bookmarkEnd w:id="736"/>
      <w:r>
        <w:rPr>
          <w:b w:val="0"/>
        </w:rPr>
      </w:r>
      <w:bookmarkStart w:name="_bookmark285" w:id="737"/>
      <w:bookmarkEnd w:id="737"/>
      <w:r>
        <w:rPr/>
        <w:t>Princip</w:t>
      </w:r>
      <w:r>
        <w:rPr/>
        <w:t>les</w:t>
      </w:r>
    </w:p>
    <w:p>
      <w:pPr>
        <w:pStyle w:val="ListParagraph"/>
        <w:numPr>
          <w:ilvl w:val="3"/>
          <w:numId w:val="231"/>
        </w:numPr>
        <w:tabs>
          <w:tab w:pos="1919" w:val="left" w:leader="none"/>
        </w:tabs>
        <w:spacing w:line="240" w:lineRule="auto" w:before="120" w:after="0"/>
        <w:ind w:left="1919" w:right="413" w:hanging="567"/>
        <w:jc w:val="both"/>
        <w:rPr>
          <w:sz w:val="24"/>
        </w:rPr>
      </w:pPr>
      <w:r>
        <w:rPr>
          <w:sz w:val="24"/>
        </w:rPr>
        <w:t>The </w:t>
      </w:r>
      <w:r>
        <w:rPr>
          <w:i/>
          <w:sz w:val="24"/>
        </w:rPr>
        <w:t>AER </w:t>
      </w:r>
      <w:r>
        <w:rPr>
          <w:sz w:val="24"/>
        </w:rPr>
        <w:t>must develop and </w:t>
      </w:r>
      <w:r>
        <w:rPr>
          <w:i/>
          <w:sz w:val="24"/>
        </w:rPr>
        <w:t>publish </w:t>
      </w:r>
      <w:r>
        <w:rPr>
          <w:sz w:val="24"/>
        </w:rPr>
        <w:t>the </w:t>
      </w:r>
      <w:r>
        <w:rPr>
          <w:i/>
          <w:sz w:val="24"/>
        </w:rPr>
        <w:t>regulatory investment test for </w:t>
      </w:r>
      <w:r>
        <w:rPr>
          <w:i/>
          <w:sz w:val="24"/>
        </w:rPr>
        <w:t>transmission </w:t>
      </w:r>
      <w:r>
        <w:rPr>
          <w:sz w:val="24"/>
        </w:rPr>
        <w:t>in accordance with the </w:t>
      </w:r>
      <w:r>
        <w:rPr>
          <w:i/>
          <w:sz w:val="24"/>
        </w:rPr>
        <w:t>transmission consultation procedures </w:t>
      </w:r>
      <w:r>
        <w:rPr>
          <w:sz w:val="24"/>
        </w:rPr>
        <w:t>and this rule</w:t>
      </w:r>
      <w:r>
        <w:rPr>
          <w:spacing w:val="-2"/>
          <w:sz w:val="24"/>
        </w:rPr>
        <w:t> </w:t>
      </w:r>
      <w:r>
        <w:rPr>
          <w:sz w:val="24"/>
        </w:rPr>
        <w:t>5.16.1.</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The purpose of the </w:t>
      </w:r>
      <w:r>
        <w:rPr>
          <w:i/>
          <w:sz w:val="24"/>
        </w:rPr>
        <w:t>regulatory investment test for transmission </w:t>
      </w:r>
      <w:r>
        <w:rPr>
          <w:sz w:val="24"/>
        </w:rPr>
        <w:t>is to identify the credible option that maximises the present value of net economic </w:t>
      </w:r>
      <w:r>
        <w:rPr>
          <w:spacing w:val="-3"/>
          <w:sz w:val="24"/>
        </w:rPr>
        <w:t>benefit </w:t>
      </w:r>
      <w:r>
        <w:rPr>
          <w:sz w:val="24"/>
        </w:rPr>
        <w:t>to all those who produce, consume and transport electricity in the </w:t>
      </w:r>
      <w:r>
        <w:rPr>
          <w:i/>
          <w:sz w:val="24"/>
        </w:rPr>
        <w:t>market </w:t>
      </w:r>
      <w:r>
        <w:rPr>
          <w:sz w:val="24"/>
        </w:rPr>
        <w:t>(the preferred option). For the avoidance of doubt, a preferred option may, in the relevant circumstances, have a negative net economic benefit (that is, a net economic cost) where the </w:t>
      </w:r>
      <w:r>
        <w:rPr>
          <w:i/>
          <w:sz w:val="24"/>
        </w:rPr>
        <w:t>identified need </w:t>
      </w:r>
      <w:r>
        <w:rPr>
          <w:sz w:val="24"/>
        </w:rPr>
        <w:t>is for reliability corrective action.</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w:t>
      </w:r>
      <w:r>
        <w:rPr>
          <w:i/>
          <w:sz w:val="24"/>
        </w:rPr>
        <w:t>regulatory investment test for transmission</w:t>
      </w:r>
      <w:r>
        <w:rPr>
          <w:i/>
          <w:spacing w:val="-3"/>
          <w:sz w:val="24"/>
        </w:rPr>
        <w:t> </w:t>
      </w:r>
      <w:r>
        <w:rPr>
          <w:sz w:val="24"/>
        </w:rPr>
        <w:t>must:</w:t>
      </w:r>
    </w:p>
    <w:p>
      <w:pPr>
        <w:pStyle w:val="ListParagraph"/>
        <w:numPr>
          <w:ilvl w:val="4"/>
          <w:numId w:val="231"/>
        </w:numPr>
        <w:tabs>
          <w:tab w:pos="2486" w:val="left" w:leader="none"/>
        </w:tabs>
        <w:spacing w:line="240" w:lineRule="auto" w:before="120" w:after="0"/>
        <w:ind w:left="2486" w:right="413" w:hanging="567"/>
        <w:jc w:val="both"/>
        <w:rPr>
          <w:sz w:val="24"/>
        </w:rPr>
      </w:pPr>
      <w:r>
        <w:rPr>
          <w:sz w:val="24"/>
        </w:rPr>
        <w:t>be based on a cost-benefit analysis that is to include an assessment of reasonable scenarios of future supply and demand if each credible option were implemented compared to the situation where no option is implemented;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not require a level of analysis that is disproportionate to the scale and likely impact of each of the credible options being</w:t>
      </w:r>
      <w:r>
        <w:rPr>
          <w:spacing w:val="-4"/>
          <w:sz w:val="24"/>
        </w:rPr>
        <w:t> </w:t>
      </w:r>
      <w:r>
        <w:rPr>
          <w:sz w:val="24"/>
        </w:rPr>
        <w:t>considered;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be capable of being applied in a predictable, transparent and consistent manner;</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require the RIT-T proponent to consider the following classes of market benefits that could be delivered by the credible</w:t>
      </w:r>
      <w:r>
        <w:rPr>
          <w:spacing w:val="-3"/>
          <w:sz w:val="24"/>
        </w:rPr>
        <w:t> </w:t>
      </w:r>
      <w:r>
        <w:rPr>
          <w:sz w:val="24"/>
        </w:rPr>
        <w:t>option:</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changes in fuel consumption arising through different patterns  of </w:t>
      </w:r>
      <w:r>
        <w:rPr>
          <w:i/>
          <w:sz w:val="24"/>
        </w:rPr>
        <w:t>generation</w:t>
      </w:r>
      <w:r>
        <w:rPr>
          <w:i/>
          <w:spacing w:val="-1"/>
          <w:sz w:val="24"/>
        </w:rPr>
        <w:t> </w:t>
      </w:r>
      <w:r>
        <w:rPr>
          <w:i/>
          <w:sz w:val="24"/>
        </w:rPr>
        <w:t>dispatch</w:t>
      </w:r>
      <w:r>
        <w:rPr>
          <w:sz w:val="24"/>
        </w:rPr>
        <w:t>;</w:t>
      </w:r>
    </w:p>
    <w:p>
      <w:pPr>
        <w:pStyle w:val="ListParagraph"/>
        <w:numPr>
          <w:ilvl w:val="5"/>
          <w:numId w:val="231"/>
        </w:numPr>
        <w:tabs>
          <w:tab w:pos="3054" w:val="left" w:leader="none"/>
        </w:tabs>
        <w:spacing w:line="240" w:lineRule="auto" w:before="120" w:after="0"/>
        <w:ind w:left="3053" w:right="0" w:hanging="568"/>
        <w:jc w:val="both"/>
        <w:rPr>
          <w:sz w:val="24"/>
        </w:rPr>
      </w:pPr>
      <w:r>
        <w:rPr>
          <w:sz w:val="24"/>
        </w:rPr>
        <w:t>changes in voluntary </w:t>
      </w:r>
      <w:r>
        <w:rPr>
          <w:i/>
          <w:sz w:val="24"/>
        </w:rPr>
        <w:t>load</w:t>
      </w:r>
      <w:r>
        <w:rPr>
          <w:i/>
          <w:spacing w:val="-1"/>
          <w:sz w:val="24"/>
        </w:rPr>
        <w:t> </w:t>
      </w:r>
      <w:r>
        <w:rPr>
          <w:sz w:val="24"/>
        </w:rPr>
        <w:t>curtailment;</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changes in involuntary </w:t>
      </w:r>
      <w:r>
        <w:rPr>
          <w:i/>
          <w:sz w:val="24"/>
        </w:rPr>
        <w:t>load shedding</w:t>
      </w:r>
      <w:r>
        <w:rPr>
          <w:sz w:val="24"/>
        </w:rPr>
        <w:t>, with the market benefit to be considered using a reasonable forecast of the value of electricity to</w:t>
      </w:r>
      <w:r>
        <w:rPr>
          <w:spacing w:val="-1"/>
          <w:sz w:val="24"/>
        </w:rPr>
        <w:t> </w:t>
      </w:r>
      <w:r>
        <w:rPr>
          <w:sz w:val="24"/>
        </w:rPr>
        <w:t>consumers;</w:t>
      </w:r>
    </w:p>
    <w:p>
      <w:pPr>
        <w:spacing w:after="0" w:line="240" w:lineRule="auto"/>
        <w:jc w:val="both"/>
        <w:rPr>
          <w:sz w:val="24"/>
        </w:rPr>
        <w:sectPr>
          <w:pgSz w:w="11910" w:h="16840"/>
          <w:pgMar w:header="686" w:footer="637" w:top="1320" w:bottom="820" w:left="1200" w:right="1000"/>
        </w:sectPr>
      </w:pPr>
    </w:p>
    <w:p>
      <w:pPr>
        <w:pStyle w:val="ListParagraph"/>
        <w:numPr>
          <w:ilvl w:val="5"/>
          <w:numId w:val="231"/>
        </w:numPr>
        <w:tabs>
          <w:tab w:pos="3052" w:val="left" w:leader="none"/>
          <w:tab w:pos="3054" w:val="left" w:leader="none"/>
        </w:tabs>
        <w:spacing w:line="240" w:lineRule="auto" w:before="83" w:after="0"/>
        <w:ind w:left="3053" w:right="415" w:hanging="567"/>
        <w:jc w:val="left"/>
        <w:rPr>
          <w:sz w:val="24"/>
        </w:rPr>
      </w:pPr>
      <w:r>
        <w:rPr>
          <w:sz w:val="24"/>
        </w:rPr>
        <w:t>changes in costs for parties, other than the RIT-T proponent, due to:</w:t>
      </w:r>
    </w:p>
    <w:p>
      <w:pPr>
        <w:pStyle w:val="ListParagraph"/>
        <w:numPr>
          <w:ilvl w:val="6"/>
          <w:numId w:val="231"/>
        </w:numPr>
        <w:tabs>
          <w:tab w:pos="3619" w:val="left" w:leader="none"/>
          <w:tab w:pos="3620" w:val="left" w:leader="none"/>
        </w:tabs>
        <w:spacing w:line="240" w:lineRule="auto" w:before="120" w:after="0"/>
        <w:ind w:left="3619" w:right="0" w:hanging="567"/>
        <w:jc w:val="left"/>
        <w:rPr>
          <w:sz w:val="24"/>
        </w:rPr>
      </w:pPr>
      <w:r>
        <w:rPr>
          <w:sz w:val="24"/>
        </w:rPr>
        <w:t>differences in the timing of new</w:t>
      </w:r>
      <w:r>
        <w:rPr>
          <w:spacing w:val="-2"/>
          <w:sz w:val="24"/>
        </w:rPr>
        <w:t> </w:t>
      </w:r>
      <w:r>
        <w:rPr>
          <w:i/>
          <w:sz w:val="24"/>
        </w:rPr>
        <w:t>plant</w:t>
      </w:r>
      <w:r>
        <w:rPr>
          <w:sz w:val="24"/>
        </w:rPr>
        <w:t>;</w:t>
      </w:r>
    </w:p>
    <w:p>
      <w:pPr>
        <w:pStyle w:val="ListParagraph"/>
        <w:numPr>
          <w:ilvl w:val="6"/>
          <w:numId w:val="231"/>
        </w:numPr>
        <w:tabs>
          <w:tab w:pos="3620" w:val="left" w:leader="none"/>
          <w:tab w:pos="3621" w:val="left" w:leader="none"/>
        </w:tabs>
        <w:spacing w:line="240" w:lineRule="auto" w:before="120" w:after="0"/>
        <w:ind w:left="3620" w:right="0" w:hanging="568"/>
        <w:jc w:val="left"/>
        <w:rPr>
          <w:sz w:val="24"/>
        </w:rPr>
      </w:pPr>
      <w:r>
        <w:rPr>
          <w:sz w:val="24"/>
        </w:rPr>
        <w:t>differences in capital costs;</w:t>
      </w:r>
      <w:r>
        <w:rPr>
          <w:spacing w:val="-1"/>
          <w:sz w:val="24"/>
        </w:rPr>
        <w:t> </w:t>
      </w:r>
      <w:r>
        <w:rPr>
          <w:sz w:val="24"/>
        </w:rPr>
        <w:t>and</w:t>
      </w:r>
    </w:p>
    <w:p>
      <w:pPr>
        <w:pStyle w:val="ListParagraph"/>
        <w:numPr>
          <w:ilvl w:val="6"/>
          <w:numId w:val="231"/>
        </w:numPr>
        <w:tabs>
          <w:tab w:pos="3620" w:val="left" w:leader="none"/>
          <w:tab w:pos="3621" w:val="left" w:leader="none"/>
        </w:tabs>
        <w:spacing w:line="240" w:lineRule="auto" w:before="120" w:after="0"/>
        <w:ind w:left="3620" w:right="0" w:hanging="568"/>
        <w:jc w:val="left"/>
        <w:rPr>
          <w:sz w:val="24"/>
        </w:rPr>
      </w:pPr>
      <w:r>
        <w:rPr>
          <w:sz w:val="24"/>
        </w:rPr>
        <w:t>differences in the operating and maintenance</w:t>
      </w:r>
      <w:r>
        <w:rPr>
          <w:spacing w:val="-2"/>
          <w:sz w:val="24"/>
        </w:rPr>
        <w:t> </w:t>
      </w:r>
      <w:r>
        <w:rPr>
          <w:sz w:val="24"/>
        </w:rPr>
        <w:t>costs;</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differences in the timing of</w:t>
      </w:r>
      <w:r>
        <w:rPr>
          <w:spacing w:val="-2"/>
          <w:sz w:val="24"/>
        </w:rPr>
        <w:t> </w:t>
      </w:r>
      <w:r>
        <w:rPr>
          <w:sz w:val="24"/>
        </w:rPr>
        <w:t>expenditure;</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changes in </w:t>
      </w:r>
      <w:r>
        <w:rPr>
          <w:i/>
          <w:sz w:val="24"/>
        </w:rPr>
        <w:t>network</w:t>
      </w:r>
      <w:r>
        <w:rPr>
          <w:i/>
          <w:spacing w:val="-1"/>
          <w:sz w:val="24"/>
        </w:rPr>
        <w:t> </w:t>
      </w:r>
      <w:r>
        <w:rPr>
          <w:sz w:val="24"/>
        </w:rPr>
        <w:t>losses;</w:t>
      </w:r>
    </w:p>
    <w:p>
      <w:pPr>
        <w:pStyle w:val="ListParagraph"/>
        <w:numPr>
          <w:ilvl w:val="5"/>
          <w:numId w:val="231"/>
        </w:numPr>
        <w:tabs>
          <w:tab w:pos="3053" w:val="left" w:leader="none"/>
        </w:tabs>
        <w:spacing w:line="240" w:lineRule="auto" w:before="120" w:after="0"/>
        <w:ind w:left="3052" w:right="0" w:hanging="567"/>
        <w:jc w:val="left"/>
        <w:rPr>
          <w:sz w:val="24"/>
        </w:rPr>
      </w:pPr>
      <w:r>
        <w:rPr>
          <w:sz w:val="24"/>
        </w:rPr>
        <w:t>changes in ancillary services</w:t>
      </w:r>
      <w:r>
        <w:rPr>
          <w:spacing w:val="58"/>
          <w:sz w:val="24"/>
        </w:rPr>
        <w:t> </w:t>
      </w:r>
      <w:r>
        <w:rPr>
          <w:sz w:val="24"/>
        </w:rPr>
        <w:t>costs;</w:t>
      </w:r>
    </w:p>
    <w:p>
      <w:pPr>
        <w:pStyle w:val="ListParagraph"/>
        <w:numPr>
          <w:ilvl w:val="5"/>
          <w:numId w:val="231"/>
        </w:numPr>
        <w:tabs>
          <w:tab w:pos="3053" w:val="left" w:leader="none"/>
        </w:tabs>
        <w:spacing w:line="240" w:lineRule="auto" w:before="120" w:after="0"/>
        <w:ind w:left="3052" w:right="0" w:hanging="567"/>
        <w:jc w:val="left"/>
        <w:rPr>
          <w:sz w:val="24"/>
        </w:rPr>
      </w:pPr>
      <w:r>
        <w:rPr>
          <w:sz w:val="24"/>
        </w:rPr>
        <w:t>competition</w:t>
      </w:r>
      <w:r>
        <w:rPr>
          <w:spacing w:val="-1"/>
          <w:sz w:val="24"/>
        </w:rPr>
        <w:t> </w:t>
      </w:r>
      <w:r>
        <w:rPr>
          <w:sz w:val="24"/>
        </w:rPr>
        <w:t>benefits;</w:t>
      </w:r>
    </w:p>
    <w:p>
      <w:pPr>
        <w:pStyle w:val="ListParagraph"/>
        <w:numPr>
          <w:ilvl w:val="5"/>
          <w:numId w:val="231"/>
        </w:numPr>
        <w:tabs>
          <w:tab w:pos="3054" w:val="left" w:leader="none"/>
        </w:tabs>
        <w:spacing w:line="240" w:lineRule="auto" w:before="120" w:after="0"/>
        <w:ind w:left="3053" w:right="415" w:hanging="567"/>
        <w:jc w:val="both"/>
        <w:rPr>
          <w:sz w:val="24"/>
        </w:rPr>
      </w:pPr>
      <w:r>
        <w:rPr>
          <w:sz w:val="24"/>
        </w:rPr>
        <w:t>any additional option value (where this value has not already been included in the other classes of market benefits) gained </w:t>
      </w:r>
      <w:r>
        <w:rPr>
          <w:spacing w:val="-7"/>
          <w:sz w:val="24"/>
        </w:rPr>
        <w:t>or </w:t>
      </w:r>
      <w:r>
        <w:rPr>
          <w:sz w:val="24"/>
        </w:rPr>
        <w:t>foregone from implementing that credible option with respect to the likely future investment needs of the </w:t>
      </w:r>
      <w:r>
        <w:rPr>
          <w:i/>
          <w:sz w:val="24"/>
        </w:rPr>
        <w:t>market</w:t>
      </w:r>
      <w:r>
        <w:rPr>
          <w:sz w:val="24"/>
        </w:rPr>
        <w:t>;</w:t>
      </w:r>
      <w:r>
        <w:rPr>
          <w:spacing w:val="-2"/>
          <w:sz w:val="24"/>
        </w:rPr>
        <w:t> </w:t>
      </w:r>
      <w:r>
        <w:rPr>
          <w:sz w:val="24"/>
        </w:rPr>
        <w:t>and</w:t>
      </w:r>
    </w:p>
    <w:p>
      <w:pPr>
        <w:pStyle w:val="ListParagraph"/>
        <w:numPr>
          <w:ilvl w:val="5"/>
          <w:numId w:val="231"/>
        </w:numPr>
        <w:tabs>
          <w:tab w:pos="3053" w:val="left" w:leader="none"/>
        </w:tabs>
        <w:spacing w:line="240" w:lineRule="auto" w:before="120" w:after="0"/>
        <w:ind w:left="3052" w:right="0" w:hanging="567"/>
        <w:jc w:val="both"/>
        <w:rPr>
          <w:sz w:val="24"/>
        </w:rPr>
      </w:pPr>
      <w:r>
        <w:rPr>
          <w:sz w:val="24"/>
        </w:rPr>
        <w:t>other classes of market benefits that</w:t>
      </w:r>
      <w:r>
        <w:rPr>
          <w:spacing w:val="-2"/>
          <w:sz w:val="24"/>
        </w:rPr>
        <w:t> </w:t>
      </w:r>
      <w:r>
        <w:rPr>
          <w:sz w:val="24"/>
        </w:rPr>
        <w:t>are:</w:t>
      </w:r>
    </w:p>
    <w:p>
      <w:pPr>
        <w:pStyle w:val="ListParagraph"/>
        <w:numPr>
          <w:ilvl w:val="6"/>
          <w:numId w:val="231"/>
        </w:numPr>
        <w:tabs>
          <w:tab w:pos="3620" w:val="left" w:leader="none"/>
        </w:tabs>
        <w:spacing w:line="240" w:lineRule="auto" w:before="120" w:after="0"/>
        <w:ind w:left="3620" w:right="415" w:hanging="567"/>
        <w:jc w:val="both"/>
        <w:rPr>
          <w:sz w:val="24"/>
        </w:rPr>
      </w:pPr>
      <w:r>
        <w:rPr>
          <w:sz w:val="24"/>
        </w:rPr>
        <w:t>determined to be relevant by the RIT-T proponent</w:t>
      </w:r>
      <w:r>
        <w:rPr>
          <w:spacing w:val="36"/>
          <w:sz w:val="24"/>
        </w:rPr>
        <w:t> </w:t>
      </w:r>
      <w:r>
        <w:rPr>
          <w:spacing w:val="-5"/>
          <w:sz w:val="24"/>
        </w:rPr>
        <w:t>and </w:t>
      </w:r>
      <w:r>
        <w:rPr>
          <w:sz w:val="24"/>
        </w:rPr>
        <w:t>agreed to by the </w:t>
      </w:r>
      <w:r>
        <w:rPr>
          <w:i/>
          <w:sz w:val="24"/>
        </w:rPr>
        <w:t>AER </w:t>
      </w:r>
      <w:r>
        <w:rPr>
          <w:sz w:val="24"/>
        </w:rPr>
        <w:t>in writing before the date </w:t>
      </w:r>
      <w:r>
        <w:rPr>
          <w:spacing w:val="-5"/>
          <w:sz w:val="24"/>
        </w:rPr>
        <w:t>the </w:t>
      </w:r>
      <w:r>
        <w:rPr>
          <w:sz w:val="24"/>
        </w:rPr>
        <w:t>relevant project specification consultation report is made available to other parties under clause 5.16.4;</w:t>
      </w:r>
      <w:r>
        <w:rPr>
          <w:spacing w:val="-1"/>
          <w:sz w:val="24"/>
        </w:rPr>
        <w:t> </w:t>
      </w:r>
      <w:r>
        <w:rPr>
          <w:sz w:val="24"/>
        </w:rPr>
        <w:t>or</w:t>
      </w:r>
    </w:p>
    <w:p>
      <w:pPr>
        <w:pStyle w:val="ListParagraph"/>
        <w:numPr>
          <w:ilvl w:val="6"/>
          <w:numId w:val="231"/>
        </w:numPr>
        <w:tabs>
          <w:tab w:pos="3621" w:val="left" w:leader="none"/>
        </w:tabs>
        <w:spacing w:line="240" w:lineRule="auto" w:before="120" w:after="0"/>
        <w:ind w:left="3620" w:right="416" w:hanging="567"/>
        <w:jc w:val="both"/>
        <w:rPr>
          <w:sz w:val="24"/>
        </w:rPr>
      </w:pPr>
      <w:r>
        <w:rPr>
          <w:sz w:val="24"/>
        </w:rPr>
        <w:t>specified as a class of market benefit in the </w:t>
      </w:r>
      <w:r>
        <w:rPr>
          <w:i/>
          <w:sz w:val="24"/>
        </w:rPr>
        <w:t>regulatory </w:t>
      </w:r>
      <w:r>
        <w:rPr>
          <w:i/>
          <w:sz w:val="24"/>
        </w:rPr>
        <w:t>investment test for</w:t>
      </w:r>
      <w:r>
        <w:rPr>
          <w:i/>
          <w:spacing w:val="-1"/>
          <w:sz w:val="24"/>
        </w:rPr>
        <w:t> </w:t>
      </w:r>
      <w:r>
        <w:rPr>
          <w:i/>
          <w:sz w:val="24"/>
        </w:rPr>
        <w:t>transmission</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require a RIT-T proponent to include a quantification of all classes </w:t>
      </w:r>
      <w:r>
        <w:rPr>
          <w:spacing w:val="-6"/>
          <w:sz w:val="24"/>
        </w:rPr>
        <w:t>of </w:t>
      </w:r>
      <w:r>
        <w:rPr>
          <w:sz w:val="24"/>
        </w:rPr>
        <w:t>market benefits which are determined to be material in the RIT-T proponent's reasonable</w:t>
      </w:r>
      <w:r>
        <w:rPr>
          <w:spacing w:val="-1"/>
          <w:sz w:val="24"/>
        </w:rPr>
        <w:t> </w:t>
      </w:r>
      <w:r>
        <w:rPr>
          <w:sz w:val="24"/>
        </w:rPr>
        <w:t>opinion;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require a RIT-T proponent to consider all classes of market benefits as material unless it can, in the project assessment draft report, or </w:t>
      </w:r>
      <w:r>
        <w:rPr>
          <w:spacing w:val="-6"/>
          <w:sz w:val="24"/>
        </w:rPr>
        <w:t>in </w:t>
      </w:r>
      <w:r>
        <w:rPr>
          <w:sz w:val="24"/>
        </w:rPr>
        <w:t>respect of a proposed preferred option which is subject to the exemption contained in clause 5.16.4(z1), in the project specification consultation report, provide reasons</w:t>
      </w:r>
      <w:r>
        <w:rPr>
          <w:spacing w:val="-1"/>
          <w:sz w:val="24"/>
        </w:rPr>
        <w:t> </w:t>
      </w:r>
      <w:r>
        <w:rPr>
          <w:sz w:val="24"/>
        </w:rPr>
        <w:t>why:</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a particular class of market benefit is likely not to affect materially the outcome of the assessment of the credible options under the </w:t>
      </w:r>
      <w:r>
        <w:rPr>
          <w:i/>
          <w:sz w:val="24"/>
        </w:rPr>
        <w:t>regulatory investment test for transmission</w:t>
      </w:r>
      <w:r>
        <w:rPr>
          <w:sz w:val="24"/>
        </w:rPr>
        <w:t>;</w:t>
      </w:r>
      <w:r>
        <w:rPr>
          <w:spacing w:val="-4"/>
          <w:sz w:val="24"/>
        </w:rPr>
        <w:t> </w:t>
      </w:r>
      <w:r>
        <w:rPr>
          <w:sz w:val="24"/>
        </w:rPr>
        <w:t>or</w:t>
      </w:r>
    </w:p>
    <w:p>
      <w:pPr>
        <w:pStyle w:val="ListParagraph"/>
        <w:numPr>
          <w:ilvl w:val="5"/>
          <w:numId w:val="231"/>
        </w:numPr>
        <w:tabs>
          <w:tab w:pos="3054" w:val="left" w:leader="none"/>
        </w:tabs>
        <w:spacing w:line="240" w:lineRule="auto" w:before="120" w:after="0"/>
        <w:ind w:left="3053" w:right="414" w:hanging="567"/>
        <w:jc w:val="both"/>
        <w:rPr>
          <w:sz w:val="24"/>
        </w:rPr>
      </w:pPr>
      <w:r>
        <w:rPr>
          <w:sz w:val="24"/>
        </w:rPr>
        <w:t>the estimated cost of undertaking the analysis to quantify the market benefit is likely to be disproportionate to the scale, size and potential benefits of each credible option being considered in the</w:t>
      </w:r>
      <w:r>
        <w:rPr>
          <w:spacing w:val="-1"/>
          <w:sz w:val="24"/>
        </w:rPr>
        <w:t> </w:t>
      </w:r>
      <w:r>
        <w:rPr>
          <w:sz w:val="24"/>
        </w:rPr>
        <w:t>report;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with respect to the classes of market benefits set out in subparagraphs (4)(ii) and (iii), ensure that, if the credible option is for reliability corrective action, the quantification assessment required by</w:t>
      </w:r>
      <w:r>
        <w:rPr>
          <w:spacing w:val="10"/>
          <w:sz w:val="24"/>
        </w:rPr>
        <w:t> </w:t>
      </w:r>
      <w:r>
        <w:rPr>
          <w:sz w:val="24"/>
        </w:rPr>
        <w:t>paragraph</w:t>
      </w:r>
    </w:p>
    <w:p>
      <w:pPr>
        <w:pStyle w:val="BodyText"/>
        <w:spacing w:before="0"/>
        <w:ind w:left="2486" w:right="415" w:firstLine="0"/>
      </w:pPr>
      <w:r>
        <w:rPr/>
        <w:t>(5) will only apply insofar as the market benefit delivered by the credible option exceeds the minimum standard required for reliability corrective action;</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require the RIT-T proponent to quantify the following classes of</w:t>
      </w:r>
      <w:r>
        <w:rPr>
          <w:spacing w:val="-5"/>
          <w:sz w:val="24"/>
        </w:rPr>
        <w:t> </w:t>
      </w:r>
      <w:r>
        <w:rPr>
          <w:sz w:val="24"/>
        </w:rPr>
        <w:t>costs:</w:t>
      </w:r>
    </w:p>
    <w:p>
      <w:pPr>
        <w:spacing w:after="0" w:line="240" w:lineRule="auto"/>
        <w:jc w:val="both"/>
        <w:rPr>
          <w:sz w:val="24"/>
        </w:rPr>
        <w:sectPr>
          <w:pgSz w:w="11910" w:h="16840"/>
          <w:pgMar w:header="686" w:footer="637" w:top="1320" w:bottom="820" w:left="1200" w:right="1000"/>
        </w:sectPr>
      </w:pPr>
    </w:p>
    <w:p>
      <w:pPr>
        <w:pStyle w:val="ListParagraph"/>
        <w:numPr>
          <w:ilvl w:val="5"/>
          <w:numId w:val="231"/>
        </w:numPr>
        <w:tabs>
          <w:tab w:pos="3053" w:val="left" w:leader="none"/>
        </w:tabs>
        <w:spacing w:line="240" w:lineRule="auto" w:before="83" w:after="0"/>
        <w:ind w:left="3052" w:right="0" w:hanging="567"/>
        <w:jc w:val="both"/>
        <w:rPr>
          <w:sz w:val="24"/>
        </w:rPr>
      </w:pPr>
      <w:r>
        <w:rPr>
          <w:sz w:val="24"/>
        </w:rPr>
        <w:t>costs incurred in constructing or providing the credible</w:t>
      </w:r>
      <w:r>
        <w:rPr>
          <w:spacing w:val="-3"/>
          <w:sz w:val="24"/>
        </w:rPr>
        <w:t> </w:t>
      </w:r>
      <w:r>
        <w:rPr>
          <w:sz w:val="24"/>
        </w:rPr>
        <w:t>option;</w:t>
      </w:r>
    </w:p>
    <w:p>
      <w:pPr>
        <w:pStyle w:val="ListParagraph"/>
        <w:numPr>
          <w:ilvl w:val="5"/>
          <w:numId w:val="231"/>
        </w:numPr>
        <w:tabs>
          <w:tab w:pos="3054" w:val="left" w:leader="none"/>
        </w:tabs>
        <w:spacing w:line="240" w:lineRule="auto" w:before="120" w:after="0"/>
        <w:ind w:left="3053" w:right="415" w:hanging="567"/>
        <w:jc w:val="both"/>
        <w:rPr>
          <w:sz w:val="24"/>
        </w:rPr>
      </w:pPr>
      <w:r>
        <w:rPr>
          <w:sz w:val="24"/>
        </w:rPr>
        <w:t>operating and maintenance costs in respect of the credible option;</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the cost of complying with laws, regulations and applicable administrative requirements in relation to the construction and operation of the credible option;</w:t>
      </w:r>
      <w:r>
        <w:rPr>
          <w:spacing w:val="-1"/>
          <w:sz w:val="24"/>
        </w:rPr>
        <w:t> </w:t>
      </w:r>
      <w:r>
        <w:rPr>
          <w:sz w:val="24"/>
        </w:rPr>
        <w:t>and</w:t>
      </w:r>
    </w:p>
    <w:p>
      <w:pPr>
        <w:pStyle w:val="ListParagraph"/>
        <w:numPr>
          <w:ilvl w:val="5"/>
          <w:numId w:val="231"/>
        </w:numPr>
        <w:tabs>
          <w:tab w:pos="3054" w:val="left" w:leader="none"/>
        </w:tabs>
        <w:spacing w:line="240" w:lineRule="auto" w:before="120" w:after="0"/>
        <w:ind w:left="3053" w:right="0" w:hanging="568"/>
        <w:jc w:val="both"/>
        <w:rPr>
          <w:sz w:val="24"/>
        </w:rPr>
      </w:pPr>
      <w:r>
        <w:rPr>
          <w:sz w:val="24"/>
        </w:rPr>
        <w:t>any other class of costs that</w:t>
      </w:r>
      <w:r>
        <w:rPr>
          <w:spacing w:val="-2"/>
          <w:sz w:val="24"/>
        </w:rPr>
        <w:t> </w:t>
      </w:r>
      <w:r>
        <w:rPr>
          <w:sz w:val="24"/>
        </w:rPr>
        <w:t>are:</w:t>
      </w:r>
    </w:p>
    <w:p>
      <w:pPr>
        <w:pStyle w:val="ListParagraph"/>
        <w:numPr>
          <w:ilvl w:val="6"/>
          <w:numId w:val="231"/>
        </w:numPr>
        <w:tabs>
          <w:tab w:pos="3620" w:val="left" w:leader="none"/>
        </w:tabs>
        <w:spacing w:line="240" w:lineRule="auto" w:before="120" w:after="0"/>
        <w:ind w:left="3620" w:right="414" w:hanging="567"/>
        <w:jc w:val="both"/>
        <w:rPr>
          <w:sz w:val="24"/>
        </w:rPr>
      </w:pPr>
      <w:r>
        <w:rPr>
          <w:sz w:val="24"/>
        </w:rPr>
        <w:t>determined to be relevant by the RIT-T proponent</w:t>
      </w:r>
      <w:r>
        <w:rPr>
          <w:spacing w:val="34"/>
          <w:sz w:val="24"/>
        </w:rPr>
        <w:t> </w:t>
      </w:r>
      <w:r>
        <w:rPr>
          <w:spacing w:val="-4"/>
          <w:sz w:val="24"/>
        </w:rPr>
        <w:t>and </w:t>
      </w:r>
      <w:r>
        <w:rPr>
          <w:sz w:val="24"/>
        </w:rPr>
        <w:t>agreed to by the </w:t>
      </w:r>
      <w:r>
        <w:rPr>
          <w:i/>
          <w:sz w:val="24"/>
        </w:rPr>
        <w:t>AER </w:t>
      </w:r>
      <w:r>
        <w:rPr>
          <w:sz w:val="24"/>
        </w:rPr>
        <w:t>in writing before the date </w:t>
      </w:r>
      <w:r>
        <w:rPr>
          <w:spacing w:val="-5"/>
          <w:sz w:val="24"/>
        </w:rPr>
        <w:t>the </w:t>
      </w:r>
      <w:r>
        <w:rPr>
          <w:sz w:val="24"/>
        </w:rPr>
        <w:t>relevant project specification consultation report is made available to other parties under clause 5.16.4;</w:t>
      </w:r>
      <w:r>
        <w:rPr>
          <w:spacing w:val="-1"/>
          <w:sz w:val="24"/>
        </w:rPr>
        <w:t> </w:t>
      </w:r>
      <w:r>
        <w:rPr>
          <w:sz w:val="24"/>
        </w:rPr>
        <w:t>or</w:t>
      </w:r>
    </w:p>
    <w:p>
      <w:pPr>
        <w:pStyle w:val="ListParagraph"/>
        <w:numPr>
          <w:ilvl w:val="6"/>
          <w:numId w:val="231"/>
        </w:numPr>
        <w:tabs>
          <w:tab w:pos="3621" w:val="left" w:leader="none"/>
        </w:tabs>
        <w:spacing w:line="240" w:lineRule="auto" w:before="120" w:after="0"/>
        <w:ind w:left="3620" w:right="415" w:hanging="567"/>
        <w:jc w:val="both"/>
        <w:rPr>
          <w:sz w:val="24"/>
        </w:rPr>
      </w:pPr>
      <w:r>
        <w:rPr>
          <w:sz w:val="24"/>
        </w:rPr>
        <w:t>specified as a class of cost in the </w:t>
      </w:r>
      <w:r>
        <w:rPr>
          <w:i/>
          <w:sz w:val="24"/>
        </w:rPr>
        <w:t>regulatory investment </w:t>
      </w:r>
      <w:r>
        <w:rPr>
          <w:i/>
          <w:sz w:val="24"/>
        </w:rPr>
        <w:t>test for</w:t>
      </w:r>
      <w:r>
        <w:rPr>
          <w:i/>
          <w:spacing w:val="-1"/>
          <w:sz w:val="24"/>
        </w:rPr>
        <w:t> </w:t>
      </w:r>
      <w:r>
        <w:rPr>
          <w:i/>
          <w:sz w:val="24"/>
        </w:rPr>
        <w:t>transmission</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provide that any cost or market benefit which cannot be measured as a cost or market benefit to </w:t>
      </w:r>
      <w:r>
        <w:rPr>
          <w:i/>
          <w:sz w:val="24"/>
        </w:rPr>
        <w:t>Generators</w:t>
      </w:r>
      <w:r>
        <w:rPr>
          <w:sz w:val="24"/>
        </w:rPr>
        <w:t>, </w:t>
      </w:r>
      <w:r>
        <w:rPr>
          <w:i/>
          <w:sz w:val="24"/>
        </w:rPr>
        <w:t>Distribution Network Service </w:t>
      </w:r>
      <w:r>
        <w:rPr>
          <w:i/>
          <w:sz w:val="24"/>
        </w:rPr>
        <w:t>Providers</w:t>
      </w:r>
      <w:r>
        <w:rPr>
          <w:sz w:val="24"/>
        </w:rPr>
        <w:t>, </w:t>
      </w:r>
      <w:r>
        <w:rPr>
          <w:i/>
          <w:sz w:val="24"/>
        </w:rPr>
        <w:t>Transmission Network Service Providers </w:t>
      </w:r>
      <w:r>
        <w:rPr>
          <w:sz w:val="24"/>
        </w:rPr>
        <w:t>or consumers of electricity may not be included in any analysis under the </w:t>
      </w:r>
      <w:r>
        <w:rPr>
          <w:i/>
          <w:sz w:val="24"/>
        </w:rPr>
        <w:t>regulatory </w:t>
      </w:r>
      <w:r>
        <w:rPr>
          <w:i/>
          <w:sz w:val="24"/>
        </w:rPr>
        <w:t>investment test for</w:t>
      </w:r>
      <w:r>
        <w:rPr>
          <w:i/>
          <w:spacing w:val="-1"/>
          <w:sz w:val="24"/>
        </w:rPr>
        <w:t> </w:t>
      </w:r>
      <w:r>
        <w:rPr>
          <w:i/>
          <w:sz w:val="24"/>
        </w:rPr>
        <w:t>transmission</w:t>
      </w:r>
      <w:r>
        <w:rPr>
          <w:sz w:val="24"/>
        </w:rPr>
        <w:t>;</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specify:</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the method or methods permitted for estimating the magnitude of the different classes of market</w:t>
      </w:r>
      <w:r>
        <w:rPr>
          <w:spacing w:val="-1"/>
          <w:sz w:val="24"/>
        </w:rPr>
        <w:t> </w:t>
      </w:r>
      <w:r>
        <w:rPr>
          <w:sz w:val="24"/>
        </w:rPr>
        <w:t>benefits;</w:t>
      </w:r>
    </w:p>
    <w:p>
      <w:pPr>
        <w:pStyle w:val="ListParagraph"/>
        <w:numPr>
          <w:ilvl w:val="5"/>
          <w:numId w:val="231"/>
        </w:numPr>
        <w:tabs>
          <w:tab w:pos="3054" w:val="left" w:leader="none"/>
        </w:tabs>
        <w:spacing w:line="240" w:lineRule="auto" w:before="120" w:after="0"/>
        <w:ind w:left="3053" w:right="415" w:hanging="567"/>
        <w:jc w:val="both"/>
        <w:rPr>
          <w:sz w:val="24"/>
        </w:rPr>
      </w:pPr>
      <w:r>
        <w:rPr>
          <w:sz w:val="24"/>
        </w:rPr>
        <w:t>the method or methods permitted for estimating the magnitude of the different classes of</w:t>
      </w:r>
      <w:r>
        <w:rPr>
          <w:spacing w:val="-1"/>
          <w:sz w:val="24"/>
        </w:rPr>
        <w:t> </w:t>
      </w:r>
      <w:r>
        <w:rPr>
          <w:sz w:val="24"/>
        </w:rPr>
        <w:t>costs;</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the method or methods permitted for estimating market benefits which may occur outside the region in which the </w:t>
      </w:r>
      <w:r>
        <w:rPr>
          <w:i/>
          <w:sz w:val="24"/>
        </w:rPr>
        <w:t>networks </w:t>
      </w:r>
      <w:r>
        <w:rPr>
          <w:sz w:val="24"/>
        </w:rPr>
        <w:t>affected by the RIT-T project are located;</w:t>
      </w:r>
      <w:r>
        <w:rPr>
          <w:spacing w:val="-1"/>
          <w:sz w:val="24"/>
        </w:rPr>
        <w:t> </w:t>
      </w:r>
      <w:r>
        <w:rPr>
          <w:sz w:val="24"/>
        </w:rPr>
        <w:t>and</w:t>
      </w:r>
    </w:p>
    <w:p>
      <w:pPr>
        <w:pStyle w:val="ListParagraph"/>
        <w:numPr>
          <w:ilvl w:val="5"/>
          <w:numId w:val="231"/>
        </w:numPr>
        <w:tabs>
          <w:tab w:pos="3054" w:val="left" w:leader="none"/>
        </w:tabs>
        <w:spacing w:line="240" w:lineRule="auto" w:before="120" w:after="0"/>
        <w:ind w:left="3053" w:right="415" w:hanging="567"/>
        <w:jc w:val="both"/>
        <w:rPr>
          <w:sz w:val="24"/>
        </w:rPr>
      </w:pPr>
      <w:r>
        <w:rPr>
          <w:sz w:val="24"/>
        </w:rPr>
        <w:t>the appropriate method and value for specific inputs, where relevant, for determining the discount rate or rates to be</w:t>
      </w:r>
      <w:r>
        <w:rPr>
          <w:spacing w:val="-4"/>
          <w:sz w:val="24"/>
        </w:rPr>
        <w:t> </w:t>
      </w:r>
      <w:r>
        <w:rPr>
          <w:sz w:val="24"/>
        </w:rPr>
        <w:t>applied;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specify that a sensitivity analysis is required of any modelling relating to the cost-benefit analysis;</w:t>
      </w:r>
      <w:r>
        <w:rPr>
          <w:spacing w:val="-1"/>
          <w:sz w:val="24"/>
        </w:rPr>
        <w:t> </w:t>
      </w:r>
      <w:r>
        <w:rPr>
          <w:sz w:val="24"/>
        </w:rPr>
        <w:t>and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reflect that the credible option that maximises the present value of net economic benefit to all those who produce, consume or transport electricity in the market may, in some circumstances, have a negative net economic benefit (that is, a net economic cost) where the </w:t>
      </w:r>
      <w:r>
        <w:rPr>
          <w:i/>
          <w:sz w:val="24"/>
        </w:rPr>
        <w:t>identified </w:t>
      </w:r>
      <w:r>
        <w:rPr>
          <w:i/>
          <w:sz w:val="24"/>
        </w:rPr>
        <w:t>need </w:t>
      </w:r>
      <w:r>
        <w:rPr>
          <w:sz w:val="24"/>
        </w:rPr>
        <w:t>is for reliability corrective</w:t>
      </w:r>
      <w:r>
        <w:rPr>
          <w:spacing w:val="-2"/>
          <w:sz w:val="24"/>
        </w:rPr>
        <w:t> </w:t>
      </w:r>
      <w:r>
        <w:rPr>
          <w:sz w:val="24"/>
        </w:rPr>
        <w:t>action.</w:t>
      </w:r>
    </w:p>
    <w:p>
      <w:pPr>
        <w:pStyle w:val="BodyText"/>
        <w:spacing w:before="10"/>
        <w:ind w:firstLine="0"/>
        <w:jc w:val="left"/>
        <w:rPr>
          <w:sz w:val="20"/>
        </w:rPr>
      </w:pPr>
    </w:p>
    <w:p>
      <w:pPr>
        <w:pStyle w:val="Heading4"/>
        <w:numPr>
          <w:ilvl w:val="2"/>
          <w:numId w:val="231"/>
        </w:numPr>
        <w:tabs>
          <w:tab w:pos="1351" w:val="left" w:leader="none"/>
          <w:tab w:pos="1352" w:val="left" w:leader="none"/>
        </w:tabs>
        <w:spacing w:line="240" w:lineRule="auto" w:before="0" w:after="0"/>
        <w:ind w:left="1351" w:right="0" w:hanging="1134"/>
        <w:jc w:val="left"/>
      </w:pPr>
      <w:bookmarkStart w:name="5.16.2 Regulatory investment test for tr" w:id="738"/>
      <w:bookmarkEnd w:id="738"/>
      <w:r>
        <w:rPr>
          <w:b w:val="0"/>
        </w:rPr>
      </w:r>
      <w:bookmarkStart w:name="_bookmark286" w:id="739"/>
      <w:bookmarkEnd w:id="739"/>
      <w:r>
        <w:rPr>
          <w:b w:val="0"/>
        </w:rPr>
      </w:r>
      <w:bookmarkStart w:name="_bookmark286" w:id="740"/>
      <w:bookmarkEnd w:id="740"/>
      <w:r>
        <w:rPr/>
        <w:t>Regulator</w:t>
      </w:r>
      <w:r>
        <w:rPr/>
        <w:t>y investment test for transmission application</w:t>
      </w:r>
      <w:r>
        <w:rPr>
          <w:spacing w:val="-11"/>
        </w:rPr>
        <w:t> </w:t>
      </w:r>
      <w:r>
        <w:rPr/>
        <w:t>guidelines</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At the same time as the </w:t>
      </w:r>
      <w:r>
        <w:rPr>
          <w:i/>
          <w:sz w:val="24"/>
        </w:rPr>
        <w:t>AER </w:t>
      </w:r>
      <w:r>
        <w:rPr>
          <w:sz w:val="24"/>
        </w:rPr>
        <w:t>develops and </w:t>
      </w:r>
      <w:r>
        <w:rPr>
          <w:i/>
          <w:sz w:val="24"/>
        </w:rPr>
        <w:t>publishes </w:t>
      </w:r>
      <w:r>
        <w:rPr>
          <w:sz w:val="24"/>
        </w:rPr>
        <w:t>a proposed </w:t>
      </w:r>
      <w:r>
        <w:rPr>
          <w:i/>
          <w:sz w:val="24"/>
        </w:rPr>
        <w:t>regulatory </w:t>
      </w:r>
      <w:r>
        <w:rPr>
          <w:i/>
          <w:sz w:val="24"/>
        </w:rPr>
        <w:t>investment test for transmission </w:t>
      </w:r>
      <w:r>
        <w:rPr>
          <w:sz w:val="24"/>
        </w:rPr>
        <w:t>under the </w:t>
      </w:r>
      <w:r>
        <w:rPr>
          <w:i/>
          <w:sz w:val="24"/>
        </w:rPr>
        <w:t>transmission</w:t>
      </w:r>
      <w:r>
        <w:rPr>
          <w:i/>
          <w:spacing w:val="36"/>
          <w:sz w:val="24"/>
        </w:rPr>
        <w:t> </w:t>
      </w:r>
      <w:r>
        <w:rPr>
          <w:i/>
          <w:sz w:val="24"/>
        </w:rPr>
        <w:t>consultation </w:t>
      </w:r>
      <w:r>
        <w:rPr>
          <w:i/>
          <w:sz w:val="24"/>
        </w:rPr>
        <w:t>procedure</w:t>
      </w:r>
      <w:r>
        <w:rPr>
          <w:sz w:val="24"/>
        </w:rPr>
        <w:t>, the </w:t>
      </w:r>
      <w:r>
        <w:rPr>
          <w:i/>
          <w:sz w:val="24"/>
        </w:rPr>
        <w:t>AER </w:t>
      </w:r>
      <w:r>
        <w:rPr>
          <w:sz w:val="24"/>
        </w:rPr>
        <w:t>must also develop and </w:t>
      </w:r>
      <w:r>
        <w:rPr>
          <w:i/>
          <w:sz w:val="24"/>
        </w:rPr>
        <w:t>publish </w:t>
      </w:r>
      <w:r>
        <w:rPr>
          <w:sz w:val="24"/>
        </w:rPr>
        <w:t>guidelines for the operation and application of the </w:t>
      </w:r>
      <w:r>
        <w:rPr>
          <w:i/>
          <w:sz w:val="24"/>
        </w:rPr>
        <w:t>regulatory investment test for transmission </w:t>
      </w:r>
      <w:r>
        <w:rPr>
          <w:sz w:val="24"/>
        </w:rPr>
        <w:t>(the regulatory investment test for transmission application guidelines) in accordance with the </w:t>
      </w:r>
      <w:r>
        <w:rPr>
          <w:i/>
          <w:sz w:val="24"/>
        </w:rPr>
        <w:t>transmission consultation procedures </w:t>
      </w:r>
      <w:r>
        <w:rPr>
          <w:sz w:val="24"/>
        </w:rPr>
        <w:t>and this rule 5.16.</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Section 12A of the </w:t>
      </w:r>
      <w:r>
        <w:rPr>
          <w:i/>
          <w:sz w:val="20"/>
        </w:rPr>
        <w:t>National Electricity (Northern Territory) (National Uniform </w:t>
      </w:r>
      <w:r>
        <w:rPr>
          <w:i/>
          <w:sz w:val="20"/>
        </w:rPr>
        <w:t>Legislation) Act 2015 </w:t>
      </w:r>
      <w:r>
        <w:rPr>
          <w:sz w:val="20"/>
        </w:rPr>
        <w:t>applies to an instrument or decision made by the </w:t>
      </w:r>
      <w:r>
        <w:rPr>
          <w:i/>
          <w:sz w:val="20"/>
        </w:rPr>
        <w:t>AER </w:t>
      </w:r>
      <w:r>
        <w:rPr>
          <w:sz w:val="20"/>
        </w:rPr>
        <w:t>after the enactment of that Act and before the day on which this clause commences operation in the Northern Territory, in circumstances set out in that section. Guidelines developed and published by the </w:t>
      </w:r>
      <w:r>
        <w:rPr>
          <w:i/>
          <w:sz w:val="20"/>
        </w:rPr>
        <w:t>AER </w:t>
      </w:r>
      <w:r>
        <w:rPr>
          <w:sz w:val="20"/>
        </w:rPr>
        <w:t>under paragraph (a) constitute an instrument to which section 12A applies. Accordingly, for the purposes of this clause as it applies as part of the NT national electricity legislation of the Northern Territory, these guidelines are taken to be valid and to have effect from 1 July</w:t>
      </w:r>
      <w:r>
        <w:rPr>
          <w:spacing w:val="-2"/>
          <w:sz w:val="20"/>
        </w:rPr>
        <w:t> </w:t>
      </w:r>
      <w:r>
        <w:rPr>
          <w:sz w:val="20"/>
        </w:rPr>
        <w:t>2019.</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regulatory investment test for transmission application guidelines</w:t>
      </w:r>
      <w:r>
        <w:rPr>
          <w:spacing w:val="-3"/>
          <w:sz w:val="24"/>
        </w:rPr>
        <w:t> </w:t>
      </w:r>
      <w:r>
        <w:rPr>
          <w:sz w:val="24"/>
        </w:rPr>
        <w:t>must: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give effect to and be consistent with this clause 5.16.2 and </w:t>
      </w:r>
      <w:r>
        <w:rPr>
          <w:spacing w:val="-3"/>
          <w:sz w:val="24"/>
        </w:rPr>
        <w:t>clauses </w:t>
      </w:r>
      <w:r>
        <w:rPr>
          <w:sz w:val="24"/>
        </w:rPr>
        <w:t>5.15.2, 5.16.3, 5.16.4 and 5.16.5; and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provide guidance</w:t>
      </w:r>
      <w:r>
        <w:rPr>
          <w:spacing w:val="-2"/>
          <w:sz w:val="24"/>
        </w:rPr>
        <w:t> </w:t>
      </w:r>
      <w:r>
        <w:rPr>
          <w:sz w:val="24"/>
        </w:rPr>
        <w:t>on:</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the operation and application of the </w:t>
      </w:r>
      <w:r>
        <w:rPr>
          <w:i/>
          <w:sz w:val="24"/>
        </w:rPr>
        <w:t>regulatory investment test </w:t>
      </w:r>
      <w:r>
        <w:rPr>
          <w:i/>
          <w:sz w:val="24"/>
        </w:rPr>
        <w:t>for transmission</w:t>
      </w:r>
      <w:r>
        <w:rPr>
          <w:sz w:val="24"/>
        </w:rPr>
        <w:t>;</w:t>
      </w:r>
    </w:p>
    <w:p>
      <w:pPr>
        <w:pStyle w:val="ListParagraph"/>
        <w:numPr>
          <w:ilvl w:val="5"/>
          <w:numId w:val="231"/>
        </w:numPr>
        <w:tabs>
          <w:tab w:pos="3054" w:val="left" w:leader="none"/>
        </w:tabs>
        <w:spacing w:line="240" w:lineRule="auto" w:before="120" w:after="0"/>
        <w:ind w:left="3053" w:right="416" w:hanging="567"/>
        <w:jc w:val="both"/>
        <w:rPr>
          <w:sz w:val="24"/>
        </w:rPr>
      </w:pPr>
      <w:r>
        <w:rPr>
          <w:sz w:val="24"/>
        </w:rPr>
        <w:t>the process to be followed in applying the </w:t>
      </w:r>
      <w:r>
        <w:rPr>
          <w:i/>
          <w:sz w:val="24"/>
        </w:rPr>
        <w:t>regulatory investment </w:t>
      </w:r>
      <w:r>
        <w:rPr>
          <w:i/>
          <w:sz w:val="24"/>
        </w:rPr>
        <w:t>test for transmission</w:t>
      </w:r>
      <w:r>
        <w:rPr>
          <w:sz w:val="24"/>
        </w:rPr>
        <w:t>;</w:t>
      </w:r>
      <w:r>
        <w:rPr>
          <w:spacing w:val="-1"/>
          <w:sz w:val="24"/>
        </w:rPr>
        <w:t> </w:t>
      </w:r>
      <w:r>
        <w:rPr>
          <w:sz w:val="24"/>
        </w:rPr>
        <w:t>and</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how disputes raised in relation to the </w:t>
      </w:r>
      <w:r>
        <w:rPr>
          <w:i/>
          <w:sz w:val="24"/>
        </w:rPr>
        <w:t>regulatory investment test </w:t>
      </w:r>
      <w:r>
        <w:rPr>
          <w:i/>
          <w:sz w:val="24"/>
        </w:rPr>
        <w:t>for transmission </w:t>
      </w:r>
      <w:r>
        <w:rPr>
          <w:sz w:val="24"/>
        </w:rPr>
        <w:t>and its application will be addressed and resolved.</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The regulatory investment test for transmission application guidelines must provide guidance and worked examples as</w:t>
      </w:r>
      <w:r>
        <w:rPr>
          <w:spacing w:val="-2"/>
          <w:sz w:val="24"/>
        </w:rPr>
        <w:t> </w:t>
      </w:r>
      <w:r>
        <w:rPr>
          <w:sz w:val="24"/>
        </w:rPr>
        <w:t>to:</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what constitutes a credible</w:t>
      </w:r>
      <w:r>
        <w:rPr>
          <w:spacing w:val="-2"/>
          <w:sz w:val="24"/>
        </w:rPr>
        <w:t> </w:t>
      </w:r>
      <w:r>
        <w:rPr>
          <w:sz w:val="24"/>
        </w:rPr>
        <w:t>option;</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acceptable methodologies for valuing the costs of a credible</w:t>
      </w:r>
      <w:r>
        <w:rPr>
          <w:spacing w:val="-4"/>
          <w:sz w:val="24"/>
        </w:rPr>
        <w:t> </w:t>
      </w:r>
      <w:r>
        <w:rPr>
          <w:sz w:val="24"/>
        </w:rPr>
        <w:t>option;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what may constitute an externality under the </w:t>
      </w:r>
      <w:r>
        <w:rPr>
          <w:i/>
          <w:sz w:val="24"/>
        </w:rPr>
        <w:t>regulatory investment </w:t>
      </w:r>
      <w:r>
        <w:rPr>
          <w:i/>
          <w:sz w:val="24"/>
        </w:rPr>
        <w:t>test for</w:t>
      </w:r>
      <w:r>
        <w:rPr>
          <w:i/>
          <w:spacing w:val="-1"/>
          <w:sz w:val="24"/>
        </w:rPr>
        <w:t> </w:t>
      </w:r>
      <w:r>
        <w:rPr>
          <w:i/>
          <w:sz w:val="24"/>
        </w:rPr>
        <w:t>transmission</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classes of market benefits to be considered for the purposes of clause</w:t>
      </w:r>
      <w:r>
        <w:rPr>
          <w:spacing w:val="-1"/>
          <w:sz w:val="24"/>
        </w:rPr>
        <w:t> </w:t>
      </w:r>
      <w:r>
        <w:rPr>
          <w:sz w:val="24"/>
        </w:rPr>
        <w:t>5.16.1(c)(4);</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suitable modelling periods and approaches to</w:t>
      </w:r>
      <w:r>
        <w:rPr>
          <w:spacing w:val="35"/>
          <w:sz w:val="24"/>
        </w:rPr>
        <w:t> </w:t>
      </w:r>
      <w:r>
        <w:rPr>
          <w:sz w:val="24"/>
        </w:rPr>
        <w:t>scenario development;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acceptable methodologies for valuing the market benefits of</w:t>
      </w:r>
      <w:r>
        <w:rPr>
          <w:spacing w:val="30"/>
          <w:sz w:val="24"/>
        </w:rPr>
        <w:t> </w:t>
      </w:r>
      <w:r>
        <w:rPr>
          <w:sz w:val="24"/>
        </w:rPr>
        <w:t>a credible option referred to clause 5.16.1(c)(4), including the option value, competition benefits and market benefits that accrue across regions;</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appropriate approach to undertaking a sensitivity analysis for the purposes of clause 5.16.1(c)(11);</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 appropriate approaches to assessing uncertainty and risks;</w:t>
      </w:r>
      <w:r>
        <w:rPr>
          <w:spacing w:val="-2"/>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when a person is sufficiently committed to a credible option for reliability corrective action to be characterised as a proponent for the purposes of clause 5.15.2(b)(7).</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ensure that there is a </w:t>
      </w:r>
      <w:r>
        <w:rPr>
          <w:i/>
          <w:sz w:val="24"/>
        </w:rPr>
        <w:t>regulatory investment test for </w:t>
      </w:r>
      <w:r>
        <w:rPr>
          <w:i/>
          <w:sz w:val="24"/>
        </w:rPr>
        <w:t>transmission </w:t>
      </w:r>
      <w:r>
        <w:rPr>
          <w:sz w:val="24"/>
        </w:rPr>
        <w:t>and regulatory investment test for transmission application guidelines in force at all</w:t>
      </w:r>
      <w:r>
        <w:rPr>
          <w:spacing w:val="-1"/>
          <w:sz w:val="24"/>
        </w:rPr>
        <w:t> </w:t>
      </w:r>
      <w:r>
        <w:rPr>
          <w:sz w:val="24"/>
        </w:rPr>
        <w:t>times.</w:t>
      </w:r>
    </w:p>
    <w:p>
      <w:pPr>
        <w:spacing w:after="0" w:line="240" w:lineRule="auto"/>
        <w:jc w:val="both"/>
        <w:rPr>
          <w:sz w:val="24"/>
        </w:rPr>
        <w:sectPr>
          <w:pgSz w:w="11910" w:h="16840"/>
          <w:pgMar w:header="686" w:footer="637" w:top="1320" w:bottom="820" w:left="1200" w:right="1000"/>
        </w:sectPr>
      </w:pPr>
    </w:p>
    <w:p>
      <w:pPr>
        <w:pStyle w:val="ListParagraph"/>
        <w:numPr>
          <w:ilvl w:val="3"/>
          <w:numId w:val="231"/>
        </w:numPr>
        <w:tabs>
          <w:tab w:pos="1919" w:val="left" w:leader="none"/>
        </w:tabs>
        <w:spacing w:line="240" w:lineRule="auto" w:before="83" w:after="0"/>
        <w:ind w:left="1919" w:right="413" w:hanging="567"/>
        <w:jc w:val="both"/>
        <w:rPr>
          <w:sz w:val="24"/>
        </w:rPr>
      </w:pPr>
      <w:r>
        <w:rPr>
          <w:sz w:val="24"/>
        </w:rPr>
        <w:t>The </w:t>
      </w:r>
      <w:r>
        <w:rPr>
          <w:i/>
          <w:sz w:val="24"/>
        </w:rPr>
        <w:t>AER </w:t>
      </w:r>
      <w:r>
        <w:rPr>
          <w:sz w:val="24"/>
        </w:rPr>
        <w:t>may, from time to time, amend or replace the </w:t>
      </w:r>
      <w:r>
        <w:rPr>
          <w:i/>
          <w:sz w:val="24"/>
        </w:rPr>
        <w:t>regulatory </w:t>
      </w:r>
      <w:r>
        <w:rPr>
          <w:i/>
          <w:sz w:val="24"/>
        </w:rPr>
        <w:t>investment test for transmission </w:t>
      </w:r>
      <w:r>
        <w:rPr>
          <w:sz w:val="24"/>
        </w:rPr>
        <w:t>and regulatory investment test for transmission application guidelines in accordance with the </w:t>
      </w:r>
      <w:r>
        <w:rPr>
          <w:i/>
          <w:sz w:val="24"/>
        </w:rPr>
        <w:t>transmission </w:t>
      </w:r>
      <w:r>
        <w:rPr>
          <w:i/>
          <w:sz w:val="24"/>
        </w:rPr>
        <w:t>consultation procedures</w:t>
      </w:r>
      <w:r>
        <w:rPr>
          <w:sz w:val="24"/>
        </w:rPr>
        <w:t>, provided the </w:t>
      </w:r>
      <w:r>
        <w:rPr>
          <w:i/>
          <w:sz w:val="24"/>
        </w:rPr>
        <w:t>AER publishes </w:t>
      </w:r>
      <w:r>
        <w:rPr>
          <w:sz w:val="24"/>
        </w:rPr>
        <w:t>any amendments to,  or replacements of, the </w:t>
      </w:r>
      <w:r>
        <w:rPr>
          <w:i/>
          <w:sz w:val="24"/>
        </w:rPr>
        <w:t>regulatory investment test for transmission </w:t>
      </w:r>
      <w:r>
        <w:rPr>
          <w:sz w:val="24"/>
        </w:rPr>
        <w:t>or regulatory investment test for transmission application guidelines at the same</w:t>
      </w:r>
      <w:r>
        <w:rPr>
          <w:spacing w:val="-2"/>
          <w:sz w:val="24"/>
        </w:rPr>
        <w:t> </w:t>
      </w:r>
      <w:r>
        <w:rPr>
          <w:sz w:val="24"/>
        </w:rPr>
        <w:t>time.</w:t>
      </w:r>
    </w:p>
    <w:p>
      <w:pPr>
        <w:pStyle w:val="ListParagraph"/>
        <w:numPr>
          <w:ilvl w:val="3"/>
          <w:numId w:val="231"/>
        </w:numPr>
        <w:tabs>
          <w:tab w:pos="1920" w:val="left" w:leader="none"/>
        </w:tabs>
        <w:spacing w:line="240" w:lineRule="auto" w:before="120" w:after="0"/>
        <w:ind w:left="1919" w:right="413" w:hanging="567"/>
        <w:jc w:val="both"/>
        <w:rPr>
          <w:sz w:val="24"/>
        </w:rPr>
      </w:pPr>
      <w:r>
        <w:rPr>
          <w:sz w:val="24"/>
        </w:rPr>
        <w:t>An amendment referred to in paragraph (e) does not apply to a current application of the </w:t>
      </w:r>
      <w:r>
        <w:rPr>
          <w:i/>
          <w:sz w:val="24"/>
        </w:rPr>
        <w:t>regulatory investment test for transmission </w:t>
      </w:r>
      <w:r>
        <w:rPr>
          <w:sz w:val="24"/>
        </w:rPr>
        <w:t>and the regulatory investment test for transmission application guidelines under the </w:t>
      </w:r>
      <w:r>
        <w:rPr>
          <w:i/>
          <w:sz w:val="24"/>
        </w:rPr>
        <w:t>Rules </w:t>
      </w:r>
      <w:r>
        <w:rPr>
          <w:sz w:val="24"/>
        </w:rPr>
        <w:t>by RIT-T</w:t>
      </w:r>
      <w:r>
        <w:rPr>
          <w:spacing w:val="-1"/>
          <w:sz w:val="24"/>
        </w:rPr>
        <w:t> </w:t>
      </w:r>
      <w:r>
        <w:rPr>
          <w:sz w:val="24"/>
        </w:rPr>
        <w:t>proponent.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For the purposes of paragraph (f), a "current application" means any action or process initiated under the </w:t>
      </w:r>
      <w:r>
        <w:rPr>
          <w:i/>
          <w:sz w:val="24"/>
        </w:rPr>
        <w:t>Rules </w:t>
      </w:r>
      <w:r>
        <w:rPr>
          <w:sz w:val="24"/>
        </w:rPr>
        <w:t>which relies on or is referenced to the </w:t>
      </w:r>
      <w:r>
        <w:rPr>
          <w:i/>
          <w:sz w:val="24"/>
        </w:rPr>
        <w:t>regulatory investment test for transmission </w:t>
      </w:r>
      <w:r>
        <w:rPr>
          <w:sz w:val="24"/>
        </w:rPr>
        <w:t>and/or the regulatory investment test for transmission application guidelines and is not completed at the date of the relevant amendment to the </w:t>
      </w:r>
      <w:r>
        <w:rPr>
          <w:i/>
          <w:sz w:val="24"/>
        </w:rPr>
        <w:t>regulatory investment test for transmission </w:t>
      </w:r>
      <w:r>
        <w:rPr>
          <w:sz w:val="24"/>
        </w:rPr>
        <w:t>and/or the regulatory investment test for transmission application</w:t>
      </w:r>
      <w:r>
        <w:rPr>
          <w:spacing w:val="-7"/>
          <w:sz w:val="24"/>
        </w:rPr>
        <w:t> </w:t>
      </w:r>
      <w:r>
        <w:rPr>
          <w:sz w:val="24"/>
        </w:rPr>
        <w:t>guidelines.</w:t>
      </w:r>
    </w:p>
    <w:p>
      <w:pPr>
        <w:pStyle w:val="BodyText"/>
        <w:spacing w:before="10"/>
        <w:ind w:firstLine="0"/>
        <w:jc w:val="left"/>
        <w:rPr>
          <w:sz w:val="20"/>
        </w:rPr>
      </w:pPr>
    </w:p>
    <w:p>
      <w:pPr>
        <w:pStyle w:val="Heading4"/>
        <w:numPr>
          <w:ilvl w:val="2"/>
          <w:numId w:val="231"/>
        </w:numPr>
        <w:tabs>
          <w:tab w:pos="1351" w:val="left" w:leader="none"/>
          <w:tab w:pos="1352" w:val="left" w:leader="none"/>
        </w:tabs>
        <w:spacing w:line="240" w:lineRule="auto" w:before="0" w:after="0"/>
        <w:ind w:left="1352" w:right="1871" w:hanging="1134"/>
        <w:jc w:val="left"/>
      </w:pPr>
      <w:bookmarkStart w:name="5.16.3 Investments subject to the regula" w:id="741"/>
      <w:bookmarkEnd w:id="741"/>
      <w:r>
        <w:rPr>
          <w:b w:val="0"/>
        </w:rPr>
      </w:r>
      <w:bookmarkStart w:name="_bookmark287" w:id="742"/>
      <w:bookmarkEnd w:id="742"/>
      <w:r>
        <w:rPr>
          <w:b w:val="0"/>
        </w:rPr>
      </w:r>
      <w:bookmarkStart w:name="_bookmark287" w:id="743"/>
      <w:bookmarkEnd w:id="743"/>
      <w:r>
        <w:rPr/>
        <w:t>Investments</w:t>
      </w:r>
      <w:r>
        <w:rPr/>
        <w:t> subject to the regulatory investment test for transmission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Paragraph (a)(8) to (11) of this clause has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provisions will be revisited as part of the phased implementation of the </w:t>
      </w:r>
      <w:r>
        <w:rPr>
          <w:i/>
          <w:sz w:val="20"/>
        </w:rPr>
        <w:t>Rules </w:t>
      </w:r>
      <w:r>
        <w:rPr>
          <w:sz w:val="20"/>
        </w:rPr>
        <w:t>in this jurisdiction.</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RIT-T proponent must apply the </w:t>
      </w:r>
      <w:r>
        <w:rPr>
          <w:i/>
          <w:sz w:val="24"/>
        </w:rPr>
        <w:t>regulatory investment test for </w:t>
      </w:r>
      <w:r>
        <w:rPr>
          <w:i/>
          <w:sz w:val="24"/>
        </w:rPr>
        <w:t>transmission </w:t>
      </w:r>
      <w:r>
        <w:rPr>
          <w:sz w:val="24"/>
        </w:rPr>
        <w:t>to a RIT-T project except in circumstances</w:t>
      </w:r>
      <w:r>
        <w:rPr>
          <w:spacing w:val="-4"/>
          <w:sz w:val="24"/>
        </w:rPr>
        <w:t> </w:t>
      </w:r>
      <w:r>
        <w:rPr>
          <w:sz w:val="24"/>
        </w:rPr>
        <w:t>where:</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RIT-T project is required to address an urgent and unforeseen </w:t>
      </w:r>
      <w:r>
        <w:rPr>
          <w:i/>
          <w:sz w:val="24"/>
        </w:rPr>
        <w:t>network </w:t>
      </w:r>
      <w:r>
        <w:rPr>
          <w:sz w:val="24"/>
        </w:rPr>
        <w:t>issue that would otherwise put at risk the </w:t>
      </w:r>
      <w:r>
        <w:rPr>
          <w:i/>
          <w:sz w:val="24"/>
        </w:rPr>
        <w:t>reliability </w:t>
      </w:r>
      <w:r>
        <w:rPr>
          <w:sz w:val="24"/>
        </w:rPr>
        <w:t>of the </w:t>
      </w:r>
      <w:r>
        <w:rPr>
          <w:i/>
          <w:sz w:val="24"/>
        </w:rPr>
        <w:t>transmission network </w:t>
      </w:r>
      <w:r>
        <w:rPr>
          <w:sz w:val="24"/>
        </w:rPr>
        <w:t>as described in paragraph</w:t>
      </w:r>
      <w:r>
        <w:rPr>
          <w:spacing w:val="-1"/>
          <w:sz w:val="24"/>
        </w:rPr>
        <w:t> </w:t>
      </w:r>
      <w:r>
        <w:rPr>
          <w:sz w:val="24"/>
        </w:rPr>
        <w:t>(b);</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estimated capital cost of the most expensive option to address the </w:t>
      </w:r>
      <w:r>
        <w:rPr>
          <w:i/>
          <w:sz w:val="24"/>
        </w:rPr>
        <w:t>identified need </w:t>
      </w:r>
      <w:r>
        <w:rPr>
          <w:sz w:val="24"/>
        </w:rPr>
        <w:t>which is technically and economically feasible is less than $5 million (as varied in accordance with a cost threshold determination);</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 proposed expenditure relates to maintenance and is not intended</w:t>
      </w:r>
      <w:r>
        <w:rPr>
          <w:spacing w:val="37"/>
          <w:sz w:val="24"/>
        </w:rPr>
        <w:t> </w:t>
      </w:r>
      <w:r>
        <w:rPr>
          <w:sz w:val="24"/>
        </w:rPr>
        <w:t>to</w:t>
      </w:r>
    </w:p>
    <w:p>
      <w:pPr>
        <w:spacing w:before="0"/>
        <w:ind w:left="2486" w:right="0" w:firstLine="0"/>
        <w:jc w:val="both"/>
        <w:rPr>
          <w:sz w:val="24"/>
        </w:rPr>
      </w:pPr>
      <w:r>
        <w:rPr>
          <w:i/>
          <w:sz w:val="24"/>
        </w:rPr>
        <w:t>augment </w:t>
      </w:r>
      <w:r>
        <w:rPr>
          <w:sz w:val="24"/>
        </w:rPr>
        <w:t>the </w:t>
      </w:r>
      <w:r>
        <w:rPr>
          <w:i/>
          <w:sz w:val="24"/>
        </w:rPr>
        <w:t>transmission network </w:t>
      </w:r>
      <w:r>
        <w:rPr>
          <w:sz w:val="24"/>
        </w:rPr>
        <w:t>or replace </w:t>
      </w:r>
      <w:r>
        <w:rPr>
          <w:i/>
          <w:sz w:val="24"/>
        </w:rPr>
        <w:t>network </w:t>
      </w:r>
      <w:r>
        <w:rPr>
          <w:sz w:val="24"/>
        </w:rPr>
        <w:t>assets;</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w:t>
      </w:r>
      <w:r>
        <w:rPr>
          <w:b/>
          <w:sz w:val="24"/>
        </w:rPr>
        <w:t>Deleted</w:t>
      </w:r>
      <w:r>
        <w:rPr>
          <w:sz w:val="24"/>
        </w:rPr>
        <w: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proposed relevant </w:t>
      </w:r>
      <w:r>
        <w:rPr>
          <w:i/>
          <w:sz w:val="24"/>
        </w:rPr>
        <w:t>network </w:t>
      </w:r>
      <w:r>
        <w:rPr>
          <w:sz w:val="24"/>
        </w:rPr>
        <w:t>investment is an investment undertaken by a </w:t>
      </w:r>
      <w:r>
        <w:rPr>
          <w:i/>
          <w:sz w:val="24"/>
        </w:rPr>
        <w:t>Transmission Network Service Provider</w:t>
      </w:r>
      <w:r>
        <w:rPr>
          <w:i/>
          <w:spacing w:val="-4"/>
          <w:sz w:val="24"/>
        </w:rPr>
        <w:t> </w:t>
      </w:r>
      <w:r>
        <w:rPr>
          <w:sz w:val="24"/>
        </w:rPr>
        <w:t>which:</w:t>
      </w:r>
    </w:p>
    <w:p>
      <w:pPr>
        <w:pStyle w:val="ListParagraph"/>
        <w:numPr>
          <w:ilvl w:val="5"/>
          <w:numId w:val="231"/>
        </w:numPr>
        <w:tabs>
          <w:tab w:pos="3053" w:val="left" w:leader="none"/>
        </w:tabs>
        <w:spacing w:line="240" w:lineRule="auto" w:before="120" w:after="0"/>
        <w:ind w:left="3052" w:right="0" w:hanging="567"/>
        <w:jc w:val="both"/>
        <w:rPr>
          <w:sz w:val="24"/>
        </w:rPr>
      </w:pPr>
      <w:r>
        <w:rPr>
          <w:sz w:val="24"/>
        </w:rPr>
        <w:t>re-routes one or more paths of a </w:t>
      </w:r>
      <w:r>
        <w:rPr>
          <w:i/>
          <w:sz w:val="24"/>
        </w:rPr>
        <w:t>network </w:t>
      </w:r>
      <w:r>
        <w:rPr>
          <w:sz w:val="24"/>
        </w:rPr>
        <w:t>for the long term;</w:t>
      </w:r>
      <w:r>
        <w:rPr>
          <w:spacing w:val="-3"/>
          <w:sz w:val="24"/>
        </w:rPr>
        <w:t> </w:t>
      </w:r>
      <w:r>
        <w:rPr>
          <w:sz w:val="24"/>
        </w:rPr>
        <w:t>and</w:t>
      </w:r>
    </w:p>
    <w:p>
      <w:pPr>
        <w:pStyle w:val="ListParagraph"/>
        <w:numPr>
          <w:ilvl w:val="5"/>
          <w:numId w:val="231"/>
        </w:numPr>
        <w:tabs>
          <w:tab w:pos="3054" w:val="left" w:leader="none"/>
        </w:tabs>
        <w:spacing w:line="240" w:lineRule="auto" w:before="120" w:after="0"/>
        <w:ind w:left="3053" w:right="0" w:hanging="568"/>
        <w:jc w:val="both"/>
        <w:rPr>
          <w:sz w:val="24"/>
        </w:rPr>
      </w:pPr>
      <w:r>
        <w:rPr>
          <w:sz w:val="24"/>
        </w:rPr>
        <w:t>has</w:t>
      </w:r>
      <w:r>
        <w:rPr>
          <w:spacing w:val="36"/>
          <w:sz w:val="24"/>
        </w:rPr>
        <w:t> </w:t>
      </w:r>
      <w:r>
        <w:rPr>
          <w:sz w:val="24"/>
        </w:rPr>
        <w:t>a</w:t>
      </w:r>
      <w:r>
        <w:rPr>
          <w:spacing w:val="37"/>
          <w:sz w:val="24"/>
        </w:rPr>
        <w:t> </w:t>
      </w:r>
      <w:r>
        <w:rPr>
          <w:sz w:val="24"/>
        </w:rPr>
        <w:t>substantial</w:t>
      </w:r>
      <w:r>
        <w:rPr>
          <w:spacing w:val="37"/>
          <w:sz w:val="24"/>
        </w:rPr>
        <w:t> </w:t>
      </w:r>
      <w:r>
        <w:rPr>
          <w:sz w:val="24"/>
        </w:rPr>
        <w:t>primary</w:t>
      </w:r>
      <w:r>
        <w:rPr>
          <w:spacing w:val="37"/>
          <w:sz w:val="24"/>
        </w:rPr>
        <w:t> </w:t>
      </w:r>
      <w:r>
        <w:rPr>
          <w:sz w:val="24"/>
        </w:rPr>
        <w:t>purpose</w:t>
      </w:r>
      <w:r>
        <w:rPr>
          <w:spacing w:val="37"/>
          <w:sz w:val="24"/>
        </w:rPr>
        <w:t> </w:t>
      </w:r>
      <w:r>
        <w:rPr>
          <w:sz w:val="24"/>
        </w:rPr>
        <w:t>other</w:t>
      </w:r>
      <w:r>
        <w:rPr>
          <w:spacing w:val="37"/>
          <w:sz w:val="24"/>
        </w:rPr>
        <w:t> </w:t>
      </w:r>
      <w:r>
        <w:rPr>
          <w:sz w:val="24"/>
        </w:rPr>
        <w:t>than</w:t>
      </w:r>
      <w:r>
        <w:rPr>
          <w:spacing w:val="37"/>
          <w:sz w:val="24"/>
        </w:rPr>
        <w:t> </w:t>
      </w:r>
      <w:r>
        <w:rPr>
          <w:sz w:val="24"/>
        </w:rPr>
        <w:t>the</w:t>
      </w:r>
      <w:r>
        <w:rPr>
          <w:spacing w:val="37"/>
          <w:sz w:val="24"/>
        </w:rPr>
        <w:t> </w:t>
      </w:r>
      <w:r>
        <w:rPr>
          <w:sz w:val="24"/>
        </w:rPr>
        <w:t>need</w:t>
      </w:r>
      <w:r>
        <w:rPr>
          <w:spacing w:val="37"/>
          <w:sz w:val="24"/>
        </w:rPr>
        <w:t> </w:t>
      </w:r>
      <w:r>
        <w:rPr>
          <w:sz w:val="24"/>
        </w:rPr>
        <w:t>to</w:t>
      </w:r>
    </w:p>
    <w:p>
      <w:pPr>
        <w:spacing w:before="0"/>
        <w:ind w:left="3053" w:right="0" w:firstLine="0"/>
        <w:jc w:val="both"/>
        <w:rPr>
          <w:sz w:val="24"/>
        </w:rPr>
      </w:pPr>
      <w:r>
        <w:rPr>
          <w:i/>
          <w:sz w:val="24"/>
        </w:rPr>
        <w:t>augment </w:t>
      </w:r>
      <w:r>
        <w:rPr>
          <w:sz w:val="24"/>
        </w:rPr>
        <w:t>a </w:t>
      </w:r>
      <w:r>
        <w:rPr>
          <w:i/>
          <w:sz w:val="24"/>
        </w:rPr>
        <w:t>network</w:t>
      </w:r>
      <w:r>
        <w:rPr>
          <w:sz w:val="24"/>
        </w:rPr>
        <w:t>,</w:t>
      </w:r>
    </w:p>
    <w:p>
      <w:pPr>
        <w:pStyle w:val="BodyText"/>
        <w:ind w:left="2486" w:right="414" w:firstLine="0"/>
      </w:pPr>
      <w:r>
        <w:rPr/>
        <w:t>(a reconfiguration investment) and which the RIT-T proponent reasonably estimates to have an estimated capital cost of less than $5 million (as varied in accordance with a cost threshold determination)</w:t>
      </w:r>
    </w:p>
    <w:p>
      <w:pPr>
        <w:spacing w:after="0"/>
        <w:sectPr>
          <w:pgSz w:w="11910" w:h="16840"/>
          <w:pgMar w:header="686" w:footer="637" w:top="1320" w:bottom="820" w:left="1200" w:right="1000"/>
        </w:sectPr>
      </w:pPr>
    </w:p>
    <w:p>
      <w:pPr>
        <w:pStyle w:val="BodyText"/>
        <w:spacing w:before="83"/>
        <w:ind w:left="2486" w:firstLine="0"/>
        <w:jc w:val="left"/>
        <w:rPr>
          <w:i/>
        </w:rPr>
      </w:pPr>
      <w:r>
        <w:rPr/>
        <w:t>or which</w:t>
      </w:r>
      <w:r>
        <w:rPr>
          <w:spacing w:val="51"/>
        </w:rPr>
        <w:t> </w:t>
      </w:r>
      <w:r>
        <w:rPr/>
        <w:t>has,</w:t>
      </w:r>
      <w:r>
        <w:rPr>
          <w:spacing w:val="51"/>
        </w:rPr>
        <w:t> </w:t>
      </w:r>
      <w:r>
        <w:rPr/>
        <w:t>or is</w:t>
      </w:r>
      <w:r>
        <w:rPr>
          <w:spacing w:val="51"/>
        </w:rPr>
        <w:t> </w:t>
      </w:r>
      <w:r>
        <w:rPr/>
        <w:t>likely</w:t>
      </w:r>
      <w:r>
        <w:rPr>
          <w:spacing w:val="51"/>
        </w:rPr>
        <w:t> </w:t>
      </w:r>
      <w:r>
        <w:rPr/>
        <w:t>to have,</w:t>
      </w:r>
      <w:r>
        <w:rPr>
          <w:spacing w:val="51"/>
        </w:rPr>
        <w:t> </w:t>
      </w:r>
      <w:r>
        <w:rPr/>
        <w:t>no</w:t>
      </w:r>
      <w:r>
        <w:rPr>
          <w:spacing w:val="51"/>
        </w:rPr>
        <w:t> </w:t>
      </w:r>
      <w:r>
        <w:rPr/>
        <w:t>material impact</w:t>
      </w:r>
      <w:r>
        <w:rPr>
          <w:spacing w:val="51"/>
        </w:rPr>
        <w:t> </w:t>
      </w:r>
      <w:r>
        <w:rPr/>
        <w:t>on</w:t>
      </w:r>
      <w:r>
        <w:rPr>
          <w:spacing w:val="51"/>
        </w:rPr>
        <w:t> </w:t>
      </w:r>
      <w:r>
        <w:rPr>
          <w:i/>
        </w:rPr>
        <w:t>network</w:t>
      </w:r>
    </w:p>
    <w:p>
      <w:pPr>
        <w:pStyle w:val="BodyText"/>
        <w:spacing w:before="0"/>
        <w:ind w:left="2486" w:firstLine="0"/>
        <w:jc w:val="left"/>
      </w:pPr>
      <w:r>
        <w:rPr/>
        <w:t>users;</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w:t>
      </w:r>
      <w:r>
        <w:rPr>
          <w:i/>
          <w:sz w:val="24"/>
        </w:rPr>
        <w:t>identified need </w:t>
      </w:r>
      <w:r>
        <w:rPr>
          <w:sz w:val="24"/>
        </w:rPr>
        <w:t>can only be addressed by expenditure on a </w:t>
      </w:r>
      <w:r>
        <w:rPr>
          <w:i/>
          <w:sz w:val="24"/>
        </w:rPr>
        <w:t>connection asset </w:t>
      </w:r>
      <w:r>
        <w:rPr>
          <w:sz w:val="24"/>
        </w:rPr>
        <w:t>which provides services other than </w:t>
      </w:r>
      <w:r>
        <w:rPr>
          <w:i/>
          <w:sz w:val="24"/>
        </w:rPr>
        <w:t>prescribed </w:t>
      </w:r>
      <w:r>
        <w:rPr>
          <w:i/>
          <w:sz w:val="24"/>
        </w:rPr>
        <w:t>transmission services </w:t>
      </w:r>
      <w:r>
        <w:rPr>
          <w:sz w:val="24"/>
        </w:rPr>
        <w:t>or </w:t>
      </w:r>
      <w:r>
        <w:rPr>
          <w:i/>
          <w:sz w:val="24"/>
        </w:rPr>
        <w:t>standard control</w:t>
      </w:r>
      <w:r>
        <w:rPr>
          <w:i/>
          <w:spacing w:val="-4"/>
          <w:sz w:val="24"/>
        </w:rPr>
        <w:t> </w:t>
      </w:r>
      <w:r>
        <w:rPr>
          <w:i/>
          <w:sz w:val="24"/>
        </w:rPr>
        <w:t>services</w:t>
      </w:r>
      <w:r>
        <w:rPr>
          <w:sz w:val="24"/>
        </w:rPr>
        <w: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cost of addressing the </w:t>
      </w:r>
      <w:r>
        <w:rPr>
          <w:i/>
          <w:sz w:val="24"/>
        </w:rPr>
        <w:t>identified need </w:t>
      </w:r>
      <w:r>
        <w:rPr>
          <w:sz w:val="24"/>
        </w:rPr>
        <w:t>is to be fully recovered through charges other than charges in respect of </w:t>
      </w:r>
      <w:r>
        <w:rPr>
          <w:i/>
          <w:sz w:val="24"/>
        </w:rPr>
        <w:t>prescribed </w:t>
      </w:r>
      <w:r>
        <w:rPr>
          <w:i/>
          <w:sz w:val="24"/>
        </w:rPr>
        <w:t>transmission services </w:t>
      </w:r>
      <w:r>
        <w:rPr>
          <w:sz w:val="24"/>
        </w:rPr>
        <w:t>or </w:t>
      </w:r>
      <w:r>
        <w:rPr>
          <w:i/>
          <w:sz w:val="24"/>
        </w:rPr>
        <w:t>standard control</w:t>
      </w:r>
      <w:r>
        <w:rPr>
          <w:i/>
          <w:spacing w:val="-4"/>
          <w:sz w:val="24"/>
        </w:rPr>
        <w:t> </w:t>
      </w:r>
      <w:r>
        <w:rPr>
          <w:i/>
          <w:sz w:val="24"/>
        </w:rPr>
        <w:t>services</w:t>
      </w:r>
      <w:r>
        <w:rPr>
          <w:sz w:val="24"/>
        </w:rPr>
        <w: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proposed expenditure relates to protected event EFCS investment and is not intended to </w:t>
      </w:r>
      <w:r>
        <w:rPr>
          <w:i/>
          <w:sz w:val="24"/>
        </w:rPr>
        <w:t>augment </w:t>
      </w:r>
      <w:r>
        <w:rPr>
          <w:sz w:val="24"/>
        </w:rPr>
        <w:t>the </w:t>
      </w:r>
      <w:r>
        <w:rPr>
          <w:i/>
          <w:sz w:val="24"/>
        </w:rPr>
        <w:t>transmission network</w:t>
      </w:r>
      <w:r>
        <w:rPr>
          <w:sz w:val="24"/>
        </w:rPr>
        <w:t>;</w:t>
      </w:r>
      <w:r>
        <w:rPr>
          <w:spacing w:val="-4"/>
          <w:sz w:val="24"/>
        </w:rPr>
        <w:t> </w:t>
      </w:r>
      <w:r>
        <w:rPr>
          <w:sz w:val="24"/>
        </w:rPr>
        <w:t>or</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proposed expenditure is an </w:t>
      </w:r>
      <w:r>
        <w:rPr>
          <w:i/>
          <w:sz w:val="24"/>
        </w:rPr>
        <w:t>inertia service payment </w:t>
      </w:r>
      <w:r>
        <w:rPr>
          <w:sz w:val="24"/>
        </w:rPr>
        <w:t>or a </w:t>
      </w:r>
      <w:r>
        <w:rPr>
          <w:i/>
          <w:sz w:val="24"/>
        </w:rPr>
        <w:t>system </w:t>
      </w:r>
      <w:r>
        <w:rPr>
          <w:i/>
          <w:sz w:val="24"/>
        </w:rPr>
        <w:t>strength services</w:t>
      </w:r>
      <w:r>
        <w:rPr>
          <w:i/>
          <w:spacing w:val="-3"/>
          <w:sz w:val="24"/>
        </w:rPr>
        <w:t> </w:t>
      </w:r>
      <w:r>
        <w:rPr>
          <w:i/>
          <w:sz w:val="24"/>
        </w:rPr>
        <w:t>payment</w:t>
      </w:r>
      <w:r>
        <w:rPr>
          <w:sz w:val="24"/>
        </w:rPr>
        <w: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proposed expenditure is for </w:t>
      </w:r>
      <w:r>
        <w:rPr>
          <w:i/>
          <w:sz w:val="24"/>
        </w:rPr>
        <w:t>network </w:t>
      </w:r>
      <w:r>
        <w:rPr>
          <w:sz w:val="24"/>
        </w:rPr>
        <w:t>investment undertaken by </w:t>
      </w:r>
      <w:r>
        <w:rPr>
          <w:spacing w:val="-5"/>
          <w:sz w:val="24"/>
        </w:rPr>
        <w:t>the </w:t>
      </w:r>
      <w:r>
        <w:rPr>
          <w:i/>
          <w:sz w:val="24"/>
        </w:rPr>
        <w:t>Transmission Network Service Provider </w:t>
      </w:r>
      <w:r>
        <w:rPr>
          <w:sz w:val="24"/>
        </w:rPr>
        <w:t>to satisfy its obligation as an </w:t>
      </w:r>
      <w:r>
        <w:rPr>
          <w:i/>
          <w:sz w:val="24"/>
        </w:rPr>
        <w:t>Inertia Service Provider </w:t>
      </w:r>
      <w:r>
        <w:rPr>
          <w:sz w:val="24"/>
        </w:rPr>
        <w:t>under clause 5.20B.4 to make available </w:t>
      </w:r>
      <w:r>
        <w:rPr>
          <w:i/>
          <w:sz w:val="24"/>
        </w:rPr>
        <w:t>inertia network services </w:t>
      </w:r>
      <w:r>
        <w:rPr>
          <w:sz w:val="24"/>
        </w:rPr>
        <w:t>in relation to an </w:t>
      </w:r>
      <w:r>
        <w:rPr>
          <w:i/>
          <w:sz w:val="24"/>
        </w:rPr>
        <w:t>inertia shortfall </w:t>
      </w:r>
      <w:r>
        <w:rPr>
          <w:sz w:val="24"/>
        </w:rPr>
        <w:t>for an </w:t>
      </w:r>
      <w:r>
        <w:rPr>
          <w:i/>
          <w:sz w:val="24"/>
        </w:rPr>
        <w:t>inertia </w:t>
      </w:r>
      <w:r>
        <w:rPr>
          <w:i/>
          <w:sz w:val="24"/>
        </w:rPr>
        <w:t>sub-network</w:t>
      </w:r>
      <w:r>
        <w:rPr>
          <w:i/>
          <w:spacing w:val="-2"/>
          <w:sz w:val="24"/>
        </w:rPr>
        <w:t> </w:t>
      </w:r>
      <w:r>
        <w:rPr>
          <w:sz w:val="24"/>
        </w:rPr>
        <w:t>and:</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immediately prior to the notice of the </w:t>
      </w:r>
      <w:r>
        <w:rPr>
          <w:i/>
          <w:sz w:val="24"/>
        </w:rPr>
        <w:t>inertia shortfall </w:t>
      </w:r>
      <w:r>
        <w:rPr>
          <w:sz w:val="24"/>
        </w:rPr>
        <w:t>being given by </w:t>
      </w:r>
      <w:r>
        <w:rPr>
          <w:i/>
          <w:sz w:val="24"/>
        </w:rPr>
        <w:t>AEMO </w:t>
      </w:r>
      <w:r>
        <w:rPr>
          <w:sz w:val="24"/>
        </w:rPr>
        <w:t>under clause 5.20B.3(c), the </w:t>
      </w:r>
      <w:r>
        <w:rPr>
          <w:i/>
          <w:sz w:val="24"/>
        </w:rPr>
        <w:t>Inertia </w:t>
      </w:r>
      <w:r>
        <w:rPr>
          <w:i/>
          <w:spacing w:val="-3"/>
          <w:sz w:val="24"/>
        </w:rPr>
        <w:t>Service </w:t>
      </w:r>
      <w:r>
        <w:rPr>
          <w:i/>
          <w:sz w:val="24"/>
        </w:rPr>
        <w:t>Provider </w:t>
      </w:r>
      <w:r>
        <w:rPr>
          <w:sz w:val="24"/>
        </w:rPr>
        <w:t>is not under an obligation to provide </w:t>
      </w:r>
      <w:r>
        <w:rPr>
          <w:i/>
          <w:sz w:val="24"/>
        </w:rPr>
        <w:t>inertia network </w:t>
      </w:r>
      <w:r>
        <w:rPr>
          <w:i/>
          <w:sz w:val="24"/>
        </w:rPr>
        <w:t>services </w:t>
      </w:r>
      <w:r>
        <w:rPr>
          <w:sz w:val="24"/>
        </w:rPr>
        <w:t>for that </w:t>
      </w:r>
      <w:r>
        <w:rPr>
          <w:i/>
          <w:sz w:val="24"/>
        </w:rPr>
        <w:t>inertia sub-network </w:t>
      </w:r>
      <w:r>
        <w:rPr>
          <w:sz w:val="24"/>
        </w:rPr>
        <w:t>(including under rule 11.100); and</w:t>
      </w:r>
    </w:p>
    <w:p>
      <w:pPr>
        <w:pStyle w:val="ListParagraph"/>
        <w:numPr>
          <w:ilvl w:val="5"/>
          <w:numId w:val="231"/>
        </w:numPr>
        <w:tabs>
          <w:tab w:pos="3054" w:val="left" w:leader="none"/>
        </w:tabs>
        <w:spacing w:line="240" w:lineRule="auto" w:before="120" w:after="0"/>
        <w:ind w:left="3053" w:right="414" w:hanging="567"/>
        <w:jc w:val="both"/>
        <w:rPr>
          <w:sz w:val="24"/>
        </w:rPr>
      </w:pPr>
      <w:r>
        <w:rPr>
          <w:sz w:val="24"/>
        </w:rPr>
        <w:t>the time by which the </w:t>
      </w:r>
      <w:r>
        <w:rPr>
          <w:i/>
          <w:sz w:val="24"/>
        </w:rPr>
        <w:t>Inertia Service Provider </w:t>
      </w:r>
      <w:r>
        <w:rPr>
          <w:sz w:val="24"/>
        </w:rPr>
        <w:t>must make the </w:t>
      </w:r>
      <w:r>
        <w:rPr>
          <w:i/>
          <w:sz w:val="24"/>
        </w:rPr>
        <w:t>inertia network services </w:t>
      </w:r>
      <w:r>
        <w:rPr>
          <w:sz w:val="24"/>
        </w:rPr>
        <w:t>available is less than 18 months after the notice is given by </w:t>
      </w:r>
      <w:r>
        <w:rPr>
          <w:i/>
          <w:sz w:val="24"/>
        </w:rPr>
        <w:t>AEMO </w:t>
      </w:r>
      <w:r>
        <w:rPr>
          <w:sz w:val="24"/>
        </w:rPr>
        <w:t>under clause 5.20B.3(c);</w:t>
      </w:r>
      <w:r>
        <w:rPr>
          <w:spacing w:val="-2"/>
          <w:sz w:val="24"/>
        </w:rPr>
        <w:t> </w:t>
      </w:r>
      <w:r>
        <w:rPr>
          <w:sz w:val="24"/>
        </w:rPr>
        <w:t>or</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proposed expenditure is for </w:t>
      </w:r>
      <w:r>
        <w:rPr>
          <w:i/>
          <w:sz w:val="24"/>
        </w:rPr>
        <w:t>network </w:t>
      </w:r>
      <w:r>
        <w:rPr>
          <w:sz w:val="24"/>
        </w:rPr>
        <w:t>investment undertaken by </w:t>
      </w:r>
      <w:r>
        <w:rPr>
          <w:spacing w:val="-5"/>
          <w:sz w:val="24"/>
        </w:rPr>
        <w:t>the </w:t>
      </w:r>
      <w:r>
        <w:rPr>
          <w:i/>
          <w:sz w:val="24"/>
        </w:rPr>
        <w:t>Transmission Network Service Provider </w:t>
      </w:r>
      <w:r>
        <w:rPr>
          <w:sz w:val="24"/>
        </w:rPr>
        <w:t>to satisfy its obligation as a </w:t>
      </w:r>
      <w:r>
        <w:rPr>
          <w:i/>
          <w:sz w:val="24"/>
        </w:rPr>
        <w:t>System Strength Service Provider </w:t>
      </w:r>
      <w:r>
        <w:rPr>
          <w:sz w:val="24"/>
        </w:rPr>
        <w:t>under clause 5.20C.3 to make available </w:t>
      </w:r>
      <w:r>
        <w:rPr>
          <w:i/>
          <w:sz w:val="24"/>
        </w:rPr>
        <w:t>system strength services </w:t>
      </w:r>
      <w:r>
        <w:rPr>
          <w:sz w:val="24"/>
        </w:rPr>
        <w:t>in relation to a </w:t>
      </w:r>
      <w:r>
        <w:rPr>
          <w:i/>
          <w:sz w:val="24"/>
        </w:rPr>
        <w:t>fault level shortfall </w:t>
      </w:r>
      <w:r>
        <w:rPr>
          <w:sz w:val="24"/>
        </w:rPr>
        <w:t>for a </w:t>
      </w:r>
      <w:r>
        <w:rPr>
          <w:i/>
          <w:sz w:val="24"/>
        </w:rPr>
        <w:t>fault level node</w:t>
      </w:r>
      <w:r>
        <w:rPr>
          <w:i/>
          <w:spacing w:val="-2"/>
          <w:sz w:val="24"/>
        </w:rPr>
        <w:t> </w:t>
      </w:r>
      <w:r>
        <w:rPr>
          <w:sz w:val="24"/>
        </w:rPr>
        <w:t>and:</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immediately prior to the notice of the </w:t>
      </w:r>
      <w:r>
        <w:rPr>
          <w:i/>
          <w:sz w:val="24"/>
        </w:rPr>
        <w:t>fault level shortfall </w:t>
      </w:r>
      <w:r>
        <w:rPr>
          <w:sz w:val="24"/>
        </w:rPr>
        <w:t>being given by </w:t>
      </w:r>
      <w:r>
        <w:rPr>
          <w:i/>
          <w:sz w:val="24"/>
        </w:rPr>
        <w:t>AEMO </w:t>
      </w:r>
      <w:r>
        <w:rPr>
          <w:sz w:val="24"/>
        </w:rPr>
        <w:t>under clause 5.20C.2(c), the </w:t>
      </w:r>
      <w:r>
        <w:rPr>
          <w:i/>
          <w:sz w:val="24"/>
        </w:rPr>
        <w:t>System Strength </w:t>
      </w:r>
      <w:r>
        <w:rPr>
          <w:i/>
          <w:sz w:val="24"/>
        </w:rPr>
        <w:t>Service Provider </w:t>
      </w:r>
      <w:r>
        <w:rPr>
          <w:sz w:val="24"/>
        </w:rPr>
        <w:t>is not under an obligation to provide </w:t>
      </w:r>
      <w:r>
        <w:rPr>
          <w:i/>
          <w:sz w:val="24"/>
        </w:rPr>
        <w:t>system </w:t>
      </w:r>
      <w:r>
        <w:rPr>
          <w:i/>
          <w:sz w:val="24"/>
        </w:rPr>
        <w:t>strength services </w:t>
      </w:r>
      <w:r>
        <w:rPr>
          <w:sz w:val="24"/>
        </w:rPr>
        <w:t>for that </w:t>
      </w:r>
      <w:r>
        <w:rPr>
          <w:i/>
          <w:sz w:val="24"/>
        </w:rPr>
        <w:t>fault level node </w:t>
      </w:r>
      <w:r>
        <w:rPr>
          <w:sz w:val="24"/>
        </w:rPr>
        <w:t>(including under rule 11.101); and</w:t>
      </w:r>
    </w:p>
    <w:p>
      <w:pPr>
        <w:pStyle w:val="ListParagraph"/>
        <w:numPr>
          <w:ilvl w:val="5"/>
          <w:numId w:val="231"/>
        </w:numPr>
        <w:tabs>
          <w:tab w:pos="3054" w:val="left" w:leader="none"/>
        </w:tabs>
        <w:spacing w:line="240" w:lineRule="auto" w:before="120" w:after="0"/>
        <w:ind w:left="3053" w:right="414" w:hanging="567"/>
        <w:jc w:val="both"/>
        <w:rPr>
          <w:sz w:val="24"/>
        </w:rPr>
      </w:pPr>
      <w:r>
        <w:rPr>
          <w:sz w:val="24"/>
        </w:rPr>
        <w:t>the time by which the </w:t>
      </w:r>
      <w:r>
        <w:rPr>
          <w:i/>
          <w:sz w:val="24"/>
        </w:rPr>
        <w:t>System Strength Service Provider </w:t>
      </w:r>
      <w:r>
        <w:rPr>
          <w:sz w:val="24"/>
        </w:rPr>
        <w:t>must make the </w:t>
      </w:r>
      <w:r>
        <w:rPr>
          <w:i/>
          <w:sz w:val="24"/>
        </w:rPr>
        <w:t>system strength services </w:t>
      </w:r>
      <w:r>
        <w:rPr>
          <w:sz w:val="24"/>
        </w:rPr>
        <w:t>available is less than 18 months after the notice is given by </w:t>
      </w:r>
      <w:r>
        <w:rPr>
          <w:i/>
          <w:sz w:val="24"/>
        </w:rPr>
        <w:t>AEMO </w:t>
      </w:r>
      <w:r>
        <w:rPr>
          <w:sz w:val="24"/>
        </w:rPr>
        <w:t>under clause 5.20C.2(c).</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3"/>
          <w:numId w:val="231"/>
        </w:numPr>
        <w:tabs>
          <w:tab w:pos="1919" w:val="left" w:leader="none"/>
        </w:tabs>
        <w:spacing w:line="240" w:lineRule="auto" w:before="83" w:after="0"/>
        <w:ind w:left="1919" w:right="415" w:hanging="567"/>
        <w:jc w:val="both"/>
        <w:rPr>
          <w:sz w:val="24"/>
        </w:rPr>
      </w:pPr>
      <w:r>
        <w:rPr>
          <w:sz w:val="24"/>
        </w:rPr>
        <w:t>For the purposes of paragraph (a)(1), a RIT-T project will be required </w:t>
      </w:r>
      <w:r>
        <w:rPr>
          <w:spacing w:val="-6"/>
          <w:sz w:val="24"/>
        </w:rPr>
        <w:t>to </w:t>
      </w:r>
      <w:r>
        <w:rPr>
          <w:sz w:val="24"/>
        </w:rPr>
        <w:t>address an urgent and unforeseen </w:t>
      </w:r>
      <w:r>
        <w:rPr>
          <w:i/>
          <w:sz w:val="24"/>
        </w:rPr>
        <w:t>network </w:t>
      </w:r>
      <w:r>
        <w:rPr>
          <w:sz w:val="24"/>
        </w:rPr>
        <w:t>issue that would otherwise put at risk the </w:t>
      </w:r>
      <w:r>
        <w:rPr>
          <w:i/>
          <w:sz w:val="24"/>
        </w:rPr>
        <w:t>reliability </w:t>
      </w:r>
      <w:r>
        <w:rPr>
          <w:sz w:val="24"/>
        </w:rPr>
        <w:t>of the </w:t>
      </w:r>
      <w:r>
        <w:rPr>
          <w:i/>
          <w:sz w:val="24"/>
        </w:rPr>
        <w:t>transmission network</w:t>
      </w:r>
      <w:r>
        <w:rPr>
          <w:i/>
          <w:spacing w:val="-1"/>
          <w:sz w:val="24"/>
        </w:rPr>
        <w:t> </w:t>
      </w:r>
      <w:r>
        <w:rPr>
          <w:sz w:val="24"/>
        </w:rPr>
        <w:t>if:</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it is necessary that the assets or services to address the issue be operational within 6 months of the issue being</w:t>
      </w:r>
      <w:r>
        <w:rPr>
          <w:spacing w:val="-4"/>
          <w:sz w:val="24"/>
        </w:rPr>
        <w:t> </w:t>
      </w:r>
      <w:r>
        <w:rPr>
          <w:sz w:val="24"/>
        </w:rPr>
        <w:t>identified;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event or circumstances causing the </w:t>
      </w:r>
      <w:r>
        <w:rPr>
          <w:i/>
          <w:sz w:val="24"/>
        </w:rPr>
        <w:t>identified need </w:t>
      </w:r>
      <w:r>
        <w:rPr>
          <w:sz w:val="24"/>
        </w:rPr>
        <w:t>was not reasonably foreseeable by, and was beyond the reasonable control of, the </w:t>
      </w:r>
      <w:r>
        <w:rPr>
          <w:i/>
          <w:sz w:val="24"/>
        </w:rPr>
        <w:t>Network Service Provider(s) </w:t>
      </w:r>
      <w:r>
        <w:rPr>
          <w:sz w:val="24"/>
        </w:rPr>
        <w:t>that identified the </w:t>
      </w:r>
      <w:r>
        <w:rPr>
          <w:i/>
          <w:sz w:val="24"/>
        </w:rPr>
        <w:t>identified</w:t>
      </w:r>
      <w:r>
        <w:rPr>
          <w:i/>
          <w:spacing w:val="-4"/>
          <w:sz w:val="24"/>
        </w:rPr>
        <w:t> </w:t>
      </w:r>
      <w:r>
        <w:rPr>
          <w:i/>
          <w:sz w:val="24"/>
        </w:rPr>
        <w:t>need</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 failure to address the </w:t>
      </w:r>
      <w:r>
        <w:rPr>
          <w:i/>
          <w:sz w:val="24"/>
        </w:rPr>
        <w:t>identified need </w:t>
      </w:r>
      <w:r>
        <w:rPr>
          <w:sz w:val="24"/>
        </w:rPr>
        <w:t>is likely to materially adversely affect the </w:t>
      </w:r>
      <w:r>
        <w:rPr>
          <w:i/>
          <w:sz w:val="24"/>
        </w:rPr>
        <w:t>reliability </w:t>
      </w:r>
      <w:r>
        <w:rPr>
          <w:sz w:val="24"/>
        </w:rPr>
        <w:t>and </w:t>
      </w:r>
      <w:r>
        <w:rPr>
          <w:i/>
          <w:sz w:val="24"/>
        </w:rPr>
        <w:t>secure operating state </w:t>
      </w:r>
      <w:r>
        <w:rPr>
          <w:sz w:val="24"/>
        </w:rPr>
        <w:t>of the </w:t>
      </w:r>
      <w:r>
        <w:rPr>
          <w:i/>
          <w:sz w:val="24"/>
        </w:rPr>
        <w:t>transmission </w:t>
      </w:r>
      <w:r>
        <w:rPr>
          <w:i/>
          <w:sz w:val="24"/>
        </w:rPr>
        <w:t>network</w:t>
      </w:r>
      <w:r>
        <w:rPr>
          <w:sz w:val="24"/>
        </w:rPr>
        <w:t>;</w:t>
      </w:r>
      <w:r>
        <w:rPr>
          <w:spacing w:val="-1"/>
          <w:sz w:val="24"/>
        </w:rPr>
        <w:t> </w:t>
      </w:r>
      <w:r>
        <w:rPr>
          <w:sz w:val="24"/>
        </w:rPr>
        <w:t>and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it is not a </w:t>
      </w:r>
      <w:r>
        <w:rPr>
          <w:i/>
          <w:sz w:val="24"/>
        </w:rPr>
        <w:t>contingent</w:t>
      </w:r>
      <w:r>
        <w:rPr>
          <w:i/>
          <w:spacing w:val="-1"/>
          <w:sz w:val="24"/>
        </w:rPr>
        <w:t> </w:t>
      </w:r>
      <w:r>
        <w:rPr>
          <w:i/>
          <w:sz w:val="24"/>
        </w:rPr>
        <w:t>project</w:t>
      </w:r>
      <w:r>
        <w:rPr>
          <w:sz w:val="24"/>
        </w:rPr>
        <w: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If a proposed relevant </w:t>
      </w:r>
      <w:r>
        <w:rPr>
          <w:i/>
          <w:sz w:val="24"/>
        </w:rPr>
        <w:t>network </w:t>
      </w:r>
      <w:r>
        <w:rPr>
          <w:sz w:val="24"/>
        </w:rPr>
        <w:t>investment is determined to be required to address an urgent and unforeseen </w:t>
      </w:r>
      <w:r>
        <w:rPr>
          <w:i/>
          <w:sz w:val="24"/>
        </w:rPr>
        <w:t>network </w:t>
      </w:r>
      <w:r>
        <w:rPr>
          <w:sz w:val="24"/>
        </w:rPr>
        <w:t>issue as described in paragraph (b), and the </w:t>
      </w:r>
      <w:r>
        <w:rPr>
          <w:i/>
          <w:sz w:val="24"/>
        </w:rPr>
        <w:t>Network Service Provider </w:t>
      </w:r>
      <w:r>
        <w:rPr>
          <w:sz w:val="24"/>
        </w:rPr>
        <w:t>making the investment is a </w:t>
      </w:r>
      <w:r>
        <w:rPr>
          <w:i/>
          <w:sz w:val="24"/>
        </w:rPr>
        <w:t>Transmission Network Service Provider</w:t>
      </w:r>
      <w:r>
        <w:rPr>
          <w:sz w:val="24"/>
        </w:rPr>
        <w:t>, then the </w:t>
      </w:r>
      <w:r>
        <w:rPr>
          <w:i/>
          <w:sz w:val="24"/>
        </w:rPr>
        <w:t>Transmission Network </w:t>
      </w:r>
      <w:r>
        <w:rPr>
          <w:i/>
          <w:sz w:val="24"/>
        </w:rPr>
        <w:t>Service Provider </w:t>
      </w:r>
      <w:r>
        <w:rPr>
          <w:sz w:val="24"/>
        </w:rPr>
        <w:t>must provide the following information in its next </w:t>
      </w:r>
      <w:r>
        <w:rPr>
          <w:i/>
          <w:sz w:val="24"/>
        </w:rPr>
        <w:t>Transmission Annual Planning Report </w:t>
      </w:r>
      <w:r>
        <w:rPr>
          <w:sz w:val="24"/>
        </w:rPr>
        <w:t>following the identification of the need for the relevant </w:t>
      </w:r>
      <w:r>
        <w:rPr>
          <w:i/>
          <w:sz w:val="24"/>
        </w:rPr>
        <w:t>network</w:t>
      </w:r>
      <w:r>
        <w:rPr>
          <w:i/>
          <w:spacing w:val="-1"/>
          <w:sz w:val="24"/>
        </w:rPr>
        <w:t> </w:t>
      </w:r>
      <w:r>
        <w:rPr>
          <w:sz w:val="24"/>
        </w:rPr>
        <w:t>investment:</w:t>
      </w:r>
    </w:p>
    <w:p>
      <w:pPr>
        <w:pStyle w:val="ListParagraph"/>
        <w:numPr>
          <w:ilvl w:val="4"/>
          <w:numId w:val="231"/>
        </w:numPr>
        <w:tabs>
          <w:tab w:pos="2485" w:val="left" w:leader="none"/>
          <w:tab w:pos="2486" w:val="left" w:leader="none"/>
        </w:tabs>
        <w:spacing w:line="240" w:lineRule="auto" w:before="120" w:after="0"/>
        <w:ind w:left="2486" w:right="415" w:hanging="567"/>
        <w:jc w:val="left"/>
        <w:rPr>
          <w:sz w:val="24"/>
        </w:rPr>
      </w:pPr>
      <w:r>
        <w:rPr>
          <w:sz w:val="24"/>
        </w:rPr>
        <w:t>the date when the proposed relevant </w:t>
      </w:r>
      <w:r>
        <w:rPr>
          <w:i/>
          <w:sz w:val="24"/>
        </w:rPr>
        <w:t>network </w:t>
      </w:r>
      <w:r>
        <w:rPr>
          <w:sz w:val="24"/>
        </w:rPr>
        <w:t>investment became or will become</w:t>
      </w:r>
      <w:r>
        <w:rPr>
          <w:spacing w:val="-2"/>
          <w:sz w:val="24"/>
        </w:rPr>
        <w:t> </w:t>
      </w:r>
      <w:r>
        <w:rPr>
          <w:sz w:val="24"/>
        </w:rPr>
        <w:t>operational;</w:t>
      </w:r>
    </w:p>
    <w:p>
      <w:pPr>
        <w:pStyle w:val="ListParagraph"/>
        <w:numPr>
          <w:ilvl w:val="4"/>
          <w:numId w:val="231"/>
        </w:numPr>
        <w:tabs>
          <w:tab w:pos="2485" w:val="left" w:leader="none"/>
          <w:tab w:pos="2486" w:val="left" w:leader="none"/>
        </w:tabs>
        <w:spacing w:line="240" w:lineRule="auto" w:before="120" w:after="0"/>
        <w:ind w:left="2485" w:right="0" w:hanging="567"/>
        <w:jc w:val="left"/>
        <w:rPr>
          <w:sz w:val="24"/>
        </w:rPr>
      </w:pPr>
      <w:r>
        <w:rPr>
          <w:sz w:val="24"/>
        </w:rPr>
        <w:t>the purpose of the proposed relevant </w:t>
      </w:r>
      <w:r>
        <w:rPr>
          <w:i/>
          <w:sz w:val="24"/>
        </w:rPr>
        <w:t>network </w:t>
      </w:r>
      <w:r>
        <w:rPr>
          <w:sz w:val="24"/>
        </w:rPr>
        <w:t>investment;</w:t>
      </w:r>
      <w:r>
        <w:rPr>
          <w:spacing w:val="-1"/>
          <w:sz w:val="24"/>
        </w:rPr>
        <w:t> </w:t>
      </w:r>
      <w:r>
        <w:rPr>
          <w:sz w:val="24"/>
        </w:rPr>
        <w:t>and</w:t>
      </w:r>
    </w:p>
    <w:p>
      <w:pPr>
        <w:pStyle w:val="ListParagraph"/>
        <w:numPr>
          <w:ilvl w:val="4"/>
          <w:numId w:val="231"/>
        </w:numPr>
        <w:tabs>
          <w:tab w:pos="2485" w:val="left" w:leader="none"/>
          <w:tab w:pos="2486" w:val="left" w:leader="none"/>
        </w:tabs>
        <w:spacing w:line="240" w:lineRule="auto" w:before="120" w:after="0"/>
        <w:ind w:left="2485" w:right="0" w:hanging="567"/>
        <w:jc w:val="left"/>
        <w:rPr>
          <w:sz w:val="24"/>
        </w:rPr>
      </w:pPr>
      <w:r>
        <w:rPr>
          <w:sz w:val="24"/>
        </w:rPr>
        <w:t>the total cost of the proposed relevant </w:t>
      </w:r>
      <w:r>
        <w:rPr>
          <w:i/>
          <w:sz w:val="24"/>
        </w:rPr>
        <w:t>network</w:t>
      </w:r>
      <w:r>
        <w:rPr>
          <w:i/>
          <w:spacing w:val="-2"/>
          <w:sz w:val="24"/>
        </w:rPr>
        <w:t> </w:t>
      </w:r>
      <w:r>
        <w:rPr>
          <w:sz w:val="24"/>
        </w:rPr>
        <w:t>investment.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With the exception of </w:t>
      </w:r>
      <w:r>
        <w:rPr>
          <w:i/>
          <w:sz w:val="24"/>
        </w:rPr>
        <w:t>funded augmentations</w:t>
      </w:r>
      <w:r>
        <w:rPr>
          <w:sz w:val="24"/>
        </w:rPr>
        <w:t>, for each RIT-T project </w:t>
      </w:r>
      <w:r>
        <w:rPr>
          <w:spacing w:val="-6"/>
          <w:sz w:val="24"/>
        </w:rPr>
        <w:t>to </w:t>
      </w:r>
      <w:r>
        <w:rPr>
          <w:sz w:val="24"/>
        </w:rPr>
        <w:t>which the </w:t>
      </w:r>
      <w:r>
        <w:rPr>
          <w:i/>
          <w:sz w:val="24"/>
        </w:rPr>
        <w:t>regulatory investment test for transmission </w:t>
      </w:r>
      <w:r>
        <w:rPr>
          <w:sz w:val="24"/>
        </w:rPr>
        <w:t>does not apply in accordance with paragraphs (a), the </w:t>
      </w:r>
      <w:r>
        <w:rPr>
          <w:i/>
          <w:sz w:val="24"/>
        </w:rPr>
        <w:t>Network Service Providers </w:t>
      </w:r>
      <w:r>
        <w:rPr>
          <w:sz w:val="24"/>
        </w:rPr>
        <w:t>affected by the RIT-T project must ensure, acting reasonably, that the </w:t>
      </w:r>
      <w:r>
        <w:rPr>
          <w:spacing w:val="-3"/>
          <w:sz w:val="24"/>
        </w:rPr>
        <w:t>investment </w:t>
      </w:r>
      <w:r>
        <w:rPr>
          <w:sz w:val="24"/>
        </w:rPr>
        <w:t>required to address the </w:t>
      </w:r>
      <w:r>
        <w:rPr>
          <w:i/>
          <w:sz w:val="24"/>
        </w:rPr>
        <w:t>identified need </w:t>
      </w:r>
      <w:r>
        <w:rPr>
          <w:sz w:val="24"/>
        </w:rPr>
        <w:t>is planned and developed at least cost over the life of the</w:t>
      </w:r>
      <w:r>
        <w:rPr>
          <w:spacing w:val="-1"/>
          <w:sz w:val="24"/>
        </w:rPr>
        <w:t> </w:t>
      </w:r>
      <w:r>
        <w:rPr>
          <w:sz w:val="24"/>
        </w:rPr>
        <w:t>investment.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A RIT-T proponent must not treat different parts of an integrated solution to an </w:t>
      </w:r>
      <w:r>
        <w:rPr>
          <w:i/>
          <w:sz w:val="24"/>
        </w:rPr>
        <w:t>identified need </w:t>
      </w:r>
      <w:r>
        <w:rPr>
          <w:sz w:val="24"/>
        </w:rPr>
        <w:t>as distinct and separate options for the purposes of determining whether the </w:t>
      </w:r>
      <w:r>
        <w:rPr>
          <w:i/>
          <w:sz w:val="24"/>
        </w:rPr>
        <w:t>regulatory investment test for transmission </w:t>
      </w:r>
      <w:r>
        <w:rPr>
          <w:sz w:val="24"/>
        </w:rPr>
        <w:t>applies to each of those</w:t>
      </w:r>
      <w:r>
        <w:rPr>
          <w:spacing w:val="-1"/>
          <w:sz w:val="24"/>
        </w:rPr>
        <w:t> </w:t>
      </w:r>
      <w:r>
        <w:rPr>
          <w:sz w:val="24"/>
        </w:rPr>
        <w:t>parts.</w:t>
      </w:r>
    </w:p>
    <w:p>
      <w:pPr>
        <w:pStyle w:val="BodyText"/>
        <w:spacing w:before="10"/>
        <w:ind w:firstLine="0"/>
        <w:jc w:val="left"/>
        <w:rPr>
          <w:sz w:val="20"/>
        </w:rPr>
      </w:pPr>
    </w:p>
    <w:p>
      <w:pPr>
        <w:pStyle w:val="Heading4"/>
        <w:numPr>
          <w:ilvl w:val="2"/>
          <w:numId w:val="231"/>
        </w:numPr>
        <w:tabs>
          <w:tab w:pos="1351" w:val="left" w:leader="none"/>
          <w:tab w:pos="1352" w:val="left" w:leader="none"/>
        </w:tabs>
        <w:spacing w:line="240" w:lineRule="auto" w:before="0" w:after="0"/>
        <w:ind w:left="1351" w:right="0" w:hanging="1134"/>
        <w:jc w:val="left"/>
      </w:pPr>
      <w:bookmarkStart w:name="5.16.4 Regulatory investment test for tr" w:id="744"/>
      <w:bookmarkEnd w:id="744"/>
      <w:r>
        <w:rPr>
          <w:b w:val="0"/>
        </w:rPr>
      </w:r>
      <w:bookmarkStart w:name="_bookmark288" w:id="745"/>
      <w:bookmarkEnd w:id="745"/>
      <w:r>
        <w:rPr>
          <w:b w:val="0"/>
        </w:rPr>
      </w:r>
      <w:bookmarkStart w:name="_bookmark288" w:id="746"/>
      <w:bookmarkEnd w:id="746"/>
      <w:r>
        <w:rPr/>
        <w:t>Regulator</w:t>
      </w:r>
      <w:r>
        <w:rPr/>
        <w:t>y investment test for transmission</w:t>
      </w:r>
      <w:r>
        <w:rPr>
          <w:spacing w:val="-3"/>
        </w:rPr>
        <w:t> </w:t>
      </w:r>
      <w:r>
        <w:rPr/>
        <w:t>procedures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(b)(4)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If a RIT-T project is subject to the </w:t>
      </w:r>
      <w:r>
        <w:rPr>
          <w:i/>
          <w:sz w:val="24"/>
        </w:rPr>
        <w:t>regulatory investment test for </w:t>
      </w:r>
      <w:r>
        <w:rPr>
          <w:i/>
          <w:sz w:val="24"/>
        </w:rPr>
        <w:t>transmission </w:t>
      </w:r>
      <w:r>
        <w:rPr>
          <w:sz w:val="24"/>
        </w:rPr>
        <w:t>under clause 5.16.3, then the RIT-T proponent must consult </w:t>
      </w:r>
      <w:r>
        <w:rPr>
          <w:spacing w:val="-4"/>
          <w:sz w:val="24"/>
        </w:rPr>
        <w:t>all </w:t>
      </w:r>
      <w:r>
        <w:rPr>
          <w:i/>
          <w:sz w:val="24"/>
        </w:rPr>
        <w:t>Registered Participants</w:t>
      </w:r>
      <w:r>
        <w:rPr>
          <w:sz w:val="24"/>
        </w:rPr>
        <w:t>, </w:t>
      </w:r>
      <w:r>
        <w:rPr>
          <w:i/>
          <w:sz w:val="24"/>
        </w:rPr>
        <w:t>NTESMO </w:t>
      </w:r>
      <w:r>
        <w:rPr>
          <w:sz w:val="24"/>
        </w:rPr>
        <w:t>and </w:t>
      </w:r>
      <w:r>
        <w:rPr>
          <w:i/>
          <w:sz w:val="24"/>
        </w:rPr>
        <w:t>interested parties </w:t>
      </w:r>
      <w:r>
        <w:rPr>
          <w:sz w:val="24"/>
        </w:rPr>
        <w:t>on the RIT-T project in accordance with this clause</w:t>
      </w:r>
      <w:r>
        <w:rPr>
          <w:spacing w:val="-4"/>
          <w:sz w:val="24"/>
        </w:rPr>
        <w:t> </w:t>
      </w:r>
      <w:r>
        <w:rPr>
          <w:sz w:val="24"/>
        </w:rPr>
        <w:t>5.16.4.</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Heading4"/>
        <w:spacing w:before="120"/>
        <w:ind w:left="1352" w:firstLine="0"/>
        <w:jc w:val="both"/>
        <w:rPr>
          <w:rFonts w:ascii="Times New Roman"/>
        </w:rPr>
      </w:pPr>
      <w:r>
        <w:rPr>
          <w:rFonts w:ascii="Times New Roman"/>
        </w:rPr>
        <w:t>Project specification consultation report</w:t>
      </w:r>
    </w:p>
    <w:p>
      <w:pPr>
        <w:pStyle w:val="ListParagraph"/>
        <w:numPr>
          <w:ilvl w:val="3"/>
          <w:numId w:val="231"/>
        </w:numPr>
        <w:tabs>
          <w:tab w:pos="1919" w:val="left" w:leader="none"/>
        </w:tabs>
        <w:spacing w:line="240" w:lineRule="auto" w:before="120" w:after="0"/>
        <w:ind w:left="1919" w:right="416" w:hanging="567"/>
        <w:jc w:val="both"/>
        <w:rPr>
          <w:sz w:val="24"/>
        </w:rPr>
      </w:pPr>
      <w:r>
        <w:rPr>
          <w:sz w:val="24"/>
        </w:rPr>
        <w:t>A RIT-T proponent must prepare a report (the project specification consultation report), which must</w:t>
      </w:r>
      <w:r>
        <w:rPr>
          <w:spacing w:val="-2"/>
          <w:sz w:val="24"/>
        </w:rPr>
        <w:t> </w:t>
      </w:r>
      <w:r>
        <w:rPr>
          <w:sz w:val="24"/>
        </w:rPr>
        <w:t>include:</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a description of the </w:t>
      </w:r>
      <w:r>
        <w:rPr>
          <w:i/>
          <w:sz w:val="24"/>
        </w:rPr>
        <w:t>identified</w:t>
      </w:r>
      <w:r>
        <w:rPr>
          <w:i/>
          <w:spacing w:val="-1"/>
          <w:sz w:val="24"/>
        </w:rPr>
        <w:t> </w:t>
      </w:r>
      <w:r>
        <w:rPr>
          <w:i/>
          <w:sz w:val="24"/>
        </w:rPr>
        <w:t>need</w:t>
      </w:r>
      <w:r>
        <w:rPr>
          <w:sz w:val="24"/>
        </w:rPr>
        <w:t>;</w:t>
      </w:r>
    </w:p>
    <w:p>
      <w:pPr>
        <w:pStyle w:val="ListParagraph"/>
        <w:numPr>
          <w:ilvl w:val="4"/>
          <w:numId w:val="231"/>
        </w:numPr>
        <w:tabs>
          <w:tab w:pos="2486" w:val="left" w:leader="none"/>
        </w:tabs>
        <w:spacing w:line="240" w:lineRule="auto" w:before="120" w:after="0"/>
        <w:ind w:left="2486" w:right="416" w:hanging="567"/>
        <w:jc w:val="both"/>
        <w:rPr>
          <w:sz w:val="24"/>
        </w:rPr>
      </w:pPr>
      <w:r>
        <w:rPr>
          <w:sz w:val="24"/>
        </w:rPr>
        <w:t>the assumptions used in identifying the </w:t>
      </w:r>
      <w:r>
        <w:rPr>
          <w:i/>
          <w:sz w:val="24"/>
        </w:rPr>
        <w:t>identified need </w:t>
      </w:r>
      <w:r>
        <w:rPr>
          <w:sz w:val="24"/>
        </w:rPr>
        <w:t>(including, </w:t>
      </w:r>
      <w:r>
        <w:rPr>
          <w:spacing w:val="-7"/>
          <w:sz w:val="24"/>
        </w:rPr>
        <w:t>in </w:t>
      </w:r>
      <w:r>
        <w:rPr>
          <w:sz w:val="24"/>
        </w:rPr>
        <w:t>the case of proposed reliability corrective action, why the RIT-T proponent considers reliability corrective action is</w:t>
      </w:r>
      <w:r>
        <w:rPr>
          <w:spacing w:val="-2"/>
          <w:sz w:val="24"/>
        </w:rPr>
        <w:t> </w:t>
      </w:r>
      <w:r>
        <w:rPr>
          <w:sz w:val="24"/>
        </w:rPr>
        <w:t>necessary);</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technical characteristics of the </w:t>
      </w:r>
      <w:r>
        <w:rPr>
          <w:i/>
          <w:sz w:val="24"/>
        </w:rPr>
        <w:t>identified need </w:t>
      </w:r>
      <w:r>
        <w:rPr>
          <w:sz w:val="24"/>
        </w:rPr>
        <w:t>that a non-network option would be required to deliver, such</w:t>
      </w:r>
      <w:r>
        <w:rPr>
          <w:spacing w:val="-4"/>
          <w:sz w:val="24"/>
        </w:rPr>
        <w:t> </w:t>
      </w:r>
      <w:r>
        <w:rPr>
          <w:sz w:val="24"/>
        </w:rPr>
        <w:t>as:</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the size of </w:t>
      </w:r>
      <w:r>
        <w:rPr>
          <w:i/>
          <w:sz w:val="24"/>
        </w:rPr>
        <w:t>load </w:t>
      </w:r>
      <w:r>
        <w:rPr>
          <w:sz w:val="24"/>
        </w:rPr>
        <w:t>reduction or additional</w:t>
      </w:r>
      <w:r>
        <w:rPr>
          <w:spacing w:val="-3"/>
          <w:sz w:val="24"/>
        </w:rPr>
        <w:t> </w:t>
      </w:r>
      <w:r>
        <w:rPr>
          <w:sz w:val="24"/>
        </w:rPr>
        <w:t>supply;</w:t>
      </w:r>
    </w:p>
    <w:p>
      <w:pPr>
        <w:pStyle w:val="ListParagraph"/>
        <w:numPr>
          <w:ilvl w:val="5"/>
          <w:numId w:val="231"/>
        </w:numPr>
        <w:tabs>
          <w:tab w:pos="3052" w:val="left" w:leader="none"/>
          <w:tab w:pos="3054" w:val="left" w:leader="none"/>
        </w:tabs>
        <w:spacing w:line="240" w:lineRule="auto" w:before="120" w:after="0"/>
        <w:ind w:left="3053" w:right="0" w:hanging="568"/>
        <w:jc w:val="left"/>
        <w:rPr>
          <w:sz w:val="24"/>
        </w:rPr>
      </w:pPr>
      <w:r>
        <w:rPr>
          <w:sz w:val="24"/>
        </w:rPr>
        <w:t>location;</w:t>
      </w:r>
      <w:r>
        <w:rPr>
          <w:spacing w:val="-1"/>
          <w:sz w:val="24"/>
        </w:rPr>
        <w:t> </w:t>
      </w:r>
      <w:r>
        <w:rPr>
          <w:sz w:val="24"/>
        </w:rPr>
        <w:t>and</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operating</w:t>
      </w:r>
      <w:r>
        <w:rPr>
          <w:spacing w:val="-1"/>
          <w:sz w:val="24"/>
        </w:rPr>
        <w:t> </w:t>
      </w:r>
      <w:r>
        <w:rPr>
          <w:sz w:val="24"/>
        </w:rPr>
        <w:t>profile;</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if applicable, reference to any discussion on the description of </w:t>
      </w:r>
      <w:r>
        <w:rPr>
          <w:spacing w:val="-4"/>
          <w:sz w:val="24"/>
        </w:rPr>
        <w:t>the </w:t>
      </w:r>
      <w:r>
        <w:rPr>
          <w:sz w:val="24"/>
        </w:rPr>
        <w:t>identified need or the credible options in respect of that </w:t>
      </w:r>
      <w:r>
        <w:rPr>
          <w:i/>
          <w:sz w:val="24"/>
        </w:rPr>
        <w:t>identified need </w:t>
      </w:r>
      <w:r>
        <w:rPr>
          <w:sz w:val="24"/>
        </w:rPr>
        <w:t>in the most recent</w:t>
      </w:r>
      <w:r>
        <w:rPr>
          <w:spacing w:val="-1"/>
          <w:sz w:val="24"/>
        </w:rPr>
        <w:t> </w:t>
      </w:r>
      <w:r>
        <w:rPr>
          <w:i/>
          <w:sz w:val="24"/>
        </w:rPr>
        <w:t>NTNDP</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 description of all credible options of which the RIT-T proponent is aware that address the </w:t>
      </w:r>
      <w:r>
        <w:rPr>
          <w:i/>
          <w:sz w:val="24"/>
        </w:rPr>
        <w:t>identified need</w:t>
      </w:r>
      <w:r>
        <w:rPr>
          <w:sz w:val="24"/>
        </w:rPr>
        <w:t>, which may include, without limitation, alternative </w:t>
      </w:r>
      <w:r>
        <w:rPr>
          <w:i/>
          <w:sz w:val="24"/>
        </w:rPr>
        <w:t>transmission </w:t>
      </w:r>
      <w:r>
        <w:rPr>
          <w:sz w:val="24"/>
        </w:rPr>
        <w:t>options, </w:t>
      </w:r>
      <w:r>
        <w:rPr>
          <w:i/>
          <w:sz w:val="24"/>
        </w:rPr>
        <w:t>interconnectors</w:t>
      </w:r>
      <w:r>
        <w:rPr>
          <w:sz w:val="24"/>
        </w:rPr>
        <w:t>, </w:t>
      </w:r>
      <w:r>
        <w:rPr>
          <w:i/>
          <w:sz w:val="24"/>
        </w:rPr>
        <w:t>generation</w:t>
      </w:r>
      <w:r>
        <w:rPr>
          <w:sz w:val="24"/>
        </w:rPr>
        <w:t>, demand side management, </w:t>
      </w:r>
      <w:r>
        <w:rPr>
          <w:i/>
          <w:sz w:val="24"/>
        </w:rPr>
        <w:t>market network services </w:t>
      </w:r>
      <w:r>
        <w:rPr>
          <w:sz w:val="24"/>
        </w:rPr>
        <w:t>or other </w:t>
      </w:r>
      <w:r>
        <w:rPr>
          <w:i/>
          <w:sz w:val="24"/>
        </w:rPr>
        <w:t>network</w:t>
      </w:r>
      <w:r>
        <w:rPr>
          <w:i/>
          <w:spacing w:val="-1"/>
          <w:sz w:val="24"/>
        </w:rPr>
        <w:t> </w:t>
      </w:r>
      <w:r>
        <w:rPr>
          <w:i/>
          <w:sz w:val="24"/>
        </w:rPr>
        <w:t>options</w:t>
      </w:r>
      <w:r>
        <w:rPr>
          <w:sz w:val="24"/>
        </w:rPr>
        <w:t>;</w:t>
      </w:r>
    </w:p>
    <w:p>
      <w:pPr>
        <w:pStyle w:val="ListParagraph"/>
        <w:numPr>
          <w:ilvl w:val="4"/>
          <w:numId w:val="231"/>
        </w:numPr>
        <w:tabs>
          <w:tab w:pos="2486" w:val="left" w:leader="none"/>
        </w:tabs>
        <w:spacing w:line="240" w:lineRule="auto" w:before="120" w:after="0"/>
        <w:ind w:left="2486" w:right="416" w:hanging="567"/>
        <w:jc w:val="both"/>
        <w:rPr>
          <w:sz w:val="24"/>
        </w:rPr>
      </w:pPr>
      <w:r>
        <w:rPr>
          <w:sz w:val="24"/>
        </w:rPr>
        <w:t>for each credible option identified in accordance with subparagraph (5), information</w:t>
      </w:r>
      <w:r>
        <w:rPr>
          <w:spacing w:val="-1"/>
          <w:sz w:val="24"/>
        </w:rPr>
        <w:t> </w:t>
      </w:r>
      <w:r>
        <w:rPr>
          <w:sz w:val="24"/>
        </w:rPr>
        <w:t>about:</w:t>
      </w:r>
    </w:p>
    <w:p>
      <w:pPr>
        <w:pStyle w:val="ListParagraph"/>
        <w:numPr>
          <w:ilvl w:val="5"/>
          <w:numId w:val="231"/>
        </w:numPr>
        <w:tabs>
          <w:tab w:pos="3053" w:val="left" w:leader="none"/>
        </w:tabs>
        <w:spacing w:line="240" w:lineRule="auto" w:before="120" w:after="0"/>
        <w:ind w:left="3052" w:right="0" w:hanging="567"/>
        <w:jc w:val="both"/>
        <w:rPr>
          <w:sz w:val="24"/>
        </w:rPr>
      </w:pPr>
      <w:r>
        <w:rPr>
          <w:sz w:val="24"/>
        </w:rPr>
        <w:t>the technical characteristics of the credible</w:t>
      </w:r>
      <w:r>
        <w:rPr>
          <w:spacing w:val="-2"/>
          <w:sz w:val="24"/>
        </w:rPr>
        <w:t> </w:t>
      </w:r>
      <w:r>
        <w:rPr>
          <w:sz w:val="24"/>
        </w:rPr>
        <w:t>option;</w:t>
      </w:r>
    </w:p>
    <w:p>
      <w:pPr>
        <w:pStyle w:val="ListParagraph"/>
        <w:numPr>
          <w:ilvl w:val="5"/>
          <w:numId w:val="231"/>
        </w:numPr>
        <w:tabs>
          <w:tab w:pos="3054" w:val="left" w:leader="none"/>
        </w:tabs>
        <w:spacing w:line="240" w:lineRule="auto" w:before="120" w:after="0"/>
        <w:ind w:left="3053" w:right="0" w:hanging="568"/>
        <w:jc w:val="both"/>
        <w:rPr>
          <w:sz w:val="24"/>
        </w:rPr>
      </w:pPr>
      <w:r>
        <w:rPr>
          <w:sz w:val="24"/>
        </w:rPr>
        <w:t>whether</w:t>
      </w:r>
      <w:r>
        <w:rPr>
          <w:spacing w:val="22"/>
          <w:sz w:val="24"/>
        </w:rPr>
        <w:t> </w:t>
      </w:r>
      <w:r>
        <w:rPr>
          <w:sz w:val="24"/>
        </w:rPr>
        <w:t>the</w:t>
      </w:r>
      <w:r>
        <w:rPr>
          <w:spacing w:val="23"/>
          <w:sz w:val="24"/>
        </w:rPr>
        <w:t> </w:t>
      </w:r>
      <w:r>
        <w:rPr>
          <w:sz w:val="24"/>
        </w:rPr>
        <w:t>credible</w:t>
      </w:r>
      <w:r>
        <w:rPr>
          <w:spacing w:val="22"/>
          <w:sz w:val="24"/>
        </w:rPr>
        <w:t> </w:t>
      </w:r>
      <w:r>
        <w:rPr>
          <w:sz w:val="24"/>
        </w:rPr>
        <w:t>option</w:t>
      </w:r>
      <w:r>
        <w:rPr>
          <w:spacing w:val="23"/>
          <w:sz w:val="24"/>
        </w:rPr>
        <w:t> </w:t>
      </w:r>
      <w:r>
        <w:rPr>
          <w:sz w:val="24"/>
        </w:rPr>
        <w:t>is</w:t>
      </w:r>
      <w:r>
        <w:rPr>
          <w:spacing w:val="22"/>
          <w:sz w:val="24"/>
        </w:rPr>
        <w:t> </w:t>
      </w:r>
      <w:r>
        <w:rPr>
          <w:sz w:val="24"/>
        </w:rPr>
        <w:t>reasonably</w:t>
      </w:r>
      <w:r>
        <w:rPr>
          <w:spacing w:val="23"/>
          <w:sz w:val="24"/>
        </w:rPr>
        <w:t> </w:t>
      </w:r>
      <w:r>
        <w:rPr>
          <w:sz w:val="24"/>
        </w:rPr>
        <w:t>likely</w:t>
      </w:r>
      <w:r>
        <w:rPr>
          <w:spacing w:val="22"/>
          <w:sz w:val="24"/>
        </w:rPr>
        <w:t> </w:t>
      </w:r>
      <w:r>
        <w:rPr>
          <w:sz w:val="24"/>
        </w:rPr>
        <w:t>to</w:t>
      </w:r>
      <w:r>
        <w:rPr>
          <w:spacing w:val="23"/>
          <w:sz w:val="24"/>
        </w:rPr>
        <w:t> </w:t>
      </w:r>
      <w:r>
        <w:rPr>
          <w:sz w:val="24"/>
        </w:rPr>
        <w:t>have</w:t>
      </w:r>
      <w:r>
        <w:rPr>
          <w:spacing w:val="22"/>
          <w:sz w:val="24"/>
        </w:rPr>
        <w:t> </w:t>
      </w:r>
      <w:r>
        <w:rPr>
          <w:sz w:val="24"/>
        </w:rPr>
        <w:t>a</w:t>
      </w:r>
    </w:p>
    <w:p>
      <w:pPr>
        <w:spacing w:before="0"/>
        <w:ind w:left="3053" w:right="0" w:firstLine="0"/>
        <w:jc w:val="both"/>
        <w:rPr>
          <w:sz w:val="24"/>
        </w:rPr>
      </w:pPr>
      <w:r>
        <w:rPr>
          <w:i/>
          <w:sz w:val="24"/>
        </w:rPr>
        <w:t>material inter-network impact</w:t>
      </w:r>
      <w:r>
        <w:rPr>
          <w:sz w:val="24"/>
        </w:rPr>
        <w:t>;</w:t>
      </w:r>
    </w:p>
    <w:p>
      <w:pPr>
        <w:pStyle w:val="ListParagraph"/>
        <w:numPr>
          <w:ilvl w:val="5"/>
          <w:numId w:val="231"/>
        </w:numPr>
        <w:tabs>
          <w:tab w:pos="3053" w:val="left" w:leader="none"/>
        </w:tabs>
        <w:spacing w:line="240" w:lineRule="auto" w:before="120" w:after="0"/>
        <w:ind w:left="3053" w:right="414" w:hanging="567"/>
        <w:jc w:val="both"/>
        <w:rPr>
          <w:sz w:val="24"/>
        </w:rPr>
      </w:pPr>
      <w:r>
        <w:rPr>
          <w:sz w:val="24"/>
        </w:rPr>
        <w:t>the classes of market benefits that the RIT-T proponent considers are likely not to be material in accordance with clause 5.16.1(c)(6), together with reasons of why the RIT-T proponent considers that these classes of market benefits are not likely </w:t>
      </w:r>
      <w:r>
        <w:rPr>
          <w:spacing w:val="-6"/>
          <w:sz w:val="24"/>
        </w:rPr>
        <w:t>to </w:t>
      </w:r>
      <w:r>
        <w:rPr>
          <w:sz w:val="24"/>
        </w:rPr>
        <w:t>be</w:t>
      </w:r>
      <w:r>
        <w:rPr>
          <w:spacing w:val="-1"/>
          <w:sz w:val="24"/>
        </w:rPr>
        <w:t> </w:t>
      </w:r>
      <w:r>
        <w:rPr>
          <w:sz w:val="24"/>
        </w:rPr>
        <w:t>material;</w:t>
      </w:r>
    </w:p>
    <w:p>
      <w:pPr>
        <w:pStyle w:val="ListParagraph"/>
        <w:numPr>
          <w:ilvl w:val="5"/>
          <w:numId w:val="231"/>
        </w:numPr>
        <w:tabs>
          <w:tab w:pos="3054" w:val="left" w:leader="none"/>
        </w:tabs>
        <w:spacing w:line="240" w:lineRule="auto" w:before="120" w:after="0"/>
        <w:ind w:left="3053" w:right="414" w:hanging="567"/>
        <w:jc w:val="both"/>
        <w:rPr>
          <w:sz w:val="24"/>
        </w:rPr>
      </w:pPr>
      <w:r>
        <w:rPr>
          <w:sz w:val="24"/>
        </w:rPr>
        <w:t>the estimated construction timetable and commissioning date; and</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to the extent practicable, the total indicative capital and operating and maintenance</w:t>
      </w:r>
      <w:r>
        <w:rPr>
          <w:spacing w:val="-1"/>
          <w:sz w:val="24"/>
        </w:rPr>
        <w:t> </w:t>
      </w:r>
      <w:r>
        <w:rPr>
          <w:sz w:val="24"/>
        </w:rPr>
        <w:t>costs.</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The RIT-T proponent must make the project specification consultation report available to all </w:t>
      </w:r>
      <w:r>
        <w:rPr>
          <w:i/>
          <w:sz w:val="24"/>
        </w:rPr>
        <w:t>Registered Participants</w:t>
      </w:r>
      <w:r>
        <w:rPr>
          <w:sz w:val="24"/>
        </w:rPr>
        <w:t>, </w:t>
      </w:r>
      <w:r>
        <w:rPr>
          <w:i/>
          <w:sz w:val="24"/>
        </w:rPr>
        <w:t>NTESMO </w:t>
      </w:r>
      <w:r>
        <w:rPr>
          <w:sz w:val="24"/>
        </w:rPr>
        <w:t>and other </w:t>
      </w:r>
      <w:r>
        <w:rPr>
          <w:i/>
          <w:sz w:val="24"/>
        </w:rPr>
        <w:t>interested</w:t>
      </w:r>
      <w:r>
        <w:rPr>
          <w:i/>
          <w:spacing w:val="-1"/>
          <w:sz w:val="24"/>
        </w:rPr>
        <w:t> </w:t>
      </w:r>
      <w:r>
        <w:rPr>
          <w:i/>
          <w:sz w:val="24"/>
        </w:rPr>
        <w:t>parties</w:t>
      </w:r>
      <w:r>
        <w:rPr>
          <w:sz w:val="24"/>
        </w:rPr>
        <w:t>.</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RIT-T proponent</w:t>
      </w:r>
      <w:r>
        <w:rPr>
          <w:spacing w:val="-1"/>
          <w:sz w:val="24"/>
        </w:rPr>
        <w:t> </w:t>
      </w:r>
      <w:r>
        <w:rPr>
          <w:sz w:val="24"/>
        </w:rPr>
        <w:t>must:</w:t>
      </w:r>
    </w:p>
    <w:p>
      <w:pPr>
        <w:spacing w:after="0" w:line="240" w:lineRule="auto"/>
        <w:jc w:val="both"/>
        <w:rPr>
          <w:sz w:val="24"/>
        </w:rPr>
        <w:sectPr>
          <w:pgSz w:w="11910" w:h="16840"/>
          <w:pgMar w:header="686" w:footer="637" w:top="1320" w:bottom="820" w:left="1200" w:right="1000"/>
        </w:sectPr>
      </w:pPr>
    </w:p>
    <w:p>
      <w:pPr>
        <w:pStyle w:val="ListParagraph"/>
        <w:numPr>
          <w:ilvl w:val="4"/>
          <w:numId w:val="231"/>
        </w:numPr>
        <w:tabs>
          <w:tab w:pos="2486" w:val="left" w:leader="none"/>
        </w:tabs>
        <w:spacing w:line="240" w:lineRule="auto" w:before="83" w:after="0"/>
        <w:ind w:left="2486" w:right="416" w:hanging="567"/>
        <w:jc w:val="both"/>
        <w:rPr>
          <w:sz w:val="24"/>
        </w:rPr>
      </w:pPr>
      <w:r>
        <w:rPr>
          <w:sz w:val="24"/>
        </w:rPr>
        <w:t>provide a summary of the project specification consultation report to </w:t>
      </w:r>
      <w:r>
        <w:rPr>
          <w:i/>
          <w:sz w:val="24"/>
        </w:rPr>
        <w:t>NTESMO </w:t>
      </w:r>
      <w:r>
        <w:rPr>
          <w:sz w:val="24"/>
        </w:rPr>
        <w:t>within 5 </w:t>
      </w:r>
      <w:r>
        <w:rPr>
          <w:i/>
          <w:sz w:val="24"/>
        </w:rPr>
        <w:t>business days </w:t>
      </w:r>
      <w:r>
        <w:rPr>
          <w:sz w:val="24"/>
        </w:rPr>
        <w:t>of making the project specification consultation report;</w:t>
      </w:r>
      <w:r>
        <w:rPr>
          <w:spacing w:val="-1"/>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upon request by an </w:t>
      </w:r>
      <w:r>
        <w:rPr>
          <w:i/>
          <w:sz w:val="24"/>
        </w:rPr>
        <w:t>interested party</w:t>
      </w:r>
      <w:r>
        <w:rPr>
          <w:sz w:val="24"/>
        </w:rPr>
        <w:t>, provide a copy of the project specification consultation report to that person within 3 </w:t>
      </w:r>
      <w:r>
        <w:rPr>
          <w:i/>
          <w:sz w:val="24"/>
        </w:rPr>
        <w:t>business days </w:t>
      </w:r>
      <w:r>
        <w:rPr>
          <w:sz w:val="24"/>
        </w:rPr>
        <w:t>of the</w:t>
      </w:r>
      <w:r>
        <w:rPr>
          <w:spacing w:val="-1"/>
          <w:sz w:val="24"/>
        </w:rPr>
        <w:t> </w:t>
      </w:r>
      <w:r>
        <w:rPr>
          <w:sz w:val="24"/>
        </w:rPr>
        <w:t>request.</w:t>
      </w:r>
    </w:p>
    <w:p>
      <w:pPr>
        <w:pStyle w:val="ListParagraph"/>
        <w:numPr>
          <w:ilvl w:val="3"/>
          <w:numId w:val="231"/>
        </w:numPr>
        <w:tabs>
          <w:tab w:pos="1919" w:val="left" w:leader="none"/>
        </w:tabs>
        <w:spacing w:line="240" w:lineRule="auto" w:before="120" w:after="0"/>
        <w:ind w:left="1918" w:right="0" w:hanging="567"/>
        <w:jc w:val="both"/>
        <w:rPr>
          <w:i/>
          <w:sz w:val="24"/>
        </w:rPr>
      </w:pPr>
      <w:r>
        <w:rPr>
          <w:sz w:val="24"/>
        </w:rPr>
        <w:t>Within</w:t>
      </w:r>
      <w:r>
        <w:rPr>
          <w:spacing w:val="23"/>
          <w:sz w:val="24"/>
        </w:rPr>
        <w:t> </w:t>
      </w:r>
      <w:r>
        <w:rPr>
          <w:sz w:val="24"/>
        </w:rPr>
        <w:t>3</w:t>
      </w:r>
      <w:r>
        <w:rPr>
          <w:spacing w:val="23"/>
          <w:sz w:val="24"/>
        </w:rPr>
        <w:t> </w:t>
      </w:r>
      <w:r>
        <w:rPr>
          <w:i/>
          <w:sz w:val="24"/>
        </w:rPr>
        <w:t>business</w:t>
      </w:r>
      <w:r>
        <w:rPr>
          <w:i/>
          <w:spacing w:val="24"/>
          <w:sz w:val="24"/>
        </w:rPr>
        <w:t> </w:t>
      </w:r>
      <w:r>
        <w:rPr>
          <w:i/>
          <w:sz w:val="24"/>
        </w:rPr>
        <w:t>days</w:t>
      </w:r>
      <w:r>
        <w:rPr>
          <w:i/>
          <w:spacing w:val="23"/>
          <w:sz w:val="24"/>
        </w:rPr>
        <w:t> </w:t>
      </w:r>
      <w:r>
        <w:rPr>
          <w:sz w:val="24"/>
        </w:rPr>
        <w:t>of</w:t>
      </w:r>
      <w:r>
        <w:rPr>
          <w:spacing w:val="24"/>
          <w:sz w:val="24"/>
        </w:rPr>
        <w:t> </w:t>
      </w:r>
      <w:r>
        <w:rPr>
          <w:sz w:val="24"/>
        </w:rPr>
        <w:t>receipt</w:t>
      </w:r>
      <w:r>
        <w:rPr>
          <w:spacing w:val="23"/>
          <w:sz w:val="24"/>
        </w:rPr>
        <w:t> </w:t>
      </w:r>
      <w:r>
        <w:rPr>
          <w:sz w:val="24"/>
        </w:rPr>
        <w:t>of</w:t>
      </w:r>
      <w:r>
        <w:rPr>
          <w:spacing w:val="24"/>
          <w:sz w:val="24"/>
        </w:rPr>
        <w:t> </w:t>
      </w:r>
      <w:r>
        <w:rPr>
          <w:sz w:val="24"/>
        </w:rPr>
        <w:t>the</w:t>
      </w:r>
      <w:r>
        <w:rPr>
          <w:spacing w:val="23"/>
          <w:sz w:val="24"/>
        </w:rPr>
        <w:t> </w:t>
      </w:r>
      <w:r>
        <w:rPr>
          <w:sz w:val="24"/>
        </w:rPr>
        <w:t>summary,</w:t>
      </w:r>
      <w:r>
        <w:rPr>
          <w:spacing w:val="22"/>
          <w:sz w:val="24"/>
        </w:rPr>
        <w:t> </w:t>
      </w:r>
      <w:r>
        <w:rPr>
          <w:i/>
          <w:sz w:val="24"/>
        </w:rPr>
        <w:t>NTESMO</w:t>
      </w:r>
      <w:r>
        <w:rPr>
          <w:i/>
          <w:spacing w:val="24"/>
          <w:sz w:val="24"/>
        </w:rPr>
        <w:t> </w:t>
      </w:r>
      <w:r>
        <w:rPr>
          <w:sz w:val="24"/>
        </w:rPr>
        <w:t>must</w:t>
      </w:r>
      <w:r>
        <w:rPr>
          <w:spacing w:val="23"/>
          <w:sz w:val="24"/>
        </w:rPr>
        <w:t> </w:t>
      </w:r>
      <w:r>
        <w:rPr>
          <w:i/>
          <w:sz w:val="24"/>
        </w:rPr>
        <w:t>publish</w:t>
      </w:r>
    </w:p>
    <w:p>
      <w:pPr>
        <w:pStyle w:val="BodyText"/>
        <w:spacing w:before="0"/>
        <w:ind w:left="1919" w:firstLine="0"/>
      </w:pPr>
      <w:r>
        <w:rPr/>
        <w:t>the summary of the project specification consultation report on its website.</w:t>
      </w:r>
    </w:p>
    <w:p>
      <w:pPr>
        <w:pStyle w:val="ListParagraph"/>
        <w:numPr>
          <w:ilvl w:val="3"/>
          <w:numId w:val="231"/>
        </w:numPr>
        <w:tabs>
          <w:tab w:pos="1920" w:val="left" w:leader="none"/>
        </w:tabs>
        <w:spacing w:line="240" w:lineRule="auto" w:before="120" w:after="0"/>
        <w:ind w:left="1919" w:right="415" w:hanging="567"/>
        <w:jc w:val="both"/>
        <w:rPr>
          <w:sz w:val="24"/>
        </w:rPr>
      </w:pPr>
      <w:r>
        <w:rPr>
          <w:sz w:val="24"/>
        </w:rPr>
        <w:t>The RIT-T proponent must seek submissions from </w:t>
      </w:r>
      <w:r>
        <w:rPr>
          <w:i/>
          <w:sz w:val="24"/>
        </w:rPr>
        <w:t>Registered Participants</w:t>
      </w:r>
      <w:r>
        <w:rPr>
          <w:sz w:val="24"/>
        </w:rPr>
        <w:t>, </w:t>
      </w:r>
      <w:r>
        <w:rPr>
          <w:i/>
          <w:sz w:val="24"/>
        </w:rPr>
        <w:t>NTESMO </w:t>
      </w:r>
      <w:r>
        <w:rPr>
          <w:sz w:val="24"/>
        </w:rPr>
        <w:t>and </w:t>
      </w:r>
      <w:r>
        <w:rPr>
          <w:i/>
          <w:sz w:val="24"/>
        </w:rPr>
        <w:t>interested parties </w:t>
      </w:r>
      <w:r>
        <w:rPr>
          <w:sz w:val="24"/>
        </w:rPr>
        <w:t>on the credible options presented, and the issues addressed, in the project specification consultation</w:t>
      </w:r>
      <w:r>
        <w:rPr>
          <w:spacing w:val="-4"/>
          <w:sz w:val="24"/>
        </w:rPr>
        <w:t> </w:t>
      </w:r>
      <w:r>
        <w:rPr>
          <w:sz w:val="24"/>
        </w:rPr>
        <w:t>report.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The period for consultation referred to in paragraph (f) must be not less than 12 weeks from the date that </w:t>
      </w:r>
      <w:r>
        <w:rPr>
          <w:i/>
          <w:sz w:val="24"/>
        </w:rPr>
        <w:t>NTESMO publishes </w:t>
      </w:r>
      <w:r>
        <w:rPr>
          <w:sz w:val="24"/>
        </w:rPr>
        <w:t>the summary of the project specification consultation report on its</w:t>
      </w:r>
      <w:r>
        <w:rPr>
          <w:spacing w:val="-2"/>
          <w:sz w:val="24"/>
        </w:rPr>
        <w:t> </w:t>
      </w:r>
      <w:r>
        <w:rPr>
          <w:sz w:val="24"/>
        </w:rPr>
        <w:t>website.</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RIT-T proponent that is a </w:t>
      </w:r>
      <w:r>
        <w:rPr>
          <w:i/>
          <w:sz w:val="24"/>
        </w:rPr>
        <w:t>Transmission Network Service Provider </w:t>
      </w:r>
      <w:r>
        <w:rPr>
          <w:sz w:val="24"/>
        </w:rPr>
        <w:t>may discharge its obligation under paragraph (c) to make the project specification consultation report available by including the project specification consultation report as part of its </w:t>
      </w:r>
      <w:r>
        <w:rPr>
          <w:i/>
          <w:sz w:val="24"/>
        </w:rPr>
        <w:t>Transmission Annual </w:t>
      </w:r>
      <w:r>
        <w:rPr>
          <w:i/>
          <w:sz w:val="24"/>
        </w:rPr>
        <w:t>Planning</w:t>
      </w:r>
      <w:r>
        <w:rPr>
          <w:i/>
          <w:spacing w:val="-1"/>
          <w:sz w:val="24"/>
        </w:rPr>
        <w:t> </w:t>
      </w:r>
      <w:r>
        <w:rPr>
          <w:i/>
          <w:sz w:val="24"/>
        </w:rPr>
        <w:t>Report</w:t>
      </w:r>
      <w:r>
        <w:rPr>
          <w:sz w:val="24"/>
        </w:rPr>
        <w: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RIT-T proponent that is a </w:t>
      </w:r>
      <w:r>
        <w:rPr>
          <w:i/>
          <w:sz w:val="24"/>
        </w:rPr>
        <w:t>Distribution Network Service Provider </w:t>
      </w:r>
      <w:r>
        <w:rPr>
          <w:sz w:val="24"/>
        </w:rPr>
        <w:t>may discharge its obligation under paragraph (c) to make the project specification consultation report available by including the project specification consultation report as part of its </w:t>
      </w:r>
      <w:r>
        <w:rPr>
          <w:i/>
          <w:sz w:val="24"/>
        </w:rPr>
        <w:t>Distribution Annual Planning </w:t>
      </w:r>
      <w:r>
        <w:rPr>
          <w:i/>
          <w:sz w:val="24"/>
        </w:rPr>
        <w:t>Report</w:t>
      </w:r>
      <w:r>
        <w:rPr>
          <w:sz w:val="24"/>
        </w:rPr>
        <w:t>.</w:t>
      </w:r>
    </w:p>
    <w:p>
      <w:pPr>
        <w:pStyle w:val="Heading4"/>
        <w:spacing w:before="120"/>
        <w:ind w:left="1352" w:firstLine="0"/>
        <w:jc w:val="both"/>
        <w:rPr>
          <w:rFonts w:ascii="Times New Roman"/>
        </w:rPr>
      </w:pPr>
      <w:r>
        <w:rPr>
          <w:rFonts w:ascii="Times New Roman"/>
        </w:rPr>
        <w:t>Project assessment draft report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If one or more </w:t>
      </w:r>
      <w:r>
        <w:rPr>
          <w:i/>
          <w:sz w:val="24"/>
        </w:rPr>
        <w:t>Network Service Providers </w:t>
      </w:r>
      <w:r>
        <w:rPr>
          <w:sz w:val="24"/>
        </w:rPr>
        <w:t>wishes to proceed with a RIT-T project, within 12 months of the end date of the consultation period referred to in paragraph (g), or such longer time period as is agreed in writing by the </w:t>
      </w:r>
      <w:r>
        <w:rPr>
          <w:i/>
          <w:sz w:val="24"/>
        </w:rPr>
        <w:t>AER</w:t>
      </w:r>
      <w:r>
        <w:rPr>
          <w:sz w:val="24"/>
        </w:rPr>
        <w:t>, the RIT-T proponent for the relevant RIT-T project must prepare a report (the project assessment draft report), having regard to the submissions received, if any, under paragraph (f) and make that report available to all </w:t>
      </w:r>
      <w:r>
        <w:rPr>
          <w:i/>
          <w:sz w:val="24"/>
        </w:rPr>
        <w:t>Registered Participants</w:t>
      </w:r>
      <w:r>
        <w:rPr>
          <w:sz w:val="24"/>
        </w:rPr>
        <w:t>, </w:t>
      </w:r>
      <w:r>
        <w:rPr>
          <w:i/>
          <w:sz w:val="24"/>
        </w:rPr>
        <w:t>NTESMO </w:t>
      </w:r>
      <w:r>
        <w:rPr>
          <w:sz w:val="24"/>
        </w:rPr>
        <w:t>and </w:t>
      </w:r>
      <w:r>
        <w:rPr>
          <w:i/>
          <w:sz w:val="24"/>
        </w:rPr>
        <w:t>interested</w:t>
      </w:r>
      <w:r>
        <w:rPr>
          <w:i/>
          <w:spacing w:val="-1"/>
          <w:sz w:val="24"/>
        </w:rPr>
        <w:t> </w:t>
      </w:r>
      <w:r>
        <w:rPr>
          <w:i/>
          <w:sz w:val="24"/>
        </w:rPr>
        <w:t>parties</w:t>
      </w:r>
      <w:r>
        <w:rPr>
          <w:sz w:val="24"/>
        </w:rPr>
        <w:t>.</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project assessment draft report must</w:t>
      </w:r>
      <w:r>
        <w:rPr>
          <w:spacing w:val="-4"/>
          <w:sz w:val="24"/>
        </w:rPr>
        <w:t> </w:t>
      </w:r>
      <w:r>
        <w:rPr>
          <w:sz w:val="24"/>
        </w:rPr>
        <w:t>include:</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a description of each credible option</w:t>
      </w:r>
      <w:r>
        <w:rPr>
          <w:spacing w:val="-2"/>
          <w:sz w:val="24"/>
        </w:rPr>
        <w:t> </w:t>
      </w:r>
      <w:r>
        <w:rPr>
          <w:sz w:val="24"/>
        </w:rPr>
        <w:t>assessed;</w:t>
      </w:r>
    </w:p>
    <w:p>
      <w:pPr>
        <w:pStyle w:val="ListParagraph"/>
        <w:numPr>
          <w:ilvl w:val="4"/>
          <w:numId w:val="231"/>
        </w:numPr>
        <w:tabs>
          <w:tab w:pos="2486" w:val="left" w:leader="none"/>
        </w:tabs>
        <w:spacing w:line="240" w:lineRule="auto" w:before="120" w:after="0"/>
        <w:ind w:left="2486" w:right="416" w:hanging="567"/>
        <w:jc w:val="both"/>
        <w:rPr>
          <w:sz w:val="24"/>
        </w:rPr>
      </w:pPr>
      <w:r>
        <w:rPr>
          <w:sz w:val="24"/>
        </w:rPr>
        <w:t>a summary of, and commentary on, the submissions to the project specification consultation</w:t>
      </w:r>
      <w:r>
        <w:rPr>
          <w:spacing w:val="-1"/>
          <w:sz w:val="24"/>
        </w:rPr>
        <w:t> </w:t>
      </w:r>
      <w:r>
        <w:rPr>
          <w:sz w:val="24"/>
        </w:rPr>
        <w:t>report;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 quantification of the costs, including a breakdown of operating and capital expenditure, and classes of material market benefit for each credible</w:t>
      </w:r>
      <w:r>
        <w:rPr>
          <w:spacing w:val="-1"/>
          <w:sz w:val="24"/>
        </w:rPr>
        <w:t> </w:t>
      </w:r>
      <w:r>
        <w:rPr>
          <w:sz w:val="24"/>
        </w:rPr>
        <w:t>option;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 detailed description of the methodologies used in quantifying each class of material market benefit and</w:t>
      </w:r>
      <w:r>
        <w:rPr>
          <w:spacing w:val="-2"/>
          <w:sz w:val="24"/>
        </w:rPr>
        <w:t> </w:t>
      </w:r>
      <w:r>
        <w:rPr>
          <w:sz w:val="24"/>
        </w:rPr>
        <w:t>cost;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reasons why the RIT-T proponent has determined that a class or classes of market benefit are not</w:t>
      </w:r>
      <w:r>
        <w:rPr>
          <w:spacing w:val="-1"/>
          <w:sz w:val="24"/>
        </w:rPr>
        <w:t> </w:t>
      </w:r>
      <w:r>
        <w:rPr>
          <w:sz w:val="24"/>
        </w:rPr>
        <w:t>material;</w:t>
      </w:r>
    </w:p>
    <w:p>
      <w:pPr>
        <w:spacing w:after="0" w:line="240" w:lineRule="auto"/>
        <w:jc w:val="both"/>
        <w:rPr>
          <w:sz w:val="24"/>
        </w:rPr>
        <w:sectPr>
          <w:pgSz w:w="11910" w:h="16840"/>
          <w:pgMar w:header="686" w:footer="637" w:top="1320" w:bottom="820" w:left="1200" w:right="1000"/>
        </w:sectPr>
      </w:pPr>
    </w:p>
    <w:p>
      <w:pPr>
        <w:pStyle w:val="ListParagraph"/>
        <w:numPr>
          <w:ilvl w:val="4"/>
          <w:numId w:val="231"/>
        </w:numPr>
        <w:tabs>
          <w:tab w:pos="2486" w:val="left" w:leader="none"/>
        </w:tabs>
        <w:spacing w:line="240" w:lineRule="auto" w:before="83" w:after="0"/>
        <w:ind w:left="2486" w:right="415" w:hanging="567"/>
        <w:jc w:val="both"/>
        <w:rPr>
          <w:sz w:val="24"/>
        </w:rPr>
      </w:pPr>
      <w:r>
        <w:rPr>
          <w:sz w:val="24"/>
        </w:rPr>
        <w:t>the identification of any class of market benefit estimated to arise outside the </w:t>
      </w:r>
      <w:r>
        <w:rPr>
          <w:i/>
          <w:sz w:val="24"/>
        </w:rPr>
        <w:t>region </w:t>
      </w:r>
      <w:r>
        <w:rPr>
          <w:sz w:val="24"/>
        </w:rPr>
        <w:t>of the </w:t>
      </w:r>
      <w:r>
        <w:rPr>
          <w:i/>
          <w:sz w:val="24"/>
        </w:rPr>
        <w:t>Transmission Network Service Provider </w:t>
      </w:r>
      <w:r>
        <w:rPr>
          <w:sz w:val="24"/>
        </w:rPr>
        <w:t>affected by the RIT-T project, and quantification of the value of such market benefits (in aggregate across all</w:t>
      </w:r>
      <w:r>
        <w:rPr>
          <w:spacing w:val="-3"/>
          <w:sz w:val="24"/>
        </w:rPr>
        <w:t> </w:t>
      </w:r>
      <w:r>
        <w:rPr>
          <w:sz w:val="24"/>
        </w:rPr>
        <w:t>regions);</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results of a net present value analysis of each credible option </w:t>
      </w:r>
      <w:r>
        <w:rPr>
          <w:spacing w:val="-5"/>
          <w:sz w:val="24"/>
        </w:rPr>
        <w:t>and </w:t>
      </w:r>
      <w:r>
        <w:rPr>
          <w:sz w:val="24"/>
        </w:rPr>
        <w:t>accompanying explanatory statements regarding the</w:t>
      </w:r>
      <w:r>
        <w:rPr>
          <w:spacing w:val="-4"/>
          <w:sz w:val="24"/>
        </w:rPr>
        <w:t> </w:t>
      </w:r>
      <w:r>
        <w:rPr>
          <w:sz w:val="24"/>
        </w:rPr>
        <w:t>results;</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 identification of the proposed preferred</w:t>
      </w:r>
      <w:r>
        <w:rPr>
          <w:spacing w:val="-2"/>
          <w:sz w:val="24"/>
        </w:rPr>
        <w:t> </w:t>
      </w:r>
      <w:r>
        <w:rPr>
          <w:sz w:val="24"/>
        </w:rPr>
        <w:t>option;</w:t>
      </w:r>
    </w:p>
    <w:p>
      <w:pPr>
        <w:pStyle w:val="ListParagraph"/>
        <w:numPr>
          <w:ilvl w:val="4"/>
          <w:numId w:val="231"/>
        </w:numPr>
        <w:tabs>
          <w:tab w:pos="2486" w:val="left" w:leader="none"/>
        </w:tabs>
        <w:spacing w:line="240" w:lineRule="auto" w:before="120" w:after="0"/>
        <w:ind w:left="2486" w:right="416" w:hanging="567"/>
        <w:jc w:val="both"/>
        <w:rPr>
          <w:sz w:val="24"/>
        </w:rPr>
      </w:pPr>
      <w:r>
        <w:rPr>
          <w:sz w:val="24"/>
        </w:rPr>
        <w:t>for the proposed preferred option identified under subparagraph (8), the RIT-T proponent must</w:t>
      </w:r>
      <w:r>
        <w:rPr>
          <w:spacing w:val="-1"/>
          <w:sz w:val="24"/>
        </w:rPr>
        <w:t> </w:t>
      </w:r>
      <w:r>
        <w:rPr>
          <w:sz w:val="24"/>
        </w:rPr>
        <w:t>provide:</w:t>
      </w:r>
    </w:p>
    <w:p>
      <w:pPr>
        <w:pStyle w:val="ListParagraph"/>
        <w:numPr>
          <w:ilvl w:val="5"/>
          <w:numId w:val="231"/>
        </w:numPr>
        <w:tabs>
          <w:tab w:pos="3053" w:val="left" w:leader="none"/>
        </w:tabs>
        <w:spacing w:line="240" w:lineRule="auto" w:before="120" w:after="0"/>
        <w:ind w:left="3052" w:right="0" w:hanging="567"/>
        <w:jc w:val="both"/>
        <w:rPr>
          <w:sz w:val="24"/>
        </w:rPr>
      </w:pPr>
      <w:r>
        <w:rPr>
          <w:sz w:val="24"/>
        </w:rPr>
        <w:t>details of the technical</w:t>
      </w:r>
      <w:r>
        <w:rPr>
          <w:spacing w:val="-2"/>
          <w:sz w:val="24"/>
        </w:rPr>
        <w:t> </w:t>
      </w:r>
      <w:r>
        <w:rPr>
          <w:sz w:val="24"/>
        </w:rPr>
        <w:t>characteristics;</w:t>
      </w:r>
    </w:p>
    <w:p>
      <w:pPr>
        <w:pStyle w:val="ListParagraph"/>
        <w:numPr>
          <w:ilvl w:val="5"/>
          <w:numId w:val="231"/>
        </w:numPr>
        <w:tabs>
          <w:tab w:pos="3054" w:val="left" w:leader="none"/>
        </w:tabs>
        <w:spacing w:line="240" w:lineRule="auto" w:before="120" w:after="0"/>
        <w:ind w:left="3053" w:right="0" w:hanging="568"/>
        <w:jc w:val="both"/>
        <w:rPr>
          <w:sz w:val="24"/>
        </w:rPr>
      </w:pPr>
      <w:r>
        <w:rPr>
          <w:sz w:val="24"/>
        </w:rPr>
        <w:t>the estimated construction timetable and commissioning</w:t>
      </w:r>
      <w:r>
        <w:rPr>
          <w:spacing w:val="-3"/>
          <w:sz w:val="24"/>
        </w:rPr>
        <w:t> </w:t>
      </w:r>
      <w:r>
        <w:rPr>
          <w:sz w:val="24"/>
        </w:rPr>
        <w:t>date;</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if the proposed preferred option is likely to have a </w:t>
      </w:r>
      <w:r>
        <w:rPr>
          <w:i/>
          <w:sz w:val="24"/>
        </w:rPr>
        <w:t>material </w:t>
      </w:r>
      <w:r>
        <w:rPr>
          <w:i/>
          <w:sz w:val="24"/>
        </w:rPr>
        <w:t>inter-network impact </w:t>
      </w:r>
      <w:r>
        <w:rPr>
          <w:sz w:val="24"/>
        </w:rPr>
        <w:t>and if the </w:t>
      </w:r>
      <w:r>
        <w:rPr>
          <w:i/>
          <w:sz w:val="24"/>
        </w:rPr>
        <w:t>Transmission Network Service </w:t>
      </w:r>
      <w:r>
        <w:rPr>
          <w:i/>
          <w:sz w:val="24"/>
        </w:rPr>
        <w:t>Provider </w:t>
      </w:r>
      <w:r>
        <w:rPr>
          <w:sz w:val="24"/>
        </w:rPr>
        <w:t>affected by the RIT-T project has received an </w:t>
      </w:r>
      <w:r>
        <w:rPr>
          <w:i/>
          <w:sz w:val="24"/>
        </w:rPr>
        <w:t>augmentation technical report</w:t>
      </w:r>
      <w:r>
        <w:rPr>
          <w:sz w:val="24"/>
        </w:rPr>
        <w:t>, that report;</w:t>
      </w:r>
      <w:r>
        <w:rPr>
          <w:spacing w:val="-2"/>
          <w:sz w:val="24"/>
        </w:rPr>
        <w:t> </w:t>
      </w:r>
      <w:r>
        <w:rPr>
          <w:sz w:val="24"/>
        </w:rPr>
        <w:t>and</w:t>
      </w:r>
    </w:p>
    <w:p>
      <w:pPr>
        <w:pStyle w:val="ListParagraph"/>
        <w:numPr>
          <w:ilvl w:val="5"/>
          <w:numId w:val="231"/>
        </w:numPr>
        <w:tabs>
          <w:tab w:pos="3054" w:val="left" w:leader="none"/>
        </w:tabs>
        <w:spacing w:line="240" w:lineRule="auto" w:before="120" w:after="0"/>
        <w:ind w:left="3053" w:right="415" w:hanging="567"/>
        <w:jc w:val="both"/>
        <w:rPr>
          <w:sz w:val="24"/>
        </w:rPr>
      </w:pPr>
      <w:r>
        <w:rPr>
          <w:sz w:val="24"/>
        </w:rPr>
        <w:t>a statement and the accompanying detailed analysis that the preferred option satisfies the </w:t>
      </w:r>
      <w:r>
        <w:rPr>
          <w:i/>
          <w:sz w:val="24"/>
        </w:rPr>
        <w:t>regulatory investment test for </w:t>
      </w:r>
      <w:r>
        <w:rPr>
          <w:i/>
          <w:sz w:val="24"/>
        </w:rPr>
        <w:t>transmission</w:t>
      </w:r>
      <w:r>
        <w:rPr>
          <w:sz w:val="24"/>
        </w:rPr>
        <w: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If a </w:t>
      </w:r>
      <w:r>
        <w:rPr>
          <w:i/>
          <w:sz w:val="24"/>
        </w:rPr>
        <w:t>Network Service Provider </w:t>
      </w:r>
      <w:r>
        <w:rPr>
          <w:sz w:val="24"/>
        </w:rPr>
        <w:t>affected by a RIT-T project elects to proceed with a project which is for reliability corrective action, it can only do so where the proposed preferred option has a proponent. The RIT-T proponent must identity that proponent in the project assessment draft</w:t>
      </w:r>
      <w:r>
        <w:rPr>
          <w:spacing w:val="-3"/>
          <w:sz w:val="24"/>
        </w:rPr>
        <w:t> </w:t>
      </w:r>
      <w:r>
        <w:rPr>
          <w:sz w:val="24"/>
        </w:rPr>
        <w:t>report.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A RIT-T proponent that is a </w:t>
      </w:r>
      <w:r>
        <w:rPr>
          <w:i/>
          <w:sz w:val="24"/>
        </w:rPr>
        <w:t>Transmission Network Service Provider </w:t>
      </w:r>
      <w:r>
        <w:rPr>
          <w:sz w:val="24"/>
        </w:rPr>
        <w:t>may discharge its obligation under paragraph (j) to make the project assessment draft report available by including the project assessment draft report as part of its </w:t>
      </w:r>
      <w:r>
        <w:rPr>
          <w:i/>
          <w:sz w:val="24"/>
        </w:rPr>
        <w:t>Transmission Annual Planning Report </w:t>
      </w:r>
      <w:r>
        <w:rPr>
          <w:sz w:val="24"/>
        </w:rPr>
        <w:t>provided that report </w:t>
      </w:r>
      <w:r>
        <w:rPr>
          <w:spacing w:val="-5"/>
          <w:sz w:val="24"/>
        </w:rPr>
        <w:t>is </w:t>
      </w:r>
      <w:r>
        <w:rPr>
          <w:i/>
          <w:sz w:val="24"/>
        </w:rPr>
        <w:t>published </w:t>
      </w:r>
      <w:r>
        <w:rPr>
          <w:sz w:val="24"/>
        </w:rPr>
        <w:t>within 12 months of the end date of the consultation period required under paragraph (g) or within 12 months of the end of such longer time period as is agreed by the </w:t>
      </w:r>
      <w:r>
        <w:rPr>
          <w:i/>
          <w:sz w:val="24"/>
        </w:rPr>
        <w:t>AER </w:t>
      </w:r>
      <w:r>
        <w:rPr>
          <w:sz w:val="24"/>
        </w:rPr>
        <w:t>in writing under paragraph</w:t>
      </w:r>
      <w:r>
        <w:rPr>
          <w:spacing w:val="-3"/>
          <w:sz w:val="24"/>
        </w:rPr>
        <w:t> </w:t>
      </w:r>
      <w:r>
        <w:rPr>
          <w:sz w:val="24"/>
        </w:rPr>
        <w:t>(j).</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RIT-T proponent that is a </w:t>
      </w:r>
      <w:r>
        <w:rPr>
          <w:i/>
          <w:sz w:val="24"/>
        </w:rPr>
        <w:t>Distribution Network Service Provider </w:t>
      </w:r>
      <w:r>
        <w:rPr>
          <w:sz w:val="24"/>
        </w:rPr>
        <w:t>may discharge its obligation under paragraph (j) to make the project assessment draft report available by including the project assessment draft report as part of its </w:t>
      </w:r>
      <w:r>
        <w:rPr>
          <w:i/>
          <w:sz w:val="24"/>
        </w:rPr>
        <w:t>Distribution Annual Planning Report </w:t>
      </w:r>
      <w:r>
        <w:rPr>
          <w:sz w:val="24"/>
        </w:rPr>
        <w:t>provided that report is </w:t>
      </w:r>
      <w:r>
        <w:rPr>
          <w:i/>
          <w:sz w:val="24"/>
        </w:rPr>
        <w:t>published </w:t>
      </w:r>
      <w:r>
        <w:rPr>
          <w:sz w:val="24"/>
        </w:rPr>
        <w:t>within 12 months of the end date of the consultation period required under paragraph (g) or within 12 months of the end of such longer time period as is agreed by the </w:t>
      </w:r>
      <w:r>
        <w:rPr>
          <w:i/>
          <w:sz w:val="24"/>
        </w:rPr>
        <w:t>AER </w:t>
      </w:r>
      <w:r>
        <w:rPr>
          <w:sz w:val="24"/>
        </w:rPr>
        <w:t>in writing under paragraph</w:t>
      </w:r>
      <w:r>
        <w:rPr>
          <w:spacing w:val="-1"/>
          <w:sz w:val="24"/>
        </w:rPr>
        <w:t> </w:t>
      </w:r>
      <w:r>
        <w:rPr>
          <w:sz w:val="24"/>
        </w:rPr>
        <w:t>(j).</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RIT-T proponent</w:t>
      </w:r>
      <w:r>
        <w:rPr>
          <w:spacing w:val="-1"/>
          <w:sz w:val="24"/>
        </w:rPr>
        <w:t> </w:t>
      </w:r>
      <w:r>
        <w:rPr>
          <w:sz w:val="24"/>
        </w:rPr>
        <w:t>must: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provide a summary of the project assessment draft report to </w:t>
      </w:r>
      <w:r>
        <w:rPr>
          <w:i/>
          <w:sz w:val="24"/>
        </w:rPr>
        <w:t>NTESMO </w:t>
      </w:r>
      <w:r>
        <w:rPr>
          <w:sz w:val="24"/>
        </w:rPr>
        <w:t>within 5 </w:t>
      </w:r>
      <w:r>
        <w:rPr>
          <w:i/>
          <w:sz w:val="24"/>
        </w:rPr>
        <w:t>business days </w:t>
      </w:r>
      <w:r>
        <w:rPr>
          <w:sz w:val="24"/>
        </w:rPr>
        <w:t>of making the project assessment draft report; and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upon request by an </w:t>
      </w:r>
      <w:r>
        <w:rPr>
          <w:i/>
          <w:sz w:val="24"/>
        </w:rPr>
        <w:t>interested party</w:t>
      </w:r>
      <w:r>
        <w:rPr>
          <w:sz w:val="24"/>
        </w:rPr>
        <w:t>, provide a copy of the project assessment draft report to that person within 3 </w:t>
      </w:r>
      <w:r>
        <w:rPr>
          <w:i/>
          <w:sz w:val="24"/>
        </w:rPr>
        <w:t>business days </w:t>
      </w:r>
      <w:r>
        <w:rPr>
          <w:sz w:val="24"/>
        </w:rPr>
        <w:t>of the request.</w:t>
      </w:r>
    </w:p>
    <w:p>
      <w:pPr>
        <w:spacing w:after="0" w:line="240" w:lineRule="auto"/>
        <w:jc w:val="both"/>
        <w:rPr>
          <w:sz w:val="24"/>
        </w:rPr>
        <w:sectPr>
          <w:pgSz w:w="11910" w:h="16840"/>
          <w:pgMar w:header="686" w:footer="637" w:top="1320" w:bottom="820" w:left="1200" w:right="1000"/>
        </w:sectPr>
      </w:pPr>
    </w:p>
    <w:p>
      <w:pPr>
        <w:pStyle w:val="ListParagraph"/>
        <w:numPr>
          <w:ilvl w:val="3"/>
          <w:numId w:val="231"/>
        </w:numPr>
        <w:tabs>
          <w:tab w:pos="1919" w:val="left" w:leader="none"/>
        </w:tabs>
        <w:spacing w:line="240" w:lineRule="auto" w:before="83" w:after="0"/>
        <w:ind w:left="1918" w:right="0" w:hanging="567"/>
        <w:jc w:val="both"/>
        <w:rPr>
          <w:i/>
          <w:sz w:val="24"/>
        </w:rPr>
      </w:pPr>
      <w:r>
        <w:rPr>
          <w:sz w:val="24"/>
        </w:rPr>
        <w:t>Within</w:t>
      </w:r>
      <w:r>
        <w:rPr>
          <w:spacing w:val="23"/>
          <w:sz w:val="24"/>
        </w:rPr>
        <w:t> </w:t>
      </w:r>
      <w:r>
        <w:rPr>
          <w:sz w:val="24"/>
        </w:rPr>
        <w:t>3</w:t>
      </w:r>
      <w:r>
        <w:rPr>
          <w:spacing w:val="23"/>
          <w:sz w:val="24"/>
        </w:rPr>
        <w:t> </w:t>
      </w:r>
      <w:r>
        <w:rPr>
          <w:i/>
          <w:sz w:val="24"/>
        </w:rPr>
        <w:t>business</w:t>
      </w:r>
      <w:r>
        <w:rPr>
          <w:i/>
          <w:spacing w:val="24"/>
          <w:sz w:val="24"/>
        </w:rPr>
        <w:t> </w:t>
      </w:r>
      <w:r>
        <w:rPr>
          <w:i/>
          <w:sz w:val="24"/>
        </w:rPr>
        <w:t>days</w:t>
      </w:r>
      <w:r>
        <w:rPr>
          <w:i/>
          <w:spacing w:val="23"/>
          <w:sz w:val="24"/>
        </w:rPr>
        <w:t> </w:t>
      </w:r>
      <w:r>
        <w:rPr>
          <w:sz w:val="24"/>
        </w:rPr>
        <w:t>of</w:t>
      </w:r>
      <w:r>
        <w:rPr>
          <w:spacing w:val="24"/>
          <w:sz w:val="24"/>
        </w:rPr>
        <w:t> </w:t>
      </w:r>
      <w:r>
        <w:rPr>
          <w:sz w:val="24"/>
        </w:rPr>
        <w:t>receipt</w:t>
      </w:r>
      <w:r>
        <w:rPr>
          <w:spacing w:val="23"/>
          <w:sz w:val="24"/>
        </w:rPr>
        <w:t> </w:t>
      </w:r>
      <w:r>
        <w:rPr>
          <w:sz w:val="24"/>
        </w:rPr>
        <w:t>of</w:t>
      </w:r>
      <w:r>
        <w:rPr>
          <w:spacing w:val="24"/>
          <w:sz w:val="24"/>
        </w:rPr>
        <w:t> </w:t>
      </w:r>
      <w:r>
        <w:rPr>
          <w:sz w:val="24"/>
        </w:rPr>
        <w:t>the</w:t>
      </w:r>
      <w:r>
        <w:rPr>
          <w:spacing w:val="23"/>
          <w:sz w:val="24"/>
        </w:rPr>
        <w:t> </w:t>
      </w:r>
      <w:r>
        <w:rPr>
          <w:sz w:val="24"/>
        </w:rPr>
        <w:t>summary,</w:t>
      </w:r>
      <w:r>
        <w:rPr>
          <w:spacing w:val="22"/>
          <w:sz w:val="24"/>
        </w:rPr>
        <w:t> </w:t>
      </w:r>
      <w:r>
        <w:rPr>
          <w:i/>
          <w:sz w:val="24"/>
        </w:rPr>
        <w:t>NTESMO</w:t>
      </w:r>
      <w:r>
        <w:rPr>
          <w:i/>
          <w:spacing w:val="24"/>
          <w:sz w:val="24"/>
        </w:rPr>
        <w:t> </w:t>
      </w:r>
      <w:r>
        <w:rPr>
          <w:sz w:val="24"/>
        </w:rPr>
        <w:t>must</w:t>
      </w:r>
      <w:r>
        <w:rPr>
          <w:spacing w:val="23"/>
          <w:sz w:val="24"/>
        </w:rPr>
        <w:t> </w:t>
      </w:r>
      <w:r>
        <w:rPr>
          <w:i/>
          <w:sz w:val="24"/>
        </w:rPr>
        <w:t>publish</w:t>
      </w:r>
    </w:p>
    <w:p>
      <w:pPr>
        <w:pStyle w:val="BodyText"/>
        <w:spacing w:before="0"/>
        <w:ind w:left="1919" w:firstLine="0"/>
      </w:pPr>
      <w:r>
        <w:rPr/>
        <w:t>the summary of the project assessment draft report on its website.</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The RIT-T proponent must seek submissions from </w:t>
      </w:r>
      <w:r>
        <w:rPr>
          <w:i/>
          <w:sz w:val="24"/>
        </w:rPr>
        <w:t>Registered Participants</w:t>
      </w:r>
      <w:r>
        <w:rPr>
          <w:sz w:val="24"/>
        </w:rPr>
        <w:t>, </w:t>
      </w:r>
      <w:r>
        <w:rPr>
          <w:i/>
          <w:sz w:val="24"/>
        </w:rPr>
        <w:t>NTESMO </w:t>
      </w:r>
      <w:r>
        <w:rPr>
          <w:sz w:val="24"/>
        </w:rPr>
        <w:t>and </w:t>
      </w:r>
      <w:r>
        <w:rPr>
          <w:i/>
          <w:sz w:val="24"/>
        </w:rPr>
        <w:t>interested parties </w:t>
      </w:r>
      <w:r>
        <w:rPr>
          <w:sz w:val="24"/>
        </w:rPr>
        <w:t>on the preferred option presented, and </w:t>
      </w:r>
      <w:r>
        <w:rPr>
          <w:spacing w:val="-5"/>
          <w:sz w:val="24"/>
        </w:rPr>
        <w:t>the </w:t>
      </w:r>
      <w:r>
        <w:rPr>
          <w:sz w:val="24"/>
        </w:rPr>
        <w:t>issues addressed, in the project assessment draft</w:t>
      </w:r>
      <w:r>
        <w:rPr>
          <w:spacing w:val="-3"/>
          <w:sz w:val="24"/>
        </w:rPr>
        <w:t> </w:t>
      </w:r>
      <w:r>
        <w:rPr>
          <w:sz w:val="24"/>
        </w:rPr>
        <w:t>report.</w:t>
      </w:r>
    </w:p>
    <w:p>
      <w:pPr>
        <w:pStyle w:val="ListParagraph"/>
        <w:numPr>
          <w:ilvl w:val="3"/>
          <w:numId w:val="231"/>
        </w:numPr>
        <w:tabs>
          <w:tab w:pos="1920" w:val="left" w:leader="none"/>
        </w:tabs>
        <w:spacing w:line="240" w:lineRule="auto" w:before="120" w:after="0"/>
        <w:ind w:left="1919" w:right="414" w:hanging="567"/>
        <w:jc w:val="both"/>
        <w:rPr>
          <w:sz w:val="24"/>
        </w:rPr>
      </w:pPr>
      <w:r>
        <w:rPr>
          <w:sz w:val="24"/>
        </w:rPr>
        <w:t>The period for consultation referred to in paragraph (q) must be not less than 6 weeks from the date that </w:t>
      </w:r>
      <w:r>
        <w:rPr>
          <w:i/>
          <w:sz w:val="24"/>
        </w:rPr>
        <w:t>NTESMO publishes </w:t>
      </w:r>
      <w:r>
        <w:rPr>
          <w:sz w:val="24"/>
        </w:rPr>
        <w:t>the summary of the report on its</w:t>
      </w:r>
      <w:r>
        <w:rPr>
          <w:spacing w:val="-1"/>
          <w:sz w:val="24"/>
        </w:rPr>
        <w:t> </w:t>
      </w:r>
      <w:r>
        <w:rPr>
          <w:sz w:val="24"/>
        </w:rPr>
        <w:t>website.</w:t>
      </w:r>
    </w:p>
    <w:p>
      <w:pPr>
        <w:pStyle w:val="ListParagraph"/>
        <w:numPr>
          <w:ilvl w:val="3"/>
          <w:numId w:val="231"/>
        </w:numPr>
        <w:tabs>
          <w:tab w:pos="1920" w:val="left" w:leader="none"/>
        </w:tabs>
        <w:spacing w:line="240" w:lineRule="auto" w:before="120" w:after="0"/>
        <w:ind w:left="1919" w:right="414" w:hanging="567"/>
        <w:jc w:val="both"/>
        <w:rPr>
          <w:sz w:val="24"/>
        </w:rPr>
      </w:pPr>
      <w:r>
        <w:rPr>
          <w:sz w:val="24"/>
        </w:rPr>
        <w:t>Within 4 weeks after the end of the consultation period required under paragraph (r), at the request of an </w:t>
      </w:r>
      <w:r>
        <w:rPr>
          <w:i/>
          <w:sz w:val="24"/>
        </w:rPr>
        <w:t>interested party</w:t>
      </w:r>
      <w:r>
        <w:rPr>
          <w:sz w:val="24"/>
        </w:rPr>
        <w:t>, a </w:t>
      </w:r>
      <w:r>
        <w:rPr>
          <w:i/>
          <w:sz w:val="24"/>
        </w:rPr>
        <w:t>Registered Participant </w:t>
      </w:r>
      <w:r>
        <w:rPr>
          <w:sz w:val="24"/>
        </w:rPr>
        <w:t>or </w:t>
      </w:r>
      <w:r>
        <w:rPr>
          <w:i/>
          <w:sz w:val="24"/>
        </w:rPr>
        <w:t>NTESMO </w:t>
      </w:r>
      <w:r>
        <w:rPr>
          <w:sz w:val="24"/>
        </w:rPr>
        <w:t>(each being a relevant party for the purposes of this paragraph), the relevant </w:t>
      </w:r>
      <w:r>
        <w:rPr>
          <w:i/>
          <w:sz w:val="24"/>
        </w:rPr>
        <w:t>Network Service Provider </w:t>
      </w:r>
      <w:r>
        <w:rPr>
          <w:sz w:val="24"/>
        </w:rPr>
        <w:t>must meet with the relevant party if a meeting is requested by two or more relevant parties and may meet with a relevant party if after having considered all submissions, the relevant </w:t>
      </w:r>
      <w:r>
        <w:rPr>
          <w:i/>
          <w:sz w:val="24"/>
        </w:rPr>
        <w:t>Network Service Provider</w:t>
      </w:r>
      <w:r>
        <w:rPr>
          <w:sz w:val="24"/>
        </w:rPr>
        <w:t>, acting reasonably, considers that the meeting is necessary.</w:t>
      </w:r>
    </w:p>
    <w:p>
      <w:pPr>
        <w:pStyle w:val="Heading4"/>
        <w:spacing w:before="120"/>
        <w:ind w:left="1352" w:firstLine="0"/>
        <w:jc w:val="both"/>
        <w:rPr>
          <w:rFonts w:ascii="Times New Roman"/>
        </w:rPr>
      </w:pPr>
      <w:r>
        <w:rPr>
          <w:rFonts w:ascii="Times New Roman"/>
        </w:rPr>
        <w:t>Project assessment conclusions report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As soon as practicable after the end of the consultation period on the project assessment draft report referred to in paragraph (r), the RIT-T proponent must, having regard to the submissions received, if any, under paragraph (q) and the matters discussed at any meetings held, if any, under paragraph (s), prepare and make available to all </w:t>
      </w:r>
      <w:r>
        <w:rPr>
          <w:i/>
          <w:sz w:val="24"/>
        </w:rPr>
        <w:t>Registered Participants</w:t>
      </w:r>
      <w:r>
        <w:rPr>
          <w:sz w:val="24"/>
        </w:rPr>
        <w:t>, </w:t>
      </w:r>
      <w:r>
        <w:rPr>
          <w:i/>
          <w:sz w:val="24"/>
        </w:rPr>
        <w:t>NTESMO </w:t>
      </w:r>
      <w:r>
        <w:rPr>
          <w:sz w:val="24"/>
        </w:rPr>
        <w:t>and </w:t>
      </w:r>
      <w:r>
        <w:rPr>
          <w:i/>
          <w:sz w:val="24"/>
        </w:rPr>
        <w:t>interested parties </w:t>
      </w:r>
      <w:r>
        <w:rPr>
          <w:sz w:val="24"/>
        </w:rPr>
        <w:t>and </w:t>
      </w:r>
      <w:r>
        <w:rPr>
          <w:i/>
          <w:sz w:val="24"/>
        </w:rPr>
        <w:t>publish </w:t>
      </w:r>
      <w:r>
        <w:rPr>
          <w:sz w:val="24"/>
        </w:rPr>
        <w:t>a report (the project assessment conclusions report).</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RIT-T proponent is exempt from making a project assessment draft report under paragraph (z1);</w:t>
      </w:r>
      <w:r>
        <w:rPr>
          <w:spacing w:val="-2"/>
          <w:sz w:val="24"/>
        </w:rPr>
        <w:t> </w:t>
      </w:r>
      <w:r>
        <w:rPr>
          <w:sz w:val="24"/>
        </w:rPr>
        <w:t>and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a </w:t>
      </w:r>
      <w:r>
        <w:rPr>
          <w:i/>
          <w:sz w:val="24"/>
        </w:rPr>
        <w:t>Network Service Provider </w:t>
      </w:r>
      <w:r>
        <w:rPr>
          <w:sz w:val="24"/>
        </w:rPr>
        <w:t>affected by a RIT-T project, within </w:t>
      </w:r>
      <w:r>
        <w:rPr>
          <w:spacing w:val="-6"/>
          <w:sz w:val="24"/>
        </w:rPr>
        <w:t>12 </w:t>
      </w:r>
      <w:r>
        <w:rPr>
          <w:sz w:val="24"/>
        </w:rPr>
        <w:t>months of the end date of the period for consultation referred to </w:t>
      </w:r>
      <w:r>
        <w:rPr>
          <w:spacing w:val="-6"/>
          <w:sz w:val="24"/>
        </w:rPr>
        <w:t>in </w:t>
      </w:r>
      <w:r>
        <w:rPr>
          <w:sz w:val="24"/>
        </w:rPr>
        <w:t>paragraph (g), or within 12 months of the end date of such longer time period as is agreed in writing by the </w:t>
      </w:r>
      <w:r>
        <w:rPr>
          <w:i/>
          <w:sz w:val="24"/>
        </w:rPr>
        <w:t>AER </w:t>
      </w:r>
      <w:r>
        <w:rPr>
          <w:sz w:val="24"/>
        </w:rPr>
        <w:t>elects to proceed with the proposed </w:t>
      </w:r>
      <w:r>
        <w:rPr>
          <w:i/>
          <w:sz w:val="24"/>
        </w:rPr>
        <w:t>transmission investment</w:t>
      </w:r>
      <w:r>
        <w:rPr>
          <w:sz w:val="24"/>
        </w:rPr>
        <w:t>,</w:t>
      </w:r>
    </w:p>
    <w:p>
      <w:pPr>
        <w:spacing w:before="120"/>
        <w:ind w:left="1919" w:right="414" w:firstLine="0"/>
        <w:jc w:val="both"/>
        <w:rPr>
          <w:sz w:val="24"/>
        </w:rPr>
      </w:pPr>
      <w:r>
        <w:rPr>
          <w:sz w:val="24"/>
        </w:rPr>
        <w:t>the relevant </w:t>
      </w:r>
      <w:r>
        <w:rPr>
          <w:i/>
          <w:sz w:val="24"/>
        </w:rPr>
        <w:t>Network Service Provider </w:t>
      </w:r>
      <w:r>
        <w:rPr>
          <w:sz w:val="24"/>
        </w:rPr>
        <w:t>must, having regard to the submissions received, if any, under paragraph (g) as soon as practicable prepare and make available to all </w:t>
      </w:r>
      <w:r>
        <w:rPr>
          <w:i/>
          <w:sz w:val="24"/>
        </w:rPr>
        <w:t>Registered Participants</w:t>
      </w:r>
      <w:r>
        <w:rPr>
          <w:sz w:val="24"/>
        </w:rPr>
        <w:t>, </w:t>
      </w:r>
      <w:r>
        <w:rPr>
          <w:i/>
          <w:sz w:val="24"/>
        </w:rPr>
        <w:t>NTESMO </w:t>
      </w:r>
      <w:r>
        <w:rPr>
          <w:sz w:val="24"/>
        </w:rPr>
        <w:t>and </w:t>
      </w:r>
      <w:r>
        <w:rPr>
          <w:i/>
          <w:sz w:val="24"/>
        </w:rPr>
        <w:t>interested parties </w:t>
      </w:r>
      <w:r>
        <w:rPr>
          <w:sz w:val="24"/>
        </w:rPr>
        <w:t>and </w:t>
      </w:r>
      <w:r>
        <w:rPr>
          <w:i/>
          <w:sz w:val="24"/>
        </w:rPr>
        <w:t>publish </w:t>
      </w:r>
      <w:r>
        <w:rPr>
          <w:sz w:val="24"/>
        </w:rPr>
        <w:t>a report (the project assessment conclusions report).</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project assessment conclusions report must set</w:t>
      </w:r>
      <w:r>
        <w:rPr>
          <w:spacing w:val="-6"/>
          <w:sz w:val="24"/>
        </w:rPr>
        <w:t> </w:t>
      </w:r>
      <w:r>
        <w:rPr>
          <w:sz w:val="24"/>
        </w:rPr>
        <w:t>out: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the matters detailed in the project assessment draft report as required under paragraph (k);</w:t>
      </w:r>
      <w:r>
        <w:rPr>
          <w:spacing w:val="-1"/>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 summary of, and the RIT-T proponent's response to, </w:t>
      </w:r>
      <w:r>
        <w:rPr>
          <w:spacing w:val="-3"/>
          <w:sz w:val="24"/>
        </w:rPr>
        <w:t>submissions</w:t>
      </w:r>
      <w:r>
        <w:rPr>
          <w:spacing w:val="54"/>
          <w:sz w:val="24"/>
        </w:rPr>
        <w:t> </w:t>
      </w:r>
      <w:r>
        <w:rPr>
          <w:sz w:val="24"/>
        </w:rPr>
        <w:t>received, if any, from </w:t>
      </w:r>
      <w:r>
        <w:rPr>
          <w:i/>
          <w:sz w:val="24"/>
        </w:rPr>
        <w:t>interested parties </w:t>
      </w:r>
      <w:r>
        <w:rPr>
          <w:sz w:val="24"/>
        </w:rPr>
        <w:t>sought under paragraph</w:t>
      </w:r>
      <w:r>
        <w:rPr>
          <w:spacing w:val="-7"/>
          <w:sz w:val="24"/>
        </w:rPr>
        <w:t> </w:t>
      </w:r>
      <w:r>
        <w:rPr>
          <w:sz w:val="24"/>
        </w:rPr>
        <w:t>(q).</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RIT-T proponent</w:t>
      </w:r>
      <w:r>
        <w:rPr>
          <w:spacing w:val="-1"/>
          <w:sz w:val="24"/>
        </w:rPr>
        <w:t> </w:t>
      </w:r>
      <w:r>
        <w:rPr>
          <w:sz w:val="24"/>
        </w:rPr>
        <w:t>must:</w:t>
      </w:r>
    </w:p>
    <w:p>
      <w:pPr>
        <w:spacing w:after="0" w:line="240" w:lineRule="auto"/>
        <w:jc w:val="both"/>
        <w:rPr>
          <w:sz w:val="24"/>
        </w:rPr>
        <w:sectPr>
          <w:pgSz w:w="11910" w:h="16840"/>
          <w:pgMar w:header="686" w:footer="637" w:top="1320" w:bottom="820" w:left="1200" w:right="1000"/>
        </w:sectPr>
      </w:pPr>
    </w:p>
    <w:p>
      <w:pPr>
        <w:pStyle w:val="ListParagraph"/>
        <w:numPr>
          <w:ilvl w:val="4"/>
          <w:numId w:val="231"/>
        </w:numPr>
        <w:tabs>
          <w:tab w:pos="2486" w:val="left" w:leader="none"/>
        </w:tabs>
        <w:spacing w:line="240" w:lineRule="auto" w:before="83" w:after="0"/>
        <w:ind w:left="2486" w:right="415" w:hanging="567"/>
        <w:jc w:val="both"/>
        <w:rPr>
          <w:sz w:val="24"/>
        </w:rPr>
      </w:pPr>
      <w:r>
        <w:rPr>
          <w:sz w:val="24"/>
        </w:rPr>
        <w:t>provide a summary of the project assessment conclusions report to </w:t>
      </w:r>
      <w:r>
        <w:rPr>
          <w:i/>
          <w:sz w:val="24"/>
        </w:rPr>
        <w:t>NTESMO </w:t>
      </w:r>
      <w:r>
        <w:rPr>
          <w:sz w:val="24"/>
        </w:rPr>
        <w:t>within 5 </w:t>
      </w:r>
      <w:r>
        <w:rPr>
          <w:i/>
          <w:sz w:val="24"/>
        </w:rPr>
        <w:t>business days </w:t>
      </w:r>
      <w:r>
        <w:rPr>
          <w:sz w:val="24"/>
        </w:rPr>
        <w:t>of making the project assessment conclusions report;</w:t>
      </w:r>
      <w:r>
        <w:rPr>
          <w:spacing w:val="-1"/>
          <w:sz w:val="24"/>
        </w:rPr>
        <w:t> </w:t>
      </w:r>
      <w:r>
        <w:rPr>
          <w:sz w:val="24"/>
        </w:rPr>
        <w:t>and</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upon request by an </w:t>
      </w:r>
      <w:r>
        <w:rPr>
          <w:i/>
          <w:sz w:val="24"/>
        </w:rPr>
        <w:t>interested party</w:t>
      </w:r>
      <w:r>
        <w:rPr>
          <w:sz w:val="24"/>
        </w:rPr>
        <w:t>, provide a copy of the project assessment conclusions report to that person within 3 </w:t>
      </w:r>
      <w:r>
        <w:rPr>
          <w:i/>
          <w:sz w:val="24"/>
        </w:rPr>
        <w:t>business days </w:t>
      </w:r>
      <w:r>
        <w:rPr>
          <w:sz w:val="24"/>
        </w:rPr>
        <w:t>of the</w:t>
      </w:r>
      <w:r>
        <w:rPr>
          <w:spacing w:val="-1"/>
          <w:sz w:val="24"/>
        </w:rPr>
        <w:t> </w:t>
      </w:r>
      <w:r>
        <w:rPr>
          <w:sz w:val="24"/>
        </w:rPr>
        <w:t>request.</w:t>
      </w:r>
    </w:p>
    <w:p>
      <w:pPr>
        <w:pStyle w:val="ListParagraph"/>
        <w:numPr>
          <w:ilvl w:val="3"/>
          <w:numId w:val="231"/>
        </w:numPr>
        <w:tabs>
          <w:tab w:pos="1919" w:val="left" w:leader="none"/>
        </w:tabs>
        <w:spacing w:line="240" w:lineRule="auto" w:before="120" w:after="0"/>
        <w:ind w:left="1918" w:right="0" w:hanging="567"/>
        <w:jc w:val="both"/>
        <w:rPr>
          <w:i/>
          <w:sz w:val="24"/>
        </w:rPr>
      </w:pPr>
      <w:r>
        <w:rPr>
          <w:sz w:val="24"/>
        </w:rPr>
        <w:t>Within</w:t>
      </w:r>
      <w:r>
        <w:rPr>
          <w:spacing w:val="23"/>
          <w:sz w:val="24"/>
        </w:rPr>
        <w:t> </w:t>
      </w:r>
      <w:r>
        <w:rPr>
          <w:sz w:val="24"/>
        </w:rPr>
        <w:t>3</w:t>
      </w:r>
      <w:r>
        <w:rPr>
          <w:spacing w:val="23"/>
          <w:sz w:val="24"/>
        </w:rPr>
        <w:t> </w:t>
      </w:r>
      <w:r>
        <w:rPr>
          <w:i/>
          <w:sz w:val="24"/>
        </w:rPr>
        <w:t>business</w:t>
      </w:r>
      <w:r>
        <w:rPr>
          <w:i/>
          <w:spacing w:val="24"/>
          <w:sz w:val="24"/>
        </w:rPr>
        <w:t> </w:t>
      </w:r>
      <w:r>
        <w:rPr>
          <w:i/>
          <w:sz w:val="24"/>
        </w:rPr>
        <w:t>days</w:t>
      </w:r>
      <w:r>
        <w:rPr>
          <w:i/>
          <w:spacing w:val="23"/>
          <w:sz w:val="24"/>
        </w:rPr>
        <w:t> </w:t>
      </w:r>
      <w:r>
        <w:rPr>
          <w:sz w:val="24"/>
        </w:rPr>
        <w:t>of</w:t>
      </w:r>
      <w:r>
        <w:rPr>
          <w:spacing w:val="24"/>
          <w:sz w:val="24"/>
        </w:rPr>
        <w:t> </w:t>
      </w:r>
      <w:r>
        <w:rPr>
          <w:sz w:val="24"/>
        </w:rPr>
        <w:t>receipt</w:t>
      </w:r>
      <w:r>
        <w:rPr>
          <w:spacing w:val="23"/>
          <w:sz w:val="24"/>
        </w:rPr>
        <w:t> </w:t>
      </w:r>
      <w:r>
        <w:rPr>
          <w:sz w:val="24"/>
        </w:rPr>
        <w:t>of</w:t>
      </w:r>
      <w:r>
        <w:rPr>
          <w:spacing w:val="24"/>
          <w:sz w:val="24"/>
        </w:rPr>
        <w:t> </w:t>
      </w:r>
      <w:r>
        <w:rPr>
          <w:sz w:val="24"/>
        </w:rPr>
        <w:t>the</w:t>
      </w:r>
      <w:r>
        <w:rPr>
          <w:spacing w:val="23"/>
          <w:sz w:val="24"/>
        </w:rPr>
        <w:t> </w:t>
      </w:r>
      <w:r>
        <w:rPr>
          <w:sz w:val="24"/>
        </w:rPr>
        <w:t>summary,</w:t>
      </w:r>
      <w:r>
        <w:rPr>
          <w:spacing w:val="22"/>
          <w:sz w:val="24"/>
        </w:rPr>
        <w:t> </w:t>
      </w:r>
      <w:r>
        <w:rPr>
          <w:i/>
          <w:sz w:val="24"/>
        </w:rPr>
        <w:t>NTESMO</w:t>
      </w:r>
      <w:r>
        <w:rPr>
          <w:i/>
          <w:spacing w:val="24"/>
          <w:sz w:val="24"/>
        </w:rPr>
        <w:t> </w:t>
      </w:r>
      <w:r>
        <w:rPr>
          <w:sz w:val="24"/>
        </w:rPr>
        <w:t>must</w:t>
      </w:r>
      <w:r>
        <w:rPr>
          <w:spacing w:val="23"/>
          <w:sz w:val="24"/>
        </w:rPr>
        <w:t> </w:t>
      </w:r>
      <w:r>
        <w:rPr>
          <w:i/>
          <w:sz w:val="24"/>
        </w:rPr>
        <w:t>publish</w:t>
      </w:r>
    </w:p>
    <w:p>
      <w:pPr>
        <w:pStyle w:val="BodyText"/>
        <w:spacing w:before="0"/>
        <w:ind w:left="1919" w:firstLine="0"/>
      </w:pPr>
      <w:r>
        <w:rPr/>
        <w:t>the summary of the project assessment conclusions report on its website.</w:t>
      </w:r>
    </w:p>
    <w:p>
      <w:pPr>
        <w:pStyle w:val="ListParagraph"/>
        <w:numPr>
          <w:ilvl w:val="3"/>
          <w:numId w:val="231"/>
        </w:numPr>
        <w:tabs>
          <w:tab w:pos="1919" w:val="left" w:leader="none"/>
        </w:tabs>
        <w:spacing w:line="240" w:lineRule="auto" w:before="120" w:after="0"/>
        <w:ind w:left="1919" w:right="413" w:hanging="567"/>
        <w:jc w:val="both"/>
        <w:rPr>
          <w:sz w:val="24"/>
        </w:rPr>
      </w:pPr>
      <w:r>
        <w:rPr>
          <w:sz w:val="24"/>
        </w:rPr>
        <w:t>A RIT-T proponent that is a </w:t>
      </w:r>
      <w:r>
        <w:rPr>
          <w:i/>
          <w:sz w:val="24"/>
        </w:rPr>
        <w:t>Transmission Network Service Provider </w:t>
      </w:r>
      <w:r>
        <w:rPr>
          <w:sz w:val="24"/>
        </w:rPr>
        <w:t>may discharge its obligation under paragraph (t) and (u) to make the project assessment conclusions report available by including the project assessment conclusions report as part of its </w:t>
      </w:r>
      <w:r>
        <w:rPr>
          <w:i/>
          <w:sz w:val="24"/>
        </w:rPr>
        <w:t>Transmission Annual Planning Report </w:t>
      </w:r>
      <w:r>
        <w:rPr>
          <w:sz w:val="24"/>
        </w:rPr>
        <w:t>provided that the report is </w:t>
      </w:r>
      <w:r>
        <w:rPr>
          <w:i/>
          <w:sz w:val="24"/>
        </w:rPr>
        <w:t>published </w:t>
      </w:r>
      <w:r>
        <w:rPr>
          <w:sz w:val="24"/>
        </w:rPr>
        <w:t>within 4 weeks from the date of making available the project assessment conclusions report under paragraph (t) or (u), as the case may</w:t>
      </w:r>
      <w:r>
        <w:rPr>
          <w:spacing w:val="-2"/>
          <w:sz w:val="24"/>
        </w:rPr>
        <w:t> </w:t>
      </w:r>
      <w:r>
        <w:rPr>
          <w:sz w:val="24"/>
        </w:rPr>
        <w:t>be.</w:t>
      </w:r>
    </w:p>
    <w:p>
      <w:pPr>
        <w:pStyle w:val="ListParagraph"/>
        <w:numPr>
          <w:ilvl w:val="3"/>
          <w:numId w:val="231"/>
        </w:numPr>
        <w:tabs>
          <w:tab w:pos="1919" w:val="left" w:leader="none"/>
        </w:tabs>
        <w:spacing w:line="240" w:lineRule="auto" w:before="120" w:after="0"/>
        <w:ind w:left="1919" w:right="413" w:hanging="567"/>
        <w:jc w:val="both"/>
        <w:rPr>
          <w:sz w:val="24"/>
        </w:rPr>
      </w:pPr>
      <w:r>
        <w:rPr>
          <w:sz w:val="24"/>
        </w:rPr>
        <w:t>A RIT-T proponent that is a </w:t>
      </w:r>
      <w:r>
        <w:rPr>
          <w:i/>
          <w:sz w:val="24"/>
        </w:rPr>
        <w:t>Distribution Network Service Provider </w:t>
      </w:r>
      <w:r>
        <w:rPr>
          <w:sz w:val="24"/>
        </w:rPr>
        <w:t>may discharge its obligation under paragraph (t) and (u) to make the project assessment conclusions report available by including the project assessment conclusions report as part of its </w:t>
      </w:r>
      <w:r>
        <w:rPr>
          <w:i/>
          <w:sz w:val="24"/>
        </w:rPr>
        <w:t>Distribution Annual Planning Report </w:t>
      </w:r>
      <w:r>
        <w:rPr>
          <w:sz w:val="24"/>
        </w:rPr>
        <w:t>provided that the report is </w:t>
      </w:r>
      <w:r>
        <w:rPr>
          <w:i/>
          <w:sz w:val="24"/>
        </w:rPr>
        <w:t>published </w:t>
      </w:r>
      <w:r>
        <w:rPr>
          <w:sz w:val="24"/>
        </w:rPr>
        <w:t>within 4 weeks from the date of making available the project assessment conclusions report under paragraph (t) or (u), as the case may</w:t>
      </w:r>
      <w:r>
        <w:rPr>
          <w:spacing w:val="-2"/>
          <w:sz w:val="24"/>
        </w:rPr>
        <w:t> </w:t>
      </w:r>
      <w:r>
        <w:rPr>
          <w:sz w:val="24"/>
        </w:rPr>
        <w:t>be.</w:t>
      </w:r>
    </w:p>
    <w:p>
      <w:pPr>
        <w:pStyle w:val="Heading4"/>
        <w:spacing w:before="120"/>
        <w:ind w:left="1352" w:right="416" w:firstLine="0"/>
        <w:jc w:val="both"/>
        <w:rPr>
          <w:rFonts w:ascii="Times New Roman"/>
        </w:rPr>
      </w:pPr>
      <w:r>
        <w:rPr>
          <w:rFonts w:ascii="Times New Roman"/>
        </w:rPr>
        <w:t>Exemption from drafting a project assessment draft report for RIT-T projects without material market benefits</w:t>
      </w:r>
    </w:p>
    <w:p>
      <w:pPr>
        <w:pStyle w:val="BodyText"/>
        <w:ind w:left="1352" w:firstLine="0"/>
      </w:pPr>
      <w:r>
        <w:rPr/>
        <w:t>(z1) A RIT-T proponent is exempt from paragraphs (j) to (s) if:</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w:t>
      </w:r>
      <w:r>
        <w:rPr>
          <w:spacing w:val="8"/>
          <w:sz w:val="24"/>
        </w:rPr>
        <w:t> </w:t>
      </w:r>
      <w:r>
        <w:rPr>
          <w:sz w:val="24"/>
        </w:rPr>
        <w:t>estimated</w:t>
      </w:r>
      <w:r>
        <w:rPr>
          <w:spacing w:val="9"/>
          <w:sz w:val="24"/>
        </w:rPr>
        <w:t> </w:t>
      </w:r>
      <w:r>
        <w:rPr>
          <w:sz w:val="24"/>
        </w:rPr>
        <w:t>capital</w:t>
      </w:r>
      <w:r>
        <w:rPr>
          <w:spacing w:val="9"/>
          <w:sz w:val="24"/>
        </w:rPr>
        <w:t> </w:t>
      </w:r>
      <w:r>
        <w:rPr>
          <w:sz w:val="24"/>
        </w:rPr>
        <w:t>cost</w:t>
      </w:r>
      <w:r>
        <w:rPr>
          <w:spacing w:val="9"/>
          <w:sz w:val="24"/>
        </w:rPr>
        <w:t> </w:t>
      </w:r>
      <w:r>
        <w:rPr>
          <w:sz w:val="24"/>
        </w:rPr>
        <w:t>of</w:t>
      </w:r>
      <w:r>
        <w:rPr>
          <w:spacing w:val="8"/>
          <w:sz w:val="24"/>
        </w:rPr>
        <w:t> </w:t>
      </w:r>
      <w:r>
        <w:rPr>
          <w:sz w:val="24"/>
        </w:rPr>
        <w:t>the</w:t>
      </w:r>
      <w:r>
        <w:rPr>
          <w:spacing w:val="9"/>
          <w:sz w:val="24"/>
        </w:rPr>
        <w:t> </w:t>
      </w:r>
      <w:r>
        <w:rPr>
          <w:sz w:val="24"/>
        </w:rPr>
        <w:t>proposed</w:t>
      </w:r>
      <w:r>
        <w:rPr>
          <w:spacing w:val="9"/>
          <w:sz w:val="24"/>
        </w:rPr>
        <w:t> </w:t>
      </w:r>
      <w:r>
        <w:rPr>
          <w:sz w:val="24"/>
        </w:rPr>
        <w:t>preferred</w:t>
      </w:r>
      <w:r>
        <w:rPr>
          <w:spacing w:val="9"/>
          <w:sz w:val="24"/>
        </w:rPr>
        <w:t> </w:t>
      </w:r>
      <w:r>
        <w:rPr>
          <w:sz w:val="24"/>
        </w:rPr>
        <w:t>option</w:t>
      </w:r>
      <w:r>
        <w:rPr>
          <w:spacing w:val="8"/>
          <w:sz w:val="24"/>
        </w:rPr>
        <w:t> </w:t>
      </w:r>
      <w:r>
        <w:rPr>
          <w:sz w:val="24"/>
        </w:rPr>
        <w:t>is</w:t>
      </w:r>
      <w:r>
        <w:rPr>
          <w:spacing w:val="9"/>
          <w:sz w:val="24"/>
        </w:rPr>
        <w:t> </w:t>
      </w:r>
      <w:r>
        <w:rPr>
          <w:sz w:val="24"/>
        </w:rPr>
        <w:t>less</w:t>
      </w:r>
      <w:r>
        <w:rPr>
          <w:spacing w:val="9"/>
          <w:sz w:val="24"/>
        </w:rPr>
        <w:t> </w:t>
      </w:r>
      <w:r>
        <w:rPr>
          <w:sz w:val="24"/>
        </w:rPr>
        <w:t>than</w:t>
      </w:r>
    </w:p>
    <w:p>
      <w:pPr>
        <w:pStyle w:val="BodyText"/>
        <w:spacing w:before="0"/>
        <w:ind w:left="2486" w:right="416" w:firstLine="0"/>
      </w:pPr>
      <w:r>
        <w:rPr/>
        <w:t>$35 million (as varied in accordance with a cost threshold determination);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relevant </w:t>
      </w:r>
      <w:r>
        <w:rPr>
          <w:i/>
          <w:sz w:val="24"/>
        </w:rPr>
        <w:t>Network Service Provider </w:t>
      </w:r>
      <w:r>
        <w:rPr>
          <w:sz w:val="24"/>
        </w:rPr>
        <w:t>has identified in its project specification consultation</w:t>
      </w:r>
      <w:r>
        <w:rPr>
          <w:spacing w:val="-1"/>
          <w:sz w:val="24"/>
        </w:rPr>
        <w:t> </w:t>
      </w:r>
      <w:r>
        <w:rPr>
          <w:sz w:val="24"/>
        </w:rPr>
        <w:t>report:</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its proposed preferred</w:t>
      </w:r>
      <w:r>
        <w:rPr>
          <w:spacing w:val="-1"/>
          <w:sz w:val="24"/>
        </w:rPr>
        <w:t> </w:t>
      </w:r>
      <w:r>
        <w:rPr>
          <w:sz w:val="24"/>
        </w:rPr>
        <w:t>option;</w:t>
      </w:r>
    </w:p>
    <w:p>
      <w:pPr>
        <w:pStyle w:val="ListParagraph"/>
        <w:numPr>
          <w:ilvl w:val="5"/>
          <w:numId w:val="231"/>
        </w:numPr>
        <w:tabs>
          <w:tab w:pos="3052" w:val="left" w:leader="none"/>
          <w:tab w:pos="3054" w:val="left" w:leader="none"/>
        </w:tabs>
        <w:spacing w:line="240" w:lineRule="auto" w:before="120" w:after="0"/>
        <w:ind w:left="3053" w:right="0" w:hanging="568"/>
        <w:jc w:val="left"/>
        <w:rPr>
          <w:sz w:val="24"/>
        </w:rPr>
      </w:pPr>
      <w:r>
        <w:rPr>
          <w:sz w:val="24"/>
        </w:rPr>
        <w:t>its reasons for the proposed preferred option;</w:t>
      </w:r>
      <w:r>
        <w:rPr>
          <w:spacing w:val="-1"/>
          <w:sz w:val="24"/>
        </w:rPr>
        <w:t> </w:t>
      </w:r>
      <w:r>
        <w:rPr>
          <w:sz w:val="24"/>
        </w:rPr>
        <w:t>and</w:t>
      </w:r>
    </w:p>
    <w:p>
      <w:pPr>
        <w:pStyle w:val="ListParagraph"/>
        <w:numPr>
          <w:ilvl w:val="5"/>
          <w:numId w:val="231"/>
        </w:numPr>
        <w:tabs>
          <w:tab w:pos="3052" w:val="left" w:leader="none"/>
          <w:tab w:pos="3053" w:val="left" w:leader="none"/>
        </w:tabs>
        <w:spacing w:line="240" w:lineRule="auto" w:before="120" w:after="0"/>
        <w:ind w:left="3052" w:right="0" w:hanging="567"/>
        <w:jc w:val="left"/>
        <w:rPr>
          <w:sz w:val="24"/>
        </w:rPr>
      </w:pPr>
      <w:r>
        <w:rPr>
          <w:sz w:val="24"/>
        </w:rPr>
        <w:t>that its RIT-T project has the benefit of this</w:t>
      </w:r>
      <w:r>
        <w:rPr>
          <w:spacing w:val="-3"/>
          <w:sz w:val="24"/>
        </w:rPr>
        <w:t> </w:t>
      </w:r>
      <w:r>
        <w:rPr>
          <w:sz w:val="24"/>
        </w:rPr>
        <w:t>exemption;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RIT-T proponent considers, in accordance with</w:t>
      </w:r>
      <w:r>
        <w:rPr>
          <w:spacing w:val="33"/>
          <w:sz w:val="24"/>
        </w:rPr>
        <w:t> </w:t>
      </w:r>
      <w:r>
        <w:rPr>
          <w:sz w:val="24"/>
        </w:rPr>
        <w:t>clause 5.16.1(c)(6), that the proposed preferred option and any other credible option in respect of the </w:t>
      </w:r>
      <w:r>
        <w:rPr>
          <w:i/>
          <w:sz w:val="24"/>
        </w:rPr>
        <w:t>identified need </w:t>
      </w:r>
      <w:r>
        <w:rPr>
          <w:sz w:val="24"/>
        </w:rPr>
        <w:t>will not have a material market benefit for the classes of market benefit specified in clause 5.16.1(c)(4) except those classes specified in clauses 5.16.1(c)(4)(ii) and (iii), and has stated this in its project specification consultation report;</w:t>
      </w:r>
      <w:r>
        <w:rPr>
          <w:spacing w:val="-1"/>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RIT-T proponent forms the view that no submissions were received on the project specification consultation report which identified additional credible options that could deliver a material market</w:t>
      </w:r>
      <w:r>
        <w:rPr>
          <w:spacing w:val="-1"/>
          <w:sz w:val="24"/>
        </w:rPr>
        <w:t> </w:t>
      </w:r>
      <w:r>
        <w:rPr>
          <w:sz w:val="24"/>
        </w:rPr>
        <w:t>benefit.</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pPr>
      <w:r>
        <w:rPr/>
        <w:t>(z2) The RIT-T proponent must address in the project assessment conclusions report any issues that were raised in relation to a proposed preferred option to which paragraph (z1) applies during the consultation on the project specification consultation report.</w:t>
      </w:r>
    </w:p>
    <w:p>
      <w:pPr>
        <w:pStyle w:val="Heading4"/>
        <w:spacing w:before="120"/>
        <w:ind w:left="1352" w:firstLine="0"/>
        <w:jc w:val="both"/>
        <w:rPr>
          <w:rFonts w:ascii="Times New Roman"/>
        </w:rPr>
      </w:pPr>
      <w:r>
        <w:rPr>
          <w:rFonts w:ascii="Times New Roman"/>
        </w:rPr>
        <w:t>Reapplication of regulatory investment test for transmission</w:t>
      </w:r>
    </w:p>
    <w:p>
      <w:pPr>
        <w:pStyle w:val="BodyText"/>
        <w:ind w:left="1352" w:firstLine="0"/>
      </w:pPr>
      <w:r>
        <w:rPr/>
        <w:t>(z3) If:</w:t>
      </w:r>
    </w:p>
    <w:p>
      <w:pPr>
        <w:pStyle w:val="ListParagraph"/>
        <w:numPr>
          <w:ilvl w:val="0"/>
          <w:numId w:val="232"/>
        </w:numPr>
        <w:tabs>
          <w:tab w:pos="2486" w:val="left" w:leader="none"/>
        </w:tabs>
        <w:spacing w:line="240" w:lineRule="auto" w:before="120" w:after="0"/>
        <w:ind w:left="2486" w:right="415" w:hanging="567"/>
        <w:jc w:val="both"/>
        <w:rPr>
          <w:sz w:val="24"/>
        </w:rPr>
      </w:pPr>
      <w:r>
        <w:rPr>
          <w:sz w:val="24"/>
        </w:rPr>
        <w:t>a RIT-T proponent has </w:t>
      </w:r>
      <w:r>
        <w:rPr>
          <w:i/>
          <w:sz w:val="24"/>
        </w:rPr>
        <w:t>published </w:t>
      </w:r>
      <w:r>
        <w:rPr>
          <w:sz w:val="24"/>
        </w:rPr>
        <w:t>a project assessment conclusions report in respect of a RIT-T</w:t>
      </w:r>
      <w:r>
        <w:rPr>
          <w:spacing w:val="-1"/>
          <w:sz w:val="24"/>
        </w:rPr>
        <w:t> </w:t>
      </w:r>
      <w:r>
        <w:rPr>
          <w:sz w:val="24"/>
        </w:rPr>
        <w:t>project;</w:t>
      </w:r>
    </w:p>
    <w:p>
      <w:pPr>
        <w:pStyle w:val="ListParagraph"/>
        <w:numPr>
          <w:ilvl w:val="0"/>
          <w:numId w:val="232"/>
        </w:numPr>
        <w:tabs>
          <w:tab w:pos="2486" w:val="left" w:leader="none"/>
        </w:tabs>
        <w:spacing w:line="240" w:lineRule="auto" w:before="120" w:after="0"/>
        <w:ind w:left="2486" w:right="417" w:hanging="567"/>
        <w:jc w:val="both"/>
        <w:rPr>
          <w:sz w:val="24"/>
        </w:rPr>
      </w:pPr>
      <w:r>
        <w:rPr>
          <w:sz w:val="24"/>
        </w:rPr>
        <w:t>a </w:t>
      </w:r>
      <w:r>
        <w:rPr>
          <w:i/>
          <w:sz w:val="24"/>
        </w:rPr>
        <w:t>Network Service Provider </w:t>
      </w:r>
      <w:r>
        <w:rPr>
          <w:sz w:val="24"/>
        </w:rPr>
        <w:t>still wishes to undertake the RIT-T project to address the </w:t>
      </w:r>
      <w:r>
        <w:rPr>
          <w:i/>
          <w:sz w:val="24"/>
        </w:rPr>
        <w:t>identified need</w:t>
      </w:r>
      <w:r>
        <w:rPr>
          <w:sz w:val="24"/>
        </w:rPr>
        <w:t>;</w:t>
      </w:r>
      <w:r>
        <w:rPr>
          <w:spacing w:val="-1"/>
          <w:sz w:val="24"/>
        </w:rPr>
        <w:t> </w:t>
      </w:r>
      <w:r>
        <w:rPr>
          <w:sz w:val="24"/>
        </w:rPr>
        <w:t>and</w:t>
      </w:r>
    </w:p>
    <w:p>
      <w:pPr>
        <w:pStyle w:val="ListParagraph"/>
        <w:numPr>
          <w:ilvl w:val="0"/>
          <w:numId w:val="232"/>
        </w:numPr>
        <w:tabs>
          <w:tab w:pos="2486" w:val="left" w:leader="none"/>
        </w:tabs>
        <w:spacing w:line="240" w:lineRule="auto" w:before="120" w:after="0"/>
        <w:ind w:left="2486" w:right="414" w:hanging="567"/>
        <w:jc w:val="both"/>
        <w:rPr>
          <w:sz w:val="24"/>
        </w:rPr>
      </w:pPr>
      <w:r>
        <w:rPr>
          <w:sz w:val="24"/>
        </w:rPr>
        <w:t>there has been a material change in circumstances which, in the reasonable opinion of the RIT-T proponent means that the preferred option identified in the project assessment conclusions report is no longer the preferred</w:t>
      </w:r>
      <w:r>
        <w:rPr>
          <w:spacing w:val="-1"/>
          <w:sz w:val="24"/>
        </w:rPr>
        <w:t> </w:t>
      </w:r>
      <w:r>
        <w:rPr>
          <w:sz w:val="24"/>
        </w:rPr>
        <w:t>option,</w:t>
      </w:r>
    </w:p>
    <w:p>
      <w:pPr>
        <w:spacing w:before="120"/>
        <w:ind w:left="1919" w:right="416" w:firstLine="0"/>
        <w:jc w:val="both"/>
        <w:rPr>
          <w:sz w:val="24"/>
        </w:rPr>
      </w:pPr>
      <w:r>
        <w:rPr>
          <w:sz w:val="24"/>
        </w:rPr>
        <w:t>then the RIT-T proponent must reapply the </w:t>
      </w:r>
      <w:r>
        <w:rPr>
          <w:i/>
          <w:sz w:val="24"/>
        </w:rPr>
        <w:t>regulatory investment test for </w:t>
      </w:r>
      <w:r>
        <w:rPr>
          <w:i/>
          <w:sz w:val="24"/>
        </w:rPr>
        <w:t>transmission </w:t>
      </w:r>
      <w:r>
        <w:rPr>
          <w:sz w:val="24"/>
        </w:rPr>
        <w:t>to the RIT-T project, unless otherwise determined by the </w:t>
      </w:r>
      <w:r>
        <w:rPr>
          <w:i/>
          <w:sz w:val="24"/>
        </w:rPr>
        <w:t>AER</w:t>
      </w:r>
      <w:r>
        <w:rPr>
          <w:sz w:val="24"/>
        </w:rPr>
        <w:t>.</w:t>
      </w:r>
    </w:p>
    <w:p>
      <w:pPr>
        <w:pStyle w:val="BodyText"/>
        <w:ind w:left="1919" w:right="414"/>
      </w:pPr>
      <w:r>
        <w:rPr/>
        <w:t>(z4) For the purposes of paragraph (z3), a material change in circumstances may include, but is not limited to, a change to the key assumptions used in identifying:</w:t>
      </w:r>
    </w:p>
    <w:p>
      <w:pPr>
        <w:pStyle w:val="ListParagraph"/>
        <w:numPr>
          <w:ilvl w:val="0"/>
          <w:numId w:val="233"/>
        </w:numPr>
        <w:tabs>
          <w:tab w:pos="2486" w:val="left" w:leader="none"/>
        </w:tabs>
        <w:spacing w:line="240" w:lineRule="auto" w:before="120" w:after="0"/>
        <w:ind w:left="2486" w:right="416" w:hanging="567"/>
        <w:jc w:val="both"/>
        <w:rPr>
          <w:sz w:val="24"/>
        </w:rPr>
      </w:pPr>
      <w:r>
        <w:rPr>
          <w:sz w:val="24"/>
        </w:rPr>
        <w:t>the </w:t>
      </w:r>
      <w:r>
        <w:rPr>
          <w:i/>
          <w:sz w:val="24"/>
        </w:rPr>
        <w:t>identified need </w:t>
      </w:r>
      <w:r>
        <w:rPr>
          <w:sz w:val="24"/>
        </w:rPr>
        <w:t>described in the project assessment conclusions report; or</w:t>
      </w:r>
    </w:p>
    <w:p>
      <w:pPr>
        <w:pStyle w:val="ListParagraph"/>
        <w:numPr>
          <w:ilvl w:val="0"/>
          <w:numId w:val="233"/>
        </w:numPr>
        <w:tabs>
          <w:tab w:pos="2486" w:val="left" w:leader="none"/>
        </w:tabs>
        <w:spacing w:line="240" w:lineRule="auto" w:before="120" w:after="0"/>
        <w:ind w:left="2486" w:right="414" w:hanging="567"/>
        <w:jc w:val="both"/>
        <w:rPr>
          <w:sz w:val="24"/>
        </w:rPr>
      </w:pPr>
      <w:r>
        <w:rPr>
          <w:sz w:val="24"/>
        </w:rPr>
        <w:t>the credible options assessed in the project assessment conclusions report.</w:t>
      </w:r>
    </w:p>
    <w:p>
      <w:pPr>
        <w:pStyle w:val="BodyText"/>
        <w:ind w:left="1919" w:right="415"/>
      </w:pPr>
      <w:r>
        <w:rPr/>
        <w:t>(z5) When making a determination under paragraph (z3) the </w:t>
      </w:r>
      <w:r>
        <w:rPr>
          <w:i/>
        </w:rPr>
        <w:t>AER </w:t>
      </w:r>
      <w:r>
        <w:rPr/>
        <w:t>must </w:t>
      </w:r>
      <w:r>
        <w:rPr>
          <w:spacing w:val="-3"/>
        </w:rPr>
        <w:t>have </w:t>
      </w:r>
      <w:r>
        <w:rPr/>
        <w:t>regard to:</w:t>
      </w:r>
    </w:p>
    <w:p>
      <w:pPr>
        <w:pStyle w:val="ListParagraph"/>
        <w:numPr>
          <w:ilvl w:val="0"/>
          <w:numId w:val="234"/>
        </w:numPr>
        <w:tabs>
          <w:tab w:pos="2486" w:val="left" w:leader="none"/>
        </w:tabs>
        <w:spacing w:line="240" w:lineRule="auto" w:before="120" w:after="0"/>
        <w:ind w:left="2486" w:right="415" w:hanging="567"/>
        <w:jc w:val="both"/>
        <w:rPr>
          <w:sz w:val="24"/>
        </w:rPr>
      </w:pPr>
      <w:r>
        <w:rPr>
          <w:sz w:val="24"/>
        </w:rPr>
        <w:t>the credible options (other than the preferred option) identified in the project assessment conclusions</w:t>
      </w:r>
      <w:r>
        <w:rPr>
          <w:spacing w:val="-2"/>
          <w:sz w:val="24"/>
        </w:rPr>
        <w:t> </w:t>
      </w:r>
      <w:r>
        <w:rPr>
          <w:sz w:val="24"/>
        </w:rPr>
        <w:t>report;</w:t>
      </w:r>
    </w:p>
    <w:p>
      <w:pPr>
        <w:pStyle w:val="ListParagraph"/>
        <w:numPr>
          <w:ilvl w:val="0"/>
          <w:numId w:val="234"/>
        </w:numPr>
        <w:tabs>
          <w:tab w:pos="2486" w:val="left" w:leader="none"/>
        </w:tabs>
        <w:spacing w:line="240" w:lineRule="auto" w:before="120" w:after="0"/>
        <w:ind w:left="2485" w:right="0" w:hanging="567"/>
        <w:jc w:val="both"/>
        <w:rPr>
          <w:sz w:val="24"/>
        </w:rPr>
      </w:pPr>
      <w:r>
        <w:rPr>
          <w:sz w:val="24"/>
        </w:rPr>
        <w:t>the change in circumstances identified by the RIT-T proponent;</w:t>
      </w:r>
      <w:r>
        <w:rPr>
          <w:spacing w:val="-3"/>
          <w:sz w:val="24"/>
        </w:rPr>
        <w:t> </w:t>
      </w:r>
      <w:r>
        <w:rPr>
          <w:sz w:val="24"/>
        </w:rPr>
        <w:t>and</w:t>
      </w:r>
    </w:p>
    <w:p>
      <w:pPr>
        <w:pStyle w:val="ListParagraph"/>
        <w:numPr>
          <w:ilvl w:val="0"/>
          <w:numId w:val="234"/>
        </w:numPr>
        <w:tabs>
          <w:tab w:pos="2486" w:val="left" w:leader="none"/>
        </w:tabs>
        <w:spacing w:line="240" w:lineRule="auto" w:before="120" w:after="0"/>
        <w:ind w:left="2486" w:right="416" w:hanging="567"/>
        <w:jc w:val="both"/>
        <w:rPr>
          <w:sz w:val="24"/>
        </w:rPr>
      </w:pPr>
      <w:r>
        <w:rPr>
          <w:sz w:val="24"/>
        </w:rPr>
        <w:t>whether a failure to promptly undertake the RIT-T project is likely </w:t>
      </w:r>
      <w:r>
        <w:rPr>
          <w:spacing w:val="-6"/>
          <w:sz w:val="24"/>
        </w:rPr>
        <w:t>to </w:t>
      </w:r>
      <w:r>
        <w:rPr>
          <w:sz w:val="24"/>
        </w:rPr>
        <w:t>materially affect the </w:t>
      </w:r>
      <w:r>
        <w:rPr>
          <w:i/>
          <w:sz w:val="24"/>
        </w:rPr>
        <w:t>reliability </w:t>
      </w:r>
      <w:r>
        <w:rPr>
          <w:sz w:val="24"/>
        </w:rPr>
        <w:t>and </w:t>
      </w:r>
      <w:r>
        <w:rPr>
          <w:i/>
          <w:sz w:val="24"/>
        </w:rPr>
        <w:t>secure operating state </w:t>
      </w:r>
      <w:r>
        <w:rPr>
          <w:sz w:val="24"/>
        </w:rPr>
        <w:t>of the </w:t>
      </w:r>
      <w:r>
        <w:rPr>
          <w:i/>
          <w:sz w:val="24"/>
        </w:rPr>
        <w:t>transmission network </w:t>
      </w:r>
      <w:r>
        <w:rPr>
          <w:sz w:val="24"/>
        </w:rPr>
        <w:t>or a significant part of that</w:t>
      </w:r>
      <w:r>
        <w:rPr>
          <w:spacing w:val="-3"/>
          <w:sz w:val="24"/>
        </w:rPr>
        <w:t> </w:t>
      </w:r>
      <w:r>
        <w:rPr>
          <w:i/>
          <w:sz w:val="24"/>
        </w:rPr>
        <w:t>network</w:t>
      </w:r>
      <w:r>
        <w:rPr>
          <w:sz w:val="24"/>
        </w:rPr>
        <w:t>.</w:t>
      </w:r>
    </w:p>
    <w:p>
      <w:pPr>
        <w:pStyle w:val="Heading4"/>
        <w:spacing w:before="120"/>
        <w:ind w:left="1352" w:right="416" w:firstLine="0"/>
        <w:jc w:val="both"/>
        <w:rPr>
          <w:rFonts w:ascii="Times New Roman"/>
        </w:rPr>
      </w:pPr>
      <w:r>
        <w:rPr>
          <w:rFonts w:ascii="Times New Roman"/>
        </w:rPr>
        <w:t>Declared transmission system operator may request assistance from AEMO to conduct market benefits assessments for replacement RIT-T projects</w:t>
      </w:r>
    </w:p>
    <w:p>
      <w:pPr>
        <w:spacing w:before="120"/>
        <w:ind w:left="1919" w:right="414" w:hanging="567"/>
        <w:jc w:val="both"/>
        <w:rPr>
          <w:sz w:val="24"/>
        </w:rPr>
      </w:pPr>
      <w:r>
        <w:rPr>
          <w:sz w:val="24"/>
        </w:rPr>
        <w:t>(z6) Where a RIT-T proponent is a </w:t>
      </w:r>
      <w:r>
        <w:rPr>
          <w:i/>
          <w:sz w:val="24"/>
        </w:rPr>
        <w:t>declared transmission system operator </w:t>
      </w:r>
      <w:r>
        <w:rPr>
          <w:sz w:val="24"/>
        </w:rPr>
        <w:t>within a </w:t>
      </w:r>
      <w:r>
        <w:rPr>
          <w:i/>
          <w:sz w:val="24"/>
        </w:rPr>
        <w:t>declared shared network</w:t>
      </w:r>
      <w:r>
        <w:rPr>
          <w:sz w:val="24"/>
        </w:rPr>
        <w:t>, it may in relation to RIT-T projects to address  an </w:t>
      </w:r>
      <w:r>
        <w:rPr>
          <w:i/>
          <w:sz w:val="24"/>
        </w:rPr>
        <w:t>identified need </w:t>
      </w:r>
      <w:r>
        <w:rPr>
          <w:sz w:val="24"/>
        </w:rPr>
        <w:t>that arises from the retirement or de-rating of </w:t>
      </w:r>
      <w:r>
        <w:rPr>
          <w:i/>
          <w:sz w:val="24"/>
        </w:rPr>
        <w:t>network </w:t>
      </w:r>
      <w:r>
        <w:rPr>
          <w:sz w:val="24"/>
        </w:rPr>
        <w:t>assets, request assistance and information from </w:t>
      </w:r>
      <w:r>
        <w:rPr>
          <w:i/>
          <w:sz w:val="24"/>
        </w:rPr>
        <w:t>AEMO </w:t>
      </w:r>
      <w:r>
        <w:rPr>
          <w:sz w:val="24"/>
        </w:rPr>
        <w:t>as reasonably required for it to consider and conduct market benefits assessments as required by:</w:t>
      </w:r>
    </w:p>
    <w:p>
      <w:pPr>
        <w:pStyle w:val="BodyText"/>
        <w:ind w:left="1919" w:firstLine="0"/>
      </w:pPr>
      <w:r>
        <w:rPr/>
        <w:t>(1) clause 5.16.4(b)(6)(iii);</w:t>
      </w:r>
    </w:p>
    <w:p>
      <w:pPr>
        <w:pStyle w:val="BodyText"/>
        <w:spacing w:line="343" w:lineRule="auto"/>
        <w:ind w:left="1919" w:right="4059" w:firstLine="0"/>
      </w:pPr>
      <w:r>
        <w:rPr/>
        <w:t>(2) clause 5.16.4(k)(3) to (k)(6); and (3) clause 5.16.4(v).</w:t>
      </w:r>
    </w:p>
    <w:p>
      <w:pPr>
        <w:spacing w:after="0" w:line="343" w:lineRule="auto"/>
        <w:sectPr>
          <w:pgSz w:w="11910" w:h="16840"/>
          <w:pgMar w:header="686" w:footer="637" w:top="1320" w:bottom="820" w:left="1200" w:right="1000"/>
        </w:sectPr>
      </w:pPr>
    </w:p>
    <w:p>
      <w:pPr>
        <w:spacing w:before="83"/>
        <w:ind w:left="1919" w:right="414" w:hanging="567"/>
        <w:jc w:val="both"/>
        <w:rPr>
          <w:sz w:val="24"/>
        </w:rPr>
      </w:pPr>
      <w:r>
        <w:rPr>
          <w:sz w:val="24"/>
        </w:rPr>
        <w:t>(z7) </w:t>
      </w:r>
      <w:r>
        <w:rPr>
          <w:i/>
          <w:sz w:val="24"/>
        </w:rPr>
        <w:t>AEMO </w:t>
      </w:r>
      <w:r>
        <w:rPr>
          <w:sz w:val="24"/>
        </w:rPr>
        <w:t>must provide assistance and information requested under paragraph (z6) to the </w:t>
      </w:r>
      <w:r>
        <w:rPr>
          <w:i/>
          <w:sz w:val="24"/>
        </w:rPr>
        <w:t>declared transmission system operator </w:t>
      </w:r>
      <w:r>
        <w:rPr>
          <w:sz w:val="24"/>
        </w:rPr>
        <w:t>within a reasonable  period of</w:t>
      </w:r>
      <w:r>
        <w:rPr>
          <w:spacing w:val="-1"/>
          <w:sz w:val="24"/>
        </w:rPr>
        <w:t> </w:t>
      </w:r>
      <w:r>
        <w:rPr>
          <w:sz w:val="24"/>
        </w:rPr>
        <w:t>time.</w:t>
      </w:r>
    </w:p>
    <w:p>
      <w:pPr>
        <w:pStyle w:val="BodyText"/>
        <w:spacing w:before="10"/>
        <w:ind w:firstLine="0"/>
        <w:jc w:val="left"/>
        <w:rPr>
          <w:sz w:val="20"/>
        </w:rPr>
      </w:pPr>
    </w:p>
    <w:p>
      <w:pPr>
        <w:pStyle w:val="Heading4"/>
        <w:numPr>
          <w:ilvl w:val="2"/>
          <w:numId w:val="231"/>
        </w:numPr>
        <w:tabs>
          <w:tab w:pos="1351" w:val="left" w:leader="none"/>
          <w:tab w:pos="1352" w:val="left" w:leader="none"/>
        </w:tabs>
        <w:spacing w:line="240" w:lineRule="auto" w:before="0" w:after="0"/>
        <w:ind w:left="1352" w:right="753" w:hanging="1134"/>
        <w:jc w:val="left"/>
      </w:pPr>
      <w:bookmarkStart w:name="5.16.5 Disputes in relation to applicati" w:id="747"/>
      <w:bookmarkEnd w:id="747"/>
      <w:r>
        <w:rPr>
          <w:b w:val="0"/>
        </w:rPr>
      </w:r>
      <w:bookmarkStart w:name="_bookmark289" w:id="748"/>
      <w:bookmarkEnd w:id="748"/>
      <w:r>
        <w:rPr>
          <w:b w:val="0"/>
        </w:rPr>
      </w:r>
      <w:bookmarkStart w:name="_bookmark289" w:id="749"/>
      <w:bookmarkEnd w:id="749"/>
      <w:r>
        <w:rPr/>
        <w:t>Dispute</w:t>
      </w:r>
      <w:r>
        <w:rPr/>
        <w:t>s in relation to application of regulatory investment test for transmission</w:t>
      </w:r>
    </w:p>
    <w:p>
      <w:pPr>
        <w:pStyle w:val="ListParagraph"/>
        <w:numPr>
          <w:ilvl w:val="3"/>
          <w:numId w:val="231"/>
        </w:numPr>
        <w:tabs>
          <w:tab w:pos="1919" w:val="left" w:leader="none"/>
        </w:tabs>
        <w:spacing w:line="240" w:lineRule="auto" w:before="120" w:after="0"/>
        <w:ind w:left="1919" w:right="414" w:hanging="567"/>
        <w:jc w:val="both"/>
        <w:rPr>
          <w:sz w:val="24"/>
        </w:rPr>
      </w:pPr>
      <w:r>
        <w:rPr>
          <w:i/>
          <w:sz w:val="24"/>
        </w:rPr>
        <w:t>Registered Participants</w:t>
      </w:r>
      <w:r>
        <w:rPr>
          <w:sz w:val="24"/>
        </w:rPr>
        <w:t>, the </w:t>
      </w:r>
      <w:r>
        <w:rPr>
          <w:i/>
          <w:sz w:val="24"/>
        </w:rPr>
        <w:t>AEMC</w:t>
      </w:r>
      <w:r>
        <w:rPr>
          <w:sz w:val="24"/>
        </w:rPr>
        <w:t>, </w:t>
      </w:r>
      <w:r>
        <w:rPr>
          <w:i/>
          <w:sz w:val="24"/>
        </w:rPr>
        <w:t>Connection Applicants</w:t>
      </w:r>
      <w:r>
        <w:rPr>
          <w:sz w:val="24"/>
        </w:rPr>
        <w:t>, </w:t>
      </w:r>
      <w:r>
        <w:rPr>
          <w:i/>
          <w:sz w:val="24"/>
        </w:rPr>
        <w:t>Intending </w:t>
      </w:r>
      <w:r>
        <w:rPr>
          <w:i/>
          <w:sz w:val="24"/>
        </w:rPr>
        <w:t>Participants</w:t>
      </w:r>
      <w:r>
        <w:rPr>
          <w:sz w:val="24"/>
        </w:rPr>
        <w:t>, </w:t>
      </w:r>
      <w:r>
        <w:rPr>
          <w:i/>
          <w:sz w:val="24"/>
        </w:rPr>
        <w:t>NTESMO </w:t>
      </w:r>
      <w:r>
        <w:rPr>
          <w:sz w:val="24"/>
        </w:rPr>
        <w:t>and </w:t>
      </w:r>
      <w:r>
        <w:rPr>
          <w:i/>
          <w:sz w:val="24"/>
        </w:rPr>
        <w:t>interested parties </w:t>
      </w:r>
      <w:r>
        <w:rPr>
          <w:sz w:val="24"/>
        </w:rPr>
        <w:t>may, by notice to the </w:t>
      </w:r>
      <w:r>
        <w:rPr>
          <w:i/>
          <w:sz w:val="24"/>
        </w:rPr>
        <w:t>AER</w:t>
      </w:r>
      <w:r>
        <w:rPr>
          <w:sz w:val="24"/>
        </w:rPr>
        <w:t>, dispute conclusions made by the RIT-T proponent in the project assessment conclusions report in relation</w:t>
      </w:r>
      <w:r>
        <w:rPr>
          <w:spacing w:val="-2"/>
          <w:sz w:val="24"/>
        </w:rPr>
        <w:t> </w:t>
      </w:r>
      <w:r>
        <w:rPr>
          <w:sz w:val="24"/>
        </w:rPr>
        <w:t>to:</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 application of the </w:t>
      </w:r>
      <w:r>
        <w:rPr>
          <w:i/>
          <w:sz w:val="24"/>
        </w:rPr>
        <w:t>regulatory investment test for</w:t>
      </w:r>
      <w:r>
        <w:rPr>
          <w:i/>
          <w:spacing w:val="-6"/>
          <w:sz w:val="24"/>
        </w:rPr>
        <w:t> </w:t>
      </w:r>
      <w:r>
        <w:rPr>
          <w:i/>
          <w:sz w:val="24"/>
        </w:rPr>
        <w:t>transmission</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basis on which the RIT-T proponent has classified the preferred option as being for reliability corrective action;</w:t>
      </w:r>
      <w:r>
        <w:rPr>
          <w:spacing w:val="-1"/>
          <w:sz w:val="24"/>
        </w:rPr>
        <w:t> </w:t>
      </w:r>
      <w:r>
        <w:rPr>
          <w:sz w:val="24"/>
        </w:rPr>
        <w:t>or</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the RIT-T proponent's assessment regarding whether the preferred option will have a </w:t>
      </w:r>
      <w:r>
        <w:rPr>
          <w:i/>
          <w:sz w:val="24"/>
        </w:rPr>
        <w:t>material inter-network impact</w:t>
      </w:r>
      <w:r>
        <w:rPr>
          <w:sz w:val="24"/>
        </w:rPr>
        <w:t>, in accordance with any criteria for a </w:t>
      </w:r>
      <w:r>
        <w:rPr>
          <w:i/>
          <w:sz w:val="24"/>
        </w:rPr>
        <w:t>material inter-network impact </w:t>
      </w:r>
      <w:r>
        <w:rPr>
          <w:sz w:val="24"/>
        </w:rPr>
        <w:t>that are in force at the time of the preparation of the project assessment conclusions</w:t>
      </w:r>
      <w:r>
        <w:rPr>
          <w:spacing w:val="-4"/>
          <w:sz w:val="24"/>
        </w:rPr>
        <w:t> </w:t>
      </w:r>
      <w:r>
        <w:rPr>
          <w:sz w:val="24"/>
        </w:rPr>
        <w:t>report.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dispute under this clause 5.16.5 may not be raised in relation to any matters set out in the project assessment conclusions report</w:t>
      </w:r>
      <w:r>
        <w:rPr>
          <w:spacing w:val="-5"/>
          <w:sz w:val="24"/>
        </w:rPr>
        <w:t> </w:t>
      </w:r>
      <w:r>
        <w:rPr>
          <w:sz w:val="24"/>
        </w:rPr>
        <w:t>which:</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are treated as externalities by the </w:t>
      </w:r>
      <w:r>
        <w:rPr>
          <w:i/>
          <w:sz w:val="24"/>
        </w:rPr>
        <w:t>regulatory investment test for </w:t>
      </w:r>
      <w:r>
        <w:rPr>
          <w:i/>
          <w:sz w:val="24"/>
        </w:rPr>
        <w:t>transmission</w:t>
      </w:r>
      <w:r>
        <w:rPr>
          <w:sz w:val="24"/>
        </w:rPr>
        <w:t>; or</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relate to an individual's personal detriment or property</w:t>
      </w:r>
      <w:r>
        <w:rPr>
          <w:spacing w:val="-2"/>
          <w:sz w:val="24"/>
        </w:rPr>
        <w:t> </w:t>
      </w:r>
      <w:r>
        <w:rPr>
          <w:sz w:val="24"/>
        </w:rPr>
        <w:t>rights.</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Within 30 days of the date of </w:t>
      </w:r>
      <w:r>
        <w:rPr>
          <w:i/>
          <w:sz w:val="24"/>
        </w:rPr>
        <w:t>publication </w:t>
      </w:r>
      <w:r>
        <w:rPr>
          <w:sz w:val="24"/>
        </w:rPr>
        <w:t>of the project assessment conclusions report under clause 5.16.4(t), (u), (y) or (z) (as the case may  be), the party disputing a conclusion made in the project assessment conclusions report (a disputing party)</w:t>
      </w:r>
      <w:r>
        <w:rPr>
          <w:spacing w:val="-2"/>
          <w:sz w:val="24"/>
        </w:rPr>
        <w:t> </w:t>
      </w:r>
      <w:r>
        <w:rPr>
          <w:sz w:val="24"/>
        </w:rPr>
        <w:t>must:</w:t>
      </w:r>
    </w:p>
    <w:p>
      <w:pPr>
        <w:pStyle w:val="ListParagraph"/>
        <w:numPr>
          <w:ilvl w:val="4"/>
          <w:numId w:val="231"/>
        </w:numPr>
        <w:tabs>
          <w:tab w:pos="2486" w:val="left" w:leader="none"/>
        </w:tabs>
        <w:spacing w:line="240" w:lineRule="auto" w:before="120" w:after="0"/>
        <w:ind w:left="2486" w:right="416" w:hanging="567"/>
        <w:jc w:val="both"/>
        <w:rPr>
          <w:sz w:val="24"/>
        </w:rPr>
      </w:pPr>
      <w:r>
        <w:rPr>
          <w:sz w:val="24"/>
        </w:rPr>
        <w:t>give notice of the dispute in writing setting out the grounds for the dispute (the dispute notice) to the </w:t>
      </w:r>
      <w:r>
        <w:rPr>
          <w:i/>
          <w:sz w:val="24"/>
        </w:rPr>
        <w:t>AER</w:t>
      </w:r>
      <w:r>
        <w:rPr>
          <w:sz w:val="24"/>
        </w:rPr>
        <w:t>;</w:t>
      </w:r>
      <w:r>
        <w:rPr>
          <w:spacing w:val="-2"/>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at the same time, give a copy of the dispute notice to the RIT-T proponent.</w:t>
      </w:r>
    </w:p>
    <w:p>
      <w:pPr>
        <w:pStyle w:val="ListParagraph"/>
        <w:numPr>
          <w:ilvl w:val="3"/>
          <w:numId w:val="231"/>
        </w:numPr>
        <w:tabs>
          <w:tab w:pos="1919" w:val="left" w:leader="none"/>
        </w:tabs>
        <w:spacing w:line="240" w:lineRule="auto" w:before="120" w:after="0"/>
        <w:ind w:left="1919" w:right="414" w:hanging="567"/>
        <w:jc w:val="both"/>
        <w:rPr>
          <w:sz w:val="24"/>
        </w:rPr>
      </w:pPr>
      <w:r>
        <w:rPr>
          <w:sz w:val="24"/>
        </w:rPr>
        <w:t>Subject to paragraph (f)(3), within 40 days of receipt of the dispute notice or within an additional period of up to 60 days where the </w:t>
      </w:r>
      <w:r>
        <w:rPr>
          <w:i/>
          <w:sz w:val="24"/>
        </w:rPr>
        <w:t>AER </w:t>
      </w:r>
      <w:r>
        <w:rPr>
          <w:sz w:val="24"/>
        </w:rPr>
        <w:t>notifies </w:t>
      </w:r>
      <w:r>
        <w:rPr>
          <w:i/>
          <w:sz w:val="24"/>
        </w:rPr>
        <w:t>interested parties </w:t>
      </w:r>
      <w:r>
        <w:rPr>
          <w:sz w:val="24"/>
        </w:rPr>
        <w:t>that the additional time is required to make a determination because of the complexity or difficulty of the issues involved, the </w:t>
      </w:r>
      <w:r>
        <w:rPr>
          <w:i/>
          <w:sz w:val="24"/>
        </w:rPr>
        <w:t>AER </w:t>
      </w:r>
      <w:r>
        <w:rPr>
          <w:sz w:val="24"/>
        </w:rPr>
        <w:t>must</w:t>
      </w:r>
      <w:r>
        <w:rPr>
          <w:spacing w:val="-1"/>
          <w:sz w:val="24"/>
        </w:rPr>
        <w:t> </w:t>
      </w:r>
      <w:r>
        <w:rPr>
          <w:sz w:val="24"/>
        </w:rPr>
        <w:t>either:</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reject any dispute by written notice to the person who initiated the dispute if the </w:t>
      </w:r>
      <w:r>
        <w:rPr>
          <w:i/>
          <w:sz w:val="24"/>
        </w:rPr>
        <w:t>AER </w:t>
      </w:r>
      <w:r>
        <w:rPr>
          <w:sz w:val="24"/>
        </w:rPr>
        <w:t>considers that the grounds for the dispute are misconceived or lacking in substance;</w:t>
      </w:r>
      <w:r>
        <w:rPr>
          <w:spacing w:val="-1"/>
          <w:sz w:val="24"/>
        </w:rPr>
        <w:t> </w:t>
      </w:r>
      <w:r>
        <w:rPr>
          <w:sz w:val="24"/>
        </w:rPr>
        <w:t>and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notify the RIT-T proponent that the dispute has been rejected;</w:t>
      </w:r>
      <w:r>
        <w:rPr>
          <w:spacing w:val="-2"/>
          <w:sz w:val="24"/>
        </w:rPr>
        <w:t> </w:t>
      </w:r>
      <w:r>
        <w:rPr>
          <w:sz w:val="24"/>
        </w:rPr>
        <w:t>or</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subject to paragraph (f), make and </w:t>
      </w:r>
      <w:r>
        <w:rPr>
          <w:i/>
          <w:sz w:val="24"/>
        </w:rPr>
        <w:t>publish </w:t>
      </w:r>
      <w:r>
        <w:rPr>
          <w:sz w:val="24"/>
        </w:rPr>
        <w:t>a</w:t>
      </w:r>
      <w:r>
        <w:rPr>
          <w:spacing w:val="-2"/>
          <w:sz w:val="24"/>
        </w:rPr>
        <w:t> </w:t>
      </w:r>
      <w:r>
        <w:rPr>
          <w:sz w:val="24"/>
        </w:rPr>
        <w:t>determination:</w:t>
      </w:r>
    </w:p>
    <w:p>
      <w:pPr>
        <w:pStyle w:val="ListParagraph"/>
        <w:numPr>
          <w:ilvl w:val="5"/>
          <w:numId w:val="231"/>
        </w:numPr>
        <w:tabs>
          <w:tab w:pos="3053" w:val="left" w:leader="none"/>
        </w:tabs>
        <w:spacing w:line="240" w:lineRule="auto" w:before="120" w:after="0"/>
        <w:ind w:left="3053" w:right="415" w:hanging="567"/>
        <w:jc w:val="both"/>
        <w:rPr>
          <w:sz w:val="24"/>
        </w:rPr>
      </w:pPr>
      <w:r>
        <w:rPr>
          <w:sz w:val="24"/>
        </w:rPr>
        <w:t>directing the RIT-T proponent to amend the matters set out in the project assessment conclusions report;</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5"/>
          <w:numId w:val="231"/>
        </w:numPr>
        <w:tabs>
          <w:tab w:pos="3054" w:val="left" w:leader="none"/>
        </w:tabs>
        <w:spacing w:line="240" w:lineRule="auto" w:before="83" w:after="0"/>
        <w:ind w:left="3053" w:right="415" w:hanging="567"/>
        <w:jc w:val="both"/>
        <w:rPr>
          <w:sz w:val="24"/>
        </w:rPr>
      </w:pPr>
      <w:r>
        <w:rPr>
          <w:sz w:val="24"/>
        </w:rPr>
        <w:t>stating that, based on the grounds of the dispute, the RIT-T proponent will not be required to amend the project assessment conclusions</w:t>
      </w:r>
      <w:r>
        <w:rPr>
          <w:spacing w:val="-1"/>
          <w:sz w:val="24"/>
        </w:rPr>
        <w:t> </w:t>
      </w:r>
      <w:r>
        <w:rPr>
          <w:sz w:val="24"/>
        </w:rPr>
        <w:t>report.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The RIT-T proponent must comply with an </w:t>
      </w:r>
      <w:r>
        <w:rPr>
          <w:i/>
          <w:sz w:val="24"/>
        </w:rPr>
        <w:t>AER </w:t>
      </w:r>
      <w:r>
        <w:rPr>
          <w:sz w:val="24"/>
        </w:rPr>
        <w:t>determination made </w:t>
      </w:r>
      <w:r>
        <w:rPr>
          <w:spacing w:val="-3"/>
          <w:sz w:val="24"/>
        </w:rPr>
        <w:t>under </w:t>
      </w:r>
      <w:r>
        <w:rPr>
          <w:sz w:val="24"/>
        </w:rPr>
        <w:t>paragraph (d)(3)(i) within a timeframe specified by the </w:t>
      </w:r>
      <w:r>
        <w:rPr>
          <w:i/>
          <w:sz w:val="24"/>
        </w:rPr>
        <w:t>AER </w:t>
      </w:r>
      <w:r>
        <w:rPr>
          <w:sz w:val="24"/>
        </w:rPr>
        <w:t>in its determination.</w:t>
      </w:r>
    </w:p>
    <w:p>
      <w:pPr>
        <w:pStyle w:val="ListParagraph"/>
        <w:numPr>
          <w:ilvl w:val="3"/>
          <w:numId w:val="231"/>
        </w:numPr>
        <w:tabs>
          <w:tab w:pos="1920" w:val="left" w:leader="none"/>
        </w:tabs>
        <w:spacing w:line="240" w:lineRule="auto" w:before="120" w:after="0"/>
        <w:ind w:left="1919" w:right="0" w:hanging="568"/>
        <w:jc w:val="both"/>
        <w:rPr>
          <w:sz w:val="24"/>
        </w:rPr>
      </w:pPr>
      <w:r>
        <w:rPr>
          <w:sz w:val="24"/>
        </w:rPr>
        <w:t>In making a determination under paragraph (d)(3), the</w:t>
      </w:r>
      <w:r>
        <w:rPr>
          <w:spacing w:val="-1"/>
          <w:sz w:val="24"/>
        </w:rPr>
        <w:t> </w:t>
      </w:r>
      <w:r>
        <w:rPr>
          <w:i/>
          <w:sz w:val="24"/>
        </w:rPr>
        <w:t>AER</w:t>
      </w:r>
      <w:r>
        <w:rPr>
          <w:sz w:val="24"/>
        </w:rPr>
        <w:t>:</w:t>
      </w:r>
    </w:p>
    <w:p>
      <w:pPr>
        <w:pStyle w:val="ListParagraph"/>
        <w:numPr>
          <w:ilvl w:val="4"/>
          <w:numId w:val="231"/>
        </w:numPr>
        <w:tabs>
          <w:tab w:pos="2486" w:val="left" w:leader="none"/>
        </w:tabs>
        <w:spacing w:line="240" w:lineRule="auto" w:before="120" w:after="0"/>
        <w:ind w:left="2486" w:right="414" w:hanging="567"/>
        <w:jc w:val="both"/>
        <w:rPr>
          <w:sz w:val="24"/>
        </w:rPr>
      </w:pPr>
      <w:r>
        <w:rPr>
          <w:sz w:val="24"/>
        </w:rPr>
        <w:t>must only take into account information and analysis that the RIT-T proponent could reasonably be expected to have considered </w:t>
      </w:r>
      <w:r>
        <w:rPr>
          <w:spacing w:val="-6"/>
          <w:sz w:val="24"/>
        </w:rPr>
        <w:t>or </w:t>
      </w:r>
      <w:r>
        <w:rPr>
          <w:sz w:val="24"/>
        </w:rPr>
        <w:t>undertaken at the time that it performed the </w:t>
      </w:r>
      <w:r>
        <w:rPr>
          <w:i/>
          <w:sz w:val="24"/>
        </w:rPr>
        <w:t>regulatory investment test </w:t>
      </w:r>
      <w:r>
        <w:rPr>
          <w:i/>
          <w:sz w:val="24"/>
        </w:rPr>
        <w:t>for transmission</w:t>
      </w:r>
      <w:r>
        <w:rPr>
          <w:sz w:val="24"/>
        </w:rPr>
        <w:t>;</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must </w:t>
      </w:r>
      <w:r>
        <w:rPr>
          <w:i/>
          <w:sz w:val="24"/>
        </w:rPr>
        <w:t>publish </w:t>
      </w:r>
      <w:r>
        <w:rPr>
          <w:sz w:val="24"/>
        </w:rPr>
        <w:t>its reasons for making a</w:t>
      </w:r>
      <w:r>
        <w:rPr>
          <w:spacing w:val="-2"/>
          <w:sz w:val="24"/>
        </w:rPr>
        <w:t> </w:t>
      </w:r>
      <w:r>
        <w:rPr>
          <w:sz w:val="24"/>
        </w:rPr>
        <w:t>determination;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may request further information regarding the dispute from the disputing party or the RIT-T proponent in which case the period of time for rejecting a dispute or making a determination under paragraph (d) is extended by the time it takes the relevant party to provide the requested further information to the</w:t>
      </w:r>
      <w:r>
        <w:rPr>
          <w:spacing w:val="-1"/>
          <w:sz w:val="24"/>
        </w:rPr>
        <w:t> </w:t>
      </w:r>
      <w:r>
        <w:rPr>
          <w:i/>
          <w:sz w:val="24"/>
        </w:rPr>
        <w:t>AER</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may disregard any matter raised by the disputing party or the RIT-T proponent that is misconceived or lacking in substance;</w:t>
      </w:r>
      <w:r>
        <w:rPr>
          <w:spacing w:val="-2"/>
          <w:sz w:val="24"/>
        </w:rPr>
        <w:t> </w:t>
      </w:r>
      <w:r>
        <w:rPr>
          <w:sz w:val="24"/>
        </w:rPr>
        <w:t>and</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where making a determination under subparagraph (d)(3)(i), must specify a reasonable timeframe for the RIT-T proponent to comply with the </w:t>
      </w:r>
      <w:r>
        <w:rPr>
          <w:i/>
          <w:sz w:val="24"/>
        </w:rPr>
        <w:t>AER's </w:t>
      </w:r>
      <w:r>
        <w:rPr>
          <w:sz w:val="24"/>
        </w:rPr>
        <w:t>direction to amend the matters set out in the project assessment conclusions</w:t>
      </w:r>
      <w:r>
        <w:rPr>
          <w:spacing w:val="-1"/>
          <w:sz w:val="24"/>
        </w:rPr>
        <w:t> </w:t>
      </w:r>
      <w:r>
        <w:rPr>
          <w:sz w:val="24"/>
        </w:rPr>
        <w:t>report.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only make a determination under subparagraph (d)(3)(i) if it determines</w:t>
      </w:r>
      <w:r>
        <w:rPr>
          <w:spacing w:val="-1"/>
          <w:sz w:val="24"/>
        </w:rPr>
        <w:t> </w:t>
      </w:r>
      <w:r>
        <w:rPr>
          <w:sz w:val="24"/>
        </w:rPr>
        <w:t>that:</w:t>
      </w:r>
    </w:p>
    <w:p>
      <w:pPr>
        <w:pStyle w:val="ListParagraph"/>
        <w:numPr>
          <w:ilvl w:val="4"/>
          <w:numId w:val="231"/>
        </w:numPr>
        <w:tabs>
          <w:tab w:pos="2485" w:val="left" w:leader="none"/>
          <w:tab w:pos="2486" w:val="left" w:leader="none"/>
        </w:tabs>
        <w:spacing w:line="240" w:lineRule="auto" w:before="120" w:after="0"/>
        <w:ind w:left="2486" w:right="416" w:hanging="567"/>
        <w:jc w:val="left"/>
        <w:rPr>
          <w:sz w:val="24"/>
        </w:rPr>
      </w:pPr>
      <w:r>
        <w:rPr>
          <w:sz w:val="24"/>
        </w:rPr>
        <w:t>the RIT-T proponent has not correctly applied the</w:t>
      </w:r>
      <w:r>
        <w:rPr>
          <w:spacing w:val="41"/>
          <w:sz w:val="24"/>
        </w:rPr>
        <w:t> </w:t>
      </w:r>
      <w:r>
        <w:rPr>
          <w:i/>
          <w:sz w:val="24"/>
        </w:rPr>
        <w:t>regulatory </w:t>
      </w:r>
      <w:r>
        <w:rPr>
          <w:i/>
          <w:sz w:val="24"/>
        </w:rPr>
        <w:t>investment test for transmission </w:t>
      </w:r>
      <w:r>
        <w:rPr>
          <w:sz w:val="24"/>
        </w:rPr>
        <w:t>in accordance with the</w:t>
      </w:r>
      <w:r>
        <w:rPr>
          <w:spacing w:val="-4"/>
          <w:sz w:val="24"/>
        </w:rPr>
        <w:t> </w:t>
      </w:r>
      <w:r>
        <w:rPr>
          <w:i/>
          <w:sz w:val="24"/>
        </w:rPr>
        <w:t>Rules</w:t>
      </w:r>
      <w:r>
        <w:rPr>
          <w:sz w:val="24"/>
        </w:rPr>
        <w:t>;</w:t>
      </w:r>
    </w:p>
    <w:p>
      <w:pPr>
        <w:pStyle w:val="ListParagraph"/>
        <w:numPr>
          <w:ilvl w:val="4"/>
          <w:numId w:val="231"/>
        </w:numPr>
        <w:tabs>
          <w:tab w:pos="2485" w:val="left" w:leader="none"/>
          <w:tab w:pos="2486" w:val="left" w:leader="none"/>
        </w:tabs>
        <w:spacing w:line="240" w:lineRule="auto" w:before="120" w:after="0"/>
        <w:ind w:left="2486" w:right="415" w:hanging="567"/>
        <w:jc w:val="left"/>
        <w:rPr>
          <w:sz w:val="24"/>
        </w:rPr>
      </w:pPr>
      <w:r>
        <w:rPr>
          <w:sz w:val="24"/>
        </w:rPr>
        <w:t>the RIT-T proponent has erroneously classified the preferred option </w:t>
      </w:r>
      <w:r>
        <w:rPr>
          <w:spacing w:val="-7"/>
          <w:sz w:val="24"/>
        </w:rPr>
        <w:t>as </w:t>
      </w:r>
      <w:r>
        <w:rPr>
          <w:sz w:val="24"/>
        </w:rPr>
        <w:t>being for reliability corrective</w:t>
      </w:r>
      <w:r>
        <w:rPr>
          <w:spacing w:val="-2"/>
          <w:sz w:val="24"/>
        </w:rPr>
        <w:t> </w:t>
      </w:r>
      <w:r>
        <w:rPr>
          <w:sz w:val="24"/>
        </w:rPr>
        <w:t>action;</w:t>
      </w:r>
    </w:p>
    <w:p>
      <w:pPr>
        <w:pStyle w:val="ListParagraph"/>
        <w:numPr>
          <w:ilvl w:val="4"/>
          <w:numId w:val="231"/>
        </w:numPr>
        <w:tabs>
          <w:tab w:pos="2485" w:val="left" w:leader="none"/>
          <w:tab w:pos="2486" w:val="left" w:leader="none"/>
        </w:tabs>
        <w:spacing w:line="240" w:lineRule="auto" w:before="120" w:after="0"/>
        <w:ind w:left="2486" w:right="416" w:hanging="567"/>
        <w:jc w:val="left"/>
        <w:rPr>
          <w:sz w:val="24"/>
        </w:rPr>
      </w:pPr>
      <w:r>
        <w:rPr>
          <w:sz w:val="24"/>
        </w:rPr>
        <w:t>the RIT-T proponent has not correctly assessed whether the preferred option will have a </w:t>
      </w:r>
      <w:r>
        <w:rPr>
          <w:i/>
          <w:sz w:val="24"/>
        </w:rPr>
        <w:t>material inter-network impact</w:t>
      </w:r>
      <w:r>
        <w:rPr>
          <w:sz w:val="24"/>
        </w:rPr>
        <w:t>;</w:t>
      </w:r>
      <w:r>
        <w:rPr>
          <w:spacing w:val="-4"/>
          <w:sz w:val="24"/>
        </w:rPr>
        <w:t> </w:t>
      </w:r>
      <w:r>
        <w:rPr>
          <w:sz w:val="24"/>
        </w:rPr>
        <w:t>or</w:t>
      </w:r>
    </w:p>
    <w:p>
      <w:pPr>
        <w:pStyle w:val="ListParagraph"/>
        <w:numPr>
          <w:ilvl w:val="4"/>
          <w:numId w:val="231"/>
        </w:numPr>
        <w:tabs>
          <w:tab w:pos="2485" w:val="left" w:leader="none"/>
          <w:tab w:pos="2486" w:val="left" w:leader="none"/>
        </w:tabs>
        <w:spacing w:line="240" w:lineRule="auto" w:before="120" w:after="0"/>
        <w:ind w:left="2486" w:right="415" w:hanging="567"/>
        <w:jc w:val="left"/>
        <w:rPr>
          <w:sz w:val="24"/>
        </w:rPr>
      </w:pPr>
      <w:r>
        <w:rPr>
          <w:sz w:val="24"/>
        </w:rPr>
        <w:t>there was a manifest error in the calculations performed by the RIT-T proponent in applying the </w:t>
      </w:r>
      <w:r>
        <w:rPr>
          <w:i/>
          <w:sz w:val="24"/>
        </w:rPr>
        <w:t>regulatory investment test for</w:t>
      </w:r>
      <w:r>
        <w:rPr>
          <w:i/>
          <w:spacing w:val="-14"/>
          <w:sz w:val="24"/>
        </w:rPr>
        <w:t> </w:t>
      </w:r>
      <w:r>
        <w:rPr>
          <w:i/>
          <w:sz w:val="24"/>
        </w:rPr>
        <w:t>transmission</w:t>
      </w:r>
      <w:r>
        <w:rPr>
          <w:sz w:val="24"/>
        </w:rPr>
        <w: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 disputing party or the RIT-T proponent (as the case may be) must as soon as reasonably practicable provide any information requested </w:t>
      </w:r>
      <w:r>
        <w:rPr>
          <w:spacing w:val="-3"/>
          <w:sz w:val="24"/>
        </w:rPr>
        <w:t>under </w:t>
      </w:r>
      <w:r>
        <w:rPr>
          <w:sz w:val="24"/>
        </w:rPr>
        <w:t>paragraph (f)(3) to the</w:t>
      </w:r>
      <w:r>
        <w:rPr>
          <w:spacing w:val="-1"/>
          <w:sz w:val="24"/>
        </w:rPr>
        <w:t> </w:t>
      </w:r>
      <w:r>
        <w:rPr>
          <w:i/>
          <w:sz w:val="24"/>
        </w:rPr>
        <w:t>AER</w:t>
      </w:r>
      <w:r>
        <w:rPr>
          <w:sz w:val="24"/>
        </w:rPr>
        <w: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The relevant period of time in which the </w:t>
      </w:r>
      <w:r>
        <w:rPr>
          <w:i/>
          <w:sz w:val="24"/>
        </w:rPr>
        <w:t>AER </w:t>
      </w:r>
      <w:r>
        <w:rPr>
          <w:sz w:val="24"/>
        </w:rPr>
        <w:t>must make a determination under paragraph (d)(3) is automatically extended by the period of time taken by the RIT-T proponent or a disputing party to provide any additional information requested by the </w:t>
      </w:r>
      <w:r>
        <w:rPr>
          <w:i/>
          <w:sz w:val="24"/>
        </w:rPr>
        <w:t>AER </w:t>
      </w:r>
      <w:r>
        <w:rPr>
          <w:sz w:val="24"/>
        </w:rPr>
        <w:t>under this clause 5.16.5,</w:t>
      </w:r>
      <w:r>
        <w:rPr>
          <w:spacing w:val="-3"/>
          <w:sz w:val="24"/>
        </w:rPr>
        <w:t> </w:t>
      </w:r>
      <w:r>
        <w:rPr>
          <w:sz w:val="24"/>
        </w:rPr>
        <w:t>provided: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w:t>
      </w:r>
      <w:r>
        <w:rPr>
          <w:spacing w:val="36"/>
          <w:sz w:val="24"/>
        </w:rPr>
        <w:t> </w:t>
      </w:r>
      <w:r>
        <w:rPr>
          <w:i/>
          <w:sz w:val="24"/>
        </w:rPr>
        <w:t>AER</w:t>
      </w:r>
      <w:r>
        <w:rPr>
          <w:i/>
          <w:spacing w:val="37"/>
          <w:sz w:val="24"/>
        </w:rPr>
        <w:t> </w:t>
      </w:r>
      <w:r>
        <w:rPr>
          <w:sz w:val="24"/>
        </w:rPr>
        <w:t>makes</w:t>
      </w:r>
      <w:r>
        <w:rPr>
          <w:spacing w:val="37"/>
          <w:sz w:val="24"/>
        </w:rPr>
        <w:t> </w:t>
      </w:r>
      <w:r>
        <w:rPr>
          <w:sz w:val="24"/>
        </w:rPr>
        <w:t>the</w:t>
      </w:r>
      <w:r>
        <w:rPr>
          <w:spacing w:val="36"/>
          <w:sz w:val="24"/>
        </w:rPr>
        <w:t> </w:t>
      </w:r>
      <w:r>
        <w:rPr>
          <w:sz w:val="24"/>
        </w:rPr>
        <w:t>request</w:t>
      </w:r>
      <w:r>
        <w:rPr>
          <w:spacing w:val="37"/>
          <w:sz w:val="24"/>
        </w:rPr>
        <w:t> </w:t>
      </w:r>
      <w:r>
        <w:rPr>
          <w:sz w:val="24"/>
        </w:rPr>
        <w:t>for</w:t>
      </w:r>
      <w:r>
        <w:rPr>
          <w:spacing w:val="37"/>
          <w:sz w:val="24"/>
        </w:rPr>
        <w:t> </w:t>
      </w:r>
      <w:r>
        <w:rPr>
          <w:sz w:val="24"/>
        </w:rPr>
        <w:t>the</w:t>
      </w:r>
      <w:r>
        <w:rPr>
          <w:spacing w:val="37"/>
          <w:sz w:val="24"/>
        </w:rPr>
        <w:t> </w:t>
      </w:r>
      <w:r>
        <w:rPr>
          <w:sz w:val="24"/>
        </w:rPr>
        <w:t>additional</w:t>
      </w:r>
      <w:r>
        <w:rPr>
          <w:spacing w:val="36"/>
          <w:sz w:val="24"/>
        </w:rPr>
        <w:t> </w:t>
      </w:r>
      <w:r>
        <w:rPr>
          <w:sz w:val="24"/>
        </w:rPr>
        <w:t>information</w:t>
      </w:r>
      <w:r>
        <w:rPr>
          <w:spacing w:val="37"/>
          <w:sz w:val="24"/>
        </w:rPr>
        <w:t> </w:t>
      </w:r>
      <w:r>
        <w:rPr>
          <w:sz w:val="24"/>
        </w:rPr>
        <w:t>at</w:t>
      </w:r>
      <w:r>
        <w:rPr>
          <w:spacing w:val="37"/>
          <w:sz w:val="24"/>
        </w:rPr>
        <w:t> </w:t>
      </w:r>
      <w:r>
        <w:rPr>
          <w:sz w:val="24"/>
        </w:rPr>
        <w:t>least</w:t>
      </w:r>
      <w:r>
        <w:rPr>
          <w:spacing w:val="37"/>
          <w:sz w:val="24"/>
        </w:rPr>
        <w:t> </w:t>
      </w:r>
      <w:r>
        <w:rPr>
          <w:sz w:val="24"/>
        </w:rPr>
        <w:t>7</w:t>
      </w:r>
    </w:p>
    <w:p>
      <w:pPr>
        <w:spacing w:before="0"/>
        <w:ind w:left="2486" w:right="0" w:firstLine="0"/>
        <w:jc w:val="both"/>
        <w:rPr>
          <w:sz w:val="24"/>
        </w:rPr>
      </w:pPr>
      <w:r>
        <w:rPr>
          <w:i/>
          <w:sz w:val="24"/>
        </w:rPr>
        <w:t>business days </w:t>
      </w:r>
      <w:r>
        <w:rPr>
          <w:sz w:val="24"/>
        </w:rPr>
        <w:t>prior to the expiry of the relevant period; and</w:t>
      </w:r>
    </w:p>
    <w:p>
      <w:pPr>
        <w:spacing w:after="0"/>
        <w:jc w:val="both"/>
        <w:rPr>
          <w:sz w:val="24"/>
        </w:rPr>
        <w:sectPr>
          <w:pgSz w:w="11910" w:h="16840"/>
          <w:pgMar w:header="686" w:footer="637" w:top="1320" w:bottom="820" w:left="1200" w:right="1000"/>
        </w:sectPr>
      </w:pPr>
    </w:p>
    <w:p>
      <w:pPr>
        <w:pStyle w:val="ListParagraph"/>
        <w:numPr>
          <w:ilvl w:val="4"/>
          <w:numId w:val="231"/>
        </w:numPr>
        <w:tabs>
          <w:tab w:pos="2486" w:val="left" w:leader="none"/>
        </w:tabs>
        <w:spacing w:line="240" w:lineRule="auto" w:before="83" w:after="0"/>
        <w:ind w:left="2486" w:right="415" w:hanging="567"/>
        <w:jc w:val="both"/>
        <w:rPr>
          <w:sz w:val="24"/>
        </w:rPr>
      </w:pPr>
      <w:r>
        <w:rPr>
          <w:sz w:val="24"/>
        </w:rPr>
        <w:t>the RIT-T proponent or the disputing party provides the </w:t>
      </w:r>
      <w:r>
        <w:rPr>
          <w:spacing w:val="-3"/>
          <w:sz w:val="24"/>
        </w:rPr>
        <w:t>additional </w:t>
      </w:r>
      <w:r>
        <w:rPr>
          <w:sz w:val="24"/>
        </w:rPr>
        <w:t>information within 14 </w:t>
      </w:r>
      <w:r>
        <w:rPr>
          <w:i/>
          <w:sz w:val="24"/>
        </w:rPr>
        <w:t>business days </w:t>
      </w:r>
      <w:r>
        <w:rPr>
          <w:sz w:val="24"/>
        </w:rPr>
        <w:t>of receipt of the</w:t>
      </w:r>
      <w:r>
        <w:rPr>
          <w:spacing w:val="-4"/>
          <w:sz w:val="24"/>
        </w:rPr>
        <w:t> </w:t>
      </w:r>
      <w:r>
        <w:rPr>
          <w:sz w:val="24"/>
        </w:rPr>
        <w:t>request.</w:t>
      </w:r>
    </w:p>
    <w:p>
      <w:pPr>
        <w:pStyle w:val="BodyText"/>
        <w:spacing w:before="10"/>
        <w:ind w:firstLine="0"/>
        <w:jc w:val="left"/>
        <w:rPr>
          <w:sz w:val="20"/>
        </w:rPr>
      </w:pPr>
    </w:p>
    <w:p>
      <w:pPr>
        <w:pStyle w:val="Heading4"/>
        <w:numPr>
          <w:ilvl w:val="2"/>
          <w:numId w:val="231"/>
        </w:numPr>
        <w:tabs>
          <w:tab w:pos="1351" w:val="left" w:leader="none"/>
          <w:tab w:pos="1352" w:val="left" w:leader="none"/>
        </w:tabs>
        <w:spacing w:line="240" w:lineRule="auto" w:before="0" w:after="0"/>
        <w:ind w:left="1352" w:right="1618" w:hanging="1134"/>
        <w:jc w:val="left"/>
      </w:pPr>
      <w:bookmarkStart w:name="5.16.6 Determination that preferred opti" w:id="750"/>
      <w:bookmarkEnd w:id="750"/>
      <w:r>
        <w:rPr>
          <w:b w:val="0"/>
        </w:rPr>
      </w:r>
      <w:bookmarkStart w:name="_bookmark290" w:id="751"/>
      <w:bookmarkEnd w:id="751"/>
      <w:r>
        <w:rPr>
          <w:b w:val="0"/>
        </w:rPr>
      </w:r>
      <w:bookmarkStart w:name="_bookmark290" w:id="752"/>
      <w:bookmarkEnd w:id="752"/>
      <w:r>
        <w:rPr/>
        <w:t>Dete</w:t>
      </w:r>
      <w:r>
        <w:rPr/>
        <w:t>rmination that preferred option satisfies the regulatory investment test for</w:t>
      </w:r>
      <w:r>
        <w:rPr>
          <w:spacing w:val="-1"/>
        </w:rPr>
        <w:t> </w:t>
      </w:r>
      <w:r>
        <w:rPr/>
        <w:t>transmission</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After the expiry of the 30 day period referred to in clause 5.16.5(c) and where a preferred option is not for reliability corrective action, the RIT-T proponent may request, in writing to the </w:t>
      </w:r>
      <w:r>
        <w:rPr>
          <w:i/>
          <w:sz w:val="24"/>
        </w:rPr>
        <w:t>AER</w:t>
      </w:r>
      <w:r>
        <w:rPr>
          <w:sz w:val="24"/>
        </w:rPr>
        <w:t>, that the </w:t>
      </w:r>
      <w:r>
        <w:rPr>
          <w:i/>
          <w:sz w:val="24"/>
        </w:rPr>
        <w:t>AER </w:t>
      </w:r>
      <w:r>
        <w:rPr>
          <w:sz w:val="24"/>
        </w:rPr>
        <w:t>make a determination as to whether the preferred option satisfies the </w:t>
      </w:r>
      <w:r>
        <w:rPr>
          <w:i/>
          <w:sz w:val="24"/>
        </w:rPr>
        <w:t>regulatory </w:t>
      </w:r>
      <w:r>
        <w:rPr>
          <w:i/>
          <w:sz w:val="24"/>
        </w:rPr>
        <w:t>investment test for</w:t>
      </w:r>
      <w:r>
        <w:rPr>
          <w:i/>
          <w:spacing w:val="-1"/>
          <w:sz w:val="24"/>
        </w:rPr>
        <w:t> </w:t>
      </w:r>
      <w:r>
        <w:rPr>
          <w:i/>
          <w:sz w:val="24"/>
        </w:rPr>
        <w:t>transmission</w:t>
      </w:r>
      <w:r>
        <w:rPr>
          <w:sz w:val="24"/>
        </w:rPr>
        <w:t>.</w:t>
      </w:r>
    </w:p>
    <w:p>
      <w:pPr>
        <w:pStyle w:val="ListParagraph"/>
        <w:numPr>
          <w:ilvl w:val="3"/>
          <w:numId w:val="231"/>
        </w:numPr>
        <w:tabs>
          <w:tab w:pos="1919" w:val="left" w:leader="none"/>
        </w:tabs>
        <w:spacing w:line="240" w:lineRule="auto" w:before="120" w:after="0"/>
        <w:ind w:left="1918" w:right="0" w:hanging="567"/>
        <w:jc w:val="both"/>
        <w:rPr>
          <w:sz w:val="24"/>
        </w:rPr>
      </w:pPr>
      <w:r>
        <w:rPr>
          <w:sz w:val="24"/>
        </w:rPr>
        <w:t>The </w:t>
      </w:r>
      <w:r>
        <w:rPr>
          <w:i/>
          <w:sz w:val="24"/>
        </w:rPr>
        <w:t>AER</w:t>
      </w:r>
      <w:r>
        <w:rPr>
          <w:sz w:val="24"/>
        </w:rPr>
        <w:t>:</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must, within 120 </w:t>
      </w:r>
      <w:r>
        <w:rPr>
          <w:i/>
          <w:sz w:val="24"/>
        </w:rPr>
        <w:t>business days </w:t>
      </w:r>
      <w:r>
        <w:rPr>
          <w:sz w:val="24"/>
        </w:rPr>
        <w:t>of receipt of the request from the applicant, subject to paragraph (c), make and </w:t>
      </w:r>
      <w:r>
        <w:rPr>
          <w:i/>
          <w:sz w:val="24"/>
        </w:rPr>
        <w:t>publish </w:t>
      </w:r>
      <w:r>
        <w:rPr>
          <w:sz w:val="24"/>
        </w:rPr>
        <w:t>a determination, including reasons for its</w:t>
      </w:r>
      <w:r>
        <w:rPr>
          <w:spacing w:val="-1"/>
          <w:sz w:val="24"/>
        </w:rPr>
        <w:t> </w:t>
      </w:r>
      <w:r>
        <w:rPr>
          <w:sz w:val="24"/>
        </w:rPr>
        <w:t>determination;</w:t>
      </w:r>
    </w:p>
    <w:p>
      <w:pPr>
        <w:pStyle w:val="ListParagraph"/>
        <w:numPr>
          <w:ilvl w:val="4"/>
          <w:numId w:val="231"/>
        </w:numPr>
        <w:tabs>
          <w:tab w:pos="2486" w:val="left" w:leader="none"/>
        </w:tabs>
        <w:spacing w:line="240" w:lineRule="auto" w:before="120" w:after="0"/>
        <w:ind w:left="2486" w:right="415" w:hanging="567"/>
        <w:jc w:val="both"/>
        <w:rPr>
          <w:sz w:val="24"/>
        </w:rPr>
      </w:pPr>
      <w:r>
        <w:rPr>
          <w:sz w:val="24"/>
        </w:rPr>
        <w:t>must use the findings and recommendations in the project assessment conclusions report in making its determination under subparagraph (1);</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may request further information from the RIT-T proponent;</w:t>
      </w:r>
      <w:r>
        <w:rPr>
          <w:spacing w:val="-3"/>
          <w:sz w:val="24"/>
        </w:rPr>
        <w:t> </w:t>
      </w:r>
      <w:r>
        <w:rPr>
          <w:sz w:val="24"/>
        </w:rPr>
        <w:t>and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may have regard to any other matter the </w:t>
      </w:r>
      <w:r>
        <w:rPr>
          <w:i/>
          <w:sz w:val="24"/>
        </w:rPr>
        <w:t>AER </w:t>
      </w:r>
      <w:r>
        <w:rPr>
          <w:sz w:val="24"/>
        </w:rPr>
        <w:t>considers</w:t>
      </w:r>
      <w:r>
        <w:rPr>
          <w:spacing w:val="-2"/>
          <w:sz w:val="24"/>
        </w:rPr>
        <w:t> </w:t>
      </w:r>
      <w:r>
        <w:rPr>
          <w:sz w:val="24"/>
        </w:rPr>
        <w:t>relevant.</w:t>
      </w:r>
    </w:p>
    <w:p>
      <w:pPr>
        <w:pStyle w:val="ListParagraph"/>
        <w:numPr>
          <w:ilvl w:val="3"/>
          <w:numId w:val="231"/>
        </w:numPr>
        <w:tabs>
          <w:tab w:pos="1919" w:val="left" w:leader="none"/>
        </w:tabs>
        <w:spacing w:line="240" w:lineRule="auto" w:before="120" w:after="0"/>
        <w:ind w:left="1919" w:right="415" w:hanging="567"/>
        <w:jc w:val="both"/>
        <w:rPr>
          <w:sz w:val="24"/>
        </w:rPr>
      </w:pPr>
      <w:r>
        <w:rPr>
          <w:sz w:val="24"/>
        </w:rPr>
        <w:t>The relevant period of time in which the </w:t>
      </w:r>
      <w:r>
        <w:rPr>
          <w:i/>
          <w:sz w:val="24"/>
        </w:rPr>
        <w:t>AER </w:t>
      </w:r>
      <w:r>
        <w:rPr>
          <w:sz w:val="24"/>
        </w:rPr>
        <w:t>must make a determination under paragraph (b) is automatically extended by the period of time taken  by the RIT-T proponent to provide any additional information requested by the </w:t>
      </w:r>
      <w:r>
        <w:rPr>
          <w:i/>
          <w:sz w:val="24"/>
        </w:rPr>
        <w:t>AER </w:t>
      </w:r>
      <w:r>
        <w:rPr>
          <w:sz w:val="24"/>
        </w:rPr>
        <w:t>under this clause 5.16.6,</w:t>
      </w:r>
      <w:r>
        <w:rPr>
          <w:spacing w:val="-2"/>
          <w:sz w:val="24"/>
        </w:rPr>
        <w:t> </w:t>
      </w:r>
      <w:r>
        <w:rPr>
          <w:sz w:val="24"/>
        </w:rPr>
        <w:t>provided: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w:t>
      </w:r>
      <w:r>
        <w:rPr>
          <w:spacing w:val="36"/>
          <w:sz w:val="24"/>
        </w:rPr>
        <w:t> </w:t>
      </w:r>
      <w:r>
        <w:rPr>
          <w:i/>
          <w:sz w:val="24"/>
        </w:rPr>
        <w:t>AER</w:t>
      </w:r>
      <w:r>
        <w:rPr>
          <w:i/>
          <w:spacing w:val="37"/>
          <w:sz w:val="24"/>
        </w:rPr>
        <w:t> </w:t>
      </w:r>
      <w:r>
        <w:rPr>
          <w:sz w:val="24"/>
        </w:rPr>
        <w:t>makes</w:t>
      </w:r>
      <w:r>
        <w:rPr>
          <w:spacing w:val="37"/>
          <w:sz w:val="24"/>
        </w:rPr>
        <w:t> </w:t>
      </w:r>
      <w:r>
        <w:rPr>
          <w:sz w:val="24"/>
        </w:rPr>
        <w:t>the</w:t>
      </w:r>
      <w:r>
        <w:rPr>
          <w:spacing w:val="36"/>
          <w:sz w:val="24"/>
        </w:rPr>
        <w:t> </w:t>
      </w:r>
      <w:r>
        <w:rPr>
          <w:sz w:val="24"/>
        </w:rPr>
        <w:t>request</w:t>
      </w:r>
      <w:r>
        <w:rPr>
          <w:spacing w:val="37"/>
          <w:sz w:val="24"/>
        </w:rPr>
        <w:t> </w:t>
      </w:r>
      <w:r>
        <w:rPr>
          <w:sz w:val="24"/>
        </w:rPr>
        <w:t>for</w:t>
      </w:r>
      <w:r>
        <w:rPr>
          <w:spacing w:val="37"/>
          <w:sz w:val="24"/>
        </w:rPr>
        <w:t> </w:t>
      </w:r>
      <w:r>
        <w:rPr>
          <w:sz w:val="24"/>
        </w:rPr>
        <w:t>the</w:t>
      </w:r>
      <w:r>
        <w:rPr>
          <w:spacing w:val="37"/>
          <w:sz w:val="24"/>
        </w:rPr>
        <w:t> </w:t>
      </w:r>
      <w:r>
        <w:rPr>
          <w:sz w:val="24"/>
        </w:rPr>
        <w:t>additional</w:t>
      </w:r>
      <w:r>
        <w:rPr>
          <w:spacing w:val="36"/>
          <w:sz w:val="24"/>
        </w:rPr>
        <w:t> </w:t>
      </w:r>
      <w:r>
        <w:rPr>
          <w:sz w:val="24"/>
        </w:rPr>
        <w:t>information</w:t>
      </w:r>
      <w:r>
        <w:rPr>
          <w:spacing w:val="37"/>
          <w:sz w:val="24"/>
        </w:rPr>
        <w:t> </w:t>
      </w:r>
      <w:r>
        <w:rPr>
          <w:sz w:val="24"/>
        </w:rPr>
        <w:t>at</w:t>
      </w:r>
      <w:r>
        <w:rPr>
          <w:spacing w:val="37"/>
          <w:sz w:val="24"/>
        </w:rPr>
        <w:t> </w:t>
      </w:r>
      <w:r>
        <w:rPr>
          <w:sz w:val="24"/>
        </w:rPr>
        <w:t>least</w:t>
      </w:r>
      <w:r>
        <w:rPr>
          <w:spacing w:val="37"/>
          <w:sz w:val="24"/>
        </w:rPr>
        <w:t> </w:t>
      </w:r>
      <w:r>
        <w:rPr>
          <w:sz w:val="24"/>
        </w:rPr>
        <w:t>7</w:t>
      </w:r>
    </w:p>
    <w:p>
      <w:pPr>
        <w:spacing w:before="0"/>
        <w:ind w:left="2486" w:right="0" w:firstLine="0"/>
        <w:jc w:val="both"/>
        <w:rPr>
          <w:sz w:val="24"/>
        </w:rPr>
      </w:pPr>
      <w:r>
        <w:rPr>
          <w:i/>
          <w:sz w:val="24"/>
        </w:rPr>
        <w:t>business days </w:t>
      </w:r>
      <w:r>
        <w:rPr>
          <w:sz w:val="24"/>
        </w:rPr>
        <w:t>prior to the expiry of the relevant period; and</w:t>
      </w:r>
    </w:p>
    <w:p>
      <w:pPr>
        <w:pStyle w:val="ListParagraph"/>
        <w:numPr>
          <w:ilvl w:val="4"/>
          <w:numId w:val="231"/>
        </w:numPr>
        <w:tabs>
          <w:tab w:pos="2486" w:val="left" w:leader="none"/>
        </w:tabs>
        <w:spacing w:line="240" w:lineRule="auto" w:before="120" w:after="0"/>
        <w:ind w:left="2485" w:right="0" w:hanging="567"/>
        <w:jc w:val="both"/>
        <w:rPr>
          <w:sz w:val="24"/>
        </w:rPr>
      </w:pPr>
      <w:r>
        <w:rPr>
          <w:sz w:val="24"/>
        </w:rPr>
        <w:t>the</w:t>
      </w:r>
      <w:r>
        <w:rPr>
          <w:spacing w:val="46"/>
          <w:sz w:val="24"/>
        </w:rPr>
        <w:t> </w:t>
      </w:r>
      <w:r>
        <w:rPr>
          <w:sz w:val="24"/>
        </w:rPr>
        <w:t>RIT-T</w:t>
      </w:r>
      <w:r>
        <w:rPr>
          <w:spacing w:val="46"/>
          <w:sz w:val="24"/>
        </w:rPr>
        <w:t> </w:t>
      </w:r>
      <w:r>
        <w:rPr>
          <w:sz w:val="24"/>
        </w:rPr>
        <w:t>proponent</w:t>
      </w:r>
      <w:r>
        <w:rPr>
          <w:spacing w:val="47"/>
          <w:sz w:val="24"/>
        </w:rPr>
        <w:t> </w:t>
      </w:r>
      <w:r>
        <w:rPr>
          <w:sz w:val="24"/>
        </w:rPr>
        <w:t>provides</w:t>
      </w:r>
      <w:r>
        <w:rPr>
          <w:spacing w:val="46"/>
          <w:sz w:val="24"/>
        </w:rPr>
        <w:t> </w:t>
      </w:r>
      <w:r>
        <w:rPr>
          <w:sz w:val="24"/>
        </w:rPr>
        <w:t>the</w:t>
      </w:r>
      <w:r>
        <w:rPr>
          <w:spacing w:val="47"/>
          <w:sz w:val="24"/>
        </w:rPr>
        <w:t> </w:t>
      </w:r>
      <w:r>
        <w:rPr>
          <w:sz w:val="24"/>
        </w:rPr>
        <w:t>additional</w:t>
      </w:r>
      <w:r>
        <w:rPr>
          <w:spacing w:val="46"/>
          <w:sz w:val="24"/>
        </w:rPr>
        <w:t> </w:t>
      </w:r>
      <w:r>
        <w:rPr>
          <w:sz w:val="24"/>
        </w:rPr>
        <w:t>information</w:t>
      </w:r>
      <w:r>
        <w:rPr>
          <w:spacing w:val="46"/>
          <w:sz w:val="24"/>
        </w:rPr>
        <w:t> </w:t>
      </w:r>
      <w:r>
        <w:rPr>
          <w:sz w:val="24"/>
        </w:rPr>
        <w:t>within</w:t>
      </w:r>
      <w:r>
        <w:rPr>
          <w:spacing w:val="47"/>
          <w:sz w:val="24"/>
        </w:rPr>
        <w:t> </w:t>
      </w:r>
      <w:r>
        <w:rPr>
          <w:sz w:val="24"/>
        </w:rPr>
        <w:t>14</w:t>
      </w:r>
    </w:p>
    <w:p>
      <w:pPr>
        <w:spacing w:before="0"/>
        <w:ind w:left="2486" w:right="0" w:firstLine="0"/>
        <w:jc w:val="both"/>
        <w:rPr>
          <w:sz w:val="24"/>
        </w:rPr>
      </w:pPr>
      <w:r>
        <w:rPr>
          <w:i/>
          <w:sz w:val="24"/>
        </w:rPr>
        <w:t>business days </w:t>
      </w:r>
      <w:r>
        <w:rPr>
          <w:sz w:val="24"/>
        </w:rPr>
        <w:t>of receipt of the request.</w:t>
      </w:r>
    </w:p>
    <w:p>
      <w:pPr>
        <w:pStyle w:val="BodyText"/>
        <w:spacing w:before="10"/>
        <w:ind w:firstLine="0"/>
        <w:jc w:val="left"/>
        <w:rPr>
          <w:sz w:val="20"/>
        </w:rPr>
      </w:pPr>
    </w:p>
    <w:p>
      <w:pPr>
        <w:pStyle w:val="Heading3"/>
        <w:numPr>
          <w:ilvl w:val="1"/>
          <w:numId w:val="228"/>
        </w:numPr>
        <w:tabs>
          <w:tab w:pos="1351" w:val="left" w:leader="none"/>
          <w:tab w:pos="1353" w:val="left" w:leader="none"/>
        </w:tabs>
        <w:spacing w:line="240" w:lineRule="auto" w:before="0" w:after="0"/>
        <w:ind w:left="1352" w:right="0" w:hanging="1135"/>
        <w:jc w:val="left"/>
      </w:pPr>
      <w:bookmarkStart w:name="5.17 Regulatory investment test for dist" w:id="753"/>
      <w:bookmarkEnd w:id="753"/>
      <w:r>
        <w:rPr>
          <w:b w:val="0"/>
        </w:rPr>
      </w:r>
      <w:bookmarkStart w:name="_bookmark291" w:id="754"/>
      <w:bookmarkEnd w:id="754"/>
      <w:r>
        <w:rPr>
          <w:b w:val="0"/>
        </w:rPr>
      </w:r>
      <w:bookmarkStart w:name="_bookmark291" w:id="755"/>
      <w:bookmarkEnd w:id="755"/>
      <w:r>
        <w:rPr/>
        <w:t>Regul</w:t>
      </w:r>
      <w:r>
        <w:rPr/>
        <w:t>atory investment test for</w:t>
      </w:r>
      <w:r>
        <w:rPr>
          <w:spacing w:val="-4"/>
        </w:rPr>
        <w:t> </w:t>
      </w:r>
      <w:r>
        <w:rPr/>
        <w:t>distribution</w:t>
      </w:r>
    </w:p>
    <w:p>
      <w:pPr>
        <w:pStyle w:val="Heading4"/>
        <w:numPr>
          <w:ilvl w:val="2"/>
          <w:numId w:val="235"/>
        </w:numPr>
        <w:tabs>
          <w:tab w:pos="1351" w:val="left" w:leader="none"/>
          <w:tab w:pos="1352" w:val="left" w:leader="none"/>
        </w:tabs>
        <w:spacing w:line="240" w:lineRule="auto" w:before="240" w:after="0"/>
        <w:ind w:left="1351" w:right="0" w:hanging="1134"/>
        <w:jc w:val="left"/>
      </w:pPr>
      <w:bookmarkStart w:name="5.17.1 Principles" w:id="756"/>
      <w:bookmarkEnd w:id="756"/>
      <w:r>
        <w:rPr>
          <w:b w:val="0"/>
        </w:rPr>
      </w:r>
      <w:bookmarkStart w:name="_bookmark292" w:id="757"/>
      <w:bookmarkEnd w:id="757"/>
      <w:r>
        <w:rPr>
          <w:b w:val="0"/>
        </w:rPr>
      </w:r>
      <w:bookmarkStart w:name="_bookmark292" w:id="758"/>
      <w:bookmarkEnd w:id="758"/>
      <w:r>
        <w:rPr/>
        <w:t>Princip</w:t>
      </w:r>
      <w:r>
        <w:rPr/>
        <w:t>les</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and </w:t>
      </w:r>
      <w:r>
        <w:rPr>
          <w:i/>
          <w:sz w:val="24"/>
        </w:rPr>
        <w:t>publish </w:t>
      </w:r>
      <w:r>
        <w:rPr>
          <w:sz w:val="24"/>
        </w:rPr>
        <w:t>the </w:t>
      </w:r>
      <w:r>
        <w:rPr>
          <w:i/>
          <w:sz w:val="24"/>
        </w:rPr>
        <w:t>regulatory investment test for </w:t>
      </w:r>
      <w:r>
        <w:rPr>
          <w:i/>
          <w:sz w:val="24"/>
        </w:rPr>
        <w:t>distribution </w:t>
      </w:r>
      <w:r>
        <w:rPr>
          <w:sz w:val="24"/>
        </w:rPr>
        <w:t>in accordance with the </w:t>
      </w:r>
      <w:r>
        <w:rPr>
          <w:i/>
          <w:sz w:val="24"/>
        </w:rPr>
        <w:t>distribution consultation procedures </w:t>
      </w:r>
      <w:r>
        <w:rPr>
          <w:sz w:val="24"/>
        </w:rPr>
        <w:t>and this clause</w:t>
      </w:r>
      <w:r>
        <w:rPr>
          <w:spacing w:val="-2"/>
          <w:sz w:val="24"/>
        </w:rPr>
        <w:t> </w:t>
      </w:r>
      <w:r>
        <w:rPr>
          <w:sz w:val="24"/>
        </w:rPr>
        <w:t>5.17.1.</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The purpose of the </w:t>
      </w:r>
      <w:r>
        <w:rPr>
          <w:i/>
          <w:sz w:val="24"/>
        </w:rPr>
        <w:t>regulatory investment test for distribution </w:t>
      </w:r>
      <w:r>
        <w:rPr>
          <w:sz w:val="24"/>
        </w:rPr>
        <w:t>is to identify the credible option that maximises the present value of the net economic benefit to all those who produce, consume and transport electricity in the local electricity system (the preferred option). For the avoidance of doubt, a preferred option may, in the relevant circumstances, have a negative net economic benefit (that is, a net economic cost) where the </w:t>
      </w:r>
      <w:r>
        <w:rPr>
          <w:i/>
          <w:sz w:val="24"/>
        </w:rPr>
        <w:t>identified need </w:t>
      </w:r>
      <w:r>
        <w:rPr>
          <w:sz w:val="24"/>
        </w:rPr>
        <w:t>is for reliability corrective</w:t>
      </w:r>
      <w:r>
        <w:rPr>
          <w:spacing w:val="-1"/>
          <w:sz w:val="24"/>
        </w:rPr>
        <w:t> </w:t>
      </w:r>
      <w:r>
        <w:rPr>
          <w:sz w:val="24"/>
        </w:rPr>
        <w:t>action.</w:t>
      </w:r>
    </w:p>
    <w:p>
      <w:pPr>
        <w:pStyle w:val="ListParagraph"/>
        <w:numPr>
          <w:ilvl w:val="3"/>
          <w:numId w:val="235"/>
        </w:numPr>
        <w:tabs>
          <w:tab w:pos="1919" w:val="left" w:leader="none"/>
        </w:tabs>
        <w:spacing w:line="240" w:lineRule="auto" w:before="120" w:after="0"/>
        <w:ind w:left="1918" w:right="0" w:hanging="567"/>
        <w:jc w:val="both"/>
        <w:rPr>
          <w:sz w:val="24"/>
        </w:rPr>
      </w:pPr>
      <w:r>
        <w:rPr>
          <w:sz w:val="24"/>
        </w:rPr>
        <w:t>The </w:t>
      </w:r>
      <w:r>
        <w:rPr>
          <w:i/>
          <w:sz w:val="24"/>
        </w:rPr>
        <w:t>regulatory investment test for distribution</w:t>
      </w:r>
      <w:r>
        <w:rPr>
          <w:i/>
          <w:spacing w:val="-3"/>
          <w:sz w:val="24"/>
        </w:rPr>
        <w:t> </w:t>
      </w:r>
      <w:r>
        <w:rPr>
          <w:sz w:val="24"/>
        </w:rPr>
        <w:t>must:</w:t>
      </w:r>
    </w:p>
    <w:p>
      <w:pPr>
        <w:pStyle w:val="ListParagraph"/>
        <w:numPr>
          <w:ilvl w:val="4"/>
          <w:numId w:val="235"/>
        </w:numPr>
        <w:tabs>
          <w:tab w:pos="2486" w:val="left" w:leader="none"/>
        </w:tabs>
        <w:spacing w:line="240" w:lineRule="auto" w:before="120" w:after="0"/>
        <w:ind w:left="2486" w:right="413" w:hanging="567"/>
        <w:jc w:val="both"/>
        <w:rPr>
          <w:sz w:val="24"/>
        </w:rPr>
      </w:pPr>
      <w:r>
        <w:rPr>
          <w:sz w:val="24"/>
        </w:rPr>
        <w:t>be based on a cost-benefit analysis that must include an assessment of reasonable scenarios of future supply and</w:t>
      </w:r>
      <w:r>
        <w:rPr>
          <w:spacing w:val="-4"/>
          <w:sz w:val="24"/>
        </w:rPr>
        <w:t> </w:t>
      </w:r>
      <w:r>
        <w:rPr>
          <w:sz w:val="24"/>
        </w:rPr>
        <w:t>demand;</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5" w:val="left" w:leader="none"/>
          <w:tab w:pos="2486" w:val="left" w:leader="none"/>
        </w:tabs>
        <w:spacing w:line="240" w:lineRule="auto" w:before="83" w:after="0"/>
        <w:ind w:left="2486" w:right="415" w:hanging="567"/>
        <w:jc w:val="left"/>
        <w:rPr>
          <w:sz w:val="24"/>
        </w:rPr>
      </w:pPr>
      <w:r>
        <w:rPr>
          <w:sz w:val="24"/>
        </w:rPr>
        <w:t>not require a level of analysis that is disproportionate to the scale and likely impact of each of the credible options being</w:t>
      </w:r>
      <w:r>
        <w:rPr>
          <w:spacing w:val="-4"/>
          <w:sz w:val="24"/>
        </w:rPr>
        <w:t> </w:t>
      </w:r>
      <w:r>
        <w:rPr>
          <w:sz w:val="24"/>
        </w:rPr>
        <w:t>considered;</w:t>
      </w:r>
    </w:p>
    <w:p>
      <w:pPr>
        <w:pStyle w:val="ListParagraph"/>
        <w:numPr>
          <w:ilvl w:val="4"/>
          <w:numId w:val="235"/>
        </w:numPr>
        <w:tabs>
          <w:tab w:pos="2485" w:val="left" w:leader="none"/>
          <w:tab w:pos="2486" w:val="left" w:leader="none"/>
        </w:tabs>
        <w:spacing w:line="240" w:lineRule="auto" w:before="120" w:after="0"/>
        <w:ind w:left="2486" w:right="414" w:hanging="567"/>
        <w:jc w:val="left"/>
        <w:rPr>
          <w:sz w:val="24"/>
        </w:rPr>
      </w:pPr>
      <w:r>
        <w:rPr>
          <w:sz w:val="24"/>
        </w:rPr>
        <w:t>be capable of being applied in a predictable, transparent and consistent manner;</w:t>
      </w:r>
    </w:p>
    <w:p>
      <w:pPr>
        <w:pStyle w:val="ListParagraph"/>
        <w:numPr>
          <w:ilvl w:val="4"/>
          <w:numId w:val="235"/>
        </w:numPr>
        <w:tabs>
          <w:tab w:pos="2485" w:val="left" w:leader="none"/>
          <w:tab w:pos="2486" w:val="left" w:leader="none"/>
        </w:tabs>
        <w:spacing w:line="240" w:lineRule="auto" w:before="120" w:after="0"/>
        <w:ind w:left="2486" w:right="414" w:hanging="567"/>
        <w:jc w:val="left"/>
        <w:rPr>
          <w:sz w:val="24"/>
        </w:rPr>
      </w:pPr>
      <w:r>
        <w:rPr>
          <w:sz w:val="24"/>
        </w:rPr>
        <w:t>require the RIT-D proponent to consider whether each credible option could deliver the following classes of market</w:t>
      </w:r>
      <w:r>
        <w:rPr>
          <w:spacing w:val="-2"/>
          <w:sz w:val="24"/>
        </w:rPr>
        <w:t> </w:t>
      </w:r>
      <w:r>
        <w:rPr>
          <w:sz w:val="24"/>
        </w:rPr>
        <w:t>benefits:</w:t>
      </w:r>
    </w:p>
    <w:p>
      <w:pPr>
        <w:pStyle w:val="ListParagraph"/>
        <w:numPr>
          <w:ilvl w:val="5"/>
          <w:numId w:val="235"/>
        </w:numPr>
        <w:tabs>
          <w:tab w:pos="3053" w:val="left" w:leader="none"/>
        </w:tabs>
        <w:spacing w:line="240" w:lineRule="auto" w:before="120" w:after="0"/>
        <w:ind w:left="3052" w:right="0" w:hanging="567"/>
        <w:jc w:val="both"/>
        <w:rPr>
          <w:sz w:val="24"/>
        </w:rPr>
      </w:pPr>
      <w:r>
        <w:rPr>
          <w:sz w:val="24"/>
        </w:rPr>
        <w:t>changes in voluntary </w:t>
      </w:r>
      <w:r>
        <w:rPr>
          <w:i/>
          <w:sz w:val="24"/>
        </w:rPr>
        <w:t>load</w:t>
      </w:r>
      <w:r>
        <w:rPr>
          <w:i/>
          <w:spacing w:val="-1"/>
          <w:sz w:val="24"/>
        </w:rPr>
        <w:t> </w:t>
      </w:r>
      <w:r>
        <w:rPr>
          <w:sz w:val="24"/>
        </w:rPr>
        <w:t>curtailment;</w:t>
      </w:r>
    </w:p>
    <w:p>
      <w:pPr>
        <w:pStyle w:val="ListParagraph"/>
        <w:numPr>
          <w:ilvl w:val="5"/>
          <w:numId w:val="235"/>
        </w:numPr>
        <w:tabs>
          <w:tab w:pos="3054" w:val="left" w:leader="none"/>
        </w:tabs>
        <w:spacing w:line="240" w:lineRule="auto" w:before="120" w:after="0"/>
        <w:ind w:left="3053" w:right="414" w:hanging="567"/>
        <w:jc w:val="both"/>
        <w:rPr>
          <w:sz w:val="24"/>
        </w:rPr>
      </w:pPr>
      <w:r>
        <w:rPr>
          <w:sz w:val="24"/>
        </w:rPr>
        <w:t>changes in involuntary </w:t>
      </w:r>
      <w:r>
        <w:rPr>
          <w:i/>
          <w:sz w:val="24"/>
        </w:rPr>
        <w:t>load shedding </w:t>
      </w:r>
      <w:r>
        <w:rPr>
          <w:sz w:val="24"/>
        </w:rPr>
        <w:t>and </w:t>
      </w:r>
      <w:r>
        <w:rPr>
          <w:i/>
          <w:sz w:val="24"/>
        </w:rPr>
        <w:t>customer </w:t>
      </w:r>
      <w:r>
        <w:rPr>
          <w:sz w:val="24"/>
        </w:rPr>
        <w:t>interruptions caused by </w:t>
      </w:r>
      <w:r>
        <w:rPr>
          <w:i/>
          <w:sz w:val="24"/>
        </w:rPr>
        <w:t>network </w:t>
      </w:r>
      <w:r>
        <w:rPr>
          <w:sz w:val="24"/>
        </w:rPr>
        <w:t>outages, using a reasonable forecast of the value of electricity to</w:t>
      </w:r>
      <w:r>
        <w:rPr>
          <w:spacing w:val="-1"/>
          <w:sz w:val="24"/>
        </w:rPr>
        <w:t> </w:t>
      </w:r>
      <w:r>
        <w:rPr>
          <w:i/>
          <w:sz w:val="24"/>
        </w:rPr>
        <w:t>customers</w:t>
      </w:r>
      <w:r>
        <w:rPr>
          <w:sz w:val="24"/>
        </w:rPr>
        <w:t>;</w:t>
      </w:r>
    </w:p>
    <w:p>
      <w:pPr>
        <w:pStyle w:val="ListParagraph"/>
        <w:numPr>
          <w:ilvl w:val="5"/>
          <w:numId w:val="235"/>
        </w:numPr>
        <w:tabs>
          <w:tab w:pos="3053" w:val="left" w:leader="none"/>
        </w:tabs>
        <w:spacing w:line="240" w:lineRule="auto" w:before="120" w:after="0"/>
        <w:ind w:left="3053" w:right="414" w:hanging="567"/>
        <w:jc w:val="both"/>
        <w:rPr>
          <w:sz w:val="24"/>
        </w:rPr>
      </w:pPr>
      <w:r>
        <w:rPr>
          <w:sz w:val="24"/>
        </w:rPr>
        <w:t>changes in costs for parties, other than the RIT-D proponent,  due to differences</w:t>
      </w:r>
      <w:r>
        <w:rPr>
          <w:spacing w:val="-1"/>
          <w:sz w:val="24"/>
        </w:rPr>
        <w:t> </w:t>
      </w:r>
      <w:r>
        <w:rPr>
          <w:sz w:val="24"/>
        </w:rPr>
        <w:t>in:</w:t>
      </w:r>
    </w:p>
    <w:p>
      <w:pPr>
        <w:pStyle w:val="ListParagraph"/>
        <w:numPr>
          <w:ilvl w:val="6"/>
          <w:numId w:val="235"/>
        </w:numPr>
        <w:tabs>
          <w:tab w:pos="3619" w:val="left" w:leader="none"/>
          <w:tab w:pos="3620" w:val="left" w:leader="none"/>
        </w:tabs>
        <w:spacing w:line="240" w:lineRule="auto" w:before="120" w:after="0"/>
        <w:ind w:left="3619" w:right="0" w:hanging="567"/>
        <w:jc w:val="left"/>
        <w:rPr>
          <w:sz w:val="24"/>
        </w:rPr>
      </w:pPr>
      <w:r>
        <w:rPr>
          <w:sz w:val="24"/>
        </w:rPr>
        <w:t>the timing of new</w:t>
      </w:r>
      <w:r>
        <w:rPr>
          <w:spacing w:val="-2"/>
          <w:sz w:val="24"/>
        </w:rPr>
        <w:t> </w:t>
      </w:r>
      <w:r>
        <w:rPr>
          <w:i/>
          <w:sz w:val="24"/>
        </w:rPr>
        <w:t>plant</w:t>
      </w:r>
      <w:r>
        <w:rPr>
          <w:sz w:val="24"/>
        </w:rPr>
        <w:t>;</w:t>
      </w:r>
    </w:p>
    <w:p>
      <w:pPr>
        <w:pStyle w:val="ListParagraph"/>
        <w:numPr>
          <w:ilvl w:val="6"/>
          <w:numId w:val="235"/>
        </w:numPr>
        <w:tabs>
          <w:tab w:pos="3620" w:val="left" w:leader="none"/>
          <w:tab w:pos="3621" w:val="left" w:leader="none"/>
        </w:tabs>
        <w:spacing w:line="240" w:lineRule="auto" w:before="120" w:after="0"/>
        <w:ind w:left="3620" w:right="0" w:hanging="568"/>
        <w:jc w:val="left"/>
        <w:rPr>
          <w:sz w:val="24"/>
        </w:rPr>
      </w:pPr>
      <w:r>
        <w:rPr>
          <w:sz w:val="24"/>
        </w:rPr>
        <w:t>capital costs;</w:t>
      </w:r>
      <w:r>
        <w:rPr>
          <w:spacing w:val="-2"/>
          <w:sz w:val="24"/>
        </w:rPr>
        <w:t> </w:t>
      </w:r>
      <w:r>
        <w:rPr>
          <w:sz w:val="24"/>
        </w:rPr>
        <w:t>and</w:t>
      </w:r>
    </w:p>
    <w:p>
      <w:pPr>
        <w:pStyle w:val="ListParagraph"/>
        <w:numPr>
          <w:ilvl w:val="6"/>
          <w:numId w:val="235"/>
        </w:numPr>
        <w:tabs>
          <w:tab w:pos="3620" w:val="left" w:leader="none"/>
          <w:tab w:pos="3621" w:val="left" w:leader="none"/>
        </w:tabs>
        <w:spacing w:line="240" w:lineRule="auto" w:before="120" w:after="0"/>
        <w:ind w:left="3620" w:right="0" w:hanging="568"/>
        <w:jc w:val="left"/>
        <w:rPr>
          <w:sz w:val="24"/>
        </w:rPr>
      </w:pPr>
      <w:r>
        <w:rPr>
          <w:sz w:val="24"/>
        </w:rPr>
        <w:t>the operating and maintenance</w:t>
      </w:r>
      <w:r>
        <w:rPr>
          <w:spacing w:val="-2"/>
          <w:sz w:val="24"/>
        </w:rPr>
        <w:t> </w:t>
      </w:r>
      <w:r>
        <w:rPr>
          <w:sz w:val="24"/>
        </w:rPr>
        <w:t>costs;</w:t>
      </w:r>
    </w:p>
    <w:p>
      <w:pPr>
        <w:pStyle w:val="ListParagraph"/>
        <w:numPr>
          <w:ilvl w:val="5"/>
          <w:numId w:val="235"/>
        </w:numPr>
        <w:tabs>
          <w:tab w:pos="3052" w:val="left" w:leader="none"/>
          <w:tab w:pos="3054" w:val="left" w:leader="none"/>
        </w:tabs>
        <w:spacing w:line="240" w:lineRule="auto" w:before="120" w:after="0"/>
        <w:ind w:left="3053" w:right="0" w:hanging="568"/>
        <w:jc w:val="left"/>
        <w:rPr>
          <w:sz w:val="24"/>
        </w:rPr>
      </w:pPr>
      <w:r>
        <w:rPr>
          <w:sz w:val="24"/>
        </w:rPr>
        <w:t>differences in the timing of</w:t>
      </w:r>
      <w:r>
        <w:rPr>
          <w:spacing w:val="-2"/>
          <w:sz w:val="24"/>
        </w:rPr>
        <w:t> </w:t>
      </w:r>
      <w:r>
        <w:rPr>
          <w:sz w:val="24"/>
        </w:rPr>
        <w:t>expenditure;</w:t>
      </w:r>
    </w:p>
    <w:p>
      <w:pPr>
        <w:pStyle w:val="ListParagraph"/>
        <w:numPr>
          <w:ilvl w:val="5"/>
          <w:numId w:val="235"/>
        </w:numPr>
        <w:tabs>
          <w:tab w:pos="3052" w:val="left" w:leader="none"/>
          <w:tab w:pos="3053" w:val="left" w:leader="none"/>
        </w:tabs>
        <w:spacing w:line="240" w:lineRule="auto" w:before="120" w:after="0"/>
        <w:ind w:left="3053" w:right="414" w:hanging="567"/>
        <w:jc w:val="left"/>
        <w:rPr>
          <w:sz w:val="24"/>
        </w:rPr>
      </w:pPr>
      <w:r>
        <w:rPr>
          <w:sz w:val="24"/>
        </w:rPr>
        <w:t>changes in load transfer capacity and the capacity of </w:t>
      </w:r>
      <w:r>
        <w:rPr>
          <w:i/>
          <w:sz w:val="24"/>
        </w:rPr>
        <w:t>Embedded </w:t>
      </w:r>
      <w:r>
        <w:rPr>
          <w:i/>
          <w:sz w:val="24"/>
        </w:rPr>
        <w:t>Generators </w:t>
      </w:r>
      <w:r>
        <w:rPr>
          <w:sz w:val="24"/>
        </w:rPr>
        <w:t>to take up</w:t>
      </w:r>
      <w:r>
        <w:rPr>
          <w:spacing w:val="-2"/>
          <w:sz w:val="24"/>
        </w:rPr>
        <w:t> </w:t>
      </w:r>
      <w:r>
        <w:rPr>
          <w:i/>
          <w:sz w:val="24"/>
        </w:rPr>
        <w:t>load</w:t>
      </w:r>
      <w:r>
        <w:rPr>
          <w:sz w:val="24"/>
        </w:rPr>
        <w:t>;</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any additional option value (where this value has not already been included in the other classes of market benefits) gained </w:t>
      </w:r>
      <w:r>
        <w:rPr>
          <w:spacing w:val="-7"/>
          <w:sz w:val="24"/>
        </w:rPr>
        <w:t>or </w:t>
      </w:r>
      <w:r>
        <w:rPr>
          <w:sz w:val="24"/>
        </w:rPr>
        <w:t>foregone from implementing the credible option with respect </w:t>
      </w:r>
      <w:r>
        <w:rPr>
          <w:spacing w:val="-6"/>
          <w:sz w:val="24"/>
        </w:rPr>
        <w:t>to </w:t>
      </w:r>
      <w:r>
        <w:rPr>
          <w:sz w:val="24"/>
        </w:rPr>
        <w:t>the likely future investment needs of the local electricity</w:t>
      </w:r>
      <w:r>
        <w:rPr>
          <w:spacing w:val="-9"/>
          <w:sz w:val="24"/>
        </w:rPr>
        <w:t> </w:t>
      </w:r>
      <w:r>
        <w:rPr>
          <w:sz w:val="24"/>
        </w:rPr>
        <w:t>system;</w:t>
      </w:r>
    </w:p>
    <w:p>
      <w:pPr>
        <w:pStyle w:val="ListParagraph"/>
        <w:numPr>
          <w:ilvl w:val="5"/>
          <w:numId w:val="235"/>
        </w:numPr>
        <w:tabs>
          <w:tab w:pos="3053" w:val="left" w:leader="none"/>
        </w:tabs>
        <w:spacing w:line="240" w:lineRule="auto" w:before="120" w:after="0"/>
        <w:ind w:left="3052" w:right="0" w:hanging="567"/>
        <w:jc w:val="both"/>
        <w:rPr>
          <w:sz w:val="24"/>
        </w:rPr>
      </w:pPr>
      <w:r>
        <w:rPr>
          <w:sz w:val="24"/>
        </w:rPr>
        <w:t>changes in </w:t>
      </w:r>
      <w:r>
        <w:rPr>
          <w:i/>
          <w:sz w:val="24"/>
        </w:rPr>
        <w:t>electrical energy losses</w:t>
      </w:r>
      <w:r>
        <w:rPr>
          <w:sz w:val="24"/>
        </w:rPr>
        <w:t>;</w:t>
      </w:r>
      <w:r>
        <w:rPr>
          <w:spacing w:val="-1"/>
          <w:sz w:val="24"/>
        </w:rPr>
        <w:t> </w:t>
      </w:r>
      <w:r>
        <w:rPr>
          <w:sz w:val="24"/>
        </w:rPr>
        <w:t>and</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any other class of market benefit determined to be relevant </w:t>
      </w:r>
      <w:r>
        <w:rPr>
          <w:spacing w:val="-6"/>
          <w:sz w:val="24"/>
        </w:rPr>
        <w:t>by </w:t>
      </w:r>
      <w:r>
        <w:rPr>
          <w:sz w:val="24"/>
        </w:rPr>
        <w:t>the</w:t>
      </w:r>
      <w:r>
        <w:rPr>
          <w:spacing w:val="-1"/>
          <w:sz w:val="24"/>
        </w:rPr>
        <w:t> </w:t>
      </w:r>
      <w:r>
        <w:rPr>
          <w:i/>
          <w:sz w:val="24"/>
        </w:rPr>
        <w:t>AER</w:t>
      </w:r>
      <w:r>
        <w:rPr>
          <w:sz w:val="24"/>
        </w:rPr>
        <w:t>.</w:t>
      </w:r>
    </w:p>
    <w:p>
      <w:pPr>
        <w:pStyle w:val="ListParagraph"/>
        <w:numPr>
          <w:ilvl w:val="4"/>
          <w:numId w:val="235"/>
        </w:numPr>
        <w:tabs>
          <w:tab w:pos="2486" w:val="left" w:leader="none"/>
        </w:tabs>
        <w:spacing w:line="240" w:lineRule="auto" w:before="120" w:after="0"/>
        <w:ind w:left="2486" w:right="413" w:hanging="567"/>
        <w:jc w:val="both"/>
        <w:rPr>
          <w:sz w:val="24"/>
        </w:rPr>
      </w:pPr>
      <w:r>
        <w:rPr>
          <w:sz w:val="24"/>
        </w:rPr>
        <w:t>with respect to the classes of market benefits set out in subparagraphs (4)(i) and (ii), ensure that, if a credible option is for reliability corrective action, the consideration and any quantification assessment of these classes of market benefits will only apply insofar as the market benefit delivered by that credible option exceeds the minimum standard required for reliability corrective</w:t>
      </w:r>
      <w:r>
        <w:rPr>
          <w:spacing w:val="-3"/>
          <w:sz w:val="24"/>
        </w:rPr>
        <w:t> </w:t>
      </w:r>
      <w:r>
        <w:rPr>
          <w:sz w:val="24"/>
        </w:rPr>
        <w:t>action;</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require the RIT-D proponent to consider whether the following classes of costs would be associated with each credible option and, if so, quantify</w:t>
      </w:r>
      <w:r>
        <w:rPr>
          <w:spacing w:val="-1"/>
          <w:sz w:val="24"/>
        </w:rPr>
        <w:t> </w:t>
      </w:r>
      <w:r>
        <w:rPr>
          <w:sz w:val="24"/>
        </w:rPr>
        <w:t>the:</w:t>
      </w:r>
    </w:p>
    <w:p>
      <w:pPr>
        <w:pStyle w:val="ListParagraph"/>
        <w:numPr>
          <w:ilvl w:val="5"/>
          <w:numId w:val="235"/>
        </w:numPr>
        <w:tabs>
          <w:tab w:pos="3053" w:val="left" w:leader="none"/>
        </w:tabs>
        <w:spacing w:line="240" w:lineRule="auto" w:before="120" w:after="0"/>
        <w:ind w:left="3053" w:right="414" w:hanging="567"/>
        <w:jc w:val="both"/>
        <w:rPr>
          <w:sz w:val="24"/>
        </w:rPr>
      </w:pPr>
      <w:r>
        <w:rPr>
          <w:sz w:val="24"/>
        </w:rPr>
        <w:t>financial costs incurred in constructing or providing the credible option;</w:t>
      </w:r>
    </w:p>
    <w:p>
      <w:pPr>
        <w:pStyle w:val="ListParagraph"/>
        <w:numPr>
          <w:ilvl w:val="5"/>
          <w:numId w:val="235"/>
        </w:numPr>
        <w:tabs>
          <w:tab w:pos="3054" w:val="left" w:leader="none"/>
        </w:tabs>
        <w:spacing w:line="240" w:lineRule="auto" w:before="120" w:after="0"/>
        <w:ind w:left="3053" w:right="415" w:hanging="567"/>
        <w:jc w:val="both"/>
        <w:rPr>
          <w:sz w:val="24"/>
        </w:rPr>
      </w:pPr>
      <w:r>
        <w:rPr>
          <w:sz w:val="24"/>
        </w:rPr>
        <w:t>operating and maintenance costs over the operating life of the credible</w:t>
      </w:r>
      <w:r>
        <w:rPr>
          <w:spacing w:val="-1"/>
          <w:sz w:val="24"/>
        </w:rPr>
        <w:t> </w:t>
      </w:r>
      <w:r>
        <w:rPr>
          <w:sz w:val="24"/>
        </w:rPr>
        <w:t>option;</w:t>
      </w:r>
    </w:p>
    <w:p>
      <w:pPr>
        <w:pStyle w:val="ListParagraph"/>
        <w:numPr>
          <w:ilvl w:val="5"/>
          <w:numId w:val="235"/>
        </w:numPr>
        <w:tabs>
          <w:tab w:pos="3053" w:val="left" w:leader="none"/>
        </w:tabs>
        <w:spacing w:line="240" w:lineRule="auto" w:before="120" w:after="0"/>
        <w:ind w:left="3053" w:right="414" w:hanging="567"/>
        <w:jc w:val="both"/>
        <w:rPr>
          <w:sz w:val="24"/>
        </w:rPr>
      </w:pPr>
      <w:r>
        <w:rPr>
          <w:sz w:val="24"/>
        </w:rPr>
        <w:t>cost of complying with laws, regulations and applicable administrative requirements in relation to the construction and operation of the credible option;</w:t>
      </w:r>
      <w:r>
        <w:rPr>
          <w:spacing w:val="-1"/>
          <w:sz w:val="24"/>
        </w:rPr>
        <w:t> </w:t>
      </w:r>
      <w:r>
        <w:rPr>
          <w:sz w:val="24"/>
        </w:rPr>
        <w:t>and</w:t>
      </w:r>
    </w:p>
    <w:p>
      <w:pPr>
        <w:pStyle w:val="ListParagraph"/>
        <w:numPr>
          <w:ilvl w:val="5"/>
          <w:numId w:val="235"/>
        </w:numPr>
        <w:tabs>
          <w:tab w:pos="3054" w:val="left" w:leader="none"/>
        </w:tabs>
        <w:spacing w:line="240" w:lineRule="auto" w:before="120" w:after="0"/>
        <w:ind w:left="3053" w:right="0" w:hanging="568"/>
        <w:jc w:val="both"/>
        <w:rPr>
          <w:sz w:val="24"/>
        </w:rPr>
      </w:pPr>
      <w:r>
        <w:rPr>
          <w:sz w:val="24"/>
        </w:rPr>
        <w:t>any other financial costs determined to be relevant by the</w:t>
      </w:r>
      <w:r>
        <w:rPr>
          <w:spacing w:val="-3"/>
          <w:sz w:val="24"/>
        </w:rPr>
        <w:t> </w:t>
      </w:r>
      <w:r>
        <w:rPr>
          <w:i/>
          <w:sz w:val="24"/>
        </w:rPr>
        <w:t>AER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6" w:val="left" w:leader="none"/>
        </w:tabs>
        <w:spacing w:line="240" w:lineRule="auto" w:before="83" w:after="0"/>
        <w:ind w:left="2486" w:right="414" w:hanging="567"/>
        <w:jc w:val="both"/>
        <w:rPr>
          <w:sz w:val="24"/>
        </w:rPr>
      </w:pPr>
      <w:r>
        <w:rPr>
          <w:sz w:val="24"/>
        </w:rPr>
        <w:t>require a RIT-D proponent, in exercising judgement as to whether a particular class of market benefit or cost applies to each credible option, to have regard to any submissions received on the non- network options report and/or draft project assessment report where relevant;</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provide that any market benefit or cost which cannot be measured as a market benefit or cost to persons in their capacity as</w:t>
      </w:r>
      <w:r>
        <w:rPr>
          <w:spacing w:val="32"/>
          <w:sz w:val="24"/>
        </w:rPr>
        <w:t> </w:t>
      </w:r>
      <w:r>
        <w:rPr>
          <w:i/>
          <w:sz w:val="24"/>
        </w:rPr>
        <w:t>Generators</w:t>
      </w:r>
      <w:r>
        <w:rPr>
          <w:sz w:val="24"/>
        </w:rPr>
        <w:t>, </w:t>
      </w:r>
      <w:r>
        <w:rPr>
          <w:i/>
          <w:sz w:val="24"/>
        </w:rPr>
        <w:t>Distribution Network Service Providers</w:t>
      </w:r>
      <w:r>
        <w:rPr>
          <w:sz w:val="24"/>
        </w:rPr>
        <w:t>, </w:t>
      </w:r>
      <w:r>
        <w:rPr>
          <w:i/>
          <w:sz w:val="24"/>
        </w:rPr>
        <w:t>Transmission Network </w:t>
      </w:r>
      <w:r>
        <w:rPr>
          <w:i/>
          <w:sz w:val="24"/>
        </w:rPr>
        <w:t>Service Providers </w:t>
      </w:r>
      <w:r>
        <w:rPr>
          <w:sz w:val="24"/>
        </w:rPr>
        <w:t>or consumers of electricity must not be included in any analysis under the </w:t>
      </w:r>
      <w:r>
        <w:rPr>
          <w:i/>
          <w:sz w:val="24"/>
        </w:rPr>
        <w:t>regulatory investment test for distribution</w:t>
      </w:r>
      <w:r>
        <w:rPr>
          <w:sz w:val="24"/>
        </w:rPr>
        <w:t>;</w:t>
      </w:r>
      <w:r>
        <w:rPr>
          <w:spacing w:val="-15"/>
          <w:sz w:val="24"/>
        </w:rPr>
        <w:t> </w:t>
      </w:r>
      <w:r>
        <w:rPr>
          <w:sz w:val="24"/>
        </w:rPr>
        <w:t>and</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specify:</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the method or methods permitted for estimating the magnitude of the different classes of market</w:t>
      </w:r>
      <w:r>
        <w:rPr>
          <w:spacing w:val="-1"/>
          <w:sz w:val="24"/>
        </w:rPr>
        <w:t> </w:t>
      </w:r>
      <w:r>
        <w:rPr>
          <w:sz w:val="24"/>
        </w:rPr>
        <w:t>benefits;</w:t>
      </w:r>
    </w:p>
    <w:p>
      <w:pPr>
        <w:pStyle w:val="ListParagraph"/>
        <w:numPr>
          <w:ilvl w:val="5"/>
          <w:numId w:val="235"/>
        </w:numPr>
        <w:tabs>
          <w:tab w:pos="3054" w:val="left" w:leader="none"/>
        </w:tabs>
        <w:spacing w:line="240" w:lineRule="auto" w:before="120" w:after="0"/>
        <w:ind w:left="3053" w:right="415" w:hanging="567"/>
        <w:jc w:val="both"/>
        <w:rPr>
          <w:sz w:val="24"/>
        </w:rPr>
      </w:pPr>
      <w:r>
        <w:rPr>
          <w:sz w:val="24"/>
        </w:rPr>
        <w:t>the method or methods permitted for estimating the magnitude of the different classes of</w:t>
      </w:r>
      <w:r>
        <w:rPr>
          <w:spacing w:val="-1"/>
          <w:sz w:val="24"/>
        </w:rPr>
        <w:t> </w:t>
      </w:r>
      <w:r>
        <w:rPr>
          <w:sz w:val="24"/>
        </w:rPr>
        <w:t>costs;</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the appropriate method and value for specific inputs, where relevant, for determining the discount rate or rates to be</w:t>
      </w:r>
      <w:r>
        <w:rPr>
          <w:spacing w:val="-4"/>
          <w:sz w:val="24"/>
        </w:rPr>
        <w:t> </w:t>
      </w:r>
      <w:r>
        <w:rPr>
          <w:sz w:val="24"/>
        </w:rPr>
        <w:t>applied;</w:t>
      </w:r>
    </w:p>
    <w:p>
      <w:pPr>
        <w:pStyle w:val="ListParagraph"/>
        <w:numPr>
          <w:ilvl w:val="5"/>
          <w:numId w:val="235"/>
        </w:numPr>
        <w:tabs>
          <w:tab w:pos="3054" w:val="left" w:leader="none"/>
        </w:tabs>
        <w:spacing w:line="240" w:lineRule="auto" w:before="120" w:after="0"/>
        <w:ind w:left="3053" w:right="416" w:hanging="567"/>
        <w:jc w:val="both"/>
        <w:rPr>
          <w:sz w:val="24"/>
        </w:rPr>
      </w:pPr>
      <w:r>
        <w:rPr>
          <w:sz w:val="24"/>
        </w:rPr>
        <w:t>that a sensitivity analysis is required for modelling the cost- benefit analysis;</w:t>
      </w:r>
      <w:r>
        <w:rPr>
          <w:spacing w:val="-1"/>
          <w:sz w:val="24"/>
        </w:rPr>
        <w:t> </w:t>
      </w:r>
      <w:r>
        <w:rPr>
          <w:sz w:val="24"/>
        </w:rPr>
        <w:t>and</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that the credible option that maximises the present value of net economic benefit to all those who produce, consume or </w:t>
      </w:r>
      <w:r>
        <w:rPr>
          <w:spacing w:val="-3"/>
          <w:sz w:val="24"/>
        </w:rPr>
        <w:t>transport </w:t>
      </w:r>
      <w:r>
        <w:rPr>
          <w:sz w:val="24"/>
        </w:rPr>
        <w:t>electricity in the local electricity system may, in some circumstances, be a negative net economic benefit (that is, a net economic cost) where the </w:t>
      </w:r>
      <w:r>
        <w:rPr>
          <w:i/>
          <w:sz w:val="24"/>
        </w:rPr>
        <w:t>identified need </w:t>
      </w:r>
      <w:r>
        <w:rPr>
          <w:sz w:val="24"/>
        </w:rPr>
        <w:t>is for reliability corrective</w:t>
      </w:r>
      <w:r>
        <w:rPr>
          <w:spacing w:val="-1"/>
          <w:sz w:val="24"/>
        </w:rPr>
        <w:t> </w:t>
      </w:r>
      <w:r>
        <w:rPr>
          <w:sz w:val="24"/>
        </w:rPr>
        <w:t>action.</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RIT-D proponent may, under the </w:t>
      </w:r>
      <w:r>
        <w:rPr>
          <w:i/>
          <w:sz w:val="24"/>
        </w:rPr>
        <w:t>regulatory investment test for </w:t>
      </w:r>
      <w:r>
        <w:rPr>
          <w:i/>
          <w:sz w:val="24"/>
        </w:rPr>
        <w:t>distribution</w:t>
      </w:r>
      <w:r>
        <w:rPr>
          <w:sz w:val="24"/>
        </w:rPr>
        <w:t>, quantify each class of market benefits under paragraph (c)(4) where the RIT-D proponent considers</w:t>
      </w:r>
      <w:r>
        <w:rPr>
          <w:spacing w:val="-3"/>
          <w:sz w:val="24"/>
        </w:rPr>
        <w:t> </w:t>
      </w:r>
      <w:r>
        <w:rPr>
          <w:sz w:val="24"/>
        </w:rPr>
        <w:t>that:</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any applicable market benefits may be material;</w:t>
      </w:r>
      <w:r>
        <w:rPr>
          <w:spacing w:val="-1"/>
          <w:sz w:val="24"/>
        </w:rPr>
        <w:t> </w:t>
      </w:r>
      <w:r>
        <w:rPr>
          <w:sz w:val="24"/>
        </w:rPr>
        <w:t>or</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quantification of market benefits may alter the selection of the preferred</w:t>
      </w:r>
      <w:r>
        <w:rPr>
          <w:spacing w:val="-1"/>
          <w:sz w:val="24"/>
        </w:rPr>
        <w:t> </w:t>
      </w:r>
      <w:r>
        <w:rPr>
          <w:sz w:val="24"/>
        </w:rPr>
        <w:t>option.</w:t>
      </w:r>
    </w:p>
    <w:p>
      <w:pPr>
        <w:pStyle w:val="ListParagraph"/>
        <w:numPr>
          <w:ilvl w:val="3"/>
          <w:numId w:val="235"/>
        </w:numPr>
        <w:tabs>
          <w:tab w:pos="1919" w:val="left" w:leader="none"/>
        </w:tabs>
        <w:spacing w:line="240" w:lineRule="auto" w:before="120" w:after="0"/>
        <w:ind w:left="1919" w:right="416" w:hanging="567"/>
        <w:jc w:val="both"/>
        <w:rPr>
          <w:sz w:val="24"/>
        </w:rPr>
      </w:pPr>
      <w:r>
        <w:rPr>
          <w:sz w:val="24"/>
        </w:rPr>
        <w:t>The </w:t>
      </w:r>
      <w:r>
        <w:rPr>
          <w:i/>
          <w:sz w:val="24"/>
        </w:rPr>
        <w:t>regulatory investment test for distribution </w:t>
      </w:r>
      <w:r>
        <w:rPr>
          <w:sz w:val="24"/>
        </w:rPr>
        <w:t>permits a single assessment of an integrated set of related and similar</w:t>
      </w:r>
      <w:r>
        <w:rPr>
          <w:spacing w:val="-3"/>
          <w:sz w:val="24"/>
        </w:rPr>
        <w:t> </w:t>
      </w:r>
      <w:r>
        <w:rPr>
          <w:sz w:val="24"/>
        </w:rPr>
        <w:t>investments.</w:t>
      </w:r>
    </w:p>
    <w:p>
      <w:pPr>
        <w:pStyle w:val="BodyText"/>
        <w:spacing w:before="10"/>
        <w:ind w:firstLine="0"/>
        <w:jc w:val="left"/>
        <w:rPr>
          <w:sz w:val="20"/>
        </w:rPr>
      </w:pPr>
    </w:p>
    <w:p>
      <w:pPr>
        <w:pStyle w:val="Heading4"/>
        <w:numPr>
          <w:ilvl w:val="2"/>
          <w:numId w:val="235"/>
        </w:numPr>
        <w:tabs>
          <w:tab w:pos="1351" w:val="left" w:leader="none"/>
          <w:tab w:pos="1352" w:val="left" w:leader="none"/>
        </w:tabs>
        <w:spacing w:line="240" w:lineRule="auto" w:before="0" w:after="0"/>
        <w:ind w:left="1351" w:right="0" w:hanging="1134"/>
        <w:jc w:val="left"/>
      </w:pPr>
      <w:bookmarkStart w:name="5.17.2 Regulatory investment test for di" w:id="759"/>
      <w:bookmarkEnd w:id="759"/>
      <w:r>
        <w:rPr>
          <w:b w:val="0"/>
        </w:rPr>
      </w:r>
      <w:bookmarkStart w:name="_bookmark293" w:id="760"/>
      <w:bookmarkEnd w:id="760"/>
      <w:r>
        <w:rPr>
          <w:b w:val="0"/>
        </w:rPr>
      </w:r>
      <w:bookmarkStart w:name="_bookmark293" w:id="761"/>
      <w:bookmarkEnd w:id="761"/>
      <w:r>
        <w:rPr/>
        <w:t>Regulator</w:t>
      </w:r>
      <w:r>
        <w:rPr/>
        <w:t>y investment test for distribution application</w:t>
      </w:r>
      <w:r>
        <w:rPr>
          <w:spacing w:val="-7"/>
        </w:rPr>
        <w:t> </w:t>
      </w:r>
      <w:r>
        <w:rPr/>
        <w:t>guidelines</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At the same time as the </w:t>
      </w:r>
      <w:r>
        <w:rPr>
          <w:i/>
          <w:sz w:val="24"/>
        </w:rPr>
        <w:t>AER </w:t>
      </w:r>
      <w:r>
        <w:rPr>
          <w:sz w:val="24"/>
        </w:rPr>
        <w:t>develops and </w:t>
      </w:r>
      <w:r>
        <w:rPr>
          <w:i/>
          <w:sz w:val="24"/>
        </w:rPr>
        <w:t>publishes </w:t>
      </w:r>
      <w:r>
        <w:rPr>
          <w:sz w:val="24"/>
        </w:rPr>
        <w:t>a proposed </w:t>
      </w:r>
      <w:r>
        <w:rPr>
          <w:i/>
          <w:sz w:val="24"/>
        </w:rPr>
        <w:t>regulatory </w:t>
      </w:r>
      <w:r>
        <w:rPr>
          <w:i/>
          <w:sz w:val="24"/>
        </w:rPr>
        <w:t>investment test for distribution </w:t>
      </w:r>
      <w:r>
        <w:rPr>
          <w:sz w:val="24"/>
        </w:rPr>
        <w:t>under the </w:t>
      </w:r>
      <w:r>
        <w:rPr>
          <w:i/>
          <w:sz w:val="24"/>
        </w:rPr>
        <w:t>distribution consultation </w:t>
      </w:r>
      <w:r>
        <w:rPr>
          <w:i/>
          <w:sz w:val="24"/>
        </w:rPr>
        <w:t>procedure</w:t>
      </w:r>
      <w:r>
        <w:rPr>
          <w:sz w:val="24"/>
        </w:rPr>
        <w:t>, the </w:t>
      </w:r>
      <w:r>
        <w:rPr>
          <w:i/>
          <w:sz w:val="24"/>
        </w:rPr>
        <w:t>AER </w:t>
      </w:r>
      <w:r>
        <w:rPr>
          <w:sz w:val="24"/>
        </w:rPr>
        <w:t>must also develop and </w:t>
      </w:r>
      <w:r>
        <w:rPr>
          <w:i/>
          <w:sz w:val="24"/>
        </w:rPr>
        <w:t>publish </w:t>
      </w:r>
      <w:r>
        <w:rPr>
          <w:sz w:val="24"/>
        </w:rPr>
        <w:t>guidelines for the operation and application of the </w:t>
      </w:r>
      <w:r>
        <w:rPr>
          <w:i/>
          <w:sz w:val="24"/>
        </w:rPr>
        <w:t>regulatory investment test for distribution  </w:t>
      </w:r>
      <w:r>
        <w:rPr>
          <w:sz w:val="24"/>
        </w:rPr>
        <w:t>in accordance with the </w:t>
      </w:r>
      <w:r>
        <w:rPr>
          <w:i/>
          <w:sz w:val="24"/>
        </w:rPr>
        <w:t>distribution consultation procedures </w:t>
      </w:r>
      <w:r>
        <w:rPr>
          <w:sz w:val="24"/>
        </w:rPr>
        <w:t>and this clause 5.17.2.</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Section 12A of the </w:t>
      </w:r>
      <w:r>
        <w:rPr>
          <w:i/>
          <w:sz w:val="20"/>
        </w:rPr>
        <w:t>National Electricity (Northern Territory) (National Uniform </w:t>
      </w:r>
      <w:r>
        <w:rPr>
          <w:i/>
          <w:sz w:val="20"/>
        </w:rPr>
        <w:t>Legislation) Act 2015 </w:t>
      </w:r>
      <w:r>
        <w:rPr>
          <w:sz w:val="20"/>
        </w:rPr>
        <w:t>applies to an instrument or decision made by the </w:t>
      </w:r>
      <w:r>
        <w:rPr>
          <w:i/>
          <w:sz w:val="20"/>
        </w:rPr>
        <w:t>AER </w:t>
      </w:r>
      <w:r>
        <w:rPr>
          <w:sz w:val="20"/>
        </w:rPr>
        <w:t>after the enactment</w:t>
      </w:r>
      <w:r>
        <w:rPr>
          <w:spacing w:val="7"/>
          <w:sz w:val="20"/>
        </w:rPr>
        <w:t> </w:t>
      </w:r>
      <w:r>
        <w:rPr>
          <w:sz w:val="20"/>
        </w:rPr>
        <w:t>of</w:t>
      </w:r>
      <w:r>
        <w:rPr>
          <w:spacing w:val="8"/>
          <w:sz w:val="20"/>
        </w:rPr>
        <w:t> </w:t>
      </w:r>
      <w:r>
        <w:rPr>
          <w:sz w:val="20"/>
        </w:rPr>
        <w:t>that</w:t>
      </w:r>
      <w:r>
        <w:rPr>
          <w:spacing w:val="8"/>
          <w:sz w:val="20"/>
        </w:rPr>
        <w:t> </w:t>
      </w:r>
      <w:r>
        <w:rPr>
          <w:sz w:val="20"/>
        </w:rPr>
        <w:t>Act</w:t>
      </w:r>
      <w:r>
        <w:rPr>
          <w:spacing w:val="7"/>
          <w:sz w:val="20"/>
        </w:rPr>
        <w:t> </w:t>
      </w:r>
      <w:r>
        <w:rPr>
          <w:sz w:val="20"/>
        </w:rPr>
        <w:t>and</w:t>
      </w:r>
      <w:r>
        <w:rPr>
          <w:spacing w:val="8"/>
          <w:sz w:val="20"/>
        </w:rPr>
        <w:t> </w:t>
      </w:r>
      <w:r>
        <w:rPr>
          <w:sz w:val="20"/>
        </w:rPr>
        <w:t>before</w:t>
      </w:r>
      <w:r>
        <w:rPr>
          <w:spacing w:val="8"/>
          <w:sz w:val="20"/>
        </w:rPr>
        <w:t> </w:t>
      </w:r>
      <w:r>
        <w:rPr>
          <w:sz w:val="20"/>
        </w:rPr>
        <w:t>the</w:t>
      </w:r>
      <w:r>
        <w:rPr>
          <w:spacing w:val="7"/>
          <w:sz w:val="20"/>
        </w:rPr>
        <w:t> </w:t>
      </w:r>
      <w:r>
        <w:rPr>
          <w:sz w:val="20"/>
        </w:rPr>
        <w:t>day</w:t>
      </w:r>
      <w:r>
        <w:rPr>
          <w:spacing w:val="8"/>
          <w:sz w:val="20"/>
        </w:rPr>
        <w:t> </w:t>
      </w:r>
      <w:r>
        <w:rPr>
          <w:sz w:val="20"/>
        </w:rPr>
        <w:t>on</w:t>
      </w:r>
      <w:r>
        <w:rPr>
          <w:spacing w:val="8"/>
          <w:sz w:val="20"/>
        </w:rPr>
        <w:t> </w:t>
      </w:r>
      <w:r>
        <w:rPr>
          <w:sz w:val="20"/>
        </w:rPr>
        <w:t>which</w:t>
      </w:r>
      <w:r>
        <w:rPr>
          <w:spacing w:val="8"/>
          <w:sz w:val="20"/>
        </w:rPr>
        <w:t> </w:t>
      </w:r>
      <w:r>
        <w:rPr>
          <w:sz w:val="20"/>
        </w:rPr>
        <w:t>this</w:t>
      </w:r>
      <w:r>
        <w:rPr>
          <w:spacing w:val="7"/>
          <w:sz w:val="20"/>
        </w:rPr>
        <w:t> </w:t>
      </w:r>
      <w:r>
        <w:rPr>
          <w:sz w:val="20"/>
        </w:rPr>
        <w:t>clause</w:t>
      </w:r>
      <w:r>
        <w:rPr>
          <w:spacing w:val="8"/>
          <w:sz w:val="20"/>
        </w:rPr>
        <w:t> </w:t>
      </w:r>
      <w:r>
        <w:rPr>
          <w:sz w:val="20"/>
        </w:rPr>
        <w:t>commences</w:t>
      </w:r>
      <w:r>
        <w:rPr>
          <w:spacing w:val="7"/>
          <w:sz w:val="20"/>
        </w:rPr>
        <w:t> </w:t>
      </w:r>
      <w:r>
        <w:rPr>
          <w:sz w:val="20"/>
        </w:rPr>
        <w:t>operation</w:t>
      </w:r>
      <w:r>
        <w:rPr>
          <w:spacing w:val="8"/>
          <w:sz w:val="20"/>
        </w:rPr>
        <w:t> </w:t>
      </w:r>
      <w:r>
        <w:rPr>
          <w:sz w:val="20"/>
        </w:rPr>
        <w:t>in</w:t>
      </w:r>
      <w:r>
        <w:rPr>
          <w:spacing w:val="8"/>
          <w:sz w:val="20"/>
        </w:rPr>
        <w:t> </w:t>
      </w:r>
      <w:r>
        <w:rPr>
          <w:sz w:val="20"/>
        </w:rPr>
        <w:t>the</w:t>
      </w:r>
    </w:p>
    <w:p>
      <w:pPr>
        <w:spacing w:after="0"/>
        <w:jc w:val="both"/>
        <w:rPr>
          <w:sz w:val="20"/>
        </w:rPr>
        <w:sectPr>
          <w:pgSz w:w="11910" w:h="16840"/>
          <w:pgMar w:header="686" w:footer="637" w:top="1320" w:bottom="820" w:left="1200" w:right="1000"/>
        </w:sectPr>
      </w:pPr>
    </w:p>
    <w:p>
      <w:pPr>
        <w:spacing w:before="83"/>
        <w:ind w:left="1919" w:right="414" w:firstLine="0"/>
        <w:jc w:val="both"/>
        <w:rPr>
          <w:sz w:val="20"/>
        </w:rPr>
      </w:pPr>
      <w:r>
        <w:rPr>
          <w:sz w:val="20"/>
        </w:rPr>
        <w:t>Northern Territory, in circumstances set out in that section. Guidelines developed and published by the </w:t>
      </w:r>
      <w:r>
        <w:rPr>
          <w:i/>
          <w:sz w:val="20"/>
        </w:rPr>
        <w:t>AER </w:t>
      </w:r>
      <w:r>
        <w:rPr>
          <w:sz w:val="20"/>
        </w:rPr>
        <w:t>under paragraph (a) constitute an instrument to which section 12A applies. Accordingly, for the purposes of this clause as it applies as part of the NT national electricity legislation of the Northern Territory, these guidelines are taken to be valid and to have effect from 1 July 2019.</w:t>
      </w:r>
    </w:p>
    <w:p>
      <w:pPr>
        <w:pStyle w:val="ListParagraph"/>
        <w:numPr>
          <w:ilvl w:val="3"/>
          <w:numId w:val="235"/>
        </w:numPr>
        <w:tabs>
          <w:tab w:pos="1919" w:val="left" w:leader="none"/>
        </w:tabs>
        <w:spacing w:line="240" w:lineRule="auto" w:before="120" w:after="0"/>
        <w:ind w:left="1918" w:right="0" w:hanging="567"/>
        <w:jc w:val="both"/>
        <w:rPr>
          <w:sz w:val="24"/>
        </w:rPr>
      </w:pPr>
      <w:r>
        <w:rPr>
          <w:sz w:val="24"/>
        </w:rPr>
        <w:t>The regulatory investment test for distribution application guidelines</w:t>
      </w:r>
      <w:r>
        <w:rPr>
          <w:spacing w:val="-3"/>
          <w:sz w:val="24"/>
        </w:rPr>
        <w:t> </w:t>
      </w:r>
      <w:r>
        <w:rPr>
          <w:sz w:val="24"/>
        </w:rPr>
        <w:t>must:</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give effect to and be consistent with this clause 5.17.2 and </w:t>
      </w:r>
      <w:r>
        <w:rPr>
          <w:spacing w:val="-3"/>
          <w:sz w:val="24"/>
        </w:rPr>
        <w:t>clauses </w:t>
      </w:r>
      <w:r>
        <w:rPr>
          <w:sz w:val="24"/>
        </w:rPr>
        <w:t>5.15.2, 5.17.3, 5.17.4 and 5.17.5; and</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provide guidance</w:t>
      </w:r>
      <w:r>
        <w:rPr>
          <w:spacing w:val="-2"/>
          <w:sz w:val="24"/>
        </w:rPr>
        <w:t> </w:t>
      </w:r>
      <w:r>
        <w:rPr>
          <w:sz w:val="24"/>
        </w:rPr>
        <w:t>on:</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the operation and application of the </w:t>
      </w:r>
      <w:r>
        <w:rPr>
          <w:i/>
          <w:sz w:val="24"/>
        </w:rPr>
        <w:t>regulatory investment test </w:t>
      </w:r>
      <w:r>
        <w:rPr>
          <w:i/>
          <w:sz w:val="24"/>
        </w:rPr>
        <w:t>for</w:t>
      </w:r>
      <w:r>
        <w:rPr>
          <w:i/>
          <w:spacing w:val="-1"/>
          <w:sz w:val="24"/>
        </w:rPr>
        <w:t> </w:t>
      </w:r>
      <w:r>
        <w:rPr>
          <w:i/>
          <w:sz w:val="24"/>
        </w:rPr>
        <w:t>distribution</w:t>
      </w:r>
      <w:r>
        <w:rPr>
          <w:sz w:val="24"/>
        </w:rPr>
        <w:t>;</w:t>
      </w:r>
    </w:p>
    <w:p>
      <w:pPr>
        <w:pStyle w:val="ListParagraph"/>
        <w:numPr>
          <w:ilvl w:val="5"/>
          <w:numId w:val="235"/>
        </w:numPr>
        <w:tabs>
          <w:tab w:pos="3054" w:val="left" w:leader="none"/>
        </w:tabs>
        <w:spacing w:line="240" w:lineRule="auto" w:before="120" w:after="0"/>
        <w:ind w:left="3053" w:right="416" w:hanging="567"/>
        <w:jc w:val="both"/>
        <w:rPr>
          <w:sz w:val="24"/>
        </w:rPr>
      </w:pPr>
      <w:r>
        <w:rPr>
          <w:sz w:val="24"/>
        </w:rPr>
        <w:t>the process to be followed in applying the </w:t>
      </w:r>
      <w:r>
        <w:rPr>
          <w:i/>
          <w:sz w:val="24"/>
        </w:rPr>
        <w:t>regulatory investment </w:t>
      </w:r>
      <w:r>
        <w:rPr>
          <w:i/>
          <w:sz w:val="24"/>
        </w:rPr>
        <w:t>test for</w:t>
      </w:r>
      <w:r>
        <w:rPr>
          <w:i/>
          <w:spacing w:val="-1"/>
          <w:sz w:val="24"/>
        </w:rPr>
        <w:t> </w:t>
      </w:r>
      <w:r>
        <w:rPr>
          <w:i/>
          <w:sz w:val="24"/>
        </w:rPr>
        <w:t>distribution</w:t>
      </w:r>
      <w:r>
        <w:rPr>
          <w:sz w:val="24"/>
        </w:rPr>
        <w:t>;</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what will be considered to be a material and adverse local electricity system impact for the purposes of the definition of </w:t>
      </w:r>
      <w:r>
        <w:rPr>
          <w:i/>
          <w:sz w:val="24"/>
        </w:rPr>
        <w:t>interested parties </w:t>
      </w:r>
      <w:r>
        <w:rPr>
          <w:sz w:val="24"/>
        </w:rPr>
        <w:t>in clause</w:t>
      </w:r>
      <w:r>
        <w:rPr>
          <w:spacing w:val="-1"/>
          <w:sz w:val="24"/>
        </w:rPr>
        <w:t> </w:t>
      </w:r>
      <w:r>
        <w:rPr>
          <w:sz w:val="24"/>
        </w:rPr>
        <w:t>5.15.1.</w:t>
      </w:r>
    </w:p>
    <w:p>
      <w:pPr>
        <w:pStyle w:val="ListParagraph"/>
        <w:numPr>
          <w:ilvl w:val="5"/>
          <w:numId w:val="235"/>
        </w:numPr>
        <w:tabs>
          <w:tab w:pos="3054" w:val="left" w:leader="none"/>
        </w:tabs>
        <w:spacing w:line="240" w:lineRule="auto" w:before="120" w:after="0"/>
        <w:ind w:left="3053" w:right="415" w:hanging="567"/>
        <w:jc w:val="both"/>
        <w:rPr>
          <w:sz w:val="24"/>
        </w:rPr>
      </w:pPr>
      <w:r>
        <w:rPr>
          <w:sz w:val="24"/>
        </w:rPr>
        <w:t>how disputes raised in relation to the </w:t>
      </w:r>
      <w:r>
        <w:rPr>
          <w:i/>
          <w:sz w:val="24"/>
        </w:rPr>
        <w:t>regulatory investment test </w:t>
      </w:r>
      <w:r>
        <w:rPr>
          <w:i/>
          <w:sz w:val="24"/>
        </w:rPr>
        <w:t>for distribution </w:t>
      </w:r>
      <w:r>
        <w:rPr>
          <w:sz w:val="24"/>
        </w:rPr>
        <w:t>and its application will be addressed and resolved.</w:t>
      </w:r>
    </w:p>
    <w:p>
      <w:pPr>
        <w:pStyle w:val="ListParagraph"/>
        <w:numPr>
          <w:ilvl w:val="3"/>
          <w:numId w:val="235"/>
        </w:numPr>
        <w:tabs>
          <w:tab w:pos="1919" w:val="left" w:leader="none"/>
        </w:tabs>
        <w:spacing w:line="240" w:lineRule="auto" w:before="120" w:after="0"/>
        <w:ind w:left="1919" w:right="417" w:hanging="567"/>
        <w:jc w:val="both"/>
        <w:rPr>
          <w:sz w:val="24"/>
        </w:rPr>
      </w:pPr>
      <w:r>
        <w:rPr>
          <w:sz w:val="24"/>
        </w:rPr>
        <w:t>The regulatory investment test for distribution application guidelines must provide guidance and worked examples as</w:t>
      </w:r>
      <w:r>
        <w:rPr>
          <w:spacing w:val="-2"/>
          <w:sz w:val="24"/>
        </w:rPr>
        <w:t> </w:t>
      </w:r>
      <w:r>
        <w:rPr>
          <w:sz w:val="24"/>
        </w:rPr>
        <w:t>to:</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how to make a determination under clause</w:t>
      </w:r>
      <w:r>
        <w:rPr>
          <w:spacing w:val="-1"/>
          <w:sz w:val="24"/>
        </w:rPr>
        <w:t> </w:t>
      </w:r>
      <w:r>
        <w:rPr>
          <w:sz w:val="24"/>
        </w:rPr>
        <w:t>5.17.4(c);</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what constitutes a credible</w:t>
      </w:r>
      <w:r>
        <w:rPr>
          <w:spacing w:val="-2"/>
          <w:sz w:val="24"/>
        </w:rPr>
        <w:t> </w:t>
      </w:r>
      <w:r>
        <w:rPr>
          <w:sz w:val="24"/>
        </w:rPr>
        <w:t>option;</w:t>
      </w:r>
    </w:p>
    <w:p>
      <w:pPr>
        <w:pStyle w:val="ListParagraph"/>
        <w:numPr>
          <w:ilvl w:val="4"/>
          <w:numId w:val="235"/>
        </w:numPr>
        <w:tabs>
          <w:tab w:pos="2485" w:val="left" w:leader="none"/>
          <w:tab w:pos="2486" w:val="left" w:leader="none"/>
          <w:tab w:pos="3018" w:val="left" w:leader="none"/>
          <w:tab w:pos="4002" w:val="left" w:leader="none"/>
          <w:tab w:pos="5214" w:val="left" w:leader="none"/>
          <w:tab w:pos="6160" w:val="left" w:leader="none"/>
          <w:tab w:pos="6745" w:val="left" w:leader="none"/>
          <w:tab w:pos="8064" w:val="left" w:leader="none"/>
          <w:tab w:pos="8490" w:val="left" w:leader="none"/>
        </w:tabs>
        <w:spacing w:line="240" w:lineRule="auto" w:before="120" w:after="0"/>
        <w:ind w:left="2486" w:right="415" w:hanging="567"/>
        <w:jc w:val="left"/>
        <w:rPr>
          <w:sz w:val="24"/>
        </w:rPr>
      </w:pPr>
      <w:r>
        <w:rPr>
          <w:sz w:val="24"/>
        </w:rPr>
        <w:t>the</w:t>
        <w:tab/>
        <w:t>suitable</w:t>
        <w:tab/>
        <w:t>modelling</w:t>
        <w:tab/>
        <w:t>periods</w:t>
        <w:tab/>
        <w:t>and</w:t>
        <w:tab/>
        <w:t>approaches</w:t>
        <w:tab/>
        <w:t>to</w:t>
        <w:tab/>
      </w:r>
      <w:r>
        <w:rPr>
          <w:spacing w:val="-3"/>
          <w:sz w:val="24"/>
        </w:rPr>
        <w:t>scenario </w:t>
      </w:r>
      <w:r>
        <w:rPr>
          <w:sz w:val="24"/>
        </w:rPr>
        <w:t>development;</w:t>
      </w:r>
    </w:p>
    <w:p>
      <w:pPr>
        <w:pStyle w:val="ListParagraph"/>
        <w:numPr>
          <w:ilvl w:val="4"/>
          <w:numId w:val="235"/>
        </w:numPr>
        <w:tabs>
          <w:tab w:pos="2485" w:val="left" w:leader="none"/>
          <w:tab w:pos="2486" w:val="left" w:leader="none"/>
        </w:tabs>
        <w:spacing w:line="240" w:lineRule="auto" w:before="120" w:after="0"/>
        <w:ind w:left="2486" w:right="415" w:hanging="567"/>
        <w:jc w:val="left"/>
        <w:rPr>
          <w:sz w:val="24"/>
        </w:rPr>
      </w:pPr>
      <w:r>
        <w:rPr>
          <w:sz w:val="24"/>
        </w:rPr>
        <w:t>the classes of market benefits to be considered for the purposes of clause</w:t>
      </w:r>
      <w:r>
        <w:rPr>
          <w:spacing w:val="-1"/>
          <w:sz w:val="24"/>
        </w:rPr>
        <w:t> </w:t>
      </w:r>
      <w:r>
        <w:rPr>
          <w:sz w:val="24"/>
        </w:rPr>
        <w:t>5.17.1(c)(4);</w:t>
      </w:r>
    </w:p>
    <w:p>
      <w:pPr>
        <w:pStyle w:val="ListParagraph"/>
        <w:numPr>
          <w:ilvl w:val="4"/>
          <w:numId w:val="235"/>
        </w:numPr>
        <w:tabs>
          <w:tab w:pos="2485" w:val="left" w:leader="none"/>
          <w:tab w:pos="2486" w:val="left" w:leader="none"/>
        </w:tabs>
        <w:spacing w:line="240" w:lineRule="auto" w:before="120" w:after="0"/>
        <w:ind w:left="2486" w:right="415" w:hanging="567"/>
        <w:jc w:val="left"/>
        <w:rPr>
          <w:sz w:val="24"/>
        </w:rPr>
      </w:pPr>
      <w:r>
        <w:rPr>
          <w:sz w:val="24"/>
        </w:rPr>
        <w:t>the acceptable methodologies for valuing the market benefits of</w:t>
      </w:r>
      <w:r>
        <w:rPr>
          <w:spacing w:val="30"/>
          <w:sz w:val="24"/>
        </w:rPr>
        <w:t> </w:t>
      </w:r>
      <w:r>
        <w:rPr>
          <w:sz w:val="24"/>
        </w:rPr>
        <w:t>a credible option referred to in clause</w:t>
      </w:r>
      <w:r>
        <w:rPr>
          <w:spacing w:val="-1"/>
          <w:sz w:val="24"/>
        </w:rPr>
        <w:t> </w:t>
      </w:r>
      <w:r>
        <w:rPr>
          <w:sz w:val="24"/>
        </w:rPr>
        <w:t>5.17.1(c)(4);</w:t>
      </w:r>
    </w:p>
    <w:p>
      <w:pPr>
        <w:pStyle w:val="ListParagraph"/>
        <w:numPr>
          <w:ilvl w:val="4"/>
          <w:numId w:val="235"/>
        </w:numPr>
        <w:tabs>
          <w:tab w:pos="2485" w:val="left" w:leader="none"/>
          <w:tab w:pos="2486" w:val="left" w:leader="none"/>
        </w:tabs>
        <w:spacing w:line="240" w:lineRule="auto" w:before="120" w:after="0"/>
        <w:ind w:left="2486" w:right="415" w:hanging="567"/>
        <w:jc w:val="left"/>
        <w:rPr>
          <w:sz w:val="24"/>
        </w:rPr>
      </w:pPr>
      <w:r>
        <w:rPr>
          <w:sz w:val="24"/>
        </w:rPr>
        <w:t>acceptable methodologies for valuing the costs of a credible option referred to in clause</w:t>
      </w:r>
      <w:r>
        <w:rPr>
          <w:spacing w:val="-1"/>
          <w:sz w:val="24"/>
        </w:rPr>
        <w:t> </w:t>
      </w:r>
      <w:r>
        <w:rPr>
          <w:sz w:val="24"/>
        </w:rPr>
        <w:t>5.17.1(c)(6);</w:t>
      </w:r>
    </w:p>
    <w:p>
      <w:pPr>
        <w:pStyle w:val="ListParagraph"/>
        <w:numPr>
          <w:ilvl w:val="4"/>
          <w:numId w:val="235"/>
        </w:numPr>
        <w:tabs>
          <w:tab w:pos="2485" w:val="left" w:leader="none"/>
          <w:tab w:pos="2486" w:val="left" w:leader="none"/>
        </w:tabs>
        <w:spacing w:line="240" w:lineRule="auto" w:before="120" w:after="0"/>
        <w:ind w:left="2486" w:right="414" w:hanging="567"/>
        <w:jc w:val="left"/>
        <w:rPr>
          <w:sz w:val="24"/>
        </w:rPr>
      </w:pPr>
      <w:r>
        <w:rPr>
          <w:sz w:val="24"/>
        </w:rPr>
        <w:t>the appropriate approach to undertaking a sensitivity analysis for the purposes of clause</w:t>
      </w:r>
      <w:r>
        <w:rPr>
          <w:spacing w:val="-1"/>
          <w:sz w:val="24"/>
        </w:rPr>
        <w:t> </w:t>
      </w:r>
      <w:r>
        <w:rPr>
          <w:sz w:val="24"/>
        </w:rPr>
        <w:t>5.17.1(c)(9)(iv);</w:t>
      </w:r>
    </w:p>
    <w:p>
      <w:pPr>
        <w:pStyle w:val="ListParagraph"/>
        <w:numPr>
          <w:ilvl w:val="4"/>
          <w:numId w:val="235"/>
        </w:numPr>
        <w:tabs>
          <w:tab w:pos="2485" w:val="left" w:leader="none"/>
          <w:tab w:pos="2486" w:val="left" w:leader="none"/>
        </w:tabs>
        <w:spacing w:line="240" w:lineRule="auto" w:before="120" w:after="0"/>
        <w:ind w:left="2485" w:right="0" w:hanging="567"/>
        <w:jc w:val="left"/>
        <w:rPr>
          <w:sz w:val="24"/>
        </w:rPr>
      </w:pPr>
      <w:r>
        <w:rPr>
          <w:sz w:val="24"/>
        </w:rPr>
        <w:t>the appropriate approaches to assessing uncertainty and risks;</w:t>
      </w:r>
      <w:r>
        <w:rPr>
          <w:spacing w:val="-2"/>
          <w:sz w:val="24"/>
        </w:rPr>
        <w:t> </w:t>
      </w:r>
      <w:r>
        <w:rPr>
          <w:sz w:val="24"/>
        </w:rPr>
        <w:t>and</w:t>
      </w:r>
    </w:p>
    <w:p>
      <w:pPr>
        <w:pStyle w:val="ListParagraph"/>
        <w:numPr>
          <w:ilvl w:val="4"/>
          <w:numId w:val="235"/>
        </w:numPr>
        <w:tabs>
          <w:tab w:pos="2485" w:val="left" w:leader="none"/>
          <w:tab w:pos="2486" w:val="left" w:leader="none"/>
        </w:tabs>
        <w:spacing w:line="240" w:lineRule="auto" w:before="120" w:after="0"/>
        <w:ind w:left="2486" w:right="415" w:hanging="567"/>
        <w:jc w:val="left"/>
        <w:rPr>
          <w:sz w:val="24"/>
        </w:rPr>
      </w:pPr>
      <w:r>
        <w:rPr>
          <w:sz w:val="24"/>
        </w:rPr>
        <w:t>what may constitute an externality under the </w:t>
      </w:r>
      <w:r>
        <w:rPr>
          <w:i/>
          <w:sz w:val="24"/>
        </w:rPr>
        <w:t>regulatory investment </w:t>
      </w:r>
      <w:r>
        <w:rPr>
          <w:i/>
          <w:sz w:val="24"/>
        </w:rPr>
        <w:t>test for</w:t>
      </w:r>
      <w:r>
        <w:rPr>
          <w:i/>
          <w:spacing w:val="-1"/>
          <w:sz w:val="24"/>
        </w:rPr>
        <w:t> </w:t>
      </w:r>
      <w:r>
        <w:rPr>
          <w:i/>
          <w:sz w:val="24"/>
        </w:rPr>
        <w:t>distribution</w:t>
      </w:r>
      <w:r>
        <w:rPr>
          <w:sz w:val="24"/>
        </w:rPr>
        <w: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and </w:t>
      </w:r>
      <w:r>
        <w:rPr>
          <w:i/>
          <w:sz w:val="24"/>
        </w:rPr>
        <w:t>publish </w:t>
      </w:r>
      <w:r>
        <w:rPr>
          <w:sz w:val="24"/>
        </w:rPr>
        <w:t>the first </w:t>
      </w:r>
      <w:r>
        <w:rPr>
          <w:i/>
          <w:sz w:val="24"/>
        </w:rPr>
        <w:t>regulatory investment test for </w:t>
      </w:r>
      <w:r>
        <w:rPr>
          <w:i/>
          <w:sz w:val="24"/>
        </w:rPr>
        <w:t>distribution </w:t>
      </w:r>
      <w:r>
        <w:rPr>
          <w:sz w:val="24"/>
        </w:rPr>
        <w:t>and regulatory investment test for distribution application guidelines by 31 August 2013, and there must be a </w:t>
      </w:r>
      <w:r>
        <w:rPr>
          <w:i/>
          <w:sz w:val="24"/>
        </w:rPr>
        <w:t>regulatory investment </w:t>
      </w:r>
      <w:r>
        <w:rPr>
          <w:i/>
          <w:sz w:val="24"/>
        </w:rPr>
        <w:t>test for distribution </w:t>
      </w:r>
      <w:r>
        <w:rPr>
          <w:sz w:val="24"/>
        </w:rPr>
        <w:t>and regulatory investment test for distribution application guidelines in force at all times after that</w:t>
      </w:r>
      <w:r>
        <w:rPr>
          <w:spacing w:val="-3"/>
          <w:sz w:val="24"/>
        </w:rPr>
        <w:t> </w:t>
      </w:r>
      <w:r>
        <w:rPr>
          <w:sz w:val="24"/>
        </w:rPr>
        <w:t>date.</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from time to time, amend or replace the </w:t>
      </w:r>
      <w:r>
        <w:rPr>
          <w:i/>
          <w:sz w:val="24"/>
        </w:rPr>
        <w:t>regulatory </w:t>
      </w:r>
      <w:r>
        <w:rPr>
          <w:i/>
          <w:sz w:val="24"/>
        </w:rPr>
        <w:t>investment</w:t>
      </w:r>
      <w:r>
        <w:rPr>
          <w:i/>
          <w:spacing w:val="20"/>
          <w:sz w:val="24"/>
        </w:rPr>
        <w:t> </w:t>
      </w:r>
      <w:r>
        <w:rPr>
          <w:i/>
          <w:sz w:val="24"/>
        </w:rPr>
        <w:t>test</w:t>
      </w:r>
      <w:r>
        <w:rPr>
          <w:i/>
          <w:spacing w:val="21"/>
          <w:sz w:val="24"/>
        </w:rPr>
        <w:t> </w:t>
      </w:r>
      <w:r>
        <w:rPr>
          <w:i/>
          <w:sz w:val="24"/>
        </w:rPr>
        <w:t>for</w:t>
      </w:r>
      <w:r>
        <w:rPr>
          <w:i/>
          <w:spacing w:val="21"/>
          <w:sz w:val="24"/>
        </w:rPr>
        <w:t> </w:t>
      </w:r>
      <w:r>
        <w:rPr>
          <w:i/>
          <w:sz w:val="24"/>
        </w:rPr>
        <w:t>distribution</w:t>
      </w:r>
      <w:r>
        <w:rPr>
          <w:i/>
          <w:spacing w:val="21"/>
          <w:sz w:val="24"/>
        </w:rPr>
        <w:t> </w:t>
      </w:r>
      <w:r>
        <w:rPr>
          <w:sz w:val="24"/>
        </w:rPr>
        <w:t>and</w:t>
      </w:r>
      <w:r>
        <w:rPr>
          <w:spacing w:val="21"/>
          <w:sz w:val="24"/>
        </w:rPr>
        <w:t> </w:t>
      </w:r>
      <w:r>
        <w:rPr>
          <w:sz w:val="24"/>
        </w:rPr>
        <w:t>regulatory</w:t>
      </w:r>
      <w:r>
        <w:rPr>
          <w:spacing w:val="21"/>
          <w:sz w:val="24"/>
        </w:rPr>
        <w:t> </w:t>
      </w:r>
      <w:r>
        <w:rPr>
          <w:sz w:val="24"/>
        </w:rPr>
        <w:t>investment</w:t>
      </w:r>
      <w:r>
        <w:rPr>
          <w:spacing w:val="21"/>
          <w:sz w:val="24"/>
        </w:rPr>
        <w:t> </w:t>
      </w:r>
      <w:r>
        <w:rPr>
          <w:sz w:val="24"/>
        </w:rPr>
        <w:t>test</w:t>
      </w:r>
      <w:r>
        <w:rPr>
          <w:spacing w:val="21"/>
          <w:sz w:val="24"/>
        </w:rPr>
        <w:t> </w:t>
      </w:r>
      <w:r>
        <w:rPr>
          <w:spacing w:val="-4"/>
          <w:sz w:val="24"/>
        </w:rPr>
        <w:t>for</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distribution application guidelines in accordance with the </w:t>
      </w:r>
      <w:r>
        <w:rPr>
          <w:i/>
          <w:sz w:val="24"/>
        </w:rPr>
        <w:t>distribution </w:t>
      </w:r>
      <w:r>
        <w:rPr>
          <w:i/>
          <w:sz w:val="24"/>
        </w:rPr>
        <w:t>consultation procedures</w:t>
      </w:r>
      <w:r>
        <w:rPr>
          <w:sz w:val="24"/>
        </w:rPr>
        <w:t>, provided the </w:t>
      </w:r>
      <w:r>
        <w:rPr>
          <w:i/>
          <w:sz w:val="24"/>
        </w:rPr>
        <w:t>AER publishes </w:t>
      </w:r>
      <w:r>
        <w:rPr>
          <w:sz w:val="24"/>
        </w:rPr>
        <w:t>any amendments to,  or replacements of, the </w:t>
      </w:r>
      <w:r>
        <w:rPr>
          <w:i/>
          <w:sz w:val="24"/>
        </w:rPr>
        <w:t>regulatory investment test for distribution </w:t>
      </w:r>
      <w:r>
        <w:rPr>
          <w:sz w:val="24"/>
        </w:rPr>
        <w:t>or regulatory investment test for distribution application guidelines at the same time.</w:t>
      </w:r>
    </w:p>
    <w:p>
      <w:pPr>
        <w:pStyle w:val="ListParagraph"/>
        <w:numPr>
          <w:ilvl w:val="3"/>
          <w:numId w:val="235"/>
        </w:numPr>
        <w:tabs>
          <w:tab w:pos="1920" w:val="left" w:leader="none"/>
        </w:tabs>
        <w:spacing w:line="240" w:lineRule="auto" w:before="120" w:after="0"/>
        <w:ind w:left="1919" w:right="415" w:hanging="567"/>
        <w:jc w:val="both"/>
        <w:rPr>
          <w:sz w:val="24"/>
        </w:rPr>
      </w:pPr>
      <w:r>
        <w:rPr>
          <w:sz w:val="24"/>
        </w:rPr>
        <w:t>An amendment referred to in paragraph (e) does not apply to a current application of the </w:t>
      </w:r>
      <w:r>
        <w:rPr>
          <w:i/>
          <w:sz w:val="24"/>
        </w:rPr>
        <w:t>regulatory investment test for distribution </w:t>
      </w:r>
      <w:r>
        <w:rPr>
          <w:sz w:val="24"/>
        </w:rPr>
        <w:t>and the regulatory investment test for distribution application guidelines under the </w:t>
      </w:r>
      <w:r>
        <w:rPr>
          <w:i/>
          <w:sz w:val="24"/>
        </w:rPr>
        <w:t>Rules </w:t>
      </w:r>
      <w:r>
        <w:rPr>
          <w:sz w:val="24"/>
        </w:rPr>
        <w:t>by a RIT-D</w:t>
      </w:r>
      <w:r>
        <w:rPr>
          <w:spacing w:val="-1"/>
          <w:sz w:val="24"/>
        </w:rPr>
        <w:t> </w:t>
      </w:r>
      <w:r>
        <w:rPr>
          <w:sz w:val="24"/>
        </w:rPr>
        <w:t>proponent.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For the purposes of paragraph (f), a "current application" means any action or process initiated under the </w:t>
      </w:r>
      <w:r>
        <w:rPr>
          <w:i/>
          <w:sz w:val="24"/>
        </w:rPr>
        <w:t>Rules </w:t>
      </w:r>
      <w:r>
        <w:rPr>
          <w:sz w:val="24"/>
        </w:rPr>
        <w:t>which relies on or is referenced to the </w:t>
      </w:r>
      <w:r>
        <w:rPr>
          <w:i/>
          <w:sz w:val="24"/>
        </w:rPr>
        <w:t>regulatory investment test for distribution </w:t>
      </w:r>
      <w:r>
        <w:rPr>
          <w:sz w:val="24"/>
        </w:rPr>
        <w:t>and/or the regulatory investment test for distribution application guidelines and is not completed at the date  of the relevant amendment to the </w:t>
      </w:r>
      <w:r>
        <w:rPr>
          <w:i/>
          <w:sz w:val="24"/>
        </w:rPr>
        <w:t>regulatory investment test for distribution </w:t>
      </w:r>
      <w:r>
        <w:rPr>
          <w:sz w:val="24"/>
        </w:rPr>
        <w:t>and/or the regulatory investment test for distribution application</w:t>
      </w:r>
      <w:r>
        <w:rPr>
          <w:spacing w:val="-6"/>
          <w:sz w:val="24"/>
        </w:rPr>
        <w:t> </w:t>
      </w:r>
      <w:r>
        <w:rPr>
          <w:sz w:val="24"/>
        </w:rPr>
        <w:t>guidelines.</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w:t>
      </w:r>
      <w:r>
        <w:rPr>
          <w:i/>
          <w:sz w:val="24"/>
        </w:rPr>
        <w:t>publish </w:t>
      </w:r>
      <w:r>
        <w:rPr>
          <w:sz w:val="24"/>
        </w:rPr>
        <w:t>the </w:t>
      </w:r>
      <w:r>
        <w:rPr>
          <w:i/>
          <w:sz w:val="24"/>
        </w:rPr>
        <w:t>regulatory investment test for distribution</w:t>
      </w:r>
      <w:r>
        <w:rPr>
          <w:sz w:val="24"/>
        </w:rPr>
        <w:t>, the regulatory investment test for distribution application guidelines, the </w:t>
      </w:r>
      <w:r>
        <w:rPr>
          <w:i/>
          <w:sz w:val="24"/>
        </w:rPr>
        <w:t>regulatory investment test for transmission </w:t>
      </w:r>
      <w:r>
        <w:rPr>
          <w:sz w:val="24"/>
        </w:rPr>
        <w:t>and the regulatory investment test for transmission application guidelines in a single</w:t>
      </w:r>
      <w:r>
        <w:rPr>
          <w:spacing w:val="-5"/>
          <w:sz w:val="24"/>
        </w:rPr>
        <w:t> </w:t>
      </w:r>
      <w:r>
        <w:rPr>
          <w:sz w:val="24"/>
        </w:rPr>
        <w:t>document.</w:t>
      </w:r>
    </w:p>
    <w:p>
      <w:pPr>
        <w:pStyle w:val="BodyText"/>
        <w:spacing w:before="10"/>
        <w:ind w:firstLine="0"/>
        <w:jc w:val="left"/>
        <w:rPr>
          <w:sz w:val="20"/>
        </w:rPr>
      </w:pPr>
    </w:p>
    <w:p>
      <w:pPr>
        <w:pStyle w:val="Heading4"/>
        <w:numPr>
          <w:ilvl w:val="2"/>
          <w:numId w:val="235"/>
        </w:numPr>
        <w:tabs>
          <w:tab w:pos="1351" w:val="left" w:leader="none"/>
          <w:tab w:pos="1352" w:val="left" w:leader="none"/>
        </w:tabs>
        <w:spacing w:line="240" w:lineRule="auto" w:before="0" w:after="0"/>
        <w:ind w:left="1351" w:right="0" w:hanging="1134"/>
        <w:jc w:val="left"/>
      </w:pPr>
      <w:bookmarkStart w:name="5.17.3 Projects subject to the regulator" w:id="762"/>
      <w:bookmarkEnd w:id="762"/>
      <w:r>
        <w:rPr>
          <w:b w:val="0"/>
        </w:rPr>
      </w:r>
      <w:bookmarkStart w:name="_bookmark294" w:id="763"/>
      <w:bookmarkEnd w:id="763"/>
      <w:r>
        <w:rPr>
          <w:b w:val="0"/>
        </w:rPr>
      </w:r>
      <w:bookmarkStart w:name="_bookmark294" w:id="764"/>
      <w:bookmarkEnd w:id="764"/>
      <w:r>
        <w:rPr/>
        <w:t>Projects</w:t>
      </w:r>
      <w:r>
        <w:rPr/>
        <w:t> subject to the regulatory investment test for</w:t>
      </w:r>
      <w:r>
        <w:rPr>
          <w:spacing w:val="-6"/>
        </w:rPr>
        <w:t> </w:t>
      </w:r>
      <w:r>
        <w:rPr/>
        <w:t>distribution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(a)(7)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RIT-D proponent must apply the </w:t>
      </w:r>
      <w:r>
        <w:rPr>
          <w:i/>
          <w:sz w:val="24"/>
        </w:rPr>
        <w:t>regulatory investment test for </w:t>
      </w:r>
      <w:r>
        <w:rPr>
          <w:i/>
          <w:sz w:val="24"/>
        </w:rPr>
        <w:t>distribution </w:t>
      </w:r>
      <w:r>
        <w:rPr>
          <w:sz w:val="24"/>
        </w:rPr>
        <w:t>to a RIT-D project except in circumstances</w:t>
      </w:r>
      <w:r>
        <w:rPr>
          <w:spacing w:val="-3"/>
          <w:sz w:val="24"/>
        </w:rPr>
        <w:t> </w:t>
      </w:r>
      <w:r>
        <w:rPr>
          <w:sz w:val="24"/>
        </w:rPr>
        <w:t>where:</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RIT-D project is required to address an urgent and unforeseen </w:t>
      </w:r>
      <w:r>
        <w:rPr>
          <w:i/>
          <w:sz w:val="24"/>
        </w:rPr>
        <w:t>network </w:t>
      </w:r>
      <w:r>
        <w:rPr>
          <w:sz w:val="24"/>
        </w:rPr>
        <w:t>issue that would otherwise put at risk the reliability of the </w:t>
      </w:r>
      <w:r>
        <w:rPr>
          <w:i/>
          <w:sz w:val="24"/>
        </w:rPr>
        <w:t>distribution network </w:t>
      </w:r>
      <w:r>
        <w:rPr>
          <w:sz w:val="24"/>
        </w:rPr>
        <w:t>or a significant part of that </w:t>
      </w:r>
      <w:r>
        <w:rPr>
          <w:i/>
          <w:sz w:val="24"/>
        </w:rPr>
        <w:t>network </w:t>
      </w:r>
      <w:r>
        <w:rPr>
          <w:sz w:val="24"/>
        </w:rPr>
        <w:t>as described in paragraph</w:t>
      </w:r>
      <w:r>
        <w:rPr>
          <w:spacing w:val="-1"/>
          <w:sz w:val="24"/>
        </w:rPr>
        <w:t> </w:t>
      </w:r>
      <w:r>
        <w:rPr>
          <w:sz w:val="24"/>
        </w:rPr>
        <w:t>(c);</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the estimated capital cost to the </w:t>
      </w:r>
      <w:r>
        <w:rPr>
          <w:i/>
          <w:sz w:val="24"/>
        </w:rPr>
        <w:t>Network Service Providers </w:t>
      </w:r>
      <w:r>
        <w:rPr>
          <w:sz w:val="24"/>
        </w:rPr>
        <w:t>affected by the RIT-D project of the most expensive potential credible option </w:t>
      </w:r>
      <w:r>
        <w:rPr>
          <w:spacing w:val="-6"/>
          <w:sz w:val="24"/>
        </w:rPr>
        <w:t>to </w:t>
      </w:r>
      <w:r>
        <w:rPr>
          <w:sz w:val="24"/>
        </w:rPr>
        <w:t>address the </w:t>
      </w:r>
      <w:r>
        <w:rPr>
          <w:i/>
          <w:sz w:val="24"/>
        </w:rPr>
        <w:t>identified need </w:t>
      </w:r>
      <w:r>
        <w:rPr>
          <w:sz w:val="24"/>
        </w:rPr>
        <w:t>is less than $5 million (as varied </w:t>
      </w:r>
      <w:r>
        <w:rPr>
          <w:spacing w:val="-6"/>
          <w:sz w:val="24"/>
        </w:rPr>
        <w:t>in </w:t>
      </w:r>
      <w:r>
        <w:rPr>
          <w:sz w:val="24"/>
        </w:rPr>
        <w:t>accordance with a cost threshold</w:t>
      </w:r>
      <w:r>
        <w:rPr>
          <w:spacing w:val="-2"/>
          <w:sz w:val="24"/>
        </w:rPr>
        <w:t> </w:t>
      </w:r>
      <w:r>
        <w:rPr>
          <w:sz w:val="24"/>
        </w:rPr>
        <w:t>determination);</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the cost of addressing the </w:t>
      </w:r>
      <w:r>
        <w:rPr>
          <w:i/>
          <w:sz w:val="24"/>
        </w:rPr>
        <w:t>identified need </w:t>
      </w:r>
      <w:r>
        <w:rPr>
          <w:sz w:val="24"/>
        </w:rPr>
        <w:t>is to be fully recovered through charges other than charges in respect of </w:t>
      </w:r>
      <w:r>
        <w:rPr>
          <w:i/>
          <w:sz w:val="24"/>
        </w:rPr>
        <w:t>standard</w:t>
      </w:r>
      <w:r>
        <w:rPr>
          <w:i/>
          <w:spacing w:val="35"/>
          <w:sz w:val="24"/>
        </w:rPr>
        <w:t> </w:t>
      </w:r>
      <w:r>
        <w:rPr>
          <w:i/>
          <w:sz w:val="24"/>
        </w:rPr>
        <w:t>control </w:t>
      </w:r>
      <w:r>
        <w:rPr>
          <w:i/>
          <w:sz w:val="24"/>
        </w:rPr>
        <w:t>services </w:t>
      </w:r>
      <w:r>
        <w:rPr>
          <w:sz w:val="24"/>
        </w:rPr>
        <w:t>or </w:t>
      </w:r>
      <w:r>
        <w:rPr>
          <w:i/>
          <w:sz w:val="24"/>
        </w:rPr>
        <w:t>prescribed transmission</w:t>
      </w:r>
      <w:r>
        <w:rPr>
          <w:i/>
          <w:spacing w:val="-5"/>
          <w:sz w:val="24"/>
        </w:rPr>
        <w:t> </w:t>
      </w:r>
      <w:r>
        <w:rPr>
          <w:i/>
          <w:sz w:val="24"/>
        </w:rPr>
        <w:t>services</w:t>
      </w:r>
      <w:r>
        <w:rPr>
          <w:sz w:val="24"/>
        </w:rPr>
        <w:t>;</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the </w:t>
      </w:r>
      <w:r>
        <w:rPr>
          <w:i/>
          <w:sz w:val="24"/>
        </w:rPr>
        <w:t>identified need </w:t>
      </w:r>
      <w:r>
        <w:rPr>
          <w:sz w:val="24"/>
        </w:rPr>
        <w:t>can only be addressed by expenditure on a </w:t>
      </w:r>
      <w:r>
        <w:rPr>
          <w:i/>
          <w:sz w:val="24"/>
        </w:rPr>
        <w:t>connection asset </w:t>
      </w:r>
      <w:r>
        <w:rPr>
          <w:sz w:val="24"/>
        </w:rPr>
        <w:t>which provides services other than </w:t>
      </w:r>
      <w:r>
        <w:rPr>
          <w:i/>
          <w:sz w:val="24"/>
        </w:rPr>
        <w:t>standard control </w:t>
      </w:r>
      <w:r>
        <w:rPr>
          <w:i/>
          <w:sz w:val="24"/>
        </w:rPr>
        <w:t>services </w:t>
      </w:r>
      <w:r>
        <w:rPr>
          <w:sz w:val="24"/>
        </w:rPr>
        <w:t>or </w:t>
      </w:r>
      <w:r>
        <w:rPr>
          <w:i/>
          <w:sz w:val="24"/>
        </w:rPr>
        <w:t>prescribed transmission</w:t>
      </w:r>
      <w:r>
        <w:rPr>
          <w:i/>
          <w:spacing w:val="-5"/>
          <w:sz w:val="24"/>
        </w:rPr>
        <w:t> </w:t>
      </w:r>
      <w:r>
        <w:rPr>
          <w:i/>
          <w:sz w:val="24"/>
        </w:rPr>
        <w:t>services</w:t>
      </w:r>
      <w:r>
        <w:rPr>
          <w:sz w:val="24"/>
        </w:rPr>
        <w:t>;</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the RIT-D project is related to the maintenance of existing assets and is not intended to </w:t>
      </w:r>
      <w:r>
        <w:rPr>
          <w:i/>
          <w:sz w:val="24"/>
        </w:rPr>
        <w:t>augment </w:t>
      </w:r>
      <w:r>
        <w:rPr>
          <w:sz w:val="24"/>
        </w:rPr>
        <w:t>a </w:t>
      </w:r>
      <w:r>
        <w:rPr>
          <w:i/>
          <w:sz w:val="24"/>
        </w:rPr>
        <w:t>network </w:t>
      </w:r>
      <w:r>
        <w:rPr>
          <w:sz w:val="24"/>
        </w:rPr>
        <w:t>or replace </w:t>
      </w:r>
      <w:r>
        <w:rPr>
          <w:i/>
          <w:sz w:val="24"/>
        </w:rPr>
        <w:t>network</w:t>
      </w:r>
      <w:r>
        <w:rPr>
          <w:i/>
          <w:spacing w:val="-2"/>
          <w:sz w:val="24"/>
        </w:rPr>
        <w:t> </w:t>
      </w:r>
      <w:r>
        <w:rPr>
          <w:sz w:val="24"/>
        </w:rPr>
        <w:t>assets</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w:t>
      </w:r>
      <w:r>
        <w:rPr>
          <w:b/>
          <w:sz w:val="24"/>
        </w:rPr>
        <w:t>Deleted</w:t>
      </w:r>
      <w:r>
        <w:rPr>
          <w:sz w:val="24"/>
        </w:rPr>
        <w:t>];</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5" w:val="left" w:leader="none"/>
          <w:tab w:pos="2486" w:val="left" w:leader="none"/>
        </w:tabs>
        <w:spacing w:line="240" w:lineRule="auto" w:before="83" w:after="0"/>
        <w:ind w:left="2486" w:right="414" w:hanging="567"/>
        <w:jc w:val="left"/>
        <w:rPr>
          <w:sz w:val="24"/>
        </w:rPr>
      </w:pPr>
      <w:r>
        <w:rPr>
          <w:sz w:val="24"/>
        </w:rPr>
        <w:t>the proposed expenditure relates to protected event EFCS investment and is not intended to </w:t>
      </w:r>
      <w:r>
        <w:rPr>
          <w:i/>
          <w:sz w:val="24"/>
        </w:rPr>
        <w:t>augment </w:t>
      </w:r>
      <w:r>
        <w:rPr>
          <w:sz w:val="24"/>
        </w:rPr>
        <w:t>a</w:t>
      </w:r>
      <w:r>
        <w:rPr>
          <w:spacing w:val="-1"/>
          <w:sz w:val="24"/>
        </w:rPr>
        <w:t> </w:t>
      </w:r>
      <w:r>
        <w:rPr>
          <w:i/>
          <w:sz w:val="24"/>
        </w:rPr>
        <w:t>network</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If a potential credible option to address an </w:t>
      </w:r>
      <w:r>
        <w:rPr>
          <w:i/>
          <w:sz w:val="24"/>
        </w:rPr>
        <w:t>identified need </w:t>
      </w:r>
      <w:r>
        <w:rPr>
          <w:sz w:val="24"/>
        </w:rPr>
        <w:t>includes expenditure on a </w:t>
      </w:r>
      <w:r>
        <w:rPr>
          <w:i/>
          <w:sz w:val="24"/>
        </w:rPr>
        <w:t>dual function asset</w:t>
      </w:r>
      <w:r>
        <w:rPr>
          <w:sz w:val="24"/>
        </w:rPr>
        <w:t>, the project must be assessed under the </w:t>
      </w:r>
      <w:r>
        <w:rPr>
          <w:i/>
          <w:sz w:val="24"/>
        </w:rPr>
        <w:t>regulatory investment test for distribution </w:t>
      </w:r>
      <w:r>
        <w:rPr>
          <w:sz w:val="24"/>
        </w:rPr>
        <w:t>unless the </w:t>
      </w:r>
      <w:r>
        <w:rPr>
          <w:i/>
          <w:sz w:val="24"/>
        </w:rPr>
        <w:t>identified need </w:t>
      </w:r>
      <w:r>
        <w:rPr>
          <w:sz w:val="24"/>
        </w:rPr>
        <w:t>was identified through joint planning under rule 5.14 and the project to address the </w:t>
      </w:r>
      <w:r>
        <w:rPr>
          <w:i/>
          <w:sz w:val="24"/>
        </w:rPr>
        <w:t>identified need </w:t>
      </w:r>
      <w:r>
        <w:rPr>
          <w:sz w:val="24"/>
        </w:rPr>
        <w:t>is a RIT-T</w:t>
      </w:r>
      <w:r>
        <w:rPr>
          <w:spacing w:val="-1"/>
          <w:sz w:val="24"/>
        </w:rPr>
        <w:t> </w:t>
      </w:r>
      <w:r>
        <w:rPr>
          <w:sz w:val="24"/>
        </w:rPr>
        <w:t>project.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For the purposes of paragraph (a)(1), a RIT-D project will be required to address an urgent and unforeseen </w:t>
      </w:r>
      <w:r>
        <w:rPr>
          <w:i/>
          <w:sz w:val="24"/>
        </w:rPr>
        <w:t>network </w:t>
      </w:r>
      <w:r>
        <w:rPr>
          <w:sz w:val="24"/>
        </w:rPr>
        <w:t>issue that would otherwise put at risk the </w:t>
      </w:r>
      <w:r>
        <w:rPr>
          <w:i/>
          <w:sz w:val="24"/>
        </w:rPr>
        <w:t>reliability </w:t>
      </w:r>
      <w:r>
        <w:rPr>
          <w:sz w:val="24"/>
        </w:rPr>
        <w:t>of the </w:t>
      </w:r>
      <w:r>
        <w:rPr>
          <w:i/>
          <w:sz w:val="24"/>
        </w:rPr>
        <w:t>distribution network </w:t>
      </w:r>
      <w:r>
        <w:rPr>
          <w:sz w:val="24"/>
        </w:rPr>
        <w:t>or a significant part of that </w:t>
      </w:r>
      <w:r>
        <w:rPr>
          <w:i/>
          <w:sz w:val="24"/>
        </w:rPr>
        <w:t>network </w:t>
      </w:r>
      <w:r>
        <w:rPr>
          <w:sz w:val="24"/>
        </w:rPr>
        <w:t>if:</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it is necessary that the assets or services to address the issue be operational within six months of the issue being</w:t>
      </w:r>
      <w:r>
        <w:rPr>
          <w:spacing w:val="-6"/>
          <w:sz w:val="24"/>
        </w:rPr>
        <w:t> </w:t>
      </w:r>
      <w:r>
        <w:rPr>
          <w:sz w:val="24"/>
        </w:rPr>
        <w:t>identified;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event or circumstances causing the </w:t>
      </w:r>
      <w:r>
        <w:rPr>
          <w:i/>
          <w:sz w:val="24"/>
        </w:rPr>
        <w:t>identified need </w:t>
      </w:r>
      <w:r>
        <w:rPr>
          <w:sz w:val="24"/>
        </w:rPr>
        <w:t>was not reasonably foreseeable by, and was beyond the reasonable control of, the </w:t>
      </w:r>
      <w:r>
        <w:rPr>
          <w:i/>
          <w:sz w:val="24"/>
        </w:rPr>
        <w:t>Network Service Provider(s) </w:t>
      </w:r>
      <w:r>
        <w:rPr>
          <w:sz w:val="24"/>
        </w:rPr>
        <w:t>that identified the </w:t>
      </w:r>
      <w:r>
        <w:rPr>
          <w:i/>
          <w:sz w:val="24"/>
        </w:rPr>
        <w:t>identified</w:t>
      </w:r>
      <w:r>
        <w:rPr>
          <w:i/>
          <w:spacing w:val="-4"/>
          <w:sz w:val="24"/>
        </w:rPr>
        <w:t> </w:t>
      </w:r>
      <w:r>
        <w:rPr>
          <w:i/>
          <w:sz w:val="24"/>
        </w:rPr>
        <w:t>need</w:t>
      </w:r>
      <w:r>
        <w:rPr>
          <w:sz w:val="24"/>
        </w:rPr>
        <w:t>;</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a failure to address the </w:t>
      </w:r>
      <w:r>
        <w:rPr>
          <w:i/>
          <w:sz w:val="24"/>
        </w:rPr>
        <w:t>identified need </w:t>
      </w:r>
      <w:r>
        <w:rPr>
          <w:sz w:val="24"/>
        </w:rPr>
        <w:t>is likely to materially adversely affect the </w:t>
      </w:r>
      <w:r>
        <w:rPr>
          <w:i/>
          <w:sz w:val="24"/>
        </w:rPr>
        <w:t>reliability </w:t>
      </w:r>
      <w:r>
        <w:rPr>
          <w:sz w:val="24"/>
        </w:rPr>
        <w:t>and </w:t>
      </w:r>
      <w:r>
        <w:rPr>
          <w:i/>
          <w:sz w:val="24"/>
        </w:rPr>
        <w:t>secure operating state </w:t>
      </w:r>
      <w:r>
        <w:rPr>
          <w:sz w:val="24"/>
        </w:rPr>
        <w:t>of the </w:t>
      </w:r>
      <w:r>
        <w:rPr>
          <w:i/>
          <w:sz w:val="24"/>
        </w:rPr>
        <w:t>distribution </w:t>
      </w:r>
      <w:r>
        <w:rPr>
          <w:i/>
          <w:sz w:val="24"/>
        </w:rPr>
        <w:t>network </w:t>
      </w:r>
      <w:r>
        <w:rPr>
          <w:sz w:val="24"/>
        </w:rPr>
        <w:t>or a significant part of that </w:t>
      </w:r>
      <w:r>
        <w:rPr>
          <w:i/>
          <w:sz w:val="24"/>
        </w:rPr>
        <w:t>network</w:t>
      </w:r>
      <w:r>
        <w:rPr>
          <w:sz w:val="24"/>
        </w:rPr>
        <w:t>;</w:t>
      </w:r>
      <w:r>
        <w:rPr>
          <w:spacing w:val="-3"/>
          <w:sz w:val="24"/>
        </w:rPr>
        <w:t> </w:t>
      </w:r>
      <w:r>
        <w:rPr>
          <w:sz w:val="24"/>
        </w:rPr>
        <w:t>and</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it is not a </w:t>
      </w:r>
      <w:r>
        <w:rPr>
          <w:i/>
          <w:sz w:val="24"/>
        </w:rPr>
        <w:t>contingent</w:t>
      </w:r>
      <w:r>
        <w:rPr>
          <w:i/>
          <w:spacing w:val="-1"/>
          <w:sz w:val="24"/>
        </w:rPr>
        <w:t> </w:t>
      </w:r>
      <w:r>
        <w:rPr>
          <w:i/>
          <w:sz w:val="24"/>
        </w:rPr>
        <w:t>project</w:t>
      </w:r>
      <w:r>
        <w:rPr>
          <w:sz w:val="24"/>
        </w:rPr>
        <w: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With the exception of </w:t>
      </w:r>
      <w:r>
        <w:rPr>
          <w:i/>
          <w:sz w:val="24"/>
        </w:rPr>
        <w:t>negotiated distribution services </w:t>
      </w:r>
      <w:r>
        <w:rPr>
          <w:sz w:val="24"/>
        </w:rPr>
        <w:t>and </w:t>
      </w:r>
      <w:r>
        <w:rPr>
          <w:i/>
          <w:sz w:val="24"/>
        </w:rPr>
        <w:t>negotiated </w:t>
      </w:r>
      <w:r>
        <w:rPr>
          <w:i/>
          <w:sz w:val="24"/>
        </w:rPr>
        <w:t>transmission services</w:t>
      </w:r>
      <w:r>
        <w:rPr>
          <w:sz w:val="24"/>
        </w:rPr>
        <w:t>, for each RIT-D project to which the </w:t>
      </w:r>
      <w:r>
        <w:rPr>
          <w:i/>
          <w:sz w:val="24"/>
        </w:rPr>
        <w:t>regulatory </w:t>
      </w:r>
      <w:r>
        <w:rPr>
          <w:i/>
          <w:sz w:val="24"/>
        </w:rPr>
        <w:t>investment test for distribution </w:t>
      </w:r>
      <w:r>
        <w:rPr>
          <w:sz w:val="24"/>
        </w:rPr>
        <w:t>does not apply in accordance with paragraph (a)(1)-(6), the </w:t>
      </w:r>
      <w:r>
        <w:rPr>
          <w:i/>
          <w:sz w:val="24"/>
        </w:rPr>
        <w:t>Network Service Providers </w:t>
      </w:r>
      <w:r>
        <w:rPr>
          <w:sz w:val="24"/>
        </w:rPr>
        <w:t>affected by the RIT-D project must ensure, acting reasonably, that the investment required to address the </w:t>
      </w:r>
      <w:r>
        <w:rPr>
          <w:i/>
          <w:sz w:val="24"/>
        </w:rPr>
        <w:t>identified need </w:t>
      </w:r>
      <w:r>
        <w:rPr>
          <w:sz w:val="24"/>
        </w:rPr>
        <w:t>is planned and developed at least cost over the life of the investment.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RIT-D proponent must not treat different parts of an integrated solution to an </w:t>
      </w:r>
      <w:r>
        <w:rPr>
          <w:i/>
          <w:sz w:val="24"/>
        </w:rPr>
        <w:t>identified need </w:t>
      </w:r>
      <w:r>
        <w:rPr>
          <w:sz w:val="24"/>
        </w:rPr>
        <w:t>as distinct and separate options for the purposes of determining whether the </w:t>
      </w:r>
      <w:r>
        <w:rPr>
          <w:i/>
          <w:sz w:val="24"/>
        </w:rPr>
        <w:t>regulatory investment test for distribution </w:t>
      </w:r>
      <w:r>
        <w:rPr>
          <w:sz w:val="24"/>
        </w:rPr>
        <w:t>applies to each of those</w:t>
      </w:r>
      <w:r>
        <w:rPr>
          <w:spacing w:val="-1"/>
          <w:sz w:val="24"/>
        </w:rPr>
        <w:t> </w:t>
      </w:r>
      <w:r>
        <w:rPr>
          <w:sz w:val="24"/>
        </w:rPr>
        <w:t>parts.</w:t>
      </w:r>
    </w:p>
    <w:p>
      <w:pPr>
        <w:pStyle w:val="BodyText"/>
        <w:spacing w:before="10"/>
        <w:ind w:firstLine="0"/>
        <w:jc w:val="left"/>
        <w:rPr>
          <w:sz w:val="20"/>
        </w:rPr>
      </w:pPr>
    </w:p>
    <w:p>
      <w:pPr>
        <w:pStyle w:val="Heading4"/>
        <w:numPr>
          <w:ilvl w:val="2"/>
          <w:numId w:val="235"/>
        </w:numPr>
        <w:tabs>
          <w:tab w:pos="1351" w:val="left" w:leader="none"/>
          <w:tab w:pos="1352" w:val="left" w:leader="none"/>
        </w:tabs>
        <w:spacing w:line="240" w:lineRule="auto" w:before="0" w:after="0"/>
        <w:ind w:left="1351" w:right="0" w:hanging="1134"/>
        <w:jc w:val="left"/>
      </w:pPr>
      <w:bookmarkStart w:name="5.17.4 Regulatory investment test for di" w:id="765"/>
      <w:bookmarkEnd w:id="765"/>
      <w:r>
        <w:rPr>
          <w:b w:val="0"/>
        </w:rPr>
      </w:r>
      <w:bookmarkStart w:name="_bookmark295" w:id="766"/>
      <w:bookmarkEnd w:id="766"/>
      <w:r>
        <w:rPr>
          <w:b w:val="0"/>
        </w:rPr>
      </w:r>
      <w:bookmarkStart w:name="_bookmark295" w:id="767"/>
      <w:bookmarkEnd w:id="767"/>
      <w:r>
        <w:rPr/>
        <w:t>Regulator</w:t>
      </w:r>
      <w:r>
        <w:rPr/>
        <w:t>y investment test for distribution</w:t>
      </w:r>
      <w:r>
        <w:rPr>
          <w:spacing w:val="-3"/>
        </w:rPr>
        <w:t> </w:t>
      </w:r>
      <w:r>
        <w:rPr/>
        <w:t>procedures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application of paragraph (e)(4)(iv) of this clause will be revisited as part of the phased implementation of the </w:t>
      </w:r>
      <w:r>
        <w:rPr>
          <w:i/>
          <w:sz w:val="20"/>
        </w:rPr>
        <w:t>Rules </w:t>
      </w:r>
      <w:r>
        <w:rPr>
          <w:sz w:val="20"/>
        </w:rPr>
        <w:t>in this jurisdiction.</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If a RIT-D project is subject to the </w:t>
      </w:r>
      <w:r>
        <w:rPr>
          <w:i/>
          <w:sz w:val="24"/>
        </w:rPr>
        <w:t>regulatory investment test for </w:t>
      </w:r>
      <w:r>
        <w:rPr>
          <w:i/>
          <w:sz w:val="24"/>
        </w:rPr>
        <w:t>distribution </w:t>
      </w:r>
      <w:r>
        <w:rPr>
          <w:sz w:val="24"/>
        </w:rPr>
        <w:t>under clause 5.17.3, then the RIT-D proponent must consult with the following persons on the RIT-D project in accordance with this clause 5.17.4:</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5" w:val="left" w:leader="none"/>
          <w:tab w:pos="2486" w:val="left" w:leader="none"/>
        </w:tabs>
        <w:spacing w:line="240" w:lineRule="auto" w:before="83" w:after="0"/>
        <w:ind w:left="2486" w:right="415" w:hanging="567"/>
        <w:jc w:val="left"/>
        <w:rPr>
          <w:sz w:val="24"/>
        </w:rPr>
      </w:pPr>
      <w:r>
        <w:rPr>
          <w:sz w:val="24"/>
        </w:rPr>
        <w:t>all </w:t>
      </w:r>
      <w:r>
        <w:rPr>
          <w:i/>
          <w:sz w:val="24"/>
        </w:rPr>
        <w:t>Registered Participants</w:t>
      </w:r>
      <w:r>
        <w:rPr>
          <w:sz w:val="24"/>
        </w:rPr>
        <w:t>, </w:t>
      </w:r>
      <w:r>
        <w:rPr>
          <w:i/>
          <w:sz w:val="24"/>
        </w:rPr>
        <w:t>NTESMO</w:t>
      </w:r>
      <w:r>
        <w:rPr>
          <w:sz w:val="24"/>
        </w:rPr>
        <w:t>, </w:t>
      </w:r>
      <w:r>
        <w:rPr>
          <w:i/>
          <w:sz w:val="24"/>
        </w:rPr>
        <w:t>interested parties </w:t>
      </w:r>
      <w:r>
        <w:rPr>
          <w:sz w:val="24"/>
        </w:rPr>
        <w:t>and non- network providers;</w:t>
      </w:r>
      <w:r>
        <w:rPr>
          <w:spacing w:val="-1"/>
          <w:sz w:val="24"/>
        </w:rPr>
        <w:t> </w:t>
      </w:r>
      <w:r>
        <w:rPr>
          <w:sz w:val="24"/>
        </w:rPr>
        <w:t>and</w:t>
      </w:r>
    </w:p>
    <w:p>
      <w:pPr>
        <w:pStyle w:val="ListParagraph"/>
        <w:numPr>
          <w:ilvl w:val="4"/>
          <w:numId w:val="235"/>
        </w:numPr>
        <w:tabs>
          <w:tab w:pos="2485" w:val="left" w:leader="none"/>
          <w:tab w:pos="2486" w:val="left" w:leader="none"/>
        </w:tabs>
        <w:spacing w:line="240" w:lineRule="auto" w:before="120" w:after="0"/>
        <w:ind w:left="2486" w:right="416" w:hanging="567"/>
        <w:jc w:val="left"/>
        <w:rPr>
          <w:sz w:val="24"/>
        </w:rPr>
      </w:pPr>
      <w:r>
        <w:rPr>
          <w:sz w:val="24"/>
        </w:rPr>
        <w:t>if the RIT-D proponent is a </w:t>
      </w:r>
      <w:r>
        <w:rPr>
          <w:i/>
          <w:sz w:val="24"/>
        </w:rPr>
        <w:t>Distribution Network Service Provider</w:t>
      </w:r>
      <w:r>
        <w:rPr>
          <w:sz w:val="24"/>
        </w:rPr>
        <w:t>, persons registered on its demand side engagement</w:t>
      </w:r>
      <w:r>
        <w:rPr>
          <w:spacing w:val="-3"/>
          <w:sz w:val="24"/>
        </w:rPr>
        <w:t> </w:t>
      </w:r>
      <w:r>
        <w:rPr>
          <w:sz w:val="24"/>
        </w:rPr>
        <w:t>register.</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Heading4"/>
        <w:spacing w:before="120"/>
        <w:ind w:left="1352" w:firstLine="0"/>
        <w:jc w:val="both"/>
        <w:rPr>
          <w:rFonts w:ascii="Times New Roman"/>
        </w:rPr>
      </w:pPr>
      <w:r>
        <w:rPr>
          <w:rFonts w:ascii="Times New Roman"/>
        </w:rPr>
        <w:t>Screening for non-network options</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Subject to paragraph (c), a RIT-D proponent must prepare and </w:t>
      </w:r>
      <w:r>
        <w:rPr>
          <w:i/>
          <w:sz w:val="24"/>
        </w:rPr>
        <w:t>publish </w:t>
      </w:r>
      <w:r>
        <w:rPr>
          <w:spacing w:val="-13"/>
          <w:sz w:val="24"/>
        </w:rPr>
        <w:t>a </w:t>
      </w:r>
      <w:r>
        <w:rPr>
          <w:sz w:val="24"/>
        </w:rPr>
        <w:t>non-network options report under paragraph (e) if a RIT-D project is subject to the </w:t>
      </w:r>
      <w:r>
        <w:rPr>
          <w:i/>
          <w:sz w:val="24"/>
        </w:rPr>
        <w:t>regulatory investment test for distribution </w:t>
      </w:r>
      <w:r>
        <w:rPr>
          <w:sz w:val="24"/>
        </w:rPr>
        <w:t>under clause</w:t>
      </w:r>
      <w:r>
        <w:rPr>
          <w:spacing w:val="-4"/>
          <w:sz w:val="24"/>
        </w:rPr>
        <w:t> </w:t>
      </w:r>
      <w:r>
        <w:rPr>
          <w:sz w:val="24"/>
        </w:rPr>
        <w:t>5.17.3.</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RIT-D proponent is not required to comply with paragraph (b) if it determines on reasonable grounds that there will not be a </w:t>
      </w:r>
      <w:r>
        <w:rPr>
          <w:i/>
          <w:sz w:val="24"/>
        </w:rPr>
        <w:t>non-network </w:t>
      </w:r>
      <w:r>
        <w:rPr>
          <w:i/>
          <w:sz w:val="24"/>
        </w:rPr>
        <w:t>option </w:t>
      </w:r>
      <w:r>
        <w:rPr>
          <w:sz w:val="24"/>
        </w:rPr>
        <w:t>that is a potential credible option, or that forms a significant part of a potential credible option, for the RIT-D project to address the identified need.</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If a RIT-D proponent makes a determination under paragraph (c), then </w:t>
      </w:r>
      <w:r>
        <w:rPr>
          <w:spacing w:val="-6"/>
          <w:sz w:val="24"/>
        </w:rPr>
        <w:t>as </w:t>
      </w:r>
      <w:r>
        <w:rPr>
          <w:sz w:val="24"/>
        </w:rPr>
        <w:t>soon as possible after making the determination it must </w:t>
      </w:r>
      <w:r>
        <w:rPr>
          <w:i/>
          <w:sz w:val="24"/>
        </w:rPr>
        <w:t>publish </w:t>
      </w:r>
      <w:r>
        <w:rPr>
          <w:sz w:val="24"/>
        </w:rPr>
        <w:t>a notice setting out the reasons for its determination, including any methodologies and assumptions it used in making its</w:t>
      </w:r>
      <w:r>
        <w:rPr>
          <w:spacing w:val="-1"/>
          <w:sz w:val="24"/>
        </w:rPr>
        <w:t> </w:t>
      </w:r>
      <w:r>
        <w:rPr>
          <w:sz w:val="24"/>
        </w:rPr>
        <w:t>determination.</w:t>
      </w:r>
    </w:p>
    <w:p>
      <w:pPr>
        <w:pStyle w:val="Heading4"/>
        <w:spacing w:before="120"/>
        <w:ind w:left="1352" w:firstLine="0"/>
        <w:jc w:val="both"/>
        <w:rPr>
          <w:rFonts w:ascii="Times New Roman"/>
        </w:rPr>
      </w:pPr>
      <w:r>
        <w:rPr>
          <w:rFonts w:ascii="Times New Roman"/>
        </w:rPr>
        <w:t>Non-network options report</w:t>
      </w:r>
    </w:p>
    <w:p>
      <w:pPr>
        <w:pStyle w:val="ListParagraph"/>
        <w:numPr>
          <w:ilvl w:val="3"/>
          <w:numId w:val="235"/>
        </w:numPr>
        <w:tabs>
          <w:tab w:pos="1919" w:val="left" w:leader="none"/>
        </w:tabs>
        <w:spacing w:line="240" w:lineRule="auto" w:before="120" w:after="0"/>
        <w:ind w:left="1918" w:right="0" w:hanging="567"/>
        <w:jc w:val="both"/>
        <w:rPr>
          <w:sz w:val="24"/>
        </w:rPr>
      </w:pPr>
      <w:r>
        <w:rPr>
          <w:sz w:val="24"/>
        </w:rPr>
        <w:t>A non-network options report must</w:t>
      </w:r>
      <w:r>
        <w:rPr>
          <w:spacing w:val="-2"/>
          <w:sz w:val="24"/>
        </w:rPr>
        <w:t> </w:t>
      </w:r>
      <w:r>
        <w:rPr>
          <w:sz w:val="24"/>
        </w:rPr>
        <w:t>include:</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a description of the </w:t>
      </w:r>
      <w:r>
        <w:rPr>
          <w:i/>
          <w:sz w:val="24"/>
        </w:rPr>
        <w:t>identified</w:t>
      </w:r>
      <w:r>
        <w:rPr>
          <w:i/>
          <w:spacing w:val="-1"/>
          <w:sz w:val="24"/>
        </w:rPr>
        <w:t> </w:t>
      </w:r>
      <w:r>
        <w:rPr>
          <w:i/>
          <w:sz w:val="24"/>
        </w:rPr>
        <w:t>need</w:t>
      </w:r>
      <w:r>
        <w:rPr>
          <w:sz w:val="24"/>
        </w:rPr>
        <w:t>;</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the assumptions used in identifying the </w:t>
      </w:r>
      <w:r>
        <w:rPr>
          <w:i/>
          <w:sz w:val="24"/>
        </w:rPr>
        <w:t>identified need </w:t>
      </w:r>
      <w:r>
        <w:rPr>
          <w:sz w:val="24"/>
        </w:rPr>
        <w:t>(including, </w:t>
      </w:r>
      <w:r>
        <w:rPr>
          <w:spacing w:val="-7"/>
          <w:sz w:val="24"/>
        </w:rPr>
        <w:t>in </w:t>
      </w:r>
      <w:r>
        <w:rPr>
          <w:sz w:val="24"/>
        </w:rPr>
        <w:t>the case of proposed reliability corrective action, why the RIT-D proponent considers reliability corrective action is</w:t>
      </w:r>
      <w:r>
        <w:rPr>
          <w:spacing w:val="-2"/>
          <w:sz w:val="24"/>
        </w:rPr>
        <w:t> </w:t>
      </w:r>
      <w:r>
        <w:rPr>
          <w:sz w:val="24"/>
        </w:rPr>
        <w:t>necessary);</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if available, the relevant annual deferred </w:t>
      </w:r>
      <w:r>
        <w:rPr>
          <w:i/>
          <w:sz w:val="24"/>
        </w:rPr>
        <w:t>augmentation </w:t>
      </w:r>
      <w:r>
        <w:rPr>
          <w:sz w:val="24"/>
        </w:rPr>
        <w:t>charge associated with the </w:t>
      </w:r>
      <w:r>
        <w:rPr>
          <w:i/>
          <w:sz w:val="24"/>
        </w:rPr>
        <w:t>identified</w:t>
      </w:r>
      <w:r>
        <w:rPr>
          <w:i/>
          <w:spacing w:val="-1"/>
          <w:sz w:val="24"/>
        </w:rPr>
        <w:t> </w:t>
      </w:r>
      <w:r>
        <w:rPr>
          <w:i/>
          <w:sz w:val="24"/>
        </w:rPr>
        <w:t>need</w:t>
      </w:r>
      <w:r>
        <w:rPr>
          <w:sz w:val="24"/>
        </w:rPr>
        <w:t>;</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technical characteristics of the </w:t>
      </w:r>
      <w:r>
        <w:rPr>
          <w:i/>
          <w:sz w:val="24"/>
        </w:rPr>
        <w:t>identified need </w:t>
      </w:r>
      <w:r>
        <w:rPr>
          <w:sz w:val="24"/>
        </w:rPr>
        <w:t>that a non-network option would be required to deliver, such</w:t>
      </w:r>
      <w:r>
        <w:rPr>
          <w:spacing w:val="-4"/>
          <w:sz w:val="24"/>
        </w:rPr>
        <w:t> </w:t>
      </w:r>
      <w:r>
        <w:rPr>
          <w:sz w:val="24"/>
        </w:rPr>
        <w:t>as:</w:t>
      </w:r>
    </w:p>
    <w:p>
      <w:pPr>
        <w:pStyle w:val="ListParagraph"/>
        <w:numPr>
          <w:ilvl w:val="5"/>
          <w:numId w:val="235"/>
        </w:numPr>
        <w:tabs>
          <w:tab w:pos="3052" w:val="left" w:leader="none"/>
          <w:tab w:pos="3053" w:val="left" w:leader="none"/>
        </w:tabs>
        <w:spacing w:line="240" w:lineRule="auto" w:before="120" w:after="0"/>
        <w:ind w:left="3052" w:right="0" w:hanging="567"/>
        <w:jc w:val="left"/>
        <w:rPr>
          <w:sz w:val="24"/>
        </w:rPr>
      </w:pPr>
      <w:r>
        <w:rPr>
          <w:sz w:val="24"/>
        </w:rPr>
        <w:t>the size of </w:t>
      </w:r>
      <w:r>
        <w:rPr>
          <w:i/>
          <w:sz w:val="24"/>
        </w:rPr>
        <w:t>load </w:t>
      </w:r>
      <w:r>
        <w:rPr>
          <w:sz w:val="24"/>
        </w:rPr>
        <w:t>reduction or additional</w:t>
      </w:r>
      <w:r>
        <w:rPr>
          <w:spacing w:val="-3"/>
          <w:sz w:val="24"/>
        </w:rPr>
        <w:t> </w:t>
      </w:r>
      <w:r>
        <w:rPr>
          <w:i/>
          <w:sz w:val="24"/>
        </w:rPr>
        <w:t>supply</w:t>
      </w:r>
      <w:r>
        <w:rPr>
          <w:sz w:val="24"/>
        </w:rPr>
        <w:t>;</w:t>
      </w:r>
    </w:p>
    <w:p>
      <w:pPr>
        <w:pStyle w:val="ListParagraph"/>
        <w:numPr>
          <w:ilvl w:val="5"/>
          <w:numId w:val="235"/>
        </w:numPr>
        <w:tabs>
          <w:tab w:pos="3052" w:val="left" w:leader="none"/>
          <w:tab w:pos="3054" w:val="left" w:leader="none"/>
        </w:tabs>
        <w:spacing w:line="240" w:lineRule="auto" w:before="120" w:after="0"/>
        <w:ind w:left="3053" w:right="0" w:hanging="568"/>
        <w:jc w:val="left"/>
        <w:rPr>
          <w:sz w:val="24"/>
        </w:rPr>
      </w:pPr>
      <w:r>
        <w:rPr>
          <w:sz w:val="24"/>
        </w:rPr>
        <w:t>location;</w:t>
      </w:r>
    </w:p>
    <w:p>
      <w:pPr>
        <w:pStyle w:val="ListParagraph"/>
        <w:numPr>
          <w:ilvl w:val="5"/>
          <w:numId w:val="235"/>
        </w:numPr>
        <w:tabs>
          <w:tab w:pos="3052" w:val="left" w:leader="none"/>
          <w:tab w:pos="3053" w:val="left" w:leader="none"/>
        </w:tabs>
        <w:spacing w:line="240" w:lineRule="auto" w:before="120" w:after="0"/>
        <w:ind w:left="3052" w:right="0" w:hanging="567"/>
        <w:jc w:val="left"/>
        <w:rPr>
          <w:sz w:val="24"/>
        </w:rPr>
      </w:pPr>
      <w:r>
        <w:rPr>
          <w:sz w:val="24"/>
        </w:rPr>
        <w:t>contribution to </w:t>
      </w:r>
      <w:r>
        <w:rPr>
          <w:i/>
          <w:sz w:val="24"/>
        </w:rPr>
        <w:t>power system security </w:t>
      </w:r>
      <w:r>
        <w:rPr>
          <w:sz w:val="24"/>
        </w:rPr>
        <w:t>or</w:t>
      </w:r>
      <w:r>
        <w:rPr>
          <w:spacing w:val="-4"/>
          <w:sz w:val="24"/>
        </w:rPr>
        <w:t> </w:t>
      </w:r>
      <w:r>
        <w:rPr>
          <w:i/>
          <w:sz w:val="24"/>
        </w:rPr>
        <w:t>reliability</w:t>
      </w:r>
      <w:r>
        <w:rPr>
          <w:sz w:val="24"/>
        </w:rPr>
        <w:t>;</w:t>
      </w:r>
    </w:p>
    <w:p>
      <w:pPr>
        <w:pStyle w:val="ListParagraph"/>
        <w:numPr>
          <w:ilvl w:val="5"/>
          <w:numId w:val="235"/>
        </w:numPr>
        <w:tabs>
          <w:tab w:pos="3052" w:val="left" w:leader="none"/>
          <w:tab w:pos="3054" w:val="left" w:leader="none"/>
        </w:tabs>
        <w:spacing w:line="240" w:lineRule="auto" w:before="120" w:after="0"/>
        <w:ind w:left="3053" w:right="0" w:hanging="568"/>
        <w:jc w:val="left"/>
        <w:rPr>
          <w:sz w:val="24"/>
        </w:rPr>
      </w:pPr>
      <w:r>
        <w:rPr>
          <w:sz w:val="24"/>
        </w:rPr>
        <w:t>contribution</w:t>
      </w:r>
      <w:r>
        <w:rPr>
          <w:spacing w:val="40"/>
          <w:sz w:val="24"/>
        </w:rPr>
        <w:t> </w:t>
      </w:r>
      <w:r>
        <w:rPr>
          <w:sz w:val="24"/>
        </w:rPr>
        <w:t>to</w:t>
      </w:r>
      <w:r>
        <w:rPr>
          <w:spacing w:val="40"/>
          <w:sz w:val="24"/>
        </w:rPr>
        <w:t> </w:t>
      </w:r>
      <w:r>
        <w:rPr>
          <w:i/>
          <w:sz w:val="24"/>
        </w:rPr>
        <w:t>power</w:t>
      </w:r>
      <w:r>
        <w:rPr>
          <w:i/>
          <w:spacing w:val="40"/>
          <w:sz w:val="24"/>
        </w:rPr>
        <w:t> </w:t>
      </w:r>
      <w:r>
        <w:rPr>
          <w:i/>
          <w:sz w:val="24"/>
        </w:rPr>
        <w:t>system</w:t>
      </w:r>
      <w:r>
        <w:rPr>
          <w:i/>
          <w:spacing w:val="41"/>
          <w:sz w:val="24"/>
        </w:rPr>
        <w:t> </w:t>
      </w:r>
      <w:r>
        <w:rPr>
          <w:sz w:val="24"/>
        </w:rPr>
        <w:t>fault</w:t>
      </w:r>
      <w:r>
        <w:rPr>
          <w:spacing w:val="40"/>
          <w:sz w:val="24"/>
        </w:rPr>
        <w:t> </w:t>
      </w:r>
      <w:r>
        <w:rPr>
          <w:sz w:val="24"/>
        </w:rPr>
        <w:t>levels</w:t>
      </w:r>
      <w:r>
        <w:rPr>
          <w:spacing w:val="40"/>
          <w:sz w:val="24"/>
        </w:rPr>
        <w:t> </w:t>
      </w:r>
      <w:r>
        <w:rPr>
          <w:sz w:val="24"/>
        </w:rPr>
        <w:t>as</w:t>
      </w:r>
      <w:r>
        <w:rPr>
          <w:spacing w:val="40"/>
          <w:sz w:val="24"/>
        </w:rPr>
        <w:t> </w:t>
      </w:r>
      <w:r>
        <w:rPr>
          <w:sz w:val="24"/>
        </w:rPr>
        <w:t>determined</w:t>
      </w:r>
      <w:r>
        <w:rPr>
          <w:spacing w:val="41"/>
          <w:sz w:val="24"/>
        </w:rPr>
        <w:t> </w:t>
      </w:r>
      <w:r>
        <w:rPr>
          <w:sz w:val="24"/>
        </w:rPr>
        <w:t>under</w:t>
      </w:r>
    </w:p>
    <w:p>
      <w:pPr>
        <w:spacing w:before="0"/>
        <w:ind w:left="3053" w:right="0" w:firstLine="0"/>
        <w:jc w:val="left"/>
        <w:rPr>
          <w:sz w:val="24"/>
        </w:rPr>
      </w:pPr>
      <w:r>
        <w:rPr>
          <w:i/>
          <w:sz w:val="24"/>
        </w:rPr>
        <w:t>jurisdictional electricity legislation</w:t>
      </w:r>
      <w:r>
        <w:rPr>
          <w:sz w:val="24"/>
        </w:rPr>
        <w:t>; and</w:t>
      </w:r>
    </w:p>
    <w:p>
      <w:pPr>
        <w:pStyle w:val="ListParagraph"/>
        <w:numPr>
          <w:ilvl w:val="5"/>
          <w:numId w:val="235"/>
        </w:numPr>
        <w:tabs>
          <w:tab w:pos="3052" w:val="left" w:leader="none"/>
          <w:tab w:pos="3053" w:val="left" w:leader="none"/>
        </w:tabs>
        <w:spacing w:line="240" w:lineRule="auto" w:before="120" w:after="0"/>
        <w:ind w:left="3052" w:right="0" w:hanging="567"/>
        <w:jc w:val="left"/>
        <w:rPr>
          <w:sz w:val="24"/>
        </w:rPr>
      </w:pPr>
      <w:r>
        <w:rPr>
          <w:sz w:val="24"/>
        </w:rPr>
        <w:t>the operating</w:t>
      </w:r>
      <w:r>
        <w:rPr>
          <w:spacing w:val="-2"/>
          <w:sz w:val="24"/>
        </w:rPr>
        <w:t> </w:t>
      </w:r>
      <w:r>
        <w:rPr>
          <w:sz w:val="24"/>
        </w:rPr>
        <w:t>profile;</w:t>
      </w:r>
    </w:p>
    <w:p>
      <w:pPr>
        <w:spacing w:before="120"/>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The power system fault levels in </w:t>
      </w:r>
      <w:r>
        <w:rPr>
          <w:i/>
          <w:sz w:val="20"/>
        </w:rPr>
        <w:t>jurisdictional electricity legislation </w:t>
      </w:r>
      <w:r>
        <w:rPr>
          <w:sz w:val="20"/>
        </w:rPr>
        <w:t>referred to in subparagraph (4)(iv) will be power system fault levels that correspond to clause</w:t>
      </w:r>
    </w:p>
    <w:p>
      <w:pPr>
        <w:spacing w:before="0"/>
        <w:ind w:left="2486" w:right="0" w:firstLine="0"/>
        <w:jc w:val="left"/>
        <w:rPr>
          <w:sz w:val="20"/>
        </w:rPr>
      </w:pPr>
      <w:r>
        <w:rPr>
          <w:sz w:val="20"/>
        </w:rPr>
        <w:t>4.6.1 in the </w:t>
      </w:r>
      <w:r>
        <w:rPr>
          <w:i/>
          <w:sz w:val="20"/>
        </w:rPr>
        <w:t>Rules </w:t>
      </w:r>
      <w:r>
        <w:rPr>
          <w:sz w:val="20"/>
        </w:rPr>
        <w:t>applying in other participating jurisdictions.</w:t>
      </w:r>
    </w:p>
    <w:p>
      <w:pPr>
        <w:spacing w:after="0"/>
        <w:jc w:val="left"/>
        <w:rPr>
          <w:sz w:val="20"/>
        </w:rPr>
        <w:sectPr>
          <w:pgSz w:w="11910" w:h="16840"/>
          <w:pgMar w:header="686" w:footer="637" w:top="1320" w:bottom="820" w:left="1200" w:right="1000"/>
        </w:sectPr>
      </w:pPr>
    </w:p>
    <w:p>
      <w:pPr>
        <w:pStyle w:val="ListParagraph"/>
        <w:numPr>
          <w:ilvl w:val="0"/>
          <w:numId w:val="236"/>
        </w:numPr>
        <w:tabs>
          <w:tab w:pos="2486" w:val="left" w:leader="none"/>
        </w:tabs>
        <w:spacing w:line="240" w:lineRule="auto" w:before="83" w:after="0"/>
        <w:ind w:left="2486" w:right="415" w:hanging="567"/>
        <w:jc w:val="both"/>
        <w:rPr>
          <w:sz w:val="24"/>
        </w:rPr>
      </w:pPr>
      <w:r>
        <w:rPr>
          <w:sz w:val="24"/>
        </w:rPr>
        <w:t>a summary of potential credible options to address the </w:t>
      </w:r>
      <w:r>
        <w:rPr>
          <w:i/>
          <w:sz w:val="24"/>
        </w:rPr>
        <w:t>identified need</w:t>
      </w:r>
      <w:r>
        <w:rPr>
          <w:sz w:val="24"/>
        </w:rPr>
        <w:t>, as identified by the RIT-D proponent, including </w:t>
      </w:r>
      <w:r>
        <w:rPr>
          <w:i/>
          <w:sz w:val="24"/>
        </w:rPr>
        <w:t>network options </w:t>
      </w:r>
      <w:r>
        <w:rPr>
          <w:sz w:val="24"/>
        </w:rPr>
        <w:t>and </w:t>
      </w:r>
      <w:r>
        <w:rPr>
          <w:i/>
          <w:sz w:val="24"/>
        </w:rPr>
        <w:t>non-network</w:t>
      </w:r>
      <w:r>
        <w:rPr>
          <w:i/>
          <w:spacing w:val="-1"/>
          <w:sz w:val="24"/>
        </w:rPr>
        <w:t> </w:t>
      </w:r>
      <w:r>
        <w:rPr>
          <w:i/>
          <w:sz w:val="24"/>
        </w:rPr>
        <w:t>options</w:t>
      </w:r>
      <w:r>
        <w:rPr>
          <w:sz w:val="24"/>
        </w:rPr>
        <w:t>.</w:t>
      </w:r>
    </w:p>
    <w:p>
      <w:pPr>
        <w:pStyle w:val="ListParagraph"/>
        <w:numPr>
          <w:ilvl w:val="0"/>
          <w:numId w:val="236"/>
        </w:numPr>
        <w:tabs>
          <w:tab w:pos="2486" w:val="left" w:leader="none"/>
        </w:tabs>
        <w:spacing w:line="240" w:lineRule="auto" w:before="120" w:after="0"/>
        <w:ind w:left="2486" w:right="415" w:hanging="567"/>
        <w:jc w:val="both"/>
        <w:rPr>
          <w:sz w:val="24"/>
        </w:rPr>
      </w:pPr>
      <w:r>
        <w:rPr>
          <w:sz w:val="24"/>
        </w:rPr>
        <w:t>for each potential credible option, the RIT-D proponent must provide information, to the extent practicable,</w:t>
      </w:r>
      <w:r>
        <w:rPr>
          <w:spacing w:val="-1"/>
          <w:sz w:val="24"/>
        </w:rPr>
        <w:t> </w:t>
      </w:r>
      <w:r>
        <w:rPr>
          <w:sz w:val="24"/>
        </w:rPr>
        <w:t>on:</w:t>
      </w:r>
    </w:p>
    <w:p>
      <w:pPr>
        <w:pStyle w:val="ListParagraph"/>
        <w:numPr>
          <w:ilvl w:val="1"/>
          <w:numId w:val="236"/>
        </w:numPr>
        <w:tabs>
          <w:tab w:pos="3053" w:val="left" w:leader="none"/>
        </w:tabs>
        <w:spacing w:line="240" w:lineRule="auto" w:before="120" w:after="0"/>
        <w:ind w:left="3052" w:right="0" w:hanging="567"/>
        <w:jc w:val="both"/>
        <w:rPr>
          <w:sz w:val="24"/>
        </w:rPr>
      </w:pPr>
      <w:r>
        <w:rPr>
          <w:sz w:val="24"/>
        </w:rPr>
        <w:t>a technical definition or characteristics of the</w:t>
      </w:r>
      <w:r>
        <w:rPr>
          <w:spacing w:val="-3"/>
          <w:sz w:val="24"/>
        </w:rPr>
        <w:t> </w:t>
      </w:r>
      <w:r>
        <w:rPr>
          <w:sz w:val="24"/>
        </w:rPr>
        <w:t>option;</w:t>
      </w:r>
    </w:p>
    <w:p>
      <w:pPr>
        <w:pStyle w:val="ListParagraph"/>
        <w:numPr>
          <w:ilvl w:val="1"/>
          <w:numId w:val="236"/>
        </w:numPr>
        <w:tabs>
          <w:tab w:pos="3054" w:val="left" w:leader="none"/>
        </w:tabs>
        <w:spacing w:line="240" w:lineRule="auto" w:before="120" w:after="0"/>
        <w:ind w:left="3053" w:right="413" w:hanging="567"/>
        <w:jc w:val="both"/>
        <w:rPr>
          <w:sz w:val="24"/>
        </w:rPr>
      </w:pPr>
      <w:r>
        <w:rPr>
          <w:sz w:val="24"/>
        </w:rPr>
        <w:t>the estimated construction timetable and commissioning date (where relevant);</w:t>
      </w:r>
      <w:r>
        <w:rPr>
          <w:spacing w:val="-1"/>
          <w:sz w:val="24"/>
        </w:rPr>
        <w:t> </w:t>
      </w:r>
      <w:r>
        <w:rPr>
          <w:sz w:val="24"/>
        </w:rPr>
        <w:t>and</w:t>
      </w:r>
    </w:p>
    <w:p>
      <w:pPr>
        <w:pStyle w:val="ListParagraph"/>
        <w:numPr>
          <w:ilvl w:val="1"/>
          <w:numId w:val="236"/>
        </w:numPr>
        <w:tabs>
          <w:tab w:pos="3053" w:val="left" w:leader="none"/>
        </w:tabs>
        <w:spacing w:line="240" w:lineRule="auto" w:before="120" w:after="0"/>
        <w:ind w:left="3053" w:right="415" w:hanging="567"/>
        <w:jc w:val="both"/>
        <w:rPr>
          <w:sz w:val="24"/>
        </w:rPr>
      </w:pPr>
      <w:r>
        <w:rPr>
          <w:sz w:val="24"/>
        </w:rPr>
        <w:t>the total indicative cost (including capital and operating costs); and</w:t>
      </w:r>
    </w:p>
    <w:p>
      <w:pPr>
        <w:pStyle w:val="ListParagraph"/>
        <w:numPr>
          <w:ilvl w:val="0"/>
          <w:numId w:val="236"/>
        </w:numPr>
        <w:tabs>
          <w:tab w:pos="2486" w:val="left" w:leader="none"/>
        </w:tabs>
        <w:spacing w:line="240" w:lineRule="auto" w:before="120" w:after="0"/>
        <w:ind w:left="2486" w:right="414" w:hanging="567"/>
        <w:jc w:val="both"/>
        <w:rPr>
          <w:sz w:val="24"/>
        </w:rPr>
      </w:pPr>
      <w:r>
        <w:rPr>
          <w:sz w:val="24"/>
        </w:rPr>
        <w:t>information to assist non-network providers wishing to present alternative potential credible options including details of how </w:t>
      </w:r>
      <w:r>
        <w:rPr>
          <w:spacing w:val="-6"/>
          <w:sz w:val="24"/>
        </w:rPr>
        <w:t>to </w:t>
      </w:r>
      <w:r>
        <w:rPr>
          <w:sz w:val="24"/>
        </w:rPr>
        <w:t>submit a non-</w:t>
      </w:r>
      <w:r>
        <w:rPr>
          <w:i/>
          <w:sz w:val="24"/>
        </w:rPr>
        <w:t>network </w:t>
      </w:r>
      <w:r>
        <w:rPr>
          <w:sz w:val="24"/>
        </w:rPr>
        <w:t>proposal for consideration by the RIT-D proponent.</w:t>
      </w:r>
    </w:p>
    <w:p>
      <w:pPr>
        <w:pStyle w:val="ListParagraph"/>
        <w:numPr>
          <w:ilvl w:val="3"/>
          <w:numId w:val="235"/>
        </w:numPr>
        <w:tabs>
          <w:tab w:pos="1920" w:val="left" w:leader="none"/>
        </w:tabs>
        <w:spacing w:line="240" w:lineRule="auto" w:before="120" w:after="0"/>
        <w:ind w:left="1919" w:right="415" w:hanging="567"/>
        <w:jc w:val="both"/>
        <w:rPr>
          <w:sz w:val="24"/>
        </w:rPr>
      </w:pPr>
      <w:r>
        <w:rPr>
          <w:sz w:val="24"/>
        </w:rPr>
        <w:t>The non-network options report must be </w:t>
      </w:r>
      <w:r>
        <w:rPr>
          <w:i/>
          <w:sz w:val="24"/>
        </w:rPr>
        <w:t>published </w:t>
      </w:r>
      <w:r>
        <w:rPr>
          <w:sz w:val="24"/>
        </w:rPr>
        <w:t>in a timely manner having regard to the ability of parties to identify the scope for, and develop, alternative potential credible options or variants to the potential credible options.</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At the same time as </w:t>
      </w:r>
      <w:r>
        <w:rPr>
          <w:i/>
          <w:sz w:val="24"/>
        </w:rPr>
        <w:t>publishing </w:t>
      </w:r>
      <w:r>
        <w:rPr>
          <w:sz w:val="24"/>
        </w:rPr>
        <w:t>the non-network options report, the RIT-D proponent, if it is a </w:t>
      </w:r>
      <w:r>
        <w:rPr>
          <w:i/>
          <w:sz w:val="24"/>
        </w:rPr>
        <w:t>Distribution Network Service Provider</w:t>
      </w:r>
      <w:r>
        <w:rPr>
          <w:sz w:val="24"/>
        </w:rPr>
        <w:t>, must notify persons registered on its demand side engagement register of the report's </w:t>
      </w:r>
      <w:r>
        <w:rPr>
          <w:i/>
          <w:sz w:val="24"/>
        </w:rPr>
        <w:t>publication</w:t>
      </w:r>
      <w:r>
        <w:rPr>
          <w:sz w:val="24"/>
        </w:rPr>
        <w:t>.</w:t>
      </w:r>
    </w:p>
    <w:p>
      <w:pPr>
        <w:pStyle w:val="ListParagraph"/>
        <w:numPr>
          <w:ilvl w:val="3"/>
          <w:numId w:val="235"/>
        </w:numPr>
        <w:tabs>
          <w:tab w:pos="1919" w:val="left" w:leader="none"/>
        </w:tabs>
        <w:spacing w:line="240" w:lineRule="auto" w:before="120" w:after="0"/>
        <w:ind w:left="1919" w:right="414" w:hanging="567"/>
        <w:jc w:val="both"/>
        <w:rPr>
          <w:sz w:val="24"/>
        </w:rPr>
      </w:pPr>
      <w:r>
        <w:rPr>
          <w:i/>
          <w:sz w:val="24"/>
        </w:rPr>
        <w:t>Registered Participants</w:t>
      </w:r>
      <w:r>
        <w:rPr>
          <w:sz w:val="24"/>
        </w:rPr>
        <w:t>, </w:t>
      </w:r>
      <w:r>
        <w:rPr>
          <w:i/>
          <w:sz w:val="24"/>
        </w:rPr>
        <w:t>NTESMO</w:t>
      </w:r>
      <w:r>
        <w:rPr>
          <w:sz w:val="24"/>
        </w:rPr>
        <w:t>, </w:t>
      </w:r>
      <w:r>
        <w:rPr>
          <w:i/>
          <w:sz w:val="24"/>
        </w:rPr>
        <w:t>interested parties</w:t>
      </w:r>
      <w:r>
        <w:rPr>
          <w:sz w:val="24"/>
        </w:rPr>
        <w:t>, non-network providers and (if relevant) persons registered on the </w:t>
      </w:r>
      <w:r>
        <w:rPr>
          <w:i/>
          <w:sz w:val="24"/>
        </w:rPr>
        <w:t>Distribution Network </w:t>
      </w:r>
      <w:r>
        <w:rPr>
          <w:i/>
          <w:sz w:val="24"/>
        </w:rPr>
        <w:t>Service Provider's </w:t>
      </w:r>
      <w:r>
        <w:rPr>
          <w:sz w:val="24"/>
        </w:rPr>
        <w:t>demand side engagement register must be provided with not less than three months in which to make submissions on the non- network options report from the date that the RIT-D proponent </w:t>
      </w:r>
      <w:r>
        <w:rPr>
          <w:i/>
          <w:sz w:val="24"/>
        </w:rPr>
        <w:t>publishes </w:t>
      </w:r>
      <w:r>
        <w:rPr>
          <w:sz w:val="24"/>
        </w:rPr>
        <w:t>the report.</w:t>
      </w:r>
    </w:p>
    <w:p>
      <w:pPr>
        <w:pStyle w:val="Heading4"/>
        <w:spacing w:before="120"/>
        <w:ind w:left="1352" w:firstLine="0"/>
        <w:jc w:val="both"/>
        <w:rPr>
          <w:rFonts w:ascii="Times New Roman"/>
        </w:rPr>
      </w:pPr>
      <w:r>
        <w:rPr>
          <w:rFonts w:ascii="Times New Roman"/>
        </w:rPr>
        <w:t>Draft project assessment report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If one or more </w:t>
      </w:r>
      <w:r>
        <w:rPr>
          <w:i/>
          <w:sz w:val="24"/>
        </w:rPr>
        <w:t>Network Service Providers </w:t>
      </w:r>
      <w:r>
        <w:rPr>
          <w:sz w:val="24"/>
        </w:rPr>
        <w:t>wishes to proceed with a RIT-D project following a determination under paragraph (c) or the </w:t>
      </w:r>
      <w:r>
        <w:rPr>
          <w:i/>
          <w:sz w:val="24"/>
        </w:rPr>
        <w:t>publication </w:t>
      </w:r>
      <w:r>
        <w:rPr>
          <w:sz w:val="24"/>
        </w:rPr>
        <w:t>of a non-network options report then the RIT-D proponent, having regard, where relevant, to any submissions received on the non-network options report, must prepare and </w:t>
      </w:r>
      <w:r>
        <w:rPr>
          <w:i/>
          <w:sz w:val="24"/>
        </w:rPr>
        <w:t>publish </w:t>
      </w:r>
      <w:r>
        <w:rPr>
          <w:sz w:val="24"/>
        </w:rPr>
        <w:t>a draft project assessment report</w:t>
      </w:r>
      <w:r>
        <w:rPr>
          <w:spacing w:val="-3"/>
          <w:sz w:val="24"/>
        </w:rPr>
        <w:t> </w:t>
      </w:r>
      <w:r>
        <w:rPr>
          <w:sz w:val="24"/>
        </w:rPr>
        <w:t>within:</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12 months of:</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the end of the consultation period on a non-network </w:t>
      </w:r>
      <w:r>
        <w:rPr>
          <w:spacing w:val="-3"/>
          <w:sz w:val="24"/>
        </w:rPr>
        <w:t>options </w:t>
      </w:r>
      <w:r>
        <w:rPr>
          <w:sz w:val="24"/>
        </w:rPr>
        <w:t>report; or</w:t>
      </w:r>
    </w:p>
    <w:p>
      <w:pPr>
        <w:pStyle w:val="ListParagraph"/>
        <w:numPr>
          <w:ilvl w:val="5"/>
          <w:numId w:val="235"/>
        </w:numPr>
        <w:tabs>
          <w:tab w:pos="3054" w:val="left" w:leader="none"/>
        </w:tabs>
        <w:spacing w:line="240" w:lineRule="auto" w:before="120" w:after="0"/>
        <w:ind w:left="3053" w:right="416" w:hanging="567"/>
        <w:jc w:val="both"/>
        <w:rPr>
          <w:sz w:val="24"/>
        </w:rPr>
      </w:pPr>
      <w:r>
        <w:rPr>
          <w:sz w:val="24"/>
        </w:rPr>
        <w:t>where a non-network options report is not required,</w:t>
      </w:r>
      <w:r>
        <w:rPr>
          <w:spacing w:val="30"/>
          <w:sz w:val="24"/>
        </w:rPr>
        <w:t> </w:t>
      </w:r>
      <w:r>
        <w:rPr>
          <w:sz w:val="24"/>
        </w:rPr>
        <w:t>the publication of a notice under paragraph (d);</w:t>
      </w:r>
      <w:r>
        <w:rPr>
          <w:spacing w:val="-2"/>
          <w:sz w:val="24"/>
        </w:rPr>
        <w:t> </w:t>
      </w:r>
      <w:r>
        <w:rPr>
          <w:sz w:val="24"/>
        </w:rPr>
        <w:t>or</w:t>
      </w:r>
    </w:p>
    <w:p>
      <w:pPr>
        <w:pStyle w:val="ListParagraph"/>
        <w:numPr>
          <w:ilvl w:val="4"/>
          <w:numId w:val="235"/>
        </w:numPr>
        <w:tabs>
          <w:tab w:pos="566" w:val="left" w:leader="none"/>
          <w:tab w:pos="2486" w:val="left" w:leader="none"/>
        </w:tabs>
        <w:spacing w:line="240" w:lineRule="auto" w:before="120" w:after="0"/>
        <w:ind w:left="2485" w:right="1619" w:hanging="2486"/>
        <w:jc w:val="right"/>
        <w:rPr>
          <w:sz w:val="24"/>
        </w:rPr>
      </w:pPr>
      <w:r>
        <w:rPr>
          <w:sz w:val="24"/>
        </w:rPr>
        <w:t>any longer time period as agreed to in writing by the</w:t>
      </w:r>
      <w:r>
        <w:rPr>
          <w:spacing w:val="-10"/>
          <w:sz w:val="24"/>
        </w:rPr>
        <w:t> </w:t>
      </w:r>
      <w:r>
        <w:rPr>
          <w:i/>
          <w:sz w:val="24"/>
        </w:rPr>
        <w:t>AER</w:t>
      </w:r>
      <w:r>
        <w:rPr>
          <w:sz w:val="24"/>
        </w:rPr>
        <w:t>.</w:t>
      </w:r>
    </w:p>
    <w:p>
      <w:pPr>
        <w:pStyle w:val="ListParagraph"/>
        <w:numPr>
          <w:ilvl w:val="3"/>
          <w:numId w:val="235"/>
        </w:numPr>
        <w:tabs>
          <w:tab w:pos="566" w:val="left" w:leader="none"/>
          <w:tab w:pos="567" w:val="left" w:leader="none"/>
        </w:tabs>
        <w:spacing w:line="240" w:lineRule="auto" w:before="120" w:after="0"/>
        <w:ind w:left="1918" w:right="1706" w:hanging="1919"/>
        <w:jc w:val="right"/>
        <w:rPr>
          <w:sz w:val="24"/>
        </w:rPr>
      </w:pPr>
      <w:r>
        <w:rPr>
          <w:sz w:val="24"/>
        </w:rPr>
        <w:t>The draft project assessment report must include the</w:t>
      </w:r>
      <w:r>
        <w:rPr>
          <w:spacing w:val="-6"/>
          <w:sz w:val="24"/>
        </w:rPr>
        <w:t> </w:t>
      </w:r>
      <w:r>
        <w:rPr>
          <w:sz w:val="24"/>
        </w:rPr>
        <w:t>following:</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a description of the </w:t>
      </w:r>
      <w:r>
        <w:rPr>
          <w:i/>
          <w:sz w:val="24"/>
        </w:rPr>
        <w:t>identified need </w:t>
      </w:r>
      <w:r>
        <w:rPr>
          <w:sz w:val="24"/>
        </w:rPr>
        <w:t>for the</w:t>
      </w:r>
      <w:r>
        <w:rPr>
          <w:spacing w:val="-2"/>
          <w:sz w:val="24"/>
        </w:rPr>
        <w:t> </w:t>
      </w:r>
      <w:r>
        <w:rPr>
          <w:sz w:val="24"/>
        </w:rPr>
        <w:t>investment;</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6" w:val="left" w:leader="none"/>
        </w:tabs>
        <w:spacing w:line="240" w:lineRule="auto" w:before="83" w:after="0"/>
        <w:ind w:left="2486" w:right="415" w:hanging="567"/>
        <w:jc w:val="both"/>
        <w:rPr>
          <w:sz w:val="24"/>
        </w:rPr>
      </w:pPr>
      <w:r>
        <w:rPr>
          <w:sz w:val="24"/>
        </w:rPr>
        <w:t>the assumptions used in identifying the </w:t>
      </w:r>
      <w:r>
        <w:rPr>
          <w:i/>
          <w:sz w:val="24"/>
        </w:rPr>
        <w:t>identified need </w:t>
      </w:r>
      <w:r>
        <w:rPr>
          <w:sz w:val="24"/>
        </w:rPr>
        <w:t>(including, </w:t>
      </w:r>
      <w:r>
        <w:rPr>
          <w:spacing w:val="-7"/>
          <w:sz w:val="24"/>
        </w:rPr>
        <w:t>in </w:t>
      </w:r>
      <w:r>
        <w:rPr>
          <w:sz w:val="24"/>
        </w:rPr>
        <w:t>the case of proposed reliability corrective action, reasons that the RIT- D proponent considers reliability corrective action is</w:t>
      </w:r>
      <w:r>
        <w:rPr>
          <w:spacing w:val="-4"/>
          <w:sz w:val="24"/>
        </w:rPr>
        <w:t> </w:t>
      </w:r>
      <w:r>
        <w:rPr>
          <w:sz w:val="24"/>
        </w:rPr>
        <w:t>necessary);</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if applicable, a summary of, and commentary on, the submissions on the non-network options</w:t>
      </w:r>
      <w:r>
        <w:rPr>
          <w:spacing w:val="-2"/>
          <w:sz w:val="24"/>
        </w:rPr>
        <w:t> </w:t>
      </w:r>
      <w:r>
        <w:rPr>
          <w:sz w:val="24"/>
        </w:rPr>
        <w:t>report;</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a description of each credible option</w:t>
      </w:r>
      <w:r>
        <w:rPr>
          <w:spacing w:val="-2"/>
          <w:sz w:val="24"/>
        </w:rPr>
        <w:t> </w:t>
      </w:r>
      <w:r>
        <w:rPr>
          <w:sz w:val="24"/>
        </w:rPr>
        <w:t>assessed;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where a </w:t>
      </w:r>
      <w:r>
        <w:rPr>
          <w:i/>
          <w:sz w:val="24"/>
        </w:rPr>
        <w:t>Distribution Network Service Provider </w:t>
      </w:r>
      <w:r>
        <w:rPr>
          <w:sz w:val="24"/>
        </w:rPr>
        <w:t>has quantified market benefits in accordance with clause 5.17.1(d), a quantification of each applicable market benefit for each credible</w:t>
      </w:r>
      <w:r>
        <w:rPr>
          <w:spacing w:val="-2"/>
          <w:sz w:val="24"/>
        </w:rPr>
        <w:t> </w:t>
      </w:r>
      <w:r>
        <w:rPr>
          <w:sz w:val="24"/>
        </w:rPr>
        <w:t>option;</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a quantification of each applicable cost for each credible option, including a breakdown of operating and capital</w:t>
      </w:r>
      <w:r>
        <w:rPr>
          <w:spacing w:val="-2"/>
          <w:sz w:val="24"/>
        </w:rPr>
        <w:t> </w:t>
      </w:r>
      <w:r>
        <w:rPr>
          <w:sz w:val="24"/>
        </w:rPr>
        <w:t>expenditure;</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a detailed description of the methodologies used in quantifying each class of cost and market</w:t>
      </w:r>
      <w:r>
        <w:rPr>
          <w:spacing w:val="-2"/>
          <w:sz w:val="24"/>
        </w:rPr>
        <w:t> </w:t>
      </w:r>
      <w:r>
        <w:rPr>
          <w:sz w:val="24"/>
        </w:rPr>
        <w:t>benefit;</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where relevant, the reasons why the RIT-D proponent has determined that a class or classes of market benefits or costs do not apply to a credible</w:t>
      </w:r>
      <w:r>
        <w:rPr>
          <w:spacing w:val="-1"/>
          <w:sz w:val="24"/>
        </w:rPr>
        <w:t> </w:t>
      </w:r>
      <w:r>
        <w:rPr>
          <w:sz w:val="24"/>
        </w:rPr>
        <w:t>option;</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results of a net present value analysis of each credible option </w:t>
      </w:r>
      <w:r>
        <w:rPr>
          <w:spacing w:val="-5"/>
          <w:sz w:val="24"/>
        </w:rPr>
        <w:t>and </w:t>
      </w:r>
      <w:r>
        <w:rPr>
          <w:sz w:val="24"/>
        </w:rPr>
        <w:t>accompanying explanatory statements regarding the</w:t>
      </w:r>
      <w:r>
        <w:rPr>
          <w:spacing w:val="-4"/>
          <w:sz w:val="24"/>
        </w:rPr>
        <w:t> </w:t>
      </w:r>
      <w:r>
        <w:rPr>
          <w:sz w:val="24"/>
        </w:rPr>
        <w:t>results;</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the identification of the proposed preferred</w:t>
      </w:r>
      <w:r>
        <w:rPr>
          <w:spacing w:val="-2"/>
          <w:sz w:val="24"/>
        </w:rPr>
        <w:t> </w:t>
      </w:r>
      <w:r>
        <w:rPr>
          <w:sz w:val="24"/>
        </w:rPr>
        <w:t>option;</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for the proposed preferred option, the RIT-D proponent must</w:t>
      </w:r>
      <w:r>
        <w:rPr>
          <w:spacing w:val="-2"/>
          <w:sz w:val="24"/>
        </w:rPr>
        <w:t> </w:t>
      </w:r>
      <w:r>
        <w:rPr>
          <w:sz w:val="24"/>
        </w:rPr>
        <w:t>provide:</w:t>
      </w:r>
    </w:p>
    <w:p>
      <w:pPr>
        <w:pStyle w:val="ListParagraph"/>
        <w:numPr>
          <w:ilvl w:val="5"/>
          <w:numId w:val="235"/>
        </w:numPr>
        <w:tabs>
          <w:tab w:pos="3052" w:val="left" w:leader="none"/>
          <w:tab w:pos="3053" w:val="left" w:leader="none"/>
        </w:tabs>
        <w:spacing w:line="240" w:lineRule="auto" w:before="120" w:after="0"/>
        <w:ind w:left="3052" w:right="0" w:hanging="567"/>
        <w:jc w:val="left"/>
        <w:rPr>
          <w:sz w:val="24"/>
        </w:rPr>
      </w:pPr>
      <w:r>
        <w:rPr>
          <w:sz w:val="24"/>
        </w:rPr>
        <w:t>details of the technical</w:t>
      </w:r>
      <w:r>
        <w:rPr>
          <w:spacing w:val="-2"/>
          <w:sz w:val="24"/>
        </w:rPr>
        <w:t> </w:t>
      </w:r>
      <w:r>
        <w:rPr>
          <w:sz w:val="24"/>
        </w:rPr>
        <w:t>characteristics;</w:t>
      </w:r>
    </w:p>
    <w:p>
      <w:pPr>
        <w:pStyle w:val="ListParagraph"/>
        <w:numPr>
          <w:ilvl w:val="5"/>
          <w:numId w:val="235"/>
        </w:numPr>
        <w:tabs>
          <w:tab w:pos="3052" w:val="left" w:leader="none"/>
          <w:tab w:pos="3054" w:val="left" w:leader="none"/>
        </w:tabs>
        <w:spacing w:line="240" w:lineRule="auto" w:before="120" w:after="0"/>
        <w:ind w:left="3053" w:right="413" w:hanging="567"/>
        <w:jc w:val="left"/>
        <w:rPr>
          <w:sz w:val="24"/>
        </w:rPr>
      </w:pPr>
      <w:r>
        <w:rPr>
          <w:sz w:val="24"/>
        </w:rPr>
        <w:t>the estimated construction timetable and commissioning date (where</w:t>
      </w:r>
      <w:r>
        <w:rPr>
          <w:spacing w:val="-1"/>
          <w:sz w:val="24"/>
        </w:rPr>
        <w:t> </w:t>
      </w:r>
      <w:r>
        <w:rPr>
          <w:sz w:val="24"/>
        </w:rPr>
        <w:t>relevant);</w:t>
      </w:r>
    </w:p>
    <w:p>
      <w:pPr>
        <w:pStyle w:val="ListParagraph"/>
        <w:numPr>
          <w:ilvl w:val="5"/>
          <w:numId w:val="235"/>
        </w:numPr>
        <w:tabs>
          <w:tab w:pos="3052" w:val="left" w:leader="none"/>
          <w:tab w:pos="3053" w:val="left" w:leader="none"/>
        </w:tabs>
        <w:spacing w:line="240" w:lineRule="auto" w:before="120" w:after="0"/>
        <w:ind w:left="3052" w:right="0" w:hanging="567"/>
        <w:jc w:val="left"/>
        <w:rPr>
          <w:sz w:val="24"/>
        </w:rPr>
      </w:pPr>
      <w:r>
        <w:rPr>
          <w:sz w:val="24"/>
        </w:rPr>
        <w:t>the indicative capital and operating cost (where</w:t>
      </w:r>
      <w:r>
        <w:rPr>
          <w:spacing w:val="-2"/>
          <w:sz w:val="24"/>
        </w:rPr>
        <w:t> </w:t>
      </w:r>
      <w:r>
        <w:rPr>
          <w:sz w:val="24"/>
        </w:rPr>
        <w:t>relevant);</w:t>
      </w:r>
    </w:p>
    <w:p>
      <w:pPr>
        <w:pStyle w:val="ListParagraph"/>
        <w:numPr>
          <w:ilvl w:val="5"/>
          <w:numId w:val="235"/>
        </w:numPr>
        <w:tabs>
          <w:tab w:pos="3054" w:val="left" w:leader="none"/>
        </w:tabs>
        <w:spacing w:line="240" w:lineRule="auto" w:before="120" w:after="0"/>
        <w:ind w:left="3053" w:right="415" w:hanging="567"/>
        <w:jc w:val="both"/>
        <w:rPr>
          <w:sz w:val="24"/>
        </w:rPr>
      </w:pPr>
      <w:r>
        <w:rPr>
          <w:sz w:val="24"/>
        </w:rPr>
        <w:t>a statement and accompanying detailed analysis that the proposed preferred option satisfies the </w:t>
      </w:r>
      <w:r>
        <w:rPr>
          <w:i/>
          <w:sz w:val="24"/>
        </w:rPr>
        <w:t>regulatory investment test </w:t>
      </w:r>
      <w:r>
        <w:rPr>
          <w:i/>
          <w:sz w:val="24"/>
        </w:rPr>
        <w:t>for distribution</w:t>
      </w:r>
      <w:r>
        <w:rPr>
          <w:sz w:val="24"/>
        </w:rPr>
        <w:t>;</w:t>
      </w:r>
      <w:r>
        <w:rPr>
          <w:spacing w:val="-2"/>
          <w:sz w:val="24"/>
        </w:rPr>
        <w:t> </w:t>
      </w:r>
      <w:r>
        <w:rPr>
          <w:sz w:val="24"/>
        </w:rPr>
        <w:t>and</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if the proposed preferred option is for reliability </w:t>
      </w:r>
      <w:r>
        <w:rPr>
          <w:spacing w:val="-3"/>
          <w:sz w:val="24"/>
        </w:rPr>
        <w:t>corrective  </w:t>
      </w:r>
      <w:r>
        <w:rPr>
          <w:sz w:val="24"/>
        </w:rPr>
        <w:t>action and that option has a proponent, the name of the proponent;</w:t>
      </w:r>
      <w:r>
        <w:rPr>
          <w:spacing w:val="-1"/>
          <w:sz w:val="24"/>
        </w:rPr>
        <w:t> </w:t>
      </w:r>
      <w:r>
        <w:rPr>
          <w:sz w:val="24"/>
        </w:rPr>
        <w:t>and</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contact details for a suitably qualified staff member of the RIT-D proponent to whom queries on the draft report may be</w:t>
      </w:r>
      <w:r>
        <w:rPr>
          <w:spacing w:val="-6"/>
          <w:sz w:val="24"/>
        </w:rPr>
        <w:t> </w:t>
      </w:r>
      <w:r>
        <w:rPr>
          <w:sz w:val="24"/>
        </w:rPr>
        <w:t>directed.</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RIT-D proponent must </w:t>
      </w:r>
      <w:r>
        <w:rPr>
          <w:i/>
          <w:sz w:val="24"/>
        </w:rPr>
        <w:t>publish </w:t>
      </w:r>
      <w:r>
        <w:rPr>
          <w:sz w:val="24"/>
        </w:rPr>
        <w:t>a request for submissions on the matters set out in the draft project assessment report, including the proposed preferred option,</w:t>
      </w:r>
      <w:r>
        <w:rPr>
          <w:spacing w:val="-1"/>
          <w:sz w:val="24"/>
        </w:rPr>
        <w:t> </w:t>
      </w:r>
      <w:r>
        <w:rPr>
          <w:sz w:val="24"/>
        </w:rPr>
        <w:t>from:</w:t>
      </w:r>
    </w:p>
    <w:p>
      <w:pPr>
        <w:pStyle w:val="ListParagraph"/>
        <w:numPr>
          <w:ilvl w:val="4"/>
          <w:numId w:val="235"/>
        </w:numPr>
        <w:tabs>
          <w:tab w:pos="2486" w:val="left" w:leader="none"/>
        </w:tabs>
        <w:spacing w:line="240" w:lineRule="auto" w:before="120" w:after="0"/>
        <w:ind w:left="2485" w:right="0" w:hanging="567"/>
        <w:jc w:val="both"/>
        <w:rPr>
          <w:sz w:val="24"/>
        </w:rPr>
      </w:pPr>
      <w:r>
        <w:rPr>
          <w:i/>
          <w:sz w:val="24"/>
        </w:rPr>
        <w:t>Registered Participants, NTESMO</w:t>
      </w:r>
      <w:r>
        <w:rPr>
          <w:sz w:val="24"/>
        </w:rPr>
        <w:t>, non-network providers</w:t>
      </w:r>
      <w:r>
        <w:rPr>
          <w:spacing w:val="32"/>
          <w:sz w:val="24"/>
        </w:rPr>
        <w:t> </w:t>
      </w:r>
      <w:r>
        <w:rPr>
          <w:sz w:val="24"/>
        </w:rPr>
        <w:t>and</w:t>
      </w:r>
    </w:p>
    <w:p>
      <w:pPr>
        <w:spacing w:before="0"/>
        <w:ind w:left="2486" w:right="0" w:firstLine="0"/>
        <w:jc w:val="both"/>
        <w:rPr>
          <w:sz w:val="24"/>
        </w:rPr>
      </w:pPr>
      <w:r>
        <w:rPr>
          <w:i/>
          <w:sz w:val="24"/>
        </w:rPr>
        <w:t>interested parties</w:t>
      </w:r>
      <w:r>
        <w:rPr>
          <w:sz w:val="24"/>
        </w:rPr>
        <w:t>; and</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if the RIT-D proponent is a </w:t>
      </w:r>
      <w:r>
        <w:rPr>
          <w:i/>
          <w:sz w:val="24"/>
        </w:rPr>
        <w:t>Distribution Network Service Provider</w:t>
      </w:r>
      <w:r>
        <w:rPr>
          <w:sz w:val="24"/>
        </w:rPr>
        <w:t>, persons on its demand side engagement</w:t>
      </w:r>
      <w:r>
        <w:rPr>
          <w:spacing w:val="-2"/>
          <w:sz w:val="24"/>
        </w:rPr>
        <w:t> </w:t>
      </w:r>
      <w:r>
        <w:rPr>
          <w:sz w:val="24"/>
        </w:rPr>
        <w:t>register.</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If the proposed preferred option has the potential to, or is likely to, have an adverse impact on the quality of service experienced by consumers of electricity,</w:t>
      </w:r>
      <w:r>
        <w:rPr>
          <w:spacing w:val="-1"/>
          <w:sz w:val="24"/>
        </w:rPr>
        <w:t> </w:t>
      </w:r>
      <w:r>
        <w:rPr>
          <w:sz w:val="24"/>
        </w:rPr>
        <w:t>including:</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6" w:val="left" w:leader="none"/>
        </w:tabs>
        <w:spacing w:line="240" w:lineRule="auto" w:before="83" w:after="0"/>
        <w:ind w:left="2486" w:right="415" w:hanging="567"/>
        <w:jc w:val="both"/>
        <w:rPr>
          <w:sz w:val="24"/>
        </w:rPr>
      </w:pPr>
      <w:r>
        <w:rPr>
          <w:sz w:val="24"/>
        </w:rPr>
        <w:t>anticipated changes in voluntary </w:t>
      </w:r>
      <w:r>
        <w:rPr>
          <w:i/>
          <w:sz w:val="24"/>
        </w:rPr>
        <w:t>load </w:t>
      </w:r>
      <w:r>
        <w:rPr>
          <w:sz w:val="24"/>
        </w:rPr>
        <w:t>curtailment by consumers of electricity;</w:t>
      </w:r>
      <w:r>
        <w:rPr>
          <w:spacing w:val="-2"/>
          <w:sz w:val="24"/>
        </w:rPr>
        <w:t> </w:t>
      </w:r>
      <w:r>
        <w:rPr>
          <w:sz w:val="24"/>
        </w:rPr>
        <w:t>or</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anticipated changes in involuntary </w:t>
      </w:r>
      <w:r>
        <w:rPr>
          <w:i/>
          <w:sz w:val="24"/>
        </w:rPr>
        <w:t>load shedding </w:t>
      </w:r>
      <w:r>
        <w:rPr>
          <w:sz w:val="24"/>
        </w:rPr>
        <w:t>and customer interruptions caused by </w:t>
      </w:r>
      <w:r>
        <w:rPr>
          <w:i/>
          <w:sz w:val="24"/>
        </w:rPr>
        <w:t>network</w:t>
      </w:r>
      <w:r>
        <w:rPr>
          <w:i/>
          <w:spacing w:val="-1"/>
          <w:sz w:val="24"/>
        </w:rPr>
        <w:t> </w:t>
      </w:r>
      <w:r>
        <w:rPr>
          <w:sz w:val="24"/>
        </w:rPr>
        <w:t>outages,</w:t>
      </w:r>
    </w:p>
    <w:p>
      <w:pPr>
        <w:pStyle w:val="BodyText"/>
        <w:ind w:left="1919" w:right="414" w:firstLine="0"/>
      </w:pPr>
      <w:r>
        <w:rPr/>
        <w:t>then the RIT-D proponent must consult directly with those affected customers in accordance with a process reasonably determined by the RIT- D proponent.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The consultation period on the draft project assessment report must not be less than six weeks from the </w:t>
      </w:r>
      <w:r>
        <w:rPr>
          <w:i/>
          <w:sz w:val="24"/>
        </w:rPr>
        <w:t>publication </w:t>
      </w:r>
      <w:r>
        <w:rPr>
          <w:sz w:val="24"/>
        </w:rPr>
        <w:t>of the</w:t>
      </w:r>
      <w:r>
        <w:rPr>
          <w:spacing w:val="-4"/>
          <w:sz w:val="24"/>
        </w:rPr>
        <w:t> </w:t>
      </w:r>
      <w:r>
        <w:rPr>
          <w:sz w:val="24"/>
        </w:rPr>
        <w:t>report.</w:t>
      </w:r>
    </w:p>
    <w:p>
      <w:pPr>
        <w:pStyle w:val="Heading4"/>
        <w:spacing w:before="120"/>
        <w:ind w:left="1352" w:firstLine="0"/>
        <w:jc w:val="both"/>
        <w:rPr>
          <w:rFonts w:ascii="Times New Roman"/>
        </w:rPr>
      </w:pPr>
      <w:r>
        <w:rPr>
          <w:rFonts w:ascii="Times New Roman"/>
        </w:rPr>
        <w:t>Exemption from the draft project assessment report</w:t>
      </w:r>
    </w:p>
    <w:p>
      <w:pPr>
        <w:pStyle w:val="ListParagraph"/>
        <w:numPr>
          <w:ilvl w:val="3"/>
          <w:numId w:val="235"/>
        </w:numPr>
        <w:tabs>
          <w:tab w:pos="1919" w:val="left" w:leader="none"/>
        </w:tabs>
        <w:spacing w:line="240" w:lineRule="auto" w:before="120" w:after="0"/>
        <w:ind w:left="1919" w:right="416" w:hanging="567"/>
        <w:jc w:val="both"/>
        <w:rPr>
          <w:sz w:val="24"/>
        </w:rPr>
      </w:pPr>
      <w:r>
        <w:rPr>
          <w:sz w:val="24"/>
        </w:rPr>
        <w:t>A RIT-D proponent is not required to prepare and </w:t>
      </w:r>
      <w:r>
        <w:rPr>
          <w:i/>
          <w:sz w:val="24"/>
        </w:rPr>
        <w:t>publish </w:t>
      </w:r>
      <w:r>
        <w:rPr>
          <w:sz w:val="24"/>
        </w:rPr>
        <w:t>a draft project assessment report under paragraph (i)</w:t>
      </w:r>
      <w:r>
        <w:rPr>
          <w:spacing w:val="-1"/>
          <w:sz w:val="24"/>
        </w:rPr>
        <w:t> </w:t>
      </w:r>
      <w:r>
        <w:rPr>
          <w:sz w:val="24"/>
        </w:rPr>
        <w:t>if:</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RIT-D proponent made a determination under paragraph (c) and has </w:t>
      </w:r>
      <w:r>
        <w:rPr>
          <w:i/>
          <w:sz w:val="24"/>
        </w:rPr>
        <w:t>published </w:t>
      </w:r>
      <w:r>
        <w:rPr>
          <w:sz w:val="24"/>
        </w:rPr>
        <w:t>a notice under paragraph (d);</w:t>
      </w:r>
      <w:r>
        <w:rPr>
          <w:spacing w:val="-1"/>
          <w:sz w:val="24"/>
        </w:rPr>
        <w:t> </w:t>
      </w:r>
      <w:r>
        <w:rPr>
          <w:sz w:val="24"/>
        </w:rPr>
        <w:t>and</w:t>
      </w:r>
    </w:p>
    <w:p>
      <w:pPr>
        <w:pStyle w:val="ListParagraph"/>
        <w:numPr>
          <w:ilvl w:val="4"/>
          <w:numId w:val="235"/>
        </w:numPr>
        <w:tabs>
          <w:tab w:pos="2486" w:val="left" w:leader="none"/>
        </w:tabs>
        <w:spacing w:line="240" w:lineRule="auto" w:before="120" w:after="0"/>
        <w:ind w:left="2486" w:right="414" w:hanging="567"/>
        <w:jc w:val="both"/>
        <w:rPr>
          <w:sz w:val="24"/>
        </w:rPr>
      </w:pPr>
      <w:r>
        <w:rPr>
          <w:sz w:val="24"/>
        </w:rPr>
        <w:t>the estimated capital cost to the </w:t>
      </w:r>
      <w:r>
        <w:rPr>
          <w:i/>
          <w:sz w:val="24"/>
        </w:rPr>
        <w:t>Network Service Providers </w:t>
      </w:r>
      <w:r>
        <w:rPr>
          <w:sz w:val="24"/>
        </w:rPr>
        <w:t>affected by the RIT-D project of the proposed preferred option is less than $10 million (varied in accordance with a cost threshold</w:t>
      </w:r>
      <w:r>
        <w:rPr>
          <w:spacing w:val="-4"/>
          <w:sz w:val="24"/>
        </w:rPr>
        <w:t> </w:t>
      </w:r>
      <w:r>
        <w:rPr>
          <w:sz w:val="24"/>
        </w:rPr>
        <w:t>determination).</w:t>
      </w:r>
    </w:p>
    <w:p>
      <w:pPr>
        <w:pStyle w:val="Heading4"/>
        <w:spacing w:before="120"/>
        <w:ind w:left="1352" w:firstLine="0"/>
        <w:jc w:val="both"/>
        <w:rPr>
          <w:rFonts w:ascii="Times New Roman"/>
        </w:rPr>
      </w:pPr>
      <w:r>
        <w:rPr>
          <w:rFonts w:ascii="Times New Roman"/>
        </w:rPr>
        <w:t>Final project assessment report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As soon as practicable after the end of the consultation period on the draft project assessment report, the RIT-D proponent must, having regard to </w:t>
      </w:r>
      <w:r>
        <w:rPr>
          <w:spacing w:val="-4"/>
          <w:sz w:val="24"/>
        </w:rPr>
        <w:t>any </w:t>
      </w:r>
      <w:r>
        <w:rPr>
          <w:sz w:val="24"/>
        </w:rPr>
        <w:t>submissions received on the draft project assessment report, </w:t>
      </w:r>
      <w:r>
        <w:rPr>
          <w:i/>
          <w:sz w:val="24"/>
        </w:rPr>
        <w:t>publish </w:t>
      </w:r>
      <w:r>
        <w:rPr>
          <w:sz w:val="24"/>
        </w:rPr>
        <w:t>a final project assessment</w:t>
      </w:r>
      <w:r>
        <w:rPr>
          <w:spacing w:val="-2"/>
          <w:sz w:val="24"/>
        </w:rPr>
        <w:t> </w:t>
      </w:r>
      <w:r>
        <w:rPr>
          <w:sz w:val="24"/>
        </w:rPr>
        <w:t>report.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If the RIT-D project is exempt from the draft project assessment report stage under paragraph (n), the RIT-D proponent must </w:t>
      </w:r>
      <w:r>
        <w:rPr>
          <w:i/>
          <w:sz w:val="24"/>
        </w:rPr>
        <w:t>publish </w:t>
      </w:r>
      <w:r>
        <w:rPr>
          <w:sz w:val="24"/>
        </w:rPr>
        <w:t>the final project assessment report as soon as practicable after the publication of the notice under paragraph</w:t>
      </w:r>
      <w:r>
        <w:rPr>
          <w:spacing w:val="-1"/>
          <w:sz w:val="24"/>
        </w:rPr>
        <w:t> </w:t>
      </w:r>
      <w:r>
        <w:rPr>
          <w:sz w:val="24"/>
        </w:rPr>
        <w:t>(d).</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At the same time as </w:t>
      </w:r>
      <w:r>
        <w:rPr>
          <w:i/>
          <w:sz w:val="24"/>
        </w:rPr>
        <w:t>publishing </w:t>
      </w:r>
      <w:r>
        <w:rPr>
          <w:sz w:val="24"/>
        </w:rPr>
        <w:t>the final project assessment report, a RIT-D proponent that is a </w:t>
      </w:r>
      <w:r>
        <w:rPr>
          <w:i/>
          <w:sz w:val="24"/>
        </w:rPr>
        <w:t>Distribution Network Service Provider </w:t>
      </w:r>
      <w:r>
        <w:rPr>
          <w:sz w:val="24"/>
        </w:rPr>
        <w:t>must notify persons on its demand side engagement register of the report's</w:t>
      </w:r>
      <w:r>
        <w:rPr>
          <w:spacing w:val="-4"/>
          <w:sz w:val="24"/>
        </w:rPr>
        <w:t> </w:t>
      </w:r>
      <w:r>
        <w:rPr>
          <w:i/>
          <w:sz w:val="24"/>
        </w:rPr>
        <w:t>publication</w:t>
      </w:r>
      <w:r>
        <w:rPr>
          <w:sz w:val="24"/>
        </w:rPr>
        <w:t>.</w:t>
      </w:r>
    </w:p>
    <w:p>
      <w:pPr>
        <w:pStyle w:val="ListParagraph"/>
        <w:numPr>
          <w:ilvl w:val="3"/>
          <w:numId w:val="235"/>
        </w:numPr>
        <w:tabs>
          <w:tab w:pos="1920" w:val="left" w:leader="none"/>
        </w:tabs>
        <w:spacing w:line="240" w:lineRule="auto" w:before="120" w:after="0"/>
        <w:ind w:left="1919" w:right="0" w:hanging="568"/>
        <w:jc w:val="both"/>
        <w:rPr>
          <w:sz w:val="24"/>
        </w:rPr>
      </w:pPr>
      <w:r>
        <w:rPr>
          <w:sz w:val="24"/>
        </w:rPr>
        <w:t>The final project assessment report must set</w:t>
      </w:r>
      <w:r>
        <w:rPr>
          <w:spacing w:val="-3"/>
          <w:sz w:val="24"/>
        </w:rPr>
        <w:t> </w:t>
      </w:r>
      <w:r>
        <w:rPr>
          <w:sz w:val="24"/>
        </w:rPr>
        <w:t>out:</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if a draft project assessment report was</w:t>
      </w:r>
      <w:r>
        <w:rPr>
          <w:spacing w:val="-2"/>
          <w:sz w:val="24"/>
        </w:rPr>
        <w:t> </w:t>
      </w:r>
      <w:r>
        <w:rPr>
          <w:sz w:val="24"/>
        </w:rPr>
        <w:t>prepared:</w:t>
      </w:r>
    </w:p>
    <w:p>
      <w:pPr>
        <w:pStyle w:val="ListParagraph"/>
        <w:numPr>
          <w:ilvl w:val="5"/>
          <w:numId w:val="235"/>
        </w:numPr>
        <w:tabs>
          <w:tab w:pos="3053" w:val="left" w:leader="none"/>
        </w:tabs>
        <w:spacing w:line="240" w:lineRule="auto" w:before="120" w:after="0"/>
        <w:ind w:left="3053" w:right="415" w:hanging="567"/>
        <w:jc w:val="both"/>
        <w:rPr>
          <w:sz w:val="24"/>
        </w:rPr>
      </w:pPr>
      <w:r>
        <w:rPr>
          <w:sz w:val="24"/>
        </w:rPr>
        <w:t>the matters detailed in that report as required under paragraph (j); and</w:t>
      </w:r>
    </w:p>
    <w:p>
      <w:pPr>
        <w:pStyle w:val="ListParagraph"/>
        <w:numPr>
          <w:ilvl w:val="5"/>
          <w:numId w:val="235"/>
        </w:numPr>
        <w:tabs>
          <w:tab w:pos="3054" w:val="left" w:leader="none"/>
        </w:tabs>
        <w:spacing w:line="240" w:lineRule="auto" w:before="120" w:after="0"/>
        <w:ind w:left="3053" w:right="414" w:hanging="567"/>
        <w:jc w:val="both"/>
        <w:rPr>
          <w:sz w:val="24"/>
        </w:rPr>
      </w:pPr>
      <w:r>
        <w:rPr>
          <w:sz w:val="24"/>
        </w:rPr>
        <w:t>a summary of any submissions received on the draft project assessment report and the RIT-D proponent's response to each such submission;</w:t>
      </w:r>
      <w:r>
        <w:rPr>
          <w:spacing w:val="-3"/>
          <w:sz w:val="24"/>
        </w:rPr>
        <w:t> </w:t>
      </w:r>
      <w:r>
        <w:rPr>
          <w:sz w:val="24"/>
        </w:rPr>
        <w:t>and</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if no draft project assessment report was prepared, the matters specified in paragraph</w:t>
      </w:r>
      <w:r>
        <w:rPr>
          <w:spacing w:val="-1"/>
          <w:sz w:val="24"/>
        </w:rPr>
        <w:t> </w:t>
      </w:r>
      <w:r>
        <w:rPr>
          <w:sz w:val="24"/>
        </w:rPr>
        <w:t>(j).</w:t>
      </w:r>
    </w:p>
    <w:p>
      <w:pPr>
        <w:pStyle w:val="ListParagraph"/>
        <w:numPr>
          <w:ilvl w:val="3"/>
          <w:numId w:val="235"/>
        </w:numPr>
        <w:tabs>
          <w:tab w:pos="1920" w:val="left" w:leader="none"/>
        </w:tabs>
        <w:spacing w:line="240" w:lineRule="auto" w:before="120" w:after="0"/>
        <w:ind w:left="1919" w:right="415" w:hanging="567"/>
        <w:jc w:val="both"/>
        <w:rPr>
          <w:sz w:val="24"/>
        </w:rPr>
      </w:pPr>
      <w:r>
        <w:rPr>
          <w:sz w:val="24"/>
        </w:rPr>
        <w:t>If the preferred option outlined in the final project assessment report has an estimated capital cost to the </w:t>
      </w:r>
      <w:r>
        <w:rPr>
          <w:i/>
          <w:sz w:val="24"/>
        </w:rPr>
        <w:t>Network Service Providers </w:t>
      </w:r>
      <w:r>
        <w:rPr>
          <w:sz w:val="24"/>
        </w:rPr>
        <w:t>affected by the </w:t>
      </w:r>
      <w:r>
        <w:rPr>
          <w:spacing w:val="-4"/>
          <w:sz w:val="24"/>
        </w:rPr>
        <w:t>RIT- </w:t>
      </w:r>
      <w:r>
        <w:rPr>
          <w:sz w:val="24"/>
        </w:rPr>
        <w:t>D project of less than $20 million (varied in accordance with a cost threshold determination), the RIT-D proponent may discharge its obligations</w:t>
      </w:r>
      <w:r>
        <w:rPr>
          <w:spacing w:val="31"/>
          <w:sz w:val="24"/>
        </w:rPr>
        <w:t> </w:t>
      </w:r>
      <w:r>
        <w:rPr>
          <w:sz w:val="24"/>
        </w:rPr>
        <w:t>to</w:t>
      </w:r>
      <w:r>
        <w:rPr>
          <w:spacing w:val="32"/>
          <w:sz w:val="24"/>
        </w:rPr>
        <w:t> </w:t>
      </w:r>
      <w:r>
        <w:rPr>
          <w:i/>
          <w:sz w:val="24"/>
        </w:rPr>
        <w:t>publish</w:t>
      </w:r>
      <w:r>
        <w:rPr>
          <w:i/>
          <w:spacing w:val="31"/>
          <w:sz w:val="24"/>
        </w:rPr>
        <w:t> </w:t>
      </w:r>
      <w:r>
        <w:rPr>
          <w:sz w:val="24"/>
        </w:rPr>
        <w:t>its</w:t>
      </w:r>
      <w:r>
        <w:rPr>
          <w:spacing w:val="32"/>
          <w:sz w:val="24"/>
        </w:rPr>
        <w:t> </w:t>
      </w:r>
      <w:r>
        <w:rPr>
          <w:sz w:val="24"/>
        </w:rPr>
        <w:t>final</w:t>
      </w:r>
      <w:r>
        <w:rPr>
          <w:spacing w:val="30"/>
          <w:sz w:val="24"/>
        </w:rPr>
        <w:t> </w:t>
      </w:r>
      <w:r>
        <w:rPr>
          <w:sz w:val="24"/>
        </w:rPr>
        <w:t>project</w:t>
      </w:r>
      <w:r>
        <w:rPr>
          <w:spacing w:val="32"/>
          <w:sz w:val="24"/>
        </w:rPr>
        <w:t> </w:t>
      </w:r>
      <w:r>
        <w:rPr>
          <w:sz w:val="24"/>
        </w:rPr>
        <w:t>assessment</w:t>
      </w:r>
      <w:r>
        <w:rPr>
          <w:spacing w:val="30"/>
          <w:sz w:val="24"/>
        </w:rPr>
        <w:t> </w:t>
      </w:r>
      <w:r>
        <w:rPr>
          <w:sz w:val="24"/>
        </w:rPr>
        <w:t>report</w:t>
      </w:r>
      <w:r>
        <w:rPr>
          <w:spacing w:val="32"/>
          <w:sz w:val="24"/>
        </w:rPr>
        <w:t> </w:t>
      </w:r>
      <w:r>
        <w:rPr>
          <w:sz w:val="24"/>
        </w:rPr>
        <w:t>under</w:t>
      </w:r>
      <w:r>
        <w:rPr>
          <w:spacing w:val="31"/>
          <w:sz w:val="24"/>
        </w:rPr>
        <w:t> </w:t>
      </w:r>
      <w:r>
        <w:rPr>
          <w:sz w:val="24"/>
        </w:rPr>
        <w:t>paragraphs</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(o) and (p) by including the final project assessment report as part of its </w:t>
      </w:r>
      <w:r>
        <w:rPr>
          <w:i/>
          <w:sz w:val="24"/>
        </w:rPr>
        <w:t>Distribution Annual Planning Report </w:t>
      </w:r>
      <w:r>
        <w:rPr>
          <w:sz w:val="24"/>
        </w:rPr>
        <w:t>(where the RIT-D proponent is a </w:t>
      </w:r>
      <w:r>
        <w:rPr>
          <w:i/>
          <w:sz w:val="24"/>
        </w:rPr>
        <w:t>Distribution Network Service Provider</w:t>
      </w:r>
      <w:r>
        <w:rPr>
          <w:sz w:val="24"/>
        </w:rPr>
        <w:t>) or its </w:t>
      </w:r>
      <w:r>
        <w:rPr>
          <w:i/>
          <w:sz w:val="24"/>
        </w:rPr>
        <w:t>Transmission Annual </w:t>
      </w:r>
      <w:r>
        <w:rPr>
          <w:i/>
          <w:sz w:val="24"/>
        </w:rPr>
        <w:t>Planning Report </w:t>
      </w:r>
      <w:r>
        <w:rPr>
          <w:sz w:val="24"/>
        </w:rPr>
        <w:t>(where the RIT-D proponent is a </w:t>
      </w:r>
      <w:r>
        <w:rPr>
          <w:i/>
          <w:sz w:val="24"/>
        </w:rPr>
        <w:t>Transmission Network </w:t>
      </w:r>
      <w:r>
        <w:rPr>
          <w:i/>
          <w:sz w:val="24"/>
        </w:rPr>
        <w:t>Service</w:t>
      </w:r>
      <w:r>
        <w:rPr>
          <w:i/>
          <w:spacing w:val="-1"/>
          <w:sz w:val="24"/>
        </w:rPr>
        <w:t> </w:t>
      </w:r>
      <w:r>
        <w:rPr>
          <w:i/>
          <w:sz w:val="24"/>
        </w:rPr>
        <w:t>Provider</w:t>
      </w:r>
      <w:r>
        <w:rPr>
          <w:sz w:val="24"/>
        </w:rPr>
        <w:t>).</w:t>
      </w:r>
    </w:p>
    <w:p>
      <w:pPr>
        <w:pStyle w:val="Heading4"/>
        <w:spacing w:before="120"/>
        <w:ind w:left="1352" w:firstLine="0"/>
        <w:jc w:val="both"/>
        <w:rPr>
          <w:rFonts w:ascii="Times New Roman"/>
        </w:rPr>
      </w:pPr>
      <w:r>
        <w:rPr>
          <w:rFonts w:ascii="Times New Roman"/>
        </w:rPr>
        <w:t>Reapplication of regulatory investment test for distribution</w:t>
      </w:r>
    </w:p>
    <w:p>
      <w:pPr>
        <w:pStyle w:val="ListParagraph"/>
        <w:numPr>
          <w:ilvl w:val="3"/>
          <w:numId w:val="235"/>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a RIT-D proponent has </w:t>
      </w:r>
      <w:r>
        <w:rPr>
          <w:i/>
          <w:sz w:val="24"/>
        </w:rPr>
        <w:t>published </w:t>
      </w:r>
      <w:r>
        <w:rPr>
          <w:sz w:val="24"/>
        </w:rPr>
        <w:t>a final project assessment report in respect of a RIT-D</w:t>
      </w:r>
      <w:r>
        <w:rPr>
          <w:spacing w:val="-1"/>
          <w:sz w:val="24"/>
        </w:rPr>
        <w:t> </w:t>
      </w:r>
      <w:r>
        <w:rPr>
          <w:sz w:val="24"/>
        </w:rPr>
        <w:t>project;</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a </w:t>
      </w:r>
      <w:r>
        <w:rPr>
          <w:i/>
          <w:sz w:val="24"/>
        </w:rPr>
        <w:t>Network Service Provider </w:t>
      </w:r>
      <w:r>
        <w:rPr>
          <w:sz w:val="24"/>
        </w:rPr>
        <w:t>still wishes to undertake the RIT-D project to address the </w:t>
      </w:r>
      <w:r>
        <w:rPr>
          <w:i/>
          <w:sz w:val="24"/>
        </w:rPr>
        <w:t>identified need</w:t>
      </w:r>
      <w:r>
        <w:rPr>
          <w:sz w:val="24"/>
        </w:rPr>
        <w:t>;</w:t>
      </w:r>
      <w:r>
        <w:rPr>
          <w:spacing w:val="-2"/>
          <w:sz w:val="24"/>
        </w:rPr>
        <w:t> </w:t>
      </w:r>
      <w:r>
        <w:rPr>
          <w:sz w:val="24"/>
        </w:rPr>
        <w:t>and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there has been a material change in circumstances which, in the reasonable opinion of the RIT-D proponent means that the preferred option identified in the final project assessment report is no longer the preferred</w:t>
      </w:r>
      <w:r>
        <w:rPr>
          <w:spacing w:val="-1"/>
          <w:sz w:val="24"/>
        </w:rPr>
        <w:t> </w:t>
      </w:r>
      <w:r>
        <w:rPr>
          <w:sz w:val="24"/>
        </w:rPr>
        <w:t>option,</w:t>
      </w:r>
    </w:p>
    <w:p>
      <w:pPr>
        <w:spacing w:before="120"/>
        <w:ind w:left="1919" w:right="415" w:firstLine="0"/>
        <w:jc w:val="both"/>
        <w:rPr>
          <w:sz w:val="24"/>
        </w:rPr>
      </w:pPr>
      <w:r>
        <w:rPr>
          <w:sz w:val="24"/>
        </w:rPr>
        <w:t>then the RIT-D proponent must reapply the </w:t>
      </w:r>
      <w:r>
        <w:rPr>
          <w:i/>
          <w:sz w:val="24"/>
        </w:rPr>
        <w:t>regulatory investment test for </w:t>
      </w:r>
      <w:r>
        <w:rPr>
          <w:i/>
          <w:sz w:val="24"/>
        </w:rPr>
        <w:t>distribution </w:t>
      </w:r>
      <w:r>
        <w:rPr>
          <w:sz w:val="24"/>
        </w:rPr>
        <w:t>to the RIT-D project, unless otherwise determined by the </w:t>
      </w:r>
      <w:r>
        <w:rPr>
          <w:i/>
          <w:sz w:val="24"/>
        </w:rPr>
        <w:t>AER</w:t>
      </w:r>
      <w:r>
        <w:rPr>
          <w:sz w:val="24"/>
        </w:rPr>
        <w: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For the purposes of paragraph (t), a material change in circumstances may include, but is not limited to, a change to the key assumptions used in identifying:</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the </w:t>
      </w:r>
      <w:r>
        <w:rPr>
          <w:i/>
          <w:sz w:val="24"/>
        </w:rPr>
        <w:t>identified need </w:t>
      </w:r>
      <w:r>
        <w:rPr>
          <w:sz w:val="24"/>
        </w:rPr>
        <w:t>described in the final project assessment report;</w:t>
      </w:r>
      <w:r>
        <w:rPr>
          <w:spacing w:val="-7"/>
          <w:sz w:val="24"/>
        </w:rPr>
        <w:t> </w:t>
      </w:r>
      <w:r>
        <w:rPr>
          <w:sz w:val="24"/>
        </w:rPr>
        <w:t>or,</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the credible options assessed in, the final project assessment</w:t>
      </w:r>
      <w:r>
        <w:rPr>
          <w:spacing w:val="-3"/>
          <w:sz w:val="24"/>
        </w:rPr>
        <w:t> </w:t>
      </w:r>
      <w:r>
        <w:rPr>
          <w:sz w:val="24"/>
        </w:rPr>
        <w:t>report.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When making a determination under paragraph (t) the </w:t>
      </w:r>
      <w:r>
        <w:rPr>
          <w:i/>
          <w:sz w:val="24"/>
        </w:rPr>
        <w:t>AER </w:t>
      </w:r>
      <w:r>
        <w:rPr>
          <w:sz w:val="24"/>
        </w:rPr>
        <w:t>must  </w:t>
      </w:r>
      <w:r>
        <w:rPr>
          <w:spacing w:val="-3"/>
          <w:sz w:val="24"/>
        </w:rPr>
        <w:t>have </w:t>
      </w:r>
      <w:r>
        <w:rPr>
          <w:sz w:val="24"/>
        </w:rPr>
        <w:t>regard to:</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credible options (other than the preferred option) identified in the final project assessment</w:t>
      </w:r>
      <w:r>
        <w:rPr>
          <w:spacing w:val="-1"/>
          <w:sz w:val="24"/>
        </w:rPr>
        <w:t> </w:t>
      </w:r>
      <w:r>
        <w:rPr>
          <w:sz w:val="24"/>
        </w:rPr>
        <w:t>report;</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the change in circumstances identified by the RIT-D proponent;</w:t>
      </w:r>
      <w:r>
        <w:rPr>
          <w:spacing w:val="-2"/>
          <w:sz w:val="24"/>
        </w:rPr>
        <w:t> </w:t>
      </w:r>
      <w:r>
        <w:rPr>
          <w:sz w:val="24"/>
        </w:rPr>
        <w:t>and</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whether a failure to promptly undertake the RIT-D project is likely </w:t>
      </w:r>
      <w:r>
        <w:rPr>
          <w:spacing w:val="-7"/>
          <w:sz w:val="24"/>
        </w:rPr>
        <w:t>to </w:t>
      </w:r>
      <w:r>
        <w:rPr>
          <w:sz w:val="24"/>
        </w:rPr>
        <w:t>materially affect the </w:t>
      </w:r>
      <w:r>
        <w:rPr>
          <w:i/>
          <w:sz w:val="24"/>
        </w:rPr>
        <w:t>reliability </w:t>
      </w:r>
      <w:r>
        <w:rPr>
          <w:sz w:val="24"/>
        </w:rPr>
        <w:t>and </w:t>
      </w:r>
      <w:r>
        <w:rPr>
          <w:i/>
          <w:sz w:val="24"/>
        </w:rPr>
        <w:t>secure operating state </w:t>
      </w:r>
      <w:r>
        <w:rPr>
          <w:sz w:val="24"/>
        </w:rPr>
        <w:t>of the </w:t>
      </w:r>
      <w:r>
        <w:rPr>
          <w:i/>
          <w:sz w:val="24"/>
        </w:rPr>
        <w:t>distribution network </w:t>
      </w:r>
      <w:r>
        <w:rPr>
          <w:sz w:val="24"/>
        </w:rPr>
        <w:t>or a significant part of that</w:t>
      </w:r>
      <w:r>
        <w:rPr>
          <w:spacing w:val="-4"/>
          <w:sz w:val="24"/>
        </w:rPr>
        <w:t> </w:t>
      </w:r>
      <w:r>
        <w:rPr>
          <w:i/>
          <w:sz w:val="24"/>
        </w:rPr>
        <w:t>network</w:t>
      </w:r>
      <w:r>
        <w:rPr>
          <w:sz w:val="24"/>
        </w:rPr>
        <w:t>.</w:t>
      </w:r>
    </w:p>
    <w:p>
      <w:pPr>
        <w:pStyle w:val="BodyText"/>
        <w:spacing w:before="10"/>
        <w:ind w:firstLine="0"/>
        <w:jc w:val="left"/>
        <w:rPr>
          <w:sz w:val="20"/>
        </w:rPr>
      </w:pPr>
    </w:p>
    <w:p>
      <w:pPr>
        <w:pStyle w:val="Heading4"/>
        <w:numPr>
          <w:ilvl w:val="2"/>
          <w:numId w:val="235"/>
        </w:numPr>
        <w:tabs>
          <w:tab w:pos="1351" w:val="left" w:leader="none"/>
          <w:tab w:pos="1352" w:val="left" w:leader="none"/>
        </w:tabs>
        <w:spacing w:line="240" w:lineRule="auto" w:before="0" w:after="0"/>
        <w:ind w:left="1352" w:right="753" w:hanging="1134"/>
        <w:jc w:val="left"/>
      </w:pPr>
      <w:bookmarkStart w:name="5.17.5 Disputes in relation to applicati" w:id="768"/>
      <w:bookmarkEnd w:id="768"/>
      <w:r>
        <w:rPr>
          <w:b w:val="0"/>
        </w:rPr>
      </w:r>
      <w:bookmarkStart w:name="_bookmark296" w:id="769"/>
      <w:bookmarkEnd w:id="769"/>
      <w:r>
        <w:rPr>
          <w:b w:val="0"/>
        </w:rPr>
      </w:r>
      <w:bookmarkStart w:name="_bookmark296" w:id="770"/>
      <w:bookmarkEnd w:id="770"/>
      <w:r>
        <w:rPr/>
        <w:t>Dispute</w:t>
      </w:r>
      <w:r>
        <w:rPr/>
        <w:t>s in relation to application of regulatory investment test for distribution</w:t>
      </w:r>
    </w:p>
    <w:p>
      <w:pPr>
        <w:pStyle w:val="ListParagraph"/>
        <w:numPr>
          <w:ilvl w:val="3"/>
          <w:numId w:val="235"/>
        </w:numPr>
        <w:tabs>
          <w:tab w:pos="1919" w:val="left" w:leader="none"/>
        </w:tabs>
        <w:spacing w:line="240" w:lineRule="auto" w:before="120" w:after="0"/>
        <w:ind w:left="1919" w:right="414" w:hanging="567"/>
        <w:jc w:val="both"/>
        <w:rPr>
          <w:sz w:val="24"/>
        </w:rPr>
      </w:pPr>
      <w:r>
        <w:rPr>
          <w:i/>
          <w:sz w:val="24"/>
        </w:rPr>
        <w:t>Registered Participants</w:t>
      </w:r>
      <w:r>
        <w:rPr>
          <w:sz w:val="24"/>
        </w:rPr>
        <w:t>, the </w:t>
      </w:r>
      <w:r>
        <w:rPr>
          <w:i/>
          <w:sz w:val="24"/>
        </w:rPr>
        <w:t>AEMC</w:t>
      </w:r>
      <w:r>
        <w:rPr>
          <w:sz w:val="24"/>
        </w:rPr>
        <w:t>, </w:t>
      </w:r>
      <w:r>
        <w:rPr>
          <w:i/>
          <w:sz w:val="24"/>
        </w:rPr>
        <w:t>Connection Applicants</w:t>
      </w:r>
      <w:r>
        <w:rPr>
          <w:sz w:val="24"/>
        </w:rPr>
        <w:t>, </w:t>
      </w:r>
      <w:r>
        <w:rPr>
          <w:i/>
          <w:sz w:val="24"/>
        </w:rPr>
        <w:t>Intending </w:t>
      </w:r>
      <w:r>
        <w:rPr>
          <w:i/>
          <w:sz w:val="24"/>
        </w:rPr>
        <w:t>Participants</w:t>
      </w:r>
      <w:r>
        <w:rPr>
          <w:sz w:val="24"/>
        </w:rPr>
        <w:t>, </w:t>
      </w:r>
      <w:r>
        <w:rPr>
          <w:i/>
          <w:sz w:val="24"/>
        </w:rPr>
        <w:t>NTESMO</w:t>
      </w:r>
      <w:r>
        <w:rPr>
          <w:sz w:val="24"/>
        </w:rPr>
        <w:t>, </w:t>
      </w:r>
      <w:r>
        <w:rPr>
          <w:i/>
          <w:sz w:val="24"/>
        </w:rPr>
        <w:t>interested parties</w:t>
      </w:r>
      <w:r>
        <w:rPr>
          <w:sz w:val="24"/>
        </w:rPr>
        <w:t>, and non-network providers may, by notice to the </w:t>
      </w:r>
      <w:r>
        <w:rPr>
          <w:i/>
          <w:sz w:val="24"/>
        </w:rPr>
        <w:t>AER</w:t>
      </w:r>
      <w:r>
        <w:rPr>
          <w:sz w:val="24"/>
        </w:rPr>
        <w:t>, dispute conclusions made by the RIT-D proponent in the final project assessment report on the grounds</w:t>
      </w:r>
      <w:r>
        <w:rPr>
          <w:spacing w:val="-3"/>
          <w:sz w:val="24"/>
        </w:rPr>
        <w:t> </w:t>
      </w:r>
      <w:r>
        <w:rPr>
          <w:sz w:val="24"/>
        </w:rPr>
        <w:t>that:</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the RIT-D proponent has not applied the </w:t>
      </w:r>
      <w:r>
        <w:rPr>
          <w:i/>
          <w:sz w:val="24"/>
        </w:rPr>
        <w:t>regulatory investment test for </w:t>
      </w:r>
      <w:r>
        <w:rPr>
          <w:i/>
          <w:sz w:val="24"/>
        </w:rPr>
        <w:t>distribution </w:t>
      </w:r>
      <w:r>
        <w:rPr>
          <w:sz w:val="24"/>
        </w:rPr>
        <w:t>in accordance with the </w:t>
      </w:r>
      <w:r>
        <w:rPr>
          <w:i/>
          <w:sz w:val="24"/>
        </w:rPr>
        <w:t>Rules</w:t>
      </w:r>
      <w:r>
        <w:rPr>
          <w:sz w:val="24"/>
        </w:rPr>
        <w:t>;</w:t>
      </w:r>
      <w:r>
        <w:rPr>
          <w:spacing w:val="-3"/>
          <w:sz w:val="24"/>
        </w:rPr>
        <w:t> </w:t>
      </w:r>
      <w:r>
        <w:rPr>
          <w:sz w:val="24"/>
        </w:rPr>
        <w:t>or</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there was a manifest error in the calculations performed by the RIT-D proponent in applying the </w:t>
      </w:r>
      <w:r>
        <w:rPr>
          <w:i/>
          <w:sz w:val="24"/>
        </w:rPr>
        <w:t>regulatory investment test for</w:t>
      </w:r>
      <w:r>
        <w:rPr>
          <w:i/>
          <w:spacing w:val="-8"/>
          <w:sz w:val="24"/>
        </w:rPr>
        <w:t> </w:t>
      </w:r>
      <w:r>
        <w:rPr>
          <w:i/>
          <w:sz w:val="24"/>
        </w:rPr>
        <w:t>distribution</w:t>
      </w:r>
      <w:r>
        <w:rPr>
          <w:sz w:val="24"/>
        </w:rPr>
        <w: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dispute under this clause 5.17.5 may not be raised in relation to any matters set out in the final project assessment report</w:t>
      </w:r>
      <w:r>
        <w:rPr>
          <w:spacing w:val="-6"/>
          <w:sz w:val="24"/>
        </w:rPr>
        <w:t> </w:t>
      </w:r>
      <w:r>
        <w:rPr>
          <w:sz w:val="24"/>
        </w:rPr>
        <w:t>which:</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6" w:val="left" w:leader="none"/>
        </w:tabs>
        <w:spacing w:line="240" w:lineRule="auto" w:before="83" w:after="0"/>
        <w:ind w:left="2486" w:right="415" w:hanging="567"/>
        <w:jc w:val="both"/>
        <w:rPr>
          <w:sz w:val="24"/>
        </w:rPr>
      </w:pPr>
      <w:r>
        <w:rPr>
          <w:sz w:val="24"/>
        </w:rPr>
        <w:t>are treated as externalities by the </w:t>
      </w:r>
      <w:r>
        <w:rPr>
          <w:i/>
          <w:sz w:val="24"/>
        </w:rPr>
        <w:t>regulatory investment test for </w:t>
      </w:r>
      <w:r>
        <w:rPr>
          <w:i/>
          <w:sz w:val="24"/>
        </w:rPr>
        <w:t>distribution</w:t>
      </w:r>
      <w:r>
        <w:rPr>
          <w:sz w:val="24"/>
        </w:rPr>
        <w:t>;</w:t>
      </w:r>
      <w:r>
        <w:rPr>
          <w:spacing w:val="-2"/>
          <w:sz w:val="24"/>
        </w:rPr>
        <w:t> </w:t>
      </w:r>
      <w:r>
        <w:rPr>
          <w:sz w:val="24"/>
        </w:rPr>
        <w:t>or</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relate to an individual's personal detriment or property</w:t>
      </w:r>
      <w:r>
        <w:rPr>
          <w:spacing w:val="-2"/>
          <w:sz w:val="24"/>
        </w:rPr>
        <w:t> </w:t>
      </w:r>
      <w:r>
        <w:rPr>
          <w:sz w:val="24"/>
        </w:rPr>
        <w:t>rights.</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Within 30 days of the date of </w:t>
      </w:r>
      <w:r>
        <w:rPr>
          <w:i/>
          <w:sz w:val="24"/>
        </w:rPr>
        <w:t>publication </w:t>
      </w:r>
      <w:r>
        <w:rPr>
          <w:sz w:val="24"/>
        </w:rPr>
        <w:t>of the final project assessment report under clause 5.17.4(o), (p) or (s) (as the case may be), the party disputing matters in the final project assessment report (a disputing party) must:</w:t>
      </w:r>
    </w:p>
    <w:p>
      <w:pPr>
        <w:pStyle w:val="ListParagraph"/>
        <w:numPr>
          <w:ilvl w:val="4"/>
          <w:numId w:val="235"/>
        </w:numPr>
        <w:tabs>
          <w:tab w:pos="2486" w:val="left" w:leader="none"/>
        </w:tabs>
        <w:spacing w:line="240" w:lineRule="auto" w:before="120" w:after="0"/>
        <w:ind w:left="2486" w:right="416" w:hanging="567"/>
        <w:jc w:val="both"/>
        <w:rPr>
          <w:sz w:val="24"/>
        </w:rPr>
      </w:pPr>
      <w:r>
        <w:rPr>
          <w:sz w:val="24"/>
        </w:rPr>
        <w:t>give notice of the dispute in writing setting out the grounds for the dispute (the dispute notice) to the </w:t>
      </w:r>
      <w:r>
        <w:rPr>
          <w:i/>
          <w:sz w:val="24"/>
        </w:rPr>
        <w:t>AER</w:t>
      </w:r>
      <w:r>
        <w:rPr>
          <w:sz w:val="24"/>
        </w:rPr>
        <w:t>;</w:t>
      </w:r>
      <w:r>
        <w:rPr>
          <w:spacing w:val="-2"/>
          <w:sz w:val="24"/>
        </w:rPr>
        <w:t> </w:t>
      </w:r>
      <w:r>
        <w:rPr>
          <w:sz w:val="24"/>
        </w:rPr>
        <w:t>and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at the same time, give a copy of the dispute notice to the RIT-D proponent.</w:t>
      </w:r>
    </w:p>
    <w:p>
      <w:pPr>
        <w:pStyle w:val="ListParagraph"/>
        <w:numPr>
          <w:ilvl w:val="3"/>
          <w:numId w:val="235"/>
        </w:numPr>
        <w:tabs>
          <w:tab w:pos="1919" w:val="left" w:leader="none"/>
        </w:tabs>
        <w:spacing w:line="240" w:lineRule="auto" w:before="120" w:after="0"/>
        <w:ind w:left="1919" w:right="414" w:hanging="567"/>
        <w:jc w:val="both"/>
        <w:rPr>
          <w:sz w:val="24"/>
        </w:rPr>
      </w:pPr>
      <w:r>
        <w:rPr>
          <w:sz w:val="24"/>
        </w:rPr>
        <w:t>Subject to paragraph (h), within 40 days of receipt of the dispute notice or within an additional period of up to 60 days where the </w:t>
      </w:r>
      <w:r>
        <w:rPr>
          <w:i/>
          <w:sz w:val="24"/>
        </w:rPr>
        <w:t>AER </w:t>
      </w:r>
      <w:r>
        <w:rPr>
          <w:sz w:val="24"/>
        </w:rPr>
        <w:t>notifies a relevant party that the additional time is required to make a determination because of the complexity or difficulty of the issues involved, the </w:t>
      </w:r>
      <w:r>
        <w:rPr>
          <w:i/>
          <w:sz w:val="24"/>
        </w:rPr>
        <w:t>AER </w:t>
      </w:r>
      <w:r>
        <w:rPr>
          <w:sz w:val="24"/>
        </w:rPr>
        <w:t>must either:</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reject any dispute by written notice to the person who initiated the dispute if the </w:t>
      </w:r>
      <w:r>
        <w:rPr>
          <w:i/>
          <w:sz w:val="24"/>
        </w:rPr>
        <w:t>AER </w:t>
      </w:r>
      <w:r>
        <w:rPr>
          <w:sz w:val="24"/>
        </w:rPr>
        <w:t>considers that the grounds for the dispute are invalid, misconceived or lacking in substance;</w:t>
      </w:r>
      <w:r>
        <w:rPr>
          <w:spacing w:val="-2"/>
          <w:sz w:val="24"/>
        </w:rPr>
        <w:t> </w:t>
      </w:r>
      <w:r>
        <w:rPr>
          <w:sz w:val="24"/>
        </w:rPr>
        <w:t>and</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notify the RIT-D proponent that the dispute has been rejected;</w:t>
      </w:r>
      <w:r>
        <w:rPr>
          <w:spacing w:val="-2"/>
          <w:sz w:val="24"/>
        </w:rPr>
        <w:t> </w:t>
      </w:r>
      <w:r>
        <w:rPr>
          <w:sz w:val="24"/>
        </w:rPr>
        <w:t>or</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subject to paragraph (f) and (g), make and </w:t>
      </w:r>
      <w:r>
        <w:rPr>
          <w:i/>
          <w:sz w:val="24"/>
        </w:rPr>
        <w:t>publish </w:t>
      </w:r>
      <w:r>
        <w:rPr>
          <w:sz w:val="24"/>
        </w:rPr>
        <w:t>a</w:t>
      </w:r>
      <w:r>
        <w:rPr>
          <w:spacing w:val="-2"/>
          <w:sz w:val="24"/>
        </w:rPr>
        <w:t> </w:t>
      </w:r>
      <w:r>
        <w:rPr>
          <w:sz w:val="24"/>
        </w:rPr>
        <w:t>determination:</w:t>
      </w:r>
    </w:p>
    <w:p>
      <w:pPr>
        <w:pStyle w:val="ListParagraph"/>
        <w:numPr>
          <w:ilvl w:val="5"/>
          <w:numId w:val="235"/>
        </w:numPr>
        <w:tabs>
          <w:tab w:pos="3053" w:val="left" w:leader="none"/>
        </w:tabs>
        <w:spacing w:line="240" w:lineRule="auto" w:before="120" w:after="0"/>
        <w:ind w:left="3053" w:right="416" w:hanging="567"/>
        <w:jc w:val="both"/>
        <w:rPr>
          <w:sz w:val="24"/>
        </w:rPr>
      </w:pPr>
      <w:r>
        <w:rPr>
          <w:sz w:val="24"/>
        </w:rPr>
        <w:t>directing the RIT-D proponent to amend the matters set out in the final project assessment report;</w:t>
      </w:r>
      <w:r>
        <w:rPr>
          <w:spacing w:val="-2"/>
          <w:sz w:val="24"/>
        </w:rPr>
        <w:t> </w:t>
      </w:r>
      <w:r>
        <w:rPr>
          <w:sz w:val="24"/>
        </w:rPr>
        <w:t>or</w:t>
      </w:r>
    </w:p>
    <w:p>
      <w:pPr>
        <w:pStyle w:val="ListParagraph"/>
        <w:numPr>
          <w:ilvl w:val="5"/>
          <w:numId w:val="235"/>
        </w:numPr>
        <w:tabs>
          <w:tab w:pos="3054" w:val="left" w:leader="none"/>
        </w:tabs>
        <w:spacing w:line="240" w:lineRule="auto" w:before="120" w:after="0"/>
        <w:ind w:left="3053" w:right="415" w:hanging="567"/>
        <w:jc w:val="both"/>
        <w:rPr>
          <w:sz w:val="24"/>
        </w:rPr>
      </w:pPr>
      <w:r>
        <w:rPr>
          <w:sz w:val="24"/>
        </w:rPr>
        <w:t>stating that, based on the grounds of the dispute, the RIT-D proponent will not be required to amend the final project assessment report.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RIT-D proponent must comply with an </w:t>
      </w:r>
      <w:r>
        <w:rPr>
          <w:i/>
          <w:sz w:val="24"/>
        </w:rPr>
        <w:t>AER </w:t>
      </w:r>
      <w:r>
        <w:rPr>
          <w:sz w:val="24"/>
        </w:rPr>
        <w:t>determination made under subparagraph (d)(3)(i) within a timeframe specified by the </w:t>
      </w:r>
      <w:r>
        <w:rPr>
          <w:i/>
          <w:sz w:val="24"/>
        </w:rPr>
        <w:t>AER </w:t>
      </w:r>
      <w:r>
        <w:rPr>
          <w:sz w:val="24"/>
        </w:rPr>
        <w:t>in its determination.</w:t>
      </w:r>
    </w:p>
    <w:p>
      <w:pPr>
        <w:pStyle w:val="ListParagraph"/>
        <w:numPr>
          <w:ilvl w:val="3"/>
          <w:numId w:val="235"/>
        </w:numPr>
        <w:tabs>
          <w:tab w:pos="1920" w:val="left" w:leader="none"/>
        </w:tabs>
        <w:spacing w:line="240" w:lineRule="auto" w:before="120" w:after="0"/>
        <w:ind w:left="1919" w:right="0" w:hanging="568"/>
        <w:jc w:val="both"/>
        <w:rPr>
          <w:sz w:val="24"/>
        </w:rPr>
      </w:pPr>
      <w:r>
        <w:rPr>
          <w:sz w:val="24"/>
        </w:rPr>
        <w:t>In making a determination under paragraph (d)(3), the</w:t>
      </w:r>
      <w:r>
        <w:rPr>
          <w:spacing w:val="-1"/>
          <w:sz w:val="24"/>
        </w:rPr>
        <w:t> </w:t>
      </w:r>
      <w:r>
        <w:rPr>
          <w:i/>
          <w:sz w:val="24"/>
        </w:rPr>
        <w:t>AER</w:t>
      </w:r>
      <w:r>
        <w:rPr>
          <w:sz w:val="24"/>
        </w:rPr>
        <w:t>:</w:t>
      </w:r>
    </w:p>
    <w:p>
      <w:pPr>
        <w:pStyle w:val="ListParagraph"/>
        <w:numPr>
          <w:ilvl w:val="4"/>
          <w:numId w:val="235"/>
        </w:numPr>
        <w:tabs>
          <w:tab w:pos="2486" w:val="left" w:leader="none"/>
        </w:tabs>
        <w:spacing w:line="240" w:lineRule="auto" w:before="120" w:after="0"/>
        <w:ind w:left="2486" w:right="413" w:hanging="567"/>
        <w:jc w:val="both"/>
        <w:rPr>
          <w:sz w:val="24"/>
        </w:rPr>
      </w:pPr>
      <w:r>
        <w:rPr>
          <w:sz w:val="24"/>
        </w:rPr>
        <w:t>must only take into account information and analysis that the RIT-D proponent could reasonably be expected to have considered or undertaken at the time that it performed the </w:t>
      </w:r>
      <w:r>
        <w:rPr>
          <w:i/>
          <w:sz w:val="24"/>
        </w:rPr>
        <w:t>regulatory investment test </w:t>
      </w:r>
      <w:r>
        <w:rPr>
          <w:i/>
          <w:sz w:val="24"/>
        </w:rPr>
        <w:t>for</w:t>
      </w:r>
      <w:r>
        <w:rPr>
          <w:i/>
          <w:spacing w:val="-1"/>
          <w:sz w:val="24"/>
        </w:rPr>
        <w:t> </w:t>
      </w:r>
      <w:r>
        <w:rPr>
          <w:i/>
          <w:sz w:val="24"/>
        </w:rPr>
        <w:t>distribution</w:t>
      </w:r>
      <w:r>
        <w:rPr>
          <w:sz w:val="24"/>
        </w:rPr>
        <w:t>;</w:t>
      </w:r>
    </w:p>
    <w:p>
      <w:pPr>
        <w:pStyle w:val="ListParagraph"/>
        <w:numPr>
          <w:ilvl w:val="4"/>
          <w:numId w:val="235"/>
        </w:numPr>
        <w:tabs>
          <w:tab w:pos="2486" w:val="left" w:leader="none"/>
        </w:tabs>
        <w:spacing w:line="240" w:lineRule="auto" w:before="120" w:after="0"/>
        <w:ind w:left="2485" w:right="0" w:hanging="567"/>
        <w:jc w:val="both"/>
        <w:rPr>
          <w:sz w:val="24"/>
        </w:rPr>
      </w:pPr>
      <w:r>
        <w:rPr>
          <w:sz w:val="24"/>
        </w:rPr>
        <w:t>must </w:t>
      </w:r>
      <w:r>
        <w:rPr>
          <w:i/>
          <w:sz w:val="24"/>
        </w:rPr>
        <w:t>publish </w:t>
      </w:r>
      <w:r>
        <w:rPr>
          <w:sz w:val="24"/>
        </w:rPr>
        <w:t>its reasons for making a</w:t>
      </w:r>
      <w:r>
        <w:rPr>
          <w:spacing w:val="-2"/>
          <w:sz w:val="24"/>
        </w:rPr>
        <w:t> </w:t>
      </w:r>
      <w:r>
        <w:rPr>
          <w:sz w:val="24"/>
        </w:rPr>
        <w:t>determination;</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may disregard any matter raised by the disputing party or the RIT-D proponent that is misconceived or lacking in substance;</w:t>
      </w:r>
      <w:r>
        <w:rPr>
          <w:spacing w:val="-2"/>
          <w:sz w:val="24"/>
        </w:rPr>
        <w:t> </w:t>
      </w:r>
      <w:r>
        <w:rPr>
          <w:sz w:val="24"/>
        </w:rPr>
        <w:t>and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where making a determination under subparagraph (d)(3)(i), must specify a reasonable timeframe for the RIT-D proponent to comply with the </w:t>
      </w:r>
      <w:r>
        <w:rPr>
          <w:i/>
          <w:sz w:val="24"/>
        </w:rPr>
        <w:t>AER's </w:t>
      </w:r>
      <w:r>
        <w:rPr>
          <w:sz w:val="24"/>
        </w:rPr>
        <w:t>direction to amend the matters set out in the final project assessment</w:t>
      </w:r>
      <w:r>
        <w:rPr>
          <w:spacing w:val="-2"/>
          <w:sz w:val="24"/>
        </w:rPr>
        <w:t> </w:t>
      </w:r>
      <w:r>
        <w:rPr>
          <w:sz w:val="24"/>
        </w:rPr>
        <w:t>report.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only make a determination under subparagraph (d)(3)(i) if it determines</w:t>
      </w:r>
      <w:r>
        <w:rPr>
          <w:spacing w:val="-1"/>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4"/>
          <w:numId w:val="235"/>
        </w:numPr>
        <w:tabs>
          <w:tab w:pos="2486" w:val="left" w:leader="none"/>
        </w:tabs>
        <w:spacing w:line="240" w:lineRule="auto" w:before="83" w:after="0"/>
        <w:ind w:left="2486" w:right="415" w:hanging="567"/>
        <w:jc w:val="both"/>
        <w:rPr>
          <w:sz w:val="24"/>
        </w:rPr>
      </w:pPr>
      <w:r>
        <w:rPr>
          <w:sz w:val="24"/>
        </w:rPr>
        <w:t>the RIT-D proponent has not correctly applied the </w:t>
      </w:r>
      <w:r>
        <w:rPr>
          <w:i/>
          <w:sz w:val="24"/>
        </w:rPr>
        <w:t>regulatory </w:t>
      </w:r>
      <w:r>
        <w:rPr>
          <w:i/>
          <w:sz w:val="24"/>
        </w:rPr>
        <w:t>investment test for distribution </w:t>
      </w:r>
      <w:r>
        <w:rPr>
          <w:sz w:val="24"/>
        </w:rPr>
        <w:t>in accordance with the </w:t>
      </w:r>
      <w:r>
        <w:rPr>
          <w:i/>
          <w:sz w:val="24"/>
        </w:rPr>
        <w:t>Rules</w:t>
      </w:r>
      <w:r>
        <w:rPr>
          <w:sz w:val="24"/>
        </w:rPr>
        <w:t>;</w:t>
      </w:r>
      <w:r>
        <w:rPr>
          <w:spacing w:val="-5"/>
          <w:sz w:val="24"/>
        </w:rPr>
        <w:t> </w:t>
      </w:r>
      <w:r>
        <w:rPr>
          <w:sz w:val="24"/>
        </w:rPr>
        <w:t>or</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there was a manifest error in the calculations performed by the RIT-D proponent in applying the </w:t>
      </w:r>
      <w:r>
        <w:rPr>
          <w:i/>
          <w:sz w:val="24"/>
        </w:rPr>
        <w:t>regulatory investment test for</w:t>
      </w:r>
      <w:r>
        <w:rPr>
          <w:i/>
          <w:spacing w:val="-8"/>
          <w:sz w:val="24"/>
        </w:rPr>
        <w:t> </w:t>
      </w:r>
      <w:r>
        <w:rPr>
          <w:i/>
          <w:sz w:val="24"/>
        </w:rPr>
        <w:t>distribution</w:t>
      </w:r>
      <w:r>
        <w:rPr>
          <w:sz w:val="24"/>
        </w:rPr>
        <w:t>.</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request additional information regarding the dispute from the disputing party or the RIT-D proponent in which case the period of time for rejecting a dispute under paragraph (d)(1) or making a determination under paragraph (d)(3) is automatically extended by the time it takes the relevant party to provide the additional information to the </w:t>
      </w:r>
      <w:r>
        <w:rPr>
          <w:i/>
          <w:sz w:val="24"/>
        </w:rPr>
        <w:t>AER</w:t>
      </w:r>
      <w:r>
        <w:rPr>
          <w:i/>
          <w:spacing w:val="-3"/>
          <w:sz w:val="24"/>
        </w:rPr>
        <w:t> </w:t>
      </w:r>
      <w:r>
        <w:rPr>
          <w:sz w:val="24"/>
        </w:rPr>
        <w:t>provided: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makes the request for additional information at least seven days prior to the expiry of the relevant period;</w:t>
      </w:r>
      <w:r>
        <w:rPr>
          <w:spacing w:val="-2"/>
          <w:sz w:val="24"/>
        </w:rPr>
        <w:t> </w:t>
      </w:r>
      <w:r>
        <w:rPr>
          <w:sz w:val="24"/>
        </w:rPr>
        <w:t>and</w:t>
      </w:r>
    </w:p>
    <w:p>
      <w:pPr>
        <w:pStyle w:val="ListParagraph"/>
        <w:numPr>
          <w:ilvl w:val="4"/>
          <w:numId w:val="235"/>
        </w:numPr>
        <w:tabs>
          <w:tab w:pos="2486" w:val="left" w:leader="none"/>
        </w:tabs>
        <w:spacing w:line="240" w:lineRule="auto" w:before="120" w:after="0"/>
        <w:ind w:left="2486" w:right="415" w:hanging="567"/>
        <w:jc w:val="both"/>
        <w:rPr>
          <w:sz w:val="24"/>
        </w:rPr>
      </w:pPr>
      <w:r>
        <w:rPr>
          <w:sz w:val="24"/>
        </w:rPr>
        <w:t>the RIT-D proponent or disputing party provides the additional information within 14 days of receipt of the request under subparagraph</w:t>
      </w:r>
      <w:r>
        <w:rPr>
          <w:spacing w:val="-2"/>
          <w:sz w:val="24"/>
        </w:rPr>
        <w:t> </w:t>
      </w:r>
      <w:r>
        <w:rPr>
          <w:sz w:val="24"/>
        </w:rPr>
        <w:t>(1).</w:t>
      </w:r>
    </w:p>
    <w:p>
      <w:pPr>
        <w:pStyle w:val="ListParagraph"/>
        <w:numPr>
          <w:ilvl w:val="3"/>
          <w:numId w:val="235"/>
        </w:numPr>
        <w:tabs>
          <w:tab w:pos="1919" w:val="left" w:leader="none"/>
        </w:tabs>
        <w:spacing w:line="240" w:lineRule="auto" w:before="120" w:after="0"/>
        <w:ind w:left="1919" w:right="415" w:hanging="567"/>
        <w:jc w:val="both"/>
        <w:rPr>
          <w:sz w:val="24"/>
        </w:rPr>
      </w:pPr>
      <w:r>
        <w:rPr>
          <w:sz w:val="24"/>
        </w:rPr>
        <w:t>A disputing party or the RIT-D proponent (as the case may be) must as soon as reasonably practicable provide any information requested </w:t>
      </w:r>
      <w:r>
        <w:rPr>
          <w:spacing w:val="-3"/>
          <w:sz w:val="24"/>
        </w:rPr>
        <w:t>under </w:t>
      </w:r>
      <w:r>
        <w:rPr>
          <w:sz w:val="24"/>
        </w:rPr>
        <w:t>paragraph (h) to the</w:t>
      </w:r>
      <w:r>
        <w:rPr>
          <w:spacing w:val="-1"/>
          <w:sz w:val="24"/>
        </w:rPr>
        <w:t> </w:t>
      </w:r>
      <w:r>
        <w:rPr>
          <w:i/>
          <w:sz w:val="24"/>
        </w:rPr>
        <w:t>AER</w:t>
      </w:r>
      <w:r>
        <w:rPr>
          <w:sz w:val="24"/>
        </w:rPr>
        <w:t>.</w:t>
      </w:r>
    </w:p>
    <w:p>
      <w:pPr>
        <w:pStyle w:val="BodyText"/>
        <w:spacing w:before="10"/>
        <w:ind w:firstLine="0"/>
        <w:jc w:val="left"/>
        <w:rPr>
          <w:sz w:val="20"/>
        </w:rPr>
      </w:pPr>
    </w:p>
    <w:p>
      <w:pPr>
        <w:pStyle w:val="Heading3"/>
        <w:numPr>
          <w:ilvl w:val="1"/>
          <w:numId w:val="228"/>
        </w:numPr>
        <w:tabs>
          <w:tab w:pos="1351" w:val="left" w:leader="none"/>
          <w:tab w:pos="1353" w:val="left" w:leader="none"/>
        </w:tabs>
        <w:spacing w:line="240" w:lineRule="auto" w:before="0" w:after="0"/>
        <w:ind w:left="1352" w:right="0" w:hanging="1135"/>
        <w:jc w:val="left"/>
      </w:pPr>
      <w:bookmarkStart w:name="5.18 Construction of funded augmentation" w:id="771"/>
      <w:bookmarkEnd w:id="771"/>
      <w:r>
        <w:rPr>
          <w:b w:val="0"/>
        </w:rPr>
      </w:r>
      <w:bookmarkStart w:name="_bookmark297" w:id="772"/>
      <w:bookmarkEnd w:id="772"/>
      <w:r>
        <w:rPr>
          <w:b w:val="0"/>
        </w:rPr>
      </w:r>
      <w:bookmarkStart w:name="_bookmark297" w:id="773"/>
      <w:bookmarkEnd w:id="773"/>
      <w:r>
        <w:rPr/>
        <w:t>Con</w:t>
      </w:r>
      <w:r>
        <w:rPr/>
        <w:t>struction of funded</w:t>
      </w:r>
      <w:r>
        <w:rPr>
          <w:spacing w:val="-2"/>
        </w:rPr>
        <w:t> </w:t>
      </w:r>
      <w:r>
        <w:rPr/>
        <w:t>augmentations</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The application of paragraph (c) of this rule will be revisited as part of the phased implementation of the </w:t>
      </w:r>
      <w:r>
        <w:rPr>
          <w:i/>
          <w:sz w:val="20"/>
        </w:rPr>
        <w:t>Rules </w:t>
      </w:r>
      <w:r>
        <w:rPr>
          <w:sz w:val="20"/>
        </w:rPr>
        <w:t>in this jurisdiction.</w:t>
      </w:r>
    </w:p>
    <w:p>
      <w:pPr>
        <w:pStyle w:val="ListParagraph"/>
        <w:numPr>
          <w:ilvl w:val="2"/>
          <w:numId w:val="228"/>
        </w:numPr>
        <w:tabs>
          <w:tab w:pos="1919" w:val="left" w:leader="none"/>
        </w:tabs>
        <w:spacing w:line="240" w:lineRule="auto" w:before="120" w:after="0"/>
        <w:ind w:left="1918" w:right="0" w:hanging="567"/>
        <w:jc w:val="both"/>
        <w:rPr>
          <w:sz w:val="24"/>
        </w:rPr>
      </w:pPr>
      <w:r>
        <w:rPr>
          <w:sz w:val="24"/>
        </w:rPr>
        <w:t>The</w:t>
      </w:r>
      <w:r>
        <w:rPr>
          <w:spacing w:val="41"/>
          <w:sz w:val="24"/>
        </w:rPr>
        <w:t> </w:t>
      </w:r>
      <w:r>
        <w:rPr>
          <w:sz w:val="24"/>
        </w:rPr>
        <w:t>term</w:t>
      </w:r>
      <w:r>
        <w:rPr>
          <w:spacing w:val="42"/>
          <w:sz w:val="24"/>
        </w:rPr>
        <w:t> </w:t>
      </w:r>
      <w:r>
        <w:rPr>
          <w:i/>
          <w:sz w:val="24"/>
        </w:rPr>
        <w:t>Transmission</w:t>
      </w:r>
      <w:r>
        <w:rPr>
          <w:i/>
          <w:spacing w:val="41"/>
          <w:sz w:val="24"/>
        </w:rPr>
        <w:t> </w:t>
      </w:r>
      <w:r>
        <w:rPr>
          <w:i/>
          <w:sz w:val="24"/>
        </w:rPr>
        <w:t>Network</w:t>
      </w:r>
      <w:r>
        <w:rPr>
          <w:i/>
          <w:spacing w:val="42"/>
          <w:sz w:val="24"/>
        </w:rPr>
        <w:t> </w:t>
      </w:r>
      <w:r>
        <w:rPr>
          <w:i/>
          <w:sz w:val="24"/>
        </w:rPr>
        <w:t>Service</w:t>
      </w:r>
      <w:r>
        <w:rPr>
          <w:i/>
          <w:spacing w:val="41"/>
          <w:sz w:val="24"/>
        </w:rPr>
        <w:t> </w:t>
      </w:r>
      <w:r>
        <w:rPr>
          <w:i/>
          <w:sz w:val="24"/>
        </w:rPr>
        <w:t>Provider</w:t>
      </w:r>
      <w:r>
        <w:rPr>
          <w:i/>
          <w:spacing w:val="42"/>
          <w:sz w:val="24"/>
        </w:rPr>
        <w:t> </w:t>
      </w:r>
      <w:r>
        <w:rPr>
          <w:sz w:val="24"/>
        </w:rPr>
        <w:t>when</w:t>
      </w:r>
      <w:r>
        <w:rPr>
          <w:spacing w:val="41"/>
          <w:sz w:val="24"/>
        </w:rPr>
        <w:t> </w:t>
      </w:r>
      <w:r>
        <w:rPr>
          <w:sz w:val="24"/>
        </w:rPr>
        <w:t>used</w:t>
      </w:r>
      <w:r>
        <w:rPr>
          <w:spacing w:val="42"/>
          <w:sz w:val="24"/>
        </w:rPr>
        <w:t> </w:t>
      </w:r>
      <w:r>
        <w:rPr>
          <w:sz w:val="24"/>
        </w:rPr>
        <w:t>in</w:t>
      </w:r>
      <w:r>
        <w:rPr>
          <w:spacing w:val="41"/>
          <w:sz w:val="24"/>
        </w:rPr>
        <w:t> </w:t>
      </w:r>
      <w:r>
        <w:rPr>
          <w:sz w:val="24"/>
        </w:rPr>
        <w:t>this</w:t>
      </w:r>
      <w:r>
        <w:rPr>
          <w:spacing w:val="42"/>
          <w:sz w:val="24"/>
        </w:rPr>
        <w:t> </w:t>
      </w:r>
      <w:r>
        <w:rPr>
          <w:sz w:val="24"/>
        </w:rPr>
        <w:t>rule</w:t>
      </w:r>
    </w:p>
    <w:p>
      <w:pPr>
        <w:spacing w:before="0"/>
        <w:ind w:left="1919" w:right="414" w:firstLine="0"/>
        <w:jc w:val="both"/>
        <w:rPr>
          <w:sz w:val="24"/>
        </w:rPr>
      </w:pPr>
      <w:r>
        <w:rPr>
          <w:sz w:val="24"/>
        </w:rPr>
        <w:t>5.18 is not intended to refer to, and is not to be read or construed  as referring to, any </w:t>
      </w:r>
      <w:r>
        <w:rPr>
          <w:i/>
          <w:sz w:val="24"/>
        </w:rPr>
        <w:t>Transmission Network Service Provider </w:t>
      </w:r>
      <w:r>
        <w:rPr>
          <w:sz w:val="24"/>
        </w:rPr>
        <w:t>in its capacity as a </w:t>
      </w:r>
      <w:r>
        <w:rPr>
          <w:i/>
          <w:sz w:val="24"/>
        </w:rPr>
        <w:t>Market Network Service</w:t>
      </w:r>
      <w:r>
        <w:rPr>
          <w:i/>
          <w:spacing w:val="-1"/>
          <w:sz w:val="24"/>
        </w:rPr>
        <w:t> </w:t>
      </w:r>
      <w:r>
        <w:rPr>
          <w:i/>
          <w:sz w:val="24"/>
        </w:rPr>
        <w:t>Provider</w:t>
      </w:r>
      <w:r>
        <w:rPr>
          <w:sz w:val="24"/>
        </w:rPr>
        <w:t>.</w:t>
      </w:r>
    </w:p>
    <w:p>
      <w:pPr>
        <w:pStyle w:val="ListParagraph"/>
        <w:numPr>
          <w:ilvl w:val="2"/>
          <w:numId w:val="228"/>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who proposes to construct a </w:t>
      </w:r>
      <w:r>
        <w:rPr>
          <w:i/>
          <w:sz w:val="24"/>
        </w:rPr>
        <w:t>funded augmentation </w:t>
      </w:r>
      <w:r>
        <w:rPr>
          <w:sz w:val="24"/>
        </w:rPr>
        <w:t>must make available to all </w:t>
      </w:r>
      <w:r>
        <w:rPr>
          <w:i/>
          <w:sz w:val="24"/>
        </w:rPr>
        <w:t>Registered Participants </w:t>
      </w:r>
      <w:r>
        <w:rPr>
          <w:sz w:val="24"/>
        </w:rPr>
        <w:t>and </w:t>
      </w:r>
      <w:r>
        <w:rPr>
          <w:i/>
          <w:sz w:val="24"/>
        </w:rPr>
        <w:t>AEMO </w:t>
      </w:r>
      <w:r>
        <w:rPr>
          <w:sz w:val="24"/>
        </w:rPr>
        <w:t>a notice which must set</w:t>
      </w:r>
      <w:r>
        <w:rPr>
          <w:spacing w:val="-3"/>
          <w:sz w:val="24"/>
        </w:rPr>
        <w:t> </w:t>
      </w:r>
      <w:r>
        <w:rPr>
          <w:sz w:val="24"/>
        </w:rPr>
        <w:t>out:</w:t>
      </w:r>
    </w:p>
    <w:p>
      <w:pPr>
        <w:pStyle w:val="ListParagraph"/>
        <w:numPr>
          <w:ilvl w:val="3"/>
          <w:numId w:val="228"/>
        </w:numPr>
        <w:tabs>
          <w:tab w:pos="2486" w:val="left" w:leader="none"/>
        </w:tabs>
        <w:spacing w:line="240" w:lineRule="auto" w:before="120" w:after="0"/>
        <w:ind w:left="2485" w:right="0" w:hanging="567"/>
        <w:jc w:val="both"/>
        <w:rPr>
          <w:sz w:val="24"/>
        </w:rPr>
      </w:pPr>
      <w:r>
        <w:rPr>
          <w:sz w:val="24"/>
        </w:rPr>
        <w:t>a detailed description of the proposed </w:t>
      </w:r>
      <w:r>
        <w:rPr>
          <w:i/>
          <w:sz w:val="24"/>
        </w:rPr>
        <w:t>funded</w:t>
      </w:r>
      <w:r>
        <w:rPr>
          <w:i/>
          <w:spacing w:val="-1"/>
          <w:sz w:val="24"/>
        </w:rPr>
        <w:t> </w:t>
      </w:r>
      <w:r>
        <w:rPr>
          <w:i/>
          <w:sz w:val="24"/>
        </w:rPr>
        <w:t>augmentation</w:t>
      </w:r>
      <w:r>
        <w:rPr>
          <w:sz w:val="24"/>
        </w:rPr>
        <w:t>;</w:t>
      </w:r>
    </w:p>
    <w:p>
      <w:pPr>
        <w:pStyle w:val="ListParagraph"/>
        <w:numPr>
          <w:ilvl w:val="3"/>
          <w:numId w:val="228"/>
        </w:numPr>
        <w:tabs>
          <w:tab w:pos="2486" w:val="left" w:leader="none"/>
        </w:tabs>
        <w:spacing w:line="240" w:lineRule="auto" w:before="120" w:after="0"/>
        <w:ind w:left="2486" w:right="414" w:hanging="567"/>
        <w:jc w:val="both"/>
        <w:rPr>
          <w:sz w:val="24"/>
        </w:rPr>
      </w:pPr>
      <w:r>
        <w:rPr>
          <w:sz w:val="24"/>
        </w:rPr>
        <w:t>all relevant technical details concerning the proposed </w:t>
      </w:r>
      <w:r>
        <w:rPr>
          <w:i/>
          <w:sz w:val="24"/>
        </w:rPr>
        <w:t>funded </w:t>
      </w:r>
      <w:r>
        <w:rPr>
          <w:i/>
          <w:sz w:val="24"/>
        </w:rPr>
        <w:t>augmentation</w:t>
      </w:r>
      <w:r>
        <w:rPr>
          <w:sz w:val="24"/>
        </w:rPr>
        <w:t>, the impact of the </w:t>
      </w:r>
      <w:r>
        <w:rPr>
          <w:i/>
          <w:sz w:val="24"/>
        </w:rPr>
        <w:t>funded augmentation </w:t>
      </w:r>
      <w:r>
        <w:rPr>
          <w:sz w:val="24"/>
        </w:rPr>
        <w:t>on the relevant </w:t>
      </w:r>
      <w:r>
        <w:rPr>
          <w:i/>
          <w:sz w:val="24"/>
        </w:rPr>
        <w:t>transmission network's Transmission Network Users </w:t>
      </w:r>
      <w:r>
        <w:rPr>
          <w:sz w:val="24"/>
        </w:rPr>
        <w:t>and the construction timetable and commissioning date for the </w:t>
      </w:r>
      <w:r>
        <w:rPr>
          <w:i/>
          <w:sz w:val="24"/>
        </w:rPr>
        <w:t>funded </w:t>
      </w:r>
      <w:r>
        <w:rPr>
          <w:i/>
          <w:sz w:val="24"/>
        </w:rPr>
        <w:t>augmentation</w:t>
      </w:r>
      <w:r>
        <w:rPr>
          <w:sz w:val="24"/>
        </w:rPr>
        <w:t>;</w:t>
      </w:r>
    </w:p>
    <w:p>
      <w:pPr>
        <w:pStyle w:val="ListParagraph"/>
        <w:numPr>
          <w:ilvl w:val="3"/>
          <w:numId w:val="228"/>
        </w:numPr>
        <w:tabs>
          <w:tab w:pos="2486" w:val="left" w:leader="none"/>
        </w:tabs>
        <w:spacing w:line="240" w:lineRule="auto" w:before="120" w:after="0"/>
        <w:ind w:left="2486" w:right="415" w:hanging="567"/>
        <w:jc w:val="both"/>
        <w:rPr>
          <w:sz w:val="24"/>
        </w:rPr>
      </w:pPr>
      <w:r>
        <w:rPr>
          <w:sz w:val="24"/>
        </w:rPr>
        <w:t>an </w:t>
      </w:r>
      <w:r>
        <w:rPr>
          <w:i/>
          <w:sz w:val="24"/>
        </w:rPr>
        <w:t>augmentation technical report </w:t>
      </w:r>
      <w:r>
        <w:rPr>
          <w:sz w:val="24"/>
        </w:rPr>
        <w:t>prepared by </w:t>
      </w:r>
      <w:r>
        <w:rPr>
          <w:i/>
          <w:sz w:val="24"/>
        </w:rPr>
        <w:t>AEMO </w:t>
      </w:r>
      <w:r>
        <w:rPr>
          <w:sz w:val="24"/>
        </w:rPr>
        <w:t>if, and only if, the </w:t>
      </w:r>
      <w:r>
        <w:rPr>
          <w:i/>
          <w:sz w:val="24"/>
        </w:rPr>
        <w:t>funded augmentation </w:t>
      </w:r>
      <w:r>
        <w:rPr>
          <w:sz w:val="24"/>
        </w:rPr>
        <w:t>is reasonably likely to have a </w:t>
      </w:r>
      <w:r>
        <w:rPr>
          <w:i/>
          <w:sz w:val="24"/>
        </w:rPr>
        <w:t>material inter- </w:t>
      </w:r>
      <w:r>
        <w:rPr>
          <w:i/>
          <w:sz w:val="24"/>
        </w:rPr>
        <w:t>network impact </w:t>
      </w:r>
      <w:r>
        <w:rPr>
          <w:sz w:val="24"/>
        </w:rPr>
        <w:t>and the </w:t>
      </w:r>
      <w:r>
        <w:rPr>
          <w:i/>
          <w:sz w:val="24"/>
        </w:rPr>
        <w:t>Transmission Network Service Provider </w:t>
      </w:r>
      <w:r>
        <w:rPr>
          <w:sz w:val="24"/>
        </w:rPr>
        <w:t>has not received consent to proceed with construction from all </w:t>
      </w:r>
      <w:r>
        <w:rPr>
          <w:i/>
          <w:sz w:val="24"/>
        </w:rPr>
        <w:t>Transmission Network Service Providers </w:t>
      </w:r>
      <w:r>
        <w:rPr>
          <w:sz w:val="24"/>
        </w:rPr>
        <w:t>whose </w:t>
      </w:r>
      <w:r>
        <w:rPr>
          <w:i/>
          <w:sz w:val="24"/>
        </w:rPr>
        <w:t>transmission </w:t>
      </w:r>
      <w:r>
        <w:rPr>
          <w:i/>
          <w:sz w:val="24"/>
        </w:rPr>
        <w:t>networks </w:t>
      </w:r>
      <w:r>
        <w:rPr>
          <w:sz w:val="24"/>
        </w:rPr>
        <w:t>are materially affected by the </w:t>
      </w:r>
      <w:r>
        <w:rPr>
          <w:i/>
          <w:sz w:val="24"/>
        </w:rPr>
        <w:t>funded augmentation</w:t>
      </w:r>
      <w:r>
        <w:rPr>
          <w:sz w:val="24"/>
        </w:rPr>
        <w:t>. In assessing whether a </w:t>
      </w:r>
      <w:r>
        <w:rPr>
          <w:i/>
          <w:sz w:val="24"/>
        </w:rPr>
        <w:t>funded augmentation </w:t>
      </w:r>
      <w:r>
        <w:rPr>
          <w:sz w:val="24"/>
        </w:rPr>
        <w:t>is reasonably likely to have a </w:t>
      </w:r>
      <w:r>
        <w:rPr>
          <w:i/>
          <w:sz w:val="24"/>
        </w:rPr>
        <w:t>material inter-network impact</w:t>
      </w:r>
      <w:r>
        <w:rPr>
          <w:sz w:val="24"/>
        </w:rPr>
        <w:t>, the </w:t>
      </w:r>
      <w:r>
        <w:rPr>
          <w:i/>
          <w:sz w:val="24"/>
        </w:rPr>
        <w:t>Transmission Network Service </w:t>
      </w:r>
      <w:r>
        <w:rPr>
          <w:i/>
          <w:sz w:val="24"/>
        </w:rPr>
        <w:t>Provider </w:t>
      </w:r>
      <w:r>
        <w:rPr>
          <w:sz w:val="24"/>
        </w:rPr>
        <w:t>must have regard to the objective set of criteria </w:t>
      </w:r>
      <w:r>
        <w:rPr>
          <w:i/>
          <w:sz w:val="24"/>
        </w:rPr>
        <w:t>published </w:t>
      </w:r>
      <w:r>
        <w:rPr>
          <w:sz w:val="24"/>
        </w:rPr>
        <w:t>by </w:t>
      </w:r>
      <w:r>
        <w:rPr>
          <w:i/>
          <w:sz w:val="24"/>
        </w:rPr>
        <w:t>AEMO </w:t>
      </w:r>
      <w:r>
        <w:rPr>
          <w:sz w:val="24"/>
        </w:rPr>
        <w:t>(if any such criteria have been </w:t>
      </w:r>
      <w:r>
        <w:rPr>
          <w:i/>
          <w:sz w:val="24"/>
        </w:rPr>
        <w:t>published </w:t>
      </w:r>
      <w:r>
        <w:rPr>
          <w:sz w:val="24"/>
        </w:rPr>
        <w:t>by</w:t>
      </w:r>
      <w:r>
        <w:rPr>
          <w:spacing w:val="-3"/>
          <w:sz w:val="24"/>
        </w:rPr>
        <w:t> </w:t>
      </w:r>
      <w:r>
        <w:rPr>
          <w:i/>
          <w:sz w:val="24"/>
        </w:rPr>
        <w:t>AEMO</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228"/>
        </w:numPr>
        <w:tabs>
          <w:tab w:pos="1919" w:val="left" w:leader="none"/>
        </w:tabs>
        <w:spacing w:line="240" w:lineRule="auto" w:before="83" w:after="0"/>
        <w:ind w:left="1919" w:right="416" w:hanging="567"/>
        <w:jc w:val="both"/>
        <w:rPr>
          <w:sz w:val="24"/>
        </w:rPr>
      </w:pPr>
      <w:r>
        <w:rPr>
          <w:sz w:val="24"/>
        </w:rPr>
        <w:t>The </w:t>
      </w:r>
      <w:r>
        <w:rPr>
          <w:i/>
          <w:sz w:val="24"/>
        </w:rPr>
        <w:t>Transmission Network Service Provider </w:t>
      </w:r>
      <w:r>
        <w:rPr>
          <w:sz w:val="24"/>
        </w:rPr>
        <w:t>must provide a summary of the notice  prepared  in  accordance  with  paragraph  (b)  to  </w:t>
      </w:r>
      <w:r>
        <w:rPr>
          <w:i/>
          <w:sz w:val="24"/>
        </w:rPr>
        <w:t>AEMO</w:t>
      </w:r>
      <w:r>
        <w:rPr>
          <w:sz w:val="24"/>
        </w:rPr>
        <w:t>.  Within    3 </w:t>
      </w:r>
      <w:r>
        <w:rPr>
          <w:i/>
          <w:sz w:val="24"/>
        </w:rPr>
        <w:t>business days </w:t>
      </w:r>
      <w:r>
        <w:rPr>
          <w:sz w:val="24"/>
        </w:rPr>
        <w:t>of receipt of the summary, </w:t>
      </w:r>
      <w:r>
        <w:rPr>
          <w:i/>
          <w:sz w:val="24"/>
        </w:rPr>
        <w:t>AEMO </w:t>
      </w:r>
      <w:r>
        <w:rPr>
          <w:sz w:val="24"/>
        </w:rPr>
        <w:t>must </w:t>
      </w:r>
      <w:r>
        <w:rPr>
          <w:i/>
          <w:sz w:val="24"/>
        </w:rPr>
        <w:t>publish </w:t>
      </w:r>
      <w:r>
        <w:rPr>
          <w:sz w:val="24"/>
        </w:rPr>
        <w:t>the summary on its</w:t>
      </w:r>
      <w:r>
        <w:rPr>
          <w:spacing w:val="-2"/>
          <w:sz w:val="24"/>
        </w:rPr>
        <w:t> </w:t>
      </w:r>
      <w:r>
        <w:rPr>
          <w:sz w:val="24"/>
        </w:rPr>
        <w:t>website.</w:t>
      </w:r>
    </w:p>
    <w:p>
      <w:pPr>
        <w:pStyle w:val="ListParagraph"/>
        <w:numPr>
          <w:ilvl w:val="2"/>
          <w:numId w:val="228"/>
        </w:numPr>
        <w:tabs>
          <w:tab w:pos="1919" w:val="left" w:leader="none"/>
        </w:tabs>
        <w:spacing w:line="240" w:lineRule="auto" w:before="120" w:after="0"/>
        <w:ind w:left="1919" w:right="414" w:hanging="567"/>
        <w:jc w:val="both"/>
        <w:rPr>
          <w:sz w:val="24"/>
        </w:rPr>
      </w:pPr>
      <w:r>
        <w:rPr>
          <w:sz w:val="24"/>
        </w:rPr>
        <w:t>The </w:t>
      </w:r>
      <w:r>
        <w:rPr>
          <w:i/>
          <w:sz w:val="24"/>
        </w:rPr>
        <w:t>Transmission Network Service Provider </w:t>
      </w:r>
      <w:r>
        <w:rPr>
          <w:sz w:val="24"/>
        </w:rPr>
        <w:t>must consult with any </w:t>
      </w:r>
      <w:r>
        <w:rPr>
          <w:i/>
          <w:sz w:val="24"/>
        </w:rPr>
        <w:t>interested parties</w:t>
      </w:r>
      <w:r>
        <w:rPr>
          <w:sz w:val="24"/>
        </w:rPr>
        <w:t>, in accordance with the </w:t>
      </w:r>
      <w:r>
        <w:rPr>
          <w:i/>
          <w:sz w:val="24"/>
        </w:rPr>
        <w:t>Rules consultation procedures</w:t>
      </w:r>
      <w:r>
        <w:rPr>
          <w:sz w:val="24"/>
        </w:rPr>
        <w:t>, on any matter set out in the notice prepared in accordance with paragraph</w:t>
      </w:r>
      <w:r>
        <w:rPr>
          <w:spacing w:val="-11"/>
          <w:sz w:val="24"/>
        </w:rPr>
        <w:t> </w:t>
      </w:r>
      <w:r>
        <w:rPr>
          <w:sz w:val="24"/>
        </w:rPr>
        <w:t>(b).</w:t>
      </w:r>
    </w:p>
    <w:p>
      <w:pPr>
        <w:pStyle w:val="BodyText"/>
        <w:spacing w:before="10"/>
        <w:ind w:firstLine="0"/>
        <w:jc w:val="left"/>
        <w:rPr>
          <w:sz w:val="20"/>
        </w:rPr>
      </w:pPr>
    </w:p>
    <w:p>
      <w:pPr>
        <w:pStyle w:val="Heading3"/>
        <w:tabs>
          <w:tab w:pos="1351" w:val="left" w:leader="none"/>
        </w:tabs>
        <w:ind w:left="218" w:firstLine="0"/>
      </w:pPr>
      <w:bookmarkStart w:name="5.18A Generator connections" w:id="774"/>
      <w:bookmarkEnd w:id="774"/>
      <w:r>
        <w:rPr>
          <w:b w:val="0"/>
        </w:rPr>
      </w:r>
      <w:bookmarkStart w:name="_bookmark298" w:id="775"/>
      <w:bookmarkEnd w:id="775"/>
      <w:r>
        <w:rPr>
          <w:b w:val="0"/>
        </w:rPr>
      </w:r>
      <w:r>
        <w:rPr/>
        <w:t>5.18A</w:t>
        <w:tab/>
        <w:t>Generator</w:t>
      </w:r>
      <w:r>
        <w:rPr>
          <w:spacing w:val="-2"/>
        </w:rPr>
        <w:t> </w:t>
      </w:r>
      <w:r>
        <w:rPr/>
        <w:t>connections</w:t>
      </w:r>
    </w:p>
    <w:p>
      <w:pPr>
        <w:pStyle w:val="Heading4"/>
        <w:numPr>
          <w:ilvl w:val="1"/>
          <w:numId w:val="237"/>
        </w:numPr>
        <w:tabs>
          <w:tab w:pos="686" w:val="left" w:leader="none"/>
          <w:tab w:pos="1351" w:val="left" w:leader="none"/>
        </w:tabs>
        <w:spacing w:line="240" w:lineRule="auto" w:before="240" w:after="0"/>
        <w:ind w:left="686" w:right="0" w:hanging="468"/>
        <w:jc w:val="left"/>
      </w:pPr>
      <w:bookmarkStart w:name="5.18A.1 Definitions" w:id="776"/>
      <w:bookmarkEnd w:id="776"/>
      <w:r>
        <w:rPr>
          <w:b w:val="0"/>
        </w:rPr>
      </w:r>
      <w:bookmarkStart w:name="_bookmark299" w:id="777"/>
      <w:bookmarkEnd w:id="777"/>
      <w:r>
        <w:rPr>
          <w:b w:val="0"/>
        </w:rPr>
      </w:r>
      <w:bookmarkStart w:name="_bookmark299" w:id="778"/>
      <w:bookmarkEnd w:id="778"/>
      <w:r>
        <w:rPr/>
        <w:t>A.</w:t>
      </w:r>
      <w:r>
        <w:rPr/>
        <w:t>1</w:t>
        <w:tab/>
        <w:t>Definitions</w:t>
      </w:r>
    </w:p>
    <w:p>
      <w:pPr>
        <w:pStyle w:val="ListParagraph"/>
        <w:numPr>
          <w:ilvl w:val="2"/>
          <w:numId w:val="237"/>
        </w:numPr>
        <w:tabs>
          <w:tab w:pos="1919" w:val="left" w:leader="none"/>
        </w:tabs>
        <w:spacing w:line="240" w:lineRule="auto" w:before="120" w:after="0"/>
        <w:ind w:left="1918" w:right="0" w:hanging="567"/>
        <w:jc w:val="both"/>
        <w:rPr>
          <w:sz w:val="24"/>
        </w:rPr>
      </w:pPr>
      <w:r>
        <w:rPr>
          <w:sz w:val="24"/>
        </w:rPr>
        <w:t>In this rule</w:t>
      </w:r>
      <w:r>
        <w:rPr>
          <w:spacing w:val="-1"/>
          <w:sz w:val="24"/>
        </w:rPr>
        <w:t> </w:t>
      </w:r>
      <w:r>
        <w:rPr>
          <w:sz w:val="24"/>
        </w:rPr>
        <w:t>5.18A:</w:t>
      </w:r>
    </w:p>
    <w:p>
      <w:pPr>
        <w:pStyle w:val="BodyText"/>
        <w:ind w:left="1919" w:right="414" w:firstLine="0"/>
      </w:pPr>
      <w:r>
        <w:rPr>
          <w:b/>
        </w:rPr>
        <w:t>assessment date </w:t>
      </w:r>
      <w:r>
        <w:rPr/>
        <w:t>means, in respect of a new large generator connection, the first TAPR date that falls no earlier than 18 months after the commissioning date for that large generator connection.</w:t>
      </w:r>
    </w:p>
    <w:p>
      <w:pPr>
        <w:spacing w:before="120"/>
        <w:ind w:left="1919" w:right="414" w:firstLine="0"/>
        <w:jc w:val="both"/>
        <w:rPr>
          <w:sz w:val="24"/>
        </w:rPr>
      </w:pPr>
      <w:r>
        <w:rPr>
          <w:b/>
          <w:sz w:val="24"/>
        </w:rPr>
        <w:t>commissioning date </w:t>
      </w:r>
      <w:r>
        <w:rPr>
          <w:sz w:val="24"/>
        </w:rPr>
        <w:t>means, in respect of a new large generator connection, the date of commencement of commissioning of the </w:t>
      </w:r>
      <w:r>
        <w:rPr>
          <w:i/>
          <w:sz w:val="24"/>
        </w:rPr>
        <w:t>connection </w:t>
      </w:r>
      <w:r>
        <w:rPr>
          <w:sz w:val="24"/>
        </w:rPr>
        <w:t>and </w:t>
      </w:r>
      <w:r>
        <w:rPr>
          <w:i/>
          <w:sz w:val="24"/>
        </w:rPr>
        <w:t>connected facilities </w:t>
      </w:r>
      <w:r>
        <w:rPr>
          <w:sz w:val="24"/>
        </w:rPr>
        <w:t>of that large generator connection.</w:t>
      </w:r>
    </w:p>
    <w:p>
      <w:pPr>
        <w:spacing w:before="120"/>
        <w:ind w:left="1919" w:right="0" w:firstLine="0"/>
        <w:jc w:val="both"/>
        <w:rPr>
          <w:sz w:val="24"/>
        </w:rPr>
      </w:pPr>
      <w:r>
        <w:rPr>
          <w:b/>
          <w:sz w:val="24"/>
        </w:rPr>
        <w:t>connections register </w:t>
      </w:r>
      <w:r>
        <w:rPr>
          <w:sz w:val="24"/>
        </w:rPr>
        <w:t>has the meaning given in clause 5.18A.2.</w:t>
      </w:r>
    </w:p>
    <w:p>
      <w:pPr>
        <w:spacing w:before="120"/>
        <w:ind w:left="1919" w:right="0" w:firstLine="0"/>
        <w:jc w:val="both"/>
        <w:rPr>
          <w:sz w:val="24"/>
        </w:rPr>
      </w:pPr>
      <w:r>
        <w:rPr>
          <w:b/>
          <w:sz w:val="24"/>
        </w:rPr>
        <w:t>impact assessment </w:t>
      </w:r>
      <w:r>
        <w:rPr>
          <w:sz w:val="24"/>
        </w:rPr>
        <w:t>has the meaning given in clause 5.18A.3.</w:t>
      </w:r>
    </w:p>
    <w:p>
      <w:pPr>
        <w:spacing w:before="120"/>
        <w:ind w:left="1919" w:right="415" w:firstLine="0"/>
        <w:jc w:val="both"/>
        <w:rPr>
          <w:sz w:val="24"/>
        </w:rPr>
      </w:pPr>
      <w:r>
        <w:rPr>
          <w:b/>
          <w:sz w:val="24"/>
        </w:rPr>
        <w:t>large generator connection </w:t>
      </w:r>
      <w:r>
        <w:rPr>
          <w:sz w:val="24"/>
        </w:rPr>
        <w:t>means </w:t>
      </w:r>
      <w:r>
        <w:rPr>
          <w:i/>
          <w:sz w:val="24"/>
        </w:rPr>
        <w:t>generating units </w:t>
      </w:r>
      <w:r>
        <w:rPr>
          <w:sz w:val="24"/>
        </w:rPr>
        <w:t>that are owned, operated or controlled by a </w:t>
      </w:r>
      <w:r>
        <w:rPr>
          <w:i/>
          <w:sz w:val="24"/>
        </w:rPr>
        <w:t>Generator</w:t>
      </w:r>
      <w:r>
        <w:rPr>
          <w:sz w:val="24"/>
        </w:rPr>
        <w:t>, are </w:t>
      </w:r>
      <w:r>
        <w:rPr>
          <w:i/>
          <w:sz w:val="24"/>
        </w:rPr>
        <w:t>connected </w:t>
      </w:r>
      <w:r>
        <w:rPr>
          <w:sz w:val="24"/>
        </w:rPr>
        <w:t>to the </w:t>
      </w:r>
      <w:r>
        <w:rPr>
          <w:i/>
          <w:sz w:val="24"/>
        </w:rPr>
        <w:t>Transmission </w:t>
      </w:r>
      <w:r>
        <w:rPr>
          <w:i/>
          <w:sz w:val="24"/>
        </w:rPr>
        <w:t>Network Service Provider’s network</w:t>
      </w:r>
      <w:r>
        <w:rPr>
          <w:sz w:val="24"/>
        </w:rPr>
        <w:t>, and are above the relevant materiality threshold.</w:t>
      </w:r>
    </w:p>
    <w:p>
      <w:pPr>
        <w:spacing w:before="120"/>
        <w:ind w:left="1919" w:right="415" w:firstLine="0"/>
        <w:jc w:val="both"/>
        <w:rPr>
          <w:sz w:val="24"/>
        </w:rPr>
      </w:pPr>
      <w:r>
        <w:rPr>
          <w:b/>
          <w:sz w:val="24"/>
        </w:rPr>
        <w:t>TAPR date </w:t>
      </w:r>
      <w:r>
        <w:rPr>
          <w:sz w:val="24"/>
        </w:rPr>
        <w:t>means the date under clause 5.12.2 by which a </w:t>
      </w:r>
      <w:r>
        <w:rPr>
          <w:i/>
          <w:sz w:val="24"/>
        </w:rPr>
        <w:t>Transmission </w:t>
      </w:r>
      <w:r>
        <w:rPr>
          <w:i/>
          <w:sz w:val="24"/>
        </w:rPr>
        <w:t>Network Service Provider </w:t>
      </w:r>
      <w:r>
        <w:rPr>
          <w:sz w:val="24"/>
        </w:rPr>
        <w:t>must </w:t>
      </w:r>
      <w:r>
        <w:rPr>
          <w:i/>
          <w:sz w:val="24"/>
        </w:rPr>
        <w:t>publish </w:t>
      </w:r>
      <w:r>
        <w:rPr>
          <w:sz w:val="24"/>
        </w:rPr>
        <w:t>its </w:t>
      </w:r>
      <w:r>
        <w:rPr>
          <w:i/>
          <w:sz w:val="24"/>
        </w:rPr>
        <w:t>Transmission Annual Planning </w:t>
      </w:r>
      <w:r>
        <w:rPr>
          <w:i/>
          <w:sz w:val="24"/>
        </w:rPr>
        <w:t>Report</w:t>
      </w:r>
      <w:r>
        <w:rPr>
          <w:sz w:val="24"/>
        </w:rPr>
        <w:t>.</w:t>
      </w:r>
    </w:p>
    <w:p>
      <w:pPr>
        <w:pStyle w:val="BodyText"/>
        <w:spacing w:before="10"/>
        <w:ind w:firstLine="0"/>
        <w:jc w:val="left"/>
        <w:rPr>
          <w:sz w:val="20"/>
        </w:rPr>
      </w:pPr>
    </w:p>
    <w:p>
      <w:pPr>
        <w:pStyle w:val="Heading4"/>
        <w:numPr>
          <w:ilvl w:val="1"/>
          <w:numId w:val="238"/>
        </w:numPr>
        <w:tabs>
          <w:tab w:pos="686" w:val="left" w:leader="none"/>
          <w:tab w:pos="1351" w:val="left" w:leader="none"/>
        </w:tabs>
        <w:spacing w:line="240" w:lineRule="auto" w:before="0" w:after="0"/>
        <w:ind w:left="686" w:right="0" w:hanging="468"/>
        <w:jc w:val="left"/>
      </w:pPr>
      <w:bookmarkStart w:name="5.18A.2 Register of generator connection" w:id="779"/>
      <w:bookmarkEnd w:id="779"/>
      <w:r>
        <w:rPr>
          <w:b w:val="0"/>
        </w:rPr>
      </w:r>
      <w:bookmarkStart w:name="_bookmark300" w:id="780"/>
      <w:bookmarkEnd w:id="780"/>
      <w:r>
        <w:rPr>
          <w:b w:val="0"/>
        </w:rPr>
      </w:r>
      <w:bookmarkStart w:name="_bookmark300" w:id="781"/>
      <w:bookmarkEnd w:id="781"/>
      <w:r>
        <w:rPr/>
        <w:t>A.</w:t>
      </w:r>
      <w:r>
        <w:rPr/>
        <w:t>2</w:t>
        <w:tab/>
        <w:t>Register of generator</w:t>
      </w:r>
      <w:r>
        <w:rPr>
          <w:spacing w:val="-1"/>
        </w:rPr>
        <w:t> </w:t>
      </w:r>
      <w:r>
        <w:rPr/>
        <w:t>connections</w:t>
      </w:r>
    </w:p>
    <w:p>
      <w:pPr>
        <w:pStyle w:val="ListParagraph"/>
        <w:numPr>
          <w:ilvl w:val="2"/>
          <w:numId w:val="238"/>
        </w:numPr>
        <w:tabs>
          <w:tab w:pos="1919" w:val="left" w:leader="none"/>
        </w:tabs>
        <w:spacing w:line="240" w:lineRule="auto" w:before="120" w:after="0"/>
        <w:ind w:left="1919" w:right="415" w:hanging="567"/>
        <w:jc w:val="both"/>
        <w:rPr>
          <w:sz w:val="24"/>
        </w:rPr>
      </w:pPr>
      <w:r>
        <w:rPr>
          <w:sz w:val="24"/>
        </w:rPr>
        <w:t>A </w:t>
      </w:r>
      <w:r>
        <w:rPr>
          <w:i/>
          <w:sz w:val="24"/>
        </w:rPr>
        <w:t>Transmission Network Service Provider </w:t>
      </w:r>
      <w:r>
        <w:rPr>
          <w:sz w:val="24"/>
        </w:rPr>
        <w:t>must establish, maintain and publish, on its website, a register of information regarding </w:t>
      </w:r>
      <w:r>
        <w:rPr>
          <w:i/>
          <w:sz w:val="24"/>
        </w:rPr>
        <w:t>Generator </w:t>
      </w:r>
      <w:r>
        <w:rPr>
          <w:i/>
          <w:sz w:val="24"/>
        </w:rPr>
        <w:t>connections </w:t>
      </w:r>
      <w:r>
        <w:rPr>
          <w:sz w:val="24"/>
        </w:rPr>
        <w:t>on its </w:t>
      </w:r>
      <w:r>
        <w:rPr>
          <w:i/>
          <w:sz w:val="24"/>
        </w:rPr>
        <w:t>network </w:t>
      </w:r>
      <w:r>
        <w:rPr>
          <w:sz w:val="24"/>
        </w:rPr>
        <w:t>(a </w:t>
      </w:r>
      <w:r>
        <w:rPr>
          <w:b/>
          <w:sz w:val="24"/>
        </w:rPr>
        <w:t>connections register</w:t>
      </w:r>
      <w:r>
        <w:rPr>
          <w:sz w:val="24"/>
        </w:rPr>
        <w:t>), including but not limited to the following information in respect of each </w:t>
      </w:r>
      <w:r>
        <w:rPr>
          <w:i/>
          <w:sz w:val="24"/>
        </w:rPr>
        <w:t>Generator </w:t>
      </w:r>
      <w:r>
        <w:rPr>
          <w:i/>
          <w:sz w:val="24"/>
        </w:rPr>
        <w:t>connection</w:t>
      </w:r>
      <w:r>
        <w:rPr>
          <w:sz w:val="24"/>
        </w:rPr>
        <w:t>:</w:t>
      </w:r>
    </w:p>
    <w:p>
      <w:pPr>
        <w:pStyle w:val="ListParagraph"/>
        <w:numPr>
          <w:ilvl w:val="3"/>
          <w:numId w:val="238"/>
        </w:numPr>
        <w:tabs>
          <w:tab w:pos="2486" w:val="left" w:leader="none"/>
        </w:tabs>
        <w:spacing w:line="240" w:lineRule="auto" w:before="120" w:after="0"/>
        <w:ind w:left="2485" w:right="0" w:hanging="567"/>
        <w:jc w:val="both"/>
        <w:rPr>
          <w:sz w:val="24"/>
        </w:rPr>
      </w:pPr>
      <w:r>
        <w:rPr>
          <w:sz w:val="24"/>
        </w:rPr>
        <w:t>location of the </w:t>
      </w:r>
      <w:r>
        <w:rPr>
          <w:i/>
          <w:sz w:val="24"/>
        </w:rPr>
        <w:t>connection point </w:t>
      </w:r>
      <w:r>
        <w:rPr>
          <w:sz w:val="24"/>
        </w:rPr>
        <w:t>for the </w:t>
      </w:r>
      <w:r>
        <w:rPr>
          <w:i/>
          <w:sz w:val="24"/>
        </w:rPr>
        <w:t>Generator</w:t>
      </w:r>
      <w:r>
        <w:rPr>
          <w:i/>
          <w:spacing w:val="-5"/>
          <w:sz w:val="24"/>
        </w:rPr>
        <w:t> </w:t>
      </w:r>
      <w:r>
        <w:rPr>
          <w:i/>
          <w:sz w:val="24"/>
        </w:rPr>
        <w:t>connection</w:t>
      </w:r>
      <w:r>
        <w:rPr>
          <w:sz w:val="24"/>
        </w:rPr>
        <w:t>;</w:t>
      </w:r>
    </w:p>
    <w:p>
      <w:pPr>
        <w:pStyle w:val="ListParagraph"/>
        <w:numPr>
          <w:ilvl w:val="3"/>
          <w:numId w:val="238"/>
        </w:numPr>
        <w:tabs>
          <w:tab w:pos="2486" w:val="left" w:leader="none"/>
        </w:tabs>
        <w:spacing w:line="240" w:lineRule="auto" w:before="120" w:after="0"/>
        <w:ind w:left="2486" w:right="415" w:hanging="567"/>
        <w:jc w:val="both"/>
        <w:rPr>
          <w:sz w:val="24"/>
        </w:rPr>
      </w:pPr>
      <w:r>
        <w:rPr>
          <w:sz w:val="24"/>
        </w:rPr>
        <w:t>person who is licensed by the </w:t>
      </w:r>
      <w:r>
        <w:rPr>
          <w:i/>
          <w:sz w:val="24"/>
        </w:rPr>
        <w:t>Utilities Commission </w:t>
      </w:r>
      <w:r>
        <w:rPr>
          <w:sz w:val="24"/>
        </w:rPr>
        <w:t>as a </w:t>
      </w:r>
      <w:r>
        <w:rPr>
          <w:i/>
          <w:sz w:val="24"/>
        </w:rPr>
        <w:t>Generator </w:t>
      </w:r>
      <w:r>
        <w:rPr>
          <w:sz w:val="24"/>
        </w:rPr>
        <w:t>in respect of the </w:t>
      </w:r>
      <w:r>
        <w:rPr>
          <w:i/>
          <w:sz w:val="24"/>
        </w:rPr>
        <w:t>Generator connection </w:t>
      </w:r>
      <w:r>
        <w:rPr>
          <w:sz w:val="24"/>
        </w:rPr>
        <w:t>at that </w:t>
      </w:r>
      <w:r>
        <w:rPr>
          <w:i/>
          <w:sz w:val="24"/>
        </w:rPr>
        <w:t>connection</w:t>
      </w:r>
      <w:r>
        <w:rPr>
          <w:i/>
          <w:spacing w:val="-5"/>
          <w:sz w:val="24"/>
        </w:rPr>
        <w:t> </w:t>
      </w:r>
      <w:r>
        <w:rPr>
          <w:i/>
          <w:sz w:val="24"/>
        </w:rPr>
        <w:t>point</w:t>
      </w:r>
      <w:r>
        <w:rPr>
          <w:sz w:val="24"/>
        </w:rPr>
        <w:t>;</w:t>
      </w:r>
    </w:p>
    <w:p>
      <w:pPr>
        <w:pStyle w:val="ListParagraph"/>
        <w:numPr>
          <w:ilvl w:val="3"/>
          <w:numId w:val="238"/>
        </w:numPr>
        <w:tabs>
          <w:tab w:pos="2486" w:val="left" w:leader="none"/>
        </w:tabs>
        <w:spacing w:line="240" w:lineRule="auto" w:before="120" w:after="0"/>
        <w:ind w:left="2486" w:right="415" w:hanging="567"/>
        <w:jc w:val="both"/>
        <w:rPr>
          <w:sz w:val="24"/>
        </w:rPr>
      </w:pPr>
      <w:r>
        <w:rPr>
          <w:sz w:val="24"/>
        </w:rPr>
        <w:t>technology of the </w:t>
      </w:r>
      <w:r>
        <w:rPr>
          <w:i/>
          <w:sz w:val="24"/>
        </w:rPr>
        <w:t>generating units </w:t>
      </w:r>
      <w:r>
        <w:rPr>
          <w:sz w:val="24"/>
        </w:rPr>
        <w:t>(for example, hydro, open </w:t>
      </w:r>
      <w:r>
        <w:rPr>
          <w:spacing w:val="-4"/>
          <w:sz w:val="24"/>
        </w:rPr>
        <w:t>cycle</w:t>
      </w:r>
      <w:r>
        <w:rPr>
          <w:spacing w:val="52"/>
          <w:sz w:val="24"/>
        </w:rPr>
        <w:t> </w:t>
      </w:r>
      <w:r>
        <w:rPr>
          <w:sz w:val="24"/>
        </w:rPr>
        <w:t>gas turbine, and steam</w:t>
      </w:r>
      <w:r>
        <w:rPr>
          <w:spacing w:val="-2"/>
          <w:sz w:val="24"/>
        </w:rPr>
        <w:t> </w:t>
      </w:r>
      <w:r>
        <w:rPr>
          <w:sz w:val="24"/>
        </w:rPr>
        <w:t>sub-critical);</w:t>
      </w:r>
    </w:p>
    <w:p>
      <w:pPr>
        <w:pStyle w:val="ListParagraph"/>
        <w:numPr>
          <w:ilvl w:val="3"/>
          <w:numId w:val="238"/>
        </w:numPr>
        <w:tabs>
          <w:tab w:pos="2486" w:val="left" w:leader="none"/>
        </w:tabs>
        <w:spacing w:line="240" w:lineRule="auto" w:before="120" w:after="0"/>
        <w:ind w:left="2485" w:right="0" w:hanging="567"/>
        <w:jc w:val="both"/>
        <w:rPr>
          <w:sz w:val="24"/>
        </w:rPr>
      </w:pPr>
      <w:r>
        <w:rPr>
          <w:sz w:val="24"/>
        </w:rPr>
        <w:t>aggregate </w:t>
      </w:r>
      <w:r>
        <w:rPr>
          <w:i/>
          <w:sz w:val="24"/>
        </w:rPr>
        <w:t>nameplate rating </w:t>
      </w:r>
      <w:r>
        <w:rPr>
          <w:sz w:val="24"/>
        </w:rPr>
        <w:t>capacity of all </w:t>
      </w:r>
      <w:r>
        <w:rPr>
          <w:i/>
          <w:sz w:val="24"/>
        </w:rPr>
        <w:t>connected generating</w:t>
      </w:r>
      <w:r>
        <w:rPr>
          <w:i/>
          <w:spacing w:val="-6"/>
          <w:sz w:val="24"/>
        </w:rPr>
        <w:t> </w:t>
      </w:r>
      <w:r>
        <w:rPr>
          <w:i/>
          <w:sz w:val="24"/>
        </w:rPr>
        <w:t>units</w:t>
      </w:r>
      <w:r>
        <w:rPr>
          <w:sz w:val="24"/>
        </w:rPr>
        <w:t>;</w:t>
      </w:r>
    </w:p>
    <w:p>
      <w:pPr>
        <w:pStyle w:val="ListParagraph"/>
        <w:numPr>
          <w:ilvl w:val="3"/>
          <w:numId w:val="238"/>
        </w:numPr>
        <w:tabs>
          <w:tab w:pos="2486" w:val="left" w:leader="none"/>
        </w:tabs>
        <w:spacing w:line="240" w:lineRule="auto" w:before="120" w:after="0"/>
        <w:ind w:left="2486" w:right="415" w:hanging="567"/>
        <w:jc w:val="both"/>
        <w:rPr>
          <w:sz w:val="24"/>
        </w:rPr>
      </w:pPr>
      <w:r>
        <w:rPr>
          <w:sz w:val="24"/>
        </w:rPr>
        <w:t>date of cessation of a person’s licence as </w:t>
      </w:r>
      <w:r>
        <w:rPr>
          <w:i/>
          <w:sz w:val="24"/>
        </w:rPr>
        <w:t>Generator </w:t>
      </w:r>
      <w:r>
        <w:rPr>
          <w:sz w:val="24"/>
        </w:rPr>
        <w:t>in respect of the </w:t>
      </w:r>
      <w:r>
        <w:rPr>
          <w:i/>
          <w:sz w:val="24"/>
        </w:rPr>
        <w:t>Generator connection</w:t>
      </w:r>
      <w:r>
        <w:rPr>
          <w:sz w:val="24"/>
        </w:rPr>
        <w:t>, or date of cessation of an exemption to hold such a licence applying in relation to a person, where relevant;</w:t>
      </w:r>
      <w:r>
        <w:rPr>
          <w:spacing w:val="-9"/>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3"/>
          <w:numId w:val="238"/>
        </w:numPr>
        <w:tabs>
          <w:tab w:pos="2486" w:val="left" w:leader="none"/>
        </w:tabs>
        <w:spacing w:line="240" w:lineRule="auto" w:before="83" w:after="0"/>
        <w:ind w:left="2486" w:right="414" w:hanging="567"/>
        <w:jc w:val="both"/>
        <w:rPr>
          <w:sz w:val="24"/>
        </w:rPr>
      </w:pPr>
      <w:r>
        <w:rPr>
          <w:sz w:val="24"/>
        </w:rPr>
        <w:t>in the case of a large generator connection, the impact assessment of that large generator connection, prepared in accordance with clause 5.18A.3 (if any).</w:t>
      </w:r>
    </w:p>
    <w:p>
      <w:pPr>
        <w:pStyle w:val="ListParagraph"/>
        <w:numPr>
          <w:ilvl w:val="2"/>
          <w:numId w:val="238"/>
        </w:numPr>
        <w:tabs>
          <w:tab w:pos="1919" w:val="left" w:leader="none"/>
        </w:tabs>
        <w:spacing w:line="240" w:lineRule="auto" w:before="120" w:after="0"/>
        <w:ind w:left="1919" w:right="415" w:hanging="567"/>
        <w:jc w:val="both"/>
        <w:rPr>
          <w:sz w:val="24"/>
        </w:rPr>
      </w:pPr>
      <w:r>
        <w:rPr>
          <w:sz w:val="24"/>
        </w:rPr>
        <w:t>Subject to satisfying any relevant exemptions contained in clause 8.6.2, the </w:t>
      </w:r>
      <w:r>
        <w:rPr>
          <w:i/>
          <w:sz w:val="24"/>
        </w:rPr>
        <w:t>Transmission Network Service Provider </w:t>
      </w:r>
      <w:r>
        <w:rPr>
          <w:sz w:val="24"/>
        </w:rPr>
        <w:t>must not publish </w:t>
      </w:r>
      <w:r>
        <w:rPr>
          <w:i/>
          <w:sz w:val="24"/>
        </w:rPr>
        <w:t>confidential </w:t>
      </w:r>
      <w:r>
        <w:rPr>
          <w:i/>
          <w:sz w:val="24"/>
        </w:rPr>
        <w:t>information </w:t>
      </w:r>
      <w:r>
        <w:rPr>
          <w:sz w:val="24"/>
        </w:rPr>
        <w:t>as part of, or in connection with, the connections</w:t>
      </w:r>
      <w:r>
        <w:rPr>
          <w:spacing w:val="-3"/>
          <w:sz w:val="24"/>
        </w:rPr>
        <w:t> </w:t>
      </w:r>
      <w:r>
        <w:rPr>
          <w:sz w:val="24"/>
        </w:rPr>
        <w:t>register.</w:t>
      </w:r>
    </w:p>
    <w:p>
      <w:pPr>
        <w:pStyle w:val="ListParagraph"/>
        <w:numPr>
          <w:ilvl w:val="2"/>
          <w:numId w:val="238"/>
        </w:numPr>
        <w:tabs>
          <w:tab w:pos="1919" w:val="left" w:leader="none"/>
        </w:tabs>
        <w:spacing w:line="240" w:lineRule="auto" w:before="120" w:after="0"/>
        <w:ind w:left="1918" w:right="0" w:hanging="567"/>
        <w:jc w:val="both"/>
        <w:rPr>
          <w:sz w:val="24"/>
        </w:rPr>
      </w:pPr>
      <w:r>
        <w:rPr>
          <w:sz w:val="24"/>
        </w:rPr>
        <w:t>The </w:t>
      </w:r>
      <w:r>
        <w:rPr>
          <w:i/>
          <w:sz w:val="24"/>
        </w:rPr>
        <w:t>Transmission Network Service Provider</w:t>
      </w:r>
      <w:r>
        <w:rPr>
          <w:i/>
          <w:spacing w:val="-3"/>
          <w:sz w:val="24"/>
        </w:rPr>
        <w:t> </w:t>
      </w:r>
      <w:r>
        <w:rPr>
          <w:sz w:val="24"/>
        </w:rPr>
        <w:t>must:</w:t>
      </w:r>
    </w:p>
    <w:p>
      <w:pPr>
        <w:pStyle w:val="ListParagraph"/>
        <w:numPr>
          <w:ilvl w:val="3"/>
          <w:numId w:val="238"/>
        </w:numPr>
        <w:tabs>
          <w:tab w:pos="2486" w:val="left" w:leader="none"/>
        </w:tabs>
        <w:spacing w:line="240" w:lineRule="auto" w:before="120" w:after="0"/>
        <w:ind w:left="2486" w:right="414" w:hanging="567"/>
        <w:jc w:val="both"/>
        <w:rPr>
          <w:sz w:val="24"/>
        </w:rPr>
      </w:pPr>
      <w:r>
        <w:rPr>
          <w:sz w:val="24"/>
        </w:rPr>
        <w:t>include in the first connections register the details contained </w:t>
      </w:r>
      <w:r>
        <w:rPr>
          <w:spacing w:val="-6"/>
          <w:sz w:val="24"/>
        </w:rPr>
        <w:t>in </w:t>
      </w:r>
      <w:r>
        <w:rPr>
          <w:sz w:val="24"/>
        </w:rPr>
        <w:t>subparagraphs (a)(1) to (5), for all </w:t>
      </w:r>
      <w:r>
        <w:rPr>
          <w:i/>
          <w:sz w:val="24"/>
        </w:rPr>
        <w:t>Generator connections </w:t>
      </w:r>
      <w:r>
        <w:rPr>
          <w:sz w:val="24"/>
        </w:rPr>
        <w:t>on its </w:t>
      </w:r>
      <w:r>
        <w:rPr>
          <w:i/>
          <w:sz w:val="24"/>
        </w:rPr>
        <w:t>network </w:t>
      </w:r>
      <w:r>
        <w:rPr>
          <w:sz w:val="24"/>
        </w:rPr>
        <w:t>with a commissioning date after 1 July 2019;</w:t>
      </w:r>
      <w:r>
        <w:rPr>
          <w:spacing w:val="-5"/>
          <w:sz w:val="24"/>
        </w:rPr>
        <w:t> </w:t>
      </w:r>
      <w:r>
        <w:rPr>
          <w:sz w:val="24"/>
        </w:rPr>
        <w:t>and</w:t>
      </w:r>
    </w:p>
    <w:p>
      <w:pPr>
        <w:pStyle w:val="ListParagraph"/>
        <w:numPr>
          <w:ilvl w:val="3"/>
          <w:numId w:val="238"/>
        </w:numPr>
        <w:tabs>
          <w:tab w:pos="2486" w:val="left" w:leader="none"/>
        </w:tabs>
        <w:spacing w:line="240" w:lineRule="auto" w:before="120" w:after="0"/>
        <w:ind w:left="2486" w:right="415" w:hanging="567"/>
        <w:jc w:val="both"/>
        <w:rPr>
          <w:sz w:val="24"/>
        </w:rPr>
      </w:pPr>
      <w:r>
        <w:rPr>
          <w:sz w:val="24"/>
        </w:rPr>
        <w:t>by the TAPR date each year, update the connections register to include:</w:t>
      </w:r>
    </w:p>
    <w:p>
      <w:pPr>
        <w:pStyle w:val="ListParagraph"/>
        <w:numPr>
          <w:ilvl w:val="4"/>
          <w:numId w:val="238"/>
        </w:numPr>
        <w:tabs>
          <w:tab w:pos="3053" w:val="left" w:leader="none"/>
        </w:tabs>
        <w:spacing w:line="240" w:lineRule="auto" w:before="120" w:after="0"/>
        <w:ind w:left="3052" w:right="0" w:hanging="567"/>
        <w:jc w:val="both"/>
        <w:rPr>
          <w:sz w:val="24"/>
        </w:rPr>
      </w:pPr>
      <w:r>
        <w:rPr>
          <w:sz w:val="24"/>
        </w:rPr>
        <w:t>the</w:t>
      </w:r>
      <w:r>
        <w:rPr>
          <w:spacing w:val="26"/>
          <w:sz w:val="24"/>
        </w:rPr>
        <w:t> </w:t>
      </w:r>
      <w:r>
        <w:rPr>
          <w:sz w:val="24"/>
        </w:rPr>
        <w:t>details</w:t>
      </w:r>
      <w:r>
        <w:rPr>
          <w:spacing w:val="26"/>
          <w:sz w:val="24"/>
        </w:rPr>
        <w:t> </w:t>
      </w:r>
      <w:r>
        <w:rPr>
          <w:sz w:val="24"/>
        </w:rPr>
        <w:t>contained</w:t>
      </w:r>
      <w:r>
        <w:rPr>
          <w:spacing w:val="26"/>
          <w:sz w:val="24"/>
        </w:rPr>
        <w:t> </w:t>
      </w:r>
      <w:r>
        <w:rPr>
          <w:sz w:val="24"/>
        </w:rPr>
        <w:t>in</w:t>
      </w:r>
      <w:r>
        <w:rPr>
          <w:spacing w:val="26"/>
          <w:sz w:val="24"/>
        </w:rPr>
        <w:t> </w:t>
      </w:r>
      <w:r>
        <w:rPr>
          <w:sz w:val="24"/>
        </w:rPr>
        <w:t>subparagraphs</w:t>
      </w:r>
      <w:r>
        <w:rPr>
          <w:spacing w:val="26"/>
          <w:sz w:val="24"/>
        </w:rPr>
        <w:t> </w:t>
      </w:r>
      <w:r>
        <w:rPr>
          <w:sz w:val="24"/>
        </w:rPr>
        <w:t>(a)(1)</w:t>
      </w:r>
      <w:r>
        <w:rPr>
          <w:spacing w:val="26"/>
          <w:sz w:val="24"/>
        </w:rPr>
        <w:t> </w:t>
      </w:r>
      <w:r>
        <w:rPr>
          <w:sz w:val="24"/>
        </w:rPr>
        <w:t>to</w:t>
      </w:r>
      <w:r>
        <w:rPr>
          <w:spacing w:val="26"/>
          <w:sz w:val="24"/>
        </w:rPr>
        <w:t> </w:t>
      </w:r>
      <w:r>
        <w:rPr>
          <w:sz w:val="24"/>
        </w:rPr>
        <w:t>(6)</w:t>
      </w:r>
      <w:r>
        <w:rPr>
          <w:spacing w:val="27"/>
          <w:sz w:val="24"/>
        </w:rPr>
        <w:t> </w:t>
      </w:r>
      <w:r>
        <w:rPr>
          <w:sz w:val="24"/>
        </w:rPr>
        <w:t>for</w:t>
      </w:r>
      <w:r>
        <w:rPr>
          <w:spacing w:val="26"/>
          <w:sz w:val="24"/>
        </w:rPr>
        <w:t> </w:t>
      </w:r>
      <w:r>
        <w:rPr>
          <w:sz w:val="24"/>
        </w:rPr>
        <w:t>all</w:t>
      </w:r>
      <w:r>
        <w:rPr>
          <w:spacing w:val="26"/>
          <w:sz w:val="24"/>
        </w:rPr>
        <w:t> </w:t>
      </w:r>
      <w:r>
        <w:rPr>
          <w:sz w:val="24"/>
        </w:rPr>
        <w:t>new</w:t>
      </w:r>
    </w:p>
    <w:p>
      <w:pPr>
        <w:spacing w:before="0"/>
        <w:ind w:left="3053" w:right="0" w:firstLine="0"/>
        <w:jc w:val="both"/>
        <w:rPr>
          <w:sz w:val="24"/>
        </w:rPr>
      </w:pPr>
      <w:r>
        <w:rPr>
          <w:i/>
          <w:sz w:val="24"/>
        </w:rPr>
        <w:t>Generator connections </w:t>
      </w:r>
      <w:r>
        <w:rPr>
          <w:sz w:val="24"/>
        </w:rPr>
        <w:t>on its </w:t>
      </w:r>
      <w:r>
        <w:rPr>
          <w:i/>
          <w:sz w:val="24"/>
        </w:rPr>
        <w:t>network</w:t>
      </w:r>
      <w:r>
        <w:rPr>
          <w:sz w:val="24"/>
        </w:rPr>
        <w:t>; and</w:t>
      </w:r>
    </w:p>
    <w:p>
      <w:pPr>
        <w:pStyle w:val="ListParagraph"/>
        <w:numPr>
          <w:ilvl w:val="4"/>
          <w:numId w:val="238"/>
        </w:numPr>
        <w:tabs>
          <w:tab w:pos="3054" w:val="left" w:leader="none"/>
        </w:tabs>
        <w:spacing w:line="240" w:lineRule="auto" w:before="120" w:after="0"/>
        <w:ind w:left="3053" w:right="414" w:hanging="567"/>
        <w:jc w:val="both"/>
        <w:rPr>
          <w:sz w:val="24"/>
        </w:rPr>
      </w:pPr>
      <w:r>
        <w:rPr>
          <w:sz w:val="24"/>
        </w:rPr>
        <w:t>updated information for all </w:t>
      </w:r>
      <w:r>
        <w:rPr>
          <w:i/>
          <w:sz w:val="24"/>
        </w:rPr>
        <w:t>Generator connections </w:t>
      </w:r>
      <w:r>
        <w:rPr>
          <w:sz w:val="24"/>
        </w:rPr>
        <w:t>contained in the connections register where the information listed in subparagraphs (a)(1)-(5) has</w:t>
      </w:r>
      <w:r>
        <w:rPr>
          <w:spacing w:val="-2"/>
          <w:sz w:val="24"/>
        </w:rPr>
        <w:t> </w:t>
      </w:r>
      <w:r>
        <w:rPr>
          <w:sz w:val="24"/>
        </w:rPr>
        <w:t>changed.</w:t>
      </w:r>
    </w:p>
    <w:p>
      <w:pPr>
        <w:pStyle w:val="BodyText"/>
        <w:spacing w:before="10"/>
        <w:ind w:firstLine="0"/>
        <w:jc w:val="left"/>
        <w:rPr>
          <w:sz w:val="20"/>
        </w:rPr>
      </w:pPr>
    </w:p>
    <w:p>
      <w:pPr>
        <w:pStyle w:val="Heading4"/>
        <w:numPr>
          <w:ilvl w:val="1"/>
          <w:numId w:val="239"/>
        </w:numPr>
        <w:tabs>
          <w:tab w:pos="686" w:val="left" w:leader="none"/>
          <w:tab w:pos="1351" w:val="left" w:leader="none"/>
        </w:tabs>
        <w:spacing w:line="240" w:lineRule="auto" w:before="0" w:after="0"/>
        <w:ind w:left="686" w:right="0" w:hanging="468"/>
        <w:jc w:val="left"/>
      </w:pPr>
      <w:bookmarkStart w:name="5.18A.3 Impact assessment of large gener" w:id="782"/>
      <w:bookmarkEnd w:id="782"/>
      <w:r>
        <w:rPr>
          <w:b w:val="0"/>
        </w:rPr>
      </w:r>
      <w:bookmarkStart w:name="_bookmark301" w:id="783"/>
      <w:bookmarkEnd w:id="783"/>
      <w:r>
        <w:rPr>
          <w:b w:val="0"/>
        </w:rPr>
      </w:r>
      <w:bookmarkStart w:name="_bookmark301" w:id="784"/>
      <w:bookmarkEnd w:id="784"/>
      <w:r>
        <w:rPr/>
        <w:t>A.</w:t>
      </w:r>
      <w:r>
        <w:rPr/>
        <w:t>3</w:t>
        <w:tab/>
        <w:t>Impact assessment of large generator</w:t>
      </w:r>
      <w:r>
        <w:rPr>
          <w:spacing w:val="-6"/>
        </w:rPr>
        <w:t> </w:t>
      </w:r>
      <w:r>
        <w:rPr/>
        <w:t>connections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 (d)(1) of this clause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this paragraph will be revisited as part of the phased implementation of the </w:t>
      </w:r>
      <w:r>
        <w:rPr>
          <w:i/>
          <w:sz w:val="20"/>
        </w:rPr>
        <w:t>Rules </w:t>
      </w:r>
      <w:r>
        <w:rPr>
          <w:sz w:val="20"/>
        </w:rPr>
        <w:t>in this jurisdiction.</w:t>
      </w:r>
    </w:p>
    <w:p>
      <w:pPr>
        <w:pStyle w:val="ListParagraph"/>
        <w:numPr>
          <w:ilvl w:val="2"/>
          <w:numId w:val="239"/>
        </w:numPr>
        <w:tabs>
          <w:tab w:pos="1919" w:val="left" w:leader="none"/>
        </w:tabs>
        <w:spacing w:line="240" w:lineRule="auto" w:before="120" w:after="0"/>
        <w:ind w:left="1919" w:right="415" w:hanging="567"/>
        <w:jc w:val="both"/>
        <w:rPr>
          <w:sz w:val="24"/>
        </w:rPr>
      </w:pPr>
      <w:r>
        <w:rPr>
          <w:sz w:val="24"/>
        </w:rPr>
        <w:t>Following the commissioning date of a new large generator connection on a </w:t>
      </w:r>
      <w:r>
        <w:rPr>
          <w:i/>
          <w:sz w:val="24"/>
        </w:rPr>
        <w:t>Transmission Network Service Provider’s network</w:t>
      </w:r>
      <w:r>
        <w:rPr>
          <w:sz w:val="24"/>
        </w:rPr>
        <w:t>, the </w:t>
      </w:r>
      <w:r>
        <w:rPr>
          <w:i/>
          <w:sz w:val="24"/>
        </w:rPr>
        <w:t>Transmission </w:t>
      </w:r>
      <w:r>
        <w:rPr>
          <w:i/>
          <w:sz w:val="24"/>
        </w:rPr>
        <w:t>Network Service Provider</w:t>
      </w:r>
      <w:r>
        <w:rPr>
          <w:i/>
          <w:spacing w:val="-1"/>
          <w:sz w:val="24"/>
        </w:rPr>
        <w:t> </w:t>
      </w:r>
      <w:r>
        <w:rPr>
          <w:sz w:val="24"/>
        </w:rPr>
        <w:t>must:</w:t>
      </w:r>
    </w:p>
    <w:p>
      <w:pPr>
        <w:pStyle w:val="ListParagraph"/>
        <w:numPr>
          <w:ilvl w:val="3"/>
          <w:numId w:val="239"/>
        </w:numPr>
        <w:tabs>
          <w:tab w:pos="2486" w:val="left" w:leader="none"/>
        </w:tabs>
        <w:spacing w:line="240" w:lineRule="auto" w:before="120" w:after="0"/>
        <w:ind w:left="2486" w:right="415" w:hanging="567"/>
        <w:jc w:val="both"/>
        <w:rPr>
          <w:sz w:val="24"/>
        </w:rPr>
      </w:pPr>
      <w:r>
        <w:rPr>
          <w:sz w:val="24"/>
        </w:rPr>
        <w:t>determine whether that large generator connection is likely to have a material impact on its transmission network;</w:t>
      </w:r>
      <w:r>
        <w:rPr>
          <w:spacing w:val="-2"/>
          <w:sz w:val="24"/>
        </w:rPr>
        <w:t> </w:t>
      </w:r>
      <w:r>
        <w:rPr>
          <w:sz w:val="24"/>
        </w:rPr>
        <w:t>and</w:t>
      </w:r>
    </w:p>
    <w:p>
      <w:pPr>
        <w:pStyle w:val="ListParagraph"/>
        <w:numPr>
          <w:ilvl w:val="3"/>
          <w:numId w:val="239"/>
        </w:numPr>
        <w:tabs>
          <w:tab w:pos="2486" w:val="left" w:leader="none"/>
        </w:tabs>
        <w:spacing w:line="240" w:lineRule="auto" w:before="120" w:after="0"/>
        <w:ind w:left="2486" w:right="414" w:hanging="567"/>
        <w:jc w:val="both"/>
        <w:rPr>
          <w:sz w:val="24"/>
        </w:rPr>
      </w:pPr>
      <w:r>
        <w:rPr>
          <w:sz w:val="24"/>
        </w:rPr>
        <w:t>if the Transmission Network Service Provider determines that large generator connection is likely to have a material impact on its </w:t>
      </w:r>
      <w:r>
        <w:rPr>
          <w:i/>
          <w:sz w:val="24"/>
        </w:rPr>
        <w:t>transmission network</w:t>
      </w:r>
      <w:r>
        <w:rPr>
          <w:sz w:val="24"/>
        </w:rPr>
        <w:t>, prepare an assessment of the impact of that large generator connection on its </w:t>
      </w:r>
      <w:r>
        <w:rPr>
          <w:i/>
          <w:sz w:val="24"/>
        </w:rPr>
        <w:t>network </w:t>
      </w:r>
      <w:r>
        <w:rPr>
          <w:sz w:val="24"/>
        </w:rPr>
        <w:t>by the assessment date (</w:t>
      </w:r>
      <w:r>
        <w:rPr>
          <w:b/>
          <w:sz w:val="24"/>
        </w:rPr>
        <w:t>impact assessment</w:t>
      </w:r>
      <w:r>
        <w:rPr>
          <w:sz w:val="24"/>
        </w:rPr>
        <w:t>)</w:t>
      </w:r>
    </w:p>
    <w:p>
      <w:pPr>
        <w:spacing w:before="120"/>
        <w:ind w:left="1919" w:right="415" w:hanging="567"/>
        <w:jc w:val="both"/>
        <w:rPr>
          <w:sz w:val="24"/>
        </w:rPr>
      </w:pPr>
      <w:r>
        <w:rPr>
          <w:sz w:val="24"/>
        </w:rPr>
        <w:t>(a1) If the </w:t>
      </w:r>
      <w:r>
        <w:rPr>
          <w:i/>
          <w:sz w:val="24"/>
        </w:rPr>
        <w:t>Transmission Network Service Provider </w:t>
      </w:r>
      <w:r>
        <w:rPr>
          <w:sz w:val="24"/>
        </w:rPr>
        <w:t>determines that that large generator connection is not likely to have a material impact on its </w:t>
      </w:r>
      <w:r>
        <w:rPr>
          <w:i/>
          <w:sz w:val="24"/>
        </w:rPr>
        <w:t>transmission network</w:t>
      </w:r>
      <w:r>
        <w:rPr>
          <w:sz w:val="24"/>
        </w:rPr>
        <w:t>, the </w:t>
      </w:r>
      <w:r>
        <w:rPr>
          <w:i/>
          <w:sz w:val="24"/>
        </w:rPr>
        <w:t>Transmission Network Service Provider </w:t>
      </w:r>
      <w:r>
        <w:rPr>
          <w:sz w:val="24"/>
        </w:rPr>
        <w:t>must outline the reasons for determining such impacts to be immaterial.</w:t>
      </w:r>
    </w:p>
    <w:p>
      <w:pPr>
        <w:pStyle w:val="ListParagraph"/>
        <w:numPr>
          <w:ilvl w:val="2"/>
          <w:numId w:val="239"/>
        </w:numPr>
        <w:tabs>
          <w:tab w:pos="1919" w:val="left" w:leader="none"/>
        </w:tabs>
        <w:spacing w:line="240" w:lineRule="auto" w:before="120" w:after="0"/>
        <w:ind w:left="1919" w:right="414" w:hanging="567"/>
        <w:jc w:val="both"/>
        <w:rPr>
          <w:sz w:val="24"/>
        </w:rPr>
      </w:pPr>
      <w:r>
        <w:rPr>
          <w:sz w:val="24"/>
        </w:rPr>
        <w:t>An impact assessment prepared in accordance with this clause 5.18A.3 is not required to be updated by the </w:t>
      </w:r>
      <w:r>
        <w:rPr>
          <w:i/>
          <w:sz w:val="24"/>
        </w:rPr>
        <w:t>Transmission Network Service Provider </w:t>
      </w:r>
      <w:r>
        <w:rPr>
          <w:sz w:val="24"/>
        </w:rPr>
        <w:t>at any future point in</w:t>
      </w:r>
      <w:r>
        <w:rPr>
          <w:spacing w:val="-1"/>
          <w:sz w:val="24"/>
        </w:rPr>
        <w:t> </w:t>
      </w:r>
      <w:r>
        <w:rPr>
          <w:sz w:val="24"/>
        </w:rPr>
        <w:t>time.</w:t>
      </w:r>
    </w:p>
    <w:p>
      <w:pPr>
        <w:pStyle w:val="ListParagraph"/>
        <w:numPr>
          <w:ilvl w:val="2"/>
          <w:numId w:val="239"/>
        </w:numPr>
        <w:tabs>
          <w:tab w:pos="1919" w:val="left" w:leader="none"/>
        </w:tabs>
        <w:spacing w:line="240" w:lineRule="auto" w:before="120" w:after="0"/>
        <w:ind w:left="1919" w:right="414" w:hanging="567"/>
        <w:jc w:val="both"/>
        <w:rPr>
          <w:sz w:val="24"/>
        </w:rPr>
      </w:pPr>
      <w:r>
        <w:rPr>
          <w:sz w:val="24"/>
        </w:rPr>
        <w:t>The purpose of the impact assessment is to identify any material effects of the large generator connection on the </w:t>
      </w:r>
      <w:r>
        <w:rPr>
          <w:i/>
          <w:sz w:val="24"/>
        </w:rPr>
        <w:t>Transmission Network Service </w:t>
      </w:r>
      <w:r>
        <w:rPr>
          <w:i/>
          <w:sz w:val="24"/>
        </w:rPr>
        <w:t>Provider's network</w:t>
      </w:r>
      <w:r>
        <w:rPr>
          <w:sz w:val="24"/>
        </w:rPr>
        <w:t>, as compared with the absence of that large generator connection on its</w:t>
      </w:r>
      <w:r>
        <w:rPr>
          <w:spacing w:val="-1"/>
          <w:sz w:val="24"/>
        </w:rPr>
        <w:t> </w:t>
      </w:r>
      <w:r>
        <w:rPr>
          <w:i/>
          <w:sz w:val="24"/>
        </w:rPr>
        <w:t>network</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239"/>
        </w:numPr>
        <w:tabs>
          <w:tab w:pos="1919" w:val="left" w:leader="none"/>
        </w:tabs>
        <w:spacing w:line="240" w:lineRule="auto" w:before="83" w:after="0"/>
        <w:ind w:left="1919" w:right="415" w:hanging="567"/>
        <w:jc w:val="both"/>
        <w:rPr>
          <w:sz w:val="24"/>
        </w:rPr>
      </w:pPr>
      <w:r>
        <w:rPr>
          <w:sz w:val="24"/>
        </w:rPr>
        <w:t>Subject to paragraph (e), when preparing an impact assessment, a </w:t>
      </w:r>
      <w:r>
        <w:rPr>
          <w:i/>
          <w:sz w:val="24"/>
        </w:rPr>
        <w:t>Transmission Network Service Provider </w:t>
      </w:r>
      <w:r>
        <w:rPr>
          <w:sz w:val="24"/>
        </w:rPr>
        <w:t>must consider whether the new large generator connection has resulted in changes</w:t>
      </w:r>
      <w:r>
        <w:rPr>
          <w:spacing w:val="-1"/>
          <w:sz w:val="24"/>
        </w:rPr>
        <w:t> </w:t>
      </w:r>
      <w:r>
        <w:rPr>
          <w:sz w:val="24"/>
        </w:rPr>
        <w:t>to:</w:t>
      </w:r>
    </w:p>
    <w:p>
      <w:pPr>
        <w:pStyle w:val="ListParagraph"/>
        <w:numPr>
          <w:ilvl w:val="3"/>
          <w:numId w:val="239"/>
        </w:numPr>
        <w:tabs>
          <w:tab w:pos="2486" w:val="left" w:leader="none"/>
        </w:tabs>
        <w:spacing w:line="240" w:lineRule="auto" w:before="120" w:after="0"/>
        <w:ind w:left="2486" w:right="415" w:hanging="567"/>
        <w:jc w:val="both"/>
        <w:rPr>
          <w:sz w:val="24"/>
        </w:rPr>
      </w:pPr>
      <w:r>
        <w:rPr>
          <w:i/>
          <w:sz w:val="24"/>
        </w:rPr>
        <w:t>ancillary service </w:t>
      </w:r>
      <w:r>
        <w:rPr>
          <w:sz w:val="24"/>
        </w:rPr>
        <w:t>requirements to the extent such changes relate specifically to the </w:t>
      </w:r>
      <w:r>
        <w:rPr>
          <w:i/>
          <w:sz w:val="24"/>
        </w:rPr>
        <w:t>Transmission Network Service Provider's</w:t>
      </w:r>
      <w:r>
        <w:rPr>
          <w:i/>
          <w:spacing w:val="-16"/>
          <w:sz w:val="24"/>
        </w:rPr>
        <w:t> </w:t>
      </w:r>
      <w:r>
        <w:rPr>
          <w:i/>
          <w:sz w:val="24"/>
        </w:rPr>
        <w:t>network</w:t>
      </w:r>
      <w:r>
        <w:rPr>
          <w:sz w:val="24"/>
        </w:rPr>
        <w:t>;</w:t>
      </w:r>
    </w:p>
    <w:p>
      <w:pPr>
        <w:pStyle w:val="ListParagraph"/>
        <w:numPr>
          <w:ilvl w:val="3"/>
          <w:numId w:val="239"/>
        </w:numPr>
        <w:tabs>
          <w:tab w:pos="2486" w:val="left" w:leader="none"/>
        </w:tabs>
        <w:spacing w:line="240" w:lineRule="auto" w:before="120" w:after="0"/>
        <w:ind w:left="2485" w:right="0" w:hanging="567"/>
        <w:jc w:val="both"/>
        <w:rPr>
          <w:sz w:val="24"/>
        </w:rPr>
      </w:pPr>
      <w:r>
        <w:rPr>
          <w:sz w:val="24"/>
        </w:rPr>
        <w:t>the level, and pattern, of </w:t>
      </w:r>
      <w:r>
        <w:rPr>
          <w:i/>
          <w:sz w:val="24"/>
        </w:rPr>
        <w:t>network </w:t>
      </w:r>
      <w:r>
        <w:rPr>
          <w:sz w:val="24"/>
        </w:rPr>
        <w:t>congestion on its</w:t>
      </w:r>
      <w:r>
        <w:rPr>
          <w:spacing w:val="-2"/>
          <w:sz w:val="24"/>
        </w:rPr>
        <w:t> </w:t>
      </w:r>
      <w:r>
        <w:rPr>
          <w:i/>
          <w:sz w:val="24"/>
        </w:rPr>
        <w:t>network</w:t>
      </w:r>
      <w:r>
        <w:rPr>
          <w:sz w:val="24"/>
        </w:rPr>
        <w:t>;</w:t>
      </w:r>
    </w:p>
    <w:p>
      <w:pPr>
        <w:pStyle w:val="ListParagraph"/>
        <w:numPr>
          <w:ilvl w:val="3"/>
          <w:numId w:val="239"/>
        </w:numPr>
        <w:tabs>
          <w:tab w:pos="2486" w:val="left" w:leader="none"/>
        </w:tabs>
        <w:spacing w:line="240" w:lineRule="auto" w:before="120" w:after="0"/>
        <w:ind w:left="2486" w:right="415" w:hanging="567"/>
        <w:jc w:val="both"/>
        <w:rPr>
          <w:sz w:val="24"/>
        </w:rPr>
      </w:pPr>
      <w:r>
        <w:rPr>
          <w:sz w:val="24"/>
        </w:rPr>
        <w:t>the timing of expenditure for the </w:t>
      </w:r>
      <w:r>
        <w:rPr>
          <w:i/>
          <w:sz w:val="24"/>
        </w:rPr>
        <w:t>Transmission Network Service </w:t>
      </w:r>
      <w:r>
        <w:rPr>
          <w:i/>
          <w:sz w:val="24"/>
        </w:rPr>
        <w:t>Provider </w:t>
      </w:r>
      <w:r>
        <w:rPr>
          <w:sz w:val="24"/>
        </w:rPr>
        <w:t>on its </w:t>
      </w:r>
      <w:r>
        <w:rPr>
          <w:i/>
          <w:sz w:val="24"/>
        </w:rPr>
        <w:t>network</w:t>
      </w:r>
      <w:r>
        <w:rPr>
          <w:sz w:val="24"/>
        </w:rPr>
        <w:t>;</w:t>
      </w:r>
      <w:r>
        <w:rPr>
          <w:spacing w:val="-1"/>
          <w:sz w:val="24"/>
        </w:rPr>
        <w:t> </w:t>
      </w:r>
      <w:r>
        <w:rPr>
          <w:sz w:val="24"/>
        </w:rPr>
        <w:t>and</w:t>
      </w:r>
    </w:p>
    <w:p>
      <w:pPr>
        <w:pStyle w:val="ListParagraph"/>
        <w:numPr>
          <w:ilvl w:val="3"/>
          <w:numId w:val="239"/>
        </w:numPr>
        <w:tabs>
          <w:tab w:pos="2486" w:val="left" w:leader="none"/>
        </w:tabs>
        <w:spacing w:line="240" w:lineRule="auto" w:before="120" w:after="0"/>
        <w:ind w:left="2485" w:right="0" w:hanging="567"/>
        <w:jc w:val="both"/>
        <w:rPr>
          <w:sz w:val="24"/>
        </w:rPr>
      </w:pPr>
      <w:r>
        <w:rPr>
          <w:sz w:val="24"/>
        </w:rPr>
        <w:t>the level of </w:t>
      </w:r>
      <w:r>
        <w:rPr>
          <w:i/>
          <w:sz w:val="24"/>
        </w:rPr>
        <w:t>interconnector power transfer capability </w:t>
      </w:r>
      <w:r>
        <w:rPr>
          <w:sz w:val="24"/>
        </w:rPr>
        <w:t>on its</w:t>
      </w:r>
      <w:r>
        <w:rPr>
          <w:spacing w:val="-3"/>
          <w:sz w:val="24"/>
        </w:rPr>
        <w:t> </w:t>
      </w:r>
      <w:r>
        <w:rPr>
          <w:i/>
          <w:sz w:val="24"/>
        </w:rPr>
        <w:t>network</w:t>
      </w:r>
      <w:r>
        <w:rPr>
          <w:sz w:val="24"/>
        </w:rPr>
        <w:t>,</w:t>
      </w:r>
    </w:p>
    <w:p>
      <w:pPr>
        <w:spacing w:before="120"/>
        <w:ind w:left="1919" w:right="413" w:firstLine="0"/>
        <w:jc w:val="both"/>
        <w:rPr>
          <w:sz w:val="24"/>
        </w:rPr>
      </w:pPr>
      <w:r>
        <w:rPr>
          <w:sz w:val="24"/>
        </w:rPr>
        <w:t>and if such changes have occurred, include details of the changes in the impact assessment to the extent they have had a material impact on the </w:t>
      </w:r>
      <w:r>
        <w:rPr>
          <w:i/>
          <w:sz w:val="24"/>
        </w:rPr>
        <w:t>Transmission Network Services Provider's network</w:t>
      </w:r>
      <w:r>
        <w:rPr>
          <w:sz w:val="24"/>
        </w:rPr>
        <w:t>.</w:t>
      </w:r>
    </w:p>
    <w:p>
      <w:pPr>
        <w:pStyle w:val="ListParagraph"/>
        <w:numPr>
          <w:ilvl w:val="2"/>
          <w:numId w:val="239"/>
        </w:numPr>
        <w:tabs>
          <w:tab w:pos="1919" w:val="left" w:leader="none"/>
        </w:tabs>
        <w:spacing w:line="240" w:lineRule="auto" w:before="120" w:after="0"/>
        <w:ind w:left="1919" w:right="415" w:hanging="567"/>
        <w:jc w:val="both"/>
        <w:rPr>
          <w:sz w:val="24"/>
        </w:rPr>
      </w:pPr>
      <w:r>
        <w:rPr>
          <w:sz w:val="24"/>
        </w:rPr>
        <w:t>If the </w:t>
      </w:r>
      <w:r>
        <w:rPr>
          <w:i/>
          <w:sz w:val="24"/>
        </w:rPr>
        <w:t>Transmission Network Service Provider </w:t>
      </w:r>
      <w:r>
        <w:rPr>
          <w:sz w:val="24"/>
        </w:rPr>
        <w:t>considers any of the changes referred to in paragraph (d) to have an immaterial impact on its </w:t>
      </w:r>
      <w:r>
        <w:rPr>
          <w:i/>
          <w:sz w:val="24"/>
        </w:rPr>
        <w:t>network</w:t>
      </w:r>
      <w:r>
        <w:rPr>
          <w:sz w:val="24"/>
        </w:rPr>
        <w:t>, outline the reasons why it has determined such impacts to be</w:t>
      </w:r>
      <w:r>
        <w:rPr>
          <w:spacing w:val="-9"/>
          <w:sz w:val="24"/>
        </w:rPr>
        <w:t> </w:t>
      </w:r>
      <w:r>
        <w:rPr>
          <w:sz w:val="24"/>
        </w:rPr>
        <w:t>immaterial.</w:t>
      </w:r>
    </w:p>
    <w:p>
      <w:pPr>
        <w:pStyle w:val="ListParagraph"/>
        <w:numPr>
          <w:ilvl w:val="2"/>
          <w:numId w:val="239"/>
        </w:numPr>
        <w:tabs>
          <w:tab w:pos="1920" w:val="left" w:leader="none"/>
        </w:tabs>
        <w:spacing w:line="240" w:lineRule="auto" w:before="120" w:after="0"/>
        <w:ind w:left="1919" w:right="0" w:hanging="568"/>
        <w:jc w:val="both"/>
        <w:rPr>
          <w:sz w:val="24"/>
        </w:rPr>
      </w:pPr>
      <w:r>
        <w:rPr>
          <w:sz w:val="24"/>
        </w:rPr>
        <w:t>The impact assessment</w:t>
      </w:r>
      <w:r>
        <w:rPr>
          <w:spacing w:val="-2"/>
          <w:sz w:val="24"/>
        </w:rPr>
        <w:t> </w:t>
      </w:r>
      <w:r>
        <w:rPr>
          <w:sz w:val="24"/>
        </w:rPr>
        <w:t>must:</w:t>
      </w:r>
    </w:p>
    <w:p>
      <w:pPr>
        <w:pStyle w:val="ListParagraph"/>
        <w:numPr>
          <w:ilvl w:val="3"/>
          <w:numId w:val="239"/>
        </w:numPr>
        <w:tabs>
          <w:tab w:pos="2486" w:val="left" w:leader="none"/>
        </w:tabs>
        <w:spacing w:line="240" w:lineRule="auto" w:before="120" w:after="0"/>
        <w:ind w:left="2485" w:right="0" w:hanging="567"/>
        <w:jc w:val="both"/>
        <w:rPr>
          <w:sz w:val="24"/>
        </w:rPr>
      </w:pPr>
      <w:r>
        <w:rPr>
          <w:sz w:val="24"/>
        </w:rPr>
        <w:t>be based on historical</w:t>
      </w:r>
      <w:r>
        <w:rPr>
          <w:spacing w:val="-1"/>
          <w:sz w:val="24"/>
        </w:rPr>
        <w:t> </w:t>
      </w:r>
      <w:r>
        <w:rPr>
          <w:sz w:val="24"/>
        </w:rPr>
        <w:t>data;</w:t>
      </w:r>
    </w:p>
    <w:p>
      <w:pPr>
        <w:pStyle w:val="ListParagraph"/>
        <w:numPr>
          <w:ilvl w:val="3"/>
          <w:numId w:val="239"/>
        </w:numPr>
        <w:tabs>
          <w:tab w:pos="2486" w:val="left" w:leader="none"/>
        </w:tabs>
        <w:spacing w:line="240" w:lineRule="auto" w:before="120" w:after="0"/>
        <w:ind w:left="2486" w:right="415" w:hanging="567"/>
        <w:jc w:val="both"/>
        <w:rPr>
          <w:sz w:val="24"/>
        </w:rPr>
      </w:pPr>
      <w:r>
        <w:rPr>
          <w:sz w:val="24"/>
        </w:rPr>
        <w:t>consider the impacts referred to in paragraph (d) for the 12 months immediately preceding the commissioning date as compared to the </w:t>
      </w:r>
      <w:r>
        <w:rPr>
          <w:spacing w:val="-6"/>
          <w:sz w:val="24"/>
        </w:rPr>
        <w:t>12 </w:t>
      </w:r>
      <w:r>
        <w:rPr>
          <w:sz w:val="24"/>
        </w:rPr>
        <w:t>months following the commissioning date;</w:t>
      </w:r>
      <w:r>
        <w:rPr>
          <w:spacing w:val="-2"/>
          <w:sz w:val="24"/>
        </w:rPr>
        <w:t> </w:t>
      </w:r>
      <w:r>
        <w:rPr>
          <w:sz w:val="24"/>
        </w:rPr>
        <w:t>and</w:t>
      </w:r>
    </w:p>
    <w:p>
      <w:pPr>
        <w:pStyle w:val="ListParagraph"/>
        <w:numPr>
          <w:ilvl w:val="3"/>
          <w:numId w:val="239"/>
        </w:numPr>
        <w:tabs>
          <w:tab w:pos="2486" w:val="left" w:leader="none"/>
        </w:tabs>
        <w:spacing w:line="240" w:lineRule="auto" w:before="120" w:after="0"/>
        <w:ind w:left="2486" w:right="415" w:hanging="567"/>
        <w:jc w:val="both"/>
        <w:rPr>
          <w:sz w:val="24"/>
        </w:rPr>
      </w:pPr>
      <w:r>
        <w:rPr>
          <w:sz w:val="24"/>
        </w:rPr>
        <w:t>include a detailed description of the methodologies or data used </w:t>
      </w:r>
      <w:r>
        <w:rPr>
          <w:spacing w:val="-6"/>
          <w:sz w:val="24"/>
        </w:rPr>
        <w:t>in </w:t>
      </w:r>
      <w:r>
        <w:rPr>
          <w:sz w:val="24"/>
        </w:rPr>
        <w:t>quantifying each impact referred to in paragraph</w:t>
      </w:r>
      <w:r>
        <w:rPr>
          <w:spacing w:val="-1"/>
          <w:sz w:val="24"/>
        </w:rPr>
        <w:t> </w:t>
      </w:r>
      <w:r>
        <w:rPr>
          <w:sz w:val="24"/>
        </w:rPr>
        <w:t>(d).</w:t>
      </w:r>
    </w:p>
    <w:p>
      <w:pPr>
        <w:pStyle w:val="BodyText"/>
        <w:spacing w:before="10"/>
        <w:ind w:firstLine="0"/>
        <w:jc w:val="left"/>
        <w:rPr>
          <w:sz w:val="20"/>
        </w:rPr>
      </w:pPr>
    </w:p>
    <w:p>
      <w:pPr>
        <w:pStyle w:val="Heading3"/>
        <w:tabs>
          <w:tab w:pos="1351" w:val="left" w:leader="none"/>
        </w:tabs>
        <w:ind w:left="218" w:firstLine="0"/>
      </w:pPr>
      <w:bookmarkStart w:name="5.18B Completed embedded generation proj" w:id="785"/>
      <w:bookmarkEnd w:id="785"/>
      <w:r>
        <w:rPr>
          <w:b w:val="0"/>
        </w:rPr>
      </w:r>
      <w:bookmarkStart w:name="_bookmark302" w:id="786"/>
      <w:bookmarkEnd w:id="786"/>
      <w:r>
        <w:rPr>
          <w:b w:val="0"/>
        </w:rPr>
      </w:r>
      <w:r>
        <w:rPr/>
        <w:t>5.18B</w:t>
        <w:tab/>
        <w:t>Completed embedded generation</w:t>
      </w:r>
      <w:r>
        <w:rPr>
          <w:spacing w:val="-3"/>
        </w:rPr>
        <w:t> </w:t>
      </w:r>
      <w:r>
        <w:rPr/>
        <w:t>projects</w:t>
      </w:r>
    </w:p>
    <w:p>
      <w:pPr>
        <w:pStyle w:val="Heading4"/>
        <w:numPr>
          <w:ilvl w:val="1"/>
          <w:numId w:val="240"/>
        </w:numPr>
        <w:tabs>
          <w:tab w:pos="686" w:val="left" w:leader="none"/>
          <w:tab w:pos="1351" w:val="left" w:leader="none"/>
        </w:tabs>
        <w:spacing w:line="240" w:lineRule="auto" w:before="240" w:after="0"/>
        <w:ind w:left="686" w:right="0" w:hanging="468"/>
        <w:jc w:val="left"/>
      </w:pPr>
      <w:bookmarkStart w:name="5.18B.1 Definitions" w:id="787"/>
      <w:bookmarkEnd w:id="787"/>
      <w:r>
        <w:rPr>
          <w:b w:val="0"/>
        </w:rPr>
      </w:r>
      <w:bookmarkStart w:name="_bookmark303" w:id="788"/>
      <w:bookmarkEnd w:id="788"/>
      <w:r>
        <w:rPr>
          <w:b w:val="0"/>
        </w:rPr>
      </w:r>
      <w:bookmarkStart w:name="_bookmark303" w:id="789"/>
      <w:bookmarkEnd w:id="789"/>
      <w:r>
        <w:rPr/>
        <w:t>B.</w:t>
      </w:r>
      <w:r>
        <w:rPr/>
        <w:t>1</w:t>
        <w:tab/>
        <w:t>Definitions</w:t>
      </w:r>
    </w:p>
    <w:p>
      <w:pPr>
        <w:pStyle w:val="ListParagraph"/>
        <w:numPr>
          <w:ilvl w:val="2"/>
          <w:numId w:val="24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5.18B:</w:t>
      </w:r>
    </w:p>
    <w:p>
      <w:pPr>
        <w:spacing w:before="120"/>
        <w:ind w:left="1919" w:right="414" w:firstLine="0"/>
        <w:jc w:val="both"/>
        <w:rPr>
          <w:sz w:val="24"/>
        </w:rPr>
      </w:pPr>
      <w:r>
        <w:rPr>
          <w:b/>
          <w:sz w:val="24"/>
        </w:rPr>
        <w:t>completed embedded generation projects </w:t>
      </w:r>
      <w:r>
        <w:rPr>
          <w:sz w:val="24"/>
        </w:rPr>
        <w:t>means all </w:t>
      </w:r>
      <w:r>
        <w:rPr>
          <w:i/>
          <w:sz w:val="24"/>
        </w:rPr>
        <w:t>embedded generating </w:t>
      </w:r>
      <w:r>
        <w:rPr>
          <w:i/>
          <w:sz w:val="24"/>
        </w:rPr>
        <w:t>units </w:t>
      </w:r>
      <w:r>
        <w:rPr>
          <w:sz w:val="24"/>
        </w:rPr>
        <w:t>owned, operated or controlled by a </w:t>
      </w:r>
      <w:r>
        <w:rPr>
          <w:i/>
          <w:sz w:val="24"/>
        </w:rPr>
        <w:t>Generator </w:t>
      </w:r>
      <w:r>
        <w:rPr>
          <w:sz w:val="24"/>
        </w:rPr>
        <w:t>that are connected to the </w:t>
      </w:r>
      <w:r>
        <w:rPr>
          <w:i/>
          <w:sz w:val="24"/>
        </w:rPr>
        <w:t>Distribution Network Service Provider’s network</w:t>
      </w:r>
      <w:r>
        <w:rPr>
          <w:sz w:val="24"/>
        </w:rPr>
        <w:t>.</w:t>
      </w:r>
    </w:p>
    <w:p>
      <w:pPr>
        <w:pStyle w:val="BodyText"/>
        <w:ind w:left="1919" w:firstLine="0"/>
      </w:pPr>
      <w:r>
        <w:rPr>
          <w:b/>
        </w:rPr>
        <w:t>DAPR date </w:t>
      </w:r>
      <w:r>
        <w:rPr/>
        <w:t>has the same meaning as in clause 5.13.2.</w:t>
      </w:r>
    </w:p>
    <w:p>
      <w:pPr>
        <w:pStyle w:val="BodyText"/>
        <w:spacing w:before="10"/>
        <w:ind w:firstLine="0"/>
        <w:jc w:val="left"/>
        <w:rPr>
          <w:sz w:val="20"/>
        </w:rPr>
      </w:pPr>
    </w:p>
    <w:p>
      <w:pPr>
        <w:pStyle w:val="Heading4"/>
        <w:numPr>
          <w:ilvl w:val="1"/>
          <w:numId w:val="241"/>
        </w:numPr>
        <w:tabs>
          <w:tab w:pos="686" w:val="left" w:leader="none"/>
          <w:tab w:pos="1351" w:val="left" w:leader="none"/>
        </w:tabs>
        <w:spacing w:line="240" w:lineRule="auto" w:before="0" w:after="0"/>
        <w:ind w:left="686" w:right="0" w:hanging="468"/>
        <w:jc w:val="left"/>
        <w:rPr>
          <w:sz w:val="22"/>
        </w:rPr>
      </w:pPr>
      <w:bookmarkStart w:name="5.18B.2 Register of completed embedded g" w:id="790"/>
      <w:bookmarkEnd w:id="790"/>
      <w:r>
        <w:rPr>
          <w:b w:val="0"/>
        </w:rPr>
      </w:r>
      <w:bookmarkStart w:name="_bookmark304" w:id="791"/>
      <w:bookmarkEnd w:id="791"/>
      <w:r>
        <w:rPr>
          <w:b w:val="0"/>
        </w:rPr>
      </w:r>
      <w:bookmarkStart w:name="_bookmark304" w:id="792"/>
      <w:bookmarkEnd w:id="792"/>
      <w:r>
        <w:rPr/>
        <w:t>B.</w:t>
      </w:r>
      <w:r>
        <w:rPr/>
        <w:t>2</w:t>
        <w:tab/>
        <w:t>Register of completed embedded generation</w:t>
      </w:r>
      <w:r>
        <w:rPr>
          <w:spacing w:val="-6"/>
        </w:rPr>
        <w:t> </w:t>
      </w:r>
      <w:r>
        <w:rPr/>
        <w:t>projects</w:t>
      </w:r>
    </w:p>
    <w:p>
      <w:pPr>
        <w:pStyle w:val="ListParagraph"/>
        <w:numPr>
          <w:ilvl w:val="2"/>
          <w:numId w:val="241"/>
        </w:numPr>
        <w:tabs>
          <w:tab w:pos="1919" w:val="left" w:leader="none"/>
        </w:tabs>
        <w:spacing w:line="240" w:lineRule="auto" w:before="120" w:after="0"/>
        <w:ind w:left="1919" w:right="416" w:hanging="567"/>
        <w:jc w:val="both"/>
        <w:rPr>
          <w:sz w:val="24"/>
        </w:rPr>
      </w:pPr>
      <w:r>
        <w:rPr>
          <w:sz w:val="24"/>
        </w:rPr>
        <w:t>In relation to completed embedded generation projects, a </w:t>
      </w:r>
      <w:r>
        <w:rPr>
          <w:i/>
          <w:sz w:val="24"/>
        </w:rPr>
        <w:t>Distribution </w:t>
      </w:r>
      <w:r>
        <w:rPr>
          <w:i/>
          <w:sz w:val="24"/>
        </w:rPr>
        <w:t>Network Service Provider </w:t>
      </w:r>
      <w:r>
        <w:rPr>
          <w:sz w:val="24"/>
        </w:rPr>
        <w:t>must establish and </w:t>
      </w:r>
      <w:r>
        <w:rPr>
          <w:i/>
          <w:sz w:val="24"/>
        </w:rPr>
        <w:t>publish</w:t>
      </w:r>
      <w:r>
        <w:rPr>
          <w:sz w:val="24"/>
        </w:rPr>
        <w:t>, on its website, a register of the </w:t>
      </w:r>
      <w:r>
        <w:rPr>
          <w:i/>
          <w:sz w:val="24"/>
        </w:rPr>
        <w:t>plant</w:t>
      </w:r>
      <w:r>
        <w:rPr>
          <w:sz w:val="24"/>
        </w:rPr>
        <w:t>, including but not limited</w:t>
      </w:r>
      <w:r>
        <w:rPr>
          <w:spacing w:val="-1"/>
          <w:sz w:val="24"/>
        </w:rPr>
        <w:t> </w:t>
      </w:r>
      <w:r>
        <w:rPr>
          <w:sz w:val="24"/>
        </w:rPr>
        <w:t>to:</w:t>
      </w:r>
    </w:p>
    <w:p>
      <w:pPr>
        <w:pStyle w:val="ListParagraph"/>
        <w:numPr>
          <w:ilvl w:val="3"/>
          <w:numId w:val="241"/>
        </w:numPr>
        <w:tabs>
          <w:tab w:pos="2485" w:val="left" w:leader="none"/>
          <w:tab w:pos="2486" w:val="left" w:leader="none"/>
        </w:tabs>
        <w:spacing w:line="240" w:lineRule="auto" w:before="120" w:after="0"/>
        <w:ind w:left="2486" w:right="416" w:hanging="567"/>
        <w:jc w:val="left"/>
        <w:rPr>
          <w:sz w:val="24"/>
        </w:rPr>
      </w:pPr>
      <w:r>
        <w:rPr>
          <w:sz w:val="24"/>
        </w:rPr>
        <w:t>technology of </w:t>
      </w:r>
      <w:r>
        <w:rPr>
          <w:i/>
          <w:sz w:val="24"/>
        </w:rPr>
        <w:t>generating unit </w:t>
      </w:r>
      <w:r>
        <w:rPr>
          <w:sz w:val="24"/>
        </w:rPr>
        <w:t>(e.g. </w:t>
      </w:r>
      <w:r>
        <w:rPr>
          <w:i/>
          <w:sz w:val="24"/>
        </w:rPr>
        <w:t>synchronous generating unit</w:t>
      </w:r>
      <w:r>
        <w:rPr>
          <w:sz w:val="24"/>
        </w:rPr>
        <w:t>, induction generator, photovoltaic array, etc) and its make and</w:t>
      </w:r>
      <w:r>
        <w:rPr>
          <w:spacing w:val="-4"/>
          <w:sz w:val="24"/>
        </w:rPr>
        <w:t> </w:t>
      </w:r>
      <w:r>
        <w:rPr>
          <w:sz w:val="24"/>
        </w:rPr>
        <w:t>model;</w:t>
      </w:r>
    </w:p>
    <w:p>
      <w:pPr>
        <w:pStyle w:val="ListParagraph"/>
        <w:numPr>
          <w:ilvl w:val="3"/>
          <w:numId w:val="241"/>
        </w:numPr>
        <w:tabs>
          <w:tab w:pos="2485" w:val="left" w:leader="none"/>
          <w:tab w:pos="2486" w:val="left" w:leader="none"/>
        </w:tabs>
        <w:spacing w:line="240" w:lineRule="auto" w:before="120" w:after="0"/>
        <w:ind w:left="2486" w:right="415" w:hanging="567"/>
        <w:jc w:val="left"/>
        <w:rPr>
          <w:sz w:val="24"/>
        </w:rPr>
      </w:pPr>
      <w:r>
        <w:rPr>
          <w:sz w:val="24"/>
        </w:rPr>
        <w:t>maximum power </w:t>
      </w:r>
      <w:r>
        <w:rPr>
          <w:i/>
          <w:sz w:val="24"/>
        </w:rPr>
        <w:t>generation </w:t>
      </w:r>
      <w:r>
        <w:rPr>
          <w:sz w:val="24"/>
        </w:rPr>
        <w:t>capacity of all </w:t>
      </w:r>
      <w:r>
        <w:rPr>
          <w:i/>
          <w:sz w:val="24"/>
        </w:rPr>
        <w:t>embedded generating </w:t>
      </w:r>
      <w:r>
        <w:rPr>
          <w:i/>
          <w:sz w:val="24"/>
        </w:rPr>
        <w:t>units </w:t>
      </w:r>
      <w:r>
        <w:rPr>
          <w:sz w:val="24"/>
        </w:rPr>
        <w:t>comprised in the relevant </w:t>
      </w:r>
      <w:r>
        <w:rPr>
          <w:i/>
          <w:sz w:val="24"/>
        </w:rPr>
        <w:t>generating</w:t>
      </w:r>
      <w:r>
        <w:rPr>
          <w:i/>
          <w:spacing w:val="-2"/>
          <w:sz w:val="24"/>
        </w:rPr>
        <w:t> </w:t>
      </w:r>
      <w:r>
        <w:rPr>
          <w:i/>
          <w:sz w:val="24"/>
        </w:rPr>
        <w:t>system</w:t>
      </w:r>
      <w:r>
        <w:rPr>
          <w:sz w:val="24"/>
        </w:rPr>
        <w:t>;</w:t>
      </w:r>
    </w:p>
    <w:p>
      <w:pPr>
        <w:pStyle w:val="ListParagraph"/>
        <w:numPr>
          <w:ilvl w:val="3"/>
          <w:numId w:val="241"/>
        </w:numPr>
        <w:tabs>
          <w:tab w:pos="2485" w:val="left" w:leader="none"/>
          <w:tab w:pos="2486" w:val="left" w:leader="none"/>
        </w:tabs>
        <w:spacing w:line="240" w:lineRule="auto" w:before="120" w:after="0"/>
        <w:ind w:left="2485" w:right="0" w:hanging="567"/>
        <w:jc w:val="left"/>
        <w:rPr>
          <w:sz w:val="24"/>
        </w:rPr>
      </w:pPr>
      <w:r>
        <w:rPr>
          <w:sz w:val="24"/>
        </w:rPr>
        <w:t>contribution to fault</w:t>
      </w:r>
      <w:r>
        <w:rPr>
          <w:spacing w:val="-1"/>
          <w:sz w:val="24"/>
        </w:rPr>
        <w:t> </w:t>
      </w:r>
      <w:r>
        <w:rPr>
          <w:sz w:val="24"/>
        </w:rPr>
        <w:t>levels;</w:t>
      </w:r>
    </w:p>
    <w:p>
      <w:pPr>
        <w:pStyle w:val="ListParagraph"/>
        <w:numPr>
          <w:ilvl w:val="3"/>
          <w:numId w:val="241"/>
        </w:numPr>
        <w:tabs>
          <w:tab w:pos="2485" w:val="left" w:leader="none"/>
          <w:tab w:pos="2486" w:val="left" w:leader="none"/>
        </w:tabs>
        <w:spacing w:line="240" w:lineRule="auto" w:before="120" w:after="0"/>
        <w:ind w:left="2485" w:right="0" w:hanging="567"/>
        <w:jc w:val="left"/>
        <w:rPr>
          <w:sz w:val="24"/>
        </w:rPr>
      </w:pPr>
      <w:r>
        <w:rPr>
          <w:sz w:val="24"/>
        </w:rPr>
        <w:t>the size and rating of the relevant</w:t>
      </w:r>
      <w:r>
        <w:rPr>
          <w:spacing w:val="-2"/>
          <w:sz w:val="24"/>
        </w:rPr>
        <w:t> </w:t>
      </w:r>
      <w:r>
        <w:rPr>
          <w:i/>
          <w:sz w:val="24"/>
        </w:rPr>
        <w:t>transformer</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3"/>
          <w:numId w:val="241"/>
        </w:numPr>
        <w:tabs>
          <w:tab w:pos="2485" w:val="left" w:leader="none"/>
          <w:tab w:pos="2486" w:val="left" w:leader="none"/>
        </w:tabs>
        <w:spacing w:line="240" w:lineRule="auto" w:before="83" w:after="0"/>
        <w:ind w:left="2485" w:right="0" w:hanging="567"/>
        <w:jc w:val="left"/>
        <w:rPr>
          <w:sz w:val="24"/>
        </w:rPr>
      </w:pPr>
      <w:r>
        <w:rPr>
          <w:sz w:val="24"/>
        </w:rPr>
        <w:t>a single line diagram of the </w:t>
      </w:r>
      <w:r>
        <w:rPr>
          <w:i/>
          <w:sz w:val="24"/>
        </w:rPr>
        <w:t>connection</w:t>
      </w:r>
      <w:r>
        <w:rPr>
          <w:i/>
          <w:spacing w:val="-4"/>
          <w:sz w:val="24"/>
        </w:rPr>
        <w:t> </w:t>
      </w:r>
      <w:r>
        <w:rPr>
          <w:sz w:val="24"/>
        </w:rPr>
        <w:t>arrangement;</w:t>
      </w:r>
    </w:p>
    <w:p>
      <w:pPr>
        <w:pStyle w:val="ListParagraph"/>
        <w:numPr>
          <w:ilvl w:val="3"/>
          <w:numId w:val="241"/>
        </w:numPr>
        <w:tabs>
          <w:tab w:pos="2485" w:val="left" w:leader="none"/>
          <w:tab w:pos="2486" w:val="left" w:leader="none"/>
        </w:tabs>
        <w:spacing w:line="240" w:lineRule="auto" w:before="120" w:after="0"/>
        <w:ind w:left="2485" w:right="0" w:hanging="567"/>
        <w:jc w:val="left"/>
        <w:rPr>
          <w:sz w:val="24"/>
        </w:rPr>
      </w:pPr>
      <w:r>
        <w:rPr>
          <w:i/>
          <w:sz w:val="24"/>
        </w:rPr>
        <w:t>protection systems </w:t>
      </w:r>
      <w:r>
        <w:rPr>
          <w:sz w:val="24"/>
        </w:rPr>
        <w:t>and communication</w:t>
      </w:r>
      <w:r>
        <w:rPr>
          <w:spacing w:val="-3"/>
          <w:sz w:val="24"/>
        </w:rPr>
        <w:t> </w:t>
      </w:r>
      <w:r>
        <w:rPr>
          <w:sz w:val="24"/>
        </w:rPr>
        <w:t>systems;</w:t>
      </w:r>
    </w:p>
    <w:p>
      <w:pPr>
        <w:pStyle w:val="ListParagraph"/>
        <w:numPr>
          <w:ilvl w:val="3"/>
          <w:numId w:val="241"/>
        </w:numPr>
        <w:tabs>
          <w:tab w:pos="2485" w:val="left" w:leader="none"/>
          <w:tab w:pos="2486" w:val="left" w:leader="none"/>
        </w:tabs>
        <w:spacing w:line="240" w:lineRule="auto" w:before="120" w:after="0"/>
        <w:ind w:left="2485" w:right="0" w:hanging="567"/>
        <w:jc w:val="left"/>
        <w:rPr>
          <w:sz w:val="24"/>
        </w:rPr>
      </w:pPr>
      <w:r>
        <w:rPr>
          <w:i/>
          <w:sz w:val="24"/>
        </w:rPr>
        <w:t>voltage </w:t>
      </w:r>
      <w:r>
        <w:rPr>
          <w:sz w:val="24"/>
        </w:rPr>
        <w:t>control and </w:t>
      </w:r>
      <w:r>
        <w:rPr>
          <w:i/>
          <w:sz w:val="24"/>
        </w:rPr>
        <w:t>reactive power capability</w:t>
      </w:r>
      <w:r>
        <w:rPr>
          <w:sz w:val="24"/>
        </w:rPr>
        <w:t>;</w:t>
      </w:r>
      <w:r>
        <w:rPr>
          <w:spacing w:val="-4"/>
          <w:sz w:val="24"/>
        </w:rPr>
        <w:t> </w:t>
      </w:r>
      <w:r>
        <w:rPr>
          <w:sz w:val="24"/>
        </w:rPr>
        <w:t>and</w:t>
      </w:r>
    </w:p>
    <w:p>
      <w:pPr>
        <w:pStyle w:val="ListParagraph"/>
        <w:numPr>
          <w:ilvl w:val="3"/>
          <w:numId w:val="241"/>
        </w:numPr>
        <w:tabs>
          <w:tab w:pos="2485" w:val="left" w:leader="none"/>
          <w:tab w:pos="2486" w:val="left" w:leader="none"/>
        </w:tabs>
        <w:spacing w:line="240" w:lineRule="auto" w:before="120" w:after="0"/>
        <w:ind w:left="2485" w:right="0" w:hanging="567"/>
        <w:jc w:val="left"/>
        <w:rPr>
          <w:i/>
          <w:sz w:val="24"/>
        </w:rPr>
      </w:pPr>
      <w:r>
        <w:rPr>
          <w:sz w:val="24"/>
        </w:rPr>
        <w:t>details</w:t>
      </w:r>
      <w:r>
        <w:rPr>
          <w:spacing w:val="28"/>
          <w:sz w:val="24"/>
        </w:rPr>
        <w:t> </w:t>
      </w:r>
      <w:r>
        <w:rPr>
          <w:sz w:val="24"/>
        </w:rPr>
        <w:t>specific</w:t>
      </w:r>
      <w:r>
        <w:rPr>
          <w:spacing w:val="28"/>
          <w:sz w:val="24"/>
        </w:rPr>
        <w:t> </w:t>
      </w:r>
      <w:r>
        <w:rPr>
          <w:sz w:val="24"/>
        </w:rPr>
        <w:t>to</w:t>
      </w:r>
      <w:r>
        <w:rPr>
          <w:spacing w:val="28"/>
          <w:sz w:val="24"/>
        </w:rPr>
        <w:t> </w:t>
      </w:r>
      <w:r>
        <w:rPr>
          <w:sz w:val="24"/>
        </w:rPr>
        <w:t>the</w:t>
      </w:r>
      <w:r>
        <w:rPr>
          <w:spacing w:val="28"/>
          <w:sz w:val="24"/>
        </w:rPr>
        <w:t> </w:t>
      </w:r>
      <w:r>
        <w:rPr>
          <w:sz w:val="24"/>
        </w:rPr>
        <w:t>location</w:t>
      </w:r>
      <w:r>
        <w:rPr>
          <w:spacing w:val="27"/>
          <w:sz w:val="24"/>
        </w:rPr>
        <w:t> </w:t>
      </w:r>
      <w:r>
        <w:rPr>
          <w:sz w:val="24"/>
        </w:rPr>
        <w:t>of</w:t>
      </w:r>
      <w:r>
        <w:rPr>
          <w:spacing w:val="29"/>
          <w:sz w:val="24"/>
        </w:rPr>
        <w:t> </w:t>
      </w:r>
      <w:r>
        <w:rPr>
          <w:sz w:val="24"/>
        </w:rPr>
        <w:t>a</w:t>
      </w:r>
      <w:r>
        <w:rPr>
          <w:spacing w:val="27"/>
          <w:sz w:val="24"/>
        </w:rPr>
        <w:t> </w:t>
      </w:r>
      <w:r>
        <w:rPr>
          <w:i/>
          <w:sz w:val="24"/>
        </w:rPr>
        <w:t>facility</w:t>
      </w:r>
      <w:r>
        <w:rPr>
          <w:i/>
          <w:spacing w:val="29"/>
          <w:sz w:val="24"/>
        </w:rPr>
        <w:t> </w:t>
      </w:r>
      <w:r>
        <w:rPr>
          <w:i/>
          <w:sz w:val="24"/>
        </w:rPr>
        <w:t>connected</w:t>
      </w:r>
      <w:r>
        <w:rPr>
          <w:i/>
          <w:spacing w:val="29"/>
          <w:sz w:val="24"/>
        </w:rPr>
        <w:t> </w:t>
      </w:r>
      <w:r>
        <w:rPr>
          <w:sz w:val="24"/>
        </w:rPr>
        <w:t>to</w:t>
      </w:r>
      <w:r>
        <w:rPr>
          <w:spacing w:val="27"/>
          <w:sz w:val="24"/>
        </w:rPr>
        <w:t> </w:t>
      </w:r>
      <w:r>
        <w:rPr>
          <w:sz w:val="24"/>
        </w:rPr>
        <w:t>the</w:t>
      </w:r>
      <w:r>
        <w:rPr>
          <w:spacing w:val="29"/>
          <w:sz w:val="24"/>
        </w:rPr>
        <w:t> </w:t>
      </w:r>
      <w:r>
        <w:rPr>
          <w:i/>
          <w:sz w:val="24"/>
        </w:rPr>
        <w:t>network</w:t>
      </w:r>
    </w:p>
    <w:p>
      <w:pPr>
        <w:pStyle w:val="BodyText"/>
        <w:spacing w:before="0"/>
        <w:ind w:left="2486" w:firstLine="0"/>
        <w:jc w:val="left"/>
      </w:pPr>
      <w:r>
        <w:rPr/>
        <w:t>that are relevant to any of the details in subparagraphs (1)-(7).</w:t>
      </w:r>
    </w:p>
    <w:p>
      <w:pPr>
        <w:pStyle w:val="ListParagraph"/>
        <w:numPr>
          <w:ilvl w:val="2"/>
          <w:numId w:val="241"/>
        </w:numPr>
        <w:tabs>
          <w:tab w:pos="1919" w:val="left" w:leader="none"/>
        </w:tabs>
        <w:spacing w:line="240" w:lineRule="auto" w:before="120" w:after="0"/>
        <w:ind w:left="1919" w:right="415" w:hanging="567"/>
        <w:jc w:val="both"/>
        <w:rPr>
          <w:sz w:val="24"/>
        </w:rPr>
      </w:pPr>
      <w:r>
        <w:rPr>
          <w:sz w:val="24"/>
        </w:rPr>
        <w:t>Subject to satisfying any relevant exemptions contained in clause 8.6.2, the </w:t>
      </w:r>
      <w:r>
        <w:rPr>
          <w:i/>
          <w:sz w:val="24"/>
        </w:rPr>
        <w:t>Distribution Network Service Provider </w:t>
      </w:r>
      <w:r>
        <w:rPr>
          <w:sz w:val="24"/>
        </w:rPr>
        <w:t>must not </w:t>
      </w:r>
      <w:r>
        <w:rPr>
          <w:i/>
          <w:sz w:val="24"/>
        </w:rPr>
        <w:t>publish confidential </w:t>
      </w:r>
      <w:r>
        <w:rPr>
          <w:i/>
          <w:sz w:val="24"/>
        </w:rPr>
        <w:t>information </w:t>
      </w:r>
      <w:r>
        <w:rPr>
          <w:sz w:val="24"/>
        </w:rPr>
        <w:t>as part of, or in connection with, the</w:t>
      </w:r>
      <w:r>
        <w:rPr>
          <w:spacing w:val="-2"/>
          <w:sz w:val="24"/>
        </w:rPr>
        <w:t> </w:t>
      </w:r>
      <w:r>
        <w:rPr>
          <w:sz w:val="24"/>
        </w:rPr>
        <w:t>register.</w:t>
      </w:r>
    </w:p>
    <w:p>
      <w:pPr>
        <w:pStyle w:val="ListParagraph"/>
        <w:numPr>
          <w:ilvl w:val="2"/>
          <w:numId w:val="241"/>
        </w:numPr>
        <w:tabs>
          <w:tab w:pos="1919" w:val="left" w:leader="none"/>
        </w:tabs>
        <w:spacing w:line="240" w:lineRule="auto" w:before="120" w:after="0"/>
        <w:ind w:left="1918" w:right="0" w:hanging="567"/>
        <w:jc w:val="both"/>
        <w:rPr>
          <w:sz w:val="24"/>
        </w:rPr>
      </w:pPr>
      <w:r>
        <w:rPr>
          <w:sz w:val="24"/>
        </w:rPr>
        <w:t>The </w:t>
      </w:r>
      <w:r>
        <w:rPr>
          <w:i/>
          <w:sz w:val="24"/>
        </w:rPr>
        <w:t>Distribution Network Service Provider</w:t>
      </w:r>
      <w:r>
        <w:rPr>
          <w:i/>
          <w:spacing w:val="-3"/>
          <w:sz w:val="24"/>
        </w:rPr>
        <w:t> </w:t>
      </w:r>
      <w:r>
        <w:rPr>
          <w:sz w:val="24"/>
        </w:rPr>
        <w:t>must:</w:t>
      </w:r>
    </w:p>
    <w:p>
      <w:pPr>
        <w:pStyle w:val="ListParagraph"/>
        <w:numPr>
          <w:ilvl w:val="3"/>
          <w:numId w:val="241"/>
        </w:numPr>
        <w:tabs>
          <w:tab w:pos="2486" w:val="left" w:leader="none"/>
        </w:tabs>
        <w:spacing w:line="240" w:lineRule="auto" w:before="120" w:after="0"/>
        <w:ind w:left="2486" w:right="415" w:hanging="567"/>
        <w:jc w:val="both"/>
        <w:rPr>
          <w:sz w:val="24"/>
        </w:rPr>
      </w:pPr>
      <w:r>
        <w:rPr>
          <w:sz w:val="24"/>
        </w:rPr>
        <w:t>include in the register the details contained in paragraph (b) for all completed embedded generation projects within the 5 year period preceding the establishment of the register;</w:t>
      </w:r>
      <w:r>
        <w:rPr>
          <w:spacing w:val="-1"/>
          <w:sz w:val="24"/>
        </w:rPr>
        <w:t> </w:t>
      </w:r>
      <w:r>
        <w:rPr>
          <w:sz w:val="24"/>
        </w:rPr>
        <w:t>and</w:t>
      </w:r>
    </w:p>
    <w:p>
      <w:pPr>
        <w:pStyle w:val="ListParagraph"/>
        <w:numPr>
          <w:ilvl w:val="3"/>
          <w:numId w:val="241"/>
        </w:numPr>
        <w:tabs>
          <w:tab w:pos="2486" w:val="left" w:leader="none"/>
        </w:tabs>
        <w:spacing w:line="240" w:lineRule="auto" w:before="120" w:after="0"/>
        <w:ind w:left="2486" w:right="415" w:hanging="567"/>
        <w:jc w:val="both"/>
        <w:rPr>
          <w:sz w:val="24"/>
        </w:rPr>
      </w:pPr>
      <w:r>
        <w:rPr>
          <w:sz w:val="24"/>
        </w:rPr>
        <w:t>update the register by the DAPR date each year thereafter with details of all completed embedded generation projects in the 5 year period preceding the DAPR</w:t>
      </w:r>
      <w:r>
        <w:rPr>
          <w:spacing w:val="-1"/>
          <w:sz w:val="24"/>
        </w:rPr>
        <w:t> </w:t>
      </w:r>
      <w:r>
        <w:rPr>
          <w:sz w:val="24"/>
        </w:rPr>
        <w:t>date.</w:t>
      </w:r>
    </w:p>
    <w:p>
      <w:pPr>
        <w:pStyle w:val="BodyText"/>
        <w:spacing w:before="10"/>
        <w:ind w:firstLine="0"/>
        <w:jc w:val="left"/>
        <w:rPr>
          <w:sz w:val="20"/>
        </w:rPr>
      </w:pPr>
    </w:p>
    <w:p>
      <w:pPr>
        <w:pStyle w:val="Heading3"/>
        <w:numPr>
          <w:ilvl w:val="1"/>
          <w:numId w:val="241"/>
        </w:numPr>
        <w:tabs>
          <w:tab w:pos="1351" w:val="left" w:leader="none"/>
          <w:tab w:pos="1353" w:val="left" w:leader="none"/>
        </w:tabs>
        <w:spacing w:line="240" w:lineRule="auto" w:before="0" w:after="0"/>
        <w:ind w:left="1352" w:right="0" w:hanging="1135"/>
        <w:jc w:val="left"/>
      </w:pPr>
      <w:bookmarkStart w:name="5.19 SENE Design and Costing Study" w:id="793"/>
      <w:bookmarkEnd w:id="793"/>
      <w:r>
        <w:rPr>
          <w:b w:val="0"/>
        </w:rPr>
      </w:r>
      <w:bookmarkStart w:name="_bookmark305" w:id="794"/>
      <w:bookmarkEnd w:id="794"/>
      <w:r>
        <w:rPr>
          <w:b w:val="0"/>
        </w:rPr>
      </w:r>
      <w:bookmarkStart w:name="_bookmark305" w:id="795"/>
      <w:bookmarkEnd w:id="795"/>
      <w:r>
        <w:rPr/>
        <w:t>SENE</w:t>
      </w:r>
      <w:r>
        <w:rPr/>
        <w:t> Design and Costing</w:t>
      </w:r>
      <w:r>
        <w:rPr>
          <w:spacing w:val="-3"/>
        </w:rPr>
        <w:t> </w:t>
      </w:r>
      <w:r>
        <w:rPr/>
        <w:t>Study</w:t>
      </w:r>
    </w:p>
    <w:p>
      <w:pPr>
        <w:pStyle w:val="Heading4"/>
        <w:numPr>
          <w:ilvl w:val="2"/>
          <w:numId w:val="242"/>
        </w:numPr>
        <w:tabs>
          <w:tab w:pos="1351" w:val="left" w:leader="none"/>
          <w:tab w:pos="1352" w:val="left" w:leader="none"/>
        </w:tabs>
        <w:spacing w:line="240" w:lineRule="auto" w:before="240" w:after="0"/>
        <w:ind w:left="1351" w:right="0" w:hanging="1134"/>
        <w:jc w:val="left"/>
      </w:pPr>
      <w:bookmarkStart w:name="5.19.1 Definitions" w:id="796"/>
      <w:bookmarkEnd w:id="796"/>
      <w:r>
        <w:rPr>
          <w:b w:val="0"/>
        </w:rPr>
      </w:r>
      <w:bookmarkStart w:name="_bookmark306" w:id="797"/>
      <w:bookmarkEnd w:id="797"/>
      <w:r>
        <w:rPr>
          <w:b w:val="0"/>
        </w:rPr>
      </w:r>
      <w:bookmarkStart w:name="_bookmark306" w:id="798"/>
      <w:bookmarkEnd w:id="798"/>
      <w:r>
        <w:rPr/>
        <w:t>Definition</w:t>
      </w:r>
      <w:r>
        <w:rPr/>
        <w:t>s</w:t>
      </w:r>
    </w:p>
    <w:p>
      <w:pPr>
        <w:pStyle w:val="BodyText"/>
        <w:ind w:left="1352" w:firstLine="0"/>
      </w:pPr>
      <w:r>
        <w:rPr/>
        <w:t>In this rule 5.19:</w:t>
      </w:r>
    </w:p>
    <w:p>
      <w:pPr>
        <w:spacing w:before="120"/>
        <w:ind w:left="1352" w:right="415" w:firstLine="0"/>
        <w:jc w:val="both"/>
        <w:rPr>
          <w:sz w:val="24"/>
        </w:rPr>
      </w:pPr>
      <w:r>
        <w:rPr>
          <w:b/>
          <w:sz w:val="24"/>
        </w:rPr>
        <w:t>forecast generation scenarios </w:t>
      </w:r>
      <w:r>
        <w:rPr>
          <w:sz w:val="24"/>
        </w:rPr>
        <w:t>means different assumptions made by the </w:t>
      </w:r>
      <w:r>
        <w:rPr>
          <w:i/>
          <w:sz w:val="24"/>
        </w:rPr>
        <w:t>Transmission Network Service Provider </w:t>
      </w:r>
      <w:r>
        <w:rPr>
          <w:sz w:val="24"/>
        </w:rPr>
        <w:t>conducting a SENE Design and Costing Study about the likely timing and capacity of future </w:t>
      </w:r>
      <w:r>
        <w:rPr>
          <w:i/>
          <w:sz w:val="24"/>
        </w:rPr>
        <w:t>connections </w:t>
      </w:r>
      <w:r>
        <w:rPr>
          <w:sz w:val="24"/>
        </w:rPr>
        <w:t>of </w:t>
      </w:r>
      <w:r>
        <w:rPr>
          <w:i/>
          <w:sz w:val="24"/>
        </w:rPr>
        <w:t>generating </w:t>
      </w:r>
      <w:r>
        <w:rPr>
          <w:i/>
          <w:sz w:val="24"/>
        </w:rPr>
        <w:t>systems </w:t>
      </w:r>
      <w:r>
        <w:rPr>
          <w:sz w:val="24"/>
        </w:rPr>
        <w:t>in the geographic area relevant to the study and the probability of that capacity materialising.</w:t>
      </w:r>
    </w:p>
    <w:p>
      <w:pPr>
        <w:spacing w:before="120"/>
        <w:ind w:left="1352" w:right="415" w:firstLine="0"/>
        <w:jc w:val="both"/>
        <w:rPr>
          <w:sz w:val="24"/>
        </w:rPr>
      </w:pPr>
      <w:r>
        <w:rPr>
          <w:b/>
          <w:sz w:val="24"/>
        </w:rPr>
        <w:t>Scale Efficient Network Extension </w:t>
      </w:r>
      <w:r>
        <w:rPr>
          <w:sz w:val="24"/>
        </w:rPr>
        <w:t>means an </w:t>
      </w:r>
      <w:r>
        <w:rPr>
          <w:i/>
          <w:sz w:val="24"/>
        </w:rPr>
        <w:t>augmentation </w:t>
      </w:r>
      <w:r>
        <w:rPr>
          <w:sz w:val="24"/>
        </w:rPr>
        <w:t>to a </w:t>
      </w:r>
      <w:r>
        <w:rPr>
          <w:i/>
          <w:sz w:val="24"/>
        </w:rPr>
        <w:t>transmission </w:t>
      </w:r>
      <w:r>
        <w:rPr>
          <w:i/>
          <w:sz w:val="24"/>
        </w:rPr>
        <w:t>network </w:t>
      </w:r>
      <w:r>
        <w:rPr>
          <w:sz w:val="24"/>
        </w:rPr>
        <w:t>which is capable of facilitating the future </w:t>
      </w:r>
      <w:r>
        <w:rPr>
          <w:i/>
          <w:sz w:val="24"/>
        </w:rPr>
        <w:t>connection </w:t>
      </w:r>
      <w:r>
        <w:rPr>
          <w:sz w:val="24"/>
        </w:rPr>
        <w:t>to the </w:t>
      </w:r>
      <w:r>
        <w:rPr>
          <w:i/>
          <w:sz w:val="24"/>
        </w:rPr>
        <w:t>transmission </w:t>
      </w:r>
      <w:r>
        <w:rPr>
          <w:i/>
          <w:sz w:val="24"/>
        </w:rPr>
        <w:t>network </w:t>
      </w:r>
      <w:r>
        <w:rPr>
          <w:sz w:val="24"/>
        </w:rPr>
        <w:t>of two or more </w:t>
      </w:r>
      <w:r>
        <w:rPr>
          <w:i/>
          <w:sz w:val="24"/>
        </w:rPr>
        <w:t>generating systems </w:t>
      </w:r>
      <w:r>
        <w:rPr>
          <w:sz w:val="24"/>
        </w:rPr>
        <w:t>in the same geographic area that have different owners, operators or controllers.</w:t>
      </w:r>
    </w:p>
    <w:p>
      <w:pPr>
        <w:spacing w:before="120"/>
        <w:ind w:left="1352" w:right="414" w:firstLine="0"/>
        <w:jc w:val="both"/>
        <w:rPr>
          <w:sz w:val="24"/>
        </w:rPr>
      </w:pPr>
      <w:r>
        <w:rPr>
          <w:b/>
          <w:sz w:val="24"/>
        </w:rPr>
        <w:t>SENE Design and Costing Study </w:t>
      </w:r>
      <w:r>
        <w:rPr>
          <w:sz w:val="24"/>
        </w:rPr>
        <w:t>means a study undertaken by a </w:t>
      </w:r>
      <w:r>
        <w:rPr>
          <w:i/>
          <w:sz w:val="24"/>
        </w:rPr>
        <w:t>Transmission </w:t>
      </w:r>
      <w:r>
        <w:rPr>
          <w:i/>
          <w:sz w:val="24"/>
        </w:rPr>
        <w:t>Network Service Provider </w:t>
      </w:r>
      <w:r>
        <w:rPr>
          <w:sz w:val="24"/>
        </w:rPr>
        <w:t>in accordance with this rule 5.19 which compares the cost of forecast </w:t>
      </w:r>
      <w:r>
        <w:rPr>
          <w:i/>
          <w:sz w:val="24"/>
        </w:rPr>
        <w:t>connections </w:t>
      </w:r>
      <w:r>
        <w:rPr>
          <w:sz w:val="24"/>
        </w:rPr>
        <w:t>of </w:t>
      </w:r>
      <w:r>
        <w:rPr>
          <w:i/>
          <w:sz w:val="24"/>
        </w:rPr>
        <w:t>generating systems </w:t>
      </w:r>
      <w:r>
        <w:rPr>
          <w:sz w:val="24"/>
        </w:rPr>
        <w:t>to a </w:t>
      </w:r>
      <w:r>
        <w:rPr>
          <w:i/>
          <w:sz w:val="24"/>
        </w:rPr>
        <w:t>transmission network </w:t>
      </w:r>
      <w:r>
        <w:rPr>
          <w:i/>
          <w:sz w:val="24"/>
        </w:rPr>
        <w:t>augmented </w:t>
      </w:r>
      <w:r>
        <w:rPr>
          <w:sz w:val="24"/>
        </w:rPr>
        <w:t>by a Scale Efficient Network Extension and the cost of those forecast </w:t>
      </w:r>
      <w:r>
        <w:rPr>
          <w:i/>
          <w:sz w:val="24"/>
        </w:rPr>
        <w:t>connections connecting </w:t>
      </w:r>
      <w:r>
        <w:rPr>
          <w:sz w:val="24"/>
        </w:rPr>
        <w:t>to the </w:t>
      </w:r>
      <w:r>
        <w:rPr>
          <w:i/>
          <w:sz w:val="24"/>
        </w:rPr>
        <w:t>national grid </w:t>
      </w:r>
      <w:r>
        <w:rPr>
          <w:sz w:val="24"/>
        </w:rPr>
        <w:t>in the same geographic area in the absence of the Scale Efficient Network Extension.</w:t>
      </w:r>
    </w:p>
    <w:p>
      <w:pPr>
        <w:spacing w:before="120"/>
        <w:ind w:left="1352" w:right="415" w:firstLine="0"/>
        <w:jc w:val="both"/>
        <w:rPr>
          <w:sz w:val="24"/>
        </w:rPr>
      </w:pPr>
      <w:r>
        <w:rPr>
          <w:b/>
          <w:sz w:val="24"/>
        </w:rPr>
        <w:t>SENE Study Proponent </w:t>
      </w:r>
      <w:r>
        <w:rPr>
          <w:sz w:val="24"/>
        </w:rPr>
        <w:t>means a person that makes a request under clause 5.19.2(a).</w:t>
      </w:r>
    </w:p>
    <w:p>
      <w:pPr>
        <w:spacing w:before="120"/>
        <w:ind w:left="1352" w:right="0" w:firstLine="0"/>
        <w:jc w:val="both"/>
        <w:rPr>
          <w:sz w:val="24"/>
        </w:rPr>
      </w:pPr>
      <w:r>
        <w:rPr>
          <w:b/>
          <w:sz w:val="24"/>
        </w:rPr>
        <w:t>SENE study information </w:t>
      </w:r>
      <w:r>
        <w:rPr>
          <w:sz w:val="24"/>
        </w:rPr>
        <w:t>means:</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any data or information provided to a </w:t>
      </w:r>
      <w:r>
        <w:rPr>
          <w:i/>
          <w:sz w:val="24"/>
        </w:rPr>
        <w:t>Transmission Network Service </w:t>
      </w:r>
      <w:r>
        <w:rPr>
          <w:i/>
          <w:sz w:val="24"/>
        </w:rPr>
        <w:t>Provider </w:t>
      </w:r>
      <w:r>
        <w:rPr>
          <w:sz w:val="24"/>
        </w:rPr>
        <w:t>by a </w:t>
      </w:r>
      <w:r>
        <w:rPr>
          <w:i/>
          <w:sz w:val="24"/>
        </w:rPr>
        <w:t>Network Service Provider </w:t>
      </w:r>
      <w:r>
        <w:rPr>
          <w:sz w:val="24"/>
        </w:rPr>
        <w:t>under clause 5.19.5 for the purposes of a SENE Design and Costing</w:t>
      </w:r>
      <w:r>
        <w:rPr>
          <w:spacing w:val="-4"/>
          <w:sz w:val="24"/>
        </w:rPr>
        <w:t> </w:t>
      </w:r>
      <w:r>
        <w:rPr>
          <w:sz w:val="24"/>
        </w:rPr>
        <w:t>Study;</w:t>
      </w:r>
    </w:p>
    <w:p>
      <w:pPr>
        <w:pStyle w:val="ListParagraph"/>
        <w:numPr>
          <w:ilvl w:val="3"/>
          <w:numId w:val="242"/>
        </w:numPr>
        <w:tabs>
          <w:tab w:pos="1919" w:val="left" w:leader="none"/>
        </w:tabs>
        <w:spacing w:line="240" w:lineRule="auto" w:before="120" w:after="0"/>
        <w:ind w:left="1919" w:right="416" w:hanging="567"/>
        <w:jc w:val="both"/>
        <w:rPr>
          <w:sz w:val="24"/>
        </w:rPr>
      </w:pPr>
      <w:r>
        <w:rPr>
          <w:sz w:val="24"/>
        </w:rPr>
        <w:t>any data or information provided to a </w:t>
      </w:r>
      <w:r>
        <w:rPr>
          <w:i/>
          <w:sz w:val="24"/>
        </w:rPr>
        <w:t>Transmission Network Service </w:t>
      </w:r>
      <w:r>
        <w:rPr>
          <w:i/>
          <w:sz w:val="24"/>
        </w:rPr>
        <w:t>Provider </w:t>
      </w:r>
      <w:r>
        <w:rPr>
          <w:sz w:val="24"/>
        </w:rPr>
        <w:t>by a person for the purposes of a SENE Design and Costing</w:t>
      </w:r>
      <w:r>
        <w:rPr>
          <w:spacing w:val="3"/>
          <w:sz w:val="24"/>
        </w:rPr>
        <w:t> </w:t>
      </w:r>
      <w:r>
        <w:rPr>
          <w:sz w:val="24"/>
        </w:rPr>
        <w:t>Study,</w:t>
      </w:r>
    </w:p>
    <w:p>
      <w:pPr>
        <w:spacing w:after="0" w:line="240" w:lineRule="auto"/>
        <w:jc w:val="both"/>
        <w:rPr>
          <w:sz w:val="24"/>
        </w:rPr>
        <w:sectPr>
          <w:pgSz w:w="11910" w:h="16840"/>
          <w:pgMar w:header="686" w:footer="637" w:top="1320" w:bottom="820" w:left="1200" w:right="1000"/>
        </w:sectPr>
      </w:pPr>
    </w:p>
    <w:p>
      <w:pPr>
        <w:pStyle w:val="BodyText"/>
        <w:spacing w:before="83"/>
        <w:ind w:left="1919" w:right="565" w:firstLine="0"/>
        <w:jc w:val="left"/>
      </w:pPr>
      <w:r>
        <w:rPr/>
        <w:t>provided that the person has registered its interest in response to </w:t>
      </w:r>
      <w:r>
        <w:rPr>
          <w:spacing w:val="-7"/>
        </w:rPr>
        <w:t>an </w:t>
      </w:r>
      <w:r>
        <w:rPr/>
        <w:t>invitation under clause 5.19.3(e)(3);</w:t>
      </w:r>
      <w:r>
        <w:rPr>
          <w:spacing w:val="-2"/>
        </w:rPr>
        <w:t> </w:t>
      </w:r>
      <w:r>
        <w:rPr/>
        <w:t>and</w:t>
      </w:r>
    </w:p>
    <w:p>
      <w:pPr>
        <w:pStyle w:val="ListParagraph"/>
        <w:numPr>
          <w:ilvl w:val="3"/>
          <w:numId w:val="242"/>
        </w:numPr>
        <w:tabs>
          <w:tab w:pos="1919" w:val="left" w:leader="none"/>
        </w:tabs>
        <w:spacing w:line="240" w:lineRule="auto" w:before="120" w:after="0"/>
        <w:ind w:left="1919" w:right="416" w:hanging="567"/>
        <w:jc w:val="both"/>
        <w:rPr>
          <w:sz w:val="24"/>
        </w:rPr>
      </w:pPr>
      <w:r>
        <w:rPr>
          <w:sz w:val="24"/>
        </w:rPr>
        <w:t>any data or information contained in a SENE Design and Costing Study published under clause</w:t>
      </w:r>
      <w:r>
        <w:rPr>
          <w:spacing w:val="-1"/>
          <w:sz w:val="24"/>
        </w:rPr>
        <w:t> </w:t>
      </w:r>
      <w:r>
        <w:rPr>
          <w:sz w:val="24"/>
        </w:rPr>
        <w:t>5.19.6.</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2 Interpretation" w:id="799"/>
      <w:bookmarkEnd w:id="799"/>
      <w:r>
        <w:rPr>
          <w:b w:val="0"/>
        </w:rPr>
      </w:r>
      <w:bookmarkStart w:name="_bookmark307" w:id="800"/>
      <w:bookmarkEnd w:id="800"/>
      <w:r>
        <w:rPr>
          <w:b w:val="0"/>
        </w:rPr>
      </w:r>
      <w:bookmarkStart w:name="_bookmark307" w:id="801"/>
      <w:bookmarkEnd w:id="801"/>
      <w:r>
        <w:rPr/>
        <w:t>Interpretation</w:t>
      </w:r>
    </w:p>
    <w:p>
      <w:pPr>
        <w:pStyle w:val="BodyText"/>
        <w:ind w:left="1352" w:firstLine="0"/>
      </w:pPr>
      <w:r>
        <w:rPr/>
        <w:t>In this rule 5.19:</w:t>
      </w:r>
    </w:p>
    <w:p>
      <w:pPr>
        <w:pStyle w:val="ListParagraph"/>
        <w:numPr>
          <w:ilvl w:val="3"/>
          <w:numId w:val="242"/>
        </w:numPr>
        <w:tabs>
          <w:tab w:pos="1919" w:val="left" w:leader="none"/>
        </w:tabs>
        <w:spacing w:line="240" w:lineRule="auto" w:before="120" w:after="0"/>
        <w:ind w:left="1919" w:right="416" w:hanging="567"/>
        <w:jc w:val="both"/>
        <w:rPr>
          <w:sz w:val="24"/>
        </w:rPr>
      </w:pPr>
      <w:r>
        <w:rPr>
          <w:sz w:val="24"/>
        </w:rPr>
        <w:t>a reference to a </w:t>
      </w:r>
      <w:r>
        <w:rPr>
          <w:i/>
          <w:sz w:val="24"/>
        </w:rPr>
        <w:t>Transmission Network Service Provider </w:t>
      </w:r>
      <w:r>
        <w:rPr>
          <w:sz w:val="24"/>
        </w:rPr>
        <w:t>does not include a </w:t>
      </w:r>
      <w:r>
        <w:rPr>
          <w:i/>
          <w:sz w:val="24"/>
        </w:rPr>
        <w:t>Distribution Network Service Provider </w:t>
      </w:r>
      <w:r>
        <w:rPr>
          <w:sz w:val="24"/>
        </w:rPr>
        <w:t>in its capacity as owner, controller or operator of a </w:t>
      </w:r>
      <w:r>
        <w:rPr>
          <w:i/>
          <w:sz w:val="24"/>
        </w:rPr>
        <w:t>dual function asset</w:t>
      </w:r>
      <w:r>
        <w:rPr>
          <w:sz w:val="24"/>
        </w:rPr>
        <w:t>;</w:t>
      </w:r>
      <w:r>
        <w:rPr>
          <w:spacing w:val="-2"/>
          <w:sz w:val="24"/>
        </w:rPr>
        <w:t> </w:t>
      </w:r>
      <w:r>
        <w:rPr>
          <w:sz w:val="24"/>
        </w:rPr>
        <w:t>and</w:t>
      </w:r>
    </w:p>
    <w:p>
      <w:pPr>
        <w:pStyle w:val="ListParagraph"/>
        <w:numPr>
          <w:ilvl w:val="3"/>
          <w:numId w:val="242"/>
        </w:numPr>
        <w:tabs>
          <w:tab w:pos="1919" w:val="left" w:leader="none"/>
        </w:tabs>
        <w:spacing w:line="240" w:lineRule="auto" w:before="120" w:after="0"/>
        <w:ind w:left="1918" w:right="0" w:hanging="567"/>
        <w:jc w:val="both"/>
        <w:rPr>
          <w:sz w:val="24"/>
        </w:rPr>
      </w:pPr>
      <w:r>
        <w:rPr>
          <w:sz w:val="24"/>
        </w:rPr>
        <w:t>a reference to a </w:t>
      </w:r>
      <w:r>
        <w:rPr>
          <w:i/>
          <w:sz w:val="24"/>
        </w:rPr>
        <w:t>transmission network </w:t>
      </w:r>
      <w:r>
        <w:rPr>
          <w:sz w:val="24"/>
        </w:rPr>
        <w:t>does not include </w:t>
      </w:r>
      <w:r>
        <w:rPr>
          <w:i/>
          <w:sz w:val="24"/>
        </w:rPr>
        <w:t>dual function</w:t>
      </w:r>
      <w:r>
        <w:rPr>
          <w:i/>
          <w:spacing w:val="-6"/>
          <w:sz w:val="24"/>
        </w:rPr>
        <w:t> </w:t>
      </w:r>
      <w:r>
        <w:rPr>
          <w:i/>
          <w:sz w:val="24"/>
        </w:rPr>
        <w:t>assets</w:t>
      </w:r>
      <w:r>
        <w:rPr>
          <w:sz w:val="24"/>
        </w:rPr>
        <w:t>.</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3 Request for SENE Design and Costi" w:id="802"/>
      <w:bookmarkEnd w:id="802"/>
      <w:r>
        <w:rPr>
          <w:b w:val="0"/>
        </w:rPr>
      </w:r>
      <w:bookmarkStart w:name="_bookmark308" w:id="803"/>
      <w:bookmarkEnd w:id="803"/>
      <w:r>
        <w:rPr>
          <w:b w:val="0"/>
        </w:rPr>
      </w:r>
      <w:bookmarkStart w:name="_bookmark308" w:id="804"/>
      <w:bookmarkEnd w:id="804"/>
      <w:r>
        <w:rPr/>
        <w:t>Reques</w:t>
      </w:r>
      <w:r>
        <w:rPr/>
        <w:t>t for SENE Design and Costing</w:t>
      </w:r>
      <w:r>
        <w:rPr>
          <w:spacing w:val="-6"/>
        </w:rPr>
        <w:t> </w:t>
      </w:r>
      <w:r>
        <w:rPr/>
        <w:t>Study</w:t>
      </w:r>
    </w:p>
    <w:p>
      <w:pPr>
        <w:pStyle w:val="ListParagraph"/>
        <w:numPr>
          <w:ilvl w:val="3"/>
          <w:numId w:val="242"/>
        </w:numPr>
        <w:tabs>
          <w:tab w:pos="1919" w:val="left" w:leader="none"/>
        </w:tabs>
        <w:spacing w:line="240" w:lineRule="auto" w:before="120" w:after="0"/>
        <w:ind w:left="1919" w:right="416" w:hanging="567"/>
        <w:jc w:val="both"/>
        <w:rPr>
          <w:sz w:val="24"/>
        </w:rPr>
      </w:pPr>
      <w:r>
        <w:rPr>
          <w:sz w:val="24"/>
        </w:rPr>
        <w:t>Any person may request a </w:t>
      </w:r>
      <w:r>
        <w:rPr>
          <w:i/>
          <w:sz w:val="24"/>
        </w:rPr>
        <w:t>Transmission Network Service Provider </w:t>
      </w:r>
      <w:r>
        <w:rPr>
          <w:sz w:val="24"/>
        </w:rPr>
        <w:t>to undertake a SENE Design and Costing Study in relation to the construction of a Scale Efficient Network Extension for </w:t>
      </w:r>
      <w:r>
        <w:rPr>
          <w:i/>
          <w:sz w:val="24"/>
        </w:rPr>
        <w:t>connection </w:t>
      </w:r>
      <w:r>
        <w:rPr>
          <w:sz w:val="24"/>
        </w:rPr>
        <w:t>to its </w:t>
      </w:r>
      <w:r>
        <w:rPr>
          <w:i/>
          <w:sz w:val="24"/>
        </w:rPr>
        <w:t>transmission </w:t>
      </w:r>
      <w:r>
        <w:rPr>
          <w:i/>
          <w:sz w:val="24"/>
        </w:rPr>
        <w:t>network</w:t>
      </w:r>
      <w:r>
        <w:rPr>
          <w:sz w:val="24"/>
        </w:rPr>
        <w:t>.</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If the </w:t>
      </w:r>
      <w:r>
        <w:rPr>
          <w:i/>
          <w:sz w:val="24"/>
        </w:rPr>
        <w:t>Transmission Network Service Provider </w:t>
      </w:r>
      <w:r>
        <w:rPr>
          <w:sz w:val="24"/>
        </w:rPr>
        <w:t>receives a request under paragraph (a), the </w:t>
      </w:r>
      <w:r>
        <w:rPr>
          <w:i/>
          <w:sz w:val="24"/>
        </w:rPr>
        <w:t>Transmission Network Service Provider </w:t>
      </w:r>
      <w:r>
        <w:rPr>
          <w:sz w:val="24"/>
        </w:rPr>
        <w:t>must undertake a SENE Design and Costing Study if the following conditions are</w:t>
      </w:r>
      <w:r>
        <w:rPr>
          <w:spacing w:val="-19"/>
          <w:sz w:val="24"/>
        </w:rPr>
        <w:t> </w:t>
      </w:r>
      <w:r>
        <w:rPr>
          <w:sz w:val="24"/>
        </w:rPr>
        <w:t>satisfied:</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at the time the study is requested, the </w:t>
      </w:r>
      <w:r>
        <w:rPr>
          <w:i/>
          <w:sz w:val="24"/>
        </w:rPr>
        <w:t>Transmission Network Service </w:t>
      </w:r>
      <w:r>
        <w:rPr>
          <w:i/>
          <w:sz w:val="24"/>
        </w:rPr>
        <w:t>Provider </w:t>
      </w:r>
      <w:r>
        <w:rPr>
          <w:sz w:val="24"/>
        </w:rPr>
        <w:t>is not undertaking another SENE Design and Costing Study in relation to the same geographic</w:t>
      </w:r>
      <w:r>
        <w:rPr>
          <w:spacing w:val="-1"/>
          <w:sz w:val="24"/>
        </w:rPr>
        <w:t> </w:t>
      </w:r>
      <w:r>
        <w:rPr>
          <w:sz w:val="24"/>
        </w:rPr>
        <w:t>area;</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it has agreed the scope and timing of the SENE Design and Costing Study with the SENE Study Proponent in accordance with paragraph (c); and</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the SENE Study Proponent or any other person or group of persons (which may include the SENE Study Proponent) has agreed to pay all the reasonable costs incurred by the </w:t>
      </w:r>
      <w:r>
        <w:rPr>
          <w:i/>
          <w:sz w:val="24"/>
        </w:rPr>
        <w:t>Transmission Network Service </w:t>
      </w:r>
      <w:r>
        <w:rPr>
          <w:i/>
          <w:sz w:val="24"/>
        </w:rPr>
        <w:t>Provider </w:t>
      </w:r>
      <w:r>
        <w:rPr>
          <w:sz w:val="24"/>
        </w:rPr>
        <w:t>in undertaking the study, including any costs it incurs in meeting its obligation under clause</w:t>
      </w:r>
      <w:r>
        <w:rPr>
          <w:spacing w:val="-1"/>
          <w:sz w:val="24"/>
        </w:rPr>
        <w:t> </w:t>
      </w:r>
      <w:r>
        <w:rPr>
          <w:sz w:val="24"/>
        </w:rPr>
        <w:t>5.19.5(b).</w:t>
      </w:r>
    </w:p>
    <w:p>
      <w:pPr>
        <w:pStyle w:val="ListParagraph"/>
        <w:numPr>
          <w:ilvl w:val="3"/>
          <w:numId w:val="242"/>
        </w:numPr>
        <w:tabs>
          <w:tab w:pos="1919" w:val="left" w:leader="none"/>
        </w:tabs>
        <w:spacing w:line="240" w:lineRule="auto" w:before="120" w:after="0"/>
        <w:ind w:left="1918" w:right="0" w:hanging="567"/>
        <w:jc w:val="both"/>
        <w:rPr>
          <w:sz w:val="24"/>
        </w:rPr>
      </w:pPr>
      <w:r>
        <w:rPr>
          <w:sz w:val="24"/>
        </w:rPr>
        <w:t>The </w:t>
      </w:r>
      <w:r>
        <w:rPr>
          <w:i/>
          <w:sz w:val="24"/>
        </w:rPr>
        <w:t>Transmission Network Service</w:t>
      </w:r>
      <w:r>
        <w:rPr>
          <w:i/>
          <w:spacing w:val="-2"/>
          <w:sz w:val="24"/>
        </w:rPr>
        <w:t> </w:t>
      </w:r>
      <w:r>
        <w:rPr>
          <w:i/>
          <w:sz w:val="24"/>
        </w:rPr>
        <w:t>Provider</w:t>
      </w:r>
      <w:r>
        <w:rPr>
          <w:sz w:val="24"/>
        </w:rPr>
        <w:t>:</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must in accordance with clause 5.19.4, negotiate with the SENE Study Proponent in good faith to reach agreement on the cost, scope and timeframes for undertaking the SENE Design and Costing Study;</w:t>
      </w:r>
      <w:r>
        <w:rPr>
          <w:spacing w:val="-16"/>
          <w:sz w:val="24"/>
        </w:rPr>
        <w:t> </w:t>
      </w:r>
      <w:r>
        <w:rPr>
          <w:sz w:val="24"/>
        </w:rPr>
        <w:t>and</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without limiting subparagraph (1), must not unreasonably withhold its consent to undertake a SENE Design and Costing Study in accordance with the scope and timeframes for the study proposed by the SENE Study</w:t>
      </w:r>
      <w:r>
        <w:rPr>
          <w:spacing w:val="-2"/>
          <w:sz w:val="24"/>
        </w:rPr>
        <w:t> </w:t>
      </w:r>
      <w:r>
        <w:rPr>
          <w:sz w:val="24"/>
        </w:rPr>
        <w:t>Proponent.</w:t>
      </w:r>
    </w:p>
    <w:p>
      <w:pPr>
        <w:pStyle w:val="ListParagraph"/>
        <w:numPr>
          <w:ilvl w:val="3"/>
          <w:numId w:val="242"/>
        </w:numPr>
        <w:tabs>
          <w:tab w:pos="1919" w:val="left" w:leader="none"/>
        </w:tabs>
        <w:spacing w:line="240" w:lineRule="auto" w:before="120" w:after="0"/>
        <w:ind w:left="1919" w:right="416" w:hanging="567"/>
        <w:jc w:val="both"/>
        <w:rPr>
          <w:sz w:val="24"/>
        </w:rPr>
      </w:pPr>
      <w:r>
        <w:rPr>
          <w:sz w:val="24"/>
        </w:rPr>
        <w:t>The </w:t>
      </w:r>
      <w:r>
        <w:rPr>
          <w:i/>
          <w:sz w:val="24"/>
        </w:rPr>
        <w:t>Transmission Network Service Provider </w:t>
      </w:r>
      <w:r>
        <w:rPr>
          <w:sz w:val="24"/>
        </w:rPr>
        <w:t>must undertake the SENE Design and Costing Study in accordance with the agreement reached with the SENE Study Proponent under paragraph</w:t>
      </w:r>
      <w:r>
        <w:rPr>
          <w:spacing w:val="-5"/>
          <w:sz w:val="24"/>
        </w:rPr>
        <w:t> </w:t>
      </w:r>
      <w:r>
        <w:rPr>
          <w:sz w:val="24"/>
        </w:rPr>
        <w:t>(c).</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As soon as practicable after the conditions referred to in paragraph (b) are satisfied in relation to a SENE Design and Costing Study, the</w:t>
      </w:r>
      <w:r>
        <w:rPr>
          <w:spacing w:val="9"/>
          <w:sz w:val="24"/>
        </w:rPr>
        <w:t> </w:t>
      </w:r>
      <w:r>
        <w:rPr>
          <w:sz w:val="24"/>
        </w:rPr>
        <w:t>relevant</w:t>
      </w:r>
    </w:p>
    <w:p>
      <w:pPr>
        <w:spacing w:after="0" w:line="240" w:lineRule="auto"/>
        <w:jc w:val="both"/>
        <w:rPr>
          <w:sz w:val="24"/>
        </w:rPr>
        <w:sectPr>
          <w:pgSz w:w="11910" w:h="16840"/>
          <w:pgMar w:header="686" w:footer="637" w:top="1320" w:bottom="820" w:left="1200" w:right="1000"/>
        </w:sectPr>
      </w:pPr>
    </w:p>
    <w:p>
      <w:pPr>
        <w:spacing w:before="83"/>
        <w:ind w:left="1919" w:right="416" w:firstLine="0"/>
        <w:jc w:val="both"/>
        <w:rPr>
          <w:sz w:val="24"/>
        </w:rPr>
      </w:pPr>
      <w:r>
        <w:rPr>
          <w:i/>
          <w:sz w:val="24"/>
        </w:rPr>
        <w:t>Transmission Network Service Provider </w:t>
      </w:r>
      <w:r>
        <w:rPr>
          <w:sz w:val="24"/>
        </w:rPr>
        <w:t>must publish on its website a notice of the commencement of the study. A notice under this paragraph (e) must:</w:t>
      </w:r>
    </w:p>
    <w:p>
      <w:pPr>
        <w:pStyle w:val="ListParagraph"/>
        <w:numPr>
          <w:ilvl w:val="4"/>
          <w:numId w:val="242"/>
        </w:numPr>
        <w:tabs>
          <w:tab w:pos="2486" w:val="left" w:leader="none"/>
        </w:tabs>
        <w:spacing w:line="240" w:lineRule="auto" w:before="120" w:after="0"/>
        <w:ind w:left="2485" w:right="0" w:hanging="567"/>
        <w:jc w:val="both"/>
        <w:rPr>
          <w:sz w:val="24"/>
        </w:rPr>
      </w:pPr>
      <w:r>
        <w:rPr>
          <w:sz w:val="24"/>
        </w:rPr>
        <w:t>specify the geographic area that is being considered in the</w:t>
      </w:r>
      <w:r>
        <w:rPr>
          <w:spacing w:val="-5"/>
          <w:sz w:val="24"/>
        </w:rPr>
        <w:t> </w:t>
      </w:r>
      <w:r>
        <w:rPr>
          <w:sz w:val="24"/>
        </w:rPr>
        <w:t>study;</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specify the dates agreed between the </w:t>
      </w:r>
      <w:r>
        <w:rPr>
          <w:i/>
          <w:sz w:val="24"/>
        </w:rPr>
        <w:t>Transmission Network Service </w:t>
      </w:r>
      <w:r>
        <w:rPr>
          <w:i/>
          <w:sz w:val="24"/>
        </w:rPr>
        <w:t>Provider </w:t>
      </w:r>
      <w:r>
        <w:rPr>
          <w:sz w:val="24"/>
        </w:rPr>
        <w:t>and the SENE Study Proponent for completion of the study and any other milestones for the</w:t>
      </w:r>
      <w:r>
        <w:rPr>
          <w:spacing w:val="-2"/>
          <w:sz w:val="24"/>
        </w:rPr>
        <w:t> </w:t>
      </w:r>
      <w:r>
        <w:rPr>
          <w:sz w:val="24"/>
        </w:rPr>
        <w:t>study;</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invite any person who may be interested in providing SENE study information to the </w:t>
      </w:r>
      <w:r>
        <w:rPr>
          <w:i/>
          <w:sz w:val="24"/>
        </w:rPr>
        <w:t>Transmission Network Service Provider </w:t>
      </w:r>
      <w:r>
        <w:rPr>
          <w:sz w:val="24"/>
        </w:rPr>
        <w:t>to register their interest by written notice to the </w:t>
      </w:r>
      <w:r>
        <w:rPr>
          <w:i/>
          <w:sz w:val="24"/>
        </w:rPr>
        <w:t>Transmission Network Service </w:t>
      </w:r>
      <w:r>
        <w:rPr>
          <w:i/>
          <w:sz w:val="24"/>
        </w:rPr>
        <w:t>Provider </w:t>
      </w:r>
      <w:r>
        <w:rPr>
          <w:sz w:val="24"/>
        </w:rPr>
        <w:t>within a period specified in the notice, being a period not less than 10 </w:t>
      </w:r>
      <w:r>
        <w:rPr>
          <w:i/>
          <w:sz w:val="24"/>
        </w:rPr>
        <w:t>business days </w:t>
      </w:r>
      <w:r>
        <w:rPr>
          <w:sz w:val="24"/>
        </w:rPr>
        <w:t>from the date the notice is published;</w:t>
      </w:r>
      <w:r>
        <w:rPr>
          <w:spacing w:val="-4"/>
          <w:sz w:val="24"/>
        </w:rPr>
        <w:t> </w:t>
      </w:r>
      <w:r>
        <w:rPr>
          <w:sz w:val="24"/>
        </w:rPr>
        <w:t>and</w:t>
      </w:r>
    </w:p>
    <w:p>
      <w:pPr>
        <w:pStyle w:val="ListParagraph"/>
        <w:numPr>
          <w:ilvl w:val="4"/>
          <w:numId w:val="242"/>
        </w:numPr>
        <w:tabs>
          <w:tab w:pos="2486" w:val="left" w:leader="none"/>
        </w:tabs>
        <w:spacing w:line="240" w:lineRule="auto" w:before="120" w:after="0"/>
        <w:ind w:left="2486" w:right="414" w:hanging="567"/>
        <w:jc w:val="both"/>
        <w:rPr>
          <w:sz w:val="24"/>
        </w:rPr>
      </w:pPr>
      <w:r>
        <w:rPr>
          <w:sz w:val="24"/>
        </w:rPr>
        <w:t>include a statement to the effect that by registering with the </w:t>
      </w:r>
      <w:r>
        <w:rPr>
          <w:i/>
          <w:sz w:val="24"/>
        </w:rPr>
        <w:t>Transmission Network Service Provider </w:t>
      </w:r>
      <w:r>
        <w:rPr>
          <w:sz w:val="24"/>
        </w:rPr>
        <w:t>in accordance with subparagraph (3), the person is giving consent to the use and disclosure of the SENE study information subsequently provided by that person in accordance with clause</w:t>
      </w:r>
      <w:r>
        <w:rPr>
          <w:spacing w:val="-2"/>
          <w:sz w:val="24"/>
        </w:rPr>
        <w:t> </w:t>
      </w:r>
      <w:r>
        <w:rPr>
          <w:sz w:val="24"/>
        </w:rPr>
        <w:t>5.19.7.</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4 Content of SENE Design and Costin" w:id="805"/>
      <w:bookmarkEnd w:id="805"/>
      <w:r>
        <w:rPr>
          <w:b w:val="0"/>
        </w:rPr>
      </w:r>
      <w:bookmarkStart w:name="_bookmark309" w:id="806"/>
      <w:bookmarkEnd w:id="806"/>
      <w:r>
        <w:rPr>
          <w:b w:val="0"/>
        </w:rPr>
      </w:r>
      <w:bookmarkStart w:name="_bookmark309" w:id="807"/>
      <w:bookmarkEnd w:id="807"/>
      <w:r>
        <w:rPr/>
        <w:t>Conten</w:t>
      </w:r>
      <w:r>
        <w:rPr/>
        <w:t>t of SENE Design and Costing</w:t>
      </w:r>
      <w:r>
        <w:rPr>
          <w:spacing w:val="-6"/>
        </w:rPr>
        <w:t> </w:t>
      </w:r>
      <w:r>
        <w:rPr/>
        <w:t>Study</w:t>
      </w:r>
    </w:p>
    <w:p>
      <w:pPr>
        <w:pStyle w:val="BodyText"/>
        <w:ind w:left="1352" w:right="417" w:firstLine="0"/>
      </w:pPr>
      <w:r>
        <w:rPr/>
        <w:t>In negotiating the scope of the SENE Design and Costing Study with the SENE Study Proponent under clause 5.19.3(c), the </w:t>
      </w:r>
      <w:r>
        <w:rPr>
          <w:i/>
        </w:rPr>
        <w:t>Transmission Network Service </w:t>
      </w:r>
      <w:r>
        <w:rPr>
          <w:i/>
        </w:rPr>
        <w:t>Provider </w:t>
      </w:r>
      <w:r>
        <w:rPr/>
        <w:t>must consider the following matters:</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the construction of future </w:t>
      </w:r>
      <w:r>
        <w:rPr>
          <w:i/>
          <w:sz w:val="24"/>
        </w:rPr>
        <w:t>generating systems </w:t>
      </w:r>
      <w:r>
        <w:rPr>
          <w:sz w:val="24"/>
        </w:rPr>
        <w:t>and the capacity of those </w:t>
      </w:r>
      <w:r>
        <w:rPr>
          <w:i/>
          <w:sz w:val="24"/>
        </w:rPr>
        <w:t>generating systems </w:t>
      </w:r>
      <w:r>
        <w:rPr>
          <w:sz w:val="24"/>
        </w:rPr>
        <w:t>in the relevant geographic area that are considered likely to require </w:t>
      </w:r>
      <w:r>
        <w:rPr>
          <w:i/>
          <w:sz w:val="24"/>
        </w:rPr>
        <w:t>connection </w:t>
      </w:r>
      <w:r>
        <w:rPr>
          <w:sz w:val="24"/>
        </w:rPr>
        <w:t>to the </w:t>
      </w:r>
      <w:r>
        <w:rPr>
          <w:i/>
          <w:sz w:val="24"/>
        </w:rPr>
        <w:t>national grid</w:t>
      </w:r>
      <w:r>
        <w:rPr>
          <w:sz w:val="24"/>
        </w:rPr>
        <w:t>, based on forecast generation scenarios;</w:t>
      </w:r>
    </w:p>
    <w:p>
      <w:pPr>
        <w:pStyle w:val="ListParagraph"/>
        <w:numPr>
          <w:ilvl w:val="3"/>
          <w:numId w:val="242"/>
        </w:numPr>
        <w:tabs>
          <w:tab w:pos="1919" w:val="left" w:leader="none"/>
        </w:tabs>
        <w:spacing w:line="240" w:lineRule="auto" w:before="120" w:after="0"/>
        <w:ind w:left="1918" w:right="0" w:hanging="567"/>
        <w:jc w:val="both"/>
        <w:rPr>
          <w:sz w:val="24"/>
        </w:rPr>
      </w:pPr>
      <w:r>
        <w:rPr>
          <w:sz w:val="24"/>
        </w:rPr>
        <w:t>having regard to each forecast generation</w:t>
      </w:r>
      <w:r>
        <w:rPr>
          <w:spacing w:val="-2"/>
          <w:sz w:val="24"/>
        </w:rPr>
        <w:t> </w:t>
      </w:r>
      <w:r>
        <w:rPr>
          <w:sz w:val="24"/>
        </w:rPr>
        <w:t>scenario:</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the most appropriate location of the point of </w:t>
      </w:r>
      <w:r>
        <w:rPr>
          <w:i/>
          <w:sz w:val="24"/>
        </w:rPr>
        <w:t>connection </w:t>
      </w:r>
      <w:r>
        <w:rPr>
          <w:sz w:val="24"/>
        </w:rPr>
        <w:t>of the Scale Efficient Network Extension to the present </w:t>
      </w:r>
      <w:r>
        <w:rPr>
          <w:i/>
          <w:sz w:val="24"/>
        </w:rPr>
        <w:t>transmission</w:t>
      </w:r>
      <w:r>
        <w:rPr>
          <w:i/>
          <w:spacing w:val="-5"/>
          <w:sz w:val="24"/>
        </w:rPr>
        <w:t> </w:t>
      </w:r>
      <w:r>
        <w:rPr>
          <w:i/>
          <w:sz w:val="24"/>
        </w:rPr>
        <w:t>network</w:t>
      </w:r>
      <w:r>
        <w:rPr>
          <w:sz w:val="24"/>
        </w:rPr>
        <w:t>;</w:t>
      </w:r>
    </w:p>
    <w:p>
      <w:pPr>
        <w:pStyle w:val="ListParagraph"/>
        <w:numPr>
          <w:ilvl w:val="4"/>
          <w:numId w:val="242"/>
        </w:numPr>
        <w:tabs>
          <w:tab w:pos="2486" w:val="left" w:leader="none"/>
        </w:tabs>
        <w:spacing w:line="240" w:lineRule="auto" w:before="120" w:after="0"/>
        <w:ind w:left="2486" w:right="414" w:hanging="567"/>
        <w:jc w:val="both"/>
        <w:rPr>
          <w:sz w:val="24"/>
        </w:rPr>
      </w:pPr>
      <w:r>
        <w:rPr>
          <w:sz w:val="24"/>
        </w:rPr>
        <w:t>the configuration of the Scale Efficient Network Extension including the point at which </w:t>
      </w:r>
      <w:r>
        <w:rPr>
          <w:i/>
          <w:sz w:val="24"/>
        </w:rPr>
        <w:t>generating systems </w:t>
      </w:r>
      <w:r>
        <w:rPr>
          <w:sz w:val="24"/>
        </w:rPr>
        <w:t>may connect to the Scale Efficient Network</w:t>
      </w:r>
      <w:r>
        <w:rPr>
          <w:spacing w:val="-2"/>
          <w:sz w:val="24"/>
        </w:rPr>
        <w:t> </w:t>
      </w:r>
      <w:r>
        <w:rPr>
          <w:sz w:val="24"/>
        </w:rPr>
        <w:t>Extension;</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the capacity and technical specifications of the Scale Efficient Network</w:t>
      </w:r>
      <w:r>
        <w:rPr>
          <w:spacing w:val="-2"/>
          <w:sz w:val="24"/>
        </w:rPr>
        <w:t> </w:t>
      </w:r>
      <w:r>
        <w:rPr>
          <w:sz w:val="24"/>
        </w:rPr>
        <w:t>Extension;</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indicative development, operating and other costs for the Scale Efficient Network Extension, based on an indicative timetable for development of the Scale Efficient Network</w:t>
      </w:r>
      <w:r>
        <w:rPr>
          <w:spacing w:val="-4"/>
          <w:sz w:val="24"/>
        </w:rPr>
        <w:t> </w:t>
      </w:r>
      <w:r>
        <w:rPr>
          <w:sz w:val="24"/>
        </w:rPr>
        <w:t>Extension;</w:t>
      </w:r>
    </w:p>
    <w:p>
      <w:pPr>
        <w:pStyle w:val="ListParagraph"/>
        <w:numPr>
          <w:ilvl w:val="4"/>
          <w:numId w:val="242"/>
        </w:numPr>
        <w:tabs>
          <w:tab w:pos="2486" w:val="left" w:leader="none"/>
        </w:tabs>
        <w:spacing w:line="240" w:lineRule="auto" w:before="120" w:after="0"/>
        <w:ind w:left="2486" w:right="415" w:hanging="567"/>
        <w:jc w:val="both"/>
        <w:rPr>
          <w:sz w:val="24"/>
        </w:rPr>
      </w:pPr>
      <w:r>
        <w:rPr>
          <w:sz w:val="24"/>
        </w:rPr>
        <w:t>opportunities for developing the Scale Efficient Network Extension incrementally;</w:t>
      </w:r>
    </w:p>
    <w:p>
      <w:pPr>
        <w:pStyle w:val="ListParagraph"/>
        <w:numPr>
          <w:ilvl w:val="4"/>
          <w:numId w:val="242"/>
        </w:numPr>
        <w:tabs>
          <w:tab w:pos="2486" w:val="left" w:leader="none"/>
        </w:tabs>
        <w:spacing w:line="240" w:lineRule="auto" w:before="120" w:after="0"/>
        <w:ind w:left="2486" w:right="413" w:hanging="567"/>
        <w:jc w:val="both"/>
        <w:rPr>
          <w:sz w:val="24"/>
        </w:rPr>
      </w:pPr>
      <w:r>
        <w:rPr>
          <w:sz w:val="24"/>
        </w:rPr>
        <w:t>the likely impact of the Scale Efficient Network Extension on</w:t>
      </w:r>
      <w:r>
        <w:rPr>
          <w:spacing w:val="35"/>
          <w:sz w:val="24"/>
        </w:rPr>
        <w:t> </w:t>
      </w:r>
      <w:r>
        <w:rPr>
          <w:sz w:val="24"/>
        </w:rPr>
        <w:t>its </w:t>
      </w:r>
      <w:r>
        <w:rPr>
          <w:i/>
          <w:sz w:val="24"/>
        </w:rPr>
        <w:t>transmission network</w:t>
      </w:r>
      <w:r>
        <w:rPr>
          <w:sz w:val="24"/>
        </w:rPr>
        <w:t>, including the type and estimated cost of any other </w:t>
      </w:r>
      <w:r>
        <w:rPr>
          <w:i/>
          <w:sz w:val="24"/>
        </w:rPr>
        <w:t>augmentation </w:t>
      </w:r>
      <w:r>
        <w:rPr>
          <w:sz w:val="24"/>
        </w:rPr>
        <w:t>that would be required to ensure that the Scale Efficient Network Extension did not increase congestion on its </w:t>
      </w:r>
      <w:r>
        <w:rPr>
          <w:i/>
          <w:sz w:val="24"/>
        </w:rPr>
        <w:t>transmission network</w:t>
      </w:r>
      <w:r>
        <w:rPr>
          <w:sz w:val="24"/>
        </w:rPr>
        <w:t>;</w:t>
      </w:r>
    </w:p>
    <w:p>
      <w:pPr>
        <w:pStyle w:val="ListParagraph"/>
        <w:numPr>
          <w:ilvl w:val="4"/>
          <w:numId w:val="242"/>
        </w:numPr>
        <w:tabs>
          <w:tab w:pos="2486" w:val="left" w:leader="none"/>
        </w:tabs>
        <w:spacing w:line="240" w:lineRule="auto" w:before="120" w:after="0"/>
        <w:ind w:left="2485" w:right="0" w:hanging="567"/>
        <w:jc w:val="both"/>
        <w:rPr>
          <w:sz w:val="24"/>
        </w:rPr>
      </w:pPr>
      <w:r>
        <w:rPr>
          <w:sz w:val="24"/>
        </w:rPr>
        <w:t>a comparison</w:t>
      </w:r>
      <w:r>
        <w:rPr>
          <w:spacing w:val="-1"/>
          <w:sz w:val="24"/>
        </w:rPr>
        <w:t> </w:t>
      </w:r>
      <w:r>
        <w:rPr>
          <w:sz w:val="24"/>
        </w:rPr>
        <w:t>between:</w:t>
      </w:r>
    </w:p>
    <w:p>
      <w:pPr>
        <w:spacing w:after="0" w:line="240" w:lineRule="auto"/>
        <w:jc w:val="both"/>
        <w:rPr>
          <w:sz w:val="24"/>
        </w:rPr>
        <w:sectPr>
          <w:pgSz w:w="11910" w:h="16840"/>
          <w:pgMar w:header="686" w:footer="637" w:top="1320" w:bottom="820" w:left="1200" w:right="1000"/>
        </w:sectPr>
      </w:pPr>
    </w:p>
    <w:p>
      <w:pPr>
        <w:pStyle w:val="ListParagraph"/>
        <w:numPr>
          <w:ilvl w:val="5"/>
          <w:numId w:val="242"/>
        </w:numPr>
        <w:tabs>
          <w:tab w:pos="3053" w:val="left" w:leader="none"/>
        </w:tabs>
        <w:spacing w:line="240" w:lineRule="auto" w:before="83" w:after="0"/>
        <w:ind w:left="3053" w:right="415" w:hanging="567"/>
        <w:jc w:val="both"/>
        <w:rPr>
          <w:sz w:val="24"/>
        </w:rPr>
      </w:pPr>
      <w:r>
        <w:rPr>
          <w:sz w:val="24"/>
        </w:rPr>
        <w:t>the estimated total project expenditure (excluding any revenue impact) of forecast </w:t>
      </w:r>
      <w:r>
        <w:rPr>
          <w:i/>
          <w:sz w:val="24"/>
        </w:rPr>
        <w:t>connections </w:t>
      </w:r>
      <w:r>
        <w:rPr>
          <w:sz w:val="24"/>
        </w:rPr>
        <w:t>of </w:t>
      </w:r>
      <w:r>
        <w:rPr>
          <w:i/>
          <w:sz w:val="24"/>
        </w:rPr>
        <w:t>generating systems </w:t>
      </w:r>
      <w:r>
        <w:rPr>
          <w:sz w:val="24"/>
        </w:rPr>
        <w:t>to</w:t>
      </w:r>
      <w:r>
        <w:rPr>
          <w:spacing w:val="34"/>
          <w:sz w:val="24"/>
        </w:rPr>
        <w:t> </w:t>
      </w:r>
      <w:r>
        <w:rPr>
          <w:sz w:val="24"/>
        </w:rPr>
        <w:t>the </w:t>
      </w:r>
      <w:r>
        <w:rPr>
          <w:i/>
          <w:sz w:val="24"/>
        </w:rPr>
        <w:t>Transmission Network Service Provider's network </w:t>
      </w:r>
      <w:r>
        <w:rPr>
          <w:sz w:val="24"/>
        </w:rPr>
        <w:t>as </w:t>
      </w:r>
      <w:r>
        <w:rPr>
          <w:i/>
          <w:sz w:val="24"/>
        </w:rPr>
        <w:t>augmented </w:t>
      </w:r>
      <w:r>
        <w:rPr>
          <w:sz w:val="24"/>
        </w:rPr>
        <w:t>by a Scale Efficient Network Extension;</w:t>
      </w:r>
      <w:r>
        <w:rPr>
          <w:spacing w:val="-3"/>
          <w:sz w:val="24"/>
        </w:rPr>
        <w:t> </w:t>
      </w:r>
      <w:r>
        <w:rPr>
          <w:sz w:val="24"/>
        </w:rPr>
        <w:t>and</w:t>
      </w:r>
    </w:p>
    <w:p>
      <w:pPr>
        <w:pStyle w:val="ListParagraph"/>
        <w:numPr>
          <w:ilvl w:val="5"/>
          <w:numId w:val="242"/>
        </w:numPr>
        <w:tabs>
          <w:tab w:pos="3054" w:val="left" w:leader="none"/>
        </w:tabs>
        <w:spacing w:line="240" w:lineRule="auto" w:before="120" w:after="0"/>
        <w:ind w:left="3053" w:right="415" w:hanging="567"/>
        <w:jc w:val="both"/>
        <w:rPr>
          <w:sz w:val="24"/>
        </w:rPr>
      </w:pPr>
      <w:r>
        <w:rPr>
          <w:sz w:val="24"/>
        </w:rPr>
        <w:t>the estimated total project expenditure (excluding any revenue impact) of forecast </w:t>
      </w:r>
      <w:r>
        <w:rPr>
          <w:i/>
          <w:sz w:val="24"/>
        </w:rPr>
        <w:t>connections </w:t>
      </w:r>
      <w:r>
        <w:rPr>
          <w:sz w:val="24"/>
        </w:rPr>
        <w:t>of </w:t>
      </w:r>
      <w:r>
        <w:rPr>
          <w:i/>
          <w:sz w:val="24"/>
        </w:rPr>
        <w:t>generating systems </w:t>
      </w:r>
      <w:r>
        <w:rPr>
          <w:sz w:val="24"/>
        </w:rPr>
        <w:t>to</w:t>
      </w:r>
      <w:r>
        <w:rPr>
          <w:spacing w:val="34"/>
          <w:sz w:val="24"/>
        </w:rPr>
        <w:t> </w:t>
      </w:r>
      <w:r>
        <w:rPr>
          <w:sz w:val="24"/>
        </w:rPr>
        <w:t>the </w:t>
      </w:r>
      <w:r>
        <w:rPr>
          <w:i/>
          <w:sz w:val="24"/>
        </w:rPr>
        <w:t>Transmission Network Service Provider's network</w:t>
      </w:r>
      <w:r>
        <w:rPr>
          <w:sz w:val="24"/>
        </w:rPr>
        <w:t>, or, if different, the </w:t>
      </w:r>
      <w:r>
        <w:rPr>
          <w:i/>
          <w:sz w:val="24"/>
        </w:rPr>
        <w:t>Local Network Service Provider's network</w:t>
      </w:r>
      <w:r>
        <w:rPr>
          <w:sz w:val="24"/>
        </w:rPr>
        <w:t>, in the same geographic area in the absence of the Scale Efficient Network Extension;</w:t>
      </w:r>
      <w:r>
        <w:rPr>
          <w:spacing w:val="-3"/>
          <w:sz w:val="24"/>
        </w:rPr>
        <w:t> </w:t>
      </w:r>
      <w:r>
        <w:rPr>
          <w:sz w:val="24"/>
        </w:rPr>
        <w:t>and</w:t>
      </w:r>
    </w:p>
    <w:p>
      <w:pPr>
        <w:pStyle w:val="ListParagraph"/>
        <w:numPr>
          <w:ilvl w:val="3"/>
          <w:numId w:val="242"/>
        </w:numPr>
        <w:tabs>
          <w:tab w:pos="1919" w:val="left" w:leader="none"/>
        </w:tabs>
        <w:spacing w:line="240" w:lineRule="auto" w:before="120" w:after="0"/>
        <w:ind w:left="1918" w:right="0" w:hanging="567"/>
        <w:jc w:val="both"/>
        <w:rPr>
          <w:i/>
          <w:sz w:val="24"/>
        </w:rPr>
      </w:pPr>
      <w:r>
        <w:rPr>
          <w:sz w:val="24"/>
        </w:rPr>
        <w:t>the</w:t>
      </w:r>
      <w:r>
        <w:rPr>
          <w:spacing w:val="27"/>
          <w:sz w:val="24"/>
        </w:rPr>
        <w:t> </w:t>
      </w:r>
      <w:r>
        <w:rPr>
          <w:sz w:val="24"/>
        </w:rPr>
        <w:t>most</w:t>
      </w:r>
      <w:r>
        <w:rPr>
          <w:spacing w:val="27"/>
          <w:sz w:val="24"/>
        </w:rPr>
        <w:t> </w:t>
      </w:r>
      <w:r>
        <w:rPr>
          <w:sz w:val="24"/>
        </w:rPr>
        <w:t>recent</w:t>
      </w:r>
      <w:r>
        <w:rPr>
          <w:spacing w:val="27"/>
          <w:sz w:val="24"/>
        </w:rPr>
        <w:t> </w:t>
      </w:r>
      <w:r>
        <w:rPr>
          <w:i/>
          <w:sz w:val="24"/>
        </w:rPr>
        <w:t>NTNDP</w:t>
      </w:r>
      <w:r>
        <w:rPr>
          <w:i/>
          <w:spacing w:val="27"/>
          <w:sz w:val="24"/>
        </w:rPr>
        <w:t> </w:t>
      </w:r>
      <w:r>
        <w:rPr>
          <w:sz w:val="24"/>
        </w:rPr>
        <w:t>and</w:t>
      </w:r>
      <w:r>
        <w:rPr>
          <w:spacing w:val="27"/>
          <w:sz w:val="24"/>
        </w:rPr>
        <w:t> </w:t>
      </w:r>
      <w:r>
        <w:rPr>
          <w:sz w:val="24"/>
        </w:rPr>
        <w:t>the</w:t>
      </w:r>
      <w:r>
        <w:rPr>
          <w:spacing w:val="27"/>
          <w:sz w:val="24"/>
        </w:rPr>
        <w:t> </w:t>
      </w:r>
      <w:r>
        <w:rPr>
          <w:i/>
          <w:sz w:val="24"/>
        </w:rPr>
        <w:t>Transmission</w:t>
      </w:r>
      <w:r>
        <w:rPr>
          <w:i/>
          <w:spacing w:val="27"/>
          <w:sz w:val="24"/>
        </w:rPr>
        <w:t> </w:t>
      </w:r>
      <w:r>
        <w:rPr>
          <w:i/>
          <w:sz w:val="24"/>
        </w:rPr>
        <w:t>Network</w:t>
      </w:r>
      <w:r>
        <w:rPr>
          <w:i/>
          <w:spacing w:val="27"/>
          <w:sz w:val="24"/>
        </w:rPr>
        <w:t> </w:t>
      </w:r>
      <w:r>
        <w:rPr>
          <w:i/>
          <w:sz w:val="24"/>
        </w:rPr>
        <w:t>Service</w:t>
      </w:r>
      <w:r>
        <w:rPr>
          <w:i/>
          <w:spacing w:val="27"/>
          <w:sz w:val="24"/>
        </w:rPr>
        <w:t> </w:t>
      </w:r>
      <w:r>
        <w:rPr>
          <w:i/>
          <w:sz w:val="24"/>
        </w:rPr>
        <w:t>Provider's</w:t>
      </w:r>
    </w:p>
    <w:p>
      <w:pPr>
        <w:spacing w:before="0"/>
        <w:ind w:left="1919" w:right="0" w:firstLine="0"/>
        <w:jc w:val="both"/>
        <w:rPr>
          <w:sz w:val="24"/>
        </w:rPr>
      </w:pPr>
      <w:r>
        <w:rPr>
          <w:sz w:val="24"/>
        </w:rPr>
        <w:t>most recent </w:t>
      </w:r>
      <w:r>
        <w:rPr>
          <w:i/>
          <w:sz w:val="24"/>
        </w:rPr>
        <w:t>Transmission Annual Planning Report </w:t>
      </w:r>
      <w:r>
        <w:rPr>
          <w:sz w:val="24"/>
        </w:rPr>
        <w:t>(to the extent relevant).</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5 Co-operation of other Network Ser" w:id="808"/>
      <w:bookmarkEnd w:id="808"/>
      <w:r>
        <w:rPr>
          <w:b w:val="0"/>
        </w:rPr>
      </w:r>
      <w:bookmarkStart w:name="_bookmark310" w:id="809"/>
      <w:bookmarkEnd w:id="809"/>
      <w:r>
        <w:rPr>
          <w:b w:val="0"/>
        </w:rPr>
      </w:r>
      <w:bookmarkStart w:name="_bookmark310" w:id="810"/>
      <w:bookmarkEnd w:id="810"/>
      <w:r>
        <w:rPr/>
        <w:t>Co-operatio</w:t>
      </w:r>
      <w:r>
        <w:rPr/>
        <w:t>n of other Network Service</w:t>
      </w:r>
      <w:r>
        <w:rPr>
          <w:spacing w:val="-6"/>
        </w:rPr>
        <w:t> </w:t>
      </w:r>
      <w:r>
        <w:rPr/>
        <w:t>Providers</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co-operate with any </w:t>
      </w:r>
      <w:r>
        <w:rPr>
          <w:i/>
          <w:sz w:val="24"/>
        </w:rPr>
        <w:t>Transmission </w:t>
      </w:r>
      <w:r>
        <w:rPr>
          <w:i/>
          <w:sz w:val="24"/>
        </w:rPr>
        <w:t>Network Service Provider </w:t>
      </w:r>
      <w:r>
        <w:rPr>
          <w:sz w:val="24"/>
        </w:rPr>
        <w:t>that is undertaking a SENE Design and Costing Study to enable that </w:t>
      </w:r>
      <w:r>
        <w:rPr>
          <w:i/>
          <w:sz w:val="24"/>
        </w:rPr>
        <w:t>Transmission Network Service Provider </w:t>
      </w:r>
      <w:r>
        <w:rPr>
          <w:sz w:val="24"/>
        </w:rPr>
        <w:t>to undertake the study expeditiously and consider the matters referred to in clause</w:t>
      </w:r>
      <w:r>
        <w:rPr>
          <w:spacing w:val="-9"/>
          <w:sz w:val="24"/>
        </w:rPr>
        <w:t> </w:t>
      </w:r>
      <w:r>
        <w:rPr>
          <w:sz w:val="24"/>
        </w:rPr>
        <w:t>5.19.4.</w:t>
      </w:r>
    </w:p>
    <w:p>
      <w:pPr>
        <w:pStyle w:val="ListParagraph"/>
        <w:numPr>
          <w:ilvl w:val="3"/>
          <w:numId w:val="242"/>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may request data or information (including </w:t>
      </w:r>
      <w:r>
        <w:rPr>
          <w:i/>
          <w:sz w:val="24"/>
        </w:rPr>
        <w:t>confidential information</w:t>
      </w:r>
      <w:r>
        <w:rPr>
          <w:sz w:val="24"/>
        </w:rPr>
        <w:t>) or assistance from another </w:t>
      </w:r>
      <w:r>
        <w:rPr>
          <w:i/>
          <w:sz w:val="24"/>
        </w:rPr>
        <w:t>Network </w:t>
      </w:r>
      <w:r>
        <w:rPr>
          <w:i/>
          <w:sz w:val="24"/>
        </w:rPr>
        <w:t>Service Provider </w:t>
      </w:r>
      <w:r>
        <w:rPr>
          <w:sz w:val="24"/>
        </w:rPr>
        <w:t>for the purposes of undertaking a SENE Design and Costing Study but must meet the reasonable costs of the </w:t>
      </w:r>
      <w:r>
        <w:rPr>
          <w:i/>
          <w:sz w:val="24"/>
        </w:rPr>
        <w:t>Network Service </w:t>
      </w:r>
      <w:r>
        <w:rPr>
          <w:i/>
          <w:sz w:val="24"/>
        </w:rPr>
        <w:t>Provider </w:t>
      </w:r>
      <w:r>
        <w:rPr>
          <w:sz w:val="24"/>
        </w:rPr>
        <w:t>in complying with the</w:t>
      </w:r>
      <w:r>
        <w:rPr>
          <w:spacing w:val="-3"/>
          <w:sz w:val="24"/>
        </w:rPr>
        <w:t> </w:t>
      </w:r>
      <w:r>
        <w:rPr>
          <w:sz w:val="24"/>
        </w:rPr>
        <w:t>request.</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may, but is not required to, provide such data, information or assistance as requested under paragraph (b). If a </w:t>
      </w:r>
      <w:r>
        <w:rPr>
          <w:i/>
          <w:sz w:val="24"/>
        </w:rPr>
        <w:t>Network </w:t>
      </w:r>
      <w:r>
        <w:rPr>
          <w:i/>
          <w:sz w:val="24"/>
        </w:rPr>
        <w:t>Service Provider </w:t>
      </w:r>
      <w:r>
        <w:rPr>
          <w:sz w:val="24"/>
        </w:rPr>
        <w:t>provides such information or data it must identify any information or data that is </w:t>
      </w:r>
      <w:r>
        <w:rPr>
          <w:i/>
          <w:sz w:val="24"/>
        </w:rPr>
        <w:t>confidential</w:t>
      </w:r>
      <w:r>
        <w:rPr>
          <w:i/>
          <w:spacing w:val="-1"/>
          <w:sz w:val="24"/>
        </w:rPr>
        <w:t> </w:t>
      </w:r>
      <w:r>
        <w:rPr>
          <w:i/>
          <w:sz w:val="24"/>
        </w:rPr>
        <w:t>information</w:t>
      </w:r>
      <w:r>
        <w:rPr>
          <w:sz w:val="24"/>
        </w:rPr>
        <w:t>.</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6 Publication of SENE Design and Co" w:id="811"/>
      <w:bookmarkEnd w:id="811"/>
      <w:r>
        <w:rPr>
          <w:b w:val="0"/>
        </w:rPr>
      </w:r>
      <w:bookmarkStart w:name="_bookmark311" w:id="812"/>
      <w:bookmarkEnd w:id="812"/>
      <w:r>
        <w:rPr>
          <w:b w:val="0"/>
        </w:rPr>
      </w:r>
      <w:bookmarkStart w:name="_bookmark311" w:id="813"/>
      <w:bookmarkEnd w:id="813"/>
      <w:r>
        <w:rPr/>
        <w:t>Publ</w:t>
      </w:r>
      <w:r>
        <w:rPr/>
        <w:t>ication of SENE Design and Costing Study</w:t>
      </w:r>
      <w:r>
        <w:rPr>
          <w:spacing w:val="-6"/>
        </w:rPr>
        <w:t> </w:t>
      </w:r>
      <w:r>
        <w:rPr/>
        <w:t>report</w:t>
      </w:r>
    </w:p>
    <w:p>
      <w:pPr>
        <w:pStyle w:val="BodyText"/>
        <w:ind w:left="1352" w:right="415" w:firstLine="0"/>
      </w:pPr>
      <w:r>
        <w:rPr/>
        <w:t>As soon as practicable after the SENE Design and Costing Study is completed, the </w:t>
      </w:r>
      <w:r>
        <w:rPr>
          <w:i/>
        </w:rPr>
        <w:t>Transmission Network Service Provider </w:t>
      </w:r>
      <w:r>
        <w:rPr/>
        <w:t>that undertook the study must publish on its website a report of the study that includes:</w:t>
      </w:r>
    </w:p>
    <w:p>
      <w:pPr>
        <w:pStyle w:val="ListParagraph"/>
        <w:numPr>
          <w:ilvl w:val="3"/>
          <w:numId w:val="242"/>
        </w:numPr>
        <w:tabs>
          <w:tab w:pos="1918" w:val="left" w:leader="none"/>
          <w:tab w:pos="1919" w:val="left" w:leader="none"/>
        </w:tabs>
        <w:spacing w:line="240" w:lineRule="auto" w:before="120" w:after="0"/>
        <w:ind w:left="1918" w:right="0" w:hanging="567"/>
        <w:jc w:val="left"/>
        <w:rPr>
          <w:sz w:val="24"/>
        </w:rPr>
      </w:pPr>
      <w:r>
        <w:rPr>
          <w:sz w:val="24"/>
        </w:rPr>
        <w:t>a description of the scope of the SENE Design and Costing</w:t>
      </w:r>
      <w:r>
        <w:rPr>
          <w:spacing w:val="-8"/>
          <w:sz w:val="24"/>
        </w:rPr>
        <w:t> </w:t>
      </w:r>
      <w:r>
        <w:rPr>
          <w:sz w:val="24"/>
        </w:rPr>
        <w:t>Study;</w:t>
      </w:r>
    </w:p>
    <w:p>
      <w:pPr>
        <w:pStyle w:val="ListParagraph"/>
        <w:numPr>
          <w:ilvl w:val="3"/>
          <w:numId w:val="242"/>
        </w:numPr>
        <w:tabs>
          <w:tab w:pos="1918" w:val="left" w:leader="none"/>
          <w:tab w:pos="1919" w:val="left" w:leader="none"/>
        </w:tabs>
        <w:spacing w:line="240" w:lineRule="auto" w:before="120" w:after="0"/>
        <w:ind w:left="1919" w:right="416" w:hanging="567"/>
        <w:jc w:val="left"/>
        <w:rPr>
          <w:sz w:val="24"/>
        </w:rPr>
      </w:pPr>
      <w:r>
        <w:rPr>
          <w:sz w:val="24"/>
        </w:rPr>
        <w:t>a description of the Scale Efficient Network Extension for each forecast generation scenario considered in the study, including its</w:t>
      </w:r>
      <w:r>
        <w:rPr>
          <w:spacing w:val="-10"/>
          <w:sz w:val="24"/>
        </w:rPr>
        <w:t> </w:t>
      </w:r>
      <w:r>
        <w:rPr>
          <w:sz w:val="24"/>
        </w:rPr>
        <w:t>configuration;</w:t>
      </w:r>
    </w:p>
    <w:p>
      <w:pPr>
        <w:pStyle w:val="ListParagraph"/>
        <w:numPr>
          <w:ilvl w:val="3"/>
          <w:numId w:val="242"/>
        </w:numPr>
        <w:tabs>
          <w:tab w:pos="1918" w:val="left" w:leader="none"/>
          <w:tab w:pos="1919" w:val="left" w:leader="none"/>
        </w:tabs>
        <w:spacing w:line="240" w:lineRule="auto" w:before="120" w:after="0"/>
        <w:ind w:left="1918" w:right="0" w:hanging="567"/>
        <w:jc w:val="left"/>
        <w:rPr>
          <w:sz w:val="24"/>
        </w:rPr>
      </w:pPr>
      <w:r>
        <w:rPr>
          <w:sz w:val="24"/>
        </w:rPr>
        <w:t>any assumptions made as part of the</w:t>
      </w:r>
      <w:r>
        <w:rPr>
          <w:spacing w:val="-2"/>
          <w:sz w:val="24"/>
        </w:rPr>
        <w:t> </w:t>
      </w:r>
      <w:r>
        <w:rPr>
          <w:sz w:val="24"/>
        </w:rPr>
        <w:t>study;</w:t>
      </w:r>
    </w:p>
    <w:p>
      <w:pPr>
        <w:pStyle w:val="ListParagraph"/>
        <w:numPr>
          <w:ilvl w:val="3"/>
          <w:numId w:val="242"/>
        </w:numPr>
        <w:tabs>
          <w:tab w:pos="1918" w:val="left" w:leader="none"/>
          <w:tab w:pos="1919" w:val="left" w:leader="none"/>
        </w:tabs>
        <w:spacing w:line="240" w:lineRule="auto" w:before="120" w:after="0"/>
        <w:ind w:left="1919" w:right="416" w:hanging="567"/>
        <w:jc w:val="left"/>
        <w:rPr>
          <w:sz w:val="24"/>
        </w:rPr>
      </w:pPr>
      <w:r>
        <w:rPr>
          <w:sz w:val="24"/>
        </w:rPr>
        <w:t>a summary of the key matters considered as part of the SENE Design and Costing Study;</w:t>
      </w:r>
      <w:r>
        <w:rPr>
          <w:spacing w:val="-2"/>
          <w:sz w:val="24"/>
        </w:rPr>
        <w:t> </w:t>
      </w:r>
      <w:r>
        <w:rPr>
          <w:sz w:val="24"/>
        </w:rPr>
        <w:t>and</w:t>
      </w:r>
    </w:p>
    <w:p>
      <w:pPr>
        <w:pStyle w:val="ListParagraph"/>
        <w:numPr>
          <w:ilvl w:val="3"/>
          <w:numId w:val="242"/>
        </w:numPr>
        <w:tabs>
          <w:tab w:pos="1918" w:val="left" w:leader="none"/>
          <w:tab w:pos="1919" w:val="left" w:leader="none"/>
        </w:tabs>
        <w:spacing w:line="240" w:lineRule="auto" w:before="120" w:after="0"/>
        <w:ind w:left="1919" w:right="414" w:hanging="567"/>
        <w:jc w:val="left"/>
        <w:rPr>
          <w:sz w:val="24"/>
        </w:rPr>
      </w:pPr>
      <w:r>
        <w:rPr>
          <w:sz w:val="24"/>
        </w:rPr>
        <w:t>the study's conclusions as well as an explanation of the reasoning which underlies those</w:t>
      </w:r>
      <w:r>
        <w:rPr>
          <w:spacing w:val="-1"/>
          <w:sz w:val="24"/>
        </w:rPr>
        <w:t> </w:t>
      </w:r>
      <w:r>
        <w:rPr>
          <w:sz w:val="24"/>
        </w:rPr>
        <w:t>conclusions.</w:t>
      </w:r>
    </w:p>
    <w:p>
      <w:pPr>
        <w:pStyle w:val="BodyText"/>
        <w:spacing w:before="10"/>
        <w:ind w:firstLine="0"/>
        <w:jc w:val="left"/>
        <w:rPr>
          <w:sz w:val="20"/>
        </w:rPr>
      </w:pPr>
    </w:p>
    <w:p>
      <w:pPr>
        <w:pStyle w:val="Heading4"/>
        <w:numPr>
          <w:ilvl w:val="2"/>
          <w:numId w:val="242"/>
        </w:numPr>
        <w:tabs>
          <w:tab w:pos="1351" w:val="left" w:leader="none"/>
          <w:tab w:pos="1352" w:val="left" w:leader="none"/>
        </w:tabs>
        <w:spacing w:line="240" w:lineRule="auto" w:before="0" w:after="0"/>
        <w:ind w:left="1351" w:right="0" w:hanging="1134"/>
        <w:jc w:val="left"/>
      </w:pPr>
      <w:bookmarkStart w:name="5.19.7 Provision and use of information" w:id="814"/>
      <w:bookmarkEnd w:id="814"/>
      <w:r>
        <w:rPr>
          <w:b w:val="0"/>
        </w:rPr>
      </w:r>
      <w:bookmarkStart w:name="_bookmark312" w:id="815"/>
      <w:bookmarkEnd w:id="815"/>
      <w:r>
        <w:rPr>
          <w:b w:val="0"/>
        </w:rPr>
      </w:r>
      <w:bookmarkStart w:name="_bookmark312" w:id="816"/>
      <w:bookmarkEnd w:id="816"/>
      <w:r>
        <w:rPr/>
        <w:t>Provision</w:t>
      </w:r>
      <w:r>
        <w:rPr/>
        <w:t> and use of</w:t>
      </w:r>
      <w:r>
        <w:rPr>
          <w:spacing w:val="-1"/>
        </w:rPr>
        <w:t> </w:t>
      </w:r>
      <w:r>
        <w:rPr/>
        <w:t>information</w:t>
      </w:r>
    </w:p>
    <w:p>
      <w:pPr>
        <w:pStyle w:val="ListParagraph"/>
        <w:numPr>
          <w:ilvl w:val="3"/>
          <w:numId w:val="242"/>
        </w:numPr>
        <w:tabs>
          <w:tab w:pos="1918" w:val="left" w:leader="none"/>
          <w:tab w:pos="1919" w:val="left" w:leader="none"/>
        </w:tabs>
        <w:spacing w:line="240" w:lineRule="auto" w:before="120" w:after="0"/>
        <w:ind w:left="1918" w:right="0" w:hanging="567"/>
        <w:jc w:val="left"/>
        <w:rPr>
          <w:sz w:val="24"/>
        </w:rPr>
      </w:pPr>
      <w:r>
        <w:rPr>
          <w:sz w:val="24"/>
        </w:rPr>
        <w:t>The SENE study information</w:t>
      </w:r>
      <w:r>
        <w:rPr>
          <w:spacing w:val="-3"/>
          <w:sz w:val="24"/>
        </w:rPr>
        <w:t> </w:t>
      </w:r>
      <w:r>
        <w:rPr>
          <w:sz w:val="24"/>
        </w:rPr>
        <w:t>must:</w:t>
      </w:r>
    </w:p>
    <w:p>
      <w:pPr>
        <w:pStyle w:val="ListParagraph"/>
        <w:numPr>
          <w:ilvl w:val="4"/>
          <w:numId w:val="242"/>
        </w:numPr>
        <w:tabs>
          <w:tab w:pos="2485" w:val="left" w:leader="none"/>
          <w:tab w:pos="2486" w:val="left" w:leader="none"/>
        </w:tabs>
        <w:spacing w:line="240" w:lineRule="auto" w:before="120" w:after="0"/>
        <w:ind w:left="2485" w:right="0" w:hanging="567"/>
        <w:jc w:val="left"/>
        <w:rPr>
          <w:sz w:val="24"/>
        </w:rPr>
      </w:pPr>
      <w:r>
        <w:rPr>
          <w:sz w:val="24"/>
        </w:rPr>
        <w:t>be prepared, given and used in good faith;</w:t>
      </w:r>
      <w:r>
        <w:rPr>
          <w:spacing w:val="-1"/>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4"/>
          <w:numId w:val="242"/>
        </w:numPr>
        <w:tabs>
          <w:tab w:pos="2486" w:val="left" w:leader="none"/>
        </w:tabs>
        <w:spacing w:line="240" w:lineRule="auto" w:before="83" w:after="0"/>
        <w:ind w:left="2486" w:right="415" w:hanging="567"/>
        <w:jc w:val="both"/>
        <w:rPr>
          <w:sz w:val="24"/>
        </w:rPr>
      </w:pPr>
      <w:r>
        <w:rPr>
          <w:sz w:val="24"/>
        </w:rPr>
        <w:t>not be disclosed or made available by the relevant </w:t>
      </w:r>
      <w:r>
        <w:rPr>
          <w:i/>
          <w:sz w:val="24"/>
        </w:rPr>
        <w:t>Transmission </w:t>
      </w:r>
      <w:r>
        <w:rPr>
          <w:i/>
          <w:sz w:val="24"/>
        </w:rPr>
        <w:t>Network Service Provider </w:t>
      </w:r>
      <w:r>
        <w:rPr>
          <w:sz w:val="24"/>
        </w:rPr>
        <w:t>to a third party except as set out in this clause 5.19.7 or in accordance with rule 8.6 as if it were </w:t>
      </w:r>
      <w:r>
        <w:rPr>
          <w:i/>
          <w:sz w:val="24"/>
        </w:rPr>
        <w:t>confidential </w:t>
      </w:r>
      <w:r>
        <w:rPr>
          <w:i/>
          <w:sz w:val="24"/>
        </w:rPr>
        <w:t>information </w:t>
      </w:r>
      <w:r>
        <w:rPr>
          <w:sz w:val="24"/>
        </w:rPr>
        <w:t>for the purposes of that</w:t>
      </w:r>
      <w:r>
        <w:rPr>
          <w:spacing w:val="-2"/>
          <w:sz w:val="24"/>
        </w:rPr>
        <w:t> </w:t>
      </w:r>
      <w:r>
        <w:rPr>
          <w:sz w:val="24"/>
        </w:rPr>
        <w:t>rule.</w:t>
      </w:r>
    </w:p>
    <w:p>
      <w:pPr>
        <w:pStyle w:val="ListParagraph"/>
        <w:numPr>
          <w:ilvl w:val="3"/>
          <w:numId w:val="242"/>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conducting a SENE Design and Costing Study may disclose SENE study information to another </w:t>
      </w:r>
      <w:r>
        <w:rPr>
          <w:i/>
          <w:sz w:val="24"/>
        </w:rPr>
        <w:t>Network </w:t>
      </w:r>
      <w:r>
        <w:rPr>
          <w:i/>
          <w:sz w:val="24"/>
        </w:rPr>
        <w:t>Service Provider </w:t>
      </w:r>
      <w:r>
        <w:rPr>
          <w:sz w:val="24"/>
        </w:rPr>
        <w:t>if the relevant </w:t>
      </w:r>
      <w:r>
        <w:rPr>
          <w:i/>
          <w:sz w:val="24"/>
        </w:rPr>
        <w:t>Transmission Network Service Provider </w:t>
      </w:r>
      <w:r>
        <w:rPr>
          <w:sz w:val="24"/>
        </w:rPr>
        <w:t>considers the data or information is materially relevant to that provider for the purposes of providing information or assistance under clause</w:t>
      </w:r>
      <w:r>
        <w:rPr>
          <w:spacing w:val="-3"/>
          <w:sz w:val="24"/>
        </w:rPr>
        <w:t> </w:t>
      </w:r>
      <w:r>
        <w:rPr>
          <w:sz w:val="24"/>
        </w:rPr>
        <w:t>5.19.5.</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If a </w:t>
      </w:r>
      <w:r>
        <w:rPr>
          <w:i/>
          <w:sz w:val="24"/>
        </w:rPr>
        <w:t>Transmission Network Service Provider </w:t>
      </w:r>
      <w:r>
        <w:rPr>
          <w:sz w:val="24"/>
        </w:rPr>
        <w:t>intends to disclose information under paragraph (b), it must first advise the relevant information provider of the extent of the disclosure, unless the information may be disclosed in accordance with rule</w:t>
      </w:r>
      <w:r>
        <w:rPr>
          <w:spacing w:val="-2"/>
          <w:sz w:val="24"/>
        </w:rPr>
        <w:t> </w:t>
      </w:r>
      <w:r>
        <w:rPr>
          <w:sz w:val="24"/>
        </w:rPr>
        <w:t>8.6.</w:t>
      </w:r>
    </w:p>
    <w:p>
      <w:pPr>
        <w:pStyle w:val="ListParagraph"/>
        <w:numPr>
          <w:ilvl w:val="3"/>
          <w:numId w:val="242"/>
        </w:numPr>
        <w:tabs>
          <w:tab w:pos="1919" w:val="left" w:leader="none"/>
        </w:tabs>
        <w:spacing w:line="240" w:lineRule="auto" w:before="120" w:after="0"/>
        <w:ind w:left="1918" w:right="0" w:hanging="567"/>
        <w:jc w:val="both"/>
        <w:rPr>
          <w:sz w:val="24"/>
        </w:rPr>
      </w:pPr>
      <w:r>
        <w:rPr>
          <w:sz w:val="24"/>
        </w:rPr>
        <w:t>A </w:t>
      </w:r>
      <w:r>
        <w:rPr>
          <w:i/>
          <w:sz w:val="24"/>
        </w:rPr>
        <w:t>Transmission Network Service Provider</w:t>
      </w:r>
      <w:r>
        <w:rPr>
          <w:i/>
          <w:spacing w:val="-3"/>
          <w:sz w:val="24"/>
        </w:rPr>
        <w:t> </w:t>
      </w:r>
      <w:r>
        <w:rPr>
          <w:sz w:val="24"/>
        </w:rPr>
        <w:t>may:</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use SENE study information to prepare the relevant SENE Design and Costing Study or any future SENE Design and Costing Study;</w:t>
      </w:r>
      <w:r>
        <w:rPr>
          <w:spacing w:val="-12"/>
          <w:sz w:val="24"/>
        </w:rPr>
        <w:t> </w:t>
      </w:r>
      <w:r>
        <w:rPr>
          <w:sz w:val="24"/>
        </w:rPr>
        <w:t>and</w:t>
      </w:r>
    </w:p>
    <w:p>
      <w:pPr>
        <w:pStyle w:val="ListParagraph"/>
        <w:numPr>
          <w:ilvl w:val="4"/>
          <w:numId w:val="242"/>
        </w:numPr>
        <w:tabs>
          <w:tab w:pos="2486" w:val="left" w:leader="none"/>
        </w:tabs>
        <w:spacing w:line="240" w:lineRule="auto" w:before="120" w:after="0"/>
        <w:ind w:left="2486" w:right="416" w:hanging="567"/>
        <w:jc w:val="both"/>
        <w:rPr>
          <w:sz w:val="24"/>
        </w:rPr>
      </w:pPr>
      <w:r>
        <w:rPr>
          <w:sz w:val="24"/>
        </w:rPr>
        <w:t>subject to paragraph (e), include SENE study information in a report published under clause</w:t>
      </w:r>
      <w:r>
        <w:rPr>
          <w:spacing w:val="-1"/>
          <w:sz w:val="24"/>
        </w:rPr>
        <w:t> </w:t>
      </w:r>
      <w:r>
        <w:rPr>
          <w:sz w:val="24"/>
        </w:rPr>
        <w:t>5.19.6.</w:t>
      </w:r>
    </w:p>
    <w:p>
      <w:pPr>
        <w:pStyle w:val="ListParagraph"/>
        <w:numPr>
          <w:ilvl w:val="3"/>
          <w:numId w:val="242"/>
        </w:numPr>
        <w:tabs>
          <w:tab w:pos="1919" w:val="left" w:leader="none"/>
        </w:tabs>
        <w:spacing w:line="240" w:lineRule="auto" w:before="120" w:after="0"/>
        <w:ind w:left="1919" w:right="415" w:hanging="567"/>
        <w:jc w:val="both"/>
        <w:rPr>
          <w:sz w:val="24"/>
        </w:rPr>
      </w:pPr>
      <w:r>
        <w:rPr>
          <w:sz w:val="24"/>
        </w:rPr>
        <w:t>A </w:t>
      </w:r>
      <w:r>
        <w:rPr>
          <w:i/>
          <w:sz w:val="24"/>
        </w:rPr>
        <w:t>Transmission Network Service Provider </w:t>
      </w:r>
      <w:r>
        <w:rPr>
          <w:sz w:val="24"/>
        </w:rPr>
        <w:t>must not include in a</w:t>
      </w:r>
      <w:r>
        <w:rPr>
          <w:spacing w:val="29"/>
          <w:sz w:val="24"/>
        </w:rPr>
        <w:t> </w:t>
      </w:r>
      <w:r>
        <w:rPr>
          <w:sz w:val="24"/>
        </w:rPr>
        <w:t>report published under clause 5.19.6, SENE study information which the relevant </w:t>
      </w:r>
      <w:r>
        <w:rPr>
          <w:i/>
          <w:sz w:val="24"/>
        </w:rPr>
        <w:t>Network Service Provider </w:t>
      </w:r>
      <w:r>
        <w:rPr>
          <w:sz w:val="24"/>
        </w:rPr>
        <w:t>has identified as </w:t>
      </w:r>
      <w:r>
        <w:rPr>
          <w:i/>
          <w:sz w:val="24"/>
        </w:rPr>
        <w:t>confidential information </w:t>
      </w:r>
      <w:r>
        <w:rPr>
          <w:sz w:val="24"/>
        </w:rPr>
        <w:t>under clause</w:t>
      </w:r>
      <w:r>
        <w:rPr>
          <w:spacing w:val="-1"/>
          <w:sz w:val="24"/>
        </w:rPr>
        <w:t> </w:t>
      </w:r>
      <w:r>
        <w:rPr>
          <w:sz w:val="24"/>
        </w:rPr>
        <w:t>5.19.5(c).</w:t>
      </w:r>
    </w:p>
    <w:p>
      <w:pPr>
        <w:pStyle w:val="BodyText"/>
        <w:spacing w:before="10"/>
        <w:ind w:firstLine="0"/>
        <w:jc w:val="left"/>
        <w:rPr>
          <w:sz w:val="20"/>
        </w:rPr>
      </w:pPr>
    </w:p>
    <w:p>
      <w:pPr>
        <w:pStyle w:val="Heading3"/>
        <w:numPr>
          <w:ilvl w:val="1"/>
          <w:numId w:val="241"/>
        </w:numPr>
        <w:tabs>
          <w:tab w:pos="1351" w:val="left" w:leader="none"/>
          <w:tab w:pos="1353" w:val="left" w:leader="none"/>
        </w:tabs>
        <w:spacing w:line="240" w:lineRule="auto" w:before="0" w:after="0"/>
        <w:ind w:left="1352" w:right="0" w:hanging="1135"/>
        <w:jc w:val="left"/>
      </w:pPr>
      <w:bookmarkStart w:name="5.20 National transmission planning" w:id="817"/>
      <w:bookmarkEnd w:id="817"/>
      <w:r>
        <w:rPr>
          <w:b w:val="0"/>
        </w:rPr>
      </w:r>
      <w:bookmarkStart w:name="_bookmark313" w:id="818"/>
      <w:bookmarkEnd w:id="818"/>
      <w:r>
        <w:rPr>
          <w:b w:val="0"/>
        </w:rPr>
      </w:r>
      <w:bookmarkStart w:name="_bookmark313" w:id="819"/>
      <w:bookmarkEnd w:id="819"/>
      <w:r>
        <w:rPr/>
        <w:t>Nation</w:t>
      </w:r>
      <w:r>
        <w:rPr/>
        <w:t>al transmission</w:t>
      </w:r>
      <w:r>
        <w:rPr>
          <w:spacing w:val="-16"/>
        </w:rPr>
        <w:t> </w:t>
      </w:r>
      <w:r>
        <w:rPr/>
        <w:t>planning</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w:t>
      </w:r>
    </w:p>
    <w:p>
      <w:pPr>
        <w:pStyle w:val="BodyText"/>
        <w:ind w:left="1352" w:firstLine="0"/>
      </w:pPr>
      <w:r>
        <w:rPr/>
        <w:t>In this rule:</w:t>
      </w:r>
    </w:p>
    <w:p>
      <w:pPr>
        <w:spacing w:before="120"/>
        <w:ind w:left="1352" w:right="415" w:firstLine="0"/>
        <w:jc w:val="both"/>
        <w:rPr>
          <w:sz w:val="24"/>
        </w:rPr>
      </w:pPr>
      <w:r>
        <w:rPr>
          <w:b/>
          <w:sz w:val="24"/>
        </w:rPr>
        <w:t>NSCAS trigger date </w:t>
      </w:r>
      <w:r>
        <w:rPr>
          <w:sz w:val="24"/>
        </w:rPr>
        <w:t>means for any </w:t>
      </w:r>
      <w:r>
        <w:rPr>
          <w:i/>
          <w:sz w:val="24"/>
        </w:rPr>
        <w:t>NSCAS gap </w:t>
      </w:r>
      <w:r>
        <w:rPr>
          <w:sz w:val="24"/>
        </w:rPr>
        <w:t>identified in clause 5.20.2(c)(8)(i), the date that the </w:t>
      </w:r>
      <w:r>
        <w:rPr>
          <w:i/>
          <w:sz w:val="24"/>
        </w:rPr>
        <w:t>NSCAS gap </w:t>
      </w:r>
      <w:r>
        <w:rPr>
          <w:sz w:val="24"/>
        </w:rPr>
        <w:t>first arises.</w:t>
      </w:r>
    </w:p>
    <w:p>
      <w:pPr>
        <w:pStyle w:val="BodyText"/>
        <w:ind w:left="1352" w:right="415" w:firstLine="0"/>
      </w:pPr>
      <w:r>
        <w:rPr>
          <w:b/>
        </w:rPr>
        <w:t>NSCAS tender date </w:t>
      </w:r>
      <w:r>
        <w:rPr/>
        <w:t>means for any </w:t>
      </w:r>
      <w:r>
        <w:rPr>
          <w:i/>
        </w:rPr>
        <w:t>NSCAS gap </w:t>
      </w:r>
      <w:r>
        <w:rPr/>
        <w:t>identified in clause 5.20.2(c)(8)(i), the date or indicative date that </w:t>
      </w:r>
      <w:r>
        <w:rPr>
          <w:i/>
        </w:rPr>
        <w:t>AEMO </w:t>
      </w:r>
      <w:r>
        <w:rPr/>
        <w:t>would need to act so as to call for offers to acquire </w:t>
      </w:r>
      <w:r>
        <w:rPr>
          <w:i/>
        </w:rPr>
        <w:t>NSCAS </w:t>
      </w:r>
      <w:r>
        <w:rPr/>
        <w:t>to meet that </w:t>
      </w:r>
      <w:r>
        <w:rPr>
          <w:i/>
        </w:rPr>
        <w:t>NSCAS gap </w:t>
      </w:r>
      <w:r>
        <w:rPr/>
        <w:t>by the relevant NSCAS trigger date in accordance with clause</w:t>
      </w:r>
      <w:r>
        <w:rPr>
          <w:spacing w:val="-2"/>
        </w:rPr>
        <w:t> </w:t>
      </w:r>
      <w:r>
        <w:rPr/>
        <w:t>3.11.3(c)(4).</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1 Preliminary consultation" w:id="820"/>
      <w:bookmarkEnd w:id="820"/>
      <w:r>
        <w:rPr>
          <w:b w:val="0"/>
        </w:rPr>
      </w:r>
      <w:bookmarkStart w:name="_bookmark314" w:id="821"/>
      <w:bookmarkEnd w:id="821"/>
      <w:r>
        <w:rPr>
          <w:b w:val="0"/>
        </w:rPr>
      </w:r>
      <w:bookmarkStart w:name="_bookmark314" w:id="822"/>
      <w:bookmarkEnd w:id="822"/>
      <w:r>
        <w:rPr/>
        <w:t>Preliminary</w:t>
      </w:r>
      <w:r>
        <w:rPr>
          <w:spacing w:val="-1"/>
        </w:rPr>
        <w:t> </w:t>
      </w:r>
      <w:r>
        <w:rPr/>
        <w:t>consultation</w:t>
      </w:r>
    </w:p>
    <w:p>
      <w:pPr>
        <w:pStyle w:val="ListParagraph"/>
        <w:numPr>
          <w:ilvl w:val="3"/>
          <w:numId w:val="243"/>
        </w:numPr>
        <w:tabs>
          <w:tab w:pos="1919" w:val="left" w:leader="none"/>
        </w:tabs>
        <w:spacing w:line="240" w:lineRule="auto" w:before="120" w:after="0"/>
        <w:ind w:left="1918" w:right="0" w:hanging="567"/>
        <w:jc w:val="both"/>
        <w:rPr>
          <w:sz w:val="24"/>
        </w:rPr>
      </w:pPr>
      <w:r>
        <w:rPr>
          <w:sz w:val="24"/>
        </w:rPr>
        <w:t>By no later than 30 January each year, </w:t>
      </w:r>
      <w:r>
        <w:rPr>
          <w:i/>
          <w:sz w:val="24"/>
        </w:rPr>
        <w:t>AEMO </w:t>
      </w:r>
      <w:r>
        <w:rPr>
          <w:sz w:val="24"/>
        </w:rPr>
        <w:t>must</w:t>
      </w:r>
      <w:r>
        <w:rPr>
          <w:spacing w:val="-2"/>
          <w:sz w:val="24"/>
        </w:rPr>
        <w:t> </w:t>
      </w:r>
      <w:r>
        <w:rPr>
          <w:i/>
          <w:sz w:val="24"/>
        </w:rPr>
        <w:t>publish</w:t>
      </w:r>
      <w:r>
        <w:rPr>
          <w:sz w:val="24"/>
        </w:rPr>
        <w:t>:</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a document that sets out the </w:t>
      </w:r>
      <w:r>
        <w:rPr>
          <w:i/>
          <w:sz w:val="24"/>
        </w:rPr>
        <w:t>NTNDP inputs </w:t>
      </w:r>
      <w:r>
        <w:rPr>
          <w:sz w:val="24"/>
        </w:rPr>
        <w:t>that it proposes to use for the preparation or revision of the </w:t>
      </w:r>
      <w:r>
        <w:rPr>
          <w:i/>
          <w:sz w:val="24"/>
        </w:rPr>
        <w:t>NTNDP </w:t>
      </w:r>
      <w:r>
        <w:rPr>
          <w:sz w:val="24"/>
        </w:rPr>
        <w:t>for the following calendar year;</w:t>
      </w:r>
      <w:r>
        <w:rPr>
          <w:spacing w:val="-1"/>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a document (the </w:t>
      </w:r>
      <w:r>
        <w:rPr>
          <w:b/>
          <w:sz w:val="24"/>
        </w:rPr>
        <w:t>statement of material</w:t>
      </w:r>
      <w:r>
        <w:rPr>
          <w:b/>
          <w:spacing w:val="-2"/>
          <w:sz w:val="24"/>
        </w:rPr>
        <w:t> </w:t>
      </w:r>
      <w:r>
        <w:rPr>
          <w:b/>
          <w:sz w:val="24"/>
        </w:rPr>
        <w:t>issues</w:t>
      </w:r>
      <w:r>
        <w:rPr>
          <w:sz w:val="24"/>
        </w:rPr>
        <w:t>):</w:t>
      </w:r>
    </w:p>
    <w:p>
      <w:pPr>
        <w:pStyle w:val="ListParagraph"/>
        <w:numPr>
          <w:ilvl w:val="5"/>
          <w:numId w:val="243"/>
        </w:numPr>
        <w:tabs>
          <w:tab w:pos="3053" w:val="left" w:leader="none"/>
        </w:tabs>
        <w:spacing w:line="240" w:lineRule="auto" w:before="120" w:after="0"/>
        <w:ind w:left="3053" w:right="413" w:hanging="567"/>
        <w:jc w:val="both"/>
        <w:rPr>
          <w:sz w:val="24"/>
        </w:rPr>
      </w:pPr>
      <w:r>
        <w:rPr>
          <w:sz w:val="24"/>
        </w:rPr>
        <w:t>summarising the issues </w:t>
      </w:r>
      <w:r>
        <w:rPr>
          <w:i/>
          <w:sz w:val="24"/>
        </w:rPr>
        <w:t>AEMO </w:t>
      </w:r>
      <w:r>
        <w:rPr>
          <w:sz w:val="24"/>
        </w:rPr>
        <w:t>considers to be the material issues involved in the preparation or revision of the </w:t>
      </w:r>
      <w:r>
        <w:rPr>
          <w:i/>
          <w:sz w:val="24"/>
        </w:rPr>
        <w:t>NTNDP </w:t>
      </w:r>
      <w:r>
        <w:rPr>
          <w:sz w:val="24"/>
        </w:rPr>
        <w:t>for the following calendar year;</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5"/>
          <w:numId w:val="243"/>
        </w:numPr>
        <w:tabs>
          <w:tab w:pos="3054" w:val="left" w:leader="none"/>
        </w:tabs>
        <w:spacing w:line="240" w:lineRule="auto" w:before="83" w:after="0"/>
        <w:ind w:left="3053" w:right="415" w:hanging="567"/>
        <w:jc w:val="both"/>
        <w:rPr>
          <w:sz w:val="24"/>
        </w:rPr>
      </w:pPr>
      <w:r>
        <w:rPr>
          <w:sz w:val="24"/>
        </w:rPr>
        <w:t>giving an indication of </w:t>
      </w:r>
      <w:r>
        <w:rPr>
          <w:i/>
          <w:sz w:val="24"/>
        </w:rPr>
        <w:t>AEMO's </w:t>
      </w:r>
      <w:r>
        <w:rPr>
          <w:sz w:val="24"/>
        </w:rPr>
        <w:t>preliminary views on how those issues should be resolved;</w:t>
      </w:r>
      <w:r>
        <w:rPr>
          <w:spacing w:val="-3"/>
          <w:sz w:val="24"/>
        </w:rPr>
        <w:t> </w:t>
      </w:r>
      <w:r>
        <w:rPr>
          <w:sz w:val="24"/>
        </w:rPr>
        <w:t>and</w:t>
      </w:r>
    </w:p>
    <w:p>
      <w:pPr>
        <w:pStyle w:val="ListParagraph"/>
        <w:numPr>
          <w:ilvl w:val="4"/>
          <w:numId w:val="243"/>
        </w:numPr>
        <w:tabs>
          <w:tab w:pos="2486" w:val="left" w:leader="none"/>
        </w:tabs>
        <w:spacing w:line="240" w:lineRule="auto" w:before="120" w:after="0"/>
        <w:ind w:left="2486" w:right="417" w:hanging="567"/>
        <w:jc w:val="both"/>
        <w:rPr>
          <w:sz w:val="24"/>
        </w:rPr>
      </w:pPr>
      <w:r>
        <w:rPr>
          <w:sz w:val="24"/>
        </w:rPr>
        <w:t>the </w:t>
      </w:r>
      <w:r>
        <w:rPr>
          <w:i/>
          <w:sz w:val="24"/>
        </w:rPr>
        <w:t>inertia requirements methodology </w:t>
      </w:r>
      <w:r>
        <w:rPr>
          <w:sz w:val="24"/>
        </w:rPr>
        <w:t>and the </w:t>
      </w:r>
      <w:r>
        <w:rPr>
          <w:i/>
          <w:sz w:val="24"/>
        </w:rPr>
        <w:t>system strength </w:t>
      </w:r>
      <w:r>
        <w:rPr>
          <w:i/>
          <w:sz w:val="24"/>
        </w:rPr>
        <w:t>requirements</w:t>
      </w:r>
      <w:r>
        <w:rPr>
          <w:i/>
          <w:spacing w:val="-2"/>
          <w:sz w:val="24"/>
        </w:rPr>
        <w:t> </w:t>
      </w:r>
      <w:r>
        <w:rPr>
          <w:i/>
          <w:sz w:val="24"/>
        </w:rPr>
        <w:t>methodology</w:t>
      </w:r>
      <w:r>
        <w:rPr>
          <w:sz w:val="24"/>
        </w:rPr>
        <w:t>.</w:t>
      </w:r>
    </w:p>
    <w:p>
      <w:pPr>
        <w:pStyle w:val="ListParagraph"/>
        <w:numPr>
          <w:ilvl w:val="3"/>
          <w:numId w:val="243"/>
        </w:numPr>
        <w:tabs>
          <w:tab w:pos="1919" w:val="left" w:leader="none"/>
        </w:tabs>
        <w:spacing w:line="240" w:lineRule="auto" w:before="120" w:after="0"/>
        <w:ind w:left="1919" w:right="415" w:hanging="567"/>
        <w:jc w:val="both"/>
        <w:rPr>
          <w:sz w:val="24"/>
        </w:rPr>
      </w:pPr>
      <w:r>
        <w:rPr>
          <w:sz w:val="24"/>
        </w:rPr>
        <w:t>At the same time as it </w:t>
      </w:r>
      <w:r>
        <w:rPr>
          <w:i/>
          <w:sz w:val="24"/>
        </w:rPr>
        <w:t>publishes </w:t>
      </w:r>
      <w:r>
        <w:rPr>
          <w:sz w:val="24"/>
        </w:rPr>
        <w:t>the documents referred to in paragraph (a), </w:t>
      </w:r>
      <w:r>
        <w:rPr>
          <w:i/>
          <w:sz w:val="24"/>
        </w:rPr>
        <w:t>AEMO </w:t>
      </w:r>
      <w:r>
        <w:rPr>
          <w:sz w:val="24"/>
        </w:rPr>
        <w:t>must </w:t>
      </w:r>
      <w:r>
        <w:rPr>
          <w:i/>
          <w:sz w:val="24"/>
        </w:rPr>
        <w:t>publish </w:t>
      </w:r>
      <w:r>
        <w:rPr>
          <w:sz w:val="24"/>
        </w:rPr>
        <w:t>an invitation for written submissions to be made to </w:t>
      </w:r>
      <w:r>
        <w:rPr>
          <w:i/>
          <w:sz w:val="24"/>
        </w:rPr>
        <w:t>AEMO </w:t>
      </w:r>
      <w:r>
        <w:rPr>
          <w:sz w:val="24"/>
        </w:rPr>
        <w:t>within a period (at least 30 </w:t>
      </w:r>
      <w:r>
        <w:rPr>
          <w:i/>
          <w:sz w:val="24"/>
        </w:rPr>
        <w:t>business days</w:t>
      </w:r>
      <w:r>
        <w:rPr>
          <w:sz w:val="24"/>
        </w:rPr>
        <w:t>) specified in the invitation on:</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the proposed </w:t>
      </w:r>
      <w:r>
        <w:rPr>
          <w:i/>
          <w:sz w:val="24"/>
        </w:rPr>
        <w:t>NTNDP inputs</w:t>
      </w:r>
      <w:r>
        <w:rPr>
          <w:sz w:val="24"/>
        </w:rPr>
        <w:t>; and</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the content of the </w:t>
      </w:r>
      <w:r>
        <w:rPr>
          <w:i/>
          <w:sz w:val="24"/>
        </w:rPr>
        <w:t>NTNDP </w:t>
      </w:r>
      <w:r>
        <w:rPr>
          <w:sz w:val="24"/>
        </w:rPr>
        <w:t>as it applies for the current year, including the location of the current and potential </w:t>
      </w:r>
      <w:r>
        <w:rPr>
          <w:i/>
          <w:sz w:val="24"/>
        </w:rPr>
        <w:t>national transmission </w:t>
      </w:r>
      <w:r>
        <w:rPr>
          <w:i/>
          <w:spacing w:val="-3"/>
          <w:sz w:val="24"/>
        </w:rPr>
        <w:t>flow</w:t>
      </w:r>
      <w:r>
        <w:rPr>
          <w:i/>
          <w:spacing w:val="54"/>
          <w:sz w:val="24"/>
        </w:rPr>
        <w:t> </w:t>
      </w:r>
      <w:r>
        <w:rPr>
          <w:i/>
          <w:sz w:val="24"/>
        </w:rPr>
        <w:t>paths </w:t>
      </w:r>
      <w:r>
        <w:rPr>
          <w:sz w:val="24"/>
        </w:rPr>
        <w:t>identified in the </w:t>
      </w:r>
      <w:r>
        <w:rPr>
          <w:i/>
          <w:sz w:val="24"/>
        </w:rPr>
        <w:t>NTNDP</w:t>
      </w:r>
      <w:r>
        <w:rPr>
          <w:sz w:val="24"/>
        </w:rPr>
        <w:t>;</w:t>
      </w:r>
      <w:r>
        <w:rPr>
          <w:spacing w:val="-1"/>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the issues raised in the statement of material issues;</w:t>
      </w:r>
      <w:r>
        <w:rPr>
          <w:spacing w:val="-4"/>
          <w:sz w:val="24"/>
        </w:rPr>
        <w:t> </w:t>
      </w:r>
      <w:r>
        <w:rPr>
          <w:sz w:val="24"/>
        </w:rPr>
        <w:t>and</w:t>
      </w:r>
    </w:p>
    <w:p>
      <w:pPr>
        <w:pStyle w:val="ListParagraph"/>
        <w:numPr>
          <w:ilvl w:val="4"/>
          <w:numId w:val="243"/>
        </w:numPr>
        <w:tabs>
          <w:tab w:pos="2486" w:val="left" w:leader="none"/>
        </w:tabs>
        <w:spacing w:line="240" w:lineRule="auto" w:before="120" w:after="0"/>
        <w:ind w:left="2486" w:right="417" w:hanging="567"/>
        <w:jc w:val="both"/>
        <w:rPr>
          <w:sz w:val="24"/>
        </w:rPr>
      </w:pPr>
      <w:r>
        <w:rPr>
          <w:sz w:val="24"/>
        </w:rPr>
        <w:t>the inertia requirements methodology and the </w:t>
      </w:r>
      <w:r>
        <w:rPr>
          <w:i/>
          <w:sz w:val="24"/>
        </w:rPr>
        <w:t>system strength </w:t>
      </w:r>
      <w:r>
        <w:rPr>
          <w:i/>
          <w:sz w:val="24"/>
        </w:rPr>
        <w:t>requirements</w:t>
      </w:r>
      <w:r>
        <w:rPr>
          <w:i/>
          <w:spacing w:val="-2"/>
          <w:sz w:val="24"/>
        </w:rPr>
        <w:t> </w:t>
      </w:r>
      <w:r>
        <w:rPr>
          <w:i/>
          <w:sz w:val="24"/>
        </w:rPr>
        <w:t>methodology</w:t>
      </w:r>
      <w:r>
        <w:rPr>
          <w:sz w:val="24"/>
        </w:rPr>
        <w:t>.</w:t>
      </w:r>
    </w:p>
    <w:p>
      <w:pPr>
        <w:pStyle w:val="ListParagraph"/>
        <w:numPr>
          <w:ilvl w:val="3"/>
          <w:numId w:val="243"/>
        </w:numPr>
        <w:tabs>
          <w:tab w:pos="1919" w:val="left" w:leader="none"/>
        </w:tabs>
        <w:spacing w:line="240" w:lineRule="auto" w:before="120" w:after="0"/>
        <w:ind w:left="1919" w:right="414" w:hanging="567"/>
        <w:jc w:val="both"/>
        <w:rPr>
          <w:sz w:val="24"/>
        </w:rPr>
      </w:pPr>
      <w:r>
        <w:rPr>
          <w:sz w:val="24"/>
        </w:rPr>
        <w:t>A person may make a written submission to </w:t>
      </w:r>
      <w:r>
        <w:rPr>
          <w:i/>
          <w:sz w:val="24"/>
        </w:rPr>
        <w:t>AEMO </w:t>
      </w:r>
      <w:r>
        <w:rPr>
          <w:sz w:val="24"/>
        </w:rPr>
        <w:t>on the proposed  </w:t>
      </w:r>
      <w:r>
        <w:rPr>
          <w:i/>
          <w:sz w:val="24"/>
        </w:rPr>
        <w:t>NTNDP inputs</w:t>
      </w:r>
      <w:r>
        <w:rPr>
          <w:sz w:val="24"/>
        </w:rPr>
        <w:t>, the content of the </w:t>
      </w:r>
      <w:r>
        <w:rPr>
          <w:i/>
          <w:sz w:val="24"/>
        </w:rPr>
        <w:t>NTNDP </w:t>
      </w:r>
      <w:r>
        <w:rPr>
          <w:sz w:val="24"/>
        </w:rPr>
        <w:t>as it applies for the current year, the </w:t>
      </w:r>
      <w:r>
        <w:rPr>
          <w:i/>
          <w:sz w:val="24"/>
        </w:rPr>
        <w:t>inertia requirements methodology</w:t>
      </w:r>
      <w:r>
        <w:rPr>
          <w:sz w:val="24"/>
        </w:rPr>
        <w:t>, the </w:t>
      </w:r>
      <w:r>
        <w:rPr>
          <w:i/>
          <w:sz w:val="24"/>
        </w:rPr>
        <w:t>system strength requirements </w:t>
      </w:r>
      <w:r>
        <w:rPr>
          <w:i/>
          <w:sz w:val="24"/>
        </w:rPr>
        <w:t>methodology </w:t>
      </w:r>
      <w:r>
        <w:rPr>
          <w:sz w:val="24"/>
        </w:rPr>
        <w:t>or an issue raised in the statement of material issues within the period specified in the</w:t>
      </w:r>
      <w:r>
        <w:rPr>
          <w:spacing w:val="-1"/>
          <w:sz w:val="24"/>
        </w:rPr>
        <w:t> </w:t>
      </w:r>
      <w:r>
        <w:rPr>
          <w:sz w:val="24"/>
        </w:rPr>
        <w:t>invitation.</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2 Publication of NTNDP" w:id="823"/>
      <w:bookmarkEnd w:id="823"/>
      <w:r>
        <w:rPr>
          <w:b w:val="0"/>
        </w:rPr>
      </w:r>
      <w:bookmarkStart w:name="_bookmark315" w:id="824"/>
      <w:bookmarkEnd w:id="824"/>
      <w:r>
        <w:rPr>
          <w:b w:val="0"/>
        </w:rPr>
      </w:r>
      <w:bookmarkStart w:name="_bookmark315" w:id="825"/>
      <w:bookmarkEnd w:id="825"/>
      <w:r>
        <w:rPr/>
        <w:t>Publ</w:t>
      </w:r>
      <w:r>
        <w:rPr/>
        <w:t>ication of</w:t>
      </w:r>
      <w:r>
        <w:rPr>
          <w:spacing w:val="-1"/>
        </w:rPr>
        <w:t> </w:t>
      </w:r>
      <w:r>
        <w:rPr/>
        <w:t>NTNDP</w:t>
      </w:r>
    </w:p>
    <w:p>
      <w:pPr>
        <w:pStyle w:val="ListParagraph"/>
        <w:numPr>
          <w:ilvl w:val="3"/>
          <w:numId w:val="243"/>
        </w:numPr>
        <w:tabs>
          <w:tab w:pos="1918" w:val="left" w:leader="none"/>
          <w:tab w:pos="1919" w:val="left" w:leader="none"/>
        </w:tabs>
        <w:spacing w:line="240" w:lineRule="auto" w:before="120" w:after="0"/>
        <w:ind w:left="1918" w:right="0" w:hanging="567"/>
        <w:jc w:val="left"/>
        <w:rPr>
          <w:i/>
          <w:sz w:val="24"/>
        </w:rPr>
      </w:pPr>
      <w:r>
        <w:rPr>
          <w:sz w:val="24"/>
        </w:rPr>
        <w:t>By</w:t>
      </w:r>
      <w:r>
        <w:rPr>
          <w:spacing w:val="19"/>
          <w:sz w:val="24"/>
        </w:rPr>
        <w:t> </w:t>
      </w:r>
      <w:r>
        <w:rPr>
          <w:sz w:val="24"/>
        </w:rPr>
        <w:t>no</w:t>
      </w:r>
      <w:r>
        <w:rPr>
          <w:spacing w:val="20"/>
          <w:sz w:val="24"/>
        </w:rPr>
        <w:t> </w:t>
      </w:r>
      <w:r>
        <w:rPr>
          <w:sz w:val="24"/>
        </w:rPr>
        <w:t>later</w:t>
      </w:r>
      <w:r>
        <w:rPr>
          <w:spacing w:val="19"/>
          <w:sz w:val="24"/>
        </w:rPr>
        <w:t> </w:t>
      </w:r>
      <w:r>
        <w:rPr>
          <w:sz w:val="24"/>
        </w:rPr>
        <w:t>than</w:t>
      </w:r>
      <w:r>
        <w:rPr>
          <w:spacing w:val="20"/>
          <w:sz w:val="24"/>
        </w:rPr>
        <w:t> </w:t>
      </w:r>
      <w:r>
        <w:rPr>
          <w:sz w:val="24"/>
        </w:rPr>
        <w:t>31</w:t>
      </w:r>
      <w:r>
        <w:rPr>
          <w:spacing w:val="19"/>
          <w:sz w:val="24"/>
        </w:rPr>
        <w:t> </w:t>
      </w:r>
      <w:r>
        <w:rPr>
          <w:sz w:val="24"/>
        </w:rPr>
        <w:t>December</w:t>
      </w:r>
      <w:r>
        <w:rPr>
          <w:spacing w:val="20"/>
          <w:sz w:val="24"/>
        </w:rPr>
        <w:t> </w:t>
      </w:r>
      <w:r>
        <w:rPr>
          <w:sz w:val="24"/>
        </w:rPr>
        <w:t>each</w:t>
      </w:r>
      <w:r>
        <w:rPr>
          <w:spacing w:val="19"/>
          <w:sz w:val="24"/>
        </w:rPr>
        <w:t> </w:t>
      </w:r>
      <w:r>
        <w:rPr>
          <w:sz w:val="24"/>
        </w:rPr>
        <w:t>year,</w:t>
      </w:r>
      <w:r>
        <w:rPr>
          <w:spacing w:val="20"/>
          <w:sz w:val="24"/>
        </w:rPr>
        <w:t> </w:t>
      </w:r>
      <w:r>
        <w:rPr>
          <w:i/>
          <w:sz w:val="24"/>
        </w:rPr>
        <w:t>AEMO</w:t>
      </w:r>
      <w:r>
        <w:rPr>
          <w:i/>
          <w:spacing w:val="19"/>
          <w:sz w:val="24"/>
        </w:rPr>
        <w:t> </w:t>
      </w:r>
      <w:r>
        <w:rPr>
          <w:sz w:val="24"/>
        </w:rPr>
        <w:t>must</w:t>
      </w:r>
      <w:r>
        <w:rPr>
          <w:spacing w:val="20"/>
          <w:sz w:val="24"/>
        </w:rPr>
        <w:t> </w:t>
      </w:r>
      <w:r>
        <w:rPr>
          <w:i/>
          <w:sz w:val="24"/>
        </w:rPr>
        <w:t>publish</w:t>
      </w:r>
      <w:r>
        <w:rPr>
          <w:i/>
          <w:spacing w:val="19"/>
          <w:sz w:val="24"/>
        </w:rPr>
        <w:t> </w:t>
      </w:r>
      <w:r>
        <w:rPr>
          <w:sz w:val="24"/>
        </w:rPr>
        <w:t>the</w:t>
      </w:r>
      <w:r>
        <w:rPr>
          <w:spacing w:val="20"/>
          <w:sz w:val="24"/>
        </w:rPr>
        <w:t> </w:t>
      </w:r>
      <w:r>
        <w:rPr>
          <w:i/>
          <w:sz w:val="24"/>
        </w:rPr>
        <w:t>NTNDP</w:t>
      </w:r>
    </w:p>
    <w:p>
      <w:pPr>
        <w:pStyle w:val="BodyText"/>
        <w:spacing w:before="0"/>
        <w:ind w:left="1919" w:firstLine="0"/>
        <w:jc w:val="left"/>
      </w:pPr>
      <w:r>
        <w:rPr/>
        <w:t>for the following year.</w:t>
      </w:r>
    </w:p>
    <w:p>
      <w:pPr>
        <w:pStyle w:val="ListParagraph"/>
        <w:numPr>
          <w:ilvl w:val="3"/>
          <w:numId w:val="243"/>
        </w:numPr>
        <w:tabs>
          <w:tab w:pos="1918" w:val="left" w:leader="none"/>
          <w:tab w:pos="1919" w:val="left" w:leader="none"/>
        </w:tabs>
        <w:spacing w:line="240" w:lineRule="auto" w:before="120" w:after="0"/>
        <w:ind w:left="1918" w:right="0" w:hanging="567"/>
        <w:jc w:val="left"/>
        <w:rPr>
          <w:i/>
          <w:sz w:val="24"/>
        </w:rPr>
      </w:pPr>
      <w:r>
        <w:rPr>
          <w:sz w:val="24"/>
        </w:rPr>
        <w:t>In</w:t>
      </w:r>
      <w:r>
        <w:rPr>
          <w:spacing w:val="7"/>
          <w:sz w:val="24"/>
        </w:rPr>
        <w:t> </w:t>
      </w:r>
      <w:r>
        <w:rPr>
          <w:sz w:val="24"/>
        </w:rPr>
        <w:t>preparing</w:t>
      </w:r>
      <w:r>
        <w:rPr>
          <w:spacing w:val="8"/>
          <w:sz w:val="24"/>
        </w:rPr>
        <w:t> </w:t>
      </w:r>
      <w:r>
        <w:rPr>
          <w:sz w:val="24"/>
        </w:rPr>
        <w:t>the</w:t>
      </w:r>
      <w:r>
        <w:rPr>
          <w:spacing w:val="8"/>
          <w:sz w:val="24"/>
        </w:rPr>
        <w:t> </w:t>
      </w:r>
      <w:r>
        <w:rPr>
          <w:i/>
          <w:sz w:val="24"/>
        </w:rPr>
        <w:t>NTNDP</w:t>
      </w:r>
      <w:r>
        <w:rPr>
          <w:i/>
          <w:spacing w:val="8"/>
          <w:sz w:val="24"/>
        </w:rPr>
        <w:t> </w:t>
      </w:r>
      <w:r>
        <w:rPr>
          <w:sz w:val="24"/>
        </w:rPr>
        <w:t>that</w:t>
      </w:r>
      <w:r>
        <w:rPr>
          <w:spacing w:val="7"/>
          <w:sz w:val="24"/>
        </w:rPr>
        <w:t> </w:t>
      </w:r>
      <w:r>
        <w:rPr>
          <w:sz w:val="24"/>
        </w:rPr>
        <w:t>is</w:t>
      </w:r>
      <w:r>
        <w:rPr>
          <w:spacing w:val="8"/>
          <w:sz w:val="24"/>
        </w:rPr>
        <w:t> </w:t>
      </w:r>
      <w:r>
        <w:rPr>
          <w:sz w:val="24"/>
        </w:rPr>
        <w:t>to</w:t>
      </w:r>
      <w:r>
        <w:rPr>
          <w:spacing w:val="8"/>
          <w:sz w:val="24"/>
        </w:rPr>
        <w:t> </w:t>
      </w:r>
      <w:r>
        <w:rPr>
          <w:sz w:val="24"/>
        </w:rPr>
        <w:t>be</w:t>
      </w:r>
      <w:r>
        <w:rPr>
          <w:spacing w:val="8"/>
          <w:sz w:val="24"/>
        </w:rPr>
        <w:t> </w:t>
      </w:r>
      <w:r>
        <w:rPr>
          <w:i/>
          <w:sz w:val="24"/>
        </w:rPr>
        <w:t>published</w:t>
      </w:r>
      <w:r>
        <w:rPr>
          <w:i/>
          <w:spacing w:val="8"/>
          <w:sz w:val="24"/>
        </w:rPr>
        <w:t> </w:t>
      </w:r>
      <w:r>
        <w:rPr>
          <w:sz w:val="24"/>
        </w:rPr>
        <w:t>under</w:t>
      </w:r>
      <w:r>
        <w:rPr>
          <w:spacing w:val="7"/>
          <w:sz w:val="24"/>
        </w:rPr>
        <w:t> </w:t>
      </w:r>
      <w:r>
        <w:rPr>
          <w:sz w:val="24"/>
        </w:rPr>
        <w:t>paragraph</w:t>
      </w:r>
      <w:r>
        <w:rPr>
          <w:spacing w:val="8"/>
          <w:sz w:val="24"/>
        </w:rPr>
        <w:t> </w:t>
      </w:r>
      <w:r>
        <w:rPr>
          <w:sz w:val="24"/>
        </w:rPr>
        <w:t>(a),</w:t>
      </w:r>
      <w:r>
        <w:rPr>
          <w:spacing w:val="8"/>
          <w:sz w:val="24"/>
        </w:rPr>
        <w:t> </w:t>
      </w:r>
      <w:r>
        <w:rPr>
          <w:i/>
          <w:sz w:val="24"/>
        </w:rPr>
        <w:t>AEMO</w:t>
      </w:r>
    </w:p>
    <w:p>
      <w:pPr>
        <w:pStyle w:val="BodyText"/>
        <w:spacing w:before="0"/>
        <w:ind w:left="1919" w:firstLine="0"/>
        <w:jc w:val="left"/>
      </w:pPr>
      <w:r>
        <w:rPr/>
        <w:t>must:</w:t>
      </w:r>
    </w:p>
    <w:p>
      <w:pPr>
        <w:pStyle w:val="ListParagraph"/>
        <w:numPr>
          <w:ilvl w:val="4"/>
          <w:numId w:val="243"/>
        </w:numPr>
        <w:tabs>
          <w:tab w:pos="2485" w:val="left" w:leader="none"/>
          <w:tab w:pos="2486" w:val="left" w:leader="none"/>
        </w:tabs>
        <w:spacing w:line="240" w:lineRule="auto" w:before="120" w:after="0"/>
        <w:ind w:left="2486" w:right="415" w:hanging="567"/>
        <w:jc w:val="left"/>
        <w:rPr>
          <w:sz w:val="24"/>
        </w:rPr>
      </w:pPr>
      <w:r>
        <w:rPr>
          <w:sz w:val="24"/>
        </w:rPr>
        <w:t>take into account the submissions made in response to the invitation referred to in clause 5.20.1(b);</w:t>
      </w:r>
      <w:r>
        <w:rPr>
          <w:spacing w:val="-1"/>
          <w:sz w:val="24"/>
        </w:rPr>
        <w:t> </w:t>
      </w:r>
      <w:r>
        <w:rPr>
          <w:sz w:val="24"/>
        </w:rPr>
        <w:t>and</w:t>
      </w:r>
    </w:p>
    <w:p>
      <w:pPr>
        <w:pStyle w:val="ListParagraph"/>
        <w:numPr>
          <w:ilvl w:val="4"/>
          <w:numId w:val="243"/>
        </w:numPr>
        <w:tabs>
          <w:tab w:pos="2485" w:val="left" w:leader="none"/>
          <w:tab w:pos="2486" w:val="left" w:leader="none"/>
        </w:tabs>
        <w:spacing w:line="240" w:lineRule="auto" w:before="120" w:after="0"/>
        <w:ind w:left="2485" w:right="0" w:hanging="567"/>
        <w:jc w:val="left"/>
        <w:rPr>
          <w:sz w:val="24"/>
        </w:rPr>
      </w:pPr>
      <w:r>
        <w:rPr>
          <w:sz w:val="24"/>
        </w:rPr>
        <w:t>consider the following</w:t>
      </w:r>
      <w:r>
        <w:rPr>
          <w:spacing w:val="-1"/>
          <w:sz w:val="24"/>
        </w:rPr>
        <w:t> </w:t>
      </w:r>
      <w:r>
        <w:rPr>
          <w:sz w:val="24"/>
        </w:rPr>
        <w:t>matters:</w:t>
      </w:r>
    </w:p>
    <w:p>
      <w:pPr>
        <w:pStyle w:val="ListParagraph"/>
        <w:numPr>
          <w:ilvl w:val="5"/>
          <w:numId w:val="243"/>
        </w:numPr>
        <w:tabs>
          <w:tab w:pos="3053" w:val="left" w:leader="none"/>
        </w:tabs>
        <w:spacing w:line="240" w:lineRule="auto" w:before="120" w:after="0"/>
        <w:ind w:left="3053" w:right="414" w:hanging="567"/>
        <w:jc w:val="both"/>
        <w:rPr>
          <w:sz w:val="24"/>
        </w:rPr>
      </w:pPr>
      <w:r>
        <w:rPr>
          <w:sz w:val="24"/>
        </w:rPr>
        <w:t>the quantity of electricity that flowed, the periods in which the electricity flowed, and </w:t>
      </w:r>
      <w:r>
        <w:rPr>
          <w:i/>
          <w:sz w:val="24"/>
        </w:rPr>
        <w:t>constraints </w:t>
      </w:r>
      <w:r>
        <w:rPr>
          <w:sz w:val="24"/>
        </w:rPr>
        <w:t>on the </w:t>
      </w:r>
      <w:r>
        <w:rPr>
          <w:i/>
          <w:sz w:val="24"/>
        </w:rPr>
        <w:t>national </w:t>
      </w:r>
      <w:r>
        <w:rPr>
          <w:i/>
          <w:spacing w:val="-2"/>
          <w:sz w:val="24"/>
        </w:rPr>
        <w:t>transmission </w:t>
      </w:r>
      <w:r>
        <w:rPr>
          <w:i/>
          <w:sz w:val="24"/>
        </w:rPr>
        <w:t>flow paths </w:t>
      </w:r>
      <w:r>
        <w:rPr>
          <w:sz w:val="24"/>
        </w:rPr>
        <w:t>over the previous</w:t>
      </w:r>
      <w:r>
        <w:rPr>
          <w:spacing w:val="-2"/>
          <w:sz w:val="24"/>
        </w:rPr>
        <w:t> </w:t>
      </w:r>
      <w:r>
        <w:rPr>
          <w:sz w:val="24"/>
        </w:rPr>
        <w:t>year;</w:t>
      </w:r>
    </w:p>
    <w:p>
      <w:pPr>
        <w:pStyle w:val="ListParagraph"/>
        <w:numPr>
          <w:ilvl w:val="5"/>
          <w:numId w:val="243"/>
        </w:numPr>
        <w:tabs>
          <w:tab w:pos="3054" w:val="left" w:leader="none"/>
        </w:tabs>
        <w:spacing w:line="240" w:lineRule="auto" w:before="120" w:after="0"/>
        <w:ind w:left="3053" w:right="415" w:hanging="567"/>
        <w:jc w:val="both"/>
        <w:rPr>
          <w:sz w:val="24"/>
        </w:rPr>
      </w:pPr>
      <w:r>
        <w:rPr>
          <w:sz w:val="24"/>
        </w:rPr>
        <w:t>the forecast quantity of electricity that is expected to flow, the periods in which the electricity is expected to flow, and the magnitude and significance of future </w:t>
      </w:r>
      <w:r>
        <w:rPr>
          <w:i/>
          <w:sz w:val="24"/>
        </w:rPr>
        <w:t>network losses</w:t>
      </w:r>
      <w:r>
        <w:rPr>
          <w:i/>
          <w:spacing w:val="35"/>
          <w:sz w:val="24"/>
        </w:rPr>
        <w:t> </w:t>
      </w:r>
      <w:r>
        <w:rPr>
          <w:sz w:val="24"/>
        </w:rPr>
        <w:t>and </w:t>
      </w:r>
      <w:r>
        <w:rPr>
          <w:i/>
          <w:sz w:val="24"/>
        </w:rPr>
        <w:t>constraints</w:t>
      </w:r>
      <w:r>
        <w:rPr>
          <w:sz w:val="24"/>
        </w:rPr>
        <w:t>, on the current and potential </w:t>
      </w:r>
      <w:r>
        <w:rPr>
          <w:i/>
          <w:sz w:val="24"/>
        </w:rPr>
        <w:t>national transmission </w:t>
      </w:r>
      <w:r>
        <w:rPr>
          <w:i/>
          <w:sz w:val="24"/>
        </w:rPr>
        <w:t>flow paths </w:t>
      </w:r>
      <w:r>
        <w:rPr>
          <w:sz w:val="24"/>
        </w:rPr>
        <w:t>over the year in which the </w:t>
      </w:r>
      <w:r>
        <w:rPr>
          <w:i/>
          <w:sz w:val="24"/>
        </w:rPr>
        <w:t>NTNDP </w:t>
      </w:r>
      <w:r>
        <w:rPr>
          <w:sz w:val="24"/>
        </w:rPr>
        <w:t>is to apply or some other period to which a scenario that is used for the purposes of the </w:t>
      </w:r>
      <w:r>
        <w:rPr>
          <w:i/>
          <w:sz w:val="24"/>
        </w:rPr>
        <w:t>NTNDP</w:t>
      </w:r>
      <w:r>
        <w:rPr>
          <w:i/>
          <w:spacing w:val="-1"/>
          <w:sz w:val="24"/>
        </w:rPr>
        <w:t> </w:t>
      </w:r>
      <w:r>
        <w:rPr>
          <w:sz w:val="24"/>
        </w:rPr>
        <w:t>applies;</w:t>
      </w:r>
    </w:p>
    <w:p>
      <w:pPr>
        <w:pStyle w:val="ListParagraph"/>
        <w:numPr>
          <w:ilvl w:val="5"/>
          <w:numId w:val="243"/>
        </w:numPr>
        <w:tabs>
          <w:tab w:pos="3053" w:val="left" w:leader="none"/>
        </w:tabs>
        <w:spacing w:line="240" w:lineRule="auto" w:before="120" w:after="0"/>
        <w:ind w:left="3053" w:right="414" w:hanging="567"/>
        <w:jc w:val="both"/>
        <w:rPr>
          <w:sz w:val="24"/>
        </w:rPr>
      </w:pPr>
      <w:r>
        <w:rPr>
          <w:sz w:val="24"/>
        </w:rPr>
        <w:t>the projected capabilities of the </w:t>
      </w:r>
      <w:r>
        <w:rPr>
          <w:i/>
          <w:sz w:val="24"/>
        </w:rPr>
        <w:t>national transmission grid</w:t>
      </w:r>
      <w:r>
        <w:rPr>
          <w:sz w:val="24"/>
        </w:rPr>
        <w:t>, and the </w:t>
      </w:r>
      <w:r>
        <w:rPr>
          <w:i/>
          <w:sz w:val="24"/>
        </w:rPr>
        <w:t>network support and control ancillary services </w:t>
      </w:r>
      <w:r>
        <w:rPr>
          <w:sz w:val="24"/>
        </w:rPr>
        <w:t>required to support the existing and future capabilities of the </w:t>
      </w:r>
      <w:r>
        <w:rPr>
          <w:i/>
          <w:sz w:val="24"/>
        </w:rPr>
        <w:t>national </w:t>
      </w:r>
      <w:r>
        <w:rPr>
          <w:i/>
          <w:sz w:val="24"/>
        </w:rPr>
        <w:t>transmission grid</w:t>
      </w:r>
      <w:r>
        <w:rPr>
          <w:sz w:val="24"/>
        </w:rPr>
        <w:t>, under each of the scenarios that is being </w:t>
      </w:r>
      <w:r>
        <w:rPr>
          <w:spacing w:val="-3"/>
          <w:sz w:val="24"/>
        </w:rPr>
        <w:t>used </w:t>
      </w:r>
      <w:r>
        <w:rPr>
          <w:sz w:val="24"/>
        </w:rPr>
        <w:t>for the purposes of the</w:t>
      </w:r>
      <w:r>
        <w:rPr>
          <w:spacing w:val="-1"/>
          <w:sz w:val="24"/>
        </w:rPr>
        <w:t> </w:t>
      </w:r>
      <w:r>
        <w:rPr>
          <w:i/>
          <w:sz w:val="24"/>
        </w:rPr>
        <w:t>NTNDP</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5"/>
          <w:numId w:val="243"/>
        </w:numPr>
        <w:tabs>
          <w:tab w:pos="3054" w:val="left" w:leader="none"/>
        </w:tabs>
        <w:spacing w:line="240" w:lineRule="auto" w:before="83" w:after="0"/>
        <w:ind w:left="3053" w:right="414" w:hanging="567"/>
        <w:jc w:val="both"/>
        <w:rPr>
          <w:sz w:val="24"/>
        </w:rPr>
      </w:pPr>
      <w:r>
        <w:rPr>
          <w:sz w:val="24"/>
        </w:rPr>
        <w:t>relevant intra-jurisdictional developments and any incremental works that may be needed to co-ordinate </w:t>
      </w:r>
      <w:r>
        <w:rPr>
          <w:i/>
          <w:sz w:val="24"/>
        </w:rPr>
        <w:t>national transmission </w:t>
      </w:r>
      <w:r>
        <w:rPr>
          <w:i/>
          <w:sz w:val="24"/>
        </w:rPr>
        <w:t>flow path </w:t>
      </w:r>
      <w:r>
        <w:rPr>
          <w:sz w:val="24"/>
        </w:rPr>
        <w:t>planning with intra-jurisdictional</w:t>
      </w:r>
      <w:r>
        <w:rPr>
          <w:spacing w:val="-3"/>
          <w:sz w:val="24"/>
        </w:rPr>
        <w:t> </w:t>
      </w:r>
      <w:r>
        <w:rPr>
          <w:sz w:val="24"/>
        </w:rPr>
        <w:t>planning;</w:t>
      </w:r>
    </w:p>
    <w:p>
      <w:pPr>
        <w:pStyle w:val="ListParagraph"/>
        <w:numPr>
          <w:ilvl w:val="5"/>
          <w:numId w:val="243"/>
        </w:numPr>
        <w:tabs>
          <w:tab w:pos="3053" w:val="left" w:leader="none"/>
        </w:tabs>
        <w:spacing w:line="240" w:lineRule="auto" w:before="120" w:after="0"/>
        <w:ind w:left="3052" w:right="0" w:hanging="567"/>
        <w:jc w:val="both"/>
        <w:rPr>
          <w:sz w:val="24"/>
        </w:rPr>
      </w:pPr>
      <w:r>
        <w:rPr>
          <w:sz w:val="24"/>
        </w:rPr>
        <w:t>such</w:t>
      </w:r>
      <w:r>
        <w:rPr>
          <w:spacing w:val="17"/>
          <w:sz w:val="24"/>
        </w:rPr>
        <w:t> </w:t>
      </w:r>
      <w:r>
        <w:rPr>
          <w:sz w:val="24"/>
        </w:rPr>
        <w:t>other</w:t>
      </w:r>
      <w:r>
        <w:rPr>
          <w:spacing w:val="18"/>
          <w:sz w:val="24"/>
        </w:rPr>
        <w:t> </w:t>
      </w:r>
      <w:r>
        <w:rPr>
          <w:sz w:val="24"/>
        </w:rPr>
        <w:t>matters</w:t>
      </w:r>
      <w:r>
        <w:rPr>
          <w:spacing w:val="17"/>
          <w:sz w:val="24"/>
        </w:rPr>
        <w:t> </w:t>
      </w:r>
      <w:r>
        <w:rPr>
          <w:sz w:val="24"/>
        </w:rPr>
        <w:t>as</w:t>
      </w:r>
      <w:r>
        <w:rPr>
          <w:spacing w:val="19"/>
          <w:sz w:val="24"/>
        </w:rPr>
        <w:t> </w:t>
      </w:r>
      <w:r>
        <w:rPr>
          <w:i/>
          <w:sz w:val="24"/>
        </w:rPr>
        <w:t>AEMO</w:t>
      </w:r>
      <w:r>
        <w:rPr>
          <w:sz w:val="24"/>
        </w:rPr>
        <w:t>,</w:t>
      </w:r>
      <w:r>
        <w:rPr>
          <w:spacing w:val="17"/>
          <w:sz w:val="24"/>
        </w:rPr>
        <w:t> </w:t>
      </w:r>
      <w:r>
        <w:rPr>
          <w:sz w:val="24"/>
        </w:rPr>
        <w:t>in</w:t>
      </w:r>
      <w:r>
        <w:rPr>
          <w:spacing w:val="18"/>
          <w:sz w:val="24"/>
        </w:rPr>
        <w:t> </w:t>
      </w:r>
      <w:r>
        <w:rPr>
          <w:sz w:val="24"/>
        </w:rPr>
        <w:t>consultation</w:t>
      </w:r>
      <w:r>
        <w:rPr>
          <w:spacing w:val="17"/>
          <w:sz w:val="24"/>
        </w:rPr>
        <w:t> </w:t>
      </w:r>
      <w:r>
        <w:rPr>
          <w:sz w:val="24"/>
        </w:rPr>
        <w:t>with</w:t>
      </w:r>
      <w:r>
        <w:rPr>
          <w:spacing w:val="18"/>
          <w:sz w:val="24"/>
        </w:rPr>
        <w:t> </w:t>
      </w:r>
      <w:r>
        <w:rPr>
          <w:sz w:val="24"/>
        </w:rPr>
        <w:t>the</w:t>
      </w:r>
    </w:p>
    <w:p>
      <w:pPr>
        <w:spacing w:before="0"/>
        <w:ind w:left="3053" w:right="0" w:firstLine="0"/>
        <w:jc w:val="both"/>
        <w:rPr>
          <w:sz w:val="24"/>
        </w:rPr>
      </w:pPr>
      <w:r>
        <w:rPr>
          <w:i/>
          <w:sz w:val="24"/>
        </w:rPr>
        <w:t>participating jurisdictions</w:t>
      </w:r>
      <w:r>
        <w:rPr>
          <w:sz w:val="24"/>
        </w:rPr>
        <w:t>, considers appropriate; 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have regard to the following</w:t>
      </w:r>
      <w:r>
        <w:rPr>
          <w:spacing w:val="-2"/>
          <w:sz w:val="24"/>
        </w:rPr>
        <w:t> </w:t>
      </w:r>
      <w:r>
        <w:rPr>
          <w:sz w:val="24"/>
        </w:rPr>
        <w:t>documents:</w:t>
      </w:r>
    </w:p>
    <w:p>
      <w:pPr>
        <w:pStyle w:val="ListParagraph"/>
        <w:numPr>
          <w:ilvl w:val="5"/>
          <w:numId w:val="243"/>
        </w:numPr>
        <w:tabs>
          <w:tab w:pos="3053" w:val="left" w:leader="none"/>
        </w:tabs>
        <w:spacing w:line="240" w:lineRule="auto" w:before="120" w:after="0"/>
        <w:ind w:left="3053" w:right="416" w:hanging="567"/>
        <w:jc w:val="both"/>
        <w:rPr>
          <w:sz w:val="24"/>
        </w:rPr>
      </w:pPr>
      <w:r>
        <w:rPr>
          <w:sz w:val="24"/>
        </w:rPr>
        <w:t>the most recent </w:t>
      </w:r>
      <w:r>
        <w:rPr>
          <w:i/>
          <w:sz w:val="24"/>
        </w:rPr>
        <w:t>Transmission Annual Planning Reports </w:t>
      </w:r>
      <w:r>
        <w:rPr>
          <w:sz w:val="24"/>
        </w:rPr>
        <w:t>that have been</w:t>
      </w:r>
      <w:r>
        <w:rPr>
          <w:spacing w:val="-1"/>
          <w:sz w:val="24"/>
        </w:rPr>
        <w:t> </w:t>
      </w:r>
      <w:r>
        <w:rPr>
          <w:i/>
          <w:sz w:val="24"/>
        </w:rPr>
        <w:t>published</w:t>
      </w:r>
      <w:r>
        <w:rPr>
          <w:sz w:val="24"/>
        </w:rPr>
        <w:t>;</w:t>
      </w:r>
    </w:p>
    <w:p>
      <w:pPr>
        <w:pStyle w:val="ListParagraph"/>
        <w:numPr>
          <w:ilvl w:val="5"/>
          <w:numId w:val="243"/>
        </w:numPr>
        <w:tabs>
          <w:tab w:pos="3054" w:val="left" w:leader="none"/>
        </w:tabs>
        <w:spacing w:line="240" w:lineRule="auto" w:before="120" w:after="0"/>
        <w:ind w:left="3053" w:right="0" w:hanging="568"/>
        <w:jc w:val="both"/>
        <w:rPr>
          <w:sz w:val="24"/>
        </w:rPr>
      </w:pPr>
      <w:r>
        <w:rPr>
          <w:sz w:val="24"/>
        </w:rPr>
        <w:t>the most recent </w:t>
      </w:r>
      <w:r>
        <w:rPr>
          <w:i/>
          <w:sz w:val="24"/>
        </w:rPr>
        <w:t>statement of opportunities </w:t>
      </w:r>
      <w:r>
        <w:rPr>
          <w:sz w:val="24"/>
        </w:rPr>
        <w:t>that has</w:t>
      </w:r>
      <w:r>
        <w:rPr>
          <w:spacing w:val="40"/>
          <w:sz w:val="24"/>
        </w:rPr>
        <w:t> </w:t>
      </w:r>
      <w:r>
        <w:rPr>
          <w:sz w:val="24"/>
        </w:rPr>
        <w:t>been</w:t>
      </w:r>
    </w:p>
    <w:p>
      <w:pPr>
        <w:spacing w:before="0"/>
        <w:ind w:left="3053" w:right="0" w:firstLine="0"/>
        <w:jc w:val="left"/>
        <w:rPr>
          <w:sz w:val="24"/>
        </w:rPr>
      </w:pPr>
      <w:r>
        <w:rPr>
          <w:i/>
          <w:sz w:val="24"/>
        </w:rPr>
        <w:t>published</w:t>
      </w:r>
      <w:r>
        <w:rPr>
          <w:sz w:val="24"/>
        </w:rPr>
        <w:t>;</w:t>
      </w:r>
    </w:p>
    <w:p>
      <w:pPr>
        <w:pStyle w:val="ListParagraph"/>
        <w:numPr>
          <w:ilvl w:val="5"/>
          <w:numId w:val="243"/>
        </w:numPr>
        <w:tabs>
          <w:tab w:pos="3052" w:val="left" w:leader="none"/>
          <w:tab w:pos="3053" w:val="left" w:leader="none"/>
        </w:tabs>
        <w:spacing w:line="240" w:lineRule="auto" w:before="120" w:after="0"/>
        <w:ind w:left="3053" w:right="416" w:hanging="567"/>
        <w:jc w:val="left"/>
        <w:rPr>
          <w:sz w:val="24"/>
        </w:rPr>
      </w:pPr>
      <w:r>
        <w:rPr>
          <w:sz w:val="24"/>
        </w:rPr>
        <w:t>the most recent gas statement of opportunities published under the National Gas</w:t>
      </w:r>
      <w:r>
        <w:rPr>
          <w:spacing w:val="-2"/>
          <w:sz w:val="24"/>
        </w:rPr>
        <w:t> </w:t>
      </w:r>
      <w:r>
        <w:rPr>
          <w:sz w:val="24"/>
        </w:rPr>
        <w:t>Law;</w:t>
      </w:r>
    </w:p>
    <w:p>
      <w:pPr>
        <w:pStyle w:val="ListParagraph"/>
        <w:numPr>
          <w:ilvl w:val="5"/>
          <w:numId w:val="243"/>
        </w:numPr>
        <w:tabs>
          <w:tab w:pos="3052" w:val="left" w:leader="none"/>
          <w:tab w:pos="3054" w:val="left" w:leader="none"/>
        </w:tabs>
        <w:spacing w:line="240" w:lineRule="auto" w:before="120" w:after="0"/>
        <w:ind w:left="3053" w:right="415" w:hanging="567"/>
        <w:jc w:val="left"/>
        <w:rPr>
          <w:sz w:val="24"/>
        </w:rPr>
      </w:pPr>
      <w:r>
        <w:rPr>
          <w:sz w:val="24"/>
        </w:rPr>
        <w:t>the current revenue determination for each </w:t>
      </w:r>
      <w:r>
        <w:rPr>
          <w:i/>
          <w:sz w:val="24"/>
        </w:rPr>
        <w:t>Transmission </w:t>
      </w:r>
      <w:r>
        <w:rPr>
          <w:i/>
          <w:sz w:val="24"/>
        </w:rPr>
        <w:t>Network Service</w:t>
      </w:r>
      <w:r>
        <w:rPr>
          <w:i/>
          <w:spacing w:val="-1"/>
          <w:sz w:val="24"/>
        </w:rPr>
        <w:t> </w:t>
      </w:r>
      <w:r>
        <w:rPr>
          <w:i/>
          <w:sz w:val="24"/>
        </w:rPr>
        <w:t>Provider</w:t>
      </w:r>
      <w:r>
        <w:rPr>
          <w:sz w:val="24"/>
        </w:rPr>
        <w:t>;</w:t>
      </w:r>
    </w:p>
    <w:p>
      <w:pPr>
        <w:pStyle w:val="ListParagraph"/>
        <w:numPr>
          <w:ilvl w:val="5"/>
          <w:numId w:val="243"/>
        </w:numPr>
        <w:tabs>
          <w:tab w:pos="3052" w:val="left" w:leader="none"/>
          <w:tab w:pos="3053" w:val="left" w:leader="none"/>
        </w:tabs>
        <w:spacing w:line="240" w:lineRule="auto" w:before="120" w:after="0"/>
        <w:ind w:left="3052" w:right="0" w:hanging="567"/>
        <w:jc w:val="left"/>
        <w:rPr>
          <w:sz w:val="24"/>
        </w:rPr>
      </w:pPr>
      <w:r>
        <w:rPr>
          <w:sz w:val="24"/>
        </w:rPr>
        <w:t>any other documents that </w:t>
      </w:r>
      <w:r>
        <w:rPr>
          <w:i/>
          <w:sz w:val="24"/>
        </w:rPr>
        <w:t>AEMO </w:t>
      </w:r>
      <w:r>
        <w:rPr>
          <w:sz w:val="24"/>
        </w:rPr>
        <w:t>considers</w:t>
      </w:r>
      <w:r>
        <w:rPr>
          <w:spacing w:val="-2"/>
          <w:sz w:val="24"/>
        </w:rPr>
        <w:t> </w:t>
      </w:r>
      <w:r>
        <w:rPr>
          <w:sz w:val="24"/>
        </w:rPr>
        <w:t>relevant.</w:t>
      </w:r>
    </w:p>
    <w:p>
      <w:pPr>
        <w:pStyle w:val="ListParagraph"/>
        <w:numPr>
          <w:ilvl w:val="3"/>
          <w:numId w:val="243"/>
        </w:numPr>
        <w:tabs>
          <w:tab w:pos="1918" w:val="left" w:leader="none"/>
          <w:tab w:pos="1919" w:val="left" w:leader="none"/>
        </w:tabs>
        <w:spacing w:line="240" w:lineRule="auto" w:before="120" w:after="0"/>
        <w:ind w:left="1918" w:right="0" w:hanging="567"/>
        <w:jc w:val="left"/>
        <w:rPr>
          <w:sz w:val="24"/>
        </w:rPr>
      </w:pPr>
      <w:r>
        <w:rPr>
          <w:sz w:val="24"/>
        </w:rPr>
        <w:t>An </w:t>
      </w:r>
      <w:r>
        <w:rPr>
          <w:i/>
          <w:sz w:val="24"/>
        </w:rPr>
        <w:t>NTNDP </w:t>
      </w:r>
      <w:r>
        <w:rPr>
          <w:sz w:val="24"/>
        </w:rPr>
        <w:t>that is </w:t>
      </w:r>
      <w:r>
        <w:rPr>
          <w:i/>
          <w:sz w:val="24"/>
        </w:rPr>
        <w:t>published </w:t>
      </w:r>
      <w:r>
        <w:rPr>
          <w:sz w:val="24"/>
        </w:rPr>
        <w:t>under paragraph (a)</w:t>
      </w:r>
      <w:r>
        <w:rPr>
          <w:spacing w:val="-2"/>
          <w:sz w:val="24"/>
        </w:rPr>
        <w:t> </w:t>
      </w:r>
      <w:r>
        <w:rPr>
          <w:sz w:val="24"/>
        </w:rPr>
        <w:t>must:</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consider and assess an appropriate course for the </w:t>
      </w:r>
      <w:r>
        <w:rPr>
          <w:spacing w:val="-3"/>
          <w:sz w:val="24"/>
        </w:rPr>
        <w:t>efficient </w:t>
      </w:r>
      <w:r>
        <w:rPr>
          <w:sz w:val="24"/>
        </w:rPr>
        <w:t>development of the </w:t>
      </w:r>
      <w:r>
        <w:rPr>
          <w:i/>
          <w:sz w:val="24"/>
        </w:rPr>
        <w:t>national transmission grid </w:t>
      </w:r>
      <w:r>
        <w:rPr>
          <w:sz w:val="24"/>
        </w:rPr>
        <w:t>for a planning horizon of at least 20 years from the beginning of the year in which</w:t>
      </w:r>
      <w:r>
        <w:rPr>
          <w:spacing w:val="43"/>
          <w:sz w:val="24"/>
        </w:rPr>
        <w:t> </w:t>
      </w:r>
      <w:r>
        <w:rPr>
          <w:sz w:val="24"/>
        </w:rPr>
        <w:t>the </w:t>
      </w:r>
      <w:r>
        <w:rPr>
          <w:i/>
          <w:sz w:val="24"/>
        </w:rPr>
        <w:t>NTNDP </w:t>
      </w:r>
      <w:r>
        <w:rPr>
          <w:sz w:val="24"/>
        </w:rPr>
        <w:t>applies;</w:t>
      </w:r>
      <w:r>
        <w:rPr>
          <w:spacing w:val="-1"/>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take into account all </w:t>
      </w:r>
      <w:r>
        <w:rPr>
          <w:i/>
          <w:sz w:val="24"/>
        </w:rPr>
        <w:t>transmission elements </w:t>
      </w:r>
      <w:r>
        <w:rPr>
          <w:sz w:val="24"/>
        </w:rPr>
        <w:t>which are part of, or materially affect, the transmission capability of any current </w:t>
      </w:r>
      <w:r>
        <w:rPr>
          <w:spacing w:val="-7"/>
          <w:sz w:val="24"/>
        </w:rPr>
        <w:t>or </w:t>
      </w:r>
      <w:r>
        <w:rPr>
          <w:sz w:val="24"/>
        </w:rPr>
        <w:t>potential </w:t>
      </w:r>
      <w:r>
        <w:rPr>
          <w:i/>
          <w:sz w:val="24"/>
        </w:rPr>
        <w:t>national transmission flow paths</w:t>
      </w:r>
      <w:r>
        <w:rPr>
          <w:sz w:val="24"/>
        </w:rPr>
        <w:t>;</w:t>
      </w:r>
      <w:r>
        <w:rPr>
          <w:spacing w:val="-4"/>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take into account all </w:t>
      </w:r>
      <w:r>
        <w:rPr>
          <w:i/>
          <w:sz w:val="24"/>
        </w:rPr>
        <w:t>NSCAS </w:t>
      </w:r>
      <w:r>
        <w:rPr>
          <w:sz w:val="24"/>
        </w:rPr>
        <w:t>provided;</w:t>
      </w:r>
      <w:r>
        <w:rPr>
          <w:spacing w:val="-2"/>
          <w:sz w:val="24"/>
        </w:rPr>
        <w:t> </w:t>
      </w:r>
      <w:r>
        <w:rPr>
          <w:sz w:val="24"/>
        </w:rPr>
        <w:t>and</w:t>
      </w:r>
    </w:p>
    <w:p>
      <w:pPr>
        <w:pStyle w:val="ListParagraph"/>
        <w:numPr>
          <w:ilvl w:val="4"/>
          <w:numId w:val="243"/>
        </w:numPr>
        <w:tabs>
          <w:tab w:pos="2486" w:val="left" w:leader="none"/>
        </w:tabs>
        <w:spacing w:line="240" w:lineRule="auto" w:before="120" w:after="0"/>
        <w:ind w:left="2486" w:right="416" w:hanging="567"/>
        <w:jc w:val="both"/>
        <w:rPr>
          <w:sz w:val="24"/>
        </w:rPr>
      </w:pPr>
      <w:r>
        <w:rPr>
          <w:sz w:val="24"/>
        </w:rPr>
        <w:t>identify a range of credible scenarios for the geographic pattern of the demand for, and supply of, electricity for the planning horizon of the </w:t>
      </w:r>
      <w:r>
        <w:rPr>
          <w:i/>
          <w:sz w:val="24"/>
        </w:rPr>
        <w:t>NTNDP</w:t>
      </w:r>
      <w:r>
        <w:rPr>
          <w:sz w:val="24"/>
        </w:rPr>
        <w:t>; and</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identify the location of current </w:t>
      </w:r>
      <w:r>
        <w:rPr>
          <w:i/>
          <w:sz w:val="24"/>
        </w:rPr>
        <w:t>national transmission flow paths </w:t>
      </w:r>
      <w:r>
        <w:rPr>
          <w:sz w:val="24"/>
        </w:rPr>
        <w:t>and specify their transmission capability;</w:t>
      </w:r>
      <w:r>
        <w:rPr>
          <w:spacing w:val="-3"/>
          <w:sz w:val="24"/>
        </w:rPr>
        <w:t> </w:t>
      </w:r>
      <w:r>
        <w:rPr>
          <w:sz w:val="24"/>
        </w:rPr>
        <w:t>and</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identify the location of the potential </w:t>
      </w:r>
      <w:r>
        <w:rPr>
          <w:i/>
          <w:sz w:val="24"/>
        </w:rPr>
        <w:t>national transmission flow paths </w:t>
      </w:r>
      <w:r>
        <w:rPr>
          <w:sz w:val="24"/>
        </w:rPr>
        <w:t>over the planning horizon of the </w:t>
      </w:r>
      <w:r>
        <w:rPr>
          <w:i/>
          <w:sz w:val="24"/>
        </w:rPr>
        <w:t>NTNDP </w:t>
      </w:r>
      <w:r>
        <w:rPr>
          <w:sz w:val="24"/>
        </w:rPr>
        <w:t>under each of the </w:t>
      </w:r>
      <w:r>
        <w:rPr>
          <w:spacing w:val="-3"/>
          <w:sz w:val="24"/>
        </w:rPr>
        <w:t>scenarios </w:t>
      </w:r>
      <w:r>
        <w:rPr>
          <w:sz w:val="24"/>
        </w:rPr>
        <w:t>referred to in subparagraph (3);</w:t>
      </w:r>
      <w:r>
        <w:rPr>
          <w:spacing w:val="-2"/>
          <w:sz w:val="24"/>
        </w:rPr>
        <w:t> </w:t>
      </w:r>
      <w:r>
        <w:rPr>
          <w:sz w:val="24"/>
        </w:rPr>
        <w:t>and</w:t>
      </w:r>
    </w:p>
    <w:p>
      <w:pPr>
        <w:pStyle w:val="ListParagraph"/>
        <w:numPr>
          <w:ilvl w:val="4"/>
          <w:numId w:val="243"/>
        </w:numPr>
        <w:tabs>
          <w:tab w:pos="2486" w:val="left" w:leader="none"/>
        </w:tabs>
        <w:spacing w:line="240" w:lineRule="auto" w:before="120" w:after="0"/>
        <w:ind w:left="2486" w:right="416" w:hanging="567"/>
        <w:jc w:val="both"/>
        <w:rPr>
          <w:sz w:val="24"/>
        </w:rPr>
      </w:pPr>
      <w:r>
        <w:rPr>
          <w:sz w:val="24"/>
        </w:rPr>
        <w:t>specify a development strategy for each current and potential </w:t>
      </w:r>
      <w:r>
        <w:rPr>
          <w:i/>
          <w:sz w:val="24"/>
        </w:rPr>
        <w:t>national </w:t>
      </w:r>
      <w:r>
        <w:rPr>
          <w:i/>
          <w:sz w:val="24"/>
        </w:rPr>
        <w:t>transmission flow path </w:t>
      </w:r>
      <w:r>
        <w:rPr>
          <w:sz w:val="24"/>
        </w:rPr>
        <w:t>in accordance with clause 5.20.3;</w:t>
      </w:r>
      <w:r>
        <w:rPr>
          <w:spacing w:val="-3"/>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include an assessment that</w:t>
      </w:r>
      <w:r>
        <w:rPr>
          <w:spacing w:val="-1"/>
          <w:sz w:val="24"/>
        </w:rPr>
        <w:t> </w:t>
      </w:r>
      <w:r>
        <w:rPr>
          <w:sz w:val="24"/>
        </w:rPr>
        <w:t>identifies:</w:t>
      </w:r>
    </w:p>
    <w:p>
      <w:pPr>
        <w:pStyle w:val="ListParagraph"/>
        <w:numPr>
          <w:ilvl w:val="5"/>
          <w:numId w:val="243"/>
        </w:numPr>
        <w:tabs>
          <w:tab w:pos="3053" w:val="left" w:leader="none"/>
        </w:tabs>
        <w:spacing w:line="240" w:lineRule="auto" w:before="120" w:after="0"/>
        <w:ind w:left="3052" w:right="0" w:hanging="567"/>
        <w:jc w:val="both"/>
        <w:rPr>
          <w:sz w:val="24"/>
        </w:rPr>
      </w:pPr>
      <w:r>
        <w:rPr>
          <w:sz w:val="24"/>
        </w:rPr>
        <w:t>any </w:t>
      </w:r>
      <w:r>
        <w:rPr>
          <w:i/>
          <w:sz w:val="24"/>
        </w:rPr>
        <w:t>NSCAS gap</w:t>
      </w:r>
      <w:r>
        <w:rPr>
          <w:sz w:val="24"/>
        </w:rPr>
        <w:t>; and</w:t>
      </w:r>
    </w:p>
    <w:p>
      <w:pPr>
        <w:pStyle w:val="ListParagraph"/>
        <w:numPr>
          <w:ilvl w:val="5"/>
          <w:numId w:val="243"/>
        </w:numPr>
        <w:tabs>
          <w:tab w:pos="3054" w:val="left" w:leader="none"/>
        </w:tabs>
        <w:spacing w:line="240" w:lineRule="auto" w:before="120" w:after="0"/>
        <w:ind w:left="3053" w:right="415" w:hanging="567"/>
        <w:jc w:val="both"/>
        <w:rPr>
          <w:sz w:val="24"/>
        </w:rPr>
      </w:pPr>
      <w:r>
        <w:rPr>
          <w:sz w:val="24"/>
        </w:rPr>
        <w:t>for any </w:t>
      </w:r>
      <w:r>
        <w:rPr>
          <w:i/>
          <w:sz w:val="24"/>
        </w:rPr>
        <w:t>NSCAS gap </w:t>
      </w:r>
      <w:r>
        <w:rPr>
          <w:sz w:val="24"/>
        </w:rPr>
        <w:t>identified in subparagraph (i) required to maintain </w:t>
      </w:r>
      <w:r>
        <w:rPr>
          <w:i/>
          <w:sz w:val="24"/>
        </w:rPr>
        <w:t>power system security </w:t>
      </w:r>
      <w:r>
        <w:rPr>
          <w:sz w:val="24"/>
        </w:rPr>
        <w:t>and reliability of </w:t>
      </w:r>
      <w:r>
        <w:rPr>
          <w:i/>
          <w:sz w:val="24"/>
        </w:rPr>
        <w:t>supply </w:t>
      </w:r>
      <w:r>
        <w:rPr>
          <w:sz w:val="24"/>
        </w:rPr>
        <w:t>of the </w:t>
      </w:r>
      <w:r>
        <w:rPr>
          <w:i/>
          <w:sz w:val="24"/>
        </w:rPr>
        <w:t>transmission network </w:t>
      </w:r>
      <w:r>
        <w:rPr>
          <w:sz w:val="24"/>
        </w:rPr>
        <w:t>in accordance with the </w:t>
      </w:r>
      <w:r>
        <w:rPr>
          <w:i/>
          <w:sz w:val="24"/>
        </w:rPr>
        <w:t>power system </w:t>
      </w:r>
      <w:r>
        <w:rPr>
          <w:i/>
          <w:sz w:val="24"/>
        </w:rPr>
        <w:t>security standards </w:t>
      </w:r>
      <w:r>
        <w:rPr>
          <w:sz w:val="24"/>
        </w:rPr>
        <w:t>and the </w:t>
      </w:r>
      <w:r>
        <w:rPr>
          <w:i/>
          <w:sz w:val="24"/>
        </w:rPr>
        <w:t>reliability standard</w:t>
      </w:r>
      <w:r>
        <w:rPr>
          <w:sz w:val="24"/>
        </w:rPr>
        <w:t>, the relevant NSCAS trigger</w:t>
      </w:r>
      <w:r>
        <w:rPr>
          <w:spacing w:val="-1"/>
          <w:sz w:val="24"/>
        </w:rPr>
        <w:t> </w:t>
      </w:r>
      <w:r>
        <w:rPr>
          <w:sz w:val="24"/>
        </w:rPr>
        <w:t>date;</w:t>
      </w:r>
    </w:p>
    <w:p>
      <w:pPr>
        <w:spacing w:after="0" w:line="240" w:lineRule="auto"/>
        <w:jc w:val="both"/>
        <w:rPr>
          <w:sz w:val="24"/>
        </w:rPr>
        <w:sectPr>
          <w:pgSz w:w="11910" w:h="16840"/>
          <w:pgMar w:header="686" w:footer="637" w:top="1320" w:bottom="820" w:left="1200" w:right="1000"/>
        </w:sectPr>
      </w:pPr>
    </w:p>
    <w:p>
      <w:pPr>
        <w:pStyle w:val="ListParagraph"/>
        <w:numPr>
          <w:ilvl w:val="5"/>
          <w:numId w:val="243"/>
        </w:numPr>
        <w:tabs>
          <w:tab w:pos="3053" w:val="left" w:leader="none"/>
        </w:tabs>
        <w:spacing w:line="240" w:lineRule="auto" w:before="83" w:after="0"/>
        <w:ind w:left="3053" w:right="415" w:hanging="567"/>
        <w:jc w:val="both"/>
        <w:rPr>
          <w:sz w:val="24"/>
        </w:rPr>
      </w:pPr>
      <w:r>
        <w:rPr>
          <w:sz w:val="24"/>
        </w:rPr>
        <w:t>for any </w:t>
      </w:r>
      <w:r>
        <w:rPr>
          <w:i/>
          <w:sz w:val="24"/>
        </w:rPr>
        <w:t>NSCAS gap </w:t>
      </w:r>
      <w:r>
        <w:rPr>
          <w:sz w:val="24"/>
        </w:rPr>
        <w:t>identified in subparagraph (i) required to maintain </w:t>
      </w:r>
      <w:r>
        <w:rPr>
          <w:i/>
          <w:sz w:val="24"/>
        </w:rPr>
        <w:t>power system security </w:t>
      </w:r>
      <w:r>
        <w:rPr>
          <w:sz w:val="24"/>
        </w:rPr>
        <w:t>and reliability of </w:t>
      </w:r>
      <w:r>
        <w:rPr>
          <w:i/>
          <w:sz w:val="24"/>
        </w:rPr>
        <w:t>supply </w:t>
      </w:r>
      <w:r>
        <w:rPr>
          <w:sz w:val="24"/>
        </w:rPr>
        <w:t>of the </w:t>
      </w:r>
      <w:r>
        <w:rPr>
          <w:i/>
          <w:sz w:val="24"/>
        </w:rPr>
        <w:t>transmission network </w:t>
      </w:r>
      <w:r>
        <w:rPr>
          <w:sz w:val="24"/>
        </w:rPr>
        <w:t>in accordance with the </w:t>
      </w:r>
      <w:r>
        <w:rPr>
          <w:i/>
          <w:sz w:val="24"/>
        </w:rPr>
        <w:t>power system </w:t>
      </w:r>
      <w:r>
        <w:rPr>
          <w:i/>
          <w:sz w:val="24"/>
        </w:rPr>
        <w:t>security standards </w:t>
      </w:r>
      <w:r>
        <w:rPr>
          <w:sz w:val="24"/>
        </w:rPr>
        <w:t>and the </w:t>
      </w:r>
      <w:r>
        <w:rPr>
          <w:i/>
          <w:sz w:val="24"/>
        </w:rPr>
        <w:t>reliability standard</w:t>
      </w:r>
      <w:r>
        <w:rPr>
          <w:sz w:val="24"/>
        </w:rPr>
        <w:t>, the relevant NSCAS tender</w:t>
      </w:r>
      <w:r>
        <w:rPr>
          <w:spacing w:val="-1"/>
          <w:sz w:val="24"/>
        </w:rPr>
        <w:t> </w:t>
      </w:r>
      <w:r>
        <w:rPr>
          <w:sz w:val="24"/>
        </w:rPr>
        <w:t>date;</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report on </w:t>
      </w:r>
      <w:r>
        <w:rPr>
          <w:i/>
          <w:sz w:val="24"/>
        </w:rPr>
        <w:t>NSCAS </w:t>
      </w:r>
      <w:r>
        <w:rPr>
          <w:sz w:val="24"/>
        </w:rPr>
        <w:t>acquired by </w:t>
      </w:r>
      <w:r>
        <w:rPr>
          <w:i/>
          <w:sz w:val="24"/>
        </w:rPr>
        <w:t>AEMO </w:t>
      </w:r>
      <w:r>
        <w:rPr>
          <w:sz w:val="24"/>
        </w:rPr>
        <w:t>in the previous </w:t>
      </w:r>
      <w:r>
        <w:rPr>
          <w:i/>
          <w:sz w:val="24"/>
        </w:rPr>
        <w:t>NTNDP </w:t>
      </w:r>
      <w:r>
        <w:rPr>
          <w:spacing w:val="-3"/>
          <w:sz w:val="24"/>
        </w:rPr>
        <w:t>year;</w:t>
      </w:r>
      <w:r>
        <w:rPr>
          <w:spacing w:val="54"/>
          <w:sz w:val="24"/>
        </w:rPr>
        <w:t> </w:t>
      </w:r>
      <w:r>
        <w:rPr>
          <w:sz w:val="24"/>
        </w:rPr>
        <w:t>and</w:t>
      </w:r>
    </w:p>
    <w:p>
      <w:pPr>
        <w:pStyle w:val="ListParagraph"/>
        <w:numPr>
          <w:ilvl w:val="4"/>
          <w:numId w:val="243"/>
        </w:numPr>
        <w:tabs>
          <w:tab w:pos="2486" w:val="left" w:leader="none"/>
        </w:tabs>
        <w:spacing w:line="240" w:lineRule="auto" w:before="120" w:after="0"/>
        <w:ind w:left="2486" w:right="413" w:hanging="567"/>
        <w:jc w:val="both"/>
        <w:rPr>
          <w:sz w:val="24"/>
        </w:rPr>
      </w:pPr>
      <w:r>
        <w:rPr>
          <w:sz w:val="24"/>
        </w:rPr>
        <w:t>include a summary of the information specified in rule 3.7A in relation to congestion on each current </w:t>
      </w:r>
      <w:r>
        <w:rPr>
          <w:i/>
          <w:sz w:val="24"/>
        </w:rPr>
        <w:t>national transmission flow path</w:t>
      </w:r>
      <w:r>
        <w:rPr>
          <w:sz w:val="24"/>
        </w:rPr>
        <w:t>; 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include a consolidated summary of the </w:t>
      </w:r>
      <w:r>
        <w:rPr>
          <w:i/>
          <w:sz w:val="24"/>
        </w:rPr>
        <w:t>augmentations </w:t>
      </w:r>
      <w:r>
        <w:rPr>
          <w:sz w:val="24"/>
        </w:rPr>
        <w:t>proposed by each </w:t>
      </w:r>
      <w:r>
        <w:rPr>
          <w:i/>
          <w:sz w:val="24"/>
        </w:rPr>
        <w:t>Transmission Network Service Provider </w:t>
      </w:r>
      <w:r>
        <w:rPr>
          <w:sz w:val="24"/>
        </w:rPr>
        <w:t>in the most recent </w:t>
      </w:r>
      <w:r>
        <w:rPr>
          <w:i/>
          <w:sz w:val="24"/>
        </w:rPr>
        <w:t>Transmission Annual Planning Reports </w:t>
      </w:r>
      <w:r>
        <w:rPr>
          <w:sz w:val="24"/>
        </w:rPr>
        <w:t>they have </w:t>
      </w:r>
      <w:r>
        <w:rPr>
          <w:i/>
          <w:sz w:val="24"/>
        </w:rPr>
        <w:t>published </w:t>
      </w:r>
      <w:r>
        <w:rPr>
          <w:sz w:val="24"/>
        </w:rPr>
        <w:t>and an analysis of the manner in which the proposed </w:t>
      </w:r>
      <w:r>
        <w:rPr>
          <w:i/>
          <w:sz w:val="24"/>
        </w:rPr>
        <w:t>augmentations </w:t>
      </w:r>
      <w:r>
        <w:rPr>
          <w:sz w:val="24"/>
        </w:rPr>
        <w:t>relate to the </w:t>
      </w:r>
      <w:r>
        <w:rPr>
          <w:i/>
          <w:sz w:val="24"/>
        </w:rPr>
        <w:t>NTNDP </w:t>
      </w:r>
      <w:r>
        <w:rPr>
          <w:sz w:val="24"/>
        </w:rPr>
        <w:t>and any previous </w:t>
      </w:r>
      <w:r>
        <w:rPr>
          <w:i/>
          <w:sz w:val="24"/>
        </w:rPr>
        <w:t>NTNDP</w:t>
      </w:r>
      <w:r>
        <w:rPr>
          <w:sz w:val="24"/>
        </w:rPr>
        <w:t>;</w:t>
      </w:r>
      <w:r>
        <w:rPr>
          <w:spacing w:val="-3"/>
          <w:sz w:val="24"/>
        </w:rPr>
        <w:t> </w:t>
      </w:r>
      <w:r>
        <w:rPr>
          <w:sz w:val="24"/>
        </w:rPr>
        <w:t>and</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summarise the material issues arising from the submissions received in response to the invitation referred to in clause 5.20.1(b), explain how those issues have been addressed in the </w:t>
      </w:r>
      <w:r>
        <w:rPr>
          <w:i/>
          <w:sz w:val="24"/>
        </w:rPr>
        <w:t>NTNDP </w:t>
      </w:r>
      <w:r>
        <w:rPr>
          <w:sz w:val="24"/>
        </w:rPr>
        <w:t>and give reasons for not addressing any of those issues in the </w:t>
      </w:r>
      <w:r>
        <w:rPr>
          <w:i/>
          <w:sz w:val="24"/>
        </w:rPr>
        <w:t>NTNDP</w:t>
      </w:r>
      <w:r>
        <w:rPr>
          <w:sz w:val="24"/>
        </w:rPr>
        <w:t>;</w:t>
      </w:r>
      <w:r>
        <w:rPr>
          <w:spacing w:val="-1"/>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describe the boundaries of the </w:t>
      </w:r>
      <w:r>
        <w:rPr>
          <w:i/>
          <w:sz w:val="24"/>
        </w:rPr>
        <w:t>inertia sub-networks </w:t>
      </w:r>
      <w:r>
        <w:rPr>
          <w:sz w:val="24"/>
        </w:rPr>
        <w:t>and related </w:t>
      </w:r>
      <w:r>
        <w:rPr>
          <w:i/>
          <w:sz w:val="24"/>
        </w:rPr>
        <w:t>inertia </w:t>
      </w:r>
      <w:r>
        <w:rPr>
          <w:i/>
          <w:sz w:val="24"/>
        </w:rPr>
        <w:t>requirements </w:t>
      </w:r>
      <w:r>
        <w:rPr>
          <w:sz w:val="24"/>
        </w:rPr>
        <w:t>determined by </w:t>
      </w:r>
      <w:r>
        <w:rPr>
          <w:i/>
          <w:sz w:val="24"/>
        </w:rPr>
        <w:t>AEMO </w:t>
      </w:r>
      <w:r>
        <w:rPr>
          <w:sz w:val="24"/>
        </w:rPr>
        <w:t>under rule 5.20B since the last </w:t>
      </w:r>
      <w:r>
        <w:rPr>
          <w:i/>
          <w:sz w:val="24"/>
        </w:rPr>
        <w:t>NTNDP </w:t>
      </w:r>
      <w:r>
        <w:rPr>
          <w:sz w:val="24"/>
        </w:rPr>
        <w:t>and details of </w:t>
      </w:r>
      <w:r>
        <w:rPr>
          <w:i/>
          <w:sz w:val="24"/>
        </w:rPr>
        <w:t>AEMO</w:t>
      </w:r>
      <w:r>
        <w:rPr>
          <w:sz w:val="24"/>
        </w:rPr>
        <w:t>'s assessment of any </w:t>
      </w:r>
      <w:r>
        <w:rPr>
          <w:i/>
          <w:sz w:val="24"/>
        </w:rPr>
        <w:t>inertia shortfall </w:t>
      </w:r>
      <w:r>
        <w:rPr>
          <w:sz w:val="24"/>
        </w:rPr>
        <w:t>and </w:t>
      </w:r>
      <w:r>
        <w:rPr>
          <w:i/>
          <w:sz w:val="24"/>
        </w:rPr>
        <w:t>AEMO's </w:t>
      </w:r>
      <w:r>
        <w:rPr>
          <w:sz w:val="24"/>
        </w:rPr>
        <w:t>forecast of any </w:t>
      </w:r>
      <w:r>
        <w:rPr>
          <w:i/>
          <w:sz w:val="24"/>
        </w:rPr>
        <w:t>inertia shortfall </w:t>
      </w:r>
      <w:r>
        <w:rPr>
          <w:sz w:val="24"/>
        </w:rPr>
        <w:t>arising at any time within a planning horizon of at least 5 years;</w:t>
      </w:r>
      <w:r>
        <w:rPr>
          <w:spacing w:val="-2"/>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describe the </w:t>
      </w:r>
      <w:r>
        <w:rPr>
          <w:i/>
          <w:sz w:val="24"/>
        </w:rPr>
        <w:t>system strength requirements </w:t>
      </w:r>
      <w:r>
        <w:rPr>
          <w:sz w:val="24"/>
        </w:rPr>
        <w:t>determined by </w:t>
      </w:r>
      <w:r>
        <w:rPr>
          <w:i/>
          <w:sz w:val="24"/>
        </w:rPr>
        <w:t>AEMO </w:t>
      </w:r>
      <w:r>
        <w:rPr>
          <w:sz w:val="24"/>
        </w:rPr>
        <w:t>under rule 5.20C since the last </w:t>
      </w:r>
      <w:r>
        <w:rPr>
          <w:i/>
          <w:sz w:val="24"/>
        </w:rPr>
        <w:t>NTNDP </w:t>
      </w:r>
      <w:r>
        <w:rPr>
          <w:sz w:val="24"/>
        </w:rPr>
        <w:t>and details of </w:t>
      </w:r>
      <w:r>
        <w:rPr>
          <w:i/>
          <w:sz w:val="24"/>
        </w:rPr>
        <w:t>AEMO</w:t>
      </w:r>
      <w:r>
        <w:rPr>
          <w:sz w:val="24"/>
        </w:rPr>
        <w:t>'s assessment of any </w:t>
      </w:r>
      <w:r>
        <w:rPr>
          <w:i/>
          <w:sz w:val="24"/>
        </w:rPr>
        <w:t>fault level shortfall </w:t>
      </w:r>
      <w:r>
        <w:rPr>
          <w:sz w:val="24"/>
        </w:rPr>
        <w:t>and </w:t>
      </w:r>
      <w:r>
        <w:rPr>
          <w:i/>
          <w:sz w:val="24"/>
        </w:rPr>
        <w:t>AEMO's </w:t>
      </w:r>
      <w:r>
        <w:rPr>
          <w:sz w:val="24"/>
        </w:rPr>
        <w:t>forecast of any </w:t>
      </w:r>
      <w:r>
        <w:rPr>
          <w:i/>
          <w:sz w:val="24"/>
        </w:rPr>
        <w:t>fault level </w:t>
      </w:r>
      <w:r>
        <w:rPr>
          <w:i/>
          <w:sz w:val="24"/>
        </w:rPr>
        <w:t>shortfall </w:t>
      </w:r>
      <w:r>
        <w:rPr>
          <w:sz w:val="24"/>
        </w:rPr>
        <w:t>arising at any time within a planning horizon of at least 5 years.</w:t>
      </w:r>
    </w:p>
    <w:p>
      <w:pPr>
        <w:pStyle w:val="ListParagraph"/>
        <w:numPr>
          <w:ilvl w:val="3"/>
          <w:numId w:val="243"/>
        </w:numPr>
        <w:tabs>
          <w:tab w:pos="1919" w:val="left" w:leader="none"/>
        </w:tabs>
        <w:spacing w:line="240" w:lineRule="auto" w:before="120" w:after="0"/>
        <w:ind w:left="1919" w:right="415" w:hanging="567"/>
        <w:jc w:val="both"/>
        <w:rPr>
          <w:sz w:val="24"/>
        </w:rPr>
      </w:pPr>
      <w:r>
        <w:rPr>
          <w:i/>
          <w:sz w:val="24"/>
        </w:rPr>
        <w:t>AEMO </w:t>
      </w:r>
      <w:r>
        <w:rPr>
          <w:sz w:val="24"/>
        </w:rPr>
        <w:t>must </w:t>
      </w:r>
      <w:r>
        <w:rPr>
          <w:i/>
          <w:sz w:val="24"/>
        </w:rPr>
        <w:t>publish </w:t>
      </w:r>
      <w:r>
        <w:rPr>
          <w:sz w:val="24"/>
        </w:rPr>
        <w:t>the first </w:t>
      </w:r>
      <w:r>
        <w:rPr>
          <w:i/>
          <w:sz w:val="24"/>
        </w:rPr>
        <w:t>NTNDP </w:t>
      </w:r>
      <w:r>
        <w:rPr>
          <w:sz w:val="24"/>
        </w:rPr>
        <w:t>(the </w:t>
      </w:r>
      <w:r>
        <w:rPr>
          <w:b/>
          <w:i/>
          <w:sz w:val="24"/>
        </w:rPr>
        <w:t>NTNDP </w:t>
      </w:r>
      <w:r>
        <w:rPr>
          <w:b/>
          <w:sz w:val="24"/>
        </w:rPr>
        <w:t>for 2011</w:t>
      </w:r>
      <w:r>
        <w:rPr>
          <w:sz w:val="24"/>
        </w:rPr>
        <w:t>) no later than 31 December</w:t>
      </w:r>
      <w:r>
        <w:rPr>
          <w:spacing w:val="-1"/>
          <w:sz w:val="24"/>
        </w:rPr>
        <w:t> </w:t>
      </w:r>
      <w:r>
        <w:rPr>
          <w:sz w:val="24"/>
        </w:rPr>
        <w:t>2010.</w:t>
      </w:r>
    </w:p>
    <w:p>
      <w:pPr>
        <w:pStyle w:val="ListParagraph"/>
        <w:numPr>
          <w:ilvl w:val="3"/>
          <w:numId w:val="243"/>
        </w:numPr>
        <w:tabs>
          <w:tab w:pos="1919" w:val="left" w:leader="none"/>
        </w:tabs>
        <w:spacing w:line="240" w:lineRule="auto" w:before="120" w:after="0"/>
        <w:ind w:left="1919" w:right="415" w:hanging="567"/>
        <w:jc w:val="both"/>
        <w:rPr>
          <w:sz w:val="24"/>
        </w:rPr>
      </w:pPr>
      <w:r>
        <w:rPr>
          <w:sz w:val="24"/>
        </w:rPr>
        <w:t>If, after the </w:t>
      </w:r>
      <w:r>
        <w:rPr>
          <w:i/>
          <w:sz w:val="24"/>
        </w:rPr>
        <w:t>publication </w:t>
      </w:r>
      <w:r>
        <w:rPr>
          <w:sz w:val="24"/>
        </w:rPr>
        <w:t>of the most recent </w:t>
      </w:r>
      <w:r>
        <w:rPr>
          <w:i/>
          <w:sz w:val="24"/>
        </w:rPr>
        <w:t>NTNDP</w:t>
      </w:r>
      <w:r>
        <w:rPr>
          <w:sz w:val="24"/>
        </w:rPr>
        <w:t>, </w:t>
      </w:r>
      <w:r>
        <w:rPr>
          <w:i/>
          <w:sz w:val="24"/>
        </w:rPr>
        <w:t>AEMO </w:t>
      </w:r>
      <w:r>
        <w:rPr>
          <w:sz w:val="24"/>
        </w:rPr>
        <w:t>becomes aware of information that shows the </w:t>
      </w:r>
      <w:r>
        <w:rPr>
          <w:i/>
          <w:sz w:val="24"/>
        </w:rPr>
        <w:t>NTNDP </w:t>
      </w:r>
      <w:r>
        <w:rPr>
          <w:sz w:val="24"/>
        </w:rPr>
        <w:t>to be incorrect in a material respect, </w:t>
      </w:r>
      <w:r>
        <w:rPr>
          <w:i/>
          <w:sz w:val="24"/>
        </w:rPr>
        <w:t>AEMO </w:t>
      </w:r>
      <w:r>
        <w:rPr>
          <w:sz w:val="24"/>
        </w:rPr>
        <w:t>must </w:t>
      </w:r>
      <w:r>
        <w:rPr>
          <w:i/>
          <w:sz w:val="24"/>
        </w:rPr>
        <w:t>publish </w:t>
      </w:r>
      <w:r>
        <w:rPr>
          <w:sz w:val="24"/>
        </w:rPr>
        <w:t>a correction of the </w:t>
      </w:r>
      <w:r>
        <w:rPr>
          <w:i/>
          <w:sz w:val="24"/>
        </w:rPr>
        <w:t>NTNDP </w:t>
      </w:r>
      <w:r>
        <w:rPr>
          <w:sz w:val="24"/>
        </w:rPr>
        <w:t>as soon as</w:t>
      </w:r>
      <w:r>
        <w:rPr>
          <w:spacing w:val="-5"/>
          <w:sz w:val="24"/>
        </w:rPr>
        <w:t> </w:t>
      </w:r>
      <w:r>
        <w:rPr>
          <w:sz w:val="24"/>
        </w:rPr>
        <w:t>practicable.</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3 Development strategies for nation" w:id="826"/>
      <w:bookmarkEnd w:id="826"/>
      <w:r>
        <w:rPr>
          <w:b w:val="0"/>
        </w:rPr>
      </w:r>
      <w:bookmarkStart w:name="_bookmark316" w:id="827"/>
      <w:bookmarkEnd w:id="827"/>
      <w:r>
        <w:rPr>
          <w:b w:val="0"/>
        </w:rPr>
      </w:r>
      <w:bookmarkStart w:name="_bookmark316" w:id="828"/>
      <w:bookmarkEnd w:id="828"/>
      <w:r>
        <w:rPr/>
        <w:t>Dev</w:t>
      </w:r>
      <w:r>
        <w:rPr/>
        <w:t>elopment strategies for national transmission flow</w:t>
      </w:r>
      <w:r>
        <w:rPr>
          <w:spacing w:val="-4"/>
        </w:rPr>
        <w:t> </w:t>
      </w:r>
      <w:r>
        <w:rPr/>
        <w:t>paths</w:t>
      </w:r>
    </w:p>
    <w:p>
      <w:pPr>
        <w:spacing w:before="120"/>
        <w:ind w:left="1352" w:right="0" w:firstLine="0"/>
        <w:jc w:val="left"/>
        <w:rPr>
          <w:i/>
          <w:sz w:val="24"/>
        </w:rPr>
      </w:pPr>
      <w:r>
        <w:rPr>
          <w:sz w:val="24"/>
        </w:rPr>
        <w:t>A development strategy for a current or potential </w:t>
      </w:r>
      <w:r>
        <w:rPr>
          <w:i/>
          <w:sz w:val="24"/>
        </w:rPr>
        <w:t>national transmission flow path</w:t>
      </w:r>
    </w:p>
    <w:p>
      <w:pPr>
        <w:pStyle w:val="BodyText"/>
        <w:spacing w:before="0"/>
        <w:ind w:left="1352" w:firstLine="0"/>
        <w:jc w:val="left"/>
      </w:pPr>
      <w:r>
        <w:rPr/>
        <w:t>that is specified in accordance with clause 5.20.2(c)(7) must:</w:t>
      </w:r>
    </w:p>
    <w:p>
      <w:pPr>
        <w:pStyle w:val="ListParagraph"/>
        <w:numPr>
          <w:ilvl w:val="3"/>
          <w:numId w:val="243"/>
        </w:numPr>
        <w:tabs>
          <w:tab w:pos="1918" w:val="left" w:leader="none"/>
          <w:tab w:pos="1919" w:val="left" w:leader="none"/>
        </w:tabs>
        <w:spacing w:line="240" w:lineRule="auto" w:before="120" w:after="0"/>
        <w:ind w:left="1918" w:right="0" w:hanging="567"/>
        <w:jc w:val="left"/>
        <w:rPr>
          <w:sz w:val="24"/>
        </w:rPr>
      </w:pPr>
      <w:r>
        <w:rPr>
          <w:sz w:val="24"/>
        </w:rPr>
        <w:t>be proposed for each of the scenarios referred to in clause 5.20.2(c)(4);</w:t>
      </w:r>
      <w:r>
        <w:rPr>
          <w:spacing w:val="-3"/>
          <w:sz w:val="24"/>
        </w:rPr>
        <w:t> </w:t>
      </w:r>
      <w:r>
        <w:rPr>
          <w:sz w:val="24"/>
        </w:rPr>
        <w:t>and</w:t>
      </w:r>
    </w:p>
    <w:p>
      <w:pPr>
        <w:pStyle w:val="ListParagraph"/>
        <w:numPr>
          <w:ilvl w:val="3"/>
          <w:numId w:val="243"/>
        </w:numPr>
        <w:tabs>
          <w:tab w:pos="1918" w:val="left" w:leader="none"/>
          <w:tab w:pos="1919" w:val="left" w:leader="none"/>
        </w:tabs>
        <w:spacing w:line="240" w:lineRule="auto" w:before="120" w:after="0"/>
        <w:ind w:left="1918" w:right="0" w:hanging="567"/>
        <w:jc w:val="left"/>
        <w:rPr>
          <w:sz w:val="24"/>
        </w:rPr>
      </w:pPr>
      <w:r>
        <w:rPr>
          <w:sz w:val="24"/>
        </w:rPr>
        <w:t>to the extent reasonably practicable and appropriate, be consistent</w:t>
      </w:r>
      <w:r>
        <w:rPr>
          <w:spacing w:val="-6"/>
          <w:sz w:val="24"/>
        </w:rPr>
        <w:t> </w:t>
      </w:r>
      <w:r>
        <w:rPr>
          <w:sz w:val="24"/>
        </w:rPr>
        <w:t>with:</w:t>
      </w:r>
    </w:p>
    <w:p>
      <w:pPr>
        <w:pStyle w:val="ListParagraph"/>
        <w:numPr>
          <w:ilvl w:val="4"/>
          <w:numId w:val="243"/>
        </w:numPr>
        <w:tabs>
          <w:tab w:pos="2485" w:val="left" w:leader="none"/>
          <w:tab w:pos="2486" w:val="left" w:leader="none"/>
        </w:tabs>
        <w:spacing w:line="240" w:lineRule="auto" w:before="120" w:after="0"/>
        <w:ind w:left="2485" w:right="0" w:hanging="567"/>
        <w:jc w:val="left"/>
        <w:rPr>
          <w:sz w:val="24"/>
        </w:rPr>
      </w:pPr>
      <w:r>
        <w:rPr>
          <w:sz w:val="24"/>
        </w:rPr>
        <w:t>the co-optimisation of </w:t>
      </w:r>
      <w:r>
        <w:rPr>
          <w:i/>
          <w:sz w:val="24"/>
        </w:rPr>
        <w:t>network </w:t>
      </w:r>
      <w:r>
        <w:rPr>
          <w:sz w:val="24"/>
        </w:rPr>
        <w:t>and non-</w:t>
      </w:r>
      <w:r>
        <w:rPr>
          <w:i/>
          <w:sz w:val="24"/>
        </w:rPr>
        <w:t>network </w:t>
      </w:r>
      <w:r>
        <w:rPr>
          <w:sz w:val="24"/>
        </w:rPr>
        <w:t>investment;</w:t>
      </w:r>
      <w:r>
        <w:rPr>
          <w:spacing w:val="-2"/>
          <w:sz w:val="24"/>
        </w:rPr>
        <w:t> </w:t>
      </w:r>
      <w:r>
        <w:rPr>
          <w:sz w:val="24"/>
        </w:rPr>
        <w:t>and</w:t>
      </w:r>
    </w:p>
    <w:p>
      <w:pPr>
        <w:pStyle w:val="ListParagraph"/>
        <w:numPr>
          <w:ilvl w:val="4"/>
          <w:numId w:val="243"/>
        </w:numPr>
        <w:tabs>
          <w:tab w:pos="2485" w:val="left" w:leader="none"/>
          <w:tab w:pos="2486" w:val="left" w:leader="none"/>
        </w:tabs>
        <w:spacing w:line="240" w:lineRule="auto" w:before="120" w:after="0"/>
        <w:ind w:left="2486" w:right="415" w:hanging="567"/>
        <w:jc w:val="left"/>
        <w:rPr>
          <w:sz w:val="24"/>
        </w:rPr>
      </w:pPr>
      <w:r>
        <w:rPr>
          <w:sz w:val="24"/>
        </w:rPr>
        <w:t>the maximisation of net economic benefit to all those who produce, consume and transport electricity to the </w:t>
      </w:r>
      <w:r>
        <w:rPr>
          <w:i/>
          <w:sz w:val="24"/>
        </w:rPr>
        <w:t>market</w:t>
      </w:r>
      <w:r>
        <w:rPr>
          <w:sz w:val="24"/>
        </w:rPr>
        <w:t>;</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4"/>
          <w:numId w:val="243"/>
        </w:numPr>
        <w:tabs>
          <w:tab w:pos="2486" w:val="left" w:leader="none"/>
        </w:tabs>
        <w:spacing w:line="240" w:lineRule="auto" w:before="83" w:after="0"/>
        <w:ind w:left="2486" w:right="415" w:hanging="567"/>
        <w:jc w:val="both"/>
        <w:rPr>
          <w:sz w:val="24"/>
        </w:rPr>
      </w:pPr>
      <w:r>
        <w:rPr>
          <w:sz w:val="24"/>
        </w:rPr>
        <w:t>the service standards that are linked to the technical requirements of schedule 5.1 or in </w:t>
      </w:r>
      <w:r>
        <w:rPr>
          <w:i/>
          <w:sz w:val="24"/>
        </w:rPr>
        <w:t>applicable regulatory instruments</w:t>
      </w:r>
      <w:r>
        <w:rPr>
          <w:sz w:val="24"/>
        </w:rPr>
        <w:t>;</w:t>
      </w:r>
      <w:r>
        <w:rPr>
          <w:spacing w:val="-4"/>
          <w:sz w:val="24"/>
        </w:rPr>
        <w:t> </w:t>
      </w:r>
      <w:r>
        <w:rPr>
          <w:sz w:val="24"/>
        </w:rPr>
        <w:t>and</w:t>
      </w:r>
    </w:p>
    <w:p>
      <w:pPr>
        <w:pStyle w:val="ListParagraph"/>
        <w:numPr>
          <w:ilvl w:val="3"/>
          <w:numId w:val="243"/>
        </w:numPr>
        <w:tabs>
          <w:tab w:pos="1919" w:val="left" w:leader="none"/>
        </w:tabs>
        <w:spacing w:line="240" w:lineRule="auto" w:before="120" w:after="0"/>
        <w:ind w:left="1918" w:right="0" w:hanging="567"/>
        <w:jc w:val="both"/>
        <w:rPr>
          <w:sz w:val="24"/>
        </w:rPr>
      </w:pPr>
      <w:r>
        <w:rPr>
          <w:sz w:val="24"/>
        </w:rPr>
        <w:t>take into account the following</w:t>
      </w:r>
      <w:r>
        <w:rPr>
          <w:spacing w:val="-1"/>
          <w:sz w:val="24"/>
        </w:rPr>
        <w:t> </w:t>
      </w:r>
      <w:r>
        <w:rPr>
          <w:sz w:val="24"/>
        </w:rPr>
        <w:t>matters:</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current or likely capacity of the </w:t>
      </w:r>
      <w:r>
        <w:rPr>
          <w:i/>
          <w:sz w:val="24"/>
        </w:rPr>
        <w:t>national transmission flow path</w:t>
      </w:r>
      <w:r>
        <w:rPr>
          <w:sz w:val="24"/>
        </w:rPr>
        <w:t>, and the need to increase that capacity to relieve current or</w:t>
      </w:r>
      <w:r>
        <w:rPr>
          <w:spacing w:val="45"/>
          <w:sz w:val="24"/>
        </w:rPr>
        <w:t> </w:t>
      </w:r>
      <w:r>
        <w:rPr>
          <w:sz w:val="24"/>
        </w:rPr>
        <w:t>likely </w:t>
      </w:r>
      <w:r>
        <w:rPr>
          <w:i/>
          <w:sz w:val="24"/>
        </w:rPr>
        <w:t>constraints </w:t>
      </w:r>
      <w:r>
        <w:rPr>
          <w:sz w:val="24"/>
        </w:rPr>
        <w:t>and congestion points;</w:t>
      </w:r>
      <w:r>
        <w:rPr>
          <w:spacing w:val="-1"/>
          <w:sz w:val="24"/>
        </w:rPr>
        <w:t> </w:t>
      </w:r>
      <w:r>
        <w:rPr>
          <w:sz w:val="24"/>
        </w:rPr>
        <w:t>and</w:t>
      </w:r>
    </w:p>
    <w:p>
      <w:pPr>
        <w:pStyle w:val="ListParagraph"/>
        <w:numPr>
          <w:ilvl w:val="4"/>
          <w:numId w:val="243"/>
        </w:numPr>
        <w:tabs>
          <w:tab w:pos="2486" w:val="left" w:leader="none"/>
        </w:tabs>
        <w:spacing w:line="240" w:lineRule="auto" w:before="120" w:after="0"/>
        <w:ind w:left="2486" w:right="416" w:hanging="567"/>
        <w:jc w:val="both"/>
        <w:rPr>
          <w:sz w:val="24"/>
        </w:rPr>
      </w:pPr>
      <w:r>
        <w:rPr>
          <w:sz w:val="24"/>
        </w:rPr>
        <w:t>technically feasible </w:t>
      </w:r>
      <w:r>
        <w:rPr>
          <w:i/>
          <w:sz w:val="24"/>
        </w:rPr>
        <w:t>network </w:t>
      </w:r>
      <w:r>
        <w:rPr>
          <w:sz w:val="24"/>
        </w:rPr>
        <w:t>and </w:t>
      </w:r>
      <w:r>
        <w:rPr>
          <w:i/>
          <w:sz w:val="24"/>
        </w:rPr>
        <w:t>non-network options </w:t>
      </w:r>
      <w:r>
        <w:rPr>
          <w:spacing w:val="-3"/>
          <w:sz w:val="24"/>
        </w:rPr>
        <w:t>(including </w:t>
      </w:r>
      <w:r>
        <w:rPr>
          <w:sz w:val="24"/>
        </w:rPr>
        <w:t>additional </w:t>
      </w:r>
      <w:r>
        <w:rPr>
          <w:i/>
          <w:sz w:val="24"/>
        </w:rPr>
        <w:t>generation </w:t>
      </w:r>
      <w:r>
        <w:rPr>
          <w:sz w:val="24"/>
        </w:rPr>
        <w:t>and demand side options) for relieving current or likely </w:t>
      </w:r>
      <w:r>
        <w:rPr>
          <w:i/>
          <w:sz w:val="24"/>
        </w:rPr>
        <w:t>constraints </w:t>
      </w:r>
      <w:r>
        <w:rPr>
          <w:sz w:val="24"/>
        </w:rPr>
        <w:t>or congestion points;</w:t>
      </w:r>
      <w:r>
        <w:rPr>
          <w:spacing w:val="-2"/>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possible market benefits associated with each of the options identified under subparagraph (2);</w:t>
      </w:r>
      <w:r>
        <w:rPr>
          <w:spacing w:val="-3"/>
          <w:sz w:val="24"/>
        </w:rPr>
        <w:t> </w:t>
      </w:r>
      <w:r>
        <w:rPr>
          <w:sz w:val="24"/>
        </w:rPr>
        <w:t>and</w:t>
      </w:r>
    </w:p>
    <w:p>
      <w:pPr>
        <w:pStyle w:val="ListParagraph"/>
        <w:numPr>
          <w:ilvl w:val="3"/>
          <w:numId w:val="243"/>
        </w:numPr>
        <w:tabs>
          <w:tab w:pos="1919" w:val="left" w:leader="none"/>
        </w:tabs>
        <w:spacing w:line="240" w:lineRule="auto" w:before="120" w:after="0"/>
        <w:ind w:left="1918" w:right="0" w:hanging="567"/>
        <w:jc w:val="both"/>
        <w:rPr>
          <w:sz w:val="24"/>
        </w:rPr>
      </w:pPr>
      <w:r>
        <w:rPr>
          <w:sz w:val="24"/>
        </w:rPr>
        <w:t>include a high level assessment as</w:t>
      </w:r>
      <w:r>
        <w:rPr>
          <w:spacing w:val="-1"/>
          <w:sz w:val="24"/>
        </w:rPr>
        <w:t> </w:t>
      </w:r>
      <w:r>
        <w:rPr>
          <w:sz w:val="24"/>
        </w:rPr>
        <w:t>to:</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which of the options, or combination of options, identified under paragraph (c)(2) provides the most efficient strategy for the development of the </w:t>
      </w:r>
      <w:r>
        <w:rPr>
          <w:i/>
          <w:sz w:val="24"/>
        </w:rPr>
        <w:t>national transmission grid </w:t>
      </w:r>
      <w:r>
        <w:rPr>
          <w:sz w:val="24"/>
        </w:rPr>
        <w:t>under each of </w:t>
      </w:r>
      <w:r>
        <w:rPr>
          <w:spacing w:val="-4"/>
          <w:sz w:val="24"/>
        </w:rPr>
        <w:t>the </w:t>
      </w:r>
      <w:r>
        <w:rPr>
          <w:sz w:val="24"/>
        </w:rPr>
        <w:t>scenarios referred to in clause 5.20.2(c)(4);</w:t>
      </w:r>
      <w:r>
        <w:rPr>
          <w:spacing w:val="-4"/>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manner in which each such option, or combination of options, relates to the overall development of the </w:t>
      </w:r>
      <w:r>
        <w:rPr>
          <w:i/>
          <w:sz w:val="24"/>
        </w:rPr>
        <w:t>power</w:t>
      </w:r>
      <w:r>
        <w:rPr>
          <w:i/>
          <w:spacing w:val="-3"/>
          <w:sz w:val="24"/>
        </w:rPr>
        <w:t> </w:t>
      </w:r>
      <w:r>
        <w:rPr>
          <w:i/>
          <w:sz w:val="24"/>
        </w:rPr>
        <w:t>system</w:t>
      </w:r>
      <w:r>
        <w:rPr>
          <w:sz w:val="24"/>
        </w:rPr>
        <w:t>.</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4 NTNDP database" w:id="829"/>
      <w:bookmarkEnd w:id="829"/>
      <w:r>
        <w:rPr>
          <w:b w:val="0"/>
        </w:rPr>
      </w:r>
      <w:bookmarkStart w:name="_bookmark317" w:id="830"/>
      <w:bookmarkEnd w:id="830"/>
      <w:r>
        <w:rPr>
          <w:b w:val="0"/>
        </w:rPr>
      </w:r>
      <w:bookmarkStart w:name="_bookmark317" w:id="831"/>
      <w:bookmarkEnd w:id="831"/>
      <w:r>
        <w:rPr/>
        <w:t>NTND</w:t>
      </w:r>
      <w:r>
        <w:rPr/>
        <w:t>P</w:t>
      </w:r>
      <w:r>
        <w:rPr>
          <w:spacing w:val="-2"/>
        </w:rPr>
        <w:t> </w:t>
      </w:r>
      <w:r>
        <w:rPr/>
        <w:t>database</w:t>
      </w:r>
    </w:p>
    <w:p>
      <w:pPr>
        <w:pStyle w:val="ListParagraph"/>
        <w:numPr>
          <w:ilvl w:val="3"/>
          <w:numId w:val="243"/>
        </w:numPr>
        <w:tabs>
          <w:tab w:pos="1919" w:val="left" w:leader="none"/>
        </w:tabs>
        <w:spacing w:line="240" w:lineRule="auto" w:before="120" w:after="0"/>
        <w:ind w:left="1919" w:right="415" w:hanging="567"/>
        <w:jc w:val="both"/>
        <w:rPr>
          <w:sz w:val="24"/>
        </w:rPr>
      </w:pPr>
      <w:r>
        <w:rPr>
          <w:i/>
          <w:sz w:val="24"/>
        </w:rPr>
        <w:t>AEMO </w:t>
      </w:r>
      <w:r>
        <w:rPr>
          <w:sz w:val="24"/>
        </w:rPr>
        <w:t>must establish, maintain and make available to the public a database (the </w:t>
      </w:r>
      <w:r>
        <w:rPr>
          <w:i/>
          <w:sz w:val="24"/>
        </w:rPr>
        <w:t>NTNDP database</w:t>
      </w:r>
      <w:r>
        <w:rPr>
          <w:sz w:val="24"/>
        </w:rPr>
        <w:t>) that includes </w:t>
      </w:r>
      <w:r>
        <w:rPr>
          <w:i/>
          <w:sz w:val="24"/>
        </w:rPr>
        <w:t>NTNDP inputs </w:t>
      </w:r>
      <w:r>
        <w:rPr>
          <w:sz w:val="24"/>
        </w:rPr>
        <w:t>used by it in preparing the most recent</w:t>
      </w:r>
      <w:r>
        <w:rPr>
          <w:spacing w:val="-1"/>
          <w:sz w:val="24"/>
        </w:rPr>
        <w:t> </w:t>
      </w:r>
      <w:r>
        <w:rPr>
          <w:i/>
          <w:sz w:val="24"/>
        </w:rPr>
        <w:t>NTNDP</w:t>
      </w:r>
      <w:r>
        <w:rPr>
          <w:sz w:val="24"/>
        </w:rPr>
        <w:t>.</w:t>
      </w:r>
    </w:p>
    <w:p>
      <w:pPr>
        <w:pStyle w:val="ListParagraph"/>
        <w:numPr>
          <w:ilvl w:val="3"/>
          <w:numId w:val="243"/>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NTNDP inputs </w:t>
      </w:r>
      <w:r>
        <w:rPr>
          <w:sz w:val="24"/>
        </w:rPr>
        <w:t>for an </w:t>
      </w:r>
      <w:r>
        <w:rPr>
          <w:i/>
          <w:sz w:val="24"/>
        </w:rPr>
        <w:t>NTNDP </w:t>
      </w:r>
      <w:r>
        <w:rPr>
          <w:sz w:val="24"/>
        </w:rPr>
        <w:t>include:</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assumptions made about the cost of fuel used for the generation of electricity (including gas and coal);</w:t>
      </w:r>
      <w:r>
        <w:rPr>
          <w:spacing w:val="-1"/>
          <w:sz w:val="24"/>
        </w:rPr>
        <w:t> </w:t>
      </w:r>
      <w:r>
        <w:rPr>
          <w:sz w:val="24"/>
        </w:rPr>
        <w:t>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conversion factors used to relate the consumption of a </w:t>
      </w:r>
      <w:r>
        <w:rPr>
          <w:spacing w:val="-3"/>
          <w:sz w:val="24"/>
        </w:rPr>
        <w:t>given </w:t>
      </w:r>
      <w:r>
        <w:rPr>
          <w:sz w:val="24"/>
        </w:rPr>
        <w:t>quantity of fuel to the production of electricity using that quantity of fuel; and</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assumptions about the capital costs associated with the generation of electricity;</w:t>
      </w:r>
      <w:r>
        <w:rPr>
          <w:spacing w:val="-2"/>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prevailing location of generation capacity;</w:t>
      </w:r>
      <w:r>
        <w:rPr>
          <w:spacing w:val="-1"/>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assumptions about the price of carbon;</w:t>
      </w:r>
      <w:r>
        <w:rPr>
          <w:spacing w:val="-1"/>
          <w:sz w:val="24"/>
        </w:rPr>
        <w:t> </w:t>
      </w:r>
      <w:r>
        <w:rPr>
          <w:sz w:val="24"/>
        </w:rPr>
        <w:t>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electricity demand</w:t>
      </w:r>
      <w:r>
        <w:rPr>
          <w:spacing w:val="-1"/>
          <w:sz w:val="24"/>
        </w:rPr>
        <w:t> </w:t>
      </w:r>
      <w:r>
        <w:rPr>
          <w:sz w:val="24"/>
        </w:rPr>
        <w:t>forecasts.</w:t>
      </w:r>
    </w:p>
    <w:p>
      <w:pPr>
        <w:spacing w:before="120"/>
        <w:ind w:left="1919" w:right="415" w:hanging="567"/>
        <w:jc w:val="both"/>
        <w:rPr>
          <w:sz w:val="24"/>
        </w:rPr>
      </w:pPr>
      <w:r>
        <w:rPr>
          <w:sz w:val="24"/>
        </w:rPr>
        <w:t>(b1) Subject to paragraph (b2), </w:t>
      </w:r>
      <w:r>
        <w:rPr>
          <w:i/>
          <w:sz w:val="24"/>
        </w:rPr>
        <w:t>AEMO </w:t>
      </w:r>
      <w:r>
        <w:rPr>
          <w:sz w:val="24"/>
        </w:rPr>
        <w:t>must include the following in the </w:t>
      </w:r>
      <w:r>
        <w:rPr>
          <w:i/>
          <w:sz w:val="24"/>
        </w:rPr>
        <w:t>NTNDP </w:t>
      </w:r>
      <w:r>
        <w:rPr>
          <w:i/>
          <w:sz w:val="24"/>
        </w:rPr>
        <w:t>database</w:t>
      </w:r>
      <w:r>
        <w:rPr>
          <w:sz w:val="24"/>
        </w:rPr>
        <w:t>:</w:t>
      </w:r>
    </w:p>
    <w:p>
      <w:pPr>
        <w:pStyle w:val="ListParagraph"/>
        <w:numPr>
          <w:ilvl w:val="5"/>
          <w:numId w:val="243"/>
        </w:numPr>
        <w:tabs>
          <w:tab w:pos="2486" w:val="left" w:leader="none"/>
        </w:tabs>
        <w:spacing w:line="240" w:lineRule="auto" w:before="120" w:after="0"/>
        <w:ind w:left="2485" w:right="0" w:hanging="567"/>
        <w:jc w:val="both"/>
        <w:rPr>
          <w:sz w:val="24"/>
        </w:rPr>
      </w:pPr>
      <w:r>
        <w:rPr>
          <w:sz w:val="24"/>
        </w:rPr>
        <w:t>any forecasts prepared under clause 5.20.6(b)(i);</w:t>
      </w:r>
      <w:r>
        <w:rPr>
          <w:spacing w:val="-1"/>
          <w:sz w:val="24"/>
        </w:rPr>
        <w:t> </w:t>
      </w:r>
      <w:r>
        <w:rPr>
          <w:sz w:val="24"/>
        </w:rPr>
        <w:t>and</w:t>
      </w:r>
    </w:p>
    <w:p>
      <w:pPr>
        <w:pStyle w:val="BodyText"/>
        <w:ind w:left="2486" w:right="414"/>
      </w:pPr>
      <w:r>
        <w:rPr/>
        <w:t>(ii sufficient information used to develop the forecasts referred to in paragraph (i) to enable an understanding of how such forecasts were developed.</w:t>
      </w:r>
    </w:p>
    <w:p>
      <w:pPr>
        <w:spacing w:after="0"/>
        <w:sectPr>
          <w:pgSz w:w="11910" w:h="16840"/>
          <w:pgMar w:header="686" w:footer="637" w:top="1320" w:bottom="820" w:left="1200" w:right="1000"/>
        </w:sectPr>
      </w:pPr>
    </w:p>
    <w:p>
      <w:pPr>
        <w:pStyle w:val="BodyText"/>
        <w:spacing w:before="83"/>
        <w:ind w:left="1919" w:right="414"/>
      </w:pPr>
      <w:r>
        <w:rPr/>
        <w:t>(b2) The information referred to in paragraph (b1)(ii) must be included in the </w:t>
      </w:r>
      <w:r>
        <w:rPr>
          <w:i/>
        </w:rPr>
        <w:t>NTNDP database </w:t>
      </w:r>
      <w:r>
        <w:rPr/>
        <w:t>at the same time as, or as soon as reasonably practical after, the inclusion of the forecasts in the database.</w:t>
      </w:r>
    </w:p>
    <w:p>
      <w:pPr>
        <w:spacing w:before="120"/>
        <w:ind w:left="1919" w:right="414" w:hanging="567"/>
        <w:jc w:val="both"/>
        <w:rPr>
          <w:sz w:val="24"/>
        </w:rPr>
      </w:pPr>
      <w:r>
        <w:rPr>
          <w:sz w:val="24"/>
        </w:rPr>
        <w:t>(d) A part of the database established for </w:t>
      </w:r>
      <w:r>
        <w:rPr>
          <w:i/>
          <w:sz w:val="24"/>
        </w:rPr>
        <w:t>confidential information </w:t>
      </w:r>
      <w:r>
        <w:rPr>
          <w:sz w:val="24"/>
        </w:rPr>
        <w:t>is not to be accessible to the public.</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The disclosure of </w:t>
      </w:r>
      <w:r>
        <w:rPr>
          <w:i/>
          <w:sz w:val="20"/>
        </w:rPr>
        <w:t>protected information </w:t>
      </w:r>
      <w:r>
        <w:rPr>
          <w:sz w:val="20"/>
        </w:rPr>
        <w:t>to the public may however be authorised under the</w:t>
      </w:r>
    </w:p>
    <w:p>
      <w:pPr>
        <w:spacing w:before="0"/>
        <w:ind w:left="1919" w:right="0" w:firstLine="0"/>
        <w:jc w:val="left"/>
        <w:rPr>
          <w:sz w:val="20"/>
        </w:rPr>
      </w:pPr>
      <w:r>
        <w:rPr>
          <w:i/>
          <w:sz w:val="20"/>
        </w:rPr>
        <w:t>National Electricity Law</w:t>
      </w:r>
      <w:r>
        <w:rPr>
          <w:sz w:val="20"/>
        </w:rPr>
        <w:t>.</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2" w:right="1765" w:hanging="1134"/>
        <w:jc w:val="left"/>
      </w:pPr>
      <w:bookmarkStart w:name="5.20.5 Jurisdictional planning bodies an" w:id="832"/>
      <w:bookmarkEnd w:id="832"/>
      <w:r>
        <w:rPr>
          <w:b w:val="0"/>
        </w:rPr>
      </w:r>
      <w:bookmarkStart w:name="_bookmark318" w:id="833"/>
      <w:bookmarkEnd w:id="833"/>
      <w:r>
        <w:rPr>
          <w:b w:val="0"/>
        </w:rPr>
      </w:r>
      <w:bookmarkStart w:name="_bookmark318" w:id="834"/>
      <w:bookmarkEnd w:id="834"/>
      <w:r>
        <w:rPr/>
        <w:t>Jurisdiction</w:t>
      </w:r>
      <w:r>
        <w:rPr/>
        <w:t>al planning bodies and jurisdictional planning representatives</w:t>
      </w:r>
    </w:p>
    <w:p>
      <w:pPr>
        <w:pStyle w:val="ListParagraph"/>
        <w:numPr>
          <w:ilvl w:val="3"/>
          <w:numId w:val="243"/>
        </w:numPr>
        <w:tabs>
          <w:tab w:pos="1919" w:val="left" w:leader="none"/>
        </w:tabs>
        <w:spacing w:line="240" w:lineRule="auto" w:before="120" w:after="0"/>
        <w:ind w:left="1919" w:right="415" w:hanging="567"/>
        <w:jc w:val="both"/>
        <w:rPr>
          <w:sz w:val="24"/>
        </w:rPr>
      </w:pPr>
      <w:r>
        <w:rPr>
          <w:sz w:val="24"/>
        </w:rPr>
        <w:t>A </w:t>
      </w:r>
      <w:r>
        <w:rPr>
          <w:i/>
          <w:sz w:val="24"/>
        </w:rPr>
        <w:t>jurisdictional planning body </w:t>
      </w:r>
      <w:r>
        <w:rPr>
          <w:sz w:val="24"/>
        </w:rPr>
        <w:t>must provide assistance </w:t>
      </w:r>
      <w:r>
        <w:rPr>
          <w:i/>
          <w:sz w:val="24"/>
        </w:rPr>
        <w:t>AEMO </w:t>
      </w:r>
      <w:r>
        <w:rPr>
          <w:sz w:val="24"/>
        </w:rPr>
        <w:t>reasonably requests in connection with the performance of its </w:t>
      </w:r>
      <w:r>
        <w:rPr>
          <w:i/>
          <w:sz w:val="24"/>
        </w:rPr>
        <w:t>NTP</w:t>
      </w:r>
      <w:r>
        <w:rPr>
          <w:i/>
          <w:spacing w:val="-5"/>
          <w:sz w:val="24"/>
        </w:rPr>
        <w:t> </w:t>
      </w:r>
      <w:r>
        <w:rPr>
          <w:i/>
          <w:sz w:val="24"/>
        </w:rPr>
        <w:t>functions</w:t>
      </w:r>
      <w:r>
        <w:rPr>
          <w:sz w:val="24"/>
        </w:rPr>
        <w:t>.</w:t>
      </w:r>
    </w:p>
    <w:p>
      <w:pPr>
        <w:pStyle w:val="ListParagraph"/>
        <w:numPr>
          <w:ilvl w:val="3"/>
          <w:numId w:val="243"/>
        </w:numPr>
        <w:tabs>
          <w:tab w:pos="1919" w:val="left" w:leader="none"/>
        </w:tabs>
        <w:spacing w:line="240" w:lineRule="auto" w:before="120" w:after="0"/>
        <w:ind w:left="1919" w:right="415" w:hanging="567"/>
        <w:jc w:val="both"/>
        <w:rPr>
          <w:sz w:val="24"/>
        </w:rPr>
      </w:pPr>
      <w:r>
        <w:rPr>
          <w:sz w:val="24"/>
        </w:rPr>
        <w:t>If there is no </w:t>
      </w:r>
      <w:r>
        <w:rPr>
          <w:i/>
          <w:sz w:val="24"/>
        </w:rPr>
        <w:t>jurisdictional planning body </w:t>
      </w:r>
      <w:r>
        <w:rPr>
          <w:sz w:val="24"/>
        </w:rPr>
        <w:t>or no </w:t>
      </w:r>
      <w:r>
        <w:rPr>
          <w:i/>
          <w:sz w:val="24"/>
        </w:rPr>
        <w:t>jurisdictional </w:t>
      </w:r>
      <w:r>
        <w:rPr>
          <w:i/>
          <w:spacing w:val="-3"/>
          <w:sz w:val="24"/>
        </w:rPr>
        <w:t>planning </w:t>
      </w:r>
      <w:r>
        <w:rPr>
          <w:i/>
          <w:sz w:val="24"/>
        </w:rPr>
        <w:t>representative </w:t>
      </w:r>
      <w:r>
        <w:rPr>
          <w:sz w:val="24"/>
        </w:rPr>
        <w:t>for a </w:t>
      </w:r>
      <w:r>
        <w:rPr>
          <w:i/>
          <w:sz w:val="24"/>
        </w:rPr>
        <w:t>participating jurisdiction</w:t>
      </w:r>
      <w:r>
        <w:rPr>
          <w:sz w:val="24"/>
        </w:rPr>
        <w:t>, </w:t>
      </w:r>
      <w:r>
        <w:rPr>
          <w:i/>
          <w:sz w:val="24"/>
        </w:rPr>
        <w:t>AEMO </w:t>
      </w:r>
      <w:r>
        <w:rPr>
          <w:sz w:val="24"/>
        </w:rPr>
        <w:t>may assume the functions of such a body or representative under the</w:t>
      </w:r>
      <w:r>
        <w:rPr>
          <w:spacing w:val="-5"/>
          <w:sz w:val="24"/>
        </w:rPr>
        <w:t> </w:t>
      </w:r>
      <w:r>
        <w:rPr>
          <w:i/>
          <w:sz w:val="24"/>
        </w:rPr>
        <w:t>Rules</w:t>
      </w:r>
      <w:r>
        <w:rPr>
          <w:sz w:val="24"/>
        </w:rPr>
        <w:t>.</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6 NTP Functions" w:id="835"/>
      <w:bookmarkEnd w:id="835"/>
      <w:r>
        <w:rPr>
          <w:b w:val="0"/>
        </w:rPr>
      </w:r>
      <w:bookmarkStart w:name="_bookmark319" w:id="836"/>
      <w:bookmarkEnd w:id="836"/>
      <w:r>
        <w:rPr>
          <w:b w:val="0"/>
        </w:rPr>
      </w:r>
      <w:bookmarkStart w:name="_bookmark319" w:id="837"/>
      <w:bookmarkEnd w:id="837"/>
      <w:r>
        <w:rPr/>
        <w:t>NT</w:t>
      </w:r>
      <w:r>
        <w:rPr/>
        <w:t>P</w:t>
      </w:r>
      <w:r>
        <w:rPr>
          <w:spacing w:val="-2"/>
        </w:rPr>
        <w:t> </w:t>
      </w:r>
      <w:r>
        <w:rPr/>
        <w:t>Functions</w:t>
      </w:r>
    </w:p>
    <w:p>
      <w:pPr>
        <w:pStyle w:val="ListParagraph"/>
        <w:numPr>
          <w:ilvl w:val="3"/>
          <w:numId w:val="243"/>
        </w:numPr>
        <w:tabs>
          <w:tab w:pos="1919" w:val="left" w:leader="none"/>
        </w:tabs>
        <w:spacing w:line="240" w:lineRule="auto" w:before="120" w:after="0"/>
        <w:ind w:left="1919" w:right="416" w:hanging="567"/>
        <w:jc w:val="both"/>
        <w:rPr>
          <w:sz w:val="24"/>
        </w:rPr>
      </w:pPr>
      <w:r>
        <w:rPr>
          <w:sz w:val="24"/>
        </w:rPr>
        <w:t>This rule has effect for the purposes of section 49(2)(e) of the </w:t>
      </w:r>
      <w:r>
        <w:rPr>
          <w:i/>
          <w:sz w:val="24"/>
        </w:rPr>
        <w:t>National </w:t>
      </w:r>
      <w:r>
        <w:rPr>
          <w:i/>
          <w:sz w:val="24"/>
        </w:rPr>
        <w:t>Electricity</w:t>
      </w:r>
      <w:r>
        <w:rPr>
          <w:i/>
          <w:spacing w:val="-1"/>
          <w:sz w:val="24"/>
        </w:rPr>
        <w:t> </w:t>
      </w:r>
      <w:r>
        <w:rPr>
          <w:i/>
          <w:sz w:val="24"/>
        </w:rPr>
        <w:t>Law</w:t>
      </w:r>
      <w:r>
        <w:rPr>
          <w:sz w:val="24"/>
        </w:rPr>
        <w:t>.</w:t>
      </w:r>
    </w:p>
    <w:p>
      <w:pPr>
        <w:pStyle w:val="ListParagraph"/>
        <w:numPr>
          <w:ilvl w:val="3"/>
          <w:numId w:val="243"/>
        </w:numPr>
        <w:tabs>
          <w:tab w:pos="1919" w:val="left" w:leader="none"/>
        </w:tabs>
        <w:spacing w:line="240" w:lineRule="auto" w:before="120" w:after="0"/>
        <w:ind w:left="1918" w:right="0" w:hanging="567"/>
        <w:jc w:val="both"/>
        <w:rPr>
          <w:sz w:val="24"/>
        </w:rPr>
      </w:pPr>
      <w:r>
        <w:rPr>
          <w:sz w:val="24"/>
        </w:rPr>
        <w:t>The </w:t>
      </w:r>
      <w:r>
        <w:rPr>
          <w:i/>
          <w:sz w:val="24"/>
        </w:rPr>
        <w:t>NTP functions </w:t>
      </w:r>
      <w:r>
        <w:rPr>
          <w:sz w:val="24"/>
        </w:rPr>
        <w:t>also include the</w:t>
      </w:r>
      <w:r>
        <w:rPr>
          <w:spacing w:val="-1"/>
          <w:sz w:val="24"/>
        </w:rPr>
        <w:t> </w:t>
      </w:r>
      <w:r>
        <w:rPr>
          <w:sz w:val="24"/>
        </w:rPr>
        <w:t>following:</w:t>
      </w:r>
    </w:p>
    <w:p>
      <w:pPr>
        <w:pStyle w:val="BodyText"/>
        <w:ind w:left="1919" w:firstLine="0"/>
      </w:pPr>
      <w:r>
        <w:rPr/>
        <w:t>(i) developing any forecasts of electricity demand at a </w:t>
      </w:r>
      <w:r>
        <w:rPr>
          <w:i/>
        </w:rPr>
        <w:t>regional </w:t>
      </w:r>
      <w:r>
        <w:rPr/>
        <w:t>or</w:t>
      </w:r>
    </w:p>
    <w:p>
      <w:pPr>
        <w:spacing w:before="0"/>
        <w:ind w:left="2486" w:right="0" w:firstLine="0"/>
        <w:jc w:val="both"/>
        <w:rPr>
          <w:sz w:val="24"/>
        </w:rPr>
      </w:pPr>
      <w:r>
        <w:rPr>
          <w:i/>
          <w:sz w:val="24"/>
        </w:rPr>
        <w:t>connection point </w:t>
      </w:r>
      <w:r>
        <w:rPr>
          <w:sz w:val="24"/>
        </w:rPr>
        <w:t>level.</w:t>
      </w:r>
    </w:p>
    <w:p>
      <w:pPr>
        <w:pStyle w:val="ListParagraph"/>
        <w:numPr>
          <w:ilvl w:val="3"/>
          <w:numId w:val="243"/>
        </w:numPr>
        <w:tabs>
          <w:tab w:pos="1919" w:val="left" w:leader="none"/>
        </w:tabs>
        <w:spacing w:line="240" w:lineRule="auto" w:before="120" w:after="0"/>
        <w:ind w:left="1919" w:right="416" w:hanging="567"/>
        <w:jc w:val="both"/>
        <w:rPr>
          <w:sz w:val="24"/>
        </w:rPr>
      </w:pPr>
      <w:r>
        <w:rPr>
          <w:sz w:val="24"/>
        </w:rPr>
        <w:t>To avoid doubt, the </w:t>
      </w:r>
      <w:r>
        <w:rPr>
          <w:i/>
          <w:sz w:val="24"/>
        </w:rPr>
        <w:t>NTP functions </w:t>
      </w:r>
      <w:r>
        <w:rPr>
          <w:sz w:val="24"/>
        </w:rPr>
        <w:t>do not include determining the </w:t>
      </w:r>
      <w:r>
        <w:rPr>
          <w:i/>
          <w:sz w:val="24"/>
        </w:rPr>
        <w:t>inertia </w:t>
      </w:r>
      <w:r>
        <w:rPr>
          <w:i/>
          <w:sz w:val="24"/>
        </w:rPr>
        <w:t>requirements </w:t>
      </w:r>
      <w:r>
        <w:rPr>
          <w:sz w:val="24"/>
        </w:rPr>
        <w:t>or the assessment of </w:t>
      </w:r>
      <w:r>
        <w:rPr>
          <w:i/>
          <w:sz w:val="24"/>
        </w:rPr>
        <w:t>inertia shortfalls </w:t>
      </w:r>
      <w:r>
        <w:rPr>
          <w:sz w:val="24"/>
        </w:rPr>
        <w:t>or the </w:t>
      </w:r>
      <w:r>
        <w:rPr>
          <w:i/>
          <w:sz w:val="24"/>
        </w:rPr>
        <w:t>system strength </w:t>
      </w:r>
      <w:r>
        <w:rPr>
          <w:i/>
          <w:sz w:val="24"/>
        </w:rPr>
        <w:t>requirements </w:t>
      </w:r>
      <w:r>
        <w:rPr>
          <w:sz w:val="24"/>
        </w:rPr>
        <w:t>or the assessment of any </w:t>
      </w:r>
      <w:r>
        <w:rPr>
          <w:i/>
          <w:sz w:val="24"/>
        </w:rPr>
        <w:t>fault level</w:t>
      </w:r>
      <w:r>
        <w:rPr>
          <w:i/>
          <w:spacing w:val="-10"/>
          <w:sz w:val="24"/>
        </w:rPr>
        <w:t> </w:t>
      </w:r>
      <w:r>
        <w:rPr>
          <w:i/>
          <w:sz w:val="24"/>
        </w:rPr>
        <w:t>shortfalls</w:t>
      </w:r>
      <w:r>
        <w:rPr>
          <w:sz w:val="24"/>
        </w:rPr>
        <w:t>.</w:t>
      </w:r>
    </w:p>
    <w:p>
      <w:pPr>
        <w:pStyle w:val="BodyText"/>
        <w:spacing w:before="10"/>
        <w:ind w:firstLine="0"/>
        <w:jc w:val="left"/>
        <w:rPr>
          <w:sz w:val="20"/>
        </w:rPr>
      </w:pPr>
    </w:p>
    <w:p>
      <w:pPr>
        <w:pStyle w:val="Heading4"/>
        <w:numPr>
          <w:ilvl w:val="2"/>
          <w:numId w:val="243"/>
        </w:numPr>
        <w:tabs>
          <w:tab w:pos="1351" w:val="left" w:leader="none"/>
          <w:tab w:pos="1352" w:val="left" w:leader="none"/>
        </w:tabs>
        <w:spacing w:line="240" w:lineRule="auto" w:before="0" w:after="0"/>
        <w:ind w:left="1351" w:right="0" w:hanging="1134"/>
        <w:jc w:val="left"/>
      </w:pPr>
      <w:bookmarkStart w:name="5.20.7 Inertia and system strength requi" w:id="838"/>
      <w:bookmarkEnd w:id="838"/>
      <w:r>
        <w:rPr>
          <w:b w:val="0"/>
        </w:rPr>
      </w:r>
      <w:bookmarkStart w:name="_bookmark320" w:id="839"/>
      <w:bookmarkEnd w:id="839"/>
      <w:r>
        <w:rPr>
          <w:b w:val="0"/>
        </w:rPr>
      </w:r>
      <w:bookmarkStart w:name="_bookmark320" w:id="840"/>
      <w:bookmarkEnd w:id="840"/>
      <w:r>
        <w:rPr/>
        <w:t>Inertia</w:t>
      </w:r>
      <w:r>
        <w:rPr/>
        <w:t> and system strength requirements</w:t>
      </w:r>
      <w:r>
        <w:rPr>
          <w:spacing w:val="-8"/>
        </w:rPr>
        <w:t> </w:t>
      </w:r>
      <w:r>
        <w:rPr/>
        <w:t>methodologies</w:t>
      </w:r>
    </w:p>
    <w:p>
      <w:pPr>
        <w:pStyle w:val="ListParagraph"/>
        <w:numPr>
          <w:ilvl w:val="3"/>
          <w:numId w:val="243"/>
        </w:numPr>
        <w:tabs>
          <w:tab w:pos="1919" w:val="left" w:leader="none"/>
        </w:tabs>
        <w:spacing w:line="240" w:lineRule="auto" w:before="120" w:after="0"/>
        <w:ind w:left="1919" w:right="414" w:hanging="567"/>
        <w:jc w:val="both"/>
        <w:rPr>
          <w:sz w:val="24"/>
        </w:rPr>
      </w:pPr>
      <w:r>
        <w:rPr>
          <w:sz w:val="24"/>
        </w:rPr>
        <w:t>The </w:t>
      </w:r>
      <w:r>
        <w:rPr>
          <w:i/>
          <w:sz w:val="24"/>
        </w:rPr>
        <w:t>inertia requirements methodology </w:t>
      </w:r>
      <w:r>
        <w:rPr>
          <w:sz w:val="24"/>
        </w:rPr>
        <w:t>determined by </w:t>
      </w:r>
      <w:r>
        <w:rPr>
          <w:i/>
          <w:sz w:val="24"/>
        </w:rPr>
        <w:t>AEMO </w:t>
      </w:r>
      <w:r>
        <w:rPr>
          <w:sz w:val="24"/>
        </w:rPr>
        <w:t>must provide for </w:t>
      </w:r>
      <w:r>
        <w:rPr>
          <w:i/>
          <w:sz w:val="24"/>
        </w:rPr>
        <w:t>AEMO </w:t>
      </w:r>
      <w:r>
        <w:rPr>
          <w:sz w:val="24"/>
        </w:rPr>
        <w:t>to take the following matters into account in determining the </w:t>
      </w:r>
      <w:r>
        <w:rPr>
          <w:i/>
          <w:sz w:val="24"/>
        </w:rPr>
        <w:t>secure operating level of</w:t>
      </w:r>
      <w:r>
        <w:rPr>
          <w:i/>
          <w:spacing w:val="-2"/>
          <w:sz w:val="24"/>
        </w:rPr>
        <w:t> </w:t>
      </w:r>
      <w:r>
        <w:rPr>
          <w:i/>
          <w:sz w:val="24"/>
        </w:rPr>
        <w:t>inertia</w:t>
      </w:r>
      <w:r>
        <w:rPr>
          <w:sz w:val="24"/>
        </w:rPr>
        <w:t>:</w:t>
      </w:r>
    </w:p>
    <w:p>
      <w:pPr>
        <w:pStyle w:val="ListParagraph"/>
        <w:numPr>
          <w:ilvl w:val="4"/>
          <w:numId w:val="243"/>
        </w:numPr>
        <w:tabs>
          <w:tab w:pos="2486" w:val="left" w:leader="none"/>
        </w:tabs>
        <w:spacing w:line="240" w:lineRule="auto" w:before="120" w:after="0"/>
        <w:ind w:left="2486" w:right="416" w:hanging="567"/>
        <w:jc w:val="both"/>
        <w:rPr>
          <w:sz w:val="24"/>
        </w:rPr>
      </w:pPr>
      <w:r>
        <w:rPr>
          <w:sz w:val="24"/>
        </w:rPr>
        <w:t>the capabilities and expected response times provided by </w:t>
      </w:r>
      <w:r>
        <w:rPr>
          <w:i/>
          <w:sz w:val="24"/>
        </w:rPr>
        <w:t>generating </w:t>
      </w:r>
      <w:r>
        <w:rPr>
          <w:i/>
          <w:sz w:val="24"/>
        </w:rPr>
        <w:t>units </w:t>
      </w:r>
      <w:r>
        <w:rPr>
          <w:sz w:val="24"/>
        </w:rPr>
        <w:t>providing </w:t>
      </w:r>
      <w:r>
        <w:rPr>
          <w:i/>
          <w:sz w:val="24"/>
        </w:rPr>
        <w:t>market ancillary services </w:t>
      </w:r>
      <w:r>
        <w:rPr>
          <w:sz w:val="24"/>
        </w:rPr>
        <w:t>(other than the </w:t>
      </w:r>
      <w:r>
        <w:rPr>
          <w:i/>
          <w:sz w:val="24"/>
        </w:rPr>
        <w:t>regulating </w:t>
      </w:r>
      <w:r>
        <w:rPr>
          <w:i/>
          <w:sz w:val="24"/>
        </w:rPr>
        <w:t>raise service </w:t>
      </w:r>
      <w:r>
        <w:rPr>
          <w:sz w:val="24"/>
        </w:rPr>
        <w:t>or </w:t>
      </w:r>
      <w:r>
        <w:rPr>
          <w:i/>
          <w:sz w:val="24"/>
        </w:rPr>
        <w:t>regulating lower service</w:t>
      </w:r>
      <w:r>
        <w:rPr>
          <w:sz w:val="24"/>
        </w:rPr>
        <w:t>) in the </w:t>
      </w:r>
      <w:r>
        <w:rPr>
          <w:i/>
          <w:sz w:val="24"/>
        </w:rPr>
        <w:t>inertia</w:t>
      </w:r>
      <w:r>
        <w:rPr>
          <w:i/>
          <w:spacing w:val="-19"/>
          <w:sz w:val="24"/>
        </w:rPr>
        <w:t> </w:t>
      </w:r>
      <w:r>
        <w:rPr>
          <w:i/>
          <w:sz w:val="24"/>
        </w:rPr>
        <w:t>sub-network</w:t>
      </w:r>
      <w:r>
        <w:rPr>
          <w:sz w:val="24"/>
        </w:rPr>
        <w:t>;</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maximum </w:t>
      </w:r>
      <w:r>
        <w:rPr>
          <w:i/>
          <w:sz w:val="24"/>
        </w:rPr>
        <w:t>load shedding </w:t>
      </w:r>
      <w:r>
        <w:rPr>
          <w:sz w:val="24"/>
        </w:rPr>
        <w:t>or </w:t>
      </w:r>
      <w:r>
        <w:rPr>
          <w:i/>
          <w:sz w:val="24"/>
        </w:rPr>
        <w:t>generation shedding </w:t>
      </w:r>
      <w:r>
        <w:rPr>
          <w:sz w:val="24"/>
        </w:rPr>
        <w:t>expected to occur on the occurrence of any </w:t>
      </w:r>
      <w:r>
        <w:rPr>
          <w:i/>
          <w:sz w:val="24"/>
        </w:rPr>
        <w:t>credible contingency event </w:t>
      </w:r>
      <w:r>
        <w:rPr>
          <w:sz w:val="24"/>
        </w:rPr>
        <w:t>affecting</w:t>
      </w:r>
      <w:r>
        <w:rPr>
          <w:spacing w:val="45"/>
          <w:sz w:val="24"/>
        </w:rPr>
        <w:t> </w:t>
      </w:r>
      <w:r>
        <w:rPr>
          <w:sz w:val="24"/>
        </w:rPr>
        <w:t>the </w:t>
      </w:r>
      <w:r>
        <w:rPr>
          <w:i/>
          <w:sz w:val="24"/>
        </w:rPr>
        <w:t>inertia sub-network </w:t>
      </w:r>
      <w:r>
        <w:rPr>
          <w:sz w:val="24"/>
        </w:rPr>
        <w:t>when the </w:t>
      </w:r>
      <w:r>
        <w:rPr>
          <w:i/>
          <w:sz w:val="24"/>
        </w:rPr>
        <w:t>inertia sub-network </w:t>
      </w:r>
      <w:r>
        <w:rPr>
          <w:sz w:val="24"/>
        </w:rPr>
        <w:t>is</w:t>
      </w:r>
      <w:r>
        <w:rPr>
          <w:spacing w:val="-6"/>
          <w:sz w:val="24"/>
        </w:rPr>
        <w:t> </w:t>
      </w:r>
      <w:r>
        <w:rPr>
          <w:i/>
          <w:sz w:val="24"/>
        </w:rPr>
        <w:t>islanded</w:t>
      </w:r>
      <w:r>
        <w:rPr>
          <w:sz w:val="24"/>
        </w:rPr>
        <w:t>;</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additional </w:t>
      </w:r>
      <w:r>
        <w:rPr>
          <w:i/>
          <w:sz w:val="24"/>
        </w:rPr>
        <w:t>inertia </w:t>
      </w:r>
      <w:r>
        <w:rPr>
          <w:sz w:val="24"/>
        </w:rPr>
        <w:t>needed to account for the possibility of a reduction in </w:t>
      </w:r>
      <w:r>
        <w:rPr>
          <w:i/>
          <w:sz w:val="24"/>
        </w:rPr>
        <w:t>inertia </w:t>
      </w:r>
      <w:r>
        <w:rPr>
          <w:sz w:val="24"/>
        </w:rPr>
        <w:t>if the </w:t>
      </w:r>
      <w:r>
        <w:rPr>
          <w:i/>
          <w:sz w:val="24"/>
        </w:rPr>
        <w:t>contingency event </w:t>
      </w:r>
      <w:r>
        <w:rPr>
          <w:sz w:val="24"/>
        </w:rPr>
        <w:t>that occurs is the loss or unavailability of a </w:t>
      </w:r>
      <w:r>
        <w:rPr>
          <w:i/>
          <w:sz w:val="24"/>
        </w:rPr>
        <w:t>synchronous generating unit</w:t>
      </w:r>
      <w:r>
        <w:rPr>
          <w:sz w:val="24"/>
        </w:rPr>
        <w:t>, </w:t>
      </w:r>
      <w:r>
        <w:rPr>
          <w:i/>
          <w:sz w:val="24"/>
        </w:rPr>
        <w:t>synchronous </w:t>
      </w:r>
      <w:r>
        <w:rPr>
          <w:i/>
          <w:sz w:val="24"/>
        </w:rPr>
        <w:t>condenser </w:t>
      </w:r>
      <w:r>
        <w:rPr>
          <w:sz w:val="24"/>
        </w:rPr>
        <w:t>or any other </w:t>
      </w:r>
      <w:r>
        <w:rPr>
          <w:i/>
          <w:sz w:val="24"/>
        </w:rPr>
        <w:t>facility </w:t>
      </w:r>
      <w:r>
        <w:rPr>
          <w:sz w:val="24"/>
        </w:rPr>
        <w:t>or service that is material in determining </w:t>
      </w:r>
      <w:r>
        <w:rPr>
          <w:i/>
          <w:sz w:val="24"/>
        </w:rPr>
        <w:t>inertia</w:t>
      </w:r>
      <w:r>
        <w:rPr>
          <w:i/>
          <w:spacing w:val="-1"/>
          <w:sz w:val="24"/>
        </w:rPr>
        <w:t> </w:t>
      </w:r>
      <w:r>
        <w:rPr>
          <w:i/>
          <w:sz w:val="24"/>
        </w:rPr>
        <w:t>requirements</w:t>
      </w:r>
      <w:r>
        <w:rPr>
          <w:sz w:val="24"/>
        </w:rPr>
        <w:t>;</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any </w:t>
      </w:r>
      <w:r>
        <w:rPr>
          <w:i/>
          <w:sz w:val="24"/>
        </w:rPr>
        <w:t>constraints </w:t>
      </w:r>
      <w:r>
        <w:rPr>
          <w:sz w:val="24"/>
        </w:rPr>
        <w:t>that could reasonably be applied to the </w:t>
      </w:r>
      <w:r>
        <w:rPr>
          <w:i/>
          <w:sz w:val="24"/>
        </w:rPr>
        <w:t>inertia sub- </w:t>
      </w:r>
      <w:r>
        <w:rPr>
          <w:i/>
          <w:sz w:val="24"/>
        </w:rPr>
        <w:t>network </w:t>
      </w:r>
      <w:r>
        <w:rPr>
          <w:sz w:val="24"/>
        </w:rPr>
        <w:t>when </w:t>
      </w:r>
      <w:r>
        <w:rPr>
          <w:i/>
          <w:sz w:val="24"/>
        </w:rPr>
        <w:t>islanded </w:t>
      </w:r>
      <w:r>
        <w:rPr>
          <w:sz w:val="24"/>
        </w:rPr>
        <w:t>to achieve a </w:t>
      </w:r>
      <w:r>
        <w:rPr>
          <w:i/>
          <w:sz w:val="24"/>
        </w:rPr>
        <w:t>secure operating state </w:t>
      </w:r>
      <w:r>
        <w:rPr>
          <w:sz w:val="24"/>
        </w:rPr>
        <w:t>and any </w:t>
      </w:r>
      <w:r>
        <w:rPr>
          <w:i/>
          <w:sz w:val="24"/>
        </w:rPr>
        <w:t>unserved energy </w:t>
      </w:r>
      <w:r>
        <w:rPr>
          <w:sz w:val="24"/>
        </w:rPr>
        <w:t>that might result from the </w:t>
      </w:r>
      <w:r>
        <w:rPr>
          <w:i/>
          <w:sz w:val="24"/>
        </w:rPr>
        <w:t>constraints</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243"/>
        </w:numPr>
        <w:tabs>
          <w:tab w:pos="2486" w:val="left" w:leader="none"/>
        </w:tabs>
        <w:spacing w:line="240" w:lineRule="auto" w:before="83" w:after="0"/>
        <w:ind w:left="2485" w:right="0" w:hanging="567"/>
        <w:jc w:val="both"/>
        <w:rPr>
          <w:sz w:val="24"/>
        </w:rPr>
      </w:pPr>
      <w:r>
        <w:rPr>
          <w:sz w:val="24"/>
        </w:rPr>
        <w:t>any other matters as </w:t>
      </w:r>
      <w:r>
        <w:rPr>
          <w:i/>
          <w:sz w:val="24"/>
        </w:rPr>
        <w:t>AEMO </w:t>
      </w:r>
      <w:r>
        <w:rPr>
          <w:sz w:val="24"/>
        </w:rPr>
        <w:t>considers</w:t>
      </w:r>
      <w:r>
        <w:rPr>
          <w:spacing w:val="-1"/>
          <w:sz w:val="24"/>
        </w:rPr>
        <w:t> </w:t>
      </w:r>
      <w:r>
        <w:rPr>
          <w:sz w:val="24"/>
        </w:rPr>
        <w:t>appropriate.</w:t>
      </w:r>
    </w:p>
    <w:p>
      <w:pPr>
        <w:pStyle w:val="ListParagraph"/>
        <w:numPr>
          <w:ilvl w:val="3"/>
          <w:numId w:val="243"/>
        </w:numPr>
        <w:tabs>
          <w:tab w:pos="1919" w:val="left" w:leader="none"/>
        </w:tabs>
        <w:spacing w:line="240" w:lineRule="auto" w:before="120" w:after="0"/>
        <w:ind w:left="1919" w:right="414" w:hanging="567"/>
        <w:jc w:val="both"/>
        <w:rPr>
          <w:sz w:val="24"/>
        </w:rPr>
      </w:pPr>
      <w:r>
        <w:rPr>
          <w:sz w:val="24"/>
        </w:rPr>
        <w:t>The </w:t>
      </w:r>
      <w:r>
        <w:rPr>
          <w:i/>
          <w:sz w:val="24"/>
        </w:rPr>
        <w:t>system strength requirements methodology </w:t>
      </w:r>
      <w:r>
        <w:rPr>
          <w:sz w:val="24"/>
        </w:rPr>
        <w:t>determined by </w:t>
      </w:r>
      <w:r>
        <w:rPr>
          <w:i/>
          <w:sz w:val="24"/>
        </w:rPr>
        <w:t>AEMO </w:t>
      </w:r>
      <w:r>
        <w:rPr>
          <w:sz w:val="24"/>
        </w:rPr>
        <w:t>must provide for </w:t>
      </w:r>
      <w:r>
        <w:rPr>
          <w:i/>
          <w:sz w:val="24"/>
        </w:rPr>
        <w:t>AEMO </w:t>
      </w:r>
      <w:r>
        <w:rPr>
          <w:sz w:val="24"/>
        </w:rPr>
        <w:t>to take the following matters into account in determining the </w:t>
      </w:r>
      <w:r>
        <w:rPr>
          <w:i/>
          <w:sz w:val="24"/>
        </w:rPr>
        <w:t>fault level nodes </w:t>
      </w:r>
      <w:r>
        <w:rPr>
          <w:sz w:val="24"/>
        </w:rPr>
        <w:t>and the minimum </w:t>
      </w:r>
      <w:r>
        <w:rPr>
          <w:i/>
          <w:sz w:val="24"/>
        </w:rPr>
        <w:t>three phase fault</w:t>
      </w:r>
      <w:r>
        <w:rPr>
          <w:i/>
          <w:spacing w:val="-3"/>
          <w:sz w:val="24"/>
        </w:rPr>
        <w:t> </w:t>
      </w:r>
      <w:r>
        <w:rPr>
          <w:i/>
          <w:sz w:val="24"/>
        </w:rPr>
        <w:t>level</w:t>
      </w:r>
      <w:r>
        <w:rPr>
          <w:sz w:val="24"/>
        </w:rPr>
        <w:t>:</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the combination of </w:t>
      </w:r>
      <w:r>
        <w:rPr>
          <w:i/>
          <w:sz w:val="24"/>
        </w:rPr>
        <w:t>three phase fault levels </w:t>
      </w:r>
      <w:r>
        <w:rPr>
          <w:sz w:val="24"/>
        </w:rPr>
        <w:t>at each </w:t>
      </w:r>
      <w:r>
        <w:rPr>
          <w:i/>
          <w:sz w:val="24"/>
        </w:rPr>
        <w:t>fault level node </w:t>
      </w:r>
      <w:r>
        <w:rPr>
          <w:sz w:val="24"/>
        </w:rPr>
        <w:t>in the </w:t>
      </w:r>
      <w:r>
        <w:rPr>
          <w:i/>
          <w:sz w:val="24"/>
        </w:rPr>
        <w:t>region </w:t>
      </w:r>
      <w:r>
        <w:rPr>
          <w:sz w:val="24"/>
        </w:rPr>
        <w:t>that could reasonably be considered to be sufficient for the </w:t>
      </w:r>
      <w:r>
        <w:rPr>
          <w:i/>
          <w:sz w:val="24"/>
        </w:rPr>
        <w:t>power system </w:t>
      </w:r>
      <w:r>
        <w:rPr>
          <w:sz w:val="24"/>
        </w:rPr>
        <w:t>to be in a </w:t>
      </w:r>
      <w:r>
        <w:rPr>
          <w:i/>
          <w:sz w:val="24"/>
        </w:rPr>
        <w:t>secure operating</w:t>
      </w:r>
      <w:r>
        <w:rPr>
          <w:i/>
          <w:spacing w:val="-5"/>
          <w:sz w:val="24"/>
        </w:rPr>
        <w:t> </w:t>
      </w:r>
      <w:r>
        <w:rPr>
          <w:i/>
          <w:sz w:val="24"/>
        </w:rPr>
        <w:t>state</w:t>
      </w:r>
      <w:r>
        <w:rPr>
          <w:sz w:val="24"/>
        </w:rPr>
        <w:t>;</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maximum </w:t>
      </w:r>
      <w:r>
        <w:rPr>
          <w:i/>
          <w:sz w:val="24"/>
        </w:rPr>
        <w:t>load shedding </w:t>
      </w:r>
      <w:r>
        <w:rPr>
          <w:sz w:val="24"/>
        </w:rPr>
        <w:t>or </w:t>
      </w:r>
      <w:r>
        <w:rPr>
          <w:i/>
          <w:sz w:val="24"/>
        </w:rPr>
        <w:t>generation shedding </w:t>
      </w:r>
      <w:r>
        <w:rPr>
          <w:sz w:val="24"/>
        </w:rPr>
        <w:t>expected to occur on the occurrence of any </w:t>
      </w:r>
      <w:r>
        <w:rPr>
          <w:i/>
          <w:sz w:val="24"/>
        </w:rPr>
        <w:t>credible contingency event </w:t>
      </w:r>
      <w:r>
        <w:rPr>
          <w:sz w:val="24"/>
        </w:rPr>
        <w:t>or </w:t>
      </w:r>
      <w:r>
        <w:rPr>
          <w:i/>
          <w:sz w:val="24"/>
        </w:rPr>
        <w:t>protected event </w:t>
      </w:r>
      <w:r>
        <w:rPr>
          <w:sz w:val="24"/>
        </w:rPr>
        <w:t>affecting the</w:t>
      </w:r>
      <w:r>
        <w:rPr>
          <w:spacing w:val="-1"/>
          <w:sz w:val="24"/>
        </w:rPr>
        <w:t> </w:t>
      </w:r>
      <w:r>
        <w:rPr>
          <w:i/>
          <w:sz w:val="24"/>
        </w:rPr>
        <w:t>region</w:t>
      </w:r>
      <w:r>
        <w:rPr>
          <w:sz w:val="24"/>
        </w:rPr>
        <w:t>;</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the stability of the </w:t>
      </w:r>
      <w:r>
        <w:rPr>
          <w:i/>
          <w:sz w:val="24"/>
        </w:rPr>
        <w:t>region </w:t>
      </w:r>
      <w:r>
        <w:rPr>
          <w:sz w:val="24"/>
        </w:rPr>
        <w:t>following any </w:t>
      </w:r>
      <w:r>
        <w:rPr>
          <w:i/>
          <w:sz w:val="24"/>
        </w:rPr>
        <w:t>credible contingency event</w:t>
      </w:r>
      <w:r>
        <w:rPr>
          <w:i/>
          <w:spacing w:val="13"/>
          <w:sz w:val="24"/>
        </w:rPr>
        <w:t> </w:t>
      </w:r>
      <w:r>
        <w:rPr>
          <w:sz w:val="24"/>
        </w:rPr>
        <w:t>or</w:t>
      </w:r>
    </w:p>
    <w:p>
      <w:pPr>
        <w:spacing w:before="0"/>
        <w:ind w:left="2486" w:right="0" w:firstLine="0"/>
        <w:jc w:val="both"/>
        <w:rPr>
          <w:sz w:val="24"/>
        </w:rPr>
      </w:pPr>
      <w:r>
        <w:rPr>
          <w:i/>
          <w:sz w:val="24"/>
        </w:rPr>
        <w:t>protected event</w:t>
      </w:r>
      <w:r>
        <w:rPr>
          <w:sz w:val="24"/>
        </w:rPr>
        <w:t>;</w:t>
      </w:r>
    </w:p>
    <w:p>
      <w:pPr>
        <w:pStyle w:val="ListParagraph"/>
        <w:numPr>
          <w:ilvl w:val="4"/>
          <w:numId w:val="243"/>
        </w:numPr>
        <w:tabs>
          <w:tab w:pos="2486" w:val="left" w:leader="none"/>
        </w:tabs>
        <w:spacing w:line="240" w:lineRule="auto" w:before="120" w:after="0"/>
        <w:ind w:left="2486" w:right="415" w:hanging="567"/>
        <w:jc w:val="both"/>
        <w:rPr>
          <w:sz w:val="24"/>
        </w:rPr>
      </w:pPr>
      <w:r>
        <w:rPr>
          <w:sz w:val="24"/>
        </w:rPr>
        <w:t>the risk of </w:t>
      </w:r>
      <w:r>
        <w:rPr>
          <w:i/>
          <w:sz w:val="24"/>
        </w:rPr>
        <w:t>cascading outages </w:t>
      </w:r>
      <w:r>
        <w:rPr>
          <w:sz w:val="24"/>
        </w:rPr>
        <w:t>as a result of any </w:t>
      </w:r>
      <w:r>
        <w:rPr>
          <w:i/>
          <w:sz w:val="24"/>
        </w:rPr>
        <w:t>load shedding </w:t>
      </w:r>
      <w:r>
        <w:rPr>
          <w:sz w:val="24"/>
        </w:rPr>
        <w:t>or </w:t>
      </w:r>
      <w:r>
        <w:rPr>
          <w:i/>
          <w:sz w:val="24"/>
        </w:rPr>
        <w:t>generating system </w:t>
      </w:r>
      <w:r>
        <w:rPr>
          <w:sz w:val="24"/>
        </w:rPr>
        <w:t>or </w:t>
      </w:r>
      <w:r>
        <w:rPr>
          <w:i/>
          <w:sz w:val="24"/>
        </w:rPr>
        <w:t>market network service facility </w:t>
      </w:r>
      <w:r>
        <w:rPr>
          <w:sz w:val="24"/>
        </w:rPr>
        <w:t>tripping as</w:t>
      </w:r>
      <w:r>
        <w:rPr>
          <w:spacing w:val="35"/>
          <w:sz w:val="24"/>
        </w:rPr>
        <w:t> </w:t>
      </w:r>
      <w:r>
        <w:rPr>
          <w:sz w:val="24"/>
        </w:rPr>
        <w:t>a result of a </w:t>
      </w:r>
      <w:r>
        <w:rPr>
          <w:i/>
          <w:sz w:val="24"/>
        </w:rPr>
        <w:t>credible contingency event </w:t>
      </w:r>
      <w:r>
        <w:rPr>
          <w:sz w:val="24"/>
        </w:rPr>
        <w:t>or </w:t>
      </w:r>
      <w:r>
        <w:rPr>
          <w:i/>
          <w:sz w:val="24"/>
        </w:rPr>
        <w:t>protected event </w:t>
      </w:r>
      <w:r>
        <w:rPr>
          <w:sz w:val="24"/>
        </w:rPr>
        <w:t>in the</w:t>
      </w:r>
      <w:r>
        <w:rPr>
          <w:spacing w:val="-7"/>
          <w:sz w:val="24"/>
        </w:rPr>
        <w:t> </w:t>
      </w:r>
      <w:r>
        <w:rPr>
          <w:i/>
          <w:sz w:val="24"/>
        </w:rPr>
        <w:t>region</w:t>
      </w:r>
      <w:r>
        <w:rPr>
          <w:sz w:val="24"/>
        </w:rPr>
        <w:t>;</w:t>
      </w:r>
    </w:p>
    <w:p>
      <w:pPr>
        <w:pStyle w:val="ListParagraph"/>
        <w:numPr>
          <w:ilvl w:val="4"/>
          <w:numId w:val="243"/>
        </w:numPr>
        <w:tabs>
          <w:tab w:pos="2486" w:val="left" w:leader="none"/>
        </w:tabs>
        <w:spacing w:line="240" w:lineRule="auto" w:before="120" w:after="0"/>
        <w:ind w:left="2486" w:right="414" w:hanging="567"/>
        <w:jc w:val="both"/>
        <w:rPr>
          <w:sz w:val="24"/>
        </w:rPr>
      </w:pPr>
      <w:r>
        <w:rPr>
          <w:sz w:val="24"/>
        </w:rPr>
        <w:t>additional contribution to the </w:t>
      </w:r>
      <w:r>
        <w:rPr>
          <w:i/>
          <w:sz w:val="24"/>
        </w:rPr>
        <w:t>three phase fault level </w:t>
      </w:r>
      <w:r>
        <w:rPr>
          <w:sz w:val="24"/>
        </w:rPr>
        <w:t>needed to account for the possibility of a reduction in the </w:t>
      </w:r>
      <w:r>
        <w:rPr>
          <w:i/>
          <w:sz w:val="24"/>
        </w:rPr>
        <w:t>three phase fault level </w:t>
      </w:r>
      <w:r>
        <w:rPr>
          <w:sz w:val="24"/>
        </w:rPr>
        <w:t>at a </w:t>
      </w:r>
      <w:r>
        <w:rPr>
          <w:i/>
          <w:sz w:val="24"/>
        </w:rPr>
        <w:t>fault </w:t>
      </w:r>
      <w:r>
        <w:rPr>
          <w:i/>
          <w:sz w:val="24"/>
        </w:rPr>
        <w:t>level node </w:t>
      </w:r>
      <w:r>
        <w:rPr>
          <w:sz w:val="24"/>
        </w:rPr>
        <w:t>if the </w:t>
      </w:r>
      <w:r>
        <w:rPr>
          <w:i/>
          <w:sz w:val="24"/>
        </w:rPr>
        <w:t>contingency event </w:t>
      </w:r>
      <w:r>
        <w:rPr>
          <w:sz w:val="24"/>
        </w:rPr>
        <w:t>that occurs is the loss or unavailability of a </w:t>
      </w:r>
      <w:r>
        <w:rPr>
          <w:i/>
          <w:sz w:val="24"/>
        </w:rPr>
        <w:t>synchronous generating unit </w:t>
      </w:r>
      <w:r>
        <w:rPr>
          <w:sz w:val="24"/>
        </w:rPr>
        <w:t>or any other </w:t>
      </w:r>
      <w:r>
        <w:rPr>
          <w:i/>
          <w:sz w:val="24"/>
        </w:rPr>
        <w:t>facility </w:t>
      </w:r>
      <w:r>
        <w:rPr>
          <w:sz w:val="24"/>
        </w:rPr>
        <w:t>or service that is material in determining the </w:t>
      </w:r>
      <w:r>
        <w:rPr>
          <w:i/>
          <w:sz w:val="24"/>
        </w:rPr>
        <w:t>three phase fault level </w:t>
      </w:r>
      <w:r>
        <w:rPr>
          <w:sz w:val="24"/>
        </w:rPr>
        <w:t>at the </w:t>
      </w:r>
      <w:r>
        <w:rPr>
          <w:i/>
          <w:sz w:val="24"/>
        </w:rPr>
        <w:t>fault level</w:t>
      </w:r>
      <w:r>
        <w:rPr>
          <w:i/>
          <w:spacing w:val="-1"/>
          <w:sz w:val="24"/>
        </w:rPr>
        <w:t> </w:t>
      </w:r>
      <w:r>
        <w:rPr>
          <w:i/>
          <w:sz w:val="24"/>
        </w:rPr>
        <w:t>node</w:t>
      </w:r>
      <w:r>
        <w:rPr>
          <w:sz w:val="24"/>
        </w:rPr>
        <w:t>;</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the</w:t>
      </w:r>
      <w:r>
        <w:rPr>
          <w:spacing w:val="42"/>
          <w:sz w:val="24"/>
        </w:rPr>
        <w:t> </w:t>
      </w:r>
      <w:r>
        <w:rPr>
          <w:sz w:val="24"/>
        </w:rPr>
        <w:t>stability</w:t>
      </w:r>
      <w:r>
        <w:rPr>
          <w:spacing w:val="43"/>
          <w:sz w:val="24"/>
        </w:rPr>
        <w:t> </w:t>
      </w:r>
      <w:r>
        <w:rPr>
          <w:sz w:val="24"/>
        </w:rPr>
        <w:t>of</w:t>
      </w:r>
      <w:r>
        <w:rPr>
          <w:spacing w:val="41"/>
          <w:sz w:val="24"/>
        </w:rPr>
        <w:t> </w:t>
      </w:r>
      <w:r>
        <w:rPr>
          <w:sz w:val="24"/>
        </w:rPr>
        <w:t>any</w:t>
      </w:r>
      <w:r>
        <w:rPr>
          <w:spacing w:val="43"/>
          <w:sz w:val="24"/>
        </w:rPr>
        <w:t> </w:t>
      </w:r>
      <w:r>
        <w:rPr>
          <w:sz w:val="24"/>
        </w:rPr>
        <w:t>equipment</w:t>
      </w:r>
      <w:r>
        <w:rPr>
          <w:spacing w:val="42"/>
          <w:sz w:val="24"/>
        </w:rPr>
        <w:t> </w:t>
      </w:r>
      <w:r>
        <w:rPr>
          <w:sz w:val="24"/>
        </w:rPr>
        <w:t>that</w:t>
      </w:r>
      <w:r>
        <w:rPr>
          <w:spacing w:val="43"/>
          <w:sz w:val="24"/>
        </w:rPr>
        <w:t> </w:t>
      </w:r>
      <w:r>
        <w:rPr>
          <w:sz w:val="24"/>
        </w:rPr>
        <w:t>is</w:t>
      </w:r>
      <w:r>
        <w:rPr>
          <w:spacing w:val="42"/>
          <w:sz w:val="24"/>
        </w:rPr>
        <w:t> </w:t>
      </w:r>
      <w:r>
        <w:rPr>
          <w:sz w:val="24"/>
        </w:rPr>
        <w:t>materially</w:t>
      </w:r>
      <w:r>
        <w:rPr>
          <w:spacing w:val="43"/>
          <w:sz w:val="24"/>
        </w:rPr>
        <w:t> </w:t>
      </w:r>
      <w:r>
        <w:rPr>
          <w:sz w:val="24"/>
        </w:rPr>
        <w:t>contributing</w:t>
      </w:r>
      <w:r>
        <w:rPr>
          <w:spacing w:val="42"/>
          <w:sz w:val="24"/>
        </w:rPr>
        <w:t> </w:t>
      </w:r>
      <w:r>
        <w:rPr>
          <w:sz w:val="24"/>
        </w:rPr>
        <w:t>to</w:t>
      </w:r>
      <w:r>
        <w:rPr>
          <w:spacing w:val="43"/>
          <w:sz w:val="24"/>
        </w:rPr>
        <w:t> </w:t>
      </w:r>
      <w:r>
        <w:rPr>
          <w:sz w:val="24"/>
        </w:rPr>
        <w:t>the</w:t>
      </w:r>
    </w:p>
    <w:p>
      <w:pPr>
        <w:spacing w:before="0"/>
        <w:ind w:left="2486" w:right="0" w:firstLine="0"/>
        <w:jc w:val="both"/>
        <w:rPr>
          <w:sz w:val="24"/>
        </w:rPr>
      </w:pPr>
      <w:r>
        <w:rPr>
          <w:i/>
          <w:sz w:val="24"/>
        </w:rPr>
        <w:t>three phase fault level </w:t>
      </w:r>
      <w:r>
        <w:rPr>
          <w:sz w:val="24"/>
        </w:rPr>
        <w:t>or </w:t>
      </w:r>
      <w:r>
        <w:rPr>
          <w:i/>
          <w:sz w:val="24"/>
        </w:rPr>
        <w:t>inertia </w:t>
      </w:r>
      <w:r>
        <w:rPr>
          <w:sz w:val="24"/>
        </w:rPr>
        <w:t>within the </w:t>
      </w:r>
      <w:r>
        <w:rPr>
          <w:i/>
          <w:sz w:val="24"/>
        </w:rPr>
        <w:t>region</w:t>
      </w:r>
      <w:r>
        <w:rPr>
          <w:sz w:val="24"/>
        </w:rPr>
        <w:t>; and</w:t>
      </w:r>
    </w:p>
    <w:p>
      <w:pPr>
        <w:pStyle w:val="ListParagraph"/>
        <w:numPr>
          <w:ilvl w:val="4"/>
          <w:numId w:val="243"/>
        </w:numPr>
        <w:tabs>
          <w:tab w:pos="2486" w:val="left" w:leader="none"/>
        </w:tabs>
        <w:spacing w:line="240" w:lineRule="auto" w:before="120" w:after="0"/>
        <w:ind w:left="2485" w:right="0" w:hanging="567"/>
        <w:jc w:val="both"/>
        <w:rPr>
          <w:sz w:val="24"/>
        </w:rPr>
      </w:pPr>
      <w:r>
        <w:rPr>
          <w:sz w:val="24"/>
        </w:rPr>
        <w:t>any other matters as </w:t>
      </w:r>
      <w:r>
        <w:rPr>
          <w:i/>
          <w:sz w:val="24"/>
        </w:rPr>
        <w:t>AEMO </w:t>
      </w:r>
      <w:r>
        <w:rPr>
          <w:sz w:val="24"/>
        </w:rPr>
        <w:t>considers</w:t>
      </w:r>
      <w:r>
        <w:rPr>
          <w:spacing w:val="-1"/>
          <w:sz w:val="24"/>
        </w:rPr>
        <w:t> </w:t>
      </w:r>
      <w:r>
        <w:rPr>
          <w:sz w:val="24"/>
        </w:rPr>
        <w:t>appropriate.</w:t>
      </w:r>
    </w:p>
    <w:p>
      <w:pPr>
        <w:pStyle w:val="BodyText"/>
        <w:spacing w:before="10"/>
        <w:ind w:firstLine="0"/>
        <w:jc w:val="left"/>
        <w:rPr>
          <w:sz w:val="20"/>
        </w:rPr>
      </w:pPr>
    </w:p>
    <w:p>
      <w:pPr>
        <w:pStyle w:val="Heading3"/>
        <w:tabs>
          <w:tab w:pos="1351" w:val="left" w:leader="none"/>
        </w:tabs>
        <w:ind w:left="218" w:firstLine="0"/>
      </w:pPr>
      <w:bookmarkStart w:name="5.20A Frequency management planning" w:id="841"/>
      <w:bookmarkEnd w:id="841"/>
      <w:r>
        <w:rPr>
          <w:b w:val="0"/>
        </w:rPr>
      </w:r>
      <w:bookmarkStart w:name="_bookmark321" w:id="842"/>
      <w:bookmarkEnd w:id="842"/>
      <w:r>
        <w:rPr>
          <w:b w:val="0"/>
        </w:rPr>
      </w:r>
      <w:r>
        <w:rPr/>
        <w:t>5.20A</w:t>
        <w:tab/>
        <w:t>Frequency management</w:t>
      </w:r>
      <w:r>
        <w:rPr>
          <w:spacing w:val="-3"/>
        </w:rPr>
        <w:t> </w:t>
      </w:r>
      <w:r>
        <w:rPr/>
        <w:t>planning</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 The application of this rule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numPr>
          <w:ilvl w:val="1"/>
          <w:numId w:val="244"/>
        </w:numPr>
        <w:tabs>
          <w:tab w:pos="686" w:val="left" w:leader="none"/>
          <w:tab w:pos="1351" w:val="left" w:leader="none"/>
        </w:tabs>
        <w:spacing w:line="240" w:lineRule="auto" w:before="0" w:after="0"/>
        <w:ind w:left="686" w:right="0" w:hanging="468"/>
        <w:jc w:val="left"/>
      </w:pPr>
      <w:bookmarkStart w:name="5.20A.1 Power system frequency risk revi" w:id="843"/>
      <w:bookmarkEnd w:id="843"/>
      <w:r>
        <w:rPr>
          <w:b w:val="0"/>
        </w:rPr>
      </w:r>
      <w:bookmarkStart w:name="_bookmark322" w:id="844"/>
      <w:bookmarkEnd w:id="844"/>
      <w:r>
        <w:rPr>
          <w:b w:val="0"/>
        </w:rPr>
      </w:r>
      <w:bookmarkStart w:name="_bookmark322" w:id="845"/>
      <w:bookmarkEnd w:id="845"/>
      <w:r>
        <w:rPr/>
        <w:t>A.</w:t>
      </w:r>
      <w:r>
        <w:rPr/>
        <w:t>1</w:t>
        <w:tab/>
        <w:t>Power system frequency risk</w:t>
      </w:r>
      <w:r>
        <w:rPr>
          <w:spacing w:val="-4"/>
        </w:rPr>
        <w:t> </w:t>
      </w:r>
      <w:r>
        <w:rPr/>
        <w:t>review</w:t>
      </w:r>
    </w:p>
    <w:p>
      <w:pPr>
        <w:pStyle w:val="ListParagraph"/>
        <w:numPr>
          <w:ilvl w:val="2"/>
          <w:numId w:val="244"/>
        </w:numPr>
        <w:tabs>
          <w:tab w:pos="1919" w:val="left" w:leader="none"/>
        </w:tabs>
        <w:spacing w:line="240" w:lineRule="auto" w:before="120" w:after="0"/>
        <w:ind w:left="1919" w:right="415" w:hanging="567"/>
        <w:jc w:val="both"/>
        <w:rPr>
          <w:sz w:val="24"/>
        </w:rPr>
      </w:pPr>
      <w:r>
        <w:rPr>
          <w:i/>
          <w:sz w:val="24"/>
        </w:rPr>
        <w:t>AEMO </w:t>
      </w:r>
      <w:r>
        <w:rPr>
          <w:sz w:val="24"/>
        </w:rPr>
        <w:t>must, through a </w:t>
      </w:r>
      <w:r>
        <w:rPr>
          <w:i/>
          <w:sz w:val="24"/>
        </w:rPr>
        <w:t>power system frequency risk review </w:t>
      </w:r>
      <w:r>
        <w:rPr>
          <w:sz w:val="24"/>
        </w:rPr>
        <w:t>under this rule, review:</w:t>
      </w:r>
    </w:p>
    <w:p>
      <w:pPr>
        <w:pStyle w:val="ListParagraph"/>
        <w:numPr>
          <w:ilvl w:val="3"/>
          <w:numId w:val="244"/>
        </w:numPr>
        <w:tabs>
          <w:tab w:pos="2486" w:val="left" w:leader="none"/>
        </w:tabs>
        <w:spacing w:line="240" w:lineRule="auto" w:before="120" w:after="0"/>
        <w:ind w:left="2486" w:right="414" w:hanging="567"/>
        <w:jc w:val="both"/>
        <w:rPr>
          <w:sz w:val="24"/>
        </w:rPr>
      </w:pPr>
      <w:r>
        <w:rPr>
          <w:i/>
          <w:sz w:val="24"/>
        </w:rPr>
        <w:t>non-credible contingency events </w:t>
      </w:r>
      <w:r>
        <w:rPr>
          <w:sz w:val="24"/>
        </w:rPr>
        <w:t>the occurrence of which </w:t>
      </w:r>
      <w:r>
        <w:rPr>
          <w:i/>
          <w:sz w:val="24"/>
        </w:rPr>
        <w:t>AEMO </w:t>
      </w:r>
      <w:r>
        <w:rPr>
          <w:sz w:val="24"/>
        </w:rPr>
        <w:t>expects would be likely to involve uncontrolled increases or decreases in </w:t>
      </w:r>
      <w:r>
        <w:rPr>
          <w:i/>
          <w:sz w:val="24"/>
        </w:rPr>
        <w:t>frequency </w:t>
      </w:r>
      <w:r>
        <w:rPr>
          <w:sz w:val="24"/>
        </w:rPr>
        <w:t>(alone or in combination) leading to </w:t>
      </w:r>
      <w:r>
        <w:rPr>
          <w:i/>
          <w:sz w:val="24"/>
        </w:rPr>
        <w:t>cascading </w:t>
      </w:r>
      <w:r>
        <w:rPr>
          <w:i/>
          <w:spacing w:val="-3"/>
          <w:sz w:val="24"/>
        </w:rPr>
        <w:t>outages</w:t>
      </w:r>
      <w:r>
        <w:rPr>
          <w:spacing w:val="-3"/>
          <w:sz w:val="24"/>
        </w:rPr>
        <w:t>, </w:t>
      </w:r>
      <w:r>
        <w:rPr>
          <w:sz w:val="24"/>
        </w:rPr>
        <w:t>or </w:t>
      </w:r>
      <w:r>
        <w:rPr>
          <w:i/>
          <w:sz w:val="24"/>
        </w:rPr>
        <w:t>major supply</w:t>
      </w:r>
      <w:r>
        <w:rPr>
          <w:i/>
          <w:spacing w:val="-3"/>
          <w:sz w:val="24"/>
        </w:rPr>
        <w:t> </w:t>
      </w:r>
      <w:r>
        <w:rPr>
          <w:i/>
          <w:sz w:val="24"/>
        </w:rPr>
        <w:t>disruptions</w:t>
      </w:r>
      <w:r>
        <w:rPr>
          <w:sz w:val="24"/>
        </w:rPr>
        <w:t>;</w:t>
      </w:r>
    </w:p>
    <w:p>
      <w:pPr>
        <w:pStyle w:val="ListParagraph"/>
        <w:numPr>
          <w:ilvl w:val="3"/>
          <w:numId w:val="244"/>
        </w:numPr>
        <w:tabs>
          <w:tab w:pos="2486" w:val="left" w:leader="none"/>
        </w:tabs>
        <w:spacing w:line="240" w:lineRule="auto" w:before="120" w:after="0"/>
        <w:ind w:left="2486" w:right="415" w:hanging="567"/>
        <w:jc w:val="both"/>
        <w:rPr>
          <w:sz w:val="24"/>
        </w:rPr>
      </w:pPr>
      <w:r>
        <w:rPr>
          <w:sz w:val="24"/>
        </w:rPr>
        <w:t>current arrangements for management of the </w:t>
      </w:r>
      <w:r>
        <w:rPr>
          <w:i/>
          <w:sz w:val="24"/>
        </w:rPr>
        <w:t>non-credible contingency </w:t>
      </w:r>
      <w:r>
        <w:rPr>
          <w:i/>
          <w:sz w:val="24"/>
        </w:rPr>
        <w:t>events </w:t>
      </w:r>
      <w:r>
        <w:rPr>
          <w:sz w:val="24"/>
        </w:rPr>
        <w:t>described in sub-paragraph (1);</w:t>
      </w:r>
      <w:r>
        <w:rPr>
          <w:spacing w:val="-4"/>
          <w:sz w:val="24"/>
        </w:rPr>
        <w:t> </w:t>
      </w:r>
      <w:r>
        <w:rPr>
          <w:sz w:val="24"/>
        </w:rPr>
        <w:t>and</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options for future management of those</w:t>
      </w:r>
      <w:r>
        <w:rPr>
          <w:spacing w:val="-2"/>
          <w:sz w:val="24"/>
        </w:rPr>
        <w:t> </w:t>
      </w:r>
      <w:r>
        <w:rPr>
          <w:sz w:val="24"/>
        </w:rPr>
        <w:t>events.</w:t>
      </w:r>
    </w:p>
    <w:p>
      <w:pPr>
        <w:pStyle w:val="ListParagraph"/>
        <w:numPr>
          <w:ilvl w:val="2"/>
          <w:numId w:val="244"/>
        </w:numPr>
        <w:tabs>
          <w:tab w:pos="1919" w:val="left" w:leader="none"/>
        </w:tabs>
        <w:spacing w:line="240" w:lineRule="auto" w:before="120" w:after="0"/>
        <w:ind w:left="1918" w:right="0" w:hanging="567"/>
        <w:jc w:val="both"/>
        <w:rPr>
          <w:sz w:val="24"/>
        </w:rPr>
      </w:pPr>
      <w:r>
        <w:rPr>
          <w:sz w:val="24"/>
        </w:rPr>
        <w:t>the options referred to in subparagraph (a)(3) may</w:t>
      </w:r>
      <w:r>
        <w:rPr>
          <w:spacing w:val="-14"/>
          <w:sz w:val="24"/>
        </w:rPr>
        <w:t> </w:t>
      </w:r>
      <w:r>
        <w:rPr>
          <w:sz w:val="24"/>
        </w:rPr>
        <w:t>include:</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new or modified </w:t>
      </w:r>
      <w:r>
        <w:rPr>
          <w:i/>
          <w:sz w:val="24"/>
        </w:rPr>
        <w:t>emergency frequency control</w:t>
      </w:r>
      <w:r>
        <w:rPr>
          <w:i/>
          <w:spacing w:val="-3"/>
          <w:sz w:val="24"/>
        </w:rPr>
        <w:t> </w:t>
      </w:r>
      <w:r>
        <w:rPr>
          <w:i/>
          <w:sz w:val="24"/>
        </w:rPr>
        <w:t>schemes</w:t>
      </w:r>
      <w:r>
        <w:rPr>
          <w:sz w:val="24"/>
        </w:rPr>
        <w:t>;</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declaration of the event as a </w:t>
      </w:r>
      <w:r>
        <w:rPr>
          <w:i/>
          <w:sz w:val="24"/>
        </w:rPr>
        <w:t>protected</w:t>
      </w:r>
      <w:r>
        <w:rPr>
          <w:i/>
          <w:spacing w:val="-2"/>
          <w:sz w:val="24"/>
        </w:rPr>
        <w:t> </w:t>
      </w:r>
      <w:r>
        <w:rPr>
          <w:i/>
          <w:sz w:val="24"/>
        </w:rPr>
        <w:t>event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244"/>
        </w:numPr>
        <w:tabs>
          <w:tab w:pos="2486" w:val="left" w:leader="none"/>
        </w:tabs>
        <w:spacing w:line="240" w:lineRule="auto" w:before="83" w:after="0"/>
        <w:ind w:left="2485" w:right="0" w:hanging="567"/>
        <w:jc w:val="both"/>
        <w:rPr>
          <w:sz w:val="24"/>
        </w:rPr>
      </w:pPr>
      <w:r>
        <w:rPr>
          <w:i/>
          <w:sz w:val="24"/>
        </w:rPr>
        <w:t>network augmentation</w:t>
      </w:r>
      <w:r>
        <w:rPr>
          <w:sz w:val="24"/>
        </w:rPr>
        <w:t>;</w:t>
      </w:r>
      <w:r>
        <w:rPr>
          <w:spacing w:val="-1"/>
          <w:sz w:val="24"/>
        </w:rPr>
        <w:t> </w:t>
      </w:r>
      <w:r>
        <w:rPr>
          <w:sz w:val="24"/>
        </w:rPr>
        <w:t>and</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non-</w:t>
      </w:r>
      <w:r>
        <w:rPr>
          <w:i/>
          <w:sz w:val="24"/>
        </w:rPr>
        <w:t>network </w:t>
      </w:r>
      <w:r>
        <w:rPr>
          <w:sz w:val="24"/>
        </w:rPr>
        <w:t>alternatives to</w:t>
      </w:r>
      <w:r>
        <w:rPr>
          <w:spacing w:val="-1"/>
          <w:sz w:val="24"/>
        </w:rPr>
        <w:t> </w:t>
      </w:r>
      <w:r>
        <w:rPr>
          <w:i/>
          <w:sz w:val="24"/>
        </w:rPr>
        <w:t>augmentation</w:t>
      </w:r>
      <w:r>
        <w:rPr>
          <w:sz w:val="24"/>
        </w:rPr>
        <w:t>.</w:t>
      </w:r>
    </w:p>
    <w:p>
      <w:pPr>
        <w:pStyle w:val="ListParagraph"/>
        <w:numPr>
          <w:ilvl w:val="2"/>
          <w:numId w:val="244"/>
        </w:numPr>
        <w:tabs>
          <w:tab w:pos="1919" w:val="left" w:leader="none"/>
        </w:tabs>
        <w:spacing w:line="240" w:lineRule="auto" w:before="120" w:after="0"/>
        <w:ind w:left="1918" w:right="0" w:hanging="567"/>
        <w:jc w:val="both"/>
        <w:rPr>
          <w:sz w:val="24"/>
        </w:rPr>
      </w:pPr>
      <w:r>
        <w:rPr>
          <w:sz w:val="24"/>
        </w:rPr>
        <w:t>a </w:t>
      </w:r>
      <w:r>
        <w:rPr>
          <w:i/>
          <w:sz w:val="24"/>
        </w:rPr>
        <w:t>power system frequency risk review</w:t>
      </w:r>
      <w:r>
        <w:rPr>
          <w:i/>
          <w:spacing w:val="-2"/>
          <w:sz w:val="24"/>
        </w:rPr>
        <w:t> </w:t>
      </w:r>
      <w:r>
        <w:rPr>
          <w:sz w:val="24"/>
        </w:rPr>
        <w:t>must:</w:t>
      </w:r>
    </w:p>
    <w:p>
      <w:pPr>
        <w:pStyle w:val="ListParagraph"/>
        <w:numPr>
          <w:ilvl w:val="3"/>
          <w:numId w:val="244"/>
        </w:numPr>
        <w:tabs>
          <w:tab w:pos="2486" w:val="left" w:leader="none"/>
        </w:tabs>
        <w:spacing w:line="240" w:lineRule="auto" w:before="120" w:after="0"/>
        <w:ind w:left="2486" w:right="415" w:hanging="567"/>
        <w:jc w:val="both"/>
        <w:rPr>
          <w:sz w:val="24"/>
        </w:rPr>
      </w:pPr>
      <w:r>
        <w:rPr>
          <w:sz w:val="24"/>
        </w:rPr>
        <w:t>identify </w:t>
      </w:r>
      <w:r>
        <w:rPr>
          <w:i/>
          <w:sz w:val="24"/>
        </w:rPr>
        <w:t>non-credible contingency events </w:t>
      </w:r>
      <w:r>
        <w:rPr>
          <w:sz w:val="24"/>
        </w:rPr>
        <w:t>referred to in paragraph </w:t>
      </w:r>
      <w:r>
        <w:rPr>
          <w:spacing w:val="-5"/>
          <w:sz w:val="24"/>
        </w:rPr>
        <w:t>(a) </w:t>
      </w:r>
      <w:r>
        <w:rPr>
          <w:sz w:val="24"/>
        </w:rPr>
        <w:t>that </w:t>
      </w:r>
      <w:r>
        <w:rPr>
          <w:i/>
          <w:sz w:val="24"/>
        </w:rPr>
        <w:t>AEMO </w:t>
      </w:r>
      <w:r>
        <w:rPr>
          <w:sz w:val="24"/>
        </w:rPr>
        <w:t>considers should be priorities for assessment having regard to:</w:t>
      </w:r>
    </w:p>
    <w:p>
      <w:pPr>
        <w:pStyle w:val="ListParagraph"/>
        <w:numPr>
          <w:ilvl w:val="4"/>
          <w:numId w:val="244"/>
        </w:numPr>
        <w:tabs>
          <w:tab w:pos="3053" w:val="left" w:leader="none"/>
        </w:tabs>
        <w:spacing w:line="240" w:lineRule="auto" w:before="120" w:after="0"/>
        <w:ind w:left="3052" w:right="0" w:hanging="567"/>
        <w:jc w:val="both"/>
        <w:rPr>
          <w:sz w:val="24"/>
        </w:rPr>
      </w:pPr>
      <w:r>
        <w:rPr>
          <w:sz w:val="24"/>
        </w:rPr>
        <w:t>the likely </w:t>
      </w:r>
      <w:r>
        <w:rPr>
          <w:i/>
          <w:sz w:val="24"/>
        </w:rPr>
        <w:t>power system security </w:t>
      </w:r>
      <w:r>
        <w:rPr>
          <w:sz w:val="24"/>
        </w:rPr>
        <w:t>outcomes if the event</w:t>
      </w:r>
      <w:r>
        <w:rPr>
          <w:spacing w:val="-7"/>
          <w:sz w:val="24"/>
        </w:rPr>
        <w:t> </w:t>
      </w:r>
      <w:r>
        <w:rPr>
          <w:sz w:val="24"/>
        </w:rPr>
        <w:t>occurs;</w:t>
      </w:r>
    </w:p>
    <w:p>
      <w:pPr>
        <w:pStyle w:val="ListParagraph"/>
        <w:numPr>
          <w:ilvl w:val="4"/>
          <w:numId w:val="244"/>
        </w:numPr>
        <w:tabs>
          <w:tab w:pos="3054" w:val="left" w:leader="none"/>
        </w:tabs>
        <w:spacing w:line="240" w:lineRule="auto" w:before="120" w:after="0"/>
        <w:ind w:left="3053" w:right="0" w:hanging="568"/>
        <w:jc w:val="both"/>
        <w:rPr>
          <w:sz w:val="24"/>
        </w:rPr>
      </w:pPr>
      <w:r>
        <w:rPr>
          <w:sz w:val="24"/>
        </w:rPr>
        <w:t>the likelihood of the event</w:t>
      </w:r>
      <w:r>
        <w:rPr>
          <w:spacing w:val="-2"/>
          <w:sz w:val="24"/>
        </w:rPr>
        <w:t> </w:t>
      </w:r>
      <w:r>
        <w:rPr>
          <w:sz w:val="24"/>
        </w:rPr>
        <w:t>occurring;</w:t>
      </w:r>
    </w:p>
    <w:p>
      <w:pPr>
        <w:pStyle w:val="ListParagraph"/>
        <w:numPr>
          <w:ilvl w:val="4"/>
          <w:numId w:val="244"/>
        </w:numPr>
        <w:tabs>
          <w:tab w:pos="3053" w:val="left" w:leader="none"/>
        </w:tabs>
        <w:spacing w:line="240" w:lineRule="auto" w:before="120" w:after="0"/>
        <w:ind w:left="3053" w:right="414" w:hanging="567"/>
        <w:jc w:val="both"/>
        <w:rPr>
          <w:sz w:val="24"/>
        </w:rPr>
      </w:pPr>
      <w:r>
        <w:rPr>
          <w:sz w:val="24"/>
        </w:rPr>
        <w:t>whether in </w:t>
      </w:r>
      <w:r>
        <w:rPr>
          <w:i/>
          <w:sz w:val="24"/>
        </w:rPr>
        <w:t>AEMO's </w:t>
      </w:r>
      <w:r>
        <w:rPr>
          <w:sz w:val="24"/>
        </w:rPr>
        <w:t>opinion there are reasonably likely to be options for management of the event that are </w:t>
      </w:r>
      <w:r>
        <w:rPr>
          <w:spacing w:val="-3"/>
          <w:sz w:val="24"/>
        </w:rPr>
        <w:t>technically</w:t>
      </w:r>
      <w:r>
        <w:rPr>
          <w:spacing w:val="54"/>
          <w:sz w:val="24"/>
        </w:rPr>
        <w:t> </w:t>
      </w:r>
      <w:r>
        <w:rPr>
          <w:sz w:val="24"/>
        </w:rPr>
        <w:t>feasible, and (on the basis of </w:t>
      </w:r>
      <w:r>
        <w:rPr>
          <w:i/>
          <w:sz w:val="24"/>
        </w:rPr>
        <w:t>AEMO's </w:t>
      </w:r>
      <w:r>
        <w:rPr>
          <w:sz w:val="24"/>
        </w:rPr>
        <w:t>preliminary assessment </w:t>
      </w:r>
      <w:r>
        <w:rPr>
          <w:spacing w:val="-6"/>
          <w:sz w:val="24"/>
        </w:rPr>
        <w:t>of </w:t>
      </w:r>
      <w:r>
        <w:rPr>
          <w:sz w:val="24"/>
        </w:rPr>
        <w:t>the estimated costs and benefits of that option) are economically feasible;</w:t>
      </w:r>
      <w:r>
        <w:rPr>
          <w:spacing w:val="-1"/>
          <w:sz w:val="24"/>
        </w:rPr>
        <w:t> </w:t>
      </w:r>
      <w:r>
        <w:rPr>
          <w:sz w:val="24"/>
        </w:rPr>
        <w:t>and</w:t>
      </w:r>
    </w:p>
    <w:p>
      <w:pPr>
        <w:pStyle w:val="ListParagraph"/>
        <w:numPr>
          <w:ilvl w:val="4"/>
          <w:numId w:val="244"/>
        </w:numPr>
        <w:tabs>
          <w:tab w:pos="3054" w:val="left" w:leader="none"/>
        </w:tabs>
        <w:spacing w:line="240" w:lineRule="auto" w:before="120" w:after="0"/>
        <w:ind w:left="3053" w:right="0" w:hanging="568"/>
        <w:jc w:val="both"/>
        <w:rPr>
          <w:sz w:val="24"/>
        </w:rPr>
      </w:pPr>
      <w:r>
        <w:rPr>
          <w:sz w:val="24"/>
        </w:rPr>
        <w:t>other factors that </w:t>
      </w:r>
      <w:r>
        <w:rPr>
          <w:i/>
          <w:sz w:val="24"/>
        </w:rPr>
        <w:t>AEMO </w:t>
      </w:r>
      <w:r>
        <w:rPr>
          <w:sz w:val="24"/>
        </w:rPr>
        <w:t>considers</w:t>
      </w:r>
      <w:r>
        <w:rPr>
          <w:spacing w:val="-2"/>
          <w:sz w:val="24"/>
        </w:rPr>
        <w:t> </w:t>
      </w:r>
      <w:r>
        <w:rPr>
          <w:sz w:val="24"/>
        </w:rPr>
        <w:t>relevant;</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for events identified under subparagraph</w:t>
      </w:r>
      <w:r>
        <w:rPr>
          <w:spacing w:val="-3"/>
          <w:sz w:val="24"/>
        </w:rPr>
        <w:t> </w:t>
      </w:r>
      <w:r>
        <w:rPr>
          <w:sz w:val="24"/>
        </w:rPr>
        <w:t>(1):</w:t>
      </w:r>
    </w:p>
    <w:p>
      <w:pPr>
        <w:pStyle w:val="ListParagraph"/>
        <w:numPr>
          <w:ilvl w:val="4"/>
          <w:numId w:val="244"/>
        </w:numPr>
        <w:tabs>
          <w:tab w:pos="3053" w:val="left" w:leader="none"/>
        </w:tabs>
        <w:spacing w:line="240" w:lineRule="auto" w:before="120" w:after="0"/>
        <w:ind w:left="3053" w:right="415" w:hanging="567"/>
        <w:jc w:val="both"/>
        <w:rPr>
          <w:sz w:val="24"/>
        </w:rPr>
      </w:pPr>
      <w:r>
        <w:rPr>
          <w:sz w:val="24"/>
        </w:rPr>
        <w:t>assess options for future management of the event that are technically and economically</w:t>
      </w:r>
      <w:r>
        <w:rPr>
          <w:spacing w:val="-1"/>
          <w:sz w:val="24"/>
        </w:rPr>
        <w:t> </w:t>
      </w:r>
      <w:r>
        <w:rPr>
          <w:sz w:val="24"/>
        </w:rPr>
        <w:t>feasible;</w:t>
      </w:r>
    </w:p>
    <w:p>
      <w:pPr>
        <w:pStyle w:val="ListParagraph"/>
        <w:numPr>
          <w:ilvl w:val="4"/>
          <w:numId w:val="244"/>
        </w:numPr>
        <w:tabs>
          <w:tab w:pos="3054" w:val="left" w:leader="none"/>
        </w:tabs>
        <w:spacing w:line="240" w:lineRule="auto" w:before="120" w:after="0"/>
        <w:ind w:left="3053" w:right="415" w:hanging="567"/>
        <w:jc w:val="both"/>
        <w:rPr>
          <w:sz w:val="24"/>
        </w:rPr>
      </w:pPr>
      <w:r>
        <w:rPr>
          <w:sz w:val="24"/>
        </w:rPr>
        <w:t>assess the expected costs and time for implementation of each option and any other factors that </w:t>
      </w:r>
      <w:r>
        <w:rPr>
          <w:i/>
          <w:sz w:val="24"/>
        </w:rPr>
        <w:t>AEMO </w:t>
      </w:r>
      <w:r>
        <w:rPr>
          <w:sz w:val="24"/>
        </w:rPr>
        <w:t>considers should </w:t>
      </w:r>
      <w:r>
        <w:rPr>
          <w:spacing w:val="-6"/>
          <w:sz w:val="24"/>
        </w:rPr>
        <w:t>be </w:t>
      </w:r>
      <w:r>
        <w:rPr>
          <w:sz w:val="24"/>
        </w:rPr>
        <w:t>taken into account in selecting a recommended option;</w:t>
      </w:r>
      <w:r>
        <w:rPr>
          <w:spacing w:val="-8"/>
          <w:sz w:val="24"/>
        </w:rPr>
        <w:t> </w:t>
      </w:r>
      <w:r>
        <w:rPr>
          <w:sz w:val="24"/>
        </w:rPr>
        <w:t>and</w:t>
      </w:r>
    </w:p>
    <w:p>
      <w:pPr>
        <w:pStyle w:val="ListParagraph"/>
        <w:numPr>
          <w:ilvl w:val="4"/>
          <w:numId w:val="244"/>
        </w:numPr>
        <w:tabs>
          <w:tab w:pos="3053" w:val="left" w:leader="none"/>
        </w:tabs>
        <w:spacing w:line="240" w:lineRule="auto" w:before="120" w:after="0"/>
        <w:ind w:left="3052" w:right="0" w:hanging="567"/>
        <w:jc w:val="both"/>
        <w:rPr>
          <w:sz w:val="24"/>
        </w:rPr>
      </w:pPr>
      <w:r>
        <w:rPr>
          <w:sz w:val="24"/>
        </w:rPr>
        <w:t>identify the recommended option or range of</w:t>
      </w:r>
      <w:r>
        <w:rPr>
          <w:spacing w:val="-1"/>
          <w:sz w:val="24"/>
        </w:rPr>
        <w:t> </w:t>
      </w:r>
      <w:r>
        <w:rPr>
          <w:sz w:val="24"/>
        </w:rPr>
        <w:t>options;</w:t>
      </w:r>
    </w:p>
    <w:p>
      <w:pPr>
        <w:pStyle w:val="ListParagraph"/>
        <w:numPr>
          <w:ilvl w:val="3"/>
          <w:numId w:val="244"/>
        </w:numPr>
        <w:tabs>
          <w:tab w:pos="2486" w:val="left" w:leader="none"/>
        </w:tabs>
        <w:spacing w:line="240" w:lineRule="auto" w:before="120" w:after="0"/>
        <w:ind w:left="2485" w:right="0" w:hanging="567"/>
        <w:jc w:val="both"/>
        <w:rPr>
          <w:sz w:val="24"/>
        </w:rPr>
      </w:pPr>
      <w:r>
        <w:rPr>
          <w:sz w:val="24"/>
        </w:rPr>
        <w:t>for current </w:t>
      </w:r>
      <w:r>
        <w:rPr>
          <w:i/>
          <w:sz w:val="24"/>
        </w:rPr>
        <w:t>protected</w:t>
      </w:r>
      <w:r>
        <w:rPr>
          <w:i/>
          <w:spacing w:val="-1"/>
          <w:sz w:val="24"/>
        </w:rPr>
        <w:t> </w:t>
      </w:r>
      <w:r>
        <w:rPr>
          <w:i/>
          <w:sz w:val="24"/>
        </w:rPr>
        <w:t>events</w:t>
      </w:r>
      <w:r>
        <w:rPr>
          <w:sz w:val="24"/>
        </w:rPr>
        <w:t>:</w:t>
      </w:r>
    </w:p>
    <w:p>
      <w:pPr>
        <w:pStyle w:val="ListParagraph"/>
        <w:numPr>
          <w:ilvl w:val="4"/>
          <w:numId w:val="244"/>
        </w:numPr>
        <w:tabs>
          <w:tab w:pos="3053" w:val="left" w:leader="none"/>
        </w:tabs>
        <w:spacing w:line="240" w:lineRule="auto" w:before="120" w:after="0"/>
        <w:ind w:left="3053" w:right="415" w:hanging="567"/>
        <w:jc w:val="both"/>
        <w:rPr>
          <w:sz w:val="24"/>
        </w:rPr>
      </w:pPr>
      <w:r>
        <w:rPr>
          <w:sz w:val="24"/>
        </w:rPr>
        <w:t>assess the adequacy and costs of the arrangements for management of the</w:t>
      </w:r>
      <w:r>
        <w:rPr>
          <w:spacing w:val="-1"/>
          <w:sz w:val="24"/>
        </w:rPr>
        <w:t> </w:t>
      </w:r>
      <w:r>
        <w:rPr>
          <w:sz w:val="24"/>
        </w:rPr>
        <w:t>event;</w:t>
      </w:r>
    </w:p>
    <w:p>
      <w:pPr>
        <w:pStyle w:val="ListParagraph"/>
        <w:numPr>
          <w:ilvl w:val="4"/>
          <w:numId w:val="244"/>
        </w:numPr>
        <w:tabs>
          <w:tab w:pos="3054" w:val="left" w:leader="none"/>
        </w:tabs>
        <w:spacing w:line="240" w:lineRule="auto" w:before="120" w:after="0"/>
        <w:ind w:left="3053" w:right="415" w:hanging="567"/>
        <w:jc w:val="both"/>
        <w:rPr>
          <w:sz w:val="24"/>
        </w:rPr>
      </w:pPr>
      <w:r>
        <w:rPr>
          <w:sz w:val="24"/>
        </w:rPr>
        <w:t>consider whether to recommend a request to the </w:t>
      </w:r>
      <w:r>
        <w:rPr>
          <w:i/>
          <w:sz w:val="24"/>
        </w:rPr>
        <w:t>Reliability </w:t>
      </w:r>
      <w:r>
        <w:rPr>
          <w:i/>
          <w:sz w:val="24"/>
        </w:rPr>
        <w:t>Panel </w:t>
      </w:r>
      <w:r>
        <w:rPr>
          <w:sz w:val="24"/>
        </w:rPr>
        <w:t>to revoke the declaration of the event as a </w:t>
      </w:r>
      <w:r>
        <w:rPr>
          <w:i/>
          <w:sz w:val="24"/>
        </w:rPr>
        <w:t>protected event</w:t>
      </w:r>
      <w:r>
        <w:rPr>
          <w:sz w:val="24"/>
        </w:rPr>
        <w:t>; and</w:t>
      </w:r>
    </w:p>
    <w:p>
      <w:pPr>
        <w:pStyle w:val="ListParagraph"/>
        <w:numPr>
          <w:ilvl w:val="4"/>
          <w:numId w:val="244"/>
        </w:numPr>
        <w:tabs>
          <w:tab w:pos="3053" w:val="left" w:leader="none"/>
        </w:tabs>
        <w:spacing w:line="240" w:lineRule="auto" w:before="120" w:after="0"/>
        <w:ind w:left="3053" w:right="414" w:hanging="567"/>
        <w:jc w:val="both"/>
        <w:rPr>
          <w:sz w:val="24"/>
        </w:rPr>
      </w:pPr>
      <w:r>
        <w:rPr>
          <w:sz w:val="24"/>
        </w:rPr>
        <w:t>except where a recommendation is to be made under subparagraph (ii), identify any need for changes to the arrangements for management of the event and where applicable, identify the options for change and in relation to each option, the matters referred to in subparagraphs (2)(ii) and (iii);</w:t>
      </w:r>
      <w:r>
        <w:rPr>
          <w:spacing w:val="-1"/>
          <w:sz w:val="24"/>
        </w:rPr>
        <w:t> </w:t>
      </w:r>
      <w:r>
        <w:rPr>
          <w:sz w:val="24"/>
        </w:rPr>
        <w:t>and</w:t>
      </w:r>
    </w:p>
    <w:p>
      <w:pPr>
        <w:pStyle w:val="ListParagraph"/>
        <w:numPr>
          <w:ilvl w:val="3"/>
          <w:numId w:val="244"/>
        </w:numPr>
        <w:tabs>
          <w:tab w:pos="2486" w:val="left" w:leader="none"/>
        </w:tabs>
        <w:spacing w:line="240" w:lineRule="auto" w:before="120" w:after="0"/>
        <w:ind w:left="2486" w:right="414" w:hanging="567"/>
        <w:jc w:val="both"/>
        <w:rPr>
          <w:sz w:val="24"/>
        </w:rPr>
      </w:pPr>
      <w:r>
        <w:rPr>
          <w:sz w:val="24"/>
        </w:rPr>
        <w:t>assess the performance of existing </w:t>
      </w:r>
      <w:r>
        <w:rPr>
          <w:i/>
          <w:sz w:val="24"/>
        </w:rPr>
        <w:t>emergency frequency control </w:t>
      </w:r>
      <w:r>
        <w:rPr>
          <w:i/>
          <w:sz w:val="24"/>
        </w:rPr>
        <w:t>schemes </w:t>
      </w:r>
      <w:r>
        <w:rPr>
          <w:sz w:val="24"/>
        </w:rPr>
        <w:t>and identify any need to modify the</w:t>
      </w:r>
      <w:r>
        <w:rPr>
          <w:spacing w:val="-5"/>
          <w:sz w:val="24"/>
        </w:rPr>
        <w:t> </w:t>
      </w:r>
      <w:r>
        <w:rPr>
          <w:sz w:val="24"/>
        </w:rPr>
        <w:t>scheme.</w:t>
      </w:r>
    </w:p>
    <w:p>
      <w:pPr>
        <w:pStyle w:val="BodyText"/>
        <w:spacing w:before="10"/>
        <w:ind w:firstLine="0"/>
        <w:jc w:val="left"/>
        <w:rPr>
          <w:sz w:val="20"/>
        </w:rPr>
      </w:pPr>
    </w:p>
    <w:p>
      <w:pPr>
        <w:pStyle w:val="Heading4"/>
        <w:numPr>
          <w:ilvl w:val="1"/>
          <w:numId w:val="245"/>
        </w:numPr>
        <w:tabs>
          <w:tab w:pos="686" w:val="left" w:leader="none"/>
          <w:tab w:pos="1351" w:val="left" w:leader="none"/>
        </w:tabs>
        <w:spacing w:line="240" w:lineRule="auto" w:before="0" w:after="0"/>
        <w:ind w:left="686" w:right="0" w:hanging="468"/>
        <w:jc w:val="left"/>
      </w:pPr>
      <w:bookmarkStart w:name="5.20A.2 Power system frequency risk revi" w:id="846"/>
      <w:bookmarkEnd w:id="846"/>
      <w:r>
        <w:rPr>
          <w:b w:val="0"/>
        </w:rPr>
      </w:r>
      <w:bookmarkStart w:name="_bookmark323" w:id="847"/>
      <w:bookmarkEnd w:id="847"/>
      <w:r>
        <w:rPr>
          <w:b w:val="0"/>
        </w:rPr>
      </w:r>
      <w:bookmarkStart w:name="_bookmark323" w:id="848"/>
      <w:bookmarkEnd w:id="848"/>
      <w:r>
        <w:rPr/>
        <w:t>A.</w:t>
      </w:r>
      <w:r>
        <w:rPr/>
        <w:t>2</w:t>
        <w:tab/>
        <w:t>Power system frequency risk review</w:t>
      </w:r>
      <w:r>
        <w:rPr>
          <w:spacing w:val="-5"/>
        </w:rPr>
        <w:t> </w:t>
      </w:r>
      <w:r>
        <w:rPr/>
        <w:t>process</w:t>
      </w:r>
    </w:p>
    <w:p>
      <w:pPr>
        <w:pStyle w:val="ListParagraph"/>
        <w:numPr>
          <w:ilvl w:val="2"/>
          <w:numId w:val="245"/>
        </w:numPr>
        <w:tabs>
          <w:tab w:pos="1919" w:val="left" w:leader="none"/>
        </w:tabs>
        <w:spacing w:line="240" w:lineRule="auto" w:before="120" w:after="0"/>
        <w:ind w:left="1919" w:right="415" w:hanging="567"/>
        <w:jc w:val="both"/>
        <w:rPr>
          <w:sz w:val="24"/>
        </w:rPr>
      </w:pPr>
      <w:r>
        <w:rPr>
          <w:i/>
          <w:sz w:val="24"/>
        </w:rPr>
        <w:t>AEMO </w:t>
      </w:r>
      <w:r>
        <w:rPr>
          <w:sz w:val="24"/>
        </w:rPr>
        <w:t>must undertake a </w:t>
      </w:r>
      <w:r>
        <w:rPr>
          <w:i/>
          <w:sz w:val="24"/>
        </w:rPr>
        <w:t>power system frequency risk review </w:t>
      </w:r>
      <w:r>
        <w:rPr>
          <w:sz w:val="24"/>
        </w:rPr>
        <w:t>at least every two years.</w:t>
      </w:r>
    </w:p>
    <w:p>
      <w:pPr>
        <w:pStyle w:val="ListParagraph"/>
        <w:numPr>
          <w:ilvl w:val="2"/>
          <w:numId w:val="245"/>
        </w:numPr>
        <w:tabs>
          <w:tab w:pos="1919" w:val="left" w:leader="none"/>
        </w:tabs>
        <w:spacing w:line="240" w:lineRule="auto" w:before="120" w:after="0"/>
        <w:ind w:left="1919" w:right="414" w:hanging="567"/>
        <w:jc w:val="both"/>
        <w:rPr>
          <w:sz w:val="24"/>
        </w:rPr>
      </w:pPr>
      <w:r>
        <w:rPr>
          <w:i/>
          <w:sz w:val="24"/>
        </w:rPr>
        <w:t>AEMO </w:t>
      </w:r>
      <w:r>
        <w:rPr>
          <w:sz w:val="24"/>
        </w:rPr>
        <w:t>must put in place arrangements it considers appropriate to consult with and take into account the views of </w:t>
      </w:r>
      <w:r>
        <w:rPr>
          <w:i/>
          <w:sz w:val="24"/>
        </w:rPr>
        <w:t>Transmission Network Service </w:t>
      </w:r>
      <w:r>
        <w:rPr>
          <w:i/>
          <w:sz w:val="24"/>
        </w:rPr>
        <w:t>Providers </w:t>
      </w:r>
      <w:r>
        <w:rPr>
          <w:sz w:val="24"/>
        </w:rPr>
        <w:t>in the conduct of a </w:t>
      </w:r>
      <w:r>
        <w:rPr>
          <w:i/>
          <w:sz w:val="24"/>
        </w:rPr>
        <w:t>power system frequency risk</w:t>
      </w:r>
      <w:r>
        <w:rPr>
          <w:i/>
          <w:spacing w:val="-9"/>
          <w:sz w:val="24"/>
        </w:rPr>
        <w:t> </w:t>
      </w:r>
      <w:r>
        <w:rPr>
          <w:i/>
          <w:sz w:val="24"/>
        </w:rPr>
        <w:t>review</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245"/>
        </w:numPr>
        <w:tabs>
          <w:tab w:pos="1919" w:val="left" w:leader="none"/>
        </w:tabs>
        <w:spacing w:line="240" w:lineRule="auto" w:before="83" w:after="0"/>
        <w:ind w:left="1919" w:right="413" w:hanging="567"/>
        <w:jc w:val="both"/>
        <w:rPr>
          <w:sz w:val="24"/>
        </w:rPr>
      </w:pPr>
      <w:r>
        <w:rPr>
          <w:sz w:val="24"/>
        </w:rPr>
        <w:t>Where </w:t>
      </w:r>
      <w:r>
        <w:rPr>
          <w:i/>
          <w:sz w:val="24"/>
        </w:rPr>
        <w:t>AEMO </w:t>
      </w:r>
      <w:r>
        <w:rPr>
          <w:sz w:val="24"/>
        </w:rPr>
        <w:t>is considering a new or modified </w:t>
      </w:r>
      <w:r>
        <w:rPr>
          <w:i/>
          <w:sz w:val="24"/>
        </w:rPr>
        <w:t>emergency frequency </w:t>
      </w:r>
      <w:r>
        <w:rPr>
          <w:i/>
          <w:sz w:val="24"/>
        </w:rPr>
        <w:t>control scheme</w:t>
      </w:r>
      <w:r>
        <w:rPr>
          <w:sz w:val="24"/>
        </w:rPr>
        <w:t>, </w:t>
      </w:r>
      <w:r>
        <w:rPr>
          <w:i/>
          <w:sz w:val="24"/>
        </w:rPr>
        <w:t>AEMO </w:t>
      </w:r>
      <w:r>
        <w:rPr>
          <w:sz w:val="24"/>
        </w:rPr>
        <w:t>must consult with </w:t>
      </w:r>
      <w:r>
        <w:rPr>
          <w:i/>
          <w:sz w:val="24"/>
        </w:rPr>
        <w:t>Distribution Network Service </w:t>
      </w:r>
      <w:r>
        <w:rPr>
          <w:i/>
          <w:sz w:val="24"/>
        </w:rPr>
        <w:t>Providers </w:t>
      </w:r>
      <w:r>
        <w:rPr>
          <w:sz w:val="24"/>
        </w:rPr>
        <w:t>whose </w:t>
      </w:r>
      <w:r>
        <w:rPr>
          <w:i/>
          <w:sz w:val="24"/>
        </w:rPr>
        <w:t>distribution system </w:t>
      </w:r>
      <w:r>
        <w:rPr>
          <w:sz w:val="24"/>
        </w:rPr>
        <w:t>is likely to be directly affected by the scheme.</w:t>
      </w:r>
    </w:p>
    <w:p>
      <w:pPr>
        <w:pStyle w:val="ListParagraph"/>
        <w:numPr>
          <w:ilvl w:val="2"/>
          <w:numId w:val="245"/>
        </w:numPr>
        <w:tabs>
          <w:tab w:pos="1919" w:val="left" w:leader="none"/>
        </w:tabs>
        <w:spacing w:line="240" w:lineRule="auto" w:before="120" w:after="0"/>
        <w:ind w:left="1919" w:right="414" w:hanging="567"/>
        <w:jc w:val="both"/>
        <w:rPr>
          <w:sz w:val="24"/>
        </w:rPr>
      </w:pPr>
      <w:r>
        <w:rPr>
          <w:sz w:val="24"/>
        </w:rPr>
        <w:t>When undertaking a </w:t>
      </w:r>
      <w:r>
        <w:rPr>
          <w:i/>
          <w:sz w:val="24"/>
        </w:rPr>
        <w:t>power system frequency risk review</w:t>
      </w:r>
      <w:r>
        <w:rPr>
          <w:sz w:val="24"/>
        </w:rPr>
        <w:t>, </w:t>
      </w:r>
      <w:r>
        <w:rPr>
          <w:i/>
          <w:sz w:val="24"/>
        </w:rPr>
        <w:t>AEMO </w:t>
      </w:r>
      <w:r>
        <w:rPr>
          <w:sz w:val="24"/>
        </w:rPr>
        <w:t>may consult with any other parties it considers appropriate, including without limitation, </w:t>
      </w:r>
      <w:r>
        <w:rPr>
          <w:i/>
          <w:sz w:val="24"/>
        </w:rPr>
        <w:t>Jurisdictional System Security</w:t>
      </w:r>
      <w:r>
        <w:rPr>
          <w:i/>
          <w:spacing w:val="-1"/>
          <w:sz w:val="24"/>
        </w:rPr>
        <w:t> </w:t>
      </w:r>
      <w:r>
        <w:rPr>
          <w:i/>
          <w:sz w:val="24"/>
        </w:rPr>
        <w:t>Coordinators</w:t>
      </w:r>
      <w:r>
        <w:rPr>
          <w:sz w:val="24"/>
        </w:rPr>
        <w:t>.</w:t>
      </w:r>
    </w:p>
    <w:p>
      <w:pPr>
        <w:pStyle w:val="BodyText"/>
        <w:spacing w:before="10"/>
        <w:ind w:firstLine="0"/>
        <w:jc w:val="left"/>
        <w:rPr>
          <w:sz w:val="20"/>
        </w:rPr>
      </w:pPr>
    </w:p>
    <w:p>
      <w:pPr>
        <w:pStyle w:val="Heading4"/>
        <w:numPr>
          <w:ilvl w:val="1"/>
          <w:numId w:val="246"/>
        </w:numPr>
        <w:tabs>
          <w:tab w:pos="686" w:val="left" w:leader="none"/>
          <w:tab w:pos="1351" w:val="left" w:leader="none"/>
        </w:tabs>
        <w:spacing w:line="240" w:lineRule="auto" w:before="0" w:after="0"/>
        <w:ind w:left="686" w:right="0" w:hanging="468"/>
        <w:jc w:val="left"/>
      </w:pPr>
      <w:bookmarkStart w:name="5.20A.3 Power system frequency risk revi" w:id="849"/>
      <w:bookmarkEnd w:id="849"/>
      <w:r>
        <w:rPr>
          <w:b w:val="0"/>
        </w:rPr>
      </w:r>
      <w:bookmarkStart w:name="_bookmark324" w:id="850"/>
      <w:bookmarkEnd w:id="850"/>
      <w:r>
        <w:rPr>
          <w:b w:val="0"/>
        </w:rPr>
      </w:r>
      <w:bookmarkStart w:name="_bookmark324" w:id="851"/>
      <w:bookmarkEnd w:id="851"/>
      <w:r>
        <w:rPr/>
        <w:t>A.</w:t>
      </w:r>
      <w:r>
        <w:rPr/>
        <w:t>3</w:t>
        <w:tab/>
        <w:t>Power system frequency risk review</w:t>
      </w:r>
      <w:r>
        <w:rPr>
          <w:spacing w:val="-5"/>
        </w:rPr>
        <w:t> </w:t>
      </w:r>
      <w:r>
        <w:rPr/>
        <w:t>report</w:t>
      </w:r>
    </w:p>
    <w:p>
      <w:pPr>
        <w:pStyle w:val="ListParagraph"/>
        <w:numPr>
          <w:ilvl w:val="2"/>
          <w:numId w:val="246"/>
        </w:numPr>
        <w:tabs>
          <w:tab w:pos="1919" w:val="left" w:leader="none"/>
        </w:tabs>
        <w:spacing w:line="240" w:lineRule="auto" w:before="120" w:after="0"/>
        <w:ind w:left="1919" w:right="415" w:hanging="567"/>
        <w:jc w:val="both"/>
        <w:rPr>
          <w:sz w:val="24"/>
        </w:rPr>
      </w:pPr>
      <w:r>
        <w:rPr>
          <w:sz w:val="24"/>
        </w:rPr>
        <w:t>On completion of a </w:t>
      </w:r>
      <w:r>
        <w:rPr>
          <w:i/>
          <w:sz w:val="24"/>
        </w:rPr>
        <w:t>power system frequency risk review</w:t>
      </w:r>
      <w:r>
        <w:rPr>
          <w:sz w:val="24"/>
        </w:rPr>
        <w:t>, </w:t>
      </w:r>
      <w:r>
        <w:rPr>
          <w:i/>
          <w:sz w:val="24"/>
        </w:rPr>
        <w:t>AEMO </w:t>
      </w:r>
      <w:r>
        <w:rPr>
          <w:sz w:val="24"/>
        </w:rPr>
        <w:t>must publish a draft report setting out its findings and recommendations on the matters set out in clause 5.20A.1, and invite written submissions to be made within a period of at least 10 </w:t>
      </w:r>
      <w:r>
        <w:rPr>
          <w:i/>
          <w:sz w:val="24"/>
        </w:rPr>
        <w:t>business days </w:t>
      </w:r>
      <w:r>
        <w:rPr>
          <w:sz w:val="24"/>
        </w:rPr>
        <w:t>specified in the invitation. </w:t>
      </w:r>
      <w:r>
        <w:rPr>
          <w:i/>
          <w:sz w:val="24"/>
        </w:rPr>
        <w:t>AEMO </w:t>
      </w:r>
      <w:r>
        <w:rPr>
          <w:sz w:val="24"/>
        </w:rPr>
        <w:t>must publish its final report as soon as reasonably practicable following the receipt of</w:t>
      </w:r>
      <w:r>
        <w:rPr>
          <w:spacing w:val="-1"/>
          <w:sz w:val="24"/>
        </w:rPr>
        <w:t> </w:t>
      </w:r>
      <w:r>
        <w:rPr>
          <w:sz w:val="24"/>
        </w:rPr>
        <w:t>submissions.</w:t>
      </w:r>
    </w:p>
    <w:p>
      <w:pPr>
        <w:pStyle w:val="ListParagraph"/>
        <w:numPr>
          <w:ilvl w:val="2"/>
          <w:numId w:val="246"/>
        </w:numPr>
        <w:tabs>
          <w:tab w:pos="1919" w:val="left" w:leader="none"/>
        </w:tabs>
        <w:spacing w:line="240" w:lineRule="auto" w:before="120" w:after="0"/>
        <w:ind w:left="1919" w:right="415" w:hanging="567"/>
        <w:jc w:val="both"/>
        <w:rPr>
          <w:sz w:val="24"/>
        </w:rPr>
      </w:pPr>
      <w:r>
        <w:rPr>
          <w:sz w:val="24"/>
        </w:rPr>
        <w:t>Where a </w:t>
      </w:r>
      <w:r>
        <w:rPr>
          <w:i/>
          <w:sz w:val="24"/>
        </w:rPr>
        <w:t>power system frequency risk review </w:t>
      </w:r>
      <w:r>
        <w:rPr>
          <w:sz w:val="24"/>
        </w:rPr>
        <w:t>identifies the need for a new or modified </w:t>
      </w:r>
      <w:r>
        <w:rPr>
          <w:i/>
          <w:sz w:val="24"/>
        </w:rPr>
        <w:t>emergency frequency control scheme </w:t>
      </w:r>
      <w:r>
        <w:rPr>
          <w:sz w:val="24"/>
        </w:rPr>
        <w:t>(alone or in combination with the declaration of a </w:t>
      </w:r>
      <w:r>
        <w:rPr>
          <w:i/>
          <w:sz w:val="24"/>
        </w:rPr>
        <w:t>protected event</w:t>
      </w:r>
      <w:r>
        <w:rPr>
          <w:sz w:val="24"/>
        </w:rPr>
        <w:t>) the report under this clause</w:t>
      </w:r>
      <w:r>
        <w:rPr>
          <w:spacing w:val="-9"/>
          <w:sz w:val="24"/>
        </w:rPr>
        <w:t> </w:t>
      </w:r>
      <w:r>
        <w:rPr>
          <w:sz w:val="24"/>
        </w:rPr>
        <w:t>must:</w:t>
      </w:r>
    </w:p>
    <w:p>
      <w:pPr>
        <w:pStyle w:val="ListParagraph"/>
        <w:numPr>
          <w:ilvl w:val="3"/>
          <w:numId w:val="246"/>
        </w:numPr>
        <w:tabs>
          <w:tab w:pos="2486" w:val="left" w:leader="none"/>
        </w:tabs>
        <w:spacing w:line="240" w:lineRule="auto" w:before="120" w:after="0"/>
        <w:ind w:left="2486" w:right="415" w:hanging="567"/>
        <w:jc w:val="both"/>
        <w:rPr>
          <w:sz w:val="24"/>
        </w:rPr>
      </w:pPr>
      <w:r>
        <w:rPr>
          <w:sz w:val="24"/>
        </w:rPr>
        <w:t>specify the areas of the </w:t>
      </w:r>
      <w:r>
        <w:rPr>
          <w:i/>
          <w:sz w:val="24"/>
        </w:rPr>
        <w:t>power system </w:t>
      </w:r>
      <w:r>
        <w:rPr>
          <w:sz w:val="24"/>
        </w:rPr>
        <w:t>to which the </w:t>
      </w:r>
      <w:r>
        <w:rPr>
          <w:i/>
          <w:sz w:val="24"/>
        </w:rPr>
        <w:t>emergency </w:t>
      </w:r>
      <w:r>
        <w:rPr>
          <w:i/>
          <w:sz w:val="24"/>
        </w:rPr>
        <w:t>frequency control scheme </w:t>
      </w:r>
      <w:r>
        <w:rPr>
          <w:sz w:val="24"/>
        </w:rPr>
        <w:t>will apply and whether it is an </w:t>
      </w:r>
      <w:r>
        <w:rPr>
          <w:i/>
          <w:sz w:val="24"/>
        </w:rPr>
        <w:t>over </w:t>
      </w:r>
      <w:r>
        <w:rPr>
          <w:i/>
          <w:sz w:val="24"/>
        </w:rPr>
        <w:t>frequency scheme</w:t>
      </w:r>
      <w:r>
        <w:rPr>
          <w:sz w:val="24"/>
        </w:rPr>
        <w:t>, </w:t>
      </w:r>
      <w:r>
        <w:rPr>
          <w:i/>
          <w:sz w:val="24"/>
        </w:rPr>
        <w:t>under frequency scheme</w:t>
      </w:r>
      <w:r>
        <w:rPr>
          <w:sz w:val="24"/>
        </w:rPr>
        <w:t>, or both;</w:t>
      </w:r>
      <w:r>
        <w:rPr>
          <w:spacing w:val="-3"/>
          <w:sz w:val="24"/>
        </w:rPr>
        <w:t> </w:t>
      </w:r>
      <w:r>
        <w:rPr>
          <w:sz w:val="24"/>
        </w:rPr>
        <w:t>and</w:t>
      </w:r>
    </w:p>
    <w:p>
      <w:pPr>
        <w:pStyle w:val="ListParagraph"/>
        <w:numPr>
          <w:ilvl w:val="3"/>
          <w:numId w:val="246"/>
        </w:numPr>
        <w:tabs>
          <w:tab w:pos="2486" w:val="left" w:leader="none"/>
        </w:tabs>
        <w:spacing w:line="240" w:lineRule="auto" w:before="120" w:after="0"/>
        <w:ind w:left="2486" w:right="415" w:hanging="567"/>
        <w:jc w:val="both"/>
        <w:rPr>
          <w:sz w:val="24"/>
        </w:rPr>
      </w:pPr>
      <w:r>
        <w:rPr>
          <w:sz w:val="24"/>
        </w:rPr>
        <w:t>include the anticipated time required to design, procure and commission the new or modified</w:t>
      </w:r>
      <w:r>
        <w:rPr>
          <w:spacing w:val="-1"/>
          <w:sz w:val="24"/>
        </w:rPr>
        <w:t> </w:t>
      </w:r>
      <w:r>
        <w:rPr>
          <w:sz w:val="24"/>
        </w:rPr>
        <w:t>scheme.</w:t>
      </w:r>
    </w:p>
    <w:p>
      <w:pPr>
        <w:pStyle w:val="ListParagraph"/>
        <w:numPr>
          <w:ilvl w:val="2"/>
          <w:numId w:val="246"/>
        </w:numPr>
        <w:tabs>
          <w:tab w:pos="1919" w:val="left" w:leader="none"/>
        </w:tabs>
        <w:spacing w:line="240" w:lineRule="auto" w:before="120" w:after="0"/>
        <w:ind w:left="1919" w:right="415" w:hanging="567"/>
        <w:jc w:val="both"/>
        <w:rPr>
          <w:sz w:val="24"/>
        </w:rPr>
      </w:pPr>
      <w:r>
        <w:rPr>
          <w:sz w:val="24"/>
        </w:rPr>
        <w:t>Where, as the result of a </w:t>
      </w:r>
      <w:r>
        <w:rPr>
          <w:i/>
          <w:sz w:val="24"/>
        </w:rPr>
        <w:t>power system frequency risk review</w:t>
      </w:r>
      <w:r>
        <w:rPr>
          <w:sz w:val="24"/>
        </w:rPr>
        <w:t>, </w:t>
      </w:r>
      <w:r>
        <w:rPr>
          <w:i/>
          <w:sz w:val="24"/>
        </w:rPr>
        <w:t>AEMO </w:t>
      </w:r>
      <w:r>
        <w:rPr>
          <w:sz w:val="24"/>
        </w:rPr>
        <w:t>recommends seeking declaration or revocation of a </w:t>
      </w:r>
      <w:r>
        <w:rPr>
          <w:i/>
          <w:sz w:val="24"/>
        </w:rPr>
        <w:t>non-credible </w:t>
      </w:r>
      <w:r>
        <w:rPr>
          <w:i/>
          <w:sz w:val="24"/>
        </w:rPr>
        <w:t>contingency event </w:t>
      </w:r>
      <w:r>
        <w:rPr>
          <w:sz w:val="24"/>
        </w:rPr>
        <w:t>as a </w:t>
      </w:r>
      <w:r>
        <w:rPr>
          <w:i/>
          <w:sz w:val="24"/>
        </w:rPr>
        <w:t>protected event</w:t>
      </w:r>
      <w:r>
        <w:rPr>
          <w:sz w:val="24"/>
        </w:rPr>
        <w:t>, the report under this clause must include the proposed timetable for submission of a request to the </w:t>
      </w:r>
      <w:r>
        <w:rPr>
          <w:i/>
          <w:sz w:val="24"/>
        </w:rPr>
        <w:t>Reliability </w:t>
      </w:r>
      <w:r>
        <w:rPr>
          <w:i/>
          <w:sz w:val="24"/>
        </w:rPr>
        <w:t>Panel </w:t>
      </w:r>
      <w:r>
        <w:rPr>
          <w:sz w:val="24"/>
        </w:rPr>
        <w:t>under clause 5.20A.4 or clause 5.20A.5 (as</w:t>
      </w:r>
      <w:r>
        <w:rPr>
          <w:spacing w:val="-1"/>
          <w:sz w:val="24"/>
        </w:rPr>
        <w:t> </w:t>
      </w:r>
      <w:r>
        <w:rPr>
          <w:sz w:val="24"/>
        </w:rPr>
        <w:t>applicable).</w:t>
      </w:r>
    </w:p>
    <w:p>
      <w:pPr>
        <w:pStyle w:val="BodyText"/>
        <w:spacing w:before="10"/>
        <w:ind w:firstLine="0"/>
        <w:jc w:val="left"/>
        <w:rPr>
          <w:sz w:val="20"/>
        </w:rPr>
      </w:pPr>
    </w:p>
    <w:p>
      <w:pPr>
        <w:pStyle w:val="Heading4"/>
        <w:numPr>
          <w:ilvl w:val="1"/>
          <w:numId w:val="247"/>
        </w:numPr>
        <w:tabs>
          <w:tab w:pos="686" w:val="left" w:leader="none"/>
          <w:tab w:pos="1351" w:val="left" w:leader="none"/>
        </w:tabs>
        <w:spacing w:line="240" w:lineRule="auto" w:before="0" w:after="0"/>
        <w:ind w:left="686" w:right="0" w:hanging="468"/>
        <w:jc w:val="left"/>
      </w:pPr>
      <w:bookmarkStart w:name="5.20A.4 Request for protected event decl" w:id="852"/>
      <w:bookmarkEnd w:id="852"/>
      <w:r>
        <w:rPr>
          <w:b w:val="0"/>
        </w:rPr>
      </w:r>
      <w:bookmarkStart w:name="_bookmark325" w:id="853"/>
      <w:bookmarkEnd w:id="853"/>
      <w:r>
        <w:rPr>
          <w:b w:val="0"/>
        </w:rPr>
      </w:r>
      <w:bookmarkStart w:name="_bookmark325" w:id="854"/>
      <w:bookmarkEnd w:id="854"/>
      <w:r>
        <w:rPr/>
        <w:t>A.</w:t>
      </w:r>
      <w:r>
        <w:rPr/>
        <w:t>4</w:t>
        <w:tab/>
        <w:t>Request for protected event</w:t>
      </w:r>
      <w:r>
        <w:rPr>
          <w:spacing w:val="-3"/>
        </w:rPr>
        <w:t> </w:t>
      </w:r>
      <w:r>
        <w:rPr/>
        <w:t>declaration</w:t>
      </w:r>
    </w:p>
    <w:p>
      <w:pPr>
        <w:pStyle w:val="ListParagraph"/>
        <w:numPr>
          <w:ilvl w:val="2"/>
          <w:numId w:val="247"/>
        </w:numPr>
        <w:tabs>
          <w:tab w:pos="1919" w:val="left" w:leader="none"/>
        </w:tabs>
        <w:spacing w:line="240" w:lineRule="auto" w:before="120" w:after="0"/>
        <w:ind w:left="1919" w:right="414" w:hanging="567"/>
        <w:jc w:val="both"/>
        <w:rPr>
          <w:sz w:val="24"/>
        </w:rPr>
      </w:pPr>
      <w:r>
        <w:rPr>
          <w:i/>
          <w:sz w:val="24"/>
        </w:rPr>
        <w:t>AEMO </w:t>
      </w:r>
      <w:r>
        <w:rPr>
          <w:sz w:val="24"/>
        </w:rPr>
        <w:t>must develop and submit to the </w:t>
      </w:r>
      <w:r>
        <w:rPr>
          <w:i/>
          <w:sz w:val="24"/>
        </w:rPr>
        <w:t>Reliability Panel </w:t>
      </w:r>
      <w:r>
        <w:rPr>
          <w:sz w:val="24"/>
        </w:rPr>
        <w:t>a request for declaration of a </w:t>
      </w:r>
      <w:r>
        <w:rPr>
          <w:i/>
          <w:sz w:val="24"/>
        </w:rPr>
        <w:t>non-credible contingency event </w:t>
      </w:r>
      <w:r>
        <w:rPr>
          <w:sz w:val="24"/>
        </w:rPr>
        <w:t>as a </w:t>
      </w:r>
      <w:r>
        <w:rPr>
          <w:i/>
          <w:sz w:val="24"/>
        </w:rPr>
        <w:t>protected event </w:t>
      </w:r>
      <w:r>
        <w:rPr>
          <w:sz w:val="24"/>
        </w:rPr>
        <w:t>in accordance with the recommendations of a </w:t>
      </w:r>
      <w:r>
        <w:rPr>
          <w:i/>
          <w:sz w:val="24"/>
        </w:rPr>
        <w:t>power system frequency risk </w:t>
      </w:r>
      <w:r>
        <w:rPr>
          <w:i/>
          <w:sz w:val="24"/>
        </w:rPr>
        <w:t>review </w:t>
      </w:r>
      <w:r>
        <w:rPr>
          <w:sz w:val="24"/>
        </w:rPr>
        <w:t>and taking into account any guidelines issued by the </w:t>
      </w:r>
      <w:r>
        <w:rPr>
          <w:i/>
          <w:sz w:val="24"/>
        </w:rPr>
        <w:t>Reliability </w:t>
      </w:r>
      <w:r>
        <w:rPr>
          <w:i/>
          <w:sz w:val="24"/>
        </w:rPr>
        <w:t>Panel </w:t>
      </w:r>
      <w:r>
        <w:rPr>
          <w:sz w:val="24"/>
        </w:rPr>
        <w:t>under clause 8.8.1(a)(2d) as to the timing and content of requests under this</w:t>
      </w:r>
      <w:r>
        <w:rPr>
          <w:spacing w:val="-1"/>
          <w:sz w:val="24"/>
        </w:rPr>
        <w:t> </w:t>
      </w:r>
      <w:r>
        <w:rPr>
          <w:sz w:val="24"/>
        </w:rPr>
        <w:t>clause.</w:t>
      </w:r>
    </w:p>
    <w:p>
      <w:pPr>
        <w:pStyle w:val="ListParagraph"/>
        <w:numPr>
          <w:ilvl w:val="2"/>
          <w:numId w:val="247"/>
        </w:numPr>
        <w:tabs>
          <w:tab w:pos="1919" w:val="left" w:leader="none"/>
        </w:tabs>
        <w:spacing w:line="240" w:lineRule="auto" w:before="120" w:after="0"/>
        <w:ind w:left="1918" w:right="0" w:hanging="567"/>
        <w:jc w:val="both"/>
        <w:rPr>
          <w:sz w:val="24"/>
        </w:rPr>
      </w:pPr>
      <w:r>
        <w:rPr>
          <w:sz w:val="24"/>
        </w:rPr>
        <w:t>A request under this clause must</w:t>
      </w:r>
      <w:r>
        <w:rPr>
          <w:spacing w:val="-3"/>
          <w:sz w:val="24"/>
        </w:rPr>
        <w:t> </w:t>
      </w:r>
      <w:r>
        <w:rPr>
          <w:sz w:val="24"/>
        </w:rPr>
        <w:t>include:</w:t>
      </w:r>
    </w:p>
    <w:p>
      <w:pPr>
        <w:pStyle w:val="ListParagraph"/>
        <w:numPr>
          <w:ilvl w:val="3"/>
          <w:numId w:val="247"/>
        </w:numPr>
        <w:tabs>
          <w:tab w:pos="2486" w:val="left" w:leader="none"/>
        </w:tabs>
        <w:spacing w:line="240" w:lineRule="auto" w:before="120" w:after="0"/>
        <w:ind w:left="2486" w:right="414" w:hanging="567"/>
        <w:jc w:val="both"/>
        <w:rPr>
          <w:sz w:val="24"/>
        </w:rPr>
      </w:pPr>
      <w:r>
        <w:rPr>
          <w:sz w:val="24"/>
        </w:rPr>
        <w:t>information explaining the nature and likelihood of the </w:t>
      </w:r>
      <w:r>
        <w:rPr>
          <w:i/>
          <w:sz w:val="24"/>
        </w:rPr>
        <w:t>non-credible </w:t>
      </w:r>
      <w:r>
        <w:rPr>
          <w:i/>
          <w:sz w:val="24"/>
        </w:rPr>
        <w:t>contingency event </w:t>
      </w:r>
      <w:r>
        <w:rPr>
          <w:sz w:val="24"/>
        </w:rPr>
        <w:t>and the consequences for the </w:t>
      </w:r>
      <w:r>
        <w:rPr>
          <w:i/>
          <w:sz w:val="24"/>
        </w:rPr>
        <w:t>power system </w:t>
      </w:r>
      <w:r>
        <w:rPr>
          <w:sz w:val="24"/>
        </w:rPr>
        <w:t>if the event were to occur including </w:t>
      </w:r>
      <w:r>
        <w:rPr>
          <w:i/>
          <w:sz w:val="24"/>
        </w:rPr>
        <w:t>AEMO's </w:t>
      </w:r>
      <w:r>
        <w:rPr>
          <w:sz w:val="24"/>
        </w:rPr>
        <w:t>estimate of </w:t>
      </w:r>
      <w:r>
        <w:rPr>
          <w:i/>
          <w:sz w:val="24"/>
        </w:rPr>
        <w:t>unserved</w:t>
      </w:r>
      <w:r>
        <w:rPr>
          <w:i/>
          <w:spacing w:val="-5"/>
          <w:sz w:val="24"/>
        </w:rPr>
        <w:t> </w:t>
      </w:r>
      <w:r>
        <w:rPr>
          <w:i/>
          <w:sz w:val="24"/>
        </w:rPr>
        <w:t>energy</w:t>
      </w:r>
      <w:r>
        <w:rPr>
          <w:sz w:val="24"/>
        </w:rPr>
        <w:t>;</w:t>
      </w:r>
    </w:p>
    <w:p>
      <w:pPr>
        <w:pStyle w:val="ListParagraph"/>
        <w:numPr>
          <w:ilvl w:val="3"/>
          <w:numId w:val="247"/>
        </w:numPr>
        <w:tabs>
          <w:tab w:pos="2486" w:val="left" w:leader="none"/>
        </w:tabs>
        <w:spacing w:line="240" w:lineRule="auto" w:before="120" w:after="0"/>
        <w:ind w:left="2486" w:right="415" w:hanging="567"/>
        <w:jc w:val="both"/>
        <w:rPr>
          <w:sz w:val="24"/>
        </w:rPr>
      </w:pPr>
      <w:r>
        <w:rPr>
          <w:sz w:val="24"/>
        </w:rPr>
        <w:t>options for managing the </w:t>
      </w:r>
      <w:r>
        <w:rPr>
          <w:i/>
          <w:sz w:val="24"/>
        </w:rPr>
        <w:t>non-credible contingency event </w:t>
      </w:r>
      <w:r>
        <w:rPr>
          <w:sz w:val="24"/>
        </w:rPr>
        <w:t>as </w:t>
      </w:r>
      <w:r>
        <w:rPr>
          <w:spacing w:val="-14"/>
          <w:sz w:val="24"/>
        </w:rPr>
        <w:t>a </w:t>
      </w:r>
      <w:r>
        <w:rPr>
          <w:i/>
          <w:sz w:val="24"/>
        </w:rPr>
        <w:t>protected event</w:t>
      </w:r>
      <w:r>
        <w:rPr>
          <w:sz w:val="24"/>
        </w:rPr>
        <w:t>, </w:t>
      </w:r>
      <w:r>
        <w:rPr>
          <w:i/>
          <w:sz w:val="24"/>
        </w:rPr>
        <w:t>AEMO's </w:t>
      </w:r>
      <w:r>
        <w:rPr>
          <w:sz w:val="24"/>
        </w:rPr>
        <w:t>recommended option or range of options </w:t>
      </w:r>
      <w:r>
        <w:rPr>
          <w:spacing w:val="-5"/>
          <w:sz w:val="24"/>
        </w:rPr>
        <w:t>and </w:t>
      </w:r>
      <w:r>
        <w:rPr>
          <w:sz w:val="24"/>
        </w:rPr>
        <w:t>the rationale for the</w:t>
      </w:r>
      <w:r>
        <w:rPr>
          <w:spacing w:val="-2"/>
          <w:sz w:val="24"/>
        </w:rPr>
        <w:t> </w:t>
      </w:r>
      <w:r>
        <w:rPr>
          <w:sz w:val="24"/>
        </w:rPr>
        <w:t>recommendation;</w:t>
      </w:r>
    </w:p>
    <w:p>
      <w:pPr>
        <w:pStyle w:val="ListParagraph"/>
        <w:numPr>
          <w:ilvl w:val="3"/>
          <w:numId w:val="247"/>
        </w:numPr>
        <w:tabs>
          <w:tab w:pos="2486" w:val="left" w:leader="none"/>
        </w:tabs>
        <w:spacing w:line="240" w:lineRule="auto" w:before="120" w:after="0"/>
        <w:ind w:left="2486" w:right="414" w:hanging="567"/>
        <w:jc w:val="both"/>
        <w:rPr>
          <w:sz w:val="24"/>
        </w:rPr>
      </w:pPr>
      <w:r>
        <w:rPr>
          <w:sz w:val="24"/>
        </w:rPr>
        <w:t>for each recommended option under subparagraph (2), </w:t>
      </w:r>
      <w:r>
        <w:rPr>
          <w:i/>
          <w:spacing w:val="-3"/>
          <w:sz w:val="24"/>
        </w:rPr>
        <w:t>AEMO</w:t>
      </w:r>
      <w:r>
        <w:rPr>
          <w:spacing w:val="-3"/>
          <w:sz w:val="24"/>
        </w:rPr>
        <w:t>'s </w:t>
      </w:r>
      <w:r>
        <w:rPr>
          <w:sz w:val="24"/>
        </w:rPr>
        <w:t>estimate of the additional costs to operate the </w:t>
      </w:r>
      <w:r>
        <w:rPr>
          <w:i/>
          <w:sz w:val="24"/>
        </w:rPr>
        <w:t>power system </w:t>
      </w:r>
      <w:r>
        <w:rPr>
          <w:sz w:val="24"/>
        </w:rPr>
        <w:t>in accordance with the </w:t>
      </w:r>
      <w:r>
        <w:rPr>
          <w:i/>
          <w:sz w:val="24"/>
        </w:rPr>
        <w:t>power system </w:t>
      </w:r>
      <w:r>
        <w:rPr>
          <w:sz w:val="24"/>
        </w:rPr>
        <w:t>security principles in clause 4.2.6</w:t>
      </w:r>
      <w:r>
        <w:rPr>
          <w:spacing w:val="22"/>
          <w:sz w:val="24"/>
        </w:rPr>
        <w:t> </w:t>
      </w:r>
      <w:r>
        <w:rPr>
          <w:sz w:val="24"/>
        </w:rPr>
        <w:t>if</w:t>
      </w:r>
    </w:p>
    <w:p>
      <w:pPr>
        <w:spacing w:after="0" w:line="240" w:lineRule="auto"/>
        <w:jc w:val="both"/>
        <w:rPr>
          <w:sz w:val="24"/>
        </w:rPr>
        <w:sectPr>
          <w:pgSz w:w="11910" w:h="16840"/>
          <w:pgMar w:header="686" w:footer="637" w:top="1320" w:bottom="820" w:left="1200" w:right="1000"/>
        </w:sectPr>
      </w:pPr>
    </w:p>
    <w:p>
      <w:pPr>
        <w:pStyle w:val="BodyText"/>
        <w:spacing w:before="83"/>
        <w:ind w:left="2486" w:right="415" w:firstLine="0"/>
      </w:pPr>
      <w:r>
        <w:rPr/>
        <w:t>the event is declared to be a </w:t>
      </w:r>
      <w:r>
        <w:rPr>
          <w:i/>
        </w:rPr>
        <w:t>protected event </w:t>
      </w:r>
      <w:r>
        <w:rPr/>
        <w:t>including a description of the mechanisms that may be used;</w:t>
      </w:r>
    </w:p>
    <w:p>
      <w:pPr>
        <w:pStyle w:val="ListParagraph"/>
        <w:numPr>
          <w:ilvl w:val="3"/>
          <w:numId w:val="247"/>
        </w:numPr>
        <w:tabs>
          <w:tab w:pos="2486" w:val="left" w:leader="none"/>
        </w:tabs>
        <w:spacing w:line="240" w:lineRule="auto" w:before="120" w:after="0"/>
        <w:ind w:left="2486" w:right="414" w:hanging="567"/>
        <w:jc w:val="both"/>
        <w:rPr>
          <w:sz w:val="24"/>
        </w:rPr>
      </w:pPr>
      <w:r>
        <w:rPr>
          <w:sz w:val="24"/>
        </w:rPr>
        <w:t>where a recommended option for managing the </w:t>
      </w:r>
      <w:r>
        <w:rPr>
          <w:i/>
          <w:sz w:val="24"/>
        </w:rPr>
        <w:t>non-credible </w:t>
      </w:r>
      <w:r>
        <w:rPr>
          <w:i/>
          <w:sz w:val="24"/>
        </w:rPr>
        <w:t>contingency event </w:t>
      </w:r>
      <w:r>
        <w:rPr>
          <w:sz w:val="24"/>
        </w:rPr>
        <w:t>includes a new or modified </w:t>
      </w:r>
      <w:r>
        <w:rPr>
          <w:i/>
          <w:sz w:val="24"/>
        </w:rPr>
        <w:t>emergency frequency </w:t>
      </w:r>
      <w:r>
        <w:rPr>
          <w:i/>
          <w:sz w:val="24"/>
        </w:rPr>
        <w:t>control</w:t>
      </w:r>
      <w:r>
        <w:rPr>
          <w:i/>
          <w:spacing w:val="-1"/>
          <w:sz w:val="24"/>
        </w:rPr>
        <w:t> </w:t>
      </w:r>
      <w:r>
        <w:rPr>
          <w:i/>
          <w:sz w:val="24"/>
        </w:rPr>
        <w:t>scheme</w:t>
      </w:r>
      <w:r>
        <w:rPr>
          <w:sz w:val="24"/>
        </w:rPr>
        <w:t>:</w:t>
      </w:r>
    </w:p>
    <w:p>
      <w:pPr>
        <w:pStyle w:val="ListParagraph"/>
        <w:numPr>
          <w:ilvl w:val="4"/>
          <w:numId w:val="247"/>
        </w:numPr>
        <w:tabs>
          <w:tab w:pos="3053" w:val="left" w:leader="none"/>
        </w:tabs>
        <w:spacing w:line="240" w:lineRule="auto" w:before="120" w:after="0"/>
        <w:ind w:left="3053" w:right="414" w:hanging="567"/>
        <w:jc w:val="both"/>
        <w:rPr>
          <w:sz w:val="24"/>
        </w:rPr>
      </w:pPr>
      <w:r>
        <w:rPr>
          <w:sz w:val="24"/>
        </w:rPr>
        <w:t>the </w:t>
      </w:r>
      <w:r>
        <w:rPr>
          <w:i/>
          <w:sz w:val="24"/>
        </w:rPr>
        <w:t>target capabilities </w:t>
      </w:r>
      <w:r>
        <w:rPr>
          <w:sz w:val="24"/>
        </w:rPr>
        <w:t>proposed to be included in the </w:t>
      </w:r>
      <w:r>
        <w:rPr>
          <w:i/>
          <w:sz w:val="24"/>
        </w:rPr>
        <w:t>protected </w:t>
      </w:r>
      <w:r>
        <w:rPr>
          <w:i/>
          <w:sz w:val="24"/>
        </w:rPr>
        <w:t>event EFCS standard </w:t>
      </w:r>
      <w:r>
        <w:rPr>
          <w:sz w:val="24"/>
        </w:rPr>
        <w:t>for the scheme, the rationale for the proposed </w:t>
      </w:r>
      <w:r>
        <w:rPr>
          <w:i/>
          <w:sz w:val="24"/>
        </w:rPr>
        <w:t>target capabilities </w:t>
      </w:r>
      <w:r>
        <w:rPr>
          <w:sz w:val="24"/>
        </w:rPr>
        <w:t>and the corresponding </w:t>
      </w:r>
      <w:r>
        <w:rPr>
          <w:spacing w:val="-3"/>
          <w:sz w:val="24"/>
        </w:rPr>
        <w:t>expected </w:t>
      </w:r>
      <w:r>
        <w:rPr>
          <w:i/>
          <w:sz w:val="24"/>
        </w:rPr>
        <w:t>power system security </w:t>
      </w:r>
      <w:r>
        <w:rPr>
          <w:sz w:val="24"/>
        </w:rPr>
        <w:t>outcomes including </w:t>
      </w:r>
      <w:r>
        <w:rPr>
          <w:i/>
          <w:sz w:val="24"/>
        </w:rPr>
        <w:t>AEMO's </w:t>
      </w:r>
      <w:r>
        <w:rPr>
          <w:sz w:val="24"/>
        </w:rPr>
        <w:t>estimate of </w:t>
      </w:r>
      <w:r>
        <w:rPr>
          <w:i/>
          <w:sz w:val="24"/>
        </w:rPr>
        <w:t>unserved energy </w:t>
      </w:r>
      <w:r>
        <w:rPr>
          <w:sz w:val="24"/>
        </w:rPr>
        <w:t>associated with operation of the scheme;</w:t>
      </w:r>
      <w:r>
        <w:rPr>
          <w:spacing w:val="-10"/>
          <w:sz w:val="24"/>
        </w:rPr>
        <w:t> </w:t>
      </w:r>
      <w:r>
        <w:rPr>
          <w:sz w:val="24"/>
        </w:rPr>
        <w:t>and</w:t>
      </w:r>
    </w:p>
    <w:p>
      <w:pPr>
        <w:pStyle w:val="ListParagraph"/>
        <w:numPr>
          <w:ilvl w:val="4"/>
          <w:numId w:val="247"/>
        </w:numPr>
        <w:tabs>
          <w:tab w:pos="3054" w:val="left" w:leader="none"/>
        </w:tabs>
        <w:spacing w:line="240" w:lineRule="auto" w:before="120" w:after="0"/>
        <w:ind w:left="3053" w:right="414" w:hanging="567"/>
        <w:jc w:val="both"/>
        <w:rPr>
          <w:sz w:val="24"/>
        </w:rPr>
      </w:pPr>
      <w:r>
        <w:rPr>
          <w:i/>
          <w:sz w:val="24"/>
        </w:rPr>
        <w:t>AEMO's </w:t>
      </w:r>
      <w:r>
        <w:rPr>
          <w:sz w:val="24"/>
        </w:rPr>
        <w:t>estimate of the costs to procure and commission the scheme and maintain its availability and performance, including upfront costs and ongoing maintenance</w:t>
      </w:r>
      <w:r>
        <w:rPr>
          <w:spacing w:val="-1"/>
          <w:sz w:val="24"/>
        </w:rPr>
        <w:t> </w:t>
      </w:r>
      <w:r>
        <w:rPr>
          <w:sz w:val="24"/>
        </w:rPr>
        <w:t>costs;</w:t>
      </w:r>
    </w:p>
    <w:p>
      <w:pPr>
        <w:pStyle w:val="ListParagraph"/>
        <w:numPr>
          <w:ilvl w:val="3"/>
          <w:numId w:val="247"/>
        </w:numPr>
        <w:tabs>
          <w:tab w:pos="2486" w:val="left" w:leader="none"/>
        </w:tabs>
        <w:spacing w:line="240" w:lineRule="auto" w:before="120" w:after="0"/>
        <w:ind w:left="2486" w:right="415" w:hanging="567"/>
        <w:jc w:val="both"/>
        <w:rPr>
          <w:sz w:val="24"/>
        </w:rPr>
      </w:pPr>
      <w:r>
        <w:rPr>
          <w:i/>
          <w:sz w:val="24"/>
        </w:rPr>
        <w:t>AEMO's </w:t>
      </w:r>
      <w:r>
        <w:rPr>
          <w:sz w:val="24"/>
        </w:rPr>
        <w:t>proposals for other matters that may be determined by </w:t>
      </w:r>
      <w:r>
        <w:rPr>
          <w:spacing w:val="-5"/>
          <w:sz w:val="24"/>
        </w:rPr>
        <w:t>the </w:t>
      </w:r>
      <w:r>
        <w:rPr>
          <w:i/>
          <w:sz w:val="24"/>
        </w:rPr>
        <w:t>Reliability Panel </w:t>
      </w:r>
      <w:r>
        <w:rPr>
          <w:sz w:val="24"/>
        </w:rPr>
        <w:t>under clause 8.8.4 in connection with the request; and</w:t>
      </w:r>
    </w:p>
    <w:p>
      <w:pPr>
        <w:pStyle w:val="ListParagraph"/>
        <w:numPr>
          <w:ilvl w:val="3"/>
          <w:numId w:val="247"/>
        </w:numPr>
        <w:tabs>
          <w:tab w:pos="2486" w:val="left" w:leader="none"/>
        </w:tabs>
        <w:spacing w:line="240" w:lineRule="auto" w:before="120" w:after="0"/>
        <w:ind w:left="2485" w:right="0" w:hanging="567"/>
        <w:jc w:val="both"/>
        <w:rPr>
          <w:sz w:val="24"/>
        </w:rPr>
      </w:pPr>
      <w:r>
        <w:rPr>
          <w:sz w:val="24"/>
        </w:rPr>
        <w:t>other</w:t>
      </w:r>
      <w:r>
        <w:rPr>
          <w:spacing w:val="17"/>
          <w:sz w:val="24"/>
        </w:rPr>
        <w:t> </w:t>
      </w:r>
      <w:r>
        <w:rPr>
          <w:sz w:val="24"/>
        </w:rPr>
        <w:t>information</w:t>
      </w:r>
      <w:r>
        <w:rPr>
          <w:spacing w:val="18"/>
          <w:sz w:val="24"/>
        </w:rPr>
        <w:t> </w:t>
      </w:r>
      <w:r>
        <w:rPr>
          <w:i/>
          <w:sz w:val="24"/>
        </w:rPr>
        <w:t>AEMO</w:t>
      </w:r>
      <w:r>
        <w:rPr>
          <w:i/>
          <w:spacing w:val="19"/>
          <w:sz w:val="24"/>
        </w:rPr>
        <w:t> </w:t>
      </w:r>
      <w:r>
        <w:rPr>
          <w:sz w:val="24"/>
        </w:rPr>
        <w:t>considers</w:t>
      </w:r>
      <w:r>
        <w:rPr>
          <w:spacing w:val="18"/>
          <w:sz w:val="24"/>
        </w:rPr>
        <w:t> </w:t>
      </w:r>
      <w:r>
        <w:rPr>
          <w:sz w:val="24"/>
        </w:rPr>
        <w:t>reasonably</w:t>
      </w:r>
      <w:r>
        <w:rPr>
          <w:spacing w:val="18"/>
          <w:sz w:val="24"/>
        </w:rPr>
        <w:t> </w:t>
      </w:r>
      <w:r>
        <w:rPr>
          <w:sz w:val="24"/>
        </w:rPr>
        <w:t>necessary</w:t>
      </w:r>
      <w:r>
        <w:rPr>
          <w:spacing w:val="17"/>
          <w:sz w:val="24"/>
        </w:rPr>
        <w:t> </w:t>
      </w:r>
      <w:r>
        <w:rPr>
          <w:sz w:val="24"/>
        </w:rPr>
        <w:t>to</w:t>
      </w:r>
      <w:r>
        <w:rPr>
          <w:spacing w:val="18"/>
          <w:sz w:val="24"/>
        </w:rPr>
        <w:t> </w:t>
      </w:r>
      <w:r>
        <w:rPr>
          <w:sz w:val="24"/>
        </w:rPr>
        <w:t>assist</w:t>
      </w:r>
      <w:r>
        <w:rPr>
          <w:spacing w:val="18"/>
          <w:sz w:val="24"/>
        </w:rPr>
        <w:t> </w:t>
      </w:r>
      <w:r>
        <w:rPr>
          <w:sz w:val="24"/>
        </w:rPr>
        <w:t>the</w:t>
      </w:r>
    </w:p>
    <w:p>
      <w:pPr>
        <w:spacing w:before="0"/>
        <w:ind w:left="2486" w:right="0" w:firstLine="0"/>
        <w:jc w:val="both"/>
        <w:rPr>
          <w:sz w:val="24"/>
        </w:rPr>
      </w:pPr>
      <w:r>
        <w:rPr>
          <w:i/>
          <w:sz w:val="24"/>
        </w:rPr>
        <w:t>Reliability Panel </w:t>
      </w:r>
      <w:r>
        <w:rPr>
          <w:sz w:val="24"/>
        </w:rPr>
        <w:t>to consider the request.</w:t>
      </w:r>
    </w:p>
    <w:p>
      <w:pPr>
        <w:pStyle w:val="BodyText"/>
        <w:spacing w:before="10"/>
        <w:ind w:firstLine="0"/>
        <w:jc w:val="left"/>
        <w:rPr>
          <w:sz w:val="20"/>
        </w:rPr>
      </w:pPr>
    </w:p>
    <w:p>
      <w:pPr>
        <w:pStyle w:val="Heading4"/>
        <w:numPr>
          <w:ilvl w:val="1"/>
          <w:numId w:val="248"/>
        </w:numPr>
        <w:tabs>
          <w:tab w:pos="686" w:val="left" w:leader="none"/>
          <w:tab w:pos="1351" w:val="left" w:leader="none"/>
        </w:tabs>
        <w:spacing w:line="240" w:lineRule="auto" w:before="0" w:after="0"/>
        <w:ind w:left="686" w:right="0" w:hanging="468"/>
        <w:jc w:val="left"/>
      </w:pPr>
      <w:bookmarkStart w:name="5.20A.5 Request to revoke a protected ev" w:id="855"/>
      <w:bookmarkEnd w:id="855"/>
      <w:r>
        <w:rPr>
          <w:b w:val="0"/>
        </w:rPr>
      </w:r>
      <w:bookmarkStart w:name="_bookmark326" w:id="856"/>
      <w:bookmarkEnd w:id="856"/>
      <w:r>
        <w:rPr>
          <w:b w:val="0"/>
        </w:rPr>
      </w:r>
      <w:bookmarkStart w:name="_bookmark326" w:id="857"/>
      <w:bookmarkEnd w:id="857"/>
      <w:r>
        <w:rPr/>
        <w:t>A.</w:t>
      </w:r>
      <w:r>
        <w:rPr/>
        <w:t>5</w:t>
        <w:tab/>
        <w:t>Request to revoke a protected event</w:t>
      </w:r>
      <w:r>
        <w:rPr>
          <w:spacing w:val="-8"/>
        </w:rPr>
        <w:t> </w:t>
      </w:r>
      <w:r>
        <w:rPr/>
        <w:t>declaration</w:t>
      </w:r>
    </w:p>
    <w:p>
      <w:pPr>
        <w:pStyle w:val="ListParagraph"/>
        <w:numPr>
          <w:ilvl w:val="2"/>
          <w:numId w:val="248"/>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recommends in a </w:t>
      </w:r>
      <w:r>
        <w:rPr>
          <w:i/>
          <w:sz w:val="24"/>
        </w:rPr>
        <w:t>power system frequency risk review </w:t>
      </w:r>
      <w:r>
        <w:rPr>
          <w:sz w:val="24"/>
        </w:rPr>
        <w:t>that a </w:t>
      </w:r>
      <w:r>
        <w:rPr>
          <w:i/>
          <w:sz w:val="24"/>
        </w:rPr>
        <w:t>non- </w:t>
      </w:r>
      <w:r>
        <w:rPr>
          <w:i/>
          <w:sz w:val="24"/>
        </w:rPr>
        <w:t>credible contingency event </w:t>
      </w:r>
      <w:r>
        <w:rPr>
          <w:sz w:val="24"/>
        </w:rPr>
        <w:t>should no longer be managed as a </w:t>
      </w:r>
      <w:r>
        <w:rPr>
          <w:i/>
          <w:sz w:val="24"/>
        </w:rPr>
        <w:t>protected </w:t>
      </w:r>
      <w:r>
        <w:rPr>
          <w:i/>
          <w:sz w:val="24"/>
        </w:rPr>
        <w:t>event</w:t>
      </w:r>
      <w:r>
        <w:rPr>
          <w:sz w:val="24"/>
        </w:rPr>
        <w:t>, </w:t>
      </w:r>
      <w:r>
        <w:rPr>
          <w:i/>
          <w:sz w:val="24"/>
        </w:rPr>
        <w:t>AEMO </w:t>
      </w:r>
      <w:r>
        <w:rPr>
          <w:sz w:val="24"/>
        </w:rPr>
        <w:t>must submit to the </w:t>
      </w:r>
      <w:r>
        <w:rPr>
          <w:i/>
          <w:sz w:val="24"/>
        </w:rPr>
        <w:t>Reliability Panel </w:t>
      </w:r>
      <w:r>
        <w:rPr>
          <w:sz w:val="24"/>
        </w:rPr>
        <w:t>a request to revoke the declaration of a </w:t>
      </w:r>
      <w:r>
        <w:rPr>
          <w:i/>
          <w:sz w:val="24"/>
        </w:rPr>
        <w:t>non-credible contingency event </w:t>
      </w:r>
      <w:r>
        <w:rPr>
          <w:sz w:val="24"/>
        </w:rPr>
        <w:t>as a </w:t>
      </w:r>
      <w:r>
        <w:rPr>
          <w:i/>
          <w:sz w:val="24"/>
        </w:rPr>
        <w:t>protected event </w:t>
      </w:r>
      <w:r>
        <w:rPr>
          <w:sz w:val="24"/>
        </w:rPr>
        <w:t>in accordance with the recommendations of the </w:t>
      </w:r>
      <w:r>
        <w:rPr>
          <w:i/>
          <w:sz w:val="24"/>
        </w:rPr>
        <w:t>power system frequency risk </w:t>
      </w:r>
      <w:r>
        <w:rPr>
          <w:i/>
          <w:sz w:val="24"/>
        </w:rPr>
        <w:t>review</w:t>
      </w:r>
      <w:r>
        <w:rPr>
          <w:sz w:val="24"/>
        </w:rPr>
        <w:t>.</w:t>
      </w:r>
    </w:p>
    <w:p>
      <w:pPr>
        <w:pStyle w:val="ListParagraph"/>
        <w:numPr>
          <w:ilvl w:val="2"/>
          <w:numId w:val="248"/>
        </w:numPr>
        <w:tabs>
          <w:tab w:pos="1919" w:val="left" w:leader="none"/>
        </w:tabs>
        <w:spacing w:line="240" w:lineRule="auto" w:before="120" w:after="0"/>
        <w:ind w:left="1918" w:right="0" w:hanging="567"/>
        <w:jc w:val="both"/>
        <w:rPr>
          <w:sz w:val="24"/>
        </w:rPr>
      </w:pPr>
      <w:r>
        <w:rPr>
          <w:sz w:val="24"/>
        </w:rPr>
        <w:t>A request under this clause must</w:t>
      </w:r>
      <w:r>
        <w:rPr>
          <w:spacing w:val="-3"/>
          <w:sz w:val="24"/>
        </w:rPr>
        <w:t> </w:t>
      </w:r>
      <w:r>
        <w:rPr>
          <w:sz w:val="24"/>
        </w:rPr>
        <w:t>include:</w:t>
      </w:r>
    </w:p>
    <w:p>
      <w:pPr>
        <w:pStyle w:val="ListParagraph"/>
        <w:numPr>
          <w:ilvl w:val="3"/>
          <w:numId w:val="248"/>
        </w:numPr>
        <w:tabs>
          <w:tab w:pos="2486" w:val="left" w:leader="none"/>
        </w:tabs>
        <w:spacing w:line="240" w:lineRule="auto" w:before="120" w:after="0"/>
        <w:ind w:left="2486" w:right="415" w:hanging="567"/>
        <w:jc w:val="both"/>
        <w:rPr>
          <w:sz w:val="24"/>
        </w:rPr>
      </w:pPr>
      <w:r>
        <w:rPr>
          <w:sz w:val="24"/>
        </w:rPr>
        <w:t>information explaining the nature of the </w:t>
      </w:r>
      <w:r>
        <w:rPr>
          <w:i/>
          <w:sz w:val="24"/>
        </w:rPr>
        <w:t>non-credible contingency </w:t>
      </w:r>
      <w:r>
        <w:rPr>
          <w:i/>
          <w:sz w:val="24"/>
        </w:rPr>
        <w:t>event </w:t>
      </w:r>
      <w:r>
        <w:rPr>
          <w:sz w:val="24"/>
        </w:rPr>
        <w:t>and the consequences for the </w:t>
      </w:r>
      <w:r>
        <w:rPr>
          <w:i/>
          <w:sz w:val="24"/>
        </w:rPr>
        <w:t>power system </w:t>
      </w:r>
      <w:r>
        <w:rPr>
          <w:sz w:val="24"/>
        </w:rPr>
        <w:t>if the event were to cease to be managed as a </w:t>
      </w:r>
      <w:r>
        <w:rPr>
          <w:i/>
          <w:sz w:val="24"/>
        </w:rPr>
        <w:t>protected event</w:t>
      </w:r>
      <w:r>
        <w:rPr>
          <w:sz w:val="24"/>
        </w:rPr>
        <w:t>;</w:t>
      </w:r>
      <w:r>
        <w:rPr>
          <w:spacing w:val="-2"/>
          <w:sz w:val="24"/>
        </w:rPr>
        <w:t> </w:t>
      </w:r>
      <w:r>
        <w:rPr>
          <w:sz w:val="24"/>
        </w:rPr>
        <w:t>and</w:t>
      </w:r>
    </w:p>
    <w:p>
      <w:pPr>
        <w:pStyle w:val="ListParagraph"/>
        <w:numPr>
          <w:ilvl w:val="3"/>
          <w:numId w:val="248"/>
        </w:numPr>
        <w:tabs>
          <w:tab w:pos="2486" w:val="left" w:leader="none"/>
        </w:tabs>
        <w:spacing w:line="240" w:lineRule="auto" w:before="120" w:after="0"/>
        <w:ind w:left="2485" w:right="0" w:hanging="567"/>
        <w:jc w:val="both"/>
        <w:rPr>
          <w:sz w:val="24"/>
        </w:rPr>
      </w:pPr>
      <w:r>
        <w:rPr>
          <w:sz w:val="24"/>
        </w:rPr>
        <w:t>other</w:t>
      </w:r>
      <w:r>
        <w:rPr>
          <w:spacing w:val="17"/>
          <w:sz w:val="24"/>
        </w:rPr>
        <w:t> </w:t>
      </w:r>
      <w:r>
        <w:rPr>
          <w:sz w:val="24"/>
        </w:rPr>
        <w:t>information</w:t>
      </w:r>
      <w:r>
        <w:rPr>
          <w:spacing w:val="18"/>
          <w:sz w:val="24"/>
        </w:rPr>
        <w:t> </w:t>
      </w:r>
      <w:r>
        <w:rPr>
          <w:i/>
          <w:sz w:val="24"/>
        </w:rPr>
        <w:t>AEMO</w:t>
      </w:r>
      <w:r>
        <w:rPr>
          <w:i/>
          <w:spacing w:val="19"/>
          <w:sz w:val="24"/>
        </w:rPr>
        <w:t> </w:t>
      </w:r>
      <w:r>
        <w:rPr>
          <w:sz w:val="24"/>
        </w:rPr>
        <w:t>considers</w:t>
      </w:r>
      <w:r>
        <w:rPr>
          <w:spacing w:val="18"/>
          <w:sz w:val="24"/>
        </w:rPr>
        <w:t> </w:t>
      </w:r>
      <w:r>
        <w:rPr>
          <w:sz w:val="24"/>
        </w:rPr>
        <w:t>reasonably</w:t>
      </w:r>
      <w:r>
        <w:rPr>
          <w:spacing w:val="18"/>
          <w:sz w:val="24"/>
        </w:rPr>
        <w:t> </w:t>
      </w:r>
      <w:r>
        <w:rPr>
          <w:sz w:val="24"/>
        </w:rPr>
        <w:t>necessary</w:t>
      </w:r>
      <w:r>
        <w:rPr>
          <w:spacing w:val="17"/>
          <w:sz w:val="24"/>
        </w:rPr>
        <w:t> </w:t>
      </w:r>
      <w:r>
        <w:rPr>
          <w:sz w:val="24"/>
        </w:rPr>
        <w:t>to</w:t>
      </w:r>
      <w:r>
        <w:rPr>
          <w:spacing w:val="18"/>
          <w:sz w:val="24"/>
        </w:rPr>
        <w:t> </w:t>
      </w:r>
      <w:r>
        <w:rPr>
          <w:sz w:val="24"/>
        </w:rPr>
        <w:t>assist</w:t>
      </w:r>
      <w:r>
        <w:rPr>
          <w:spacing w:val="18"/>
          <w:sz w:val="24"/>
        </w:rPr>
        <w:t> </w:t>
      </w:r>
      <w:r>
        <w:rPr>
          <w:sz w:val="24"/>
        </w:rPr>
        <w:t>the</w:t>
      </w:r>
    </w:p>
    <w:p>
      <w:pPr>
        <w:spacing w:before="0"/>
        <w:ind w:left="2486" w:right="0" w:firstLine="0"/>
        <w:jc w:val="both"/>
        <w:rPr>
          <w:sz w:val="24"/>
        </w:rPr>
      </w:pPr>
      <w:r>
        <w:rPr>
          <w:i/>
          <w:sz w:val="24"/>
        </w:rPr>
        <w:t>Reliability Panel </w:t>
      </w:r>
      <w:r>
        <w:rPr>
          <w:sz w:val="24"/>
        </w:rPr>
        <w:t>to consider the request.</w:t>
      </w:r>
    </w:p>
    <w:p>
      <w:pPr>
        <w:pStyle w:val="BodyText"/>
        <w:spacing w:before="10"/>
        <w:ind w:firstLine="0"/>
        <w:jc w:val="left"/>
        <w:rPr>
          <w:sz w:val="20"/>
        </w:rPr>
      </w:pPr>
    </w:p>
    <w:p>
      <w:pPr>
        <w:pStyle w:val="Heading3"/>
        <w:tabs>
          <w:tab w:pos="1351" w:val="left" w:leader="none"/>
        </w:tabs>
        <w:ind w:left="218" w:firstLine="0"/>
      </w:pPr>
      <w:bookmarkStart w:name="5.20B Inertia sub-networks and requireme" w:id="858"/>
      <w:bookmarkEnd w:id="858"/>
      <w:r>
        <w:rPr>
          <w:b w:val="0"/>
        </w:rPr>
      </w:r>
      <w:bookmarkStart w:name="_bookmark327" w:id="859"/>
      <w:bookmarkEnd w:id="859"/>
      <w:r>
        <w:rPr>
          <w:b w:val="0"/>
        </w:rPr>
      </w:r>
      <w:r>
        <w:rPr/>
        <w:t>5.20B</w:t>
        <w:tab/>
        <w:t>Inertia sub-networks and</w:t>
      </w:r>
      <w:r>
        <w:rPr>
          <w:spacing w:val="-2"/>
        </w:rPr>
        <w:t> </w:t>
      </w:r>
      <w:r>
        <w:rPr/>
        <w:t>requirements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 The application of this rule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numPr>
          <w:ilvl w:val="1"/>
          <w:numId w:val="249"/>
        </w:numPr>
        <w:tabs>
          <w:tab w:pos="686" w:val="left" w:leader="none"/>
          <w:tab w:pos="1351" w:val="left" w:leader="none"/>
        </w:tabs>
        <w:spacing w:line="240" w:lineRule="auto" w:before="0" w:after="0"/>
        <w:ind w:left="686" w:right="0" w:hanging="468"/>
        <w:jc w:val="left"/>
      </w:pPr>
      <w:bookmarkStart w:name="5.20B.1 Boundaries of inertia sub-networ" w:id="860"/>
      <w:bookmarkEnd w:id="860"/>
      <w:r>
        <w:rPr>
          <w:b w:val="0"/>
        </w:rPr>
      </w:r>
      <w:bookmarkStart w:name="_bookmark328" w:id="861"/>
      <w:bookmarkEnd w:id="861"/>
      <w:r>
        <w:rPr>
          <w:b w:val="0"/>
        </w:rPr>
      </w:r>
      <w:bookmarkStart w:name="_bookmark328" w:id="862"/>
      <w:bookmarkEnd w:id="862"/>
      <w:r>
        <w:rPr/>
        <w:t>B.</w:t>
      </w:r>
      <w:r>
        <w:rPr/>
        <w:t>1</w:t>
        <w:tab/>
        <w:t>Boundaries of inertia</w:t>
      </w:r>
      <w:r>
        <w:rPr>
          <w:spacing w:val="-2"/>
        </w:rPr>
        <w:t> </w:t>
      </w:r>
      <w:r>
        <w:rPr/>
        <w:t>sub-networks</w:t>
      </w:r>
    </w:p>
    <w:p>
      <w:pPr>
        <w:pStyle w:val="ListParagraph"/>
        <w:numPr>
          <w:ilvl w:val="2"/>
          <w:numId w:val="249"/>
        </w:numPr>
        <w:tabs>
          <w:tab w:pos="1919" w:val="left" w:leader="none"/>
        </w:tabs>
        <w:spacing w:line="240" w:lineRule="auto" w:before="120" w:after="0"/>
        <w:ind w:left="1919" w:right="415" w:hanging="567"/>
        <w:jc w:val="both"/>
        <w:rPr>
          <w:sz w:val="24"/>
        </w:rPr>
      </w:pPr>
      <w:r>
        <w:rPr>
          <w:sz w:val="24"/>
        </w:rPr>
        <w:t>For the purpose of determining the required levels of </w:t>
      </w:r>
      <w:r>
        <w:rPr>
          <w:i/>
          <w:sz w:val="24"/>
        </w:rPr>
        <w:t>inertia </w:t>
      </w:r>
      <w:r>
        <w:rPr>
          <w:sz w:val="24"/>
        </w:rPr>
        <w:t>in the </w:t>
      </w:r>
      <w:r>
        <w:rPr>
          <w:i/>
          <w:sz w:val="24"/>
        </w:rPr>
        <w:t>national </w:t>
      </w:r>
      <w:r>
        <w:rPr>
          <w:i/>
          <w:sz w:val="24"/>
        </w:rPr>
        <w:t>grid</w:t>
      </w:r>
      <w:r>
        <w:rPr>
          <w:sz w:val="24"/>
        </w:rPr>
        <w:t>, the </w:t>
      </w:r>
      <w:r>
        <w:rPr>
          <w:i/>
          <w:sz w:val="24"/>
        </w:rPr>
        <w:t>connected transmission systems </w:t>
      </w:r>
      <w:r>
        <w:rPr>
          <w:sz w:val="24"/>
        </w:rPr>
        <w:t>forming part of the </w:t>
      </w:r>
      <w:r>
        <w:rPr>
          <w:i/>
          <w:sz w:val="24"/>
        </w:rPr>
        <w:t>national grid </w:t>
      </w:r>
      <w:r>
        <w:rPr>
          <w:sz w:val="24"/>
        </w:rPr>
        <w:t>are to be divided into </w:t>
      </w:r>
      <w:r>
        <w:rPr>
          <w:i/>
          <w:sz w:val="24"/>
        </w:rPr>
        <w:t>inertia</w:t>
      </w:r>
      <w:r>
        <w:rPr>
          <w:i/>
          <w:spacing w:val="-3"/>
          <w:sz w:val="24"/>
        </w:rPr>
        <w:t> </w:t>
      </w:r>
      <w:r>
        <w:rPr>
          <w:i/>
          <w:sz w:val="24"/>
        </w:rPr>
        <w:t>sub-networks</w:t>
      </w:r>
      <w:r>
        <w:rPr>
          <w:sz w:val="24"/>
        </w:rPr>
        <w:t>.</w:t>
      </w:r>
    </w:p>
    <w:p>
      <w:pPr>
        <w:pStyle w:val="ListParagraph"/>
        <w:numPr>
          <w:ilvl w:val="2"/>
          <w:numId w:val="249"/>
        </w:numPr>
        <w:tabs>
          <w:tab w:pos="1919" w:val="left" w:leader="none"/>
        </w:tabs>
        <w:spacing w:line="240" w:lineRule="auto" w:before="120" w:after="0"/>
        <w:ind w:left="1919" w:right="414" w:hanging="567"/>
        <w:jc w:val="both"/>
        <w:rPr>
          <w:sz w:val="24"/>
        </w:rPr>
      </w:pPr>
      <w:r>
        <w:rPr>
          <w:i/>
          <w:sz w:val="24"/>
        </w:rPr>
        <w:t>AEMO </w:t>
      </w:r>
      <w:r>
        <w:rPr>
          <w:sz w:val="24"/>
        </w:rPr>
        <w:t>must determine the boundaries of </w:t>
      </w:r>
      <w:r>
        <w:rPr>
          <w:i/>
          <w:sz w:val="24"/>
        </w:rPr>
        <w:t>inertia sub-networks </w:t>
      </w:r>
      <w:r>
        <w:rPr>
          <w:sz w:val="24"/>
        </w:rPr>
        <w:t>and may from time to time adjust the boundaries, including adjustments that result in new </w:t>
      </w:r>
      <w:r>
        <w:rPr>
          <w:i/>
          <w:sz w:val="24"/>
        </w:rPr>
        <w:t>inertia</w:t>
      </w:r>
      <w:r>
        <w:rPr>
          <w:i/>
          <w:spacing w:val="-1"/>
          <w:sz w:val="24"/>
        </w:rPr>
        <w:t> </w:t>
      </w:r>
      <w:r>
        <w:rPr>
          <w:i/>
          <w:sz w:val="24"/>
        </w:rPr>
        <w:t>sub-networks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249"/>
        </w:numPr>
        <w:tabs>
          <w:tab w:pos="1919" w:val="left" w:leader="none"/>
        </w:tabs>
        <w:spacing w:line="240" w:lineRule="auto" w:before="83" w:after="0"/>
        <w:ind w:left="1919" w:right="415" w:hanging="567"/>
        <w:jc w:val="both"/>
        <w:rPr>
          <w:sz w:val="24"/>
        </w:rPr>
      </w:pPr>
      <w:r>
        <w:rPr>
          <w:sz w:val="24"/>
        </w:rPr>
        <w:t>The boundaries of an </w:t>
      </w:r>
      <w:r>
        <w:rPr>
          <w:i/>
          <w:sz w:val="24"/>
        </w:rPr>
        <w:t>inertia sub-network </w:t>
      </w:r>
      <w:r>
        <w:rPr>
          <w:sz w:val="24"/>
        </w:rPr>
        <w:t>must be aligned with the boundaries of a </w:t>
      </w:r>
      <w:r>
        <w:rPr>
          <w:i/>
          <w:sz w:val="24"/>
        </w:rPr>
        <w:t>region </w:t>
      </w:r>
      <w:r>
        <w:rPr>
          <w:sz w:val="24"/>
        </w:rPr>
        <w:t>or wholly confined within a</w:t>
      </w:r>
      <w:r>
        <w:rPr>
          <w:spacing w:val="-4"/>
          <w:sz w:val="24"/>
        </w:rPr>
        <w:t> </w:t>
      </w:r>
      <w:r>
        <w:rPr>
          <w:i/>
          <w:sz w:val="24"/>
        </w:rPr>
        <w:t>region</w:t>
      </w:r>
      <w:r>
        <w:rPr>
          <w:sz w:val="24"/>
        </w:rPr>
        <w:t>.</w:t>
      </w:r>
    </w:p>
    <w:p>
      <w:pPr>
        <w:pStyle w:val="ListParagraph"/>
        <w:numPr>
          <w:ilvl w:val="2"/>
          <w:numId w:val="249"/>
        </w:numPr>
        <w:tabs>
          <w:tab w:pos="1919" w:val="left" w:leader="none"/>
        </w:tabs>
        <w:spacing w:line="240" w:lineRule="auto" w:before="120" w:after="0"/>
        <w:ind w:left="1918" w:right="0" w:hanging="567"/>
        <w:jc w:val="both"/>
        <w:rPr>
          <w:sz w:val="24"/>
        </w:rPr>
      </w:pPr>
      <w:r>
        <w:rPr>
          <w:sz w:val="24"/>
        </w:rPr>
        <w:t>Subject</w:t>
      </w:r>
      <w:r>
        <w:rPr>
          <w:spacing w:val="44"/>
          <w:sz w:val="24"/>
        </w:rPr>
        <w:t> </w:t>
      </w:r>
      <w:r>
        <w:rPr>
          <w:sz w:val="24"/>
        </w:rPr>
        <w:t>to</w:t>
      </w:r>
      <w:r>
        <w:rPr>
          <w:spacing w:val="45"/>
          <w:sz w:val="24"/>
        </w:rPr>
        <w:t> </w:t>
      </w:r>
      <w:r>
        <w:rPr>
          <w:sz w:val="24"/>
        </w:rPr>
        <w:t>paragraph</w:t>
      </w:r>
      <w:r>
        <w:rPr>
          <w:spacing w:val="45"/>
          <w:sz w:val="24"/>
        </w:rPr>
        <w:t> </w:t>
      </w:r>
      <w:r>
        <w:rPr>
          <w:sz w:val="24"/>
        </w:rPr>
        <w:t>(c),</w:t>
      </w:r>
      <w:r>
        <w:rPr>
          <w:spacing w:val="44"/>
          <w:sz w:val="24"/>
        </w:rPr>
        <w:t> </w:t>
      </w:r>
      <w:r>
        <w:rPr>
          <w:sz w:val="24"/>
        </w:rPr>
        <w:t>in</w:t>
      </w:r>
      <w:r>
        <w:rPr>
          <w:spacing w:val="45"/>
          <w:sz w:val="24"/>
        </w:rPr>
        <w:t> </w:t>
      </w:r>
      <w:r>
        <w:rPr>
          <w:sz w:val="24"/>
        </w:rPr>
        <w:t>determining</w:t>
      </w:r>
      <w:r>
        <w:rPr>
          <w:spacing w:val="45"/>
          <w:sz w:val="24"/>
        </w:rPr>
        <w:t> </w:t>
      </w:r>
      <w:r>
        <w:rPr>
          <w:sz w:val="24"/>
        </w:rPr>
        <w:t>and</w:t>
      </w:r>
      <w:r>
        <w:rPr>
          <w:spacing w:val="45"/>
          <w:sz w:val="24"/>
        </w:rPr>
        <w:t> </w:t>
      </w:r>
      <w:r>
        <w:rPr>
          <w:sz w:val="24"/>
        </w:rPr>
        <w:t>adjusting</w:t>
      </w:r>
      <w:r>
        <w:rPr>
          <w:spacing w:val="44"/>
          <w:sz w:val="24"/>
        </w:rPr>
        <w:t> </w:t>
      </w:r>
      <w:r>
        <w:rPr>
          <w:sz w:val="24"/>
        </w:rPr>
        <w:t>the</w:t>
      </w:r>
      <w:r>
        <w:rPr>
          <w:spacing w:val="45"/>
          <w:sz w:val="24"/>
        </w:rPr>
        <w:t> </w:t>
      </w:r>
      <w:r>
        <w:rPr>
          <w:sz w:val="24"/>
        </w:rPr>
        <w:t>boundaries</w:t>
      </w:r>
      <w:r>
        <w:rPr>
          <w:spacing w:val="46"/>
          <w:sz w:val="24"/>
        </w:rPr>
        <w:t> </w:t>
      </w:r>
      <w:r>
        <w:rPr>
          <w:sz w:val="24"/>
        </w:rPr>
        <w:t>of</w:t>
      </w:r>
    </w:p>
    <w:p>
      <w:pPr>
        <w:spacing w:before="0"/>
        <w:ind w:left="1919" w:right="0" w:firstLine="0"/>
        <w:jc w:val="both"/>
        <w:rPr>
          <w:sz w:val="24"/>
        </w:rPr>
      </w:pPr>
      <w:r>
        <w:rPr>
          <w:i/>
          <w:sz w:val="24"/>
        </w:rPr>
        <w:t>inertia sub-networks</w:t>
      </w:r>
      <w:r>
        <w:rPr>
          <w:sz w:val="24"/>
        </w:rPr>
        <w:t>, </w:t>
      </w:r>
      <w:r>
        <w:rPr>
          <w:i/>
          <w:sz w:val="24"/>
        </w:rPr>
        <w:t>AEMO </w:t>
      </w:r>
      <w:r>
        <w:rPr>
          <w:sz w:val="24"/>
        </w:rPr>
        <w:t>must take into account the following matters:</w:t>
      </w:r>
    </w:p>
    <w:p>
      <w:pPr>
        <w:pStyle w:val="ListParagraph"/>
        <w:numPr>
          <w:ilvl w:val="3"/>
          <w:numId w:val="249"/>
        </w:numPr>
        <w:tabs>
          <w:tab w:pos="2486" w:val="left" w:leader="none"/>
        </w:tabs>
        <w:spacing w:line="240" w:lineRule="auto" w:before="120" w:after="0"/>
        <w:ind w:left="2485" w:right="0" w:hanging="567"/>
        <w:jc w:val="both"/>
        <w:rPr>
          <w:i/>
          <w:sz w:val="24"/>
        </w:rPr>
      </w:pPr>
      <w:r>
        <w:rPr>
          <w:sz w:val="24"/>
        </w:rPr>
        <w:t>synchronous </w:t>
      </w:r>
      <w:r>
        <w:rPr>
          <w:i/>
          <w:sz w:val="24"/>
        </w:rPr>
        <w:t>connections </w:t>
      </w:r>
      <w:r>
        <w:rPr>
          <w:sz w:val="24"/>
        </w:rPr>
        <w:t>between the proposed </w:t>
      </w:r>
      <w:r>
        <w:rPr>
          <w:i/>
          <w:sz w:val="24"/>
        </w:rPr>
        <w:t>inertia</w:t>
      </w:r>
      <w:r>
        <w:rPr>
          <w:i/>
          <w:spacing w:val="-26"/>
          <w:sz w:val="24"/>
        </w:rPr>
        <w:t> </w:t>
      </w:r>
      <w:r>
        <w:rPr>
          <w:i/>
          <w:sz w:val="24"/>
        </w:rPr>
        <w:t>sub-network</w:t>
      </w:r>
    </w:p>
    <w:p>
      <w:pPr>
        <w:spacing w:before="0"/>
        <w:ind w:left="2486" w:right="0" w:firstLine="0"/>
        <w:jc w:val="both"/>
        <w:rPr>
          <w:sz w:val="24"/>
        </w:rPr>
      </w:pPr>
      <w:r>
        <w:rPr>
          <w:sz w:val="24"/>
        </w:rPr>
        <w:t>and adjacent parts of the </w:t>
      </w:r>
      <w:r>
        <w:rPr>
          <w:i/>
          <w:sz w:val="24"/>
        </w:rPr>
        <w:t>national grid</w:t>
      </w:r>
      <w:r>
        <w:rPr>
          <w:sz w:val="24"/>
        </w:rPr>
        <w:t>;</w:t>
      </w:r>
    </w:p>
    <w:p>
      <w:pPr>
        <w:pStyle w:val="ListParagraph"/>
        <w:numPr>
          <w:ilvl w:val="3"/>
          <w:numId w:val="249"/>
        </w:numPr>
        <w:tabs>
          <w:tab w:pos="2486" w:val="left" w:leader="none"/>
        </w:tabs>
        <w:spacing w:line="240" w:lineRule="auto" w:before="120" w:after="0"/>
        <w:ind w:left="2485" w:right="0" w:hanging="567"/>
        <w:jc w:val="both"/>
        <w:rPr>
          <w:sz w:val="24"/>
        </w:rPr>
      </w:pPr>
      <w:r>
        <w:rPr>
          <w:sz w:val="24"/>
        </w:rPr>
        <w:t>the likelihood of the proposed </w:t>
      </w:r>
      <w:r>
        <w:rPr>
          <w:i/>
          <w:sz w:val="24"/>
        </w:rPr>
        <w:t>inertia sub-network </w:t>
      </w:r>
      <w:r>
        <w:rPr>
          <w:sz w:val="24"/>
        </w:rPr>
        <w:t>being </w:t>
      </w:r>
      <w:r>
        <w:rPr>
          <w:i/>
          <w:sz w:val="24"/>
        </w:rPr>
        <w:t>islanded</w:t>
      </w:r>
      <w:r>
        <w:rPr>
          <w:sz w:val="24"/>
        </w:rPr>
        <w:t>;</w:t>
      </w:r>
      <w:r>
        <w:rPr>
          <w:spacing w:val="-4"/>
          <w:sz w:val="24"/>
        </w:rPr>
        <w:t> </w:t>
      </w:r>
      <w:r>
        <w:rPr>
          <w:sz w:val="24"/>
        </w:rPr>
        <w:t>and</w:t>
      </w:r>
    </w:p>
    <w:p>
      <w:pPr>
        <w:pStyle w:val="ListParagraph"/>
        <w:numPr>
          <w:ilvl w:val="3"/>
          <w:numId w:val="249"/>
        </w:numPr>
        <w:tabs>
          <w:tab w:pos="2486" w:val="left" w:leader="none"/>
        </w:tabs>
        <w:spacing w:line="240" w:lineRule="auto" w:before="120" w:after="0"/>
        <w:ind w:left="2486" w:right="414" w:hanging="567"/>
        <w:jc w:val="both"/>
        <w:rPr>
          <w:sz w:val="24"/>
        </w:rPr>
      </w:pPr>
      <w:r>
        <w:rPr>
          <w:sz w:val="24"/>
        </w:rPr>
        <w:t>the criticality and practicality of maintaining the proposed </w:t>
      </w:r>
      <w:r>
        <w:rPr>
          <w:i/>
          <w:sz w:val="24"/>
        </w:rPr>
        <w:t>inertia sub- </w:t>
      </w:r>
      <w:r>
        <w:rPr>
          <w:i/>
          <w:sz w:val="24"/>
        </w:rPr>
        <w:t>network </w:t>
      </w:r>
      <w:r>
        <w:rPr>
          <w:sz w:val="24"/>
        </w:rPr>
        <w:t>in a </w:t>
      </w:r>
      <w:r>
        <w:rPr>
          <w:i/>
          <w:sz w:val="24"/>
        </w:rPr>
        <w:t>satisfactory operating state </w:t>
      </w:r>
      <w:r>
        <w:rPr>
          <w:sz w:val="24"/>
        </w:rPr>
        <w:t>if it is </w:t>
      </w:r>
      <w:r>
        <w:rPr>
          <w:i/>
          <w:sz w:val="24"/>
        </w:rPr>
        <w:t>islanded </w:t>
      </w:r>
      <w:r>
        <w:rPr>
          <w:sz w:val="24"/>
        </w:rPr>
        <w:t>and being able to return to a </w:t>
      </w:r>
      <w:r>
        <w:rPr>
          <w:i/>
          <w:sz w:val="24"/>
        </w:rPr>
        <w:t>secure operating state </w:t>
      </w:r>
      <w:r>
        <w:rPr>
          <w:sz w:val="24"/>
        </w:rPr>
        <w:t>while</w:t>
      </w:r>
      <w:r>
        <w:rPr>
          <w:spacing w:val="-10"/>
          <w:sz w:val="24"/>
        </w:rPr>
        <w:t> </w:t>
      </w:r>
      <w:r>
        <w:rPr>
          <w:i/>
          <w:sz w:val="24"/>
        </w:rPr>
        <w:t>islanded</w:t>
      </w:r>
      <w:r>
        <w:rPr>
          <w:sz w:val="24"/>
        </w:rPr>
        <w:t>.</w:t>
      </w:r>
    </w:p>
    <w:p>
      <w:pPr>
        <w:pStyle w:val="ListParagraph"/>
        <w:numPr>
          <w:ilvl w:val="2"/>
          <w:numId w:val="249"/>
        </w:numPr>
        <w:tabs>
          <w:tab w:pos="1919" w:val="left" w:leader="none"/>
        </w:tabs>
        <w:spacing w:line="240" w:lineRule="auto" w:before="120" w:after="0"/>
        <w:ind w:left="1918" w:right="0" w:hanging="567"/>
        <w:jc w:val="both"/>
        <w:rPr>
          <w:i/>
          <w:sz w:val="24"/>
        </w:rPr>
      </w:pPr>
      <w:r>
        <w:rPr>
          <w:sz w:val="24"/>
        </w:rPr>
        <w:t>In determining and adjusting the boundaries of </w:t>
      </w:r>
      <w:r>
        <w:rPr>
          <w:i/>
          <w:sz w:val="24"/>
        </w:rPr>
        <w:t>inertia sub-networks</w:t>
      </w:r>
      <w:r>
        <w:rPr>
          <w:sz w:val="24"/>
        </w:rPr>
        <w:t>,</w:t>
      </w:r>
      <w:r>
        <w:rPr>
          <w:spacing w:val="31"/>
          <w:sz w:val="24"/>
        </w:rPr>
        <w:t> </w:t>
      </w:r>
      <w:r>
        <w:rPr>
          <w:i/>
          <w:sz w:val="24"/>
        </w:rPr>
        <w:t>AEMO</w:t>
      </w:r>
    </w:p>
    <w:p>
      <w:pPr>
        <w:spacing w:before="0"/>
        <w:ind w:left="1919" w:right="0" w:firstLine="0"/>
        <w:jc w:val="both"/>
        <w:rPr>
          <w:sz w:val="24"/>
        </w:rPr>
      </w:pPr>
      <w:r>
        <w:rPr>
          <w:sz w:val="24"/>
        </w:rPr>
        <w:t>must comply with the </w:t>
      </w:r>
      <w:r>
        <w:rPr>
          <w:i/>
          <w:sz w:val="24"/>
        </w:rPr>
        <w:t>Rules consultation procedures</w:t>
      </w:r>
      <w:r>
        <w:rPr>
          <w:sz w:val="24"/>
        </w:rPr>
        <w:t>.</w:t>
      </w:r>
    </w:p>
    <w:p>
      <w:pPr>
        <w:pStyle w:val="ListParagraph"/>
        <w:numPr>
          <w:ilvl w:val="2"/>
          <w:numId w:val="249"/>
        </w:numPr>
        <w:tabs>
          <w:tab w:pos="1920" w:val="left" w:leader="none"/>
        </w:tabs>
        <w:spacing w:line="240" w:lineRule="auto" w:before="120" w:after="0"/>
        <w:ind w:left="1919" w:right="414" w:hanging="567"/>
        <w:jc w:val="both"/>
        <w:rPr>
          <w:sz w:val="24"/>
        </w:rPr>
      </w:pPr>
      <w:r>
        <w:rPr>
          <w:i/>
          <w:sz w:val="24"/>
        </w:rPr>
        <w:t>AEMO </w:t>
      </w:r>
      <w:r>
        <w:rPr>
          <w:sz w:val="24"/>
        </w:rPr>
        <w:t>must </w:t>
      </w:r>
      <w:r>
        <w:rPr>
          <w:i/>
          <w:sz w:val="24"/>
        </w:rPr>
        <w:t>publish </w:t>
      </w:r>
      <w:r>
        <w:rPr>
          <w:sz w:val="24"/>
        </w:rPr>
        <w:t>the boundaries of the </w:t>
      </w:r>
      <w:r>
        <w:rPr>
          <w:i/>
          <w:sz w:val="24"/>
        </w:rPr>
        <w:t>inertia sub-networks </w:t>
      </w:r>
      <w:r>
        <w:rPr>
          <w:sz w:val="24"/>
        </w:rPr>
        <w:t>and any adjustments in the</w:t>
      </w:r>
      <w:r>
        <w:rPr>
          <w:spacing w:val="-1"/>
          <w:sz w:val="24"/>
        </w:rPr>
        <w:t> </w:t>
      </w:r>
      <w:r>
        <w:rPr>
          <w:i/>
          <w:sz w:val="24"/>
        </w:rPr>
        <w:t>NTNDP</w:t>
      </w:r>
      <w:r>
        <w:rPr>
          <w:sz w:val="24"/>
        </w:rPr>
        <w:t>.</w:t>
      </w:r>
    </w:p>
    <w:p>
      <w:pPr>
        <w:pStyle w:val="BodyText"/>
        <w:spacing w:before="10"/>
        <w:ind w:firstLine="0"/>
        <w:jc w:val="left"/>
        <w:rPr>
          <w:sz w:val="20"/>
        </w:rPr>
      </w:pPr>
    </w:p>
    <w:p>
      <w:pPr>
        <w:pStyle w:val="Heading4"/>
        <w:numPr>
          <w:ilvl w:val="1"/>
          <w:numId w:val="250"/>
        </w:numPr>
        <w:tabs>
          <w:tab w:pos="686" w:val="left" w:leader="none"/>
          <w:tab w:pos="1351" w:val="left" w:leader="none"/>
        </w:tabs>
        <w:spacing w:line="240" w:lineRule="auto" w:before="0" w:after="0"/>
        <w:ind w:left="686" w:right="0" w:hanging="468"/>
        <w:jc w:val="left"/>
      </w:pPr>
      <w:bookmarkStart w:name="5.20B.2 Inertia requirements" w:id="863"/>
      <w:bookmarkEnd w:id="863"/>
      <w:r>
        <w:rPr>
          <w:b w:val="0"/>
        </w:rPr>
      </w:r>
      <w:bookmarkStart w:name="_bookmark329" w:id="864"/>
      <w:bookmarkEnd w:id="864"/>
      <w:r>
        <w:rPr>
          <w:b w:val="0"/>
        </w:rPr>
      </w:r>
      <w:bookmarkStart w:name="_bookmark329" w:id="865"/>
      <w:bookmarkEnd w:id="865"/>
      <w:r>
        <w:rPr/>
        <w:t>B.</w:t>
      </w:r>
      <w:r>
        <w:rPr/>
        <w:t>2</w:t>
        <w:tab/>
        <w:t>Inertia</w:t>
      </w:r>
      <w:r>
        <w:rPr>
          <w:spacing w:val="-1"/>
        </w:rPr>
        <w:t> </w:t>
      </w:r>
      <w:r>
        <w:rPr/>
        <w:t>requirements</w:t>
      </w:r>
    </w:p>
    <w:p>
      <w:pPr>
        <w:pStyle w:val="ListParagraph"/>
        <w:numPr>
          <w:ilvl w:val="2"/>
          <w:numId w:val="250"/>
        </w:numPr>
        <w:tabs>
          <w:tab w:pos="1919" w:val="left" w:leader="none"/>
        </w:tabs>
        <w:spacing w:line="240" w:lineRule="auto" w:before="120" w:after="0"/>
        <w:ind w:left="1919" w:right="415" w:hanging="567"/>
        <w:jc w:val="both"/>
        <w:rPr>
          <w:sz w:val="24"/>
        </w:rPr>
      </w:pPr>
      <w:r>
        <w:rPr>
          <w:i/>
          <w:sz w:val="24"/>
        </w:rPr>
        <w:t>AEMO </w:t>
      </w:r>
      <w:r>
        <w:rPr>
          <w:sz w:val="24"/>
        </w:rPr>
        <w:t>must from time to time determine the </w:t>
      </w:r>
      <w:r>
        <w:rPr>
          <w:i/>
          <w:sz w:val="24"/>
        </w:rPr>
        <w:t>inertia requirements </w:t>
      </w:r>
      <w:r>
        <w:rPr>
          <w:sz w:val="24"/>
        </w:rPr>
        <w:t>for </w:t>
      </w:r>
      <w:r>
        <w:rPr>
          <w:i/>
          <w:sz w:val="24"/>
        </w:rPr>
        <w:t>inertia sub-networks </w:t>
      </w:r>
      <w:r>
        <w:rPr>
          <w:sz w:val="24"/>
        </w:rPr>
        <w:t>applying the </w:t>
      </w:r>
      <w:r>
        <w:rPr>
          <w:i/>
          <w:sz w:val="24"/>
        </w:rPr>
        <w:t>inertia requirements methodology</w:t>
      </w:r>
      <w:r>
        <w:rPr>
          <w:sz w:val="24"/>
        </w:rPr>
        <w:t>. </w:t>
      </w:r>
      <w:r>
        <w:rPr>
          <w:i/>
          <w:sz w:val="24"/>
        </w:rPr>
        <w:t>AEMO </w:t>
      </w:r>
      <w:r>
        <w:rPr>
          <w:sz w:val="24"/>
        </w:rPr>
        <w:t>must make a determination under this</w:t>
      </w:r>
      <w:r>
        <w:rPr>
          <w:spacing w:val="-2"/>
          <w:sz w:val="24"/>
        </w:rPr>
        <w:t> </w:t>
      </w:r>
      <w:r>
        <w:rPr>
          <w:sz w:val="24"/>
        </w:rPr>
        <w:t>paragraph:</w:t>
      </w:r>
    </w:p>
    <w:p>
      <w:pPr>
        <w:pStyle w:val="ListParagraph"/>
        <w:numPr>
          <w:ilvl w:val="3"/>
          <w:numId w:val="250"/>
        </w:numPr>
        <w:tabs>
          <w:tab w:pos="2486" w:val="left" w:leader="none"/>
        </w:tabs>
        <w:spacing w:line="240" w:lineRule="auto" w:before="120" w:after="0"/>
        <w:ind w:left="2486" w:right="416" w:hanging="567"/>
        <w:jc w:val="both"/>
        <w:rPr>
          <w:sz w:val="24"/>
        </w:rPr>
      </w:pPr>
      <w:r>
        <w:rPr>
          <w:sz w:val="24"/>
        </w:rPr>
        <w:t>subject to subparagraph (2) and any other requirements under the </w:t>
      </w:r>
      <w:r>
        <w:rPr>
          <w:i/>
          <w:sz w:val="24"/>
        </w:rPr>
        <w:t>Rules</w:t>
      </w:r>
      <w:r>
        <w:rPr>
          <w:sz w:val="24"/>
        </w:rPr>
        <w:t>, for any </w:t>
      </w:r>
      <w:r>
        <w:rPr>
          <w:i/>
          <w:sz w:val="24"/>
        </w:rPr>
        <w:t>inertia sub-network</w:t>
      </w:r>
      <w:r>
        <w:rPr>
          <w:sz w:val="24"/>
        </w:rPr>
        <w:t>, no more than once in every 12 month period;</w:t>
      </w:r>
      <w:r>
        <w:rPr>
          <w:spacing w:val="-1"/>
          <w:sz w:val="24"/>
        </w:rPr>
        <w:t> </w:t>
      </w:r>
      <w:r>
        <w:rPr>
          <w:sz w:val="24"/>
        </w:rPr>
        <w:t>and</w:t>
      </w:r>
    </w:p>
    <w:p>
      <w:pPr>
        <w:pStyle w:val="ListParagraph"/>
        <w:numPr>
          <w:ilvl w:val="3"/>
          <w:numId w:val="250"/>
        </w:numPr>
        <w:tabs>
          <w:tab w:pos="2486" w:val="left" w:leader="none"/>
        </w:tabs>
        <w:spacing w:line="240" w:lineRule="auto" w:before="120" w:after="0"/>
        <w:ind w:left="2486" w:right="414" w:hanging="567"/>
        <w:jc w:val="both"/>
        <w:rPr>
          <w:sz w:val="24"/>
        </w:rPr>
      </w:pPr>
      <w:r>
        <w:rPr>
          <w:sz w:val="24"/>
        </w:rPr>
        <w:t>for each affected </w:t>
      </w:r>
      <w:r>
        <w:rPr>
          <w:i/>
          <w:sz w:val="24"/>
        </w:rPr>
        <w:t>inertia sub-network</w:t>
      </w:r>
      <w:r>
        <w:rPr>
          <w:sz w:val="24"/>
        </w:rPr>
        <w:t>, as soon as reasonably practical after becoming aware of a material change to the </w:t>
      </w:r>
      <w:r>
        <w:rPr>
          <w:i/>
          <w:sz w:val="24"/>
        </w:rPr>
        <w:t>power system </w:t>
      </w:r>
      <w:r>
        <w:rPr>
          <w:sz w:val="24"/>
        </w:rPr>
        <w:t>likely to affect the </w:t>
      </w:r>
      <w:r>
        <w:rPr>
          <w:i/>
          <w:sz w:val="24"/>
        </w:rPr>
        <w:t>inertia requirements </w:t>
      </w:r>
      <w:r>
        <w:rPr>
          <w:sz w:val="24"/>
        </w:rPr>
        <w:t>for the </w:t>
      </w:r>
      <w:r>
        <w:rPr>
          <w:i/>
          <w:sz w:val="24"/>
        </w:rPr>
        <w:t>inertia sub-network </w:t>
      </w:r>
      <w:r>
        <w:rPr>
          <w:sz w:val="24"/>
        </w:rPr>
        <w:t>where the timing, occurrence or impact of the change was</w:t>
      </w:r>
      <w:r>
        <w:rPr>
          <w:spacing w:val="-4"/>
          <w:sz w:val="24"/>
        </w:rPr>
        <w:t> </w:t>
      </w:r>
      <w:r>
        <w:rPr>
          <w:sz w:val="24"/>
        </w:rPr>
        <w:t>unforeseen.</w:t>
      </w:r>
    </w:p>
    <w:p>
      <w:pPr>
        <w:pStyle w:val="ListParagraph"/>
        <w:numPr>
          <w:ilvl w:val="2"/>
          <w:numId w:val="250"/>
        </w:numPr>
        <w:tabs>
          <w:tab w:pos="1919" w:val="left" w:leader="none"/>
        </w:tabs>
        <w:spacing w:line="240" w:lineRule="auto" w:before="120" w:after="0"/>
        <w:ind w:left="1918" w:right="0" w:hanging="567"/>
        <w:jc w:val="both"/>
        <w:rPr>
          <w:sz w:val="24"/>
        </w:rPr>
      </w:pPr>
      <w:r>
        <w:rPr>
          <w:sz w:val="24"/>
        </w:rPr>
        <w:t>The </w:t>
      </w:r>
      <w:r>
        <w:rPr>
          <w:i/>
          <w:sz w:val="24"/>
        </w:rPr>
        <w:t>inertia requirements </w:t>
      </w:r>
      <w:r>
        <w:rPr>
          <w:sz w:val="24"/>
        </w:rPr>
        <w:t>to be determined for each </w:t>
      </w:r>
      <w:r>
        <w:rPr>
          <w:i/>
          <w:sz w:val="24"/>
        </w:rPr>
        <w:t>inertia sub-network</w:t>
      </w:r>
      <w:r>
        <w:rPr>
          <w:i/>
          <w:spacing w:val="-15"/>
          <w:sz w:val="24"/>
        </w:rPr>
        <w:t> </w:t>
      </w:r>
      <w:r>
        <w:rPr>
          <w:sz w:val="24"/>
        </w:rPr>
        <w:t>are:</w:t>
      </w:r>
    </w:p>
    <w:p>
      <w:pPr>
        <w:pStyle w:val="ListParagraph"/>
        <w:numPr>
          <w:ilvl w:val="3"/>
          <w:numId w:val="250"/>
        </w:numPr>
        <w:tabs>
          <w:tab w:pos="2486" w:val="left" w:leader="none"/>
        </w:tabs>
        <w:spacing w:line="240" w:lineRule="auto" w:before="120" w:after="0"/>
        <w:ind w:left="2486" w:right="415" w:hanging="567"/>
        <w:jc w:val="both"/>
        <w:rPr>
          <w:sz w:val="24"/>
        </w:rPr>
      </w:pPr>
      <w:r>
        <w:rPr>
          <w:sz w:val="24"/>
        </w:rPr>
        <w:t>the </w:t>
      </w:r>
      <w:r>
        <w:rPr>
          <w:i/>
          <w:sz w:val="24"/>
        </w:rPr>
        <w:t>minimum threshold level </w:t>
      </w:r>
      <w:r>
        <w:rPr>
          <w:sz w:val="24"/>
        </w:rPr>
        <w:t>of </w:t>
      </w:r>
      <w:r>
        <w:rPr>
          <w:i/>
          <w:sz w:val="24"/>
        </w:rPr>
        <w:t>inertia</w:t>
      </w:r>
      <w:r>
        <w:rPr>
          <w:sz w:val="24"/>
        </w:rPr>
        <w:t>, being the minimum level of </w:t>
      </w:r>
      <w:r>
        <w:rPr>
          <w:i/>
          <w:sz w:val="24"/>
        </w:rPr>
        <w:t>inertia </w:t>
      </w:r>
      <w:r>
        <w:rPr>
          <w:sz w:val="24"/>
        </w:rPr>
        <w:t>required to operate the </w:t>
      </w:r>
      <w:r>
        <w:rPr>
          <w:i/>
          <w:sz w:val="24"/>
        </w:rPr>
        <w:t>inertia sub-network </w:t>
      </w:r>
      <w:r>
        <w:rPr>
          <w:sz w:val="24"/>
        </w:rPr>
        <w:t>in a </w:t>
      </w:r>
      <w:r>
        <w:rPr>
          <w:i/>
          <w:sz w:val="24"/>
        </w:rPr>
        <w:t>satisfactory </w:t>
      </w:r>
      <w:r>
        <w:rPr>
          <w:i/>
          <w:sz w:val="24"/>
        </w:rPr>
        <w:t>operating state </w:t>
      </w:r>
      <w:r>
        <w:rPr>
          <w:sz w:val="24"/>
        </w:rPr>
        <w:t>when the </w:t>
      </w:r>
      <w:r>
        <w:rPr>
          <w:i/>
          <w:sz w:val="24"/>
        </w:rPr>
        <w:t>inertia sub-network </w:t>
      </w:r>
      <w:r>
        <w:rPr>
          <w:sz w:val="24"/>
        </w:rPr>
        <w:t>is </w:t>
      </w:r>
      <w:r>
        <w:rPr>
          <w:i/>
          <w:sz w:val="24"/>
        </w:rPr>
        <w:t>islanded</w:t>
      </w:r>
      <w:r>
        <w:rPr>
          <w:sz w:val="24"/>
        </w:rPr>
        <w:t>;</w:t>
      </w:r>
      <w:r>
        <w:rPr>
          <w:spacing w:val="-6"/>
          <w:sz w:val="24"/>
        </w:rPr>
        <w:t> </w:t>
      </w:r>
      <w:r>
        <w:rPr>
          <w:sz w:val="24"/>
        </w:rPr>
        <w:t>and</w:t>
      </w:r>
    </w:p>
    <w:p>
      <w:pPr>
        <w:pStyle w:val="ListParagraph"/>
        <w:numPr>
          <w:ilvl w:val="3"/>
          <w:numId w:val="250"/>
        </w:numPr>
        <w:tabs>
          <w:tab w:pos="2486" w:val="left" w:leader="none"/>
        </w:tabs>
        <w:spacing w:line="240" w:lineRule="auto" w:before="120" w:after="0"/>
        <w:ind w:left="2486" w:right="415" w:hanging="567"/>
        <w:jc w:val="both"/>
        <w:rPr>
          <w:sz w:val="24"/>
        </w:rPr>
      </w:pPr>
      <w:r>
        <w:rPr>
          <w:sz w:val="24"/>
        </w:rPr>
        <w:t>the </w:t>
      </w:r>
      <w:r>
        <w:rPr>
          <w:i/>
          <w:sz w:val="24"/>
        </w:rPr>
        <w:t>secure operating level of inertia</w:t>
      </w:r>
      <w:r>
        <w:rPr>
          <w:sz w:val="24"/>
        </w:rPr>
        <w:t>, being the minimum level</w:t>
      </w:r>
      <w:r>
        <w:rPr>
          <w:spacing w:val="35"/>
          <w:sz w:val="24"/>
        </w:rPr>
        <w:t> </w:t>
      </w:r>
      <w:r>
        <w:rPr>
          <w:sz w:val="24"/>
        </w:rPr>
        <w:t>of </w:t>
      </w:r>
      <w:r>
        <w:rPr>
          <w:i/>
          <w:sz w:val="24"/>
        </w:rPr>
        <w:t>inertia </w:t>
      </w:r>
      <w:r>
        <w:rPr>
          <w:sz w:val="24"/>
        </w:rPr>
        <w:t>required to operate the </w:t>
      </w:r>
      <w:r>
        <w:rPr>
          <w:i/>
          <w:sz w:val="24"/>
        </w:rPr>
        <w:t>inertia sub-network </w:t>
      </w:r>
      <w:r>
        <w:rPr>
          <w:sz w:val="24"/>
        </w:rPr>
        <w:t>in a </w:t>
      </w:r>
      <w:r>
        <w:rPr>
          <w:i/>
          <w:sz w:val="24"/>
        </w:rPr>
        <w:t>secure </w:t>
      </w:r>
      <w:r>
        <w:rPr>
          <w:i/>
          <w:sz w:val="24"/>
        </w:rPr>
        <w:t>operating state </w:t>
      </w:r>
      <w:r>
        <w:rPr>
          <w:sz w:val="24"/>
        </w:rPr>
        <w:t>when the </w:t>
      </w:r>
      <w:r>
        <w:rPr>
          <w:i/>
          <w:sz w:val="24"/>
        </w:rPr>
        <w:t>inertia sub-network </w:t>
      </w:r>
      <w:r>
        <w:rPr>
          <w:sz w:val="24"/>
        </w:rPr>
        <w:t>is</w:t>
      </w:r>
      <w:r>
        <w:rPr>
          <w:spacing w:val="-4"/>
          <w:sz w:val="24"/>
        </w:rPr>
        <w:t> </w:t>
      </w:r>
      <w:r>
        <w:rPr>
          <w:i/>
          <w:sz w:val="24"/>
        </w:rPr>
        <w:t>islanded</w:t>
      </w:r>
      <w:r>
        <w:rPr>
          <w:sz w:val="24"/>
        </w:rPr>
        <w:t>.</w:t>
      </w:r>
    </w:p>
    <w:p>
      <w:pPr>
        <w:pStyle w:val="ListParagraph"/>
        <w:numPr>
          <w:ilvl w:val="2"/>
          <w:numId w:val="250"/>
        </w:numPr>
        <w:tabs>
          <w:tab w:pos="1919" w:val="left" w:leader="none"/>
        </w:tabs>
        <w:spacing w:line="240" w:lineRule="auto" w:before="120" w:after="0"/>
        <w:ind w:left="1919" w:right="415" w:hanging="567"/>
        <w:jc w:val="both"/>
        <w:rPr>
          <w:sz w:val="24"/>
        </w:rPr>
      </w:pPr>
      <w:r>
        <w:rPr>
          <w:i/>
          <w:sz w:val="24"/>
        </w:rPr>
        <w:t>AEMO </w:t>
      </w:r>
      <w:r>
        <w:rPr>
          <w:sz w:val="24"/>
        </w:rPr>
        <w:t>must </w:t>
      </w:r>
      <w:r>
        <w:rPr>
          <w:i/>
          <w:sz w:val="24"/>
        </w:rPr>
        <w:t>publish </w:t>
      </w:r>
      <w:r>
        <w:rPr>
          <w:sz w:val="24"/>
        </w:rPr>
        <w:t>the </w:t>
      </w:r>
      <w:r>
        <w:rPr>
          <w:i/>
          <w:sz w:val="24"/>
        </w:rPr>
        <w:t>inertia requirements </w:t>
      </w:r>
      <w:r>
        <w:rPr>
          <w:sz w:val="24"/>
        </w:rPr>
        <w:t>determined for each </w:t>
      </w:r>
      <w:r>
        <w:rPr>
          <w:i/>
          <w:sz w:val="24"/>
        </w:rPr>
        <w:t>inertia </w:t>
      </w:r>
      <w:r>
        <w:rPr>
          <w:i/>
          <w:sz w:val="24"/>
        </w:rPr>
        <w:t>sub-network </w:t>
      </w:r>
      <w:r>
        <w:rPr>
          <w:sz w:val="24"/>
        </w:rPr>
        <w:t>together with the results of its assessment under clause 5.20B.3 in the</w:t>
      </w:r>
      <w:r>
        <w:rPr>
          <w:spacing w:val="-1"/>
          <w:sz w:val="24"/>
        </w:rPr>
        <w:t> </w:t>
      </w:r>
      <w:r>
        <w:rPr>
          <w:i/>
          <w:sz w:val="24"/>
        </w:rPr>
        <w:t>NTNDP</w:t>
      </w:r>
      <w:r>
        <w:rPr>
          <w:sz w:val="24"/>
        </w:rPr>
        <w:t>.</w:t>
      </w:r>
    </w:p>
    <w:p>
      <w:pPr>
        <w:pStyle w:val="BodyText"/>
        <w:spacing w:before="10"/>
        <w:ind w:firstLine="0"/>
        <w:jc w:val="left"/>
        <w:rPr>
          <w:sz w:val="20"/>
        </w:rPr>
      </w:pPr>
    </w:p>
    <w:p>
      <w:pPr>
        <w:pStyle w:val="Heading4"/>
        <w:numPr>
          <w:ilvl w:val="1"/>
          <w:numId w:val="251"/>
        </w:numPr>
        <w:tabs>
          <w:tab w:pos="686" w:val="left" w:leader="none"/>
          <w:tab w:pos="1351" w:val="left" w:leader="none"/>
        </w:tabs>
        <w:spacing w:line="240" w:lineRule="auto" w:before="0" w:after="0"/>
        <w:ind w:left="686" w:right="0" w:hanging="468"/>
        <w:jc w:val="left"/>
      </w:pPr>
      <w:bookmarkStart w:name="5.20B.3 Inertia shortfalls" w:id="866"/>
      <w:bookmarkEnd w:id="866"/>
      <w:r>
        <w:rPr>
          <w:b w:val="0"/>
        </w:rPr>
      </w:r>
      <w:bookmarkStart w:name="_bookmark330" w:id="867"/>
      <w:bookmarkEnd w:id="867"/>
      <w:r>
        <w:rPr>
          <w:b w:val="0"/>
        </w:rPr>
      </w:r>
      <w:bookmarkStart w:name="_bookmark330" w:id="868"/>
      <w:bookmarkEnd w:id="868"/>
      <w:r>
        <w:rPr/>
        <w:t>B.</w:t>
      </w:r>
      <w:r>
        <w:rPr/>
        <w:t>3</w:t>
        <w:tab/>
        <w:t>Inertia</w:t>
      </w:r>
      <w:r>
        <w:rPr>
          <w:spacing w:val="-1"/>
        </w:rPr>
        <w:t> </w:t>
      </w:r>
      <w:r>
        <w:rPr/>
        <w:t>shortfalls</w:t>
      </w:r>
    </w:p>
    <w:p>
      <w:pPr>
        <w:pStyle w:val="ListParagraph"/>
        <w:numPr>
          <w:ilvl w:val="2"/>
          <w:numId w:val="251"/>
        </w:numPr>
        <w:tabs>
          <w:tab w:pos="1919" w:val="left" w:leader="none"/>
        </w:tabs>
        <w:spacing w:line="240" w:lineRule="auto" w:before="120" w:after="0"/>
        <w:ind w:left="1919" w:right="415" w:hanging="567"/>
        <w:jc w:val="both"/>
        <w:rPr>
          <w:sz w:val="24"/>
        </w:rPr>
      </w:pPr>
      <w:r>
        <w:rPr>
          <w:i/>
          <w:sz w:val="24"/>
        </w:rPr>
        <w:t>AEMO </w:t>
      </w:r>
      <w:r>
        <w:rPr>
          <w:sz w:val="24"/>
        </w:rPr>
        <w:t>must as soon as practicable following its determination of the </w:t>
      </w:r>
      <w:r>
        <w:rPr>
          <w:i/>
          <w:sz w:val="24"/>
        </w:rPr>
        <w:t>inertia </w:t>
      </w:r>
      <w:r>
        <w:rPr>
          <w:i/>
          <w:sz w:val="24"/>
        </w:rPr>
        <w:t>requirements </w:t>
      </w:r>
      <w:r>
        <w:rPr>
          <w:sz w:val="24"/>
        </w:rPr>
        <w:t>for an </w:t>
      </w:r>
      <w:r>
        <w:rPr>
          <w:i/>
          <w:sz w:val="24"/>
        </w:rPr>
        <w:t>inertia sub-network </w:t>
      </w:r>
      <w:r>
        <w:rPr>
          <w:sz w:val="24"/>
        </w:rPr>
        <w:t>under clause 5.20B.2</w:t>
      </w:r>
      <w:r>
        <w:rPr>
          <w:spacing w:val="-14"/>
          <w:sz w:val="24"/>
        </w:rPr>
        <w:t> </w:t>
      </w:r>
      <w:r>
        <w:rPr>
          <w:sz w:val="24"/>
        </w:rPr>
        <w:t>assess:</w:t>
      </w:r>
    </w:p>
    <w:p>
      <w:pPr>
        <w:pStyle w:val="ListParagraph"/>
        <w:numPr>
          <w:ilvl w:val="3"/>
          <w:numId w:val="251"/>
        </w:numPr>
        <w:tabs>
          <w:tab w:pos="2486" w:val="left" w:leader="none"/>
        </w:tabs>
        <w:spacing w:line="240" w:lineRule="auto" w:before="120" w:after="0"/>
        <w:ind w:left="2486" w:right="415" w:hanging="567"/>
        <w:jc w:val="both"/>
        <w:rPr>
          <w:sz w:val="24"/>
        </w:rPr>
      </w:pPr>
      <w:r>
        <w:rPr>
          <w:sz w:val="24"/>
        </w:rPr>
        <w:t>the level of </w:t>
      </w:r>
      <w:r>
        <w:rPr>
          <w:i/>
          <w:sz w:val="24"/>
        </w:rPr>
        <w:t>inertia </w:t>
      </w:r>
      <w:r>
        <w:rPr>
          <w:sz w:val="24"/>
        </w:rPr>
        <w:t>typically provided in the </w:t>
      </w:r>
      <w:r>
        <w:rPr>
          <w:i/>
          <w:sz w:val="24"/>
        </w:rPr>
        <w:t>inertia sub-network </w:t>
      </w:r>
      <w:r>
        <w:rPr>
          <w:sz w:val="24"/>
        </w:rPr>
        <w:t>having regard to typical patterns of </w:t>
      </w:r>
      <w:r>
        <w:rPr>
          <w:i/>
          <w:sz w:val="24"/>
        </w:rPr>
        <w:t>dispatched generation </w:t>
      </w:r>
      <w:r>
        <w:rPr>
          <w:sz w:val="24"/>
        </w:rPr>
        <w:t>in </w:t>
      </w:r>
      <w:r>
        <w:rPr>
          <w:i/>
          <w:sz w:val="24"/>
        </w:rPr>
        <w:t>central </w:t>
      </w:r>
      <w:r>
        <w:rPr>
          <w:i/>
          <w:sz w:val="24"/>
        </w:rPr>
        <w:t>dispatch</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251"/>
        </w:numPr>
        <w:tabs>
          <w:tab w:pos="2486" w:val="left" w:leader="none"/>
        </w:tabs>
        <w:spacing w:line="240" w:lineRule="auto" w:before="83" w:after="0"/>
        <w:ind w:left="2486" w:right="415" w:hanging="567"/>
        <w:jc w:val="both"/>
        <w:rPr>
          <w:sz w:val="24"/>
        </w:rPr>
      </w:pPr>
      <w:r>
        <w:rPr>
          <w:sz w:val="24"/>
        </w:rPr>
        <w:t>whether in </w:t>
      </w:r>
      <w:r>
        <w:rPr>
          <w:i/>
          <w:sz w:val="24"/>
        </w:rPr>
        <w:t>AEMO's </w:t>
      </w:r>
      <w:r>
        <w:rPr>
          <w:sz w:val="24"/>
        </w:rPr>
        <w:t>reasonable opinion, there is or is likely to be an </w:t>
      </w:r>
      <w:r>
        <w:rPr>
          <w:i/>
          <w:sz w:val="24"/>
        </w:rPr>
        <w:t>inertia shortfall </w:t>
      </w:r>
      <w:r>
        <w:rPr>
          <w:sz w:val="24"/>
        </w:rPr>
        <w:t>in the </w:t>
      </w:r>
      <w:r>
        <w:rPr>
          <w:i/>
          <w:sz w:val="24"/>
        </w:rPr>
        <w:t>inertia sub-network </w:t>
      </w:r>
      <w:r>
        <w:rPr>
          <w:sz w:val="24"/>
        </w:rPr>
        <w:t>and </w:t>
      </w:r>
      <w:r>
        <w:rPr>
          <w:i/>
          <w:sz w:val="24"/>
        </w:rPr>
        <w:t>AEMO's </w:t>
      </w:r>
      <w:r>
        <w:rPr>
          <w:sz w:val="24"/>
        </w:rPr>
        <w:t>forecast of the period over which the </w:t>
      </w:r>
      <w:r>
        <w:rPr>
          <w:i/>
          <w:sz w:val="24"/>
        </w:rPr>
        <w:t>inertia shortfall </w:t>
      </w:r>
      <w:r>
        <w:rPr>
          <w:sz w:val="24"/>
        </w:rPr>
        <w:t>will exist;</w:t>
      </w:r>
      <w:r>
        <w:rPr>
          <w:spacing w:val="-5"/>
          <w:sz w:val="24"/>
        </w:rPr>
        <w:t> </w:t>
      </w:r>
      <w:r>
        <w:rPr>
          <w:sz w:val="24"/>
        </w:rPr>
        <w:t>and</w:t>
      </w:r>
    </w:p>
    <w:p>
      <w:pPr>
        <w:pStyle w:val="ListParagraph"/>
        <w:numPr>
          <w:ilvl w:val="3"/>
          <w:numId w:val="251"/>
        </w:numPr>
        <w:tabs>
          <w:tab w:pos="2486" w:val="left" w:leader="none"/>
        </w:tabs>
        <w:spacing w:line="240" w:lineRule="auto" w:before="120" w:after="0"/>
        <w:ind w:left="2486" w:right="416" w:hanging="567"/>
        <w:jc w:val="both"/>
        <w:rPr>
          <w:sz w:val="24"/>
        </w:rPr>
      </w:pPr>
      <w:r>
        <w:rPr>
          <w:sz w:val="24"/>
        </w:rPr>
        <w:t>where </w:t>
      </w:r>
      <w:r>
        <w:rPr>
          <w:i/>
          <w:sz w:val="24"/>
        </w:rPr>
        <w:t>AEMO </w:t>
      </w:r>
      <w:r>
        <w:rPr>
          <w:sz w:val="24"/>
        </w:rPr>
        <w:t>has previously assessed that there was or was likely to be an </w:t>
      </w:r>
      <w:r>
        <w:rPr>
          <w:i/>
          <w:sz w:val="24"/>
        </w:rPr>
        <w:t>inertia shortfall</w:t>
      </w:r>
      <w:r>
        <w:rPr>
          <w:sz w:val="24"/>
        </w:rPr>
        <w:t>, whether in </w:t>
      </w:r>
      <w:r>
        <w:rPr>
          <w:i/>
          <w:sz w:val="24"/>
        </w:rPr>
        <w:t>AEMO's </w:t>
      </w:r>
      <w:r>
        <w:rPr>
          <w:sz w:val="24"/>
        </w:rPr>
        <w:t>reasonable opinion that </w:t>
      </w:r>
      <w:r>
        <w:rPr>
          <w:i/>
          <w:sz w:val="24"/>
        </w:rPr>
        <w:t>inertia shortfall </w:t>
      </w:r>
      <w:r>
        <w:rPr>
          <w:sz w:val="24"/>
        </w:rPr>
        <w:t>has been or will be</w:t>
      </w:r>
      <w:r>
        <w:rPr>
          <w:spacing w:val="-4"/>
          <w:sz w:val="24"/>
        </w:rPr>
        <w:t> </w:t>
      </w:r>
      <w:r>
        <w:rPr>
          <w:sz w:val="24"/>
        </w:rPr>
        <w:t>remedied.</w:t>
      </w:r>
    </w:p>
    <w:p>
      <w:pPr>
        <w:pStyle w:val="ListParagraph"/>
        <w:numPr>
          <w:ilvl w:val="2"/>
          <w:numId w:val="251"/>
        </w:numPr>
        <w:tabs>
          <w:tab w:pos="1919" w:val="left" w:leader="none"/>
        </w:tabs>
        <w:spacing w:line="240" w:lineRule="auto" w:before="120" w:after="0"/>
        <w:ind w:left="1919" w:right="416" w:hanging="567"/>
        <w:jc w:val="both"/>
        <w:rPr>
          <w:sz w:val="24"/>
        </w:rPr>
      </w:pPr>
      <w:r>
        <w:rPr>
          <w:sz w:val="24"/>
        </w:rPr>
        <w:t>In making its assessment under paragraph (a) for an </w:t>
      </w:r>
      <w:r>
        <w:rPr>
          <w:i/>
          <w:sz w:val="24"/>
        </w:rPr>
        <w:t>inertia sub-network</w:t>
      </w:r>
      <w:r>
        <w:rPr>
          <w:sz w:val="24"/>
        </w:rPr>
        <w:t>, </w:t>
      </w:r>
      <w:r>
        <w:rPr>
          <w:i/>
          <w:sz w:val="24"/>
        </w:rPr>
        <w:t>AEMO </w:t>
      </w:r>
      <w:r>
        <w:rPr>
          <w:sz w:val="24"/>
        </w:rPr>
        <w:t>must take into</w:t>
      </w:r>
      <w:r>
        <w:rPr>
          <w:spacing w:val="-1"/>
          <w:sz w:val="24"/>
        </w:rPr>
        <w:t> </w:t>
      </w:r>
      <w:r>
        <w:rPr>
          <w:sz w:val="24"/>
        </w:rPr>
        <w:t>account:</w:t>
      </w:r>
    </w:p>
    <w:p>
      <w:pPr>
        <w:pStyle w:val="ListParagraph"/>
        <w:numPr>
          <w:ilvl w:val="3"/>
          <w:numId w:val="251"/>
        </w:numPr>
        <w:tabs>
          <w:tab w:pos="2486" w:val="left" w:leader="none"/>
        </w:tabs>
        <w:spacing w:line="240" w:lineRule="auto" w:before="120" w:after="0"/>
        <w:ind w:left="2486" w:right="415" w:hanging="567"/>
        <w:jc w:val="both"/>
        <w:rPr>
          <w:sz w:val="24"/>
        </w:rPr>
      </w:pPr>
      <w:r>
        <w:rPr>
          <w:sz w:val="24"/>
        </w:rPr>
        <w:t>over what time period and to what extent the </w:t>
      </w:r>
      <w:r>
        <w:rPr>
          <w:i/>
          <w:sz w:val="24"/>
        </w:rPr>
        <w:t>inertia </w:t>
      </w:r>
      <w:r>
        <w:rPr>
          <w:sz w:val="24"/>
        </w:rPr>
        <w:t>that is typically provided in the </w:t>
      </w:r>
      <w:r>
        <w:rPr>
          <w:i/>
          <w:sz w:val="24"/>
        </w:rPr>
        <w:t>inertia sub-network </w:t>
      </w:r>
      <w:r>
        <w:rPr>
          <w:sz w:val="24"/>
        </w:rPr>
        <w:t>is or is likely to be below the </w:t>
      </w:r>
      <w:r>
        <w:rPr>
          <w:i/>
          <w:sz w:val="24"/>
        </w:rPr>
        <w:t>secure operating level of</w:t>
      </w:r>
      <w:r>
        <w:rPr>
          <w:i/>
          <w:spacing w:val="-2"/>
          <w:sz w:val="24"/>
        </w:rPr>
        <w:t> </w:t>
      </w:r>
      <w:r>
        <w:rPr>
          <w:i/>
          <w:sz w:val="24"/>
        </w:rPr>
        <w:t>inertia</w:t>
      </w:r>
      <w:r>
        <w:rPr>
          <w:sz w:val="24"/>
        </w:rPr>
        <w:t>;</w:t>
      </w:r>
    </w:p>
    <w:p>
      <w:pPr>
        <w:pStyle w:val="ListParagraph"/>
        <w:numPr>
          <w:ilvl w:val="3"/>
          <w:numId w:val="251"/>
        </w:numPr>
        <w:tabs>
          <w:tab w:pos="2486" w:val="left" w:leader="none"/>
        </w:tabs>
        <w:spacing w:line="240" w:lineRule="auto" w:before="120" w:after="0"/>
        <w:ind w:left="2486" w:right="415" w:hanging="567"/>
        <w:jc w:val="both"/>
        <w:rPr>
          <w:sz w:val="24"/>
        </w:rPr>
      </w:pPr>
      <w:r>
        <w:rPr>
          <w:sz w:val="24"/>
        </w:rPr>
        <w:t>the levels of </w:t>
      </w:r>
      <w:r>
        <w:rPr>
          <w:i/>
          <w:sz w:val="24"/>
        </w:rPr>
        <w:t>inertia </w:t>
      </w:r>
      <w:r>
        <w:rPr>
          <w:sz w:val="24"/>
        </w:rPr>
        <w:t>that are typically provided in adjacent </w:t>
      </w:r>
      <w:r>
        <w:rPr>
          <w:i/>
          <w:sz w:val="24"/>
        </w:rPr>
        <w:t>connected </w:t>
      </w:r>
      <w:r>
        <w:rPr>
          <w:i/>
          <w:sz w:val="24"/>
        </w:rPr>
        <w:t>inertia sub-networks </w:t>
      </w:r>
      <w:r>
        <w:rPr>
          <w:sz w:val="24"/>
        </w:rPr>
        <w:t>and the likelihood of the </w:t>
      </w:r>
      <w:r>
        <w:rPr>
          <w:i/>
          <w:sz w:val="24"/>
        </w:rPr>
        <w:t>inertia sub-network </w:t>
      </w:r>
      <w:r>
        <w:rPr>
          <w:sz w:val="24"/>
        </w:rPr>
        <w:t>becoming </w:t>
      </w:r>
      <w:r>
        <w:rPr>
          <w:i/>
          <w:sz w:val="24"/>
        </w:rPr>
        <w:t>islanded</w:t>
      </w:r>
      <w:r>
        <w:rPr>
          <w:sz w:val="24"/>
        </w:rPr>
        <w:t>;</w:t>
      </w:r>
      <w:r>
        <w:rPr>
          <w:spacing w:val="-1"/>
          <w:sz w:val="24"/>
        </w:rPr>
        <w:t> </w:t>
      </w:r>
      <w:r>
        <w:rPr>
          <w:sz w:val="24"/>
        </w:rPr>
        <w:t>and</w:t>
      </w:r>
    </w:p>
    <w:p>
      <w:pPr>
        <w:pStyle w:val="ListParagraph"/>
        <w:numPr>
          <w:ilvl w:val="3"/>
          <w:numId w:val="251"/>
        </w:numPr>
        <w:tabs>
          <w:tab w:pos="2486" w:val="left" w:leader="none"/>
        </w:tabs>
        <w:spacing w:line="240" w:lineRule="auto" w:before="120" w:after="0"/>
        <w:ind w:left="2486" w:right="415" w:hanging="567"/>
        <w:jc w:val="both"/>
        <w:rPr>
          <w:sz w:val="24"/>
        </w:rPr>
      </w:pPr>
      <w:r>
        <w:rPr>
          <w:sz w:val="24"/>
        </w:rPr>
        <w:t>any other matters that </w:t>
      </w:r>
      <w:r>
        <w:rPr>
          <w:i/>
          <w:sz w:val="24"/>
        </w:rPr>
        <w:t>AEMO </w:t>
      </w:r>
      <w:r>
        <w:rPr>
          <w:sz w:val="24"/>
        </w:rPr>
        <w:t>reasonably considers to be relevant </w:t>
      </w:r>
      <w:r>
        <w:rPr>
          <w:spacing w:val="-6"/>
          <w:sz w:val="24"/>
        </w:rPr>
        <w:t>in </w:t>
      </w:r>
      <w:r>
        <w:rPr>
          <w:sz w:val="24"/>
        </w:rPr>
        <w:t>making its</w:t>
      </w:r>
      <w:r>
        <w:rPr>
          <w:spacing w:val="-1"/>
          <w:sz w:val="24"/>
        </w:rPr>
        <w:t> </w:t>
      </w:r>
      <w:r>
        <w:rPr>
          <w:sz w:val="24"/>
        </w:rPr>
        <w:t>assessment.</w:t>
      </w:r>
    </w:p>
    <w:p>
      <w:pPr>
        <w:pStyle w:val="ListParagraph"/>
        <w:numPr>
          <w:ilvl w:val="2"/>
          <w:numId w:val="251"/>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assesses that there is or is likely to be an </w:t>
      </w:r>
      <w:r>
        <w:rPr>
          <w:i/>
          <w:sz w:val="24"/>
        </w:rPr>
        <w:t>inertia shortfall </w:t>
      </w:r>
      <w:r>
        <w:rPr>
          <w:sz w:val="24"/>
        </w:rPr>
        <w:t>in any </w:t>
      </w:r>
      <w:r>
        <w:rPr>
          <w:i/>
          <w:sz w:val="24"/>
        </w:rPr>
        <w:t>inertia sub-network</w:t>
      </w:r>
      <w:r>
        <w:rPr>
          <w:sz w:val="24"/>
        </w:rPr>
        <w:t>, </w:t>
      </w:r>
      <w:r>
        <w:rPr>
          <w:i/>
          <w:sz w:val="24"/>
        </w:rPr>
        <w:t>AEMO </w:t>
      </w:r>
      <w:r>
        <w:rPr>
          <w:sz w:val="24"/>
        </w:rPr>
        <w:t>must </w:t>
      </w:r>
      <w:r>
        <w:rPr>
          <w:i/>
          <w:sz w:val="24"/>
        </w:rPr>
        <w:t>publish </w:t>
      </w:r>
      <w:r>
        <w:rPr>
          <w:sz w:val="24"/>
        </w:rPr>
        <w:t>and give to the </w:t>
      </w:r>
      <w:r>
        <w:rPr>
          <w:i/>
          <w:sz w:val="24"/>
        </w:rPr>
        <w:t>Inertia Service </w:t>
      </w:r>
      <w:r>
        <w:rPr>
          <w:i/>
          <w:sz w:val="24"/>
        </w:rPr>
        <w:t>Provider </w:t>
      </w:r>
      <w:r>
        <w:rPr>
          <w:sz w:val="24"/>
        </w:rPr>
        <w:t>for the </w:t>
      </w:r>
      <w:r>
        <w:rPr>
          <w:i/>
          <w:sz w:val="24"/>
        </w:rPr>
        <w:t>inertia sub-network </w:t>
      </w:r>
      <w:r>
        <w:rPr>
          <w:sz w:val="24"/>
        </w:rPr>
        <w:t>a notice of that assessment that includes </w:t>
      </w:r>
      <w:r>
        <w:rPr>
          <w:i/>
          <w:sz w:val="24"/>
        </w:rPr>
        <w:t>AEMO's </w:t>
      </w:r>
      <w:r>
        <w:rPr>
          <w:sz w:val="24"/>
        </w:rPr>
        <w:t>specification of the date by which the </w:t>
      </w:r>
      <w:r>
        <w:rPr>
          <w:i/>
          <w:sz w:val="24"/>
        </w:rPr>
        <w:t>Inertia Service </w:t>
      </w:r>
      <w:r>
        <w:rPr>
          <w:i/>
          <w:sz w:val="24"/>
        </w:rPr>
        <w:t>Provider </w:t>
      </w:r>
      <w:r>
        <w:rPr>
          <w:sz w:val="24"/>
        </w:rPr>
        <w:t>must ensure the availability of </w:t>
      </w:r>
      <w:r>
        <w:rPr>
          <w:i/>
          <w:sz w:val="24"/>
        </w:rPr>
        <w:t>inertia network services </w:t>
      </w:r>
      <w:r>
        <w:rPr>
          <w:sz w:val="24"/>
        </w:rPr>
        <w:t>in accordance with clause 5.20B.4(b), which must not be earlier than 12 months after the notice is </w:t>
      </w:r>
      <w:r>
        <w:rPr>
          <w:i/>
          <w:sz w:val="24"/>
        </w:rPr>
        <w:t>published </w:t>
      </w:r>
      <w:r>
        <w:rPr>
          <w:sz w:val="24"/>
        </w:rPr>
        <w:t>unless an earlier date is agreed with the </w:t>
      </w:r>
      <w:r>
        <w:rPr>
          <w:i/>
          <w:sz w:val="24"/>
        </w:rPr>
        <w:t>Inertia Service</w:t>
      </w:r>
      <w:r>
        <w:rPr>
          <w:i/>
          <w:spacing w:val="-1"/>
          <w:sz w:val="24"/>
        </w:rPr>
        <w:t> </w:t>
      </w:r>
      <w:r>
        <w:rPr>
          <w:i/>
          <w:sz w:val="24"/>
        </w:rPr>
        <w:t>Provider</w:t>
      </w:r>
      <w:r>
        <w:rPr>
          <w:sz w:val="24"/>
        </w:rPr>
        <w:t>.</w:t>
      </w:r>
    </w:p>
    <w:p>
      <w:pPr>
        <w:pStyle w:val="ListParagraph"/>
        <w:numPr>
          <w:ilvl w:val="2"/>
          <w:numId w:val="251"/>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assesses that an </w:t>
      </w:r>
      <w:r>
        <w:rPr>
          <w:i/>
          <w:sz w:val="24"/>
        </w:rPr>
        <w:t>inertia shortfall </w:t>
      </w:r>
      <w:r>
        <w:rPr>
          <w:sz w:val="24"/>
        </w:rPr>
        <w:t>in an </w:t>
      </w:r>
      <w:r>
        <w:rPr>
          <w:i/>
          <w:sz w:val="24"/>
        </w:rPr>
        <w:t>inertia sub-network </w:t>
      </w:r>
      <w:r>
        <w:rPr>
          <w:sz w:val="24"/>
        </w:rPr>
        <w:t>has been or will be remedied, </w:t>
      </w:r>
      <w:r>
        <w:rPr>
          <w:i/>
          <w:sz w:val="24"/>
        </w:rPr>
        <w:t>AEMO </w:t>
      </w:r>
      <w:r>
        <w:rPr>
          <w:sz w:val="24"/>
        </w:rPr>
        <w:t>must </w:t>
      </w:r>
      <w:r>
        <w:rPr>
          <w:i/>
          <w:sz w:val="24"/>
        </w:rPr>
        <w:t>publish </w:t>
      </w:r>
      <w:r>
        <w:rPr>
          <w:sz w:val="24"/>
        </w:rPr>
        <w:t>and give to the</w:t>
      </w:r>
      <w:r>
        <w:rPr>
          <w:spacing w:val="44"/>
          <w:sz w:val="24"/>
        </w:rPr>
        <w:t> </w:t>
      </w:r>
      <w:r>
        <w:rPr>
          <w:i/>
          <w:sz w:val="24"/>
        </w:rPr>
        <w:t>Inertia </w:t>
      </w:r>
      <w:r>
        <w:rPr>
          <w:i/>
          <w:sz w:val="24"/>
        </w:rPr>
        <w:t>Service Provider </w:t>
      </w:r>
      <w:r>
        <w:rPr>
          <w:sz w:val="24"/>
        </w:rPr>
        <w:t>for the </w:t>
      </w:r>
      <w:r>
        <w:rPr>
          <w:i/>
          <w:sz w:val="24"/>
        </w:rPr>
        <w:t>inertia sub-network </w:t>
      </w:r>
      <w:r>
        <w:rPr>
          <w:sz w:val="24"/>
        </w:rPr>
        <w:t>a notice of that assessment that includes </w:t>
      </w:r>
      <w:r>
        <w:rPr>
          <w:i/>
          <w:sz w:val="24"/>
        </w:rPr>
        <w:t>AEMO's </w:t>
      </w:r>
      <w:r>
        <w:rPr>
          <w:sz w:val="24"/>
        </w:rPr>
        <w:t>specification of the date from which the obligation of the </w:t>
      </w:r>
      <w:r>
        <w:rPr>
          <w:i/>
          <w:sz w:val="24"/>
        </w:rPr>
        <w:t>Inertia Service Provider </w:t>
      </w:r>
      <w:r>
        <w:rPr>
          <w:sz w:val="24"/>
        </w:rPr>
        <w:t>under clause 5.20B.4(b) ceases, which must not </w:t>
      </w:r>
      <w:r>
        <w:rPr>
          <w:spacing w:val="-7"/>
          <w:sz w:val="24"/>
        </w:rPr>
        <w:t>be </w:t>
      </w:r>
      <w:r>
        <w:rPr>
          <w:sz w:val="24"/>
        </w:rPr>
        <w:t>earlier than 12 months after the notice is </w:t>
      </w:r>
      <w:r>
        <w:rPr>
          <w:i/>
          <w:sz w:val="24"/>
        </w:rPr>
        <w:t>published </w:t>
      </w:r>
      <w:r>
        <w:rPr>
          <w:sz w:val="24"/>
        </w:rPr>
        <w:t>unless an earlier date is agreed with the </w:t>
      </w:r>
      <w:r>
        <w:rPr>
          <w:i/>
          <w:sz w:val="24"/>
        </w:rPr>
        <w:t>Inertia Service</w:t>
      </w:r>
      <w:r>
        <w:rPr>
          <w:i/>
          <w:spacing w:val="-1"/>
          <w:sz w:val="24"/>
        </w:rPr>
        <w:t> </w:t>
      </w:r>
      <w:r>
        <w:rPr>
          <w:i/>
          <w:sz w:val="24"/>
        </w:rPr>
        <w:t>Provider</w:t>
      </w:r>
      <w:r>
        <w:rPr>
          <w:sz w:val="24"/>
        </w:rPr>
        <w:t>.</w:t>
      </w:r>
    </w:p>
    <w:p>
      <w:pPr>
        <w:pStyle w:val="BodyText"/>
        <w:spacing w:before="10"/>
        <w:ind w:firstLine="0"/>
        <w:jc w:val="left"/>
        <w:rPr>
          <w:sz w:val="20"/>
        </w:rPr>
      </w:pPr>
    </w:p>
    <w:p>
      <w:pPr>
        <w:pStyle w:val="Heading4"/>
        <w:numPr>
          <w:ilvl w:val="1"/>
          <w:numId w:val="252"/>
        </w:numPr>
        <w:tabs>
          <w:tab w:pos="686" w:val="left" w:leader="none"/>
          <w:tab w:pos="1351" w:val="left" w:leader="none"/>
        </w:tabs>
        <w:spacing w:line="240" w:lineRule="auto" w:before="0" w:after="0"/>
        <w:ind w:left="686" w:right="0" w:hanging="468"/>
        <w:jc w:val="left"/>
      </w:pPr>
      <w:bookmarkStart w:name="5.20B.4 Inertia Service Provider to make" w:id="869"/>
      <w:bookmarkEnd w:id="869"/>
      <w:r>
        <w:rPr>
          <w:b w:val="0"/>
        </w:rPr>
      </w:r>
      <w:bookmarkStart w:name="_bookmark331" w:id="870"/>
      <w:bookmarkEnd w:id="870"/>
      <w:r>
        <w:rPr>
          <w:b w:val="0"/>
        </w:rPr>
      </w:r>
      <w:bookmarkStart w:name="_bookmark331" w:id="871"/>
      <w:bookmarkEnd w:id="871"/>
      <w:r>
        <w:rPr/>
        <w:t>B.</w:t>
      </w:r>
      <w:r>
        <w:rPr/>
        <w:t>4</w:t>
        <w:tab/>
        <w:t>Inertia Service Provider to make available inertia</w:t>
      </w:r>
      <w:r>
        <w:rPr>
          <w:spacing w:val="-4"/>
        </w:rPr>
        <w:t> </w:t>
      </w:r>
      <w:r>
        <w:rPr/>
        <w:t>services</w:t>
      </w:r>
    </w:p>
    <w:p>
      <w:pPr>
        <w:pStyle w:val="ListParagraph"/>
        <w:numPr>
          <w:ilvl w:val="2"/>
          <w:numId w:val="252"/>
        </w:numPr>
        <w:tabs>
          <w:tab w:pos="1919" w:val="left" w:leader="none"/>
        </w:tabs>
        <w:spacing w:line="240" w:lineRule="auto" w:before="120" w:after="0"/>
        <w:ind w:left="1918" w:right="0" w:hanging="567"/>
        <w:jc w:val="both"/>
        <w:rPr>
          <w:sz w:val="24"/>
        </w:rPr>
      </w:pPr>
      <w:r>
        <w:rPr>
          <w:sz w:val="24"/>
        </w:rPr>
        <w:t>The </w:t>
      </w:r>
      <w:r>
        <w:rPr>
          <w:i/>
          <w:sz w:val="24"/>
        </w:rPr>
        <w:t>Inertia Service Provider </w:t>
      </w:r>
      <w:r>
        <w:rPr>
          <w:sz w:val="24"/>
        </w:rPr>
        <w:t>for an </w:t>
      </w:r>
      <w:r>
        <w:rPr>
          <w:i/>
          <w:sz w:val="24"/>
        </w:rPr>
        <w:t>inertia sub-network</w:t>
      </w:r>
      <w:r>
        <w:rPr>
          <w:i/>
          <w:spacing w:val="-4"/>
          <w:sz w:val="24"/>
        </w:rPr>
        <w:t> </w:t>
      </w:r>
      <w:r>
        <w:rPr>
          <w:sz w:val="24"/>
        </w:rPr>
        <w:t>is:</w:t>
      </w:r>
    </w:p>
    <w:p>
      <w:pPr>
        <w:pStyle w:val="ListParagraph"/>
        <w:numPr>
          <w:ilvl w:val="3"/>
          <w:numId w:val="252"/>
        </w:numPr>
        <w:tabs>
          <w:tab w:pos="2486" w:val="left" w:leader="none"/>
        </w:tabs>
        <w:spacing w:line="240" w:lineRule="auto" w:before="120" w:after="0"/>
        <w:ind w:left="2486" w:right="416" w:hanging="567"/>
        <w:jc w:val="both"/>
        <w:rPr>
          <w:sz w:val="24"/>
        </w:rPr>
      </w:pPr>
      <w:r>
        <w:rPr>
          <w:sz w:val="24"/>
        </w:rPr>
        <w:t>the </w:t>
      </w:r>
      <w:r>
        <w:rPr>
          <w:i/>
          <w:sz w:val="24"/>
        </w:rPr>
        <w:t>Transmission Network Service Provider </w:t>
      </w:r>
      <w:r>
        <w:rPr>
          <w:sz w:val="24"/>
        </w:rPr>
        <w:t>for the </w:t>
      </w:r>
      <w:r>
        <w:rPr>
          <w:i/>
          <w:sz w:val="24"/>
        </w:rPr>
        <w:t>inertia sub- </w:t>
      </w:r>
      <w:r>
        <w:rPr>
          <w:i/>
          <w:sz w:val="24"/>
        </w:rPr>
        <w:t>network</w:t>
      </w:r>
      <w:r>
        <w:rPr>
          <w:sz w:val="24"/>
        </w:rPr>
        <w:t>; or</w:t>
      </w:r>
    </w:p>
    <w:p>
      <w:pPr>
        <w:pStyle w:val="ListParagraph"/>
        <w:numPr>
          <w:ilvl w:val="3"/>
          <w:numId w:val="252"/>
        </w:numPr>
        <w:tabs>
          <w:tab w:pos="2486" w:val="left" w:leader="none"/>
        </w:tabs>
        <w:spacing w:line="240" w:lineRule="auto" w:before="120" w:after="0"/>
        <w:ind w:left="2486" w:right="414" w:hanging="567"/>
        <w:jc w:val="both"/>
        <w:rPr>
          <w:sz w:val="24"/>
        </w:rPr>
      </w:pPr>
      <w:r>
        <w:rPr>
          <w:sz w:val="24"/>
        </w:rPr>
        <w:t>if there is more than one </w:t>
      </w:r>
      <w:r>
        <w:rPr>
          <w:i/>
          <w:sz w:val="24"/>
        </w:rPr>
        <w:t>Transmission Network Service Provider </w:t>
      </w:r>
      <w:r>
        <w:rPr>
          <w:sz w:val="24"/>
        </w:rPr>
        <w:t>for the </w:t>
      </w:r>
      <w:r>
        <w:rPr>
          <w:i/>
          <w:sz w:val="24"/>
        </w:rPr>
        <w:t>inertia sub-network</w:t>
      </w:r>
      <w:r>
        <w:rPr>
          <w:sz w:val="24"/>
        </w:rPr>
        <w:t>, the </w:t>
      </w:r>
      <w:r>
        <w:rPr>
          <w:i/>
          <w:sz w:val="24"/>
        </w:rPr>
        <w:t>jurisdictional planning body </w:t>
      </w:r>
      <w:r>
        <w:rPr>
          <w:sz w:val="24"/>
        </w:rPr>
        <w:t>for the </w:t>
      </w:r>
      <w:r>
        <w:rPr>
          <w:i/>
          <w:sz w:val="24"/>
        </w:rPr>
        <w:t>participating jurisdiction </w:t>
      </w:r>
      <w:r>
        <w:rPr>
          <w:sz w:val="24"/>
        </w:rPr>
        <w:t>in which the </w:t>
      </w:r>
      <w:r>
        <w:rPr>
          <w:i/>
          <w:sz w:val="24"/>
        </w:rPr>
        <w:t>inertia sub-network </w:t>
      </w:r>
      <w:r>
        <w:rPr>
          <w:sz w:val="24"/>
        </w:rPr>
        <w:t>is</w:t>
      </w:r>
      <w:r>
        <w:rPr>
          <w:spacing w:val="-8"/>
          <w:sz w:val="24"/>
        </w:rPr>
        <w:t> </w:t>
      </w:r>
      <w:r>
        <w:rPr>
          <w:sz w:val="24"/>
        </w:rPr>
        <w:t>located.</w:t>
      </w:r>
    </w:p>
    <w:p>
      <w:pPr>
        <w:pStyle w:val="ListParagraph"/>
        <w:numPr>
          <w:ilvl w:val="2"/>
          <w:numId w:val="252"/>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gives a notice under clause 5.20B.3(c) that </w:t>
      </w:r>
      <w:r>
        <w:rPr>
          <w:i/>
          <w:sz w:val="24"/>
        </w:rPr>
        <w:t>AEMO </w:t>
      </w:r>
      <w:r>
        <w:rPr>
          <w:sz w:val="24"/>
        </w:rPr>
        <w:t>has assessed that there is or is likely to be an </w:t>
      </w:r>
      <w:r>
        <w:rPr>
          <w:i/>
          <w:sz w:val="24"/>
        </w:rPr>
        <w:t>inertia shortfall </w:t>
      </w:r>
      <w:r>
        <w:rPr>
          <w:sz w:val="24"/>
        </w:rPr>
        <w:t>in an </w:t>
      </w:r>
      <w:r>
        <w:rPr>
          <w:i/>
          <w:sz w:val="24"/>
        </w:rPr>
        <w:t>inertia sub-network</w:t>
      </w:r>
      <w:r>
        <w:rPr>
          <w:sz w:val="24"/>
        </w:rPr>
        <w:t>, the </w:t>
      </w:r>
      <w:r>
        <w:rPr>
          <w:i/>
          <w:sz w:val="24"/>
        </w:rPr>
        <w:t>Inertia Service Provider </w:t>
      </w:r>
      <w:r>
        <w:rPr>
          <w:sz w:val="24"/>
        </w:rPr>
        <w:t>for the </w:t>
      </w:r>
      <w:r>
        <w:rPr>
          <w:i/>
          <w:sz w:val="24"/>
        </w:rPr>
        <w:t>inertia sub-network </w:t>
      </w:r>
      <w:r>
        <w:rPr>
          <w:sz w:val="24"/>
        </w:rPr>
        <w:t>must make </w:t>
      </w:r>
      <w:r>
        <w:rPr>
          <w:i/>
          <w:sz w:val="24"/>
        </w:rPr>
        <w:t>inertia </w:t>
      </w:r>
      <w:r>
        <w:rPr>
          <w:i/>
          <w:sz w:val="24"/>
        </w:rPr>
        <w:t>network services </w:t>
      </w:r>
      <w:r>
        <w:rPr>
          <w:sz w:val="24"/>
        </w:rPr>
        <w:t>available in accordance with paragraph (c) that when </w:t>
      </w:r>
      <w:r>
        <w:rPr>
          <w:i/>
          <w:sz w:val="24"/>
        </w:rPr>
        <w:t>enabled </w:t>
      </w:r>
      <w:r>
        <w:rPr>
          <w:sz w:val="24"/>
        </w:rPr>
        <w:t>will provide </w:t>
      </w:r>
      <w:r>
        <w:rPr>
          <w:i/>
          <w:sz w:val="24"/>
        </w:rPr>
        <w:t>inertia</w:t>
      </w:r>
      <w:r>
        <w:rPr>
          <w:i/>
          <w:spacing w:val="-1"/>
          <w:sz w:val="24"/>
        </w:rPr>
        <w:t> </w:t>
      </w:r>
      <w:r>
        <w:rPr>
          <w:sz w:val="24"/>
        </w:rPr>
        <w:t>to:</w:t>
      </w:r>
    </w:p>
    <w:p>
      <w:pPr>
        <w:pStyle w:val="ListParagraph"/>
        <w:numPr>
          <w:ilvl w:val="3"/>
          <w:numId w:val="252"/>
        </w:numPr>
        <w:tabs>
          <w:tab w:pos="2486" w:val="left" w:leader="none"/>
        </w:tabs>
        <w:spacing w:line="240" w:lineRule="auto" w:before="120" w:after="0"/>
        <w:ind w:left="2485" w:right="0" w:hanging="567"/>
        <w:jc w:val="both"/>
        <w:rPr>
          <w:sz w:val="24"/>
        </w:rPr>
      </w:pPr>
      <w:r>
        <w:rPr>
          <w:sz w:val="24"/>
        </w:rPr>
        <w:t>the </w:t>
      </w:r>
      <w:r>
        <w:rPr>
          <w:i/>
          <w:sz w:val="24"/>
        </w:rPr>
        <w:t>secure operating level of inertia</w:t>
      </w:r>
      <w:r>
        <w:rPr>
          <w:sz w:val="24"/>
        </w:rPr>
        <w:t>;</w:t>
      </w:r>
      <w:r>
        <w:rPr>
          <w:spacing w:val="-2"/>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3"/>
          <w:numId w:val="252"/>
        </w:numPr>
        <w:tabs>
          <w:tab w:pos="2486" w:val="left" w:leader="none"/>
        </w:tabs>
        <w:spacing w:line="240" w:lineRule="auto" w:before="83" w:after="0"/>
        <w:ind w:left="2486" w:right="417" w:hanging="567"/>
        <w:jc w:val="both"/>
        <w:rPr>
          <w:sz w:val="24"/>
        </w:rPr>
      </w:pPr>
      <w:r>
        <w:rPr>
          <w:sz w:val="24"/>
        </w:rPr>
        <w:t>the </w:t>
      </w:r>
      <w:r>
        <w:rPr>
          <w:i/>
          <w:sz w:val="24"/>
        </w:rPr>
        <w:t>secure operating level of inertia </w:t>
      </w:r>
      <w:r>
        <w:rPr>
          <w:sz w:val="24"/>
        </w:rPr>
        <w:t>as adjusted for </w:t>
      </w:r>
      <w:r>
        <w:rPr>
          <w:i/>
          <w:sz w:val="24"/>
        </w:rPr>
        <w:t>inertia support </w:t>
      </w:r>
      <w:r>
        <w:rPr>
          <w:i/>
          <w:sz w:val="24"/>
        </w:rPr>
        <w:t>activities</w:t>
      </w:r>
      <w:r>
        <w:rPr>
          <w:sz w:val="24"/>
        </w:rPr>
        <w:t>, but not less than the </w:t>
      </w:r>
      <w:r>
        <w:rPr>
          <w:i/>
          <w:sz w:val="24"/>
        </w:rPr>
        <w:t>minimum threshold level of inertia </w:t>
      </w:r>
      <w:r>
        <w:rPr>
          <w:sz w:val="24"/>
        </w:rPr>
        <w:t>as adjusted for </w:t>
      </w:r>
      <w:r>
        <w:rPr>
          <w:i/>
          <w:sz w:val="24"/>
        </w:rPr>
        <w:t>inertia support</w:t>
      </w:r>
      <w:r>
        <w:rPr>
          <w:i/>
          <w:spacing w:val="-2"/>
          <w:sz w:val="24"/>
        </w:rPr>
        <w:t> </w:t>
      </w:r>
      <w:r>
        <w:rPr>
          <w:i/>
          <w:sz w:val="24"/>
        </w:rPr>
        <w:t>activities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2"/>
        </w:numPr>
        <w:tabs>
          <w:tab w:pos="1919" w:val="left" w:leader="none"/>
        </w:tabs>
        <w:spacing w:line="240" w:lineRule="auto" w:before="120" w:after="0"/>
        <w:ind w:left="1919" w:right="415" w:hanging="567"/>
        <w:jc w:val="both"/>
        <w:rPr>
          <w:sz w:val="24"/>
        </w:rPr>
      </w:pPr>
      <w:r>
        <w:rPr>
          <w:sz w:val="24"/>
        </w:rPr>
        <w:t>For the purposes of paragraph (b), an </w:t>
      </w:r>
      <w:r>
        <w:rPr>
          <w:i/>
          <w:sz w:val="24"/>
        </w:rPr>
        <w:t>Inertia Service Provider </w:t>
      </w:r>
      <w:r>
        <w:rPr>
          <w:sz w:val="24"/>
        </w:rPr>
        <w:t>for an </w:t>
      </w:r>
      <w:r>
        <w:rPr>
          <w:i/>
          <w:sz w:val="24"/>
        </w:rPr>
        <w:t>inertia </w:t>
      </w:r>
      <w:r>
        <w:rPr>
          <w:i/>
          <w:sz w:val="24"/>
        </w:rPr>
        <w:t>sub-network</w:t>
      </w:r>
      <w:r>
        <w:rPr>
          <w:i/>
          <w:spacing w:val="-2"/>
          <w:sz w:val="24"/>
        </w:rPr>
        <w:t> </w:t>
      </w:r>
      <w:r>
        <w:rPr>
          <w:sz w:val="24"/>
        </w:rPr>
        <w:t>must:</w:t>
      </w:r>
    </w:p>
    <w:p>
      <w:pPr>
        <w:pStyle w:val="ListParagraph"/>
        <w:numPr>
          <w:ilvl w:val="3"/>
          <w:numId w:val="252"/>
        </w:numPr>
        <w:tabs>
          <w:tab w:pos="2486" w:val="left" w:leader="none"/>
        </w:tabs>
        <w:spacing w:line="240" w:lineRule="auto" w:before="120" w:after="0"/>
        <w:ind w:left="2486" w:right="415" w:hanging="567"/>
        <w:jc w:val="both"/>
        <w:rPr>
          <w:sz w:val="24"/>
        </w:rPr>
      </w:pPr>
      <w:r>
        <w:rPr>
          <w:sz w:val="24"/>
        </w:rPr>
        <w:t>use reasonable endeavours to make the </w:t>
      </w:r>
      <w:r>
        <w:rPr>
          <w:i/>
          <w:sz w:val="24"/>
        </w:rPr>
        <w:t>inertia network services </w:t>
      </w:r>
      <w:r>
        <w:rPr>
          <w:sz w:val="24"/>
        </w:rPr>
        <w:t>available by the date specified by </w:t>
      </w:r>
      <w:r>
        <w:rPr>
          <w:i/>
          <w:sz w:val="24"/>
        </w:rPr>
        <w:t>AEMO </w:t>
      </w:r>
      <w:r>
        <w:rPr>
          <w:sz w:val="24"/>
        </w:rPr>
        <w:t>in the notice under clause 5.20B.3(c);</w:t>
      </w:r>
    </w:p>
    <w:p>
      <w:pPr>
        <w:pStyle w:val="ListParagraph"/>
        <w:numPr>
          <w:ilvl w:val="3"/>
          <w:numId w:val="252"/>
        </w:numPr>
        <w:tabs>
          <w:tab w:pos="2486" w:val="left" w:leader="none"/>
        </w:tabs>
        <w:spacing w:line="240" w:lineRule="auto" w:before="120" w:after="0"/>
        <w:ind w:left="2486" w:right="415" w:hanging="567"/>
        <w:jc w:val="both"/>
        <w:rPr>
          <w:sz w:val="24"/>
        </w:rPr>
      </w:pPr>
      <w:r>
        <w:rPr>
          <w:sz w:val="24"/>
        </w:rPr>
        <w:t>make a range and level of </w:t>
      </w:r>
      <w:r>
        <w:rPr>
          <w:i/>
          <w:sz w:val="24"/>
        </w:rPr>
        <w:t>inertia network services </w:t>
      </w:r>
      <w:r>
        <w:rPr>
          <w:sz w:val="24"/>
        </w:rPr>
        <w:t>available such that it is reasonably likely that </w:t>
      </w:r>
      <w:r>
        <w:rPr>
          <w:i/>
          <w:sz w:val="24"/>
        </w:rPr>
        <w:t>inertia network services </w:t>
      </w:r>
      <w:r>
        <w:rPr>
          <w:sz w:val="24"/>
        </w:rPr>
        <w:t>that provide the required level of </w:t>
      </w:r>
      <w:r>
        <w:rPr>
          <w:i/>
          <w:sz w:val="24"/>
        </w:rPr>
        <w:t>inertia </w:t>
      </w:r>
      <w:r>
        <w:rPr>
          <w:sz w:val="24"/>
        </w:rPr>
        <w:t>when </w:t>
      </w:r>
      <w:r>
        <w:rPr>
          <w:i/>
          <w:sz w:val="24"/>
        </w:rPr>
        <w:t>enabled </w:t>
      </w:r>
      <w:r>
        <w:rPr>
          <w:sz w:val="24"/>
        </w:rPr>
        <w:t>are continuously available, taking into account planned </w:t>
      </w:r>
      <w:r>
        <w:rPr>
          <w:i/>
          <w:sz w:val="24"/>
        </w:rPr>
        <w:t>outages </w:t>
      </w:r>
      <w:r>
        <w:rPr>
          <w:sz w:val="24"/>
        </w:rPr>
        <w:t>and the risk of </w:t>
      </w:r>
      <w:r>
        <w:rPr>
          <w:spacing w:val="-3"/>
          <w:sz w:val="24"/>
        </w:rPr>
        <w:t>unplanned </w:t>
      </w:r>
      <w:r>
        <w:rPr>
          <w:i/>
          <w:sz w:val="24"/>
        </w:rPr>
        <w:t>outages</w:t>
      </w:r>
      <w:r>
        <w:rPr>
          <w:sz w:val="24"/>
        </w:rPr>
        <w:t>;</w:t>
      </w:r>
    </w:p>
    <w:p>
      <w:pPr>
        <w:pStyle w:val="ListParagraph"/>
        <w:numPr>
          <w:ilvl w:val="3"/>
          <w:numId w:val="252"/>
        </w:numPr>
        <w:tabs>
          <w:tab w:pos="2486" w:val="left" w:leader="none"/>
        </w:tabs>
        <w:spacing w:line="240" w:lineRule="auto" w:before="120" w:after="0"/>
        <w:ind w:left="2486" w:right="414" w:hanging="567"/>
        <w:jc w:val="both"/>
        <w:rPr>
          <w:sz w:val="24"/>
        </w:rPr>
      </w:pPr>
      <w:r>
        <w:rPr>
          <w:sz w:val="24"/>
        </w:rPr>
        <w:t>ensure that the </w:t>
      </w:r>
      <w:r>
        <w:rPr>
          <w:i/>
          <w:sz w:val="24"/>
        </w:rPr>
        <w:t>inertia network services </w:t>
      </w:r>
      <w:r>
        <w:rPr>
          <w:sz w:val="24"/>
        </w:rPr>
        <w:t>that when </w:t>
      </w:r>
      <w:r>
        <w:rPr>
          <w:i/>
          <w:sz w:val="24"/>
        </w:rPr>
        <w:t>enabled </w:t>
      </w:r>
      <w:r>
        <w:rPr>
          <w:sz w:val="24"/>
        </w:rPr>
        <w:t>provide </w:t>
      </w:r>
      <w:r>
        <w:rPr>
          <w:i/>
          <w:sz w:val="24"/>
        </w:rPr>
        <w:t>inertia </w:t>
      </w:r>
      <w:r>
        <w:rPr>
          <w:sz w:val="24"/>
        </w:rPr>
        <w:t>up to the </w:t>
      </w:r>
      <w:r>
        <w:rPr>
          <w:i/>
          <w:sz w:val="24"/>
        </w:rPr>
        <w:t>minimum threshold level of inertia </w:t>
      </w:r>
      <w:r>
        <w:rPr>
          <w:sz w:val="24"/>
        </w:rPr>
        <w:t>(as adjusted for </w:t>
      </w:r>
      <w:r>
        <w:rPr>
          <w:i/>
          <w:sz w:val="24"/>
        </w:rPr>
        <w:t>inertia support activities </w:t>
      </w:r>
      <w:r>
        <w:rPr>
          <w:sz w:val="24"/>
        </w:rPr>
        <w:t>if applicable) are qualifying </w:t>
      </w:r>
      <w:r>
        <w:rPr>
          <w:i/>
          <w:sz w:val="24"/>
        </w:rPr>
        <w:t>inertia network </w:t>
      </w:r>
      <w:r>
        <w:rPr>
          <w:i/>
          <w:sz w:val="24"/>
        </w:rPr>
        <w:t>services </w:t>
      </w:r>
      <w:r>
        <w:rPr>
          <w:sz w:val="24"/>
        </w:rPr>
        <w:t>as specified in paragraph</w:t>
      </w:r>
      <w:r>
        <w:rPr>
          <w:spacing w:val="-3"/>
          <w:sz w:val="24"/>
        </w:rPr>
        <w:t> </w:t>
      </w:r>
      <w:r>
        <w:rPr>
          <w:sz w:val="24"/>
        </w:rPr>
        <w:t>(d);</w:t>
      </w:r>
    </w:p>
    <w:p>
      <w:pPr>
        <w:pStyle w:val="ListParagraph"/>
        <w:numPr>
          <w:ilvl w:val="3"/>
          <w:numId w:val="252"/>
        </w:numPr>
        <w:tabs>
          <w:tab w:pos="2486" w:val="left" w:leader="none"/>
        </w:tabs>
        <w:spacing w:line="240" w:lineRule="auto" w:before="120" w:after="0"/>
        <w:ind w:left="2486" w:right="415" w:hanging="567"/>
        <w:jc w:val="both"/>
        <w:rPr>
          <w:sz w:val="24"/>
        </w:rPr>
      </w:pPr>
      <w:r>
        <w:rPr>
          <w:sz w:val="24"/>
        </w:rPr>
        <w:t>ensure that the </w:t>
      </w:r>
      <w:r>
        <w:rPr>
          <w:i/>
          <w:sz w:val="24"/>
        </w:rPr>
        <w:t>inertia network services </w:t>
      </w:r>
      <w:r>
        <w:rPr>
          <w:sz w:val="24"/>
        </w:rPr>
        <w:t>that when enabled provide </w:t>
      </w:r>
      <w:r>
        <w:rPr>
          <w:i/>
          <w:sz w:val="24"/>
        </w:rPr>
        <w:t>inertia </w:t>
      </w:r>
      <w:r>
        <w:rPr>
          <w:sz w:val="24"/>
        </w:rPr>
        <w:t>beyond the </w:t>
      </w:r>
      <w:r>
        <w:rPr>
          <w:i/>
          <w:sz w:val="24"/>
        </w:rPr>
        <w:t>minimum threshold level of inertia </w:t>
      </w:r>
      <w:r>
        <w:rPr>
          <w:sz w:val="24"/>
        </w:rPr>
        <w:t>up to the </w:t>
      </w:r>
      <w:r>
        <w:rPr>
          <w:i/>
          <w:sz w:val="24"/>
        </w:rPr>
        <w:t>secure </w:t>
      </w:r>
      <w:r>
        <w:rPr>
          <w:i/>
          <w:sz w:val="24"/>
        </w:rPr>
        <w:t>operating level of inertia </w:t>
      </w:r>
      <w:r>
        <w:rPr>
          <w:sz w:val="24"/>
        </w:rPr>
        <w:t>(as adjusted for </w:t>
      </w:r>
      <w:r>
        <w:rPr>
          <w:i/>
          <w:sz w:val="24"/>
        </w:rPr>
        <w:t>inertia support activities </w:t>
      </w:r>
      <w:r>
        <w:rPr>
          <w:sz w:val="24"/>
        </w:rPr>
        <w:t>if applicable), are qualifying </w:t>
      </w:r>
      <w:r>
        <w:rPr>
          <w:i/>
          <w:sz w:val="24"/>
        </w:rPr>
        <w:t>inertia network services </w:t>
      </w:r>
      <w:r>
        <w:rPr>
          <w:sz w:val="24"/>
        </w:rPr>
        <w:t>as specified in paragraph (e);</w:t>
      </w:r>
      <w:r>
        <w:rPr>
          <w:spacing w:val="-1"/>
          <w:sz w:val="24"/>
        </w:rPr>
        <w:t> </w:t>
      </w:r>
      <w:r>
        <w:rPr>
          <w:sz w:val="24"/>
        </w:rPr>
        <w:t>and</w:t>
      </w:r>
    </w:p>
    <w:p>
      <w:pPr>
        <w:pStyle w:val="ListParagraph"/>
        <w:numPr>
          <w:ilvl w:val="3"/>
          <w:numId w:val="252"/>
        </w:numPr>
        <w:tabs>
          <w:tab w:pos="2486" w:val="left" w:leader="none"/>
        </w:tabs>
        <w:spacing w:line="240" w:lineRule="auto" w:before="120" w:after="0"/>
        <w:ind w:left="2486" w:right="415" w:hanging="567"/>
        <w:jc w:val="both"/>
        <w:rPr>
          <w:sz w:val="24"/>
        </w:rPr>
      </w:pPr>
      <w:r>
        <w:rPr>
          <w:sz w:val="24"/>
        </w:rPr>
        <w:t>maintain the availability of those </w:t>
      </w:r>
      <w:r>
        <w:rPr>
          <w:i/>
          <w:sz w:val="24"/>
        </w:rPr>
        <w:t>inertia network services </w:t>
      </w:r>
      <w:r>
        <w:rPr>
          <w:sz w:val="24"/>
        </w:rPr>
        <w:t>until the date the </w:t>
      </w:r>
      <w:r>
        <w:rPr>
          <w:i/>
          <w:sz w:val="24"/>
        </w:rPr>
        <w:t>Inertia Service Provider's </w:t>
      </w:r>
      <w:r>
        <w:rPr>
          <w:sz w:val="24"/>
        </w:rPr>
        <w:t>obligation ceases, as specified by </w:t>
      </w:r>
      <w:r>
        <w:rPr>
          <w:i/>
          <w:sz w:val="24"/>
        </w:rPr>
        <w:t>AEMO </w:t>
      </w:r>
      <w:r>
        <w:rPr>
          <w:sz w:val="24"/>
        </w:rPr>
        <w:t>under clause</w:t>
      </w:r>
      <w:r>
        <w:rPr>
          <w:spacing w:val="-1"/>
          <w:sz w:val="24"/>
        </w:rPr>
        <w:t> </w:t>
      </w:r>
      <w:r>
        <w:rPr>
          <w:sz w:val="24"/>
        </w:rPr>
        <w:t>5.20B.3(d).</w:t>
      </w:r>
    </w:p>
    <w:p>
      <w:pPr>
        <w:pStyle w:val="ListParagraph"/>
        <w:numPr>
          <w:ilvl w:val="2"/>
          <w:numId w:val="252"/>
        </w:numPr>
        <w:tabs>
          <w:tab w:pos="1919" w:val="left" w:leader="none"/>
        </w:tabs>
        <w:spacing w:line="240" w:lineRule="auto" w:before="120" w:after="0"/>
        <w:ind w:left="1918" w:right="0" w:hanging="567"/>
        <w:jc w:val="both"/>
        <w:rPr>
          <w:sz w:val="24"/>
        </w:rPr>
      </w:pPr>
      <w:r>
        <w:rPr>
          <w:sz w:val="24"/>
        </w:rPr>
        <w:t>The</w:t>
      </w:r>
      <w:r>
        <w:rPr>
          <w:spacing w:val="14"/>
          <w:sz w:val="24"/>
        </w:rPr>
        <w:t> </w:t>
      </w:r>
      <w:r>
        <w:rPr>
          <w:i/>
          <w:sz w:val="24"/>
        </w:rPr>
        <w:t>inertia</w:t>
      </w:r>
      <w:r>
        <w:rPr>
          <w:i/>
          <w:spacing w:val="14"/>
          <w:sz w:val="24"/>
        </w:rPr>
        <w:t> </w:t>
      </w:r>
      <w:r>
        <w:rPr>
          <w:i/>
          <w:sz w:val="24"/>
        </w:rPr>
        <w:t>network</w:t>
      </w:r>
      <w:r>
        <w:rPr>
          <w:i/>
          <w:spacing w:val="14"/>
          <w:sz w:val="24"/>
        </w:rPr>
        <w:t> </w:t>
      </w:r>
      <w:r>
        <w:rPr>
          <w:i/>
          <w:sz w:val="24"/>
        </w:rPr>
        <w:t>services</w:t>
      </w:r>
      <w:r>
        <w:rPr>
          <w:i/>
          <w:spacing w:val="14"/>
          <w:sz w:val="24"/>
        </w:rPr>
        <w:t> </w:t>
      </w:r>
      <w:r>
        <w:rPr>
          <w:sz w:val="24"/>
        </w:rPr>
        <w:t>that</w:t>
      </w:r>
      <w:r>
        <w:rPr>
          <w:spacing w:val="15"/>
          <w:sz w:val="24"/>
        </w:rPr>
        <w:t> </w:t>
      </w:r>
      <w:r>
        <w:rPr>
          <w:sz w:val="24"/>
        </w:rPr>
        <w:t>qualify</w:t>
      </w:r>
      <w:r>
        <w:rPr>
          <w:spacing w:val="14"/>
          <w:sz w:val="24"/>
        </w:rPr>
        <w:t> </w:t>
      </w:r>
      <w:r>
        <w:rPr>
          <w:sz w:val="24"/>
        </w:rPr>
        <w:t>to</w:t>
      </w:r>
      <w:r>
        <w:rPr>
          <w:spacing w:val="14"/>
          <w:sz w:val="24"/>
        </w:rPr>
        <w:t> </w:t>
      </w:r>
      <w:r>
        <w:rPr>
          <w:sz w:val="24"/>
        </w:rPr>
        <w:t>provide</w:t>
      </w:r>
      <w:r>
        <w:rPr>
          <w:spacing w:val="14"/>
          <w:sz w:val="24"/>
        </w:rPr>
        <w:t> </w:t>
      </w:r>
      <w:r>
        <w:rPr>
          <w:i/>
          <w:sz w:val="24"/>
        </w:rPr>
        <w:t>inertia</w:t>
      </w:r>
      <w:r>
        <w:rPr>
          <w:i/>
          <w:spacing w:val="15"/>
          <w:sz w:val="24"/>
        </w:rPr>
        <w:t> </w:t>
      </w:r>
      <w:r>
        <w:rPr>
          <w:sz w:val="24"/>
        </w:rPr>
        <w:t>up</w:t>
      </w:r>
      <w:r>
        <w:rPr>
          <w:spacing w:val="14"/>
          <w:sz w:val="24"/>
        </w:rPr>
        <w:t> </w:t>
      </w:r>
      <w:r>
        <w:rPr>
          <w:sz w:val="24"/>
        </w:rPr>
        <w:t>to</w:t>
      </w:r>
      <w:r>
        <w:rPr>
          <w:spacing w:val="14"/>
          <w:sz w:val="24"/>
        </w:rPr>
        <w:t> </w:t>
      </w:r>
      <w:r>
        <w:rPr>
          <w:sz w:val="24"/>
        </w:rPr>
        <w:t>the</w:t>
      </w:r>
    </w:p>
    <w:p>
      <w:pPr>
        <w:spacing w:before="0"/>
        <w:ind w:left="1919" w:right="0" w:firstLine="0"/>
        <w:jc w:val="both"/>
        <w:rPr>
          <w:sz w:val="24"/>
        </w:rPr>
      </w:pPr>
      <w:r>
        <w:rPr>
          <w:i/>
          <w:sz w:val="24"/>
        </w:rPr>
        <w:t>minimum threshold level of inertia </w:t>
      </w:r>
      <w:r>
        <w:rPr>
          <w:sz w:val="24"/>
        </w:rPr>
        <w:t>are:</w:t>
      </w:r>
    </w:p>
    <w:p>
      <w:pPr>
        <w:pStyle w:val="ListParagraph"/>
        <w:numPr>
          <w:ilvl w:val="3"/>
          <w:numId w:val="252"/>
        </w:numPr>
        <w:tabs>
          <w:tab w:pos="2486" w:val="left" w:leader="none"/>
        </w:tabs>
        <w:spacing w:line="240" w:lineRule="auto" w:before="120" w:after="0"/>
        <w:ind w:left="2486" w:right="414" w:hanging="567"/>
        <w:jc w:val="both"/>
        <w:rPr>
          <w:sz w:val="24"/>
        </w:rPr>
      </w:pPr>
      <w:r>
        <w:rPr>
          <w:i/>
          <w:sz w:val="24"/>
        </w:rPr>
        <w:t>inertia network services </w:t>
      </w:r>
      <w:r>
        <w:rPr>
          <w:sz w:val="24"/>
        </w:rPr>
        <w:t>made available by the </w:t>
      </w:r>
      <w:r>
        <w:rPr>
          <w:i/>
          <w:sz w:val="24"/>
        </w:rPr>
        <w:t>Inertia Service </w:t>
      </w:r>
      <w:r>
        <w:rPr>
          <w:i/>
          <w:sz w:val="24"/>
        </w:rPr>
        <w:t>Provider </w:t>
      </w:r>
      <w:r>
        <w:rPr>
          <w:sz w:val="24"/>
        </w:rPr>
        <w:t>investing in its </w:t>
      </w:r>
      <w:r>
        <w:rPr>
          <w:i/>
          <w:sz w:val="24"/>
        </w:rPr>
        <w:t>network </w:t>
      </w:r>
      <w:r>
        <w:rPr>
          <w:sz w:val="24"/>
        </w:rPr>
        <w:t>through the installation, commissioning and operation of a </w:t>
      </w:r>
      <w:r>
        <w:rPr>
          <w:i/>
          <w:sz w:val="24"/>
        </w:rPr>
        <w:t>synchronous condensor</w:t>
      </w:r>
      <w:r>
        <w:rPr>
          <w:sz w:val="24"/>
        </w:rPr>
        <w:t>;</w:t>
      </w:r>
      <w:r>
        <w:rPr>
          <w:spacing w:val="-7"/>
          <w:sz w:val="24"/>
        </w:rPr>
        <w:t> </w:t>
      </w:r>
      <w:r>
        <w:rPr>
          <w:sz w:val="24"/>
        </w:rPr>
        <w:t>and</w:t>
      </w:r>
    </w:p>
    <w:p>
      <w:pPr>
        <w:pStyle w:val="ListParagraph"/>
        <w:numPr>
          <w:ilvl w:val="3"/>
          <w:numId w:val="252"/>
        </w:numPr>
        <w:tabs>
          <w:tab w:pos="2486" w:val="left" w:leader="none"/>
        </w:tabs>
        <w:spacing w:line="240" w:lineRule="auto" w:before="120" w:after="0"/>
        <w:ind w:left="2486" w:right="414" w:hanging="567"/>
        <w:jc w:val="both"/>
        <w:rPr>
          <w:sz w:val="24"/>
        </w:rPr>
      </w:pPr>
      <w:r>
        <w:rPr>
          <w:i/>
          <w:sz w:val="24"/>
        </w:rPr>
        <w:t>inertia network services </w:t>
      </w:r>
      <w:r>
        <w:rPr>
          <w:sz w:val="24"/>
        </w:rPr>
        <w:t>made available to the </w:t>
      </w:r>
      <w:r>
        <w:rPr>
          <w:i/>
          <w:sz w:val="24"/>
        </w:rPr>
        <w:t>Inertia Service  </w:t>
      </w:r>
      <w:r>
        <w:rPr>
          <w:i/>
          <w:sz w:val="24"/>
        </w:rPr>
        <w:t>Provider </w:t>
      </w:r>
      <w:r>
        <w:rPr>
          <w:sz w:val="24"/>
        </w:rPr>
        <w:t>by a </w:t>
      </w:r>
      <w:r>
        <w:rPr>
          <w:i/>
          <w:sz w:val="24"/>
        </w:rPr>
        <w:t>Registered Participant </w:t>
      </w:r>
      <w:r>
        <w:rPr>
          <w:sz w:val="24"/>
        </w:rPr>
        <w:t>and provided by means of </w:t>
      </w:r>
      <w:r>
        <w:rPr>
          <w:spacing w:val="-12"/>
          <w:sz w:val="24"/>
        </w:rPr>
        <w:t>a </w:t>
      </w:r>
      <w:r>
        <w:rPr>
          <w:i/>
          <w:sz w:val="24"/>
        </w:rPr>
        <w:t>synchronous generating unit </w:t>
      </w:r>
      <w:r>
        <w:rPr>
          <w:sz w:val="24"/>
        </w:rPr>
        <w:t>or a </w:t>
      </w:r>
      <w:r>
        <w:rPr>
          <w:i/>
          <w:sz w:val="24"/>
        </w:rPr>
        <w:t>synchronous condensor </w:t>
      </w:r>
      <w:r>
        <w:rPr>
          <w:sz w:val="24"/>
        </w:rPr>
        <w:t>under an </w:t>
      </w:r>
      <w:r>
        <w:rPr>
          <w:i/>
          <w:sz w:val="24"/>
        </w:rPr>
        <w:t>inertia services</w:t>
      </w:r>
      <w:r>
        <w:rPr>
          <w:i/>
          <w:spacing w:val="-1"/>
          <w:sz w:val="24"/>
        </w:rPr>
        <w:t> </w:t>
      </w:r>
      <w:r>
        <w:rPr>
          <w:i/>
          <w:sz w:val="24"/>
        </w:rPr>
        <w:t>agreement</w:t>
      </w:r>
      <w:r>
        <w:rPr>
          <w:sz w:val="24"/>
        </w:rPr>
        <w:t>.</w:t>
      </w:r>
    </w:p>
    <w:p>
      <w:pPr>
        <w:pStyle w:val="ListParagraph"/>
        <w:numPr>
          <w:ilvl w:val="2"/>
          <w:numId w:val="252"/>
        </w:numPr>
        <w:tabs>
          <w:tab w:pos="1919" w:val="left" w:leader="none"/>
        </w:tabs>
        <w:spacing w:line="240" w:lineRule="auto" w:before="120" w:after="0"/>
        <w:ind w:left="1919" w:right="415" w:hanging="567"/>
        <w:jc w:val="both"/>
        <w:rPr>
          <w:sz w:val="24"/>
        </w:rPr>
      </w:pPr>
      <w:r>
        <w:rPr>
          <w:sz w:val="24"/>
        </w:rPr>
        <w:t>The </w:t>
      </w:r>
      <w:r>
        <w:rPr>
          <w:i/>
          <w:sz w:val="24"/>
        </w:rPr>
        <w:t>inertia network services </w:t>
      </w:r>
      <w:r>
        <w:rPr>
          <w:sz w:val="24"/>
        </w:rPr>
        <w:t>that qualify to provide </w:t>
      </w:r>
      <w:r>
        <w:rPr>
          <w:i/>
          <w:sz w:val="24"/>
        </w:rPr>
        <w:t>inertia </w:t>
      </w:r>
      <w:r>
        <w:rPr>
          <w:sz w:val="24"/>
        </w:rPr>
        <w:t>beyond the </w:t>
      </w:r>
      <w:r>
        <w:rPr>
          <w:i/>
          <w:sz w:val="24"/>
        </w:rPr>
        <w:t>minimum threshold level </w:t>
      </w:r>
      <w:r>
        <w:rPr>
          <w:sz w:val="24"/>
        </w:rPr>
        <w:t>of </w:t>
      </w:r>
      <w:r>
        <w:rPr>
          <w:i/>
          <w:sz w:val="24"/>
        </w:rPr>
        <w:t>inertia </w:t>
      </w:r>
      <w:r>
        <w:rPr>
          <w:sz w:val="24"/>
        </w:rPr>
        <w:t>up to the </w:t>
      </w:r>
      <w:r>
        <w:rPr>
          <w:i/>
          <w:sz w:val="24"/>
        </w:rPr>
        <w:t>secure operating level  of </w:t>
      </w:r>
      <w:r>
        <w:rPr>
          <w:i/>
          <w:sz w:val="24"/>
        </w:rPr>
        <w:t>inertia </w:t>
      </w:r>
      <w:r>
        <w:rPr>
          <w:sz w:val="24"/>
        </w:rPr>
        <w:t>are:</w:t>
      </w:r>
    </w:p>
    <w:p>
      <w:pPr>
        <w:pStyle w:val="ListParagraph"/>
        <w:numPr>
          <w:ilvl w:val="3"/>
          <w:numId w:val="252"/>
        </w:numPr>
        <w:tabs>
          <w:tab w:pos="2486" w:val="left" w:leader="none"/>
        </w:tabs>
        <w:spacing w:line="240" w:lineRule="auto" w:before="120" w:after="0"/>
        <w:ind w:left="2485" w:right="0" w:hanging="567"/>
        <w:jc w:val="both"/>
        <w:rPr>
          <w:sz w:val="24"/>
        </w:rPr>
      </w:pPr>
      <w:r>
        <w:rPr>
          <w:sz w:val="24"/>
        </w:rPr>
        <w:t>the </w:t>
      </w:r>
      <w:r>
        <w:rPr>
          <w:i/>
          <w:sz w:val="24"/>
        </w:rPr>
        <w:t>inertia network services </w:t>
      </w:r>
      <w:r>
        <w:rPr>
          <w:sz w:val="24"/>
        </w:rPr>
        <w:t>referred to in paragraph</w:t>
      </w:r>
      <w:r>
        <w:rPr>
          <w:spacing w:val="-2"/>
          <w:sz w:val="24"/>
        </w:rPr>
        <w:t> </w:t>
      </w:r>
      <w:r>
        <w:rPr>
          <w:sz w:val="24"/>
        </w:rPr>
        <w:t>(d);</w:t>
      </w:r>
    </w:p>
    <w:p>
      <w:pPr>
        <w:pStyle w:val="ListParagraph"/>
        <w:numPr>
          <w:ilvl w:val="3"/>
          <w:numId w:val="252"/>
        </w:numPr>
        <w:tabs>
          <w:tab w:pos="2486" w:val="left" w:leader="none"/>
        </w:tabs>
        <w:spacing w:line="240" w:lineRule="auto" w:before="120" w:after="0"/>
        <w:ind w:left="2486" w:right="414" w:hanging="567"/>
        <w:jc w:val="both"/>
        <w:rPr>
          <w:sz w:val="24"/>
        </w:rPr>
      </w:pPr>
      <w:r>
        <w:rPr>
          <w:i/>
          <w:sz w:val="24"/>
        </w:rPr>
        <w:t>inertia network services </w:t>
      </w:r>
      <w:r>
        <w:rPr>
          <w:sz w:val="24"/>
        </w:rPr>
        <w:t>made available by the </w:t>
      </w:r>
      <w:r>
        <w:rPr>
          <w:i/>
          <w:sz w:val="24"/>
        </w:rPr>
        <w:t>Inertia Service </w:t>
      </w:r>
      <w:r>
        <w:rPr>
          <w:i/>
          <w:sz w:val="24"/>
        </w:rPr>
        <w:t>Provider </w:t>
      </w:r>
      <w:r>
        <w:rPr>
          <w:sz w:val="24"/>
        </w:rPr>
        <w:t>investing in its </w:t>
      </w:r>
      <w:r>
        <w:rPr>
          <w:i/>
          <w:sz w:val="24"/>
        </w:rPr>
        <w:t>network </w:t>
      </w:r>
      <w:r>
        <w:rPr>
          <w:sz w:val="24"/>
        </w:rPr>
        <w:t>other than those referred to in paragraph (d);</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3"/>
          <w:numId w:val="252"/>
        </w:numPr>
        <w:tabs>
          <w:tab w:pos="2486" w:val="left" w:leader="none"/>
        </w:tabs>
        <w:spacing w:line="240" w:lineRule="auto" w:before="83" w:after="0"/>
        <w:ind w:left="2486" w:right="415" w:hanging="567"/>
        <w:jc w:val="both"/>
        <w:rPr>
          <w:sz w:val="24"/>
        </w:rPr>
      </w:pPr>
      <w:r>
        <w:rPr>
          <w:i/>
          <w:sz w:val="24"/>
        </w:rPr>
        <w:t>inertia network services </w:t>
      </w:r>
      <w:r>
        <w:rPr>
          <w:sz w:val="24"/>
        </w:rPr>
        <w:t>made available to the </w:t>
      </w:r>
      <w:r>
        <w:rPr>
          <w:i/>
          <w:sz w:val="24"/>
        </w:rPr>
        <w:t>Inertia Service  </w:t>
      </w:r>
      <w:r>
        <w:rPr>
          <w:i/>
          <w:sz w:val="24"/>
        </w:rPr>
        <w:t>Provider </w:t>
      </w:r>
      <w:r>
        <w:rPr>
          <w:sz w:val="24"/>
        </w:rPr>
        <w:t>by a </w:t>
      </w:r>
      <w:r>
        <w:rPr>
          <w:i/>
          <w:sz w:val="24"/>
        </w:rPr>
        <w:t>Registered Participant </w:t>
      </w:r>
      <w:r>
        <w:rPr>
          <w:sz w:val="24"/>
        </w:rPr>
        <w:t>under an </w:t>
      </w:r>
      <w:r>
        <w:rPr>
          <w:i/>
          <w:sz w:val="24"/>
        </w:rPr>
        <w:t>inertia services </w:t>
      </w:r>
      <w:r>
        <w:rPr>
          <w:i/>
          <w:sz w:val="24"/>
        </w:rPr>
        <w:t>agreement </w:t>
      </w:r>
      <w:r>
        <w:rPr>
          <w:sz w:val="24"/>
        </w:rPr>
        <w:t>other than those referred to in paragraph</w:t>
      </w:r>
      <w:r>
        <w:rPr>
          <w:spacing w:val="-1"/>
          <w:sz w:val="24"/>
        </w:rPr>
        <w:t> </w:t>
      </w:r>
      <w:r>
        <w:rPr>
          <w:sz w:val="24"/>
        </w:rPr>
        <w:t>(d).</w:t>
      </w:r>
    </w:p>
    <w:p>
      <w:pPr>
        <w:pStyle w:val="ListParagraph"/>
        <w:numPr>
          <w:ilvl w:val="2"/>
          <w:numId w:val="252"/>
        </w:numPr>
        <w:tabs>
          <w:tab w:pos="1920" w:val="left" w:leader="none"/>
        </w:tabs>
        <w:spacing w:line="240" w:lineRule="auto" w:before="120" w:after="0"/>
        <w:ind w:left="1919" w:right="414" w:hanging="567"/>
        <w:jc w:val="both"/>
        <w:rPr>
          <w:sz w:val="24"/>
        </w:rPr>
      </w:pPr>
      <w:r>
        <w:rPr>
          <w:sz w:val="24"/>
        </w:rPr>
        <w:t>An </w:t>
      </w:r>
      <w:r>
        <w:rPr>
          <w:i/>
          <w:sz w:val="24"/>
        </w:rPr>
        <w:t>Inertia Service Provider </w:t>
      </w:r>
      <w:r>
        <w:rPr>
          <w:sz w:val="24"/>
        </w:rPr>
        <w:t>required to make </w:t>
      </w:r>
      <w:r>
        <w:rPr>
          <w:i/>
          <w:sz w:val="24"/>
        </w:rPr>
        <w:t>inertia network services </w:t>
      </w:r>
      <w:r>
        <w:rPr>
          <w:sz w:val="24"/>
        </w:rPr>
        <w:t>available under paragraph (b) must make available the least cost option or combination of options that will satisfy its obligation within the time referred to in subparagraph (c)(1) and for so long as the obligation to make the </w:t>
      </w:r>
      <w:r>
        <w:rPr>
          <w:i/>
          <w:sz w:val="24"/>
        </w:rPr>
        <w:t>inertia network services </w:t>
      </w:r>
      <w:r>
        <w:rPr>
          <w:sz w:val="24"/>
        </w:rPr>
        <w:t>available</w:t>
      </w:r>
      <w:r>
        <w:rPr>
          <w:spacing w:val="-3"/>
          <w:sz w:val="24"/>
        </w:rPr>
        <w:t> </w:t>
      </w:r>
      <w:r>
        <w:rPr>
          <w:sz w:val="24"/>
        </w:rPr>
        <w:t>continues.</w:t>
      </w:r>
    </w:p>
    <w:p>
      <w:pPr>
        <w:pStyle w:val="ListParagraph"/>
        <w:numPr>
          <w:ilvl w:val="2"/>
          <w:numId w:val="252"/>
        </w:numPr>
        <w:tabs>
          <w:tab w:pos="1919" w:val="left" w:leader="none"/>
        </w:tabs>
        <w:spacing w:line="240" w:lineRule="auto" w:before="120" w:after="0"/>
        <w:ind w:left="1919" w:right="414" w:hanging="567"/>
        <w:jc w:val="both"/>
        <w:rPr>
          <w:sz w:val="24"/>
        </w:rPr>
      </w:pPr>
      <w:r>
        <w:rPr>
          <w:sz w:val="24"/>
        </w:rPr>
        <w:t>An </w:t>
      </w:r>
      <w:r>
        <w:rPr>
          <w:i/>
          <w:sz w:val="24"/>
        </w:rPr>
        <w:t>Inertia Service Provider </w:t>
      </w:r>
      <w:r>
        <w:rPr>
          <w:sz w:val="24"/>
        </w:rPr>
        <w:t>required to make </w:t>
      </w:r>
      <w:r>
        <w:rPr>
          <w:i/>
          <w:sz w:val="24"/>
        </w:rPr>
        <w:t>inertia network services </w:t>
      </w:r>
      <w:r>
        <w:rPr>
          <w:sz w:val="24"/>
        </w:rPr>
        <w:t>available under paragraph (b) must prepare and </w:t>
      </w:r>
      <w:r>
        <w:rPr>
          <w:i/>
          <w:sz w:val="24"/>
        </w:rPr>
        <w:t>publish </w:t>
      </w:r>
      <w:r>
        <w:rPr>
          <w:sz w:val="24"/>
        </w:rPr>
        <w:t>information to enable potential providers of </w:t>
      </w:r>
      <w:r>
        <w:rPr>
          <w:i/>
          <w:sz w:val="24"/>
        </w:rPr>
        <w:t>inertia network services </w:t>
      </w:r>
      <w:r>
        <w:rPr>
          <w:sz w:val="24"/>
        </w:rPr>
        <w:t>to develop </w:t>
      </w:r>
      <w:r>
        <w:rPr>
          <w:i/>
          <w:sz w:val="24"/>
        </w:rPr>
        <w:t>non- </w:t>
      </w:r>
      <w:r>
        <w:rPr>
          <w:i/>
          <w:sz w:val="24"/>
        </w:rPr>
        <w:t>network options </w:t>
      </w:r>
      <w:r>
        <w:rPr>
          <w:sz w:val="24"/>
        </w:rPr>
        <w:t>for consideration by the </w:t>
      </w:r>
      <w:r>
        <w:rPr>
          <w:i/>
          <w:sz w:val="24"/>
        </w:rPr>
        <w:t>Inertia Service Provider</w:t>
      </w:r>
      <w:r>
        <w:rPr>
          <w:i/>
          <w:spacing w:val="-6"/>
          <w:sz w:val="24"/>
        </w:rPr>
        <w:t> </w:t>
      </w:r>
      <w:r>
        <w:rPr>
          <w:sz w:val="24"/>
        </w:rPr>
        <w:t>including:</w:t>
      </w:r>
    </w:p>
    <w:p>
      <w:pPr>
        <w:pStyle w:val="ListParagraph"/>
        <w:numPr>
          <w:ilvl w:val="3"/>
          <w:numId w:val="252"/>
        </w:numPr>
        <w:tabs>
          <w:tab w:pos="2486" w:val="left" w:leader="none"/>
        </w:tabs>
        <w:spacing w:line="240" w:lineRule="auto" w:before="120" w:after="0"/>
        <w:ind w:left="2486" w:right="416" w:hanging="567"/>
        <w:jc w:val="both"/>
        <w:rPr>
          <w:sz w:val="24"/>
        </w:rPr>
      </w:pPr>
      <w:r>
        <w:rPr>
          <w:sz w:val="24"/>
        </w:rPr>
        <w:t>a description of the requirement for </w:t>
      </w:r>
      <w:r>
        <w:rPr>
          <w:i/>
          <w:sz w:val="24"/>
        </w:rPr>
        <w:t>inertia network services </w:t>
      </w:r>
      <w:r>
        <w:rPr>
          <w:sz w:val="24"/>
        </w:rPr>
        <w:t>including timing;</w:t>
      </w:r>
    </w:p>
    <w:p>
      <w:pPr>
        <w:pStyle w:val="ListParagraph"/>
        <w:numPr>
          <w:ilvl w:val="3"/>
          <w:numId w:val="252"/>
        </w:numPr>
        <w:tabs>
          <w:tab w:pos="2486" w:val="left" w:leader="none"/>
        </w:tabs>
        <w:spacing w:line="240" w:lineRule="auto" w:before="120" w:after="0"/>
        <w:ind w:left="2486" w:right="415" w:hanging="567"/>
        <w:jc w:val="both"/>
        <w:rPr>
          <w:sz w:val="24"/>
        </w:rPr>
      </w:pPr>
      <w:r>
        <w:rPr>
          <w:sz w:val="24"/>
        </w:rPr>
        <w:t>the technical characteristics that a </w:t>
      </w:r>
      <w:r>
        <w:rPr>
          <w:i/>
          <w:sz w:val="24"/>
        </w:rPr>
        <w:t>non-network option </w:t>
      </w:r>
      <w:r>
        <w:rPr>
          <w:sz w:val="24"/>
        </w:rPr>
        <w:t>would be required to deliver, such as the level of </w:t>
      </w:r>
      <w:r>
        <w:rPr>
          <w:i/>
          <w:sz w:val="24"/>
        </w:rPr>
        <w:t>inertia</w:t>
      </w:r>
      <w:r>
        <w:rPr>
          <w:sz w:val="24"/>
        </w:rPr>
        <w:t>, location, availability, response time and operating</w:t>
      </w:r>
      <w:r>
        <w:rPr>
          <w:spacing w:val="-2"/>
          <w:sz w:val="24"/>
        </w:rPr>
        <w:t> </w:t>
      </w:r>
      <w:r>
        <w:rPr>
          <w:sz w:val="24"/>
        </w:rPr>
        <w:t>profile;</w:t>
      </w:r>
    </w:p>
    <w:p>
      <w:pPr>
        <w:pStyle w:val="ListParagraph"/>
        <w:numPr>
          <w:ilvl w:val="3"/>
          <w:numId w:val="252"/>
        </w:numPr>
        <w:tabs>
          <w:tab w:pos="2486" w:val="left" w:leader="none"/>
        </w:tabs>
        <w:spacing w:line="240" w:lineRule="auto" w:before="120" w:after="0"/>
        <w:ind w:left="2486" w:right="416" w:hanging="567"/>
        <w:jc w:val="both"/>
        <w:rPr>
          <w:sz w:val="24"/>
        </w:rPr>
      </w:pPr>
      <w:r>
        <w:rPr>
          <w:sz w:val="24"/>
        </w:rPr>
        <w:t>a summary of potential options to make the </w:t>
      </w:r>
      <w:r>
        <w:rPr>
          <w:i/>
          <w:sz w:val="24"/>
        </w:rPr>
        <w:t>inertia network services </w:t>
      </w:r>
      <w:r>
        <w:rPr>
          <w:sz w:val="24"/>
        </w:rPr>
        <w:t>available identified by the </w:t>
      </w:r>
      <w:r>
        <w:rPr>
          <w:i/>
          <w:sz w:val="24"/>
        </w:rPr>
        <w:t>Inertia Service Provider</w:t>
      </w:r>
      <w:r>
        <w:rPr>
          <w:sz w:val="24"/>
        </w:rPr>
        <w:t>, including </w:t>
      </w:r>
      <w:r>
        <w:rPr>
          <w:i/>
          <w:sz w:val="24"/>
        </w:rPr>
        <w:t>network </w:t>
      </w:r>
      <w:r>
        <w:rPr>
          <w:i/>
          <w:sz w:val="24"/>
        </w:rPr>
        <w:t>options </w:t>
      </w:r>
      <w:r>
        <w:rPr>
          <w:sz w:val="24"/>
        </w:rPr>
        <w:t>and </w:t>
      </w:r>
      <w:r>
        <w:rPr>
          <w:i/>
          <w:sz w:val="24"/>
        </w:rPr>
        <w:t>non-network options</w:t>
      </w:r>
      <w:r>
        <w:rPr>
          <w:sz w:val="24"/>
        </w:rPr>
        <w:t>;</w:t>
      </w:r>
      <w:r>
        <w:rPr>
          <w:spacing w:val="-2"/>
          <w:sz w:val="24"/>
        </w:rPr>
        <w:t> </w:t>
      </w:r>
      <w:r>
        <w:rPr>
          <w:sz w:val="24"/>
        </w:rPr>
        <w:t>and</w:t>
      </w:r>
    </w:p>
    <w:p>
      <w:pPr>
        <w:pStyle w:val="ListParagraph"/>
        <w:numPr>
          <w:ilvl w:val="3"/>
          <w:numId w:val="252"/>
        </w:numPr>
        <w:tabs>
          <w:tab w:pos="2486" w:val="left" w:leader="none"/>
        </w:tabs>
        <w:spacing w:line="240" w:lineRule="auto" w:before="120" w:after="0"/>
        <w:ind w:left="2486" w:right="414" w:hanging="567"/>
        <w:jc w:val="both"/>
        <w:rPr>
          <w:sz w:val="24"/>
        </w:rPr>
      </w:pPr>
      <w:r>
        <w:rPr>
          <w:sz w:val="24"/>
        </w:rPr>
        <w:t>information to assist providers of </w:t>
      </w:r>
      <w:r>
        <w:rPr>
          <w:i/>
          <w:sz w:val="24"/>
        </w:rPr>
        <w:t>non-network options </w:t>
      </w:r>
      <w:r>
        <w:rPr>
          <w:sz w:val="24"/>
        </w:rPr>
        <w:t>wishing to present proposals to the </w:t>
      </w:r>
      <w:r>
        <w:rPr>
          <w:i/>
          <w:sz w:val="24"/>
        </w:rPr>
        <w:t>Inertia Service Provider </w:t>
      </w:r>
      <w:r>
        <w:rPr>
          <w:sz w:val="24"/>
        </w:rPr>
        <w:t>including details of how to submit a proposal for</w:t>
      </w:r>
      <w:r>
        <w:rPr>
          <w:spacing w:val="-3"/>
          <w:sz w:val="24"/>
        </w:rPr>
        <w:t> </w:t>
      </w:r>
      <w:r>
        <w:rPr>
          <w:sz w:val="24"/>
        </w:rPr>
        <w:t>consideration.</w:t>
      </w:r>
    </w:p>
    <w:p>
      <w:pPr>
        <w:pStyle w:val="ListParagraph"/>
        <w:numPr>
          <w:ilvl w:val="2"/>
          <w:numId w:val="252"/>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must provide information in its </w:t>
      </w:r>
      <w:r>
        <w:rPr>
          <w:i/>
          <w:sz w:val="24"/>
        </w:rPr>
        <w:t>Transmission </w:t>
      </w:r>
      <w:r>
        <w:rPr>
          <w:i/>
          <w:sz w:val="24"/>
        </w:rPr>
        <w:t>Annual Planning Report</w:t>
      </w:r>
      <w:r>
        <w:rPr>
          <w:i/>
          <w:spacing w:val="-1"/>
          <w:sz w:val="24"/>
        </w:rPr>
        <w:t> </w:t>
      </w:r>
      <w:r>
        <w:rPr>
          <w:sz w:val="24"/>
        </w:rPr>
        <w:t>about:</w:t>
      </w:r>
    </w:p>
    <w:p>
      <w:pPr>
        <w:pStyle w:val="ListParagraph"/>
        <w:numPr>
          <w:ilvl w:val="3"/>
          <w:numId w:val="252"/>
        </w:numPr>
        <w:tabs>
          <w:tab w:pos="2486" w:val="left" w:leader="none"/>
        </w:tabs>
        <w:spacing w:line="240" w:lineRule="auto" w:before="120" w:after="0"/>
        <w:ind w:left="2486" w:right="414" w:hanging="567"/>
        <w:jc w:val="both"/>
        <w:rPr>
          <w:sz w:val="24"/>
        </w:rPr>
      </w:pPr>
      <w:r>
        <w:rPr>
          <w:sz w:val="24"/>
        </w:rPr>
        <w:t>the activities undertaken to satisfy its obligation to make </w:t>
      </w:r>
      <w:r>
        <w:rPr>
          <w:i/>
          <w:sz w:val="24"/>
        </w:rPr>
        <w:t>inertia </w:t>
      </w:r>
      <w:r>
        <w:rPr>
          <w:i/>
          <w:sz w:val="24"/>
        </w:rPr>
        <w:t>network services </w:t>
      </w:r>
      <w:r>
        <w:rPr>
          <w:sz w:val="24"/>
        </w:rPr>
        <w:t>available under paragraph (b);</w:t>
      </w:r>
      <w:r>
        <w:rPr>
          <w:spacing w:val="-3"/>
          <w:sz w:val="24"/>
        </w:rPr>
        <w:t> </w:t>
      </w:r>
      <w:r>
        <w:rPr>
          <w:sz w:val="24"/>
        </w:rPr>
        <w:t>and</w:t>
      </w:r>
    </w:p>
    <w:p>
      <w:pPr>
        <w:pStyle w:val="ListParagraph"/>
        <w:numPr>
          <w:ilvl w:val="3"/>
          <w:numId w:val="252"/>
        </w:numPr>
        <w:tabs>
          <w:tab w:pos="2486" w:val="left" w:leader="none"/>
        </w:tabs>
        <w:spacing w:line="240" w:lineRule="auto" w:before="120" w:after="0"/>
        <w:ind w:left="2486" w:right="416" w:hanging="567"/>
        <w:jc w:val="both"/>
        <w:rPr>
          <w:sz w:val="24"/>
        </w:rPr>
      </w:pPr>
      <w:r>
        <w:rPr>
          <w:i/>
          <w:sz w:val="24"/>
        </w:rPr>
        <w:t>inertia support activities </w:t>
      </w:r>
      <w:r>
        <w:rPr>
          <w:sz w:val="24"/>
        </w:rPr>
        <w:t>undertaken to reduce the </w:t>
      </w:r>
      <w:r>
        <w:rPr>
          <w:i/>
          <w:sz w:val="24"/>
        </w:rPr>
        <w:t>minimum threshold </w:t>
      </w:r>
      <w:r>
        <w:rPr>
          <w:i/>
          <w:sz w:val="24"/>
        </w:rPr>
        <w:t>level of inertia </w:t>
      </w:r>
      <w:r>
        <w:rPr>
          <w:sz w:val="24"/>
        </w:rPr>
        <w:t>or the </w:t>
      </w:r>
      <w:r>
        <w:rPr>
          <w:i/>
          <w:sz w:val="24"/>
        </w:rPr>
        <w:t>secure operating level of</w:t>
      </w:r>
      <w:r>
        <w:rPr>
          <w:i/>
          <w:spacing w:val="-4"/>
          <w:sz w:val="24"/>
        </w:rPr>
        <w:t> </w:t>
      </w:r>
      <w:r>
        <w:rPr>
          <w:i/>
          <w:sz w:val="24"/>
        </w:rPr>
        <w:t>inertia</w:t>
      </w:r>
      <w:r>
        <w:rPr>
          <w:sz w:val="24"/>
        </w:rPr>
        <w:t>.</w:t>
      </w:r>
    </w:p>
    <w:p>
      <w:pPr>
        <w:pStyle w:val="ListParagraph"/>
        <w:numPr>
          <w:ilvl w:val="2"/>
          <w:numId w:val="252"/>
        </w:numPr>
        <w:tabs>
          <w:tab w:pos="1919" w:val="left" w:leader="none"/>
        </w:tabs>
        <w:spacing w:line="240" w:lineRule="auto" w:before="120" w:after="0"/>
        <w:ind w:left="1919" w:right="414" w:hanging="567"/>
        <w:jc w:val="both"/>
        <w:rPr>
          <w:sz w:val="24"/>
        </w:rPr>
      </w:pPr>
      <w:r>
        <w:rPr>
          <w:sz w:val="24"/>
        </w:rPr>
        <w:t>If the </w:t>
      </w:r>
      <w:r>
        <w:rPr>
          <w:i/>
          <w:sz w:val="24"/>
        </w:rPr>
        <w:t>Inertia Service Provider </w:t>
      </w:r>
      <w:r>
        <w:rPr>
          <w:sz w:val="24"/>
        </w:rPr>
        <w:t>proposes </w:t>
      </w:r>
      <w:r>
        <w:rPr>
          <w:i/>
          <w:sz w:val="24"/>
        </w:rPr>
        <w:t>network </w:t>
      </w:r>
      <w:r>
        <w:rPr>
          <w:sz w:val="24"/>
        </w:rPr>
        <w:t>investment for either of the purposes specified in paragraph (h), the </w:t>
      </w:r>
      <w:r>
        <w:rPr>
          <w:i/>
          <w:sz w:val="24"/>
        </w:rPr>
        <w:t>Inertia Service Provider </w:t>
      </w:r>
      <w:r>
        <w:rPr>
          <w:sz w:val="24"/>
        </w:rPr>
        <w:t>must provide the following information in its next </w:t>
      </w:r>
      <w:r>
        <w:rPr>
          <w:i/>
          <w:sz w:val="24"/>
        </w:rPr>
        <w:t>Transmission Annual Planning </w:t>
      </w:r>
      <w:r>
        <w:rPr>
          <w:i/>
          <w:sz w:val="24"/>
        </w:rPr>
        <w:t>Report</w:t>
      </w:r>
      <w:r>
        <w:rPr>
          <w:sz w:val="24"/>
        </w:rPr>
        <w:t>:</w:t>
      </w:r>
    </w:p>
    <w:p>
      <w:pPr>
        <w:pStyle w:val="ListParagraph"/>
        <w:numPr>
          <w:ilvl w:val="3"/>
          <w:numId w:val="252"/>
        </w:numPr>
        <w:tabs>
          <w:tab w:pos="2485" w:val="left" w:leader="none"/>
          <w:tab w:pos="2486" w:val="left" w:leader="none"/>
        </w:tabs>
        <w:spacing w:line="240" w:lineRule="auto" w:before="120" w:after="0"/>
        <w:ind w:left="2486" w:right="415" w:hanging="567"/>
        <w:jc w:val="left"/>
        <w:rPr>
          <w:sz w:val="24"/>
        </w:rPr>
      </w:pPr>
      <w:r>
        <w:rPr>
          <w:sz w:val="24"/>
        </w:rPr>
        <w:t>the date when the proposed relevant </w:t>
      </w:r>
      <w:r>
        <w:rPr>
          <w:i/>
          <w:sz w:val="24"/>
        </w:rPr>
        <w:t>network </w:t>
      </w:r>
      <w:r>
        <w:rPr>
          <w:sz w:val="24"/>
        </w:rPr>
        <w:t>investment became or will become</w:t>
      </w:r>
      <w:r>
        <w:rPr>
          <w:spacing w:val="-2"/>
          <w:sz w:val="24"/>
        </w:rPr>
        <w:t> </w:t>
      </w:r>
      <w:r>
        <w:rPr>
          <w:sz w:val="24"/>
        </w:rPr>
        <w:t>operational;</w:t>
      </w:r>
    </w:p>
    <w:p>
      <w:pPr>
        <w:pStyle w:val="ListParagraph"/>
        <w:numPr>
          <w:ilvl w:val="3"/>
          <w:numId w:val="252"/>
        </w:numPr>
        <w:tabs>
          <w:tab w:pos="2485" w:val="left" w:leader="none"/>
          <w:tab w:pos="2486" w:val="left" w:leader="none"/>
        </w:tabs>
        <w:spacing w:line="240" w:lineRule="auto" w:before="120" w:after="0"/>
        <w:ind w:left="2485" w:right="0" w:hanging="567"/>
        <w:jc w:val="left"/>
        <w:rPr>
          <w:sz w:val="24"/>
        </w:rPr>
      </w:pPr>
      <w:r>
        <w:rPr>
          <w:sz w:val="24"/>
        </w:rPr>
        <w:t>the purpose of the proposed relevant </w:t>
      </w:r>
      <w:r>
        <w:rPr>
          <w:i/>
          <w:sz w:val="24"/>
        </w:rPr>
        <w:t>network</w:t>
      </w:r>
      <w:r>
        <w:rPr>
          <w:i/>
          <w:spacing w:val="-1"/>
          <w:sz w:val="24"/>
        </w:rPr>
        <w:t> </w:t>
      </w:r>
      <w:r>
        <w:rPr>
          <w:sz w:val="24"/>
        </w:rPr>
        <w:t>investment;</w:t>
      </w:r>
    </w:p>
    <w:p>
      <w:pPr>
        <w:pStyle w:val="ListParagraph"/>
        <w:numPr>
          <w:ilvl w:val="3"/>
          <w:numId w:val="252"/>
        </w:numPr>
        <w:tabs>
          <w:tab w:pos="2485" w:val="left" w:leader="none"/>
          <w:tab w:pos="2486" w:val="left" w:leader="none"/>
        </w:tabs>
        <w:spacing w:line="240" w:lineRule="auto" w:before="120" w:after="0"/>
        <w:ind w:left="2485" w:right="0" w:hanging="567"/>
        <w:jc w:val="left"/>
        <w:rPr>
          <w:sz w:val="24"/>
        </w:rPr>
      </w:pPr>
      <w:r>
        <w:rPr>
          <w:sz w:val="24"/>
        </w:rPr>
        <w:t>the total cost of the proposed relevant </w:t>
      </w:r>
      <w:r>
        <w:rPr>
          <w:i/>
          <w:sz w:val="24"/>
        </w:rPr>
        <w:t>network </w:t>
      </w:r>
      <w:r>
        <w:rPr>
          <w:sz w:val="24"/>
        </w:rPr>
        <w:t>investment;</w:t>
      </w:r>
      <w:r>
        <w:rPr>
          <w:spacing w:val="-2"/>
          <w:sz w:val="24"/>
        </w:rPr>
        <w:t> </w:t>
      </w:r>
      <w:r>
        <w:rPr>
          <w:sz w:val="24"/>
        </w:rPr>
        <w:t>and</w:t>
      </w:r>
    </w:p>
    <w:p>
      <w:pPr>
        <w:pStyle w:val="ListParagraph"/>
        <w:numPr>
          <w:ilvl w:val="3"/>
          <w:numId w:val="252"/>
        </w:numPr>
        <w:tabs>
          <w:tab w:pos="2485" w:val="left" w:leader="none"/>
          <w:tab w:pos="2486" w:val="left" w:leader="none"/>
        </w:tabs>
        <w:spacing w:line="240" w:lineRule="auto" w:before="120" w:after="0"/>
        <w:ind w:left="2485" w:right="0" w:hanging="567"/>
        <w:jc w:val="left"/>
        <w:rPr>
          <w:sz w:val="24"/>
        </w:rPr>
      </w:pPr>
      <w:r>
        <w:rPr>
          <w:sz w:val="24"/>
        </w:rPr>
        <w:t>the indicative total cost of any </w:t>
      </w:r>
      <w:r>
        <w:rPr>
          <w:i/>
          <w:sz w:val="24"/>
        </w:rPr>
        <w:t>non-network options</w:t>
      </w:r>
      <w:r>
        <w:rPr>
          <w:i/>
          <w:spacing w:val="-2"/>
          <w:sz w:val="24"/>
        </w:rPr>
        <w:t> </w:t>
      </w:r>
      <w:r>
        <w:rPr>
          <w:sz w:val="24"/>
        </w:rPr>
        <w:t>considered.</w:t>
      </w:r>
    </w:p>
    <w:p>
      <w:pPr>
        <w:pStyle w:val="ListParagraph"/>
        <w:numPr>
          <w:ilvl w:val="2"/>
          <w:numId w:val="252"/>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may include the cost of </w:t>
      </w:r>
      <w:r>
        <w:rPr>
          <w:i/>
          <w:sz w:val="24"/>
        </w:rPr>
        <w:t>inertia service </w:t>
      </w:r>
      <w:r>
        <w:rPr>
          <w:i/>
          <w:sz w:val="24"/>
        </w:rPr>
        <w:t>payments </w:t>
      </w:r>
      <w:r>
        <w:rPr>
          <w:sz w:val="24"/>
        </w:rPr>
        <w:t>in the calculation of </w:t>
      </w:r>
      <w:r>
        <w:rPr>
          <w:i/>
          <w:sz w:val="24"/>
        </w:rPr>
        <w:t>network support payments </w:t>
      </w:r>
      <w:r>
        <w:rPr>
          <w:sz w:val="24"/>
        </w:rPr>
        <w:t>in accordance with Chapter 6A.</w:t>
      </w:r>
    </w:p>
    <w:p>
      <w:pPr>
        <w:spacing w:after="0" w:line="240" w:lineRule="auto"/>
        <w:jc w:val="both"/>
        <w:rPr>
          <w:sz w:val="24"/>
        </w:rPr>
        <w:sectPr>
          <w:pgSz w:w="11910" w:h="16840"/>
          <w:pgMar w:header="686" w:footer="637" w:top="1320" w:bottom="820" w:left="1200" w:right="1000"/>
        </w:sectPr>
      </w:pPr>
    </w:p>
    <w:p>
      <w:pPr>
        <w:pStyle w:val="Heading4"/>
        <w:numPr>
          <w:ilvl w:val="1"/>
          <w:numId w:val="253"/>
        </w:numPr>
        <w:tabs>
          <w:tab w:pos="686" w:val="left" w:leader="none"/>
          <w:tab w:pos="1351" w:val="left" w:leader="none"/>
        </w:tabs>
        <w:spacing w:line="240" w:lineRule="auto" w:before="83" w:after="0"/>
        <w:ind w:left="686" w:right="0" w:hanging="468"/>
        <w:jc w:val="left"/>
      </w:pPr>
      <w:bookmarkStart w:name="5.20B.5 Inertia support activities" w:id="872"/>
      <w:bookmarkEnd w:id="872"/>
      <w:r>
        <w:rPr>
          <w:b w:val="0"/>
        </w:rPr>
      </w:r>
      <w:bookmarkStart w:name="_bookmark332" w:id="873"/>
      <w:bookmarkEnd w:id="873"/>
      <w:r>
        <w:rPr>
          <w:b w:val="0"/>
        </w:rPr>
      </w:r>
      <w:bookmarkStart w:name="_bookmark332" w:id="874"/>
      <w:bookmarkEnd w:id="874"/>
      <w:r>
        <w:rPr/>
        <w:t>B.</w:t>
      </w:r>
      <w:r>
        <w:rPr/>
        <w:t>5</w:t>
        <w:tab/>
        <w:t>Inertia support</w:t>
      </w:r>
      <w:r>
        <w:rPr>
          <w:spacing w:val="-2"/>
        </w:rPr>
        <w:t> </w:t>
      </w:r>
      <w:r>
        <w:rPr/>
        <w:t>activities</w:t>
      </w:r>
    </w:p>
    <w:p>
      <w:pPr>
        <w:pStyle w:val="ListParagraph"/>
        <w:numPr>
          <w:ilvl w:val="2"/>
          <w:numId w:val="253"/>
        </w:numPr>
        <w:tabs>
          <w:tab w:pos="1919" w:val="left" w:leader="none"/>
        </w:tabs>
        <w:spacing w:line="240" w:lineRule="auto" w:before="120" w:after="0"/>
        <w:ind w:left="1919" w:right="414" w:hanging="567"/>
        <w:jc w:val="both"/>
        <w:rPr>
          <w:sz w:val="24"/>
        </w:rPr>
      </w:pPr>
      <w:r>
        <w:rPr>
          <w:i/>
          <w:sz w:val="24"/>
        </w:rPr>
        <w:t>AEMO </w:t>
      </w:r>
      <w:r>
        <w:rPr>
          <w:sz w:val="24"/>
        </w:rPr>
        <w:t>may at the request of an </w:t>
      </w:r>
      <w:r>
        <w:rPr>
          <w:i/>
          <w:sz w:val="24"/>
        </w:rPr>
        <w:t>Inertia Service Provider </w:t>
      </w:r>
      <w:r>
        <w:rPr>
          <w:sz w:val="24"/>
        </w:rPr>
        <w:t>approve activities (</w:t>
      </w:r>
      <w:r>
        <w:rPr>
          <w:i/>
          <w:sz w:val="24"/>
        </w:rPr>
        <w:t>inertia support activities</w:t>
      </w:r>
      <w:r>
        <w:rPr>
          <w:sz w:val="24"/>
        </w:rPr>
        <w:t>) under this clause and agree corresponding adjustments to the </w:t>
      </w:r>
      <w:r>
        <w:rPr>
          <w:i/>
          <w:sz w:val="24"/>
        </w:rPr>
        <w:t>minimum threshold level of inertia </w:t>
      </w:r>
      <w:r>
        <w:rPr>
          <w:sz w:val="24"/>
        </w:rPr>
        <w:t>or the </w:t>
      </w:r>
      <w:r>
        <w:rPr>
          <w:i/>
          <w:sz w:val="24"/>
        </w:rPr>
        <w:t>secure </w:t>
      </w:r>
      <w:r>
        <w:rPr>
          <w:i/>
          <w:sz w:val="24"/>
        </w:rPr>
        <w:t>operating level of inertia </w:t>
      </w:r>
      <w:r>
        <w:rPr>
          <w:sz w:val="24"/>
        </w:rPr>
        <w:t>for the purposes of clause 5.20B.4(b) where the activities:</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are to be undertaken by the </w:t>
      </w:r>
      <w:r>
        <w:rPr>
          <w:i/>
          <w:sz w:val="24"/>
        </w:rPr>
        <w:t>Inertia Service Provider </w:t>
      </w:r>
      <w:r>
        <w:rPr>
          <w:sz w:val="24"/>
        </w:rPr>
        <w:t>or provided as </w:t>
      </w:r>
      <w:r>
        <w:rPr>
          <w:spacing w:val="-12"/>
          <w:sz w:val="24"/>
        </w:rPr>
        <w:t>a </w:t>
      </w:r>
      <w:r>
        <w:rPr>
          <w:sz w:val="24"/>
        </w:rPr>
        <w:t>service to the </w:t>
      </w:r>
      <w:r>
        <w:rPr>
          <w:i/>
          <w:sz w:val="24"/>
        </w:rPr>
        <w:t>Inertia Service</w:t>
      </w:r>
      <w:r>
        <w:rPr>
          <w:i/>
          <w:spacing w:val="-2"/>
          <w:sz w:val="24"/>
        </w:rPr>
        <w:t> </w:t>
      </w:r>
      <w:r>
        <w:rPr>
          <w:i/>
          <w:sz w:val="24"/>
        </w:rPr>
        <w:t>Provider</w:t>
      </w:r>
      <w:r>
        <w:rPr>
          <w:sz w:val="24"/>
        </w:rPr>
        <w:t>;</w:t>
      </w:r>
    </w:p>
    <w:p>
      <w:pPr>
        <w:pStyle w:val="ListParagraph"/>
        <w:numPr>
          <w:ilvl w:val="3"/>
          <w:numId w:val="253"/>
        </w:numPr>
        <w:tabs>
          <w:tab w:pos="2486" w:val="left" w:leader="none"/>
        </w:tabs>
        <w:spacing w:line="240" w:lineRule="auto" w:before="120" w:after="0"/>
        <w:ind w:left="2485" w:right="0" w:hanging="567"/>
        <w:jc w:val="both"/>
        <w:rPr>
          <w:sz w:val="24"/>
        </w:rPr>
      </w:pPr>
      <w:r>
        <w:rPr>
          <w:sz w:val="24"/>
        </w:rPr>
        <w:t>are not </w:t>
      </w:r>
      <w:r>
        <w:rPr>
          <w:i/>
          <w:sz w:val="24"/>
        </w:rPr>
        <w:t>inertia network services</w:t>
      </w:r>
      <w:r>
        <w:rPr>
          <w:sz w:val="24"/>
        </w:rPr>
        <w:t>;</w:t>
      </w:r>
      <w:r>
        <w:rPr>
          <w:spacing w:val="-1"/>
          <w:sz w:val="24"/>
        </w:rPr>
        <w:t> </w:t>
      </w:r>
      <w:r>
        <w:rPr>
          <w:sz w:val="24"/>
        </w:rPr>
        <w:t>and</w:t>
      </w:r>
    </w:p>
    <w:p>
      <w:pPr>
        <w:pStyle w:val="ListParagraph"/>
        <w:numPr>
          <w:ilvl w:val="3"/>
          <w:numId w:val="253"/>
        </w:numPr>
        <w:tabs>
          <w:tab w:pos="2486" w:val="left" w:leader="none"/>
        </w:tabs>
        <w:spacing w:line="240" w:lineRule="auto" w:before="120" w:after="0"/>
        <w:ind w:left="2486" w:right="415" w:hanging="567"/>
        <w:jc w:val="both"/>
        <w:rPr>
          <w:sz w:val="24"/>
        </w:rPr>
      </w:pPr>
      <w:r>
        <w:rPr>
          <w:i/>
          <w:sz w:val="24"/>
        </w:rPr>
        <w:t>AEMO </w:t>
      </w:r>
      <w:r>
        <w:rPr>
          <w:sz w:val="24"/>
        </w:rPr>
        <w:t>is satisfied the activities will contribute to the operation of the </w:t>
      </w:r>
      <w:r>
        <w:rPr>
          <w:i/>
          <w:sz w:val="24"/>
        </w:rPr>
        <w:t>inertia sub-network </w:t>
      </w:r>
      <w:r>
        <w:rPr>
          <w:sz w:val="24"/>
        </w:rPr>
        <w:t>in a </w:t>
      </w:r>
      <w:r>
        <w:rPr>
          <w:i/>
          <w:sz w:val="24"/>
        </w:rPr>
        <w:t>satisfactory operating state </w:t>
      </w:r>
      <w:r>
        <w:rPr>
          <w:sz w:val="24"/>
        </w:rPr>
        <w:t>or </w:t>
      </w:r>
      <w:r>
        <w:rPr>
          <w:i/>
          <w:sz w:val="24"/>
        </w:rPr>
        <w:t>secure </w:t>
      </w:r>
      <w:r>
        <w:rPr>
          <w:i/>
          <w:sz w:val="24"/>
        </w:rPr>
        <w:t>operating state </w:t>
      </w:r>
      <w:r>
        <w:rPr>
          <w:sz w:val="24"/>
        </w:rPr>
        <w:t>in the circumstances described in clause 4.4.4(a) or (b) as</w:t>
      </w:r>
      <w:r>
        <w:rPr>
          <w:spacing w:val="-1"/>
          <w:sz w:val="24"/>
        </w:rPr>
        <w:t> </w:t>
      </w:r>
      <w:r>
        <w:rPr>
          <w:sz w:val="24"/>
        </w:rPr>
        <w:t>applicable.</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If approved by </w:t>
      </w:r>
      <w:r>
        <w:rPr>
          <w:i/>
          <w:sz w:val="20"/>
        </w:rPr>
        <w:t>AEMO </w:t>
      </w:r>
      <w:r>
        <w:rPr>
          <w:sz w:val="20"/>
        </w:rPr>
        <w:t>under paragraph (a), inertia support activities may include installing or contracting for the provision of </w:t>
      </w:r>
      <w:r>
        <w:rPr>
          <w:i/>
          <w:sz w:val="20"/>
        </w:rPr>
        <w:t>frequency </w:t>
      </w:r>
      <w:r>
        <w:rPr>
          <w:sz w:val="20"/>
        </w:rPr>
        <w:t>control services, installing emergency protection schemes or contracting with </w:t>
      </w:r>
      <w:r>
        <w:rPr>
          <w:i/>
          <w:sz w:val="20"/>
        </w:rPr>
        <w:t>Generators </w:t>
      </w:r>
      <w:r>
        <w:rPr>
          <w:sz w:val="20"/>
        </w:rPr>
        <w:t>in relation to the operation of their </w:t>
      </w:r>
      <w:r>
        <w:rPr>
          <w:i/>
          <w:sz w:val="20"/>
        </w:rPr>
        <w:t>generating units </w:t>
      </w:r>
      <w:r>
        <w:rPr>
          <w:sz w:val="20"/>
        </w:rPr>
        <w:t>in specified conditions.</w:t>
      </w:r>
    </w:p>
    <w:p>
      <w:pPr>
        <w:pStyle w:val="ListParagraph"/>
        <w:numPr>
          <w:ilvl w:val="2"/>
          <w:numId w:val="253"/>
        </w:numPr>
        <w:tabs>
          <w:tab w:pos="1919" w:val="left" w:leader="none"/>
        </w:tabs>
        <w:spacing w:line="240" w:lineRule="auto" w:before="120" w:after="0"/>
        <w:ind w:left="1919" w:right="414" w:hanging="567"/>
        <w:jc w:val="both"/>
        <w:rPr>
          <w:sz w:val="24"/>
        </w:rPr>
      </w:pPr>
      <w:r>
        <w:rPr>
          <w:sz w:val="24"/>
        </w:rPr>
        <w:t>An adjustment to the </w:t>
      </w:r>
      <w:r>
        <w:rPr>
          <w:i/>
          <w:sz w:val="24"/>
        </w:rPr>
        <w:t>minimum threshold level of inertia </w:t>
      </w:r>
      <w:r>
        <w:rPr>
          <w:sz w:val="24"/>
        </w:rPr>
        <w:t>or the </w:t>
      </w:r>
      <w:r>
        <w:rPr>
          <w:i/>
          <w:sz w:val="24"/>
        </w:rPr>
        <w:t>secure </w:t>
      </w:r>
      <w:r>
        <w:rPr>
          <w:i/>
          <w:sz w:val="24"/>
        </w:rPr>
        <w:t>operating level of inertia </w:t>
      </w:r>
      <w:r>
        <w:rPr>
          <w:sz w:val="24"/>
        </w:rPr>
        <w:t>for </w:t>
      </w:r>
      <w:r>
        <w:rPr>
          <w:i/>
          <w:sz w:val="24"/>
        </w:rPr>
        <w:t>inertia support activities </w:t>
      </w:r>
      <w:r>
        <w:rPr>
          <w:sz w:val="24"/>
        </w:rPr>
        <w:t>will apply to the level determined by </w:t>
      </w:r>
      <w:r>
        <w:rPr>
          <w:i/>
          <w:sz w:val="24"/>
        </w:rPr>
        <w:t>AEMO </w:t>
      </w:r>
      <w:r>
        <w:rPr>
          <w:sz w:val="24"/>
        </w:rPr>
        <w:t>and only where and to the extent that the approved activity is </w:t>
      </w:r>
      <w:r>
        <w:rPr>
          <w:i/>
          <w:sz w:val="24"/>
        </w:rPr>
        <w:t>enabled </w:t>
      </w:r>
      <w:r>
        <w:rPr>
          <w:sz w:val="24"/>
        </w:rPr>
        <w:t>and performing in accordance with the conditions of any approval determined by</w:t>
      </w:r>
      <w:r>
        <w:rPr>
          <w:spacing w:val="-1"/>
          <w:sz w:val="24"/>
        </w:rPr>
        <w:t> </w:t>
      </w:r>
      <w:r>
        <w:rPr>
          <w:i/>
          <w:sz w:val="24"/>
        </w:rPr>
        <w:t>AEMO</w:t>
      </w:r>
      <w:r>
        <w:rPr>
          <w:sz w:val="24"/>
        </w:rPr>
        <w:t>.</w:t>
      </w:r>
    </w:p>
    <w:p>
      <w:pPr>
        <w:pStyle w:val="ListParagraph"/>
        <w:numPr>
          <w:ilvl w:val="2"/>
          <w:numId w:val="253"/>
        </w:numPr>
        <w:tabs>
          <w:tab w:pos="1919" w:val="left" w:leader="none"/>
        </w:tabs>
        <w:spacing w:line="240" w:lineRule="auto" w:before="120" w:after="0"/>
        <w:ind w:left="1918" w:right="0" w:hanging="567"/>
        <w:jc w:val="both"/>
        <w:rPr>
          <w:sz w:val="24"/>
        </w:rPr>
      </w:pPr>
      <w:r>
        <w:rPr>
          <w:sz w:val="24"/>
        </w:rPr>
        <w:t>An </w:t>
      </w:r>
      <w:r>
        <w:rPr>
          <w:i/>
          <w:sz w:val="24"/>
        </w:rPr>
        <w:t>Inertia Service Provider </w:t>
      </w:r>
      <w:r>
        <w:rPr>
          <w:sz w:val="24"/>
        </w:rPr>
        <w:t>making a request under paragraph (a) must</w:t>
      </w:r>
      <w:r>
        <w:rPr>
          <w:spacing w:val="22"/>
          <w:sz w:val="24"/>
        </w:rPr>
        <w:t> </w:t>
      </w:r>
      <w:r>
        <w:rPr>
          <w:sz w:val="24"/>
        </w:rPr>
        <w:t>give</w:t>
      </w:r>
    </w:p>
    <w:p>
      <w:pPr>
        <w:spacing w:before="0"/>
        <w:ind w:left="1919" w:right="0" w:firstLine="0"/>
        <w:jc w:val="left"/>
        <w:rPr>
          <w:sz w:val="24"/>
        </w:rPr>
      </w:pPr>
      <w:r>
        <w:rPr>
          <w:i/>
          <w:sz w:val="24"/>
        </w:rPr>
        <w:t>AEMO</w:t>
      </w:r>
      <w:r>
        <w:rPr>
          <w:sz w:val="24"/>
        </w:rPr>
        <w:t>:</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details of the proposed </w:t>
      </w:r>
      <w:r>
        <w:rPr>
          <w:i/>
          <w:sz w:val="24"/>
        </w:rPr>
        <w:t>inertia support activity </w:t>
      </w:r>
      <w:r>
        <w:rPr>
          <w:sz w:val="24"/>
        </w:rPr>
        <w:t>and the other information about the </w:t>
      </w:r>
      <w:r>
        <w:rPr>
          <w:i/>
          <w:sz w:val="24"/>
        </w:rPr>
        <w:t>inertia support activity </w:t>
      </w:r>
      <w:r>
        <w:rPr>
          <w:sz w:val="24"/>
        </w:rPr>
        <w:t>consistent with the requirements of clause</w:t>
      </w:r>
      <w:r>
        <w:rPr>
          <w:spacing w:val="-1"/>
          <w:sz w:val="24"/>
        </w:rPr>
        <w:t> </w:t>
      </w:r>
      <w:r>
        <w:rPr>
          <w:sz w:val="24"/>
        </w:rPr>
        <w:t>5.20B.6(c);</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the proposed technical specification and performance standards and the information about arrangements to </w:t>
      </w:r>
      <w:r>
        <w:rPr>
          <w:i/>
          <w:sz w:val="24"/>
        </w:rPr>
        <w:t>enable </w:t>
      </w:r>
      <w:r>
        <w:rPr>
          <w:sz w:val="24"/>
        </w:rPr>
        <w:t>the </w:t>
      </w:r>
      <w:r>
        <w:rPr>
          <w:i/>
          <w:sz w:val="24"/>
        </w:rPr>
        <w:t>inertia support </w:t>
      </w:r>
      <w:r>
        <w:rPr>
          <w:i/>
          <w:sz w:val="24"/>
        </w:rPr>
        <w:t>activity </w:t>
      </w:r>
      <w:r>
        <w:rPr>
          <w:sz w:val="24"/>
        </w:rPr>
        <w:t>consistent with the requirements of clause</w:t>
      </w:r>
      <w:r>
        <w:rPr>
          <w:spacing w:val="-2"/>
          <w:sz w:val="24"/>
        </w:rPr>
        <w:t> </w:t>
      </w:r>
      <w:r>
        <w:rPr>
          <w:sz w:val="24"/>
        </w:rPr>
        <w:t>5.20B.6(d);</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information about how the </w:t>
      </w:r>
      <w:r>
        <w:rPr>
          <w:i/>
          <w:sz w:val="24"/>
        </w:rPr>
        <w:t>inertia support activity </w:t>
      </w:r>
      <w:r>
        <w:rPr>
          <w:sz w:val="24"/>
        </w:rPr>
        <w:t>will contribute to operation of the </w:t>
      </w:r>
      <w:r>
        <w:rPr>
          <w:i/>
          <w:sz w:val="24"/>
        </w:rPr>
        <w:t>inertia sub-network </w:t>
      </w:r>
      <w:r>
        <w:rPr>
          <w:sz w:val="24"/>
        </w:rPr>
        <w:t>in a </w:t>
      </w:r>
      <w:r>
        <w:rPr>
          <w:i/>
          <w:sz w:val="24"/>
        </w:rPr>
        <w:t>satisfactory operating state </w:t>
      </w:r>
      <w:r>
        <w:rPr>
          <w:sz w:val="24"/>
        </w:rPr>
        <w:t>or </w:t>
      </w:r>
      <w:r>
        <w:rPr>
          <w:i/>
          <w:sz w:val="24"/>
        </w:rPr>
        <w:t>secure operating state </w:t>
      </w:r>
      <w:r>
        <w:rPr>
          <w:sz w:val="24"/>
        </w:rPr>
        <w:t>in the circumstances described in clause 4.4.4(a) or (b) as</w:t>
      </w:r>
      <w:r>
        <w:rPr>
          <w:spacing w:val="-1"/>
          <w:sz w:val="24"/>
        </w:rPr>
        <w:t> </w:t>
      </w:r>
      <w:r>
        <w:rPr>
          <w:sz w:val="24"/>
        </w:rPr>
        <w:t>applicable;</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the </w:t>
      </w:r>
      <w:r>
        <w:rPr>
          <w:i/>
          <w:sz w:val="24"/>
        </w:rPr>
        <w:t>Inertia Service Provider's </w:t>
      </w:r>
      <w:r>
        <w:rPr>
          <w:sz w:val="24"/>
        </w:rPr>
        <w:t>proposal for calculating adjustments to be made and the times they will apply;</w:t>
      </w:r>
      <w:r>
        <w:rPr>
          <w:spacing w:val="-3"/>
          <w:sz w:val="24"/>
        </w:rPr>
        <w:t> </w:t>
      </w:r>
      <w:r>
        <w:rPr>
          <w:sz w:val="24"/>
        </w:rPr>
        <w:t>and</w:t>
      </w:r>
    </w:p>
    <w:p>
      <w:pPr>
        <w:pStyle w:val="ListParagraph"/>
        <w:numPr>
          <w:ilvl w:val="3"/>
          <w:numId w:val="253"/>
        </w:numPr>
        <w:tabs>
          <w:tab w:pos="2486" w:val="left" w:leader="none"/>
        </w:tabs>
        <w:spacing w:line="240" w:lineRule="auto" w:before="120" w:after="0"/>
        <w:ind w:left="2486" w:right="415" w:hanging="567"/>
        <w:jc w:val="both"/>
        <w:rPr>
          <w:sz w:val="24"/>
        </w:rPr>
      </w:pPr>
      <w:r>
        <w:rPr>
          <w:sz w:val="24"/>
        </w:rPr>
        <w:t>any other information requested by </w:t>
      </w:r>
      <w:r>
        <w:rPr>
          <w:i/>
          <w:sz w:val="24"/>
        </w:rPr>
        <w:t>AEMO </w:t>
      </w:r>
      <w:r>
        <w:rPr>
          <w:sz w:val="24"/>
        </w:rPr>
        <w:t>in connection with the request.</w:t>
      </w:r>
    </w:p>
    <w:p>
      <w:pPr>
        <w:pStyle w:val="ListParagraph"/>
        <w:numPr>
          <w:ilvl w:val="2"/>
          <w:numId w:val="253"/>
        </w:numPr>
        <w:tabs>
          <w:tab w:pos="1919" w:val="left" w:leader="none"/>
        </w:tabs>
        <w:spacing w:line="240" w:lineRule="auto" w:before="120" w:after="0"/>
        <w:ind w:left="1919" w:right="414" w:hanging="567"/>
        <w:jc w:val="both"/>
        <w:rPr>
          <w:sz w:val="24"/>
        </w:rPr>
      </w:pPr>
      <w:r>
        <w:rPr>
          <w:i/>
          <w:sz w:val="24"/>
        </w:rPr>
        <w:t>AEMO </w:t>
      </w:r>
      <w:r>
        <w:rPr>
          <w:sz w:val="24"/>
        </w:rPr>
        <w:t>may give or withhold its approval under this clause in its discretion and subject to any conditions determined by</w:t>
      </w:r>
      <w:r>
        <w:rPr>
          <w:spacing w:val="-3"/>
          <w:sz w:val="24"/>
        </w:rPr>
        <w:t> </w:t>
      </w:r>
      <w:r>
        <w:rPr>
          <w:i/>
          <w:sz w:val="24"/>
        </w:rPr>
        <w:t>AEMO</w:t>
      </w:r>
      <w:r>
        <w:rPr>
          <w:sz w:val="24"/>
        </w:rPr>
        <w:t>.</w:t>
      </w:r>
    </w:p>
    <w:p>
      <w:pPr>
        <w:pStyle w:val="ListParagraph"/>
        <w:numPr>
          <w:ilvl w:val="2"/>
          <w:numId w:val="253"/>
        </w:numPr>
        <w:tabs>
          <w:tab w:pos="1919" w:val="left" w:leader="none"/>
        </w:tabs>
        <w:spacing w:line="240" w:lineRule="auto" w:before="120" w:after="0"/>
        <w:ind w:left="1919" w:right="416" w:hanging="567"/>
        <w:jc w:val="both"/>
        <w:rPr>
          <w:sz w:val="24"/>
        </w:rPr>
      </w:pPr>
      <w:r>
        <w:rPr>
          <w:sz w:val="24"/>
        </w:rPr>
        <w:t>The technical specification, performance standards and information referred to in paragraph (c)(2) and any change to them must be approved by</w:t>
      </w:r>
      <w:r>
        <w:rPr>
          <w:spacing w:val="-3"/>
          <w:sz w:val="24"/>
        </w:rPr>
        <w:t> </w:t>
      </w:r>
      <w:r>
        <w:rPr>
          <w:i/>
          <w:sz w:val="24"/>
        </w:rPr>
        <w:t>AEMO</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2"/>
          <w:numId w:val="253"/>
        </w:numPr>
        <w:tabs>
          <w:tab w:pos="1920" w:val="left" w:leader="none"/>
        </w:tabs>
        <w:spacing w:line="240" w:lineRule="auto" w:before="83" w:after="0"/>
        <w:ind w:left="1919" w:right="0" w:hanging="568"/>
        <w:jc w:val="both"/>
        <w:rPr>
          <w:sz w:val="24"/>
        </w:rPr>
      </w:pPr>
      <w:r>
        <w:rPr>
          <w:sz w:val="24"/>
        </w:rPr>
        <w:t>An</w:t>
      </w:r>
      <w:r>
        <w:rPr>
          <w:spacing w:val="9"/>
          <w:sz w:val="24"/>
        </w:rPr>
        <w:t> </w:t>
      </w:r>
      <w:r>
        <w:rPr>
          <w:i/>
          <w:sz w:val="24"/>
        </w:rPr>
        <w:t>Inertia</w:t>
      </w:r>
      <w:r>
        <w:rPr>
          <w:i/>
          <w:spacing w:val="11"/>
          <w:sz w:val="24"/>
        </w:rPr>
        <w:t> </w:t>
      </w:r>
      <w:r>
        <w:rPr>
          <w:i/>
          <w:sz w:val="24"/>
        </w:rPr>
        <w:t>Service</w:t>
      </w:r>
      <w:r>
        <w:rPr>
          <w:i/>
          <w:spacing w:val="10"/>
          <w:sz w:val="24"/>
        </w:rPr>
        <w:t> </w:t>
      </w:r>
      <w:r>
        <w:rPr>
          <w:i/>
          <w:sz w:val="24"/>
        </w:rPr>
        <w:t>Provider</w:t>
      </w:r>
      <w:r>
        <w:rPr>
          <w:i/>
          <w:spacing w:val="11"/>
          <w:sz w:val="24"/>
        </w:rPr>
        <w:t> </w:t>
      </w:r>
      <w:r>
        <w:rPr>
          <w:sz w:val="24"/>
        </w:rPr>
        <w:t>must</w:t>
      </w:r>
      <w:r>
        <w:rPr>
          <w:spacing w:val="11"/>
          <w:sz w:val="24"/>
        </w:rPr>
        <w:t> </w:t>
      </w:r>
      <w:r>
        <w:rPr>
          <w:sz w:val="24"/>
        </w:rPr>
        <w:t>obtain</w:t>
      </w:r>
      <w:r>
        <w:rPr>
          <w:spacing w:val="10"/>
          <w:sz w:val="24"/>
        </w:rPr>
        <w:t> </w:t>
      </w:r>
      <w:r>
        <w:rPr>
          <w:i/>
          <w:sz w:val="24"/>
        </w:rPr>
        <w:t>AEMO's</w:t>
      </w:r>
      <w:r>
        <w:rPr>
          <w:i/>
          <w:spacing w:val="11"/>
          <w:sz w:val="24"/>
        </w:rPr>
        <w:t> </w:t>
      </w:r>
      <w:r>
        <w:rPr>
          <w:sz w:val="24"/>
        </w:rPr>
        <w:t>approval</w:t>
      </w:r>
      <w:r>
        <w:rPr>
          <w:spacing w:val="10"/>
          <w:sz w:val="24"/>
        </w:rPr>
        <w:t> </w:t>
      </w:r>
      <w:r>
        <w:rPr>
          <w:sz w:val="24"/>
        </w:rPr>
        <w:t>under</w:t>
      </w:r>
      <w:r>
        <w:rPr>
          <w:spacing w:val="11"/>
          <w:sz w:val="24"/>
        </w:rPr>
        <w:t> </w:t>
      </w:r>
      <w:r>
        <w:rPr>
          <w:sz w:val="24"/>
        </w:rPr>
        <w:t>paragraph</w:t>
      </w:r>
    </w:p>
    <w:p>
      <w:pPr>
        <w:pStyle w:val="BodyText"/>
        <w:spacing w:before="0"/>
        <w:ind w:left="1919" w:right="414" w:firstLine="0"/>
      </w:pPr>
      <w:r>
        <w:rPr/>
        <w:t>(e) before any change to the technical specification, performance standards or arrangements to give instructions that apply to an </w:t>
      </w:r>
      <w:r>
        <w:rPr>
          <w:i/>
        </w:rPr>
        <w:t>inertia support activity </w:t>
      </w:r>
      <w:r>
        <w:rPr/>
        <w:t>comes into effect.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1"/>
          <w:numId w:val="254"/>
        </w:numPr>
        <w:tabs>
          <w:tab w:pos="686" w:val="left" w:leader="none"/>
          <w:tab w:pos="1351" w:val="left" w:leader="none"/>
        </w:tabs>
        <w:spacing w:line="240" w:lineRule="auto" w:before="0" w:after="0"/>
        <w:ind w:left="686" w:right="0" w:hanging="468"/>
        <w:jc w:val="left"/>
      </w:pPr>
      <w:bookmarkStart w:name="5.20B.6 Inertia network services informa" w:id="875"/>
      <w:bookmarkEnd w:id="875"/>
      <w:r>
        <w:rPr>
          <w:b w:val="0"/>
        </w:rPr>
      </w:r>
      <w:bookmarkStart w:name="_bookmark333" w:id="876"/>
      <w:bookmarkEnd w:id="876"/>
      <w:r>
        <w:rPr>
          <w:b w:val="0"/>
        </w:rPr>
      </w:r>
      <w:bookmarkStart w:name="_bookmark333" w:id="877"/>
      <w:bookmarkEnd w:id="877"/>
      <w:r>
        <w:rPr/>
        <w:t>B.</w:t>
      </w:r>
      <w:r>
        <w:rPr/>
        <w:t>6</w:t>
        <w:tab/>
        <w:t>Inertia network services information and</w:t>
      </w:r>
      <w:r>
        <w:rPr>
          <w:spacing w:val="-3"/>
        </w:rPr>
        <w:t> </w:t>
      </w:r>
      <w:r>
        <w:rPr/>
        <w:t>approvals</w:t>
      </w:r>
    </w:p>
    <w:p>
      <w:pPr>
        <w:pStyle w:val="ListParagraph"/>
        <w:numPr>
          <w:ilvl w:val="2"/>
          <w:numId w:val="254"/>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required to make </w:t>
      </w:r>
      <w:r>
        <w:rPr>
          <w:i/>
          <w:sz w:val="24"/>
        </w:rPr>
        <w:t>inertia network services </w:t>
      </w:r>
      <w:r>
        <w:rPr>
          <w:sz w:val="24"/>
        </w:rPr>
        <w:t>available under clause 5.20B.4(b) must prepare and give to </w:t>
      </w:r>
      <w:r>
        <w:rPr>
          <w:i/>
          <w:sz w:val="24"/>
        </w:rPr>
        <w:t>AEMO </w:t>
      </w:r>
      <w:r>
        <w:rPr>
          <w:sz w:val="24"/>
        </w:rPr>
        <w:t>and keep up to date, a schedule setting</w:t>
      </w:r>
      <w:r>
        <w:rPr>
          <w:spacing w:val="-2"/>
          <w:sz w:val="24"/>
        </w:rPr>
        <w:t> </w:t>
      </w:r>
      <w:r>
        <w:rPr>
          <w:sz w:val="24"/>
        </w:rPr>
        <w:t>out:</w:t>
      </w:r>
    </w:p>
    <w:p>
      <w:pPr>
        <w:pStyle w:val="ListParagraph"/>
        <w:numPr>
          <w:ilvl w:val="3"/>
          <w:numId w:val="254"/>
        </w:numPr>
        <w:tabs>
          <w:tab w:pos="2486" w:val="left" w:leader="none"/>
        </w:tabs>
        <w:spacing w:line="240" w:lineRule="auto" w:before="120" w:after="0"/>
        <w:ind w:left="2486" w:right="415" w:hanging="567"/>
        <w:jc w:val="both"/>
        <w:rPr>
          <w:sz w:val="24"/>
        </w:rPr>
      </w:pPr>
      <w:r>
        <w:rPr>
          <w:sz w:val="24"/>
        </w:rPr>
        <w:t>the </w:t>
      </w:r>
      <w:r>
        <w:rPr>
          <w:i/>
          <w:sz w:val="24"/>
        </w:rPr>
        <w:t>inertia network services </w:t>
      </w:r>
      <w:r>
        <w:rPr>
          <w:sz w:val="24"/>
        </w:rPr>
        <w:t>made available by the </w:t>
      </w:r>
      <w:r>
        <w:rPr>
          <w:i/>
          <w:sz w:val="24"/>
        </w:rPr>
        <w:t>Inertia Service </w:t>
      </w:r>
      <w:r>
        <w:rPr>
          <w:i/>
          <w:sz w:val="24"/>
        </w:rPr>
        <w:t>Provider </w:t>
      </w:r>
      <w:r>
        <w:rPr>
          <w:sz w:val="24"/>
        </w:rPr>
        <w:t>for the </w:t>
      </w:r>
      <w:r>
        <w:rPr>
          <w:i/>
          <w:sz w:val="24"/>
        </w:rPr>
        <w:t>inertia sub-network</w:t>
      </w:r>
      <w:r>
        <w:rPr>
          <w:sz w:val="24"/>
        </w:rPr>
        <w:t>;</w:t>
      </w:r>
      <w:r>
        <w:rPr>
          <w:spacing w:val="-2"/>
          <w:sz w:val="24"/>
        </w:rPr>
        <w:t> </w:t>
      </w:r>
      <w:r>
        <w:rPr>
          <w:sz w:val="24"/>
        </w:rPr>
        <w:t>and</w:t>
      </w:r>
    </w:p>
    <w:p>
      <w:pPr>
        <w:pStyle w:val="ListParagraph"/>
        <w:numPr>
          <w:ilvl w:val="3"/>
          <w:numId w:val="254"/>
        </w:numPr>
        <w:tabs>
          <w:tab w:pos="2486" w:val="left" w:leader="none"/>
        </w:tabs>
        <w:spacing w:line="240" w:lineRule="auto" w:before="120" w:after="0"/>
        <w:ind w:left="2486" w:right="415" w:hanging="567"/>
        <w:jc w:val="both"/>
        <w:rPr>
          <w:sz w:val="24"/>
        </w:rPr>
      </w:pPr>
      <w:r>
        <w:rPr>
          <w:sz w:val="24"/>
        </w:rPr>
        <w:t>the </w:t>
      </w:r>
      <w:r>
        <w:rPr>
          <w:i/>
          <w:sz w:val="24"/>
        </w:rPr>
        <w:t>Inertia Service Provider's </w:t>
      </w:r>
      <w:r>
        <w:rPr>
          <w:sz w:val="24"/>
        </w:rPr>
        <w:t>proposed order of priority for the </w:t>
      </w:r>
      <w:r>
        <w:rPr>
          <w:i/>
          <w:sz w:val="24"/>
        </w:rPr>
        <w:t>inertia </w:t>
      </w:r>
      <w:r>
        <w:rPr>
          <w:i/>
          <w:sz w:val="24"/>
        </w:rPr>
        <w:t>network services </w:t>
      </w:r>
      <w:r>
        <w:rPr>
          <w:sz w:val="24"/>
        </w:rPr>
        <w:t>to be</w:t>
      </w:r>
      <w:r>
        <w:rPr>
          <w:spacing w:val="-1"/>
          <w:sz w:val="24"/>
        </w:rPr>
        <w:t> </w:t>
      </w:r>
      <w:r>
        <w:rPr>
          <w:i/>
          <w:sz w:val="24"/>
        </w:rPr>
        <w:t>enabled</w:t>
      </w:r>
      <w:r>
        <w:rPr>
          <w:sz w:val="24"/>
        </w:rPr>
        <w:t>.</w:t>
      </w:r>
    </w:p>
    <w:p>
      <w:pPr>
        <w:pStyle w:val="ListParagraph"/>
        <w:numPr>
          <w:ilvl w:val="2"/>
          <w:numId w:val="254"/>
        </w:numPr>
        <w:tabs>
          <w:tab w:pos="1919" w:val="left" w:leader="none"/>
        </w:tabs>
        <w:spacing w:line="240" w:lineRule="auto" w:before="120" w:after="0"/>
        <w:ind w:left="1919" w:right="414" w:hanging="567"/>
        <w:jc w:val="both"/>
        <w:rPr>
          <w:sz w:val="24"/>
        </w:rPr>
      </w:pPr>
      <w:r>
        <w:rPr>
          <w:sz w:val="24"/>
        </w:rPr>
        <w:t>Where the </w:t>
      </w:r>
      <w:r>
        <w:rPr>
          <w:i/>
          <w:sz w:val="24"/>
        </w:rPr>
        <w:t>Inertia Service Provider </w:t>
      </w:r>
      <w:r>
        <w:rPr>
          <w:sz w:val="24"/>
        </w:rPr>
        <w:t>procures </w:t>
      </w:r>
      <w:r>
        <w:rPr>
          <w:i/>
          <w:sz w:val="24"/>
        </w:rPr>
        <w:t>inertia network services </w:t>
      </w:r>
      <w:r>
        <w:rPr>
          <w:sz w:val="24"/>
        </w:rPr>
        <w:t>from a </w:t>
      </w:r>
      <w:r>
        <w:rPr>
          <w:i/>
          <w:sz w:val="24"/>
        </w:rPr>
        <w:t>Generator </w:t>
      </w:r>
      <w:r>
        <w:rPr>
          <w:sz w:val="24"/>
        </w:rPr>
        <w:t>provided by means of a </w:t>
      </w:r>
      <w:r>
        <w:rPr>
          <w:i/>
          <w:sz w:val="24"/>
        </w:rPr>
        <w:t>synchronous generating unit </w:t>
      </w:r>
      <w:r>
        <w:rPr>
          <w:sz w:val="24"/>
        </w:rPr>
        <w:t>under an </w:t>
      </w:r>
      <w:r>
        <w:rPr>
          <w:i/>
          <w:sz w:val="24"/>
        </w:rPr>
        <w:t>inertia services agreement</w:t>
      </w:r>
      <w:r>
        <w:rPr>
          <w:sz w:val="24"/>
        </w:rPr>
        <w:t>, the </w:t>
      </w:r>
      <w:r>
        <w:rPr>
          <w:i/>
          <w:sz w:val="24"/>
        </w:rPr>
        <w:t>Inertia Service Provider </w:t>
      </w:r>
      <w:r>
        <w:rPr>
          <w:sz w:val="24"/>
        </w:rPr>
        <w:t>must register the </w:t>
      </w:r>
      <w:r>
        <w:rPr>
          <w:i/>
          <w:sz w:val="24"/>
        </w:rPr>
        <w:t>generating unit </w:t>
      </w:r>
      <w:r>
        <w:rPr>
          <w:sz w:val="24"/>
        </w:rPr>
        <w:t>with </w:t>
      </w:r>
      <w:r>
        <w:rPr>
          <w:i/>
          <w:sz w:val="24"/>
        </w:rPr>
        <w:t>AEMO </w:t>
      </w:r>
      <w:r>
        <w:rPr>
          <w:sz w:val="24"/>
        </w:rPr>
        <w:t>as an </w:t>
      </w:r>
      <w:r>
        <w:rPr>
          <w:i/>
          <w:sz w:val="24"/>
        </w:rPr>
        <w:t>inertia generating unit </w:t>
      </w:r>
      <w:r>
        <w:rPr>
          <w:sz w:val="24"/>
        </w:rPr>
        <w:t>and specify that the </w:t>
      </w:r>
      <w:r>
        <w:rPr>
          <w:i/>
          <w:sz w:val="24"/>
        </w:rPr>
        <w:t>generating unit </w:t>
      </w:r>
      <w:r>
        <w:rPr>
          <w:sz w:val="24"/>
        </w:rPr>
        <w:t>may be periodically used to provide </w:t>
      </w:r>
      <w:r>
        <w:rPr>
          <w:i/>
          <w:sz w:val="24"/>
        </w:rPr>
        <w:t>inertia network </w:t>
      </w:r>
      <w:r>
        <w:rPr>
          <w:i/>
          <w:sz w:val="24"/>
        </w:rPr>
        <w:t>services </w:t>
      </w:r>
      <w:r>
        <w:rPr>
          <w:sz w:val="24"/>
        </w:rPr>
        <w:t>and will not be eligible to set </w:t>
      </w:r>
      <w:r>
        <w:rPr>
          <w:i/>
          <w:sz w:val="24"/>
        </w:rPr>
        <w:t>spot prices </w:t>
      </w:r>
      <w:r>
        <w:rPr>
          <w:sz w:val="24"/>
        </w:rPr>
        <w:t>when </w:t>
      </w:r>
      <w:r>
        <w:rPr>
          <w:i/>
          <w:sz w:val="24"/>
        </w:rPr>
        <w:t>constrained on </w:t>
      </w:r>
      <w:r>
        <w:rPr>
          <w:sz w:val="24"/>
        </w:rPr>
        <w:t>to provide </w:t>
      </w:r>
      <w:r>
        <w:rPr>
          <w:i/>
          <w:sz w:val="24"/>
        </w:rPr>
        <w:t>inertia </w:t>
      </w:r>
      <w:r>
        <w:rPr>
          <w:sz w:val="24"/>
        </w:rPr>
        <w:t>in accordance with clause</w:t>
      </w:r>
      <w:r>
        <w:rPr>
          <w:spacing w:val="-3"/>
          <w:sz w:val="24"/>
        </w:rPr>
        <w:t> </w:t>
      </w:r>
      <w:r>
        <w:rPr>
          <w:sz w:val="24"/>
        </w:rPr>
        <w:t>3.9.7(c).</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4"/>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required to make </w:t>
      </w:r>
      <w:r>
        <w:rPr>
          <w:i/>
          <w:sz w:val="24"/>
        </w:rPr>
        <w:t>inertia network services </w:t>
      </w:r>
      <w:r>
        <w:rPr>
          <w:sz w:val="24"/>
        </w:rPr>
        <w:t>available under clause 5.20B.4(b) must give to </w:t>
      </w:r>
      <w:r>
        <w:rPr>
          <w:i/>
          <w:sz w:val="24"/>
        </w:rPr>
        <w:t>AEMO </w:t>
      </w:r>
      <w:r>
        <w:rPr>
          <w:sz w:val="24"/>
        </w:rPr>
        <w:t>and keep up to date the following details for each </w:t>
      </w:r>
      <w:r>
        <w:rPr>
          <w:i/>
          <w:sz w:val="24"/>
        </w:rPr>
        <w:t>inertia network</w:t>
      </w:r>
      <w:r>
        <w:rPr>
          <w:i/>
          <w:spacing w:val="-2"/>
          <w:sz w:val="24"/>
        </w:rPr>
        <w:t> </w:t>
      </w:r>
      <w:r>
        <w:rPr>
          <w:i/>
          <w:sz w:val="24"/>
        </w:rPr>
        <w:t>service</w:t>
      </w:r>
      <w:r>
        <w:rPr>
          <w:sz w:val="24"/>
        </w:rPr>
        <w:t>:</w:t>
      </w:r>
    </w:p>
    <w:p>
      <w:pPr>
        <w:pStyle w:val="ListParagraph"/>
        <w:numPr>
          <w:ilvl w:val="3"/>
          <w:numId w:val="254"/>
        </w:numPr>
        <w:tabs>
          <w:tab w:pos="2486" w:val="left" w:leader="none"/>
        </w:tabs>
        <w:spacing w:line="240" w:lineRule="auto" w:before="120" w:after="0"/>
        <w:ind w:left="2485" w:right="0" w:hanging="567"/>
        <w:jc w:val="both"/>
        <w:rPr>
          <w:sz w:val="24"/>
        </w:rPr>
      </w:pPr>
      <w:r>
        <w:rPr>
          <w:sz w:val="24"/>
        </w:rPr>
        <w:t>a description of the </w:t>
      </w:r>
      <w:r>
        <w:rPr>
          <w:i/>
          <w:sz w:val="24"/>
        </w:rPr>
        <w:t>inertia network service</w:t>
      </w:r>
      <w:r>
        <w:rPr>
          <w:sz w:val="24"/>
        </w:rPr>
        <w:t>,</w:t>
      </w:r>
      <w:r>
        <w:rPr>
          <w:spacing w:val="-2"/>
          <w:sz w:val="24"/>
        </w:rPr>
        <w:t> </w:t>
      </w:r>
      <w:r>
        <w:rPr>
          <w:sz w:val="24"/>
        </w:rPr>
        <w:t>including:</w:t>
      </w:r>
    </w:p>
    <w:p>
      <w:pPr>
        <w:pStyle w:val="ListParagraph"/>
        <w:numPr>
          <w:ilvl w:val="4"/>
          <w:numId w:val="254"/>
        </w:numPr>
        <w:tabs>
          <w:tab w:pos="3053" w:val="left" w:leader="none"/>
        </w:tabs>
        <w:spacing w:line="240" w:lineRule="auto" w:before="120" w:after="0"/>
        <w:ind w:left="3052" w:right="0" w:hanging="567"/>
        <w:jc w:val="both"/>
        <w:rPr>
          <w:sz w:val="24"/>
        </w:rPr>
      </w:pPr>
      <w:r>
        <w:rPr>
          <w:sz w:val="24"/>
        </w:rPr>
        <w:t>the nature of the </w:t>
      </w:r>
      <w:r>
        <w:rPr>
          <w:i/>
          <w:sz w:val="24"/>
        </w:rPr>
        <w:t>inertia network</w:t>
      </w:r>
      <w:r>
        <w:rPr>
          <w:i/>
          <w:spacing w:val="-2"/>
          <w:sz w:val="24"/>
        </w:rPr>
        <w:t> </w:t>
      </w:r>
      <w:r>
        <w:rPr>
          <w:i/>
          <w:sz w:val="24"/>
        </w:rPr>
        <w:t>service</w:t>
      </w:r>
      <w:r>
        <w:rPr>
          <w:sz w:val="24"/>
        </w:rPr>
        <w:t>;</w:t>
      </w:r>
    </w:p>
    <w:p>
      <w:pPr>
        <w:pStyle w:val="ListParagraph"/>
        <w:numPr>
          <w:ilvl w:val="4"/>
          <w:numId w:val="254"/>
        </w:numPr>
        <w:tabs>
          <w:tab w:pos="3054" w:val="left" w:leader="none"/>
        </w:tabs>
        <w:spacing w:line="240" w:lineRule="auto" w:before="120" w:after="0"/>
        <w:ind w:left="3053" w:right="415" w:hanging="567"/>
        <w:jc w:val="both"/>
        <w:rPr>
          <w:sz w:val="24"/>
        </w:rPr>
      </w:pPr>
      <w:r>
        <w:rPr>
          <w:sz w:val="24"/>
        </w:rPr>
        <w:t>the </w:t>
      </w:r>
      <w:r>
        <w:rPr>
          <w:i/>
          <w:sz w:val="24"/>
        </w:rPr>
        <w:t>generating unit </w:t>
      </w:r>
      <w:r>
        <w:rPr>
          <w:sz w:val="24"/>
        </w:rPr>
        <w:t>or other </w:t>
      </w:r>
      <w:r>
        <w:rPr>
          <w:i/>
          <w:sz w:val="24"/>
        </w:rPr>
        <w:t>facilities </w:t>
      </w:r>
      <w:r>
        <w:rPr>
          <w:sz w:val="24"/>
        </w:rPr>
        <w:t>used to provide the </w:t>
      </w:r>
      <w:r>
        <w:rPr>
          <w:i/>
          <w:sz w:val="24"/>
        </w:rPr>
        <w:t>inertia </w:t>
      </w:r>
      <w:r>
        <w:rPr>
          <w:i/>
          <w:sz w:val="24"/>
        </w:rPr>
        <w:t>network</w:t>
      </w:r>
      <w:r>
        <w:rPr>
          <w:i/>
          <w:spacing w:val="-1"/>
          <w:sz w:val="24"/>
        </w:rPr>
        <w:t> </w:t>
      </w:r>
      <w:r>
        <w:rPr>
          <w:i/>
          <w:sz w:val="24"/>
        </w:rPr>
        <w:t>service</w:t>
      </w:r>
      <w:r>
        <w:rPr>
          <w:sz w:val="24"/>
        </w:rPr>
        <w:t>;</w:t>
      </w:r>
    </w:p>
    <w:p>
      <w:pPr>
        <w:pStyle w:val="ListParagraph"/>
        <w:numPr>
          <w:ilvl w:val="4"/>
          <w:numId w:val="254"/>
        </w:numPr>
        <w:tabs>
          <w:tab w:pos="3053" w:val="left" w:leader="none"/>
        </w:tabs>
        <w:spacing w:line="240" w:lineRule="auto" w:before="120" w:after="0"/>
        <w:ind w:left="3053" w:right="416" w:hanging="567"/>
        <w:jc w:val="both"/>
        <w:rPr>
          <w:sz w:val="24"/>
        </w:rPr>
      </w:pPr>
      <w:r>
        <w:rPr>
          <w:sz w:val="24"/>
        </w:rPr>
        <w:t>the purpose for which the </w:t>
      </w:r>
      <w:r>
        <w:rPr>
          <w:i/>
          <w:sz w:val="24"/>
        </w:rPr>
        <w:t>inertia network service </w:t>
      </w:r>
      <w:r>
        <w:rPr>
          <w:sz w:val="24"/>
        </w:rPr>
        <w:t>is being provided;</w:t>
      </w:r>
    </w:p>
    <w:p>
      <w:pPr>
        <w:pStyle w:val="ListParagraph"/>
        <w:numPr>
          <w:ilvl w:val="4"/>
          <w:numId w:val="254"/>
        </w:numPr>
        <w:tabs>
          <w:tab w:pos="3054" w:val="left" w:leader="none"/>
        </w:tabs>
        <w:spacing w:line="240" w:lineRule="auto" w:before="120" w:after="0"/>
        <w:ind w:left="3053" w:right="0" w:hanging="568"/>
        <w:jc w:val="both"/>
        <w:rPr>
          <w:i/>
          <w:sz w:val="24"/>
        </w:rPr>
      </w:pPr>
      <w:r>
        <w:rPr>
          <w:sz w:val="24"/>
        </w:rPr>
        <w:t>the</w:t>
      </w:r>
      <w:r>
        <w:rPr>
          <w:spacing w:val="13"/>
          <w:sz w:val="24"/>
        </w:rPr>
        <w:t> </w:t>
      </w:r>
      <w:r>
        <w:rPr>
          <w:sz w:val="24"/>
        </w:rPr>
        <w:t>location</w:t>
      </w:r>
      <w:r>
        <w:rPr>
          <w:spacing w:val="14"/>
          <w:sz w:val="24"/>
        </w:rPr>
        <w:t> </w:t>
      </w:r>
      <w:r>
        <w:rPr>
          <w:sz w:val="24"/>
        </w:rPr>
        <w:t>in</w:t>
      </w:r>
      <w:r>
        <w:rPr>
          <w:spacing w:val="13"/>
          <w:sz w:val="24"/>
        </w:rPr>
        <w:t> </w:t>
      </w:r>
      <w:r>
        <w:rPr>
          <w:sz w:val="24"/>
        </w:rPr>
        <w:t>the</w:t>
      </w:r>
      <w:r>
        <w:rPr>
          <w:spacing w:val="14"/>
          <w:sz w:val="24"/>
        </w:rPr>
        <w:t> </w:t>
      </w:r>
      <w:r>
        <w:rPr>
          <w:i/>
          <w:sz w:val="24"/>
        </w:rPr>
        <w:t>transmission</w:t>
      </w:r>
      <w:r>
        <w:rPr>
          <w:i/>
          <w:spacing w:val="14"/>
          <w:sz w:val="24"/>
        </w:rPr>
        <w:t> </w:t>
      </w:r>
      <w:r>
        <w:rPr>
          <w:i/>
          <w:sz w:val="24"/>
        </w:rPr>
        <w:t>network</w:t>
      </w:r>
      <w:r>
        <w:rPr>
          <w:i/>
          <w:spacing w:val="13"/>
          <w:sz w:val="24"/>
        </w:rPr>
        <w:t> </w:t>
      </w:r>
      <w:r>
        <w:rPr>
          <w:sz w:val="24"/>
        </w:rPr>
        <w:t>or</w:t>
      </w:r>
      <w:r>
        <w:rPr>
          <w:spacing w:val="14"/>
          <w:sz w:val="24"/>
        </w:rPr>
        <w:t> </w:t>
      </w:r>
      <w:r>
        <w:rPr>
          <w:i/>
          <w:sz w:val="24"/>
        </w:rPr>
        <w:t>distribution</w:t>
      </w:r>
      <w:r>
        <w:rPr>
          <w:i/>
          <w:spacing w:val="14"/>
          <w:sz w:val="24"/>
        </w:rPr>
        <w:t> </w:t>
      </w:r>
      <w:r>
        <w:rPr>
          <w:i/>
          <w:sz w:val="24"/>
        </w:rPr>
        <w:t>network</w:t>
      </w:r>
    </w:p>
    <w:p>
      <w:pPr>
        <w:spacing w:before="0"/>
        <w:ind w:left="3053" w:right="0" w:firstLine="0"/>
        <w:jc w:val="both"/>
        <w:rPr>
          <w:sz w:val="24"/>
        </w:rPr>
      </w:pPr>
      <w:r>
        <w:rPr>
          <w:sz w:val="24"/>
        </w:rPr>
        <w:t>of the </w:t>
      </w:r>
      <w:r>
        <w:rPr>
          <w:i/>
          <w:sz w:val="24"/>
        </w:rPr>
        <w:t>facilities </w:t>
      </w:r>
      <w:r>
        <w:rPr>
          <w:sz w:val="24"/>
        </w:rPr>
        <w:t>used to provide the </w:t>
      </w:r>
      <w:r>
        <w:rPr>
          <w:i/>
          <w:sz w:val="24"/>
        </w:rPr>
        <w:t>inertia network</w:t>
      </w:r>
      <w:r>
        <w:rPr>
          <w:i/>
          <w:spacing w:val="-12"/>
          <w:sz w:val="24"/>
        </w:rPr>
        <w:t> </w:t>
      </w:r>
      <w:r>
        <w:rPr>
          <w:i/>
          <w:sz w:val="24"/>
        </w:rPr>
        <w:t>service</w:t>
      </w:r>
      <w:r>
        <w:rPr>
          <w:sz w:val="24"/>
        </w:rPr>
        <w:t>;</w:t>
      </w:r>
    </w:p>
    <w:p>
      <w:pPr>
        <w:pStyle w:val="ListParagraph"/>
        <w:numPr>
          <w:ilvl w:val="4"/>
          <w:numId w:val="254"/>
        </w:numPr>
        <w:tabs>
          <w:tab w:pos="3053" w:val="left" w:leader="none"/>
        </w:tabs>
        <w:spacing w:line="240" w:lineRule="auto" w:before="120" w:after="0"/>
        <w:ind w:left="3053" w:right="415" w:hanging="567"/>
        <w:jc w:val="both"/>
        <w:rPr>
          <w:sz w:val="24"/>
        </w:rPr>
      </w:pPr>
      <w:r>
        <w:rPr>
          <w:sz w:val="24"/>
        </w:rPr>
        <w:t>the quantity of </w:t>
      </w:r>
      <w:r>
        <w:rPr>
          <w:i/>
          <w:sz w:val="24"/>
        </w:rPr>
        <w:t>inertia </w:t>
      </w:r>
      <w:r>
        <w:rPr>
          <w:sz w:val="24"/>
        </w:rPr>
        <w:t>to be provided when the </w:t>
      </w:r>
      <w:r>
        <w:rPr>
          <w:i/>
          <w:sz w:val="24"/>
        </w:rPr>
        <w:t>inertia network </w:t>
      </w:r>
      <w:r>
        <w:rPr>
          <w:i/>
          <w:sz w:val="24"/>
        </w:rPr>
        <w:t>service </w:t>
      </w:r>
      <w:r>
        <w:rPr>
          <w:sz w:val="24"/>
        </w:rPr>
        <w:t>is </w:t>
      </w:r>
      <w:r>
        <w:rPr>
          <w:i/>
          <w:sz w:val="24"/>
        </w:rPr>
        <w:t>enabled</w:t>
      </w:r>
      <w:r>
        <w:rPr>
          <w:i/>
          <w:spacing w:val="-2"/>
          <w:sz w:val="24"/>
        </w:rPr>
        <w:t> </w:t>
      </w:r>
      <w:r>
        <w:rPr>
          <w:sz w:val="24"/>
        </w:rPr>
        <w:t>and;</w:t>
      </w:r>
    </w:p>
    <w:p>
      <w:pPr>
        <w:pStyle w:val="ListParagraph"/>
        <w:numPr>
          <w:ilvl w:val="4"/>
          <w:numId w:val="254"/>
        </w:numPr>
        <w:tabs>
          <w:tab w:pos="3053" w:val="left" w:leader="none"/>
        </w:tabs>
        <w:spacing w:line="240" w:lineRule="auto" w:before="120" w:after="0"/>
        <w:ind w:left="3053" w:right="415" w:hanging="567"/>
        <w:jc w:val="both"/>
        <w:rPr>
          <w:sz w:val="24"/>
        </w:rPr>
      </w:pPr>
      <w:r>
        <w:rPr>
          <w:sz w:val="24"/>
        </w:rPr>
        <w:t>any other information requested by </w:t>
      </w:r>
      <w:r>
        <w:rPr>
          <w:i/>
          <w:sz w:val="24"/>
        </w:rPr>
        <w:t>AEMO </w:t>
      </w:r>
      <w:r>
        <w:rPr>
          <w:sz w:val="24"/>
        </w:rPr>
        <w:t>in connection with the </w:t>
      </w:r>
      <w:r>
        <w:rPr>
          <w:i/>
          <w:sz w:val="24"/>
        </w:rPr>
        <w:t>inertia network</w:t>
      </w:r>
      <w:r>
        <w:rPr>
          <w:i/>
          <w:spacing w:val="-1"/>
          <w:sz w:val="24"/>
        </w:rPr>
        <w:t> </w:t>
      </w:r>
      <w:r>
        <w:rPr>
          <w:i/>
          <w:sz w:val="24"/>
        </w:rPr>
        <w:t>service</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254"/>
        </w:numPr>
        <w:tabs>
          <w:tab w:pos="2486" w:val="left" w:leader="none"/>
        </w:tabs>
        <w:spacing w:line="240" w:lineRule="auto" w:before="83" w:after="0"/>
        <w:ind w:left="2486" w:right="415" w:hanging="567"/>
        <w:jc w:val="both"/>
        <w:rPr>
          <w:sz w:val="24"/>
        </w:rPr>
      </w:pPr>
      <w:r>
        <w:rPr>
          <w:sz w:val="24"/>
        </w:rPr>
        <w:t>information about the availability of the </w:t>
      </w:r>
      <w:r>
        <w:rPr>
          <w:i/>
          <w:sz w:val="24"/>
        </w:rPr>
        <w:t>inertia network service</w:t>
      </w:r>
      <w:r>
        <w:rPr>
          <w:sz w:val="24"/>
        </w:rPr>
        <w:t>, including:</w:t>
      </w:r>
    </w:p>
    <w:p>
      <w:pPr>
        <w:pStyle w:val="ListParagraph"/>
        <w:numPr>
          <w:ilvl w:val="4"/>
          <w:numId w:val="254"/>
        </w:numPr>
        <w:tabs>
          <w:tab w:pos="3053" w:val="left" w:leader="none"/>
        </w:tabs>
        <w:spacing w:line="240" w:lineRule="auto" w:before="120" w:after="0"/>
        <w:ind w:left="3053" w:right="415" w:hanging="567"/>
        <w:jc w:val="both"/>
        <w:rPr>
          <w:sz w:val="24"/>
        </w:rPr>
      </w:pPr>
      <w:r>
        <w:rPr>
          <w:sz w:val="24"/>
        </w:rPr>
        <w:t>the times when, and the period over which, the </w:t>
      </w:r>
      <w:r>
        <w:rPr>
          <w:i/>
          <w:sz w:val="24"/>
        </w:rPr>
        <w:t>inertia network </w:t>
      </w:r>
      <w:r>
        <w:rPr>
          <w:i/>
          <w:sz w:val="24"/>
        </w:rPr>
        <w:t>service </w:t>
      </w:r>
      <w:r>
        <w:rPr>
          <w:sz w:val="24"/>
        </w:rPr>
        <w:t>will be available to provide </w:t>
      </w:r>
      <w:r>
        <w:rPr>
          <w:i/>
          <w:sz w:val="24"/>
        </w:rPr>
        <w:t>inertia</w:t>
      </w:r>
      <w:r>
        <w:rPr>
          <w:sz w:val="24"/>
        </w:rPr>
        <w:t>;</w:t>
      </w:r>
      <w:r>
        <w:rPr>
          <w:spacing w:val="-4"/>
          <w:sz w:val="24"/>
        </w:rPr>
        <w:t> </w:t>
      </w:r>
      <w:r>
        <w:rPr>
          <w:sz w:val="24"/>
        </w:rPr>
        <w:t>and</w:t>
      </w:r>
    </w:p>
    <w:p>
      <w:pPr>
        <w:pStyle w:val="ListParagraph"/>
        <w:numPr>
          <w:ilvl w:val="4"/>
          <w:numId w:val="254"/>
        </w:numPr>
        <w:tabs>
          <w:tab w:pos="3054" w:val="left" w:leader="none"/>
        </w:tabs>
        <w:spacing w:line="240" w:lineRule="auto" w:before="120" w:after="0"/>
        <w:ind w:left="3053" w:right="415" w:hanging="567"/>
        <w:jc w:val="both"/>
        <w:rPr>
          <w:i/>
          <w:sz w:val="24"/>
        </w:rPr>
      </w:pPr>
      <w:r>
        <w:rPr>
          <w:sz w:val="24"/>
        </w:rPr>
        <w:t>any possible restrictions on the availability of the </w:t>
      </w:r>
      <w:r>
        <w:rPr>
          <w:i/>
          <w:sz w:val="24"/>
        </w:rPr>
        <w:t>inertia </w:t>
      </w:r>
      <w:r>
        <w:rPr>
          <w:i/>
          <w:sz w:val="24"/>
        </w:rPr>
        <w:t>network</w:t>
      </w:r>
      <w:r>
        <w:rPr>
          <w:i/>
          <w:spacing w:val="-1"/>
          <w:sz w:val="24"/>
        </w:rPr>
        <w:t> </w:t>
      </w:r>
      <w:r>
        <w:rPr>
          <w:i/>
          <w:sz w:val="24"/>
        </w:rPr>
        <w:t>service</w:t>
      </w:r>
    </w:p>
    <w:p>
      <w:pPr>
        <w:pStyle w:val="ListParagraph"/>
        <w:numPr>
          <w:ilvl w:val="2"/>
          <w:numId w:val="254"/>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required to make </w:t>
      </w:r>
      <w:r>
        <w:rPr>
          <w:i/>
          <w:sz w:val="24"/>
        </w:rPr>
        <w:t>inertia network services </w:t>
      </w:r>
      <w:r>
        <w:rPr>
          <w:sz w:val="24"/>
        </w:rPr>
        <w:t>available under clause 5.20B.4(b) must prepare and submit to </w:t>
      </w:r>
      <w:r>
        <w:rPr>
          <w:i/>
          <w:sz w:val="24"/>
        </w:rPr>
        <w:t>AEMO </w:t>
      </w:r>
      <w:r>
        <w:rPr>
          <w:sz w:val="24"/>
        </w:rPr>
        <w:t>for approval under paragraph (e) the following details for each </w:t>
      </w:r>
      <w:r>
        <w:rPr>
          <w:i/>
          <w:sz w:val="24"/>
        </w:rPr>
        <w:t>inertia </w:t>
      </w:r>
      <w:r>
        <w:rPr>
          <w:i/>
          <w:spacing w:val="-3"/>
          <w:sz w:val="24"/>
        </w:rPr>
        <w:t>network </w:t>
      </w:r>
      <w:r>
        <w:rPr>
          <w:i/>
          <w:sz w:val="24"/>
        </w:rPr>
        <w:t>service</w:t>
      </w:r>
      <w:r>
        <w:rPr>
          <w:sz w:val="24"/>
        </w:rPr>
        <w:t>:</w:t>
      </w:r>
    </w:p>
    <w:p>
      <w:pPr>
        <w:pStyle w:val="ListParagraph"/>
        <w:numPr>
          <w:ilvl w:val="3"/>
          <w:numId w:val="254"/>
        </w:numPr>
        <w:tabs>
          <w:tab w:pos="2486" w:val="left" w:leader="none"/>
        </w:tabs>
        <w:spacing w:line="240" w:lineRule="auto" w:before="120" w:after="0"/>
        <w:ind w:left="2486" w:right="416" w:hanging="567"/>
        <w:jc w:val="both"/>
        <w:rPr>
          <w:sz w:val="24"/>
        </w:rPr>
      </w:pPr>
      <w:r>
        <w:rPr>
          <w:sz w:val="24"/>
        </w:rPr>
        <w:t>the technical specification and performance standards for the </w:t>
      </w:r>
      <w:r>
        <w:rPr>
          <w:i/>
          <w:sz w:val="24"/>
        </w:rPr>
        <w:t>inertia </w:t>
      </w:r>
      <w:r>
        <w:rPr>
          <w:i/>
          <w:sz w:val="24"/>
        </w:rPr>
        <w:t>network service</w:t>
      </w:r>
      <w:r>
        <w:rPr>
          <w:sz w:val="24"/>
        </w:rPr>
        <w:t>;</w:t>
      </w:r>
      <w:r>
        <w:rPr>
          <w:spacing w:val="-1"/>
          <w:sz w:val="24"/>
        </w:rPr>
        <w:t> </w:t>
      </w:r>
      <w:r>
        <w:rPr>
          <w:sz w:val="24"/>
        </w:rPr>
        <w:t>and</w:t>
      </w:r>
    </w:p>
    <w:p>
      <w:pPr>
        <w:pStyle w:val="ListParagraph"/>
        <w:numPr>
          <w:ilvl w:val="3"/>
          <w:numId w:val="254"/>
        </w:numPr>
        <w:tabs>
          <w:tab w:pos="2486" w:val="left" w:leader="none"/>
        </w:tabs>
        <w:spacing w:line="240" w:lineRule="auto" w:before="120" w:after="0"/>
        <w:ind w:left="2485" w:right="0" w:hanging="567"/>
        <w:jc w:val="both"/>
        <w:rPr>
          <w:i/>
          <w:sz w:val="24"/>
        </w:rPr>
      </w:pPr>
      <w:r>
        <w:rPr>
          <w:sz w:val="24"/>
        </w:rPr>
        <w:t>the</w:t>
      </w:r>
      <w:r>
        <w:rPr>
          <w:spacing w:val="27"/>
          <w:sz w:val="24"/>
        </w:rPr>
        <w:t> </w:t>
      </w:r>
      <w:r>
        <w:rPr>
          <w:sz w:val="24"/>
        </w:rPr>
        <w:t>arrangements</w:t>
      </w:r>
      <w:r>
        <w:rPr>
          <w:spacing w:val="27"/>
          <w:sz w:val="24"/>
        </w:rPr>
        <w:t> </w:t>
      </w:r>
      <w:r>
        <w:rPr>
          <w:sz w:val="24"/>
        </w:rPr>
        <w:t>necessary</w:t>
      </w:r>
      <w:r>
        <w:rPr>
          <w:spacing w:val="28"/>
          <w:sz w:val="24"/>
        </w:rPr>
        <w:t> </w:t>
      </w:r>
      <w:r>
        <w:rPr>
          <w:sz w:val="24"/>
        </w:rPr>
        <w:t>for</w:t>
      </w:r>
      <w:r>
        <w:rPr>
          <w:spacing w:val="27"/>
          <w:sz w:val="24"/>
        </w:rPr>
        <w:t> </w:t>
      </w:r>
      <w:r>
        <w:rPr>
          <w:i/>
          <w:sz w:val="24"/>
        </w:rPr>
        <w:t>AEMO</w:t>
      </w:r>
      <w:r>
        <w:rPr>
          <w:i/>
          <w:spacing w:val="27"/>
          <w:sz w:val="24"/>
        </w:rPr>
        <w:t> </w:t>
      </w:r>
      <w:r>
        <w:rPr>
          <w:sz w:val="24"/>
        </w:rPr>
        <w:t>to</w:t>
      </w:r>
      <w:r>
        <w:rPr>
          <w:spacing w:val="28"/>
          <w:sz w:val="24"/>
        </w:rPr>
        <w:t> </w:t>
      </w:r>
      <w:r>
        <w:rPr>
          <w:sz w:val="24"/>
        </w:rPr>
        <w:t>give</w:t>
      </w:r>
      <w:r>
        <w:rPr>
          <w:spacing w:val="27"/>
          <w:sz w:val="24"/>
        </w:rPr>
        <w:t> </w:t>
      </w:r>
      <w:r>
        <w:rPr>
          <w:sz w:val="24"/>
        </w:rPr>
        <w:t>instructions</w:t>
      </w:r>
      <w:r>
        <w:rPr>
          <w:spacing w:val="27"/>
          <w:sz w:val="24"/>
        </w:rPr>
        <w:t> </w:t>
      </w:r>
      <w:r>
        <w:rPr>
          <w:sz w:val="24"/>
        </w:rPr>
        <w:t>to</w:t>
      </w:r>
      <w:r>
        <w:rPr>
          <w:spacing w:val="27"/>
          <w:sz w:val="24"/>
        </w:rPr>
        <w:t> </w:t>
      </w:r>
      <w:r>
        <w:rPr>
          <w:i/>
          <w:sz w:val="24"/>
        </w:rPr>
        <w:t>enable</w:t>
      </w:r>
    </w:p>
    <w:p>
      <w:pPr>
        <w:spacing w:before="0"/>
        <w:ind w:left="2486" w:right="0" w:firstLine="0"/>
        <w:jc w:val="left"/>
        <w:rPr>
          <w:sz w:val="24"/>
        </w:rPr>
      </w:pPr>
      <w:r>
        <w:rPr>
          <w:sz w:val="24"/>
        </w:rPr>
        <w:t>or cease the provision of the </w:t>
      </w:r>
      <w:r>
        <w:rPr>
          <w:i/>
          <w:sz w:val="24"/>
        </w:rPr>
        <w:t>inertia network service </w:t>
      </w:r>
      <w:r>
        <w:rPr>
          <w:sz w:val="24"/>
        </w:rPr>
        <w:t>including:</w:t>
      </w:r>
    </w:p>
    <w:p>
      <w:pPr>
        <w:pStyle w:val="ListParagraph"/>
        <w:numPr>
          <w:ilvl w:val="4"/>
          <w:numId w:val="254"/>
        </w:numPr>
        <w:tabs>
          <w:tab w:pos="3052" w:val="left" w:leader="none"/>
          <w:tab w:pos="3053" w:val="left" w:leader="none"/>
        </w:tabs>
        <w:spacing w:line="240" w:lineRule="auto" w:before="120" w:after="0"/>
        <w:ind w:left="3053" w:right="415" w:hanging="567"/>
        <w:jc w:val="left"/>
        <w:rPr>
          <w:sz w:val="24"/>
        </w:rPr>
      </w:pPr>
      <w:r>
        <w:rPr>
          <w:sz w:val="24"/>
        </w:rPr>
        <w:t>the period of any notice that has to be given to the provider of the </w:t>
      </w:r>
      <w:r>
        <w:rPr>
          <w:i/>
          <w:sz w:val="24"/>
        </w:rPr>
        <w:t>inertia network service </w:t>
      </w:r>
      <w:r>
        <w:rPr>
          <w:sz w:val="24"/>
        </w:rPr>
        <w:t>for it to be</w:t>
      </w:r>
      <w:r>
        <w:rPr>
          <w:spacing w:val="-3"/>
          <w:sz w:val="24"/>
        </w:rPr>
        <w:t> </w:t>
      </w:r>
      <w:r>
        <w:rPr>
          <w:i/>
          <w:sz w:val="24"/>
        </w:rPr>
        <w:t>enabled</w:t>
      </w:r>
      <w:r>
        <w:rPr>
          <w:sz w:val="24"/>
        </w:rPr>
        <w:t>;</w:t>
      </w:r>
    </w:p>
    <w:p>
      <w:pPr>
        <w:pStyle w:val="ListParagraph"/>
        <w:numPr>
          <w:ilvl w:val="4"/>
          <w:numId w:val="254"/>
        </w:numPr>
        <w:tabs>
          <w:tab w:pos="3052" w:val="left" w:leader="none"/>
          <w:tab w:pos="3054" w:val="left" w:leader="none"/>
        </w:tabs>
        <w:spacing w:line="240" w:lineRule="auto" w:before="120" w:after="0"/>
        <w:ind w:left="3053" w:right="415" w:hanging="567"/>
        <w:jc w:val="left"/>
        <w:rPr>
          <w:sz w:val="24"/>
        </w:rPr>
      </w:pPr>
      <w:r>
        <w:rPr>
          <w:sz w:val="24"/>
        </w:rPr>
        <w:t>the response time to any instruction for the </w:t>
      </w:r>
      <w:r>
        <w:rPr>
          <w:i/>
          <w:sz w:val="24"/>
        </w:rPr>
        <w:t>inertia network </w:t>
      </w:r>
      <w:r>
        <w:rPr>
          <w:i/>
          <w:sz w:val="24"/>
        </w:rPr>
        <w:t>service </w:t>
      </w:r>
      <w:r>
        <w:rPr>
          <w:sz w:val="24"/>
        </w:rPr>
        <w:t>to be </w:t>
      </w:r>
      <w:r>
        <w:rPr>
          <w:i/>
          <w:sz w:val="24"/>
        </w:rPr>
        <w:t>enabled </w:t>
      </w:r>
      <w:r>
        <w:rPr>
          <w:sz w:val="24"/>
        </w:rPr>
        <w:t>or to cease being provided;</w:t>
      </w:r>
      <w:r>
        <w:rPr>
          <w:spacing w:val="-5"/>
          <w:sz w:val="24"/>
        </w:rPr>
        <w:t> </w:t>
      </w:r>
      <w:r>
        <w:rPr>
          <w:sz w:val="24"/>
        </w:rPr>
        <w:t>and</w:t>
      </w:r>
    </w:p>
    <w:p>
      <w:pPr>
        <w:pStyle w:val="ListParagraph"/>
        <w:numPr>
          <w:ilvl w:val="4"/>
          <w:numId w:val="254"/>
        </w:numPr>
        <w:tabs>
          <w:tab w:pos="3052" w:val="left" w:leader="none"/>
          <w:tab w:pos="3053" w:val="left" w:leader="none"/>
        </w:tabs>
        <w:spacing w:line="240" w:lineRule="auto" w:before="120" w:after="0"/>
        <w:ind w:left="3053" w:right="415" w:hanging="567"/>
        <w:jc w:val="left"/>
        <w:rPr>
          <w:sz w:val="24"/>
        </w:rPr>
      </w:pPr>
      <w:r>
        <w:rPr>
          <w:sz w:val="24"/>
        </w:rPr>
        <w:t>communication protocols between it, </w:t>
      </w:r>
      <w:r>
        <w:rPr>
          <w:i/>
          <w:sz w:val="24"/>
        </w:rPr>
        <w:t>AEMO </w:t>
      </w:r>
      <w:r>
        <w:rPr>
          <w:sz w:val="24"/>
        </w:rPr>
        <w:t>and the </w:t>
      </w:r>
      <w:r>
        <w:rPr>
          <w:i/>
          <w:sz w:val="24"/>
        </w:rPr>
        <w:t>Registered </w:t>
      </w:r>
      <w:r>
        <w:rPr>
          <w:i/>
          <w:sz w:val="24"/>
        </w:rPr>
        <w:t>Participants </w:t>
      </w:r>
      <w:r>
        <w:rPr>
          <w:sz w:val="24"/>
        </w:rPr>
        <w:t>that provide </w:t>
      </w:r>
      <w:r>
        <w:rPr>
          <w:i/>
          <w:sz w:val="24"/>
        </w:rPr>
        <w:t>inertia network</w:t>
      </w:r>
      <w:r>
        <w:rPr>
          <w:i/>
          <w:spacing w:val="-2"/>
          <w:sz w:val="24"/>
        </w:rPr>
        <w:t> </w:t>
      </w:r>
      <w:r>
        <w:rPr>
          <w:i/>
          <w:sz w:val="24"/>
        </w:rPr>
        <w:t>services</w:t>
      </w:r>
      <w:r>
        <w:rPr>
          <w:sz w:val="24"/>
        </w:rPr>
        <w:t>.</w:t>
      </w:r>
    </w:p>
    <w:p>
      <w:pPr>
        <w:pStyle w:val="ListParagraph"/>
        <w:numPr>
          <w:ilvl w:val="2"/>
          <w:numId w:val="254"/>
        </w:numPr>
        <w:tabs>
          <w:tab w:pos="1919" w:val="left" w:leader="none"/>
        </w:tabs>
        <w:spacing w:line="240" w:lineRule="auto" w:before="120" w:after="0"/>
        <w:ind w:left="1919" w:right="414" w:hanging="567"/>
        <w:jc w:val="both"/>
        <w:rPr>
          <w:sz w:val="24"/>
        </w:rPr>
      </w:pPr>
      <w:r>
        <w:rPr>
          <w:sz w:val="24"/>
        </w:rPr>
        <w:t>The technical specification. performance standards and arrangements necessary for </w:t>
      </w:r>
      <w:r>
        <w:rPr>
          <w:i/>
          <w:sz w:val="24"/>
        </w:rPr>
        <w:t>AEMO </w:t>
      </w:r>
      <w:r>
        <w:rPr>
          <w:sz w:val="24"/>
        </w:rPr>
        <w:t>to give the instructions referred to in paragraph (d) and any change to them must be consistent with the </w:t>
      </w:r>
      <w:r>
        <w:rPr>
          <w:i/>
          <w:sz w:val="24"/>
        </w:rPr>
        <w:t>Rules </w:t>
      </w:r>
      <w:r>
        <w:rPr>
          <w:sz w:val="24"/>
        </w:rPr>
        <w:t>and approved by </w:t>
      </w:r>
      <w:r>
        <w:rPr>
          <w:i/>
          <w:sz w:val="24"/>
        </w:rPr>
        <w:t>AEMO</w:t>
      </w:r>
      <w:r>
        <w:rPr>
          <w:sz w:val="24"/>
        </w:rPr>
        <w:t>.</w:t>
      </w:r>
    </w:p>
    <w:p>
      <w:pPr>
        <w:pStyle w:val="ListParagraph"/>
        <w:numPr>
          <w:ilvl w:val="2"/>
          <w:numId w:val="254"/>
        </w:numPr>
        <w:tabs>
          <w:tab w:pos="1920" w:val="left" w:leader="none"/>
        </w:tabs>
        <w:spacing w:line="240" w:lineRule="auto" w:before="120" w:after="0"/>
        <w:ind w:left="1919" w:right="415" w:hanging="567"/>
        <w:jc w:val="both"/>
        <w:rPr>
          <w:sz w:val="24"/>
        </w:rPr>
      </w:pPr>
      <w:r>
        <w:rPr>
          <w:sz w:val="24"/>
        </w:rPr>
        <w:t>An </w:t>
      </w:r>
      <w:r>
        <w:rPr>
          <w:i/>
          <w:sz w:val="24"/>
        </w:rPr>
        <w:t>Inertia Service Provider </w:t>
      </w:r>
      <w:r>
        <w:rPr>
          <w:sz w:val="24"/>
        </w:rPr>
        <w:t>must ensure that </w:t>
      </w:r>
      <w:r>
        <w:rPr>
          <w:i/>
          <w:sz w:val="24"/>
        </w:rPr>
        <w:t>AEMO</w:t>
      </w:r>
      <w:r>
        <w:rPr>
          <w:sz w:val="24"/>
        </w:rPr>
        <w:t>'s approval is obtained under paragraph (e) before the </w:t>
      </w:r>
      <w:r>
        <w:rPr>
          <w:i/>
          <w:sz w:val="24"/>
        </w:rPr>
        <w:t>inertia network service </w:t>
      </w:r>
      <w:r>
        <w:rPr>
          <w:sz w:val="24"/>
        </w:rPr>
        <w:t>is first made available and in the case of a change, before the change comes into</w:t>
      </w:r>
      <w:r>
        <w:rPr>
          <w:spacing w:val="-3"/>
          <w:sz w:val="24"/>
        </w:rPr>
        <w:t> </w:t>
      </w:r>
      <w:r>
        <w:rPr>
          <w:sz w:val="24"/>
        </w:rPr>
        <w:t>effect.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4"/>
        </w:numPr>
        <w:tabs>
          <w:tab w:pos="1919" w:val="left" w:leader="none"/>
        </w:tabs>
        <w:spacing w:line="240" w:lineRule="auto" w:before="120" w:after="0"/>
        <w:ind w:left="1919" w:right="415" w:hanging="567"/>
        <w:jc w:val="both"/>
        <w:rPr>
          <w:sz w:val="24"/>
        </w:rPr>
      </w:pPr>
      <w:r>
        <w:rPr>
          <w:i/>
          <w:sz w:val="24"/>
        </w:rPr>
        <w:t>AEMO </w:t>
      </w:r>
      <w:r>
        <w:rPr>
          <w:sz w:val="24"/>
        </w:rPr>
        <w:t>must use reasonable endeavours to respond to the </w:t>
      </w:r>
      <w:r>
        <w:rPr>
          <w:i/>
          <w:sz w:val="24"/>
        </w:rPr>
        <w:t>Inertia Service </w:t>
      </w:r>
      <w:r>
        <w:rPr>
          <w:i/>
          <w:sz w:val="24"/>
        </w:rPr>
        <w:t>Provider </w:t>
      </w:r>
      <w:r>
        <w:rPr>
          <w:sz w:val="24"/>
        </w:rPr>
        <w:t>within 20 </w:t>
      </w:r>
      <w:r>
        <w:rPr>
          <w:i/>
          <w:sz w:val="24"/>
        </w:rPr>
        <w:t>business days </w:t>
      </w:r>
      <w:r>
        <w:rPr>
          <w:sz w:val="24"/>
        </w:rPr>
        <w:t>following the receipt of a request for approval under paragraph (e) stating whether it gives its</w:t>
      </w:r>
      <w:r>
        <w:rPr>
          <w:spacing w:val="-6"/>
          <w:sz w:val="24"/>
        </w:rPr>
        <w:t> </w:t>
      </w:r>
      <w:r>
        <w:rPr>
          <w:sz w:val="24"/>
        </w:rPr>
        <w:t>approval.</w:t>
      </w:r>
    </w:p>
    <w:p>
      <w:pPr>
        <w:pStyle w:val="ListParagraph"/>
        <w:numPr>
          <w:ilvl w:val="2"/>
          <w:numId w:val="254"/>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does not approve the matters in a request for approval </w:t>
      </w:r>
      <w:r>
        <w:rPr>
          <w:spacing w:val="-3"/>
          <w:sz w:val="24"/>
        </w:rPr>
        <w:t>under </w:t>
      </w:r>
      <w:r>
        <w:rPr>
          <w:sz w:val="24"/>
        </w:rPr>
        <w:t>paragraph (e):</w:t>
      </w:r>
    </w:p>
    <w:p>
      <w:pPr>
        <w:pStyle w:val="ListParagraph"/>
        <w:numPr>
          <w:ilvl w:val="3"/>
          <w:numId w:val="254"/>
        </w:numPr>
        <w:tabs>
          <w:tab w:pos="2486" w:val="left" w:leader="none"/>
        </w:tabs>
        <w:spacing w:line="240" w:lineRule="auto" w:before="120" w:after="0"/>
        <w:ind w:left="2486" w:right="415" w:hanging="567"/>
        <w:jc w:val="both"/>
        <w:rPr>
          <w:sz w:val="24"/>
        </w:rPr>
      </w:pPr>
      <w:r>
        <w:rPr>
          <w:i/>
          <w:sz w:val="24"/>
        </w:rPr>
        <w:t>AEMO </w:t>
      </w:r>
      <w:r>
        <w:rPr>
          <w:sz w:val="24"/>
        </w:rPr>
        <w:t>must tell the </w:t>
      </w:r>
      <w:r>
        <w:rPr>
          <w:i/>
          <w:sz w:val="24"/>
        </w:rPr>
        <w:t>Inertia Service Provider </w:t>
      </w:r>
      <w:r>
        <w:rPr>
          <w:sz w:val="24"/>
        </w:rPr>
        <w:t>its reasons </w:t>
      </w:r>
      <w:r>
        <w:rPr>
          <w:spacing w:val="-4"/>
          <w:sz w:val="24"/>
        </w:rPr>
        <w:t>for </w:t>
      </w:r>
      <w:r>
        <w:rPr>
          <w:sz w:val="24"/>
        </w:rPr>
        <w:t>withholding approval and may advise the </w:t>
      </w:r>
      <w:r>
        <w:rPr>
          <w:i/>
          <w:sz w:val="24"/>
        </w:rPr>
        <w:t>Inertia Service Provider </w:t>
      </w:r>
      <w:r>
        <w:rPr>
          <w:sz w:val="24"/>
        </w:rPr>
        <w:t>of the changes </w:t>
      </w:r>
      <w:r>
        <w:rPr>
          <w:i/>
          <w:sz w:val="24"/>
        </w:rPr>
        <w:t>AEMO </w:t>
      </w:r>
      <w:r>
        <w:rPr>
          <w:sz w:val="24"/>
        </w:rPr>
        <w:t>requires to be made;</w:t>
      </w:r>
      <w:r>
        <w:rPr>
          <w:spacing w:val="-1"/>
          <w:sz w:val="24"/>
        </w:rPr>
        <w:t> </w:t>
      </w:r>
      <w:r>
        <w:rPr>
          <w:sz w:val="24"/>
        </w:rPr>
        <w:t>and</w:t>
      </w:r>
    </w:p>
    <w:p>
      <w:pPr>
        <w:pStyle w:val="ListParagraph"/>
        <w:numPr>
          <w:ilvl w:val="3"/>
          <w:numId w:val="254"/>
        </w:numPr>
        <w:tabs>
          <w:tab w:pos="2486" w:val="left" w:leader="none"/>
        </w:tabs>
        <w:spacing w:line="240" w:lineRule="auto" w:before="120" w:after="0"/>
        <w:ind w:left="2486" w:right="414" w:hanging="567"/>
        <w:jc w:val="both"/>
        <w:rPr>
          <w:sz w:val="24"/>
        </w:rPr>
      </w:pPr>
      <w:r>
        <w:rPr>
          <w:sz w:val="24"/>
        </w:rPr>
        <w:t>the </w:t>
      </w:r>
      <w:r>
        <w:rPr>
          <w:i/>
          <w:sz w:val="24"/>
        </w:rPr>
        <w:t>Inertia Service Provider </w:t>
      </w:r>
      <w:r>
        <w:rPr>
          <w:sz w:val="24"/>
        </w:rPr>
        <w:t>must amend its request to address the matters identified by </w:t>
      </w:r>
      <w:r>
        <w:rPr>
          <w:i/>
          <w:sz w:val="24"/>
        </w:rPr>
        <w:t>AEMO </w:t>
      </w:r>
      <w:r>
        <w:rPr>
          <w:sz w:val="24"/>
        </w:rPr>
        <w:t>and submit to </w:t>
      </w:r>
      <w:r>
        <w:rPr>
          <w:i/>
          <w:sz w:val="24"/>
        </w:rPr>
        <w:t>AEMO </w:t>
      </w:r>
      <w:r>
        <w:rPr>
          <w:sz w:val="24"/>
        </w:rPr>
        <w:t>a new request for approval.</w:t>
      </w:r>
    </w:p>
    <w:p>
      <w:pPr>
        <w:spacing w:after="0" w:line="240" w:lineRule="auto"/>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5.20C System strength requirements" w:id="878"/>
      <w:bookmarkEnd w:id="878"/>
      <w:r>
        <w:rPr>
          <w:b w:val="0"/>
        </w:rPr>
      </w:r>
      <w:bookmarkStart w:name="_bookmark334" w:id="879"/>
      <w:bookmarkEnd w:id="879"/>
      <w:r>
        <w:rPr>
          <w:b w:val="0"/>
        </w:rPr>
      </w:r>
      <w:r>
        <w:rPr/>
        <w:t>5.20C</w:t>
        <w:tab/>
        <w:t>System strength</w:t>
      </w:r>
      <w:r>
        <w:rPr>
          <w:spacing w:val="-2"/>
        </w:rPr>
        <w:t> </w:t>
      </w:r>
      <w:r>
        <w:rPr/>
        <w:t>requirements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 The application of this rule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numPr>
          <w:ilvl w:val="1"/>
          <w:numId w:val="255"/>
        </w:numPr>
        <w:tabs>
          <w:tab w:pos="686" w:val="left" w:leader="none"/>
          <w:tab w:pos="1351" w:val="left" w:leader="none"/>
        </w:tabs>
        <w:spacing w:line="240" w:lineRule="auto" w:before="0" w:after="0"/>
        <w:ind w:left="686" w:right="0" w:hanging="468"/>
        <w:jc w:val="left"/>
      </w:pPr>
      <w:bookmarkStart w:name="5.20C.1 System strength requirements" w:id="880"/>
      <w:bookmarkEnd w:id="880"/>
      <w:r>
        <w:rPr>
          <w:b w:val="0"/>
        </w:rPr>
      </w:r>
      <w:bookmarkStart w:name="_bookmark335" w:id="881"/>
      <w:bookmarkEnd w:id="881"/>
      <w:r>
        <w:rPr>
          <w:b w:val="0"/>
        </w:rPr>
      </w:r>
      <w:bookmarkStart w:name="_bookmark335" w:id="882"/>
      <w:bookmarkEnd w:id="882"/>
      <w:r>
        <w:rPr/>
        <w:t>C.</w:t>
      </w:r>
      <w:r>
        <w:rPr/>
        <w:t>1</w:t>
        <w:tab/>
        <w:t>System strength</w:t>
      </w:r>
      <w:r>
        <w:rPr>
          <w:spacing w:val="-2"/>
        </w:rPr>
        <w:t> </w:t>
      </w:r>
      <w:r>
        <w:rPr/>
        <w:t>requirements</w:t>
      </w:r>
    </w:p>
    <w:p>
      <w:pPr>
        <w:pStyle w:val="ListParagraph"/>
        <w:numPr>
          <w:ilvl w:val="2"/>
          <w:numId w:val="255"/>
        </w:numPr>
        <w:tabs>
          <w:tab w:pos="1919" w:val="left" w:leader="none"/>
        </w:tabs>
        <w:spacing w:line="240" w:lineRule="auto" w:before="120" w:after="0"/>
        <w:ind w:left="1919" w:right="416" w:hanging="567"/>
        <w:jc w:val="both"/>
        <w:rPr>
          <w:sz w:val="24"/>
        </w:rPr>
      </w:pPr>
      <w:r>
        <w:rPr>
          <w:i/>
          <w:sz w:val="24"/>
        </w:rPr>
        <w:t>AEMO </w:t>
      </w:r>
      <w:r>
        <w:rPr>
          <w:sz w:val="24"/>
        </w:rPr>
        <w:t>must from time to time determine the </w:t>
      </w:r>
      <w:r>
        <w:rPr>
          <w:i/>
          <w:sz w:val="24"/>
        </w:rPr>
        <w:t>system strength requirements </w:t>
      </w:r>
      <w:r>
        <w:rPr>
          <w:sz w:val="24"/>
        </w:rPr>
        <w:t>for each </w:t>
      </w:r>
      <w:r>
        <w:rPr>
          <w:i/>
          <w:sz w:val="24"/>
        </w:rPr>
        <w:t>region </w:t>
      </w:r>
      <w:r>
        <w:rPr>
          <w:sz w:val="24"/>
        </w:rPr>
        <w:t>applying the </w:t>
      </w:r>
      <w:r>
        <w:rPr>
          <w:i/>
          <w:sz w:val="24"/>
        </w:rPr>
        <w:t>system strength requirements methodology</w:t>
      </w:r>
      <w:r>
        <w:rPr>
          <w:sz w:val="24"/>
        </w:rPr>
        <w:t>. </w:t>
      </w:r>
      <w:r>
        <w:rPr>
          <w:i/>
          <w:sz w:val="24"/>
        </w:rPr>
        <w:t>AEMO </w:t>
      </w:r>
      <w:r>
        <w:rPr>
          <w:sz w:val="24"/>
        </w:rPr>
        <w:t>must make a determination under this</w:t>
      </w:r>
      <w:r>
        <w:rPr>
          <w:spacing w:val="-1"/>
          <w:sz w:val="24"/>
        </w:rPr>
        <w:t> </w:t>
      </w:r>
      <w:r>
        <w:rPr>
          <w:sz w:val="24"/>
        </w:rPr>
        <w:t>paragraph:</w:t>
      </w:r>
    </w:p>
    <w:p>
      <w:pPr>
        <w:pStyle w:val="ListParagraph"/>
        <w:numPr>
          <w:ilvl w:val="3"/>
          <w:numId w:val="255"/>
        </w:numPr>
        <w:tabs>
          <w:tab w:pos="2486" w:val="left" w:leader="none"/>
        </w:tabs>
        <w:spacing w:line="240" w:lineRule="auto" w:before="120" w:after="0"/>
        <w:ind w:left="2486" w:right="415" w:hanging="567"/>
        <w:jc w:val="both"/>
        <w:rPr>
          <w:sz w:val="24"/>
        </w:rPr>
      </w:pPr>
      <w:r>
        <w:rPr>
          <w:sz w:val="24"/>
        </w:rPr>
        <w:t>subject to subparagraph (2) and any other requirements under the </w:t>
      </w:r>
      <w:r>
        <w:rPr>
          <w:i/>
          <w:sz w:val="24"/>
        </w:rPr>
        <w:t>Rules</w:t>
      </w:r>
      <w:r>
        <w:rPr>
          <w:sz w:val="24"/>
        </w:rPr>
        <w:t>, for any </w:t>
      </w:r>
      <w:r>
        <w:rPr>
          <w:i/>
          <w:sz w:val="24"/>
        </w:rPr>
        <w:t>region</w:t>
      </w:r>
      <w:r>
        <w:rPr>
          <w:sz w:val="24"/>
        </w:rPr>
        <w:t>, no more than once in every 12 month period; and</w:t>
      </w:r>
    </w:p>
    <w:p>
      <w:pPr>
        <w:pStyle w:val="ListParagraph"/>
        <w:numPr>
          <w:ilvl w:val="3"/>
          <w:numId w:val="255"/>
        </w:numPr>
        <w:tabs>
          <w:tab w:pos="2486" w:val="left" w:leader="none"/>
        </w:tabs>
        <w:spacing w:line="240" w:lineRule="auto" w:before="120" w:after="0"/>
        <w:ind w:left="2486" w:right="415" w:hanging="567"/>
        <w:jc w:val="both"/>
        <w:rPr>
          <w:sz w:val="24"/>
        </w:rPr>
      </w:pPr>
      <w:r>
        <w:rPr>
          <w:sz w:val="24"/>
        </w:rPr>
        <w:t>for each affected </w:t>
      </w:r>
      <w:r>
        <w:rPr>
          <w:i/>
          <w:sz w:val="24"/>
        </w:rPr>
        <w:t>region</w:t>
      </w:r>
      <w:r>
        <w:rPr>
          <w:sz w:val="24"/>
        </w:rPr>
        <w:t>, as soon as reasonably practical after becoming aware of a material change to the </w:t>
      </w:r>
      <w:r>
        <w:rPr>
          <w:i/>
          <w:sz w:val="24"/>
        </w:rPr>
        <w:t>power system </w:t>
      </w:r>
      <w:r>
        <w:rPr>
          <w:sz w:val="24"/>
        </w:rPr>
        <w:t>likely to affect the </w:t>
      </w:r>
      <w:r>
        <w:rPr>
          <w:i/>
          <w:sz w:val="24"/>
        </w:rPr>
        <w:t>system strength requirements </w:t>
      </w:r>
      <w:r>
        <w:rPr>
          <w:sz w:val="24"/>
        </w:rPr>
        <w:t>for the </w:t>
      </w:r>
      <w:r>
        <w:rPr>
          <w:i/>
          <w:sz w:val="24"/>
        </w:rPr>
        <w:t>region </w:t>
      </w:r>
      <w:r>
        <w:rPr>
          <w:sz w:val="24"/>
        </w:rPr>
        <w:t>where the timing, occurrence or impact of the change was</w:t>
      </w:r>
      <w:r>
        <w:rPr>
          <w:spacing w:val="-4"/>
          <w:sz w:val="24"/>
        </w:rPr>
        <w:t> </w:t>
      </w:r>
      <w:r>
        <w:rPr>
          <w:sz w:val="24"/>
        </w:rPr>
        <w:t>unforeseen.</w:t>
      </w:r>
    </w:p>
    <w:p>
      <w:pPr>
        <w:pStyle w:val="ListParagraph"/>
        <w:numPr>
          <w:ilvl w:val="2"/>
          <w:numId w:val="255"/>
        </w:numPr>
        <w:tabs>
          <w:tab w:pos="1919" w:val="left" w:leader="none"/>
        </w:tabs>
        <w:spacing w:line="240" w:lineRule="auto" w:before="120" w:after="0"/>
        <w:ind w:left="1918" w:right="0" w:hanging="567"/>
        <w:jc w:val="both"/>
        <w:rPr>
          <w:sz w:val="24"/>
        </w:rPr>
      </w:pPr>
      <w:r>
        <w:rPr>
          <w:sz w:val="24"/>
        </w:rPr>
        <w:t>The </w:t>
      </w:r>
      <w:r>
        <w:rPr>
          <w:i/>
          <w:sz w:val="24"/>
        </w:rPr>
        <w:t>system strength requirements </w:t>
      </w:r>
      <w:r>
        <w:rPr>
          <w:sz w:val="24"/>
        </w:rPr>
        <w:t>to be determined for each </w:t>
      </w:r>
      <w:r>
        <w:rPr>
          <w:i/>
          <w:sz w:val="24"/>
        </w:rPr>
        <w:t>region</w:t>
      </w:r>
      <w:r>
        <w:rPr>
          <w:i/>
          <w:spacing w:val="-17"/>
          <w:sz w:val="24"/>
        </w:rPr>
        <w:t> </w:t>
      </w:r>
      <w:r>
        <w:rPr>
          <w:sz w:val="24"/>
        </w:rPr>
        <w:t>are:</w:t>
      </w:r>
    </w:p>
    <w:p>
      <w:pPr>
        <w:pStyle w:val="ListParagraph"/>
        <w:numPr>
          <w:ilvl w:val="3"/>
          <w:numId w:val="255"/>
        </w:numPr>
        <w:tabs>
          <w:tab w:pos="2486" w:val="left" w:leader="none"/>
        </w:tabs>
        <w:spacing w:line="240" w:lineRule="auto" w:before="120" w:after="0"/>
        <w:ind w:left="2486" w:right="414" w:hanging="567"/>
        <w:jc w:val="both"/>
        <w:rPr>
          <w:sz w:val="24"/>
        </w:rPr>
      </w:pPr>
      <w:r>
        <w:rPr>
          <w:sz w:val="24"/>
        </w:rPr>
        <w:t>the </w:t>
      </w:r>
      <w:r>
        <w:rPr>
          <w:i/>
          <w:sz w:val="24"/>
        </w:rPr>
        <w:t>fault level nodes </w:t>
      </w:r>
      <w:r>
        <w:rPr>
          <w:sz w:val="24"/>
        </w:rPr>
        <w:t>in the </w:t>
      </w:r>
      <w:r>
        <w:rPr>
          <w:i/>
          <w:sz w:val="24"/>
        </w:rPr>
        <w:t>region</w:t>
      </w:r>
      <w:r>
        <w:rPr>
          <w:sz w:val="24"/>
        </w:rPr>
        <w:t>, being the location on the </w:t>
      </w:r>
      <w:r>
        <w:rPr>
          <w:i/>
          <w:sz w:val="24"/>
        </w:rPr>
        <w:t>transmission network </w:t>
      </w:r>
      <w:r>
        <w:rPr>
          <w:sz w:val="24"/>
        </w:rPr>
        <w:t>for which the </w:t>
      </w:r>
      <w:r>
        <w:rPr>
          <w:i/>
          <w:sz w:val="24"/>
        </w:rPr>
        <w:t>three phase fault level </w:t>
      </w:r>
      <w:r>
        <w:rPr>
          <w:sz w:val="24"/>
        </w:rPr>
        <w:t>must be maintained at or above a minimum </w:t>
      </w:r>
      <w:r>
        <w:rPr>
          <w:i/>
          <w:sz w:val="24"/>
        </w:rPr>
        <w:t>three phase fault level </w:t>
      </w:r>
      <w:r>
        <w:rPr>
          <w:sz w:val="24"/>
        </w:rPr>
        <w:t>determined by </w:t>
      </w:r>
      <w:r>
        <w:rPr>
          <w:i/>
          <w:sz w:val="24"/>
        </w:rPr>
        <w:t>AEMO</w:t>
      </w:r>
      <w:r>
        <w:rPr>
          <w:sz w:val="24"/>
        </w:rPr>
        <w:t>; and</w:t>
      </w:r>
    </w:p>
    <w:p>
      <w:pPr>
        <w:pStyle w:val="ListParagraph"/>
        <w:numPr>
          <w:ilvl w:val="3"/>
          <w:numId w:val="255"/>
        </w:numPr>
        <w:tabs>
          <w:tab w:pos="2486" w:val="left" w:leader="none"/>
        </w:tabs>
        <w:spacing w:line="240" w:lineRule="auto" w:before="120" w:after="0"/>
        <w:ind w:left="2485" w:right="0" w:hanging="567"/>
        <w:jc w:val="both"/>
        <w:rPr>
          <w:sz w:val="24"/>
        </w:rPr>
      </w:pPr>
      <w:r>
        <w:rPr>
          <w:sz w:val="24"/>
        </w:rPr>
        <w:t>for each </w:t>
      </w:r>
      <w:r>
        <w:rPr>
          <w:i/>
          <w:sz w:val="24"/>
        </w:rPr>
        <w:t>fault level node</w:t>
      </w:r>
      <w:r>
        <w:rPr>
          <w:sz w:val="24"/>
        </w:rPr>
        <w:t>, the minimum </w:t>
      </w:r>
      <w:r>
        <w:rPr>
          <w:i/>
          <w:sz w:val="24"/>
        </w:rPr>
        <w:t>three phase fault</w:t>
      </w:r>
      <w:r>
        <w:rPr>
          <w:i/>
          <w:spacing w:val="-3"/>
          <w:sz w:val="24"/>
        </w:rPr>
        <w:t> </w:t>
      </w:r>
      <w:r>
        <w:rPr>
          <w:i/>
          <w:sz w:val="24"/>
        </w:rPr>
        <w:t>level</w:t>
      </w:r>
      <w:r>
        <w:rPr>
          <w:sz w:val="24"/>
        </w:rPr>
        <w:t>.</w:t>
      </w:r>
    </w:p>
    <w:p>
      <w:pPr>
        <w:pStyle w:val="ListParagraph"/>
        <w:numPr>
          <w:ilvl w:val="2"/>
          <w:numId w:val="255"/>
        </w:numPr>
        <w:tabs>
          <w:tab w:pos="1919" w:val="left" w:leader="none"/>
        </w:tabs>
        <w:spacing w:line="240" w:lineRule="auto" w:before="120" w:after="0"/>
        <w:ind w:left="1919" w:right="415" w:hanging="567"/>
        <w:jc w:val="both"/>
        <w:rPr>
          <w:sz w:val="24"/>
        </w:rPr>
      </w:pPr>
      <w:r>
        <w:rPr>
          <w:i/>
          <w:sz w:val="24"/>
        </w:rPr>
        <w:t>AEMO </w:t>
      </w:r>
      <w:r>
        <w:rPr>
          <w:sz w:val="24"/>
        </w:rPr>
        <w:t>must publish the </w:t>
      </w:r>
      <w:r>
        <w:rPr>
          <w:i/>
          <w:sz w:val="24"/>
        </w:rPr>
        <w:t>system strength requirements </w:t>
      </w:r>
      <w:r>
        <w:rPr>
          <w:sz w:val="24"/>
        </w:rPr>
        <w:t>determined for each </w:t>
      </w:r>
      <w:r>
        <w:rPr>
          <w:i/>
          <w:sz w:val="24"/>
        </w:rPr>
        <w:t>region </w:t>
      </w:r>
      <w:r>
        <w:rPr>
          <w:sz w:val="24"/>
        </w:rPr>
        <w:t>together with the results of its assessment under clause 5.20C.2 in the </w:t>
      </w:r>
      <w:r>
        <w:rPr>
          <w:i/>
          <w:sz w:val="24"/>
        </w:rPr>
        <w:t>NTNDP</w:t>
      </w:r>
      <w:r>
        <w:rPr>
          <w:sz w:val="24"/>
        </w:rPr>
        <w:t>.</w:t>
      </w:r>
    </w:p>
    <w:p>
      <w:pPr>
        <w:pStyle w:val="BodyText"/>
        <w:spacing w:before="10"/>
        <w:ind w:firstLine="0"/>
        <w:jc w:val="left"/>
        <w:rPr>
          <w:sz w:val="20"/>
        </w:rPr>
      </w:pPr>
    </w:p>
    <w:p>
      <w:pPr>
        <w:pStyle w:val="Heading4"/>
        <w:numPr>
          <w:ilvl w:val="1"/>
          <w:numId w:val="256"/>
        </w:numPr>
        <w:tabs>
          <w:tab w:pos="686" w:val="left" w:leader="none"/>
          <w:tab w:pos="1351" w:val="left" w:leader="none"/>
        </w:tabs>
        <w:spacing w:line="240" w:lineRule="auto" w:before="0" w:after="0"/>
        <w:ind w:left="686" w:right="0" w:hanging="468"/>
        <w:jc w:val="left"/>
      </w:pPr>
      <w:bookmarkStart w:name="5.20C.2 Fault level shortfalls" w:id="883"/>
      <w:bookmarkEnd w:id="883"/>
      <w:r>
        <w:rPr>
          <w:b w:val="0"/>
        </w:rPr>
      </w:r>
      <w:bookmarkStart w:name="_bookmark336" w:id="884"/>
      <w:bookmarkEnd w:id="884"/>
      <w:r>
        <w:rPr>
          <w:b w:val="0"/>
        </w:rPr>
      </w:r>
      <w:bookmarkStart w:name="_bookmark336" w:id="885"/>
      <w:bookmarkEnd w:id="885"/>
      <w:r>
        <w:rPr/>
        <w:t>C.</w:t>
      </w:r>
      <w:r>
        <w:rPr/>
        <w:t>2</w:t>
        <w:tab/>
        <w:t>Fault level</w:t>
      </w:r>
      <w:r>
        <w:rPr>
          <w:spacing w:val="-2"/>
        </w:rPr>
        <w:t> </w:t>
      </w:r>
      <w:r>
        <w:rPr/>
        <w:t>shortfalls</w:t>
      </w:r>
    </w:p>
    <w:p>
      <w:pPr>
        <w:pStyle w:val="ListParagraph"/>
        <w:numPr>
          <w:ilvl w:val="2"/>
          <w:numId w:val="256"/>
        </w:numPr>
        <w:tabs>
          <w:tab w:pos="1919" w:val="left" w:leader="none"/>
        </w:tabs>
        <w:spacing w:line="240" w:lineRule="auto" w:before="120" w:after="0"/>
        <w:ind w:left="1919" w:right="416" w:hanging="567"/>
        <w:jc w:val="both"/>
        <w:rPr>
          <w:sz w:val="24"/>
        </w:rPr>
      </w:pPr>
      <w:r>
        <w:rPr>
          <w:i/>
          <w:sz w:val="24"/>
        </w:rPr>
        <w:t>AEMO </w:t>
      </w:r>
      <w:r>
        <w:rPr>
          <w:sz w:val="24"/>
        </w:rPr>
        <w:t>must as soon as practicable following its determination of the </w:t>
      </w:r>
      <w:r>
        <w:rPr>
          <w:i/>
          <w:sz w:val="24"/>
        </w:rPr>
        <w:t>system </w:t>
      </w:r>
      <w:r>
        <w:rPr>
          <w:i/>
          <w:sz w:val="24"/>
        </w:rPr>
        <w:t>strength requirements </w:t>
      </w:r>
      <w:r>
        <w:rPr>
          <w:sz w:val="24"/>
        </w:rPr>
        <w:t>for a </w:t>
      </w:r>
      <w:r>
        <w:rPr>
          <w:i/>
          <w:sz w:val="24"/>
        </w:rPr>
        <w:t>region </w:t>
      </w:r>
      <w:r>
        <w:rPr>
          <w:sz w:val="24"/>
        </w:rPr>
        <w:t>under clause 5.20C.1</w:t>
      </w:r>
      <w:r>
        <w:rPr>
          <w:spacing w:val="-9"/>
          <w:sz w:val="24"/>
        </w:rPr>
        <w:t> </w:t>
      </w:r>
      <w:r>
        <w:rPr>
          <w:sz w:val="24"/>
        </w:rPr>
        <w:t>assess:</w:t>
      </w:r>
    </w:p>
    <w:p>
      <w:pPr>
        <w:pStyle w:val="ListParagraph"/>
        <w:numPr>
          <w:ilvl w:val="3"/>
          <w:numId w:val="256"/>
        </w:numPr>
        <w:tabs>
          <w:tab w:pos="2486" w:val="left" w:leader="none"/>
        </w:tabs>
        <w:spacing w:line="240" w:lineRule="auto" w:before="120" w:after="0"/>
        <w:ind w:left="2486" w:right="415" w:hanging="567"/>
        <w:jc w:val="both"/>
        <w:rPr>
          <w:sz w:val="24"/>
        </w:rPr>
      </w:pPr>
      <w:r>
        <w:rPr>
          <w:sz w:val="24"/>
        </w:rPr>
        <w:t>the </w:t>
      </w:r>
      <w:r>
        <w:rPr>
          <w:i/>
          <w:sz w:val="24"/>
        </w:rPr>
        <w:t>three phase fault level </w:t>
      </w:r>
      <w:r>
        <w:rPr>
          <w:sz w:val="24"/>
        </w:rPr>
        <w:t>typically provided at each </w:t>
      </w:r>
      <w:r>
        <w:rPr>
          <w:i/>
          <w:sz w:val="24"/>
        </w:rPr>
        <w:t>fault level node </w:t>
      </w:r>
      <w:r>
        <w:rPr>
          <w:sz w:val="24"/>
        </w:rPr>
        <w:t>in the </w:t>
      </w:r>
      <w:r>
        <w:rPr>
          <w:i/>
          <w:sz w:val="24"/>
        </w:rPr>
        <w:t>region </w:t>
      </w:r>
      <w:r>
        <w:rPr>
          <w:sz w:val="24"/>
        </w:rPr>
        <w:t>having regard to typical patterns of </w:t>
      </w:r>
      <w:r>
        <w:rPr>
          <w:i/>
          <w:sz w:val="24"/>
        </w:rPr>
        <w:t>dispatched </w:t>
      </w:r>
      <w:r>
        <w:rPr>
          <w:i/>
          <w:sz w:val="24"/>
        </w:rPr>
        <w:t>generation </w:t>
      </w:r>
      <w:r>
        <w:rPr>
          <w:sz w:val="24"/>
        </w:rPr>
        <w:t>in </w:t>
      </w:r>
      <w:r>
        <w:rPr>
          <w:i/>
          <w:sz w:val="24"/>
        </w:rPr>
        <w:t>central</w:t>
      </w:r>
      <w:r>
        <w:rPr>
          <w:i/>
          <w:spacing w:val="-1"/>
          <w:sz w:val="24"/>
        </w:rPr>
        <w:t> </w:t>
      </w:r>
      <w:r>
        <w:rPr>
          <w:i/>
          <w:sz w:val="24"/>
        </w:rPr>
        <w:t>dispatch</w:t>
      </w:r>
      <w:r>
        <w:rPr>
          <w:sz w:val="24"/>
        </w:rPr>
        <w:t>;</w:t>
      </w:r>
    </w:p>
    <w:p>
      <w:pPr>
        <w:pStyle w:val="ListParagraph"/>
        <w:numPr>
          <w:ilvl w:val="3"/>
          <w:numId w:val="256"/>
        </w:numPr>
        <w:tabs>
          <w:tab w:pos="2486" w:val="left" w:leader="none"/>
        </w:tabs>
        <w:spacing w:line="240" w:lineRule="auto" w:before="120" w:after="0"/>
        <w:ind w:left="2486" w:right="415" w:hanging="567"/>
        <w:jc w:val="both"/>
        <w:rPr>
          <w:sz w:val="24"/>
        </w:rPr>
      </w:pPr>
      <w:r>
        <w:rPr>
          <w:sz w:val="24"/>
        </w:rPr>
        <w:t>whether in </w:t>
      </w:r>
      <w:r>
        <w:rPr>
          <w:i/>
          <w:sz w:val="24"/>
        </w:rPr>
        <w:t>AEMO's </w:t>
      </w:r>
      <w:r>
        <w:rPr>
          <w:sz w:val="24"/>
        </w:rPr>
        <w:t>reasonable opinion, there is or is likely to be a </w:t>
      </w:r>
      <w:r>
        <w:rPr>
          <w:i/>
          <w:sz w:val="24"/>
        </w:rPr>
        <w:t>fault level shortfall </w:t>
      </w:r>
      <w:r>
        <w:rPr>
          <w:sz w:val="24"/>
        </w:rPr>
        <w:t>in the </w:t>
      </w:r>
      <w:r>
        <w:rPr>
          <w:i/>
          <w:sz w:val="24"/>
        </w:rPr>
        <w:t>region </w:t>
      </w:r>
      <w:r>
        <w:rPr>
          <w:sz w:val="24"/>
        </w:rPr>
        <w:t>and </w:t>
      </w:r>
      <w:r>
        <w:rPr>
          <w:i/>
          <w:sz w:val="24"/>
        </w:rPr>
        <w:t>AEMO's </w:t>
      </w:r>
      <w:r>
        <w:rPr>
          <w:sz w:val="24"/>
        </w:rPr>
        <w:t>forecast of the period over which the </w:t>
      </w:r>
      <w:r>
        <w:rPr>
          <w:i/>
          <w:sz w:val="24"/>
        </w:rPr>
        <w:t>fault level shortfall </w:t>
      </w:r>
      <w:r>
        <w:rPr>
          <w:sz w:val="24"/>
        </w:rPr>
        <w:t>will exist;</w:t>
      </w:r>
      <w:r>
        <w:rPr>
          <w:spacing w:val="-6"/>
          <w:sz w:val="24"/>
        </w:rPr>
        <w:t> </w:t>
      </w:r>
      <w:r>
        <w:rPr>
          <w:sz w:val="24"/>
        </w:rPr>
        <w:t>and</w:t>
      </w:r>
    </w:p>
    <w:p>
      <w:pPr>
        <w:pStyle w:val="ListParagraph"/>
        <w:numPr>
          <w:ilvl w:val="3"/>
          <w:numId w:val="256"/>
        </w:numPr>
        <w:tabs>
          <w:tab w:pos="2486" w:val="left" w:leader="none"/>
        </w:tabs>
        <w:spacing w:line="240" w:lineRule="auto" w:before="120" w:after="0"/>
        <w:ind w:left="2486" w:right="416" w:hanging="567"/>
        <w:jc w:val="both"/>
        <w:rPr>
          <w:sz w:val="24"/>
        </w:rPr>
      </w:pPr>
      <w:r>
        <w:rPr>
          <w:sz w:val="24"/>
        </w:rPr>
        <w:t>where </w:t>
      </w:r>
      <w:r>
        <w:rPr>
          <w:i/>
          <w:sz w:val="24"/>
        </w:rPr>
        <w:t>AEMO </w:t>
      </w:r>
      <w:r>
        <w:rPr>
          <w:sz w:val="24"/>
        </w:rPr>
        <w:t>has previously assessed that there was or was likely to be a </w:t>
      </w:r>
      <w:r>
        <w:rPr>
          <w:i/>
          <w:sz w:val="24"/>
        </w:rPr>
        <w:t>fault level shortfall</w:t>
      </w:r>
      <w:r>
        <w:rPr>
          <w:sz w:val="24"/>
        </w:rPr>
        <w:t>, whether in </w:t>
      </w:r>
      <w:r>
        <w:rPr>
          <w:i/>
          <w:sz w:val="24"/>
        </w:rPr>
        <w:t>AEMO's </w:t>
      </w:r>
      <w:r>
        <w:rPr>
          <w:sz w:val="24"/>
        </w:rPr>
        <w:t>reasonable opinion that </w:t>
      </w:r>
      <w:r>
        <w:rPr>
          <w:i/>
          <w:sz w:val="24"/>
        </w:rPr>
        <w:t>fault level shortfall </w:t>
      </w:r>
      <w:r>
        <w:rPr>
          <w:sz w:val="24"/>
        </w:rPr>
        <w:t>has been or will be</w:t>
      </w:r>
      <w:r>
        <w:rPr>
          <w:spacing w:val="-4"/>
          <w:sz w:val="24"/>
        </w:rPr>
        <w:t> </w:t>
      </w:r>
      <w:r>
        <w:rPr>
          <w:sz w:val="24"/>
        </w:rPr>
        <w:t>remedied.</w:t>
      </w:r>
    </w:p>
    <w:p>
      <w:pPr>
        <w:pStyle w:val="ListParagraph"/>
        <w:numPr>
          <w:ilvl w:val="2"/>
          <w:numId w:val="256"/>
        </w:numPr>
        <w:tabs>
          <w:tab w:pos="1919" w:val="left" w:leader="none"/>
        </w:tabs>
        <w:spacing w:line="240" w:lineRule="auto" w:before="120" w:after="0"/>
        <w:ind w:left="1919" w:right="414" w:hanging="567"/>
        <w:jc w:val="both"/>
        <w:rPr>
          <w:sz w:val="24"/>
        </w:rPr>
      </w:pPr>
      <w:r>
        <w:rPr>
          <w:sz w:val="24"/>
        </w:rPr>
        <w:t>In making its assessment under paragraph (a) for a </w:t>
      </w:r>
      <w:r>
        <w:rPr>
          <w:i/>
          <w:sz w:val="24"/>
        </w:rPr>
        <w:t>region</w:t>
      </w:r>
      <w:r>
        <w:rPr>
          <w:sz w:val="24"/>
        </w:rPr>
        <w:t>, </w:t>
      </w:r>
      <w:r>
        <w:rPr>
          <w:i/>
          <w:sz w:val="24"/>
        </w:rPr>
        <w:t>AEMO </w:t>
      </w:r>
      <w:r>
        <w:rPr>
          <w:sz w:val="24"/>
        </w:rPr>
        <w:t>must take into account:</w:t>
      </w:r>
    </w:p>
    <w:p>
      <w:pPr>
        <w:pStyle w:val="ListParagraph"/>
        <w:numPr>
          <w:ilvl w:val="3"/>
          <w:numId w:val="256"/>
        </w:numPr>
        <w:tabs>
          <w:tab w:pos="2486" w:val="left" w:leader="none"/>
        </w:tabs>
        <w:spacing w:line="240" w:lineRule="auto" w:before="120" w:after="0"/>
        <w:ind w:left="2486" w:right="414" w:hanging="567"/>
        <w:jc w:val="both"/>
        <w:rPr>
          <w:sz w:val="24"/>
        </w:rPr>
      </w:pPr>
      <w:r>
        <w:rPr>
          <w:sz w:val="24"/>
        </w:rPr>
        <w:t>over what time period and to what extent the </w:t>
      </w:r>
      <w:r>
        <w:rPr>
          <w:i/>
          <w:sz w:val="24"/>
        </w:rPr>
        <w:t>three phase fault levels  </w:t>
      </w:r>
      <w:r>
        <w:rPr>
          <w:sz w:val="24"/>
        </w:rPr>
        <w:t>at </w:t>
      </w:r>
      <w:r>
        <w:rPr>
          <w:i/>
          <w:sz w:val="24"/>
        </w:rPr>
        <w:t>fault level nodes </w:t>
      </w:r>
      <w:r>
        <w:rPr>
          <w:sz w:val="24"/>
        </w:rPr>
        <w:t>that are typically observed in the </w:t>
      </w:r>
      <w:r>
        <w:rPr>
          <w:i/>
          <w:sz w:val="24"/>
        </w:rPr>
        <w:t>region </w:t>
      </w:r>
      <w:r>
        <w:rPr>
          <w:sz w:val="24"/>
        </w:rPr>
        <w:t>are likely to be insufficient to maintain the </w:t>
      </w:r>
      <w:r>
        <w:rPr>
          <w:i/>
          <w:sz w:val="24"/>
        </w:rPr>
        <w:t>power system </w:t>
      </w:r>
      <w:r>
        <w:rPr>
          <w:sz w:val="24"/>
        </w:rPr>
        <w:t>in a </w:t>
      </w:r>
      <w:r>
        <w:rPr>
          <w:i/>
          <w:sz w:val="24"/>
        </w:rPr>
        <w:t>secure operating </w:t>
      </w:r>
      <w:r>
        <w:rPr>
          <w:i/>
          <w:sz w:val="24"/>
        </w:rPr>
        <w:t>state</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3"/>
          <w:numId w:val="256"/>
        </w:numPr>
        <w:tabs>
          <w:tab w:pos="2486" w:val="left" w:leader="none"/>
        </w:tabs>
        <w:spacing w:line="240" w:lineRule="auto" w:before="83" w:after="0"/>
        <w:ind w:left="2486" w:right="415" w:hanging="567"/>
        <w:jc w:val="both"/>
        <w:rPr>
          <w:sz w:val="24"/>
        </w:rPr>
      </w:pPr>
      <w:r>
        <w:rPr>
          <w:sz w:val="24"/>
        </w:rPr>
        <w:t>any other matters that </w:t>
      </w:r>
      <w:r>
        <w:rPr>
          <w:i/>
          <w:sz w:val="24"/>
        </w:rPr>
        <w:t>AEMO </w:t>
      </w:r>
      <w:r>
        <w:rPr>
          <w:sz w:val="24"/>
        </w:rPr>
        <w:t>reasonably considers to be relevant </w:t>
      </w:r>
      <w:r>
        <w:rPr>
          <w:spacing w:val="-6"/>
          <w:sz w:val="24"/>
        </w:rPr>
        <w:t>in </w:t>
      </w:r>
      <w:r>
        <w:rPr>
          <w:sz w:val="24"/>
        </w:rPr>
        <w:t>making its</w:t>
      </w:r>
      <w:r>
        <w:rPr>
          <w:spacing w:val="-1"/>
          <w:sz w:val="24"/>
        </w:rPr>
        <w:t> </w:t>
      </w:r>
      <w:r>
        <w:rPr>
          <w:sz w:val="24"/>
        </w:rPr>
        <w:t>assessment.</w:t>
      </w:r>
    </w:p>
    <w:p>
      <w:pPr>
        <w:pStyle w:val="ListParagraph"/>
        <w:numPr>
          <w:ilvl w:val="2"/>
          <w:numId w:val="256"/>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assesses that there is or is likely to be a </w:t>
      </w:r>
      <w:r>
        <w:rPr>
          <w:i/>
          <w:sz w:val="24"/>
        </w:rPr>
        <w:t>fault level shortfall </w:t>
      </w:r>
      <w:r>
        <w:rPr>
          <w:sz w:val="24"/>
        </w:rPr>
        <w:t>in a </w:t>
      </w:r>
      <w:r>
        <w:rPr>
          <w:i/>
          <w:sz w:val="24"/>
        </w:rPr>
        <w:t>region</w:t>
      </w:r>
      <w:r>
        <w:rPr>
          <w:sz w:val="24"/>
        </w:rPr>
        <w:t>, </w:t>
      </w:r>
      <w:r>
        <w:rPr>
          <w:i/>
          <w:sz w:val="24"/>
        </w:rPr>
        <w:t>AEMO </w:t>
      </w:r>
      <w:r>
        <w:rPr>
          <w:sz w:val="24"/>
        </w:rPr>
        <w:t>must </w:t>
      </w:r>
      <w:r>
        <w:rPr>
          <w:i/>
          <w:sz w:val="24"/>
        </w:rPr>
        <w:t>publish </w:t>
      </w:r>
      <w:r>
        <w:rPr>
          <w:sz w:val="24"/>
        </w:rPr>
        <w:t>and give to the </w:t>
      </w:r>
      <w:r>
        <w:rPr>
          <w:i/>
          <w:sz w:val="24"/>
        </w:rPr>
        <w:t>System Strength Service </w:t>
      </w:r>
      <w:r>
        <w:rPr>
          <w:i/>
          <w:sz w:val="24"/>
        </w:rPr>
        <w:t>Provider </w:t>
      </w:r>
      <w:r>
        <w:rPr>
          <w:sz w:val="24"/>
        </w:rPr>
        <w:t>for the </w:t>
      </w:r>
      <w:r>
        <w:rPr>
          <w:i/>
          <w:sz w:val="24"/>
        </w:rPr>
        <w:t>region </w:t>
      </w:r>
      <w:r>
        <w:rPr>
          <w:sz w:val="24"/>
        </w:rPr>
        <w:t>a notice of that assessment that includes </w:t>
      </w:r>
      <w:r>
        <w:rPr>
          <w:i/>
          <w:sz w:val="24"/>
        </w:rPr>
        <w:t>AEMO's </w:t>
      </w:r>
      <w:r>
        <w:rPr>
          <w:sz w:val="24"/>
        </w:rPr>
        <w:t>specification</w:t>
      </w:r>
      <w:r>
        <w:rPr>
          <w:spacing w:val="-1"/>
          <w:sz w:val="24"/>
        </w:rPr>
        <w:t> </w:t>
      </w:r>
      <w:r>
        <w:rPr>
          <w:sz w:val="24"/>
        </w:rPr>
        <w:t>of:</w:t>
      </w:r>
    </w:p>
    <w:p>
      <w:pPr>
        <w:pStyle w:val="ListParagraph"/>
        <w:numPr>
          <w:ilvl w:val="3"/>
          <w:numId w:val="256"/>
        </w:numPr>
        <w:tabs>
          <w:tab w:pos="2486" w:val="left" w:leader="none"/>
        </w:tabs>
        <w:spacing w:line="240" w:lineRule="auto" w:before="120" w:after="0"/>
        <w:ind w:left="2485" w:right="0" w:hanging="567"/>
        <w:jc w:val="both"/>
        <w:rPr>
          <w:sz w:val="24"/>
        </w:rPr>
      </w:pPr>
      <w:r>
        <w:rPr>
          <w:sz w:val="24"/>
        </w:rPr>
        <w:t>the extent of the </w:t>
      </w:r>
      <w:r>
        <w:rPr>
          <w:i/>
          <w:sz w:val="24"/>
        </w:rPr>
        <w:t>fault level shortfall</w:t>
      </w:r>
      <w:r>
        <w:rPr>
          <w:sz w:val="24"/>
        </w:rPr>
        <w:t>;</w:t>
      </w:r>
      <w:r>
        <w:rPr>
          <w:spacing w:val="-3"/>
          <w:sz w:val="24"/>
        </w:rPr>
        <w:t> </w:t>
      </w:r>
      <w:r>
        <w:rPr>
          <w:sz w:val="24"/>
        </w:rPr>
        <w:t>and</w:t>
      </w:r>
    </w:p>
    <w:p>
      <w:pPr>
        <w:pStyle w:val="ListParagraph"/>
        <w:numPr>
          <w:ilvl w:val="3"/>
          <w:numId w:val="256"/>
        </w:numPr>
        <w:tabs>
          <w:tab w:pos="2486" w:val="left" w:leader="none"/>
        </w:tabs>
        <w:spacing w:line="240" w:lineRule="auto" w:before="120" w:after="0"/>
        <w:ind w:left="2486" w:right="414" w:hanging="567"/>
        <w:jc w:val="both"/>
        <w:rPr>
          <w:sz w:val="24"/>
        </w:rPr>
      </w:pPr>
      <w:r>
        <w:rPr>
          <w:sz w:val="24"/>
        </w:rPr>
        <w:t>the date by which the </w:t>
      </w:r>
      <w:r>
        <w:rPr>
          <w:i/>
          <w:sz w:val="24"/>
        </w:rPr>
        <w:t>System Strength Service Provider </w:t>
      </w:r>
      <w:r>
        <w:rPr>
          <w:sz w:val="24"/>
        </w:rPr>
        <w:t>must ensure the availability of </w:t>
      </w:r>
      <w:r>
        <w:rPr>
          <w:i/>
          <w:sz w:val="24"/>
        </w:rPr>
        <w:t>system strength services </w:t>
      </w:r>
      <w:r>
        <w:rPr>
          <w:sz w:val="24"/>
        </w:rPr>
        <w:t>in accordance with clause 5.20C.3(b), which must not be earlier than 12 months after the notice is </w:t>
      </w:r>
      <w:r>
        <w:rPr>
          <w:i/>
          <w:sz w:val="24"/>
        </w:rPr>
        <w:t>published </w:t>
      </w:r>
      <w:r>
        <w:rPr>
          <w:sz w:val="24"/>
        </w:rPr>
        <w:t>unless an earlier date is agreed with the </w:t>
      </w:r>
      <w:r>
        <w:rPr>
          <w:i/>
          <w:sz w:val="24"/>
        </w:rPr>
        <w:t>System Strength </w:t>
      </w:r>
      <w:r>
        <w:rPr>
          <w:i/>
          <w:sz w:val="24"/>
        </w:rPr>
        <w:t>Service</w:t>
      </w:r>
      <w:r>
        <w:rPr>
          <w:i/>
          <w:spacing w:val="-1"/>
          <w:sz w:val="24"/>
        </w:rPr>
        <w:t> </w:t>
      </w:r>
      <w:r>
        <w:rPr>
          <w:i/>
          <w:sz w:val="24"/>
        </w:rPr>
        <w:t>Provider</w:t>
      </w:r>
      <w:r>
        <w:rPr>
          <w:sz w:val="24"/>
        </w:rPr>
        <w:t>.</w:t>
      </w:r>
    </w:p>
    <w:p>
      <w:pPr>
        <w:pStyle w:val="ListParagraph"/>
        <w:numPr>
          <w:ilvl w:val="2"/>
          <w:numId w:val="256"/>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assesses that a </w:t>
      </w:r>
      <w:r>
        <w:rPr>
          <w:i/>
          <w:sz w:val="24"/>
        </w:rPr>
        <w:t>fault level shortfall </w:t>
      </w:r>
      <w:r>
        <w:rPr>
          <w:sz w:val="24"/>
        </w:rPr>
        <w:t>in a </w:t>
      </w:r>
      <w:r>
        <w:rPr>
          <w:i/>
          <w:sz w:val="24"/>
        </w:rPr>
        <w:t>region </w:t>
      </w:r>
      <w:r>
        <w:rPr>
          <w:sz w:val="24"/>
        </w:rPr>
        <w:t>has been or will be remedied, </w:t>
      </w:r>
      <w:r>
        <w:rPr>
          <w:i/>
          <w:sz w:val="24"/>
        </w:rPr>
        <w:t>AEMO </w:t>
      </w:r>
      <w:r>
        <w:rPr>
          <w:sz w:val="24"/>
        </w:rPr>
        <w:t>must </w:t>
      </w:r>
      <w:r>
        <w:rPr>
          <w:i/>
          <w:sz w:val="24"/>
        </w:rPr>
        <w:t>publish </w:t>
      </w:r>
      <w:r>
        <w:rPr>
          <w:sz w:val="24"/>
        </w:rPr>
        <w:t>and give to the </w:t>
      </w:r>
      <w:r>
        <w:rPr>
          <w:i/>
          <w:sz w:val="24"/>
        </w:rPr>
        <w:t>System Strength </w:t>
      </w:r>
      <w:r>
        <w:rPr>
          <w:i/>
          <w:spacing w:val="-3"/>
          <w:sz w:val="24"/>
        </w:rPr>
        <w:t>Service </w:t>
      </w:r>
      <w:r>
        <w:rPr>
          <w:i/>
          <w:sz w:val="24"/>
        </w:rPr>
        <w:t>Provider </w:t>
      </w:r>
      <w:r>
        <w:rPr>
          <w:sz w:val="24"/>
        </w:rPr>
        <w:t>for the </w:t>
      </w:r>
      <w:r>
        <w:rPr>
          <w:i/>
          <w:sz w:val="24"/>
        </w:rPr>
        <w:t>region </w:t>
      </w:r>
      <w:r>
        <w:rPr>
          <w:sz w:val="24"/>
        </w:rPr>
        <w:t>a notice of that assessment that includes </w:t>
      </w:r>
      <w:r>
        <w:rPr>
          <w:i/>
          <w:sz w:val="24"/>
        </w:rPr>
        <w:t>AEMO's </w:t>
      </w:r>
      <w:r>
        <w:rPr>
          <w:sz w:val="24"/>
        </w:rPr>
        <w:t>specification of the date from which the obligation of the </w:t>
      </w:r>
      <w:r>
        <w:rPr>
          <w:i/>
          <w:sz w:val="24"/>
        </w:rPr>
        <w:t>System Strength </w:t>
      </w:r>
      <w:r>
        <w:rPr>
          <w:i/>
          <w:sz w:val="24"/>
        </w:rPr>
        <w:t>Service Provider </w:t>
      </w:r>
      <w:r>
        <w:rPr>
          <w:sz w:val="24"/>
        </w:rPr>
        <w:t>under clause 5.20C.3(b) ceases, which must not be earlier than 12 months after the notice is </w:t>
      </w:r>
      <w:r>
        <w:rPr>
          <w:i/>
          <w:sz w:val="24"/>
        </w:rPr>
        <w:t>published </w:t>
      </w:r>
      <w:r>
        <w:rPr>
          <w:sz w:val="24"/>
        </w:rPr>
        <w:t>unless an earlier date is agreed with the </w:t>
      </w:r>
      <w:r>
        <w:rPr>
          <w:i/>
          <w:sz w:val="24"/>
        </w:rPr>
        <w:t>System Strength Service</w:t>
      </w:r>
      <w:r>
        <w:rPr>
          <w:i/>
          <w:spacing w:val="-3"/>
          <w:sz w:val="24"/>
        </w:rPr>
        <w:t> </w:t>
      </w:r>
      <w:r>
        <w:rPr>
          <w:i/>
          <w:sz w:val="24"/>
        </w:rPr>
        <w:t>Provider</w:t>
      </w:r>
      <w:r>
        <w:rPr>
          <w:sz w:val="24"/>
        </w:rPr>
        <w:t>.</w:t>
      </w:r>
    </w:p>
    <w:p>
      <w:pPr>
        <w:pStyle w:val="BodyText"/>
        <w:spacing w:before="10"/>
        <w:ind w:firstLine="0"/>
        <w:jc w:val="left"/>
        <w:rPr>
          <w:sz w:val="20"/>
        </w:rPr>
      </w:pPr>
    </w:p>
    <w:p>
      <w:pPr>
        <w:pStyle w:val="Heading4"/>
        <w:numPr>
          <w:ilvl w:val="1"/>
          <w:numId w:val="257"/>
        </w:numPr>
        <w:tabs>
          <w:tab w:pos="686" w:val="left" w:leader="none"/>
          <w:tab w:pos="1351" w:val="left" w:leader="none"/>
        </w:tabs>
        <w:spacing w:line="240" w:lineRule="auto" w:before="0" w:after="0"/>
        <w:ind w:left="1352" w:right="510" w:hanging="1134"/>
        <w:jc w:val="left"/>
      </w:pPr>
      <w:bookmarkStart w:name="5.20C.3 System Strength Service Provider" w:id="886"/>
      <w:bookmarkEnd w:id="886"/>
      <w:r>
        <w:rPr>
          <w:b w:val="0"/>
        </w:rPr>
      </w:r>
      <w:bookmarkStart w:name="_bookmark337" w:id="887"/>
      <w:bookmarkEnd w:id="887"/>
      <w:r>
        <w:rPr>
          <w:b w:val="0"/>
        </w:rPr>
      </w:r>
      <w:bookmarkStart w:name="_bookmark337" w:id="888"/>
      <w:bookmarkEnd w:id="888"/>
      <w:r>
        <w:rPr/>
        <w:t>C.</w:t>
      </w:r>
      <w:r>
        <w:rPr/>
        <w:t>3</w:t>
        <w:tab/>
        <w:t>System Strength Service Provider to make available system strength services</w:t>
      </w:r>
    </w:p>
    <w:p>
      <w:pPr>
        <w:pStyle w:val="ListParagraph"/>
        <w:numPr>
          <w:ilvl w:val="2"/>
          <w:numId w:val="257"/>
        </w:numPr>
        <w:tabs>
          <w:tab w:pos="1919" w:val="left" w:leader="none"/>
        </w:tabs>
        <w:spacing w:line="240" w:lineRule="auto" w:before="120" w:after="0"/>
        <w:ind w:left="1918" w:right="0" w:hanging="567"/>
        <w:jc w:val="both"/>
        <w:rPr>
          <w:sz w:val="24"/>
        </w:rPr>
      </w:pPr>
      <w:r>
        <w:rPr>
          <w:sz w:val="24"/>
        </w:rPr>
        <w:t>The </w:t>
      </w:r>
      <w:r>
        <w:rPr>
          <w:i/>
          <w:sz w:val="24"/>
        </w:rPr>
        <w:t>System Strength Service Provider </w:t>
      </w:r>
      <w:r>
        <w:rPr>
          <w:sz w:val="24"/>
        </w:rPr>
        <w:t>for a </w:t>
      </w:r>
      <w:r>
        <w:rPr>
          <w:i/>
          <w:sz w:val="24"/>
        </w:rPr>
        <w:t>region</w:t>
      </w:r>
      <w:r>
        <w:rPr>
          <w:i/>
          <w:spacing w:val="-1"/>
          <w:sz w:val="24"/>
        </w:rPr>
        <w:t> </w:t>
      </w:r>
      <w:r>
        <w:rPr>
          <w:sz w:val="24"/>
        </w:rPr>
        <w:t>is:</w:t>
      </w:r>
    </w:p>
    <w:p>
      <w:pPr>
        <w:pStyle w:val="ListParagraph"/>
        <w:numPr>
          <w:ilvl w:val="3"/>
          <w:numId w:val="257"/>
        </w:numPr>
        <w:tabs>
          <w:tab w:pos="2486" w:val="left" w:leader="none"/>
        </w:tabs>
        <w:spacing w:line="240" w:lineRule="auto" w:before="120" w:after="0"/>
        <w:ind w:left="2485" w:right="0" w:hanging="567"/>
        <w:jc w:val="both"/>
        <w:rPr>
          <w:sz w:val="24"/>
        </w:rPr>
      </w:pPr>
      <w:r>
        <w:rPr>
          <w:sz w:val="24"/>
        </w:rPr>
        <w:t>the </w:t>
      </w:r>
      <w:r>
        <w:rPr>
          <w:i/>
          <w:sz w:val="24"/>
        </w:rPr>
        <w:t>Transmission Network Service Provider </w:t>
      </w:r>
      <w:r>
        <w:rPr>
          <w:sz w:val="24"/>
        </w:rPr>
        <w:t>for the </w:t>
      </w:r>
      <w:r>
        <w:rPr>
          <w:i/>
          <w:sz w:val="24"/>
        </w:rPr>
        <w:t>region</w:t>
      </w:r>
      <w:r>
        <w:rPr>
          <w:sz w:val="24"/>
        </w:rPr>
        <w:t>;</w:t>
      </w:r>
      <w:r>
        <w:rPr>
          <w:spacing w:val="-7"/>
          <w:sz w:val="24"/>
        </w:rPr>
        <w:t> </w:t>
      </w:r>
      <w:r>
        <w:rPr>
          <w:sz w:val="24"/>
        </w:rPr>
        <w:t>or</w:t>
      </w:r>
    </w:p>
    <w:p>
      <w:pPr>
        <w:pStyle w:val="ListParagraph"/>
        <w:numPr>
          <w:ilvl w:val="3"/>
          <w:numId w:val="257"/>
        </w:numPr>
        <w:tabs>
          <w:tab w:pos="2486" w:val="left" w:leader="none"/>
        </w:tabs>
        <w:spacing w:line="240" w:lineRule="auto" w:before="120" w:after="0"/>
        <w:ind w:left="2486" w:right="415" w:hanging="567"/>
        <w:jc w:val="both"/>
        <w:rPr>
          <w:sz w:val="24"/>
        </w:rPr>
      </w:pPr>
      <w:r>
        <w:rPr>
          <w:sz w:val="24"/>
        </w:rPr>
        <w:t>if there is more than one </w:t>
      </w:r>
      <w:r>
        <w:rPr>
          <w:i/>
          <w:sz w:val="24"/>
        </w:rPr>
        <w:t>Transmission Network Service Provider </w:t>
      </w:r>
      <w:r>
        <w:rPr>
          <w:sz w:val="24"/>
        </w:rPr>
        <w:t>for a </w:t>
      </w:r>
      <w:r>
        <w:rPr>
          <w:i/>
          <w:sz w:val="24"/>
        </w:rPr>
        <w:t>region</w:t>
      </w:r>
      <w:r>
        <w:rPr>
          <w:sz w:val="24"/>
        </w:rPr>
        <w:t>, the </w:t>
      </w:r>
      <w:r>
        <w:rPr>
          <w:i/>
          <w:sz w:val="24"/>
        </w:rPr>
        <w:t>jurisdictional planning body </w:t>
      </w:r>
      <w:r>
        <w:rPr>
          <w:sz w:val="24"/>
        </w:rPr>
        <w:t>for the </w:t>
      </w:r>
      <w:r>
        <w:rPr>
          <w:i/>
          <w:sz w:val="24"/>
        </w:rPr>
        <w:t>participating </w:t>
      </w:r>
      <w:r>
        <w:rPr>
          <w:i/>
          <w:sz w:val="24"/>
        </w:rPr>
        <w:t>jurisdiction </w:t>
      </w:r>
      <w:r>
        <w:rPr>
          <w:sz w:val="24"/>
        </w:rPr>
        <w:t>in which the </w:t>
      </w:r>
      <w:r>
        <w:rPr>
          <w:i/>
          <w:sz w:val="24"/>
        </w:rPr>
        <w:t>region </w:t>
      </w:r>
      <w:r>
        <w:rPr>
          <w:sz w:val="24"/>
        </w:rPr>
        <w:t>is</w:t>
      </w:r>
      <w:r>
        <w:rPr>
          <w:spacing w:val="-4"/>
          <w:sz w:val="24"/>
        </w:rPr>
        <w:t> </w:t>
      </w:r>
      <w:r>
        <w:rPr>
          <w:sz w:val="24"/>
        </w:rPr>
        <w:t>located</w:t>
      </w:r>
    </w:p>
    <w:p>
      <w:pPr>
        <w:pStyle w:val="ListParagraph"/>
        <w:numPr>
          <w:ilvl w:val="2"/>
          <w:numId w:val="257"/>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gives a notice under clause 5.20C.2(c) that </w:t>
      </w:r>
      <w:r>
        <w:rPr>
          <w:i/>
          <w:sz w:val="24"/>
        </w:rPr>
        <w:t>AEMO </w:t>
      </w:r>
      <w:r>
        <w:rPr>
          <w:sz w:val="24"/>
        </w:rPr>
        <w:t>has assessed that there is or is likely to be a </w:t>
      </w:r>
      <w:r>
        <w:rPr>
          <w:i/>
          <w:sz w:val="24"/>
        </w:rPr>
        <w:t>fault level shortfall </w:t>
      </w:r>
      <w:r>
        <w:rPr>
          <w:sz w:val="24"/>
        </w:rPr>
        <w:t>at a </w:t>
      </w:r>
      <w:r>
        <w:rPr>
          <w:i/>
          <w:sz w:val="24"/>
        </w:rPr>
        <w:t>fault level node </w:t>
      </w:r>
      <w:r>
        <w:rPr>
          <w:sz w:val="24"/>
        </w:rPr>
        <w:t>in a </w:t>
      </w:r>
      <w:r>
        <w:rPr>
          <w:i/>
          <w:sz w:val="24"/>
        </w:rPr>
        <w:t>region</w:t>
      </w:r>
      <w:r>
        <w:rPr>
          <w:sz w:val="24"/>
        </w:rPr>
        <w:t>, the </w:t>
      </w:r>
      <w:r>
        <w:rPr>
          <w:i/>
          <w:sz w:val="24"/>
        </w:rPr>
        <w:t>System Strength Service Provider </w:t>
      </w:r>
      <w:r>
        <w:rPr>
          <w:sz w:val="24"/>
        </w:rPr>
        <w:t>for the </w:t>
      </w:r>
      <w:r>
        <w:rPr>
          <w:i/>
          <w:sz w:val="24"/>
        </w:rPr>
        <w:t>region </w:t>
      </w:r>
      <w:r>
        <w:rPr>
          <w:sz w:val="24"/>
        </w:rPr>
        <w:t>must make </w:t>
      </w:r>
      <w:r>
        <w:rPr>
          <w:i/>
          <w:sz w:val="24"/>
        </w:rPr>
        <w:t>system strength services </w:t>
      </w:r>
      <w:r>
        <w:rPr>
          <w:sz w:val="24"/>
        </w:rPr>
        <w:t>available in accordance with paragraph (c) that when </w:t>
      </w:r>
      <w:r>
        <w:rPr>
          <w:i/>
          <w:sz w:val="24"/>
        </w:rPr>
        <w:t>enabled </w:t>
      </w:r>
      <w:r>
        <w:rPr>
          <w:sz w:val="24"/>
        </w:rPr>
        <w:t>will address the </w:t>
      </w:r>
      <w:r>
        <w:rPr>
          <w:i/>
          <w:sz w:val="24"/>
        </w:rPr>
        <w:t>fault level shortfall </w:t>
      </w:r>
      <w:r>
        <w:rPr>
          <w:sz w:val="24"/>
        </w:rPr>
        <w:t>at the relevant </w:t>
      </w:r>
      <w:r>
        <w:rPr>
          <w:i/>
          <w:sz w:val="24"/>
        </w:rPr>
        <w:t>fault level </w:t>
      </w:r>
      <w:r>
        <w:rPr>
          <w:i/>
          <w:sz w:val="24"/>
        </w:rPr>
        <w:t>node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7"/>
        </w:numPr>
        <w:tabs>
          <w:tab w:pos="1919" w:val="left" w:leader="none"/>
        </w:tabs>
        <w:spacing w:line="240" w:lineRule="auto" w:before="120" w:after="0"/>
        <w:ind w:left="1918" w:right="0" w:hanging="567"/>
        <w:jc w:val="both"/>
        <w:rPr>
          <w:sz w:val="24"/>
        </w:rPr>
      </w:pPr>
      <w:r>
        <w:rPr>
          <w:sz w:val="24"/>
        </w:rPr>
        <w:t>For</w:t>
      </w:r>
      <w:r>
        <w:rPr>
          <w:spacing w:val="10"/>
          <w:sz w:val="24"/>
        </w:rPr>
        <w:t> </w:t>
      </w:r>
      <w:r>
        <w:rPr>
          <w:sz w:val="24"/>
        </w:rPr>
        <w:t>the</w:t>
      </w:r>
      <w:r>
        <w:rPr>
          <w:spacing w:val="11"/>
          <w:sz w:val="24"/>
        </w:rPr>
        <w:t> </w:t>
      </w:r>
      <w:r>
        <w:rPr>
          <w:sz w:val="24"/>
        </w:rPr>
        <w:t>purposes</w:t>
      </w:r>
      <w:r>
        <w:rPr>
          <w:spacing w:val="11"/>
          <w:sz w:val="24"/>
        </w:rPr>
        <w:t> </w:t>
      </w:r>
      <w:r>
        <w:rPr>
          <w:sz w:val="24"/>
        </w:rPr>
        <w:t>of</w:t>
      </w:r>
      <w:r>
        <w:rPr>
          <w:spacing w:val="11"/>
          <w:sz w:val="24"/>
        </w:rPr>
        <w:t> </w:t>
      </w:r>
      <w:r>
        <w:rPr>
          <w:sz w:val="24"/>
        </w:rPr>
        <w:t>paragraph</w:t>
      </w:r>
      <w:r>
        <w:rPr>
          <w:spacing w:val="10"/>
          <w:sz w:val="24"/>
        </w:rPr>
        <w:t> </w:t>
      </w:r>
      <w:r>
        <w:rPr>
          <w:sz w:val="24"/>
        </w:rPr>
        <w:t>(b),</w:t>
      </w:r>
      <w:r>
        <w:rPr>
          <w:spacing w:val="11"/>
          <w:sz w:val="24"/>
        </w:rPr>
        <w:t> </w:t>
      </w:r>
      <w:r>
        <w:rPr>
          <w:sz w:val="24"/>
        </w:rPr>
        <w:t>a</w:t>
      </w:r>
      <w:r>
        <w:rPr>
          <w:spacing w:val="11"/>
          <w:sz w:val="24"/>
        </w:rPr>
        <w:t> </w:t>
      </w:r>
      <w:r>
        <w:rPr>
          <w:i/>
          <w:sz w:val="24"/>
        </w:rPr>
        <w:t>System</w:t>
      </w:r>
      <w:r>
        <w:rPr>
          <w:i/>
          <w:spacing w:val="11"/>
          <w:sz w:val="24"/>
        </w:rPr>
        <w:t> </w:t>
      </w:r>
      <w:r>
        <w:rPr>
          <w:i/>
          <w:sz w:val="24"/>
        </w:rPr>
        <w:t>Strength</w:t>
      </w:r>
      <w:r>
        <w:rPr>
          <w:i/>
          <w:spacing w:val="11"/>
          <w:sz w:val="24"/>
        </w:rPr>
        <w:t> </w:t>
      </w:r>
      <w:r>
        <w:rPr>
          <w:i/>
          <w:sz w:val="24"/>
        </w:rPr>
        <w:t>Service</w:t>
      </w:r>
      <w:r>
        <w:rPr>
          <w:i/>
          <w:spacing w:val="10"/>
          <w:sz w:val="24"/>
        </w:rPr>
        <w:t> </w:t>
      </w:r>
      <w:r>
        <w:rPr>
          <w:i/>
          <w:sz w:val="24"/>
        </w:rPr>
        <w:t>Provider</w:t>
      </w:r>
      <w:r>
        <w:rPr>
          <w:i/>
          <w:spacing w:val="11"/>
          <w:sz w:val="24"/>
        </w:rPr>
        <w:t> </w:t>
      </w:r>
      <w:r>
        <w:rPr>
          <w:sz w:val="24"/>
        </w:rPr>
        <w:t>for</w:t>
      </w:r>
      <w:r>
        <w:rPr>
          <w:spacing w:val="11"/>
          <w:sz w:val="24"/>
        </w:rPr>
        <w:t> </w:t>
      </w:r>
      <w:r>
        <w:rPr>
          <w:sz w:val="24"/>
        </w:rPr>
        <w:t>a</w:t>
      </w:r>
    </w:p>
    <w:p>
      <w:pPr>
        <w:spacing w:before="0"/>
        <w:ind w:left="1919" w:right="0" w:firstLine="0"/>
        <w:jc w:val="both"/>
        <w:rPr>
          <w:sz w:val="24"/>
        </w:rPr>
      </w:pPr>
      <w:r>
        <w:rPr>
          <w:i/>
          <w:sz w:val="24"/>
        </w:rPr>
        <w:t>region </w:t>
      </w:r>
      <w:r>
        <w:rPr>
          <w:sz w:val="24"/>
        </w:rPr>
        <w:t>must:</w:t>
      </w:r>
    </w:p>
    <w:p>
      <w:pPr>
        <w:pStyle w:val="ListParagraph"/>
        <w:numPr>
          <w:ilvl w:val="3"/>
          <w:numId w:val="257"/>
        </w:numPr>
        <w:tabs>
          <w:tab w:pos="2486" w:val="left" w:leader="none"/>
        </w:tabs>
        <w:spacing w:line="240" w:lineRule="auto" w:before="120" w:after="0"/>
        <w:ind w:left="2486" w:right="415" w:hanging="567"/>
        <w:jc w:val="both"/>
        <w:rPr>
          <w:sz w:val="24"/>
        </w:rPr>
      </w:pPr>
      <w:r>
        <w:rPr>
          <w:sz w:val="24"/>
        </w:rPr>
        <w:t>use reasonable endeavours to make the </w:t>
      </w:r>
      <w:r>
        <w:rPr>
          <w:i/>
          <w:sz w:val="24"/>
        </w:rPr>
        <w:t>system strength services </w:t>
      </w:r>
      <w:r>
        <w:rPr>
          <w:sz w:val="24"/>
        </w:rPr>
        <w:t>available by the date specified by </w:t>
      </w:r>
      <w:r>
        <w:rPr>
          <w:i/>
          <w:sz w:val="24"/>
        </w:rPr>
        <w:t>AEMO </w:t>
      </w:r>
      <w:r>
        <w:rPr>
          <w:sz w:val="24"/>
        </w:rPr>
        <w:t>in the notice under clause 5.20C.2(c);</w:t>
      </w:r>
    </w:p>
    <w:p>
      <w:pPr>
        <w:pStyle w:val="ListParagraph"/>
        <w:numPr>
          <w:ilvl w:val="3"/>
          <w:numId w:val="257"/>
        </w:numPr>
        <w:tabs>
          <w:tab w:pos="2486" w:val="left" w:leader="none"/>
        </w:tabs>
        <w:spacing w:line="240" w:lineRule="auto" w:before="120" w:after="0"/>
        <w:ind w:left="2486" w:right="416" w:hanging="567"/>
        <w:jc w:val="both"/>
        <w:rPr>
          <w:sz w:val="24"/>
        </w:rPr>
      </w:pPr>
      <w:r>
        <w:rPr>
          <w:sz w:val="24"/>
        </w:rPr>
        <w:t>make a range and level of </w:t>
      </w:r>
      <w:r>
        <w:rPr>
          <w:i/>
          <w:sz w:val="24"/>
        </w:rPr>
        <w:t>system strength services </w:t>
      </w:r>
      <w:r>
        <w:rPr>
          <w:sz w:val="24"/>
        </w:rPr>
        <w:t>available such that it is reasonably likely that </w:t>
      </w:r>
      <w:r>
        <w:rPr>
          <w:i/>
          <w:sz w:val="24"/>
        </w:rPr>
        <w:t>system strength services </w:t>
      </w:r>
      <w:r>
        <w:rPr>
          <w:sz w:val="24"/>
        </w:rPr>
        <w:t>that address the </w:t>
      </w:r>
      <w:r>
        <w:rPr>
          <w:i/>
          <w:sz w:val="24"/>
        </w:rPr>
        <w:t>fault</w:t>
      </w:r>
      <w:r>
        <w:rPr>
          <w:i/>
          <w:spacing w:val="32"/>
          <w:sz w:val="24"/>
        </w:rPr>
        <w:t> </w:t>
      </w:r>
      <w:r>
        <w:rPr>
          <w:i/>
          <w:sz w:val="24"/>
        </w:rPr>
        <w:t>level</w:t>
      </w:r>
      <w:r>
        <w:rPr>
          <w:i/>
          <w:spacing w:val="32"/>
          <w:sz w:val="24"/>
        </w:rPr>
        <w:t> </w:t>
      </w:r>
      <w:r>
        <w:rPr>
          <w:i/>
          <w:sz w:val="24"/>
        </w:rPr>
        <w:t>shortfall</w:t>
      </w:r>
      <w:r>
        <w:rPr>
          <w:i/>
          <w:spacing w:val="32"/>
          <w:sz w:val="24"/>
        </w:rPr>
        <w:t> </w:t>
      </w:r>
      <w:r>
        <w:rPr>
          <w:sz w:val="24"/>
        </w:rPr>
        <w:t>when</w:t>
      </w:r>
      <w:r>
        <w:rPr>
          <w:spacing w:val="33"/>
          <w:sz w:val="24"/>
        </w:rPr>
        <w:t> </w:t>
      </w:r>
      <w:r>
        <w:rPr>
          <w:i/>
          <w:sz w:val="24"/>
        </w:rPr>
        <w:t>enabled</w:t>
      </w:r>
      <w:r>
        <w:rPr>
          <w:i/>
          <w:spacing w:val="32"/>
          <w:sz w:val="24"/>
        </w:rPr>
        <w:t> </w:t>
      </w:r>
      <w:r>
        <w:rPr>
          <w:sz w:val="24"/>
        </w:rPr>
        <w:t>are</w:t>
      </w:r>
      <w:r>
        <w:rPr>
          <w:spacing w:val="32"/>
          <w:sz w:val="24"/>
        </w:rPr>
        <w:t> </w:t>
      </w:r>
      <w:r>
        <w:rPr>
          <w:sz w:val="24"/>
        </w:rPr>
        <w:t>continuously</w:t>
      </w:r>
      <w:r>
        <w:rPr>
          <w:spacing w:val="33"/>
          <w:sz w:val="24"/>
        </w:rPr>
        <w:t> </w:t>
      </w:r>
      <w:r>
        <w:rPr>
          <w:sz w:val="24"/>
        </w:rPr>
        <w:t>available,</w:t>
      </w:r>
      <w:r>
        <w:rPr>
          <w:spacing w:val="32"/>
          <w:sz w:val="24"/>
        </w:rPr>
        <w:t> </w:t>
      </w:r>
      <w:r>
        <w:rPr>
          <w:sz w:val="24"/>
        </w:rPr>
        <w:t>taking</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sz w:val="24"/>
        </w:rPr>
        <w:t>into account planned </w:t>
      </w:r>
      <w:r>
        <w:rPr>
          <w:i/>
          <w:sz w:val="24"/>
        </w:rPr>
        <w:t>outages</w:t>
      </w:r>
      <w:r>
        <w:rPr>
          <w:sz w:val="24"/>
        </w:rPr>
        <w:t>, the risk of unplanned </w:t>
      </w:r>
      <w:r>
        <w:rPr>
          <w:i/>
          <w:sz w:val="24"/>
        </w:rPr>
        <w:t>outages </w:t>
      </w:r>
      <w:r>
        <w:rPr>
          <w:sz w:val="24"/>
        </w:rPr>
        <w:t>and the potential for the </w:t>
      </w:r>
      <w:r>
        <w:rPr>
          <w:i/>
          <w:sz w:val="24"/>
        </w:rPr>
        <w:t>system strength services </w:t>
      </w:r>
      <w:r>
        <w:rPr>
          <w:sz w:val="24"/>
        </w:rPr>
        <w:t>to impact typical patterns of </w:t>
      </w:r>
      <w:r>
        <w:rPr>
          <w:i/>
          <w:sz w:val="24"/>
        </w:rPr>
        <w:t>dispatched generation </w:t>
      </w:r>
      <w:r>
        <w:rPr>
          <w:sz w:val="24"/>
        </w:rPr>
        <w:t>in </w:t>
      </w:r>
      <w:r>
        <w:rPr>
          <w:i/>
          <w:sz w:val="24"/>
        </w:rPr>
        <w:t>central dispatch</w:t>
      </w:r>
      <w:r>
        <w:rPr>
          <w:sz w:val="24"/>
        </w:rPr>
        <w:t>; and</w:t>
      </w:r>
    </w:p>
    <w:p>
      <w:pPr>
        <w:pStyle w:val="ListParagraph"/>
        <w:numPr>
          <w:ilvl w:val="3"/>
          <w:numId w:val="257"/>
        </w:numPr>
        <w:tabs>
          <w:tab w:pos="2486" w:val="left" w:leader="none"/>
        </w:tabs>
        <w:spacing w:line="240" w:lineRule="auto" w:before="120" w:after="0"/>
        <w:ind w:left="2486" w:right="415" w:hanging="567"/>
        <w:jc w:val="both"/>
        <w:rPr>
          <w:sz w:val="24"/>
        </w:rPr>
      </w:pPr>
      <w:r>
        <w:rPr>
          <w:sz w:val="24"/>
        </w:rPr>
        <w:t>maintain the availability of those </w:t>
      </w:r>
      <w:r>
        <w:rPr>
          <w:i/>
          <w:sz w:val="24"/>
        </w:rPr>
        <w:t>system strength services </w:t>
      </w:r>
      <w:r>
        <w:rPr>
          <w:sz w:val="24"/>
        </w:rPr>
        <w:t>until the date the </w:t>
      </w:r>
      <w:r>
        <w:rPr>
          <w:i/>
          <w:sz w:val="24"/>
        </w:rPr>
        <w:t>System Strength Service Provider</w:t>
      </w:r>
      <w:r>
        <w:rPr>
          <w:sz w:val="24"/>
        </w:rPr>
        <w:t>'s obligation ceases, </w:t>
      </w:r>
      <w:r>
        <w:rPr>
          <w:spacing w:val="-6"/>
          <w:sz w:val="24"/>
        </w:rPr>
        <w:t>as </w:t>
      </w:r>
      <w:r>
        <w:rPr>
          <w:sz w:val="24"/>
        </w:rPr>
        <w:t>specified by </w:t>
      </w:r>
      <w:r>
        <w:rPr>
          <w:i/>
          <w:sz w:val="24"/>
        </w:rPr>
        <w:t>AEMO </w:t>
      </w:r>
      <w:r>
        <w:rPr>
          <w:sz w:val="24"/>
        </w:rPr>
        <w:t>under clause</w:t>
      </w:r>
      <w:r>
        <w:rPr>
          <w:spacing w:val="-1"/>
          <w:sz w:val="24"/>
        </w:rPr>
        <w:t> </w:t>
      </w:r>
      <w:r>
        <w:rPr>
          <w:sz w:val="24"/>
        </w:rPr>
        <w:t>5.20C.2(d).</w:t>
      </w:r>
    </w:p>
    <w:p>
      <w:pPr>
        <w:pStyle w:val="ListParagraph"/>
        <w:numPr>
          <w:ilvl w:val="2"/>
          <w:numId w:val="257"/>
        </w:numPr>
        <w:tabs>
          <w:tab w:pos="1919"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required to make </w:t>
      </w:r>
      <w:r>
        <w:rPr>
          <w:i/>
          <w:sz w:val="24"/>
        </w:rPr>
        <w:t>system strength </w:t>
      </w:r>
      <w:r>
        <w:rPr>
          <w:i/>
          <w:sz w:val="24"/>
        </w:rPr>
        <w:t>services </w:t>
      </w:r>
      <w:r>
        <w:rPr>
          <w:sz w:val="24"/>
        </w:rPr>
        <w:t>available under paragraph (b) must make available the least cost option or combination of options that will satisfy its obligation within the time referred to in subparagraph (c)(1) and for so long as the obligation to make the </w:t>
      </w:r>
      <w:r>
        <w:rPr>
          <w:i/>
          <w:sz w:val="24"/>
        </w:rPr>
        <w:t>system strength services </w:t>
      </w:r>
      <w:r>
        <w:rPr>
          <w:sz w:val="24"/>
        </w:rPr>
        <w:t>available</w:t>
      </w:r>
      <w:r>
        <w:rPr>
          <w:spacing w:val="-7"/>
          <w:sz w:val="24"/>
        </w:rPr>
        <w:t> </w:t>
      </w:r>
      <w:r>
        <w:rPr>
          <w:sz w:val="24"/>
        </w:rPr>
        <w:t>continues.</w:t>
      </w:r>
    </w:p>
    <w:p>
      <w:pPr>
        <w:pStyle w:val="ListParagraph"/>
        <w:numPr>
          <w:ilvl w:val="2"/>
          <w:numId w:val="257"/>
        </w:numPr>
        <w:tabs>
          <w:tab w:pos="1919"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required to make </w:t>
      </w:r>
      <w:r>
        <w:rPr>
          <w:i/>
          <w:sz w:val="24"/>
        </w:rPr>
        <w:t>system strength </w:t>
      </w:r>
      <w:r>
        <w:rPr>
          <w:i/>
          <w:sz w:val="24"/>
        </w:rPr>
        <w:t>services </w:t>
      </w:r>
      <w:r>
        <w:rPr>
          <w:sz w:val="24"/>
        </w:rPr>
        <w:t>available under paragraph (b) must prepare and </w:t>
      </w:r>
      <w:r>
        <w:rPr>
          <w:i/>
          <w:sz w:val="24"/>
        </w:rPr>
        <w:t>publish </w:t>
      </w:r>
      <w:r>
        <w:rPr>
          <w:sz w:val="24"/>
        </w:rPr>
        <w:t>information to enable potential providers of </w:t>
      </w:r>
      <w:r>
        <w:rPr>
          <w:i/>
          <w:sz w:val="24"/>
        </w:rPr>
        <w:t>system strength services </w:t>
      </w:r>
      <w:r>
        <w:rPr>
          <w:sz w:val="24"/>
        </w:rPr>
        <w:t>to develop </w:t>
      </w:r>
      <w:r>
        <w:rPr>
          <w:i/>
          <w:sz w:val="24"/>
        </w:rPr>
        <w:t>non- </w:t>
      </w:r>
      <w:r>
        <w:rPr>
          <w:i/>
          <w:sz w:val="24"/>
        </w:rPr>
        <w:t>network options </w:t>
      </w:r>
      <w:r>
        <w:rPr>
          <w:sz w:val="24"/>
        </w:rPr>
        <w:t>for consideration by the </w:t>
      </w:r>
      <w:r>
        <w:rPr>
          <w:i/>
          <w:sz w:val="24"/>
        </w:rPr>
        <w:t>System Strength Service Provider </w:t>
      </w:r>
      <w:r>
        <w:rPr>
          <w:sz w:val="24"/>
        </w:rPr>
        <w:t>including:</w:t>
      </w:r>
    </w:p>
    <w:p>
      <w:pPr>
        <w:pStyle w:val="ListParagraph"/>
        <w:numPr>
          <w:ilvl w:val="3"/>
          <w:numId w:val="257"/>
        </w:numPr>
        <w:tabs>
          <w:tab w:pos="2486" w:val="left" w:leader="none"/>
        </w:tabs>
        <w:spacing w:line="240" w:lineRule="auto" w:before="120" w:after="0"/>
        <w:ind w:left="2486" w:right="416" w:hanging="567"/>
        <w:jc w:val="both"/>
        <w:rPr>
          <w:sz w:val="24"/>
        </w:rPr>
      </w:pPr>
      <w:r>
        <w:rPr>
          <w:sz w:val="24"/>
        </w:rPr>
        <w:t>a description of the requirement for </w:t>
      </w:r>
      <w:r>
        <w:rPr>
          <w:i/>
          <w:sz w:val="24"/>
        </w:rPr>
        <w:t>system strength services </w:t>
      </w:r>
      <w:r>
        <w:rPr>
          <w:sz w:val="24"/>
        </w:rPr>
        <w:t>including timing;</w:t>
      </w:r>
    </w:p>
    <w:p>
      <w:pPr>
        <w:pStyle w:val="ListParagraph"/>
        <w:numPr>
          <w:ilvl w:val="3"/>
          <w:numId w:val="257"/>
        </w:numPr>
        <w:tabs>
          <w:tab w:pos="2486" w:val="left" w:leader="none"/>
        </w:tabs>
        <w:spacing w:line="240" w:lineRule="auto" w:before="120" w:after="0"/>
        <w:ind w:left="2486" w:right="415" w:hanging="567"/>
        <w:jc w:val="both"/>
        <w:rPr>
          <w:sz w:val="24"/>
        </w:rPr>
      </w:pPr>
      <w:r>
        <w:rPr>
          <w:sz w:val="24"/>
        </w:rPr>
        <w:t>the technical characteristics that a non-network option would be required to deliver, such as the contribution to the </w:t>
      </w:r>
      <w:r>
        <w:rPr>
          <w:i/>
          <w:sz w:val="24"/>
        </w:rPr>
        <w:t>three phase fault </w:t>
      </w:r>
      <w:r>
        <w:rPr>
          <w:i/>
          <w:sz w:val="24"/>
        </w:rPr>
        <w:t>level</w:t>
      </w:r>
      <w:r>
        <w:rPr>
          <w:sz w:val="24"/>
        </w:rPr>
        <w:t>, location, availability, response time and operating</w:t>
      </w:r>
      <w:r>
        <w:rPr>
          <w:spacing w:val="-2"/>
          <w:sz w:val="24"/>
        </w:rPr>
        <w:t> </w:t>
      </w:r>
      <w:r>
        <w:rPr>
          <w:sz w:val="24"/>
        </w:rPr>
        <w:t>profile;</w:t>
      </w:r>
    </w:p>
    <w:p>
      <w:pPr>
        <w:pStyle w:val="ListParagraph"/>
        <w:numPr>
          <w:ilvl w:val="3"/>
          <w:numId w:val="257"/>
        </w:numPr>
        <w:tabs>
          <w:tab w:pos="2486" w:val="left" w:leader="none"/>
        </w:tabs>
        <w:spacing w:line="240" w:lineRule="auto" w:before="120" w:after="0"/>
        <w:ind w:left="2486" w:right="415" w:hanging="567"/>
        <w:jc w:val="both"/>
        <w:rPr>
          <w:sz w:val="24"/>
        </w:rPr>
      </w:pPr>
      <w:r>
        <w:rPr>
          <w:sz w:val="24"/>
        </w:rPr>
        <w:t>a summary of potential options to make the </w:t>
      </w:r>
      <w:r>
        <w:rPr>
          <w:i/>
          <w:sz w:val="24"/>
        </w:rPr>
        <w:t>system strength services </w:t>
      </w:r>
      <w:r>
        <w:rPr>
          <w:sz w:val="24"/>
        </w:rPr>
        <w:t>available identified by the </w:t>
      </w:r>
      <w:r>
        <w:rPr>
          <w:i/>
          <w:sz w:val="24"/>
        </w:rPr>
        <w:t>System Strength Service Provider</w:t>
      </w:r>
      <w:r>
        <w:rPr>
          <w:sz w:val="24"/>
        </w:rPr>
        <w:t>,  including </w:t>
      </w:r>
      <w:r>
        <w:rPr>
          <w:i/>
          <w:sz w:val="24"/>
        </w:rPr>
        <w:t>network options </w:t>
      </w:r>
      <w:r>
        <w:rPr>
          <w:sz w:val="24"/>
        </w:rPr>
        <w:t>and </w:t>
      </w:r>
      <w:r>
        <w:rPr>
          <w:i/>
          <w:sz w:val="24"/>
        </w:rPr>
        <w:t>non-network options</w:t>
      </w:r>
      <w:r>
        <w:rPr>
          <w:sz w:val="24"/>
        </w:rPr>
        <w:t>;</w:t>
      </w:r>
      <w:r>
        <w:rPr>
          <w:spacing w:val="-2"/>
          <w:sz w:val="24"/>
        </w:rPr>
        <w:t> </w:t>
      </w:r>
      <w:r>
        <w:rPr>
          <w:sz w:val="24"/>
        </w:rPr>
        <w:t>and</w:t>
      </w:r>
    </w:p>
    <w:p>
      <w:pPr>
        <w:pStyle w:val="ListParagraph"/>
        <w:numPr>
          <w:ilvl w:val="3"/>
          <w:numId w:val="257"/>
        </w:numPr>
        <w:tabs>
          <w:tab w:pos="2486" w:val="left" w:leader="none"/>
        </w:tabs>
        <w:spacing w:line="240" w:lineRule="auto" w:before="120" w:after="0"/>
        <w:ind w:left="2486" w:right="414" w:hanging="567"/>
        <w:jc w:val="both"/>
        <w:rPr>
          <w:sz w:val="24"/>
        </w:rPr>
      </w:pPr>
      <w:r>
        <w:rPr>
          <w:sz w:val="24"/>
        </w:rPr>
        <w:t>information to assist providers of </w:t>
      </w:r>
      <w:r>
        <w:rPr>
          <w:i/>
          <w:sz w:val="24"/>
        </w:rPr>
        <w:t>non-network options </w:t>
      </w:r>
      <w:r>
        <w:rPr>
          <w:sz w:val="24"/>
        </w:rPr>
        <w:t>wishing to present proposals to the </w:t>
      </w:r>
      <w:r>
        <w:rPr>
          <w:i/>
          <w:sz w:val="24"/>
        </w:rPr>
        <w:t>System Strength Service Provider </w:t>
      </w:r>
      <w:r>
        <w:rPr>
          <w:sz w:val="24"/>
        </w:rPr>
        <w:t>including details of how to submit a proposal for</w:t>
      </w:r>
      <w:r>
        <w:rPr>
          <w:spacing w:val="-3"/>
          <w:sz w:val="24"/>
        </w:rPr>
        <w:t> </w:t>
      </w:r>
      <w:r>
        <w:rPr>
          <w:sz w:val="24"/>
        </w:rPr>
        <w:t>consideration.</w:t>
      </w:r>
    </w:p>
    <w:p>
      <w:pPr>
        <w:pStyle w:val="ListParagraph"/>
        <w:numPr>
          <w:ilvl w:val="2"/>
          <w:numId w:val="257"/>
        </w:numPr>
        <w:tabs>
          <w:tab w:pos="1920"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must provide information in its </w:t>
      </w:r>
      <w:r>
        <w:rPr>
          <w:i/>
          <w:sz w:val="24"/>
        </w:rPr>
        <w:t>Transmission Annual Planning Report </w:t>
      </w:r>
      <w:r>
        <w:rPr>
          <w:sz w:val="24"/>
        </w:rPr>
        <w:t>about the activities undertaken to satisfy its obligation to make </w:t>
      </w:r>
      <w:r>
        <w:rPr>
          <w:i/>
          <w:sz w:val="24"/>
        </w:rPr>
        <w:t>system strength services </w:t>
      </w:r>
      <w:r>
        <w:rPr>
          <w:sz w:val="24"/>
        </w:rPr>
        <w:t>available under paragraph (b).</w:t>
      </w:r>
    </w:p>
    <w:p>
      <w:pPr>
        <w:pStyle w:val="ListParagraph"/>
        <w:numPr>
          <w:ilvl w:val="2"/>
          <w:numId w:val="257"/>
        </w:numPr>
        <w:tabs>
          <w:tab w:pos="1919" w:val="left" w:leader="none"/>
        </w:tabs>
        <w:spacing w:line="240" w:lineRule="auto" w:before="120" w:after="0"/>
        <w:ind w:left="1919" w:right="414" w:hanging="567"/>
        <w:jc w:val="both"/>
        <w:rPr>
          <w:sz w:val="24"/>
        </w:rPr>
      </w:pPr>
      <w:r>
        <w:rPr>
          <w:sz w:val="24"/>
        </w:rPr>
        <w:t>If the </w:t>
      </w:r>
      <w:r>
        <w:rPr>
          <w:i/>
          <w:sz w:val="24"/>
        </w:rPr>
        <w:t>System Strength Service Provider </w:t>
      </w:r>
      <w:r>
        <w:rPr>
          <w:sz w:val="24"/>
        </w:rPr>
        <w:t>proposes </w:t>
      </w:r>
      <w:r>
        <w:rPr>
          <w:i/>
          <w:sz w:val="24"/>
        </w:rPr>
        <w:t>network </w:t>
      </w:r>
      <w:r>
        <w:rPr>
          <w:sz w:val="24"/>
        </w:rPr>
        <w:t>investment for the purpose specified in paragraph (f), the </w:t>
      </w:r>
      <w:r>
        <w:rPr>
          <w:i/>
          <w:sz w:val="24"/>
        </w:rPr>
        <w:t>System Strength Service Provider </w:t>
      </w:r>
      <w:r>
        <w:rPr>
          <w:sz w:val="24"/>
        </w:rPr>
        <w:t>must provide the following information in its next </w:t>
      </w:r>
      <w:r>
        <w:rPr>
          <w:i/>
          <w:sz w:val="24"/>
        </w:rPr>
        <w:t>Transmission Annual </w:t>
      </w:r>
      <w:r>
        <w:rPr>
          <w:i/>
          <w:sz w:val="24"/>
        </w:rPr>
        <w:t>Planning</w:t>
      </w:r>
      <w:r>
        <w:rPr>
          <w:i/>
          <w:spacing w:val="-1"/>
          <w:sz w:val="24"/>
        </w:rPr>
        <w:t> </w:t>
      </w:r>
      <w:r>
        <w:rPr>
          <w:i/>
          <w:sz w:val="24"/>
        </w:rPr>
        <w:t>Report</w:t>
      </w:r>
      <w:r>
        <w:rPr>
          <w:sz w:val="24"/>
        </w:rPr>
        <w:t>:</w:t>
      </w:r>
    </w:p>
    <w:p>
      <w:pPr>
        <w:pStyle w:val="ListParagraph"/>
        <w:numPr>
          <w:ilvl w:val="3"/>
          <w:numId w:val="257"/>
        </w:numPr>
        <w:tabs>
          <w:tab w:pos="2485" w:val="left" w:leader="none"/>
          <w:tab w:pos="2486" w:val="left" w:leader="none"/>
        </w:tabs>
        <w:spacing w:line="240" w:lineRule="auto" w:before="120" w:after="0"/>
        <w:ind w:left="2486" w:right="415" w:hanging="567"/>
        <w:jc w:val="left"/>
        <w:rPr>
          <w:sz w:val="24"/>
        </w:rPr>
      </w:pPr>
      <w:r>
        <w:rPr>
          <w:sz w:val="24"/>
        </w:rPr>
        <w:t>the date when the proposed relevant </w:t>
      </w:r>
      <w:r>
        <w:rPr>
          <w:i/>
          <w:sz w:val="24"/>
        </w:rPr>
        <w:t>network </w:t>
      </w:r>
      <w:r>
        <w:rPr>
          <w:sz w:val="24"/>
        </w:rPr>
        <w:t>investment became or will become</w:t>
      </w:r>
      <w:r>
        <w:rPr>
          <w:spacing w:val="-2"/>
          <w:sz w:val="24"/>
        </w:rPr>
        <w:t> </w:t>
      </w:r>
      <w:r>
        <w:rPr>
          <w:sz w:val="24"/>
        </w:rPr>
        <w:t>operational;</w:t>
      </w:r>
    </w:p>
    <w:p>
      <w:pPr>
        <w:pStyle w:val="ListParagraph"/>
        <w:numPr>
          <w:ilvl w:val="3"/>
          <w:numId w:val="257"/>
        </w:numPr>
        <w:tabs>
          <w:tab w:pos="2485" w:val="left" w:leader="none"/>
          <w:tab w:pos="2486" w:val="left" w:leader="none"/>
        </w:tabs>
        <w:spacing w:line="240" w:lineRule="auto" w:before="120" w:after="0"/>
        <w:ind w:left="2485" w:right="0" w:hanging="567"/>
        <w:jc w:val="left"/>
        <w:rPr>
          <w:sz w:val="24"/>
        </w:rPr>
      </w:pPr>
      <w:r>
        <w:rPr>
          <w:sz w:val="24"/>
        </w:rPr>
        <w:t>the purpose of the proposed relevant </w:t>
      </w:r>
      <w:r>
        <w:rPr>
          <w:i/>
          <w:sz w:val="24"/>
        </w:rPr>
        <w:t>network</w:t>
      </w:r>
      <w:r>
        <w:rPr>
          <w:i/>
          <w:spacing w:val="-3"/>
          <w:sz w:val="24"/>
        </w:rPr>
        <w:t> </w:t>
      </w:r>
      <w:r>
        <w:rPr>
          <w:sz w:val="24"/>
        </w:rPr>
        <w:t>investment;</w:t>
      </w:r>
    </w:p>
    <w:p>
      <w:pPr>
        <w:pStyle w:val="ListParagraph"/>
        <w:numPr>
          <w:ilvl w:val="3"/>
          <w:numId w:val="257"/>
        </w:numPr>
        <w:tabs>
          <w:tab w:pos="2485" w:val="left" w:leader="none"/>
          <w:tab w:pos="2486" w:val="left" w:leader="none"/>
        </w:tabs>
        <w:spacing w:line="240" w:lineRule="auto" w:before="120" w:after="0"/>
        <w:ind w:left="2485" w:right="0" w:hanging="567"/>
        <w:jc w:val="left"/>
        <w:rPr>
          <w:sz w:val="24"/>
        </w:rPr>
      </w:pPr>
      <w:r>
        <w:rPr>
          <w:sz w:val="24"/>
        </w:rPr>
        <w:t>the total cost of the proposed relevant </w:t>
      </w:r>
      <w:r>
        <w:rPr>
          <w:i/>
          <w:sz w:val="24"/>
        </w:rPr>
        <w:t>network</w:t>
      </w:r>
      <w:r>
        <w:rPr>
          <w:i/>
          <w:spacing w:val="-4"/>
          <w:sz w:val="24"/>
        </w:rPr>
        <w:t> </w:t>
      </w:r>
      <w:r>
        <w:rPr>
          <w:sz w:val="24"/>
        </w:rPr>
        <w:t>investment;</w:t>
      </w:r>
    </w:p>
    <w:p>
      <w:pPr>
        <w:pStyle w:val="ListParagraph"/>
        <w:numPr>
          <w:ilvl w:val="3"/>
          <w:numId w:val="257"/>
        </w:numPr>
        <w:tabs>
          <w:tab w:pos="2485" w:val="left" w:leader="none"/>
          <w:tab w:pos="2486" w:val="left" w:leader="none"/>
        </w:tabs>
        <w:spacing w:line="240" w:lineRule="auto" w:before="120" w:after="0"/>
        <w:ind w:left="2485" w:right="0" w:hanging="567"/>
        <w:jc w:val="left"/>
        <w:rPr>
          <w:sz w:val="24"/>
        </w:rPr>
      </w:pPr>
      <w:r>
        <w:rPr>
          <w:sz w:val="24"/>
        </w:rPr>
        <w:t>the indicative total costs of any </w:t>
      </w:r>
      <w:r>
        <w:rPr>
          <w:i/>
          <w:sz w:val="24"/>
        </w:rPr>
        <w:t>non-network options</w:t>
      </w:r>
      <w:r>
        <w:rPr>
          <w:i/>
          <w:spacing w:val="-2"/>
          <w:sz w:val="24"/>
        </w:rPr>
        <w:t> </w:t>
      </w:r>
      <w:r>
        <w:rPr>
          <w:sz w:val="24"/>
        </w:rPr>
        <w:t>considered.</w:t>
      </w:r>
    </w:p>
    <w:p>
      <w:pPr>
        <w:pStyle w:val="ListParagraph"/>
        <w:numPr>
          <w:ilvl w:val="2"/>
          <w:numId w:val="257"/>
        </w:numPr>
        <w:tabs>
          <w:tab w:pos="1919"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may include the cost of </w:t>
      </w:r>
      <w:r>
        <w:rPr>
          <w:i/>
          <w:sz w:val="24"/>
        </w:rPr>
        <w:t>system strength </w:t>
      </w:r>
      <w:r>
        <w:rPr>
          <w:i/>
          <w:sz w:val="24"/>
        </w:rPr>
        <w:t>service payments </w:t>
      </w:r>
      <w:r>
        <w:rPr>
          <w:sz w:val="24"/>
        </w:rPr>
        <w:t>in the calculation of </w:t>
      </w:r>
      <w:r>
        <w:rPr>
          <w:i/>
          <w:sz w:val="24"/>
        </w:rPr>
        <w:t>network support payments </w:t>
      </w:r>
      <w:r>
        <w:rPr>
          <w:sz w:val="24"/>
        </w:rPr>
        <w:t>in accordance with Chapter</w:t>
      </w:r>
      <w:r>
        <w:rPr>
          <w:spacing w:val="-2"/>
          <w:sz w:val="24"/>
        </w:rPr>
        <w:t> </w:t>
      </w:r>
      <w:r>
        <w:rPr>
          <w:sz w:val="24"/>
        </w:rPr>
        <w:t>6A.</w:t>
      </w:r>
    </w:p>
    <w:p>
      <w:pPr>
        <w:spacing w:after="0" w:line="240" w:lineRule="auto"/>
        <w:jc w:val="both"/>
        <w:rPr>
          <w:sz w:val="24"/>
        </w:rPr>
        <w:sectPr>
          <w:pgSz w:w="11910" w:h="16840"/>
          <w:pgMar w:header="686" w:footer="637" w:top="1320" w:bottom="820" w:left="1200" w:right="1000"/>
        </w:sectPr>
      </w:pPr>
    </w:p>
    <w:p>
      <w:pPr>
        <w:pStyle w:val="Heading4"/>
        <w:numPr>
          <w:ilvl w:val="1"/>
          <w:numId w:val="258"/>
        </w:numPr>
        <w:tabs>
          <w:tab w:pos="686" w:val="left" w:leader="none"/>
          <w:tab w:pos="1351" w:val="left" w:leader="none"/>
        </w:tabs>
        <w:spacing w:line="240" w:lineRule="auto" w:before="83" w:after="0"/>
        <w:ind w:left="686" w:right="0" w:hanging="468"/>
        <w:jc w:val="left"/>
        <w:rPr>
          <w:sz w:val="22"/>
        </w:rPr>
      </w:pPr>
      <w:bookmarkStart w:name="5.20C.4 System strength services informa" w:id="889"/>
      <w:bookmarkEnd w:id="889"/>
      <w:r>
        <w:rPr>
          <w:b w:val="0"/>
        </w:rPr>
      </w:r>
      <w:bookmarkStart w:name="_bookmark338" w:id="890"/>
      <w:bookmarkEnd w:id="890"/>
      <w:r>
        <w:rPr>
          <w:b w:val="0"/>
        </w:rPr>
      </w:r>
      <w:bookmarkStart w:name="_bookmark338" w:id="891"/>
      <w:bookmarkEnd w:id="891"/>
      <w:r>
        <w:rPr/>
        <w:t>C.</w:t>
      </w:r>
      <w:r>
        <w:rPr/>
        <w:t>4</w:t>
        <w:tab/>
        <w:t>System strength services information and</w:t>
      </w:r>
      <w:r>
        <w:rPr>
          <w:spacing w:val="-7"/>
        </w:rPr>
        <w:t> </w:t>
      </w:r>
      <w:r>
        <w:rPr/>
        <w:t>approvals</w:t>
      </w:r>
    </w:p>
    <w:p>
      <w:pPr>
        <w:pStyle w:val="ListParagraph"/>
        <w:numPr>
          <w:ilvl w:val="2"/>
          <w:numId w:val="258"/>
        </w:numPr>
        <w:tabs>
          <w:tab w:pos="1919" w:val="left" w:leader="none"/>
        </w:tabs>
        <w:spacing w:line="240" w:lineRule="auto" w:before="120" w:after="0"/>
        <w:ind w:left="1919" w:right="416" w:hanging="567"/>
        <w:jc w:val="both"/>
        <w:rPr>
          <w:sz w:val="24"/>
        </w:rPr>
      </w:pPr>
      <w:r>
        <w:rPr>
          <w:sz w:val="24"/>
        </w:rPr>
        <w:t>A </w:t>
      </w:r>
      <w:r>
        <w:rPr>
          <w:i/>
          <w:sz w:val="24"/>
        </w:rPr>
        <w:t>System Strength Service Provider </w:t>
      </w:r>
      <w:r>
        <w:rPr>
          <w:sz w:val="24"/>
        </w:rPr>
        <w:t>required to make </w:t>
      </w:r>
      <w:r>
        <w:rPr>
          <w:i/>
          <w:sz w:val="24"/>
        </w:rPr>
        <w:t>system strength </w:t>
      </w:r>
      <w:r>
        <w:rPr>
          <w:i/>
          <w:sz w:val="24"/>
        </w:rPr>
        <w:t>services </w:t>
      </w:r>
      <w:r>
        <w:rPr>
          <w:sz w:val="24"/>
        </w:rPr>
        <w:t>available under clause 5.20C.3(b) must prepare and give to </w:t>
      </w:r>
      <w:r>
        <w:rPr>
          <w:i/>
          <w:sz w:val="24"/>
        </w:rPr>
        <w:t>AEMO </w:t>
      </w:r>
      <w:r>
        <w:rPr>
          <w:sz w:val="24"/>
        </w:rPr>
        <w:t>and keep up to date, a schedule setting</w:t>
      </w:r>
      <w:r>
        <w:rPr>
          <w:spacing w:val="-3"/>
          <w:sz w:val="24"/>
        </w:rPr>
        <w:t> </w:t>
      </w:r>
      <w:r>
        <w:rPr>
          <w:sz w:val="24"/>
        </w:rPr>
        <w:t>out:</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the </w:t>
      </w:r>
      <w:r>
        <w:rPr>
          <w:i/>
          <w:sz w:val="24"/>
        </w:rPr>
        <w:t>system strength services </w:t>
      </w:r>
      <w:r>
        <w:rPr>
          <w:sz w:val="24"/>
        </w:rPr>
        <w:t>available to contribute to the </w:t>
      </w:r>
      <w:r>
        <w:rPr>
          <w:i/>
          <w:sz w:val="24"/>
        </w:rPr>
        <w:t>three phase </w:t>
      </w:r>
      <w:r>
        <w:rPr>
          <w:i/>
          <w:sz w:val="24"/>
        </w:rPr>
        <w:t>fault level </w:t>
      </w:r>
      <w:r>
        <w:rPr>
          <w:sz w:val="24"/>
        </w:rPr>
        <w:t>at each </w:t>
      </w:r>
      <w:r>
        <w:rPr>
          <w:i/>
          <w:sz w:val="24"/>
        </w:rPr>
        <w:t>fault level node </w:t>
      </w:r>
      <w:r>
        <w:rPr>
          <w:sz w:val="24"/>
        </w:rPr>
        <w:t>in the </w:t>
      </w:r>
      <w:r>
        <w:rPr>
          <w:i/>
          <w:sz w:val="24"/>
        </w:rPr>
        <w:t>region </w:t>
      </w:r>
      <w:r>
        <w:rPr>
          <w:sz w:val="24"/>
        </w:rPr>
        <w:t>for which there is a </w:t>
      </w:r>
      <w:r>
        <w:rPr>
          <w:i/>
          <w:sz w:val="24"/>
        </w:rPr>
        <w:t>fault level shortfall</w:t>
      </w:r>
      <w:r>
        <w:rPr>
          <w:sz w:val="24"/>
        </w:rPr>
        <w:t>;</w:t>
      </w:r>
      <w:r>
        <w:rPr>
          <w:spacing w:val="-1"/>
          <w:sz w:val="24"/>
        </w:rPr>
        <w:t> </w:t>
      </w:r>
      <w:r>
        <w:rPr>
          <w:sz w:val="24"/>
        </w:rPr>
        <w:t>and</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the </w:t>
      </w:r>
      <w:r>
        <w:rPr>
          <w:i/>
          <w:sz w:val="24"/>
        </w:rPr>
        <w:t>System Strength Service Provider's </w:t>
      </w:r>
      <w:r>
        <w:rPr>
          <w:sz w:val="24"/>
        </w:rPr>
        <w:t>proposed order of priority </w:t>
      </w:r>
      <w:r>
        <w:rPr>
          <w:spacing w:val="-5"/>
          <w:sz w:val="24"/>
        </w:rPr>
        <w:t>for </w:t>
      </w:r>
      <w:r>
        <w:rPr>
          <w:sz w:val="24"/>
        </w:rPr>
        <w:t>the </w:t>
      </w:r>
      <w:r>
        <w:rPr>
          <w:i/>
          <w:sz w:val="24"/>
        </w:rPr>
        <w:t>system strength services </w:t>
      </w:r>
      <w:r>
        <w:rPr>
          <w:sz w:val="24"/>
        </w:rPr>
        <w:t>to be</w:t>
      </w:r>
      <w:r>
        <w:rPr>
          <w:spacing w:val="-3"/>
          <w:sz w:val="24"/>
        </w:rPr>
        <w:t> </w:t>
      </w:r>
      <w:r>
        <w:rPr>
          <w:i/>
          <w:sz w:val="24"/>
        </w:rPr>
        <w:t>enabled</w:t>
      </w:r>
      <w:r>
        <w:rPr>
          <w:sz w:val="24"/>
        </w:rPr>
        <w:t>.</w:t>
      </w:r>
    </w:p>
    <w:p>
      <w:pPr>
        <w:pStyle w:val="ListParagraph"/>
        <w:numPr>
          <w:ilvl w:val="2"/>
          <w:numId w:val="258"/>
        </w:numPr>
        <w:tabs>
          <w:tab w:pos="1919" w:val="left" w:leader="none"/>
        </w:tabs>
        <w:spacing w:line="240" w:lineRule="auto" w:before="120" w:after="0"/>
        <w:ind w:left="1919" w:right="416" w:hanging="567"/>
        <w:jc w:val="both"/>
        <w:rPr>
          <w:sz w:val="24"/>
        </w:rPr>
      </w:pPr>
      <w:r>
        <w:rPr>
          <w:sz w:val="24"/>
        </w:rPr>
        <w:t>Where the </w:t>
      </w:r>
      <w:r>
        <w:rPr>
          <w:i/>
          <w:sz w:val="24"/>
        </w:rPr>
        <w:t>System Strength Service Provider </w:t>
      </w:r>
      <w:r>
        <w:rPr>
          <w:sz w:val="24"/>
        </w:rPr>
        <w:t>procures </w:t>
      </w:r>
      <w:r>
        <w:rPr>
          <w:i/>
          <w:sz w:val="24"/>
        </w:rPr>
        <w:t>system strength </w:t>
      </w:r>
      <w:r>
        <w:rPr>
          <w:i/>
          <w:sz w:val="24"/>
        </w:rPr>
        <w:t>services </w:t>
      </w:r>
      <w:r>
        <w:rPr>
          <w:sz w:val="24"/>
        </w:rPr>
        <w:t>from a </w:t>
      </w:r>
      <w:r>
        <w:rPr>
          <w:i/>
          <w:sz w:val="24"/>
        </w:rPr>
        <w:t>Generator </w:t>
      </w:r>
      <w:r>
        <w:rPr>
          <w:sz w:val="24"/>
        </w:rPr>
        <w:t>provided by means of a </w:t>
      </w:r>
      <w:r>
        <w:rPr>
          <w:i/>
          <w:sz w:val="24"/>
        </w:rPr>
        <w:t>generating unit </w:t>
      </w:r>
      <w:r>
        <w:rPr>
          <w:sz w:val="24"/>
        </w:rPr>
        <w:t>under a </w:t>
      </w:r>
      <w:r>
        <w:rPr>
          <w:i/>
          <w:sz w:val="24"/>
        </w:rPr>
        <w:t>system strength services agreement</w:t>
      </w:r>
      <w:r>
        <w:rPr>
          <w:sz w:val="24"/>
        </w:rPr>
        <w:t>, the </w:t>
      </w:r>
      <w:r>
        <w:rPr>
          <w:i/>
          <w:sz w:val="24"/>
        </w:rPr>
        <w:t>System Strength Service Provider </w:t>
      </w:r>
      <w:r>
        <w:rPr>
          <w:sz w:val="24"/>
        </w:rPr>
        <w:t>must register the </w:t>
      </w:r>
      <w:r>
        <w:rPr>
          <w:i/>
          <w:sz w:val="24"/>
        </w:rPr>
        <w:t>generating unit </w:t>
      </w:r>
      <w:r>
        <w:rPr>
          <w:sz w:val="24"/>
        </w:rPr>
        <w:t>with </w:t>
      </w:r>
      <w:r>
        <w:rPr>
          <w:i/>
          <w:sz w:val="24"/>
        </w:rPr>
        <w:t>AEMO </w:t>
      </w:r>
      <w:r>
        <w:rPr>
          <w:sz w:val="24"/>
        </w:rPr>
        <w:t>as a </w:t>
      </w:r>
      <w:r>
        <w:rPr>
          <w:i/>
          <w:sz w:val="24"/>
        </w:rPr>
        <w:t>system strength </w:t>
      </w:r>
      <w:r>
        <w:rPr>
          <w:i/>
          <w:sz w:val="24"/>
        </w:rPr>
        <w:t>generating unit </w:t>
      </w:r>
      <w:r>
        <w:rPr>
          <w:sz w:val="24"/>
        </w:rPr>
        <w:t>and specify that the </w:t>
      </w:r>
      <w:r>
        <w:rPr>
          <w:i/>
          <w:sz w:val="24"/>
        </w:rPr>
        <w:t>generating unit </w:t>
      </w:r>
      <w:r>
        <w:rPr>
          <w:sz w:val="24"/>
        </w:rPr>
        <w:t>may be periodically used to provide </w:t>
      </w:r>
      <w:r>
        <w:rPr>
          <w:i/>
          <w:sz w:val="24"/>
        </w:rPr>
        <w:t>system strength services </w:t>
      </w:r>
      <w:r>
        <w:rPr>
          <w:sz w:val="24"/>
        </w:rPr>
        <w:t>and will not be eligible to set </w:t>
      </w:r>
      <w:r>
        <w:rPr>
          <w:i/>
          <w:sz w:val="24"/>
        </w:rPr>
        <w:t>spot </w:t>
      </w:r>
      <w:r>
        <w:rPr>
          <w:i/>
          <w:sz w:val="24"/>
        </w:rPr>
        <w:t>prices </w:t>
      </w:r>
      <w:r>
        <w:rPr>
          <w:sz w:val="24"/>
        </w:rPr>
        <w:t>when </w:t>
      </w:r>
      <w:r>
        <w:rPr>
          <w:i/>
          <w:sz w:val="24"/>
        </w:rPr>
        <w:t>constrained on </w:t>
      </w:r>
      <w:r>
        <w:rPr>
          <w:sz w:val="24"/>
        </w:rPr>
        <w:t>to provide </w:t>
      </w:r>
      <w:r>
        <w:rPr>
          <w:i/>
          <w:sz w:val="24"/>
        </w:rPr>
        <w:t>system strength services </w:t>
      </w:r>
      <w:r>
        <w:rPr>
          <w:sz w:val="24"/>
        </w:rPr>
        <w:t>in accordance with clause</w:t>
      </w:r>
      <w:r>
        <w:rPr>
          <w:spacing w:val="-3"/>
          <w:sz w:val="24"/>
        </w:rPr>
        <w:t> </w:t>
      </w:r>
      <w:r>
        <w:rPr>
          <w:sz w:val="24"/>
        </w:rPr>
        <w:t>3.9.7(c).</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8"/>
        </w:numPr>
        <w:tabs>
          <w:tab w:pos="1919" w:val="left" w:leader="none"/>
        </w:tabs>
        <w:spacing w:line="240" w:lineRule="auto" w:before="120" w:after="0"/>
        <w:ind w:left="1919" w:right="416" w:hanging="567"/>
        <w:jc w:val="both"/>
        <w:rPr>
          <w:sz w:val="24"/>
        </w:rPr>
      </w:pPr>
      <w:r>
        <w:rPr>
          <w:sz w:val="24"/>
        </w:rPr>
        <w:t>A </w:t>
      </w:r>
      <w:r>
        <w:rPr>
          <w:i/>
          <w:sz w:val="24"/>
        </w:rPr>
        <w:t>System Strength Service Provider </w:t>
      </w:r>
      <w:r>
        <w:rPr>
          <w:sz w:val="24"/>
        </w:rPr>
        <w:t>required to make </w:t>
      </w:r>
      <w:r>
        <w:rPr>
          <w:i/>
          <w:sz w:val="24"/>
        </w:rPr>
        <w:t>system strength </w:t>
      </w:r>
      <w:r>
        <w:rPr>
          <w:i/>
          <w:sz w:val="24"/>
        </w:rPr>
        <w:t>services </w:t>
      </w:r>
      <w:r>
        <w:rPr>
          <w:sz w:val="24"/>
        </w:rPr>
        <w:t>available under clause 5.20C.3(b) must give to </w:t>
      </w:r>
      <w:r>
        <w:rPr>
          <w:i/>
          <w:sz w:val="24"/>
        </w:rPr>
        <w:t>AEMO </w:t>
      </w:r>
      <w:r>
        <w:rPr>
          <w:sz w:val="24"/>
        </w:rPr>
        <w:t>and keep up to date the following details for each </w:t>
      </w:r>
      <w:r>
        <w:rPr>
          <w:i/>
          <w:sz w:val="24"/>
        </w:rPr>
        <w:t>system strength</w:t>
      </w:r>
      <w:r>
        <w:rPr>
          <w:i/>
          <w:spacing w:val="-5"/>
          <w:sz w:val="24"/>
        </w:rPr>
        <w:t> </w:t>
      </w:r>
      <w:r>
        <w:rPr>
          <w:i/>
          <w:sz w:val="24"/>
        </w:rPr>
        <w:t>service</w:t>
      </w:r>
      <w:r>
        <w:rPr>
          <w:sz w:val="24"/>
        </w:rPr>
        <w:t>:</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a description of the </w:t>
      </w:r>
      <w:r>
        <w:rPr>
          <w:i/>
          <w:sz w:val="24"/>
        </w:rPr>
        <w:t>system strength service</w:t>
      </w:r>
      <w:r>
        <w:rPr>
          <w:sz w:val="24"/>
        </w:rPr>
        <w:t>,</w:t>
      </w:r>
      <w:r>
        <w:rPr>
          <w:spacing w:val="-5"/>
          <w:sz w:val="24"/>
        </w:rPr>
        <w:t> </w:t>
      </w:r>
      <w:r>
        <w:rPr>
          <w:sz w:val="24"/>
        </w:rPr>
        <w:t>including:</w:t>
      </w:r>
    </w:p>
    <w:p>
      <w:pPr>
        <w:pStyle w:val="ListParagraph"/>
        <w:numPr>
          <w:ilvl w:val="4"/>
          <w:numId w:val="258"/>
        </w:numPr>
        <w:tabs>
          <w:tab w:pos="3053" w:val="left" w:leader="none"/>
        </w:tabs>
        <w:spacing w:line="240" w:lineRule="auto" w:before="120" w:after="0"/>
        <w:ind w:left="3052" w:right="0" w:hanging="567"/>
        <w:jc w:val="both"/>
        <w:rPr>
          <w:sz w:val="24"/>
        </w:rPr>
      </w:pPr>
      <w:r>
        <w:rPr>
          <w:sz w:val="24"/>
        </w:rPr>
        <w:t>the nature of the </w:t>
      </w:r>
      <w:r>
        <w:rPr>
          <w:i/>
          <w:sz w:val="24"/>
        </w:rPr>
        <w:t>system strength</w:t>
      </w:r>
      <w:r>
        <w:rPr>
          <w:i/>
          <w:spacing w:val="-4"/>
          <w:sz w:val="24"/>
        </w:rPr>
        <w:t> </w:t>
      </w:r>
      <w:r>
        <w:rPr>
          <w:i/>
          <w:sz w:val="24"/>
        </w:rPr>
        <w:t>service</w:t>
      </w:r>
      <w:r>
        <w:rPr>
          <w:sz w:val="24"/>
        </w:rPr>
        <w:t>;</w:t>
      </w:r>
    </w:p>
    <w:p>
      <w:pPr>
        <w:pStyle w:val="ListParagraph"/>
        <w:numPr>
          <w:ilvl w:val="4"/>
          <w:numId w:val="258"/>
        </w:numPr>
        <w:tabs>
          <w:tab w:pos="3054" w:val="left" w:leader="none"/>
        </w:tabs>
        <w:spacing w:line="240" w:lineRule="auto" w:before="120" w:after="0"/>
        <w:ind w:left="3053" w:right="416" w:hanging="567"/>
        <w:jc w:val="both"/>
        <w:rPr>
          <w:sz w:val="24"/>
        </w:rPr>
      </w:pPr>
      <w:r>
        <w:rPr>
          <w:sz w:val="24"/>
        </w:rPr>
        <w:t>the </w:t>
      </w:r>
      <w:r>
        <w:rPr>
          <w:i/>
          <w:sz w:val="24"/>
        </w:rPr>
        <w:t>generating unit </w:t>
      </w:r>
      <w:r>
        <w:rPr>
          <w:sz w:val="24"/>
        </w:rPr>
        <w:t>or other </w:t>
      </w:r>
      <w:r>
        <w:rPr>
          <w:i/>
          <w:sz w:val="24"/>
        </w:rPr>
        <w:t>facilities </w:t>
      </w:r>
      <w:r>
        <w:rPr>
          <w:sz w:val="24"/>
        </w:rPr>
        <w:t>used to provide the </w:t>
      </w:r>
      <w:r>
        <w:rPr>
          <w:i/>
          <w:sz w:val="24"/>
        </w:rPr>
        <w:t>system </w:t>
      </w:r>
      <w:r>
        <w:rPr>
          <w:i/>
          <w:sz w:val="24"/>
        </w:rPr>
        <w:t>strength</w:t>
      </w:r>
      <w:r>
        <w:rPr>
          <w:i/>
          <w:spacing w:val="-2"/>
          <w:sz w:val="24"/>
        </w:rPr>
        <w:t> </w:t>
      </w:r>
      <w:r>
        <w:rPr>
          <w:i/>
          <w:sz w:val="24"/>
        </w:rPr>
        <w:t>service</w:t>
      </w:r>
      <w:r>
        <w:rPr>
          <w:sz w:val="24"/>
        </w:rPr>
        <w:t>;</w:t>
      </w:r>
    </w:p>
    <w:p>
      <w:pPr>
        <w:pStyle w:val="ListParagraph"/>
        <w:numPr>
          <w:ilvl w:val="4"/>
          <w:numId w:val="258"/>
        </w:numPr>
        <w:tabs>
          <w:tab w:pos="3053" w:val="left" w:leader="none"/>
        </w:tabs>
        <w:spacing w:line="240" w:lineRule="auto" w:before="120" w:after="0"/>
        <w:ind w:left="3053" w:right="417" w:hanging="567"/>
        <w:jc w:val="both"/>
        <w:rPr>
          <w:sz w:val="24"/>
        </w:rPr>
      </w:pPr>
      <w:r>
        <w:rPr>
          <w:sz w:val="24"/>
        </w:rPr>
        <w:t>the purpose for which the </w:t>
      </w:r>
      <w:r>
        <w:rPr>
          <w:i/>
          <w:sz w:val="24"/>
        </w:rPr>
        <w:t>system strength service </w:t>
      </w:r>
      <w:r>
        <w:rPr>
          <w:sz w:val="24"/>
        </w:rPr>
        <w:t>is being provided;</w:t>
      </w:r>
    </w:p>
    <w:p>
      <w:pPr>
        <w:pStyle w:val="ListParagraph"/>
        <w:numPr>
          <w:ilvl w:val="4"/>
          <w:numId w:val="258"/>
        </w:numPr>
        <w:tabs>
          <w:tab w:pos="3054" w:val="left" w:leader="none"/>
        </w:tabs>
        <w:spacing w:line="240" w:lineRule="auto" w:before="120" w:after="0"/>
        <w:ind w:left="3053" w:right="0" w:hanging="568"/>
        <w:jc w:val="both"/>
        <w:rPr>
          <w:i/>
          <w:sz w:val="24"/>
        </w:rPr>
      </w:pPr>
      <w:r>
        <w:rPr>
          <w:sz w:val="24"/>
        </w:rPr>
        <w:t>the</w:t>
      </w:r>
      <w:r>
        <w:rPr>
          <w:spacing w:val="13"/>
          <w:sz w:val="24"/>
        </w:rPr>
        <w:t> </w:t>
      </w:r>
      <w:r>
        <w:rPr>
          <w:sz w:val="24"/>
        </w:rPr>
        <w:t>location</w:t>
      </w:r>
      <w:r>
        <w:rPr>
          <w:spacing w:val="14"/>
          <w:sz w:val="24"/>
        </w:rPr>
        <w:t> </w:t>
      </w:r>
      <w:r>
        <w:rPr>
          <w:sz w:val="24"/>
        </w:rPr>
        <w:t>in</w:t>
      </w:r>
      <w:r>
        <w:rPr>
          <w:spacing w:val="13"/>
          <w:sz w:val="24"/>
        </w:rPr>
        <w:t> </w:t>
      </w:r>
      <w:r>
        <w:rPr>
          <w:sz w:val="24"/>
        </w:rPr>
        <w:t>the</w:t>
      </w:r>
      <w:r>
        <w:rPr>
          <w:spacing w:val="14"/>
          <w:sz w:val="24"/>
        </w:rPr>
        <w:t> </w:t>
      </w:r>
      <w:r>
        <w:rPr>
          <w:i/>
          <w:sz w:val="24"/>
        </w:rPr>
        <w:t>transmission</w:t>
      </w:r>
      <w:r>
        <w:rPr>
          <w:i/>
          <w:spacing w:val="14"/>
          <w:sz w:val="24"/>
        </w:rPr>
        <w:t> </w:t>
      </w:r>
      <w:r>
        <w:rPr>
          <w:i/>
          <w:sz w:val="24"/>
        </w:rPr>
        <w:t>network</w:t>
      </w:r>
      <w:r>
        <w:rPr>
          <w:i/>
          <w:spacing w:val="13"/>
          <w:sz w:val="24"/>
        </w:rPr>
        <w:t> </w:t>
      </w:r>
      <w:r>
        <w:rPr>
          <w:sz w:val="24"/>
        </w:rPr>
        <w:t>or</w:t>
      </w:r>
      <w:r>
        <w:rPr>
          <w:spacing w:val="14"/>
          <w:sz w:val="24"/>
        </w:rPr>
        <w:t> </w:t>
      </w:r>
      <w:r>
        <w:rPr>
          <w:i/>
          <w:sz w:val="24"/>
        </w:rPr>
        <w:t>distribution</w:t>
      </w:r>
      <w:r>
        <w:rPr>
          <w:i/>
          <w:spacing w:val="14"/>
          <w:sz w:val="24"/>
        </w:rPr>
        <w:t> </w:t>
      </w:r>
      <w:r>
        <w:rPr>
          <w:i/>
          <w:sz w:val="24"/>
        </w:rPr>
        <w:t>network</w:t>
      </w:r>
    </w:p>
    <w:p>
      <w:pPr>
        <w:spacing w:before="0"/>
        <w:ind w:left="3053" w:right="0" w:firstLine="0"/>
        <w:jc w:val="both"/>
        <w:rPr>
          <w:sz w:val="24"/>
        </w:rPr>
      </w:pPr>
      <w:r>
        <w:rPr>
          <w:sz w:val="24"/>
        </w:rPr>
        <w:t>of the </w:t>
      </w:r>
      <w:r>
        <w:rPr>
          <w:i/>
          <w:sz w:val="24"/>
        </w:rPr>
        <w:t>facilities </w:t>
      </w:r>
      <w:r>
        <w:rPr>
          <w:sz w:val="24"/>
        </w:rPr>
        <w:t>used to provide the </w:t>
      </w:r>
      <w:r>
        <w:rPr>
          <w:i/>
          <w:sz w:val="24"/>
        </w:rPr>
        <w:t>system strength service</w:t>
      </w:r>
      <w:r>
        <w:rPr>
          <w:sz w:val="24"/>
        </w:rPr>
        <w:t>;</w:t>
      </w:r>
    </w:p>
    <w:p>
      <w:pPr>
        <w:pStyle w:val="ListParagraph"/>
        <w:numPr>
          <w:ilvl w:val="4"/>
          <w:numId w:val="258"/>
        </w:numPr>
        <w:tabs>
          <w:tab w:pos="3053" w:val="left" w:leader="none"/>
        </w:tabs>
        <w:spacing w:line="240" w:lineRule="auto" w:before="120" w:after="0"/>
        <w:ind w:left="3053" w:right="414" w:hanging="567"/>
        <w:jc w:val="both"/>
        <w:rPr>
          <w:sz w:val="24"/>
        </w:rPr>
      </w:pPr>
      <w:r>
        <w:rPr>
          <w:sz w:val="24"/>
        </w:rPr>
        <w:t>the contribution to the </w:t>
      </w:r>
      <w:r>
        <w:rPr>
          <w:i/>
          <w:sz w:val="24"/>
        </w:rPr>
        <w:t>three phase fault level </w:t>
      </w:r>
      <w:r>
        <w:rPr>
          <w:sz w:val="24"/>
        </w:rPr>
        <w:t>at each relevant </w:t>
      </w:r>
      <w:r>
        <w:rPr>
          <w:i/>
          <w:sz w:val="24"/>
        </w:rPr>
        <w:t>fault level node </w:t>
      </w:r>
      <w:r>
        <w:rPr>
          <w:sz w:val="24"/>
        </w:rPr>
        <w:t>and the </w:t>
      </w:r>
      <w:r>
        <w:rPr>
          <w:i/>
          <w:sz w:val="24"/>
        </w:rPr>
        <w:t>facility's connection point </w:t>
      </w:r>
      <w:r>
        <w:rPr>
          <w:sz w:val="24"/>
        </w:rPr>
        <w:t>when</w:t>
      </w:r>
      <w:r>
        <w:rPr>
          <w:spacing w:val="38"/>
          <w:sz w:val="24"/>
        </w:rPr>
        <w:t> </w:t>
      </w:r>
      <w:r>
        <w:rPr>
          <w:sz w:val="24"/>
        </w:rPr>
        <w:t>the </w:t>
      </w:r>
      <w:r>
        <w:rPr>
          <w:i/>
          <w:sz w:val="24"/>
        </w:rPr>
        <w:t>system strength service </w:t>
      </w:r>
      <w:r>
        <w:rPr>
          <w:sz w:val="24"/>
        </w:rPr>
        <w:t>is </w:t>
      </w:r>
      <w:r>
        <w:rPr>
          <w:i/>
          <w:sz w:val="24"/>
        </w:rPr>
        <w:t>enabled</w:t>
      </w:r>
      <w:r>
        <w:rPr>
          <w:sz w:val="24"/>
        </w:rPr>
        <w:t>;</w:t>
      </w:r>
      <w:r>
        <w:rPr>
          <w:spacing w:val="-5"/>
          <w:sz w:val="24"/>
        </w:rPr>
        <w:t> </w:t>
      </w:r>
      <w:r>
        <w:rPr>
          <w:sz w:val="24"/>
        </w:rPr>
        <w:t>and</w:t>
      </w:r>
    </w:p>
    <w:p>
      <w:pPr>
        <w:pStyle w:val="ListParagraph"/>
        <w:numPr>
          <w:ilvl w:val="4"/>
          <w:numId w:val="258"/>
        </w:numPr>
        <w:tabs>
          <w:tab w:pos="3053" w:val="left" w:leader="none"/>
        </w:tabs>
        <w:spacing w:line="240" w:lineRule="auto" w:before="120" w:after="0"/>
        <w:ind w:left="3053" w:right="415" w:hanging="567"/>
        <w:jc w:val="both"/>
        <w:rPr>
          <w:sz w:val="24"/>
        </w:rPr>
      </w:pPr>
      <w:r>
        <w:rPr>
          <w:sz w:val="24"/>
        </w:rPr>
        <w:t>any other information (including models) requested by </w:t>
      </w:r>
      <w:r>
        <w:rPr>
          <w:i/>
          <w:sz w:val="24"/>
        </w:rPr>
        <w:t>AEMO </w:t>
      </w:r>
      <w:r>
        <w:rPr>
          <w:spacing w:val="-7"/>
          <w:sz w:val="24"/>
        </w:rPr>
        <w:t>to </w:t>
      </w:r>
      <w:r>
        <w:rPr>
          <w:sz w:val="24"/>
        </w:rPr>
        <w:t>assess the contribution of the </w:t>
      </w:r>
      <w:r>
        <w:rPr>
          <w:i/>
          <w:sz w:val="24"/>
        </w:rPr>
        <w:t>system strength service </w:t>
      </w:r>
      <w:r>
        <w:rPr>
          <w:sz w:val="24"/>
        </w:rPr>
        <w:t>referred to in subparagraph</w:t>
      </w:r>
      <w:r>
        <w:rPr>
          <w:spacing w:val="-2"/>
          <w:sz w:val="24"/>
        </w:rPr>
        <w:t> </w:t>
      </w:r>
      <w:r>
        <w:rPr>
          <w:sz w:val="24"/>
        </w:rPr>
        <w:t>(v).</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information about the availability of the </w:t>
      </w:r>
      <w:r>
        <w:rPr>
          <w:i/>
          <w:sz w:val="24"/>
        </w:rPr>
        <w:t>system strength service</w:t>
      </w:r>
      <w:r>
        <w:rPr>
          <w:sz w:val="24"/>
        </w:rPr>
        <w:t>, including:</w:t>
      </w:r>
    </w:p>
    <w:p>
      <w:pPr>
        <w:pStyle w:val="ListParagraph"/>
        <w:numPr>
          <w:ilvl w:val="4"/>
          <w:numId w:val="258"/>
        </w:numPr>
        <w:tabs>
          <w:tab w:pos="3053" w:val="left" w:leader="none"/>
        </w:tabs>
        <w:spacing w:line="240" w:lineRule="auto" w:before="120" w:after="0"/>
        <w:ind w:left="3053" w:right="415" w:hanging="567"/>
        <w:jc w:val="both"/>
        <w:rPr>
          <w:sz w:val="24"/>
        </w:rPr>
      </w:pPr>
      <w:r>
        <w:rPr>
          <w:sz w:val="24"/>
        </w:rPr>
        <w:t>the times when, and the period over which, the </w:t>
      </w:r>
      <w:r>
        <w:rPr>
          <w:i/>
          <w:sz w:val="24"/>
        </w:rPr>
        <w:t>system strength </w:t>
      </w:r>
      <w:r>
        <w:rPr>
          <w:i/>
          <w:sz w:val="24"/>
        </w:rPr>
        <w:t>service </w:t>
      </w:r>
      <w:r>
        <w:rPr>
          <w:sz w:val="24"/>
        </w:rPr>
        <w:t>will be available to contribute to the </w:t>
      </w:r>
      <w:r>
        <w:rPr>
          <w:i/>
          <w:sz w:val="24"/>
        </w:rPr>
        <w:t>three phase fault </w:t>
      </w:r>
      <w:r>
        <w:rPr>
          <w:i/>
          <w:sz w:val="24"/>
        </w:rPr>
        <w:t>level </w:t>
      </w:r>
      <w:r>
        <w:rPr>
          <w:sz w:val="24"/>
        </w:rPr>
        <w:t>at each relevant </w:t>
      </w:r>
      <w:r>
        <w:rPr>
          <w:i/>
          <w:sz w:val="24"/>
        </w:rPr>
        <w:t>fault level node</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258"/>
        </w:numPr>
        <w:tabs>
          <w:tab w:pos="3054" w:val="left" w:leader="none"/>
        </w:tabs>
        <w:spacing w:line="240" w:lineRule="auto" w:before="83" w:after="0"/>
        <w:ind w:left="3053" w:right="415" w:hanging="567"/>
        <w:jc w:val="both"/>
        <w:rPr>
          <w:sz w:val="24"/>
        </w:rPr>
      </w:pPr>
      <w:r>
        <w:rPr>
          <w:sz w:val="24"/>
        </w:rPr>
        <w:t>any possible restrictions on the availability of the </w:t>
      </w:r>
      <w:r>
        <w:rPr>
          <w:i/>
          <w:sz w:val="24"/>
        </w:rPr>
        <w:t>system </w:t>
      </w:r>
      <w:r>
        <w:rPr>
          <w:i/>
          <w:sz w:val="24"/>
        </w:rPr>
        <w:t>strength</w:t>
      </w:r>
      <w:r>
        <w:rPr>
          <w:i/>
          <w:spacing w:val="-2"/>
          <w:sz w:val="24"/>
        </w:rPr>
        <w:t> </w:t>
      </w:r>
      <w:r>
        <w:rPr>
          <w:i/>
          <w:sz w:val="24"/>
        </w:rPr>
        <w:t>service</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required to make </w:t>
      </w:r>
      <w:r>
        <w:rPr>
          <w:i/>
          <w:sz w:val="24"/>
        </w:rPr>
        <w:t>system strength </w:t>
      </w:r>
      <w:r>
        <w:rPr>
          <w:i/>
          <w:sz w:val="24"/>
        </w:rPr>
        <w:t>services </w:t>
      </w:r>
      <w:r>
        <w:rPr>
          <w:sz w:val="24"/>
        </w:rPr>
        <w:t>available under clause 5.20C.3(b) must prepare and submit to </w:t>
      </w:r>
      <w:r>
        <w:rPr>
          <w:i/>
          <w:sz w:val="24"/>
        </w:rPr>
        <w:t>AEMO </w:t>
      </w:r>
      <w:r>
        <w:rPr>
          <w:sz w:val="24"/>
        </w:rPr>
        <w:t>for approval under paragraph (e) the following details for each </w:t>
      </w:r>
      <w:r>
        <w:rPr>
          <w:i/>
          <w:sz w:val="24"/>
        </w:rPr>
        <w:t>system strength</w:t>
      </w:r>
      <w:r>
        <w:rPr>
          <w:i/>
          <w:spacing w:val="-3"/>
          <w:sz w:val="24"/>
        </w:rPr>
        <w:t> </w:t>
      </w:r>
      <w:r>
        <w:rPr>
          <w:i/>
          <w:sz w:val="24"/>
        </w:rPr>
        <w:t>service</w:t>
      </w:r>
      <w:r>
        <w:rPr>
          <w:sz w:val="24"/>
        </w:rPr>
        <w:t>:</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the technical specification and performance standards for the </w:t>
      </w:r>
      <w:r>
        <w:rPr>
          <w:i/>
          <w:sz w:val="24"/>
        </w:rPr>
        <w:t>system </w:t>
      </w:r>
      <w:r>
        <w:rPr>
          <w:i/>
          <w:sz w:val="24"/>
        </w:rPr>
        <w:t>strength service</w:t>
      </w:r>
      <w:r>
        <w:rPr>
          <w:sz w:val="24"/>
        </w:rPr>
        <w:t>;</w:t>
      </w:r>
      <w:r>
        <w:rPr>
          <w:spacing w:val="-2"/>
          <w:sz w:val="24"/>
        </w:rPr>
        <w:t> </w:t>
      </w:r>
      <w:r>
        <w:rPr>
          <w:sz w:val="24"/>
        </w:rPr>
        <w:t>and</w:t>
      </w:r>
    </w:p>
    <w:p>
      <w:pPr>
        <w:pStyle w:val="ListParagraph"/>
        <w:numPr>
          <w:ilvl w:val="3"/>
          <w:numId w:val="258"/>
        </w:numPr>
        <w:tabs>
          <w:tab w:pos="2486" w:val="left" w:leader="none"/>
        </w:tabs>
        <w:spacing w:line="240" w:lineRule="auto" w:before="120" w:after="0"/>
        <w:ind w:left="2485" w:right="0" w:hanging="567"/>
        <w:jc w:val="both"/>
        <w:rPr>
          <w:i/>
          <w:sz w:val="24"/>
        </w:rPr>
      </w:pPr>
      <w:r>
        <w:rPr>
          <w:sz w:val="24"/>
        </w:rPr>
        <w:t>the</w:t>
      </w:r>
      <w:r>
        <w:rPr>
          <w:spacing w:val="27"/>
          <w:sz w:val="24"/>
        </w:rPr>
        <w:t> </w:t>
      </w:r>
      <w:r>
        <w:rPr>
          <w:sz w:val="24"/>
        </w:rPr>
        <w:t>arrangements</w:t>
      </w:r>
      <w:r>
        <w:rPr>
          <w:spacing w:val="27"/>
          <w:sz w:val="24"/>
        </w:rPr>
        <w:t> </w:t>
      </w:r>
      <w:r>
        <w:rPr>
          <w:sz w:val="24"/>
        </w:rPr>
        <w:t>necessary</w:t>
      </w:r>
      <w:r>
        <w:rPr>
          <w:spacing w:val="28"/>
          <w:sz w:val="24"/>
        </w:rPr>
        <w:t> </w:t>
      </w:r>
      <w:r>
        <w:rPr>
          <w:sz w:val="24"/>
        </w:rPr>
        <w:t>for</w:t>
      </w:r>
      <w:r>
        <w:rPr>
          <w:spacing w:val="27"/>
          <w:sz w:val="24"/>
        </w:rPr>
        <w:t> </w:t>
      </w:r>
      <w:r>
        <w:rPr>
          <w:i/>
          <w:sz w:val="24"/>
        </w:rPr>
        <w:t>AEMO</w:t>
      </w:r>
      <w:r>
        <w:rPr>
          <w:i/>
          <w:spacing w:val="27"/>
          <w:sz w:val="24"/>
        </w:rPr>
        <w:t> </w:t>
      </w:r>
      <w:r>
        <w:rPr>
          <w:sz w:val="24"/>
        </w:rPr>
        <w:t>to</w:t>
      </w:r>
      <w:r>
        <w:rPr>
          <w:spacing w:val="28"/>
          <w:sz w:val="24"/>
        </w:rPr>
        <w:t> </w:t>
      </w:r>
      <w:r>
        <w:rPr>
          <w:sz w:val="24"/>
        </w:rPr>
        <w:t>give</w:t>
      </w:r>
      <w:r>
        <w:rPr>
          <w:spacing w:val="27"/>
          <w:sz w:val="24"/>
        </w:rPr>
        <w:t> </w:t>
      </w:r>
      <w:r>
        <w:rPr>
          <w:sz w:val="24"/>
        </w:rPr>
        <w:t>instructions</w:t>
      </w:r>
      <w:r>
        <w:rPr>
          <w:spacing w:val="27"/>
          <w:sz w:val="24"/>
        </w:rPr>
        <w:t> </w:t>
      </w:r>
      <w:r>
        <w:rPr>
          <w:sz w:val="24"/>
        </w:rPr>
        <w:t>to</w:t>
      </w:r>
      <w:r>
        <w:rPr>
          <w:spacing w:val="27"/>
          <w:sz w:val="24"/>
        </w:rPr>
        <w:t> </w:t>
      </w:r>
      <w:r>
        <w:rPr>
          <w:i/>
          <w:sz w:val="24"/>
        </w:rPr>
        <w:t>enable</w:t>
      </w:r>
    </w:p>
    <w:p>
      <w:pPr>
        <w:spacing w:before="0"/>
        <w:ind w:left="2486" w:right="0" w:firstLine="0"/>
        <w:jc w:val="left"/>
        <w:rPr>
          <w:sz w:val="24"/>
        </w:rPr>
      </w:pPr>
      <w:r>
        <w:rPr>
          <w:sz w:val="24"/>
        </w:rPr>
        <w:t>or cease the provision of the </w:t>
      </w:r>
      <w:r>
        <w:rPr>
          <w:i/>
          <w:sz w:val="24"/>
        </w:rPr>
        <w:t>system strength service </w:t>
      </w:r>
      <w:r>
        <w:rPr>
          <w:sz w:val="24"/>
        </w:rPr>
        <w:t>including:</w:t>
      </w:r>
    </w:p>
    <w:p>
      <w:pPr>
        <w:pStyle w:val="ListParagraph"/>
        <w:numPr>
          <w:ilvl w:val="4"/>
          <w:numId w:val="258"/>
        </w:numPr>
        <w:tabs>
          <w:tab w:pos="3052" w:val="left" w:leader="none"/>
          <w:tab w:pos="3053" w:val="left" w:leader="none"/>
        </w:tabs>
        <w:spacing w:line="240" w:lineRule="auto" w:before="120" w:after="0"/>
        <w:ind w:left="3053" w:right="415" w:hanging="567"/>
        <w:jc w:val="left"/>
        <w:rPr>
          <w:sz w:val="24"/>
        </w:rPr>
      </w:pPr>
      <w:r>
        <w:rPr>
          <w:sz w:val="24"/>
        </w:rPr>
        <w:t>the period of any notice that has to be given to the provider of the </w:t>
      </w:r>
      <w:r>
        <w:rPr>
          <w:i/>
          <w:sz w:val="24"/>
        </w:rPr>
        <w:t>system strength service </w:t>
      </w:r>
      <w:r>
        <w:rPr>
          <w:sz w:val="24"/>
        </w:rPr>
        <w:t>for it to be</w:t>
      </w:r>
      <w:r>
        <w:rPr>
          <w:spacing w:val="-5"/>
          <w:sz w:val="24"/>
        </w:rPr>
        <w:t> </w:t>
      </w:r>
      <w:r>
        <w:rPr>
          <w:i/>
          <w:sz w:val="24"/>
        </w:rPr>
        <w:t>enabled</w:t>
      </w:r>
      <w:r>
        <w:rPr>
          <w:sz w:val="24"/>
        </w:rPr>
        <w:t>;</w:t>
      </w:r>
    </w:p>
    <w:p>
      <w:pPr>
        <w:pStyle w:val="ListParagraph"/>
        <w:numPr>
          <w:ilvl w:val="4"/>
          <w:numId w:val="258"/>
        </w:numPr>
        <w:tabs>
          <w:tab w:pos="3052" w:val="left" w:leader="none"/>
          <w:tab w:pos="3054" w:val="left" w:leader="none"/>
        </w:tabs>
        <w:spacing w:line="240" w:lineRule="auto" w:before="120" w:after="0"/>
        <w:ind w:left="3053" w:right="416" w:hanging="567"/>
        <w:jc w:val="left"/>
        <w:rPr>
          <w:sz w:val="24"/>
        </w:rPr>
      </w:pPr>
      <w:r>
        <w:rPr>
          <w:sz w:val="24"/>
        </w:rPr>
        <w:t>the response time to any instruction for the </w:t>
      </w:r>
      <w:r>
        <w:rPr>
          <w:i/>
          <w:sz w:val="24"/>
        </w:rPr>
        <w:t>system strength </w:t>
      </w:r>
      <w:r>
        <w:rPr>
          <w:i/>
          <w:sz w:val="24"/>
        </w:rPr>
        <w:t>service </w:t>
      </w:r>
      <w:r>
        <w:rPr>
          <w:sz w:val="24"/>
        </w:rPr>
        <w:t>to be </w:t>
      </w:r>
      <w:r>
        <w:rPr>
          <w:i/>
          <w:sz w:val="24"/>
        </w:rPr>
        <w:t>enabled </w:t>
      </w:r>
      <w:r>
        <w:rPr>
          <w:sz w:val="24"/>
        </w:rPr>
        <w:t>or to cease being provided;</w:t>
      </w:r>
      <w:r>
        <w:rPr>
          <w:spacing w:val="-5"/>
          <w:sz w:val="24"/>
        </w:rPr>
        <w:t> </w:t>
      </w:r>
      <w:r>
        <w:rPr>
          <w:sz w:val="24"/>
        </w:rPr>
        <w:t>and</w:t>
      </w:r>
    </w:p>
    <w:p>
      <w:pPr>
        <w:pStyle w:val="ListParagraph"/>
        <w:numPr>
          <w:ilvl w:val="4"/>
          <w:numId w:val="258"/>
        </w:numPr>
        <w:tabs>
          <w:tab w:pos="3052" w:val="left" w:leader="none"/>
          <w:tab w:pos="3053" w:val="left" w:leader="none"/>
        </w:tabs>
        <w:spacing w:line="240" w:lineRule="auto" w:before="120" w:after="0"/>
        <w:ind w:left="3053" w:right="415" w:hanging="567"/>
        <w:jc w:val="left"/>
        <w:rPr>
          <w:sz w:val="24"/>
        </w:rPr>
      </w:pPr>
      <w:r>
        <w:rPr>
          <w:sz w:val="24"/>
        </w:rPr>
        <w:t>communication protocols between it, </w:t>
      </w:r>
      <w:r>
        <w:rPr>
          <w:i/>
          <w:sz w:val="24"/>
        </w:rPr>
        <w:t>AEMO </w:t>
      </w:r>
      <w:r>
        <w:rPr>
          <w:sz w:val="24"/>
        </w:rPr>
        <w:t>and the </w:t>
      </w:r>
      <w:r>
        <w:rPr>
          <w:i/>
          <w:sz w:val="24"/>
        </w:rPr>
        <w:t>Registered </w:t>
      </w:r>
      <w:r>
        <w:rPr>
          <w:i/>
          <w:sz w:val="24"/>
        </w:rPr>
        <w:t>Participants </w:t>
      </w:r>
      <w:r>
        <w:rPr>
          <w:sz w:val="24"/>
        </w:rPr>
        <w:t>that provide </w:t>
      </w:r>
      <w:r>
        <w:rPr>
          <w:i/>
          <w:sz w:val="24"/>
        </w:rPr>
        <w:t>system strength</w:t>
      </w:r>
      <w:r>
        <w:rPr>
          <w:i/>
          <w:spacing w:val="-3"/>
          <w:sz w:val="24"/>
        </w:rPr>
        <w:t> </w:t>
      </w:r>
      <w:r>
        <w:rPr>
          <w:i/>
          <w:sz w:val="24"/>
        </w:rPr>
        <w:t>services</w:t>
      </w:r>
      <w:r>
        <w:rPr>
          <w:sz w:val="24"/>
        </w:rPr>
        <w:t>.</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The technical specification, performance standards and arrangements necessary for </w:t>
      </w:r>
      <w:r>
        <w:rPr>
          <w:i/>
          <w:sz w:val="24"/>
        </w:rPr>
        <w:t>AEMO </w:t>
      </w:r>
      <w:r>
        <w:rPr>
          <w:sz w:val="24"/>
        </w:rPr>
        <w:t>to give the instructions referred to in paragraph (d) and any change to them must be consistent with the </w:t>
      </w:r>
      <w:r>
        <w:rPr>
          <w:i/>
          <w:sz w:val="24"/>
        </w:rPr>
        <w:t>Rules </w:t>
      </w:r>
      <w:r>
        <w:rPr>
          <w:sz w:val="24"/>
        </w:rPr>
        <w:t>and approved by </w:t>
      </w:r>
      <w:r>
        <w:rPr>
          <w:i/>
          <w:sz w:val="24"/>
        </w:rPr>
        <w:t>AEMO</w:t>
      </w:r>
      <w:r>
        <w:rPr>
          <w:sz w:val="24"/>
        </w:rPr>
        <w:t>.</w:t>
      </w:r>
    </w:p>
    <w:p>
      <w:pPr>
        <w:pStyle w:val="ListParagraph"/>
        <w:numPr>
          <w:ilvl w:val="2"/>
          <w:numId w:val="258"/>
        </w:numPr>
        <w:tabs>
          <w:tab w:pos="1920" w:val="left" w:leader="none"/>
        </w:tabs>
        <w:spacing w:line="240" w:lineRule="auto" w:before="120" w:after="0"/>
        <w:ind w:left="1919" w:right="414" w:hanging="567"/>
        <w:jc w:val="both"/>
        <w:rPr>
          <w:sz w:val="24"/>
        </w:rPr>
      </w:pPr>
      <w:r>
        <w:rPr>
          <w:sz w:val="24"/>
        </w:rPr>
        <w:t>A </w:t>
      </w:r>
      <w:r>
        <w:rPr>
          <w:i/>
          <w:sz w:val="24"/>
        </w:rPr>
        <w:t>System Strength Service Provider </w:t>
      </w:r>
      <w:r>
        <w:rPr>
          <w:sz w:val="24"/>
        </w:rPr>
        <w:t>must ensure that </w:t>
      </w:r>
      <w:r>
        <w:rPr>
          <w:i/>
          <w:sz w:val="24"/>
        </w:rPr>
        <w:t>AEMO's </w:t>
      </w:r>
      <w:r>
        <w:rPr>
          <w:sz w:val="24"/>
        </w:rPr>
        <w:t>approval </w:t>
      </w:r>
      <w:r>
        <w:rPr>
          <w:spacing w:val="-6"/>
          <w:sz w:val="24"/>
        </w:rPr>
        <w:t>is </w:t>
      </w:r>
      <w:r>
        <w:rPr>
          <w:sz w:val="24"/>
        </w:rPr>
        <w:t>obtained under paragraph (e) before the </w:t>
      </w:r>
      <w:r>
        <w:rPr>
          <w:i/>
          <w:sz w:val="24"/>
        </w:rPr>
        <w:t>system strength service </w:t>
      </w:r>
      <w:r>
        <w:rPr>
          <w:sz w:val="24"/>
        </w:rPr>
        <w:t>is first made available and in the case of a change, before the change comes into</w:t>
      </w:r>
      <w:r>
        <w:rPr>
          <w:spacing w:val="-4"/>
          <w:sz w:val="24"/>
        </w:rPr>
        <w:t> </w:t>
      </w:r>
      <w:r>
        <w:rPr>
          <w:sz w:val="24"/>
        </w:rPr>
        <w:t>effect.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2"/>
          <w:numId w:val="258"/>
        </w:numPr>
        <w:tabs>
          <w:tab w:pos="1919" w:val="left" w:leader="none"/>
        </w:tabs>
        <w:spacing w:line="240" w:lineRule="auto" w:before="120" w:after="0"/>
        <w:ind w:left="1919" w:right="415" w:hanging="567"/>
        <w:jc w:val="both"/>
        <w:rPr>
          <w:sz w:val="24"/>
        </w:rPr>
      </w:pPr>
      <w:r>
        <w:rPr>
          <w:i/>
          <w:sz w:val="24"/>
        </w:rPr>
        <w:t>AEMO </w:t>
      </w:r>
      <w:r>
        <w:rPr>
          <w:sz w:val="24"/>
        </w:rPr>
        <w:t>must use reasonable endeavours to respond to the </w:t>
      </w:r>
      <w:r>
        <w:rPr>
          <w:i/>
          <w:sz w:val="24"/>
        </w:rPr>
        <w:t>System Strength </w:t>
      </w:r>
      <w:r>
        <w:rPr>
          <w:i/>
          <w:sz w:val="24"/>
        </w:rPr>
        <w:t>Service Provider </w:t>
      </w:r>
      <w:r>
        <w:rPr>
          <w:sz w:val="24"/>
        </w:rPr>
        <w:t>within 20 </w:t>
      </w:r>
      <w:r>
        <w:rPr>
          <w:i/>
          <w:sz w:val="24"/>
        </w:rPr>
        <w:t>business days </w:t>
      </w:r>
      <w:r>
        <w:rPr>
          <w:sz w:val="24"/>
        </w:rPr>
        <w:t>following the receipt of a request for approval under paragraph (e) stating whether it gives its</w:t>
      </w:r>
      <w:r>
        <w:rPr>
          <w:spacing w:val="-7"/>
          <w:sz w:val="24"/>
        </w:rPr>
        <w:t> </w:t>
      </w:r>
      <w:r>
        <w:rPr>
          <w:sz w:val="24"/>
        </w:rPr>
        <w:t>approval.</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does not approve the matters in a request for approval </w:t>
      </w:r>
      <w:r>
        <w:rPr>
          <w:spacing w:val="-3"/>
          <w:sz w:val="24"/>
        </w:rPr>
        <w:t>under </w:t>
      </w:r>
      <w:r>
        <w:rPr>
          <w:sz w:val="24"/>
        </w:rPr>
        <w:t>paragraph (e):</w:t>
      </w:r>
    </w:p>
    <w:p>
      <w:pPr>
        <w:pStyle w:val="ListParagraph"/>
        <w:numPr>
          <w:ilvl w:val="3"/>
          <w:numId w:val="258"/>
        </w:numPr>
        <w:tabs>
          <w:tab w:pos="2486" w:val="left" w:leader="none"/>
        </w:tabs>
        <w:spacing w:line="240" w:lineRule="auto" w:before="120" w:after="0"/>
        <w:ind w:left="2486" w:right="415" w:hanging="567"/>
        <w:jc w:val="both"/>
        <w:rPr>
          <w:sz w:val="24"/>
        </w:rPr>
      </w:pPr>
      <w:r>
        <w:rPr>
          <w:i/>
          <w:sz w:val="24"/>
        </w:rPr>
        <w:t>AEMO </w:t>
      </w:r>
      <w:r>
        <w:rPr>
          <w:sz w:val="24"/>
        </w:rPr>
        <w:t>must tell the </w:t>
      </w:r>
      <w:r>
        <w:rPr>
          <w:i/>
          <w:sz w:val="24"/>
        </w:rPr>
        <w:t>System Strength Service Provider </w:t>
      </w:r>
      <w:r>
        <w:rPr>
          <w:sz w:val="24"/>
        </w:rPr>
        <w:t>its reasons for withholding approval and may advise the </w:t>
      </w:r>
      <w:r>
        <w:rPr>
          <w:i/>
          <w:sz w:val="24"/>
        </w:rPr>
        <w:t>System Strength</w:t>
      </w:r>
      <w:r>
        <w:rPr>
          <w:i/>
          <w:spacing w:val="37"/>
          <w:sz w:val="24"/>
        </w:rPr>
        <w:t> </w:t>
      </w:r>
      <w:r>
        <w:rPr>
          <w:i/>
          <w:sz w:val="24"/>
        </w:rPr>
        <w:t>Service </w:t>
      </w:r>
      <w:r>
        <w:rPr>
          <w:i/>
          <w:sz w:val="24"/>
        </w:rPr>
        <w:t>Provider </w:t>
      </w:r>
      <w:r>
        <w:rPr>
          <w:sz w:val="24"/>
        </w:rPr>
        <w:t>of the changes </w:t>
      </w:r>
      <w:r>
        <w:rPr>
          <w:i/>
          <w:sz w:val="24"/>
        </w:rPr>
        <w:t>AEMO </w:t>
      </w:r>
      <w:r>
        <w:rPr>
          <w:sz w:val="24"/>
        </w:rPr>
        <w:t>requires to be made;</w:t>
      </w:r>
      <w:r>
        <w:rPr>
          <w:spacing w:val="-3"/>
          <w:sz w:val="24"/>
        </w:rPr>
        <w:t> </w:t>
      </w:r>
      <w:r>
        <w:rPr>
          <w:sz w:val="24"/>
        </w:rPr>
        <w:t>and</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the </w:t>
      </w:r>
      <w:r>
        <w:rPr>
          <w:i/>
          <w:sz w:val="24"/>
        </w:rPr>
        <w:t>System Strength Service Provider </w:t>
      </w:r>
      <w:r>
        <w:rPr>
          <w:sz w:val="24"/>
        </w:rPr>
        <w:t>must amend its request to address the matters identified by </w:t>
      </w:r>
      <w:r>
        <w:rPr>
          <w:i/>
          <w:sz w:val="24"/>
        </w:rPr>
        <w:t>AEMO </w:t>
      </w:r>
      <w:r>
        <w:rPr>
          <w:sz w:val="24"/>
        </w:rPr>
        <w:t>and submit to </w:t>
      </w:r>
      <w:r>
        <w:rPr>
          <w:i/>
          <w:sz w:val="24"/>
        </w:rPr>
        <w:t>AEMO </w:t>
      </w:r>
      <w:r>
        <w:rPr>
          <w:sz w:val="24"/>
        </w:rPr>
        <w:t>a new request for</w:t>
      </w:r>
      <w:r>
        <w:rPr>
          <w:spacing w:val="-1"/>
          <w:sz w:val="24"/>
        </w:rPr>
        <w:t> </w:t>
      </w:r>
      <w:r>
        <w:rPr>
          <w:sz w:val="24"/>
        </w:rPr>
        <w:t>approval.</w:t>
      </w:r>
    </w:p>
    <w:p>
      <w:pPr>
        <w:pStyle w:val="BodyText"/>
        <w:spacing w:before="10"/>
        <w:ind w:firstLine="0"/>
        <w:jc w:val="left"/>
        <w:rPr>
          <w:sz w:val="20"/>
        </w:rPr>
      </w:pPr>
    </w:p>
    <w:p>
      <w:pPr>
        <w:pStyle w:val="Heading3"/>
        <w:numPr>
          <w:ilvl w:val="1"/>
          <w:numId w:val="258"/>
        </w:numPr>
        <w:tabs>
          <w:tab w:pos="1351" w:val="left" w:leader="none"/>
          <w:tab w:pos="1353" w:val="left" w:leader="none"/>
        </w:tabs>
        <w:spacing w:line="240" w:lineRule="auto" w:before="0" w:after="0"/>
        <w:ind w:left="1352" w:right="809" w:hanging="1134"/>
        <w:jc w:val="left"/>
      </w:pPr>
      <w:bookmarkStart w:name="5.21 AEMO's obligation to publish inform" w:id="892"/>
      <w:bookmarkEnd w:id="892"/>
      <w:r>
        <w:rPr>
          <w:b w:val="0"/>
        </w:rPr>
      </w:r>
      <w:bookmarkStart w:name="_bookmark339" w:id="893"/>
      <w:bookmarkEnd w:id="893"/>
      <w:r>
        <w:rPr>
          <w:b w:val="0"/>
        </w:rPr>
      </w:r>
      <w:bookmarkStart w:name="_bookmark339" w:id="894"/>
      <w:bookmarkEnd w:id="894"/>
      <w:r>
        <w:rPr/>
        <w:t>AEMO'</w:t>
      </w:r>
      <w:r>
        <w:rPr/>
        <w:t>s obligation to publish information and guidelines and provide</w:t>
      </w:r>
      <w:r>
        <w:rPr>
          <w:spacing w:val="-1"/>
        </w:rPr>
        <w:t> </w:t>
      </w:r>
      <w:r>
        <w:rPr/>
        <w:t>advice</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w:t>
      </w:r>
    </w:p>
    <w:p>
      <w:pPr>
        <w:spacing w:after="0"/>
        <w:jc w:val="left"/>
        <w:rPr>
          <w:sz w:val="20"/>
        </w:rPr>
        <w:sectPr>
          <w:pgSz w:w="11910" w:h="16840"/>
          <w:pgMar w:header="686" w:footer="637" w:top="1320" w:bottom="820" w:left="1200" w:right="1000"/>
        </w:sectPr>
      </w:pPr>
    </w:p>
    <w:p>
      <w:pPr>
        <w:pStyle w:val="ListParagraph"/>
        <w:numPr>
          <w:ilvl w:val="2"/>
          <w:numId w:val="258"/>
        </w:numPr>
        <w:tabs>
          <w:tab w:pos="1919" w:val="left" w:leader="none"/>
        </w:tabs>
        <w:spacing w:line="240" w:lineRule="auto" w:before="83" w:after="0"/>
        <w:ind w:left="1918" w:right="0" w:hanging="567"/>
        <w:jc w:val="both"/>
        <w:rPr>
          <w:sz w:val="24"/>
        </w:rPr>
      </w:pPr>
      <w:r>
        <w:rPr>
          <w:sz w:val="24"/>
        </w:rPr>
        <w:t>In carrying out its </w:t>
      </w:r>
      <w:r>
        <w:rPr>
          <w:i/>
          <w:sz w:val="24"/>
        </w:rPr>
        <w:t>NTP functions</w:t>
      </w:r>
      <w:r>
        <w:rPr>
          <w:sz w:val="24"/>
        </w:rPr>
        <w:t>, </w:t>
      </w:r>
      <w:r>
        <w:rPr>
          <w:i/>
          <w:sz w:val="24"/>
        </w:rPr>
        <w:t>AEMO</w:t>
      </w:r>
      <w:r>
        <w:rPr>
          <w:i/>
          <w:spacing w:val="-1"/>
          <w:sz w:val="24"/>
        </w:rPr>
        <w:t> </w:t>
      </w:r>
      <w:r>
        <w:rPr>
          <w:sz w:val="24"/>
        </w:rPr>
        <w:t>must:</w:t>
      </w:r>
    </w:p>
    <w:p>
      <w:pPr>
        <w:pStyle w:val="ListParagraph"/>
        <w:numPr>
          <w:ilvl w:val="3"/>
          <w:numId w:val="258"/>
        </w:numPr>
        <w:tabs>
          <w:tab w:pos="2486" w:val="left" w:leader="none"/>
        </w:tabs>
        <w:spacing w:line="240" w:lineRule="auto" w:before="120" w:after="0"/>
        <w:ind w:left="2486" w:right="414" w:hanging="567"/>
        <w:jc w:val="both"/>
        <w:rPr>
          <w:sz w:val="24"/>
        </w:rPr>
      </w:pPr>
      <w:r>
        <w:rPr>
          <w:i/>
          <w:sz w:val="24"/>
        </w:rPr>
        <w:t>publish </w:t>
      </w:r>
      <w:r>
        <w:rPr>
          <w:sz w:val="24"/>
        </w:rPr>
        <w:t>an objective set of criteria for assessing whether a proposed </w:t>
      </w:r>
      <w:r>
        <w:rPr>
          <w:i/>
          <w:sz w:val="24"/>
        </w:rPr>
        <w:t>transmission network augmentation </w:t>
      </w:r>
      <w:r>
        <w:rPr>
          <w:sz w:val="24"/>
        </w:rPr>
        <w:t>is reasonably likely to have a </w:t>
      </w:r>
      <w:r>
        <w:rPr>
          <w:i/>
          <w:sz w:val="24"/>
        </w:rPr>
        <w:t>material inter-network impact</w:t>
      </w:r>
      <w:r>
        <w:rPr>
          <w:sz w:val="24"/>
        </w:rPr>
        <w:t>;</w:t>
      </w:r>
      <w:r>
        <w:rPr>
          <w:spacing w:val="-2"/>
          <w:sz w:val="24"/>
        </w:rPr>
        <w:t> </w:t>
      </w:r>
      <w:r>
        <w:rPr>
          <w:sz w:val="24"/>
        </w:rPr>
        <w:t>and</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prepare and </w:t>
      </w:r>
      <w:r>
        <w:rPr>
          <w:i/>
          <w:sz w:val="24"/>
        </w:rPr>
        <w:t>publish augmentation technical reports </w:t>
      </w:r>
      <w:r>
        <w:rPr>
          <w:sz w:val="24"/>
        </w:rPr>
        <w:t>on proposed </w:t>
      </w:r>
      <w:r>
        <w:rPr>
          <w:i/>
          <w:sz w:val="24"/>
        </w:rPr>
        <w:t>transmission network augmentations </w:t>
      </w:r>
      <w:r>
        <w:rPr>
          <w:sz w:val="24"/>
        </w:rPr>
        <w:t>that are reasonably likely to have a </w:t>
      </w:r>
      <w:r>
        <w:rPr>
          <w:i/>
          <w:sz w:val="24"/>
        </w:rPr>
        <w:t>material inter-network impact</w:t>
      </w:r>
      <w:r>
        <w:rPr>
          <w:sz w:val="24"/>
        </w:rPr>
        <w:t>;</w:t>
      </w:r>
      <w:r>
        <w:rPr>
          <w:spacing w:val="-3"/>
          <w:sz w:val="24"/>
        </w:rPr>
        <w:t> </w:t>
      </w:r>
      <w:r>
        <w:rPr>
          <w:sz w:val="24"/>
        </w:rPr>
        <w:t>and</w:t>
      </w:r>
    </w:p>
    <w:p>
      <w:pPr>
        <w:pStyle w:val="ListParagraph"/>
        <w:numPr>
          <w:ilvl w:val="3"/>
          <w:numId w:val="258"/>
        </w:numPr>
        <w:tabs>
          <w:tab w:pos="2486" w:val="left" w:leader="none"/>
        </w:tabs>
        <w:spacing w:line="240" w:lineRule="auto" w:before="120" w:after="0"/>
        <w:ind w:left="2486" w:right="415" w:hanging="567"/>
        <w:jc w:val="both"/>
        <w:rPr>
          <w:sz w:val="24"/>
        </w:rPr>
      </w:pPr>
      <w:r>
        <w:rPr>
          <w:i/>
          <w:sz w:val="24"/>
        </w:rPr>
        <w:t>publish </w:t>
      </w:r>
      <w:r>
        <w:rPr>
          <w:sz w:val="24"/>
        </w:rPr>
        <w:t>guidelines to assist </w:t>
      </w:r>
      <w:r>
        <w:rPr>
          <w:i/>
          <w:sz w:val="24"/>
        </w:rPr>
        <w:t>Registered Participants </w:t>
      </w:r>
      <w:r>
        <w:rPr>
          <w:sz w:val="24"/>
        </w:rPr>
        <w:t>to determine when an </w:t>
      </w:r>
      <w:r>
        <w:rPr>
          <w:i/>
          <w:sz w:val="24"/>
        </w:rPr>
        <w:t>inter-network test </w:t>
      </w:r>
      <w:r>
        <w:rPr>
          <w:sz w:val="24"/>
        </w:rPr>
        <w:t>may be required;</w:t>
      </w:r>
      <w:r>
        <w:rPr>
          <w:spacing w:val="-2"/>
          <w:sz w:val="24"/>
        </w:rPr>
        <w:t> </w:t>
      </w:r>
      <w:r>
        <w:rPr>
          <w:sz w:val="24"/>
        </w:rPr>
        <w:t>and</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provide advice to the </w:t>
      </w:r>
      <w:r>
        <w:rPr>
          <w:i/>
          <w:sz w:val="24"/>
        </w:rPr>
        <w:t>AEMC </w:t>
      </w:r>
      <w:r>
        <w:rPr>
          <w:sz w:val="24"/>
        </w:rPr>
        <w:t>as requested about the exercise of the </w:t>
      </w:r>
      <w:r>
        <w:rPr>
          <w:i/>
          <w:sz w:val="24"/>
        </w:rPr>
        <w:t>last </w:t>
      </w:r>
      <w:r>
        <w:rPr>
          <w:i/>
          <w:sz w:val="24"/>
        </w:rPr>
        <w:t>resort planning</w:t>
      </w:r>
      <w:r>
        <w:rPr>
          <w:i/>
          <w:spacing w:val="-2"/>
          <w:sz w:val="24"/>
        </w:rPr>
        <w:t> </w:t>
      </w:r>
      <w:r>
        <w:rPr>
          <w:i/>
          <w:sz w:val="24"/>
        </w:rPr>
        <w:t>power</w:t>
      </w:r>
      <w:r>
        <w:rPr>
          <w:sz w:val="24"/>
        </w:rPr>
        <w:t>.</w:t>
      </w:r>
    </w:p>
    <w:p>
      <w:pPr>
        <w:pStyle w:val="ListParagraph"/>
        <w:numPr>
          <w:ilvl w:val="2"/>
          <w:numId w:val="258"/>
        </w:numPr>
        <w:tabs>
          <w:tab w:pos="1919" w:val="left" w:leader="none"/>
        </w:tabs>
        <w:spacing w:line="240" w:lineRule="auto" w:before="120" w:after="0"/>
        <w:ind w:left="1919" w:right="414" w:hanging="567"/>
        <w:jc w:val="both"/>
        <w:rPr>
          <w:sz w:val="24"/>
        </w:rPr>
      </w:pPr>
      <w:r>
        <w:rPr>
          <w:i/>
          <w:sz w:val="24"/>
        </w:rPr>
        <w:t>AEMO </w:t>
      </w:r>
      <w:r>
        <w:rPr>
          <w:sz w:val="24"/>
        </w:rPr>
        <w:t>must develop and </w:t>
      </w:r>
      <w:r>
        <w:rPr>
          <w:i/>
          <w:sz w:val="24"/>
        </w:rPr>
        <w:t>publish</w:t>
      </w:r>
      <w:r>
        <w:rPr>
          <w:sz w:val="24"/>
        </w:rPr>
        <w:t>, and may vary from time to time, an objective set of criteria for assessing whether a proposed </w:t>
      </w:r>
      <w:r>
        <w:rPr>
          <w:i/>
          <w:sz w:val="24"/>
        </w:rPr>
        <w:t>transmission </w:t>
      </w:r>
      <w:r>
        <w:rPr>
          <w:i/>
          <w:sz w:val="24"/>
        </w:rPr>
        <w:t>network augmentation </w:t>
      </w:r>
      <w:r>
        <w:rPr>
          <w:sz w:val="24"/>
        </w:rPr>
        <w:t>is reasonably likely to have a </w:t>
      </w:r>
      <w:r>
        <w:rPr>
          <w:i/>
          <w:sz w:val="24"/>
        </w:rPr>
        <w:t>material inter-network </w:t>
      </w:r>
      <w:r>
        <w:rPr>
          <w:i/>
          <w:sz w:val="24"/>
        </w:rPr>
        <w:t>impact</w:t>
      </w:r>
      <w:r>
        <w:rPr>
          <w:sz w:val="24"/>
        </w:rPr>
        <w:t>. In developing (or varying) the objective set of criteria, </w:t>
      </w:r>
      <w:r>
        <w:rPr>
          <w:i/>
          <w:sz w:val="24"/>
        </w:rPr>
        <w:t>AEMO</w:t>
      </w:r>
      <w:r>
        <w:rPr>
          <w:i/>
          <w:spacing w:val="-7"/>
          <w:sz w:val="24"/>
        </w:rPr>
        <w:t> </w:t>
      </w:r>
      <w:r>
        <w:rPr>
          <w:sz w:val="24"/>
        </w:rPr>
        <w:t>must:</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proceed in accordance with the </w:t>
      </w:r>
      <w:r>
        <w:rPr>
          <w:i/>
          <w:sz w:val="24"/>
        </w:rPr>
        <w:t>Rules consultation procedures</w:t>
      </w:r>
      <w:r>
        <w:rPr>
          <w:sz w:val="24"/>
        </w:rPr>
        <w:t>;</w:t>
      </w:r>
      <w:r>
        <w:rPr>
          <w:spacing w:val="-6"/>
          <w:sz w:val="24"/>
        </w:rPr>
        <w:t> </w:t>
      </w:r>
      <w:r>
        <w:rPr>
          <w:sz w:val="24"/>
        </w:rPr>
        <w:t>and</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have regard to:</w:t>
      </w:r>
    </w:p>
    <w:p>
      <w:pPr>
        <w:pStyle w:val="ListParagraph"/>
        <w:numPr>
          <w:ilvl w:val="4"/>
          <w:numId w:val="258"/>
        </w:numPr>
        <w:tabs>
          <w:tab w:pos="3053" w:val="left" w:leader="none"/>
        </w:tabs>
        <w:spacing w:line="240" w:lineRule="auto" w:before="120" w:after="0"/>
        <w:ind w:left="3052" w:right="0" w:hanging="567"/>
        <w:jc w:val="both"/>
        <w:rPr>
          <w:sz w:val="24"/>
        </w:rPr>
      </w:pPr>
      <w:r>
        <w:rPr>
          <w:sz w:val="24"/>
        </w:rPr>
        <w:t>the</w:t>
      </w:r>
      <w:r>
        <w:rPr>
          <w:spacing w:val="37"/>
          <w:sz w:val="24"/>
        </w:rPr>
        <w:t> </w:t>
      </w:r>
      <w:r>
        <w:rPr>
          <w:sz w:val="24"/>
        </w:rPr>
        <w:t>relevant</w:t>
      </w:r>
      <w:r>
        <w:rPr>
          <w:spacing w:val="38"/>
          <w:sz w:val="24"/>
        </w:rPr>
        <w:t> </w:t>
      </w:r>
      <w:r>
        <w:rPr>
          <w:sz w:val="24"/>
        </w:rPr>
        <w:t>guiding</w:t>
      </w:r>
      <w:r>
        <w:rPr>
          <w:spacing w:val="38"/>
          <w:sz w:val="24"/>
        </w:rPr>
        <w:t> </w:t>
      </w:r>
      <w:r>
        <w:rPr>
          <w:sz w:val="24"/>
        </w:rPr>
        <w:t>objectives</w:t>
      </w:r>
      <w:r>
        <w:rPr>
          <w:spacing w:val="38"/>
          <w:sz w:val="24"/>
        </w:rPr>
        <w:t> </w:t>
      </w:r>
      <w:r>
        <w:rPr>
          <w:sz w:val="24"/>
        </w:rPr>
        <w:t>and</w:t>
      </w:r>
      <w:r>
        <w:rPr>
          <w:spacing w:val="37"/>
          <w:sz w:val="24"/>
        </w:rPr>
        <w:t> </w:t>
      </w:r>
      <w:r>
        <w:rPr>
          <w:sz w:val="24"/>
        </w:rPr>
        <w:t>principles</w:t>
      </w:r>
      <w:r>
        <w:rPr>
          <w:spacing w:val="37"/>
          <w:sz w:val="24"/>
        </w:rPr>
        <w:t> </w:t>
      </w:r>
      <w:r>
        <w:rPr>
          <w:sz w:val="24"/>
        </w:rPr>
        <w:t>provided</w:t>
      </w:r>
      <w:r>
        <w:rPr>
          <w:spacing w:val="38"/>
          <w:sz w:val="24"/>
        </w:rPr>
        <w:t> </w:t>
      </w:r>
      <w:r>
        <w:rPr>
          <w:sz w:val="24"/>
        </w:rPr>
        <w:t>by</w:t>
      </w:r>
      <w:r>
        <w:rPr>
          <w:spacing w:val="37"/>
          <w:sz w:val="24"/>
        </w:rPr>
        <w:t> </w:t>
      </w:r>
      <w:r>
        <w:rPr>
          <w:sz w:val="24"/>
        </w:rPr>
        <w:t>the</w:t>
      </w:r>
    </w:p>
    <w:p>
      <w:pPr>
        <w:spacing w:before="0"/>
        <w:ind w:left="3053" w:right="0" w:firstLine="0"/>
        <w:jc w:val="both"/>
        <w:rPr>
          <w:sz w:val="24"/>
        </w:rPr>
      </w:pPr>
      <w:r>
        <w:rPr>
          <w:i/>
          <w:sz w:val="24"/>
        </w:rPr>
        <w:t>AEMC</w:t>
      </w:r>
      <w:r>
        <w:rPr>
          <w:sz w:val="24"/>
        </w:rPr>
        <w:t>; and</w:t>
      </w:r>
    </w:p>
    <w:p>
      <w:pPr>
        <w:pStyle w:val="ListParagraph"/>
        <w:numPr>
          <w:ilvl w:val="4"/>
          <w:numId w:val="258"/>
        </w:numPr>
        <w:tabs>
          <w:tab w:pos="3054" w:val="left" w:leader="none"/>
        </w:tabs>
        <w:spacing w:line="240" w:lineRule="auto" w:before="120" w:after="0"/>
        <w:ind w:left="3053" w:right="0" w:hanging="568"/>
        <w:jc w:val="both"/>
        <w:rPr>
          <w:sz w:val="24"/>
        </w:rPr>
      </w:pPr>
      <w:r>
        <w:rPr>
          <w:sz w:val="24"/>
        </w:rPr>
        <w:t>the advice of </w:t>
      </w:r>
      <w:r>
        <w:rPr>
          <w:i/>
          <w:sz w:val="24"/>
        </w:rPr>
        <w:t>jurisdictional planning</w:t>
      </w:r>
      <w:r>
        <w:rPr>
          <w:i/>
          <w:spacing w:val="-3"/>
          <w:sz w:val="24"/>
        </w:rPr>
        <w:t> </w:t>
      </w:r>
      <w:r>
        <w:rPr>
          <w:i/>
          <w:sz w:val="24"/>
        </w:rPr>
        <w:t>representatives</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must provide </w:t>
      </w:r>
      <w:r>
        <w:rPr>
          <w:i/>
          <w:sz w:val="24"/>
        </w:rPr>
        <w:t>AEMO </w:t>
      </w:r>
      <w:r>
        <w:rPr>
          <w:sz w:val="24"/>
        </w:rPr>
        <w:t>with guiding objectives and principles for the development by </w:t>
      </w:r>
      <w:r>
        <w:rPr>
          <w:i/>
          <w:sz w:val="24"/>
        </w:rPr>
        <w:t>AEMO </w:t>
      </w:r>
      <w:r>
        <w:rPr>
          <w:sz w:val="24"/>
        </w:rPr>
        <w:t>of the objective set of criteria for assessing whether or not a proposed </w:t>
      </w:r>
      <w:r>
        <w:rPr>
          <w:i/>
          <w:sz w:val="24"/>
        </w:rPr>
        <w:t>transmission network augmentation </w:t>
      </w:r>
      <w:r>
        <w:rPr>
          <w:sz w:val="24"/>
        </w:rPr>
        <w:t>is reasonably likely to have a </w:t>
      </w:r>
      <w:r>
        <w:rPr>
          <w:i/>
          <w:sz w:val="24"/>
        </w:rPr>
        <w:t>material inter-network</w:t>
      </w:r>
      <w:r>
        <w:rPr>
          <w:i/>
          <w:spacing w:val="-3"/>
          <w:sz w:val="24"/>
        </w:rPr>
        <w:t> </w:t>
      </w:r>
      <w:r>
        <w:rPr>
          <w:i/>
          <w:sz w:val="24"/>
        </w:rPr>
        <w:t>impact</w:t>
      </w:r>
      <w:r>
        <w:rPr>
          <w:sz w:val="24"/>
        </w:rPr>
        <w:t>.</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receives a written request for an </w:t>
      </w:r>
      <w:r>
        <w:rPr>
          <w:i/>
          <w:sz w:val="24"/>
        </w:rPr>
        <w:t>augmentation technical report </w:t>
      </w:r>
      <w:r>
        <w:rPr>
          <w:sz w:val="24"/>
        </w:rPr>
        <w:t>on a proposed </w:t>
      </w:r>
      <w:r>
        <w:rPr>
          <w:i/>
          <w:sz w:val="24"/>
        </w:rPr>
        <w:t>transmission network augmentation </w:t>
      </w:r>
      <w:r>
        <w:rPr>
          <w:sz w:val="24"/>
        </w:rPr>
        <w:t>that is reasonably likely to have a </w:t>
      </w:r>
      <w:r>
        <w:rPr>
          <w:i/>
          <w:sz w:val="24"/>
        </w:rPr>
        <w:t>material inter-network impact</w:t>
      </w:r>
      <w:r>
        <w:rPr>
          <w:sz w:val="24"/>
        </w:rPr>
        <w:t>, or </w:t>
      </w:r>
      <w:r>
        <w:rPr>
          <w:i/>
          <w:sz w:val="24"/>
        </w:rPr>
        <w:t>AEMO </w:t>
      </w:r>
      <w:r>
        <w:rPr>
          <w:sz w:val="24"/>
        </w:rPr>
        <w:t>decides in the course of exercising its functions under Chapter 8, Part H, that a proposed </w:t>
      </w:r>
      <w:r>
        <w:rPr>
          <w:i/>
          <w:sz w:val="24"/>
        </w:rPr>
        <w:t>transmission network augmentation </w:t>
      </w:r>
      <w:r>
        <w:rPr>
          <w:sz w:val="24"/>
        </w:rPr>
        <w:t>is reasonably likely to have a </w:t>
      </w:r>
      <w:r>
        <w:rPr>
          <w:i/>
          <w:sz w:val="24"/>
        </w:rPr>
        <w:t>material </w:t>
      </w:r>
      <w:r>
        <w:rPr>
          <w:i/>
          <w:sz w:val="24"/>
        </w:rPr>
        <w:t>inter-network impact</w:t>
      </w:r>
      <w:r>
        <w:rPr>
          <w:sz w:val="24"/>
        </w:rPr>
        <w:t>, </w:t>
      </w:r>
      <w:r>
        <w:rPr>
          <w:i/>
          <w:sz w:val="24"/>
        </w:rPr>
        <w:t>AEMO</w:t>
      </w:r>
      <w:r>
        <w:rPr>
          <w:i/>
          <w:spacing w:val="-2"/>
          <w:sz w:val="24"/>
        </w:rPr>
        <w:t> </w:t>
      </w:r>
      <w:r>
        <w:rPr>
          <w:sz w:val="24"/>
        </w:rPr>
        <w:t>must:</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immediately undertake a review of all matters referred to it by the </w:t>
      </w:r>
      <w:r>
        <w:rPr>
          <w:i/>
          <w:sz w:val="24"/>
        </w:rPr>
        <w:t>Transmission Network Service Provider </w:t>
      </w:r>
      <w:r>
        <w:rPr>
          <w:sz w:val="24"/>
        </w:rPr>
        <w:t>in order to assess the proposed </w:t>
      </w:r>
      <w:r>
        <w:rPr>
          <w:i/>
          <w:sz w:val="24"/>
        </w:rPr>
        <w:t>augmentation</w:t>
      </w:r>
      <w:r>
        <w:rPr>
          <w:sz w:val="24"/>
        </w:rPr>
        <w:t>;</w:t>
      </w:r>
      <w:r>
        <w:rPr>
          <w:spacing w:val="-1"/>
          <w:sz w:val="24"/>
        </w:rPr>
        <w:t> </w:t>
      </w:r>
      <w:r>
        <w:rPr>
          <w:sz w:val="24"/>
        </w:rPr>
        <w:t>and</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consult with, and take into account the recommendations of, the </w:t>
      </w:r>
      <w:r>
        <w:rPr>
          <w:i/>
          <w:sz w:val="24"/>
        </w:rPr>
        <w:t>jurisdictional planning representatives </w:t>
      </w:r>
      <w:r>
        <w:rPr>
          <w:sz w:val="24"/>
        </w:rPr>
        <w:t>in relation to the proposed </w:t>
      </w:r>
      <w:r>
        <w:rPr>
          <w:i/>
          <w:sz w:val="24"/>
        </w:rPr>
        <w:t>augmentation</w:t>
      </w:r>
      <w:r>
        <w:rPr>
          <w:sz w:val="24"/>
        </w:rPr>
        <w:t>;</w:t>
      </w:r>
      <w:r>
        <w:rPr>
          <w:spacing w:val="-1"/>
          <w:sz w:val="24"/>
        </w:rPr>
        <w:t> </w:t>
      </w:r>
      <w:r>
        <w:rPr>
          <w:sz w:val="24"/>
        </w:rPr>
        <w:t>and</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make a determination as</w:t>
      </w:r>
      <w:r>
        <w:rPr>
          <w:spacing w:val="-1"/>
          <w:sz w:val="24"/>
        </w:rPr>
        <w:t> </w:t>
      </w:r>
      <w:r>
        <w:rPr>
          <w:sz w:val="24"/>
        </w:rPr>
        <w:t>to:</w:t>
      </w:r>
    </w:p>
    <w:p>
      <w:pPr>
        <w:pStyle w:val="ListParagraph"/>
        <w:numPr>
          <w:ilvl w:val="4"/>
          <w:numId w:val="258"/>
        </w:numPr>
        <w:tabs>
          <w:tab w:pos="3053" w:val="left" w:leader="none"/>
        </w:tabs>
        <w:spacing w:line="240" w:lineRule="auto" w:before="120" w:after="0"/>
        <w:ind w:left="3052" w:right="0" w:hanging="567"/>
        <w:jc w:val="both"/>
        <w:rPr>
          <w:sz w:val="24"/>
        </w:rPr>
      </w:pPr>
      <w:r>
        <w:rPr>
          <w:sz w:val="24"/>
        </w:rPr>
        <w:t>the</w:t>
      </w:r>
      <w:r>
        <w:rPr>
          <w:spacing w:val="30"/>
          <w:sz w:val="24"/>
        </w:rPr>
        <w:t> </w:t>
      </w:r>
      <w:r>
        <w:rPr>
          <w:sz w:val="24"/>
        </w:rPr>
        <w:t>performance</w:t>
      </w:r>
      <w:r>
        <w:rPr>
          <w:spacing w:val="31"/>
          <w:sz w:val="24"/>
        </w:rPr>
        <w:t> </w:t>
      </w:r>
      <w:r>
        <w:rPr>
          <w:sz w:val="24"/>
        </w:rPr>
        <w:t>requirements</w:t>
      </w:r>
      <w:r>
        <w:rPr>
          <w:spacing w:val="30"/>
          <w:sz w:val="24"/>
        </w:rPr>
        <w:t> </w:t>
      </w:r>
      <w:r>
        <w:rPr>
          <w:sz w:val="24"/>
        </w:rPr>
        <w:t>for</w:t>
      </w:r>
      <w:r>
        <w:rPr>
          <w:spacing w:val="31"/>
          <w:sz w:val="24"/>
        </w:rPr>
        <w:t> </w:t>
      </w:r>
      <w:r>
        <w:rPr>
          <w:sz w:val="24"/>
        </w:rPr>
        <w:t>the</w:t>
      </w:r>
      <w:r>
        <w:rPr>
          <w:spacing w:val="30"/>
          <w:sz w:val="24"/>
        </w:rPr>
        <w:t> </w:t>
      </w:r>
      <w:r>
        <w:rPr>
          <w:sz w:val="24"/>
        </w:rPr>
        <w:t>equipment</w:t>
      </w:r>
      <w:r>
        <w:rPr>
          <w:spacing w:val="31"/>
          <w:sz w:val="24"/>
        </w:rPr>
        <w:t> </w:t>
      </w:r>
      <w:r>
        <w:rPr>
          <w:sz w:val="24"/>
        </w:rPr>
        <w:t>to</w:t>
      </w:r>
      <w:r>
        <w:rPr>
          <w:spacing w:val="30"/>
          <w:sz w:val="24"/>
        </w:rPr>
        <w:t> </w:t>
      </w:r>
      <w:r>
        <w:rPr>
          <w:sz w:val="24"/>
        </w:rPr>
        <w:t>be</w:t>
      </w:r>
    </w:p>
    <w:p>
      <w:pPr>
        <w:spacing w:before="0"/>
        <w:ind w:left="3053" w:right="0" w:firstLine="0"/>
        <w:jc w:val="both"/>
        <w:rPr>
          <w:sz w:val="24"/>
        </w:rPr>
      </w:pPr>
      <w:r>
        <w:rPr>
          <w:i/>
          <w:sz w:val="24"/>
        </w:rPr>
        <w:t>connected</w:t>
      </w:r>
      <w:r>
        <w:rPr>
          <w:sz w:val="24"/>
        </w:rPr>
        <w:t>; and</w:t>
      </w:r>
    </w:p>
    <w:p>
      <w:pPr>
        <w:pStyle w:val="ListParagraph"/>
        <w:numPr>
          <w:ilvl w:val="4"/>
          <w:numId w:val="258"/>
        </w:numPr>
        <w:tabs>
          <w:tab w:pos="3054" w:val="left" w:leader="none"/>
        </w:tabs>
        <w:spacing w:line="240" w:lineRule="auto" w:before="120" w:after="0"/>
        <w:ind w:left="3053" w:right="0" w:hanging="568"/>
        <w:jc w:val="both"/>
        <w:rPr>
          <w:sz w:val="24"/>
        </w:rPr>
      </w:pPr>
      <w:r>
        <w:rPr>
          <w:sz w:val="24"/>
        </w:rPr>
        <w:t>the</w:t>
      </w:r>
      <w:r>
        <w:rPr>
          <w:spacing w:val="8"/>
          <w:sz w:val="24"/>
        </w:rPr>
        <w:t> </w:t>
      </w:r>
      <w:r>
        <w:rPr>
          <w:sz w:val="24"/>
        </w:rPr>
        <w:t>extent</w:t>
      </w:r>
      <w:r>
        <w:rPr>
          <w:spacing w:val="9"/>
          <w:sz w:val="24"/>
        </w:rPr>
        <w:t> </w:t>
      </w:r>
      <w:r>
        <w:rPr>
          <w:sz w:val="24"/>
        </w:rPr>
        <w:t>and</w:t>
      </w:r>
      <w:r>
        <w:rPr>
          <w:spacing w:val="9"/>
          <w:sz w:val="24"/>
        </w:rPr>
        <w:t> </w:t>
      </w:r>
      <w:r>
        <w:rPr>
          <w:sz w:val="24"/>
        </w:rPr>
        <w:t>cost</w:t>
      </w:r>
      <w:r>
        <w:rPr>
          <w:spacing w:val="7"/>
          <w:sz w:val="24"/>
        </w:rPr>
        <w:t> </w:t>
      </w:r>
      <w:r>
        <w:rPr>
          <w:sz w:val="24"/>
        </w:rPr>
        <w:t>of</w:t>
      </w:r>
      <w:r>
        <w:rPr>
          <w:spacing w:val="9"/>
          <w:sz w:val="24"/>
        </w:rPr>
        <w:t> </w:t>
      </w:r>
      <w:r>
        <w:rPr>
          <w:i/>
          <w:sz w:val="24"/>
        </w:rPr>
        <w:t>augmentations</w:t>
      </w:r>
      <w:r>
        <w:rPr>
          <w:i/>
          <w:spacing w:val="9"/>
          <w:sz w:val="24"/>
        </w:rPr>
        <w:t> </w:t>
      </w:r>
      <w:r>
        <w:rPr>
          <w:sz w:val="24"/>
        </w:rPr>
        <w:t>and</w:t>
      </w:r>
      <w:r>
        <w:rPr>
          <w:spacing w:val="8"/>
          <w:sz w:val="24"/>
        </w:rPr>
        <w:t> </w:t>
      </w:r>
      <w:r>
        <w:rPr>
          <w:sz w:val="24"/>
        </w:rPr>
        <w:t>changes</w:t>
      </w:r>
      <w:r>
        <w:rPr>
          <w:spacing w:val="9"/>
          <w:sz w:val="24"/>
        </w:rPr>
        <w:t> </w:t>
      </w:r>
      <w:r>
        <w:rPr>
          <w:sz w:val="24"/>
        </w:rPr>
        <w:t>to</w:t>
      </w:r>
      <w:r>
        <w:rPr>
          <w:spacing w:val="9"/>
          <w:sz w:val="24"/>
        </w:rPr>
        <w:t> </w:t>
      </w:r>
      <w:r>
        <w:rPr>
          <w:sz w:val="24"/>
        </w:rPr>
        <w:t>all</w:t>
      </w:r>
      <w:r>
        <w:rPr>
          <w:spacing w:val="8"/>
          <w:sz w:val="24"/>
        </w:rPr>
        <w:t> </w:t>
      </w:r>
      <w:r>
        <w:rPr>
          <w:sz w:val="24"/>
        </w:rPr>
        <w:t>affected</w:t>
      </w:r>
    </w:p>
    <w:p>
      <w:pPr>
        <w:spacing w:before="0"/>
        <w:ind w:left="3053" w:right="0" w:firstLine="0"/>
        <w:jc w:val="both"/>
        <w:rPr>
          <w:sz w:val="24"/>
        </w:rPr>
      </w:pPr>
      <w:r>
        <w:rPr>
          <w:i/>
          <w:sz w:val="24"/>
        </w:rPr>
        <w:t>transmission networks</w:t>
      </w:r>
      <w:r>
        <w:rPr>
          <w:sz w:val="24"/>
        </w:rPr>
        <w:t>; and</w:t>
      </w:r>
    </w:p>
    <w:p>
      <w:pPr>
        <w:spacing w:after="0"/>
        <w:jc w:val="both"/>
        <w:rPr>
          <w:sz w:val="24"/>
        </w:rPr>
        <w:sectPr>
          <w:pgSz w:w="11910" w:h="16840"/>
          <w:pgMar w:header="686" w:footer="637" w:top="1320" w:bottom="820" w:left="1200" w:right="1000"/>
        </w:sectPr>
      </w:pPr>
    </w:p>
    <w:p>
      <w:pPr>
        <w:pStyle w:val="ListParagraph"/>
        <w:numPr>
          <w:ilvl w:val="4"/>
          <w:numId w:val="258"/>
        </w:numPr>
        <w:tabs>
          <w:tab w:pos="3053" w:val="left" w:leader="none"/>
        </w:tabs>
        <w:spacing w:line="240" w:lineRule="auto" w:before="83" w:after="0"/>
        <w:ind w:left="3053" w:right="415" w:hanging="567"/>
        <w:jc w:val="both"/>
        <w:rPr>
          <w:sz w:val="24"/>
        </w:rPr>
      </w:pPr>
      <w:r>
        <w:rPr>
          <w:sz w:val="24"/>
        </w:rPr>
        <w:t>the possible material effect of the new </w:t>
      </w:r>
      <w:r>
        <w:rPr>
          <w:i/>
          <w:sz w:val="24"/>
        </w:rPr>
        <w:t>connection </w:t>
      </w:r>
      <w:r>
        <w:rPr>
          <w:sz w:val="24"/>
        </w:rPr>
        <w:t>on </w:t>
      </w:r>
      <w:r>
        <w:rPr>
          <w:spacing w:val="-5"/>
          <w:sz w:val="24"/>
        </w:rPr>
        <w:t>the </w:t>
      </w:r>
      <w:r>
        <w:rPr>
          <w:i/>
          <w:sz w:val="24"/>
        </w:rPr>
        <w:t>network power transfer capability </w:t>
      </w:r>
      <w:r>
        <w:rPr>
          <w:sz w:val="24"/>
        </w:rPr>
        <w:t>including that of other </w:t>
      </w:r>
      <w:r>
        <w:rPr>
          <w:i/>
          <w:sz w:val="24"/>
        </w:rPr>
        <w:t>transmission networks</w:t>
      </w:r>
      <w:r>
        <w:rPr>
          <w:sz w:val="24"/>
        </w:rPr>
        <w:t>; and</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within 90 </w:t>
      </w:r>
      <w:r>
        <w:rPr>
          <w:i/>
          <w:sz w:val="24"/>
        </w:rPr>
        <w:t>business days </w:t>
      </w:r>
      <w:r>
        <w:rPr>
          <w:sz w:val="24"/>
        </w:rPr>
        <w:t>of the date of the request or decision (or some other period agreed between the </w:t>
      </w:r>
      <w:r>
        <w:rPr>
          <w:i/>
          <w:sz w:val="24"/>
        </w:rPr>
        <w:t>Transmission Network Service </w:t>
      </w:r>
      <w:r>
        <w:rPr>
          <w:i/>
          <w:sz w:val="24"/>
        </w:rPr>
        <w:t>Provider </w:t>
      </w:r>
      <w:r>
        <w:rPr>
          <w:sz w:val="24"/>
        </w:rPr>
        <w:t>and </w:t>
      </w:r>
      <w:r>
        <w:rPr>
          <w:i/>
          <w:sz w:val="24"/>
        </w:rPr>
        <w:t>AEMO</w:t>
      </w:r>
      <w:r>
        <w:rPr>
          <w:sz w:val="24"/>
        </w:rPr>
        <w:t>), </w:t>
      </w:r>
      <w:r>
        <w:rPr>
          <w:i/>
          <w:sz w:val="24"/>
        </w:rPr>
        <w:t>AEMO </w:t>
      </w:r>
      <w:r>
        <w:rPr>
          <w:sz w:val="24"/>
        </w:rPr>
        <w:t>must </w:t>
      </w:r>
      <w:r>
        <w:rPr>
          <w:i/>
          <w:sz w:val="24"/>
        </w:rPr>
        <w:t>publish </w:t>
      </w:r>
      <w:r>
        <w:rPr>
          <w:sz w:val="24"/>
        </w:rPr>
        <w:t>an </w:t>
      </w:r>
      <w:r>
        <w:rPr>
          <w:i/>
          <w:sz w:val="24"/>
        </w:rPr>
        <w:t>augmentation technical </w:t>
      </w:r>
      <w:r>
        <w:rPr>
          <w:i/>
          <w:sz w:val="24"/>
        </w:rPr>
        <w:t>report </w:t>
      </w:r>
      <w:r>
        <w:rPr>
          <w:sz w:val="24"/>
        </w:rPr>
        <w:t>that sets</w:t>
      </w:r>
      <w:r>
        <w:rPr>
          <w:spacing w:val="-2"/>
          <w:sz w:val="24"/>
        </w:rPr>
        <w:t> </w:t>
      </w:r>
      <w:r>
        <w:rPr>
          <w:sz w:val="24"/>
        </w:rPr>
        <w:t>out:</w:t>
      </w:r>
    </w:p>
    <w:p>
      <w:pPr>
        <w:pStyle w:val="ListParagraph"/>
        <w:numPr>
          <w:ilvl w:val="4"/>
          <w:numId w:val="258"/>
        </w:numPr>
        <w:tabs>
          <w:tab w:pos="3053" w:val="left" w:leader="none"/>
        </w:tabs>
        <w:spacing w:line="240" w:lineRule="auto" w:before="120" w:after="0"/>
        <w:ind w:left="3052" w:right="0" w:hanging="567"/>
        <w:jc w:val="both"/>
        <w:rPr>
          <w:sz w:val="24"/>
        </w:rPr>
      </w:pPr>
      <w:r>
        <w:rPr>
          <w:i/>
          <w:sz w:val="24"/>
        </w:rPr>
        <w:t>AEMO's </w:t>
      </w:r>
      <w:r>
        <w:rPr>
          <w:sz w:val="24"/>
        </w:rPr>
        <w:t>determination;</w:t>
      </w:r>
      <w:r>
        <w:rPr>
          <w:spacing w:val="-1"/>
          <w:sz w:val="24"/>
        </w:rPr>
        <w:t> </w:t>
      </w:r>
      <w:r>
        <w:rPr>
          <w:sz w:val="24"/>
        </w:rPr>
        <w:t>and</w:t>
      </w:r>
    </w:p>
    <w:p>
      <w:pPr>
        <w:pStyle w:val="ListParagraph"/>
        <w:numPr>
          <w:ilvl w:val="4"/>
          <w:numId w:val="258"/>
        </w:numPr>
        <w:tabs>
          <w:tab w:pos="3054" w:val="left" w:leader="none"/>
        </w:tabs>
        <w:spacing w:line="240" w:lineRule="auto" w:before="120" w:after="0"/>
        <w:ind w:left="3053" w:right="415" w:hanging="567"/>
        <w:jc w:val="both"/>
        <w:rPr>
          <w:sz w:val="24"/>
        </w:rPr>
      </w:pPr>
      <w:r>
        <w:rPr>
          <w:sz w:val="24"/>
        </w:rPr>
        <w:t>the reasons for the determination (including a statement of any information and assumptions on which the determination is based).</w:t>
      </w:r>
    </w:p>
    <w:p>
      <w:pPr>
        <w:spacing w:before="120"/>
        <w:ind w:left="2486" w:right="414" w:firstLine="0"/>
        <w:jc w:val="both"/>
        <w:rPr>
          <w:sz w:val="24"/>
        </w:rPr>
      </w:pPr>
      <w:r>
        <w:rPr>
          <w:sz w:val="24"/>
        </w:rPr>
        <w:t>A request for an </w:t>
      </w:r>
      <w:r>
        <w:rPr>
          <w:i/>
          <w:sz w:val="24"/>
        </w:rPr>
        <w:t>augmentation technical report </w:t>
      </w:r>
      <w:r>
        <w:rPr>
          <w:sz w:val="24"/>
        </w:rPr>
        <w:t>on a proposed </w:t>
      </w:r>
      <w:r>
        <w:rPr>
          <w:i/>
          <w:sz w:val="24"/>
        </w:rPr>
        <w:t>transmission network augmentation </w:t>
      </w:r>
      <w:r>
        <w:rPr>
          <w:sz w:val="24"/>
        </w:rPr>
        <w:t>must be accompanied </w:t>
      </w:r>
      <w:r>
        <w:rPr>
          <w:spacing w:val="-6"/>
          <w:sz w:val="24"/>
        </w:rPr>
        <w:t>by </w:t>
      </w:r>
      <w:r>
        <w:rPr>
          <w:sz w:val="24"/>
        </w:rPr>
        <w:t>sufficient information to enable </w:t>
      </w:r>
      <w:r>
        <w:rPr>
          <w:i/>
          <w:sz w:val="24"/>
        </w:rPr>
        <w:t>AEMO </w:t>
      </w:r>
      <w:r>
        <w:rPr>
          <w:sz w:val="24"/>
        </w:rPr>
        <w:t>to make a proper assessment of the proposed </w:t>
      </w:r>
      <w:r>
        <w:rPr>
          <w:i/>
          <w:sz w:val="24"/>
        </w:rPr>
        <w:t>augmentation </w:t>
      </w:r>
      <w:r>
        <w:rPr>
          <w:sz w:val="24"/>
        </w:rPr>
        <w:t>and </w:t>
      </w:r>
      <w:r>
        <w:rPr>
          <w:i/>
          <w:sz w:val="24"/>
        </w:rPr>
        <w:t>AEMO's </w:t>
      </w:r>
      <w:r>
        <w:rPr>
          <w:sz w:val="24"/>
        </w:rPr>
        <w:t>reasonable fees covering the direct costs and expenses of preparing the</w:t>
      </w:r>
      <w:r>
        <w:rPr>
          <w:spacing w:val="-1"/>
          <w:sz w:val="24"/>
        </w:rPr>
        <w:t> </w:t>
      </w:r>
      <w:r>
        <w:rPr>
          <w:sz w:val="24"/>
        </w:rPr>
        <w:t>report.</w:t>
      </w:r>
    </w:p>
    <w:p>
      <w:pPr>
        <w:pStyle w:val="ListParagraph"/>
        <w:numPr>
          <w:ilvl w:val="2"/>
          <w:numId w:val="258"/>
        </w:numPr>
        <w:tabs>
          <w:tab w:pos="1919" w:val="left" w:leader="none"/>
        </w:tabs>
        <w:spacing w:line="240" w:lineRule="auto" w:before="120" w:after="0"/>
        <w:ind w:left="1919" w:right="415" w:hanging="567"/>
        <w:jc w:val="both"/>
        <w:rPr>
          <w:sz w:val="24"/>
        </w:rPr>
      </w:pPr>
      <w:r>
        <w:rPr>
          <w:i/>
          <w:sz w:val="24"/>
        </w:rPr>
        <w:t>AEMO </w:t>
      </w:r>
      <w:r>
        <w:rPr>
          <w:sz w:val="24"/>
        </w:rPr>
        <w:t>may, for the purpose of preparing an </w:t>
      </w:r>
      <w:r>
        <w:rPr>
          <w:i/>
          <w:sz w:val="24"/>
        </w:rPr>
        <w:t>augmentation technical report</w:t>
      </w:r>
      <w:r>
        <w:rPr>
          <w:sz w:val="24"/>
        </w:rPr>
        <w:t>, by written notice request a </w:t>
      </w:r>
      <w:r>
        <w:rPr>
          <w:i/>
          <w:sz w:val="24"/>
        </w:rPr>
        <w:t>Transmission Network Service Provider </w:t>
      </w:r>
      <w:r>
        <w:rPr>
          <w:sz w:val="24"/>
        </w:rPr>
        <w:t>to provide </w:t>
      </w:r>
      <w:r>
        <w:rPr>
          <w:i/>
          <w:sz w:val="24"/>
        </w:rPr>
        <w:t>AEMO </w:t>
      </w:r>
      <w:r>
        <w:rPr>
          <w:sz w:val="24"/>
        </w:rPr>
        <w:t>with additional information reasonably available to it and the </w:t>
      </w:r>
      <w:r>
        <w:rPr>
          <w:i/>
          <w:sz w:val="24"/>
        </w:rPr>
        <w:t>Transmission Network Service Provider </w:t>
      </w:r>
      <w:r>
        <w:rPr>
          <w:sz w:val="24"/>
        </w:rPr>
        <w:t>must comply with the</w:t>
      </w:r>
      <w:r>
        <w:rPr>
          <w:spacing w:val="-12"/>
          <w:sz w:val="24"/>
        </w:rPr>
        <w:t> </w:t>
      </w:r>
      <w:r>
        <w:rPr>
          <w:sz w:val="24"/>
        </w:rPr>
        <w:t>request.</w:t>
      </w:r>
    </w:p>
    <w:p>
      <w:pPr>
        <w:pStyle w:val="ListParagraph"/>
        <w:numPr>
          <w:ilvl w:val="2"/>
          <w:numId w:val="258"/>
        </w:numPr>
        <w:tabs>
          <w:tab w:pos="1920" w:val="left" w:leader="none"/>
        </w:tabs>
        <w:spacing w:line="240" w:lineRule="auto" w:before="120" w:after="0"/>
        <w:ind w:left="1919" w:right="415" w:hanging="567"/>
        <w:jc w:val="both"/>
        <w:rPr>
          <w:sz w:val="24"/>
        </w:rPr>
      </w:pPr>
      <w:r>
        <w:rPr>
          <w:sz w:val="24"/>
        </w:rPr>
        <w:t>The period for </w:t>
      </w:r>
      <w:r>
        <w:rPr>
          <w:i/>
          <w:sz w:val="24"/>
        </w:rPr>
        <w:t>AEMO </w:t>
      </w:r>
      <w:r>
        <w:rPr>
          <w:sz w:val="24"/>
        </w:rPr>
        <w:t>to </w:t>
      </w:r>
      <w:r>
        <w:rPr>
          <w:i/>
          <w:sz w:val="24"/>
        </w:rPr>
        <w:t>publish </w:t>
      </w:r>
      <w:r>
        <w:rPr>
          <w:sz w:val="24"/>
        </w:rPr>
        <w:t>an </w:t>
      </w:r>
      <w:r>
        <w:rPr>
          <w:i/>
          <w:sz w:val="24"/>
        </w:rPr>
        <w:t>augmentation technical report </w:t>
      </w:r>
      <w:r>
        <w:rPr>
          <w:sz w:val="24"/>
        </w:rPr>
        <w:t>will be automatically extended by the time taken by the </w:t>
      </w:r>
      <w:r>
        <w:rPr>
          <w:i/>
          <w:sz w:val="24"/>
        </w:rPr>
        <w:t>Transmission Network </w:t>
      </w:r>
      <w:r>
        <w:rPr>
          <w:i/>
          <w:sz w:val="24"/>
        </w:rPr>
        <w:t>Service Provider </w:t>
      </w:r>
      <w:r>
        <w:rPr>
          <w:sz w:val="24"/>
        </w:rPr>
        <w:t>to provide additional information requested by</w:t>
      </w:r>
      <w:r>
        <w:rPr>
          <w:spacing w:val="-4"/>
          <w:sz w:val="24"/>
        </w:rPr>
        <w:t> </w:t>
      </w:r>
      <w:r>
        <w:rPr>
          <w:i/>
          <w:sz w:val="24"/>
        </w:rPr>
        <w:t>AEMO</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If the objective set of criteria developed and published under paragraph (b) is changed after a project assessment draft report has been made available to </w:t>
      </w:r>
      <w:r>
        <w:rPr>
          <w:i/>
          <w:sz w:val="24"/>
        </w:rPr>
        <w:t>Registered Participants </w:t>
      </w:r>
      <w:r>
        <w:rPr>
          <w:sz w:val="24"/>
        </w:rPr>
        <w:t>and </w:t>
      </w:r>
      <w:r>
        <w:rPr>
          <w:i/>
          <w:sz w:val="24"/>
        </w:rPr>
        <w:t>AEMO</w:t>
      </w:r>
      <w:r>
        <w:rPr>
          <w:sz w:val="24"/>
        </w:rPr>
        <w:t>, the relevant </w:t>
      </w:r>
      <w:r>
        <w:rPr>
          <w:i/>
          <w:sz w:val="24"/>
        </w:rPr>
        <w:t>Transmission Network </w:t>
      </w:r>
      <w:r>
        <w:rPr>
          <w:i/>
          <w:sz w:val="24"/>
        </w:rPr>
        <w:t>Service Provider </w:t>
      </w:r>
      <w:r>
        <w:rPr>
          <w:sz w:val="24"/>
        </w:rPr>
        <w:t>is entitled to choose whether the new criteria, or the criteria that existed when the project assessment draft report was</w:t>
      </w:r>
      <w:r>
        <w:rPr>
          <w:spacing w:val="25"/>
          <w:sz w:val="24"/>
        </w:rPr>
        <w:t> </w:t>
      </w:r>
      <w:r>
        <w:rPr>
          <w:sz w:val="24"/>
        </w:rPr>
        <w:t>made available to </w:t>
      </w:r>
      <w:r>
        <w:rPr>
          <w:i/>
          <w:sz w:val="24"/>
        </w:rPr>
        <w:t>Registered Participants </w:t>
      </w:r>
      <w:r>
        <w:rPr>
          <w:sz w:val="24"/>
        </w:rPr>
        <w:t>and </w:t>
      </w:r>
      <w:r>
        <w:rPr>
          <w:i/>
          <w:sz w:val="24"/>
        </w:rPr>
        <w:t>AEMO</w:t>
      </w:r>
      <w:r>
        <w:rPr>
          <w:sz w:val="24"/>
        </w:rPr>
        <w:t>, are to be</w:t>
      </w:r>
      <w:r>
        <w:rPr>
          <w:spacing w:val="-3"/>
          <w:sz w:val="24"/>
        </w:rPr>
        <w:t> </w:t>
      </w:r>
      <w:r>
        <w:rPr>
          <w:sz w:val="24"/>
        </w:rPr>
        <w:t>applied.</w:t>
      </w:r>
    </w:p>
    <w:p>
      <w:pPr>
        <w:pStyle w:val="BodyText"/>
        <w:spacing w:before="10"/>
        <w:ind w:firstLine="0"/>
        <w:jc w:val="left"/>
        <w:rPr>
          <w:sz w:val="20"/>
        </w:rPr>
      </w:pPr>
    </w:p>
    <w:p>
      <w:pPr>
        <w:pStyle w:val="Heading3"/>
        <w:numPr>
          <w:ilvl w:val="1"/>
          <w:numId w:val="258"/>
        </w:numPr>
        <w:tabs>
          <w:tab w:pos="1351" w:val="left" w:leader="none"/>
          <w:tab w:pos="1353" w:val="left" w:leader="none"/>
        </w:tabs>
        <w:spacing w:line="240" w:lineRule="auto" w:before="0" w:after="0"/>
        <w:ind w:left="1352" w:right="0" w:hanging="1135"/>
        <w:jc w:val="left"/>
      </w:pPr>
      <w:bookmarkStart w:name="5.22 Last resort planning power" w:id="895"/>
      <w:bookmarkEnd w:id="895"/>
      <w:r>
        <w:rPr>
          <w:b w:val="0"/>
        </w:rPr>
      </w:r>
      <w:bookmarkStart w:name="_bookmark340" w:id="896"/>
      <w:bookmarkEnd w:id="896"/>
      <w:r>
        <w:rPr>
          <w:b w:val="0"/>
        </w:rPr>
      </w:r>
      <w:bookmarkStart w:name="_bookmark340" w:id="897"/>
      <w:bookmarkEnd w:id="897"/>
      <w:r>
        <w:rPr/>
        <w:t>L</w:t>
      </w:r>
      <w:r>
        <w:rPr/>
        <w:t>ast resort planning</w:t>
      </w:r>
      <w:r>
        <w:rPr>
          <w:spacing w:val="-3"/>
        </w:rPr>
        <w:t> </w:t>
      </w:r>
      <w:r>
        <w:rPr/>
        <w:t>power</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rule has no effect in this jurisdiction (see regulation 5A of the </w:t>
      </w:r>
      <w:r>
        <w:rPr>
          <w:i/>
          <w:sz w:val="20"/>
        </w:rPr>
        <w:t>National Electricity (Northern </w:t>
      </w:r>
      <w:r>
        <w:rPr>
          <w:i/>
          <w:sz w:val="20"/>
        </w:rPr>
        <w:t>Territory) (National Uniform Legislation) (Modification) Regulations 2016</w:t>
      </w:r>
      <w:r>
        <w:rPr>
          <w:sz w:val="20"/>
        </w:rPr>
        <w:t>).</w:t>
      </w:r>
    </w:p>
    <w:p>
      <w:pPr>
        <w:pStyle w:val="ListParagraph"/>
        <w:numPr>
          <w:ilvl w:val="2"/>
          <w:numId w:val="258"/>
        </w:numPr>
        <w:tabs>
          <w:tab w:pos="1919" w:val="left" w:leader="none"/>
        </w:tabs>
        <w:spacing w:line="240" w:lineRule="auto" w:before="120" w:after="0"/>
        <w:ind w:left="1918" w:right="0" w:hanging="567"/>
        <w:jc w:val="both"/>
        <w:rPr>
          <w:sz w:val="24"/>
        </w:rPr>
      </w:pPr>
      <w:r>
        <w:rPr>
          <w:sz w:val="24"/>
        </w:rPr>
        <w:t>In this rule</w:t>
      </w:r>
      <w:r>
        <w:rPr>
          <w:spacing w:val="-1"/>
          <w:sz w:val="24"/>
        </w:rPr>
        <w:t> </w:t>
      </w:r>
      <w:r>
        <w:rPr>
          <w:sz w:val="24"/>
        </w:rPr>
        <w:t>5.22:</w:t>
      </w:r>
    </w:p>
    <w:p>
      <w:pPr>
        <w:spacing w:before="120"/>
        <w:ind w:left="1919" w:right="0" w:firstLine="0"/>
        <w:jc w:val="both"/>
        <w:rPr>
          <w:sz w:val="24"/>
        </w:rPr>
      </w:pPr>
      <w:r>
        <w:rPr>
          <w:b/>
          <w:sz w:val="24"/>
        </w:rPr>
        <w:t>directed party </w:t>
      </w:r>
      <w:r>
        <w:rPr>
          <w:sz w:val="24"/>
        </w:rPr>
        <w:t>means one or more </w:t>
      </w:r>
      <w:r>
        <w:rPr>
          <w:i/>
          <w:sz w:val="24"/>
        </w:rPr>
        <w:t>Registered Participants </w:t>
      </w:r>
      <w:r>
        <w:rPr>
          <w:sz w:val="24"/>
        </w:rPr>
        <w:t>directed by the</w:t>
      </w:r>
    </w:p>
    <w:p>
      <w:pPr>
        <w:pStyle w:val="BodyText"/>
        <w:spacing w:before="0"/>
        <w:ind w:left="1919" w:firstLine="0"/>
      </w:pPr>
      <w:r>
        <w:rPr>
          <w:i/>
        </w:rPr>
        <w:t>AEMC </w:t>
      </w:r>
      <w:r>
        <w:rPr/>
        <w:t>in accordance with this rule 5.22 and may include:</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a single </w:t>
      </w:r>
      <w:r>
        <w:rPr>
          <w:i/>
          <w:sz w:val="24"/>
        </w:rPr>
        <w:t>Registered</w:t>
      </w:r>
      <w:r>
        <w:rPr>
          <w:i/>
          <w:spacing w:val="-2"/>
          <w:sz w:val="24"/>
        </w:rPr>
        <w:t> </w:t>
      </w:r>
      <w:r>
        <w:rPr>
          <w:i/>
          <w:sz w:val="24"/>
        </w:rPr>
        <w:t>Participant</w:t>
      </w:r>
      <w:r>
        <w:rPr>
          <w:sz w:val="24"/>
        </w:rPr>
        <w:t>;</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two or more </w:t>
      </w:r>
      <w:r>
        <w:rPr>
          <w:i/>
          <w:sz w:val="24"/>
        </w:rPr>
        <w:t>Registered Participants </w:t>
      </w:r>
      <w:r>
        <w:rPr>
          <w:sz w:val="24"/>
        </w:rPr>
        <w:t>who are directed by the </w:t>
      </w:r>
      <w:r>
        <w:rPr>
          <w:i/>
          <w:sz w:val="24"/>
        </w:rPr>
        <w:t>AEMC </w:t>
      </w:r>
      <w:r>
        <w:rPr>
          <w:spacing w:val="-6"/>
          <w:sz w:val="24"/>
        </w:rPr>
        <w:t>to </w:t>
      </w:r>
      <w:r>
        <w:rPr>
          <w:sz w:val="24"/>
        </w:rPr>
        <w:t>jointly and co-operatively comply with a direction under paragraph (c).</w:t>
      </w:r>
    </w:p>
    <w:p>
      <w:pPr>
        <w:spacing w:before="120"/>
        <w:ind w:left="1919" w:right="0" w:firstLine="0"/>
        <w:jc w:val="both"/>
        <w:rPr>
          <w:sz w:val="24"/>
        </w:rPr>
      </w:pPr>
      <w:r>
        <w:rPr>
          <w:b/>
          <w:sz w:val="24"/>
        </w:rPr>
        <w:t>direction notice </w:t>
      </w:r>
      <w:r>
        <w:rPr>
          <w:sz w:val="24"/>
        </w:rPr>
        <w:t>is a notice issued under paragraph (i).</w:t>
      </w:r>
    </w:p>
    <w:p>
      <w:pPr>
        <w:spacing w:after="0"/>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Purpose</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The purpose of a </w:t>
      </w:r>
      <w:r>
        <w:rPr>
          <w:i/>
          <w:sz w:val="24"/>
        </w:rPr>
        <w:t>last resort planning power </w:t>
      </w:r>
      <w:r>
        <w:rPr>
          <w:sz w:val="24"/>
        </w:rPr>
        <w:t>is to ensure timely and efficient </w:t>
      </w:r>
      <w:r>
        <w:rPr>
          <w:i/>
          <w:sz w:val="24"/>
        </w:rPr>
        <w:t>inter-regional transmission </w:t>
      </w:r>
      <w:r>
        <w:rPr>
          <w:sz w:val="24"/>
        </w:rPr>
        <w:t>investment for the long term interests </w:t>
      </w:r>
      <w:r>
        <w:rPr>
          <w:spacing w:val="-6"/>
          <w:sz w:val="24"/>
        </w:rPr>
        <w:t>of </w:t>
      </w:r>
      <w:r>
        <w:rPr>
          <w:sz w:val="24"/>
        </w:rPr>
        <w:t>consumers of</w:t>
      </w:r>
      <w:r>
        <w:rPr>
          <w:spacing w:val="-1"/>
          <w:sz w:val="24"/>
        </w:rPr>
        <w:t> </w:t>
      </w:r>
      <w:r>
        <w:rPr>
          <w:sz w:val="24"/>
        </w:rPr>
        <w:t>electricity.</w:t>
      </w:r>
    </w:p>
    <w:p>
      <w:pPr>
        <w:spacing w:before="220"/>
        <w:ind w:left="1356" w:right="0" w:firstLine="0"/>
        <w:jc w:val="left"/>
        <w:rPr>
          <w:rFonts w:ascii="Arial"/>
          <w:b/>
          <w:sz w:val="22"/>
        </w:rPr>
      </w:pPr>
      <w:r>
        <w:rPr>
          <w:rFonts w:ascii="Arial"/>
          <w:b/>
          <w:sz w:val="22"/>
        </w:rPr>
        <w:t>AEMC last resort planning power</w:t>
      </w:r>
    </w:p>
    <w:p>
      <w:pPr>
        <w:pStyle w:val="ListParagraph"/>
        <w:numPr>
          <w:ilvl w:val="2"/>
          <w:numId w:val="258"/>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AEMC </w:t>
      </w:r>
      <w:r>
        <w:rPr>
          <w:sz w:val="24"/>
        </w:rPr>
        <w:t>may, in accordance with this rule 5.22, direct one or</w:t>
      </w:r>
      <w:r>
        <w:rPr>
          <w:spacing w:val="3"/>
          <w:sz w:val="24"/>
        </w:rPr>
        <w:t> </w:t>
      </w:r>
      <w:r>
        <w:rPr>
          <w:sz w:val="24"/>
        </w:rPr>
        <w:t>more</w:t>
      </w:r>
    </w:p>
    <w:p>
      <w:pPr>
        <w:spacing w:before="0"/>
        <w:ind w:left="1919" w:right="0" w:firstLine="0"/>
        <w:jc w:val="left"/>
        <w:rPr>
          <w:sz w:val="24"/>
        </w:rPr>
      </w:pPr>
      <w:r>
        <w:rPr>
          <w:i/>
          <w:sz w:val="24"/>
        </w:rPr>
        <w:t>Registered Participants</w:t>
      </w:r>
      <w:r>
        <w:rPr>
          <w:sz w:val="24"/>
        </w:rPr>
        <w:t>:</w:t>
      </w:r>
    </w:p>
    <w:p>
      <w:pPr>
        <w:pStyle w:val="ListParagraph"/>
        <w:numPr>
          <w:ilvl w:val="3"/>
          <w:numId w:val="258"/>
        </w:numPr>
        <w:tabs>
          <w:tab w:pos="2485" w:val="left" w:leader="none"/>
          <w:tab w:pos="2486" w:val="left" w:leader="none"/>
        </w:tabs>
        <w:spacing w:line="240" w:lineRule="auto" w:before="120" w:after="0"/>
        <w:ind w:left="2486" w:right="415" w:hanging="567"/>
        <w:jc w:val="left"/>
        <w:rPr>
          <w:sz w:val="24"/>
        </w:rPr>
      </w:pPr>
      <w:r>
        <w:rPr>
          <w:sz w:val="24"/>
        </w:rPr>
        <w:t>to identify a potential transmission project and apply the </w:t>
      </w:r>
      <w:r>
        <w:rPr>
          <w:i/>
          <w:sz w:val="24"/>
        </w:rPr>
        <w:t>regulatory </w:t>
      </w:r>
      <w:r>
        <w:rPr>
          <w:i/>
          <w:sz w:val="24"/>
        </w:rPr>
        <w:t>investment test for transmission </w:t>
      </w:r>
      <w:r>
        <w:rPr>
          <w:sz w:val="24"/>
        </w:rPr>
        <w:t>to that project;</w:t>
      </w:r>
      <w:r>
        <w:rPr>
          <w:spacing w:val="-2"/>
          <w:sz w:val="24"/>
        </w:rPr>
        <w:t> </w:t>
      </w:r>
      <w:r>
        <w:rPr>
          <w:sz w:val="24"/>
        </w:rPr>
        <w:t>or</w:t>
      </w:r>
    </w:p>
    <w:p>
      <w:pPr>
        <w:pStyle w:val="ListParagraph"/>
        <w:numPr>
          <w:ilvl w:val="3"/>
          <w:numId w:val="258"/>
        </w:numPr>
        <w:tabs>
          <w:tab w:pos="2485" w:val="left" w:leader="none"/>
          <w:tab w:pos="2486" w:val="left" w:leader="none"/>
        </w:tabs>
        <w:spacing w:line="240" w:lineRule="auto" w:before="120" w:after="0"/>
        <w:ind w:left="2486" w:right="415" w:hanging="567"/>
        <w:jc w:val="left"/>
        <w:rPr>
          <w:sz w:val="24"/>
        </w:rPr>
      </w:pPr>
      <w:r>
        <w:rPr>
          <w:sz w:val="24"/>
        </w:rPr>
        <w:t>to apply the </w:t>
      </w:r>
      <w:r>
        <w:rPr>
          <w:i/>
          <w:sz w:val="24"/>
        </w:rPr>
        <w:t>regulatory investment test for transmission </w:t>
      </w:r>
      <w:r>
        <w:rPr>
          <w:sz w:val="24"/>
        </w:rPr>
        <w:t>to a potential transmission project identified by the</w:t>
      </w:r>
      <w:r>
        <w:rPr>
          <w:spacing w:val="-1"/>
          <w:sz w:val="24"/>
        </w:rPr>
        <w:t> </w:t>
      </w:r>
      <w:r>
        <w:rPr>
          <w:i/>
          <w:sz w:val="24"/>
        </w:rPr>
        <w:t>AEMC</w:t>
      </w:r>
      <w:r>
        <w:rPr>
          <w:sz w:val="24"/>
        </w:rPr>
        <w:t>.</w:t>
      </w:r>
    </w:p>
    <w:p>
      <w:pPr>
        <w:pStyle w:val="ListParagraph"/>
        <w:numPr>
          <w:ilvl w:val="2"/>
          <w:numId w:val="258"/>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AEMC </w:t>
      </w:r>
      <w:r>
        <w:rPr>
          <w:sz w:val="24"/>
        </w:rPr>
        <w:t>must exercise a </w:t>
      </w:r>
      <w:r>
        <w:rPr>
          <w:i/>
          <w:sz w:val="24"/>
        </w:rPr>
        <w:t>last resort planning</w:t>
      </w:r>
      <w:r>
        <w:rPr>
          <w:i/>
          <w:spacing w:val="-3"/>
          <w:sz w:val="24"/>
        </w:rPr>
        <w:t> </w:t>
      </w:r>
      <w:r>
        <w:rPr>
          <w:i/>
          <w:sz w:val="24"/>
        </w:rPr>
        <w:t>power</w:t>
      </w:r>
      <w:r>
        <w:rPr>
          <w:sz w:val="24"/>
        </w:rPr>
        <w:t>:</w:t>
      </w:r>
    </w:p>
    <w:p>
      <w:pPr>
        <w:pStyle w:val="ListParagraph"/>
        <w:numPr>
          <w:ilvl w:val="3"/>
          <w:numId w:val="258"/>
        </w:numPr>
        <w:tabs>
          <w:tab w:pos="2485" w:val="left" w:leader="none"/>
          <w:tab w:pos="2486" w:val="left" w:leader="none"/>
        </w:tabs>
        <w:spacing w:line="240" w:lineRule="auto" w:before="120" w:after="0"/>
        <w:ind w:left="2485" w:right="0" w:hanging="567"/>
        <w:jc w:val="left"/>
        <w:rPr>
          <w:sz w:val="24"/>
        </w:rPr>
      </w:pPr>
      <w:r>
        <w:rPr>
          <w:sz w:val="24"/>
        </w:rPr>
        <w:t>consistently with the purpose referred to in paragraph (b);</w:t>
      </w:r>
      <w:r>
        <w:rPr>
          <w:spacing w:val="-5"/>
          <w:sz w:val="24"/>
        </w:rPr>
        <w:t> </w:t>
      </w:r>
      <w:r>
        <w:rPr>
          <w:sz w:val="24"/>
        </w:rPr>
        <w:t>and</w:t>
      </w:r>
    </w:p>
    <w:p>
      <w:pPr>
        <w:pStyle w:val="ListParagraph"/>
        <w:numPr>
          <w:ilvl w:val="3"/>
          <w:numId w:val="258"/>
        </w:numPr>
        <w:tabs>
          <w:tab w:pos="2485" w:val="left" w:leader="none"/>
          <w:tab w:pos="2486" w:val="left" w:leader="none"/>
        </w:tabs>
        <w:spacing w:line="240" w:lineRule="auto" w:before="120" w:after="0"/>
        <w:ind w:left="2485" w:right="0" w:hanging="567"/>
        <w:jc w:val="left"/>
        <w:rPr>
          <w:sz w:val="24"/>
        </w:rPr>
      </w:pPr>
      <w:r>
        <w:rPr>
          <w:sz w:val="24"/>
        </w:rPr>
        <w:t>in accordance with the </w:t>
      </w:r>
      <w:r>
        <w:rPr>
          <w:i/>
          <w:sz w:val="24"/>
        </w:rPr>
        <w:t>last resort planning power</w:t>
      </w:r>
      <w:r>
        <w:rPr>
          <w:i/>
          <w:spacing w:val="-5"/>
          <w:sz w:val="24"/>
        </w:rPr>
        <w:t> </w:t>
      </w:r>
      <w:r>
        <w:rPr>
          <w:i/>
          <w:sz w:val="24"/>
        </w:rPr>
        <w:t>guidelines</w:t>
      </w:r>
      <w:r>
        <w:rPr>
          <w:sz w:val="24"/>
        </w:rPr>
        <w:t>.</w:t>
      </w:r>
    </w:p>
    <w:p>
      <w:pPr>
        <w:spacing w:before="220"/>
        <w:ind w:left="1356" w:right="0" w:firstLine="0"/>
        <w:jc w:val="left"/>
        <w:rPr>
          <w:rFonts w:ascii="Arial"/>
          <w:b/>
          <w:sz w:val="22"/>
        </w:rPr>
      </w:pPr>
      <w:r>
        <w:rPr>
          <w:rFonts w:ascii="Arial"/>
          <w:b/>
          <w:sz w:val="22"/>
        </w:rPr>
        <w:t>Advice from AEMO</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may request advice from </w:t>
      </w:r>
      <w:r>
        <w:rPr>
          <w:i/>
          <w:sz w:val="24"/>
        </w:rPr>
        <w:t>AEMO </w:t>
      </w:r>
      <w:r>
        <w:rPr>
          <w:sz w:val="24"/>
        </w:rPr>
        <w:t>in relation to the exercise of the </w:t>
      </w:r>
      <w:r>
        <w:rPr>
          <w:i/>
          <w:sz w:val="24"/>
        </w:rPr>
        <w:t>last resort planning power</w:t>
      </w:r>
      <w:r>
        <w:rPr>
          <w:sz w:val="24"/>
        </w:rPr>
        <w:t>, in accordance with the </w:t>
      </w:r>
      <w:r>
        <w:rPr>
          <w:i/>
          <w:sz w:val="24"/>
        </w:rPr>
        <w:t>last resort</w:t>
      </w:r>
      <w:r>
        <w:rPr>
          <w:i/>
          <w:spacing w:val="22"/>
          <w:sz w:val="24"/>
        </w:rPr>
        <w:t> </w:t>
      </w:r>
      <w:r>
        <w:rPr>
          <w:i/>
          <w:sz w:val="24"/>
        </w:rPr>
        <w:t>planning </w:t>
      </w:r>
      <w:r>
        <w:rPr>
          <w:i/>
          <w:sz w:val="24"/>
        </w:rPr>
        <w:t>power</w:t>
      </w:r>
      <w:r>
        <w:rPr>
          <w:i/>
          <w:spacing w:val="-1"/>
          <w:sz w:val="24"/>
        </w:rPr>
        <w:t> </w:t>
      </w:r>
      <w:r>
        <w:rPr>
          <w:i/>
          <w:sz w:val="24"/>
        </w:rPr>
        <w:t>guidelines</w:t>
      </w:r>
      <w:r>
        <w:rPr>
          <w:sz w:val="24"/>
        </w:rPr>
        <w:t>.</w:t>
      </w:r>
    </w:p>
    <w:p>
      <w:pPr>
        <w:spacing w:before="220"/>
        <w:ind w:left="1356" w:right="0" w:firstLine="0"/>
        <w:jc w:val="left"/>
        <w:rPr>
          <w:rFonts w:ascii="Arial"/>
          <w:b/>
          <w:sz w:val="22"/>
        </w:rPr>
      </w:pPr>
      <w:r>
        <w:rPr>
          <w:rFonts w:ascii="Arial"/>
          <w:b/>
          <w:sz w:val="22"/>
        </w:rPr>
        <w:t>Relevant</w:t>
      </w:r>
      <w:r>
        <w:rPr>
          <w:rFonts w:ascii="Arial"/>
          <w:b/>
          <w:spacing w:val="-20"/>
          <w:sz w:val="22"/>
        </w:rPr>
        <w:t> </w:t>
      </w:r>
      <w:r>
        <w:rPr>
          <w:rFonts w:ascii="Arial"/>
          <w:b/>
          <w:sz w:val="22"/>
        </w:rPr>
        <w:t>considerations</w:t>
      </w:r>
    </w:p>
    <w:p>
      <w:pPr>
        <w:pStyle w:val="ListParagraph"/>
        <w:numPr>
          <w:ilvl w:val="2"/>
          <w:numId w:val="258"/>
        </w:numPr>
        <w:tabs>
          <w:tab w:pos="1919" w:val="left" w:leader="none"/>
          <w:tab w:pos="1920" w:val="left" w:leader="none"/>
        </w:tabs>
        <w:spacing w:line="240" w:lineRule="auto" w:before="120" w:after="0"/>
        <w:ind w:left="1919" w:right="0" w:hanging="568"/>
        <w:jc w:val="left"/>
        <w:rPr>
          <w:sz w:val="24"/>
        </w:rPr>
      </w:pPr>
      <w:r>
        <w:rPr>
          <w:sz w:val="24"/>
        </w:rPr>
        <w:t>In</w:t>
      </w:r>
      <w:r>
        <w:rPr>
          <w:spacing w:val="48"/>
          <w:sz w:val="24"/>
        </w:rPr>
        <w:t> </w:t>
      </w:r>
      <w:r>
        <w:rPr>
          <w:sz w:val="24"/>
        </w:rPr>
        <w:t>deciding</w:t>
      </w:r>
      <w:r>
        <w:rPr>
          <w:spacing w:val="48"/>
          <w:sz w:val="24"/>
        </w:rPr>
        <w:t> </w:t>
      </w:r>
      <w:r>
        <w:rPr>
          <w:sz w:val="24"/>
        </w:rPr>
        <w:t>whether</w:t>
      </w:r>
      <w:r>
        <w:rPr>
          <w:spacing w:val="48"/>
          <w:sz w:val="24"/>
        </w:rPr>
        <w:t> </w:t>
      </w:r>
      <w:r>
        <w:rPr>
          <w:sz w:val="24"/>
        </w:rPr>
        <w:t>or</w:t>
      </w:r>
      <w:r>
        <w:rPr>
          <w:spacing w:val="48"/>
          <w:sz w:val="24"/>
        </w:rPr>
        <w:t> </w:t>
      </w:r>
      <w:r>
        <w:rPr>
          <w:sz w:val="24"/>
        </w:rPr>
        <w:t>not</w:t>
      </w:r>
      <w:r>
        <w:rPr>
          <w:spacing w:val="48"/>
          <w:sz w:val="24"/>
        </w:rPr>
        <w:t> </w:t>
      </w:r>
      <w:r>
        <w:rPr>
          <w:sz w:val="24"/>
        </w:rPr>
        <w:t>to</w:t>
      </w:r>
      <w:r>
        <w:rPr>
          <w:spacing w:val="48"/>
          <w:sz w:val="24"/>
        </w:rPr>
        <w:t> </w:t>
      </w:r>
      <w:r>
        <w:rPr>
          <w:sz w:val="24"/>
        </w:rPr>
        <w:t>exercise</w:t>
      </w:r>
      <w:r>
        <w:rPr>
          <w:spacing w:val="48"/>
          <w:sz w:val="24"/>
        </w:rPr>
        <w:t> </w:t>
      </w:r>
      <w:r>
        <w:rPr>
          <w:sz w:val="24"/>
        </w:rPr>
        <w:t>a</w:t>
      </w:r>
      <w:r>
        <w:rPr>
          <w:spacing w:val="49"/>
          <w:sz w:val="24"/>
        </w:rPr>
        <w:t> </w:t>
      </w:r>
      <w:r>
        <w:rPr>
          <w:i/>
          <w:sz w:val="24"/>
        </w:rPr>
        <w:t>last</w:t>
      </w:r>
      <w:r>
        <w:rPr>
          <w:i/>
          <w:spacing w:val="48"/>
          <w:sz w:val="24"/>
        </w:rPr>
        <w:t> </w:t>
      </w:r>
      <w:r>
        <w:rPr>
          <w:i/>
          <w:sz w:val="24"/>
        </w:rPr>
        <w:t>resort</w:t>
      </w:r>
      <w:r>
        <w:rPr>
          <w:i/>
          <w:spacing w:val="48"/>
          <w:sz w:val="24"/>
        </w:rPr>
        <w:t> </w:t>
      </w:r>
      <w:r>
        <w:rPr>
          <w:i/>
          <w:sz w:val="24"/>
        </w:rPr>
        <w:t>planning</w:t>
      </w:r>
      <w:r>
        <w:rPr>
          <w:i/>
          <w:spacing w:val="48"/>
          <w:sz w:val="24"/>
        </w:rPr>
        <w:t> </w:t>
      </w:r>
      <w:r>
        <w:rPr>
          <w:i/>
          <w:sz w:val="24"/>
        </w:rPr>
        <w:t>power</w:t>
      </w:r>
      <w:r>
        <w:rPr>
          <w:i/>
          <w:spacing w:val="49"/>
          <w:sz w:val="24"/>
        </w:rPr>
        <w:t> </w:t>
      </w:r>
      <w:r>
        <w:rPr>
          <w:sz w:val="24"/>
        </w:rPr>
        <w:t>the</w:t>
      </w:r>
    </w:p>
    <w:p>
      <w:pPr>
        <w:pStyle w:val="BodyText"/>
        <w:spacing w:before="0"/>
        <w:ind w:left="1919" w:firstLine="0"/>
        <w:jc w:val="left"/>
      </w:pPr>
      <w:r>
        <w:rPr>
          <w:i/>
        </w:rPr>
        <w:t>AEMC </w:t>
      </w:r>
      <w:r>
        <w:rPr/>
        <w:t>must take into account:</w:t>
      </w:r>
    </w:p>
    <w:p>
      <w:pPr>
        <w:pStyle w:val="ListParagraph"/>
        <w:numPr>
          <w:ilvl w:val="3"/>
          <w:numId w:val="258"/>
        </w:numPr>
        <w:tabs>
          <w:tab w:pos="2485" w:val="left" w:leader="none"/>
          <w:tab w:pos="2486" w:val="left" w:leader="none"/>
        </w:tabs>
        <w:spacing w:line="240" w:lineRule="auto" w:before="120" w:after="0"/>
        <w:ind w:left="2485" w:right="0" w:hanging="567"/>
        <w:jc w:val="left"/>
        <w:rPr>
          <w:sz w:val="24"/>
        </w:rPr>
      </w:pPr>
      <w:r>
        <w:rPr>
          <w:sz w:val="24"/>
        </w:rPr>
        <w:t>advice provided by</w:t>
      </w:r>
      <w:r>
        <w:rPr>
          <w:spacing w:val="-1"/>
          <w:sz w:val="24"/>
        </w:rPr>
        <w:t> </w:t>
      </w:r>
      <w:r>
        <w:rPr>
          <w:i/>
          <w:sz w:val="24"/>
        </w:rPr>
        <w:t>AEMO</w:t>
      </w:r>
      <w:r>
        <w:rPr>
          <w:sz w:val="24"/>
        </w:rPr>
        <w:t>;</w:t>
      </w:r>
    </w:p>
    <w:p>
      <w:pPr>
        <w:pStyle w:val="ListParagraph"/>
        <w:numPr>
          <w:ilvl w:val="3"/>
          <w:numId w:val="258"/>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NTNDP </w:t>
      </w:r>
      <w:r>
        <w:rPr>
          <w:sz w:val="24"/>
        </w:rPr>
        <w:t>for the current and the previous</w:t>
      </w:r>
      <w:r>
        <w:rPr>
          <w:spacing w:val="-1"/>
          <w:sz w:val="24"/>
        </w:rPr>
        <w:t> </w:t>
      </w:r>
      <w:r>
        <w:rPr>
          <w:sz w:val="24"/>
        </w:rPr>
        <w:t>year;</w:t>
      </w:r>
    </w:p>
    <w:p>
      <w:pPr>
        <w:pStyle w:val="ListParagraph"/>
        <w:numPr>
          <w:ilvl w:val="3"/>
          <w:numId w:val="258"/>
        </w:numPr>
        <w:tabs>
          <w:tab w:pos="2485" w:val="left" w:leader="none"/>
          <w:tab w:pos="2486" w:val="left" w:leader="none"/>
        </w:tabs>
        <w:spacing w:line="240" w:lineRule="auto" w:before="120" w:after="0"/>
        <w:ind w:left="2486" w:right="415" w:hanging="567"/>
        <w:jc w:val="left"/>
        <w:rPr>
          <w:sz w:val="24"/>
        </w:rPr>
      </w:pPr>
      <w:r>
        <w:rPr>
          <w:i/>
          <w:sz w:val="24"/>
        </w:rPr>
        <w:t>Transmission Annual Planning Reports published </w:t>
      </w:r>
      <w:r>
        <w:rPr>
          <w:sz w:val="24"/>
        </w:rPr>
        <w:t>by </w:t>
      </w:r>
      <w:r>
        <w:rPr>
          <w:i/>
          <w:sz w:val="24"/>
        </w:rPr>
        <w:t>Transmission </w:t>
      </w:r>
      <w:r>
        <w:rPr>
          <w:i/>
          <w:sz w:val="24"/>
        </w:rPr>
        <w:t>Network Service Providers </w:t>
      </w:r>
      <w:r>
        <w:rPr>
          <w:sz w:val="24"/>
        </w:rPr>
        <w:t>under clause 5.12.2;</w:t>
      </w:r>
      <w:r>
        <w:rPr>
          <w:spacing w:val="-1"/>
          <w:sz w:val="24"/>
        </w:rPr>
        <w:t> </w:t>
      </w:r>
      <w:r>
        <w:rPr>
          <w:sz w:val="24"/>
        </w:rPr>
        <w:t>and</w:t>
      </w:r>
    </w:p>
    <w:p>
      <w:pPr>
        <w:pStyle w:val="ListParagraph"/>
        <w:numPr>
          <w:ilvl w:val="3"/>
          <w:numId w:val="258"/>
        </w:numPr>
        <w:tabs>
          <w:tab w:pos="2485" w:val="left" w:leader="none"/>
          <w:tab w:pos="2486" w:val="left" w:leader="none"/>
        </w:tabs>
        <w:spacing w:line="240" w:lineRule="auto" w:before="120" w:after="0"/>
        <w:ind w:left="2485" w:right="0" w:hanging="567"/>
        <w:jc w:val="left"/>
        <w:rPr>
          <w:sz w:val="24"/>
        </w:rPr>
      </w:pPr>
      <w:r>
        <w:rPr>
          <w:sz w:val="24"/>
        </w:rPr>
        <w:t>other matters that are relevant in all the</w:t>
      </w:r>
      <w:r>
        <w:rPr>
          <w:spacing w:val="-1"/>
          <w:sz w:val="24"/>
        </w:rPr>
        <w:t> </w:t>
      </w:r>
      <w:r>
        <w:rPr>
          <w:sz w:val="24"/>
        </w:rPr>
        <w:t>circumstances.</w:t>
      </w:r>
    </w:p>
    <w:p>
      <w:pPr>
        <w:pStyle w:val="ListParagraph"/>
        <w:numPr>
          <w:ilvl w:val="2"/>
          <w:numId w:val="258"/>
        </w:numPr>
        <w:tabs>
          <w:tab w:pos="1918" w:val="left" w:leader="none"/>
          <w:tab w:pos="1919" w:val="left" w:leader="none"/>
        </w:tabs>
        <w:spacing w:line="240" w:lineRule="auto" w:before="120" w:after="0"/>
        <w:ind w:left="1918" w:right="0" w:hanging="567"/>
        <w:jc w:val="left"/>
        <w:rPr>
          <w:sz w:val="24"/>
        </w:rPr>
      </w:pPr>
      <w:r>
        <w:rPr>
          <w:sz w:val="24"/>
        </w:rPr>
        <w:t>In</w:t>
      </w:r>
      <w:r>
        <w:rPr>
          <w:spacing w:val="33"/>
          <w:sz w:val="24"/>
        </w:rPr>
        <w:t> </w:t>
      </w:r>
      <w:r>
        <w:rPr>
          <w:sz w:val="24"/>
        </w:rPr>
        <w:t>deciding</w:t>
      </w:r>
      <w:r>
        <w:rPr>
          <w:spacing w:val="33"/>
          <w:sz w:val="24"/>
        </w:rPr>
        <w:t> </w:t>
      </w:r>
      <w:r>
        <w:rPr>
          <w:sz w:val="24"/>
        </w:rPr>
        <w:t>whether</w:t>
      </w:r>
      <w:r>
        <w:rPr>
          <w:spacing w:val="34"/>
          <w:sz w:val="24"/>
        </w:rPr>
        <w:t> </w:t>
      </w:r>
      <w:r>
        <w:rPr>
          <w:sz w:val="24"/>
        </w:rPr>
        <w:t>or</w:t>
      </w:r>
      <w:r>
        <w:rPr>
          <w:spacing w:val="33"/>
          <w:sz w:val="24"/>
        </w:rPr>
        <w:t> </w:t>
      </w:r>
      <w:r>
        <w:rPr>
          <w:sz w:val="24"/>
        </w:rPr>
        <w:t>not</w:t>
      </w:r>
      <w:r>
        <w:rPr>
          <w:spacing w:val="34"/>
          <w:sz w:val="24"/>
        </w:rPr>
        <w:t> </w:t>
      </w:r>
      <w:r>
        <w:rPr>
          <w:sz w:val="24"/>
        </w:rPr>
        <w:t>to</w:t>
      </w:r>
      <w:r>
        <w:rPr>
          <w:spacing w:val="33"/>
          <w:sz w:val="24"/>
        </w:rPr>
        <w:t> </w:t>
      </w:r>
      <w:r>
        <w:rPr>
          <w:sz w:val="24"/>
        </w:rPr>
        <w:t>exercise</w:t>
      </w:r>
      <w:r>
        <w:rPr>
          <w:spacing w:val="33"/>
          <w:sz w:val="24"/>
        </w:rPr>
        <w:t> </w:t>
      </w:r>
      <w:r>
        <w:rPr>
          <w:sz w:val="24"/>
        </w:rPr>
        <w:t>the</w:t>
      </w:r>
      <w:r>
        <w:rPr>
          <w:spacing w:val="34"/>
          <w:sz w:val="24"/>
        </w:rPr>
        <w:t> </w:t>
      </w:r>
      <w:r>
        <w:rPr>
          <w:i/>
          <w:sz w:val="24"/>
        </w:rPr>
        <w:t>last</w:t>
      </w:r>
      <w:r>
        <w:rPr>
          <w:i/>
          <w:spacing w:val="33"/>
          <w:sz w:val="24"/>
        </w:rPr>
        <w:t> </w:t>
      </w:r>
      <w:r>
        <w:rPr>
          <w:i/>
          <w:sz w:val="24"/>
        </w:rPr>
        <w:t>resort</w:t>
      </w:r>
      <w:r>
        <w:rPr>
          <w:i/>
          <w:spacing w:val="33"/>
          <w:sz w:val="24"/>
        </w:rPr>
        <w:t> </w:t>
      </w:r>
      <w:r>
        <w:rPr>
          <w:i/>
          <w:sz w:val="24"/>
        </w:rPr>
        <w:t>planning</w:t>
      </w:r>
      <w:r>
        <w:rPr>
          <w:i/>
          <w:spacing w:val="34"/>
          <w:sz w:val="24"/>
        </w:rPr>
        <w:t> </w:t>
      </w:r>
      <w:r>
        <w:rPr>
          <w:i/>
          <w:sz w:val="24"/>
        </w:rPr>
        <w:t>power</w:t>
      </w:r>
      <w:r>
        <w:rPr>
          <w:i/>
          <w:spacing w:val="33"/>
          <w:sz w:val="24"/>
        </w:rPr>
        <w:t> </w:t>
      </w:r>
      <w:r>
        <w:rPr>
          <w:sz w:val="24"/>
        </w:rPr>
        <w:t>the</w:t>
      </w:r>
    </w:p>
    <w:p>
      <w:pPr>
        <w:spacing w:before="0"/>
        <w:ind w:left="1919" w:right="0" w:firstLine="0"/>
        <w:jc w:val="left"/>
        <w:rPr>
          <w:sz w:val="24"/>
        </w:rPr>
      </w:pPr>
      <w:r>
        <w:rPr>
          <w:i/>
          <w:sz w:val="24"/>
        </w:rPr>
        <w:t>AEMC </w:t>
      </w:r>
      <w:r>
        <w:rPr>
          <w:sz w:val="24"/>
        </w:rPr>
        <w:t>must:</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identify a problem relating to </w:t>
      </w:r>
      <w:r>
        <w:rPr>
          <w:i/>
          <w:sz w:val="24"/>
        </w:rPr>
        <w:t>constraints </w:t>
      </w:r>
      <w:r>
        <w:rPr>
          <w:sz w:val="24"/>
        </w:rPr>
        <w:t>in respect of </w:t>
      </w:r>
      <w:r>
        <w:rPr>
          <w:i/>
          <w:sz w:val="24"/>
        </w:rPr>
        <w:t>national </w:t>
      </w:r>
      <w:r>
        <w:rPr>
          <w:i/>
          <w:sz w:val="24"/>
        </w:rPr>
        <w:t>transmission flow paths </w:t>
      </w:r>
      <w:r>
        <w:rPr>
          <w:sz w:val="24"/>
        </w:rPr>
        <w:t>between </w:t>
      </w:r>
      <w:r>
        <w:rPr>
          <w:i/>
          <w:sz w:val="24"/>
        </w:rPr>
        <w:t>regional reference nodes </w:t>
      </w:r>
      <w:r>
        <w:rPr>
          <w:sz w:val="24"/>
        </w:rPr>
        <w:t>or a potential transmission project (</w:t>
      </w:r>
      <w:r>
        <w:rPr>
          <w:b/>
          <w:sz w:val="24"/>
        </w:rPr>
        <w:t>the problem </w:t>
      </w:r>
      <w:r>
        <w:rPr>
          <w:sz w:val="24"/>
        </w:rPr>
        <w:t>or </w:t>
      </w:r>
      <w:r>
        <w:rPr>
          <w:b/>
          <w:sz w:val="24"/>
        </w:rPr>
        <w:t>the</w:t>
      </w:r>
      <w:r>
        <w:rPr>
          <w:b/>
          <w:spacing w:val="-6"/>
          <w:sz w:val="24"/>
        </w:rPr>
        <w:t> </w:t>
      </w:r>
      <w:r>
        <w:rPr>
          <w:b/>
          <w:sz w:val="24"/>
        </w:rPr>
        <w:t>project</w:t>
      </w:r>
      <w:r>
        <w:rPr>
          <w:sz w:val="24"/>
        </w:rPr>
        <w:t>);</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make reasonable inquiries to satisfy itself that there are no current processes underway for the application of the </w:t>
      </w:r>
      <w:r>
        <w:rPr>
          <w:i/>
          <w:sz w:val="24"/>
        </w:rPr>
        <w:t>regulatory investment </w:t>
      </w:r>
      <w:r>
        <w:rPr>
          <w:i/>
          <w:sz w:val="24"/>
        </w:rPr>
        <w:t>test for transmission </w:t>
      </w:r>
      <w:r>
        <w:rPr>
          <w:sz w:val="24"/>
        </w:rPr>
        <w:t>in relation to the problem or the</w:t>
      </w:r>
      <w:r>
        <w:rPr>
          <w:spacing w:val="-2"/>
          <w:sz w:val="24"/>
        </w:rPr>
        <w:t> </w:t>
      </w:r>
      <w:r>
        <w:rPr>
          <w:sz w:val="24"/>
        </w:rPr>
        <w:t>project;</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consider whether there are other options, strategies or solutions to address the problem or the project, and must be satisfied that all such other options are unlikely to address the problem or the project in a timely</w:t>
      </w:r>
      <w:r>
        <w:rPr>
          <w:spacing w:val="-1"/>
          <w:sz w:val="24"/>
        </w:rPr>
        <w:t> </w:t>
      </w:r>
      <w:r>
        <w:rPr>
          <w:sz w:val="24"/>
        </w:rPr>
        <w:t>manner;</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be satisfied that the problem or the project may have a significant impact on the efficient operation of the </w:t>
      </w:r>
      <w:r>
        <w:rPr>
          <w:i/>
          <w:sz w:val="24"/>
        </w:rPr>
        <w:t>market</w:t>
      </w:r>
      <w:r>
        <w:rPr>
          <w:sz w:val="24"/>
        </w:rPr>
        <w:t>;</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3"/>
          <w:numId w:val="258"/>
        </w:numPr>
        <w:tabs>
          <w:tab w:pos="2486" w:val="left" w:leader="none"/>
        </w:tabs>
        <w:spacing w:line="240" w:lineRule="auto" w:before="83" w:after="0"/>
        <w:ind w:left="2486" w:right="416" w:hanging="567"/>
        <w:jc w:val="both"/>
        <w:rPr>
          <w:sz w:val="24"/>
        </w:rPr>
      </w:pPr>
      <w:r>
        <w:rPr>
          <w:sz w:val="24"/>
        </w:rPr>
        <w:t>be satisfied that but for the </w:t>
      </w:r>
      <w:r>
        <w:rPr>
          <w:i/>
          <w:sz w:val="24"/>
        </w:rPr>
        <w:t>AEMC </w:t>
      </w:r>
      <w:r>
        <w:rPr>
          <w:sz w:val="24"/>
        </w:rPr>
        <w:t>exercising the </w:t>
      </w:r>
      <w:r>
        <w:rPr>
          <w:i/>
          <w:sz w:val="24"/>
        </w:rPr>
        <w:t>last resort planning </w:t>
      </w:r>
      <w:r>
        <w:rPr>
          <w:i/>
          <w:sz w:val="24"/>
        </w:rPr>
        <w:t>power</w:t>
      </w:r>
      <w:r>
        <w:rPr>
          <w:sz w:val="24"/>
        </w:rPr>
        <w:t>, the problem or the project is unlikely to be</w:t>
      </w:r>
      <w:r>
        <w:rPr>
          <w:spacing w:val="-2"/>
          <w:sz w:val="24"/>
        </w:rPr>
        <w:t> </w:t>
      </w:r>
      <w:r>
        <w:rPr>
          <w:sz w:val="24"/>
        </w:rPr>
        <w:t>addressed.</w:t>
      </w:r>
    </w:p>
    <w:p>
      <w:pPr>
        <w:spacing w:before="220"/>
        <w:ind w:left="1356" w:right="0" w:firstLine="0"/>
        <w:jc w:val="left"/>
        <w:rPr>
          <w:rFonts w:ascii="Arial"/>
          <w:b/>
          <w:sz w:val="22"/>
        </w:rPr>
      </w:pPr>
      <w:r>
        <w:rPr>
          <w:rFonts w:ascii="Arial"/>
          <w:b/>
          <w:sz w:val="22"/>
        </w:rPr>
        <w:t>Direction notice</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must exercise a </w:t>
      </w:r>
      <w:r>
        <w:rPr>
          <w:i/>
          <w:sz w:val="24"/>
        </w:rPr>
        <w:t>last resort planning power </w:t>
      </w:r>
      <w:r>
        <w:rPr>
          <w:sz w:val="24"/>
        </w:rPr>
        <w:t>by giving a direction notice in writing to a directed party that</w:t>
      </w:r>
      <w:r>
        <w:rPr>
          <w:spacing w:val="-4"/>
          <w:sz w:val="24"/>
        </w:rPr>
        <w:t> </w:t>
      </w:r>
      <w:r>
        <w:rPr>
          <w:sz w:val="24"/>
        </w:rPr>
        <w:t>states:</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the relevant action under paragraph (c) that the directed party is required to undertake;</w:t>
      </w:r>
      <w:r>
        <w:rPr>
          <w:spacing w:val="-1"/>
          <w:sz w:val="24"/>
        </w:rPr>
        <w:t> </w:t>
      </w:r>
      <w:r>
        <w:rPr>
          <w:sz w:val="24"/>
        </w:rPr>
        <w:t>and</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the </w:t>
      </w:r>
      <w:r>
        <w:rPr>
          <w:i/>
          <w:sz w:val="24"/>
        </w:rPr>
        <w:t>AEMC's </w:t>
      </w:r>
      <w:r>
        <w:rPr>
          <w:sz w:val="24"/>
        </w:rPr>
        <w:t>reasons for exercising the </w:t>
      </w:r>
      <w:r>
        <w:rPr>
          <w:i/>
          <w:sz w:val="24"/>
        </w:rPr>
        <w:t>last resort planning</w:t>
      </w:r>
      <w:r>
        <w:rPr>
          <w:i/>
          <w:spacing w:val="-4"/>
          <w:sz w:val="24"/>
        </w:rPr>
        <w:t> </w:t>
      </w:r>
      <w:r>
        <w:rPr>
          <w:i/>
          <w:sz w:val="24"/>
        </w:rPr>
        <w:t>power</w:t>
      </w:r>
      <w:r>
        <w:rPr>
          <w:sz w:val="24"/>
        </w:rPr>
        <w:t>.</w:t>
      </w:r>
    </w:p>
    <w:p>
      <w:pPr>
        <w:pStyle w:val="ListParagraph"/>
        <w:numPr>
          <w:ilvl w:val="2"/>
          <w:numId w:val="258"/>
        </w:numPr>
        <w:tabs>
          <w:tab w:pos="1919" w:val="left" w:leader="none"/>
        </w:tabs>
        <w:spacing w:line="240" w:lineRule="auto" w:before="120" w:after="0"/>
        <w:ind w:left="1919" w:right="416" w:hanging="567"/>
        <w:jc w:val="both"/>
        <w:rPr>
          <w:sz w:val="24"/>
        </w:rPr>
      </w:pPr>
      <w:r>
        <w:rPr>
          <w:sz w:val="24"/>
        </w:rPr>
        <w:t>A direction notice given by the </w:t>
      </w:r>
      <w:r>
        <w:rPr>
          <w:i/>
          <w:sz w:val="24"/>
        </w:rPr>
        <w:t>AEMC </w:t>
      </w:r>
      <w:r>
        <w:rPr>
          <w:sz w:val="24"/>
        </w:rPr>
        <w:t>under paragraph (h) may specify one or more of the</w:t>
      </w:r>
      <w:r>
        <w:rPr>
          <w:spacing w:val="-1"/>
          <w:sz w:val="24"/>
        </w:rPr>
        <w:t> </w:t>
      </w:r>
      <w:r>
        <w:rPr>
          <w:sz w:val="24"/>
        </w:rPr>
        <w:t>following:</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one or more alternative projects which a directed party must consider when applying the </w:t>
      </w:r>
      <w:r>
        <w:rPr>
          <w:i/>
          <w:sz w:val="24"/>
        </w:rPr>
        <w:t>regulatory investment test for transmission </w:t>
      </w:r>
      <w:r>
        <w:rPr>
          <w:sz w:val="24"/>
        </w:rPr>
        <w:t>to potential transmission</w:t>
      </w:r>
      <w:r>
        <w:rPr>
          <w:spacing w:val="-1"/>
          <w:sz w:val="24"/>
        </w:rPr>
        <w:t> </w:t>
      </w:r>
      <w:r>
        <w:rPr>
          <w:sz w:val="24"/>
        </w:rPr>
        <w:t>projects;</w:t>
      </w:r>
    </w:p>
    <w:p>
      <w:pPr>
        <w:pStyle w:val="ListParagraph"/>
        <w:numPr>
          <w:ilvl w:val="3"/>
          <w:numId w:val="258"/>
        </w:numPr>
        <w:tabs>
          <w:tab w:pos="2486" w:val="left" w:leader="none"/>
        </w:tabs>
        <w:spacing w:line="240" w:lineRule="auto" w:before="120" w:after="0"/>
        <w:ind w:left="2486" w:right="415" w:hanging="567"/>
        <w:jc w:val="both"/>
        <w:rPr>
          <w:sz w:val="24"/>
        </w:rPr>
      </w:pPr>
      <w:r>
        <w:rPr>
          <w:sz w:val="24"/>
        </w:rPr>
        <w:t>the time period within which the application of the </w:t>
      </w:r>
      <w:r>
        <w:rPr>
          <w:i/>
          <w:sz w:val="24"/>
        </w:rPr>
        <w:t>regulatory </w:t>
      </w:r>
      <w:r>
        <w:rPr>
          <w:i/>
          <w:sz w:val="24"/>
        </w:rPr>
        <w:t>investment test for transmission </w:t>
      </w:r>
      <w:r>
        <w:rPr>
          <w:sz w:val="24"/>
        </w:rPr>
        <w:t>must be carried out by a directed party; or</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consultation and publication requirements that are in addition to </w:t>
      </w:r>
      <w:r>
        <w:rPr>
          <w:spacing w:val="-3"/>
          <w:sz w:val="24"/>
        </w:rPr>
        <w:t>those </w:t>
      </w:r>
      <w:r>
        <w:rPr>
          <w:sz w:val="24"/>
        </w:rPr>
        <w:t>required by the </w:t>
      </w:r>
      <w:r>
        <w:rPr>
          <w:i/>
          <w:sz w:val="24"/>
        </w:rPr>
        <w:t>regulatory investment test for</w:t>
      </w:r>
      <w:r>
        <w:rPr>
          <w:i/>
          <w:spacing w:val="-5"/>
          <w:sz w:val="24"/>
        </w:rPr>
        <w:t> </w:t>
      </w:r>
      <w:r>
        <w:rPr>
          <w:i/>
          <w:sz w:val="24"/>
        </w:rPr>
        <w:t>transmission</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must </w:t>
      </w:r>
      <w:r>
        <w:rPr>
          <w:i/>
          <w:sz w:val="24"/>
        </w:rPr>
        <w:t>publish </w:t>
      </w:r>
      <w:r>
        <w:rPr>
          <w:sz w:val="24"/>
        </w:rPr>
        <w:t>the direction notice referred to in paragraph (h) on its</w:t>
      </w:r>
      <w:r>
        <w:rPr>
          <w:spacing w:val="-1"/>
          <w:sz w:val="24"/>
        </w:rPr>
        <w:t> </w:t>
      </w:r>
      <w:r>
        <w:rPr>
          <w:sz w:val="24"/>
        </w:rPr>
        <w:t>website.</w:t>
      </w:r>
    </w:p>
    <w:p>
      <w:pPr>
        <w:pStyle w:val="ListParagraph"/>
        <w:numPr>
          <w:ilvl w:val="2"/>
          <w:numId w:val="258"/>
        </w:numPr>
        <w:tabs>
          <w:tab w:pos="1919" w:val="left" w:leader="none"/>
        </w:tabs>
        <w:spacing w:line="240" w:lineRule="auto" w:before="120" w:after="0"/>
        <w:ind w:left="1918" w:right="0" w:hanging="567"/>
        <w:jc w:val="both"/>
        <w:rPr>
          <w:sz w:val="24"/>
        </w:rPr>
      </w:pPr>
      <w:r>
        <w:rPr>
          <w:sz w:val="24"/>
        </w:rPr>
        <w:t>A directed party must comply</w:t>
      </w:r>
      <w:r>
        <w:rPr>
          <w:spacing w:val="-2"/>
          <w:sz w:val="24"/>
        </w:rPr>
        <w:t> </w:t>
      </w:r>
      <w:r>
        <w:rPr>
          <w:sz w:val="24"/>
        </w:rPr>
        <w:t>with:</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a direction</w:t>
      </w:r>
      <w:r>
        <w:rPr>
          <w:spacing w:val="-1"/>
          <w:sz w:val="24"/>
        </w:rPr>
        <w:t> </w:t>
      </w:r>
      <w:r>
        <w:rPr>
          <w:sz w:val="24"/>
        </w:rPr>
        <w:t>notice;</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the requirements of the </w:t>
      </w:r>
      <w:r>
        <w:rPr>
          <w:i/>
          <w:sz w:val="24"/>
        </w:rPr>
        <w:t>last resort planning power guidelines</w:t>
      </w:r>
      <w:r>
        <w:rPr>
          <w:sz w:val="24"/>
        </w:rPr>
        <w:t>;</w:t>
      </w:r>
      <w:r>
        <w:rPr>
          <w:spacing w:val="-4"/>
          <w:sz w:val="24"/>
        </w:rPr>
        <w:t> </w:t>
      </w:r>
      <w:r>
        <w:rPr>
          <w:sz w:val="24"/>
        </w:rPr>
        <w:t>and</w:t>
      </w:r>
    </w:p>
    <w:p>
      <w:pPr>
        <w:pStyle w:val="ListParagraph"/>
        <w:numPr>
          <w:ilvl w:val="3"/>
          <w:numId w:val="258"/>
        </w:numPr>
        <w:tabs>
          <w:tab w:pos="2486" w:val="left" w:leader="none"/>
        </w:tabs>
        <w:spacing w:line="240" w:lineRule="auto" w:before="120" w:after="0"/>
        <w:ind w:left="2486" w:right="414" w:hanging="567"/>
        <w:jc w:val="both"/>
        <w:rPr>
          <w:sz w:val="24"/>
        </w:rPr>
      </w:pPr>
      <w:r>
        <w:rPr>
          <w:sz w:val="24"/>
        </w:rPr>
        <w:t>the requirements for the application of the </w:t>
      </w:r>
      <w:r>
        <w:rPr>
          <w:i/>
          <w:sz w:val="24"/>
        </w:rPr>
        <w:t>regulatory investment test </w:t>
      </w:r>
      <w:r>
        <w:rPr>
          <w:i/>
          <w:sz w:val="24"/>
        </w:rPr>
        <w:t>for transmission</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If a directed party (an earlier directed party) fails to comply with a direction notice, the </w:t>
      </w:r>
      <w:r>
        <w:rPr>
          <w:i/>
          <w:sz w:val="24"/>
        </w:rPr>
        <w:t>AEMC</w:t>
      </w:r>
      <w:r>
        <w:rPr>
          <w:i/>
          <w:spacing w:val="-1"/>
          <w:sz w:val="24"/>
        </w:rPr>
        <w:t> </w:t>
      </w:r>
      <w:r>
        <w:rPr>
          <w:sz w:val="24"/>
        </w:rPr>
        <w:t>may:</w:t>
      </w:r>
    </w:p>
    <w:p>
      <w:pPr>
        <w:pStyle w:val="ListParagraph"/>
        <w:numPr>
          <w:ilvl w:val="3"/>
          <w:numId w:val="258"/>
        </w:numPr>
        <w:tabs>
          <w:tab w:pos="2486" w:val="left" w:leader="none"/>
        </w:tabs>
        <w:spacing w:line="240" w:lineRule="auto" w:before="120" w:after="0"/>
        <w:ind w:left="2485" w:right="0" w:hanging="567"/>
        <w:jc w:val="both"/>
        <w:rPr>
          <w:sz w:val="24"/>
        </w:rPr>
      </w:pPr>
      <w:r>
        <w:rPr>
          <w:sz w:val="24"/>
        </w:rPr>
        <w:t>in</w:t>
      </w:r>
      <w:r>
        <w:rPr>
          <w:spacing w:val="29"/>
          <w:sz w:val="24"/>
        </w:rPr>
        <w:t> </w:t>
      </w:r>
      <w:r>
        <w:rPr>
          <w:sz w:val="24"/>
        </w:rPr>
        <w:t>accordance</w:t>
      </w:r>
      <w:r>
        <w:rPr>
          <w:spacing w:val="30"/>
          <w:sz w:val="24"/>
        </w:rPr>
        <w:t> </w:t>
      </w:r>
      <w:r>
        <w:rPr>
          <w:sz w:val="24"/>
        </w:rPr>
        <w:t>with</w:t>
      </w:r>
      <w:r>
        <w:rPr>
          <w:spacing w:val="29"/>
          <w:sz w:val="24"/>
        </w:rPr>
        <w:t> </w:t>
      </w:r>
      <w:r>
        <w:rPr>
          <w:sz w:val="24"/>
        </w:rPr>
        <w:t>this</w:t>
      </w:r>
      <w:r>
        <w:rPr>
          <w:spacing w:val="30"/>
          <w:sz w:val="24"/>
        </w:rPr>
        <w:t> </w:t>
      </w:r>
      <w:r>
        <w:rPr>
          <w:sz w:val="24"/>
        </w:rPr>
        <w:t>rule</w:t>
      </w:r>
      <w:r>
        <w:rPr>
          <w:spacing w:val="29"/>
          <w:sz w:val="24"/>
        </w:rPr>
        <w:t> </w:t>
      </w:r>
      <w:r>
        <w:rPr>
          <w:sz w:val="24"/>
        </w:rPr>
        <w:t>5.22,</w:t>
      </w:r>
      <w:r>
        <w:rPr>
          <w:spacing w:val="30"/>
          <w:sz w:val="24"/>
        </w:rPr>
        <w:t> </w:t>
      </w:r>
      <w:r>
        <w:rPr>
          <w:sz w:val="24"/>
        </w:rPr>
        <w:t>give</w:t>
      </w:r>
      <w:r>
        <w:rPr>
          <w:spacing w:val="29"/>
          <w:sz w:val="24"/>
        </w:rPr>
        <w:t> </w:t>
      </w:r>
      <w:r>
        <w:rPr>
          <w:sz w:val="24"/>
        </w:rPr>
        <w:t>a</w:t>
      </w:r>
      <w:r>
        <w:rPr>
          <w:spacing w:val="30"/>
          <w:sz w:val="24"/>
        </w:rPr>
        <w:t> </w:t>
      </w:r>
      <w:r>
        <w:rPr>
          <w:sz w:val="24"/>
        </w:rPr>
        <w:t>direction</w:t>
      </w:r>
      <w:r>
        <w:rPr>
          <w:spacing w:val="30"/>
          <w:sz w:val="24"/>
        </w:rPr>
        <w:t> </w:t>
      </w:r>
      <w:r>
        <w:rPr>
          <w:sz w:val="24"/>
        </w:rPr>
        <w:t>notice</w:t>
      </w:r>
      <w:r>
        <w:rPr>
          <w:spacing w:val="29"/>
          <w:sz w:val="24"/>
        </w:rPr>
        <w:t> </w:t>
      </w:r>
      <w:r>
        <w:rPr>
          <w:sz w:val="24"/>
        </w:rPr>
        <w:t>to</w:t>
      </w:r>
      <w:r>
        <w:rPr>
          <w:spacing w:val="30"/>
          <w:sz w:val="24"/>
        </w:rPr>
        <w:t> </w:t>
      </w:r>
      <w:r>
        <w:rPr>
          <w:sz w:val="24"/>
        </w:rPr>
        <w:t>a</w:t>
      </w:r>
    </w:p>
    <w:p>
      <w:pPr>
        <w:spacing w:before="0"/>
        <w:ind w:left="2486" w:right="0" w:firstLine="0"/>
        <w:jc w:val="both"/>
        <w:rPr>
          <w:sz w:val="24"/>
        </w:rPr>
      </w:pPr>
      <w:r>
        <w:rPr>
          <w:i/>
          <w:sz w:val="24"/>
        </w:rPr>
        <w:t>Registered Participant </w:t>
      </w:r>
      <w:r>
        <w:rPr>
          <w:sz w:val="24"/>
        </w:rPr>
        <w:t>other than the earlier directed party; and</w:t>
      </w:r>
    </w:p>
    <w:p>
      <w:pPr>
        <w:pStyle w:val="ListParagraph"/>
        <w:numPr>
          <w:ilvl w:val="3"/>
          <w:numId w:val="258"/>
        </w:numPr>
        <w:tabs>
          <w:tab w:pos="2486" w:val="left" w:leader="none"/>
        </w:tabs>
        <w:spacing w:line="240" w:lineRule="auto" w:before="120" w:after="0"/>
        <w:ind w:left="2486" w:right="416" w:hanging="567"/>
        <w:jc w:val="both"/>
        <w:rPr>
          <w:sz w:val="24"/>
        </w:rPr>
      </w:pPr>
      <w:r>
        <w:rPr>
          <w:sz w:val="24"/>
        </w:rPr>
        <w:t>inform the </w:t>
      </w:r>
      <w:r>
        <w:rPr>
          <w:i/>
          <w:sz w:val="24"/>
        </w:rPr>
        <w:t>AER </w:t>
      </w:r>
      <w:r>
        <w:rPr>
          <w:sz w:val="24"/>
        </w:rPr>
        <w:t>of the earlier directed party's failure to comply with the direction</w:t>
      </w:r>
      <w:r>
        <w:rPr>
          <w:spacing w:val="-1"/>
          <w:sz w:val="24"/>
        </w:rPr>
        <w:t> </w:t>
      </w:r>
      <w:r>
        <w:rPr>
          <w:sz w:val="24"/>
        </w:rPr>
        <w:t>notice.</w:t>
      </w:r>
    </w:p>
    <w:p>
      <w:pPr>
        <w:spacing w:before="220"/>
        <w:ind w:left="1356" w:right="0" w:firstLine="0"/>
        <w:jc w:val="left"/>
        <w:rPr>
          <w:rFonts w:ascii="Arial"/>
          <w:b/>
          <w:sz w:val="22"/>
        </w:rPr>
      </w:pPr>
      <w:r>
        <w:rPr>
          <w:rFonts w:ascii="Arial"/>
          <w:b/>
          <w:sz w:val="22"/>
        </w:rPr>
        <w:t>Annual reporting for last resort planning power</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The </w:t>
      </w:r>
      <w:r>
        <w:rPr>
          <w:i/>
          <w:sz w:val="24"/>
        </w:rPr>
        <w:t>AEMC </w:t>
      </w:r>
      <w:r>
        <w:rPr>
          <w:sz w:val="24"/>
        </w:rPr>
        <w:t>must report annually on the matters which the </w:t>
      </w:r>
      <w:r>
        <w:rPr>
          <w:i/>
          <w:sz w:val="24"/>
        </w:rPr>
        <w:t>AEMC </w:t>
      </w:r>
      <w:r>
        <w:rPr>
          <w:sz w:val="24"/>
        </w:rPr>
        <w:t>has considered during that year in deciding whether or not to exercise the </w:t>
      </w:r>
      <w:r>
        <w:rPr>
          <w:i/>
          <w:sz w:val="24"/>
        </w:rPr>
        <w:t>last </w:t>
      </w:r>
      <w:r>
        <w:rPr>
          <w:i/>
          <w:sz w:val="24"/>
        </w:rPr>
        <w:t>resort planning power</w:t>
      </w:r>
      <w:r>
        <w:rPr>
          <w:sz w:val="24"/>
        </w:rPr>
        <w:t>, and may include the information in its Annual Report published under s.27 of the </w:t>
      </w:r>
      <w:r>
        <w:rPr>
          <w:i/>
          <w:sz w:val="24"/>
        </w:rPr>
        <w:t>Australian Energy Market Commission </w:t>
      </w:r>
      <w:r>
        <w:rPr>
          <w:i/>
          <w:sz w:val="24"/>
        </w:rPr>
        <w:t>Establishment Act 2004</w:t>
      </w:r>
      <w:r>
        <w:rPr>
          <w:i/>
          <w:spacing w:val="-1"/>
          <w:sz w:val="24"/>
        </w:rPr>
        <w:t> </w:t>
      </w:r>
      <w:r>
        <w:rPr>
          <w:sz w:val="24"/>
        </w:rPr>
        <w:t>(SA).</w:t>
      </w:r>
    </w:p>
    <w:p>
      <w:pPr>
        <w:spacing w:before="220"/>
        <w:ind w:left="1356" w:right="0" w:firstLine="0"/>
        <w:jc w:val="left"/>
        <w:rPr>
          <w:rFonts w:ascii="Arial"/>
          <w:b/>
          <w:sz w:val="22"/>
        </w:rPr>
      </w:pPr>
      <w:r>
        <w:rPr>
          <w:rFonts w:ascii="Arial"/>
          <w:b/>
          <w:sz w:val="22"/>
        </w:rPr>
        <w:t>Last resort planning power guidelines</w:t>
      </w:r>
    </w:p>
    <w:p>
      <w:pPr>
        <w:pStyle w:val="ListParagraph"/>
        <w:numPr>
          <w:ilvl w:val="2"/>
          <w:numId w:val="258"/>
        </w:numPr>
        <w:tabs>
          <w:tab w:pos="1919" w:val="left" w:leader="none"/>
        </w:tabs>
        <w:spacing w:line="240" w:lineRule="auto" w:before="120" w:after="0"/>
        <w:ind w:left="1919" w:right="416" w:hanging="567"/>
        <w:jc w:val="both"/>
        <w:rPr>
          <w:sz w:val="24"/>
        </w:rPr>
      </w:pPr>
      <w:r>
        <w:rPr>
          <w:sz w:val="24"/>
        </w:rPr>
        <w:t>The </w:t>
      </w:r>
      <w:r>
        <w:rPr>
          <w:i/>
          <w:sz w:val="24"/>
        </w:rPr>
        <w:t>AEMC </w:t>
      </w:r>
      <w:r>
        <w:rPr>
          <w:sz w:val="24"/>
        </w:rPr>
        <w:t>must develop and </w:t>
      </w:r>
      <w:r>
        <w:rPr>
          <w:i/>
          <w:sz w:val="24"/>
        </w:rPr>
        <w:t>publish </w:t>
      </w:r>
      <w:r>
        <w:rPr>
          <w:sz w:val="24"/>
        </w:rPr>
        <w:t>guidelines (the </w:t>
      </w:r>
      <w:r>
        <w:rPr>
          <w:i/>
          <w:sz w:val="24"/>
        </w:rPr>
        <w:t>last resort planning </w:t>
      </w:r>
      <w:r>
        <w:rPr>
          <w:i/>
          <w:sz w:val="24"/>
        </w:rPr>
        <w:t>power guidelines</w:t>
      </w:r>
      <w:r>
        <w:rPr>
          <w:sz w:val="24"/>
        </w:rPr>
        <w:t>) for or with respect</w:t>
      </w:r>
      <w:r>
        <w:rPr>
          <w:spacing w:val="-1"/>
          <w:sz w:val="24"/>
        </w:rPr>
        <w:t> </w:t>
      </w:r>
      <w:r>
        <w:rPr>
          <w:sz w:val="24"/>
        </w:rPr>
        <w:t>to:</w:t>
      </w:r>
    </w:p>
    <w:p>
      <w:pPr>
        <w:spacing w:after="0" w:line="240" w:lineRule="auto"/>
        <w:jc w:val="both"/>
        <w:rPr>
          <w:sz w:val="24"/>
        </w:rPr>
        <w:sectPr>
          <w:pgSz w:w="11910" w:h="16840"/>
          <w:pgMar w:header="686" w:footer="637" w:top="1320" w:bottom="820" w:left="1200" w:right="1000"/>
        </w:sectPr>
      </w:pPr>
    </w:p>
    <w:p>
      <w:pPr>
        <w:pStyle w:val="ListParagraph"/>
        <w:numPr>
          <w:ilvl w:val="3"/>
          <w:numId w:val="258"/>
        </w:numPr>
        <w:tabs>
          <w:tab w:pos="2485" w:val="left" w:leader="none"/>
          <w:tab w:pos="2486" w:val="left" w:leader="none"/>
        </w:tabs>
        <w:spacing w:line="240" w:lineRule="auto" w:before="83" w:after="0"/>
        <w:ind w:left="2486" w:right="414" w:hanging="567"/>
        <w:jc w:val="left"/>
        <w:rPr>
          <w:sz w:val="24"/>
        </w:rPr>
      </w:pPr>
      <w:r>
        <w:rPr>
          <w:sz w:val="24"/>
        </w:rPr>
        <w:t>the processes to be followed by the </w:t>
      </w:r>
      <w:r>
        <w:rPr>
          <w:i/>
          <w:sz w:val="24"/>
        </w:rPr>
        <w:t>AEMC </w:t>
      </w:r>
      <w:r>
        <w:rPr>
          <w:sz w:val="24"/>
        </w:rPr>
        <w:t>in exercising the </w:t>
      </w:r>
      <w:r>
        <w:rPr>
          <w:i/>
          <w:sz w:val="24"/>
        </w:rPr>
        <w:t>last resort </w:t>
      </w:r>
      <w:r>
        <w:rPr>
          <w:i/>
          <w:sz w:val="24"/>
        </w:rPr>
        <w:t>planning power</w:t>
      </w:r>
      <w:r>
        <w:rPr>
          <w:sz w:val="24"/>
        </w:rPr>
        <w:t>;</w:t>
      </w:r>
    </w:p>
    <w:p>
      <w:pPr>
        <w:pStyle w:val="ListParagraph"/>
        <w:numPr>
          <w:ilvl w:val="3"/>
          <w:numId w:val="258"/>
        </w:numPr>
        <w:tabs>
          <w:tab w:pos="2485" w:val="left" w:leader="none"/>
          <w:tab w:pos="2486" w:val="left" w:leader="none"/>
        </w:tabs>
        <w:spacing w:line="240" w:lineRule="auto" w:before="120" w:after="0"/>
        <w:ind w:left="2486" w:right="415" w:hanging="567"/>
        <w:jc w:val="left"/>
        <w:rPr>
          <w:sz w:val="24"/>
        </w:rPr>
      </w:pPr>
      <w:r>
        <w:rPr>
          <w:sz w:val="24"/>
        </w:rPr>
        <w:t>the advice to be provided to the </w:t>
      </w:r>
      <w:r>
        <w:rPr>
          <w:i/>
          <w:sz w:val="24"/>
        </w:rPr>
        <w:t>AEMC </w:t>
      </w:r>
      <w:r>
        <w:rPr>
          <w:sz w:val="24"/>
        </w:rPr>
        <w:t>by </w:t>
      </w:r>
      <w:r>
        <w:rPr>
          <w:i/>
          <w:sz w:val="24"/>
        </w:rPr>
        <w:t>AEMO</w:t>
      </w:r>
      <w:r>
        <w:rPr>
          <w:sz w:val="24"/>
        </w:rPr>
        <w:t>, including the terms of reference for any such</w:t>
      </w:r>
      <w:r>
        <w:rPr>
          <w:spacing w:val="-2"/>
          <w:sz w:val="24"/>
        </w:rPr>
        <w:t> </w:t>
      </w:r>
      <w:r>
        <w:rPr>
          <w:sz w:val="24"/>
        </w:rPr>
        <w:t>advice;</w:t>
      </w:r>
    </w:p>
    <w:p>
      <w:pPr>
        <w:pStyle w:val="ListParagraph"/>
        <w:numPr>
          <w:ilvl w:val="3"/>
          <w:numId w:val="258"/>
        </w:numPr>
        <w:tabs>
          <w:tab w:pos="2485" w:val="left" w:leader="none"/>
          <w:tab w:pos="2486" w:val="left" w:leader="none"/>
        </w:tabs>
        <w:spacing w:line="240" w:lineRule="auto" w:before="120" w:after="0"/>
        <w:ind w:left="2486" w:right="413" w:hanging="567"/>
        <w:jc w:val="left"/>
        <w:rPr>
          <w:sz w:val="24"/>
        </w:rPr>
      </w:pPr>
      <w:r>
        <w:rPr>
          <w:sz w:val="24"/>
        </w:rPr>
        <w:t>the matters that </w:t>
      </w:r>
      <w:r>
        <w:rPr>
          <w:i/>
          <w:sz w:val="24"/>
        </w:rPr>
        <w:t>AEMO </w:t>
      </w:r>
      <w:r>
        <w:rPr>
          <w:sz w:val="24"/>
        </w:rPr>
        <w:t>and the </w:t>
      </w:r>
      <w:r>
        <w:rPr>
          <w:i/>
          <w:sz w:val="24"/>
        </w:rPr>
        <w:t>AEMC </w:t>
      </w:r>
      <w:r>
        <w:rPr>
          <w:sz w:val="24"/>
        </w:rPr>
        <w:t>may consider in recommending or nominating a person as an appropriate directed party;</w:t>
      </w:r>
      <w:r>
        <w:rPr>
          <w:spacing w:val="-2"/>
          <w:sz w:val="24"/>
        </w:rPr>
        <w:t> </w:t>
      </w:r>
      <w:r>
        <w:rPr>
          <w:sz w:val="24"/>
        </w:rPr>
        <w:t>and</w:t>
      </w:r>
    </w:p>
    <w:p>
      <w:pPr>
        <w:pStyle w:val="ListParagraph"/>
        <w:numPr>
          <w:ilvl w:val="3"/>
          <w:numId w:val="258"/>
        </w:numPr>
        <w:tabs>
          <w:tab w:pos="2485" w:val="left" w:leader="none"/>
          <w:tab w:pos="2486" w:val="left" w:leader="none"/>
        </w:tabs>
        <w:spacing w:line="240" w:lineRule="auto" w:before="120" w:after="0"/>
        <w:ind w:left="2486" w:right="414" w:hanging="567"/>
        <w:jc w:val="left"/>
        <w:rPr>
          <w:sz w:val="24"/>
        </w:rPr>
      </w:pPr>
      <w:r>
        <w:rPr>
          <w:sz w:val="24"/>
        </w:rPr>
        <w:t>the provision of information to the </w:t>
      </w:r>
      <w:r>
        <w:rPr>
          <w:i/>
          <w:sz w:val="24"/>
        </w:rPr>
        <w:t>AEMC </w:t>
      </w:r>
      <w:r>
        <w:rPr>
          <w:sz w:val="24"/>
        </w:rPr>
        <w:t>in relation to the exercise of the </w:t>
      </w:r>
      <w:r>
        <w:rPr>
          <w:i/>
          <w:sz w:val="24"/>
        </w:rPr>
        <w:t>last resort planning</w:t>
      </w:r>
      <w:r>
        <w:rPr>
          <w:i/>
          <w:spacing w:val="-2"/>
          <w:sz w:val="24"/>
        </w:rPr>
        <w:t> </w:t>
      </w:r>
      <w:r>
        <w:rPr>
          <w:i/>
          <w:sz w:val="24"/>
        </w:rPr>
        <w:t>power</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must develop and </w:t>
      </w:r>
      <w:r>
        <w:rPr>
          <w:i/>
          <w:sz w:val="24"/>
        </w:rPr>
        <w:t>publish </w:t>
      </w:r>
      <w:r>
        <w:rPr>
          <w:sz w:val="24"/>
        </w:rPr>
        <w:t>the </w:t>
      </w:r>
      <w:r>
        <w:rPr>
          <w:i/>
          <w:sz w:val="24"/>
        </w:rPr>
        <w:t>last resort planning power </w:t>
      </w:r>
      <w:r>
        <w:rPr>
          <w:i/>
          <w:sz w:val="24"/>
        </w:rPr>
        <w:t>guidelines </w:t>
      </w:r>
      <w:r>
        <w:rPr>
          <w:sz w:val="24"/>
        </w:rPr>
        <w:t>in accordance with the </w:t>
      </w:r>
      <w:r>
        <w:rPr>
          <w:i/>
          <w:sz w:val="24"/>
        </w:rPr>
        <w:t>transmission consultation</w:t>
      </w:r>
      <w:r>
        <w:rPr>
          <w:i/>
          <w:spacing w:val="-5"/>
          <w:sz w:val="24"/>
        </w:rPr>
        <w:t> </w:t>
      </w:r>
      <w:r>
        <w:rPr>
          <w:i/>
          <w:sz w:val="24"/>
        </w:rPr>
        <w:t>procedures</w:t>
      </w:r>
      <w:r>
        <w:rPr>
          <w:sz w:val="24"/>
        </w:rPr>
        <w:t>.</w:t>
      </w:r>
    </w:p>
    <w:p>
      <w:pPr>
        <w:pStyle w:val="ListParagraph"/>
        <w:numPr>
          <w:ilvl w:val="2"/>
          <w:numId w:val="258"/>
        </w:numPr>
        <w:tabs>
          <w:tab w:pos="1919" w:val="left" w:leader="none"/>
        </w:tabs>
        <w:spacing w:line="240" w:lineRule="auto" w:before="120" w:after="0"/>
        <w:ind w:left="1919" w:right="415" w:hanging="567"/>
        <w:jc w:val="both"/>
        <w:rPr>
          <w:sz w:val="24"/>
        </w:rPr>
      </w:pPr>
      <w:r>
        <w:rPr>
          <w:sz w:val="24"/>
        </w:rPr>
        <w:t>The </w:t>
      </w:r>
      <w:r>
        <w:rPr>
          <w:i/>
          <w:sz w:val="24"/>
        </w:rPr>
        <w:t>AEMC </w:t>
      </w:r>
      <w:r>
        <w:rPr>
          <w:sz w:val="24"/>
        </w:rPr>
        <w:t>must develop and </w:t>
      </w:r>
      <w:r>
        <w:rPr>
          <w:i/>
          <w:sz w:val="24"/>
        </w:rPr>
        <w:t>publish </w:t>
      </w:r>
      <w:r>
        <w:rPr>
          <w:sz w:val="24"/>
        </w:rPr>
        <w:t>the first </w:t>
      </w:r>
      <w:r>
        <w:rPr>
          <w:i/>
          <w:sz w:val="24"/>
        </w:rPr>
        <w:t>last resort planning power </w:t>
      </w:r>
      <w:r>
        <w:rPr>
          <w:i/>
          <w:sz w:val="24"/>
        </w:rPr>
        <w:t>guidelines </w:t>
      </w:r>
      <w:r>
        <w:rPr>
          <w:sz w:val="24"/>
        </w:rPr>
        <w:t>by 1 January 2008 and there must be such guidelines available at all times after that</w:t>
      </w:r>
      <w:r>
        <w:rPr>
          <w:spacing w:val="-1"/>
          <w:sz w:val="24"/>
        </w:rPr>
        <w:t> </w:t>
      </w:r>
      <w:r>
        <w:rPr>
          <w:sz w:val="24"/>
        </w:rPr>
        <w:t>date.</w:t>
      </w:r>
    </w:p>
    <w:p>
      <w:pPr>
        <w:pStyle w:val="ListParagraph"/>
        <w:numPr>
          <w:ilvl w:val="2"/>
          <w:numId w:val="258"/>
        </w:numPr>
        <w:tabs>
          <w:tab w:pos="1919" w:val="left" w:leader="none"/>
        </w:tabs>
        <w:spacing w:line="240" w:lineRule="auto" w:before="120" w:after="0"/>
        <w:ind w:left="1919" w:right="414" w:hanging="567"/>
        <w:jc w:val="both"/>
        <w:rPr>
          <w:sz w:val="24"/>
        </w:rPr>
      </w:pPr>
      <w:r>
        <w:rPr>
          <w:sz w:val="24"/>
        </w:rPr>
        <w:t>The </w:t>
      </w:r>
      <w:r>
        <w:rPr>
          <w:i/>
          <w:sz w:val="24"/>
        </w:rPr>
        <w:t>AEMC </w:t>
      </w:r>
      <w:r>
        <w:rPr>
          <w:sz w:val="24"/>
        </w:rPr>
        <w:t>may from time to time and in accordance with the </w:t>
      </w:r>
      <w:r>
        <w:rPr>
          <w:i/>
          <w:sz w:val="24"/>
        </w:rPr>
        <w:t>transmission </w:t>
      </w:r>
      <w:r>
        <w:rPr>
          <w:i/>
          <w:sz w:val="24"/>
        </w:rPr>
        <w:t>consultation procedures</w:t>
      </w:r>
      <w:r>
        <w:rPr>
          <w:sz w:val="24"/>
        </w:rPr>
        <w:t>, amend or replace the </w:t>
      </w:r>
      <w:r>
        <w:rPr>
          <w:i/>
          <w:sz w:val="24"/>
        </w:rPr>
        <w:t>last resort planning power </w:t>
      </w:r>
      <w:r>
        <w:rPr>
          <w:i/>
          <w:sz w:val="24"/>
        </w:rPr>
        <w:t>guidelines</w:t>
      </w:r>
      <w:r>
        <w:rPr>
          <w:sz w:val="24"/>
        </w:rPr>
        <w:t>.</w:t>
      </w:r>
    </w:p>
    <w:p>
      <w:pPr>
        <w:pStyle w:val="BodyText"/>
        <w:spacing w:before="10"/>
        <w:ind w:firstLine="0"/>
        <w:jc w:val="left"/>
        <w:rPr>
          <w:sz w:val="20"/>
        </w:rPr>
      </w:pPr>
    </w:p>
    <w:p>
      <w:pPr>
        <w:pStyle w:val="Heading2"/>
        <w:tabs>
          <w:tab w:pos="2485" w:val="left" w:leader="none"/>
        </w:tabs>
      </w:pPr>
      <w:bookmarkStart w:name="Schedule 5.1a System standards" w:id="898"/>
      <w:bookmarkEnd w:id="898"/>
      <w:r>
        <w:rPr>
          <w:b w:val="0"/>
        </w:rPr>
      </w:r>
      <w:bookmarkStart w:name="_bookmark341" w:id="899"/>
      <w:bookmarkEnd w:id="899"/>
      <w:r>
        <w:rPr>
          <w:b w:val="0"/>
        </w:rPr>
      </w:r>
      <w:r>
        <w:rPr/>
        <w:t>Schedule</w:t>
      </w:r>
      <w:r>
        <w:rPr>
          <w:spacing w:val="-1"/>
        </w:rPr>
        <w:t> </w:t>
      </w:r>
      <w:r>
        <w:rPr/>
        <w:t>5.1a</w:t>
        <w:tab/>
        <w:t>System</w:t>
      </w:r>
      <w:r>
        <w:rPr>
          <w:spacing w:val="-1"/>
        </w:rPr>
        <w:t> </w:t>
      </w:r>
      <w:r>
        <w:rPr/>
        <w:t>standards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schedule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351" w:val="left" w:leader="none"/>
        </w:tabs>
        <w:ind w:left="218" w:firstLine="0"/>
      </w:pPr>
      <w:bookmarkStart w:name="S5.1a.1 Purpose" w:id="900"/>
      <w:bookmarkEnd w:id="900"/>
      <w:r>
        <w:rPr>
          <w:b w:val="0"/>
        </w:rPr>
      </w:r>
      <w:bookmarkStart w:name="_bookmark342" w:id="901"/>
      <w:bookmarkEnd w:id="901"/>
      <w:r>
        <w:rPr>
          <w:b w:val="0"/>
        </w:rPr>
      </w:r>
      <w:r>
        <w:rPr/>
        <w:t>S5.1a.1</w:t>
        <w:tab/>
        <w:t>Purpose</w:t>
      </w:r>
    </w:p>
    <w:p>
      <w:pPr>
        <w:spacing w:before="120"/>
        <w:ind w:left="1352" w:right="0" w:firstLine="0"/>
        <w:jc w:val="both"/>
        <w:rPr>
          <w:sz w:val="24"/>
        </w:rPr>
      </w:pPr>
      <w:r>
        <w:rPr>
          <w:sz w:val="24"/>
        </w:rPr>
        <w:t>The purpose of this schedule is to establish </w:t>
      </w:r>
      <w:r>
        <w:rPr>
          <w:i/>
          <w:sz w:val="24"/>
        </w:rPr>
        <w:t>system standards </w:t>
      </w:r>
      <w:r>
        <w:rPr>
          <w:sz w:val="24"/>
        </w:rPr>
        <w:t>that:</w:t>
      </w:r>
    </w:p>
    <w:p>
      <w:pPr>
        <w:pStyle w:val="ListParagraph"/>
        <w:numPr>
          <w:ilvl w:val="0"/>
          <w:numId w:val="259"/>
        </w:numPr>
        <w:tabs>
          <w:tab w:pos="1919" w:val="left" w:leader="none"/>
        </w:tabs>
        <w:spacing w:line="240" w:lineRule="auto" w:before="120" w:after="0"/>
        <w:ind w:left="1918" w:right="0" w:hanging="567"/>
        <w:jc w:val="both"/>
        <w:rPr>
          <w:i/>
          <w:sz w:val="24"/>
        </w:rPr>
      </w:pPr>
      <w:r>
        <w:rPr>
          <w:sz w:val="24"/>
        </w:rPr>
        <w:t>are</w:t>
      </w:r>
      <w:r>
        <w:rPr>
          <w:spacing w:val="7"/>
          <w:sz w:val="24"/>
        </w:rPr>
        <w:t> </w:t>
      </w:r>
      <w:r>
        <w:rPr>
          <w:sz w:val="24"/>
        </w:rPr>
        <w:t>necessary</w:t>
      </w:r>
      <w:r>
        <w:rPr>
          <w:spacing w:val="8"/>
          <w:sz w:val="24"/>
        </w:rPr>
        <w:t> </w:t>
      </w:r>
      <w:r>
        <w:rPr>
          <w:sz w:val="24"/>
        </w:rPr>
        <w:t>or</w:t>
      </w:r>
      <w:r>
        <w:rPr>
          <w:spacing w:val="7"/>
          <w:sz w:val="24"/>
        </w:rPr>
        <w:t> </w:t>
      </w:r>
      <w:r>
        <w:rPr>
          <w:sz w:val="24"/>
        </w:rPr>
        <w:t>desirable</w:t>
      </w:r>
      <w:r>
        <w:rPr>
          <w:spacing w:val="8"/>
          <w:sz w:val="24"/>
        </w:rPr>
        <w:t> </w:t>
      </w:r>
      <w:r>
        <w:rPr>
          <w:sz w:val="24"/>
        </w:rPr>
        <w:t>for</w:t>
      </w:r>
      <w:r>
        <w:rPr>
          <w:spacing w:val="7"/>
          <w:sz w:val="24"/>
        </w:rPr>
        <w:t> </w:t>
      </w:r>
      <w:r>
        <w:rPr>
          <w:sz w:val="24"/>
        </w:rPr>
        <w:t>the</w:t>
      </w:r>
      <w:r>
        <w:rPr>
          <w:spacing w:val="8"/>
          <w:sz w:val="24"/>
        </w:rPr>
        <w:t> </w:t>
      </w:r>
      <w:r>
        <w:rPr>
          <w:sz w:val="24"/>
        </w:rPr>
        <w:t>safe</w:t>
      </w:r>
      <w:r>
        <w:rPr>
          <w:spacing w:val="7"/>
          <w:sz w:val="24"/>
        </w:rPr>
        <w:t> </w:t>
      </w:r>
      <w:r>
        <w:rPr>
          <w:sz w:val="24"/>
        </w:rPr>
        <w:t>and</w:t>
      </w:r>
      <w:r>
        <w:rPr>
          <w:spacing w:val="8"/>
          <w:sz w:val="24"/>
        </w:rPr>
        <w:t> </w:t>
      </w:r>
      <w:r>
        <w:rPr>
          <w:sz w:val="24"/>
        </w:rPr>
        <w:t>reliable</w:t>
      </w:r>
      <w:r>
        <w:rPr>
          <w:spacing w:val="8"/>
          <w:sz w:val="24"/>
        </w:rPr>
        <w:t> </w:t>
      </w:r>
      <w:r>
        <w:rPr>
          <w:sz w:val="24"/>
        </w:rPr>
        <w:t>operation</w:t>
      </w:r>
      <w:r>
        <w:rPr>
          <w:spacing w:val="7"/>
          <w:sz w:val="24"/>
        </w:rPr>
        <w:t> </w:t>
      </w:r>
      <w:r>
        <w:rPr>
          <w:sz w:val="24"/>
        </w:rPr>
        <w:t>of</w:t>
      </w:r>
      <w:r>
        <w:rPr>
          <w:spacing w:val="8"/>
          <w:sz w:val="24"/>
        </w:rPr>
        <w:t> </w:t>
      </w:r>
      <w:r>
        <w:rPr>
          <w:sz w:val="24"/>
        </w:rPr>
        <w:t>the</w:t>
      </w:r>
      <w:r>
        <w:rPr>
          <w:spacing w:val="7"/>
          <w:sz w:val="24"/>
        </w:rPr>
        <w:t> </w:t>
      </w:r>
      <w:r>
        <w:rPr>
          <w:i/>
          <w:sz w:val="24"/>
        </w:rPr>
        <w:t>facilities</w:t>
      </w:r>
    </w:p>
    <w:p>
      <w:pPr>
        <w:spacing w:before="0"/>
        <w:ind w:left="1919" w:right="0" w:firstLine="0"/>
        <w:jc w:val="both"/>
        <w:rPr>
          <w:sz w:val="24"/>
        </w:rPr>
      </w:pPr>
      <w:r>
        <w:rPr>
          <w:sz w:val="24"/>
        </w:rPr>
        <w:t>of </w:t>
      </w:r>
      <w:r>
        <w:rPr>
          <w:i/>
          <w:sz w:val="24"/>
        </w:rPr>
        <w:t>Registered Participants</w:t>
      </w:r>
      <w:r>
        <w:rPr>
          <w:sz w:val="24"/>
        </w:rPr>
        <w:t>;</w:t>
      </w:r>
    </w:p>
    <w:p>
      <w:pPr>
        <w:pStyle w:val="ListParagraph"/>
        <w:numPr>
          <w:ilvl w:val="0"/>
          <w:numId w:val="259"/>
        </w:numPr>
        <w:tabs>
          <w:tab w:pos="1919" w:val="left" w:leader="none"/>
        </w:tabs>
        <w:spacing w:line="240" w:lineRule="auto" w:before="120" w:after="0"/>
        <w:ind w:left="1918" w:right="0" w:hanging="567"/>
        <w:jc w:val="both"/>
        <w:rPr>
          <w:sz w:val="24"/>
        </w:rPr>
      </w:pPr>
      <w:r>
        <w:rPr>
          <w:sz w:val="24"/>
        </w:rPr>
        <w:t>are necessary or desirable for the safe and reliable operation of</w:t>
      </w:r>
      <w:r>
        <w:rPr>
          <w:spacing w:val="-5"/>
          <w:sz w:val="24"/>
        </w:rPr>
        <w:t> </w:t>
      </w:r>
      <w:r>
        <w:rPr>
          <w:sz w:val="24"/>
        </w:rPr>
        <w:t>equipment;</w:t>
      </w:r>
    </w:p>
    <w:p>
      <w:pPr>
        <w:pStyle w:val="ListParagraph"/>
        <w:numPr>
          <w:ilvl w:val="0"/>
          <w:numId w:val="259"/>
        </w:numPr>
        <w:tabs>
          <w:tab w:pos="1919" w:val="left" w:leader="none"/>
        </w:tabs>
        <w:spacing w:line="240" w:lineRule="auto" w:before="120" w:after="0"/>
        <w:ind w:left="1918" w:right="0" w:hanging="567"/>
        <w:jc w:val="both"/>
        <w:rPr>
          <w:sz w:val="24"/>
        </w:rPr>
      </w:pPr>
      <w:r>
        <w:rPr>
          <w:sz w:val="24"/>
        </w:rPr>
        <w:t>could be reasonably considered </w:t>
      </w:r>
      <w:r>
        <w:rPr>
          <w:i/>
          <w:sz w:val="24"/>
        </w:rPr>
        <w:t>good electricity industry practice</w:t>
      </w:r>
      <w:r>
        <w:rPr>
          <w:sz w:val="24"/>
        </w:rPr>
        <w:t>;</w:t>
      </w:r>
      <w:r>
        <w:rPr>
          <w:spacing w:val="-2"/>
          <w:sz w:val="24"/>
        </w:rPr>
        <w:t> </w:t>
      </w:r>
      <w:r>
        <w:rPr>
          <w:sz w:val="24"/>
        </w:rPr>
        <w:t>and</w:t>
      </w:r>
    </w:p>
    <w:p>
      <w:pPr>
        <w:pStyle w:val="ListParagraph"/>
        <w:numPr>
          <w:ilvl w:val="0"/>
          <w:numId w:val="259"/>
        </w:numPr>
        <w:tabs>
          <w:tab w:pos="1919" w:val="left" w:leader="none"/>
        </w:tabs>
        <w:spacing w:line="240" w:lineRule="auto" w:before="120" w:after="0"/>
        <w:ind w:left="1919" w:right="414" w:hanging="567"/>
        <w:jc w:val="both"/>
        <w:rPr>
          <w:sz w:val="24"/>
        </w:rPr>
      </w:pPr>
      <w:r>
        <w:rPr>
          <w:sz w:val="24"/>
        </w:rPr>
        <w:t>seek to avoid the imposition of undue costs on the industry or </w:t>
      </w:r>
      <w:r>
        <w:rPr>
          <w:i/>
          <w:sz w:val="24"/>
        </w:rPr>
        <w:t>Registered </w:t>
      </w:r>
      <w:r>
        <w:rPr>
          <w:i/>
          <w:sz w:val="24"/>
        </w:rPr>
        <w:t>Participants</w:t>
      </w:r>
      <w:r>
        <w:rPr>
          <w:sz w:val="24"/>
        </w:rPr>
        <w:t>.</w:t>
      </w:r>
    </w:p>
    <w:p>
      <w:pPr>
        <w:spacing w:before="120"/>
        <w:ind w:left="1352" w:right="416" w:firstLine="0"/>
        <w:jc w:val="both"/>
        <w:rPr>
          <w:sz w:val="24"/>
        </w:rPr>
      </w:pPr>
      <w:r>
        <w:rPr>
          <w:sz w:val="24"/>
        </w:rPr>
        <w:t>A </w:t>
      </w:r>
      <w:r>
        <w:rPr>
          <w:i/>
          <w:sz w:val="24"/>
        </w:rPr>
        <w:t>Registered Participant </w:t>
      </w:r>
      <w:r>
        <w:rPr>
          <w:sz w:val="24"/>
        </w:rPr>
        <w:t>should not, by virtue of this schedule, rely on </w:t>
      </w:r>
      <w:r>
        <w:rPr>
          <w:i/>
          <w:sz w:val="24"/>
        </w:rPr>
        <w:t>system </w:t>
      </w:r>
      <w:r>
        <w:rPr>
          <w:i/>
          <w:sz w:val="24"/>
        </w:rPr>
        <w:t>standards </w:t>
      </w:r>
      <w:r>
        <w:rPr>
          <w:sz w:val="24"/>
        </w:rPr>
        <w:t>being fully complied with at a </w:t>
      </w:r>
      <w:r>
        <w:rPr>
          <w:i/>
          <w:sz w:val="24"/>
        </w:rPr>
        <w:t>connection point </w:t>
      </w:r>
      <w:r>
        <w:rPr>
          <w:sz w:val="24"/>
        </w:rPr>
        <w:t>under all circumstances. However, a </w:t>
      </w:r>
      <w:r>
        <w:rPr>
          <w:i/>
          <w:sz w:val="24"/>
        </w:rPr>
        <w:t>Registered Participant </w:t>
      </w:r>
      <w:r>
        <w:rPr>
          <w:sz w:val="24"/>
        </w:rPr>
        <w:t>should expect to be reasonably informed of circumstances where the standard of </w:t>
      </w:r>
      <w:r>
        <w:rPr>
          <w:i/>
          <w:sz w:val="24"/>
        </w:rPr>
        <w:t>supply </w:t>
      </w:r>
      <w:r>
        <w:rPr>
          <w:sz w:val="24"/>
        </w:rPr>
        <w:t>at its </w:t>
      </w:r>
      <w:r>
        <w:rPr>
          <w:i/>
          <w:sz w:val="24"/>
        </w:rPr>
        <w:t>connection points </w:t>
      </w:r>
      <w:r>
        <w:rPr>
          <w:sz w:val="24"/>
        </w:rPr>
        <w:t>will not conform to the </w:t>
      </w:r>
      <w:r>
        <w:rPr>
          <w:i/>
          <w:sz w:val="24"/>
        </w:rPr>
        <w:t>system</w:t>
      </w:r>
      <w:r>
        <w:rPr>
          <w:i/>
          <w:spacing w:val="-4"/>
          <w:sz w:val="24"/>
        </w:rPr>
        <w:t> </w:t>
      </w:r>
      <w:r>
        <w:rPr>
          <w:i/>
          <w:sz w:val="24"/>
        </w:rPr>
        <w:t>standards</w:t>
      </w:r>
      <w:r>
        <w:rPr>
          <w:sz w:val="24"/>
        </w:rPr>
        <w:t>.</w:t>
      </w:r>
    </w:p>
    <w:p>
      <w:pPr>
        <w:spacing w:before="120"/>
        <w:ind w:left="1352" w:right="416" w:firstLine="0"/>
        <w:jc w:val="both"/>
        <w:rPr>
          <w:sz w:val="24"/>
        </w:rPr>
      </w:pPr>
      <w:r>
        <w:rPr>
          <w:sz w:val="24"/>
        </w:rPr>
        <w:t>Except for standards of </w:t>
      </w:r>
      <w:r>
        <w:rPr>
          <w:i/>
          <w:sz w:val="24"/>
        </w:rPr>
        <w:t>frequency </w:t>
      </w:r>
      <w:r>
        <w:rPr>
          <w:sz w:val="24"/>
        </w:rPr>
        <w:t>and system stability, a </w:t>
      </w:r>
      <w:r>
        <w:rPr>
          <w:i/>
          <w:sz w:val="24"/>
        </w:rPr>
        <w:t>Registered Participant </w:t>
      </w:r>
      <w:r>
        <w:rPr>
          <w:sz w:val="24"/>
        </w:rPr>
        <w:t>should have the opportunity to negotiate or renegotiate relevant terms of a </w:t>
      </w:r>
      <w:r>
        <w:rPr>
          <w:i/>
          <w:sz w:val="24"/>
        </w:rPr>
        <w:t>connection agreement </w:t>
      </w:r>
      <w:r>
        <w:rPr>
          <w:sz w:val="24"/>
        </w:rPr>
        <w:t>(including relevant charges), to improve the standard of </w:t>
      </w:r>
      <w:r>
        <w:rPr>
          <w:i/>
          <w:sz w:val="24"/>
        </w:rPr>
        <w:t>supply </w:t>
      </w:r>
      <w:r>
        <w:rPr>
          <w:sz w:val="24"/>
        </w:rPr>
        <w:t>to the level of the </w:t>
      </w:r>
      <w:r>
        <w:rPr>
          <w:i/>
          <w:sz w:val="24"/>
        </w:rPr>
        <w:t>system standard</w:t>
      </w:r>
      <w:r>
        <w:rPr>
          <w:sz w:val="24"/>
        </w:rPr>
        <w:t>.</w:t>
      </w:r>
    </w:p>
    <w:p>
      <w:pPr>
        <w:spacing w:before="120"/>
        <w:ind w:left="1352" w:right="0" w:firstLine="0"/>
        <w:jc w:val="both"/>
        <w:rPr>
          <w:sz w:val="24"/>
        </w:rPr>
      </w:pPr>
      <w:r>
        <w:rPr>
          <w:sz w:val="24"/>
        </w:rPr>
        <w:t>The </w:t>
      </w:r>
      <w:r>
        <w:rPr>
          <w:i/>
          <w:sz w:val="24"/>
        </w:rPr>
        <w:t>system standards </w:t>
      </w:r>
      <w:r>
        <w:rPr>
          <w:sz w:val="24"/>
        </w:rPr>
        <w:t>are set out below.</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5.1a.2 Frequency" w:id="902"/>
      <w:bookmarkEnd w:id="902"/>
      <w:r>
        <w:rPr>
          <w:b w:val="0"/>
        </w:rPr>
      </w:r>
      <w:bookmarkStart w:name="_bookmark343" w:id="903"/>
      <w:bookmarkEnd w:id="903"/>
      <w:r>
        <w:rPr>
          <w:b w:val="0"/>
        </w:rPr>
      </w:r>
      <w:r>
        <w:rPr/>
        <w:t>S5.1a.2</w:t>
        <w:tab/>
        <w:t>Frequency</w:t>
      </w:r>
    </w:p>
    <w:p>
      <w:pPr>
        <w:spacing w:before="120"/>
        <w:ind w:left="1352" w:right="416" w:firstLine="0"/>
        <w:jc w:val="both"/>
        <w:rPr>
          <w:sz w:val="24"/>
        </w:rPr>
      </w:pPr>
      <w:r>
        <w:rPr>
          <w:sz w:val="24"/>
        </w:rPr>
        <w:t>The </w:t>
      </w:r>
      <w:r>
        <w:rPr>
          <w:i/>
          <w:sz w:val="24"/>
        </w:rPr>
        <w:t>frequency operating standards </w:t>
      </w:r>
      <w:r>
        <w:rPr>
          <w:sz w:val="24"/>
        </w:rPr>
        <w:t>are </w:t>
      </w:r>
      <w:r>
        <w:rPr>
          <w:i/>
          <w:sz w:val="24"/>
        </w:rPr>
        <w:t>system standards </w:t>
      </w:r>
      <w:r>
        <w:rPr>
          <w:sz w:val="24"/>
        </w:rPr>
        <w:t>and are as determined by the </w:t>
      </w:r>
      <w:r>
        <w:rPr>
          <w:i/>
          <w:sz w:val="24"/>
        </w:rPr>
        <w:t>Reliability Panel </w:t>
      </w:r>
      <w:r>
        <w:rPr>
          <w:sz w:val="24"/>
        </w:rPr>
        <w:t>and </w:t>
      </w:r>
      <w:r>
        <w:rPr>
          <w:i/>
          <w:sz w:val="24"/>
        </w:rPr>
        <w:t>published </w:t>
      </w:r>
      <w:r>
        <w:rPr>
          <w:sz w:val="24"/>
        </w:rPr>
        <w:t>by the </w:t>
      </w:r>
      <w:r>
        <w:rPr>
          <w:i/>
          <w:sz w:val="24"/>
        </w:rPr>
        <w:t>AEMC</w:t>
      </w:r>
      <w:r>
        <w:rPr>
          <w:sz w:val="24"/>
        </w:rPr>
        <w:t>.</w:t>
      </w:r>
    </w:p>
    <w:p>
      <w:pPr>
        <w:pStyle w:val="BodyText"/>
        <w:spacing w:before="10"/>
        <w:ind w:firstLine="0"/>
        <w:jc w:val="left"/>
        <w:rPr>
          <w:sz w:val="20"/>
        </w:rPr>
      </w:pPr>
    </w:p>
    <w:p>
      <w:pPr>
        <w:pStyle w:val="Heading4"/>
        <w:tabs>
          <w:tab w:pos="1351" w:val="left" w:leader="none"/>
        </w:tabs>
        <w:ind w:left="218" w:firstLine="0"/>
      </w:pPr>
      <w:bookmarkStart w:name="S5.1a.3 System stability" w:id="904"/>
      <w:bookmarkEnd w:id="904"/>
      <w:r>
        <w:rPr>
          <w:b w:val="0"/>
        </w:rPr>
      </w:r>
      <w:bookmarkStart w:name="_bookmark344" w:id="905"/>
      <w:bookmarkEnd w:id="905"/>
      <w:r>
        <w:rPr>
          <w:b w:val="0"/>
        </w:rPr>
      </w:r>
      <w:r>
        <w:rPr/>
        <w:t>S5.1a.3</w:t>
        <w:tab/>
        <w:t>System</w:t>
      </w:r>
      <w:r>
        <w:rPr>
          <w:spacing w:val="-1"/>
        </w:rPr>
        <w:t> </w:t>
      </w:r>
      <w:r>
        <w:rPr/>
        <w:t>stability</w:t>
      </w:r>
    </w:p>
    <w:p>
      <w:pPr>
        <w:spacing w:before="120"/>
        <w:ind w:left="1352" w:right="0" w:firstLine="0"/>
        <w:jc w:val="both"/>
        <w:rPr>
          <w:sz w:val="24"/>
        </w:rPr>
      </w:pPr>
      <w:r>
        <w:rPr>
          <w:sz w:val="24"/>
        </w:rPr>
        <w:t>The </w:t>
      </w:r>
      <w:r>
        <w:rPr>
          <w:i/>
          <w:sz w:val="24"/>
        </w:rPr>
        <w:t>power system </w:t>
      </w:r>
      <w:r>
        <w:rPr>
          <w:sz w:val="24"/>
        </w:rPr>
        <w:t>should remain in synchronism and be stable:</w:t>
      </w:r>
    </w:p>
    <w:p>
      <w:pPr>
        <w:pStyle w:val="ListParagraph"/>
        <w:numPr>
          <w:ilvl w:val="0"/>
          <w:numId w:val="260"/>
        </w:numPr>
        <w:tabs>
          <w:tab w:pos="1919" w:val="left" w:leader="none"/>
        </w:tabs>
        <w:spacing w:line="240" w:lineRule="auto" w:before="120" w:after="0"/>
        <w:ind w:left="1919" w:right="415" w:hanging="567"/>
        <w:jc w:val="both"/>
        <w:rPr>
          <w:sz w:val="24"/>
        </w:rPr>
      </w:pPr>
      <w:r>
        <w:rPr>
          <w:b/>
          <w:sz w:val="24"/>
        </w:rPr>
        <w:t>Transient stability</w:t>
      </w:r>
      <w:r>
        <w:rPr>
          <w:sz w:val="24"/>
        </w:rPr>
        <w:t>: following any </w:t>
      </w:r>
      <w:r>
        <w:rPr>
          <w:i/>
          <w:sz w:val="24"/>
        </w:rPr>
        <w:t>credible contingency event </w:t>
      </w:r>
      <w:r>
        <w:rPr>
          <w:sz w:val="24"/>
        </w:rPr>
        <w:t>or </w:t>
      </w:r>
      <w:r>
        <w:rPr>
          <w:i/>
          <w:sz w:val="24"/>
        </w:rPr>
        <w:t>protected </w:t>
      </w:r>
      <w:r>
        <w:rPr>
          <w:i/>
          <w:sz w:val="24"/>
        </w:rPr>
        <w:t>event</w:t>
      </w:r>
      <w:r>
        <w:rPr>
          <w:sz w:val="24"/>
        </w:rPr>
        <w:t>; and</w:t>
      </w:r>
    </w:p>
    <w:p>
      <w:pPr>
        <w:pStyle w:val="ListParagraph"/>
        <w:numPr>
          <w:ilvl w:val="0"/>
          <w:numId w:val="260"/>
        </w:numPr>
        <w:tabs>
          <w:tab w:pos="1919" w:val="left" w:leader="none"/>
        </w:tabs>
        <w:spacing w:line="240" w:lineRule="auto" w:before="120" w:after="0"/>
        <w:ind w:left="1919" w:right="414" w:hanging="567"/>
        <w:jc w:val="both"/>
        <w:rPr>
          <w:sz w:val="24"/>
        </w:rPr>
      </w:pPr>
      <w:r>
        <w:rPr>
          <w:b/>
          <w:sz w:val="24"/>
        </w:rPr>
        <w:t>Oscillatory stability</w:t>
      </w:r>
      <w:r>
        <w:rPr>
          <w:sz w:val="24"/>
        </w:rPr>
        <w:t>: in the absence of any </w:t>
      </w:r>
      <w:r>
        <w:rPr>
          <w:i/>
          <w:sz w:val="24"/>
        </w:rPr>
        <w:t>contingency event</w:t>
      </w:r>
      <w:r>
        <w:rPr>
          <w:sz w:val="24"/>
        </w:rPr>
        <w:t>, for any level of </w:t>
      </w:r>
      <w:r>
        <w:rPr>
          <w:i/>
          <w:sz w:val="24"/>
        </w:rPr>
        <w:t>inter-regional </w:t>
      </w:r>
      <w:r>
        <w:rPr>
          <w:sz w:val="24"/>
        </w:rPr>
        <w:t>or </w:t>
      </w:r>
      <w:r>
        <w:rPr>
          <w:i/>
          <w:sz w:val="24"/>
        </w:rPr>
        <w:t>intra-regional </w:t>
      </w:r>
      <w:r>
        <w:rPr>
          <w:sz w:val="24"/>
        </w:rPr>
        <w:t>power transfer up to the </w:t>
      </w:r>
      <w:r>
        <w:rPr>
          <w:spacing w:val="-3"/>
          <w:sz w:val="24"/>
        </w:rPr>
        <w:t>applicable </w:t>
      </w:r>
      <w:r>
        <w:rPr>
          <w:sz w:val="24"/>
        </w:rPr>
        <w:t>operational limit;</w:t>
      </w:r>
      <w:r>
        <w:rPr>
          <w:spacing w:val="-1"/>
          <w:sz w:val="24"/>
        </w:rPr>
        <w:t> </w:t>
      </w:r>
      <w:r>
        <w:rPr>
          <w:sz w:val="24"/>
        </w:rPr>
        <w:t>and</w:t>
      </w:r>
    </w:p>
    <w:p>
      <w:pPr>
        <w:pStyle w:val="ListParagraph"/>
        <w:numPr>
          <w:ilvl w:val="0"/>
          <w:numId w:val="260"/>
        </w:numPr>
        <w:tabs>
          <w:tab w:pos="1919" w:val="left" w:leader="none"/>
        </w:tabs>
        <w:spacing w:line="240" w:lineRule="auto" w:before="120" w:after="0"/>
        <w:ind w:left="1919" w:right="415" w:hanging="567"/>
        <w:jc w:val="both"/>
        <w:rPr>
          <w:sz w:val="24"/>
        </w:rPr>
      </w:pPr>
      <w:r>
        <w:rPr>
          <w:b/>
          <w:sz w:val="24"/>
        </w:rPr>
        <w:t>Voltage stability</w:t>
      </w:r>
      <w:r>
        <w:rPr>
          <w:sz w:val="24"/>
        </w:rPr>
        <w:t>: stable </w:t>
      </w:r>
      <w:r>
        <w:rPr>
          <w:i/>
          <w:sz w:val="24"/>
        </w:rPr>
        <w:t>voltage </w:t>
      </w:r>
      <w:r>
        <w:rPr>
          <w:sz w:val="24"/>
        </w:rPr>
        <w:t>control must be maintained following the most severe </w:t>
      </w:r>
      <w:r>
        <w:rPr>
          <w:i/>
          <w:sz w:val="24"/>
        </w:rPr>
        <w:t>credible contingency event </w:t>
      </w:r>
      <w:r>
        <w:rPr>
          <w:sz w:val="24"/>
        </w:rPr>
        <w:t>or any </w:t>
      </w:r>
      <w:r>
        <w:rPr>
          <w:i/>
          <w:sz w:val="24"/>
        </w:rPr>
        <w:t>protected</w:t>
      </w:r>
      <w:r>
        <w:rPr>
          <w:i/>
          <w:spacing w:val="-6"/>
          <w:sz w:val="24"/>
        </w:rPr>
        <w:t> </w:t>
      </w:r>
      <w:r>
        <w:rPr>
          <w:i/>
          <w:sz w:val="24"/>
        </w:rPr>
        <w:t>event</w:t>
      </w:r>
      <w:r>
        <w:rPr>
          <w:sz w:val="24"/>
        </w:rPr>
        <w:t>.</w:t>
      </w:r>
    </w:p>
    <w:p>
      <w:pPr>
        <w:pStyle w:val="BodyText"/>
        <w:ind w:left="1352" w:right="414" w:firstLine="0"/>
      </w:pPr>
      <w:r>
        <w:rPr/>
        <w:t>For the purposes of clause S5.1a.3 a </w:t>
      </w:r>
      <w:r>
        <w:rPr>
          <w:i/>
        </w:rPr>
        <w:t>credible contingency event </w:t>
      </w:r>
      <w:r>
        <w:rPr/>
        <w:t>includes the application of a fault (other than a three-phase fault) to any part of the </w:t>
      </w:r>
      <w:r>
        <w:rPr>
          <w:i/>
        </w:rPr>
        <w:t>power </w:t>
      </w:r>
      <w:r>
        <w:rPr>
          <w:i/>
        </w:rPr>
        <w:t>system </w:t>
      </w:r>
      <w:r>
        <w:rPr/>
        <w:t>and de-energisation of the faulted element within the allowable clearance time applicable to that element according to clause S5.1a.8.</w:t>
      </w:r>
    </w:p>
    <w:p>
      <w:pPr>
        <w:pStyle w:val="BodyText"/>
        <w:ind w:left="1352" w:right="414" w:firstLine="0"/>
      </w:pPr>
      <w:r>
        <w:rPr/>
        <w:t>The halving time of any </w:t>
      </w:r>
      <w:r>
        <w:rPr>
          <w:i/>
        </w:rPr>
        <w:t>inter-regional </w:t>
      </w:r>
      <w:r>
        <w:rPr/>
        <w:t>or </w:t>
      </w:r>
      <w:r>
        <w:rPr>
          <w:i/>
        </w:rPr>
        <w:t>intra-regional </w:t>
      </w:r>
      <w:r>
        <w:rPr/>
        <w:t>oscillation, being the time for the amplitude of an oscillation to reduce by half, should be less than      10 seconds. To allow for planning and operational uncertainties, the </w:t>
      </w:r>
      <w:r>
        <w:rPr>
          <w:i/>
        </w:rPr>
        <w:t>power system </w:t>
      </w:r>
      <w:r>
        <w:rPr/>
        <w:t>should be planned and operated to achieve a halving time of 5</w:t>
      </w:r>
      <w:r>
        <w:rPr>
          <w:spacing w:val="-9"/>
        </w:rPr>
        <w:t> </w:t>
      </w:r>
      <w:r>
        <w:rPr/>
        <w:t>seconds.</w:t>
      </w:r>
    </w:p>
    <w:p>
      <w:pPr>
        <w:pStyle w:val="BodyText"/>
        <w:spacing w:before="10"/>
        <w:ind w:firstLine="0"/>
        <w:jc w:val="left"/>
        <w:rPr>
          <w:sz w:val="20"/>
        </w:rPr>
      </w:pPr>
    </w:p>
    <w:p>
      <w:pPr>
        <w:pStyle w:val="Heading4"/>
        <w:tabs>
          <w:tab w:pos="1351" w:val="left" w:leader="none"/>
        </w:tabs>
        <w:ind w:left="218" w:firstLine="0"/>
      </w:pPr>
      <w:bookmarkStart w:name="S5.1a.4 Power frequency voltage" w:id="906"/>
      <w:bookmarkEnd w:id="906"/>
      <w:r>
        <w:rPr>
          <w:b w:val="0"/>
        </w:rPr>
      </w:r>
      <w:bookmarkStart w:name="_bookmark345" w:id="907"/>
      <w:bookmarkEnd w:id="907"/>
      <w:r>
        <w:rPr>
          <w:b w:val="0"/>
        </w:rPr>
      </w:r>
      <w:r>
        <w:rPr/>
        <w:t>S5.1a.4</w:t>
        <w:tab/>
        <w:t>Power frequency</w:t>
      </w:r>
      <w:r>
        <w:rPr>
          <w:spacing w:val="-1"/>
        </w:rPr>
        <w:t> </w:t>
      </w:r>
      <w:r>
        <w:rPr/>
        <w:t>voltage</w:t>
      </w:r>
    </w:p>
    <w:p>
      <w:pPr>
        <w:spacing w:before="120"/>
        <w:ind w:left="1352" w:right="415" w:firstLine="0"/>
        <w:jc w:val="both"/>
        <w:rPr>
          <w:sz w:val="24"/>
        </w:rPr>
      </w:pPr>
      <w:r>
        <w:rPr>
          <w:sz w:val="24"/>
        </w:rPr>
        <w:t>Except as a consequence of a </w:t>
      </w:r>
      <w:r>
        <w:rPr>
          <w:i/>
          <w:sz w:val="24"/>
        </w:rPr>
        <w:t>contingency event</w:t>
      </w:r>
      <w:r>
        <w:rPr>
          <w:sz w:val="24"/>
        </w:rPr>
        <w:t>, the </w:t>
      </w:r>
      <w:r>
        <w:rPr>
          <w:i/>
          <w:sz w:val="24"/>
        </w:rPr>
        <w:t>voltage </w:t>
      </w:r>
      <w:r>
        <w:rPr>
          <w:sz w:val="24"/>
        </w:rPr>
        <w:t>of </w:t>
      </w:r>
      <w:r>
        <w:rPr>
          <w:i/>
          <w:sz w:val="24"/>
        </w:rPr>
        <w:t>supply </w:t>
      </w:r>
      <w:r>
        <w:rPr>
          <w:sz w:val="24"/>
        </w:rPr>
        <w:t>at a </w:t>
      </w:r>
      <w:r>
        <w:rPr>
          <w:i/>
          <w:sz w:val="24"/>
        </w:rPr>
        <w:t>connection point </w:t>
      </w:r>
      <w:r>
        <w:rPr>
          <w:sz w:val="24"/>
        </w:rPr>
        <w:t>should not vary by more than 10 percent above or below its </w:t>
      </w:r>
      <w:r>
        <w:rPr>
          <w:i/>
          <w:sz w:val="24"/>
        </w:rPr>
        <w:t>normal voltage</w:t>
      </w:r>
      <w:r>
        <w:rPr>
          <w:sz w:val="24"/>
        </w:rPr>
        <w:t>, provided that the </w:t>
      </w:r>
      <w:r>
        <w:rPr>
          <w:i/>
          <w:sz w:val="24"/>
        </w:rPr>
        <w:t>reactive power </w:t>
      </w:r>
      <w:r>
        <w:rPr>
          <w:sz w:val="24"/>
        </w:rPr>
        <w:t>flow and the </w:t>
      </w:r>
      <w:r>
        <w:rPr>
          <w:i/>
          <w:sz w:val="24"/>
        </w:rPr>
        <w:t>power factor </w:t>
      </w:r>
      <w:r>
        <w:rPr>
          <w:sz w:val="24"/>
        </w:rPr>
        <w:t>at the </w:t>
      </w:r>
      <w:r>
        <w:rPr>
          <w:i/>
          <w:sz w:val="24"/>
        </w:rPr>
        <w:t>connection point </w:t>
      </w:r>
      <w:r>
        <w:rPr>
          <w:sz w:val="24"/>
        </w:rPr>
        <w:t>is within the corresponding limits set out in the </w:t>
      </w:r>
      <w:r>
        <w:rPr>
          <w:i/>
          <w:sz w:val="24"/>
        </w:rPr>
        <w:t>connection </w:t>
      </w:r>
      <w:r>
        <w:rPr>
          <w:i/>
          <w:sz w:val="24"/>
        </w:rPr>
        <w:t>agreement</w:t>
      </w:r>
      <w:r>
        <w:rPr>
          <w:sz w:val="24"/>
        </w:rPr>
        <w:t>.</w:t>
      </w:r>
    </w:p>
    <w:p>
      <w:pPr>
        <w:spacing w:before="120"/>
        <w:ind w:left="1352" w:right="414" w:firstLine="0"/>
        <w:jc w:val="both"/>
        <w:rPr>
          <w:sz w:val="24"/>
        </w:rPr>
      </w:pPr>
      <w:r>
        <w:rPr>
          <w:sz w:val="24"/>
        </w:rPr>
        <w:t>As a consequence of a </w:t>
      </w:r>
      <w:r>
        <w:rPr>
          <w:i/>
          <w:sz w:val="24"/>
        </w:rPr>
        <w:t>credible contingency event</w:t>
      </w:r>
      <w:r>
        <w:rPr>
          <w:sz w:val="24"/>
        </w:rPr>
        <w:t>, the </w:t>
      </w:r>
      <w:r>
        <w:rPr>
          <w:i/>
          <w:sz w:val="24"/>
        </w:rPr>
        <w:t>voltage </w:t>
      </w:r>
      <w:r>
        <w:rPr>
          <w:sz w:val="24"/>
        </w:rPr>
        <w:t>of </w:t>
      </w:r>
      <w:r>
        <w:rPr>
          <w:i/>
          <w:sz w:val="24"/>
        </w:rPr>
        <w:t>supply </w:t>
      </w:r>
      <w:r>
        <w:rPr>
          <w:sz w:val="24"/>
        </w:rPr>
        <w:t>at a </w:t>
      </w:r>
      <w:r>
        <w:rPr>
          <w:i/>
          <w:sz w:val="24"/>
        </w:rPr>
        <w:t>connection point </w:t>
      </w:r>
      <w:r>
        <w:rPr>
          <w:sz w:val="24"/>
        </w:rPr>
        <w:t>should not rise above its </w:t>
      </w:r>
      <w:r>
        <w:rPr>
          <w:i/>
          <w:sz w:val="24"/>
        </w:rPr>
        <w:t>normal voltage </w:t>
      </w:r>
      <w:r>
        <w:rPr>
          <w:sz w:val="24"/>
        </w:rPr>
        <w:t>by more than a given percentage of </w:t>
      </w:r>
      <w:r>
        <w:rPr>
          <w:i/>
          <w:sz w:val="24"/>
        </w:rPr>
        <w:t>normal voltage </w:t>
      </w:r>
      <w:r>
        <w:rPr>
          <w:sz w:val="24"/>
        </w:rPr>
        <w:t>for longer than the corresponding period shown in Figure S5.1a.1 for that percentage.</w:t>
      </w:r>
    </w:p>
    <w:p>
      <w:pPr>
        <w:spacing w:before="120"/>
        <w:ind w:left="1352" w:right="415" w:firstLine="0"/>
        <w:jc w:val="both"/>
        <w:rPr>
          <w:sz w:val="24"/>
        </w:rPr>
      </w:pPr>
      <w:r>
        <w:rPr>
          <w:sz w:val="24"/>
        </w:rPr>
        <w:t>As a consequence of a </w:t>
      </w:r>
      <w:r>
        <w:rPr>
          <w:i/>
          <w:sz w:val="24"/>
        </w:rPr>
        <w:t>contingency event</w:t>
      </w:r>
      <w:r>
        <w:rPr>
          <w:sz w:val="24"/>
        </w:rPr>
        <w:t>, the </w:t>
      </w:r>
      <w:r>
        <w:rPr>
          <w:i/>
          <w:sz w:val="24"/>
        </w:rPr>
        <w:t>voltage </w:t>
      </w:r>
      <w:r>
        <w:rPr>
          <w:sz w:val="24"/>
        </w:rPr>
        <w:t>of </w:t>
      </w:r>
      <w:r>
        <w:rPr>
          <w:i/>
          <w:sz w:val="24"/>
        </w:rPr>
        <w:t>supply </w:t>
      </w:r>
      <w:r>
        <w:rPr>
          <w:sz w:val="24"/>
        </w:rPr>
        <w:t>at a </w:t>
      </w:r>
      <w:r>
        <w:rPr>
          <w:i/>
          <w:sz w:val="24"/>
        </w:rPr>
        <w:t>connection </w:t>
      </w:r>
      <w:r>
        <w:rPr>
          <w:i/>
          <w:sz w:val="24"/>
        </w:rPr>
        <w:t>point </w:t>
      </w:r>
      <w:r>
        <w:rPr>
          <w:sz w:val="24"/>
        </w:rPr>
        <w:t>could fall to zero for any period.</w:t>
      </w:r>
    </w:p>
    <w:p>
      <w:pPr>
        <w:spacing w:after="0"/>
        <w:jc w:val="both"/>
        <w:rPr>
          <w:sz w:val="24"/>
        </w:rPr>
        <w:sectPr>
          <w:pgSz w:w="11910" w:h="16840"/>
          <w:pgMar w:header="686" w:footer="637" w:top="1320" w:bottom="820" w:left="1200" w:right="1000"/>
        </w:sectPr>
      </w:pPr>
    </w:p>
    <w:p>
      <w:pPr>
        <w:spacing w:before="83"/>
        <w:ind w:left="218" w:right="0" w:firstLine="0"/>
        <w:jc w:val="left"/>
        <w:rPr>
          <w:rFonts w:ascii="Arial"/>
          <w:b/>
          <w:sz w:val="22"/>
        </w:rPr>
      </w:pPr>
      <w:r>
        <w:rPr/>
        <w:drawing>
          <wp:anchor distT="0" distB="0" distL="0" distR="0" allowOverlap="1" layoutInCell="1" locked="0" behindDoc="0" simplePos="0" relativeHeight="8">
            <wp:simplePos x="0" y="0"/>
            <wp:positionH relativeFrom="page">
              <wp:posOffset>900430</wp:posOffset>
            </wp:positionH>
            <wp:positionV relativeFrom="paragraph">
              <wp:posOffset>289545</wp:posOffset>
            </wp:positionV>
            <wp:extent cx="6002185" cy="382219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59" cstate="print"/>
                    <a:stretch>
                      <a:fillRect/>
                    </a:stretch>
                  </pic:blipFill>
                  <pic:spPr>
                    <a:xfrm>
                      <a:off x="0" y="0"/>
                      <a:ext cx="6002185" cy="3822191"/>
                    </a:xfrm>
                    <a:prstGeom prst="rect">
                      <a:avLst/>
                    </a:prstGeom>
                  </pic:spPr>
                </pic:pic>
              </a:graphicData>
            </a:graphic>
          </wp:anchor>
        </w:drawing>
      </w:r>
      <w:r>
        <w:rPr>
          <w:rFonts w:ascii="Arial"/>
          <w:b/>
          <w:sz w:val="22"/>
        </w:rPr>
        <w:t>Figure S5.1a.1</w:t>
      </w:r>
    </w:p>
    <w:p>
      <w:pPr>
        <w:pStyle w:val="Heading4"/>
        <w:tabs>
          <w:tab w:pos="1351" w:val="left" w:leader="none"/>
        </w:tabs>
        <w:spacing w:before="162"/>
        <w:ind w:left="218" w:firstLine="0"/>
      </w:pPr>
      <w:bookmarkStart w:name="S5.1a.5 Voltage fluctuations" w:id="908"/>
      <w:bookmarkEnd w:id="908"/>
      <w:r>
        <w:rPr>
          <w:b w:val="0"/>
        </w:rPr>
      </w:r>
      <w:bookmarkStart w:name="_bookmark346" w:id="909"/>
      <w:bookmarkEnd w:id="909"/>
      <w:r>
        <w:rPr>
          <w:b w:val="0"/>
        </w:rPr>
      </w:r>
      <w:r>
        <w:rPr/>
        <w:t>S5.1a.5</w:t>
        <w:tab/>
        <w:t>Voltage</w:t>
      </w:r>
      <w:r>
        <w:rPr>
          <w:spacing w:val="-1"/>
        </w:rPr>
        <w:t> </w:t>
      </w:r>
      <w:r>
        <w:rPr/>
        <w:t>fluctuations</w:t>
      </w:r>
    </w:p>
    <w:p>
      <w:pPr>
        <w:spacing w:before="120"/>
        <w:ind w:left="1352" w:right="414" w:firstLine="0"/>
        <w:jc w:val="both"/>
        <w:rPr>
          <w:sz w:val="24"/>
        </w:rPr>
      </w:pPr>
      <w:r>
        <w:rPr>
          <w:sz w:val="24"/>
        </w:rPr>
        <w:t>The </w:t>
      </w:r>
      <w:r>
        <w:rPr>
          <w:i/>
          <w:sz w:val="24"/>
        </w:rPr>
        <w:t>voltage </w:t>
      </w:r>
      <w:r>
        <w:rPr>
          <w:sz w:val="24"/>
        </w:rPr>
        <w:t>fluctuation level of </w:t>
      </w:r>
      <w:r>
        <w:rPr>
          <w:i/>
          <w:sz w:val="24"/>
        </w:rPr>
        <w:t>supply </w:t>
      </w:r>
      <w:r>
        <w:rPr>
          <w:sz w:val="24"/>
        </w:rPr>
        <w:t>should be less than the "compatibility levels" set out in Table 1 of </w:t>
      </w:r>
      <w:r>
        <w:rPr>
          <w:i/>
          <w:sz w:val="24"/>
        </w:rPr>
        <w:t>Australian Standard </w:t>
      </w:r>
      <w:r>
        <w:rPr>
          <w:sz w:val="24"/>
        </w:rPr>
        <w:t>AS/NZS 61000.3.7:2001. To facilitate the application of this standard </w:t>
      </w:r>
      <w:r>
        <w:rPr>
          <w:i/>
          <w:sz w:val="24"/>
        </w:rPr>
        <w:t>Network Service Providers </w:t>
      </w:r>
      <w:r>
        <w:rPr>
          <w:sz w:val="24"/>
        </w:rPr>
        <w:t>must establish "planning levels" for their </w:t>
      </w:r>
      <w:r>
        <w:rPr>
          <w:i/>
          <w:sz w:val="24"/>
        </w:rPr>
        <w:t>networks </w:t>
      </w:r>
      <w:r>
        <w:rPr>
          <w:sz w:val="24"/>
        </w:rPr>
        <w:t>as provided for in the </w:t>
      </w:r>
      <w:r>
        <w:rPr>
          <w:i/>
          <w:sz w:val="24"/>
        </w:rPr>
        <w:t>Australian Standard</w:t>
      </w:r>
      <w:r>
        <w:rPr>
          <w:sz w:val="24"/>
        </w:rPr>
        <w:t>.</w:t>
      </w:r>
    </w:p>
    <w:p>
      <w:pPr>
        <w:pStyle w:val="BodyText"/>
        <w:ind w:left="1352" w:firstLine="0"/>
      </w:pPr>
      <w:r>
        <w:rPr/>
        <w:t>The following principles apply to the use of the shared network:</w:t>
      </w:r>
    </w:p>
    <w:p>
      <w:pPr>
        <w:pStyle w:val="ListParagraph"/>
        <w:numPr>
          <w:ilvl w:val="0"/>
          <w:numId w:val="261"/>
        </w:numPr>
        <w:tabs>
          <w:tab w:pos="1919" w:val="left" w:leader="none"/>
        </w:tabs>
        <w:spacing w:line="240" w:lineRule="auto" w:before="120" w:after="0"/>
        <w:ind w:left="1919" w:right="415" w:hanging="567"/>
        <w:jc w:val="both"/>
        <w:rPr>
          <w:sz w:val="24"/>
        </w:rPr>
      </w:pPr>
      <w:r>
        <w:rPr>
          <w:sz w:val="24"/>
        </w:rPr>
        <w:t>the sharing between </w:t>
      </w:r>
      <w:r>
        <w:rPr>
          <w:i/>
          <w:sz w:val="24"/>
        </w:rPr>
        <w:t>Network Users </w:t>
      </w:r>
      <w:r>
        <w:rPr>
          <w:sz w:val="24"/>
        </w:rPr>
        <w:t>of the capability of </w:t>
      </w:r>
      <w:r>
        <w:rPr>
          <w:i/>
          <w:sz w:val="24"/>
        </w:rPr>
        <w:t>connection assets </w:t>
      </w:r>
      <w:r>
        <w:rPr>
          <w:sz w:val="24"/>
        </w:rPr>
        <w:t>to withstand </w:t>
      </w:r>
      <w:r>
        <w:rPr>
          <w:i/>
          <w:sz w:val="24"/>
        </w:rPr>
        <w:t>voltage </w:t>
      </w:r>
      <w:r>
        <w:rPr>
          <w:sz w:val="24"/>
        </w:rPr>
        <w:t>fluctuations is to be managed by </w:t>
      </w:r>
      <w:r>
        <w:rPr>
          <w:i/>
          <w:sz w:val="24"/>
        </w:rPr>
        <w:t>Network Service </w:t>
      </w:r>
      <w:r>
        <w:rPr>
          <w:i/>
          <w:sz w:val="24"/>
        </w:rPr>
        <w:t>Providers </w:t>
      </w:r>
      <w:r>
        <w:rPr>
          <w:sz w:val="24"/>
        </w:rPr>
        <w:t>in accordance  with  the  provisions  of  clause S5.1.5  of  schedule 5.1;</w:t>
      </w:r>
      <w:r>
        <w:rPr>
          <w:spacing w:val="-2"/>
          <w:sz w:val="24"/>
        </w:rPr>
        <w:t> </w:t>
      </w:r>
      <w:r>
        <w:rPr>
          <w:sz w:val="24"/>
        </w:rPr>
        <w:t>and</w:t>
      </w:r>
    </w:p>
    <w:p>
      <w:pPr>
        <w:pStyle w:val="ListParagraph"/>
        <w:numPr>
          <w:ilvl w:val="0"/>
          <w:numId w:val="261"/>
        </w:numPr>
        <w:tabs>
          <w:tab w:pos="1919" w:val="left" w:leader="none"/>
        </w:tabs>
        <w:spacing w:line="240" w:lineRule="auto" w:before="120" w:after="0"/>
        <w:ind w:left="1919" w:right="414" w:hanging="567"/>
        <w:jc w:val="both"/>
        <w:rPr>
          <w:sz w:val="24"/>
        </w:rPr>
      </w:pPr>
      <w:r>
        <w:rPr>
          <w:sz w:val="24"/>
        </w:rPr>
        <w:t>to the extent practicable, the costs of managing or abating the impact of </w:t>
      </w:r>
      <w:r>
        <w:rPr>
          <w:i/>
          <w:sz w:val="24"/>
        </w:rPr>
        <w:t>voltage </w:t>
      </w:r>
      <w:r>
        <w:rPr>
          <w:sz w:val="24"/>
        </w:rPr>
        <w:t>fluctuations in excess of the costs which would result from the application of an </w:t>
      </w:r>
      <w:r>
        <w:rPr>
          <w:i/>
          <w:sz w:val="24"/>
        </w:rPr>
        <w:t>automatic access standard </w:t>
      </w:r>
      <w:r>
        <w:rPr>
          <w:sz w:val="24"/>
        </w:rPr>
        <w:t>are to be borne by those </w:t>
      </w:r>
      <w:r>
        <w:rPr>
          <w:i/>
          <w:sz w:val="24"/>
        </w:rPr>
        <w:t>Network Users </w:t>
      </w:r>
      <w:r>
        <w:rPr>
          <w:sz w:val="24"/>
        </w:rPr>
        <w:t>whose </w:t>
      </w:r>
      <w:r>
        <w:rPr>
          <w:i/>
          <w:sz w:val="24"/>
        </w:rPr>
        <w:t>facilities </w:t>
      </w:r>
      <w:r>
        <w:rPr>
          <w:sz w:val="24"/>
        </w:rPr>
        <w:t>cause the </w:t>
      </w:r>
      <w:r>
        <w:rPr>
          <w:i/>
          <w:sz w:val="24"/>
        </w:rPr>
        <w:t>voltage</w:t>
      </w:r>
      <w:r>
        <w:rPr>
          <w:i/>
          <w:spacing w:val="-6"/>
          <w:sz w:val="24"/>
        </w:rPr>
        <w:t> </w:t>
      </w:r>
      <w:r>
        <w:rPr>
          <w:sz w:val="24"/>
        </w:rPr>
        <w:t>fluctuations.</w:t>
      </w:r>
    </w:p>
    <w:p>
      <w:pPr>
        <w:pStyle w:val="BodyText"/>
        <w:spacing w:before="9"/>
        <w:ind w:firstLine="0"/>
        <w:jc w:val="left"/>
        <w:rPr>
          <w:sz w:val="20"/>
        </w:rPr>
      </w:pPr>
    </w:p>
    <w:p>
      <w:pPr>
        <w:pStyle w:val="Heading4"/>
        <w:tabs>
          <w:tab w:pos="1351" w:val="left" w:leader="none"/>
        </w:tabs>
        <w:spacing w:before="1"/>
        <w:ind w:left="218" w:firstLine="0"/>
      </w:pPr>
      <w:bookmarkStart w:name="S5.1a.6 Voltage waveform distortion" w:id="910"/>
      <w:bookmarkEnd w:id="910"/>
      <w:r>
        <w:rPr>
          <w:b w:val="0"/>
        </w:rPr>
      </w:r>
      <w:bookmarkStart w:name="_bookmark347" w:id="911"/>
      <w:bookmarkEnd w:id="911"/>
      <w:r>
        <w:rPr>
          <w:b w:val="0"/>
        </w:rPr>
      </w:r>
      <w:r>
        <w:rPr/>
        <w:t>S5.1a.6</w:t>
        <w:tab/>
        <w:t>Voltage waveform</w:t>
      </w:r>
      <w:r>
        <w:rPr>
          <w:spacing w:val="-2"/>
        </w:rPr>
        <w:t> </w:t>
      </w:r>
      <w:r>
        <w:rPr/>
        <w:t>distortion</w:t>
      </w:r>
    </w:p>
    <w:p>
      <w:pPr>
        <w:spacing w:before="120"/>
        <w:ind w:left="1352" w:right="414" w:firstLine="0"/>
        <w:jc w:val="both"/>
        <w:rPr>
          <w:sz w:val="24"/>
        </w:rPr>
      </w:pPr>
      <w:r>
        <w:rPr>
          <w:sz w:val="24"/>
        </w:rPr>
        <w:t>Harmonic </w:t>
      </w:r>
      <w:r>
        <w:rPr>
          <w:i/>
          <w:sz w:val="24"/>
        </w:rPr>
        <w:t>voltage </w:t>
      </w:r>
      <w:r>
        <w:rPr>
          <w:sz w:val="24"/>
        </w:rPr>
        <w:t>distortion level of </w:t>
      </w:r>
      <w:r>
        <w:rPr>
          <w:i/>
          <w:sz w:val="24"/>
        </w:rPr>
        <w:t>supply </w:t>
      </w:r>
      <w:r>
        <w:rPr>
          <w:sz w:val="24"/>
        </w:rPr>
        <w:t>should be less than the "compatibility levels" defined in Table 1 of </w:t>
      </w:r>
      <w:r>
        <w:rPr>
          <w:i/>
          <w:sz w:val="24"/>
        </w:rPr>
        <w:t>Australian Standard </w:t>
      </w:r>
      <w:r>
        <w:rPr>
          <w:sz w:val="24"/>
        </w:rPr>
        <w:t>AS/NZS 61000.3.6:2001. To facilitate the application of this standard </w:t>
      </w:r>
      <w:r>
        <w:rPr>
          <w:i/>
          <w:sz w:val="24"/>
        </w:rPr>
        <w:t>Network Service Providers </w:t>
      </w:r>
      <w:r>
        <w:rPr>
          <w:sz w:val="24"/>
        </w:rPr>
        <w:t>must establish "planning levels" for their </w:t>
      </w:r>
      <w:r>
        <w:rPr>
          <w:i/>
          <w:sz w:val="24"/>
        </w:rPr>
        <w:t>networks </w:t>
      </w:r>
      <w:r>
        <w:rPr>
          <w:sz w:val="24"/>
        </w:rPr>
        <w:t>as provided for in the </w:t>
      </w:r>
      <w:r>
        <w:rPr>
          <w:i/>
          <w:sz w:val="24"/>
        </w:rPr>
        <w:t>Australian Standard</w:t>
      </w:r>
      <w:r>
        <w:rPr>
          <w:sz w:val="24"/>
        </w:rPr>
        <w:t>.</w:t>
      </w:r>
    </w:p>
    <w:p>
      <w:pPr>
        <w:pStyle w:val="BodyText"/>
        <w:ind w:left="1352" w:firstLine="0"/>
      </w:pPr>
      <w:r>
        <w:rPr/>
        <w:t>The following principles apply to the use of the shared network:</w:t>
      </w:r>
    </w:p>
    <w:p>
      <w:pPr>
        <w:pStyle w:val="ListParagraph"/>
        <w:numPr>
          <w:ilvl w:val="0"/>
          <w:numId w:val="262"/>
        </w:numPr>
        <w:tabs>
          <w:tab w:pos="1919" w:val="left" w:leader="none"/>
        </w:tabs>
        <w:spacing w:line="240" w:lineRule="auto" w:before="120" w:after="0"/>
        <w:ind w:left="1919" w:right="414" w:hanging="567"/>
        <w:jc w:val="both"/>
        <w:rPr>
          <w:i/>
          <w:sz w:val="24"/>
        </w:rPr>
      </w:pPr>
      <w:r>
        <w:rPr>
          <w:sz w:val="24"/>
        </w:rPr>
        <w:t>the sharing between </w:t>
      </w:r>
      <w:r>
        <w:rPr>
          <w:i/>
          <w:sz w:val="24"/>
        </w:rPr>
        <w:t>Network Users </w:t>
      </w:r>
      <w:r>
        <w:rPr>
          <w:sz w:val="24"/>
        </w:rPr>
        <w:t>of the capability of </w:t>
      </w:r>
      <w:r>
        <w:rPr>
          <w:i/>
          <w:sz w:val="24"/>
        </w:rPr>
        <w:t>connection assets </w:t>
      </w:r>
      <w:r>
        <w:rPr>
          <w:sz w:val="24"/>
        </w:rPr>
        <w:t>to absorb or mitigate harmonic </w:t>
      </w:r>
      <w:r>
        <w:rPr>
          <w:i/>
          <w:sz w:val="24"/>
        </w:rPr>
        <w:t>voltage </w:t>
      </w:r>
      <w:r>
        <w:rPr>
          <w:sz w:val="24"/>
        </w:rPr>
        <w:t>distortion is to be managed by</w:t>
      </w:r>
      <w:r>
        <w:rPr>
          <w:spacing w:val="52"/>
          <w:sz w:val="24"/>
        </w:rPr>
        <w:t> </w:t>
      </w:r>
      <w:r>
        <w:rPr>
          <w:i/>
          <w:sz w:val="24"/>
        </w:rPr>
        <w:t>Network</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i/>
          <w:sz w:val="24"/>
        </w:rPr>
        <w:t>Service Providers </w:t>
      </w:r>
      <w:r>
        <w:rPr>
          <w:sz w:val="24"/>
        </w:rPr>
        <w:t>in accordance with the provisions of clause S5.1.6 of schedule 5.1; and</w:t>
      </w:r>
    </w:p>
    <w:p>
      <w:pPr>
        <w:pStyle w:val="ListParagraph"/>
        <w:numPr>
          <w:ilvl w:val="0"/>
          <w:numId w:val="262"/>
        </w:numPr>
        <w:tabs>
          <w:tab w:pos="1919" w:val="left" w:leader="none"/>
        </w:tabs>
        <w:spacing w:line="240" w:lineRule="auto" w:before="120" w:after="0"/>
        <w:ind w:left="1919" w:right="414" w:hanging="567"/>
        <w:jc w:val="both"/>
        <w:rPr>
          <w:sz w:val="24"/>
        </w:rPr>
      </w:pPr>
      <w:r>
        <w:rPr>
          <w:sz w:val="24"/>
        </w:rPr>
        <w:t>to the extent practicable, the costs of managing or abating the impact of harmonic distortion in excess of the costs which would result from the application of an </w:t>
      </w:r>
      <w:r>
        <w:rPr>
          <w:i/>
          <w:sz w:val="24"/>
        </w:rPr>
        <w:t>automatic access standard </w:t>
      </w:r>
      <w:r>
        <w:rPr>
          <w:sz w:val="24"/>
        </w:rPr>
        <w:t>are to be borne by those </w:t>
      </w:r>
      <w:r>
        <w:rPr>
          <w:i/>
          <w:sz w:val="24"/>
        </w:rPr>
        <w:t>Network Users </w:t>
      </w:r>
      <w:r>
        <w:rPr>
          <w:sz w:val="24"/>
        </w:rPr>
        <w:t>whose </w:t>
      </w:r>
      <w:r>
        <w:rPr>
          <w:i/>
          <w:sz w:val="24"/>
        </w:rPr>
        <w:t>facilities </w:t>
      </w:r>
      <w:r>
        <w:rPr>
          <w:sz w:val="24"/>
        </w:rPr>
        <w:t>cause the harmonic </w:t>
      </w:r>
      <w:r>
        <w:rPr>
          <w:i/>
          <w:sz w:val="24"/>
        </w:rPr>
        <w:t>voltage</w:t>
      </w:r>
      <w:r>
        <w:rPr>
          <w:i/>
          <w:spacing w:val="-8"/>
          <w:sz w:val="24"/>
        </w:rPr>
        <w:t> </w:t>
      </w:r>
      <w:r>
        <w:rPr>
          <w:sz w:val="24"/>
        </w:rPr>
        <w:t>distortion.</w:t>
      </w:r>
    </w:p>
    <w:p>
      <w:pPr>
        <w:pStyle w:val="BodyText"/>
        <w:spacing w:before="10"/>
        <w:ind w:firstLine="0"/>
        <w:jc w:val="left"/>
        <w:rPr>
          <w:sz w:val="20"/>
        </w:rPr>
      </w:pPr>
    </w:p>
    <w:p>
      <w:pPr>
        <w:pStyle w:val="Heading4"/>
        <w:tabs>
          <w:tab w:pos="1351" w:val="left" w:leader="none"/>
        </w:tabs>
        <w:ind w:left="218" w:firstLine="0"/>
      </w:pPr>
      <w:bookmarkStart w:name="S5.1a.7 Voltage unbalance" w:id="912"/>
      <w:bookmarkEnd w:id="912"/>
      <w:r>
        <w:rPr>
          <w:b w:val="0"/>
        </w:rPr>
      </w:r>
      <w:bookmarkStart w:name="_bookmark348" w:id="913"/>
      <w:bookmarkEnd w:id="913"/>
      <w:r>
        <w:rPr>
          <w:b w:val="0"/>
        </w:rPr>
      </w:r>
      <w:r>
        <w:rPr/>
        <w:t>S5.1a.7</w:t>
        <w:tab/>
        <w:t>Voltage</w:t>
      </w:r>
      <w:r>
        <w:rPr>
          <w:spacing w:val="-1"/>
        </w:rPr>
        <w:t> </w:t>
      </w:r>
      <w:r>
        <w:rPr/>
        <w:t>unbalance</w:t>
      </w:r>
    </w:p>
    <w:p>
      <w:pPr>
        <w:pStyle w:val="BodyText"/>
        <w:ind w:left="1352" w:right="414" w:firstLine="0"/>
      </w:pPr>
      <w:r>
        <w:rPr/>
        <w:t>Except as a consequence of a </w:t>
      </w:r>
      <w:r>
        <w:rPr>
          <w:i/>
        </w:rPr>
        <w:t>contingency event</w:t>
      </w:r>
      <w:r>
        <w:rPr/>
        <w:t>, the average </w:t>
      </w:r>
      <w:r>
        <w:rPr>
          <w:i/>
        </w:rPr>
        <w:t>voltage </w:t>
      </w:r>
      <w:r>
        <w:rPr>
          <w:spacing w:val="-3"/>
        </w:rPr>
        <w:t>unbalance, </w:t>
      </w:r>
      <w:r>
        <w:rPr/>
        <w:t>measured at a </w:t>
      </w:r>
      <w:r>
        <w:rPr>
          <w:i/>
        </w:rPr>
        <w:t>connection point</w:t>
      </w:r>
      <w:r>
        <w:rPr/>
        <w:t>, should not vary by more than the amount set out in column 2 of Table S5.1a.1, when determined over a 30 minute averaging period.</w:t>
      </w:r>
    </w:p>
    <w:p>
      <w:pPr>
        <w:spacing w:before="120"/>
        <w:ind w:left="1352" w:right="414" w:firstLine="0"/>
        <w:jc w:val="both"/>
        <w:rPr>
          <w:sz w:val="24"/>
        </w:rPr>
      </w:pPr>
      <w:r>
        <w:rPr>
          <w:sz w:val="24"/>
        </w:rPr>
        <w:t>As a consequence of a </w:t>
      </w:r>
      <w:r>
        <w:rPr>
          <w:i/>
          <w:sz w:val="24"/>
        </w:rPr>
        <w:t>credible contingency event </w:t>
      </w:r>
      <w:r>
        <w:rPr>
          <w:sz w:val="24"/>
        </w:rPr>
        <w:t>or </w:t>
      </w:r>
      <w:r>
        <w:rPr>
          <w:i/>
          <w:sz w:val="24"/>
        </w:rPr>
        <w:t>protected event</w:t>
      </w:r>
      <w:r>
        <w:rPr>
          <w:sz w:val="24"/>
        </w:rPr>
        <w:t>, the average </w:t>
      </w:r>
      <w:r>
        <w:rPr>
          <w:i/>
          <w:sz w:val="24"/>
        </w:rPr>
        <w:t>voltage </w:t>
      </w:r>
      <w:r>
        <w:rPr>
          <w:sz w:val="24"/>
        </w:rPr>
        <w:t>unbalance, measured at a </w:t>
      </w:r>
      <w:r>
        <w:rPr>
          <w:i/>
          <w:sz w:val="24"/>
        </w:rPr>
        <w:t>connection point</w:t>
      </w:r>
      <w:r>
        <w:rPr>
          <w:sz w:val="24"/>
        </w:rPr>
        <w:t>, should not vary by more than the amount set out in column 3 of Table S5.1a.1, when determined over a 30 minute averaging period.</w:t>
      </w:r>
    </w:p>
    <w:p>
      <w:pPr>
        <w:pStyle w:val="BodyText"/>
        <w:ind w:left="1352" w:right="415" w:firstLine="0"/>
      </w:pPr>
      <w:r>
        <w:rPr/>
        <w:t>The average </w:t>
      </w:r>
      <w:r>
        <w:rPr>
          <w:i/>
        </w:rPr>
        <w:t>voltage </w:t>
      </w:r>
      <w:r>
        <w:rPr/>
        <w:t>unbalance, measured at a </w:t>
      </w:r>
      <w:r>
        <w:rPr>
          <w:i/>
        </w:rPr>
        <w:t>connection point</w:t>
      </w:r>
      <w:r>
        <w:rPr/>
        <w:t>, should not vary by more than the amount set out in column 4 of Table S5.1a.1 for the relevant nominal </w:t>
      </w:r>
      <w:r>
        <w:rPr>
          <w:i/>
        </w:rPr>
        <w:t>supply voltage</w:t>
      </w:r>
      <w:r>
        <w:rPr/>
        <w:t>, when determined over a 10 minute averaging</w:t>
      </w:r>
      <w:r>
        <w:rPr>
          <w:spacing w:val="-8"/>
        </w:rPr>
        <w:t> </w:t>
      </w:r>
      <w:r>
        <w:rPr/>
        <w:t>period.</w:t>
      </w:r>
    </w:p>
    <w:p>
      <w:pPr>
        <w:pStyle w:val="BodyText"/>
        <w:ind w:left="1352" w:right="415" w:firstLine="0"/>
      </w:pPr>
      <w:r>
        <w:rPr/>
        <w:t>The average </w:t>
      </w:r>
      <w:r>
        <w:rPr>
          <w:i/>
        </w:rPr>
        <w:t>voltage </w:t>
      </w:r>
      <w:r>
        <w:rPr/>
        <w:t>unbalance, measured at a </w:t>
      </w:r>
      <w:r>
        <w:rPr>
          <w:i/>
        </w:rPr>
        <w:t>connection point</w:t>
      </w:r>
      <w:r>
        <w:rPr/>
        <w:t>, should not vary more often than once per hour by more than the amount set out in column 5 of Table S5.1a.1 for the relevant nominal </w:t>
      </w:r>
      <w:r>
        <w:rPr>
          <w:i/>
        </w:rPr>
        <w:t>supply voltage</w:t>
      </w:r>
      <w:r>
        <w:rPr/>
        <w:t>, when determined over a 1 minute averaging period.</w:t>
      </w:r>
    </w:p>
    <w:p>
      <w:pPr>
        <w:pStyle w:val="BodyText"/>
        <w:ind w:left="1352" w:right="414" w:firstLine="0"/>
      </w:pPr>
      <w:r>
        <w:rPr/>
        <w:t>For the purpose of this clause, </w:t>
      </w:r>
      <w:r>
        <w:rPr>
          <w:i/>
        </w:rPr>
        <w:t>voltage </w:t>
      </w:r>
      <w:r>
        <w:rPr/>
        <w:t>unbalance is measured as negative sequence</w:t>
      </w:r>
      <w:r>
        <w:rPr>
          <w:spacing w:val="-2"/>
        </w:rPr>
        <w:t> </w:t>
      </w:r>
      <w:r>
        <w:rPr/>
        <w:t>voltage.</w:t>
      </w:r>
    </w:p>
    <w:p>
      <w:pPr>
        <w:spacing w:before="120"/>
        <w:ind w:left="218" w:right="0" w:firstLine="0"/>
        <w:jc w:val="left"/>
        <w:rPr>
          <w:rFonts w:ascii="Arial"/>
          <w:b/>
          <w:sz w:val="22"/>
        </w:rPr>
      </w:pPr>
      <w:r>
        <w:rPr>
          <w:rFonts w:ascii="Arial"/>
          <w:b/>
          <w:sz w:val="22"/>
        </w:rPr>
        <w:t>Table S5.1a.1</w:t>
      </w:r>
    </w:p>
    <w:p>
      <w:pPr>
        <w:pStyle w:val="BodyText"/>
        <w:spacing w:before="8"/>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1814"/>
        <w:gridCol w:w="1814"/>
        <w:gridCol w:w="1814"/>
      </w:tblGrid>
      <w:tr>
        <w:trPr>
          <w:trHeight w:val="947" w:hRule="atLeast"/>
        </w:trPr>
        <w:tc>
          <w:tcPr>
            <w:tcW w:w="1815" w:type="dxa"/>
            <w:tcBorders>
              <w:right w:val="single" w:sz="4" w:space="0" w:color="000000"/>
            </w:tcBorders>
            <w:shd w:val="clear" w:color="auto" w:fill="D9D9D9"/>
          </w:tcPr>
          <w:p>
            <w:pPr>
              <w:pStyle w:val="TableParagraph"/>
              <w:spacing w:line="270" w:lineRule="atLeast"/>
              <w:ind w:left="67" w:right="50" w:hanging="1"/>
              <w:jc w:val="center"/>
              <w:rPr>
                <w:rFonts w:ascii="Arial"/>
                <w:b/>
                <w:sz w:val="24"/>
              </w:rPr>
            </w:pPr>
            <w:r>
              <w:rPr>
                <w:rFonts w:ascii="Arial"/>
                <w:b/>
                <w:sz w:val="24"/>
              </w:rPr>
              <w:t>Nominal supply voltage (kV)</w:t>
            </w:r>
          </w:p>
        </w:tc>
        <w:tc>
          <w:tcPr>
            <w:tcW w:w="7256" w:type="dxa"/>
            <w:gridSpan w:val="4"/>
            <w:tcBorders>
              <w:left w:val="single" w:sz="4" w:space="0" w:color="000000"/>
              <w:right w:val="single" w:sz="4" w:space="0" w:color="000000"/>
            </w:tcBorders>
            <w:shd w:val="clear" w:color="auto" w:fill="D9D9D9"/>
          </w:tcPr>
          <w:p>
            <w:pPr>
              <w:pStyle w:val="TableParagraph"/>
              <w:ind w:left="205"/>
              <w:rPr>
                <w:rFonts w:ascii="Arial"/>
                <w:b/>
                <w:sz w:val="24"/>
              </w:rPr>
            </w:pPr>
            <w:r>
              <w:rPr>
                <w:rFonts w:ascii="Arial"/>
                <w:b/>
                <w:sz w:val="24"/>
              </w:rPr>
              <w:t>Maximum negative sequence voltage (% of nominal voltage)</w:t>
            </w:r>
          </w:p>
        </w:tc>
      </w:tr>
      <w:tr>
        <w:trPr>
          <w:trHeight w:val="395" w:hRule="atLeast"/>
        </w:trPr>
        <w:tc>
          <w:tcPr>
            <w:tcW w:w="1815" w:type="dxa"/>
            <w:vMerge w:val="restart"/>
            <w:tcBorders>
              <w:bottom w:val="single" w:sz="4" w:space="0" w:color="000000"/>
              <w:right w:val="single" w:sz="4" w:space="0" w:color="000000"/>
            </w:tcBorders>
            <w:shd w:val="clear" w:color="auto" w:fill="D9D9D9"/>
          </w:tcPr>
          <w:p>
            <w:pPr>
              <w:pStyle w:val="TableParagraph"/>
              <w:ind w:left="360"/>
              <w:rPr>
                <w:rFonts w:ascii="Arial"/>
                <w:b/>
                <w:sz w:val="24"/>
              </w:rPr>
            </w:pPr>
            <w:r>
              <w:rPr>
                <w:rFonts w:ascii="Arial"/>
                <w:b/>
                <w:sz w:val="24"/>
              </w:rPr>
              <w:t>Column 1</w:t>
            </w:r>
          </w:p>
        </w:tc>
        <w:tc>
          <w:tcPr>
            <w:tcW w:w="1814" w:type="dxa"/>
            <w:tcBorders>
              <w:left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2</w:t>
            </w:r>
          </w:p>
        </w:tc>
        <w:tc>
          <w:tcPr>
            <w:tcW w:w="1814" w:type="dxa"/>
            <w:tcBorders>
              <w:left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3</w:t>
            </w:r>
          </w:p>
        </w:tc>
        <w:tc>
          <w:tcPr>
            <w:tcW w:w="1814" w:type="dxa"/>
            <w:tcBorders>
              <w:left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4</w:t>
            </w:r>
          </w:p>
        </w:tc>
        <w:tc>
          <w:tcPr>
            <w:tcW w:w="1814" w:type="dxa"/>
            <w:tcBorders>
              <w:left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5</w:t>
            </w:r>
          </w:p>
        </w:tc>
      </w:tr>
      <w:tr>
        <w:trPr>
          <w:trHeight w:val="1499" w:hRule="atLeast"/>
        </w:trPr>
        <w:tc>
          <w:tcPr>
            <w:tcW w:w="1815" w:type="dxa"/>
            <w:vMerge/>
            <w:tcBorders>
              <w:top w:val="nil"/>
              <w:bottom w:val="single" w:sz="4" w:space="0" w:color="000000"/>
              <w:right w:val="single" w:sz="4" w:space="0" w:color="000000"/>
            </w:tcBorders>
            <w:shd w:val="clear" w:color="auto" w:fill="D9D9D9"/>
          </w:tcPr>
          <w:p>
            <w:pPr>
              <w:rPr>
                <w:sz w:val="2"/>
                <w:szCs w:val="2"/>
              </w:rPr>
            </w:pPr>
          </w:p>
        </w:tc>
        <w:tc>
          <w:tcPr>
            <w:tcW w:w="1814" w:type="dxa"/>
            <w:tcBorders>
              <w:left w:val="single" w:sz="4" w:space="0" w:color="000000"/>
              <w:right w:val="single" w:sz="4" w:space="0" w:color="000000"/>
            </w:tcBorders>
            <w:shd w:val="clear" w:color="auto" w:fill="D9D9D9"/>
          </w:tcPr>
          <w:p>
            <w:pPr>
              <w:pStyle w:val="TableParagraph"/>
              <w:ind w:left="91" w:right="69"/>
              <w:jc w:val="center"/>
              <w:rPr>
                <w:rFonts w:ascii="Arial"/>
                <w:b/>
                <w:sz w:val="24"/>
              </w:rPr>
            </w:pPr>
            <w:r>
              <w:rPr>
                <w:rFonts w:ascii="Arial"/>
                <w:b/>
                <w:sz w:val="24"/>
              </w:rPr>
              <w:t>no     contingency event</w:t>
            </w:r>
          </w:p>
        </w:tc>
        <w:tc>
          <w:tcPr>
            <w:tcW w:w="1814" w:type="dxa"/>
            <w:tcBorders>
              <w:left w:val="single" w:sz="4" w:space="0" w:color="000000"/>
              <w:right w:val="single" w:sz="4" w:space="0" w:color="000000"/>
            </w:tcBorders>
            <w:shd w:val="clear" w:color="auto" w:fill="D9D9D9"/>
          </w:tcPr>
          <w:p>
            <w:pPr>
              <w:pStyle w:val="TableParagraph"/>
              <w:spacing w:line="270" w:lineRule="atLeast"/>
              <w:ind w:left="205" w:right="183" w:hanging="1"/>
              <w:jc w:val="center"/>
              <w:rPr>
                <w:rFonts w:ascii="Arial"/>
                <w:b/>
                <w:sz w:val="24"/>
              </w:rPr>
            </w:pPr>
            <w:r>
              <w:rPr>
                <w:rFonts w:ascii="Arial"/>
                <w:b/>
                <w:sz w:val="24"/>
              </w:rPr>
              <w:t>credible contingency event or protected event</w:t>
            </w:r>
          </w:p>
        </w:tc>
        <w:tc>
          <w:tcPr>
            <w:tcW w:w="1814" w:type="dxa"/>
            <w:tcBorders>
              <w:left w:val="single" w:sz="4" w:space="0" w:color="000000"/>
              <w:right w:val="single" w:sz="4" w:space="0" w:color="000000"/>
            </w:tcBorders>
            <w:shd w:val="clear" w:color="auto" w:fill="D9D9D9"/>
          </w:tcPr>
          <w:p>
            <w:pPr>
              <w:pStyle w:val="TableParagraph"/>
              <w:ind w:left="91" w:right="71"/>
              <w:jc w:val="center"/>
              <w:rPr>
                <w:rFonts w:ascii="Arial"/>
                <w:b/>
                <w:sz w:val="24"/>
              </w:rPr>
            </w:pPr>
            <w:r>
              <w:rPr>
                <w:rFonts w:ascii="Arial"/>
                <w:b/>
                <w:sz w:val="24"/>
              </w:rPr>
              <w:t>general</w:t>
            </w:r>
          </w:p>
        </w:tc>
        <w:tc>
          <w:tcPr>
            <w:tcW w:w="1814" w:type="dxa"/>
            <w:tcBorders>
              <w:left w:val="single" w:sz="4" w:space="0" w:color="000000"/>
              <w:right w:val="single" w:sz="4" w:space="0" w:color="000000"/>
            </w:tcBorders>
            <w:shd w:val="clear" w:color="auto" w:fill="D9D9D9"/>
          </w:tcPr>
          <w:p>
            <w:pPr>
              <w:pStyle w:val="TableParagraph"/>
              <w:ind w:left="91" w:right="71"/>
              <w:jc w:val="center"/>
              <w:rPr>
                <w:rFonts w:ascii="Arial"/>
                <w:b/>
                <w:sz w:val="24"/>
              </w:rPr>
            </w:pPr>
            <w:r>
              <w:rPr>
                <w:rFonts w:ascii="Arial"/>
                <w:b/>
                <w:sz w:val="24"/>
              </w:rPr>
              <w:t>once per hour</w:t>
            </w:r>
          </w:p>
        </w:tc>
      </w:tr>
      <w:tr>
        <w:trPr>
          <w:trHeight w:val="671" w:hRule="atLeast"/>
        </w:trPr>
        <w:tc>
          <w:tcPr>
            <w:tcW w:w="1815" w:type="dxa"/>
            <w:vMerge/>
            <w:tcBorders>
              <w:top w:val="nil"/>
              <w:bottom w:val="single" w:sz="4" w:space="0" w:color="000000"/>
              <w:right w:val="single" w:sz="4" w:space="0" w:color="000000"/>
            </w:tcBorders>
            <w:shd w:val="clear" w:color="auto" w:fill="D9D9D9"/>
          </w:tcPr>
          <w:p>
            <w:pPr>
              <w:rPr>
                <w:sz w:val="2"/>
                <w:szCs w:val="2"/>
              </w:rPr>
            </w:pP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58" w:right="312" w:hanging="107"/>
              <w:rPr>
                <w:rFonts w:ascii="Arial"/>
                <w:b/>
                <w:sz w:val="24"/>
              </w:rPr>
            </w:pPr>
            <w:r>
              <w:rPr>
                <w:rFonts w:ascii="Arial"/>
                <w:b/>
                <w:sz w:val="24"/>
              </w:rPr>
              <w:t>30 minute average</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58" w:right="312" w:hanging="107"/>
              <w:rPr>
                <w:rFonts w:ascii="Arial"/>
                <w:b/>
                <w:sz w:val="24"/>
              </w:rPr>
            </w:pPr>
            <w:r>
              <w:rPr>
                <w:rFonts w:ascii="Arial"/>
                <w:b/>
                <w:sz w:val="24"/>
              </w:rPr>
              <w:t>30 minute average</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58" w:right="312" w:hanging="107"/>
              <w:rPr>
                <w:rFonts w:ascii="Arial"/>
                <w:b/>
                <w:sz w:val="24"/>
              </w:rPr>
            </w:pPr>
            <w:r>
              <w:rPr>
                <w:rFonts w:ascii="Arial"/>
                <w:b/>
                <w:sz w:val="24"/>
              </w:rPr>
              <w:t>10 minute average</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58" w:right="379" w:hanging="40"/>
              <w:rPr>
                <w:rFonts w:ascii="Arial"/>
                <w:b/>
                <w:sz w:val="24"/>
              </w:rPr>
            </w:pPr>
            <w:r>
              <w:rPr>
                <w:rFonts w:ascii="Arial"/>
                <w:b/>
                <w:sz w:val="24"/>
              </w:rPr>
              <w:t>1 minute average</w:t>
            </w:r>
          </w:p>
        </w:tc>
      </w:tr>
      <w:tr>
        <w:trPr>
          <w:trHeight w:val="515" w:hRule="atLeast"/>
        </w:trPr>
        <w:tc>
          <w:tcPr>
            <w:tcW w:w="1815" w:type="dxa"/>
            <w:tcBorders>
              <w:top w:val="single" w:sz="4" w:space="0" w:color="000000"/>
              <w:bottom w:val="single" w:sz="4" w:space="0" w:color="000000"/>
              <w:right w:val="single" w:sz="4" w:space="0" w:color="000000"/>
            </w:tcBorders>
          </w:tcPr>
          <w:p>
            <w:pPr>
              <w:pStyle w:val="TableParagraph"/>
              <w:ind w:left="40"/>
              <w:rPr>
                <w:b/>
                <w:sz w:val="24"/>
              </w:rPr>
            </w:pPr>
            <w:r>
              <w:rPr>
                <w:b/>
                <w:sz w:val="24"/>
              </w:rPr>
              <w:t>more than 100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0.5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0.7</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2.0</w:t>
            </w:r>
          </w:p>
        </w:tc>
      </w:tr>
      <w:tr>
        <w:trPr>
          <w:trHeight w:val="1067" w:hRule="atLeast"/>
        </w:trPr>
        <w:tc>
          <w:tcPr>
            <w:tcW w:w="1815" w:type="dxa"/>
            <w:tcBorders>
              <w:top w:val="single" w:sz="4" w:space="0" w:color="000000"/>
              <w:bottom w:val="single" w:sz="4" w:space="0" w:color="000000"/>
              <w:right w:val="single" w:sz="4" w:space="0" w:color="000000"/>
            </w:tcBorders>
          </w:tcPr>
          <w:p>
            <w:pPr>
              <w:pStyle w:val="TableParagraph"/>
              <w:ind w:left="40" w:right="398"/>
              <w:jc w:val="both"/>
              <w:rPr>
                <w:b/>
                <w:sz w:val="24"/>
              </w:rPr>
            </w:pPr>
            <w:r>
              <w:rPr>
                <w:b/>
                <w:sz w:val="24"/>
              </w:rPr>
              <w:t>more than 10 but not more than 100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2.5</w:t>
            </w:r>
          </w:p>
        </w:tc>
      </w:tr>
      <w:tr>
        <w:trPr>
          <w:trHeight w:val="515" w:hRule="atLeast"/>
        </w:trPr>
        <w:tc>
          <w:tcPr>
            <w:tcW w:w="1815" w:type="dxa"/>
            <w:tcBorders>
              <w:top w:val="single" w:sz="4" w:space="0" w:color="000000"/>
              <w:right w:val="single" w:sz="4" w:space="0" w:color="000000"/>
            </w:tcBorders>
          </w:tcPr>
          <w:p>
            <w:pPr>
              <w:pStyle w:val="TableParagraph"/>
              <w:ind w:left="40"/>
              <w:rPr>
                <w:b/>
                <w:sz w:val="24"/>
              </w:rPr>
            </w:pPr>
            <w:r>
              <w:rPr>
                <w:b/>
                <w:sz w:val="24"/>
              </w:rPr>
              <w:t>10 or less</w:t>
            </w:r>
          </w:p>
        </w:tc>
        <w:tc>
          <w:tcPr>
            <w:tcW w:w="1814" w:type="dxa"/>
            <w:tcBorders>
              <w:top w:val="single" w:sz="4" w:space="0" w:color="000000"/>
              <w:left w:val="single" w:sz="4" w:space="0" w:color="000000"/>
              <w:right w:val="single" w:sz="4" w:space="0" w:color="000000"/>
            </w:tcBorders>
          </w:tcPr>
          <w:p>
            <w:pPr>
              <w:pStyle w:val="TableParagraph"/>
              <w:ind w:left="90" w:right="71"/>
              <w:jc w:val="center"/>
              <w:rPr>
                <w:sz w:val="24"/>
              </w:rPr>
            </w:pPr>
            <w:r>
              <w:rPr>
                <w:sz w:val="24"/>
              </w:rPr>
              <w:t>2.0</w:t>
            </w:r>
          </w:p>
        </w:tc>
        <w:tc>
          <w:tcPr>
            <w:tcW w:w="1814" w:type="dxa"/>
            <w:tcBorders>
              <w:top w:val="single" w:sz="4" w:space="0" w:color="000000"/>
              <w:left w:val="single" w:sz="4" w:space="0" w:color="000000"/>
              <w:right w:val="single" w:sz="4" w:space="0" w:color="000000"/>
            </w:tcBorders>
          </w:tcPr>
          <w:p>
            <w:pPr>
              <w:pStyle w:val="TableParagraph"/>
              <w:ind w:left="90" w:right="71"/>
              <w:jc w:val="center"/>
              <w:rPr>
                <w:sz w:val="24"/>
              </w:rPr>
            </w:pPr>
            <w:r>
              <w:rPr>
                <w:sz w:val="24"/>
              </w:rPr>
              <w:t>2.0</w:t>
            </w:r>
          </w:p>
        </w:tc>
        <w:tc>
          <w:tcPr>
            <w:tcW w:w="1814" w:type="dxa"/>
            <w:tcBorders>
              <w:top w:val="single" w:sz="4" w:space="0" w:color="000000"/>
              <w:left w:val="single" w:sz="4" w:space="0" w:color="000000"/>
              <w:right w:val="single" w:sz="4" w:space="0" w:color="000000"/>
            </w:tcBorders>
          </w:tcPr>
          <w:p>
            <w:pPr>
              <w:pStyle w:val="TableParagraph"/>
              <w:ind w:left="90" w:right="71"/>
              <w:jc w:val="center"/>
              <w:rPr>
                <w:sz w:val="24"/>
              </w:rPr>
            </w:pPr>
            <w:r>
              <w:rPr>
                <w:sz w:val="24"/>
              </w:rPr>
              <w:t>2.5</w:t>
            </w:r>
          </w:p>
        </w:tc>
        <w:tc>
          <w:tcPr>
            <w:tcW w:w="1814" w:type="dxa"/>
            <w:tcBorders>
              <w:top w:val="single" w:sz="4" w:space="0" w:color="000000"/>
              <w:left w:val="single" w:sz="4" w:space="0" w:color="000000"/>
              <w:right w:val="single" w:sz="4" w:space="0" w:color="000000"/>
            </w:tcBorders>
          </w:tcPr>
          <w:p>
            <w:pPr>
              <w:pStyle w:val="TableParagraph"/>
              <w:ind w:left="91" w:right="71"/>
              <w:jc w:val="center"/>
              <w:rPr>
                <w:sz w:val="24"/>
              </w:rPr>
            </w:pPr>
            <w:r>
              <w:rPr>
                <w:sz w:val="24"/>
              </w:rPr>
              <w:t>3.0</w:t>
            </w:r>
          </w:p>
        </w:tc>
      </w:tr>
    </w:tbl>
    <w:p>
      <w:pPr>
        <w:spacing w:after="0"/>
        <w:jc w:val="center"/>
        <w:rPr>
          <w:sz w:val="24"/>
        </w:rPr>
        <w:sectPr>
          <w:pgSz w:w="11910" w:h="16840"/>
          <w:pgMar w:header="686" w:footer="637" w:top="1320" w:bottom="820" w:left="1200" w:right="1000"/>
        </w:sectPr>
      </w:pPr>
    </w:p>
    <w:p>
      <w:pPr>
        <w:pStyle w:val="BodyText"/>
        <w:spacing w:before="0"/>
        <w:ind w:firstLine="0"/>
        <w:jc w:val="left"/>
        <w:rPr>
          <w:rFonts w:ascii="Arial"/>
          <w:b/>
          <w:sz w:val="20"/>
        </w:rPr>
      </w:pPr>
    </w:p>
    <w:p>
      <w:pPr>
        <w:pStyle w:val="BodyText"/>
        <w:spacing w:before="1"/>
        <w:ind w:firstLine="0"/>
        <w:jc w:val="left"/>
        <w:rPr>
          <w:rFonts w:ascii="Arial"/>
          <w:b/>
        </w:rPr>
      </w:pPr>
    </w:p>
    <w:p>
      <w:pPr>
        <w:pStyle w:val="Heading4"/>
        <w:tabs>
          <w:tab w:pos="1351" w:val="left" w:leader="none"/>
        </w:tabs>
        <w:spacing w:before="92"/>
        <w:ind w:left="218" w:firstLine="0"/>
      </w:pPr>
      <w:bookmarkStart w:name="S5.1a.8 Fault clearance times" w:id="914"/>
      <w:bookmarkEnd w:id="914"/>
      <w:r>
        <w:rPr>
          <w:b w:val="0"/>
        </w:rPr>
      </w:r>
      <w:bookmarkStart w:name="_bookmark349" w:id="915"/>
      <w:bookmarkEnd w:id="915"/>
      <w:r>
        <w:rPr>
          <w:b w:val="0"/>
        </w:rPr>
      </w:r>
      <w:r>
        <w:rPr/>
        <w:t>S5.1a.8</w:t>
        <w:tab/>
        <w:t>Fault clearance</w:t>
      </w:r>
      <w:r>
        <w:rPr>
          <w:spacing w:val="-2"/>
        </w:rPr>
        <w:t> </w:t>
      </w:r>
      <w:r>
        <w:rPr/>
        <w:t>times</w:t>
      </w:r>
    </w:p>
    <w:p>
      <w:pPr>
        <w:pStyle w:val="ListParagraph"/>
        <w:numPr>
          <w:ilvl w:val="0"/>
          <w:numId w:val="263"/>
        </w:numPr>
        <w:tabs>
          <w:tab w:pos="1918" w:val="left" w:leader="none"/>
          <w:tab w:pos="1919" w:val="left" w:leader="none"/>
        </w:tabs>
        <w:spacing w:line="240" w:lineRule="auto" w:before="120" w:after="0"/>
        <w:ind w:left="1919" w:right="416" w:hanging="567"/>
        <w:jc w:val="left"/>
        <w:rPr>
          <w:sz w:val="24"/>
        </w:rPr>
      </w:pPr>
      <w:r>
        <w:rPr>
          <w:sz w:val="24"/>
        </w:rPr>
        <w:t>Faults anywhere within the </w:t>
      </w:r>
      <w:r>
        <w:rPr>
          <w:i/>
          <w:sz w:val="24"/>
        </w:rPr>
        <w:t>power system </w:t>
      </w:r>
      <w:r>
        <w:rPr>
          <w:sz w:val="24"/>
        </w:rPr>
        <w:t>should be cleared sufficiently rapidly that:</w:t>
      </w:r>
    </w:p>
    <w:p>
      <w:pPr>
        <w:pStyle w:val="ListParagraph"/>
        <w:numPr>
          <w:ilvl w:val="1"/>
          <w:numId w:val="263"/>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power system </w:t>
      </w:r>
      <w:r>
        <w:rPr>
          <w:sz w:val="24"/>
        </w:rPr>
        <w:t>does not become unstable as a result of faults that are </w:t>
      </w:r>
      <w:r>
        <w:rPr>
          <w:i/>
          <w:sz w:val="24"/>
        </w:rPr>
        <w:t>credible contingency</w:t>
      </w:r>
      <w:r>
        <w:rPr>
          <w:i/>
          <w:spacing w:val="-1"/>
          <w:sz w:val="24"/>
        </w:rPr>
        <w:t> </w:t>
      </w:r>
      <w:r>
        <w:rPr>
          <w:i/>
          <w:sz w:val="24"/>
        </w:rPr>
        <w:t>events</w:t>
      </w:r>
      <w:r>
        <w:rPr>
          <w:sz w:val="24"/>
        </w:rPr>
        <w:t>;</w:t>
      </w:r>
    </w:p>
    <w:p>
      <w:pPr>
        <w:pStyle w:val="ListParagraph"/>
        <w:numPr>
          <w:ilvl w:val="1"/>
          <w:numId w:val="263"/>
        </w:numPr>
        <w:tabs>
          <w:tab w:pos="2485" w:val="left" w:leader="none"/>
          <w:tab w:pos="2486" w:val="left" w:leader="none"/>
        </w:tabs>
        <w:spacing w:line="240" w:lineRule="auto" w:before="120" w:after="0"/>
        <w:ind w:left="2485" w:right="0" w:hanging="567"/>
        <w:jc w:val="left"/>
        <w:rPr>
          <w:sz w:val="24"/>
        </w:rPr>
      </w:pPr>
      <w:r>
        <w:rPr>
          <w:i/>
          <w:sz w:val="24"/>
        </w:rPr>
        <w:t>inter-regional </w:t>
      </w:r>
      <w:r>
        <w:rPr>
          <w:sz w:val="24"/>
        </w:rPr>
        <w:t>or </w:t>
      </w:r>
      <w:r>
        <w:rPr>
          <w:i/>
          <w:sz w:val="24"/>
        </w:rPr>
        <w:t>intra-regional power transfers </w:t>
      </w:r>
      <w:r>
        <w:rPr>
          <w:sz w:val="24"/>
        </w:rPr>
        <w:t>are not</w:t>
      </w:r>
      <w:r>
        <w:rPr>
          <w:spacing w:val="34"/>
          <w:sz w:val="24"/>
        </w:rPr>
        <w:t> </w:t>
      </w:r>
      <w:r>
        <w:rPr>
          <w:sz w:val="24"/>
        </w:rPr>
        <w:t>unduly</w:t>
      </w:r>
    </w:p>
    <w:p>
      <w:pPr>
        <w:spacing w:before="0"/>
        <w:ind w:left="2486" w:right="0" w:firstLine="0"/>
        <w:jc w:val="left"/>
        <w:rPr>
          <w:sz w:val="24"/>
        </w:rPr>
      </w:pPr>
      <w:r>
        <w:rPr>
          <w:i/>
          <w:sz w:val="24"/>
        </w:rPr>
        <w:t>constrained</w:t>
      </w:r>
      <w:r>
        <w:rPr>
          <w:sz w:val="24"/>
        </w:rPr>
        <w:t>; and</w:t>
      </w:r>
    </w:p>
    <w:p>
      <w:pPr>
        <w:pStyle w:val="ListParagraph"/>
        <w:numPr>
          <w:ilvl w:val="1"/>
          <w:numId w:val="263"/>
        </w:numPr>
        <w:tabs>
          <w:tab w:pos="2485" w:val="left" w:leader="none"/>
          <w:tab w:pos="2486" w:val="left" w:leader="none"/>
        </w:tabs>
        <w:spacing w:line="240" w:lineRule="auto" w:before="120" w:after="0"/>
        <w:ind w:left="2485" w:right="0" w:hanging="567"/>
        <w:jc w:val="left"/>
        <w:rPr>
          <w:sz w:val="24"/>
        </w:rPr>
      </w:pPr>
      <w:r>
        <w:rPr>
          <w:sz w:val="24"/>
        </w:rPr>
        <w:t>consequential equipment damage is</w:t>
      </w:r>
      <w:r>
        <w:rPr>
          <w:spacing w:val="-1"/>
          <w:sz w:val="24"/>
        </w:rPr>
        <w:t> </w:t>
      </w:r>
      <w:r>
        <w:rPr>
          <w:sz w:val="24"/>
        </w:rPr>
        <w:t>minimised.</w:t>
      </w:r>
    </w:p>
    <w:p>
      <w:pPr>
        <w:pStyle w:val="ListParagraph"/>
        <w:numPr>
          <w:ilvl w:val="0"/>
          <w:numId w:val="263"/>
        </w:numPr>
        <w:tabs>
          <w:tab w:pos="1918" w:val="left" w:leader="none"/>
          <w:tab w:pos="1919" w:val="left" w:leader="none"/>
        </w:tabs>
        <w:spacing w:line="240" w:lineRule="auto" w:before="120" w:after="0"/>
        <w:ind w:left="1919" w:right="414" w:hanging="567"/>
        <w:jc w:val="left"/>
        <w:rPr>
          <w:sz w:val="24"/>
        </w:rPr>
      </w:pPr>
      <w:r>
        <w:rPr>
          <w:sz w:val="24"/>
        </w:rPr>
        <w:t>The </w:t>
      </w:r>
      <w:r>
        <w:rPr>
          <w:i/>
          <w:sz w:val="24"/>
        </w:rPr>
        <w:t>fault clearance time </w:t>
      </w:r>
      <w:r>
        <w:rPr>
          <w:sz w:val="24"/>
        </w:rPr>
        <w:t>of a primary </w:t>
      </w:r>
      <w:r>
        <w:rPr>
          <w:i/>
          <w:sz w:val="24"/>
        </w:rPr>
        <w:t>protection system </w:t>
      </w:r>
      <w:r>
        <w:rPr>
          <w:sz w:val="24"/>
        </w:rPr>
        <w:t>for a </w:t>
      </w:r>
      <w:r>
        <w:rPr>
          <w:i/>
          <w:sz w:val="24"/>
        </w:rPr>
        <w:t>short circuit </w:t>
      </w:r>
      <w:r>
        <w:rPr>
          <w:i/>
          <w:sz w:val="24"/>
        </w:rPr>
        <w:t>fault </w:t>
      </w:r>
      <w:r>
        <w:rPr>
          <w:sz w:val="24"/>
        </w:rPr>
        <w:t>of any </w:t>
      </w:r>
      <w:r>
        <w:rPr>
          <w:i/>
          <w:sz w:val="24"/>
        </w:rPr>
        <w:t>fault type</w:t>
      </w:r>
      <w:r>
        <w:rPr>
          <w:i/>
          <w:spacing w:val="-2"/>
          <w:sz w:val="24"/>
        </w:rPr>
        <w:t> </w:t>
      </w:r>
      <w:r>
        <w:rPr>
          <w:sz w:val="24"/>
        </w:rPr>
        <w:t>anywhere:</w:t>
      </w:r>
    </w:p>
    <w:p>
      <w:pPr>
        <w:pStyle w:val="ListParagraph"/>
        <w:numPr>
          <w:ilvl w:val="1"/>
          <w:numId w:val="263"/>
        </w:numPr>
        <w:tabs>
          <w:tab w:pos="2485" w:val="left" w:leader="none"/>
          <w:tab w:pos="2486" w:val="left" w:leader="none"/>
        </w:tabs>
        <w:spacing w:line="240" w:lineRule="auto" w:before="120" w:after="0"/>
        <w:ind w:left="2485" w:right="0" w:hanging="567"/>
        <w:jc w:val="left"/>
        <w:rPr>
          <w:sz w:val="24"/>
        </w:rPr>
      </w:pPr>
      <w:r>
        <w:rPr>
          <w:sz w:val="24"/>
        </w:rPr>
        <w:t>within a</w:t>
      </w:r>
      <w:r>
        <w:rPr>
          <w:spacing w:val="-1"/>
          <w:sz w:val="24"/>
        </w:rPr>
        <w:t> </w:t>
      </w:r>
      <w:r>
        <w:rPr>
          <w:i/>
          <w:sz w:val="24"/>
        </w:rPr>
        <w:t>substation</w:t>
      </w:r>
      <w:r>
        <w:rPr>
          <w:sz w:val="24"/>
        </w:rPr>
        <w:t>;</w:t>
      </w:r>
    </w:p>
    <w:p>
      <w:pPr>
        <w:pStyle w:val="ListParagraph"/>
        <w:numPr>
          <w:ilvl w:val="1"/>
          <w:numId w:val="263"/>
        </w:numPr>
        <w:tabs>
          <w:tab w:pos="2485" w:val="left" w:leader="none"/>
          <w:tab w:pos="2486" w:val="left" w:leader="none"/>
        </w:tabs>
        <w:spacing w:line="240" w:lineRule="auto" w:before="120" w:after="0"/>
        <w:ind w:left="2485" w:right="0" w:hanging="567"/>
        <w:jc w:val="left"/>
        <w:rPr>
          <w:sz w:val="24"/>
        </w:rPr>
      </w:pPr>
      <w:r>
        <w:rPr>
          <w:sz w:val="24"/>
        </w:rPr>
        <w:t>within </w:t>
      </w:r>
      <w:r>
        <w:rPr>
          <w:i/>
          <w:sz w:val="24"/>
        </w:rPr>
        <w:t>connected plant</w:t>
      </w:r>
      <w:r>
        <w:rPr>
          <w:sz w:val="24"/>
        </w:rPr>
        <w:t>;</w:t>
      </w:r>
      <w:r>
        <w:rPr>
          <w:spacing w:val="-1"/>
          <w:sz w:val="24"/>
        </w:rPr>
        <w:t> </w:t>
      </w:r>
      <w:r>
        <w:rPr>
          <w:sz w:val="24"/>
        </w:rPr>
        <w:t>or</w:t>
      </w:r>
    </w:p>
    <w:p>
      <w:pPr>
        <w:pStyle w:val="ListParagraph"/>
        <w:numPr>
          <w:ilvl w:val="1"/>
          <w:numId w:val="263"/>
        </w:numPr>
        <w:tabs>
          <w:tab w:pos="2485" w:val="left" w:leader="none"/>
          <w:tab w:pos="2486" w:val="left" w:leader="none"/>
        </w:tabs>
        <w:spacing w:line="390" w:lineRule="atLeast" w:before="6" w:after="0"/>
        <w:ind w:left="1919" w:right="416" w:firstLine="0"/>
        <w:jc w:val="left"/>
        <w:rPr>
          <w:sz w:val="24"/>
        </w:rPr>
      </w:pPr>
      <w:r>
        <w:rPr>
          <w:sz w:val="24"/>
        </w:rPr>
        <w:t>on at least the half of a power line nearer to the </w:t>
      </w:r>
      <w:r>
        <w:rPr>
          <w:i/>
          <w:sz w:val="24"/>
        </w:rPr>
        <w:t>protection system</w:t>
      </w:r>
      <w:r>
        <w:rPr>
          <w:sz w:val="24"/>
        </w:rPr>
        <w:t>, should</w:t>
      </w:r>
      <w:r>
        <w:rPr>
          <w:spacing w:val="37"/>
          <w:sz w:val="24"/>
        </w:rPr>
        <w:t> </w:t>
      </w:r>
      <w:r>
        <w:rPr>
          <w:sz w:val="24"/>
        </w:rPr>
        <w:t>not</w:t>
      </w:r>
      <w:r>
        <w:rPr>
          <w:spacing w:val="36"/>
          <w:sz w:val="24"/>
        </w:rPr>
        <w:t> </w:t>
      </w:r>
      <w:r>
        <w:rPr>
          <w:sz w:val="24"/>
        </w:rPr>
        <w:t>exceed</w:t>
      </w:r>
      <w:r>
        <w:rPr>
          <w:spacing w:val="38"/>
          <w:sz w:val="24"/>
        </w:rPr>
        <w:t> </w:t>
      </w:r>
      <w:r>
        <w:rPr>
          <w:sz w:val="24"/>
        </w:rPr>
        <w:t>the</w:t>
      </w:r>
      <w:r>
        <w:rPr>
          <w:spacing w:val="37"/>
          <w:sz w:val="24"/>
        </w:rPr>
        <w:t> </w:t>
      </w:r>
      <w:r>
        <w:rPr>
          <w:sz w:val="24"/>
        </w:rPr>
        <w:t>relevant</w:t>
      </w:r>
      <w:r>
        <w:rPr>
          <w:spacing w:val="36"/>
          <w:sz w:val="24"/>
        </w:rPr>
        <w:t> </w:t>
      </w:r>
      <w:r>
        <w:rPr>
          <w:sz w:val="24"/>
        </w:rPr>
        <w:t>time</w:t>
      </w:r>
      <w:r>
        <w:rPr>
          <w:spacing w:val="37"/>
          <w:sz w:val="24"/>
        </w:rPr>
        <w:t> </w:t>
      </w:r>
      <w:r>
        <w:rPr>
          <w:sz w:val="24"/>
        </w:rPr>
        <w:t>in</w:t>
      </w:r>
      <w:r>
        <w:rPr>
          <w:spacing w:val="37"/>
          <w:sz w:val="24"/>
        </w:rPr>
        <w:t> </w:t>
      </w:r>
      <w:r>
        <w:rPr>
          <w:sz w:val="24"/>
        </w:rPr>
        <w:t>column 2</w:t>
      </w:r>
      <w:r>
        <w:rPr>
          <w:spacing w:val="36"/>
          <w:sz w:val="24"/>
        </w:rPr>
        <w:t> </w:t>
      </w:r>
      <w:r>
        <w:rPr>
          <w:sz w:val="24"/>
        </w:rPr>
        <w:t>of</w:t>
      </w:r>
      <w:r>
        <w:rPr>
          <w:spacing w:val="37"/>
          <w:sz w:val="24"/>
        </w:rPr>
        <w:t> </w:t>
      </w:r>
      <w:r>
        <w:rPr>
          <w:sz w:val="24"/>
        </w:rPr>
        <w:t>Table</w:t>
      </w:r>
      <w:r>
        <w:rPr>
          <w:spacing w:val="-1"/>
          <w:sz w:val="24"/>
        </w:rPr>
        <w:t> </w:t>
      </w:r>
      <w:r>
        <w:rPr>
          <w:sz w:val="24"/>
        </w:rPr>
        <w:t>S5.1a.2</w:t>
      </w:r>
      <w:r>
        <w:rPr>
          <w:spacing w:val="37"/>
          <w:sz w:val="24"/>
        </w:rPr>
        <w:t> </w:t>
      </w:r>
      <w:r>
        <w:rPr>
          <w:sz w:val="24"/>
        </w:rPr>
        <w:t>for</w:t>
      </w:r>
      <w:r>
        <w:rPr>
          <w:spacing w:val="38"/>
          <w:sz w:val="24"/>
        </w:rPr>
        <w:t> </w:t>
      </w:r>
      <w:r>
        <w:rPr>
          <w:sz w:val="24"/>
        </w:rPr>
        <w:t>the</w:t>
      </w:r>
    </w:p>
    <w:p>
      <w:pPr>
        <w:spacing w:before="6"/>
        <w:ind w:left="1919" w:right="0" w:firstLine="0"/>
        <w:jc w:val="left"/>
        <w:rPr>
          <w:sz w:val="24"/>
        </w:rPr>
      </w:pPr>
      <w:r>
        <w:rPr>
          <w:i/>
          <w:sz w:val="24"/>
        </w:rPr>
        <w:t>nominal voltage </w:t>
      </w:r>
      <w:r>
        <w:rPr>
          <w:sz w:val="24"/>
        </w:rPr>
        <w:t>that applies at the fault location.</w:t>
      </w:r>
    </w:p>
    <w:p>
      <w:pPr>
        <w:pStyle w:val="ListParagraph"/>
        <w:numPr>
          <w:ilvl w:val="0"/>
          <w:numId w:val="263"/>
        </w:numPr>
        <w:tabs>
          <w:tab w:pos="1919" w:val="left" w:leader="none"/>
        </w:tabs>
        <w:spacing w:line="240" w:lineRule="auto" w:before="120" w:after="0"/>
        <w:ind w:left="1919" w:right="414" w:hanging="567"/>
        <w:jc w:val="both"/>
        <w:rPr>
          <w:sz w:val="24"/>
        </w:rPr>
      </w:pPr>
      <w:r>
        <w:rPr>
          <w:sz w:val="24"/>
        </w:rPr>
        <w:t>The </w:t>
      </w:r>
      <w:r>
        <w:rPr>
          <w:i/>
          <w:sz w:val="24"/>
        </w:rPr>
        <w:t>fault clearance time </w:t>
      </w:r>
      <w:r>
        <w:rPr>
          <w:sz w:val="24"/>
        </w:rPr>
        <w:t>of a primary </w:t>
      </w:r>
      <w:r>
        <w:rPr>
          <w:i/>
          <w:sz w:val="24"/>
        </w:rPr>
        <w:t>protection system </w:t>
      </w:r>
      <w:r>
        <w:rPr>
          <w:sz w:val="24"/>
        </w:rPr>
        <w:t>for a </w:t>
      </w:r>
      <w:r>
        <w:rPr>
          <w:i/>
          <w:sz w:val="24"/>
        </w:rPr>
        <w:t>short circuit </w:t>
      </w:r>
      <w:r>
        <w:rPr>
          <w:i/>
          <w:sz w:val="24"/>
        </w:rPr>
        <w:t>fault </w:t>
      </w:r>
      <w:r>
        <w:rPr>
          <w:sz w:val="24"/>
        </w:rPr>
        <w:t>of any </w:t>
      </w:r>
      <w:r>
        <w:rPr>
          <w:i/>
          <w:sz w:val="24"/>
        </w:rPr>
        <w:t>fault type </w:t>
      </w:r>
      <w:r>
        <w:rPr>
          <w:sz w:val="24"/>
        </w:rPr>
        <w:t>anywhere on the remote portion of a power line for which the near portion is protected by a primary </w:t>
      </w:r>
      <w:r>
        <w:rPr>
          <w:i/>
          <w:sz w:val="24"/>
        </w:rPr>
        <w:t>protection system </w:t>
      </w:r>
      <w:r>
        <w:rPr>
          <w:sz w:val="24"/>
        </w:rPr>
        <w:t>under clause S5.1a8(b) should not exceed the relevant time  in  column 3  of  Table S5.1a.2 for the </w:t>
      </w:r>
      <w:r>
        <w:rPr>
          <w:i/>
          <w:sz w:val="24"/>
        </w:rPr>
        <w:t>nominal voltage </w:t>
      </w:r>
      <w:r>
        <w:rPr>
          <w:sz w:val="24"/>
        </w:rPr>
        <w:t>that applies at the fault</w:t>
      </w:r>
      <w:r>
        <w:rPr>
          <w:spacing w:val="-9"/>
          <w:sz w:val="24"/>
        </w:rPr>
        <w:t> </w:t>
      </w:r>
      <w:r>
        <w:rPr>
          <w:sz w:val="24"/>
        </w:rPr>
        <w:t>location.</w:t>
      </w:r>
    </w:p>
    <w:p>
      <w:pPr>
        <w:pStyle w:val="ListParagraph"/>
        <w:numPr>
          <w:ilvl w:val="0"/>
          <w:numId w:val="263"/>
        </w:numPr>
        <w:tabs>
          <w:tab w:pos="1919" w:val="left" w:leader="none"/>
        </w:tabs>
        <w:spacing w:line="240" w:lineRule="auto" w:before="120" w:after="0"/>
        <w:ind w:left="1919" w:right="415" w:hanging="567"/>
        <w:jc w:val="both"/>
        <w:rPr>
          <w:sz w:val="24"/>
        </w:rPr>
      </w:pPr>
      <w:r>
        <w:rPr>
          <w:sz w:val="24"/>
        </w:rPr>
        <w:t>The </w:t>
      </w:r>
      <w:r>
        <w:rPr>
          <w:i/>
          <w:sz w:val="24"/>
        </w:rPr>
        <w:t>fault clearance time </w:t>
      </w:r>
      <w:r>
        <w:rPr>
          <w:sz w:val="24"/>
        </w:rPr>
        <w:t>of a </w:t>
      </w:r>
      <w:r>
        <w:rPr>
          <w:i/>
          <w:sz w:val="24"/>
        </w:rPr>
        <w:t>breaker fail protection system </w:t>
      </w:r>
      <w:r>
        <w:rPr>
          <w:sz w:val="24"/>
        </w:rPr>
        <w:t>or similar back- up </w:t>
      </w:r>
      <w:r>
        <w:rPr>
          <w:i/>
          <w:sz w:val="24"/>
        </w:rPr>
        <w:t>protection system </w:t>
      </w:r>
      <w:r>
        <w:rPr>
          <w:sz w:val="24"/>
        </w:rPr>
        <w:t>for a </w:t>
      </w:r>
      <w:r>
        <w:rPr>
          <w:i/>
          <w:sz w:val="24"/>
        </w:rPr>
        <w:t>short circuit fault </w:t>
      </w:r>
      <w:r>
        <w:rPr>
          <w:sz w:val="24"/>
        </w:rPr>
        <w:t>of any </w:t>
      </w:r>
      <w:r>
        <w:rPr>
          <w:i/>
          <w:sz w:val="24"/>
        </w:rPr>
        <w:t>fault type </w:t>
      </w:r>
      <w:r>
        <w:rPr>
          <w:sz w:val="24"/>
        </w:rPr>
        <w:t>should not exceed the relevant time in column 4 of Table S5.1a.2 for the </w:t>
      </w:r>
      <w:r>
        <w:rPr>
          <w:i/>
          <w:sz w:val="24"/>
        </w:rPr>
        <w:t>nominal </w:t>
      </w:r>
      <w:r>
        <w:rPr>
          <w:i/>
          <w:sz w:val="24"/>
        </w:rPr>
        <w:t>voltage </w:t>
      </w:r>
      <w:r>
        <w:rPr>
          <w:sz w:val="24"/>
        </w:rPr>
        <w:t>that applies at the fault</w:t>
      </w:r>
      <w:r>
        <w:rPr>
          <w:spacing w:val="-2"/>
          <w:sz w:val="24"/>
        </w:rPr>
        <w:t> </w:t>
      </w:r>
      <w:r>
        <w:rPr>
          <w:sz w:val="24"/>
        </w:rPr>
        <w:t>location.</w:t>
      </w:r>
    </w:p>
    <w:p>
      <w:pPr>
        <w:pStyle w:val="ListParagraph"/>
        <w:numPr>
          <w:ilvl w:val="0"/>
          <w:numId w:val="263"/>
        </w:numPr>
        <w:tabs>
          <w:tab w:pos="1919" w:val="left" w:leader="none"/>
        </w:tabs>
        <w:spacing w:line="240" w:lineRule="auto" w:before="120" w:after="0"/>
        <w:ind w:left="1918" w:right="0" w:hanging="567"/>
        <w:jc w:val="both"/>
        <w:rPr>
          <w:i/>
          <w:sz w:val="24"/>
        </w:rPr>
      </w:pPr>
      <w:r>
        <w:rPr>
          <w:sz w:val="24"/>
        </w:rPr>
        <w:t>The</w:t>
      </w:r>
      <w:r>
        <w:rPr>
          <w:spacing w:val="14"/>
          <w:sz w:val="24"/>
        </w:rPr>
        <w:t> </w:t>
      </w:r>
      <w:r>
        <w:rPr>
          <w:sz w:val="24"/>
        </w:rPr>
        <w:t>owner</w:t>
      </w:r>
      <w:r>
        <w:rPr>
          <w:spacing w:val="14"/>
          <w:sz w:val="24"/>
        </w:rPr>
        <w:t> </w:t>
      </w:r>
      <w:r>
        <w:rPr>
          <w:sz w:val="24"/>
        </w:rPr>
        <w:t>of</w:t>
      </w:r>
      <w:r>
        <w:rPr>
          <w:spacing w:val="15"/>
          <w:sz w:val="24"/>
        </w:rPr>
        <w:t> </w:t>
      </w:r>
      <w:r>
        <w:rPr>
          <w:sz w:val="24"/>
        </w:rPr>
        <w:t>the</w:t>
      </w:r>
      <w:r>
        <w:rPr>
          <w:spacing w:val="14"/>
          <w:sz w:val="24"/>
        </w:rPr>
        <w:t> </w:t>
      </w:r>
      <w:r>
        <w:rPr>
          <w:sz w:val="24"/>
        </w:rPr>
        <w:t>faulted</w:t>
      </w:r>
      <w:r>
        <w:rPr>
          <w:spacing w:val="14"/>
          <w:sz w:val="24"/>
        </w:rPr>
        <w:t> </w:t>
      </w:r>
      <w:r>
        <w:rPr>
          <w:sz w:val="24"/>
        </w:rPr>
        <w:t>element</w:t>
      </w:r>
      <w:r>
        <w:rPr>
          <w:spacing w:val="13"/>
          <w:sz w:val="24"/>
        </w:rPr>
        <w:t> </w:t>
      </w:r>
      <w:r>
        <w:rPr>
          <w:sz w:val="24"/>
        </w:rPr>
        <w:t>may</w:t>
      </w:r>
      <w:r>
        <w:rPr>
          <w:spacing w:val="15"/>
          <w:sz w:val="24"/>
        </w:rPr>
        <w:t> </w:t>
      </w:r>
      <w:r>
        <w:rPr>
          <w:sz w:val="24"/>
        </w:rPr>
        <w:t>require</w:t>
      </w:r>
      <w:r>
        <w:rPr>
          <w:spacing w:val="14"/>
          <w:sz w:val="24"/>
        </w:rPr>
        <w:t> </w:t>
      </w:r>
      <w:r>
        <w:rPr>
          <w:sz w:val="24"/>
        </w:rPr>
        <w:t>shorter</w:t>
      </w:r>
      <w:r>
        <w:rPr>
          <w:spacing w:val="15"/>
          <w:sz w:val="24"/>
        </w:rPr>
        <w:t> </w:t>
      </w:r>
      <w:r>
        <w:rPr>
          <w:i/>
          <w:sz w:val="24"/>
        </w:rPr>
        <w:t>fault</w:t>
      </w:r>
      <w:r>
        <w:rPr>
          <w:i/>
          <w:spacing w:val="14"/>
          <w:sz w:val="24"/>
        </w:rPr>
        <w:t> </w:t>
      </w:r>
      <w:r>
        <w:rPr>
          <w:i/>
          <w:sz w:val="24"/>
        </w:rPr>
        <w:t>clearance</w:t>
      </w:r>
      <w:r>
        <w:rPr>
          <w:i/>
          <w:spacing w:val="14"/>
          <w:sz w:val="24"/>
        </w:rPr>
        <w:t> </w:t>
      </w:r>
      <w:r>
        <w:rPr>
          <w:i/>
          <w:sz w:val="24"/>
        </w:rPr>
        <w:t>times</w:t>
      </w:r>
    </w:p>
    <w:p>
      <w:pPr>
        <w:spacing w:before="0"/>
        <w:ind w:left="1919" w:right="0" w:firstLine="0"/>
        <w:jc w:val="both"/>
        <w:rPr>
          <w:sz w:val="24"/>
        </w:rPr>
      </w:pPr>
      <w:r>
        <w:rPr>
          <w:sz w:val="24"/>
        </w:rPr>
        <w:t>to minimise </w:t>
      </w:r>
      <w:r>
        <w:rPr>
          <w:i/>
          <w:sz w:val="24"/>
        </w:rPr>
        <w:t>plant </w:t>
      </w:r>
      <w:r>
        <w:rPr>
          <w:sz w:val="24"/>
        </w:rPr>
        <w:t>damage.</w:t>
      </w:r>
    </w:p>
    <w:p>
      <w:pPr>
        <w:pStyle w:val="ListParagraph"/>
        <w:numPr>
          <w:ilvl w:val="0"/>
          <w:numId w:val="263"/>
        </w:numPr>
        <w:tabs>
          <w:tab w:pos="1920" w:val="left" w:leader="none"/>
        </w:tabs>
        <w:spacing w:line="240" w:lineRule="auto" w:before="120" w:after="0"/>
        <w:ind w:left="1919" w:right="415" w:hanging="567"/>
        <w:jc w:val="both"/>
        <w:rPr>
          <w:sz w:val="24"/>
        </w:rPr>
      </w:pPr>
      <w:r>
        <w:rPr>
          <w:sz w:val="24"/>
        </w:rPr>
        <w:t>The allowable </w:t>
      </w:r>
      <w:r>
        <w:rPr>
          <w:i/>
          <w:sz w:val="24"/>
        </w:rPr>
        <w:t>fault clearance times </w:t>
      </w:r>
      <w:r>
        <w:rPr>
          <w:sz w:val="24"/>
        </w:rPr>
        <w:t>specified in Table S5.1a.2 apply</w:t>
      </w:r>
      <w:r>
        <w:rPr>
          <w:spacing w:val="31"/>
          <w:sz w:val="24"/>
        </w:rPr>
        <w:t> </w:t>
      </w:r>
      <w:r>
        <w:rPr>
          <w:sz w:val="24"/>
        </w:rPr>
        <w:t>in accordance with the provisions of clause S5.1.9 to </w:t>
      </w:r>
      <w:r>
        <w:rPr>
          <w:i/>
          <w:sz w:val="24"/>
        </w:rPr>
        <w:t>facilities </w:t>
      </w:r>
      <w:r>
        <w:rPr>
          <w:sz w:val="24"/>
        </w:rPr>
        <w:t>constructed or modified on or after the </w:t>
      </w:r>
      <w:r>
        <w:rPr>
          <w:i/>
          <w:sz w:val="24"/>
        </w:rPr>
        <w:t>performance standards commencement</w:t>
      </w:r>
      <w:r>
        <w:rPr>
          <w:i/>
          <w:spacing w:val="-5"/>
          <w:sz w:val="24"/>
        </w:rPr>
        <w:t> </w:t>
      </w:r>
      <w:r>
        <w:rPr>
          <w:i/>
          <w:sz w:val="24"/>
        </w:rPr>
        <w:t>date</w:t>
      </w:r>
      <w:r>
        <w:rPr>
          <w:sz w:val="24"/>
        </w:rPr>
        <w:t>.</w:t>
      </w:r>
    </w:p>
    <w:p>
      <w:pPr>
        <w:pStyle w:val="ListParagraph"/>
        <w:numPr>
          <w:ilvl w:val="0"/>
          <w:numId w:val="263"/>
        </w:numPr>
        <w:tabs>
          <w:tab w:pos="1919" w:val="left" w:leader="none"/>
        </w:tabs>
        <w:spacing w:line="240" w:lineRule="auto" w:before="120" w:after="0"/>
        <w:ind w:left="1919" w:right="415" w:hanging="567"/>
        <w:jc w:val="both"/>
        <w:rPr>
          <w:sz w:val="24"/>
        </w:rPr>
      </w:pPr>
      <w:r>
        <w:rPr>
          <w:sz w:val="24"/>
        </w:rPr>
        <w:t>For </w:t>
      </w:r>
      <w:r>
        <w:rPr>
          <w:i/>
          <w:sz w:val="24"/>
        </w:rPr>
        <w:t>facilities </w:t>
      </w:r>
      <w:r>
        <w:rPr>
          <w:sz w:val="24"/>
        </w:rPr>
        <w:t>other than those referred to in clause S5.1a.8(f), the applicable allowable </w:t>
      </w:r>
      <w:r>
        <w:rPr>
          <w:i/>
          <w:sz w:val="24"/>
        </w:rPr>
        <w:t>fault clearance times </w:t>
      </w:r>
      <w:r>
        <w:rPr>
          <w:sz w:val="24"/>
        </w:rPr>
        <w:t>must be derived by the relevant </w:t>
      </w:r>
      <w:r>
        <w:rPr>
          <w:i/>
          <w:sz w:val="24"/>
        </w:rPr>
        <w:t>Network </w:t>
      </w:r>
      <w:r>
        <w:rPr>
          <w:i/>
          <w:sz w:val="24"/>
        </w:rPr>
        <w:t>Service Provider </w:t>
      </w:r>
      <w:r>
        <w:rPr>
          <w:sz w:val="24"/>
        </w:rPr>
        <w:t>from the existing capability of each </w:t>
      </w:r>
      <w:r>
        <w:rPr>
          <w:i/>
          <w:sz w:val="24"/>
        </w:rPr>
        <w:t>facility </w:t>
      </w:r>
      <w:r>
        <w:rPr>
          <w:sz w:val="24"/>
        </w:rPr>
        <w:t>on the </w:t>
      </w:r>
      <w:r>
        <w:rPr>
          <w:i/>
          <w:sz w:val="24"/>
        </w:rPr>
        <w:t>performance standards commencement</w:t>
      </w:r>
      <w:r>
        <w:rPr>
          <w:i/>
          <w:spacing w:val="-2"/>
          <w:sz w:val="24"/>
        </w:rPr>
        <w:t> </w:t>
      </w:r>
      <w:r>
        <w:rPr>
          <w:i/>
          <w:sz w:val="24"/>
        </w:rPr>
        <w:t>date</w:t>
      </w:r>
      <w:r>
        <w:rPr>
          <w:sz w:val="24"/>
        </w:rPr>
        <w:t>.</w:t>
      </w:r>
    </w:p>
    <w:p>
      <w:pPr>
        <w:spacing w:before="120"/>
        <w:ind w:left="218" w:right="0" w:firstLine="0"/>
        <w:jc w:val="left"/>
        <w:rPr>
          <w:rFonts w:ascii="Arial"/>
          <w:b/>
          <w:sz w:val="22"/>
        </w:rPr>
      </w:pPr>
      <w:r>
        <w:rPr>
          <w:rFonts w:ascii="Arial"/>
          <w:b/>
          <w:sz w:val="22"/>
        </w:rPr>
        <w:t>Table S5.1a.2</w:t>
      </w:r>
    </w:p>
    <w:p>
      <w:pPr>
        <w:pStyle w:val="BodyText"/>
        <w:spacing w:before="8"/>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29"/>
        <w:gridCol w:w="1814"/>
        <w:gridCol w:w="1814"/>
        <w:gridCol w:w="1814"/>
      </w:tblGrid>
      <w:tr>
        <w:trPr>
          <w:trHeight w:val="671" w:hRule="atLeast"/>
        </w:trPr>
        <w:tc>
          <w:tcPr>
            <w:tcW w:w="3629" w:type="dxa"/>
            <w:tcBorders>
              <w:right w:val="single" w:sz="4" w:space="0" w:color="000000"/>
            </w:tcBorders>
            <w:shd w:val="clear" w:color="auto" w:fill="D9D9D9"/>
          </w:tcPr>
          <w:p>
            <w:pPr>
              <w:pStyle w:val="TableParagraph"/>
              <w:spacing w:line="270" w:lineRule="atLeast"/>
              <w:ind w:left="1127" w:right="426" w:hanging="667"/>
              <w:rPr>
                <w:rFonts w:ascii="Arial"/>
                <w:b/>
                <w:sz w:val="24"/>
              </w:rPr>
            </w:pPr>
            <w:r>
              <w:rPr>
                <w:rFonts w:ascii="Arial"/>
                <w:b/>
                <w:sz w:val="24"/>
              </w:rPr>
              <w:t>Nominal voltage at fault location(kV)</w:t>
            </w:r>
          </w:p>
        </w:tc>
        <w:tc>
          <w:tcPr>
            <w:tcW w:w="5442" w:type="dxa"/>
            <w:gridSpan w:val="3"/>
            <w:tcBorders>
              <w:left w:val="single" w:sz="4" w:space="0" w:color="000000"/>
              <w:right w:val="single" w:sz="4" w:space="0" w:color="000000"/>
            </w:tcBorders>
            <w:shd w:val="clear" w:color="auto" w:fill="D9D9D9"/>
          </w:tcPr>
          <w:p>
            <w:pPr>
              <w:pStyle w:val="TableParagraph"/>
              <w:ind w:left="1639"/>
              <w:rPr>
                <w:rFonts w:ascii="Arial"/>
                <w:b/>
                <w:sz w:val="24"/>
              </w:rPr>
            </w:pPr>
            <w:r>
              <w:rPr>
                <w:rFonts w:ascii="Arial"/>
                <w:b/>
                <w:sz w:val="24"/>
              </w:rPr>
              <w:t>Time(milliseconds)</w:t>
            </w:r>
          </w:p>
        </w:tc>
      </w:tr>
      <w:tr>
        <w:trPr>
          <w:trHeight w:val="395" w:hRule="atLeast"/>
        </w:trPr>
        <w:tc>
          <w:tcPr>
            <w:tcW w:w="3629" w:type="dxa"/>
            <w:tcBorders>
              <w:bottom w:val="single" w:sz="4" w:space="0" w:color="000000"/>
              <w:right w:val="single" w:sz="4" w:space="0" w:color="000000"/>
            </w:tcBorders>
            <w:shd w:val="clear" w:color="auto" w:fill="D9D9D9"/>
          </w:tcPr>
          <w:p>
            <w:pPr>
              <w:pStyle w:val="TableParagraph"/>
              <w:spacing w:line="256" w:lineRule="exact"/>
              <w:ind w:left="1247" w:right="1233"/>
              <w:jc w:val="center"/>
              <w:rPr>
                <w:rFonts w:ascii="Arial"/>
                <w:b/>
                <w:sz w:val="24"/>
              </w:rPr>
            </w:pPr>
            <w:r>
              <w:rPr>
                <w:rFonts w:ascii="Arial"/>
                <w:b/>
                <w:sz w:val="24"/>
              </w:rPr>
              <w:t>Column 1</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2</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3</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4</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b/>
                <w:sz w:val="24"/>
              </w:rPr>
            </w:pPr>
            <w:r>
              <w:rPr>
                <w:b/>
                <w:sz w:val="24"/>
              </w:rPr>
              <w:t>400kV and above</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80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175</w:t>
            </w:r>
          </w:p>
        </w:tc>
      </w:tr>
    </w:tbl>
    <w:p>
      <w:pPr>
        <w:spacing w:after="0"/>
        <w:jc w:val="center"/>
        <w:rPr>
          <w:sz w:val="24"/>
        </w:rPr>
        <w:sectPr>
          <w:pgSz w:w="11910" w:h="16840"/>
          <w:pgMar w:header="686" w:footer="637" w:top="1320" w:bottom="820" w:left="1200" w:right="1000"/>
        </w:sectPr>
      </w:pPr>
    </w:p>
    <w:p>
      <w:pPr>
        <w:pStyle w:val="BodyText"/>
        <w:spacing w:before="2"/>
        <w:ind w:firstLine="0"/>
        <w:jc w:val="left"/>
        <w:rPr>
          <w:rFonts w:ascii="Arial"/>
          <w:b/>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29"/>
        <w:gridCol w:w="1814"/>
        <w:gridCol w:w="1814"/>
        <w:gridCol w:w="1814"/>
      </w:tblGrid>
      <w:tr>
        <w:trPr>
          <w:trHeight w:val="671" w:hRule="atLeast"/>
        </w:trPr>
        <w:tc>
          <w:tcPr>
            <w:tcW w:w="3629" w:type="dxa"/>
            <w:tcBorders>
              <w:right w:val="single" w:sz="4" w:space="0" w:color="000000"/>
            </w:tcBorders>
            <w:shd w:val="clear" w:color="auto" w:fill="D9D9D9"/>
          </w:tcPr>
          <w:p>
            <w:pPr>
              <w:pStyle w:val="TableParagraph"/>
              <w:spacing w:line="270" w:lineRule="atLeast"/>
              <w:ind w:left="1127" w:right="426" w:hanging="667"/>
              <w:rPr>
                <w:rFonts w:ascii="Arial"/>
                <w:b/>
                <w:sz w:val="24"/>
              </w:rPr>
            </w:pPr>
            <w:r>
              <w:rPr>
                <w:rFonts w:ascii="Arial"/>
                <w:b/>
                <w:sz w:val="24"/>
              </w:rPr>
              <w:t>Nominal voltage at fault location(kV)</w:t>
            </w:r>
          </w:p>
        </w:tc>
        <w:tc>
          <w:tcPr>
            <w:tcW w:w="5442" w:type="dxa"/>
            <w:gridSpan w:val="3"/>
            <w:tcBorders>
              <w:left w:val="single" w:sz="4" w:space="0" w:color="000000"/>
              <w:right w:val="single" w:sz="4" w:space="0" w:color="000000"/>
            </w:tcBorders>
            <w:shd w:val="clear" w:color="auto" w:fill="D9D9D9"/>
          </w:tcPr>
          <w:p>
            <w:pPr>
              <w:pStyle w:val="TableParagraph"/>
              <w:ind w:left="1639"/>
              <w:rPr>
                <w:rFonts w:ascii="Arial"/>
                <w:b/>
                <w:sz w:val="24"/>
              </w:rPr>
            </w:pPr>
            <w:r>
              <w:rPr>
                <w:rFonts w:ascii="Arial"/>
                <w:b/>
                <w:sz w:val="24"/>
              </w:rPr>
              <w:t>Time(milliseconds)</w:t>
            </w:r>
          </w:p>
        </w:tc>
      </w:tr>
      <w:tr>
        <w:trPr>
          <w:trHeight w:val="395" w:hRule="atLeast"/>
        </w:trPr>
        <w:tc>
          <w:tcPr>
            <w:tcW w:w="3629" w:type="dxa"/>
            <w:tcBorders>
              <w:bottom w:val="single" w:sz="4" w:space="0" w:color="000000"/>
              <w:right w:val="single" w:sz="4" w:space="0" w:color="000000"/>
            </w:tcBorders>
            <w:shd w:val="clear" w:color="auto" w:fill="D9D9D9"/>
          </w:tcPr>
          <w:p>
            <w:pPr>
              <w:pStyle w:val="TableParagraph"/>
              <w:spacing w:line="256" w:lineRule="exact"/>
              <w:ind w:left="1247" w:right="1233"/>
              <w:jc w:val="center"/>
              <w:rPr>
                <w:rFonts w:ascii="Arial"/>
                <w:b/>
                <w:sz w:val="24"/>
              </w:rPr>
            </w:pPr>
            <w:r>
              <w:rPr>
                <w:rFonts w:ascii="Arial"/>
                <w:b/>
                <w:sz w:val="24"/>
              </w:rPr>
              <w:t>Column 1</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2</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3</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90" w:right="71"/>
              <w:jc w:val="center"/>
              <w:rPr>
                <w:rFonts w:ascii="Arial"/>
                <w:b/>
                <w:sz w:val="24"/>
              </w:rPr>
            </w:pPr>
            <w:r>
              <w:rPr>
                <w:rFonts w:ascii="Arial"/>
                <w:b/>
                <w:sz w:val="24"/>
              </w:rPr>
              <w:t>Column 4</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b/>
                <w:sz w:val="24"/>
              </w:rPr>
            </w:pPr>
            <w:r>
              <w:rPr>
                <w:b/>
                <w:sz w:val="24"/>
              </w:rPr>
              <w:t>at least 250kV but less than 400kV</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250</w:t>
            </w:r>
          </w:p>
        </w:tc>
      </w:tr>
      <w:tr>
        <w:trPr>
          <w:trHeight w:val="791" w:hRule="atLeast"/>
        </w:trPr>
        <w:tc>
          <w:tcPr>
            <w:tcW w:w="3629" w:type="dxa"/>
            <w:tcBorders>
              <w:top w:val="single" w:sz="4" w:space="0" w:color="000000"/>
              <w:bottom w:val="single" w:sz="4" w:space="0" w:color="000000"/>
              <w:right w:val="single" w:sz="4" w:space="0" w:color="000000"/>
            </w:tcBorders>
          </w:tcPr>
          <w:p>
            <w:pPr>
              <w:pStyle w:val="TableParagraph"/>
              <w:ind w:left="40" w:right="413"/>
              <w:rPr>
                <w:b/>
                <w:sz w:val="24"/>
              </w:rPr>
            </w:pPr>
            <w:r>
              <w:rPr>
                <w:b/>
                <w:sz w:val="24"/>
              </w:rPr>
              <w:t>more than 100kV but less than 250kV</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120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0" w:right="71"/>
              <w:jc w:val="center"/>
              <w:rPr>
                <w:sz w:val="24"/>
              </w:rPr>
            </w:pPr>
            <w:r>
              <w:rPr>
                <w:sz w:val="24"/>
              </w:rPr>
              <w:t>220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430</w:t>
            </w:r>
          </w:p>
        </w:tc>
      </w:tr>
      <w:tr>
        <w:trPr>
          <w:trHeight w:val="791" w:hRule="atLeast"/>
        </w:trPr>
        <w:tc>
          <w:tcPr>
            <w:tcW w:w="3629" w:type="dxa"/>
            <w:tcBorders>
              <w:top w:val="single" w:sz="4" w:space="0" w:color="000000"/>
              <w:right w:val="single" w:sz="4" w:space="0" w:color="000000"/>
            </w:tcBorders>
          </w:tcPr>
          <w:p>
            <w:pPr>
              <w:pStyle w:val="TableParagraph"/>
              <w:ind w:left="40"/>
              <w:rPr>
                <w:b/>
                <w:sz w:val="24"/>
              </w:rPr>
            </w:pPr>
            <w:r>
              <w:rPr>
                <w:b/>
                <w:sz w:val="24"/>
              </w:rPr>
              <w:t>less than or equal 100 kV</w:t>
            </w:r>
          </w:p>
        </w:tc>
        <w:tc>
          <w:tcPr>
            <w:tcW w:w="5442" w:type="dxa"/>
            <w:gridSpan w:val="3"/>
            <w:tcBorders>
              <w:top w:val="single" w:sz="4" w:space="0" w:color="000000"/>
              <w:left w:val="single" w:sz="4" w:space="0" w:color="000000"/>
              <w:right w:val="single" w:sz="4" w:space="0" w:color="000000"/>
            </w:tcBorders>
          </w:tcPr>
          <w:p>
            <w:pPr>
              <w:pStyle w:val="TableParagraph"/>
              <w:ind w:left="1682" w:right="398" w:hanging="1247"/>
              <w:rPr>
                <w:sz w:val="24"/>
              </w:rPr>
            </w:pPr>
            <w:r>
              <w:rPr>
                <w:sz w:val="24"/>
              </w:rPr>
              <w:t>As necessary to prevent </w:t>
            </w:r>
            <w:r>
              <w:rPr>
                <w:i/>
                <w:sz w:val="24"/>
              </w:rPr>
              <w:t>plant </w:t>
            </w:r>
            <w:r>
              <w:rPr>
                <w:sz w:val="24"/>
              </w:rPr>
              <w:t>damage and meet stability requirements</w:t>
            </w:r>
          </w:p>
        </w:tc>
      </w:tr>
    </w:tbl>
    <w:p>
      <w:pPr>
        <w:pStyle w:val="BodyText"/>
        <w:spacing w:before="0"/>
        <w:ind w:firstLine="0"/>
        <w:jc w:val="left"/>
        <w:rPr>
          <w:rFonts w:ascii="Arial"/>
          <w:b/>
          <w:sz w:val="20"/>
        </w:rPr>
      </w:pPr>
    </w:p>
    <w:p>
      <w:pPr>
        <w:pStyle w:val="BodyText"/>
        <w:spacing w:before="0"/>
        <w:ind w:firstLine="0"/>
        <w:jc w:val="left"/>
        <w:rPr>
          <w:rFonts w:ascii="Arial"/>
          <w:b/>
          <w:sz w:val="17"/>
        </w:rPr>
      </w:pPr>
    </w:p>
    <w:p>
      <w:pPr>
        <w:pStyle w:val="Heading2"/>
        <w:tabs>
          <w:tab w:pos="2485" w:val="left" w:leader="none"/>
        </w:tabs>
        <w:spacing w:before="91"/>
        <w:ind w:left="2486" w:right="1181" w:hanging="2268"/>
      </w:pPr>
      <w:bookmarkStart w:name="Schedule 5.1 Network Performance Require" w:id="916"/>
      <w:bookmarkEnd w:id="916"/>
      <w:r>
        <w:rPr>
          <w:b w:val="0"/>
        </w:rPr>
      </w:r>
      <w:bookmarkStart w:name="_bookmark350" w:id="917"/>
      <w:bookmarkEnd w:id="917"/>
      <w:r>
        <w:rPr>
          <w:b w:val="0"/>
        </w:rPr>
      </w:r>
      <w:r>
        <w:rPr/>
        <w:t>Schedule</w:t>
      </w:r>
      <w:r>
        <w:rPr>
          <w:spacing w:val="-1"/>
        </w:rPr>
        <w:t> </w:t>
      </w:r>
      <w:r>
        <w:rPr/>
        <w:t>5.1</w:t>
        <w:tab/>
        <w:t>Network Performance Requirements to be Provided or Co-ordinated by Network Service Providers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schedule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351" w:val="left" w:leader="none"/>
        </w:tabs>
        <w:ind w:left="218" w:firstLine="0"/>
      </w:pPr>
      <w:bookmarkStart w:name="S5.1.1 Introduction" w:id="918"/>
      <w:bookmarkEnd w:id="918"/>
      <w:r>
        <w:rPr>
          <w:b w:val="0"/>
        </w:rPr>
      </w:r>
      <w:bookmarkStart w:name="_bookmark351" w:id="919"/>
      <w:bookmarkEnd w:id="919"/>
      <w:r>
        <w:rPr>
          <w:b w:val="0"/>
        </w:rPr>
      </w:r>
      <w:r>
        <w:rPr/>
        <w:t>S5.1.1</w:t>
        <w:tab/>
        <w:t>Introduction</w:t>
      </w:r>
    </w:p>
    <w:p>
      <w:pPr>
        <w:spacing w:before="120"/>
        <w:ind w:left="1352" w:right="414" w:firstLine="0"/>
        <w:jc w:val="both"/>
        <w:rPr>
          <w:sz w:val="24"/>
        </w:rPr>
      </w:pPr>
      <w:r>
        <w:rPr>
          <w:sz w:val="24"/>
        </w:rPr>
        <w:t>This schedule describes the planning, design and operating criteria that must be applied by </w:t>
      </w:r>
      <w:r>
        <w:rPr>
          <w:i/>
          <w:sz w:val="24"/>
        </w:rPr>
        <w:t>Network Service Providers </w:t>
      </w:r>
      <w:r>
        <w:rPr>
          <w:sz w:val="24"/>
        </w:rPr>
        <w:t>to the </w:t>
      </w:r>
      <w:r>
        <w:rPr>
          <w:i/>
          <w:sz w:val="24"/>
        </w:rPr>
        <w:t>transmission networks </w:t>
      </w:r>
      <w:r>
        <w:rPr>
          <w:sz w:val="24"/>
        </w:rPr>
        <w:t>and </w:t>
      </w:r>
      <w:r>
        <w:rPr>
          <w:i/>
          <w:sz w:val="24"/>
        </w:rPr>
        <w:t>distribution networks </w:t>
      </w:r>
      <w:r>
        <w:rPr>
          <w:sz w:val="24"/>
        </w:rPr>
        <w:t>which they own, operate or control. It also describes the requirements on </w:t>
      </w:r>
      <w:r>
        <w:rPr>
          <w:i/>
          <w:sz w:val="24"/>
        </w:rPr>
        <w:t>Network Service Providers </w:t>
      </w:r>
      <w:r>
        <w:rPr>
          <w:sz w:val="24"/>
        </w:rPr>
        <w:t>to institute consistent processes to determine the appropriate technical requirements to apply for each </w:t>
      </w:r>
      <w:r>
        <w:rPr>
          <w:i/>
          <w:sz w:val="24"/>
        </w:rPr>
        <w:t>connection </w:t>
      </w:r>
      <w:r>
        <w:rPr>
          <w:sz w:val="24"/>
        </w:rPr>
        <w:t>enquiry or </w:t>
      </w:r>
      <w:r>
        <w:rPr>
          <w:i/>
          <w:sz w:val="24"/>
        </w:rPr>
        <w:t>application to connect </w:t>
      </w:r>
      <w:r>
        <w:rPr>
          <w:sz w:val="24"/>
        </w:rPr>
        <w:t>processed by the </w:t>
      </w:r>
      <w:r>
        <w:rPr>
          <w:i/>
          <w:sz w:val="24"/>
        </w:rPr>
        <w:t>Network Service Provider </w:t>
      </w:r>
      <w:r>
        <w:rPr>
          <w:sz w:val="24"/>
        </w:rPr>
        <w:t>with the objective that all </w:t>
      </w:r>
      <w:r>
        <w:rPr>
          <w:i/>
          <w:sz w:val="24"/>
        </w:rPr>
        <w:t>connections </w:t>
      </w:r>
      <w:r>
        <w:rPr>
          <w:sz w:val="24"/>
        </w:rPr>
        <w:t>satisfy the requirements of this schedule.</w:t>
      </w:r>
    </w:p>
    <w:p>
      <w:pPr>
        <w:spacing w:before="120"/>
        <w:ind w:left="1352" w:right="414" w:firstLine="0"/>
        <w:jc w:val="both"/>
        <w:rPr>
          <w:sz w:val="24"/>
        </w:rPr>
      </w:pPr>
      <w:r>
        <w:rPr>
          <w:sz w:val="24"/>
        </w:rPr>
        <w:t>The criteria and the obligations of </w:t>
      </w:r>
      <w:r>
        <w:rPr>
          <w:i/>
          <w:sz w:val="24"/>
        </w:rPr>
        <w:t>Registered Participants </w:t>
      </w:r>
      <w:r>
        <w:rPr>
          <w:sz w:val="24"/>
        </w:rPr>
        <w:t>to implement them, fall into two categories, namely:</w:t>
      </w:r>
    </w:p>
    <w:p>
      <w:pPr>
        <w:pStyle w:val="ListParagraph"/>
        <w:numPr>
          <w:ilvl w:val="0"/>
          <w:numId w:val="264"/>
        </w:numPr>
        <w:tabs>
          <w:tab w:pos="1919" w:val="left" w:leader="none"/>
        </w:tabs>
        <w:spacing w:line="240" w:lineRule="auto" w:before="120" w:after="0"/>
        <w:ind w:left="1919" w:right="415" w:hanging="567"/>
        <w:jc w:val="both"/>
        <w:rPr>
          <w:sz w:val="24"/>
        </w:rPr>
      </w:pPr>
      <w:r>
        <w:rPr>
          <w:sz w:val="24"/>
        </w:rPr>
        <w:t>those required to achieve adequate levels of </w:t>
      </w:r>
      <w:r>
        <w:rPr>
          <w:i/>
          <w:sz w:val="24"/>
        </w:rPr>
        <w:t>network power transfer </w:t>
      </w:r>
      <w:r>
        <w:rPr>
          <w:i/>
          <w:sz w:val="24"/>
        </w:rPr>
        <w:t>capability </w:t>
      </w:r>
      <w:r>
        <w:rPr>
          <w:sz w:val="24"/>
        </w:rPr>
        <w:t>or quality of </w:t>
      </w:r>
      <w:r>
        <w:rPr>
          <w:i/>
          <w:sz w:val="24"/>
        </w:rPr>
        <w:t>supply </w:t>
      </w:r>
      <w:r>
        <w:rPr>
          <w:sz w:val="24"/>
        </w:rPr>
        <w:t>for the common good of all, or a significant number of, </w:t>
      </w:r>
      <w:r>
        <w:rPr>
          <w:i/>
          <w:sz w:val="24"/>
        </w:rPr>
        <w:t>Registered Participants</w:t>
      </w:r>
      <w:r>
        <w:rPr>
          <w:sz w:val="24"/>
        </w:rPr>
        <w:t>;</w:t>
      </w:r>
      <w:r>
        <w:rPr>
          <w:spacing w:val="-1"/>
          <w:sz w:val="24"/>
        </w:rPr>
        <w:t> </w:t>
      </w:r>
      <w:r>
        <w:rPr>
          <w:sz w:val="24"/>
        </w:rPr>
        <w:t>and</w:t>
      </w:r>
    </w:p>
    <w:p>
      <w:pPr>
        <w:pStyle w:val="ListParagraph"/>
        <w:numPr>
          <w:ilvl w:val="0"/>
          <w:numId w:val="264"/>
        </w:numPr>
        <w:tabs>
          <w:tab w:pos="1919" w:val="left" w:leader="none"/>
        </w:tabs>
        <w:spacing w:line="240" w:lineRule="auto" w:before="120" w:after="0"/>
        <w:ind w:left="1918" w:right="0" w:hanging="567"/>
        <w:jc w:val="both"/>
        <w:rPr>
          <w:sz w:val="24"/>
        </w:rPr>
      </w:pPr>
      <w:r>
        <w:rPr>
          <w:sz w:val="24"/>
        </w:rPr>
        <w:t>those required to achieve a specific level of </w:t>
      </w:r>
      <w:r>
        <w:rPr>
          <w:i/>
          <w:sz w:val="24"/>
        </w:rPr>
        <w:t>network service </w:t>
      </w:r>
      <w:r>
        <w:rPr>
          <w:sz w:val="24"/>
        </w:rPr>
        <w:t>at an</w:t>
      </w:r>
      <w:r>
        <w:rPr>
          <w:spacing w:val="4"/>
          <w:sz w:val="24"/>
        </w:rPr>
        <w:t> </w:t>
      </w:r>
      <w:r>
        <w:rPr>
          <w:sz w:val="24"/>
        </w:rPr>
        <w:t>individual</w:t>
      </w:r>
    </w:p>
    <w:p>
      <w:pPr>
        <w:spacing w:before="0"/>
        <w:ind w:left="1919" w:right="0" w:firstLine="0"/>
        <w:jc w:val="both"/>
        <w:rPr>
          <w:sz w:val="24"/>
        </w:rPr>
      </w:pPr>
      <w:r>
        <w:rPr>
          <w:i/>
          <w:sz w:val="24"/>
        </w:rPr>
        <w:t>connection point</w:t>
      </w:r>
      <w:r>
        <w:rPr>
          <w:sz w:val="24"/>
        </w:rPr>
        <w:t>.</w:t>
      </w:r>
    </w:p>
    <w:p>
      <w:pPr>
        <w:spacing w:before="120"/>
        <w:ind w:left="1352" w:right="0" w:firstLine="0"/>
        <w:jc w:val="both"/>
        <w:rPr>
          <w:sz w:val="24"/>
        </w:rPr>
      </w:pPr>
      <w:r>
        <w:rPr>
          <w:sz w:val="24"/>
        </w:rPr>
        <w:t>A </w:t>
      </w:r>
      <w:r>
        <w:rPr>
          <w:i/>
          <w:sz w:val="24"/>
        </w:rPr>
        <w:t>Network Service Provider </w:t>
      </w:r>
      <w:r>
        <w:rPr>
          <w:sz w:val="24"/>
        </w:rPr>
        <w:t>must:</w:t>
      </w:r>
    </w:p>
    <w:p>
      <w:pPr>
        <w:pStyle w:val="ListParagraph"/>
        <w:numPr>
          <w:ilvl w:val="0"/>
          <w:numId w:val="265"/>
        </w:numPr>
        <w:tabs>
          <w:tab w:pos="1919" w:val="left" w:leader="none"/>
        </w:tabs>
        <w:spacing w:line="240" w:lineRule="auto" w:before="120" w:after="0"/>
        <w:ind w:left="1919" w:right="415" w:hanging="567"/>
        <w:jc w:val="both"/>
        <w:rPr>
          <w:sz w:val="24"/>
        </w:rPr>
      </w:pPr>
      <w:r>
        <w:rPr>
          <w:sz w:val="24"/>
        </w:rPr>
        <w:t>fully describe the quantity and quality of </w:t>
      </w:r>
      <w:r>
        <w:rPr>
          <w:i/>
          <w:sz w:val="24"/>
        </w:rPr>
        <w:t>network services </w:t>
      </w:r>
      <w:r>
        <w:rPr>
          <w:sz w:val="24"/>
        </w:rPr>
        <w:t>which it agrees to provide to a person under a </w:t>
      </w:r>
      <w:r>
        <w:rPr>
          <w:i/>
          <w:sz w:val="24"/>
        </w:rPr>
        <w:t>connection agreement </w:t>
      </w:r>
      <w:r>
        <w:rPr>
          <w:sz w:val="24"/>
        </w:rPr>
        <w:t>in terms that apply to the </w:t>
      </w:r>
      <w:r>
        <w:rPr>
          <w:i/>
          <w:sz w:val="24"/>
        </w:rPr>
        <w:t>connection point </w:t>
      </w:r>
      <w:r>
        <w:rPr>
          <w:sz w:val="24"/>
        </w:rPr>
        <w:t>as well as to the </w:t>
      </w:r>
      <w:r>
        <w:rPr>
          <w:i/>
          <w:sz w:val="24"/>
        </w:rPr>
        <w:t>transmission or distribution system </w:t>
      </w:r>
      <w:r>
        <w:rPr>
          <w:sz w:val="24"/>
        </w:rPr>
        <w:t>as a whole;</w:t>
      </w:r>
    </w:p>
    <w:p>
      <w:pPr>
        <w:pStyle w:val="ListParagraph"/>
        <w:numPr>
          <w:ilvl w:val="0"/>
          <w:numId w:val="265"/>
        </w:numPr>
        <w:tabs>
          <w:tab w:pos="1919" w:val="left" w:leader="none"/>
        </w:tabs>
        <w:spacing w:line="240" w:lineRule="auto" w:before="120" w:after="0"/>
        <w:ind w:left="1919" w:right="415" w:hanging="567"/>
        <w:jc w:val="both"/>
        <w:rPr>
          <w:sz w:val="24"/>
        </w:rPr>
      </w:pPr>
      <w:r>
        <w:rPr>
          <w:sz w:val="24"/>
        </w:rPr>
        <w:t>ensure that the quantity and quality of those </w:t>
      </w:r>
      <w:r>
        <w:rPr>
          <w:i/>
          <w:sz w:val="24"/>
        </w:rPr>
        <w:t>network services </w:t>
      </w:r>
      <w:r>
        <w:rPr>
          <w:sz w:val="24"/>
        </w:rPr>
        <w:t>are not less than could be provided to the relevant person if the </w:t>
      </w:r>
      <w:r>
        <w:rPr>
          <w:i/>
          <w:sz w:val="24"/>
        </w:rPr>
        <w:t>national grid </w:t>
      </w:r>
      <w:r>
        <w:rPr>
          <w:sz w:val="24"/>
        </w:rPr>
        <w:t>were planned, designed and operated in accordance with the criteria set out in</w:t>
      </w:r>
      <w:r>
        <w:rPr>
          <w:spacing w:val="17"/>
          <w:sz w:val="24"/>
        </w:rPr>
        <w:t> </w:t>
      </w:r>
      <w:r>
        <w:rPr>
          <w:sz w:val="24"/>
        </w:rPr>
        <w:t>this</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clause S5.1.1 and recognising that levels of service will vary depending on location of the </w:t>
      </w:r>
      <w:r>
        <w:rPr>
          <w:i/>
        </w:rPr>
        <w:t>connection point </w:t>
      </w:r>
      <w:r>
        <w:rPr/>
        <w:t>in the </w:t>
      </w:r>
      <w:r>
        <w:rPr>
          <w:i/>
        </w:rPr>
        <w:t>network</w:t>
      </w:r>
      <w:r>
        <w:rPr/>
        <w:t>; and</w:t>
      </w:r>
    </w:p>
    <w:p>
      <w:pPr>
        <w:pStyle w:val="ListParagraph"/>
        <w:numPr>
          <w:ilvl w:val="0"/>
          <w:numId w:val="265"/>
        </w:numPr>
        <w:tabs>
          <w:tab w:pos="1919" w:val="left" w:leader="none"/>
        </w:tabs>
        <w:spacing w:line="240" w:lineRule="auto" w:before="120" w:after="0"/>
        <w:ind w:left="1919" w:right="414" w:hanging="567"/>
        <w:jc w:val="both"/>
        <w:rPr>
          <w:sz w:val="24"/>
        </w:rPr>
      </w:pPr>
      <w:r>
        <w:rPr>
          <w:sz w:val="24"/>
        </w:rPr>
        <w:t>observe and apply the relevant provisions of the </w:t>
      </w:r>
      <w:r>
        <w:rPr>
          <w:i/>
          <w:sz w:val="24"/>
        </w:rPr>
        <w:t>system standards </w:t>
      </w:r>
      <w:r>
        <w:rPr>
          <w:sz w:val="24"/>
        </w:rPr>
        <w:t>in accordance with this schedule</w:t>
      </w:r>
      <w:r>
        <w:rPr>
          <w:spacing w:val="-2"/>
          <w:sz w:val="24"/>
        </w:rPr>
        <w:t> </w:t>
      </w:r>
      <w:r>
        <w:rPr>
          <w:sz w:val="24"/>
        </w:rPr>
        <w:t>5.1.</w:t>
      </w:r>
    </w:p>
    <w:p>
      <w:pPr>
        <w:spacing w:before="120"/>
        <w:ind w:left="1352" w:right="416" w:firstLine="0"/>
        <w:jc w:val="both"/>
        <w:rPr>
          <w:sz w:val="24"/>
        </w:rPr>
      </w:pPr>
      <w:r>
        <w:rPr>
          <w:sz w:val="24"/>
        </w:rPr>
        <w:t>To the extent that this schedule 5.1 does not contain criteria which are relevant to the description of a particular </w:t>
      </w:r>
      <w:r>
        <w:rPr>
          <w:i/>
          <w:sz w:val="24"/>
        </w:rPr>
        <w:t>network service</w:t>
      </w:r>
      <w:r>
        <w:rPr>
          <w:sz w:val="24"/>
        </w:rPr>
        <w:t>, the </w:t>
      </w:r>
      <w:r>
        <w:rPr>
          <w:i/>
          <w:sz w:val="24"/>
        </w:rPr>
        <w:t>Network Service Provider </w:t>
      </w:r>
      <w:r>
        <w:rPr>
          <w:sz w:val="24"/>
        </w:rPr>
        <w:t>must describe the </w:t>
      </w:r>
      <w:r>
        <w:rPr>
          <w:i/>
          <w:sz w:val="24"/>
        </w:rPr>
        <w:t>network service </w:t>
      </w:r>
      <w:r>
        <w:rPr>
          <w:sz w:val="24"/>
        </w:rPr>
        <w:t>in terms which are fair and reasonable.</w:t>
      </w:r>
    </w:p>
    <w:p>
      <w:pPr>
        <w:spacing w:before="120"/>
        <w:ind w:left="1352" w:right="414" w:firstLine="0"/>
        <w:jc w:val="both"/>
        <w:rPr>
          <w:sz w:val="24"/>
        </w:rPr>
      </w:pPr>
      <w:r>
        <w:rPr>
          <w:sz w:val="24"/>
        </w:rPr>
        <w:t>This schedule includes provisions for </w:t>
      </w:r>
      <w:r>
        <w:rPr>
          <w:i/>
          <w:sz w:val="24"/>
        </w:rPr>
        <w:t>Network Service Providers </w:t>
      </w:r>
      <w:r>
        <w:rPr>
          <w:sz w:val="24"/>
        </w:rPr>
        <w:t>and </w:t>
      </w:r>
      <w:r>
        <w:rPr>
          <w:i/>
          <w:sz w:val="24"/>
        </w:rPr>
        <w:t>Registered </w:t>
      </w:r>
      <w:r>
        <w:rPr>
          <w:i/>
          <w:sz w:val="24"/>
        </w:rPr>
        <w:t>Participants </w:t>
      </w:r>
      <w:r>
        <w:rPr>
          <w:sz w:val="24"/>
        </w:rPr>
        <w:t>to negotiate the criteria to apply to a </w:t>
      </w:r>
      <w:r>
        <w:rPr>
          <w:i/>
          <w:sz w:val="24"/>
        </w:rPr>
        <w:t>connection </w:t>
      </w:r>
      <w:r>
        <w:rPr>
          <w:sz w:val="24"/>
        </w:rPr>
        <w:t>within</w:t>
      </w:r>
      <w:r>
        <w:rPr>
          <w:spacing w:val="40"/>
          <w:sz w:val="24"/>
        </w:rPr>
        <w:t> </w:t>
      </w:r>
      <w:r>
        <w:rPr>
          <w:sz w:val="24"/>
        </w:rPr>
        <w:t>defined ranges between a lower bound (</w:t>
      </w:r>
      <w:r>
        <w:rPr>
          <w:i/>
          <w:sz w:val="24"/>
        </w:rPr>
        <w:t>minimum access standard</w:t>
      </w:r>
      <w:r>
        <w:rPr>
          <w:sz w:val="24"/>
        </w:rPr>
        <w:t>) and an upper bound (</w:t>
      </w:r>
      <w:r>
        <w:rPr>
          <w:i/>
          <w:sz w:val="24"/>
        </w:rPr>
        <w:t>automatic access standard</w:t>
      </w:r>
      <w:r>
        <w:rPr>
          <w:sz w:val="24"/>
        </w:rPr>
        <w:t>). All criteria which are intended to apply to a </w:t>
      </w:r>
      <w:r>
        <w:rPr>
          <w:i/>
          <w:sz w:val="24"/>
        </w:rPr>
        <w:t>connection </w:t>
      </w:r>
      <w:r>
        <w:rPr>
          <w:sz w:val="24"/>
        </w:rPr>
        <w:t>must be recorded in a </w:t>
      </w:r>
      <w:r>
        <w:rPr>
          <w:i/>
          <w:sz w:val="24"/>
        </w:rPr>
        <w:t>connection agreement</w:t>
      </w:r>
      <w:r>
        <w:rPr>
          <w:sz w:val="24"/>
        </w:rPr>
        <w:t>. Where it is intended to apply a </w:t>
      </w:r>
      <w:r>
        <w:rPr>
          <w:i/>
          <w:sz w:val="24"/>
        </w:rPr>
        <w:t>negotiated access standard </w:t>
      </w:r>
      <w:r>
        <w:rPr>
          <w:sz w:val="24"/>
        </w:rPr>
        <w:t>in accordance with clause 5.3.4A of the </w:t>
      </w:r>
      <w:r>
        <w:rPr>
          <w:i/>
          <w:sz w:val="24"/>
        </w:rPr>
        <w:t>Rules</w:t>
      </w:r>
      <w:r>
        <w:rPr>
          <w:sz w:val="24"/>
        </w:rPr>
        <w:t>, the </w:t>
      </w:r>
      <w:r>
        <w:rPr>
          <w:i/>
          <w:sz w:val="24"/>
        </w:rPr>
        <w:t>Network Service Provider </w:t>
      </w:r>
      <w:r>
        <w:rPr>
          <w:sz w:val="24"/>
        </w:rPr>
        <w:t>must first be satisfied that the application of the </w:t>
      </w:r>
      <w:r>
        <w:rPr>
          <w:i/>
          <w:sz w:val="24"/>
        </w:rPr>
        <w:t>negotiated access standard </w:t>
      </w:r>
      <w:r>
        <w:rPr>
          <w:sz w:val="24"/>
        </w:rPr>
        <w:t>will not adversely affect other </w:t>
      </w:r>
      <w:r>
        <w:rPr>
          <w:i/>
          <w:sz w:val="24"/>
        </w:rPr>
        <w:t>Registered </w:t>
      </w:r>
      <w:r>
        <w:rPr>
          <w:i/>
          <w:sz w:val="24"/>
        </w:rPr>
        <w:t>Participants</w:t>
      </w:r>
      <w:r>
        <w:rPr>
          <w:sz w:val="24"/>
        </w:rPr>
        <w:t>.</w:t>
      </w:r>
    </w:p>
    <w:p>
      <w:pPr>
        <w:pStyle w:val="BodyText"/>
        <w:spacing w:before="10"/>
        <w:ind w:firstLine="0"/>
        <w:jc w:val="left"/>
        <w:rPr>
          <w:sz w:val="20"/>
        </w:rPr>
      </w:pPr>
    </w:p>
    <w:p>
      <w:pPr>
        <w:pStyle w:val="Heading4"/>
        <w:tabs>
          <w:tab w:pos="1351" w:val="left" w:leader="none"/>
        </w:tabs>
        <w:ind w:left="218" w:firstLine="0"/>
      </w:pPr>
      <w:bookmarkStart w:name="S5.1.2 Network reliability" w:id="920"/>
      <w:bookmarkEnd w:id="920"/>
      <w:r>
        <w:rPr>
          <w:b w:val="0"/>
        </w:rPr>
      </w:r>
      <w:bookmarkStart w:name="_bookmark352" w:id="921"/>
      <w:bookmarkEnd w:id="921"/>
      <w:r>
        <w:rPr>
          <w:b w:val="0"/>
        </w:rPr>
      </w:r>
      <w:r>
        <w:rPr/>
        <w:t>S5.1.2</w:t>
        <w:tab/>
        <w:t>Network</w:t>
      </w:r>
      <w:r>
        <w:rPr>
          <w:spacing w:val="-2"/>
        </w:rPr>
        <w:t> </w:t>
      </w:r>
      <w:r>
        <w:rPr/>
        <w:t>reliability</w:t>
      </w:r>
    </w:p>
    <w:p>
      <w:pPr>
        <w:pStyle w:val="BodyText"/>
        <w:spacing w:before="10"/>
        <w:ind w:firstLine="0"/>
        <w:jc w:val="left"/>
        <w:rPr>
          <w:rFonts w:ascii="Arial"/>
          <w:b/>
          <w:sz w:val="20"/>
        </w:rPr>
      </w:pPr>
    </w:p>
    <w:p>
      <w:pPr>
        <w:pStyle w:val="Heading4"/>
        <w:tabs>
          <w:tab w:pos="1351" w:val="left" w:leader="none"/>
        </w:tabs>
        <w:ind w:left="218" w:firstLine="0"/>
      </w:pPr>
      <w:bookmarkStart w:name="S5.1.2.1 Credible contingency events" w:id="922"/>
      <w:bookmarkEnd w:id="922"/>
      <w:r>
        <w:rPr>
          <w:b w:val="0"/>
        </w:rPr>
      </w:r>
      <w:bookmarkStart w:name="_bookmark353" w:id="923"/>
      <w:bookmarkEnd w:id="923"/>
      <w:r>
        <w:rPr>
          <w:b w:val="0"/>
        </w:rPr>
      </w:r>
      <w:r>
        <w:rPr/>
        <w:t>S5.1.2.1</w:t>
        <w:tab/>
        <w:t>Credible contingency</w:t>
      </w:r>
      <w:r>
        <w:rPr>
          <w:spacing w:val="-2"/>
        </w:rPr>
        <w:t> </w:t>
      </w:r>
      <w:r>
        <w:rPr/>
        <w:t>events</w:t>
      </w:r>
    </w:p>
    <w:p>
      <w:pPr>
        <w:spacing w:before="120"/>
        <w:ind w:left="1352" w:right="414" w:firstLine="0"/>
        <w:jc w:val="both"/>
        <w:rPr>
          <w:sz w:val="24"/>
        </w:rPr>
      </w:pPr>
      <w:r>
        <w:rPr>
          <w:i/>
          <w:sz w:val="24"/>
        </w:rPr>
        <w:t>Network Service Providers </w:t>
      </w:r>
      <w:r>
        <w:rPr>
          <w:sz w:val="24"/>
        </w:rPr>
        <w:t>must plan, design, maintain and operate </w:t>
      </w:r>
      <w:r>
        <w:rPr>
          <w:spacing w:val="-3"/>
          <w:sz w:val="24"/>
        </w:rPr>
        <w:t>their </w:t>
      </w:r>
      <w:r>
        <w:rPr>
          <w:i/>
          <w:sz w:val="24"/>
        </w:rPr>
        <w:t>transmission networks </w:t>
      </w:r>
      <w:r>
        <w:rPr>
          <w:sz w:val="24"/>
        </w:rPr>
        <w:t>and </w:t>
      </w:r>
      <w:r>
        <w:rPr>
          <w:i/>
          <w:sz w:val="24"/>
        </w:rPr>
        <w:t>distribution networks </w:t>
      </w:r>
      <w:r>
        <w:rPr>
          <w:sz w:val="24"/>
        </w:rPr>
        <w:t>to allow the transfer of power from </w:t>
      </w:r>
      <w:r>
        <w:rPr>
          <w:i/>
          <w:sz w:val="24"/>
        </w:rPr>
        <w:t>generating units </w:t>
      </w:r>
      <w:r>
        <w:rPr>
          <w:sz w:val="24"/>
        </w:rPr>
        <w:t>to </w:t>
      </w:r>
      <w:r>
        <w:rPr>
          <w:i/>
          <w:sz w:val="24"/>
        </w:rPr>
        <w:t>Customers </w:t>
      </w:r>
      <w:r>
        <w:rPr>
          <w:sz w:val="24"/>
        </w:rPr>
        <w:t>with all </w:t>
      </w:r>
      <w:r>
        <w:rPr>
          <w:i/>
          <w:sz w:val="24"/>
        </w:rPr>
        <w:t>facilities </w:t>
      </w:r>
      <w:r>
        <w:rPr>
          <w:sz w:val="24"/>
        </w:rPr>
        <w:t>or equipment associated with the </w:t>
      </w:r>
      <w:r>
        <w:rPr>
          <w:i/>
          <w:sz w:val="24"/>
        </w:rPr>
        <w:t>power system </w:t>
      </w:r>
      <w:r>
        <w:rPr>
          <w:sz w:val="24"/>
        </w:rPr>
        <w:t>in service and may be required by a </w:t>
      </w:r>
      <w:r>
        <w:rPr>
          <w:i/>
          <w:sz w:val="24"/>
        </w:rPr>
        <w:t>Registered Participant </w:t>
      </w:r>
      <w:r>
        <w:rPr>
          <w:sz w:val="24"/>
        </w:rPr>
        <w:t>under a </w:t>
      </w:r>
      <w:r>
        <w:rPr>
          <w:i/>
          <w:sz w:val="24"/>
        </w:rPr>
        <w:t>connection agreement </w:t>
      </w:r>
      <w:r>
        <w:rPr>
          <w:sz w:val="24"/>
        </w:rPr>
        <w:t>to continue to allow the transfer of power with certain facilities or </w:t>
      </w:r>
      <w:r>
        <w:rPr>
          <w:i/>
          <w:sz w:val="24"/>
        </w:rPr>
        <w:t>plant </w:t>
      </w:r>
      <w:r>
        <w:rPr>
          <w:sz w:val="24"/>
        </w:rPr>
        <w:t>associated with the </w:t>
      </w:r>
      <w:r>
        <w:rPr>
          <w:i/>
          <w:sz w:val="24"/>
        </w:rPr>
        <w:t>power system </w:t>
      </w:r>
      <w:r>
        <w:rPr>
          <w:sz w:val="24"/>
        </w:rPr>
        <w:t>out of service, whether or not accompanied by the occurrence of certain faults (called </w:t>
      </w:r>
      <w:r>
        <w:rPr>
          <w:b/>
          <w:i/>
          <w:sz w:val="24"/>
        </w:rPr>
        <w:t>credible </w:t>
      </w:r>
      <w:r>
        <w:rPr>
          <w:b/>
          <w:i/>
          <w:sz w:val="24"/>
        </w:rPr>
        <w:t>contingency</w:t>
      </w:r>
      <w:r>
        <w:rPr>
          <w:b/>
          <w:i/>
          <w:spacing w:val="-1"/>
          <w:sz w:val="24"/>
        </w:rPr>
        <w:t> </w:t>
      </w:r>
      <w:r>
        <w:rPr>
          <w:b/>
          <w:i/>
          <w:sz w:val="24"/>
        </w:rPr>
        <w:t>events</w:t>
      </w:r>
      <w:r>
        <w:rPr>
          <w:sz w:val="24"/>
        </w:rPr>
        <w:t>).</w:t>
      </w:r>
    </w:p>
    <w:p>
      <w:pPr>
        <w:spacing w:before="120"/>
        <w:ind w:left="1352" w:right="414" w:firstLine="0"/>
        <w:jc w:val="both"/>
        <w:rPr>
          <w:sz w:val="24"/>
        </w:rPr>
      </w:pPr>
      <w:r>
        <w:rPr>
          <w:sz w:val="24"/>
        </w:rPr>
        <w:t>The following </w:t>
      </w:r>
      <w:r>
        <w:rPr>
          <w:i/>
          <w:sz w:val="24"/>
        </w:rPr>
        <w:t>credible contingency events </w:t>
      </w:r>
      <w:r>
        <w:rPr>
          <w:sz w:val="24"/>
        </w:rPr>
        <w:t>and practices must be used by </w:t>
      </w:r>
      <w:r>
        <w:rPr>
          <w:i/>
          <w:sz w:val="24"/>
        </w:rPr>
        <w:t>Network </w:t>
      </w:r>
      <w:r>
        <w:rPr>
          <w:i/>
          <w:sz w:val="24"/>
        </w:rPr>
        <w:t>Service Providers </w:t>
      </w:r>
      <w:r>
        <w:rPr>
          <w:sz w:val="24"/>
        </w:rPr>
        <w:t>for planning and operation of </w:t>
      </w:r>
      <w:r>
        <w:rPr>
          <w:i/>
          <w:sz w:val="24"/>
        </w:rPr>
        <w:t>transmission networks </w:t>
      </w:r>
      <w:r>
        <w:rPr>
          <w:sz w:val="24"/>
        </w:rPr>
        <w:t>and </w:t>
      </w:r>
      <w:r>
        <w:rPr>
          <w:i/>
          <w:sz w:val="24"/>
        </w:rPr>
        <w:t>distribution networks </w:t>
      </w:r>
      <w:r>
        <w:rPr>
          <w:sz w:val="24"/>
        </w:rPr>
        <w:t>unless otherwise agreed by each </w:t>
      </w:r>
      <w:r>
        <w:rPr>
          <w:i/>
          <w:sz w:val="24"/>
        </w:rPr>
        <w:t>Registered Participant </w:t>
      </w:r>
      <w:r>
        <w:rPr>
          <w:sz w:val="24"/>
        </w:rPr>
        <w:t>who would be affected by the selection of </w:t>
      </w:r>
      <w:r>
        <w:rPr>
          <w:i/>
          <w:sz w:val="24"/>
        </w:rPr>
        <w:t>credible contingency events</w:t>
      </w:r>
      <w:r>
        <w:rPr>
          <w:sz w:val="24"/>
        </w:rPr>
        <w:t>:</w:t>
      </w:r>
    </w:p>
    <w:p>
      <w:pPr>
        <w:pStyle w:val="ListParagraph"/>
        <w:numPr>
          <w:ilvl w:val="1"/>
          <w:numId w:val="265"/>
        </w:numPr>
        <w:tabs>
          <w:tab w:pos="1919" w:val="left" w:leader="none"/>
        </w:tabs>
        <w:spacing w:line="240" w:lineRule="auto" w:before="120" w:after="0"/>
        <w:ind w:left="1919" w:right="413" w:hanging="567"/>
        <w:jc w:val="both"/>
        <w:rPr>
          <w:sz w:val="24"/>
        </w:rPr>
      </w:pPr>
      <w:r>
        <w:rPr>
          <w:sz w:val="24"/>
        </w:rPr>
        <w:t>The </w:t>
      </w:r>
      <w:r>
        <w:rPr>
          <w:i/>
          <w:sz w:val="24"/>
        </w:rPr>
        <w:t>credible contingency events </w:t>
      </w:r>
      <w:r>
        <w:rPr>
          <w:sz w:val="24"/>
        </w:rPr>
        <w:t>must include the </w:t>
      </w:r>
      <w:r>
        <w:rPr>
          <w:i/>
          <w:sz w:val="24"/>
        </w:rPr>
        <w:t>disconnection </w:t>
      </w:r>
      <w:r>
        <w:rPr>
          <w:sz w:val="24"/>
        </w:rPr>
        <w:t>of any single </w:t>
      </w:r>
      <w:r>
        <w:rPr>
          <w:i/>
          <w:sz w:val="24"/>
        </w:rPr>
        <w:t>generating unit </w:t>
      </w:r>
      <w:r>
        <w:rPr>
          <w:sz w:val="24"/>
        </w:rPr>
        <w:t>or </w:t>
      </w:r>
      <w:r>
        <w:rPr>
          <w:i/>
          <w:sz w:val="24"/>
        </w:rPr>
        <w:t>transmission line</w:t>
      </w:r>
      <w:r>
        <w:rPr>
          <w:sz w:val="24"/>
        </w:rPr>
        <w:t>, with or without the application of a single circuit two-phase-to-ground solid fault on lines operating at or above 220 kV, and a single circuit three-phase solid fault on lines operating below 220 kV. The </w:t>
      </w:r>
      <w:r>
        <w:rPr>
          <w:i/>
          <w:sz w:val="24"/>
        </w:rPr>
        <w:t>Network Service Provider </w:t>
      </w:r>
      <w:r>
        <w:rPr>
          <w:sz w:val="24"/>
        </w:rPr>
        <w:t>must assume that the fault will be cleared in primary protection time by the faster of the duplicate protections with installed intertrips available. For existing </w:t>
      </w:r>
      <w:r>
        <w:rPr>
          <w:i/>
          <w:sz w:val="24"/>
        </w:rPr>
        <w:t>transmission lines </w:t>
      </w:r>
      <w:r>
        <w:rPr>
          <w:sz w:val="24"/>
        </w:rPr>
        <w:t>operating below 220 kV but above 66 kV a two-phase to earth fault criterion may be used if the modes of operation are such as to minimise the probability of three-phase faults occurring and operational experience shows this to be adequate, and provided that the </w:t>
      </w:r>
      <w:r>
        <w:rPr>
          <w:i/>
          <w:sz w:val="24"/>
        </w:rPr>
        <w:t>Network Service Provider </w:t>
      </w:r>
      <w:r>
        <w:rPr>
          <w:sz w:val="24"/>
        </w:rPr>
        <w:t>upgrades performance when the opportunity</w:t>
      </w:r>
      <w:r>
        <w:rPr>
          <w:spacing w:val="-2"/>
          <w:sz w:val="24"/>
        </w:rPr>
        <w:t> </w:t>
      </w:r>
      <w:r>
        <w:rPr>
          <w:sz w:val="24"/>
        </w:rPr>
        <w:t>arises.</w:t>
      </w:r>
    </w:p>
    <w:p>
      <w:pPr>
        <w:pStyle w:val="ListParagraph"/>
        <w:numPr>
          <w:ilvl w:val="1"/>
          <w:numId w:val="265"/>
        </w:numPr>
        <w:tabs>
          <w:tab w:pos="1919" w:val="left" w:leader="none"/>
        </w:tabs>
        <w:spacing w:line="240" w:lineRule="auto" w:before="120" w:after="0"/>
        <w:ind w:left="1919" w:right="414" w:hanging="567"/>
        <w:jc w:val="both"/>
        <w:rPr>
          <w:sz w:val="24"/>
        </w:rPr>
      </w:pPr>
      <w:r>
        <w:rPr>
          <w:sz w:val="24"/>
        </w:rPr>
        <w:t>For lines at any </w:t>
      </w:r>
      <w:r>
        <w:rPr>
          <w:i/>
          <w:sz w:val="24"/>
        </w:rPr>
        <w:t>voltage </w:t>
      </w:r>
      <w:r>
        <w:rPr>
          <w:sz w:val="24"/>
        </w:rPr>
        <w:t>above 66 kV which are not protected by an overhead earth wire and/or lines with tower footing resistances in excess of 10 ohms, the </w:t>
      </w:r>
      <w:r>
        <w:rPr>
          <w:i/>
          <w:sz w:val="24"/>
        </w:rPr>
        <w:t>Network Service Provider </w:t>
      </w:r>
      <w:r>
        <w:rPr>
          <w:sz w:val="24"/>
        </w:rPr>
        <w:t>may extend the criterion to include</w:t>
      </w:r>
      <w:r>
        <w:rPr>
          <w:spacing w:val="-5"/>
          <w:sz w:val="24"/>
        </w:rPr>
        <w:t> </w:t>
      </w:r>
      <w:r>
        <w:rPr>
          <w:sz w:val="24"/>
        </w:rPr>
        <w:t>a</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single circuit three-phase solid fault to cover the increased risk of such a fault occurring. Such lines must be examined individually on their merits by the relevant </w:t>
      </w:r>
      <w:r>
        <w:rPr>
          <w:i/>
        </w:rPr>
        <w:t>Network Service Provider</w:t>
      </w:r>
      <w:r>
        <w:rPr/>
        <w:t>.</w:t>
      </w:r>
    </w:p>
    <w:p>
      <w:pPr>
        <w:pStyle w:val="ListParagraph"/>
        <w:numPr>
          <w:ilvl w:val="1"/>
          <w:numId w:val="265"/>
        </w:numPr>
        <w:tabs>
          <w:tab w:pos="1919" w:val="left" w:leader="none"/>
        </w:tabs>
        <w:spacing w:line="240" w:lineRule="auto" w:before="120" w:after="0"/>
        <w:ind w:left="1919" w:right="414" w:hanging="567"/>
        <w:jc w:val="both"/>
        <w:rPr>
          <w:sz w:val="24"/>
        </w:rPr>
      </w:pPr>
      <w:r>
        <w:rPr>
          <w:sz w:val="24"/>
        </w:rPr>
        <w:t>For lines at any </w:t>
      </w:r>
      <w:r>
        <w:rPr>
          <w:i/>
          <w:sz w:val="24"/>
        </w:rPr>
        <w:t>voltage </w:t>
      </w:r>
      <w:r>
        <w:rPr>
          <w:sz w:val="24"/>
        </w:rPr>
        <w:t>above 66 kV a </w:t>
      </w:r>
      <w:r>
        <w:rPr>
          <w:i/>
          <w:sz w:val="24"/>
        </w:rPr>
        <w:t>Network Service Provider </w:t>
      </w:r>
      <w:r>
        <w:rPr>
          <w:spacing w:val="-3"/>
          <w:sz w:val="24"/>
        </w:rPr>
        <w:t>must</w:t>
      </w:r>
      <w:r>
        <w:rPr>
          <w:spacing w:val="54"/>
          <w:sz w:val="24"/>
        </w:rPr>
        <w:t> </w:t>
      </w:r>
      <w:r>
        <w:rPr>
          <w:sz w:val="24"/>
        </w:rPr>
        <w:t>adopt operational practices to minimise the risk of slow fault clearance in case of inadvertent closing on to earths applied to equipment for maintenance purposes. These practices must include but not be limited</w:t>
      </w:r>
      <w:r>
        <w:rPr>
          <w:spacing w:val="-5"/>
          <w:sz w:val="24"/>
        </w:rPr>
        <w:t> </w:t>
      </w:r>
      <w:r>
        <w:rPr>
          <w:sz w:val="24"/>
        </w:rPr>
        <w:t>to:</w:t>
      </w:r>
    </w:p>
    <w:p>
      <w:pPr>
        <w:pStyle w:val="ListParagraph"/>
        <w:numPr>
          <w:ilvl w:val="2"/>
          <w:numId w:val="265"/>
        </w:numPr>
        <w:tabs>
          <w:tab w:pos="2486" w:val="left" w:leader="none"/>
        </w:tabs>
        <w:spacing w:line="240" w:lineRule="auto" w:before="120" w:after="0"/>
        <w:ind w:left="2486" w:right="415" w:hanging="567"/>
        <w:jc w:val="both"/>
        <w:rPr>
          <w:sz w:val="24"/>
        </w:rPr>
      </w:pPr>
      <w:r>
        <w:rPr>
          <w:sz w:val="24"/>
        </w:rPr>
        <w:t>Not leaving lines equipped with intertrips alive from one end during maintenance;</w:t>
      </w:r>
      <w:r>
        <w:rPr>
          <w:spacing w:val="-1"/>
          <w:sz w:val="24"/>
        </w:rPr>
        <w:t> </w:t>
      </w:r>
      <w:r>
        <w:rPr>
          <w:sz w:val="24"/>
        </w:rPr>
        <w:t>and</w:t>
      </w:r>
    </w:p>
    <w:p>
      <w:pPr>
        <w:pStyle w:val="ListParagraph"/>
        <w:numPr>
          <w:ilvl w:val="2"/>
          <w:numId w:val="265"/>
        </w:numPr>
        <w:tabs>
          <w:tab w:pos="2486" w:val="left" w:leader="none"/>
        </w:tabs>
        <w:spacing w:line="240" w:lineRule="auto" w:before="120" w:after="0"/>
        <w:ind w:left="2486" w:right="415" w:hanging="567"/>
        <w:jc w:val="both"/>
        <w:rPr>
          <w:sz w:val="24"/>
        </w:rPr>
      </w:pPr>
      <w:r>
        <w:rPr>
          <w:i/>
          <w:sz w:val="24"/>
        </w:rPr>
        <w:t>Off-loading </w:t>
      </w:r>
      <w:r>
        <w:rPr>
          <w:sz w:val="24"/>
        </w:rPr>
        <w:t>a three terminal (tee connected) line prior to restoration,  to ensure switch on to fault </w:t>
      </w:r>
      <w:r>
        <w:rPr>
          <w:i/>
          <w:sz w:val="24"/>
        </w:rPr>
        <w:t>facilities </w:t>
      </w:r>
      <w:r>
        <w:rPr>
          <w:sz w:val="24"/>
        </w:rPr>
        <w:t>are</w:t>
      </w:r>
      <w:r>
        <w:rPr>
          <w:spacing w:val="-4"/>
          <w:sz w:val="24"/>
        </w:rPr>
        <w:t> </w:t>
      </w:r>
      <w:r>
        <w:rPr>
          <w:sz w:val="24"/>
        </w:rPr>
        <w:t>operative.</w:t>
      </w:r>
    </w:p>
    <w:p>
      <w:pPr>
        <w:pStyle w:val="ListParagraph"/>
        <w:numPr>
          <w:ilvl w:val="1"/>
          <w:numId w:val="265"/>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must ensure that all </w:t>
      </w:r>
      <w:r>
        <w:rPr>
          <w:i/>
          <w:sz w:val="24"/>
        </w:rPr>
        <w:t>protection systems </w:t>
      </w:r>
      <w:r>
        <w:rPr>
          <w:sz w:val="24"/>
        </w:rPr>
        <w:t>for lines at a </w:t>
      </w:r>
      <w:r>
        <w:rPr>
          <w:i/>
          <w:sz w:val="24"/>
        </w:rPr>
        <w:t>voltage </w:t>
      </w:r>
      <w:r>
        <w:rPr>
          <w:sz w:val="24"/>
        </w:rPr>
        <w:t>above 66 kV, including associated intertripping, are well maintained so as to be available at all times other than for short periods (not greater than eight hours) while the maintenance of a </w:t>
      </w:r>
      <w:r>
        <w:rPr>
          <w:i/>
          <w:sz w:val="24"/>
        </w:rPr>
        <w:t>protection system </w:t>
      </w:r>
      <w:r>
        <w:rPr>
          <w:sz w:val="24"/>
        </w:rPr>
        <w:t>is being carried</w:t>
      </w:r>
      <w:r>
        <w:rPr>
          <w:spacing w:val="-1"/>
          <w:sz w:val="24"/>
        </w:rPr>
        <w:t> </w:t>
      </w:r>
      <w:r>
        <w:rPr>
          <w:sz w:val="24"/>
        </w:rPr>
        <w:t>out.</w:t>
      </w:r>
    </w:p>
    <w:p>
      <w:pPr>
        <w:pStyle w:val="BodyText"/>
        <w:spacing w:before="10"/>
        <w:ind w:firstLine="0"/>
        <w:jc w:val="left"/>
        <w:rPr>
          <w:sz w:val="20"/>
        </w:rPr>
      </w:pPr>
    </w:p>
    <w:p>
      <w:pPr>
        <w:pStyle w:val="Heading4"/>
        <w:tabs>
          <w:tab w:pos="1351" w:val="left" w:leader="none"/>
        </w:tabs>
        <w:ind w:left="218" w:firstLine="0"/>
      </w:pPr>
      <w:bookmarkStart w:name="S5.1.2.2 Network service within a region" w:id="924"/>
      <w:bookmarkEnd w:id="924"/>
      <w:r>
        <w:rPr>
          <w:b w:val="0"/>
        </w:rPr>
      </w:r>
      <w:bookmarkStart w:name="_bookmark354" w:id="925"/>
      <w:bookmarkEnd w:id="925"/>
      <w:r>
        <w:rPr>
          <w:b w:val="0"/>
        </w:rPr>
      </w:r>
      <w:r>
        <w:rPr/>
        <w:t>S5.1.2.2</w:t>
        <w:tab/>
        <w:t>Network service within a</w:t>
      </w:r>
      <w:r>
        <w:rPr>
          <w:spacing w:val="-4"/>
        </w:rPr>
        <w:t> </w:t>
      </w:r>
      <w:r>
        <w:rPr/>
        <w:t>region</w:t>
      </w:r>
    </w:p>
    <w:p>
      <w:pPr>
        <w:spacing w:before="120"/>
        <w:ind w:left="1352" w:right="415" w:firstLine="0"/>
        <w:jc w:val="both"/>
        <w:rPr>
          <w:sz w:val="24"/>
        </w:rPr>
      </w:pPr>
      <w:r>
        <w:rPr>
          <w:sz w:val="24"/>
        </w:rPr>
        <w:t>The following paragraphs of this section set out minimum standards for certain </w:t>
      </w:r>
      <w:r>
        <w:rPr>
          <w:i/>
          <w:sz w:val="24"/>
        </w:rPr>
        <w:t>network services </w:t>
      </w:r>
      <w:r>
        <w:rPr>
          <w:sz w:val="24"/>
        </w:rPr>
        <w:t>to be provided to </w:t>
      </w:r>
      <w:r>
        <w:rPr>
          <w:i/>
          <w:sz w:val="24"/>
        </w:rPr>
        <w:t>Registered Participants </w:t>
      </w:r>
      <w:r>
        <w:rPr>
          <w:sz w:val="24"/>
        </w:rPr>
        <w:t>by </w:t>
      </w:r>
      <w:r>
        <w:rPr>
          <w:i/>
          <w:sz w:val="24"/>
        </w:rPr>
        <w:t>Network Service </w:t>
      </w:r>
      <w:r>
        <w:rPr>
          <w:i/>
          <w:sz w:val="24"/>
        </w:rPr>
        <w:t>Providers </w:t>
      </w:r>
      <w:r>
        <w:rPr>
          <w:sz w:val="24"/>
        </w:rPr>
        <w:t>within a </w:t>
      </w:r>
      <w:r>
        <w:rPr>
          <w:i/>
          <w:sz w:val="24"/>
        </w:rPr>
        <w:t>region</w:t>
      </w:r>
      <w:r>
        <w:rPr>
          <w:sz w:val="24"/>
        </w:rPr>
        <w:t>. The amount of </w:t>
      </w:r>
      <w:r>
        <w:rPr>
          <w:i/>
          <w:sz w:val="24"/>
        </w:rPr>
        <w:t>network </w:t>
      </w:r>
      <w:r>
        <w:rPr>
          <w:sz w:val="24"/>
        </w:rPr>
        <w:t>redundancy provided must be determined by the process set out in rules 5.12 and 5.13 of the </w:t>
      </w:r>
      <w:r>
        <w:rPr>
          <w:i/>
          <w:sz w:val="24"/>
        </w:rPr>
        <w:t>Rules </w:t>
      </w:r>
      <w:r>
        <w:rPr>
          <w:sz w:val="24"/>
        </w:rPr>
        <w:t>and is expected to reflect the grouping of </w:t>
      </w:r>
      <w:r>
        <w:rPr>
          <w:i/>
          <w:sz w:val="24"/>
        </w:rPr>
        <w:t>generating units</w:t>
      </w:r>
      <w:r>
        <w:rPr>
          <w:sz w:val="24"/>
        </w:rPr>
        <w:t>, their expected capacity factors and availability and the size and importance of </w:t>
      </w:r>
      <w:r>
        <w:rPr>
          <w:i/>
          <w:sz w:val="24"/>
        </w:rPr>
        <w:t>Customer</w:t>
      </w:r>
      <w:r>
        <w:rPr>
          <w:i/>
          <w:spacing w:val="-2"/>
          <w:sz w:val="24"/>
        </w:rPr>
        <w:t> </w:t>
      </w:r>
      <w:r>
        <w:rPr>
          <w:sz w:val="24"/>
        </w:rPr>
        <w:t>groups.</w:t>
      </w:r>
    </w:p>
    <w:p>
      <w:pPr>
        <w:spacing w:before="120"/>
        <w:ind w:left="1352" w:right="414" w:firstLine="0"/>
        <w:jc w:val="both"/>
        <w:rPr>
          <w:sz w:val="24"/>
        </w:rPr>
      </w:pPr>
      <w:r>
        <w:rPr>
          <w:sz w:val="24"/>
        </w:rPr>
        <w:t>The standard of service to be provided at each </w:t>
      </w:r>
      <w:r>
        <w:rPr>
          <w:i/>
          <w:sz w:val="24"/>
        </w:rPr>
        <w:t>connection point </w:t>
      </w:r>
      <w:r>
        <w:rPr>
          <w:sz w:val="24"/>
        </w:rPr>
        <w:t>must be included in the relevant </w:t>
      </w:r>
      <w:r>
        <w:rPr>
          <w:i/>
          <w:sz w:val="24"/>
        </w:rPr>
        <w:t>connection agreement</w:t>
      </w:r>
      <w:r>
        <w:rPr>
          <w:sz w:val="24"/>
        </w:rPr>
        <w:t>, and must include a </w:t>
      </w:r>
      <w:r>
        <w:rPr>
          <w:i/>
          <w:sz w:val="24"/>
        </w:rPr>
        <w:t>power transfer </w:t>
      </w:r>
      <w:r>
        <w:rPr>
          <w:i/>
          <w:sz w:val="24"/>
        </w:rPr>
        <w:t>capability </w:t>
      </w:r>
      <w:r>
        <w:rPr>
          <w:sz w:val="24"/>
        </w:rPr>
        <w:t>such as that which</w:t>
      </w:r>
      <w:r>
        <w:rPr>
          <w:spacing w:val="-2"/>
          <w:sz w:val="24"/>
        </w:rPr>
        <w:t> </w:t>
      </w:r>
      <w:r>
        <w:rPr>
          <w:sz w:val="24"/>
        </w:rPr>
        <w:t>follows:</w:t>
      </w:r>
    </w:p>
    <w:p>
      <w:pPr>
        <w:pStyle w:val="ListParagraph"/>
        <w:numPr>
          <w:ilvl w:val="0"/>
          <w:numId w:val="266"/>
        </w:numPr>
        <w:tabs>
          <w:tab w:pos="1919" w:val="left" w:leader="none"/>
        </w:tabs>
        <w:spacing w:line="240" w:lineRule="auto" w:before="120" w:after="0"/>
        <w:ind w:left="1919" w:right="415" w:hanging="567"/>
        <w:jc w:val="both"/>
        <w:rPr>
          <w:sz w:val="24"/>
        </w:rPr>
      </w:pPr>
      <w:r>
        <w:rPr>
          <w:sz w:val="24"/>
        </w:rPr>
        <w:t>In the </w:t>
      </w:r>
      <w:r>
        <w:rPr>
          <w:i/>
          <w:sz w:val="24"/>
        </w:rPr>
        <w:t>satisfactory operating state</w:t>
      </w:r>
      <w:r>
        <w:rPr>
          <w:sz w:val="24"/>
        </w:rPr>
        <w:t>, the </w:t>
      </w:r>
      <w:r>
        <w:rPr>
          <w:i/>
          <w:sz w:val="24"/>
        </w:rPr>
        <w:t>power system </w:t>
      </w:r>
      <w:r>
        <w:rPr>
          <w:sz w:val="24"/>
        </w:rPr>
        <w:t>must be capable of providing the highest reasonably expected requirement for </w:t>
      </w:r>
      <w:r>
        <w:rPr>
          <w:i/>
          <w:sz w:val="24"/>
        </w:rPr>
        <w:t>power transfer </w:t>
      </w:r>
      <w:r>
        <w:rPr>
          <w:sz w:val="24"/>
        </w:rPr>
        <w:t>(with appropriate recognition of diversity between individual peak requirements and the necessity to withstand </w:t>
      </w:r>
      <w:r>
        <w:rPr>
          <w:i/>
          <w:sz w:val="24"/>
        </w:rPr>
        <w:t>credible contingency events</w:t>
      </w:r>
      <w:r>
        <w:rPr>
          <w:sz w:val="24"/>
        </w:rPr>
        <w:t>) at any time.</w:t>
      </w:r>
    </w:p>
    <w:p>
      <w:pPr>
        <w:pStyle w:val="ListParagraph"/>
        <w:numPr>
          <w:ilvl w:val="0"/>
          <w:numId w:val="266"/>
        </w:numPr>
        <w:tabs>
          <w:tab w:pos="1919" w:val="left" w:leader="none"/>
        </w:tabs>
        <w:spacing w:line="240" w:lineRule="auto" w:before="120" w:after="0"/>
        <w:ind w:left="1919" w:right="415" w:hanging="567"/>
        <w:jc w:val="both"/>
        <w:rPr>
          <w:sz w:val="24"/>
        </w:rPr>
      </w:pPr>
      <w:r>
        <w:rPr>
          <w:sz w:val="24"/>
        </w:rPr>
        <w:t>During the most critical single element </w:t>
      </w:r>
      <w:r>
        <w:rPr>
          <w:i/>
          <w:sz w:val="24"/>
        </w:rPr>
        <w:t>outage </w:t>
      </w:r>
      <w:r>
        <w:rPr>
          <w:sz w:val="24"/>
        </w:rPr>
        <w:t>the </w:t>
      </w:r>
      <w:r>
        <w:rPr>
          <w:i/>
          <w:sz w:val="24"/>
        </w:rPr>
        <w:t>power transfer </w:t>
      </w:r>
      <w:r>
        <w:rPr>
          <w:sz w:val="24"/>
        </w:rPr>
        <w:t>available through the </w:t>
      </w:r>
      <w:r>
        <w:rPr>
          <w:i/>
          <w:sz w:val="24"/>
        </w:rPr>
        <w:t>power system </w:t>
      </w:r>
      <w:r>
        <w:rPr>
          <w:sz w:val="24"/>
        </w:rPr>
        <w:t>may</w:t>
      </w:r>
      <w:r>
        <w:rPr>
          <w:spacing w:val="-2"/>
          <w:sz w:val="24"/>
        </w:rPr>
        <w:t> </w:t>
      </w:r>
      <w:r>
        <w:rPr>
          <w:sz w:val="24"/>
        </w:rPr>
        <w:t>be:</w:t>
      </w:r>
    </w:p>
    <w:p>
      <w:pPr>
        <w:pStyle w:val="ListParagraph"/>
        <w:numPr>
          <w:ilvl w:val="1"/>
          <w:numId w:val="266"/>
        </w:numPr>
        <w:tabs>
          <w:tab w:pos="2486" w:val="left" w:leader="none"/>
        </w:tabs>
        <w:spacing w:line="240" w:lineRule="auto" w:before="120" w:after="0"/>
        <w:ind w:left="2485" w:right="0" w:hanging="567"/>
        <w:jc w:val="both"/>
        <w:rPr>
          <w:sz w:val="24"/>
        </w:rPr>
      </w:pPr>
      <w:r>
        <w:rPr>
          <w:sz w:val="24"/>
        </w:rPr>
        <w:t>zero (single element</w:t>
      </w:r>
      <w:r>
        <w:rPr>
          <w:spacing w:val="-1"/>
          <w:sz w:val="24"/>
        </w:rPr>
        <w:t> </w:t>
      </w:r>
      <w:r>
        <w:rPr>
          <w:i/>
          <w:sz w:val="24"/>
        </w:rPr>
        <w:t>supply</w:t>
      </w:r>
      <w:r>
        <w:rPr>
          <w:sz w:val="24"/>
        </w:rPr>
        <w:t>);</w:t>
      </w:r>
    </w:p>
    <w:p>
      <w:pPr>
        <w:pStyle w:val="ListParagraph"/>
        <w:numPr>
          <w:ilvl w:val="1"/>
          <w:numId w:val="266"/>
        </w:numPr>
        <w:tabs>
          <w:tab w:pos="2486" w:val="left" w:leader="none"/>
        </w:tabs>
        <w:spacing w:line="240" w:lineRule="auto" w:before="120" w:after="0"/>
        <w:ind w:left="2486" w:right="416" w:hanging="567"/>
        <w:jc w:val="both"/>
        <w:rPr>
          <w:sz w:val="24"/>
        </w:rPr>
      </w:pPr>
      <w:r>
        <w:rPr>
          <w:sz w:val="24"/>
        </w:rPr>
        <w:t>the defined capacity of a backup </w:t>
      </w:r>
      <w:r>
        <w:rPr>
          <w:i/>
          <w:sz w:val="24"/>
        </w:rPr>
        <w:t>supply</w:t>
      </w:r>
      <w:r>
        <w:rPr>
          <w:sz w:val="24"/>
        </w:rPr>
        <w:t>, which, in some cases, may be provided by another </w:t>
      </w:r>
      <w:r>
        <w:rPr>
          <w:i/>
          <w:sz w:val="24"/>
        </w:rPr>
        <w:t>Network Service</w:t>
      </w:r>
      <w:r>
        <w:rPr>
          <w:i/>
          <w:spacing w:val="-1"/>
          <w:sz w:val="24"/>
        </w:rPr>
        <w:t> </w:t>
      </w:r>
      <w:r>
        <w:rPr>
          <w:i/>
          <w:sz w:val="24"/>
        </w:rPr>
        <w:t>Provider</w:t>
      </w:r>
      <w:r>
        <w:rPr>
          <w:sz w:val="24"/>
        </w:rPr>
        <w:t>;</w:t>
      </w:r>
    </w:p>
    <w:p>
      <w:pPr>
        <w:pStyle w:val="ListParagraph"/>
        <w:numPr>
          <w:ilvl w:val="1"/>
          <w:numId w:val="266"/>
        </w:numPr>
        <w:tabs>
          <w:tab w:pos="2486" w:val="left" w:leader="none"/>
        </w:tabs>
        <w:spacing w:line="240" w:lineRule="auto" w:before="120" w:after="0"/>
        <w:ind w:left="2486" w:right="415" w:hanging="567"/>
        <w:jc w:val="both"/>
        <w:rPr>
          <w:sz w:val="24"/>
        </w:rPr>
      </w:pPr>
      <w:r>
        <w:rPr>
          <w:sz w:val="24"/>
        </w:rPr>
        <w:t>a nominated proportion of the normal </w:t>
      </w:r>
      <w:r>
        <w:rPr>
          <w:i/>
          <w:sz w:val="24"/>
        </w:rPr>
        <w:t>power transfer capability </w:t>
      </w:r>
      <w:r>
        <w:rPr>
          <w:sz w:val="24"/>
        </w:rPr>
        <w:t>(eg  70 percent);</w:t>
      </w:r>
      <w:r>
        <w:rPr>
          <w:spacing w:val="-1"/>
          <w:sz w:val="24"/>
        </w:rPr>
        <w:t> </w:t>
      </w:r>
      <w:r>
        <w:rPr>
          <w:sz w:val="24"/>
        </w:rPr>
        <w:t>or</w:t>
      </w:r>
    </w:p>
    <w:p>
      <w:pPr>
        <w:pStyle w:val="ListParagraph"/>
        <w:numPr>
          <w:ilvl w:val="1"/>
          <w:numId w:val="266"/>
        </w:numPr>
        <w:tabs>
          <w:tab w:pos="2486" w:val="left" w:leader="none"/>
        </w:tabs>
        <w:spacing w:line="240" w:lineRule="auto" w:before="120" w:after="0"/>
        <w:ind w:left="2486" w:right="415" w:hanging="567"/>
        <w:jc w:val="both"/>
        <w:rPr>
          <w:sz w:val="24"/>
        </w:rPr>
      </w:pPr>
      <w:r>
        <w:rPr>
          <w:sz w:val="24"/>
        </w:rPr>
        <w:t>the normal </w:t>
      </w:r>
      <w:r>
        <w:rPr>
          <w:i/>
          <w:sz w:val="24"/>
        </w:rPr>
        <w:t>power transfer capability </w:t>
      </w:r>
      <w:r>
        <w:rPr>
          <w:sz w:val="24"/>
        </w:rPr>
        <w:t>of the </w:t>
      </w:r>
      <w:r>
        <w:rPr>
          <w:i/>
          <w:sz w:val="24"/>
        </w:rPr>
        <w:t>power system </w:t>
      </w:r>
      <w:r>
        <w:rPr>
          <w:sz w:val="24"/>
        </w:rPr>
        <w:t>(when required by a </w:t>
      </w:r>
      <w:r>
        <w:rPr>
          <w:i/>
          <w:sz w:val="24"/>
        </w:rPr>
        <w:t>Registered</w:t>
      </w:r>
      <w:r>
        <w:rPr>
          <w:i/>
          <w:spacing w:val="-2"/>
          <w:sz w:val="24"/>
        </w:rPr>
        <w:t> </w:t>
      </w:r>
      <w:r>
        <w:rPr>
          <w:i/>
          <w:sz w:val="24"/>
        </w:rPr>
        <w:t>Participant</w:t>
      </w:r>
      <w:r>
        <w:rPr>
          <w:sz w:val="24"/>
        </w:rPr>
        <w:t>).</w:t>
      </w:r>
    </w:p>
    <w:p>
      <w:pPr>
        <w:pStyle w:val="BodyText"/>
        <w:ind w:left="1352" w:right="415" w:firstLine="0"/>
      </w:pPr>
      <w:r>
        <w:rPr/>
        <w:t>In the case of clauses S5.1.2.2(b)(2) and (3) the available capacity would be exceeded sufficiently infrequently to allow maintenance to be carried out on each </w:t>
      </w:r>
      <w:r>
        <w:rPr>
          <w:i/>
        </w:rPr>
        <w:t>network element </w:t>
      </w:r>
      <w:r>
        <w:rPr/>
        <w:t>by the </w:t>
      </w:r>
      <w:r>
        <w:rPr>
          <w:i/>
        </w:rPr>
        <w:t>Network Service Provider</w:t>
      </w:r>
      <w:r>
        <w:rPr/>
        <w:t>. A </w:t>
      </w:r>
      <w:r>
        <w:rPr>
          <w:i/>
        </w:rPr>
        <w:t>connection agreement </w:t>
      </w:r>
      <w:r>
        <w:rPr/>
        <w:t>may state the expected proportion of time that the normal capability will not be</w:t>
      </w:r>
    </w:p>
    <w:p>
      <w:pPr>
        <w:spacing w:after="0"/>
        <w:sectPr>
          <w:pgSz w:w="11910" w:h="16840"/>
          <w:pgMar w:header="686" w:footer="637" w:top="1320" w:bottom="820" w:left="1200" w:right="1000"/>
        </w:sectPr>
      </w:pPr>
    </w:p>
    <w:p>
      <w:pPr>
        <w:pStyle w:val="BodyText"/>
        <w:spacing w:before="83"/>
        <w:ind w:left="1352" w:right="414" w:firstLine="0"/>
      </w:pPr>
      <w:r>
        <w:rPr/>
        <w:t>available, and the capability at those times, taking account of specific design, locational and seasonal influences which may affect performance, and the random nature of element </w:t>
      </w:r>
      <w:r>
        <w:rPr>
          <w:i/>
        </w:rPr>
        <w:t>outages</w:t>
      </w:r>
      <w:r>
        <w:rPr/>
        <w:t>.</w:t>
      </w:r>
    </w:p>
    <w:p>
      <w:pPr>
        <w:spacing w:before="120"/>
        <w:ind w:left="1352" w:right="414" w:firstLine="0"/>
        <w:jc w:val="both"/>
        <w:rPr>
          <w:sz w:val="24"/>
        </w:rPr>
      </w:pPr>
      <w:r>
        <w:rPr>
          <w:sz w:val="24"/>
        </w:rPr>
        <w:t>A </w:t>
      </w:r>
      <w:r>
        <w:rPr>
          <w:i/>
          <w:sz w:val="24"/>
        </w:rPr>
        <w:t>connection agreement </w:t>
      </w:r>
      <w:r>
        <w:rPr>
          <w:sz w:val="24"/>
        </w:rPr>
        <w:t>may also state a conditional </w:t>
      </w:r>
      <w:r>
        <w:rPr>
          <w:i/>
          <w:sz w:val="24"/>
        </w:rPr>
        <w:t>power transfer capability </w:t>
      </w:r>
      <w:r>
        <w:rPr>
          <w:sz w:val="24"/>
        </w:rPr>
        <w:t>that allows for both circuits of a double circuit line or two closely parallel circuits to be out of service.</w:t>
      </w:r>
    </w:p>
    <w:p>
      <w:pPr>
        <w:pStyle w:val="BodyText"/>
        <w:spacing w:before="10"/>
        <w:ind w:firstLine="0"/>
        <w:jc w:val="left"/>
        <w:rPr>
          <w:sz w:val="20"/>
        </w:rPr>
      </w:pPr>
    </w:p>
    <w:p>
      <w:pPr>
        <w:pStyle w:val="Heading4"/>
        <w:tabs>
          <w:tab w:pos="1351" w:val="left" w:leader="none"/>
        </w:tabs>
        <w:ind w:left="218" w:firstLine="0"/>
      </w:pPr>
      <w:bookmarkStart w:name="S5.1.2.3 Network service between regions" w:id="926"/>
      <w:bookmarkEnd w:id="926"/>
      <w:r>
        <w:rPr>
          <w:b w:val="0"/>
        </w:rPr>
      </w:r>
      <w:bookmarkStart w:name="_bookmark355" w:id="927"/>
      <w:bookmarkEnd w:id="927"/>
      <w:r>
        <w:rPr>
          <w:b w:val="0"/>
        </w:rPr>
      </w:r>
      <w:r>
        <w:rPr/>
        <w:t>S5.1.2.3</w:t>
        <w:tab/>
        <w:t>Network service between</w:t>
      </w:r>
      <w:r>
        <w:rPr>
          <w:spacing w:val="-3"/>
        </w:rPr>
        <w:t> </w:t>
      </w:r>
      <w:r>
        <w:rPr/>
        <w:t>regions</w:t>
      </w:r>
    </w:p>
    <w:p>
      <w:pPr>
        <w:spacing w:before="120"/>
        <w:ind w:left="1352" w:right="414" w:firstLine="0"/>
        <w:jc w:val="both"/>
        <w:rPr>
          <w:sz w:val="24"/>
        </w:rPr>
      </w:pPr>
      <w:r>
        <w:rPr>
          <w:sz w:val="24"/>
        </w:rPr>
        <w:t>The </w:t>
      </w:r>
      <w:r>
        <w:rPr>
          <w:i/>
          <w:sz w:val="24"/>
        </w:rPr>
        <w:t>power transfer capability </w:t>
      </w:r>
      <w:r>
        <w:rPr>
          <w:sz w:val="24"/>
        </w:rPr>
        <w:t>between </w:t>
      </w:r>
      <w:r>
        <w:rPr>
          <w:i/>
          <w:sz w:val="24"/>
        </w:rPr>
        <w:t>regions </w:t>
      </w:r>
      <w:r>
        <w:rPr>
          <w:sz w:val="24"/>
        </w:rPr>
        <w:t>must be determined by the process set out in Part B of Chapter 5.</w:t>
      </w:r>
    </w:p>
    <w:p>
      <w:pPr>
        <w:spacing w:before="120"/>
        <w:ind w:left="1352" w:right="415" w:firstLine="0"/>
        <w:jc w:val="both"/>
        <w:rPr>
          <w:sz w:val="24"/>
        </w:rPr>
      </w:pPr>
      <w:r>
        <w:rPr>
          <w:sz w:val="24"/>
        </w:rPr>
        <w:t>The following paragraphs of this section set out a framework within which </w:t>
      </w:r>
      <w:r>
        <w:rPr>
          <w:i/>
          <w:sz w:val="24"/>
        </w:rPr>
        <w:t>Network Service Providers </w:t>
      </w:r>
      <w:r>
        <w:rPr>
          <w:sz w:val="24"/>
        </w:rPr>
        <w:t>must describe to </w:t>
      </w:r>
      <w:r>
        <w:rPr>
          <w:i/>
          <w:sz w:val="24"/>
        </w:rPr>
        <w:t>AEMO </w:t>
      </w:r>
      <w:r>
        <w:rPr>
          <w:sz w:val="24"/>
        </w:rPr>
        <w:t>the levels of </w:t>
      </w:r>
      <w:r>
        <w:rPr>
          <w:i/>
          <w:sz w:val="24"/>
        </w:rPr>
        <w:t>network service </w:t>
      </w:r>
      <w:r>
        <w:rPr>
          <w:sz w:val="24"/>
        </w:rPr>
        <w:t>that apply for </w:t>
      </w:r>
      <w:r>
        <w:rPr>
          <w:i/>
          <w:sz w:val="24"/>
        </w:rPr>
        <w:t>power transfer </w:t>
      </w:r>
      <w:r>
        <w:rPr>
          <w:sz w:val="24"/>
        </w:rPr>
        <w:t>between </w:t>
      </w:r>
      <w:r>
        <w:rPr>
          <w:i/>
          <w:sz w:val="24"/>
        </w:rPr>
        <w:t>regions</w:t>
      </w:r>
      <w:r>
        <w:rPr>
          <w:sz w:val="24"/>
        </w:rPr>
        <w:t>. In cases where </w:t>
      </w:r>
      <w:r>
        <w:rPr>
          <w:i/>
          <w:sz w:val="24"/>
        </w:rPr>
        <w:t>power transfer </w:t>
      </w:r>
      <w:r>
        <w:rPr>
          <w:i/>
          <w:sz w:val="24"/>
        </w:rPr>
        <w:t>capability </w:t>
      </w:r>
      <w:r>
        <w:rPr>
          <w:sz w:val="24"/>
        </w:rPr>
        <w:t>is determined by stability considerations on the </w:t>
      </w:r>
      <w:r>
        <w:rPr>
          <w:i/>
          <w:sz w:val="24"/>
        </w:rPr>
        <w:t>power system </w:t>
      </w:r>
      <w:r>
        <w:rPr>
          <w:sz w:val="24"/>
        </w:rPr>
        <w:t>(refer to clause S5.1.8 of this schedule) it is expected that line </w:t>
      </w:r>
      <w:r>
        <w:rPr>
          <w:i/>
          <w:sz w:val="24"/>
        </w:rPr>
        <w:t>outages </w:t>
      </w:r>
      <w:r>
        <w:rPr>
          <w:sz w:val="24"/>
        </w:rPr>
        <w:t>within </w:t>
      </w:r>
      <w:r>
        <w:rPr>
          <w:i/>
          <w:sz w:val="24"/>
        </w:rPr>
        <w:t>transmission </w:t>
      </w:r>
      <w:r>
        <w:rPr>
          <w:i/>
          <w:sz w:val="24"/>
        </w:rPr>
        <w:t>networks </w:t>
      </w:r>
      <w:r>
        <w:rPr>
          <w:sz w:val="24"/>
        </w:rPr>
        <w:t>within a </w:t>
      </w:r>
      <w:r>
        <w:rPr>
          <w:i/>
          <w:sz w:val="24"/>
        </w:rPr>
        <w:t>region </w:t>
      </w:r>
      <w:r>
        <w:rPr>
          <w:sz w:val="24"/>
        </w:rPr>
        <w:t>will weaken the </w:t>
      </w:r>
      <w:r>
        <w:rPr>
          <w:i/>
          <w:sz w:val="24"/>
        </w:rPr>
        <w:t>network </w:t>
      </w:r>
      <w:r>
        <w:rPr>
          <w:sz w:val="24"/>
        </w:rPr>
        <w:t>so as to result in reduced </w:t>
      </w:r>
      <w:r>
        <w:rPr>
          <w:i/>
          <w:sz w:val="24"/>
        </w:rPr>
        <w:t>power </w:t>
      </w:r>
      <w:r>
        <w:rPr>
          <w:i/>
          <w:sz w:val="24"/>
        </w:rPr>
        <w:t>transfer capability </w:t>
      </w:r>
      <w:r>
        <w:rPr>
          <w:sz w:val="24"/>
        </w:rPr>
        <w:t>even in the absence of </w:t>
      </w:r>
      <w:r>
        <w:rPr>
          <w:i/>
          <w:sz w:val="24"/>
        </w:rPr>
        <w:t>outages </w:t>
      </w:r>
      <w:r>
        <w:rPr>
          <w:sz w:val="24"/>
        </w:rPr>
        <w:t>of the lines between </w:t>
      </w:r>
      <w:r>
        <w:rPr>
          <w:i/>
          <w:sz w:val="24"/>
        </w:rPr>
        <w:t>regions</w:t>
      </w:r>
      <w:r>
        <w:rPr>
          <w:sz w:val="24"/>
        </w:rPr>
        <w:t>.</w:t>
      </w:r>
    </w:p>
    <w:p>
      <w:pPr>
        <w:pStyle w:val="ListParagraph"/>
        <w:numPr>
          <w:ilvl w:val="0"/>
          <w:numId w:val="267"/>
        </w:numPr>
        <w:tabs>
          <w:tab w:pos="1919" w:val="left" w:leader="none"/>
        </w:tabs>
        <w:spacing w:line="240" w:lineRule="auto" w:before="120" w:after="0"/>
        <w:ind w:left="1919" w:right="415" w:hanging="567"/>
        <w:jc w:val="both"/>
        <w:rPr>
          <w:sz w:val="24"/>
        </w:rPr>
      </w:pPr>
      <w:r>
        <w:rPr>
          <w:sz w:val="24"/>
        </w:rPr>
        <w:t>In the </w:t>
      </w:r>
      <w:r>
        <w:rPr>
          <w:i/>
          <w:sz w:val="24"/>
        </w:rPr>
        <w:t>satisfactory operating state </w:t>
      </w:r>
      <w:r>
        <w:rPr>
          <w:sz w:val="24"/>
        </w:rPr>
        <w:t>the </w:t>
      </w:r>
      <w:r>
        <w:rPr>
          <w:i/>
          <w:sz w:val="24"/>
        </w:rPr>
        <w:t>power transfer capability </w:t>
      </w:r>
      <w:r>
        <w:rPr>
          <w:sz w:val="24"/>
        </w:rPr>
        <w:t>between </w:t>
      </w:r>
      <w:r>
        <w:rPr>
          <w:i/>
          <w:sz w:val="24"/>
        </w:rPr>
        <w:t>regions </w:t>
      </w:r>
      <w:r>
        <w:rPr>
          <w:sz w:val="24"/>
        </w:rPr>
        <w:t>is defined by a multi-term equation for each </w:t>
      </w:r>
      <w:r>
        <w:rPr>
          <w:i/>
          <w:sz w:val="24"/>
        </w:rPr>
        <w:t>connection </w:t>
      </w:r>
      <w:r>
        <w:rPr>
          <w:sz w:val="24"/>
        </w:rPr>
        <w:t>between </w:t>
      </w:r>
      <w:r>
        <w:rPr>
          <w:i/>
          <w:sz w:val="24"/>
        </w:rPr>
        <w:t>regions </w:t>
      </w:r>
      <w:r>
        <w:rPr>
          <w:sz w:val="24"/>
        </w:rPr>
        <w:t>which takes account of all </w:t>
      </w:r>
      <w:r>
        <w:rPr>
          <w:i/>
          <w:sz w:val="24"/>
        </w:rPr>
        <w:t>power system </w:t>
      </w:r>
      <w:r>
        <w:rPr>
          <w:sz w:val="24"/>
        </w:rPr>
        <w:t>operating conditions which can significantly impact on performance. The majority of these operating conditions are the result of </w:t>
      </w:r>
      <w:r>
        <w:rPr>
          <w:i/>
          <w:sz w:val="24"/>
        </w:rPr>
        <w:t>market </w:t>
      </w:r>
      <w:r>
        <w:rPr>
          <w:sz w:val="24"/>
        </w:rPr>
        <w:t>operation and are outside the control of the </w:t>
      </w:r>
      <w:r>
        <w:rPr>
          <w:i/>
          <w:sz w:val="24"/>
        </w:rPr>
        <w:t>Network Service Provider</w:t>
      </w:r>
      <w:r>
        <w:rPr>
          <w:sz w:val="24"/>
        </w:rPr>
        <w:t>. In the </w:t>
      </w:r>
      <w:r>
        <w:rPr>
          <w:i/>
          <w:sz w:val="24"/>
        </w:rPr>
        <w:t>satisfactory operating state </w:t>
      </w:r>
      <w:r>
        <w:rPr>
          <w:sz w:val="24"/>
        </w:rPr>
        <w:t>the </w:t>
      </w:r>
      <w:r>
        <w:rPr>
          <w:i/>
          <w:sz w:val="24"/>
        </w:rPr>
        <w:t>network </w:t>
      </w:r>
      <w:r>
        <w:rPr>
          <w:sz w:val="24"/>
        </w:rPr>
        <w:t>must be planned by the </w:t>
      </w:r>
      <w:r>
        <w:rPr>
          <w:i/>
          <w:sz w:val="24"/>
        </w:rPr>
        <w:t>Network Service Provider </w:t>
      </w:r>
      <w:r>
        <w:rPr>
          <w:sz w:val="24"/>
        </w:rPr>
        <w:t>and operated by </w:t>
      </w:r>
      <w:r>
        <w:rPr>
          <w:i/>
          <w:sz w:val="24"/>
        </w:rPr>
        <w:t>AEMO </w:t>
      </w:r>
      <w:r>
        <w:rPr>
          <w:sz w:val="24"/>
        </w:rPr>
        <w:t>to withstand the impact of any </w:t>
      </w:r>
      <w:r>
        <w:rPr>
          <w:i/>
          <w:sz w:val="24"/>
        </w:rPr>
        <w:t>single contingency </w:t>
      </w:r>
      <w:r>
        <w:rPr>
          <w:sz w:val="24"/>
        </w:rPr>
        <w:t>with severity less than the </w:t>
      </w:r>
      <w:r>
        <w:rPr>
          <w:i/>
          <w:sz w:val="24"/>
        </w:rPr>
        <w:t>credible contingency events </w:t>
      </w:r>
      <w:r>
        <w:rPr>
          <w:sz w:val="24"/>
        </w:rPr>
        <w:t>stated in clause</w:t>
      </w:r>
      <w:r>
        <w:rPr>
          <w:spacing w:val="-6"/>
          <w:sz w:val="24"/>
        </w:rPr>
        <w:t> </w:t>
      </w:r>
      <w:r>
        <w:rPr>
          <w:sz w:val="24"/>
        </w:rPr>
        <w:t>S5.1.2.1.</w:t>
      </w:r>
    </w:p>
    <w:p>
      <w:pPr>
        <w:pStyle w:val="ListParagraph"/>
        <w:numPr>
          <w:ilvl w:val="0"/>
          <w:numId w:val="267"/>
        </w:numPr>
        <w:tabs>
          <w:tab w:pos="1919" w:val="left" w:leader="none"/>
        </w:tabs>
        <w:spacing w:line="240" w:lineRule="auto" w:before="120" w:after="0"/>
        <w:ind w:left="1919" w:right="415" w:hanging="567"/>
        <w:jc w:val="both"/>
        <w:rPr>
          <w:sz w:val="24"/>
        </w:rPr>
      </w:pPr>
      <w:r>
        <w:rPr>
          <w:sz w:val="24"/>
        </w:rPr>
        <w:t>During critical single element </w:t>
      </w:r>
      <w:r>
        <w:rPr>
          <w:i/>
          <w:sz w:val="24"/>
        </w:rPr>
        <w:t>outages </w:t>
      </w:r>
      <w:r>
        <w:rPr>
          <w:sz w:val="24"/>
        </w:rPr>
        <w:t>reduced </w:t>
      </w:r>
      <w:r>
        <w:rPr>
          <w:i/>
          <w:sz w:val="24"/>
        </w:rPr>
        <w:t>power transfer capabilities </w:t>
      </w:r>
      <w:r>
        <w:rPr>
          <w:sz w:val="24"/>
        </w:rPr>
        <w:t>will apply. In those cases where </w:t>
      </w:r>
      <w:r>
        <w:rPr>
          <w:i/>
          <w:sz w:val="24"/>
        </w:rPr>
        <w:t>outage </w:t>
      </w:r>
      <w:r>
        <w:rPr>
          <w:sz w:val="24"/>
        </w:rPr>
        <w:t>of the remaining element will result in breaking of the </w:t>
      </w:r>
      <w:r>
        <w:rPr>
          <w:i/>
          <w:sz w:val="24"/>
        </w:rPr>
        <w:t>connection </w:t>
      </w:r>
      <w:r>
        <w:rPr>
          <w:sz w:val="24"/>
        </w:rPr>
        <w:t>between the </w:t>
      </w:r>
      <w:r>
        <w:rPr>
          <w:i/>
          <w:sz w:val="24"/>
        </w:rPr>
        <w:t>regions AEMO </w:t>
      </w:r>
      <w:r>
        <w:rPr>
          <w:sz w:val="24"/>
        </w:rPr>
        <w:t>must provide for the effect on </w:t>
      </w:r>
      <w:r>
        <w:rPr>
          <w:i/>
          <w:sz w:val="24"/>
        </w:rPr>
        <w:t>power system frequency </w:t>
      </w:r>
      <w:r>
        <w:rPr>
          <w:sz w:val="24"/>
        </w:rPr>
        <w:t>in the separate </w:t>
      </w:r>
      <w:r>
        <w:rPr>
          <w:i/>
          <w:sz w:val="24"/>
        </w:rPr>
        <w:t>transmission systems </w:t>
      </w:r>
      <w:r>
        <w:rPr>
          <w:sz w:val="24"/>
        </w:rPr>
        <w:t>following this event when determining the maximum </w:t>
      </w:r>
      <w:r>
        <w:rPr>
          <w:i/>
          <w:sz w:val="24"/>
        </w:rPr>
        <w:t>power</w:t>
      </w:r>
      <w:r>
        <w:rPr>
          <w:i/>
          <w:spacing w:val="-4"/>
          <w:sz w:val="24"/>
        </w:rPr>
        <w:t> </w:t>
      </w:r>
      <w:r>
        <w:rPr>
          <w:i/>
          <w:sz w:val="24"/>
        </w:rPr>
        <w:t>transfer</w:t>
      </w:r>
      <w:r>
        <w:rPr>
          <w:sz w:val="24"/>
        </w:rPr>
        <w:t>.</w:t>
      </w:r>
    </w:p>
    <w:p>
      <w:pPr>
        <w:pStyle w:val="BodyText"/>
        <w:spacing w:before="10"/>
        <w:ind w:firstLine="0"/>
        <w:jc w:val="left"/>
        <w:rPr>
          <w:sz w:val="20"/>
        </w:rPr>
      </w:pPr>
    </w:p>
    <w:p>
      <w:pPr>
        <w:pStyle w:val="Heading4"/>
        <w:tabs>
          <w:tab w:pos="1351" w:val="left" w:leader="none"/>
        </w:tabs>
        <w:ind w:left="218" w:firstLine="0"/>
      </w:pPr>
      <w:bookmarkStart w:name="S5.1.3 Frequency variations" w:id="928"/>
      <w:bookmarkEnd w:id="928"/>
      <w:r>
        <w:rPr>
          <w:b w:val="0"/>
        </w:rPr>
      </w:r>
      <w:bookmarkStart w:name="_bookmark356" w:id="929"/>
      <w:bookmarkEnd w:id="929"/>
      <w:r>
        <w:rPr>
          <w:b w:val="0"/>
        </w:rPr>
      </w:r>
      <w:r>
        <w:rPr/>
        <w:t>S5.1.3</w:t>
        <w:tab/>
        <w:t>Frequency</w:t>
      </w:r>
      <w:r>
        <w:rPr>
          <w:spacing w:val="-1"/>
        </w:rPr>
        <w:t> </w:t>
      </w:r>
      <w:r>
        <w:rPr/>
        <w:t>variations</w:t>
      </w:r>
    </w:p>
    <w:p>
      <w:pPr>
        <w:spacing w:before="120"/>
        <w:ind w:left="1352" w:right="414" w:firstLine="0"/>
        <w:jc w:val="both"/>
        <w:rPr>
          <w:sz w:val="24"/>
        </w:rPr>
      </w:pPr>
      <w:r>
        <w:rPr>
          <w:sz w:val="24"/>
        </w:rPr>
        <w:t>A </w:t>
      </w:r>
      <w:r>
        <w:rPr>
          <w:i/>
          <w:sz w:val="24"/>
        </w:rPr>
        <w:t>Network Service Provider </w:t>
      </w:r>
      <w:r>
        <w:rPr>
          <w:sz w:val="24"/>
        </w:rPr>
        <w:t>must ensure that within the </w:t>
      </w:r>
      <w:r>
        <w:rPr>
          <w:i/>
          <w:sz w:val="24"/>
        </w:rPr>
        <w:t>extreme frequency </w:t>
      </w:r>
      <w:r>
        <w:rPr>
          <w:i/>
          <w:sz w:val="24"/>
        </w:rPr>
        <w:t>excursion tolerance limits </w:t>
      </w:r>
      <w:r>
        <w:rPr>
          <w:sz w:val="24"/>
        </w:rPr>
        <w:t>all of its </w:t>
      </w:r>
      <w:r>
        <w:rPr>
          <w:i/>
          <w:sz w:val="24"/>
        </w:rPr>
        <w:t>power system </w:t>
      </w:r>
      <w:r>
        <w:rPr>
          <w:sz w:val="24"/>
        </w:rPr>
        <w:t>equipment will remain in service unless that equipment is required to be switched to give effect to manual </w:t>
      </w:r>
      <w:r>
        <w:rPr>
          <w:i/>
          <w:sz w:val="24"/>
        </w:rPr>
        <w:t>load </w:t>
      </w:r>
      <w:r>
        <w:rPr>
          <w:i/>
          <w:sz w:val="24"/>
        </w:rPr>
        <w:t>shedding </w:t>
      </w:r>
      <w:r>
        <w:rPr>
          <w:sz w:val="24"/>
        </w:rPr>
        <w:t>in accordance with clause S5.1.10, or is required by </w:t>
      </w:r>
      <w:r>
        <w:rPr>
          <w:i/>
          <w:sz w:val="24"/>
        </w:rPr>
        <w:t>AEMO </w:t>
      </w:r>
      <w:r>
        <w:rPr>
          <w:sz w:val="24"/>
        </w:rPr>
        <w:t>to be switched for operational purposes or is required to be switched or </w:t>
      </w:r>
      <w:r>
        <w:rPr>
          <w:i/>
          <w:sz w:val="24"/>
        </w:rPr>
        <w:t>disconnected </w:t>
      </w:r>
      <w:r>
        <w:rPr>
          <w:sz w:val="24"/>
        </w:rPr>
        <w:t>for operation of an </w:t>
      </w:r>
      <w:r>
        <w:rPr>
          <w:i/>
          <w:sz w:val="24"/>
        </w:rPr>
        <w:t>emergency frequency control</w:t>
      </w:r>
      <w:r>
        <w:rPr>
          <w:i/>
          <w:spacing w:val="-2"/>
          <w:sz w:val="24"/>
        </w:rPr>
        <w:t> </w:t>
      </w:r>
      <w:r>
        <w:rPr>
          <w:i/>
          <w:sz w:val="24"/>
        </w:rPr>
        <w:t>scheme</w:t>
      </w:r>
      <w:r>
        <w:rPr>
          <w:sz w:val="24"/>
        </w:rPr>
        <w:t>.</w:t>
      </w:r>
    </w:p>
    <w:p>
      <w:pPr>
        <w:spacing w:before="120"/>
        <w:ind w:left="1352" w:right="414" w:firstLine="0"/>
        <w:jc w:val="both"/>
        <w:rPr>
          <w:sz w:val="24"/>
        </w:rPr>
      </w:pPr>
      <w:r>
        <w:rPr>
          <w:sz w:val="24"/>
        </w:rPr>
        <w:t>Sustained operation outside the </w:t>
      </w:r>
      <w:r>
        <w:rPr>
          <w:i/>
          <w:sz w:val="24"/>
        </w:rPr>
        <w:t>extreme frequency excursion tolerance limits </w:t>
      </w:r>
      <w:r>
        <w:rPr>
          <w:sz w:val="24"/>
        </w:rPr>
        <w:t>need not be taken into account by </w:t>
      </w:r>
      <w:r>
        <w:rPr>
          <w:i/>
          <w:sz w:val="24"/>
        </w:rPr>
        <w:t>Network Service Providers </w:t>
      </w:r>
      <w:r>
        <w:rPr>
          <w:sz w:val="24"/>
        </w:rPr>
        <w:t>in the design of </w:t>
      </w:r>
      <w:r>
        <w:rPr>
          <w:i/>
          <w:sz w:val="24"/>
        </w:rPr>
        <w:t>plant </w:t>
      </w:r>
      <w:r>
        <w:rPr>
          <w:sz w:val="24"/>
        </w:rPr>
        <w:t>which may be </w:t>
      </w:r>
      <w:r>
        <w:rPr>
          <w:i/>
          <w:sz w:val="24"/>
        </w:rPr>
        <w:t>disconnected </w:t>
      </w:r>
      <w:r>
        <w:rPr>
          <w:sz w:val="24"/>
        </w:rPr>
        <w:t>if this is necessary for the protection of that </w:t>
      </w:r>
      <w:r>
        <w:rPr>
          <w:i/>
          <w:sz w:val="24"/>
        </w:rPr>
        <w:t>plant</w:t>
      </w:r>
      <w:r>
        <w:rPr>
          <w:sz w:val="24"/>
        </w:rPr>
        <w:t>.</w:t>
      </w:r>
    </w:p>
    <w:p>
      <w:pPr>
        <w:pStyle w:val="BodyText"/>
        <w:spacing w:before="10"/>
        <w:ind w:firstLine="0"/>
        <w:jc w:val="left"/>
        <w:rPr>
          <w:sz w:val="20"/>
        </w:rPr>
      </w:pPr>
    </w:p>
    <w:p>
      <w:pPr>
        <w:pStyle w:val="Heading4"/>
        <w:tabs>
          <w:tab w:pos="1351" w:val="left" w:leader="none"/>
        </w:tabs>
        <w:ind w:left="218" w:firstLine="0"/>
      </w:pPr>
      <w:bookmarkStart w:name="S5.1.4 Magnitude of power frequency volt" w:id="930"/>
      <w:bookmarkEnd w:id="930"/>
      <w:r>
        <w:rPr>
          <w:b w:val="0"/>
        </w:rPr>
      </w:r>
      <w:bookmarkStart w:name="_bookmark357" w:id="931"/>
      <w:bookmarkEnd w:id="931"/>
      <w:r>
        <w:rPr>
          <w:b w:val="0"/>
        </w:rPr>
      </w:r>
      <w:r>
        <w:rPr/>
        <w:t>S5.1.4</w:t>
        <w:tab/>
        <w:t>Magnitude of power frequency</w:t>
      </w:r>
      <w:r>
        <w:rPr>
          <w:spacing w:val="-1"/>
        </w:rPr>
        <w:t> </w:t>
      </w:r>
      <w:r>
        <w:rPr/>
        <w:t>voltage</w:t>
      </w:r>
    </w:p>
    <w:p>
      <w:pPr>
        <w:spacing w:before="120"/>
        <w:ind w:left="1352" w:right="414" w:firstLine="0"/>
        <w:jc w:val="both"/>
        <w:rPr>
          <w:sz w:val="24"/>
        </w:rPr>
      </w:pPr>
      <w:r>
        <w:rPr>
          <w:sz w:val="24"/>
        </w:rPr>
        <w:t>A </w:t>
      </w:r>
      <w:r>
        <w:rPr>
          <w:i/>
          <w:sz w:val="24"/>
        </w:rPr>
        <w:t>Transmission Network Service Provider </w:t>
      </w:r>
      <w:r>
        <w:rPr>
          <w:sz w:val="24"/>
        </w:rPr>
        <w:t>must plan and design its </w:t>
      </w:r>
      <w:r>
        <w:rPr>
          <w:i/>
          <w:sz w:val="24"/>
        </w:rPr>
        <w:t>transmission </w:t>
      </w:r>
      <w:r>
        <w:rPr>
          <w:i/>
          <w:sz w:val="24"/>
        </w:rPr>
        <w:t>system </w:t>
      </w:r>
      <w:r>
        <w:rPr>
          <w:sz w:val="24"/>
        </w:rPr>
        <w:t>and equipment for control of </w:t>
      </w:r>
      <w:r>
        <w:rPr>
          <w:i/>
          <w:sz w:val="24"/>
        </w:rPr>
        <w:t>voltage </w:t>
      </w:r>
      <w:r>
        <w:rPr>
          <w:sz w:val="24"/>
        </w:rPr>
        <w:t>such that the minimum steady state </w:t>
      </w:r>
      <w:r>
        <w:rPr>
          <w:i/>
          <w:sz w:val="24"/>
        </w:rPr>
        <w:t>voltage </w:t>
      </w:r>
      <w:r>
        <w:rPr>
          <w:sz w:val="24"/>
        </w:rPr>
        <w:t>magnitude, the maximum steady state </w:t>
      </w:r>
      <w:r>
        <w:rPr>
          <w:i/>
          <w:sz w:val="24"/>
        </w:rPr>
        <w:t>voltage </w:t>
      </w:r>
      <w:r>
        <w:rPr>
          <w:sz w:val="24"/>
        </w:rPr>
        <w:t>magnitude and variations in</w:t>
      </w:r>
    </w:p>
    <w:p>
      <w:pPr>
        <w:spacing w:after="0"/>
        <w:jc w:val="both"/>
        <w:rPr>
          <w:sz w:val="24"/>
        </w:rPr>
        <w:sectPr>
          <w:pgSz w:w="11910" w:h="16840"/>
          <w:pgMar w:header="686" w:footer="637" w:top="1320" w:bottom="820" w:left="1200" w:right="1000"/>
        </w:sectPr>
      </w:pPr>
    </w:p>
    <w:p>
      <w:pPr>
        <w:pStyle w:val="BodyText"/>
        <w:spacing w:before="83"/>
        <w:ind w:left="1352" w:firstLine="0"/>
      </w:pPr>
      <w:r>
        <w:rPr>
          <w:i/>
        </w:rPr>
        <w:t>voltage </w:t>
      </w:r>
      <w:r>
        <w:rPr/>
        <w:t>magnitude are consistent with the levels stipulated in clause S5.1a.4 of the</w:t>
      </w:r>
    </w:p>
    <w:p>
      <w:pPr>
        <w:spacing w:before="0"/>
        <w:ind w:left="1352" w:right="0" w:firstLine="0"/>
        <w:jc w:val="both"/>
        <w:rPr>
          <w:sz w:val="24"/>
        </w:rPr>
      </w:pPr>
      <w:r>
        <w:rPr>
          <w:i/>
          <w:sz w:val="24"/>
        </w:rPr>
        <w:t>system standards</w:t>
      </w:r>
      <w:r>
        <w:rPr>
          <w:sz w:val="24"/>
        </w:rPr>
        <w:t>.</w:t>
      </w:r>
    </w:p>
    <w:p>
      <w:pPr>
        <w:pStyle w:val="ListParagraph"/>
        <w:numPr>
          <w:ilvl w:val="0"/>
          <w:numId w:val="268"/>
        </w:numPr>
        <w:tabs>
          <w:tab w:pos="1919" w:val="left" w:leader="none"/>
        </w:tabs>
        <w:spacing w:line="240" w:lineRule="auto" w:before="120" w:after="0"/>
        <w:ind w:left="1919" w:right="415" w:hanging="567"/>
        <w:jc w:val="both"/>
        <w:rPr>
          <w:sz w:val="24"/>
        </w:rPr>
      </w:pPr>
      <w:r>
        <w:rPr>
          <w:sz w:val="24"/>
        </w:rPr>
        <w:t>The </w:t>
      </w:r>
      <w:r>
        <w:rPr>
          <w:i/>
          <w:sz w:val="24"/>
        </w:rPr>
        <w:t>Network Service Provider </w:t>
      </w:r>
      <w:r>
        <w:rPr>
          <w:sz w:val="24"/>
        </w:rPr>
        <w:t>must determine the </w:t>
      </w:r>
      <w:r>
        <w:rPr>
          <w:i/>
          <w:sz w:val="24"/>
        </w:rPr>
        <w:t>automatic access </w:t>
      </w:r>
      <w:r>
        <w:rPr>
          <w:i/>
          <w:sz w:val="24"/>
        </w:rPr>
        <w:t>standard </w:t>
      </w:r>
      <w:r>
        <w:rPr>
          <w:sz w:val="24"/>
        </w:rPr>
        <w:t>for the </w:t>
      </w:r>
      <w:r>
        <w:rPr>
          <w:i/>
          <w:sz w:val="24"/>
        </w:rPr>
        <w:t>voltage </w:t>
      </w:r>
      <w:r>
        <w:rPr>
          <w:sz w:val="24"/>
        </w:rPr>
        <w:t>of </w:t>
      </w:r>
      <w:r>
        <w:rPr>
          <w:i/>
          <w:sz w:val="24"/>
        </w:rPr>
        <w:t>supply </w:t>
      </w:r>
      <w:r>
        <w:rPr>
          <w:sz w:val="24"/>
        </w:rPr>
        <w:t>at the </w:t>
      </w:r>
      <w:r>
        <w:rPr>
          <w:i/>
          <w:sz w:val="24"/>
        </w:rPr>
        <w:t>connection point </w:t>
      </w:r>
      <w:r>
        <w:rPr>
          <w:sz w:val="24"/>
        </w:rPr>
        <w:t>such that the </w:t>
      </w:r>
      <w:r>
        <w:rPr>
          <w:i/>
          <w:sz w:val="24"/>
        </w:rPr>
        <w:t>voltage </w:t>
      </w:r>
      <w:r>
        <w:rPr>
          <w:sz w:val="24"/>
        </w:rPr>
        <w:t>may vary in accordance with clause S5.1a.4 of the </w:t>
      </w:r>
      <w:r>
        <w:rPr>
          <w:i/>
          <w:sz w:val="24"/>
        </w:rPr>
        <w:t>system</w:t>
      </w:r>
      <w:r>
        <w:rPr>
          <w:i/>
          <w:spacing w:val="-28"/>
          <w:sz w:val="24"/>
        </w:rPr>
        <w:t> </w:t>
      </w:r>
      <w:r>
        <w:rPr>
          <w:i/>
          <w:sz w:val="24"/>
        </w:rPr>
        <w:t>standards</w:t>
      </w:r>
      <w:r>
        <w:rPr>
          <w:sz w:val="24"/>
        </w:rPr>
        <w:t>.</w:t>
      </w:r>
    </w:p>
    <w:p>
      <w:pPr>
        <w:pStyle w:val="ListParagraph"/>
        <w:numPr>
          <w:ilvl w:val="0"/>
          <w:numId w:val="268"/>
        </w:numPr>
        <w:tabs>
          <w:tab w:pos="1919" w:val="left" w:leader="none"/>
        </w:tabs>
        <w:spacing w:line="240" w:lineRule="auto" w:before="120" w:after="0"/>
        <w:ind w:left="1919" w:right="415" w:hanging="567"/>
        <w:jc w:val="both"/>
        <w:rPr>
          <w:sz w:val="24"/>
        </w:rPr>
      </w:pPr>
      <w:r>
        <w:rPr>
          <w:sz w:val="24"/>
        </w:rPr>
        <w:t>The </w:t>
      </w:r>
      <w:r>
        <w:rPr>
          <w:i/>
          <w:sz w:val="24"/>
        </w:rPr>
        <w:t>Network Service Provider </w:t>
      </w:r>
      <w:r>
        <w:rPr>
          <w:sz w:val="24"/>
        </w:rPr>
        <w:t>must determine the </w:t>
      </w:r>
      <w:r>
        <w:rPr>
          <w:i/>
          <w:sz w:val="24"/>
        </w:rPr>
        <w:t>minimum access </w:t>
      </w:r>
      <w:r>
        <w:rPr>
          <w:i/>
          <w:sz w:val="24"/>
        </w:rPr>
        <w:t>standard </w:t>
      </w:r>
      <w:r>
        <w:rPr>
          <w:sz w:val="24"/>
        </w:rPr>
        <w:t>for the </w:t>
      </w:r>
      <w:r>
        <w:rPr>
          <w:i/>
          <w:sz w:val="24"/>
        </w:rPr>
        <w:t>voltage </w:t>
      </w:r>
      <w:r>
        <w:rPr>
          <w:sz w:val="24"/>
        </w:rPr>
        <w:t>of </w:t>
      </w:r>
      <w:r>
        <w:rPr>
          <w:i/>
          <w:sz w:val="24"/>
        </w:rPr>
        <w:t>supply </w:t>
      </w:r>
      <w:r>
        <w:rPr>
          <w:sz w:val="24"/>
        </w:rPr>
        <w:t>at the </w:t>
      </w:r>
      <w:r>
        <w:rPr>
          <w:i/>
          <w:sz w:val="24"/>
        </w:rPr>
        <w:t>connection point </w:t>
      </w:r>
      <w:r>
        <w:rPr>
          <w:sz w:val="24"/>
        </w:rPr>
        <w:t>such that the </w:t>
      </w:r>
      <w:r>
        <w:rPr>
          <w:i/>
          <w:sz w:val="24"/>
        </w:rPr>
        <w:t>voltage </w:t>
      </w:r>
      <w:r>
        <w:rPr>
          <w:sz w:val="24"/>
        </w:rPr>
        <w:t>may</w:t>
      </w:r>
      <w:r>
        <w:rPr>
          <w:spacing w:val="-1"/>
          <w:sz w:val="24"/>
        </w:rPr>
        <w:t> </w:t>
      </w:r>
      <w:r>
        <w:rPr>
          <w:sz w:val="24"/>
        </w:rPr>
        <w:t>vary:</w:t>
      </w:r>
    </w:p>
    <w:p>
      <w:pPr>
        <w:pStyle w:val="ListParagraph"/>
        <w:numPr>
          <w:ilvl w:val="1"/>
          <w:numId w:val="268"/>
        </w:numPr>
        <w:tabs>
          <w:tab w:pos="2486" w:val="left" w:leader="none"/>
        </w:tabs>
        <w:spacing w:line="240" w:lineRule="auto" w:before="120" w:after="0"/>
        <w:ind w:left="2486" w:right="415" w:hanging="567"/>
        <w:jc w:val="both"/>
        <w:rPr>
          <w:sz w:val="24"/>
        </w:rPr>
      </w:pPr>
      <w:r>
        <w:rPr>
          <w:sz w:val="24"/>
        </w:rPr>
        <w:t>as a consequence of a </w:t>
      </w:r>
      <w:r>
        <w:rPr>
          <w:i/>
          <w:sz w:val="24"/>
        </w:rPr>
        <w:t>credible contingency event </w:t>
      </w:r>
      <w:r>
        <w:rPr>
          <w:sz w:val="24"/>
        </w:rPr>
        <w:t>or </w:t>
      </w:r>
      <w:r>
        <w:rPr>
          <w:i/>
          <w:sz w:val="24"/>
        </w:rPr>
        <w:t>protected event </w:t>
      </w:r>
      <w:r>
        <w:rPr>
          <w:sz w:val="24"/>
        </w:rPr>
        <w:t>in accordance with clause S5.1a.4;</w:t>
      </w:r>
      <w:r>
        <w:rPr>
          <w:spacing w:val="-3"/>
          <w:sz w:val="24"/>
        </w:rPr>
        <w:t> </w:t>
      </w:r>
      <w:r>
        <w:rPr>
          <w:sz w:val="24"/>
        </w:rPr>
        <w:t>and</w:t>
      </w:r>
    </w:p>
    <w:p>
      <w:pPr>
        <w:pStyle w:val="ListParagraph"/>
        <w:numPr>
          <w:ilvl w:val="1"/>
          <w:numId w:val="268"/>
        </w:numPr>
        <w:tabs>
          <w:tab w:pos="2486" w:val="left" w:leader="none"/>
        </w:tabs>
        <w:spacing w:line="240" w:lineRule="auto" w:before="120" w:after="0"/>
        <w:ind w:left="2485" w:right="0" w:hanging="567"/>
        <w:jc w:val="both"/>
        <w:rPr>
          <w:sz w:val="24"/>
        </w:rPr>
      </w:pPr>
      <w:r>
        <w:rPr>
          <w:sz w:val="24"/>
        </w:rPr>
        <w:t>otherwise, between 95 percent and 105 percent of the target</w:t>
      </w:r>
      <w:r>
        <w:rPr>
          <w:spacing w:val="-3"/>
          <w:sz w:val="24"/>
        </w:rPr>
        <w:t> </w:t>
      </w:r>
      <w:r>
        <w:rPr>
          <w:i/>
          <w:sz w:val="24"/>
        </w:rPr>
        <w:t>voltage</w:t>
      </w:r>
      <w:r>
        <w:rPr>
          <w:sz w:val="24"/>
        </w:rPr>
        <w:t>.</w:t>
      </w:r>
    </w:p>
    <w:p>
      <w:pPr>
        <w:pStyle w:val="ListParagraph"/>
        <w:numPr>
          <w:ilvl w:val="0"/>
          <w:numId w:val="268"/>
        </w:numPr>
        <w:tabs>
          <w:tab w:pos="1919" w:val="left" w:leader="none"/>
        </w:tabs>
        <w:spacing w:line="240" w:lineRule="auto" w:before="120" w:after="0"/>
        <w:ind w:left="1919" w:right="416" w:hanging="567"/>
        <w:jc w:val="both"/>
        <w:rPr>
          <w:sz w:val="24"/>
        </w:rPr>
      </w:pPr>
      <w:r>
        <w:rPr>
          <w:sz w:val="24"/>
        </w:rPr>
        <w:t>For the purposes of clause S5.1.4(b) the target </w:t>
      </w:r>
      <w:r>
        <w:rPr>
          <w:i/>
          <w:sz w:val="24"/>
        </w:rPr>
        <w:t>voltage </w:t>
      </w:r>
      <w:r>
        <w:rPr>
          <w:sz w:val="24"/>
        </w:rPr>
        <w:t>must be determined as follows:</w:t>
      </w:r>
    </w:p>
    <w:p>
      <w:pPr>
        <w:pStyle w:val="ListParagraph"/>
        <w:numPr>
          <w:ilvl w:val="1"/>
          <w:numId w:val="268"/>
        </w:numPr>
        <w:tabs>
          <w:tab w:pos="2486" w:val="left" w:leader="none"/>
        </w:tabs>
        <w:spacing w:line="240" w:lineRule="auto" w:before="120" w:after="0"/>
        <w:ind w:left="2486" w:right="414" w:hanging="567"/>
        <w:jc w:val="both"/>
        <w:rPr>
          <w:sz w:val="24"/>
        </w:rPr>
      </w:pPr>
      <w:r>
        <w:rPr>
          <w:sz w:val="24"/>
        </w:rPr>
        <w:t>if the </w:t>
      </w:r>
      <w:r>
        <w:rPr>
          <w:i/>
          <w:sz w:val="24"/>
        </w:rPr>
        <w:t>connection point </w:t>
      </w:r>
      <w:r>
        <w:rPr>
          <w:sz w:val="24"/>
        </w:rPr>
        <w:t>is connected to a </w:t>
      </w:r>
      <w:r>
        <w:rPr>
          <w:i/>
          <w:sz w:val="24"/>
        </w:rPr>
        <w:t>transmission line </w:t>
      </w:r>
      <w:r>
        <w:rPr>
          <w:sz w:val="24"/>
        </w:rPr>
        <w:t>(but not through a </w:t>
      </w:r>
      <w:r>
        <w:rPr>
          <w:i/>
          <w:sz w:val="24"/>
        </w:rPr>
        <w:t>transformer</w:t>
      </w:r>
      <w:r>
        <w:rPr>
          <w:sz w:val="24"/>
        </w:rPr>
        <w:t>), the </w:t>
      </w:r>
      <w:r>
        <w:rPr>
          <w:i/>
          <w:sz w:val="24"/>
        </w:rPr>
        <w:t>Network Service Provider </w:t>
      </w:r>
      <w:r>
        <w:rPr>
          <w:sz w:val="24"/>
        </w:rPr>
        <w:t>must determine the target </w:t>
      </w:r>
      <w:r>
        <w:rPr>
          <w:i/>
          <w:sz w:val="24"/>
        </w:rPr>
        <w:t>voltage </w:t>
      </w:r>
      <w:r>
        <w:rPr>
          <w:sz w:val="24"/>
        </w:rPr>
        <w:t>in consultation with </w:t>
      </w:r>
      <w:r>
        <w:rPr>
          <w:i/>
          <w:sz w:val="24"/>
        </w:rPr>
        <w:t>AEMO </w:t>
      </w:r>
      <w:r>
        <w:rPr>
          <w:sz w:val="24"/>
        </w:rPr>
        <w:t>taking into account the capability of existing </w:t>
      </w:r>
      <w:r>
        <w:rPr>
          <w:i/>
          <w:sz w:val="24"/>
        </w:rPr>
        <w:t>facilities </w:t>
      </w:r>
      <w:r>
        <w:rPr>
          <w:sz w:val="24"/>
        </w:rPr>
        <w:t>that are subject to that </w:t>
      </w:r>
      <w:r>
        <w:rPr>
          <w:i/>
          <w:sz w:val="24"/>
        </w:rPr>
        <w:t>supply voltage</w:t>
      </w:r>
      <w:r>
        <w:rPr>
          <w:sz w:val="24"/>
        </w:rPr>
        <w:t>; and</w:t>
      </w:r>
    </w:p>
    <w:p>
      <w:pPr>
        <w:pStyle w:val="ListParagraph"/>
        <w:numPr>
          <w:ilvl w:val="1"/>
          <w:numId w:val="268"/>
        </w:numPr>
        <w:tabs>
          <w:tab w:pos="2486" w:val="left" w:leader="none"/>
        </w:tabs>
        <w:spacing w:line="240" w:lineRule="auto" w:before="120" w:after="0"/>
        <w:ind w:left="2486" w:right="414" w:hanging="567"/>
        <w:jc w:val="both"/>
        <w:rPr>
          <w:sz w:val="24"/>
        </w:rPr>
      </w:pPr>
      <w:r>
        <w:rPr>
          <w:sz w:val="24"/>
        </w:rPr>
        <w:t>otherwise, </w:t>
      </w:r>
      <w:r>
        <w:rPr>
          <w:i/>
          <w:sz w:val="24"/>
        </w:rPr>
        <w:t>Network Users </w:t>
      </w:r>
      <w:r>
        <w:rPr>
          <w:sz w:val="24"/>
        </w:rPr>
        <w:t>that share the same </w:t>
      </w:r>
      <w:r>
        <w:rPr>
          <w:i/>
          <w:sz w:val="24"/>
        </w:rPr>
        <w:t>supply voltage </w:t>
      </w:r>
      <w:r>
        <w:rPr>
          <w:sz w:val="24"/>
        </w:rPr>
        <w:t>must jointly determine the target </w:t>
      </w:r>
      <w:r>
        <w:rPr>
          <w:i/>
          <w:sz w:val="24"/>
        </w:rPr>
        <w:t>voltage </w:t>
      </w:r>
      <w:r>
        <w:rPr>
          <w:sz w:val="24"/>
        </w:rPr>
        <w:t>which may be specified to vary with aggregate </w:t>
      </w:r>
      <w:r>
        <w:rPr>
          <w:i/>
          <w:sz w:val="24"/>
        </w:rPr>
        <w:t>loading</w:t>
      </w:r>
      <w:r>
        <w:rPr>
          <w:i/>
          <w:spacing w:val="-2"/>
          <w:sz w:val="24"/>
        </w:rPr>
        <w:t> </w:t>
      </w:r>
      <w:r>
        <w:rPr>
          <w:i/>
          <w:sz w:val="24"/>
        </w:rPr>
        <w:t>level</w:t>
      </w:r>
      <w:r>
        <w:rPr>
          <w:sz w:val="24"/>
        </w:rPr>
        <w:t>;</w:t>
      </w:r>
    </w:p>
    <w:p>
      <w:pPr>
        <w:spacing w:before="120"/>
        <w:ind w:left="1919" w:right="415" w:firstLine="0"/>
        <w:jc w:val="both"/>
        <w:rPr>
          <w:sz w:val="24"/>
        </w:rPr>
      </w:pPr>
      <w:r>
        <w:rPr>
          <w:sz w:val="24"/>
        </w:rPr>
        <w:t>provided that at all times the </w:t>
      </w:r>
      <w:r>
        <w:rPr>
          <w:i/>
          <w:sz w:val="24"/>
        </w:rPr>
        <w:t>supply voltage </w:t>
      </w:r>
      <w:r>
        <w:rPr>
          <w:sz w:val="24"/>
        </w:rPr>
        <w:t>remains between 90 percent and 110 percent of the </w:t>
      </w:r>
      <w:r>
        <w:rPr>
          <w:i/>
          <w:sz w:val="24"/>
        </w:rPr>
        <w:t>normal voltage </w:t>
      </w:r>
      <w:r>
        <w:rPr>
          <w:sz w:val="24"/>
        </w:rPr>
        <w:t>determined in accordance with clause S5.1a.4 except as a consequence of a </w:t>
      </w:r>
      <w:r>
        <w:rPr>
          <w:i/>
          <w:sz w:val="24"/>
        </w:rPr>
        <w:t>contingency event</w:t>
      </w:r>
      <w:r>
        <w:rPr>
          <w:sz w:val="24"/>
        </w:rPr>
        <w:t>.</w:t>
      </w:r>
    </w:p>
    <w:p>
      <w:pPr>
        <w:pStyle w:val="ListParagraph"/>
        <w:numPr>
          <w:ilvl w:val="0"/>
          <w:numId w:val="268"/>
        </w:numPr>
        <w:tabs>
          <w:tab w:pos="1919" w:val="left" w:leader="none"/>
        </w:tabs>
        <w:spacing w:line="240" w:lineRule="auto" w:before="120" w:after="0"/>
        <w:ind w:left="1918" w:right="0" w:hanging="567"/>
        <w:jc w:val="both"/>
        <w:rPr>
          <w:sz w:val="24"/>
        </w:rPr>
      </w:pPr>
      <w:r>
        <w:rPr>
          <w:sz w:val="24"/>
        </w:rPr>
        <w:t>For</w:t>
      </w:r>
      <w:r>
        <w:rPr>
          <w:spacing w:val="37"/>
          <w:sz w:val="24"/>
        </w:rPr>
        <w:t> </w:t>
      </w:r>
      <w:r>
        <w:rPr>
          <w:sz w:val="24"/>
        </w:rPr>
        <w:t>the</w:t>
      </w:r>
      <w:r>
        <w:rPr>
          <w:spacing w:val="37"/>
          <w:sz w:val="24"/>
        </w:rPr>
        <w:t> </w:t>
      </w:r>
      <w:r>
        <w:rPr>
          <w:sz w:val="24"/>
        </w:rPr>
        <w:t>purposes</w:t>
      </w:r>
      <w:r>
        <w:rPr>
          <w:spacing w:val="38"/>
          <w:sz w:val="24"/>
        </w:rPr>
        <w:t> </w:t>
      </w:r>
      <w:r>
        <w:rPr>
          <w:sz w:val="24"/>
        </w:rPr>
        <w:t>of</w:t>
      </w:r>
      <w:r>
        <w:rPr>
          <w:spacing w:val="37"/>
          <w:sz w:val="24"/>
        </w:rPr>
        <w:t> </w:t>
      </w:r>
      <w:r>
        <w:rPr>
          <w:sz w:val="24"/>
        </w:rPr>
        <w:t>this</w:t>
      </w:r>
      <w:r>
        <w:rPr>
          <w:spacing w:val="39"/>
          <w:sz w:val="24"/>
        </w:rPr>
        <w:t> </w:t>
      </w:r>
      <w:r>
        <w:rPr>
          <w:sz w:val="24"/>
        </w:rPr>
        <w:t>clause,</w:t>
      </w:r>
      <w:r>
        <w:rPr>
          <w:spacing w:val="37"/>
          <w:sz w:val="24"/>
        </w:rPr>
        <w:t> </w:t>
      </w:r>
      <w:r>
        <w:rPr>
          <w:sz w:val="24"/>
        </w:rPr>
        <w:t>the</w:t>
      </w:r>
      <w:r>
        <w:rPr>
          <w:spacing w:val="38"/>
          <w:sz w:val="24"/>
        </w:rPr>
        <w:t> </w:t>
      </w:r>
      <w:r>
        <w:rPr>
          <w:i/>
          <w:sz w:val="24"/>
        </w:rPr>
        <w:t>voltage</w:t>
      </w:r>
      <w:r>
        <w:rPr>
          <w:i/>
          <w:spacing w:val="37"/>
          <w:sz w:val="24"/>
        </w:rPr>
        <w:t> </w:t>
      </w:r>
      <w:r>
        <w:rPr>
          <w:sz w:val="24"/>
        </w:rPr>
        <w:t>of</w:t>
      </w:r>
      <w:r>
        <w:rPr>
          <w:spacing w:val="37"/>
          <w:sz w:val="24"/>
        </w:rPr>
        <w:t> </w:t>
      </w:r>
      <w:r>
        <w:rPr>
          <w:i/>
          <w:sz w:val="24"/>
        </w:rPr>
        <w:t>supply</w:t>
      </w:r>
      <w:r>
        <w:rPr>
          <w:i/>
          <w:spacing w:val="38"/>
          <w:sz w:val="24"/>
        </w:rPr>
        <w:t> </w:t>
      </w:r>
      <w:r>
        <w:rPr>
          <w:sz w:val="24"/>
        </w:rPr>
        <w:t>is</w:t>
      </w:r>
      <w:r>
        <w:rPr>
          <w:spacing w:val="37"/>
          <w:sz w:val="24"/>
        </w:rPr>
        <w:t> </w:t>
      </w:r>
      <w:r>
        <w:rPr>
          <w:sz w:val="24"/>
        </w:rPr>
        <w:t>measured</w:t>
      </w:r>
      <w:r>
        <w:rPr>
          <w:spacing w:val="38"/>
          <w:sz w:val="24"/>
        </w:rPr>
        <w:t> </w:t>
      </w:r>
      <w:r>
        <w:rPr>
          <w:sz w:val="24"/>
        </w:rPr>
        <w:t>as</w:t>
      </w:r>
      <w:r>
        <w:rPr>
          <w:spacing w:val="37"/>
          <w:sz w:val="24"/>
        </w:rPr>
        <w:t> </w:t>
      </w:r>
      <w:r>
        <w:rPr>
          <w:sz w:val="24"/>
        </w:rPr>
        <w:t>the</w:t>
      </w:r>
    </w:p>
    <w:p>
      <w:pPr>
        <w:spacing w:before="0"/>
        <w:ind w:left="1919" w:right="0" w:firstLine="0"/>
        <w:jc w:val="both"/>
        <w:rPr>
          <w:sz w:val="24"/>
        </w:rPr>
      </w:pPr>
      <w:r>
        <w:rPr>
          <w:i/>
          <w:sz w:val="24"/>
        </w:rPr>
        <w:t>RMS phase voltage</w:t>
      </w:r>
      <w:r>
        <w:rPr>
          <w:sz w:val="24"/>
        </w:rPr>
        <w:t>.</w:t>
      </w:r>
    </w:p>
    <w:p>
      <w:pPr>
        <w:spacing w:before="120"/>
        <w:ind w:left="1352" w:right="414" w:firstLine="0"/>
        <w:jc w:val="both"/>
        <w:rPr>
          <w:sz w:val="24"/>
        </w:rPr>
      </w:pPr>
      <w:r>
        <w:rPr>
          <w:sz w:val="24"/>
        </w:rPr>
        <w:t>Where the independent control of </w:t>
      </w:r>
      <w:r>
        <w:rPr>
          <w:i/>
          <w:sz w:val="24"/>
        </w:rPr>
        <w:t>voltage </w:t>
      </w:r>
      <w:r>
        <w:rPr>
          <w:sz w:val="24"/>
        </w:rPr>
        <w:t>at the </w:t>
      </w:r>
      <w:r>
        <w:rPr>
          <w:i/>
          <w:sz w:val="24"/>
        </w:rPr>
        <w:t>connection point </w:t>
      </w:r>
      <w:r>
        <w:rPr>
          <w:sz w:val="24"/>
        </w:rPr>
        <w:t>is possible without adverse impact on </w:t>
      </w:r>
      <w:r>
        <w:rPr>
          <w:i/>
          <w:sz w:val="24"/>
        </w:rPr>
        <w:t>voltage </w:t>
      </w:r>
      <w:r>
        <w:rPr>
          <w:sz w:val="24"/>
        </w:rPr>
        <w:t>control at another </w:t>
      </w:r>
      <w:r>
        <w:rPr>
          <w:i/>
          <w:sz w:val="24"/>
        </w:rPr>
        <w:t>connection point</w:t>
      </w:r>
      <w:r>
        <w:rPr>
          <w:sz w:val="24"/>
        </w:rPr>
        <w:t>, the </w:t>
      </w:r>
      <w:r>
        <w:rPr>
          <w:i/>
          <w:sz w:val="24"/>
        </w:rPr>
        <w:t>Network Service Provider </w:t>
      </w:r>
      <w:r>
        <w:rPr>
          <w:sz w:val="24"/>
        </w:rPr>
        <w:t>must make reasonable endeavours to meet the request. The target </w:t>
      </w:r>
      <w:r>
        <w:rPr>
          <w:i/>
          <w:sz w:val="24"/>
        </w:rPr>
        <w:t>voltage </w:t>
      </w:r>
      <w:r>
        <w:rPr>
          <w:sz w:val="24"/>
        </w:rPr>
        <w:t>and any agreement to a target range of </w:t>
      </w:r>
      <w:r>
        <w:rPr>
          <w:i/>
          <w:sz w:val="24"/>
        </w:rPr>
        <w:t>voltage </w:t>
      </w:r>
      <w:r>
        <w:rPr>
          <w:sz w:val="24"/>
        </w:rPr>
        <w:t>magnitude </w:t>
      </w:r>
      <w:r>
        <w:rPr>
          <w:spacing w:val="-4"/>
          <w:sz w:val="24"/>
        </w:rPr>
        <w:t>must </w:t>
      </w:r>
      <w:r>
        <w:rPr>
          <w:sz w:val="24"/>
        </w:rPr>
        <w:t>be specified in the relevant </w:t>
      </w:r>
      <w:r>
        <w:rPr>
          <w:i/>
          <w:sz w:val="24"/>
        </w:rPr>
        <w:t>connection agreement</w:t>
      </w:r>
      <w:r>
        <w:rPr>
          <w:sz w:val="24"/>
        </w:rPr>
        <w:t>. The agreement may include a different target range in the </w:t>
      </w:r>
      <w:r>
        <w:rPr>
          <w:i/>
          <w:sz w:val="24"/>
        </w:rPr>
        <w:t>satisfactory operating state </w:t>
      </w:r>
      <w:r>
        <w:rPr>
          <w:sz w:val="24"/>
        </w:rPr>
        <w:t>and after a </w:t>
      </w:r>
      <w:r>
        <w:rPr>
          <w:i/>
          <w:sz w:val="24"/>
        </w:rPr>
        <w:t>credible </w:t>
      </w:r>
      <w:r>
        <w:rPr>
          <w:i/>
          <w:sz w:val="24"/>
        </w:rPr>
        <w:t>contingency event </w:t>
      </w:r>
      <w:r>
        <w:rPr>
          <w:sz w:val="24"/>
        </w:rPr>
        <w:t>or </w:t>
      </w:r>
      <w:r>
        <w:rPr>
          <w:i/>
          <w:sz w:val="24"/>
        </w:rPr>
        <w:t>protected event </w:t>
      </w:r>
      <w:r>
        <w:rPr>
          <w:sz w:val="24"/>
        </w:rPr>
        <w:t>(and how these target ranges may be  required to vary with </w:t>
      </w:r>
      <w:r>
        <w:rPr>
          <w:i/>
          <w:sz w:val="24"/>
        </w:rPr>
        <w:t>loading</w:t>
      </w:r>
      <w:r>
        <w:rPr>
          <w:i/>
          <w:spacing w:val="-2"/>
          <w:sz w:val="24"/>
        </w:rPr>
        <w:t> </w:t>
      </w:r>
      <w:r>
        <w:rPr>
          <w:i/>
          <w:sz w:val="24"/>
        </w:rPr>
        <w:t>level</w:t>
      </w:r>
      <w:r>
        <w:rPr>
          <w:sz w:val="24"/>
        </w:rPr>
        <w:t>).</w:t>
      </w:r>
    </w:p>
    <w:p>
      <w:pPr>
        <w:spacing w:before="120"/>
        <w:ind w:left="1352" w:right="414" w:firstLine="0"/>
        <w:jc w:val="both"/>
        <w:rPr>
          <w:sz w:val="24"/>
        </w:rPr>
      </w:pPr>
      <w:r>
        <w:rPr>
          <w:sz w:val="24"/>
        </w:rPr>
        <w:t>A </w:t>
      </w:r>
      <w:r>
        <w:rPr>
          <w:i/>
          <w:sz w:val="24"/>
        </w:rPr>
        <w:t>Network Service Provider </w:t>
      </w:r>
      <w:r>
        <w:rPr>
          <w:sz w:val="24"/>
        </w:rPr>
        <w:t>must ensure that each </w:t>
      </w:r>
      <w:r>
        <w:rPr>
          <w:i/>
          <w:sz w:val="24"/>
        </w:rPr>
        <w:t>facility </w:t>
      </w:r>
      <w:r>
        <w:rPr>
          <w:sz w:val="24"/>
        </w:rPr>
        <w:t>that is part of its </w:t>
      </w:r>
      <w:r>
        <w:rPr>
          <w:i/>
          <w:sz w:val="24"/>
        </w:rPr>
        <w:t>transmission network </w:t>
      </w:r>
      <w:r>
        <w:rPr>
          <w:sz w:val="24"/>
        </w:rPr>
        <w:t>or </w:t>
      </w:r>
      <w:r>
        <w:rPr>
          <w:i/>
          <w:sz w:val="24"/>
        </w:rPr>
        <w:t>distribution network </w:t>
      </w:r>
      <w:r>
        <w:rPr>
          <w:sz w:val="24"/>
        </w:rPr>
        <w:t>is capable of continuous uninterrupted operation in the event that variations in </w:t>
      </w:r>
      <w:r>
        <w:rPr>
          <w:i/>
          <w:sz w:val="24"/>
        </w:rPr>
        <w:t>voltage </w:t>
      </w:r>
      <w:r>
        <w:rPr>
          <w:sz w:val="24"/>
        </w:rPr>
        <w:t>magnitude occur due to faults external to the </w:t>
      </w:r>
      <w:r>
        <w:rPr>
          <w:i/>
          <w:sz w:val="24"/>
        </w:rPr>
        <w:t>facility</w:t>
      </w:r>
      <w:r>
        <w:rPr>
          <w:sz w:val="24"/>
        </w:rPr>
        <w:t>. The design of a </w:t>
      </w:r>
      <w:r>
        <w:rPr>
          <w:i/>
          <w:sz w:val="24"/>
        </w:rPr>
        <w:t>facility </w:t>
      </w:r>
      <w:r>
        <w:rPr>
          <w:sz w:val="24"/>
        </w:rPr>
        <w:t>should anticipate the likely time duration and magnitude of variations in the power-</w:t>
      </w:r>
      <w:r>
        <w:rPr>
          <w:i/>
          <w:sz w:val="24"/>
        </w:rPr>
        <w:t>frequency </w:t>
      </w:r>
      <w:r>
        <w:rPr>
          <w:sz w:val="24"/>
        </w:rPr>
        <w:t>phase </w:t>
      </w:r>
      <w:r>
        <w:rPr>
          <w:i/>
          <w:sz w:val="24"/>
        </w:rPr>
        <w:t>voltages </w:t>
      </w:r>
      <w:r>
        <w:rPr>
          <w:sz w:val="24"/>
        </w:rPr>
        <w:t>which may arise dependent on the nature and location of the</w:t>
      </w:r>
      <w:r>
        <w:rPr>
          <w:spacing w:val="-5"/>
          <w:sz w:val="24"/>
        </w:rPr>
        <w:t> </w:t>
      </w:r>
      <w:r>
        <w:rPr>
          <w:sz w:val="24"/>
        </w:rPr>
        <w:t>fault.</w:t>
      </w:r>
    </w:p>
    <w:p>
      <w:pPr>
        <w:pStyle w:val="BodyText"/>
        <w:spacing w:before="10"/>
        <w:ind w:firstLine="0"/>
        <w:jc w:val="left"/>
        <w:rPr>
          <w:sz w:val="20"/>
        </w:rPr>
      </w:pPr>
    </w:p>
    <w:p>
      <w:pPr>
        <w:pStyle w:val="Heading4"/>
        <w:tabs>
          <w:tab w:pos="1351" w:val="left" w:leader="none"/>
        </w:tabs>
        <w:ind w:left="218" w:firstLine="0"/>
      </w:pPr>
      <w:bookmarkStart w:name="S5.1.5 Voltage fluctuations" w:id="932"/>
      <w:bookmarkEnd w:id="932"/>
      <w:r>
        <w:rPr>
          <w:b w:val="0"/>
        </w:rPr>
      </w:r>
      <w:bookmarkStart w:name="_bookmark358" w:id="933"/>
      <w:bookmarkEnd w:id="933"/>
      <w:r>
        <w:rPr>
          <w:b w:val="0"/>
        </w:rPr>
      </w:r>
      <w:r>
        <w:rPr/>
        <w:t>S5.1.5</w:t>
        <w:tab/>
        <w:t>Voltage</w:t>
      </w:r>
      <w:r>
        <w:rPr>
          <w:spacing w:val="-1"/>
        </w:rPr>
        <w:t> </w:t>
      </w:r>
      <w:r>
        <w:rPr/>
        <w:t>fluctuations</w:t>
      </w:r>
    </w:p>
    <w:p>
      <w:pPr>
        <w:spacing w:before="120"/>
        <w:ind w:left="1352" w:right="414" w:firstLine="0"/>
        <w:jc w:val="both"/>
        <w:rPr>
          <w:sz w:val="24"/>
        </w:rPr>
      </w:pPr>
      <w:r>
        <w:rPr>
          <w:sz w:val="24"/>
        </w:rPr>
        <w:t>A </w:t>
      </w:r>
      <w:r>
        <w:rPr>
          <w:i/>
          <w:sz w:val="24"/>
        </w:rPr>
        <w:t>Network Service Provider </w:t>
      </w:r>
      <w:r>
        <w:rPr>
          <w:sz w:val="24"/>
        </w:rPr>
        <w:t>must use reasonable endeavours to design and operate its </w:t>
      </w:r>
      <w:r>
        <w:rPr>
          <w:i/>
          <w:sz w:val="24"/>
        </w:rPr>
        <w:t>transmission system </w:t>
      </w:r>
      <w:r>
        <w:rPr>
          <w:sz w:val="24"/>
        </w:rPr>
        <w:t>or </w:t>
      </w:r>
      <w:r>
        <w:rPr>
          <w:i/>
          <w:sz w:val="24"/>
        </w:rPr>
        <w:t>distribution system </w:t>
      </w:r>
      <w:r>
        <w:rPr>
          <w:sz w:val="24"/>
        </w:rPr>
        <w:t>and include conditions in </w:t>
      </w:r>
      <w:r>
        <w:rPr>
          <w:i/>
          <w:sz w:val="24"/>
        </w:rPr>
        <w:t>connection</w:t>
      </w:r>
      <w:r>
        <w:rPr>
          <w:i/>
          <w:spacing w:val="36"/>
          <w:sz w:val="24"/>
        </w:rPr>
        <w:t> </w:t>
      </w:r>
      <w:r>
        <w:rPr>
          <w:i/>
          <w:sz w:val="24"/>
        </w:rPr>
        <w:t>agreements</w:t>
      </w:r>
      <w:r>
        <w:rPr>
          <w:i/>
          <w:spacing w:val="36"/>
          <w:sz w:val="24"/>
        </w:rPr>
        <w:t> </w:t>
      </w:r>
      <w:r>
        <w:rPr>
          <w:sz w:val="24"/>
        </w:rPr>
        <w:t>in</w:t>
      </w:r>
      <w:r>
        <w:rPr>
          <w:spacing w:val="37"/>
          <w:sz w:val="24"/>
        </w:rPr>
        <w:t> </w:t>
      </w:r>
      <w:r>
        <w:rPr>
          <w:sz w:val="24"/>
        </w:rPr>
        <w:t>relation</w:t>
      </w:r>
      <w:r>
        <w:rPr>
          <w:spacing w:val="36"/>
          <w:sz w:val="24"/>
        </w:rPr>
        <w:t> </w:t>
      </w:r>
      <w:r>
        <w:rPr>
          <w:sz w:val="24"/>
        </w:rPr>
        <w:t>to</w:t>
      </w:r>
      <w:r>
        <w:rPr>
          <w:spacing w:val="36"/>
          <w:sz w:val="24"/>
        </w:rPr>
        <w:t> </w:t>
      </w:r>
      <w:r>
        <w:rPr>
          <w:sz w:val="24"/>
        </w:rPr>
        <w:t>the</w:t>
      </w:r>
      <w:r>
        <w:rPr>
          <w:spacing w:val="37"/>
          <w:sz w:val="24"/>
        </w:rPr>
        <w:t> </w:t>
      </w:r>
      <w:r>
        <w:rPr>
          <w:sz w:val="24"/>
        </w:rPr>
        <w:t>permissible</w:t>
      </w:r>
      <w:r>
        <w:rPr>
          <w:spacing w:val="36"/>
          <w:sz w:val="24"/>
        </w:rPr>
        <w:t> </w:t>
      </w:r>
      <w:r>
        <w:rPr>
          <w:sz w:val="24"/>
        </w:rPr>
        <w:t>variation</w:t>
      </w:r>
      <w:r>
        <w:rPr>
          <w:spacing w:val="37"/>
          <w:sz w:val="24"/>
        </w:rPr>
        <w:t> </w:t>
      </w:r>
      <w:r>
        <w:rPr>
          <w:sz w:val="24"/>
        </w:rPr>
        <w:t>with</w:t>
      </w:r>
      <w:r>
        <w:rPr>
          <w:spacing w:val="36"/>
          <w:sz w:val="24"/>
        </w:rPr>
        <w:t> </w:t>
      </w:r>
      <w:r>
        <w:rPr>
          <w:sz w:val="24"/>
        </w:rPr>
        <w:t>time</w:t>
      </w:r>
      <w:r>
        <w:rPr>
          <w:spacing w:val="36"/>
          <w:sz w:val="24"/>
        </w:rPr>
        <w:t> </w:t>
      </w:r>
      <w:r>
        <w:rPr>
          <w:sz w:val="24"/>
        </w:rPr>
        <w:t>of</w:t>
      </w:r>
      <w:r>
        <w:rPr>
          <w:spacing w:val="37"/>
          <w:sz w:val="24"/>
        </w:rPr>
        <w:t> </w:t>
      </w:r>
      <w:r>
        <w:rPr>
          <w:sz w:val="24"/>
        </w:rPr>
        <w:t>the</w:t>
      </w:r>
    </w:p>
    <w:p>
      <w:pPr>
        <w:spacing w:after="0"/>
        <w:jc w:val="both"/>
        <w:rPr>
          <w:sz w:val="24"/>
        </w:rPr>
        <w:sectPr>
          <w:pgSz w:w="11910" w:h="16840"/>
          <w:pgMar w:header="686" w:footer="637" w:top="1320" w:bottom="820" w:left="1200" w:right="1000"/>
        </w:sectPr>
      </w:pPr>
    </w:p>
    <w:p>
      <w:pPr>
        <w:spacing w:before="83"/>
        <w:ind w:left="1352" w:right="415" w:firstLine="0"/>
        <w:jc w:val="both"/>
        <w:rPr>
          <w:sz w:val="24"/>
        </w:rPr>
      </w:pPr>
      <w:r>
        <w:rPr>
          <w:sz w:val="24"/>
        </w:rPr>
        <w:t>power </w:t>
      </w:r>
      <w:r>
        <w:rPr>
          <w:i/>
          <w:sz w:val="24"/>
        </w:rPr>
        <w:t>generated </w:t>
      </w:r>
      <w:r>
        <w:rPr>
          <w:sz w:val="24"/>
        </w:rPr>
        <w:t>or </w:t>
      </w:r>
      <w:r>
        <w:rPr>
          <w:i/>
          <w:sz w:val="24"/>
        </w:rPr>
        <w:t>load </w:t>
      </w:r>
      <w:r>
        <w:rPr>
          <w:sz w:val="24"/>
        </w:rPr>
        <w:t>taken by a </w:t>
      </w:r>
      <w:r>
        <w:rPr>
          <w:i/>
          <w:sz w:val="24"/>
        </w:rPr>
        <w:t>Network User </w:t>
      </w:r>
      <w:r>
        <w:rPr>
          <w:sz w:val="24"/>
        </w:rPr>
        <w:t>to ensure that other </w:t>
      </w:r>
      <w:r>
        <w:rPr>
          <w:i/>
          <w:sz w:val="24"/>
        </w:rPr>
        <w:t>Network </w:t>
      </w:r>
      <w:r>
        <w:rPr>
          <w:i/>
          <w:sz w:val="24"/>
        </w:rPr>
        <w:t>Users </w:t>
      </w:r>
      <w:r>
        <w:rPr>
          <w:sz w:val="24"/>
        </w:rPr>
        <w:t>are supplied with a power-</w:t>
      </w:r>
      <w:r>
        <w:rPr>
          <w:i/>
          <w:sz w:val="24"/>
        </w:rPr>
        <w:t>frequency voltage </w:t>
      </w:r>
      <w:r>
        <w:rPr>
          <w:sz w:val="24"/>
        </w:rPr>
        <w:t>which fluctuates to an extent that is less than the levels stipulated in accordance  with  the  provisions  of  clause S5.1a.5 of the </w:t>
      </w:r>
      <w:r>
        <w:rPr>
          <w:i/>
          <w:sz w:val="24"/>
        </w:rPr>
        <w:t>system standards </w:t>
      </w:r>
      <w:r>
        <w:rPr>
          <w:sz w:val="24"/>
        </w:rPr>
        <w:t>and this clause</w:t>
      </w:r>
      <w:r>
        <w:rPr>
          <w:spacing w:val="-9"/>
          <w:sz w:val="24"/>
        </w:rPr>
        <w:t> </w:t>
      </w:r>
      <w:r>
        <w:rPr>
          <w:sz w:val="24"/>
        </w:rPr>
        <w:t>S5.1.5.</w:t>
      </w:r>
    </w:p>
    <w:p>
      <w:pPr>
        <w:spacing w:before="120"/>
        <w:ind w:left="1352" w:right="414" w:firstLine="0"/>
        <w:jc w:val="both"/>
        <w:rPr>
          <w:sz w:val="24"/>
        </w:rPr>
      </w:pPr>
      <w:r>
        <w:rPr>
          <w:sz w:val="24"/>
        </w:rPr>
        <w:t>In accordance with AS/NZS 61000.3.7:2001 and guidelines published by </w:t>
      </w:r>
      <w:r>
        <w:rPr>
          <w:i/>
          <w:sz w:val="24"/>
        </w:rPr>
        <w:t>Standards Australia </w:t>
      </w:r>
      <w:r>
        <w:rPr>
          <w:sz w:val="24"/>
        </w:rPr>
        <w:t>and applying the assumption that </w:t>
      </w:r>
      <w:r>
        <w:rPr>
          <w:i/>
          <w:sz w:val="24"/>
        </w:rPr>
        <w:t>Customers </w:t>
      </w:r>
      <w:r>
        <w:rPr>
          <w:sz w:val="24"/>
        </w:rPr>
        <w:t>will comply with their obligations under schedule 5.3, a </w:t>
      </w:r>
      <w:r>
        <w:rPr>
          <w:i/>
          <w:sz w:val="24"/>
        </w:rPr>
        <w:t>Network Service Provider </w:t>
      </w:r>
      <w:r>
        <w:rPr>
          <w:sz w:val="24"/>
        </w:rPr>
        <w:t>must determine "Planning Levels" for </w:t>
      </w:r>
      <w:r>
        <w:rPr>
          <w:i/>
          <w:sz w:val="24"/>
        </w:rPr>
        <w:t>connection points </w:t>
      </w:r>
      <w:r>
        <w:rPr>
          <w:sz w:val="24"/>
        </w:rPr>
        <w:t>on their </w:t>
      </w:r>
      <w:r>
        <w:rPr>
          <w:i/>
          <w:sz w:val="24"/>
        </w:rPr>
        <w:t>network </w:t>
      </w:r>
      <w:r>
        <w:rPr>
          <w:sz w:val="24"/>
        </w:rPr>
        <w:t>in order to maintain </w:t>
      </w:r>
      <w:r>
        <w:rPr>
          <w:i/>
          <w:sz w:val="24"/>
        </w:rPr>
        <w:t>voltage </w:t>
      </w:r>
      <w:r>
        <w:rPr>
          <w:sz w:val="24"/>
        </w:rPr>
        <w:t>fluctuation levels for all supply points to customers supplied from their </w:t>
      </w:r>
      <w:r>
        <w:rPr>
          <w:i/>
          <w:sz w:val="24"/>
        </w:rPr>
        <w:t>network </w:t>
      </w:r>
      <w:r>
        <w:rPr>
          <w:sz w:val="24"/>
        </w:rPr>
        <w:t>below the "Compatibility Levels" defined in Table 1 of AS/NZS</w:t>
      </w:r>
      <w:r>
        <w:rPr>
          <w:spacing w:val="-2"/>
          <w:sz w:val="24"/>
        </w:rPr>
        <w:t> </w:t>
      </w:r>
      <w:r>
        <w:rPr>
          <w:sz w:val="24"/>
        </w:rPr>
        <w:t>61000.3.7:2001.</w:t>
      </w:r>
    </w:p>
    <w:p>
      <w:pPr>
        <w:spacing w:before="120"/>
        <w:ind w:left="1352" w:right="414" w:firstLine="0"/>
        <w:jc w:val="both"/>
        <w:rPr>
          <w:sz w:val="24"/>
        </w:rPr>
      </w:pPr>
      <w:r>
        <w:rPr>
          <w:sz w:val="24"/>
        </w:rPr>
        <w:t>The </w:t>
      </w:r>
      <w:r>
        <w:rPr>
          <w:i/>
          <w:sz w:val="24"/>
        </w:rPr>
        <w:t>Network Service Provider </w:t>
      </w:r>
      <w:r>
        <w:rPr>
          <w:sz w:val="24"/>
        </w:rPr>
        <w:t>must allocate emission limits in response to a </w:t>
      </w:r>
      <w:r>
        <w:rPr>
          <w:i/>
          <w:sz w:val="24"/>
        </w:rPr>
        <w:t>connection </w:t>
      </w:r>
      <w:r>
        <w:rPr>
          <w:sz w:val="24"/>
        </w:rPr>
        <w:t>enquiry or an </w:t>
      </w:r>
      <w:r>
        <w:rPr>
          <w:i/>
          <w:sz w:val="24"/>
        </w:rPr>
        <w:t>application to connect </w:t>
      </w:r>
      <w:r>
        <w:rPr>
          <w:sz w:val="24"/>
        </w:rPr>
        <w:t>and evaluate the acceptability for </w:t>
      </w:r>
      <w:r>
        <w:rPr>
          <w:i/>
          <w:sz w:val="24"/>
        </w:rPr>
        <w:t>connection </w:t>
      </w:r>
      <w:r>
        <w:rPr>
          <w:sz w:val="24"/>
        </w:rPr>
        <w:t>of fluctuating sources as follows:</w:t>
      </w:r>
    </w:p>
    <w:p>
      <w:pPr>
        <w:pStyle w:val="ListParagraph"/>
        <w:numPr>
          <w:ilvl w:val="0"/>
          <w:numId w:val="269"/>
        </w:numPr>
        <w:tabs>
          <w:tab w:pos="1919" w:val="left" w:leader="none"/>
        </w:tabs>
        <w:spacing w:line="240" w:lineRule="auto" w:before="120" w:after="0"/>
        <w:ind w:left="1919" w:right="413" w:hanging="567"/>
        <w:jc w:val="both"/>
        <w:rPr>
          <w:sz w:val="24"/>
        </w:rPr>
      </w:pPr>
      <w:r>
        <w:rPr>
          <w:i/>
          <w:sz w:val="24"/>
        </w:rPr>
        <w:t>Automatic access standard</w:t>
      </w:r>
      <w:r>
        <w:rPr>
          <w:sz w:val="24"/>
        </w:rPr>
        <w:t>: the </w:t>
      </w:r>
      <w:r>
        <w:rPr>
          <w:i/>
          <w:sz w:val="24"/>
        </w:rPr>
        <w:t>Network Service Provider </w:t>
      </w:r>
      <w:r>
        <w:rPr>
          <w:sz w:val="24"/>
        </w:rPr>
        <w:t>must allocate emission limits no more onerous than the lesser of the acceptance levels determined in accordance with either of the stage 1 or the stage 2 evaluation procedures defined in AS/NZS</w:t>
      </w:r>
      <w:r>
        <w:rPr>
          <w:spacing w:val="-2"/>
          <w:sz w:val="24"/>
        </w:rPr>
        <w:t> </w:t>
      </w:r>
      <w:r>
        <w:rPr>
          <w:sz w:val="24"/>
        </w:rPr>
        <w:t>61000.3.7:2001.</w:t>
      </w:r>
    </w:p>
    <w:p>
      <w:pPr>
        <w:pStyle w:val="ListParagraph"/>
        <w:numPr>
          <w:ilvl w:val="0"/>
          <w:numId w:val="269"/>
        </w:numPr>
        <w:tabs>
          <w:tab w:pos="1919" w:val="left" w:leader="none"/>
        </w:tabs>
        <w:spacing w:line="240" w:lineRule="auto" w:before="120" w:after="0"/>
        <w:ind w:left="1919" w:right="415" w:hanging="567"/>
        <w:jc w:val="both"/>
        <w:rPr>
          <w:sz w:val="24"/>
        </w:rPr>
      </w:pPr>
      <w:r>
        <w:rPr>
          <w:i/>
          <w:sz w:val="24"/>
        </w:rPr>
        <w:t>Minimum access standard</w:t>
      </w:r>
      <w:r>
        <w:rPr>
          <w:sz w:val="24"/>
        </w:rPr>
        <w:t>: subject to clause S5.1.5(c), the determination by the </w:t>
      </w:r>
      <w:r>
        <w:rPr>
          <w:i/>
          <w:sz w:val="24"/>
        </w:rPr>
        <w:t>Network Service Provider </w:t>
      </w:r>
      <w:r>
        <w:rPr>
          <w:sz w:val="24"/>
        </w:rPr>
        <w:t>of acceptable emission limits must </w:t>
      </w:r>
      <w:r>
        <w:rPr>
          <w:spacing w:val="-6"/>
          <w:sz w:val="24"/>
        </w:rPr>
        <w:t>be </w:t>
      </w:r>
      <w:r>
        <w:rPr>
          <w:sz w:val="24"/>
        </w:rPr>
        <w:t>undertaken in consultation with the party seeking </w:t>
      </w:r>
      <w:r>
        <w:rPr>
          <w:i/>
          <w:sz w:val="24"/>
        </w:rPr>
        <w:t>connection </w:t>
      </w:r>
      <w:r>
        <w:rPr>
          <w:sz w:val="24"/>
        </w:rPr>
        <w:t>using the stage 3 evaluation procedure defined in</w:t>
      </w:r>
      <w:r>
        <w:rPr>
          <w:spacing w:val="-4"/>
          <w:sz w:val="24"/>
        </w:rPr>
        <w:t> </w:t>
      </w:r>
      <w:r>
        <w:rPr>
          <w:sz w:val="24"/>
        </w:rPr>
        <w:t>AS/NZS61000.3.7:2001.</w:t>
      </w:r>
    </w:p>
    <w:p>
      <w:pPr>
        <w:pStyle w:val="ListParagraph"/>
        <w:numPr>
          <w:ilvl w:val="0"/>
          <w:numId w:val="269"/>
        </w:numPr>
        <w:tabs>
          <w:tab w:pos="1919" w:val="left" w:leader="none"/>
        </w:tabs>
        <w:spacing w:line="240" w:lineRule="auto" w:before="120" w:after="0"/>
        <w:ind w:left="1919" w:right="415" w:hanging="567"/>
        <w:jc w:val="both"/>
        <w:rPr>
          <w:sz w:val="24"/>
        </w:rPr>
      </w:pPr>
      <w:r>
        <w:rPr>
          <w:sz w:val="24"/>
        </w:rPr>
        <w:t>In respect of each new </w:t>
      </w:r>
      <w:r>
        <w:rPr>
          <w:i/>
          <w:sz w:val="24"/>
        </w:rPr>
        <w:t>connection </w:t>
      </w:r>
      <w:r>
        <w:rPr>
          <w:sz w:val="24"/>
        </w:rPr>
        <w:t>at a level of performance below the </w:t>
      </w:r>
      <w:r>
        <w:rPr>
          <w:i/>
          <w:sz w:val="24"/>
        </w:rPr>
        <w:t>automatic access standard </w:t>
      </w:r>
      <w:r>
        <w:rPr>
          <w:sz w:val="24"/>
        </w:rPr>
        <w:t>the </w:t>
      </w:r>
      <w:r>
        <w:rPr>
          <w:i/>
          <w:sz w:val="24"/>
        </w:rPr>
        <w:t>Network Service Provider </w:t>
      </w:r>
      <w:r>
        <w:rPr>
          <w:sz w:val="24"/>
        </w:rPr>
        <w:t>must include provisions in the relevant </w:t>
      </w:r>
      <w:r>
        <w:rPr>
          <w:i/>
          <w:sz w:val="24"/>
        </w:rPr>
        <w:t>connection agreement </w:t>
      </w:r>
      <w:r>
        <w:rPr>
          <w:sz w:val="24"/>
        </w:rPr>
        <w:t>requiring the </w:t>
      </w:r>
      <w:r>
        <w:rPr>
          <w:i/>
          <w:sz w:val="24"/>
        </w:rPr>
        <w:t>Network User </w:t>
      </w:r>
      <w:r>
        <w:rPr>
          <w:sz w:val="24"/>
        </w:rPr>
        <w:t>if necessary to meet the </w:t>
      </w:r>
      <w:r>
        <w:rPr>
          <w:i/>
          <w:sz w:val="24"/>
        </w:rPr>
        <w:t>system standards </w:t>
      </w:r>
      <w:r>
        <w:rPr>
          <w:sz w:val="24"/>
        </w:rPr>
        <w:t>or allow connection of other </w:t>
      </w:r>
      <w:r>
        <w:rPr>
          <w:i/>
          <w:sz w:val="24"/>
        </w:rPr>
        <w:t>Network Users </w:t>
      </w:r>
      <w:r>
        <w:rPr>
          <w:sz w:val="24"/>
        </w:rPr>
        <w:t>to either upgrade to the </w:t>
      </w:r>
      <w:r>
        <w:rPr>
          <w:i/>
          <w:sz w:val="24"/>
        </w:rPr>
        <w:t>automatic access standard </w:t>
      </w:r>
      <w:r>
        <w:rPr>
          <w:sz w:val="24"/>
        </w:rPr>
        <w:t>or fund the reasonable cost of the works necessary to mitigate their effect of connecting at a standard below the </w:t>
      </w:r>
      <w:r>
        <w:rPr>
          <w:i/>
          <w:sz w:val="24"/>
        </w:rPr>
        <w:t>automatic access</w:t>
      </w:r>
      <w:r>
        <w:rPr>
          <w:i/>
          <w:spacing w:val="-5"/>
          <w:sz w:val="24"/>
        </w:rPr>
        <w:t> </w:t>
      </w:r>
      <w:r>
        <w:rPr>
          <w:i/>
          <w:sz w:val="24"/>
        </w:rPr>
        <w:t>standard</w:t>
      </w:r>
      <w:r>
        <w:rPr>
          <w:sz w:val="24"/>
        </w:rPr>
        <w:t>.</w:t>
      </w:r>
    </w:p>
    <w:p>
      <w:pPr>
        <w:pStyle w:val="ListParagraph"/>
        <w:numPr>
          <w:ilvl w:val="0"/>
          <w:numId w:val="269"/>
        </w:numPr>
        <w:tabs>
          <w:tab w:pos="1919" w:val="left" w:leader="none"/>
        </w:tabs>
        <w:spacing w:line="240" w:lineRule="auto" w:before="120" w:after="0"/>
        <w:ind w:left="1919" w:right="414" w:hanging="567"/>
        <w:jc w:val="both"/>
        <w:rPr>
          <w:sz w:val="24"/>
        </w:rPr>
      </w:pPr>
      <w:r>
        <w:rPr>
          <w:sz w:val="24"/>
        </w:rPr>
        <w:t>If for existing customer </w:t>
      </w:r>
      <w:r>
        <w:rPr>
          <w:i/>
          <w:sz w:val="24"/>
        </w:rPr>
        <w:t>connections </w:t>
      </w:r>
      <w:r>
        <w:rPr>
          <w:sz w:val="24"/>
        </w:rPr>
        <w:t>the level of </w:t>
      </w:r>
      <w:r>
        <w:rPr>
          <w:i/>
          <w:sz w:val="24"/>
        </w:rPr>
        <w:t>voltage </w:t>
      </w:r>
      <w:r>
        <w:rPr>
          <w:sz w:val="24"/>
        </w:rPr>
        <w:t>fluctuation is, or may be, exceeded as a result of a proposed new </w:t>
      </w:r>
      <w:r>
        <w:rPr>
          <w:i/>
          <w:sz w:val="24"/>
        </w:rPr>
        <w:t>connection</w:t>
      </w:r>
      <w:r>
        <w:rPr>
          <w:sz w:val="24"/>
        </w:rPr>
        <w:t>, the </w:t>
      </w:r>
      <w:r>
        <w:rPr>
          <w:i/>
          <w:sz w:val="24"/>
        </w:rPr>
        <w:t>Network </w:t>
      </w:r>
      <w:r>
        <w:rPr>
          <w:i/>
          <w:sz w:val="24"/>
        </w:rPr>
        <w:t>Service Provider </w:t>
      </w:r>
      <w:r>
        <w:rPr>
          <w:sz w:val="24"/>
        </w:rPr>
        <w:t>must, if the cause of that excessive level cannot </w:t>
      </w:r>
      <w:r>
        <w:rPr>
          <w:spacing w:val="-6"/>
          <w:sz w:val="24"/>
        </w:rPr>
        <w:t>be </w:t>
      </w:r>
      <w:r>
        <w:rPr>
          <w:sz w:val="24"/>
        </w:rPr>
        <w:t>remedied by enforcing the provisions of existing </w:t>
      </w:r>
      <w:r>
        <w:rPr>
          <w:i/>
          <w:sz w:val="24"/>
        </w:rPr>
        <w:t>connection agreements</w:t>
      </w:r>
      <w:r>
        <w:rPr>
          <w:sz w:val="24"/>
        </w:rPr>
        <w:t>, undertake all reasonable works necessary to meet the technical standards in this schedule or to permit the proposed new </w:t>
      </w:r>
      <w:r>
        <w:rPr>
          <w:i/>
          <w:sz w:val="24"/>
        </w:rPr>
        <w:t>connection </w:t>
      </w:r>
      <w:r>
        <w:rPr>
          <w:sz w:val="24"/>
        </w:rPr>
        <w:t>within the requirements stated in this</w:t>
      </w:r>
      <w:r>
        <w:rPr>
          <w:spacing w:val="-2"/>
          <w:sz w:val="24"/>
        </w:rPr>
        <w:t> </w:t>
      </w:r>
      <w:r>
        <w:rPr>
          <w:sz w:val="24"/>
        </w:rPr>
        <w:t>clause.</w:t>
      </w:r>
    </w:p>
    <w:p>
      <w:pPr>
        <w:spacing w:before="120"/>
        <w:ind w:left="1352" w:right="414" w:firstLine="0"/>
        <w:jc w:val="both"/>
        <w:rPr>
          <w:sz w:val="24"/>
        </w:rPr>
      </w:pPr>
      <w:r>
        <w:rPr>
          <w:sz w:val="24"/>
        </w:rPr>
        <w:t>For other than a new </w:t>
      </w:r>
      <w:r>
        <w:rPr>
          <w:i/>
          <w:sz w:val="24"/>
        </w:rPr>
        <w:t>connection </w:t>
      </w:r>
      <w:r>
        <w:rPr>
          <w:sz w:val="24"/>
        </w:rPr>
        <w:t>in accordance with the preceding paragraph, the responsibility of a </w:t>
      </w:r>
      <w:r>
        <w:rPr>
          <w:i/>
          <w:sz w:val="24"/>
        </w:rPr>
        <w:t>Network Service Provider </w:t>
      </w:r>
      <w:r>
        <w:rPr>
          <w:sz w:val="24"/>
        </w:rPr>
        <w:t>for excursions in </w:t>
      </w:r>
      <w:r>
        <w:rPr>
          <w:i/>
          <w:sz w:val="24"/>
        </w:rPr>
        <w:t>voltage </w:t>
      </w:r>
      <w:r>
        <w:rPr>
          <w:sz w:val="24"/>
        </w:rPr>
        <w:t>fluctuations above the levels defined above is limited to </w:t>
      </w:r>
      <w:r>
        <w:rPr>
          <w:i/>
          <w:sz w:val="24"/>
        </w:rPr>
        <w:t>voltage </w:t>
      </w:r>
      <w:r>
        <w:rPr>
          <w:sz w:val="24"/>
        </w:rPr>
        <w:t>fluctuations caused by </w:t>
      </w:r>
      <w:r>
        <w:rPr>
          <w:i/>
          <w:sz w:val="24"/>
        </w:rPr>
        <w:t>network plant </w:t>
      </w:r>
      <w:r>
        <w:rPr>
          <w:sz w:val="24"/>
        </w:rPr>
        <w:t>and the pursuit of all reasonable measures available under the </w:t>
      </w:r>
      <w:r>
        <w:rPr>
          <w:i/>
          <w:sz w:val="24"/>
        </w:rPr>
        <w:t>Rules </w:t>
      </w:r>
      <w:r>
        <w:rPr>
          <w:sz w:val="24"/>
        </w:rPr>
        <w:t>and its </w:t>
      </w:r>
      <w:r>
        <w:rPr>
          <w:i/>
          <w:sz w:val="24"/>
        </w:rPr>
        <w:t>connection</w:t>
      </w:r>
      <w:r>
        <w:rPr>
          <w:i/>
          <w:spacing w:val="-1"/>
          <w:sz w:val="24"/>
        </w:rPr>
        <w:t> </w:t>
      </w:r>
      <w:r>
        <w:rPr>
          <w:i/>
          <w:sz w:val="24"/>
        </w:rPr>
        <w:t>agreements</w:t>
      </w:r>
      <w:r>
        <w:rPr>
          <w:sz w:val="24"/>
        </w:rPr>
        <w:t>.</w:t>
      </w:r>
    </w:p>
    <w:p>
      <w:pPr>
        <w:pStyle w:val="BodyText"/>
        <w:spacing w:before="10"/>
        <w:ind w:firstLine="0"/>
        <w:jc w:val="left"/>
        <w:rPr>
          <w:sz w:val="20"/>
        </w:rPr>
      </w:pPr>
    </w:p>
    <w:p>
      <w:pPr>
        <w:pStyle w:val="Heading4"/>
        <w:tabs>
          <w:tab w:pos="1351" w:val="left" w:leader="none"/>
        </w:tabs>
        <w:ind w:left="218" w:firstLine="0"/>
      </w:pPr>
      <w:bookmarkStart w:name="S5.1.6 Voltage harmonic or voltage notch" w:id="934"/>
      <w:bookmarkEnd w:id="934"/>
      <w:r>
        <w:rPr>
          <w:b w:val="0"/>
        </w:rPr>
      </w:r>
      <w:bookmarkStart w:name="_bookmark359" w:id="935"/>
      <w:bookmarkEnd w:id="935"/>
      <w:r>
        <w:rPr>
          <w:b w:val="0"/>
        </w:rPr>
      </w:r>
      <w:r>
        <w:rPr/>
        <w:t>S5.1.6</w:t>
        <w:tab/>
        <w:t>Voltage harmonic or voltage notching</w:t>
      </w:r>
      <w:r>
        <w:rPr>
          <w:spacing w:val="-3"/>
        </w:rPr>
        <w:t> </w:t>
      </w:r>
      <w:r>
        <w:rPr/>
        <w:t>distortion</w:t>
      </w:r>
    </w:p>
    <w:p>
      <w:pPr>
        <w:spacing w:before="120"/>
        <w:ind w:left="1352" w:right="414" w:firstLine="0"/>
        <w:jc w:val="both"/>
        <w:rPr>
          <w:sz w:val="24"/>
        </w:rPr>
      </w:pPr>
      <w:r>
        <w:rPr>
          <w:sz w:val="24"/>
        </w:rPr>
        <w:t>A </w:t>
      </w:r>
      <w:r>
        <w:rPr>
          <w:i/>
          <w:sz w:val="24"/>
        </w:rPr>
        <w:t>Network Service Provider </w:t>
      </w:r>
      <w:r>
        <w:rPr>
          <w:sz w:val="24"/>
        </w:rPr>
        <w:t>must use reasonable endeavours to design and operate its </w:t>
      </w:r>
      <w:r>
        <w:rPr>
          <w:i/>
          <w:sz w:val="24"/>
        </w:rPr>
        <w:t>network </w:t>
      </w:r>
      <w:r>
        <w:rPr>
          <w:sz w:val="24"/>
        </w:rPr>
        <w:t>and include conditions in </w:t>
      </w:r>
      <w:r>
        <w:rPr>
          <w:i/>
          <w:sz w:val="24"/>
        </w:rPr>
        <w:t>connection agreements </w:t>
      </w:r>
      <w:r>
        <w:rPr>
          <w:sz w:val="24"/>
        </w:rPr>
        <w:t>to ensure  that</w:t>
      </w:r>
      <w:r>
        <w:rPr>
          <w:spacing w:val="19"/>
          <w:sz w:val="24"/>
        </w:rPr>
        <w:t> </w:t>
      </w:r>
      <w:r>
        <w:rPr>
          <w:sz w:val="24"/>
        </w:rPr>
        <w:t>the</w:t>
      </w:r>
      <w:r>
        <w:rPr>
          <w:spacing w:val="19"/>
          <w:sz w:val="24"/>
        </w:rPr>
        <w:t> </w:t>
      </w:r>
      <w:r>
        <w:rPr>
          <w:sz w:val="24"/>
        </w:rPr>
        <w:t>effective</w:t>
      </w:r>
      <w:r>
        <w:rPr>
          <w:spacing w:val="20"/>
          <w:sz w:val="24"/>
        </w:rPr>
        <w:t> </w:t>
      </w:r>
      <w:r>
        <w:rPr>
          <w:sz w:val="24"/>
        </w:rPr>
        <w:t>harmonic</w:t>
      </w:r>
      <w:r>
        <w:rPr>
          <w:spacing w:val="19"/>
          <w:sz w:val="24"/>
        </w:rPr>
        <w:t> </w:t>
      </w:r>
      <w:r>
        <w:rPr>
          <w:i/>
          <w:sz w:val="24"/>
        </w:rPr>
        <w:t>voltage</w:t>
      </w:r>
      <w:r>
        <w:rPr>
          <w:i/>
          <w:spacing w:val="20"/>
          <w:sz w:val="24"/>
        </w:rPr>
        <w:t> </w:t>
      </w:r>
      <w:r>
        <w:rPr>
          <w:sz w:val="24"/>
        </w:rPr>
        <w:t>distortion</w:t>
      </w:r>
      <w:r>
        <w:rPr>
          <w:spacing w:val="19"/>
          <w:sz w:val="24"/>
        </w:rPr>
        <w:t> </w:t>
      </w:r>
      <w:r>
        <w:rPr>
          <w:sz w:val="24"/>
        </w:rPr>
        <w:t>at</w:t>
      </w:r>
      <w:r>
        <w:rPr>
          <w:spacing w:val="20"/>
          <w:sz w:val="24"/>
        </w:rPr>
        <w:t> </w:t>
      </w:r>
      <w:r>
        <w:rPr>
          <w:sz w:val="24"/>
        </w:rPr>
        <w:t>any</w:t>
      </w:r>
      <w:r>
        <w:rPr>
          <w:spacing w:val="19"/>
          <w:sz w:val="24"/>
        </w:rPr>
        <w:t> </w:t>
      </w:r>
      <w:r>
        <w:rPr>
          <w:sz w:val="24"/>
        </w:rPr>
        <w:t>point</w:t>
      </w:r>
      <w:r>
        <w:rPr>
          <w:spacing w:val="20"/>
          <w:sz w:val="24"/>
        </w:rPr>
        <w:t> </w:t>
      </w:r>
      <w:r>
        <w:rPr>
          <w:sz w:val="24"/>
        </w:rPr>
        <w:t>in</w:t>
      </w:r>
      <w:r>
        <w:rPr>
          <w:spacing w:val="19"/>
          <w:sz w:val="24"/>
        </w:rPr>
        <w:t> </w:t>
      </w:r>
      <w:r>
        <w:rPr>
          <w:sz w:val="24"/>
        </w:rPr>
        <w:t>the</w:t>
      </w:r>
      <w:r>
        <w:rPr>
          <w:spacing w:val="20"/>
          <w:sz w:val="24"/>
        </w:rPr>
        <w:t> </w:t>
      </w:r>
      <w:r>
        <w:rPr>
          <w:i/>
          <w:sz w:val="24"/>
        </w:rPr>
        <w:t>network</w:t>
      </w:r>
      <w:r>
        <w:rPr>
          <w:i/>
          <w:spacing w:val="19"/>
          <w:sz w:val="24"/>
        </w:rPr>
        <w:t> </w:t>
      </w:r>
      <w:r>
        <w:rPr>
          <w:sz w:val="24"/>
        </w:rPr>
        <w:t>will</w:t>
      </w:r>
      <w:r>
        <w:rPr>
          <w:spacing w:val="20"/>
          <w:sz w:val="24"/>
        </w:rPr>
        <w:t> </w:t>
      </w:r>
      <w:r>
        <w:rPr>
          <w:sz w:val="24"/>
        </w:rPr>
        <w:t>be</w:t>
      </w:r>
    </w:p>
    <w:p>
      <w:pPr>
        <w:spacing w:after="0"/>
        <w:jc w:val="both"/>
        <w:rPr>
          <w:sz w:val="24"/>
        </w:rPr>
        <w:sectPr>
          <w:pgSz w:w="11910" w:h="16840"/>
          <w:pgMar w:header="686" w:footer="637" w:top="1320" w:bottom="820" w:left="1200" w:right="1000"/>
        </w:sectPr>
      </w:pPr>
    </w:p>
    <w:p>
      <w:pPr>
        <w:pStyle w:val="BodyText"/>
        <w:spacing w:before="83"/>
        <w:ind w:left="1352" w:right="415" w:firstLine="0"/>
      </w:pPr>
      <w:r>
        <w:rPr/>
        <w:t>limited to less than the levels stipulated in accordance with the provisions of clause S5.1a.6 of the </w:t>
      </w:r>
      <w:r>
        <w:rPr>
          <w:i/>
        </w:rPr>
        <w:t>system standards </w:t>
      </w:r>
      <w:r>
        <w:rPr/>
        <w:t>and this clause</w:t>
      </w:r>
      <w:r>
        <w:rPr>
          <w:spacing w:val="-9"/>
        </w:rPr>
        <w:t> </w:t>
      </w:r>
      <w:r>
        <w:rPr/>
        <w:t>S5.1.6.</w:t>
      </w:r>
    </w:p>
    <w:p>
      <w:pPr>
        <w:spacing w:before="120"/>
        <w:ind w:left="1352" w:right="414" w:firstLine="0"/>
        <w:jc w:val="both"/>
        <w:rPr>
          <w:sz w:val="24"/>
        </w:rPr>
      </w:pPr>
      <w:r>
        <w:rPr>
          <w:sz w:val="24"/>
        </w:rPr>
        <w:t>In accordance with AS/NZS 61000.3.6:2001 and guidelines published by </w:t>
      </w:r>
      <w:r>
        <w:rPr>
          <w:i/>
          <w:sz w:val="24"/>
        </w:rPr>
        <w:t>Standards Australia </w:t>
      </w:r>
      <w:r>
        <w:rPr>
          <w:sz w:val="24"/>
        </w:rPr>
        <w:t>and applying the assumption that </w:t>
      </w:r>
      <w:r>
        <w:rPr>
          <w:i/>
          <w:sz w:val="24"/>
        </w:rPr>
        <w:t>Customers </w:t>
      </w:r>
      <w:r>
        <w:rPr>
          <w:sz w:val="24"/>
        </w:rPr>
        <w:t>will comply with their obligations under schedule 5.3 </w:t>
      </w:r>
      <w:r>
        <w:rPr>
          <w:i/>
          <w:sz w:val="24"/>
        </w:rPr>
        <w:t>Network Service Providers </w:t>
      </w:r>
      <w:r>
        <w:rPr>
          <w:sz w:val="24"/>
        </w:rPr>
        <w:t>must determine "Planning Levels" for </w:t>
      </w:r>
      <w:r>
        <w:rPr>
          <w:i/>
          <w:sz w:val="24"/>
        </w:rPr>
        <w:t>connection points </w:t>
      </w:r>
      <w:r>
        <w:rPr>
          <w:sz w:val="24"/>
        </w:rPr>
        <w:t>on their </w:t>
      </w:r>
      <w:r>
        <w:rPr>
          <w:i/>
          <w:sz w:val="24"/>
        </w:rPr>
        <w:t>network </w:t>
      </w:r>
      <w:r>
        <w:rPr>
          <w:sz w:val="24"/>
        </w:rPr>
        <w:t>in order to maintain harmonic </w:t>
      </w:r>
      <w:r>
        <w:rPr>
          <w:i/>
          <w:sz w:val="24"/>
        </w:rPr>
        <w:t>voltage </w:t>
      </w:r>
      <w:r>
        <w:rPr>
          <w:sz w:val="24"/>
        </w:rPr>
        <w:t>distortion for all supply points to customers supplied from their </w:t>
      </w:r>
      <w:r>
        <w:rPr>
          <w:i/>
          <w:sz w:val="24"/>
        </w:rPr>
        <w:t>network </w:t>
      </w:r>
      <w:r>
        <w:rPr>
          <w:sz w:val="24"/>
        </w:rPr>
        <w:t>below the "Compatibility Levels" defined in Table 1 of AS/NZS</w:t>
      </w:r>
      <w:r>
        <w:rPr>
          <w:spacing w:val="-2"/>
          <w:sz w:val="24"/>
        </w:rPr>
        <w:t> </w:t>
      </w:r>
      <w:r>
        <w:rPr>
          <w:sz w:val="24"/>
        </w:rPr>
        <w:t>61000.3.6:2001.</w:t>
      </w:r>
    </w:p>
    <w:p>
      <w:pPr>
        <w:spacing w:before="120"/>
        <w:ind w:left="1352" w:right="414" w:firstLine="0"/>
        <w:jc w:val="both"/>
        <w:rPr>
          <w:sz w:val="24"/>
        </w:rPr>
      </w:pPr>
      <w:r>
        <w:rPr>
          <w:sz w:val="24"/>
        </w:rPr>
        <w:t>The </w:t>
      </w:r>
      <w:r>
        <w:rPr>
          <w:i/>
          <w:sz w:val="24"/>
        </w:rPr>
        <w:t>Network Service Provider </w:t>
      </w:r>
      <w:r>
        <w:rPr>
          <w:sz w:val="24"/>
        </w:rPr>
        <w:t>must allocate emission limits to a </w:t>
      </w:r>
      <w:r>
        <w:rPr>
          <w:i/>
          <w:sz w:val="24"/>
        </w:rPr>
        <w:t>connection </w:t>
      </w:r>
      <w:r>
        <w:rPr>
          <w:sz w:val="24"/>
        </w:rPr>
        <w:t>enquiry or an </w:t>
      </w:r>
      <w:r>
        <w:rPr>
          <w:i/>
          <w:sz w:val="24"/>
        </w:rPr>
        <w:t>application to connect </w:t>
      </w:r>
      <w:r>
        <w:rPr>
          <w:sz w:val="24"/>
        </w:rPr>
        <w:t>and must evaluate the acceptability for </w:t>
      </w:r>
      <w:r>
        <w:rPr>
          <w:i/>
          <w:sz w:val="24"/>
        </w:rPr>
        <w:t>connection </w:t>
      </w:r>
      <w:r>
        <w:rPr>
          <w:sz w:val="24"/>
        </w:rPr>
        <w:t>of distorting sources as follows:</w:t>
      </w:r>
    </w:p>
    <w:p>
      <w:pPr>
        <w:pStyle w:val="ListParagraph"/>
        <w:numPr>
          <w:ilvl w:val="0"/>
          <w:numId w:val="270"/>
        </w:numPr>
        <w:tabs>
          <w:tab w:pos="1919" w:val="left" w:leader="none"/>
        </w:tabs>
        <w:spacing w:line="240" w:lineRule="auto" w:before="120" w:after="0"/>
        <w:ind w:left="1919" w:right="413" w:hanging="567"/>
        <w:jc w:val="both"/>
        <w:rPr>
          <w:sz w:val="24"/>
        </w:rPr>
      </w:pPr>
      <w:r>
        <w:rPr>
          <w:i/>
          <w:sz w:val="24"/>
        </w:rPr>
        <w:t>Automatic access standard</w:t>
      </w:r>
      <w:r>
        <w:rPr>
          <w:sz w:val="24"/>
        </w:rPr>
        <w:t>: the </w:t>
      </w:r>
      <w:r>
        <w:rPr>
          <w:i/>
          <w:sz w:val="24"/>
        </w:rPr>
        <w:t>Network Service Provider </w:t>
      </w:r>
      <w:r>
        <w:rPr>
          <w:sz w:val="24"/>
        </w:rPr>
        <w:t>must allocate emission limits no more onerous than the lesser of the acceptance levels determined in accordance with either of the stage 1 or the stage 2 evaluation procedures defined in AS/NZS</w:t>
      </w:r>
      <w:r>
        <w:rPr>
          <w:spacing w:val="-2"/>
          <w:sz w:val="24"/>
        </w:rPr>
        <w:t> </w:t>
      </w:r>
      <w:r>
        <w:rPr>
          <w:sz w:val="24"/>
        </w:rPr>
        <w:t>61000.3.6:2001.</w:t>
      </w:r>
    </w:p>
    <w:p>
      <w:pPr>
        <w:pStyle w:val="ListParagraph"/>
        <w:numPr>
          <w:ilvl w:val="0"/>
          <w:numId w:val="270"/>
        </w:numPr>
        <w:tabs>
          <w:tab w:pos="1919" w:val="left" w:leader="none"/>
        </w:tabs>
        <w:spacing w:line="240" w:lineRule="auto" w:before="120" w:after="0"/>
        <w:ind w:left="1919" w:right="415" w:hanging="567"/>
        <w:jc w:val="both"/>
        <w:rPr>
          <w:sz w:val="24"/>
        </w:rPr>
      </w:pPr>
      <w:r>
        <w:rPr>
          <w:i/>
          <w:sz w:val="24"/>
        </w:rPr>
        <w:t>Minimum access standard</w:t>
      </w:r>
      <w:r>
        <w:rPr>
          <w:sz w:val="24"/>
        </w:rPr>
        <w:t>: subject to clause S5.1.6(c), the determination by the </w:t>
      </w:r>
      <w:r>
        <w:rPr>
          <w:i/>
          <w:sz w:val="24"/>
        </w:rPr>
        <w:t>Network Service Provider </w:t>
      </w:r>
      <w:r>
        <w:rPr>
          <w:sz w:val="24"/>
        </w:rPr>
        <w:t>of acceptable emission limits must </w:t>
      </w:r>
      <w:r>
        <w:rPr>
          <w:spacing w:val="-6"/>
          <w:sz w:val="24"/>
        </w:rPr>
        <w:t>be </w:t>
      </w:r>
      <w:r>
        <w:rPr>
          <w:sz w:val="24"/>
        </w:rPr>
        <w:t>undertaken in consultation with the party seeking </w:t>
      </w:r>
      <w:r>
        <w:rPr>
          <w:i/>
          <w:sz w:val="24"/>
        </w:rPr>
        <w:t>connection </w:t>
      </w:r>
      <w:r>
        <w:rPr>
          <w:sz w:val="24"/>
        </w:rPr>
        <w:t>using  the Stage 3 evaluation procedure defined in</w:t>
      </w:r>
      <w:r>
        <w:rPr>
          <w:spacing w:val="-8"/>
          <w:sz w:val="24"/>
        </w:rPr>
        <w:t> </w:t>
      </w:r>
      <w:r>
        <w:rPr>
          <w:sz w:val="24"/>
        </w:rPr>
        <w:t>AS/NZS61000.3.6:2001.</w:t>
      </w:r>
    </w:p>
    <w:p>
      <w:pPr>
        <w:pStyle w:val="ListParagraph"/>
        <w:numPr>
          <w:ilvl w:val="0"/>
          <w:numId w:val="270"/>
        </w:numPr>
        <w:tabs>
          <w:tab w:pos="1919" w:val="left" w:leader="none"/>
        </w:tabs>
        <w:spacing w:line="240" w:lineRule="auto" w:before="120" w:after="0"/>
        <w:ind w:left="1919" w:right="415" w:hanging="567"/>
        <w:jc w:val="both"/>
        <w:rPr>
          <w:sz w:val="24"/>
        </w:rPr>
      </w:pPr>
      <w:r>
        <w:rPr>
          <w:sz w:val="24"/>
        </w:rPr>
        <w:t>In respect of each new </w:t>
      </w:r>
      <w:r>
        <w:rPr>
          <w:i/>
          <w:sz w:val="24"/>
        </w:rPr>
        <w:t>connection </w:t>
      </w:r>
      <w:r>
        <w:rPr>
          <w:sz w:val="24"/>
        </w:rPr>
        <w:t>at a level of performance below the </w:t>
      </w:r>
      <w:r>
        <w:rPr>
          <w:i/>
          <w:sz w:val="24"/>
        </w:rPr>
        <w:t>automatic access standard </w:t>
      </w:r>
      <w:r>
        <w:rPr>
          <w:sz w:val="24"/>
        </w:rPr>
        <w:t>the </w:t>
      </w:r>
      <w:r>
        <w:rPr>
          <w:i/>
          <w:sz w:val="24"/>
        </w:rPr>
        <w:t>Network Service Provider </w:t>
      </w:r>
      <w:r>
        <w:rPr>
          <w:sz w:val="24"/>
        </w:rPr>
        <w:t>must include provisions in the relevant </w:t>
      </w:r>
      <w:r>
        <w:rPr>
          <w:i/>
          <w:sz w:val="24"/>
        </w:rPr>
        <w:t>connection agreement </w:t>
      </w:r>
      <w:r>
        <w:rPr>
          <w:sz w:val="24"/>
        </w:rPr>
        <w:t>requiring the </w:t>
      </w:r>
      <w:r>
        <w:rPr>
          <w:i/>
          <w:sz w:val="24"/>
        </w:rPr>
        <w:t>Network User </w:t>
      </w:r>
      <w:r>
        <w:rPr>
          <w:sz w:val="24"/>
        </w:rPr>
        <w:t>if necessary to meet the </w:t>
      </w:r>
      <w:r>
        <w:rPr>
          <w:i/>
          <w:sz w:val="24"/>
        </w:rPr>
        <w:t>system standards </w:t>
      </w:r>
      <w:r>
        <w:rPr>
          <w:sz w:val="24"/>
        </w:rPr>
        <w:t>or allow connection of other </w:t>
      </w:r>
      <w:r>
        <w:rPr>
          <w:i/>
          <w:sz w:val="24"/>
        </w:rPr>
        <w:t>Network Users </w:t>
      </w:r>
      <w:r>
        <w:rPr>
          <w:sz w:val="24"/>
        </w:rPr>
        <w:t>to either upgrade to the </w:t>
      </w:r>
      <w:r>
        <w:rPr>
          <w:i/>
          <w:sz w:val="24"/>
        </w:rPr>
        <w:t>automatic access standard </w:t>
      </w:r>
      <w:r>
        <w:rPr>
          <w:sz w:val="24"/>
        </w:rPr>
        <w:t>or fund the reasonable cost of the works necessary to mitigate their effect of connecting at a standard below the </w:t>
      </w:r>
      <w:r>
        <w:rPr>
          <w:i/>
          <w:sz w:val="24"/>
        </w:rPr>
        <w:t>automatic access</w:t>
      </w:r>
      <w:r>
        <w:rPr>
          <w:i/>
          <w:spacing w:val="-5"/>
          <w:sz w:val="24"/>
        </w:rPr>
        <w:t> </w:t>
      </w:r>
      <w:r>
        <w:rPr>
          <w:i/>
          <w:sz w:val="24"/>
        </w:rPr>
        <w:t>standard</w:t>
      </w:r>
      <w:r>
        <w:rPr>
          <w:sz w:val="24"/>
        </w:rPr>
        <w:t>.</w:t>
      </w:r>
    </w:p>
    <w:p>
      <w:pPr>
        <w:pStyle w:val="ListParagraph"/>
        <w:numPr>
          <w:ilvl w:val="0"/>
          <w:numId w:val="270"/>
        </w:numPr>
        <w:tabs>
          <w:tab w:pos="1919" w:val="left" w:leader="none"/>
        </w:tabs>
        <w:spacing w:line="240" w:lineRule="auto" w:before="120" w:after="0"/>
        <w:ind w:left="1919" w:right="413" w:hanging="567"/>
        <w:jc w:val="both"/>
        <w:rPr>
          <w:sz w:val="24"/>
        </w:rPr>
      </w:pPr>
      <w:r>
        <w:rPr>
          <w:sz w:val="24"/>
        </w:rPr>
        <w:t>If for existing customer </w:t>
      </w:r>
      <w:r>
        <w:rPr>
          <w:i/>
          <w:sz w:val="24"/>
        </w:rPr>
        <w:t>connections </w:t>
      </w:r>
      <w:r>
        <w:rPr>
          <w:sz w:val="24"/>
        </w:rPr>
        <w:t>the level of harmonic </w:t>
      </w:r>
      <w:r>
        <w:rPr>
          <w:i/>
          <w:sz w:val="24"/>
        </w:rPr>
        <w:t>voltage </w:t>
      </w:r>
      <w:r>
        <w:rPr>
          <w:sz w:val="24"/>
        </w:rPr>
        <w:t>distortion is, or may be, exceeded as a result of a proposed new </w:t>
      </w:r>
      <w:r>
        <w:rPr>
          <w:i/>
          <w:sz w:val="24"/>
        </w:rPr>
        <w:t>connection</w:t>
      </w:r>
      <w:r>
        <w:rPr>
          <w:sz w:val="24"/>
        </w:rPr>
        <w:t>,</w:t>
      </w:r>
      <w:r>
        <w:rPr>
          <w:spacing w:val="17"/>
          <w:sz w:val="24"/>
        </w:rPr>
        <w:t> </w:t>
      </w:r>
      <w:r>
        <w:rPr>
          <w:sz w:val="24"/>
        </w:rPr>
        <w:t>the </w:t>
      </w:r>
      <w:r>
        <w:rPr>
          <w:i/>
          <w:sz w:val="24"/>
        </w:rPr>
        <w:t>Network Service Provider </w:t>
      </w:r>
      <w:r>
        <w:rPr>
          <w:sz w:val="24"/>
        </w:rPr>
        <w:t>must, if the cause of that excessive level cannot be remedied by enforcing the provisions of existing </w:t>
      </w:r>
      <w:r>
        <w:rPr>
          <w:i/>
          <w:sz w:val="24"/>
        </w:rPr>
        <w:t>connection agreements</w:t>
      </w:r>
      <w:r>
        <w:rPr>
          <w:sz w:val="24"/>
        </w:rPr>
        <w:t>, undertake all works necessary to meet the technical standards in this schedule or to permit a proposed new </w:t>
      </w:r>
      <w:r>
        <w:rPr>
          <w:i/>
          <w:sz w:val="24"/>
        </w:rPr>
        <w:t>connection </w:t>
      </w:r>
      <w:r>
        <w:rPr>
          <w:sz w:val="24"/>
        </w:rPr>
        <w:t>within the </w:t>
      </w:r>
      <w:r>
        <w:rPr>
          <w:i/>
          <w:sz w:val="24"/>
        </w:rPr>
        <w:t>automatic </w:t>
      </w:r>
      <w:r>
        <w:rPr>
          <w:i/>
          <w:sz w:val="24"/>
        </w:rPr>
        <w:t>access standard </w:t>
      </w:r>
      <w:r>
        <w:rPr>
          <w:sz w:val="24"/>
        </w:rPr>
        <w:t>defined in clause S5.3.8 and the requirements stated in this clause.</w:t>
      </w:r>
    </w:p>
    <w:p>
      <w:pPr>
        <w:spacing w:before="120"/>
        <w:ind w:left="1352" w:right="415" w:firstLine="0"/>
        <w:jc w:val="both"/>
        <w:rPr>
          <w:sz w:val="24"/>
        </w:rPr>
      </w:pPr>
      <w:r>
        <w:rPr>
          <w:sz w:val="24"/>
        </w:rPr>
        <w:t>For other than a new </w:t>
      </w:r>
      <w:r>
        <w:rPr>
          <w:i/>
          <w:sz w:val="24"/>
        </w:rPr>
        <w:t>connection </w:t>
      </w:r>
      <w:r>
        <w:rPr>
          <w:sz w:val="24"/>
        </w:rPr>
        <w:t>in accordance with the preceding paragraph, the responsibility of a </w:t>
      </w:r>
      <w:r>
        <w:rPr>
          <w:i/>
          <w:sz w:val="24"/>
        </w:rPr>
        <w:t>Network Service Provider </w:t>
      </w:r>
      <w:r>
        <w:rPr>
          <w:sz w:val="24"/>
        </w:rPr>
        <w:t>for harmonic </w:t>
      </w:r>
      <w:r>
        <w:rPr>
          <w:i/>
          <w:sz w:val="24"/>
        </w:rPr>
        <w:t>voltage </w:t>
      </w:r>
      <w:r>
        <w:rPr>
          <w:sz w:val="24"/>
        </w:rPr>
        <w:t>distortion outside the range defined above is limited to harmonic </w:t>
      </w:r>
      <w:r>
        <w:rPr>
          <w:i/>
          <w:sz w:val="24"/>
        </w:rPr>
        <w:t>voltage </w:t>
      </w:r>
      <w:r>
        <w:rPr>
          <w:sz w:val="24"/>
        </w:rPr>
        <w:t>distortion caused by </w:t>
      </w:r>
      <w:r>
        <w:rPr>
          <w:i/>
          <w:sz w:val="24"/>
        </w:rPr>
        <w:t>network plant </w:t>
      </w:r>
      <w:r>
        <w:rPr>
          <w:sz w:val="24"/>
        </w:rPr>
        <w:t>and the pursuit of all measures available under the </w:t>
      </w:r>
      <w:r>
        <w:rPr>
          <w:i/>
          <w:sz w:val="24"/>
        </w:rPr>
        <w:t>Rules </w:t>
      </w:r>
      <w:r>
        <w:rPr>
          <w:sz w:val="24"/>
        </w:rPr>
        <w:t>and its </w:t>
      </w:r>
      <w:r>
        <w:rPr>
          <w:i/>
          <w:sz w:val="24"/>
        </w:rPr>
        <w:t>connection</w:t>
      </w:r>
      <w:r>
        <w:rPr>
          <w:i/>
          <w:spacing w:val="-1"/>
          <w:sz w:val="24"/>
        </w:rPr>
        <w:t> </w:t>
      </w:r>
      <w:r>
        <w:rPr>
          <w:i/>
          <w:sz w:val="24"/>
        </w:rPr>
        <w:t>agreements</w:t>
      </w:r>
      <w:r>
        <w:rPr>
          <w:sz w:val="24"/>
        </w:rPr>
        <w:t>.</w:t>
      </w:r>
    </w:p>
    <w:p>
      <w:pPr>
        <w:pStyle w:val="BodyText"/>
        <w:spacing w:before="10"/>
        <w:ind w:firstLine="0"/>
        <w:jc w:val="left"/>
        <w:rPr>
          <w:sz w:val="20"/>
        </w:rPr>
      </w:pPr>
    </w:p>
    <w:p>
      <w:pPr>
        <w:pStyle w:val="Heading4"/>
        <w:tabs>
          <w:tab w:pos="1351" w:val="left" w:leader="none"/>
        </w:tabs>
        <w:ind w:left="218" w:firstLine="0"/>
      </w:pPr>
      <w:bookmarkStart w:name="S5.1.7 Voltage unbalance" w:id="936"/>
      <w:bookmarkEnd w:id="936"/>
      <w:r>
        <w:rPr>
          <w:b w:val="0"/>
        </w:rPr>
      </w:r>
      <w:bookmarkStart w:name="_bookmark360" w:id="937"/>
      <w:bookmarkEnd w:id="937"/>
      <w:r>
        <w:rPr>
          <w:b w:val="0"/>
        </w:rPr>
      </w:r>
      <w:r>
        <w:rPr/>
        <w:t>S5.1.7</w:t>
        <w:tab/>
        <w:t>Voltage</w:t>
      </w:r>
      <w:r>
        <w:rPr>
          <w:spacing w:val="-1"/>
        </w:rPr>
        <w:t> </w:t>
      </w:r>
      <w:r>
        <w:rPr/>
        <w:t>unbalance</w:t>
      </w:r>
    </w:p>
    <w:p>
      <w:pPr>
        <w:pStyle w:val="ListParagraph"/>
        <w:numPr>
          <w:ilvl w:val="0"/>
          <w:numId w:val="271"/>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must balance the effective impedance of the phases of its </w:t>
      </w:r>
      <w:r>
        <w:rPr>
          <w:i/>
          <w:sz w:val="24"/>
        </w:rPr>
        <w:t>network</w:t>
      </w:r>
      <w:r>
        <w:rPr>
          <w:sz w:val="24"/>
        </w:rPr>
        <w:t>, and a </w:t>
      </w:r>
      <w:r>
        <w:rPr>
          <w:i/>
          <w:sz w:val="24"/>
        </w:rPr>
        <w:t>Distribution Network Service </w:t>
      </w:r>
      <w:r>
        <w:rPr>
          <w:i/>
          <w:sz w:val="24"/>
        </w:rPr>
        <w:t>Provider </w:t>
      </w:r>
      <w:r>
        <w:rPr>
          <w:sz w:val="24"/>
        </w:rPr>
        <w:t>must balance the current drawn in each phase at each of its </w:t>
      </w:r>
      <w:r>
        <w:rPr>
          <w:i/>
          <w:sz w:val="24"/>
        </w:rPr>
        <w:t>connection points</w:t>
      </w:r>
      <w:r>
        <w:rPr>
          <w:sz w:val="24"/>
        </w:rPr>
        <w:t>, so as to achieve average levels of negative sequence </w:t>
      </w:r>
      <w:r>
        <w:rPr>
          <w:i/>
          <w:sz w:val="24"/>
        </w:rPr>
        <w:t>voltage</w:t>
      </w:r>
      <w:r>
        <w:rPr>
          <w:i/>
          <w:spacing w:val="17"/>
          <w:sz w:val="24"/>
        </w:rPr>
        <w:t> </w:t>
      </w:r>
      <w:r>
        <w:rPr>
          <w:sz w:val="24"/>
        </w:rPr>
        <w:t>at</w:t>
      </w:r>
      <w:r>
        <w:rPr>
          <w:spacing w:val="18"/>
          <w:sz w:val="24"/>
        </w:rPr>
        <w:t> </w:t>
      </w:r>
      <w:r>
        <w:rPr>
          <w:sz w:val="24"/>
        </w:rPr>
        <w:t>all</w:t>
      </w:r>
      <w:r>
        <w:rPr>
          <w:spacing w:val="19"/>
          <w:sz w:val="24"/>
        </w:rPr>
        <w:t> </w:t>
      </w:r>
      <w:r>
        <w:rPr>
          <w:i/>
          <w:sz w:val="24"/>
        </w:rPr>
        <w:t>connection</w:t>
      </w:r>
      <w:r>
        <w:rPr>
          <w:i/>
          <w:spacing w:val="17"/>
          <w:sz w:val="24"/>
        </w:rPr>
        <w:t> </w:t>
      </w:r>
      <w:r>
        <w:rPr>
          <w:i/>
          <w:sz w:val="24"/>
        </w:rPr>
        <w:t>points</w:t>
      </w:r>
      <w:r>
        <w:rPr>
          <w:i/>
          <w:spacing w:val="19"/>
          <w:sz w:val="24"/>
        </w:rPr>
        <w:t> </w:t>
      </w:r>
      <w:r>
        <w:rPr>
          <w:sz w:val="24"/>
        </w:rPr>
        <w:t>that</w:t>
      </w:r>
      <w:r>
        <w:rPr>
          <w:spacing w:val="17"/>
          <w:sz w:val="24"/>
        </w:rPr>
        <w:t> </w:t>
      </w:r>
      <w:r>
        <w:rPr>
          <w:sz w:val="24"/>
        </w:rPr>
        <w:t>are</w:t>
      </w:r>
      <w:r>
        <w:rPr>
          <w:spacing w:val="19"/>
          <w:sz w:val="24"/>
        </w:rPr>
        <w:t> </w:t>
      </w:r>
      <w:r>
        <w:rPr>
          <w:sz w:val="24"/>
        </w:rPr>
        <w:t>equal</w:t>
      </w:r>
      <w:r>
        <w:rPr>
          <w:spacing w:val="18"/>
          <w:sz w:val="24"/>
        </w:rPr>
        <w:t> </w:t>
      </w:r>
      <w:r>
        <w:rPr>
          <w:sz w:val="24"/>
        </w:rPr>
        <w:t>to</w:t>
      </w:r>
      <w:r>
        <w:rPr>
          <w:spacing w:val="18"/>
          <w:sz w:val="24"/>
        </w:rPr>
        <w:t> </w:t>
      </w:r>
      <w:r>
        <w:rPr>
          <w:sz w:val="24"/>
        </w:rPr>
        <w:t>or</w:t>
      </w:r>
      <w:r>
        <w:rPr>
          <w:spacing w:val="18"/>
          <w:sz w:val="24"/>
        </w:rPr>
        <w:t> </w:t>
      </w:r>
      <w:r>
        <w:rPr>
          <w:sz w:val="24"/>
        </w:rPr>
        <w:t>less</w:t>
      </w:r>
      <w:r>
        <w:rPr>
          <w:spacing w:val="18"/>
          <w:sz w:val="24"/>
        </w:rPr>
        <w:t> </w:t>
      </w:r>
      <w:r>
        <w:rPr>
          <w:sz w:val="24"/>
        </w:rPr>
        <w:t>than</w:t>
      </w:r>
      <w:r>
        <w:rPr>
          <w:spacing w:val="19"/>
          <w:sz w:val="24"/>
        </w:rPr>
        <w:t> </w:t>
      </w:r>
      <w:r>
        <w:rPr>
          <w:sz w:val="24"/>
        </w:rPr>
        <w:t>the</w:t>
      </w:r>
      <w:r>
        <w:rPr>
          <w:spacing w:val="17"/>
          <w:sz w:val="24"/>
        </w:rPr>
        <w:t> </w:t>
      </w:r>
      <w:r>
        <w:rPr>
          <w:sz w:val="24"/>
        </w:rPr>
        <w:t>values</w:t>
      </w:r>
      <w:r>
        <w:rPr>
          <w:spacing w:val="18"/>
          <w:sz w:val="24"/>
        </w:rPr>
        <w:t> </w:t>
      </w:r>
      <w:r>
        <w:rPr>
          <w:sz w:val="24"/>
        </w:rPr>
        <w:t>set</w:t>
      </w:r>
    </w:p>
    <w:p>
      <w:pPr>
        <w:spacing w:after="0" w:line="240" w:lineRule="auto"/>
        <w:jc w:val="both"/>
        <w:rPr>
          <w:sz w:val="24"/>
        </w:rPr>
        <w:sectPr>
          <w:pgSz w:w="11910" w:h="16840"/>
          <w:pgMar w:header="686" w:footer="637" w:top="1320" w:bottom="820" w:left="1200" w:right="1000"/>
        </w:sectPr>
      </w:pPr>
    </w:p>
    <w:p>
      <w:pPr>
        <w:pStyle w:val="BodyText"/>
        <w:spacing w:before="83"/>
        <w:ind w:left="1919" w:right="416" w:firstLine="0"/>
      </w:pPr>
      <w:r>
        <w:rPr/>
        <w:t>out in Table S5.1a.1 as determined in accordance with the accompanying provisions of clause S5.1a.7 of the </w:t>
      </w:r>
      <w:r>
        <w:rPr>
          <w:i/>
        </w:rPr>
        <w:t>system standards</w:t>
      </w:r>
      <w:r>
        <w:rPr/>
        <w:t>.</w:t>
      </w:r>
    </w:p>
    <w:p>
      <w:pPr>
        <w:pStyle w:val="ListParagraph"/>
        <w:numPr>
          <w:ilvl w:val="0"/>
          <w:numId w:val="271"/>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include conditions in </w:t>
      </w:r>
      <w:r>
        <w:rPr>
          <w:i/>
          <w:sz w:val="24"/>
        </w:rPr>
        <w:t>connection </w:t>
      </w:r>
      <w:r>
        <w:rPr>
          <w:i/>
          <w:sz w:val="24"/>
        </w:rPr>
        <w:t>agreements </w:t>
      </w:r>
      <w:r>
        <w:rPr>
          <w:sz w:val="24"/>
        </w:rPr>
        <w:t>to ensure that a </w:t>
      </w:r>
      <w:r>
        <w:rPr>
          <w:i/>
          <w:sz w:val="24"/>
        </w:rPr>
        <w:t>Connection Applicant </w:t>
      </w:r>
      <w:r>
        <w:rPr>
          <w:sz w:val="24"/>
        </w:rPr>
        <w:t>will balance the current drawn in each phase at each of its </w:t>
      </w:r>
      <w:r>
        <w:rPr>
          <w:i/>
          <w:sz w:val="24"/>
        </w:rPr>
        <w:t>connection points </w:t>
      </w:r>
      <w:r>
        <w:rPr>
          <w:sz w:val="24"/>
        </w:rPr>
        <w:t>so as to</w:t>
      </w:r>
      <w:r>
        <w:rPr>
          <w:spacing w:val="-4"/>
          <w:sz w:val="24"/>
        </w:rPr>
        <w:t> </w:t>
      </w:r>
      <w:r>
        <w:rPr>
          <w:sz w:val="24"/>
        </w:rPr>
        <w:t>achieve:</w:t>
      </w:r>
    </w:p>
    <w:p>
      <w:pPr>
        <w:pStyle w:val="ListParagraph"/>
        <w:numPr>
          <w:ilvl w:val="1"/>
          <w:numId w:val="271"/>
        </w:numPr>
        <w:tabs>
          <w:tab w:pos="2486" w:val="left" w:leader="none"/>
        </w:tabs>
        <w:spacing w:line="240" w:lineRule="auto" w:before="120" w:after="0"/>
        <w:ind w:left="2486" w:right="415" w:hanging="567"/>
        <w:jc w:val="both"/>
        <w:rPr>
          <w:sz w:val="24"/>
        </w:rPr>
      </w:pPr>
      <w:r>
        <w:rPr>
          <w:sz w:val="24"/>
        </w:rPr>
        <w:t>for those </w:t>
      </w:r>
      <w:r>
        <w:rPr>
          <w:i/>
          <w:sz w:val="24"/>
        </w:rPr>
        <w:t>Network Users </w:t>
      </w:r>
      <w:r>
        <w:rPr>
          <w:sz w:val="24"/>
        </w:rPr>
        <w:t>listed in clause S5.3(a): the levels permitted in accordance with clause S5.3.6 of schedule</w:t>
      </w:r>
      <w:r>
        <w:rPr>
          <w:spacing w:val="-4"/>
          <w:sz w:val="24"/>
        </w:rPr>
        <w:t> </w:t>
      </w:r>
      <w:r>
        <w:rPr>
          <w:sz w:val="24"/>
        </w:rPr>
        <w:t>5.3;</w:t>
      </w:r>
    </w:p>
    <w:p>
      <w:pPr>
        <w:pStyle w:val="ListParagraph"/>
        <w:numPr>
          <w:ilvl w:val="1"/>
          <w:numId w:val="271"/>
        </w:numPr>
        <w:tabs>
          <w:tab w:pos="2486" w:val="left" w:leader="none"/>
        </w:tabs>
        <w:spacing w:line="240" w:lineRule="auto" w:before="120" w:after="0"/>
        <w:ind w:left="2486" w:right="415" w:hanging="567"/>
        <w:jc w:val="both"/>
        <w:rPr>
          <w:sz w:val="24"/>
        </w:rPr>
      </w:pPr>
      <w:r>
        <w:rPr>
          <w:sz w:val="24"/>
        </w:rPr>
        <w:t>for </w:t>
      </w:r>
      <w:r>
        <w:rPr>
          <w:i/>
          <w:sz w:val="24"/>
        </w:rPr>
        <w:t>Market Network Service Providers</w:t>
      </w:r>
      <w:r>
        <w:rPr>
          <w:sz w:val="24"/>
        </w:rPr>
        <w:t>: the levels permitted in accordance with clause S5.3a.9 of schedule</w:t>
      </w:r>
      <w:r>
        <w:rPr>
          <w:spacing w:val="-4"/>
          <w:sz w:val="24"/>
        </w:rPr>
        <w:t> </w:t>
      </w:r>
      <w:r>
        <w:rPr>
          <w:sz w:val="24"/>
        </w:rPr>
        <w:t>5.3a;</w:t>
      </w:r>
    </w:p>
    <w:p>
      <w:pPr>
        <w:pStyle w:val="ListParagraph"/>
        <w:numPr>
          <w:ilvl w:val="1"/>
          <w:numId w:val="271"/>
        </w:numPr>
        <w:tabs>
          <w:tab w:pos="2486" w:val="left" w:leader="none"/>
        </w:tabs>
        <w:spacing w:line="240" w:lineRule="auto" w:before="120" w:after="0"/>
        <w:ind w:left="2486" w:right="414" w:hanging="567"/>
        <w:jc w:val="both"/>
        <w:rPr>
          <w:sz w:val="24"/>
        </w:rPr>
      </w:pPr>
      <w:r>
        <w:rPr>
          <w:sz w:val="24"/>
        </w:rPr>
        <w:t>otherwise: the average levels of negative sequence </w:t>
      </w:r>
      <w:r>
        <w:rPr>
          <w:i/>
          <w:sz w:val="24"/>
        </w:rPr>
        <w:t>voltage </w:t>
      </w:r>
      <w:r>
        <w:rPr>
          <w:sz w:val="24"/>
        </w:rPr>
        <w:t>at each of its </w:t>
      </w:r>
      <w:r>
        <w:rPr>
          <w:i/>
          <w:sz w:val="24"/>
        </w:rPr>
        <w:t>connection points </w:t>
      </w:r>
      <w:r>
        <w:rPr>
          <w:sz w:val="24"/>
        </w:rPr>
        <w:t>that are equal to or less than the values set out in Table S5.1a.1 and the accompanying provisions of clause S5.1a.7 of the </w:t>
      </w:r>
      <w:r>
        <w:rPr>
          <w:i/>
          <w:sz w:val="24"/>
        </w:rPr>
        <w:t>system</w:t>
      </w:r>
      <w:r>
        <w:rPr>
          <w:i/>
          <w:spacing w:val="-2"/>
          <w:sz w:val="24"/>
        </w:rPr>
        <w:t> </w:t>
      </w:r>
      <w:r>
        <w:rPr>
          <w:i/>
          <w:sz w:val="24"/>
        </w:rPr>
        <w:t>standards</w:t>
      </w:r>
      <w:r>
        <w:rPr>
          <w:sz w:val="24"/>
        </w:rPr>
        <w:t>.</w:t>
      </w:r>
    </w:p>
    <w:p>
      <w:pPr>
        <w:spacing w:before="120"/>
        <w:ind w:left="1352" w:right="415" w:firstLine="0"/>
        <w:jc w:val="both"/>
        <w:rPr>
          <w:sz w:val="24"/>
        </w:rPr>
      </w:pPr>
      <w:r>
        <w:rPr>
          <w:sz w:val="24"/>
        </w:rPr>
        <w:t>The responsibility of the </w:t>
      </w:r>
      <w:r>
        <w:rPr>
          <w:i/>
          <w:sz w:val="24"/>
        </w:rPr>
        <w:t>Network Service Provider </w:t>
      </w:r>
      <w:r>
        <w:rPr>
          <w:sz w:val="24"/>
        </w:rPr>
        <w:t>for </w:t>
      </w:r>
      <w:r>
        <w:rPr>
          <w:i/>
          <w:sz w:val="24"/>
        </w:rPr>
        <w:t>voltage </w:t>
      </w:r>
      <w:r>
        <w:rPr>
          <w:sz w:val="24"/>
        </w:rPr>
        <w:t>unbalance outside the ranges defined above is limited to </w:t>
      </w:r>
      <w:r>
        <w:rPr>
          <w:i/>
          <w:sz w:val="24"/>
        </w:rPr>
        <w:t>voltage </w:t>
      </w:r>
      <w:r>
        <w:rPr>
          <w:sz w:val="24"/>
        </w:rPr>
        <w:t>unbalance caused by the </w:t>
      </w:r>
      <w:r>
        <w:rPr>
          <w:i/>
          <w:sz w:val="24"/>
        </w:rPr>
        <w:t>network </w:t>
      </w:r>
      <w:r>
        <w:rPr>
          <w:sz w:val="24"/>
        </w:rPr>
        <w:t>and the pursuit of all measures available under the </w:t>
      </w:r>
      <w:r>
        <w:rPr>
          <w:i/>
          <w:sz w:val="24"/>
        </w:rPr>
        <w:t>Rules </w:t>
      </w:r>
      <w:r>
        <w:rPr>
          <w:sz w:val="24"/>
        </w:rPr>
        <w:t>and its </w:t>
      </w:r>
      <w:r>
        <w:rPr>
          <w:i/>
          <w:sz w:val="24"/>
        </w:rPr>
        <w:t>connection </w:t>
      </w:r>
      <w:r>
        <w:rPr>
          <w:i/>
          <w:sz w:val="24"/>
        </w:rPr>
        <w:t>agreements</w:t>
      </w:r>
      <w:r>
        <w:rPr>
          <w:sz w:val="24"/>
        </w:rPr>
        <w:t>.</w:t>
      </w:r>
    </w:p>
    <w:p>
      <w:pPr>
        <w:pStyle w:val="ListParagraph"/>
        <w:numPr>
          <w:ilvl w:val="0"/>
          <w:numId w:val="271"/>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include conditions in </w:t>
      </w:r>
      <w:r>
        <w:rPr>
          <w:i/>
          <w:sz w:val="24"/>
        </w:rPr>
        <w:t>connection </w:t>
      </w:r>
      <w:r>
        <w:rPr>
          <w:i/>
          <w:sz w:val="24"/>
        </w:rPr>
        <w:t>agreements </w:t>
      </w:r>
      <w:r>
        <w:rPr>
          <w:sz w:val="24"/>
        </w:rPr>
        <w:t>to ensure that each </w:t>
      </w:r>
      <w:r>
        <w:rPr>
          <w:i/>
          <w:sz w:val="24"/>
        </w:rPr>
        <w:t>Generator </w:t>
      </w:r>
      <w:r>
        <w:rPr>
          <w:sz w:val="24"/>
        </w:rPr>
        <w:t>will</w:t>
      </w:r>
      <w:r>
        <w:rPr>
          <w:spacing w:val="-2"/>
          <w:sz w:val="24"/>
        </w:rPr>
        <w:t> </w:t>
      </w:r>
      <w:r>
        <w:rPr>
          <w:sz w:val="24"/>
        </w:rPr>
        <w:t>balance:</w:t>
      </w:r>
    </w:p>
    <w:p>
      <w:pPr>
        <w:pStyle w:val="ListParagraph"/>
        <w:numPr>
          <w:ilvl w:val="1"/>
          <w:numId w:val="271"/>
        </w:numPr>
        <w:tabs>
          <w:tab w:pos="2486" w:val="left" w:leader="none"/>
        </w:tabs>
        <w:spacing w:line="240" w:lineRule="auto" w:before="120" w:after="0"/>
        <w:ind w:left="2485" w:right="0" w:hanging="567"/>
        <w:jc w:val="both"/>
        <w:rPr>
          <w:sz w:val="24"/>
        </w:rPr>
      </w:pPr>
      <w:r>
        <w:rPr>
          <w:sz w:val="24"/>
        </w:rPr>
        <w:t>the </w:t>
      </w:r>
      <w:r>
        <w:rPr>
          <w:i/>
          <w:sz w:val="24"/>
        </w:rPr>
        <w:t>voltage generated </w:t>
      </w:r>
      <w:r>
        <w:rPr>
          <w:sz w:val="24"/>
        </w:rPr>
        <w:t>in each phase of its </w:t>
      </w:r>
      <w:r>
        <w:rPr>
          <w:i/>
          <w:sz w:val="24"/>
        </w:rPr>
        <w:t>generating system</w:t>
      </w:r>
      <w:r>
        <w:rPr>
          <w:sz w:val="24"/>
        </w:rPr>
        <w:t>;</w:t>
      </w:r>
      <w:r>
        <w:rPr>
          <w:spacing w:val="-4"/>
          <w:sz w:val="24"/>
        </w:rPr>
        <w:t> </w:t>
      </w:r>
      <w:r>
        <w:rPr>
          <w:sz w:val="24"/>
        </w:rPr>
        <w:t>and</w:t>
      </w:r>
    </w:p>
    <w:p>
      <w:pPr>
        <w:pStyle w:val="ListParagraph"/>
        <w:numPr>
          <w:ilvl w:val="1"/>
          <w:numId w:val="271"/>
        </w:numPr>
        <w:tabs>
          <w:tab w:pos="2486" w:val="left" w:leader="none"/>
        </w:tabs>
        <w:spacing w:line="240" w:lineRule="auto" w:before="120" w:after="0"/>
        <w:ind w:left="2485" w:right="0" w:hanging="567"/>
        <w:jc w:val="both"/>
        <w:rPr>
          <w:sz w:val="24"/>
        </w:rPr>
      </w:pPr>
      <w:r>
        <w:rPr>
          <w:sz w:val="24"/>
        </w:rPr>
        <w:t>when not generating, the current drawn in each</w:t>
      </w:r>
      <w:r>
        <w:rPr>
          <w:spacing w:val="-1"/>
          <w:sz w:val="24"/>
        </w:rPr>
        <w:t> </w:t>
      </w:r>
      <w:r>
        <w:rPr>
          <w:sz w:val="24"/>
        </w:rPr>
        <w:t>phase,</w:t>
      </w:r>
    </w:p>
    <w:p>
      <w:pPr>
        <w:spacing w:before="120"/>
        <w:ind w:left="1919" w:right="415" w:firstLine="0"/>
        <w:jc w:val="both"/>
        <w:rPr>
          <w:sz w:val="24"/>
        </w:rPr>
      </w:pPr>
      <w:r>
        <w:rPr>
          <w:sz w:val="24"/>
        </w:rPr>
        <w:t>in order to achieve average levels of negative sequence </w:t>
      </w:r>
      <w:r>
        <w:rPr>
          <w:i/>
          <w:sz w:val="24"/>
        </w:rPr>
        <w:t>voltage </w:t>
      </w:r>
      <w:r>
        <w:rPr>
          <w:sz w:val="24"/>
        </w:rPr>
        <w:t>at each of the </w:t>
      </w:r>
      <w:r>
        <w:rPr>
          <w:i/>
          <w:sz w:val="24"/>
        </w:rPr>
        <w:t>generating system connection points </w:t>
      </w:r>
      <w:r>
        <w:rPr>
          <w:sz w:val="24"/>
        </w:rPr>
        <w:t>due to phase imbalances within the </w:t>
      </w:r>
      <w:r>
        <w:rPr>
          <w:i/>
          <w:sz w:val="24"/>
        </w:rPr>
        <w:t>generating plant </w:t>
      </w:r>
      <w:r>
        <w:rPr>
          <w:sz w:val="24"/>
        </w:rPr>
        <w:t>that are not more than the values determined by </w:t>
      </w:r>
      <w:r>
        <w:rPr>
          <w:spacing w:val="-5"/>
          <w:sz w:val="24"/>
        </w:rPr>
        <w:t>the </w:t>
      </w:r>
      <w:r>
        <w:rPr>
          <w:i/>
          <w:sz w:val="24"/>
        </w:rPr>
        <w:t>Network Service Provider </w:t>
      </w:r>
      <w:r>
        <w:rPr>
          <w:sz w:val="24"/>
        </w:rPr>
        <w:t>to achieve average levels of negative sequence </w:t>
      </w:r>
      <w:r>
        <w:rPr>
          <w:i/>
          <w:sz w:val="24"/>
        </w:rPr>
        <w:t>voltage </w:t>
      </w:r>
      <w:r>
        <w:rPr>
          <w:sz w:val="24"/>
        </w:rPr>
        <w:t>at the </w:t>
      </w:r>
      <w:r>
        <w:rPr>
          <w:i/>
          <w:sz w:val="24"/>
        </w:rPr>
        <w:t>connection points </w:t>
      </w:r>
      <w:r>
        <w:rPr>
          <w:sz w:val="24"/>
        </w:rPr>
        <w:t>of other </w:t>
      </w:r>
      <w:r>
        <w:rPr>
          <w:i/>
          <w:sz w:val="24"/>
        </w:rPr>
        <w:t>Network Users </w:t>
      </w:r>
      <w:r>
        <w:rPr>
          <w:sz w:val="24"/>
        </w:rPr>
        <w:t>in accordance with clause</w:t>
      </w:r>
      <w:r>
        <w:rPr>
          <w:spacing w:val="-2"/>
          <w:sz w:val="24"/>
        </w:rPr>
        <w:t> </w:t>
      </w:r>
      <w:r>
        <w:rPr>
          <w:sz w:val="24"/>
        </w:rPr>
        <w:t>S5.1a.7.</w:t>
      </w:r>
    </w:p>
    <w:p>
      <w:pPr>
        <w:pStyle w:val="ListParagraph"/>
        <w:numPr>
          <w:ilvl w:val="0"/>
          <w:numId w:val="271"/>
        </w:numPr>
        <w:tabs>
          <w:tab w:pos="1919" w:val="left" w:leader="none"/>
        </w:tabs>
        <w:spacing w:line="240" w:lineRule="auto" w:before="120" w:after="0"/>
        <w:ind w:left="1919" w:right="415" w:hanging="567"/>
        <w:jc w:val="both"/>
        <w:rPr>
          <w:sz w:val="24"/>
        </w:rPr>
      </w:pPr>
      <w:r>
        <w:rPr>
          <w:sz w:val="24"/>
        </w:rPr>
        <w:t>When including conditions under paragraph (c), the </w:t>
      </w:r>
      <w:r>
        <w:rPr>
          <w:i/>
          <w:sz w:val="24"/>
        </w:rPr>
        <w:t>Network Service </w:t>
      </w:r>
      <w:r>
        <w:rPr>
          <w:i/>
          <w:sz w:val="24"/>
        </w:rPr>
        <w:t>Provider </w:t>
      </w:r>
      <w:r>
        <w:rPr>
          <w:sz w:val="24"/>
        </w:rPr>
        <w:t>must have regard to the capabilities of the relevant </w:t>
      </w:r>
      <w:r>
        <w:rPr>
          <w:i/>
          <w:sz w:val="24"/>
        </w:rPr>
        <w:t>generating </w:t>
      </w:r>
      <w:r>
        <w:rPr>
          <w:i/>
          <w:sz w:val="24"/>
        </w:rPr>
        <w:t>plant</w:t>
      </w:r>
      <w:r>
        <w:rPr>
          <w:i/>
          <w:spacing w:val="-1"/>
          <w:sz w:val="24"/>
        </w:rPr>
        <w:t> </w:t>
      </w:r>
      <w:r>
        <w:rPr>
          <w:sz w:val="24"/>
        </w:rPr>
        <w:t>technology.</w:t>
      </w:r>
    </w:p>
    <w:p>
      <w:pPr>
        <w:pStyle w:val="BodyText"/>
        <w:spacing w:before="10"/>
        <w:ind w:firstLine="0"/>
        <w:jc w:val="left"/>
        <w:rPr>
          <w:sz w:val="20"/>
        </w:rPr>
      </w:pPr>
    </w:p>
    <w:p>
      <w:pPr>
        <w:pStyle w:val="Heading4"/>
        <w:tabs>
          <w:tab w:pos="1351" w:val="left" w:leader="none"/>
        </w:tabs>
        <w:ind w:left="218" w:firstLine="0"/>
      </w:pPr>
      <w:bookmarkStart w:name="S5.1.8 Stability" w:id="938"/>
      <w:bookmarkEnd w:id="938"/>
      <w:r>
        <w:rPr>
          <w:b w:val="0"/>
        </w:rPr>
      </w:r>
      <w:bookmarkStart w:name="_bookmark361" w:id="939"/>
      <w:bookmarkEnd w:id="939"/>
      <w:r>
        <w:rPr>
          <w:b w:val="0"/>
        </w:rPr>
      </w:r>
      <w:r>
        <w:rPr/>
        <w:t>S5.1.8</w:t>
        <w:tab/>
        <w:t>Stability</w:t>
      </w:r>
    </w:p>
    <w:p>
      <w:pPr>
        <w:spacing w:before="120"/>
        <w:ind w:left="1352" w:right="415" w:firstLine="0"/>
        <w:jc w:val="both"/>
        <w:rPr>
          <w:sz w:val="24"/>
        </w:rPr>
      </w:pPr>
      <w:r>
        <w:rPr>
          <w:sz w:val="24"/>
        </w:rPr>
        <w:t>In conforming with the requirements of the </w:t>
      </w:r>
      <w:r>
        <w:rPr>
          <w:i/>
          <w:sz w:val="24"/>
        </w:rPr>
        <w:t>system standards</w:t>
      </w:r>
      <w:r>
        <w:rPr>
          <w:sz w:val="24"/>
        </w:rPr>
        <w:t>, the following criteria must be used by </w:t>
      </w:r>
      <w:r>
        <w:rPr>
          <w:i/>
          <w:sz w:val="24"/>
        </w:rPr>
        <w:t>Network Service Providers </w:t>
      </w:r>
      <w:r>
        <w:rPr>
          <w:sz w:val="24"/>
        </w:rPr>
        <w:t>for both planning and operation:</w:t>
      </w:r>
    </w:p>
    <w:p>
      <w:pPr>
        <w:spacing w:before="120"/>
        <w:ind w:left="1352" w:right="416" w:firstLine="0"/>
        <w:jc w:val="both"/>
        <w:rPr>
          <w:sz w:val="24"/>
        </w:rPr>
      </w:pPr>
      <w:r>
        <w:rPr>
          <w:sz w:val="24"/>
        </w:rPr>
        <w:t>For stable operation of the </w:t>
      </w:r>
      <w:r>
        <w:rPr>
          <w:i/>
          <w:sz w:val="24"/>
        </w:rPr>
        <w:t>national grid</w:t>
      </w:r>
      <w:r>
        <w:rPr>
          <w:sz w:val="24"/>
        </w:rPr>
        <w:t>, both in a </w:t>
      </w:r>
      <w:r>
        <w:rPr>
          <w:i/>
          <w:sz w:val="24"/>
        </w:rPr>
        <w:t>satisfactory operating state </w:t>
      </w:r>
      <w:r>
        <w:rPr>
          <w:sz w:val="24"/>
        </w:rPr>
        <w:t>and following any </w:t>
      </w:r>
      <w:r>
        <w:rPr>
          <w:i/>
          <w:sz w:val="24"/>
        </w:rPr>
        <w:t>credible contingency events </w:t>
      </w:r>
      <w:r>
        <w:rPr>
          <w:sz w:val="24"/>
        </w:rPr>
        <w:t>or any </w:t>
      </w:r>
      <w:r>
        <w:rPr>
          <w:i/>
          <w:sz w:val="24"/>
        </w:rPr>
        <w:t>protected event </w:t>
      </w:r>
      <w:r>
        <w:rPr>
          <w:sz w:val="24"/>
        </w:rPr>
        <w:t>described in clause S5.1.2.1:</w:t>
      </w:r>
    </w:p>
    <w:p>
      <w:pPr>
        <w:pStyle w:val="ListParagraph"/>
        <w:numPr>
          <w:ilvl w:val="0"/>
          <w:numId w:val="27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power system </w:t>
      </w:r>
      <w:r>
        <w:rPr>
          <w:sz w:val="24"/>
        </w:rPr>
        <w:t>will remain in</w:t>
      </w:r>
      <w:r>
        <w:rPr>
          <w:spacing w:val="-4"/>
          <w:sz w:val="24"/>
        </w:rPr>
        <w:t> </w:t>
      </w:r>
      <w:r>
        <w:rPr>
          <w:sz w:val="24"/>
        </w:rPr>
        <w:t>synchronism;</w:t>
      </w:r>
    </w:p>
    <w:p>
      <w:pPr>
        <w:pStyle w:val="ListParagraph"/>
        <w:numPr>
          <w:ilvl w:val="0"/>
          <w:numId w:val="272"/>
        </w:numPr>
        <w:tabs>
          <w:tab w:pos="1918" w:val="left" w:leader="none"/>
          <w:tab w:pos="1919" w:val="left" w:leader="none"/>
        </w:tabs>
        <w:spacing w:line="240" w:lineRule="auto" w:before="120" w:after="0"/>
        <w:ind w:left="1918" w:right="0" w:hanging="567"/>
        <w:jc w:val="left"/>
        <w:rPr>
          <w:sz w:val="24"/>
        </w:rPr>
      </w:pPr>
      <w:r>
        <w:rPr>
          <w:sz w:val="24"/>
        </w:rPr>
        <w:t>damping of </w:t>
      </w:r>
      <w:r>
        <w:rPr>
          <w:i/>
          <w:sz w:val="24"/>
        </w:rPr>
        <w:t>power system </w:t>
      </w:r>
      <w:r>
        <w:rPr>
          <w:sz w:val="24"/>
        </w:rPr>
        <w:t>oscillations will be adequate;</w:t>
      </w:r>
      <w:r>
        <w:rPr>
          <w:spacing w:val="-4"/>
          <w:sz w:val="24"/>
        </w:rPr>
        <w:t> </w:t>
      </w:r>
      <w:r>
        <w:rPr>
          <w:sz w:val="24"/>
        </w:rPr>
        <w:t>and</w:t>
      </w:r>
    </w:p>
    <w:p>
      <w:pPr>
        <w:pStyle w:val="ListParagraph"/>
        <w:numPr>
          <w:ilvl w:val="0"/>
          <w:numId w:val="272"/>
        </w:numPr>
        <w:tabs>
          <w:tab w:pos="1918" w:val="left" w:leader="none"/>
          <w:tab w:pos="1919" w:val="left" w:leader="none"/>
        </w:tabs>
        <w:spacing w:line="240" w:lineRule="auto" w:before="120" w:after="0"/>
        <w:ind w:left="1918" w:right="0" w:hanging="567"/>
        <w:jc w:val="left"/>
        <w:rPr>
          <w:sz w:val="24"/>
        </w:rPr>
      </w:pPr>
      <w:r>
        <w:rPr>
          <w:i/>
          <w:sz w:val="24"/>
        </w:rPr>
        <w:t>voltage </w:t>
      </w:r>
      <w:r>
        <w:rPr>
          <w:sz w:val="24"/>
        </w:rPr>
        <w:t>stability criteria will be</w:t>
      </w:r>
      <w:r>
        <w:rPr>
          <w:spacing w:val="-2"/>
          <w:sz w:val="24"/>
        </w:rPr>
        <w:t> </w:t>
      </w:r>
      <w:r>
        <w:rPr>
          <w:sz w:val="24"/>
        </w:rPr>
        <w:t>satisfied.</w:t>
      </w:r>
    </w:p>
    <w:p>
      <w:pPr>
        <w:spacing w:before="120"/>
        <w:ind w:left="1352" w:right="0" w:firstLine="0"/>
        <w:jc w:val="left"/>
        <w:rPr>
          <w:sz w:val="24"/>
        </w:rPr>
      </w:pPr>
      <w:r>
        <w:rPr>
          <w:sz w:val="24"/>
        </w:rPr>
        <w:t>Damping of </w:t>
      </w:r>
      <w:r>
        <w:rPr>
          <w:i/>
          <w:sz w:val="24"/>
        </w:rPr>
        <w:t>power system </w:t>
      </w:r>
      <w:r>
        <w:rPr>
          <w:sz w:val="24"/>
        </w:rPr>
        <w:t>oscillations must be assessed for planning purposes according to the design criteria which states that </w:t>
      </w:r>
      <w:r>
        <w:rPr>
          <w:i/>
          <w:sz w:val="24"/>
        </w:rPr>
        <w:t>power system damping </w:t>
      </w:r>
      <w:r>
        <w:rPr>
          <w:sz w:val="24"/>
        </w:rPr>
        <w:t>is</w:t>
      </w:r>
    </w:p>
    <w:p>
      <w:pPr>
        <w:spacing w:after="0"/>
        <w:jc w:val="left"/>
        <w:rPr>
          <w:sz w:val="24"/>
        </w:rPr>
        <w:sectPr>
          <w:pgSz w:w="11910" w:h="16840"/>
          <w:pgMar w:header="686" w:footer="637" w:top="1320" w:bottom="820" w:left="1200" w:right="1000"/>
        </w:sectPr>
      </w:pPr>
    </w:p>
    <w:p>
      <w:pPr>
        <w:pStyle w:val="BodyText"/>
        <w:spacing w:before="83"/>
        <w:ind w:left="1352" w:right="413" w:firstLine="0"/>
      </w:pPr>
      <w:r>
        <w:rPr/>
        <w:t>considered adequate if after the most critical </w:t>
      </w:r>
      <w:r>
        <w:rPr>
          <w:i/>
        </w:rPr>
        <w:t>credible contingency event </w:t>
      </w:r>
      <w:r>
        <w:rPr/>
        <w:t>or any </w:t>
      </w:r>
      <w:r>
        <w:rPr>
          <w:i/>
        </w:rPr>
        <w:t>protected event</w:t>
      </w:r>
      <w:r>
        <w:rPr/>
        <w:t>, simulations calibrated against past performance indicate that the halving time of the least damped electromechanical mode of oscillation is not more than five</w:t>
      </w:r>
      <w:r>
        <w:rPr>
          <w:spacing w:val="-1"/>
        </w:rPr>
        <w:t> </w:t>
      </w:r>
      <w:r>
        <w:rPr/>
        <w:t>seconds.</w:t>
      </w:r>
    </w:p>
    <w:p>
      <w:pPr>
        <w:pStyle w:val="BodyText"/>
        <w:ind w:left="1352" w:right="414" w:firstLine="0"/>
      </w:pPr>
      <w:r>
        <w:rPr/>
        <w:t>To assess the damping of </w:t>
      </w:r>
      <w:r>
        <w:rPr>
          <w:i/>
        </w:rPr>
        <w:t>power system </w:t>
      </w:r>
      <w:r>
        <w:rPr/>
        <w:t>oscillations during operation, or when analysing results of tests such as those carried out under clause 5.7.7 of the </w:t>
      </w:r>
      <w:r>
        <w:rPr>
          <w:i/>
        </w:rPr>
        <w:t>Rules</w:t>
      </w:r>
      <w:r>
        <w:rPr/>
        <w:t>, the </w:t>
      </w:r>
      <w:r>
        <w:rPr>
          <w:i/>
        </w:rPr>
        <w:t>Network Service Provider </w:t>
      </w:r>
      <w:r>
        <w:rPr/>
        <w:t>must take into account statistical effects. Therefore, the </w:t>
      </w:r>
      <w:r>
        <w:rPr>
          <w:i/>
        </w:rPr>
        <w:t>power system damping </w:t>
      </w:r>
      <w:r>
        <w:rPr/>
        <w:t>operational performance criterion is that at a given operating point, real-time monitoring or available test results show that there is less than a 10 percent probability that the halving time of the least damped mode of oscillation will exceed ten seconds, and that the average halving time of the least damped mode of oscillation is not more than five seconds.</w:t>
      </w:r>
    </w:p>
    <w:p>
      <w:pPr>
        <w:spacing w:before="120"/>
        <w:ind w:left="1352" w:right="414" w:firstLine="0"/>
        <w:jc w:val="both"/>
        <w:rPr>
          <w:sz w:val="24"/>
        </w:rPr>
      </w:pPr>
      <w:r>
        <w:rPr>
          <w:sz w:val="24"/>
        </w:rPr>
        <w:t>The </w:t>
      </w:r>
      <w:r>
        <w:rPr>
          <w:i/>
          <w:sz w:val="24"/>
        </w:rPr>
        <w:t>voltage </w:t>
      </w:r>
      <w:r>
        <w:rPr>
          <w:sz w:val="24"/>
        </w:rPr>
        <w:t>control criterion is that stable </w:t>
      </w:r>
      <w:r>
        <w:rPr>
          <w:i/>
          <w:sz w:val="24"/>
        </w:rPr>
        <w:t>voltage </w:t>
      </w:r>
      <w:r>
        <w:rPr>
          <w:sz w:val="24"/>
        </w:rPr>
        <w:t>control must be maintained following the most severe </w:t>
      </w:r>
      <w:r>
        <w:rPr>
          <w:i/>
          <w:sz w:val="24"/>
        </w:rPr>
        <w:t>credible contingency event </w:t>
      </w:r>
      <w:r>
        <w:rPr>
          <w:sz w:val="24"/>
        </w:rPr>
        <w:t>or any </w:t>
      </w:r>
      <w:r>
        <w:rPr>
          <w:i/>
          <w:sz w:val="24"/>
        </w:rPr>
        <w:t>protected event</w:t>
      </w:r>
      <w:r>
        <w:rPr>
          <w:sz w:val="24"/>
        </w:rPr>
        <w:t>. This requires that an adequate </w:t>
      </w:r>
      <w:r>
        <w:rPr>
          <w:i/>
          <w:sz w:val="24"/>
        </w:rPr>
        <w:t>reactive power </w:t>
      </w:r>
      <w:r>
        <w:rPr>
          <w:sz w:val="24"/>
        </w:rPr>
        <w:t>margin must be maintained at every </w:t>
      </w:r>
      <w:r>
        <w:rPr>
          <w:i/>
          <w:sz w:val="24"/>
        </w:rPr>
        <w:t>connection point </w:t>
      </w:r>
      <w:r>
        <w:rPr>
          <w:sz w:val="24"/>
        </w:rPr>
        <w:t>in a </w:t>
      </w:r>
      <w:r>
        <w:rPr>
          <w:i/>
          <w:sz w:val="24"/>
        </w:rPr>
        <w:t>network </w:t>
      </w:r>
      <w:r>
        <w:rPr>
          <w:sz w:val="24"/>
        </w:rPr>
        <w:t>with respect to the </w:t>
      </w:r>
      <w:r>
        <w:rPr>
          <w:i/>
          <w:sz w:val="24"/>
        </w:rPr>
        <w:t>voltage </w:t>
      </w:r>
      <w:r>
        <w:rPr>
          <w:sz w:val="24"/>
        </w:rPr>
        <w:t>stability limit as determined from the </w:t>
      </w:r>
      <w:r>
        <w:rPr>
          <w:i/>
          <w:sz w:val="24"/>
        </w:rPr>
        <w:t>voltage</w:t>
      </w:r>
      <w:r>
        <w:rPr>
          <w:sz w:val="24"/>
        </w:rPr>
        <w:t>/reactive </w:t>
      </w:r>
      <w:r>
        <w:rPr>
          <w:i/>
          <w:sz w:val="24"/>
        </w:rPr>
        <w:t>load </w:t>
      </w:r>
      <w:r>
        <w:rPr>
          <w:sz w:val="24"/>
        </w:rPr>
        <w:t>characteristic at that </w:t>
      </w:r>
      <w:r>
        <w:rPr>
          <w:i/>
          <w:sz w:val="24"/>
        </w:rPr>
        <w:t>connection point</w:t>
      </w:r>
      <w:r>
        <w:rPr>
          <w:sz w:val="24"/>
        </w:rPr>
        <w:t>. Selection of the appropriate margin at each </w:t>
      </w:r>
      <w:r>
        <w:rPr>
          <w:i/>
          <w:sz w:val="24"/>
        </w:rPr>
        <w:t>connection point </w:t>
      </w:r>
      <w:r>
        <w:rPr>
          <w:sz w:val="24"/>
        </w:rPr>
        <w:t>is at the discretion of the relevant </w:t>
      </w:r>
      <w:r>
        <w:rPr>
          <w:i/>
          <w:sz w:val="24"/>
        </w:rPr>
        <w:t>Network Service Provider</w:t>
      </w:r>
      <w:r>
        <w:rPr>
          <w:sz w:val="24"/>
        </w:rPr>
        <w:t>, subject only to the requirement that the margin (expressed as a capacitive </w:t>
      </w:r>
      <w:r>
        <w:rPr>
          <w:i/>
          <w:sz w:val="24"/>
        </w:rPr>
        <w:t>reactive power </w:t>
      </w:r>
      <w:r>
        <w:rPr>
          <w:sz w:val="24"/>
        </w:rPr>
        <w:t>(in MVAr)) must not be less than one percent of the maximum fault level (in MVA) at the </w:t>
      </w:r>
      <w:r>
        <w:rPr>
          <w:i/>
          <w:sz w:val="24"/>
        </w:rPr>
        <w:t>connection</w:t>
      </w:r>
      <w:r>
        <w:rPr>
          <w:i/>
          <w:spacing w:val="-7"/>
          <w:sz w:val="24"/>
        </w:rPr>
        <w:t> </w:t>
      </w:r>
      <w:r>
        <w:rPr>
          <w:i/>
          <w:sz w:val="24"/>
        </w:rPr>
        <w:t>point</w:t>
      </w:r>
      <w:r>
        <w:rPr>
          <w:sz w:val="24"/>
        </w:rPr>
        <w:t>.</w:t>
      </w:r>
    </w:p>
    <w:p>
      <w:pPr>
        <w:spacing w:before="120"/>
        <w:ind w:left="1352" w:right="414" w:firstLine="0"/>
        <w:jc w:val="both"/>
        <w:rPr>
          <w:sz w:val="24"/>
        </w:rPr>
      </w:pPr>
      <w:r>
        <w:rPr>
          <w:sz w:val="24"/>
        </w:rPr>
        <w:t>In planning a </w:t>
      </w:r>
      <w:r>
        <w:rPr>
          <w:i/>
          <w:sz w:val="24"/>
        </w:rPr>
        <w:t>network </w:t>
      </w:r>
      <w:r>
        <w:rPr>
          <w:sz w:val="24"/>
        </w:rPr>
        <w:t>a </w:t>
      </w:r>
      <w:r>
        <w:rPr>
          <w:i/>
          <w:sz w:val="24"/>
        </w:rPr>
        <w:t>Network Service Provider </w:t>
      </w:r>
      <w:r>
        <w:rPr>
          <w:sz w:val="24"/>
        </w:rPr>
        <w:t>must consider </w:t>
      </w:r>
      <w:r>
        <w:rPr>
          <w:i/>
          <w:sz w:val="24"/>
        </w:rPr>
        <w:t>non-credible </w:t>
      </w:r>
      <w:r>
        <w:rPr>
          <w:i/>
          <w:sz w:val="24"/>
        </w:rPr>
        <w:t>contingency events </w:t>
      </w:r>
      <w:r>
        <w:rPr>
          <w:sz w:val="24"/>
        </w:rPr>
        <w:t>such as </w:t>
      </w:r>
      <w:r>
        <w:rPr>
          <w:i/>
          <w:sz w:val="24"/>
        </w:rPr>
        <w:t>busbar </w:t>
      </w:r>
      <w:r>
        <w:rPr>
          <w:sz w:val="24"/>
        </w:rPr>
        <w:t>faults which result in tripping of several circuits, uncleared faults, double circuit faults and multiple contingencies which could potentially endanger the stability of the </w:t>
      </w:r>
      <w:r>
        <w:rPr>
          <w:i/>
          <w:sz w:val="24"/>
        </w:rPr>
        <w:t>power system</w:t>
      </w:r>
      <w:r>
        <w:rPr>
          <w:sz w:val="24"/>
        </w:rPr>
        <w:t>. In those cases where the consequences to any </w:t>
      </w:r>
      <w:r>
        <w:rPr>
          <w:i/>
          <w:sz w:val="24"/>
        </w:rPr>
        <w:t>network </w:t>
      </w:r>
      <w:r>
        <w:rPr>
          <w:sz w:val="24"/>
        </w:rPr>
        <w:t>or to any </w:t>
      </w:r>
      <w:r>
        <w:rPr>
          <w:i/>
          <w:sz w:val="24"/>
        </w:rPr>
        <w:t>Registered Participan</w:t>
      </w:r>
      <w:r>
        <w:rPr>
          <w:sz w:val="24"/>
        </w:rPr>
        <w:t>t of such events are likely to be severe disruption a </w:t>
      </w:r>
      <w:r>
        <w:rPr>
          <w:i/>
          <w:sz w:val="24"/>
        </w:rPr>
        <w:t>Network Service Provider </w:t>
      </w:r>
      <w:r>
        <w:rPr>
          <w:sz w:val="24"/>
        </w:rPr>
        <w:t>and/or a </w:t>
      </w:r>
      <w:r>
        <w:rPr>
          <w:i/>
          <w:sz w:val="24"/>
        </w:rPr>
        <w:t>Registered </w:t>
      </w:r>
      <w:r>
        <w:rPr>
          <w:i/>
          <w:sz w:val="24"/>
        </w:rPr>
        <w:t>Participant </w:t>
      </w:r>
      <w:r>
        <w:rPr>
          <w:sz w:val="24"/>
        </w:rPr>
        <w:t>must in consultation with </w:t>
      </w:r>
      <w:r>
        <w:rPr>
          <w:i/>
          <w:sz w:val="24"/>
        </w:rPr>
        <w:t>AEMO</w:t>
      </w:r>
      <w:r>
        <w:rPr>
          <w:sz w:val="24"/>
        </w:rPr>
        <w:t>, install, maintain and upgrade emergency controls within the </w:t>
      </w:r>
      <w:r>
        <w:rPr>
          <w:i/>
          <w:sz w:val="24"/>
        </w:rPr>
        <w:t>Network Service Provider's </w:t>
      </w:r>
      <w:r>
        <w:rPr>
          <w:sz w:val="24"/>
        </w:rPr>
        <w:t>or </w:t>
      </w:r>
      <w:r>
        <w:rPr>
          <w:i/>
          <w:sz w:val="24"/>
        </w:rPr>
        <w:t>Registered </w:t>
      </w:r>
      <w:r>
        <w:rPr>
          <w:i/>
          <w:sz w:val="24"/>
        </w:rPr>
        <w:t>Participant's </w:t>
      </w:r>
      <w:r>
        <w:rPr>
          <w:sz w:val="24"/>
        </w:rPr>
        <w:t>system or in both, as necessary, to minimise disruption to any </w:t>
      </w:r>
      <w:r>
        <w:rPr>
          <w:i/>
          <w:sz w:val="24"/>
        </w:rPr>
        <w:t>transmission </w:t>
      </w:r>
      <w:r>
        <w:rPr>
          <w:sz w:val="24"/>
        </w:rPr>
        <w:t>or </w:t>
      </w:r>
      <w:r>
        <w:rPr>
          <w:i/>
          <w:sz w:val="24"/>
        </w:rPr>
        <w:t>distribution network </w:t>
      </w:r>
      <w:r>
        <w:rPr>
          <w:sz w:val="24"/>
        </w:rPr>
        <w:t>and to significantly reduce the probability of cascading failure.</w:t>
      </w:r>
    </w:p>
    <w:p>
      <w:pPr>
        <w:spacing w:before="120"/>
        <w:ind w:left="1352" w:right="415" w:firstLine="0"/>
        <w:jc w:val="both"/>
        <w:rPr>
          <w:sz w:val="24"/>
        </w:rPr>
      </w:pPr>
      <w:r>
        <w:rPr>
          <w:sz w:val="24"/>
        </w:rPr>
        <w:t>A </w:t>
      </w:r>
      <w:r>
        <w:rPr>
          <w:i/>
          <w:sz w:val="24"/>
        </w:rPr>
        <w:t>Registered Participant </w:t>
      </w:r>
      <w:r>
        <w:rPr>
          <w:sz w:val="24"/>
        </w:rPr>
        <w:t>must co-operate with a </w:t>
      </w:r>
      <w:r>
        <w:rPr>
          <w:i/>
          <w:sz w:val="24"/>
        </w:rPr>
        <w:t>Network Service Provider </w:t>
      </w:r>
      <w:r>
        <w:rPr>
          <w:sz w:val="24"/>
        </w:rPr>
        <w:t>to achieve stable operation of the </w:t>
      </w:r>
      <w:r>
        <w:rPr>
          <w:i/>
          <w:sz w:val="24"/>
        </w:rPr>
        <w:t>national grid </w:t>
      </w:r>
      <w:r>
        <w:rPr>
          <w:sz w:val="24"/>
        </w:rPr>
        <w:t>and must use all reasonable endeavours to negotiate with the </w:t>
      </w:r>
      <w:r>
        <w:rPr>
          <w:i/>
          <w:sz w:val="24"/>
        </w:rPr>
        <w:t>Network Service Provider </w:t>
      </w:r>
      <w:r>
        <w:rPr>
          <w:sz w:val="24"/>
        </w:rPr>
        <w:t>regarding the installation of emergency controls as described in the previous paragraph. The cost of installation, maintenance and operation of the emergency controls must be borne by the </w:t>
      </w:r>
      <w:r>
        <w:rPr>
          <w:i/>
          <w:sz w:val="24"/>
        </w:rPr>
        <w:t>Network Service Provider </w:t>
      </w:r>
      <w:r>
        <w:rPr>
          <w:sz w:val="24"/>
        </w:rPr>
        <w:t>who is entitled to include this cost when calculating the </w:t>
      </w:r>
      <w:r>
        <w:rPr>
          <w:i/>
          <w:sz w:val="24"/>
        </w:rPr>
        <w:t>Transmission Customer use of system</w:t>
      </w:r>
      <w:r>
        <w:rPr>
          <w:i/>
          <w:spacing w:val="-6"/>
          <w:sz w:val="24"/>
        </w:rPr>
        <w:t> </w:t>
      </w:r>
      <w:r>
        <w:rPr>
          <w:sz w:val="24"/>
        </w:rPr>
        <w:t>price.</w:t>
      </w:r>
    </w:p>
    <w:p>
      <w:pPr>
        <w:pStyle w:val="BodyText"/>
        <w:spacing w:before="10"/>
        <w:ind w:firstLine="0"/>
        <w:jc w:val="left"/>
        <w:rPr>
          <w:sz w:val="20"/>
        </w:rPr>
      </w:pPr>
    </w:p>
    <w:p>
      <w:pPr>
        <w:pStyle w:val="Heading4"/>
        <w:tabs>
          <w:tab w:pos="1351" w:val="left" w:leader="none"/>
        </w:tabs>
        <w:ind w:left="218" w:firstLine="0"/>
      </w:pPr>
      <w:bookmarkStart w:name="S5.1.9 Protection systems and fault clea" w:id="940"/>
      <w:bookmarkEnd w:id="940"/>
      <w:r>
        <w:rPr>
          <w:b w:val="0"/>
        </w:rPr>
      </w:r>
      <w:bookmarkStart w:name="_bookmark362" w:id="941"/>
      <w:bookmarkEnd w:id="941"/>
      <w:r>
        <w:rPr>
          <w:b w:val="0"/>
        </w:rPr>
      </w:r>
      <w:r>
        <w:rPr/>
        <w:t>S5.1.9</w:t>
        <w:tab/>
        <w:t>Protection systems and fault clearance</w:t>
      </w:r>
      <w:r>
        <w:rPr>
          <w:spacing w:val="-2"/>
        </w:rPr>
        <w:t> </w:t>
      </w:r>
      <w:r>
        <w:rPr/>
        <w:t>times</w:t>
      </w:r>
    </w:p>
    <w:p>
      <w:pPr>
        <w:spacing w:before="220"/>
        <w:ind w:left="1356" w:right="0" w:firstLine="0"/>
        <w:jc w:val="both"/>
        <w:rPr>
          <w:rFonts w:ascii="Arial"/>
          <w:b/>
          <w:sz w:val="22"/>
        </w:rPr>
      </w:pPr>
      <w:r>
        <w:rPr>
          <w:rFonts w:ascii="Arial"/>
          <w:b/>
          <w:sz w:val="22"/>
        </w:rPr>
        <w:t>Network Users</w:t>
      </w:r>
    </w:p>
    <w:p>
      <w:pPr>
        <w:pStyle w:val="ListParagraph"/>
        <w:numPr>
          <w:ilvl w:val="0"/>
          <w:numId w:val="273"/>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determine the </w:t>
      </w:r>
      <w:r>
        <w:rPr>
          <w:i/>
          <w:sz w:val="24"/>
        </w:rPr>
        <w:t>automatic access standard </w:t>
      </w:r>
      <w:r>
        <w:rPr>
          <w:sz w:val="24"/>
        </w:rPr>
        <w:t>and </w:t>
      </w:r>
      <w:r>
        <w:rPr>
          <w:i/>
          <w:sz w:val="24"/>
        </w:rPr>
        <w:t>minimum access standard </w:t>
      </w:r>
      <w:r>
        <w:rPr>
          <w:sz w:val="24"/>
        </w:rPr>
        <w:t>that applies to the protection zone of each </w:t>
      </w:r>
      <w:r>
        <w:rPr>
          <w:i/>
          <w:sz w:val="24"/>
        </w:rPr>
        <w:t>protection system </w:t>
      </w:r>
      <w:r>
        <w:rPr>
          <w:sz w:val="24"/>
        </w:rPr>
        <w:t>in relation to the </w:t>
      </w:r>
      <w:r>
        <w:rPr>
          <w:i/>
          <w:sz w:val="24"/>
        </w:rPr>
        <w:t>connection point </w:t>
      </w:r>
      <w:r>
        <w:rPr>
          <w:sz w:val="24"/>
        </w:rPr>
        <w:t>and the </w:t>
      </w:r>
      <w:r>
        <w:rPr>
          <w:i/>
          <w:sz w:val="24"/>
        </w:rPr>
        <w:t>plant </w:t>
      </w:r>
      <w:r>
        <w:rPr>
          <w:sz w:val="24"/>
        </w:rPr>
        <w:t>to be </w:t>
      </w:r>
      <w:r>
        <w:rPr>
          <w:i/>
          <w:sz w:val="24"/>
        </w:rPr>
        <w:t>connected</w:t>
      </w:r>
      <w:r>
        <w:rPr>
          <w:sz w:val="24"/>
        </w:rPr>
        <w:t>, as</w:t>
      </w:r>
      <w:r>
        <w:rPr>
          <w:spacing w:val="-1"/>
          <w:sz w:val="24"/>
        </w:rPr>
        <w:t> </w:t>
      </w:r>
      <w:r>
        <w:rPr>
          <w:sz w:val="24"/>
        </w:rPr>
        <w:t>follows:</w:t>
      </w:r>
    </w:p>
    <w:p>
      <w:pPr>
        <w:spacing w:after="0" w:line="240" w:lineRule="auto"/>
        <w:jc w:val="both"/>
        <w:rPr>
          <w:sz w:val="24"/>
        </w:rPr>
        <w:sectPr>
          <w:pgSz w:w="11910" w:h="16840"/>
          <w:pgMar w:header="686" w:footer="637" w:top="1320" w:bottom="820" w:left="1200" w:right="1000"/>
        </w:sectPr>
      </w:pPr>
    </w:p>
    <w:p>
      <w:pPr>
        <w:pStyle w:val="ListParagraph"/>
        <w:numPr>
          <w:ilvl w:val="1"/>
          <w:numId w:val="273"/>
        </w:numPr>
        <w:tabs>
          <w:tab w:pos="2486" w:val="left" w:leader="none"/>
        </w:tabs>
        <w:spacing w:line="240" w:lineRule="auto" w:before="83" w:after="0"/>
        <w:ind w:left="2486" w:right="414" w:hanging="567"/>
        <w:jc w:val="both"/>
        <w:rPr>
          <w:sz w:val="24"/>
        </w:rPr>
      </w:pPr>
      <w:r>
        <w:rPr>
          <w:sz w:val="24"/>
        </w:rPr>
        <w:t>The </w:t>
      </w:r>
      <w:r>
        <w:rPr>
          <w:i/>
          <w:sz w:val="24"/>
        </w:rPr>
        <w:t>automatic access standard </w:t>
      </w:r>
      <w:r>
        <w:rPr>
          <w:sz w:val="24"/>
        </w:rPr>
        <w:t>for </w:t>
      </w:r>
      <w:r>
        <w:rPr>
          <w:i/>
          <w:sz w:val="24"/>
        </w:rPr>
        <w:t>fault clearance time </w:t>
      </w:r>
      <w:r>
        <w:rPr>
          <w:sz w:val="24"/>
        </w:rPr>
        <w:t>for any </w:t>
      </w:r>
      <w:r>
        <w:rPr>
          <w:i/>
          <w:sz w:val="24"/>
        </w:rPr>
        <w:t>fault </w:t>
      </w:r>
      <w:r>
        <w:rPr>
          <w:i/>
          <w:sz w:val="24"/>
        </w:rPr>
        <w:t>type </w:t>
      </w:r>
      <w:r>
        <w:rPr>
          <w:sz w:val="24"/>
        </w:rPr>
        <w:t>is the lesser of the </w:t>
      </w:r>
      <w:r>
        <w:rPr>
          <w:i/>
          <w:sz w:val="24"/>
        </w:rPr>
        <w:t>system standard </w:t>
      </w:r>
      <w:r>
        <w:rPr>
          <w:sz w:val="24"/>
        </w:rPr>
        <w:t>set out in clause S5.1a.8 that applies to the highest </w:t>
      </w:r>
      <w:r>
        <w:rPr>
          <w:i/>
          <w:sz w:val="24"/>
        </w:rPr>
        <w:t>nominal voltage </w:t>
      </w:r>
      <w:r>
        <w:rPr>
          <w:sz w:val="24"/>
        </w:rPr>
        <w:t>within the </w:t>
      </w:r>
      <w:r>
        <w:rPr>
          <w:i/>
          <w:sz w:val="24"/>
        </w:rPr>
        <w:t>protection system's </w:t>
      </w:r>
      <w:r>
        <w:rPr>
          <w:sz w:val="24"/>
        </w:rPr>
        <w:t>protection zone and the corresponding </w:t>
      </w:r>
      <w:r>
        <w:rPr>
          <w:i/>
          <w:sz w:val="24"/>
        </w:rPr>
        <w:t>minimum access standard </w:t>
      </w:r>
      <w:r>
        <w:rPr>
          <w:sz w:val="24"/>
        </w:rPr>
        <w:t>determined under clauses S5.1.9(a)(2) or S5.1.9(a)(3) as</w:t>
      </w:r>
      <w:r>
        <w:rPr>
          <w:spacing w:val="-18"/>
          <w:sz w:val="24"/>
        </w:rPr>
        <w:t> </w:t>
      </w:r>
      <w:r>
        <w:rPr>
          <w:sz w:val="24"/>
        </w:rPr>
        <w:t>applicable.</w:t>
      </w:r>
    </w:p>
    <w:p>
      <w:pPr>
        <w:pStyle w:val="ListParagraph"/>
        <w:numPr>
          <w:ilvl w:val="1"/>
          <w:numId w:val="273"/>
        </w:numPr>
        <w:tabs>
          <w:tab w:pos="2486" w:val="left" w:leader="none"/>
        </w:tabs>
        <w:spacing w:line="240" w:lineRule="auto" w:before="120" w:after="0"/>
        <w:ind w:left="2485" w:right="0" w:hanging="567"/>
        <w:jc w:val="both"/>
        <w:rPr>
          <w:sz w:val="24"/>
        </w:rPr>
      </w:pPr>
      <w:r>
        <w:rPr>
          <w:sz w:val="24"/>
        </w:rPr>
        <w:t>The</w:t>
      </w:r>
      <w:r>
        <w:rPr>
          <w:spacing w:val="29"/>
          <w:sz w:val="24"/>
        </w:rPr>
        <w:t> </w:t>
      </w:r>
      <w:r>
        <w:rPr>
          <w:i/>
          <w:sz w:val="24"/>
        </w:rPr>
        <w:t>minimum</w:t>
      </w:r>
      <w:r>
        <w:rPr>
          <w:i/>
          <w:spacing w:val="30"/>
          <w:sz w:val="24"/>
        </w:rPr>
        <w:t> </w:t>
      </w:r>
      <w:r>
        <w:rPr>
          <w:i/>
          <w:sz w:val="24"/>
        </w:rPr>
        <w:t>access</w:t>
      </w:r>
      <w:r>
        <w:rPr>
          <w:i/>
          <w:spacing w:val="30"/>
          <w:sz w:val="24"/>
        </w:rPr>
        <w:t> </w:t>
      </w:r>
      <w:r>
        <w:rPr>
          <w:i/>
          <w:sz w:val="24"/>
        </w:rPr>
        <w:t>standard</w:t>
      </w:r>
      <w:r>
        <w:rPr>
          <w:i/>
          <w:spacing w:val="30"/>
          <w:sz w:val="24"/>
        </w:rPr>
        <w:t> </w:t>
      </w:r>
      <w:r>
        <w:rPr>
          <w:sz w:val="24"/>
        </w:rPr>
        <w:t>for</w:t>
      </w:r>
      <w:r>
        <w:rPr>
          <w:spacing w:val="30"/>
          <w:sz w:val="24"/>
        </w:rPr>
        <w:t> </w:t>
      </w:r>
      <w:r>
        <w:rPr>
          <w:i/>
          <w:sz w:val="24"/>
        </w:rPr>
        <w:t>fault</w:t>
      </w:r>
      <w:r>
        <w:rPr>
          <w:i/>
          <w:spacing w:val="30"/>
          <w:sz w:val="24"/>
        </w:rPr>
        <w:t> </w:t>
      </w:r>
      <w:r>
        <w:rPr>
          <w:i/>
          <w:sz w:val="24"/>
        </w:rPr>
        <w:t>clearance</w:t>
      </w:r>
      <w:r>
        <w:rPr>
          <w:i/>
          <w:spacing w:val="29"/>
          <w:sz w:val="24"/>
        </w:rPr>
        <w:t> </w:t>
      </w:r>
      <w:r>
        <w:rPr>
          <w:i/>
          <w:sz w:val="24"/>
        </w:rPr>
        <w:t>time</w:t>
      </w:r>
      <w:r>
        <w:rPr>
          <w:i/>
          <w:spacing w:val="30"/>
          <w:sz w:val="24"/>
        </w:rPr>
        <w:t> </w:t>
      </w:r>
      <w:r>
        <w:rPr>
          <w:sz w:val="24"/>
        </w:rPr>
        <w:t>of</w:t>
      </w:r>
      <w:r>
        <w:rPr>
          <w:spacing w:val="30"/>
          <w:sz w:val="24"/>
        </w:rPr>
        <w:t> </w:t>
      </w:r>
      <w:r>
        <w:rPr>
          <w:sz w:val="24"/>
        </w:rPr>
        <w:t>a</w:t>
      </w:r>
      <w:r>
        <w:rPr>
          <w:spacing w:val="30"/>
          <w:sz w:val="24"/>
        </w:rPr>
        <w:t> </w:t>
      </w:r>
      <w:r>
        <w:rPr>
          <w:sz w:val="24"/>
        </w:rPr>
        <w:t>primary</w:t>
      </w:r>
    </w:p>
    <w:p>
      <w:pPr>
        <w:spacing w:before="0"/>
        <w:ind w:left="2486" w:right="0" w:firstLine="0"/>
        <w:jc w:val="both"/>
        <w:rPr>
          <w:sz w:val="24"/>
        </w:rPr>
      </w:pPr>
      <w:r>
        <w:rPr>
          <w:i/>
          <w:sz w:val="24"/>
        </w:rPr>
        <w:t>protection system </w:t>
      </w:r>
      <w:r>
        <w:rPr>
          <w:sz w:val="24"/>
        </w:rPr>
        <w:t>is:</w:t>
      </w:r>
    </w:p>
    <w:p>
      <w:pPr>
        <w:pStyle w:val="ListParagraph"/>
        <w:numPr>
          <w:ilvl w:val="2"/>
          <w:numId w:val="273"/>
        </w:numPr>
        <w:tabs>
          <w:tab w:pos="3053" w:val="left" w:leader="none"/>
        </w:tabs>
        <w:spacing w:line="240" w:lineRule="auto" w:before="120" w:after="0"/>
        <w:ind w:left="3053" w:right="413" w:hanging="567"/>
        <w:jc w:val="both"/>
        <w:rPr>
          <w:sz w:val="24"/>
        </w:rPr>
      </w:pPr>
      <w:r>
        <w:rPr>
          <w:sz w:val="24"/>
        </w:rPr>
        <w:t>for a </w:t>
      </w:r>
      <w:r>
        <w:rPr>
          <w:i/>
          <w:sz w:val="24"/>
        </w:rPr>
        <w:t>fault type </w:t>
      </w:r>
      <w:r>
        <w:rPr>
          <w:sz w:val="24"/>
        </w:rPr>
        <w:t>that constitutes a </w:t>
      </w:r>
      <w:r>
        <w:rPr>
          <w:i/>
          <w:sz w:val="24"/>
        </w:rPr>
        <w:t>credible contingency event </w:t>
      </w:r>
      <w:r>
        <w:rPr>
          <w:sz w:val="24"/>
        </w:rPr>
        <w:t>in the relevant protection zone, the longest time such that a </w:t>
      </w:r>
      <w:r>
        <w:rPr>
          <w:i/>
          <w:sz w:val="24"/>
        </w:rPr>
        <w:t>short </w:t>
      </w:r>
      <w:r>
        <w:rPr>
          <w:i/>
          <w:sz w:val="24"/>
        </w:rPr>
        <w:t>circuit fault </w:t>
      </w:r>
      <w:r>
        <w:rPr>
          <w:sz w:val="24"/>
        </w:rPr>
        <w:t>of that </w:t>
      </w:r>
      <w:r>
        <w:rPr>
          <w:i/>
          <w:sz w:val="24"/>
        </w:rPr>
        <w:t>fault type </w:t>
      </w:r>
      <w:r>
        <w:rPr>
          <w:sz w:val="24"/>
        </w:rPr>
        <w:t>that is cleared in that time would not cause the </w:t>
      </w:r>
      <w:r>
        <w:rPr>
          <w:i/>
          <w:sz w:val="24"/>
        </w:rPr>
        <w:t>power system </w:t>
      </w:r>
      <w:r>
        <w:rPr>
          <w:sz w:val="24"/>
        </w:rPr>
        <w:t>to become unstable when operating at any level of </w:t>
      </w:r>
      <w:r>
        <w:rPr>
          <w:i/>
          <w:sz w:val="24"/>
        </w:rPr>
        <w:t>inter-regional </w:t>
      </w:r>
      <w:r>
        <w:rPr>
          <w:sz w:val="24"/>
        </w:rPr>
        <w:t>or </w:t>
      </w:r>
      <w:r>
        <w:rPr>
          <w:i/>
          <w:sz w:val="24"/>
        </w:rPr>
        <w:t>intra-regional power transfer </w:t>
      </w:r>
      <w:r>
        <w:rPr>
          <w:sz w:val="24"/>
        </w:rPr>
        <w:t>that would be permissible (taking into account all other limiting criteria) if the </w:t>
      </w:r>
      <w:r>
        <w:rPr>
          <w:i/>
          <w:sz w:val="24"/>
        </w:rPr>
        <w:t>fault clearance time </w:t>
      </w:r>
      <w:r>
        <w:rPr>
          <w:sz w:val="24"/>
        </w:rPr>
        <w:t>for such a fault at the </w:t>
      </w:r>
      <w:r>
        <w:rPr>
          <w:i/>
          <w:sz w:val="24"/>
        </w:rPr>
        <w:t>connection  point  </w:t>
      </w:r>
      <w:r>
        <w:rPr>
          <w:sz w:val="24"/>
        </w:rPr>
        <w:t>were  the  </w:t>
      </w:r>
      <w:r>
        <w:rPr>
          <w:i/>
          <w:sz w:val="24"/>
        </w:rPr>
        <w:t>system  standard  </w:t>
      </w:r>
      <w:r>
        <w:rPr>
          <w:sz w:val="24"/>
        </w:rPr>
        <w:t>set  out  in   clause S5.1a.8 that applies to the </w:t>
      </w:r>
      <w:r>
        <w:rPr>
          <w:i/>
          <w:sz w:val="24"/>
        </w:rPr>
        <w:t>nominal voltage </w:t>
      </w:r>
      <w:r>
        <w:rPr>
          <w:sz w:val="24"/>
        </w:rPr>
        <w:t>at the </w:t>
      </w:r>
      <w:r>
        <w:rPr>
          <w:i/>
          <w:sz w:val="24"/>
        </w:rPr>
        <w:t>connection point</w:t>
      </w:r>
      <w:r>
        <w:rPr>
          <w:sz w:val="24"/>
        </w:rPr>
        <w:t>;</w:t>
      </w:r>
      <w:r>
        <w:rPr>
          <w:spacing w:val="-1"/>
          <w:sz w:val="24"/>
        </w:rPr>
        <w:t> </w:t>
      </w:r>
      <w:r>
        <w:rPr>
          <w:sz w:val="24"/>
        </w:rPr>
        <w:t>and</w:t>
      </w:r>
    </w:p>
    <w:p>
      <w:pPr>
        <w:pStyle w:val="ListParagraph"/>
        <w:numPr>
          <w:ilvl w:val="2"/>
          <w:numId w:val="273"/>
        </w:numPr>
        <w:tabs>
          <w:tab w:pos="3054" w:val="left" w:leader="none"/>
        </w:tabs>
        <w:spacing w:line="240" w:lineRule="auto" w:before="120" w:after="0"/>
        <w:ind w:left="3053" w:right="414" w:hanging="567"/>
        <w:jc w:val="both"/>
        <w:rPr>
          <w:sz w:val="24"/>
        </w:rPr>
      </w:pPr>
      <w:r>
        <w:rPr>
          <w:sz w:val="24"/>
        </w:rPr>
        <w:t>for a </w:t>
      </w:r>
      <w:r>
        <w:rPr>
          <w:i/>
          <w:sz w:val="24"/>
        </w:rPr>
        <w:t>fault type </w:t>
      </w:r>
      <w:r>
        <w:rPr>
          <w:sz w:val="24"/>
        </w:rPr>
        <w:t>that does not constitute a </w:t>
      </w:r>
      <w:r>
        <w:rPr>
          <w:i/>
          <w:sz w:val="24"/>
        </w:rPr>
        <w:t>credible contingency </w:t>
      </w:r>
      <w:r>
        <w:rPr>
          <w:i/>
          <w:sz w:val="24"/>
        </w:rPr>
        <w:t>event </w:t>
      </w:r>
      <w:r>
        <w:rPr>
          <w:sz w:val="24"/>
        </w:rPr>
        <w:t>in the relevant protection</w:t>
      </w:r>
      <w:r>
        <w:rPr>
          <w:spacing w:val="-2"/>
          <w:sz w:val="24"/>
        </w:rPr>
        <w:t> </w:t>
      </w:r>
      <w:r>
        <w:rPr>
          <w:sz w:val="24"/>
        </w:rPr>
        <w:t>zone:</w:t>
      </w:r>
    </w:p>
    <w:p>
      <w:pPr>
        <w:pStyle w:val="ListParagraph"/>
        <w:numPr>
          <w:ilvl w:val="3"/>
          <w:numId w:val="273"/>
        </w:numPr>
        <w:tabs>
          <w:tab w:pos="3620" w:val="left" w:leader="none"/>
        </w:tabs>
        <w:spacing w:line="240" w:lineRule="auto" w:before="120" w:after="0"/>
        <w:ind w:left="3620" w:right="414" w:hanging="567"/>
        <w:jc w:val="both"/>
        <w:rPr>
          <w:sz w:val="24"/>
        </w:rPr>
      </w:pPr>
      <w:r>
        <w:rPr>
          <w:sz w:val="24"/>
        </w:rPr>
        <w:t>if a two phase to ground fault in that protection zone constitutes a </w:t>
      </w:r>
      <w:r>
        <w:rPr>
          <w:i/>
          <w:sz w:val="24"/>
        </w:rPr>
        <w:t>credible contingency event</w:t>
      </w:r>
      <w:r>
        <w:rPr>
          <w:sz w:val="24"/>
        </w:rPr>
        <w:t>, </w:t>
      </w:r>
      <w:r>
        <w:rPr>
          <w:spacing w:val="-4"/>
          <w:sz w:val="24"/>
        </w:rPr>
        <w:t>the</w:t>
      </w:r>
      <w:r>
        <w:rPr>
          <w:spacing w:val="52"/>
          <w:sz w:val="24"/>
        </w:rPr>
        <w:t> </w:t>
      </w:r>
      <w:r>
        <w:rPr>
          <w:sz w:val="24"/>
        </w:rPr>
        <w:t>corresponding </w:t>
      </w:r>
      <w:r>
        <w:rPr>
          <w:i/>
          <w:sz w:val="24"/>
        </w:rPr>
        <w:t>fault clearance time </w:t>
      </w:r>
      <w:r>
        <w:rPr>
          <w:sz w:val="24"/>
        </w:rPr>
        <w:t>for a two phase </w:t>
      </w:r>
      <w:r>
        <w:rPr>
          <w:spacing w:val="-6"/>
          <w:sz w:val="24"/>
        </w:rPr>
        <w:t>to </w:t>
      </w:r>
      <w:r>
        <w:rPr>
          <w:sz w:val="24"/>
        </w:rPr>
        <w:t>ground </w:t>
      </w:r>
      <w:r>
        <w:rPr>
          <w:i/>
          <w:sz w:val="24"/>
        </w:rPr>
        <w:t>short circuit fault </w:t>
      </w:r>
      <w:r>
        <w:rPr>
          <w:sz w:val="24"/>
        </w:rPr>
        <w:t>in that protection zone as determined under clause S5.1.9(a)(2)(i);</w:t>
      </w:r>
      <w:r>
        <w:rPr>
          <w:spacing w:val="-2"/>
          <w:sz w:val="24"/>
        </w:rPr>
        <w:t> </w:t>
      </w:r>
      <w:r>
        <w:rPr>
          <w:sz w:val="24"/>
        </w:rPr>
        <w:t>and</w:t>
      </w:r>
    </w:p>
    <w:p>
      <w:pPr>
        <w:pStyle w:val="ListParagraph"/>
        <w:numPr>
          <w:ilvl w:val="3"/>
          <w:numId w:val="273"/>
        </w:numPr>
        <w:tabs>
          <w:tab w:pos="3621" w:val="left" w:leader="none"/>
        </w:tabs>
        <w:spacing w:line="240" w:lineRule="auto" w:before="120" w:after="0"/>
        <w:ind w:left="3620" w:right="415" w:hanging="567"/>
        <w:jc w:val="both"/>
        <w:rPr>
          <w:sz w:val="24"/>
        </w:rPr>
      </w:pPr>
      <w:r>
        <w:rPr>
          <w:sz w:val="24"/>
        </w:rPr>
        <w:t>otherwise, the shortest of the </w:t>
      </w:r>
      <w:r>
        <w:rPr>
          <w:i/>
          <w:sz w:val="24"/>
        </w:rPr>
        <w:t>fault clearance times </w:t>
      </w:r>
      <w:r>
        <w:rPr>
          <w:sz w:val="24"/>
        </w:rPr>
        <w:t>for a two phase to ground </w:t>
      </w:r>
      <w:r>
        <w:rPr>
          <w:i/>
          <w:sz w:val="24"/>
        </w:rPr>
        <w:t>short circuit fault </w:t>
      </w:r>
      <w:r>
        <w:rPr>
          <w:sz w:val="24"/>
        </w:rPr>
        <w:t>in each adjoining protection zone (excluding </w:t>
      </w:r>
      <w:r>
        <w:rPr>
          <w:i/>
          <w:sz w:val="24"/>
        </w:rPr>
        <w:t>transformer </w:t>
      </w:r>
      <w:r>
        <w:rPr>
          <w:sz w:val="24"/>
        </w:rPr>
        <w:t>protection </w:t>
      </w:r>
      <w:r>
        <w:rPr>
          <w:spacing w:val="-3"/>
          <w:sz w:val="24"/>
        </w:rPr>
        <w:t>zones </w:t>
      </w:r>
      <w:r>
        <w:rPr>
          <w:sz w:val="24"/>
        </w:rPr>
        <w:t>and dead zones) as determined under </w:t>
      </w:r>
      <w:r>
        <w:rPr>
          <w:spacing w:val="-3"/>
          <w:sz w:val="24"/>
        </w:rPr>
        <w:t>clauses </w:t>
      </w:r>
      <w:r>
        <w:rPr>
          <w:sz w:val="24"/>
        </w:rPr>
        <w:t>S5.1.9(a)(2)(i) or</w:t>
      </w:r>
      <w:r>
        <w:rPr>
          <w:spacing w:val="-2"/>
          <w:sz w:val="24"/>
        </w:rPr>
        <w:t> </w:t>
      </w:r>
      <w:r>
        <w:rPr>
          <w:sz w:val="24"/>
        </w:rPr>
        <w:t>S5.1.9(e).</w:t>
      </w:r>
    </w:p>
    <w:p>
      <w:pPr>
        <w:pStyle w:val="ListParagraph"/>
        <w:numPr>
          <w:ilvl w:val="1"/>
          <w:numId w:val="273"/>
        </w:numPr>
        <w:tabs>
          <w:tab w:pos="2486" w:val="left" w:leader="none"/>
        </w:tabs>
        <w:spacing w:line="240" w:lineRule="auto" w:before="120" w:after="0"/>
        <w:ind w:left="2486" w:right="414" w:hanging="567"/>
        <w:jc w:val="both"/>
        <w:rPr>
          <w:sz w:val="24"/>
        </w:rPr>
      </w:pPr>
      <w:r>
        <w:rPr>
          <w:sz w:val="24"/>
        </w:rPr>
        <w:t>The </w:t>
      </w:r>
      <w:r>
        <w:rPr>
          <w:i/>
          <w:sz w:val="24"/>
        </w:rPr>
        <w:t>minimum access standard </w:t>
      </w:r>
      <w:r>
        <w:rPr>
          <w:sz w:val="24"/>
        </w:rPr>
        <w:t>for </w:t>
      </w:r>
      <w:r>
        <w:rPr>
          <w:i/>
          <w:sz w:val="24"/>
        </w:rPr>
        <w:t>fault clearance time </w:t>
      </w:r>
      <w:r>
        <w:rPr>
          <w:sz w:val="24"/>
        </w:rPr>
        <w:t>of a </w:t>
      </w:r>
      <w:r>
        <w:rPr>
          <w:i/>
          <w:sz w:val="24"/>
        </w:rPr>
        <w:t>breaker </w:t>
      </w:r>
      <w:r>
        <w:rPr>
          <w:i/>
          <w:sz w:val="24"/>
        </w:rPr>
        <w:t>fail protection system </w:t>
      </w:r>
      <w:r>
        <w:rPr>
          <w:sz w:val="24"/>
        </w:rPr>
        <w:t>or similar back-up </w:t>
      </w:r>
      <w:r>
        <w:rPr>
          <w:i/>
          <w:sz w:val="24"/>
        </w:rPr>
        <w:t>protection system </w:t>
      </w:r>
      <w:r>
        <w:rPr>
          <w:sz w:val="24"/>
        </w:rPr>
        <w:t>is the longest time such that a </w:t>
      </w:r>
      <w:r>
        <w:rPr>
          <w:i/>
          <w:sz w:val="24"/>
        </w:rPr>
        <w:t>short circuit fault </w:t>
      </w:r>
      <w:r>
        <w:rPr>
          <w:sz w:val="24"/>
        </w:rPr>
        <w:t>of any </w:t>
      </w:r>
      <w:r>
        <w:rPr>
          <w:i/>
          <w:sz w:val="24"/>
        </w:rPr>
        <w:t>fault type </w:t>
      </w:r>
      <w:r>
        <w:rPr>
          <w:sz w:val="24"/>
        </w:rPr>
        <w:t>that is cleared in that time would not damage any part of the </w:t>
      </w:r>
      <w:r>
        <w:rPr>
          <w:i/>
          <w:sz w:val="24"/>
        </w:rPr>
        <w:t>power system </w:t>
      </w:r>
      <w:r>
        <w:rPr>
          <w:sz w:val="24"/>
        </w:rPr>
        <w:t>(other than the faulted element) while the fault current is flowing or being</w:t>
      </w:r>
      <w:r>
        <w:rPr>
          <w:spacing w:val="-1"/>
          <w:sz w:val="24"/>
        </w:rPr>
        <w:t> </w:t>
      </w:r>
      <w:r>
        <w:rPr>
          <w:sz w:val="24"/>
        </w:rPr>
        <w:t>interrupted.</w:t>
      </w:r>
    </w:p>
    <w:p>
      <w:pPr>
        <w:pStyle w:val="ListParagraph"/>
        <w:numPr>
          <w:ilvl w:val="0"/>
          <w:numId w:val="273"/>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Transmission systems and distribution systems</w:t>
      </w:r>
    </w:p>
    <w:p>
      <w:pPr>
        <w:pStyle w:val="ListParagraph"/>
        <w:numPr>
          <w:ilvl w:val="0"/>
          <w:numId w:val="273"/>
        </w:numPr>
        <w:tabs>
          <w:tab w:pos="1919" w:val="left" w:leader="none"/>
        </w:tabs>
        <w:spacing w:line="240" w:lineRule="auto" w:before="120" w:after="0"/>
        <w:ind w:left="1919" w:right="415" w:hanging="567"/>
        <w:jc w:val="both"/>
        <w:rPr>
          <w:sz w:val="24"/>
        </w:rPr>
      </w:pPr>
      <w:r>
        <w:rPr>
          <w:sz w:val="24"/>
        </w:rPr>
        <w:t>Subject to clauses S5.1.9(k) and S5.1.9(l), a </w:t>
      </w:r>
      <w:r>
        <w:rPr>
          <w:i/>
          <w:sz w:val="24"/>
        </w:rPr>
        <w:t>Network Service Provider </w:t>
      </w:r>
      <w:r>
        <w:rPr>
          <w:sz w:val="24"/>
        </w:rPr>
        <w:t>must provide sufficient primary </w:t>
      </w:r>
      <w:r>
        <w:rPr>
          <w:i/>
          <w:sz w:val="24"/>
        </w:rPr>
        <w:t>protection systems </w:t>
      </w:r>
      <w:r>
        <w:rPr>
          <w:sz w:val="24"/>
        </w:rPr>
        <w:t>and back-up </w:t>
      </w:r>
      <w:r>
        <w:rPr>
          <w:i/>
          <w:sz w:val="24"/>
        </w:rPr>
        <w:t>protection </w:t>
      </w:r>
      <w:r>
        <w:rPr>
          <w:i/>
          <w:sz w:val="24"/>
        </w:rPr>
        <w:t>systems </w:t>
      </w:r>
      <w:r>
        <w:rPr>
          <w:sz w:val="24"/>
        </w:rPr>
        <w:t>(including </w:t>
      </w:r>
      <w:r>
        <w:rPr>
          <w:i/>
          <w:sz w:val="24"/>
        </w:rPr>
        <w:t>breaker fail protection systems</w:t>
      </w:r>
      <w:r>
        <w:rPr>
          <w:sz w:val="24"/>
        </w:rPr>
        <w:t>) to ensure that a fault of any </w:t>
      </w:r>
      <w:r>
        <w:rPr>
          <w:i/>
          <w:sz w:val="24"/>
        </w:rPr>
        <w:t>fault type </w:t>
      </w:r>
      <w:r>
        <w:rPr>
          <w:sz w:val="24"/>
        </w:rPr>
        <w:t>anywhere on its </w:t>
      </w:r>
      <w:r>
        <w:rPr>
          <w:i/>
          <w:sz w:val="24"/>
        </w:rPr>
        <w:t>transmission system </w:t>
      </w:r>
      <w:r>
        <w:rPr>
          <w:sz w:val="24"/>
        </w:rPr>
        <w:t>or </w:t>
      </w:r>
      <w:r>
        <w:rPr>
          <w:i/>
          <w:sz w:val="24"/>
        </w:rPr>
        <w:t>distribution system </w:t>
      </w:r>
      <w:r>
        <w:rPr>
          <w:sz w:val="24"/>
        </w:rPr>
        <w:t>is automatically  </w:t>
      </w:r>
      <w:r>
        <w:rPr>
          <w:i/>
          <w:sz w:val="24"/>
        </w:rPr>
        <w:t>disconnected  </w:t>
      </w:r>
      <w:r>
        <w:rPr>
          <w:sz w:val="24"/>
        </w:rPr>
        <w:t>in  accordance  with  clause S5.1.9(e)  or  clause</w:t>
      </w:r>
      <w:r>
        <w:rPr>
          <w:spacing w:val="-1"/>
          <w:sz w:val="24"/>
        </w:rPr>
        <w:t> </w:t>
      </w:r>
      <w:r>
        <w:rPr>
          <w:sz w:val="24"/>
        </w:rPr>
        <w:t>S5.1.9(f).</w:t>
      </w:r>
    </w:p>
    <w:p>
      <w:pPr>
        <w:pStyle w:val="ListParagraph"/>
        <w:numPr>
          <w:ilvl w:val="0"/>
          <w:numId w:val="273"/>
        </w:numPr>
        <w:tabs>
          <w:tab w:pos="1919" w:val="left" w:leader="none"/>
        </w:tabs>
        <w:spacing w:line="240" w:lineRule="auto" w:before="120" w:after="0"/>
        <w:ind w:left="1919" w:right="415" w:hanging="567"/>
        <w:jc w:val="both"/>
        <w:rPr>
          <w:sz w:val="24"/>
        </w:rPr>
      </w:pPr>
      <w:r>
        <w:rPr>
          <w:sz w:val="24"/>
        </w:rPr>
        <w:t>If the </w:t>
      </w:r>
      <w:r>
        <w:rPr>
          <w:i/>
          <w:sz w:val="24"/>
        </w:rPr>
        <w:t>fault clearance time </w:t>
      </w:r>
      <w:r>
        <w:rPr>
          <w:sz w:val="24"/>
        </w:rPr>
        <w:t>determined under clause S5.1.9(e) of a primary </w:t>
      </w:r>
      <w:r>
        <w:rPr>
          <w:i/>
          <w:sz w:val="24"/>
        </w:rPr>
        <w:t>protection system </w:t>
      </w:r>
      <w:r>
        <w:rPr>
          <w:sz w:val="24"/>
        </w:rPr>
        <w:t>for a two phase to ground </w:t>
      </w:r>
      <w:r>
        <w:rPr>
          <w:i/>
          <w:sz w:val="24"/>
        </w:rPr>
        <w:t>short circuit fault </w:t>
      </w:r>
      <w:r>
        <w:rPr>
          <w:sz w:val="24"/>
        </w:rPr>
        <w:t>is less than 10 seconds,</w:t>
      </w:r>
      <w:r>
        <w:rPr>
          <w:spacing w:val="20"/>
          <w:sz w:val="24"/>
        </w:rPr>
        <w:t> </w:t>
      </w:r>
      <w:r>
        <w:rPr>
          <w:sz w:val="24"/>
        </w:rPr>
        <w:t>the</w:t>
      </w:r>
      <w:r>
        <w:rPr>
          <w:spacing w:val="19"/>
          <w:sz w:val="24"/>
        </w:rPr>
        <w:t> </w:t>
      </w:r>
      <w:r>
        <w:rPr>
          <w:sz w:val="24"/>
        </w:rPr>
        <w:t>primary</w:t>
      </w:r>
      <w:r>
        <w:rPr>
          <w:spacing w:val="20"/>
          <w:sz w:val="24"/>
        </w:rPr>
        <w:t> </w:t>
      </w:r>
      <w:r>
        <w:rPr>
          <w:i/>
          <w:sz w:val="24"/>
        </w:rPr>
        <w:t>protection</w:t>
      </w:r>
      <w:r>
        <w:rPr>
          <w:i/>
          <w:spacing w:val="21"/>
          <w:sz w:val="24"/>
        </w:rPr>
        <w:t> </w:t>
      </w:r>
      <w:r>
        <w:rPr>
          <w:i/>
          <w:sz w:val="24"/>
        </w:rPr>
        <w:t>system</w:t>
      </w:r>
      <w:r>
        <w:rPr>
          <w:i/>
          <w:spacing w:val="20"/>
          <w:sz w:val="24"/>
        </w:rPr>
        <w:t> </w:t>
      </w:r>
      <w:r>
        <w:rPr>
          <w:sz w:val="24"/>
        </w:rPr>
        <w:t>must</w:t>
      </w:r>
      <w:r>
        <w:rPr>
          <w:spacing w:val="20"/>
          <w:sz w:val="24"/>
        </w:rPr>
        <w:t> </w:t>
      </w:r>
      <w:r>
        <w:rPr>
          <w:sz w:val="24"/>
        </w:rPr>
        <w:t>have</w:t>
      </w:r>
      <w:r>
        <w:rPr>
          <w:spacing w:val="19"/>
          <w:sz w:val="24"/>
        </w:rPr>
        <w:t> </w:t>
      </w:r>
      <w:r>
        <w:rPr>
          <w:sz w:val="24"/>
        </w:rPr>
        <w:t>sufficient</w:t>
      </w:r>
      <w:r>
        <w:rPr>
          <w:spacing w:val="21"/>
          <w:sz w:val="24"/>
        </w:rPr>
        <w:t> </w:t>
      </w:r>
      <w:r>
        <w:rPr>
          <w:sz w:val="24"/>
        </w:rPr>
        <w:t>redundancy</w:t>
      </w:r>
      <w:r>
        <w:rPr>
          <w:spacing w:val="20"/>
          <w:sz w:val="24"/>
        </w:rPr>
        <w:t> </w:t>
      </w:r>
      <w:r>
        <w:rPr>
          <w:sz w:val="24"/>
        </w:rPr>
        <w:t>to</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ensure that it can clear </w:t>
      </w:r>
      <w:r>
        <w:rPr>
          <w:i/>
          <w:sz w:val="24"/>
        </w:rPr>
        <w:t>short circuit faults </w:t>
      </w:r>
      <w:r>
        <w:rPr>
          <w:sz w:val="24"/>
        </w:rPr>
        <w:t>of any </w:t>
      </w:r>
      <w:r>
        <w:rPr>
          <w:i/>
          <w:sz w:val="24"/>
        </w:rPr>
        <w:t>fault type </w:t>
      </w:r>
      <w:r>
        <w:rPr>
          <w:sz w:val="24"/>
        </w:rPr>
        <w:t>within the relevant </w:t>
      </w:r>
      <w:r>
        <w:rPr>
          <w:i/>
          <w:sz w:val="24"/>
        </w:rPr>
        <w:t>fault clearance time </w:t>
      </w:r>
      <w:r>
        <w:rPr>
          <w:sz w:val="24"/>
        </w:rPr>
        <w:t>with any single protection element (including any communications facility upon which the </w:t>
      </w:r>
      <w:r>
        <w:rPr>
          <w:i/>
          <w:sz w:val="24"/>
        </w:rPr>
        <w:t>protection system </w:t>
      </w:r>
      <w:r>
        <w:rPr>
          <w:sz w:val="24"/>
        </w:rPr>
        <w:t>depends) out of service.</w:t>
      </w:r>
    </w:p>
    <w:p>
      <w:pPr>
        <w:pStyle w:val="ListParagraph"/>
        <w:numPr>
          <w:ilvl w:val="0"/>
          <w:numId w:val="273"/>
        </w:numPr>
        <w:tabs>
          <w:tab w:pos="1919" w:val="left" w:leader="none"/>
        </w:tabs>
        <w:spacing w:line="240" w:lineRule="auto" w:before="120" w:after="0"/>
        <w:ind w:left="1919" w:right="415" w:hanging="567"/>
        <w:jc w:val="both"/>
        <w:rPr>
          <w:sz w:val="24"/>
        </w:rPr>
      </w:pPr>
      <w:r>
        <w:rPr>
          <w:sz w:val="24"/>
        </w:rPr>
        <w:t>The </w:t>
      </w:r>
      <w:r>
        <w:rPr>
          <w:i/>
          <w:sz w:val="24"/>
        </w:rPr>
        <w:t>fault clearance time </w:t>
      </w:r>
      <w:r>
        <w:rPr>
          <w:sz w:val="24"/>
        </w:rPr>
        <w:t>of a primary </w:t>
      </w:r>
      <w:r>
        <w:rPr>
          <w:i/>
          <w:sz w:val="24"/>
        </w:rPr>
        <w:t>protection system </w:t>
      </w:r>
      <w:r>
        <w:rPr>
          <w:sz w:val="24"/>
        </w:rPr>
        <w:t>of a </w:t>
      </w:r>
      <w:r>
        <w:rPr>
          <w:i/>
          <w:sz w:val="24"/>
        </w:rPr>
        <w:t>Network </w:t>
      </w:r>
      <w:r>
        <w:rPr>
          <w:i/>
          <w:sz w:val="24"/>
        </w:rPr>
        <w:t>Service Provider </w:t>
      </w:r>
      <w:r>
        <w:rPr>
          <w:sz w:val="24"/>
        </w:rPr>
        <w:t>must not</w:t>
      </w:r>
      <w:r>
        <w:rPr>
          <w:spacing w:val="-2"/>
          <w:sz w:val="24"/>
        </w:rPr>
        <w:t> </w:t>
      </w:r>
      <w:r>
        <w:rPr>
          <w:sz w:val="24"/>
        </w:rPr>
        <w:t>exceed:</w:t>
      </w:r>
    </w:p>
    <w:p>
      <w:pPr>
        <w:pStyle w:val="ListParagraph"/>
        <w:numPr>
          <w:ilvl w:val="1"/>
          <w:numId w:val="273"/>
        </w:numPr>
        <w:tabs>
          <w:tab w:pos="2486" w:val="left" w:leader="none"/>
        </w:tabs>
        <w:spacing w:line="240" w:lineRule="auto" w:before="120" w:after="0"/>
        <w:ind w:left="2486" w:right="414" w:hanging="567"/>
        <w:jc w:val="both"/>
        <w:rPr>
          <w:sz w:val="24"/>
        </w:rPr>
      </w:pPr>
      <w:r>
        <w:rPr>
          <w:sz w:val="24"/>
        </w:rPr>
        <w:t>for any </w:t>
      </w:r>
      <w:r>
        <w:rPr>
          <w:i/>
          <w:sz w:val="24"/>
        </w:rPr>
        <w:t>fault type </w:t>
      </w:r>
      <w:r>
        <w:rPr>
          <w:sz w:val="24"/>
        </w:rPr>
        <w:t>that constitutes a </w:t>
      </w:r>
      <w:r>
        <w:rPr>
          <w:i/>
          <w:sz w:val="24"/>
        </w:rPr>
        <w:t>credible contingency event </w:t>
      </w:r>
      <w:r>
        <w:rPr>
          <w:sz w:val="24"/>
        </w:rPr>
        <w:t>in the relevant protection zone, the longest time such that a </w:t>
      </w:r>
      <w:r>
        <w:rPr>
          <w:i/>
          <w:sz w:val="24"/>
        </w:rPr>
        <w:t>short circuit fault </w:t>
      </w:r>
      <w:r>
        <w:rPr>
          <w:sz w:val="24"/>
        </w:rPr>
        <w:t>of that </w:t>
      </w:r>
      <w:r>
        <w:rPr>
          <w:i/>
          <w:sz w:val="24"/>
        </w:rPr>
        <w:t>fault type </w:t>
      </w:r>
      <w:r>
        <w:rPr>
          <w:sz w:val="24"/>
        </w:rPr>
        <w:t>that is cleared in that time would not cause the </w:t>
      </w:r>
      <w:r>
        <w:rPr>
          <w:i/>
          <w:sz w:val="24"/>
        </w:rPr>
        <w:t>power </w:t>
      </w:r>
      <w:r>
        <w:rPr>
          <w:i/>
          <w:sz w:val="24"/>
        </w:rPr>
        <w:t>system </w:t>
      </w:r>
      <w:r>
        <w:rPr>
          <w:sz w:val="24"/>
        </w:rPr>
        <w:t>to become unstable when operating at any level of </w:t>
      </w:r>
      <w:r>
        <w:rPr>
          <w:i/>
          <w:sz w:val="24"/>
        </w:rPr>
        <w:t>inter- </w:t>
      </w:r>
      <w:r>
        <w:rPr>
          <w:i/>
          <w:sz w:val="24"/>
        </w:rPr>
        <w:t>regional </w:t>
      </w:r>
      <w:r>
        <w:rPr>
          <w:sz w:val="24"/>
        </w:rPr>
        <w:t>or </w:t>
      </w:r>
      <w:r>
        <w:rPr>
          <w:i/>
          <w:sz w:val="24"/>
        </w:rPr>
        <w:t>intra-regional power transfer </w:t>
      </w:r>
      <w:r>
        <w:rPr>
          <w:sz w:val="24"/>
        </w:rPr>
        <w:t>that would be permissible (taking into account all other limiting criteria) if the </w:t>
      </w:r>
      <w:r>
        <w:rPr>
          <w:i/>
          <w:sz w:val="24"/>
        </w:rPr>
        <w:t>fault clearance </w:t>
      </w:r>
      <w:r>
        <w:rPr>
          <w:i/>
          <w:sz w:val="24"/>
        </w:rPr>
        <w:t>time </w:t>
      </w:r>
      <w:r>
        <w:rPr>
          <w:sz w:val="24"/>
        </w:rPr>
        <w:t>for such a fault in that protection zone were the relevant </w:t>
      </w:r>
      <w:r>
        <w:rPr>
          <w:i/>
          <w:sz w:val="24"/>
        </w:rPr>
        <w:t>system </w:t>
      </w:r>
      <w:r>
        <w:rPr>
          <w:i/>
          <w:sz w:val="24"/>
        </w:rPr>
        <w:t>standard </w:t>
      </w:r>
      <w:r>
        <w:rPr>
          <w:sz w:val="24"/>
        </w:rPr>
        <w:t>set out in clause S5.1a.8;</w:t>
      </w:r>
      <w:r>
        <w:rPr>
          <w:spacing w:val="-5"/>
          <w:sz w:val="24"/>
        </w:rPr>
        <w:t> </w:t>
      </w:r>
      <w:r>
        <w:rPr>
          <w:sz w:val="24"/>
        </w:rPr>
        <w:t>and</w:t>
      </w:r>
    </w:p>
    <w:p>
      <w:pPr>
        <w:pStyle w:val="ListParagraph"/>
        <w:numPr>
          <w:ilvl w:val="1"/>
          <w:numId w:val="273"/>
        </w:numPr>
        <w:tabs>
          <w:tab w:pos="2486" w:val="left" w:leader="none"/>
        </w:tabs>
        <w:spacing w:line="240" w:lineRule="auto" w:before="120" w:after="0"/>
        <w:ind w:left="2485" w:right="0" w:hanging="567"/>
        <w:jc w:val="both"/>
        <w:rPr>
          <w:i/>
          <w:sz w:val="24"/>
        </w:rPr>
      </w:pPr>
      <w:r>
        <w:rPr>
          <w:sz w:val="24"/>
        </w:rPr>
        <w:t>for</w:t>
      </w:r>
      <w:r>
        <w:rPr>
          <w:spacing w:val="5"/>
          <w:sz w:val="24"/>
        </w:rPr>
        <w:t> </w:t>
      </w:r>
      <w:r>
        <w:rPr>
          <w:sz w:val="24"/>
        </w:rPr>
        <w:t>any</w:t>
      </w:r>
      <w:r>
        <w:rPr>
          <w:spacing w:val="7"/>
          <w:sz w:val="24"/>
        </w:rPr>
        <w:t> </w:t>
      </w:r>
      <w:r>
        <w:rPr>
          <w:i/>
          <w:sz w:val="24"/>
        </w:rPr>
        <w:t>fault</w:t>
      </w:r>
      <w:r>
        <w:rPr>
          <w:i/>
          <w:spacing w:val="7"/>
          <w:sz w:val="24"/>
        </w:rPr>
        <w:t> </w:t>
      </w:r>
      <w:r>
        <w:rPr>
          <w:i/>
          <w:sz w:val="24"/>
        </w:rPr>
        <w:t>type</w:t>
      </w:r>
      <w:r>
        <w:rPr>
          <w:i/>
          <w:spacing w:val="7"/>
          <w:sz w:val="24"/>
        </w:rPr>
        <w:t> </w:t>
      </w:r>
      <w:r>
        <w:rPr>
          <w:sz w:val="24"/>
        </w:rPr>
        <w:t>that</w:t>
      </w:r>
      <w:r>
        <w:rPr>
          <w:spacing w:val="7"/>
          <w:sz w:val="24"/>
        </w:rPr>
        <w:t> </w:t>
      </w:r>
      <w:r>
        <w:rPr>
          <w:sz w:val="24"/>
        </w:rPr>
        <w:t>does</w:t>
      </w:r>
      <w:r>
        <w:rPr>
          <w:spacing w:val="6"/>
          <w:sz w:val="24"/>
        </w:rPr>
        <w:t> </w:t>
      </w:r>
      <w:r>
        <w:rPr>
          <w:sz w:val="24"/>
        </w:rPr>
        <w:t>not</w:t>
      </w:r>
      <w:r>
        <w:rPr>
          <w:spacing w:val="7"/>
          <w:sz w:val="24"/>
        </w:rPr>
        <w:t> </w:t>
      </w:r>
      <w:r>
        <w:rPr>
          <w:sz w:val="24"/>
        </w:rPr>
        <w:t>constitute</w:t>
      </w:r>
      <w:r>
        <w:rPr>
          <w:spacing w:val="7"/>
          <w:sz w:val="24"/>
        </w:rPr>
        <w:t> </w:t>
      </w:r>
      <w:r>
        <w:rPr>
          <w:sz w:val="24"/>
        </w:rPr>
        <w:t>a</w:t>
      </w:r>
      <w:r>
        <w:rPr>
          <w:spacing w:val="7"/>
          <w:sz w:val="24"/>
        </w:rPr>
        <w:t> </w:t>
      </w:r>
      <w:r>
        <w:rPr>
          <w:i/>
          <w:sz w:val="24"/>
        </w:rPr>
        <w:t>credible</w:t>
      </w:r>
      <w:r>
        <w:rPr>
          <w:i/>
          <w:spacing w:val="7"/>
          <w:sz w:val="24"/>
        </w:rPr>
        <w:t> </w:t>
      </w:r>
      <w:r>
        <w:rPr>
          <w:i/>
          <w:sz w:val="24"/>
        </w:rPr>
        <w:t>contingency</w:t>
      </w:r>
      <w:r>
        <w:rPr>
          <w:i/>
          <w:spacing w:val="7"/>
          <w:sz w:val="24"/>
        </w:rPr>
        <w:t> </w:t>
      </w:r>
      <w:r>
        <w:rPr>
          <w:i/>
          <w:sz w:val="24"/>
        </w:rPr>
        <w:t>event</w:t>
      </w:r>
    </w:p>
    <w:p>
      <w:pPr>
        <w:pStyle w:val="BodyText"/>
        <w:spacing w:before="0"/>
        <w:ind w:left="2486" w:firstLine="0"/>
      </w:pPr>
      <w:r>
        <w:rPr/>
        <w:t>in the relevant protection zone:</w:t>
      </w:r>
    </w:p>
    <w:p>
      <w:pPr>
        <w:pStyle w:val="ListParagraph"/>
        <w:numPr>
          <w:ilvl w:val="2"/>
          <w:numId w:val="273"/>
        </w:numPr>
        <w:tabs>
          <w:tab w:pos="3053" w:val="left" w:leader="none"/>
        </w:tabs>
        <w:spacing w:line="240" w:lineRule="auto" w:before="120" w:after="0"/>
        <w:ind w:left="3053" w:right="414" w:hanging="567"/>
        <w:jc w:val="both"/>
        <w:rPr>
          <w:sz w:val="24"/>
        </w:rPr>
      </w:pPr>
      <w:r>
        <w:rPr>
          <w:sz w:val="24"/>
        </w:rPr>
        <w:t>if a two phase to ground fault in that protection zone is a </w:t>
      </w:r>
      <w:r>
        <w:rPr>
          <w:i/>
          <w:sz w:val="24"/>
        </w:rPr>
        <w:t>credible contingency event</w:t>
      </w:r>
      <w:r>
        <w:rPr>
          <w:sz w:val="24"/>
        </w:rPr>
        <w:t>, the corresponding </w:t>
      </w:r>
      <w:r>
        <w:rPr>
          <w:i/>
          <w:sz w:val="24"/>
        </w:rPr>
        <w:t>fault clearance </w:t>
      </w:r>
      <w:r>
        <w:rPr>
          <w:i/>
          <w:sz w:val="24"/>
        </w:rPr>
        <w:t>time </w:t>
      </w:r>
      <w:r>
        <w:rPr>
          <w:sz w:val="24"/>
        </w:rPr>
        <w:t>for a two phase to ground fault in that protection zone as determined under clause S5.1.9(e)(1);</w:t>
      </w:r>
      <w:r>
        <w:rPr>
          <w:spacing w:val="-2"/>
          <w:sz w:val="24"/>
        </w:rPr>
        <w:t> </w:t>
      </w:r>
      <w:r>
        <w:rPr>
          <w:sz w:val="24"/>
        </w:rPr>
        <w:t>and</w:t>
      </w:r>
    </w:p>
    <w:p>
      <w:pPr>
        <w:pStyle w:val="ListParagraph"/>
        <w:numPr>
          <w:ilvl w:val="2"/>
          <w:numId w:val="273"/>
        </w:numPr>
        <w:tabs>
          <w:tab w:pos="3054" w:val="left" w:leader="none"/>
        </w:tabs>
        <w:spacing w:line="240" w:lineRule="auto" w:before="120" w:after="0"/>
        <w:ind w:left="3053" w:right="415" w:hanging="567"/>
        <w:jc w:val="both"/>
        <w:rPr>
          <w:sz w:val="24"/>
        </w:rPr>
      </w:pPr>
      <w:r>
        <w:rPr>
          <w:sz w:val="24"/>
        </w:rPr>
        <w:t>otherwise, the shortest of the </w:t>
      </w:r>
      <w:r>
        <w:rPr>
          <w:i/>
          <w:sz w:val="24"/>
        </w:rPr>
        <w:t>fault clearance times </w:t>
      </w:r>
      <w:r>
        <w:rPr>
          <w:sz w:val="24"/>
        </w:rPr>
        <w:t>for a two phase to ground fault in each adjoining protection </w:t>
      </w:r>
      <w:r>
        <w:rPr>
          <w:spacing w:val="-3"/>
          <w:sz w:val="24"/>
        </w:rPr>
        <w:t>zone </w:t>
      </w:r>
      <w:r>
        <w:rPr>
          <w:sz w:val="24"/>
        </w:rPr>
        <w:t>(excluding </w:t>
      </w:r>
      <w:r>
        <w:rPr>
          <w:i/>
          <w:sz w:val="24"/>
        </w:rPr>
        <w:t>transformer </w:t>
      </w:r>
      <w:r>
        <w:rPr>
          <w:sz w:val="24"/>
        </w:rPr>
        <w:t>protection zones and dead zones) as determined under clauses S5.1.9(a)(2)(i), S5.1.9(e)(1)or S5.1.9(e)(2)(i).</w:t>
      </w:r>
    </w:p>
    <w:p>
      <w:pPr>
        <w:pStyle w:val="ListParagraph"/>
        <w:numPr>
          <w:ilvl w:val="0"/>
          <w:numId w:val="273"/>
        </w:numPr>
        <w:tabs>
          <w:tab w:pos="1920" w:val="left" w:leader="none"/>
        </w:tabs>
        <w:spacing w:line="240" w:lineRule="auto" w:before="120" w:after="0"/>
        <w:ind w:left="1919" w:right="415" w:hanging="567"/>
        <w:jc w:val="both"/>
        <w:rPr>
          <w:sz w:val="24"/>
        </w:rPr>
      </w:pPr>
      <w:r>
        <w:rPr>
          <w:sz w:val="24"/>
        </w:rPr>
        <w:t>The </w:t>
      </w:r>
      <w:r>
        <w:rPr>
          <w:i/>
          <w:sz w:val="24"/>
        </w:rPr>
        <w:t>fault clearance time </w:t>
      </w:r>
      <w:r>
        <w:rPr>
          <w:sz w:val="24"/>
        </w:rPr>
        <w:t>of each </w:t>
      </w:r>
      <w:r>
        <w:rPr>
          <w:i/>
          <w:sz w:val="24"/>
        </w:rPr>
        <w:t>breaker fail protection system </w:t>
      </w:r>
      <w:r>
        <w:rPr>
          <w:sz w:val="24"/>
        </w:rPr>
        <w:t>or similar back-up </w:t>
      </w:r>
      <w:r>
        <w:rPr>
          <w:i/>
          <w:sz w:val="24"/>
        </w:rPr>
        <w:t>protection system </w:t>
      </w:r>
      <w:r>
        <w:rPr>
          <w:sz w:val="24"/>
        </w:rPr>
        <w:t>of a </w:t>
      </w:r>
      <w:r>
        <w:rPr>
          <w:i/>
          <w:sz w:val="24"/>
        </w:rPr>
        <w:t>Network Service Provider </w:t>
      </w:r>
      <w:r>
        <w:rPr>
          <w:sz w:val="24"/>
        </w:rPr>
        <w:t>must be such that a </w:t>
      </w:r>
      <w:r>
        <w:rPr>
          <w:i/>
          <w:sz w:val="24"/>
        </w:rPr>
        <w:t>short circuit fault </w:t>
      </w:r>
      <w:r>
        <w:rPr>
          <w:sz w:val="24"/>
        </w:rPr>
        <w:t>of any </w:t>
      </w:r>
      <w:r>
        <w:rPr>
          <w:i/>
          <w:sz w:val="24"/>
        </w:rPr>
        <w:t>fault type </w:t>
      </w:r>
      <w:r>
        <w:rPr>
          <w:sz w:val="24"/>
        </w:rPr>
        <w:t>that is cleared in that time would not damage any part of the </w:t>
      </w:r>
      <w:r>
        <w:rPr>
          <w:i/>
          <w:sz w:val="24"/>
        </w:rPr>
        <w:t>power system </w:t>
      </w:r>
      <w:r>
        <w:rPr>
          <w:sz w:val="24"/>
        </w:rPr>
        <w:t>(other than the faulted element) while the fault current is flowing or being</w:t>
      </w:r>
      <w:r>
        <w:rPr>
          <w:spacing w:val="-1"/>
          <w:sz w:val="24"/>
        </w:rPr>
        <w:t> </w:t>
      </w:r>
      <w:r>
        <w:rPr>
          <w:sz w:val="24"/>
        </w:rPr>
        <w:t>interrupted.</w:t>
      </w:r>
    </w:p>
    <w:p>
      <w:pPr>
        <w:pStyle w:val="ListParagraph"/>
        <w:numPr>
          <w:ilvl w:val="0"/>
          <w:numId w:val="273"/>
        </w:numPr>
        <w:tabs>
          <w:tab w:pos="1919" w:val="left" w:leader="none"/>
        </w:tabs>
        <w:spacing w:line="240" w:lineRule="auto" w:before="120" w:after="0"/>
        <w:ind w:left="1919" w:right="414" w:hanging="567"/>
        <w:jc w:val="both"/>
        <w:rPr>
          <w:sz w:val="24"/>
        </w:rPr>
      </w:pPr>
      <w:r>
        <w:rPr>
          <w:sz w:val="24"/>
        </w:rPr>
        <w:t>A </w:t>
      </w:r>
      <w:r>
        <w:rPr>
          <w:i/>
          <w:sz w:val="24"/>
        </w:rPr>
        <w:t>Network Service Provider </w:t>
      </w:r>
      <w:r>
        <w:rPr>
          <w:sz w:val="24"/>
        </w:rPr>
        <w:t>must demonstrate to </w:t>
      </w:r>
      <w:r>
        <w:rPr>
          <w:i/>
          <w:sz w:val="24"/>
        </w:rPr>
        <w:t>AEMO </w:t>
      </w:r>
      <w:r>
        <w:rPr>
          <w:sz w:val="24"/>
        </w:rPr>
        <w:t>that each </w:t>
      </w:r>
      <w:r>
        <w:rPr>
          <w:i/>
          <w:sz w:val="24"/>
        </w:rPr>
        <w:t>fault </w:t>
      </w:r>
      <w:r>
        <w:rPr>
          <w:i/>
          <w:sz w:val="24"/>
        </w:rPr>
        <w:t>clearance time </w:t>
      </w:r>
      <w:r>
        <w:rPr>
          <w:sz w:val="24"/>
        </w:rPr>
        <w:t>for a primary </w:t>
      </w:r>
      <w:r>
        <w:rPr>
          <w:i/>
          <w:sz w:val="24"/>
        </w:rPr>
        <w:t>protection system </w:t>
      </w:r>
      <w:r>
        <w:rPr>
          <w:sz w:val="24"/>
        </w:rPr>
        <w:t>that is longer than the relevant  </w:t>
      </w:r>
      <w:r>
        <w:rPr>
          <w:i/>
          <w:sz w:val="24"/>
        </w:rPr>
        <w:t>system  standard  </w:t>
      </w:r>
      <w:r>
        <w:rPr>
          <w:sz w:val="24"/>
        </w:rPr>
        <w:t>set  out  in  clause S5.1a.8  and  is  less  than     10 seconds would not cause or require an </w:t>
      </w:r>
      <w:r>
        <w:rPr>
          <w:i/>
          <w:sz w:val="24"/>
        </w:rPr>
        <w:t>inter-regional </w:t>
      </w:r>
      <w:r>
        <w:rPr>
          <w:sz w:val="24"/>
        </w:rPr>
        <w:t>or </w:t>
      </w:r>
      <w:r>
        <w:rPr>
          <w:i/>
          <w:sz w:val="24"/>
        </w:rPr>
        <w:t>intra-regional </w:t>
      </w:r>
      <w:r>
        <w:rPr>
          <w:i/>
          <w:sz w:val="24"/>
        </w:rPr>
        <w:t>power transfer capability </w:t>
      </w:r>
      <w:r>
        <w:rPr>
          <w:sz w:val="24"/>
        </w:rPr>
        <w:t>to be</w:t>
      </w:r>
      <w:r>
        <w:rPr>
          <w:spacing w:val="-1"/>
          <w:sz w:val="24"/>
        </w:rPr>
        <w:t> </w:t>
      </w:r>
      <w:r>
        <w:rPr>
          <w:sz w:val="24"/>
        </w:rPr>
        <w:t>reduced.</w:t>
      </w:r>
    </w:p>
    <w:p>
      <w:pPr>
        <w:pStyle w:val="ListParagraph"/>
        <w:numPr>
          <w:ilvl w:val="0"/>
          <w:numId w:val="273"/>
        </w:numPr>
        <w:tabs>
          <w:tab w:pos="1919" w:val="left" w:leader="none"/>
        </w:tabs>
        <w:spacing w:line="240" w:lineRule="auto" w:before="120" w:after="0"/>
        <w:ind w:left="1918" w:right="0" w:hanging="567"/>
        <w:jc w:val="both"/>
        <w:rPr>
          <w:i/>
          <w:sz w:val="24"/>
        </w:rPr>
      </w:pPr>
      <w:r>
        <w:rPr>
          <w:sz w:val="24"/>
        </w:rPr>
        <w:t>A</w:t>
      </w:r>
      <w:r>
        <w:rPr>
          <w:spacing w:val="45"/>
          <w:sz w:val="24"/>
        </w:rPr>
        <w:t> </w:t>
      </w:r>
      <w:r>
        <w:rPr>
          <w:i/>
          <w:sz w:val="24"/>
        </w:rPr>
        <w:t>Network</w:t>
      </w:r>
      <w:r>
        <w:rPr>
          <w:i/>
          <w:spacing w:val="46"/>
          <w:sz w:val="24"/>
        </w:rPr>
        <w:t> </w:t>
      </w:r>
      <w:r>
        <w:rPr>
          <w:i/>
          <w:sz w:val="24"/>
        </w:rPr>
        <w:t>Service</w:t>
      </w:r>
      <w:r>
        <w:rPr>
          <w:i/>
          <w:spacing w:val="46"/>
          <w:sz w:val="24"/>
        </w:rPr>
        <w:t> </w:t>
      </w:r>
      <w:r>
        <w:rPr>
          <w:i/>
          <w:sz w:val="24"/>
        </w:rPr>
        <w:t>Provider</w:t>
      </w:r>
      <w:r>
        <w:rPr>
          <w:i/>
          <w:spacing w:val="46"/>
          <w:sz w:val="24"/>
        </w:rPr>
        <w:t> </w:t>
      </w:r>
      <w:r>
        <w:rPr>
          <w:sz w:val="24"/>
        </w:rPr>
        <w:t>must</w:t>
      </w:r>
      <w:r>
        <w:rPr>
          <w:spacing w:val="46"/>
          <w:sz w:val="24"/>
        </w:rPr>
        <w:t> </w:t>
      </w:r>
      <w:r>
        <w:rPr>
          <w:sz w:val="24"/>
        </w:rPr>
        <w:t>include</w:t>
      </w:r>
      <w:r>
        <w:rPr>
          <w:spacing w:val="46"/>
          <w:sz w:val="24"/>
        </w:rPr>
        <w:t> </w:t>
      </w:r>
      <w:r>
        <w:rPr>
          <w:sz w:val="24"/>
        </w:rPr>
        <w:t>in</w:t>
      </w:r>
      <w:r>
        <w:rPr>
          <w:spacing w:val="45"/>
          <w:sz w:val="24"/>
        </w:rPr>
        <w:t> </w:t>
      </w:r>
      <w:r>
        <w:rPr>
          <w:sz w:val="24"/>
        </w:rPr>
        <w:t>each</w:t>
      </w:r>
      <w:r>
        <w:rPr>
          <w:spacing w:val="46"/>
          <w:sz w:val="24"/>
        </w:rPr>
        <w:t> </w:t>
      </w:r>
      <w:r>
        <w:rPr>
          <w:i/>
          <w:sz w:val="24"/>
        </w:rPr>
        <w:t>connection</w:t>
      </w:r>
      <w:r>
        <w:rPr>
          <w:i/>
          <w:spacing w:val="46"/>
          <w:sz w:val="24"/>
        </w:rPr>
        <w:t> </w:t>
      </w:r>
      <w:r>
        <w:rPr>
          <w:i/>
          <w:sz w:val="24"/>
        </w:rPr>
        <w:t>agreement</w:t>
      </w:r>
    </w:p>
    <w:p>
      <w:pPr>
        <w:spacing w:before="0"/>
        <w:ind w:left="1919" w:right="0" w:firstLine="0"/>
        <w:jc w:val="both"/>
        <w:rPr>
          <w:sz w:val="24"/>
        </w:rPr>
      </w:pPr>
      <w:r>
        <w:rPr>
          <w:sz w:val="24"/>
        </w:rPr>
        <w:t>entered into after the </w:t>
      </w:r>
      <w:r>
        <w:rPr>
          <w:i/>
          <w:sz w:val="24"/>
        </w:rPr>
        <w:t>performance standards commencement date</w:t>
      </w:r>
      <w:r>
        <w:rPr>
          <w:sz w:val="24"/>
        </w:rPr>
        <w:t>:</w:t>
      </w:r>
    </w:p>
    <w:p>
      <w:pPr>
        <w:pStyle w:val="ListParagraph"/>
        <w:numPr>
          <w:ilvl w:val="1"/>
          <w:numId w:val="273"/>
        </w:numPr>
        <w:tabs>
          <w:tab w:pos="2486" w:val="left" w:leader="none"/>
        </w:tabs>
        <w:spacing w:line="240" w:lineRule="auto" w:before="120" w:after="0"/>
        <w:ind w:left="2486" w:right="414" w:hanging="567"/>
        <w:jc w:val="both"/>
        <w:rPr>
          <w:sz w:val="24"/>
        </w:rPr>
      </w:pPr>
      <w:r>
        <w:rPr>
          <w:sz w:val="24"/>
        </w:rPr>
        <w:t>the </w:t>
      </w:r>
      <w:r>
        <w:rPr>
          <w:i/>
          <w:sz w:val="24"/>
        </w:rPr>
        <w:t>fault clearance times </w:t>
      </w:r>
      <w:r>
        <w:rPr>
          <w:sz w:val="24"/>
        </w:rPr>
        <w:t>for each </w:t>
      </w:r>
      <w:r>
        <w:rPr>
          <w:i/>
          <w:sz w:val="24"/>
        </w:rPr>
        <w:t>fault type </w:t>
      </w:r>
      <w:r>
        <w:rPr>
          <w:sz w:val="24"/>
        </w:rPr>
        <w:t>of each of its </w:t>
      </w:r>
      <w:r>
        <w:rPr>
          <w:i/>
          <w:sz w:val="24"/>
        </w:rPr>
        <w:t>protection </w:t>
      </w:r>
      <w:r>
        <w:rPr>
          <w:i/>
          <w:sz w:val="24"/>
        </w:rPr>
        <w:t>systems </w:t>
      </w:r>
      <w:r>
        <w:rPr>
          <w:sz w:val="24"/>
        </w:rPr>
        <w:t>that could reasonably be expected to interrupt </w:t>
      </w:r>
      <w:r>
        <w:rPr>
          <w:i/>
          <w:sz w:val="24"/>
        </w:rPr>
        <w:t>supply </w:t>
      </w:r>
      <w:r>
        <w:rPr>
          <w:sz w:val="24"/>
        </w:rPr>
        <w:t>to or from the relevant </w:t>
      </w:r>
      <w:r>
        <w:rPr>
          <w:i/>
          <w:sz w:val="24"/>
        </w:rPr>
        <w:t>connection point</w:t>
      </w:r>
      <w:r>
        <w:rPr>
          <w:sz w:val="24"/>
        </w:rPr>
        <w:t>;</w:t>
      </w:r>
      <w:r>
        <w:rPr>
          <w:spacing w:val="-3"/>
          <w:sz w:val="24"/>
        </w:rPr>
        <w:t> </w:t>
      </w:r>
      <w:r>
        <w:rPr>
          <w:sz w:val="24"/>
        </w:rPr>
        <w:t>and</w:t>
      </w:r>
    </w:p>
    <w:p>
      <w:pPr>
        <w:pStyle w:val="ListParagraph"/>
        <w:numPr>
          <w:ilvl w:val="1"/>
          <w:numId w:val="273"/>
        </w:numPr>
        <w:tabs>
          <w:tab w:pos="2486" w:val="left" w:leader="none"/>
        </w:tabs>
        <w:spacing w:line="240" w:lineRule="auto" w:before="120" w:after="0"/>
        <w:ind w:left="2486" w:right="414" w:hanging="567"/>
        <w:jc w:val="both"/>
        <w:rPr>
          <w:sz w:val="24"/>
        </w:rPr>
      </w:pPr>
      <w:r>
        <w:rPr>
          <w:sz w:val="24"/>
        </w:rPr>
        <w:t>an agreement to not increase those </w:t>
      </w:r>
      <w:r>
        <w:rPr>
          <w:i/>
          <w:sz w:val="24"/>
        </w:rPr>
        <w:t>fault clearance times </w:t>
      </w:r>
      <w:r>
        <w:rPr>
          <w:sz w:val="24"/>
        </w:rPr>
        <w:t>without the prior written agreement of the other</w:t>
      </w:r>
      <w:r>
        <w:rPr>
          <w:spacing w:val="-2"/>
          <w:sz w:val="24"/>
        </w:rPr>
        <w:t> </w:t>
      </w:r>
      <w:r>
        <w:rPr>
          <w:sz w:val="24"/>
        </w:rPr>
        <w:t>party.</w:t>
      </w:r>
    </w:p>
    <w:p>
      <w:pPr>
        <w:pStyle w:val="ListParagraph"/>
        <w:numPr>
          <w:ilvl w:val="0"/>
          <w:numId w:val="274"/>
        </w:numPr>
        <w:tabs>
          <w:tab w:pos="1919" w:val="left" w:leader="none"/>
        </w:tabs>
        <w:spacing w:line="240" w:lineRule="auto" w:before="120" w:after="0"/>
        <w:ind w:left="1919" w:right="415" w:hanging="567"/>
        <w:jc w:val="both"/>
        <w:rPr>
          <w:sz w:val="24"/>
        </w:rPr>
      </w:pPr>
      <w:r>
        <w:rPr>
          <w:i/>
          <w:sz w:val="24"/>
        </w:rPr>
        <w:t>Network Service Providers </w:t>
      </w:r>
      <w:r>
        <w:rPr>
          <w:sz w:val="24"/>
        </w:rPr>
        <w:t>must coordinate and cooperate with </w:t>
      </w:r>
      <w:r>
        <w:rPr>
          <w:i/>
          <w:sz w:val="24"/>
        </w:rPr>
        <w:t>Network </w:t>
      </w:r>
      <w:r>
        <w:rPr>
          <w:i/>
          <w:sz w:val="24"/>
        </w:rPr>
        <w:t>Users</w:t>
      </w:r>
      <w:r>
        <w:rPr>
          <w:i/>
          <w:spacing w:val="20"/>
          <w:sz w:val="24"/>
        </w:rPr>
        <w:t> </w:t>
      </w:r>
      <w:r>
        <w:rPr>
          <w:sz w:val="24"/>
        </w:rPr>
        <w:t>to</w:t>
      </w:r>
      <w:r>
        <w:rPr>
          <w:spacing w:val="20"/>
          <w:sz w:val="24"/>
        </w:rPr>
        <w:t> </w:t>
      </w:r>
      <w:r>
        <w:rPr>
          <w:sz w:val="24"/>
        </w:rPr>
        <w:t>implement</w:t>
      </w:r>
      <w:r>
        <w:rPr>
          <w:spacing w:val="20"/>
          <w:sz w:val="24"/>
        </w:rPr>
        <w:t> </w:t>
      </w:r>
      <w:r>
        <w:rPr>
          <w:i/>
          <w:sz w:val="24"/>
        </w:rPr>
        <w:t>breaker</w:t>
      </w:r>
      <w:r>
        <w:rPr>
          <w:i/>
          <w:spacing w:val="21"/>
          <w:sz w:val="24"/>
        </w:rPr>
        <w:t> </w:t>
      </w:r>
      <w:r>
        <w:rPr>
          <w:i/>
          <w:sz w:val="24"/>
        </w:rPr>
        <w:t>fail</w:t>
      </w:r>
      <w:r>
        <w:rPr>
          <w:i/>
          <w:spacing w:val="20"/>
          <w:sz w:val="24"/>
        </w:rPr>
        <w:t> </w:t>
      </w:r>
      <w:r>
        <w:rPr>
          <w:sz w:val="24"/>
        </w:rPr>
        <w:t>protection</w:t>
      </w:r>
      <w:r>
        <w:rPr>
          <w:spacing w:val="20"/>
          <w:sz w:val="24"/>
        </w:rPr>
        <w:t> </w:t>
      </w:r>
      <w:r>
        <w:rPr>
          <w:sz w:val="24"/>
        </w:rPr>
        <w:t>for</w:t>
      </w:r>
      <w:r>
        <w:rPr>
          <w:spacing w:val="21"/>
          <w:sz w:val="24"/>
        </w:rPr>
        <w:t> </w:t>
      </w:r>
      <w:r>
        <w:rPr>
          <w:sz w:val="24"/>
        </w:rPr>
        <w:t>circuit</w:t>
      </w:r>
      <w:r>
        <w:rPr>
          <w:spacing w:val="20"/>
          <w:sz w:val="24"/>
        </w:rPr>
        <w:t> </w:t>
      </w:r>
      <w:r>
        <w:rPr>
          <w:sz w:val="24"/>
        </w:rPr>
        <w:t>breakers</w:t>
      </w:r>
      <w:r>
        <w:rPr>
          <w:spacing w:val="20"/>
          <w:sz w:val="24"/>
        </w:rPr>
        <w:t> </w:t>
      </w:r>
      <w:r>
        <w:rPr>
          <w:sz w:val="24"/>
        </w:rPr>
        <w:t>provided</w:t>
      </w:r>
      <w:r>
        <w:rPr>
          <w:spacing w:val="21"/>
          <w:sz w:val="24"/>
        </w:rPr>
        <w:t> </w:t>
      </w:r>
      <w:r>
        <w:rPr>
          <w:sz w:val="24"/>
        </w:rPr>
        <w:t>to</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isolate the </w:t>
      </w:r>
      <w:r>
        <w:rPr>
          <w:i/>
          <w:sz w:val="24"/>
        </w:rPr>
        <w:t>Network User's facility </w:t>
      </w:r>
      <w:r>
        <w:rPr>
          <w:sz w:val="24"/>
        </w:rPr>
        <w:t>from the </w:t>
      </w:r>
      <w:r>
        <w:rPr>
          <w:i/>
          <w:sz w:val="24"/>
        </w:rPr>
        <w:t>Network Service Provider's </w:t>
      </w:r>
      <w:r>
        <w:rPr>
          <w:i/>
          <w:sz w:val="24"/>
        </w:rPr>
        <w:t>facilities</w:t>
      </w:r>
      <w:r>
        <w:rPr>
          <w:sz w:val="24"/>
        </w:rPr>
        <w:t>.</w:t>
      </w:r>
    </w:p>
    <w:p>
      <w:pPr>
        <w:pStyle w:val="ListParagraph"/>
        <w:numPr>
          <w:ilvl w:val="0"/>
          <w:numId w:val="274"/>
        </w:numPr>
        <w:tabs>
          <w:tab w:pos="1919" w:val="left" w:leader="none"/>
        </w:tabs>
        <w:spacing w:line="240" w:lineRule="auto" w:before="120" w:after="0"/>
        <w:ind w:left="1919" w:right="415" w:hanging="567"/>
        <w:jc w:val="both"/>
        <w:rPr>
          <w:sz w:val="24"/>
        </w:rPr>
      </w:pPr>
      <w:r>
        <w:rPr>
          <w:sz w:val="24"/>
        </w:rPr>
        <w:t>Where practicable and economic to achieve, investments should meet the </w:t>
      </w:r>
      <w:r>
        <w:rPr>
          <w:i/>
          <w:sz w:val="24"/>
        </w:rPr>
        <w:t>system standard </w:t>
      </w:r>
      <w:r>
        <w:rPr>
          <w:sz w:val="24"/>
        </w:rPr>
        <w:t>for </w:t>
      </w:r>
      <w:r>
        <w:rPr>
          <w:i/>
          <w:sz w:val="24"/>
        </w:rPr>
        <w:t>fault clearance times </w:t>
      </w:r>
      <w:r>
        <w:rPr>
          <w:sz w:val="24"/>
        </w:rPr>
        <w:t>as specified in clause S5.1a.8 for two phase to ground </w:t>
      </w:r>
      <w:r>
        <w:rPr>
          <w:i/>
          <w:sz w:val="24"/>
        </w:rPr>
        <w:t>short circuit</w:t>
      </w:r>
      <w:r>
        <w:rPr>
          <w:i/>
          <w:spacing w:val="-2"/>
          <w:sz w:val="24"/>
        </w:rPr>
        <w:t> </w:t>
      </w:r>
      <w:r>
        <w:rPr>
          <w:i/>
          <w:sz w:val="24"/>
        </w:rPr>
        <w:t>faults</w:t>
      </w:r>
      <w:r>
        <w:rPr>
          <w:sz w:val="24"/>
        </w:rPr>
        <w:t>.</w:t>
      </w:r>
    </w:p>
    <w:p>
      <w:pPr>
        <w:pStyle w:val="ListParagraph"/>
        <w:numPr>
          <w:ilvl w:val="0"/>
          <w:numId w:val="274"/>
        </w:numPr>
        <w:tabs>
          <w:tab w:pos="1919" w:val="left" w:leader="none"/>
        </w:tabs>
        <w:spacing w:line="240" w:lineRule="auto" w:before="120" w:after="0"/>
        <w:ind w:left="1919" w:right="414" w:hanging="567"/>
        <w:jc w:val="both"/>
        <w:rPr>
          <w:sz w:val="24"/>
        </w:rPr>
      </w:pPr>
      <w:r>
        <w:rPr>
          <w:sz w:val="24"/>
        </w:rPr>
        <w:t>A primary </w:t>
      </w:r>
      <w:r>
        <w:rPr>
          <w:i/>
          <w:sz w:val="24"/>
        </w:rPr>
        <w:t>protection system </w:t>
      </w:r>
      <w:r>
        <w:rPr>
          <w:sz w:val="24"/>
        </w:rPr>
        <w:t>may clear faults other than </w:t>
      </w:r>
      <w:r>
        <w:rPr>
          <w:i/>
          <w:sz w:val="24"/>
        </w:rPr>
        <w:t>short circuit faults </w:t>
      </w:r>
      <w:r>
        <w:rPr>
          <w:sz w:val="24"/>
        </w:rPr>
        <w:t>slower than the relevant </w:t>
      </w:r>
      <w:r>
        <w:rPr>
          <w:i/>
          <w:sz w:val="24"/>
        </w:rPr>
        <w:t>fault clearance time</w:t>
      </w:r>
      <w:r>
        <w:rPr>
          <w:sz w:val="24"/>
        </w:rPr>
        <w:t>, provided that such faults would be cleared sufficiently promptly to not adversely impact on </w:t>
      </w:r>
      <w:r>
        <w:rPr>
          <w:i/>
          <w:sz w:val="24"/>
        </w:rPr>
        <w:t>power </w:t>
      </w:r>
      <w:r>
        <w:rPr>
          <w:i/>
          <w:sz w:val="24"/>
        </w:rPr>
        <w:t>system security </w:t>
      </w:r>
      <w:r>
        <w:rPr>
          <w:sz w:val="24"/>
        </w:rPr>
        <w:t>compared with its operation for the corresponding </w:t>
      </w:r>
      <w:r>
        <w:rPr>
          <w:i/>
          <w:sz w:val="24"/>
        </w:rPr>
        <w:t>short </w:t>
      </w:r>
      <w:r>
        <w:rPr>
          <w:i/>
          <w:sz w:val="24"/>
        </w:rPr>
        <w:t>circuit fault</w:t>
      </w:r>
      <w:r>
        <w:rPr>
          <w:sz w:val="24"/>
        </w:rPr>
        <w:t>. In the case of a fault within equipment at a station, the corresponding </w:t>
      </w:r>
      <w:r>
        <w:rPr>
          <w:i/>
          <w:sz w:val="24"/>
        </w:rPr>
        <w:t>short circuit fault </w:t>
      </w:r>
      <w:r>
        <w:rPr>
          <w:sz w:val="24"/>
        </w:rPr>
        <w:t>is to be taken as a two phase to ground </w:t>
      </w:r>
      <w:r>
        <w:rPr>
          <w:i/>
          <w:sz w:val="24"/>
        </w:rPr>
        <w:t>short circuit fault </w:t>
      </w:r>
      <w:r>
        <w:rPr>
          <w:sz w:val="24"/>
        </w:rPr>
        <w:t>at the external connections of the</w:t>
      </w:r>
      <w:r>
        <w:rPr>
          <w:spacing w:val="-5"/>
          <w:sz w:val="24"/>
        </w:rPr>
        <w:t> </w:t>
      </w:r>
      <w:r>
        <w:rPr>
          <w:sz w:val="24"/>
        </w:rPr>
        <w:t>equipment.</w:t>
      </w:r>
    </w:p>
    <w:p>
      <w:pPr>
        <w:pStyle w:val="ListParagraph"/>
        <w:numPr>
          <w:ilvl w:val="0"/>
          <w:numId w:val="274"/>
        </w:numPr>
        <w:tabs>
          <w:tab w:pos="1919" w:val="left" w:leader="none"/>
        </w:tabs>
        <w:spacing w:line="240" w:lineRule="auto" w:before="120" w:after="0"/>
        <w:ind w:left="1919" w:right="415" w:hanging="567"/>
        <w:jc w:val="both"/>
        <w:rPr>
          <w:sz w:val="24"/>
        </w:rPr>
      </w:pPr>
      <w:r>
        <w:rPr>
          <w:i/>
          <w:sz w:val="24"/>
        </w:rPr>
        <w:t>Protection systems </w:t>
      </w:r>
      <w:r>
        <w:rPr>
          <w:sz w:val="24"/>
        </w:rPr>
        <w:t>may rely on </w:t>
      </w:r>
      <w:r>
        <w:rPr>
          <w:i/>
          <w:sz w:val="24"/>
        </w:rPr>
        <w:t>breaker fail protection systems </w:t>
      </w:r>
      <w:r>
        <w:rPr>
          <w:sz w:val="24"/>
        </w:rPr>
        <w:t>or other back-up </w:t>
      </w:r>
      <w:r>
        <w:rPr>
          <w:i/>
          <w:sz w:val="24"/>
        </w:rPr>
        <w:t>protection systems </w:t>
      </w:r>
      <w:r>
        <w:rPr>
          <w:sz w:val="24"/>
        </w:rPr>
        <w:t>to completely clear faults of any </w:t>
      </w:r>
      <w:r>
        <w:rPr>
          <w:i/>
          <w:sz w:val="24"/>
        </w:rPr>
        <w:t>fault type</w:t>
      </w:r>
      <w:r>
        <w:rPr>
          <w:i/>
          <w:spacing w:val="-10"/>
          <w:sz w:val="24"/>
        </w:rPr>
        <w:t> </w:t>
      </w:r>
      <w:r>
        <w:rPr>
          <w:sz w:val="24"/>
        </w:rPr>
        <w:t>that:</w:t>
      </w:r>
    </w:p>
    <w:p>
      <w:pPr>
        <w:pStyle w:val="ListParagraph"/>
        <w:numPr>
          <w:ilvl w:val="1"/>
          <w:numId w:val="274"/>
        </w:numPr>
        <w:tabs>
          <w:tab w:pos="2486" w:val="left" w:leader="none"/>
        </w:tabs>
        <w:spacing w:line="240" w:lineRule="auto" w:before="120" w:after="0"/>
        <w:ind w:left="2486" w:right="415" w:hanging="567"/>
        <w:jc w:val="both"/>
        <w:rPr>
          <w:sz w:val="24"/>
        </w:rPr>
      </w:pPr>
      <w:r>
        <w:rPr>
          <w:sz w:val="24"/>
        </w:rPr>
        <w:t>occur within a </w:t>
      </w:r>
      <w:r>
        <w:rPr>
          <w:i/>
          <w:sz w:val="24"/>
        </w:rPr>
        <w:t>substation </w:t>
      </w:r>
      <w:r>
        <w:rPr>
          <w:sz w:val="24"/>
        </w:rPr>
        <w:t>between a protection zone and a circuit breaker adjacent to that protection zone that is required to open to clear the fault (a </w:t>
      </w:r>
      <w:r>
        <w:rPr>
          <w:b/>
          <w:sz w:val="24"/>
        </w:rPr>
        <w:t>dead zone</w:t>
      </w:r>
      <w:r>
        <w:rPr>
          <w:sz w:val="24"/>
        </w:rPr>
        <w:t>);</w:t>
      </w:r>
      <w:r>
        <w:rPr>
          <w:spacing w:val="-2"/>
          <w:sz w:val="24"/>
        </w:rPr>
        <w:t> </w:t>
      </w:r>
      <w:r>
        <w:rPr>
          <w:sz w:val="24"/>
        </w:rPr>
        <w:t>and</w:t>
      </w:r>
    </w:p>
    <w:p>
      <w:pPr>
        <w:pStyle w:val="ListParagraph"/>
        <w:numPr>
          <w:ilvl w:val="1"/>
          <w:numId w:val="274"/>
        </w:numPr>
        <w:tabs>
          <w:tab w:pos="2486" w:val="left" w:leader="none"/>
        </w:tabs>
        <w:spacing w:line="240" w:lineRule="auto" w:before="120" w:after="0"/>
        <w:ind w:left="2486" w:right="414" w:hanging="567"/>
        <w:jc w:val="both"/>
        <w:rPr>
          <w:sz w:val="24"/>
        </w:rPr>
      </w:pPr>
      <w:r>
        <w:rPr>
          <w:sz w:val="24"/>
        </w:rPr>
        <w:t>remain connected through a power line or </w:t>
      </w:r>
      <w:r>
        <w:rPr>
          <w:i/>
          <w:sz w:val="24"/>
        </w:rPr>
        <w:t>transformer </w:t>
      </w:r>
      <w:r>
        <w:rPr>
          <w:sz w:val="24"/>
        </w:rPr>
        <w:t>after </w:t>
      </w:r>
      <w:r>
        <w:rPr>
          <w:spacing w:val="-3"/>
          <w:sz w:val="24"/>
        </w:rPr>
        <w:t>operation </w:t>
      </w:r>
      <w:r>
        <w:rPr>
          <w:sz w:val="24"/>
        </w:rPr>
        <w:t>of a primary </w:t>
      </w:r>
      <w:r>
        <w:rPr>
          <w:i/>
          <w:sz w:val="24"/>
        </w:rPr>
        <w:t>protection</w:t>
      </w:r>
      <w:r>
        <w:rPr>
          <w:i/>
          <w:spacing w:val="-1"/>
          <w:sz w:val="24"/>
        </w:rPr>
        <w:t> </w:t>
      </w:r>
      <w:r>
        <w:rPr>
          <w:i/>
          <w:sz w:val="24"/>
        </w:rPr>
        <w:t>system</w:t>
      </w:r>
      <w:r>
        <w:rPr>
          <w:sz w:val="24"/>
        </w:rPr>
        <w:t>,</w:t>
      </w:r>
    </w:p>
    <w:p>
      <w:pPr>
        <w:pStyle w:val="BodyText"/>
        <w:ind w:left="1919" w:right="415" w:firstLine="0"/>
      </w:pPr>
      <w:r>
        <w:rPr/>
        <w:t>provided that the relevant </w:t>
      </w:r>
      <w:r>
        <w:rPr>
          <w:i/>
        </w:rPr>
        <w:t>Network Service Provider </w:t>
      </w:r>
      <w:r>
        <w:rPr/>
        <w:t>assesses that the likelihood of a fault occurring within the dead zone is not greater than the likelihood of a fault occurring on </w:t>
      </w:r>
      <w:r>
        <w:rPr>
          <w:i/>
        </w:rPr>
        <w:t>busbars</w:t>
      </w:r>
      <w:r>
        <w:rPr/>
        <w:t>.</w:t>
      </w:r>
    </w:p>
    <w:p>
      <w:pPr>
        <w:pStyle w:val="ListParagraph"/>
        <w:numPr>
          <w:ilvl w:val="0"/>
          <w:numId w:val="274"/>
        </w:numPr>
        <w:tabs>
          <w:tab w:pos="1919" w:val="left" w:leader="none"/>
        </w:tabs>
        <w:spacing w:line="240" w:lineRule="auto" w:before="120" w:after="0"/>
        <w:ind w:left="1919" w:right="414" w:hanging="567"/>
        <w:jc w:val="both"/>
        <w:rPr>
          <w:sz w:val="24"/>
        </w:rPr>
      </w:pPr>
      <w:r>
        <w:rPr>
          <w:sz w:val="24"/>
        </w:rPr>
        <w:t>For the purposes of this clause S5.1.9, a </w:t>
      </w:r>
      <w:r>
        <w:rPr>
          <w:i/>
          <w:sz w:val="24"/>
        </w:rPr>
        <w:t>credible contingency event </w:t>
      </w:r>
      <w:r>
        <w:rPr>
          <w:sz w:val="24"/>
        </w:rPr>
        <w:t>includes any event that clause S5.1.2.1 requires a </w:t>
      </w:r>
      <w:r>
        <w:rPr>
          <w:i/>
          <w:sz w:val="24"/>
        </w:rPr>
        <w:t>Network Service Provider </w:t>
      </w:r>
      <w:r>
        <w:rPr>
          <w:sz w:val="24"/>
        </w:rPr>
        <w:t>to consider as a </w:t>
      </w:r>
      <w:r>
        <w:rPr>
          <w:i/>
          <w:sz w:val="24"/>
        </w:rPr>
        <w:t>credible contingency</w:t>
      </w:r>
      <w:r>
        <w:rPr>
          <w:i/>
          <w:spacing w:val="-2"/>
          <w:sz w:val="24"/>
        </w:rPr>
        <w:t> </w:t>
      </w:r>
      <w:r>
        <w:rPr>
          <w:i/>
          <w:sz w:val="24"/>
        </w:rPr>
        <w:t>event</w:t>
      </w:r>
      <w:r>
        <w:rPr>
          <w:sz w:val="24"/>
        </w:rPr>
        <w:t>.</w:t>
      </w:r>
    </w:p>
    <w:p>
      <w:pPr>
        <w:pStyle w:val="ListParagraph"/>
        <w:numPr>
          <w:ilvl w:val="0"/>
          <w:numId w:val="274"/>
        </w:numPr>
        <w:tabs>
          <w:tab w:pos="1919" w:val="left" w:leader="none"/>
        </w:tabs>
        <w:spacing w:line="240" w:lineRule="auto" w:before="120" w:after="0"/>
        <w:ind w:left="1919" w:right="415" w:hanging="567"/>
        <w:jc w:val="both"/>
        <w:rPr>
          <w:sz w:val="24"/>
        </w:rPr>
      </w:pPr>
      <w:r>
        <w:rPr>
          <w:sz w:val="24"/>
        </w:rPr>
        <w:t>The provisions of clause S5.1.9(d) apply to </w:t>
      </w:r>
      <w:r>
        <w:rPr>
          <w:i/>
          <w:sz w:val="24"/>
        </w:rPr>
        <w:t>facilities </w:t>
      </w:r>
      <w:r>
        <w:rPr>
          <w:sz w:val="24"/>
        </w:rPr>
        <w:t>constructed or modified on or after the </w:t>
      </w:r>
      <w:r>
        <w:rPr>
          <w:i/>
          <w:sz w:val="24"/>
        </w:rPr>
        <w:t>performance standards commencement</w:t>
      </w:r>
      <w:r>
        <w:rPr>
          <w:i/>
          <w:spacing w:val="-5"/>
          <w:sz w:val="24"/>
        </w:rPr>
        <w:t> </w:t>
      </w:r>
      <w:r>
        <w:rPr>
          <w:i/>
          <w:sz w:val="24"/>
        </w:rPr>
        <w:t>date</w:t>
      </w:r>
      <w:r>
        <w:rPr>
          <w:sz w:val="24"/>
        </w:rPr>
        <w:t>.</w:t>
      </w:r>
    </w:p>
    <w:p>
      <w:pPr>
        <w:pStyle w:val="ListParagraph"/>
        <w:numPr>
          <w:ilvl w:val="0"/>
          <w:numId w:val="274"/>
        </w:numPr>
        <w:tabs>
          <w:tab w:pos="1919" w:val="left" w:leader="none"/>
        </w:tabs>
        <w:spacing w:line="240" w:lineRule="auto" w:before="120" w:after="0"/>
        <w:ind w:left="1919" w:right="415" w:hanging="567"/>
        <w:jc w:val="both"/>
        <w:rPr>
          <w:sz w:val="24"/>
        </w:rPr>
      </w:pPr>
      <w:r>
        <w:rPr>
          <w:sz w:val="24"/>
        </w:rPr>
        <w:t>For </w:t>
      </w:r>
      <w:r>
        <w:rPr>
          <w:i/>
          <w:sz w:val="24"/>
        </w:rPr>
        <w:t>facilities </w:t>
      </w:r>
      <w:r>
        <w:rPr>
          <w:sz w:val="24"/>
        </w:rPr>
        <w:t>other than those referred to in clause S5.1.9(n), the  requirement for primary </w:t>
      </w:r>
      <w:r>
        <w:rPr>
          <w:i/>
          <w:sz w:val="24"/>
        </w:rPr>
        <w:t>protection system </w:t>
      </w:r>
      <w:r>
        <w:rPr>
          <w:sz w:val="24"/>
        </w:rPr>
        <w:t>redundancy must be derived by the </w:t>
      </w:r>
      <w:r>
        <w:rPr>
          <w:i/>
          <w:sz w:val="24"/>
        </w:rPr>
        <w:t>Network Service Provider </w:t>
      </w:r>
      <w:r>
        <w:rPr>
          <w:sz w:val="24"/>
        </w:rPr>
        <w:t>from the existing capability of each </w:t>
      </w:r>
      <w:r>
        <w:rPr>
          <w:i/>
          <w:sz w:val="24"/>
        </w:rPr>
        <w:t>facility </w:t>
      </w:r>
      <w:r>
        <w:rPr>
          <w:sz w:val="24"/>
        </w:rPr>
        <w:t>on the </w:t>
      </w:r>
      <w:r>
        <w:rPr>
          <w:i/>
          <w:sz w:val="24"/>
        </w:rPr>
        <w:t>performance standards commencement</w:t>
      </w:r>
      <w:r>
        <w:rPr>
          <w:i/>
          <w:spacing w:val="-3"/>
          <w:sz w:val="24"/>
        </w:rPr>
        <w:t> </w:t>
      </w:r>
      <w:r>
        <w:rPr>
          <w:i/>
          <w:sz w:val="24"/>
        </w:rPr>
        <w:t>date</w:t>
      </w:r>
      <w:r>
        <w:rPr>
          <w:sz w:val="24"/>
        </w:rPr>
        <w:t>.</w:t>
      </w:r>
    </w:p>
    <w:p>
      <w:pPr>
        <w:pStyle w:val="Heading4"/>
        <w:tabs>
          <w:tab w:pos="1351" w:val="left" w:leader="none"/>
        </w:tabs>
        <w:spacing w:line="510" w:lineRule="atLeast" w:before="6"/>
        <w:ind w:left="218" w:right="3031" w:firstLine="0"/>
      </w:pPr>
      <w:bookmarkStart w:name="S5.1.10 Load, generation and network con" w:id="942"/>
      <w:bookmarkEnd w:id="942"/>
      <w:r>
        <w:rPr>
          <w:b w:val="0"/>
        </w:rPr>
      </w:r>
      <w:bookmarkStart w:name="_bookmark363" w:id="943"/>
      <w:bookmarkEnd w:id="943"/>
      <w:r>
        <w:rPr>
          <w:b w:val="0"/>
        </w:rPr>
      </w:r>
      <w:r>
        <w:rPr/>
        <w:t>S5.1.10</w:t>
        <w:tab/>
        <w:t>Load, generation and network control facilities</w:t>
      </w:r>
      <w:bookmarkStart w:name="S5.1.10.1 General" w:id="944"/>
      <w:bookmarkEnd w:id="944"/>
      <w:r>
        <w:rPr/>
      </w:r>
      <w:bookmarkStart w:name="_bookmark364" w:id="945"/>
      <w:bookmarkEnd w:id="945"/>
      <w:r>
        <w:rPr/>
      </w:r>
      <w:r>
        <w:rPr/>
        <w:t> S5.1.10.1</w:t>
      </w:r>
      <w:r>
        <w:rPr>
          <w:spacing w:val="39"/>
        </w:rPr>
        <w:t> </w:t>
      </w:r>
      <w:r>
        <w:rPr/>
        <w:t>General</w:t>
      </w:r>
    </w:p>
    <w:p>
      <w:pPr>
        <w:spacing w:before="126"/>
        <w:ind w:left="1352" w:right="0" w:firstLine="0"/>
        <w:jc w:val="both"/>
        <w:rPr>
          <w:sz w:val="24"/>
        </w:rPr>
      </w:pPr>
      <w:r>
        <w:rPr>
          <w:sz w:val="24"/>
        </w:rPr>
        <w:t>Each </w:t>
      </w:r>
      <w:r>
        <w:rPr>
          <w:i/>
          <w:sz w:val="24"/>
        </w:rPr>
        <w:t>Network Service Provider </w:t>
      </w:r>
      <w:r>
        <w:rPr>
          <w:sz w:val="24"/>
        </w:rPr>
        <w:t>in consultation with </w:t>
      </w:r>
      <w:r>
        <w:rPr>
          <w:i/>
          <w:sz w:val="24"/>
        </w:rPr>
        <w:t>AEMO </w:t>
      </w:r>
      <w:r>
        <w:rPr>
          <w:sz w:val="24"/>
        </w:rPr>
        <w:t>must ensure that:</w:t>
      </w:r>
    </w:p>
    <w:p>
      <w:pPr>
        <w:pStyle w:val="ListParagraph"/>
        <w:numPr>
          <w:ilvl w:val="0"/>
          <w:numId w:val="275"/>
        </w:numPr>
        <w:tabs>
          <w:tab w:pos="1919" w:val="left" w:leader="none"/>
        </w:tabs>
        <w:spacing w:line="240" w:lineRule="auto" w:before="120" w:after="0"/>
        <w:ind w:left="1919" w:right="415" w:hanging="567"/>
        <w:jc w:val="both"/>
        <w:rPr>
          <w:sz w:val="24"/>
        </w:rPr>
      </w:pPr>
      <w:r>
        <w:rPr>
          <w:sz w:val="24"/>
        </w:rPr>
        <w:t>sufficient </w:t>
      </w:r>
      <w:r>
        <w:rPr>
          <w:i/>
          <w:sz w:val="24"/>
        </w:rPr>
        <w:t>load </w:t>
      </w:r>
      <w:r>
        <w:rPr>
          <w:sz w:val="24"/>
        </w:rPr>
        <w:t>is under the control of underfrequency relays or other </w:t>
      </w:r>
      <w:r>
        <w:rPr>
          <w:i/>
          <w:sz w:val="24"/>
        </w:rPr>
        <w:t>facilities </w:t>
      </w:r>
      <w:r>
        <w:rPr>
          <w:sz w:val="24"/>
        </w:rPr>
        <w:t>where required to minimise or reduce the risk that in the event of the sudden, unplanned simultaneous occurrence of multiple </w:t>
      </w:r>
      <w:r>
        <w:rPr>
          <w:i/>
          <w:sz w:val="24"/>
        </w:rPr>
        <w:t>contingency </w:t>
      </w:r>
      <w:r>
        <w:rPr>
          <w:i/>
          <w:sz w:val="24"/>
        </w:rPr>
        <w:t>events</w:t>
      </w:r>
      <w:r>
        <w:rPr>
          <w:sz w:val="24"/>
        </w:rPr>
        <w:t>, the </w:t>
      </w:r>
      <w:r>
        <w:rPr>
          <w:i/>
          <w:sz w:val="24"/>
        </w:rPr>
        <w:t>power system frequency </w:t>
      </w:r>
      <w:r>
        <w:rPr>
          <w:sz w:val="24"/>
        </w:rPr>
        <w:t>moves outside the </w:t>
      </w:r>
      <w:r>
        <w:rPr>
          <w:i/>
          <w:sz w:val="24"/>
        </w:rPr>
        <w:t>extreme frequency </w:t>
      </w:r>
      <w:r>
        <w:rPr>
          <w:i/>
          <w:sz w:val="24"/>
        </w:rPr>
        <w:t>excursion tolerance</w:t>
      </w:r>
      <w:r>
        <w:rPr>
          <w:i/>
          <w:spacing w:val="-1"/>
          <w:sz w:val="24"/>
        </w:rPr>
        <w:t> </w:t>
      </w:r>
      <w:r>
        <w:rPr>
          <w:i/>
          <w:sz w:val="24"/>
        </w:rPr>
        <w:t>limits</w:t>
      </w:r>
      <w:r>
        <w:rPr>
          <w:sz w:val="24"/>
        </w:rPr>
        <w:t>;</w:t>
      </w:r>
    </w:p>
    <w:p>
      <w:pPr>
        <w:pStyle w:val="ListParagraph"/>
        <w:numPr>
          <w:ilvl w:val="0"/>
          <w:numId w:val="275"/>
        </w:numPr>
        <w:tabs>
          <w:tab w:pos="1919" w:val="left" w:leader="none"/>
        </w:tabs>
        <w:spacing w:line="240" w:lineRule="auto" w:before="120" w:after="0"/>
        <w:ind w:left="1919" w:right="415" w:hanging="567"/>
        <w:jc w:val="both"/>
        <w:rPr>
          <w:sz w:val="24"/>
        </w:rPr>
      </w:pPr>
      <w:r>
        <w:rPr>
          <w:sz w:val="24"/>
        </w:rPr>
        <w:t>where determined to be necessary, sufficient </w:t>
      </w:r>
      <w:r>
        <w:rPr>
          <w:i/>
          <w:sz w:val="24"/>
        </w:rPr>
        <w:t>load </w:t>
      </w:r>
      <w:r>
        <w:rPr>
          <w:sz w:val="24"/>
        </w:rPr>
        <w:t>is under the control of undervoltage relays to minimize or reduce the risk of voltage collapse on the occurrence of multiple </w:t>
      </w:r>
      <w:r>
        <w:rPr>
          <w:i/>
          <w:sz w:val="24"/>
        </w:rPr>
        <w:t>contingency events</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0"/>
          <w:numId w:val="275"/>
        </w:numPr>
        <w:tabs>
          <w:tab w:pos="1919" w:val="left" w:leader="none"/>
        </w:tabs>
        <w:spacing w:line="240" w:lineRule="auto" w:before="83" w:after="0"/>
        <w:ind w:left="1919" w:right="414" w:hanging="567"/>
        <w:jc w:val="both"/>
        <w:rPr>
          <w:sz w:val="24"/>
        </w:rPr>
      </w:pPr>
      <w:r>
        <w:rPr>
          <w:sz w:val="24"/>
        </w:rPr>
        <w:t>there is sufficient </w:t>
      </w:r>
      <w:r>
        <w:rPr>
          <w:i/>
          <w:sz w:val="24"/>
        </w:rPr>
        <w:t>load </w:t>
      </w:r>
      <w:r>
        <w:rPr>
          <w:sz w:val="24"/>
        </w:rPr>
        <w:t>under manual control either locally or from remotely located </w:t>
      </w:r>
      <w:r>
        <w:rPr>
          <w:i/>
          <w:sz w:val="24"/>
        </w:rPr>
        <w:t>control centres </w:t>
      </w:r>
      <w:r>
        <w:rPr>
          <w:sz w:val="24"/>
        </w:rPr>
        <w:t>to allow the </w:t>
      </w:r>
      <w:r>
        <w:rPr>
          <w:i/>
          <w:sz w:val="24"/>
        </w:rPr>
        <w:t>load shedding procedures </w:t>
      </w:r>
      <w:r>
        <w:rPr>
          <w:sz w:val="24"/>
        </w:rPr>
        <w:t>to </w:t>
      </w:r>
      <w:r>
        <w:rPr>
          <w:spacing w:val="-6"/>
          <w:sz w:val="24"/>
        </w:rPr>
        <w:t>be </w:t>
      </w:r>
      <w:r>
        <w:rPr>
          <w:sz w:val="24"/>
        </w:rPr>
        <w:t>implemented on instruction from </w:t>
      </w:r>
      <w:r>
        <w:rPr>
          <w:i/>
          <w:sz w:val="24"/>
        </w:rPr>
        <w:t>AEMO </w:t>
      </w:r>
      <w:r>
        <w:rPr>
          <w:sz w:val="24"/>
        </w:rPr>
        <w:t>to enable </w:t>
      </w:r>
      <w:r>
        <w:rPr>
          <w:i/>
          <w:sz w:val="24"/>
        </w:rPr>
        <w:t>AEMO </w:t>
      </w:r>
      <w:r>
        <w:rPr>
          <w:sz w:val="24"/>
        </w:rPr>
        <w:t>to maintain </w:t>
      </w:r>
      <w:r>
        <w:rPr>
          <w:i/>
          <w:sz w:val="24"/>
        </w:rPr>
        <w:t>power </w:t>
      </w:r>
      <w:r>
        <w:rPr>
          <w:i/>
          <w:sz w:val="24"/>
        </w:rPr>
        <w:t>system</w:t>
      </w:r>
      <w:r>
        <w:rPr>
          <w:i/>
          <w:spacing w:val="-2"/>
          <w:sz w:val="24"/>
        </w:rPr>
        <w:t> </w:t>
      </w:r>
      <w:r>
        <w:rPr>
          <w:i/>
          <w:sz w:val="24"/>
        </w:rPr>
        <w:t>security</w:t>
      </w:r>
      <w:r>
        <w:rPr>
          <w:sz w:val="24"/>
        </w:rPr>
        <w:t>.</w:t>
      </w:r>
    </w:p>
    <w:p>
      <w:pPr>
        <w:spacing w:before="120"/>
        <w:ind w:left="1352" w:right="414" w:firstLine="0"/>
        <w:jc w:val="both"/>
        <w:rPr>
          <w:sz w:val="24"/>
        </w:rPr>
      </w:pPr>
      <w:r>
        <w:rPr>
          <w:sz w:val="24"/>
        </w:rPr>
        <w:t>A </w:t>
      </w:r>
      <w:r>
        <w:rPr>
          <w:i/>
          <w:sz w:val="24"/>
        </w:rPr>
        <w:t>Network Service Provider </w:t>
      </w:r>
      <w:r>
        <w:rPr>
          <w:sz w:val="24"/>
        </w:rPr>
        <w:t>may require </w:t>
      </w:r>
      <w:r>
        <w:rPr>
          <w:i/>
          <w:sz w:val="24"/>
        </w:rPr>
        <w:t>load shedding </w:t>
      </w:r>
      <w:r>
        <w:rPr>
          <w:sz w:val="24"/>
        </w:rPr>
        <w:t>arrangements to be installed to cater for abnormal operating conditions including abnormal operating conditions in which </w:t>
      </w:r>
      <w:r>
        <w:rPr>
          <w:i/>
          <w:sz w:val="24"/>
        </w:rPr>
        <w:t>emergency frequency control schemes </w:t>
      </w:r>
      <w:r>
        <w:rPr>
          <w:sz w:val="24"/>
        </w:rPr>
        <w:t>are intended to operate.</w:t>
      </w:r>
    </w:p>
    <w:p>
      <w:pPr>
        <w:spacing w:before="120"/>
        <w:ind w:left="1352" w:right="414" w:firstLine="0"/>
        <w:jc w:val="both"/>
        <w:rPr>
          <w:sz w:val="24"/>
        </w:rPr>
      </w:pPr>
      <w:r>
        <w:rPr>
          <w:i/>
          <w:sz w:val="24"/>
        </w:rPr>
        <w:t>Transmission Network Service Providers </w:t>
      </w:r>
      <w:r>
        <w:rPr>
          <w:sz w:val="24"/>
        </w:rPr>
        <w:t>and </w:t>
      </w:r>
      <w:r>
        <w:rPr>
          <w:i/>
          <w:sz w:val="24"/>
        </w:rPr>
        <w:t>connected Distribution Network </w:t>
      </w:r>
      <w:r>
        <w:rPr>
          <w:i/>
          <w:sz w:val="24"/>
        </w:rPr>
        <w:t>Service Providers </w:t>
      </w:r>
      <w:r>
        <w:rPr>
          <w:sz w:val="24"/>
        </w:rPr>
        <w:t>must cooperate to agree arrangements to implement </w:t>
      </w:r>
      <w:r>
        <w:rPr>
          <w:i/>
          <w:sz w:val="24"/>
        </w:rPr>
        <w:t>load </w:t>
      </w:r>
      <w:r>
        <w:rPr>
          <w:i/>
          <w:sz w:val="24"/>
        </w:rPr>
        <w:t>shedding</w:t>
      </w:r>
      <w:r>
        <w:rPr>
          <w:sz w:val="24"/>
        </w:rPr>
        <w:t>. The arrangements may include the opening of circuits in either a </w:t>
      </w:r>
      <w:r>
        <w:rPr>
          <w:i/>
          <w:sz w:val="24"/>
        </w:rPr>
        <w:t>transmission </w:t>
      </w:r>
      <w:r>
        <w:rPr>
          <w:sz w:val="24"/>
        </w:rPr>
        <w:t>or </w:t>
      </w:r>
      <w:r>
        <w:rPr>
          <w:i/>
          <w:sz w:val="24"/>
        </w:rPr>
        <w:t>distribution network</w:t>
      </w:r>
      <w:r>
        <w:rPr>
          <w:sz w:val="24"/>
        </w:rPr>
        <w:t>.</w:t>
      </w:r>
    </w:p>
    <w:p>
      <w:pPr>
        <w:spacing w:before="120"/>
        <w:ind w:left="1352" w:right="415" w:firstLine="0"/>
        <w:jc w:val="both"/>
        <w:rPr>
          <w:sz w:val="24"/>
        </w:rPr>
      </w:pPr>
      <w:r>
        <w:rPr>
          <w:sz w:val="24"/>
        </w:rPr>
        <w:t>The </w:t>
      </w:r>
      <w:r>
        <w:rPr>
          <w:i/>
          <w:sz w:val="24"/>
        </w:rPr>
        <w:t>Transmission Network Service Provider </w:t>
      </w:r>
      <w:r>
        <w:rPr>
          <w:sz w:val="24"/>
        </w:rPr>
        <w:t>must specify, in the </w:t>
      </w:r>
      <w:r>
        <w:rPr>
          <w:i/>
          <w:sz w:val="24"/>
        </w:rPr>
        <w:t>connection </w:t>
      </w:r>
      <w:r>
        <w:rPr>
          <w:i/>
          <w:sz w:val="24"/>
        </w:rPr>
        <w:t>agreement</w:t>
      </w:r>
      <w:r>
        <w:rPr>
          <w:sz w:val="24"/>
        </w:rPr>
        <w:t>, control and monitoring requirements to be provided by a </w:t>
      </w:r>
      <w:r>
        <w:rPr>
          <w:i/>
          <w:sz w:val="24"/>
        </w:rPr>
        <w:t>Distribution </w:t>
      </w:r>
      <w:r>
        <w:rPr>
          <w:i/>
          <w:sz w:val="24"/>
        </w:rPr>
        <w:t>Network Service Provider </w:t>
      </w:r>
      <w:r>
        <w:rPr>
          <w:sz w:val="24"/>
        </w:rPr>
        <w:t>for </w:t>
      </w:r>
      <w:r>
        <w:rPr>
          <w:i/>
          <w:sz w:val="24"/>
        </w:rPr>
        <w:t>load shedding facilities </w:t>
      </w:r>
      <w:r>
        <w:rPr>
          <w:sz w:val="24"/>
        </w:rPr>
        <w:t>including </w:t>
      </w:r>
      <w:r>
        <w:rPr>
          <w:i/>
          <w:sz w:val="24"/>
        </w:rPr>
        <w:t>emergency </w:t>
      </w:r>
      <w:r>
        <w:rPr>
          <w:i/>
          <w:sz w:val="24"/>
        </w:rPr>
        <w:t>frequency control schemes</w:t>
      </w:r>
      <w:r>
        <w:rPr>
          <w:sz w:val="24"/>
        </w:rPr>
        <w:t>.</w:t>
      </w:r>
    </w:p>
    <w:p>
      <w:pPr>
        <w:pStyle w:val="BodyText"/>
        <w:spacing w:before="10"/>
        <w:ind w:firstLine="0"/>
        <w:jc w:val="left"/>
        <w:rPr>
          <w:sz w:val="20"/>
        </w:rPr>
      </w:pPr>
    </w:p>
    <w:p>
      <w:pPr>
        <w:pStyle w:val="Heading4"/>
        <w:tabs>
          <w:tab w:pos="1658" w:val="left" w:leader="none"/>
        </w:tabs>
        <w:ind w:left="218" w:firstLine="0"/>
      </w:pPr>
      <w:bookmarkStart w:name="S5.1.10.1a Emergency frequency control s" w:id="946"/>
      <w:bookmarkEnd w:id="946"/>
      <w:r>
        <w:rPr>
          <w:b w:val="0"/>
        </w:rPr>
      </w:r>
      <w:bookmarkStart w:name="_bookmark365" w:id="947"/>
      <w:bookmarkEnd w:id="947"/>
      <w:r>
        <w:rPr>
          <w:b w:val="0"/>
        </w:rPr>
      </w:r>
      <w:r>
        <w:rPr/>
        <w:t>S5.1.10.1a</w:t>
        <w:tab/>
        <w:t>Emergency frequency control</w:t>
      </w:r>
      <w:r>
        <w:rPr>
          <w:spacing w:val="-2"/>
        </w:rPr>
        <w:t> </w:t>
      </w:r>
      <w:r>
        <w:rPr/>
        <w:t>schemes</w:t>
      </w:r>
    </w:p>
    <w:p>
      <w:pPr>
        <w:pStyle w:val="ListParagraph"/>
        <w:numPr>
          <w:ilvl w:val="0"/>
          <w:numId w:val="276"/>
        </w:numPr>
        <w:tabs>
          <w:tab w:pos="1919" w:val="left" w:leader="none"/>
        </w:tabs>
        <w:spacing w:line="240" w:lineRule="auto" w:before="120" w:after="0"/>
        <w:ind w:left="1918" w:right="0" w:hanging="567"/>
        <w:jc w:val="both"/>
        <w:rPr>
          <w:sz w:val="24"/>
        </w:rPr>
      </w:pPr>
      <w:r>
        <w:rPr>
          <w:sz w:val="24"/>
        </w:rPr>
        <w:t>A </w:t>
      </w:r>
      <w:r>
        <w:rPr>
          <w:i/>
          <w:sz w:val="24"/>
        </w:rPr>
        <w:t>Network Service Provider</w:t>
      </w:r>
      <w:r>
        <w:rPr>
          <w:i/>
          <w:spacing w:val="-1"/>
          <w:sz w:val="24"/>
        </w:rPr>
        <w:t> </w:t>
      </w:r>
      <w:r>
        <w:rPr>
          <w:sz w:val="24"/>
        </w:rPr>
        <w:t>must:</w:t>
      </w:r>
    </w:p>
    <w:p>
      <w:pPr>
        <w:pStyle w:val="ListParagraph"/>
        <w:numPr>
          <w:ilvl w:val="1"/>
          <w:numId w:val="276"/>
        </w:numPr>
        <w:tabs>
          <w:tab w:pos="2486" w:val="left" w:leader="none"/>
        </w:tabs>
        <w:spacing w:line="240" w:lineRule="auto" w:before="120" w:after="0"/>
        <w:ind w:left="2486" w:right="415" w:hanging="567"/>
        <w:jc w:val="both"/>
        <w:rPr>
          <w:sz w:val="24"/>
        </w:rPr>
      </w:pPr>
      <w:r>
        <w:rPr>
          <w:sz w:val="24"/>
        </w:rPr>
        <w:t>cooperate with </w:t>
      </w:r>
      <w:r>
        <w:rPr>
          <w:i/>
          <w:sz w:val="24"/>
        </w:rPr>
        <w:t>AEMO </w:t>
      </w:r>
      <w:r>
        <w:rPr>
          <w:sz w:val="24"/>
        </w:rPr>
        <w:t>in the conduct of </w:t>
      </w:r>
      <w:r>
        <w:rPr>
          <w:i/>
          <w:sz w:val="24"/>
        </w:rPr>
        <w:t>power system frequency risk </w:t>
      </w:r>
      <w:r>
        <w:rPr>
          <w:i/>
          <w:sz w:val="24"/>
        </w:rPr>
        <w:t>reviews </w:t>
      </w:r>
      <w:r>
        <w:rPr>
          <w:sz w:val="24"/>
        </w:rPr>
        <w:t>and provide to </w:t>
      </w:r>
      <w:r>
        <w:rPr>
          <w:i/>
          <w:sz w:val="24"/>
        </w:rPr>
        <w:t>AEMO </w:t>
      </w:r>
      <w:r>
        <w:rPr>
          <w:sz w:val="24"/>
        </w:rPr>
        <w:t>all information and assistance reasonably requested by </w:t>
      </w:r>
      <w:r>
        <w:rPr>
          <w:i/>
          <w:sz w:val="24"/>
        </w:rPr>
        <w:t>AEMO </w:t>
      </w:r>
      <w:r>
        <w:rPr>
          <w:sz w:val="24"/>
        </w:rPr>
        <w:t>in connection with </w:t>
      </w:r>
      <w:r>
        <w:rPr>
          <w:i/>
          <w:sz w:val="24"/>
        </w:rPr>
        <w:t>power system </w:t>
      </w:r>
      <w:r>
        <w:rPr>
          <w:i/>
          <w:sz w:val="24"/>
        </w:rPr>
        <w:t>frequency risk reviews</w:t>
      </w:r>
      <w:r>
        <w:rPr>
          <w:sz w:val="24"/>
        </w:rPr>
        <w:t>;</w:t>
      </w:r>
      <w:r>
        <w:rPr>
          <w:spacing w:val="-3"/>
          <w:sz w:val="24"/>
        </w:rPr>
        <w:t> </w:t>
      </w:r>
      <w:r>
        <w:rPr>
          <w:sz w:val="24"/>
        </w:rPr>
        <w:t>and</w:t>
      </w:r>
    </w:p>
    <w:p>
      <w:pPr>
        <w:pStyle w:val="ListParagraph"/>
        <w:numPr>
          <w:ilvl w:val="1"/>
          <w:numId w:val="276"/>
        </w:numPr>
        <w:tabs>
          <w:tab w:pos="2486" w:val="left" w:leader="none"/>
        </w:tabs>
        <w:spacing w:line="240" w:lineRule="auto" w:before="120" w:after="0"/>
        <w:ind w:left="2486" w:right="414" w:hanging="567"/>
        <w:jc w:val="both"/>
        <w:rPr>
          <w:sz w:val="24"/>
        </w:rPr>
      </w:pPr>
      <w:r>
        <w:rPr>
          <w:sz w:val="24"/>
        </w:rPr>
        <w:t>provide to </w:t>
      </w:r>
      <w:r>
        <w:rPr>
          <w:i/>
          <w:sz w:val="24"/>
        </w:rPr>
        <w:t>AEMO </w:t>
      </w:r>
      <w:r>
        <w:rPr>
          <w:sz w:val="24"/>
        </w:rPr>
        <w:t>all information and assistance reasonably requested by </w:t>
      </w:r>
      <w:r>
        <w:rPr>
          <w:i/>
          <w:sz w:val="24"/>
        </w:rPr>
        <w:t>AEMO </w:t>
      </w:r>
      <w:r>
        <w:rPr>
          <w:sz w:val="24"/>
        </w:rPr>
        <w:t>for the development and review of </w:t>
      </w:r>
      <w:r>
        <w:rPr>
          <w:i/>
          <w:sz w:val="24"/>
        </w:rPr>
        <w:t>EFCS settings </w:t>
      </w:r>
      <w:r>
        <w:rPr>
          <w:i/>
          <w:sz w:val="24"/>
        </w:rPr>
        <w:t>schedules</w:t>
      </w:r>
      <w:r>
        <w:rPr>
          <w:sz w:val="24"/>
        </w:rPr>
        <w:t>.</w:t>
      </w:r>
    </w:p>
    <w:p>
      <w:pPr>
        <w:pStyle w:val="ListParagraph"/>
        <w:numPr>
          <w:ilvl w:val="0"/>
          <w:numId w:val="276"/>
        </w:numPr>
        <w:tabs>
          <w:tab w:pos="1919" w:val="left" w:leader="none"/>
        </w:tabs>
        <w:spacing w:line="240" w:lineRule="auto" w:before="120" w:after="0"/>
        <w:ind w:left="1919" w:right="415" w:hanging="567"/>
        <w:jc w:val="both"/>
        <w:rPr>
          <w:sz w:val="24"/>
        </w:rPr>
      </w:pPr>
      <w:r>
        <w:rPr>
          <w:sz w:val="24"/>
        </w:rPr>
        <w:t>Where a </w:t>
      </w:r>
      <w:r>
        <w:rPr>
          <w:i/>
          <w:sz w:val="24"/>
        </w:rPr>
        <w:t>protected event EFCS standard </w:t>
      </w:r>
      <w:r>
        <w:rPr>
          <w:sz w:val="24"/>
        </w:rPr>
        <w:t>has been determined for an </w:t>
      </w:r>
      <w:r>
        <w:rPr>
          <w:i/>
          <w:sz w:val="24"/>
        </w:rPr>
        <w:t>emergency frequency control scheme </w:t>
      </w:r>
      <w:r>
        <w:rPr>
          <w:sz w:val="24"/>
        </w:rPr>
        <w:t>applicable in respect of a </w:t>
      </w:r>
      <w:r>
        <w:rPr>
          <w:i/>
          <w:sz w:val="24"/>
        </w:rPr>
        <w:t>Network </w:t>
      </w:r>
      <w:r>
        <w:rPr>
          <w:i/>
          <w:sz w:val="24"/>
        </w:rPr>
        <w:t>Service Provider's transmission </w:t>
      </w:r>
      <w:r>
        <w:rPr>
          <w:sz w:val="24"/>
        </w:rPr>
        <w:t>or </w:t>
      </w:r>
      <w:r>
        <w:rPr>
          <w:i/>
          <w:sz w:val="24"/>
        </w:rPr>
        <w:t>distribution system</w:t>
      </w:r>
      <w:r>
        <w:rPr>
          <w:sz w:val="24"/>
        </w:rPr>
        <w:t>, the </w:t>
      </w:r>
      <w:r>
        <w:rPr>
          <w:i/>
          <w:sz w:val="24"/>
        </w:rPr>
        <w:t>Network Service </w:t>
      </w:r>
      <w:r>
        <w:rPr>
          <w:i/>
          <w:sz w:val="24"/>
        </w:rPr>
        <w:t>Provider</w:t>
      </w:r>
      <w:r>
        <w:rPr>
          <w:i/>
          <w:spacing w:val="-1"/>
          <w:sz w:val="24"/>
        </w:rPr>
        <w:t> </w:t>
      </w:r>
      <w:r>
        <w:rPr>
          <w:sz w:val="24"/>
        </w:rPr>
        <w:t>must:</w:t>
      </w:r>
    </w:p>
    <w:p>
      <w:pPr>
        <w:pStyle w:val="ListParagraph"/>
        <w:numPr>
          <w:ilvl w:val="1"/>
          <w:numId w:val="276"/>
        </w:numPr>
        <w:tabs>
          <w:tab w:pos="2486" w:val="left" w:leader="none"/>
        </w:tabs>
        <w:spacing w:line="240" w:lineRule="auto" w:before="120" w:after="0"/>
        <w:ind w:left="2486" w:right="414" w:hanging="567"/>
        <w:jc w:val="both"/>
        <w:rPr>
          <w:sz w:val="24"/>
        </w:rPr>
      </w:pPr>
      <w:r>
        <w:rPr>
          <w:sz w:val="24"/>
        </w:rPr>
        <w:t>design, procure, commission, maintain, monitor, test, modify and report to </w:t>
      </w:r>
      <w:r>
        <w:rPr>
          <w:i/>
          <w:sz w:val="24"/>
        </w:rPr>
        <w:t>AEMO </w:t>
      </w:r>
      <w:r>
        <w:rPr>
          <w:sz w:val="24"/>
        </w:rPr>
        <w:t>in respect of, the </w:t>
      </w:r>
      <w:r>
        <w:rPr>
          <w:i/>
          <w:sz w:val="24"/>
        </w:rPr>
        <w:t>emergency frequency </w:t>
      </w:r>
      <w:r>
        <w:rPr>
          <w:i/>
          <w:spacing w:val="-3"/>
          <w:sz w:val="24"/>
        </w:rPr>
        <w:t>control </w:t>
      </w:r>
      <w:r>
        <w:rPr>
          <w:i/>
          <w:sz w:val="24"/>
        </w:rPr>
        <w:t>scheme</w:t>
      </w:r>
      <w:r>
        <w:rPr>
          <w:sz w:val="24"/>
        </w:rPr>
        <w:t>;</w:t>
      </w:r>
    </w:p>
    <w:p>
      <w:pPr>
        <w:pStyle w:val="ListParagraph"/>
        <w:numPr>
          <w:ilvl w:val="1"/>
          <w:numId w:val="276"/>
        </w:numPr>
        <w:tabs>
          <w:tab w:pos="2486" w:val="left" w:leader="none"/>
        </w:tabs>
        <w:spacing w:line="240" w:lineRule="auto" w:before="120" w:after="0"/>
        <w:ind w:left="2486" w:right="415" w:hanging="567"/>
        <w:jc w:val="both"/>
        <w:rPr>
          <w:sz w:val="24"/>
        </w:rPr>
      </w:pPr>
      <w:r>
        <w:rPr>
          <w:sz w:val="24"/>
        </w:rPr>
        <w:t>perform its obligations under subparagraph (1) so as to achieve the availability and operation of the scheme in accordance with the </w:t>
      </w:r>
      <w:r>
        <w:rPr>
          <w:i/>
          <w:sz w:val="24"/>
        </w:rPr>
        <w:t>protected event EFCS standard;</w:t>
      </w:r>
      <w:r>
        <w:rPr>
          <w:i/>
          <w:spacing w:val="-1"/>
          <w:sz w:val="24"/>
        </w:rPr>
        <w:t> </w:t>
      </w:r>
      <w:r>
        <w:rPr>
          <w:sz w:val="24"/>
        </w:rPr>
        <w:t>and</w:t>
      </w:r>
    </w:p>
    <w:p>
      <w:pPr>
        <w:pStyle w:val="ListParagraph"/>
        <w:numPr>
          <w:ilvl w:val="1"/>
          <w:numId w:val="276"/>
        </w:numPr>
        <w:tabs>
          <w:tab w:pos="2486" w:val="left" w:leader="none"/>
        </w:tabs>
        <w:spacing w:line="240" w:lineRule="auto" w:before="120" w:after="0"/>
        <w:ind w:left="2486" w:right="414" w:hanging="567"/>
        <w:jc w:val="both"/>
        <w:rPr>
          <w:sz w:val="24"/>
        </w:rPr>
      </w:pPr>
      <w:r>
        <w:rPr>
          <w:sz w:val="24"/>
        </w:rPr>
        <w:t>coordinate with </w:t>
      </w:r>
      <w:r>
        <w:rPr>
          <w:i/>
          <w:sz w:val="24"/>
        </w:rPr>
        <w:t>AEMO </w:t>
      </w:r>
      <w:r>
        <w:rPr>
          <w:sz w:val="24"/>
        </w:rPr>
        <w:t>in relation to the monitoring and testing of the scheme once it is in</w:t>
      </w:r>
      <w:r>
        <w:rPr>
          <w:spacing w:val="-2"/>
          <w:sz w:val="24"/>
        </w:rPr>
        <w:t> </w:t>
      </w:r>
      <w:r>
        <w:rPr>
          <w:sz w:val="24"/>
        </w:rPr>
        <w:t>operation.</w:t>
      </w:r>
    </w:p>
    <w:p>
      <w:pPr>
        <w:pStyle w:val="ListParagraph"/>
        <w:numPr>
          <w:ilvl w:val="0"/>
          <w:numId w:val="276"/>
        </w:numPr>
        <w:tabs>
          <w:tab w:pos="1919" w:val="left" w:leader="none"/>
        </w:tabs>
        <w:spacing w:line="240" w:lineRule="auto" w:before="120" w:after="0"/>
        <w:ind w:left="1919" w:right="415" w:hanging="567"/>
        <w:jc w:val="both"/>
        <w:rPr>
          <w:sz w:val="24"/>
        </w:rPr>
      </w:pPr>
      <w:r>
        <w:rPr>
          <w:sz w:val="24"/>
        </w:rPr>
        <w:t>A </w:t>
      </w:r>
      <w:r>
        <w:rPr>
          <w:i/>
          <w:sz w:val="24"/>
        </w:rPr>
        <w:t>Network Service Provider </w:t>
      </w:r>
      <w:r>
        <w:rPr>
          <w:sz w:val="24"/>
        </w:rPr>
        <w:t>must use reasonable endeavours to achieve commissioning of a new or upgraded </w:t>
      </w:r>
      <w:r>
        <w:rPr>
          <w:i/>
          <w:sz w:val="24"/>
        </w:rPr>
        <w:t>emergency frequency control scheme </w:t>
      </w:r>
      <w:r>
        <w:rPr>
          <w:sz w:val="24"/>
        </w:rPr>
        <w:t>within the time contemplated by the relevant </w:t>
      </w:r>
      <w:r>
        <w:rPr>
          <w:i/>
          <w:sz w:val="24"/>
        </w:rPr>
        <w:t>power system frequency risk </w:t>
      </w:r>
      <w:r>
        <w:rPr>
          <w:i/>
          <w:sz w:val="24"/>
        </w:rPr>
        <w:t>review </w:t>
      </w:r>
      <w:r>
        <w:rPr>
          <w:sz w:val="24"/>
        </w:rPr>
        <w:t>or, where applicable, </w:t>
      </w:r>
      <w:r>
        <w:rPr>
          <w:i/>
          <w:sz w:val="24"/>
        </w:rPr>
        <w:t>AEMO's </w:t>
      </w:r>
      <w:r>
        <w:rPr>
          <w:sz w:val="24"/>
        </w:rPr>
        <w:t>request to the </w:t>
      </w:r>
      <w:r>
        <w:rPr>
          <w:i/>
          <w:sz w:val="24"/>
        </w:rPr>
        <w:t>Reliability Panel </w:t>
      </w:r>
      <w:r>
        <w:rPr>
          <w:sz w:val="24"/>
        </w:rPr>
        <w:t>for declaration of a </w:t>
      </w:r>
      <w:r>
        <w:rPr>
          <w:i/>
          <w:sz w:val="24"/>
        </w:rPr>
        <w:t>non-credible contingency event </w:t>
      </w:r>
      <w:r>
        <w:rPr>
          <w:sz w:val="24"/>
        </w:rPr>
        <w:t>as a </w:t>
      </w:r>
      <w:r>
        <w:rPr>
          <w:i/>
          <w:sz w:val="24"/>
        </w:rPr>
        <w:t>protected event </w:t>
      </w:r>
      <w:r>
        <w:rPr>
          <w:sz w:val="24"/>
        </w:rPr>
        <w:t>and the decision of the </w:t>
      </w:r>
      <w:r>
        <w:rPr>
          <w:i/>
          <w:sz w:val="24"/>
        </w:rPr>
        <w:t>Reliability Panel </w:t>
      </w:r>
      <w:r>
        <w:rPr>
          <w:sz w:val="24"/>
        </w:rPr>
        <w:t>with respect to that</w:t>
      </w:r>
      <w:r>
        <w:rPr>
          <w:spacing w:val="-3"/>
          <w:sz w:val="24"/>
        </w:rPr>
        <w:t> </w:t>
      </w:r>
      <w:r>
        <w:rPr>
          <w:sz w:val="24"/>
        </w:rPr>
        <w:t>request.</w:t>
      </w:r>
    </w:p>
    <w:p>
      <w:pPr>
        <w:pStyle w:val="ListParagraph"/>
        <w:numPr>
          <w:ilvl w:val="0"/>
          <w:numId w:val="276"/>
        </w:numPr>
        <w:tabs>
          <w:tab w:pos="1919" w:val="left" w:leader="none"/>
        </w:tabs>
        <w:spacing w:line="240" w:lineRule="auto" w:before="120" w:after="0"/>
        <w:ind w:left="1918" w:right="0" w:hanging="567"/>
        <w:jc w:val="both"/>
        <w:rPr>
          <w:sz w:val="24"/>
        </w:rPr>
      </w:pPr>
      <w:r>
        <w:rPr>
          <w:sz w:val="24"/>
        </w:rPr>
        <w:t>For an </w:t>
      </w:r>
      <w:r>
        <w:rPr>
          <w:i/>
          <w:sz w:val="24"/>
        </w:rPr>
        <w:t>over frequency</w:t>
      </w:r>
      <w:r>
        <w:rPr>
          <w:i/>
          <w:spacing w:val="-1"/>
          <w:sz w:val="24"/>
        </w:rPr>
        <w:t> </w:t>
      </w:r>
      <w:r>
        <w:rPr>
          <w:i/>
          <w:sz w:val="24"/>
        </w:rPr>
        <w:t>scheme</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276"/>
        </w:numPr>
        <w:tabs>
          <w:tab w:pos="2486" w:val="left" w:leader="none"/>
        </w:tabs>
        <w:spacing w:line="240" w:lineRule="auto" w:before="83" w:after="0"/>
        <w:ind w:left="2486" w:right="415" w:hanging="567"/>
        <w:jc w:val="both"/>
        <w:rPr>
          <w:sz w:val="24"/>
        </w:rPr>
      </w:pPr>
      <w:r>
        <w:rPr>
          <w:sz w:val="24"/>
        </w:rPr>
        <w:t>a </w:t>
      </w:r>
      <w:r>
        <w:rPr>
          <w:i/>
          <w:sz w:val="24"/>
        </w:rPr>
        <w:t>Network Service Provider </w:t>
      </w:r>
      <w:r>
        <w:rPr>
          <w:sz w:val="24"/>
        </w:rPr>
        <w:t>must identify which elements of the scheme (if any) can be implemented by </w:t>
      </w:r>
      <w:r>
        <w:rPr>
          <w:i/>
          <w:sz w:val="24"/>
        </w:rPr>
        <w:t>facilities </w:t>
      </w:r>
      <w:r>
        <w:rPr>
          <w:sz w:val="24"/>
        </w:rPr>
        <w:t>provided by a </w:t>
      </w:r>
      <w:r>
        <w:rPr>
          <w:i/>
          <w:sz w:val="24"/>
        </w:rPr>
        <w:t>Generator </w:t>
      </w:r>
      <w:r>
        <w:rPr>
          <w:sz w:val="24"/>
        </w:rPr>
        <w:t>for the </w:t>
      </w:r>
      <w:r>
        <w:rPr>
          <w:i/>
          <w:sz w:val="24"/>
        </w:rPr>
        <w:t>Generator's generating unit </w:t>
      </w:r>
      <w:r>
        <w:rPr>
          <w:sz w:val="24"/>
        </w:rPr>
        <w:t>or by modification to the </w:t>
      </w:r>
      <w:r>
        <w:rPr>
          <w:i/>
          <w:sz w:val="24"/>
        </w:rPr>
        <w:t>facilities </w:t>
      </w:r>
      <w:r>
        <w:rPr>
          <w:sz w:val="24"/>
        </w:rPr>
        <w:t>of the </w:t>
      </w:r>
      <w:r>
        <w:rPr>
          <w:i/>
          <w:sz w:val="24"/>
        </w:rPr>
        <w:t>Generator </w:t>
      </w:r>
      <w:r>
        <w:rPr>
          <w:sz w:val="24"/>
        </w:rPr>
        <w:t>or by changes to the settings of </w:t>
      </w:r>
      <w:r>
        <w:rPr>
          <w:i/>
          <w:sz w:val="24"/>
        </w:rPr>
        <w:t>protection systems </w:t>
      </w:r>
      <w:r>
        <w:rPr>
          <w:sz w:val="24"/>
        </w:rPr>
        <w:t>or </w:t>
      </w:r>
      <w:r>
        <w:rPr>
          <w:i/>
          <w:sz w:val="24"/>
        </w:rPr>
        <w:t>control systems </w:t>
      </w:r>
      <w:r>
        <w:rPr>
          <w:sz w:val="24"/>
        </w:rPr>
        <w:t>for the </w:t>
      </w:r>
      <w:r>
        <w:rPr>
          <w:i/>
          <w:sz w:val="24"/>
        </w:rPr>
        <w:t>Generator's generating </w:t>
      </w:r>
      <w:r>
        <w:rPr>
          <w:i/>
          <w:sz w:val="24"/>
        </w:rPr>
        <w:t>units</w:t>
      </w:r>
      <w:r>
        <w:rPr>
          <w:sz w:val="24"/>
        </w:rPr>
        <w:t>.</w:t>
      </w:r>
    </w:p>
    <w:p>
      <w:pPr>
        <w:pStyle w:val="ListParagraph"/>
        <w:numPr>
          <w:ilvl w:val="1"/>
          <w:numId w:val="276"/>
        </w:numPr>
        <w:tabs>
          <w:tab w:pos="2486" w:val="left" w:leader="none"/>
        </w:tabs>
        <w:spacing w:line="240" w:lineRule="auto" w:before="120" w:after="0"/>
        <w:ind w:left="2486" w:right="414" w:hanging="567"/>
        <w:jc w:val="both"/>
        <w:rPr>
          <w:sz w:val="24"/>
        </w:rPr>
      </w:pPr>
      <w:r>
        <w:rPr>
          <w:sz w:val="24"/>
        </w:rPr>
        <w:t>Where those opportunities are identified, the </w:t>
      </w:r>
      <w:r>
        <w:rPr>
          <w:i/>
          <w:sz w:val="24"/>
        </w:rPr>
        <w:t>Network Service </w:t>
      </w:r>
      <w:r>
        <w:rPr>
          <w:i/>
          <w:sz w:val="24"/>
        </w:rPr>
        <w:t>Provider </w:t>
      </w:r>
      <w:r>
        <w:rPr>
          <w:sz w:val="24"/>
        </w:rPr>
        <w:t>must notify the </w:t>
      </w:r>
      <w:r>
        <w:rPr>
          <w:i/>
          <w:sz w:val="24"/>
        </w:rPr>
        <w:t>Generator </w:t>
      </w:r>
      <w:r>
        <w:rPr>
          <w:sz w:val="24"/>
        </w:rPr>
        <w:t>concerned of the opportunity and must request the </w:t>
      </w:r>
      <w:r>
        <w:rPr>
          <w:i/>
          <w:sz w:val="24"/>
        </w:rPr>
        <w:t>Generator </w:t>
      </w:r>
      <w:r>
        <w:rPr>
          <w:sz w:val="24"/>
        </w:rPr>
        <w:t>to negotiate with the </w:t>
      </w:r>
      <w:r>
        <w:rPr>
          <w:i/>
          <w:sz w:val="24"/>
        </w:rPr>
        <w:t>Network Service </w:t>
      </w:r>
      <w:r>
        <w:rPr>
          <w:i/>
          <w:sz w:val="24"/>
        </w:rPr>
        <w:t>Provider </w:t>
      </w:r>
      <w:r>
        <w:rPr>
          <w:sz w:val="24"/>
        </w:rPr>
        <w:t>to reach agreement on the modifications to be made and the other arrangements required by the </w:t>
      </w:r>
      <w:r>
        <w:rPr>
          <w:i/>
          <w:sz w:val="24"/>
        </w:rPr>
        <w:t>Network Service Provider </w:t>
      </w:r>
      <w:r>
        <w:rPr>
          <w:sz w:val="24"/>
        </w:rPr>
        <w:t>to comply with its obligations with respect to the scheme</w:t>
      </w:r>
      <w:r>
        <w:rPr>
          <w:spacing w:val="32"/>
          <w:sz w:val="24"/>
        </w:rPr>
        <w:t> </w:t>
      </w:r>
      <w:r>
        <w:rPr>
          <w:sz w:val="24"/>
        </w:rPr>
        <w:t>(including commissioning, testing, monitoring and future</w:t>
      </w:r>
      <w:r>
        <w:rPr>
          <w:spacing w:val="-2"/>
          <w:sz w:val="24"/>
        </w:rPr>
        <w:t> </w:t>
      </w:r>
      <w:r>
        <w:rPr>
          <w:sz w:val="24"/>
        </w:rPr>
        <w:t>modification).</w:t>
      </w:r>
    </w:p>
    <w:p>
      <w:pPr>
        <w:pStyle w:val="ListParagraph"/>
        <w:numPr>
          <w:ilvl w:val="1"/>
          <w:numId w:val="276"/>
        </w:numPr>
        <w:tabs>
          <w:tab w:pos="2486" w:val="left" w:leader="none"/>
        </w:tabs>
        <w:spacing w:line="240" w:lineRule="auto" w:before="120" w:after="0"/>
        <w:ind w:left="2486" w:right="414" w:hanging="567"/>
        <w:jc w:val="both"/>
        <w:rPr>
          <w:sz w:val="24"/>
        </w:rPr>
      </w:pPr>
      <w:r>
        <w:rPr>
          <w:sz w:val="24"/>
        </w:rPr>
        <w:t>If the </w:t>
      </w:r>
      <w:r>
        <w:rPr>
          <w:i/>
          <w:sz w:val="24"/>
        </w:rPr>
        <w:t>Generator </w:t>
      </w:r>
      <w:r>
        <w:rPr>
          <w:sz w:val="24"/>
        </w:rPr>
        <w:t>declines the request, or if the </w:t>
      </w:r>
      <w:r>
        <w:rPr>
          <w:i/>
          <w:sz w:val="24"/>
        </w:rPr>
        <w:t>Generator </w:t>
      </w:r>
      <w:r>
        <w:rPr>
          <w:sz w:val="24"/>
        </w:rPr>
        <w:t>agrees to the request but good faith negotiations do not result in agreement being reached in a reasonable time (having regard to the implementation timetable for the scheme), the </w:t>
      </w:r>
      <w:r>
        <w:rPr>
          <w:i/>
          <w:sz w:val="24"/>
        </w:rPr>
        <w:t>Network Service Provider </w:t>
      </w:r>
      <w:r>
        <w:rPr>
          <w:sz w:val="24"/>
        </w:rPr>
        <w:t>may make other arrangements to implement the relevant elements of the</w:t>
      </w:r>
      <w:r>
        <w:rPr>
          <w:spacing w:val="-11"/>
          <w:sz w:val="24"/>
        </w:rPr>
        <w:t> </w:t>
      </w:r>
      <w:r>
        <w:rPr>
          <w:sz w:val="24"/>
        </w:rPr>
        <w:t>scheme.</w:t>
      </w:r>
    </w:p>
    <w:p>
      <w:pPr>
        <w:pStyle w:val="ListParagraph"/>
        <w:numPr>
          <w:ilvl w:val="1"/>
          <w:numId w:val="276"/>
        </w:numPr>
        <w:tabs>
          <w:tab w:pos="2486" w:val="left" w:leader="none"/>
        </w:tabs>
        <w:spacing w:line="240" w:lineRule="auto" w:before="120" w:after="0"/>
        <w:ind w:left="2486" w:right="415" w:hanging="567"/>
        <w:jc w:val="both"/>
        <w:rPr>
          <w:sz w:val="24"/>
        </w:rPr>
      </w:pPr>
      <w:r>
        <w:rPr>
          <w:sz w:val="24"/>
        </w:rPr>
        <w:t>If the </w:t>
      </w:r>
      <w:r>
        <w:rPr>
          <w:i/>
          <w:sz w:val="24"/>
        </w:rPr>
        <w:t>Generator </w:t>
      </w:r>
      <w:r>
        <w:rPr>
          <w:sz w:val="24"/>
        </w:rPr>
        <w:t>accepts the request, the </w:t>
      </w:r>
      <w:r>
        <w:rPr>
          <w:i/>
          <w:sz w:val="24"/>
        </w:rPr>
        <w:t>Generator </w:t>
      </w:r>
      <w:r>
        <w:rPr>
          <w:sz w:val="24"/>
        </w:rPr>
        <w:t>and the </w:t>
      </w:r>
      <w:r>
        <w:rPr>
          <w:i/>
          <w:sz w:val="24"/>
        </w:rPr>
        <w:t>Network </w:t>
      </w:r>
      <w:r>
        <w:rPr>
          <w:i/>
          <w:sz w:val="24"/>
        </w:rPr>
        <w:t>Service Provider </w:t>
      </w:r>
      <w:r>
        <w:rPr>
          <w:sz w:val="24"/>
        </w:rPr>
        <w:t>must each negotiate in good faith with respect to the matters referred to</w:t>
      </w:r>
      <w:r>
        <w:rPr>
          <w:spacing w:val="-1"/>
          <w:sz w:val="24"/>
        </w:rPr>
        <w:t> </w:t>
      </w:r>
      <w:r>
        <w:rPr>
          <w:sz w:val="24"/>
        </w:rPr>
        <w:t>above.</w:t>
      </w:r>
    </w:p>
    <w:p>
      <w:pPr>
        <w:pStyle w:val="ListParagraph"/>
        <w:numPr>
          <w:ilvl w:val="0"/>
          <w:numId w:val="276"/>
        </w:numPr>
        <w:tabs>
          <w:tab w:pos="1919" w:val="left" w:leader="none"/>
        </w:tabs>
        <w:spacing w:line="240" w:lineRule="auto" w:before="120" w:after="0"/>
        <w:ind w:left="1918" w:right="0" w:hanging="567"/>
        <w:jc w:val="both"/>
        <w:rPr>
          <w:sz w:val="24"/>
        </w:rPr>
      </w:pPr>
      <w:r>
        <w:rPr>
          <w:sz w:val="24"/>
        </w:rPr>
        <w:t>Nothing in paragraph (d) is intended to prevent the exercise of rights under</w:t>
      </w:r>
      <w:r>
        <w:rPr>
          <w:spacing w:val="-4"/>
          <w:sz w:val="24"/>
        </w:rPr>
        <w:t> </w:t>
      </w:r>
      <w:r>
        <w:rPr>
          <w:sz w:val="24"/>
        </w:rPr>
        <w:t>a</w:t>
      </w:r>
    </w:p>
    <w:p>
      <w:pPr>
        <w:spacing w:before="0"/>
        <w:ind w:left="1919" w:right="0" w:firstLine="0"/>
        <w:jc w:val="both"/>
        <w:rPr>
          <w:sz w:val="24"/>
        </w:rPr>
      </w:pPr>
      <w:r>
        <w:rPr>
          <w:i/>
          <w:sz w:val="24"/>
        </w:rPr>
        <w:t>connection agreement</w:t>
      </w:r>
      <w:r>
        <w:rPr>
          <w:sz w:val="24"/>
        </w:rPr>
        <w:t>.</w:t>
      </w:r>
    </w:p>
    <w:p>
      <w:pPr>
        <w:pStyle w:val="ListParagraph"/>
        <w:numPr>
          <w:ilvl w:val="0"/>
          <w:numId w:val="276"/>
        </w:numPr>
        <w:tabs>
          <w:tab w:pos="1920" w:val="left" w:leader="none"/>
        </w:tabs>
        <w:spacing w:line="240" w:lineRule="auto" w:before="120" w:after="0"/>
        <w:ind w:left="1919" w:right="415" w:hanging="567"/>
        <w:jc w:val="both"/>
        <w:rPr>
          <w:sz w:val="24"/>
        </w:rPr>
      </w:pPr>
      <w:r>
        <w:rPr>
          <w:sz w:val="24"/>
        </w:rPr>
        <w:t>Nothing in paragraph (d) is intended to constitute or require an </w:t>
      </w:r>
      <w:r>
        <w:rPr>
          <w:i/>
          <w:sz w:val="24"/>
        </w:rPr>
        <w:t>application </w:t>
      </w:r>
      <w:r>
        <w:rPr>
          <w:i/>
          <w:sz w:val="24"/>
        </w:rPr>
        <w:t>to connect </w:t>
      </w:r>
      <w:r>
        <w:rPr>
          <w:sz w:val="24"/>
        </w:rPr>
        <w:t>for the purposes of rule 5.3 or rule 5.3A. If clause 5.3.9 applies in respect of alterations for an </w:t>
      </w:r>
      <w:r>
        <w:rPr>
          <w:i/>
          <w:sz w:val="24"/>
        </w:rPr>
        <w:t>over frequency scheme </w:t>
      </w:r>
      <w:r>
        <w:rPr>
          <w:sz w:val="24"/>
        </w:rPr>
        <w:t>the subject of negotiations under paragraph (d), the </w:t>
      </w:r>
      <w:r>
        <w:rPr>
          <w:i/>
          <w:sz w:val="24"/>
        </w:rPr>
        <w:t>Network Service Provider </w:t>
      </w:r>
      <w:r>
        <w:rPr>
          <w:sz w:val="24"/>
        </w:rPr>
        <w:t>cannot charge a fee under clause 5.3.9(e) for assessment of a submission in respect of those</w:t>
      </w:r>
      <w:r>
        <w:rPr>
          <w:spacing w:val="-1"/>
          <w:sz w:val="24"/>
        </w:rPr>
        <w:t> </w:t>
      </w:r>
      <w:r>
        <w:rPr>
          <w:sz w:val="24"/>
        </w:rPr>
        <w:t>alterations.</w:t>
      </w:r>
    </w:p>
    <w:p>
      <w:pPr>
        <w:pStyle w:val="BodyText"/>
        <w:spacing w:before="10"/>
        <w:ind w:firstLine="0"/>
        <w:jc w:val="left"/>
        <w:rPr>
          <w:sz w:val="20"/>
        </w:rPr>
      </w:pPr>
    </w:p>
    <w:p>
      <w:pPr>
        <w:pStyle w:val="Heading4"/>
        <w:ind w:left="218" w:firstLine="0"/>
      </w:pPr>
      <w:bookmarkStart w:name="S5.1.10.2 Distribution Network Service P" w:id="948"/>
      <w:bookmarkEnd w:id="948"/>
      <w:r>
        <w:rPr>
          <w:b w:val="0"/>
        </w:rPr>
      </w:r>
      <w:bookmarkStart w:name="_bookmark366" w:id="949"/>
      <w:bookmarkEnd w:id="949"/>
      <w:r>
        <w:rPr>
          <w:b w:val="0"/>
        </w:rPr>
      </w:r>
      <w:r>
        <w:rPr/>
        <w:t>S5.1.10.2 Distribution Network Service Providers</w:t>
      </w:r>
    </w:p>
    <w:p>
      <w:pPr>
        <w:spacing w:before="120"/>
        <w:ind w:left="1352" w:right="0" w:firstLine="0"/>
        <w:jc w:val="both"/>
        <w:rPr>
          <w:sz w:val="24"/>
        </w:rPr>
      </w:pPr>
      <w:r>
        <w:rPr>
          <w:sz w:val="24"/>
        </w:rPr>
        <w:t>A </w:t>
      </w:r>
      <w:r>
        <w:rPr>
          <w:i/>
          <w:sz w:val="24"/>
        </w:rPr>
        <w:t>Distribution Network Service Provider </w:t>
      </w:r>
      <w:r>
        <w:rPr>
          <w:sz w:val="24"/>
        </w:rPr>
        <w:t>must:</w:t>
      </w:r>
    </w:p>
    <w:p>
      <w:pPr>
        <w:pStyle w:val="ListParagraph"/>
        <w:numPr>
          <w:ilvl w:val="0"/>
          <w:numId w:val="277"/>
        </w:numPr>
        <w:tabs>
          <w:tab w:pos="1919" w:val="left" w:leader="none"/>
        </w:tabs>
        <w:spacing w:line="240" w:lineRule="auto" w:before="120" w:after="0"/>
        <w:ind w:left="1919" w:right="415" w:hanging="567"/>
        <w:jc w:val="both"/>
        <w:rPr>
          <w:sz w:val="24"/>
        </w:rPr>
      </w:pPr>
      <w:r>
        <w:rPr>
          <w:sz w:val="24"/>
        </w:rPr>
        <w:t>provide, install, operate and maintain </w:t>
      </w:r>
      <w:r>
        <w:rPr>
          <w:i/>
          <w:sz w:val="24"/>
        </w:rPr>
        <w:t>facilities </w:t>
      </w:r>
      <w:r>
        <w:rPr>
          <w:sz w:val="24"/>
        </w:rPr>
        <w:t>for </w:t>
      </w:r>
      <w:r>
        <w:rPr>
          <w:i/>
          <w:sz w:val="24"/>
        </w:rPr>
        <w:t>load shedding </w:t>
      </w:r>
      <w:r>
        <w:rPr>
          <w:sz w:val="24"/>
        </w:rPr>
        <w:t>in respect of any </w:t>
      </w:r>
      <w:r>
        <w:rPr>
          <w:i/>
          <w:sz w:val="24"/>
        </w:rPr>
        <w:t>connection point </w:t>
      </w:r>
      <w:r>
        <w:rPr>
          <w:sz w:val="24"/>
        </w:rPr>
        <w:t>at which the maximum </w:t>
      </w:r>
      <w:r>
        <w:rPr>
          <w:i/>
          <w:sz w:val="24"/>
        </w:rPr>
        <w:t>load </w:t>
      </w:r>
      <w:r>
        <w:rPr>
          <w:sz w:val="24"/>
        </w:rPr>
        <w:t>exceeds 10MW in accordance with clause 4.3.5 of the</w:t>
      </w:r>
      <w:r>
        <w:rPr>
          <w:spacing w:val="-3"/>
          <w:sz w:val="24"/>
        </w:rPr>
        <w:t> </w:t>
      </w:r>
      <w:r>
        <w:rPr>
          <w:i/>
          <w:sz w:val="24"/>
        </w:rPr>
        <w:t>Rules</w:t>
      </w:r>
      <w:r>
        <w:rPr>
          <w:sz w:val="24"/>
        </w:rPr>
        <w:t>;</w:t>
      </w:r>
    </w:p>
    <w:p>
      <w:pPr>
        <w:pStyle w:val="ListParagraph"/>
        <w:numPr>
          <w:ilvl w:val="0"/>
          <w:numId w:val="277"/>
        </w:numPr>
        <w:tabs>
          <w:tab w:pos="1919" w:val="left" w:leader="none"/>
        </w:tabs>
        <w:spacing w:line="240" w:lineRule="auto" w:before="120" w:after="0"/>
        <w:ind w:left="1919" w:right="414" w:hanging="567"/>
        <w:jc w:val="both"/>
        <w:rPr>
          <w:sz w:val="24"/>
        </w:rPr>
      </w:pPr>
      <w:r>
        <w:rPr>
          <w:sz w:val="24"/>
        </w:rPr>
        <w:t>in accordance with the provisions of the relevant </w:t>
      </w:r>
      <w:r>
        <w:rPr>
          <w:i/>
          <w:sz w:val="24"/>
        </w:rPr>
        <w:t>connection agreement</w:t>
      </w:r>
      <w:r>
        <w:rPr>
          <w:sz w:val="24"/>
        </w:rPr>
        <w:t>, co- operate with the </w:t>
      </w:r>
      <w:r>
        <w:rPr>
          <w:i/>
          <w:sz w:val="24"/>
        </w:rPr>
        <w:t>Transmission Network Service Providers </w:t>
      </w:r>
      <w:r>
        <w:rPr>
          <w:sz w:val="24"/>
        </w:rPr>
        <w:t>in conducting periodic functional testing of the </w:t>
      </w:r>
      <w:r>
        <w:rPr>
          <w:i/>
          <w:sz w:val="24"/>
        </w:rPr>
        <w:t>facilities </w:t>
      </w:r>
      <w:r>
        <w:rPr>
          <w:sz w:val="24"/>
        </w:rPr>
        <w:t>and </w:t>
      </w:r>
      <w:r>
        <w:rPr>
          <w:i/>
          <w:sz w:val="24"/>
        </w:rPr>
        <w:t>emergency frequency control </w:t>
      </w:r>
      <w:r>
        <w:rPr>
          <w:i/>
          <w:sz w:val="24"/>
        </w:rPr>
        <w:t>schemes</w:t>
      </w:r>
      <w:r>
        <w:rPr>
          <w:sz w:val="24"/>
        </w:rPr>
        <w:t>, which must not require </w:t>
      </w:r>
      <w:r>
        <w:rPr>
          <w:i/>
          <w:sz w:val="24"/>
        </w:rPr>
        <w:t>load </w:t>
      </w:r>
      <w:r>
        <w:rPr>
          <w:sz w:val="24"/>
        </w:rPr>
        <w:t>to be</w:t>
      </w:r>
      <w:r>
        <w:rPr>
          <w:spacing w:val="-4"/>
          <w:sz w:val="24"/>
        </w:rPr>
        <w:t> </w:t>
      </w:r>
      <w:r>
        <w:rPr>
          <w:i/>
          <w:sz w:val="24"/>
        </w:rPr>
        <w:t>disconnected</w:t>
      </w:r>
      <w:r>
        <w:rPr>
          <w:sz w:val="24"/>
        </w:rPr>
        <w:t>;</w:t>
      </w:r>
    </w:p>
    <w:p>
      <w:pPr>
        <w:pStyle w:val="ListParagraph"/>
        <w:numPr>
          <w:ilvl w:val="0"/>
          <w:numId w:val="277"/>
        </w:numPr>
        <w:tabs>
          <w:tab w:pos="1919" w:val="left" w:leader="none"/>
        </w:tabs>
        <w:spacing w:line="240" w:lineRule="auto" w:before="120" w:after="0"/>
        <w:ind w:left="1918" w:right="0" w:hanging="567"/>
        <w:jc w:val="both"/>
        <w:rPr>
          <w:i/>
          <w:sz w:val="24"/>
        </w:rPr>
      </w:pPr>
      <w:r>
        <w:rPr>
          <w:sz w:val="24"/>
        </w:rPr>
        <w:t>apply </w:t>
      </w:r>
      <w:r>
        <w:rPr>
          <w:i/>
          <w:sz w:val="24"/>
        </w:rPr>
        <w:t>frequency </w:t>
      </w:r>
      <w:r>
        <w:rPr>
          <w:sz w:val="24"/>
        </w:rPr>
        <w:t>settings to relays or other </w:t>
      </w:r>
      <w:r>
        <w:rPr>
          <w:i/>
          <w:sz w:val="24"/>
        </w:rPr>
        <w:t>facilities </w:t>
      </w:r>
      <w:r>
        <w:rPr>
          <w:sz w:val="24"/>
        </w:rPr>
        <w:t>as determined by</w:t>
      </w:r>
      <w:r>
        <w:rPr>
          <w:spacing w:val="18"/>
          <w:sz w:val="24"/>
        </w:rPr>
        <w:t> </w:t>
      </w:r>
      <w:r>
        <w:rPr>
          <w:i/>
          <w:sz w:val="24"/>
        </w:rPr>
        <w:t>AEMO</w:t>
      </w:r>
    </w:p>
    <w:p>
      <w:pPr>
        <w:spacing w:before="0"/>
        <w:ind w:left="1919" w:right="0" w:firstLine="0"/>
        <w:jc w:val="both"/>
        <w:rPr>
          <w:sz w:val="24"/>
        </w:rPr>
      </w:pPr>
      <w:r>
        <w:rPr>
          <w:sz w:val="24"/>
        </w:rPr>
        <w:t>in consultation with the </w:t>
      </w:r>
      <w:r>
        <w:rPr>
          <w:i/>
          <w:sz w:val="24"/>
        </w:rPr>
        <w:t>Network Service Provider</w:t>
      </w:r>
      <w:r>
        <w:rPr>
          <w:sz w:val="24"/>
        </w:rPr>
        <w:t>; and</w:t>
      </w:r>
    </w:p>
    <w:p>
      <w:pPr>
        <w:pStyle w:val="ListParagraph"/>
        <w:numPr>
          <w:ilvl w:val="0"/>
          <w:numId w:val="277"/>
        </w:numPr>
        <w:tabs>
          <w:tab w:pos="1919" w:val="left" w:leader="none"/>
        </w:tabs>
        <w:spacing w:line="240" w:lineRule="auto" w:before="120" w:after="0"/>
        <w:ind w:left="1919" w:right="416" w:hanging="567"/>
        <w:jc w:val="both"/>
        <w:rPr>
          <w:sz w:val="24"/>
        </w:rPr>
      </w:pPr>
      <w:r>
        <w:rPr>
          <w:sz w:val="24"/>
        </w:rPr>
        <w:t>apply undervoltage settings to relays as notified by the </w:t>
      </w:r>
      <w:r>
        <w:rPr>
          <w:i/>
          <w:sz w:val="24"/>
        </w:rPr>
        <w:t>Transmission </w:t>
      </w:r>
      <w:r>
        <w:rPr>
          <w:i/>
          <w:sz w:val="24"/>
        </w:rPr>
        <w:t>Network Service Provider </w:t>
      </w:r>
      <w:r>
        <w:rPr>
          <w:sz w:val="24"/>
        </w:rPr>
        <w:t>in accordance with clause</w:t>
      </w:r>
      <w:r>
        <w:rPr>
          <w:spacing w:val="-6"/>
          <w:sz w:val="24"/>
        </w:rPr>
        <w:t> </w:t>
      </w:r>
      <w:r>
        <w:rPr>
          <w:sz w:val="24"/>
        </w:rPr>
        <w:t>S5.1.10.3(b).</w:t>
      </w:r>
    </w:p>
    <w:p>
      <w:pPr>
        <w:pStyle w:val="BodyText"/>
        <w:spacing w:before="10"/>
        <w:ind w:firstLine="0"/>
        <w:jc w:val="left"/>
        <w:rPr>
          <w:sz w:val="20"/>
        </w:rPr>
      </w:pPr>
    </w:p>
    <w:p>
      <w:pPr>
        <w:pStyle w:val="Heading4"/>
        <w:ind w:left="218" w:firstLine="0"/>
      </w:pPr>
      <w:bookmarkStart w:name="S5.1.10.3 Transmission Network Service P" w:id="950"/>
      <w:bookmarkEnd w:id="950"/>
      <w:r>
        <w:rPr>
          <w:b w:val="0"/>
        </w:rPr>
      </w:r>
      <w:bookmarkStart w:name="_bookmark367" w:id="951"/>
      <w:bookmarkEnd w:id="951"/>
      <w:r>
        <w:rPr>
          <w:b w:val="0"/>
        </w:rPr>
      </w:r>
      <w:r>
        <w:rPr/>
        <w:t>S5.1.10.3 Transmission Network Service Providers</w:t>
      </w:r>
    </w:p>
    <w:p>
      <w:pPr>
        <w:spacing w:before="120"/>
        <w:ind w:left="1352" w:right="0" w:firstLine="0"/>
        <w:jc w:val="both"/>
        <w:rPr>
          <w:sz w:val="24"/>
        </w:rPr>
      </w:pPr>
      <w:r>
        <w:rPr>
          <w:i/>
          <w:sz w:val="24"/>
        </w:rPr>
        <w:t>Transmission Network Service Providers </w:t>
      </w:r>
      <w:r>
        <w:rPr>
          <w:sz w:val="24"/>
        </w:rPr>
        <w:t>must:</w:t>
      </w:r>
    </w:p>
    <w:p>
      <w:pPr>
        <w:spacing w:after="0"/>
        <w:jc w:val="both"/>
        <w:rPr>
          <w:sz w:val="24"/>
        </w:rPr>
        <w:sectPr>
          <w:pgSz w:w="11910" w:h="16840"/>
          <w:pgMar w:header="686" w:footer="637" w:top="1320" w:bottom="820" w:left="1200" w:right="1000"/>
        </w:sectPr>
      </w:pPr>
    </w:p>
    <w:p>
      <w:pPr>
        <w:pStyle w:val="ListParagraph"/>
        <w:numPr>
          <w:ilvl w:val="0"/>
          <w:numId w:val="278"/>
        </w:numPr>
        <w:tabs>
          <w:tab w:pos="1919" w:val="left" w:leader="none"/>
        </w:tabs>
        <w:spacing w:line="240" w:lineRule="auto" w:before="83" w:after="0"/>
        <w:ind w:left="1918" w:right="0" w:hanging="567"/>
        <w:jc w:val="both"/>
        <w:rPr>
          <w:sz w:val="24"/>
        </w:rPr>
      </w:pPr>
      <w:r>
        <w:rPr>
          <w:sz w:val="24"/>
        </w:rPr>
        <w:t>conduct</w:t>
      </w:r>
      <w:r>
        <w:rPr>
          <w:spacing w:val="41"/>
          <w:sz w:val="24"/>
        </w:rPr>
        <w:t> </w:t>
      </w:r>
      <w:r>
        <w:rPr>
          <w:sz w:val="24"/>
        </w:rPr>
        <w:t>periodic</w:t>
      </w:r>
      <w:r>
        <w:rPr>
          <w:spacing w:val="41"/>
          <w:sz w:val="24"/>
        </w:rPr>
        <w:t> </w:t>
      </w:r>
      <w:r>
        <w:rPr>
          <w:sz w:val="24"/>
        </w:rPr>
        <w:t>functional</w:t>
      </w:r>
      <w:r>
        <w:rPr>
          <w:spacing w:val="41"/>
          <w:sz w:val="24"/>
        </w:rPr>
        <w:t> </w:t>
      </w:r>
      <w:r>
        <w:rPr>
          <w:sz w:val="24"/>
        </w:rPr>
        <w:t>tests</w:t>
      </w:r>
      <w:r>
        <w:rPr>
          <w:spacing w:val="41"/>
          <w:sz w:val="24"/>
        </w:rPr>
        <w:t> </w:t>
      </w:r>
      <w:r>
        <w:rPr>
          <w:sz w:val="24"/>
        </w:rPr>
        <w:t>of</w:t>
      </w:r>
      <w:r>
        <w:rPr>
          <w:spacing w:val="42"/>
          <w:sz w:val="24"/>
        </w:rPr>
        <w:t> </w:t>
      </w:r>
      <w:r>
        <w:rPr>
          <w:sz w:val="24"/>
        </w:rPr>
        <w:t>the</w:t>
      </w:r>
      <w:r>
        <w:rPr>
          <w:spacing w:val="41"/>
          <w:sz w:val="24"/>
        </w:rPr>
        <w:t> </w:t>
      </w:r>
      <w:r>
        <w:rPr>
          <w:i/>
          <w:sz w:val="24"/>
        </w:rPr>
        <w:t>load</w:t>
      </w:r>
      <w:r>
        <w:rPr>
          <w:i/>
          <w:spacing w:val="41"/>
          <w:sz w:val="24"/>
        </w:rPr>
        <w:t> </w:t>
      </w:r>
      <w:r>
        <w:rPr>
          <w:i/>
          <w:sz w:val="24"/>
        </w:rPr>
        <w:t>shedding</w:t>
      </w:r>
      <w:r>
        <w:rPr>
          <w:i/>
          <w:spacing w:val="41"/>
          <w:sz w:val="24"/>
        </w:rPr>
        <w:t> </w:t>
      </w:r>
      <w:r>
        <w:rPr>
          <w:i/>
          <w:sz w:val="24"/>
        </w:rPr>
        <w:t>facilities</w:t>
      </w:r>
      <w:r>
        <w:rPr>
          <w:i/>
          <w:spacing w:val="42"/>
          <w:sz w:val="24"/>
        </w:rPr>
        <w:t> </w:t>
      </w:r>
      <w:r>
        <w:rPr>
          <w:sz w:val="24"/>
        </w:rPr>
        <w:t>and</w:t>
      </w:r>
    </w:p>
    <w:p>
      <w:pPr>
        <w:spacing w:before="0"/>
        <w:ind w:left="1919" w:right="0" w:firstLine="0"/>
        <w:jc w:val="both"/>
        <w:rPr>
          <w:sz w:val="24"/>
        </w:rPr>
      </w:pPr>
      <w:r>
        <w:rPr>
          <w:i/>
          <w:sz w:val="24"/>
        </w:rPr>
        <w:t>emergency frequency control schemes</w:t>
      </w:r>
      <w:r>
        <w:rPr>
          <w:sz w:val="24"/>
        </w:rPr>
        <w:t>; and</w:t>
      </w:r>
    </w:p>
    <w:p>
      <w:pPr>
        <w:pStyle w:val="ListParagraph"/>
        <w:numPr>
          <w:ilvl w:val="0"/>
          <w:numId w:val="278"/>
        </w:numPr>
        <w:tabs>
          <w:tab w:pos="1919" w:val="left" w:leader="none"/>
        </w:tabs>
        <w:spacing w:line="240" w:lineRule="auto" w:before="120" w:after="0"/>
        <w:ind w:left="1919" w:right="416" w:hanging="567"/>
        <w:jc w:val="both"/>
        <w:rPr>
          <w:sz w:val="24"/>
        </w:rPr>
      </w:pPr>
      <w:r>
        <w:rPr>
          <w:sz w:val="24"/>
        </w:rPr>
        <w:t>notify </w:t>
      </w:r>
      <w:r>
        <w:rPr>
          <w:i/>
          <w:sz w:val="24"/>
        </w:rPr>
        <w:t>Distribution Network Service Providers </w:t>
      </w:r>
      <w:r>
        <w:rPr>
          <w:sz w:val="24"/>
        </w:rPr>
        <w:t>regarding the settings of undervoltage </w:t>
      </w:r>
      <w:r>
        <w:rPr>
          <w:i/>
          <w:sz w:val="24"/>
        </w:rPr>
        <w:t>load </w:t>
      </w:r>
      <w:r>
        <w:rPr>
          <w:sz w:val="24"/>
        </w:rPr>
        <w:t>shed relays as determined by </w:t>
      </w:r>
      <w:r>
        <w:rPr>
          <w:i/>
          <w:sz w:val="24"/>
        </w:rPr>
        <w:t>AEMO </w:t>
      </w:r>
      <w:r>
        <w:rPr>
          <w:sz w:val="24"/>
        </w:rPr>
        <w:t>in consultation with the </w:t>
      </w:r>
      <w:r>
        <w:rPr>
          <w:i/>
          <w:sz w:val="24"/>
        </w:rPr>
        <w:t>Transmission Network Service</w:t>
      </w:r>
      <w:r>
        <w:rPr>
          <w:i/>
          <w:spacing w:val="-3"/>
          <w:sz w:val="24"/>
        </w:rPr>
        <w:t> </w:t>
      </w:r>
      <w:r>
        <w:rPr>
          <w:i/>
          <w:sz w:val="24"/>
        </w:rPr>
        <w:t>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1.11 Automatic reclosure of transmiss" w:id="952"/>
      <w:bookmarkEnd w:id="952"/>
      <w:r>
        <w:rPr>
          <w:b w:val="0"/>
        </w:rPr>
      </w:r>
      <w:bookmarkStart w:name="_bookmark368" w:id="953"/>
      <w:bookmarkEnd w:id="953"/>
      <w:r>
        <w:rPr>
          <w:b w:val="0"/>
        </w:rPr>
      </w:r>
      <w:r>
        <w:rPr/>
        <w:t>S5.1.11</w:t>
        <w:tab/>
        <w:t>Automatic reclosure of transmission or distribution</w:t>
      </w:r>
      <w:r>
        <w:rPr>
          <w:spacing w:val="-6"/>
        </w:rPr>
        <w:t> </w:t>
      </w:r>
      <w:r>
        <w:rPr/>
        <w:t>lines</w:t>
      </w:r>
    </w:p>
    <w:p>
      <w:pPr>
        <w:spacing w:before="120"/>
        <w:ind w:left="1352" w:right="414" w:firstLine="0"/>
        <w:jc w:val="both"/>
        <w:rPr>
          <w:sz w:val="24"/>
        </w:rPr>
      </w:pPr>
      <w:r>
        <w:rPr>
          <w:sz w:val="24"/>
        </w:rPr>
        <w:t>Where </w:t>
      </w:r>
      <w:r>
        <w:rPr>
          <w:i/>
          <w:sz w:val="24"/>
        </w:rPr>
        <w:t>automatic reclose equipment </w:t>
      </w:r>
      <w:r>
        <w:rPr>
          <w:sz w:val="24"/>
        </w:rPr>
        <w:t>is provided on </w:t>
      </w:r>
      <w:r>
        <w:rPr>
          <w:i/>
          <w:sz w:val="24"/>
        </w:rPr>
        <w:t>transmission lines </w:t>
      </w:r>
      <w:r>
        <w:rPr>
          <w:sz w:val="24"/>
        </w:rPr>
        <w:t>or </w:t>
      </w:r>
      <w:r>
        <w:rPr>
          <w:i/>
          <w:sz w:val="24"/>
        </w:rPr>
        <w:t>distribution lines</w:t>
      </w:r>
      <w:r>
        <w:rPr>
          <w:sz w:val="24"/>
        </w:rPr>
        <w:t>, check or blocking </w:t>
      </w:r>
      <w:r>
        <w:rPr>
          <w:i/>
          <w:sz w:val="24"/>
        </w:rPr>
        <w:t>facilities </w:t>
      </w:r>
      <w:r>
        <w:rPr>
          <w:sz w:val="24"/>
        </w:rPr>
        <w:t>must be applied to the </w:t>
      </w:r>
      <w:r>
        <w:rPr>
          <w:i/>
          <w:sz w:val="24"/>
        </w:rPr>
        <w:t>automatic </w:t>
      </w:r>
      <w:r>
        <w:rPr>
          <w:i/>
          <w:sz w:val="24"/>
        </w:rPr>
        <w:t>reclose equipment </w:t>
      </w:r>
      <w:r>
        <w:rPr>
          <w:sz w:val="24"/>
        </w:rPr>
        <w:t>in those circumstances where there is any possibility of the two ends of the </w:t>
      </w:r>
      <w:r>
        <w:rPr>
          <w:i/>
          <w:sz w:val="24"/>
        </w:rPr>
        <w:t>transmission line </w:t>
      </w:r>
      <w:r>
        <w:rPr>
          <w:sz w:val="24"/>
        </w:rPr>
        <w:t>or </w:t>
      </w:r>
      <w:r>
        <w:rPr>
          <w:i/>
          <w:sz w:val="24"/>
        </w:rPr>
        <w:t>distribution line </w:t>
      </w:r>
      <w:r>
        <w:rPr>
          <w:sz w:val="24"/>
        </w:rPr>
        <w:t>being </w:t>
      </w:r>
      <w:r>
        <w:rPr>
          <w:i/>
          <w:sz w:val="24"/>
        </w:rPr>
        <w:t>energised </w:t>
      </w:r>
      <w:r>
        <w:rPr>
          <w:sz w:val="24"/>
        </w:rPr>
        <w:t>from sources that are not in synchronism.</w:t>
      </w:r>
    </w:p>
    <w:p>
      <w:pPr>
        <w:pStyle w:val="BodyText"/>
        <w:spacing w:before="10"/>
        <w:ind w:firstLine="0"/>
        <w:jc w:val="left"/>
        <w:rPr>
          <w:sz w:val="20"/>
        </w:rPr>
      </w:pPr>
    </w:p>
    <w:p>
      <w:pPr>
        <w:pStyle w:val="Heading4"/>
        <w:tabs>
          <w:tab w:pos="1351" w:val="left" w:leader="none"/>
        </w:tabs>
        <w:ind w:left="218" w:firstLine="0"/>
      </w:pPr>
      <w:bookmarkStart w:name="S5.1.12 Rating of transmission lines and" w:id="954"/>
      <w:bookmarkEnd w:id="954"/>
      <w:r>
        <w:rPr>
          <w:b w:val="0"/>
        </w:rPr>
      </w:r>
      <w:bookmarkStart w:name="_bookmark369" w:id="955"/>
      <w:bookmarkEnd w:id="955"/>
      <w:r>
        <w:rPr>
          <w:b w:val="0"/>
        </w:rPr>
      </w:r>
      <w:r>
        <w:rPr/>
        <w:t>S5.1.12</w:t>
        <w:tab/>
        <w:t>Rating of transmission lines and</w:t>
      </w:r>
      <w:r>
        <w:rPr>
          <w:spacing w:val="-6"/>
        </w:rPr>
        <w:t> </w:t>
      </w:r>
      <w:r>
        <w:rPr/>
        <w:t>equipment</w:t>
      </w:r>
    </w:p>
    <w:p>
      <w:pPr>
        <w:spacing w:before="120"/>
        <w:ind w:left="1352" w:right="414" w:firstLine="0"/>
        <w:jc w:val="both"/>
        <w:rPr>
          <w:sz w:val="24"/>
        </w:rPr>
      </w:pPr>
      <w:r>
        <w:rPr>
          <w:sz w:val="24"/>
        </w:rPr>
        <w:t>For operational purposes each </w:t>
      </w:r>
      <w:r>
        <w:rPr>
          <w:i/>
          <w:sz w:val="24"/>
        </w:rPr>
        <w:t>Network Service Provider </w:t>
      </w:r>
      <w:r>
        <w:rPr>
          <w:sz w:val="24"/>
        </w:rPr>
        <w:t>must, on reasonable request, advise </w:t>
      </w:r>
      <w:r>
        <w:rPr>
          <w:i/>
          <w:sz w:val="24"/>
        </w:rPr>
        <w:t>AEMO </w:t>
      </w:r>
      <w:r>
        <w:rPr>
          <w:sz w:val="24"/>
        </w:rPr>
        <w:t>of the maximum current that may be permitted to flow (under conditions nominated by </w:t>
      </w:r>
      <w:r>
        <w:rPr>
          <w:i/>
          <w:sz w:val="24"/>
        </w:rPr>
        <w:t>AEMO</w:t>
      </w:r>
      <w:r>
        <w:rPr>
          <w:sz w:val="24"/>
        </w:rPr>
        <w:t>) through each </w:t>
      </w:r>
      <w:r>
        <w:rPr>
          <w:i/>
          <w:sz w:val="24"/>
        </w:rPr>
        <w:t>transmission line</w:t>
      </w:r>
      <w:r>
        <w:rPr>
          <w:sz w:val="24"/>
        </w:rPr>
        <w:t>, </w:t>
      </w:r>
      <w:r>
        <w:rPr>
          <w:i/>
          <w:sz w:val="24"/>
        </w:rPr>
        <w:t>distribution line </w:t>
      </w:r>
      <w:r>
        <w:rPr>
          <w:sz w:val="24"/>
        </w:rPr>
        <w:t>or other item of equipment that forms part of its </w:t>
      </w:r>
      <w:r>
        <w:rPr>
          <w:i/>
          <w:sz w:val="24"/>
        </w:rPr>
        <w:t>transmission </w:t>
      </w:r>
      <w:r>
        <w:rPr>
          <w:i/>
          <w:sz w:val="24"/>
        </w:rPr>
        <w:t>system </w:t>
      </w:r>
      <w:r>
        <w:rPr>
          <w:sz w:val="24"/>
        </w:rPr>
        <w:t>or </w:t>
      </w:r>
      <w:r>
        <w:rPr>
          <w:i/>
          <w:sz w:val="24"/>
        </w:rPr>
        <w:t>distribution system</w:t>
      </w:r>
      <w:r>
        <w:rPr>
          <w:sz w:val="24"/>
        </w:rPr>
        <w:t>.</w:t>
      </w:r>
    </w:p>
    <w:p>
      <w:pPr>
        <w:spacing w:before="120"/>
        <w:ind w:left="1352" w:right="415" w:firstLine="0"/>
        <w:jc w:val="both"/>
        <w:rPr>
          <w:sz w:val="24"/>
        </w:rPr>
      </w:pPr>
      <w:r>
        <w:rPr>
          <w:sz w:val="24"/>
        </w:rPr>
        <w:t>This maximum current is called a </w:t>
      </w:r>
      <w:r>
        <w:rPr>
          <w:i/>
          <w:sz w:val="24"/>
        </w:rPr>
        <w:t>current rating </w:t>
      </w:r>
      <w:r>
        <w:rPr>
          <w:sz w:val="24"/>
        </w:rPr>
        <w:t>of the </w:t>
      </w:r>
      <w:r>
        <w:rPr>
          <w:i/>
          <w:sz w:val="24"/>
        </w:rPr>
        <w:t>transmission line</w:t>
      </w:r>
      <w:r>
        <w:rPr>
          <w:sz w:val="24"/>
        </w:rPr>
        <w:t>, </w:t>
      </w:r>
      <w:r>
        <w:rPr>
          <w:i/>
          <w:sz w:val="24"/>
        </w:rPr>
        <w:t>distribution line </w:t>
      </w:r>
      <w:r>
        <w:rPr>
          <w:sz w:val="24"/>
        </w:rPr>
        <w:t>or item of equipment notwithstanding that it may be determined by equipment associated with its </w:t>
      </w:r>
      <w:r>
        <w:rPr>
          <w:i/>
          <w:sz w:val="24"/>
        </w:rPr>
        <w:t>connection </w:t>
      </w:r>
      <w:r>
        <w:rPr>
          <w:sz w:val="24"/>
        </w:rPr>
        <w:t>to the </w:t>
      </w:r>
      <w:r>
        <w:rPr>
          <w:i/>
          <w:sz w:val="24"/>
        </w:rPr>
        <w:t>power system </w:t>
      </w:r>
      <w:r>
        <w:rPr>
          <w:sz w:val="24"/>
        </w:rPr>
        <w:t>(including switchgear, droppers, current </w:t>
      </w:r>
      <w:r>
        <w:rPr>
          <w:i/>
          <w:sz w:val="24"/>
        </w:rPr>
        <w:t>transformers </w:t>
      </w:r>
      <w:r>
        <w:rPr>
          <w:sz w:val="24"/>
        </w:rPr>
        <w:t>and </w:t>
      </w:r>
      <w:r>
        <w:rPr>
          <w:i/>
          <w:sz w:val="24"/>
        </w:rPr>
        <w:t>protection systems</w:t>
      </w:r>
      <w:r>
        <w:rPr>
          <w:sz w:val="24"/>
        </w:rPr>
        <w:t>).</w:t>
      </w:r>
    </w:p>
    <w:p>
      <w:pPr>
        <w:spacing w:before="120"/>
        <w:ind w:left="1352" w:right="415" w:firstLine="0"/>
        <w:jc w:val="both"/>
        <w:rPr>
          <w:sz w:val="24"/>
        </w:rPr>
      </w:pPr>
      <w:r>
        <w:rPr>
          <w:i/>
          <w:sz w:val="24"/>
        </w:rPr>
        <w:t>AEMO </w:t>
      </w:r>
      <w:r>
        <w:rPr>
          <w:sz w:val="24"/>
        </w:rPr>
        <w:t>may request for a </w:t>
      </w:r>
      <w:r>
        <w:rPr>
          <w:i/>
          <w:sz w:val="24"/>
        </w:rPr>
        <w:t>transmission line</w:t>
      </w:r>
      <w:r>
        <w:rPr>
          <w:sz w:val="24"/>
        </w:rPr>
        <w:t>, </w:t>
      </w:r>
      <w:r>
        <w:rPr>
          <w:i/>
          <w:sz w:val="24"/>
        </w:rPr>
        <w:t>distribution line </w:t>
      </w:r>
      <w:r>
        <w:rPr>
          <w:sz w:val="24"/>
        </w:rPr>
        <w:t>or other item of equipment:</w:t>
      </w:r>
    </w:p>
    <w:p>
      <w:pPr>
        <w:pStyle w:val="ListParagraph"/>
        <w:numPr>
          <w:ilvl w:val="0"/>
          <w:numId w:val="279"/>
        </w:numPr>
        <w:tabs>
          <w:tab w:pos="1919" w:val="left" w:leader="none"/>
        </w:tabs>
        <w:spacing w:line="240" w:lineRule="auto" w:before="120" w:after="0"/>
        <w:ind w:left="1919" w:right="414" w:hanging="567"/>
        <w:jc w:val="both"/>
        <w:rPr>
          <w:sz w:val="24"/>
        </w:rPr>
      </w:pPr>
      <w:r>
        <w:rPr>
          <w:sz w:val="24"/>
        </w:rPr>
        <w:t>a continuous </w:t>
      </w:r>
      <w:r>
        <w:rPr>
          <w:i/>
          <w:sz w:val="24"/>
        </w:rPr>
        <w:t>current rating</w:t>
      </w:r>
      <w:r>
        <w:rPr>
          <w:sz w:val="24"/>
        </w:rPr>
        <w:t>, being the level of current that is permitted to flow in that item of equipment for an indefinite period;</w:t>
      </w:r>
      <w:r>
        <w:rPr>
          <w:spacing w:val="-2"/>
          <w:sz w:val="24"/>
        </w:rPr>
        <w:t> </w:t>
      </w:r>
      <w:r>
        <w:rPr>
          <w:sz w:val="24"/>
        </w:rPr>
        <w:t>and</w:t>
      </w:r>
    </w:p>
    <w:p>
      <w:pPr>
        <w:pStyle w:val="ListParagraph"/>
        <w:numPr>
          <w:ilvl w:val="0"/>
          <w:numId w:val="279"/>
        </w:numPr>
        <w:tabs>
          <w:tab w:pos="1919" w:val="left" w:leader="none"/>
        </w:tabs>
        <w:spacing w:line="240" w:lineRule="auto" w:before="120" w:after="0"/>
        <w:ind w:left="1919" w:right="413" w:hanging="567"/>
        <w:jc w:val="both"/>
        <w:rPr>
          <w:sz w:val="24"/>
        </w:rPr>
      </w:pPr>
      <w:r>
        <w:rPr>
          <w:sz w:val="24"/>
        </w:rPr>
        <w:t>one or more short term </w:t>
      </w:r>
      <w:r>
        <w:rPr>
          <w:i/>
          <w:sz w:val="24"/>
        </w:rPr>
        <w:t>current ratings </w:t>
      </w:r>
      <w:r>
        <w:rPr>
          <w:sz w:val="24"/>
        </w:rPr>
        <w:t>for a period of time nominated by </w:t>
      </w:r>
      <w:r>
        <w:rPr>
          <w:i/>
          <w:sz w:val="24"/>
        </w:rPr>
        <w:t>AEMO </w:t>
      </w:r>
      <w:r>
        <w:rPr>
          <w:sz w:val="24"/>
        </w:rPr>
        <w:t>after consultation with the </w:t>
      </w:r>
      <w:r>
        <w:rPr>
          <w:i/>
          <w:sz w:val="24"/>
        </w:rPr>
        <w:t>Network Service Provider</w:t>
      </w:r>
      <w:r>
        <w:rPr>
          <w:sz w:val="24"/>
        </w:rPr>
        <w:t>, being the level of current that is permitted to flow in that item of equipment for that period of time if the current had been less than the corresponding continuous </w:t>
      </w:r>
      <w:r>
        <w:rPr>
          <w:i/>
          <w:sz w:val="24"/>
        </w:rPr>
        <w:t>current rating </w:t>
      </w:r>
      <w:r>
        <w:rPr>
          <w:sz w:val="24"/>
        </w:rPr>
        <w:t>for a reasonable prior period taking into account the thermal properties of the item of</w:t>
      </w:r>
      <w:r>
        <w:rPr>
          <w:spacing w:val="-2"/>
          <w:sz w:val="24"/>
        </w:rPr>
        <w:t> </w:t>
      </w:r>
      <w:r>
        <w:rPr>
          <w:sz w:val="24"/>
        </w:rPr>
        <w:t>equipment.</w:t>
      </w:r>
    </w:p>
    <w:p>
      <w:pPr>
        <w:spacing w:before="120"/>
        <w:ind w:left="1352" w:right="415" w:firstLine="0"/>
        <w:jc w:val="both"/>
        <w:rPr>
          <w:sz w:val="24"/>
        </w:rPr>
      </w:pPr>
      <w:r>
        <w:rPr>
          <w:sz w:val="24"/>
        </w:rPr>
        <w:t>The </w:t>
      </w:r>
      <w:r>
        <w:rPr>
          <w:i/>
          <w:sz w:val="24"/>
        </w:rPr>
        <w:t>Network Service Provider </w:t>
      </w:r>
      <w:r>
        <w:rPr>
          <w:sz w:val="24"/>
        </w:rPr>
        <w:t>may be required by </w:t>
      </w:r>
      <w:r>
        <w:rPr>
          <w:i/>
          <w:sz w:val="24"/>
        </w:rPr>
        <w:t>AEMO </w:t>
      </w:r>
      <w:r>
        <w:rPr>
          <w:sz w:val="24"/>
        </w:rPr>
        <w:t>to advise different </w:t>
      </w:r>
      <w:r>
        <w:rPr>
          <w:i/>
          <w:sz w:val="24"/>
        </w:rPr>
        <w:t>current ratings </w:t>
      </w:r>
      <w:r>
        <w:rPr>
          <w:sz w:val="24"/>
        </w:rPr>
        <w:t>to be applied under nominated conditions including, without limitation:</w:t>
      </w:r>
    </w:p>
    <w:p>
      <w:pPr>
        <w:pStyle w:val="ListParagraph"/>
        <w:numPr>
          <w:ilvl w:val="0"/>
          <w:numId w:val="280"/>
        </w:numPr>
        <w:tabs>
          <w:tab w:pos="1919" w:val="left" w:leader="none"/>
        </w:tabs>
        <w:spacing w:line="240" w:lineRule="auto" w:before="120" w:after="0"/>
        <w:ind w:left="1918" w:right="0" w:hanging="567"/>
        <w:jc w:val="both"/>
        <w:rPr>
          <w:sz w:val="24"/>
        </w:rPr>
      </w:pPr>
      <w:r>
        <w:rPr>
          <w:sz w:val="24"/>
        </w:rPr>
        <w:t>ambient weather</w:t>
      </w:r>
      <w:r>
        <w:rPr>
          <w:spacing w:val="-4"/>
          <w:sz w:val="24"/>
        </w:rPr>
        <w:t> </w:t>
      </w:r>
      <w:r>
        <w:rPr>
          <w:sz w:val="24"/>
        </w:rPr>
        <w:t>conditions;</w:t>
      </w:r>
    </w:p>
    <w:p>
      <w:pPr>
        <w:pStyle w:val="ListParagraph"/>
        <w:numPr>
          <w:ilvl w:val="0"/>
          <w:numId w:val="280"/>
        </w:numPr>
        <w:tabs>
          <w:tab w:pos="1919" w:val="left" w:leader="none"/>
        </w:tabs>
        <w:spacing w:line="240" w:lineRule="auto" w:before="120" w:after="0"/>
        <w:ind w:left="1918" w:right="0" w:hanging="567"/>
        <w:jc w:val="both"/>
        <w:rPr>
          <w:sz w:val="24"/>
        </w:rPr>
      </w:pPr>
      <w:r>
        <w:rPr>
          <w:sz w:val="24"/>
        </w:rPr>
        <w:t>seasons and/or times of</w:t>
      </w:r>
      <w:r>
        <w:rPr>
          <w:spacing w:val="-2"/>
          <w:sz w:val="24"/>
        </w:rPr>
        <w:t> </w:t>
      </w:r>
      <w:r>
        <w:rPr>
          <w:i/>
          <w:sz w:val="24"/>
        </w:rPr>
        <w:t>day</w:t>
      </w:r>
      <w:r>
        <w:rPr>
          <w:sz w:val="24"/>
        </w:rPr>
        <w:t>;</w:t>
      </w:r>
    </w:p>
    <w:p>
      <w:pPr>
        <w:pStyle w:val="ListParagraph"/>
        <w:numPr>
          <w:ilvl w:val="0"/>
          <w:numId w:val="280"/>
        </w:numPr>
        <w:tabs>
          <w:tab w:pos="1919" w:val="left" w:leader="none"/>
        </w:tabs>
        <w:spacing w:line="240" w:lineRule="auto" w:before="120" w:after="0"/>
        <w:ind w:left="1919" w:right="414" w:hanging="567"/>
        <w:jc w:val="both"/>
        <w:rPr>
          <w:sz w:val="24"/>
        </w:rPr>
      </w:pPr>
      <w:r>
        <w:rPr>
          <w:sz w:val="24"/>
        </w:rPr>
        <w:t>ratios of the current during an emergency to the current prior to the emergency (taking into account pre-contingent loading history where applicable);</w:t>
      </w:r>
      <w:r>
        <w:rPr>
          <w:spacing w:val="-1"/>
          <w:sz w:val="24"/>
        </w:rPr>
        <w:t> </w:t>
      </w:r>
      <w:r>
        <w:rPr>
          <w:sz w:val="24"/>
        </w:rPr>
        <w:t>and</w:t>
      </w:r>
    </w:p>
    <w:p>
      <w:pPr>
        <w:pStyle w:val="ListParagraph"/>
        <w:numPr>
          <w:ilvl w:val="0"/>
          <w:numId w:val="280"/>
        </w:numPr>
        <w:tabs>
          <w:tab w:pos="1919" w:val="left" w:leader="none"/>
        </w:tabs>
        <w:spacing w:line="240" w:lineRule="auto" w:before="120" w:after="0"/>
        <w:ind w:left="1918" w:right="0" w:hanging="567"/>
        <w:jc w:val="both"/>
        <w:rPr>
          <w:sz w:val="24"/>
        </w:rPr>
      </w:pPr>
      <w:r>
        <w:rPr>
          <w:sz w:val="24"/>
        </w:rPr>
        <w:t>period of loading at the nominated</w:t>
      </w:r>
      <w:r>
        <w:rPr>
          <w:spacing w:val="-2"/>
          <w:sz w:val="24"/>
        </w:rPr>
        <w:t> </w:t>
      </w:r>
      <w:r>
        <w:rPr>
          <w:sz w:val="24"/>
        </w:rPr>
        <w:t>level.</w:t>
      </w:r>
    </w:p>
    <w:p>
      <w:pPr>
        <w:spacing w:before="120"/>
        <w:ind w:left="1352" w:right="414" w:firstLine="0"/>
        <w:jc w:val="both"/>
        <w:rPr>
          <w:sz w:val="24"/>
        </w:rPr>
      </w:pPr>
      <w:r>
        <w:rPr>
          <w:sz w:val="24"/>
        </w:rPr>
        <w:t>A </w:t>
      </w:r>
      <w:r>
        <w:rPr>
          <w:i/>
          <w:sz w:val="24"/>
        </w:rPr>
        <w:t>Transmission Network Service Provider </w:t>
      </w:r>
      <w:r>
        <w:rPr>
          <w:sz w:val="24"/>
        </w:rPr>
        <w:t>is entitled to advise </w:t>
      </w:r>
      <w:r>
        <w:rPr>
          <w:i/>
          <w:sz w:val="24"/>
        </w:rPr>
        <w:t>AEMO </w:t>
      </w:r>
      <w:r>
        <w:rPr>
          <w:sz w:val="24"/>
        </w:rPr>
        <w:t>of short term </w:t>
      </w:r>
      <w:r>
        <w:rPr>
          <w:i/>
          <w:sz w:val="24"/>
        </w:rPr>
        <w:t>current ratings </w:t>
      </w:r>
      <w:r>
        <w:rPr>
          <w:sz w:val="24"/>
        </w:rPr>
        <w:t>which may apply for nominated periods of time to the relevant </w:t>
      </w:r>
      <w:r>
        <w:rPr>
          <w:i/>
          <w:sz w:val="24"/>
        </w:rPr>
        <w:t>transmission line </w:t>
      </w:r>
      <w:r>
        <w:rPr>
          <w:sz w:val="24"/>
        </w:rPr>
        <w:t>or item of equipment provided that these ratings do not</w:t>
      </w:r>
    </w:p>
    <w:p>
      <w:pPr>
        <w:spacing w:after="0"/>
        <w:jc w:val="both"/>
        <w:rPr>
          <w:sz w:val="24"/>
        </w:rPr>
        <w:sectPr>
          <w:pgSz w:w="11910" w:h="16840"/>
          <w:pgMar w:header="686" w:footer="637" w:top="1320" w:bottom="820" w:left="1200" w:right="1000"/>
        </w:sectPr>
      </w:pPr>
    </w:p>
    <w:p>
      <w:pPr>
        <w:pStyle w:val="BodyText"/>
        <w:spacing w:before="83"/>
        <w:ind w:left="1352" w:right="415" w:firstLine="0"/>
      </w:pPr>
      <w:r>
        <w:rPr/>
        <w:t>materially affect the safety of the </w:t>
      </w:r>
      <w:r>
        <w:rPr>
          <w:i/>
        </w:rPr>
        <w:t>transmission line </w:t>
      </w:r>
      <w:r>
        <w:rPr/>
        <w:t>or item of equipment, or the safety of persons. Short-term ratings for </w:t>
      </w:r>
      <w:r>
        <w:rPr>
          <w:i/>
        </w:rPr>
        <w:t>transmission lines </w:t>
      </w:r>
      <w:r>
        <w:rPr/>
        <w:t>or items of equipment may be implemented by a methodology or algorithm in a format agreed with </w:t>
      </w:r>
      <w:r>
        <w:rPr>
          <w:i/>
        </w:rPr>
        <w:t>AEMO</w:t>
      </w:r>
      <w:r>
        <w:rPr/>
        <w:t>.</w:t>
      </w:r>
    </w:p>
    <w:p>
      <w:pPr>
        <w:pStyle w:val="BodyText"/>
        <w:spacing w:before="10"/>
        <w:ind w:firstLine="0"/>
        <w:jc w:val="left"/>
        <w:rPr>
          <w:sz w:val="20"/>
        </w:rPr>
      </w:pPr>
    </w:p>
    <w:p>
      <w:pPr>
        <w:pStyle w:val="Heading4"/>
        <w:tabs>
          <w:tab w:pos="1351" w:val="left" w:leader="none"/>
        </w:tabs>
        <w:ind w:left="218" w:firstLine="0"/>
      </w:pPr>
      <w:bookmarkStart w:name="S5.1.13 Information to be provided" w:id="956"/>
      <w:bookmarkEnd w:id="956"/>
      <w:r>
        <w:rPr>
          <w:b w:val="0"/>
        </w:rPr>
      </w:r>
      <w:bookmarkStart w:name="_bookmark370" w:id="957"/>
      <w:bookmarkEnd w:id="957"/>
      <w:r>
        <w:rPr>
          <w:b w:val="0"/>
        </w:rPr>
      </w:r>
      <w:r>
        <w:rPr/>
        <w:t>S5.1.13</w:t>
        <w:tab/>
        <w:t>Information to be</w:t>
      </w:r>
      <w:r>
        <w:rPr>
          <w:spacing w:val="-2"/>
        </w:rPr>
        <w:t> </w:t>
      </w:r>
      <w:r>
        <w:rPr/>
        <w:t>provided</w:t>
      </w:r>
    </w:p>
    <w:p>
      <w:pPr>
        <w:spacing w:before="120"/>
        <w:ind w:left="1352" w:right="414" w:firstLine="0"/>
        <w:jc w:val="both"/>
        <w:rPr>
          <w:sz w:val="24"/>
        </w:rPr>
      </w:pPr>
      <w:r>
        <w:rPr>
          <w:sz w:val="24"/>
        </w:rPr>
        <w:t>A </w:t>
      </w:r>
      <w:r>
        <w:rPr>
          <w:i/>
          <w:sz w:val="24"/>
        </w:rPr>
        <w:t>Network Service Provider </w:t>
      </w:r>
      <w:r>
        <w:rPr>
          <w:sz w:val="24"/>
        </w:rPr>
        <w:t>must, in response to a </w:t>
      </w:r>
      <w:r>
        <w:rPr>
          <w:i/>
          <w:sz w:val="24"/>
        </w:rPr>
        <w:t>connection </w:t>
      </w:r>
      <w:r>
        <w:rPr>
          <w:sz w:val="24"/>
        </w:rPr>
        <w:t>enquiry or an </w:t>
      </w:r>
      <w:r>
        <w:rPr>
          <w:i/>
          <w:sz w:val="24"/>
        </w:rPr>
        <w:t>application to connect </w:t>
      </w:r>
      <w:r>
        <w:rPr>
          <w:sz w:val="24"/>
        </w:rPr>
        <w:t>made in accordance with clause 5.3.2 of the </w:t>
      </w:r>
      <w:r>
        <w:rPr>
          <w:i/>
          <w:sz w:val="24"/>
        </w:rPr>
        <w:t>Rules</w:t>
      </w:r>
      <w:r>
        <w:rPr>
          <w:sz w:val="24"/>
        </w:rPr>
        <w:t>, provide the </w:t>
      </w:r>
      <w:r>
        <w:rPr>
          <w:i/>
          <w:sz w:val="24"/>
        </w:rPr>
        <w:t>connection applicant </w:t>
      </w:r>
      <w:r>
        <w:rPr>
          <w:sz w:val="24"/>
        </w:rPr>
        <w:t>electrical design information relevant to the nominal point of </w:t>
      </w:r>
      <w:r>
        <w:rPr>
          <w:i/>
          <w:sz w:val="24"/>
        </w:rPr>
        <w:t>connection </w:t>
      </w:r>
      <w:r>
        <w:rPr>
          <w:sz w:val="24"/>
        </w:rPr>
        <w:t>in accordance with a relevant requirement of schedules 5.2,</w:t>
      </w:r>
    </w:p>
    <w:p>
      <w:pPr>
        <w:pStyle w:val="BodyText"/>
        <w:spacing w:before="0"/>
        <w:ind w:left="1352" w:firstLine="0"/>
      </w:pPr>
      <w:r>
        <w:rPr/>
        <w:t>5.3 or 5.3a.</w:t>
      </w:r>
    </w:p>
    <w:p>
      <w:pPr>
        <w:pStyle w:val="BodyText"/>
        <w:spacing w:before="10"/>
        <w:ind w:firstLine="0"/>
        <w:jc w:val="left"/>
        <w:rPr>
          <w:sz w:val="20"/>
        </w:rPr>
      </w:pPr>
    </w:p>
    <w:p>
      <w:pPr>
        <w:pStyle w:val="Heading2"/>
        <w:tabs>
          <w:tab w:pos="2485" w:val="left" w:leader="none"/>
        </w:tabs>
      </w:pPr>
      <w:bookmarkStart w:name="Schedule 5.2 Conditions for Connection o" w:id="958"/>
      <w:bookmarkEnd w:id="958"/>
      <w:r>
        <w:rPr>
          <w:b w:val="0"/>
        </w:rPr>
      </w:r>
      <w:bookmarkStart w:name="_bookmark371" w:id="959"/>
      <w:bookmarkEnd w:id="959"/>
      <w:r>
        <w:rPr>
          <w:b w:val="0"/>
        </w:rPr>
      </w:r>
      <w:r>
        <w:rPr/>
        <w:t>Schedule</w:t>
      </w:r>
      <w:r>
        <w:rPr>
          <w:spacing w:val="-1"/>
        </w:rPr>
        <w:t> </w:t>
      </w:r>
      <w:r>
        <w:rPr/>
        <w:t>5.2</w:t>
        <w:tab/>
        <w:t>Conditions for Connection of</w:t>
      </w:r>
      <w:r>
        <w:rPr>
          <w:spacing w:val="-3"/>
        </w:rPr>
        <w:t> </w:t>
      </w:r>
      <w:r>
        <w:rPr/>
        <w:t>Generators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schedule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351" w:val="left" w:leader="none"/>
        </w:tabs>
        <w:ind w:left="218" w:firstLine="0"/>
      </w:pPr>
      <w:bookmarkStart w:name="S5.2.1 Outline of requirements" w:id="960"/>
      <w:bookmarkEnd w:id="960"/>
      <w:r>
        <w:rPr>
          <w:b w:val="0"/>
        </w:rPr>
      </w:r>
      <w:bookmarkStart w:name="_bookmark372" w:id="961"/>
      <w:bookmarkEnd w:id="961"/>
      <w:r>
        <w:rPr>
          <w:b w:val="0"/>
        </w:rPr>
      </w:r>
      <w:r>
        <w:rPr/>
        <w:t>S5.2.1</w:t>
        <w:tab/>
        <w:t>Outline of</w:t>
      </w:r>
      <w:r>
        <w:rPr>
          <w:spacing w:val="-1"/>
        </w:rPr>
        <w:t> </w:t>
      </w:r>
      <w:r>
        <w:rPr/>
        <w:t>requirements</w:t>
      </w:r>
    </w:p>
    <w:p>
      <w:pPr>
        <w:pStyle w:val="ListParagraph"/>
        <w:numPr>
          <w:ilvl w:val="0"/>
          <w:numId w:val="281"/>
        </w:numPr>
        <w:tabs>
          <w:tab w:pos="1919" w:val="left" w:leader="none"/>
        </w:tabs>
        <w:spacing w:line="240" w:lineRule="auto" w:before="120" w:after="0"/>
        <w:ind w:left="1919" w:right="416" w:hanging="567"/>
        <w:jc w:val="both"/>
        <w:rPr>
          <w:sz w:val="24"/>
        </w:rPr>
      </w:pPr>
      <w:r>
        <w:rPr>
          <w:sz w:val="24"/>
        </w:rPr>
        <w:t>This schedule sets out details of additional requirements and conditions that </w:t>
      </w:r>
      <w:r>
        <w:rPr>
          <w:i/>
          <w:sz w:val="24"/>
        </w:rPr>
        <w:t>Generators </w:t>
      </w:r>
      <w:r>
        <w:rPr>
          <w:sz w:val="24"/>
        </w:rPr>
        <w:t>must satisfy as a condition of </w:t>
      </w:r>
      <w:r>
        <w:rPr>
          <w:i/>
          <w:sz w:val="24"/>
        </w:rPr>
        <w:t>connection </w:t>
      </w:r>
      <w:r>
        <w:rPr>
          <w:sz w:val="24"/>
        </w:rPr>
        <w:t>of a </w:t>
      </w:r>
      <w:r>
        <w:rPr>
          <w:i/>
          <w:sz w:val="24"/>
        </w:rPr>
        <w:t>generating system </w:t>
      </w:r>
      <w:r>
        <w:rPr>
          <w:sz w:val="24"/>
        </w:rPr>
        <w:t>to the </w:t>
      </w:r>
      <w:r>
        <w:rPr>
          <w:i/>
          <w:sz w:val="24"/>
        </w:rPr>
        <w:t>power</w:t>
      </w:r>
      <w:r>
        <w:rPr>
          <w:i/>
          <w:spacing w:val="-1"/>
          <w:sz w:val="24"/>
        </w:rPr>
        <w:t> </w:t>
      </w:r>
      <w:r>
        <w:rPr>
          <w:i/>
          <w:sz w:val="24"/>
        </w:rPr>
        <w:t>system</w:t>
      </w:r>
      <w:r>
        <w:rPr>
          <w:sz w:val="24"/>
        </w:rPr>
        <w:t>.</w:t>
      </w:r>
    </w:p>
    <w:p>
      <w:pPr>
        <w:pStyle w:val="ListParagraph"/>
        <w:numPr>
          <w:ilvl w:val="0"/>
          <w:numId w:val="281"/>
        </w:numPr>
        <w:tabs>
          <w:tab w:pos="1919" w:val="left" w:leader="none"/>
        </w:tabs>
        <w:spacing w:line="240" w:lineRule="auto" w:before="120" w:after="0"/>
        <w:ind w:left="1918" w:right="0" w:hanging="567"/>
        <w:jc w:val="both"/>
        <w:rPr>
          <w:sz w:val="24"/>
        </w:rPr>
      </w:pPr>
      <w:r>
        <w:rPr>
          <w:sz w:val="24"/>
        </w:rPr>
        <w:t>This schedule does not apply to any </w:t>
      </w:r>
      <w:r>
        <w:rPr>
          <w:i/>
          <w:sz w:val="24"/>
        </w:rPr>
        <w:t>generating system </w:t>
      </w:r>
      <w:r>
        <w:rPr>
          <w:sz w:val="24"/>
        </w:rPr>
        <w:t>that</w:t>
      </w:r>
      <w:r>
        <w:rPr>
          <w:spacing w:val="-5"/>
          <w:sz w:val="24"/>
        </w:rPr>
        <w:t> </w:t>
      </w:r>
      <w:r>
        <w:rPr>
          <w:sz w:val="24"/>
        </w:rPr>
        <w:t>is:</w:t>
      </w:r>
    </w:p>
    <w:p>
      <w:pPr>
        <w:pStyle w:val="ListParagraph"/>
        <w:numPr>
          <w:ilvl w:val="1"/>
          <w:numId w:val="281"/>
        </w:numPr>
        <w:tabs>
          <w:tab w:pos="2486" w:val="left" w:leader="none"/>
        </w:tabs>
        <w:spacing w:line="240" w:lineRule="auto" w:before="120" w:after="0"/>
        <w:ind w:left="2485" w:right="0" w:hanging="567"/>
        <w:jc w:val="both"/>
        <w:rPr>
          <w:sz w:val="24"/>
        </w:rPr>
      </w:pPr>
      <w:r>
        <w:rPr>
          <w:sz w:val="24"/>
        </w:rPr>
        <w:t>subject to an exemption from registration under clause 2.2.1(c);</w:t>
      </w:r>
      <w:r>
        <w:rPr>
          <w:spacing w:val="-2"/>
          <w:sz w:val="24"/>
        </w:rPr>
        <w:t> </w:t>
      </w:r>
      <w:r>
        <w:rPr>
          <w:sz w:val="24"/>
        </w:rPr>
        <w:t>or</w:t>
      </w:r>
    </w:p>
    <w:p>
      <w:pPr>
        <w:pStyle w:val="ListParagraph"/>
        <w:numPr>
          <w:ilvl w:val="1"/>
          <w:numId w:val="281"/>
        </w:numPr>
        <w:tabs>
          <w:tab w:pos="2486" w:val="left" w:leader="none"/>
        </w:tabs>
        <w:spacing w:line="240" w:lineRule="auto" w:before="120" w:after="0"/>
        <w:ind w:left="2486" w:right="415" w:hanging="567"/>
        <w:jc w:val="both"/>
        <w:rPr>
          <w:sz w:val="24"/>
        </w:rPr>
      </w:pPr>
      <w:r>
        <w:rPr>
          <w:sz w:val="24"/>
        </w:rPr>
        <w:t>eligible for exemption under any guidelines issued under clause 2.2.1(c),</w:t>
      </w:r>
    </w:p>
    <w:p>
      <w:pPr>
        <w:spacing w:before="120"/>
        <w:ind w:left="1919" w:right="415" w:firstLine="0"/>
        <w:jc w:val="both"/>
        <w:rPr>
          <w:sz w:val="24"/>
        </w:rPr>
      </w:pPr>
      <w:r>
        <w:rPr>
          <w:sz w:val="24"/>
        </w:rPr>
        <w:t>and which is </w:t>
      </w:r>
      <w:r>
        <w:rPr>
          <w:i/>
          <w:sz w:val="24"/>
        </w:rPr>
        <w:t>connected </w:t>
      </w:r>
      <w:r>
        <w:rPr>
          <w:sz w:val="24"/>
        </w:rPr>
        <w:t>or intended for use in a manner the </w:t>
      </w:r>
      <w:r>
        <w:rPr>
          <w:i/>
          <w:sz w:val="24"/>
        </w:rPr>
        <w:t>Network Service </w:t>
      </w:r>
      <w:r>
        <w:rPr>
          <w:i/>
          <w:sz w:val="24"/>
        </w:rPr>
        <w:t>Provider </w:t>
      </w:r>
      <w:r>
        <w:rPr>
          <w:sz w:val="24"/>
        </w:rPr>
        <w:t>considers is unlikely to cause a material degradation in the quality of </w:t>
      </w:r>
      <w:r>
        <w:rPr>
          <w:i/>
          <w:sz w:val="24"/>
        </w:rPr>
        <w:t>supply </w:t>
      </w:r>
      <w:r>
        <w:rPr>
          <w:sz w:val="24"/>
        </w:rPr>
        <w:t>to other </w:t>
      </w:r>
      <w:r>
        <w:rPr>
          <w:i/>
          <w:sz w:val="24"/>
        </w:rPr>
        <w:t>Network Users</w:t>
      </w:r>
      <w:r>
        <w:rPr>
          <w:sz w:val="24"/>
        </w:rPr>
        <w:t>.</w:t>
      </w:r>
    </w:p>
    <w:p>
      <w:pPr>
        <w:pStyle w:val="ListParagraph"/>
        <w:numPr>
          <w:ilvl w:val="0"/>
          <w:numId w:val="281"/>
        </w:numPr>
        <w:tabs>
          <w:tab w:pos="1919" w:val="left" w:leader="none"/>
        </w:tabs>
        <w:spacing w:line="240" w:lineRule="auto" w:before="120" w:after="0"/>
        <w:ind w:left="1919" w:right="417" w:hanging="567"/>
        <w:jc w:val="both"/>
        <w:rPr>
          <w:sz w:val="24"/>
        </w:rPr>
      </w:pPr>
      <w:r>
        <w:rPr>
          <w:sz w:val="24"/>
        </w:rPr>
        <w:t>This schedule also sets out the requirements and conditions which subject to clause 5.2.5 of the </w:t>
      </w:r>
      <w:r>
        <w:rPr>
          <w:i/>
          <w:sz w:val="24"/>
        </w:rPr>
        <w:t>Rules</w:t>
      </w:r>
      <w:r>
        <w:rPr>
          <w:sz w:val="24"/>
        </w:rPr>
        <w:t>, are obligations on</w:t>
      </w:r>
      <w:r>
        <w:rPr>
          <w:spacing w:val="-4"/>
          <w:sz w:val="24"/>
        </w:rPr>
        <w:t> </w:t>
      </w:r>
      <w:r>
        <w:rPr>
          <w:i/>
          <w:sz w:val="24"/>
        </w:rPr>
        <w:t>Generators</w:t>
      </w:r>
      <w:r>
        <w:rPr>
          <w:sz w:val="24"/>
        </w:rPr>
        <w:t>:</w:t>
      </w:r>
    </w:p>
    <w:p>
      <w:pPr>
        <w:pStyle w:val="ListParagraph"/>
        <w:numPr>
          <w:ilvl w:val="1"/>
          <w:numId w:val="281"/>
        </w:numPr>
        <w:tabs>
          <w:tab w:pos="2486" w:val="left" w:leader="none"/>
        </w:tabs>
        <w:spacing w:line="240" w:lineRule="auto" w:before="120" w:after="0"/>
        <w:ind w:left="2486" w:right="415" w:hanging="567"/>
        <w:jc w:val="both"/>
        <w:rPr>
          <w:sz w:val="24"/>
        </w:rPr>
      </w:pPr>
      <w:r>
        <w:rPr>
          <w:sz w:val="24"/>
        </w:rPr>
        <w:t>to co-operate with the relevant </w:t>
      </w:r>
      <w:r>
        <w:rPr>
          <w:i/>
          <w:sz w:val="24"/>
        </w:rPr>
        <w:t>Network Service Provider </w:t>
      </w:r>
      <w:r>
        <w:rPr>
          <w:sz w:val="24"/>
        </w:rPr>
        <w:t>on technical matters when making a new </w:t>
      </w:r>
      <w:r>
        <w:rPr>
          <w:i/>
          <w:sz w:val="24"/>
        </w:rPr>
        <w:t>connection</w:t>
      </w:r>
      <w:r>
        <w:rPr>
          <w:sz w:val="24"/>
        </w:rPr>
        <w:t>;</w:t>
      </w:r>
      <w:r>
        <w:rPr>
          <w:spacing w:val="-1"/>
          <w:sz w:val="24"/>
        </w:rPr>
        <w:t> </w:t>
      </w:r>
      <w:r>
        <w:rPr>
          <w:sz w:val="24"/>
        </w:rPr>
        <w:t>and</w:t>
      </w:r>
    </w:p>
    <w:p>
      <w:pPr>
        <w:pStyle w:val="ListParagraph"/>
        <w:numPr>
          <w:ilvl w:val="1"/>
          <w:numId w:val="281"/>
        </w:numPr>
        <w:tabs>
          <w:tab w:pos="2486" w:val="left" w:leader="none"/>
        </w:tabs>
        <w:spacing w:line="240" w:lineRule="auto" w:before="120" w:after="0"/>
        <w:ind w:left="2485" w:right="0" w:hanging="567"/>
        <w:jc w:val="both"/>
        <w:rPr>
          <w:sz w:val="24"/>
        </w:rPr>
      </w:pPr>
      <w:r>
        <w:rPr>
          <w:sz w:val="24"/>
        </w:rPr>
        <w:t>to provide information to the </w:t>
      </w:r>
      <w:r>
        <w:rPr>
          <w:i/>
          <w:sz w:val="24"/>
        </w:rPr>
        <w:t>Network Service Provider </w:t>
      </w:r>
      <w:r>
        <w:rPr>
          <w:sz w:val="24"/>
        </w:rPr>
        <w:t>or</w:t>
      </w:r>
      <w:r>
        <w:rPr>
          <w:spacing w:val="-2"/>
          <w:sz w:val="24"/>
        </w:rPr>
        <w:t> </w:t>
      </w:r>
      <w:r>
        <w:rPr>
          <w:i/>
          <w:sz w:val="24"/>
        </w:rPr>
        <w:t>AEMO</w:t>
      </w:r>
      <w:r>
        <w:rPr>
          <w:sz w:val="24"/>
        </w:rPr>
        <w:t>.</w:t>
      </w:r>
    </w:p>
    <w:p>
      <w:pPr>
        <w:pStyle w:val="ListParagraph"/>
        <w:numPr>
          <w:ilvl w:val="0"/>
          <w:numId w:val="281"/>
        </w:numPr>
        <w:tabs>
          <w:tab w:pos="1919" w:val="left" w:leader="none"/>
        </w:tabs>
        <w:spacing w:line="240" w:lineRule="auto" w:before="120" w:after="0"/>
        <w:ind w:left="1919" w:right="416" w:hanging="567"/>
        <w:jc w:val="both"/>
        <w:rPr>
          <w:sz w:val="24"/>
        </w:rPr>
      </w:pPr>
      <w:r>
        <w:rPr>
          <w:sz w:val="24"/>
        </w:rPr>
        <w:t>The equipment associated with each </w:t>
      </w:r>
      <w:r>
        <w:rPr>
          <w:i/>
          <w:sz w:val="24"/>
        </w:rPr>
        <w:t>generating system </w:t>
      </w:r>
      <w:r>
        <w:rPr>
          <w:sz w:val="24"/>
        </w:rPr>
        <w:t>must be designed to withstand without damage the range of operating conditions which may arise consistent with the </w:t>
      </w:r>
      <w:r>
        <w:rPr>
          <w:i/>
          <w:sz w:val="24"/>
        </w:rPr>
        <w:t>system</w:t>
      </w:r>
      <w:r>
        <w:rPr>
          <w:i/>
          <w:spacing w:val="-4"/>
          <w:sz w:val="24"/>
        </w:rPr>
        <w:t> </w:t>
      </w:r>
      <w:r>
        <w:rPr>
          <w:i/>
          <w:sz w:val="24"/>
        </w:rPr>
        <w:t>standards</w:t>
      </w:r>
      <w:r>
        <w:rPr>
          <w:sz w:val="24"/>
        </w:rPr>
        <w:t>.</w:t>
      </w:r>
    </w:p>
    <w:p>
      <w:pPr>
        <w:pStyle w:val="ListParagraph"/>
        <w:numPr>
          <w:ilvl w:val="0"/>
          <w:numId w:val="281"/>
        </w:numPr>
        <w:tabs>
          <w:tab w:pos="1919" w:val="left" w:leader="none"/>
        </w:tabs>
        <w:spacing w:line="240" w:lineRule="auto" w:before="120" w:after="0"/>
        <w:ind w:left="1919" w:right="415" w:hanging="567"/>
        <w:jc w:val="both"/>
        <w:rPr>
          <w:sz w:val="24"/>
        </w:rPr>
      </w:pPr>
      <w:r>
        <w:rPr>
          <w:i/>
          <w:sz w:val="24"/>
        </w:rPr>
        <w:t>Generators </w:t>
      </w:r>
      <w:r>
        <w:rPr>
          <w:sz w:val="24"/>
        </w:rPr>
        <w:t>must comply with the </w:t>
      </w:r>
      <w:r>
        <w:rPr>
          <w:i/>
          <w:sz w:val="24"/>
        </w:rPr>
        <w:t>performance standards </w:t>
      </w:r>
      <w:r>
        <w:rPr>
          <w:sz w:val="24"/>
        </w:rPr>
        <w:t>and any attached terms or conditions of agreement agreed with the </w:t>
      </w:r>
      <w:r>
        <w:rPr>
          <w:i/>
          <w:sz w:val="24"/>
        </w:rPr>
        <w:t>Network Service Provider </w:t>
      </w:r>
      <w:r>
        <w:rPr>
          <w:sz w:val="24"/>
        </w:rPr>
        <w:t>or </w:t>
      </w:r>
      <w:r>
        <w:rPr>
          <w:i/>
          <w:sz w:val="24"/>
        </w:rPr>
        <w:t>AEMO </w:t>
      </w:r>
      <w:r>
        <w:rPr>
          <w:sz w:val="24"/>
        </w:rPr>
        <w:t>in accordance with a relevant provision of schedules 5.1a or</w:t>
      </w:r>
      <w:r>
        <w:rPr>
          <w:spacing w:val="-7"/>
          <w:sz w:val="24"/>
        </w:rPr>
        <w:t> </w:t>
      </w:r>
      <w:r>
        <w:rPr>
          <w:sz w:val="24"/>
        </w:rPr>
        <w:t>5.1.</w:t>
      </w:r>
    </w:p>
    <w:p>
      <w:pPr>
        <w:pStyle w:val="ListParagraph"/>
        <w:numPr>
          <w:ilvl w:val="0"/>
          <w:numId w:val="281"/>
        </w:numPr>
        <w:tabs>
          <w:tab w:pos="1920" w:val="left" w:leader="none"/>
        </w:tabs>
        <w:spacing w:line="240" w:lineRule="auto" w:before="120" w:after="0"/>
        <w:ind w:left="1919" w:right="417" w:hanging="567"/>
        <w:jc w:val="both"/>
        <w:rPr>
          <w:sz w:val="24"/>
        </w:rPr>
      </w:pPr>
      <w:r>
        <w:rPr>
          <w:sz w:val="24"/>
        </w:rPr>
        <w:t>This schedule does not set out arrangements by which a </w:t>
      </w:r>
      <w:r>
        <w:rPr>
          <w:i/>
          <w:sz w:val="24"/>
        </w:rPr>
        <w:t>Generator </w:t>
      </w:r>
      <w:r>
        <w:rPr>
          <w:sz w:val="24"/>
        </w:rPr>
        <w:t>may enter into an agreement or contract with </w:t>
      </w:r>
      <w:r>
        <w:rPr>
          <w:i/>
          <w:sz w:val="24"/>
        </w:rPr>
        <w:t>AEMO</w:t>
      </w:r>
      <w:r>
        <w:rPr>
          <w:i/>
          <w:spacing w:val="-2"/>
          <w:sz w:val="24"/>
        </w:rPr>
        <w:t> </w:t>
      </w:r>
      <w:r>
        <w:rPr>
          <w:sz w:val="24"/>
        </w:rPr>
        <w:t>to:</w:t>
      </w:r>
    </w:p>
    <w:p>
      <w:pPr>
        <w:pStyle w:val="ListParagraph"/>
        <w:numPr>
          <w:ilvl w:val="1"/>
          <w:numId w:val="281"/>
        </w:numPr>
        <w:tabs>
          <w:tab w:pos="2486" w:val="left" w:leader="none"/>
        </w:tabs>
        <w:spacing w:line="240" w:lineRule="auto" w:before="120" w:after="0"/>
        <w:ind w:left="2486" w:right="416" w:hanging="567"/>
        <w:jc w:val="both"/>
        <w:rPr>
          <w:sz w:val="24"/>
        </w:rPr>
      </w:pPr>
      <w:r>
        <w:rPr>
          <w:sz w:val="24"/>
        </w:rPr>
        <w:t>provide additional services that are necessary to maintain </w:t>
      </w:r>
      <w:r>
        <w:rPr>
          <w:i/>
          <w:sz w:val="24"/>
        </w:rPr>
        <w:t>power </w:t>
      </w:r>
      <w:r>
        <w:rPr>
          <w:i/>
          <w:sz w:val="24"/>
        </w:rPr>
        <w:t>system security</w:t>
      </w:r>
      <w:r>
        <w:rPr>
          <w:sz w:val="24"/>
        </w:rPr>
        <w:t>;</w:t>
      </w:r>
      <w:r>
        <w:rPr>
          <w:spacing w:val="-2"/>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281"/>
        </w:numPr>
        <w:tabs>
          <w:tab w:pos="2486" w:val="left" w:leader="none"/>
        </w:tabs>
        <w:spacing w:line="240" w:lineRule="auto" w:before="83" w:after="0"/>
        <w:ind w:left="2485" w:right="0" w:hanging="567"/>
        <w:jc w:val="both"/>
        <w:rPr>
          <w:sz w:val="24"/>
        </w:rPr>
      </w:pPr>
      <w:r>
        <w:rPr>
          <w:sz w:val="24"/>
        </w:rPr>
        <w:t>provide additional services to facilitate management of the</w:t>
      </w:r>
      <w:r>
        <w:rPr>
          <w:spacing w:val="-8"/>
          <w:sz w:val="24"/>
        </w:rPr>
        <w:t> </w:t>
      </w:r>
      <w:r>
        <w:rPr>
          <w:i/>
          <w:sz w:val="24"/>
        </w:rPr>
        <w:t>market</w:t>
      </w:r>
      <w:r>
        <w:rPr>
          <w:sz w:val="24"/>
        </w:rPr>
        <w:t>.</w:t>
      </w:r>
    </w:p>
    <w:p>
      <w:pPr>
        <w:pStyle w:val="ListParagraph"/>
        <w:numPr>
          <w:ilvl w:val="0"/>
          <w:numId w:val="281"/>
        </w:numPr>
        <w:tabs>
          <w:tab w:pos="1919" w:val="left" w:leader="none"/>
        </w:tabs>
        <w:spacing w:line="240" w:lineRule="auto" w:before="120" w:after="0"/>
        <w:ind w:left="1919" w:right="415" w:hanging="567"/>
        <w:jc w:val="both"/>
        <w:rPr>
          <w:sz w:val="24"/>
        </w:rPr>
      </w:pPr>
      <w:r>
        <w:rPr>
          <w:sz w:val="24"/>
        </w:rPr>
        <w:t>This schedule provides for </w:t>
      </w:r>
      <w:r>
        <w:rPr>
          <w:i/>
          <w:sz w:val="24"/>
        </w:rPr>
        <w:t>automatic access standards </w:t>
      </w:r>
      <w:r>
        <w:rPr>
          <w:sz w:val="24"/>
        </w:rPr>
        <w:t>and the determination of </w:t>
      </w:r>
      <w:r>
        <w:rPr>
          <w:i/>
          <w:sz w:val="24"/>
        </w:rPr>
        <w:t>negotiated access standards </w:t>
      </w:r>
      <w:r>
        <w:rPr>
          <w:sz w:val="24"/>
        </w:rPr>
        <w:t>which once determined, must be recorded together with the </w:t>
      </w:r>
      <w:r>
        <w:rPr>
          <w:i/>
          <w:sz w:val="24"/>
        </w:rPr>
        <w:t>automatic access standards </w:t>
      </w:r>
      <w:r>
        <w:rPr>
          <w:sz w:val="24"/>
        </w:rPr>
        <w:t>in a </w:t>
      </w:r>
      <w:r>
        <w:rPr>
          <w:i/>
          <w:sz w:val="24"/>
        </w:rPr>
        <w:t>connection </w:t>
      </w:r>
      <w:r>
        <w:rPr>
          <w:i/>
          <w:sz w:val="24"/>
        </w:rPr>
        <w:t>agreement </w:t>
      </w:r>
      <w:r>
        <w:rPr>
          <w:sz w:val="24"/>
        </w:rPr>
        <w:t>and registered with </w:t>
      </w:r>
      <w:r>
        <w:rPr>
          <w:i/>
          <w:sz w:val="24"/>
        </w:rPr>
        <w:t>AEMO </w:t>
      </w:r>
      <w:r>
        <w:rPr>
          <w:sz w:val="24"/>
        </w:rPr>
        <w:t>as </w:t>
      </w:r>
      <w:r>
        <w:rPr>
          <w:i/>
          <w:sz w:val="24"/>
        </w:rPr>
        <w:t>performance</w:t>
      </w:r>
      <w:r>
        <w:rPr>
          <w:i/>
          <w:spacing w:val="-7"/>
          <w:sz w:val="24"/>
        </w:rPr>
        <w:t> </w:t>
      </w:r>
      <w:r>
        <w:rPr>
          <w:i/>
          <w:sz w:val="24"/>
        </w:rPr>
        <w:t>standards</w:t>
      </w:r>
      <w:r>
        <w:rPr>
          <w:sz w:val="24"/>
        </w:rPr>
        <w:t>.</w:t>
      </w:r>
    </w:p>
    <w:p>
      <w:pPr>
        <w:pStyle w:val="BodyText"/>
        <w:spacing w:before="10"/>
        <w:ind w:firstLine="0"/>
        <w:jc w:val="left"/>
        <w:rPr>
          <w:sz w:val="20"/>
        </w:rPr>
      </w:pPr>
    </w:p>
    <w:p>
      <w:pPr>
        <w:pStyle w:val="Heading4"/>
        <w:tabs>
          <w:tab w:pos="1351" w:val="left" w:leader="none"/>
        </w:tabs>
        <w:ind w:left="218" w:firstLine="0"/>
      </w:pPr>
      <w:bookmarkStart w:name="S5.2.2 Application of Settings" w:id="962"/>
      <w:bookmarkEnd w:id="962"/>
      <w:r>
        <w:rPr>
          <w:b w:val="0"/>
        </w:rPr>
      </w:r>
      <w:bookmarkStart w:name="_bookmark373" w:id="963"/>
      <w:bookmarkEnd w:id="963"/>
      <w:r>
        <w:rPr>
          <w:b w:val="0"/>
        </w:rPr>
      </w:r>
      <w:r>
        <w:rPr/>
        <w:t>S5.2.2</w:t>
        <w:tab/>
        <w:t>Application of</w:t>
      </w:r>
      <w:r>
        <w:rPr>
          <w:spacing w:val="-1"/>
        </w:rPr>
        <w:t> </w:t>
      </w:r>
      <w:r>
        <w:rPr/>
        <w:t>Settings</w:t>
      </w:r>
    </w:p>
    <w:p>
      <w:pPr>
        <w:spacing w:before="120"/>
        <w:ind w:left="1352" w:right="414" w:firstLine="0"/>
        <w:jc w:val="both"/>
        <w:rPr>
          <w:sz w:val="24"/>
        </w:rPr>
      </w:pPr>
      <w:r>
        <w:rPr>
          <w:sz w:val="24"/>
        </w:rPr>
        <w:t>A </w:t>
      </w:r>
      <w:r>
        <w:rPr>
          <w:i/>
          <w:sz w:val="24"/>
        </w:rPr>
        <w:t>Generator </w:t>
      </w:r>
      <w:r>
        <w:rPr>
          <w:sz w:val="24"/>
        </w:rPr>
        <w:t>must only apply settings to a </w:t>
      </w:r>
      <w:r>
        <w:rPr>
          <w:i/>
          <w:sz w:val="24"/>
        </w:rPr>
        <w:t>control system </w:t>
      </w:r>
      <w:r>
        <w:rPr>
          <w:sz w:val="24"/>
        </w:rPr>
        <w:t>or a </w:t>
      </w:r>
      <w:r>
        <w:rPr>
          <w:i/>
          <w:sz w:val="24"/>
        </w:rPr>
        <w:t>protection system </w:t>
      </w:r>
      <w:r>
        <w:rPr>
          <w:sz w:val="24"/>
        </w:rPr>
        <w:t>that are necessary to comply with performance requirements of this schedule 5.2  if the settings have been approved in writing by the relevant </w:t>
      </w:r>
      <w:r>
        <w:rPr>
          <w:i/>
          <w:sz w:val="24"/>
        </w:rPr>
        <w:t>Network Service </w:t>
      </w:r>
      <w:r>
        <w:rPr>
          <w:i/>
          <w:sz w:val="24"/>
        </w:rPr>
        <w:t>Provider </w:t>
      </w:r>
      <w:r>
        <w:rPr>
          <w:sz w:val="24"/>
        </w:rPr>
        <w:t>and, if the requirement is  one  that  would  involve  </w:t>
      </w:r>
      <w:r>
        <w:rPr>
          <w:i/>
          <w:sz w:val="24"/>
        </w:rPr>
        <w:t>AEMO  </w:t>
      </w:r>
      <w:r>
        <w:rPr>
          <w:sz w:val="24"/>
        </w:rPr>
        <w:t>under  clause 5.3.4A(c) of the </w:t>
      </w:r>
      <w:r>
        <w:rPr>
          <w:i/>
          <w:sz w:val="24"/>
        </w:rPr>
        <w:t>Rules</w:t>
      </w:r>
      <w:r>
        <w:rPr>
          <w:sz w:val="24"/>
        </w:rPr>
        <w:t>, also by </w:t>
      </w:r>
      <w:r>
        <w:rPr>
          <w:i/>
          <w:sz w:val="24"/>
        </w:rPr>
        <w:t>AEMO</w:t>
      </w:r>
      <w:r>
        <w:rPr>
          <w:sz w:val="24"/>
        </w:rPr>
        <w:t>. A </w:t>
      </w:r>
      <w:r>
        <w:rPr>
          <w:i/>
          <w:sz w:val="24"/>
        </w:rPr>
        <w:t>Generator </w:t>
      </w:r>
      <w:r>
        <w:rPr>
          <w:sz w:val="24"/>
        </w:rPr>
        <w:t>must not allow its </w:t>
      </w:r>
      <w:r>
        <w:rPr>
          <w:i/>
          <w:sz w:val="24"/>
        </w:rPr>
        <w:t>generating unit </w:t>
      </w:r>
      <w:r>
        <w:rPr>
          <w:sz w:val="24"/>
        </w:rPr>
        <w:t>to supply electricity to the </w:t>
      </w:r>
      <w:r>
        <w:rPr>
          <w:i/>
          <w:sz w:val="24"/>
        </w:rPr>
        <w:t>power system </w:t>
      </w:r>
      <w:r>
        <w:rPr>
          <w:sz w:val="24"/>
        </w:rPr>
        <w:t>without such prior approval.</w:t>
      </w:r>
    </w:p>
    <w:p>
      <w:pPr>
        <w:spacing w:before="120"/>
        <w:ind w:left="1352" w:right="414" w:firstLine="0"/>
        <w:jc w:val="both"/>
        <w:rPr>
          <w:sz w:val="24"/>
        </w:rPr>
      </w:pPr>
      <w:r>
        <w:rPr>
          <w:sz w:val="24"/>
        </w:rPr>
        <w:t>If a </w:t>
      </w:r>
      <w:r>
        <w:rPr>
          <w:i/>
          <w:sz w:val="24"/>
        </w:rPr>
        <w:t>Generator </w:t>
      </w:r>
      <w:r>
        <w:rPr>
          <w:sz w:val="24"/>
        </w:rPr>
        <w:t>seeks approval from the </w:t>
      </w:r>
      <w:r>
        <w:rPr>
          <w:i/>
          <w:sz w:val="24"/>
        </w:rPr>
        <w:t>Network Service Provider </w:t>
      </w:r>
      <w:r>
        <w:rPr>
          <w:sz w:val="24"/>
        </w:rPr>
        <w:t>to apply or change a setting, then (except in the case of settings to be applied or changed by the </w:t>
      </w:r>
      <w:r>
        <w:rPr>
          <w:i/>
          <w:sz w:val="24"/>
        </w:rPr>
        <w:t>Generator </w:t>
      </w:r>
      <w:r>
        <w:rPr>
          <w:sz w:val="24"/>
        </w:rPr>
        <w:t>in connection with an </w:t>
      </w:r>
      <w:r>
        <w:rPr>
          <w:i/>
          <w:sz w:val="24"/>
        </w:rPr>
        <w:t>emergency frequency control scheme</w:t>
      </w:r>
      <w:r>
        <w:rPr>
          <w:sz w:val="24"/>
        </w:rPr>
        <w:t>) approval must not be withheld unless the </w:t>
      </w:r>
      <w:r>
        <w:rPr>
          <w:i/>
          <w:sz w:val="24"/>
        </w:rPr>
        <w:t>Network Service 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the changed setting would cause the </w:t>
      </w:r>
      <w:r>
        <w:rPr>
          <w:i/>
          <w:sz w:val="24"/>
        </w:rPr>
        <w:t>generating unit </w:t>
      </w:r>
      <w:r>
        <w:rPr>
          <w:sz w:val="24"/>
        </w:rPr>
        <w:t>to not comply with the relevant </w:t>
      </w:r>
      <w:r>
        <w:rPr>
          <w:i/>
          <w:sz w:val="24"/>
        </w:rPr>
        <w:t>performance standard </w:t>
      </w:r>
      <w:r>
        <w:rPr>
          <w:sz w:val="24"/>
        </w:rPr>
        <w:t>or cause an </w:t>
      </w:r>
      <w:r>
        <w:rPr>
          <w:i/>
          <w:sz w:val="24"/>
        </w:rPr>
        <w:t>inter-regional </w:t>
      </w:r>
      <w:r>
        <w:rPr>
          <w:sz w:val="24"/>
        </w:rPr>
        <w:t>or </w:t>
      </w:r>
      <w:r>
        <w:rPr>
          <w:i/>
          <w:sz w:val="24"/>
        </w:rPr>
        <w:t>intra-regional power transfer capability </w:t>
      </w:r>
      <w:r>
        <w:rPr>
          <w:sz w:val="24"/>
        </w:rPr>
        <w:t>to be</w:t>
      </w:r>
      <w:r>
        <w:rPr>
          <w:spacing w:val="-3"/>
          <w:sz w:val="24"/>
        </w:rPr>
        <w:t> </w:t>
      </w:r>
      <w:r>
        <w:rPr>
          <w:sz w:val="24"/>
        </w:rPr>
        <w:t>reduced.</w:t>
      </w:r>
    </w:p>
    <w:p>
      <w:pPr>
        <w:spacing w:before="120"/>
        <w:ind w:left="1352" w:right="414" w:firstLine="0"/>
        <w:jc w:val="both"/>
        <w:rPr>
          <w:sz w:val="24"/>
        </w:rPr>
      </w:pPr>
      <w:r>
        <w:rPr>
          <w:sz w:val="24"/>
        </w:rPr>
        <w:t>If the </w:t>
      </w:r>
      <w:r>
        <w:rPr>
          <w:i/>
          <w:sz w:val="24"/>
        </w:rPr>
        <w:t>Network Service 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a setting of a </w:t>
      </w:r>
      <w:r>
        <w:rPr>
          <w:i/>
          <w:sz w:val="24"/>
        </w:rPr>
        <w:t>generating unit's control system </w:t>
      </w:r>
      <w:r>
        <w:rPr>
          <w:sz w:val="24"/>
        </w:rPr>
        <w:t>or </w:t>
      </w:r>
      <w:r>
        <w:rPr>
          <w:i/>
          <w:sz w:val="24"/>
        </w:rPr>
        <w:t>protection system </w:t>
      </w:r>
      <w:r>
        <w:rPr>
          <w:sz w:val="24"/>
        </w:rPr>
        <w:t>needs to change to comply with the relevant </w:t>
      </w:r>
      <w:r>
        <w:rPr>
          <w:i/>
          <w:sz w:val="24"/>
        </w:rPr>
        <w:t>performance standard </w:t>
      </w:r>
      <w:r>
        <w:rPr>
          <w:sz w:val="24"/>
        </w:rPr>
        <w:t>or to maintain or restore an </w:t>
      </w:r>
      <w:r>
        <w:rPr>
          <w:i/>
          <w:sz w:val="24"/>
        </w:rPr>
        <w:t>inter-regional </w:t>
      </w:r>
      <w:r>
        <w:rPr>
          <w:sz w:val="24"/>
        </w:rPr>
        <w:t>or </w:t>
      </w:r>
      <w:r>
        <w:rPr>
          <w:i/>
          <w:sz w:val="24"/>
        </w:rPr>
        <w:t>intra-regional power transfer capability</w:t>
      </w:r>
      <w:r>
        <w:rPr>
          <w:sz w:val="24"/>
        </w:rPr>
        <w:t>, the </w:t>
      </w:r>
      <w:r>
        <w:rPr>
          <w:i/>
          <w:sz w:val="24"/>
        </w:rPr>
        <w:t>Network Service </w:t>
      </w:r>
      <w:r>
        <w:rPr>
          <w:i/>
          <w:sz w:val="24"/>
        </w:rPr>
        <w:t>Provider </w:t>
      </w:r>
      <w:r>
        <w:rPr>
          <w:sz w:val="24"/>
        </w:rPr>
        <w:t>or </w:t>
      </w:r>
      <w:r>
        <w:rPr>
          <w:i/>
          <w:sz w:val="24"/>
        </w:rPr>
        <w:t>AEMO </w:t>
      </w:r>
      <w:r>
        <w:rPr>
          <w:sz w:val="24"/>
        </w:rPr>
        <w:t>(as applicable) must consult with the relevant </w:t>
      </w:r>
      <w:r>
        <w:rPr>
          <w:i/>
          <w:sz w:val="24"/>
        </w:rPr>
        <w:t>Generator</w:t>
      </w:r>
      <w:r>
        <w:rPr>
          <w:sz w:val="24"/>
        </w:rPr>
        <w:t>, and the </w:t>
      </w:r>
      <w:r>
        <w:rPr>
          <w:i/>
          <w:sz w:val="24"/>
        </w:rPr>
        <w:t>Network Service Provider </w:t>
      </w:r>
      <w:r>
        <w:rPr>
          <w:sz w:val="24"/>
        </w:rPr>
        <w:t>may request in writing that a setting be applied in accordance with the determination.</w:t>
      </w:r>
    </w:p>
    <w:p>
      <w:pPr>
        <w:spacing w:before="120"/>
        <w:ind w:left="1352" w:right="415" w:firstLine="0"/>
        <w:jc w:val="both"/>
        <w:rPr>
          <w:sz w:val="24"/>
        </w:rPr>
      </w:pPr>
      <w:r>
        <w:rPr>
          <w:sz w:val="24"/>
        </w:rPr>
        <w:t>The </w:t>
      </w:r>
      <w:r>
        <w:rPr>
          <w:i/>
          <w:sz w:val="24"/>
        </w:rPr>
        <w:t>Network Service Provider </w:t>
      </w:r>
      <w:r>
        <w:rPr>
          <w:sz w:val="24"/>
        </w:rPr>
        <w:t>may also request a test to verify the performance of the relevant </w:t>
      </w:r>
      <w:r>
        <w:rPr>
          <w:i/>
          <w:sz w:val="24"/>
        </w:rPr>
        <w:t>plant </w:t>
      </w:r>
      <w:r>
        <w:rPr>
          <w:sz w:val="24"/>
        </w:rPr>
        <w:t>with the new setting. The </w:t>
      </w:r>
      <w:r>
        <w:rPr>
          <w:i/>
          <w:sz w:val="24"/>
        </w:rPr>
        <w:t>Network Service Provider </w:t>
      </w:r>
      <w:r>
        <w:rPr>
          <w:sz w:val="24"/>
        </w:rPr>
        <w:t>must provide </w:t>
      </w:r>
      <w:r>
        <w:rPr>
          <w:i/>
          <w:sz w:val="24"/>
        </w:rPr>
        <w:t>AEMO </w:t>
      </w:r>
      <w:r>
        <w:rPr>
          <w:sz w:val="24"/>
        </w:rPr>
        <w:t>with a copy of its request to a </w:t>
      </w:r>
      <w:r>
        <w:rPr>
          <w:i/>
          <w:sz w:val="24"/>
        </w:rPr>
        <w:t>Generator </w:t>
      </w:r>
      <w:r>
        <w:rPr>
          <w:sz w:val="24"/>
        </w:rPr>
        <w:t>to apply a setting or to conduct a test.</w:t>
      </w:r>
    </w:p>
    <w:p>
      <w:pPr>
        <w:pStyle w:val="BodyText"/>
        <w:ind w:left="1352" w:right="415" w:firstLine="0"/>
      </w:pPr>
      <w:r>
        <w:rPr/>
        <w:t>A </w:t>
      </w:r>
      <w:r>
        <w:rPr>
          <w:i/>
        </w:rPr>
        <w:t>Generator </w:t>
      </w:r>
      <w:r>
        <w:rPr/>
        <w:t>who receives such a request must arrange for the notified setting to be applied as requested and for a test to be conducted as requested. After the test, the </w:t>
      </w:r>
      <w:r>
        <w:rPr>
          <w:i/>
        </w:rPr>
        <w:t>Generator </w:t>
      </w:r>
      <w:r>
        <w:rPr/>
        <w:t>must, on request, provide both </w:t>
      </w:r>
      <w:r>
        <w:rPr>
          <w:i/>
        </w:rPr>
        <w:t>AEMO </w:t>
      </w:r>
      <w:r>
        <w:rPr/>
        <w:t>and the </w:t>
      </w:r>
      <w:r>
        <w:rPr>
          <w:i/>
        </w:rPr>
        <w:t>Network Service </w:t>
      </w:r>
      <w:r>
        <w:rPr>
          <w:i/>
        </w:rPr>
        <w:t>Provider </w:t>
      </w:r>
      <w:r>
        <w:rPr/>
        <w:t>with a report of a requested test, including evidence of its success or failure. Such a report of a test is </w:t>
      </w:r>
      <w:r>
        <w:rPr>
          <w:i/>
        </w:rPr>
        <w:t>confidential information</w:t>
      </w:r>
      <w:r>
        <w:rPr/>
        <w:t>.</w:t>
      </w:r>
    </w:p>
    <w:p>
      <w:pPr>
        <w:spacing w:before="120"/>
        <w:ind w:left="1352" w:right="415" w:firstLine="0"/>
        <w:jc w:val="both"/>
        <w:rPr>
          <w:sz w:val="24"/>
        </w:rPr>
      </w:pPr>
      <w:r>
        <w:rPr>
          <w:sz w:val="24"/>
        </w:rPr>
        <w:t>A </w:t>
      </w:r>
      <w:r>
        <w:rPr>
          <w:i/>
          <w:sz w:val="24"/>
        </w:rPr>
        <w:t>Generator </w:t>
      </w:r>
      <w:r>
        <w:rPr>
          <w:sz w:val="24"/>
        </w:rPr>
        <w:t>must not change a setting requested by the </w:t>
      </w:r>
      <w:r>
        <w:rPr>
          <w:i/>
          <w:sz w:val="24"/>
        </w:rPr>
        <w:t>Network Service Provider </w:t>
      </w:r>
      <w:r>
        <w:rPr>
          <w:sz w:val="24"/>
        </w:rPr>
        <w:t>without its prior written agreement. If the </w:t>
      </w:r>
      <w:r>
        <w:rPr>
          <w:i/>
          <w:sz w:val="24"/>
        </w:rPr>
        <w:t>Network Service Provider </w:t>
      </w:r>
      <w:r>
        <w:rPr>
          <w:sz w:val="24"/>
        </w:rPr>
        <w:t>requires a </w:t>
      </w:r>
      <w:r>
        <w:rPr>
          <w:i/>
          <w:sz w:val="24"/>
        </w:rPr>
        <w:t>Generator </w:t>
      </w:r>
      <w:r>
        <w:rPr>
          <w:sz w:val="24"/>
        </w:rPr>
        <w:t>to change a setting within 18 months of a previous request, the </w:t>
      </w:r>
      <w:r>
        <w:rPr>
          <w:i/>
          <w:sz w:val="24"/>
        </w:rPr>
        <w:t>Network Service Provider </w:t>
      </w:r>
      <w:r>
        <w:rPr>
          <w:sz w:val="24"/>
        </w:rPr>
        <w:t>must pay the </w:t>
      </w:r>
      <w:r>
        <w:rPr>
          <w:i/>
          <w:sz w:val="24"/>
        </w:rPr>
        <w:t>Generator </w:t>
      </w:r>
      <w:r>
        <w:rPr>
          <w:sz w:val="24"/>
        </w:rPr>
        <w:t>its reasonable costs of changing the setting and conducting the tests as</w:t>
      </w:r>
      <w:r>
        <w:rPr>
          <w:spacing w:val="-3"/>
          <w:sz w:val="24"/>
        </w:rPr>
        <w:t> </w:t>
      </w:r>
      <w:r>
        <w:rPr>
          <w:sz w:val="24"/>
        </w:rPr>
        <w:t>requested.</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5.2.3 Technical matters to be coordinat" w:id="964"/>
      <w:bookmarkEnd w:id="964"/>
      <w:r>
        <w:rPr>
          <w:b w:val="0"/>
        </w:rPr>
      </w:r>
      <w:bookmarkStart w:name="_bookmark374" w:id="965"/>
      <w:bookmarkEnd w:id="965"/>
      <w:r>
        <w:rPr>
          <w:b w:val="0"/>
        </w:rPr>
      </w:r>
      <w:r>
        <w:rPr/>
        <w:t>S5.2.3</w:t>
        <w:tab/>
        <w:t>Technical matters to be</w:t>
      </w:r>
      <w:r>
        <w:rPr>
          <w:spacing w:val="-1"/>
        </w:rPr>
        <w:t> </w:t>
      </w:r>
      <w:r>
        <w:rPr/>
        <w:t>coordinated</w:t>
      </w:r>
    </w:p>
    <w:p>
      <w:pPr>
        <w:pStyle w:val="ListParagraph"/>
        <w:numPr>
          <w:ilvl w:val="0"/>
          <w:numId w:val="282"/>
        </w:numPr>
        <w:tabs>
          <w:tab w:pos="1919" w:val="left" w:leader="none"/>
        </w:tabs>
        <w:spacing w:line="240" w:lineRule="auto" w:before="120" w:after="0"/>
        <w:ind w:left="1919" w:right="415" w:hanging="567"/>
        <w:jc w:val="both"/>
        <w:rPr>
          <w:sz w:val="24"/>
        </w:rPr>
      </w:pPr>
      <w:r>
        <w:rPr>
          <w:sz w:val="24"/>
        </w:rPr>
        <w:t>A </w:t>
      </w:r>
      <w:r>
        <w:rPr>
          <w:i/>
          <w:sz w:val="24"/>
        </w:rPr>
        <w:t>Generator </w:t>
      </w:r>
      <w:r>
        <w:rPr>
          <w:sz w:val="24"/>
        </w:rPr>
        <w:t>and the relevant </w:t>
      </w:r>
      <w:r>
        <w:rPr>
          <w:i/>
          <w:sz w:val="24"/>
        </w:rPr>
        <w:t>Network Service Provider </w:t>
      </w:r>
      <w:r>
        <w:rPr>
          <w:sz w:val="24"/>
        </w:rPr>
        <w:t>must use all reasonable endeavours to agree upon relevant technical matters in respect </w:t>
      </w:r>
      <w:r>
        <w:rPr>
          <w:spacing w:val="-6"/>
          <w:sz w:val="24"/>
        </w:rPr>
        <w:t>of </w:t>
      </w:r>
      <w:r>
        <w:rPr>
          <w:sz w:val="24"/>
        </w:rPr>
        <w:t>each new or altered </w:t>
      </w:r>
      <w:r>
        <w:rPr>
          <w:i/>
          <w:sz w:val="24"/>
        </w:rPr>
        <w:t>connection </w:t>
      </w:r>
      <w:r>
        <w:rPr>
          <w:sz w:val="24"/>
        </w:rPr>
        <w:t>of a </w:t>
      </w:r>
      <w:r>
        <w:rPr>
          <w:i/>
          <w:sz w:val="24"/>
        </w:rPr>
        <w:t>generating system </w:t>
      </w:r>
      <w:r>
        <w:rPr>
          <w:sz w:val="24"/>
        </w:rPr>
        <w:t>to a </w:t>
      </w:r>
      <w:r>
        <w:rPr>
          <w:i/>
          <w:sz w:val="24"/>
        </w:rPr>
        <w:t>network </w:t>
      </w:r>
      <w:r>
        <w:rPr>
          <w:sz w:val="24"/>
        </w:rPr>
        <w:t>including:</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design at the </w:t>
      </w:r>
      <w:r>
        <w:rPr>
          <w:i/>
          <w:sz w:val="24"/>
        </w:rPr>
        <w:t>connection</w:t>
      </w:r>
      <w:r>
        <w:rPr>
          <w:i/>
          <w:spacing w:val="-1"/>
          <w:sz w:val="24"/>
        </w:rPr>
        <w:t> </w:t>
      </w:r>
      <w:r>
        <w:rPr>
          <w:i/>
          <w:sz w:val="24"/>
        </w:rPr>
        <w:t>point</w:t>
      </w:r>
      <w:r>
        <w:rPr>
          <w:sz w:val="24"/>
        </w:rPr>
        <w:t>;</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physical layout adjacent to the </w:t>
      </w:r>
      <w:r>
        <w:rPr>
          <w:i/>
          <w:sz w:val="24"/>
        </w:rPr>
        <w:t>connection</w:t>
      </w:r>
      <w:r>
        <w:rPr>
          <w:i/>
          <w:spacing w:val="-1"/>
          <w:sz w:val="24"/>
        </w:rPr>
        <w:t> </w:t>
      </w:r>
      <w:r>
        <w:rPr>
          <w:i/>
          <w:sz w:val="24"/>
        </w:rPr>
        <w:t>point</w:t>
      </w:r>
      <w:r>
        <w:rPr>
          <w:sz w:val="24"/>
        </w:rPr>
        <w:t>;</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primary protection and backup protection (clause</w:t>
      </w:r>
      <w:r>
        <w:rPr>
          <w:spacing w:val="-2"/>
          <w:sz w:val="24"/>
        </w:rPr>
        <w:t> </w:t>
      </w:r>
      <w:r>
        <w:rPr>
          <w:sz w:val="24"/>
        </w:rPr>
        <w:t>S5.2.5);</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control characteristics (clause</w:t>
      </w:r>
      <w:r>
        <w:rPr>
          <w:spacing w:val="-1"/>
          <w:sz w:val="24"/>
        </w:rPr>
        <w:t> </w:t>
      </w:r>
      <w:r>
        <w:rPr>
          <w:sz w:val="24"/>
        </w:rPr>
        <w:t>S5.2.5);</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communications </w:t>
      </w:r>
      <w:r>
        <w:rPr>
          <w:i/>
          <w:sz w:val="24"/>
        </w:rPr>
        <w:t>facilities </w:t>
      </w:r>
      <w:r>
        <w:rPr>
          <w:sz w:val="24"/>
        </w:rPr>
        <w:t>(clause</w:t>
      </w:r>
      <w:r>
        <w:rPr>
          <w:spacing w:val="-1"/>
          <w:sz w:val="24"/>
        </w:rPr>
        <w:t> </w:t>
      </w:r>
      <w:r>
        <w:rPr>
          <w:sz w:val="24"/>
        </w:rPr>
        <w:t>S5.2.6);</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insulation co-ordination and lightning protection (paragraph</w:t>
      </w:r>
      <w:r>
        <w:rPr>
          <w:spacing w:val="-1"/>
          <w:sz w:val="24"/>
        </w:rPr>
        <w:t> </w:t>
      </w:r>
      <w:r>
        <w:rPr>
          <w:sz w:val="24"/>
        </w:rPr>
        <w:t>(b));</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fault levels and fault clearance (clause</w:t>
      </w:r>
      <w:r>
        <w:rPr>
          <w:spacing w:val="-2"/>
          <w:sz w:val="24"/>
        </w:rPr>
        <w:t> </w:t>
      </w:r>
      <w:r>
        <w:rPr>
          <w:sz w:val="24"/>
        </w:rPr>
        <w:t>S5.2.8);</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switching and </w:t>
      </w:r>
      <w:r>
        <w:rPr>
          <w:i/>
          <w:sz w:val="24"/>
        </w:rPr>
        <w:t>isolation </w:t>
      </w:r>
      <w:r>
        <w:rPr>
          <w:sz w:val="24"/>
        </w:rPr>
        <w:t>facilities (clause</w:t>
      </w:r>
      <w:r>
        <w:rPr>
          <w:spacing w:val="-2"/>
          <w:sz w:val="24"/>
        </w:rPr>
        <w:t> </w:t>
      </w:r>
      <w:r>
        <w:rPr>
          <w:sz w:val="24"/>
        </w:rPr>
        <w:t>S5.2.8);</w:t>
      </w:r>
    </w:p>
    <w:p>
      <w:pPr>
        <w:pStyle w:val="ListParagraph"/>
        <w:numPr>
          <w:ilvl w:val="1"/>
          <w:numId w:val="282"/>
        </w:numPr>
        <w:tabs>
          <w:tab w:pos="2485" w:val="left" w:leader="none"/>
          <w:tab w:pos="2486" w:val="left" w:leader="none"/>
        </w:tabs>
        <w:spacing w:line="240" w:lineRule="auto" w:before="120" w:after="0"/>
        <w:ind w:left="2485" w:right="0" w:hanging="567"/>
        <w:jc w:val="left"/>
        <w:rPr>
          <w:sz w:val="24"/>
        </w:rPr>
      </w:pPr>
      <w:r>
        <w:rPr>
          <w:sz w:val="24"/>
        </w:rPr>
        <w:t>interlocking and </w:t>
      </w:r>
      <w:r>
        <w:rPr>
          <w:i/>
          <w:sz w:val="24"/>
        </w:rPr>
        <w:t>synchronising </w:t>
      </w:r>
      <w:r>
        <w:rPr>
          <w:sz w:val="24"/>
        </w:rPr>
        <w:t>arrangements;</w:t>
      </w:r>
      <w:r>
        <w:rPr>
          <w:spacing w:val="-3"/>
          <w:sz w:val="24"/>
        </w:rPr>
        <w:t> </w:t>
      </w:r>
      <w:r>
        <w:rPr>
          <w:sz w:val="24"/>
        </w:rPr>
        <w:t>and</w:t>
      </w:r>
    </w:p>
    <w:p>
      <w:pPr>
        <w:pStyle w:val="ListParagraph"/>
        <w:numPr>
          <w:ilvl w:val="1"/>
          <w:numId w:val="282"/>
        </w:numPr>
        <w:tabs>
          <w:tab w:pos="2486" w:val="left" w:leader="none"/>
        </w:tabs>
        <w:spacing w:line="240" w:lineRule="auto" w:before="120" w:after="0"/>
        <w:ind w:left="2485" w:right="0" w:hanging="567"/>
        <w:jc w:val="left"/>
        <w:rPr>
          <w:sz w:val="24"/>
        </w:rPr>
      </w:pPr>
      <w:r>
        <w:rPr>
          <w:i/>
          <w:sz w:val="24"/>
        </w:rPr>
        <w:t>metering</w:t>
      </w:r>
      <w:r>
        <w:rPr>
          <w:i/>
          <w:spacing w:val="-1"/>
          <w:sz w:val="24"/>
        </w:rPr>
        <w:t> </w:t>
      </w:r>
      <w:r>
        <w:rPr>
          <w:i/>
          <w:sz w:val="24"/>
        </w:rPr>
        <w:t>installations</w:t>
      </w:r>
      <w:r>
        <w:rPr>
          <w:sz w:val="24"/>
        </w:rPr>
        <w:t>.</w:t>
      </w:r>
    </w:p>
    <w:p>
      <w:pPr>
        <w:pStyle w:val="ListParagraph"/>
        <w:numPr>
          <w:ilvl w:val="0"/>
          <w:numId w:val="282"/>
        </w:numPr>
        <w:tabs>
          <w:tab w:pos="1919" w:val="left" w:leader="none"/>
        </w:tabs>
        <w:spacing w:line="240" w:lineRule="auto" w:before="120" w:after="0"/>
        <w:ind w:left="1919" w:right="415" w:hanging="567"/>
        <w:jc w:val="both"/>
        <w:rPr>
          <w:sz w:val="24"/>
        </w:rPr>
      </w:pPr>
      <w:r>
        <w:rPr>
          <w:sz w:val="24"/>
        </w:rPr>
        <w:t>A </w:t>
      </w:r>
      <w:r>
        <w:rPr>
          <w:i/>
          <w:sz w:val="24"/>
        </w:rPr>
        <w:t>Generator </w:t>
      </w:r>
      <w:r>
        <w:rPr>
          <w:sz w:val="24"/>
        </w:rPr>
        <w:t>must ensure that in designing a </w:t>
      </w:r>
      <w:r>
        <w:rPr>
          <w:i/>
          <w:sz w:val="24"/>
        </w:rPr>
        <w:t>generating system's </w:t>
      </w:r>
      <w:r>
        <w:rPr>
          <w:sz w:val="24"/>
        </w:rPr>
        <w:t>electrical </w:t>
      </w:r>
      <w:r>
        <w:rPr>
          <w:i/>
          <w:sz w:val="24"/>
        </w:rPr>
        <w:t>plant</w:t>
      </w:r>
      <w:r>
        <w:rPr>
          <w:sz w:val="24"/>
        </w:rPr>
        <w:t>, including any </w:t>
      </w:r>
      <w:r>
        <w:rPr>
          <w:i/>
          <w:sz w:val="24"/>
        </w:rPr>
        <w:t>substation </w:t>
      </w:r>
      <w:r>
        <w:rPr>
          <w:sz w:val="24"/>
        </w:rPr>
        <w:t>for the </w:t>
      </w:r>
      <w:r>
        <w:rPr>
          <w:i/>
          <w:sz w:val="24"/>
        </w:rPr>
        <w:t>connection </w:t>
      </w:r>
      <w:r>
        <w:rPr>
          <w:sz w:val="24"/>
        </w:rPr>
        <w:t>of the </w:t>
      </w:r>
      <w:r>
        <w:rPr>
          <w:i/>
          <w:sz w:val="24"/>
        </w:rPr>
        <w:t>generating system </w:t>
      </w:r>
      <w:r>
        <w:rPr>
          <w:sz w:val="24"/>
        </w:rPr>
        <w:t>to the </w:t>
      </w:r>
      <w:r>
        <w:rPr>
          <w:i/>
          <w:sz w:val="24"/>
        </w:rPr>
        <w:t>network</w:t>
      </w:r>
      <w:r>
        <w:rPr>
          <w:sz w:val="24"/>
        </w:rPr>
        <w:t>, to operate at the same </w:t>
      </w:r>
      <w:r>
        <w:rPr>
          <w:i/>
          <w:sz w:val="24"/>
        </w:rPr>
        <w:t>nominal voltage </w:t>
      </w:r>
      <w:r>
        <w:rPr>
          <w:sz w:val="24"/>
        </w:rPr>
        <w:t>as at the </w:t>
      </w:r>
      <w:r>
        <w:rPr>
          <w:i/>
          <w:sz w:val="24"/>
        </w:rPr>
        <w:t>connection </w:t>
      </w:r>
      <w:r>
        <w:rPr>
          <w:i/>
          <w:sz w:val="24"/>
        </w:rPr>
        <w:t>point</w:t>
      </w:r>
      <w:r>
        <w:rPr>
          <w:sz w:val="24"/>
        </w:rPr>
        <w:t>:</w:t>
      </w:r>
    </w:p>
    <w:p>
      <w:pPr>
        <w:pStyle w:val="ListParagraph"/>
        <w:numPr>
          <w:ilvl w:val="1"/>
          <w:numId w:val="282"/>
        </w:numPr>
        <w:tabs>
          <w:tab w:pos="2486" w:val="left" w:leader="none"/>
        </w:tabs>
        <w:spacing w:line="240" w:lineRule="auto" w:before="120" w:after="0"/>
        <w:ind w:left="2486" w:right="415" w:hanging="567"/>
        <w:jc w:val="both"/>
        <w:rPr>
          <w:sz w:val="24"/>
        </w:rPr>
      </w:pPr>
      <w:r>
        <w:rPr>
          <w:sz w:val="24"/>
        </w:rPr>
        <w:t>the </w:t>
      </w:r>
      <w:r>
        <w:rPr>
          <w:i/>
          <w:sz w:val="24"/>
        </w:rPr>
        <w:t>plant </w:t>
      </w:r>
      <w:r>
        <w:rPr>
          <w:sz w:val="24"/>
        </w:rPr>
        <w:t>complies with the relevant </w:t>
      </w:r>
      <w:r>
        <w:rPr>
          <w:i/>
          <w:sz w:val="24"/>
        </w:rPr>
        <w:t>Australian Standards </w:t>
      </w:r>
      <w:r>
        <w:rPr>
          <w:sz w:val="24"/>
        </w:rPr>
        <w:t>unless </w:t>
      </w:r>
      <w:r>
        <w:rPr>
          <w:spacing w:val="-11"/>
          <w:sz w:val="24"/>
        </w:rPr>
        <w:t>a </w:t>
      </w:r>
      <w:r>
        <w:rPr>
          <w:sz w:val="24"/>
        </w:rPr>
        <w:t>provision of these </w:t>
      </w:r>
      <w:r>
        <w:rPr>
          <w:i/>
          <w:sz w:val="24"/>
        </w:rPr>
        <w:t>Rules </w:t>
      </w:r>
      <w:r>
        <w:rPr>
          <w:sz w:val="24"/>
        </w:rPr>
        <w:t>allows or requires</w:t>
      </w:r>
      <w:r>
        <w:rPr>
          <w:spacing w:val="-1"/>
          <w:sz w:val="24"/>
        </w:rPr>
        <w:t> </w:t>
      </w:r>
      <w:r>
        <w:rPr>
          <w:sz w:val="24"/>
        </w:rPr>
        <w:t>otherwise;</w:t>
      </w:r>
    </w:p>
    <w:p>
      <w:pPr>
        <w:pStyle w:val="ListParagraph"/>
        <w:numPr>
          <w:ilvl w:val="1"/>
          <w:numId w:val="282"/>
        </w:numPr>
        <w:tabs>
          <w:tab w:pos="2486" w:val="left" w:leader="none"/>
        </w:tabs>
        <w:spacing w:line="240" w:lineRule="auto" w:before="120" w:after="0"/>
        <w:ind w:left="2486" w:right="414" w:hanging="567"/>
        <w:jc w:val="both"/>
        <w:rPr>
          <w:sz w:val="24"/>
        </w:rPr>
      </w:pPr>
      <w:r>
        <w:rPr>
          <w:sz w:val="24"/>
        </w:rPr>
        <w:t>the earthing of the </w:t>
      </w:r>
      <w:r>
        <w:rPr>
          <w:i/>
          <w:sz w:val="24"/>
        </w:rPr>
        <w:t>plant </w:t>
      </w:r>
      <w:r>
        <w:rPr>
          <w:sz w:val="24"/>
        </w:rPr>
        <w:t>complies with the ENA EG1-2006: Substation Earthing Guide to reduce step and touch potentials to safe levels;</w:t>
      </w:r>
    </w:p>
    <w:p>
      <w:pPr>
        <w:pStyle w:val="ListParagraph"/>
        <w:numPr>
          <w:ilvl w:val="1"/>
          <w:numId w:val="282"/>
        </w:numPr>
        <w:tabs>
          <w:tab w:pos="2486" w:val="left" w:leader="none"/>
        </w:tabs>
        <w:spacing w:line="240" w:lineRule="auto" w:before="120" w:after="0"/>
        <w:ind w:left="2485" w:right="0" w:hanging="567"/>
        <w:jc w:val="both"/>
        <w:rPr>
          <w:i/>
          <w:sz w:val="24"/>
        </w:rPr>
      </w:pPr>
      <w:r>
        <w:rPr>
          <w:sz w:val="24"/>
        </w:rPr>
        <w:t>the </w:t>
      </w:r>
      <w:r>
        <w:rPr>
          <w:i/>
          <w:sz w:val="24"/>
        </w:rPr>
        <w:t>plant </w:t>
      </w:r>
      <w:r>
        <w:rPr>
          <w:sz w:val="24"/>
        </w:rPr>
        <w:t>is capable of withstanding, without damage the</w:t>
      </w:r>
      <w:r>
        <w:rPr>
          <w:spacing w:val="49"/>
          <w:sz w:val="24"/>
        </w:rPr>
        <w:t> </w:t>
      </w:r>
      <w:r>
        <w:rPr>
          <w:i/>
          <w:sz w:val="24"/>
        </w:rPr>
        <w:t>voltage</w:t>
      </w:r>
    </w:p>
    <w:p>
      <w:pPr>
        <w:spacing w:before="0"/>
        <w:ind w:left="2486" w:right="0" w:firstLine="0"/>
        <w:jc w:val="both"/>
        <w:rPr>
          <w:sz w:val="24"/>
        </w:rPr>
      </w:pPr>
      <w:r>
        <w:rPr>
          <w:sz w:val="24"/>
        </w:rPr>
        <w:t>impulse levels specified in the </w:t>
      </w:r>
      <w:r>
        <w:rPr>
          <w:i/>
          <w:sz w:val="24"/>
        </w:rPr>
        <w:t>connection agreement</w:t>
      </w:r>
      <w:r>
        <w:rPr>
          <w:sz w:val="24"/>
        </w:rPr>
        <w:t>;</w:t>
      </w:r>
    </w:p>
    <w:p>
      <w:pPr>
        <w:pStyle w:val="ListParagraph"/>
        <w:numPr>
          <w:ilvl w:val="1"/>
          <w:numId w:val="282"/>
        </w:numPr>
        <w:tabs>
          <w:tab w:pos="2486" w:val="left" w:leader="none"/>
        </w:tabs>
        <w:spacing w:line="240" w:lineRule="auto" w:before="120" w:after="0"/>
        <w:ind w:left="2486" w:right="414" w:hanging="567"/>
        <w:jc w:val="both"/>
        <w:rPr>
          <w:sz w:val="24"/>
        </w:rPr>
      </w:pPr>
      <w:r>
        <w:rPr>
          <w:sz w:val="24"/>
        </w:rPr>
        <w:t>the insulation levels of the </w:t>
      </w:r>
      <w:r>
        <w:rPr>
          <w:i/>
          <w:sz w:val="24"/>
        </w:rPr>
        <w:t>plant </w:t>
      </w:r>
      <w:r>
        <w:rPr>
          <w:sz w:val="24"/>
        </w:rPr>
        <w:t>are co-ordinated with the insulation levels of the </w:t>
      </w:r>
      <w:r>
        <w:rPr>
          <w:i/>
          <w:sz w:val="24"/>
        </w:rPr>
        <w:t>network </w:t>
      </w:r>
      <w:r>
        <w:rPr>
          <w:sz w:val="24"/>
        </w:rPr>
        <w:t>to which the </w:t>
      </w:r>
      <w:r>
        <w:rPr>
          <w:i/>
          <w:sz w:val="24"/>
        </w:rPr>
        <w:t>generating system </w:t>
      </w:r>
      <w:r>
        <w:rPr>
          <w:sz w:val="24"/>
        </w:rPr>
        <w:t>is </w:t>
      </w:r>
      <w:r>
        <w:rPr>
          <w:i/>
          <w:sz w:val="24"/>
        </w:rPr>
        <w:t>connected </w:t>
      </w:r>
      <w:r>
        <w:rPr>
          <w:sz w:val="24"/>
        </w:rPr>
        <w:t>as specified in the </w:t>
      </w:r>
      <w:r>
        <w:rPr>
          <w:i/>
          <w:sz w:val="24"/>
        </w:rPr>
        <w:t>connection agreement</w:t>
      </w:r>
      <w:r>
        <w:rPr>
          <w:sz w:val="24"/>
        </w:rPr>
        <w:t>;</w:t>
      </w:r>
      <w:r>
        <w:rPr>
          <w:spacing w:val="-1"/>
          <w:sz w:val="24"/>
        </w:rPr>
        <w:t> </w:t>
      </w:r>
      <w:r>
        <w:rPr>
          <w:sz w:val="24"/>
        </w:rPr>
        <w:t>and</w:t>
      </w:r>
    </w:p>
    <w:p>
      <w:pPr>
        <w:pStyle w:val="ListParagraph"/>
        <w:numPr>
          <w:ilvl w:val="1"/>
          <w:numId w:val="282"/>
        </w:numPr>
        <w:tabs>
          <w:tab w:pos="2486" w:val="left" w:leader="none"/>
        </w:tabs>
        <w:spacing w:line="240" w:lineRule="auto" w:before="120" w:after="0"/>
        <w:ind w:left="2486" w:right="415" w:hanging="567"/>
        <w:jc w:val="both"/>
        <w:rPr>
          <w:sz w:val="24"/>
        </w:rPr>
      </w:pPr>
      <w:r>
        <w:rPr>
          <w:sz w:val="24"/>
        </w:rPr>
        <w:t>safety provisions in respect of the </w:t>
      </w:r>
      <w:r>
        <w:rPr>
          <w:i/>
          <w:sz w:val="24"/>
        </w:rPr>
        <w:t>plant </w:t>
      </w:r>
      <w:r>
        <w:rPr>
          <w:sz w:val="24"/>
        </w:rPr>
        <w:t>comply with requirements applicable to the </w:t>
      </w:r>
      <w:r>
        <w:rPr>
          <w:i/>
          <w:sz w:val="24"/>
        </w:rPr>
        <w:t>participating jurisdiction </w:t>
      </w:r>
      <w:r>
        <w:rPr>
          <w:sz w:val="24"/>
        </w:rPr>
        <w:t>in which the </w:t>
      </w:r>
      <w:r>
        <w:rPr>
          <w:i/>
          <w:sz w:val="24"/>
        </w:rPr>
        <w:t>generating </w:t>
      </w:r>
      <w:r>
        <w:rPr>
          <w:i/>
          <w:sz w:val="24"/>
        </w:rPr>
        <w:t>system </w:t>
      </w:r>
      <w:r>
        <w:rPr>
          <w:sz w:val="24"/>
        </w:rPr>
        <w:t>is located, as notified by the </w:t>
      </w:r>
      <w:r>
        <w:rPr>
          <w:i/>
          <w:sz w:val="24"/>
        </w:rPr>
        <w:t>Network Service</w:t>
      </w:r>
      <w:r>
        <w:rPr>
          <w:i/>
          <w:spacing w:val="-5"/>
          <w:sz w:val="24"/>
        </w:rPr>
        <w:t> </w:t>
      </w:r>
      <w:r>
        <w:rPr>
          <w:i/>
          <w:sz w:val="24"/>
        </w:rPr>
        <w:t>Provider</w:t>
      </w:r>
      <w:r>
        <w:rPr>
          <w:sz w:val="24"/>
        </w:rPr>
        <w:t>.</w:t>
      </w:r>
    </w:p>
    <w:p>
      <w:pPr>
        <w:pStyle w:val="ListParagraph"/>
        <w:numPr>
          <w:ilvl w:val="0"/>
          <w:numId w:val="282"/>
        </w:numPr>
        <w:tabs>
          <w:tab w:pos="1919" w:val="left" w:leader="none"/>
        </w:tabs>
        <w:spacing w:line="240" w:lineRule="auto" w:before="120" w:after="0"/>
        <w:ind w:left="1919" w:right="415" w:hanging="567"/>
        <w:jc w:val="both"/>
        <w:rPr>
          <w:sz w:val="24"/>
        </w:rPr>
      </w:pPr>
      <w:r>
        <w:rPr>
          <w:sz w:val="24"/>
        </w:rPr>
        <w:t>If no relevant </w:t>
      </w:r>
      <w:r>
        <w:rPr>
          <w:i/>
          <w:sz w:val="24"/>
        </w:rPr>
        <w:t>Australian Standard </w:t>
      </w:r>
      <w:r>
        <w:rPr>
          <w:sz w:val="24"/>
        </w:rPr>
        <w:t>exists for the purposes of </w:t>
      </w:r>
      <w:r>
        <w:rPr>
          <w:spacing w:val="-3"/>
          <w:sz w:val="24"/>
        </w:rPr>
        <w:t>paragraph </w:t>
      </w:r>
      <w:r>
        <w:rPr>
          <w:sz w:val="24"/>
        </w:rPr>
        <w:t>(b)(1), the </w:t>
      </w:r>
      <w:r>
        <w:rPr>
          <w:i/>
          <w:sz w:val="24"/>
        </w:rPr>
        <w:t>Generator </w:t>
      </w:r>
      <w:r>
        <w:rPr>
          <w:sz w:val="24"/>
        </w:rPr>
        <w:t>must agree with the </w:t>
      </w:r>
      <w:r>
        <w:rPr>
          <w:i/>
          <w:sz w:val="24"/>
        </w:rPr>
        <w:t>Network Service Provider </w:t>
      </w:r>
      <w:r>
        <w:rPr>
          <w:sz w:val="24"/>
        </w:rPr>
        <w:t>for the </w:t>
      </w:r>
      <w:r>
        <w:rPr>
          <w:i/>
          <w:sz w:val="24"/>
        </w:rPr>
        <w:t>Generator </w:t>
      </w:r>
      <w:r>
        <w:rPr>
          <w:sz w:val="24"/>
        </w:rPr>
        <w:t>to comply with another relevant</w:t>
      </w:r>
      <w:r>
        <w:rPr>
          <w:spacing w:val="-4"/>
          <w:sz w:val="24"/>
        </w:rPr>
        <w:t> </w:t>
      </w:r>
      <w:r>
        <w:rPr>
          <w:sz w:val="24"/>
        </w:rPr>
        <w:t>standard.</w:t>
      </w:r>
    </w:p>
    <w:p>
      <w:pPr>
        <w:pStyle w:val="BodyText"/>
        <w:spacing w:before="10"/>
        <w:ind w:firstLine="0"/>
        <w:jc w:val="left"/>
        <w:rPr>
          <w:sz w:val="20"/>
        </w:rPr>
      </w:pPr>
    </w:p>
    <w:p>
      <w:pPr>
        <w:pStyle w:val="Heading4"/>
        <w:tabs>
          <w:tab w:pos="1351" w:val="left" w:leader="none"/>
        </w:tabs>
        <w:ind w:left="218" w:firstLine="0"/>
      </w:pPr>
      <w:bookmarkStart w:name="S5.2.4 Provision of information" w:id="966"/>
      <w:bookmarkEnd w:id="966"/>
      <w:r>
        <w:rPr>
          <w:b w:val="0"/>
        </w:rPr>
      </w:r>
      <w:bookmarkStart w:name="_bookmark375" w:id="967"/>
      <w:bookmarkEnd w:id="967"/>
      <w:r>
        <w:rPr>
          <w:b w:val="0"/>
        </w:rPr>
      </w:r>
      <w:r>
        <w:rPr/>
        <w:t>S5.2.4</w:t>
        <w:tab/>
        <w:t>Provision of</w:t>
      </w:r>
      <w:r>
        <w:rPr>
          <w:spacing w:val="-1"/>
        </w:rPr>
        <w:t> </w:t>
      </w:r>
      <w:r>
        <w:rPr/>
        <w:t>information</w:t>
      </w:r>
    </w:p>
    <w:p>
      <w:pPr>
        <w:pStyle w:val="ListParagraph"/>
        <w:numPr>
          <w:ilvl w:val="0"/>
          <w:numId w:val="283"/>
        </w:numPr>
        <w:tabs>
          <w:tab w:pos="1919" w:val="left" w:leader="none"/>
        </w:tabs>
        <w:spacing w:line="240" w:lineRule="auto" w:before="120" w:after="0"/>
        <w:ind w:left="1919" w:right="415" w:hanging="567"/>
        <w:jc w:val="both"/>
        <w:rPr>
          <w:sz w:val="24"/>
        </w:rPr>
      </w:pPr>
      <w:r>
        <w:rPr>
          <w:sz w:val="24"/>
        </w:rPr>
        <w:t>A </w:t>
      </w:r>
      <w:r>
        <w:rPr>
          <w:i/>
          <w:sz w:val="24"/>
        </w:rPr>
        <w:t>Generator </w:t>
      </w:r>
      <w:r>
        <w:rPr>
          <w:sz w:val="24"/>
        </w:rPr>
        <w:t>or person who is negotiating a </w:t>
      </w:r>
      <w:r>
        <w:rPr>
          <w:i/>
          <w:sz w:val="24"/>
        </w:rPr>
        <w:t>connection agreement </w:t>
      </w:r>
      <w:r>
        <w:rPr>
          <w:sz w:val="24"/>
        </w:rPr>
        <w:t>with a </w:t>
      </w:r>
      <w:r>
        <w:rPr>
          <w:i/>
          <w:sz w:val="24"/>
        </w:rPr>
        <w:t>Network Service Provider </w:t>
      </w:r>
      <w:r>
        <w:rPr>
          <w:sz w:val="24"/>
        </w:rPr>
        <w:t>must promptly on request by </w:t>
      </w:r>
      <w:r>
        <w:rPr>
          <w:i/>
          <w:sz w:val="24"/>
        </w:rPr>
        <w:t>AEMO </w:t>
      </w:r>
      <w:r>
        <w:rPr>
          <w:sz w:val="24"/>
        </w:rPr>
        <w:t>or the </w:t>
      </w:r>
      <w:r>
        <w:rPr>
          <w:i/>
          <w:sz w:val="24"/>
        </w:rPr>
        <w:t>Network Service Provider </w:t>
      </w:r>
      <w:r>
        <w:rPr>
          <w:sz w:val="24"/>
        </w:rPr>
        <w:t>provide all data in relation to that </w:t>
      </w:r>
      <w:r>
        <w:rPr>
          <w:i/>
          <w:sz w:val="24"/>
        </w:rPr>
        <w:t>generating </w:t>
      </w:r>
      <w:r>
        <w:rPr>
          <w:i/>
          <w:sz w:val="24"/>
        </w:rPr>
        <w:t>system </w:t>
      </w:r>
      <w:r>
        <w:rPr>
          <w:sz w:val="24"/>
        </w:rPr>
        <w:t>specified in schedule</w:t>
      </w:r>
      <w:r>
        <w:rPr>
          <w:spacing w:val="-4"/>
          <w:sz w:val="24"/>
        </w:rPr>
        <w:t> </w:t>
      </w:r>
      <w:r>
        <w:rPr>
          <w:sz w:val="24"/>
        </w:rPr>
        <w:t>5.5.</w:t>
      </w:r>
    </w:p>
    <w:p>
      <w:pPr>
        <w:spacing w:after="0" w:line="240" w:lineRule="auto"/>
        <w:jc w:val="both"/>
        <w:rPr>
          <w:sz w:val="24"/>
        </w:rPr>
        <w:sectPr>
          <w:pgSz w:w="11910" w:h="16840"/>
          <w:pgMar w:header="686" w:footer="637" w:top="1320" w:bottom="820" w:left="1200" w:right="1000"/>
        </w:sectPr>
      </w:pPr>
    </w:p>
    <w:p>
      <w:pPr>
        <w:pStyle w:val="ListParagraph"/>
        <w:numPr>
          <w:ilvl w:val="0"/>
          <w:numId w:val="283"/>
        </w:numPr>
        <w:tabs>
          <w:tab w:pos="1919" w:val="left" w:leader="none"/>
        </w:tabs>
        <w:spacing w:line="240" w:lineRule="auto" w:before="83" w:after="0"/>
        <w:ind w:left="1919" w:right="415" w:hanging="567"/>
        <w:jc w:val="both"/>
        <w:rPr>
          <w:sz w:val="24"/>
        </w:rPr>
      </w:pPr>
      <w:r>
        <w:rPr>
          <w:sz w:val="24"/>
        </w:rPr>
        <w:t>A </w:t>
      </w:r>
      <w:r>
        <w:rPr>
          <w:i/>
          <w:sz w:val="24"/>
        </w:rPr>
        <w:t>Generator</w:t>
      </w:r>
      <w:r>
        <w:rPr>
          <w:sz w:val="24"/>
        </w:rPr>
        <w:t>, or person required under the </w:t>
      </w:r>
      <w:r>
        <w:rPr>
          <w:i/>
          <w:sz w:val="24"/>
        </w:rPr>
        <w:t>Rules </w:t>
      </w:r>
      <w:r>
        <w:rPr>
          <w:sz w:val="24"/>
        </w:rPr>
        <w:t>to register as the </w:t>
      </w:r>
      <w:r>
        <w:rPr>
          <w:i/>
          <w:sz w:val="24"/>
        </w:rPr>
        <w:t>Generator </w:t>
      </w:r>
      <w:r>
        <w:rPr>
          <w:sz w:val="24"/>
        </w:rPr>
        <w:t>in respect of a </w:t>
      </w:r>
      <w:r>
        <w:rPr>
          <w:i/>
          <w:sz w:val="24"/>
        </w:rPr>
        <w:t>generating system </w:t>
      </w:r>
      <w:r>
        <w:rPr>
          <w:sz w:val="24"/>
        </w:rPr>
        <w:t>comprised of </w:t>
      </w:r>
      <w:r>
        <w:rPr>
          <w:i/>
          <w:sz w:val="24"/>
        </w:rPr>
        <w:t>generating units </w:t>
      </w:r>
      <w:r>
        <w:rPr>
          <w:sz w:val="24"/>
        </w:rPr>
        <w:t>with a combined </w:t>
      </w:r>
      <w:r>
        <w:rPr>
          <w:i/>
          <w:sz w:val="24"/>
        </w:rPr>
        <w:t>nameplate rating </w:t>
      </w:r>
      <w:r>
        <w:rPr>
          <w:sz w:val="24"/>
        </w:rPr>
        <w:t>of 30 MW or more, by the earlier</w:t>
      </w:r>
      <w:r>
        <w:rPr>
          <w:spacing w:val="-6"/>
          <w:sz w:val="24"/>
        </w:rPr>
        <w:t> </w:t>
      </w:r>
      <w:r>
        <w:rPr>
          <w:sz w:val="24"/>
        </w:rPr>
        <w:t>of:</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the day on which an </w:t>
      </w:r>
      <w:r>
        <w:rPr>
          <w:i/>
          <w:sz w:val="24"/>
        </w:rPr>
        <w:t>application to connect </w:t>
      </w:r>
      <w:r>
        <w:rPr>
          <w:sz w:val="24"/>
        </w:rPr>
        <w:t>is made under clause 5.3.4(a);</w:t>
      </w:r>
    </w:p>
    <w:p>
      <w:pPr>
        <w:pStyle w:val="ListParagraph"/>
        <w:numPr>
          <w:ilvl w:val="1"/>
          <w:numId w:val="283"/>
        </w:numPr>
        <w:tabs>
          <w:tab w:pos="2486" w:val="left" w:leader="none"/>
        </w:tabs>
        <w:spacing w:line="240" w:lineRule="auto" w:before="120" w:after="0"/>
        <w:ind w:left="2486" w:right="416" w:hanging="567"/>
        <w:jc w:val="both"/>
        <w:rPr>
          <w:sz w:val="24"/>
        </w:rPr>
      </w:pPr>
      <w:r>
        <w:rPr>
          <w:sz w:val="24"/>
        </w:rPr>
        <w:t>the day on which amendments to </w:t>
      </w:r>
      <w:r>
        <w:rPr>
          <w:i/>
          <w:sz w:val="24"/>
        </w:rPr>
        <w:t>performance standards </w:t>
      </w:r>
      <w:r>
        <w:rPr>
          <w:sz w:val="24"/>
        </w:rPr>
        <w:t>are submitted under rule 4.14(p) or clause</w:t>
      </w:r>
      <w:r>
        <w:rPr>
          <w:spacing w:val="-3"/>
          <w:sz w:val="24"/>
        </w:rPr>
        <w:t> </w:t>
      </w:r>
      <w:r>
        <w:rPr>
          <w:sz w:val="24"/>
        </w:rPr>
        <w:t>5.3.9(b);</w:t>
      </w:r>
    </w:p>
    <w:p>
      <w:pPr>
        <w:pStyle w:val="ListParagraph"/>
        <w:numPr>
          <w:ilvl w:val="1"/>
          <w:numId w:val="283"/>
        </w:numPr>
        <w:tabs>
          <w:tab w:pos="2486" w:val="left" w:leader="none"/>
        </w:tabs>
        <w:spacing w:line="240" w:lineRule="auto" w:before="120" w:after="0"/>
        <w:ind w:left="2486" w:right="416" w:hanging="567"/>
        <w:jc w:val="both"/>
        <w:rPr>
          <w:sz w:val="24"/>
        </w:rPr>
      </w:pPr>
      <w:r>
        <w:rPr>
          <w:sz w:val="24"/>
        </w:rPr>
        <w:t>three months before commissioning of a </w:t>
      </w:r>
      <w:r>
        <w:rPr>
          <w:i/>
          <w:sz w:val="24"/>
        </w:rPr>
        <w:t>generating system </w:t>
      </w:r>
      <w:r>
        <w:rPr>
          <w:sz w:val="24"/>
        </w:rPr>
        <w:t>or planned alteration to a </w:t>
      </w:r>
      <w:r>
        <w:rPr>
          <w:i/>
          <w:sz w:val="24"/>
        </w:rPr>
        <w:t>generating system</w:t>
      </w:r>
      <w:r>
        <w:rPr>
          <w:sz w:val="24"/>
        </w:rPr>
        <w:t>;</w:t>
      </w:r>
      <w:r>
        <w:rPr>
          <w:spacing w:val="-1"/>
          <w:sz w:val="24"/>
        </w:rPr>
        <w:t> </w:t>
      </w:r>
      <w:r>
        <w:rPr>
          <w:sz w:val="24"/>
        </w:rPr>
        <w:t>or</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5 </w:t>
      </w:r>
      <w:r>
        <w:rPr>
          <w:i/>
          <w:sz w:val="24"/>
        </w:rPr>
        <w:t>business days </w:t>
      </w:r>
      <w:r>
        <w:rPr>
          <w:sz w:val="24"/>
        </w:rPr>
        <w:t>before commissioning of a </w:t>
      </w:r>
      <w:r>
        <w:rPr>
          <w:i/>
          <w:sz w:val="24"/>
        </w:rPr>
        <w:t>generating system </w:t>
      </w:r>
      <w:r>
        <w:rPr>
          <w:sz w:val="24"/>
        </w:rPr>
        <w:t>alteration that is repairing </w:t>
      </w:r>
      <w:r>
        <w:rPr>
          <w:i/>
          <w:sz w:val="24"/>
        </w:rPr>
        <w:t>plant </w:t>
      </w:r>
      <w:r>
        <w:rPr>
          <w:sz w:val="24"/>
        </w:rPr>
        <w:t>after a </w:t>
      </w:r>
      <w:r>
        <w:rPr>
          <w:i/>
          <w:sz w:val="24"/>
        </w:rPr>
        <w:t>plant </w:t>
      </w:r>
      <w:r>
        <w:rPr>
          <w:sz w:val="24"/>
        </w:rPr>
        <w:t>failure, if </w:t>
      </w:r>
      <w:r>
        <w:rPr>
          <w:i/>
          <w:sz w:val="24"/>
        </w:rPr>
        <w:t>plant </w:t>
      </w:r>
      <w:r>
        <w:rPr>
          <w:sz w:val="24"/>
        </w:rPr>
        <w:t>performance after the alteration will differ from performance prior </w:t>
      </w:r>
      <w:r>
        <w:rPr>
          <w:spacing w:val="-7"/>
          <w:sz w:val="24"/>
        </w:rPr>
        <w:t>to </w:t>
      </w:r>
      <w:r>
        <w:rPr>
          <w:sz w:val="24"/>
        </w:rPr>
        <w:t>the </w:t>
      </w:r>
      <w:r>
        <w:rPr>
          <w:i/>
          <w:sz w:val="24"/>
        </w:rPr>
        <w:t>plant</w:t>
      </w:r>
      <w:r>
        <w:rPr>
          <w:i/>
          <w:spacing w:val="-1"/>
          <w:sz w:val="24"/>
        </w:rPr>
        <w:t> </w:t>
      </w:r>
      <w:r>
        <w:rPr>
          <w:sz w:val="24"/>
        </w:rPr>
        <w:t>failure,</w:t>
      </w:r>
    </w:p>
    <w:p>
      <w:pPr>
        <w:pStyle w:val="BodyText"/>
        <w:ind w:left="1919" w:firstLine="0"/>
      </w:pPr>
      <w:r>
        <w:rPr/>
        <w:t>must provide:</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to </w:t>
      </w:r>
      <w:r>
        <w:rPr>
          <w:i/>
          <w:sz w:val="24"/>
        </w:rPr>
        <w:t>AEMO </w:t>
      </w:r>
      <w:r>
        <w:rPr>
          <w:sz w:val="24"/>
        </w:rPr>
        <w:t>and the relevant </w:t>
      </w:r>
      <w:r>
        <w:rPr>
          <w:i/>
          <w:sz w:val="24"/>
        </w:rPr>
        <w:t>Network Service Provider</w:t>
      </w:r>
      <w:r>
        <w:rPr>
          <w:sz w:val="24"/>
        </w:rPr>
        <w:t>(s) (including </w:t>
      </w:r>
      <w:r>
        <w:rPr>
          <w:spacing w:val="-5"/>
          <w:sz w:val="24"/>
        </w:rPr>
        <w:t>the </w:t>
      </w:r>
      <w:r>
        <w:rPr>
          <w:sz w:val="24"/>
        </w:rPr>
        <w:t>relevant </w:t>
      </w:r>
      <w:r>
        <w:rPr>
          <w:i/>
          <w:sz w:val="24"/>
        </w:rPr>
        <w:t>Transmission Network Service Provider </w:t>
      </w:r>
      <w:r>
        <w:rPr>
          <w:sz w:val="24"/>
        </w:rPr>
        <w:t>in respect of an </w:t>
      </w:r>
      <w:r>
        <w:rPr>
          <w:i/>
          <w:sz w:val="24"/>
        </w:rPr>
        <w:t>embedded generating</w:t>
      </w:r>
      <w:r>
        <w:rPr>
          <w:i/>
          <w:spacing w:val="-1"/>
          <w:sz w:val="24"/>
        </w:rPr>
        <w:t> </w:t>
      </w:r>
      <w:r>
        <w:rPr>
          <w:i/>
          <w:sz w:val="24"/>
        </w:rPr>
        <w:t>unit</w:t>
      </w:r>
      <w:r>
        <w:rPr>
          <w:sz w:val="24"/>
        </w:rPr>
        <w:t>):</w:t>
      </w:r>
    </w:p>
    <w:p>
      <w:pPr>
        <w:pStyle w:val="ListParagraph"/>
        <w:numPr>
          <w:ilvl w:val="2"/>
          <w:numId w:val="283"/>
        </w:numPr>
        <w:tabs>
          <w:tab w:pos="3053" w:val="left" w:leader="none"/>
        </w:tabs>
        <w:spacing w:line="240" w:lineRule="auto" w:before="120" w:after="0"/>
        <w:ind w:left="3053" w:right="415" w:hanging="567"/>
        <w:jc w:val="both"/>
        <w:rPr>
          <w:sz w:val="24"/>
        </w:rPr>
      </w:pPr>
      <w:r>
        <w:rPr>
          <w:sz w:val="24"/>
        </w:rPr>
        <w:t>information about the </w:t>
      </w:r>
      <w:r>
        <w:rPr>
          <w:i/>
          <w:sz w:val="24"/>
        </w:rPr>
        <w:t>protections systems </w:t>
      </w:r>
      <w:r>
        <w:rPr>
          <w:sz w:val="24"/>
        </w:rPr>
        <w:t>of the </w:t>
      </w:r>
      <w:r>
        <w:rPr>
          <w:i/>
          <w:sz w:val="24"/>
        </w:rPr>
        <w:t>generating </w:t>
      </w:r>
      <w:r>
        <w:rPr>
          <w:i/>
          <w:sz w:val="24"/>
        </w:rPr>
        <w:t>system</w:t>
      </w:r>
      <w:r>
        <w:rPr>
          <w:sz w:val="24"/>
        </w:rPr>
        <w:t>;</w:t>
      </w:r>
    </w:p>
    <w:p>
      <w:pPr>
        <w:pStyle w:val="ListParagraph"/>
        <w:numPr>
          <w:ilvl w:val="2"/>
          <w:numId w:val="283"/>
        </w:numPr>
        <w:tabs>
          <w:tab w:pos="3054" w:val="left" w:leader="none"/>
        </w:tabs>
        <w:spacing w:line="240" w:lineRule="auto" w:before="120" w:after="0"/>
        <w:ind w:left="3053" w:right="0" w:hanging="568"/>
        <w:jc w:val="both"/>
        <w:rPr>
          <w:i/>
          <w:sz w:val="24"/>
        </w:rPr>
      </w:pPr>
      <w:r>
        <w:rPr>
          <w:sz w:val="24"/>
        </w:rPr>
        <w:t>information</w:t>
      </w:r>
      <w:r>
        <w:rPr>
          <w:spacing w:val="23"/>
          <w:sz w:val="24"/>
        </w:rPr>
        <w:t> </w:t>
      </w:r>
      <w:r>
        <w:rPr>
          <w:sz w:val="24"/>
        </w:rPr>
        <w:t>about</w:t>
      </w:r>
      <w:r>
        <w:rPr>
          <w:spacing w:val="23"/>
          <w:sz w:val="24"/>
        </w:rPr>
        <w:t> </w:t>
      </w:r>
      <w:r>
        <w:rPr>
          <w:sz w:val="24"/>
        </w:rPr>
        <w:t>the</w:t>
      </w:r>
      <w:r>
        <w:rPr>
          <w:spacing w:val="24"/>
          <w:sz w:val="24"/>
        </w:rPr>
        <w:t> </w:t>
      </w:r>
      <w:r>
        <w:rPr>
          <w:i/>
          <w:sz w:val="24"/>
        </w:rPr>
        <w:t>control</w:t>
      </w:r>
      <w:r>
        <w:rPr>
          <w:i/>
          <w:spacing w:val="23"/>
          <w:sz w:val="24"/>
        </w:rPr>
        <w:t> </w:t>
      </w:r>
      <w:r>
        <w:rPr>
          <w:i/>
          <w:sz w:val="24"/>
        </w:rPr>
        <w:t>systems</w:t>
      </w:r>
      <w:r>
        <w:rPr>
          <w:i/>
          <w:spacing w:val="23"/>
          <w:sz w:val="24"/>
        </w:rPr>
        <w:t> </w:t>
      </w:r>
      <w:r>
        <w:rPr>
          <w:sz w:val="24"/>
        </w:rPr>
        <w:t>of</w:t>
      </w:r>
      <w:r>
        <w:rPr>
          <w:spacing w:val="24"/>
          <w:sz w:val="24"/>
        </w:rPr>
        <w:t> </w:t>
      </w:r>
      <w:r>
        <w:rPr>
          <w:sz w:val="24"/>
        </w:rPr>
        <w:t>the</w:t>
      </w:r>
      <w:r>
        <w:rPr>
          <w:spacing w:val="23"/>
          <w:sz w:val="24"/>
        </w:rPr>
        <w:t> </w:t>
      </w:r>
      <w:r>
        <w:rPr>
          <w:i/>
          <w:sz w:val="24"/>
        </w:rPr>
        <w:t>generating</w:t>
      </w:r>
      <w:r>
        <w:rPr>
          <w:i/>
          <w:spacing w:val="24"/>
          <w:sz w:val="24"/>
        </w:rPr>
        <w:t> </w:t>
      </w:r>
      <w:r>
        <w:rPr>
          <w:i/>
          <w:sz w:val="24"/>
        </w:rPr>
        <w:t>system</w:t>
      </w:r>
    </w:p>
    <w:p>
      <w:pPr>
        <w:pStyle w:val="BodyText"/>
        <w:spacing w:before="0"/>
        <w:ind w:left="3053" w:firstLine="0"/>
        <w:jc w:val="left"/>
      </w:pPr>
      <w:r>
        <w:rPr/>
        <w:t>including:</w:t>
      </w:r>
    </w:p>
    <w:p>
      <w:pPr>
        <w:pStyle w:val="ListParagraph"/>
        <w:numPr>
          <w:ilvl w:val="3"/>
          <w:numId w:val="283"/>
        </w:numPr>
        <w:tabs>
          <w:tab w:pos="3620" w:val="left" w:leader="none"/>
        </w:tabs>
        <w:spacing w:line="240" w:lineRule="auto" w:before="120" w:after="0"/>
        <w:ind w:left="3620" w:right="415" w:hanging="567"/>
        <w:jc w:val="both"/>
        <w:rPr>
          <w:sz w:val="24"/>
        </w:rPr>
      </w:pPr>
      <w:r>
        <w:rPr>
          <w:sz w:val="24"/>
        </w:rPr>
        <w:t>a set of functional block diagrams, including all functions between feedback signals and generating system</w:t>
      </w:r>
      <w:r>
        <w:rPr>
          <w:spacing w:val="-10"/>
          <w:sz w:val="24"/>
        </w:rPr>
        <w:t> </w:t>
      </w:r>
      <w:r>
        <w:rPr>
          <w:sz w:val="24"/>
        </w:rPr>
        <w:t>output;</w:t>
      </w:r>
    </w:p>
    <w:p>
      <w:pPr>
        <w:pStyle w:val="ListParagraph"/>
        <w:numPr>
          <w:ilvl w:val="3"/>
          <w:numId w:val="283"/>
        </w:numPr>
        <w:tabs>
          <w:tab w:pos="3621" w:val="left" w:leader="none"/>
        </w:tabs>
        <w:spacing w:line="240" w:lineRule="auto" w:before="120" w:after="0"/>
        <w:ind w:left="3620" w:right="415" w:hanging="567"/>
        <w:jc w:val="both"/>
        <w:rPr>
          <w:sz w:val="24"/>
        </w:rPr>
      </w:pPr>
      <w:r>
        <w:rPr>
          <w:sz w:val="24"/>
        </w:rPr>
        <w:t>the parameters of each functional block, including all settings, gains, time constants, delays, deadbands and limits;</w:t>
      </w:r>
    </w:p>
    <w:p>
      <w:pPr>
        <w:pStyle w:val="ListParagraph"/>
        <w:numPr>
          <w:ilvl w:val="3"/>
          <w:numId w:val="283"/>
        </w:numPr>
        <w:tabs>
          <w:tab w:pos="3621" w:val="left" w:leader="none"/>
        </w:tabs>
        <w:spacing w:line="240" w:lineRule="auto" w:before="120" w:after="0"/>
        <w:ind w:left="3620" w:right="0" w:hanging="568"/>
        <w:jc w:val="both"/>
        <w:rPr>
          <w:sz w:val="24"/>
        </w:rPr>
      </w:pPr>
      <w:r>
        <w:rPr>
          <w:sz w:val="24"/>
        </w:rPr>
        <w:t>the characteristics of non-linear</w:t>
      </w:r>
      <w:r>
        <w:rPr>
          <w:spacing w:val="-1"/>
          <w:sz w:val="24"/>
        </w:rPr>
        <w:t> </w:t>
      </w:r>
      <w:r>
        <w:rPr>
          <w:sz w:val="24"/>
        </w:rPr>
        <w:t>elements;</w:t>
      </w:r>
    </w:p>
    <w:p>
      <w:pPr>
        <w:pStyle w:val="ListParagraph"/>
        <w:numPr>
          <w:ilvl w:val="3"/>
          <w:numId w:val="283"/>
        </w:numPr>
        <w:tabs>
          <w:tab w:pos="3620" w:val="left" w:leader="none"/>
        </w:tabs>
        <w:spacing w:line="240" w:lineRule="auto" w:before="120" w:after="0"/>
        <w:ind w:left="3620" w:right="415" w:hanging="567"/>
        <w:jc w:val="both"/>
        <w:rPr>
          <w:sz w:val="24"/>
        </w:rPr>
      </w:pPr>
      <w:r>
        <w:rPr>
          <w:sz w:val="24"/>
        </w:rPr>
        <w:t>encrypted models in a form suitable for the software simulation products nominated by </w:t>
      </w:r>
      <w:r>
        <w:rPr>
          <w:i/>
          <w:sz w:val="24"/>
        </w:rPr>
        <w:t>AEMO </w:t>
      </w:r>
      <w:r>
        <w:rPr>
          <w:sz w:val="24"/>
        </w:rPr>
        <w:t>in the </w:t>
      </w:r>
      <w:r>
        <w:rPr>
          <w:i/>
          <w:sz w:val="24"/>
        </w:rPr>
        <w:t>Power </w:t>
      </w:r>
      <w:r>
        <w:rPr>
          <w:i/>
          <w:sz w:val="24"/>
        </w:rPr>
        <w:t>System Model</w:t>
      </w:r>
      <w:r>
        <w:rPr>
          <w:i/>
          <w:spacing w:val="-2"/>
          <w:sz w:val="24"/>
        </w:rPr>
        <w:t> </w:t>
      </w:r>
      <w:r>
        <w:rPr>
          <w:i/>
          <w:sz w:val="24"/>
        </w:rPr>
        <w:t>Guidelines</w:t>
      </w:r>
      <w:r>
        <w:rPr>
          <w:sz w:val="24"/>
        </w:rPr>
        <w:t>;</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to </w:t>
      </w:r>
      <w:r>
        <w:rPr>
          <w:i/>
          <w:sz w:val="24"/>
        </w:rPr>
        <w:t>AEMO</w:t>
      </w:r>
      <w:r>
        <w:rPr>
          <w:sz w:val="24"/>
        </w:rPr>
        <w:t>, the model source code (in the circumstances required by the </w:t>
      </w:r>
      <w:r>
        <w:rPr>
          <w:i/>
          <w:sz w:val="24"/>
        </w:rPr>
        <w:t>Power System Model Guidelines</w:t>
      </w:r>
      <w:r>
        <w:rPr>
          <w:sz w:val="24"/>
        </w:rPr>
        <w:t>) associated with the </w:t>
      </w:r>
      <w:r>
        <w:rPr>
          <w:i/>
          <w:sz w:val="24"/>
        </w:rPr>
        <w:t>power system </w:t>
      </w:r>
      <w:r>
        <w:rPr>
          <w:sz w:val="24"/>
        </w:rPr>
        <w:t>simulation model in subparagraph (ii)(D) in an unencrypted form suitable for at least one of the software simulation products nominated by </w:t>
      </w:r>
      <w:r>
        <w:rPr>
          <w:i/>
          <w:sz w:val="24"/>
        </w:rPr>
        <w:t>AEMO </w:t>
      </w:r>
      <w:r>
        <w:rPr>
          <w:sz w:val="24"/>
        </w:rPr>
        <w:t>in the </w:t>
      </w:r>
      <w:r>
        <w:rPr>
          <w:i/>
          <w:sz w:val="24"/>
        </w:rPr>
        <w:t>Power System Model Guidelines</w:t>
      </w:r>
      <w:r>
        <w:rPr>
          <w:sz w:val="24"/>
        </w:rPr>
        <w:t>, and in a form that would allow conversion for use with other software products nominated by </w:t>
      </w:r>
      <w:r>
        <w:rPr>
          <w:i/>
          <w:sz w:val="24"/>
        </w:rPr>
        <w:t>AEMO </w:t>
      </w:r>
      <w:r>
        <w:rPr>
          <w:sz w:val="24"/>
        </w:rPr>
        <w:t>in the </w:t>
      </w:r>
      <w:r>
        <w:rPr>
          <w:i/>
          <w:sz w:val="24"/>
        </w:rPr>
        <w:t>Power System Model</w:t>
      </w:r>
      <w:r>
        <w:rPr>
          <w:i/>
          <w:spacing w:val="-4"/>
          <w:sz w:val="24"/>
        </w:rPr>
        <w:t> </w:t>
      </w:r>
      <w:r>
        <w:rPr>
          <w:i/>
          <w:sz w:val="24"/>
        </w:rPr>
        <w:t>Guidelines</w:t>
      </w:r>
      <w:r>
        <w:rPr>
          <w:sz w:val="24"/>
        </w:rPr>
        <w:t>;</w:t>
      </w:r>
    </w:p>
    <w:p>
      <w:pPr>
        <w:pStyle w:val="Heading4"/>
        <w:numPr>
          <w:ilvl w:val="1"/>
          <w:numId w:val="283"/>
        </w:numPr>
        <w:tabs>
          <w:tab w:pos="2547" w:val="left" w:leader="none"/>
        </w:tabs>
        <w:spacing w:line="240" w:lineRule="auto" w:before="120" w:after="0"/>
        <w:ind w:left="2546" w:right="0" w:hanging="628"/>
        <w:jc w:val="both"/>
        <w:rPr>
          <w:rFonts w:ascii="Times New Roman"/>
        </w:rPr>
      </w:pPr>
      <w:r>
        <w:rPr>
          <w:rFonts w:ascii="Times New Roman"/>
        </w:rPr>
        <w:t>[Deleted]</w:t>
      </w:r>
    </w:p>
    <w:p>
      <w:pPr>
        <w:spacing w:before="120"/>
        <w:ind w:left="2486" w:right="415" w:hanging="567"/>
        <w:jc w:val="both"/>
        <w:rPr>
          <w:sz w:val="24"/>
        </w:rPr>
      </w:pPr>
      <w:r>
        <w:rPr>
          <w:sz w:val="24"/>
        </w:rPr>
        <w:t>(7A) to </w:t>
      </w:r>
      <w:r>
        <w:rPr>
          <w:i/>
          <w:sz w:val="24"/>
        </w:rPr>
        <w:t>AEMO </w:t>
      </w:r>
      <w:r>
        <w:rPr>
          <w:sz w:val="24"/>
        </w:rPr>
        <w:t>and the relevant </w:t>
      </w:r>
      <w:r>
        <w:rPr>
          <w:i/>
          <w:sz w:val="24"/>
        </w:rPr>
        <w:t>Network Service Provider</w:t>
      </w:r>
      <w:r>
        <w:rPr>
          <w:sz w:val="24"/>
        </w:rPr>
        <w:t>(s), any other information specified in the </w:t>
      </w:r>
      <w:r>
        <w:rPr>
          <w:i/>
          <w:sz w:val="24"/>
        </w:rPr>
        <w:t>Power System Model Guidelines</w:t>
      </w:r>
      <w:r>
        <w:rPr>
          <w:sz w:val="24"/>
        </w:rPr>
        <w:t>, </w:t>
      </w:r>
      <w:r>
        <w:rPr>
          <w:i/>
          <w:sz w:val="24"/>
        </w:rPr>
        <w:t>Power </w:t>
      </w:r>
      <w:r>
        <w:rPr>
          <w:i/>
          <w:sz w:val="24"/>
        </w:rPr>
        <w:t>System Design Data Sheet </w:t>
      </w:r>
      <w:r>
        <w:rPr>
          <w:sz w:val="24"/>
        </w:rPr>
        <w:t>and </w:t>
      </w:r>
      <w:r>
        <w:rPr>
          <w:i/>
          <w:sz w:val="24"/>
        </w:rPr>
        <w:t>Power System Setting Data Sheet</w:t>
      </w:r>
      <w:r>
        <w:rPr>
          <w:sz w:val="24"/>
        </w:rPr>
        <w:t>; and</w:t>
      </w:r>
    </w:p>
    <w:p>
      <w:pPr>
        <w:spacing w:after="0"/>
        <w:jc w:val="both"/>
        <w:rPr>
          <w:sz w:val="24"/>
        </w:rPr>
        <w:sectPr>
          <w:pgSz w:w="11910" w:h="16840"/>
          <w:pgMar w:header="686" w:footer="637" w:top="1320" w:bottom="820" w:left="1200" w:right="1000"/>
        </w:sectPr>
      </w:pPr>
    </w:p>
    <w:p>
      <w:pPr>
        <w:pStyle w:val="ListParagraph"/>
        <w:numPr>
          <w:ilvl w:val="1"/>
          <w:numId w:val="283"/>
        </w:numPr>
        <w:tabs>
          <w:tab w:pos="2486" w:val="left" w:leader="none"/>
        </w:tabs>
        <w:spacing w:line="240" w:lineRule="auto" w:before="83" w:after="0"/>
        <w:ind w:left="2486" w:right="415" w:hanging="567"/>
        <w:jc w:val="both"/>
        <w:rPr>
          <w:sz w:val="24"/>
        </w:rPr>
      </w:pPr>
      <w:r>
        <w:rPr>
          <w:sz w:val="24"/>
        </w:rPr>
        <w:t>to </w:t>
      </w:r>
      <w:r>
        <w:rPr>
          <w:i/>
          <w:sz w:val="24"/>
        </w:rPr>
        <w:t>AEMO </w:t>
      </w:r>
      <w:r>
        <w:rPr>
          <w:sz w:val="24"/>
        </w:rPr>
        <w:t>and the relevant </w:t>
      </w:r>
      <w:r>
        <w:rPr>
          <w:i/>
          <w:sz w:val="24"/>
        </w:rPr>
        <w:t>Network Service Providers </w:t>
      </w:r>
      <w:r>
        <w:rPr>
          <w:sz w:val="24"/>
        </w:rPr>
        <w:t>(including the relevant </w:t>
      </w:r>
      <w:r>
        <w:rPr>
          <w:i/>
          <w:sz w:val="24"/>
        </w:rPr>
        <w:t>Transmission Network Service Provider </w:t>
      </w:r>
      <w:r>
        <w:rPr>
          <w:sz w:val="24"/>
        </w:rPr>
        <w:t>in respect of an </w:t>
      </w:r>
      <w:r>
        <w:rPr>
          <w:i/>
          <w:sz w:val="24"/>
        </w:rPr>
        <w:t>embedded generating unit</w:t>
      </w:r>
      <w:r>
        <w:rPr>
          <w:sz w:val="24"/>
        </w:rPr>
        <w:t>) a </w:t>
      </w:r>
      <w:r>
        <w:rPr>
          <w:i/>
          <w:sz w:val="24"/>
        </w:rPr>
        <w:t>releasable user</w:t>
      </w:r>
      <w:r>
        <w:rPr>
          <w:i/>
          <w:spacing w:val="-2"/>
          <w:sz w:val="24"/>
        </w:rPr>
        <w:t> </w:t>
      </w:r>
      <w:r>
        <w:rPr>
          <w:i/>
          <w:sz w:val="24"/>
        </w:rPr>
        <w:t>guide</w:t>
      </w:r>
      <w:r>
        <w:rPr>
          <w:sz w:val="24"/>
        </w:rPr>
        <w:t>.</w:t>
      </w:r>
    </w:p>
    <w:p>
      <w:pPr>
        <w:spacing w:before="120"/>
        <w:ind w:left="1919" w:right="415" w:hanging="567"/>
        <w:jc w:val="both"/>
        <w:rPr>
          <w:sz w:val="24"/>
        </w:rPr>
      </w:pPr>
      <w:r>
        <w:rPr>
          <w:sz w:val="24"/>
        </w:rPr>
        <w:t>(b1) The information provided under paragraph (b) must contain sufficient detail for </w:t>
      </w:r>
      <w:r>
        <w:rPr>
          <w:i/>
          <w:sz w:val="24"/>
        </w:rPr>
        <w:t>AEMO </w:t>
      </w:r>
      <w:r>
        <w:rPr>
          <w:sz w:val="24"/>
        </w:rPr>
        <w:t>and the relevant </w:t>
      </w:r>
      <w:r>
        <w:rPr>
          <w:i/>
          <w:sz w:val="24"/>
        </w:rPr>
        <w:t>Network Service Provider</w:t>
      </w:r>
      <w:r>
        <w:rPr>
          <w:sz w:val="24"/>
        </w:rPr>
        <w:t>(s) to perform </w:t>
      </w:r>
      <w:r>
        <w:rPr>
          <w:i/>
          <w:sz w:val="24"/>
        </w:rPr>
        <w:t>power </w:t>
      </w:r>
      <w:r>
        <w:rPr>
          <w:i/>
          <w:sz w:val="24"/>
        </w:rPr>
        <w:t>system </w:t>
      </w:r>
      <w:r>
        <w:rPr>
          <w:sz w:val="24"/>
        </w:rPr>
        <w:t>simulation studies in accordance with the requirements and circumstances specified in the </w:t>
      </w:r>
      <w:r>
        <w:rPr>
          <w:i/>
          <w:sz w:val="24"/>
        </w:rPr>
        <w:t>Power System Model Guidelines</w:t>
      </w:r>
      <w:r>
        <w:rPr>
          <w:sz w:val="24"/>
        </w:rPr>
        <w:t>.</w:t>
      </w:r>
    </w:p>
    <w:p>
      <w:pPr>
        <w:pStyle w:val="ListParagraph"/>
        <w:numPr>
          <w:ilvl w:val="0"/>
          <w:numId w:val="283"/>
        </w:numPr>
        <w:tabs>
          <w:tab w:pos="1919" w:val="left" w:leader="none"/>
        </w:tabs>
        <w:spacing w:line="240" w:lineRule="auto" w:before="120" w:after="0"/>
        <w:ind w:left="1918" w:right="0" w:hanging="567"/>
        <w:jc w:val="both"/>
        <w:rPr>
          <w:sz w:val="24"/>
        </w:rPr>
      </w:pPr>
      <w:r>
        <w:rPr>
          <w:sz w:val="24"/>
        </w:rPr>
        <w:t>The information provided under paragraph (b)</w:t>
      </w:r>
      <w:r>
        <w:rPr>
          <w:spacing w:val="-1"/>
          <w:sz w:val="24"/>
        </w:rPr>
        <w:t> </w:t>
      </w:r>
      <w:r>
        <w:rPr>
          <w:sz w:val="24"/>
        </w:rPr>
        <w:t>must:</w:t>
      </w:r>
    </w:p>
    <w:p>
      <w:pPr>
        <w:pStyle w:val="ListParagraph"/>
        <w:numPr>
          <w:ilvl w:val="1"/>
          <w:numId w:val="283"/>
        </w:numPr>
        <w:tabs>
          <w:tab w:pos="2486" w:val="left" w:leader="none"/>
        </w:tabs>
        <w:spacing w:line="240" w:lineRule="auto" w:before="120" w:after="0"/>
        <w:ind w:left="2486" w:right="414" w:hanging="567"/>
        <w:jc w:val="both"/>
        <w:rPr>
          <w:sz w:val="24"/>
        </w:rPr>
      </w:pPr>
      <w:r>
        <w:rPr>
          <w:sz w:val="24"/>
        </w:rPr>
        <w:t>encompass all </w:t>
      </w:r>
      <w:r>
        <w:rPr>
          <w:i/>
          <w:sz w:val="24"/>
        </w:rPr>
        <w:t>control systems </w:t>
      </w:r>
      <w:r>
        <w:rPr>
          <w:sz w:val="24"/>
        </w:rPr>
        <w:t>that respond to </w:t>
      </w:r>
      <w:r>
        <w:rPr>
          <w:i/>
          <w:sz w:val="24"/>
        </w:rPr>
        <w:t>voltage </w:t>
      </w:r>
      <w:r>
        <w:rPr>
          <w:sz w:val="24"/>
        </w:rPr>
        <w:t>or </w:t>
      </w:r>
      <w:r>
        <w:rPr>
          <w:i/>
          <w:sz w:val="24"/>
        </w:rPr>
        <w:t>frequency </w:t>
      </w:r>
      <w:r>
        <w:rPr>
          <w:sz w:val="24"/>
        </w:rPr>
        <w:t>disturbances on the </w:t>
      </w:r>
      <w:r>
        <w:rPr>
          <w:i/>
          <w:sz w:val="24"/>
        </w:rPr>
        <w:t>power system</w:t>
      </w:r>
      <w:r>
        <w:rPr>
          <w:sz w:val="24"/>
        </w:rPr>
        <w:t>, and which are either integral to the </w:t>
      </w:r>
      <w:r>
        <w:rPr>
          <w:i/>
          <w:sz w:val="24"/>
        </w:rPr>
        <w:t>generating units </w:t>
      </w:r>
      <w:r>
        <w:rPr>
          <w:sz w:val="24"/>
        </w:rPr>
        <w:t>or otherwise part of the </w:t>
      </w:r>
      <w:r>
        <w:rPr>
          <w:i/>
          <w:sz w:val="24"/>
        </w:rPr>
        <w:t>generating system</w:t>
      </w:r>
      <w:r>
        <w:rPr>
          <w:sz w:val="24"/>
        </w:rPr>
        <w:t>, including those applying to </w:t>
      </w:r>
      <w:r>
        <w:rPr>
          <w:i/>
          <w:sz w:val="24"/>
        </w:rPr>
        <w:t>reactive power </w:t>
      </w:r>
      <w:r>
        <w:rPr>
          <w:sz w:val="24"/>
        </w:rPr>
        <w:t>equipment that forms part of the </w:t>
      </w:r>
      <w:r>
        <w:rPr>
          <w:i/>
          <w:sz w:val="24"/>
        </w:rPr>
        <w:t>generating system</w:t>
      </w:r>
      <w:r>
        <w:rPr>
          <w:sz w:val="24"/>
        </w:rPr>
        <w:t>;</w:t>
      </w:r>
      <w:r>
        <w:rPr>
          <w:spacing w:val="-2"/>
          <w:sz w:val="24"/>
        </w:rPr>
        <w:t> </w:t>
      </w:r>
      <w:r>
        <w:rPr>
          <w:sz w:val="24"/>
        </w:rPr>
        <w:t>and</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conform with the applicable models developed in accordance with the </w:t>
      </w:r>
      <w:r>
        <w:rPr>
          <w:i/>
          <w:sz w:val="24"/>
        </w:rPr>
        <w:t>Power System Model Guidelines</w:t>
      </w:r>
      <w:r>
        <w:rPr>
          <w:sz w:val="24"/>
        </w:rPr>
        <w:t>, or an alternative model agreed with </w:t>
      </w:r>
      <w:r>
        <w:rPr>
          <w:i/>
          <w:sz w:val="24"/>
        </w:rPr>
        <w:t>AEMO </w:t>
      </w:r>
      <w:r>
        <w:rPr>
          <w:sz w:val="24"/>
        </w:rPr>
        <w:t>to be necessary to adequately represent the </w:t>
      </w:r>
      <w:r>
        <w:rPr>
          <w:i/>
          <w:sz w:val="24"/>
        </w:rPr>
        <w:t>generating plant </w:t>
      </w:r>
      <w:r>
        <w:rPr>
          <w:spacing w:val="-6"/>
          <w:sz w:val="24"/>
        </w:rPr>
        <w:t>to </w:t>
      </w:r>
      <w:r>
        <w:rPr>
          <w:sz w:val="24"/>
        </w:rPr>
        <w:t>carry out load flow and dynamic simulations and (where applicable) specialised </w:t>
      </w:r>
      <w:r>
        <w:rPr>
          <w:i/>
          <w:sz w:val="24"/>
        </w:rPr>
        <w:t>power system</w:t>
      </w:r>
      <w:r>
        <w:rPr>
          <w:i/>
          <w:spacing w:val="-2"/>
          <w:sz w:val="24"/>
        </w:rPr>
        <w:t> </w:t>
      </w:r>
      <w:r>
        <w:rPr>
          <w:sz w:val="24"/>
        </w:rPr>
        <w:t>studies.</w:t>
      </w:r>
    </w:p>
    <w:p>
      <w:pPr>
        <w:pStyle w:val="ListParagraph"/>
        <w:numPr>
          <w:ilvl w:val="0"/>
          <w:numId w:val="283"/>
        </w:numPr>
        <w:tabs>
          <w:tab w:pos="1919" w:val="left" w:leader="none"/>
        </w:tabs>
        <w:spacing w:line="240" w:lineRule="auto" w:before="120" w:after="0"/>
        <w:ind w:left="1919" w:right="415" w:hanging="567"/>
        <w:jc w:val="both"/>
        <w:rPr>
          <w:sz w:val="24"/>
        </w:rPr>
      </w:pPr>
      <w:r>
        <w:rPr>
          <w:sz w:val="24"/>
        </w:rPr>
        <w:t>The </w:t>
      </w:r>
      <w:r>
        <w:rPr>
          <w:i/>
          <w:sz w:val="24"/>
        </w:rPr>
        <w:t>Generator </w:t>
      </w:r>
      <w:r>
        <w:rPr>
          <w:sz w:val="24"/>
        </w:rPr>
        <w:t>must provide to </w:t>
      </w:r>
      <w:r>
        <w:rPr>
          <w:i/>
          <w:sz w:val="24"/>
        </w:rPr>
        <w:t>AEMO </w:t>
      </w:r>
      <w:r>
        <w:rPr>
          <w:sz w:val="24"/>
        </w:rPr>
        <w:t>information that updates the information provided under clause S5.2.4(b) and must provide to the relevant </w:t>
      </w:r>
      <w:r>
        <w:rPr>
          <w:i/>
          <w:sz w:val="24"/>
        </w:rPr>
        <w:t>Network Service Providers </w:t>
      </w:r>
      <w:r>
        <w:rPr>
          <w:sz w:val="24"/>
        </w:rPr>
        <w:t>information that updates the  information provided under clause</w:t>
      </w:r>
      <w:r>
        <w:rPr>
          <w:spacing w:val="-2"/>
          <w:sz w:val="24"/>
        </w:rPr>
        <w:t> </w:t>
      </w:r>
      <w:r>
        <w:rPr>
          <w:sz w:val="24"/>
        </w:rPr>
        <w:t>S5.2.4(b)(5):</w:t>
      </w:r>
    </w:p>
    <w:p>
      <w:pPr>
        <w:pStyle w:val="ListParagraph"/>
        <w:numPr>
          <w:ilvl w:val="1"/>
          <w:numId w:val="283"/>
        </w:numPr>
        <w:tabs>
          <w:tab w:pos="2486" w:val="left" w:leader="none"/>
        </w:tabs>
        <w:spacing w:line="240" w:lineRule="auto" w:before="120" w:after="0"/>
        <w:ind w:left="2486" w:right="414" w:hanging="567"/>
        <w:jc w:val="both"/>
        <w:rPr>
          <w:sz w:val="24"/>
        </w:rPr>
      </w:pPr>
      <w:r>
        <w:rPr>
          <w:sz w:val="24"/>
        </w:rPr>
        <w:t>within 3 months after commissioning tests or other tests undertaken in accordance with clause 5.7.3 are</w:t>
      </w:r>
      <w:r>
        <w:rPr>
          <w:spacing w:val="-3"/>
          <w:sz w:val="24"/>
        </w:rPr>
        <w:t> </w:t>
      </w:r>
      <w:r>
        <w:rPr>
          <w:sz w:val="24"/>
        </w:rPr>
        <w:t>completed;</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when the </w:t>
      </w:r>
      <w:r>
        <w:rPr>
          <w:i/>
          <w:sz w:val="24"/>
        </w:rPr>
        <w:t>Generator </w:t>
      </w:r>
      <w:r>
        <w:rPr>
          <w:sz w:val="24"/>
        </w:rPr>
        <w:t>becomes aware that the information is incomplete, inaccurate or out of date;</w:t>
      </w:r>
      <w:r>
        <w:rPr>
          <w:spacing w:val="-1"/>
          <w:sz w:val="24"/>
        </w:rPr>
        <w:t> </w:t>
      </w:r>
      <w:r>
        <w:rPr>
          <w:sz w:val="24"/>
        </w:rPr>
        <w:t>or</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on request by </w:t>
      </w:r>
      <w:r>
        <w:rPr>
          <w:i/>
          <w:sz w:val="24"/>
        </w:rPr>
        <w:t>AEMO </w:t>
      </w:r>
      <w:r>
        <w:rPr>
          <w:sz w:val="24"/>
        </w:rPr>
        <w:t>or the relevant </w:t>
      </w:r>
      <w:r>
        <w:rPr>
          <w:i/>
          <w:sz w:val="24"/>
        </w:rPr>
        <w:t>Network Service Provider</w:t>
      </w:r>
      <w:r>
        <w:rPr>
          <w:sz w:val="24"/>
        </w:rPr>
        <w:t>, where </w:t>
      </w:r>
      <w:r>
        <w:rPr>
          <w:i/>
          <w:sz w:val="24"/>
        </w:rPr>
        <w:t>AEMO </w:t>
      </w:r>
      <w:r>
        <w:rPr>
          <w:sz w:val="24"/>
        </w:rPr>
        <w:t>or the relevant </w:t>
      </w:r>
      <w:r>
        <w:rPr>
          <w:i/>
          <w:sz w:val="24"/>
        </w:rPr>
        <w:t>Network Service Provider </w:t>
      </w:r>
      <w:r>
        <w:rPr>
          <w:sz w:val="24"/>
        </w:rPr>
        <w:t>considers that the information in incomplete, inaccurate or out of</w:t>
      </w:r>
      <w:r>
        <w:rPr>
          <w:spacing w:val="-1"/>
          <w:sz w:val="24"/>
        </w:rPr>
        <w:t> </w:t>
      </w:r>
      <w:r>
        <w:rPr>
          <w:sz w:val="24"/>
        </w:rPr>
        <w:t>date.</w:t>
      </w:r>
    </w:p>
    <w:p>
      <w:pPr>
        <w:pStyle w:val="BodyText"/>
        <w:ind w:left="1919" w:right="415"/>
      </w:pPr>
      <w:r>
        <w:rPr/>
        <w:t>(d1) A </w:t>
      </w:r>
      <w:r>
        <w:rPr>
          <w:i/>
        </w:rPr>
        <w:t>Generator </w:t>
      </w:r>
      <w:r>
        <w:rPr/>
        <w:t>is only required to provide new information under clause S5.2.4(d) to the extent that it is different to the information previously provided under clause S5.2.4(b).</w:t>
      </w:r>
    </w:p>
    <w:p>
      <w:pPr>
        <w:pStyle w:val="ListParagraph"/>
        <w:numPr>
          <w:ilvl w:val="0"/>
          <w:numId w:val="283"/>
        </w:numPr>
        <w:tabs>
          <w:tab w:pos="1919" w:val="left" w:leader="none"/>
        </w:tabs>
        <w:spacing w:line="240" w:lineRule="auto" w:before="120" w:after="0"/>
        <w:ind w:left="1919" w:right="416" w:hanging="567"/>
        <w:jc w:val="both"/>
        <w:rPr>
          <w:sz w:val="24"/>
        </w:rPr>
      </w:pPr>
      <w:r>
        <w:rPr>
          <w:sz w:val="24"/>
        </w:rPr>
        <w:t>For the purposes of clause S5.2.4(e1), a </w:t>
      </w:r>
      <w:r>
        <w:rPr>
          <w:i/>
          <w:sz w:val="24"/>
        </w:rPr>
        <w:t>Connection Applicant </w:t>
      </w:r>
      <w:r>
        <w:rPr>
          <w:sz w:val="24"/>
        </w:rPr>
        <w:t>must</w:t>
      </w:r>
      <w:r>
        <w:rPr>
          <w:spacing w:val="37"/>
          <w:sz w:val="24"/>
        </w:rPr>
        <w:t> </w:t>
      </w:r>
      <w:r>
        <w:rPr>
          <w:sz w:val="24"/>
        </w:rPr>
        <w:t>be registered as an </w:t>
      </w:r>
      <w:r>
        <w:rPr>
          <w:i/>
          <w:sz w:val="24"/>
        </w:rPr>
        <w:t>Intending Participant </w:t>
      </w:r>
      <w:r>
        <w:rPr>
          <w:sz w:val="24"/>
        </w:rPr>
        <w:t>in accordance with rule</w:t>
      </w:r>
      <w:r>
        <w:rPr>
          <w:spacing w:val="-5"/>
          <w:sz w:val="24"/>
        </w:rPr>
        <w:t> </w:t>
      </w:r>
      <w:r>
        <w:rPr>
          <w:sz w:val="24"/>
        </w:rPr>
        <w:t>2.7.</w:t>
      </w:r>
    </w:p>
    <w:p>
      <w:pPr>
        <w:spacing w:before="120"/>
        <w:ind w:left="1919" w:right="415" w:hanging="567"/>
        <w:jc w:val="both"/>
        <w:rPr>
          <w:sz w:val="24"/>
        </w:rPr>
      </w:pPr>
      <w:r>
        <w:rPr>
          <w:sz w:val="24"/>
        </w:rPr>
        <w:t>(e1) For the purposes of clause 5.3.2(f), the technical information that a </w:t>
      </w:r>
      <w:r>
        <w:rPr>
          <w:i/>
          <w:sz w:val="24"/>
        </w:rPr>
        <w:t>Network </w:t>
      </w:r>
      <w:r>
        <w:rPr>
          <w:i/>
          <w:sz w:val="24"/>
        </w:rPr>
        <w:t>Service Provider </w:t>
      </w:r>
      <w:r>
        <w:rPr>
          <w:sz w:val="24"/>
        </w:rPr>
        <w:t>must, if requested, provide to a </w:t>
      </w:r>
      <w:r>
        <w:rPr>
          <w:i/>
          <w:sz w:val="24"/>
        </w:rPr>
        <w:t>Connection Applicant </w:t>
      </w:r>
      <w:r>
        <w:rPr>
          <w:sz w:val="24"/>
        </w:rPr>
        <w:t>in respect of a proposed </w:t>
      </w:r>
      <w:r>
        <w:rPr>
          <w:i/>
          <w:sz w:val="24"/>
        </w:rPr>
        <w:t>connection </w:t>
      </w:r>
      <w:r>
        <w:rPr>
          <w:sz w:val="24"/>
        </w:rPr>
        <w:t>for a </w:t>
      </w:r>
      <w:r>
        <w:rPr>
          <w:i/>
          <w:sz w:val="24"/>
        </w:rPr>
        <w:t>generating system </w:t>
      </w:r>
      <w:r>
        <w:rPr>
          <w:sz w:val="24"/>
        </w:rPr>
        <w:t>includes:</w:t>
      </w:r>
    </w:p>
    <w:p>
      <w:pPr>
        <w:pStyle w:val="ListParagraph"/>
        <w:numPr>
          <w:ilvl w:val="1"/>
          <w:numId w:val="283"/>
        </w:numPr>
        <w:tabs>
          <w:tab w:pos="2486" w:val="left" w:leader="none"/>
        </w:tabs>
        <w:spacing w:line="240" w:lineRule="auto" w:before="120" w:after="0"/>
        <w:ind w:left="2485" w:right="0" w:hanging="567"/>
        <w:jc w:val="both"/>
        <w:rPr>
          <w:sz w:val="24"/>
        </w:rPr>
      </w:pPr>
      <w:r>
        <w:rPr>
          <w:sz w:val="24"/>
        </w:rPr>
        <w:t>the</w:t>
      </w:r>
      <w:r>
        <w:rPr>
          <w:spacing w:val="30"/>
          <w:sz w:val="24"/>
        </w:rPr>
        <w:t> </w:t>
      </w:r>
      <w:r>
        <w:rPr>
          <w:sz w:val="24"/>
        </w:rPr>
        <w:t>highest</w:t>
      </w:r>
      <w:r>
        <w:rPr>
          <w:spacing w:val="30"/>
          <w:sz w:val="24"/>
        </w:rPr>
        <w:t> </w:t>
      </w:r>
      <w:r>
        <w:rPr>
          <w:sz w:val="24"/>
        </w:rPr>
        <w:t>expected</w:t>
      </w:r>
      <w:r>
        <w:rPr>
          <w:spacing w:val="31"/>
          <w:sz w:val="24"/>
        </w:rPr>
        <w:t> </w:t>
      </w:r>
      <w:r>
        <w:rPr>
          <w:sz w:val="24"/>
        </w:rPr>
        <w:t>single</w:t>
      </w:r>
      <w:r>
        <w:rPr>
          <w:spacing w:val="30"/>
          <w:sz w:val="24"/>
        </w:rPr>
        <w:t> </w:t>
      </w:r>
      <w:r>
        <w:rPr>
          <w:sz w:val="24"/>
        </w:rPr>
        <w:t>phase</w:t>
      </w:r>
      <w:r>
        <w:rPr>
          <w:spacing w:val="31"/>
          <w:sz w:val="24"/>
        </w:rPr>
        <w:t> </w:t>
      </w:r>
      <w:r>
        <w:rPr>
          <w:sz w:val="24"/>
        </w:rPr>
        <w:t>and</w:t>
      </w:r>
      <w:r>
        <w:rPr>
          <w:spacing w:val="30"/>
          <w:sz w:val="24"/>
        </w:rPr>
        <w:t> </w:t>
      </w:r>
      <w:r>
        <w:rPr>
          <w:sz w:val="24"/>
        </w:rPr>
        <w:t>three</w:t>
      </w:r>
      <w:r>
        <w:rPr>
          <w:spacing w:val="31"/>
          <w:sz w:val="24"/>
        </w:rPr>
        <w:t> </w:t>
      </w:r>
      <w:r>
        <w:rPr>
          <w:sz w:val="24"/>
        </w:rPr>
        <w:t>phase</w:t>
      </w:r>
      <w:r>
        <w:rPr>
          <w:spacing w:val="30"/>
          <w:sz w:val="24"/>
        </w:rPr>
        <w:t> </w:t>
      </w:r>
      <w:r>
        <w:rPr>
          <w:sz w:val="24"/>
        </w:rPr>
        <w:t>fault</w:t>
      </w:r>
      <w:r>
        <w:rPr>
          <w:spacing w:val="31"/>
          <w:sz w:val="24"/>
        </w:rPr>
        <w:t> </w:t>
      </w:r>
      <w:r>
        <w:rPr>
          <w:sz w:val="24"/>
        </w:rPr>
        <w:t>levels</w:t>
      </w:r>
      <w:r>
        <w:rPr>
          <w:spacing w:val="30"/>
          <w:sz w:val="24"/>
        </w:rPr>
        <w:t> </w:t>
      </w:r>
      <w:r>
        <w:rPr>
          <w:sz w:val="24"/>
        </w:rPr>
        <w:t>at</w:t>
      </w:r>
      <w:r>
        <w:rPr>
          <w:spacing w:val="31"/>
          <w:sz w:val="24"/>
        </w:rPr>
        <w:t> </w:t>
      </w:r>
      <w:r>
        <w:rPr>
          <w:sz w:val="24"/>
        </w:rPr>
        <w:t>the</w:t>
      </w:r>
    </w:p>
    <w:p>
      <w:pPr>
        <w:spacing w:before="0"/>
        <w:ind w:left="2486" w:right="0" w:firstLine="0"/>
        <w:jc w:val="both"/>
        <w:rPr>
          <w:sz w:val="24"/>
        </w:rPr>
      </w:pPr>
      <w:r>
        <w:rPr>
          <w:i/>
          <w:sz w:val="24"/>
        </w:rPr>
        <w:t>connection point </w:t>
      </w:r>
      <w:r>
        <w:rPr>
          <w:sz w:val="24"/>
        </w:rPr>
        <w:t>with the </w:t>
      </w:r>
      <w:r>
        <w:rPr>
          <w:i/>
          <w:sz w:val="24"/>
        </w:rPr>
        <w:t>generating system </w:t>
      </w:r>
      <w:r>
        <w:rPr>
          <w:sz w:val="24"/>
        </w:rPr>
        <w:t>not </w:t>
      </w:r>
      <w:r>
        <w:rPr>
          <w:i/>
          <w:sz w:val="24"/>
        </w:rPr>
        <w:t>connected</w:t>
      </w:r>
      <w:r>
        <w:rPr>
          <w:sz w:val="24"/>
        </w:rPr>
        <w:t>;</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the clearing times of the existing </w:t>
      </w:r>
      <w:r>
        <w:rPr>
          <w:i/>
          <w:sz w:val="24"/>
        </w:rPr>
        <w:t>protection systems </w:t>
      </w:r>
      <w:r>
        <w:rPr>
          <w:sz w:val="24"/>
        </w:rPr>
        <w:t>that would clear a fault at the location at which the new </w:t>
      </w:r>
      <w:r>
        <w:rPr>
          <w:i/>
          <w:sz w:val="24"/>
        </w:rPr>
        <w:t>connection </w:t>
      </w:r>
      <w:r>
        <w:rPr>
          <w:sz w:val="24"/>
        </w:rPr>
        <w:t>would be </w:t>
      </w:r>
      <w:r>
        <w:rPr>
          <w:i/>
          <w:sz w:val="24"/>
        </w:rPr>
        <w:t>connected </w:t>
      </w:r>
      <w:r>
        <w:rPr>
          <w:sz w:val="24"/>
        </w:rPr>
        <w:t>into the existing </w:t>
      </w:r>
      <w:r>
        <w:rPr>
          <w:i/>
          <w:sz w:val="24"/>
        </w:rPr>
        <w:t>transmission system </w:t>
      </w:r>
      <w:r>
        <w:rPr>
          <w:sz w:val="24"/>
        </w:rPr>
        <w:t>or </w:t>
      </w:r>
      <w:r>
        <w:rPr>
          <w:i/>
          <w:sz w:val="24"/>
        </w:rPr>
        <w:t>distribution</w:t>
      </w:r>
      <w:r>
        <w:rPr>
          <w:i/>
          <w:spacing w:val="-5"/>
          <w:sz w:val="24"/>
        </w:rPr>
        <w:t> </w:t>
      </w:r>
      <w:r>
        <w:rPr>
          <w:i/>
          <w:sz w:val="24"/>
        </w:rPr>
        <w:t>system</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283"/>
        </w:numPr>
        <w:tabs>
          <w:tab w:pos="2486" w:val="left" w:leader="none"/>
        </w:tabs>
        <w:spacing w:line="240" w:lineRule="auto" w:before="83" w:after="0"/>
        <w:ind w:left="2486" w:right="415" w:hanging="567"/>
        <w:jc w:val="both"/>
        <w:rPr>
          <w:sz w:val="24"/>
        </w:rPr>
      </w:pPr>
      <w:r>
        <w:rPr>
          <w:sz w:val="24"/>
        </w:rPr>
        <w:t>the expected limits of </w:t>
      </w:r>
      <w:r>
        <w:rPr>
          <w:i/>
          <w:sz w:val="24"/>
        </w:rPr>
        <w:t>voltage </w:t>
      </w:r>
      <w:r>
        <w:rPr>
          <w:sz w:val="24"/>
        </w:rPr>
        <w:t>fluctuation, harmonic </w:t>
      </w:r>
      <w:r>
        <w:rPr>
          <w:i/>
          <w:sz w:val="24"/>
        </w:rPr>
        <w:t>voltage </w:t>
      </w:r>
      <w:r>
        <w:rPr>
          <w:sz w:val="24"/>
        </w:rPr>
        <w:t>distortion and </w:t>
      </w:r>
      <w:r>
        <w:rPr>
          <w:i/>
          <w:sz w:val="24"/>
        </w:rPr>
        <w:t>voltage </w:t>
      </w:r>
      <w:r>
        <w:rPr>
          <w:sz w:val="24"/>
        </w:rPr>
        <w:t>unbalance at the </w:t>
      </w:r>
      <w:r>
        <w:rPr>
          <w:i/>
          <w:sz w:val="24"/>
        </w:rPr>
        <w:t>connection point </w:t>
      </w:r>
      <w:r>
        <w:rPr>
          <w:sz w:val="24"/>
        </w:rPr>
        <w:t>with the </w:t>
      </w:r>
      <w:r>
        <w:rPr>
          <w:i/>
          <w:sz w:val="24"/>
        </w:rPr>
        <w:t>generating </w:t>
      </w:r>
      <w:r>
        <w:rPr>
          <w:i/>
          <w:sz w:val="24"/>
        </w:rPr>
        <w:t>system </w:t>
      </w:r>
      <w:r>
        <w:rPr>
          <w:sz w:val="24"/>
        </w:rPr>
        <w:t>not</w:t>
      </w:r>
      <w:r>
        <w:rPr>
          <w:spacing w:val="-2"/>
          <w:sz w:val="24"/>
        </w:rPr>
        <w:t> </w:t>
      </w:r>
      <w:r>
        <w:rPr>
          <w:i/>
          <w:sz w:val="24"/>
        </w:rPr>
        <w:t>connected</w:t>
      </w:r>
      <w:r>
        <w:rPr>
          <w:sz w:val="24"/>
        </w:rPr>
        <w:t>;</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technical information relevant to the </w:t>
      </w:r>
      <w:r>
        <w:rPr>
          <w:i/>
          <w:sz w:val="24"/>
        </w:rPr>
        <w:t>connection point </w:t>
      </w:r>
      <w:r>
        <w:rPr>
          <w:sz w:val="24"/>
        </w:rPr>
        <w:t>with the </w:t>
      </w:r>
      <w:r>
        <w:rPr>
          <w:i/>
          <w:sz w:val="24"/>
        </w:rPr>
        <w:t>generating system </w:t>
      </w:r>
      <w:r>
        <w:rPr>
          <w:sz w:val="24"/>
        </w:rPr>
        <w:t>not </w:t>
      </w:r>
      <w:r>
        <w:rPr>
          <w:i/>
          <w:sz w:val="24"/>
        </w:rPr>
        <w:t>synchronised </w:t>
      </w:r>
      <w:r>
        <w:rPr>
          <w:sz w:val="24"/>
        </w:rPr>
        <w:t>including equivalent source impedance information, sufficient to estimate fault levels, </w:t>
      </w:r>
      <w:r>
        <w:rPr>
          <w:i/>
          <w:sz w:val="24"/>
        </w:rPr>
        <w:t>voltage </w:t>
      </w:r>
      <w:r>
        <w:rPr>
          <w:sz w:val="24"/>
        </w:rPr>
        <w:t>fluctuations, harmonic </w:t>
      </w:r>
      <w:r>
        <w:rPr>
          <w:i/>
          <w:sz w:val="24"/>
        </w:rPr>
        <w:t>voltage </w:t>
      </w:r>
      <w:r>
        <w:rPr>
          <w:sz w:val="24"/>
        </w:rPr>
        <w:t>distortion (for harmonics relevant </w:t>
      </w:r>
      <w:r>
        <w:rPr>
          <w:spacing w:val="-6"/>
          <w:sz w:val="24"/>
        </w:rPr>
        <w:t>to  </w:t>
      </w:r>
      <w:r>
        <w:rPr>
          <w:sz w:val="24"/>
        </w:rPr>
        <w:t>the </w:t>
      </w:r>
      <w:r>
        <w:rPr>
          <w:i/>
          <w:sz w:val="24"/>
        </w:rPr>
        <w:t>generating system</w:t>
      </w:r>
      <w:r>
        <w:rPr>
          <w:sz w:val="24"/>
        </w:rPr>
        <w:t>) and </w:t>
      </w:r>
      <w:r>
        <w:rPr>
          <w:i/>
          <w:sz w:val="24"/>
        </w:rPr>
        <w:t>voltage</w:t>
      </w:r>
      <w:r>
        <w:rPr>
          <w:i/>
          <w:spacing w:val="-2"/>
          <w:sz w:val="24"/>
        </w:rPr>
        <w:t> </w:t>
      </w:r>
      <w:r>
        <w:rPr>
          <w:sz w:val="24"/>
        </w:rPr>
        <w:t>unbalance;</w:t>
      </w:r>
    </w:p>
    <w:p>
      <w:pPr>
        <w:pStyle w:val="ListParagraph"/>
        <w:numPr>
          <w:ilvl w:val="1"/>
          <w:numId w:val="283"/>
        </w:numPr>
        <w:tabs>
          <w:tab w:pos="2486" w:val="left" w:leader="none"/>
        </w:tabs>
        <w:spacing w:line="240" w:lineRule="auto" w:before="120" w:after="0"/>
        <w:ind w:left="2486" w:right="415" w:hanging="567"/>
        <w:jc w:val="both"/>
        <w:rPr>
          <w:sz w:val="24"/>
        </w:rPr>
      </w:pPr>
      <w:r>
        <w:rPr>
          <w:sz w:val="24"/>
        </w:rPr>
        <w:t>information relating to the performance of the </w:t>
      </w:r>
      <w:r>
        <w:rPr>
          <w:i/>
          <w:sz w:val="24"/>
        </w:rPr>
        <w:t>national grid </w:t>
      </w:r>
      <w:r>
        <w:rPr>
          <w:sz w:val="24"/>
        </w:rPr>
        <w:t>that is reasonably necessary for the </w:t>
      </w:r>
      <w:r>
        <w:rPr>
          <w:i/>
          <w:sz w:val="24"/>
        </w:rPr>
        <w:t>Connection Applicant </w:t>
      </w:r>
      <w:r>
        <w:rPr>
          <w:sz w:val="24"/>
        </w:rPr>
        <w:t>to prepare an </w:t>
      </w:r>
      <w:r>
        <w:rPr>
          <w:i/>
          <w:sz w:val="24"/>
        </w:rPr>
        <w:t>application to connect</w:t>
      </w:r>
      <w:r>
        <w:rPr>
          <w:sz w:val="24"/>
        </w:rPr>
        <w:t>,</w:t>
      </w:r>
      <w:r>
        <w:rPr>
          <w:spacing w:val="-1"/>
          <w:sz w:val="24"/>
        </w:rPr>
        <w:t> </w:t>
      </w:r>
      <w:r>
        <w:rPr>
          <w:sz w:val="24"/>
        </w:rPr>
        <w:t>including:</w:t>
      </w:r>
    </w:p>
    <w:p>
      <w:pPr>
        <w:pStyle w:val="ListParagraph"/>
        <w:numPr>
          <w:ilvl w:val="2"/>
          <w:numId w:val="283"/>
        </w:numPr>
        <w:tabs>
          <w:tab w:pos="3053" w:val="left" w:leader="none"/>
        </w:tabs>
        <w:spacing w:line="240" w:lineRule="auto" w:before="120" w:after="0"/>
        <w:ind w:left="3053" w:right="414" w:hanging="567"/>
        <w:jc w:val="both"/>
        <w:rPr>
          <w:sz w:val="24"/>
        </w:rPr>
      </w:pPr>
      <w:r>
        <w:rPr>
          <w:sz w:val="24"/>
        </w:rPr>
        <w:t>a model of the </w:t>
      </w:r>
      <w:r>
        <w:rPr>
          <w:i/>
          <w:sz w:val="24"/>
        </w:rPr>
        <w:t>power system</w:t>
      </w:r>
      <w:r>
        <w:rPr>
          <w:sz w:val="24"/>
        </w:rPr>
        <w:t>, including relevant </w:t>
      </w:r>
      <w:r>
        <w:rPr>
          <w:i/>
          <w:sz w:val="24"/>
        </w:rPr>
        <w:t>considered </w:t>
      </w:r>
      <w:r>
        <w:rPr>
          <w:i/>
          <w:sz w:val="24"/>
        </w:rPr>
        <w:t>projects </w:t>
      </w:r>
      <w:r>
        <w:rPr>
          <w:sz w:val="24"/>
        </w:rPr>
        <w:t>and the range of expected operating conditions, sufficient to carry out load flow and dynamic simulations;</w:t>
      </w:r>
      <w:r>
        <w:rPr>
          <w:spacing w:val="-10"/>
          <w:sz w:val="24"/>
        </w:rPr>
        <w:t> </w:t>
      </w:r>
      <w:r>
        <w:rPr>
          <w:sz w:val="24"/>
        </w:rPr>
        <w:t>and</w:t>
      </w:r>
    </w:p>
    <w:p>
      <w:pPr>
        <w:pStyle w:val="ListParagraph"/>
        <w:numPr>
          <w:ilvl w:val="2"/>
          <w:numId w:val="283"/>
        </w:numPr>
        <w:tabs>
          <w:tab w:pos="3054" w:val="left" w:leader="none"/>
        </w:tabs>
        <w:spacing w:line="240" w:lineRule="auto" w:before="120" w:after="0"/>
        <w:ind w:left="3053" w:right="414" w:hanging="567"/>
        <w:jc w:val="both"/>
        <w:rPr>
          <w:sz w:val="24"/>
        </w:rPr>
      </w:pPr>
      <w:r>
        <w:rPr>
          <w:sz w:val="24"/>
        </w:rPr>
        <w:t>information on </w:t>
      </w:r>
      <w:r>
        <w:rPr>
          <w:i/>
          <w:sz w:val="24"/>
        </w:rPr>
        <w:t>inter-regional </w:t>
      </w:r>
      <w:r>
        <w:rPr>
          <w:sz w:val="24"/>
        </w:rPr>
        <w:t>and </w:t>
      </w:r>
      <w:r>
        <w:rPr>
          <w:i/>
          <w:sz w:val="24"/>
        </w:rPr>
        <w:t>intra-regional power transfer </w:t>
      </w:r>
      <w:r>
        <w:rPr>
          <w:i/>
          <w:sz w:val="24"/>
        </w:rPr>
        <w:t>capabilities </w:t>
      </w:r>
      <w:r>
        <w:rPr>
          <w:sz w:val="24"/>
        </w:rPr>
        <w:t>and relevant </w:t>
      </w:r>
      <w:r>
        <w:rPr>
          <w:i/>
          <w:sz w:val="24"/>
        </w:rPr>
        <w:t>plant </w:t>
      </w:r>
      <w:r>
        <w:rPr>
          <w:sz w:val="24"/>
        </w:rPr>
        <w:t>ratings;</w:t>
      </w:r>
      <w:r>
        <w:rPr>
          <w:spacing w:val="-1"/>
          <w:sz w:val="24"/>
        </w:rPr>
        <w:t> </w:t>
      </w:r>
      <w:r>
        <w:rPr>
          <w:sz w:val="24"/>
        </w:rPr>
        <w:t>and</w:t>
      </w:r>
    </w:p>
    <w:p>
      <w:pPr>
        <w:pStyle w:val="ListParagraph"/>
        <w:numPr>
          <w:ilvl w:val="1"/>
          <w:numId w:val="283"/>
        </w:numPr>
        <w:tabs>
          <w:tab w:pos="2486" w:val="left" w:leader="none"/>
        </w:tabs>
        <w:spacing w:line="240" w:lineRule="auto" w:before="120" w:after="0"/>
        <w:ind w:left="2486" w:right="416" w:hanging="567"/>
        <w:jc w:val="both"/>
        <w:rPr>
          <w:sz w:val="24"/>
        </w:rPr>
      </w:pPr>
      <w:r>
        <w:rPr>
          <w:sz w:val="24"/>
        </w:rPr>
        <w:t>the </w:t>
      </w:r>
      <w:r>
        <w:rPr>
          <w:i/>
          <w:sz w:val="24"/>
        </w:rPr>
        <w:t>Network Service Provider's </w:t>
      </w:r>
      <w:r>
        <w:rPr>
          <w:sz w:val="24"/>
        </w:rPr>
        <w:t>expected </w:t>
      </w:r>
      <w:r>
        <w:rPr>
          <w:i/>
          <w:sz w:val="24"/>
        </w:rPr>
        <w:t>three phase fault level </w:t>
      </w:r>
      <w:r>
        <w:rPr>
          <w:sz w:val="24"/>
        </w:rPr>
        <w:t>at the </w:t>
      </w:r>
      <w:r>
        <w:rPr>
          <w:i/>
          <w:sz w:val="24"/>
        </w:rPr>
        <w:t>connection point </w:t>
      </w:r>
      <w:r>
        <w:rPr>
          <w:sz w:val="24"/>
        </w:rPr>
        <w:t>for the </w:t>
      </w:r>
      <w:r>
        <w:rPr>
          <w:i/>
          <w:sz w:val="24"/>
        </w:rPr>
        <w:t>generating system </w:t>
      </w:r>
      <w:r>
        <w:rPr>
          <w:sz w:val="24"/>
        </w:rPr>
        <w:t>following the </w:t>
      </w:r>
      <w:r>
        <w:rPr>
          <w:i/>
          <w:sz w:val="24"/>
        </w:rPr>
        <w:t>connection </w:t>
      </w:r>
      <w:r>
        <w:rPr>
          <w:sz w:val="24"/>
        </w:rPr>
        <w:t>of the </w:t>
      </w:r>
      <w:r>
        <w:rPr>
          <w:i/>
          <w:sz w:val="24"/>
        </w:rPr>
        <w:t>generating</w:t>
      </w:r>
      <w:r>
        <w:rPr>
          <w:i/>
          <w:spacing w:val="-1"/>
          <w:sz w:val="24"/>
        </w:rPr>
        <w:t> </w:t>
      </w:r>
      <w:r>
        <w:rPr>
          <w:i/>
          <w:sz w:val="24"/>
        </w:rPr>
        <w:t>system</w:t>
      </w:r>
      <w:r>
        <w:rPr>
          <w:sz w:val="24"/>
        </w:rPr>
        <w:t>.</w:t>
      </w:r>
    </w:p>
    <w:p>
      <w:pPr>
        <w:pStyle w:val="ListParagraph"/>
        <w:numPr>
          <w:ilvl w:val="0"/>
          <w:numId w:val="283"/>
        </w:numPr>
        <w:tabs>
          <w:tab w:pos="1920" w:val="left" w:leader="none"/>
        </w:tabs>
        <w:spacing w:line="240" w:lineRule="auto" w:before="120" w:after="0"/>
        <w:ind w:left="1919" w:right="0" w:hanging="568"/>
        <w:jc w:val="both"/>
        <w:rPr>
          <w:sz w:val="24"/>
        </w:rPr>
      </w:pPr>
      <w:r>
        <w:rPr>
          <w:sz w:val="24"/>
        </w:rPr>
        <w:t>All</w:t>
      </w:r>
      <w:r>
        <w:rPr>
          <w:spacing w:val="21"/>
          <w:sz w:val="24"/>
        </w:rPr>
        <w:t> </w:t>
      </w:r>
      <w:r>
        <w:rPr>
          <w:sz w:val="24"/>
        </w:rPr>
        <w:t>information</w:t>
      </w:r>
      <w:r>
        <w:rPr>
          <w:spacing w:val="21"/>
          <w:sz w:val="24"/>
        </w:rPr>
        <w:t> </w:t>
      </w:r>
      <w:r>
        <w:rPr>
          <w:sz w:val="24"/>
        </w:rPr>
        <w:t>provided</w:t>
      </w:r>
      <w:r>
        <w:rPr>
          <w:spacing w:val="21"/>
          <w:sz w:val="24"/>
        </w:rPr>
        <w:t> </w:t>
      </w:r>
      <w:r>
        <w:rPr>
          <w:sz w:val="24"/>
        </w:rPr>
        <w:t>under</w:t>
      </w:r>
      <w:r>
        <w:rPr>
          <w:spacing w:val="21"/>
          <w:sz w:val="24"/>
        </w:rPr>
        <w:t> </w:t>
      </w:r>
      <w:r>
        <w:rPr>
          <w:sz w:val="24"/>
        </w:rPr>
        <w:t>this</w:t>
      </w:r>
      <w:r>
        <w:rPr>
          <w:spacing w:val="21"/>
          <w:sz w:val="24"/>
        </w:rPr>
        <w:t> </w:t>
      </w:r>
      <w:r>
        <w:rPr>
          <w:sz w:val="24"/>
        </w:rPr>
        <w:t>clause</w:t>
      </w:r>
      <w:r>
        <w:rPr>
          <w:spacing w:val="21"/>
          <w:sz w:val="24"/>
        </w:rPr>
        <w:t> </w:t>
      </w:r>
      <w:r>
        <w:rPr>
          <w:sz w:val="24"/>
        </w:rPr>
        <w:t>S5.2.4</w:t>
      </w:r>
      <w:r>
        <w:rPr>
          <w:spacing w:val="22"/>
          <w:sz w:val="24"/>
        </w:rPr>
        <w:t> </w:t>
      </w:r>
      <w:r>
        <w:rPr>
          <w:sz w:val="24"/>
        </w:rPr>
        <w:t>must</w:t>
      </w:r>
      <w:r>
        <w:rPr>
          <w:spacing w:val="21"/>
          <w:sz w:val="24"/>
        </w:rPr>
        <w:t> </w:t>
      </w:r>
      <w:r>
        <w:rPr>
          <w:sz w:val="24"/>
        </w:rPr>
        <w:t>be</w:t>
      </w:r>
      <w:r>
        <w:rPr>
          <w:spacing w:val="21"/>
          <w:sz w:val="24"/>
        </w:rPr>
        <w:t> </w:t>
      </w:r>
      <w:r>
        <w:rPr>
          <w:sz w:val="24"/>
        </w:rPr>
        <w:t>treated</w:t>
      </w:r>
      <w:r>
        <w:rPr>
          <w:spacing w:val="21"/>
          <w:sz w:val="24"/>
        </w:rPr>
        <w:t> </w:t>
      </w:r>
      <w:r>
        <w:rPr>
          <w:sz w:val="24"/>
        </w:rPr>
        <w:t>as</w:t>
      </w:r>
    </w:p>
    <w:p>
      <w:pPr>
        <w:spacing w:before="0"/>
        <w:ind w:left="1919" w:right="0" w:firstLine="0"/>
        <w:jc w:val="both"/>
        <w:rPr>
          <w:sz w:val="24"/>
        </w:rPr>
      </w:pPr>
      <w:r>
        <w:rPr>
          <w:i/>
          <w:sz w:val="24"/>
        </w:rPr>
        <w:t>confidential</w:t>
      </w:r>
      <w:r>
        <w:rPr>
          <w:i/>
          <w:spacing w:val="-6"/>
          <w:sz w:val="24"/>
        </w:rPr>
        <w:t> </w:t>
      </w:r>
      <w:r>
        <w:rPr>
          <w:i/>
          <w:sz w:val="24"/>
        </w:rPr>
        <w:t>information</w:t>
      </w:r>
      <w:r>
        <w:rPr>
          <w:sz w:val="24"/>
        </w:rPr>
        <w:t>.</w:t>
      </w:r>
    </w:p>
    <w:p>
      <w:pPr>
        <w:pStyle w:val="BodyText"/>
        <w:spacing w:before="10"/>
        <w:ind w:firstLine="0"/>
        <w:jc w:val="left"/>
        <w:rPr>
          <w:sz w:val="20"/>
        </w:rPr>
      </w:pPr>
    </w:p>
    <w:p>
      <w:pPr>
        <w:pStyle w:val="Heading4"/>
        <w:tabs>
          <w:tab w:pos="1351" w:val="left" w:leader="none"/>
        </w:tabs>
        <w:spacing w:line="448" w:lineRule="auto"/>
        <w:ind w:left="218" w:right="5418" w:firstLine="0"/>
      </w:pPr>
      <w:bookmarkStart w:name="S5.2.5 Technical requirements" w:id="968"/>
      <w:bookmarkEnd w:id="968"/>
      <w:r>
        <w:rPr>
          <w:b w:val="0"/>
        </w:rPr>
      </w:r>
      <w:bookmarkStart w:name="_bookmark376" w:id="969"/>
      <w:bookmarkEnd w:id="969"/>
      <w:r>
        <w:rPr>
          <w:b w:val="0"/>
        </w:rPr>
      </w:r>
      <w:r>
        <w:rPr/>
        <w:t>S5.2.5</w:t>
        <w:tab/>
        <w:t>Technical requirements</w:t>
      </w:r>
      <w:bookmarkStart w:name="S5.2.5.1 Reactive power capability" w:id="970"/>
      <w:bookmarkEnd w:id="970"/>
      <w:r>
        <w:rPr/>
      </w:r>
      <w:bookmarkStart w:name="_bookmark377" w:id="971"/>
      <w:bookmarkEnd w:id="971"/>
      <w:r>
        <w:rPr/>
      </w:r>
      <w:r>
        <w:rPr/>
        <w:t> S5.2.5.1</w:t>
        <w:tab/>
        <w:t>Reactive power</w:t>
      </w:r>
      <w:r>
        <w:rPr>
          <w:spacing w:val="-9"/>
        </w:rPr>
        <w:t> </w:t>
      </w:r>
      <w:r>
        <w:rPr/>
        <w:t>capability</w:t>
      </w:r>
    </w:p>
    <w:p>
      <w:pPr>
        <w:spacing w:line="233" w:lineRule="exact" w:before="0"/>
        <w:ind w:left="1356" w:right="0" w:firstLine="0"/>
        <w:jc w:val="left"/>
        <w:rPr>
          <w:rFonts w:ascii="Arial"/>
          <w:b/>
          <w:sz w:val="22"/>
        </w:rPr>
      </w:pPr>
      <w:r>
        <w:rPr>
          <w:rFonts w:ascii="Arial"/>
          <w:b/>
          <w:sz w:val="22"/>
        </w:rPr>
        <w:t>Automatic access standard</w:t>
      </w:r>
    </w:p>
    <w:p>
      <w:pPr>
        <w:pStyle w:val="ListParagraph"/>
        <w:numPr>
          <w:ilvl w:val="0"/>
          <w:numId w:val="284"/>
        </w:numPr>
        <w:tabs>
          <w:tab w:pos="1919" w:val="left" w:leader="none"/>
        </w:tabs>
        <w:spacing w:line="240" w:lineRule="auto" w:before="120" w:after="0"/>
        <w:ind w:left="1918" w:right="0" w:hanging="567"/>
        <w:jc w:val="both"/>
        <w:rPr>
          <w:sz w:val="24"/>
        </w:rPr>
      </w:pPr>
      <w:r>
        <w:rPr>
          <w:sz w:val="24"/>
        </w:rPr>
        <w:t>The </w:t>
      </w:r>
      <w:r>
        <w:rPr>
          <w:i/>
          <w:sz w:val="24"/>
        </w:rPr>
        <w:t>automatic access standard </w:t>
      </w:r>
      <w:r>
        <w:rPr>
          <w:sz w:val="24"/>
        </w:rPr>
        <w:t>is a </w:t>
      </w:r>
      <w:r>
        <w:rPr>
          <w:i/>
          <w:sz w:val="24"/>
        </w:rPr>
        <w:t>generating system </w:t>
      </w:r>
      <w:r>
        <w:rPr>
          <w:sz w:val="24"/>
        </w:rPr>
        <w:t>operating</w:t>
      </w:r>
      <w:r>
        <w:rPr>
          <w:spacing w:val="-4"/>
          <w:sz w:val="24"/>
        </w:rPr>
        <w:t> </w:t>
      </w:r>
      <w:r>
        <w:rPr>
          <w:sz w:val="24"/>
        </w:rPr>
        <w:t>at:</w:t>
      </w:r>
    </w:p>
    <w:p>
      <w:pPr>
        <w:pStyle w:val="ListParagraph"/>
        <w:numPr>
          <w:ilvl w:val="1"/>
          <w:numId w:val="284"/>
        </w:numPr>
        <w:tabs>
          <w:tab w:pos="2486" w:val="left" w:leader="none"/>
        </w:tabs>
        <w:spacing w:line="240" w:lineRule="auto" w:before="120" w:after="0"/>
        <w:ind w:left="2485" w:right="0" w:hanging="567"/>
        <w:jc w:val="both"/>
        <w:rPr>
          <w:sz w:val="24"/>
        </w:rPr>
      </w:pPr>
      <w:r>
        <w:rPr>
          <w:sz w:val="24"/>
        </w:rPr>
        <w:t>any level of </w:t>
      </w:r>
      <w:r>
        <w:rPr>
          <w:i/>
          <w:sz w:val="24"/>
        </w:rPr>
        <w:t>active power </w:t>
      </w:r>
      <w:r>
        <w:rPr>
          <w:sz w:val="24"/>
        </w:rPr>
        <w:t>output;</w:t>
      </w:r>
      <w:r>
        <w:rPr>
          <w:spacing w:val="-1"/>
          <w:sz w:val="24"/>
        </w:rPr>
        <w:t> </w:t>
      </w:r>
      <w:r>
        <w:rPr>
          <w:sz w:val="24"/>
        </w:rPr>
        <w:t>and</w:t>
      </w:r>
    </w:p>
    <w:p>
      <w:pPr>
        <w:pStyle w:val="ListParagraph"/>
        <w:numPr>
          <w:ilvl w:val="1"/>
          <w:numId w:val="284"/>
        </w:numPr>
        <w:tabs>
          <w:tab w:pos="2486" w:val="left" w:leader="none"/>
        </w:tabs>
        <w:spacing w:line="240" w:lineRule="auto" w:before="120" w:after="0"/>
        <w:ind w:left="2486" w:right="414" w:hanging="567"/>
        <w:jc w:val="both"/>
        <w:rPr>
          <w:sz w:val="24"/>
        </w:rPr>
      </w:pPr>
      <w:r>
        <w:rPr>
          <w:sz w:val="24"/>
        </w:rPr>
        <w:t>any </w:t>
      </w:r>
      <w:r>
        <w:rPr>
          <w:i/>
          <w:sz w:val="24"/>
        </w:rPr>
        <w:t>voltage </w:t>
      </w:r>
      <w:r>
        <w:rPr>
          <w:sz w:val="24"/>
        </w:rPr>
        <w:t>at the </w:t>
      </w:r>
      <w:r>
        <w:rPr>
          <w:i/>
          <w:sz w:val="24"/>
        </w:rPr>
        <w:t>connection point </w:t>
      </w:r>
      <w:r>
        <w:rPr>
          <w:sz w:val="24"/>
        </w:rPr>
        <w:t>within the limits established under clause S5.1a.4 without a </w:t>
      </w:r>
      <w:r>
        <w:rPr>
          <w:i/>
          <w:sz w:val="24"/>
        </w:rPr>
        <w:t>contingency</w:t>
      </w:r>
      <w:r>
        <w:rPr>
          <w:i/>
          <w:spacing w:val="-3"/>
          <w:sz w:val="24"/>
        </w:rPr>
        <w:t> </w:t>
      </w:r>
      <w:r>
        <w:rPr>
          <w:i/>
          <w:sz w:val="24"/>
        </w:rPr>
        <w:t>event</w:t>
      </w:r>
      <w:r>
        <w:rPr>
          <w:sz w:val="24"/>
        </w:rPr>
        <w:t>,</w:t>
      </w:r>
    </w:p>
    <w:p>
      <w:pPr>
        <w:spacing w:before="120"/>
        <w:ind w:left="1919" w:right="414" w:firstLine="0"/>
        <w:jc w:val="both"/>
        <w:rPr>
          <w:sz w:val="24"/>
        </w:rPr>
      </w:pPr>
      <w:r>
        <w:rPr>
          <w:sz w:val="24"/>
        </w:rPr>
        <w:t>must be capable of supplying and absorbing continuously at its </w:t>
      </w:r>
      <w:r>
        <w:rPr>
          <w:i/>
          <w:sz w:val="24"/>
        </w:rPr>
        <w:t>connection </w:t>
      </w:r>
      <w:r>
        <w:rPr>
          <w:i/>
          <w:sz w:val="24"/>
        </w:rPr>
        <w:t>point </w:t>
      </w:r>
      <w:r>
        <w:rPr>
          <w:sz w:val="24"/>
        </w:rPr>
        <w:t>an amount of </w:t>
      </w:r>
      <w:r>
        <w:rPr>
          <w:i/>
          <w:sz w:val="24"/>
        </w:rPr>
        <w:t>reactive power </w:t>
      </w:r>
      <w:r>
        <w:rPr>
          <w:sz w:val="24"/>
        </w:rPr>
        <w:t>of at least the amount equal to</w:t>
      </w:r>
      <w:r>
        <w:rPr>
          <w:spacing w:val="13"/>
          <w:sz w:val="24"/>
        </w:rPr>
        <w:t> </w:t>
      </w:r>
      <w:r>
        <w:rPr>
          <w:sz w:val="24"/>
        </w:rPr>
        <w:t>the product of the </w:t>
      </w:r>
      <w:r>
        <w:rPr>
          <w:i/>
          <w:sz w:val="24"/>
        </w:rPr>
        <w:t>rated active power </w:t>
      </w:r>
      <w:r>
        <w:rPr>
          <w:sz w:val="24"/>
        </w:rPr>
        <w:t>of the </w:t>
      </w:r>
      <w:r>
        <w:rPr>
          <w:i/>
          <w:sz w:val="24"/>
        </w:rPr>
        <w:t>generating system </w:t>
      </w:r>
      <w:r>
        <w:rPr>
          <w:sz w:val="24"/>
        </w:rPr>
        <w:t>and</w:t>
      </w:r>
      <w:r>
        <w:rPr>
          <w:spacing w:val="-8"/>
          <w:sz w:val="24"/>
        </w:rPr>
        <w:t> </w:t>
      </w:r>
      <w:r>
        <w:rPr>
          <w:sz w:val="24"/>
        </w:rPr>
        <w:t>0.395.</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84"/>
        </w:numPr>
        <w:tabs>
          <w:tab w:pos="1919" w:val="left" w:leader="none"/>
        </w:tabs>
        <w:spacing w:line="240" w:lineRule="auto" w:before="120" w:after="0"/>
        <w:ind w:left="1919" w:right="416" w:hanging="567"/>
        <w:jc w:val="both"/>
        <w:rPr>
          <w:sz w:val="24"/>
        </w:rPr>
      </w:pPr>
      <w:r>
        <w:rPr>
          <w:sz w:val="24"/>
        </w:rPr>
        <w:t>The </w:t>
      </w:r>
      <w:r>
        <w:rPr>
          <w:i/>
          <w:sz w:val="24"/>
        </w:rPr>
        <w:t>minimum access standard </w:t>
      </w:r>
      <w:r>
        <w:rPr>
          <w:sz w:val="24"/>
        </w:rPr>
        <w:t>is no capability is required to supply or absorb </w:t>
      </w:r>
      <w:r>
        <w:rPr>
          <w:i/>
          <w:sz w:val="24"/>
        </w:rPr>
        <w:t>reactive power </w:t>
      </w:r>
      <w:r>
        <w:rPr>
          <w:sz w:val="24"/>
        </w:rPr>
        <w:t>at the </w:t>
      </w:r>
      <w:r>
        <w:rPr>
          <w:i/>
          <w:sz w:val="24"/>
        </w:rPr>
        <w:t>connection</w:t>
      </w:r>
      <w:r>
        <w:rPr>
          <w:i/>
          <w:spacing w:val="-1"/>
          <w:sz w:val="24"/>
        </w:rPr>
        <w:t> </w:t>
      </w:r>
      <w:r>
        <w:rPr>
          <w:i/>
          <w:sz w:val="24"/>
        </w:rPr>
        <w:t>point</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84"/>
        </w:numPr>
        <w:tabs>
          <w:tab w:pos="1919" w:val="left" w:leader="none"/>
        </w:tabs>
        <w:spacing w:line="240" w:lineRule="auto" w:before="120" w:after="0"/>
        <w:ind w:left="1919" w:right="416" w:hanging="567"/>
        <w:jc w:val="both"/>
        <w:rPr>
          <w:sz w:val="24"/>
        </w:rPr>
      </w:pPr>
      <w:r>
        <w:rPr>
          <w:sz w:val="24"/>
        </w:rPr>
        <w:t>When negotiating a </w:t>
      </w:r>
      <w:r>
        <w:rPr>
          <w:i/>
          <w:sz w:val="24"/>
        </w:rPr>
        <w:t>negotiated access standard</w:t>
      </w:r>
      <w:r>
        <w:rPr>
          <w:sz w:val="24"/>
        </w:rPr>
        <w:t>, the </w:t>
      </w:r>
      <w:r>
        <w:rPr>
          <w:i/>
          <w:sz w:val="24"/>
        </w:rPr>
        <w:t>Generator</w:t>
      </w:r>
      <w:r>
        <w:rPr>
          <w:sz w:val="24"/>
        </w:rPr>
        <w:t>, the </w:t>
      </w:r>
      <w:r>
        <w:rPr>
          <w:i/>
          <w:sz w:val="24"/>
        </w:rPr>
        <w:t>Network </w:t>
      </w:r>
      <w:r>
        <w:rPr>
          <w:i/>
          <w:sz w:val="24"/>
        </w:rPr>
        <w:t>Service Provider </w:t>
      </w:r>
      <w:r>
        <w:rPr>
          <w:sz w:val="24"/>
        </w:rPr>
        <w:t>and</w:t>
      </w:r>
      <w:r>
        <w:rPr>
          <w:spacing w:val="-1"/>
          <w:sz w:val="24"/>
        </w:rPr>
        <w:t> </w:t>
      </w:r>
      <w:r>
        <w:rPr>
          <w:i/>
          <w:sz w:val="24"/>
        </w:rPr>
        <w:t>AEMO</w:t>
      </w:r>
      <w:r>
        <w:rPr>
          <w:sz w:val="24"/>
        </w:rPr>
        <w:t>:</w:t>
      </w:r>
    </w:p>
    <w:p>
      <w:pPr>
        <w:pStyle w:val="ListParagraph"/>
        <w:numPr>
          <w:ilvl w:val="1"/>
          <w:numId w:val="284"/>
        </w:numPr>
        <w:tabs>
          <w:tab w:pos="2486" w:val="left" w:leader="none"/>
        </w:tabs>
        <w:spacing w:line="240" w:lineRule="auto" w:before="120" w:after="0"/>
        <w:ind w:left="2486" w:right="415" w:hanging="567"/>
        <w:jc w:val="both"/>
        <w:rPr>
          <w:i/>
          <w:sz w:val="24"/>
        </w:rPr>
      </w:pPr>
      <w:r>
        <w:rPr>
          <w:sz w:val="24"/>
        </w:rPr>
        <w:t>must, subject to any agreement under subparagraph (d)(4), ensure that the </w:t>
      </w:r>
      <w:r>
        <w:rPr>
          <w:i/>
          <w:sz w:val="24"/>
        </w:rPr>
        <w:t>reactive power capability </w:t>
      </w:r>
      <w:r>
        <w:rPr>
          <w:sz w:val="24"/>
        </w:rPr>
        <w:t>of the </w:t>
      </w:r>
      <w:r>
        <w:rPr>
          <w:i/>
          <w:sz w:val="24"/>
        </w:rPr>
        <w:t>generating system </w:t>
      </w:r>
      <w:r>
        <w:rPr>
          <w:sz w:val="24"/>
        </w:rPr>
        <w:t>is consistent with maintaining </w:t>
      </w:r>
      <w:r>
        <w:rPr>
          <w:i/>
          <w:sz w:val="24"/>
        </w:rPr>
        <w:t>power system security </w:t>
      </w:r>
      <w:r>
        <w:rPr>
          <w:sz w:val="24"/>
        </w:rPr>
        <w:t>and sufficient to ensure that all</w:t>
      </w:r>
      <w:r>
        <w:rPr>
          <w:spacing w:val="29"/>
          <w:sz w:val="24"/>
        </w:rPr>
        <w:t> </w:t>
      </w:r>
      <w:r>
        <w:rPr>
          <w:sz w:val="24"/>
        </w:rPr>
        <w:t>relevant</w:t>
      </w:r>
      <w:r>
        <w:rPr>
          <w:spacing w:val="29"/>
          <w:sz w:val="24"/>
        </w:rPr>
        <w:t> </w:t>
      </w:r>
      <w:r>
        <w:rPr>
          <w:i/>
          <w:sz w:val="24"/>
        </w:rPr>
        <w:t>system</w:t>
      </w:r>
      <w:r>
        <w:rPr>
          <w:i/>
          <w:spacing w:val="30"/>
          <w:sz w:val="24"/>
        </w:rPr>
        <w:t> </w:t>
      </w:r>
      <w:r>
        <w:rPr>
          <w:i/>
          <w:sz w:val="24"/>
        </w:rPr>
        <w:t>standards</w:t>
      </w:r>
      <w:r>
        <w:rPr>
          <w:i/>
          <w:spacing w:val="29"/>
          <w:sz w:val="24"/>
        </w:rPr>
        <w:t> </w:t>
      </w:r>
      <w:r>
        <w:rPr>
          <w:sz w:val="24"/>
        </w:rPr>
        <w:t>are</w:t>
      </w:r>
      <w:r>
        <w:rPr>
          <w:spacing w:val="29"/>
          <w:sz w:val="24"/>
        </w:rPr>
        <w:t> </w:t>
      </w:r>
      <w:r>
        <w:rPr>
          <w:sz w:val="24"/>
        </w:rPr>
        <w:t>met</w:t>
      </w:r>
      <w:r>
        <w:rPr>
          <w:spacing w:val="30"/>
          <w:sz w:val="24"/>
        </w:rPr>
        <w:t> </w:t>
      </w:r>
      <w:r>
        <w:rPr>
          <w:sz w:val="24"/>
        </w:rPr>
        <w:t>before</w:t>
      </w:r>
      <w:r>
        <w:rPr>
          <w:spacing w:val="29"/>
          <w:sz w:val="24"/>
        </w:rPr>
        <w:t> </w:t>
      </w:r>
      <w:r>
        <w:rPr>
          <w:sz w:val="24"/>
        </w:rPr>
        <w:t>and</w:t>
      </w:r>
      <w:r>
        <w:rPr>
          <w:spacing w:val="29"/>
          <w:sz w:val="24"/>
        </w:rPr>
        <w:t> </w:t>
      </w:r>
      <w:r>
        <w:rPr>
          <w:sz w:val="24"/>
        </w:rPr>
        <w:t>after</w:t>
      </w:r>
      <w:r>
        <w:rPr>
          <w:spacing w:val="30"/>
          <w:sz w:val="24"/>
        </w:rPr>
        <w:t> </w:t>
      </w:r>
      <w:r>
        <w:rPr>
          <w:i/>
          <w:sz w:val="24"/>
        </w:rPr>
        <w:t>credible</w:t>
      </w:r>
    </w:p>
    <w:p>
      <w:pPr>
        <w:spacing w:after="0" w:line="240" w:lineRule="auto"/>
        <w:jc w:val="both"/>
        <w:rPr>
          <w:sz w:val="24"/>
        </w:rPr>
        <w:sectPr>
          <w:pgSz w:w="11910" w:h="16840"/>
          <w:pgMar w:header="686" w:footer="637" w:top="1320" w:bottom="820" w:left="1200" w:right="1000"/>
        </w:sectPr>
      </w:pPr>
    </w:p>
    <w:p>
      <w:pPr>
        <w:spacing w:before="83"/>
        <w:ind w:left="2486" w:right="414" w:firstLine="0"/>
        <w:jc w:val="both"/>
        <w:rPr>
          <w:sz w:val="24"/>
        </w:rPr>
      </w:pPr>
      <w:r>
        <w:rPr>
          <w:i/>
          <w:sz w:val="24"/>
        </w:rPr>
        <w:t>contingency events </w:t>
      </w:r>
      <w:r>
        <w:rPr>
          <w:sz w:val="24"/>
        </w:rPr>
        <w:t>under normal and planned </w:t>
      </w:r>
      <w:r>
        <w:rPr>
          <w:i/>
          <w:sz w:val="24"/>
        </w:rPr>
        <w:t>outage </w:t>
      </w:r>
      <w:r>
        <w:rPr>
          <w:sz w:val="24"/>
        </w:rPr>
        <w:t>operating conditions of the </w:t>
      </w:r>
      <w:r>
        <w:rPr>
          <w:i/>
          <w:sz w:val="24"/>
        </w:rPr>
        <w:t>power system</w:t>
      </w:r>
      <w:r>
        <w:rPr>
          <w:sz w:val="24"/>
        </w:rPr>
        <w:t>, taking into account existing </w:t>
      </w:r>
      <w:r>
        <w:rPr>
          <w:i/>
          <w:sz w:val="24"/>
        </w:rPr>
        <w:t>power </w:t>
      </w:r>
      <w:r>
        <w:rPr>
          <w:i/>
          <w:sz w:val="24"/>
        </w:rPr>
        <w:t>system </w:t>
      </w:r>
      <w:r>
        <w:rPr>
          <w:sz w:val="24"/>
        </w:rPr>
        <w:t>conditions, </w:t>
      </w:r>
      <w:r>
        <w:rPr>
          <w:i/>
          <w:sz w:val="24"/>
        </w:rPr>
        <w:t>considered projects </w:t>
      </w:r>
      <w:r>
        <w:rPr>
          <w:sz w:val="24"/>
        </w:rPr>
        <w:t>and any other project for the </w:t>
      </w:r>
      <w:r>
        <w:rPr>
          <w:i/>
          <w:sz w:val="24"/>
        </w:rPr>
        <w:t>connection </w:t>
      </w:r>
      <w:r>
        <w:rPr>
          <w:sz w:val="24"/>
        </w:rPr>
        <w:t>of a </w:t>
      </w:r>
      <w:r>
        <w:rPr>
          <w:i/>
          <w:sz w:val="24"/>
        </w:rPr>
        <w:t>Network User </w:t>
      </w:r>
      <w:r>
        <w:rPr>
          <w:sz w:val="24"/>
        </w:rPr>
        <w:t>for which:</w:t>
      </w:r>
    </w:p>
    <w:p>
      <w:pPr>
        <w:pStyle w:val="ListParagraph"/>
        <w:numPr>
          <w:ilvl w:val="2"/>
          <w:numId w:val="284"/>
        </w:numPr>
        <w:tabs>
          <w:tab w:pos="3053" w:val="left" w:leader="none"/>
        </w:tabs>
        <w:spacing w:line="240" w:lineRule="auto" w:before="120" w:after="0"/>
        <w:ind w:left="3052" w:right="0" w:hanging="567"/>
        <w:jc w:val="both"/>
        <w:rPr>
          <w:sz w:val="24"/>
        </w:rPr>
      </w:pPr>
      <w:r>
        <w:rPr>
          <w:sz w:val="24"/>
        </w:rPr>
        <w:t>there is an existing </w:t>
      </w:r>
      <w:r>
        <w:rPr>
          <w:i/>
          <w:sz w:val="24"/>
        </w:rPr>
        <w:t>connection agreement</w:t>
      </w:r>
      <w:r>
        <w:rPr>
          <w:sz w:val="24"/>
        </w:rPr>
        <w:t>;</w:t>
      </w:r>
      <w:r>
        <w:rPr>
          <w:spacing w:val="-2"/>
          <w:sz w:val="24"/>
        </w:rPr>
        <w:t> </w:t>
      </w:r>
      <w:r>
        <w:rPr>
          <w:sz w:val="24"/>
        </w:rPr>
        <w:t>or</w:t>
      </w:r>
    </w:p>
    <w:p>
      <w:pPr>
        <w:pStyle w:val="ListParagraph"/>
        <w:numPr>
          <w:ilvl w:val="2"/>
          <w:numId w:val="284"/>
        </w:numPr>
        <w:tabs>
          <w:tab w:pos="3054" w:val="left" w:leader="none"/>
        </w:tabs>
        <w:spacing w:line="240" w:lineRule="auto" w:before="120" w:after="0"/>
        <w:ind w:left="3053" w:right="415" w:hanging="567"/>
        <w:jc w:val="both"/>
        <w:rPr>
          <w:sz w:val="24"/>
        </w:rPr>
      </w:pPr>
      <w:r>
        <w:rPr>
          <w:sz w:val="24"/>
        </w:rPr>
        <w:t>the </w:t>
      </w:r>
      <w:r>
        <w:rPr>
          <w:i/>
          <w:sz w:val="24"/>
        </w:rPr>
        <w:t>Network Service Provider </w:t>
      </w:r>
      <w:r>
        <w:rPr>
          <w:sz w:val="24"/>
        </w:rPr>
        <w:t>and </w:t>
      </w:r>
      <w:r>
        <w:rPr>
          <w:i/>
          <w:sz w:val="24"/>
        </w:rPr>
        <w:t>AEMO </w:t>
      </w:r>
      <w:r>
        <w:rPr>
          <w:sz w:val="24"/>
        </w:rPr>
        <w:t>reasonably consider the </w:t>
      </w:r>
      <w:r>
        <w:rPr>
          <w:i/>
          <w:sz w:val="24"/>
        </w:rPr>
        <w:t>Network User </w:t>
      </w:r>
      <w:r>
        <w:rPr>
          <w:sz w:val="24"/>
        </w:rPr>
        <w:t>will </w:t>
      </w:r>
      <w:r>
        <w:rPr>
          <w:i/>
          <w:sz w:val="24"/>
        </w:rPr>
        <w:t>connect </w:t>
      </w:r>
      <w:r>
        <w:rPr>
          <w:sz w:val="24"/>
        </w:rPr>
        <w:t>to the </w:t>
      </w:r>
      <w:r>
        <w:rPr>
          <w:i/>
          <w:sz w:val="24"/>
        </w:rPr>
        <w:t>power</w:t>
      </w:r>
      <w:r>
        <w:rPr>
          <w:i/>
          <w:spacing w:val="-5"/>
          <w:sz w:val="24"/>
        </w:rPr>
        <w:t> </w:t>
      </w:r>
      <w:r>
        <w:rPr>
          <w:i/>
          <w:sz w:val="24"/>
        </w:rPr>
        <w:t>system</w:t>
      </w:r>
      <w:r>
        <w:rPr>
          <w:sz w:val="24"/>
        </w:rPr>
        <w:t>;</w:t>
      </w:r>
    </w:p>
    <w:p>
      <w:pPr>
        <w:pStyle w:val="ListParagraph"/>
        <w:numPr>
          <w:ilvl w:val="1"/>
          <w:numId w:val="284"/>
        </w:numPr>
        <w:tabs>
          <w:tab w:pos="2486" w:val="left" w:leader="none"/>
        </w:tabs>
        <w:spacing w:line="240" w:lineRule="auto" w:before="120" w:after="0"/>
        <w:ind w:left="2486" w:right="415" w:hanging="567"/>
        <w:jc w:val="both"/>
        <w:rPr>
          <w:sz w:val="24"/>
        </w:rPr>
      </w:pPr>
      <w:r>
        <w:rPr>
          <w:sz w:val="24"/>
        </w:rPr>
        <w:t>may negotiate either a range of </w:t>
      </w:r>
      <w:r>
        <w:rPr>
          <w:i/>
          <w:sz w:val="24"/>
        </w:rPr>
        <w:t>reactive power </w:t>
      </w:r>
      <w:r>
        <w:rPr>
          <w:sz w:val="24"/>
        </w:rPr>
        <w:t>absorption and supply, or a range of </w:t>
      </w:r>
      <w:r>
        <w:rPr>
          <w:i/>
          <w:sz w:val="24"/>
        </w:rPr>
        <w:t>power factor</w:t>
      </w:r>
      <w:r>
        <w:rPr>
          <w:sz w:val="24"/>
        </w:rPr>
        <w:t>, at the </w:t>
      </w:r>
      <w:r>
        <w:rPr>
          <w:i/>
          <w:sz w:val="24"/>
        </w:rPr>
        <w:t>connection point</w:t>
      </w:r>
      <w:r>
        <w:rPr>
          <w:sz w:val="24"/>
        </w:rPr>
        <w:t>, within which the </w:t>
      </w:r>
      <w:r>
        <w:rPr>
          <w:i/>
          <w:sz w:val="24"/>
        </w:rPr>
        <w:t>plant </w:t>
      </w:r>
      <w:r>
        <w:rPr>
          <w:sz w:val="24"/>
        </w:rPr>
        <w:t>must be operated;</w:t>
      </w:r>
      <w:r>
        <w:rPr>
          <w:spacing w:val="-2"/>
          <w:sz w:val="24"/>
        </w:rPr>
        <w:t> </w:t>
      </w:r>
      <w:r>
        <w:rPr>
          <w:sz w:val="24"/>
        </w:rPr>
        <w:t>and</w:t>
      </w:r>
    </w:p>
    <w:p>
      <w:pPr>
        <w:pStyle w:val="ListParagraph"/>
        <w:numPr>
          <w:ilvl w:val="1"/>
          <w:numId w:val="284"/>
        </w:numPr>
        <w:tabs>
          <w:tab w:pos="2486" w:val="left" w:leader="none"/>
        </w:tabs>
        <w:spacing w:line="240" w:lineRule="auto" w:before="120" w:after="0"/>
        <w:ind w:left="2486" w:right="415" w:hanging="567"/>
        <w:jc w:val="both"/>
        <w:rPr>
          <w:sz w:val="24"/>
        </w:rPr>
      </w:pPr>
      <w:r>
        <w:rPr>
          <w:sz w:val="24"/>
        </w:rPr>
        <w:t>may negotiate a limit that describes how the </w:t>
      </w:r>
      <w:r>
        <w:rPr>
          <w:i/>
          <w:sz w:val="24"/>
        </w:rPr>
        <w:t>reactive power capability </w:t>
      </w:r>
      <w:r>
        <w:rPr>
          <w:sz w:val="24"/>
        </w:rPr>
        <w:t>varies as a function of </w:t>
      </w:r>
      <w:r>
        <w:rPr>
          <w:i/>
          <w:sz w:val="24"/>
        </w:rPr>
        <w:t>active power </w:t>
      </w:r>
      <w:r>
        <w:rPr>
          <w:sz w:val="24"/>
        </w:rPr>
        <w:t>output due to a design characteristic of the</w:t>
      </w:r>
      <w:r>
        <w:rPr>
          <w:spacing w:val="-1"/>
          <w:sz w:val="24"/>
        </w:rPr>
        <w:t> </w:t>
      </w:r>
      <w:r>
        <w:rPr>
          <w:i/>
          <w:sz w:val="24"/>
        </w:rPr>
        <w:t>plant</w:t>
      </w:r>
      <w:r>
        <w:rPr>
          <w:sz w:val="24"/>
        </w:rPr>
        <w:t>.</w:t>
      </w:r>
    </w:p>
    <w:p>
      <w:pPr>
        <w:pStyle w:val="ListParagraph"/>
        <w:numPr>
          <w:ilvl w:val="0"/>
          <w:numId w:val="284"/>
        </w:numPr>
        <w:tabs>
          <w:tab w:pos="1919" w:val="left" w:leader="none"/>
        </w:tabs>
        <w:spacing w:line="240" w:lineRule="auto" w:before="120" w:after="0"/>
        <w:ind w:left="1919" w:right="415" w:hanging="567"/>
        <w:jc w:val="both"/>
        <w:rPr>
          <w:sz w:val="24"/>
        </w:rPr>
      </w:pPr>
      <w:r>
        <w:rPr>
          <w:sz w:val="24"/>
        </w:rPr>
        <w:t>If the </w:t>
      </w:r>
      <w:r>
        <w:rPr>
          <w:i/>
          <w:sz w:val="24"/>
        </w:rPr>
        <w:t>generating system </w:t>
      </w:r>
      <w:r>
        <w:rPr>
          <w:sz w:val="24"/>
        </w:rPr>
        <w:t>is not capable of the level of performance established under paragraph (c)(1) the </w:t>
      </w:r>
      <w:r>
        <w:rPr>
          <w:i/>
          <w:sz w:val="24"/>
        </w:rPr>
        <w:t>Generator</w:t>
      </w:r>
      <w:r>
        <w:rPr>
          <w:sz w:val="24"/>
        </w:rPr>
        <w:t>, depending on what is reasonable in the circumstances,</w:t>
      </w:r>
      <w:r>
        <w:rPr>
          <w:spacing w:val="-2"/>
          <w:sz w:val="24"/>
        </w:rPr>
        <w:t> </w:t>
      </w:r>
      <w:r>
        <w:rPr>
          <w:sz w:val="24"/>
        </w:rPr>
        <w:t>must:</w:t>
      </w:r>
    </w:p>
    <w:p>
      <w:pPr>
        <w:pStyle w:val="ListParagraph"/>
        <w:numPr>
          <w:ilvl w:val="1"/>
          <w:numId w:val="284"/>
        </w:numPr>
        <w:tabs>
          <w:tab w:pos="2486" w:val="left" w:leader="none"/>
        </w:tabs>
        <w:spacing w:line="240" w:lineRule="auto" w:before="120" w:after="0"/>
        <w:ind w:left="2486" w:right="415" w:hanging="567"/>
        <w:jc w:val="both"/>
        <w:rPr>
          <w:sz w:val="24"/>
        </w:rPr>
      </w:pPr>
      <w:r>
        <w:rPr>
          <w:sz w:val="24"/>
        </w:rPr>
        <w:t>pay compensation to the </w:t>
      </w:r>
      <w:r>
        <w:rPr>
          <w:i/>
          <w:sz w:val="24"/>
        </w:rPr>
        <w:t>Network Service Provider </w:t>
      </w:r>
      <w:r>
        <w:rPr>
          <w:sz w:val="24"/>
        </w:rPr>
        <w:t>for the provision of the deficit of </w:t>
      </w:r>
      <w:r>
        <w:rPr>
          <w:i/>
          <w:sz w:val="24"/>
        </w:rPr>
        <w:t>reactive power </w:t>
      </w:r>
      <w:r>
        <w:rPr>
          <w:sz w:val="24"/>
        </w:rPr>
        <w:t>(supply and absorption) from within the</w:t>
      </w:r>
      <w:r>
        <w:rPr>
          <w:spacing w:val="-1"/>
          <w:sz w:val="24"/>
        </w:rPr>
        <w:t> </w:t>
      </w:r>
      <w:r>
        <w:rPr>
          <w:i/>
          <w:sz w:val="24"/>
        </w:rPr>
        <w:t>network</w:t>
      </w:r>
      <w:r>
        <w:rPr>
          <w:sz w:val="24"/>
        </w:rPr>
        <w:t>;</w:t>
      </w:r>
    </w:p>
    <w:p>
      <w:pPr>
        <w:pStyle w:val="ListParagraph"/>
        <w:numPr>
          <w:ilvl w:val="1"/>
          <w:numId w:val="284"/>
        </w:numPr>
        <w:tabs>
          <w:tab w:pos="2486" w:val="left" w:leader="none"/>
        </w:tabs>
        <w:spacing w:line="240" w:lineRule="auto" w:before="120" w:after="0"/>
        <w:ind w:left="2486" w:right="415" w:hanging="567"/>
        <w:jc w:val="both"/>
        <w:rPr>
          <w:sz w:val="24"/>
        </w:rPr>
      </w:pPr>
      <w:r>
        <w:rPr>
          <w:sz w:val="24"/>
        </w:rPr>
        <w:t>install additional equipment </w:t>
      </w:r>
      <w:r>
        <w:rPr>
          <w:i/>
          <w:sz w:val="24"/>
        </w:rPr>
        <w:t>connecting </w:t>
      </w:r>
      <w:r>
        <w:rPr>
          <w:sz w:val="24"/>
        </w:rPr>
        <w:t>at the </w:t>
      </w:r>
      <w:r>
        <w:rPr>
          <w:i/>
          <w:sz w:val="24"/>
        </w:rPr>
        <w:t>generating system's </w:t>
      </w:r>
      <w:r>
        <w:rPr>
          <w:i/>
          <w:sz w:val="24"/>
        </w:rPr>
        <w:t>connection point </w:t>
      </w:r>
      <w:r>
        <w:rPr>
          <w:sz w:val="24"/>
        </w:rPr>
        <w:t>or another location, to provide the deficit of </w:t>
      </w:r>
      <w:r>
        <w:rPr>
          <w:i/>
          <w:sz w:val="24"/>
        </w:rPr>
        <w:t>reactive </w:t>
      </w:r>
      <w:r>
        <w:rPr>
          <w:i/>
          <w:sz w:val="24"/>
        </w:rPr>
        <w:t>power </w:t>
      </w:r>
      <w:r>
        <w:rPr>
          <w:sz w:val="24"/>
        </w:rPr>
        <w:t>(supply and absorption), and such equipment is deemed to be part of the </w:t>
      </w:r>
      <w:r>
        <w:rPr>
          <w:i/>
          <w:sz w:val="24"/>
        </w:rPr>
        <w:t>generating</w:t>
      </w:r>
      <w:r>
        <w:rPr>
          <w:i/>
          <w:spacing w:val="-1"/>
          <w:sz w:val="24"/>
        </w:rPr>
        <w:t> </w:t>
      </w:r>
      <w:r>
        <w:rPr>
          <w:i/>
          <w:sz w:val="24"/>
        </w:rPr>
        <w:t>system</w:t>
      </w:r>
      <w:r>
        <w:rPr>
          <w:sz w:val="24"/>
        </w:rPr>
        <w:t>;</w:t>
      </w:r>
    </w:p>
    <w:p>
      <w:pPr>
        <w:pStyle w:val="ListParagraph"/>
        <w:numPr>
          <w:ilvl w:val="1"/>
          <w:numId w:val="284"/>
        </w:numPr>
        <w:tabs>
          <w:tab w:pos="2486" w:val="left" w:leader="none"/>
        </w:tabs>
        <w:spacing w:line="240" w:lineRule="auto" w:before="120" w:after="0"/>
        <w:ind w:left="2486" w:right="414" w:hanging="567"/>
        <w:jc w:val="both"/>
        <w:rPr>
          <w:sz w:val="24"/>
        </w:rPr>
      </w:pPr>
      <w:r>
        <w:rPr>
          <w:sz w:val="24"/>
        </w:rPr>
        <w:t>reach a commercial arrangement with a </w:t>
      </w:r>
      <w:r>
        <w:rPr>
          <w:i/>
          <w:sz w:val="24"/>
        </w:rPr>
        <w:t>Registered Participant </w:t>
      </w:r>
      <w:r>
        <w:rPr>
          <w:sz w:val="24"/>
        </w:rPr>
        <w:t>to provide the deficit of </w:t>
      </w:r>
      <w:r>
        <w:rPr>
          <w:i/>
          <w:sz w:val="24"/>
        </w:rPr>
        <w:t>reactive power </w:t>
      </w:r>
      <w:r>
        <w:rPr>
          <w:sz w:val="24"/>
        </w:rPr>
        <w:t>(supply and absorption);</w:t>
      </w:r>
      <w:r>
        <w:rPr>
          <w:spacing w:val="-4"/>
          <w:sz w:val="24"/>
        </w:rPr>
        <w:t> </w:t>
      </w:r>
      <w:r>
        <w:rPr>
          <w:sz w:val="24"/>
        </w:rPr>
        <w:t>or</w:t>
      </w:r>
    </w:p>
    <w:p>
      <w:pPr>
        <w:pStyle w:val="ListParagraph"/>
        <w:numPr>
          <w:ilvl w:val="1"/>
          <w:numId w:val="284"/>
        </w:numPr>
        <w:tabs>
          <w:tab w:pos="2486" w:val="left" w:leader="none"/>
        </w:tabs>
        <w:spacing w:line="240" w:lineRule="auto" w:before="120" w:after="0"/>
        <w:ind w:left="2486" w:right="415" w:hanging="567"/>
        <w:jc w:val="both"/>
        <w:rPr>
          <w:sz w:val="24"/>
        </w:rPr>
      </w:pPr>
      <w:r>
        <w:rPr>
          <w:sz w:val="24"/>
        </w:rPr>
        <w:t>if the inability to meet the performance level only occurs for particular operating conditions, agree to and document as part of the proposed </w:t>
      </w:r>
      <w:r>
        <w:rPr>
          <w:i/>
          <w:sz w:val="24"/>
        </w:rPr>
        <w:t>negotiated access standard</w:t>
      </w:r>
      <w:r>
        <w:rPr>
          <w:sz w:val="24"/>
        </w:rPr>
        <w:t>, operational arrangements by which the </w:t>
      </w:r>
      <w:r>
        <w:rPr>
          <w:i/>
          <w:sz w:val="24"/>
        </w:rPr>
        <w:t>plant </w:t>
      </w:r>
      <w:r>
        <w:rPr>
          <w:sz w:val="24"/>
        </w:rPr>
        <w:t>can achieve an agreed level of performance for those operating conditions.</w:t>
      </w:r>
    </w:p>
    <w:p>
      <w:pPr>
        <w:pStyle w:val="ListParagraph"/>
        <w:numPr>
          <w:ilvl w:val="0"/>
          <w:numId w:val="284"/>
        </w:numPr>
        <w:tabs>
          <w:tab w:pos="1919" w:val="left" w:leader="none"/>
        </w:tabs>
        <w:spacing w:line="240" w:lineRule="auto" w:before="120" w:after="0"/>
        <w:ind w:left="1918" w:right="0" w:hanging="567"/>
        <w:jc w:val="both"/>
        <w:rPr>
          <w:sz w:val="24"/>
        </w:rPr>
      </w:pPr>
      <w:r>
        <w:rPr>
          <w:sz w:val="24"/>
        </w:rPr>
        <w:t>The </w:t>
      </w:r>
      <w:r>
        <w:rPr>
          <w:i/>
          <w:sz w:val="24"/>
        </w:rPr>
        <w:t>Generator </w:t>
      </w:r>
      <w:r>
        <w:rPr>
          <w:sz w:val="24"/>
        </w:rPr>
        <w:t>may select one or more options referred to in paragraph</w:t>
      </w:r>
      <w:r>
        <w:rPr>
          <w:spacing w:val="-10"/>
          <w:sz w:val="24"/>
        </w:rPr>
        <w:t> </w:t>
      </w:r>
      <w:r>
        <w:rPr>
          <w:sz w:val="24"/>
        </w:rPr>
        <w:t>(d).</w:t>
      </w:r>
    </w:p>
    <w:p>
      <w:pPr>
        <w:spacing w:before="220"/>
        <w:ind w:left="514" w:right="5232" w:firstLine="0"/>
        <w:jc w:val="center"/>
        <w:rPr>
          <w:rFonts w:ascii="Arial"/>
          <w:b/>
          <w:sz w:val="22"/>
        </w:rPr>
      </w:pPr>
      <w:r>
        <w:rPr>
          <w:rFonts w:ascii="Arial"/>
          <w:b/>
          <w:sz w:val="22"/>
        </w:rPr>
        <w:t>General requirements</w:t>
      </w:r>
    </w:p>
    <w:p>
      <w:pPr>
        <w:pStyle w:val="ListParagraph"/>
        <w:numPr>
          <w:ilvl w:val="0"/>
          <w:numId w:val="284"/>
        </w:numPr>
        <w:tabs>
          <w:tab w:pos="1920" w:val="left" w:leader="none"/>
        </w:tabs>
        <w:spacing w:line="240" w:lineRule="auto" w:before="120" w:after="0"/>
        <w:ind w:left="1919" w:right="415" w:hanging="567"/>
        <w:jc w:val="both"/>
        <w:rPr>
          <w:sz w:val="24"/>
        </w:rPr>
      </w:pPr>
      <w:r>
        <w:rPr>
          <w:sz w:val="24"/>
        </w:rPr>
        <w:t>A </w:t>
      </w:r>
      <w:r>
        <w:rPr>
          <w:i/>
          <w:sz w:val="24"/>
        </w:rPr>
        <w:t>performance standard </w:t>
      </w:r>
      <w:r>
        <w:rPr>
          <w:sz w:val="24"/>
        </w:rPr>
        <w:t>must record the agreed value for </w:t>
      </w:r>
      <w:r>
        <w:rPr>
          <w:i/>
          <w:sz w:val="24"/>
        </w:rPr>
        <w:t>rated active </w:t>
      </w:r>
      <w:r>
        <w:rPr>
          <w:i/>
          <w:sz w:val="24"/>
        </w:rPr>
        <w:t>power </w:t>
      </w:r>
      <w:r>
        <w:rPr>
          <w:sz w:val="24"/>
        </w:rPr>
        <w:t>and where relevant the method of determining the</w:t>
      </w:r>
      <w:r>
        <w:rPr>
          <w:spacing w:val="-4"/>
          <w:sz w:val="24"/>
        </w:rPr>
        <w:t> </w:t>
      </w:r>
      <w:r>
        <w:rPr>
          <w:sz w:val="24"/>
        </w:rPr>
        <w:t>value.</w:t>
      </w:r>
    </w:p>
    <w:p>
      <w:pPr>
        <w:pStyle w:val="ListParagraph"/>
        <w:numPr>
          <w:ilvl w:val="0"/>
          <w:numId w:val="284"/>
        </w:numPr>
        <w:tabs>
          <w:tab w:pos="1919" w:val="left" w:leader="none"/>
        </w:tabs>
        <w:spacing w:line="240" w:lineRule="auto" w:before="120" w:after="0"/>
        <w:ind w:left="1919" w:right="415" w:hanging="567"/>
        <w:jc w:val="both"/>
        <w:rPr>
          <w:sz w:val="24"/>
        </w:rPr>
      </w:pPr>
      <w:r>
        <w:rPr>
          <w:sz w:val="24"/>
        </w:rPr>
        <w:t>A </w:t>
      </w:r>
      <w:r>
        <w:rPr>
          <w:i/>
          <w:sz w:val="24"/>
        </w:rPr>
        <w:t>performance standard </w:t>
      </w:r>
      <w:r>
        <w:rPr>
          <w:sz w:val="24"/>
        </w:rPr>
        <w:t>for consumption of </w:t>
      </w:r>
      <w:r>
        <w:rPr>
          <w:i/>
          <w:sz w:val="24"/>
        </w:rPr>
        <w:t>energy </w:t>
      </w:r>
      <w:r>
        <w:rPr>
          <w:sz w:val="24"/>
        </w:rPr>
        <w:t>by a </w:t>
      </w:r>
      <w:r>
        <w:rPr>
          <w:i/>
          <w:sz w:val="24"/>
        </w:rPr>
        <w:t>generating system </w:t>
      </w:r>
      <w:r>
        <w:rPr>
          <w:sz w:val="24"/>
        </w:rPr>
        <w:t>when not supplying or absorbing </w:t>
      </w:r>
      <w:r>
        <w:rPr>
          <w:i/>
          <w:sz w:val="24"/>
        </w:rPr>
        <w:t>reactive power </w:t>
      </w:r>
      <w:r>
        <w:rPr>
          <w:sz w:val="24"/>
        </w:rPr>
        <w:t>under an </w:t>
      </w:r>
      <w:r>
        <w:rPr>
          <w:i/>
          <w:sz w:val="24"/>
        </w:rPr>
        <w:t>ancillary services </w:t>
      </w:r>
      <w:r>
        <w:rPr>
          <w:i/>
          <w:sz w:val="24"/>
        </w:rPr>
        <w:t>agreement </w:t>
      </w:r>
      <w:r>
        <w:rPr>
          <w:sz w:val="24"/>
        </w:rPr>
        <w:t>is to be established under clause S5.3.5 as if the </w:t>
      </w:r>
      <w:r>
        <w:rPr>
          <w:i/>
          <w:sz w:val="24"/>
        </w:rPr>
        <w:t>Generator </w:t>
      </w:r>
      <w:r>
        <w:rPr>
          <w:sz w:val="24"/>
        </w:rPr>
        <w:t>were a </w:t>
      </w:r>
      <w:r>
        <w:rPr>
          <w:i/>
          <w:sz w:val="24"/>
        </w:rPr>
        <w:t>Market</w:t>
      </w:r>
      <w:r>
        <w:rPr>
          <w:i/>
          <w:spacing w:val="-1"/>
          <w:sz w:val="24"/>
        </w:rPr>
        <w:t> </w:t>
      </w:r>
      <w:r>
        <w:rPr>
          <w:i/>
          <w:sz w:val="24"/>
        </w:rPr>
        <w:t>Customer</w:t>
      </w:r>
      <w:r>
        <w:rPr>
          <w:sz w:val="24"/>
        </w:rPr>
        <w:t>.</w:t>
      </w:r>
    </w:p>
    <w:p>
      <w:pPr>
        <w:pStyle w:val="BodyText"/>
        <w:spacing w:before="10"/>
        <w:ind w:firstLine="0"/>
        <w:jc w:val="left"/>
        <w:rPr>
          <w:sz w:val="20"/>
        </w:rPr>
      </w:pPr>
    </w:p>
    <w:p>
      <w:pPr>
        <w:pStyle w:val="Heading4"/>
        <w:tabs>
          <w:tab w:pos="1133" w:val="left" w:leader="none"/>
        </w:tabs>
        <w:ind w:left="0" w:right="4626" w:firstLine="0"/>
        <w:jc w:val="center"/>
      </w:pPr>
      <w:bookmarkStart w:name="S5.2.5.2 Quality of electricity generate" w:id="972"/>
      <w:bookmarkEnd w:id="972"/>
      <w:r>
        <w:rPr>
          <w:b w:val="0"/>
        </w:rPr>
      </w:r>
      <w:bookmarkStart w:name="_bookmark378" w:id="973"/>
      <w:bookmarkEnd w:id="973"/>
      <w:r>
        <w:rPr>
          <w:b w:val="0"/>
        </w:rPr>
      </w:r>
      <w:r>
        <w:rPr/>
        <w:t>S5.2.5.2</w:t>
        <w:tab/>
        <w:t>Quality of electricity</w:t>
      </w:r>
      <w:r>
        <w:rPr>
          <w:spacing w:val="-7"/>
        </w:rPr>
        <w:t> </w:t>
      </w:r>
      <w:r>
        <w:rPr/>
        <w:t>generated</w:t>
      </w:r>
    </w:p>
    <w:p>
      <w:pPr>
        <w:pStyle w:val="ListParagraph"/>
        <w:numPr>
          <w:ilvl w:val="0"/>
          <w:numId w:val="285"/>
        </w:numPr>
        <w:tabs>
          <w:tab w:pos="1919" w:val="left" w:leader="none"/>
        </w:tabs>
        <w:spacing w:line="240" w:lineRule="auto" w:before="120" w:after="0"/>
        <w:ind w:left="1919" w:right="416" w:hanging="567"/>
        <w:jc w:val="both"/>
        <w:rPr>
          <w:sz w:val="24"/>
        </w:rPr>
      </w:pPr>
      <w:r>
        <w:rPr>
          <w:sz w:val="24"/>
        </w:rPr>
        <w:t>For the purpose of this clause S5.2.5.2 in respect of a </w:t>
      </w:r>
      <w:r>
        <w:rPr>
          <w:i/>
          <w:sz w:val="24"/>
        </w:rPr>
        <w:t>synchronous </w:t>
      </w:r>
      <w:r>
        <w:rPr>
          <w:i/>
          <w:sz w:val="24"/>
        </w:rPr>
        <w:t>generating unit</w:t>
      </w:r>
      <w:r>
        <w:rPr>
          <w:sz w:val="24"/>
        </w:rPr>
        <w:t>, AS 1359.101 and IEC 60034-1 are </w:t>
      </w:r>
      <w:r>
        <w:rPr>
          <w:i/>
          <w:sz w:val="24"/>
        </w:rPr>
        <w:t>plant standards </w:t>
      </w:r>
      <w:r>
        <w:rPr>
          <w:sz w:val="24"/>
        </w:rPr>
        <w:t>for harmonic </w:t>
      </w:r>
      <w:r>
        <w:rPr>
          <w:i/>
          <w:sz w:val="24"/>
        </w:rPr>
        <w:t>voltage</w:t>
      </w:r>
      <w:r>
        <w:rPr>
          <w:i/>
          <w:spacing w:val="-2"/>
          <w:sz w:val="24"/>
        </w:rPr>
        <w:t> </w:t>
      </w:r>
      <w:r>
        <w:rPr>
          <w:sz w:val="24"/>
        </w:rPr>
        <w:t>distortion.</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Automatic access standard</w:t>
      </w:r>
    </w:p>
    <w:p>
      <w:pPr>
        <w:pStyle w:val="ListParagraph"/>
        <w:numPr>
          <w:ilvl w:val="0"/>
          <w:numId w:val="285"/>
        </w:numPr>
        <w:tabs>
          <w:tab w:pos="1919" w:val="left" w:leader="none"/>
        </w:tabs>
        <w:spacing w:line="240" w:lineRule="auto" w:before="120" w:after="0"/>
        <w:ind w:left="1919" w:right="415" w:hanging="567"/>
        <w:jc w:val="both"/>
        <w:rPr>
          <w:sz w:val="24"/>
        </w:rPr>
      </w:pPr>
      <w:r>
        <w:rPr>
          <w:sz w:val="24"/>
        </w:rPr>
        <w:t>The </w:t>
      </w:r>
      <w:r>
        <w:rPr>
          <w:i/>
          <w:sz w:val="24"/>
        </w:rPr>
        <w:t>automatic access standard </w:t>
      </w:r>
      <w:r>
        <w:rPr>
          <w:sz w:val="24"/>
        </w:rPr>
        <w:t>is a </w:t>
      </w:r>
      <w:r>
        <w:rPr>
          <w:i/>
          <w:sz w:val="24"/>
        </w:rPr>
        <w:t>generating system </w:t>
      </w:r>
      <w:r>
        <w:rPr>
          <w:sz w:val="24"/>
        </w:rPr>
        <w:t>when generating and when not generating must not produce at any of its </w:t>
      </w:r>
      <w:r>
        <w:rPr>
          <w:i/>
          <w:sz w:val="24"/>
        </w:rPr>
        <w:t>connection points </w:t>
      </w:r>
      <w:r>
        <w:rPr>
          <w:sz w:val="24"/>
        </w:rPr>
        <w:t>for </w:t>
      </w:r>
      <w:r>
        <w:rPr>
          <w:i/>
          <w:sz w:val="24"/>
        </w:rPr>
        <w:t>generation</w:t>
      </w:r>
      <w:r>
        <w:rPr>
          <w:sz w:val="24"/>
        </w:rPr>
        <w:t>:</w:t>
      </w:r>
    </w:p>
    <w:p>
      <w:pPr>
        <w:pStyle w:val="ListParagraph"/>
        <w:numPr>
          <w:ilvl w:val="1"/>
          <w:numId w:val="285"/>
        </w:numPr>
        <w:tabs>
          <w:tab w:pos="2486" w:val="left" w:leader="none"/>
        </w:tabs>
        <w:spacing w:line="240" w:lineRule="auto" w:before="120" w:after="0"/>
        <w:ind w:left="2486" w:right="415" w:hanging="567"/>
        <w:jc w:val="both"/>
        <w:rPr>
          <w:sz w:val="24"/>
        </w:rPr>
      </w:pPr>
      <w:r>
        <w:rPr>
          <w:i/>
          <w:sz w:val="24"/>
        </w:rPr>
        <w:t>voltage </w:t>
      </w:r>
      <w:r>
        <w:rPr>
          <w:sz w:val="24"/>
        </w:rPr>
        <w:t>fluctuation greater than the limits allocated by the </w:t>
      </w:r>
      <w:r>
        <w:rPr>
          <w:i/>
          <w:sz w:val="24"/>
        </w:rPr>
        <w:t>Network </w:t>
      </w:r>
      <w:r>
        <w:rPr>
          <w:i/>
          <w:sz w:val="24"/>
        </w:rPr>
        <w:t>Service Provider </w:t>
      </w:r>
      <w:r>
        <w:rPr>
          <w:sz w:val="24"/>
        </w:rPr>
        <w:t>under clause</w:t>
      </w:r>
      <w:r>
        <w:rPr>
          <w:spacing w:val="-3"/>
          <w:sz w:val="24"/>
        </w:rPr>
        <w:t> </w:t>
      </w:r>
      <w:r>
        <w:rPr>
          <w:sz w:val="24"/>
        </w:rPr>
        <w:t>S5.1.5(a);</w:t>
      </w:r>
    </w:p>
    <w:p>
      <w:pPr>
        <w:pStyle w:val="ListParagraph"/>
        <w:numPr>
          <w:ilvl w:val="1"/>
          <w:numId w:val="285"/>
        </w:numPr>
        <w:tabs>
          <w:tab w:pos="2486" w:val="left" w:leader="none"/>
        </w:tabs>
        <w:spacing w:line="240" w:lineRule="auto" w:before="120" w:after="0"/>
        <w:ind w:left="2486" w:right="415" w:hanging="567"/>
        <w:jc w:val="both"/>
        <w:rPr>
          <w:sz w:val="24"/>
        </w:rPr>
      </w:pPr>
      <w:r>
        <w:rPr>
          <w:sz w:val="24"/>
        </w:rPr>
        <w:t>harmonic </w:t>
      </w:r>
      <w:r>
        <w:rPr>
          <w:i/>
          <w:sz w:val="24"/>
        </w:rPr>
        <w:t>voltage </w:t>
      </w:r>
      <w:r>
        <w:rPr>
          <w:sz w:val="24"/>
        </w:rPr>
        <w:t>distortion greater than the emission limits specified by a </w:t>
      </w:r>
      <w:r>
        <w:rPr>
          <w:i/>
          <w:sz w:val="24"/>
        </w:rPr>
        <w:t>plant standard </w:t>
      </w:r>
      <w:r>
        <w:rPr>
          <w:sz w:val="24"/>
        </w:rPr>
        <w:t>under paragraph (a) or allocated by the </w:t>
      </w:r>
      <w:r>
        <w:rPr>
          <w:i/>
          <w:sz w:val="24"/>
        </w:rPr>
        <w:t>Network </w:t>
      </w:r>
      <w:r>
        <w:rPr>
          <w:i/>
          <w:sz w:val="24"/>
        </w:rPr>
        <w:t>Service Provider </w:t>
      </w:r>
      <w:r>
        <w:rPr>
          <w:sz w:val="24"/>
        </w:rPr>
        <w:t>under clause S5.1.6(a);</w:t>
      </w:r>
      <w:r>
        <w:rPr>
          <w:spacing w:val="-3"/>
          <w:sz w:val="24"/>
        </w:rPr>
        <w:t> </w:t>
      </w:r>
      <w:r>
        <w:rPr>
          <w:sz w:val="24"/>
        </w:rPr>
        <w:t>and</w:t>
      </w:r>
    </w:p>
    <w:p>
      <w:pPr>
        <w:pStyle w:val="ListParagraph"/>
        <w:numPr>
          <w:ilvl w:val="1"/>
          <w:numId w:val="285"/>
        </w:numPr>
        <w:tabs>
          <w:tab w:pos="2486" w:val="left" w:leader="none"/>
        </w:tabs>
        <w:spacing w:line="240" w:lineRule="auto" w:before="120" w:after="0"/>
        <w:ind w:left="2486" w:right="415" w:hanging="567"/>
        <w:jc w:val="both"/>
        <w:rPr>
          <w:sz w:val="24"/>
        </w:rPr>
      </w:pPr>
      <w:r>
        <w:rPr>
          <w:i/>
          <w:sz w:val="24"/>
        </w:rPr>
        <w:t>voltage </w:t>
      </w:r>
      <w:r>
        <w:rPr>
          <w:sz w:val="24"/>
        </w:rPr>
        <w:t>unbalance greater than the limits allocated by the </w:t>
      </w:r>
      <w:r>
        <w:rPr>
          <w:i/>
          <w:sz w:val="24"/>
        </w:rPr>
        <w:t>Network </w:t>
      </w:r>
      <w:r>
        <w:rPr>
          <w:i/>
          <w:sz w:val="24"/>
        </w:rPr>
        <w:t>Service Provider </w:t>
      </w:r>
      <w:r>
        <w:rPr>
          <w:sz w:val="24"/>
        </w:rPr>
        <w:t>in accordance with clause</w:t>
      </w:r>
      <w:r>
        <w:rPr>
          <w:spacing w:val="-6"/>
          <w:sz w:val="24"/>
        </w:rPr>
        <w:t> </w:t>
      </w:r>
      <w:r>
        <w:rPr>
          <w:sz w:val="24"/>
        </w:rPr>
        <w:t>S5.1.7(c).</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85"/>
        </w:numPr>
        <w:tabs>
          <w:tab w:pos="1919" w:val="left" w:leader="none"/>
        </w:tabs>
        <w:spacing w:line="240" w:lineRule="auto" w:before="120" w:after="0"/>
        <w:ind w:left="1919" w:right="415" w:hanging="567"/>
        <w:jc w:val="both"/>
        <w:rPr>
          <w:sz w:val="24"/>
        </w:rPr>
      </w:pPr>
      <w:r>
        <w:rPr>
          <w:sz w:val="24"/>
        </w:rPr>
        <w:t>The </w:t>
      </w:r>
      <w:r>
        <w:rPr>
          <w:i/>
          <w:sz w:val="24"/>
        </w:rPr>
        <w:t>minimum access standard </w:t>
      </w:r>
      <w:r>
        <w:rPr>
          <w:sz w:val="24"/>
        </w:rPr>
        <w:t>is a </w:t>
      </w:r>
      <w:r>
        <w:rPr>
          <w:i/>
          <w:sz w:val="24"/>
        </w:rPr>
        <w:t>generating system </w:t>
      </w:r>
      <w:r>
        <w:rPr>
          <w:sz w:val="24"/>
        </w:rPr>
        <w:t>when generating and when not generating must not produce at any of its </w:t>
      </w:r>
      <w:r>
        <w:rPr>
          <w:i/>
          <w:sz w:val="24"/>
        </w:rPr>
        <w:t>connection points </w:t>
      </w:r>
      <w:r>
        <w:rPr>
          <w:sz w:val="24"/>
        </w:rPr>
        <w:t>for </w:t>
      </w:r>
      <w:r>
        <w:rPr>
          <w:i/>
          <w:sz w:val="24"/>
        </w:rPr>
        <w:t>generation</w:t>
      </w:r>
      <w:r>
        <w:rPr>
          <w:sz w:val="24"/>
        </w:rPr>
        <w:t>:</w:t>
      </w:r>
    </w:p>
    <w:p>
      <w:pPr>
        <w:pStyle w:val="ListParagraph"/>
        <w:numPr>
          <w:ilvl w:val="1"/>
          <w:numId w:val="285"/>
        </w:numPr>
        <w:tabs>
          <w:tab w:pos="2486" w:val="left" w:leader="none"/>
        </w:tabs>
        <w:spacing w:line="240" w:lineRule="auto" w:before="120" w:after="0"/>
        <w:ind w:left="2486" w:right="415" w:hanging="567"/>
        <w:jc w:val="both"/>
        <w:rPr>
          <w:sz w:val="24"/>
        </w:rPr>
      </w:pPr>
      <w:r>
        <w:rPr>
          <w:i/>
          <w:sz w:val="24"/>
        </w:rPr>
        <w:t>voltage </w:t>
      </w:r>
      <w:r>
        <w:rPr>
          <w:sz w:val="24"/>
        </w:rPr>
        <w:t>fluctuations greater than limits determined under clause S5.1.5(b);</w:t>
      </w:r>
    </w:p>
    <w:p>
      <w:pPr>
        <w:pStyle w:val="ListParagraph"/>
        <w:numPr>
          <w:ilvl w:val="1"/>
          <w:numId w:val="285"/>
        </w:numPr>
        <w:tabs>
          <w:tab w:pos="2486" w:val="left" w:leader="none"/>
        </w:tabs>
        <w:spacing w:line="240" w:lineRule="auto" w:before="120" w:after="0"/>
        <w:ind w:left="2486" w:right="414" w:hanging="567"/>
        <w:jc w:val="both"/>
        <w:rPr>
          <w:sz w:val="24"/>
        </w:rPr>
      </w:pPr>
      <w:r>
        <w:rPr>
          <w:sz w:val="24"/>
        </w:rPr>
        <w:t>harmonic </w:t>
      </w:r>
      <w:r>
        <w:rPr>
          <w:i/>
          <w:sz w:val="24"/>
        </w:rPr>
        <w:t>voltage </w:t>
      </w:r>
      <w:r>
        <w:rPr>
          <w:sz w:val="24"/>
        </w:rPr>
        <w:t>distortion more than the lesser of the emission limits determined  by  the  relevant  </w:t>
      </w:r>
      <w:r>
        <w:rPr>
          <w:i/>
          <w:sz w:val="24"/>
        </w:rPr>
        <w:t>Network  Service  Provider  </w:t>
      </w:r>
      <w:r>
        <w:rPr>
          <w:spacing w:val="-4"/>
          <w:sz w:val="24"/>
        </w:rPr>
        <w:t>under</w:t>
      </w:r>
      <w:r>
        <w:rPr>
          <w:spacing w:val="52"/>
          <w:sz w:val="24"/>
        </w:rPr>
        <w:t> </w:t>
      </w:r>
      <w:r>
        <w:rPr>
          <w:sz w:val="24"/>
        </w:rPr>
        <w:t>clause S5.1.6(b) and specified by a </w:t>
      </w:r>
      <w:r>
        <w:rPr>
          <w:i/>
          <w:sz w:val="24"/>
        </w:rPr>
        <w:t>plant standard </w:t>
      </w:r>
      <w:r>
        <w:rPr>
          <w:sz w:val="24"/>
        </w:rPr>
        <w:t>under paragraph (a); and</w:t>
      </w:r>
    </w:p>
    <w:p>
      <w:pPr>
        <w:pStyle w:val="ListParagraph"/>
        <w:numPr>
          <w:ilvl w:val="1"/>
          <w:numId w:val="285"/>
        </w:numPr>
        <w:tabs>
          <w:tab w:pos="2486" w:val="left" w:leader="none"/>
        </w:tabs>
        <w:spacing w:line="240" w:lineRule="auto" w:before="120" w:after="0"/>
        <w:ind w:left="2485" w:right="0" w:hanging="567"/>
        <w:jc w:val="both"/>
        <w:rPr>
          <w:sz w:val="24"/>
        </w:rPr>
      </w:pPr>
      <w:r>
        <w:rPr>
          <w:i/>
          <w:sz w:val="24"/>
        </w:rPr>
        <w:t>voltage </w:t>
      </w:r>
      <w:r>
        <w:rPr>
          <w:sz w:val="24"/>
        </w:rPr>
        <w:t>unbalance more than limits determined under clause</w:t>
      </w:r>
      <w:r>
        <w:rPr>
          <w:spacing w:val="-8"/>
          <w:sz w:val="24"/>
        </w:rPr>
        <w:t> </w:t>
      </w:r>
      <w:r>
        <w:rPr>
          <w:sz w:val="24"/>
        </w:rPr>
        <w:t>S5.1.7(c).</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85"/>
        </w:numPr>
        <w:tabs>
          <w:tab w:pos="1919" w:val="left" w:leader="none"/>
        </w:tabs>
        <w:spacing w:line="240" w:lineRule="auto" w:before="120" w:after="0"/>
        <w:ind w:left="1919" w:right="416" w:hanging="567"/>
        <w:jc w:val="both"/>
        <w:rPr>
          <w:sz w:val="24"/>
        </w:rPr>
      </w:pPr>
      <w:r>
        <w:rPr>
          <w:sz w:val="24"/>
        </w:rPr>
        <w:t>A </w:t>
      </w:r>
      <w:r>
        <w:rPr>
          <w:i/>
          <w:sz w:val="24"/>
        </w:rPr>
        <w:t>negotiated access standard </w:t>
      </w:r>
      <w:r>
        <w:rPr>
          <w:sz w:val="24"/>
        </w:rPr>
        <w:t>negotiated under this clause S5.2.5.2 must not prevent the </w:t>
      </w:r>
      <w:r>
        <w:rPr>
          <w:i/>
          <w:sz w:val="24"/>
        </w:rPr>
        <w:t>Network Service Provider </w:t>
      </w:r>
      <w:r>
        <w:rPr>
          <w:sz w:val="24"/>
        </w:rPr>
        <w:t>meeting the </w:t>
      </w:r>
      <w:r>
        <w:rPr>
          <w:i/>
          <w:sz w:val="24"/>
        </w:rPr>
        <w:t>system standards </w:t>
      </w:r>
      <w:r>
        <w:rPr>
          <w:sz w:val="24"/>
        </w:rPr>
        <w:t>or contractual obligations to existing </w:t>
      </w:r>
      <w:r>
        <w:rPr>
          <w:i/>
          <w:sz w:val="24"/>
        </w:rPr>
        <w:t>Network</w:t>
      </w:r>
      <w:r>
        <w:rPr>
          <w:i/>
          <w:spacing w:val="-1"/>
          <w:sz w:val="24"/>
        </w:rPr>
        <w:t> </w:t>
      </w:r>
      <w:r>
        <w:rPr>
          <w:i/>
          <w:sz w:val="24"/>
        </w:rPr>
        <w:t>Users</w:t>
      </w:r>
      <w:r>
        <w:rPr>
          <w:sz w:val="24"/>
        </w:rPr>
        <w:t>.</w:t>
      </w:r>
    </w:p>
    <w:p>
      <w:pPr>
        <w:pStyle w:val="BodyText"/>
        <w:spacing w:before="10"/>
        <w:ind w:firstLine="0"/>
        <w:jc w:val="left"/>
        <w:rPr>
          <w:sz w:val="20"/>
        </w:rPr>
      </w:pPr>
    </w:p>
    <w:p>
      <w:pPr>
        <w:pStyle w:val="Heading4"/>
        <w:tabs>
          <w:tab w:pos="1351" w:val="left" w:leader="none"/>
        </w:tabs>
        <w:ind w:left="218" w:firstLine="0"/>
      </w:pPr>
      <w:bookmarkStart w:name="S5.2.5.3 Generating system response to f" w:id="974"/>
      <w:bookmarkEnd w:id="974"/>
      <w:r>
        <w:rPr>
          <w:b w:val="0"/>
        </w:rPr>
      </w:r>
      <w:bookmarkStart w:name="_bookmark379" w:id="975"/>
      <w:bookmarkEnd w:id="975"/>
      <w:r>
        <w:rPr>
          <w:b w:val="0"/>
        </w:rPr>
      </w:r>
      <w:r>
        <w:rPr/>
        <w:t>S5.2.5.3</w:t>
        <w:tab/>
        <w:t>Generating system response to frequency</w:t>
      </w:r>
      <w:r>
        <w:rPr>
          <w:spacing w:val="-10"/>
        </w:rPr>
        <w:t> </w:t>
      </w:r>
      <w:r>
        <w:rPr/>
        <w:t>disturbances</w:t>
      </w:r>
    </w:p>
    <w:p>
      <w:pPr>
        <w:pStyle w:val="ListParagraph"/>
        <w:numPr>
          <w:ilvl w:val="0"/>
          <w:numId w:val="286"/>
        </w:numPr>
        <w:tabs>
          <w:tab w:pos="1919" w:val="left" w:leader="none"/>
        </w:tabs>
        <w:spacing w:line="240" w:lineRule="auto" w:before="120" w:after="0"/>
        <w:ind w:left="1918" w:right="0" w:hanging="567"/>
        <w:jc w:val="both"/>
        <w:rPr>
          <w:sz w:val="24"/>
        </w:rPr>
      </w:pPr>
      <w:r>
        <w:rPr>
          <w:sz w:val="24"/>
        </w:rPr>
        <w:t>For the purposes of this clause</w:t>
      </w:r>
      <w:r>
        <w:rPr>
          <w:spacing w:val="-12"/>
          <w:sz w:val="24"/>
        </w:rPr>
        <w:t> </w:t>
      </w:r>
      <w:r>
        <w:rPr>
          <w:sz w:val="24"/>
        </w:rPr>
        <w:t>S5.2.5.3:</w:t>
      </w:r>
    </w:p>
    <w:p>
      <w:pPr>
        <w:spacing w:before="120"/>
        <w:ind w:left="1919" w:right="415" w:firstLine="0"/>
        <w:jc w:val="both"/>
        <w:rPr>
          <w:sz w:val="24"/>
        </w:rPr>
      </w:pPr>
      <w:r>
        <w:rPr>
          <w:b/>
          <w:sz w:val="24"/>
        </w:rPr>
        <w:t>normal operating frequency band</w:t>
      </w:r>
      <w:r>
        <w:rPr>
          <w:sz w:val="24"/>
        </w:rPr>
        <w:t>, </w:t>
      </w:r>
      <w:r>
        <w:rPr>
          <w:b/>
          <w:sz w:val="24"/>
        </w:rPr>
        <w:t>operational frequency tolerance band</w:t>
      </w:r>
      <w:r>
        <w:rPr>
          <w:sz w:val="24"/>
        </w:rPr>
        <w:t>, or </w:t>
      </w:r>
      <w:r>
        <w:rPr>
          <w:b/>
          <w:sz w:val="24"/>
        </w:rPr>
        <w:t>extreme frequency excursion tolerance limits </w:t>
      </w:r>
      <w:r>
        <w:rPr>
          <w:sz w:val="24"/>
        </w:rPr>
        <w:t>are references to the widest range specified for those terms for any condition (including an "island" condition) in the </w:t>
      </w:r>
      <w:r>
        <w:rPr>
          <w:i/>
          <w:sz w:val="24"/>
        </w:rPr>
        <w:t>frequency operating standards </w:t>
      </w:r>
      <w:r>
        <w:rPr>
          <w:sz w:val="24"/>
        </w:rPr>
        <w:t>that apply to the </w:t>
      </w:r>
      <w:r>
        <w:rPr>
          <w:i/>
          <w:sz w:val="24"/>
        </w:rPr>
        <w:t>region </w:t>
      </w:r>
      <w:r>
        <w:rPr>
          <w:sz w:val="24"/>
        </w:rPr>
        <w:t>in which the </w:t>
      </w:r>
      <w:r>
        <w:rPr>
          <w:i/>
          <w:sz w:val="24"/>
        </w:rPr>
        <w:t>generating unit </w:t>
      </w:r>
      <w:r>
        <w:rPr>
          <w:sz w:val="24"/>
        </w:rPr>
        <w:t>is located.</w:t>
      </w:r>
    </w:p>
    <w:p>
      <w:pPr>
        <w:spacing w:before="120"/>
        <w:ind w:left="1919" w:right="414" w:firstLine="0"/>
        <w:jc w:val="both"/>
        <w:rPr>
          <w:sz w:val="24"/>
        </w:rPr>
      </w:pPr>
      <w:r>
        <w:rPr>
          <w:b/>
          <w:sz w:val="24"/>
        </w:rPr>
        <w:t>stabilisation time </w:t>
      </w:r>
      <w:r>
        <w:rPr>
          <w:sz w:val="24"/>
        </w:rPr>
        <w:t>and </w:t>
      </w:r>
      <w:r>
        <w:rPr>
          <w:b/>
          <w:sz w:val="24"/>
        </w:rPr>
        <w:t>recovery time </w:t>
      </w:r>
      <w:r>
        <w:rPr>
          <w:sz w:val="24"/>
        </w:rPr>
        <w:t>mean the longest times allowable for the </w:t>
      </w:r>
      <w:r>
        <w:rPr>
          <w:i/>
          <w:sz w:val="24"/>
        </w:rPr>
        <w:t>frequency </w:t>
      </w:r>
      <w:r>
        <w:rPr>
          <w:sz w:val="24"/>
        </w:rPr>
        <w:t>of the </w:t>
      </w:r>
      <w:r>
        <w:rPr>
          <w:i/>
          <w:sz w:val="24"/>
        </w:rPr>
        <w:t>power system </w:t>
      </w:r>
      <w:r>
        <w:rPr>
          <w:sz w:val="24"/>
        </w:rPr>
        <w:t>to remain outside the operational frequency tolerance band and the normal operating frequency band, respectively, for any condition (including an "island" condition) in the </w:t>
      </w:r>
      <w:r>
        <w:rPr>
          <w:i/>
          <w:sz w:val="24"/>
        </w:rPr>
        <w:t>frequency operating standards </w:t>
      </w:r>
      <w:r>
        <w:rPr>
          <w:sz w:val="24"/>
        </w:rPr>
        <w:t>that apply to the </w:t>
      </w:r>
      <w:r>
        <w:rPr>
          <w:i/>
          <w:sz w:val="24"/>
        </w:rPr>
        <w:t>region </w:t>
      </w:r>
      <w:r>
        <w:rPr>
          <w:sz w:val="24"/>
        </w:rPr>
        <w:t>in which the </w:t>
      </w:r>
      <w:r>
        <w:rPr>
          <w:i/>
          <w:sz w:val="24"/>
        </w:rPr>
        <w:t>generating unit </w:t>
      </w:r>
      <w:r>
        <w:rPr>
          <w:sz w:val="24"/>
        </w:rPr>
        <w:t>is located.</w:t>
      </w:r>
    </w:p>
    <w:p>
      <w:pPr>
        <w:spacing w:before="120"/>
        <w:ind w:left="1919" w:right="415" w:firstLine="0"/>
        <w:jc w:val="both"/>
        <w:rPr>
          <w:sz w:val="24"/>
        </w:rPr>
      </w:pPr>
      <w:r>
        <w:rPr>
          <w:b/>
          <w:sz w:val="24"/>
        </w:rPr>
        <w:t>transient frequency limit </w:t>
      </w:r>
      <w:r>
        <w:rPr>
          <w:sz w:val="24"/>
        </w:rPr>
        <w:t>and </w:t>
      </w:r>
      <w:r>
        <w:rPr>
          <w:b/>
          <w:sz w:val="24"/>
        </w:rPr>
        <w:t>transient frequency time </w:t>
      </w:r>
      <w:r>
        <w:rPr>
          <w:sz w:val="24"/>
        </w:rPr>
        <w:t>mean the values of 47.5 Hz and 9 seconds respectively, or such other values determined by the </w:t>
      </w:r>
      <w:r>
        <w:rPr>
          <w:i/>
          <w:sz w:val="24"/>
        </w:rPr>
        <w:t>Reliability</w:t>
      </w:r>
      <w:r>
        <w:rPr>
          <w:i/>
          <w:spacing w:val="-1"/>
          <w:sz w:val="24"/>
        </w:rPr>
        <w:t> </w:t>
      </w:r>
      <w:r>
        <w:rPr>
          <w:i/>
          <w:sz w:val="24"/>
        </w:rPr>
        <w:t>Panel</w:t>
      </w:r>
      <w:r>
        <w:rPr>
          <w:sz w:val="24"/>
        </w:rPr>
        <w:t>.</w:t>
      </w:r>
    </w:p>
    <w:p>
      <w:pPr>
        <w:spacing w:after="0"/>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Automatic access standard</w:t>
      </w:r>
    </w:p>
    <w:p>
      <w:pPr>
        <w:pStyle w:val="ListParagraph"/>
        <w:numPr>
          <w:ilvl w:val="0"/>
          <w:numId w:val="286"/>
        </w:numPr>
        <w:tabs>
          <w:tab w:pos="1919" w:val="left" w:leader="none"/>
        </w:tabs>
        <w:spacing w:line="240" w:lineRule="auto" w:before="120" w:after="0"/>
        <w:ind w:left="1919" w:right="415" w:hanging="567"/>
        <w:jc w:val="both"/>
        <w:rPr>
          <w:sz w:val="24"/>
        </w:rPr>
      </w:pPr>
      <w:r>
        <w:rPr>
          <w:sz w:val="24"/>
        </w:rPr>
        <w:t>The </w:t>
      </w:r>
      <w:r>
        <w:rPr>
          <w:i/>
          <w:sz w:val="24"/>
        </w:rPr>
        <w:t>automatic access standard </w:t>
      </w:r>
      <w:r>
        <w:rPr>
          <w:sz w:val="24"/>
        </w:rPr>
        <w:t>is a </w:t>
      </w:r>
      <w:r>
        <w:rPr>
          <w:i/>
          <w:sz w:val="24"/>
        </w:rPr>
        <w:t>generating system </w:t>
      </w:r>
      <w:r>
        <w:rPr>
          <w:sz w:val="24"/>
        </w:rPr>
        <w:t>and each of its </w:t>
      </w:r>
      <w:r>
        <w:rPr>
          <w:i/>
          <w:sz w:val="24"/>
        </w:rPr>
        <w:t>generating units </w:t>
      </w:r>
      <w:r>
        <w:rPr>
          <w:sz w:val="24"/>
        </w:rPr>
        <w:t>must be capable of </w:t>
      </w:r>
      <w:r>
        <w:rPr>
          <w:i/>
          <w:sz w:val="24"/>
        </w:rPr>
        <w:t>continuous uninterrupted operation </w:t>
      </w:r>
      <w:r>
        <w:rPr>
          <w:sz w:val="24"/>
        </w:rPr>
        <w:t>for </w:t>
      </w:r>
      <w:r>
        <w:rPr>
          <w:i/>
          <w:sz w:val="24"/>
        </w:rPr>
        <w:t>frequencies </w:t>
      </w:r>
      <w:r>
        <w:rPr>
          <w:sz w:val="24"/>
        </w:rPr>
        <w:t>in the following</w:t>
      </w:r>
      <w:r>
        <w:rPr>
          <w:spacing w:val="-1"/>
          <w:sz w:val="24"/>
        </w:rPr>
        <w:t> </w:t>
      </w:r>
      <w:r>
        <w:rPr>
          <w:sz w:val="24"/>
        </w:rPr>
        <w:t>ranges:</w:t>
      </w:r>
    </w:p>
    <w:p>
      <w:pPr>
        <w:pStyle w:val="ListParagraph"/>
        <w:numPr>
          <w:ilvl w:val="1"/>
          <w:numId w:val="286"/>
        </w:numPr>
        <w:tabs>
          <w:tab w:pos="2486" w:val="left" w:leader="none"/>
        </w:tabs>
        <w:spacing w:line="240" w:lineRule="auto" w:before="120" w:after="0"/>
        <w:ind w:left="2486" w:right="414" w:hanging="567"/>
        <w:jc w:val="both"/>
        <w:rPr>
          <w:sz w:val="24"/>
        </w:rPr>
      </w:pPr>
      <w:r>
        <w:rPr>
          <w:sz w:val="24"/>
        </w:rPr>
        <w:t>the lower bound of the extreme frequency excursion tolerance limits to the lower bound of the operational frequency tolerance band for at least the stabilisation</w:t>
      </w:r>
      <w:r>
        <w:rPr>
          <w:spacing w:val="-1"/>
          <w:sz w:val="24"/>
        </w:rPr>
        <w:t> </w:t>
      </w:r>
      <w:r>
        <w:rPr>
          <w:sz w:val="24"/>
        </w:rPr>
        <w:t>time;</w:t>
      </w:r>
    </w:p>
    <w:p>
      <w:pPr>
        <w:pStyle w:val="ListParagraph"/>
        <w:numPr>
          <w:ilvl w:val="1"/>
          <w:numId w:val="286"/>
        </w:numPr>
        <w:tabs>
          <w:tab w:pos="2486" w:val="left" w:leader="none"/>
        </w:tabs>
        <w:spacing w:line="240" w:lineRule="auto" w:before="120" w:after="0"/>
        <w:ind w:left="2486" w:right="415" w:hanging="567"/>
        <w:jc w:val="both"/>
        <w:rPr>
          <w:sz w:val="24"/>
        </w:rPr>
      </w:pPr>
      <w:r>
        <w:rPr>
          <w:sz w:val="24"/>
        </w:rPr>
        <w:t>the lower bound of the operational frequency tolerance band to the lower bound of the normal operating frequency band, for at least the recovery time including any time spent in the range under subparagraph</w:t>
      </w:r>
      <w:r>
        <w:rPr>
          <w:spacing w:val="-2"/>
          <w:sz w:val="24"/>
        </w:rPr>
        <w:t> </w:t>
      </w:r>
      <w:r>
        <w:rPr>
          <w:sz w:val="24"/>
        </w:rPr>
        <w:t>(1);</w:t>
      </w:r>
    </w:p>
    <w:p>
      <w:pPr>
        <w:pStyle w:val="ListParagraph"/>
        <w:numPr>
          <w:ilvl w:val="1"/>
          <w:numId w:val="286"/>
        </w:numPr>
        <w:tabs>
          <w:tab w:pos="2486" w:val="left" w:leader="none"/>
        </w:tabs>
        <w:spacing w:line="240" w:lineRule="auto" w:before="120" w:after="0"/>
        <w:ind w:left="2485" w:right="0" w:hanging="567"/>
        <w:jc w:val="both"/>
        <w:rPr>
          <w:sz w:val="24"/>
        </w:rPr>
      </w:pPr>
      <w:r>
        <w:rPr>
          <w:sz w:val="24"/>
        </w:rPr>
        <w:t>the normal operating frequency band for an indefinite</w:t>
      </w:r>
      <w:r>
        <w:rPr>
          <w:spacing w:val="-1"/>
          <w:sz w:val="24"/>
        </w:rPr>
        <w:t> </w:t>
      </w:r>
      <w:r>
        <w:rPr>
          <w:sz w:val="24"/>
        </w:rPr>
        <w:t>period;</w:t>
      </w:r>
    </w:p>
    <w:p>
      <w:pPr>
        <w:pStyle w:val="ListParagraph"/>
        <w:numPr>
          <w:ilvl w:val="1"/>
          <w:numId w:val="286"/>
        </w:numPr>
        <w:tabs>
          <w:tab w:pos="2486" w:val="left" w:leader="none"/>
        </w:tabs>
        <w:spacing w:line="240" w:lineRule="auto" w:before="120" w:after="0"/>
        <w:ind w:left="2486" w:right="415" w:hanging="567"/>
        <w:jc w:val="both"/>
        <w:rPr>
          <w:sz w:val="24"/>
        </w:rPr>
      </w:pPr>
      <w:r>
        <w:rPr>
          <w:sz w:val="24"/>
        </w:rPr>
        <w:t>the upper bound of the normal operating frequency band to the upper bound of the operational frequency tolerance band, for at least the recovery time including any time spent in the range under subparagraph (5);</w:t>
      </w:r>
      <w:r>
        <w:rPr>
          <w:spacing w:val="-2"/>
          <w:sz w:val="24"/>
        </w:rPr>
        <w:t> </w:t>
      </w:r>
      <w:r>
        <w:rPr>
          <w:sz w:val="24"/>
        </w:rPr>
        <w:t>and</w:t>
      </w:r>
    </w:p>
    <w:p>
      <w:pPr>
        <w:pStyle w:val="ListParagraph"/>
        <w:numPr>
          <w:ilvl w:val="1"/>
          <w:numId w:val="286"/>
        </w:numPr>
        <w:tabs>
          <w:tab w:pos="2486" w:val="left" w:leader="none"/>
        </w:tabs>
        <w:spacing w:line="240" w:lineRule="auto" w:before="120" w:after="0"/>
        <w:ind w:left="2486" w:right="414" w:hanging="567"/>
        <w:jc w:val="both"/>
        <w:rPr>
          <w:sz w:val="24"/>
        </w:rPr>
      </w:pPr>
      <w:r>
        <w:rPr>
          <w:sz w:val="24"/>
        </w:rPr>
        <w:t>the upper bound of the operational frequency tolerance band to the upper bound of the extreme frequency excursion tolerance limits for at least the stabilisation</w:t>
      </w:r>
      <w:r>
        <w:rPr>
          <w:spacing w:val="-1"/>
          <w:sz w:val="24"/>
        </w:rPr>
        <w:t> </w:t>
      </w:r>
      <w:r>
        <w:rPr>
          <w:sz w:val="24"/>
        </w:rPr>
        <w:t>time,</w:t>
      </w:r>
    </w:p>
    <w:p>
      <w:pPr>
        <w:pStyle w:val="BodyText"/>
        <w:ind w:left="1919" w:right="415" w:firstLine="0"/>
      </w:pPr>
      <w:r>
        <w:rPr/>
        <w:t>unless the rate of change of </w:t>
      </w:r>
      <w:r>
        <w:rPr>
          <w:i/>
        </w:rPr>
        <w:t>frequency </w:t>
      </w:r>
      <w:r>
        <w:rPr/>
        <w:t>is outside the range of –4 Hz to 4 Hz per second for more than 0.25 seconds, -3 Hz to 3 Hz per second for more than one second, or such other range as determined by the </w:t>
      </w:r>
      <w:r>
        <w:rPr>
          <w:i/>
        </w:rPr>
        <w:t>Reliability Panel </w:t>
      </w:r>
      <w:r>
        <w:rPr/>
        <w:t>from time to time.</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w:t>
      </w:r>
      <w:r>
        <w:rPr>
          <w:i/>
          <w:sz w:val="20"/>
        </w:rPr>
        <w:t>automatic access standard </w:t>
      </w:r>
      <w:r>
        <w:rPr>
          <w:sz w:val="20"/>
        </w:rPr>
        <w:t>is illustrated in the following diagram. To the extent of any inconsistency between the diagram and paragraph (b), paragraph (b) prevails.</w:t>
      </w:r>
    </w:p>
    <w:p>
      <w:pPr>
        <w:spacing w:after="0"/>
        <w:jc w:val="left"/>
        <w:rPr>
          <w:sz w:val="20"/>
        </w:rPr>
        <w:sectPr>
          <w:pgSz w:w="11910" w:h="16840"/>
          <w:pgMar w:header="686" w:footer="637" w:top="1320" w:bottom="820" w:left="1200" w:right="1000"/>
        </w:sectPr>
      </w:pPr>
    </w:p>
    <w:p>
      <w:pPr>
        <w:pStyle w:val="BodyText"/>
        <w:spacing w:before="0"/>
        <w:ind w:firstLine="0"/>
        <w:jc w:val="left"/>
        <w:rPr>
          <w:sz w:val="20"/>
        </w:rPr>
      </w:pPr>
    </w:p>
    <w:p>
      <w:pPr>
        <w:pStyle w:val="BodyText"/>
        <w:spacing w:before="2"/>
        <w:ind w:firstLine="0"/>
        <w:jc w:val="left"/>
        <w:rPr>
          <w:sz w:val="11"/>
        </w:rPr>
      </w:pPr>
    </w:p>
    <w:p>
      <w:pPr>
        <w:pStyle w:val="BodyText"/>
        <w:spacing w:before="0"/>
        <w:ind w:left="499" w:firstLine="0"/>
        <w:jc w:val="left"/>
        <w:rPr>
          <w:sz w:val="20"/>
        </w:rPr>
      </w:pPr>
      <w:r>
        <w:rPr>
          <w:sz w:val="20"/>
        </w:rPr>
        <w:drawing>
          <wp:inline distT="0" distB="0" distL="0" distR="0">
            <wp:extent cx="5572103" cy="3533013"/>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60" cstate="print"/>
                    <a:stretch>
                      <a:fillRect/>
                    </a:stretch>
                  </pic:blipFill>
                  <pic:spPr>
                    <a:xfrm>
                      <a:off x="0" y="0"/>
                      <a:ext cx="5572103" cy="3533013"/>
                    </a:xfrm>
                    <a:prstGeom prst="rect">
                      <a:avLst/>
                    </a:prstGeom>
                  </pic:spPr>
                </pic:pic>
              </a:graphicData>
            </a:graphic>
          </wp:inline>
        </w:drawing>
      </w:r>
      <w:r>
        <w:rPr>
          <w:sz w:val="20"/>
        </w:rPr>
      </w:r>
    </w:p>
    <w:p>
      <w:pPr>
        <w:pStyle w:val="BodyText"/>
        <w:spacing w:before="0"/>
        <w:ind w:firstLine="0"/>
        <w:jc w:val="left"/>
        <w:rPr>
          <w:sz w:val="25"/>
        </w:rPr>
      </w:pPr>
    </w:p>
    <w:p>
      <w:pPr>
        <w:spacing w:before="93"/>
        <w:ind w:left="1356" w:right="0" w:firstLine="0"/>
        <w:jc w:val="left"/>
        <w:rPr>
          <w:rFonts w:ascii="Arial"/>
          <w:b/>
          <w:sz w:val="22"/>
        </w:rPr>
      </w:pPr>
      <w:r>
        <w:rPr>
          <w:rFonts w:ascii="Arial"/>
          <w:b/>
          <w:sz w:val="22"/>
        </w:rPr>
        <w:t>Minimum access standard</w:t>
      </w:r>
    </w:p>
    <w:p>
      <w:pPr>
        <w:pStyle w:val="ListParagraph"/>
        <w:numPr>
          <w:ilvl w:val="0"/>
          <w:numId w:val="286"/>
        </w:numPr>
        <w:tabs>
          <w:tab w:pos="1919" w:val="left" w:leader="none"/>
        </w:tabs>
        <w:spacing w:line="240" w:lineRule="auto" w:before="120" w:after="0"/>
        <w:ind w:left="1919" w:right="415" w:hanging="567"/>
        <w:jc w:val="both"/>
        <w:rPr>
          <w:sz w:val="24"/>
        </w:rPr>
      </w:pPr>
      <w:r>
        <w:rPr>
          <w:sz w:val="24"/>
        </w:rPr>
        <w:t>The </w:t>
      </w:r>
      <w:r>
        <w:rPr>
          <w:i/>
          <w:sz w:val="24"/>
        </w:rPr>
        <w:t>minimum access standard </w:t>
      </w:r>
      <w:r>
        <w:rPr>
          <w:sz w:val="24"/>
        </w:rPr>
        <w:t>is a </w:t>
      </w:r>
      <w:r>
        <w:rPr>
          <w:i/>
          <w:sz w:val="24"/>
        </w:rPr>
        <w:t>generating system </w:t>
      </w:r>
      <w:r>
        <w:rPr>
          <w:sz w:val="24"/>
        </w:rPr>
        <w:t>and each of its </w:t>
      </w:r>
      <w:r>
        <w:rPr>
          <w:i/>
          <w:sz w:val="24"/>
        </w:rPr>
        <w:t>generating units </w:t>
      </w:r>
      <w:r>
        <w:rPr>
          <w:sz w:val="24"/>
        </w:rPr>
        <w:t>must be capable of </w:t>
      </w:r>
      <w:r>
        <w:rPr>
          <w:i/>
          <w:sz w:val="24"/>
        </w:rPr>
        <w:t>continuous uninterrupted operation </w:t>
      </w:r>
      <w:r>
        <w:rPr>
          <w:sz w:val="24"/>
        </w:rPr>
        <w:t>for </w:t>
      </w:r>
      <w:r>
        <w:rPr>
          <w:i/>
          <w:sz w:val="24"/>
        </w:rPr>
        <w:t>frequencies </w:t>
      </w:r>
      <w:r>
        <w:rPr>
          <w:sz w:val="24"/>
        </w:rPr>
        <w:t>in the following</w:t>
      </w:r>
      <w:r>
        <w:rPr>
          <w:spacing w:val="-1"/>
          <w:sz w:val="24"/>
        </w:rPr>
        <w:t> </w:t>
      </w:r>
      <w:r>
        <w:rPr>
          <w:sz w:val="24"/>
        </w:rPr>
        <w:t>ranges:</w:t>
      </w:r>
    </w:p>
    <w:p>
      <w:pPr>
        <w:pStyle w:val="ListParagraph"/>
        <w:numPr>
          <w:ilvl w:val="1"/>
          <w:numId w:val="286"/>
        </w:numPr>
        <w:tabs>
          <w:tab w:pos="2486" w:val="left" w:leader="none"/>
        </w:tabs>
        <w:spacing w:line="240" w:lineRule="auto" w:before="120" w:after="0"/>
        <w:ind w:left="2486" w:right="414" w:hanging="567"/>
        <w:jc w:val="both"/>
        <w:rPr>
          <w:sz w:val="24"/>
        </w:rPr>
      </w:pPr>
      <w:r>
        <w:rPr>
          <w:sz w:val="24"/>
        </w:rPr>
        <w:t>the lower bound of the extreme frequency excursion tolerance limits to the transient frequency limit for at least the transient frequency time;</w:t>
      </w:r>
    </w:p>
    <w:p>
      <w:pPr>
        <w:pStyle w:val="ListParagraph"/>
        <w:numPr>
          <w:ilvl w:val="1"/>
          <w:numId w:val="286"/>
        </w:numPr>
        <w:tabs>
          <w:tab w:pos="2486" w:val="left" w:leader="none"/>
        </w:tabs>
        <w:spacing w:line="240" w:lineRule="auto" w:before="120" w:after="0"/>
        <w:ind w:left="2486" w:right="415" w:hanging="567"/>
        <w:jc w:val="both"/>
        <w:rPr>
          <w:sz w:val="24"/>
        </w:rPr>
      </w:pPr>
      <w:r>
        <w:rPr>
          <w:sz w:val="24"/>
        </w:rPr>
        <w:t>the transient frequency limit to the lower bound of the operational frequency tolerance band for at least the stabilisation</w:t>
      </w:r>
      <w:r>
        <w:rPr>
          <w:spacing w:val="-6"/>
          <w:sz w:val="24"/>
        </w:rPr>
        <w:t> </w:t>
      </w:r>
      <w:r>
        <w:rPr>
          <w:sz w:val="24"/>
        </w:rPr>
        <w:t>time;</w:t>
      </w:r>
    </w:p>
    <w:p>
      <w:pPr>
        <w:pStyle w:val="ListParagraph"/>
        <w:numPr>
          <w:ilvl w:val="1"/>
          <w:numId w:val="286"/>
        </w:numPr>
        <w:tabs>
          <w:tab w:pos="2486" w:val="left" w:leader="none"/>
        </w:tabs>
        <w:spacing w:line="240" w:lineRule="auto" w:before="120" w:after="0"/>
        <w:ind w:left="2486" w:right="415" w:hanging="567"/>
        <w:jc w:val="both"/>
        <w:rPr>
          <w:sz w:val="24"/>
        </w:rPr>
      </w:pPr>
      <w:r>
        <w:rPr>
          <w:sz w:val="24"/>
        </w:rPr>
        <w:t>the lower bound of the operational frequency tolerance band to the lower bound of the normal operating frequency band for at least the recovery time including any time spent in the ranges under subparagraphs (1) and</w:t>
      </w:r>
      <w:r>
        <w:rPr>
          <w:spacing w:val="-2"/>
          <w:sz w:val="24"/>
        </w:rPr>
        <w:t> </w:t>
      </w:r>
      <w:r>
        <w:rPr>
          <w:sz w:val="24"/>
        </w:rPr>
        <w:t>(2);</w:t>
      </w:r>
    </w:p>
    <w:p>
      <w:pPr>
        <w:pStyle w:val="ListParagraph"/>
        <w:numPr>
          <w:ilvl w:val="1"/>
          <w:numId w:val="286"/>
        </w:numPr>
        <w:tabs>
          <w:tab w:pos="2486" w:val="left" w:leader="none"/>
        </w:tabs>
        <w:spacing w:line="240" w:lineRule="auto" w:before="120" w:after="0"/>
        <w:ind w:left="2485" w:right="0" w:hanging="567"/>
        <w:jc w:val="both"/>
        <w:rPr>
          <w:sz w:val="24"/>
        </w:rPr>
      </w:pPr>
      <w:r>
        <w:rPr>
          <w:sz w:val="24"/>
        </w:rPr>
        <w:t>the normal operating frequency band for an indefinite</w:t>
      </w:r>
      <w:r>
        <w:rPr>
          <w:spacing w:val="-1"/>
          <w:sz w:val="24"/>
        </w:rPr>
        <w:t> </w:t>
      </w:r>
      <w:r>
        <w:rPr>
          <w:sz w:val="24"/>
        </w:rPr>
        <w:t>period;</w:t>
      </w:r>
    </w:p>
    <w:p>
      <w:pPr>
        <w:pStyle w:val="ListParagraph"/>
        <w:numPr>
          <w:ilvl w:val="1"/>
          <w:numId w:val="286"/>
        </w:numPr>
        <w:tabs>
          <w:tab w:pos="2486" w:val="left" w:leader="none"/>
        </w:tabs>
        <w:spacing w:line="240" w:lineRule="auto" w:before="120" w:after="0"/>
        <w:ind w:left="2486" w:right="415" w:hanging="567"/>
        <w:jc w:val="both"/>
        <w:rPr>
          <w:sz w:val="24"/>
        </w:rPr>
      </w:pPr>
      <w:r>
        <w:rPr>
          <w:sz w:val="24"/>
        </w:rPr>
        <w:t>the upper bound of the normal operating frequency band to the upper bound of the operational frequency tolerance band for at least the recovery time including any time spent in the ranges under subparagraph (6) unless the </w:t>
      </w:r>
      <w:r>
        <w:rPr>
          <w:i/>
          <w:sz w:val="24"/>
        </w:rPr>
        <w:t>generating system </w:t>
      </w:r>
      <w:r>
        <w:rPr>
          <w:sz w:val="24"/>
        </w:rPr>
        <w:t>has a </w:t>
      </w:r>
      <w:r>
        <w:rPr>
          <w:i/>
          <w:sz w:val="24"/>
        </w:rPr>
        <w:t>protection system </w:t>
      </w:r>
      <w:r>
        <w:rPr>
          <w:sz w:val="24"/>
        </w:rPr>
        <w:t>to trip a </w:t>
      </w:r>
      <w:r>
        <w:rPr>
          <w:i/>
          <w:sz w:val="24"/>
        </w:rPr>
        <w:t>generating unit </w:t>
      </w:r>
      <w:r>
        <w:rPr>
          <w:sz w:val="24"/>
        </w:rPr>
        <w:t>if the </w:t>
      </w:r>
      <w:r>
        <w:rPr>
          <w:i/>
          <w:sz w:val="24"/>
        </w:rPr>
        <w:t>frequency </w:t>
      </w:r>
      <w:r>
        <w:rPr>
          <w:sz w:val="24"/>
        </w:rPr>
        <w:t>exceeds a level agreed with </w:t>
      </w:r>
      <w:r>
        <w:rPr>
          <w:i/>
          <w:sz w:val="24"/>
        </w:rPr>
        <w:t>AEMO</w:t>
      </w:r>
      <w:r>
        <w:rPr>
          <w:sz w:val="24"/>
        </w:rPr>
        <w:t>; and</w:t>
      </w:r>
    </w:p>
    <w:p>
      <w:pPr>
        <w:pStyle w:val="ListParagraph"/>
        <w:numPr>
          <w:ilvl w:val="1"/>
          <w:numId w:val="286"/>
        </w:numPr>
        <w:tabs>
          <w:tab w:pos="2485" w:val="left" w:leader="none"/>
          <w:tab w:pos="2486" w:val="left" w:leader="none"/>
        </w:tabs>
        <w:spacing w:line="240" w:lineRule="auto" w:before="120" w:after="0"/>
        <w:ind w:left="2485" w:right="0" w:hanging="567"/>
        <w:jc w:val="left"/>
        <w:rPr>
          <w:sz w:val="24"/>
        </w:rPr>
      </w:pPr>
      <w:r>
        <w:rPr>
          <w:sz w:val="24"/>
        </w:rPr>
        <w:t>in respect of a </w:t>
      </w:r>
      <w:r>
        <w:rPr>
          <w:i/>
          <w:sz w:val="24"/>
        </w:rPr>
        <w:t>generating</w:t>
      </w:r>
      <w:r>
        <w:rPr>
          <w:i/>
          <w:spacing w:val="-1"/>
          <w:sz w:val="24"/>
        </w:rPr>
        <w:t> </w:t>
      </w:r>
      <w:r>
        <w:rPr>
          <w:i/>
          <w:sz w:val="24"/>
        </w:rPr>
        <w:t>system</w:t>
      </w:r>
      <w:r>
        <w:rPr>
          <w:sz w:val="24"/>
        </w:rPr>
        <w:t>:</w:t>
      </w:r>
    </w:p>
    <w:p>
      <w:pPr>
        <w:pStyle w:val="ListParagraph"/>
        <w:numPr>
          <w:ilvl w:val="2"/>
          <w:numId w:val="286"/>
        </w:numPr>
        <w:tabs>
          <w:tab w:pos="3052" w:val="left" w:leader="none"/>
          <w:tab w:pos="3053" w:val="left" w:leader="none"/>
        </w:tabs>
        <w:spacing w:line="240" w:lineRule="auto" w:before="120" w:after="0"/>
        <w:ind w:left="3052" w:right="0" w:hanging="567"/>
        <w:jc w:val="left"/>
        <w:rPr>
          <w:sz w:val="24"/>
        </w:rPr>
      </w:pPr>
      <w:r>
        <w:rPr>
          <w:sz w:val="24"/>
        </w:rPr>
        <w:t>of 30 MW or more;</w:t>
      </w:r>
      <w:r>
        <w:rPr>
          <w:spacing w:val="-3"/>
          <w:sz w:val="24"/>
        </w:rPr>
        <w:t> </w:t>
      </w:r>
      <w:r>
        <w:rPr>
          <w:sz w:val="24"/>
        </w:rPr>
        <w:t>and</w:t>
      </w:r>
    </w:p>
    <w:p>
      <w:pPr>
        <w:pStyle w:val="ListParagraph"/>
        <w:numPr>
          <w:ilvl w:val="2"/>
          <w:numId w:val="286"/>
        </w:numPr>
        <w:tabs>
          <w:tab w:pos="3052" w:val="left" w:leader="none"/>
          <w:tab w:pos="3054" w:val="left" w:leader="none"/>
        </w:tabs>
        <w:spacing w:line="240" w:lineRule="auto" w:before="120" w:after="0"/>
        <w:ind w:left="3053" w:right="0" w:hanging="568"/>
        <w:jc w:val="left"/>
        <w:rPr>
          <w:i/>
          <w:sz w:val="24"/>
        </w:rPr>
      </w:pPr>
      <w:r>
        <w:rPr>
          <w:sz w:val="24"/>
        </w:rPr>
        <w:t>that does not have a </w:t>
      </w:r>
      <w:r>
        <w:rPr>
          <w:i/>
          <w:sz w:val="24"/>
        </w:rPr>
        <w:t>protection system </w:t>
      </w:r>
      <w:r>
        <w:rPr>
          <w:sz w:val="24"/>
        </w:rPr>
        <w:t>to trip the </w:t>
      </w:r>
      <w:r>
        <w:rPr>
          <w:i/>
          <w:sz w:val="24"/>
        </w:rPr>
        <w:t>generating</w:t>
      </w:r>
      <w:r>
        <w:rPr>
          <w:i/>
          <w:spacing w:val="50"/>
          <w:sz w:val="24"/>
        </w:rPr>
        <w:t> </w:t>
      </w:r>
      <w:r>
        <w:rPr>
          <w:i/>
          <w:sz w:val="24"/>
        </w:rPr>
        <w:t>unit</w:t>
      </w:r>
    </w:p>
    <w:p>
      <w:pPr>
        <w:spacing w:before="0"/>
        <w:ind w:left="3053" w:right="0" w:firstLine="0"/>
        <w:jc w:val="left"/>
        <w:rPr>
          <w:sz w:val="24"/>
        </w:rPr>
      </w:pPr>
      <w:r>
        <w:rPr>
          <w:sz w:val="24"/>
        </w:rPr>
        <w:t>if the </w:t>
      </w:r>
      <w:r>
        <w:rPr>
          <w:i/>
          <w:sz w:val="24"/>
        </w:rPr>
        <w:t>frequency </w:t>
      </w:r>
      <w:r>
        <w:rPr>
          <w:sz w:val="24"/>
        </w:rPr>
        <w:t>exceeds a level agreed with </w:t>
      </w:r>
      <w:r>
        <w:rPr>
          <w:i/>
          <w:sz w:val="24"/>
        </w:rPr>
        <w:t>AEMO</w:t>
      </w:r>
      <w:r>
        <w:rPr>
          <w:sz w:val="24"/>
        </w:rPr>
        <w:t>,</w:t>
      </w:r>
    </w:p>
    <w:p>
      <w:pPr>
        <w:spacing w:after="0"/>
        <w:jc w:val="left"/>
        <w:rPr>
          <w:sz w:val="24"/>
        </w:rPr>
        <w:sectPr>
          <w:pgSz w:w="11910" w:h="16840"/>
          <w:pgMar w:header="686" w:footer="637" w:top="1320" w:bottom="820" w:left="1200" w:right="1000"/>
        </w:sectPr>
      </w:pPr>
    </w:p>
    <w:p>
      <w:pPr>
        <w:pStyle w:val="BodyText"/>
        <w:spacing w:before="83"/>
        <w:ind w:left="2486" w:right="415" w:firstLine="0"/>
      </w:pPr>
      <w:r>
        <w:rPr/>
        <w:t>the upper bound of the operational frequency tolerance band to the upper bound of the extreme frequency excursion tolerance limits (including an "island" condition) for at least the transient frequency time,</w:t>
      </w:r>
    </w:p>
    <w:p>
      <w:pPr>
        <w:pStyle w:val="BodyText"/>
        <w:ind w:left="1919" w:right="416" w:firstLine="0"/>
      </w:pPr>
      <w:r>
        <w:rPr/>
        <w:t>unless the rate of change of </w:t>
      </w:r>
      <w:r>
        <w:rPr>
          <w:i/>
        </w:rPr>
        <w:t>frequency </w:t>
      </w:r>
      <w:r>
        <w:rPr/>
        <w:t>is outside the range of -2 Hz to 2 Hz per second for more than 0.25 seconds, -1 Hz to 1 Hz per second for more than one second or such other range as determined by the </w:t>
      </w:r>
      <w:r>
        <w:rPr>
          <w:i/>
        </w:rPr>
        <w:t>Reliability Panel </w:t>
      </w:r>
      <w:r>
        <w:rPr/>
        <w:t>from time to time.</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w:t>
      </w:r>
      <w:r>
        <w:rPr>
          <w:i/>
          <w:sz w:val="20"/>
        </w:rPr>
        <w:t>minimum access standard </w:t>
      </w:r>
      <w:r>
        <w:rPr>
          <w:sz w:val="20"/>
        </w:rPr>
        <w:t>is illustrated in the following diagram. To the extent of any inconsistency between the diagram and paragraph (c), paragraph (c) prevails.</w:t>
      </w:r>
    </w:p>
    <w:p>
      <w:pPr>
        <w:pStyle w:val="BodyText"/>
        <w:spacing w:before="6"/>
        <w:ind w:firstLine="0"/>
        <w:jc w:val="left"/>
        <w:rPr>
          <w:sz w:val="27"/>
        </w:rPr>
      </w:pPr>
      <w:r>
        <w:rPr/>
        <w:drawing>
          <wp:anchor distT="0" distB="0" distL="0" distR="0" allowOverlap="1" layoutInCell="1" locked="0" behindDoc="0" simplePos="0" relativeHeight="9">
            <wp:simplePos x="0" y="0"/>
            <wp:positionH relativeFrom="page">
              <wp:posOffset>1037680</wp:posOffset>
            </wp:positionH>
            <wp:positionV relativeFrom="paragraph">
              <wp:posOffset>226259</wp:posOffset>
            </wp:positionV>
            <wp:extent cx="5221085" cy="4094607"/>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61" cstate="print"/>
                    <a:stretch>
                      <a:fillRect/>
                    </a:stretch>
                  </pic:blipFill>
                  <pic:spPr>
                    <a:xfrm>
                      <a:off x="0" y="0"/>
                      <a:ext cx="5221085" cy="4094607"/>
                    </a:xfrm>
                    <a:prstGeom prst="rect">
                      <a:avLst/>
                    </a:prstGeom>
                  </pic:spPr>
                </pic:pic>
              </a:graphicData>
            </a:graphic>
          </wp:anchor>
        </w:drawing>
      </w:r>
    </w:p>
    <w:p>
      <w:pPr>
        <w:pStyle w:val="BodyText"/>
        <w:spacing w:before="0"/>
        <w:ind w:firstLine="0"/>
        <w:jc w:val="left"/>
        <w:rPr>
          <w:sz w:val="22"/>
        </w:rPr>
      </w:pPr>
    </w:p>
    <w:p>
      <w:pPr>
        <w:spacing w:before="139"/>
        <w:ind w:left="1356" w:right="0" w:firstLine="0"/>
        <w:jc w:val="left"/>
        <w:rPr>
          <w:rFonts w:ascii="Arial"/>
          <w:b/>
          <w:sz w:val="22"/>
        </w:rPr>
      </w:pPr>
      <w:r>
        <w:rPr>
          <w:rFonts w:ascii="Arial"/>
          <w:b/>
          <w:sz w:val="22"/>
        </w:rPr>
        <w:t>Negotiated access standard</w:t>
      </w:r>
    </w:p>
    <w:p>
      <w:pPr>
        <w:pStyle w:val="ListParagraph"/>
        <w:numPr>
          <w:ilvl w:val="0"/>
          <w:numId w:val="286"/>
        </w:numPr>
        <w:tabs>
          <w:tab w:pos="1919" w:val="left" w:leader="none"/>
        </w:tabs>
        <w:spacing w:line="240" w:lineRule="auto" w:before="120" w:after="0"/>
        <w:ind w:left="1919" w:right="415" w:hanging="567"/>
        <w:jc w:val="both"/>
        <w:rPr>
          <w:sz w:val="24"/>
        </w:rPr>
      </w:pPr>
      <w:r>
        <w:rPr>
          <w:sz w:val="24"/>
        </w:rPr>
        <w:t>A </w:t>
      </w:r>
      <w:r>
        <w:rPr>
          <w:i/>
          <w:sz w:val="24"/>
        </w:rPr>
        <w:t>negotiated access standard </w:t>
      </w:r>
      <w:r>
        <w:rPr>
          <w:sz w:val="24"/>
        </w:rPr>
        <w:t>can be accepted by the </w:t>
      </w:r>
      <w:r>
        <w:rPr>
          <w:i/>
          <w:sz w:val="24"/>
        </w:rPr>
        <w:t>Network Service </w:t>
      </w:r>
      <w:r>
        <w:rPr>
          <w:i/>
          <w:sz w:val="24"/>
        </w:rPr>
        <w:t>Provider </w:t>
      </w:r>
      <w:r>
        <w:rPr>
          <w:sz w:val="24"/>
        </w:rPr>
        <w:t>provided that </w:t>
      </w:r>
      <w:r>
        <w:rPr>
          <w:i/>
          <w:sz w:val="24"/>
        </w:rPr>
        <w:t>AEMO </w:t>
      </w:r>
      <w:r>
        <w:rPr>
          <w:sz w:val="24"/>
        </w:rPr>
        <w:t>and the </w:t>
      </w:r>
      <w:r>
        <w:rPr>
          <w:i/>
          <w:sz w:val="24"/>
        </w:rPr>
        <w:t>Network Service Provider </w:t>
      </w:r>
      <w:r>
        <w:rPr>
          <w:sz w:val="24"/>
        </w:rPr>
        <w:t>agree that the </w:t>
      </w:r>
      <w:r>
        <w:rPr>
          <w:i/>
          <w:sz w:val="24"/>
        </w:rPr>
        <w:t>frequency </w:t>
      </w:r>
      <w:r>
        <w:rPr>
          <w:sz w:val="24"/>
        </w:rPr>
        <w:t>would be unlikely to fall below the lower bound of the operational </w:t>
      </w:r>
      <w:r>
        <w:rPr>
          <w:i/>
          <w:sz w:val="24"/>
        </w:rPr>
        <w:t>frequency </w:t>
      </w:r>
      <w:r>
        <w:rPr>
          <w:sz w:val="24"/>
        </w:rPr>
        <w:t>tolerance band as a result of over-</w:t>
      </w:r>
      <w:r>
        <w:rPr>
          <w:i/>
          <w:sz w:val="24"/>
        </w:rPr>
        <w:t>frequency </w:t>
      </w:r>
      <w:r>
        <w:rPr>
          <w:sz w:val="24"/>
        </w:rPr>
        <w:t>tripping of </w:t>
      </w:r>
      <w:r>
        <w:rPr>
          <w:i/>
          <w:sz w:val="24"/>
        </w:rPr>
        <w:t>generating</w:t>
      </w:r>
      <w:r>
        <w:rPr>
          <w:i/>
          <w:spacing w:val="-1"/>
          <w:sz w:val="24"/>
        </w:rPr>
        <w:t> </w:t>
      </w:r>
      <w:r>
        <w:rPr>
          <w:i/>
          <w:sz w:val="24"/>
        </w:rPr>
        <w:t>units</w:t>
      </w:r>
      <w:r>
        <w:rPr>
          <w:sz w:val="24"/>
        </w:rPr>
        <w:t>.</w:t>
      </w:r>
    </w:p>
    <w:p>
      <w:pPr>
        <w:pStyle w:val="BodyText"/>
        <w:spacing w:before="10"/>
        <w:ind w:firstLine="0"/>
        <w:jc w:val="left"/>
        <w:rPr>
          <w:sz w:val="20"/>
        </w:rPr>
      </w:pPr>
    </w:p>
    <w:p>
      <w:pPr>
        <w:pStyle w:val="Heading4"/>
        <w:tabs>
          <w:tab w:pos="1351" w:val="left" w:leader="none"/>
        </w:tabs>
        <w:ind w:left="218" w:firstLine="0"/>
      </w:pPr>
      <w:bookmarkStart w:name="S5.2.5.4 Generating system response to v" w:id="976"/>
      <w:bookmarkEnd w:id="976"/>
      <w:r>
        <w:rPr>
          <w:b w:val="0"/>
        </w:rPr>
      </w:r>
      <w:bookmarkStart w:name="_bookmark380" w:id="977"/>
      <w:bookmarkEnd w:id="977"/>
      <w:r>
        <w:rPr>
          <w:b w:val="0"/>
        </w:rPr>
      </w:r>
      <w:r>
        <w:rPr/>
        <w:t>S5.2.5.4</w:t>
        <w:tab/>
        <w:t>Generating system response to voltage</w:t>
      </w:r>
      <w:r>
        <w:rPr>
          <w:spacing w:val="-5"/>
        </w:rPr>
        <w:t> </w:t>
      </w:r>
      <w:r>
        <w:rPr/>
        <w:t>disturbances</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87"/>
        </w:numPr>
        <w:tabs>
          <w:tab w:pos="566" w:val="left" w:leader="none"/>
          <w:tab w:pos="567" w:val="left" w:leader="none"/>
        </w:tabs>
        <w:spacing w:line="240" w:lineRule="auto" w:before="120" w:after="0"/>
        <w:ind w:left="1918" w:right="416" w:hanging="1919"/>
        <w:jc w:val="right"/>
        <w:rPr>
          <w:sz w:val="24"/>
        </w:rPr>
      </w:pPr>
      <w:r>
        <w:rPr>
          <w:sz w:val="24"/>
        </w:rPr>
        <w:t>The  </w:t>
      </w:r>
      <w:r>
        <w:rPr>
          <w:i/>
          <w:sz w:val="24"/>
        </w:rPr>
        <w:t>automatic  access  standard  </w:t>
      </w:r>
      <w:r>
        <w:rPr>
          <w:sz w:val="24"/>
        </w:rPr>
        <w:t>is  a  </w:t>
      </w:r>
      <w:r>
        <w:rPr>
          <w:i/>
          <w:sz w:val="24"/>
        </w:rPr>
        <w:t>generating  system  </w:t>
      </w:r>
      <w:r>
        <w:rPr>
          <w:sz w:val="24"/>
        </w:rPr>
        <w:t>and  each  of   its</w:t>
      </w:r>
    </w:p>
    <w:p>
      <w:pPr>
        <w:spacing w:before="0"/>
        <w:ind w:left="1789" w:right="414" w:firstLine="0"/>
        <w:jc w:val="right"/>
        <w:rPr>
          <w:i/>
          <w:sz w:val="24"/>
        </w:rPr>
      </w:pPr>
      <w:r>
        <w:rPr>
          <w:i/>
          <w:sz w:val="24"/>
        </w:rPr>
        <w:t>generating  units  </w:t>
      </w:r>
      <w:r>
        <w:rPr>
          <w:sz w:val="24"/>
        </w:rPr>
        <w:t>must  be  capable  of  </w:t>
      </w:r>
      <w:r>
        <w:rPr>
          <w:i/>
          <w:sz w:val="24"/>
        </w:rPr>
        <w:t>continuous  uninterrupted</w:t>
      </w:r>
      <w:r>
        <w:rPr>
          <w:i/>
          <w:spacing w:val="26"/>
          <w:sz w:val="24"/>
        </w:rPr>
        <w:t> </w:t>
      </w:r>
      <w:r>
        <w:rPr>
          <w:i/>
          <w:sz w:val="24"/>
        </w:rPr>
        <w:t>operation</w:t>
      </w:r>
    </w:p>
    <w:p>
      <w:pPr>
        <w:spacing w:after="0"/>
        <w:jc w:val="right"/>
        <w:rPr>
          <w:sz w:val="24"/>
        </w:rPr>
        <w:sectPr>
          <w:pgSz w:w="11910" w:h="16840"/>
          <w:pgMar w:header="686" w:footer="637" w:top="1320" w:bottom="820" w:left="1200" w:right="1000"/>
        </w:sectPr>
      </w:pPr>
    </w:p>
    <w:p>
      <w:pPr>
        <w:spacing w:before="83"/>
        <w:ind w:left="1919" w:right="0" w:firstLine="0"/>
        <w:jc w:val="left"/>
        <w:rPr>
          <w:i/>
          <w:sz w:val="24"/>
        </w:rPr>
      </w:pPr>
      <w:r>
        <w:rPr>
          <w:sz w:val="24"/>
        </w:rPr>
        <w:t>where a </w:t>
      </w:r>
      <w:r>
        <w:rPr>
          <w:i/>
          <w:sz w:val="24"/>
        </w:rPr>
        <w:t>power system </w:t>
      </w:r>
      <w:r>
        <w:rPr>
          <w:sz w:val="24"/>
        </w:rPr>
        <w:t>disturbance causes the </w:t>
      </w:r>
      <w:r>
        <w:rPr>
          <w:i/>
          <w:sz w:val="24"/>
        </w:rPr>
        <w:t>voltage </w:t>
      </w:r>
      <w:r>
        <w:rPr>
          <w:sz w:val="24"/>
        </w:rPr>
        <w:t>at the </w:t>
      </w:r>
      <w:r>
        <w:rPr>
          <w:i/>
          <w:sz w:val="24"/>
        </w:rPr>
        <w:t>connection point</w:t>
      </w:r>
    </w:p>
    <w:p>
      <w:pPr>
        <w:pStyle w:val="BodyText"/>
        <w:spacing w:before="0"/>
        <w:ind w:left="1919" w:firstLine="0"/>
        <w:jc w:val="left"/>
      </w:pPr>
      <w:r>
        <w:rPr/>
        <w:t>to vary within the following ranges:</w:t>
      </w:r>
    </w:p>
    <w:p>
      <w:pPr>
        <w:pStyle w:val="ListParagraph"/>
        <w:numPr>
          <w:ilvl w:val="1"/>
          <w:numId w:val="287"/>
        </w:numPr>
        <w:tabs>
          <w:tab w:pos="2485" w:val="left" w:leader="none"/>
          <w:tab w:pos="2486" w:val="left" w:leader="none"/>
        </w:tabs>
        <w:spacing w:line="240" w:lineRule="auto" w:before="120" w:after="0"/>
        <w:ind w:left="2486" w:right="415" w:hanging="567"/>
        <w:jc w:val="left"/>
        <w:rPr>
          <w:sz w:val="24"/>
        </w:rPr>
      </w:pPr>
      <w:r>
        <w:rPr>
          <w:sz w:val="24"/>
        </w:rPr>
        <w:t>over 130% of </w:t>
      </w:r>
      <w:r>
        <w:rPr>
          <w:i/>
          <w:sz w:val="24"/>
        </w:rPr>
        <w:t>normal voltage </w:t>
      </w:r>
      <w:r>
        <w:rPr>
          <w:sz w:val="24"/>
        </w:rPr>
        <w:t>for a period of at least 0.02 seconds after T(ov);</w:t>
      </w:r>
    </w:p>
    <w:p>
      <w:pPr>
        <w:pStyle w:val="ListParagraph"/>
        <w:numPr>
          <w:ilvl w:val="1"/>
          <w:numId w:val="287"/>
        </w:numPr>
        <w:tabs>
          <w:tab w:pos="2485" w:val="left" w:leader="none"/>
          <w:tab w:pos="2486" w:val="left" w:leader="none"/>
        </w:tabs>
        <w:spacing w:line="240" w:lineRule="auto" w:before="120" w:after="0"/>
        <w:ind w:left="2486" w:right="416" w:hanging="567"/>
        <w:jc w:val="left"/>
        <w:rPr>
          <w:sz w:val="24"/>
        </w:rPr>
      </w:pPr>
      <w:r>
        <w:rPr>
          <w:sz w:val="24"/>
        </w:rPr>
        <w:t>125% to 130% of </w:t>
      </w:r>
      <w:r>
        <w:rPr>
          <w:i/>
          <w:sz w:val="24"/>
        </w:rPr>
        <w:t>normal voltage </w:t>
      </w:r>
      <w:r>
        <w:rPr>
          <w:sz w:val="24"/>
        </w:rPr>
        <w:t>for a period of at least 0.2 seconds after</w:t>
      </w:r>
      <w:r>
        <w:rPr>
          <w:spacing w:val="-1"/>
          <w:sz w:val="24"/>
        </w:rPr>
        <w:t> </w:t>
      </w:r>
      <w:r>
        <w:rPr>
          <w:sz w:val="24"/>
        </w:rPr>
        <w:t>T(ov);</w:t>
      </w:r>
    </w:p>
    <w:p>
      <w:pPr>
        <w:pStyle w:val="ListParagraph"/>
        <w:numPr>
          <w:ilvl w:val="1"/>
          <w:numId w:val="287"/>
        </w:numPr>
        <w:tabs>
          <w:tab w:pos="2485" w:val="left" w:leader="none"/>
          <w:tab w:pos="2486" w:val="left" w:leader="none"/>
        </w:tabs>
        <w:spacing w:line="240" w:lineRule="auto" w:before="120" w:after="0"/>
        <w:ind w:left="2486" w:right="416" w:hanging="567"/>
        <w:jc w:val="left"/>
        <w:rPr>
          <w:sz w:val="24"/>
        </w:rPr>
      </w:pPr>
      <w:r>
        <w:rPr>
          <w:sz w:val="24"/>
        </w:rPr>
        <w:t>120% to 125% of </w:t>
      </w:r>
      <w:r>
        <w:rPr>
          <w:i/>
          <w:sz w:val="24"/>
        </w:rPr>
        <w:t>normal voltage </w:t>
      </w:r>
      <w:r>
        <w:rPr>
          <w:sz w:val="24"/>
        </w:rPr>
        <w:t>for a period of at least 2.0 seconds after</w:t>
      </w:r>
      <w:r>
        <w:rPr>
          <w:spacing w:val="-1"/>
          <w:sz w:val="24"/>
        </w:rPr>
        <w:t> </w:t>
      </w:r>
      <w:r>
        <w:rPr>
          <w:sz w:val="24"/>
        </w:rPr>
        <w:t>T(ov);</w:t>
      </w:r>
    </w:p>
    <w:p>
      <w:pPr>
        <w:pStyle w:val="ListParagraph"/>
        <w:numPr>
          <w:ilvl w:val="1"/>
          <w:numId w:val="287"/>
        </w:numPr>
        <w:tabs>
          <w:tab w:pos="2485" w:val="left" w:leader="none"/>
          <w:tab w:pos="2486" w:val="left" w:leader="none"/>
        </w:tabs>
        <w:spacing w:line="240" w:lineRule="auto" w:before="120" w:after="0"/>
        <w:ind w:left="2486" w:right="416" w:hanging="567"/>
        <w:jc w:val="left"/>
        <w:rPr>
          <w:sz w:val="24"/>
        </w:rPr>
      </w:pPr>
      <w:r>
        <w:rPr>
          <w:sz w:val="24"/>
        </w:rPr>
        <w:t>115% to 120% of </w:t>
      </w:r>
      <w:r>
        <w:rPr>
          <w:i/>
          <w:sz w:val="24"/>
        </w:rPr>
        <w:t>normal voltage </w:t>
      </w:r>
      <w:r>
        <w:rPr>
          <w:sz w:val="24"/>
        </w:rPr>
        <w:t>for a period of at least 20.0 seconds after</w:t>
      </w:r>
      <w:r>
        <w:rPr>
          <w:spacing w:val="-1"/>
          <w:sz w:val="24"/>
        </w:rPr>
        <w:t> </w:t>
      </w:r>
      <w:r>
        <w:rPr>
          <w:sz w:val="24"/>
        </w:rPr>
        <w:t>T(ov);</w:t>
      </w:r>
    </w:p>
    <w:p>
      <w:pPr>
        <w:pStyle w:val="ListParagraph"/>
        <w:numPr>
          <w:ilvl w:val="1"/>
          <w:numId w:val="287"/>
        </w:numPr>
        <w:tabs>
          <w:tab w:pos="2485" w:val="left" w:leader="none"/>
          <w:tab w:pos="2486" w:val="left" w:leader="none"/>
        </w:tabs>
        <w:spacing w:line="240" w:lineRule="auto" w:before="120" w:after="0"/>
        <w:ind w:left="2486" w:right="415" w:hanging="567"/>
        <w:jc w:val="left"/>
        <w:rPr>
          <w:sz w:val="24"/>
        </w:rPr>
      </w:pPr>
      <w:r>
        <w:rPr>
          <w:sz w:val="24"/>
        </w:rPr>
        <w:t>110% to 115% of </w:t>
      </w:r>
      <w:r>
        <w:rPr>
          <w:i/>
          <w:sz w:val="24"/>
        </w:rPr>
        <w:t>normal voltage </w:t>
      </w:r>
      <w:r>
        <w:rPr>
          <w:sz w:val="24"/>
        </w:rPr>
        <w:t>for a period of at least 20 minutes after</w:t>
      </w:r>
      <w:r>
        <w:rPr>
          <w:spacing w:val="-1"/>
          <w:sz w:val="24"/>
        </w:rPr>
        <w:t> </w:t>
      </w:r>
      <w:r>
        <w:rPr>
          <w:sz w:val="24"/>
        </w:rPr>
        <w:t>T(ov);</w:t>
      </w:r>
    </w:p>
    <w:p>
      <w:pPr>
        <w:pStyle w:val="ListParagraph"/>
        <w:numPr>
          <w:ilvl w:val="1"/>
          <w:numId w:val="287"/>
        </w:numPr>
        <w:tabs>
          <w:tab w:pos="2485" w:val="left" w:leader="none"/>
          <w:tab w:pos="2486" w:val="left" w:leader="none"/>
        </w:tabs>
        <w:spacing w:line="240" w:lineRule="auto" w:before="120" w:after="0"/>
        <w:ind w:left="2485" w:right="0" w:hanging="567"/>
        <w:jc w:val="left"/>
        <w:rPr>
          <w:sz w:val="24"/>
        </w:rPr>
      </w:pPr>
      <w:r>
        <w:rPr>
          <w:sz w:val="24"/>
        </w:rPr>
        <w:t>90% to 110% of </w:t>
      </w:r>
      <w:r>
        <w:rPr>
          <w:i/>
          <w:sz w:val="24"/>
        </w:rPr>
        <w:t>normal voltage</w:t>
      </w:r>
      <w:r>
        <w:rPr>
          <w:i/>
          <w:spacing w:val="-1"/>
          <w:sz w:val="24"/>
        </w:rPr>
        <w:t> </w:t>
      </w:r>
      <w:r>
        <w:rPr>
          <w:sz w:val="24"/>
        </w:rPr>
        <w:t>continuously;</w:t>
      </w:r>
    </w:p>
    <w:p>
      <w:pPr>
        <w:pStyle w:val="ListParagraph"/>
        <w:numPr>
          <w:ilvl w:val="1"/>
          <w:numId w:val="287"/>
        </w:numPr>
        <w:tabs>
          <w:tab w:pos="2485" w:val="left" w:leader="none"/>
          <w:tab w:pos="2486" w:val="left" w:leader="none"/>
        </w:tabs>
        <w:spacing w:line="240" w:lineRule="auto" w:before="120" w:after="0"/>
        <w:ind w:left="2486" w:right="415" w:hanging="567"/>
        <w:jc w:val="left"/>
        <w:rPr>
          <w:sz w:val="24"/>
        </w:rPr>
      </w:pPr>
      <w:r>
        <w:rPr>
          <w:sz w:val="24"/>
        </w:rPr>
        <w:t>80% to 90% of </w:t>
      </w:r>
      <w:r>
        <w:rPr>
          <w:i/>
          <w:sz w:val="24"/>
        </w:rPr>
        <w:t>normal voltage </w:t>
      </w:r>
      <w:r>
        <w:rPr>
          <w:sz w:val="24"/>
        </w:rPr>
        <w:t>for a period of at least 10 seconds after T(uv); and</w:t>
      </w:r>
    </w:p>
    <w:p>
      <w:pPr>
        <w:pStyle w:val="ListParagraph"/>
        <w:numPr>
          <w:ilvl w:val="1"/>
          <w:numId w:val="287"/>
        </w:numPr>
        <w:tabs>
          <w:tab w:pos="2485" w:val="left" w:leader="none"/>
          <w:tab w:pos="2486" w:val="left" w:leader="none"/>
        </w:tabs>
        <w:spacing w:line="240" w:lineRule="auto" w:before="120" w:after="0"/>
        <w:ind w:left="2486" w:right="415" w:hanging="567"/>
        <w:jc w:val="left"/>
        <w:rPr>
          <w:sz w:val="24"/>
        </w:rPr>
      </w:pPr>
      <w:r>
        <w:rPr>
          <w:sz w:val="24"/>
        </w:rPr>
        <w:t>70% to 80% of </w:t>
      </w:r>
      <w:r>
        <w:rPr>
          <w:i/>
          <w:sz w:val="24"/>
        </w:rPr>
        <w:t>normal voltage </w:t>
      </w:r>
      <w:r>
        <w:rPr>
          <w:sz w:val="24"/>
        </w:rPr>
        <w:t>for a period of at least 2 seconds after T(uv),</w:t>
      </w:r>
    </w:p>
    <w:p>
      <w:pPr>
        <w:spacing w:before="120"/>
        <w:ind w:left="1919" w:right="414" w:firstLine="0"/>
        <w:jc w:val="both"/>
        <w:rPr>
          <w:sz w:val="24"/>
        </w:rPr>
      </w:pPr>
      <w:r>
        <w:rPr>
          <w:sz w:val="24"/>
        </w:rPr>
        <w:t>where T(ov) means a point in time when the </w:t>
      </w:r>
      <w:r>
        <w:rPr>
          <w:i/>
          <w:sz w:val="24"/>
        </w:rPr>
        <w:t>voltage </w:t>
      </w:r>
      <w:r>
        <w:rPr>
          <w:sz w:val="24"/>
        </w:rPr>
        <w:t>at the </w:t>
      </w:r>
      <w:r>
        <w:rPr>
          <w:i/>
          <w:sz w:val="24"/>
        </w:rPr>
        <w:t>connection point </w:t>
      </w:r>
      <w:r>
        <w:rPr>
          <w:sz w:val="24"/>
        </w:rPr>
        <w:t>first varied above 110% of </w:t>
      </w:r>
      <w:r>
        <w:rPr>
          <w:i/>
          <w:sz w:val="24"/>
        </w:rPr>
        <w:t>normal voltage </w:t>
      </w:r>
      <w:r>
        <w:rPr>
          <w:sz w:val="24"/>
        </w:rPr>
        <w:t>before returning to between 90% and 110% of </w:t>
      </w:r>
      <w:r>
        <w:rPr>
          <w:i/>
          <w:sz w:val="24"/>
        </w:rPr>
        <w:t>normal voltage</w:t>
      </w:r>
      <w:r>
        <w:rPr>
          <w:sz w:val="24"/>
        </w:rPr>
        <w:t>, and T(uv) means a point in time when the </w:t>
      </w:r>
      <w:r>
        <w:rPr>
          <w:i/>
          <w:sz w:val="24"/>
        </w:rPr>
        <w:t>voltage </w:t>
      </w:r>
      <w:r>
        <w:rPr>
          <w:sz w:val="24"/>
        </w:rPr>
        <w:t>at the </w:t>
      </w:r>
      <w:r>
        <w:rPr>
          <w:i/>
          <w:sz w:val="24"/>
        </w:rPr>
        <w:t>connection point </w:t>
      </w:r>
      <w:r>
        <w:rPr>
          <w:sz w:val="24"/>
        </w:rPr>
        <w:t>first varied below 90% of </w:t>
      </w:r>
      <w:r>
        <w:rPr>
          <w:i/>
          <w:sz w:val="24"/>
        </w:rPr>
        <w:t>normal voltage </w:t>
      </w:r>
      <w:r>
        <w:rPr>
          <w:sz w:val="24"/>
        </w:rPr>
        <w:t>before returning to between 90% and 110% of </w:t>
      </w:r>
      <w:r>
        <w:rPr>
          <w:i/>
          <w:sz w:val="24"/>
        </w:rPr>
        <w:t>normal voltage</w:t>
      </w:r>
      <w:r>
        <w:rPr>
          <w:sz w:val="24"/>
        </w:rPr>
        <w:t>.</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87"/>
        </w:numPr>
        <w:tabs>
          <w:tab w:pos="1919" w:val="left" w:leader="none"/>
        </w:tabs>
        <w:spacing w:line="240" w:lineRule="auto" w:before="120" w:after="0"/>
        <w:ind w:left="1919" w:right="414" w:hanging="567"/>
        <w:jc w:val="both"/>
        <w:rPr>
          <w:sz w:val="24"/>
        </w:rPr>
      </w:pPr>
      <w:r>
        <w:rPr>
          <w:sz w:val="24"/>
        </w:rPr>
        <w:t>The </w:t>
      </w:r>
      <w:r>
        <w:rPr>
          <w:i/>
          <w:sz w:val="24"/>
        </w:rPr>
        <w:t>minimum access standard </w:t>
      </w:r>
      <w:r>
        <w:rPr>
          <w:sz w:val="24"/>
        </w:rPr>
        <w:t>is a </w:t>
      </w:r>
      <w:r>
        <w:rPr>
          <w:i/>
          <w:sz w:val="24"/>
        </w:rPr>
        <w:t>generating system </w:t>
      </w:r>
      <w:r>
        <w:rPr>
          <w:sz w:val="24"/>
        </w:rPr>
        <w:t>including all operating </w:t>
      </w:r>
      <w:r>
        <w:rPr>
          <w:i/>
          <w:sz w:val="24"/>
        </w:rPr>
        <w:t>generating units </w:t>
      </w:r>
      <w:r>
        <w:rPr>
          <w:sz w:val="24"/>
        </w:rPr>
        <w:t>must be capable of </w:t>
      </w:r>
      <w:r>
        <w:rPr>
          <w:i/>
          <w:sz w:val="24"/>
        </w:rPr>
        <w:t>continuous uninterrupted operation </w:t>
      </w:r>
      <w:r>
        <w:rPr>
          <w:sz w:val="24"/>
        </w:rPr>
        <w:t>where a </w:t>
      </w:r>
      <w:r>
        <w:rPr>
          <w:i/>
          <w:sz w:val="24"/>
        </w:rPr>
        <w:t>power system </w:t>
      </w:r>
      <w:r>
        <w:rPr>
          <w:sz w:val="24"/>
        </w:rPr>
        <w:t>disturbance causes the </w:t>
      </w:r>
      <w:r>
        <w:rPr>
          <w:i/>
          <w:sz w:val="24"/>
        </w:rPr>
        <w:t>voltage </w:t>
      </w:r>
      <w:r>
        <w:rPr>
          <w:sz w:val="24"/>
        </w:rPr>
        <w:t>at the </w:t>
      </w:r>
      <w:r>
        <w:rPr>
          <w:i/>
          <w:sz w:val="24"/>
        </w:rPr>
        <w:t>connection point </w:t>
      </w:r>
      <w:r>
        <w:rPr>
          <w:sz w:val="24"/>
        </w:rPr>
        <w:t>to vary within the following</w:t>
      </w:r>
      <w:r>
        <w:rPr>
          <w:spacing w:val="-1"/>
          <w:sz w:val="24"/>
        </w:rPr>
        <w:t> </w:t>
      </w:r>
      <w:r>
        <w:rPr>
          <w:sz w:val="24"/>
        </w:rPr>
        <w:t>ranges:</w:t>
      </w:r>
    </w:p>
    <w:p>
      <w:pPr>
        <w:pStyle w:val="ListParagraph"/>
        <w:numPr>
          <w:ilvl w:val="1"/>
          <w:numId w:val="287"/>
        </w:numPr>
        <w:tabs>
          <w:tab w:pos="2486" w:val="left" w:leader="none"/>
        </w:tabs>
        <w:spacing w:line="240" w:lineRule="auto" w:before="120" w:after="0"/>
        <w:ind w:left="2486" w:right="416" w:hanging="567"/>
        <w:jc w:val="both"/>
        <w:rPr>
          <w:sz w:val="24"/>
        </w:rPr>
      </w:pPr>
      <w:r>
        <w:rPr>
          <w:sz w:val="24"/>
        </w:rPr>
        <w:t>115% to 120% of </w:t>
      </w:r>
      <w:r>
        <w:rPr>
          <w:i/>
          <w:sz w:val="24"/>
        </w:rPr>
        <w:t>normal voltage </w:t>
      </w:r>
      <w:r>
        <w:rPr>
          <w:sz w:val="24"/>
        </w:rPr>
        <w:t>for a period of at least 0.1 seconds after</w:t>
      </w:r>
      <w:r>
        <w:rPr>
          <w:spacing w:val="-1"/>
          <w:sz w:val="24"/>
        </w:rPr>
        <w:t> </w:t>
      </w:r>
      <w:r>
        <w:rPr>
          <w:sz w:val="24"/>
        </w:rPr>
        <w:t>T(ov);</w:t>
      </w:r>
    </w:p>
    <w:p>
      <w:pPr>
        <w:pStyle w:val="ListParagraph"/>
        <w:numPr>
          <w:ilvl w:val="1"/>
          <w:numId w:val="287"/>
        </w:numPr>
        <w:tabs>
          <w:tab w:pos="2486" w:val="left" w:leader="none"/>
        </w:tabs>
        <w:spacing w:line="240" w:lineRule="auto" w:before="120" w:after="0"/>
        <w:ind w:left="2486" w:right="416" w:hanging="567"/>
        <w:jc w:val="both"/>
        <w:rPr>
          <w:sz w:val="24"/>
        </w:rPr>
      </w:pPr>
      <w:r>
        <w:rPr>
          <w:sz w:val="24"/>
        </w:rPr>
        <w:t>110% to 115% of </w:t>
      </w:r>
      <w:r>
        <w:rPr>
          <w:i/>
          <w:sz w:val="24"/>
        </w:rPr>
        <w:t>normal voltage </w:t>
      </w:r>
      <w:r>
        <w:rPr>
          <w:sz w:val="24"/>
        </w:rPr>
        <w:t>for a period of at least 0.9 seconds after</w:t>
      </w:r>
      <w:r>
        <w:rPr>
          <w:spacing w:val="-1"/>
          <w:sz w:val="24"/>
        </w:rPr>
        <w:t> </w:t>
      </w:r>
      <w:r>
        <w:rPr>
          <w:sz w:val="24"/>
        </w:rPr>
        <w:t>T(ov);</w:t>
      </w:r>
    </w:p>
    <w:p>
      <w:pPr>
        <w:pStyle w:val="ListParagraph"/>
        <w:numPr>
          <w:ilvl w:val="1"/>
          <w:numId w:val="287"/>
        </w:numPr>
        <w:tabs>
          <w:tab w:pos="2486" w:val="left" w:leader="none"/>
        </w:tabs>
        <w:spacing w:line="240" w:lineRule="auto" w:before="120" w:after="0"/>
        <w:ind w:left="2486" w:right="414" w:hanging="567"/>
        <w:jc w:val="both"/>
        <w:rPr>
          <w:sz w:val="24"/>
        </w:rPr>
      </w:pPr>
      <w:r>
        <w:rPr>
          <w:sz w:val="24"/>
        </w:rPr>
        <w:t>90% to 110% of </w:t>
      </w:r>
      <w:r>
        <w:rPr>
          <w:i/>
          <w:sz w:val="24"/>
        </w:rPr>
        <w:t>normal voltage </w:t>
      </w:r>
      <w:r>
        <w:rPr>
          <w:sz w:val="24"/>
        </w:rPr>
        <w:t>continuously, provided that the </w:t>
      </w:r>
      <w:r>
        <w:rPr>
          <w:spacing w:val="-4"/>
          <w:sz w:val="24"/>
        </w:rPr>
        <w:t>ratio </w:t>
      </w:r>
      <w:r>
        <w:rPr>
          <w:sz w:val="24"/>
        </w:rPr>
        <w:t>of </w:t>
      </w:r>
      <w:r>
        <w:rPr>
          <w:i/>
          <w:sz w:val="24"/>
        </w:rPr>
        <w:t>voltage </w:t>
      </w:r>
      <w:r>
        <w:rPr>
          <w:sz w:val="24"/>
        </w:rPr>
        <w:t>to </w:t>
      </w:r>
      <w:r>
        <w:rPr>
          <w:i/>
          <w:sz w:val="24"/>
        </w:rPr>
        <w:t>frequency </w:t>
      </w:r>
      <w:r>
        <w:rPr>
          <w:sz w:val="24"/>
        </w:rPr>
        <w:t>(as measured at the </w:t>
      </w:r>
      <w:r>
        <w:rPr>
          <w:i/>
          <w:sz w:val="24"/>
        </w:rPr>
        <w:t>connection point </w:t>
      </w:r>
      <w:r>
        <w:rPr>
          <w:sz w:val="24"/>
        </w:rPr>
        <w:t>and expressed as a percentage of </w:t>
      </w:r>
      <w:r>
        <w:rPr>
          <w:i/>
          <w:sz w:val="24"/>
        </w:rPr>
        <w:t>normal voltage </w:t>
      </w:r>
      <w:r>
        <w:rPr>
          <w:sz w:val="24"/>
        </w:rPr>
        <w:t>and a percentage of </w:t>
      </w:r>
      <w:r>
        <w:rPr>
          <w:spacing w:val="-6"/>
          <w:sz w:val="24"/>
        </w:rPr>
        <w:t>50 </w:t>
      </w:r>
      <w:r>
        <w:rPr>
          <w:sz w:val="24"/>
        </w:rPr>
        <w:t>Hz) does not</w:t>
      </w:r>
      <w:r>
        <w:rPr>
          <w:spacing w:val="-2"/>
          <w:sz w:val="24"/>
        </w:rPr>
        <w:t> </w:t>
      </w:r>
      <w:r>
        <w:rPr>
          <w:sz w:val="24"/>
        </w:rPr>
        <w:t>exceed:</w:t>
      </w:r>
    </w:p>
    <w:p>
      <w:pPr>
        <w:pStyle w:val="ListParagraph"/>
        <w:numPr>
          <w:ilvl w:val="2"/>
          <w:numId w:val="287"/>
        </w:numPr>
        <w:tabs>
          <w:tab w:pos="3053" w:val="left" w:leader="none"/>
        </w:tabs>
        <w:spacing w:line="240" w:lineRule="auto" w:before="120" w:after="0"/>
        <w:ind w:left="3052" w:right="0" w:hanging="567"/>
        <w:jc w:val="both"/>
        <w:rPr>
          <w:sz w:val="24"/>
        </w:rPr>
      </w:pPr>
      <w:r>
        <w:rPr>
          <w:sz w:val="24"/>
        </w:rPr>
        <w:t>a value of 1.15 for more than 2 minutes;</w:t>
      </w:r>
      <w:r>
        <w:rPr>
          <w:spacing w:val="-2"/>
          <w:sz w:val="24"/>
        </w:rPr>
        <w:t> </w:t>
      </w:r>
      <w:r>
        <w:rPr>
          <w:sz w:val="24"/>
        </w:rPr>
        <w:t>or</w:t>
      </w:r>
    </w:p>
    <w:p>
      <w:pPr>
        <w:pStyle w:val="ListParagraph"/>
        <w:numPr>
          <w:ilvl w:val="2"/>
          <w:numId w:val="287"/>
        </w:numPr>
        <w:tabs>
          <w:tab w:pos="3054" w:val="left" w:leader="none"/>
        </w:tabs>
        <w:spacing w:line="240" w:lineRule="auto" w:before="120" w:after="0"/>
        <w:ind w:left="3053" w:right="0" w:hanging="568"/>
        <w:jc w:val="both"/>
        <w:rPr>
          <w:sz w:val="24"/>
        </w:rPr>
      </w:pPr>
      <w:r>
        <w:rPr>
          <w:sz w:val="24"/>
        </w:rPr>
        <w:t>a value of 1.10 for more than 10</w:t>
      </w:r>
      <w:r>
        <w:rPr>
          <w:spacing w:val="-2"/>
          <w:sz w:val="24"/>
        </w:rPr>
        <w:t> </w:t>
      </w:r>
      <w:r>
        <w:rPr>
          <w:sz w:val="24"/>
        </w:rPr>
        <w:t>minutes;</w:t>
      </w:r>
    </w:p>
    <w:p>
      <w:pPr>
        <w:pStyle w:val="ListParagraph"/>
        <w:numPr>
          <w:ilvl w:val="1"/>
          <w:numId w:val="287"/>
        </w:numPr>
        <w:tabs>
          <w:tab w:pos="2486" w:val="left" w:leader="none"/>
        </w:tabs>
        <w:spacing w:line="240" w:lineRule="auto" w:before="120" w:after="0"/>
        <w:ind w:left="2486" w:right="415" w:hanging="567"/>
        <w:jc w:val="both"/>
        <w:rPr>
          <w:sz w:val="24"/>
        </w:rPr>
      </w:pPr>
      <w:r>
        <w:rPr>
          <w:sz w:val="24"/>
        </w:rPr>
        <w:t>80% to 90% of </w:t>
      </w:r>
      <w:r>
        <w:rPr>
          <w:i/>
          <w:sz w:val="24"/>
        </w:rPr>
        <w:t>normal voltage </w:t>
      </w:r>
      <w:r>
        <w:rPr>
          <w:sz w:val="24"/>
        </w:rPr>
        <w:t>for a period of at least 5 seconds after T(uv); and</w:t>
      </w:r>
    </w:p>
    <w:p>
      <w:pPr>
        <w:pStyle w:val="ListParagraph"/>
        <w:numPr>
          <w:ilvl w:val="1"/>
          <w:numId w:val="287"/>
        </w:numPr>
        <w:tabs>
          <w:tab w:pos="2486" w:val="left" w:leader="none"/>
        </w:tabs>
        <w:spacing w:line="240" w:lineRule="auto" w:before="120" w:after="0"/>
        <w:ind w:left="2486" w:right="415" w:hanging="567"/>
        <w:jc w:val="both"/>
        <w:rPr>
          <w:sz w:val="24"/>
        </w:rPr>
      </w:pPr>
      <w:r>
        <w:rPr>
          <w:sz w:val="24"/>
        </w:rPr>
        <w:t>70% to 80% of </w:t>
      </w:r>
      <w:r>
        <w:rPr>
          <w:i/>
          <w:sz w:val="24"/>
        </w:rPr>
        <w:t>normal voltage </w:t>
      </w:r>
      <w:r>
        <w:rPr>
          <w:sz w:val="24"/>
        </w:rPr>
        <w:t>for a period of at least 2 seconds after T(uv),</w:t>
      </w:r>
    </w:p>
    <w:p>
      <w:pPr>
        <w:spacing w:after="0" w:line="240" w:lineRule="auto"/>
        <w:jc w:val="both"/>
        <w:rPr>
          <w:sz w:val="24"/>
        </w:rPr>
        <w:sectPr>
          <w:pgSz w:w="11910" w:h="16840"/>
          <w:pgMar w:header="686" w:footer="637" w:top="1320" w:bottom="820" w:left="1200" w:right="1000"/>
        </w:sectPr>
      </w:pPr>
    </w:p>
    <w:p>
      <w:pPr>
        <w:spacing w:before="83"/>
        <w:ind w:left="1919" w:right="414" w:firstLine="0"/>
        <w:jc w:val="both"/>
        <w:rPr>
          <w:sz w:val="24"/>
        </w:rPr>
      </w:pPr>
      <w:r>
        <w:rPr>
          <w:sz w:val="24"/>
        </w:rPr>
        <w:t>where T(ov) means a point in time when the </w:t>
      </w:r>
      <w:r>
        <w:rPr>
          <w:i/>
          <w:sz w:val="24"/>
        </w:rPr>
        <w:t>voltage </w:t>
      </w:r>
      <w:r>
        <w:rPr>
          <w:sz w:val="24"/>
        </w:rPr>
        <w:t>at the </w:t>
      </w:r>
      <w:r>
        <w:rPr>
          <w:i/>
          <w:sz w:val="24"/>
        </w:rPr>
        <w:t>connection point </w:t>
      </w:r>
      <w:r>
        <w:rPr>
          <w:sz w:val="24"/>
        </w:rPr>
        <w:t>first varied above 110% of </w:t>
      </w:r>
      <w:r>
        <w:rPr>
          <w:i/>
          <w:sz w:val="24"/>
        </w:rPr>
        <w:t>normal voltage </w:t>
      </w:r>
      <w:r>
        <w:rPr>
          <w:sz w:val="24"/>
        </w:rPr>
        <w:t>before returning to between 90% and 110% of </w:t>
      </w:r>
      <w:r>
        <w:rPr>
          <w:i/>
          <w:sz w:val="24"/>
        </w:rPr>
        <w:t>normal voltage</w:t>
      </w:r>
      <w:r>
        <w:rPr>
          <w:sz w:val="24"/>
        </w:rPr>
        <w:t>, and T(uv) means a point in time when the </w:t>
      </w:r>
      <w:r>
        <w:rPr>
          <w:i/>
          <w:sz w:val="24"/>
        </w:rPr>
        <w:t>voltage </w:t>
      </w:r>
      <w:r>
        <w:rPr>
          <w:sz w:val="24"/>
        </w:rPr>
        <w:t>at the </w:t>
      </w:r>
      <w:r>
        <w:rPr>
          <w:i/>
          <w:sz w:val="24"/>
        </w:rPr>
        <w:t>connection point </w:t>
      </w:r>
      <w:r>
        <w:rPr>
          <w:sz w:val="24"/>
        </w:rPr>
        <w:t>first varied below 90% of </w:t>
      </w:r>
      <w:r>
        <w:rPr>
          <w:i/>
          <w:sz w:val="24"/>
        </w:rPr>
        <w:t>normal voltage </w:t>
      </w:r>
      <w:r>
        <w:rPr>
          <w:sz w:val="24"/>
        </w:rPr>
        <w:t>before returning to between 90% and 110% of </w:t>
      </w:r>
      <w:r>
        <w:rPr>
          <w:i/>
          <w:sz w:val="24"/>
        </w:rPr>
        <w:t>normal voltage</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87"/>
        </w:numPr>
        <w:tabs>
          <w:tab w:pos="1919" w:val="left" w:leader="none"/>
        </w:tabs>
        <w:spacing w:line="240" w:lineRule="auto" w:before="120" w:after="0"/>
        <w:ind w:left="1919" w:right="414" w:hanging="567"/>
        <w:jc w:val="both"/>
        <w:rPr>
          <w:sz w:val="24"/>
        </w:rPr>
      </w:pPr>
      <w:r>
        <w:rPr>
          <w:sz w:val="24"/>
        </w:rPr>
        <w:t>In negotiating a </w:t>
      </w:r>
      <w:r>
        <w:rPr>
          <w:i/>
          <w:sz w:val="24"/>
        </w:rPr>
        <w:t>negotiated access standard</w:t>
      </w:r>
      <w:r>
        <w:rPr>
          <w:sz w:val="24"/>
        </w:rPr>
        <w:t>, a </w:t>
      </w:r>
      <w:r>
        <w:rPr>
          <w:i/>
          <w:sz w:val="24"/>
        </w:rPr>
        <w:t>generating system </w:t>
      </w:r>
      <w:r>
        <w:rPr>
          <w:sz w:val="24"/>
        </w:rPr>
        <w:t>and each  of its operating </w:t>
      </w:r>
      <w:r>
        <w:rPr>
          <w:i/>
          <w:sz w:val="24"/>
        </w:rPr>
        <w:t>generating units </w:t>
      </w:r>
      <w:r>
        <w:rPr>
          <w:sz w:val="24"/>
        </w:rPr>
        <w:t>must be capable of </w:t>
      </w:r>
      <w:r>
        <w:rPr>
          <w:i/>
          <w:sz w:val="24"/>
        </w:rPr>
        <w:t>continuous </w:t>
      </w:r>
      <w:r>
        <w:rPr>
          <w:i/>
          <w:sz w:val="24"/>
        </w:rPr>
        <w:t>uninterrupted operation </w:t>
      </w:r>
      <w:r>
        <w:rPr>
          <w:sz w:val="24"/>
        </w:rPr>
        <w:t>for the range of </w:t>
      </w:r>
      <w:r>
        <w:rPr>
          <w:i/>
          <w:sz w:val="24"/>
        </w:rPr>
        <w:t>voltages </w:t>
      </w:r>
      <w:r>
        <w:rPr>
          <w:sz w:val="24"/>
        </w:rPr>
        <w:t>specified in the </w:t>
      </w:r>
      <w:r>
        <w:rPr>
          <w:i/>
          <w:sz w:val="24"/>
        </w:rPr>
        <w:t>automatic </w:t>
      </w:r>
      <w:r>
        <w:rPr>
          <w:i/>
          <w:sz w:val="24"/>
        </w:rPr>
        <w:t>access standard</w:t>
      </w:r>
      <w:r>
        <w:rPr>
          <w:sz w:val="24"/>
        </w:rPr>
        <w:t>, except where </w:t>
      </w:r>
      <w:r>
        <w:rPr>
          <w:i/>
          <w:sz w:val="24"/>
        </w:rPr>
        <w:t>AEMO </w:t>
      </w:r>
      <w:r>
        <w:rPr>
          <w:sz w:val="24"/>
        </w:rPr>
        <w:t>and the </w:t>
      </w:r>
      <w:r>
        <w:rPr>
          <w:i/>
          <w:sz w:val="24"/>
        </w:rPr>
        <w:t>Network Service Provider </w:t>
      </w:r>
      <w:r>
        <w:rPr>
          <w:sz w:val="24"/>
        </w:rPr>
        <w:t>agree that the total reduction of </w:t>
      </w:r>
      <w:r>
        <w:rPr>
          <w:i/>
          <w:sz w:val="24"/>
        </w:rPr>
        <w:t>generation </w:t>
      </w:r>
      <w:r>
        <w:rPr>
          <w:sz w:val="24"/>
        </w:rPr>
        <w:t>in the </w:t>
      </w:r>
      <w:r>
        <w:rPr>
          <w:i/>
          <w:sz w:val="24"/>
        </w:rPr>
        <w:t>power system </w:t>
      </w:r>
      <w:r>
        <w:rPr>
          <w:sz w:val="24"/>
        </w:rPr>
        <w:t>as a result of any </w:t>
      </w:r>
      <w:r>
        <w:rPr>
          <w:i/>
          <w:sz w:val="24"/>
        </w:rPr>
        <w:t>voltage </w:t>
      </w:r>
      <w:r>
        <w:rPr>
          <w:sz w:val="24"/>
        </w:rPr>
        <w:t>excursion within levels specified by the </w:t>
      </w:r>
      <w:r>
        <w:rPr>
          <w:i/>
          <w:sz w:val="24"/>
        </w:rPr>
        <w:t>automatic access </w:t>
      </w:r>
      <w:r>
        <w:rPr>
          <w:i/>
          <w:sz w:val="24"/>
        </w:rPr>
        <w:t>standard </w:t>
      </w:r>
      <w:r>
        <w:rPr>
          <w:sz w:val="24"/>
        </w:rPr>
        <w:t>would not exceed 100 MW, or a greater limit based on what </w:t>
      </w:r>
      <w:r>
        <w:rPr>
          <w:i/>
          <w:sz w:val="24"/>
        </w:rPr>
        <w:t>AEMO </w:t>
      </w:r>
      <w:r>
        <w:rPr>
          <w:sz w:val="24"/>
        </w:rPr>
        <w:t>and the </w:t>
      </w:r>
      <w:r>
        <w:rPr>
          <w:i/>
          <w:sz w:val="24"/>
        </w:rPr>
        <w:t>Network Service Provider </w:t>
      </w:r>
      <w:r>
        <w:rPr>
          <w:sz w:val="24"/>
        </w:rPr>
        <w:t>both consider to be reasonable in the</w:t>
      </w:r>
      <w:r>
        <w:rPr>
          <w:spacing w:val="-1"/>
          <w:sz w:val="24"/>
        </w:rPr>
        <w:t> </w:t>
      </w:r>
      <w:r>
        <w:rPr>
          <w:sz w:val="24"/>
        </w:rPr>
        <w:t>circumstances.</w:t>
      </w:r>
    </w:p>
    <w:p>
      <w:pPr>
        <w:pStyle w:val="ListParagraph"/>
        <w:numPr>
          <w:ilvl w:val="0"/>
          <w:numId w:val="287"/>
        </w:numPr>
        <w:tabs>
          <w:tab w:pos="1919" w:val="left" w:leader="none"/>
        </w:tabs>
        <w:spacing w:line="240" w:lineRule="auto" w:before="120" w:after="0"/>
        <w:ind w:left="1919" w:right="414" w:hanging="567"/>
        <w:jc w:val="both"/>
        <w:rPr>
          <w:sz w:val="24"/>
        </w:rPr>
      </w:pPr>
      <w:r>
        <w:rPr>
          <w:sz w:val="24"/>
        </w:rPr>
        <w:t>In carrying out assessments of proposed </w:t>
      </w:r>
      <w:r>
        <w:rPr>
          <w:i/>
          <w:sz w:val="24"/>
        </w:rPr>
        <w:t>negotiated access standards </w:t>
      </w:r>
      <w:r>
        <w:rPr>
          <w:sz w:val="24"/>
        </w:rPr>
        <w:t>under this clause S5.2.5.4, </w:t>
      </w:r>
      <w:r>
        <w:rPr>
          <w:i/>
          <w:sz w:val="24"/>
        </w:rPr>
        <w:t>AEMO </w:t>
      </w:r>
      <w:r>
        <w:rPr>
          <w:sz w:val="24"/>
        </w:rPr>
        <w:t>and the </w:t>
      </w:r>
      <w:r>
        <w:rPr>
          <w:i/>
          <w:sz w:val="24"/>
        </w:rPr>
        <w:t>Network Service Provider </w:t>
      </w:r>
      <w:r>
        <w:rPr>
          <w:sz w:val="24"/>
        </w:rPr>
        <w:t>must at a minimum, in addition to the requirements of clauses 5.3.4A(d1) </w:t>
      </w:r>
      <w:r>
        <w:rPr>
          <w:spacing w:val="-4"/>
          <w:sz w:val="24"/>
        </w:rPr>
        <w:t>and</w:t>
      </w:r>
      <w:r>
        <w:rPr>
          <w:spacing w:val="52"/>
          <w:sz w:val="24"/>
        </w:rPr>
        <w:t> </w:t>
      </w:r>
      <w:r>
        <w:rPr>
          <w:sz w:val="24"/>
        </w:rPr>
        <w:t>5.3.4A(g) respectively, take into</w:t>
      </w:r>
      <w:r>
        <w:rPr>
          <w:spacing w:val="-1"/>
          <w:sz w:val="24"/>
        </w:rPr>
        <w:t> </w:t>
      </w:r>
      <w:r>
        <w:rPr>
          <w:sz w:val="24"/>
        </w:rPr>
        <w:t>account:</w:t>
      </w:r>
    </w:p>
    <w:p>
      <w:pPr>
        <w:pStyle w:val="ListParagraph"/>
        <w:numPr>
          <w:ilvl w:val="1"/>
          <w:numId w:val="287"/>
        </w:numPr>
        <w:tabs>
          <w:tab w:pos="2486" w:val="left" w:leader="none"/>
        </w:tabs>
        <w:spacing w:line="240" w:lineRule="auto" w:before="120" w:after="0"/>
        <w:ind w:left="2486" w:right="415" w:hanging="567"/>
        <w:jc w:val="both"/>
        <w:rPr>
          <w:sz w:val="24"/>
        </w:rPr>
      </w:pPr>
      <w:r>
        <w:rPr>
          <w:sz w:val="24"/>
        </w:rPr>
        <w:t>the expected performance of existing </w:t>
      </w:r>
      <w:r>
        <w:rPr>
          <w:i/>
          <w:sz w:val="24"/>
        </w:rPr>
        <w:t>networks </w:t>
      </w:r>
      <w:r>
        <w:rPr>
          <w:sz w:val="24"/>
        </w:rPr>
        <w:t>and</w:t>
      </w:r>
      <w:r>
        <w:rPr>
          <w:spacing w:val="31"/>
          <w:sz w:val="24"/>
        </w:rPr>
        <w:t> </w:t>
      </w:r>
      <w:r>
        <w:rPr>
          <w:i/>
          <w:spacing w:val="-3"/>
          <w:sz w:val="24"/>
        </w:rPr>
        <w:t>considered </w:t>
      </w:r>
      <w:r>
        <w:rPr>
          <w:i/>
          <w:sz w:val="24"/>
        </w:rPr>
        <w:t>projects</w:t>
      </w:r>
      <w:r>
        <w:rPr>
          <w:sz w:val="24"/>
        </w:rPr>
        <w:t>;</w:t>
      </w:r>
      <w:r>
        <w:rPr>
          <w:spacing w:val="-1"/>
          <w:sz w:val="24"/>
        </w:rPr>
        <w:t> </w:t>
      </w:r>
      <w:r>
        <w:rPr>
          <w:sz w:val="24"/>
        </w:rPr>
        <w:t>and</w:t>
      </w:r>
    </w:p>
    <w:p>
      <w:pPr>
        <w:pStyle w:val="ListParagraph"/>
        <w:numPr>
          <w:ilvl w:val="1"/>
          <w:numId w:val="287"/>
        </w:numPr>
        <w:tabs>
          <w:tab w:pos="2486" w:val="left" w:leader="none"/>
        </w:tabs>
        <w:spacing w:line="240" w:lineRule="auto" w:before="120" w:after="0"/>
        <w:ind w:left="2486" w:right="415" w:hanging="567"/>
        <w:jc w:val="both"/>
        <w:rPr>
          <w:sz w:val="24"/>
        </w:rPr>
      </w:pPr>
      <w:r>
        <w:rPr>
          <w:sz w:val="24"/>
        </w:rPr>
        <w:t>the expected performance of existing </w:t>
      </w:r>
      <w:r>
        <w:rPr>
          <w:i/>
          <w:sz w:val="24"/>
        </w:rPr>
        <w:t>generating plant </w:t>
      </w:r>
      <w:r>
        <w:rPr>
          <w:sz w:val="24"/>
        </w:rPr>
        <w:t>and other relevant</w:t>
      </w:r>
      <w:r>
        <w:rPr>
          <w:spacing w:val="-1"/>
          <w:sz w:val="24"/>
        </w:rPr>
        <w:t> </w:t>
      </w:r>
      <w:r>
        <w:rPr>
          <w:sz w:val="24"/>
        </w:rPr>
        <w:t>projects.</w:t>
      </w:r>
    </w:p>
    <w:p>
      <w:pPr>
        <w:pStyle w:val="ListParagraph"/>
        <w:numPr>
          <w:ilvl w:val="0"/>
          <w:numId w:val="287"/>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w:t>
      </w:r>
    </w:p>
    <w:p>
      <w:pPr>
        <w:pStyle w:val="ListParagraph"/>
        <w:numPr>
          <w:ilvl w:val="0"/>
          <w:numId w:val="287"/>
        </w:numPr>
        <w:tabs>
          <w:tab w:pos="1920" w:val="left" w:leader="none"/>
        </w:tabs>
        <w:spacing w:line="240" w:lineRule="auto" w:before="120" w:after="0"/>
        <w:ind w:left="1919" w:right="415" w:hanging="567"/>
        <w:jc w:val="both"/>
        <w:rPr>
          <w:sz w:val="24"/>
        </w:rPr>
      </w:pPr>
      <w:r>
        <w:rPr>
          <w:sz w:val="24"/>
        </w:rPr>
        <w:t>The </w:t>
      </w:r>
      <w:r>
        <w:rPr>
          <w:i/>
          <w:sz w:val="24"/>
        </w:rPr>
        <w:t>access standard </w:t>
      </w:r>
      <w:r>
        <w:rPr>
          <w:sz w:val="24"/>
        </w:rPr>
        <w:t>must include any operational arrangements necessary to ensure the </w:t>
      </w:r>
      <w:r>
        <w:rPr>
          <w:i/>
          <w:sz w:val="24"/>
        </w:rPr>
        <w:t>generating system </w:t>
      </w:r>
      <w:r>
        <w:rPr>
          <w:sz w:val="24"/>
        </w:rPr>
        <w:t>and each of its </w:t>
      </w:r>
      <w:r>
        <w:rPr>
          <w:i/>
          <w:sz w:val="24"/>
        </w:rPr>
        <w:t>generating units </w:t>
      </w:r>
      <w:r>
        <w:rPr>
          <w:sz w:val="24"/>
        </w:rPr>
        <w:t>will meet its agreed performance levels under abnormal </w:t>
      </w:r>
      <w:r>
        <w:rPr>
          <w:i/>
          <w:sz w:val="24"/>
        </w:rPr>
        <w:t>network </w:t>
      </w:r>
      <w:r>
        <w:rPr>
          <w:sz w:val="24"/>
        </w:rPr>
        <w:t>or </w:t>
      </w:r>
      <w:r>
        <w:rPr>
          <w:i/>
          <w:sz w:val="24"/>
        </w:rPr>
        <w:t>generating system </w:t>
      </w:r>
      <w:r>
        <w:rPr>
          <w:sz w:val="24"/>
        </w:rPr>
        <w:t>conditions.</w:t>
      </w:r>
    </w:p>
    <w:p>
      <w:pPr>
        <w:pStyle w:val="BodyText"/>
        <w:spacing w:before="10"/>
        <w:ind w:firstLine="0"/>
        <w:jc w:val="left"/>
        <w:rPr>
          <w:sz w:val="20"/>
        </w:rPr>
      </w:pPr>
    </w:p>
    <w:p>
      <w:pPr>
        <w:pStyle w:val="Heading4"/>
        <w:tabs>
          <w:tab w:pos="1351" w:val="left" w:leader="none"/>
        </w:tabs>
        <w:ind w:left="1352" w:right="602"/>
      </w:pPr>
      <w:bookmarkStart w:name="S5.2.5.5 Generating system response to d" w:id="978"/>
      <w:bookmarkEnd w:id="978"/>
      <w:r>
        <w:rPr>
          <w:b w:val="0"/>
        </w:rPr>
      </w:r>
      <w:bookmarkStart w:name="_bookmark381" w:id="979"/>
      <w:bookmarkEnd w:id="979"/>
      <w:r>
        <w:rPr>
          <w:b w:val="0"/>
        </w:rPr>
      </w:r>
      <w:r>
        <w:rPr/>
        <w:t>S5.2.5.5</w:t>
        <w:tab/>
        <w:t>Generating system response to disturbances following contingency events</w:t>
      </w:r>
    </w:p>
    <w:p>
      <w:pPr>
        <w:pStyle w:val="ListParagraph"/>
        <w:numPr>
          <w:ilvl w:val="0"/>
          <w:numId w:val="288"/>
        </w:numPr>
        <w:tabs>
          <w:tab w:pos="1919" w:val="left" w:leader="none"/>
        </w:tabs>
        <w:spacing w:line="240" w:lineRule="auto" w:before="120" w:after="0"/>
        <w:ind w:left="1919" w:right="415" w:hanging="567"/>
        <w:jc w:val="both"/>
        <w:rPr>
          <w:sz w:val="24"/>
        </w:rPr>
      </w:pPr>
      <w:r>
        <w:rPr>
          <w:sz w:val="24"/>
        </w:rPr>
        <w:t>In this clause S5.2.5.5 a fault includes a fault of the relevant type having a metallic conducting</w:t>
      </w:r>
      <w:r>
        <w:rPr>
          <w:spacing w:val="-1"/>
          <w:sz w:val="24"/>
        </w:rPr>
        <w:t> </w:t>
      </w:r>
      <w:r>
        <w:rPr>
          <w:sz w:val="24"/>
        </w:rPr>
        <w:t>path.</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88"/>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automatic access standard</w:t>
      </w:r>
      <w:r>
        <w:rPr>
          <w:i/>
          <w:spacing w:val="-1"/>
          <w:sz w:val="24"/>
        </w:rPr>
        <w:t> </w:t>
      </w:r>
      <w:r>
        <w:rPr>
          <w:sz w:val="24"/>
        </w:rPr>
        <w:t>is:</w:t>
      </w:r>
    </w:p>
    <w:p>
      <w:pPr>
        <w:pStyle w:val="ListParagraph"/>
        <w:numPr>
          <w:ilvl w:val="1"/>
          <w:numId w:val="288"/>
        </w:numPr>
        <w:tabs>
          <w:tab w:pos="2485" w:val="left" w:leader="none"/>
          <w:tab w:pos="2486" w:val="left" w:leader="none"/>
        </w:tabs>
        <w:spacing w:line="240" w:lineRule="auto" w:before="120" w:after="0"/>
        <w:ind w:left="2486" w:right="416" w:hanging="567"/>
        <w:jc w:val="left"/>
        <w:rPr>
          <w:sz w:val="24"/>
        </w:rPr>
      </w:pPr>
      <w:r>
        <w:rPr>
          <w:sz w:val="24"/>
        </w:rPr>
        <w:t>for a </w:t>
      </w:r>
      <w:r>
        <w:rPr>
          <w:i/>
          <w:sz w:val="24"/>
        </w:rPr>
        <w:t>generating system </w:t>
      </w:r>
      <w:r>
        <w:rPr>
          <w:sz w:val="24"/>
        </w:rPr>
        <w:t>and each of its </w:t>
      </w:r>
      <w:r>
        <w:rPr>
          <w:i/>
          <w:sz w:val="24"/>
        </w:rPr>
        <w:t>generating units</w:t>
      </w:r>
      <w:r>
        <w:rPr>
          <w:sz w:val="24"/>
        </w:rPr>
        <w:t>, the requirements of paragraphs (c) and</w:t>
      </w:r>
      <w:r>
        <w:rPr>
          <w:spacing w:val="-1"/>
          <w:sz w:val="24"/>
        </w:rPr>
        <w:t> </w:t>
      </w:r>
      <w:r>
        <w:rPr>
          <w:sz w:val="24"/>
        </w:rPr>
        <w:t>(d);</w:t>
      </w:r>
    </w:p>
    <w:p>
      <w:pPr>
        <w:pStyle w:val="ListParagraph"/>
        <w:numPr>
          <w:ilvl w:val="1"/>
          <w:numId w:val="288"/>
        </w:numPr>
        <w:tabs>
          <w:tab w:pos="2485" w:val="left" w:leader="none"/>
          <w:tab w:pos="2486" w:val="left" w:leader="none"/>
        </w:tabs>
        <w:spacing w:line="240" w:lineRule="auto" w:before="120" w:after="0"/>
        <w:ind w:left="2486" w:right="417" w:hanging="567"/>
        <w:jc w:val="left"/>
        <w:rPr>
          <w:sz w:val="24"/>
        </w:rPr>
      </w:pPr>
      <w:r>
        <w:rPr>
          <w:sz w:val="24"/>
        </w:rPr>
        <w:t>for a </w:t>
      </w:r>
      <w:r>
        <w:rPr>
          <w:i/>
          <w:sz w:val="24"/>
        </w:rPr>
        <w:t>generating system </w:t>
      </w:r>
      <w:r>
        <w:rPr>
          <w:sz w:val="24"/>
        </w:rPr>
        <w:t>comprised solely of </w:t>
      </w:r>
      <w:r>
        <w:rPr>
          <w:i/>
          <w:sz w:val="24"/>
        </w:rPr>
        <w:t>synchronous generating </w:t>
      </w:r>
      <w:r>
        <w:rPr>
          <w:i/>
          <w:sz w:val="24"/>
        </w:rPr>
        <w:t>units</w:t>
      </w:r>
      <w:r>
        <w:rPr>
          <w:sz w:val="24"/>
        </w:rPr>
        <w:t>, the requirements of paragraph</w:t>
      </w:r>
      <w:r>
        <w:rPr>
          <w:spacing w:val="-1"/>
          <w:sz w:val="24"/>
        </w:rPr>
        <w:t> </w:t>
      </w:r>
      <w:r>
        <w:rPr>
          <w:sz w:val="24"/>
        </w:rPr>
        <w:t>(e);</w:t>
      </w:r>
    </w:p>
    <w:p>
      <w:pPr>
        <w:pStyle w:val="ListParagraph"/>
        <w:numPr>
          <w:ilvl w:val="1"/>
          <w:numId w:val="288"/>
        </w:numPr>
        <w:tabs>
          <w:tab w:pos="2485" w:val="left" w:leader="none"/>
          <w:tab w:pos="2486" w:val="left" w:leader="none"/>
        </w:tabs>
        <w:spacing w:line="240" w:lineRule="auto" w:before="120" w:after="0"/>
        <w:ind w:left="2486" w:right="415" w:hanging="567"/>
        <w:jc w:val="left"/>
        <w:rPr>
          <w:sz w:val="24"/>
        </w:rPr>
      </w:pPr>
      <w:r>
        <w:rPr>
          <w:sz w:val="24"/>
        </w:rPr>
        <w:t>for a </w:t>
      </w:r>
      <w:r>
        <w:rPr>
          <w:i/>
          <w:sz w:val="24"/>
        </w:rPr>
        <w:t>generating system </w:t>
      </w:r>
      <w:r>
        <w:rPr>
          <w:sz w:val="24"/>
        </w:rPr>
        <w:t>comprised solely of </w:t>
      </w:r>
      <w:r>
        <w:rPr>
          <w:i/>
          <w:sz w:val="24"/>
        </w:rPr>
        <w:t>asynchronous generating </w:t>
      </w:r>
      <w:r>
        <w:rPr>
          <w:i/>
          <w:sz w:val="24"/>
        </w:rPr>
        <w:t>units</w:t>
      </w:r>
      <w:r>
        <w:rPr>
          <w:sz w:val="24"/>
        </w:rPr>
        <w:t>, the requirements of paragraphs (f) to (i);</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288"/>
        </w:numPr>
        <w:tabs>
          <w:tab w:pos="2485" w:val="left" w:leader="none"/>
          <w:tab w:pos="2486" w:val="left" w:leader="none"/>
        </w:tabs>
        <w:spacing w:line="240" w:lineRule="auto" w:before="83" w:after="0"/>
        <w:ind w:left="2485" w:right="0" w:hanging="567"/>
        <w:jc w:val="left"/>
        <w:rPr>
          <w:i/>
          <w:sz w:val="24"/>
        </w:rPr>
      </w:pPr>
      <w:r>
        <w:rPr>
          <w:sz w:val="24"/>
        </w:rPr>
        <w:t>for</w:t>
      </w:r>
      <w:r>
        <w:rPr>
          <w:spacing w:val="40"/>
          <w:sz w:val="24"/>
        </w:rPr>
        <w:t> </w:t>
      </w:r>
      <w:r>
        <w:rPr>
          <w:sz w:val="24"/>
        </w:rPr>
        <w:t>a</w:t>
      </w:r>
      <w:r>
        <w:rPr>
          <w:spacing w:val="40"/>
          <w:sz w:val="24"/>
        </w:rPr>
        <w:t> </w:t>
      </w:r>
      <w:r>
        <w:rPr>
          <w:i/>
          <w:sz w:val="24"/>
        </w:rPr>
        <w:t>generating</w:t>
      </w:r>
      <w:r>
        <w:rPr>
          <w:i/>
          <w:spacing w:val="41"/>
          <w:sz w:val="24"/>
        </w:rPr>
        <w:t> </w:t>
      </w:r>
      <w:r>
        <w:rPr>
          <w:i/>
          <w:sz w:val="24"/>
        </w:rPr>
        <w:t>system</w:t>
      </w:r>
      <w:r>
        <w:rPr>
          <w:i/>
          <w:spacing w:val="40"/>
          <w:sz w:val="24"/>
        </w:rPr>
        <w:t> </w:t>
      </w:r>
      <w:r>
        <w:rPr>
          <w:sz w:val="24"/>
        </w:rPr>
        <w:t>comprised</w:t>
      </w:r>
      <w:r>
        <w:rPr>
          <w:spacing w:val="40"/>
          <w:sz w:val="24"/>
        </w:rPr>
        <w:t> </w:t>
      </w:r>
      <w:r>
        <w:rPr>
          <w:sz w:val="24"/>
        </w:rPr>
        <w:t>of</w:t>
      </w:r>
      <w:r>
        <w:rPr>
          <w:spacing w:val="41"/>
          <w:sz w:val="24"/>
        </w:rPr>
        <w:t> </w:t>
      </w:r>
      <w:r>
        <w:rPr>
          <w:i/>
          <w:sz w:val="24"/>
        </w:rPr>
        <w:t>synchronous</w:t>
      </w:r>
      <w:r>
        <w:rPr>
          <w:i/>
          <w:spacing w:val="40"/>
          <w:sz w:val="24"/>
        </w:rPr>
        <w:t> </w:t>
      </w:r>
      <w:r>
        <w:rPr>
          <w:i/>
          <w:sz w:val="24"/>
        </w:rPr>
        <w:t>generating</w:t>
      </w:r>
      <w:r>
        <w:rPr>
          <w:i/>
          <w:spacing w:val="41"/>
          <w:sz w:val="24"/>
        </w:rPr>
        <w:t> </w:t>
      </w:r>
      <w:r>
        <w:rPr>
          <w:i/>
          <w:sz w:val="24"/>
        </w:rPr>
        <w:t>units</w:t>
      </w:r>
    </w:p>
    <w:p>
      <w:pPr>
        <w:spacing w:before="0"/>
        <w:ind w:left="2486" w:right="0" w:firstLine="0"/>
        <w:jc w:val="left"/>
        <w:rPr>
          <w:sz w:val="24"/>
        </w:rPr>
      </w:pPr>
      <w:r>
        <w:rPr>
          <w:sz w:val="24"/>
        </w:rPr>
        <w:t>and </w:t>
      </w:r>
      <w:r>
        <w:rPr>
          <w:i/>
          <w:sz w:val="24"/>
        </w:rPr>
        <w:t>asynchronous generating units</w:t>
      </w:r>
      <w:r>
        <w:rPr>
          <w:sz w:val="24"/>
        </w:rPr>
        <w:t>:</w:t>
      </w:r>
    </w:p>
    <w:p>
      <w:pPr>
        <w:pStyle w:val="ListParagraph"/>
        <w:numPr>
          <w:ilvl w:val="2"/>
          <w:numId w:val="288"/>
        </w:numPr>
        <w:tabs>
          <w:tab w:pos="3052" w:val="left" w:leader="none"/>
          <w:tab w:pos="3053" w:val="left" w:leader="none"/>
        </w:tabs>
        <w:spacing w:line="240" w:lineRule="auto" w:before="120" w:after="0"/>
        <w:ind w:left="3053" w:right="416" w:hanging="567"/>
        <w:jc w:val="left"/>
        <w:rPr>
          <w:sz w:val="24"/>
        </w:rPr>
      </w:pPr>
      <w:r>
        <w:rPr>
          <w:sz w:val="24"/>
        </w:rPr>
        <w:t>for that part of the </w:t>
      </w:r>
      <w:r>
        <w:rPr>
          <w:i/>
          <w:sz w:val="24"/>
        </w:rPr>
        <w:t>generating system </w:t>
      </w:r>
      <w:r>
        <w:rPr>
          <w:sz w:val="24"/>
        </w:rPr>
        <w:t>comprised of </w:t>
      </w:r>
      <w:r>
        <w:rPr>
          <w:i/>
          <w:sz w:val="24"/>
        </w:rPr>
        <w:t>synchronous </w:t>
      </w:r>
      <w:r>
        <w:rPr>
          <w:i/>
          <w:sz w:val="24"/>
        </w:rPr>
        <w:t>generating units</w:t>
      </w:r>
      <w:r>
        <w:rPr>
          <w:sz w:val="24"/>
        </w:rPr>
        <w:t>, the requirements of paragraph (e);</w:t>
      </w:r>
      <w:r>
        <w:rPr>
          <w:spacing w:val="-2"/>
          <w:sz w:val="24"/>
        </w:rPr>
        <w:t> </w:t>
      </w:r>
      <w:r>
        <w:rPr>
          <w:sz w:val="24"/>
        </w:rPr>
        <w:t>and</w:t>
      </w:r>
    </w:p>
    <w:p>
      <w:pPr>
        <w:pStyle w:val="ListParagraph"/>
        <w:numPr>
          <w:ilvl w:val="2"/>
          <w:numId w:val="288"/>
        </w:numPr>
        <w:tabs>
          <w:tab w:pos="3052" w:val="left" w:leader="none"/>
          <w:tab w:pos="3054" w:val="left" w:leader="none"/>
          <w:tab w:pos="3563" w:val="left" w:leader="none"/>
          <w:tab w:pos="4155" w:val="left" w:leader="none"/>
          <w:tab w:pos="4759" w:val="left" w:leader="none"/>
          <w:tab w:pos="5190" w:val="left" w:leader="none"/>
          <w:tab w:pos="5715" w:val="left" w:leader="none"/>
          <w:tab w:pos="6986" w:val="left" w:leader="none"/>
          <w:tab w:pos="7857" w:val="left" w:leader="none"/>
          <w:tab w:pos="9089" w:val="left" w:leader="none"/>
        </w:tabs>
        <w:spacing w:line="240" w:lineRule="auto" w:before="120" w:after="0"/>
        <w:ind w:left="3053" w:right="0" w:hanging="568"/>
        <w:jc w:val="left"/>
        <w:rPr>
          <w:sz w:val="24"/>
        </w:rPr>
      </w:pPr>
      <w:r>
        <w:rPr>
          <w:sz w:val="24"/>
        </w:rPr>
        <w:t>for</w:t>
        <w:tab/>
        <w:t>that</w:t>
        <w:tab/>
        <w:t>part</w:t>
        <w:tab/>
        <w:t>of</w:t>
        <w:tab/>
        <w:t>the</w:t>
        <w:tab/>
      </w:r>
      <w:r>
        <w:rPr>
          <w:i/>
          <w:sz w:val="24"/>
        </w:rPr>
        <w:t>generating</w:t>
        <w:tab/>
        <w:t>system</w:t>
        <w:tab/>
      </w:r>
      <w:r>
        <w:rPr>
          <w:sz w:val="24"/>
        </w:rPr>
        <w:t>comprised</w:t>
        <w:tab/>
        <w:t>of</w:t>
      </w:r>
    </w:p>
    <w:p>
      <w:pPr>
        <w:spacing w:before="0"/>
        <w:ind w:left="3053" w:right="0" w:firstLine="0"/>
        <w:jc w:val="left"/>
        <w:rPr>
          <w:sz w:val="24"/>
        </w:rPr>
      </w:pPr>
      <w:r>
        <w:rPr>
          <w:i/>
          <w:sz w:val="24"/>
        </w:rPr>
        <w:t>asynchronous</w:t>
      </w:r>
      <w:r>
        <w:rPr>
          <w:i/>
          <w:spacing w:val="28"/>
          <w:sz w:val="24"/>
        </w:rPr>
        <w:t> </w:t>
      </w:r>
      <w:r>
        <w:rPr>
          <w:i/>
          <w:sz w:val="24"/>
        </w:rPr>
        <w:t>generating</w:t>
      </w:r>
      <w:r>
        <w:rPr>
          <w:i/>
          <w:spacing w:val="29"/>
          <w:sz w:val="24"/>
        </w:rPr>
        <w:t> </w:t>
      </w:r>
      <w:r>
        <w:rPr>
          <w:i/>
          <w:sz w:val="24"/>
        </w:rPr>
        <w:t>units</w:t>
      </w:r>
      <w:r>
        <w:rPr>
          <w:sz w:val="24"/>
        </w:rPr>
        <w:t>,</w:t>
      </w:r>
      <w:r>
        <w:rPr>
          <w:spacing w:val="29"/>
          <w:sz w:val="24"/>
        </w:rPr>
        <w:t> </w:t>
      </w:r>
      <w:r>
        <w:rPr>
          <w:sz w:val="24"/>
        </w:rPr>
        <w:t>the</w:t>
      </w:r>
      <w:r>
        <w:rPr>
          <w:spacing w:val="29"/>
          <w:sz w:val="24"/>
        </w:rPr>
        <w:t> </w:t>
      </w:r>
      <w:r>
        <w:rPr>
          <w:sz w:val="24"/>
        </w:rPr>
        <w:t>requirements</w:t>
      </w:r>
      <w:r>
        <w:rPr>
          <w:spacing w:val="29"/>
          <w:sz w:val="24"/>
        </w:rPr>
        <w:t> </w:t>
      </w:r>
      <w:r>
        <w:rPr>
          <w:sz w:val="24"/>
        </w:rPr>
        <w:t>of</w:t>
      </w:r>
      <w:r>
        <w:rPr>
          <w:spacing w:val="29"/>
          <w:sz w:val="24"/>
        </w:rPr>
        <w:t> </w:t>
      </w:r>
      <w:r>
        <w:rPr>
          <w:sz w:val="24"/>
        </w:rPr>
        <w:t>paragraphs</w:t>
      </w:r>
    </w:p>
    <w:p>
      <w:pPr>
        <w:pStyle w:val="BodyText"/>
        <w:spacing w:before="0"/>
        <w:ind w:left="3053" w:firstLine="0"/>
        <w:jc w:val="left"/>
      </w:pPr>
      <w:r>
        <w:rPr/>
        <w:t>(f) to (i).</w:t>
      </w:r>
    </w:p>
    <w:p>
      <w:pPr>
        <w:spacing w:before="220"/>
        <w:ind w:left="1356" w:right="0" w:firstLine="0"/>
        <w:jc w:val="left"/>
        <w:rPr>
          <w:rFonts w:ascii="Arial"/>
          <w:b/>
          <w:sz w:val="22"/>
        </w:rPr>
      </w:pPr>
      <w:r>
        <w:rPr>
          <w:rFonts w:ascii="Arial"/>
          <w:b/>
          <w:sz w:val="22"/>
        </w:rPr>
        <w:t>All generating systems</w:t>
      </w:r>
    </w:p>
    <w:p>
      <w:pPr>
        <w:pStyle w:val="ListParagraph"/>
        <w:numPr>
          <w:ilvl w:val="0"/>
          <w:numId w:val="288"/>
        </w:numPr>
        <w:tabs>
          <w:tab w:pos="1918" w:val="left" w:leader="none"/>
          <w:tab w:pos="1919" w:val="left" w:leader="none"/>
        </w:tabs>
        <w:spacing w:line="240" w:lineRule="auto" w:before="120" w:after="0"/>
        <w:ind w:left="1918" w:right="0" w:hanging="567"/>
        <w:jc w:val="left"/>
        <w:rPr>
          <w:sz w:val="24"/>
        </w:rPr>
      </w:pPr>
      <w:r>
        <w:rPr>
          <w:sz w:val="24"/>
        </w:rPr>
        <w:t>A</w:t>
      </w:r>
      <w:r>
        <w:rPr>
          <w:spacing w:val="13"/>
          <w:sz w:val="24"/>
        </w:rPr>
        <w:t> </w:t>
      </w:r>
      <w:r>
        <w:rPr>
          <w:i/>
          <w:sz w:val="24"/>
        </w:rPr>
        <w:t>generating</w:t>
      </w:r>
      <w:r>
        <w:rPr>
          <w:i/>
          <w:spacing w:val="13"/>
          <w:sz w:val="24"/>
        </w:rPr>
        <w:t> </w:t>
      </w:r>
      <w:r>
        <w:rPr>
          <w:i/>
          <w:sz w:val="24"/>
        </w:rPr>
        <w:t>system</w:t>
      </w:r>
      <w:r>
        <w:rPr>
          <w:i/>
          <w:spacing w:val="14"/>
          <w:sz w:val="24"/>
        </w:rPr>
        <w:t> </w:t>
      </w:r>
      <w:r>
        <w:rPr>
          <w:sz w:val="24"/>
        </w:rPr>
        <w:t>and</w:t>
      </w:r>
      <w:r>
        <w:rPr>
          <w:spacing w:val="13"/>
          <w:sz w:val="24"/>
        </w:rPr>
        <w:t> </w:t>
      </w:r>
      <w:r>
        <w:rPr>
          <w:sz w:val="24"/>
        </w:rPr>
        <w:t>each</w:t>
      </w:r>
      <w:r>
        <w:rPr>
          <w:spacing w:val="14"/>
          <w:sz w:val="24"/>
        </w:rPr>
        <w:t> </w:t>
      </w:r>
      <w:r>
        <w:rPr>
          <w:sz w:val="24"/>
        </w:rPr>
        <w:t>of</w:t>
      </w:r>
      <w:r>
        <w:rPr>
          <w:spacing w:val="13"/>
          <w:sz w:val="24"/>
        </w:rPr>
        <w:t> </w:t>
      </w:r>
      <w:r>
        <w:rPr>
          <w:sz w:val="24"/>
        </w:rPr>
        <w:t>its</w:t>
      </w:r>
      <w:r>
        <w:rPr>
          <w:spacing w:val="14"/>
          <w:sz w:val="24"/>
        </w:rPr>
        <w:t> </w:t>
      </w:r>
      <w:r>
        <w:rPr>
          <w:i/>
          <w:sz w:val="24"/>
        </w:rPr>
        <w:t>generating</w:t>
      </w:r>
      <w:r>
        <w:rPr>
          <w:i/>
          <w:spacing w:val="13"/>
          <w:sz w:val="24"/>
        </w:rPr>
        <w:t> </w:t>
      </w:r>
      <w:r>
        <w:rPr>
          <w:i/>
          <w:sz w:val="24"/>
        </w:rPr>
        <w:t>units</w:t>
      </w:r>
      <w:r>
        <w:rPr>
          <w:i/>
          <w:spacing w:val="13"/>
          <w:sz w:val="24"/>
        </w:rPr>
        <w:t> </w:t>
      </w:r>
      <w:r>
        <w:rPr>
          <w:sz w:val="24"/>
        </w:rPr>
        <w:t>must</w:t>
      </w:r>
      <w:r>
        <w:rPr>
          <w:spacing w:val="14"/>
          <w:sz w:val="24"/>
        </w:rPr>
        <w:t> </w:t>
      </w:r>
      <w:r>
        <w:rPr>
          <w:sz w:val="24"/>
        </w:rPr>
        <w:t>remain</w:t>
      </w:r>
      <w:r>
        <w:rPr>
          <w:spacing w:val="13"/>
          <w:sz w:val="24"/>
        </w:rPr>
        <w:t> </w:t>
      </w:r>
      <w:r>
        <w:rPr>
          <w:sz w:val="24"/>
        </w:rPr>
        <w:t>in</w:t>
      </w:r>
    </w:p>
    <w:p>
      <w:pPr>
        <w:spacing w:before="0"/>
        <w:ind w:left="1919" w:right="0" w:firstLine="0"/>
        <w:jc w:val="left"/>
        <w:rPr>
          <w:sz w:val="24"/>
        </w:rPr>
      </w:pPr>
      <w:r>
        <w:rPr>
          <w:i/>
          <w:sz w:val="24"/>
        </w:rPr>
        <w:t>continuous uninterrupted operation </w:t>
      </w:r>
      <w:r>
        <w:rPr>
          <w:sz w:val="24"/>
        </w:rPr>
        <w:t>for any disturbance caused by:</w:t>
      </w:r>
    </w:p>
    <w:p>
      <w:pPr>
        <w:pStyle w:val="ListParagraph"/>
        <w:numPr>
          <w:ilvl w:val="1"/>
          <w:numId w:val="288"/>
        </w:numPr>
        <w:tabs>
          <w:tab w:pos="2485" w:val="left" w:leader="none"/>
          <w:tab w:pos="2486" w:val="left" w:leader="none"/>
        </w:tabs>
        <w:spacing w:line="240" w:lineRule="auto" w:before="120" w:after="0"/>
        <w:ind w:left="2485" w:right="0" w:hanging="567"/>
        <w:jc w:val="left"/>
        <w:rPr>
          <w:sz w:val="24"/>
        </w:rPr>
      </w:pPr>
      <w:r>
        <w:rPr>
          <w:sz w:val="24"/>
        </w:rPr>
        <w:t>a </w:t>
      </w:r>
      <w:r>
        <w:rPr>
          <w:i/>
          <w:sz w:val="24"/>
        </w:rPr>
        <w:t>credible contingency</w:t>
      </w:r>
      <w:r>
        <w:rPr>
          <w:i/>
          <w:spacing w:val="-1"/>
          <w:sz w:val="24"/>
        </w:rPr>
        <w:t> </w:t>
      </w:r>
      <w:r>
        <w:rPr>
          <w:i/>
          <w:sz w:val="24"/>
        </w:rPr>
        <w:t>event</w:t>
      </w:r>
      <w:r>
        <w:rPr>
          <w:sz w:val="24"/>
        </w:rPr>
        <w:t>;</w:t>
      </w:r>
    </w:p>
    <w:p>
      <w:pPr>
        <w:pStyle w:val="ListParagraph"/>
        <w:numPr>
          <w:ilvl w:val="1"/>
          <w:numId w:val="288"/>
        </w:numPr>
        <w:tabs>
          <w:tab w:pos="2485" w:val="left" w:leader="none"/>
          <w:tab w:pos="2486" w:val="left" w:leader="none"/>
        </w:tabs>
        <w:spacing w:line="240" w:lineRule="auto" w:before="120" w:after="0"/>
        <w:ind w:left="2486" w:right="414" w:hanging="567"/>
        <w:jc w:val="left"/>
        <w:rPr>
          <w:sz w:val="24"/>
        </w:rPr>
      </w:pPr>
      <w:r>
        <w:rPr>
          <w:sz w:val="24"/>
        </w:rPr>
        <w:t>a three phase fault in a </w:t>
      </w:r>
      <w:r>
        <w:rPr>
          <w:i/>
          <w:sz w:val="24"/>
        </w:rPr>
        <w:t>transmission system </w:t>
      </w:r>
      <w:r>
        <w:rPr>
          <w:sz w:val="24"/>
        </w:rPr>
        <w:t>cleared by all relevant primary </w:t>
      </w:r>
      <w:r>
        <w:rPr>
          <w:i/>
          <w:sz w:val="24"/>
        </w:rPr>
        <w:t>protection</w:t>
      </w:r>
      <w:r>
        <w:rPr>
          <w:i/>
          <w:spacing w:val="-1"/>
          <w:sz w:val="24"/>
        </w:rPr>
        <w:t> </w:t>
      </w:r>
      <w:r>
        <w:rPr>
          <w:i/>
          <w:sz w:val="24"/>
        </w:rPr>
        <w:t>systems</w:t>
      </w:r>
      <w:r>
        <w:rPr>
          <w:sz w:val="24"/>
        </w:rPr>
        <w:t>;</w:t>
      </w:r>
    </w:p>
    <w:p>
      <w:pPr>
        <w:pStyle w:val="ListParagraph"/>
        <w:numPr>
          <w:ilvl w:val="1"/>
          <w:numId w:val="288"/>
        </w:numPr>
        <w:tabs>
          <w:tab w:pos="2485" w:val="left" w:leader="none"/>
          <w:tab w:pos="2486" w:val="left" w:leader="none"/>
        </w:tabs>
        <w:spacing w:line="240" w:lineRule="auto" w:before="120" w:after="0"/>
        <w:ind w:left="2485" w:right="0" w:hanging="567"/>
        <w:jc w:val="left"/>
        <w:rPr>
          <w:sz w:val="24"/>
        </w:rPr>
      </w:pPr>
      <w:r>
        <w:rPr>
          <w:sz w:val="24"/>
        </w:rPr>
        <w:t>a</w:t>
      </w:r>
      <w:r>
        <w:rPr>
          <w:spacing w:val="27"/>
          <w:sz w:val="24"/>
        </w:rPr>
        <w:t> </w:t>
      </w:r>
      <w:r>
        <w:rPr>
          <w:sz w:val="24"/>
        </w:rPr>
        <w:t>two</w:t>
      </w:r>
      <w:r>
        <w:rPr>
          <w:spacing w:val="28"/>
          <w:sz w:val="24"/>
        </w:rPr>
        <w:t> </w:t>
      </w:r>
      <w:r>
        <w:rPr>
          <w:sz w:val="24"/>
        </w:rPr>
        <w:t>phase</w:t>
      </w:r>
      <w:r>
        <w:rPr>
          <w:spacing w:val="28"/>
          <w:sz w:val="24"/>
        </w:rPr>
        <w:t> </w:t>
      </w:r>
      <w:r>
        <w:rPr>
          <w:sz w:val="24"/>
        </w:rPr>
        <w:t>to</w:t>
      </w:r>
      <w:r>
        <w:rPr>
          <w:spacing w:val="28"/>
          <w:sz w:val="24"/>
        </w:rPr>
        <w:t> </w:t>
      </w:r>
      <w:r>
        <w:rPr>
          <w:sz w:val="24"/>
        </w:rPr>
        <w:t>ground,</w:t>
      </w:r>
      <w:r>
        <w:rPr>
          <w:spacing w:val="28"/>
          <w:sz w:val="24"/>
        </w:rPr>
        <w:t> </w:t>
      </w:r>
      <w:r>
        <w:rPr>
          <w:sz w:val="24"/>
        </w:rPr>
        <w:t>phase</w:t>
      </w:r>
      <w:r>
        <w:rPr>
          <w:spacing w:val="28"/>
          <w:sz w:val="24"/>
        </w:rPr>
        <w:t> </w:t>
      </w:r>
      <w:r>
        <w:rPr>
          <w:sz w:val="24"/>
        </w:rPr>
        <w:t>to</w:t>
      </w:r>
      <w:r>
        <w:rPr>
          <w:spacing w:val="28"/>
          <w:sz w:val="24"/>
        </w:rPr>
        <w:t> </w:t>
      </w:r>
      <w:r>
        <w:rPr>
          <w:sz w:val="24"/>
        </w:rPr>
        <w:t>phase</w:t>
      </w:r>
      <w:r>
        <w:rPr>
          <w:spacing w:val="28"/>
          <w:sz w:val="24"/>
        </w:rPr>
        <w:t> </w:t>
      </w:r>
      <w:r>
        <w:rPr>
          <w:sz w:val="24"/>
        </w:rPr>
        <w:t>or</w:t>
      </w:r>
      <w:r>
        <w:rPr>
          <w:spacing w:val="28"/>
          <w:sz w:val="24"/>
        </w:rPr>
        <w:t> </w:t>
      </w:r>
      <w:r>
        <w:rPr>
          <w:sz w:val="24"/>
        </w:rPr>
        <w:t>phase</w:t>
      </w:r>
      <w:r>
        <w:rPr>
          <w:spacing w:val="28"/>
          <w:sz w:val="24"/>
        </w:rPr>
        <w:t> </w:t>
      </w:r>
      <w:r>
        <w:rPr>
          <w:sz w:val="24"/>
        </w:rPr>
        <w:t>to</w:t>
      </w:r>
      <w:r>
        <w:rPr>
          <w:spacing w:val="28"/>
          <w:sz w:val="24"/>
        </w:rPr>
        <w:t> </w:t>
      </w:r>
      <w:r>
        <w:rPr>
          <w:sz w:val="24"/>
        </w:rPr>
        <w:t>ground</w:t>
      </w:r>
      <w:r>
        <w:rPr>
          <w:spacing w:val="28"/>
          <w:sz w:val="24"/>
        </w:rPr>
        <w:t> </w:t>
      </w:r>
      <w:r>
        <w:rPr>
          <w:sz w:val="24"/>
        </w:rPr>
        <w:t>fault</w:t>
      </w:r>
      <w:r>
        <w:rPr>
          <w:spacing w:val="28"/>
          <w:sz w:val="24"/>
        </w:rPr>
        <w:t> </w:t>
      </w:r>
      <w:r>
        <w:rPr>
          <w:sz w:val="24"/>
        </w:rPr>
        <w:t>in</w:t>
      </w:r>
      <w:r>
        <w:rPr>
          <w:spacing w:val="28"/>
          <w:sz w:val="24"/>
        </w:rPr>
        <w:t> </w:t>
      </w:r>
      <w:r>
        <w:rPr>
          <w:sz w:val="24"/>
        </w:rPr>
        <w:t>a</w:t>
      </w:r>
    </w:p>
    <w:p>
      <w:pPr>
        <w:spacing w:before="0"/>
        <w:ind w:left="2486" w:right="0" w:firstLine="0"/>
        <w:jc w:val="both"/>
        <w:rPr>
          <w:sz w:val="24"/>
        </w:rPr>
      </w:pPr>
      <w:r>
        <w:rPr>
          <w:i/>
          <w:sz w:val="24"/>
        </w:rPr>
        <w:t>transmission system </w:t>
      </w:r>
      <w:r>
        <w:rPr>
          <w:sz w:val="24"/>
        </w:rPr>
        <w:t>cleared in:</w:t>
      </w:r>
    </w:p>
    <w:p>
      <w:pPr>
        <w:pStyle w:val="ListParagraph"/>
        <w:numPr>
          <w:ilvl w:val="2"/>
          <w:numId w:val="288"/>
        </w:numPr>
        <w:tabs>
          <w:tab w:pos="3053" w:val="left" w:leader="none"/>
        </w:tabs>
        <w:spacing w:line="240" w:lineRule="auto" w:before="120" w:after="0"/>
        <w:ind w:left="3053" w:right="415" w:hanging="567"/>
        <w:jc w:val="both"/>
        <w:rPr>
          <w:sz w:val="24"/>
        </w:rPr>
      </w:pPr>
      <w:r>
        <w:rPr>
          <w:sz w:val="24"/>
        </w:rPr>
        <w:t>the longest time expected to be taken for a relevant </w:t>
      </w:r>
      <w:r>
        <w:rPr>
          <w:i/>
          <w:sz w:val="24"/>
        </w:rPr>
        <w:t>breaker fail </w:t>
      </w:r>
      <w:r>
        <w:rPr>
          <w:i/>
          <w:sz w:val="24"/>
        </w:rPr>
        <w:t>protection system </w:t>
      </w:r>
      <w:r>
        <w:rPr>
          <w:sz w:val="24"/>
        </w:rPr>
        <w:t>to clear the fault;</w:t>
      </w:r>
      <w:r>
        <w:rPr>
          <w:spacing w:val="-1"/>
          <w:sz w:val="24"/>
        </w:rPr>
        <w:t> </w:t>
      </w:r>
      <w:r>
        <w:rPr>
          <w:sz w:val="24"/>
        </w:rPr>
        <w:t>or</w:t>
      </w:r>
    </w:p>
    <w:p>
      <w:pPr>
        <w:pStyle w:val="ListParagraph"/>
        <w:numPr>
          <w:ilvl w:val="2"/>
          <w:numId w:val="288"/>
        </w:numPr>
        <w:tabs>
          <w:tab w:pos="3054" w:val="left" w:leader="none"/>
        </w:tabs>
        <w:spacing w:line="240" w:lineRule="auto" w:before="120" w:after="0"/>
        <w:ind w:left="3053" w:right="414" w:hanging="567"/>
        <w:jc w:val="both"/>
        <w:rPr>
          <w:sz w:val="24"/>
        </w:rPr>
      </w:pPr>
      <w:r>
        <w:rPr>
          <w:sz w:val="24"/>
        </w:rPr>
        <w:t>if a </w:t>
      </w:r>
      <w:r>
        <w:rPr>
          <w:i/>
          <w:sz w:val="24"/>
        </w:rPr>
        <w:t>protection system </w:t>
      </w:r>
      <w:r>
        <w:rPr>
          <w:sz w:val="24"/>
        </w:rPr>
        <w:t>referred to in subparagraph (i) is not installed, the greater of the time specified in column 4 of Table S5.1a.2 (or if none is specified, 430 milliseconds) and the longest time expected to be taken for all relevant primary </w:t>
      </w:r>
      <w:r>
        <w:rPr>
          <w:i/>
          <w:sz w:val="24"/>
        </w:rPr>
        <w:t>protection systems </w:t>
      </w:r>
      <w:r>
        <w:rPr>
          <w:sz w:val="24"/>
        </w:rPr>
        <w:t>to clear the fault;</w:t>
      </w:r>
      <w:r>
        <w:rPr>
          <w:spacing w:val="-2"/>
          <w:sz w:val="24"/>
        </w:rPr>
        <w:t> </w:t>
      </w:r>
      <w:r>
        <w:rPr>
          <w:sz w:val="24"/>
        </w:rPr>
        <w:t>or</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a three phase, two phase to ground, phase to phase or phase to ground fault in a </w:t>
      </w:r>
      <w:r>
        <w:rPr>
          <w:i/>
          <w:sz w:val="24"/>
        </w:rPr>
        <w:t>distribution network </w:t>
      </w:r>
      <w:r>
        <w:rPr>
          <w:sz w:val="24"/>
        </w:rPr>
        <w:t>cleared</w:t>
      </w:r>
      <w:r>
        <w:rPr>
          <w:spacing w:val="-1"/>
          <w:sz w:val="24"/>
        </w:rPr>
        <w:t> </w:t>
      </w:r>
      <w:r>
        <w:rPr>
          <w:sz w:val="24"/>
        </w:rPr>
        <w:t>in:</w:t>
      </w:r>
    </w:p>
    <w:p>
      <w:pPr>
        <w:pStyle w:val="ListParagraph"/>
        <w:numPr>
          <w:ilvl w:val="2"/>
          <w:numId w:val="288"/>
        </w:numPr>
        <w:tabs>
          <w:tab w:pos="3053" w:val="left" w:leader="none"/>
        </w:tabs>
        <w:spacing w:line="240" w:lineRule="auto" w:before="120" w:after="0"/>
        <w:ind w:left="3053" w:right="414" w:hanging="567"/>
        <w:jc w:val="both"/>
        <w:rPr>
          <w:sz w:val="24"/>
        </w:rPr>
      </w:pPr>
      <w:r>
        <w:rPr>
          <w:sz w:val="24"/>
        </w:rPr>
        <w:t>the longest time expected to be taken for the </w:t>
      </w:r>
      <w:r>
        <w:rPr>
          <w:i/>
          <w:sz w:val="24"/>
        </w:rPr>
        <w:t>breaker fail </w:t>
      </w:r>
      <w:r>
        <w:rPr>
          <w:i/>
          <w:sz w:val="24"/>
        </w:rPr>
        <w:t>protection system </w:t>
      </w:r>
      <w:r>
        <w:rPr>
          <w:sz w:val="24"/>
        </w:rPr>
        <w:t>to clear the fault;</w:t>
      </w:r>
      <w:r>
        <w:rPr>
          <w:spacing w:val="-1"/>
          <w:sz w:val="24"/>
        </w:rPr>
        <w:t> </w:t>
      </w:r>
      <w:r>
        <w:rPr>
          <w:sz w:val="24"/>
        </w:rPr>
        <w:t>or</w:t>
      </w:r>
    </w:p>
    <w:p>
      <w:pPr>
        <w:pStyle w:val="ListParagraph"/>
        <w:numPr>
          <w:ilvl w:val="2"/>
          <w:numId w:val="288"/>
        </w:numPr>
        <w:tabs>
          <w:tab w:pos="3054" w:val="left" w:leader="none"/>
        </w:tabs>
        <w:spacing w:line="240" w:lineRule="auto" w:before="120" w:after="0"/>
        <w:ind w:left="3053" w:right="414" w:hanging="567"/>
        <w:jc w:val="both"/>
        <w:rPr>
          <w:sz w:val="24"/>
        </w:rPr>
      </w:pPr>
      <w:r>
        <w:rPr>
          <w:sz w:val="24"/>
        </w:rPr>
        <w:t>if a </w:t>
      </w:r>
      <w:r>
        <w:rPr>
          <w:i/>
          <w:sz w:val="24"/>
        </w:rPr>
        <w:t>protection system </w:t>
      </w:r>
      <w:r>
        <w:rPr>
          <w:sz w:val="24"/>
        </w:rPr>
        <w:t>referred to in subparagraph (i) is not installed, the greater of 430 milliseconds and the longest time expected to be taken for all relevant primary </w:t>
      </w:r>
      <w:r>
        <w:rPr>
          <w:i/>
          <w:sz w:val="24"/>
        </w:rPr>
        <w:t>protection systems </w:t>
      </w:r>
      <w:r>
        <w:rPr>
          <w:sz w:val="24"/>
        </w:rPr>
        <w:t>to clear the</w:t>
      </w:r>
      <w:r>
        <w:rPr>
          <w:spacing w:val="-1"/>
          <w:sz w:val="24"/>
        </w:rPr>
        <w:t> </w:t>
      </w:r>
      <w:r>
        <w:rPr>
          <w:sz w:val="24"/>
        </w:rPr>
        <w:t>fault,</w:t>
      </w:r>
    </w:p>
    <w:p>
      <w:pPr>
        <w:spacing w:before="120"/>
        <w:ind w:left="2486" w:right="415" w:firstLine="0"/>
        <w:jc w:val="both"/>
        <w:rPr>
          <w:sz w:val="24"/>
        </w:rPr>
      </w:pPr>
      <w:r>
        <w:rPr>
          <w:sz w:val="24"/>
        </w:rPr>
        <w:t>provided that the event is not one that would </w:t>
      </w:r>
      <w:r>
        <w:rPr>
          <w:i/>
          <w:sz w:val="24"/>
        </w:rPr>
        <w:t>disconnect </w:t>
      </w:r>
      <w:r>
        <w:rPr>
          <w:sz w:val="24"/>
        </w:rPr>
        <w:t>the </w:t>
      </w:r>
      <w:r>
        <w:rPr>
          <w:i/>
          <w:sz w:val="24"/>
        </w:rPr>
        <w:t>generating unit </w:t>
      </w:r>
      <w:r>
        <w:rPr>
          <w:sz w:val="24"/>
        </w:rPr>
        <w:t>from the </w:t>
      </w:r>
      <w:r>
        <w:rPr>
          <w:i/>
          <w:sz w:val="24"/>
        </w:rPr>
        <w:t>power system </w:t>
      </w:r>
      <w:r>
        <w:rPr>
          <w:sz w:val="24"/>
        </w:rPr>
        <w:t>by removing </w:t>
      </w:r>
      <w:r>
        <w:rPr>
          <w:i/>
          <w:sz w:val="24"/>
        </w:rPr>
        <w:t>network elements </w:t>
      </w:r>
      <w:r>
        <w:rPr>
          <w:sz w:val="24"/>
        </w:rPr>
        <w:t>from</w:t>
      </w:r>
      <w:r>
        <w:rPr>
          <w:spacing w:val="-1"/>
          <w:sz w:val="24"/>
        </w:rPr>
        <w:t> </w:t>
      </w:r>
      <w:r>
        <w:rPr>
          <w:sz w:val="24"/>
        </w:rPr>
        <w:t>service.</w:t>
      </w:r>
    </w:p>
    <w:p>
      <w:pPr>
        <w:pStyle w:val="ListParagraph"/>
        <w:numPr>
          <w:ilvl w:val="0"/>
          <w:numId w:val="288"/>
        </w:numPr>
        <w:tabs>
          <w:tab w:pos="1919" w:val="left" w:leader="none"/>
        </w:tabs>
        <w:spacing w:line="240" w:lineRule="auto" w:before="120" w:after="0"/>
        <w:ind w:left="1919" w:right="415" w:hanging="567"/>
        <w:jc w:val="both"/>
        <w:rPr>
          <w:sz w:val="24"/>
        </w:rPr>
      </w:pPr>
      <w:r>
        <w:rPr>
          <w:sz w:val="24"/>
        </w:rPr>
        <w:t>A </w:t>
      </w:r>
      <w:r>
        <w:rPr>
          <w:i/>
          <w:sz w:val="24"/>
        </w:rPr>
        <w:t>generating system </w:t>
      </w:r>
      <w:r>
        <w:rPr>
          <w:sz w:val="24"/>
        </w:rPr>
        <w:t>and each of its </w:t>
      </w:r>
      <w:r>
        <w:rPr>
          <w:i/>
          <w:sz w:val="24"/>
        </w:rPr>
        <w:t>generating units </w:t>
      </w:r>
      <w:r>
        <w:rPr>
          <w:sz w:val="24"/>
        </w:rPr>
        <w:t>must remain in </w:t>
      </w:r>
      <w:r>
        <w:rPr>
          <w:i/>
          <w:sz w:val="24"/>
        </w:rPr>
        <w:t>continuous uninterrupted operation </w:t>
      </w:r>
      <w:r>
        <w:rPr>
          <w:sz w:val="24"/>
        </w:rPr>
        <w:t>for a series of up to 15 disturbances within any five minute period caused by any combination of the events described in paragraph (c)</w:t>
      </w:r>
      <w:r>
        <w:rPr>
          <w:spacing w:val="-1"/>
          <w:sz w:val="24"/>
        </w:rPr>
        <w:t> </w:t>
      </w:r>
      <w:r>
        <w:rPr>
          <w:sz w:val="24"/>
        </w:rPr>
        <w:t>where:</w:t>
      </w:r>
    </w:p>
    <w:p>
      <w:pPr>
        <w:pStyle w:val="ListParagraph"/>
        <w:numPr>
          <w:ilvl w:val="1"/>
          <w:numId w:val="288"/>
        </w:numPr>
        <w:tabs>
          <w:tab w:pos="2486" w:val="left" w:leader="none"/>
        </w:tabs>
        <w:spacing w:line="240" w:lineRule="auto" w:before="120" w:after="0"/>
        <w:ind w:left="2485" w:right="0" w:hanging="567"/>
        <w:jc w:val="both"/>
        <w:rPr>
          <w:i/>
          <w:sz w:val="24"/>
        </w:rPr>
      </w:pPr>
      <w:r>
        <w:rPr>
          <w:sz w:val="24"/>
        </w:rPr>
        <w:t>up</w:t>
      </w:r>
      <w:r>
        <w:rPr>
          <w:spacing w:val="10"/>
          <w:sz w:val="24"/>
        </w:rPr>
        <w:t> </w:t>
      </w:r>
      <w:r>
        <w:rPr>
          <w:sz w:val="24"/>
        </w:rPr>
        <w:t>to</w:t>
      </w:r>
      <w:r>
        <w:rPr>
          <w:spacing w:val="11"/>
          <w:sz w:val="24"/>
        </w:rPr>
        <w:t> </w:t>
      </w:r>
      <w:r>
        <w:rPr>
          <w:sz w:val="24"/>
        </w:rPr>
        <w:t>six</w:t>
      </w:r>
      <w:r>
        <w:rPr>
          <w:spacing w:val="11"/>
          <w:sz w:val="24"/>
        </w:rPr>
        <w:t> </w:t>
      </w:r>
      <w:r>
        <w:rPr>
          <w:sz w:val="24"/>
        </w:rPr>
        <w:t>of</w:t>
      </w:r>
      <w:r>
        <w:rPr>
          <w:spacing w:val="10"/>
          <w:sz w:val="24"/>
        </w:rPr>
        <w:t> </w:t>
      </w:r>
      <w:r>
        <w:rPr>
          <w:sz w:val="24"/>
        </w:rPr>
        <w:t>the</w:t>
      </w:r>
      <w:r>
        <w:rPr>
          <w:spacing w:val="11"/>
          <w:sz w:val="24"/>
        </w:rPr>
        <w:t> </w:t>
      </w:r>
      <w:r>
        <w:rPr>
          <w:sz w:val="24"/>
        </w:rPr>
        <w:t>disturbances</w:t>
      </w:r>
      <w:r>
        <w:rPr>
          <w:spacing w:val="11"/>
          <w:sz w:val="24"/>
        </w:rPr>
        <w:t> </w:t>
      </w:r>
      <w:r>
        <w:rPr>
          <w:sz w:val="24"/>
        </w:rPr>
        <w:t>cause</w:t>
      </w:r>
      <w:r>
        <w:rPr>
          <w:spacing w:val="11"/>
          <w:sz w:val="24"/>
        </w:rPr>
        <w:t> </w:t>
      </w:r>
      <w:r>
        <w:rPr>
          <w:sz w:val="24"/>
        </w:rPr>
        <w:t>the</w:t>
      </w:r>
      <w:r>
        <w:rPr>
          <w:spacing w:val="10"/>
          <w:sz w:val="24"/>
        </w:rPr>
        <w:t> </w:t>
      </w:r>
      <w:r>
        <w:rPr>
          <w:i/>
          <w:sz w:val="24"/>
        </w:rPr>
        <w:t>voltage</w:t>
      </w:r>
      <w:r>
        <w:rPr>
          <w:i/>
          <w:spacing w:val="11"/>
          <w:sz w:val="24"/>
        </w:rPr>
        <w:t> </w:t>
      </w:r>
      <w:r>
        <w:rPr>
          <w:sz w:val="24"/>
        </w:rPr>
        <w:t>at</w:t>
      </w:r>
      <w:r>
        <w:rPr>
          <w:spacing w:val="11"/>
          <w:sz w:val="24"/>
        </w:rPr>
        <w:t> </w:t>
      </w:r>
      <w:r>
        <w:rPr>
          <w:sz w:val="24"/>
        </w:rPr>
        <w:t>the</w:t>
      </w:r>
      <w:r>
        <w:rPr>
          <w:spacing w:val="10"/>
          <w:sz w:val="24"/>
        </w:rPr>
        <w:t> </w:t>
      </w:r>
      <w:r>
        <w:rPr>
          <w:i/>
          <w:sz w:val="24"/>
        </w:rPr>
        <w:t>connection</w:t>
      </w:r>
      <w:r>
        <w:rPr>
          <w:i/>
          <w:spacing w:val="11"/>
          <w:sz w:val="24"/>
        </w:rPr>
        <w:t> </w:t>
      </w:r>
      <w:r>
        <w:rPr>
          <w:i/>
          <w:sz w:val="24"/>
        </w:rPr>
        <w:t>point</w:t>
      </w:r>
    </w:p>
    <w:p>
      <w:pPr>
        <w:spacing w:before="0"/>
        <w:ind w:left="2486" w:right="0" w:firstLine="0"/>
        <w:jc w:val="both"/>
        <w:rPr>
          <w:sz w:val="24"/>
        </w:rPr>
      </w:pPr>
      <w:r>
        <w:rPr>
          <w:sz w:val="24"/>
        </w:rPr>
        <w:t>to drop below 50% of </w:t>
      </w:r>
      <w:r>
        <w:rPr>
          <w:i/>
          <w:sz w:val="24"/>
        </w:rPr>
        <w:t>normal voltage</w:t>
      </w:r>
      <w:r>
        <w:rPr>
          <w:sz w:val="24"/>
        </w:rPr>
        <w:t>;</w:t>
      </w:r>
    </w:p>
    <w:p>
      <w:pPr>
        <w:pStyle w:val="ListParagraph"/>
        <w:numPr>
          <w:ilvl w:val="1"/>
          <w:numId w:val="288"/>
        </w:numPr>
        <w:tabs>
          <w:tab w:pos="2486" w:val="left" w:leader="none"/>
        </w:tabs>
        <w:spacing w:line="240" w:lineRule="auto" w:before="120" w:after="0"/>
        <w:ind w:left="2486" w:right="416" w:hanging="567"/>
        <w:jc w:val="both"/>
        <w:rPr>
          <w:sz w:val="24"/>
        </w:rPr>
      </w:pPr>
      <w:r>
        <w:rPr>
          <w:sz w:val="24"/>
        </w:rPr>
        <w:t>in parts of the </w:t>
      </w:r>
      <w:r>
        <w:rPr>
          <w:i/>
          <w:sz w:val="24"/>
        </w:rPr>
        <w:t>network </w:t>
      </w:r>
      <w:r>
        <w:rPr>
          <w:sz w:val="24"/>
        </w:rPr>
        <w:t>where three-phase automatic reclosure is permitted, up to two of the disturbances are three phase faults, and otherwise, up to one three phase fault where </w:t>
      </w:r>
      <w:r>
        <w:rPr>
          <w:i/>
          <w:sz w:val="24"/>
        </w:rPr>
        <w:t>voltage </w:t>
      </w:r>
      <w:r>
        <w:rPr>
          <w:sz w:val="24"/>
        </w:rPr>
        <w:t>at the </w:t>
      </w:r>
      <w:r>
        <w:rPr>
          <w:i/>
          <w:sz w:val="24"/>
        </w:rPr>
        <w:t>connection </w:t>
      </w:r>
      <w:r>
        <w:rPr>
          <w:i/>
          <w:sz w:val="24"/>
        </w:rPr>
        <w:t>point </w:t>
      </w:r>
      <w:r>
        <w:rPr>
          <w:sz w:val="24"/>
        </w:rPr>
        <w:t>drops below 50% of </w:t>
      </w:r>
      <w:r>
        <w:rPr>
          <w:i/>
          <w:sz w:val="24"/>
        </w:rPr>
        <w:t>normal</w:t>
      </w:r>
      <w:r>
        <w:rPr>
          <w:i/>
          <w:spacing w:val="-1"/>
          <w:sz w:val="24"/>
        </w:rPr>
        <w:t> </w:t>
      </w:r>
      <w:r>
        <w:rPr>
          <w:i/>
          <w:sz w:val="24"/>
        </w:rPr>
        <w:t>voltage</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288"/>
        </w:numPr>
        <w:tabs>
          <w:tab w:pos="2485" w:val="left" w:leader="none"/>
          <w:tab w:pos="2486" w:val="left" w:leader="none"/>
        </w:tabs>
        <w:spacing w:line="240" w:lineRule="auto" w:before="83" w:after="0"/>
        <w:ind w:left="2486" w:right="415" w:hanging="567"/>
        <w:jc w:val="left"/>
        <w:rPr>
          <w:sz w:val="24"/>
        </w:rPr>
      </w:pPr>
      <w:r>
        <w:rPr>
          <w:sz w:val="24"/>
        </w:rPr>
        <w:t>up to one disturbance is cleared by a </w:t>
      </w:r>
      <w:r>
        <w:rPr>
          <w:i/>
          <w:sz w:val="24"/>
        </w:rPr>
        <w:t>breaker fail protection system </w:t>
      </w:r>
      <w:r>
        <w:rPr>
          <w:sz w:val="24"/>
        </w:rPr>
        <w:t>or similar back-up </w:t>
      </w:r>
      <w:r>
        <w:rPr>
          <w:i/>
          <w:sz w:val="24"/>
        </w:rPr>
        <w:t>protection</w:t>
      </w:r>
      <w:r>
        <w:rPr>
          <w:i/>
          <w:spacing w:val="-1"/>
          <w:sz w:val="24"/>
        </w:rPr>
        <w:t> </w:t>
      </w:r>
      <w:r>
        <w:rPr>
          <w:i/>
          <w:sz w:val="24"/>
        </w:rPr>
        <w:t>system</w:t>
      </w:r>
      <w:r>
        <w:rPr>
          <w:sz w:val="24"/>
        </w:rPr>
        <w:t>;</w:t>
      </w:r>
    </w:p>
    <w:p>
      <w:pPr>
        <w:pStyle w:val="ListParagraph"/>
        <w:numPr>
          <w:ilvl w:val="1"/>
          <w:numId w:val="288"/>
        </w:numPr>
        <w:tabs>
          <w:tab w:pos="2485" w:val="left" w:leader="none"/>
          <w:tab w:pos="2486" w:val="left" w:leader="none"/>
        </w:tabs>
        <w:spacing w:line="240" w:lineRule="auto" w:before="120" w:after="0"/>
        <w:ind w:left="2486" w:right="414" w:hanging="567"/>
        <w:jc w:val="left"/>
        <w:rPr>
          <w:sz w:val="24"/>
        </w:rPr>
      </w:pPr>
      <w:r>
        <w:rPr>
          <w:sz w:val="24"/>
        </w:rPr>
        <w:t>up to one disturbance causes the </w:t>
      </w:r>
      <w:r>
        <w:rPr>
          <w:i/>
          <w:sz w:val="24"/>
        </w:rPr>
        <w:t>voltage </w:t>
      </w:r>
      <w:r>
        <w:rPr>
          <w:sz w:val="24"/>
        </w:rPr>
        <w:t>at the </w:t>
      </w:r>
      <w:r>
        <w:rPr>
          <w:i/>
          <w:sz w:val="24"/>
        </w:rPr>
        <w:t>connection point </w:t>
      </w:r>
      <w:r>
        <w:rPr>
          <w:sz w:val="24"/>
        </w:rPr>
        <w:t>to vary within the ranges under clause S5.2.5.4(a)(7) and</w:t>
      </w:r>
      <w:r>
        <w:rPr>
          <w:spacing w:val="-9"/>
          <w:sz w:val="24"/>
        </w:rPr>
        <w:t> </w:t>
      </w:r>
      <w:r>
        <w:rPr>
          <w:sz w:val="24"/>
        </w:rPr>
        <w:t>(a)(8);</w:t>
      </w:r>
    </w:p>
    <w:p>
      <w:pPr>
        <w:pStyle w:val="ListParagraph"/>
        <w:numPr>
          <w:ilvl w:val="1"/>
          <w:numId w:val="288"/>
        </w:numPr>
        <w:tabs>
          <w:tab w:pos="2485" w:val="left" w:leader="none"/>
          <w:tab w:pos="2486" w:val="left" w:leader="none"/>
        </w:tabs>
        <w:spacing w:line="240" w:lineRule="auto" w:before="120" w:after="0"/>
        <w:ind w:left="2486" w:right="415" w:hanging="567"/>
        <w:jc w:val="left"/>
        <w:rPr>
          <w:sz w:val="24"/>
        </w:rPr>
      </w:pPr>
      <w:r>
        <w:rPr>
          <w:sz w:val="24"/>
        </w:rPr>
        <w:t>the minimum clearance from the end of one disturbance and commencement of the next disturbance may be zero milliseconds;</w:t>
      </w:r>
      <w:r>
        <w:rPr>
          <w:spacing w:val="-6"/>
          <w:sz w:val="24"/>
        </w:rPr>
        <w:t> </w:t>
      </w:r>
      <w:r>
        <w:rPr>
          <w:sz w:val="24"/>
        </w:rPr>
        <w:t>and</w:t>
      </w:r>
    </w:p>
    <w:p>
      <w:pPr>
        <w:pStyle w:val="ListParagraph"/>
        <w:numPr>
          <w:ilvl w:val="1"/>
          <w:numId w:val="288"/>
        </w:numPr>
        <w:tabs>
          <w:tab w:pos="2485" w:val="left" w:leader="none"/>
          <w:tab w:pos="2486" w:val="left" w:leader="none"/>
        </w:tabs>
        <w:spacing w:line="240" w:lineRule="auto" w:before="120" w:after="0"/>
        <w:ind w:left="2486" w:right="415" w:hanging="567"/>
        <w:jc w:val="left"/>
        <w:rPr>
          <w:sz w:val="24"/>
        </w:rPr>
      </w:pPr>
      <w:r>
        <w:rPr>
          <w:sz w:val="24"/>
        </w:rPr>
        <w:t>all remaining disturbances are caused by faults other than three phase faults,</w:t>
      </w:r>
    </w:p>
    <w:p>
      <w:pPr>
        <w:pStyle w:val="BodyText"/>
        <w:ind w:left="1919" w:firstLine="0"/>
        <w:jc w:val="left"/>
      </w:pPr>
      <w:r>
        <w:rPr/>
        <w:t>provided that none of the events would result in:</w:t>
      </w:r>
    </w:p>
    <w:p>
      <w:pPr>
        <w:pStyle w:val="ListParagraph"/>
        <w:numPr>
          <w:ilvl w:val="1"/>
          <w:numId w:val="288"/>
        </w:numPr>
        <w:tabs>
          <w:tab w:pos="2485" w:val="left" w:leader="none"/>
          <w:tab w:pos="2486" w:val="left" w:leader="none"/>
        </w:tabs>
        <w:spacing w:line="240" w:lineRule="auto" w:before="120" w:after="0"/>
        <w:ind w:left="2485" w:right="0" w:hanging="567"/>
        <w:jc w:val="left"/>
        <w:rPr>
          <w:sz w:val="24"/>
        </w:rPr>
      </w:pPr>
      <w:r>
        <w:rPr>
          <w:sz w:val="24"/>
        </w:rPr>
        <w:t>the islanding of the </w:t>
      </w:r>
      <w:r>
        <w:rPr>
          <w:i/>
          <w:sz w:val="24"/>
        </w:rPr>
        <w:t>generating system </w:t>
      </w:r>
      <w:r>
        <w:rPr>
          <w:sz w:val="24"/>
        </w:rPr>
        <w:t>or cause a material reduction</w:t>
      </w:r>
      <w:r>
        <w:rPr>
          <w:spacing w:val="9"/>
          <w:sz w:val="24"/>
        </w:rPr>
        <w:t> </w:t>
      </w:r>
      <w:r>
        <w:rPr>
          <w:sz w:val="24"/>
        </w:rPr>
        <w:t>in</w:t>
      </w:r>
    </w:p>
    <w:p>
      <w:pPr>
        <w:spacing w:before="0"/>
        <w:ind w:left="2486" w:right="0" w:firstLine="0"/>
        <w:jc w:val="left"/>
        <w:rPr>
          <w:sz w:val="24"/>
        </w:rPr>
      </w:pPr>
      <w:r>
        <w:rPr>
          <w:i/>
          <w:sz w:val="24"/>
        </w:rPr>
        <w:t>power transfer capability </w:t>
      </w:r>
      <w:r>
        <w:rPr>
          <w:sz w:val="24"/>
        </w:rPr>
        <w:t>by removing </w:t>
      </w:r>
      <w:r>
        <w:rPr>
          <w:i/>
          <w:sz w:val="24"/>
        </w:rPr>
        <w:t>network elements </w:t>
      </w:r>
      <w:r>
        <w:rPr>
          <w:sz w:val="24"/>
        </w:rPr>
        <w:t>from service;</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cumulative time that </w:t>
      </w:r>
      <w:r>
        <w:rPr>
          <w:i/>
          <w:sz w:val="24"/>
        </w:rPr>
        <w:t>voltage </w:t>
      </w:r>
      <w:r>
        <w:rPr>
          <w:sz w:val="24"/>
        </w:rPr>
        <w:t>at the </w:t>
      </w:r>
      <w:r>
        <w:rPr>
          <w:i/>
          <w:sz w:val="24"/>
        </w:rPr>
        <w:t>connection point </w:t>
      </w:r>
      <w:r>
        <w:rPr>
          <w:sz w:val="24"/>
        </w:rPr>
        <w:t>is lower than 90% of </w:t>
      </w:r>
      <w:r>
        <w:rPr>
          <w:i/>
          <w:sz w:val="24"/>
        </w:rPr>
        <w:t>normal voltage </w:t>
      </w:r>
      <w:r>
        <w:rPr>
          <w:sz w:val="24"/>
        </w:rPr>
        <w:t>exceeding 1,800 milliseconds within any five minute period;</w:t>
      </w:r>
      <w:r>
        <w:rPr>
          <w:spacing w:val="-1"/>
          <w:sz w:val="24"/>
        </w:rPr>
        <w:t> </w:t>
      </w:r>
      <w:r>
        <w:rPr>
          <w:sz w:val="24"/>
        </w:rPr>
        <w:t>or</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the time integral, within any five minute period, of the difference between 90% of </w:t>
      </w:r>
      <w:r>
        <w:rPr>
          <w:i/>
          <w:sz w:val="24"/>
        </w:rPr>
        <w:t>normal voltage </w:t>
      </w:r>
      <w:r>
        <w:rPr>
          <w:sz w:val="24"/>
        </w:rPr>
        <w:t>and the </w:t>
      </w:r>
      <w:r>
        <w:rPr>
          <w:i/>
          <w:sz w:val="24"/>
        </w:rPr>
        <w:t>voltage </w:t>
      </w:r>
      <w:r>
        <w:rPr>
          <w:sz w:val="24"/>
        </w:rPr>
        <w:t>at the </w:t>
      </w:r>
      <w:r>
        <w:rPr>
          <w:i/>
          <w:sz w:val="24"/>
        </w:rPr>
        <w:t>connection </w:t>
      </w:r>
      <w:r>
        <w:rPr>
          <w:i/>
          <w:sz w:val="24"/>
        </w:rPr>
        <w:t>point </w:t>
      </w:r>
      <w:r>
        <w:rPr>
          <w:sz w:val="24"/>
        </w:rPr>
        <w:t>when the </w:t>
      </w:r>
      <w:r>
        <w:rPr>
          <w:i/>
          <w:sz w:val="24"/>
        </w:rPr>
        <w:t>voltage </w:t>
      </w:r>
      <w:r>
        <w:rPr>
          <w:sz w:val="24"/>
        </w:rPr>
        <w:t>at the </w:t>
      </w:r>
      <w:r>
        <w:rPr>
          <w:i/>
          <w:sz w:val="24"/>
        </w:rPr>
        <w:t>connection point </w:t>
      </w:r>
      <w:r>
        <w:rPr>
          <w:sz w:val="24"/>
        </w:rPr>
        <w:t>is lower than 90% of </w:t>
      </w:r>
      <w:r>
        <w:rPr>
          <w:i/>
          <w:sz w:val="24"/>
        </w:rPr>
        <w:t>normal voltage </w:t>
      </w:r>
      <w:r>
        <w:rPr>
          <w:sz w:val="24"/>
        </w:rPr>
        <w:t>exceeding 1 pu</w:t>
      </w:r>
      <w:r>
        <w:rPr>
          <w:spacing w:val="-2"/>
          <w:sz w:val="24"/>
        </w:rPr>
        <w:t> </w:t>
      </w:r>
      <w:r>
        <w:rPr>
          <w:sz w:val="24"/>
        </w:rPr>
        <w:t>second.</w:t>
      </w:r>
    </w:p>
    <w:p>
      <w:pPr>
        <w:spacing w:before="220"/>
        <w:ind w:left="1356" w:right="0" w:firstLine="0"/>
        <w:jc w:val="left"/>
        <w:rPr>
          <w:rFonts w:ascii="Arial"/>
          <w:b/>
          <w:sz w:val="22"/>
        </w:rPr>
      </w:pPr>
      <w:r>
        <w:rPr>
          <w:rFonts w:ascii="Arial"/>
          <w:b/>
          <w:sz w:val="22"/>
        </w:rPr>
        <w:t>Synchronous generating</w:t>
      </w:r>
      <w:r>
        <w:rPr>
          <w:rFonts w:ascii="Arial"/>
          <w:b/>
          <w:spacing w:val="-7"/>
          <w:sz w:val="22"/>
        </w:rPr>
        <w:t> </w:t>
      </w:r>
      <w:r>
        <w:rPr>
          <w:rFonts w:ascii="Arial"/>
          <w:b/>
          <w:sz w:val="22"/>
        </w:rPr>
        <w:t>systems</w:t>
      </w:r>
    </w:p>
    <w:p>
      <w:pPr>
        <w:pStyle w:val="ListParagraph"/>
        <w:numPr>
          <w:ilvl w:val="0"/>
          <w:numId w:val="288"/>
        </w:numPr>
        <w:tabs>
          <w:tab w:pos="1919" w:val="left" w:leader="none"/>
        </w:tabs>
        <w:spacing w:line="240" w:lineRule="auto" w:before="120" w:after="0"/>
        <w:ind w:left="1919" w:right="414" w:hanging="567"/>
        <w:jc w:val="both"/>
        <w:rPr>
          <w:sz w:val="24"/>
        </w:rPr>
      </w:pPr>
      <w:r>
        <w:rPr>
          <w:sz w:val="24"/>
        </w:rPr>
        <w:t>Subject to any changed </w:t>
      </w:r>
      <w:r>
        <w:rPr>
          <w:i/>
          <w:sz w:val="24"/>
        </w:rPr>
        <w:t>power system </w:t>
      </w:r>
      <w:r>
        <w:rPr>
          <w:sz w:val="24"/>
        </w:rPr>
        <w:t>conditions or energy source availability beyond the </w:t>
      </w:r>
      <w:r>
        <w:rPr>
          <w:i/>
          <w:sz w:val="24"/>
        </w:rPr>
        <w:t>Generator's </w:t>
      </w:r>
      <w:r>
        <w:rPr>
          <w:sz w:val="24"/>
        </w:rPr>
        <w:t>reasonable control, a </w:t>
      </w:r>
      <w:r>
        <w:rPr>
          <w:i/>
          <w:sz w:val="24"/>
        </w:rPr>
        <w:t>generating system </w:t>
      </w:r>
      <w:r>
        <w:rPr>
          <w:sz w:val="24"/>
        </w:rPr>
        <w:t>comprised of </w:t>
      </w:r>
      <w:r>
        <w:rPr>
          <w:i/>
          <w:sz w:val="24"/>
        </w:rPr>
        <w:t>synchronous generating units</w:t>
      </w:r>
      <w:r>
        <w:rPr>
          <w:sz w:val="24"/>
        </w:rPr>
        <w:t>, in respect of the types of fault described in subparagraphs (c)(2) to (4), must supply to or absorb from the </w:t>
      </w:r>
      <w:r>
        <w:rPr>
          <w:i/>
          <w:sz w:val="24"/>
        </w:rPr>
        <w:t>network</w:t>
      </w:r>
      <w:r>
        <w:rPr>
          <w:sz w:val="24"/>
        </w:rPr>
        <w:t>:</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to assist the maintenance of </w:t>
      </w:r>
      <w:r>
        <w:rPr>
          <w:i/>
          <w:sz w:val="24"/>
        </w:rPr>
        <w:t>power system voltages </w:t>
      </w:r>
      <w:r>
        <w:rPr>
          <w:sz w:val="24"/>
        </w:rPr>
        <w:t>during the fault, capacitive reactive current of at least the greater of its pre-disturbance reactive current and 4% of the maximum continuous current of the </w:t>
      </w:r>
      <w:r>
        <w:rPr>
          <w:i/>
          <w:sz w:val="24"/>
        </w:rPr>
        <w:t>generating system </w:t>
      </w:r>
      <w:r>
        <w:rPr>
          <w:sz w:val="24"/>
        </w:rPr>
        <w:t>including all operating </w:t>
      </w:r>
      <w:r>
        <w:rPr>
          <w:i/>
          <w:sz w:val="24"/>
        </w:rPr>
        <w:t>synchronous generating </w:t>
      </w:r>
      <w:r>
        <w:rPr>
          <w:i/>
          <w:sz w:val="24"/>
        </w:rPr>
        <w:t>units </w:t>
      </w:r>
      <w:r>
        <w:rPr>
          <w:sz w:val="24"/>
        </w:rPr>
        <w:t>(in the absence of a disturbance) for each 1% reduction (from the level existing just prior to the fault) of </w:t>
      </w:r>
      <w:r>
        <w:rPr>
          <w:i/>
          <w:sz w:val="24"/>
        </w:rPr>
        <w:t>connection point voltage </w:t>
      </w:r>
      <w:r>
        <w:rPr>
          <w:sz w:val="24"/>
        </w:rPr>
        <w:t>during the fault;</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after clearance of the fault, </w:t>
      </w:r>
      <w:r>
        <w:rPr>
          <w:i/>
          <w:sz w:val="24"/>
        </w:rPr>
        <w:t>reactive power </w:t>
      </w:r>
      <w:r>
        <w:rPr>
          <w:sz w:val="24"/>
        </w:rPr>
        <w:t>sufficient to ensure that the </w:t>
      </w:r>
      <w:r>
        <w:rPr>
          <w:i/>
          <w:sz w:val="24"/>
        </w:rPr>
        <w:t>connection point voltage </w:t>
      </w:r>
      <w:r>
        <w:rPr>
          <w:sz w:val="24"/>
        </w:rPr>
        <w:t>is within the range for </w:t>
      </w:r>
      <w:r>
        <w:rPr>
          <w:i/>
          <w:sz w:val="24"/>
        </w:rPr>
        <w:t>continuous </w:t>
      </w:r>
      <w:r>
        <w:rPr>
          <w:i/>
          <w:sz w:val="24"/>
        </w:rPr>
        <w:t>uninterrupted operation </w:t>
      </w:r>
      <w:r>
        <w:rPr>
          <w:sz w:val="24"/>
        </w:rPr>
        <w:t>under clause S5.2.5.4;</w:t>
      </w:r>
      <w:r>
        <w:rPr>
          <w:spacing w:val="-3"/>
          <w:sz w:val="24"/>
        </w:rPr>
        <w:t> </w:t>
      </w:r>
      <w:r>
        <w:rPr>
          <w:sz w:val="24"/>
        </w:rPr>
        <w:t>and</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from 100 milliseconds after clearance of the fault, </w:t>
      </w:r>
      <w:r>
        <w:rPr>
          <w:i/>
          <w:sz w:val="24"/>
        </w:rPr>
        <w:t>active power </w:t>
      </w:r>
      <w:r>
        <w:rPr>
          <w:sz w:val="24"/>
        </w:rPr>
        <w:t>of at least 95% of the level existing just prior to the</w:t>
      </w:r>
      <w:r>
        <w:rPr>
          <w:spacing w:val="-1"/>
          <w:sz w:val="24"/>
        </w:rPr>
        <w:t> </w:t>
      </w:r>
      <w:r>
        <w:rPr>
          <w:sz w:val="24"/>
        </w:rPr>
        <w:t>fault.</w:t>
      </w:r>
    </w:p>
    <w:p>
      <w:pPr>
        <w:spacing w:before="220"/>
        <w:ind w:left="1356" w:right="0" w:firstLine="0"/>
        <w:jc w:val="left"/>
        <w:rPr>
          <w:rFonts w:ascii="Arial"/>
          <w:b/>
          <w:sz w:val="22"/>
        </w:rPr>
      </w:pPr>
      <w:r>
        <w:rPr>
          <w:rFonts w:ascii="Arial"/>
          <w:b/>
          <w:sz w:val="22"/>
        </w:rPr>
        <w:t>Asynchronous generating systems</w:t>
      </w:r>
    </w:p>
    <w:p>
      <w:pPr>
        <w:pStyle w:val="ListParagraph"/>
        <w:numPr>
          <w:ilvl w:val="0"/>
          <w:numId w:val="288"/>
        </w:numPr>
        <w:tabs>
          <w:tab w:pos="1920" w:val="left" w:leader="none"/>
        </w:tabs>
        <w:spacing w:line="240" w:lineRule="auto" w:before="120" w:after="0"/>
        <w:ind w:left="1919" w:right="414" w:hanging="567"/>
        <w:jc w:val="both"/>
        <w:rPr>
          <w:sz w:val="24"/>
        </w:rPr>
      </w:pPr>
      <w:r>
        <w:rPr>
          <w:sz w:val="24"/>
        </w:rPr>
        <w:t>Subject to any changed </w:t>
      </w:r>
      <w:r>
        <w:rPr>
          <w:i/>
          <w:sz w:val="24"/>
        </w:rPr>
        <w:t>power system </w:t>
      </w:r>
      <w:r>
        <w:rPr>
          <w:sz w:val="24"/>
        </w:rPr>
        <w:t>conditions or energy source availability beyond the </w:t>
      </w:r>
      <w:r>
        <w:rPr>
          <w:i/>
          <w:sz w:val="24"/>
        </w:rPr>
        <w:t>Generator's </w:t>
      </w:r>
      <w:r>
        <w:rPr>
          <w:sz w:val="24"/>
        </w:rPr>
        <w:t>reasonable control, a </w:t>
      </w:r>
      <w:r>
        <w:rPr>
          <w:i/>
          <w:sz w:val="24"/>
        </w:rPr>
        <w:t>generating system </w:t>
      </w:r>
      <w:r>
        <w:rPr>
          <w:sz w:val="24"/>
        </w:rPr>
        <w:t>comprised of </w:t>
      </w:r>
      <w:r>
        <w:rPr>
          <w:i/>
          <w:sz w:val="24"/>
        </w:rPr>
        <w:t>asynchronous generating units</w:t>
      </w:r>
      <w:r>
        <w:rPr>
          <w:sz w:val="24"/>
        </w:rPr>
        <w:t>, in respect of the types of fault described in subparagraphs (c)(2) to (4), must have </w:t>
      </w:r>
      <w:r>
        <w:rPr>
          <w:i/>
          <w:sz w:val="24"/>
        </w:rPr>
        <w:t>facilities </w:t>
      </w:r>
      <w:r>
        <w:rPr>
          <w:sz w:val="24"/>
        </w:rPr>
        <w:t>capable of supplying to or absorbing from the</w:t>
      </w:r>
      <w:r>
        <w:rPr>
          <w:spacing w:val="-3"/>
          <w:sz w:val="24"/>
        </w:rPr>
        <w:t> </w:t>
      </w:r>
      <w:r>
        <w:rPr>
          <w:i/>
          <w:sz w:val="24"/>
        </w:rPr>
        <w:t>network</w:t>
      </w:r>
      <w:r>
        <w:rPr>
          <w:sz w:val="24"/>
        </w:rPr>
        <w:t>:</w:t>
      </w:r>
    </w:p>
    <w:p>
      <w:pPr>
        <w:pStyle w:val="ListParagraph"/>
        <w:numPr>
          <w:ilvl w:val="1"/>
          <w:numId w:val="288"/>
        </w:numPr>
        <w:tabs>
          <w:tab w:pos="2486" w:val="left" w:leader="none"/>
        </w:tabs>
        <w:spacing w:line="240" w:lineRule="auto" w:before="120" w:after="0"/>
        <w:ind w:left="2485" w:right="0" w:hanging="567"/>
        <w:jc w:val="both"/>
        <w:rPr>
          <w:sz w:val="24"/>
        </w:rPr>
      </w:pPr>
      <w:r>
        <w:rPr>
          <w:sz w:val="24"/>
        </w:rPr>
        <w:t>to assist the maintenance of </w:t>
      </w:r>
      <w:r>
        <w:rPr>
          <w:i/>
          <w:sz w:val="24"/>
        </w:rPr>
        <w:t>power system voltages </w:t>
      </w:r>
      <w:r>
        <w:rPr>
          <w:sz w:val="24"/>
        </w:rPr>
        <w:t>during the</w:t>
      </w:r>
      <w:r>
        <w:rPr>
          <w:spacing w:val="-7"/>
          <w:sz w:val="24"/>
        </w:rPr>
        <w:t> </w:t>
      </w:r>
      <w:r>
        <w:rPr>
          <w:sz w:val="24"/>
        </w:rPr>
        <w:t>fault:</w:t>
      </w:r>
    </w:p>
    <w:p>
      <w:pPr>
        <w:spacing w:after="0" w:line="240" w:lineRule="auto"/>
        <w:jc w:val="both"/>
        <w:rPr>
          <w:sz w:val="24"/>
        </w:rPr>
        <w:sectPr>
          <w:pgSz w:w="11910" w:h="16840"/>
          <w:pgMar w:header="686" w:footer="637" w:top="1320" w:bottom="820" w:left="1200" w:right="1000"/>
        </w:sectPr>
      </w:pPr>
    </w:p>
    <w:p>
      <w:pPr>
        <w:pStyle w:val="ListParagraph"/>
        <w:numPr>
          <w:ilvl w:val="2"/>
          <w:numId w:val="288"/>
        </w:numPr>
        <w:tabs>
          <w:tab w:pos="3053" w:val="left" w:leader="none"/>
        </w:tabs>
        <w:spacing w:line="240" w:lineRule="auto" w:before="83" w:after="0"/>
        <w:ind w:left="3053" w:right="414" w:hanging="567"/>
        <w:jc w:val="both"/>
        <w:rPr>
          <w:sz w:val="24"/>
        </w:rPr>
      </w:pPr>
      <w:r>
        <w:rPr>
          <w:sz w:val="24"/>
        </w:rPr>
        <w:t>capacitive reactive current in addition to its pre-disturbance  level of at least 4% of the maximum continuous current of the </w:t>
      </w:r>
      <w:r>
        <w:rPr>
          <w:i/>
          <w:sz w:val="24"/>
        </w:rPr>
        <w:t>generating system </w:t>
      </w:r>
      <w:r>
        <w:rPr>
          <w:sz w:val="24"/>
        </w:rPr>
        <w:t>including all operating </w:t>
      </w:r>
      <w:r>
        <w:rPr>
          <w:i/>
          <w:sz w:val="24"/>
        </w:rPr>
        <w:t>asynchronous </w:t>
      </w:r>
      <w:r>
        <w:rPr>
          <w:i/>
          <w:sz w:val="24"/>
        </w:rPr>
        <w:t>generating units </w:t>
      </w:r>
      <w:r>
        <w:rPr>
          <w:sz w:val="24"/>
        </w:rPr>
        <w:t>(in the absence of a disturbance) for each 1% reduction of </w:t>
      </w:r>
      <w:r>
        <w:rPr>
          <w:i/>
          <w:sz w:val="24"/>
        </w:rPr>
        <w:t>voltage </w:t>
      </w:r>
      <w:r>
        <w:rPr>
          <w:sz w:val="24"/>
        </w:rPr>
        <w:t>at the </w:t>
      </w:r>
      <w:r>
        <w:rPr>
          <w:i/>
          <w:sz w:val="24"/>
        </w:rPr>
        <w:t>connection point </w:t>
      </w:r>
      <w:r>
        <w:rPr>
          <w:sz w:val="24"/>
        </w:rPr>
        <w:t>below the relevant range in which a reactive current response must commence, as identified in subparagraph (g)(1), with the </w:t>
      </w:r>
      <w:r>
        <w:rPr>
          <w:i/>
          <w:sz w:val="24"/>
        </w:rPr>
        <w:t>performance </w:t>
      </w:r>
      <w:r>
        <w:rPr>
          <w:i/>
          <w:sz w:val="24"/>
        </w:rPr>
        <w:t>standards </w:t>
      </w:r>
      <w:r>
        <w:rPr>
          <w:sz w:val="24"/>
        </w:rPr>
        <w:t>to record the required response agreed with </w:t>
      </w:r>
      <w:r>
        <w:rPr>
          <w:i/>
          <w:sz w:val="24"/>
        </w:rPr>
        <w:t>AEMO </w:t>
      </w:r>
      <w:r>
        <w:rPr>
          <w:sz w:val="24"/>
        </w:rPr>
        <w:t>and the </w:t>
      </w:r>
      <w:r>
        <w:rPr>
          <w:i/>
          <w:sz w:val="24"/>
        </w:rPr>
        <w:t>Network Service Provider</w:t>
      </w:r>
      <w:r>
        <w:rPr>
          <w:sz w:val="24"/>
        </w:rPr>
        <w:t>;</w:t>
      </w:r>
      <w:r>
        <w:rPr>
          <w:spacing w:val="-2"/>
          <w:sz w:val="24"/>
        </w:rPr>
        <w:t> </w:t>
      </w:r>
      <w:r>
        <w:rPr>
          <w:sz w:val="24"/>
        </w:rPr>
        <w:t>and</w:t>
      </w:r>
    </w:p>
    <w:p>
      <w:pPr>
        <w:pStyle w:val="ListParagraph"/>
        <w:numPr>
          <w:ilvl w:val="2"/>
          <w:numId w:val="288"/>
        </w:numPr>
        <w:tabs>
          <w:tab w:pos="3054" w:val="left" w:leader="none"/>
        </w:tabs>
        <w:spacing w:line="240" w:lineRule="auto" w:before="120" w:after="0"/>
        <w:ind w:left="3053" w:right="414" w:hanging="567"/>
        <w:jc w:val="both"/>
        <w:rPr>
          <w:sz w:val="24"/>
        </w:rPr>
      </w:pPr>
      <w:r>
        <w:rPr>
          <w:sz w:val="24"/>
        </w:rPr>
        <w:t>inductive reactive current in addition to its pre-disturbance level of at least 6% of the maximum continuous current of </w:t>
      </w:r>
      <w:r>
        <w:rPr>
          <w:spacing w:val="-5"/>
          <w:sz w:val="24"/>
        </w:rPr>
        <w:t>the </w:t>
      </w:r>
      <w:r>
        <w:rPr>
          <w:i/>
          <w:sz w:val="24"/>
        </w:rPr>
        <w:t>generating system </w:t>
      </w:r>
      <w:r>
        <w:rPr>
          <w:sz w:val="24"/>
        </w:rPr>
        <w:t>including all operating </w:t>
      </w:r>
      <w:r>
        <w:rPr>
          <w:i/>
          <w:sz w:val="24"/>
        </w:rPr>
        <w:t>asynchronous </w:t>
      </w:r>
      <w:r>
        <w:rPr>
          <w:i/>
          <w:sz w:val="24"/>
        </w:rPr>
        <w:t>generating units </w:t>
      </w:r>
      <w:r>
        <w:rPr>
          <w:sz w:val="24"/>
        </w:rPr>
        <w:t>(in the absence of a disturbance) for each 1% increase of </w:t>
      </w:r>
      <w:r>
        <w:rPr>
          <w:i/>
          <w:sz w:val="24"/>
        </w:rPr>
        <w:t>voltage </w:t>
      </w:r>
      <w:r>
        <w:rPr>
          <w:sz w:val="24"/>
        </w:rPr>
        <w:t>at the </w:t>
      </w:r>
      <w:r>
        <w:rPr>
          <w:i/>
          <w:sz w:val="24"/>
        </w:rPr>
        <w:t>connection point </w:t>
      </w:r>
      <w:r>
        <w:rPr>
          <w:sz w:val="24"/>
        </w:rPr>
        <w:t>above the relevant range in which a reactive current response must commence, as identified in subparagraph (g)(1), with the </w:t>
      </w:r>
      <w:r>
        <w:rPr>
          <w:i/>
          <w:sz w:val="24"/>
        </w:rPr>
        <w:t>performance </w:t>
      </w:r>
      <w:r>
        <w:rPr>
          <w:i/>
          <w:sz w:val="24"/>
        </w:rPr>
        <w:t>standards </w:t>
      </w:r>
      <w:r>
        <w:rPr>
          <w:sz w:val="24"/>
        </w:rPr>
        <w:t>to record the required response agreed with </w:t>
      </w:r>
      <w:r>
        <w:rPr>
          <w:i/>
          <w:sz w:val="24"/>
        </w:rPr>
        <w:t>AEMO </w:t>
      </w:r>
      <w:r>
        <w:rPr>
          <w:sz w:val="24"/>
        </w:rPr>
        <w:t>and the </w:t>
      </w:r>
      <w:r>
        <w:rPr>
          <w:i/>
          <w:sz w:val="24"/>
        </w:rPr>
        <w:t>Network Service</w:t>
      </w:r>
      <w:r>
        <w:rPr>
          <w:i/>
          <w:spacing w:val="-2"/>
          <w:sz w:val="24"/>
        </w:rPr>
        <w:t> </w:t>
      </w:r>
      <w:r>
        <w:rPr>
          <w:i/>
          <w:sz w:val="24"/>
        </w:rPr>
        <w:t>Provider</w:t>
      </w:r>
      <w:r>
        <w:rPr>
          <w:sz w:val="24"/>
        </w:rPr>
        <w:t>,</w:t>
      </w:r>
    </w:p>
    <w:p>
      <w:pPr>
        <w:spacing w:before="120"/>
        <w:ind w:left="3053" w:right="415" w:firstLine="0"/>
        <w:jc w:val="both"/>
        <w:rPr>
          <w:sz w:val="24"/>
        </w:rPr>
      </w:pPr>
      <w:r>
        <w:rPr>
          <w:sz w:val="24"/>
        </w:rPr>
        <w:t>during the disturbance and maintained until </w:t>
      </w:r>
      <w:r>
        <w:rPr>
          <w:i/>
          <w:sz w:val="24"/>
        </w:rPr>
        <w:t>connection point </w:t>
      </w:r>
      <w:r>
        <w:rPr>
          <w:i/>
          <w:sz w:val="24"/>
        </w:rPr>
        <w:t>voltage </w:t>
      </w:r>
      <w:r>
        <w:rPr>
          <w:sz w:val="24"/>
        </w:rPr>
        <w:t>recovers to between 90% and 110% of </w:t>
      </w:r>
      <w:r>
        <w:rPr>
          <w:i/>
          <w:sz w:val="24"/>
        </w:rPr>
        <w:t>normal voltage</w:t>
      </w:r>
      <w:r>
        <w:rPr>
          <w:sz w:val="24"/>
        </w:rPr>
        <w:t>, or such other range agreed with the </w:t>
      </w:r>
      <w:r>
        <w:rPr>
          <w:i/>
          <w:sz w:val="24"/>
        </w:rPr>
        <w:t>Network Service Provider </w:t>
      </w:r>
      <w:r>
        <w:rPr>
          <w:sz w:val="24"/>
        </w:rPr>
        <w:t>and </w:t>
      </w:r>
      <w:r>
        <w:rPr>
          <w:i/>
          <w:sz w:val="24"/>
        </w:rPr>
        <w:t>AEMO</w:t>
      </w:r>
      <w:r>
        <w:rPr>
          <w:sz w:val="24"/>
        </w:rPr>
        <w:t>, except for </w:t>
      </w:r>
      <w:r>
        <w:rPr>
          <w:i/>
          <w:sz w:val="24"/>
        </w:rPr>
        <w:t>voltages </w:t>
      </w:r>
      <w:r>
        <w:rPr>
          <w:sz w:val="24"/>
        </w:rPr>
        <w:t>below the relevant threshold identified in paragraph (h); and</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from 100 milliseconds after clearance of the fault, </w:t>
      </w:r>
      <w:r>
        <w:rPr>
          <w:i/>
          <w:sz w:val="24"/>
        </w:rPr>
        <w:t>active power </w:t>
      </w:r>
      <w:r>
        <w:rPr>
          <w:sz w:val="24"/>
        </w:rPr>
        <w:t>of at least 95% of the level existing just prior to the</w:t>
      </w:r>
      <w:r>
        <w:rPr>
          <w:spacing w:val="-1"/>
          <w:sz w:val="24"/>
        </w:rPr>
        <w:t> </w:t>
      </w:r>
      <w:r>
        <w:rPr>
          <w:sz w:val="24"/>
        </w:rPr>
        <w:t>fault.</w:t>
      </w:r>
    </w:p>
    <w:p>
      <w:pPr>
        <w:pStyle w:val="ListParagraph"/>
        <w:numPr>
          <w:ilvl w:val="0"/>
          <w:numId w:val="288"/>
        </w:numPr>
        <w:tabs>
          <w:tab w:pos="1919" w:val="left" w:leader="none"/>
        </w:tabs>
        <w:spacing w:line="240" w:lineRule="auto" w:before="120" w:after="0"/>
        <w:ind w:left="1918" w:right="0" w:hanging="567"/>
        <w:jc w:val="both"/>
        <w:rPr>
          <w:sz w:val="24"/>
        </w:rPr>
      </w:pPr>
      <w:r>
        <w:rPr>
          <w:sz w:val="24"/>
        </w:rPr>
        <w:t>For the purpose of paragraph</w:t>
      </w:r>
      <w:r>
        <w:rPr>
          <w:spacing w:val="-2"/>
          <w:sz w:val="24"/>
        </w:rPr>
        <w:t> </w:t>
      </w:r>
      <w:r>
        <w:rPr>
          <w:sz w:val="24"/>
        </w:rPr>
        <w:t>(f):</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w:t>
      </w:r>
      <w:r>
        <w:rPr>
          <w:i/>
          <w:sz w:val="24"/>
        </w:rPr>
        <w:t>generating system </w:t>
      </w:r>
      <w:r>
        <w:rPr>
          <w:sz w:val="24"/>
        </w:rPr>
        <w:t>must commence a response when the </w:t>
      </w:r>
      <w:r>
        <w:rPr>
          <w:i/>
          <w:sz w:val="24"/>
        </w:rPr>
        <w:t>voltage </w:t>
      </w:r>
      <w:r>
        <w:rPr>
          <w:sz w:val="24"/>
        </w:rPr>
        <w:t>is in an under-voltage range of 85% to 90% or an over-voltage range of 110% to 115% of </w:t>
      </w:r>
      <w:r>
        <w:rPr>
          <w:i/>
          <w:sz w:val="24"/>
        </w:rPr>
        <w:t>normal voltage</w:t>
      </w:r>
      <w:r>
        <w:rPr>
          <w:sz w:val="24"/>
        </w:rPr>
        <w:t>. These ranges may be varied with the agreement of the </w:t>
      </w:r>
      <w:r>
        <w:rPr>
          <w:i/>
          <w:sz w:val="24"/>
        </w:rPr>
        <w:t>Network Service Provider </w:t>
      </w:r>
      <w:r>
        <w:rPr>
          <w:sz w:val="24"/>
        </w:rPr>
        <w:t>and </w:t>
      </w:r>
      <w:r>
        <w:rPr>
          <w:i/>
          <w:sz w:val="24"/>
        </w:rPr>
        <w:t>AEMO </w:t>
      </w:r>
      <w:r>
        <w:rPr>
          <w:sz w:val="24"/>
        </w:rPr>
        <w:t>(provided the magnitude of the range between the upper and lower bounds remains at Δ5%);</w:t>
      </w:r>
      <w:r>
        <w:rPr>
          <w:spacing w:val="-2"/>
          <w:sz w:val="24"/>
        </w:rPr>
        <w:t> </w:t>
      </w:r>
      <w:r>
        <w:rPr>
          <w:sz w:val="24"/>
        </w:rPr>
        <w:t>and</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reactive current response must have a </w:t>
      </w:r>
      <w:r>
        <w:rPr>
          <w:i/>
          <w:sz w:val="24"/>
        </w:rPr>
        <w:t>rise time </w:t>
      </w:r>
      <w:r>
        <w:rPr>
          <w:sz w:val="24"/>
        </w:rPr>
        <w:t>of no greater than 40 milliseconds and a </w:t>
      </w:r>
      <w:r>
        <w:rPr>
          <w:i/>
          <w:sz w:val="24"/>
        </w:rPr>
        <w:t>settling time </w:t>
      </w:r>
      <w:r>
        <w:rPr>
          <w:sz w:val="24"/>
        </w:rPr>
        <w:t>of no greater than 70 milliseconds and must be </w:t>
      </w:r>
      <w:r>
        <w:rPr>
          <w:i/>
          <w:sz w:val="24"/>
        </w:rPr>
        <w:t>adequately</w:t>
      </w:r>
      <w:r>
        <w:rPr>
          <w:i/>
          <w:spacing w:val="-1"/>
          <w:sz w:val="24"/>
        </w:rPr>
        <w:t> </w:t>
      </w:r>
      <w:r>
        <w:rPr>
          <w:i/>
          <w:sz w:val="24"/>
        </w:rPr>
        <w:t>damped</w:t>
      </w:r>
      <w:r>
        <w:rPr>
          <w:sz w:val="24"/>
        </w:rPr>
        <w:t>.</w:t>
      </w:r>
    </w:p>
    <w:p>
      <w:pPr>
        <w:pStyle w:val="ListParagraph"/>
        <w:numPr>
          <w:ilvl w:val="0"/>
          <w:numId w:val="288"/>
        </w:numPr>
        <w:tabs>
          <w:tab w:pos="1919" w:val="left" w:leader="none"/>
        </w:tabs>
        <w:spacing w:line="240" w:lineRule="auto" w:before="120" w:after="0"/>
        <w:ind w:left="1919" w:right="416" w:hanging="567"/>
        <w:jc w:val="both"/>
        <w:rPr>
          <w:sz w:val="24"/>
        </w:rPr>
      </w:pPr>
      <w:r>
        <w:rPr>
          <w:sz w:val="24"/>
        </w:rPr>
        <w:t>Despite paragraph (f), a </w:t>
      </w:r>
      <w:r>
        <w:rPr>
          <w:i/>
          <w:sz w:val="24"/>
        </w:rPr>
        <w:t>generating system </w:t>
      </w:r>
      <w:r>
        <w:rPr>
          <w:sz w:val="24"/>
        </w:rPr>
        <w:t>is not required to provide</w:t>
      </w:r>
      <w:r>
        <w:rPr>
          <w:spacing w:val="30"/>
          <w:sz w:val="24"/>
        </w:rPr>
        <w:t> </w:t>
      </w:r>
      <w:r>
        <w:rPr>
          <w:sz w:val="24"/>
        </w:rPr>
        <w:t>a capacitive reactive current response in accordance with subparagraph (f)(1)(i)</w:t>
      </w:r>
      <w:r>
        <w:rPr>
          <w:spacing w:val="-1"/>
          <w:sz w:val="24"/>
        </w:rPr>
        <w:t> </w:t>
      </w:r>
      <w:r>
        <w:rPr>
          <w:sz w:val="24"/>
        </w:rPr>
        <w:t>where:</w:t>
      </w:r>
    </w:p>
    <w:p>
      <w:pPr>
        <w:pStyle w:val="ListParagraph"/>
        <w:numPr>
          <w:ilvl w:val="1"/>
          <w:numId w:val="288"/>
        </w:numPr>
        <w:tabs>
          <w:tab w:pos="2486" w:val="left" w:leader="none"/>
        </w:tabs>
        <w:spacing w:line="240" w:lineRule="auto" w:before="120" w:after="0"/>
        <w:ind w:left="2486" w:right="416" w:hanging="567"/>
        <w:jc w:val="both"/>
        <w:rPr>
          <w:sz w:val="24"/>
        </w:rPr>
      </w:pPr>
      <w:r>
        <w:rPr>
          <w:sz w:val="24"/>
        </w:rPr>
        <w:t>the </w:t>
      </w:r>
      <w:r>
        <w:rPr>
          <w:i/>
          <w:sz w:val="24"/>
        </w:rPr>
        <w:t>generating system </w:t>
      </w:r>
      <w:r>
        <w:rPr>
          <w:sz w:val="24"/>
        </w:rPr>
        <w:t>is directly </w:t>
      </w:r>
      <w:r>
        <w:rPr>
          <w:i/>
          <w:sz w:val="24"/>
        </w:rPr>
        <w:t>connected </w:t>
      </w:r>
      <w:r>
        <w:rPr>
          <w:sz w:val="24"/>
        </w:rPr>
        <w:t>to the </w:t>
      </w:r>
      <w:r>
        <w:rPr>
          <w:i/>
          <w:sz w:val="24"/>
        </w:rPr>
        <w:t>power system </w:t>
      </w:r>
      <w:r>
        <w:rPr>
          <w:sz w:val="24"/>
        </w:rPr>
        <w:t>with no step-up or </w:t>
      </w:r>
      <w:r>
        <w:rPr>
          <w:i/>
          <w:sz w:val="24"/>
        </w:rPr>
        <w:t>connection transformer</w:t>
      </w:r>
      <w:r>
        <w:rPr>
          <w:sz w:val="24"/>
        </w:rPr>
        <w:t>;</w:t>
      </w:r>
      <w:r>
        <w:rPr>
          <w:spacing w:val="-2"/>
          <w:sz w:val="24"/>
        </w:rPr>
        <w:t> </w:t>
      </w:r>
      <w:r>
        <w:rPr>
          <w:sz w:val="24"/>
        </w:rPr>
        <w:t>and</w:t>
      </w:r>
    </w:p>
    <w:p>
      <w:pPr>
        <w:pStyle w:val="ListParagraph"/>
        <w:numPr>
          <w:ilvl w:val="1"/>
          <w:numId w:val="288"/>
        </w:numPr>
        <w:tabs>
          <w:tab w:pos="2486" w:val="left" w:leader="none"/>
        </w:tabs>
        <w:spacing w:line="240" w:lineRule="auto" w:before="120" w:after="0"/>
        <w:ind w:left="2485" w:right="0" w:hanging="567"/>
        <w:jc w:val="both"/>
        <w:rPr>
          <w:sz w:val="24"/>
        </w:rPr>
      </w:pPr>
      <w:r>
        <w:rPr>
          <w:i/>
          <w:sz w:val="24"/>
        </w:rPr>
        <w:t>voltage </w:t>
      </w:r>
      <w:r>
        <w:rPr>
          <w:sz w:val="24"/>
        </w:rPr>
        <w:t>at the </w:t>
      </w:r>
      <w:r>
        <w:rPr>
          <w:i/>
          <w:sz w:val="24"/>
        </w:rPr>
        <w:t>connection point </w:t>
      </w:r>
      <w:r>
        <w:rPr>
          <w:sz w:val="24"/>
        </w:rPr>
        <w:t>is 5% or lower of </w:t>
      </w:r>
      <w:r>
        <w:rPr>
          <w:i/>
          <w:sz w:val="24"/>
        </w:rPr>
        <w:t>normal</w:t>
      </w:r>
      <w:r>
        <w:rPr>
          <w:i/>
          <w:spacing w:val="-2"/>
          <w:sz w:val="24"/>
        </w:rPr>
        <w:t> </w:t>
      </w:r>
      <w:r>
        <w:rPr>
          <w:i/>
          <w:sz w:val="24"/>
        </w:rPr>
        <w:t>voltage</w:t>
      </w:r>
      <w:r>
        <w:rPr>
          <w:sz w:val="24"/>
        </w:rPr>
        <w:t>.</w:t>
      </w:r>
    </w:p>
    <w:p>
      <w:pPr>
        <w:pStyle w:val="ListParagraph"/>
        <w:numPr>
          <w:ilvl w:val="0"/>
          <w:numId w:val="288"/>
        </w:numPr>
        <w:tabs>
          <w:tab w:pos="1919" w:val="left" w:leader="none"/>
        </w:tabs>
        <w:spacing w:line="240" w:lineRule="auto" w:before="120" w:after="0"/>
        <w:ind w:left="1919" w:right="414" w:hanging="567"/>
        <w:jc w:val="both"/>
        <w:rPr>
          <w:sz w:val="24"/>
        </w:rPr>
      </w:pPr>
      <w:r>
        <w:rPr>
          <w:sz w:val="24"/>
        </w:rPr>
        <w:t>Subject to paragraph (h), despite the amount of reactive current injected or absorbed during </w:t>
      </w:r>
      <w:r>
        <w:rPr>
          <w:i/>
          <w:sz w:val="24"/>
        </w:rPr>
        <w:t>voltage </w:t>
      </w:r>
      <w:r>
        <w:rPr>
          <w:sz w:val="24"/>
        </w:rPr>
        <w:t>disturbances, and subject to thermal limitations and energy source availability, a </w:t>
      </w:r>
      <w:r>
        <w:rPr>
          <w:i/>
          <w:sz w:val="24"/>
        </w:rPr>
        <w:t>generating system </w:t>
      </w:r>
      <w:r>
        <w:rPr>
          <w:sz w:val="24"/>
        </w:rPr>
        <w:t>must make available at all times:</w:t>
      </w:r>
    </w:p>
    <w:p>
      <w:pPr>
        <w:spacing w:after="0" w:line="240" w:lineRule="auto"/>
        <w:jc w:val="both"/>
        <w:rPr>
          <w:sz w:val="24"/>
        </w:rPr>
        <w:sectPr>
          <w:pgSz w:w="11910" w:h="16840"/>
          <w:pgMar w:header="686" w:footer="637" w:top="1320" w:bottom="820" w:left="1200" w:right="1000"/>
        </w:sectPr>
      </w:pPr>
    </w:p>
    <w:p>
      <w:pPr>
        <w:pStyle w:val="ListParagraph"/>
        <w:numPr>
          <w:ilvl w:val="1"/>
          <w:numId w:val="288"/>
        </w:numPr>
        <w:tabs>
          <w:tab w:pos="2486" w:val="left" w:leader="none"/>
        </w:tabs>
        <w:spacing w:line="240" w:lineRule="auto" w:before="83" w:after="0"/>
        <w:ind w:left="2486" w:right="415" w:hanging="567"/>
        <w:jc w:val="both"/>
        <w:rPr>
          <w:sz w:val="24"/>
        </w:rPr>
      </w:pPr>
      <w:r>
        <w:rPr>
          <w:sz w:val="24"/>
        </w:rPr>
        <w:t>sufficient current to maintain rated apparent power of the </w:t>
      </w:r>
      <w:r>
        <w:rPr>
          <w:i/>
          <w:sz w:val="24"/>
        </w:rPr>
        <w:t>generating </w:t>
      </w:r>
      <w:r>
        <w:rPr>
          <w:i/>
          <w:sz w:val="24"/>
        </w:rPr>
        <w:t>system </w:t>
      </w:r>
      <w:r>
        <w:rPr>
          <w:sz w:val="24"/>
        </w:rPr>
        <w:t>including all operating </w:t>
      </w:r>
      <w:r>
        <w:rPr>
          <w:i/>
          <w:sz w:val="24"/>
        </w:rPr>
        <w:t>generating units </w:t>
      </w:r>
      <w:r>
        <w:rPr>
          <w:sz w:val="24"/>
        </w:rPr>
        <w:t>(in the absence of a disturbance), for all </w:t>
      </w:r>
      <w:r>
        <w:rPr>
          <w:i/>
          <w:sz w:val="24"/>
        </w:rPr>
        <w:t>connection point voltages </w:t>
      </w:r>
      <w:r>
        <w:rPr>
          <w:sz w:val="24"/>
        </w:rPr>
        <w:t>above 115% (or otherwise, above the over-voltage range agreed in accordance </w:t>
      </w:r>
      <w:r>
        <w:rPr>
          <w:spacing w:val="-4"/>
          <w:sz w:val="24"/>
        </w:rPr>
        <w:t>with </w:t>
      </w:r>
      <w:r>
        <w:rPr>
          <w:sz w:val="24"/>
        </w:rPr>
        <w:t>subparagraph (g)(1));</w:t>
      </w:r>
      <w:r>
        <w:rPr>
          <w:spacing w:val="-2"/>
          <w:sz w:val="24"/>
        </w:rPr>
        <w:t> </w:t>
      </w:r>
      <w:r>
        <w:rPr>
          <w:sz w:val="24"/>
        </w:rPr>
        <w:t>and</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maximum continuous current of the </w:t>
      </w:r>
      <w:r>
        <w:rPr>
          <w:i/>
          <w:sz w:val="24"/>
        </w:rPr>
        <w:t>generating system </w:t>
      </w:r>
      <w:r>
        <w:rPr>
          <w:sz w:val="24"/>
        </w:rPr>
        <w:t>including all operating </w:t>
      </w:r>
      <w:r>
        <w:rPr>
          <w:i/>
          <w:sz w:val="24"/>
        </w:rPr>
        <w:t>generating units </w:t>
      </w:r>
      <w:r>
        <w:rPr>
          <w:sz w:val="24"/>
        </w:rPr>
        <w:t>(in the absence of a disturbance) for all </w:t>
      </w:r>
      <w:r>
        <w:rPr>
          <w:i/>
          <w:sz w:val="24"/>
        </w:rPr>
        <w:t>connection point voltages </w:t>
      </w:r>
      <w:r>
        <w:rPr>
          <w:sz w:val="24"/>
        </w:rPr>
        <w:t>below 85% (or otherwise, below the under- voltage range agreed in accordance with subparagraph</w:t>
      </w:r>
      <w:r>
        <w:rPr>
          <w:spacing w:val="-8"/>
          <w:sz w:val="24"/>
        </w:rPr>
        <w:t> </w:t>
      </w:r>
      <w:r>
        <w:rPr>
          <w:sz w:val="24"/>
        </w:rPr>
        <w:t>(g)(1)),</w:t>
      </w:r>
    </w:p>
    <w:p>
      <w:pPr>
        <w:spacing w:before="120"/>
        <w:ind w:left="1919" w:right="415" w:firstLine="0"/>
        <w:jc w:val="both"/>
        <w:rPr>
          <w:sz w:val="24"/>
        </w:rPr>
      </w:pPr>
      <w:r>
        <w:rPr>
          <w:sz w:val="24"/>
        </w:rPr>
        <w:t>except that </w:t>
      </w:r>
      <w:r>
        <w:rPr>
          <w:i/>
          <w:sz w:val="24"/>
        </w:rPr>
        <w:t>AEMO </w:t>
      </w:r>
      <w:r>
        <w:rPr>
          <w:sz w:val="24"/>
        </w:rPr>
        <w:t>and the </w:t>
      </w:r>
      <w:r>
        <w:rPr>
          <w:i/>
          <w:sz w:val="24"/>
        </w:rPr>
        <w:t>Network Service Provider </w:t>
      </w:r>
      <w:r>
        <w:rPr>
          <w:sz w:val="24"/>
        </w:rPr>
        <w:t>may agree limits on active current injection where required to maintain </w:t>
      </w:r>
      <w:r>
        <w:rPr>
          <w:i/>
          <w:sz w:val="24"/>
        </w:rPr>
        <w:t>power system security </w:t>
      </w:r>
      <w:r>
        <w:rPr>
          <w:sz w:val="24"/>
        </w:rPr>
        <w:t>and/or the quality of </w:t>
      </w:r>
      <w:r>
        <w:rPr>
          <w:i/>
          <w:sz w:val="24"/>
        </w:rPr>
        <w:t>supply </w:t>
      </w:r>
      <w:r>
        <w:rPr>
          <w:sz w:val="24"/>
        </w:rPr>
        <w:t>to other </w:t>
      </w:r>
      <w:r>
        <w:rPr>
          <w:i/>
          <w:sz w:val="24"/>
        </w:rPr>
        <w:t>Network Users</w:t>
      </w:r>
      <w:r>
        <w:rPr>
          <w:sz w:val="24"/>
        </w:rPr>
        <w:t>.</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88"/>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minimum access standard</w:t>
      </w:r>
      <w:r>
        <w:rPr>
          <w:i/>
          <w:spacing w:val="-3"/>
          <w:sz w:val="24"/>
        </w:rPr>
        <w:t> </w:t>
      </w:r>
      <w:r>
        <w:rPr>
          <w:sz w:val="24"/>
        </w:rPr>
        <w:t>is:</w:t>
      </w:r>
    </w:p>
    <w:p>
      <w:pPr>
        <w:pStyle w:val="ListParagraph"/>
        <w:numPr>
          <w:ilvl w:val="1"/>
          <w:numId w:val="288"/>
        </w:numPr>
        <w:tabs>
          <w:tab w:pos="2485" w:val="left" w:leader="none"/>
          <w:tab w:pos="2486" w:val="left" w:leader="none"/>
        </w:tabs>
        <w:spacing w:line="240" w:lineRule="auto" w:before="120" w:after="0"/>
        <w:ind w:left="2486" w:right="416" w:hanging="567"/>
        <w:jc w:val="left"/>
        <w:rPr>
          <w:sz w:val="24"/>
        </w:rPr>
      </w:pPr>
      <w:r>
        <w:rPr>
          <w:sz w:val="24"/>
        </w:rPr>
        <w:t>for a </w:t>
      </w:r>
      <w:r>
        <w:rPr>
          <w:i/>
          <w:sz w:val="24"/>
        </w:rPr>
        <w:t>generating system </w:t>
      </w:r>
      <w:r>
        <w:rPr>
          <w:sz w:val="24"/>
        </w:rPr>
        <w:t>and each of its </w:t>
      </w:r>
      <w:r>
        <w:rPr>
          <w:i/>
          <w:sz w:val="24"/>
        </w:rPr>
        <w:t>generating units</w:t>
      </w:r>
      <w:r>
        <w:rPr>
          <w:sz w:val="24"/>
        </w:rPr>
        <w:t>, the requirements of paragraphs (k) and</w:t>
      </w:r>
      <w:r>
        <w:rPr>
          <w:spacing w:val="-1"/>
          <w:sz w:val="24"/>
        </w:rPr>
        <w:t> </w:t>
      </w:r>
      <w:r>
        <w:rPr>
          <w:sz w:val="24"/>
        </w:rPr>
        <w:t>(l);</w:t>
      </w:r>
    </w:p>
    <w:p>
      <w:pPr>
        <w:pStyle w:val="ListParagraph"/>
        <w:numPr>
          <w:ilvl w:val="1"/>
          <w:numId w:val="288"/>
        </w:numPr>
        <w:tabs>
          <w:tab w:pos="2485" w:val="left" w:leader="none"/>
          <w:tab w:pos="2486" w:val="left" w:leader="none"/>
        </w:tabs>
        <w:spacing w:line="240" w:lineRule="auto" w:before="120" w:after="0"/>
        <w:ind w:left="2486" w:right="417" w:hanging="567"/>
        <w:jc w:val="left"/>
        <w:rPr>
          <w:sz w:val="24"/>
        </w:rPr>
      </w:pPr>
      <w:r>
        <w:rPr>
          <w:sz w:val="24"/>
        </w:rPr>
        <w:t>for a </w:t>
      </w:r>
      <w:r>
        <w:rPr>
          <w:i/>
          <w:sz w:val="24"/>
        </w:rPr>
        <w:t>generating system </w:t>
      </w:r>
      <w:r>
        <w:rPr>
          <w:sz w:val="24"/>
        </w:rPr>
        <w:t>comprised solely of </w:t>
      </w:r>
      <w:r>
        <w:rPr>
          <w:i/>
          <w:sz w:val="24"/>
        </w:rPr>
        <w:t>synchronous generating </w:t>
      </w:r>
      <w:r>
        <w:rPr>
          <w:i/>
          <w:sz w:val="24"/>
        </w:rPr>
        <w:t>units</w:t>
      </w:r>
      <w:r>
        <w:rPr>
          <w:sz w:val="24"/>
        </w:rPr>
        <w:t>, the requirements of paragraph</w:t>
      </w:r>
      <w:r>
        <w:rPr>
          <w:spacing w:val="-1"/>
          <w:sz w:val="24"/>
        </w:rPr>
        <w:t> </w:t>
      </w:r>
      <w:r>
        <w:rPr>
          <w:sz w:val="24"/>
        </w:rPr>
        <w:t>(m);</w:t>
      </w:r>
    </w:p>
    <w:p>
      <w:pPr>
        <w:pStyle w:val="ListParagraph"/>
        <w:numPr>
          <w:ilvl w:val="1"/>
          <w:numId w:val="288"/>
        </w:numPr>
        <w:tabs>
          <w:tab w:pos="2485" w:val="left" w:leader="none"/>
          <w:tab w:pos="2486" w:val="left" w:leader="none"/>
        </w:tabs>
        <w:spacing w:line="240" w:lineRule="auto" w:before="120" w:after="0"/>
        <w:ind w:left="2486" w:right="415" w:hanging="567"/>
        <w:jc w:val="left"/>
        <w:rPr>
          <w:sz w:val="24"/>
        </w:rPr>
      </w:pPr>
      <w:r>
        <w:rPr>
          <w:sz w:val="24"/>
        </w:rPr>
        <w:t>for a </w:t>
      </w:r>
      <w:r>
        <w:rPr>
          <w:i/>
          <w:sz w:val="24"/>
        </w:rPr>
        <w:t>generating system </w:t>
      </w:r>
      <w:r>
        <w:rPr>
          <w:sz w:val="24"/>
        </w:rPr>
        <w:t>comprised solely of </w:t>
      </w:r>
      <w:r>
        <w:rPr>
          <w:i/>
          <w:sz w:val="24"/>
        </w:rPr>
        <w:t>asynchronous generating </w:t>
      </w:r>
      <w:r>
        <w:rPr>
          <w:i/>
          <w:sz w:val="24"/>
        </w:rPr>
        <w:t>units</w:t>
      </w:r>
      <w:r>
        <w:rPr>
          <w:sz w:val="24"/>
        </w:rPr>
        <w:t>, the requirements of paragraphs (n) to (p);</w:t>
      </w:r>
      <w:r>
        <w:rPr>
          <w:spacing w:val="-2"/>
          <w:sz w:val="24"/>
        </w:rPr>
        <w:t> </w:t>
      </w:r>
      <w:r>
        <w:rPr>
          <w:sz w:val="24"/>
        </w:rPr>
        <w:t>and</w:t>
      </w:r>
    </w:p>
    <w:p>
      <w:pPr>
        <w:pStyle w:val="ListParagraph"/>
        <w:numPr>
          <w:ilvl w:val="1"/>
          <w:numId w:val="288"/>
        </w:numPr>
        <w:tabs>
          <w:tab w:pos="2485" w:val="left" w:leader="none"/>
          <w:tab w:pos="2486" w:val="left" w:leader="none"/>
        </w:tabs>
        <w:spacing w:line="240" w:lineRule="auto" w:before="120" w:after="0"/>
        <w:ind w:left="2485" w:right="0" w:hanging="567"/>
        <w:jc w:val="left"/>
        <w:rPr>
          <w:i/>
          <w:sz w:val="24"/>
        </w:rPr>
      </w:pPr>
      <w:r>
        <w:rPr>
          <w:sz w:val="24"/>
        </w:rPr>
        <w:t>for</w:t>
      </w:r>
      <w:r>
        <w:rPr>
          <w:spacing w:val="40"/>
          <w:sz w:val="24"/>
        </w:rPr>
        <w:t> </w:t>
      </w:r>
      <w:r>
        <w:rPr>
          <w:sz w:val="24"/>
        </w:rPr>
        <w:t>a</w:t>
      </w:r>
      <w:r>
        <w:rPr>
          <w:spacing w:val="40"/>
          <w:sz w:val="24"/>
        </w:rPr>
        <w:t> </w:t>
      </w:r>
      <w:r>
        <w:rPr>
          <w:i/>
          <w:sz w:val="24"/>
        </w:rPr>
        <w:t>generating</w:t>
      </w:r>
      <w:r>
        <w:rPr>
          <w:i/>
          <w:spacing w:val="41"/>
          <w:sz w:val="24"/>
        </w:rPr>
        <w:t> </w:t>
      </w:r>
      <w:r>
        <w:rPr>
          <w:i/>
          <w:sz w:val="24"/>
        </w:rPr>
        <w:t>system</w:t>
      </w:r>
      <w:r>
        <w:rPr>
          <w:i/>
          <w:spacing w:val="40"/>
          <w:sz w:val="24"/>
        </w:rPr>
        <w:t> </w:t>
      </w:r>
      <w:r>
        <w:rPr>
          <w:sz w:val="24"/>
        </w:rPr>
        <w:t>comprised</w:t>
      </w:r>
      <w:r>
        <w:rPr>
          <w:spacing w:val="40"/>
          <w:sz w:val="24"/>
        </w:rPr>
        <w:t> </w:t>
      </w:r>
      <w:r>
        <w:rPr>
          <w:sz w:val="24"/>
        </w:rPr>
        <w:t>of</w:t>
      </w:r>
      <w:r>
        <w:rPr>
          <w:spacing w:val="41"/>
          <w:sz w:val="24"/>
        </w:rPr>
        <w:t> </w:t>
      </w:r>
      <w:r>
        <w:rPr>
          <w:i/>
          <w:sz w:val="24"/>
        </w:rPr>
        <w:t>synchronous</w:t>
      </w:r>
      <w:r>
        <w:rPr>
          <w:i/>
          <w:spacing w:val="40"/>
          <w:sz w:val="24"/>
        </w:rPr>
        <w:t> </w:t>
      </w:r>
      <w:r>
        <w:rPr>
          <w:i/>
          <w:sz w:val="24"/>
        </w:rPr>
        <w:t>generating</w:t>
      </w:r>
      <w:r>
        <w:rPr>
          <w:i/>
          <w:spacing w:val="41"/>
          <w:sz w:val="24"/>
        </w:rPr>
        <w:t> </w:t>
      </w:r>
      <w:r>
        <w:rPr>
          <w:i/>
          <w:sz w:val="24"/>
        </w:rPr>
        <w:t>units</w:t>
      </w:r>
    </w:p>
    <w:p>
      <w:pPr>
        <w:spacing w:before="0"/>
        <w:ind w:left="2486" w:right="0" w:firstLine="0"/>
        <w:jc w:val="left"/>
        <w:rPr>
          <w:sz w:val="24"/>
        </w:rPr>
      </w:pPr>
      <w:r>
        <w:rPr>
          <w:sz w:val="24"/>
        </w:rPr>
        <w:t>and </w:t>
      </w:r>
      <w:r>
        <w:rPr>
          <w:i/>
          <w:sz w:val="24"/>
        </w:rPr>
        <w:t>asynchronous generating units</w:t>
      </w:r>
      <w:r>
        <w:rPr>
          <w:sz w:val="24"/>
        </w:rPr>
        <w:t>:</w:t>
      </w:r>
    </w:p>
    <w:p>
      <w:pPr>
        <w:pStyle w:val="ListParagraph"/>
        <w:numPr>
          <w:ilvl w:val="2"/>
          <w:numId w:val="288"/>
        </w:numPr>
        <w:tabs>
          <w:tab w:pos="3052" w:val="left" w:leader="none"/>
          <w:tab w:pos="3053" w:val="left" w:leader="none"/>
        </w:tabs>
        <w:spacing w:line="240" w:lineRule="auto" w:before="120" w:after="0"/>
        <w:ind w:left="3053" w:right="416" w:hanging="567"/>
        <w:jc w:val="left"/>
        <w:rPr>
          <w:sz w:val="24"/>
        </w:rPr>
      </w:pPr>
      <w:r>
        <w:rPr>
          <w:sz w:val="24"/>
        </w:rPr>
        <w:t>for that part of the </w:t>
      </w:r>
      <w:r>
        <w:rPr>
          <w:i/>
          <w:sz w:val="24"/>
        </w:rPr>
        <w:t>generating system </w:t>
      </w:r>
      <w:r>
        <w:rPr>
          <w:sz w:val="24"/>
        </w:rPr>
        <w:t>comprised of </w:t>
      </w:r>
      <w:r>
        <w:rPr>
          <w:i/>
          <w:sz w:val="24"/>
        </w:rPr>
        <w:t>synchronous </w:t>
      </w:r>
      <w:r>
        <w:rPr>
          <w:i/>
          <w:sz w:val="24"/>
        </w:rPr>
        <w:t>generating units</w:t>
      </w:r>
      <w:r>
        <w:rPr>
          <w:sz w:val="24"/>
        </w:rPr>
        <w:t>, the requirements of paragraph (m);</w:t>
      </w:r>
      <w:r>
        <w:rPr>
          <w:spacing w:val="-2"/>
          <w:sz w:val="24"/>
        </w:rPr>
        <w:t> </w:t>
      </w:r>
      <w:r>
        <w:rPr>
          <w:sz w:val="24"/>
        </w:rPr>
        <w:t>and</w:t>
      </w:r>
    </w:p>
    <w:p>
      <w:pPr>
        <w:pStyle w:val="ListParagraph"/>
        <w:numPr>
          <w:ilvl w:val="2"/>
          <w:numId w:val="288"/>
        </w:numPr>
        <w:tabs>
          <w:tab w:pos="3052" w:val="left" w:leader="none"/>
          <w:tab w:pos="3054" w:val="left" w:leader="none"/>
          <w:tab w:pos="3563" w:val="left" w:leader="none"/>
          <w:tab w:pos="4155" w:val="left" w:leader="none"/>
          <w:tab w:pos="4759" w:val="left" w:leader="none"/>
          <w:tab w:pos="5190" w:val="left" w:leader="none"/>
          <w:tab w:pos="5715" w:val="left" w:leader="none"/>
          <w:tab w:pos="6986" w:val="left" w:leader="none"/>
          <w:tab w:pos="7857" w:val="left" w:leader="none"/>
          <w:tab w:pos="9089" w:val="left" w:leader="none"/>
        </w:tabs>
        <w:spacing w:line="240" w:lineRule="auto" w:before="120" w:after="0"/>
        <w:ind w:left="3053" w:right="0" w:hanging="568"/>
        <w:jc w:val="left"/>
        <w:rPr>
          <w:sz w:val="24"/>
        </w:rPr>
      </w:pPr>
      <w:r>
        <w:rPr>
          <w:sz w:val="24"/>
        </w:rPr>
        <w:t>for</w:t>
        <w:tab/>
        <w:t>that</w:t>
        <w:tab/>
        <w:t>part</w:t>
        <w:tab/>
        <w:t>of</w:t>
        <w:tab/>
        <w:t>the</w:t>
        <w:tab/>
      </w:r>
      <w:r>
        <w:rPr>
          <w:i/>
          <w:sz w:val="24"/>
        </w:rPr>
        <w:t>generating</w:t>
        <w:tab/>
        <w:t>system</w:t>
        <w:tab/>
      </w:r>
      <w:r>
        <w:rPr>
          <w:sz w:val="24"/>
        </w:rPr>
        <w:t>comprised</w:t>
        <w:tab/>
        <w:t>of</w:t>
      </w:r>
    </w:p>
    <w:p>
      <w:pPr>
        <w:spacing w:before="0"/>
        <w:ind w:left="3053" w:right="0" w:firstLine="0"/>
        <w:jc w:val="left"/>
        <w:rPr>
          <w:sz w:val="24"/>
        </w:rPr>
      </w:pPr>
      <w:r>
        <w:rPr>
          <w:i/>
          <w:sz w:val="24"/>
        </w:rPr>
        <w:t>asynchronous</w:t>
      </w:r>
      <w:r>
        <w:rPr>
          <w:i/>
          <w:spacing w:val="28"/>
          <w:sz w:val="24"/>
        </w:rPr>
        <w:t> </w:t>
      </w:r>
      <w:r>
        <w:rPr>
          <w:i/>
          <w:sz w:val="24"/>
        </w:rPr>
        <w:t>generating</w:t>
      </w:r>
      <w:r>
        <w:rPr>
          <w:i/>
          <w:spacing w:val="29"/>
          <w:sz w:val="24"/>
        </w:rPr>
        <w:t> </w:t>
      </w:r>
      <w:r>
        <w:rPr>
          <w:i/>
          <w:sz w:val="24"/>
        </w:rPr>
        <w:t>units</w:t>
      </w:r>
      <w:r>
        <w:rPr>
          <w:sz w:val="24"/>
        </w:rPr>
        <w:t>,</w:t>
      </w:r>
      <w:r>
        <w:rPr>
          <w:spacing w:val="29"/>
          <w:sz w:val="24"/>
        </w:rPr>
        <w:t> </w:t>
      </w:r>
      <w:r>
        <w:rPr>
          <w:sz w:val="24"/>
        </w:rPr>
        <w:t>the</w:t>
      </w:r>
      <w:r>
        <w:rPr>
          <w:spacing w:val="29"/>
          <w:sz w:val="24"/>
        </w:rPr>
        <w:t> </w:t>
      </w:r>
      <w:r>
        <w:rPr>
          <w:sz w:val="24"/>
        </w:rPr>
        <w:t>requirements</w:t>
      </w:r>
      <w:r>
        <w:rPr>
          <w:spacing w:val="29"/>
          <w:sz w:val="24"/>
        </w:rPr>
        <w:t> </w:t>
      </w:r>
      <w:r>
        <w:rPr>
          <w:sz w:val="24"/>
        </w:rPr>
        <w:t>of</w:t>
      </w:r>
      <w:r>
        <w:rPr>
          <w:spacing w:val="29"/>
          <w:sz w:val="24"/>
        </w:rPr>
        <w:t> </w:t>
      </w:r>
      <w:r>
        <w:rPr>
          <w:sz w:val="24"/>
        </w:rPr>
        <w:t>paragraphs</w:t>
      </w:r>
    </w:p>
    <w:p>
      <w:pPr>
        <w:pStyle w:val="BodyText"/>
        <w:spacing w:before="0"/>
        <w:ind w:left="3053" w:firstLine="0"/>
        <w:jc w:val="left"/>
      </w:pPr>
      <w:r>
        <w:rPr/>
        <w:t>(n) to (p).</w:t>
      </w:r>
    </w:p>
    <w:p>
      <w:pPr>
        <w:spacing w:before="220"/>
        <w:ind w:left="1356" w:right="0" w:firstLine="0"/>
        <w:jc w:val="left"/>
        <w:rPr>
          <w:rFonts w:ascii="Arial"/>
          <w:b/>
          <w:sz w:val="22"/>
        </w:rPr>
      </w:pPr>
      <w:r>
        <w:rPr>
          <w:rFonts w:ascii="Arial"/>
          <w:b/>
          <w:sz w:val="22"/>
        </w:rPr>
        <w:t>All generating systems</w:t>
      </w:r>
    </w:p>
    <w:p>
      <w:pPr>
        <w:pStyle w:val="ListParagraph"/>
        <w:numPr>
          <w:ilvl w:val="0"/>
          <w:numId w:val="288"/>
        </w:numPr>
        <w:tabs>
          <w:tab w:pos="1919" w:val="left" w:leader="none"/>
        </w:tabs>
        <w:spacing w:line="240" w:lineRule="auto" w:before="120" w:after="0"/>
        <w:ind w:left="1918" w:right="0" w:hanging="567"/>
        <w:jc w:val="both"/>
        <w:rPr>
          <w:sz w:val="24"/>
        </w:rPr>
      </w:pPr>
      <w:r>
        <w:rPr>
          <w:sz w:val="24"/>
        </w:rPr>
        <w:t>A</w:t>
      </w:r>
      <w:r>
        <w:rPr>
          <w:spacing w:val="13"/>
          <w:sz w:val="24"/>
        </w:rPr>
        <w:t> </w:t>
      </w:r>
      <w:r>
        <w:rPr>
          <w:i/>
          <w:sz w:val="24"/>
        </w:rPr>
        <w:t>generating</w:t>
      </w:r>
      <w:r>
        <w:rPr>
          <w:i/>
          <w:spacing w:val="13"/>
          <w:sz w:val="24"/>
        </w:rPr>
        <w:t> </w:t>
      </w:r>
      <w:r>
        <w:rPr>
          <w:i/>
          <w:sz w:val="24"/>
        </w:rPr>
        <w:t>system</w:t>
      </w:r>
      <w:r>
        <w:rPr>
          <w:i/>
          <w:spacing w:val="14"/>
          <w:sz w:val="24"/>
        </w:rPr>
        <w:t> </w:t>
      </w:r>
      <w:r>
        <w:rPr>
          <w:sz w:val="24"/>
        </w:rPr>
        <w:t>and</w:t>
      </w:r>
      <w:r>
        <w:rPr>
          <w:spacing w:val="13"/>
          <w:sz w:val="24"/>
        </w:rPr>
        <w:t> </w:t>
      </w:r>
      <w:r>
        <w:rPr>
          <w:sz w:val="24"/>
        </w:rPr>
        <w:t>each</w:t>
      </w:r>
      <w:r>
        <w:rPr>
          <w:spacing w:val="14"/>
          <w:sz w:val="24"/>
        </w:rPr>
        <w:t> </w:t>
      </w:r>
      <w:r>
        <w:rPr>
          <w:sz w:val="24"/>
        </w:rPr>
        <w:t>of</w:t>
      </w:r>
      <w:r>
        <w:rPr>
          <w:spacing w:val="13"/>
          <w:sz w:val="24"/>
        </w:rPr>
        <w:t> </w:t>
      </w:r>
      <w:r>
        <w:rPr>
          <w:sz w:val="24"/>
        </w:rPr>
        <w:t>its</w:t>
      </w:r>
      <w:r>
        <w:rPr>
          <w:spacing w:val="14"/>
          <w:sz w:val="24"/>
        </w:rPr>
        <w:t> </w:t>
      </w:r>
      <w:r>
        <w:rPr>
          <w:i/>
          <w:sz w:val="24"/>
        </w:rPr>
        <w:t>generating</w:t>
      </w:r>
      <w:r>
        <w:rPr>
          <w:i/>
          <w:spacing w:val="13"/>
          <w:sz w:val="24"/>
        </w:rPr>
        <w:t> </w:t>
      </w:r>
      <w:r>
        <w:rPr>
          <w:i/>
          <w:sz w:val="24"/>
        </w:rPr>
        <w:t>units</w:t>
      </w:r>
      <w:r>
        <w:rPr>
          <w:i/>
          <w:spacing w:val="13"/>
          <w:sz w:val="24"/>
        </w:rPr>
        <w:t> </w:t>
      </w:r>
      <w:r>
        <w:rPr>
          <w:sz w:val="24"/>
        </w:rPr>
        <w:t>must</w:t>
      </w:r>
      <w:r>
        <w:rPr>
          <w:spacing w:val="14"/>
          <w:sz w:val="24"/>
        </w:rPr>
        <w:t> </w:t>
      </w:r>
      <w:r>
        <w:rPr>
          <w:sz w:val="24"/>
        </w:rPr>
        <w:t>remain</w:t>
      </w:r>
      <w:r>
        <w:rPr>
          <w:spacing w:val="13"/>
          <w:sz w:val="24"/>
        </w:rPr>
        <w:t> </w:t>
      </w:r>
      <w:r>
        <w:rPr>
          <w:sz w:val="24"/>
        </w:rPr>
        <w:t>in</w:t>
      </w:r>
    </w:p>
    <w:p>
      <w:pPr>
        <w:spacing w:before="0"/>
        <w:ind w:left="1919" w:right="0" w:firstLine="0"/>
        <w:jc w:val="both"/>
        <w:rPr>
          <w:sz w:val="24"/>
        </w:rPr>
      </w:pPr>
      <w:r>
        <w:rPr>
          <w:i/>
          <w:sz w:val="24"/>
        </w:rPr>
        <w:t>continuous uninterrupted operation </w:t>
      </w:r>
      <w:r>
        <w:rPr>
          <w:sz w:val="24"/>
        </w:rPr>
        <w:t>for any disturbance caused by:</w:t>
      </w:r>
    </w:p>
    <w:p>
      <w:pPr>
        <w:pStyle w:val="ListParagraph"/>
        <w:numPr>
          <w:ilvl w:val="1"/>
          <w:numId w:val="288"/>
        </w:numPr>
        <w:tabs>
          <w:tab w:pos="2486" w:val="left" w:leader="none"/>
        </w:tabs>
        <w:spacing w:line="240" w:lineRule="auto" w:before="120" w:after="0"/>
        <w:ind w:left="2485" w:right="0" w:hanging="567"/>
        <w:jc w:val="both"/>
        <w:rPr>
          <w:sz w:val="24"/>
        </w:rPr>
      </w:pPr>
      <w:r>
        <w:rPr>
          <w:sz w:val="24"/>
        </w:rPr>
        <w:t>a </w:t>
      </w:r>
      <w:r>
        <w:rPr>
          <w:i/>
          <w:sz w:val="24"/>
        </w:rPr>
        <w:t>credible contingency event</w:t>
      </w:r>
      <w:r>
        <w:rPr>
          <w:sz w:val="24"/>
        </w:rPr>
        <w:t>;</w:t>
      </w:r>
      <w:r>
        <w:rPr>
          <w:spacing w:val="-1"/>
          <w:sz w:val="24"/>
        </w:rPr>
        <w:t> </w:t>
      </w:r>
      <w:r>
        <w:rPr>
          <w:sz w:val="24"/>
        </w:rPr>
        <w:t>or</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a single phase to ground, phase to phase or two phase to ground fault in a </w:t>
      </w:r>
      <w:r>
        <w:rPr>
          <w:i/>
          <w:sz w:val="24"/>
        </w:rPr>
        <w:t>transmission system </w:t>
      </w:r>
      <w:r>
        <w:rPr>
          <w:sz w:val="24"/>
        </w:rPr>
        <w:t>or </w:t>
      </w:r>
      <w:r>
        <w:rPr>
          <w:i/>
          <w:sz w:val="24"/>
        </w:rPr>
        <w:t>distribution network </w:t>
      </w:r>
      <w:r>
        <w:rPr>
          <w:sz w:val="24"/>
        </w:rPr>
        <w:t>cleared in the longest time expected to be taken for all relevant primary </w:t>
      </w:r>
      <w:r>
        <w:rPr>
          <w:i/>
          <w:sz w:val="24"/>
        </w:rPr>
        <w:t>protection systems </w:t>
      </w:r>
      <w:r>
        <w:rPr>
          <w:sz w:val="24"/>
        </w:rPr>
        <w:t>to clear the fault, unless </w:t>
      </w:r>
      <w:r>
        <w:rPr>
          <w:i/>
          <w:sz w:val="24"/>
        </w:rPr>
        <w:t>AEMO </w:t>
      </w:r>
      <w:r>
        <w:rPr>
          <w:sz w:val="24"/>
        </w:rPr>
        <w:t>and the </w:t>
      </w:r>
      <w:r>
        <w:rPr>
          <w:i/>
          <w:sz w:val="24"/>
        </w:rPr>
        <w:t>Network Service Provider </w:t>
      </w:r>
      <w:r>
        <w:rPr>
          <w:sz w:val="24"/>
        </w:rPr>
        <w:t>agree that the total reduction of </w:t>
      </w:r>
      <w:r>
        <w:rPr>
          <w:i/>
          <w:sz w:val="24"/>
        </w:rPr>
        <w:t>generation </w:t>
      </w:r>
      <w:r>
        <w:rPr>
          <w:sz w:val="24"/>
        </w:rPr>
        <w:t>in the </w:t>
      </w:r>
      <w:r>
        <w:rPr>
          <w:i/>
          <w:sz w:val="24"/>
        </w:rPr>
        <w:t>power system </w:t>
      </w:r>
      <w:r>
        <w:rPr>
          <w:sz w:val="24"/>
        </w:rPr>
        <w:t>due to that fault would not exceed 100 MW, or a greater limit based on what </w:t>
      </w:r>
      <w:r>
        <w:rPr>
          <w:i/>
          <w:sz w:val="24"/>
        </w:rPr>
        <w:t>AEMO </w:t>
      </w:r>
      <w:r>
        <w:rPr>
          <w:sz w:val="24"/>
        </w:rPr>
        <w:t>and the </w:t>
      </w:r>
      <w:r>
        <w:rPr>
          <w:i/>
          <w:sz w:val="24"/>
        </w:rPr>
        <w:t>Network Service Provider </w:t>
      </w:r>
      <w:r>
        <w:rPr>
          <w:sz w:val="24"/>
        </w:rPr>
        <w:t>both consider to be reasonable in the</w:t>
      </w:r>
      <w:r>
        <w:rPr>
          <w:spacing w:val="-2"/>
          <w:sz w:val="24"/>
        </w:rPr>
        <w:t> </w:t>
      </w:r>
      <w:r>
        <w:rPr>
          <w:sz w:val="24"/>
        </w:rPr>
        <w:t>circumstances,</w:t>
      </w:r>
    </w:p>
    <w:p>
      <w:pPr>
        <w:spacing w:before="120"/>
        <w:ind w:left="1919" w:right="0" w:firstLine="0"/>
        <w:jc w:val="both"/>
        <w:rPr>
          <w:i/>
          <w:sz w:val="24"/>
        </w:rPr>
      </w:pPr>
      <w:r>
        <w:rPr>
          <w:sz w:val="24"/>
        </w:rPr>
        <w:t>provided that the event is not one that would </w:t>
      </w:r>
      <w:r>
        <w:rPr>
          <w:i/>
          <w:sz w:val="24"/>
        </w:rPr>
        <w:t>disconnect </w:t>
      </w:r>
      <w:r>
        <w:rPr>
          <w:sz w:val="24"/>
        </w:rPr>
        <w:t>the </w:t>
      </w:r>
      <w:r>
        <w:rPr>
          <w:i/>
          <w:sz w:val="24"/>
        </w:rPr>
        <w:t>generating unit</w:t>
      </w:r>
    </w:p>
    <w:p>
      <w:pPr>
        <w:spacing w:before="0"/>
        <w:ind w:left="1919" w:right="0" w:firstLine="0"/>
        <w:jc w:val="both"/>
        <w:rPr>
          <w:sz w:val="24"/>
        </w:rPr>
      </w:pPr>
      <w:r>
        <w:rPr>
          <w:sz w:val="24"/>
        </w:rPr>
        <w:t>from the </w:t>
      </w:r>
      <w:r>
        <w:rPr>
          <w:i/>
          <w:sz w:val="24"/>
        </w:rPr>
        <w:t>power system </w:t>
      </w:r>
      <w:r>
        <w:rPr>
          <w:sz w:val="24"/>
        </w:rPr>
        <w:t>by removing </w:t>
      </w:r>
      <w:r>
        <w:rPr>
          <w:i/>
          <w:sz w:val="24"/>
        </w:rPr>
        <w:t>network elements </w:t>
      </w:r>
      <w:r>
        <w:rPr>
          <w:sz w:val="24"/>
        </w:rPr>
        <w:t>from service.</w:t>
      </w:r>
    </w:p>
    <w:p>
      <w:pPr>
        <w:pStyle w:val="ListParagraph"/>
        <w:numPr>
          <w:ilvl w:val="0"/>
          <w:numId w:val="288"/>
        </w:numPr>
        <w:tabs>
          <w:tab w:pos="566" w:val="left" w:leader="none"/>
          <w:tab w:pos="567" w:val="left" w:leader="none"/>
        </w:tabs>
        <w:spacing w:line="240" w:lineRule="auto" w:before="120" w:after="0"/>
        <w:ind w:left="1918" w:right="415" w:hanging="1919"/>
        <w:jc w:val="right"/>
        <w:rPr>
          <w:sz w:val="24"/>
        </w:rPr>
      </w:pPr>
      <w:r>
        <w:rPr>
          <w:sz w:val="24"/>
        </w:rPr>
        <w:t>A </w:t>
      </w:r>
      <w:r>
        <w:rPr>
          <w:spacing w:val="13"/>
          <w:sz w:val="24"/>
        </w:rPr>
        <w:t> </w:t>
      </w:r>
      <w:r>
        <w:rPr>
          <w:i/>
          <w:sz w:val="24"/>
        </w:rPr>
        <w:t>generating </w:t>
      </w:r>
      <w:r>
        <w:rPr>
          <w:i/>
          <w:spacing w:val="13"/>
          <w:sz w:val="24"/>
        </w:rPr>
        <w:t> </w:t>
      </w:r>
      <w:r>
        <w:rPr>
          <w:i/>
          <w:sz w:val="24"/>
        </w:rPr>
        <w:t>system </w:t>
      </w:r>
      <w:r>
        <w:rPr>
          <w:i/>
          <w:spacing w:val="13"/>
          <w:sz w:val="24"/>
        </w:rPr>
        <w:t> </w:t>
      </w:r>
      <w:r>
        <w:rPr>
          <w:sz w:val="24"/>
        </w:rPr>
        <w:t>and </w:t>
      </w:r>
      <w:r>
        <w:rPr>
          <w:spacing w:val="14"/>
          <w:sz w:val="24"/>
        </w:rPr>
        <w:t> </w:t>
      </w:r>
      <w:r>
        <w:rPr>
          <w:sz w:val="24"/>
        </w:rPr>
        <w:t>each </w:t>
      </w:r>
      <w:r>
        <w:rPr>
          <w:spacing w:val="13"/>
          <w:sz w:val="24"/>
        </w:rPr>
        <w:t> </w:t>
      </w:r>
      <w:r>
        <w:rPr>
          <w:sz w:val="24"/>
        </w:rPr>
        <w:t>of </w:t>
      </w:r>
      <w:r>
        <w:rPr>
          <w:spacing w:val="13"/>
          <w:sz w:val="24"/>
        </w:rPr>
        <w:t> </w:t>
      </w:r>
      <w:r>
        <w:rPr>
          <w:sz w:val="24"/>
        </w:rPr>
        <w:t>its </w:t>
      </w:r>
      <w:r>
        <w:rPr>
          <w:spacing w:val="13"/>
          <w:sz w:val="24"/>
        </w:rPr>
        <w:t> </w:t>
      </w:r>
      <w:r>
        <w:rPr>
          <w:i/>
          <w:sz w:val="24"/>
        </w:rPr>
        <w:t>generating </w:t>
      </w:r>
      <w:r>
        <w:rPr>
          <w:i/>
          <w:spacing w:val="14"/>
          <w:sz w:val="24"/>
        </w:rPr>
        <w:t> </w:t>
      </w:r>
      <w:r>
        <w:rPr>
          <w:i/>
          <w:sz w:val="24"/>
        </w:rPr>
        <w:t>units </w:t>
      </w:r>
      <w:r>
        <w:rPr>
          <w:i/>
          <w:spacing w:val="13"/>
          <w:sz w:val="24"/>
        </w:rPr>
        <w:t> </w:t>
      </w:r>
      <w:r>
        <w:rPr>
          <w:sz w:val="24"/>
        </w:rPr>
        <w:t>must </w:t>
      </w:r>
      <w:r>
        <w:rPr>
          <w:spacing w:val="13"/>
          <w:sz w:val="24"/>
        </w:rPr>
        <w:t> </w:t>
      </w:r>
      <w:r>
        <w:rPr>
          <w:sz w:val="24"/>
        </w:rPr>
        <w:t>remain </w:t>
      </w:r>
      <w:r>
        <w:rPr>
          <w:spacing w:val="14"/>
          <w:sz w:val="24"/>
        </w:rPr>
        <w:t> </w:t>
      </w:r>
      <w:r>
        <w:rPr>
          <w:sz w:val="24"/>
        </w:rPr>
        <w:t>in</w:t>
      </w:r>
    </w:p>
    <w:p>
      <w:pPr>
        <w:spacing w:before="0"/>
        <w:ind w:left="1789" w:right="416" w:firstLine="0"/>
        <w:jc w:val="right"/>
        <w:rPr>
          <w:sz w:val="24"/>
        </w:rPr>
      </w:pPr>
      <w:r>
        <w:rPr>
          <w:i/>
          <w:sz w:val="24"/>
        </w:rPr>
        <w:t>continuous</w:t>
      </w:r>
      <w:r>
        <w:rPr>
          <w:i/>
          <w:spacing w:val="41"/>
          <w:sz w:val="24"/>
        </w:rPr>
        <w:t> </w:t>
      </w:r>
      <w:r>
        <w:rPr>
          <w:i/>
          <w:sz w:val="24"/>
        </w:rPr>
        <w:t>uninterrupted</w:t>
      </w:r>
      <w:r>
        <w:rPr>
          <w:i/>
          <w:spacing w:val="41"/>
          <w:sz w:val="24"/>
        </w:rPr>
        <w:t> </w:t>
      </w:r>
      <w:r>
        <w:rPr>
          <w:i/>
          <w:sz w:val="24"/>
        </w:rPr>
        <w:t>operation</w:t>
      </w:r>
      <w:r>
        <w:rPr>
          <w:i/>
          <w:spacing w:val="41"/>
          <w:sz w:val="24"/>
        </w:rPr>
        <w:t> </w:t>
      </w:r>
      <w:r>
        <w:rPr>
          <w:sz w:val="24"/>
        </w:rPr>
        <w:t>for</w:t>
      </w:r>
      <w:r>
        <w:rPr>
          <w:spacing w:val="41"/>
          <w:sz w:val="24"/>
        </w:rPr>
        <w:t> </w:t>
      </w:r>
      <w:r>
        <w:rPr>
          <w:sz w:val="24"/>
        </w:rPr>
        <w:t>a</w:t>
      </w:r>
      <w:r>
        <w:rPr>
          <w:spacing w:val="41"/>
          <w:sz w:val="24"/>
        </w:rPr>
        <w:t> </w:t>
      </w:r>
      <w:r>
        <w:rPr>
          <w:sz w:val="24"/>
        </w:rPr>
        <w:t>series</w:t>
      </w:r>
      <w:r>
        <w:rPr>
          <w:spacing w:val="41"/>
          <w:sz w:val="24"/>
        </w:rPr>
        <w:t> </w:t>
      </w:r>
      <w:r>
        <w:rPr>
          <w:sz w:val="24"/>
        </w:rPr>
        <w:t>of</w:t>
      </w:r>
      <w:r>
        <w:rPr>
          <w:spacing w:val="41"/>
          <w:sz w:val="24"/>
        </w:rPr>
        <w:t> </w:t>
      </w:r>
      <w:r>
        <w:rPr>
          <w:sz w:val="24"/>
        </w:rPr>
        <w:t>up</w:t>
      </w:r>
      <w:r>
        <w:rPr>
          <w:spacing w:val="41"/>
          <w:sz w:val="24"/>
        </w:rPr>
        <w:t> </w:t>
      </w:r>
      <w:r>
        <w:rPr>
          <w:sz w:val="24"/>
        </w:rPr>
        <w:t>to</w:t>
      </w:r>
      <w:r>
        <w:rPr>
          <w:spacing w:val="41"/>
          <w:sz w:val="24"/>
        </w:rPr>
        <w:t> </w:t>
      </w:r>
      <w:r>
        <w:rPr>
          <w:sz w:val="24"/>
        </w:rPr>
        <w:t>six</w:t>
      </w:r>
      <w:r>
        <w:rPr>
          <w:spacing w:val="41"/>
          <w:sz w:val="24"/>
        </w:rPr>
        <w:t> </w:t>
      </w:r>
      <w:r>
        <w:rPr>
          <w:sz w:val="24"/>
        </w:rPr>
        <w:t>disturbances</w:t>
      </w:r>
    </w:p>
    <w:p>
      <w:pPr>
        <w:spacing w:after="0"/>
        <w:jc w:val="right"/>
        <w:rPr>
          <w:sz w:val="24"/>
        </w:rPr>
        <w:sectPr>
          <w:pgSz w:w="11910" w:h="16840"/>
          <w:pgMar w:header="686" w:footer="637" w:top="1320" w:bottom="820" w:left="1200" w:right="1000"/>
        </w:sectPr>
      </w:pPr>
    </w:p>
    <w:p>
      <w:pPr>
        <w:pStyle w:val="BodyText"/>
        <w:spacing w:before="83"/>
        <w:ind w:left="1919" w:right="415" w:firstLine="0"/>
      </w:pPr>
      <w:r>
        <w:rPr/>
        <w:t>within any five minute period caused by any combination of the events described in paragraph (k) where:</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up to three of the disturbances cause the </w:t>
      </w:r>
      <w:r>
        <w:rPr>
          <w:i/>
          <w:sz w:val="24"/>
        </w:rPr>
        <w:t>voltage </w:t>
      </w:r>
      <w:r>
        <w:rPr>
          <w:sz w:val="24"/>
        </w:rPr>
        <w:t>at the </w:t>
      </w:r>
      <w:r>
        <w:rPr>
          <w:i/>
          <w:sz w:val="24"/>
        </w:rPr>
        <w:t>connection </w:t>
      </w:r>
      <w:r>
        <w:rPr>
          <w:i/>
          <w:sz w:val="24"/>
        </w:rPr>
        <w:t>point </w:t>
      </w:r>
      <w:r>
        <w:rPr>
          <w:sz w:val="24"/>
        </w:rPr>
        <w:t>to drop below 50% of </w:t>
      </w:r>
      <w:r>
        <w:rPr>
          <w:i/>
          <w:sz w:val="24"/>
        </w:rPr>
        <w:t>normal</w:t>
      </w:r>
      <w:r>
        <w:rPr>
          <w:i/>
          <w:spacing w:val="-1"/>
          <w:sz w:val="24"/>
        </w:rPr>
        <w:t> </w:t>
      </w:r>
      <w:r>
        <w:rPr>
          <w:i/>
          <w:sz w:val="24"/>
        </w:rPr>
        <w:t>voltage</w:t>
      </w:r>
      <w:r>
        <w:rPr>
          <w:sz w:val="24"/>
        </w:rPr>
        <w:t>;</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up to one disturbance causes the </w:t>
      </w:r>
      <w:r>
        <w:rPr>
          <w:i/>
          <w:sz w:val="24"/>
        </w:rPr>
        <w:t>voltage </w:t>
      </w:r>
      <w:r>
        <w:rPr>
          <w:sz w:val="24"/>
        </w:rPr>
        <w:t>at the </w:t>
      </w:r>
      <w:r>
        <w:rPr>
          <w:i/>
          <w:sz w:val="24"/>
        </w:rPr>
        <w:t>connection point </w:t>
      </w:r>
      <w:r>
        <w:rPr>
          <w:sz w:val="24"/>
        </w:rPr>
        <w:t>to vary within the ranges agreed by </w:t>
      </w:r>
      <w:r>
        <w:rPr>
          <w:i/>
          <w:sz w:val="24"/>
        </w:rPr>
        <w:t>AEMO </w:t>
      </w:r>
      <w:r>
        <w:rPr>
          <w:sz w:val="24"/>
        </w:rPr>
        <w:t>and the </w:t>
      </w:r>
      <w:r>
        <w:rPr>
          <w:i/>
          <w:sz w:val="24"/>
        </w:rPr>
        <w:t>Network Service </w:t>
      </w:r>
      <w:r>
        <w:rPr>
          <w:i/>
          <w:sz w:val="24"/>
        </w:rPr>
        <w:t>Provider </w:t>
      </w:r>
      <w:r>
        <w:rPr>
          <w:sz w:val="24"/>
        </w:rPr>
        <w:t>under clause S5.2.5.4(a)(7), (a)(8), (b)(4) or (b)(5) (as appropriate);</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the time difference between the clearance of one disturbance and commencement of the next disturbance exceeds 200</w:t>
      </w:r>
      <w:r>
        <w:rPr>
          <w:spacing w:val="-2"/>
          <w:sz w:val="24"/>
        </w:rPr>
        <w:t> </w:t>
      </w:r>
      <w:r>
        <w:rPr>
          <w:sz w:val="24"/>
        </w:rPr>
        <w:t>milliseconds;</w:t>
      </w:r>
    </w:p>
    <w:p>
      <w:pPr>
        <w:pStyle w:val="ListParagraph"/>
        <w:numPr>
          <w:ilvl w:val="1"/>
          <w:numId w:val="288"/>
        </w:numPr>
        <w:tabs>
          <w:tab w:pos="2486" w:val="left" w:leader="none"/>
        </w:tabs>
        <w:spacing w:line="240" w:lineRule="auto" w:before="120" w:after="0"/>
        <w:ind w:left="2485" w:right="0" w:hanging="567"/>
        <w:jc w:val="both"/>
        <w:rPr>
          <w:sz w:val="24"/>
        </w:rPr>
      </w:pPr>
      <w:r>
        <w:rPr>
          <w:sz w:val="24"/>
        </w:rPr>
        <w:t>no more than three of the disturbances occur within 30 seconds;</w:t>
      </w:r>
      <w:r>
        <w:rPr>
          <w:spacing w:val="-11"/>
          <w:sz w:val="24"/>
        </w:rPr>
        <w:t> </w:t>
      </w:r>
      <w:r>
        <w:rPr>
          <w:sz w:val="24"/>
        </w:rPr>
        <w:t>and</w:t>
      </w:r>
    </w:p>
    <w:p>
      <w:pPr>
        <w:pStyle w:val="ListParagraph"/>
        <w:numPr>
          <w:ilvl w:val="1"/>
          <w:numId w:val="288"/>
        </w:numPr>
        <w:tabs>
          <w:tab w:pos="2485" w:val="left" w:leader="none"/>
          <w:tab w:pos="2486" w:val="left" w:leader="none"/>
        </w:tabs>
        <w:spacing w:line="343" w:lineRule="auto" w:before="120" w:after="0"/>
        <w:ind w:left="1919" w:right="934" w:firstLine="0"/>
        <w:jc w:val="left"/>
        <w:rPr>
          <w:sz w:val="24"/>
        </w:rPr>
      </w:pPr>
      <w:r>
        <w:rPr>
          <w:sz w:val="24"/>
        </w:rPr>
        <w:t>all disturbances are caused by faults other than three phase faults, provided that none of the events would result</w:t>
      </w:r>
      <w:r>
        <w:rPr>
          <w:spacing w:val="-3"/>
          <w:sz w:val="24"/>
        </w:rPr>
        <w:t> </w:t>
      </w:r>
      <w:r>
        <w:rPr>
          <w:sz w:val="24"/>
        </w:rPr>
        <w:t>in:</w:t>
      </w:r>
    </w:p>
    <w:p>
      <w:pPr>
        <w:pStyle w:val="ListParagraph"/>
        <w:numPr>
          <w:ilvl w:val="1"/>
          <w:numId w:val="288"/>
        </w:numPr>
        <w:tabs>
          <w:tab w:pos="2485" w:val="left" w:leader="none"/>
          <w:tab w:pos="2486" w:val="left" w:leader="none"/>
        </w:tabs>
        <w:spacing w:line="240" w:lineRule="auto" w:before="3" w:after="0"/>
        <w:ind w:left="2485" w:right="0" w:hanging="567"/>
        <w:jc w:val="left"/>
        <w:rPr>
          <w:sz w:val="24"/>
        </w:rPr>
      </w:pPr>
      <w:r>
        <w:rPr>
          <w:sz w:val="24"/>
        </w:rPr>
        <w:t>the islanding of the </w:t>
      </w:r>
      <w:r>
        <w:rPr>
          <w:i/>
          <w:sz w:val="24"/>
        </w:rPr>
        <w:t>generating system </w:t>
      </w:r>
      <w:r>
        <w:rPr>
          <w:sz w:val="24"/>
        </w:rPr>
        <w:t>or cause a material reduction</w:t>
      </w:r>
      <w:r>
        <w:rPr>
          <w:spacing w:val="9"/>
          <w:sz w:val="24"/>
        </w:rPr>
        <w:t> </w:t>
      </w:r>
      <w:r>
        <w:rPr>
          <w:sz w:val="24"/>
        </w:rPr>
        <w:t>in</w:t>
      </w:r>
    </w:p>
    <w:p>
      <w:pPr>
        <w:spacing w:before="0"/>
        <w:ind w:left="2486" w:right="0" w:firstLine="0"/>
        <w:jc w:val="left"/>
        <w:rPr>
          <w:sz w:val="24"/>
        </w:rPr>
      </w:pPr>
      <w:r>
        <w:rPr>
          <w:i/>
          <w:sz w:val="24"/>
        </w:rPr>
        <w:t>power transfer capability </w:t>
      </w:r>
      <w:r>
        <w:rPr>
          <w:sz w:val="24"/>
        </w:rPr>
        <w:t>by removing </w:t>
      </w:r>
      <w:r>
        <w:rPr>
          <w:i/>
          <w:sz w:val="24"/>
        </w:rPr>
        <w:t>network elements </w:t>
      </w:r>
      <w:r>
        <w:rPr>
          <w:sz w:val="24"/>
        </w:rPr>
        <w:t>from service;</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cumulative time that </w:t>
      </w:r>
      <w:r>
        <w:rPr>
          <w:i/>
          <w:sz w:val="24"/>
        </w:rPr>
        <w:t>voltage </w:t>
      </w:r>
      <w:r>
        <w:rPr>
          <w:sz w:val="24"/>
        </w:rPr>
        <w:t>at the </w:t>
      </w:r>
      <w:r>
        <w:rPr>
          <w:i/>
          <w:sz w:val="24"/>
        </w:rPr>
        <w:t>connection point </w:t>
      </w:r>
      <w:r>
        <w:rPr>
          <w:sz w:val="24"/>
        </w:rPr>
        <w:t>is lower than 90% of </w:t>
      </w:r>
      <w:r>
        <w:rPr>
          <w:i/>
          <w:sz w:val="24"/>
        </w:rPr>
        <w:t>normal voltage </w:t>
      </w:r>
      <w:r>
        <w:rPr>
          <w:sz w:val="24"/>
        </w:rPr>
        <w:t>exceeding 1,000 milliseconds within any five minute period;</w:t>
      </w:r>
      <w:r>
        <w:rPr>
          <w:spacing w:val="-1"/>
          <w:sz w:val="24"/>
        </w:rPr>
        <w:t> </w:t>
      </w:r>
      <w:r>
        <w:rPr>
          <w:sz w:val="24"/>
        </w:rPr>
        <w:t>or</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the time integral, within any five minute period, of the difference between 90% of </w:t>
      </w:r>
      <w:r>
        <w:rPr>
          <w:i/>
          <w:sz w:val="24"/>
        </w:rPr>
        <w:t>normal voltage </w:t>
      </w:r>
      <w:r>
        <w:rPr>
          <w:sz w:val="24"/>
        </w:rPr>
        <w:t>and the </w:t>
      </w:r>
      <w:r>
        <w:rPr>
          <w:i/>
          <w:sz w:val="24"/>
        </w:rPr>
        <w:t>voltage </w:t>
      </w:r>
      <w:r>
        <w:rPr>
          <w:sz w:val="24"/>
        </w:rPr>
        <w:t>at the </w:t>
      </w:r>
      <w:r>
        <w:rPr>
          <w:i/>
          <w:sz w:val="24"/>
        </w:rPr>
        <w:t>connection </w:t>
      </w:r>
      <w:r>
        <w:rPr>
          <w:i/>
          <w:sz w:val="24"/>
        </w:rPr>
        <w:t>point </w:t>
      </w:r>
      <w:r>
        <w:rPr>
          <w:sz w:val="24"/>
        </w:rPr>
        <w:t>when the </w:t>
      </w:r>
      <w:r>
        <w:rPr>
          <w:i/>
          <w:sz w:val="24"/>
        </w:rPr>
        <w:t>voltage </w:t>
      </w:r>
      <w:r>
        <w:rPr>
          <w:sz w:val="24"/>
        </w:rPr>
        <w:t>at the </w:t>
      </w:r>
      <w:r>
        <w:rPr>
          <w:i/>
          <w:sz w:val="24"/>
        </w:rPr>
        <w:t>connection point </w:t>
      </w:r>
      <w:r>
        <w:rPr>
          <w:sz w:val="24"/>
        </w:rPr>
        <w:t>is lower than 90% of </w:t>
      </w:r>
      <w:r>
        <w:rPr>
          <w:i/>
          <w:sz w:val="24"/>
        </w:rPr>
        <w:t>normal voltage </w:t>
      </w:r>
      <w:r>
        <w:rPr>
          <w:sz w:val="24"/>
        </w:rPr>
        <w:t>exceeding 0.5 pu</w:t>
      </w:r>
      <w:r>
        <w:rPr>
          <w:spacing w:val="-2"/>
          <w:sz w:val="24"/>
        </w:rPr>
        <w:t> </w:t>
      </w:r>
      <w:r>
        <w:rPr>
          <w:sz w:val="24"/>
        </w:rPr>
        <w:t>second,</w:t>
      </w:r>
    </w:p>
    <w:p>
      <w:pPr>
        <w:pStyle w:val="BodyText"/>
        <w:ind w:left="1919" w:right="415" w:firstLine="0"/>
      </w:pPr>
      <w:r>
        <w:rPr/>
        <w:t>and there is a minimum of 30 minutes where no disturbances occur following a five minute period of multiple disturbances.</w:t>
      </w:r>
    </w:p>
    <w:p>
      <w:pPr>
        <w:spacing w:before="220"/>
        <w:ind w:left="1356" w:right="0" w:firstLine="0"/>
        <w:jc w:val="left"/>
        <w:rPr>
          <w:rFonts w:ascii="Arial"/>
          <w:b/>
          <w:sz w:val="22"/>
        </w:rPr>
      </w:pPr>
      <w:r>
        <w:rPr>
          <w:rFonts w:ascii="Arial"/>
          <w:b/>
          <w:sz w:val="22"/>
        </w:rPr>
        <w:t>Synchronous generating systems</w:t>
      </w:r>
    </w:p>
    <w:p>
      <w:pPr>
        <w:pStyle w:val="ListParagraph"/>
        <w:numPr>
          <w:ilvl w:val="0"/>
          <w:numId w:val="288"/>
        </w:numPr>
        <w:tabs>
          <w:tab w:pos="1919" w:val="left" w:leader="none"/>
        </w:tabs>
        <w:spacing w:line="240" w:lineRule="auto" w:before="120" w:after="0"/>
        <w:ind w:left="1919" w:right="414" w:hanging="567"/>
        <w:jc w:val="both"/>
        <w:rPr>
          <w:sz w:val="24"/>
        </w:rPr>
      </w:pPr>
      <w:r>
        <w:rPr>
          <w:sz w:val="24"/>
        </w:rPr>
        <w:t>Subject to any changed </w:t>
      </w:r>
      <w:r>
        <w:rPr>
          <w:i/>
          <w:sz w:val="24"/>
        </w:rPr>
        <w:t>power system </w:t>
      </w:r>
      <w:r>
        <w:rPr>
          <w:sz w:val="24"/>
        </w:rPr>
        <w:t>conditions or energy source availability beyond the </w:t>
      </w:r>
      <w:r>
        <w:rPr>
          <w:i/>
          <w:sz w:val="24"/>
        </w:rPr>
        <w:t>Generator's </w:t>
      </w:r>
      <w:r>
        <w:rPr>
          <w:sz w:val="24"/>
        </w:rPr>
        <w:t>reasonable control after clearance of the fault, a </w:t>
      </w:r>
      <w:r>
        <w:rPr>
          <w:i/>
          <w:sz w:val="24"/>
        </w:rPr>
        <w:t>generating system </w:t>
      </w:r>
      <w:r>
        <w:rPr>
          <w:sz w:val="24"/>
        </w:rPr>
        <w:t>comprised of </w:t>
      </w:r>
      <w:r>
        <w:rPr>
          <w:i/>
          <w:sz w:val="24"/>
        </w:rPr>
        <w:t>synchronous generating units</w:t>
      </w:r>
      <w:r>
        <w:rPr>
          <w:sz w:val="24"/>
        </w:rPr>
        <w:t>, in respect of the types of fault described in subparagraph (k)(2)</w:t>
      </w:r>
      <w:r>
        <w:rPr>
          <w:spacing w:val="-7"/>
          <w:sz w:val="24"/>
        </w:rPr>
        <w:t> </w:t>
      </w:r>
      <w:r>
        <w:rPr>
          <w:sz w:val="24"/>
        </w:rPr>
        <w:t>must:</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deliver </w:t>
      </w:r>
      <w:r>
        <w:rPr>
          <w:i/>
          <w:sz w:val="24"/>
        </w:rPr>
        <w:t>active power </w:t>
      </w:r>
      <w:r>
        <w:rPr>
          <w:sz w:val="24"/>
        </w:rPr>
        <w:t>to the </w:t>
      </w:r>
      <w:r>
        <w:rPr>
          <w:i/>
          <w:sz w:val="24"/>
        </w:rPr>
        <w:t>network</w:t>
      </w:r>
      <w:r>
        <w:rPr>
          <w:sz w:val="24"/>
        </w:rPr>
        <w:t>, and supply or absorb leading or lagging </w:t>
      </w:r>
      <w:r>
        <w:rPr>
          <w:i/>
          <w:sz w:val="24"/>
        </w:rPr>
        <w:t>reactive power</w:t>
      </w:r>
      <w:r>
        <w:rPr>
          <w:sz w:val="24"/>
        </w:rPr>
        <w:t>, sufficient to ensure that the </w:t>
      </w:r>
      <w:r>
        <w:rPr>
          <w:i/>
          <w:sz w:val="24"/>
        </w:rPr>
        <w:t>connection point </w:t>
      </w:r>
      <w:r>
        <w:rPr>
          <w:i/>
          <w:sz w:val="24"/>
        </w:rPr>
        <w:t>voltage </w:t>
      </w:r>
      <w:r>
        <w:rPr>
          <w:sz w:val="24"/>
        </w:rPr>
        <w:t>is within the range for </w:t>
      </w:r>
      <w:r>
        <w:rPr>
          <w:i/>
          <w:sz w:val="24"/>
        </w:rPr>
        <w:t>continuous uninterrupted operation </w:t>
      </w:r>
      <w:r>
        <w:rPr>
          <w:sz w:val="24"/>
        </w:rPr>
        <w:t>agreed under clause S5.2.5.4;</w:t>
      </w:r>
      <w:r>
        <w:rPr>
          <w:spacing w:val="-2"/>
          <w:sz w:val="24"/>
        </w:rPr>
        <w:t> </w:t>
      </w:r>
      <w:r>
        <w:rPr>
          <w:sz w:val="24"/>
        </w:rPr>
        <w:t>and</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return to at least 95% of the pre-fault </w:t>
      </w:r>
      <w:r>
        <w:rPr>
          <w:i/>
          <w:sz w:val="24"/>
        </w:rPr>
        <w:t>active power </w:t>
      </w:r>
      <w:r>
        <w:rPr>
          <w:sz w:val="24"/>
        </w:rPr>
        <w:t>output, after clearance of the fault, within a period of time agreed by the </w:t>
      </w:r>
      <w:r>
        <w:rPr>
          <w:i/>
          <w:sz w:val="24"/>
        </w:rPr>
        <w:t>Connection Applicant</w:t>
      </w:r>
      <w:r>
        <w:rPr>
          <w:sz w:val="24"/>
        </w:rPr>
        <w:t>, </w:t>
      </w:r>
      <w:r>
        <w:rPr>
          <w:i/>
          <w:sz w:val="24"/>
        </w:rPr>
        <w:t>AEMO </w:t>
      </w:r>
      <w:r>
        <w:rPr>
          <w:sz w:val="24"/>
        </w:rPr>
        <w:t>and the </w:t>
      </w:r>
      <w:r>
        <w:rPr>
          <w:i/>
          <w:sz w:val="24"/>
        </w:rPr>
        <w:t>Network Service</w:t>
      </w:r>
      <w:r>
        <w:rPr>
          <w:i/>
          <w:spacing w:val="-4"/>
          <w:sz w:val="24"/>
        </w:rPr>
        <w:t> </w:t>
      </w:r>
      <w:r>
        <w:rPr>
          <w:i/>
          <w:sz w:val="24"/>
        </w:rPr>
        <w:t>Provider</w:t>
      </w:r>
      <w:r>
        <w:rPr>
          <w:sz w:val="24"/>
        </w:rPr>
        <w:t>.</w:t>
      </w:r>
    </w:p>
    <w:p>
      <w:pPr>
        <w:spacing w:before="220"/>
        <w:ind w:left="1356" w:right="0" w:firstLine="0"/>
        <w:jc w:val="left"/>
        <w:rPr>
          <w:rFonts w:ascii="Arial"/>
          <w:b/>
          <w:sz w:val="22"/>
        </w:rPr>
      </w:pPr>
      <w:r>
        <w:rPr>
          <w:rFonts w:ascii="Arial"/>
          <w:b/>
          <w:sz w:val="22"/>
        </w:rPr>
        <w:t>Asynchronous generating systems</w:t>
      </w:r>
    </w:p>
    <w:p>
      <w:pPr>
        <w:pStyle w:val="ListParagraph"/>
        <w:numPr>
          <w:ilvl w:val="0"/>
          <w:numId w:val="288"/>
        </w:numPr>
        <w:tabs>
          <w:tab w:pos="1919" w:val="left" w:leader="none"/>
        </w:tabs>
        <w:spacing w:line="240" w:lineRule="auto" w:before="120" w:after="0"/>
        <w:ind w:left="1919" w:right="414" w:hanging="567"/>
        <w:jc w:val="both"/>
        <w:rPr>
          <w:sz w:val="24"/>
        </w:rPr>
      </w:pPr>
      <w:r>
        <w:rPr>
          <w:sz w:val="24"/>
        </w:rPr>
        <w:t>Subject to any changed </w:t>
      </w:r>
      <w:r>
        <w:rPr>
          <w:i/>
          <w:sz w:val="24"/>
        </w:rPr>
        <w:t>power system </w:t>
      </w:r>
      <w:r>
        <w:rPr>
          <w:sz w:val="24"/>
        </w:rPr>
        <w:t>conditions or energy source availability beyond the </w:t>
      </w:r>
      <w:r>
        <w:rPr>
          <w:i/>
          <w:sz w:val="24"/>
        </w:rPr>
        <w:t>Generator's </w:t>
      </w:r>
      <w:r>
        <w:rPr>
          <w:sz w:val="24"/>
        </w:rPr>
        <w:t>reasonable control, a </w:t>
      </w:r>
      <w:r>
        <w:rPr>
          <w:i/>
          <w:sz w:val="24"/>
        </w:rPr>
        <w:t>generating system </w:t>
      </w:r>
      <w:r>
        <w:rPr>
          <w:sz w:val="24"/>
        </w:rPr>
        <w:t>comprised of </w:t>
      </w:r>
      <w:r>
        <w:rPr>
          <w:i/>
          <w:sz w:val="24"/>
        </w:rPr>
        <w:t>asynchronous generating units</w:t>
      </w:r>
      <w:r>
        <w:rPr>
          <w:i/>
          <w:spacing w:val="-2"/>
          <w:sz w:val="24"/>
        </w:rPr>
        <w:t> </w:t>
      </w:r>
      <w:r>
        <w:rPr>
          <w:sz w:val="24"/>
        </w:rPr>
        <w:t>must:</w:t>
      </w:r>
    </w:p>
    <w:p>
      <w:pPr>
        <w:spacing w:after="0" w:line="240" w:lineRule="auto"/>
        <w:jc w:val="both"/>
        <w:rPr>
          <w:sz w:val="24"/>
        </w:rPr>
        <w:sectPr>
          <w:pgSz w:w="11910" w:h="16840"/>
          <w:pgMar w:header="686" w:footer="637" w:top="1320" w:bottom="820" w:left="1200" w:right="1000"/>
        </w:sectPr>
      </w:pPr>
    </w:p>
    <w:p>
      <w:pPr>
        <w:pStyle w:val="ListParagraph"/>
        <w:numPr>
          <w:ilvl w:val="1"/>
          <w:numId w:val="288"/>
        </w:numPr>
        <w:tabs>
          <w:tab w:pos="2486" w:val="left" w:leader="none"/>
        </w:tabs>
        <w:spacing w:line="240" w:lineRule="auto" w:before="83" w:after="0"/>
        <w:ind w:left="2486" w:right="416" w:hanging="567"/>
        <w:jc w:val="both"/>
        <w:rPr>
          <w:sz w:val="24"/>
        </w:rPr>
      </w:pPr>
      <w:r>
        <w:rPr>
          <w:sz w:val="24"/>
        </w:rPr>
        <w:t>for the types of fault described in subparagraph (k)(2), and to assist  the maintenance of </w:t>
      </w:r>
      <w:r>
        <w:rPr>
          <w:i/>
          <w:sz w:val="24"/>
        </w:rPr>
        <w:t>power system voltages </w:t>
      </w:r>
      <w:r>
        <w:rPr>
          <w:sz w:val="24"/>
        </w:rPr>
        <w:t>during the fault, have </w:t>
      </w:r>
      <w:r>
        <w:rPr>
          <w:i/>
          <w:sz w:val="24"/>
        </w:rPr>
        <w:t>facilities </w:t>
      </w:r>
      <w:r>
        <w:rPr>
          <w:sz w:val="24"/>
        </w:rPr>
        <w:t>capable of supplying to or absorbing from the</w:t>
      </w:r>
      <w:r>
        <w:rPr>
          <w:spacing w:val="-7"/>
          <w:sz w:val="24"/>
        </w:rPr>
        <w:t> </w:t>
      </w:r>
      <w:r>
        <w:rPr>
          <w:i/>
          <w:sz w:val="24"/>
        </w:rPr>
        <w:t>network</w:t>
      </w:r>
      <w:r>
        <w:rPr>
          <w:sz w:val="24"/>
        </w:rPr>
        <w:t>:</w:t>
      </w:r>
    </w:p>
    <w:p>
      <w:pPr>
        <w:pStyle w:val="ListParagraph"/>
        <w:numPr>
          <w:ilvl w:val="2"/>
          <w:numId w:val="288"/>
        </w:numPr>
        <w:tabs>
          <w:tab w:pos="3053" w:val="left" w:leader="none"/>
        </w:tabs>
        <w:spacing w:line="240" w:lineRule="auto" w:before="120" w:after="0"/>
        <w:ind w:left="3053" w:right="414" w:hanging="567"/>
        <w:jc w:val="both"/>
        <w:rPr>
          <w:sz w:val="24"/>
        </w:rPr>
      </w:pPr>
      <w:r>
        <w:rPr>
          <w:sz w:val="24"/>
        </w:rPr>
        <w:t>capacitive reactive current in addition to its pre-disturbance  level of at least 2% of the maximum continuous current of the </w:t>
      </w:r>
      <w:r>
        <w:rPr>
          <w:i/>
          <w:sz w:val="24"/>
        </w:rPr>
        <w:t>generating system </w:t>
      </w:r>
      <w:r>
        <w:rPr>
          <w:sz w:val="24"/>
        </w:rPr>
        <w:t>including all operating </w:t>
      </w:r>
      <w:r>
        <w:rPr>
          <w:i/>
          <w:sz w:val="24"/>
        </w:rPr>
        <w:t>asynchronous </w:t>
      </w:r>
      <w:r>
        <w:rPr>
          <w:i/>
          <w:sz w:val="24"/>
        </w:rPr>
        <w:t>generating units </w:t>
      </w:r>
      <w:r>
        <w:rPr>
          <w:sz w:val="24"/>
        </w:rPr>
        <w:t>(in the absence of a disturbance) for each 1% reduction of </w:t>
      </w:r>
      <w:r>
        <w:rPr>
          <w:i/>
          <w:sz w:val="24"/>
        </w:rPr>
        <w:t>voltage </w:t>
      </w:r>
      <w:r>
        <w:rPr>
          <w:sz w:val="24"/>
        </w:rPr>
        <w:t>at the </w:t>
      </w:r>
      <w:r>
        <w:rPr>
          <w:i/>
          <w:sz w:val="24"/>
        </w:rPr>
        <w:t>connection point </w:t>
      </w:r>
      <w:r>
        <w:rPr>
          <w:sz w:val="24"/>
        </w:rPr>
        <w:t>below the relevant range in which a reactive current response must commence, as identified in paragraph (o)(1), with the </w:t>
      </w:r>
      <w:r>
        <w:rPr>
          <w:i/>
          <w:sz w:val="24"/>
        </w:rPr>
        <w:t>performance standards </w:t>
      </w:r>
      <w:r>
        <w:rPr>
          <w:sz w:val="24"/>
        </w:rPr>
        <w:t>to record the required response agreed with </w:t>
      </w:r>
      <w:r>
        <w:rPr>
          <w:i/>
          <w:sz w:val="24"/>
        </w:rPr>
        <w:t>AEMO </w:t>
      </w:r>
      <w:r>
        <w:rPr>
          <w:sz w:val="24"/>
        </w:rPr>
        <w:t>and the </w:t>
      </w:r>
      <w:r>
        <w:rPr>
          <w:i/>
          <w:sz w:val="24"/>
        </w:rPr>
        <w:t>Network Service Provider</w:t>
      </w:r>
      <w:r>
        <w:rPr>
          <w:sz w:val="24"/>
        </w:rPr>
        <w:t>;</w:t>
      </w:r>
      <w:r>
        <w:rPr>
          <w:spacing w:val="-1"/>
          <w:sz w:val="24"/>
        </w:rPr>
        <w:t> </w:t>
      </w:r>
      <w:r>
        <w:rPr>
          <w:sz w:val="24"/>
        </w:rPr>
        <w:t>and</w:t>
      </w:r>
    </w:p>
    <w:p>
      <w:pPr>
        <w:pStyle w:val="ListParagraph"/>
        <w:numPr>
          <w:ilvl w:val="2"/>
          <w:numId w:val="288"/>
        </w:numPr>
        <w:tabs>
          <w:tab w:pos="3054" w:val="left" w:leader="none"/>
        </w:tabs>
        <w:spacing w:line="240" w:lineRule="auto" w:before="120" w:after="0"/>
        <w:ind w:left="3053" w:right="414" w:hanging="567"/>
        <w:jc w:val="both"/>
        <w:rPr>
          <w:sz w:val="24"/>
        </w:rPr>
      </w:pPr>
      <w:r>
        <w:rPr>
          <w:sz w:val="24"/>
        </w:rPr>
        <w:t>inductive reactive current in addition to its pre-disturbance level of at least 2% of the maximum continuous current of </w:t>
      </w:r>
      <w:r>
        <w:rPr>
          <w:spacing w:val="-5"/>
          <w:sz w:val="24"/>
        </w:rPr>
        <w:t>the </w:t>
      </w:r>
      <w:r>
        <w:rPr>
          <w:i/>
          <w:sz w:val="24"/>
        </w:rPr>
        <w:t>generating system </w:t>
      </w:r>
      <w:r>
        <w:rPr>
          <w:sz w:val="24"/>
        </w:rPr>
        <w:t>including all operating </w:t>
      </w:r>
      <w:r>
        <w:rPr>
          <w:i/>
          <w:sz w:val="24"/>
        </w:rPr>
        <w:t>asynchronous </w:t>
      </w:r>
      <w:r>
        <w:rPr>
          <w:i/>
          <w:sz w:val="24"/>
        </w:rPr>
        <w:t>generating units </w:t>
      </w:r>
      <w:r>
        <w:rPr>
          <w:sz w:val="24"/>
        </w:rPr>
        <w:t>(in the absence of a disturbance) for each 1% increase of </w:t>
      </w:r>
      <w:r>
        <w:rPr>
          <w:i/>
          <w:sz w:val="24"/>
        </w:rPr>
        <w:t>voltage </w:t>
      </w:r>
      <w:r>
        <w:rPr>
          <w:sz w:val="24"/>
        </w:rPr>
        <w:t>at the </w:t>
      </w:r>
      <w:r>
        <w:rPr>
          <w:i/>
          <w:sz w:val="24"/>
        </w:rPr>
        <w:t>connection point </w:t>
      </w:r>
      <w:r>
        <w:rPr>
          <w:sz w:val="24"/>
        </w:rPr>
        <w:t>above the relevant range in which a reactive current response must commence, as identified in paragraph (o)(1), with the </w:t>
      </w:r>
      <w:r>
        <w:rPr>
          <w:i/>
          <w:sz w:val="24"/>
        </w:rPr>
        <w:t>performance standards </w:t>
      </w:r>
      <w:r>
        <w:rPr>
          <w:sz w:val="24"/>
        </w:rPr>
        <w:t>to record the required response agreed with </w:t>
      </w:r>
      <w:r>
        <w:rPr>
          <w:i/>
          <w:sz w:val="24"/>
        </w:rPr>
        <w:t>AEMO </w:t>
      </w:r>
      <w:r>
        <w:rPr>
          <w:sz w:val="24"/>
        </w:rPr>
        <w:t>and the </w:t>
      </w:r>
      <w:r>
        <w:rPr>
          <w:i/>
          <w:sz w:val="24"/>
        </w:rPr>
        <w:t>Network Service</w:t>
      </w:r>
      <w:r>
        <w:rPr>
          <w:i/>
          <w:spacing w:val="-1"/>
          <w:sz w:val="24"/>
        </w:rPr>
        <w:t> </w:t>
      </w:r>
      <w:r>
        <w:rPr>
          <w:i/>
          <w:sz w:val="24"/>
        </w:rPr>
        <w:t>Provider</w:t>
      </w:r>
      <w:r>
        <w:rPr>
          <w:sz w:val="24"/>
        </w:rPr>
        <w:t>,</w:t>
      </w:r>
    </w:p>
    <w:p>
      <w:pPr>
        <w:spacing w:before="120"/>
        <w:ind w:left="2486" w:right="415" w:firstLine="0"/>
        <w:jc w:val="both"/>
        <w:rPr>
          <w:sz w:val="24"/>
        </w:rPr>
      </w:pPr>
      <w:r>
        <w:rPr>
          <w:sz w:val="24"/>
        </w:rPr>
        <w:t>during the disturbance and maintained until </w:t>
      </w:r>
      <w:r>
        <w:rPr>
          <w:i/>
          <w:sz w:val="24"/>
        </w:rPr>
        <w:t>connection point voltage </w:t>
      </w:r>
      <w:r>
        <w:rPr>
          <w:sz w:val="24"/>
        </w:rPr>
        <w:t>recovers to between 90% and 110% of </w:t>
      </w:r>
      <w:r>
        <w:rPr>
          <w:i/>
          <w:sz w:val="24"/>
        </w:rPr>
        <w:t>normal voltage</w:t>
      </w:r>
      <w:r>
        <w:rPr>
          <w:sz w:val="24"/>
        </w:rPr>
        <w:t>, or such other range agreed with the </w:t>
      </w:r>
      <w:r>
        <w:rPr>
          <w:i/>
          <w:sz w:val="24"/>
        </w:rPr>
        <w:t>Network Service Provider </w:t>
      </w:r>
      <w:r>
        <w:rPr>
          <w:sz w:val="24"/>
        </w:rPr>
        <w:t>and </w:t>
      </w:r>
      <w:r>
        <w:rPr>
          <w:i/>
          <w:sz w:val="24"/>
        </w:rPr>
        <w:t>AEMO</w:t>
      </w:r>
      <w:r>
        <w:rPr>
          <w:sz w:val="24"/>
        </w:rPr>
        <w:t>, except for </w:t>
      </w:r>
      <w:r>
        <w:rPr>
          <w:i/>
          <w:sz w:val="24"/>
        </w:rPr>
        <w:t>voltages </w:t>
      </w:r>
      <w:r>
        <w:rPr>
          <w:sz w:val="24"/>
        </w:rPr>
        <w:t>below the relevant threshold identified in paragraph (p); and</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return to at least 95% of the pre-fault </w:t>
      </w:r>
      <w:r>
        <w:rPr>
          <w:i/>
          <w:sz w:val="24"/>
        </w:rPr>
        <w:t>active power </w:t>
      </w:r>
      <w:r>
        <w:rPr>
          <w:sz w:val="24"/>
        </w:rPr>
        <w:t>output, after clearance of the fault, within a period of time agreed by the </w:t>
      </w:r>
      <w:r>
        <w:rPr>
          <w:i/>
          <w:sz w:val="24"/>
        </w:rPr>
        <w:t>Connection Applicant</w:t>
      </w:r>
      <w:r>
        <w:rPr>
          <w:sz w:val="24"/>
        </w:rPr>
        <w:t>, </w:t>
      </w:r>
      <w:r>
        <w:rPr>
          <w:i/>
          <w:sz w:val="24"/>
        </w:rPr>
        <w:t>AEMO </w:t>
      </w:r>
      <w:r>
        <w:rPr>
          <w:sz w:val="24"/>
        </w:rPr>
        <w:t>and the </w:t>
      </w:r>
      <w:r>
        <w:rPr>
          <w:i/>
          <w:sz w:val="24"/>
        </w:rPr>
        <w:t>Network Service</w:t>
      </w:r>
      <w:r>
        <w:rPr>
          <w:i/>
          <w:spacing w:val="-4"/>
          <w:sz w:val="24"/>
        </w:rPr>
        <w:t> </w:t>
      </w:r>
      <w:r>
        <w:rPr>
          <w:i/>
          <w:sz w:val="24"/>
        </w:rPr>
        <w:t>Provider</w:t>
      </w:r>
      <w:r>
        <w:rPr>
          <w:sz w:val="24"/>
        </w:rPr>
        <w:t>.</w:t>
      </w:r>
    </w:p>
    <w:p>
      <w:pPr>
        <w:pStyle w:val="ListParagraph"/>
        <w:numPr>
          <w:ilvl w:val="0"/>
          <w:numId w:val="288"/>
        </w:numPr>
        <w:tabs>
          <w:tab w:pos="1919" w:val="left" w:leader="none"/>
        </w:tabs>
        <w:spacing w:line="240" w:lineRule="auto" w:before="120" w:after="0"/>
        <w:ind w:left="1918" w:right="0" w:hanging="567"/>
        <w:jc w:val="both"/>
        <w:rPr>
          <w:sz w:val="24"/>
        </w:rPr>
      </w:pPr>
      <w:r>
        <w:rPr>
          <w:sz w:val="24"/>
        </w:rPr>
        <w:t>For the purpose of paragraph</w:t>
      </w:r>
      <w:r>
        <w:rPr>
          <w:spacing w:val="-2"/>
          <w:sz w:val="24"/>
        </w:rPr>
        <w:t> </w:t>
      </w:r>
      <w:r>
        <w:rPr>
          <w:sz w:val="24"/>
        </w:rPr>
        <w:t>(n):</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w:t>
      </w:r>
      <w:r>
        <w:rPr>
          <w:i/>
          <w:sz w:val="24"/>
        </w:rPr>
        <w:t>generating system </w:t>
      </w:r>
      <w:r>
        <w:rPr>
          <w:sz w:val="24"/>
        </w:rPr>
        <w:t>must commence a response when the </w:t>
      </w:r>
      <w:r>
        <w:rPr>
          <w:i/>
          <w:sz w:val="24"/>
        </w:rPr>
        <w:t>voltage </w:t>
      </w:r>
      <w:r>
        <w:rPr>
          <w:sz w:val="24"/>
        </w:rPr>
        <w:t>is in an under-voltage range of 80% to 90% or an over-voltage range of 110% to 120% of </w:t>
      </w:r>
      <w:r>
        <w:rPr>
          <w:i/>
          <w:sz w:val="24"/>
        </w:rPr>
        <w:t>normal voltage</w:t>
      </w:r>
      <w:r>
        <w:rPr>
          <w:sz w:val="24"/>
        </w:rPr>
        <w:t>. These ranges may be varied with the agreement of the </w:t>
      </w:r>
      <w:r>
        <w:rPr>
          <w:i/>
          <w:sz w:val="24"/>
        </w:rPr>
        <w:t>Network Service Provider </w:t>
      </w:r>
      <w:r>
        <w:rPr>
          <w:sz w:val="24"/>
        </w:rPr>
        <w:t>and </w:t>
      </w:r>
      <w:r>
        <w:rPr>
          <w:i/>
          <w:sz w:val="24"/>
        </w:rPr>
        <w:t>AEMO </w:t>
      </w:r>
      <w:r>
        <w:rPr>
          <w:sz w:val="24"/>
        </w:rPr>
        <w:t>(provided the magnitude of the range between the upper and lower bounds remains at</w:t>
      </w:r>
      <w:r>
        <w:rPr>
          <w:spacing w:val="-1"/>
          <w:sz w:val="24"/>
        </w:rPr>
        <w:t> </w:t>
      </w:r>
      <w:r>
        <w:rPr>
          <w:sz w:val="24"/>
        </w:rPr>
        <w:t>Δ10%);</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where </w:t>
      </w:r>
      <w:r>
        <w:rPr>
          <w:i/>
          <w:sz w:val="24"/>
        </w:rPr>
        <w:t>AEMO </w:t>
      </w:r>
      <w:r>
        <w:rPr>
          <w:sz w:val="24"/>
        </w:rPr>
        <w:t>and the </w:t>
      </w:r>
      <w:r>
        <w:rPr>
          <w:i/>
          <w:sz w:val="24"/>
        </w:rPr>
        <w:t>Network Service Provider </w:t>
      </w:r>
      <w:r>
        <w:rPr>
          <w:sz w:val="24"/>
        </w:rPr>
        <w:t>require the </w:t>
      </w:r>
      <w:r>
        <w:rPr>
          <w:i/>
          <w:sz w:val="24"/>
        </w:rPr>
        <w:t>generating system </w:t>
      </w:r>
      <w:r>
        <w:rPr>
          <w:sz w:val="24"/>
        </w:rPr>
        <w:t>to sustain a response duration of 2 seconds or less, the reactive current response must have a </w:t>
      </w:r>
      <w:r>
        <w:rPr>
          <w:i/>
          <w:sz w:val="24"/>
        </w:rPr>
        <w:t>rise time </w:t>
      </w:r>
      <w:r>
        <w:rPr>
          <w:sz w:val="24"/>
        </w:rPr>
        <w:t>of no greater than 40 milliseconds and a </w:t>
      </w:r>
      <w:r>
        <w:rPr>
          <w:i/>
          <w:sz w:val="24"/>
        </w:rPr>
        <w:t>settling time </w:t>
      </w:r>
      <w:r>
        <w:rPr>
          <w:sz w:val="24"/>
        </w:rPr>
        <w:t>of no greater than 70 milliseconds and must be </w:t>
      </w:r>
      <w:r>
        <w:rPr>
          <w:i/>
          <w:sz w:val="24"/>
        </w:rPr>
        <w:t>adequately damped</w:t>
      </w:r>
      <w:r>
        <w:rPr>
          <w:sz w:val="24"/>
        </w:rPr>
        <w:t>;</w:t>
      </w:r>
      <w:r>
        <w:rPr>
          <w:spacing w:val="-1"/>
          <w:sz w:val="24"/>
        </w:rPr>
        <w:t> </w:t>
      </w:r>
      <w:r>
        <w:rPr>
          <w:sz w:val="24"/>
        </w:rPr>
        <w:t>and</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where </w:t>
      </w:r>
      <w:r>
        <w:rPr>
          <w:i/>
          <w:sz w:val="24"/>
        </w:rPr>
        <w:t>AEMO </w:t>
      </w:r>
      <w:r>
        <w:rPr>
          <w:sz w:val="24"/>
        </w:rPr>
        <w:t>and the </w:t>
      </w:r>
      <w:r>
        <w:rPr>
          <w:i/>
          <w:sz w:val="24"/>
        </w:rPr>
        <w:t>Network Service Provider </w:t>
      </w:r>
      <w:r>
        <w:rPr>
          <w:sz w:val="24"/>
        </w:rPr>
        <w:t>require the generating system to sustain a response duration of greater than 2 seconds, the reactive current </w:t>
      </w:r>
      <w:r>
        <w:rPr>
          <w:i/>
          <w:sz w:val="24"/>
        </w:rPr>
        <w:t>rise time </w:t>
      </w:r>
      <w:r>
        <w:rPr>
          <w:sz w:val="24"/>
        </w:rPr>
        <w:t>and </w:t>
      </w:r>
      <w:r>
        <w:rPr>
          <w:i/>
          <w:sz w:val="24"/>
        </w:rPr>
        <w:t>settling time </w:t>
      </w:r>
      <w:r>
        <w:rPr>
          <w:sz w:val="24"/>
        </w:rPr>
        <w:t>must be as soon as practicable and must be </w:t>
      </w:r>
      <w:r>
        <w:rPr>
          <w:i/>
          <w:sz w:val="24"/>
        </w:rPr>
        <w:t>adequately</w:t>
      </w:r>
      <w:r>
        <w:rPr>
          <w:i/>
          <w:spacing w:val="-3"/>
          <w:sz w:val="24"/>
        </w:rPr>
        <w:t> </w:t>
      </w:r>
      <w:r>
        <w:rPr>
          <w:i/>
          <w:sz w:val="24"/>
        </w:rPr>
        <w:t>damped</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288"/>
        </w:numPr>
        <w:tabs>
          <w:tab w:pos="1919" w:val="left" w:leader="none"/>
        </w:tabs>
        <w:spacing w:line="240" w:lineRule="auto" w:before="83" w:after="0"/>
        <w:ind w:left="1919" w:right="416" w:hanging="567"/>
        <w:jc w:val="both"/>
        <w:rPr>
          <w:sz w:val="24"/>
        </w:rPr>
      </w:pPr>
      <w:r>
        <w:rPr>
          <w:sz w:val="24"/>
        </w:rPr>
        <w:t>Despite paragraph (n), a </w:t>
      </w:r>
      <w:r>
        <w:rPr>
          <w:i/>
          <w:sz w:val="24"/>
        </w:rPr>
        <w:t>generating system </w:t>
      </w:r>
      <w:r>
        <w:rPr>
          <w:sz w:val="24"/>
        </w:rPr>
        <w:t>is not required to provide a capacitive reactive current response in accordance with subparagraph (n)(1)(i)</w:t>
      </w:r>
      <w:r>
        <w:rPr>
          <w:spacing w:val="-1"/>
          <w:sz w:val="24"/>
        </w:rPr>
        <w:t> </w:t>
      </w:r>
      <w:r>
        <w:rPr>
          <w:sz w:val="24"/>
        </w:rPr>
        <w:t>where:</w:t>
      </w:r>
    </w:p>
    <w:p>
      <w:pPr>
        <w:pStyle w:val="ListParagraph"/>
        <w:numPr>
          <w:ilvl w:val="1"/>
          <w:numId w:val="288"/>
        </w:numPr>
        <w:tabs>
          <w:tab w:pos="2486" w:val="left" w:leader="none"/>
        </w:tabs>
        <w:spacing w:line="240" w:lineRule="auto" w:before="120" w:after="0"/>
        <w:ind w:left="2485" w:right="0" w:hanging="567"/>
        <w:jc w:val="both"/>
        <w:rPr>
          <w:sz w:val="24"/>
        </w:rPr>
      </w:pPr>
      <w:r>
        <w:rPr>
          <w:i/>
          <w:sz w:val="24"/>
        </w:rPr>
        <w:t>voltage </w:t>
      </w:r>
      <w:r>
        <w:rPr>
          <w:sz w:val="24"/>
        </w:rPr>
        <w:t>at the </w:t>
      </w:r>
      <w:r>
        <w:rPr>
          <w:i/>
          <w:sz w:val="24"/>
        </w:rPr>
        <w:t>connection point </w:t>
      </w:r>
      <w:r>
        <w:rPr>
          <w:sz w:val="24"/>
        </w:rPr>
        <w:t>is 15% or lower of </w:t>
      </w:r>
      <w:r>
        <w:rPr>
          <w:i/>
          <w:sz w:val="24"/>
        </w:rPr>
        <w:t>normal voltage</w:t>
      </w:r>
      <w:r>
        <w:rPr>
          <w:sz w:val="24"/>
        </w:rPr>
        <w:t>;</w:t>
      </w:r>
      <w:r>
        <w:rPr>
          <w:spacing w:val="-2"/>
          <w:sz w:val="24"/>
        </w:rPr>
        <w:t> </w:t>
      </w:r>
      <w:r>
        <w:rPr>
          <w:sz w:val="24"/>
        </w:rPr>
        <w:t>or</w:t>
      </w:r>
    </w:p>
    <w:p>
      <w:pPr>
        <w:pStyle w:val="ListParagraph"/>
        <w:numPr>
          <w:ilvl w:val="1"/>
          <w:numId w:val="288"/>
        </w:numPr>
        <w:tabs>
          <w:tab w:pos="2486" w:val="left" w:leader="none"/>
        </w:tabs>
        <w:spacing w:line="240" w:lineRule="auto" w:before="120" w:after="0"/>
        <w:ind w:left="2486" w:right="415" w:hanging="567"/>
        <w:jc w:val="both"/>
        <w:rPr>
          <w:sz w:val="24"/>
        </w:rPr>
      </w:pPr>
      <w:r>
        <w:rPr>
          <w:sz w:val="24"/>
        </w:rPr>
        <w:t>where the </w:t>
      </w:r>
      <w:r>
        <w:rPr>
          <w:i/>
          <w:sz w:val="24"/>
        </w:rPr>
        <w:t>generating system </w:t>
      </w:r>
      <w:r>
        <w:rPr>
          <w:sz w:val="24"/>
        </w:rPr>
        <w:t>is directly </w:t>
      </w:r>
      <w:r>
        <w:rPr>
          <w:i/>
          <w:sz w:val="24"/>
        </w:rPr>
        <w:t>connected </w:t>
      </w:r>
      <w:r>
        <w:rPr>
          <w:sz w:val="24"/>
        </w:rPr>
        <w:t>to the </w:t>
      </w:r>
      <w:r>
        <w:rPr>
          <w:i/>
          <w:sz w:val="24"/>
        </w:rPr>
        <w:t>power system </w:t>
      </w:r>
      <w:r>
        <w:rPr>
          <w:sz w:val="24"/>
        </w:rPr>
        <w:t>with no step-up or </w:t>
      </w:r>
      <w:r>
        <w:rPr>
          <w:i/>
          <w:sz w:val="24"/>
        </w:rPr>
        <w:t>connection transformer</w:t>
      </w:r>
      <w:r>
        <w:rPr>
          <w:sz w:val="24"/>
        </w:rPr>
        <w:t>, </w:t>
      </w:r>
      <w:r>
        <w:rPr>
          <w:i/>
          <w:sz w:val="24"/>
        </w:rPr>
        <w:t>voltage </w:t>
      </w:r>
      <w:r>
        <w:rPr>
          <w:sz w:val="24"/>
        </w:rPr>
        <w:t>at the </w:t>
      </w:r>
      <w:r>
        <w:rPr>
          <w:i/>
          <w:sz w:val="24"/>
        </w:rPr>
        <w:t>connection </w:t>
      </w:r>
      <w:r>
        <w:rPr>
          <w:i/>
          <w:sz w:val="24"/>
        </w:rPr>
        <w:t>point </w:t>
      </w:r>
      <w:r>
        <w:rPr>
          <w:sz w:val="24"/>
        </w:rPr>
        <w:t>is 20% or lower of </w:t>
      </w:r>
      <w:r>
        <w:rPr>
          <w:i/>
          <w:sz w:val="24"/>
        </w:rPr>
        <w:t>normal</w:t>
      </w:r>
      <w:r>
        <w:rPr>
          <w:i/>
          <w:spacing w:val="-1"/>
          <w:sz w:val="24"/>
        </w:rPr>
        <w:t> </w:t>
      </w:r>
      <w:r>
        <w:rPr>
          <w:i/>
          <w:sz w:val="24"/>
        </w:rPr>
        <w:t>voltage</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88"/>
        </w:numPr>
        <w:tabs>
          <w:tab w:pos="1919" w:val="left" w:leader="none"/>
        </w:tabs>
        <w:spacing w:line="240" w:lineRule="auto" w:before="120" w:after="0"/>
        <w:ind w:left="1919" w:right="415" w:hanging="567"/>
        <w:jc w:val="both"/>
        <w:rPr>
          <w:sz w:val="24"/>
        </w:rPr>
      </w:pPr>
      <w:r>
        <w:rPr>
          <w:sz w:val="24"/>
        </w:rPr>
        <w:t>In carrying out assessments of proposed </w:t>
      </w:r>
      <w:r>
        <w:rPr>
          <w:i/>
          <w:sz w:val="24"/>
        </w:rPr>
        <w:t>negotiated access standards </w:t>
      </w:r>
      <w:r>
        <w:rPr>
          <w:sz w:val="24"/>
        </w:rPr>
        <w:t>under this clause S5.2.5.5, the </w:t>
      </w:r>
      <w:r>
        <w:rPr>
          <w:i/>
          <w:sz w:val="24"/>
        </w:rPr>
        <w:t>Network Service Provider </w:t>
      </w:r>
      <w:r>
        <w:rPr>
          <w:sz w:val="24"/>
        </w:rPr>
        <w:t>and </w:t>
      </w:r>
      <w:r>
        <w:rPr>
          <w:i/>
          <w:sz w:val="24"/>
        </w:rPr>
        <w:t>AEMO </w:t>
      </w:r>
      <w:r>
        <w:rPr>
          <w:sz w:val="24"/>
        </w:rPr>
        <w:t>must take into account, without</w:t>
      </w:r>
      <w:r>
        <w:rPr>
          <w:spacing w:val="-2"/>
          <w:sz w:val="24"/>
        </w:rPr>
        <w:t> </w:t>
      </w:r>
      <w:r>
        <w:rPr>
          <w:sz w:val="24"/>
        </w:rPr>
        <w:t>limitation:</w:t>
      </w:r>
    </w:p>
    <w:p>
      <w:pPr>
        <w:pStyle w:val="ListParagraph"/>
        <w:numPr>
          <w:ilvl w:val="1"/>
          <w:numId w:val="288"/>
        </w:numPr>
        <w:tabs>
          <w:tab w:pos="2486" w:val="left" w:leader="none"/>
        </w:tabs>
        <w:spacing w:line="240" w:lineRule="auto" w:before="120" w:after="0"/>
        <w:ind w:left="2485" w:right="0" w:hanging="567"/>
        <w:jc w:val="both"/>
        <w:rPr>
          <w:sz w:val="24"/>
        </w:rPr>
      </w:pPr>
      <w:r>
        <w:rPr>
          <w:sz w:val="24"/>
        </w:rPr>
        <w:t>the expected performance</w:t>
      </w:r>
      <w:r>
        <w:rPr>
          <w:spacing w:val="-1"/>
          <w:sz w:val="24"/>
        </w:rPr>
        <w:t> </w:t>
      </w:r>
      <w:r>
        <w:rPr>
          <w:sz w:val="24"/>
        </w:rPr>
        <w:t>of:</w:t>
      </w:r>
    </w:p>
    <w:p>
      <w:pPr>
        <w:pStyle w:val="ListParagraph"/>
        <w:numPr>
          <w:ilvl w:val="2"/>
          <w:numId w:val="288"/>
        </w:numPr>
        <w:tabs>
          <w:tab w:pos="3053" w:val="left" w:leader="none"/>
        </w:tabs>
        <w:spacing w:line="240" w:lineRule="auto" w:before="120" w:after="0"/>
        <w:ind w:left="3052" w:right="0" w:hanging="567"/>
        <w:jc w:val="both"/>
        <w:rPr>
          <w:sz w:val="24"/>
        </w:rPr>
      </w:pPr>
      <w:r>
        <w:rPr>
          <w:sz w:val="24"/>
        </w:rPr>
        <w:t>existing </w:t>
      </w:r>
      <w:r>
        <w:rPr>
          <w:i/>
          <w:sz w:val="24"/>
        </w:rPr>
        <w:t>networks </w:t>
      </w:r>
      <w:r>
        <w:rPr>
          <w:sz w:val="24"/>
        </w:rPr>
        <w:t>and </w:t>
      </w:r>
      <w:r>
        <w:rPr>
          <w:i/>
          <w:sz w:val="24"/>
        </w:rPr>
        <w:t>considered</w:t>
      </w:r>
      <w:r>
        <w:rPr>
          <w:i/>
          <w:spacing w:val="-1"/>
          <w:sz w:val="24"/>
        </w:rPr>
        <w:t> </w:t>
      </w:r>
      <w:r>
        <w:rPr>
          <w:i/>
          <w:sz w:val="24"/>
        </w:rPr>
        <w:t>projects</w:t>
      </w:r>
      <w:r>
        <w:rPr>
          <w:sz w:val="24"/>
        </w:rPr>
        <w:t>;</w:t>
      </w:r>
    </w:p>
    <w:p>
      <w:pPr>
        <w:pStyle w:val="ListParagraph"/>
        <w:numPr>
          <w:ilvl w:val="2"/>
          <w:numId w:val="288"/>
        </w:numPr>
        <w:tabs>
          <w:tab w:pos="3054" w:val="left" w:leader="none"/>
        </w:tabs>
        <w:spacing w:line="240" w:lineRule="auto" w:before="120" w:after="0"/>
        <w:ind w:left="3053" w:right="0" w:hanging="568"/>
        <w:jc w:val="both"/>
        <w:rPr>
          <w:sz w:val="24"/>
        </w:rPr>
      </w:pPr>
      <w:r>
        <w:rPr>
          <w:sz w:val="24"/>
        </w:rPr>
        <w:t>existing </w:t>
      </w:r>
      <w:r>
        <w:rPr>
          <w:i/>
          <w:sz w:val="24"/>
        </w:rPr>
        <w:t>generating plant </w:t>
      </w:r>
      <w:r>
        <w:rPr>
          <w:sz w:val="24"/>
        </w:rPr>
        <w:t>and other relevant projects;</w:t>
      </w:r>
      <w:r>
        <w:rPr>
          <w:spacing w:val="-2"/>
          <w:sz w:val="24"/>
        </w:rPr>
        <w:t> </w:t>
      </w:r>
      <w:r>
        <w:rPr>
          <w:sz w:val="24"/>
        </w:rPr>
        <w:t>and</w:t>
      </w:r>
    </w:p>
    <w:p>
      <w:pPr>
        <w:pStyle w:val="ListParagraph"/>
        <w:numPr>
          <w:ilvl w:val="2"/>
          <w:numId w:val="288"/>
        </w:numPr>
        <w:tabs>
          <w:tab w:pos="3053" w:val="left" w:leader="none"/>
        </w:tabs>
        <w:spacing w:line="240" w:lineRule="auto" w:before="120" w:after="0"/>
        <w:ind w:left="3053" w:right="414" w:hanging="567"/>
        <w:jc w:val="both"/>
        <w:rPr>
          <w:sz w:val="24"/>
        </w:rPr>
      </w:pPr>
      <w:r>
        <w:rPr>
          <w:i/>
          <w:sz w:val="24"/>
        </w:rPr>
        <w:t>control systems </w:t>
      </w:r>
      <w:r>
        <w:rPr>
          <w:sz w:val="24"/>
        </w:rPr>
        <w:t>and </w:t>
      </w:r>
      <w:r>
        <w:rPr>
          <w:i/>
          <w:sz w:val="24"/>
        </w:rPr>
        <w:t>protection systems</w:t>
      </w:r>
      <w:r>
        <w:rPr>
          <w:sz w:val="24"/>
        </w:rPr>
        <w:t>, including auxiliary systems and </w:t>
      </w:r>
      <w:r>
        <w:rPr>
          <w:i/>
          <w:sz w:val="24"/>
        </w:rPr>
        <w:t>automatic reclose equipment</w:t>
      </w:r>
      <w:r>
        <w:rPr>
          <w:sz w:val="24"/>
        </w:rPr>
        <w:t>;</w:t>
      </w:r>
      <w:r>
        <w:rPr>
          <w:spacing w:val="-4"/>
          <w:sz w:val="24"/>
        </w:rPr>
        <w:t> </w:t>
      </w:r>
      <w:r>
        <w:rPr>
          <w:sz w:val="24"/>
        </w:rPr>
        <w:t>and</w:t>
      </w:r>
    </w:p>
    <w:p>
      <w:pPr>
        <w:pStyle w:val="ListParagraph"/>
        <w:numPr>
          <w:ilvl w:val="1"/>
          <w:numId w:val="288"/>
        </w:numPr>
        <w:tabs>
          <w:tab w:pos="2486" w:val="left" w:leader="none"/>
        </w:tabs>
        <w:spacing w:line="240" w:lineRule="auto" w:before="120" w:after="0"/>
        <w:ind w:left="2485" w:right="0" w:hanging="567"/>
        <w:jc w:val="both"/>
        <w:rPr>
          <w:sz w:val="24"/>
        </w:rPr>
      </w:pPr>
      <w:r>
        <w:rPr>
          <w:sz w:val="24"/>
        </w:rPr>
        <w:t>the expected range of </w:t>
      </w:r>
      <w:r>
        <w:rPr>
          <w:i/>
          <w:sz w:val="24"/>
        </w:rPr>
        <w:t>power system </w:t>
      </w:r>
      <w:r>
        <w:rPr>
          <w:sz w:val="24"/>
        </w:rPr>
        <w:t>operating</w:t>
      </w:r>
      <w:r>
        <w:rPr>
          <w:spacing w:val="-3"/>
          <w:sz w:val="24"/>
        </w:rPr>
        <w:t> </w:t>
      </w:r>
      <w:r>
        <w:rPr>
          <w:sz w:val="24"/>
        </w:rPr>
        <w:t>conditions.</w:t>
      </w:r>
    </w:p>
    <w:p>
      <w:pPr>
        <w:pStyle w:val="ListParagraph"/>
        <w:numPr>
          <w:ilvl w:val="0"/>
          <w:numId w:val="288"/>
        </w:numPr>
        <w:tabs>
          <w:tab w:pos="1920" w:val="left" w:leader="none"/>
        </w:tabs>
        <w:spacing w:line="240" w:lineRule="auto" w:before="120" w:after="0"/>
        <w:ind w:left="1919" w:right="415" w:hanging="567"/>
        <w:jc w:val="both"/>
        <w:rPr>
          <w:sz w:val="24"/>
        </w:rPr>
      </w:pPr>
      <w:r>
        <w:rPr>
          <w:sz w:val="24"/>
        </w:rPr>
        <w:t>A proposed </w:t>
      </w:r>
      <w:r>
        <w:rPr>
          <w:i/>
          <w:sz w:val="24"/>
        </w:rPr>
        <w:t>negotiated access standard </w:t>
      </w:r>
      <w:r>
        <w:rPr>
          <w:sz w:val="24"/>
        </w:rPr>
        <w:t>may be accepted if the </w:t>
      </w:r>
      <w:r>
        <w:rPr>
          <w:i/>
          <w:sz w:val="24"/>
        </w:rPr>
        <w:t>connection </w:t>
      </w:r>
      <w:r>
        <w:rPr>
          <w:sz w:val="24"/>
        </w:rPr>
        <w:t>of the </w:t>
      </w:r>
      <w:r>
        <w:rPr>
          <w:i/>
          <w:sz w:val="24"/>
        </w:rPr>
        <w:t>plant </w:t>
      </w:r>
      <w:r>
        <w:rPr>
          <w:sz w:val="24"/>
        </w:rPr>
        <w:t>at the proposed access level would not cause other </w:t>
      </w:r>
      <w:r>
        <w:rPr>
          <w:i/>
          <w:spacing w:val="-3"/>
          <w:sz w:val="24"/>
        </w:rPr>
        <w:t>generating </w:t>
      </w:r>
      <w:r>
        <w:rPr>
          <w:i/>
          <w:sz w:val="24"/>
        </w:rPr>
        <w:t>plant </w:t>
      </w:r>
      <w:r>
        <w:rPr>
          <w:sz w:val="24"/>
        </w:rPr>
        <w:t>or </w:t>
      </w:r>
      <w:r>
        <w:rPr>
          <w:i/>
          <w:sz w:val="24"/>
        </w:rPr>
        <w:t>loads </w:t>
      </w:r>
      <w:r>
        <w:rPr>
          <w:sz w:val="24"/>
        </w:rPr>
        <w:t>to trip as a result of an event, when they would otherwise not have tripped for the same</w:t>
      </w:r>
      <w:r>
        <w:rPr>
          <w:spacing w:val="-2"/>
          <w:sz w:val="24"/>
        </w:rPr>
        <w:t> </w:t>
      </w:r>
      <w:r>
        <w:rPr>
          <w:sz w:val="24"/>
        </w:rPr>
        <w:t>event.</w:t>
      </w:r>
    </w:p>
    <w:p>
      <w:pPr>
        <w:spacing w:line="470" w:lineRule="atLeast" w:before="3"/>
        <w:ind w:left="1356" w:right="5925" w:firstLine="0"/>
        <w:jc w:val="left"/>
        <w:rPr>
          <w:rFonts w:ascii="Arial"/>
          <w:b/>
          <w:sz w:val="22"/>
        </w:rPr>
      </w:pPr>
      <w:r>
        <w:rPr>
          <w:rFonts w:ascii="Arial"/>
          <w:b/>
          <w:sz w:val="22"/>
        </w:rPr>
        <w:t>General requirement All generating systems</w:t>
      </w:r>
    </w:p>
    <w:p>
      <w:pPr>
        <w:pStyle w:val="ListParagraph"/>
        <w:numPr>
          <w:ilvl w:val="0"/>
          <w:numId w:val="288"/>
        </w:numPr>
        <w:tabs>
          <w:tab w:pos="1920" w:val="left" w:leader="none"/>
        </w:tabs>
        <w:spacing w:line="240" w:lineRule="auto" w:before="123" w:after="0"/>
        <w:ind w:left="1919" w:right="415" w:hanging="567"/>
        <w:jc w:val="both"/>
        <w:rPr>
          <w:sz w:val="24"/>
        </w:rPr>
      </w:pPr>
      <w:r>
        <w:rPr>
          <w:sz w:val="24"/>
        </w:rPr>
        <w:t>The </w:t>
      </w:r>
      <w:r>
        <w:rPr>
          <w:i/>
          <w:sz w:val="24"/>
        </w:rPr>
        <w:t>performance standard </w:t>
      </w:r>
      <w:r>
        <w:rPr>
          <w:sz w:val="24"/>
        </w:rPr>
        <w:t>must include any operational arrangements to ensure the </w:t>
      </w:r>
      <w:r>
        <w:rPr>
          <w:i/>
          <w:sz w:val="24"/>
        </w:rPr>
        <w:t>generating system </w:t>
      </w:r>
      <w:r>
        <w:rPr>
          <w:sz w:val="24"/>
        </w:rPr>
        <w:t>including all operating </w:t>
      </w:r>
      <w:r>
        <w:rPr>
          <w:i/>
          <w:sz w:val="24"/>
        </w:rPr>
        <w:t>generating units </w:t>
      </w:r>
      <w:r>
        <w:rPr>
          <w:sz w:val="24"/>
        </w:rPr>
        <w:t>will meet its agreed performance levels under abnormal </w:t>
      </w:r>
      <w:r>
        <w:rPr>
          <w:i/>
          <w:sz w:val="24"/>
        </w:rPr>
        <w:t>network </w:t>
      </w:r>
      <w:r>
        <w:rPr>
          <w:sz w:val="24"/>
        </w:rPr>
        <w:t>or </w:t>
      </w:r>
      <w:r>
        <w:rPr>
          <w:i/>
          <w:sz w:val="24"/>
        </w:rPr>
        <w:t>generating </w:t>
      </w:r>
      <w:r>
        <w:rPr>
          <w:i/>
          <w:sz w:val="24"/>
        </w:rPr>
        <w:t>system</w:t>
      </w:r>
      <w:r>
        <w:rPr>
          <w:i/>
          <w:spacing w:val="-2"/>
          <w:sz w:val="24"/>
        </w:rPr>
        <w:t> </w:t>
      </w:r>
      <w:r>
        <w:rPr>
          <w:sz w:val="24"/>
        </w:rPr>
        <w:t>conditions.</w:t>
      </w:r>
    </w:p>
    <w:p>
      <w:pPr>
        <w:pStyle w:val="ListParagraph"/>
        <w:numPr>
          <w:ilvl w:val="0"/>
          <w:numId w:val="288"/>
        </w:numPr>
        <w:tabs>
          <w:tab w:pos="1919" w:val="left" w:leader="none"/>
        </w:tabs>
        <w:spacing w:line="240" w:lineRule="auto" w:before="120" w:after="0"/>
        <w:ind w:left="1919" w:right="415" w:hanging="567"/>
        <w:jc w:val="both"/>
        <w:rPr>
          <w:sz w:val="24"/>
        </w:rPr>
      </w:pPr>
      <w:r>
        <w:rPr>
          <w:sz w:val="24"/>
        </w:rPr>
        <w:t>When assessing multiple disturbances, a fault that is re-established following operation of </w:t>
      </w:r>
      <w:r>
        <w:rPr>
          <w:i/>
          <w:sz w:val="24"/>
        </w:rPr>
        <w:t>automatic reclose equipment </w:t>
      </w:r>
      <w:r>
        <w:rPr>
          <w:sz w:val="24"/>
        </w:rPr>
        <w:t>shall be counted as a separate</w:t>
      </w:r>
      <w:r>
        <w:rPr>
          <w:spacing w:val="-2"/>
          <w:sz w:val="24"/>
        </w:rPr>
        <w:t> </w:t>
      </w:r>
      <w:r>
        <w:rPr>
          <w:sz w:val="24"/>
        </w:rPr>
        <w:t>disturbance.</w:t>
      </w:r>
    </w:p>
    <w:p>
      <w:pPr>
        <w:spacing w:before="220"/>
        <w:ind w:left="1356" w:right="0" w:firstLine="0"/>
        <w:jc w:val="left"/>
        <w:rPr>
          <w:rFonts w:ascii="Arial"/>
          <w:b/>
          <w:sz w:val="22"/>
        </w:rPr>
      </w:pPr>
      <w:r>
        <w:rPr>
          <w:rFonts w:ascii="Arial"/>
          <w:b/>
          <w:sz w:val="22"/>
        </w:rPr>
        <w:t>Asynchronous generating systems</w:t>
      </w:r>
    </w:p>
    <w:p>
      <w:pPr>
        <w:pStyle w:val="ListParagraph"/>
        <w:numPr>
          <w:ilvl w:val="0"/>
          <w:numId w:val="288"/>
        </w:numPr>
        <w:tabs>
          <w:tab w:pos="1919" w:val="left" w:leader="none"/>
        </w:tabs>
        <w:spacing w:line="240" w:lineRule="auto" w:before="120" w:after="0"/>
        <w:ind w:left="1918" w:right="0" w:hanging="567"/>
        <w:jc w:val="both"/>
        <w:rPr>
          <w:sz w:val="24"/>
        </w:rPr>
      </w:pPr>
      <w:r>
        <w:rPr>
          <w:sz w:val="24"/>
        </w:rPr>
        <w:t>For the purpose of paragraphs (f) and</w:t>
      </w:r>
      <w:r>
        <w:rPr>
          <w:spacing w:val="-2"/>
          <w:sz w:val="24"/>
        </w:rPr>
        <w:t> </w:t>
      </w:r>
      <w:r>
        <w:rPr>
          <w:sz w:val="24"/>
        </w:rPr>
        <w:t>(n):</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reactive current contribution may be limited to the maximum continuous current of a </w:t>
      </w:r>
      <w:r>
        <w:rPr>
          <w:i/>
          <w:sz w:val="24"/>
        </w:rPr>
        <w:t>generating system</w:t>
      </w:r>
      <w:r>
        <w:rPr>
          <w:sz w:val="24"/>
        </w:rPr>
        <w:t>, including its operating </w:t>
      </w:r>
      <w:r>
        <w:rPr>
          <w:i/>
          <w:sz w:val="24"/>
        </w:rPr>
        <w:t>asynchronous generating</w:t>
      </w:r>
      <w:r>
        <w:rPr>
          <w:i/>
          <w:spacing w:val="-1"/>
          <w:sz w:val="24"/>
        </w:rPr>
        <w:t> </w:t>
      </w:r>
      <w:r>
        <w:rPr>
          <w:i/>
          <w:sz w:val="24"/>
        </w:rPr>
        <w:t>units</w:t>
      </w:r>
      <w:r>
        <w:rPr>
          <w:sz w:val="24"/>
        </w:rPr>
        <w:t>;</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reactive current contribution and </w:t>
      </w:r>
      <w:r>
        <w:rPr>
          <w:i/>
          <w:sz w:val="24"/>
        </w:rPr>
        <w:t>voltage </w:t>
      </w:r>
      <w:r>
        <w:rPr>
          <w:sz w:val="24"/>
        </w:rPr>
        <w:t>deviation described may be measured at a location other than the </w:t>
      </w:r>
      <w:r>
        <w:rPr>
          <w:i/>
          <w:sz w:val="24"/>
        </w:rPr>
        <w:t>connection point </w:t>
      </w:r>
      <w:r>
        <w:rPr>
          <w:sz w:val="24"/>
        </w:rPr>
        <w:t>(including within the relevant </w:t>
      </w:r>
      <w:r>
        <w:rPr>
          <w:i/>
          <w:sz w:val="24"/>
        </w:rPr>
        <w:t>generating system</w:t>
      </w:r>
      <w:r>
        <w:rPr>
          <w:sz w:val="24"/>
        </w:rPr>
        <w:t>) where agreed with </w:t>
      </w:r>
      <w:r>
        <w:rPr>
          <w:i/>
          <w:sz w:val="24"/>
        </w:rPr>
        <w:t>AEMO </w:t>
      </w:r>
      <w:r>
        <w:rPr>
          <w:sz w:val="24"/>
        </w:rPr>
        <w:t>and the </w:t>
      </w:r>
      <w:r>
        <w:rPr>
          <w:i/>
          <w:sz w:val="24"/>
        </w:rPr>
        <w:t>Network Service Provider</w:t>
      </w:r>
      <w:r>
        <w:rPr>
          <w:sz w:val="24"/>
        </w:rPr>
        <w:t>, in which case the level of injection and absorption will be assessed at that agreed</w:t>
      </w:r>
      <w:r>
        <w:rPr>
          <w:spacing w:val="-2"/>
          <w:sz w:val="24"/>
        </w:rPr>
        <w:t> </w:t>
      </w:r>
      <w:r>
        <w:rPr>
          <w:sz w:val="24"/>
        </w:rPr>
        <w:t>location;</w:t>
      </w:r>
    </w:p>
    <w:p>
      <w:pPr>
        <w:spacing w:after="0" w:line="240" w:lineRule="auto"/>
        <w:jc w:val="both"/>
        <w:rPr>
          <w:sz w:val="24"/>
        </w:rPr>
        <w:sectPr>
          <w:pgSz w:w="11910" w:h="16840"/>
          <w:pgMar w:header="686" w:footer="637" w:top="1320" w:bottom="820" w:left="1200" w:right="1000"/>
        </w:sectPr>
      </w:pPr>
    </w:p>
    <w:p>
      <w:pPr>
        <w:pStyle w:val="ListParagraph"/>
        <w:numPr>
          <w:ilvl w:val="1"/>
          <w:numId w:val="288"/>
        </w:numPr>
        <w:tabs>
          <w:tab w:pos="2486" w:val="left" w:leader="none"/>
        </w:tabs>
        <w:spacing w:line="240" w:lineRule="auto" w:before="83" w:after="0"/>
        <w:ind w:left="2486" w:right="413" w:hanging="567"/>
        <w:jc w:val="both"/>
        <w:rPr>
          <w:sz w:val="24"/>
        </w:rPr>
      </w:pPr>
      <w:r>
        <w:rPr>
          <w:sz w:val="24"/>
        </w:rPr>
        <w:t>the reactive current contribution required may be calculated using phase to phase, phase to ground or sequence components of </w:t>
      </w:r>
      <w:r>
        <w:rPr>
          <w:i/>
          <w:sz w:val="24"/>
        </w:rPr>
        <w:t>voltages</w:t>
      </w:r>
      <w:r>
        <w:rPr>
          <w:sz w:val="24"/>
        </w:rPr>
        <w:t>. The ratio of the negative sequence to positive sequence components of the reactive current contribution must be agreed with </w:t>
      </w:r>
      <w:r>
        <w:rPr>
          <w:i/>
          <w:sz w:val="24"/>
        </w:rPr>
        <w:t>AEMO </w:t>
      </w:r>
      <w:r>
        <w:rPr>
          <w:sz w:val="24"/>
        </w:rPr>
        <w:t>and </w:t>
      </w:r>
      <w:r>
        <w:rPr>
          <w:spacing w:val="-4"/>
          <w:sz w:val="24"/>
        </w:rPr>
        <w:t>the </w:t>
      </w:r>
      <w:r>
        <w:rPr>
          <w:i/>
          <w:sz w:val="24"/>
        </w:rPr>
        <w:t>Network Service Provider </w:t>
      </w:r>
      <w:r>
        <w:rPr>
          <w:sz w:val="24"/>
        </w:rPr>
        <w:t>for the types of disturbances listed in this clause S5.2.5.5;</w:t>
      </w:r>
      <w:r>
        <w:rPr>
          <w:spacing w:val="-2"/>
          <w:sz w:val="24"/>
        </w:rPr>
        <w:t> </w:t>
      </w:r>
      <w:r>
        <w:rPr>
          <w:sz w:val="24"/>
        </w:rPr>
        <w:t>and</w:t>
      </w:r>
    </w:p>
    <w:p>
      <w:pPr>
        <w:pStyle w:val="ListParagraph"/>
        <w:numPr>
          <w:ilvl w:val="1"/>
          <w:numId w:val="288"/>
        </w:numPr>
        <w:tabs>
          <w:tab w:pos="2486" w:val="left" w:leader="none"/>
        </w:tabs>
        <w:spacing w:line="240" w:lineRule="auto" w:before="120" w:after="0"/>
        <w:ind w:left="2486" w:right="414" w:hanging="567"/>
        <w:jc w:val="both"/>
        <w:rPr>
          <w:sz w:val="24"/>
        </w:rPr>
      </w:pPr>
      <w:r>
        <w:rPr>
          <w:sz w:val="24"/>
        </w:rPr>
        <w:t>the </w:t>
      </w:r>
      <w:r>
        <w:rPr>
          <w:i/>
          <w:sz w:val="24"/>
        </w:rPr>
        <w:t>performance standards </w:t>
      </w:r>
      <w:r>
        <w:rPr>
          <w:sz w:val="24"/>
        </w:rPr>
        <w:t>must record all conditions (which may include temperature) considered relevant by </w:t>
      </w:r>
      <w:r>
        <w:rPr>
          <w:i/>
          <w:sz w:val="24"/>
        </w:rPr>
        <w:t>AEMO </w:t>
      </w:r>
      <w:r>
        <w:rPr>
          <w:sz w:val="24"/>
        </w:rPr>
        <w:t>and the </w:t>
      </w:r>
      <w:r>
        <w:rPr>
          <w:i/>
          <w:sz w:val="24"/>
        </w:rPr>
        <w:t>Network </w:t>
      </w:r>
      <w:r>
        <w:rPr>
          <w:i/>
          <w:sz w:val="24"/>
        </w:rPr>
        <w:t>Service Provider </w:t>
      </w:r>
      <w:r>
        <w:rPr>
          <w:sz w:val="24"/>
        </w:rPr>
        <w:t>under which the reactive current response is required.</w:t>
      </w:r>
    </w:p>
    <w:p>
      <w:pPr>
        <w:spacing w:before="220"/>
        <w:ind w:left="1356" w:right="0" w:firstLine="0"/>
        <w:jc w:val="left"/>
        <w:rPr>
          <w:rFonts w:ascii="Arial"/>
          <w:b/>
          <w:sz w:val="22"/>
        </w:rPr>
      </w:pPr>
      <w:r>
        <w:rPr>
          <w:rFonts w:ascii="Arial"/>
          <w:b/>
          <w:sz w:val="22"/>
        </w:rPr>
        <w:t>Synchronous generating systems and units</w:t>
      </w:r>
    </w:p>
    <w:p>
      <w:pPr>
        <w:pStyle w:val="ListParagraph"/>
        <w:numPr>
          <w:ilvl w:val="0"/>
          <w:numId w:val="288"/>
        </w:numPr>
        <w:tabs>
          <w:tab w:pos="1919" w:val="left" w:leader="none"/>
        </w:tabs>
        <w:spacing w:line="240" w:lineRule="auto" w:before="120" w:after="0"/>
        <w:ind w:left="1919" w:right="414" w:hanging="567"/>
        <w:jc w:val="both"/>
        <w:rPr>
          <w:sz w:val="24"/>
        </w:rPr>
      </w:pPr>
      <w:r>
        <w:rPr>
          <w:sz w:val="24"/>
        </w:rPr>
        <w:t>For a </w:t>
      </w:r>
      <w:r>
        <w:rPr>
          <w:i/>
          <w:sz w:val="24"/>
        </w:rPr>
        <w:t>generating system </w:t>
      </w:r>
      <w:r>
        <w:rPr>
          <w:sz w:val="24"/>
        </w:rPr>
        <w:t>comprised solely of </w:t>
      </w:r>
      <w:r>
        <w:rPr>
          <w:i/>
          <w:sz w:val="24"/>
        </w:rPr>
        <w:t>synchronous generating units</w:t>
      </w:r>
      <w:r>
        <w:rPr>
          <w:sz w:val="24"/>
        </w:rPr>
        <w:t>, the reactive current contribution may be limited to 250% of the maximum continuous current of the </w:t>
      </w:r>
      <w:r>
        <w:rPr>
          <w:i/>
          <w:sz w:val="24"/>
        </w:rPr>
        <w:t>generating</w:t>
      </w:r>
      <w:r>
        <w:rPr>
          <w:i/>
          <w:spacing w:val="-1"/>
          <w:sz w:val="24"/>
        </w:rPr>
        <w:t> </w:t>
      </w:r>
      <w:r>
        <w:rPr>
          <w:i/>
          <w:sz w:val="24"/>
        </w:rPr>
        <w:t>system</w:t>
      </w:r>
      <w:r>
        <w:rPr>
          <w:sz w:val="24"/>
        </w:rPr>
        <w:t>.</w:t>
      </w:r>
    </w:p>
    <w:p>
      <w:pPr>
        <w:pStyle w:val="ListParagraph"/>
        <w:numPr>
          <w:ilvl w:val="0"/>
          <w:numId w:val="288"/>
        </w:numPr>
        <w:tabs>
          <w:tab w:pos="1919" w:val="left" w:leader="none"/>
        </w:tabs>
        <w:spacing w:line="240" w:lineRule="auto" w:before="120" w:after="0"/>
        <w:ind w:left="1919" w:right="413" w:hanging="567"/>
        <w:jc w:val="both"/>
        <w:rPr>
          <w:sz w:val="24"/>
        </w:rPr>
      </w:pPr>
      <w:r>
        <w:rPr>
          <w:sz w:val="24"/>
        </w:rPr>
        <w:t>For a </w:t>
      </w:r>
      <w:r>
        <w:rPr>
          <w:i/>
          <w:sz w:val="24"/>
        </w:rPr>
        <w:t>synchronous generating unit </w:t>
      </w:r>
      <w:r>
        <w:rPr>
          <w:sz w:val="24"/>
        </w:rPr>
        <w:t>within a </w:t>
      </w:r>
      <w:r>
        <w:rPr>
          <w:i/>
          <w:sz w:val="24"/>
        </w:rPr>
        <w:t>generating system </w:t>
      </w:r>
      <w:r>
        <w:rPr>
          <w:sz w:val="24"/>
        </w:rPr>
        <w:t>(other than a </w:t>
      </w:r>
      <w:r>
        <w:rPr>
          <w:i/>
          <w:sz w:val="24"/>
        </w:rPr>
        <w:t>generating system </w:t>
      </w:r>
      <w:r>
        <w:rPr>
          <w:sz w:val="24"/>
        </w:rPr>
        <w:t>described in paragraph (v)), the reactive current contribution may be limited to 250% of the maximum continuous current of that </w:t>
      </w:r>
      <w:r>
        <w:rPr>
          <w:i/>
          <w:sz w:val="24"/>
        </w:rPr>
        <w:t>synchronous generating</w:t>
      </w:r>
      <w:r>
        <w:rPr>
          <w:i/>
          <w:spacing w:val="-1"/>
          <w:sz w:val="24"/>
        </w:rPr>
        <w:t> </w:t>
      </w:r>
      <w:r>
        <w:rPr>
          <w:i/>
          <w:sz w:val="24"/>
        </w:rPr>
        <w:t>unit</w:t>
      </w:r>
      <w:r>
        <w:rPr>
          <w:sz w:val="24"/>
        </w:rPr>
        <w:t>.</w:t>
      </w:r>
    </w:p>
    <w:p>
      <w:pPr>
        <w:pStyle w:val="BodyText"/>
        <w:spacing w:before="10"/>
        <w:ind w:firstLine="0"/>
        <w:jc w:val="left"/>
        <w:rPr>
          <w:sz w:val="20"/>
        </w:rPr>
      </w:pPr>
    </w:p>
    <w:p>
      <w:pPr>
        <w:pStyle w:val="Heading4"/>
        <w:tabs>
          <w:tab w:pos="1351" w:val="left" w:leader="none"/>
        </w:tabs>
        <w:ind w:left="1352" w:right="1364"/>
      </w:pPr>
      <w:bookmarkStart w:name="S5.2.5.6 Quality of electricity generate" w:id="980"/>
      <w:bookmarkEnd w:id="980"/>
      <w:r>
        <w:rPr>
          <w:b w:val="0"/>
        </w:rPr>
      </w:r>
      <w:bookmarkStart w:name="_bookmark382" w:id="981"/>
      <w:bookmarkEnd w:id="981"/>
      <w:r>
        <w:rPr>
          <w:b w:val="0"/>
        </w:rPr>
      </w:r>
      <w:r>
        <w:rPr/>
        <w:t>S5.2.5.6</w:t>
        <w:tab/>
        <w:t>Quality of electricity generated and continuous uninterrupted operation</w:t>
      </w:r>
    </w:p>
    <w:p>
      <w:pPr>
        <w:spacing w:before="220"/>
        <w:ind w:left="1356" w:right="0" w:firstLine="0"/>
        <w:jc w:val="left"/>
        <w:rPr>
          <w:rFonts w:ascii="Arial"/>
          <w:b/>
          <w:sz w:val="22"/>
        </w:rPr>
      </w:pPr>
      <w:r>
        <w:rPr>
          <w:rFonts w:ascii="Arial"/>
          <w:b/>
          <w:sz w:val="22"/>
        </w:rPr>
        <w:t>Minimum access standard</w:t>
      </w:r>
    </w:p>
    <w:p>
      <w:pPr>
        <w:spacing w:before="120"/>
        <w:ind w:left="1352" w:right="415" w:firstLine="0"/>
        <w:jc w:val="both"/>
        <w:rPr>
          <w:sz w:val="24"/>
        </w:rPr>
      </w:pPr>
      <w:r>
        <w:rPr>
          <w:sz w:val="24"/>
        </w:rPr>
        <w:t>The </w:t>
      </w:r>
      <w:r>
        <w:rPr>
          <w:i/>
          <w:sz w:val="24"/>
        </w:rPr>
        <w:t>minimum access standard </w:t>
      </w:r>
      <w:r>
        <w:rPr>
          <w:sz w:val="24"/>
        </w:rPr>
        <w:t>is a </w:t>
      </w:r>
      <w:r>
        <w:rPr>
          <w:i/>
          <w:sz w:val="24"/>
        </w:rPr>
        <w:t>generating system </w:t>
      </w:r>
      <w:r>
        <w:rPr>
          <w:sz w:val="24"/>
        </w:rPr>
        <w:t>including each of its operating </w:t>
      </w:r>
      <w:r>
        <w:rPr>
          <w:i/>
          <w:sz w:val="24"/>
        </w:rPr>
        <w:t>generating units </w:t>
      </w:r>
      <w:r>
        <w:rPr>
          <w:sz w:val="24"/>
        </w:rPr>
        <w:t>and </w:t>
      </w:r>
      <w:r>
        <w:rPr>
          <w:i/>
          <w:sz w:val="24"/>
        </w:rPr>
        <w:t>reactive plant</w:t>
      </w:r>
      <w:r>
        <w:rPr>
          <w:sz w:val="24"/>
        </w:rPr>
        <w:t>, must not </w:t>
      </w:r>
      <w:r>
        <w:rPr>
          <w:i/>
          <w:sz w:val="24"/>
        </w:rPr>
        <w:t>disconnect </w:t>
      </w:r>
      <w:r>
        <w:rPr>
          <w:sz w:val="24"/>
        </w:rPr>
        <w:t>from the </w:t>
      </w:r>
      <w:r>
        <w:rPr>
          <w:i/>
          <w:sz w:val="24"/>
        </w:rPr>
        <w:t>power </w:t>
      </w:r>
      <w:r>
        <w:rPr>
          <w:i/>
          <w:sz w:val="24"/>
        </w:rPr>
        <w:t>system </w:t>
      </w:r>
      <w:r>
        <w:rPr>
          <w:sz w:val="24"/>
        </w:rPr>
        <w:t>as a result of </w:t>
      </w:r>
      <w:r>
        <w:rPr>
          <w:i/>
          <w:sz w:val="24"/>
        </w:rPr>
        <w:t>voltage </w:t>
      </w:r>
      <w:r>
        <w:rPr>
          <w:sz w:val="24"/>
        </w:rPr>
        <w:t>fluctuation, harmonic </w:t>
      </w:r>
      <w:r>
        <w:rPr>
          <w:i/>
          <w:sz w:val="24"/>
        </w:rPr>
        <w:t>voltage </w:t>
      </w:r>
      <w:r>
        <w:rPr>
          <w:sz w:val="24"/>
        </w:rPr>
        <w:t>distortion and </w:t>
      </w:r>
      <w:r>
        <w:rPr>
          <w:i/>
          <w:sz w:val="24"/>
        </w:rPr>
        <w:t>voltage </w:t>
      </w:r>
      <w:r>
        <w:rPr>
          <w:sz w:val="24"/>
        </w:rPr>
        <w:t>unbalance conditions at the </w:t>
      </w:r>
      <w:r>
        <w:rPr>
          <w:i/>
          <w:sz w:val="24"/>
        </w:rPr>
        <w:t>connection point </w:t>
      </w:r>
      <w:r>
        <w:rPr>
          <w:sz w:val="24"/>
        </w:rPr>
        <w:t>within the levels specified in clauses S5.1a.5, S5.1a.6 and S5.1a.7.</w:t>
      </w:r>
    </w:p>
    <w:p>
      <w:pPr>
        <w:pStyle w:val="BodyText"/>
        <w:spacing w:before="10"/>
        <w:ind w:firstLine="0"/>
        <w:jc w:val="left"/>
        <w:rPr>
          <w:sz w:val="20"/>
        </w:rPr>
      </w:pPr>
    </w:p>
    <w:p>
      <w:pPr>
        <w:pStyle w:val="Heading4"/>
        <w:tabs>
          <w:tab w:pos="1351" w:val="left" w:leader="none"/>
        </w:tabs>
        <w:ind w:left="218" w:firstLine="0"/>
      </w:pPr>
      <w:bookmarkStart w:name="S5.2.5.7 Partial load rejection" w:id="982"/>
      <w:bookmarkEnd w:id="982"/>
      <w:r>
        <w:rPr>
          <w:b w:val="0"/>
        </w:rPr>
      </w:r>
      <w:bookmarkStart w:name="_bookmark383" w:id="983"/>
      <w:bookmarkEnd w:id="983"/>
      <w:r>
        <w:rPr>
          <w:b w:val="0"/>
        </w:rPr>
      </w:r>
      <w:r>
        <w:rPr/>
        <w:t>S5.2.5.7</w:t>
        <w:tab/>
        <w:t>Partial load</w:t>
      </w:r>
      <w:r>
        <w:rPr>
          <w:spacing w:val="-1"/>
        </w:rPr>
        <w:t> </w:t>
      </w:r>
      <w:r>
        <w:rPr/>
        <w:t>rejection</w:t>
      </w:r>
    </w:p>
    <w:p>
      <w:pPr>
        <w:pStyle w:val="ListParagraph"/>
        <w:numPr>
          <w:ilvl w:val="0"/>
          <w:numId w:val="289"/>
        </w:numPr>
        <w:tabs>
          <w:tab w:pos="1919" w:val="left" w:leader="none"/>
        </w:tabs>
        <w:spacing w:line="240" w:lineRule="auto" w:before="120" w:after="0"/>
        <w:ind w:left="1919" w:right="416" w:hanging="567"/>
        <w:jc w:val="both"/>
        <w:rPr>
          <w:sz w:val="24"/>
        </w:rPr>
      </w:pPr>
      <w:r>
        <w:rPr>
          <w:sz w:val="24"/>
        </w:rPr>
        <w:t>For the purposes of this clause S5.2.5.7 </w:t>
      </w:r>
      <w:r>
        <w:rPr>
          <w:b/>
          <w:sz w:val="24"/>
        </w:rPr>
        <w:t>minimum generation </w:t>
      </w:r>
      <w:r>
        <w:rPr>
          <w:sz w:val="24"/>
        </w:rPr>
        <w:t>means minimum </w:t>
      </w:r>
      <w:r>
        <w:rPr>
          <w:i/>
          <w:sz w:val="24"/>
        </w:rPr>
        <w:t>sent out generation </w:t>
      </w:r>
      <w:r>
        <w:rPr>
          <w:sz w:val="24"/>
        </w:rPr>
        <w:t>for continuous stable</w:t>
      </w:r>
      <w:r>
        <w:rPr>
          <w:spacing w:val="-5"/>
          <w:sz w:val="24"/>
        </w:rPr>
        <w:t> </w:t>
      </w:r>
      <w:r>
        <w:rPr>
          <w:sz w:val="24"/>
        </w:rPr>
        <w:t>operation.</w:t>
      </w:r>
    </w:p>
    <w:p>
      <w:pPr>
        <w:pStyle w:val="ListParagraph"/>
        <w:numPr>
          <w:ilvl w:val="0"/>
          <w:numId w:val="289"/>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89"/>
        </w:numPr>
        <w:tabs>
          <w:tab w:pos="1919" w:val="left" w:leader="none"/>
        </w:tabs>
        <w:spacing w:line="240" w:lineRule="auto" w:before="120" w:after="0"/>
        <w:ind w:left="1919" w:right="415" w:hanging="567"/>
        <w:jc w:val="both"/>
        <w:rPr>
          <w:sz w:val="24"/>
        </w:rPr>
      </w:pPr>
      <w:r>
        <w:rPr>
          <w:sz w:val="24"/>
        </w:rPr>
        <w:t>The </w:t>
      </w:r>
      <w:r>
        <w:rPr>
          <w:i/>
          <w:sz w:val="24"/>
        </w:rPr>
        <w:t>automatic access standard </w:t>
      </w:r>
      <w:r>
        <w:rPr>
          <w:sz w:val="24"/>
        </w:rPr>
        <w:t>is a </w:t>
      </w:r>
      <w:r>
        <w:rPr>
          <w:i/>
          <w:sz w:val="24"/>
        </w:rPr>
        <w:t>generating system </w:t>
      </w:r>
      <w:r>
        <w:rPr>
          <w:sz w:val="24"/>
        </w:rPr>
        <w:t>must be capable of </w:t>
      </w:r>
      <w:r>
        <w:rPr>
          <w:i/>
          <w:sz w:val="24"/>
        </w:rPr>
        <w:t>continuous uninterrupted operation </w:t>
      </w:r>
      <w:r>
        <w:rPr>
          <w:sz w:val="24"/>
        </w:rPr>
        <w:t>during and following a </w:t>
      </w:r>
      <w:r>
        <w:rPr>
          <w:i/>
          <w:sz w:val="24"/>
        </w:rPr>
        <w:t>power system </w:t>
      </w:r>
      <w:r>
        <w:rPr>
          <w:i/>
          <w:sz w:val="24"/>
        </w:rPr>
        <w:t>load </w:t>
      </w:r>
      <w:r>
        <w:rPr>
          <w:sz w:val="24"/>
        </w:rPr>
        <w:t>reduction of 30% from its pre-disturbance level or equivalent </w:t>
      </w:r>
      <w:r>
        <w:rPr>
          <w:spacing w:val="-3"/>
          <w:sz w:val="24"/>
        </w:rPr>
        <w:t>impact </w:t>
      </w:r>
      <w:r>
        <w:rPr>
          <w:sz w:val="24"/>
        </w:rPr>
        <w:t>from separation of part of the </w:t>
      </w:r>
      <w:r>
        <w:rPr>
          <w:i/>
          <w:sz w:val="24"/>
        </w:rPr>
        <w:t>power system </w:t>
      </w:r>
      <w:r>
        <w:rPr>
          <w:sz w:val="24"/>
        </w:rPr>
        <w:t>in less than 10 seconds, provided that the </w:t>
      </w:r>
      <w:r>
        <w:rPr>
          <w:i/>
          <w:sz w:val="24"/>
        </w:rPr>
        <w:t>loading level </w:t>
      </w:r>
      <w:r>
        <w:rPr>
          <w:sz w:val="24"/>
        </w:rPr>
        <w:t>remains above minimum</w:t>
      </w:r>
      <w:r>
        <w:rPr>
          <w:spacing w:val="-3"/>
          <w:sz w:val="24"/>
        </w:rPr>
        <w:t> </w:t>
      </w:r>
      <w:r>
        <w:rPr>
          <w:sz w:val="24"/>
        </w:rPr>
        <w:t>generation.</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89"/>
        </w:numPr>
        <w:tabs>
          <w:tab w:pos="1919" w:val="left" w:leader="none"/>
        </w:tabs>
        <w:spacing w:line="240" w:lineRule="auto" w:before="120" w:after="0"/>
        <w:ind w:left="1919" w:right="415" w:hanging="567"/>
        <w:jc w:val="both"/>
        <w:rPr>
          <w:sz w:val="24"/>
        </w:rPr>
      </w:pPr>
      <w:r>
        <w:rPr>
          <w:sz w:val="24"/>
        </w:rPr>
        <w:t>The </w:t>
      </w:r>
      <w:r>
        <w:rPr>
          <w:i/>
          <w:sz w:val="24"/>
        </w:rPr>
        <w:t>minimum access standard </w:t>
      </w:r>
      <w:r>
        <w:rPr>
          <w:sz w:val="24"/>
        </w:rPr>
        <w:t>is a </w:t>
      </w:r>
      <w:r>
        <w:rPr>
          <w:i/>
          <w:sz w:val="24"/>
        </w:rPr>
        <w:t>generating system </w:t>
      </w:r>
      <w:r>
        <w:rPr>
          <w:sz w:val="24"/>
        </w:rPr>
        <w:t>must be capable of </w:t>
      </w:r>
      <w:r>
        <w:rPr>
          <w:i/>
          <w:sz w:val="24"/>
        </w:rPr>
        <w:t>continuous uninterrupted operation </w:t>
      </w:r>
      <w:r>
        <w:rPr>
          <w:sz w:val="24"/>
        </w:rPr>
        <w:t>during and following a </w:t>
      </w:r>
      <w:r>
        <w:rPr>
          <w:i/>
          <w:sz w:val="24"/>
        </w:rPr>
        <w:t>power system </w:t>
      </w:r>
      <w:r>
        <w:rPr>
          <w:i/>
          <w:sz w:val="24"/>
        </w:rPr>
        <w:t>load </w:t>
      </w:r>
      <w:r>
        <w:rPr>
          <w:sz w:val="24"/>
        </w:rPr>
        <w:t>reduction of 5% or equivalent impact from separation of part of the </w:t>
      </w:r>
      <w:r>
        <w:rPr>
          <w:i/>
          <w:sz w:val="24"/>
        </w:rPr>
        <w:t>power system </w:t>
      </w:r>
      <w:r>
        <w:rPr>
          <w:sz w:val="24"/>
        </w:rPr>
        <w:t>in less than 10 seconds provided that the </w:t>
      </w:r>
      <w:r>
        <w:rPr>
          <w:i/>
          <w:sz w:val="24"/>
        </w:rPr>
        <w:t>loading level  </w:t>
      </w:r>
      <w:r>
        <w:rPr>
          <w:sz w:val="24"/>
        </w:rPr>
        <w:t>remains above minimum</w:t>
      </w:r>
      <w:r>
        <w:rPr>
          <w:spacing w:val="-1"/>
          <w:sz w:val="24"/>
        </w:rPr>
        <w:t> </w:t>
      </w:r>
      <w:r>
        <w:rPr>
          <w:sz w:val="24"/>
        </w:rPr>
        <w:t>generation.</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[Deleted]</w:t>
      </w:r>
    </w:p>
    <w:p>
      <w:pPr>
        <w:pStyle w:val="ListParagraph"/>
        <w:numPr>
          <w:ilvl w:val="0"/>
          <w:numId w:val="289"/>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pStyle w:val="ListParagraph"/>
        <w:numPr>
          <w:ilvl w:val="0"/>
          <w:numId w:val="289"/>
        </w:numPr>
        <w:tabs>
          <w:tab w:pos="1919" w:val="left" w:leader="none"/>
          <w:tab w:pos="1920" w:val="left" w:leader="none"/>
        </w:tabs>
        <w:spacing w:line="240" w:lineRule="auto" w:before="120" w:after="0"/>
        <w:ind w:left="1919" w:right="0" w:hanging="568"/>
        <w:jc w:val="left"/>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requirements</w:t>
      </w:r>
    </w:p>
    <w:p>
      <w:pPr>
        <w:pStyle w:val="ListParagraph"/>
        <w:numPr>
          <w:ilvl w:val="0"/>
          <w:numId w:val="289"/>
        </w:numPr>
        <w:tabs>
          <w:tab w:pos="1918" w:val="left" w:leader="none"/>
          <w:tab w:pos="1919" w:val="left" w:leader="none"/>
        </w:tabs>
        <w:spacing w:line="240" w:lineRule="auto" w:before="120" w:after="0"/>
        <w:ind w:left="1918" w:right="0" w:hanging="567"/>
        <w:jc w:val="left"/>
        <w:rPr>
          <w:sz w:val="24"/>
        </w:rPr>
      </w:pPr>
      <w:r>
        <w:rPr>
          <w:sz w:val="24"/>
        </w:rPr>
        <w:t>The agreed partial load rejection performance must be recorded in</w:t>
      </w:r>
      <w:r>
        <w:rPr>
          <w:spacing w:val="55"/>
          <w:sz w:val="24"/>
        </w:rPr>
        <w:t> </w:t>
      </w:r>
      <w:r>
        <w:rPr>
          <w:sz w:val="24"/>
        </w:rPr>
        <w:t>the</w:t>
      </w:r>
    </w:p>
    <w:p>
      <w:pPr>
        <w:spacing w:before="0"/>
        <w:ind w:left="1919" w:right="0" w:firstLine="0"/>
        <w:jc w:val="left"/>
        <w:rPr>
          <w:sz w:val="24"/>
        </w:rPr>
      </w:pPr>
      <w:r>
        <w:rPr>
          <w:i/>
          <w:sz w:val="24"/>
        </w:rPr>
        <w:t>performance standards</w:t>
      </w:r>
      <w:r>
        <w:rPr>
          <w:sz w:val="24"/>
        </w:rPr>
        <w:t>.</w:t>
      </w:r>
    </w:p>
    <w:p>
      <w:pPr>
        <w:pStyle w:val="BodyText"/>
        <w:spacing w:before="10"/>
        <w:ind w:firstLine="0"/>
        <w:jc w:val="left"/>
        <w:rPr>
          <w:sz w:val="20"/>
        </w:rPr>
      </w:pPr>
    </w:p>
    <w:p>
      <w:pPr>
        <w:pStyle w:val="Heading4"/>
        <w:tabs>
          <w:tab w:pos="1351" w:val="left" w:leader="none"/>
        </w:tabs>
        <w:ind w:left="218" w:firstLine="0"/>
      </w:pPr>
      <w:bookmarkStart w:name="S5.2.5.8 Protection of generating system" w:id="984"/>
      <w:bookmarkEnd w:id="984"/>
      <w:r>
        <w:rPr>
          <w:b w:val="0"/>
        </w:rPr>
      </w:r>
      <w:bookmarkStart w:name="_bookmark384" w:id="985"/>
      <w:bookmarkEnd w:id="985"/>
      <w:r>
        <w:rPr>
          <w:b w:val="0"/>
        </w:rPr>
      </w:r>
      <w:r>
        <w:rPr/>
        <w:t>S5.2.5.8</w:t>
        <w:tab/>
        <w:t>Protection of generating systems from power system</w:t>
      </w:r>
      <w:r>
        <w:rPr>
          <w:spacing w:val="-8"/>
        </w:rPr>
        <w:t> </w:t>
      </w:r>
      <w:r>
        <w:rPr/>
        <w:t>disturbances</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90"/>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290"/>
        </w:numPr>
        <w:tabs>
          <w:tab w:pos="2486" w:val="left" w:leader="none"/>
        </w:tabs>
        <w:spacing w:line="240" w:lineRule="auto" w:before="120" w:after="0"/>
        <w:ind w:left="2486" w:right="415" w:hanging="567"/>
        <w:jc w:val="both"/>
        <w:rPr>
          <w:sz w:val="24"/>
        </w:rPr>
      </w:pPr>
      <w:r>
        <w:rPr>
          <w:sz w:val="24"/>
        </w:rPr>
        <w:t>subject to subparagraph (2) and paragraph (e), for a </w:t>
      </w:r>
      <w:r>
        <w:rPr>
          <w:i/>
          <w:sz w:val="24"/>
        </w:rPr>
        <w:t>generating system </w:t>
      </w:r>
      <w:r>
        <w:rPr>
          <w:sz w:val="24"/>
        </w:rPr>
        <w:t>or any of its </w:t>
      </w:r>
      <w:r>
        <w:rPr>
          <w:i/>
          <w:sz w:val="24"/>
        </w:rPr>
        <w:t>generating units </w:t>
      </w:r>
      <w:r>
        <w:rPr>
          <w:sz w:val="24"/>
        </w:rPr>
        <w:t>that is required by a </w:t>
      </w:r>
      <w:r>
        <w:rPr>
          <w:i/>
          <w:sz w:val="24"/>
        </w:rPr>
        <w:t>Generator </w:t>
      </w:r>
      <w:r>
        <w:rPr>
          <w:sz w:val="24"/>
        </w:rPr>
        <w:t>or </w:t>
      </w:r>
      <w:r>
        <w:rPr>
          <w:i/>
          <w:sz w:val="24"/>
        </w:rPr>
        <w:t>Network Service Provider </w:t>
      </w:r>
      <w:r>
        <w:rPr>
          <w:sz w:val="24"/>
        </w:rPr>
        <w:t>to be automatically </w:t>
      </w:r>
      <w:r>
        <w:rPr>
          <w:i/>
          <w:sz w:val="24"/>
        </w:rPr>
        <w:t>disconnected </w:t>
      </w:r>
      <w:r>
        <w:rPr>
          <w:sz w:val="24"/>
        </w:rPr>
        <w:t>from </w:t>
      </w:r>
      <w:r>
        <w:rPr>
          <w:spacing w:val="-4"/>
          <w:sz w:val="24"/>
        </w:rPr>
        <w:t>the </w:t>
      </w:r>
      <w:r>
        <w:rPr>
          <w:i/>
          <w:sz w:val="24"/>
        </w:rPr>
        <w:t>power system </w:t>
      </w:r>
      <w:r>
        <w:rPr>
          <w:sz w:val="24"/>
        </w:rPr>
        <w:t>in response to abnormal conditions arising from the </w:t>
      </w:r>
      <w:r>
        <w:rPr>
          <w:i/>
          <w:sz w:val="24"/>
        </w:rPr>
        <w:t>power system</w:t>
      </w:r>
      <w:r>
        <w:rPr>
          <w:sz w:val="24"/>
        </w:rPr>
        <w:t>, the relevant </w:t>
      </w:r>
      <w:r>
        <w:rPr>
          <w:i/>
          <w:sz w:val="24"/>
        </w:rPr>
        <w:t>protection system </w:t>
      </w:r>
      <w:r>
        <w:rPr>
          <w:sz w:val="24"/>
        </w:rPr>
        <w:t>or </w:t>
      </w:r>
      <w:r>
        <w:rPr>
          <w:i/>
          <w:sz w:val="24"/>
        </w:rPr>
        <w:t>control system </w:t>
      </w:r>
      <w:r>
        <w:rPr>
          <w:sz w:val="24"/>
        </w:rPr>
        <w:t>must not </w:t>
      </w:r>
      <w:r>
        <w:rPr>
          <w:i/>
          <w:sz w:val="24"/>
        </w:rPr>
        <w:t>disconnect </w:t>
      </w:r>
      <w:r>
        <w:rPr>
          <w:sz w:val="24"/>
        </w:rPr>
        <w:t>the </w:t>
      </w:r>
      <w:r>
        <w:rPr>
          <w:i/>
          <w:sz w:val="24"/>
        </w:rPr>
        <w:t>generating system</w:t>
      </w:r>
      <w:r>
        <w:rPr>
          <w:i/>
          <w:spacing w:val="-1"/>
          <w:sz w:val="24"/>
        </w:rPr>
        <w:t> </w:t>
      </w:r>
      <w:r>
        <w:rPr>
          <w:sz w:val="24"/>
        </w:rPr>
        <w:t>for:</w:t>
      </w:r>
    </w:p>
    <w:p>
      <w:pPr>
        <w:pStyle w:val="ListParagraph"/>
        <w:numPr>
          <w:ilvl w:val="2"/>
          <w:numId w:val="290"/>
        </w:numPr>
        <w:tabs>
          <w:tab w:pos="3053" w:val="left" w:leader="none"/>
        </w:tabs>
        <w:spacing w:line="240" w:lineRule="auto" w:before="120" w:after="0"/>
        <w:ind w:left="3053" w:right="415" w:hanging="567"/>
        <w:jc w:val="both"/>
        <w:rPr>
          <w:sz w:val="24"/>
        </w:rPr>
      </w:pPr>
      <w:r>
        <w:rPr>
          <w:sz w:val="24"/>
        </w:rPr>
        <w:t>conditions for which it must remain in </w:t>
      </w:r>
      <w:r>
        <w:rPr>
          <w:i/>
          <w:sz w:val="24"/>
        </w:rPr>
        <w:t>continuous uninterrupted </w:t>
      </w:r>
      <w:r>
        <w:rPr>
          <w:i/>
          <w:sz w:val="24"/>
        </w:rPr>
        <w:t>operation</w:t>
      </w:r>
      <w:r>
        <w:rPr>
          <w:sz w:val="24"/>
        </w:rPr>
        <w:t>; or</w:t>
      </w:r>
    </w:p>
    <w:p>
      <w:pPr>
        <w:pStyle w:val="ListParagraph"/>
        <w:numPr>
          <w:ilvl w:val="2"/>
          <w:numId w:val="290"/>
        </w:numPr>
        <w:tabs>
          <w:tab w:pos="3054" w:val="left" w:leader="none"/>
        </w:tabs>
        <w:spacing w:line="240" w:lineRule="auto" w:before="120" w:after="0"/>
        <w:ind w:left="3053" w:right="0" w:hanging="568"/>
        <w:jc w:val="both"/>
        <w:rPr>
          <w:sz w:val="24"/>
        </w:rPr>
      </w:pPr>
      <w:r>
        <w:rPr>
          <w:sz w:val="24"/>
        </w:rPr>
        <w:t>conditions it must withstand under the </w:t>
      </w:r>
      <w:r>
        <w:rPr>
          <w:i/>
          <w:sz w:val="24"/>
        </w:rPr>
        <w:t>Rules</w:t>
      </w:r>
      <w:r>
        <w:rPr>
          <w:sz w:val="24"/>
        </w:rPr>
        <w:t>;</w:t>
      </w:r>
      <w:r>
        <w:rPr>
          <w:spacing w:val="-2"/>
          <w:sz w:val="24"/>
        </w:rPr>
        <w:t> </w:t>
      </w:r>
      <w:r>
        <w:rPr>
          <w:sz w:val="24"/>
        </w:rPr>
        <w:t>and</w:t>
      </w:r>
    </w:p>
    <w:p>
      <w:pPr>
        <w:pStyle w:val="ListParagraph"/>
        <w:numPr>
          <w:ilvl w:val="1"/>
          <w:numId w:val="290"/>
        </w:numPr>
        <w:tabs>
          <w:tab w:pos="2486" w:val="left" w:leader="none"/>
        </w:tabs>
        <w:spacing w:line="240" w:lineRule="auto" w:before="120" w:after="0"/>
        <w:ind w:left="2486" w:right="415" w:hanging="567"/>
        <w:jc w:val="both"/>
        <w:rPr>
          <w:sz w:val="24"/>
        </w:rPr>
      </w:pPr>
      <w:r>
        <w:rPr>
          <w:sz w:val="24"/>
        </w:rPr>
        <w:t>a </w:t>
      </w:r>
      <w:r>
        <w:rPr>
          <w:i/>
          <w:sz w:val="24"/>
        </w:rPr>
        <w:t>generating system </w:t>
      </w:r>
      <w:r>
        <w:rPr>
          <w:sz w:val="24"/>
        </w:rPr>
        <w:t>with a </w:t>
      </w:r>
      <w:r>
        <w:rPr>
          <w:i/>
          <w:sz w:val="24"/>
        </w:rPr>
        <w:t>nameplate rating </w:t>
      </w:r>
      <w:r>
        <w:rPr>
          <w:sz w:val="24"/>
        </w:rPr>
        <w:t>of 30MW or more, or </w:t>
      </w:r>
      <w:r>
        <w:rPr>
          <w:i/>
          <w:sz w:val="24"/>
        </w:rPr>
        <w:t>generating system </w:t>
      </w:r>
      <w:r>
        <w:rPr>
          <w:sz w:val="24"/>
        </w:rPr>
        <w:t>comprised of </w:t>
      </w:r>
      <w:r>
        <w:rPr>
          <w:i/>
          <w:sz w:val="24"/>
        </w:rPr>
        <w:t>generating units </w:t>
      </w:r>
      <w:r>
        <w:rPr>
          <w:sz w:val="24"/>
        </w:rPr>
        <w:t>with a combined </w:t>
      </w:r>
      <w:r>
        <w:rPr>
          <w:i/>
          <w:sz w:val="24"/>
        </w:rPr>
        <w:t>nameplate rating </w:t>
      </w:r>
      <w:r>
        <w:rPr>
          <w:sz w:val="24"/>
        </w:rPr>
        <w:t>of 30 MW or more, </w:t>
      </w:r>
      <w:r>
        <w:rPr>
          <w:i/>
          <w:sz w:val="24"/>
        </w:rPr>
        <w:t>connected </w:t>
      </w:r>
      <w:r>
        <w:rPr>
          <w:sz w:val="24"/>
        </w:rPr>
        <w:t>to a </w:t>
      </w:r>
      <w:r>
        <w:rPr>
          <w:i/>
          <w:sz w:val="24"/>
        </w:rPr>
        <w:t>transmission </w:t>
      </w:r>
      <w:r>
        <w:rPr>
          <w:i/>
          <w:sz w:val="24"/>
        </w:rPr>
        <w:t>system </w:t>
      </w:r>
      <w:r>
        <w:rPr>
          <w:sz w:val="24"/>
        </w:rPr>
        <w:t>must have </w:t>
      </w:r>
      <w:r>
        <w:rPr>
          <w:i/>
          <w:sz w:val="24"/>
        </w:rPr>
        <w:t>facilities </w:t>
      </w:r>
      <w:r>
        <w:rPr>
          <w:sz w:val="24"/>
        </w:rPr>
        <w:t>to automatically and rapidly reduce its </w:t>
      </w:r>
      <w:r>
        <w:rPr>
          <w:i/>
          <w:sz w:val="24"/>
        </w:rPr>
        <w:t>generation</w:t>
      </w:r>
      <w:r>
        <w:rPr>
          <w:sz w:val="24"/>
        </w:rPr>
        <w:t>:</w:t>
      </w:r>
    </w:p>
    <w:p>
      <w:pPr>
        <w:pStyle w:val="ListParagraph"/>
        <w:numPr>
          <w:ilvl w:val="2"/>
          <w:numId w:val="290"/>
        </w:numPr>
        <w:tabs>
          <w:tab w:pos="3053" w:val="left" w:leader="none"/>
        </w:tabs>
        <w:spacing w:line="240" w:lineRule="auto" w:before="120" w:after="0"/>
        <w:ind w:left="3053" w:right="415" w:hanging="567"/>
        <w:jc w:val="both"/>
        <w:rPr>
          <w:sz w:val="24"/>
        </w:rPr>
      </w:pPr>
      <w:r>
        <w:rPr>
          <w:sz w:val="24"/>
        </w:rPr>
        <w:t>by at least half, if the </w:t>
      </w:r>
      <w:r>
        <w:rPr>
          <w:i/>
          <w:sz w:val="24"/>
        </w:rPr>
        <w:t>frequency </w:t>
      </w:r>
      <w:r>
        <w:rPr>
          <w:sz w:val="24"/>
        </w:rPr>
        <w:t>at the </w:t>
      </w:r>
      <w:r>
        <w:rPr>
          <w:i/>
          <w:sz w:val="24"/>
        </w:rPr>
        <w:t>connection point </w:t>
      </w:r>
      <w:r>
        <w:rPr>
          <w:sz w:val="24"/>
        </w:rPr>
        <w:t>exceeds a level nominated by </w:t>
      </w:r>
      <w:r>
        <w:rPr>
          <w:i/>
          <w:sz w:val="24"/>
        </w:rPr>
        <w:t>AEMO </w:t>
      </w:r>
      <w:r>
        <w:rPr>
          <w:sz w:val="24"/>
        </w:rPr>
        <w:t>(not less than the upper limit of the </w:t>
      </w:r>
      <w:r>
        <w:rPr>
          <w:i/>
          <w:sz w:val="24"/>
        </w:rPr>
        <w:t>operational frequency tolerance band</w:t>
      </w:r>
      <w:r>
        <w:rPr>
          <w:sz w:val="24"/>
        </w:rPr>
        <w:t>) and the duration above this </w:t>
      </w:r>
      <w:r>
        <w:rPr>
          <w:i/>
          <w:sz w:val="24"/>
        </w:rPr>
        <w:t>frequency </w:t>
      </w:r>
      <w:r>
        <w:rPr>
          <w:sz w:val="24"/>
        </w:rPr>
        <w:t>exceeds a value nominated by </w:t>
      </w:r>
      <w:r>
        <w:rPr>
          <w:i/>
          <w:sz w:val="24"/>
        </w:rPr>
        <w:t>AEMO </w:t>
      </w:r>
      <w:r>
        <w:rPr>
          <w:sz w:val="24"/>
        </w:rPr>
        <w:t>where the reduction may be</w:t>
      </w:r>
      <w:r>
        <w:rPr>
          <w:spacing w:val="-1"/>
          <w:sz w:val="24"/>
        </w:rPr>
        <w:t> </w:t>
      </w:r>
      <w:r>
        <w:rPr>
          <w:sz w:val="24"/>
        </w:rPr>
        <w:t>achieved:</w:t>
      </w:r>
    </w:p>
    <w:p>
      <w:pPr>
        <w:pStyle w:val="ListParagraph"/>
        <w:numPr>
          <w:ilvl w:val="3"/>
          <w:numId w:val="290"/>
        </w:numPr>
        <w:tabs>
          <w:tab w:pos="3620" w:val="left" w:leader="none"/>
        </w:tabs>
        <w:spacing w:line="240" w:lineRule="auto" w:before="120" w:after="0"/>
        <w:ind w:left="3620" w:right="415" w:hanging="567"/>
        <w:jc w:val="both"/>
        <w:rPr>
          <w:sz w:val="24"/>
        </w:rPr>
      </w:pPr>
      <w:r>
        <w:rPr>
          <w:sz w:val="24"/>
        </w:rPr>
        <w:t>by reducing the output of the </w:t>
      </w:r>
      <w:r>
        <w:rPr>
          <w:i/>
          <w:sz w:val="24"/>
        </w:rPr>
        <w:t>generating system </w:t>
      </w:r>
      <w:r>
        <w:rPr>
          <w:sz w:val="24"/>
        </w:rPr>
        <w:t>within 3 seconds, and holding the output at the reduced level until the </w:t>
      </w:r>
      <w:r>
        <w:rPr>
          <w:i/>
          <w:sz w:val="24"/>
        </w:rPr>
        <w:t>frequency </w:t>
      </w:r>
      <w:r>
        <w:rPr>
          <w:sz w:val="24"/>
        </w:rPr>
        <w:t>returns to within the </w:t>
      </w:r>
      <w:r>
        <w:rPr>
          <w:i/>
          <w:sz w:val="24"/>
        </w:rPr>
        <w:t>normal </w:t>
      </w:r>
      <w:r>
        <w:rPr>
          <w:i/>
          <w:spacing w:val="-3"/>
          <w:sz w:val="24"/>
        </w:rPr>
        <w:t>operating </w:t>
      </w:r>
      <w:r>
        <w:rPr>
          <w:i/>
          <w:sz w:val="24"/>
        </w:rPr>
        <w:t>frequency band</w:t>
      </w:r>
      <w:r>
        <w:rPr>
          <w:sz w:val="24"/>
        </w:rPr>
        <w:t>;</w:t>
      </w:r>
      <w:r>
        <w:rPr>
          <w:spacing w:val="-1"/>
          <w:sz w:val="24"/>
        </w:rPr>
        <w:t> </w:t>
      </w:r>
      <w:r>
        <w:rPr>
          <w:sz w:val="24"/>
        </w:rPr>
        <w:t>or</w:t>
      </w:r>
    </w:p>
    <w:p>
      <w:pPr>
        <w:pStyle w:val="ListParagraph"/>
        <w:numPr>
          <w:ilvl w:val="3"/>
          <w:numId w:val="290"/>
        </w:numPr>
        <w:tabs>
          <w:tab w:pos="3621" w:val="left" w:leader="none"/>
        </w:tabs>
        <w:spacing w:line="240" w:lineRule="auto" w:before="120" w:after="0"/>
        <w:ind w:left="3620" w:right="415" w:hanging="567"/>
        <w:jc w:val="both"/>
        <w:rPr>
          <w:sz w:val="24"/>
        </w:rPr>
      </w:pPr>
      <w:r>
        <w:rPr>
          <w:sz w:val="24"/>
        </w:rPr>
        <w:t>by disconnecting the </w:t>
      </w:r>
      <w:r>
        <w:rPr>
          <w:i/>
          <w:sz w:val="24"/>
        </w:rPr>
        <w:t>generating system </w:t>
      </w:r>
      <w:r>
        <w:rPr>
          <w:sz w:val="24"/>
        </w:rPr>
        <w:t>from the </w:t>
      </w:r>
      <w:r>
        <w:rPr>
          <w:i/>
          <w:spacing w:val="-3"/>
          <w:sz w:val="24"/>
        </w:rPr>
        <w:t>power</w:t>
      </w:r>
      <w:r>
        <w:rPr>
          <w:i/>
          <w:spacing w:val="54"/>
          <w:sz w:val="24"/>
        </w:rPr>
        <w:t> </w:t>
      </w:r>
      <w:r>
        <w:rPr>
          <w:i/>
          <w:sz w:val="24"/>
        </w:rPr>
        <w:t>system </w:t>
      </w:r>
      <w:r>
        <w:rPr>
          <w:sz w:val="24"/>
        </w:rPr>
        <w:t>within 1 second;</w:t>
      </w:r>
      <w:r>
        <w:rPr>
          <w:spacing w:val="-5"/>
          <w:sz w:val="24"/>
        </w:rPr>
        <w:t> </w:t>
      </w:r>
      <w:r>
        <w:rPr>
          <w:sz w:val="24"/>
        </w:rPr>
        <w:t>or</w:t>
      </w:r>
    </w:p>
    <w:p>
      <w:pPr>
        <w:pStyle w:val="ListParagraph"/>
        <w:numPr>
          <w:ilvl w:val="2"/>
          <w:numId w:val="290"/>
        </w:numPr>
        <w:tabs>
          <w:tab w:pos="3054" w:val="left" w:leader="none"/>
        </w:tabs>
        <w:spacing w:line="240" w:lineRule="auto" w:before="120" w:after="0"/>
        <w:ind w:left="3053" w:right="414" w:hanging="567"/>
        <w:jc w:val="both"/>
        <w:rPr>
          <w:sz w:val="24"/>
        </w:rPr>
      </w:pPr>
      <w:r>
        <w:rPr>
          <w:sz w:val="24"/>
        </w:rPr>
        <w:t>in proportion to the difference between the </w:t>
      </w:r>
      <w:r>
        <w:rPr>
          <w:i/>
          <w:sz w:val="24"/>
        </w:rPr>
        <w:t>frequency </w:t>
      </w:r>
      <w:r>
        <w:rPr>
          <w:sz w:val="24"/>
        </w:rPr>
        <w:t>at the </w:t>
      </w:r>
      <w:r>
        <w:rPr>
          <w:i/>
          <w:sz w:val="24"/>
        </w:rPr>
        <w:t>connection point </w:t>
      </w:r>
      <w:r>
        <w:rPr>
          <w:sz w:val="24"/>
        </w:rPr>
        <w:t>and a level nominated by </w:t>
      </w:r>
      <w:r>
        <w:rPr>
          <w:i/>
          <w:sz w:val="24"/>
        </w:rPr>
        <w:t>AEMO </w:t>
      </w:r>
      <w:r>
        <w:rPr>
          <w:sz w:val="24"/>
        </w:rPr>
        <w:t>(not less </w:t>
      </w:r>
      <w:r>
        <w:rPr>
          <w:spacing w:val="-3"/>
          <w:sz w:val="24"/>
        </w:rPr>
        <w:t>than </w:t>
      </w:r>
      <w:r>
        <w:rPr>
          <w:sz w:val="24"/>
        </w:rPr>
        <w:t>the upper limit of the </w:t>
      </w:r>
      <w:r>
        <w:rPr>
          <w:i/>
          <w:sz w:val="24"/>
        </w:rPr>
        <w:t>operational frequency tolerance </w:t>
      </w:r>
      <w:r>
        <w:rPr>
          <w:i/>
          <w:spacing w:val="-3"/>
          <w:sz w:val="24"/>
        </w:rPr>
        <w:t>band</w:t>
      </w:r>
      <w:r>
        <w:rPr>
          <w:spacing w:val="-3"/>
          <w:sz w:val="24"/>
        </w:rPr>
        <w:t>),</w:t>
      </w:r>
      <w:r>
        <w:rPr>
          <w:spacing w:val="54"/>
          <w:sz w:val="24"/>
        </w:rPr>
        <w:t> </w:t>
      </w:r>
      <w:r>
        <w:rPr>
          <w:sz w:val="24"/>
        </w:rPr>
        <w:t>such that the </w:t>
      </w:r>
      <w:r>
        <w:rPr>
          <w:i/>
          <w:sz w:val="24"/>
        </w:rPr>
        <w:t>generation </w:t>
      </w:r>
      <w:r>
        <w:rPr>
          <w:sz w:val="24"/>
        </w:rPr>
        <w:t>is reduced by at least half, within 3 seconds of the </w:t>
      </w:r>
      <w:r>
        <w:rPr>
          <w:i/>
          <w:sz w:val="24"/>
        </w:rPr>
        <w:t>frequency </w:t>
      </w:r>
      <w:r>
        <w:rPr>
          <w:sz w:val="24"/>
        </w:rPr>
        <w:t>reaching the upper limit of the </w:t>
      </w:r>
      <w:r>
        <w:rPr>
          <w:i/>
          <w:sz w:val="24"/>
        </w:rPr>
        <w:t>extreme </w:t>
      </w:r>
      <w:r>
        <w:rPr>
          <w:i/>
          <w:sz w:val="24"/>
        </w:rPr>
        <w:t>frequency excursion tolerance</w:t>
      </w:r>
      <w:r>
        <w:rPr>
          <w:i/>
          <w:spacing w:val="-2"/>
          <w:sz w:val="24"/>
        </w:rPr>
        <w:t> </w:t>
      </w:r>
      <w:r>
        <w:rPr>
          <w:i/>
          <w:sz w:val="24"/>
        </w:rPr>
        <w:t>limits</w:t>
      </w:r>
      <w:r>
        <w:rPr>
          <w:sz w:val="24"/>
        </w:rPr>
        <w:t>.</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[Deleted]</w:t>
      </w:r>
    </w:p>
    <w:p>
      <w:pPr>
        <w:pStyle w:val="ListParagraph"/>
        <w:numPr>
          <w:ilvl w:val="0"/>
          <w:numId w:val="290"/>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spacing w:after="0" w:line="240" w:lineRule="auto"/>
        <w:jc w:val="left"/>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General requirements</w:t>
      </w:r>
    </w:p>
    <w:p>
      <w:pPr>
        <w:pStyle w:val="ListParagraph"/>
        <w:numPr>
          <w:ilvl w:val="0"/>
          <w:numId w:val="290"/>
        </w:numPr>
        <w:tabs>
          <w:tab w:pos="1919" w:val="left" w:leader="none"/>
        </w:tabs>
        <w:spacing w:line="240" w:lineRule="auto" w:before="120" w:after="0"/>
        <w:ind w:left="1919" w:right="415" w:hanging="567"/>
        <w:jc w:val="both"/>
        <w:rPr>
          <w:sz w:val="24"/>
        </w:rPr>
      </w:pPr>
      <w:r>
        <w:rPr>
          <w:i/>
          <w:sz w:val="24"/>
        </w:rPr>
        <w:t>AEMO </w:t>
      </w:r>
      <w:r>
        <w:rPr>
          <w:sz w:val="24"/>
        </w:rPr>
        <w:t>or the </w:t>
      </w:r>
      <w:r>
        <w:rPr>
          <w:i/>
          <w:sz w:val="24"/>
        </w:rPr>
        <w:t>Network Service Provider </w:t>
      </w:r>
      <w:r>
        <w:rPr>
          <w:sz w:val="24"/>
        </w:rPr>
        <w:t>may require that an </w:t>
      </w:r>
      <w:r>
        <w:rPr>
          <w:i/>
          <w:sz w:val="24"/>
        </w:rPr>
        <w:t>access standard </w:t>
      </w:r>
      <w:r>
        <w:rPr>
          <w:sz w:val="24"/>
        </w:rPr>
        <w:t>include a requirement for the </w:t>
      </w:r>
      <w:r>
        <w:rPr>
          <w:i/>
          <w:sz w:val="24"/>
        </w:rPr>
        <w:t>generating system </w:t>
      </w:r>
      <w:r>
        <w:rPr>
          <w:sz w:val="24"/>
        </w:rPr>
        <w:t>to be automatically </w:t>
      </w:r>
      <w:r>
        <w:rPr>
          <w:i/>
          <w:sz w:val="24"/>
        </w:rPr>
        <w:t>disconnected </w:t>
      </w:r>
      <w:r>
        <w:rPr>
          <w:sz w:val="24"/>
        </w:rPr>
        <w:t>by a local or remote control scheme whenever the part of the </w:t>
      </w:r>
      <w:r>
        <w:rPr>
          <w:i/>
          <w:sz w:val="24"/>
        </w:rPr>
        <w:t>network </w:t>
      </w:r>
      <w:r>
        <w:rPr>
          <w:sz w:val="24"/>
        </w:rPr>
        <w:t>to which it is </w:t>
      </w:r>
      <w:r>
        <w:rPr>
          <w:i/>
          <w:sz w:val="24"/>
        </w:rPr>
        <w:t>connected </w:t>
      </w:r>
      <w:r>
        <w:rPr>
          <w:sz w:val="24"/>
        </w:rPr>
        <w:t>has been </w:t>
      </w:r>
      <w:r>
        <w:rPr>
          <w:i/>
          <w:sz w:val="24"/>
        </w:rPr>
        <w:t>disconnected </w:t>
      </w:r>
      <w:r>
        <w:rPr>
          <w:sz w:val="24"/>
        </w:rPr>
        <w:t>from the </w:t>
      </w:r>
      <w:r>
        <w:rPr>
          <w:i/>
          <w:sz w:val="24"/>
        </w:rPr>
        <w:t>national </w:t>
      </w:r>
      <w:r>
        <w:rPr>
          <w:i/>
          <w:sz w:val="24"/>
        </w:rPr>
        <w:t>grid</w:t>
      </w:r>
      <w:r>
        <w:rPr>
          <w:sz w:val="24"/>
        </w:rPr>
        <w:t>, forming an island that </w:t>
      </w:r>
      <w:r>
        <w:rPr>
          <w:i/>
          <w:sz w:val="24"/>
        </w:rPr>
        <w:t>supplies </w:t>
      </w:r>
      <w:r>
        <w:rPr>
          <w:sz w:val="24"/>
        </w:rPr>
        <w:t>a</w:t>
      </w:r>
      <w:r>
        <w:rPr>
          <w:spacing w:val="-4"/>
          <w:sz w:val="24"/>
        </w:rPr>
        <w:t> </w:t>
      </w:r>
      <w:r>
        <w:rPr>
          <w:i/>
          <w:sz w:val="24"/>
        </w:rPr>
        <w:t>Customer</w:t>
      </w:r>
      <w:r>
        <w:rPr>
          <w:sz w:val="24"/>
        </w:rPr>
        <w:t>.</w:t>
      </w:r>
    </w:p>
    <w:p>
      <w:pPr>
        <w:pStyle w:val="ListParagraph"/>
        <w:numPr>
          <w:ilvl w:val="0"/>
          <w:numId w:val="290"/>
        </w:numPr>
        <w:tabs>
          <w:tab w:pos="1919" w:val="left" w:leader="none"/>
        </w:tabs>
        <w:spacing w:line="240" w:lineRule="auto" w:before="120" w:after="0"/>
        <w:ind w:left="1918" w:right="0" w:hanging="567"/>
        <w:jc w:val="both"/>
        <w:rPr>
          <w:sz w:val="24"/>
        </w:rPr>
      </w:pPr>
      <w:r>
        <w:rPr>
          <w:sz w:val="24"/>
        </w:rPr>
        <w:t>The</w:t>
      </w:r>
      <w:r>
        <w:rPr>
          <w:spacing w:val="13"/>
          <w:sz w:val="24"/>
        </w:rPr>
        <w:t> </w:t>
      </w:r>
      <w:r>
        <w:rPr>
          <w:i/>
          <w:sz w:val="24"/>
        </w:rPr>
        <w:t>access</w:t>
      </w:r>
      <w:r>
        <w:rPr>
          <w:i/>
          <w:spacing w:val="14"/>
          <w:sz w:val="24"/>
        </w:rPr>
        <w:t> </w:t>
      </w:r>
      <w:r>
        <w:rPr>
          <w:i/>
          <w:sz w:val="24"/>
        </w:rPr>
        <w:t>standard</w:t>
      </w:r>
      <w:r>
        <w:rPr>
          <w:i/>
          <w:spacing w:val="14"/>
          <w:sz w:val="24"/>
        </w:rPr>
        <w:t> </w:t>
      </w:r>
      <w:r>
        <w:rPr>
          <w:sz w:val="24"/>
        </w:rPr>
        <w:t>must</w:t>
      </w:r>
      <w:r>
        <w:rPr>
          <w:spacing w:val="14"/>
          <w:sz w:val="24"/>
        </w:rPr>
        <w:t> </w:t>
      </w:r>
      <w:r>
        <w:rPr>
          <w:sz w:val="24"/>
        </w:rPr>
        <w:t>include</w:t>
      </w:r>
      <w:r>
        <w:rPr>
          <w:spacing w:val="13"/>
          <w:sz w:val="24"/>
        </w:rPr>
        <w:t> </w:t>
      </w:r>
      <w:r>
        <w:rPr>
          <w:sz w:val="24"/>
        </w:rPr>
        <w:t>specification</w:t>
      </w:r>
      <w:r>
        <w:rPr>
          <w:spacing w:val="14"/>
          <w:sz w:val="24"/>
        </w:rPr>
        <w:t> </w:t>
      </w:r>
      <w:r>
        <w:rPr>
          <w:sz w:val="24"/>
        </w:rPr>
        <w:t>of</w:t>
      </w:r>
      <w:r>
        <w:rPr>
          <w:spacing w:val="14"/>
          <w:sz w:val="24"/>
        </w:rPr>
        <w:t> </w:t>
      </w:r>
      <w:r>
        <w:rPr>
          <w:sz w:val="24"/>
        </w:rPr>
        <w:t>conditions</w:t>
      </w:r>
      <w:r>
        <w:rPr>
          <w:spacing w:val="14"/>
          <w:sz w:val="24"/>
        </w:rPr>
        <w:t> </w:t>
      </w:r>
      <w:r>
        <w:rPr>
          <w:sz w:val="24"/>
        </w:rPr>
        <w:t>for</w:t>
      </w:r>
      <w:r>
        <w:rPr>
          <w:spacing w:val="13"/>
          <w:sz w:val="24"/>
        </w:rPr>
        <w:t> </w:t>
      </w:r>
      <w:r>
        <w:rPr>
          <w:sz w:val="24"/>
        </w:rPr>
        <w:t>which</w:t>
      </w:r>
      <w:r>
        <w:rPr>
          <w:spacing w:val="14"/>
          <w:sz w:val="24"/>
        </w:rPr>
        <w:t> </w:t>
      </w:r>
      <w:r>
        <w:rPr>
          <w:sz w:val="24"/>
        </w:rPr>
        <w:t>the</w:t>
      </w:r>
    </w:p>
    <w:p>
      <w:pPr>
        <w:spacing w:before="0"/>
        <w:ind w:left="1919" w:right="0" w:firstLine="0"/>
        <w:jc w:val="both"/>
        <w:rPr>
          <w:sz w:val="24"/>
        </w:rPr>
      </w:pPr>
      <w:r>
        <w:rPr>
          <w:i/>
          <w:sz w:val="24"/>
        </w:rPr>
        <w:t>generating unit </w:t>
      </w:r>
      <w:r>
        <w:rPr>
          <w:sz w:val="24"/>
        </w:rPr>
        <w:t>or </w:t>
      </w:r>
      <w:r>
        <w:rPr>
          <w:i/>
          <w:sz w:val="24"/>
        </w:rPr>
        <w:t>generating system </w:t>
      </w:r>
      <w:r>
        <w:rPr>
          <w:sz w:val="24"/>
        </w:rPr>
        <w:t>must trip and must not trip.</w:t>
      </w:r>
    </w:p>
    <w:p>
      <w:pPr>
        <w:spacing w:before="120"/>
        <w:ind w:left="1919" w:right="415" w:hanging="567"/>
        <w:jc w:val="both"/>
        <w:rPr>
          <w:sz w:val="24"/>
        </w:rPr>
      </w:pPr>
      <w:r>
        <w:rPr>
          <w:sz w:val="24"/>
        </w:rPr>
        <w:t>(e)    Notwithstanding clauses S5.2.5.3, S5.2.5.4, S5.2.5.5, S5.2.5.6 and S5.2.5.7,  a </w:t>
      </w:r>
      <w:r>
        <w:rPr>
          <w:i/>
          <w:sz w:val="24"/>
        </w:rPr>
        <w:t>generating system </w:t>
      </w:r>
      <w:r>
        <w:rPr>
          <w:sz w:val="24"/>
        </w:rPr>
        <w:t>may be automatically </w:t>
      </w:r>
      <w:r>
        <w:rPr>
          <w:i/>
          <w:sz w:val="24"/>
        </w:rPr>
        <w:t>disconnected </w:t>
      </w:r>
      <w:r>
        <w:rPr>
          <w:sz w:val="24"/>
        </w:rPr>
        <w:t>from the </w:t>
      </w:r>
      <w:r>
        <w:rPr>
          <w:i/>
          <w:sz w:val="24"/>
        </w:rPr>
        <w:t>power </w:t>
      </w:r>
      <w:r>
        <w:rPr>
          <w:i/>
          <w:sz w:val="24"/>
        </w:rPr>
        <w:t>system </w:t>
      </w:r>
      <w:r>
        <w:rPr>
          <w:sz w:val="24"/>
        </w:rPr>
        <w:t>under any of the following</w:t>
      </w:r>
      <w:r>
        <w:rPr>
          <w:spacing w:val="-2"/>
          <w:sz w:val="24"/>
        </w:rPr>
        <w:t> </w:t>
      </w:r>
      <w:r>
        <w:rPr>
          <w:sz w:val="24"/>
        </w:rPr>
        <w:t>conditions:</w:t>
      </w:r>
    </w:p>
    <w:p>
      <w:pPr>
        <w:pStyle w:val="ListParagraph"/>
        <w:numPr>
          <w:ilvl w:val="1"/>
          <w:numId w:val="290"/>
        </w:numPr>
        <w:tabs>
          <w:tab w:pos="2486" w:val="left" w:leader="none"/>
        </w:tabs>
        <w:spacing w:line="240" w:lineRule="auto" w:before="120" w:after="0"/>
        <w:ind w:left="2485" w:right="0" w:hanging="567"/>
        <w:jc w:val="both"/>
        <w:rPr>
          <w:sz w:val="24"/>
        </w:rPr>
      </w:pPr>
      <w:r>
        <w:rPr>
          <w:sz w:val="24"/>
        </w:rPr>
        <w:t>in</w:t>
      </w:r>
      <w:r>
        <w:rPr>
          <w:spacing w:val="20"/>
          <w:sz w:val="24"/>
        </w:rPr>
        <w:t> </w:t>
      </w:r>
      <w:r>
        <w:rPr>
          <w:sz w:val="24"/>
        </w:rPr>
        <w:t>accordance</w:t>
      </w:r>
      <w:r>
        <w:rPr>
          <w:spacing w:val="21"/>
          <w:sz w:val="24"/>
        </w:rPr>
        <w:t> </w:t>
      </w:r>
      <w:r>
        <w:rPr>
          <w:sz w:val="24"/>
        </w:rPr>
        <w:t>with</w:t>
      </w:r>
      <w:r>
        <w:rPr>
          <w:spacing w:val="21"/>
          <w:sz w:val="24"/>
        </w:rPr>
        <w:t> </w:t>
      </w:r>
      <w:r>
        <w:rPr>
          <w:sz w:val="24"/>
        </w:rPr>
        <w:t>an</w:t>
      </w:r>
      <w:r>
        <w:rPr>
          <w:spacing w:val="21"/>
          <w:sz w:val="24"/>
        </w:rPr>
        <w:t> </w:t>
      </w:r>
      <w:r>
        <w:rPr>
          <w:i/>
          <w:sz w:val="24"/>
        </w:rPr>
        <w:t>ancillary</w:t>
      </w:r>
      <w:r>
        <w:rPr>
          <w:i/>
          <w:spacing w:val="21"/>
          <w:sz w:val="24"/>
        </w:rPr>
        <w:t> </w:t>
      </w:r>
      <w:r>
        <w:rPr>
          <w:i/>
          <w:sz w:val="24"/>
        </w:rPr>
        <w:t>services</w:t>
      </w:r>
      <w:r>
        <w:rPr>
          <w:i/>
          <w:spacing w:val="20"/>
          <w:sz w:val="24"/>
        </w:rPr>
        <w:t> </w:t>
      </w:r>
      <w:r>
        <w:rPr>
          <w:i/>
          <w:sz w:val="24"/>
        </w:rPr>
        <w:t>agreement</w:t>
      </w:r>
      <w:r>
        <w:rPr>
          <w:i/>
          <w:spacing w:val="21"/>
          <w:sz w:val="24"/>
        </w:rPr>
        <w:t> </w:t>
      </w:r>
      <w:r>
        <w:rPr>
          <w:sz w:val="24"/>
        </w:rPr>
        <w:t>between</w:t>
      </w:r>
      <w:r>
        <w:rPr>
          <w:spacing w:val="21"/>
          <w:sz w:val="24"/>
        </w:rPr>
        <w:t> </w:t>
      </w:r>
      <w:r>
        <w:rPr>
          <w:sz w:val="24"/>
        </w:rPr>
        <w:t>the</w:t>
      </w:r>
    </w:p>
    <w:p>
      <w:pPr>
        <w:spacing w:before="0"/>
        <w:ind w:left="2486" w:right="0" w:firstLine="0"/>
        <w:jc w:val="both"/>
        <w:rPr>
          <w:sz w:val="24"/>
        </w:rPr>
      </w:pPr>
      <w:r>
        <w:rPr>
          <w:i/>
          <w:sz w:val="24"/>
        </w:rPr>
        <w:t>Generator </w:t>
      </w:r>
      <w:r>
        <w:rPr>
          <w:sz w:val="24"/>
        </w:rPr>
        <w:t>and </w:t>
      </w:r>
      <w:r>
        <w:rPr>
          <w:i/>
          <w:sz w:val="24"/>
        </w:rPr>
        <w:t>AEMO</w:t>
      </w:r>
      <w:r>
        <w:rPr>
          <w:sz w:val="24"/>
        </w:rPr>
        <w:t>;</w:t>
      </w:r>
    </w:p>
    <w:p>
      <w:pPr>
        <w:pStyle w:val="ListParagraph"/>
        <w:numPr>
          <w:ilvl w:val="1"/>
          <w:numId w:val="290"/>
        </w:numPr>
        <w:tabs>
          <w:tab w:pos="2486" w:val="left" w:leader="none"/>
        </w:tabs>
        <w:spacing w:line="240" w:lineRule="auto" w:before="120" w:after="0"/>
        <w:ind w:left="2486" w:right="415" w:hanging="567"/>
        <w:jc w:val="both"/>
        <w:rPr>
          <w:sz w:val="24"/>
        </w:rPr>
      </w:pPr>
      <w:r>
        <w:rPr>
          <w:sz w:val="24"/>
        </w:rPr>
        <w:t>where a </w:t>
      </w:r>
      <w:r>
        <w:rPr>
          <w:i/>
          <w:sz w:val="24"/>
        </w:rPr>
        <w:t>load </w:t>
      </w:r>
      <w:r>
        <w:rPr>
          <w:sz w:val="24"/>
        </w:rPr>
        <w:t>that is not part of the </w:t>
      </w:r>
      <w:r>
        <w:rPr>
          <w:i/>
          <w:sz w:val="24"/>
        </w:rPr>
        <w:t>generating system </w:t>
      </w:r>
      <w:r>
        <w:rPr>
          <w:sz w:val="24"/>
        </w:rPr>
        <w:t>has the same </w:t>
      </w:r>
      <w:r>
        <w:rPr>
          <w:i/>
          <w:sz w:val="24"/>
        </w:rPr>
        <w:t>connection point </w:t>
      </w:r>
      <w:r>
        <w:rPr>
          <w:sz w:val="24"/>
        </w:rPr>
        <w:t>as the </w:t>
      </w:r>
      <w:r>
        <w:rPr>
          <w:i/>
          <w:sz w:val="24"/>
        </w:rPr>
        <w:t>generating system </w:t>
      </w:r>
      <w:r>
        <w:rPr>
          <w:sz w:val="24"/>
        </w:rPr>
        <w:t>and </w:t>
      </w:r>
      <w:r>
        <w:rPr>
          <w:i/>
          <w:sz w:val="24"/>
        </w:rPr>
        <w:t>AEMO </w:t>
      </w:r>
      <w:r>
        <w:rPr>
          <w:sz w:val="24"/>
        </w:rPr>
        <w:t>and the </w:t>
      </w:r>
      <w:r>
        <w:rPr>
          <w:i/>
          <w:sz w:val="24"/>
        </w:rPr>
        <w:t>Network </w:t>
      </w:r>
      <w:r>
        <w:rPr>
          <w:i/>
          <w:sz w:val="24"/>
        </w:rPr>
        <w:t>Service Provider </w:t>
      </w:r>
      <w:r>
        <w:rPr>
          <w:sz w:val="24"/>
        </w:rPr>
        <w:t>agree that the </w:t>
      </w:r>
      <w:r>
        <w:rPr>
          <w:i/>
          <w:sz w:val="24"/>
        </w:rPr>
        <w:t>disconnection </w:t>
      </w:r>
      <w:r>
        <w:rPr>
          <w:sz w:val="24"/>
        </w:rPr>
        <w:t>would in effect be under-frequency </w:t>
      </w:r>
      <w:r>
        <w:rPr>
          <w:i/>
          <w:sz w:val="24"/>
        </w:rPr>
        <w:t>load</w:t>
      </w:r>
      <w:r>
        <w:rPr>
          <w:i/>
          <w:spacing w:val="-1"/>
          <w:sz w:val="24"/>
        </w:rPr>
        <w:t> </w:t>
      </w:r>
      <w:r>
        <w:rPr>
          <w:i/>
          <w:sz w:val="24"/>
        </w:rPr>
        <w:t>shedding</w:t>
      </w:r>
      <w:r>
        <w:rPr>
          <w:sz w:val="24"/>
        </w:rPr>
        <w:t>;</w:t>
      </w:r>
    </w:p>
    <w:p>
      <w:pPr>
        <w:pStyle w:val="ListParagraph"/>
        <w:numPr>
          <w:ilvl w:val="1"/>
          <w:numId w:val="290"/>
        </w:numPr>
        <w:tabs>
          <w:tab w:pos="2486" w:val="left" w:leader="none"/>
        </w:tabs>
        <w:spacing w:line="240" w:lineRule="auto" w:before="120" w:after="0"/>
        <w:ind w:left="2486" w:right="414" w:hanging="567"/>
        <w:jc w:val="both"/>
        <w:rPr>
          <w:sz w:val="24"/>
        </w:rPr>
      </w:pPr>
      <w:r>
        <w:rPr>
          <w:sz w:val="24"/>
        </w:rPr>
        <w:t>where the </w:t>
      </w:r>
      <w:r>
        <w:rPr>
          <w:i/>
          <w:sz w:val="24"/>
        </w:rPr>
        <w:t>generating system </w:t>
      </w:r>
      <w:r>
        <w:rPr>
          <w:sz w:val="24"/>
        </w:rPr>
        <w:t>is automatically </w:t>
      </w:r>
      <w:r>
        <w:rPr>
          <w:i/>
          <w:sz w:val="24"/>
        </w:rPr>
        <w:t>disconnected </w:t>
      </w:r>
      <w:r>
        <w:rPr>
          <w:sz w:val="24"/>
        </w:rPr>
        <w:t>under paragraph (a), clause S5.2.5.9 or by an </w:t>
      </w:r>
      <w:r>
        <w:rPr>
          <w:i/>
          <w:sz w:val="24"/>
        </w:rPr>
        <w:t>emergency frequency control </w:t>
      </w:r>
      <w:r>
        <w:rPr>
          <w:i/>
          <w:sz w:val="24"/>
        </w:rPr>
        <w:t>scheme</w:t>
      </w:r>
      <w:r>
        <w:rPr>
          <w:sz w:val="24"/>
        </w:rPr>
        <w:t>;</w:t>
      </w:r>
    </w:p>
    <w:p>
      <w:pPr>
        <w:pStyle w:val="ListParagraph"/>
        <w:numPr>
          <w:ilvl w:val="1"/>
          <w:numId w:val="290"/>
        </w:numPr>
        <w:tabs>
          <w:tab w:pos="2486" w:val="left" w:leader="none"/>
        </w:tabs>
        <w:spacing w:line="240" w:lineRule="auto" w:before="120" w:after="0"/>
        <w:ind w:left="2486" w:right="415" w:hanging="567"/>
        <w:jc w:val="both"/>
        <w:rPr>
          <w:sz w:val="24"/>
        </w:rPr>
      </w:pPr>
      <w:r>
        <w:rPr>
          <w:sz w:val="24"/>
        </w:rPr>
        <w:t>where the </w:t>
      </w:r>
      <w:r>
        <w:rPr>
          <w:i/>
          <w:sz w:val="24"/>
        </w:rPr>
        <w:t>generating system </w:t>
      </w:r>
      <w:r>
        <w:rPr>
          <w:sz w:val="24"/>
        </w:rPr>
        <w:t>is automatically </w:t>
      </w:r>
      <w:r>
        <w:rPr>
          <w:i/>
          <w:sz w:val="24"/>
        </w:rPr>
        <w:t>disconnected </w:t>
      </w:r>
      <w:r>
        <w:rPr>
          <w:sz w:val="24"/>
        </w:rPr>
        <w:t>under clause S5.2.5.10;</w:t>
      </w:r>
      <w:r>
        <w:rPr>
          <w:spacing w:val="-2"/>
          <w:sz w:val="24"/>
        </w:rPr>
        <w:t> </w:t>
      </w:r>
      <w:r>
        <w:rPr>
          <w:sz w:val="24"/>
        </w:rPr>
        <w:t>or</w:t>
      </w:r>
    </w:p>
    <w:p>
      <w:pPr>
        <w:pStyle w:val="ListParagraph"/>
        <w:numPr>
          <w:ilvl w:val="1"/>
          <w:numId w:val="290"/>
        </w:numPr>
        <w:tabs>
          <w:tab w:pos="2486" w:val="left" w:leader="none"/>
        </w:tabs>
        <w:spacing w:line="240" w:lineRule="auto" w:before="120" w:after="0"/>
        <w:ind w:left="2486" w:right="415" w:hanging="567"/>
        <w:jc w:val="both"/>
        <w:rPr>
          <w:sz w:val="24"/>
        </w:rPr>
      </w:pPr>
      <w:r>
        <w:rPr>
          <w:sz w:val="24"/>
        </w:rPr>
        <w:t>in accordance with an agreement between the </w:t>
      </w:r>
      <w:r>
        <w:rPr>
          <w:i/>
          <w:sz w:val="24"/>
        </w:rPr>
        <w:t>Generator </w:t>
      </w:r>
      <w:r>
        <w:rPr>
          <w:sz w:val="24"/>
        </w:rPr>
        <w:t>and a </w:t>
      </w:r>
      <w:r>
        <w:rPr>
          <w:i/>
          <w:sz w:val="24"/>
        </w:rPr>
        <w:t>Network Service Provider </w:t>
      </w:r>
      <w:r>
        <w:rPr>
          <w:sz w:val="24"/>
        </w:rPr>
        <w:t>(including an agreement in relation to an emergency control scheme under clause S5.1.8) to provide a service that </w:t>
      </w:r>
      <w:r>
        <w:rPr>
          <w:i/>
          <w:sz w:val="24"/>
        </w:rPr>
        <w:t>AEMO </w:t>
      </w:r>
      <w:r>
        <w:rPr>
          <w:sz w:val="24"/>
        </w:rPr>
        <w:t>agrees is necessary to maintain or restore </w:t>
      </w:r>
      <w:r>
        <w:rPr>
          <w:i/>
          <w:sz w:val="24"/>
        </w:rPr>
        <w:t>power system </w:t>
      </w:r>
      <w:r>
        <w:rPr>
          <w:i/>
          <w:sz w:val="24"/>
        </w:rPr>
        <w:t>security </w:t>
      </w:r>
      <w:r>
        <w:rPr>
          <w:sz w:val="24"/>
        </w:rPr>
        <w:t>in the event of a specified </w:t>
      </w:r>
      <w:r>
        <w:rPr>
          <w:i/>
          <w:sz w:val="24"/>
        </w:rPr>
        <w:t>contingency</w:t>
      </w:r>
      <w:r>
        <w:rPr>
          <w:i/>
          <w:spacing w:val="-7"/>
          <w:sz w:val="24"/>
        </w:rPr>
        <w:t> </w:t>
      </w:r>
      <w:r>
        <w:rPr>
          <w:i/>
          <w:sz w:val="24"/>
        </w:rPr>
        <w:t>event</w:t>
      </w:r>
      <w:r>
        <w:rPr>
          <w:sz w:val="24"/>
        </w:rPr>
        <w:t>.</w:t>
      </w:r>
    </w:p>
    <w:p>
      <w:pPr>
        <w:spacing w:before="120"/>
        <w:ind w:left="1919" w:right="414" w:hanging="567"/>
        <w:jc w:val="both"/>
        <w:rPr>
          <w:sz w:val="24"/>
        </w:rPr>
      </w:pPr>
      <w:r>
        <w:rPr>
          <w:sz w:val="24"/>
        </w:rPr>
        <w:t>(f)  The </w:t>
      </w:r>
      <w:r>
        <w:rPr>
          <w:i/>
          <w:sz w:val="24"/>
        </w:rPr>
        <w:t>Network Service Provider </w:t>
      </w:r>
      <w:r>
        <w:rPr>
          <w:sz w:val="24"/>
        </w:rPr>
        <w:t>is not liable for any loss or damage incurred   by the </w:t>
      </w:r>
      <w:r>
        <w:rPr>
          <w:i/>
          <w:sz w:val="24"/>
        </w:rPr>
        <w:t>Generator </w:t>
      </w:r>
      <w:r>
        <w:rPr>
          <w:sz w:val="24"/>
        </w:rPr>
        <w:t>or any other person as a consequence of a fault on either the </w:t>
      </w:r>
      <w:r>
        <w:rPr>
          <w:i/>
          <w:sz w:val="24"/>
        </w:rPr>
        <w:t>power system</w:t>
      </w:r>
      <w:r>
        <w:rPr>
          <w:sz w:val="24"/>
        </w:rPr>
        <w:t>, or within the </w:t>
      </w:r>
      <w:r>
        <w:rPr>
          <w:i/>
          <w:sz w:val="24"/>
        </w:rPr>
        <w:t>Generator's</w:t>
      </w:r>
      <w:r>
        <w:rPr>
          <w:i/>
          <w:spacing w:val="-4"/>
          <w:sz w:val="24"/>
        </w:rPr>
        <w:t> </w:t>
      </w:r>
      <w:r>
        <w:rPr>
          <w:i/>
          <w:sz w:val="24"/>
        </w:rPr>
        <w:t>facility</w:t>
      </w:r>
      <w:r>
        <w:rPr>
          <w:sz w:val="24"/>
        </w:rPr>
        <w:t>.</w:t>
      </w:r>
    </w:p>
    <w:p>
      <w:pPr>
        <w:pStyle w:val="BodyText"/>
        <w:spacing w:before="10"/>
        <w:ind w:firstLine="0"/>
        <w:jc w:val="left"/>
        <w:rPr>
          <w:sz w:val="20"/>
        </w:rPr>
      </w:pPr>
    </w:p>
    <w:p>
      <w:pPr>
        <w:pStyle w:val="Heading4"/>
        <w:tabs>
          <w:tab w:pos="1351" w:val="left" w:leader="none"/>
        </w:tabs>
        <w:ind w:left="218" w:firstLine="0"/>
      </w:pPr>
      <w:bookmarkStart w:name="S5.2.5.9 Protection systems that impact " w:id="986"/>
      <w:bookmarkEnd w:id="986"/>
      <w:r>
        <w:rPr>
          <w:b w:val="0"/>
        </w:rPr>
      </w:r>
      <w:bookmarkStart w:name="_bookmark385" w:id="987"/>
      <w:bookmarkEnd w:id="987"/>
      <w:r>
        <w:rPr>
          <w:b w:val="0"/>
        </w:rPr>
      </w:r>
      <w:r>
        <w:rPr/>
        <w:t>S5.2.5.9</w:t>
        <w:tab/>
        <w:t>Protection systems that impact on power system</w:t>
      </w:r>
      <w:r>
        <w:rPr>
          <w:spacing w:val="-5"/>
        </w:rPr>
        <w:t> </w:t>
      </w:r>
      <w:r>
        <w:rPr/>
        <w:t>security</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91"/>
        </w:numPr>
        <w:tabs>
          <w:tab w:pos="1919" w:val="left" w:leader="none"/>
        </w:tabs>
        <w:spacing w:line="240" w:lineRule="auto" w:before="120" w:after="0"/>
        <w:ind w:left="1918" w:right="0" w:hanging="567"/>
        <w:jc w:val="both"/>
        <w:rPr>
          <w:sz w:val="24"/>
        </w:rPr>
      </w:pPr>
      <w:r>
        <w:rPr>
          <w:sz w:val="24"/>
        </w:rPr>
        <w:t>The </w:t>
      </w:r>
      <w:r>
        <w:rPr>
          <w:i/>
          <w:sz w:val="24"/>
        </w:rPr>
        <w:t>automatic access standard</w:t>
      </w:r>
      <w:r>
        <w:rPr>
          <w:i/>
          <w:spacing w:val="-1"/>
          <w:sz w:val="24"/>
        </w:rPr>
        <w:t> </w:t>
      </w:r>
      <w:r>
        <w:rPr>
          <w:sz w:val="24"/>
        </w:rPr>
        <w:t>is:</w:t>
      </w:r>
    </w:p>
    <w:p>
      <w:pPr>
        <w:pStyle w:val="ListParagraph"/>
        <w:numPr>
          <w:ilvl w:val="1"/>
          <w:numId w:val="291"/>
        </w:numPr>
        <w:tabs>
          <w:tab w:pos="2486" w:val="left" w:leader="none"/>
        </w:tabs>
        <w:spacing w:line="240" w:lineRule="auto" w:before="120" w:after="0"/>
        <w:ind w:left="2486" w:right="414" w:hanging="567"/>
        <w:jc w:val="both"/>
        <w:rPr>
          <w:sz w:val="24"/>
        </w:rPr>
      </w:pPr>
      <w:r>
        <w:rPr>
          <w:sz w:val="24"/>
        </w:rPr>
        <w:t>subject to clauses S5.1.9(k) and S5.1.9(l), primary </w:t>
      </w:r>
      <w:r>
        <w:rPr>
          <w:i/>
          <w:sz w:val="24"/>
        </w:rPr>
        <w:t>protection systems </w:t>
      </w:r>
      <w:r>
        <w:rPr>
          <w:sz w:val="24"/>
        </w:rPr>
        <w:t>must be provided to </w:t>
      </w:r>
      <w:r>
        <w:rPr>
          <w:i/>
          <w:sz w:val="24"/>
        </w:rPr>
        <w:t>disconnect </w:t>
      </w:r>
      <w:r>
        <w:rPr>
          <w:sz w:val="24"/>
        </w:rPr>
        <w:t>from the </w:t>
      </w:r>
      <w:r>
        <w:rPr>
          <w:i/>
          <w:sz w:val="24"/>
        </w:rPr>
        <w:t>power system </w:t>
      </w:r>
      <w:r>
        <w:rPr>
          <w:sz w:val="24"/>
        </w:rPr>
        <w:t>any faulted element in a </w:t>
      </w:r>
      <w:r>
        <w:rPr>
          <w:i/>
          <w:sz w:val="24"/>
        </w:rPr>
        <w:t>generating system </w:t>
      </w:r>
      <w:r>
        <w:rPr>
          <w:sz w:val="24"/>
        </w:rPr>
        <w:t>and in protection zones that include  the </w:t>
      </w:r>
      <w:r>
        <w:rPr>
          <w:i/>
          <w:sz w:val="24"/>
        </w:rPr>
        <w:t>connection point </w:t>
      </w:r>
      <w:r>
        <w:rPr>
          <w:sz w:val="24"/>
        </w:rPr>
        <w:t>within the applicable </w:t>
      </w:r>
      <w:r>
        <w:rPr>
          <w:i/>
          <w:sz w:val="24"/>
        </w:rPr>
        <w:t>fault clearance time </w:t>
      </w:r>
      <w:r>
        <w:rPr>
          <w:sz w:val="24"/>
        </w:rPr>
        <w:t>determined under clause</w:t>
      </w:r>
      <w:r>
        <w:rPr>
          <w:spacing w:val="-2"/>
          <w:sz w:val="24"/>
        </w:rPr>
        <w:t> </w:t>
      </w:r>
      <w:r>
        <w:rPr>
          <w:sz w:val="24"/>
        </w:rPr>
        <w:t>S5.1.9(a)(1);</w:t>
      </w:r>
    </w:p>
    <w:p>
      <w:pPr>
        <w:pStyle w:val="ListParagraph"/>
        <w:numPr>
          <w:ilvl w:val="1"/>
          <w:numId w:val="291"/>
        </w:numPr>
        <w:tabs>
          <w:tab w:pos="2486" w:val="left" w:leader="none"/>
        </w:tabs>
        <w:spacing w:line="240" w:lineRule="auto" w:before="120" w:after="0"/>
        <w:ind w:left="2486" w:right="415" w:hanging="567"/>
        <w:jc w:val="both"/>
        <w:rPr>
          <w:sz w:val="24"/>
        </w:rPr>
      </w:pPr>
      <w:r>
        <w:rPr>
          <w:sz w:val="24"/>
        </w:rPr>
        <w:t>each primary </w:t>
      </w:r>
      <w:r>
        <w:rPr>
          <w:i/>
          <w:sz w:val="24"/>
        </w:rPr>
        <w:t>protection system </w:t>
      </w:r>
      <w:r>
        <w:rPr>
          <w:sz w:val="24"/>
        </w:rPr>
        <w:t>must have sufficient redundancy to ensure that a faulted element within its protection zone is </w:t>
      </w:r>
      <w:r>
        <w:rPr>
          <w:i/>
          <w:sz w:val="24"/>
        </w:rPr>
        <w:t>disconnected </w:t>
      </w:r>
      <w:r>
        <w:rPr>
          <w:sz w:val="24"/>
        </w:rPr>
        <w:t>from the </w:t>
      </w:r>
      <w:r>
        <w:rPr>
          <w:i/>
          <w:sz w:val="24"/>
        </w:rPr>
        <w:t>power system </w:t>
      </w:r>
      <w:r>
        <w:rPr>
          <w:sz w:val="24"/>
        </w:rPr>
        <w:t>within the applicable </w:t>
      </w:r>
      <w:r>
        <w:rPr>
          <w:i/>
          <w:sz w:val="24"/>
        </w:rPr>
        <w:t>fault clearance time </w:t>
      </w:r>
      <w:r>
        <w:rPr>
          <w:sz w:val="24"/>
        </w:rPr>
        <w:t>with any single protection element (including any communications </w:t>
      </w:r>
      <w:r>
        <w:rPr>
          <w:i/>
          <w:sz w:val="24"/>
        </w:rPr>
        <w:t>facility </w:t>
      </w:r>
      <w:r>
        <w:rPr>
          <w:sz w:val="24"/>
        </w:rPr>
        <w:t>upon which that </w:t>
      </w:r>
      <w:r>
        <w:rPr>
          <w:i/>
          <w:sz w:val="24"/>
        </w:rPr>
        <w:t>protection system </w:t>
      </w:r>
      <w:r>
        <w:rPr>
          <w:sz w:val="24"/>
        </w:rPr>
        <w:t>depends) out of service;</w:t>
      </w:r>
      <w:r>
        <w:rPr>
          <w:spacing w:val="-1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291"/>
        </w:numPr>
        <w:tabs>
          <w:tab w:pos="2486" w:val="left" w:leader="none"/>
        </w:tabs>
        <w:spacing w:line="240" w:lineRule="auto" w:before="83" w:after="0"/>
        <w:ind w:left="2486" w:right="415" w:hanging="567"/>
        <w:jc w:val="both"/>
        <w:rPr>
          <w:sz w:val="24"/>
        </w:rPr>
      </w:pPr>
      <w:r>
        <w:rPr>
          <w:i/>
          <w:sz w:val="24"/>
        </w:rPr>
        <w:t>breaker fail protection systems </w:t>
      </w:r>
      <w:r>
        <w:rPr>
          <w:sz w:val="24"/>
        </w:rPr>
        <w:t>must be provided to clear faults that are not cleared by the circuit breakers controlled by the primary </w:t>
      </w:r>
      <w:r>
        <w:rPr>
          <w:i/>
          <w:sz w:val="24"/>
        </w:rPr>
        <w:t>protection system </w:t>
      </w:r>
      <w:r>
        <w:rPr>
          <w:sz w:val="24"/>
        </w:rPr>
        <w:t>within the applicable </w:t>
      </w:r>
      <w:r>
        <w:rPr>
          <w:i/>
          <w:sz w:val="24"/>
        </w:rPr>
        <w:t>fault clearance time </w:t>
      </w:r>
      <w:r>
        <w:rPr>
          <w:sz w:val="24"/>
        </w:rPr>
        <w:t>determined under clause</w:t>
      </w:r>
      <w:r>
        <w:rPr>
          <w:spacing w:val="-2"/>
          <w:sz w:val="24"/>
        </w:rPr>
        <w:t> </w:t>
      </w:r>
      <w:r>
        <w:rPr>
          <w:sz w:val="24"/>
        </w:rPr>
        <w:t>S5.1.9(a)(1).</w:t>
      </w:r>
    </w:p>
    <w:p>
      <w:pPr>
        <w:pStyle w:val="ListParagraph"/>
        <w:numPr>
          <w:ilvl w:val="0"/>
          <w:numId w:val="291"/>
        </w:numPr>
        <w:tabs>
          <w:tab w:pos="1919" w:val="left" w:leader="none"/>
        </w:tabs>
        <w:spacing w:line="240" w:lineRule="auto" w:before="120" w:after="0"/>
        <w:ind w:left="1919" w:right="415" w:hanging="567"/>
        <w:jc w:val="both"/>
        <w:rPr>
          <w:sz w:val="24"/>
        </w:rPr>
      </w:pPr>
      <w:r>
        <w:rPr>
          <w:sz w:val="24"/>
        </w:rPr>
        <w:t>In relation to an </w:t>
      </w:r>
      <w:r>
        <w:rPr>
          <w:i/>
          <w:sz w:val="24"/>
        </w:rPr>
        <w:t>automatic access standard </w:t>
      </w:r>
      <w:r>
        <w:rPr>
          <w:sz w:val="24"/>
        </w:rPr>
        <w:t>under this clause S5.2.5.9, the </w:t>
      </w:r>
      <w:r>
        <w:rPr>
          <w:i/>
          <w:sz w:val="24"/>
        </w:rPr>
        <w:t>Generator </w:t>
      </w:r>
      <w:r>
        <w:rPr>
          <w:sz w:val="24"/>
        </w:rPr>
        <w:t>must provide redundancy in the primary </w:t>
      </w:r>
      <w:r>
        <w:rPr>
          <w:i/>
          <w:sz w:val="24"/>
        </w:rPr>
        <w:t>protection systems </w:t>
      </w:r>
      <w:r>
        <w:rPr>
          <w:sz w:val="24"/>
        </w:rPr>
        <w:t>under paragraph (a)(2) and provide </w:t>
      </w:r>
      <w:r>
        <w:rPr>
          <w:i/>
          <w:sz w:val="24"/>
        </w:rPr>
        <w:t>breaker fail protection systems </w:t>
      </w:r>
      <w:r>
        <w:rPr>
          <w:sz w:val="24"/>
        </w:rPr>
        <w:t>under paragraph (a)(3) if </w:t>
      </w:r>
      <w:r>
        <w:rPr>
          <w:i/>
          <w:sz w:val="24"/>
        </w:rPr>
        <w:t>AEMO </w:t>
      </w:r>
      <w:r>
        <w:rPr>
          <w:sz w:val="24"/>
        </w:rPr>
        <w:t>or the </w:t>
      </w:r>
      <w:r>
        <w:rPr>
          <w:i/>
          <w:sz w:val="24"/>
        </w:rPr>
        <w:t>Network Service Provider </w:t>
      </w:r>
      <w:r>
        <w:rPr>
          <w:sz w:val="24"/>
        </w:rPr>
        <w:t>consider that </w:t>
      </w:r>
      <w:r>
        <w:rPr>
          <w:spacing w:val="-11"/>
          <w:sz w:val="24"/>
        </w:rPr>
        <w:t>a </w:t>
      </w:r>
      <w:r>
        <w:rPr>
          <w:sz w:val="24"/>
        </w:rPr>
        <w:t>lack of these </w:t>
      </w:r>
      <w:r>
        <w:rPr>
          <w:i/>
          <w:sz w:val="24"/>
        </w:rPr>
        <w:t>facilities </w:t>
      </w:r>
      <w:r>
        <w:rPr>
          <w:sz w:val="24"/>
        </w:rPr>
        <w:t>could result</w:t>
      </w:r>
      <w:r>
        <w:rPr>
          <w:spacing w:val="-2"/>
          <w:sz w:val="24"/>
        </w:rPr>
        <w:t> </w:t>
      </w:r>
      <w:r>
        <w:rPr>
          <w:sz w:val="24"/>
        </w:rPr>
        <w:t>in:</w:t>
      </w:r>
    </w:p>
    <w:p>
      <w:pPr>
        <w:pStyle w:val="ListParagraph"/>
        <w:numPr>
          <w:ilvl w:val="1"/>
          <w:numId w:val="291"/>
        </w:numPr>
        <w:tabs>
          <w:tab w:pos="2486" w:val="left" w:leader="none"/>
        </w:tabs>
        <w:spacing w:line="240" w:lineRule="auto" w:before="120" w:after="0"/>
        <w:ind w:left="2485" w:right="0" w:hanging="567"/>
        <w:jc w:val="both"/>
        <w:rPr>
          <w:sz w:val="24"/>
        </w:rPr>
      </w:pPr>
      <w:r>
        <w:rPr>
          <w:sz w:val="24"/>
        </w:rPr>
        <w:t>a material adverse impact on </w:t>
      </w:r>
      <w:r>
        <w:rPr>
          <w:i/>
          <w:sz w:val="24"/>
        </w:rPr>
        <w:t>power system security </w:t>
      </w:r>
      <w:r>
        <w:rPr>
          <w:sz w:val="24"/>
        </w:rPr>
        <w:t>or quality</w:t>
      </w:r>
      <w:r>
        <w:rPr>
          <w:spacing w:val="2"/>
          <w:sz w:val="24"/>
        </w:rPr>
        <w:t> </w:t>
      </w:r>
      <w:r>
        <w:rPr>
          <w:sz w:val="24"/>
        </w:rPr>
        <w:t>of</w:t>
      </w:r>
    </w:p>
    <w:p>
      <w:pPr>
        <w:spacing w:before="0"/>
        <w:ind w:left="2486" w:right="0" w:firstLine="0"/>
        <w:jc w:val="both"/>
        <w:rPr>
          <w:sz w:val="24"/>
        </w:rPr>
      </w:pPr>
      <w:r>
        <w:rPr>
          <w:i/>
          <w:sz w:val="24"/>
        </w:rPr>
        <w:t>supply </w:t>
      </w:r>
      <w:r>
        <w:rPr>
          <w:sz w:val="24"/>
        </w:rPr>
        <w:t>to other </w:t>
      </w:r>
      <w:r>
        <w:rPr>
          <w:i/>
          <w:sz w:val="24"/>
        </w:rPr>
        <w:t>Network Users</w:t>
      </w:r>
      <w:r>
        <w:rPr>
          <w:sz w:val="24"/>
        </w:rPr>
        <w:t>; or</w:t>
      </w:r>
    </w:p>
    <w:p>
      <w:pPr>
        <w:pStyle w:val="ListParagraph"/>
        <w:numPr>
          <w:ilvl w:val="1"/>
          <w:numId w:val="291"/>
        </w:numPr>
        <w:tabs>
          <w:tab w:pos="2486" w:val="left" w:leader="none"/>
        </w:tabs>
        <w:spacing w:line="240" w:lineRule="auto" w:before="120" w:after="0"/>
        <w:ind w:left="2486" w:right="414" w:hanging="567"/>
        <w:jc w:val="both"/>
        <w:rPr>
          <w:sz w:val="24"/>
        </w:rPr>
      </w:pPr>
      <w:r>
        <w:rPr>
          <w:sz w:val="24"/>
        </w:rPr>
        <w:t>a reduction in </w:t>
      </w:r>
      <w:r>
        <w:rPr>
          <w:i/>
          <w:sz w:val="24"/>
        </w:rPr>
        <w:t>inter-regional </w:t>
      </w:r>
      <w:r>
        <w:rPr>
          <w:sz w:val="24"/>
        </w:rPr>
        <w:t>or </w:t>
      </w:r>
      <w:r>
        <w:rPr>
          <w:i/>
          <w:sz w:val="24"/>
        </w:rPr>
        <w:t>intra-regional power transfer </w:t>
      </w:r>
      <w:r>
        <w:rPr>
          <w:i/>
          <w:sz w:val="24"/>
        </w:rPr>
        <w:t>capability</w:t>
      </w:r>
      <w:r>
        <w:rPr>
          <w:sz w:val="24"/>
        </w:rPr>
        <w:t>,</w:t>
      </w:r>
    </w:p>
    <w:p>
      <w:pPr>
        <w:pStyle w:val="BodyText"/>
        <w:ind w:left="1919" w:firstLine="0"/>
      </w:pPr>
      <w:r>
        <w:rPr/>
        <w:t>through any mechanism including:</w:t>
      </w:r>
    </w:p>
    <w:p>
      <w:pPr>
        <w:pStyle w:val="ListParagraph"/>
        <w:numPr>
          <w:ilvl w:val="1"/>
          <w:numId w:val="291"/>
        </w:numPr>
        <w:tabs>
          <w:tab w:pos="2486" w:val="left" w:leader="none"/>
        </w:tabs>
        <w:spacing w:line="240" w:lineRule="auto" w:before="120" w:after="0"/>
        <w:ind w:left="2486" w:right="415" w:hanging="567"/>
        <w:jc w:val="both"/>
        <w:rPr>
          <w:sz w:val="24"/>
        </w:rPr>
      </w:pPr>
      <w:r>
        <w:rPr>
          <w:sz w:val="24"/>
        </w:rPr>
        <w:t>consequential tripping of, or damage to, other </w:t>
      </w:r>
      <w:r>
        <w:rPr>
          <w:i/>
          <w:sz w:val="24"/>
        </w:rPr>
        <w:t>network </w:t>
      </w:r>
      <w:r>
        <w:rPr>
          <w:sz w:val="24"/>
        </w:rPr>
        <w:t>equipment or </w:t>
      </w:r>
      <w:r>
        <w:rPr>
          <w:i/>
          <w:sz w:val="24"/>
        </w:rPr>
        <w:t>facilities </w:t>
      </w:r>
      <w:r>
        <w:rPr>
          <w:sz w:val="24"/>
        </w:rPr>
        <w:t>of other </w:t>
      </w:r>
      <w:r>
        <w:rPr>
          <w:i/>
          <w:sz w:val="24"/>
        </w:rPr>
        <w:t>Network Users</w:t>
      </w:r>
      <w:r>
        <w:rPr>
          <w:sz w:val="24"/>
        </w:rPr>
        <w:t>, that would have a </w:t>
      </w:r>
      <w:r>
        <w:rPr>
          <w:i/>
          <w:sz w:val="24"/>
        </w:rPr>
        <w:t>power system </w:t>
      </w:r>
      <w:r>
        <w:rPr>
          <w:i/>
          <w:sz w:val="24"/>
        </w:rPr>
        <w:t>security </w:t>
      </w:r>
      <w:r>
        <w:rPr>
          <w:sz w:val="24"/>
        </w:rPr>
        <w:t>impact;</w:t>
      </w:r>
      <w:r>
        <w:rPr>
          <w:spacing w:val="-2"/>
          <w:sz w:val="24"/>
        </w:rPr>
        <w:t> </w:t>
      </w:r>
      <w:r>
        <w:rPr>
          <w:sz w:val="24"/>
        </w:rPr>
        <w:t>or</w:t>
      </w:r>
    </w:p>
    <w:p>
      <w:pPr>
        <w:pStyle w:val="ListParagraph"/>
        <w:numPr>
          <w:ilvl w:val="1"/>
          <w:numId w:val="291"/>
        </w:numPr>
        <w:tabs>
          <w:tab w:pos="2486" w:val="left" w:leader="none"/>
        </w:tabs>
        <w:spacing w:line="240" w:lineRule="auto" w:before="120" w:after="0"/>
        <w:ind w:left="2486" w:right="415" w:hanging="567"/>
        <w:jc w:val="both"/>
        <w:rPr>
          <w:sz w:val="24"/>
        </w:rPr>
      </w:pPr>
      <w:r>
        <w:rPr>
          <w:sz w:val="24"/>
        </w:rPr>
        <w:t>instability that would not be detected by other </w:t>
      </w:r>
      <w:r>
        <w:rPr>
          <w:i/>
          <w:sz w:val="24"/>
        </w:rPr>
        <w:t>protection systems </w:t>
      </w:r>
      <w:r>
        <w:rPr>
          <w:sz w:val="24"/>
        </w:rPr>
        <w:t>in the</w:t>
      </w:r>
      <w:r>
        <w:rPr>
          <w:spacing w:val="-1"/>
          <w:sz w:val="24"/>
        </w:rPr>
        <w:t> </w:t>
      </w:r>
      <w:r>
        <w:rPr>
          <w:i/>
          <w:sz w:val="24"/>
        </w:rPr>
        <w:t>network</w:t>
      </w:r>
      <w:r>
        <w:rPr>
          <w:sz w:val="24"/>
        </w:rPr>
        <w:t>.</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91"/>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291"/>
        </w:numPr>
        <w:tabs>
          <w:tab w:pos="2486" w:val="left" w:leader="none"/>
        </w:tabs>
        <w:spacing w:line="240" w:lineRule="auto" w:before="120" w:after="0"/>
        <w:ind w:left="2486" w:right="415" w:hanging="567"/>
        <w:jc w:val="both"/>
        <w:rPr>
          <w:sz w:val="24"/>
        </w:rPr>
      </w:pPr>
      <w:r>
        <w:rPr>
          <w:sz w:val="24"/>
        </w:rPr>
        <w:t>subject to clauses S5.1.9(k) and S5.1.9(l), </w:t>
      </w:r>
      <w:r>
        <w:rPr>
          <w:i/>
          <w:sz w:val="24"/>
        </w:rPr>
        <w:t>protection systems </w:t>
      </w:r>
      <w:r>
        <w:rPr>
          <w:sz w:val="24"/>
        </w:rPr>
        <w:t>must be provided to </w:t>
      </w:r>
      <w:r>
        <w:rPr>
          <w:i/>
          <w:sz w:val="24"/>
        </w:rPr>
        <w:t>disconnect </w:t>
      </w:r>
      <w:r>
        <w:rPr>
          <w:sz w:val="24"/>
        </w:rPr>
        <w:t>from the </w:t>
      </w:r>
      <w:r>
        <w:rPr>
          <w:i/>
          <w:sz w:val="24"/>
        </w:rPr>
        <w:t>power system </w:t>
      </w:r>
      <w:r>
        <w:rPr>
          <w:sz w:val="24"/>
        </w:rPr>
        <w:t>any faulted element within a </w:t>
      </w:r>
      <w:r>
        <w:rPr>
          <w:i/>
          <w:sz w:val="24"/>
        </w:rPr>
        <w:t>generating system </w:t>
      </w:r>
      <w:r>
        <w:rPr>
          <w:sz w:val="24"/>
        </w:rPr>
        <w:t>and in protection zones that include the </w:t>
      </w:r>
      <w:r>
        <w:rPr>
          <w:i/>
          <w:sz w:val="24"/>
        </w:rPr>
        <w:t>connection point </w:t>
      </w:r>
      <w:r>
        <w:rPr>
          <w:sz w:val="24"/>
        </w:rPr>
        <w:t>within the applicable </w:t>
      </w:r>
      <w:r>
        <w:rPr>
          <w:i/>
          <w:sz w:val="24"/>
        </w:rPr>
        <w:t>fault clearance time </w:t>
      </w:r>
      <w:r>
        <w:rPr>
          <w:sz w:val="24"/>
        </w:rPr>
        <w:t>determined under clause S5.1.9(a)(2);</w:t>
      </w:r>
      <w:r>
        <w:rPr>
          <w:spacing w:val="-3"/>
          <w:sz w:val="24"/>
        </w:rPr>
        <w:t> </w:t>
      </w:r>
      <w:r>
        <w:rPr>
          <w:sz w:val="24"/>
        </w:rPr>
        <w:t>and</w:t>
      </w:r>
    </w:p>
    <w:p>
      <w:pPr>
        <w:pStyle w:val="ListParagraph"/>
        <w:numPr>
          <w:ilvl w:val="1"/>
          <w:numId w:val="291"/>
        </w:numPr>
        <w:tabs>
          <w:tab w:pos="2486" w:val="left" w:leader="none"/>
        </w:tabs>
        <w:spacing w:line="240" w:lineRule="auto" w:before="120" w:after="0"/>
        <w:ind w:left="2486" w:right="415" w:hanging="567"/>
        <w:jc w:val="both"/>
        <w:rPr>
          <w:sz w:val="24"/>
        </w:rPr>
      </w:pPr>
      <w:r>
        <w:rPr>
          <w:sz w:val="24"/>
        </w:rPr>
        <w:t>if a </w:t>
      </w:r>
      <w:r>
        <w:rPr>
          <w:i/>
          <w:sz w:val="24"/>
        </w:rPr>
        <w:t>fault clearance time </w:t>
      </w:r>
      <w:r>
        <w:rPr>
          <w:sz w:val="24"/>
        </w:rPr>
        <w:t>determined under clause S5.1.9(a)(2) for </w:t>
      </w:r>
      <w:r>
        <w:rPr>
          <w:spacing w:val="-13"/>
          <w:sz w:val="24"/>
        </w:rPr>
        <w:t>a </w:t>
      </w:r>
      <w:r>
        <w:rPr>
          <w:sz w:val="24"/>
        </w:rPr>
        <w:t>protection zone is less than 10 seconds, a </w:t>
      </w:r>
      <w:r>
        <w:rPr>
          <w:i/>
          <w:sz w:val="24"/>
        </w:rPr>
        <w:t>breaker fail protection </w:t>
      </w:r>
      <w:r>
        <w:rPr>
          <w:i/>
          <w:sz w:val="24"/>
        </w:rPr>
        <w:t>system </w:t>
      </w:r>
      <w:r>
        <w:rPr>
          <w:sz w:val="24"/>
        </w:rPr>
        <w:t>must be provided to clear from the </w:t>
      </w:r>
      <w:r>
        <w:rPr>
          <w:i/>
          <w:sz w:val="24"/>
        </w:rPr>
        <w:t>power system </w:t>
      </w:r>
      <w:r>
        <w:rPr>
          <w:sz w:val="24"/>
        </w:rPr>
        <w:t>any fault within that protection zone that is not cleared by the circuit breakers controlled by the primary </w:t>
      </w:r>
      <w:r>
        <w:rPr>
          <w:i/>
          <w:sz w:val="24"/>
        </w:rPr>
        <w:t>protection system </w:t>
      </w:r>
      <w:r>
        <w:rPr>
          <w:sz w:val="24"/>
        </w:rPr>
        <w:t>within the applicable </w:t>
      </w:r>
      <w:r>
        <w:rPr>
          <w:i/>
          <w:sz w:val="24"/>
        </w:rPr>
        <w:t>fault </w:t>
      </w:r>
      <w:r>
        <w:rPr>
          <w:i/>
          <w:sz w:val="24"/>
        </w:rPr>
        <w:t>clearance time </w:t>
      </w:r>
      <w:r>
        <w:rPr>
          <w:sz w:val="24"/>
        </w:rPr>
        <w:t>determined under clause</w:t>
      </w:r>
      <w:r>
        <w:rPr>
          <w:spacing w:val="-3"/>
          <w:sz w:val="24"/>
        </w:rPr>
        <w:t> </w:t>
      </w:r>
      <w:r>
        <w:rPr>
          <w:sz w:val="24"/>
        </w:rPr>
        <w:t>S5.1.9(a)(3).</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[Deleted]</w:t>
      </w:r>
    </w:p>
    <w:p>
      <w:pPr>
        <w:pStyle w:val="ListParagraph"/>
        <w:numPr>
          <w:ilvl w:val="0"/>
          <w:numId w:val="291"/>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requirements</w:t>
      </w:r>
    </w:p>
    <w:p>
      <w:pPr>
        <w:pStyle w:val="ListParagraph"/>
        <w:numPr>
          <w:ilvl w:val="0"/>
          <w:numId w:val="291"/>
        </w:numPr>
        <w:tabs>
          <w:tab w:pos="1919" w:val="left" w:leader="none"/>
        </w:tabs>
        <w:spacing w:line="240" w:lineRule="auto" w:before="120" w:after="0"/>
        <w:ind w:left="1919" w:right="415" w:hanging="567"/>
        <w:jc w:val="both"/>
        <w:rPr>
          <w:sz w:val="24"/>
        </w:rPr>
      </w:pPr>
      <w:r>
        <w:rPr>
          <w:sz w:val="24"/>
        </w:rPr>
        <w:t>The </w:t>
      </w:r>
      <w:r>
        <w:rPr>
          <w:i/>
          <w:sz w:val="24"/>
        </w:rPr>
        <w:t>Network Service Provider </w:t>
      </w:r>
      <w:r>
        <w:rPr>
          <w:sz w:val="24"/>
        </w:rPr>
        <w:t>and the </w:t>
      </w:r>
      <w:r>
        <w:rPr>
          <w:i/>
          <w:sz w:val="24"/>
        </w:rPr>
        <w:t>Generator </w:t>
      </w:r>
      <w:r>
        <w:rPr>
          <w:sz w:val="24"/>
        </w:rPr>
        <w:t>must cooperate in the design and implementation of </w:t>
      </w:r>
      <w:r>
        <w:rPr>
          <w:i/>
          <w:sz w:val="24"/>
        </w:rPr>
        <w:t>protection systems </w:t>
      </w:r>
      <w:r>
        <w:rPr>
          <w:sz w:val="24"/>
        </w:rPr>
        <w:t>to comply with this clause S5.2.5.9, including cooperation</w:t>
      </w:r>
      <w:r>
        <w:rPr>
          <w:spacing w:val="-3"/>
          <w:sz w:val="24"/>
        </w:rPr>
        <w:t> </w:t>
      </w:r>
      <w:r>
        <w:rPr>
          <w:sz w:val="24"/>
        </w:rPr>
        <w:t>on:</w:t>
      </w:r>
    </w:p>
    <w:p>
      <w:pPr>
        <w:pStyle w:val="ListParagraph"/>
        <w:numPr>
          <w:ilvl w:val="1"/>
          <w:numId w:val="291"/>
        </w:numPr>
        <w:tabs>
          <w:tab w:pos="2486" w:val="left" w:leader="none"/>
        </w:tabs>
        <w:spacing w:line="240" w:lineRule="auto" w:before="120" w:after="0"/>
        <w:ind w:left="2486" w:right="414" w:hanging="567"/>
        <w:jc w:val="both"/>
        <w:rPr>
          <w:sz w:val="24"/>
        </w:rPr>
      </w:pPr>
      <w:r>
        <w:rPr>
          <w:sz w:val="24"/>
        </w:rPr>
        <w:t>the use of </w:t>
      </w:r>
      <w:r>
        <w:rPr>
          <w:i/>
          <w:sz w:val="24"/>
        </w:rPr>
        <w:t>current transformer </w:t>
      </w:r>
      <w:r>
        <w:rPr>
          <w:sz w:val="24"/>
        </w:rPr>
        <w:t>and </w:t>
      </w:r>
      <w:r>
        <w:rPr>
          <w:i/>
          <w:sz w:val="24"/>
        </w:rPr>
        <w:t>voltage transformer </w:t>
      </w:r>
      <w:r>
        <w:rPr>
          <w:sz w:val="24"/>
        </w:rPr>
        <w:t>secondary circuits (or equivalent) of one party by the </w:t>
      </w:r>
      <w:r>
        <w:rPr>
          <w:i/>
          <w:sz w:val="24"/>
        </w:rPr>
        <w:t>protection system </w:t>
      </w:r>
      <w:r>
        <w:rPr>
          <w:sz w:val="24"/>
        </w:rPr>
        <w:t>of the other;</w:t>
      </w:r>
    </w:p>
    <w:p>
      <w:pPr>
        <w:spacing w:after="0" w:line="240" w:lineRule="auto"/>
        <w:jc w:val="both"/>
        <w:rPr>
          <w:sz w:val="24"/>
        </w:rPr>
        <w:sectPr>
          <w:pgSz w:w="11910" w:h="16840"/>
          <w:pgMar w:header="686" w:footer="637" w:top="1320" w:bottom="820" w:left="1200" w:right="1000"/>
        </w:sectPr>
      </w:pPr>
    </w:p>
    <w:p>
      <w:pPr>
        <w:pStyle w:val="ListParagraph"/>
        <w:numPr>
          <w:ilvl w:val="1"/>
          <w:numId w:val="291"/>
        </w:numPr>
        <w:tabs>
          <w:tab w:pos="2485" w:val="left" w:leader="none"/>
          <w:tab w:pos="2486" w:val="left" w:leader="none"/>
        </w:tabs>
        <w:spacing w:line="240" w:lineRule="auto" w:before="83" w:after="0"/>
        <w:ind w:left="2486" w:right="415" w:hanging="567"/>
        <w:jc w:val="left"/>
        <w:rPr>
          <w:sz w:val="24"/>
        </w:rPr>
      </w:pPr>
      <w:r>
        <w:rPr>
          <w:sz w:val="24"/>
        </w:rPr>
        <w:t>tripping of one party's circuit breakers by a </w:t>
      </w:r>
      <w:r>
        <w:rPr>
          <w:i/>
          <w:sz w:val="24"/>
        </w:rPr>
        <w:t>protection system </w:t>
      </w:r>
      <w:r>
        <w:rPr>
          <w:sz w:val="24"/>
        </w:rPr>
        <w:t>of the other party;</w:t>
      </w:r>
      <w:r>
        <w:rPr>
          <w:spacing w:val="-1"/>
          <w:sz w:val="24"/>
        </w:rPr>
        <w:t> </w:t>
      </w:r>
      <w:r>
        <w:rPr>
          <w:sz w:val="24"/>
        </w:rPr>
        <w:t>and</w:t>
      </w:r>
    </w:p>
    <w:p>
      <w:pPr>
        <w:pStyle w:val="ListParagraph"/>
        <w:numPr>
          <w:ilvl w:val="1"/>
          <w:numId w:val="291"/>
        </w:numPr>
        <w:tabs>
          <w:tab w:pos="2485" w:val="left" w:leader="none"/>
          <w:tab w:pos="2486" w:val="left" w:leader="none"/>
        </w:tabs>
        <w:spacing w:line="240" w:lineRule="auto" w:before="120" w:after="0"/>
        <w:ind w:left="2485" w:right="0" w:hanging="567"/>
        <w:jc w:val="left"/>
        <w:rPr>
          <w:sz w:val="24"/>
        </w:rPr>
      </w:pPr>
      <w:r>
        <w:rPr>
          <w:sz w:val="24"/>
        </w:rPr>
        <w:t>co-ordination of </w:t>
      </w:r>
      <w:r>
        <w:rPr>
          <w:i/>
          <w:sz w:val="24"/>
        </w:rPr>
        <w:t>protection system </w:t>
      </w:r>
      <w:r>
        <w:rPr>
          <w:sz w:val="24"/>
        </w:rPr>
        <w:t>settings to ensure</w:t>
      </w:r>
      <w:r>
        <w:rPr>
          <w:spacing w:val="-9"/>
          <w:sz w:val="24"/>
        </w:rPr>
        <w:t> </w:t>
      </w:r>
      <w:r>
        <w:rPr>
          <w:sz w:val="24"/>
        </w:rPr>
        <w:t>inter-operation.</w:t>
      </w:r>
    </w:p>
    <w:p>
      <w:pPr>
        <w:pStyle w:val="ListParagraph"/>
        <w:numPr>
          <w:ilvl w:val="0"/>
          <w:numId w:val="291"/>
        </w:numPr>
        <w:tabs>
          <w:tab w:pos="1919" w:val="left" w:leader="none"/>
          <w:tab w:pos="1920" w:val="left" w:leader="none"/>
        </w:tabs>
        <w:spacing w:line="240" w:lineRule="auto" w:before="120" w:after="0"/>
        <w:ind w:left="1919" w:right="0" w:hanging="568"/>
        <w:jc w:val="left"/>
        <w:rPr>
          <w:sz w:val="24"/>
        </w:rPr>
      </w:pPr>
      <w:r>
        <w:rPr>
          <w:sz w:val="24"/>
        </w:rPr>
        <w:t>The </w:t>
      </w:r>
      <w:r>
        <w:rPr>
          <w:i/>
          <w:sz w:val="24"/>
        </w:rPr>
        <w:t>protection system </w:t>
      </w:r>
      <w:r>
        <w:rPr>
          <w:sz w:val="24"/>
        </w:rPr>
        <w:t>design referred to in paragraphs (a) and (c)</w:t>
      </w:r>
      <w:r>
        <w:rPr>
          <w:spacing w:val="-4"/>
          <w:sz w:val="24"/>
        </w:rPr>
        <w:t> </w:t>
      </w:r>
      <w:r>
        <w:rPr>
          <w:sz w:val="24"/>
        </w:rPr>
        <w:t>must:</w:t>
      </w:r>
    </w:p>
    <w:p>
      <w:pPr>
        <w:pStyle w:val="ListParagraph"/>
        <w:numPr>
          <w:ilvl w:val="1"/>
          <w:numId w:val="291"/>
        </w:numPr>
        <w:tabs>
          <w:tab w:pos="2485" w:val="left" w:leader="none"/>
          <w:tab w:pos="2486" w:val="left" w:leader="none"/>
        </w:tabs>
        <w:spacing w:line="240" w:lineRule="auto" w:before="120" w:after="0"/>
        <w:ind w:left="2485" w:right="0" w:hanging="567"/>
        <w:jc w:val="left"/>
        <w:rPr>
          <w:sz w:val="24"/>
        </w:rPr>
      </w:pPr>
      <w:r>
        <w:rPr>
          <w:sz w:val="24"/>
        </w:rPr>
        <w:t>be coordinated with other </w:t>
      </w:r>
      <w:r>
        <w:rPr>
          <w:i/>
          <w:sz w:val="24"/>
        </w:rPr>
        <w:t>protection</w:t>
      </w:r>
      <w:r>
        <w:rPr>
          <w:i/>
          <w:spacing w:val="-1"/>
          <w:sz w:val="24"/>
        </w:rPr>
        <w:t> </w:t>
      </w:r>
      <w:r>
        <w:rPr>
          <w:i/>
          <w:sz w:val="24"/>
        </w:rPr>
        <w:t>systems</w:t>
      </w:r>
      <w:r>
        <w:rPr>
          <w:sz w:val="24"/>
        </w:rPr>
        <w:t>;</w:t>
      </w:r>
    </w:p>
    <w:p>
      <w:pPr>
        <w:pStyle w:val="ListParagraph"/>
        <w:numPr>
          <w:ilvl w:val="1"/>
          <w:numId w:val="291"/>
        </w:numPr>
        <w:tabs>
          <w:tab w:pos="2485" w:val="left" w:leader="none"/>
          <w:tab w:pos="2486" w:val="left" w:leader="none"/>
        </w:tabs>
        <w:spacing w:line="240" w:lineRule="auto" w:before="120" w:after="0"/>
        <w:ind w:left="2486" w:right="415" w:hanging="567"/>
        <w:jc w:val="left"/>
        <w:rPr>
          <w:sz w:val="24"/>
        </w:rPr>
      </w:pPr>
      <w:r>
        <w:rPr>
          <w:sz w:val="24"/>
        </w:rPr>
        <w:t>avoid consequential </w:t>
      </w:r>
      <w:r>
        <w:rPr>
          <w:i/>
          <w:sz w:val="24"/>
        </w:rPr>
        <w:t>disconnection </w:t>
      </w:r>
      <w:r>
        <w:rPr>
          <w:sz w:val="24"/>
        </w:rPr>
        <w:t>of other </w:t>
      </w:r>
      <w:r>
        <w:rPr>
          <w:i/>
          <w:sz w:val="24"/>
        </w:rPr>
        <w:t>Network Users' facilities</w:t>
      </w:r>
      <w:r>
        <w:rPr>
          <w:sz w:val="24"/>
        </w:rPr>
        <w:t>; and</w:t>
      </w:r>
    </w:p>
    <w:p>
      <w:pPr>
        <w:pStyle w:val="ListParagraph"/>
        <w:numPr>
          <w:ilvl w:val="1"/>
          <w:numId w:val="291"/>
        </w:numPr>
        <w:tabs>
          <w:tab w:pos="2485" w:val="left" w:leader="none"/>
          <w:tab w:pos="2486" w:val="left" w:leader="none"/>
        </w:tabs>
        <w:spacing w:line="240" w:lineRule="auto" w:before="120" w:after="0"/>
        <w:ind w:left="2485" w:right="0" w:hanging="567"/>
        <w:jc w:val="left"/>
        <w:rPr>
          <w:i/>
          <w:sz w:val="24"/>
        </w:rPr>
      </w:pPr>
      <w:r>
        <w:rPr>
          <w:sz w:val="24"/>
        </w:rPr>
        <w:t>take into account existing obligations of the </w:t>
      </w:r>
      <w:r>
        <w:rPr>
          <w:i/>
          <w:sz w:val="24"/>
        </w:rPr>
        <w:t>Network Service</w:t>
      </w:r>
      <w:r>
        <w:rPr>
          <w:i/>
          <w:spacing w:val="43"/>
          <w:sz w:val="24"/>
        </w:rPr>
        <w:t> </w:t>
      </w:r>
      <w:r>
        <w:rPr>
          <w:i/>
          <w:sz w:val="24"/>
        </w:rPr>
        <w:t>Provider</w:t>
      </w:r>
    </w:p>
    <w:p>
      <w:pPr>
        <w:spacing w:before="0"/>
        <w:ind w:left="2486" w:right="0" w:firstLine="0"/>
        <w:jc w:val="left"/>
        <w:rPr>
          <w:sz w:val="24"/>
        </w:rPr>
      </w:pPr>
      <w:r>
        <w:rPr>
          <w:sz w:val="24"/>
        </w:rPr>
        <w:t>under </w:t>
      </w:r>
      <w:r>
        <w:rPr>
          <w:i/>
          <w:sz w:val="24"/>
        </w:rPr>
        <w:t>connection agreements </w:t>
      </w:r>
      <w:r>
        <w:rPr>
          <w:sz w:val="24"/>
        </w:rPr>
        <w:t>with other </w:t>
      </w:r>
      <w:r>
        <w:rPr>
          <w:i/>
          <w:sz w:val="24"/>
        </w:rPr>
        <w:t>Network Users</w:t>
      </w:r>
      <w:r>
        <w:rPr>
          <w:sz w:val="24"/>
        </w:rPr>
        <w:t>.</w:t>
      </w:r>
    </w:p>
    <w:p>
      <w:pPr>
        <w:pStyle w:val="BodyText"/>
        <w:spacing w:before="10"/>
        <w:ind w:firstLine="0"/>
        <w:jc w:val="left"/>
        <w:rPr>
          <w:sz w:val="20"/>
        </w:rPr>
      </w:pPr>
    </w:p>
    <w:p>
      <w:pPr>
        <w:pStyle w:val="Heading4"/>
        <w:ind w:left="218" w:firstLine="0"/>
      </w:pPr>
      <w:bookmarkStart w:name="S5.2.5.10 Protection to trip plant for u" w:id="988"/>
      <w:bookmarkEnd w:id="988"/>
      <w:r>
        <w:rPr>
          <w:b w:val="0"/>
        </w:rPr>
      </w:r>
      <w:bookmarkStart w:name="_bookmark386" w:id="989"/>
      <w:bookmarkEnd w:id="989"/>
      <w:r>
        <w:rPr>
          <w:b w:val="0"/>
        </w:rPr>
      </w:r>
      <w:r>
        <w:rPr/>
        <w:t>S5.2.5.10 Protection to trip plant for unstable operation</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92"/>
        </w:numPr>
        <w:tabs>
          <w:tab w:pos="1919" w:val="left" w:leader="none"/>
        </w:tabs>
        <w:spacing w:line="240" w:lineRule="auto" w:before="120" w:after="0"/>
        <w:ind w:left="1918" w:right="0" w:hanging="567"/>
        <w:jc w:val="both"/>
        <w:rPr>
          <w:sz w:val="24"/>
        </w:rPr>
      </w:pPr>
      <w:r>
        <w:rPr>
          <w:sz w:val="24"/>
        </w:rPr>
        <w:t>The </w:t>
      </w:r>
      <w:r>
        <w:rPr>
          <w:i/>
          <w:sz w:val="24"/>
        </w:rPr>
        <w:t>automatic access standard </w:t>
      </w:r>
      <w:r>
        <w:rPr>
          <w:sz w:val="24"/>
        </w:rPr>
        <w:t>is a </w:t>
      </w:r>
      <w:r>
        <w:rPr>
          <w:i/>
          <w:sz w:val="24"/>
        </w:rPr>
        <w:t>generating system </w:t>
      </w:r>
      <w:r>
        <w:rPr>
          <w:sz w:val="24"/>
        </w:rPr>
        <w:t>must</w:t>
      </w:r>
      <w:r>
        <w:rPr>
          <w:spacing w:val="-4"/>
          <w:sz w:val="24"/>
        </w:rPr>
        <w:t> </w:t>
      </w:r>
      <w:r>
        <w:rPr>
          <w:sz w:val="24"/>
        </w:rPr>
        <w:t>have:</w:t>
      </w:r>
    </w:p>
    <w:p>
      <w:pPr>
        <w:pStyle w:val="ListParagraph"/>
        <w:numPr>
          <w:ilvl w:val="1"/>
          <w:numId w:val="292"/>
        </w:numPr>
        <w:tabs>
          <w:tab w:pos="2486" w:val="left" w:leader="none"/>
        </w:tabs>
        <w:spacing w:line="240" w:lineRule="auto" w:before="120" w:after="0"/>
        <w:ind w:left="2486" w:right="415" w:hanging="567"/>
        <w:jc w:val="both"/>
        <w:rPr>
          <w:sz w:val="24"/>
        </w:rPr>
      </w:pPr>
      <w:r>
        <w:rPr>
          <w:sz w:val="24"/>
        </w:rPr>
        <w:t>for its </w:t>
      </w:r>
      <w:r>
        <w:rPr>
          <w:i/>
          <w:sz w:val="24"/>
        </w:rPr>
        <w:t>synchronous generating units</w:t>
      </w:r>
      <w:r>
        <w:rPr>
          <w:sz w:val="24"/>
        </w:rPr>
        <w:t>, a </w:t>
      </w:r>
      <w:r>
        <w:rPr>
          <w:i/>
          <w:sz w:val="24"/>
        </w:rPr>
        <w:t>protection system </w:t>
      </w:r>
      <w:r>
        <w:rPr>
          <w:sz w:val="24"/>
        </w:rPr>
        <w:t>to </w:t>
      </w:r>
      <w:r>
        <w:rPr>
          <w:i/>
          <w:sz w:val="24"/>
        </w:rPr>
        <w:t>disconnect </w:t>
      </w:r>
      <w:r>
        <w:rPr>
          <w:sz w:val="24"/>
        </w:rPr>
        <w:t>it promptly when a condition that would lead to pole slipping is detected, to prevent pole slipping or other conditions where a </w:t>
      </w:r>
      <w:r>
        <w:rPr>
          <w:i/>
          <w:sz w:val="24"/>
        </w:rPr>
        <w:t>generating unit </w:t>
      </w:r>
      <w:r>
        <w:rPr>
          <w:sz w:val="24"/>
        </w:rPr>
        <w:t>causes </w:t>
      </w:r>
      <w:r>
        <w:rPr>
          <w:i/>
          <w:sz w:val="24"/>
        </w:rPr>
        <w:t>active power</w:t>
      </w:r>
      <w:r>
        <w:rPr>
          <w:sz w:val="24"/>
        </w:rPr>
        <w:t>, </w:t>
      </w:r>
      <w:r>
        <w:rPr>
          <w:i/>
          <w:sz w:val="24"/>
        </w:rPr>
        <w:t>reactive power </w:t>
      </w:r>
      <w:r>
        <w:rPr>
          <w:sz w:val="24"/>
        </w:rPr>
        <w:t>or </w:t>
      </w:r>
      <w:r>
        <w:rPr>
          <w:i/>
          <w:sz w:val="24"/>
        </w:rPr>
        <w:t>voltage </w:t>
      </w:r>
      <w:r>
        <w:rPr>
          <w:sz w:val="24"/>
        </w:rPr>
        <w:t>at the </w:t>
      </w:r>
      <w:r>
        <w:rPr>
          <w:i/>
          <w:sz w:val="24"/>
        </w:rPr>
        <w:t>connection point </w:t>
      </w:r>
      <w:r>
        <w:rPr>
          <w:sz w:val="24"/>
        </w:rPr>
        <w:t>to become unstable as assessed in accordance with the </w:t>
      </w:r>
      <w:r>
        <w:rPr>
          <w:i/>
          <w:sz w:val="24"/>
        </w:rPr>
        <w:t>power system </w:t>
      </w:r>
      <w:r>
        <w:rPr>
          <w:sz w:val="24"/>
        </w:rPr>
        <w:t>stability guidelines established under clause 4.3.4(h); and</w:t>
      </w:r>
    </w:p>
    <w:p>
      <w:pPr>
        <w:pStyle w:val="ListParagraph"/>
        <w:numPr>
          <w:ilvl w:val="1"/>
          <w:numId w:val="292"/>
        </w:numPr>
        <w:tabs>
          <w:tab w:pos="2486" w:val="left" w:leader="none"/>
        </w:tabs>
        <w:spacing w:line="240" w:lineRule="auto" w:before="120" w:after="0"/>
        <w:ind w:left="2486" w:right="415" w:hanging="567"/>
        <w:jc w:val="both"/>
        <w:rPr>
          <w:sz w:val="24"/>
        </w:rPr>
      </w:pPr>
      <w:r>
        <w:rPr>
          <w:sz w:val="24"/>
        </w:rPr>
        <w:t>for its </w:t>
      </w:r>
      <w:r>
        <w:rPr>
          <w:i/>
          <w:sz w:val="24"/>
        </w:rPr>
        <w:t>asynchronous generating units</w:t>
      </w:r>
      <w:r>
        <w:rPr>
          <w:sz w:val="24"/>
        </w:rPr>
        <w:t>, a </w:t>
      </w:r>
      <w:r>
        <w:rPr>
          <w:i/>
          <w:sz w:val="24"/>
        </w:rPr>
        <w:t>protection system </w:t>
      </w:r>
      <w:r>
        <w:rPr>
          <w:sz w:val="24"/>
        </w:rPr>
        <w:t>to </w:t>
      </w:r>
      <w:r>
        <w:rPr>
          <w:i/>
          <w:sz w:val="24"/>
        </w:rPr>
        <w:t>disconnect </w:t>
      </w:r>
      <w:r>
        <w:rPr>
          <w:sz w:val="24"/>
        </w:rPr>
        <w:t>it promptly for conditions where the </w:t>
      </w:r>
      <w:r>
        <w:rPr>
          <w:i/>
          <w:sz w:val="24"/>
        </w:rPr>
        <w:t>active power</w:t>
      </w:r>
      <w:r>
        <w:rPr>
          <w:sz w:val="24"/>
        </w:rPr>
        <w:t>, </w:t>
      </w:r>
      <w:r>
        <w:rPr>
          <w:i/>
          <w:sz w:val="24"/>
        </w:rPr>
        <w:t>reactive </w:t>
      </w:r>
      <w:r>
        <w:rPr>
          <w:i/>
          <w:sz w:val="24"/>
        </w:rPr>
        <w:t>power </w:t>
      </w:r>
      <w:r>
        <w:rPr>
          <w:sz w:val="24"/>
        </w:rPr>
        <w:t>or </w:t>
      </w:r>
      <w:r>
        <w:rPr>
          <w:i/>
          <w:sz w:val="24"/>
        </w:rPr>
        <w:t>voltage </w:t>
      </w:r>
      <w:r>
        <w:rPr>
          <w:sz w:val="24"/>
        </w:rPr>
        <w:t>at the </w:t>
      </w:r>
      <w:r>
        <w:rPr>
          <w:i/>
          <w:sz w:val="24"/>
        </w:rPr>
        <w:t>connection point </w:t>
      </w:r>
      <w:r>
        <w:rPr>
          <w:sz w:val="24"/>
        </w:rPr>
        <w:t>becomes unstable as assessed in accordance with the guidelines for </w:t>
      </w:r>
      <w:r>
        <w:rPr>
          <w:i/>
          <w:sz w:val="24"/>
        </w:rPr>
        <w:t>power system </w:t>
      </w:r>
      <w:r>
        <w:rPr>
          <w:sz w:val="24"/>
        </w:rPr>
        <w:t>stability established under clause</w:t>
      </w:r>
      <w:r>
        <w:rPr>
          <w:spacing w:val="-1"/>
          <w:sz w:val="24"/>
        </w:rPr>
        <w:t> </w:t>
      </w:r>
      <w:r>
        <w:rPr>
          <w:sz w:val="24"/>
        </w:rPr>
        <w:t>4.3.4(h).</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92"/>
        </w:numPr>
        <w:tabs>
          <w:tab w:pos="1919" w:val="left" w:leader="none"/>
        </w:tabs>
        <w:spacing w:line="240" w:lineRule="auto" w:before="120" w:after="0"/>
        <w:ind w:left="1919" w:right="416" w:hanging="567"/>
        <w:jc w:val="both"/>
        <w:rPr>
          <w:sz w:val="24"/>
        </w:rPr>
      </w:pPr>
      <w:r>
        <w:rPr>
          <w:sz w:val="24"/>
        </w:rPr>
        <w:t>The </w:t>
      </w:r>
      <w:r>
        <w:rPr>
          <w:i/>
          <w:sz w:val="24"/>
        </w:rPr>
        <w:t>minimum access standard </w:t>
      </w:r>
      <w:r>
        <w:rPr>
          <w:sz w:val="24"/>
        </w:rPr>
        <w:t>is a </w:t>
      </w:r>
      <w:r>
        <w:rPr>
          <w:i/>
          <w:sz w:val="24"/>
        </w:rPr>
        <w:t>generating system </w:t>
      </w:r>
      <w:r>
        <w:rPr>
          <w:sz w:val="24"/>
        </w:rPr>
        <w:t>must not cause a </w:t>
      </w:r>
      <w:r>
        <w:rPr>
          <w:i/>
          <w:sz w:val="24"/>
        </w:rPr>
        <w:t>voltage </w:t>
      </w:r>
      <w:r>
        <w:rPr>
          <w:sz w:val="24"/>
        </w:rPr>
        <w:t>disturbance at the </w:t>
      </w:r>
      <w:r>
        <w:rPr>
          <w:i/>
          <w:sz w:val="24"/>
        </w:rPr>
        <w:t>connection point </w:t>
      </w:r>
      <w:r>
        <w:rPr>
          <w:sz w:val="24"/>
        </w:rPr>
        <w:t>due to sustained unstable behaviour of more than the maximum level specified in Table 7 of </w:t>
      </w:r>
      <w:r>
        <w:rPr>
          <w:i/>
          <w:sz w:val="24"/>
        </w:rPr>
        <w:t>Australian Standard </w:t>
      </w:r>
      <w:r>
        <w:rPr>
          <w:sz w:val="24"/>
        </w:rPr>
        <w:t>AS/NZS</w:t>
      </w:r>
      <w:r>
        <w:rPr>
          <w:spacing w:val="-2"/>
          <w:sz w:val="24"/>
        </w:rPr>
        <w:t> </w:t>
      </w:r>
      <w:r>
        <w:rPr>
          <w:sz w:val="24"/>
        </w:rPr>
        <w:t>61000.3.7:2001.</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92"/>
        </w:numPr>
        <w:tabs>
          <w:tab w:pos="1919" w:val="left" w:leader="none"/>
        </w:tabs>
        <w:spacing w:line="240" w:lineRule="auto" w:before="120" w:after="0"/>
        <w:ind w:left="1919" w:right="415" w:hanging="567"/>
        <w:jc w:val="both"/>
        <w:rPr>
          <w:sz w:val="24"/>
        </w:rPr>
      </w:pPr>
      <w:r>
        <w:rPr>
          <w:sz w:val="24"/>
        </w:rPr>
        <w:t>If the </w:t>
      </w:r>
      <w:r>
        <w:rPr>
          <w:i/>
          <w:sz w:val="24"/>
        </w:rPr>
        <w:t>Network Service Provider </w:t>
      </w:r>
      <w:r>
        <w:rPr>
          <w:sz w:val="24"/>
        </w:rPr>
        <w:t>and the </w:t>
      </w:r>
      <w:r>
        <w:rPr>
          <w:i/>
          <w:sz w:val="24"/>
        </w:rPr>
        <w:t>Generator </w:t>
      </w:r>
      <w:r>
        <w:rPr>
          <w:sz w:val="24"/>
        </w:rPr>
        <w:t>agree, a </w:t>
      </w:r>
      <w:r>
        <w:rPr>
          <w:i/>
          <w:sz w:val="24"/>
        </w:rPr>
        <w:t>protection </w:t>
      </w:r>
      <w:r>
        <w:rPr>
          <w:i/>
          <w:sz w:val="24"/>
        </w:rPr>
        <w:t>system </w:t>
      </w:r>
      <w:r>
        <w:rPr>
          <w:sz w:val="24"/>
        </w:rPr>
        <w:t>may also trip any other part of the </w:t>
      </w:r>
      <w:r>
        <w:rPr>
          <w:i/>
          <w:sz w:val="24"/>
        </w:rPr>
        <w:t>generating system </w:t>
      </w:r>
      <w:r>
        <w:rPr>
          <w:sz w:val="24"/>
        </w:rPr>
        <w:t>to cease the instability.</w:t>
      </w:r>
    </w:p>
    <w:p>
      <w:pPr>
        <w:pStyle w:val="ListParagraph"/>
        <w:numPr>
          <w:ilvl w:val="0"/>
          <w:numId w:val="292"/>
        </w:numPr>
        <w:tabs>
          <w:tab w:pos="1919" w:val="left" w:leader="none"/>
        </w:tabs>
        <w:spacing w:line="240" w:lineRule="auto" w:before="120" w:after="0"/>
        <w:ind w:left="1918" w:right="0" w:hanging="567"/>
        <w:jc w:val="both"/>
        <w:rPr>
          <w:sz w:val="24"/>
        </w:rPr>
      </w:pPr>
      <w:r>
        <w:rPr>
          <w:sz w:val="24"/>
        </w:rPr>
        <w:t>Notwithstanding</w:t>
      </w:r>
      <w:r>
        <w:rPr>
          <w:spacing w:val="11"/>
          <w:sz w:val="24"/>
        </w:rPr>
        <w:t> </w:t>
      </w:r>
      <w:r>
        <w:rPr>
          <w:sz w:val="24"/>
        </w:rPr>
        <w:t>paragraph</w:t>
      </w:r>
      <w:r>
        <w:rPr>
          <w:spacing w:val="11"/>
          <w:sz w:val="24"/>
        </w:rPr>
        <w:t> </w:t>
      </w:r>
      <w:r>
        <w:rPr>
          <w:sz w:val="24"/>
        </w:rPr>
        <w:t>(c),</w:t>
      </w:r>
      <w:r>
        <w:rPr>
          <w:spacing w:val="12"/>
          <w:sz w:val="24"/>
        </w:rPr>
        <w:t> </w:t>
      </w:r>
      <w:r>
        <w:rPr>
          <w:sz w:val="24"/>
        </w:rPr>
        <w:t>a</w:t>
      </w:r>
      <w:r>
        <w:rPr>
          <w:spacing w:val="11"/>
          <w:sz w:val="24"/>
        </w:rPr>
        <w:t> </w:t>
      </w:r>
      <w:r>
        <w:rPr>
          <w:i/>
          <w:sz w:val="24"/>
        </w:rPr>
        <w:t>protection</w:t>
      </w:r>
      <w:r>
        <w:rPr>
          <w:i/>
          <w:spacing w:val="12"/>
          <w:sz w:val="24"/>
        </w:rPr>
        <w:t> </w:t>
      </w:r>
      <w:r>
        <w:rPr>
          <w:i/>
          <w:sz w:val="24"/>
        </w:rPr>
        <w:t>system</w:t>
      </w:r>
      <w:r>
        <w:rPr>
          <w:i/>
          <w:spacing w:val="11"/>
          <w:sz w:val="24"/>
        </w:rPr>
        <w:t> </w:t>
      </w:r>
      <w:r>
        <w:rPr>
          <w:sz w:val="24"/>
        </w:rPr>
        <w:t>must</w:t>
      </w:r>
      <w:r>
        <w:rPr>
          <w:spacing w:val="12"/>
          <w:sz w:val="24"/>
        </w:rPr>
        <w:t> </w:t>
      </w:r>
      <w:r>
        <w:rPr>
          <w:sz w:val="24"/>
        </w:rPr>
        <w:t>be</w:t>
      </w:r>
      <w:r>
        <w:rPr>
          <w:spacing w:val="11"/>
          <w:sz w:val="24"/>
        </w:rPr>
        <w:t> </w:t>
      </w:r>
      <w:r>
        <w:rPr>
          <w:sz w:val="24"/>
        </w:rPr>
        <w:t>provided</w:t>
      </w:r>
      <w:r>
        <w:rPr>
          <w:spacing w:val="11"/>
          <w:sz w:val="24"/>
        </w:rPr>
        <w:t> </w:t>
      </w:r>
      <w:r>
        <w:rPr>
          <w:sz w:val="24"/>
        </w:rPr>
        <w:t>in</w:t>
      </w:r>
      <w:r>
        <w:rPr>
          <w:spacing w:val="12"/>
          <w:sz w:val="24"/>
        </w:rPr>
        <w:t> </w:t>
      </w:r>
      <w:r>
        <w:rPr>
          <w:sz w:val="24"/>
        </w:rPr>
        <w:t>the</w:t>
      </w:r>
    </w:p>
    <w:p>
      <w:pPr>
        <w:spacing w:before="0"/>
        <w:ind w:left="1919" w:right="0" w:firstLine="0"/>
        <w:jc w:val="both"/>
        <w:rPr>
          <w:sz w:val="24"/>
        </w:rPr>
      </w:pPr>
      <w:r>
        <w:rPr>
          <w:i/>
          <w:sz w:val="24"/>
        </w:rPr>
        <w:t>access standard </w:t>
      </w:r>
      <w:r>
        <w:rPr>
          <w:sz w:val="24"/>
        </w:rPr>
        <w:t>to trip the affected </w:t>
      </w:r>
      <w:r>
        <w:rPr>
          <w:i/>
          <w:sz w:val="24"/>
        </w:rPr>
        <w:t>generating unit </w:t>
      </w:r>
      <w:r>
        <w:rPr>
          <w:sz w:val="24"/>
        </w:rPr>
        <w:t>where:</w:t>
      </w:r>
    </w:p>
    <w:p>
      <w:pPr>
        <w:pStyle w:val="ListParagraph"/>
        <w:numPr>
          <w:ilvl w:val="1"/>
          <w:numId w:val="292"/>
        </w:numPr>
        <w:tabs>
          <w:tab w:pos="2486" w:val="left" w:leader="none"/>
        </w:tabs>
        <w:spacing w:line="240" w:lineRule="auto" w:before="120" w:after="0"/>
        <w:ind w:left="2486" w:right="414" w:hanging="567"/>
        <w:jc w:val="both"/>
        <w:rPr>
          <w:sz w:val="24"/>
        </w:rPr>
      </w:pPr>
      <w:r>
        <w:rPr>
          <w:sz w:val="24"/>
        </w:rPr>
        <w:t>the </w:t>
      </w:r>
      <w:r>
        <w:rPr>
          <w:i/>
          <w:sz w:val="24"/>
        </w:rPr>
        <w:t>Network Service Provider </w:t>
      </w:r>
      <w:r>
        <w:rPr>
          <w:sz w:val="24"/>
        </w:rPr>
        <w:t>considers it necessary to prevent consequential tripping of, or damage to, other </w:t>
      </w:r>
      <w:r>
        <w:rPr>
          <w:i/>
          <w:sz w:val="24"/>
        </w:rPr>
        <w:t>generating units</w:t>
      </w:r>
      <w:r>
        <w:rPr>
          <w:sz w:val="24"/>
        </w:rPr>
        <w:t>, </w:t>
      </w:r>
      <w:r>
        <w:rPr>
          <w:i/>
          <w:sz w:val="24"/>
        </w:rPr>
        <w:t>network </w:t>
      </w:r>
      <w:r>
        <w:rPr>
          <w:sz w:val="24"/>
        </w:rPr>
        <w:t>equipment or other </w:t>
      </w:r>
      <w:r>
        <w:rPr>
          <w:i/>
          <w:sz w:val="24"/>
        </w:rPr>
        <w:t>Network Users' facilities</w:t>
      </w:r>
      <w:r>
        <w:rPr>
          <w:sz w:val="24"/>
        </w:rPr>
        <w:t>,</w:t>
      </w:r>
      <w:r>
        <w:rPr>
          <w:spacing w:val="-3"/>
          <w:sz w:val="24"/>
        </w:rPr>
        <w:t> </w:t>
      </w:r>
      <w:r>
        <w:rPr>
          <w:sz w:val="24"/>
        </w:rPr>
        <w:t>or</w:t>
      </w:r>
    </w:p>
    <w:p>
      <w:pPr>
        <w:pStyle w:val="ListParagraph"/>
        <w:numPr>
          <w:ilvl w:val="1"/>
          <w:numId w:val="292"/>
        </w:numPr>
        <w:tabs>
          <w:tab w:pos="2486" w:val="left" w:leader="none"/>
        </w:tabs>
        <w:spacing w:line="240" w:lineRule="auto" w:before="120" w:after="0"/>
        <w:ind w:left="2486" w:right="416" w:hanging="567"/>
        <w:jc w:val="both"/>
        <w:rPr>
          <w:sz w:val="24"/>
        </w:rPr>
      </w:pPr>
      <w:r>
        <w:rPr>
          <w:i/>
          <w:sz w:val="24"/>
        </w:rPr>
        <w:t>AEMO </w:t>
      </w:r>
      <w:r>
        <w:rPr>
          <w:sz w:val="24"/>
        </w:rPr>
        <w:t>considers it necessary to prevent unstable operation having an adverse impact on </w:t>
      </w:r>
      <w:r>
        <w:rPr>
          <w:i/>
          <w:sz w:val="24"/>
        </w:rPr>
        <w:t>power system</w:t>
      </w:r>
      <w:r>
        <w:rPr>
          <w:i/>
          <w:spacing w:val="-3"/>
          <w:sz w:val="24"/>
        </w:rPr>
        <w:t> </w:t>
      </w:r>
      <w:r>
        <w:rPr>
          <w:i/>
          <w:sz w:val="24"/>
        </w:rPr>
        <w:t>security</w:t>
      </w:r>
      <w:r>
        <w:rPr>
          <w:sz w:val="24"/>
        </w:rPr>
        <w:t>.</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5.2.5.11 Frequency control" w:id="990"/>
      <w:bookmarkEnd w:id="990"/>
      <w:r>
        <w:rPr>
          <w:b w:val="0"/>
        </w:rPr>
      </w:r>
      <w:bookmarkStart w:name="_bookmark387" w:id="991"/>
      <w:bookmarkEnd w:id="991"/>
      <w:r>
        <w:rPr>
          <w:b w:val="0"/>
        </w:rPr>
      </w:r>
      <w:r>
        <w:rPr/>
        <w:t>S5.2.5.11 Frequency control</w:t>
      </w:r>
    </w:p>
    <w:p>
      <w:pPr>
        <w:pStyle w:val="ListParagraph"/>
        <w:numPr>
          <w:ilvl w:val="0"/>
          <w:numId w:val="293"/>
        </w:numPr>
        <w:tabs>
          <w:tab w:pos="1919" w:val="left" w:leader="none"/>
        </w:tabs>
        <w:spacing w:line="240" w:lineRule="auto" w:before="120" w:after="0"/>
        <w:ind w:left="1918" w:right="0" w:hanging="567"/>
        <w:jc w:val="both"/>
        <w:rPr>
          <w:sz w:val="24"/>
        </w:rPr>
      </w:pPr>
      <w:r>
        <w:rPr>
          <w:sz w:val="24"/>
        </w:rPr>
        <w:t>For the purpose of this clause</w:t>
      </w:r>
      <w:r>
        <w:rPr>
          <w:spacing w:val="-2"/>
          <w:sz w:val="24"/>
        </w:rPr>
        <w:t> </w:t>
      </w:r>
      <w:r>
        <w:rPr>
          <w:sz w:val="24"/>
        </w:rPr>
        <w:t>S5.2.5.11:</w:t>
      </w:r>
    </w:p>
    <w:p>
      <w:pPr>
        <w:spacing w:before="120"/>
        <w:ind w:left="1919" w:right="414" w:firstLine="0"/>
        <w:jc w:val="both"/>
        <w:rPr>
          <w:sz w:val="24"/>
        </w:rPr>
      </w:pPr>
      <w:r>
        <w:rPr>
          <w:b/>
          <w:sz w:val="24"/>
        </w:rPr>
        <w:t>droop </w:t>
      </w:r>
      <w:r>
        <w:rPr>
          <w:sz w:val="24"/>
        </w:rPr>
        <w:t>means, in relation to </w:t>
      </w:r>
      <w:r>
        <w:rPr>
          <w:i/>
          <w:sz w:val="24"/>
        </w:rPr>
        <w:t>frequency response mode</w:t>
      </w:r>
      <w:r>
        <w:rPr>
          <w:sz w:val="24"/>
        </w:rPr>
        <w:t>, the percentage change in </w:t>
      </w:r>
      <w:r>
        <w:rPr>
          <w:i/>
          <w:sz w:val="24"/>
        </w:rPr>
        <w:t>power system frequency </w:t>
      </w:r>
      <w:r>
        <w:rPr>
          <w:sz w:val="24"/>
        </w:rPr>
        <w:t>as measured at the </w:t>
      </w:r>
      <w:r>
        <w:rPr>
          <w:i/>
          <w:sz w:val="24"/>
        </w:rPr>
        <w:t>connection point</w:t>
      </w:r>
      <w:r>
        <w:rPr>
          <w:sz w:val="24"/>
        </w:rPr>
        <w:t>, divided by the percentage change in </w:t>
      </w:r>
      <w:r>
        <w:rPr>
          <w:i/>
          <w:sz w:val="24"/>
        </w:rPr>
        <w:t>power transfer </w:t>
      </w:r>
      <w:r>
        <w:rPr>
          <w:sz w:val="24"/>
        </w:rPr>
        <w:t>of the </w:t>
      </w:r>
      <w:r>
        <w:rPr>
          <w:i/>
          <w:sz w:val="24"/>
        </w:rPr>
        <w:t>generating system </w:t>
      </w:r>
      <w:r>
        <w:rPr>
          <w:sz w:val="24"/>
        </w:rPr>
        <w:t>expressed as a percentage of the maximum operating level of the </w:t>
      </w:r>
      <w:r>
        <w:rPr>
          <w:i/>
          <w:sz w:val="24"/>
        </w:rPr>
        <w:t>generating </w:t>
      </w:r>
      <w:r>
        <w:rPr>
          <w:i/>
          <w:sz w:val="24"/>
        </w:rPr>
        <w:t>system</w:t>
      </w:r>
      <w:r>
        <w:rPr>
          <w:sz w:val="24"/>
        </w:rPr>
        <w:t>. Droop must be measured at </w:t>
      </w:r>
      <w:r>
        <w:rPr>
          <w:i/>
          <w:sz w:val="24"/>
        </w:rPr>
        <w:t>frequencies </w:t>
      </w:r>
      <w:r>
        <w:rPr>
          <w:sz w:val="24"/>
        </w:rPr>
        <w:t>that are outside the deadband and within the limits of </w:t>
      </w:r>
      <w:r>
        <w:rPr>
          <w:i/>
          <w:sz w:val="24"/>
        </w:rPr>
        <w:t>power</w:t>
      </w:r>
      <w:r>
        <w:rPr>
          <w:i/>
          <w:spacing w:val="-1"/>
          <w:sz w:val="24"/>
        </w:rPr>
        <w:t> </w:t>
      </w:r>
      <w:r>
        <w:rPr>
          <w:i/>
          <w:sz w:val="24"/>
        </w:rPr>
        <w:t>transfer</w:t>
      </w:r>
      <w:r>
        <w:rPr>
          <w:sz w:val="24"/>
        </w:rPr>
        <w:t>.</w:t>
      </w:r>
    </w:p>
    <w:p>
      <w:pPr>
        <w:spacing w:before="120"/>
        <w:ind w:left="1919" w:right="0" w:firstLine="0"/>
        <w:jc w:val="both"/>
        <w:rPr>
          <w:sz w:val="24"/>
        </w:rPr>
      </w:pPr>
      <w:r>
        <w:rPr>
          <w:b/>
          <w:sz w:val="24"/>
        </w:rPr>
        <w:t>maximum operating level </w:t>
      </w:r>
      <w:r>
        <w:rPr>
          <w:sz w:val="24"/>
        </w:rPr>
        <w:t>means in relation to:</w:t>
      </w:r>
    </w:p>
    <w:p>
      <w:pPr>
        <w:pStyle w:val="ListParagraph"/>
        <w:numPr>
          <w:ilvl w:val="1"/>
          <w:numId w:val="293"/>
        </w:numPr>
        <w:tabs>
          <w:tab w:pos="2486" w:val="left" w:leader="none"/>
        </w:tabs>
        <w:spacing w:line="240" w:lineRule="auto" w:before="120" w:after="0"/>
        <w:ind w:left="2485" w:right="0" w:hanging="567"/>
        <w:jc w:val="both"/>
        <w:rPr>
          <w:i/>
          <w:sz w:val="24"/>
        </w:rPr>
      </w:pPr>
      <w:r>
        <w:rPr>
          <w:sz w:val="24"/>
        </w:rPr>
        <w:t>a</w:t>
      </w:r>
      <w:r>
        <w:rPr>
          <w:spacing w:val="42"/>
          <w:sz w:val="24"/>
        </w:rPr>
        <w:t> </w:t>
      </w:r>
      <w:r>
        <w:rPr>
          <w:i/>
          <w:sz w:val="24"/>
        </w:rPr>
        <w:t>non-scheduled</w:t>
      </w:r>
      <w:r>
        <w:rPr>
          <w:i/>
          <w:spacing w:val="42"/>
          <w:sz w:val="24"/>
        </w:rPr>
        <w:t> </w:t>
      </w:r>
      <w:r>
        <w:rPr>
          <w:i/>
          <w:sz w:val="24"/>
        </w:rPr>
        <w:t>generating</w:t>
      </w:r>
      <w:r>
        <w:rPr>
          <w:i/>
          <w:spacing w:val="42"/>
          <w:sz w:val="24"/>
        </w:rPr>
        <w:t> </w:t>
      </w:r>
      <w:r>
        <w:rPr>
          <w:i/>
          <w:sz w:val="24"/>
        </w:rPr>
        <w:t>unit</w:t>
      </w:r>
      <w:r>
        <w:rPr>
          <w:sz w:val="24"/>
        </w:rPr>
        <w:t>,</w:t>
      </w:r>
      <w:r>
        <w:rPr>
          <w:spacing w:val="41"/>
          <w:sz w:val="24"/>
        </w:rPr>
        <w:t> </w:t>
      </w:r>
      <w:r>
        <w:rPr>
          <w:sz w:val="24"/>
        </w:rPr>
        <w:t>the</w:t>
      </w:r>
      <w:r>
        <w:rPr>
          <w:spacing w:val="43"/>
          <w:sz w:val="24"/>
        </w:rPr>
        <w:t> </w:t>
      </w:r>
      <w:r>
        <w:rPr>
          <w:sz w:val="24"/>
        </w:rPr>
        <w:t>maximum</w:t>
      </w:r>
      <w:r>
        <w:rPr>
          <w:spacing w:val="42"/>
          <w:sz w:val="24"/>
        </w:rPr>
        <w:t> </w:t>
      </w:r>
      <w:r>
        <w:rPr>
          <w:i/>
          <w:sz w:val="24"/>
        </w:rPr>
        <w:t>sent</w:t>
      </w:r>
      <w:r>
        <w:rPr>
          <w:i/>
          <w:spacing w:val="41"/>
          <w:sz w:val="24"/>
        </w:rPr>
        <w:t> </w:t>
      </w:r>
      <w:r>
        <w:rPr>
          <w:i/>
          <w:sz w:val="24"/>
        </w:rPr>
        <w:t>out</w:t>
      </w:r>
      <w:r>
        <w:rPr>
          <w:i/>
          <w:spacing w:val="43"/>
          <w:sz w:val="24"/>
        </w:rPr>
        <w:t> </w:t>
      </w:r>
      <w:r>
        <w:rPr>
          <w:i/>
          <w:sz w:val="24"/>
        </w:rPr>
        <w:t>generation</w:t>
      </w:r>
    </w:p>
    <w:p>
      <w:pPr>
        <w:spacing w:before="0"/>
        <w:ind w:left="2486" w:right="0" w:firstLine="0"/>
        <w:jc w:val="both"/>
        <w:rPr>
          <w:sz w:val="24"/>
        </w:rPr>
      </w:pPr>
      <w:r>
        <w:rPr>
          <w:sz w:val="24"/>
        </w:rPr>
        <w:t>consistent with its </w:t>
      </w:r>
      <w:r>
        <w:rPr>
          <w:i/>
          <w:sz w:val="24"/>
        </w:rPr>
        <w:t>nameplate rating</w:t>
      </w:r>
      <w:r>
        <w:rPr>
          <w:sz w:val="24"/>
        </w:rPr>
        <w:t>;</w:t>
      </w:r>
    </w:p>
    <w:p>
      <w:pPr>
        <w:pStyle w:val="ListParagraph"/>
        <w:numPr>
          <w:ilvl w:val="1"/>
          <w:numId w:val="293"/>
        </w:numPr>
        <w:tabs>
          <w:tab w:pos="2486" w:val="left" w:leader="none"/>
        </w:tabs>
        <w:spacing w:line="240" w:lineRule="auto" w:before="120" w:after="0"/>
        <w:ind w:left="2486" w:right="416" w:hanging="567"/>
        <w:jc w:val="both"/>
        <w:rPr>
          <w:sz w:val="24"/>
        </w:rPr>
      </w:pPr>
      <w:r>
        <w:rPr>
          <w:sz w:val="24"/>
        </w:rPr>
        <w:t>a </w:t>
      </w:r>
      <w:r>
        <w:rPr>
          <w:i/>
          <w:sz w:val="24"/>
        </w:rPr>
        <w:t>scheduled generating unit </w:t>
      </w:r>
      <w:r>
        <w:rPr>
          <w:sz w:val="24"/>
        </w:rPr>
        <w:t>or </w:t>
      </w:r>
      <w:r>
        <w:rPr>
          <w:i/>
          <w:sz w:val="24"/>
        </w:rPr>
        <w:t>semi-scheduled generating unit</w:t>
      </w:r>
      <w:r>
        <w:rPr>
          <w:sz w:val="24"/>
        </w:rPr>
        <w:t>, the maximum </w:t>
      </w:r>
      <w:r>
        <w:rPr>
          <w:i/>
          <w:sz w:val="24"/>
        </w:rPr>
        <w:t>generation </w:t>
      </w:r>
      <w:r>
        <w:rPr>
          <w:sz w:val="24"/>
        </w:rPr>
        <w:t>to which it may be </w:t>
      </w:r>
      <w:r>
        <w:rPr>
          <w:i/>
          <w:sz w:val="24"/>
        </w:rPr>
        <w:t>dispatched </w:t>
      </w:r>
      <w:r>
        <w:rPr>
          <w:sz w:val="24"/>
        </w:rPr>
        <w:t>and as provided to </w:t>
      </w:r>
      <w:r>
        <w:rPr>
          <w:i/>
          <w:sz w:val="24"/>
        </w:rPr>
        <w:t>AEMO </w:t>
      </w:r>
      <w:r>
        <w:rPr>
          <w:sz w:val="24"/>
        </w:rPr>
        <w:t>in the most recent </w:t>
      </w:r>
      <w:r>
        <w:rPr>
          <w:i/>
          <w:sz w:val="24"/>
        </w:rPr>
        <w:t>bid and offer validation</w:t>
      </w:r>
      <w:r>
        <w:rPr>
          <w:i/>
          <w:spacing w:val="-2"/>
          <w:sz w:val="24"/>
        </w:rPr>
        <w:t> </w:t>
      </w:r>
      <w:r>
        <w:rPr>
          <w:i/>
          <w:sz w:val="24"/>
        </w:rPr>
        <w:t>data</w:t>
      </w:r>
      <w:r>
        <w:rPr>
          <w:sz w:val="24"/>
        </w:rPr>
        <w:t>;</w:t>
      </w:r>
    </w:p>
    <w:p>
      <w:pPr>
        <w:pStyle w:val="ListParagraph"/>
        <w:numPr>
          <w:ilvl w:val="1"/>
          <w:numId w:val="293"/>
        </w:numPr>
        <w:tabs>
          <w:tab w:pos="2486" w:val="left" w:leader="none"/>
        </w:tabs>
        <w:spacing w:line="240" w:lineRule="auto" w:before="120" w:after="0"/>
        <w:ind w:left="2486" w:right="415" w:hanging="567"/>
        <w:jc w:val="both"/>
        <w:rPr>
          <w:sz w:val="24"/>
        </w:rPr>
      </w:pPr>
      <w:r>
        <w:rPr>
          <w:sz w:val="24"/>
        </w:rPr>
        <w:t>a </w:t>
      </w:r>
      <w:r>
        <w:rPr>
          <w:i/>
          <w:sz w:val="24"/>
        </w:rPr>
        <w:t>non-scheduled generating system</w:t>
      </w:r>
      <w:r>
        <w:rPr>
          <w:sz w:val="24"/>
        </w:rPr>
        <w:t>, the combined maximum </w:t>
      </w:r>
      <w:r>
        <w:rPr>
          <w:i/>
          <w:sz w:val="24"/>
        </w:rPr>
        <w:t>sent out </w:t>
      </w:r>
      <w:r>
        <w:rPr>
          <w:i/>
          <w:sz w:val="24"/>
        </w:rPr>
        <w:t>generation </w:t>
      </w:r>
      <w:r>
        <w:rPr>
          <w:sz w:val="24"/>
        </w:rPr>
        <w:t>consistent with the </w:t>
      </w:r>
      <w:r>
        <w:rPr>
          <w:i/>
          <w:sz w:val="24"/>
        </w:rPr>
        <w:t>nameplate ratings </w:t>
      </w:r>
      <w:r>
        <w:rPr>
          <w:sz w:val="24"/>
        </w:rPr>
        <w:t>of its in-service </w:t>
      </w:r>
      <w:r>
        <w:rPr>
          <w:i/>
          <w:sz w:val="24"/>
        </w:rPr>
        <w:t>generating units</w:t>
      </w:r>
      <w:r>
        <w:rPr>
          <w:sz w:val="24"/>
        </w:rPr>
        <w:t>;</w:t>
      </w:r>
      <w:r>
        <w:rPr>
          <w:spacing w:val="-1"/>
          <w:sz w:val="24"/>
        </w:rPr>
        <w:t> </w:t>
      </w:r>
      <w:r>
        <w:rPr>
          <w:sz w:val="24"/>
        </w:rPr>
        <w:t>and</w:t>
      </w:r>
    </w:p>
    <w:p>
      <w:pPr>
        <w:pStyle w:val="ListParagraph"/>
        <w:numPr>
          <w:ilvl w:val="1"/>
          <w:numId w:val="293"/>
        </w:numPr>
        <w:tabs>
          <w:tab w:pos="2486" w:val="left" w:leader="none"/>
        </w:tabs>
        <w:spacing w:line="240" w:lineRule="auto" w:before="120" w:after="0"/>
        <w:ind w:left="2486" w:right="415" w:hanging="567"/>
        <w:jc w:val="both"/>
        <w:rPr>
          <w:sz w:val="24"/>
        </w:rPr>
      </w:pPr>
      <w:r>
        <w:rPr>
          <w:sz w:val="24"/>
        </w:rPr>
        <w:t>a </w:t>
      </w:r>
      <w:r>
        <w:rPr>
          <w:i/>
          <w:sz w:val="24"/>
        </w:rPr>
        <w:t>scheduled generating system </w:t>
      </w:r>
      <w:r>
        <w:rPr>
          <w:sz w:val="24"/>
        </w:rPr>
        <w:t>or </w:t>
      </w:r>
      <w:r>
        <w:rPr>
          <w:i/>
          <w:sz w:val="24"/>
        </w:rPr>
        <w:t>semi-scheduled generating system</w:t>
      </w:r>
      <w:r>
        <w:rPr>
          <w:sz w:val="24"/>
        </w:rPr>
        <w:t>, the combined maximum </w:t>
      </w:r>
      <w:r>
        <w:rPr>
          <w:i/>
          <w:sz w:val="24"/>
        </w:rPr>
        <w:t>generation </w:t>
      </w:r>
      <w:r>
        <w:rPr>
          <w:sz w:val="24"/>
        </w:rPr>
        <w:t>to which its in-service </w:t>
      </w:r>
      <w:r>
        <w:rPr>
          <w:i/>
          <w:sz w:val="24"/>
        </w:rPr>
        <w:t>generating </w:t>
      </w:r>
      <w:r>
        <w:rPr>
          <w:i/>
          <w:sz w:val="24"/>
        </w:rPr>
        <w:t>units </w:t>
      </w:r>
      <w:r>
        <w:rPr>
          <w:sz w:val="24"/>
        </w:rPr>
        <w:t>may be </w:t>
      </w:r>
      <w:r>
        <w:rPr>
          <w:i/>
          <w:sz w:val="24"/>
        </w:rPr>
        <w:t>dispatched </w:t>
      </w:r>
      <w:r>
        <w:rPr>
          <w:sz w:val="24"/>
        </w:rPr>
        <w:t>and as provided to </w:t>
      </w:r>
      <w:r>
        <w:rPr>
          <w:i/>
          <w:sz w:val="24"/>
        </w:rPr>
        <w:t>AEMO </w:t>
      </w:r>
      <w:r>
        <w:rPr>
          <w:sz w:val="24"/>
        </w:rPr>
        <w:t>in the most recent </w:t>
      </w:r>
      <w:r>
        <w:rPr>
          <w:i/>
          <w:sz w:val="24"/>
        </w:rPr>
        <w:t>bid and offer validation</w:t>
      </w:r>
      <w:r>
        <w:rPr>
          <w:i/>
          <w:spacing w:val="-1"/>
          <w:sz w:val="24"/>
        </w:rPr>
        <w:t> </w:t>
      </w:r>
      <w:r>
        <w:rPr>
          <w:i/>
          <w:sz w:val="24"/>
        </w:rPr>
        <w:t>data</w:t>
      </w:r>
      <w:r>
        <w:rPr>
          <w:sz w:val="24"/>
        </w:rPr>
        <w:t>.</w:t>
      </w:r>
    </w:p>
    <w:p>
      <w:pPr>
        <w:spacing w:before="120"/>
        <w:ind w:left="1919" w:right="0" w:firstLine="0"/>
        <w:jc w:val="both"/>
        <w:rPr>
          <w:sz w:val="24"/>
        </w:rPr>
      </w:pPr>
      <w:r>
        <w:rPr>
          <w:b/>
          <w:sz w:val="24"/>
        </w:rPr>
        <w:t>minimum operating level </w:t>
      </w:r>
      <w:r>
        <w:rPr>
          <w:sz w:val="24"/>
        </w:rPr>
        <w:t>means in relation to:</w:t>
      </w:r>
    </w:p>
    <w:p>
      <w:pPr>
        <w:pStyle w:val="ListParagraph"/>
        <w:numPr>
          <w:ilvl w:val="0"/>
          <w:numId w:val="294"/>
        </w:numPr>
        <w:tabs>
          <w:tab w:pos="2486" w:val="left" w:leader="none"/>
        </w:tabs>
        <w:spacing w:line="240" w:lineRule="auto" w:before="120" w:after="0"/>
        <w:ind w:left="2486" w:right="417" w:hanging="567"/>
        <w:jc w:val="both"/>
        <w:rPr>
          <w:sz w:val="24"/>
        </w:rPr>
      </w:pPr>
      <w:r>
        <w:rPr>
          <w:sz w:val="24"/>
        </w:rPr>
        <w:t>a </w:t>
      </w:r>
      <w:r>
        <w:rPr>
          <w:i/>
          <w:sz w:val="24"/>
        </w:rPr>
        <w:t>non-scheduled generating unit</w:t>
      </w:r>
      <w:r>
        <w:rPr>
          <w:sz w:val="24"/>
        </w:rPr>
        <w:t>, its minimum </w:t>
      </w:r>
      <w:r>
        <w:rPr>
          <w:i/>
          <w:sz w:val="24"/>
        </w:rPr>
        <w:t>sent out generation </w:t>
      </w:r>
      <w:r>
        <w:rPr>
          <w:sz w:val="24"/>
        </w:rPr>
        <w:t>for continuous stable</w:t>
      </w:r>
      <w:r>
        <w:rPr>
          <w:spacing w:val="-1"/>
          <w:sz w:val="24"/>
        </w:rPr>
        <w:t> </w:t>
      </w:r>
      <w:r>
        <w:rPr>
          <w:sz w:val="24"/>
        </w:rPr>
        <w:t>operation;</w:t>
      </w:r>
    </w:p>
    <w:p>
      <w:pPr>
        <w:pStyle w:val="ListParagraph"/>
        <w:numPr>
          <w:ilvl w:val="0"/>
          <w:numId w:val="294"/>
        </w:numPr>
        <w:tabs>
          <w:tab w:pos="2486" w:val="left" w:leader="none"/>
        </w:tabs>
        <w:spacing w:line="240" w:lineRule="auto" w:before="120" w:after="0"/>
        <w:ind w:left="2486" w:right="418" w:hanging="567"/>
        <w:jc w:val="both"/>
        <w:rPr>
          <w:sz w:val="24"/>
        </w:rPr>
      </w:pPr>
      <w:r>
        <w:rPr>
          <w:sz w:val="24"/>
        </w:rPr>
        <w:t>a </w:t>
      </w:r>
      <w:r>
        <w:rPr>
          <w:i/>
          <w:sz w:val="24"/>
        </w:rPr>
        <w:t>scheduled generating unit </w:t>
      </w:r>
      <w:r>
        <w:rPr>
          <w:sz w:val="24"/>
        </w:rPr>
        <w:t>or </w:t>
      </w:r>
      <w:r>
        <w:rPr>
          <w:i/>
          <w:sz w:val="24"/>
        </w:rPr>
        <w:t>semi-scheduled generating unit</w:t>
      </w:r>
      <w:r>
        <w:rPr>
          <w:sz w:val="24"/>
        </w:rPr>
        <w:t>, its minimum </w:t>
      </w:r>
      <w:r>
        <w:rPr>
          <w:i/>
          <w:sz w:val="24"/>
        </w:rPr>
        <w:t>sent out generation </w:t>
      </w:r>
      <w:r>
        <w:rPr>
          <w:sz w:val="24"/>
        </w:rPr>
        <w:t>for continuous stable</w:t>
      </w:r>
      <w:r>
        <w:rPr>
          <w:spacing w:val="-6"/>
          <w:sz w:val="24"/>
        </w:rPr>
        <w:t> </w:t>
      </w:r>
      <w:r>
        <w:rPr>
          <w:sz w:val="24"/>
        </w:rPr>
        <w:t>operation;</w:t>
      </w:r>
    </w:p>
    <w:p>
      <w:pPr>
        <w:pStyle w:val="ListParagraph"/>
        <w:numPr>
          <w:ilvl w:val="0"/>
          <w:numId w:val="294"/>
        </w:numPr>
        <w:tabs>
          <w:tab w:pos="2486" w:val="left" w:leader="none"/>
        </w:tabs>
        <w:spacing w:line="240" w:lineRule="auto" w:before="120" w:after="0"/>
        <w:ind w:left="2486" w:right="416" w:hanging="567"/>
        <w:jc w:val="both"/>
        <w:rPr>
          <w:sz w:val="24"/>
        </w:rPr>
      </w:pPr>
      <w:r>
        <w:rPr>
          <w:sz w:val="24"/>
        </w:rPr>
        <w:t>a </w:t>
      </w:r>
      <w:r>
        <w:rPr>
          <w:i/>
          <w:sz w:val="24"/>
        </w:rPr>
        <w:t>non-scheduled generating system</w:t>
      </w:r>
      <w:r>
        <w:rPr>
          <w:sz w:val="24"/>
        </w:rPr>
        <w:t>, the combined </w:t>
      </w:r>
      <w:r>
        <w:rPr>
          <w:i/>
          <w:sz w:val="24"/>
        </w:rPr>
        <w:t>minimum operating </w:t>
      </w:r>
      <w:r>
        <w:rPr>
          <w:i/>
          <w:sz w:val="24"/>
        </w:rPr>
        <w:t>level </w:t>
      </w:r>
      <w:r>
        <w:rPr>
          <w:sz w:val="24"/>
        </w:rPr>
        <w:t>of its in-service </w:t>
      </w:r>
      <w:r>
        <w:rPr>
          <w:i/>
          <w:sz w:val="24"/>
        </w:rPr>
        <w:t>generating units</w:t>
      </w:r>
      <w:r>
        <w:rPr>
          <w:sz w:val="24"/>
        </w:rPr>
        <w:t>;</w:t>
      </w:r>
      <w:r>
        <w:rPr>
          <w:spacing w:val="-2"/>
          <w:sz w:val="24"/>
        </w:rPr>
        <w:t> </w:t>
      </w:r>
      <w:r>
        <w:rPr>
          <w:sz w:val="24"/>
        </w:rPr>
        <w:t>and</w:t>
      </w:r>
    </w:p>
    <w:p>
      <w:pPr>
        <w:pStyle w:val="ListParagraph"/>
        <w:numPr>
          <w:ilvl w:val="0"/>
          <w:numId w:val="294"/>
        </w:numPr>
        <w:tabs>
          <w:tab w:pos="2486" w:val="left" w:leader="none"/>
        </w:tabs>
        <w:spacing w:line="240" w:lineRule="auto" w:before="120" w:after="0"/>
        <w:ind w:left="2486" w:right="414" w:hanging="567"/>
        <w:jc w:val="both"/>
        <w:rPr>
          <w:sz w:val="24"/>
        </w:rPr>
      </w:pPr>
      <w:r>
        <w:rPr>
          <w:sz w:val="24"/>
        </w:rPr>
        <w:t>a </w:t>
      </w:r>
      <w:r>
        <w:rPr>
          <w:i/>
          <w:sz w:val="24"/>
        </w:rPr>
        <w:t>scheduled generating system </w:t>
      </w:r>
      <w:r>
        <w:rPr>
          <w:sz w:val="24"/>
        </w:rPr>
        <w:t>or </w:t>
      </w:r>
      <w:r>
        <w:rPr>
          <w:i/>
          <w:sz w:val="24"/>
        </w:rPr>
        <w:t>semi-scheduled generating system</w:t>
      </w:r>
      <w:r>
        <w:rPr>
          <w:sz w:val="24"/>
        </w:rPr>
        <w:t>, the combined minimum </w:t>
      </w:r>
      <w:r>
        <w:rPr>
          <w:i/>
          <w:sz w:val="24"/>
        </w:rPr>
        <w:t>sent out generation </w:t>
      </w:r>
      <w:r>
        <w:rPr>
          <w:sz w:val="24"/>
        </w:rPr>
        <w:t>of its in-service </w:t>
      </w:r>
      <w:r>
        <w:rPr>
          <w:i/>
          <w:sz w:val="24"/>
        </w:rPr>
        <w:t>generating</w:t>
      </w:r>
      <w:r>
        <w:rPr>
          <w:i/>
          <w:spacing w:val="-1"/>
          <w:sz w:val="24"/>
        </w:rPr>
        <w:t> </w:t>
      </w:r>
      <w:r>
        <w:rPr>
          <w:i/>
          <w:sz w:val="24"/>
        </w:rPr>
        <w:t>units</w:t>
      </w:r>
      <w:r>
        <w:rPr>
          <w:sz w:val="24"/>
        </w:rPr>
        <w:t>.</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93"/>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automatic access standard</w:t>
      </w:r>
      <w:r>
        <w:rPr>
          <w:i/>
          <w:spacing w:val="-1"/>
          <w:sz w:val="24"/>
        </w:rPr>
        <w:t> </w:t>
      </w:r>
      <w:r>
        <w:rPr>
          <w:sz w:val="24"/>
        </w:rPr>
        <w:t>is:</w:t>
      </w:r>
    </w:p>
    <w:p>
      <w:pPr>
        <w:pStyle w:val="ListParagraph"/>
        <w:numPr>
          <w:ilvl w:val="1"/>
          <w:numId w:val="293"/>
        </w:numPr>
        <w:tabs>
          <w:tab w:pos="2485" w:val="left" w:leader="none"/>
          <w:tab w:pos="2486" w:val="left" w:leader="none"/>
        </w:tabs>
        <w:spacing w:line="240" w:lineRule="auto" w:before="120" w:after="0"/>
        <w:ind w:left="2485" w:right="0" w:hanging="567"/>
        <w:jc w:val="left"/>
        <w:rPr>
          <w:sz w:val="24"/>
        </w:rPr>
      </w:pPr>
      <w:r>
        <w:rPr>
          <w:sz w:val="24"/>
        </w:rPr>
        <w:t>a </w:t>
      </w:r>
      <w:r>
        <w:rPr>
          <w:i/>
          <w:sz w:val="24"/>
        </w:rPr>
        <w:t>generating system's power transfer </w:t>
      </w:r>
      <w:r>
        <w:rPr>
          <w:sz w:val="24"/>
        </w:rPr>
        <w:t>to the </w:t>
      </w:r>
      <w:r>
        <w:rPr>
          <w:i/>
          <w:sz w:val="24"/>
        </w:rPr>
        <w:t>power system </w:t>
      </w:r>
      <w:r>
        <w:rPr>
          <w:sz w:val="24"/>
        </w:rPr>
        <w:t>must</w:t>
      </w:r>
      <w:r>
        <w:rPr>
          <w:spacing w:val="-6"/>
          <w:sz w:val="24"/>
        </w:rPr>
        <w:t> </w:t>
      </w:r>
      <w:r>
        <w:rPr>
          <w:sz w:val="24"/>
        </w:rPr>
        <w:t>not:</w:t>
      </w:r>
    </w:p>
    <w:p>
      <w:pPr>
        <w:pStyle w:val="ListParagraph"/>
        <w:numPr>
          <w:ilvl w:val="2"/>
          <w:numId w:val="293"/>
        </w:numPr>
        <w:tabs>
          <w:tab w:pos="3052" w:val="left" w:leader="none"/>
          <w:tab w:pos="3053" w:val="left" w:leader="none"/>
        </w:tabs>
        <w:spacing w:line="240" w:lineRule="auto" w:before="120" w:after="0"/>
        <w:ind w:left="3053" w:right="414" w:hanging="567"/>
        <w:jc w:val="left"/>
        <w:rPr>
          <w:sz w:val="24"/>
        </w:rPr>
      </w:pPr>
      <w:r>
        <w:rPr>
          <w:sz w:val="24"/>
        </w:rPr>
        <w:t>increase in response to a rise in the </w:t>
      </w:r>
      <w:r>
        <w:rPr>
          <w:i/>
          <w:sz w:val="24"/>
        </w:rPr>
        <w:t>frequency </w:t>
      </w:r>
      <w:r>
        <w:rPr>
          <w:sz w:val="24"/>
        </w:rPr>
        <w:t>of the </w:t>
      </w:r>
      <w:r>
        <w:rPr>
          <w:i/>
          <w:sz w:val="24"/>
        </w:rPr>
        <w:t>power </w:t>
      </w:r>
      <w:r>
        <w:rPr>
          <w:i/>
          <w:sz w:val="24"/>
        </w:rPr>
        <w:t>system </w:t>
      </w:r>
      <w:r>
        <w:rPr>
          <w:sz w:val="24"/>
        </w:rPr>
        <w:t>as measured at the </w:t>
      </w:r>
      <w:r>
        <w:rPr>
          <w:i/>
          <w:sz w:val="24"/>
        </w:rPr>
        <w:t>connection point</w:t>
      </w:r>
      <w:r>
        <w:rPr>
          <w:sz w:val="24"/>
        </w:rPr>
        <w:t>;</w:t>
      </w:r>
      <w:r>
        <w:rPr>
          <w:spacing w:val="-3"/>
          <w:sz w:val="24"/>
        </w:rPr>
        <w:t> </w:t>
      </w:r>
      <w:r>
        <w:rPr>
          <w:sz w:val="24"/>
        </w:rPr>
        <w:t>or</w:t>
      </w:r>
    </w:p>
    <w:p>
      <w:pPr>
        <w:pStyle w:val="ListParagraph"/>
        <w:numPr>
          <w:ilvl w:val="2"/>
          <w:numId w:val="293"/>
        </w:numPr>
        <w:tabs>
          <w:tab w:pos="3052" w:val="left" w:leader="none"/>
          <w:tab w:pos="3054" w:val="left" w:leader="none"/>
        </w:tabs>
        <w:spacing w:line="240" w:lineRule="auto" w:before="120" w:after="0"/>
        <w:ind w:left="3053" w:right="415" w:hanging="567"/>
        <w:jc w:val="left"/>
        <w:rPr>
          <w:sz w:val="24"/>
        </w:rPr>
      </w:pPr>
      <w:r>
        <w:rPr>
          <w:sz w:val="24"/>
        </w:rPr>
        <w:t>decrease in response to a fall in the </w:t>
      </w:r>
      <w:r>
        <w:rPr>
          <w:i/>
          <w:sz w:val="24"/>
        </w:rPr>
        <w:t>frequency </w:t>
      </w:r>
      <w:r>
        <w:rPr>
          <w:sz w:val="24"/>
        </w:rPr>
        <w:t>of the </w:t>
      </w:r>
      <w:r>
        <w:rPr>
          <w:i/>
          <w:sz w:val="24"/>
        </w:rPr>
        <w:t>power </w:t>
      </w:r>
      <w:r>
        <w:rPr>
          <w:i/>
          <w:sz w:val="24"/>
        </w:rPr>
        <w:t>system </w:t>
      </w:r>
      <w:r>
        <w:rPr>
          <w:sz w:val="24"/>
        </w:rPr>
        <w:t>as measured at the </w:t>
      </w:r>
      <w:r>
        <w:rPr>
          <w:i/>
          <w:sz w:val="24"/>
        </w:rPr>
        <w:t>connection point</w:t>
      </w:r>
      <w:r>
        <w:rPr>
          <w:sz w:val="24"/>
        </w:rPr>
        <w:t>;</w:t>
      </w:r>
      <w:r>
        <w:rPr>
          <w:spacing w:val="-3"/>
          <w:sz w:val="24"/>
        </w:rPr>
        <w:t> </w:t>
      </w:r>
      <w:r>
        <w:rPr>
          <w:sz w:val="24"/>
        </w:rPr>
        <w:t>and</w:t>
      </w:r>
    </w:p>
    <w:p>
      <w:pPr>
        <w:pStyle w:val="ListParagraph"/>
        <w:numPr>
          <w:ilvl w:val="1"/>
          <w:numId w:val="293"/>
        </w:numPr>
        <w:tabs>
          <w:tab w:pos="2485" w:val="left" w:leader="none"/>
          <w:tab w:pos="2486" w:val="left" w:leader="none"/>
        </w:tabs>
        <w:spacing w:line="240" w:lineRule="auto" w:before="120" w:after="0"/>
        <w:ind w:left="2486" w:right="415" w:hanging="567"/>
        <w:jc w:val="left"/>
        <w:rPr>
          <w:sz w:val="24"/>
        </w:rPr>
      </w:pPr>
      <w:r>
        <w:rPr>
          <w:sz w:val="24"/>
        </w:rPr>
        <w:t>a </w:t>
      </w:r>
      <w:r>
        <w:rPr>
          <w:i/>
          <w:sz w:val="24"/>
        </w:rPr>
        <w:t>generating system </w:t>
      </w:r>
      <w:r>
        <w:rPr>
          <w:sz w:val="24"/>
        </w:rPr>
        <w:t>must be capable of operating in </w:t>
      </w:r>
      <w:r>
        <w:rPr>
          <w:i/>
          <w:sz w:val="24"/>
        </w:rPr>
        <w:t>frequency </w:t>
      </w:r>
      <w:r>
        <w:rPr>
          <w:i/>
          <w:sz w:val="24"/>
        </w:rPr>
        <w:t>response mode </w:t>
      </w:r>
      <w:r>
        <w:rPr>
          <w:sz w:val="24"/>
        </w:rPr>
        <w:t>such that it automatically provides a</w:t>
      </w:r>
      <w:r>
        <w:rPr>
          <w:spacing w:val="-12"/>
          <w:sz w:val="24"/>
        </w:rPr>
        <w:t> </w:t>
      </w:r>
      <w:r>
        <w:rPr>
          <w:sz w:val="24"/>
        </w:rPr>
        <w:t>proportional:</w:t>
      </w:r>
    </w:p>
    <w:p>
      <w:pPr>
        <w:spacing w:after="0" w:line="240" w:lineRule="auto"/>
        <w:jc w:val="left"/>
        <w:rPr>
          <w:sz w:val="24"/>
        </w:rPr>
        <w:sectPr>
          <w:pgSz w:w="11910" w:h="16840"/>
          <w:pgMar w:header="686" w:footer="637" w:top="1320" w:bottom="820" w:left="1200" w:right="1000"/>
        </w:sectPr>
      </w:pPr>
    </w:p>
    <w:p>
      <w:pPr>
        <w:pStyle w:val="ListParagraph"/>
        <w:numPr>
          <w:ilvl w:val="2"/>
          <w:numId w:val="293"/>
        </w:numPr>
        <w:tabs>
          <w:tab w:pos="3053" w:val="left" w:leader="none"/>
        </w:tabs>
        <w:spacing w:line="240" w:lineRule="auto" w:before="83" w:after="0"/>
        <w:ind w:left="3053" w:right="414" w:hanging="567"/>
        <w:jc w:val="both"/>
        <w:rPr>
          <w:sz w:val="24"/>
        </w:rPr>
      </w:pPr>
      <w:r>
        <w:rPr>
          <w:sz w:val="24"/>
        </w:rPr>
        <w:t>decrease in </w:t>
      </w:r>
      <w:r>
        <w:rPr>
          <w:i/>
          <w:sz w:val="24"/>
        </w:rPr>
        <w:t>power transfer </w:t>
      </w:r>
      <w:r>
        <w:rPr>
          <w:sz w:val="24"/>
        </w:rPr>
        <w:t>to the </w:t>
      </w:r>
      <w:r>
        <w:rPr>
          <w:i/>
          <w:sz w:val="24"/>
        </w:rPr>
        <w:t>power system </w:t>
      </w:r>
      <w:r>
        <w:rPr>
          <w:sz w:val="24"/>
        </w:rPr>
        <w:t>in response to a rise in the </w:t>
      </w:r>
      <w:r>
        <w:rPr>
          <w:i/>
          <w:sz w:val="24"/>
        </w:rPr>
        <w:t>frequency </w:t>
      </w:r>
      <w:r>
        <w:rPr>
          <w:sz w:val="24"/>
        </w:rPr>
        <w:t>of the </w:t>
      </w:r>
      <w:r>
        <w:rPr>
          <w:i/>
          <w:sz w:val="24"/>
        </w:rPr>
        <w:t>power system </w:t>
      </w:r>
      <w:r>
        <w:rPr>
          <w:sz w:val="24"/>
        </w:rPr>
        <w:t>as measured at the </w:t>
      </w:r>
      <w:r>
        <w:rPr>
          <w:i/>
          <w:sz w:val="24"/>
        </w:rPr>
        <w:t>connection point</w:t>
      </w:r>
      <w:r>
        <w:rPr>
          <w:sz w:val="24"/>
        </w:rPr>
        <w:t>;</w:t>
      </w:r>
      <w:r>
        <w:rPr>
          <w:spacing w:val="-1"/>
          <w:sz w:val="24"/>
        </w:rPr>
        <w:t> </w:t>
      </w:r>
      <w:r>
        <w:rPr>
          <w:sz w:val="24"/>
        </w:rPr>
        <w:t>and</w:t>
      </w:r>
    </w:p>
    <w:p>
      <w:pPr>
        <w:pStyle w:val="ListParagraph"/>
        <w:numPr>
          <w:ilvl w:val="2"/>
          <w:numId w:val="293"/>
        </w:numPr>
        <w:tabs>
          <w:tab w:pos="3054" w:val="left" w:leader="none"/>
        </w:tabs>
        <w:spacing w:line="240" w:lineRule="auto" w:before="120" w:after="0"/>
        <w:ind w:left="3053" w:right="415" w:hanging="567"/>
        <w:jc w:val="both"/>
        <w:rPr>
          <w:sz w:val="24"/>
        </w:rPr>
      </w:pPr>
      <w:r>
        <w:rPr>
          <w:sz w:val="24"/>
        </w:rPr>
        <w:t>increase in </w:t>
      </w:r>
      <w:r>
        <w:rPr>
          <w:i/>
          <w:sz w:val="24"/>
        </w:rPr>
        <w:t>power transfer </w:t>
      </w:r>
      <w:r>
        <w:rPr>
          <w:sz w:val="24"/>
        </w:rPr>
        <w:t>to the </w:t>
      </w:r>
      <w:r>
        <w:rPr>
          <w:i/>
          <w:sz w:val="24"/>
        </w:rPr>
        <w:t>power system </w:t>
      </w:r>
      <w:r>
        <w:rPr>
          <w:sz w:val="24"/>
        </w:rPr>
        <w:t>in response to a fall in the </w:t>
      </w:r>
      <w:r>
        <w:rPr>
          <w:i/>
          <w:sz w:val="24"/>
        </w:rPr>
        <w:t>frequency </w:t>
      </w:r>
      <w:r>
        <w:rPr>
          <w:sz w:val="24"/>
        </w:rPr>
        <w:t>of the </w:t>
      </w:r>
      <w:r>
        <w:rPr>
          <w:i/>
          <w:sz w:val="24"/>
        </w:rPr>
        <w:t>power system </w:t>
      </w:r>
      <w:r>
        <w:rPr>
          <w:sz w:val="24"/>
        </w:rPr>
        <w:t>as measured at the </w:t>
      </w:r>
      <w:r>
        <w:rPr>
          <w:i/>
          <w:sz w:val="24"/>
        </w:rPr>
        <w:t>connection</w:t>
      </w:r>
      <w:r>
        <w:rPr>
          <w:i/>
          <w:spacing w:val="-1"/>
          <w:sz w:val="24"/>
        </w:rPr>
        <w:t> </w:t>
      </w:r>
      <w:r>
        <w:rPr>
          <w:i/>
          <w:sz w:val="24"/>
        </w:rPr>
        <w:t>point</w:t>
      </w:r>
      <w:r>
        <w:rPr>
          <w:sz w:val="24"/>
        </w:rPr>
        <w:t>,</w:t>
      </w:r>
    </w:p>
    <w:p>
      <w:pPr>
        <w:spacing w:before="120"/>
        <w:ind w:left="2486" w:right="415" w:firstLine="0"/>
        <w:jc w:val="both"/>
        <w:rPr>
          <w:sz w:val="24"/>
        </w:rPr>
      </w:pPr>
      <w:r>
        <w:rPr>
          <w:sz w:val="24"/>
        </w:rPr>
        <w:t>sufficiently rapidly and sustained for a sufficient period for the </w:t>
      </w:r>
      <w:r>
        <w:rPr>
          <w:i/>
          <w:sz w:val="24"/>
        </w:rPr>
        <w:t>Generator </w:t>
      </w:r>
      <w:r>
        <w:rPr>
          <w:sz w:val="24"/>
        </w:rPr>
        <w:t>to be in a position to offer measurable amounts of all </w:t>
      </w:r>
      <w:r>
        <w:rPr>
          <w:i/>
          <w:sz w:val="24"/>
        </w:rPr>
        <w:t>market ancillary services </w:t>
      </w:r>
      <w:r>
        <w:rPr>
          <w:sz w:val="24"/>
        </w:rPr>
        <w:t>for the provision of </w:t>
      </w:r>
      <w:r>
        <w:rPr>
          <w:i/>
          <w:sz w:val="24"/>
        </w:rPr>
        <w:t>power system frequency </w:t>
      </w:r>
      <w:r>
        <w:rPr>
          <w:sz w:val="24"/>
        </w:rPr>
        <w:t>control.</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93"/>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293"/>
        </w:numPr>
        <w:tabs>
          <w:tab w:pos="2486" w:val="left" w:leader="none"/>
        </w:tabs>
        <w:spacing w:line="240" w:lineRule="auto" w:before="120" w:after="0"/>
        <w:ind w:left="2486" w:right="416" w:hanging="567"/>
        <w:jc w:val="both"/>
        <w:rPr>
          <w:sz w:val="24"/>
        </w:rPr>
      </w:pPr>
      <w:r>
        <w:rPr>
          <w:sz w:val="24"/>
        </w:rPr>
        <w:t>for a </w:t>
      </w:r>
      <w:r>
        <w:rPr>
          <w:i/>
          <w:sz w:val="24"/>
        </w:rPr>
        <w:t>generating system </w:t>
      </w:r>
      <w:r>
        <w:rPr>
          <w:sz w:val="24"/>
        </w:rPr>
        <w:t>under relatively stable input energy, </w:t>
      </w:r>
      <w:r>
        <w:rPr>
          <w:i/>
          <w:sz w:val="24"/>
        </w:rPr>
        <w:t>power </w:t>
      </w:r>
      <w:r>
        <w:rPr>
          <w:i/>
          <w:sz w:val="24"/>
        </w:rPr>
        <w:t>transfer </w:t>
      </w:r>
      <w:r>
        <w:rPr>
          <w:sz w:val="24"/>
        </w:rPr>
        <w:t>to the </w:t>
      </w:r>
      <w:r>
        <w:rPr>
          <w:i/>
          <w:sz w:val="24"/>
        </w:rPr>
        <w:t>power system </w:t>
      </w:r>
      <w:r>
        <w:rPr>
          <w:sz w:val="24"/>
        </w:rPr>
        <w:t>must</w:t>
      </w:r>
      <w:r>
        <w:rPr>
          <w:spacing w:val="-1"/>
          <w:sz w:val="24"/>
        </w:rPr>
        <w:t> </w:t>
      </w:r>
      <w:r>
        <w:rPr>
          <w:sz w:val="24"/>
        </w:rPr>
        <w:t>not:</w:t>
      </w:r>
    </w:p>
    <w:p>
      <w:pPr>
        <w:pStyle w:val="ListParagraph"/>
        <w:numPr>
          <w:ilvl w:val="2"/>
          <w:numId w:val="293"/>
        </w:numPr>
        <w:tabs>
          <w:tab w:pos="3053" w:val="left" w:leader="none"/>
        </w:tabs>
        <w:spacing w:line="240" w:lineRule="auto" w:before="120" w:after="0"/>
        <w:ind w:left="3053" w:right="414" w:hanging="567"/>
        <w:jc w:val="both"/>
        <w:rPr>
          <w:sz w:val="24"/>
        </w:rPr>
      </w:pPr>
      <w:r>
        <w:rPr>
          <w:sz w:val="24"/>
        </w:rPr>
        <w:t>increase in response to a rise in the </w:t>
      </w:r>
      <w:r>
        <w:rPr>
          <w:i/>
          <w:sz w:val="24"/>
        </w:rPr>
        <w:t>frequency </w:t>
      </w:r>
      <w:r>
        <w:rPr>
          <w:sz w:val="24"/>
        </w:rPr>
        <w:t>of the </w:t>
      </w:r>
      <w:r>
        <w:rPr>
          <w:i/>
          <w:sz w:val="24"/>
        </w:rPr>
        <w:t>power </w:t>
      </w:r>
      <w:r>
        <w:rPr>
          <w:i/>
          <w:sz w:val="24"/>
        </w:rPr>
        <w:t>system </w:t>
      </w:r>
      <w:r>
        <w:rPr>
          <w:sz w:val="24"/>
        </w:rPr>
        <w:t>as measured at the </w:t>
      </w:r>
      <w:r>
        <w:rPr>
          <w:i/>
          <w:sz w:val="24"/>
        </w:rPr>
        <w:t>connection point</w:t>
      </w:r>
      <w:r>
        <w:rPr>
          <w:sz w:val="24"/>
        </w:rPr>
        <w:t>;</w:t>
      </w:r>
      <w:r>
        <w:rPr>
          <w:spacing w:val="-3"/>
          <w:sz w:val="24"/>
        </w:rPr>
        <w:t> </w:t>
      </w:r>
      <w:r>
        <w:rPr>
          <w:sz w:val="24"/>
        </w:rPr>
        <w:t>and</w:t>
      </w:r>
    </w:p>
    <w:p>
      <w:pPr>
        <w:pStyle w:val="ListParagraph"/>
        <w:numPr>
          <w:ilvl w:val="2"/>
          <w:numId w:val="293"/>
        </w:numPr>
        <w:tabs>
          <w:tab w:pos="3054" w:val="left" w:leader="none"/>
        </w:tabs>
        <w:spacing w:line="240" w:lineRule="auto" w:before="120" w:after="0"/>
        <w:ind w:left="3053" w:right="414" w:hanging="567"/>
        <w:jc w:val="both"/>
        <w:rPr>
          <w:sz w:val="24"/>
        </w:rPr>
      </w:pPr>
      <w:r>
        <w:rPr>
          <w:sz w:val="24"/>
        </w:rPr>
        <w:t>decrease more than 2% per Hz in response to a fall in </w:t>
      </w:r>
      <w:r>
        <w:rPr>
          <w:spacing w:val="-4"/>
          <w:sz w:val="24"/>
        </w:rPr>
        <w:t>the </w:t>
      </w:r>
      <w:r>
        <w:rPr>
          <w:i/>
          <w:sz w:val="24"/>
        </w:rPr>
        <w:t>frequency </w:t>
      </w:r>
      <w:r>
        <w:rPr>
          <w:sz w:val="24"/>
        </w:rPr>
        <w:t>of the </w:t>
      </w:r>
      <w:r>
        <w:rPr>
          <w:i/>
          <w:sz w:val="24"/>
        </w:rPr>
        <w:t>power system </w:t>
      </w:r>
      <w:r>
        <w:rPr>
          <w:sz w:val="24"/>
        </w:rPr>
        <w:t>as measured at the </w:t>
      </w:r>
      <w:r>
        <w:rPr>
          <w:i/>
          <w:sz w:val="24"/>
        </w:rPr>
        <w:t>connection </w:t>
      </w:r>
      <w:r>
        <w:rPr>
          <w:i/>
          <w:sz w:val="24"/>
        </w:rPr>
        <w:t>point</w:t>
      </w:r>
      <w:r>
        <w:rPr>
          <w:sz w:val="24"/>
        </w:rPr>
        <w:t>;</w:t>
      </w:r>
      <w:r>
        <w:rPr>
          <w:spacing w:val="-1"/>
          <w:sz w:val="24"/>
        </w:rPr>
        <w:t> </w:t>
      </w:r>
      <w:r>
        <w:rPr>
          <w:sz w:val="24"/>
        </w:rPr>
        <w:t>and</w:t>
      </w:r>
    </w:p>
    <w:p>
      <w:pPr>
        <w:pStyle w:val="ListParagraph"/>
        <w:numPr>
          <w:ilvl w:val="1"/>
          <w:numId w:val="293"/>
        </w:numPr>
        <w:tabs>
          <w:tab w:pos="2486" w:val="left" w:leader="none"/>
        </w:tabs>
        <w:spacing w:line="240" w:lineRule="auto" w:before="120" w:after="0"/>
        <w:ind w:left="2486" w:right="415" w:hanging="567"/>
        <w:jc w:val="both"/>
        <w:rPr>
          <w:sz w:val="24"/>
        </w:rPr>
      </w:pPr>
      <w:r>
        <w:rPr>
          <w:sz w:val="24"/>
        </w:rPr>
        <w:t>a </w:t>
      </w:r>
      <w:r>
        <w:rPr>
          <w:i/>
          <w:sz w:val="24"/>
        </w:rPr>
        <w:t>generating system </w:t>
      </w:r>
      <w:r>
        <w:rPr>
          <w:sz w:val="24"/>
        </w:rPr>
        <w:t>must be capable of operating in </w:t>
      </w:r>
      <w:r>
        <w:rPr>
          <w:i/>
          <w:sz w:val="24"/>
        </w:rPr>
        <w:t>frequency </w:t>
      </w:r>
      <w:r>
        <w:rPr>
          <w:i/>
          <w:sz w:val="24"/>
        </w:rPr>
        <w:t>response mode </w:t>
      </w:r>
      <w:r>
        <w:rPr>
          <w:sz w:val="24"/>
        </w:rPr>
        <w:t>such that, subject to energy source availability, it automatically</w:t>
      </w:r>
      <w:r>
        <w:rPr>
          <w:spacing w:val="-1"/>
          <w:sz w:val="24"/>
        </w:rPr>
        <w:t> </w:t>
      </w:r>
      <w:r>
        <w:rPr>
          <w:sz w:val="24"/>
        </w:rPr>
        <w:t>provides:</w:t>
      </w:r>
    </w:p>
    <w:p>
      <w:pPr>
        <w:pStyle w:val="ListParagraph"/>
        <w:numPr>
          <w:ilvl w:val="2"/>
          <w:numId w:val="293"/>
        </w:numPr>
        <w:tabs>
          <w:tab w:pos="3053" w:val="left" w:leader="none"/>
        </w:tabs>
        <w:spacing w:line="240" w:lineRule="auto" w:before="120" w:after="0"/>
        <w:ind w:left="3053" w:right="414" w:hanging="567"/>
        <w:jc w:val="both"/>
        <w:rPr>
          <w:sz w:val="24"/>
        </w:rPr>
      </w:pPr>
      <w:r>
        <w:rPr>
          <w:sz w:val="24"/>
        </w:rPr>
        <w:t>a decrease in </w:t>
      </w:r>
      <w:r>
        <w:rPr>
          <w:i/>
          <w:sz w:val="24"/>
        </w:rPr>
        <w:t>power transfer </w:t>
      </w:r>
      <w:r>
        <w:rPr>
          <w:sz w:val="24"/>
        </w:rPr>
        <w:t>to the </w:t>
      </w:r>
      <w:r>
        <w:rPr>
          <w:i/>
          <w:sz w:val="24"/>
        </w:rPr>
        <w:t>power system </w:t>
      </w:r>
      <w:r>
        <w:rPr>
          <w:sz w:val="24"/>
        </w:rPr>
        <w:t>in response to  a rise in the </w:t>
      </w:r>
      <w:r>
        <w:rPr>
          <w:i/>
          <w:sz w:val="24"/>
        </w:rPr>
        <w:t>frequency </w:t>
      </w:r>
      <w:r>
        <w:rPr>
          <w:sz w:val="24"/>
        </w:rPr>
        <w:t>of the </w:t>
      </w:r>
      <w:r>
        <w:rPr>
          <w:i/>
          <w:sz w:val="24"/>
        </w:rPr>
        <w:t>power system </w:t>
      </w:r>
      <w:r>
        <w:rPr>
          <w:sz w:val="24"/>
        </w:rPr>
        <w:t>as measured at the </w:t>
      </w:r>
      <w:r>
        <w:rPr>
          <w:i/>
          <w:sz w:val="24"/>
        </w:rPr>
        <w:t>connection point</w:t>
      </w:r>
      <w:r>
        <w:rPr>
          <w:sz w:val="24"/>
        </w:rPr>
        <w:t>;</w:t>
      </w:r>
      <w:r>
        <w:rPr>
          <w:spacing w:val="-1"/>
          <w:sz w:val="24"/>
        </w:rPr>
        <w:t> </w:t>
      </w:r>
      <w:r>
        <w:rPr>
          <w:sz w:val="24"/>
        </w:rPr>
        <w:t>or</w:t>
      </w:r>
    </w:p>
    <w:p>
      <w:pPr>
        <w:pStyle w:val="ListParagraph"/>
        <w:numPr>
          <w:ilvl w:val="2"/>
          <w:numId w:val="293"/>
        </w:numPr>
        <w:tabs>
          <w:tab w:pos="3054" w:val="left" w:leader="none"/>
        </w:tabs>
        <w:spacing w:line="240" w:lineRule="auto" w:before="120" w:after="0"/>
        <w:ind w:left="3053" w:right="414" w:hanging="567"/>
        <w:jc w:val="both"/>
        <w:rPr>
          <w:sz w:val="24"/>
        </w:rPr>
      </w:pPr>
      <w:r>
        <w:rPr>
          <w:sz w:val="24"/>
        </w:rPr>
        <w:t>an increase in </w:t>
      </w:r>
      <w:r>
        <w:rPr>
          <w:i/>
          <w:sz w:val="24"/>
        </w:rPr>
        <w:t>power transfer </w:t>
      </w:r>
      <w:r>
        <w:rPr>
          <w:sz w:val="24"/>
        </w:rPr>
        <w:t>to the </w:t>
      </w:r>
      <w:r>
        <w:rPr>
          <w:i/>
          <w:sz w:val="24"/>
        </w:rPr>
        <w:t>power system </w:t>
      </w:r>
      <w:r>
        <w:rPr>
          <w:sz w:val="24"/>
        </w:rPr>
        <w:t>in response to a fall in the </w:t>
      </w:r>
      <w:r>
        <w:rPr>
          <w:i/>
          <w:sz w:val="24"/>
        </w:rPr>
        <w:t>frequency </w:t>
      </w:r>
      <w:r>
        <w:rPr>
          <w:sz w:val="24"/>
        </w:rPr>
        <w:t>of the </w:t>
      </w:r>
      <w:r>
        <w:rPr>
          <w:i/>
          <w:sz w:val="24"/>
        </w:rPr>
        <w:t>power system </w:t>
      </w:r>
      <w:r>
        <w:rPr>
          <w:sz w:val="24"/>
        </w:rPr>
        <w:t>as measured at the </w:t>
      </w:r>
      <w:r>
        <w:rPr>
          <w:i/>
          <w:sz w:val="24"/>
        </w:rPr>
        <w:t>connection</w:t>
      </w:r>
      <w:r>
        <w:rPr>
          <w:i/>
          <w:spacing w:val="-1"/>
          <w:sz w:val="24"/>
        </w:rPr>
        <w:t> </w:t>
      </w:r>
      <w:r>
        <w:rPr>
          <w:i/>
          <w:sz w:val="24"/>
        </w:rPr>
        <w:t>point</w:t>
      </w:r>
      <w:r>
        <w:rPr>
          <w:sz w:val="24"/>
        </w:rPr>
        <w:t>,</w:t>
      </w:r>
    </w:p>
    <w:p>
      <w:pPr>
        <w:spacing w:before="120"/>
        <w:ind w:left="2486" w:right="415" w:firstLine="0"/>
        <w:jc w:val="both"/>
        <w:rPr>
          <w:sz w:val="24"/>
        </w:rPr>
      </w:pPr>
      <w:r>
        <w:rPr>
          <w:sz w:val="24"/>
        </w:rPr>
        <w:t>where the change in </w:t>
      </w:r>
      <w:r>
        <w:rPr>
          <w:i/>
          <w:sz w:val="24"/>
        </w:rPr>
        <w:t>active power </w:t>
      </w:r>
      <w:r>
        <w:rPr>
          <w:sz w:val="24"/>
        </w:rPr>
        <w:t>is either proportional or otherwise  as agreed with </w:t>
      </w:r>
      <w:r>
        <w:rPr>
          <w:i/>
          <w:sz w:val="24"/>
        </w:rPr>
        <w:t>AEMO </w:t>
      </w:r>
      <w:r>
        <w:rPr>
          <w:sz w:val="24"/>
        </w:rPr>
        <w:t>and the </w:t>
      </w:r>
      <w:r>
        <w:rPr>
          <w:i/>
          <w:sz w:val="24"/>
        </w:rPr>
        <w:t>Network Service</w:t>
      </w:r>
      <w:r>
        <w:rPr>
          <w:i/>
          <w:spacing w:val="-3"/>
          <w:sz w:val="24"/>
        </w:rPr>
        <w:t> </w:t>
      </w:r>
      <w:r>
        <w:rPr>
          <w:i/>
          <w:sz w:val="24"/>
        </w:rPr>
        <w:t>Provider</w:t>
      </w:r>
      <w:r>
        <w:rPr>
          <w:sz w:val="24"/>
        </w:rPr>
        <w:t>.</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[Deleted]</w:t>
      </w:r>
    </w:p>
    <w:p>
      <w:pPr>
        <w:pStyle w:val="ListParagraph"/>
        <w:numPr>
          <w:ilvl w:val="0"/>
          <w:numId w:val="293"/>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pStyle w:val="ListParagraph"/>
        <w:numPr>
          <w:ilvl w:val="0"/>
          <w:numId w:val="293"/>
        </w:numPr>
        <w:tabs>
          <w:tab w:pos="1918" w:val="left" w:leader="none"/>
          <w:tab w:pos="1919" w:val="left" w:leader="none"/>
        </w:tabs>
        <w:spacing w:line="240" w:lineRule="auto" w:before="120" w:after="0"/>
        <w:ind w:left="1918" w:right="0" w:hanging="567"/>
        <w:jc w:val="left"/>
        <w:rPr>
          <w:sz w:val="24"/>
        </w:rPr>
      </w:pPr>
      <w:r>
        <w:rPr>
          <w:sz w:val="24"/>
        </w:rPr>
        <w:t>[</w:t>
      </w:r>
      <w:r>
        <w:rPr>
          <w:b/>
          <w:sz w:val="24"/>
        </w:rPr>
        <w:t>Deleted</w:t>
      </w:r>
      <w:r>
        <w:rPr>
          <w:sz w:val="24"/>
        </w:rPr>
        <w:t>]</w:t>
      </w:r>
    </w:p>
    <w:p>
      <w:pPr>
        <w:pStyle w:val="ListParagraph"/>
        <w:numPr>
          <w:ilvl w:val="0"/>
          <w:numId w:val="293"/>
        </w:numPr>
        <w:tabs>
          <w:tab w:pos="1919" w:val="left" w:leader="none"/>
          <w:tab w:pos="1920" w:val="left" w:leader="none"/>
        </w:tabs>
        <w:spacing w:line="240" w:lineRule="auto" w:before="120" w:after="0"/>
        <w:ind w:left="1919" w:right="0" w:hanging="568"/>
        <w:jc w:val="left"/>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requirements</w:t>
      </w:r>
    </w:p>
    <w:p>
      <w:pPr>
        <w:pStyle w:val="ListParagraph"/>
        <w:numPr>
          <w:ilvl w:val="0"/>
          <w:numId w:val="293"/>
        </w:numPr>
        <w:tabs>
          <w:tab w:pos="1919" w:val="left" w:leader="none"/>
        </w:tabs>
        <w:spacing w:line="240" w:lineRule="auto" w:before="120" w:after="0"/>
        <w:ind w:left="1919" w:right="415" w:hanging="567"/>
        <w:jc w:val="both"/>
        <w:rPr>
          <w:sz w:val="24"/>
        </w:rPr>
      </w:pPr>
      <w:r>
        <w:rPr>
          <w:sz w:val="24"/>
        </w:rPr>
        <w:t>Each </w:t>
      </w:r>
      <w:r>
        <w:rPr>
          <w:i/>
          <w:sz w:val="24"/>
        </w:rPr>
        <w:t>control system </w:t>
      </w:r>
      <w:r>
        <w:rPr>
          <w:sz w:val="24"/>
        </w:rPr>
        <w:t>used to satisfy this clause S5.2.5.11 must be </w:t>
      </w:r>
      <w:r>
        <w:rPr>
          <w:i/>
          <w:sz w:val="24"/>
        </w:rPr>
        <w:t>adequately </w:t>
      </w:r>
      <w:r>
        <w:rPr>
          <w:i/>
          <w:sz w:val="24"/>
        </w:rPr>
        <w:t>damped</w:t>
      </w:r>
      <w:r>
        <w:rPr>
          <w:sz w:val="24"/>
        </w:rPr>
        <w:t>.</w:t>
      </w:r>
    </w:p>
    <w:p>
      <w:pPr>
        <w:pStyle w:val="ListParagraph"/>
        <w:numPr>
          <w:ilvl w:val="0"/>
          <w:numId w:val="293"/>
        </w:numPr>
        <w:tabs>
          <w:tab w:pos="1919" w:val="left" w:leader="none"/>
        </w:tabs>
        <w:spacing w:line="240" w:lineRule="auto" w:before="120" w:after="0"/>
        <w:ind w:left="1919" w:right="415" w:hanging="567"/>
        <w:jc w:val="both"/>
        <w:rPr>
          <w:sz w:val="24"/>
        </w:rPr>
      </w:pPr>
      <w:r>
        <w:rPr>
          <w:sz w:val="24"/>
        </w:rPr>
        <w:t>The amount of a relevant </w:t>
      </w:r>
      <w:r>
        <w:rPr>
          <w:i/>
          <w:sz w:val="24"/>
        </w:rPr>
        <w:t>market ancillary service </w:t>
      </w:r>
      <w:r>
        <w:rPr>
          <w:sz w:val="24"/>
        </w:rPr>
        <w:t>for which the </w:t>
      </w:r>
      <w:r>
        <w:rPr>
          <w:i/>
          <w:sz w:val="24"/>
        </w:rPr>
        <w:t>plant </w:t>
      </w:r>
      <w:r>
        <w:rPr>
          <w:sz w:val="24"/>
        </w:rPr>
        <w:t>may be registered must not exceed the amount that would be consistent with the </w:t>
      </w:r>
      <w:r>
        <w:rPr>
          <w:i/>
          <w:sz w:val="24"/>
        </w:rPr>
        <w:t>performance standard </w:t>
      </w:r>
      <w:r>
        <w:rPr>
          <w:sz w:val="24"/>
        </w:rPr>
        <w:t>registered in respect of this</w:t>
      </w:r>
      <w:r>
        <w:rPr>
          <w:spacing w:val="-4"/>
          <w:sz w:val="24"/>
        </w:rPr>
        <w:t> </w:t>
      </w:r>
      <w:r>
        <w:rPr>
          <w:sz w:val="24"/>
        </w:rPr>
        <w:t>requirement.</w:t>
      </w:r>
    </w:p>
    <w:p>
      <w:pPr>
        <w:spacing w:after="0" w:line="240" w:lineRule="auto"/>
        <w:jc w:val="both"/>
        <w:rPr>
          <w:sz w:val="24"/>
        </w:rPr>
        <w:sectPr>
          <w:pgSz w:w="11910" w:h="16840"/>
          <w:pgMar w:header="686" w:footer="637" w:top="1320" w:bottom="820" w:left="1200" w:right="1000"/>
        </w:sectPr>
      </w:pPr>
    </w:p>
    <w:p>
      <w:pPr>
        <w:pStyle w:val="ListParagraph"/>
        <w:numPr>
          <w:ilvl w:val="0"/>
          <w:numId w:val="293"/>
        </w:numPr>
        <w:tabs>
          <w:tab w:pos="1919" w:val="left" w:leader="none"/>
        </w:tabs>
        <w:spacing w:line="240" w:lineRule="auto" w:before="83" w:after="0"/>
        <w:ind w:left="1919" w:right="416" w:hanging="567"/>
        <w:jc w:val="both"/>
        <w:rPr>
          <w:sz w:val="24"/>
        </w:rPr>
      </w:pPr>
      <w:r>
        <w:rPr>
          <w:sz w:val="24"/>
        </w:rPr>
        <w:t>For the purposes of subparagraph (b)(2), and with respect to a </w:t>
      </w:r>
      <w:r>
        <w:rPr>
          <w:i/>
          <w:sz w:val="24"/>
        </w:rPr>
        <w:t>negotiated </w:t>
      </w:r>
      <w:r>
        <w:rPr>
          <w:i/>
          <w:sz w:val="24"/>
        </w:rPr>
        <w:t>access standard </w:t>
      </w:r>
      <w:r>
        <w:rPr>
          <w:sz w:val="24"/>
        </w:rPr>
        <w:t>proposed for the technical requirements relevant to this clause</w:t>
      </w:r>
      <w:r>
        <w:rPr>
          <w:spacing w:val="-1"/>
          <w:sz w:val="24"/>
        </w:rPr>
        <w:t> </w:t>
      </w:r>
      <w:r>
        <w:rPr>
          <w:sz w:val="24"/>
        </w:rPr>
        <w:t>S5.2.5.11:</w:t>
      </w:r>
    </w:p>
    <w:p>
      <w:pPr>
        <w:pStyle w:val="ListParagraph"/>
        <w:numPr>
          <w:ilvl w:val="1"/>
          <w:numId w:val="293"/>
        </w:numPr>
        <w:tabs>
          <w:tab w:pos="2486" w:val="left" w:leader="none"/>
        </w:tabs>
        <w:spacing w:line="240" w:lineRule="auto" w:before="120" w:after="0"/>
        <w:ind w:left="2486" w:right="415" w:hanging="567"/>
        <w:jc w:val="both"/>
        <w:rPr>
          <w:sz w:val="24"/>
        </w:rPr>
      </w:pPr>
      <w:r>
        <w:rPr>
          <w:sz w:val="24"/>
        </w:rPr>
        <w:t>the change in </w:t>
      </w:r>
      <w:r>
        <w:rPr>
          <w:i/>
          <w:sz w:val="24"/>
        </w:rPr>
        <w:t>power transfer </w:t>
      </w:r>
      <w:r>
        <w:rPr>
          <w:sz w:val="24"/>
        </w:rPr>
        <w:t>to the </w:t>
      </w:r>
      <w:r>
        <w:rPr>
          <w:i/>
          <w:sz w:val="24"/>
        </w:rPr>
        <w:t>power system </w:t>
      </w:r>
      <w:r>
        <w:rPr>
          <w:sz w:val="24"/>
        </w:rPr>
        <w:t>must occur with no delay beyond that required for stable operation, or inherent in the </w:t>
      </w:r>
      <w:r>
        <w:rPr>
          <w:i/>
          <w:sz w:val="24"/>
        </w:rPr>
        <w:t>plant </w:t>
      </w:r>
      <w:r>
        <w:rPr>
          <w:sz w:val="24"/>
        </w:rPr>
        <w:t>controls, once the </w:t>
      </w:r>
      <w:r>
        <w:rPr>
          <w:i/>
          <w:sz w:val="24"/>
        </w:rPr>
        <w:t>frequency </w:t>
      </w:r>
      <w:r>
        <w:rPr>
          <w:sz w:val="24"/>
        </w:rPr>
        <w:t>of the </w:t>
      </w:r>
      <w:r>
        <w:rPr>
          <w:i/>
          <w:sz w:val="24"/>
        </w:rPr>
        <w:t>power system </w:t>
      </w:r>
      <w:r>
        <w:rPr>
          <w:sz w:val="24"/>
        </w:rPr>
        <w:t>as measured at the </w:t>
      </w:r>
      <w:r>
        <w:rPr>
          <w:i/>
          <w:sz w:val="24"/>
        </w:rPr>
        <w:t>connection point </w:t>
      </w:r>
      <w:r>
        <w:rPr>
          <w:sz w:val="24"/>
        </w:rPr>
        <w:t>leaves a deadband around 50</w:t>
      </w:r>
      <w:r>
        <w:rPr>
          <w:spacing w:val="-2"/>
          <w:sz w:val="24"/>
        </w:rPr>
        <w:t> </w:t>
      </w:r>
      <w:r>
        <w:rPr>
          <w:sz w:val="24"/>
        </w:rPr>
        <w:t>Hz;</w:t>
      </w:r>
    </w:p>
    <w:p>
      <w:pPr>
        <w:pStyle w:val="ListParagraph"/>
        <w:numPr>
          <w:ilvl w:val="1"/>
          <w:numId w:val="293"/>
        </w:numPr>
        <w:tabs>
          <w:tab w:pos="2486" w:val="left" w:leader="none"/>
        </w:tabs>
        <w:spacing w:line="240" w:lineRule="auto" w:before="120" w:after="0"/>
        <w:ind w:left="2486" w:right="416" w:hanging="567"/>
        <w:jc w:val="both"/>
        <w:rPr>
          <w:sz w:val="24"/>
        </w:rPr>
      </w:pPr>
      <w:r>
        <w:rPr>
          <w:sz w:val="24"/>
        </w:rPr>
        <w:t>a </w:t>
      </w:r>
      <w:r>
        <w:rPr>
          <w:i/>
          <w:sz w:val="24"/>
        </w:rPr>
        <w:t>generating system </w:t>
      </w:r>
      <w:r>
        <w:rPr>
          <w:sz w:val="24"/>
        </w:rPr>
        <w:t>must be capable of setting the deadband</w:t>
      </w:r>
      <w:r>
        <w:rPr>
          <w:spacing w:val="35"/>
          <w:sz w:val="24"/>
        </w:rPr>
        <w:t> </w:t>
      </w:r>
      <w:r>
        <w:rPr>
          <w:sz w:val="24"/>
        </w:rPr>
        <w:t>and droop within the following</w:t>
      </w:r>
      <w:r>
        <w:rPr>
          <w:spacing w:val="-2"/>
          <w:sz w:val="24"/>
        </w:rPr>
        <w:t> </w:t>
      </w:r>
      <w:r>
        <w:rPr>
          <w:sz w:val="24"/>
        </w:rPr>
        <w:t>ranges:</w:t>
      </w:r>
    </w:p>
    <w:p>
      <w:pPr>
        <w:pStyle w:val="ListParagraph"/>
        <w:numPr>
          <w:ilvl w:val="2"/>
          <w:numId w:val="293"/>
        </w:numPr>
        <w:tabs>
          <w:tab w:pos="3053" w:val="left" w:leader="none"/>
        </w:tabs>
        <w:spacing w:line="240" w:lineRule="auto" w:before="120" w:after="0"/>
        <w:ind w:left="3053" w:right="415" w:hanging="567"/>
        <w:jc w:val="both"/>
        <w:rPr>
          <w:sz w:val="24"/>
        </w:rPr>
      </w:pPr>
      <w:r>
        <w:rPr>
          <w:sz w:val="24"/>
        </w:rPr>
        <w:t>the deadband referred to in subparagraph (1) must be set within the range of 0 to ± 1.0 Hz. Different deadband settings may be applied for a rise or fall in the </w:t>
      </w:r>
      <w:r>
        <w:rPr>
          <w:i/>
          <w:sz w:val="24"/>
        </w:rPr>
        <w:t>frequency </w:t>
      </w:r>
      <w:r>
        <w:rPr>
          <w:sz w:val="24"/>
        </w:rPr>
        <w:t>of the </w:t>
      </w:r>
      <w:r>
        <w:rPr>
          <w:i/>
          <w:sz w:val="24"/>
        </w:rPr>
        <w:t>power system </w:t>
      </w:r>
      <w:r>
        <w:rPr>
          <w:sz w:val="24"/>
        </w:rPr>
        <w:t>as measured at the </w:t>
      </w:r>
      <w:r>
        <w:rPr>
          <w:i/>
          <w:sz w:val="24"/>
        </w:rPr>
        <w:t>connection point</w:t>
      </w:r>
      <w:r>
        <w:rPr>
          <w:sz w:val="24"/>
        </w:rPr>
        <w:t>;</w:t>
      </w:r>
      <w:r>
        <w:rPr>
          <w:spacing w:val="-1"/>
          <w:sz w:val="24"/>
        </w:rPr>
        <w:t> </w:t>
      </w:r>
      <w:r>
        <w:rPr>
          <w:sz w:val="24"/>
        </w:rPr>
        <w:t>and</w:t>
      </w:r>
    </w:p>
    <w:p>
      <w:pPr>
        <w:pStyle w:val="ListParagraph"/>
        <w:numPr>
          <w:ilvl w:val="2"/>
          <w:numId w:val="293"/>
        </w:numPr>
        <w:tabs>
          <w:tab w:pos="3054" w:val="left" w:leader="none"/>
        </w:tabs>
        <w:spacing w:line="240" w:lineRule="auto" w:before="120" w:after="0"/>
        <w:ind w:left="3053" w:right="416" w:hanging="567"/>
        <w:jc w:val="both"/>
        <w:rPr>
          <w:sz w:val="24"/>
        </w:rPr>
      </w:pPr>
      <w:r>
        <w:rPr>
          <w:sz w:val="24"/>
        </w:rPr>
        <w:t>the droop must be set within the range of 2% to 10%, or such other settings as agreed with the </w:t>
      </w:r>
      <w:r>
        <w:rPr>
          <w:i/>
          <w:sz w:val="24"/>
        </w:rPr>
        <w:t>Network Service Provider </w:t>
      </w:r>
      <w:r>
        <w:rPr>
          <w:sz w:val="24"/>
        </w:rPr>
        <w:t>and </w:t>
      </w:r>
      <w:r>
        <w:rPr>
          <w:i/>
          <w:sz w:val="24"/>
        </w:rPr>
        <w:t>AEMO</w:t>
      </w:r>
      <w:r>
        <w:rPr>
          <w:sz w:val="24"/>
        </w:rPr>
        <w:t>;</w:t>
      </w:r>
    </w:p>
    <w:p>
      <w:pPr>
        <w:pStyle w:val="ListParagraph"/>
        <w:numPr>
          <w:ilvl w:val="1"/>
          <w:numId w:val="293"/>
        </w:numPr>
        <w:tabs>
          <w:tab w:pos="2486" w:val="left" w:leader="none"/>
        </w:tabs>
        <w:spacing w:line="240" w:lineRule="auto" w:before="120" w:after="0"/>
        <w:ind w:left="2486" w:right="415" w:hanging="567"/>
        <w:jc w:val="both"/>
        <w:rPr>
          <w:sz w:val="24"/>
        </w:rPr>
      </w:pPr>
      <w:r>
        <w:rPr>
          <w:sz w:val="24"/>
        </w:rPr>
        <w:t>nothing in subparagraph (b)(2) is taken to require a </w:t>
      </w:r>
      <w:r>
        <w:rPr>
          <w:i/>
          <w:sz w:val="24"/>
        </w:rPr>
        <w:t>generating system </w:t>
      </w:r>
      <w:r>
        <w:rPr>
          <w:sz w:val="24"/>
        </w:rPr>
        <w:t>to operate below its minimum operating level in response to a rise </w:t>
      </w:r>
      <w:r>
        <w:rPr>
          <w:spacing w:val="-7"/>
          <w:sz w:val="24"/>
        </w:rPr>
        <w:t>in </w:t>
      </w:r>
      <w:r>
        <w:rPr>
          <w:sz w:val="24"/>
        </w:rPr>
        <w:t>the </w:t>
      </w:r>
      <w:r>
        <w:rPr>
          <w:i/>
          <w:sz w:val="24"/>
        </w:rPr>
        <w:t>frequency </w:t>
      </w:r>
      <w:r>
        <w:rPr>
          <w:sz w:val="24"/>
        </w:rPr>
        <w:t>of the </w:t>
      </w:r>
      <w:r>
        <w:rPr>
          <w:i/>
          <w:sz w:val="24"/>
        </w:rPr>
        <w:t>power system </w:t>
      </w:r>
      <w:r>
        <w:rPr>
          <w:sz w:val="24"/>
        </w:rPr>
        <w:t>as measured at the</w:t>
      </w:r>
      <w:r>
        <w:rPr>
          <w:spacing w:val="42"/>
          <w:sz w:val="24"/>
        </w:rPr>
        <w:t> </w:t>
      </w:r>
      <w:r>
        <w:rPr>
          <w:i/>
          <w:sz w:val="24"/>
        </w:rPr>
        <w:t>connection </w:t>
      </w:r>
      <w:r>
        <w:rPr>
          <w:i/>
          <w:sz w:val="24"/>
        </w:rPr>
        <w:t>point</w:t>
      </w:r>
      <w:r>
        <w:rPr>
          <w:sz w:val="24"/>
        </w:rPr>
        <w:t>, or above its maximum operating level in response to a fall in the </w:t>
      </w:r>
      <w:r>
        <w:rPr>
          <w:i/>
          <w:sz w:val="24"/>
        </w:rPr>
        <w:t>frequency </w:t>
      </w:r>
      <w:r>
        <w:rPr>
          <w:sz w:val="24"/>
        </w:rPr>
        <w:t>of the </w:t>
      </w:r>
      <w:r>
        <w:rPr>
          <w:i/>
          <w:sz w:val="24"/>
        </w:rPr>
        <w:t>power system </w:t>
      </w:r>
      <w:r>
        <w:rPr>
          <w:sz w:val="24"/>
        </w:rPr>
        <w:t>as measured at the </w:t>
      </w:r>
      <w:r>
        <w:rPr>
          <w:i/>
          <w:sz w:val="24"/>
        </w:rPr>
        <w:t>connection</w:t>
      </w:r>
      <w:r>
        <w:rPr>
          <w:i/>
          <w:spacing w:val="-7"/>
          <w:sz w:val="24"/>
        </w:rPr>
        <w:t> </w:t>
      </w:r>
      <w:r>
        <w:rPr>
          <w:i/>
          <w:sz w:val="24"/>
        </w:rPr>
        <w:t>point</w:t>
      </w:r>
      <w:r>
        <w:rPr>
          <w:sz w:val="24"/>
        </w:rPr>
        <w:t>;</w:t>
      </w:r>
    </w:p>
    <w:p>
      <w:pPr>
        <w:pStyle w:val="ListParagraph"/>
        <w:numPr>
          <w:ilvl w:val="1"/>
          <w:numId w:val="293"/>
        </w:numPr>
        <w:tabs>
          <w:tab w:pos="2486" w:val="left" w:leader="none"/>
        </w:tabs>
        <w:spacing w:line="240" w:lineRule="auto" w:before="120" w:after="0"/>
        <w:ind w:left="2486" w:right="416" w:hanging="567"/>
        <w:jc w:val="both"/>
        <w:rPr>
          <w:sz w:val="24"/>
        </w:rPr>
      </w:pPr>
      <w:r>
        <w:rPr>
          <w:sz w:val="24"/>
        </w:rPr>
        <w:t>a </w:t>
      </w:r>
      <w:r>
        <w:rPr>
          <w:i/>
          <w:sz w:val="24"/>
        </w:rPr>
        <w:t>generating system </w:t>
      </w:r>
      <w:r>
        <w:rPr>
          <w:sz w:val="24"/>
        </w:rPr>
        <w:t>is required to operate in </w:t>
      </w:r>
      <w:r>
        <w:rPr>
          <w:i/>
          <w:sz w:val="24"/>
        </w:rPr>
        <w:t>frequency response mode </w:t>
      </w:r>
      <w:r>
        <w:rPr>
          <w:sz w:val="24"/>
        </w:rPr>
        <w:t>only when it is enabled for the provision of a relevant </w:t>
      </w:r>
      <w:r>
        <w:rPr>
          <w:i/>
          <w:sz w:val="24"/>
        </w:rPr>
        <w:t>market ancillary </w:t>
      </w:r>
      <w:r>
        <w:rPr>
          <w:i/>
          <w:sz w:val="24"/>
        </w:rPr>
        <w:t>service</w:t>
      </w:r>
      <w:r>
        <w:rPr>
          <w:sz w:val="24"/>
        </w:rPr>
        <w:t>;</w:t>
      </w:r>
      <w:r>
        <w:rPr>
          <w:spacing w:val="-2"/>
          <w:sz w:val="24"/>
        </w:rPr>
        <w:t> </w:t>
      </w:r>
      <w:r>
        <w:rPr>
          <w:sz w:val="24"/>
        </w:rPr>
        <w:t>and</w:t>
      </w:r>
    </w:p>
    <w:p>
      <w:pPr>
        <w:pStyle w:val="ListParagraph"/>
        <w:numPr>
          <w:ilvl w:val="1"/>
          <w:numId w:val="293"/>
        </w:numPr>
        <w:tabs>
          <w:tab w:pos="2486" w:val="left" w:leader="none"/>
        </w:tabs>
        <w:spacing w:line="240" w:lineRule="auto" w:before="120" w:after="0"/>
        <w:ind w:left="2485" w:right="0" w:hanging="567"/>
        <w:jc w:val="both"/>
        <w:rPr>
          <w:sz w:val="24"/>
        </w:rPr>
      </w:pPr>
      <w:r>
        <w:rPr>
          <w:sz w:val="24"/>
        </w:rPr>
        <w:t>the </w:t>
      </w:r>
      <w:r>
        <w:rPr>
          <w:i/>
          <w:sz w:val="24"/>
        </w:rPr>
        <w:t>performance standards </w:t>
      </w:r>
      <w:r>
        <w:rPr>
          <w:sz w:val="24"/>
        </w:rPr>
        <w:t>must</w:t>
      </w:r>
      <w:r>
        <w:rPr>
          <w:spacing w:val="-2"/>
          <w:sz w:val="24"/>
        </w:rPr>
        <w:t> </w:t>
      </w:r>
      <w:r>
        <w:rPr>
          <w:sz w:val="24"/>
        </w:rPr>
        <w:t>record:</w:t>
      </w:r>
    </w:p>
    <w:p>
      <w:pPr>
        <w:pStyle w:val="ListParagraph"/>
        <w:numPr>
          <w:ilvl w:val="2"/>
          <w:numId w:val="293"/>
        </w:numPr>
        <w:tabs>
          <w:tab w:pos="3053" w:val="left" w:leader="none"/>
        </w:tabs>
        <w:spacing w:line="240" w:lineRule="auto" w:before="120" w:after="0"/>
        <w:ind w:left="3053" w:right="414" w:hanging="567"/>
        <w:jc w:val="both"/>
        <w:rPr>
          <w:sz w:val="24"/>
        </w:rPr>
      </w:pPr>
      <w:r>
        <w:rPr>
          <w:sz w:val="24"/>
        </w:rPr>
        <w:t>agreed values for maximum operating level and minimum operating level, and where relevant the method of determining the values, and the values for a </w:t>
      </w:r>
      <w:r>
        <w:rPr>
          <w:i/>
          <w:sz w:val="24"/>
        </w:rPr>
        <w:t>generating system </w:t>
      </w:r>
      <w:r>
        <w:rPr>
          <w:sz w:val="24"/>
        </w:rPr>
        <w:t>must take into account its in-service </w:t>
      </w:r>
      <w:r>
        <w:rPr>
          <w:i/>
          <w:sz w:val="24"/>
        </w:rPr>
        <w:t>generating units</w:t>
      </w:r>
      <w:r>
        <w:rPr>
          <w:sz w:val="24"/>
        </w:rPr>
        <w:t>;</w:t>
      </w:r>
      <w:r>
        <w:rPr>
          <w:spacing w:val="-2"/>
          <w:sz w:val="24"/>
        </w:rPr>
        <w:t> </w:t>
      </w:r>
      <w:r>
        <w:rPr>
          <w:sz w:val="24"/>
        </w:rPr>
        <w:t>and</w:t>
      </w:r>
    </w:p>
    <w:p>
      <w:pPr>
        <w:pStyle w:val="ListParagraph"/>
        <w:numPr>
          <w:ilvl w:val="2"/>
          <w:numId w:val="293"/>
        </w:numPr>
        <w:tabs>
          <w:tab w:pos="3054" w:val="left" w:leader="none"/>
        </w:tabs>
        <w:spacing w:line="240" w:lineRule="auto" w:before="120" w:after="0"/>
        <w:ind w:left="3053" w:right="416" w:hanging="567"/>
        <w:jc w:val="both"/>
        <w:rPr>
          <w:sz w:val="24"/>
        </w:rPr>
      </w:pPr>
      <w:r>
        <w:rPr>
          <w:sz w:val="24"/>
        </w:rPr>
        <w:t>for the purpose of subparagraph (b)(2), or a </w:t>
      </w:r>
      <w:r>
        <w:rPr>
          <w:i/>
          <w:sz w:val="24"/>
        </w:rPr>
        <w:t>negotiated access </w:t>
      </w:r>
      <w:r>
        <w:rPr>
          <w:i/>
          <w:sz w:val="24"/>
        </w:rPr>
        <w:t>standard </w:t>
      </w:r>
      <w:r>
        <w:rPr>
          <w:sz w:val="24"/>
        </w:rPr>
        <w:t>offering measureable amounts of </w:t>
      </w:r>
      <w:r>
        <w:rPr>
          <w:i/>
          <w:sz w:val="24"/>
        </w:rPr>
        <w:t>market ancillary </w:t>
      </w:r>
      <w:r>
        <w:rPr>
          <w:i/>
          <w:sz w:val="24"/>
        </w:rPr>
        <w:t>services </w:t>
      </w:r>
      <w:r>
        <w:rPr>
          <w:sz w:val="24"/>
        </w:rPr>
        <w:t>under this clause S5.2.5.11, the </w:t>
      </w:r>
      <w:r>
        <w:rPr>
          <w:i/>
          <w:sz w:val="24"/>
        </w:rPr>
        <w:t>market ancillary </w:t>
      </w:r>
      <w:r>
        <w:rPr>
          <w:i/>
          <w:sz w:val="24"/>
        </w:rPr>
        <w:t>services</w:t>
      </w:r>
      <w:r>
        <w:rPr>
          <w:sz w:val="24"/>
        </w:rPr>
        <w:t>, including the performance parameters and requirements that apply to each such </w:t>
      </w:r>
      <w:r>
        <w:rPr>
          <w:i/>
          <w:sz w:val="24"/>
        </w:rPr>
        <w:t>market ancillary</w:t>
      </w:r>
      <w:r>
        <w:rPr>
          <w:i/>
          <w:spacing w:val="-14"/>
          <w:sz w:val="24"/>
        </w:rPr>
        <w:t> </w:t>
      </w:r>
      <w:r>
        <w:rPr>
          <w:i/>
          <w:sz w:val="24"/>
        </w:rPr>
        <w:t>service</w:t>
      </w:r>
      <w:r>
        <w:rPr>
          <w:sz w:val="24"/>
        </w:rPr>
        <w:t>.</w:t>
      </w:r>
    </w:p>
    <w:p>
      <w:pPr>
        <w:pStyle w:val="BodyText"/>
        <w:spacing w:before="10"/>
        <w:ind w:firstLine="0"/>
        <w:jc w:val="left"/>
        <w:rPr>
          <w:sz w:val="20"/>
        </w:rPr>
      </w:pPr>
    </w:p>
    <w:p>
      <w:pPr>
        <w:pStyle w:val="Heading4"/>
        <w:ind w:left="218" w:firstLine="0"/>
      </w:pPr>
      <w:bookmarkStart w:name="S5.2.5.12 Impact on network capability" w:id="992"/>
      <w:bookmarkEnd w:id="992"/>
      <w:r>
        <w:rPr>
          <w:b w:val="0"/>
        </w:rPr>
      </w:r>
      <w:bookmarkStart w:name="_bookmark388" w:id="993"/>
      <w:bookmarkEnd w:id="993"/>
      <w:r>
        <w:rPr>
          <w:b w:val="0"/>
        </w:rPr>
      </w:r>
      <w:r>
        <w:rPr/>
        <w:t>S5.2.5.12 Impact on network capability</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295"/>
        </w:numPr>
        <w:tabs>
          <w:tab w:pos="1919" w:val="left" w:leader="none"/>
        </w:tabs>
        <w:spacing w:line="240" w:lineRule="auto" w:before="120" w:after="0"/>
        <w:ind w:left="1919" w:right="414" w:hanging="567"/>
        <w:jc w:val="both"/>
        <w:rPr>
          <w:sz w:val="24"/>
        </w:rPr>
      </w:pPr>
      <w:r>
        <w:rPr>
          <w:sz w:val="24"/>
        </w:rPr>
        <w:t>The </w:t>
      </w:r>
      <w:r>
        <w:rPr>
          <w:i/>
          <w:sz w:val="24"/>
        </w:rPr>
        <w:t>automatic access standard </w:t>
      </w:r>
      <w:r>
        <w:rPr>
          <w:sz w:val="24"/>
        </w:rPr>
        <w:t>is a </w:t>
      </w:r>
      <w:r>
        <w:rPr>
          <w:i/>
          <w:sz w:val="24"/>
        </w:rPr>
        <w:t>generating system </w:t>
      </w:r>
      <w:r>
        <w:rPr>
          <w:sz w:val="24"/>
        </w:rPr>
        <w:t>must have </w:t>
      </w:r>
      <w:r>
        <w:rPr>
          <w:i/>
          <w:sz w:val="24"/>
        </w:rPr>
        <w:t>plant </w:t>
      </w:r>
      <w:r>
        <w:rPr>
          <w:sz w:val="24"/>
        </w:rPr>
        <w:t>capabilities and </w:t>
      </w:r>
      <w:r>
        <w:rPr>
          <w:i/>
          <w:sz w:val="24"/>
        </w:rPr>
        <w:t>control systems </w:t>
      </w:r>
      <w:r>
        <w:rPr>
          <w:sz w:val="24"/>
        </w:rPr>
        <w:t>that are sufficient so that when </w:t>
      </w:r>
      <w:r>
        <w:rPr>
          <w:i/>
          <w:sz w:val="24"/>
        </w:rPr>
        <w:t>connected </w:t>
      </w:r>
      <w:r>
        <w:rPr>
          <w:sz w:val="24"/>
        </w:rPr>
        <w:t>it does not reduce any </w:t>
      </w:r>
      <w:r>
        <w:rPr>
          <w:i/>
          <w:sz w:val="24"/>
        </w:rPr>
        <w:t>inter-regional </w:t>
      </w:r>
      <w:r>
        <w:rPr>
          <w:sz w:val="24"/>
        </w:rPr>
        <w:t>or </w:t>
      </w:r>
      <w:r>
        <w:rPr>
          <w:i/>
          <w:sz w:val="24"/>
        </w:rPr>
        <w:t>intra-regional power transfer </w:t>
      </w:r>
      <w:r>
        <w:rPr>
          <w:i/>
          <w:sz w:val="24"/>
        </w:rPr>
        <w:t>capability </w:t>
      </w:r>
      <w:r>
        <w:rPr>
          <w:sz w:val="24"/>
        </w:rPr>
        <w:t>below the level that would apply if the </w:t>
      </w:r>
      <w:r>
        <w:rPr>
          <w:i/>
          <w:sz w:val="24"/>
        </w:rPr>
        <w:t>generating system </w:t>
      </w:r>
      <w:r>
        <w:rPr>
          <w:sz w:val="24"/>
        </w:rPr>
        <w:t>were not </w:t>
      </w:r>
      <w:r>
        <w:rPr>
          <w:i/>
          <w:sz w:val="24"/>
        </w:rPr>
        <w:t>connected</w:t>
      </w:r>
      <w:r>
        <w:rPr>
          <w:sz w:val="24"/>
        </w:rPr>
        <w:t>.</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Minimum access standard</w:t>
      </w:r>
    </w:p>
    <w:p>
      <w:pPr>
        <w:pStyle w:val="ListParagraph"/>
        <w:numPr>
          <w:ilvl w:val="0"/>
          <w:numId w:val="295"/>
        </w:numPr>
        <w:tabs>
          <w:tab w:pos="1919" w:val="left" w:leader="none"/>
        </w:tabs>
        <w:spacing w:line="240" w:lineRule="auto" w:before="120" w:after="0"/>
        <w:ind w:left="1919" w:right="415" w:hanging="567"/>
        <w:jc w:val="both"/>
        <w:rPr>
          <w:sz w:val="24"/>
        </w:rPr>
      </w:pPr>
      <w:r>
        <w:rPr>
          <w:sz w:val="24"/>
        </w:rPr>
        <w:t>The </w:t>
      </w:r>
      <w:r>
        <w:rPr>
          <w:i/>
          <w:sz w:val="24"/>
        </w:rPr>
        <w:t>minimum access standard </w:t>
      </w:r>
      <w:r>
        <w:rPr>
          <w:sz w:val="24"/>
        </w:rPr>
        <w:t>is a </w:t>
      </w:r>
      <w:r>
        <w:rPr>
          <w:i/>
          <w:sz w:val="24"/>
        </w:rPr>
        <w:t>generating system </w:t>
      </w:r>
      <w:r>
        <w:rPr>
          <w:sz w:val="24"/>
        </w:rPr>
        <w:t>must have </w:t>
      </w:r>
      <w:r>
        <w:rPr>
          <w:i/>
          <w:sz w:val="24"/>
        </w:rPr>
        <w:t>plant </w:t>
      </w:r>
      <w:r>
        <w:rPr>
          <w:sz w:val="24"/>
        </w:rPr>
        <w:t>capabilities, </w:t>
      </w:r>
      <w:r>
        <w:rPr>
          <w:i/>
          <w:sz w:val="24"/>
        </w:rPr>
        <w:t>control systems </w:t>
      </w:r>
      <w:r>
        <w:rPr>
          <w:sz w:val="24"/>
        </w:rPr>
        <w:t>and operational arrangements sufficient to ensure there is no reduction</w:t>
      </w:r>
      <w:r>
        <w:rPr>
          <w:spacing w:val="-2"/>
          <w:sz w:val="24"/>
        </w:rPr>
        <w:t> </w:t>
      </w:r>
      <w:r>
        <w:rPr>
          <w:sz w:val="24"/>
        </w:rPr>
        <w:t>in:</w:t>
      </w:r>
    </w:p>
    <w:p>
      <w:pPr>
        <w:pStyle w:val="ListParagraph"/>
        <w:numPr>
          <w:ilvl w:val="1"/>
          <w:numId w:val="295"/>
        </w:numPr>
        <w:tabs>
          <w:tab w:pos="2486" w:val="left" w:leader="none"/>
        </w:tabs>
        <w:spacing w:line="240" w:lineRule="auto" w:before="120" w:after="0"/>
        <w:ind w:left="2486" w:right="417" w:hanging="567"/>
        <w:jc w:val="both"/>
        <w:rPr>
          <w:sz w:val="24"/>
        </w:rPr>
      </w:pPr>
      <w:r>
        <w:rPr>
          <w:sz w:val="24"/>
        </w:rPr>
        <w:t>the ability to </w:t>
      </w:r>
      <w:r>
        <w:rPr>
          <w:i/>
          <w:sz w:val="24"/>
        </w:rPr>
        <w:t>supply Customer load </w:t>
      </w:r>
      <w:r>
        <w:rPr>
          <w:sz w:val="24"/>
        </w:rPr>
        <w:t>as a result of a reduction in </w:t>
      </w:r>
      <w:r>
        <w:rPr>
          <w:i/>
          <w:sz w:val="24"/>
        </w:rPr>
        <w:t>power </w:t>
      </w:r>
      <w:r>
        <w:rPr>
          <w:i/>
          <w:sz w:val="24"/>
        </w:rPr>
        <w:t>transfer capability</w:t>
      </w:r>
      <w:r>
        <w:rPr>
          <w:sz w:val="24"/>
        </w:rPr>
        <w:t>;</w:t>
      </w:r>
      <w:r>
        <w:rPr>
          <w:spacing w:val="-1"/>
          <w:sz w:val="24"/>
        </w:rPr>
        <w:t> </w:t>
      </w:r>
      <w:r>
        <w:rPr>
          <w:sz w:val="24"/>
        </w:rPr>
        <w:t>and</w:t>
      </w:r>
    </w:p>
    <w:p>
      <w:pPr>
        <w:pStyle w:val="ListParagraph"/>
        <w:numPr>
          <w:ilvl w:val="1"/>
          <w:numId w:val="295"/>
        </w:numPr>
        <w:tabs>
          <w:tab w:pos="2486" w:val="left" w:leader="none"/>
        </w:tabs>
        <w:spacing w:line="240" w:lineRule="auto" w:before="120" w:after="0"/>
        <w:ind w:left="2485" w:right="0" w:hanging="567"/>
        <w:jc w:val="both"/>
        <w:rPr>
          <w:sz w:val="24"/>
        </w:rPr>
      </w:pPr>
      <w:r>
        <w:rPr>
          <w:i/>
          <w:sz w:val="24"/>
        </w:rPr>
        <w:t>power</w:t>
      </w:r>
      <w:r>
        <w:rPr>
          <w:i/>
          <w:spacing w:val="23"/>
          <w:sz w:val="24"/>
        </w:rPr>
        <w:t> </w:t>
      </w:r>
      <w:r>
        <w:rPr>
          <w:i/>
          <w:sz w:val="24"/>
        </w:rPr>
        <w:t>transfer</w:t>
      </w:r>
      <w:r>
        <w:rPr>
          <w:i/>
          <w:spacing w:val="24"/>
          <w:sz w:val="24"/>
        </w:rPr>
        <w:t> </w:t>
      </w:r>
      <w:r>
        <w:rPr>
          <w:i/>
          <w:sz w:val="24"/>
        </w:rPr>
        <w:t>capabilities</w:t>
      </w:r>
      <w:r>
        <w:rPr>
          <w:i/>
          <w:spacing w:val="24"/>
          <w:sz w:val="24"/>
        </w:rPr>
        <w:t> </w:t>
      </w:r>
      <w:r>
        <w:rPr>
          <w:sz w:val="24"/>
        </w:rPr>
        <w:t>into</w:t>
      </w:r>
      <w:r>
        <w:rPr>
          <w:spacing w:val="24"/>
          <w:sz w:val="24"/>
        </w:rPr>
        <w:t> </w:t>
      </w:r>
      <w:r>
        <w:rPr>
          <w:sz w:val="24"/>
        </w:rPr>
        <w:t>a</w:t>
      </w:r>
      <w:r>
        <w:rPr>
          <w:spacing w:val="24"/>
          <w:sz w:val="24"/>
        </w:rPr>
        <w:t> </w:t>
      </w:r>
      <w:r>
        <w:rPr>
          <w:sz w:val="24"/>
        </w:rPr>
        <w:t>region</w:t>
      </w:r>
      <w:r>
        <w:rPr>
          <w:spacing w:val="23"/>
          <w:sz w:val="24"/>
        </w:rPr>
        <w:t> </w:t>
      </w:r>
      <w:r>
        <w:rPr>
          <w:sz w:val="24"/>
        </w:rPr>
        <w:t>by</w:t>
      </w:r>
      <w:r>
        <w:rPr>
          <w:spacing w:val="24"/>
          <w:sz w:val="24"/>
        </w:rPr>
        <w:t> </w:t>
      </w:r>
      <w:r>
        <w:rPr>
          <w:sz w:val="24"/>
        </w:rPr>
        <w:t>more</w:t>
      </w:r>
      <w:r>
        <w:rPr>
          <w:spacing w:val="24"/>
          <w:sz w:val="24"/>
        </w:rPr>
        <w:t> </w:t>
      </w:r>
      <w:r>
        <w:rPr>
          <w:sz w:val="24"/>
        </w:rPr>
        <w:t>than</w:t>
      </w:r>
      <w:r>
        <w:rPr>
          <w:spacing w:val="24"/>
          <w:sz w:val="24"/>
        </w:rPr>
        <w:t> </w:t>
      </w:r>
      <w:r>
        <w:rPr>
          <w:sz w:val="24"/>
        </w:rPr>
        <w:t>the</w:t>
      </w:r>
      <w:r>
        <w:rPr>
          <w:spacing w:val="24"/>
          <w:sz w:val="24"/>
        </w:rPr>
        <w:t> </w:t>
      </w:r>
      <w:r>
        <w:rPr>
          <w:sz w:val="24"/>
        </w:rPr>
        <w:t>combined</w:t>
      </w:r>
    </w:p>
    <w:p>
      <w:pPr>
        <w:spacing w:before="0"/>
        <w:ind w:left="2486" w:right="0" w:firstLine="0"/>
        <w:jc w:val="both"/>
        <w:rPr>
          <w:sz w:val="24"/>
        </w:rPr>
      </w:pPr>
      <w:r>
        <w:rPr>
          <w:i/>
          <w:sz w:val="24"/>
        </w:rPr>
        <w:t>sent out generation </w:t>
      </w:r>
      <w:r>
        <w:rPr>
          <w:sz w:val="24"/>
        </w:rPr>
        <w:t>of its </w:t>
      </w:r>
      <w:r>
        <w:rPr>
          <w:i/>
          <w:sz w:val="24"/>
        </w:rPr>
        <w:t>generating units</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95"/>
        </w:numPr>
        <w:tabs>
          <w:tab w:pos="1919" w:val="left" w:leader="none"/>
        </w:tabs>
        <w:spacing w:line="240" w:lineRule="auto" w:before="120" w:after="0"/>
        <w:ind w:left="1919" w:right="415" w:hanging="567"/>
        <w:jc w:val="both"/>
        <w:rPr>
          <w:sz w:val="24"/>
        </w:rPr>
      </w:pPr>
      <w:r>
        <w:rPr>
          <w:sz w:val="24"/>
        </w:rPr>
        <w:t>In carrying out assessments of proposed </w:t>
      </w:r>
      <w:r>
        <w:rPr>
          <w:i/>
          <w:sz w:val="24"/>
        </w:rPr>
        <w:t>negotiated access standards </w:t>
      </w:r>
      <w:r>
        <w:rPr>
          <w:sz w:val="24"/>
        </w:rPr>
        <w:t>under this clause S5.2.5.12, the </w:t>
      </w:r>
      <w:r>
        <w:rPr>
          <w:i/>
          <w:sz w:val="24"/>
        </w:rPr>
        <w:t>Network Service Provider </w:t>
      </w:r>
      <w:r>
        <w:rPr>
          <w:sz w:val="24"/>
        </w:rPr>
        <w:t>and </w:t>
      </w:r>
      <w:r>
        <w:rPr>
          <w:i/>
          <w:sz w:val="24"/>
        </w:rPr>
        <w:t>AEMO </w:t>
      </w:r>
      <w:r>
        <w:rPr>
          <w:sz w:val="24"/>
        </w:rPr>
        <w:t>must take into account:</w:t>
      </w:r>
    </w:p>
    <w:p>
      <w:pPr>
        <w:pStyle w:val="ListParagraph"/>
        <w:numPr>
          <w:ilvl w:val="1"/>
          <w:numId w:val="295"/>
        </w:numPr>
        <w:tabs>
          <w:tab w:pos="2486" w:val="left" w:leader="none"/>
        </w:tabs>
        <w:spacing w:line="240" w:lineRule="auto" w:before="120" w:after="0"/>
        <w:ind w:left="2485" w:right="0" w:hanging="567"/>
        <w:jc w:val="both"/>
        <w:rPr>
          <w:sz w:val="24"/>
        </w:rPr>
      </w:pPr>
      <w:r>
        <w:rPr>
          <w:sz w:val="24"/>
        </w:rPr>
        <w:t>the expected performance</w:t>
      </w:r>
      <w:r>
        <w:rPr>
          <w:spacing w:val="-1"/>
          <w:sz w:val="24"/>
        </w:rPr>
        <w:t> </w:t>
      </w:r>
      <w:r>
        <w:rPr>
          <w:sz w:val="24"/>
        </w:rPr>
        <w:t>of:</w:t>
      </w:r>
    </w:p>
    <w:p>
      <w:pPr>
        <w:pStyle w:val="ListParagraph"/>
        <w:numPr>
          <w:ilvl w:val="2"/>
          <w:numId w:val="295"/>
        </w:numPr>
        <w:tabs>
          <w:tab w:pos="3053" w:val="left" w:leader="none"/>
        </w:tabs>
        <w:spacing w:line="240" w:lineRule="auto" w:before="120" w:after="0"/>
        <w:ind w:left="3052" w:right="0" w:hanging="567"/>
        <w:jc w:val="both"/>
        <w:rPr>
          <w:sz w:val="24"/>
        </w:rPr>
      </w:pPr>
      <w:r>
        <w:rPr>
          <w:sz w:val="24"/>
        </w:rPr>
        <w:t>existing </w:t>
      </w:r>
      <w:r>
        <w:rPr>
          <w:i/>
          <w:sz w:val="24"/>
        </w:rPr>
        <w:t>networks </w:t>
      </w:r>
      <w:r>
        <w:rPr>
          <w:sz w:val="24"/>
        </w:rPr>
        <w:t>and </w:t>
      </w:r>
      <w:r>
        <w:rPr>
          <w:i/>
          <w:sz w:val="24"/>
        </w:rPr>
        <w:t>considered</w:t>
      </w:r>
      <w:r>
        <w:rPr>
          <w:i/>
          <w:spacing w:val="-1"/>
          <w:sz w:val="24"/>
        </w:rPr>
        <w:t> </w:t>
      </w:r>
      <w:r>
        <w:rPr>
          <w:i/>
          <w:sz w:val="24"/>
        </w:rPr>
        <w:t>projects</w:t>
      </w:r>
      <w:r>
        <w:rPr>
          <w:sz w:val="24"/>
        </w:rPr>
        <w:t>;</w:t>
      </w:r>
    </w:p>
    <w:p>
      <w:pPr>
        <w:pStyle w:val="ListParagraph"/>
        <w:numPr>
          <w:ilvl w:val="2"/>
          <w:numId w:val="295"/>
        </w:numPr>
        <w:tabs>
          <w:tab w:pos="3054" w:val="left" w:leader="none"/>
        </w:tabs>
        <w:spacing w:line="240" w:lineRule="auto" w:before="120" w:after="0"/>
        <w:ind w:left="3053" w:right="0" w:hanging="568"/>
        <w:jc w:val="both"/>
        <w:rPr>
          <w:sz w:val="24"/>
        </w:rPr>
      </w:pPr>
      <w:r>
        <w:rPr>
          <w:sz w:val="24"/>
        </w:rPr>
        <w:t>existing </w:t>
      </w:r>
      <w:r>
        <w:rPr>
          <w:i/>
          <w:sz w:val="24"/>
        </w:rPr>
        <w:t>generating plant </w:t>
      </w:r>
      <w:r>
        <w:rPr>
          <w:sz w:val="24"/>
        </w:rPr>
        <w:t>and other relevant projects;</w:t>
      </w:r>
      <w:r>
        <w:rPr>
          <w:spacing w:val="-2"/>
          <w:sz w:val="24"/>
        </w:rPr>
        <w:t> </w:t>
      </w:r>
      <w:r>
        <w:rPr>
          <w:sz w:val="24"/>
        </w:rPr>
        <w:t>and</w:t>
      </w:r>
    </w:p>
    <w:p>
      <w:pPr>
        <w:pStyle w:val="ListParagraph"/>
        <w:numPr>
          <w:ilvl w:val="2"/>
          <w:numId w:val="295"/>
        </w:numPr>
        <w:tabs>
          <w:tab w:pos="3053" w:val="left" w:leader="none"/>
        </w:tabs>
        <w:spacing w:line="240" w:lineRule="auto" w:before="120" w:after="0"/>
        <w:ind w:left="3053" w:right="415" w:hanging="567"/>
        <w:jc w:val="both"/>
        <w:rPr>
          <w:sz w:val="24"/>
        </w:rPr>
      </w:pPr>
      <w:r>
        <w:rPr>
          <w:i/>
          <w:sz w:val="24"/>
        </w:rPr>
        <w:t>control systems </w:t>
      </w:r>
      <w:r>
        <w:rPr>
          <w:sz w:val="24"/>
        </w:rPr>
        <w:t>and </w:t>
      </w:r>
      <w:r>
        <w:rPr>
          <w:i/>
          <w:sz w:val="24"/>
        </w:rPr>
        <w:t>protection systems</w:t>
      </w:r>
      <w:r>
        <w:rPr>
          <w:sz w:val="24"/>
        </w:rPr>
        <w:t>, including </w:t>
      </w:r>
      <w:r>
        <w:rPr>
          <w:i/>
          <w:sz w:val="24"/>
        </w:rPr>
        <w:t>automatic </w:t>
      </w:r>
      <w:r>
        <w:rPr>
          <w:i/>
          <w:sz w:val="24"/>
        </w:rPr>
        <w:t>reclose equipment</w:t>
      </w:r>
      <w:r>
        <w:rPr>
          <w:sz w:val="24"/>
        </w:rPr>
        <w:t>;</w:t>
      </w:r>
      <w:r>
        <w:rPr>
          <w:spacing w:val="-2"/>
          <w:sz w:val="24"/>
        </w:rPr>
        <w:t> </w:t>
      </w:r>
      <w:r>
        <w:rPr>
          <w:sz w:val="24"/>
        </w:rPr>
        <w:t>and</w:t>
      </w:r>
    </w:p>
    <w:p>
      <w:pPr>
        <w:pStyle w:val="ListParagraph"/>
        <w:numPr>
          <w:ilvl w:val="1"/>
          <w:numId w:val="295"/>
        </w:numPr>
        <w:tabs>
          <w:tab w:pos="2486" w:val="left" w:leader="none"/>
        </w:tabs>
        <w:spacing w:line="240" w:lineRule="auto" w:before="120" w:after="0"/>
        <w:ind w:left="2485" w:right="0" w:hanging="567"/>
        <w:jc w:val="both"/>
        <w:rPr>
          <w:sz w:val="24"/>
        </w:rPr>
      </w:pPr>
      <w:r>
        <w:rPr>
          <w:sz w:val="24"/>
        </w:rPr>
        <w:t>the expected range of </w:t>
      </w:r>
      <w:r>
        <w:rPr>
          <w:i/>
          <w:sz w:val="24"/>
        </w:rPr>
        <w:t>power system </w:t>
      </w:r>
      <w:r>
        <w:rPr>
          <w:sz w:val="24"/>
        </w:rPr>
        <w:t>operating</w:t>
      </w:r>
      <w:r>
        <w:rPr>
          <w:spacing w:val="-3"/>
          <w:sz w:val="24"/>
        </w:rPr>
        <w:t> </w:t>
      </w:r>
      <w:r>
        <w:rPr>
          <w:sz w:val="24"/>
        </w:rPr>
        <w:t>conditions.</w:t>
      </w:r>
    </w:p>
    <w:p>
      <w:pPr>
        <w:pStyle w:val="ListParagraph"/>
        <w:numPr>
          <w:ilvl w:val="0"/>
          <w:numId w:val="295"/>
        </w:numPr>
        <w:tabs>
          <w:tab w:pos="1919" w:val="left" w:leader="none"/>
        </w:tabs>
        <w:spacing w:line="240" w:lineRule="auto" w:before="120" w:after="0"/>
        <w:ind w:left="1918" w:right="0" w:hanging="567"/>
        <w:jc w:val="both"/>
        <w:rPr>
          <w:sz w:val="24"/>
        </w:rPr>
      </w:pPr>
      <w:r>
        <w:rPr>
          <w:sz w:val="24"/>
        </w:rPr>
        <w:t>The </w:t>
      </w:r>
      <w:r>
        <w:rPr>
          <w:i/>
          <w:sz w:val="24"/>
        </w:rPr>
        <w:t>negotiated access standard </w:t>
      </w:r>
      <w:r>
        <w:rPr>
          <w:sz w:val="24"/>
        </w:rPr>
        <w:t>must</w:t>
      </w:r>
      <w:r>
        <w:rPr>
          <w:spacing w:val="-2"/>
          <w:sz w:val="24"/>
        </w:rPr>
        <w:t> </w:t>
      </w:r>
      <w:r>
        <w:rPr>
          <w:sz w:val="24"/>
        </w:rPr>
        <w:t>include:</w:t>
      </w:r>
    </w:p>
    <w:p>
      <w:pPr>
        <w:pStyle w:val="ListParagraph"/>
        <w:numPr>
          <w:ilvl w:val="1"/>
          <w:numId w:val="295"/>
        </w:numPr>
        <w:tabs>
          <w:tab w:pos="2486" w:val="left" w:leader="none"/>
        </w:tabs>
        <w:spacing w:line="240" w:lineRule="auto" w:before="120" w:after="0"/>
        <w:ind w:left="2486" w:right="414" w:hanging="567"/>
        <w:jc w:val="both"/>
        <w:rPr>
          <w:sz w:val="24"/>
        </w:rPr>
      </w:pPr>
      <w:r>
        <w:rPr>
          <w:i/>
          <w:sz w:val="24"/>
        </w:rPr>
        <w:t>control systems </w:t>
      </w:r>
      <w:r>
        <w:rPr>
          <w:sz w:val="24"/>
        </w:rPr>
        <w:t>to minimise any reduction in </w:t>
      </w:r>
      <w:r>
        <w:rPr>
          <w:i/>
          <w:sz w:val="24"/>
        </w:rPr>
        <w:t>power transfer </w:t>
      </w:r>
      <w:r>
        <w:rPr>
          <w:i/>
          <w:sz w:val="24"/>
        </w:rPr>
        <w:t>capabilities</w:t>
      </w:r>
      <w:r>
        <w:rPr>
          <w:sz w:val="24"/>
        </w:rPr>
        <w:t>;</w:t>
      </w:r>
      <w:r>
        <w:rPr>
          <w:spacing w:val="-1"/>
          <w:sz w:val="24"/>
        </w:rPr>
        <w:t> </w:t>
      </w:r>
      <w:r>
        <w:rPr>
          <w:sz w:val="24"/>
        </w:rPr>
        <w:t>and</w:t>
      </w:r>
    </w:p>
    <w:p>
      <w:pPr>
        <w:pStyle w:val="ListParagraph"/>
        <w:numPr>
          <w:ilvl w:val="1"/>
          <w:numId w:val="295"/>
        </w:numPr>
        <w:tabs>
          <w:tab w:pos="2486" w:val="left" w:leader="none"/>
        </w:tabs>
        <w:spacing w:line="240" w:lineRule="auto" w:before="120" w:after="0"/>
        <w:ind w:left="2486" w:right="415" w:hanging="567"/>
        <w:jc w:val="both"/>
        <w:rPr>
          <w:sz w:val="24"/>
        </w:rPr>
      </w:pPr>
      <w:r>
        <w:rPr>
          <w:sz w:val="24"/>
        </w:rPr>
        <w:t>operational arrangements, including curtailment of the </w:t>
      </w:r>
      <w:r>
        <w:rPr>
          <w:i/>
          <w:sz w:val="24"/>
        </w:rPr>
        <w:t>generating </w:t>
      </w:r>
      <w:r>
        <w:rPr>
          <w:i/>
          <w:sz w:val="24"/>
        </w:rPr>
        <w:t>system's </w:t>
      </w:r>
      <w:r>
        <w:rPr>
          <w:sz w:val="24"/>
        </w:rPr>
        <w:t>output if necessary to ensure that the </w:t>
      </w:r>
      <w:r>
        <w:rPr>
          <w:i/>
          <w:sz w:val="24"/>
        </w:rPr>
        <w:t>generating plant </w:t>
      </w:r>
      <w:r>
        <w:rPr>
          <w:sz w:val="24"/>
        </w:rPr>
        <w:t>is operated in a way that meets at least the </w:t>
      </w:r>
      <w:r>
        <w:rPr>
          <w:i/>
          <w:sz w:val="24"/>
        </w:rPr>
        <w:t>minimum access standard </w:t>
      </w:r>
      <w:r>
        <w:rPr>
          <w:sz w:val="24"/>
        </w:rPr>
        <w:t>under abnormal </w:t>
      </w:r>
      <w:r>
        <w:rPr>
          <w:i/>
          <w:sz w:val="24"/>
        </w:rPr>
        <w:t>network </w:t>
      </w:r>
      <w:r>
        <w:rPr>
          <w:sz w:val="24"/>
        </w:rPr>
        <w:t>and </w:t>
      </w:r>
      <w:r>
        <w:rPr>
          <w:i/>
          <w:sz w:val="24"/>
        </w:rPr>
        <w:t>generating system </w:t>
      </w:r>
      <w:r>
        <w:rPr>
          <w:sz w:val="24"/>
        </w:rPr>
        <w:t>conditions, so that </w:t>
      </w:r>
      <w:r>
        <w:rPr>
          <w:i/>
          <w:sz w:val="24"/>
        </w:rPr>
        <w:t>power system security </w:t>
      </w:r>
      <w:r>
        <w:rPr>
          <w:sz w:val="24"/>
        </w:rPr>
        <w:t>can be</w:t>
      </w:r>
      <w:r>
        <w:rPr>
          <w:spacing w:val="-4"/>
          <w:sz w:val="24"/>
        </w:rPr>
        <w:t> </w:t>
      </w:r>
      <w:r>
        <w:rPr>
          <w:sz w:val="24"/>
        </w:rPr>
        <w:t>maintained.</w:t>
      </w:r>
    </w:p>
    <w:p>
      <w:pPr>
        <w:pStyle w:val="ListParagraph"/>
        <w:numPr>
          <w:ilvl w:val="0"/>
          <w:numId w:val="295"/>
        </w:numPr>
        <w:tabs>
          <w:tab w:pos="1919" w:val="left" w:leader="none"/>
        </w:tabs>
        <w:spacing w:line="240" w:lineRule="auto" w:before="120" w:after="0"/>
        <w:ind w:left="1919" w:right="415" w:hanging="567"/>
        <w:jc w:val="both"/>
        <w:rPr>
          <w:sz w:val="24"/>
        </w:rPr>
      </w:pPr>
      <w:r>
        <w:rPr>
          <w:sz w:val="24"/>
        </w:rPr>
        <w:t>A </w:t>
      </w:r>
      <w:r>
        <w:rPr>
          <w:i/>
          <w:sz w:val="24"/>
        </w:rPr>
        <w:t>negotiated access standard </w:t>
      </w:r>
      <w:r>
        <w:rPr>
          <w:sz w:val="24"/>
        </w:rPr>
        <w:t>under this clause S5.2.5.12 must detail the </w:t>
      </w:r>
      <w:r>
        <w:rPr>
          <w:i/>
          <w:sz w:val="24"/>
        </w:rPr>
        <w:t>plant </w:t>
      </w:r>
      <w:r>
        <w:rPr>
          <w:sz w:val="24"/>
        </w:rPr>
        <w:t>capabilities, </w:t>
      </w:r>
      <w:r>
        <w:rPr>
          <w:i/>
          <w:sz w:val="24"/>
        </w:rPr>
        <w:t>control systems </w:t>
      </w:r>
      <w:r>
        <w:rPr>
          <w:sz w:val="24"/>
        </w:rPr>
        <w:t>and operational arrangements that will be maintained by the </w:t>
      </w:r>
      <w:r>
        <w:rPr>
          <w:i/>
          <w:sz w:val="24"/>
        </w:rPr>
        <w:t>Generator</w:t>
      </w:r>
      <w:r>
        <w:rPr>
          <w:sz w:val="24"/>
        </w:rPr>
        <w:t>, notwithstanding that change to the </w:t>
      </w:r>
      <w:r>
        <w:rPr>
          <w:i/>
          <w:sz w:val="24"/>
        </w:rPr>
        <w:t>power </w:t>
      </w:r>
      <w:r>
        <w:rPr>
          <w:i/>
          <w:sz w:val="24"/>
        </w:rPr>
        <w:t>system</w:t>
      </w:r>
      <w:r>
        <w:rPr>
          <w:sz w:val="24"/>
        </w:rPr>
        <w:t>, but not changes to the </w:t>
      </w:r>
      <w:r>
        <w:rPr>
          <w:i/>
          <w:sz w:val="24"/>
        </w:rPr>
        <w:t>generating system</w:t>
      </w:r>
      <w:r>
        <w:rPr>
          <w:sz w:val="24"/>
        </w:rPr>
        <w:t>, may reduce the efficacy of the </w:t>
      </w:r>
      <w:r>
        <w:rPr>
          <w:i/>
          <w:sz w:val="24"/>
        </w:rPr>
        <w:t>plant </w:t>
      </w:r>
      <w:r>
        <w:rPr>
          <w:sz w:val="24"/>
        </w:rPr>
        <w:t>capabilities, </w:t>
      </w:r>
      <w:r>
        <w:rPr>
          <w:i/>
          <w:sz w:val="24"/>
        </w:rPr>
        <w:t>control systems </w:t>
      </w:r>
      <w:r>
        <w:rPr>
          <w:sz w:val="24"/>
        </w:rPr>
        <w:t>and operational arrangements over time.</w:t>
      </w:r>
    </w:p>
    <w:p>
      <w:pPr>
        <w:pStyle w:val="ListParagraph"/>
        <w:numPr>
          <w:ilvl w:val="0"/>
          <w:numId w:val="295"/>
        </w:numPr>
        <w:tabs>
          <w:tab w:pos="1920" w:val="left" w:leader="none"/>
        </w:tabs>
        <w:spacing w:line="240" w:lineRule="auto" w:before="120" w:after="0"/>
        <w:ind w:left="1919" w:right="0" w:hanging="568"/>
        <w:jc w:val="both"/>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w:t>
      </w:r>
    </w:p>
    <w:p>
      <w:pPr>
        <w:pStyle w:val="ListParagraph"/>
        <w:numPr>
          <w:ilvl w:val="0"/>
          <w:numId w:val="295"/>
        </w:numPr>
        <w:tabs>
          <w:tab w:pos="1919" w:val="left" w:leader="none"/>
        </w:tabs>
        <w:spacing w:line="240" w:lineRule="auto" w:before="120" w:after="0"/>
        <w:ind w:left="1919" w:right="414" w:hanging="567"/>
        <w:jc w:val="both"/>
        <w:rPr>
          <w:sz w:val="24"/>
        </w:rPr>
      </w:pPr>
      <w:r>
        <w:rPr>
          <w:sz w:val="24"/>
        </w:rPr>
        <w:t>If a </w:t>
      </w:r>
      <w:r>
        <w:rPr>
          <w:i/>
          <w:sz w:val="24"/>
        </w:rPr>
        <w:t>Network Service Provider </w:t>
      </w:r>
      <w:r>
        <w:rPr>
          <w:sz w:val="24"/>
        </w:rPr>
        <w:t>considers that </w:t>
      </w:r>
      <w:r>
        <w:rPr>
          <w:i/>
          <w:sz w:val="24"/>
        </w:rPr>
        <w:t>power transfer capabilities </w:t>
      </w:r>
      <w:r>
        <w:rPr>
          <w:sz w:val="24"/>
        </w:rPr>
        <w:t>of its </w:t>
      </w:r>
      <w:r>
        <w:rPr>
          <w:i/>
          <w:sz w:val="24"/>
        </w:rPr>
        <w:t>network </w:t>
      </w:r>
      <w:r>
        <w:rPr>
          <w:sz w:val="24"/>
        </w:rPr>
        <w:t>would be increased through provision of additional </w:t>
      </w:r>
      <w:r>
        <w:rPr>
          <w:i/>
          <w:sz w:val="24"/>
        </w:rPr>
        <w:t>control </w:t>
      </w:r>
      <w:r>
        <w:rPr>
          <w:i/>
          <w:sz w:val="24"/>
        </w:rPr>
        <w:t>system facilities </w:t>
      </w:r>
      <w:r>
        <w:rPr>
          <w:sz w:val="24"/>
        </w:rPr>
        <w:t>to a </w:t>
      </w:r>
      <w:r>
        <w:rPr>
          <w:i/>
          <w:sz w:val="24"/>
        </w:rPr>
        <w:t>generating system </w:t>
      </w:r>
      <w:r>
        <w:rPr>
          <w:sz w:val="24"/>
        </w:rPr>
        <w:t>(such as a </w:t>
      </w:r>
      <w:r>
        <w:rPr>
          <w:i/>
          <w:sz w:val="24"/>
        </w:rPr>
        <w:t>power system </w:t>
      </w:r>
      <w:r>
        <w:rPr>
          <w:sz w:val="24"/>
        </w:rPr>
        <w:t>stabiliser), the </w:t>
      </w:r>
      <w:r>
        <w:rPr>
          <w:i/>
          <w:sz w:val="24"/>
        </w:rPr>
        <w:t>Network Service Provider </w:t>
      </w:r>
      <w:r>
        <w:rPr>
          <w:sz w:val="24"/>
        </w:rPr>
        <w:t>and the </w:t>
      </w:r>
      <w:r>
        <w:rPr>
          <w:i/>
          <w:sz w:val="24"/>
        </w:rPr>
        <w:t>Generator </w:t>
      </w:r>
      <w:r>
        <w:rPr>
          <w:sz w:val="24"/>
        </w:rPr>
        <w:t>may negotiate for the provision of such additional </w:t>
      </w:r>
      <w:r>
        <w:rPr>
          <w:i/>
          <w:sz w:val="24"/>
        </w:rPr>
        <w:t>control system facilities </w:t>
      </w:r>
      <w:r>
        <w:rPr>
          <w:sz w:val="24"/>
        </w:rPr>
        <w:t>as a commercial arrangement.</w:t>
      </w:r>
    </w:p>
    <w:p>
      <w:pPr>
        <w:spacing w:after="0" w:line="240" w:lineRule="auto"/>
        <w:jc w:val="both"/>
        <w:rPr>
          <w:sz w:val="24"/>
        </w:rPr>
        <w:sectPr>
          <w:pgSz w:w="11910" w:h="16840"/>
          <w:pgMar w:header="686" w:footer="637" w:top="1320" w:bottom="820" w:left="1200" w:right="1000"/>
        </w:sectPr>
      </w:pPr>
    </w:p>
    <w:p>
      <w:pPr>
        <w:pStyle w:val="Heading4"/>
        <w:spacing w:before="83"/>
        <w:ind w:left="0" w:right="4148" w:firstLine="0"/>
        <w:jc w:val="center"/>
      </w:pPr>
      <w:bookmarkStart w:name="S5.2.5.13 Voltage and reactive power con" w:id="994"/>
      <w:bookmarkEnd w:id="994"/>
      <w:r>
        <w:rPr>
          <w:b w:val="0"/>
        </w:rPr>
      </w:r>
      <w:bookmarkStart w:name="_bookmark389" w:id="995"/>
      <w:bookmarkEnd w:id="995"/>
      <w:r>
        <w:rPr>
          <w:b w:val="0"/>
        </w:rPr>
      </w:r>
      <w:r>
        <w:rPr/>
        <w:t>S5.2.5.13 Voltage and reactive power control</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For the purpose of this clause</w:t>
      </w:r>
      <w:r>
        <w:rPr>
          <w:spacing w:val="-2"/>
          <w:sz w:val="24"/>
        </w:rPr>
        <w:t> </w:t>
      </w:r>
      <w:r>
        <w:rPr>
          <w:sz w:val="24"/>
        </w:rPr>
        <w:t>S5.2.5.13:</w:t>
      </w:r>
    </w:p>
    <w:p>
      <w:pPr>
        <w:spacing w:before="120"/>
        <w:ind w:left="1919" w:right="414" w:firstLine="0"/>
        <w:jc w:val="both"/>
        <w:rPr>
          <w:sz w:val="24"/>
        </w:rPr>
      </w:pPr>
      <w:r>
        <w:rPr>
          <w:b/>
          <w:sz w:val="24"/>
        </w:rPr>
        <w:t>static excitation system </w:t>
      </w:r>
      <w:r>
        <w:rPr>
          <w:sz w:val="24"/>
        </w:rPr>
        <w:t>means in relation to a </w:t>
      </w:r>
      <w:r>
        <w:rPr>
          <w:i/>
          <w:sz w:val="24"/>
        </w:rPr>
        <w:t>synchronous generating unit</w:t>
      </w:r>
      <w:r>
        <w:rPr>
          <w:sz w:val="24"/>
        </w:rPr>
        <w:t>, an </w:t>
      </w:r>
      <w:r>
        <w:rPr>
          <w:i/>
          <w:sz w:val="24"/>
        </w:rPr>
        <w:t>excitation control system </w:t>
      </w:r>
      <w:r>
        <w:rPr>
          <w:sz w:val="24"/>
        </w:rPr>
        <w:t>that does not use rotating machinery to produce the field current.</w:t>
      </w:r>
    </w:p>
    <w:p>
      <w:pPr>
        <w:spacing w:before="220"/>
        <w:ind w:left="924" w:right="5056" w:firstLine="0"/>
        <w:jc w:val="center"/>
        <w:rPr>
          <w:rFonts w:ascii="Arial"/>
          <w:b/>
          <w:sz w:val="22"/>
        </w:rPr>
      </w:pPr>
      <w:r>
        <w:rPr>
          <w:rFonts w:ascii="Arial"/>
          <w:b/>
          <w:sz w:val="22"/>
        </w:rPr>
        <w:t>Automatic access standard</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The </w:t>
      </w:r>
      <w:r>
        <w:rPr>
          <w:i/>
          <w:sz w:val="24"/>
        </w:rPr>
        <w:t>automatic access standard</w:t>
      </w:r>
      <w:r>
        <w:rPr>
          <w:i/>
          <w:spacing w:val="-1"/>
          <w:sz w:val="24"/>
        </w:rPr>
        <w:t> </w:t>
      </w:r>
      <w:r>
        <w:rPr>
          <w:sz w:val="24"/>
        </w:rPr>
        <w:t>is:</w:t>
      </w:r>
    </w:p>
    <w:p>
      <w:pPr>
        <w:pStyle w:val="ListParagraph"/>
        <w:numPr>
          <w:ilvl w:val="1"/>
          <w:numId w:val="296"/>
        </w:numPr>
        <w:tabs>
          <w:tab w:pos="2486" w:val="left" w:leader="none"/>
        </w:tabs>
        <w:spacing w:line="240" w:lineRule="auto" w:before="120" w:after="0"/>
        <w:ind w:left="2485" w:right="0" w:hanging="567"/>
        <w:jc w:val="both"/>
        <w:rPr>
          <w:i/>
          <w:sz w:val="24"/>
        </w:rPr>
      </w:pPr>
      <w:r>
        <w:rPr>
          <w:sz w:val="24"/>
        </w:rPr>
        <w:t>a</w:t>
      </w:r>
      <w:r>
        <w:rPr>
          <w:spacing w:val="20"/>
          <w:sz w:val="24"/>
        </w:rPr>
        <w:t> </w:t>
      </w:r>
      <w:r>
        <w:rPr>
          <w:i/>
          <w:sz w:val="24"/>
        </w:rPr>
        <w:t>generating</w:t>
      </w:r>
      <w:r>
        <w:rPr>
          <w:i/>
          <w:spacing w:val="21"/>
          <w:sz w:val="24"/>
        </w:rPr>
        <w:t> </w:t>
      </w:r>
      <w:r>
        <w:rPr>
          <w:i/>
          <w:sz w:val="24"/>
        </w:rPr>
        <w:t>system</w:t>
      </w:r>
      <w:r>
        <w:rPr>
          <w:i/>
          <w:spacing w:val="20"/>
          <w:sz w:val="24"/>
        </w:rPr>
        <w:t> </w:t>
      </w:r>
      <w:r>
        <w:rPr>
          <w:sz w:val="24"/>
        </w:rPr>
        <w:t>must</w:t>
      </w:r>
      <w:r>
        <w:rPr>
          <w:spacing w:val="21"/>
          <w:sz w:val="24"/>
        </w:rPr>
        <w:t> </w:t>
      </w:r>
      <w:r>
        <w:rPr>
          <w:sz w:val="24"/>
        </w:rPr>
        <w:t>have</w:t>
      </w:r>
      <w:r>
        <w:rPr>
          <w:spacing w:val="20"/>
          <w:sz w:val="24"/>
        </w:rPr>
        <w:t> </w:t>
      </w:r>
      <w:r>
        <w:rPr>
          <w:i/>
          <w:sz w:val="24"/>
        </w:rPr>
        <w:t>plant</w:t>
      </w:r>
      <w:r>
        <w:rPr>
          <w:i/>
          <w:spacing w:val="20"/>
          <w:sz w:val="24"/>
        </w:rPr>
        <w:t> </w:t>
      </w:r>
      <w:r>
        <w:rPr>
          <w:sz w:val="24"/>
        </w:rPr>
        <w:t>capabilities</w:t>
      </w:r>
      <w:r>
        <w:rPr>
          <w:spacing w:val="20"/>
          <w:sz w:val="24"/>
        </w:rPr>
        <w:t> </w:t>
      </w:r>
      <w:r>
        <w:rPr>
          <w:sz w:val="24"/>
        </w:rPr>
        <w:t>and</w:t>
      </w:r>
      <w:r>
        <w:rPr>
          <w:spacing w:val="21"/>
          <w:sz w:val="24"/>
        </w:rPr>
        <w:t> </w:t>
      </w:r>
      <w:r>
        <w:rPr>
          <w:i/>
          <w:sz w:val="24"/>
        </w:rPr>
        <w:t>control</w:t>
      </w:r>
      <w:r>
        <w:rPr>
          <w:i/>
          <w:spacing w:val="21"/>
          <w:sz w:val="24"/>
        </w:rPr>
        <w:t> </w:t>
      </w:r>
      <w:r>
        <w:rPr>
          <w:i/>
          <w:sz w:val="24"/>
        </w:rPr>
        <w:t>systems</w:t>
      </w:r>
    </w:p>
    <w:p>
      <w:pPr>
        <w:pStyle w:val="BodyText"/>
        <w:spacing w:before="0"/>
        <w:ind w:left="2486" w:firstLine="0"/>
      </w:pPr>
      <w:r>
        <w:rPr/>
        <w:t>sufficient to ensure that:</w:t>
      </w:r>
    </w:p>
    <w:p>
      <w:pPr>
        <w:pStyle w:val="ListParagraph"/>
        <w:numPr>
          <w:ilvl w:val="2"/>
          <w:numId w:val="296"/>
        </w:numPr>
        <w:tabs>
          <w:tab w:pos="3053" w:val="left" w:leader="none"/>
        </w:tabs>
        <w:spacing w:line="240" w:lineRule="auto" w:before="120" w:after="0"/>
        <w:ind w:left="3053" w:right="415" w:hanging="567"/>
        <w:jc w:val="both"/>
        <w:rPr>
          <w:sz w:val="24"/>
        </w:rPr>
      </w:pPr>
      <w:r>
        <w:rPr>
          <w:i/>
          <w:sz w:val="24"/>
        </w:rPr>
        <w:t>power system </w:t>
      </w:r>
      <w:r>
        <w:rPr>
          <w:sz w:val="24"/>
        </w:rPr>
        <w:t>oscillations, for the frequencies of oscillation of the </w:t>
      </w:r>
      <w:r>
        <w:rPr>
          <w:i/>
          <w:sz w:val="24"/>
        </w:rPr>
        <w:t>generating unit </w:t>
      </w:r>
      <w:r>
        <w:rPr>
          <w:sz w:val="24"/>
        </w:rPr>
        <w:t>against any other </w:t>
      </w:r>
      <w:r>
        <w:rPr>
          <w:i/>
          <w:sz w:val="24"/>
        </w:rPr>
        <w:t>generating unit</w:t>
      </w:r>
      <w:r>
        <w:rPr>
          <w:sz w:val="24"/>
        </w:rPr>
        <w:t>, are </w:t>
      </w:r>
      <w:r>
        <w:rPr>
          <w:i/>
          <w:sz w:val="24"/>
        </w:rPr>
        <w:t>adequately</w:t>
      </w:r>
      <w:r>
        <w:rPr>
          <w:i/>
          <w:spacing w:val="-1"/>
          <w:sz w:val="24"/>
        </w:rPr>
        <w:t> </w:t>
      </w:r>
      <w:r>
        <w:rPr>
          <w:i/>
          <w:sz w:val="24"/>
        </w:rPr>
        <w:t>damped</w:t>
      </w:r>
      <w:r>
        <w:rPr>
          <w:sz w:val="24"/>
        </w:rPr>
        <w:t>;</w:t>
      </w:r>
    </w:p>
    <w:p>
      <w:pPr>
        <w:pStyle w:val="ListParagraph"/>
        <w:numPr>
          <w:ilvl w:val="2"/>
          <w:numId w:val="296"/>
        </w:numPr>
        <w:tabs>
          <w:tab w:pos="3054" w:val="left" w:leader="none"/>
        </w:tabs>
        <w:spacing w:line="240" w:lineRule="auto" w:before="120" w:after="0"/>
        <w:ind w:left="3053" w:right="415" w:hanging="567"/>
        <w:jc w:val="both"/>
        <w:rPr>
          <w:sz w:val="24"/>
        </w:rPr>
      </w:pPr>
      <w:r>
        <w:rPr>
          <w:sz w:val="24"/>
        </w:rPr>
        <w:t>operation of the </w:t>
      </w:r>
      <w:r>
        <w:rPr>
          <w:i/>
          <w:sz w:val="24"/>
        </w:rPr>
        <w:t>generating system </w:t>
      </w:r>
      <w:r>
        <w:rPr>
          <w:sz w:val="24"/>
        </w:rPr>
        <w:t>does not degrade the damping of any critical mode of oscillation of the </w:t>
      </w:r>
      <w:r>
        <w:rPr>
          <w:i/>
          <w:sz w:val="24"/>
        </w:rPr>
        <w:t>power system</w:t>
      </w:r>
      <w:r>
        <w:rPr>
          <w:sz w:val="24"/>
        </w:rPr>
        <w:t>; and</w:t>
      </w:r>
    </w:p>
    <w:p>
      <w:pPr>
        <w:pStyle w:val="ListParagraph"/>
        <w:numPr>
          <w:ilvl w:val="2"/>
          <w:numId w:val="296"/>
        </w:numPr>
        <w:tabs>
          <w:tab w:pos="3053" w:val="left" w:leader="none"/>
        </w:tabs>
        <w:spacing w:line="240" w:lineRule="auto" w:before="120" w:after="0"/>
        <w:ind w:left="3053" w:right="414" w:hanging="567"/>
        <w:jc w:val="both"/>
        <w:rPr>
          <w:sz w:val="24"/>
        </w:rPr>
      </w:pPr>
      <w:r>
        <w:rPr>
          <w:sz w:val="24"/>
        </w:rPr>
        <w:t>operation of the </w:t>
      </w:r>
      <w:r>
        <w:rPr>
          <w:i/>
          <w:sz w:val="24"/>
        </w:rPr>
        <w:t>generating system </w:t>
      </w:r>
      <w:r>
        <w:rPr>
          <w:sz w:val="24"/>
        </w:rPr>
        <w:t>does not cause instability (including hunting of </w:t>
      </w:r>
      <w:r>
        <w:rPr>
          <w:i/>
          <w:sz w:val="24"/>
        </w:rPr>
        <w:t>tap-changing transformer control systems</w:t>
      </w:r>
      <w:r>
        <w:rPr>
          <w:sz w:val="24"/>
        </w:rPr>
        <w:t>) that would adversely impact other </w:t>
      </w:r>
      <w:r>
        <w:rPr>
          <w:i/>
          <w:sz w:val="24"/>
        </w:rPr>
        <w:t>Registered</w:t>
      </w:r>
      <w:r>
        <w:rPr>
          <w:i/>
          <w:spacing w:val="-5"/>
          <w:sz w:val="24"/>
        </w:rPr>
        <w:t> </w:t>
      </w:r>
      <w:r>
        <w:rPr>
          <w:i/>
          <w:sz w:val="24"/>
        </w:rPr>
        <w:t>Participants</w:t>
      </w:r>
      <w:r>
        <w:rPr>
          <w:sz w:val="24"/>
        </w:rPr>
        <w:t>;</w:t>
      </w:r>
    </w:p>
    <w:p>
      <w:pPr>
        <w:pStyle w:val="ListParagraph"/>
        <w:numPr>
          <w:ilvl w:val="1"/>
          <w:numId w:val="296"/>
        </w:numPr>
        <w:tabs>
          <w:tab w:pos="2486" w:val="left" w:leader="none"/>
        </w:tabs>
        <w:spacing w:line="240" w:lineRule="auto" w:before="120" w:after="0"/>
        <w:ind w:left="2485" w:right="0" w:hanging="567"/>
        <w:jc w:val="both"/>
        <w:rPr>
          <w:sz w:val="24"/>
        </w:rPr>
      </w:pPr>
      <w:r>
        <w:rPr>
          <w:sz w:val="24"/>
        </w:rPr>
        <w:t>a </w:t>
      </w:r>
      <w:r>
        <w:rPr>
          <w:i/>
          <w:sz w:val="24"/>
        </w:rPr>
        <w:t>control system </w:t>
      </w:r>
      <w:r>
        <w:rPr>
          <w:sz w:val="24"/>
        </w:rPr>
        <w:t>must</w:t>
      </w:r>
      <w:r>
        <w:rPr>
          <w:spacing w:val="-2"/>
          <w:sz w:val="24"/>
        </w:rPr>
        <w:t> </w:t>
      </w:r>
      <w:r>
        <w:rPr>
          <w:sz w:val="24"/>
        </w:rPr>
        <w:t>have:</w:t>
      </w:r>
    </w:p>
    <w:p>
      <w:pPr>
        <w:pStyle w:val="ListParagraph"/>
        <w:numPr>
          <w:ilvl w:val="2"/>
          <w:numId w:val="296"/>
        </w:numPr>
        <w:tabs>
          <w:tab w:pos="3053" w:val="left" w:leader="none"/>
        </w:tabs>
        <w:spacing w:line="240" w:lineRule="auto" w:before="120" w:after="0"/>
        <w:ind w:left="3053" w:right="415" w:hanging="567"/>
        <w:jc w:val="both"/>
        <w:rPr>
          <w:sz w:val="24"/>
        </w:rPr>
      </w:pPr>
      <w:r>
        <w:rPr>
          <w:sz w:val="24"/>
        </w:rPr>
        <w:t>for the purposes of disturbance monitoring and testing, permanently installed and operational, monitoring and recording </w:t>
      </w:r>
      <w:r>
        <w:rPr>
          <w:i/>
          <w:sz w:val="24"/>
        </w:rPr>
        <w:t>facilities </w:t>
      </w:r>
      <w:r>
        <w:rPr>
          <w:sz w:val="24"/>
        </w:rPr>
        <w:t>for key variables including each input and output;</w:t>
      </w:r>
      <w:r>
        <w:rPr>
          <w:spacing w:val="-4"/>
          <w:sz w:val="24"/>
        </w:rPr>
        <w:t> </w:t>
      </w:r>
      <w:r>
        <w:rPr>
          <w:sz w:val="24"/>
        </w:rPr>
        <w:t>and</w:t>
      </w:r>
    </w:p>
    <w:p>
      <w:pPr>
        <w:pStyle w:val="ListParagraph"/>
        <w:numPr>
          <w:ilvl w:val="2"/>
          <w:numId w:val="296"/>
        </w:numPr>
        <w:tabs>
          <w:tab w:pos="3054" w:val="left" w:leader="none"/>
        </w:tabs>
        <w:spacing w:line="240" w:lineRule="auto" w:before="120" w:after="0"/>
        <w:ind w:left="3053" w:right="415" w:hanging="567"/>
        <w:jc w:val="both"/>
        <w:rPr>
          <w:sz w:val="24"/>
        </w:rPr>
      </w:pPr>
      <w:r>
        <w:rPr>
          <w:i/>
          <w:sz w:val="24"/>
        </w:rPr>
        <w:t>facilities </w:t>
      </w:r>
      <w:r>
        <w:rPr>
          <w:sz w:val="24"/>
        </w:rPr>
        <w:t>for testing the </w:t>
      </w:r>
      <w:r>
        <w:rPr>
          <w:i/>
          <w:sz w:val="24"/>
        </w:rPr>
        <w:t>control system </w:t>
      </w:r>
      <w:r>
        <w:rPr>
          <w:sz w:val="24"/>
        </w:rPr>
        <w:t>sufficient to establish its dynamic operational</w:t>
      </w:r>
      <w:r>
        <w:rPr>
          <w:spacing w:val="-3"/>
          <w:sz w:val="24"/>
        </w:rPr>
        <w:t> </w:t>
      </w:r>
      <w:r>
        <w:rPr>
          <w:sz w:val="24"/>
        </w:rPr>
        <w:t>characteristics;</w:t>
      </w:r>
    </w:p>
    <w:p>
      <w:pPr>
        <w:spacing w:before="120"/>
        <w:ind w:left="2486" w:right="416" w:hanging="567"/>
        <w:jc w:val="both"/>
        <w:rPr>
          <w:sz w:val="24"/>
        </w:rPr>
      </w:pPr>
      <w:r>
        <w:rPr>
          <w:sz w:val="24"/>
        </w:rPr>
        <w:t>(2A) a </w:t>
      </w:r>
      <w:r>
        <w:rPr>
          <w:i/>
          <w:sz w:val="24"/>
        </w:rPr>
        <w:t>generating system </w:t>
      </w:r>
      <w:r>
        <w:rPr>
          <w:sz w:val="24"/>
        </w:rPr>
        <w:t>must have </w:t>
      </w:r>
      <w:r>
        <w:rPr>
          <w:i/>
          <w:sz w:val="24"/>
        </w:rPr>
        <w:t>facilities </w:t>
      </w:r>
      <w:r>
        <w:rPr>
          <w:sz w:val="24"/>
        </w:rPr>
        <w:t>with a </w:t>
      </w:r>
      <w:r>
        <w:rPr>
          <w:i/>
          <w:sz w:val="24"/>
        </w:rPr>
        <w:t>control system </w:t>
      </w:r>
      <w:r>
        <w:rPr>
          <w:sz w:val="24"/>
        </w:rPr>
        <w:t>to regulate </w:t>
      </w:r>
      <w:r>
        <w:rPr>
          <w:i/>
          <w:sz w:val="24"/>
        </w:rPr>
        <w:t>voltage</w:t>
      </w:r>
      <w:r>
        <w:rPr>
          <w:sz w:val="24"/>
        </w:rPr>
        <w:t>, </w:t>
      </w:r>
      <w:r>
        <w:rPr>
          <w:i/>
          <w:sz w:val="24"/>
        </w:rPr>
        <w:t>reactive power </w:t>
      </w:r>
      <w:r>
        <w:rPr>
          <w:sz w:val="24"/>
        </w:rPr>
        <w:t>and </w:t>
      </w:r>
      <w:r>
        <w:rPr>
          <w:i/>
          <w:sz w:val="24"/>
        </w:rPr>
        <w:t>power factor</w:t>
      </w:r>
      <w:r>
        <w:rPr>
          <w:sz w:val="24"/>
        </w:rPr>
        <w:t>, with the ability to:</w:t>
      </w:r>
    </w:p>
    <w:p>
      <w:pPr>
        <w:pStyle w:val="ListParagraph"/>
        <w:numPr>
          <w:ilvl w:val="0"/>
          <w:numId w:val="297"/>
        </w:numPr>
        <w:tabs>
          <w:tab w:pos="3053" w:val="left" w:leader="none"/>
        </w:tabs>
        <w:spacing w:line="240" w:lineRule="auto" w:before="120" w:after="0"/>
        <w:ind w:left="3052" w:right="0" w:hanging="567"/>
        <w:jc w:val="both"/>
        <w:rPr>
          <w:sz w:val="24"/>
        </w:rPr>
      </w:pPr>
      <w:r>
        <w:rPr>
          <w:sz w:val="24"/>
        </w:rPr>
        <w:t>operate in any control mode;</w:t>
      </w:r>
      <w:r>
        <w:rPr>
          <w:spacing w:val="-1"/>
          <w:sz w:val="24"/>
        </w:rPr>
        <w:t> </w:t>
      </w:r>
      <w:r>
        <w:rPr>
          <w:sz w:val="24"/>
        </w:rPr>
        <w:t>and</w:t>
      </w:r>
    </w:p>
    <w:p>
      <w:pPr>
        <w:pStyle w:val="ListParagraph"/>
        <w:numPr>
          <w:ilvl w:val="0"/>
          <w:numId w:val="297"/>
        </w:numPr>
        <w:tabs>
          <w:tab w:pos="3054" w:val="left" w:leader="none"/>
        </w:tabs>
        <w:spacing w:line="240" w:lineRule="auto" w:before="120" w:after="0"/>
        <w:ind w:left="3053" w:right="0" w:hanging="568"/>
        <w:jc w:val="both"/>
        <w:rPr>
          <w:sz w:val="24"/>
        </w:rPr>
      </w:pPr>
      <w:r>
        <w:rPr>
          <w:sz w:val="24"/>
        </w:rPr>
        <w:t>switch between control</w:t>
      </w:r>
      <w:r>
        <w:rPr>
          <w:spacing w:val="-2"/>
          <w:sz w:val="24"/>
        </w:rPr>
        <w:t> </w:t>
      </w:r>
      <w:r>
        <w:rPr>
          <w:sz w:val="24"/>
        </w:rPr>
        <w:t>modes,</w:t>
      </w:r>
    </w:p>
    <w:p>
      <w:pPr>
        <w:pStyle w:val="BodyText"/>
        <w:ind w:left="2486" w:right="415" w:firstLine="0"/>
      </w:pPr>
      <w:r>
        <w:rPr/>
        <w:t>as shown in the manufacturer's and/or design specifications of the relevant equipment and demonstrated to the reasonable satisfaction of the </w:t>
      </w:r>
      <w:r>
        <w:rPr>
          <w:i/>
        </w:rPr>
        <w:t>Network Service Provider </w:t>
      </w:r>
      <w:r>
        <w:rPr/>
        <w:t>and </w:t>
      </w:r>
      <w:r>
        <w:rPr>
          <w:i/>
        </w:rPr>
        <w:t>AEMO</w:t>
      </w:r>
      <w:r>
        <w:rPr/>
        <w:t>;</w:t>
      </w:r>
    </w:p>
    <w:p>
      <w:pPr>
        <w:spacing w:before="120"/>
        <w:ind w:left="1919" w:right="0" w:firstLine="0"/>
        <w:jc w:val="both"/>
        <w:rPr>
          <w:sz w:val="24"/>
        </w:rPr>
      </w:pPr>
      <w:r>
        <w:rPr>
          <w:sz w:val="24"/>
        </w:rPr>
        <w:t>(2B) a </w:t>
      </w:r>
      <w:r>
        <w:rPr>
          <w:i/>
          <w:sz w:val="24"/>
        </w:rPr>
        <w:t>generating system </w:t>
      </w:r>
      <w:r>
        <w:rPr>
          <w:sz w:val="24"/>
        </w:rPr>
        <w:t>must have a </w:t>
      </w:r>
      <w:r>
        <w:rPr>
          <w:i/>
          <w:sz w:val="24"/>
        </w:rPr>
        <w:t>voltage control system </w:t>
      </w:r>
      <w:r>
        <w:rPr>
          <w:sz w:val="24"/>
        </w:rPr>
        <w:t>that:</w:t>
      </w:r>
    </w:p>
    <w:p>
      <w:pPr>
        <w:pStyle w:val="ListParagraph"/>
        <w:numPr>
          <w:ilvl w:val="0"/>
          <w:numId w:val="298"/>
        </w:numPr>
        <w:tabs>
          <w:tab w:pos="3053" w:val="left" w:leader="none"/>
        </w:tabs>
        <w:spacing w:line="240" w:lineRule="auto" w:before="120" w:after="0"/>
        <w:ind w:left="3053" w:right="414" w:hanging="567"/>
        <w:jc w:val="both"/>
        <w:rPr>
          <w:sz w:val="24"/>
        </w:rPr>
      </w:pPr>
      <w:r>
        <w:rPr>
          <w:sz w:val="24"/>
        </w:rPr>
        <w:t>regulates </w:t>
      </w:r>
      <w:r>
        <w:rPr>
          <w:i/>
          <w:sz w:val="24"/>
        </w:rPr>
        <w:t>voltage </w:t>
      </w:r>
      <w:r>
        <w:rPr>
          <w:sz w:val="24"/>
        </w:rPr>
        <w:t>at the </w:t>
      </w:r>
      <w:r>
        <w:rPr>
          <w:i/>
          <w:sz w:val="24"/>
        </w:rPr>
        <w:t>connection point </w:t>
      </w:r>
      <w:r>
        <w:rPr>
          <w:sz w:val="24"/>
        </w:rPr>
        <w:t>or another agreed location in the </w:t>
      </w:r>
      <w:r>
        <w:rPr>
          <w:i/>
          <w:sz w:val="24"/>
        </w:rPr>
        <w:t>power system </w:t>
      </w:r>
      <w:r>
        <w:rPr>
          <w:sz w:val="24"/>
        </w:rPr>
        <w:t>(including within the </w:t>
      </w:r>
      <w:r>
        <w:rPr>
          <w:i/>
          <w:sz w:val="24"/>
        </w:rPr>
        <w:t>generating </w:t>
      </w:r>
      <w:r>
        <w:rPr>
          <w:i/>
          <w:sz w:val="24"/>
        </w:rPr>
        <w:t>system</w:t>
      </w:r>
      <w:r>
        <w:rPr>
          <w:sz w:val="24"/>
        </w:rPr>
        <w:t>) to within 0.5% of the setpoint, where that setpoint may be adjusted to incorporate any </w:t>
      </w:r>
      <w:r>
        <w:rPr>
          <w:i/>
          <w:sz w:val="24"/>
        </w:rPr>
        <w:t>voltage </w:t>
      </w:r>
      <w:r>
        <w:rPr>
          <w:sz w:val="24"/>
        </w:rPr>
        <w:t>droop or reactive current compensation agreed with </w:t>
      </w:r>
      <w:r>
        <w:rPr>
          <w:i/>
          <w:sz w:val="24"/>
        </w:rPr>
        <w:t>AEMO </w:t>
      </w:r>
      <w:r>
        <w:rPr>
          <w:sz w:val="24"/>
        </w:rPr>
        <w:t>and the </w:t>
      </w:r>
      <w:r>
        <w:rPr>
          <w:i/>
          <w:sz w:val="24"/>
        </w:rPr>
        <w:t>Network Service </w:t>
      </w:r>
      <w:r>
        <w:rPr>
          <w:i/>
          <w:sz w:val="24"/>
        </w:rPr>
        <w:t>Provider</w:t>
      </w:r>
      <w:r>
        <w:rPr>
          <w:sz w:val="24"/>
        </w:rPr>
        <w:t>;</w:t>
      </w:r>
    </w:p>
    <w:p>
      <w:pPr>
        <w:pStyle w:val="ListParagraph"/>
        <w:numPr>
          <w:ilvl w:val="0"/>
          <w:numId w:val="298"/>
        </w:numPr>
        <w:tabs>
          <w:tab w:pos="3054" w:val="left" w:leader="none"/>
        </w:tabs>
        <w:spacing w:line="240" w:lineRule="auto" w:before="120" w:after="0"/>
        <w:ind w:left="3053" w:right="415" w:hanging="567"/>
        <w:jc w:val="both"/>
        <w:rPr>
          <w:sz w:val="24"/>
        </w:rPr>
      </w:pPr>
      <w:r>
        <w:rPr>
          <w:sz w:val="24"/>
        </w:rPr>
        <w:t>regulates </w:t>
      </w:r>
      <w:r>
        <w:rPr>
          <w:i/>
          <w:sz w:val="24"/>
        </w:rPr>
        <w:t>voltage </w:t>
      </w:r>
      <w:r>
        <w:rPr>
          <w:sz w:val="24"/>
        </w:rPr>
        <w:t>in a manner that helps to support </w:t>
      </w:r>
      <w:r>
        <w:rPr>
          <w:i/>
          <w:sz w:val="24"/>
        </w:rPr>
        <w:t>network </w:t>
      </w:r>
      <w:r>
        <w:rPr>
          <w:i/>
          <w:sz w:val="24"/>
        </w:rPr>
        <w:t>voltages </w:t>
      </w:r>
      <w:r>
        <w:rPr>
          <w:sz w:val="24"/>
        </w:rPr>
        <w:t>during faults and does not prevent the </w:t>
      </w:r>
      <w:r>
        <w:rPr>
          <w:i/>
          <w:sz w:val="24"/>
        </w:rPr>
        <w:t>Network </w:t>
      </w:r>
      <w:r>
        <w:rPr>
          <w:i/>
          <w:spacing w:val="-3"/>
          <w:sz w:val="24"/>
        </w:rPr>
        <w:t>Service </w:t>
      </w:r>
      <w:r>
        <w:rPr>
          <w:i/>
          <w:sz w:val="24"/>
        </w:rPr>
        <w:t>Provider </w:t>
      </w:r>
      <w:r>
        <w:rPr>
          <w:sz w:val="24"/>
        </w:rPr>
        <w:t>from achieving the requirements of clauses S5.1a.3  and</w:t>
      </w:r>
      <w:r>
        <w:rPr>
          <w:spacing w:val="-1"/>
          <w:sz w:val="24"/>
        </w:rPr>
        <w:t> </w:t>
      </w:r>
      <w:r>
        <w:rPr>
          <w:sz w:val="24"/>
        </w:rPr>
        <w:t>S5.1a.4;</w:t>
      </w:r>
    </w:p>
    <w:p>
      <w:pPr>
        <w:spacing w:after="0" w:line="240" w:lineRule="auto"/>
        <w:jc w:val="both"/>
        <w:rPr>
          <w:sz w:val="24"/>
        </w:rPr>
        <w:sectPr>
          <w:pgSz w:w="11910" w:h="16840"/>
          <w:pgMar w:header="686" w:footer="637" w:top="1320" w:bottom="820" w:left="1200" w:right="1000"/>
        </w:sectPr>
      </w:pPr>
    </w:p>
    <w:p>
      <w:pPr>
        <w:pStyle w:val="ListParagraph"/>
        <w:numPr>
          <w:ilvl w:val="0"/>
          <w:numId w:val="298"/>
        </w:numPr>
        <w:tabs>
          <w:tab w:pos="3053" w:val="left" w:leader="none"/>
        </w:tabs>
        <w:spacing w:line="240" w:lineRule="auto" w:before="83" w:after="0"/>
        <w:ind w:left="3053" w:right="415" w:hanging="567"/>
        <w:jc w:val="both"/>
        <w:rPr>
          <w:sz w:val="24"/>
        </w:rPr>
      </w:pPr>
      <w:r>
        <w:rPr>
          <w:sz w:val="24"/>
        </w:rPr>
        <w:t>allows the </w:t>
      </w:r>
      <w:r>
        <w:rPr>
          <w:i/>
          <w:sz w:val="24"/>
        </w:rPr>
        <w:t>voltage </w:t>
      </w:r>
      <w:r>
        <w:rPr>
          <w:sz w:val="24"/>
        </w:rPr>
        <w:t>setpoint to be continuously controllable in the range of at least 95% to 105% of the target </w:t>
      </w:r>
      <w:r>
        <w:rPr>
          <w:i/>
          <w:sz w:val="24"/>
        </w:rPr>
        <w:t>voltage </w:t>
      </w:r>
      <w:r>
        <w:rPr>
          <w:sz w:val="24"/>
        </w:rPr>
        <w:t>(as determined by the </w:t>
      </w:r>
      <w:r>
        <w:rPr>
          <w:i/>
          <w:sz w:val="24"/>
        </w:rPr>
        <w:t>Network Service Provider </w:t>
      </w:r>
      <w:r>
        <w:rPr>
          <w:sz w:val="24"/>
        </w:rPr>
        <w:t>in accordance with clause S5.1.4(c) and recorded in the </w:t>
      </w:r>
      <w:r>
        <w:rPr>
          <w:i/>
          <w:sz w:val="24"/>
        </w:rPr>
        <w:t>connection agreement </w:t>
      </w:r>
      <w:r>
        <w:rPr>
          <w:sz w:val="24"/>
        </w:rPr>
        <w:t>in accordance with clause S5.1.4) at the </w:t>
      </w:r>
      <w:r>
        <w:rPr>
          <w:i/>
          <w:sz w:val="24"/>
        </w:rPr>
        <w:t>connection point </w:t>
      </w:r>
      <w:r>
        <w:rPr>
          <w:sz w:val="24"/>
        </w:rPr>
        <w:t>or agreed location on the </w:t>
      </w:r>
      <w:r>
        <w:rPr>
          <w:i/>
          <w:sz w:val="24"/>
        </w:rPr>
        <w:t>power system</w:t>
      </w:r>
      <w:r>
        <w:rPr>
          <w:sz w:val="24"/>
        </w:rPr>
        <w:t>, without reliance on a </w:t>
      </w:r>
      <w:r>
        <w:rPr>
          <w:i/>
          <w:sz w:val="24"/>
        </w:rPr>
        <w:t>tap- </w:t>
      </w:r>
      <w:r>
        <w:rPr>
          <w:i/>
          <w:sz w:val="24"/>
        </w:rPr>
        <w:t>changing transformer </w:t>
      </w:r>
      <w:r>
        <w:rPr>
          <w:sz w:val="24"/>
        </w:rPr>
        <w:t>and subject to the </w:t>
      </w:r>
      <w:r>
        <w:rPr>
          <w:i/>
          <w:sz w:val="24"/>
        </w:rPr>
        <w:t>reactive power </w:t>
      </w:r>
      <w:r>
        <w:rPr>
          <w:sz w:val="24"/>
        </w:rPr>
        <w:t>capability agreed with </w:t>
      </w:r>
      <w:r>
        <w:rPr>
          <w:i/>
          <w:sz w:val="24"/>
        </w:rPr>
        <w:t>AEMO </w:t>
      </w:r>
      <w:r>
        <w:rPr>
          <w:sz w:val="24"/>
        </w:rPr>
        <w:t>and the </w:t>
      </w:r>
      <w:r>
        <w:rPr>
          <w:i/>
          <w:sz w:val="24"/>
        </w:rPr>
        <w:t>Network Service Provider </w:t>
      </w:r>
      <w:r>
        <w:rPr>
          <w:sz w:val="24"/>
        </w:rPr>
        <w:t>under clause S5.2.5.1;</w:t>
      </w:r>
      <w:r>
        <w:rPr>
          <w:spacing w:val="-3"/>
          <w:sz w:val="24"/>
        </w:rPr>
        <w:t> </w:t>
      </w:r>
      <w:r>
        <w:rPr>
          <w:sz w:val="24"/>
        </w:rPr>
        <w:t>and</w:t>
      </w:r>
    </w:p>
    <w:p>
      <w:pPr>
        <w:pStyle w:val="ListParagraph"/>
        <w:numPr>
          <w:ilvl w:val="0"/>
          <w:numId w:val="298"/>
        </w:numPr>
        <w:tabs>
          <w:tab w:pos="3054" w:val="left" w:leader="none"/>
        </w:tabs>
        <w:spacing w:line="240" w:lineRule="auto" w:before="120" w:after="0"/>
        <w:ind w:left="3053" w:right="415" w:hanging="567"/>
        <w:jc w:val="both"/>
        <w:rPr>
          <w:sz w:val="24"/>
        </w:rPr>
      </w:pPr>
      <w:r>
        <w:rPr>
          <w:sz w:val="24"/>
        </w:rPr>
        <w:t>has limiting devices to ensure that a </w:t>
      </w:r>
      <w:r>
        <w:rPr>
          <w:i/>
          <w:sz w:val="24"/>
        </w:rPr>
        <w:t>voltage </w:t>
      </w:r>
      <w:r>
        <w:rPr>
          <w:sz w:val="24"/>
        </w:rPr>
        <w:t>disturbance does  not cause a </w:t>
      </w:r>
      <w:r>
        <w:rPr>
          <w:i/>
          <w:sz w:val="24"/>
        </w:rPr>
        <w:t>generating unit </w:t>
      </w:r>
      <w:r>
        <w:rPr>
          <w:sz w:val="24"/>
        </w:rPr>
        <w:t>to trip at the limits of its operating capability;</w:t>
      </w:r>
    </w:p>
    <w:p>
      <w:pPr>
        <w:pStyle w:val="ListParagraph"/>
        <w:numPr>
          <w:ilvl w:val="1"/>
          <w:numId w:val="296"/>
        </w:numPr>
        <w:tabs>
          <w:tab w:pos="2486" w:val="left" w:leader="none"/>
        </w:tabs>
        <w:spacing w:line="240" w:lineRule="auto" w:before="120" w:after="0"/>
        <w:ind w:left="2486" w:right="416" w:hanging="567"/>
        <w:jc w:val="both"/>
        <w:rPr>
          <w:sz w:val="24"/>
        </w:rPr>
      </w:pPr>
      <w:r>
        <w:rPr>
          <w:sz w:val="24"/>
        </w:rPr>
        <w:t>a synchronous </w:t>
      </w:r>
      <w:r>
        <w:rPr>
          <w:i/>
          <w:sz w:val="24"/>
        </w:rPr>
        <w:t>generating system </w:t>
      </w:r>
      <w:r>
        <w:rPr>
          <w:sz w:val="24"/>
        </w:rPr>
        <w:t>must have an </w:t>
      </w:r>
      <w:r>
        <w:rPr>
          <w:i/>
          <w:sz w:val="24"/>
        </w:rPr>
        <w:t>excitation control </w:t>
      </w:r>
      <w:r>
        <w:rPr>
          <w:i/>
          <w:sz w:val="24"/>
        </w:rPr>
        <w:t>system</w:t>
      </w:r>
      <w:r>
        <w:rPr>
          <w:i/>
          <w:spacing w:val="-2"/>
          <w:sz w:val="24"/>
        </w:rPr>
        <w:t> </w:t>
      </w:r>
      <w:r>
        <w:rPr>
          <w:sz w:val="24"/>
        </w:rPr>
        <w:t>that:</w:t>
      </w:r>
    </w:p>
    <w:p>
      <w:pPr>
        <w:pStyle w:val="ListParagraph"/>
        <w:numPr>
          <w:ilvl w:val="2"/>
          <w:numId w:val="296"/>
        </w:numPr>
        <w:tabs>
          <w:tab w:pos="3053" w:val="left" w:leader="none"/>
        </w:tabs>
        <w:spacing w:line="240" w:lineRule="auto" w:before="120" w:after="0"/>
        <w:ind w:left="3052" w:right="0" w:hanging="567"/>
        <w:jc w:val="both"/>
        <w:rPr>
          <w:sz w:val="24"/>
        </w:rPr>
      </w:pPr>
      <w:r>
        <w:rPr>
          <w:sz w:val="24"/>
        </w:rPr>
        <w:t>[</w:t>
      </w:r>
      <w:r>
        <w:rPr>
          <w:b/>
          <w:sz w:val="24"/>
        </w:rPr>
        <w:t>Deleted</w:t>
      </w:r>
      <w:r>
        <w:rPr>
          <w:sz w:val="24"/>
        </w:rPr>
        <w:t>]</w:t>
      </w:r>
    </w:p>
    <w:p>
      <w:pPr>
        <w:pStyle w:val="ListParagraph"/>
        <w:numPr>
          <w:ilvl w:val="2"/>
          <w:numId w:val="296"/>
        </w:numPr>
        <w:tabs>
          <w:tab w:pos="3054" w:val="left" w:leader="none"/>
        </w:tabs>
        <w:spacing w:line="240" w:lineRule="auto" w:before="120" w:after="0"/>
        <w:ind w:left="3053" w:right="0" w:hanging="568"/>
        <w:jc w:val="both"/>
        <w:rPr>
          <w:i/>
          <w:sz w:val="24"/>
        </w:rPr>
      </w:pPr>
      <w:r>
        <w:rPr>
          <w:sz w:val="24"/>
        </w:rPr>
        <w:t>can</w:t>
      </w:r>
      <w:r>
        <w:rPr>
          <w:spacing w:val="17"/>
          <w:sz w:val="24"/>
        </w:rPr>
        <w:t> </w:t>
      </w:r>
      <w:r>
        <w:rPr>
          <w:sz w:val="24"/>
        </w:rPr>
        <w:t>operate</w:t>
      </w:r>
      <w:r>
        <w:rPr>
          <w:spacing w:val="17"/>
          <w:sz w:val="24"/>
        </w:rPr>
        <w:t> </w:t>
      </w:r>
      <w:r>
        <w:rPr>
          <w:sz w:val="24"/>
        </w:rPr>
        <w:t>the</w:t>
      </w:r>
      <w:r>
        <w:rPr>
          <w:spacing w:val="17"/>
          <w:sz w:val="24"/>
        </w:rPr>
        <w:t> </w:t>
      </w:r>
      <w:r>
        <w:rPr>
          <w:sz w:val="24"/>
        </w:rPr>
        <w:t>stator</w:t>
      </w:r>
      <w:r>
        <w:rPr>
          <w:spacing w:val="18"/>
          <w:sz w:val="24"/>
        </w:rPr>
        <w:t> </w:t>
      </w:r>
      <w:r>
        <w:rPr>
          <w:sz w:val="24"/>
        </w:rPr>
        <w:t>continuously</w:t>
      </w:r>
      <w:r>
        <w:rPr>
          <w:spacing w:val="17"/>
          <w:sz w:val="24"/>
        </w:rPr>
        <w:t> </w:t>
      </w:r>
      <w:r>
        <w:rPr>
          <w:sz w:val="24"/>
        </w:rPr>
        <w:t>at</w:t>
      </w:r>
      <w:r>
        <w:rPr>
          <w:spacing w:val="17"/>
          <w:sz w:val="24"/>
        </w:rPr>
        <w:t> </w:t>
      </w:r>
      <w:r>
        <w:rPr>
          <w:sz w:val="24"/>
        </w:rPr>
        <w:t>105%</w:t>
      </w:r>
      <w:r>
        <w:rPr>
          <w:spacing w:val="18"/>
          <w:sz w:val="24"/>
        </w:rPr>
        <w:t> </w:t>
      </w:r>
      <w:r>
        <w:rPr>
          <w:sz w:val="24"/>
        </w:rPr>
        <w:t>of</w:t>
      </w:r>
      <w:r>
        <w:rPr>
          <w:spacing w:val="17"/>
          <w:sz w:val="24"/>
        </w:rPr>
        <w:t> </w:t>
      </w:r>
      <w:r>
        <w:rPr>
          <w:i/>
          <w:sz w:val="24"/>
        </w:rPr>
        <w:t>nominal</w:t>
      </w:r>
      <w:r>
        <w:rPr>
          <w:i/>
          <w:spacing w:val="17"/>
          <w:sz w:val="24"/>
        </w:rPr>
        <w:t> </w:t>
      </w:r>
      <w:r>
        <w:rPr>
          <w:i/>
          <w:sz w:val="24"/>
        </w:rPr>
        <w:t>voltage</w:t>
      </w:r>
    </w:p>
    <w:p>
      <w:pPr>
        <w:spacing w:before="0"/>
        <w:ind w:left="3053" w:right="0" w:firstLine="0"/>
        <w:jc w:val="both"/>
        <w:rPr>
          <w:sz w:val="24"/>
        </w:rPr>
      </w:pPr>
      <w:r>
        <w:rPr>
          <w:sz w:val="24"/>
        </w:rPr>
        <w:t>with </w:t>
      </w:r>
      <w:r>
        <w:rPr>
          <w:i/>
          <w:sz w:val="24"/>
        </w:rPr>
        <w:t>rated active power </w:t>
      </w:r>
      <w:r>
        <w:rPr>
          <w:sz w:val="24"/>
        </w:rPr>
        <w:t>output;</w:t>
      </w:r>
    </w:p>
    <w:p>
      <w:pPr>
        <w:pStyle w:val="ListParagraph"/>
        <w:numPr>
          <w:ilvl w:val="2"/>
          <w:numId w:val="296"/>
        </w:numPr>
        <w:tabs>
          <w:tab w:pos="3052" w:val="left" w:leader="none"/>
          <w:tab w:pos="3053" w:val="left" w:leader="none"/>
        </w:tabs>
        <w:spacing w:line="240" w:lineRule="auto" w:before="120" w:after="0"/>
        <w:ind w:left="3052" w:right="0" w:hanging="567"/>
        <w:jc w:val="left"/>
        <w:rPr>
          <w:sz w:val="24"/>
        </w:rPr>
      </w:pPr>
      <w:r>
        <w:rPr>
          <w:sz w:val="24"/>
        </w:rPr>
        <w:t>[</w:t>
      </w:r>
      <w:r>
        <w:rPr>
          <w:b/>
          <w:sz w:val="24"/>
        </w:rPr>
        <w:t>Deleted</w:t>
      </w:r>
      <w:r>
        <w:rPr>
          <w:sz w:val="24"/>
        </w:rPr>
        <w:t>]</w:t>
      </w:r>
    </w:p>
    <w:p>
      <w:pPr>
        <w:pStyle w:val="ListParagraph"/>
        <w:numPr>
          <w:ilvl w:val="2"/>
          <w:numId w:val="296"/>
        </w:numPr>
        <w:tabs>
          <w:tab w:pos="3052" w:val="left" w:leader="none"/>
          <w:tab w:pos="3054" w:val="left" w:leader="none"/>
        </w:tabs>
        <w:spacing w:line="240" w:lineRule="auto" w:before="120" w:after="0"/>
        <w:ind w:left="3053" w:right="0" w:hanging="568"/>
        <w:jc w:val="left"/>
        <w:rPr>
          <w:sz w:val="24"/>
        </w:rPr>
      </w:pPr>
      <w:r>
        <w:rPr>
          <w:sz w:val="24"/>
        </w:rPr>
        <w:t>[</w:t>
      </w:r>
      <w:r>
        <w:rPr>
          <w:b/>
          <w:sz w:val="24"/>
        </w:rPr>
        <w:t>Deleted</w:t>
      </w:r>
      <w:r>
        <w:rPr>
          <w:sz w:val="24"/>
        </w:rPr>
        <w:t>]</w:t>
      </w:r>
    </w:p>
    <w:p>
      <w:pPr>
        <w:pStyle w:val="ListParagraph"/>
        <w:numPr>
          <w:ilvl w:val="2"/>
          <w:numId w:val="296"/>
        </w:numPr>
        <w:tabs>
          <w:tab w:pos="3052" w:val="left" w:leader="none"/>
          <w:tab w:pos="3053" w:val="left" w:leader="none"/>
        </w:tabs>
        <w:spacing w:line="240" w:lineRule="auto" w:before="120" w:after="0"/>
        <w:ind w:left="3052" w:right="0" w:hanging="567"/>
        <w:jc w:val="left"/>
        <w:rPr>
          <w:sz w:val="24"/>
        </w:rPr>
      </w:pPr>
      <w:r>
        <w:rPr>
          <w:sz w:val="24"/>
        </w:rPr>
        <w:t>[</w:t>
      </w:r>
      <w:r>
        <w:rPr>
          <w:b/>
          <w:sz w:val="24"/>
        </w:rPr>
        <w:t>Deleted</w:t>
      </w:r>
      <w:r>
        <w:rPr>
          <w:sz w:val="24"/>
        </w:rPr>
        <w:t>]</w:t>
      </w:r>
    </w:p>
    <w:p>
      <w:pPr>
        <w:pStyle w:val="ListParagraph"/>
        <w:numPr>
          <w:ilvl w:val="2"/>
          <w:numId w:val="296"/>
        </w:numPr>
        <w:tabs>
          <w:tab w:pos="3052" w:val="left" w:leader="none"/>
          <w:tab w:pos="3053" w:val="left" w:leader="none"/>
        </w:tabs>
        <w:spacing w:line="240" w:lineRule="auto" w:before="120" w:after="0"/>
        <w:ind w:left="3052" w:right="0" w:hanging="567"/>
        <w:jc w:val="left"/>
        <w:rPr>
          <w:sz w:val="24"/>
        </w:rPr>
      </w:pPr>
      <w:r>
        <w:rPr>
          <w:sz w:val="24"/>
        </w:rPr>
        <w:t>has an excitation ceiling </w:t>
      </w:r>
      <w:r>
        <w:rPr>
          <w:i/>
          <w:sz w:val="24"/>
        </w:rPr>
        <w:t>voltage </w:t>
      </w:r>
      <w:r>
        <w:rPr>
          <w:sz w:val="24"/>
        </w:rPr>
        <w:t>of at</w:t>
      </w:r>
      <w:r>
        <w:rPr>
          <w:spacing w:val="-2"/>
          <w:sz w:val="24"/>
        </w:rPr>
        <w:t> </w:t>
      </w:r>
      <w:r>
        <w:rPr>
          <w:sz w:val="24"/>
        </w:rPr>
        <w:t>least:</w:t>
      </w:r>
    </w:p>
    <w:p>
      <w:pPr>
        <w:pStyle w:val="ListParagraph"/>
        <w:numPr>
          <w:ilvl w:val="3"/>
          <w:numId w:val="296"/>
        </w:numPr>
        <w:tabs>
          <w:tab w:pos="3619" w:val="left" w:leader="none"/>
          <w:tab w:pos="3620" w:val="left" w:leader="none"/>
        </w:tabs>
        <w:spacing w:line="240" w:lineRule="auto" w:before="120" w:after="0"/>
        <w:ind w:left="3619" w:right="0" w:hanging="567"/>
        <w:jc w:val="left"/>
        <w:rPr>
          <w:sz w:val="24"/>
        </w:rPr>
      </w:pPr>
      <w:r>
        <w:rPr>
          <w:sz w:val="24"/>
        </w:rPr>
        <w:t>for a static excitation system, 2.3 times;</w:t>
      </w:r>
      <w:r>
        <w:rPr>
          <w:spacing w:val="-5"/>
          <w:sz w:val="24"/>
        </w:rPr>
        <w:t> </w:t>
      </w:r>
      <w:r>
        <w:rPr>
          <w:sz w:val="24"/>
        </w:rPr>
        <w:t>or</w:t>
      </w:r>
    </w:p>
    <w:p>
      <w:pPr>
        <w:pStyle w:val="ListParagraph"/>
        <w:numPr>
          <w:ilvl w:val="3"/>
          <w:numId w:val="296"/>
        </w:numPr>
        <w:tabs>
          <w:tab w:pos="3620" w:val="left" w:leader="none"/>
          <w:tab w:pos="3621" w:val="left" w:leader="none"/>
        </w:tabs>
        <w:spacing w:line="240" w:lineRule="auto" w:before="120" w:after="0"/>
        <w:ind w:left="3620" w:right="0" w:hanging="568"/>
        <w:jc w:val="left"/>
        <w:rPr>
          <w:sz w:val="24"/>
        </w:rPr>
      </w:pPr>
      <w:r>
        <w:rPr>
          <w:sz w:val="24"/>
        </w:rPr>
        <w:t>for other </w:t>
      </w:r>
      <w:r>
        <w:rPr>
          <w:i/>
          <w:sz w:val="24"/>
        </w:rPr>
        <w:t>excitation control systems</w:t>
      </w:r>
      <w:r>
        <w:rPr>
          <w:sz w:val="24"/>
        </w:rPr>
        <w:t>, 1.5</w:t>
      </w:r>
      <w:r>
        <w:rPr>
          <w:spacing w:val="-2"/>
          <w:sz w:val="24"/>
        </w:rPr>
        <w:t> </w:t>
      </w:r>
      <w:r>
        <w:rPr>
          <w:sz w:val="24"/>
        </w:rPr>
        <w:t>times,</w:t>
      </w:r>
    </w:p>
    <w:p>
      <w:pPr>
        <w:spacing w:before="120"/>
        <w:ind w:left="3053" w:right="415" w:firstLine="0"/>
        <w:jc w:val="left"/>
        <w:rPr>
          <w:sz w:val="24"/>
        </w:rPr>
      </w:pPr>
      <w:r>
        <w:rPr>
          <w:sz w:val="24"/>
        </w:rPr>
        <w:t>the excitation required to achieve </w:t>
      </w:r>
      <w:r>
        <w:rPr>
          <w:i/>
          <w:sz w:val="24"/>
        </w:rPr>
        <w:t>generation </w:t>
      </w:r>
      <w:r>
        <w:rPr>
          <w:sz w:val="24"/>
        </w:rPr>
        <w:t>at the </w:t>
      </w:r>
      <w:r>
        <w:rPr>
          <w:i/>
          <w:sz w:val="24"/>
        </w:rPr>
        <w:t>nameplate </w:t>
      </w:r>
      <w:r>
        <w:rPr>
          <w:i/>
          <w:sz w:val="24"/>
        </w:rPr>
        <w:t>rating </w:t>
      </w:r>
      <w:r>
        <w:rPr>
          <w:sz w:val="24"/>
        </w:rPr>
        <w:t>for rated </w:t>
      </w:r>
      <w:r>
        <w:rPr>
          <w:i/>
          <w:sz w:val="24"/>
        </w:rPr>
        <w:t>power factor</w:t>
      </w:r>
      <w:r>
        <w:rPr>
          <w:sz w:val="24"/>
        </w:rPr>
        <w:t>, rated speed and </w:t>
      </w:r>
      <w:r>
        <w:rPr>
          <w:i/>
          <w:sz w:val="24"/>
        </w:rPr>
        <w:t>nominal voltage</w:t>
      </w:r>
      <w:r>
        <w:rPr>
          <w:sz w:val="24"/>
        </w:rPr>
        <w:t>;</w:t>
      </w:r>
    </w:p>
    <w:p>
      <w:pPr>
        <w:pStyle w:val="ListParagraph"/>
        <w:numPr>
          <w:ilvl w:val="2"/>
          <w:numId w:val="296"/>
        </w:numPr>
        <w:tabs>
          <w:tab w:pos="3053" w:val="left" w:leader="none"/>
        </w:tabs>
        <w:spacing w:line="240" w:lineRule="auto" w:before="120" w:after="0"/>
        <w:ind w:left="3052" w:right="0" w:hanging="567"/>
        <w:jc w:val="left"/>
        <w:rPr>
          <w:i/>
          <w:sz w:val="24"/>
        </w:rPr>
      </w:pPr>
      <w:r>
        <w:rPr>
          <w:sz w:val="24"/>
        </w:rPr>
        <w:t>has settling </w:t>
      </w:r>
      <w:r>
        <w:rPr>
          <w:i/>
          <w:sz w:val="24"/>
        </w:rPr>
        <w:t>times </w:t>
      </w:r>
      <w:r>
        <w:rPr>
          <w:sz w:val="24"/>
        </w:rPr>
        <w:t>for a step change of </w:t>
      </w:r>
      <w:r>
        <w:rPr>
          <w:i/>
          <w:sz w:val="24"/>
        </w:rPr>
        <w:t>voltage </w:t>
      </w:r>
      <w:r>
        <w:rPr>
          <w:sz w:val="24"/>
        </w:rPr>
        <w:t>setpoint or </w:t>
      </w:r>
      <w:r>
        <w:rPr>
          <w:i/>
          <w:sz w:val="24"/>
        </w:rPr>
        <w:t>voltage</w:t>
      </w:r>
    </w:p>
    <w:p>
      <w:pPr>
        <w:pStyle w:val="BodyText"/>
        <w:spacing w:before="0"/>
        <w:ind w:left="3053" w:firstLine="0"/>
        <w:jc w:val="left"/>
      </w:pPr>
      <w:r>
        <w:rPr/>
        <w:t>at the location agreed under subparagraph (2B)(i) of:</w:t>
      </w:r>
    </w:p>
    <w:p>
      <w:pPr>
        <w:pStyle w:val="ListParagraph"/>
        <w:numPr>
          <w:ilvl w:val="3"/>
          <w:numId w:val="296"/>
        </w:numPr>
        <w:tabs>
          <w:tab w:pos="3619" w:val="left" w:leader="none"/>
          <w:tab w:pos="3620" w:val="left" w:leader="none"/>
        </w:tabs>
        <w:spacing w:line="240" w:lineRule="auto" w:before="120" w:after="0"/>
        <w:ind w:left="3619" w:right="0" w:hanging="567"/>
        <w:jc w:val="left"/>
        <w:rPr>
          <w:i/>
          <w:sz w:val="24"/>
        </w:rPr>
      </w:pPr>
      <w:r>
        <w:rPr>
          <w:sz w:val="24"/>
        </w:rPr>
        <w:t>generated</w:t>
      </w:r>
      <w:r>
        <w:rPr>
          <w:spacing w:val="26"/>
          <w:sz w:val="24"/>
        </w:rPr>
        <w:t> </w:t>
      </w:r>
      <w:r>
        <w:rPr>
          <w:i/>
          <w:sz w:val="24"/>
        </w:rPr>
        <w:t>voltage</w:t>
      </w:r>
      <w:r>
        <w:rPr>
          <w:i/>
          <w:spacing w:val="26"/>
          <w:sz w:val="24"/>
        </w:rPr>
        <w:t> </w:t>
      </w:r>
      <w:r>
        <w:rPr>
          <w:sz w:val="24"/>
        </w:rPr>
        <w:t>less</w:t>
      </w:r>
      <w:r>
        <w:rPr>
          <w:spacing w:val="27"/>
          <w:sz w:val="24"/>
        </w:rPr>
        <w:t> </w:t>
      </w:r>
      <w:r>
        <w:rPr>
          <w:sz w:val="24"/>
        </w:rPr>
        <w:t>than</w:t>
      </w:r>
      <w:r>
        <w:rPr>
          <w:spacing w:val="26"/>
          <w:sz w:val="24"/>
        </w:rPr>
        <w:t> </w:t>
      </w:r>
      <w:r>
        <w:rPr>
          <w:sz w:val="24"/>
        </w:rPr>
        <w:t>2.5</w:t>
      </w:r>
      <w:r>
        <w:rPr>
          <w:spacing w:val="27"/>
          <w:sz w:val="24"/>
        </w:rPr>
        <w:t> </w:t>
      </w:r>
      <w:r>
        <w:rPr>
          <w:sz w:val="24"/>
        </w:rPr>
        <w:t>seconds</w:t>
      </w:r>
      <w:r>
        <w:rPr>
          <w:spacing w:val="26"/>
          <w:sz w:val="24"/>
        </w:rPr>
        <w:t> </w:t>
      </w:r>
      <w:r>
        <w:rPr>
          <w:sz w:val="24"/>
        </w:rPr>
        <w:t>for</w:t>
      </w:r>
      <w:r>
        <w:rPr>
          <w:spacing w:val="26"/>
          <w:sz w:val="24"/>
        </w:rPr>
        <w:t> </w:t>
      </w:r>
      <w:r>
        <w:rPr>
          <w:sz w:val="24"/>
        </w:rPr>
        <w:t>a</w:t>
      </w:r>
      <w:r>
        <w:rPr>
          <w:spacing w:val="27"/>
          <w:sz w:val="24"/>
        </w:rPr>
        <w:t> </w:t>
      </w:r>
      <w:r>
        <w:rPr>
          <w:sz w:val="24"/>
        </w:rPr>
        <w:t>5%</w:t>
      </w:r>
      <w:r>
        <w:rPr>
          <w:spacing w:val="26"/>
          <w:sz w:val="24"/>
        </w:rPr>
        <w:t> </w:t>
      </w:r>
      <w:r>
        <w:rPr>
          <w:i/>
          <w:sz w:val="24"/>
        </w:rPr>
        <w:t>voltage</w:t>
      </w:r>
    </w:p>
    <w:p>
      <w:pPr>
        <w:spacing w:before="0"/>
        <w:ind w:left="3620" w:right="0" w:firstLine="0"/>
        <w:jc w:val="left"/>
        <w:rPr>
          <w:sz w:val="24"/>
        </w:rPr>
      </w:pPr>
      <w:r>
        <w:rPr>
          <w:sz w:val="24"/>
        </w:rPr>
        <w:t>disturbance with the </w:t>
      </w:r>
      <w:r>
        <w:rPr>
          <w:i/>
          <w:sz w:val="24"/>
        </w:rPr>
        <w:t>generating unit </w:t>
      </w:r>
      <w:r>
        <w:rPr>
          <w:sz w:val="24"/>
        </w:rPr>
        <w:t>not </w:t>
      </w:r>
      <w:r>
        <w:rPr>
          <w:i/>
          <w:sz w:val="24"/>
        </w:rPr>
        <w:t>synchronised</w:t>
      </w:r>
      <w:r>
        <w:rPr>
          <w:sz w:val="24"/>
        </w:rPr>
        <w:t>;</w:t>
      </w:r>
    </w:p>
    <w:p>
      <w:pPr>
        <w:pStyle w:val="ListParagraph"/>
        <w:numPr>
          <w:ilvl w:val="3"/>
          <w:numId w:val="296"/>
        </w:numPr>
        <w:tabs>
          <w:tab w:pos="3621" w:val="left" w:leader="none"/>
        </w:tabs>
        <w:spacing w:line="240" w:lineRule="auto" w:before="120" w:after="0"/>
        <w:ind w:left="3620" w:right="415" w:hanging="567"/>
        <w:jc w:val="both"/>
        <w:rPr>
          <w:sz w:val="24"/>
        </w:rPr>
      </w:pPr>
      <w:r>
        <w:rPr>
          <w:i/>
          <w:sz w:val="24"/>
        </w:rPr>
        <w:t>active power</w:t>
      </w:r>
      <w:r>
        <w:rPr>
          <w:sz w:val="24"/>
        </w:rPr>
        <w:t>, </w:t>
      </w:r>
      <w:r>
        <w:rPr>
          <w:i/>
          <w:sz w:val="24"/>
        </w:rPr>
        <w:t>reactive power </w:t>
      </w:r>
      <w:r>
        <w:rPr>
          <w:sz w:val="24"/>
        </w:rPr>
        <w:t>and </w:t>
      </w:r>
      <w:r>
        <w:rPr>
          <w:i/>
          <w:sz w:val="24"/>
        </w:rPr>
        <w:t>voltage </w:t>
      </w:r>
      <w:r>
        <w:rPr>
          <w:sz w:val="24"/>
        </w:rPr>
        <w:t>less than</w:t>
      </w:r>
      <w:r>
        <w:rPr>
          <w:spacing w:val="29"/>
          <w:sz w:val="24"/>
        </w:rPr>
        <w:t> </w:t>
      </w:r>
      <w:r>
        <w:rPr>
          <w:sz w:val="24"/>
        </w:rPr>
        <w:t>5.0 seconds for a 5% </w:t>
      </w:r>
      <w:r>
        <w:rPr>
          <w:i/>
          <w:sz w:val="24"/>
        </w:rPr>
        <w:t>voltage </w:t>
      </w:r>
      <w:r>
        <w:rPr>
          <w:sz w:val="24"/>
        </w:rPr>
        <w:t>disturbance with the </w:t>
      </w:r>
      <w:r>
        <w:rPr>
          <w:i/>
          <w:sz w:val="24"/>
        </w:rPr>
        <w:t>generating </w:t>
      </w:r>
      <w:r>
        <w:rPr>
          <w:i/>
          <w:sz w:val="24"/>
        </w:rPr>
        <w:t>unit synchronised</w:t>
      </w:r>
      <w:r>
        <w:rPr>
          <w:sz w:val="24"/>
        </w:rPr>
        <w:t>, from an operating point where the </w:t>
      </w:r>
      <w:r>
        <w:rPr>
          <w:i/>
          <w:sz w:val="24"/>
        </w:rPr>
        <w:t>voltage </w:t>
      </w:r>
      <w:r>
        <w:rPr>
          <w:sz w:val="24"/>
        </w:rPr>
        <w:t>disturbance would not cause any limiting device to operate;</w:t>
      </w:r>
      <w:r>
        <w:rPr>
          <w:spacing w:val="-1"/>
          <w:sz w:val="24"/>
        </w:rPr>
        <w:t> </w:t>
      </w:r>
      <w:r>
        <w:rPr>
          <w:sz w:val="24"/>
        </w:rPr>
        <w:t>and</w:t>
      </w:r>
    </w:p>
    <w:p>
      <w:pPr>
        <w:pStyle w:val="ListParagraph"/>
        <w:numPr>
          <w:ilvl w:val="3"/>
          <w:numId w:val="296"/>
        </w:numPr>
        <w:tabs>
          <w:tab w:pos="3621" w:val="left" w:leader="none"/>
        </w:tabs>
        <w:spacing w:line="240" w:lineRule="auto" w:before="120" w:after="0"/>
        <w:ind w:left="3620" w:right="415" w:hanging="567"/>
        <w:jc w:val="both"/>
        <w:rPr>
          <w:sz w:val="24"/>
        </w:rPr>
      </w:pPr>
      <w:r>
        <w:rPr>
          <w:sz w:val="24"/>
        </w:rPr>
        <w:t>in respect of each limiting device, </w:t>
      </w:r>
      <w:r>
        <w:rPr>
          <w:i/>
          <w:sz w:val="24"/>
        </w:rPr>
        <w:t>active power</w:t>
      </w:r>
      <w:r>
        <w:rPr>
          <w:sz w:val="24"/>
        </w:rPr>
        <w:t>, </w:t>
      </w:r>
      <w:r>
        <w:rPr>
          <w:i/>
          <w:sz w:val="24"/>
        </w:rPr>
        <w:t>reactive </w:t>
      </w:r>
      <w:r>
        <w:rPr>
          <w:i/>
          <w:sz w:val="24"/>
        </w:rPr>
        <w:t>power </w:t>
      </w:r>
      <w:r>
        <w:rPr>
          <w:sz w:val="24"/>
        </w:rPr>
        <w:t>and </w:t>
      </w:r>
      <w:r>
        <w:rPr>
          <w:i/>
          <w:sz w:val="24"/>
        </w:rPr>
        <w:t>voltage </w:t>
      </w:r>
      <w:r>
        <w:rPr>
          <w:sz w:val="24"/>
        </w:rPr>
        <w:t>less than 7.5 seconds for a 5% </w:t>
      </w:r>
      <w:r>
        <w:rPr>
          <w:i/>
          <w:sz w:val="24"/>
        </w:rPr>
        <w:t>voltage </w:t>
      </w:r>
      <w:r>
        <w:rPr>
          <w:sz w:val="24"/>
        </w:rPr>
        <w:t>disturbance with the </w:t>
      </w:r>
      <w:r>
        <w:rPr>
          <w:i/>
          <w:sz w:val="24"/>
        </w:rPr>
        <w:t>generating unit synchronised</w:t>
      </w:r>
      <w:r>
        <w:rPr>
          <w:sz w:val="24"/>
        </w:rPr>
        <w:t>, when operating into a limiting device from an operating point where a </w:t>
      </w:r>
      <w:r>
        <w:rPr>
          <w:i/>
          <w:sz w:val="24"/>
        </w:rPr>
        <w:t>voltage </w:t>
      </w:r>
      <w:r>
        <w:rPr>
          <w:sz w:val="24"/>
        </w:rPr>
        <w:t>disturbance of 2.5% would just cause the limiting device to</w:t>
      </w:r>
      <w:r>
        <w:rPr>
          <w:spacing w:val="-2"/>
          <w:sz w:val="24"/>
        </w:rPr>
        <w:t> </w:t>
      </w:r>
      <w:r>
        <w:rPr>
          <w:sz w:val="24"/>
        </w:rPr>
        <w:t>operate;</w:t>
      </w:r>
    </w:p>
    <w:p>
      <w:pPr>
        <w:pStyle w:val="ListParagraph"/>
        <w:numPr>
          <w:ilvl w:val="2"/>
          <w:numId w:val="296"/>
        </w:numPr>
        <w:tabs>
          <w:tab w:pos="3053" w:val="left" w:leader="none"/>
        </w:tabs>
        <w:spacing w:line="240" w:lineRule="auto" w:before="120" w:after="0"/>
        <w:ind w:left="3053" w:right="416" w:hanging="567"/>
        <w:jc w:val="both"/>
        <w:rPr>
          <w:sz w:val="24"/>
        </w:rPr>
      </w:pPr>
      <w:r>
        <w:rPr>
          <w:sz w:val="24"/>
        </w:rPr>
        <w:t>can increase field </w:t>
      </w:r>
      <w:r>
        <w:rPr>
          <w:i/>
          <w:sz w:val="24"/>
        </w:rPr>
        <w:t>voltage </w:t>
      </w:r>
      <w:r>
        <w:rPr>
          <w:sz w:val="24"/>
        </w:rPr>
        <w:t>from rated field </w:t>
      </w:r>
      <w:r>
        <w:rPr>
          <w:i/>
          <w:sz w:val="24"/>
        </w:rPr>
        <w:t>voltage </w:t>
      </w:r>
      <w:r>
        <w:rPr>
          <w:sz w:val="24"/>
        </w:rPr>
        <w:t>to </w:t>
      </w:r>
      <w:r>
        <w:rPr>
          <w:spacing w:val="-5"/>
          <w:sz w:val="24"/>
        </w:rPr>
        <w:t>the </w:t>
      </w:r>
      <w:r>
        <w:rPr>
          <w:sz w:val="24"/>
        </w:rPr>
        <w:t>excitation ceiling </w:t>
      </w:r>
      <w:r>
        <w:rPr>
          <w:i/>
          <w:sz w:val="24"/>
        </w:rPr>
        <w:t>voltage </w:t>
      </w:r>
      <w:r>
        <w:rPr>
          <w:sz w:val="24"/>
        </w:rPr>
        <w:t>in less</w:t>
      </w:r>
      <w:r>
        <w:rPr>
          <w:spacing w:val="-2"/>
          <w:sz w:val="24"/>
        </w:rPr>
        <w:t> </w:t>
      </w:r>
      <w:r>
        <w:rPr>
          <w:sz w:val="24"/>
        </w:rPr>
        <w:t>than:</w:t>
      </w:r>
    </w:p>
    <w:p>
      <w:pPr>
        <w:pStyle w:val="ListParagraph"/>
        <w:numPr>
          <w:ilvl w:val="3"/>
          <w:numId w:val="296"/>
        </w:numPr>
        <w:tabs>
          <w:tab w:pos="3620" w:val="left" w:leader="none"/>
        </w:tabs>
        <w:spacing w:line="240" w:lineRule="auto" w:before="120" w:after="0"/>
        <w:ind w:left="3619" w:right="0" w:hanging="567"/>
        <w:jc w:val="both"/>
        <w:rPr>
          <w:sz w:val="24"/>
        </w:rPr>
      </w:pPr>
      <w:r>
        <w:rPr>
          <w:sz w:val="24"/>
        </w:rPr>
        <w:t>0.05 second for a static excitation system;</w:t>
      </w:r>
      <w:r>
        <w:rPr>
          <w:spacing w:val="-3"/>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3"/>
          <w:numId w:val="296"/>
        </w:numPr>
        <w:tabs>
          <w:tab w:pos="3621" w:val="left" w:leader="none"/>
        </w:tabs>
        <w:spacing w:line="240" w:lineRule="auto" w:before="83" w:after="0"/>
        <w:ind w:left="3620" w:right="0" w:hanging="568"/>
        <w:jc w:val="both"/>
        <w:rPr>
          <w:sz w:val="24"/>
        </w:rPr>
      </w:pPr>
      <w:r>
        <w:rPr>
          <w:sz w:val="24"/>
        </w:rPr>
        <w:t>0.5 second for other </w:t>
      </w:r>
      <w:r>
        <w:rPr>
          <w:i/>
          <w:sz w:val="24"/>
        </w:rPr>
        <w:t>excitation control systems</w:t>
      </w:r>
      <w:r>
        <w:rPr>
          <w:sz w:val="24"/>
        </w:rPr>
        <w:t>;</w:t>
      </w:r>
      <w:r>
        <w:rPr>
          <w:spacing w:val="-4"/>
          <w:sz w:val="24"/>
        </w:rPr>
        <w:t> </w:t>
      </w:r>
      <w:r>
        <w:rPr>
          <w:sz w:val="24"/>
        </w:rPr>
        <w:t>and</w:t>
      </w:r>
    </w:p>
    <w:p>
      <w:pPr>
        <w:pStyle w:val="ListParagraph"/>
        <w:numPr>
          <w:ilvl w:val="2"/>
          <w:numId w:val="296"/>
        </w:numPr>
        <w:tabs>
          <w:tab w:pos="3054" w:val="left" w:leader="none"/>
        </w:tabs>
        <w:spacing w:line="240" w:lineRule="auto" w:before="120" w:after="0"/>
        <w:ind w:left="3053" w:right="416" w:hanging="567"/>
        <w:jc w:val="both"/>
        <w:rPr>
          <w:sz w:val="24"/>
        </w:rPr>
      </w:pPr>
      <w:r>
        <w:rPr>
          <w:sz w:val="24"/>
        </w:rPr>
        <w:t>has a </w:t>
      </w:r>
      <w:r>
        <w:rPr>
          <w:i/>
          <w:sz w:val="24"/>
        </w:rPr>
        <w:t>power system </w:t>
      </w:r>
      <w:r>
        <w:rPr>
          <w:sz w:val="24"/>
        </w:rPr>
        <w:t>stabiliser with sufficient flexibility to enable damping performance to be maximised, with characteristics as described in paragraph</w:t>
      </w:r>
      <w:r>
        <w:rPr>
          <w:spacing w:val="-1"/>
          <w:sz w:val="24"/>
        </w:rPr>
        <w:t> </w:t>
      </w:r>
      <w:r>
        <w:rPr>
          <w:sz w:val="24"/>
        </w:rPr>
        <w:t>(c);</w:t>
      </w:r>
    </w:p>
    <w:p>
      <w:pPr>
        <w:pStyle w:val="ListParagraph"/>
        <w:numPr>
          <w:ilvl w:val="1"/>
          <w:numId w:val="296"/>
        </w:numPr>
        <w:tabs>
          <w:tab w:pos="2486" w:val="left" w:leader="none"/>
        </w:tabs>
        <w:spacing w:line="240" w:lineRule="auto" w:before="120" w:after="0"/>
        <w:ind w:left="2486" w:right="416" w:hanging="567"/>
        <w:jc w:val="both"/>
        <w:rPr>
          <w:sz w:val="24"/>
        </w:rPr>
      </w:pPr>
      <w:r>
        <w:rPr>
          <w:sz w:val="24"/>
        </w:rPr>
        <w:t>a </w:t>
      </w:r>
      <w:r>
        <w:rPr>
          <w:i/>
          <w:sz w:val="24"/>
        </w:rPr>
        <w:t>generating system</w:t>
      </w:r>
      <w:r>
        <w:rPr>
          <w:sz w:val="24"/>
        </w:rPr>
        <w:t>, other than one comprised of </w:t>
      </w:r>
      <w:r>
        <w:rPr>
          <w:i/>
          <w:sz w:val="24"/>
        </w:rPr>
        <w:t>synchronous </w:t>
      </w:r>
      <w:r>
        <w:rPr>
          <w:i/>
          <w:sz w:val="24"/>
        </w:rPr>
        <w:t>generating units</w:t>
      </w:r>
      <w:r>
        <w:rPr>
          <w:sz w:val="24"/>
        </w:rPr>
        <w:t>, must have a </w:t>
      </w:r>
      <w:r>
        <w:rPr>
          <w:i/>
          <w:sz w:val="24"/>
        </w:rPr>
        <w:t>voltage control system</w:t>
      </w:r>
      <w:r>
        <w:rPr>
          <w:i/>
          <w:spacing w:val="-4"/>
          <w:sz w:val="24"/>
        </w:rPr>
        <w:t> </w:t>
      </w:r>
      <w:r>
        <w:rPr>
          <w:sz w:val="24"/>
        </w:rPr>
        <w:t>that:</w:t>
      </w:r>
    </w:p>
    <w:p>
      <w:pPr>
        <w:pStyle w:val="ListParagraph"/>
        <w:numPr>
          <w:ilvl w:val="2"/>
          <w:numId w:val="296"/>
        </w:numPr>
        <w:tabs>
          <w:tab w:pos="3052" w:val="left" w:leader="none"/>
          <w:tab w:pos="3053" w:val="left" w:leader="none"/>
        </w:tabs>
        <w:spacing w:line="240" w:lineRule="auto" w:before="120" w:after="0"/>
        <w:ind w:left="3052" w:right="0" w:hanging="567"/>
        <w:jc w:val="left"/>
        <w:rPr>
          <w:sz w:val="24"/>
        </w:rPr>
      </w:pPr>
      <w:r>
        <w:rPr>
          <w:sz w:val="24"/>
        </w:rPr>
        <w:t>[</w:t>
      </w:r>
      <w:r>
        <w:rPr>
          <w:b/>
          <w:sz w:val="24"/>
        </w:rPr>
        <w:t>Deleted</w:t>
      </w:r>
      <w:r>
        <w:rPr>
          <w:sz w:val="24"/>
        </w:rPr>
        <w:t>]</w:t>
      </w:r>
    </w:p>
    <w:p>
      <w:pPr>
        <w:pStyle w:val="ListParagraph"/>
        <w:numPr>
          <w:ilvl w:val="2"/>
          <w:numId w:val="296"/>
        </w:numPr>
        <w:tabs>
          <w:tab w:pos="3052" w:val="left" w:leader="none"/>
          <w:tab w:pos="3054" w:val="left" w:leader="none"/>
        </w:tabs>
        <w:spacing w:line="240" w:lineRule="auto" w:before="120" w:after="0"/>
        <w:ind w:left="3053" w:right="0" w:hanging="568"/>
        <w:jc w:val="left"/>
        <w:rPr>
          <w:sz w:val="24"/>
        </w:rPr>
      </w:pPr>
      <w:r>
        <w:rPr>
          <w:sz w:val="24"/>
        </w:rPr>
        <w:t>[</w:t>
      </w:r>
      <w:r>
        <w:rPr>
          <w:b/>
          <w:sz w:val="24"/>
        </w:rPr>
        <w:t>Deleted</w:t>
      </w:r>
      <w:r>
        <w:rPr>
          <w:sz w:val="24"/>
        </w:rPr>
        <w:t>]</w:t>
      </w:r>
    </w:p>
    <w:p>
      <w:pPr>
        <w:pStyle w:val="ListParagraph"/>
        <w:numPr>
          <w:ilvl w:val="2"/>
          <w:numId w:val="296"/>
        </w:numPr>
        <w:tabs>
          <w:tab w:pos="3052" w:val="left" w:leader="none"/>
          <w:tab w:pos="3053" w:val="left" w:leader="none"/>
        </w:tabs>
        <w:spacing w:line="240" w:lineRule="auto" w:before="120" w:after="0"/>
        <w:ind w:left="3052" w:right="0" w:hanging="567"/>
        <w:jc w:val="left"/>
        <w:rPr>
          <w:sz w:val="24"/>
        </w:rPr>
      </w:pPr>
      <w:r>
        <w:rPr>
          <w:sz w:val="24"/>
        </w:rPr>
        <w:t>[</w:t>
      </w:r>
      <w:r>
        <w:rPr>
          <w:b/>
          <w:sz w:val="24"/>
        </w:rPr>
        <w:t>Deleted</w:t>
      </w:r>
      <w:r>
        <w:rPr>
          <w:sz w:val="24"/>
        </w:rPr>
        <w:t>]</w:t>
      </w:r>
    </w:p>
    <w:p>
      <w:pPr>
        <w:pStyle w:val="ListParagraph"/>
        <w:numPr>
          <w:ilvl w:val="2"/>
          <w:numId w:val="296"/>
        </w:numPr>
        <w:tabs>
          <w:tab w:pos="3052" w:val="left" w:leader="none"/>
          <w:tab w:pos="3054" w:val="left" w:leader="none"/>
        </w:tabs>
        <w:spacing w:line="240" w:lineRule="auto" w:before="120" w:after="0"/>
        <w:ind w:left="3053" w:right="0" w:hanging="568"/>
        <w:jc w:val="left"/>
        <w:rPr>
          <w:sz w:val="24"/>
        </w:rPr>
      </w:pPr>
      <w:r>
        <w:rPr>
          <w:sz w:val="24"/>
        </w:rPr>
        <w:t>[</w:t>
      </w:r>
      <w:r>
        <w:rPr>
          <w:b/>
          <w:sz w:val="24"/>
        </w:rPr>
        <w:t>Deleted</w:t>
      </w:r>
      <w:r>
        <w:rPr>
          <w:sz w:val="24"/>
        </w:rPr>
        <w:t>]</w:t>
      </w:r>
    </w:p>
    <w:p>
      <w:pPr>
        <w:pStyle w:val="ListParagraph"/>
        <w:numPr>
          <w:ilvl w:val="2"/>
          <w:numId w:val="296"/>
        </w:numPr>
        <w:tabs>
          <w:tab w:pos="3053" w:val="left" w:leader="none"/>
        </w:tabs>
        <w:spacing w:line="240" w:lineRule="auto" w:before="120" w:after="0"/>
        <w:ind w:left="3053" w:right="415" w:hanging="567"/>
        <w:jc w:val="both"/>
        <w:rPr>
          <w:sz w:val="24"/>
        </w:rPr>
      </w:pPr>
      <w:r>
        <w:rPr>
          <w:sz w:val="24"/>
        </w:rPr>
        <w:t>with the </w:t>
      </w:r>
      <w:r>
        <w:rPr>
          <w:i/>
          <w:sz w:val="24"/>
        </w:rPr>
        <w:t>generating system connected </w:t>
      </w:r>
      <w:r>
        <w:rPr>
          <w:sz w:val="24"/>
        </w:rPr>
        <w:t>to the </w:t>
      </w:r>
      <w:r>
        <w:rPr>
          <w:i/>
          <w:sz w:val="24"/>
        </w:rPr>
        <w:t>power system</w:t>
      </w:r>
      <w:r>
        <w:rPr>
          <w:sz w:val="24"/>
        </w:rPr>
        <w:t>, has settling </w:t>
      </w:r>
      <w:r>
        <w:rPr>
          <w:i/>
          <w:sz w:val="24"/>
        </w:rPr>
        <w:t>times </w:t>
      </w:r>
      <w:r>
        <w:rPr>
          <w:sz w:val="24"/>
        </w:rPr>
        <w:t>for </w:t>
      </w:r>
      <w:r>
        <w:rPr>
          <w:i/>
          <w:sz w:val="24"/>
        </w:rPr>
        <w:t>active power</w:t>
      </w:r>
      <w:r>
        <w:rPr>
          <w:sz w:val="24"/>
        </w:rPr>
        <w:t>, </w:t>
      </w:r>
      <w:r>
        <w:rPr>
          <w:i/>
          <w:sz w:val="24"/>
        </w:rPr>
        <w:t>reactive power </w:t>
      </w:r>
      <w:r>
        <w:rPr>
          <w:sz w:val="24"/>
        </w:rPr>
        <w:t>and </w:t>
      </w:r>
      <w:r>
        <w:rPr>
          <w:i/>
          <w:sz w:val="24"/>
        </w:rPr>
        <w:t>voltage </w:t>
      </w:r>
      <w:r>
        <w:rPr>
          <w:sz w:val="24"/>
        </w:rPr>
        <w:t>due to a step change of </w:t>
      </w:r>
      <w:r>
        <w:rPr>
          <w:i/>
          <w:sz w:val="24"/>
        </w:rPr>
        <w:t>voltage </w:t>
      </w:r>
      <w:r>
        <w:rPr>
          <w:sz w:val="24"/>
        </w:rPr>
        <w:t>setpoint or </w:t>
      </w:r>
      <w:r>
        <w:rPr>
          <w:i/>
          <w:sz w:val="24"/>
        </w:rPr>
        <w:t>voltage </w:t>
      </w:r>
      <w:r>
        <w:rPr>
          <w:sz w:val="24"/>
        </w:rPr>
        <w:t>at the location agreed under clause subparagraph (2B)(i), of less</w:t>
      </w:r>
      <w:r>
        <w:rPr>
          <w:spacing w:val="-6"/>
          <w:sz w:val="24"/>
        </w:rPr>
        <w:t> </w:t>
      </w:r>
      <w:r>
        <w:rPr>
          <w:sz w:val="24"/>
        </w:rPr>
        <w:t>than:</w:t>
      </w:r>
    </w:p>
    <w:p>
      <w:pPr>
        <w:pStyle w:val="ListParagraph"/>
        <w:numPr>
          <w:ilvl w:val="3"/>
          <w:numId w:val="296"/>
        </w:numPr>
        <w:tabs>
          <w:tab w:pos="3620" w:val="left" w:leader="none"/>
        </w:tabs>
        <w:spacing w:line="240" w:lineRule="auto" w:before="120" w:after="0"/>
        <w:ind w:left="3620" w:right="416" w:hanging="567"/>
        <w:jc w:val="both"/>
        <w:rPr>
          <w:sz w:val="24"/>
        </w:rPr>
      </w:pPr>
      <w:r>
        <w:rPr>
          <w:sz w:val="24"/>
        </w:rPr>
        <w:t>5.0 seconds for a 5% </w:t>
      </w:r>
      <w:r>
        <w:rPr>
          <w:i/>
          <w:sz w:val="24"/>
        </w:rPr>
        <w:t>voltage </w:t>
      </w:r>
      <w:r>
        <w:rPr>
          <w:sz w:val="24"/>
        </w:rPr>
        <w:t>disturbance with the </w:t>
      </w:r>
      <w:r>
        <w:rPr>
          <w:i/>
          <w:sz w:val="24"/>
        </w:rPr>
        <w:t>generating system connected </w:t>
      </w:r>
      <w:r>
        <w:rPr>
          <w:sz w:val="24"/>
        </w:rPr>
        <w:t>to the </w:t>
      </w:r>
      <w:r>
        <w:rPr>
          <w:i/>
          <w:sz w:val="24"/>
        </w:rPr>
        <w:t>power system</w:t>
      </w:r>
      <w:r>
        <w:rPr>
          <w:sz w:val="24"/>
        </w:rPr>
        <w:t>, from an operating point where the </w:t>
      </w:r>
      <w:r>
        <w:rPr>
          <w:i/>
          <w:sz w:val="24"/>
        </w:rPr>
        <w:t>voltage </w:t>
      </w:r>
      <w:r>
        <w:rPr>
          <w:sz w:val="24"/>
        </w:rPr>
        <w:t>disturbance would not cause any limiting device to operate;</w:t>
      </w:r>
      <w:r>
        <w:rPr>
          <w:spacing w:val="-2"/>
          <w:sz w:val="24"/>
        </w:rPr>
        <w:t> </w:t>
      </w:r>
      <w:r>
        <w:rPr>
          <w:sz w:val="24"/>
        </w:rPr>
        <w:t>and</w:t>
      </w:r>
    </w:p>
    <w:p>
      <w:pPr>
        <w:pStyle w:val="ListParagraph"/>
        <w:numPr>
          <w:ilvl w:val="3"/>
          <w:numId w:val="296"/>
        </w:numPr>
        <w:tabs>
          <w:tab w:pos="3621" w:val="left" w:leader="none"/>
        </w:tabs>
        <w:spacing w:line="240" w:lineRule="auto" w:before="120" w:after="0"/>
        <w:ind w:left="3620" w:right="415" w:hanging="567"/>
        <w:jc w:val="both"/>
        <w:rPr>
          <w:sz w:val="24"/>
        </w:rPr>
      </w:pPr>
      <w:r>
        <w:rPr>
          <w:sz w:val="24"/>
        </w:rPr>
        <w:t>7.5 seconds for a 5% </w:t>
      </w:r>
      <w:r>
        <w:rPr>
          <w:i/>
          <w:sz w:val="24"/>
        </w:rPr>
        <w:t>voltage </w:t>
      </w:r>
      <w:r>
        <w:rPr>
          <w:sz w:val="24"/>
        </w:rPr>
        <w:t>disturbance with the </w:t>
      </w:r>
      <w:r>
        <w:rPr>
          <w:i/>
          <w:sz w:val="24"/>
        </w:rPr>
        <w:t>generating system connected </w:t>
      </w:r>
      <w:r>
        <w:rPr>
          <w:sz w:val="24"/>
        </w:rPr>
        <w:t>to the </w:t>
      </w:r>
      <w:r>
        <w:rPr>
          <w:i/>
          <w:sz w:val="24"/>
        </w:rPr>
        <w:t>power system</w:t>
      </w:r>
      <w:r>
        <w:rPr>
          <w:sz w:val="24"/>
        </w:rPr>
        <w:t>, when operating into any limiting device from an operating point where a </w:t>
      </w:r>
      <w:r>
        <w:rPr>
          <w:i/>
          <w:sz w:val="24"/>
        </w:rPr>
        <w:t>voltage </w:t>
      </w:r>
      <w:r>
        <w:rPr>
          <w:sz w:val="24"/>
        </w:rPr>
        <w:t>disturbance of 2.5% would just cause the limiting device to</w:t>
      </w:r>
      <w:r>
        <w:rPr>
          <w:spacing w:val="-2"/>
          <w:sz w:val="24"/>
        </w:rPr>
        <w:t> </w:t>
      </w:r>
      <w:r>
        <w:rPr>
          <w:sz w:val="24"/>
        </w:rPr>
        <w:t>operate;</w:t>
      </w:r>
    </w:p>
    <w:p>
      <w:pPr>
        <w:pStyle w:val="ListParagraph"/>
        <w:numPr>
          <w:ilvl w:val="2"/>
          <w:numId w:val="296"/>
        </w:numPr>
        <w:tabs>
          <w:tab w:pos="3053" w:val="left" w:leader="none"/>
        </w:tabs>
        <w:spacing w:line="240" w:lineRule="auto" w:before="120" w:after="0"/>
        <w:ind w:left="3052" w:right="0" w:hanging="567"/>
        <w:jc w:val="both"/>
        <w:rPr>
          <w:i/>
          <w:sz w:val="24"/>
        </w:rPr>
      </w:pPr>
      <w:r>
        <w:rPr>
          <w:sz w:val="24"/>
        </w:rPr>
        <w:t>has </w:t>
      </w:r>
      <w:r>
        <w:rPr>
          <w:i/>
          <w:sz w:val="24"/>
        </w:rPr>
        <w:t>reactive power </w:t>
      </w:r>
      <w:r>
        <w:rPr>
          <w:sz w:val="24"/>
        </w:rPr>
        <w:t>rise time, for a 5% step change in the</w:t>
      </w:r>
      <w:r>
        <w:rPr>
          <w:spacing w:val="17"/>
          <w:sz w:val="24"/>
        </w:rPr>
        <w:t> </w:t>
      </w:r>
      <w:r>
        <w:rPr>
          <w:i/>
          <w:sz w:val="24"/>
        </w:rPr>
        <w:t>voltage</w:t>
      </w:r>
    </w:p>
    <w:p>
      <w:pPr>
        <w:pStyle w:val="BodyText"/>
        <w:spacing w:before="0"/>
        <w:ind w:left="3053" w:firstLine="0"/>
      </w:pPr>
      <w:r>
        <w:rPr/>
        <w:t>setpoint, of less than 2 seconds; and</w:t>
      </w:r>
    </w:p>
    <w:p>
      <w:pPr>
        <w:pStyle w:val="ListParagraph"/>
        <w:numPr>
          <w:ilvl w:val="2"/>
          <w:numId w:val="296"/>
        </w:numPr>
        <w:tabs>
          <w:tab w:pos="3053" w:val="left" w:leader="none"/>
        </w:tabs>
        <w:spacing w:line="240" w:lineRule="auto" w:before="120" w:after="0"/>
        <w:ind w:left="3053" w:right="417" w:hanging="567"/>
        <w:jc w:val="both"/>
        <w:rPr>
          <w:sz w:val="24"/>
        </w:rPr>
      </w:pPr>
      <w:r>
        <w:rPr>
          <w:sz w:val="24"/>
        </w:rPr>
        <w:t>has a power oscillation damping capability with sufficient flexibility to enable damping performance to be</w:t>
      </w:r>
      <w:r>
        <w:rPr>
          <w:spacing w:val="-3"/>
          <w:sz w:val="24"/>
        </w:rPr>
        <w:t> </w:t>
      </w:r>
      <w:r>
        <w:rPr>
          <w:sz w:val="24"/>
        </w:rPr>
        <w:t>maximised:</w:t>
      </w:r>
    </w:p>
    <w:p>
      <w:pPr>
        <w:pStyle w:val="ListParagraph"/>
        <w:numPr>
          <w:ilvl w:val="3"/>
          <w:numId w:val="296"/>
        </w:numPr>
        <w:tabs>
          <w:tab w:pos="3620" w:val="left" w:leader="none"/>
        </w:tabs>
        <w:spacing w:line="240" w:lineRule="auto" w:before="120" w:after="0"/>
        <w:ind w:left="3619" w:right="0" w:hanging="567"/>
        <w:jc w:val="both"/>
        <w:rPr>
          <w:sz w:val="24"/>
        </w:rPr>
      </w:pPr>
      <w:r>
        <w:rPr>
          <w:sz w:val="24"/>
        </w:rPr>
        <w:t>with characteristics as described in paragraph (c);</w:t>
      </w:r>
      <w:r>
        <w:rPr>
          <w:spacing w:val="-1"/>
          <w:sz w:val="24"/>
        </w:rPr>
        <w:t> </w:t>
      </w:r>
      <w:r>
        <w:rPr>
          <w:sz w:val="24"/>
        </w:rPr>
        <w:t>or</w:t>
      </w:r>
    </w:p>
    <w:p>
      <w:pPr>
        <w:pStyle w:val="ListParagraph"/>
        <w:numPr>
          <w:ilvl w:val="3"/>
          <w:numId w:val="296"/>
        </w:numPr>
        <w:tabs>
          <w:tab w:pos="3621" w:val="left" w:leader="none"/>
        </w:tabs>
        <w:spacing w:line="240" w:lineRule="auto" w:before="120" w:after="0"/>
        <w:ind w:left="3620" w:right="415" w:hanging="567"/>
        <w:jc w:val="both"/>
        <w:rPr>
          <w:sz w:val="24"/>
        </w:rPr>
      </w:pPr>
      <w:r>
        <w:rPr>
          <w:sz w:val="24"/>
        </w:rPr>
        <w:t>where </w:t>
      </w:r>
      <w:r>
        <w:rPr>
          <w:i/>
          <w:sz w:val="24"/>
        </w:rPr>
        <w:t>AEMO </w:t>
      </w:r>
      <w:r>
        <w:rPr>
          <w:sz w:val="24"/>
        </w:rPr>
        <w:t>has published characteristics for </w:t>
      </w:r>
      <w:r>
        <w:rPr>
          <w:spacing w:val="-11"/>
          <w:sz w:val="24"/>
        </w:rPr>
        <w:t>a </w:t>
      </w:r>
      <w:r>
        <w:rPr>
          <w:i/>
          <w:sz w:val="24"/>
        </w:rPr>
        <w:t>generating system </w:t>
      </w:r>
      <w:r>
        <w:rPr>
          <w:sz w:val="24"/>
        </w:rPr>
        <w:t>other than one comprised of </w:t>
      </w:r>
      <w:r>
        <w:rPr>
          <w:i/>
          <w:sz w:val="24"/>
        </w:rPr>
        <w:t>synchronous generating units</w:t>
      </w:r>
      <w:r>
        <w:rPr>
          <w:sz w:val="24"/>
        </w:rPr>
        <w:t>, following consultation in accordance with the </w:t>
      </w:r>
      <w:r>
        <w:rPr>
          <w:i/>
          <w:sz w:val="24"/>
        </w:rPr>
        <w:t>Rules consultation procedures</w:t>
      </w:r>
      <w:r>
        <w:rPr>
          <w:sz w:val="24"/>
        </w:rPr>
        <w:t>, with characteristics as published by</w:t>
      </w:r>
      <w:r>
        <w:rPr>
          <w:spacing w:val="-1"/>
          <w:sz w:val="24"/>
        </w:rPr>
        <w:t> </w:t>
      </w:r>
      <w:r>
        <w:rPr>
          <w:i/>
          <w:sz w:val="24"/>
        </w:rPr>
        <w:t>AEMO</w:t>
      </w:r>
      <w:r>
        <w:rPr>
          <w:sz w:val="24"/>
        </w:rPr>
        <w:t>.</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A </w:t>
      </w:r>
      <w:r>
        <w:rPr>
          <w:i/>
          <w:sz w:val="24"/>
        </w:rPr>
        <w:t>power system </w:t>
      </w:r>
      <w:r>
        <w:rPr>
          <w:sz w:val="24"/>
        </w:rPr>
        <w:t>stabiliser provided under paragraph (b) must</w:t>
      </w:r>
      <w:r>
        <w:rPr>
          <w:spacing w:val="-5"/>
          <w:sz w:val="24"/>
        </w:rPr>
        <w:t> </w:t>
      </w:r>
      <w:r>
        <w:rPr>
          <w:sz w:val="24"/>
        </w:rPr>
        <w:t>have:</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for a </w:t>
      </w:r>
      <w:r>
        <w:rPr>
          <w:i/>
          <w:sz w:val="24"/>
        </w:rPr>
        <w:t>synchronous generating unit</w:t>
      </w:r>
      <w:r>
        <w:rPr>
          <w:sz w:val="24"/>
        </w:rPr>
        <w:t>, measurements of rotor speed and </w:t>
      </w:r>
      <w:r>
        <w:rPr>
          <w:i/>
          <w:sz w:val="24"/>
        </w:rPr>
        <w:t>active power </w:t>
      </w:r>
      <w:r>
        <w:rPr>
          <w:sz w:val="24"/>
        </w:rPr>
        <w:t>output of the </w:t>
      </w:r>
      <w:r>
        <w:rPr>
          <w:i/>
          <w:sz w:val="24"/>
        </w:rPr>
        <w:t>generating unit </w:t>
      </w:r>
      <w:r>
        <w:rPr>
          <w:sz w:val="24"/>
        </w:rPr>
        <w:t>as inputs, and otherwise, measurements of </w:t>
      </w:r>
      <w:r>
        <w:rPr>
          <w:i/>
          <w:sz w:val="24"/>
        </w:rPr>
        <w:t>power system frequency </w:t>
      </w:r>
      <w:r>
        <w:rPr>
          <w:sz w:val="24"/>
        </w:rPr>
        <w:t>and </w:t>
      </w:r>
      <w:r>
        <w:rPr>
          <w:i/>
          <w:sz w:val="24"/>
        </w:rPr>
        <w:t>active power </w:t>
      </w:r>
      <w:r>
        <w:rPr>
          <w:sz w:val="24"/>
        </w:rPr>
        <w:t>output of the </w:t>
      </w:r>
      <w:r>
        <w:rPr>
          <w:i/>
          <w:sz w:val="24"/>
        </w:rPr>
        <w:t>generating unit </w:t>
      </w:r>
      <w:r>
        <w:rPr>
          <w:sz w:val="24"/>
        </w:rPr>
        <w:t>as</w:t>
      </w:r>
      <w:r>
        <w:rPr>
          <w:spacing w:val="-1"/>
          <w:sz w:val="24"/>
        </w:rPr>
        <w:t> </w:t>
      </w:r>
      <w:r>
        <w:rPr>
          <w:sz w:val="24"/>
        </w:rPr>
        <w:t>inputs;</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two washout filters for each input, with ability to bypass one of them if</w:t>
      </w:r>
      <w:r>
        <w:rPr>
          <w:spacing w:val="-1"/>
          <w:sz w:val="24"/>
        </w:rPr>
        <w:t> </w:t>
      </w:r>
      <w:r>
        <w:rPr>
          <w:sz w:val="24"/>
        </w:rPr>
        <w:t>necessary;</w:t>
      </w:r>
    </w:p>
    <w:p>
      <w:pPr>
        <w:pStyle w:val="ListParagraph"/>
        <w:numPr>
          <w:ilvl w:val="1"/>
          <w:numId w:val="296"/>
        </w:numPr>
        <w:tabs>
          <w:tab w:pos="2486" w:val="left" w:leader="none"/>
        </w:tabs>
        <w:spacing w:line="240" w:lineRule="auto" w:before="120" w:after="0"/>
        <w:ind w:left="2486" w:right="414" w:hanging="567"/>
        <w:jc w:val="both"/>
        <w:rPr>
          <w:sz w:val="24"/>
        </w:rPr>
      </w:pPr>
      <w:r>
        <w:rPr>
          <w:sz w:val="24"/>
        </w:rPr>
        <w:t>sufficient (and not less than two) lead-lag transfer function blocks (or equivalent number of complex poles and zeros) with adjustable gain</w:t>
      </w:r>
    </w:p>
    <w:p>
      <w:pPr>
        <w:spacing w:after="0" w:line="240" w:lineRule="auto"/>
        <w:jc w:val="both"/>
        <w:rPr>
          <w:sz w:val="24"/>
        </w:rPr>
        <w:sectPr>
          <w:pgSz w:w="11910" w:h="16840"/>
          <w:pgMar w:header="686" w:footer="637" w:top="1320" w:bottom="820" w:left="1200" w:right="1000"/>
        </w:sectPr>
      </w:pPr>
    </w:p>
    <w:p>
      <w:pPr>
        <w:pStyle w:val="BodyText"/>
        <w:spacing w:before="83"/>
        <w:ind w:left="2486" w:firstLine="0"/>
      </w:pPr>
      <w:r>
        <w:rPr/>
        <w:t>and time-constants, to compensate fully for the phase lags due to the</w:t>
      </w:r>
    </w:p>
    <w:p>
      <w:pPr>
        <w:spacing w:before="0"/>
        <w:ind w:left="2486" w:right="0" w:firstLine="0"/>
        <w:jc w:val="both"/>
        <w:rPr>
          <w:sz w:val="24"/>
        </w:rPr>
      </w:pPr>
      <w:r>
        <w:rPr>
          <w:i/>
          <w:sz w:val="24"/>
        </w:rPr>
        <w:t>generating plant</w:t>
      </w:r>
      <w:r>
        <w:rPr>
          <w:sz w:val="24"/>
        </w:rPr>
        <w:t>;</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an output limiter, which for a </w:t>
      </w:r>
      <w:r>
        <w:rPr>
          <w:i/>
          <w:sz w:val="24"/>
        </w:rPr>
        <w:t>synchronous generating unit </w:t>
      </w:r>
      <w:r>
        <w:rPr>
          <w:sz w:val="24"/>
        </w:rPr>
        <w:t>is continually adjustable over the range of –10% to +10% of stator </w:t>
      </w:r>
      <w:r>
        <w:rPr>
          <w:i/>
          <w:sz w:val="24"/>
        </w:rPr>
        <w:t>voltage</w:t>
      </w:r>
      <w:r>
        <w:rPr>
          <w:sz w:val="24"/>
        </w:rPr>
        <w:t>;</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monitoring and recording </w:t>
      </w:r>
      <w:r>
        <w:rPr>
          <w:i/>
          <w:sz w:val="24"/>
        </w:rPr>
        <w:t>facilities </w:t>
      </w:r>
      <w:r>
        <w:rPr>
          <w:sz w:val="24"/>
        </w:rPr>
        <w:t>for key variables including inputs, output and the inputs to the lead-lag transfer function blocks;</w:t>
      </w:r>
      <w:r>
        <w:rPr>
          <w:spacing w:val="-3"/>
          <w:sz w:val="24"/>
        </w:rPr>
        <w:t> </w:t>
      </w:r>
      <w:r>
        <w:rPr>
          <w:sz w:val="24"/>
        </w:rPr>
        <w:t>and</w:t>
      </w:r>
    </w:p>
    <w:p>
      <w:pPr>
        <w:pStyle w:val="ListParagraph"/>
        <w:numPr>
          <w:ilvl w:val="1"/>
          <w:numId w:val="296"/>
        </w:numPr>
        <w:tabs>
          <w:tab w:pos="2486" w:val="left" w:leader="none"/>
        </w:tabs>
        <w:spacing w:line="240" w:lineRule="auto" w:before="120" w:after="0"/>
        <w:ind w:left="2486" w:right="415" w:hanging="567"/>
        <w:jc w:val="both"/>
        <w:rPr>
          <w:sz w:val="24"/>
        </w:rPr>
      </w:pPr>
      <w:r>
        <w:rPr>
          <w:i/>
          <w:sz w:val="24"/>
        </w:rPr>
        <w:t>facilities </w:t>
      </w:r>
      <w:r>
        <w:rPr>
          <w:sz w:val="24"/>
        </w:rPr>
        <w:t>to permit testing of the </w:t>
      </w:r>
      <w:r>
        <w:rPr>
          <w:i/>
          <w:sz w:val="24"/>
        </w:rPr>
        <w:t>power system </w:t>
      </w:r>
      <w:r>
        <w:rPr>
          <w:sz w:val="24"/>
        </w:rPr>
        <w:t>stabiliser in isolation from the </w:t>
      </w:r>
      <w:r>
        <w:rPr>
          <w:i/>
          <w:sz w:val="24"/>
        </w:rPr>
        <w:t>power system </w:t>
      </w:r>
      <w:r>
        <w:rPr>
          <w:sz w:val="24"/>
        </w:rPr>
        <w:t>by injection of test signals, sufficient to establish the transfer function of the </w:t>
      </w:r>
      <w:r>
        <w:rPr>
          <w:i/>
          <w:sz w:val="24"/>
        </w:rPr>
        <w:t>power system</w:t>
      </w:r>
      <w:r>
        <w:rPr>
          <w:i/>
          <w:spacing w:val="-7"/>
          <w:sz w:val="24"/>
        </w:rPr>
        <w:t> </w:t>
      </w:r>
      <w:r>
        <w:rPr>
          <w:sz w:val="24"/>
        </w:rPr>
        <w:t>stabiliser.</w:t>
      </w:r>
    </w:p>
    <w:p>
      <w:pPr>
        <w:spacing w:before="120"/>
        <w:ind w:left="1919" w:right="416" w:hanging="567"/>
        <w:jc w:val="both"/>
        <w:rPr>
          <w:sz w:val="24"/>
        </w:rPr>
      </w:pPr>
      <w:r>
        <w:rPr>
          <w:sz w:val="24"/>
        </w:rPr>
        <w:t>(c1) A </w:t>
      </w:r>
      <w:r>
        <w:rPr>
          <w:i/>
          <w:sz w:val="24"/>
        </w:rPr>
        <w:t>reactive power </w:t>
      </w:r>
      <w:r>
        <w:rPr>
          <w:sz w:val="24"/>
        </w:rPr>
        <w:t>or </w:t>
      </w:r>
      <w:r>
        <w:rPr>
          <w:i/>
          <w:sz w:val="24"/>
        </w:rPr>
        <w:t>power factor control system </w:t>
      </w:r>
      <w:r>
        <w:rPr>
          <w:sz w:val="24"/>
        </w:rPr>
        <w:t>provided under paragraph (b)(2A) must:</w:t>
      </w:r>
    </w:p>
    <w:p>
      <w:pPr>
        <w:pStyle w:val="ListParagraph"/>
        <w:numPr>
          <w:ilvl w:val="0"/>
          <w:numId w:val="299"/>
        </w:numPr>
        <w:tabs>
          <w:tab w:pos="2486" w:val="left" w:leader="none"/>
        </w:tabs>
        <w:spacing w:line="240" w:lineRule="auto" w:before="120" w:after="0"/>
        <w:ind w:left="2486" w:right="415" w:hanging="567"/>
        <w:jc w:val="both"/>
        <w:rPr>
          <w:sz w:val="24"/>
        </w:rPr>
      </w:pPr>
      <w:r>
        <w:rPr>
          <w:sz w:val="24"/>
        </w:rPr>
        <w:t>regulate </w:t>
      </w:r>
      <w:r>
        <w:rPr>
          <w:i/>
          <w:sz w:val="24"/>
        </w:rPr>
        <w:t>reactive power </w:t>
      </w:r>
      <w:r>
        <w:rPr>
          <w:sz w:val="24"/>
        </w:rPr>
        <w:t>or </w:t>
      </w:r>
      <w:r>
        <w:rPr>
          <w:i/>
          <w:sz w:val="24"/>
        </w:rPr>
        <w:t>power factor </w:t>
      </w:r>
      <w:r>
        <w:rPr>
          <w:sz w:val="24"/>
        </w:rPr>
        <w:t>(as applicable) at the </w:t>
      </w:r>
      <w:r>
        <w:rPr>
          <w:i/>
          <w:sz w:val="24"/>
        </w:rPr>
        <w:t>connection point </w:t>
      </w:r>
      <w:r>
        <w:rPr>
          <w:sz w:val="24"/>
        </w:rPr>
        <w:t>or another agreed location in the </w:t>
      </w:r>
      <w:r>
        <w:rPr>
          <w:i/>
          <w:sz w:val="24"/>
        </w:rPr>
        <w:t>power system </w:t>
      </w:r>
      <w:r>
        <w:rPr>
          <w:sz w:val="24"/>
        </w:rPr>
        <w:t>(including within the </w:t>
      </w:r>
      <w:r>
        <w:rPr>
          <w:i/>
          <w:sz w:val="24"/>
        </w:rPr>
        <w:t>generating system</w:t>
      </w:r>
      <w:r>
        <w:rPr>
          <w:sz w:val="24"/>
        </w:rPr>
        <w:t>), to</w:t>
      </w:r>
      <w:r>
        <w:rPr>
          <w:spacing w:val="-3"/>
          <w:sz w:val="24"/>
        </w:rPr>
        <w:t> </w:t>
      </w:r>
      <w:r>
        <w:rPr>
          <w:sz w:val="24"/>
        </w:rPr>
        <w:t>within:</w:t>
      </w:r>
    </w:p>
    <w:p>
      <w:pPr>
        <w:pStyle w:val="ListParagraph"/>
        <w:numPr>
          <w:ilvl w:val="1"/>
          <w:numId w:val="299"/>
        </w:numPr>
        <w:tabs>
          <w:tab w:pos="3053" w:val="left" w:leader="none"/>
        </w:tabs>
        <w:spacing w:line="240" w:lineRule="auto" w:before="120" w:after="0"/>
        <w:ind w:left="3053" w:right="416" w:hanging="567"/>
        <w:jc w:val="both"/>
        <w:rPr>
          <w:sz w:val="24"/>
        </w:rPr>
      </w:pPr>
      <w:r>
        <w:rPr>
          <w:sz w:val="24"/>
        </w:rPr>
        <w:t>for a </w:t>
      </w:r>
      <w:r>
        <w:rPr>
          <w:i/>
          <w:sz w:val="24"/>
        </w:rPr>
        <w:t>generating system </w:t>
      </w:r>
      <w:r>
        <w:rPr>
          <w:sz w:val="24"/>
        </w:rPr>
        <w:t>operating in </w:t>
      </w:r>
      <w:r>
        <w:rPr>
          <w:i/>
          <w:sz w:val="24"/>
        </w:rPr>
        <w:t>reactive power </w:t>
      </w:r>
      <w:r>
        <w:rPr>
          <w:sz w:val="24"/>
        </w:rPr>
        <w:t>mode, 2% of the rating (in MVA) of the </w:t>
      </w:r>
      <w:r>
        <w:rPr>
          <w:i/>
          <w:sz w:val="24"/>
        </w:rPr>
        <w:t>generating system </w:t>
      </w:r>
      <w:r>
        <w:rPr>
          <w:sz w:val="24"/>
        </w:rPr>
        <w:t>(expressed in MVAr);</w:t>
      </w:r>
      <w:r>
        <w:rPr>
          <w:spacing w:val="-2"/>
          <w:sz w:val="24"/>
        </w:rPr>
        <w:t> </w:t>
      </w:r>
      <w:r>
        <w:rPr>
          <w:sz w:val="24"/>
        </w:rPr>
        <w:t>or</w:t>
      </w:r>
    </w:p>
    <w:p>
      <w:pPr>
        <w:pStyle w:val="ListParagraph"/>
        <w:numPr>
          <w:ilvl w:val="1"/>
          <w:numId w:val="299"/>
        </w:numPr>
        <w:tabs>
          <w:tab w:pos="3054" w:val="left" w:leader="none"/>
        </w:tabs>
        <w:spacing w:line="240" w:lineRule="auto" w:before="120" w:after="0"/>
        <w:ind w:left="3053" w:right="415" w:hanging="567"/>
        <w:jc w:val="both"/>
        <w:rPr>
          <w:sz w:val="24"/>
        </w:rPr>
      </w:pPr>
      <w:r>
        <w:rPr>
          <w:sz w:val="24"/>
        </w:rPr>
        <w:t>for a </w:t>
      </w:r>
      <w:r>
        <w:rPr>
          <w:i/>
          <w:sz w:val="24"/>
        </w:rPr>
        <w:t>generating system </w:t>
      </w:r>
      <w:r>
        <w:rPr>
          <w:sz w:val="24"/>
        </w:rPr>
        <w:t>operating in </w:t>
      </w:r>
      <w:r>
        <w:rPr>
          <w:i/>
          <w:sz w:val="24"/>
        </w:rPr>
        <w:t>power factor </w:t>
      </w:r>
      <w:r>
        <w:rPr>
          <w:sz w:val="24"/>
        </w:rPr>
        <w:t>mode, a </w:t>
      </w:r>
      <w:r>
        <w:rPr>
          <w:i/>
          <w:sz w:val="24"/>
        </w:rPr>
        <w:t>power </w:t>
      </w:r>
      <w:r>
        <w:rPr>
          <w:i/>
          <w:sz w:val="24"/>
        </w:rPr>
        <w:t>factor </w:t>
      </w:r>
      <w:r>
        <w:rPr>
          <w:sz w:val="24"/>
        </w:rPr>
        <w:t>equivalent to 2% of the rating (in MVA) of the </w:t>
      </w:r>
      <w:r>
        <w:rPr>
          <w:i/>
          <w:sz w:val="24"/>
        </w:rPr>
        <w:t>generating </w:t>
      </w:r>
      <w:r>
        <w:rPr>
          <w:i/>
          <w:sz w:val="24"/>
        </w:rPr>
        <w:t>system </w:t>
      </w:r>
      <w:r>
        <w:rPr>
          <w:sz w:val="24"/>
        </w:rPr>
        <w:t>(expressed in</w:t>
      </w:r>
      <w:r>
        <w:rPr>
          <w:spacing w:val="-2"/>
          <w:sz w:val="24"/>
        </w:rPr>
        <w:t> </w:t>
      </w:r>
      <w:r>
        <w:rPr>
          <w:sz w:val="24"/>
        </w:rPr>
        <w:t>MVAr);</w:t>
      </w:r>
    </w:p>
    <w:p>
      <w:pPr>
        <w:pStyle w:val="ListParagraph"/>
        <w:numPr>
          <w:ilvl w:val="0"/>
          <w:numId w:val="299"/>
        </w:numPr>
        <w:tabs>
          <w:tab w:pos="2486" w:val="left" w:leader="none"/>
        </w:tabs>
        <w:spacing w:line="240" w:lineRule="auto" w:before="120" w:after="0"/>
        <w:ind w:left="2486" w:right="415" w:hanging="567"/>
        <w:jc w:val="both"/>
        <w:rPr>
          <w:sz w:val="24"/>
        </w:rPr>
      </w:pPr>
      <w:r>
        <w:rPr>
          <w:sz w:val="24"/>
        </w:rPr>
        <w:t>allow the </w:t>
      </w:r>
      <w:r>
        <w:rPr>
          <w:i/>
          <w:sz w:val="24"/>
        </w:rPr>
        <w:t>reactive power </w:t>
      </w:r>
      <w:r>
        <w:rPr>
          <w:sz w:val="24"/>
        </w:rPr>
        <w:t>or </w:t>
      </w:r>
      <w:r>
        <w:rPr>
          <w:i/>
          <w:sz w:val="24"/>
        </w:rPr>
        <w:t>power factor </w:t>
      </w:r>
      <w:r>
        <w:rPr>
          <w:sz w:val="24"/>
        </w:rPr>
        <w:t>setpoint to be continuously controllable across the </w:t>
      </w:r>
      <w:r>
        <w:rPr>
          <w:i/>
          <w:sz w:val="24"/>
        </w:rPr>
        <w:t>reactive power </w:t>
      </w:r>
      <w:r>
        <w:rPr>
          <w:sz w:val="24"/>
        </w:rPr>
        <w:t>capability range established under clause S5.2.5.1;</w:t>
      </w:r>
      <w:r>
        <w:rPr>
          <w:spacing w:val="-3"/>
          <w:sz w:val="24"/>
        </w:rPr>
        <w:t> </w:t>
      </w:r>
      <w:r>
        <w:rPr>
          <w:sz w:val="24"/>
        </w:rPr>
        <w:t>and</w:t>
      </w:r>
    </w:p>
    <w:p>
      <w:pPr>
        <w:pStyle w:val="ListParagraph"/>
        <w:numPr>
          <w:ilvl w:val="0"/>
          <w:numId w:val="299"/>
        </w:numPr>
        <w:tabs>
          <w:tab w:pos="2486" w:val="left" w:leader="none"/>
        </w:tabs>
        <w:spacing w:line="240" w:lineRule="auto" w:before="120" w:after="0"/>
        <w:ind w:left="2486" w:right="415" w:hanging="567"/>
        <w:jc w:val="both"/>
        <w:rPr>
          <w:sz w:val="24"/>
        </w:rPr>
      </w:pPr>
      <w:r>
        <w:rPr>
          <w:sz w:val="24"/>
        </w:rPr>
        <w:t>with the </w:t>
      </w:r>
      <w:r>
        <w:rPr>
          <w:i/>
          <w:sz w:val="24"/>
        </w:rPr>
        <w:t>generating system connected </w:t>
      </w:r>
      <w:r>
        <w:rPr>
          <w:sz w:val="24"/>
        </w:rPr>
        <w:t>to the </w:t>
      </w:r>
      <w:r>
        <w:rPr>
          <w:i/>
          <w:sz w:val="24"/>
        </w:rPr>
        <w:t>power system</w:t>
      </w:r>
      <w:r>
        <w:rPr>
          <w:sz w:val="24"/>
        </w:rPr>
        <w:t>, and for a step change in setpoint of at least 50% of the </w:t>
      </w:r>
      <w:r>
        <w:rPr>
          <w:i/>
          <w:sz w:val="24"/>
        </w:rPr>
        <w:t>reactive power </w:t>
      </w:r>
      <w:r>
        <w:rPr>
          <w:sz w:val="24"/>
        </w:rPr>
        <w:t>capability agreed with </w:t>
      </w:r>
      <w:r>
        <w:rPr>
          <w:i/>
          <w:sz w:val="24"/>
        </w:rPr>
        <w:t>AEMO </w:t>
      </w:r>
      <w:r>
        <w:rPr>
          <w:sz w:val="24"/>
        </w:rPr>
        <w:t>and the </w:t>
      </w:r>
      <w:r>
        <w:rPr>
          <w:i/>
          <w:sz w:val="24"/>
        </w:rPr>
        <w:t>Network Service Provider </w:t>
      </w:r>
      <w:r>
        <w:rPr>
          <w:sz w:val="24"/>
        </w:rPr>
        <w:t>under clause S5.2.5.1, or a 5% </w:t>
      </w:r>
      <w:r>
        <w:rPr>
          <w:i/>
          <w:sz w:val="24"/>
        </w:rPr>
        <w:t>voltage </w:t>
      </w:r>
      <w:r>
        <w:rPr>
          <w:sz w:val="24"/>
        </w:rPr>
        <w:t>disturbance at the location agreed under subparagraph</w:t>
      </w:r>
      <w:r>
        <w:rPr>
          <w:spacing w:val="-2"/>
          <w:sz w:val="24"/>
        </w:rPr>
        <w:t> </w:t>
      </w:r>
      <w:r>
        <w:rPr>
          <w:sz w:val="24"/>
        </w:rPr>
        <w:t>(1):</w:t>
      </w:r>
    </w:p>
    <w:p>
      <w:pPr>
        <w:pStyle w:val="ListParagraph"/>
        <w:numPr>
          <w:ilvl w:val="1"/>
          <w:numId w:val="299"/>
        </w:numPr>
        <w:tabs>
          <w:tab w:pos="3053" w:val="left" w:leader="none"/>
        </w:tabs>
        <w:spacing w:line="240" w:lineRule="auto" w:before="120" w:after="0"/>
        <w:ind w:left="3053" w:right="416" w:hanging="567"/>
        <w:jc w:val="both"/>
        <w:rPr>
          <w:sz w:val="24"/>
        </w:rPr>
      </w:pPr>
      <w:r>
        <w:rPr>
          <w:sz w:val="24"/>
        </w:rPr>
        <w:t>have </w:t>
      </w:r>
      <w:r>
        <w:rPr>
          <w:i/>
          <w:sz w:val="24"/>
        </w:rPr>
        <w:t>settling times </w:t>
      </w:r>
      <w:r>
        <w:rPr>
          <w:sz w:val="24"/>
        </w:rPr>
        <w:t>for </w:t>
      </w:r>
      <w:r>
        <w:rPr>
          <w:i/>
          <w:sz w:val="24"/>
        </w:rPr>
        <w:t>active power</w:t>
      </w:r>
      <w:r>
        <w:rPr>
          <w:sz w:val="24"/>
        </w:rPr>
        <w:t>, </w:t>
      </w:r>
      <w:r>
        <w:rPr>
          <w:i/>
          <w:sz w:val="24"/>
        </w:rPr>
        <w:t>reactive power </w:t>
      </w:r>
      <w:r>
        <w:rPr>
          <w:sz w:val="24"/>
        </w:rPr>
        <w:t>and </w:t>
      </w:r>
      <w:r>
        <w:rPr>
          <w:i/>
          <w:sz w:val="24"/>
        </w:rPr>
        <w:t>voltage </w:t>
      </w:r>
      <w:r>
        <w:rPr>
          <w:sz w:val="24"/>
        </w:rPr>
        <w:t>of less than 5.0 seconds from an operating point where the </w:t>
      </w:r>
      <w:r>
        <w:rPr>
          <w:i/>
          <w:sz w:val="24"/>
        </w:rPr>
        <w:t>voltage </w:t>
      </w:r>
      <w:r>
        <w:rPr>
          <w:sz w:val="24"/>
        </w:rPr>
        <w:t>disturbance would not cause any limiting device to operate;</w:t>
      </w:r>
      <w:r>
        <w:rPr>
          <w:spacing w:val="-1"/>
          <w:sz w:val="24"/>
        </w:rPr>
        <w:t> </w:t>
      </w:r>
      <w:r>
        <w:rPr>
          <w:sz w:val="24"/>
        </w:rPr>
        <w:t>and</w:t>
      </w:r>
    </w:p>
    <w:p>
      <w:pPr>
        <w:pStyle w:val="ListParagraph"/>
        <w:numPr>
          <w:ilvl w:val="1"/>
          <w:numId w:val="299"/>
        </w:numPr>
        <w:tabs>
          <w:tab w:pos="3054" w:val="left" w:leader="none"/>
        </w:tabs>
        <w:spacing w:line="240" w:lineRule="auto" w:before="120" w:after="0"/>
        <w:ind w:left="3053" w:right="415" w:hanging="567"/>
        <w:jc w:val="both"/>
        <w:rPr>
          <w:sz w:val="24"/>
        </w:rPr>
      </w:pPr>
      <w:r>
        <w:rPr>
          <w:sz w:val="24"/>
        </w:rPr>
        <w:t>have </w:t>
      </w:r>
      <w:r>
        <w:rPr>
          <w:i/>
          <w:sz w:val="24"/>
        </w:rPr>
        <w:t>settling times </w:t>
      </w:r>
      <w:r>
        <w:rPr>
          <w:sz w:val="24"/>
        </w:rPr>
        <w:t>for </w:t>
      </w:r>
      <w:r>
        <w:rPr>
          <w:i/>
          <w:sz w:val="24"/>
        </w:rPr>
        <w:t>active power</w:t>
      </w:r>
      <w:r>
        <w:rPr>
          <w:sz w:val="24"/>
        </w:rPr>
        <w:t>, </w:t>
      </w:r>
      <w:r>
        <w:rPr>
          <w:i/>
          <w:sz w:val="24"/>
        </w:rPr>
        <w:t>reactive power </w:t>
      </w:r>
      <w:r>
        <w:rPr>
          <w:sz w:val="24"/>
        </w:rPr>
        <w:t>and </w:t>
      </w:r>
      <w:r>
        <w:rPr>
          <w:i/>
          <w:sz w:val="24"/>
        </w:rPr>
        <w:t>voltage </w:t>
      </w:r>
      <w:r>
        <w:rPr>
          <w:sz w:val="24"/>
        </w:rPr>
        <w:t>of less than 7.5 seconds when operating into any limiting device from an operating point where a </w:t>
      </w:r>
      <w:r>
        <w:rPr>
          <w:i/>
          <w:sz w:val="24"/>
        </w:rPr>
        <w:t>voltage </w:t>
      </w:r>
      <w:r>
        <w:rPr>
          <w:sz w:val="24"/>
        </w:rPr>
        <w:t>disturbance of </w:t>
      </w:r>
      <w:r>
        <w:rPr>
          <w:spacing w:val="-3"/>
          <w:sz w:val="24"/>
        </w:rPr>
        <w:t>2.5%</w:t>
      </w:r>
      <w:r>
        <w:rPr>
          <w:spacing w:val="54"/>
          <w:sz w:val="24"/>
        </w:rPr>
        <w:t> </w:t>
      </w:r>
      <w:r>
        <w:rPr>
          <w:sz w:val="24"/>
        </w:rPr>
        <w:t>would just cause the limiting device to</w:t>
      </w:r>
      <w:r>
        <w:rPr>
          <w:spacing w:val="-4"/>
          <w:sz w:val="24"/>
        </w:rPr>
        <w:t> </w:t>
      </w:r>
      <w:r>
        <w:rPr>
          <w:sz w:val="24"/>
        </w:rPr>
        <w:t>operate.</w:t>
      </w:r>
    </w:p>
    <w:p>
      <w:pPr>
        <w:spacing w:before="120"/>
        <w:ind w:left="2486" w:right="416" w:firstLine="0"/>
        <w:jc w:val="both"/>
        <w:rPr>
          <w:sz w:val="24"/>
        </w:rPr>
      </w:pPr>
      <w:r>
        <w:rPr>
          <w:sz w:val="24"/>
        </w:rPr>
        <w:t>The </w:t>
      </w:r>
      <w:r>
        <w:rPr>
          <w:i/>
          <w:sz w:val="24"/>
        </w:rPr>
        <w:t>Network Service Provider </w:t>
      </w:r>
      <w:r>
        <w:rPr>
          <w:sz w:val="24"/>
        </w:rPr>
        <w:t>may determine whether to use a setpoint step test or a 5% </w:t>
      </w:r>
      <w:r>
        <w:rPr>
          <w:i/>
          <w:sz w:val="24"/>
        </w:rPr>
        <w:t>voltage </w:t>
      </w:r>
      <w:r>
        <w:rPr>
          <w:sz w:val="24"/>
        </w:rPr>
        <w:t>disturbance test for the purposes of this subparagraph</w:t>
      </w:r>
      <w:r>
        <w:rPr>
          <w:spacing w:val="-2"/>
          <w:sz w:val="24"/>
        </w:rPr>
        <w:t> </w:t>
      </w:r>
      <w:r>
        <w:rPr>
          <w:sz w:val="24"/>
        </w:rPr>
        <w:t>(c1)(3).</w:t>
      </w:r>
    </w:p>
    <w:p>
      <w:pPr>
        <w:spacing w:before="220"/>
        <w:ind w:left="1356" w:right="0" w:firstLine="0"/>
        <w:jc w:val="left"/>
        <w:rPr>
          <w:rFonts w:ascii="Arial"/>
          <w:b/>
          <w:sz w:val="22"/>
        </w:rPr>
      </w:pPr>
      <w:r>
        <w:rPr>
          <w:rFonts w:ascii="Arial"/>
          <w:b/>
          <w:sz w:val="22"/>
        </w:rPr>
        <w:t>Minimum access standard</w:t>
      </w:r>
    </w:p>
    <w:p>
      <w:pPr>
        <w:pStyle w:val="ListParagraph"/>
        <w:numPr>
          <w:ilvl w:val="0"/>
          <w:numId w:val="296"/>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minimum access standard</w:t>
      </w:r>
      <w:r>
        <w:rPr>
          <w:i/>
          <w:spacing w:val="-3"/>
          <w:sz w:val="24"/>
        </w:rPr>
        <w:t> </w:t>
      </w:r>
      <w:r>
        <w:rPr>
          <w:sz w:val="24"/>
        </w:rPr>
        <w:t>is:</w:t>
      </w:r>
    </w:p>
    <w:p>
      <w:pPr>
        <w:spacing w:after="0" w:line="240" w:lineRule="auto"/>
        <w:jc w:val="left"/>
        <w:rPr>
          <w:sz w:val="24"/>
        </w:rPr>
        <w:sectPr>
          <w:pgSz w:w="11910" w:h="16840"/>
          <w:pgMar w:header="686" w:footer="637" w:top="1320" w:bottom="820" w:left="1200" w:right="1000"/>
        </w:sectPr>
      </w:pPr>
    </w:p>
    <w:p>
      <w:pPr>
        <w:pStyle w:val="ListParagraph"/>
        <w:numPr>
          <w:ilvl w:val="1"/>
          <w:numId w:val="296"/>
        </w:numPr>
        <w:tabs>
          <w:tab w:pos="2486" w:val="left" w:leader="none"/>
        </w:tabs>
        <w:spacing w:line="240" w:lineRule="auto" w:before="83" w:after="0"/>
        <w:ind w:left="2486" w:right="414" w:hanging="567"/>
        <w:jc w:val="both"/>
        <w:rPr>
          <w:sz w:val="24"/>
        </w:rPr>
      </w:pPr>
      <w:r>
        <w:rPr>
          <w:sz w:val="24"/>
        </w:rPr>
        <w:t>a </w:t>
      </w:r>
      <w:r>
        <w:rPr>
          <w:i/>
          <w:sz w:val="24"/>
        </w:rPr>
        <w:t>generating system </w:t>
      </w:r>
      <w:r>
        <w:rPr>
          <w:sz w:val="24"/>
        </w:rPr>
        <w:t>must have </w:t>
      </w:r>
      <w:r>
        <w:rPr>
          <w:i/>
          <w:sz w:val="24"/>
        </w:rPr>
        <w:t>plant </w:t>
      </w:r>
      <w:r>
        <w:rPr>
          <w:sz w:val="24"/>
        </w:rPr>
        <w:t>capabilities and </w:t>
      </w:r>
      <w:r>
        <w:rPr>
          <w:i/>
          <w:sz w:val="24"/>
        </w:rPr>
        <w:t>control systems</w:t>
      </w:r>
      <w:r>
        <w:rPr>
          <w:sz w:val="24"/>
        </w:rPr>
        <w:t>, including, if appropriate, a </w:t>
      </w:r>
      <w:r>
        <w:rPr>
          <w:i/>
          <w:sz w:val="24"/>
        </w:rPr>
        <w:t>power system </w:t>
      </w:r>
      <w:r>
        <w:rPr>
          <w:sz w:val="24"/>
        </w:rPr>
        <w:t>stabiliser, sufficient to ensure that:</w:t>
      </w:r>
    </w:p>
    <w:p>
      <w:pPr>
        <w:pStyle w:val="ListParagraph"/>
        <w:numPr>
          <w:ilvl w:val="2"/>
          <w:numId w:val="296"/>
        </w:numPr>
        <w:tabs>
          <w:tab w:pos="3053" w:val="left" w:leader="none"/>
        </w:tabs>
        <w:spacing w:line="240" w:lineRule="auto" w:before="120" w:after="0"/>
        <w:ind w:left="3053" w:right="415" w:hanging="567"/>
        <w:jc w:val="both"/>
        <w:rPr>
          <w:sz w:val="24"/>
        </w:rPr>
      </w:pPr>
      <w:r>
        <w:rPr>
          <w:i/>
          <w:sz w:val="24"/>
        </w:rPr>
        <w:t>power system </w:t>
      </w:r>
      <w:r>
        <w:rPr>
          <w:sz w:val="24"/>
        </w:rPr>
        <w:t>oscillations, for the frequencies of oscillation of the </w:t>
      </w:r>
      <w:r>
        <w:rPr>
          <w:i/>
          <w:sz w:val="24"/>
        </w:rPr>
        <w:t>generating unit </w:t>
      </w:r>
      <w:r>
        <w:rPr>
          <w:sz w:val="24"/>
        </w:rPr>
        <w:t>against any other </w:t>
      </w:r>
      <w:r>
        <w:rPr>
          <w:i/>
          <w:sz w:val="24"/>
        </w:rPr>
        <w:t>generating unit</w:t>
      </w:r>
      <w:r>
        <w:rPr>
          <w:sz w:val="24"/>
        </w:rPr>
        <w:t>, are </w:t>
      </w:r>
      <w:r>
        <w:rPr>
          <w:i/>
          <w:sz w:val="24"/>
        </w:rPr>
        <w:t>adequately</w:t>
      </w:r>
      <w:r>
        <w:rPr>
          <w:i/>
          <w:spacing w:val="-1"/>
          <w:sz w:val="24"/>
        </w:rPr>
        <w:t> </w:t>
      </w:r>
      <w:r>
        <w:rPr>
          <w:i/>
          <w:sz w:val="24"/>
        </w:rPr>
        <w:t>damped</w:t>
      </w:r>
      <w:r>
        <w:rPr>
          <w:sz w:val="24"/>
        </w:rPr>
        <w:t>;</w:t>
      </w:r>
    </w:p>
    <w:p>
      <w:pPr>
        <w:pStyle w:val="ListParagraph"/>
        <w:numPr>
          <w:ilvl w:val="2"/>
          <w:numId w:val="296"/>
        </w:numPr>
        <w:tabs>
          <w:tab w:pos="3054" w:val="left" w:leader="none"/>
        </w:tabs>
        <w:spacing w:line="240" w:lineRule="auto" w:before="120" w:after="0"/>
        <w:ind w:left="3053" w:right="0" w:hanging="568"/>
        <w:jc w:val="both"/>
        <w:rPr>
          <w:sz w:val="24"/>
        </w:rPr>
      </w:pPr>
      <w:r>
        <w:rPr>
          <w:sz w:val="24"/>
        </w:rPr>
        <w:t>operation of the </w:t>
      </w:r>
      <w:r>
        <w:rPr>
          <w:i/>
          <w:sz w:val="24"/>
        </w:rPr>
        <w:t>generating unit </w:t>
      </w:r>
      <w:r>
        <w:rPr>
          <w:sz w:val="24"/>
        </w:rPr>
        <w:t>does not</w:t>
      </w:r>
      <w:r>
        <w:rPr>
          <w:spacing w:val="-1"/>
          <w:sz w:val="24"/>
        </w:rPr>
        <w:t> </w:t>
      </w:r>
      <w:r>
        <w:rPr>
          <w:sz w:val="24"/>
        </w:rPr>
        <w:t>degrade:</w:t>
      </w:r>
    </w:p>
    <w:p>
      <w:pPr>
        <w:pStyle w:val="ListParagraph"/>
        <w:numPr>
          <w:ilvl w:val="3"/>
          <w:numId w:val="296"/>
        </w:numPr>
        <w:tabs>
          <w:tab w:pos="3620" w:val="left" w:leader="none"/>
        </w:tabs>
        <w:spacing w:line="240" w:lineRule="auto" w:before="120" w:after="0"/>
        <w:ind w:left="3620" w:right="415" w:hanging="567"/>
        <w:jc w:val="both"/>
        <w:rPr>
          <w:sz w:val="24"/>
        </w:rPr>
      </w:pPr>
      <w:r>
        <w:rPr>
          <w:sz w:val="24"/>
        </w:rPr>
        <w:t>any mode of oscillation that is within 0.3 nepers per second of being unstable, by more than 0.01 nepers per second;</w:t>
      </w:r>
      <w:r>
        <w:rPr>
          <w:spacing w:val="-2"/>
          <w:sz w:val="24"/>
        </w:rPr>
        <w:t> </w:t>
      </w:r>
      <w:r>
        <w:rPr>
          <w:sz w:val="24"/>
        </w:rPr>
        <w:t>and</w:t>
      </w:r>
    </w:p>
    <w:p>
      <w:pPr>
        <w:pStyle w:val="ListParagraph"/>
        <w:numPr>
          <w:ilvl w:val="3"/>
          <w:numId w:val="296"/>
        </w:numPr>
        <w:tabs>
          <w:tab w:pos="3621" w:val="left" w:leader="none"/>
        </w:tabs>
        <w:spacing w:line="240" w:lineRule="auto" w:before="120" w:after="0"/>
        <w:ind w:left="3620" w:right="415" w:hanging="567"/>
        <w:jc w:val="both"/>
        <w:rPr>
          <w:sz w:val="24"/>
        </w:rPr>
      </w:pPr>
      <w:r>
        <w:rPr>
          <w:sz w:val="24"/>
        </w:rPr>
        <w:t>any other mode of oscillation to within 0.29 nepers per second of being unstable;</w:t>
      </w:r>
      <w:r>
        <w:rPr>
          <w:spacing w:val="-3"/>
          <w:sz w:val="24"/>
        </w:rPr>
        <w:t> </w:t>
      </w:r>
      <w:r>
        <w:rPr>
          <w:sz w:val="24"/>
        </w:rPr>
        <w:t>and</w:t>
      </w:r>
    </w:p>
    <w:p>
      <w:pPr>
        <w:pStyle w:val="ListParagraph"/>
        <w:numPr>
          <w:ilvl w:val="2"/>
          <w:numId w:val="296"/>
        </w:numPr>
        <w:tabs>
          <w:tab w:pos="3053" w:val="left" w:leader="none"/>
        </w:tabs>
        <w:spacing w:line="240" w:lineRule="auto" w:before="120" w:after="0"/>
        <w:ind w:left="3053" w:right="414" w:hanging="567"/>
        <w:jc w:val="both"/>
        <w:rPr>
          <w:sz w:val="24"/>
        </w:rPr>
      </w:pPr>
      <w:r>
        <w:rPr>
          <w:sz w:val="24"/>
        </w:rPr>
        <w:t>operation of the </w:t>
      </w:r>
      <w:r>
        <w:rPr>
          <w:i/>
          <w:sz w:val="24"/>
        </w:rPr>
        <w:t>generating unit </w:t>
      </w:r>
      <w:r>
        <w:rPr>
          <w:sz w:val="24"/>
        </w:rPr>
        <w:t>does not cause instability (including hunting of </w:t>
      </w:r>
      <w:r>
        <w:rPr>
          <w:i/>
          <w:sz w:val="24"/>
        </w:rPr>
        <w:t>tap-changing transformer control systems</w:t>
      </w:r>
      <w:r>
        <w:rPr>
          <w:sz w:val="24"/>
        </w:rPr>
        <w:t>) that would adversely impact other </w:t>
      </w:r>
      <w:r>
        <w:rPr>
          <w:i/>
          <w:sz w:val="24"/>
        </w:rPr>
        <w:t>Registered</w:t>
      </w:r>
      <w:r>
        <w:rPr>
          <w:i/>
          <w:spacing w:val="-5"/>
          <w:sz w:val="24"/>
        </w:rPr>
        <w:t> </w:t>
      </w:r>
      <w:r>
        <w:rPr>
          <w:i/>
          <w:sz w:val="24"/>
        </w:rPr>
        <w:t>Participants</w:t>
      </w:r>
      <w:r>
        <w:rPr>
          <w:sz w:val="24"/>
        </w:rPr>
        <w:t>;</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a </w:t>
      </w:r>
      <w:r>
        <w:rPr>
          <w:i/>
          <w:sz w:val="24"/>
        </w:rPr>
        <w:t>generating system </w:t>
      </w:r>
      <w:r>
        <w:rPr>
          <w:sz w:val="24"/>
        </w:rPr>
        <w:t>comprised of </w:t>
      </w:r>
      <w:r>
        <w:rPr>
          <w:i/>
          <w:sz w:val="24"/>
        </w:rPr>
        <w:t>generating units </w:t>
      </w:r>
      <w:r>
        <w:rPr>
          <w:sz w:val="24"/>
        </w:rPr>
        <w:t>with a combined </w:t>
      </w:r>
      <w:r>
        <w:rPr>
          <w:i/>
          <w:sz w:val="24"/>
        </w:rPr>
        <w:t>nameplate rating </w:t>
      </w:r>
      <w:r>
        <w:rPr>
          <w:sz w:val="24"/>
        </w:rPr>
        <w:t>of 30 MW or more must have </w:t>
      </w:r>
      <w:r>
        <w:rPr>
          <w:i/>
          <w:sz w:val="24"/>
        </w:rPr>
        <w:t>facilities </w:t>
      </w:r>
      <w:r>
        <w:rPr>
          <w:sz w:val="24"/>
        </w:rPr>
        <w:t>for testing its </w:t>
      </w:r>
      <w:r>
        <w:rPr>
          <w:i/>
          <w:sz w:val="24"/>
        </w:rPr>
        <w:t>control systems </w:t>
      </w:r>
      <w:r>
        <w:rPr>
          <w:sz w:val="24"/>
        </w:rPr>
        <w:t>sufficient to establish their dynamic operational characteristics;</w:t>
      </w:r>
    </w:p>
    <w:p>
      <w:pPr>
        <w:spacing w:before="120"/>
        <w:ind w:left="2486" w:right="416" w:hanging="567"/>
        <w:jc w:val="both"/>
        <w:rPr>
          <w:sz w:val="24"/>
        </w:rPr>
      </w:pPr>
      <w:r>
        <w:rPr>
          <w:sz w:val="24"/>
        </w:rPr>
        <w:t>(2A) a </w:t>
      </w:r>
      <w:r>
        <w:rPr>
          <w:i/>
          <w:sz w:val="24"/>
        </w:rPr>
        <w:t>generating system </w:t>
      </w:r>
      <w:r>
        <w:rPr>
          <w:sz w:val="24"/>
        </w:rPr>
        <w:t>must have </w:t>
      </w:r>
      <w:r>
        <w:rPr>
          <w:i/>
          <w:sz w:val="24"/>
        </w:rPr>
        <w:t>facilities </w:t>
      </w:r>
      <w:r>
        <w:rPr>
          <w:sz w:val="24"/>
        </w:rPr>
        <w:t>with a </w:t>
      </w:r>
      <w:r>
        <w:rPr>
          <w:i/>
          <w:sz w:val="24"/>
        </w:rPr>
        <w:t>control system </w:t>
      </w:r>
      <w:r>
        <w:rPr>
          <w:sz w:val="24"/>
        </w:rPr>
        <w:t>to regulate:</w:t>
      </w:r>
    </w:p>
    <w:p>
      <w:pPr>
        <w:pStyle w:val="ListParagraph"/>
        <w:numPr>
          <w:ilvl w:val="2"/>
          <w:numId w:val="296"/>
        </w:numPr>
        <w:tabs>
          <w:tab w:pos="3053" w:val="left" w:leader="none"/>
        </w:tabs>
        <w:spacing w:line="240" w:lineRule="auto" w:before="120" w:after="0"/>
        <w:ind w:left="3052" w:right="0" w:hanging="567"/>
        <w:jc w:val="both"/>
        <w:rPr>
          <w:sz w:val="24"/>
        </w:rPr>
      </w:pPr>
      <w:r>
        <w:rPr>
          <w:i/>
          <w:sz w:val="24"/>
        </w:rPr>
        <w:t>voltage</w:t>
      </w:r>
      <w:r>
        <w:rPr>
          <w:sz w:val="24"/>
        </w:rPr>
        <w:t>; or</w:t>
      </w:r>
    </w:p>
    <w:p>
      <w:pPr>
        <w:pStyle w:val="ListParagraph"/>
        <w:numPr>
          <w:ilvl w:val="2"/>
          <w:numId w:val="296"/>
        </w:numPr>
        <w:tabs>
          <w:tab w:pos="3054" w:val="left" w:leader="none"/>
        </w:tabs>
        <w:spacing w:line="240" w:lineRule="auto" w:before="120" w:after="0"/>
        <w:ind w:left="3053" w:right="0" w:hanging="568"/>
        <w:jc w:val="both"/>
        <w:rPr>
          <w:sz w:val="24"/>
        </w:rPr>
      </w:pPr>
      <w:r>
        <w:rPr>
          <w:sz w:val="24"/>
        </w:rPr>
        <w:t>either</w:t>
      </w:r>
      <w:r>
        <w:rPr>
          <w:spacing w:val="21"/>
          <w:sz w:val="24"/>
        </w:rPr>
        <w:t> </w:t>
      </w:r>
      <w:r>
        <w:rPr>
          <w:sz w:val="24"/>
        </w:rPr>
        <w:t>of</w:t>
      </w:r>
      <w:r>
        <w:rPr>
          <w:spacing w:val="21"/>
          <w:sz w:val="24"/>
        </w:rPr>
        <w:t> </w:t>
      </w:r>
      <w:r>
        <w:rPr>
          <w:i/>
          <w:sz w:val="24"/>
        </w:rPr>
        <w:t>reactive</w:t>
      </w:r>
      <w:r>
        <w:rPr>
          <w:i/>
          <w:spacing w:val="21"/>
          <w:sz w:val="24"/>
        </w:rPr>
        <w:t> </w:t>
      </w:r>
      <w:r>
        <w:rPr>
          <w:i/>
          <w:sz w:val="24"/>
        </w:rPr>
        <w:t>power</w:t>
      </w:r>
      <w:r>
        <w:rPr>
          <w:i/>
          <w:spacing w:val="21"/>
          <w:sz w:val="24"/>
        </w:rPr>
        <w:t> </w:t>
      </w:r>
      <w:r>
        <w:rPr>
          <w:sz w:val="24"/>
        </w:rPr>
        <w:t>or</w:t>
      </w:r>
      <w:r>
        <w:rPr>
          <w:spacing w:val="21"/>
          <w:sz w:val="24"/>
        </w:rPr>
        <w:t> </w:t>
      </w:r>
      <w:r>
        <w:rPr>
          <w:i/>
          <w:sz w:val="24"/>
        </w:rPr>
        <w:t>power</w:t>
      </w:r>
      <w:r>
        <w:rPr>
          <w:i/>
          <w:spacing w:val="21"/>
          <w:sz w:val="24"/>
        </w:rPr>
        <w:t> </w:t>
      </w:r>
      <w:r>
        <w:rPr>
          <w:i/>
          <w:sz w:val="24"/>
        </w:rPr>
        <w:t>factor</w:t>
      </w:r>
      <w:r>
        <w:rPr>
          <w:i/>
          <w:spacing w:val="21"/>
          <w:sz w:val="24"/>
        </w:rPr>
        <w:t> </w:t>
      </w:r>
      <w:r>
        <w:rPr>
          <w:sz w:val="24"/>
        </w:rPr>
        <w:t>with</w:t>
      </w:r>
      <w:r>
        <w:rPr>
          <w:spacing w:val="21"/>
          <w:sz w:val="24"/>
        </w:rPr>
        <w:t> </w:t>
      </w:r>
      <w:r>
        <w:rPr>
          <w:sz w:val="24"/>
        </w:rPr>
        <w:t>the</w:t>
      </w:r>
      <w:r>
        <w:rPr>
          <w:spacing w:val="21"/>
          <w:sz w:val="24"/>
        </w:rPr>
        <w:t> </w:t>
      </w:r>
      <w:r>
        <w:rPr>
          <w:sz w:val="24"/>
        </w:rPr>
        <w:t>agreement</w:t>
      </w:r>
      <w:r>
        <w:rPr>
          <w:spacing w:val="21"/>
          <w:sz w:val="24"/>
        </w:rPr>
        <w:t> </w:t>
      </w:r>
      <w:r>
        <w:rPr>
          <w:sz w:val="24"/>
        </w:rPr>
        <w:t>of</w:t>
      </w:r>
    </w:p>
    <w:p>
      <w:pPr>
        <w:spacing w:before="0"/>
        <w:ind w:left="3053" w:right="0" w:firstLine="0"/>
        <w:jc w:val="both"/>
        <w:rPr>
          <w:sz w:val="24"/>
        </w:rPr>
      </w:pPr>
      <w:r>
        <w:rPr>
          <w:i/>
          <w:sz w:val="24"/>
        </w:rPr>
        <w:t>AEMO </w:t>
      </w:r>
      <w:r>
        <w:rPr>
          <w:sz w:val="24"/>
        </w:rPr>
        <w:t>and the </w:t>
      </w:r>
      <w:r>
        <w:rPr>
          <w:i/>
          <w:sz w:val="24"/>
        </w:rPr>
        <w:t>Network Service Provider</w:t>
      </w:r>
      <w:r>
        <w:rPr>
          <w:sz w:val="24"/>
        </w:rPr>
        <w:t>;</w:t>
      </w:r>
    </w:p>
    <w:p>
      <w:pPr>
        <w:spacing w:before="120"/>
        <w:ind w:left="1919" w:right="0" w:firstLine="0"/>
        <w:jc w:val="both"/>
        <w:rPr>
          <w:sz w:val="24"/>
        </w:rPr>
      </w:pPr>
      <w:r>
        <w:rPr>
          <w:sz w:val="24"/>
        </w:rPr>
        <w:t>(2B) a </w:t>
      </w:r>
      <w:r>
        <w:rPr>
          <w:i/>
          <w:sz w:val="24"/>
        </w:rPr>
        <w:t>voltage control system </w:t>
      </w:r>
      <w:r>
        <w:rPr>
          <w:sz w:val="24"/>
        </w:rPr>
        <w:t>for a </w:t>
      </w:r>
      <w:r>
        <w:rPr>
          <w:i/>
          <w:sz w:val="24"/>
        </w:rPr>
        <w:t>generating system </w:t>
      </w:r>
      <w:r>
        <w:rPr>
          <w:sz w:val="24"/>
        </w:rPr>
        <w:t>must:</w:t>
      </w:r>
    </w:p>
    <w:p>
      <w:pPr>
        <w:pStyle w:val="ListParagraph"/>
        <w:numPr>
          <w:ilvl w:val="0"/>
          <w:numId w:val="300"/>
        </w:numPr>
        <w:tabs>
          <w:tab w:pos="3053" w:val="left" w:leader="none"/>
        </w:tabs>
        <w:spacing w:line="240" w:lineRule="auto" w:before="120" w:after="0"/>
        <w:ind w:left="3053" w:right="414" w:hanging="567"/>
        <w:jc w:val="both"/>
        <w:rPr>
          <w:sz w:val="24"/>
        </w:rPr>
      </w:pPr>
      <w:r>
        <w:rPr>
          <w:sz w:val="24"/>
        </w:rPr>
        <w:t>regulate </w:t>
      </w:r>
      <w:r>
        <w:rPr>
          <w:i/>
          <w:sz w:val="24"/>
        </w:rPr>
        <w:t>voltage </w:t>
      </w:r>
      <w:r>
        <w:rPr>
          <w:sz w:val="24"/>
        </w:rPr>
        <w:t>at the </w:t>
      </w:r>
      <w:r>
        <w:rPr>
          <w:i/>
          <w:sz w:val="24"/>
        </w:rPr>
        <w:t>connection point </w:t>
      </w:r>
      <w:r>
        <w:rPr>
          <w:sz w:val="24"/>
        </w:rPr>
        <w:t>or another agreed location in the </w:t>
      </w:r>
      <w:r>
        <w:rPr>
          <w:i/>
          <w:sz w:val="24"/>
        </w:rPr>
        <w:t>power system </w:t>
      </w:r>
      <w:r>
        <w:rPr>
          <w:sz w:val="24"/>
        </w:rPr>
        <w:t>(including within the </w:t>
      </w:r>
      <w:r>
        <w:rPr>
          <w:i/>
          <w:sz w:val="24"/>
        </w:rPr>
        <w:t>generating </w:t>
      </w:r>
      <w:r>
        <w:rPr>
          <w:i/>
          <w:sz w:val="24"/>
        </w:rPr>
        <w:t>system</w:t>
      </w:r>
      <w:r>
        <w:rPr>
          <w:sz w:val="24"/>
        </w:rPr>
        <w:t>), to within 2% of the setpoint, where that setpoint may be adjusted to incorporate any </w:t>
      </w:r>
      <w:r>
        <w:rPr>
          <w:i/>
          <w:sz w:val="24"/>
        </w:rPr>
        <w:t>voltage </w:t>
      </w:r>
      <w:r>
        <w:rPr>
          <w:sz w:val="24"/>
        </w:rPr>
        <w:t>droop or reactive current compensation agreed with </w:t>
      </w:r>
      <w:r>
        <w:rPr>
          <w:i/>
          <w:sz w:val="24"/>
        </w:rPr>
        <w:t>AEMO </w:t>
      </w:r>
      <w:r>
        <w:rPr>
          <w:sz w:val="24"/>
        </w:rPr>
        <w:t>and the </w:t>
      </w:r>
      <w:r>
        <w:rPr>
          <w:i/>
          <w:sz w:val="24"/>
        </w:rPr>
        <w:t>Network Service </w:t>
      </w:r>
      <w:r>
        <w:rPr>
          <w:i/>
          <w:sz w:val="24"/>
        </w:rPr>
        <w:t>Provider</w:t>
      </w:r>
      <w:r>
        <w:rPr>
          <w:sz w:val="24"/>
        </w:rPr>
        <w:t>;</w:t>
      </w:r>
      <w:r>
        <w:rPr>
          <w:spacing w:val="-1"/>
          <w:sz w:val="24"/>
        </w:rPr>
        <w:t> </w:t>
      </w:r>
      <w:r>
        <w:rPr>
          <w:sz w:val="24"/>
        </w:rPr>
        <w:t>and</w:t>
      </w:r>
    </w:p>
    <w:p>
      <w:pPr>
        <w:pStyle w:val="ListParagraph"/>
        <w:numPr>
          <w:ilvl w:val="0"/>
          <w:numId w:val="300"/>
        </w:numPr>
        <w:tabs>
          <w:tab w:pos="3054" w:val="left" w:leader="none"/>
        </w:tabs>
        <w:spacing w:line="240" w:lineRule="auto" w:before="120" w:after="0"/>
        <w:ind w:left="3053" w:right="415" w:hanging="567"/>
        <w:jc w:val="both"/>
        <w:rPr>
          <w:sz w:val="24"/>
        </w:rPr>
      </w:pPr>
      <w:r>
        <w:rPr>
          <w:sz w:val="24"/>
        </w:rPr>
        <w:t>allow the </w:t>
      </w:r>
      <w:r>
        <w:rPr>
          <w:i/>
          <w:sz w:val="24"/>
        </w:rPr>
        <w:t>voltage </w:t>
      </w:r>
      <w:r>
        <w:rPr>
          <w:sz w:val="24"/>
        </w:rPr>
        <w:t>setpoint to be controllable in the range of at least 98% to 102% of the target </w:t>
      </w:r>
      <w:r>
        <w:rPr>
          <w:i/>
          <w:sz w:val="24"/>
        </w:rPr>
        <w:t>voltage </w:t>
      </w:r>
      <w:r>
        <w:rPr>
          <w:sz w:val="24"/>
        </w:rPr>
        <w:t>(as determined by </w:t>
      </w:r>
      <w:r>
        <w:rPr>
          <w:spacing w:val="-4"/>
          <w:sz w:val="24"/>
        </w:rPr>
        <w:t>the</w:t>
      </w:r>
      <w:r>
        <w:rPr>
          <w:spacing w:val="52"/>
          <w:sz w:val="24"/>
        </w:rPr>
        <w:t> </w:t>
      </w:r>
      <w:r>
        <w:rPr>
          <w:i/>
          <w:sz w:val="24"/>
        </w:rPr>
        <w:t>Network Service Provider </w:t>
      </w:r>
      <w:r>
        <w:rPr>
          <w:sz w:val="24"/>
        </w:rPr>
        <w:t>in accordance with clause S5.1.4(c) and recorded in the </w:t>
      </w:r>
      <w:r>
        <w:rPr>
          <w:i/>
          <w:sz w:val="24"/>
        </w:rPr>
        <w:t>connection agreement </w:t>
      </w:r>
      <w:r>
        <w:rPr>
          <w:sz w:val="24"/>
        </w:rPr>
        <w:t>in accordance with clause S5.1.4) at the </w:t>
      </w:r>
      <w:r>
        <w:rPr>
          <w:i/>
          <w:sz w:val="24"/>
        </w:rPr>
        <w:t>connection point </w:t>
      </w:r>
      <w:r>
        <w:rPr>
          <w:sz w:val="24"/>
        </w:rPr>
        <w:t>or the agreed location, subject to the </w:t>
      </w:r>
      <w:r>
        <w:rPr>
          <w:i/>
          <w:sz w:val="24"/>
        </w:rPr>
        <w:t>reactive power </w:t>
      </w:r>
      <w:r>
        <w:rPr>
          <w:sz w:val="24"/>
        </w:rPr>
        <w:t>capability agreed with </w:t>
      </w:r>
      <w:r>
        <w:rPr>
          <w:i/>
          <w:sz w:val="24"/>
        </w:rPr>
        <w:t>AEMO </w:t>
      </w:r>
      <w:r>
        <w:rPr>
          <w:sz w:val="24"/>
        </w:rPr>
        <w:t>and the </w:t>
      </w:r>
      <w:r>
        <w:rPr>
          <w:i/>
          <w:sz w:val="24"/>
        </w:rPr>
        <w:t>Network Service Provider </w:t>
      </w:r>
      <w:r>
        <w:rPr>
          <w:sz w:val="24"/>
        </w:rPr>
        <w:t>under clause</w:t>
      </w:r>
      <w:r>
        <w:rPr>
          <w:spacing w:val="-3"/>
          <w:sz w:val="24"/>
        </w:rPr>
        <w:t> </w:t>
      </w:r>
      <w:r>
        <w:rPr>
          <w:sz w:val="24"/>
        </w:rPr>
        <w:t>S5.2.5.1;</w:t>
      </w:r>
    </w:p>
    <w:p>
      <w:pPr>
        <w:pStyle w:val="ListParagraph"/>
        <w:numPr>
          <w:ilvl w:val="1"/>
          <w:numId w:val="296"/>
        </w:numPr>
        <w:tabs>
          <w:tab w:pos="2486" w:val="left" w:leader="none"/>
        </w:tabs>
        <w:spacing w:line="240" w:lineRule="auto" w:before="120" w:after="0"/>
        <w:ind w:left="2485" w:right="0" w:hanging="567"/>
        <w:jc w:val="both"/>
        <w:rPr>
          <w:i/>
          <w:sz w:val="24"/>
        </w:rPr>
      </w:pPr>
      <w:r>
        <w:rPr>
          <w:sz w:val="24"/>
        </w:rPr>
        <w:t>a</w:t>
      </w:r>
      <w:r>
        <w:rPr>
          <w:spacing w:val="26"/>
          <w:sz w:val="24"/>
        </w:rPr>
        <w:t> </w:t>
      </w:r>
      <w:r>
        <w:rPr>
          <w:i/>
          <w:sz w:val="24"/>
        </w:rPr>
        <w:t>generating</w:t>
      </w:r>
      <w:r>
        <w:rPr>
          <w:i/>
          <w:spacing w:val="27"/>
          <w:sz w:val="24"/>
        </w:rPr>
        <w:t> </w:t>
      </w:r>
      <w:r>
        <w:rPr>
          <w:i/>
          <w:sz w:val="24"/>
        </w:rPr>
        <w:t>system's</w:t>
      </w:r>
      <w:r>
        <w:rPr>
          <w:i/>
          <w:spacing w:val="26"/>
          <w:sz w:val="24"/>
        </w:rPr>
        <w:t> </w:t>
      </w:r>
      <w:r>
        <w:rPr>
          <w:i/>
          <w:sz w:val="24"/>
        </w:rPr>
        <w:t>reactive</w:t>
      </w:r>
      <w:r>
        <w:rPr>
          <w:i/>
          <w:spacing w:val="26"/>
          <w:sz w:val="24"/>
        </w:rPr>
        <w:t> </w:t>
      </w:r>
      <w:r>
        <w:rPr>
          <w:i/>
          <w:sz w:val="24"/>
        </w:rPr>
        <w:t>power</w:t>
      </w:r>
      <w:r>
        <w:rPr>
          <w:i/>
          <w:spacing w:val="26"/>
          <w:sz w:val="24"/>
        </w:rPr>
        <w:t> </w:t>
      </w:r>
      <w:r>
        <w:rPr>
          <w:sz w:val="24"/>
        </w:rPr>
        <w:t>or</w:t>
      </w:r>
      <w:r>
        <w:rPr>
          <w:spacing w:val="27"/>
          <w:sz w:val="24"/>
        </w:rPr>
        <w:t> </w:t>
      </w:r>
      <w:r>
        <w:rPr>
          <w:i/>
          <w:sz w:val="24"/>
        </w:rPr>
        <w:t>power</w:t>
      </w:r>
      <w:r>
        <w:rPr>
          <w:i/>
          <w:spacing w:val="26"/>
          <w:sz w:val="24"/>
        </w:rPr>
        <w:t> </w:t>
      </w:r>
      <w:r>
        <w:rPr>
          <w:i/>
          <w:sz w:val="24"/>
        </w:rPr>
        <w:t>factor</w:t>
      </w:r>
      <w:r>
        <w:rPr>
          <w:i/>
          <w:spacing w:val="27"/>
          <w:sz w:val="24"/>
        </w:rPr>
        <w:t> </w:t>
      </w:r>
      <w:r>
        <w:rPr>
          <w:i/>
          <w:sz w:val="24"/>
        </w:rPr>
        <w:t>control</w:t>
      </w:r>
      <w:r>
        <w:rPr>
          <w:i/>
          <w:spacing w:val="26"/>
          <w:sz w:val="24"/>
        </w:rPr>
        <w:t> </w:t>
      </w:r>
      <w:r>
        <w:rPr>
          <w:i/>
          <w:sz w:val="24"/>
        </w:rPr>
        <w:t>system</w:t>
      </w:r>
    </w:p>
    <w:p>
      <w:pPr>
        <w:pStyle w:val="BodyText"/>
        <w:spacing w:before="0"/>
        <w:ind w:left="2486" w:firstLine="0"/>
        <w:jc w:val="left"/>
      </w:pPr>
      <w:r>
        <w:rPr/>
        <w:t>must:</w:t>
      </w:r>
    </w:p>
    <w:p>
      <w:pPr>
        <w:pStyle w:val="ListParagraph"/>
        <w:numPr>
          <w:ilvl w:val="2"/>
          <w:numId w:val="296"/>
        </w:numPr>
        <w:tabs>
          <w:tab w:pos="3053" w:val="left" w:leader="none"/>
        </w:tabs>
        <w:spacing w:line="240" w:lineRule="auto" w:before="120" w:after="0"/>
        <w:ind w:left="3053" w:right="415" w:hanging="567"/>
        <w:jc w:val="both"/>
        <w:rPr>
          <w:sz w:val="24"/>
        </w:rPr>
      </w:pPr>
      <w:r>
        <w:rPr>
          <w:sz w:val="24"/>
        </w:rPr>
        <w:t>regulate </w:t>
      </w:r>
      <w:r>
        <w:rPr>
          <w:i/>
          <w:sz w:val="24"/>
        </w:rPr>
        <w:t>reactive power </w:t>
      </w:r>
      <w:r>
        <w:rPr>
          <w:sz w:val="24"/>
        </w:rPr>
        <w:t>or </w:t>
      </w:r>
      <w:r>
        <w:rPr>
          <w:i/>
          <w:sz w:val="24"/>
        </w:rPr>
        <w:t>power factor </w:t>
      </w:r>
      <w:r>
        <w:rPr>
          <w:sz w:val="24"/>
        </w:rPr>
        <w:t>(as applicable) at the </w:t>
      </w:r>
      <w:r>
        <w:rPr>
          <w:i/>
          <w:sz w:val="24"/>
        </w:rPr>
        <w:t>connection point </w:t>
      </w:r>
      <w:r>
        <w:rPr>
          <w:sz w:val="24"/>
        </w:rPr>
        <w:t>or another agreed location in the </w:t>
      </w:r>
      <w:r>
        <w:rPr>
          <w:i/>
          <w:sz w:val="24"/>
        </w:rPr>
        <w:t>power system </w:t>
      </w:r>
      <w:r>
        <w:rPr>
          <w:sz w:val="24"/>
        </w:rPr>
        <w:t>(including within the </w:t>
      </w:r>
      <w:r>
        <w:rPr>
          <w:i/>
          <w:sz w:val="24"/>
        </w:rPr>
        <w:t>generating system</w:t>
      </w:r>
      <w:r>
        <w:rPr>
          <w:sz w:val="24"/>
        </w:rPr>
        <w:t>), to</w:t>
      </w:r>
      <w:r>
        <w:rPr>
          <w:spacing w:val="-4"/>
          <w:sz w:val="24"/>
        </w:rPr>
        <w:t> </w:t>
      </w:r>
      <w:r>
        <w:rPr>
          <w:sz w:val="24"/>
        </w:rPr>
        <w:t>within:</w:t>
      </w:r>
    </w:p>
    <w:p>
      <w:pPr>
        <w:spacing w:after="0" w:line="240" w:lineRule="auto"/>
        <w:jc w:val="both"/>
        <w:rPr>
          <w:sz w:val="24"/>
        </w:rPr>
        <w:sectPr>
          <w:pgSz w:w="11910" w:h="16840"/>
          <w:pgMar w:header="686" w:footer="637" w:top="1320" w:bottom="820" w:left="1200" w:right="1000"/>
        </w:sectPr>
      </w:pPr>
    </w:p>
    <w:p>
      <w:pPr>
        <w:pStyle w:val="ListParagraph"/>
        <w:numPr>
          <w:ilvl w:val="3"/>
          <w:numId w:val="296"/>
        </w:numPr>
        <w:tabs>
          <w:tab w:pos="3620" w:val="left" w:leader="none"/>
        </w:tabs>
        <w:spacing w:line="240" w:lineRule="auto" w:before="83" w:after="0"/>
        <w:ind w:left="3620" w:right="415" w:hanging="567"/>
        <w:jc w:val="both"/>
        <w:rPr>
          <w:sz w:val="24"/>
        </w:rPr>
      </w:pPr>
      <w:r>
        <w:rPr>
          <w:sz w:val="24"/>
        </w:rPr>
        <w:t>for a </w:t>
      </w:r>
      <w:r>
        <w:rPr>
          <w:i/>
          <w:sz w:val="24"/>
        </w:rPr>
        <w:t>generating system </w:t>
      </w:r>
      <w:r>
        <w:rPr>
          <w:sz w:val="24"/>
        </w:rPr>
        <w:t>operating in </w:t>
      </w:r>
      <w:r>
        <w:rPr>
          <w:i/>
          <w:sz w:val="24"/>
        </w:rPr>
        <w:t>reactive power </w:t>
      </w:r>
      <w:r>
        <w:rPr>
          <w:sz w:val="24"/>
        </w:rPr>
        <w:t>mode, 5% of the rating (in MVA) of the </w:t>
      </w:r>
      <w:r>
        <w:rPr>
          <w:i/>
          <w:sz w:val="24"/>
        </w:rPr>
        <w:t>generating system </w:t>
      </w:r>
      <w:r>
        <w:rPr>
          <w:sz w:val="24"/>
        </w:rPr>
        <w:t>(expressed in MVAr);</w:t>
      </w:r>
      <w:r>
        <w:rPr>
          <w:spacing w:val="-2"/>
          <w:sz w:val="24"/>
        </w:rPr>
        <w:t> </w:t>
      </w:r>
      <w:r>
        <w:rPr>
          <w:sz w:val="24"/>
        </w:rPr>
        <w:t>or</w:t>
      </w:r>
    </w:p>
    <w:p>
      <w:pPr>
        <w:pStyle w:val="ListParagraph"/>
        <w:numPr>
          <w:ilvl w:val="3"/>
          <w:numId w:val="296"/>
        </w:numPr>
        <w:tabs>
          <w:tab w:pos="3621" w:val="left" w:leader="none"/>
        </w:tabs>
        <w:spacing w:line="240" w:lineRule="auto" w:before="120" w:after="0"/>
        <w:ind w:left="3620" w:right="415" w:hanging="567"/>
        <w:jc w:val="both"/>
        <w:rPr>
          <w:sz w:val="24"/>
        </w:rPr>
      </w:pPr>
      <w:r>
        <w:rPr>
          <w:sz w:val="24"/>
        </w:rPr>
        <w:t>for a </w:t>
      </w:r>
      <w:r>
        <w:rPr>
          <w:i/>
          <w:sz w:val="24"/>
        </w:rPr>
        <w:t>generating system </w:t>
      </w:r>
      <w:r>
        <w:rPr>
          <w:sz w:val="24"/>
        </w:rPr>
        <w:t>operating in </w:t>
      </w:r>
      <w:r>
        <w:rPr>
          <w:i/>
          <w:sz w:val="24"/>
        </w:rPr>
        <w:t>power factor </w:t>
      </w:r>
      <w:r>
        <w:rPr>
          <w:sz w:val="24"/>
        </w:rPr>
        <w:t>mode, a </w:t>
      </w:r>
      <w:r>
        <w:rPr>
          <w:i/>
          <w:sz w:val="24"/>
        </w:rPr>
        <w:t>power factor </w:t>
      </w:r>
      <w:r>
        <w:rPr>
          <w:sz w:val="24"/>
        </w:rPr>
        <w:t>equivalent to 5% of the rating (in MVA) of the </w:t>
      </w:r>
      <w:r>
        <w:rPr>
          <w:i/>
          <w:sz w:val="24"/>
        </w:rPr>
        <w:t>generating system </w:t>
      </w:r>
      <w:r>
        <w:rPr>
          <w:sz w:val="24"/>
        </w:rPr>
        <w:t>(expressed in MVAr);</w:t>
      </w:r>
      <w:r>
        <w:rPr>
          <w:spacing w:val="-6"/>
          <w:sz w:val="24"/>
        </w:rPr>
        <w:t> </w:t>
      </w:r>
      <w:r>
        <w:rPr>
          <w:sz w:val="24"/>
        </w:rPr>
        <w:t>and</w:t>
      </w:r>
    </w:p>
    <w:p>
      <w:pPr>
        <w:pStyle w:val="ListParagraph"/>
        <w:numPr>
          <w:ilvl w:val="2"/>
          <w:numId w:val="296"/>
        </w:numPr>
        <w:tabs>
          <w:tab w:pos="3054" w:val="left" w:leader="none"/>
        </w:tabs>
        <w:spacing w:line="240" w:lineRule="auto" w:before="120" w:after="0"/>
        <w:ind w:left="3053" w:right="414" w:hanging="567"/>
        <w:jc w:val="both"/>
        <w:rPr>
          <w:sz w:val="24"/>
        </w:rPr>
      </w:pPr>
      <w:r>
        <w:rPr>
          <w:sz w:val="24"/>
        </w:rPr>
        <w:t>allow the </w:t>
      </w:r>
      <w:r>
        <w:rPr>
          <w:i/>
          <w:sz w:val="24"/>
        </w:rPr>
        <w:t>reactive power </w:t>
      </w:r>
      <w:r>
        <w:rPr>
          <w:sz w:val="24"/>
        </w:rPr>
        <w:t>or </w:t>
      </w:r>
      <w:r>
        <w:rPr>
          <w:i/>
          <w:sz w:val="24"/>
        </w:rPr>
        <w:t>power factor </w:t>
      </w:r>
      <w:r>
        <w:rPr>
          <w:sz w:val="24"/>
        </w:rPr>
        <w:t>setpoint to be continuously controllable across the </w:t>
      </w:r>
      <w:r>
        <w:rPr>
          <w:i/>
          <w:sz w:val="24"/>
        </w:rPr>
        <w:t>reactive power </w:t>
      </w:r>
      <w:r>
        <w:rPr>
          <w:spacing w:val="-3"/>
          <w:sz w:val="24"/>
        </w:rPr>
        <w:t>capability </w:t>
      </w:r>
      <w:r>
        <w:rPr>
          <w:sz w:val="24"/>
        </w:rPr>
        <w:t>range established under clause</w:t>
      </w:r>
      <w:r>
        <w:rPr>
          <w:spacing w:val="-2"/>
          <w:sz w:val="24"/>
        </w:rPr>
        <w:t> </w:t>
      </w:r>
      <w:r>
        <w:rPr>
          <w:sz w:val="24"/>
        </w:rPr>
        <w:t>S5.2.5.1;</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a synchronous </w:t>
      </w:r>
      <w:r>
        <w:rPr>
          <w:i/>
          <w:sz w:val="24"/>
        </w:rPr>
        <w:t>generating system </w:t>
      </w:r>
      <w:r>
        <w:rPr>
          <w:sz w:val="24"/>
        </w:rPr>
        <w:t>with a </w:t>
      </w:r>
      <w:r>
        <w:rPr>
          <w:i/>
          <w:sz w:val="24"/>
        </w:rPr>
        <w:t>nameplate rating </w:t>
      </w:r>
      <w:r>
        <w:rPr>
          <w:sz w:val="24"/>
        </w:rPr>
        <w:t>of 30 MW or more, with an </w:t>
      </w:r>
      <w:r>
        <w:rPr>
          <w:i/>
          <w:sz w:val="24"/>
        </w:rPr>
        <w:t>excitation control system </w:t>
      </w:r>
      <w:r>
        <w:rPr>
          <w:sz w:val="24"/>
        </w:rPr>
        <w:t>required to regulate </w:t>
      </w:r>
      <w:r>
        <w:rPr>
          <w:i/>
          <w:sz w:val="24"/>
        </w:rPr>
        <w:t>voltage </w:t>
      </w:r>
      <w:r>
        <w:rPr>
          <w:sz w:val="24"/>
        </w:rPr>
        <w:t>under subparagraph (d)(2A)(i)</w:t>
      </w:r>
      <w:r>
        <w:rPr>
          <w:spacing w:val="-2"/>
          <w:sz w:val="24"/>
        </w:rPr>
        <w:t> </w:t>
      </w:r>
      <w:r>
        <w:rPr>
          <w:sz w:val="24"/>
        </w:rPr>
        <w:t>must:</w:t>
      </w:r>
    </w:p>
    <w:p>
      <w:pPr>
        <w:pStyle w:val="ListParagraph"/>
        <w:numPr>
          <w:ilvl w:val="2"/>
          <w:numId w:val="296"/>
        </w:numPr>
        <w:tabs>
          <w:tab w:pos="3053" w:val="left" w:leader="none"/>
        </w:tabs>
        <w:spacing w:line="240" w:lineRule="auto" w:before="120" w:after="0"/>
        <w:ind w:left="3052" w:right="0" w:hanging="567"/>
        <w:jc w:val="both"/>
        <w:rPr>
          <w:sz w:val="24"/>
        </w:rPr>
      </w:pPr>
      <w:r>
        <w:rPr>
          <w:sz w:val="24"/>
        </w:rPr>
        <w:t>[</w:t>
      </w:r>
      <w:r>
        <w:rPr>
          <w:b/>
          <w:sz w:val="24"/>
        </w:rPr>
        <w:t>Deleted</w:t>
      </w:r>
      <w:r>
        <w:rPr>
          <w:sz w:val="24"/>
        </w:rPr>
        <w:t>]</w:t>
      </w:r>
    </w:p>
    <w:p>
      <w:pPr>
        <w:pStyle w:val="ListParagraph"/>
        <w:numPr>
          <w:ilvl w:val="2"/>
          <w:numId w:val="296"/>
        </w:numPr>
        <w:tabs>
          <w:tab w:pos="3054" w:val="left" w:leader="none"/>
        </w:tabs>
        <w:spacing w:line="240" w:lineRule="auto" w:before="120" w:after="0"/>
        <w:ind w:left="3053" w:right="414" w:hanging="567"/>
        <w:jc w:val="both"/>
        <w:rPr>
          <w:sz w:val="24"/>
        </w:rPr>
      </w:pPr>
      <w:r>
        <w:rPr>
          <w:sz w:val="24"/>
        </w:rPr>
        <w:t>have excitation ceiling </w:t>
      </w:r>
      <w:r>
        <w:rPr>
          <w:i/>
          <w:sz w:val="24"/>
        </w:rPr>
        <w:t>voltage </w:t>
      </w:r>
      <w:r>
        <w:rPr>
          <w:sz w:val="24"/>
        </w:rPr>
        <w:t>of at least 1.5 times the excitation required to achieve </w:t>
      </w:r>
      <w:r>
        <w:rPr>
          <w:i/>
          <w:sz w:val="24"/>
        </w:rPr>
        <w:t>generation </w:t>
      </w:r>
      <w:r>
        <w:rPr>
          <w:sz w:val="24"/>
        </w:rPr>
        <w:t>at the </w:t>
      </w:r>
      <w:r>
        <w:rPr>
          <w:i/>
          <w:sz w:val="24"/>
        </w:rPr>
        <w:t>nameplate rating </w:t>
      </w:r>
      <w:r>
        <w:rPr>
          <w:sz w:val="24"/>
        </w:rPr>
        <w:t>for rated </w:t>
      </w:r>
      <w:r>
        <w:rPr>
          <w:i/>
          <w:sz w:val="24"/>
        </w:rPr>
        <w:t>power factor</w:t>
      </w:r>
      <w:r>
        <w:rPr>
          <w:sz w:val="24"/>
        </w:rPr>
        <w:t>, rated speed and </w:t>
      </w:r>
      <w:r>
        <w:rPr>
          <w:i/>
          <w:sz w:val="24"/>
        </w:rPr>
        <w:t>nominal</w:t>
      </w:r>
      <w:r>
        <w:rPr>
          <w:i/>
          <w:spacing w:val="-3"/>
          <w:sz w:val="24"/>
        </w:rPr>
        <w:t> </w:t>
      </w:r>
      <w:r>
        <w:rPr>
          <w:i/>
          <w:sz w:val="24"/>
        </w:rPr>
        <w:t>voltage</w:t>
      </w:r>
      <w:r>
        <w:rPr>
          <w:sz w:val="24"/>
        </w:rPr>
        <w:t>;</w:t>
      </w:r>
    </w:p>
    <w:p>
      <w:pPr>
        <w:pStyle w:val="ListParagraph"/>
        <w:numPr>
          <w:ilvl w:val="2"/>
          <w:numId w:val="296"/>
        </w:numPr>
        <w:tabs>
          <w:tab w:pos="3053" w:val="left" w:leader="none"/>
        </w:tabs>
        <w:spacing w:line="240" w:lineRule="auto" w:before="120" w:after="0"/>
        <w:ind w:left="3053" w:right="415" w:hanging="567"/>
        <w:jc w:val="both"/>
        <w:rPr>
          <w:sz w:val="24"/>
        </w:rPr>
      </w:pPr>
      <w:r>
        <w:rPr>
          <w:sz w:val="24"/>
        </w:rPr>
        <w:t>subject to co-ordination under paragraph (i), have a </w:t>
      </w:r>
      <w:r>
        <w:rPr>
          <w:i/>
          <w:sz w:val="24"/>
        </w:rPr>
        <w:t>settling time </w:t>
      </w:r>
      <w:r>
        <w:rPr>
          <w:sz w:val="24"/>
        </w:rPr>
        <w:t>of less than 7.5 seconds for a 5% </w:t>
      </w:r>
      <w:r>
        <w:rPr>
          <w:i/>
          <w:sz w:val="24"/>
        </w:rPr>
        <w:t>voltage </w:t>
      </w:r>
      <w:r>
        <w:rPr>
          <w:sz w:val="24"/>
        </w:rPr>
        <w:t>disturbance with the </w:t>
      </w:r>
      <w:r>
        <w:rPr>
          <w:i/>
          <w:sz w:val="24"/>
        </w:rPr>
        <w:t>generating unit </w:t>
      </w:r>
      <w:r>
        <w:rPr>
          <w:sz w:val="24"/>
        </w:rPr>
        <w:t>synchronised, from an operating point where such a </w:t>
      </w:r>
      <w:r>
        <w:rPr>
          <w:i/>
          <w:sz w:val="24"/>
        </w:rPr>
        <w:t>voltage </w:t>
      </w:r>
      <w:r>
        <w:rPr>
          <w:sz w:val="24"/>
        </w:rPr>
        <w:t>disturbance would not cause any limiting device to operate;</w:t>
      </w:r>
      <w:r>
        <w:rPr>
          <w:spacing w:val="-1"/>
          <w:sz w:val="24"/>
        </w:rPr>
        <w:t> </w:t>
      </w:r>
      <w:r>
        <w:rPr>
          <w:sz w:val="24"/>
        </w:rPr>
        <w:t>and</w:t>
      </w:r>
    </w:p>
    <w:p>
      <w:pPr>
        <w:pStyle w:val="ListParagraph"/>
        <w:numPr>
          <w:ilvl w:val="2"/>
          <w:numId w:val="296"/>
        </w:numPr>
        <w:tabs>
          <w:tab w:pos="3054" w:val="left" w:leader="none"/>
        </w:tabs>
        <w:spacing w:line="240" w:lineRule="auto" w:before="120" w:after="0"/>
        <w:ind w:left="3053" w:right="415" w:hanging="567"/>
        <w:jc w:val="both"/>
        <w:rPr>
          <w:sz w:val="24"/>
        </w:rPr>
      </w:pPr>
      <w:r>
        <w:rPr>
          <w:sz w:val="24"/>
        </w:rPr>
        <w:t>have over and under excitation limiting devices sufficient</w:t>
      </w:r>
      <w:r>
        <w:rPr>
          <w:spacing w:val="37"/>
          <w:sz w:val="24"/>
        </w:rPr>
        <w:t> </w:t>
      </w:r>
      <w:r>
        <w:rPr>
          <w:sz w:val="24"/>
        </w:rPr>
        <w:t>to ensure that a </w:t>
      </w:r>
      <w:r>
        <w:rPr>
          <w:i/>
          <w:sz w:val="24"/>
        </w:rPr>
        <w:t>voltage </w:t>
      </w:r>
      <w:r>
        <w:rPr>
          <w:sz w:val="24"/>
        </w:rPr>
        <w:t>disturbance does not cause the </w:t>
      </w:r>
      <w:r>
        <w:rPr>
          <w:i/>
          <w:sz w:val="24"/>
        </w:rPr>
        <w:t>generating </w:t>
      </w:r>
      <w:r>
        <w:rPr>
          <w:i/>
          <w:sz w:val="24"/>
        </w:rPr>
        <w:t>unit </w:t>
      </w:r>
      <w:r>
        <w:rPr>
          <w:sz w:val="24"/>
        </w:rPr>
        <w:t>to trip at the limits of its operating capability;</w:t>
      </w:r>
      <w:r>
        <w:rPr>
          <w:spacing w:val="-3"/>
          <w:sz w:val="24"/>
        </w:rPr>
        <w:t> </w:t>
      </w:r>
      <w:r>
        <w:rPr>
          <w:sz w:val="24"/>
        </w:rPr>
        <w:t>and</w:t>
      </w:r>
    </w:p>
    <w:p>
      <w:pPr>
        <w:pStyle w:val="ListParagraph"/>
        <w:numPr>
          <w:ilvl w:val="1"/>
          <w:numId w:val="296"/>
        </w:numPr>
        <w:tabs>
          <w:tab w:pos="2486" w:val="left" w:leader="none"/>
        </w:tabs>
        <w:spacing w:line="240" w:lineRule="auto" w:before="120" w:after="0"/>
        <w:ind w:left="2486" w:right="415" w:hanging="567"/>
        <w:jc w:val="both"/>
        <w:rPr>
          <w:sz w:val="24"/>
        </w:rPr>
      </w:pPr>
      <w:r>
        <w:rPr>
          <w:sz w:val="24"/>
        </w:rPr>
        <w:t>a </w:t>
      </w:r>
      <w:r>
        <w:rPr>
          <w:i/>
          <w:sz w:val="24"/>
        </w:rPr>
        <w:t>generating system </w:t>
      </w:r>
      <w:r>
        <w:rPr>
          <w:sz w:val="24"/>
        </w:rPr>
        <w:t>comprised of </w:t>
      </w:r>
      <w:r>
        <w:rPr>
          <w:i/>
          <w:sz w:val="24"/>
        </w:rPr>
        <w:t>asynchronous generating units </w:t>
      </w:r>
      <w:r>
        <w:rPr>
          <w:sz w:val="24"/>
        </w:rPr>
        <w:t>with a </w:t>
      </w:r>
      <w:r>
        <w:rPr>
          <w:i/>
          <w:sz w:val="24"/>
        </w:rPr>
        <w:t>nameplate rating </w:t>
      </w:r>
      <w:r>
        <w:rPr>
          <w:sz w:val="24"/>
        </w:rPr>
        <w:t>of 30 MW or more, with a </w:t>
      </w:r>
      <w:r>
        <w:rPr>
          <w:i/>
          <w:sz w:val="24"/>
        </w:rPr>
        <w:t>voltage control system </w:t>
      </w:r>
      <w:r>
        <w:rPr>
          <w:sz w:val="24"/>
        </w:rPr>
        <w:t>required to regulate </w:t>
      </w:r>
      <w:r>
        <w:rPr>
          <w:i/>
          <w:sz w:val="24"/>
        </w:rPr>
        <w:t>voltage </w:t>
      </w:r>
      <w:r>
        <w:rPr>
          <w:sz w:val="24"/>
        </w:rPr>
        <w:t>under subparagraph (d)(2A)(i)</w:t>
      </w:r>
      <w:r>
        <w:rPr>
          <w:spacing w:val="-8"/>
          <w:sz w:val="24"/>
        </w:rPr>
        <w:t> </w:t>
      </w:r>
      <w:r>
        <w:rPr>
          <w:sz w:val="24"/>
        </w:rPr>
        <w:t>must:</w:t>
      </w:r>
    </w:p>
    <w:p>
      <w:pPr>
        <w:pStyle w:val="ListParagraph"/>
        <w:numPr>
          <w:ilvl w:val="2"/>
          <w:numId w:val="296"/>
        </w:numPr>
        <w:tabs>
          <w:tab w:pos="3053" w:val="left" w:leader="none"/>
        </w:tabs>
        <w:spacing w:line="240" w:lineRule="auto" w:before="120" w:after="0"/>
        <w:ind w:left="3052" w:right="0" w:hanging="567"/>
        <w:jc w:val="both"/>
        <w:rPr>
          <w:sz w:val="24"/>
        </w:rPr>
      </w:pPr>
      <w:r>
        <w:rPr>
          <w:sz w:val="24"/>
        </w:rPr>
        <w:t>[</w:t>
      </w:r>
      <w:r>
        <w:rPr>
          <w:b/>
          <w:sz w:val="24"/>
        </w:rPr>
        <w:t>Deleted</w:t>
      </w:r>
      <w:r>
        <w:rPr>
          <w:sz w:val="24"/>
        </w:rPr>
        <w:t>]</w:t>
      </w:r>
    </w:p>
    <w:p>
      <w:pPr>
        <w:pStyle w:val="ListParagraph"/>
        <w:numPr>
          <w:ilvl w:val="2"/>
          <w:numId w:val="296"/>
        </w:numPr>
        <w:tabs>
          <w:tab w:pos="3054" w:val="left" w:leader="none"/>
        </w:tabs>
        <w:spacing w:line="240" w:lineRule="auto" w:before="120" w:after="0"/>
        <w:ind w:left="3053" w:right="415" w:hanging="567"/>
        <w:jc w:val="both"/>
        <w:rPr>
          <w:sz w:val="24"/>
        </w:rPr>
      </w:pPr>
      <w:r>
        <w:rPr>
          <w:sz w:val="24"/>
        </w:rPr>
        <w:t>subject to co-ordination under paragraph (i), have a </w:t>
      </w:r>
      <w:r>
        <w:rPr>
          <w:i/>
          <w:sz w:val="24"/>
        </w:rPr>
        <w:t>settling time </w:t>
      </w:r>
      <w:r>
        <w:rPr>
          <w:sz w:val="24"/>
        </w:rPr>
        <w:t>less than 7.5 seconds for a 5% </w:t>
      </w:r>
      <w:r>
        <w:rPr>
          <w:i/>
          <w:sz w:val="24"/>
        </w:rPr>
        <w:t>voltage </w:t>
      </w:r>
      <w:r>
        <w:rPr>
          <w:sz w:val="24"/>
        </w:rPr>
        <w:t>disturbance with the </w:t>
      </w:r>
      <w:r>
        <w:rPr>
          <w:i/>
          <w:sz w:val="24"/>
        </w:rPr>
        <w:t>generating unit </w:t>
      </w:r>
      <w:r>
        <w:rPr>
          <w:sz w:val="24"/>
        </w:rPr>
        <w:t>electrically connected to the </w:t>
      </w:r>
      <w:r>
        <w:rPr>
          <w:i/>
          <w:sz w:val="24"/>
        </w:rPr>
        <w:t>power system </w:t>
      </w:r>
      <w:r>
        <w:rPr>
          <w:sz w:val="24"/>
        </w:rPr>
        <w:t>from an operating point where such a </w:t>
      </w:r>
      <w:r>
        <w:rPr>
          <w:i/>
          <w:sz w:val="24"/>
        </w:rPr>
        <w:t>voltage </w:t>
      </w:r>
      <w:r>
        <w:rPr>
          <w:sz w:val="24"/>
        </w:rPr>
        <w:t>disturbance would not cause any limiting device to operate;</w:t>
      </w:r>
      <w:r>
        <w:rPr>
          <w:spacing w:val="-2"/>
          <w:sz w:val="24"/>
        </w:rPr>
        <w:t> </w:t>
      </w:r>
      <w:r>
        <w:rPr>
          <w:sz w:val="24"/>
        </w:rPr>
        <w:t>and</w:t>
      </w:r>
    </w:p>
    <w:p>
      <w:pPr>
        <w:pStyle w:val="ListParagraph"/>
        <w:numPr>
          <w:ilvl w:val="2"/>
          <w:numId w:val="296"/>
        </w:numPr>
        <w:tabs>
          <w:tab w:pos="3053" w:val="left" w:leader="none"/>
        </w:tabs>
        <w:spacing w:line="240" w:lineRule="auto" w:before="120" w:after="0"/>
        <w:ind w:left="3053" w:right="415" w:hanging="567"/>
        <w:jc w:val="both"/>
        <w:rPr>
          <w:sz w:val="24"/>
        </w:rPr>
      </w:pPr>
      <w:r>
        <w:rPr>
          <w:sz w:val="24"/>
        </w:rPr>
        <w:t>have limiting devices to ensure that a </w:t>
      </w:r>
      <w:r>
        <w:rPr>
          <w:i/>
          <w:sz w:val="24"/>
        </w:rPr>
        <w:t>voltage </w:t>
      </w:r>
      <w:r>
        <w:rPr>
          <w:sz w:val="24"/>
        </w:rPr>
        <w:t>disturbance would not cause the </w:t>
      </w:r>
      <w:r>
        <w:rPr>
          <w:i/>
          <w:sz w:val="24"/>
        </w:rPr>
        <w:t>generating unit </w:t>
      </w:r>
      <w:r>
        <w:rPr>
          <w:sz w:val="24"/>
        </w:rPr>
        <w:t>to trip at the limits of its operating capability.</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0"/>
          <w:numId w:val="296"/>
        </w:numPr>
        <w:tabs>
          <w:tab w:pos="1920" w:val="left" w:leader="none"/>
        </w:tabs>
        <w:spacing w:line="240" w:lineRule="auto" w:before="120" w:after="0"/>
        <w:ind w:left="1919" w:right="415" w:hanging="567"/>
        <w:jc w:val="both"/>
        <w:rPr>
          <w:sz w:val="24"/>
        </w:rPr>
      </w:pPr>
      <w:r>
        <w:rPr>
          <w:sz w:val="24"/>
        </w:rPr>
        <w:t>The </w:t>
      </w:r>
      <w:r>
        <w:rPr>
          <w:i/>
          <w:sz w:val="24"/>
        </w:rPr>
        <w:t>negotiated access standard </w:t>
      </w:r>
      <w:r>
        <w:rPr>
          <w:sz w:val="24"/>
        </w:rPr>
        <w:t>proposed by the </w:t>
      </w:r>
      <w:r>
        <w:rPr>
          <w:i/>
          <w:sz w:val="24"/>
        </w:rPr>
        <w:t>Generator </w:t>
      </w:r>
      <w:r>
        <w:rPr>
          <w:sz w:val="24"/>
        </w:rPr>
        <w:t>under clause 5.3.4A(b1) must be the highest level that the </w:t>
      </w:r>
      <w:r>
        <w:rPr>
          <w:i/>
          <w:sz w:val="24"/>
        </w:rPr>
        <w:t>generating system </w:t>
      </w:r>
      <w:r>
        <w:rPr>
          <w:sz w:val="24"/>
        </w:rPr>
        <w:t>can reasonably achieve, including by installation of additional dynamic </w:t>
      </w:r>
      <w:r>
        <w:rPr>
          <w:i/>
          <w:sz w:val="24"/>
        </w:rPr>
        <w:t>reactive </w:t>
      </w:r>
      <w:r>
        <w:rPr>
          <w:i/>
          <w:sz w:val="24"/>
        </w:rPr>
        <w:t>power </w:t>
      </w:r>
      <w:r>
        <w:rPr>
          <w:sz w:val="24"/>
        </w:rPr>
        <w:t>equipment, and through optimising its </w:t>
      </w:r>
      <w:r>
        <w:rPr>
          <w:i/>
          <w:sz w:val="24"/>
        </w:rPr>
        <w:t>control</w:t>
      </w:r>
      <w:r>
        <w:rPr>
          <w:i/>
          <w:spacing w:val="-3"/>
          <w:sz w:val="24"/>
        </w:rPr>
        <w:t> </w:t>
      </w:r>
      <w:r>
        <w:rPr>
          <w:i/>
          <w:sz w:val="24"/>
        </w:rPr>
        <w:t>systems</w:t>
      </w:r>
      <w:r>
        <w:rPr>
          <w:sz w:val="24"/>
        </w:rPr>
        <w:t>.</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spacing w:after="0" w:line="240" w:lineRule="auto"/>
        <w:jc w:val="both"/>
        <w:rPr>
          <w:sz w:val="24"/>
        </w:rPr>
        <w:sectPr>
          <w:pgSz w:w="11910" w:h="16840"/>
          <w:pgMar w:header="686" w:footer="637" w:top="1320" w:bottom="820" w:left="1200" w:right="1000"/>
        </w:sectPr>
      </w:pPr>
    </w:p>
    <w:p>
      <w:pPr>
        <w:spacing w:before="83"/>
        <w:ind w:left="0" w:right="6074" w:firstLine="0"/>
        <w:jc w:val="right"/>
        <w:rPr>
          <w:rFonts w:ascii="Arial"/>
          <w:b/>
          <w:sz w:val="22"/>
        </w:rPr>
      </w:pPr>
      <w:r>
        <w:rPr>
          <w:rFonts w:ascii="Arial"/>
          <w:b/>
          <w:sz w:val="22"/>
        </w:rPr>
        <w:t>General requirements</w:t>
      </w:r>
    </w:p>
    <w:p>
      <w:pPr>
        <w:spacing w:before="120"/>
        <w:ind w:left="1919" w:right="413" w:hanging="567"/>
        <w:jc w:val="both"/>
        <w:rPr>
          <w:sz w:val="24"/>
        </w:rPr>
      </w:pPr>
      <w:r>
        <w:rPr>
          <w:sz w:val="24"/>
        </w:rPr>
        <w:t>(g1)  For the purposes of subparagraph (b)(2A), the </w:t>
      </w:r>
      <w:r>
        <w:rPr>
          <w:i/>
          <w:sz w:val="24"/>
        </w:rPr>
        <w:t>Network Service Provider  </w:t>
      </w:r>
      <w:r>
        <w:rPr>
          <w:sz w:val="24"/>
        </w:rPr>
        <w:t>and </w:t>
      </w:r>
      <w:r>
        <w:rPr>
          <w:i/>
          <w:sz w:val="24"/>
        </w:rPr>
        <w:t>AEMO </w:t>
      </w:r>
      <w:r>
        <w:rPr>
          <w:sz w:val="24"/>
        </w:rPr>
        <w:t>will nominate one or more control modes to be implemented when the </w:t>
      </w:r>
      <w:r>
        <w:rPr>
          <w:i/>
          <w:sz w:val="24"/>
        </w:rPr>
        <w:t>generating system </w:t>
      </w:r>
      <w:r>
        <w:rPr>
          <w:sz w:val="24"/>
        </w:rPr>
        <w:t>is commissioned, and may require additional control modes to be commissioned after </w:t>
      </w:r>
      <w:r>
        <w:rPr>
          <w:i/>
          <w:sz w:val="24"/>
        </w:rPr>
        <w:t>connection </w:t>
      </w:r>
      <w:r>
        <w:rPr>
          <w:sz w:val="24"/>
        </w:rPr>
        <w:t>if the </w:t>
      </w:r>
      <w:r>
        <w:rPr>
          <w:i/>
          <w:sz w:val="24"/>
        </w:rPr>
        <w:t>Network Service </w:t>
      </w:r>
      <w:r>
        <w:rPr>
          <w:i/>
          <w:sz w:val="24"/>
        </w:rPr>
        <w:t>Provider </w:t>
      </w:r>
      <w:r>
        <w:rPr>
          <w:sz w:val="24"/>
        </w:rPr>
        <w:t>or </w:t>
      </w:r>
      <w:r>
        <w:rPr>
          <w:i/>
          <w:sz w:val="24"/>
        </w:rPr>
        <w:t>AEMO </w:t>
      </w:r>
      <w:r>
        <w:rPr>
          <w:sz w:val="24"/>
        </w:rPr>
        <w:t>reasonably considers such additional modes to be necessary to ensure </w:t>
      </w:r>
      <w:r>
        <w:rPr>
          <w:i/>
          <w:sz w:val="24"/>
        </w:rPr>
        <w:t>power system security </w:t>
      </w:r>
      <w:r>
        <w:rPr>
          <w:sz w:val="24"/>
        </w:rPr>
        <w:t>or quality of </w:t>
      </w:r>
      <w:r>
        <w:rPr>
          <w:i/>
          <w:sz w:val="24"/>
        </w:rPr>
        <w:t>supply</w:t>
      </w:r>
      <w:r>
        <w:rPr>
          <w:sz w:val="24"/>
        </w:rPr>
        <w:t>. Where a </w:t>
      </w:r>
      <w:r>
        <w:rPr>
          <w:i/>
          <w:sz w:val="24"/>
        </w:rPr>
        <w:t>generating system </w:t>
      </w:r>
      <w:r>
        <w:rPr>
          <w:sz w:val="24"/>
        </w:rPr>
        <w:t>has been commissioned for more than one control mode, the </w:t>
      </w:r>
      <w:r>
        <w:rPr>
          <w:i/>
          <w:sz w:val="24"/>
        </w:rPr>
        <w:t>Generator</w:t>
      </w:r>
      <w:r>
        <w:rPr>
          <w:sz w:val="24"/>
        </w:rPr>
        <w:t>, </w:t>
      </w:r>
      <w:r>
        <w:rPr>
          <w:i/>
          <w:sz w:val="24"/>
        </w:rPr>
        <w:t>Network Service Provider </w:t>
      </w:r>
      <w:r>
        <w:rPr>
          <w:sz w:val="24"/>
        </w:rPr>
        <w:t>and </w:t>
      </w:r>
      <w:r>
        <w:rPr>
          <w:i/>
          <w:sz w:val="24"/>
        </w:rPr>
        <w:t>AEMO </w:t>
      </w:r>
      <w:r>
        <w:rPr>
          <w:sz w:val="24"/>
        </w:rPr>
        <w:t>must agree on a procedure for switching between control modes. The initial operating mode, other available modes and the procedure for switching between modes must be recorded as part of the </w:t>
      </w:r>
      <w:r>
        <w:rPr>
          <w:i/>
          <w:sz w:val="24"/>
        </w:rPr>
        <w:t>performance</w:t>
      </w:r>
      <w:r>
        <w:rPr>
          <w:i/>
          <w:spacing w:val="-2"/>
          <w:sz w:val="24"/>
        </w:rPr>
        <w:t> </w:t>
      </w:r>
      <w:r>
        <w:rPr>
          <w:i/>
          <w:sz w:val="24"/>
        </w:rPr>
        <w:t>standard</w:t>
      </w:r>
      <w:r>
        <w:rPr>
          <w:sz w:val="24"/>
        </w:rPr>
        <w:t>.</w:t>
      </w:r>
    </w:p>
    <w:p>
      <w:pPr>
        <w:pStyle w:val="ListParagraph"/>
        <w:numPr>
          <w:ilvl w:val="0"/>
          <w:numId w:val="296"/>
        </w:numPr>
        <w:tabs>
          <w:tab w:pos="1919" w:val="left" w:leader="none"/>
        </w:tabs>
        <w:spacing w:line="240" w:lineRule="auto" w:before="120" w:after="0"/>
        <w:ind w:left="1918" w:right="0" w:hanging="567"/>
        <w:jc w:val="both"/>
        <w:rPr>
          <w:sz w:val="24"/>
        </w:rPr>
      </w:pPr>
      <w:r>
        <w:rPr>
          <w:sz w:val="24"/>
        </w:rPr>
        <w:t>A limiting device provided under paragraphs (b) and (d)</w:t>
      </w:r>
      <w:r>
        <w:rPr>
          <w:spacing w:val="-2"/>
          <w:sz w:val="24"/>
        </w:rPr>
        <w:t> </w:t>
      </w:r>
      <w:r>
        <w:rPr>
          <w:sz w:val="24"/>
        </w:rPr>
        <w:t>must:</w:t>
      </w:r>
    </w:p>
    <w:p>
      <w:pPr>
        <w:pStyle w:val="ListParagraph"/>
        <w:numPr>
          <w:ilvl w:val="1"/>
          <w:numId w:val="296"/>
        </w:numPr>
        <w:tabs>
          <w:tab w:pos="2486" w:val="left" w:leader="none"/>
        </w:tabs>
        <w:spacing w:line="240" w:lineRule="auto" w:before="120" w:after="0"/>
        <w:ind w:left="2486" w:right="417" w:hanging="567"/>
        <w:jc w:val="both"/>
        <w:rPr>
          <w:sz w:val="24"/>
        </w:rPr>
      </w:pPr>
      <w:r>
        <w:rPr>
          <w:sz w:val="24"/>
        </w:rPr>
        <w:t>not detract from the performance of any power system stabiliser or power oscillation damping capability;</w:t>
      </w:r>
      <w:r>
        <w:rPr>
          <w:spacing w:val="-1"/>
          <w:sz w:val="24"/>
        </w:rPr>
        <w:t> </w:t>
      </w:r>
      <w:r>
        <w:rPr>
          <w:sz w:val="24"/>
        </w:rPr>
        <w:t>and</w:t>
      </w:r>
    </w:p>
    <w:p>
      <w:pPr>
        <w:pStyle w:val="ListParagraph"/>
        <w:numPr>
          <w:ilvl w:val="1"/>
          <w:numId w:val="296"/>
        </w:numPr>
        <w:tabs>
          <w:tab w:pos="2486" w:val="left" w:leader="none"/>
        </w:tabs>
        <w:spacing w:line="240" w:lineRule="auto" w:before="120" w:after="0"/>
        <w:ind w:left="2485" w:right="0" w:hanging="567"/>
        <w:jc w:val="both"/>
        <w:rPr>
          <w:sz w:val="24"/>
        </w:rPr>
      </w:pPr>
      <w:r>
        <w:rPr>
          <w:sz w:val="24"/>
        </w:rPr>
        <w:t>be co-ordinated with all </w:t>
      </w:r>
      <w:r>
        <w:rPr>
          <w:i/>
          <w:sz w:val="24"/>
        </w:rPr>
        <w:t>protection</w:t>
      </w:r>
      <w:r>
        <w:rPr>
          <w:i/>
          <w:spacing w:val="-1"/>
          <w:sz w:val="24"/>
        </w:rPr>
        <w:t> </w:t>
      </w:r>
      <w:r>
        <w:rPr>
          <w:i/>
          <w:sz w:val="24"/>
        </w:rPr>
        <w:t>systems</w:t>
      </w:r>
      <w:r>
        <w:rPr>
          <w:sz w:val="24"/>
        </w:rPr>
        <w:t>.</w:t>
      </w:r>
    </w:p>
    <w:p>
      <w:pPr>
        <w:pStyle w:val="ListParagraph"/>
        <w:numPr>
          <w:ilvl w:val="0"/>
          <w:numId w:val="301"/>
        </w:numPr>
        <w:tabs>
          <w:tab w:pos="1919" w:val="left" w:leader="none"/>
        </w:tabs>
        <w:spacing w:line="240" w:lineRule="auto" w:before="120" w:after="0"/>
        <w:ind w:left="1919" w:right="415" w:hanging="567"/>
        <w:jc w:val="both"/>
        <w:rPr>
          <w:sz w:val="24"/>
        </w:rPr>
      </w:pPr>
      <w:r>
        <w:rPr>
          <w:sz w:val="24"/>
        </w:rPr>
        <w:t>The </w:t>
      </w:r>
      <w:r>
        <w:rPr>
          <w:i/>
          <w:sz w:val="24"/>
        </w:rPr>
        <w:t>Network Service Provider </w:t>
      </w:r>
      <w:r>
        <w:rPr>
          <w:sz w:val="24"/>
        </w:rPr>
        <w:t>may require that the design and operation of the </w:t>
      </w:r>
      <w:r>
        <w:rPr>
          <w:i/>
          <w:sz w:val="24"/>
        </w:rPr>
        <w:t>control systems </w:t>
      </w:r>
      <w:r>
        <w:rPr>
          <w:sz w:val="24"/>
        </w:rPr>
        <w:t>of a </w:t>
      </w:r>
      <w:r>
        <w:rPr>
          <w:i/>
          <w:sz w:val="24"/>
        </w:rPr>
        <w:t>generating unit </w:t>
      </w:r>
      <w:r>
        <w:rPr>
          <w:sz w:val="24"/>
        </w:rPr>
        <w:t>or </w:t>
      </w:r>
      <w:r>
        <w:rPr>
          <w:i/>
          <w:sz w:val="24"/>
        </w:rPr>
        <w:t>generating system </w:t>
      </w:r>
      <w:r>
        <w:rPr>
          <w:sz w:val="24"/>
        </w:rPr>
        <w:t>be coordinated with the existing </w:t>
      </w:r>
      <w:r>
        <w:rPr>
          <w:i/>
          <w:sz w:val="24"/>
        </w:rPr>
        <w:t>voltage control systems </w:t>
      </w:r>
      <w:r>
        <w:rPr>
          <w:sz w:val="24"/>
        </w:rPr>
        <w:t>of the </w:t>
      </w:r>
      <w:r>
        <w:rPr>
          <w:i/>
          <w:sz w:val="24"/>
        </w:rPr>
        <w:t>Network Service Provider </w:t>
      </w:r>
      <w:r>
        <w:rPr>
          <w:sz w:val="24"/>
        </w:rPr>
        <w:t>and of other </w:t>
      </w:r>
      <w:r>
        <w:rPr>
          <w:i/>
          <w:sz w:val="24"/>
        </w:rPr>
        <w:t>Network Users</w:t>
      </w:r>
      <w:r>
        <w:rPr>
          <w:sz w:val="24"/>
        </w:rPr>
        <w:t>, in order to avoid or manage interactions that would adversely impact on the </w:t>
      </w:r>
      <w:r>
        <w:rPr>
          <w:i/>
          <w:sz w:val="24"/>
        </w:rPr>
        <w:t>Network Service Provider </w:t>
      </w:r>
      <w:r>
        <w:rPr>
          <w:sz w:val="24"/>
        </w:rPr>
        <w:t>and other </w:t>
      </w:r>
      <w:r>
        <w:rPr>
          <w:i/>
          <w:sz w:val="24"/>
        </w:rPr>
        <w:t>Network </w:t>
      </w:r>
      <w:r>
        <w:rPr>
          <w:i/>
          <w:sz w:val="24"/>
        </w:rPr>
        <w:t>Users</w:t>
      </w:r>
      <w:r>
        <w:rPr>
          <w:sz w:val="24"/>
        </w:rPr>
        <w:t>.</w:t>
      </w:r>
    </w:p>
    <w:p>
      <w:pPr>
        <w:pStyle w:val="ListParagraph"/>
        <w:numPr>
          <w:ilvl w:val="0"/>
          <w:numId w:val="301"/>
        </w:numPr>
        <w:tabs>
          <w:tab w:pos="1919" w:val="left" w:leader="none"/>
        </w:tabs>
        <w:spacing w:line="240" w:lineRule="auto" w:before="120" w:after="0"/>
        <w:ind w:left="1919" w:right="415" w:hanging="567"/>
        <w:jc w:val="both"/>
        <w:rPr>
          <w:sz w:val="24"/>
        </w:rPr>
      </w:pPr>
      <w:r>
        <w:rPr>
          <w:sz w:val="24"/>
        </w:rPr>
        <w:t>Any requirements imposed by the </w:t>
      </w:r>
      <w:r>
        <w:rPr>
          <w:i/>
          <w:sz w:val="24"/>
        </w:rPr>
        <w:t>Network Service Provider </w:t>
      </w:r>
      <w:r>
        <w:rPr>
          <w:sz w:val="24"/>
        </w:rPr>
        <w:t>under paragraph (i) must be recorded in the </w:t>
      </w:r>
      <w:r>
        <w:rPr>
          <w:i/>
          <w:sz w:val="24"/>
        </w:rPr>
        <w:t>performance</w:t>
      </w:r>
      <w:r>
        <w:rPr>
          <w:i/>
          <w:spacing w:val="-3"/>
          <w:sz w:val="24"/>
        </w:rPr>
        <w:t> </w:t>
      </w:r>
      <w:r>
        <w:rPr>
          <w:i/>
          <w:sz w:val="24"/>
        </w:rPr>
        <w:t>standard</w:t>
      </w:r>
      <w:r>
        <w:rPr>
          <w:sz w:val="24"/>
        </w:rPr>
        <w:t>.</w:t>
      </w:r>
    </w:p>
    <w:p>
      <w:pPr>
        <w:pStyle w:val="ListParagraph"/>
        <w:numPr>
          <w:ilvl w:val="0"/>
          <w:numId w:val="301"/>
        </w:numPr>
        <w:tabs>
          <w:tab w:pos="1919" w:val="left" w:leader="none"/>
        </w:tabs>
        <w:spacing w:line="240" w:lineRule="auto" w:before="120" w:after="0"/>
        <w:ind w:left="1919" w:right="416" w:hanging="567"/>
        <w:jc w:val="both"/>
        <w:rPr>
          <w:sz w:val="24"/>
        </w:rPr>
      </w:pPr>
      <w:r>
        <w:rPr>
          <w:sz w:val="24"/>
        </w:rPr>
        <w:t>The assessment of impact of the </w:t>
      </w:r>
      <w:r>
        <w:rPr>
          <w:i/>
          <w:sz w:val="24"/>
        </w:rPr>
        <w:t>generating units </w:t>
      </w:r>
      <w:r>
        <w:rPr>
          <w:sz w:val="24"/>
        </w:rPr>
        <w:t>on </w:t>
      </w:r>
      <w:r>
        <w:rPr>
          <w:i/>
          <w:sz w:val="24"/>
        </w:rPr>
        <w:t>power system </w:t>
      </w:r>
      <w:r>
        <w:rPr>
          <w:sz w:val="24"/>
        </w:rPr>
        <w:t>stability and damping of </w:t>
      </w:r>
      <w:r>
        <w:rPr>
          <w:i/>
          <w:sz w:val="24"/>
        </w:rPr>
        <w:t>power system </w:t>
      </w:r>
      <w:r>
        <w:rPr>
          <w:sz w:val="24"/>
        </w:rPr>
        <w:t>oscillations shall be in accordance with the guidelines for </w:t>
      </w:r>
      <w:r>
        <w:rPr>
          <w:i/>
          <w:sz w:val="24"/>
        </w:rPr>
        <w:t>power system </w:t>
      </w:r>
      <w:r>
        <w:rPr>
          <w:sz w:val="24"/>
        </w:rPr>
        <w:t>stability established under clause</w:t>
      </w:r>
      <w:r>
        <w:rPr>
          <w:spacing w:val="-8"/>
          <w:sz w:val="24"/>
        </w:rPr>
        <w:t> </w:t>
      </w:r>
      <w:r>
        <w:rPr>
          <w:sz w:val="24"/>
        </w:rPr>
        <w:t>4.3.4(h).</w:t>
      </w:r>
    </w:p>
    <w:p>
      <w:pPr>
        <w:pStyle w:val="BodyText"/>
        <w:spacing w:before="10"/>
        <w:ind w:firstLine="0"/>
        <w:jc w:val="left"/>
        <w:rPr>
          <w:sz w:val="20"/>
        </w:rPr>
      </w:pPr>
    </w:p>
    <w:p>
      <w:pPr>
        <w:pStyle w:val="Heading4"/>
        <w:ind w:left="0" w:right="5979" w:firstLine="0"/>
        <w:jc w:val="right"/>
      </w:pPr>
      <w:bookmarkStart w:name="S5.2.5.14 Active power control" w:id="996"/>
      <w:bookmarkEnd w:id="996"/>
      <w:r>
        <w:rPr>
          <w:b w:val="0"/>
        </w:rPr>
      </w:r>
      <w:bookmarkStart w:name="_bookmark390" w:id="997"/>
      <w:bookmarkEnd w:id="997"/>
      <w:r>
        <w:rPr>
          <w:b w:val="0"/>
        </w:rPr>
      </w:r>
      <w:r>
        <w:rPr/>
        <w:t>S5.2.5.14 Active power control</w:t>
      </w:r>
    </w:p>
    <w:p>
      <w:pPr>
        <w:pStyle w:val="ListParagraph"/>
        <w:numPr>
          <w:ilvl w:val="0"/>
          <w:numId w:val="302"/>
        </w:numPr>
        <w:tabs>
          <w:tab w:pos="1919" w:val="left" w:leader="none"/>
        </w:tabs>
        <w:spacing w:line="240" w:lineRule="auto" w:before="120" w:after="0"/>
        <w:ind w:left="1919" w:right="416" w:hanging="567"/>
        <w:jc w:val="both"/>
        <w:rPr>
          <w:sz w:val="24"/>
        </w:rPr>
      </w:pPr>
      <w:r>
        <w:rPr>
          <w:sz w:val="24"/>
        </w:rPr>
        <w:t>The </w:t>
      </w:r>
      <w:r>
        <w:rPr>
          <w:i/>
          <w:sz w:val="24"/>
        </w:rPr>
        <w:t>automatic access standard </w:t>
      </w:r>
      <w:r>
        <w:rPr>
          <w:sz w:val="24"/>
        </w:rPr>
        <w:t>is a </w:t>
      </w:r>
      <w:r>
        <w:rPr>
          <w:i/>
          <w:sz w:val="24"/>
        </w:rPr>
        <w:t>generating system </w:t>
      </w:r>
      <w:r>
        <w:rPr>
          <w:sz w:val="24"/>
        </w:rPr>
        <w:t>must have an </w:t>
      </w:r>
      <w:r>
        <w:rPr>
          <w:i/>
          <w:sz w:val="24"/>
        </w:rPr>
        <w:t>active </w:t>
      </w:r>
      <w:r>
        <w:rPr>
          <w:i/>
          <w:sz w:val="24"/>
        </w:rPr>
        <w:t>power control system </w:t>
      </w:r>
      <w:r>
        <w:rPr>
          <w:sz w:val="24"/>
        </w:rPr>
        <w:t>capable</w:t>
      </w:r>
      <w:r>
        <w:rPr>
          <w:spacing w:val="-2"/>
          <w:sz w:val="24"/>
        </w:rPr>
        <w:t> </w:t>
      </w:r>
      <w:r>
        <w:rPr>
          <w:sz w:val="24"/>
        </w:rPr>
        <w:t>of:</w:t>
      </w:r>
    </w:p>
    <w:p>
      <w:pPr>
        <w:pStyle w:val="ListParagraph"/>
        <w:numPr>
          <w:ilvl w:val="1"/>
          <w:numId w:val="302"/>
        </w:numPr>
        <w:tabs>
          <w:tab w:pos="2486" w:val="left" w:leader="none"/>
        </w:tabs>
        <w:spacing w:line="240" w:lineRule="auto" w:before="120" w:after="0"/>
        <w:ind w:left="2485" w:right="0" w:hanging="567"/>
        <w:jc w:val="both"/>
        <w:rPr>
          <w:sz w:val="24"/>
        </w:rPr>
      </w:pPr>
      <w:r>
        <w:rPr>
          <w:sz w:val="24"/>
        </w:rPr>
        <w:t>for a </w:t>
      </w:r>
      <w:r>
        <w:rPr>
          <w:i/>
          <w:sz w:val="24"/>
        </w:rPr>
        <w:t>scheduled generating unit </w:t>
      </w:r>
      <w:r>
        <w:rPr>
          <w:sz w:val="24"/>
        </w:rPr>
        <w:t>or a </w:t>
      </w:r>
      <w:r>
        <w:rPr>
          <w:i/>
          <w:sz w:val="24"/>
        </w:rPr>
        <w:t>scheduled generating</w:t>
      </w:r>
      <w:r>
        <w:rPr>
          <w:i/>
          <w:spacing w:val="-11"/>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4" w:hanging="567"/>
        <w:jc w:val="both"/>
        <w:rPr>
          <w:sz w:val="24"/>
        </w:rPr>
      </w:pPr>
      <w:r>
        <w:rPr>
          <w:sz w:val="24"/>
        </w:rPr>
        <w:t>maintaining and changing its </w:t>
      </w:r>
      <w:r>
        <w:rPr>
          <w:i/>
          <w:sz w:val="24"/>
        </w:rPr>
        <w:t>active power </w:t>
      </w:r>
      <w:r>
        <w:rPr>
          <w:sz w:val="24"/>
        </w:rPr>
        <w:t>output in accordance with its </w:t>
      </w:r>
      <w:r>
        <w:rPr>
          <w:i/>
          <w:sz w:val="24"/>
        </w:rPr>
        <w:t>dispatch</w:t>
      </w:r>
      <w:r>
        <w:rPr>
          <w:i/>
          <w:spacing w:val="-2"/>
          <w:sz w:val="24"/>
        </w:rPr>
        <w:t> </w:t>
      </w:r>
      <w:r>
        <w:rPr>
          <w:i/>
          <w:sz w:val="24"/>
        </w:rPr>
        <w:t>instructions</w:t>
      </w:r>
      <w:r>
        <w:rPr>
          <w:sz w:val="24"/>
        </w:rPr>
        <w:t>;</w:t>
      </w:r>
    </w:p>
    <w:p>
      <w:pPr>
        <w:pStyle w:val="ListParagraph"/>
        <w:numPr>
          <w:ilvl w:val="2"/>
          <w:numId w:val="302"/>
        </w:numPr>
        <w:tabs>
          <w:tab w:pos="3054" w:val="left" w:leader="none"/>
        </w:tabs>
        <w:spacing w:line="240" w:lineRule="auto" w:before="120" w:after="0"/>
        <w:ind w:left="3053" w:right="0" w:hanging="568"/>
        <w:jc w:val="both"/>
        <w:rPr>
          <w:sz w:val="24"/>
        </w:rPr>
      </w:pPr>
      <w:r>
        <w:rPr>
          <w:sz w:val="24"/>
        </w:rPr>
        <w:t>ramping</w:t>
      </w:r>
      <w:r>
        <w:rPr>
          <w:spacing w:val="13"/>
          <w:sz w:val="24"/>
        </w:rPr>
        <w:t> </w:t>
      </w:r>
      <w:r>
        <w:rPr>
          <w:sz w:val="24"/>
        </w:rPr>
        <w:t>its</w:t>
      </w:r>
      <w:r>
        <w:rPr>
          <w:spacing w:val="14"/>
          <w:sz w:val="24"/>
        </w:rPr>
        <w:t> </w:t>
      </w:r>
      <w:r>
        <w:rPr>
          <w:i/>
          <w:sz w:val="24"/>
        </w:rPr>
        <w:t>active</w:t>
      </w:r>
      <w:r>
        <w:rPr>
          <w:i/>
          <w:spacing w:val="14"/>
          <w:sz w:val="24"/>
        </w:rPr>
        <w:t> </w:t>
      </w:r>
      <w:r>
        <w:rPr>
          <w:i/>
          <w:sz w:val="24"/>
        </w:rPr>
        <w:t>power</w:t>
      </w:r>
      <w:r>
        <w:rPr>
          <w:i/>
          <w:spacing w:val="13"/>
          <w:sz w:val="24"/>
        </w:rPr>
        <w:t> </w:t>
      </w:r>
      <w:r>
        <w:rPr>
          <w:sz w:val="24"/>
        </w:rPr>
        <w:t>output</w:t>
      </w:r>
      <w:r>
        <w:rPr>
          <w:spacing w:val="14"/>
          <w:sz w:val="24"/>
        </w:rPr>
        <w:t> </w:t>
      </w:r>
      <w:r>
        <w:rPr>
          <w:sz w:val="24"/>
        </w:rPr>
        <w:t>linearly</w:t>
      </w:r>
      <w:r>
        <w:rPr>
          <w:spacing w:val="14"/>
          <w:sz w:val="24"/>
        </w:rPr>
        <w:t> </w:t>
      </w:r>
      <w:r>
        <w:rPr>
          <w:sz w:val="24"/>
        </w:rPr>
        <w:t>from</w:t>
      </w:r>
      <w:r>
        <w:rPr>
          <w:spacing w:val="13"/>
          <w:sz w:val="24"/>
        </w:rPr>
        <w:t> </w:t>
      </w:r>
      <w:r>
        <w:rPr>
          <w:sz w:val="24"/>
        </w:rPr>
        <w:t>one</w:t>
      </w:r>
      <w:r>
        <w:rPr>
          <w:spacing w:val="14"/>
          <w:sz w:val="24"/>
        </w:rPr>
        <w:t> </w:t>
      </w:r>
      <w:r>
        <w:rPr>
          <w:sz w:val="24"/>
        </w:rPr>
        <w:t>level</w:t>
      </w:r>
      <w:r>
        <w:rPr>
          <w:spacing w:val="14"/>
          <w:sz w:val="24"/>
        </w:rPr>
        <w:t> </w:t>
      </w:r>
      <w:r>
        <w:rPr>
          <w:sz w:val="24"/>
        </w:rPr>
        <w:t>of</w:t>
      </w:r>
    </w:p>
    <w:p>
      <w:pPr>
        <w:spacing w:before="0"/>
        <w:ind w:left="3053" w:right="0" w:firstLine="0"/>
        <w:jc w:val="both"/>
        <w:rPr>
          <w:sz w:val="24"/>
        </w:rPr>
      </w:pPr>
      <w:r>
        <w:rPr>
          <w:i/>
          <w:sz w:val="24"/>
        </w:rPr>
        <w:t>dispatch </w:t>
      </w:r>
      <w:r>
        <w:rPr>
          <w:sz w:val="24"/>
        </w:rPr>
        <w:t>to another; and</w:t>
      </w:r>
    </w:p>
    <w:p>
      <w:pPr>
        <w:pStyle w:val="ListParagraph"/>
        <w:numPr>
          <w:ilvl w:val="2"/>
          <w:numId w:val="302"/>
        </w:numPr>
        <w:tabs>
          <w:tab w:pos="3053" w:val="left" w:leader="none"/>
        </w:tabs>
        <w:spacing w:line="240" w:lineRule="auto" w:before="120" w:after="0"/>
        <w:ind w:left="3053" w:right="416" w:hanging="567"/>
        <w:jc w:val="both"/>
        <w:rPr>
          <w:sz w:val="24"/>
        </w:rPr>
      </w:pPr>
      <w:r>
        <w:rPr>
          <w:sz w:val="24"/>
        </w:rPr>
        <w:t>receiving and automatically responding to signals delivered from the </w:t>
      </w:r>
      <w:r>
        <w:rPr>
          <w:i/>
          <w:sz w:val="24"/>
        </w:rPr>
        <w:t>automatic generation control system</w:t>
      </w:r>
      <w:r>
        <w:rPr>
          <w:sz w:val="24"/>
        </w:rPr>
        <w:t>, as updated at a rate of once every 4 seconds (or such other period specified by </w:t>
      </w:r>
      <w:r>
        <w:rPr>
          <w:i/>
          <w:sz w:val="24"/>
        </w:rPr>
        <w:t>AEMO </w:t>
      </w:r>
      <w:r>
        <w:rPr>
          <w:sz w:val="24"/>
        </w:rPr>
        <w:t>as</w:t>
      </w:r>
      <w:r>
        <w:rPr>
          <w:spacing w:val="-1"/>
          <w:sz w:val="24"/>
        </w:rPr>
        <w:t> </w:t>
      </w:r>
      <w:r>
        <w:rPr>
          <w:sz w:val="24"/>
        </w:rPr>
        <w:t>required);</w:t>
      </w:r>
    </w:p>
    <w:p>
      <w:pPr>
        <w:pStyle w:val="ListParagraph"/>
        <w:numPr>
          <w:ilvl w:val="1"/>
          <w:numId w:val="302"/>
        </w:numPr>
        <w:tabs>
          <w:tab w:pos="2486" w:val="left" w:leader="none"/>
        </w:tabs>
        <w:spacing w:line="240" w:lineRule="auto" w:before="120" w:after="0"/>
        <w:ind w:left="2486" w:right="415" w:hanging="567"/>
        <w:jc w:val="both"/>
        <w:rPr>
          <w:sz w:val="24"/>
        </w:rPr>
      </w:pPr>
      <w:r>
        <w:rPr>
          <w:sz w:val="24"/>
        </w:rPr>
        <w:t>subject to energy source availability, for a </w:t>
      </w:r>
      <w:r>
        <w:rPr>
          <w:i/>
          <w:sz w:val="24"/>
        </w:rPr>
        <w:t>non-scheduled generating </w:t>
      </w:r>
      <w:r>
        <w:rPr>
          <w:i/>
          <w:sz w:val="24"/>
        </w:rPr>
        <w:t>unit </w:t>
      </w:r>
      <w:r>
        <w:rPr>
          <w:sz w:val="24"/>
        </w:rPr>
        <w:t>or </w:t>
      </w:r>
      <w:r>
        <w:rPr>
          <w:i/>
          <w:sz w:val="24"/>
        </w:rPr>
        <w:t>non-scheduled generating</w:t>
      </w:r>
      <w:r>
        <w:rPr>
          <w:i/>
          <w:spacing w:val="-1"/>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5" w:hanging="567"/>
        <w:jc w:val="both"/>
        <w:rPr>
          <w:sz w:val="24"/>
        </w:rPr>
      </w:pPr>
      <w:r>
        <w:rPr>
          <w:sz w:val="24"/>
        </w:rPr>
        <w:t>automatically reducing or increasing its </w:t>
      </w:r>
      <w:r>
        <w:rPr>
          <w:i/>
          <w:sz w:val="24"/>
        </w:rPr>
        <w:t>active power </w:t>
      </w:r>
      <w:r>
        <w:rPr>
          <w:spacing w:val="-3"/>
          <w:sz w:val="24"/>
        </w:rPr>
        <w:t>output </w:t>
      </w:r>
      <w:r>
        <w:rPr>
          <w:sz w:val="24"/>
        </w:rPr>
        <w:t>within</w:t>
      </w:r>
      <w:r>
        <w:rPr>
          <w:spacing w:val="10"/>
          <w:sz w:val="24"/>
        </w:rPr>
        <w:t> </w:t>
      </w:r>
      <w:r>
        <w:rPr>
          <w:sz w:val="24"/>
        </w:rPr>
        <w:t>5</w:t>
      </w:r>
      <w:r>
        <w:rPr>
          <w:spacing w:val="11"/>
          <w:sz w:val="24"/>
        </w:rPr>
        <w:t> </w:t>
      </w:r>
      <w:r>
        <w:rPr>
          <w:sz w:val="24"/>
        </w:rPr>
        <w:t>minutes,</w:t>
      </w:r>
      <w:r>
        <w:rPr>
          <w:spacing w:val="12"/>
          <w:sz w:val="24"/>
        </w:rPr>
        <w:t> </w:t>
      </w:r>
      <w:r>
        <w:rPr>
          <w:sz w:val="24"/>
        </w:rPr>
        <w:t>at</w:t>
      </w:r>
      <w:r>
        <w:rPr>
          <w:spacing w:val="10"/>
          <w:sz w:val="24"/>
        </w:rPr>
        <w:t> </w:t>
      </w:r>
      <w:r>
        <w:rPr>
          <w:sz w:val="24"/>
        </w:rPr>
        <w:t>a</w:t>
      </w:r>
      <w:r>
        <w:rPr>
          <w:spacing w:val="11"/>
          <w:sz w:val="24"/>
        </w:rPr>
        <w:t> </w:t>
      </w:r>
      <w:r>
        <w:rPr>
          <w:sz w:val="24"/>
        </w:rPr>
        <w:t>constant</w:t>
      </w:r>
      <w:r>
        <w:rPr>
          <w:spacing w:val="10"/>
          <w:sz w:val="24"/>
        </w:rPr>
        <w:t> </w:t>
      </w:r>
      <w:r>
        <w:rPr>
          <w:sz w:val="24"/>
        </w:rPr>
        <w:t>rate,</w:t>
      </w:r>
      <w:r>
        <w:rPr>
          <w:spacing w:val="11"/>
          <w:sz w:val="24"/>
        </w:rPr>
        <w:t> </w:t>
      </w:r>
      <w:r>
        <w:rPr>
          <w:sz w:val="24"/>
        </w:rPr>
        <w:t>to</w:t>
      </w:r>
      <w:r>
        <w:rPr>
          <w:spacing w:val="11"/>
          <w:sz w:val="24"/>
        </w:rPr>
        <w:t> </w:t>
      </w:r>
      <w:r>
        <w:rPr>
          <w:sz w:val="24"/>
        </w:rPr>
        <w:t>or</w:t>
      </w:r>
      <w:r>
        <w:rPr>
          <w:spacing w:val="11"/>
          <w:sz w:val="24"/>
        </w:rPr>
        <w:t> </w:t>
      </w:r>
      <w:r>
        <w:rPr>
          <w:sz w:val="24"/>
        </w:rPr>
        <w:t>below</w:t>
      </w:r>
      <w:r>
        <w:rPr>
          <w:spacing w:val="10"/>
          <w:sz w:val="24"/>
        </w:rPr>
        <w:t> </w:t>
      </w:r>
      <w:r>
        <w:rPr>
          <w:sz w:val="24"/>
        </w:rPr>
        <w:t>the</w:t>
      </w:r>
      <w:r>
        <w:rPr>
          <w:spacing w:val="11"/>
          <w:sz w:val="24"/>
        </w:rPr>
        <w:t> </w:t>
      </w:r>
      <w:r>
        <w:rPr>
          <w:sz w:val="24"/>
        </w:rPr>
        <w:t>level</w:t>
      </w:r>
    </w:p>
    <w:p>
      <w:pPr>
        <w:spacing w:after="0" w:line="240" w:lineRule="auto"/>
        <w:jc w:val="both"/>
        <w:rPr>
          <w:sz w:val="24"/>
        </w:rPr>
        <w:sectPr>
          <w:pgSz w:w="11910" w:h="16840"/>
          <w:pgMar w:header="686" w:footer="637" w:top="1320" w:bottom="820" w:left="1200" w:right="1000"/>
        </w:sectPr>
      </w:pPr>
    </w:p>
    <w:p>
      <w:pPr>
        <w:pStyle w:val="BodyText"/>
        <w:spacing w:before="83"/>
        <w:ind w:left="3053" w:right="415" w:firstLine="0"/>
      </w:pPr>
      <w:r>
        <w:rPr/>
        <w:t>specified in an instruction electronically issued by a </w:t>
      </w:r>
      <w:r>
        <w:rPr>
          <w:i/>
        </w:rPr>
        <w:t>control </w:t>
      </w:r>
      <w:r>
        <w:rPr>
          <w:i/>
        </w:rPr>
        <w:t>centre</w:t>
      </w:r>
      <w:r>
        <w:rPr/>
        <w:t>, subject to subparagraph (iii);</w:t>
      </w:r>
    </w:p>
    <w:p>
      <w:pPr>
        <w:pStyle w:val="ListParagraph"/>
        <w:numPr>
          <w:ilvl w:val="2"/>
          <w:numId w:val="302"/>
        </w:numPr>
        <w:tabs>
          <w:tab w:pos="3054" w:val="left" w:leader="none"/>
        </w:tabs>
        <w:spacing w:line="240" w:lineRule="auto" w:before="120" w:after="0"/>
        <w:ind w:left="3053" w:right="415" w:hanging="567"/>
        <w:jc w:val="both"/>
        <w:rPr>
          <w:sz w:val="24"/>
        </w:rPr>
      </w:pPr>
      <w:r>
        <w:rPr>
          <w:sz w:val="24"/>
        </w:rPr>
        <w:t>automatically limiting its </w:t>
      </w:r>
      <w:r>
        <w:rPr>
          <w:i/>
          <w:sz w:val="24"/>
        </w:rPr>
        <w:t>active power </w:t>
      </w:r>
      <w:r>
        <w:rPr>
          <w:sz w:val="24"/>
        </w:rPr>
        <w:t>output, to below the level specified in subparagraph (i);</w:t>
      </w:r>
      <w:r>
        <w:rPr>
          <w:spacing w:val="-3"/>
          <w:sz w:val="24"/>
        </w:rPr>
        <w:t> </w:t>
      </w:r>
      <w:r>
        <w:rPr>
          <w:sz w:val="24"/>
        </w:rPr>
        <w:t>and</w:t>
      </w:r>
    </w:p>
    <w:p>
      <w:pPr>
        <w:pStyle w:val="ListParagraph"/>
        <w:numPr>
          <w:ilvl w:val="2"/>
          <w:numId w:val="302"/>
        </w:numPr>
        <w:tabs>
          <w:tab w:pos="3053" w:val="left" w:leader="none"/>
        </w:tabs>
        <w:spacing w:line="240" w:lineRule="auto" w:before="120" w:after="0"/>
        <w:ind w:left="3053" w:right="414" w:hanging="567"/>
        <w:jc w:val="both"/>
        <w:rPr>
          <w:sz w:val="24"/>
        </w:rPr>
      </w:pPr>
      <w:r>
        <w:rPr>
          <w:sz w:val="24"/>
        </w:rPr>
        <w:t>not changing its </w:t>
      </w:r>
      <w:r>
        <w:rPr>
          <w:i/>
          <w:sz w:val="24"/>
        </w:rPr>
        <w:t>active power </w:t>
      </w:r>
      <w:r>
        <w:rPr>
          <w:sz w:val="24"/>
        </w:rPr>
        <w:t>output within 5 minutes by more than the raise and lower amounts specified in an</w:t>
      </w:r>
      <w:r>
        <w:rPr>
          <w:spacing w:val="33"/>
          <w:sz w:val="24"/>
        </w:rPr>
        <w:t> </w:t>
      </w:r>
      <w:r>
        <w:rPr>
          <w:sz w:val="24"/>
        </w:rPr>
        <w:t>instruction electronically issued by a </w:t>
      </w:r>
      <w:r>
        <w:rPr>
          <w:i/>
          <w:sz w:val="24"/>
        </w:rPr>
        <w:t>control centre</w:t>
      </w:r>
      <w:r>
        <w:rPr>
          <w:sz w:val="24"/>
        </w:rPr>
        <w:t>;</w:t>
      </w:r>
      <w:r>
        <w:rPr>
          <w:spacing w:val="-1"/>
          <w:sz w:val="24"/>
        </w:rPr>
        <w:t> </w:t>
      </w:r>
      <w:r>
        <w:rPr>
          <w:sz w:val="24"/>
        </w:rPr>
        <w:t>and</w:t>
      </w:r>
    </w:p>
    <w:p>
      <w:pPr>
        <w:pStyle w:val="ListParagraph"/>
        <w:numPr>
          <w:ilvl w:val="1"/>
          <w:numId w:val="302"/>
        </w:numPr>
        <w:tabs>
          <w:tab w:pos="2486" w:val="left" w:leader="none"/>
        </w:tabs>
        <w:spacing w:line="240" w:lineRule="auto" w:before="120" w:after="0"/>
        <w:ind w:left="2486" w:right="415" w:hanging="567"/>
        <w:jc w:val="both"/>
        <w:rPr>
          <w:sz w:val="24"/>
        </w:rPr>
      </w:pPr>
      <w:r>
        <w:rPr>
          <w:sz w:val="24"/>
        </w:rPr>
        <w:t>subject to energy source availability, for a </w:t>
      </w:r>
      <w:r>
        <w:rPr>
          <w:i/>
          <w:sz w:val="24"/>
        </w:rPr>
        <w:t>semi-scheduled generating </w:t>
      </w:r>
      <w:r>
        <w:rPr>
          <w:i/>
          <w:sz w:val="24"/>
        </w:rPr>
        <w:t>unit </w:t>
      </w:r>
      <w:r>
        <w:rPr>
          <w:sz w:val="24"/>
        </w:rPr>
        <w:t>or a </w:t>
      </w:r>
      <w:r>
        <w:rPr>
          <w:i/>
          <w:sz w:val="24"/>
        </w:rPr>
        <w:t>semi-scheduled generating</w:t>
      </w:r>
      <w:r>
        <w:rPr>
          <w:i/>
          <w:spacing w:val="-2"/>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5" w:hanging="567"/>
        <w:jc w:val="both"/>
        <w:rPr>
          <w:sz w:val="24"/>
        </w:rPr>
      </w:pPr>
      <w:r>
        <w:rPr>
          <w:sz w:val="24"/>
        </w:rPr>
        <w:t>automatically reducing or increasing its </w:t>
      </w:r>
      <w:r>
        <w:rPr>
          <w:i/>
          <w:sz w:val="24"/>
        </w:rPr>
        <w:t>active power </w:t>
      </w:r>
      <w:r>
        <w:rPr>
          <w:spacing w:val="-3"/>
          <w:sz w:val="24"/>
        </w:rPr>
        <w:t>output </w:t>
      </w:r>
      <w:r>
        <w:rPr>
          <w:sz w:val="24"/>
        </w:rPr>
        <w:t>within 5 minutes at a constant rate, to or below the level specified in an instruction electronically issued by a </w:t>
      </w:r>
      <w:r>
        <w:rPr>
          <w:i/>
          <w:sz w:val="24"/>
        </w:rPr>
        <w:t>control </w:t>
      </w:r>
      <w:r>
        <w:rPr>
          <w:i/>
          <w:sz w:val="24"/>
        </w:rPr>
        <w:t>centre</w:t>
      </w:r>
      <w:r>
        <w:rPr>
          <w:sz w:val="24"/>
        </w:rPr>
        <w:t>;</w:t>
      </w:r>
    </w:p>
    <w:p>
      <w:pPr>
        <w:pStyle w:val="ListParagraph"/>
        <w:numPr>
          <w:ilvl w:val="2"/>
          <w:numId w:val="302"/>
        </w:numPr>
        <w:tabs>
          <w:tab w:pos="3054" w:val="left" w:leader="none"/>
        </w:tabs>
        <w:spacing w:line="240" w:lineRule="auto" w:before="120" w:after="0"/>
        <w:ind w:left="3053" w:right="415" w:hanging="567"/>
        <w:jc w:val="both"/>
        <w:rPr>
          <w:sz w:val="24"/>
        </w:rPr>
      </w:pPr>
      <w:r>
        <w:rPr>
          <w:sz w:val="24"/>
        </w:rPr>
        <w:t>automatically limiting its </w:t>
      </w:r>
      <w:r>
        <w:rPr>
          <w:i/>
          <w:sz w:val="24"/>
        </w:rPr>
        <w:t>active power </w:t>
      </w:r>
      <w:r>
        <w:rPr>
          <w:sz w:val="24"/>
        </w:rPr>
        <w:t>output, to or below the level specified in subparagraph</w:t>
      </w:r>
      <w:r>
        <w:rPr>
          <w:spacing w:val="-3"/>
          <w:sz w:val="24"/>
        </w:rPr>
        <w:t> </w:t>
      </w:r>
      <w:r>
        <w:rPr>
          <w:sz w:val="24"/>
        </w:rPr>
        <w:t>(i);</w:t>
      </w:r>
    </w:p>
    <w:p>
      <w:pPr>
        <w:pStyle w:val="ListParagraph"/>
        <w:numPr>
          <w:ilvl w:val="2"/>
          <w:numId w:val="302"/>
        </w:numPr>
        <w:tabs>
          <w:tab w:pos="3053" w:val="left" w:leader="none"/>
        </w:tabs>
        <w:spacing w:line="240" w:lineRule="auto" w:before="120" w:after="0"/>
        <w:ind w:left="3053" w:right="414" w:hanging="567"/>
        <w:jc w:val="both"/>
        <w:rPr>
          <w:sz w:val="24"/>
        </w:rPr>
      </w:pPr>
      <w:r>
        <w:rPr>
          <w:sz w:val="24"/>
        </w:rPr>
        <w:t>not changing its </w:t>
      </w:r>
      <w:r>
        <w:rPr>
          <w:i/>
          <w:sz w:val="24"/>
        </w:rPr>
        <w:t>active power </w:t>
      </w:r>
      <w:r>
        <w:rPr>
          <w:sz w:val="24"/>
        </w:rPr>
        <w:t>output within 5 minutes by more than the raise and lower amounts specified in an</w:t>
      </w:r>
      <w:r>
        <w:rPr>
          <w:spacing w:val="33"/>
          <w:sz w:val="24"/>
        </w:rPr>
        <w:t> </w:t>
      </w:r>
      <w:r>
        <w:rPr>
          <w:sz w:val="24"/>
        </w:rPr>
        <w:t>instruction electronically issued by a </w:t>
      </w:r>
      <w:r>
        <w:rPr>
          <w:i/>
          <w:sz w:val="24"/>
        </w:rPr>
        <w:t>control</w:t>
      </w:r>
      <w:r>
        <w:rPr>
          <w:i/>
          <w:spacing w:val="-1"/>
          <w:sz w:val="24"/>
        </w:rPr>
        <w:t> </w:t>
      </w:r>
      <w:r>
        <w:rPr>
          <w:i/>
          <w:sz w:val="24"/>
        </w:rPr>
        <w:t>centre</w:t>
      </w:r>
      <w:r>
        <w:rPr>
          <w:sz w:val="24"/>
        </w:rPr>
        <w:t>;</w:t>
      </w:r>
    </w:p>
    <w:p>
      <w:pPr>
        <w:pStyle w:val="ListParagraph"/>
        <w:numPr>
          <w:ilvl w:val="2"/>
          <w:numId w:val="302"/>
        </w:numPr>
        <w:tabs>
          <w:tab w:pos="3054" w:val="left" w:leader="none"/>
        </w:tabs>
        <w:spacing w:line="240" w:lineRule="auto" w:before="120" w:after="0"/>
        <w:ind w:left="3053" w:right="0" w:hanging="568"/>
        <w:jc w:val="both"/>
        <w:rPr>
          <w:sz w:val="24"/>
        </w:rPr>
      </w:pPr>
      <w:r>
        <w:rPr>
          <w:sz w:val="24"/>
        </w:rPr>
        <w:t>ramping</w:t>
      </w:r>
      <w:r>
        <w:rPr>
          <w:spacing w:val="13"/>
          <w:sz w:val="24"/>
        </w:rPr>
        <w:t> </w:t>
      </w:r>
      <w:r>
        <w:rPr>
          <w:sz w:val="24"/>
        </w:rPr>
        <w:t>its</w:t>
      </w:r>
      <w:r>
        <w:rPr>
          <w:spacing w:val="14"/>
          <w:sz w:val="24"/>
        </w:rPr>
        <w:t> </w:t>
      </w:r>
      <w:r>
        <w:rPr>
          <w:i/>
          <w:sz w:val="24"/>
        </w:rPr>
        <w:t>active</w:t>
      </w:r>
      <w:r>
        <w:rPr>
          <w:i/>
          <w:spacing w:val="14"/>
          <w:sz w:val="24"/>
        </w:rPr>
        <w:t> </w:t>
      </w:r>
      <w:r>
        <w:rPr>
          <w:i/>
          <w:sz w:val="24"/>
        </w:rPr>
        <w:t>power</w:t>
      </w:r>
      <w:r>
        <w:rPr>
          <w:i/>
          <w:spacing w:val="13"/>
          <w:sz w:val="24"/>
        </w:rPr>
        <w:t> </w:t>
      </w:r>
      <w:r>
        <w:rPr>
          <w:sz w:val="24"/>
        </w:rPr>
        <w:t>output</w:t>
      </w:r>
      <w:r>
        <w:rPr>
          <w:spacing w:val="14"/>
          <w:sz w:val="24"/>
        </w:rPr>
        <w:t> </w:t>
      </w:r>
      <w:r>
        <w:rPr>
          <w:sz w:val="24"/>
        </w:rPr>
        <w:t>linearly</w:t>
      </w:r>
      <w:r>
        <w:rPr>
          <w:spacing w:val="14"/>
          <w:sz w:val="24"/>
        </w:rPr>
        <w:t> </w:t>
      </w:r>
      <w:r>
        <w:rPr>
          <w:sz w:val="24"/>
        </w:rPr>
        <w:t>from</w:t>
      </w:r>
      <w:r>
        <w:rPr>
          <w:spacing w:val="13"/>
          <w:sz w:val="24"/>
        </w:rPr>
        <w:t> </w:t>
      </w:r>
      <w:r>
        <w:rPr>
          <w:sz w:val="24"/>
        </w:rPr>
        <w:t>one</w:t>
      </w:r>
      <w:r>
        <w:rPr>
          <w:spacing w:val="14"/>
          <w:sz w:val="24"/>
        </w:rPr>
        <w:t> </w:t>
      </w:r>
      <w:r>
        <w:rPr>
          <w:sz w:val="24"/>
        </w:rPr>
        <w:t>level</w:t>
      </w:r>
      <w:r>
        <w:rPr>
          <w:spacing w:val="14"/>
          <w:sz w:val="24"/>
        </w:rPr>
        <w:t> </w:t>
      </w:r>
      <w:r>
        <w:rPr>
          <w:sz w:val="24"/>
        </w:rPr>
        <w:t>of</w:t>
      </w:r>
    </w:p>
    <w:p>
      <w:pPr>
        <w:spacing w:before="0"/>
        <w:ind w:left="3053" w:right="0" w:firstLine="0"/>
        <w:jc w:val="both"/>
        <w:rPr>
          <w:sz w:val="24"/>
        </w:rPr>
      </w:pPr>
      <w:r>
        <w:rPr>
          <w:i/>
          <w:sz w:val="24"/>
        </w:rPr>
        <w:t>dispatch </w:t>
      </w:r>
      <w:r>
        <w:rPr>
          <w:sz w:val="24"/>
        </w:rPr>
        <w:t>to another; and</w:t>
      </w:r>
    </w:p>
    <w:p>
      <w:pPr>
        <w:pStyle w:val="ListParagraph"/>
        <w:numPr>
          <w:ilvl w:val="2"/>
          <w:numId w:val="302"/>
        </w:numPr>
        <w:tabs>
          <w:tab w:pos="3053" w:val="left" w:leader="none"/>
        </w:tabs>
        <w:spacing w:line="240" w:lineRule="auto" w:before="120" w:after="0"/>
        <w:ind w:left="3053" w:right="416" w:hanging="567"/>
        <w:jc w:val="both"/>
        <w:rPr>
          <w:sz w:val="24"/>
        </w:rPr>
      </w:pPr>
      <w:r>
        <w:rPr>
          <w:sz w:val="24"/>
        </w:rPr>
        <w:t>receiving and automatically responding to signals delivered from the </w:t>
      </w:r>
      <w:r>
        <w:rPr>
          <w:i/>
          <w:sz w:val="24"/>
        </w:rPr>
        <w:t>automatic generation control system</w:t>
      </w:r>
      <w:r>
        <w:rPr>
          <w:sz w:val="24"/>
        </w:rPr>
        <w:t>, as updated at a rate of once every 4 seconds (or such other period specified by </w:t>
      </w:r>
      <w:r>
        <w:rPr>
          <w:i/>
          <w:sz w:val="24"/>
        </w:rPr>
        <w:t>AEMO </w:t>
      </w:r>
      <w:r>
        <w:rPr>
          <w:sz w:val="24"/>
        </w:rPr>
        <w:t>as</w:t>
      </w:r>
      <w:r>
        <w:rPr>
          <w:spacing w:val="-1"/>
          <w:sz w:val="24"/>
        </w:rPr>
        <w:t> </w:t>
      </w:r>
      <w:r>
        <w:rPr>
          <w:sz w:val="24"/>
        </w:rPr>
        <w:t>required).</w:t>
      </w:r>
    </w:p>
    <w:p>
      <w:pPr>
        <w:spacing w:before="220"/>
        <w:ind w:left="1356" w:right="0" w:firstLine="0"/>
        <w:jc w:val="left"/>
        <w:rPr>
          <w:rFonts w:ascii="Arial"/>
          <w:b/>
          <w:sz w:val="22"/>
        </w:rPr>
      </w:pPr>
      <w:r>
        <w:rPr>
          <w:rFonts w:ascii="Arial"/>
          <w:b/>
          <w:sz w:val="22"/>
        </w:rPr>
        <w:t>Minimum access standard</w:t>
      </w:r>
    </w:p>
    <w:p>
      <w:pPr>
        <w:pStyle w:val="ListParagraph"/>
        <w:numPr>
          <w:ilvl w:val="0"/>
          <w:numId w:val="302"/>
        </w:numPr>
        <w:tabs>
          <w:tab w:pos="1919" w:val="left" w:leader="none"/>
        </w:tabs>
        <w:spacing w:line="240" w:lineRule="auto" w:before="120" w:after="0"/>
        <w:ind w:left="1919" w:right="416" w:hanging="567"/>
        <w:jc w:val="both"/>
        <w:rPr>
          <w:sz w:val="24"/>
        </w:rPr>
      </w:pPr>
      <w:r>
        <w:rPr>
          <w:sz w:val="24"/>
        </w:rPr>
        <w:t>The </w:t>
      </w:r>
      <w:r>
        <w:rPr>
          <w:i/>
          <w:sz w:val="24"/>
        </w:rPr>
        <w:t>minimum access standard </w:t>
      </w:r>
      <w:r>
        <w:rPr>
          <w:sz w:val="24"/>
        </w:rPr>
        <w:t>is a </w:t>
      </w:r>
      <w:r>
        <w:rPr>
          <w:i/>
          <w:sz w:val="24"/>
        </w:rPr>
        <w:t>generating system </w:t>
      </w:r>
      <w:r>
        <w:rPr>
          <w:sz w:val="24"/>
        </w:rPr>
        <w:t>must have an </w:t>
      </w:r>
      <w:r>
        <w:rPr>
          <w:i/>
          <w:sz w:val="24"/>
        </w:rPr>
        <w:t>active </w:t>
      </w:r>
      <w:r>
        <w:rPr>
          <w:i/>
          <w:sz w:val="24"/>
        </w:rPr>
        <w:t>power control system </w:t>
      </w:r>
      <w:r>
        <w:rPr>
          <w:sz w:val="24"/>
        </w:rPr>
        <w:t>capable</w:t>
      </w:r>
      <w:r>
        <w:rPr>
          <w:spacing w:val="-2"/>
          <w:sz w:val="24"/>
        </w:rPr>
        <w:t> </w:t>
      </w:r>
      <w:r>
        <w:rPr>
          <w:sz w:val="24"/>
        </w:rPr>
        <w:t>of:</w:t>
      </w:r>
    </w:p>
    <w:p>
      <w:pPr>
        <w:pStyle w:val="ListParagraph"/>
        <w:numPr>
          <w:ilvl w:val="1"/>
          <w:numId w:val="302"/>
        </w:numPr>
        <w:tabs>
          <w:tab w:pos="2486" w:val="left" w:leader="none"/>
        </w:tabs>
        <w:spacing w:line="240" w:lineRule="auto" w:before="120" w:after="0"/>
        <w:ind w:left="2485" w:right="0" w:hanging="567"/>
        <w:jc w:val="both"/>
        <w:rPr>
          <w:sz w:val="24"/>
        </w:rPr>
      </w:pPr>
      <w:r>
        <w:rPr>
          <w:sz w:val="24"/>
        </w:rPr>
        <w:t>for a </w:t>
      </w:r>
      <w:r>
        <w:rPr>
          <w:i/>
          <w:sz w:val="24"/>
        </w:rPr>
        <w:t>scheduled generating unit </w:t>
      </w:r>
      <w:r>
        <w:rPr>
          <w:sz w:val="24"/>
        </w:rPr>
        <w:t>or a </w:t>
      </w:r>
      <w:r>
        <w:rPr>
          <w:i/>
          <w:sz w:val="24"/>
        </w:rPr>
        <w:t>scheduled generating</w:t>
      </w:r>
      <w:r>
        <w:rPr>
          <w:i/>
          <w:spacing w:val="-11"/>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4" w:hanging="567"/>
        <w:jc w:val="both"/>
        <w:rPr>
          <w:sz w:val="24"/>
        </w:rPr>
      </w:pPr>
      <w:r>
        <w:rPr>
          <w:sz w:val="24"/>
        </w:rPr>
        <w:t>maintaining and changing its </w:t>
      </w:r>
      <w:r>
        <w:rPr>
          <w:i/>
          <w:sz w:val="24"/>
        </w:rPr>
        <w:t>active power </w:t>
      </w:r>
      <w:r>
        <w:rPr>
          <w:sz w:val="24"/>
        </w:rPr>
        <w:t>output in accordance with its </w:t>
      </w:r>
      <w:r>
        <w:rPr>
          <w:i/>
          <w:sz w:val="24"/>
        </w:rPr>
        <w:t>dispatch instructions</w:t>
      </w:r>
      <w:r>
        <w:rPr>
          <w:sz w:val="24"/>
        </w:rPr>
        <w:t>;</w:t>
      </w:r>
      <w:r>
        <w:rPr>
          <w:spacing w:val="-2"/>
          <w:sz w:val="24"/>
        </w:rPr>
        <w:t> </w:t>
      </w:r>
      <w:r>
        <w:rPr>
          <w:sz w:val="24"/>
        </w:rPr>
        <w:t>and</w:t>
      </w:r>
    </w:p>
    <w:p>
      <w:pPr>
        <w:pStyle w:val="ListParagraph"/>
        <w:numPr>
          <w:ilvl w:val="2"/>
          <w:numId w:val="302"/>
        </w:numPr>
        <w:tabs>
          <w:tab w:pos="3054" w:val="left" w:leader="none"/>
        </w:tabs>
        <w:spacing w:line="240" w:lineRule="auto" w:before="120" w:after="0"/>
        <w:ind w:left="3053" w:right="416" w:hanging="567"/>
        <w:jc w:val="both"/>
        <w:rPr>
          <w:sz w:val="24"/>
        </w:rPr>
      </w:pPr>
      <w:r>
        <w:rPr>
          <w:sz w:val="24"/>
        </w:rPr>
        <w:t>receiving and automatically responding to signals delivered from the </w:t>
      </w:r>
      <w:r>
        <w:rPr>
          <w:i/>
          <w:sz w:val="24"/>
        </w:rPr>
        <w:t>automatic generation control system</w:t>
      </w:r>
      <w:r>
        <w:rPr>
          <w:sz w:val="24"/>
        </w:rPr>
        <w:t>, as updated at a rate of once every four seconds (or such other period specified by </w:t>
      </w:r>
      <w:r>
        <w:rPr>
          <w:i/>
          <w:sz w:val="24"/>
        </w:rPr>
        <w:t>AEMO </w:t>
      </w:r>
      <w:r>
        <w:rPr>
          <w:sz w:val="24"/>
        </w:rPr>
        <w:t>as</w:t>
      </w:r>
      <w:r>
        <w:rPr>
          <w:spacing w:val="-1"/>
          <w:sz w:val="24"/>
        </w:rPr>
        <w:t> </w:t>
      </w:r>
      <w:r>
        <w:rPr>
          <w:sz w:val="24"/>
        </w:rPr>
        <w:t>required);</w:t>
      </w:r>
    </w:p>
    <w:p>
      <w:pPr>
        <w:pStyle w:val="ListParagraph"/>
        <w:numPr>
          <w:ilvl w:val="1"/>
          <w:numId w:val="302"/>
        </w:numPr>
        <w:tabs>
          <w:tab w:pos="2486" w:val="left" w:leader="none"/>
        </w:tabs>
        <w:spacing w:line="240" w:lineRule="auto" w:before="120" w:after="0"/>
        <w:ind w:left="2485" w:right="0" w:hanging="567"/>
        <w:jc w:val="both"/>
        <w:rPr>
          <w:sz w:val="24"/>
        </w:rPr>
      </w:pPr>
      <w:r>
        <w:rPr>
          <w:sz w:val="24"/>
        </w:rPr>
        <w:t>for a </w:t>
      </w:r>
      <w:r>
        <w:rPr>
          <w:i/>
          <w:sz w:val="24"/>
        </w:rPr>
        <w:t>non-scheduled generating</w:t>
      </w:r>
      <w:r>
        <w:rPr>
          <w:i/>
          <w:spacing w:val="-2"/>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5" w:hanging="567"/>
        <w:jc w:val="both"/>
        <w:rPr>
          <w:sz w:val="24"/>
        </w:rPr>
      </w:pPr>
      <w:r>
        <w:rPr>
          <w:sz w:val="24"/>
        </w:rPr>
        <w:t>reducing its </w:t>
      </w:r>
      <w:r>
        <w:rPr>
          <w:i/>
          <w:sz w:val="24"/>
        </w:rPr>
        <w:t>active power </w:t>
      </w:r>
      <w:r>
        <w:rPr>
          <w:sz w:val="24"/>
        </w:rPr>
        <w:t>output, within 5 minutes, to or below the level required to manage </w:t>
      </w:r>
      <w:r>
        <w:rPr>
          <w:i/>
          <w:sz w:val="24"/>
        </w:rPr>
        <w:t>network </w:t>
      </w:r>
      <w:r>
        <w:rPr>
          <w:sz w:val="24"/>
        </w:rPr>
        <w:t>flows that is specified in a verbal instruction issued by the </w:t>
      </w:r>
      <w:r>
        <w:rPr>
          <w:i/>
          <w:sz w:val="24"/>
        </w:rPr>
        <w:t>control</w:t>
      </w:r>
      <w:r>
        <w:rPr>
          <w:i/>
          <w:spacing w:val="-1"/>
          <w:sz w:val="24"/>
        </w:rPr>
        <w:t> </w:t>
      </w:r>
      <w:r>
        <w:rPr>
          <w:i/>
          <w:sz w:val="24"/>
        </w:rPr>
        <w:t>centre</w:t>
      </w:r>
      <w:r>
        <w:rPr>
          <w:sz w:val="24"/>
        </w:rPr>
        <w:t>;</w:t>
      </w:r>
    </w:p>
    <w:p>
      <w:pPr>
        <w:pStyle w:val="ListParagraph"/>
        <w:numPr>
          <w:ilvl w:val="2"/>
          <w:numId w:val="302"/>
        </w:numPr>
        <w:tabs>
          <w:tab w:pos="3054" w:val="left" w:leader="none"/>
        </w:tabs>
        <w:spacing w:line="240" w:lineRule="auto" w:before="120" w:after="0"/>
        <w:ind w:left="3053" w:right="416" w:hanging="567"/>
        <w:jc w:val="both"/>
        <w:rPr>
          <w:sz w:val="24"/>
        </w:rPr>
      </w:pPr>
      <w:r>
        <w:rPr>
          <w:sz w:val="24"/>
        </w:rPr>
        <w:t>limiting its </w:t>
      </w:r>
      <w:r>
        <w:rPr>
          <w:i/>
          <w:sz w:val="24"/>
        </w:rPr>
        <w:t>active power </w:t>
      </w:r>
      <w:r>
        <w:rPr>
          <w:sz w:val="24"/>
        </w:rPr>
        <w:t>output, to or below the level specified in subparagraph (i);</w:t>
      </w:r>
      <w:r>
        <w:rPr>
          <w:spacing w:val="-2"/>
          <w:sz w:val="24"/>
        </w:rPr>
        <w:t> </w:t>
      </w:r>
      <w:r>
        <w:rPr>
          <w:sz w:val="24"/>
        </w:rPr>
        <w:t>and</w:t>
      </w:r>
    </w:p>
    <w:p>
      <w:pPr>
        <w:pStyle w:val="ListParagraph"/>
        <w:numPr>
          <w:ilvl w:val="2"/>
          <w:numId w:val="302"/>
        </w:numPr>
        <w:tabs>
          <w:tab w:pos="3053" w:val="left" w:leader="none"/>
        </w:tabs>
        <w:spacing w:line="240" w:lineRule="auto" w:before="120" w:after="0"/>
        <w:ind w:left="3053" w:right="415" w:hanging="567"/>
        <w:jc w:val="both"/>
        <w:rPr>
          <w:sz w:val="24"/>
        </w:rPr>
      </w:pPr>
      <w:r>
        <w:rPr>
          <w:sz w:val="24"/>
        </w:rPr>
        <w:t>subject to energy source availability, ensuring that the change of </w:t>
      </w:r>
      <w:r>
        <w:rPr>
          <w:i/>
          <w:sz w:val="24"/>
        </w:rPr>
        <w:t>active power </w:t>
      </w:r>
      <w:r>
        <w:rPr>
          <w:sz w:val="24"/>
        </w:rPr>
        <w:t>output in a 5 minute period does not exceed a  value agreed with </w:t>
      </w:r>
      <w:r>
        <w:rPr>
          <w:i/>
          <w:sz w:val="24"/>
        </w:rPr>
        <w:t>AEMO </w:t>
      </w:r>
      <w:r>
        <w:rPr>
          <w:sz w:val="24"/>
        </w:rPr>
        <w:t>and the </w:t>
      </w:r>
      <w:r>
        <w:rPr>
          <w:i/>
          <w:sz w:val="24"/>
        </w:rPr>
        <w:t>Network Service Provider</w:t>
      </w:r>
      <w:r>
        <w:rPr>
          <w:sz w:val="24"/>
        </w:rPr>
        <w:t>;</w:t>
      </w:r>
      <w:r>
        <w:rPr>
          <w:spacing w:val="-7"/>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02"/>
        </w:numPr>
        <w:tabs>
          <w:tab w:pos="2486" w:val="left" w:leader="none"/>
        </w:tabs>
        <w:spacing w:line="240" w:lineRule="auto" w:before="83" w:after="0"/>
        <w:ind w:left="2486" w:right="415" w:hanging="567"/>
        <w:jc w:val="both"/>
        <w:rPr>
          <w:sz w:val="24"/>
        </w:rPr>
      </w:pPr>
      <w:r>
        <w:rPr>
          <w:sz w:val="24"/>
        </w:rPr>
        <w:t>subject to energy source availability, for a </w:t>
      </w:r>
      <w:r>
        <w:rPr>
          <w:i/>
          <w:sz w:val="24"/>
        </w:rPr>
        <w:t>semi-scheduled generating </w:t>
      </w:r>
      <w:r>
        <w:rPr>
          <w:i/>
          <w:sz w:val="24"/>
        </w:rPr>
        <w:t>unit </w:t>
      </w:r>
      <w:r>
        <w:rPr>
          <w:sz w:val="24"/>
        </w:rPr>
        <w:t>or a </w:t>
      </w:r>
      <w:r>
        <w:rPr>
          <w:i/>
          <w:sz w:val="24"/>
        </w:rPr>
        <w:t>semi-scheduled generating</w:t>
      </w:r>
      <w:r>
        <w:rPr>
          <w:i/>
          <w:spacing w:val="-2"/>
          <w:sz w:val="24"/>
        </w:rPr>
        <w:t> </w:t>
      </w:r>
      <w:r>
        <w:rPr>
          <w:i/>
          <w:sz w:val="24"/>
        </w:rPr>
        <w:t>system</w:t>
      </w:r>
      <w:r>
        <w:rPr>
          <w:sz w:val="24"/>
        </w:rPr>
        <w:t>:</w:t>
      </w:r>
    </w:p>
    <w:p>
      <w:pPr>
        <w:pStyle w:val="ListParagraph"/>
        <w:numPr>
          <w:ilvl w:val="2"/>
          <w:numId w:val="302"/>
        </w:numPr>
        <w:tabs>
          <w:tab w:pos="3053" w:val="left" w:leader="none"/>
        </w:tabs>
        <w:spacing w:line="240" w:lineRule="auto" w:before="120" w:after="0"/>
        <w:ind w:left="3053" w:right="414" w:hanging="567"/>
        <w:jc w:val="both"/>
        <w:rPr>
          <w:sz w:val="24"/>
        </w:rPr>
      </w:pPr>
      <w:r>
        <w:rPr>
          <w:sz w:val="24"/>
        </w:rPr>
        <w:t>maintaining and changing its </w:t>
      </w:r>
      <w:r>
        <w:rPr>
          <w:i/>
          <w:sz w:val="24"/>
        </w:rPr>
        <w:t>active power </w:t>
      </w:r>
      <w:r>
        <w:rPr>
          <w:sz w:val="24"/>
        </w:rPr>
        <w:t>output in accordance with its </w:t>
      </w:r>
      <w:r>
        <w:rPr>
          <w:i/>
          <w:sz w:val="24"/>
        </w:rPr>
        <w:t>dispatch</w:t>
      </w:r>
      <w:r>
        <w:rPr>
          <w:i/>
          <w:spacing w:val="-2"/>
          <w:sz w:val="24"/>
        </w:rPr>
        <w:t> </w:t>
      </w:r>
      <w:r>
        <w:rPr>
          <w:i/>
          <w:sz w:val="24"/>
        </w:rPr>
        <w:t>instructions</w:t>
      </w:r>
      <w:r>
        <w:rPr>
          <w:sz w:val="24"/>
        </w:rPr>
        <w:t>;</w:t>
      </w:r>
    </w:p>
    <w:p>
      <w:pPr>
        <w:pStyle w:val="ListParagraph"/>
        <w:numPr>
          <w:ilvl w:val="2"/>
          <w:numId w:val="302"/>
        </w:numPr>
        <w:tabs>
          <w:tab w:pos="3054" w:val="left" w:leader="none"/>
        </w:tabs>
        <w:spacing w:line="240" w:lineRule="auto" w:before="120" w:after="0"/>
        <w:ind w:left="3053" w:right="413" w:hanging="567"/>
        <w:jc w:val="both"/>
        <w:rPr>
          <w:sz w:val="24"/>
        </w:rPr>
      </w:pPr>
      <w:r>
        <w:rPr>
          <w:sz w:val="24"/>
        </w:rPr>
        <w:t>not changing its </w:t>
      </w:r>
      <w:r>
        <w:rPr>
          <w:i/>
          <w:sz w:val="24"/>
        </w:rPr>
        <w:t>active power </w:t>
      </w:r>
      <w:r>
        <w:rPr>
          <w:sz w:val="24"/>
        </w:rPr>
        <w:t>output within five minutes by more than the rise and lower amounts specified in an instruction electronically issued by a </w:t>
      </w:r>
      <w:r>
        <w:rPr>
          <w:i/>
          <w:sz w:val="24"/>
        </w:rPr>
        <w:t>control centre</w:t>
      </w:r>
      <w:r>
        <w:rPr>
          <w:sz w:val="24"/>
        </w:rPr>
        <w:t>;</w:t>
      </w:r>
      <w:r>
        <w:rPr>
          <w:spacing w:val="-1"/>
          <w:sz w:val="24"/>
        </w:rPr>
        <w:t> </w:t>
      </w:r>
      <w:r>
        <w:rPr>
          <w:sz w:val="24"/>
        </w:rPr>
        <w:t>and</w:t>
      </w:r>
    </w:p>
    <w:p>
      <w:pPr>
        <w:pStyle w:val="ListParagraph"/>
        <w:numPr>
          <w:ilvl w:val="2"/>
          <w:numId w:val="302"/>
        </w:numPr>
        <w:tabs>
          <w:tab w:pos="3053" w:val="left" w:leader="none"/>
        </w:tabs>
        <w:spacing w:line="240" w:lineRule="auto" w:before="120" w:after="0"/>
        <w:ind w:left="3053" w:right="416" w:hanging="567"/>
        <w:jc w:val="both"/>
        <w:rPr>
          <w:sz w:val="24"/>
        </w:rPr>
      </w:pPr>
      <w:r>
        <w:rPr>
          <w:sz w:val="24"/>
        </w:rPr>
        <w:t>receiving and automatically responding to signals delivered from the </w:t>
      </w:r>
      <w:r>
        <w:rPr>
          <w:i/>
          <w:sz w:val="24"/>
        </w:rPr>
        <w:t>automatic generation control system</w:t>
      </w:r>
      <w:r>
        <w:rPr>
          <w:sz w:val="24"/>
        </w:rPr>
        <w:t>, as updated at a rate of once every 4 seconds (or such other period specified by </w:t>
      </w:r>
      <w:r>
        <w:rPr>
          <w:i/>
          <w:sz w:val="24"/>
        </w:rPr>
        <w:t>AEMO </w:t>
      </w:r>
      <w:r>
        <w:rPr>
          <w:sz w:val="24"/>
        </w:rPr>
        <w:t>as</w:t>
      </w:r>
      <w:r>
        <w:rPr>
          <w:spacing w:val="-1"/>
          <w:sz w:val="24"/>
        </w:rPr>
        <w:t> </w:t>
      </w:r>
      <w:r>
        <w:rPr>
          <w:sz w:val="24"/>
        </w:rPr>
        <w:t>required).</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302"/>
        </w:numPr>
        <w:tabs>
          <w:tab w:pos="1919" w:val="left" w:leader="none"/>
        </w:tabs>
        <w:spacing w:line="240" w:lineRule="auto" w:before="120" w:after="0"/>
        <w:ind w:left="1919" w:right="415" w:hanging="567"/>
        <w:jc w:val="both"/>
        <w:rPr>
          <w:sz w:val="24"/>
        </w:rPr>
      </w:pPr>
      <w:r>
        <w:rPr>
          <w:sz w:val="24"/>
        </w:rPr>
        <w:t>A </w:t>
      </w:r>
      <w:r>
        <w:rPr>
          <w:i/>
          <w:sz w:val="24"/>
        </w:rPr>
        <w:t>negotiated access standard </w:t>
      </w:r>
      <w:r>
        <w:rPr>
          <w:sz w:val="24"/>
        </w:rPr>
        <w:t>may provide that if the number or frequency of verbal instructions becomes difficult for a </w:t>
      </w:r>
      <w:r>
        <w:rPr>
          <w:i/>
          <w:sz w:val="24"/>
        </w:rPr>
        <w:t>control centre </w:t>
      </w:r>
      <w:r>
        <w:rPr>
          <w:sz w:val="24"/>
        </w:rPr>
        <w:t>to manage, </w:t>
      </w:r>
      <w:r>
        <w:rPr>
          <w:i/>
          <w:sz w:val="24"/>
        </w:rPr>
        <w:t>AEMO </w:t>
      </w:r>
      <w:r>
        <w:rPr>
          <w:sz w:val="24"/>
        </w:rPr>
        <w:t>may require the </w:t>
      </w:r>
      <w:r>
        <w:rPr>
          <w:i/>
          <w:sz w:val="24"/>
        </w:rPr>
        <w:t>Generator </w:t>
      </w:r>
      <w:r>
        <w:rPr>
          <w:sz w:val="24"/>
        </w:rPr>
        <w:t>to upgrade its </w:t>
      </w:r>
      <w:r>
        <w:rPr>
          <w:i/>
          <w:sz w:val="24"/>
        </w:rPr>
        <w:t>facilities </w:t>
      </w:r>
      <w:r>
        <w:rPr>
          <w:sz w:val="24"/>
        </w:rPr>
        <w:t>to receive electronic instructions and fully implement them within 5</w:t>
      </w:r>
      <w:r>
        <w:rPr>
          <w:spacing w:val="-5"/>
          <w:sz w:val="24"/>
        </w:rPr>
        <w:t> </w:t>
      </w:r>
      <w:r>
        <w:rPr>
          <w:sz w:val="24"/>
        </w:rPr>
        <w:t>minutes.</w:t>
      </w:r>
    </w:p>
    <w:p>
      <w:pPr>
        <w:pStyle w:val="ListParagraph"/>
        <w:numPr>
          <w:ilvl w:val="0"/>
          <w:numId w:val="302"/>
        </w:numPr>
        <w:tabs>
          <w:tab w:pos="1919" w:val="left" w:leader="none"/>
        </w:tabs>
        <w:spacing w:line="240" w:lineRule="auto" w:before="120" w:after="0"/>
        <w:ind w:left="1919" w:right="415" w:hanging="567"/>
        <w:jc w:val="both"/>
        <w:rPr>
          <w:sz w:val="24"/>
        </w:rPr>
      </w:pPr>
      <w:r>
        <w:rPr>
          <w:sz w:val="24"/>
        </w:rPr>
        <w:t>The </w:t>
      </w:r>
      <w:r>
        <w:rPr>
          <w:i/>
          <w:sz w:val="24"/>
        </w:rPr>
        <w:t>negotiated access standard </w:t>
      </w:r>
      <w:r>
        <w:rPr>
          <w:sz w:val="24"/>
        </w:rPr>
        <w:t>must document to </w:t>
      </w:r>
      <w:r>
        <w:rPr>
          <w:i/>
          <w:sz w:val="24"/>
        </w:rPr>
        <w:t>AEMO's </w:t>
      </w:r>
      <w:r>
        <w:rPr>
          <w:sz w:val="24"/>
        </w:rPr>
        <w:t>satisfaction any operational arrangements necessary to manage </w:t>
      </w:r>
      <w:r>
        <w:rPr>
          <w:i/>
          <w:sz w:val="24"/>
        </w:rPr>
        <w:t>network </w:t>
      </w:r>
      <w:r>
        <w:rPr>
          <w:sz w:val="24"/>
        </w:rPr>
        <w:t>flows that may include a requirement for the </w:t>
      </w:r>
      <w:r>
        <w:rPr>
          <w:i/>
          <w:sz w:val="24"/>
        </w:rPr>
        <w:t>generating system </w:t>
      </w:r>
      <w:r>
        <w:rPr>
          <w:sz w:val="24"/>
        </w:rPr>
        <w:t>to be operated in a manner that prevents its output changing within 5 minutes by more than an amount specified by a </w:t>
      </w:r>
      <w:r>
        <w:rPr>
          <w:i/>
          <w:sz w:val="24"/>
        </w:rPr>
        <w:t>control</w:t>
      </w:r>
      <w:r>
        <w:rPr>
          <w:i/>
          <w:spacing w:val="-1"/>
          <w:sz w:val="24"/>
        </w:rPr>
        <w:t> </w:t>
      </w:r>
      <w:r>
        <w:rPr>
          <w:i/>
          <w:sz w:val="24"/>
        </w:rPr>
        <w:t>centre</w:t>
      </w:r>
      <w:r>
        <w:rPr>
          <w:sz w:val="24"/>
        </w:rPr>
        <w:t>.</w:t>
      </w:r>
    </w:p>
    <w:p>
      <w:pPr>
        <w:pStyle w:val="ListParagraph"/>
        <w:numPr>
          <w:ilvl w:val="0"/>
          <w:numId w:val="302"/>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spacing w:before="220"/>
        <w:ind w:left="1356" w:right="0" w:firstLine="0"/>
        <w:jc w:val="left"/>
        <w:rPr>
          <w:rFonts w:ascii="Arial"/>
          <w:b/>
          <w:sz w:val="22"/>
        </w:rPr>
      </w:pPr>
      <w:r>
        <w:rPr>
          <w:rFonts w:ascii="Arial"/>
          <w:b/>
          <w:sz w:val="22"/>
        </w:rPr>
        <w:t>General requirements</w:t>
      </w:r>
    </w:p>
    <w:p>
      <w:pPr>
        <w:pStyle w:val="ListParagraph"/>
        <w:numPr>
          <w:ilvl w:val="0"/>
          <w:numId w:val="302"/>
        </w:numPr>
        <w:tabs>
          <w:tab w:pos="1920" w:val="left" w:leader="none"/>
        </w:tabs>
        <w:spacing w:line="240" w:lineRule="auto" w:before="120" w:after="0"/>
        <w:ind w:left="1919" w:right="0" w:hanging="568"/>
        <w:jc w:val="both"/>
        <w:rPr>
          <w:sz w:val="24"/>
        </w:rPr>
      </w:pPr>
      <w:r>
        <w:rPr>
          <w:sz w:val="24"/>
        </w:rPr>
        <w:t>Each</w:t>
      </w:r>
      <w:r>
        <w:rPr>
          <w:spacing w:val="20"/>
          <w:sz w:val="24"/>
        </w:rPr>
        <w:t> </w:t>
      </w:r>
      <w:r>
        <w:rPr>
          <w:i/>
          <w:sz w:val="24"/>
        </w:rPr>
        <w:t>control</w:t>
      </w:r>
      <w:r>
        <w:rPr>
          <w:i/>
          <w:spacing w:val="20"/>
          <w:sz w:val="24"/>
        </w:rPr>
        <w:t> </w:t>
      </w:r>
      <w:r>
        <w:rPr>
          <w:i/>
          <w:sz w:val="24"/>
        </w:rPr>
        <w:t>system</w:t>
      </w:r>
      <w:r>
        <w:rPr>
          <w:i/>
          <w:spacing w:val="21"/>
          <w:sz w:val="24"/>
        </w:rPr>
        <w:t> </w:t>
      </w:r>
      <w:r>
        <w:rPr>
          <w:sz w:val="24"/>
        </w:rPr>
        <w:t>used</w:t>
      </w:r>
      <w:r>
        <w:rPr>
          <w:spacing w:val="20"/>
          <w:sz w:val="24"/>
        </w:rPr>
        <w:t> </w:t>
      </w:r>
      <w:r>
        <w:rPr>
          <w:sz w:val="24"/>
        </w:rPr>
        <w:t>to</w:t>
      </w:r>
      <w:r>
        <w:rPr>
          <w:spacing w:val="21"/>
          <w:sz w:val="24"/>
        </w:rPr>
        <w:t> </w:t>
      </w:r>
      <w:r>
        <w:rPr>
          <w:sz w:val="24"/>
        </w:rPr>
        <w:t>satisfy</w:t>
      </w:r>
      <w:r>
        <w:rPr>
          <w:spacing w:val="20"/>
          <w:sz w:val="24"/>
        </w:rPr>
        <w:t> </w:t>
      </w:r>
      <w:r>
        <w:rPr>
          <w:sz w:val="24"/>
        </w:rPr>
        <w:t>the</w:t>
      </w:r>
      <w:r>
        <w:rPr>
          <w:spacing w:val="21"/>
          <w:sz w:val="24"/>
        </w:rPr>
        <w:t> </w:t>
      </w:r>
      <w:r>
        <w:rPr>
          <w:sz w:val="24"/>
        </w:rPr>
        <w:t>requirements</w:t>
      </w:r>
      <w:r>
        <w:rPr>
          <w:spacing w:val="20"/>
          <w:sz w:val="24"/>
        </w:rPr>
        <w:t> </w:t>
      </w:r>
      <w:r>
        <w:rPr>
          <w:sz w:val="24"/>
        </w:rPr>
        <w:t>of</w:t>
      </w:r>
      <w:r>
        <w:rPr>
          <w:spacing w:val="21"/>
          <w:sz w:val="24"/>
        </w:rPr>
        <w:t> </w:t>
      </w:r>
      <w:r>
        <w:rPr>
          <w:sz w:val="24"/>
        </w:rPr>
        <w:t>paragraphs</w:t>
      </w:r>
      <w:r>
        <w:rPr>
          <w:spacing w:val="20"/>
          <w:sz w:val="24"/>
        </w:rPr>
        <w:t> </w:t>
      </w:r>
      <w:r>
        <w:rPr>
          <w:sz w:val="24"/>
        </w:rPr>
        <w:t>(a)</w:t>
      </w:r>
      <w:r>
        <w:rPr>
          <w:spacing w:val="20"/>
          <w:sz w:val="24"/>
        </w:rPr>
        <w:t> </w:t>
      </w:r>
      <w:r>
        <w:rPr>
          <w:sz w:val="24"/>
        </w:rPr>
        <w:t>and</w:t>
      </w:r>
    </w:p>
    <w:p>
      <w:pPr>
        <w:tabs>
          <w:tab w:pos="1351" w:val="left" w:leader="none"/>
        </w:tabs>
        <w:spacing w:line="448" w:lineRule="auto" w:before="0"/>
        <w:ind w:left="218" w:right="4153" w:firstLine="1701"/>
        <w:jc w:val="left"/>
        <w:rPr>
          <w:rFonts w:ascii="Arial"/>
          <w:b/>
          <w:sz w:val="24"/>
        </w:rPr>
      </w:pPr>
      <w:r>
        <w:rPr>
          <w:sz w:val="24"/>
        </w:rPr>
        <w:t>(b) must be </w:t>
      </w:r>
      <w:r>
        <w:rPr>
          <w:i/>
          <w:sz w:val="24"/>
        </w:rPr>
        <w:t>adequately damped</w:t>
      </w:r>
      <w:r>
        <w:rPr>
          <w:sz w:val="24"/>
        </w:rPr>
        <w:t>.</w:t>
      </w:r>
      <w:bookmarkStart w:name="S5.2.6 Monitoring and control requiremen" w:id="998"/>
      <w:bookmarkEnd w:id="998"/>
      <w:r>
        <w:rPr>
          <w:sz w:val="24"/>
        </w:rPr>
      </w:r>
      <w:bookmarkStart w:name="_bookmark391" w:id="999"/>
      <w:bookmarkEnd w:id="999"/>
      <w:r>
        <w:rPr>
          <w:sz w:val="24"/>
        </w:rPr>
      </w:r>
      <w:r>
        <w:rPr>
          <w:sz w:val="24"/>
        </w:rPr>
        <w:t> </w:t>
      </w:r>
      <w:r>
        <w:rPr>
          <w:rFonts w:ascii="Arial"/>
          <w:b/>
          <w:sz w:val="24"/>
        </w:rPr>
        <w:t>S5.2.6</w:t>
        <w:tab/>
        <w:t>Monitoring and control requirements</w:t>
      </w:r>
      <w:bookmarkStart w:name="S5.2.6.1 Remote Monitoring" w:id="1000"/>
      <w:bookmarkEnd w:id="1000"/>
      <w:r>
        <w:rPr>
          <w:rFonts w:ascii="Arial"/>
          <w:b/>
          <w:sz w:val="24"/>
        </w:rPr>
      </w:r>
      <w:bookmarkStart w:name="_bookmark392" w:id="1001"/>
      <w:bookmarkEnd w:id="1001"/>
      <w:r>
        <w:rPr>
          <w:rFonts w:ascii="Arial"/>
          <w:b/>
          <w:sz w:val="24"/>
        </w:rPr>
      </w:r>
      <w:r>
        <w:rPr>
          <w:rFonts w:ascii="Arial"/>
          <w:b/>
          <w:sz w:val="24"/>
        </w:rPr>
        <w:t> S5.2.6.1</w:t>
        <w:tab/>
        <w:t>Remote</w:t>
      </w:r>
      <w:r>
        <w:rPr>
          <w:rFonts w:ascii="Arial"/>
          <w:b/>
          <w:spacing w:val="-1"/>
          <w:sz w:val="24"/>
        </w:rPr>
        <w:t> </w:t>
      </w:r>
      <w:r>
        <w:rPr>
          <w:rFonts w:ascii="Arial"/>
          <w:b/>
          <w:sz w:val="24"/>
        </w:rPr>
        <w:t>Monitoring</w:t>
      </w:r>
    </w:p>
    <w:p>
      <w:pPr>
        <w:spacing w:line="233" w:lineRule="exact" w:before="0"/>
        <w:ind w:left="1356" w:right="0" w:firstLine="0"/>
        <w:jc w:val="left"/>
        <w:rPr>
          <w:rFonts w:ascii="Arial"/>
          <w:b/>
          <w:sz w:val="22"/>
        </w:rPr>
      </w:pPr>
      <w:r>
        <w:rPr>
          <w:rFonts w:ascii="Arial"/>
          <w:b/>
          <w:sz w:val="22"/>
        </w:rPr>
        <w:t>Automatic access standard</w:t>
      </w:r>
    </w:p>
    <w:p>
      <w:pPr>
        <w:pStyle w:val="ListParagraph"/>
        <w:numPr>
          <w:ilvl w:val="0"/>
          <w:numId w:val="303"/>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automatic access standard </w:t>
      </w:r>
      <w:r>
        <w:rPr>
          <w:sz w:val="24"/>
        </w:rPr>
        <w:t>is</w:t>
      </w:r>
      <w:r>
        <w:rPr>
          <w:spacing w:val="-1"/>
          <w:sz w:val="24"/>
        </w:rPr>
        <w:t> </w:t>
      </w:r>
      <w:r>
        <w:rPr>
          <w:sz w:val="24"/>
        </w:rPr>
        <w:t>a:</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scheduled generating</w:t>
      </w:r>
      <w:r>
        <w:rPr>
          <w:i/>
          <w:spacing w:val="-1"/>
          <w:sz w:val="24"/>
        </w:rPr>
        <w:t> </w:t>
      </w:r>
      <w:r>
        <w:rPr>
          <w:i/>
          <w:sz w:val="24"/>
        </w:rPr>
        <w:t>unit</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scheduled generating</w:t>
      </w:r>
      <w:r>
        <w:rPr>
          <w:i/>
          <w:spacing w:val="-1"/>
          <w:sz w:val="24"/>
        </w:rPr>
        <w:t> </w:t>
      </w:r>
      <w:r>
        <w:rPr>
          <w:i/>
          <w:sz w:val="24"/>
        </w:rPr>
        <w:t>system</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non-scheduled generating</w:t>
      </w:r>
      <w:r>
        <w:rPr>
          <w:i/>
          <w:spacing w:val="-1"/>
          <w:sz w:val="24"/>
        </w:rPr>
        <w:t> </w:t>
      </w:r>
      <w:r>
        <w:rPr>
          <w:i/>
          <w:sz w:val="24"/>
        </w:rPr>
        <w:t>unit</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non-scheduled generating</w:t>
      </w:r>
      <w:r>
        <w:rPr>
          <w:i/>
          <w:spacing w:val="-1"/>
          <w:sz w:val="24"/>
        </w:rPr>
        <w:t> </w:t>
      </w:r>
      <w:r>
        <w:rPr>
          <w:i/>
          <w:sz w:val="24"/>
        </w:rPr>
        <w:t>system</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semi-scheduled generating unit</w:t>
      </w:r>
      <w:r>
        <w:rPr>
          <w:sz w:val="24"/>
        </w:rPr>
        <w:t>;</w:t>
      </w:r>
      <w:r>
        <w:rPr>
          <w:spacing w:val="-2"/>
          <w:sz w:val="24"/>
        </w:rPr>
        <w:t> </w:t>
      </w:r>
      <w:r>
        <w:rPr>
          <w:sz w:val="24"/>
        </w:rPr>
        <w:t>or</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semi-scheduled generating</w:t>
      </w:r>
      <w:r>
        <w:rPr>
          <w:i/>
          <w:spacing w:val="-6"/>
          <w:sz w:val="24"/>
        </w:rPr>
        <w:t> </w:t>
      </w:r>
      <w:r>
        <w:rPr>
          <w:i/>
          <w:sz w:val="24"/>
        </w:rPr>
        <w:t>system</w:t>
      </w:r>
      <w:r>
        <w:rPr>
          <w:sz w:val="24"/>
        </w:rPr>
        <w:t>,</w:t>
      </w:r>
    </w:p>
    <w:p>
      <w:pPr>
        <w:spacing w:before="120"/>
        <w:ind w:left="1919" w:right="414" w:firstLine="0"/>
        <w:jc w:val="both"/>
        <w:rPr>
          <w:sz w:val="24"/>
        </w:rPr>
      </w:pPr>
      <w:r>
        <w:rPr>
          <w:sz w:val="24"/>
        </w:rPr>
        <w:t>must have </w:t>
      </w:r>
      <w:r>
        <w:rPr>
          <w:i/>
          <w:sz w:val="24"/>
        </w:rPr>
        <w:t>remote monitoring equipment </w:t>
      </w:r>
      <w:r>
        <w:rPr>
          <w:sz w:val="24"/>
        </w:rPr>
        <w:t>and </w:t>
      </w:r>
      <w:r>
        <w:rPr>
          <w:i/>
          <w:sz w:val="24"/>
        </w:rPr>
        <w:t>remote control equipment </w:t>
      </w:r>
      <w:r>
        <w:rPr>
          <w:sz w:val="24"/>
        </w:rPr>
        <w:t>to transmit to, and receive from, </w:t>
      </w:r>
      <w:r>
        <w:rPr>
          <w:i/>
          <w:sz w:val="24"/>
        </w:rPr>
        <w:t>AEMO's control centres </w:t>
      </w:r>
      <w:r>
        <w:rPr>
          <w:sz w:val="24"/>
        </w:rPr>
        <w:t>in real time in accordance with rule 4.11 the quantities that </w:t>
      </w:r>
      <w:r>
        <w:rPr>
          <w:i/>
          <w:sz w:val="24"/>
        </w:rPr>
        <w:t>AEMO </w:t>
      </w:r>
      <w:r>
        <w:rPr>
          <w:sz w:val="24"/>
        </w:rPr>
        <w:t>reasonably requires to discharge its </w:t>
      </w:r>
      <w:r>
        <w:rPr>
          <w:i/>
          <w:sz w:val="24"/>
        </w:rPr>
        <w:t>market </w:t>
      </w:r>
      <w:r>
        <w:rPr>
          <w:sz w:val="24"/>
        </w:rPr>
        <w:t>and </w:t>
      </w:r>
      <w:r>
        <w:rPr>
          <w:i/>
          <w:sz w:val="24"/>
        </w:rPr>
        <w:t>power system security </w:t>
      </w:r>
      <w:r>
        <w:rPr>
          <w:sz w:val="24"/>
        </w:rPr>
        <w:t>functions set out in Chapters 3 and 4.</w:t>
      </w:r>
    </w:p>
    <w:p>
      <w:pPr>
        <w:spacing w:after="0"/>
        <w:jc w:val="both"/>
        <w:rPr>
          <w:sz w:val="24"/>
        </w:rPr>
        <w:sectPr>
          <w:pgSz w:w="11910" w:h="16840"/>
          <w:pgMar w:header="686" w:footer="637" w:top="1320" w:bottom="820" w:left="1200" w:right="1000"/>
        </w:sectPr>
      </w:pPr>
    </w:p>
    <w:p>
      <w:pPr>
        <w:pStyle w:val="ListParagraph"/>
        <w:numPr>
          <w:ilvl w:val="0"/>
          <w:numId w:val="303"/>
        </w:numPr>
        <w:tabs>
          <w:tab w:pos="1918" w:val="left" w:leader="none"/>
          <w:tab w:pos="1919" w:val="left" w:leader="none"/>
        </w:tabs>
        <w:spacing w:line="240" w:lineRule="auto" w:before="83" w:after="0"/>
        <w:ind w:left="1918" w:right="0" w:hanging="567"/>
        <w:jc w:val="left"/>
        <w:rPr>
          <w:sz w:val="24"/>
        </w:rPr>
      </w:pPr>
      <w:r>
        <w:rPr>
          <w:sz w:val="24"/>
        </w:rPr>
        <w:t>The</w:t>
      </w:r>
      <w:r>
        <w:rPr>
          <w:spacing w:val="18"/>
          <w:sz w:val="24"/>
        </w:rPr>
        <w:t> </w:t>
      </w:r>
      <w:r>
        <w:rPr>
          <w:sz w:val="24"/>
        </w:rPr>
        <w:t>remote</w:t>
      </w:r>
      <w:r>
        <w:rPr>
          <w:spacing w:val="18"/>
          <w:sz w:val="24"/>
        </w:rPr>
        <w:t> </w:t>
      </w:r>
      <w:r>
        <w:rPr>
          <w:sz w:val="24"/>
        </w:rPr>
        <w:t>monitoring</w:t>
      </w:r>
      <w:r>
        <w:rPr>
          <w:spacing w:val="19"/>
          <w:sz w:val="24"/>
        </w:rPr>
        <w:t> </w:t>
      </w:r>
      <w:r>
        <w:rPr>
          <w:sz w:val="24"/>
        </w:rPr>
        <w:t>quantities</w:t>
      </w:r>
      <w:r>
        <w:rPr>
          <w:spacing w:val="19"/>
          <w:sz w:val="24"/>
        </w:rPr>
        <w:t> </w:t>
      </w:r>
      <w:r>
        <w:rPr>
          <w:sz w:val="24"/>
        </w:rPr>
        <w:t>referred</w:t>
      </w:r>
      <w:r>
        <w:rPr>
          <w:spacing w:val="18"/>
          <w:sz w:val="24"/>
        </w:rPr>
        <w:t> </w:t>
      </w:r>
      <w:r>
        <w:rPr>
          <w:sz w:val="24"/>
        </w:rPr>
        <w:t>to</w:t>
      </w:r>
      <w:r>
        <w:rPr>
          <w:spacing w:val="19"/>
          <w:sz w:val="24"/>
        </w:rPr>
        <w:t> </w:t>
      </w:r>
      <w:r>
        <w:rPr>
          <w:sz w:val="24"/>
        </w:rPr>
        <w:t>under</w:t>
      </w:r>
      <w:r>
        <w:rPr>
          <w:spacing w:val="19"/>
          <w:sz w:val="24"/>
        </w:rPr>
        <w:t> </w:t>
      </w:r>
      <w:r>
        <w:rPr>
          <w:sz w:val="24"/>
        </w:rPr>
        <w:t>paragraph</w:t>
      </w:r>
      <w:r>
        <w:rPr>
          <w:spacing w:val="19"/>
          <w:sz w:val="24"/>
        </w:rPr>
        <w:t> </w:t>
      </w:r>
      <w:r>
        <w:rPr>
          <w:sz w:val="24"/>
        </w:rPr>
        <w:t>(a)</w:t>
      </w:r>
      <w:r>
        <w:rPr>
          <w:spacing w:val="18"/>
          <w:sz w:val="24"/>
        </w:rPr>
        <w:t> </w:t>
      </w:r>
      <w:r>
        <w:rPr>
          <w:sz w:val="24"/>
        </w:rPr>
        <w:t>that</w:t>
      </w:r>
    </w:p>
    <w:p>
      <w:pPr>
        <w:pStyle w:val="BodyText"/>
        <w:spacing w:before="0"/>
        <w:ind w:left="1919" w:firstLine="0"/>
        <w:jc w:val="left"/>
      </w:pPr>
      <w:r>
        <w:rPr>
          <w:i/>
        </w:rPr>
        <w:t>AEMO </w:t>
      </w:r>
      <w:r>
        <w:rPr/>
        <w:t>may request include:</w:t>
      </w:r>
    </w:p>
    <w:p>
      <w:pPr>
        <w:pStyle w:val="ListParagraph"/>
        <w:numPr>
          <w:ilvl w:val="1"/>
          <w:numId w:val="303"/>
        </w:numPr>
        <w:tabs>
          <w:tab w:pos="2485" w:val="left" w:leader="none"/>
          <w:tab w:pos="2486" w:val="left" w:leader="none"/>
        </w:tabs>
        <w:spacing w:line="240" w:lineRule="auto" w:before="120" w:after="0"/>
        <w:ind w:left="2486" w:right="415" w:hanging="567"/>
        <w:jc w:val="left"/>
        <w:rPr>
          <w:sz w:val="24"/>
        </w:rPr>
      </w:pPr>
      <w:r>
        <w:rPr>
          <w:sz w:val="24"/>
        </w:rPr>
        <w:t>in respect of a </w:t>
      </w:r>
      <w:r>
        <w:rPr>
          <w:i/>
          <w:sz w:val="24"/>
        </w:rPr>
        <w:t>generating system </w:t>
      </w:r>
      <w:r>
        <w:rPr>
          <w:sz w:val="24"/>
        </w:rPr>
        <w:t>of a type referred to in subparagraphs (a)(1) to</w:t>
      </w:r>
      <w:r>
        <w:rPr>
          <w:spacing w:val="-2"/>
          <w:sz w:val="24"/>
        </w:rPr>
        <w:t> </w:t>
      </w:r>
      <w:r>
        <w:rPr>
          <w:sz w:val="24"/>
        </w:rPr>
        <w:t>(6):</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sz w:val="24"/>
        </w:rPr>
        <w:t>the status of all switching devices that carry the</w:t>
      </w:r>
      <w:r>
        <w:rPr>
          <w:spacing w:val="-5"/>
          <w:sz w:val="24"/>
        </w:rPr>
        <w:t> </w:t>
      </w:r>
      <w:r>
        <w:rPr>
          <w:i/>
          <w:sz w:val="24"/>
        </w:rPr>
        <w:t>generation</w:t>
      </w:r>
      <w:r>
        <w:rPr>
          <w:sz w:val="24"/>
        </w:rPr>
        <w:t>;</w:t>
      </w:r>
    </w:p>
    <w:p>
      <w:pPr>
        <w:pStyle w:val="ListParagraph"/>
        <w:numPr>
          <w:ilvl w:val="2"/>
          <w:numId w:val="303"/>
        </w:numPr>
        <w:tabs>
          <w:tab w:pos="3052" w:val="left" w:leader="none"/>
          <w:tab w:pos="3054" w:val="left" w:leader="none"/>
        </w:tabs>
        <w:spacing w:line="240" w:lineRule="auto" w:before="120" w:after="0"/>
        <w:ind w:left="3053" w:right="0" w:hanging="568"/>
        <w:jc w:val="left"/>
        <w:rPr>
          <w:sz w:val="24"/>
        </w:rPr>
      </w:pPr>
      <w:r>
        <w:rPr>
          <w:i/>
          <w:sz w:val="24"/>
        </w:rPr>
        <w:t>tap-changing transformer </w:t>
      </w:r>
      <w:r>
        <w:rPr>
          <w:sz w:val="24"/>
        </w:rPr>
        <w:t>tap position(s) and</w:t>
      </w:r>
      <w:r>
        <w:rPr>
          <w:spacing w:val="-1"/>
          <w:sz w:val="24"/>
        </w:rPr>
        <w:t> </w:t>
      </w:r>
      <w:r>
        <w:rPr>
          <w:i/>
          <w:sz w:val="24"/>
        </w:rPr>
        <w:t>voltages</w:t>
      </w:r>
      <w:r>
        <w:rPr>
          <w:sz w:val="24"/>
        </w:rPr>
        <w:t>;</w:t>
      </w:r>
    </w:p>
    <w:p>
      <w:pPr>
        <w:pStyle w:val="ListParagraph"/>
        <w:numPr>
          <w:ilvl w:val="2"/>
          <w:numId w:val="303"/>
        </w:numPr>
        <w:tabs>
          <w:tab w:pos="3052" w:val="left" w:leader="none"/>
          <w:tab w:pos="3053" w:val="left" w:leader="none"/>
        </w:tabs>
        <w:spacing w:line="240" w:lineRule="auto" w:before="120" w:after="0"/>
        <w:ind w:left="3053" w:right="416" w:hanging="567"/>
        <w:jc w:val="left"/>
        <w:rPr>
          <w:sz w:val="24"/>
        </w:rPr>
      </w:pPr>
      <w:r>
        <w:rPr>
          <w:i/>
          <w:sz w:val="24"/>
        </w:rPr>
        <w:t>active power </w:t>
      </w:r>
      <w:r>
        <w:rPr>
          <w:sz w:val="24"/>
        </w:rPr>
        <w:t>and </w:t>
      </w:r>
      <w:r>
        <w:rPr>
          <w:i/>
          <w:sz w:val="24"/>
        </w:rPr>
        <w:t>reactive power </w:t>
      </w:r>
      <w:r>
        <w:rPr>
          <w:sz w:val="24"/>
        </w:rPr>
        <w:t>aggregated for groups of identical </w:t>
      </w:r>
      <w:r>
        <w:rPr>
          <w:i/>
          <w:sz w:val="24"/>
        </w:rPr>
        <w:t>generating</w:t>
      </w:r>
      <w:r>
        <w:rPr>
          <w:i/>
          <w:spacing w:val="-1"/>
          <w:sz w:val="24"/>
        </w:rPr>
        <w:t> </w:t>
      </w:r>
      <w:r>
        <w:rPr>
          <w:i/>
          <w:sz w:val="24"/>
        </w:rPr>
        <w:t>units</w:t>
      </w:r>
      <w:r>
        <w:rPr>
          <w:sz w:val="24"/>
        </w:rPr>
        <w:t>;</w:t>
      </w:r>
    </w:p>
    <w:p>
      <w:pPr>
        <w:pStyle w:val="ListParagraph"/>
        <w:numPr>
          <w:ilvl w:val="2"/>
          <w:numId w:val="303"/>
        </w:numPr>
        <w:tabs>
          <w:tab w:pos="3052" w:val="left" w:leader="none"/>
          <w:tab w:pos="3054" w:val="left" w:leader="none"/>
        </w:tabs>
        <w:spacing w:line="240" w:lineRule="auto" w:before="120" w:after="0"/>
        <w:ind w:left="3053" w:right="415" w:hanging="567"/>
        <w:jc w:val="left"/>
        <w:rPr>
          <w:sz w:val="24"/>
        </w:rPr>
      </w:pPr>
      <w:r>
        <w:rPr>
          <w:sz w:val="24"/>
        </w:rPr>
        <w:t>either the number of identical </w:t>
      </w:r>
      <w:r>
        <w:rPr>
          <w:i/>
          <w:sz w:val="24"/>
        </w:rPr>
        <w:t>generating units </w:t>
      </w:r>
      <w:r>
        <w:rPr>
          <w:sz w:val="24"/>
        </w:rPr>
        <w:t>operating or the operating status of each non-identical </w:t>
      </w:r>
      <w:r>
        <w:rPr>
          <w:i/>
          <w:sz w:val="24"/>
        </w:rPr>
        <w:t>generating</w:t>
      </w:r>
      <w:r>
        <w:rPr>
          <w:i/>
          <w:spacing w:val="-4"/>
          <w:sz w:val="24"/>
        </w:rPr>
        <w:t> </w:t>
      </w:r>
      <w:r>
        <w:rPr>
          <w:i/>
          <w:sz w:val="24"/>
        </w:rPr>
        <w:t>unit</w:t>
      </w:r>
      <w:r>
        <w:rPr>
          <w:sz w:val="24"/>
        </w:rPr>
        <w:t>;</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i/>
          <w:sz w:val="24"/>
        </w:rPr>
        <w:t>active power </w:t>
      </w:r>
      <w:r>
        <w:rPr>
          <w:sz w:val="24"/>
        </w:rPr>
        <w:t>and </w:t>
      </w:r>
      <w:r>
        <w:rPr>
          <w:i/>
          <w:sz w:val="24"/>
        </w:rPr>
        <w:t>reactive power </w:t>
      </w:r>
      <w:r>
        <w:rPr>
          <w:sz w:val="24"/>
        </w:rPr>
        <w:t>for the </w:t>
      </w:r>
      <w:r>
        <w:rPr>
          <w:i/>
          <w:sz w:val="24"/>
        </w:rPr>
        <w:t>generating system</w:t>
      </w:r>
      <w:r>
        <w:rPr>
          <w:sz w:val="24"/>
        </w:rPr>
        <w:t>;</w:t>
      </w:r>
      <w:r>
        <w:rPr>
          <w:spacing w:val="-6"/>
          <w:sz w:val="24"/>
        </w:rPr>
        <w:t> </w:t>
      </w:r>
      <w:r>
        <w:rPr>
          <w:sz w:val="24"/>
        </w:rPr>
        <w:t>and</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i/>
          <w:sz w:val="24"/>
        </w:rPr>
        <w:t>voltage control system </w:t>
      </w:r>
      <w:r>
        <w:rPr>
          <w:sz w:val="24"/>
        </w:rPr>
        <w:t>setpoint and mode (as</w:t>
      </w:r>
      <w:r>
        <w:rPr>
          <w:spacing w:val="-4"/>
          <w:sz w:val="24"/>
        </w:rPr>
        <w:t> </w:t>
      </w:r>
      <w:r>
        <w:rPr>
          <w:sz w:val="24"/>
        </w:rPr>
        <w:t>applicable);</w:t>
      </w:r>
    </w:p>
    <w:p>
      <w:pPr>
        <w:pStyle w:val="ListParagraph"/>
        <w:numPr>
          <w:ilvl w:val="1"/>
          <w:numId w:val="303"/>
        </w:numPr>
        <w:tabs>
          <w:tab w:pos="2486" w:val="left" w:leader="none"/>
        </w:tabs>
        <w:spacing w:line="240" w:lineRule="auto" w:before="120" w:after="0"/>
        <w:ind w:left="2486" w:right="415" w:hanging="567"/>
        <w:jc w:val="both"/>
        <w:rPr>
          <w:sz w:val="24"/>
        </w:rPr>
      </w:pPr>
      <w:r>
        <w:rPr>
          <w:sz w:val="24"/>
        </w:rPr>
        <w:t>in respect of a </w:t>
      </w:r>
      <w:r>
        <w:rPr>
          <w:i/>
          <w:sz w:val="24"/>
        </w:rPr>
        <w:t>generating unit </w:t>
      </w:r>
      <w:r>
        <w:rPr>
          <w:sz w:val="24"/>
        </w:rPr>
        <w:t>with a </w:t>
      </w:r>
      <w:r>
        <w:rPr>
          <w:i/>
          <w:sz w:val="24"/>
        </w:rPr>
        <w:t>nameplate rating </w:t>
      </w:r>
      <w:r>
        <w:rPr>
          <w:sz w:val="24"/>
        </w:rPr>
        <w:t>of 30 MW or more, current, </w:t>
      </w:r>
      <w:r>
        <w:rPr>
          <w:i/>
          <w:sz w:val="24"/>
        </w:rPr>
        <w:t>voltage</w:t>
      </w:r>
      <w:r>
        <w:rPr>
          <w:sz w:val="24"/>
        </w:rPr>
        <w:t>, </w:t>
      </w:r>
      <w:r>
        <w:rPr>
          <w:i/>
          <w:sz w:val="24"/>
        </w:rPr>
        <w:t>active power </w:t>
      </w:r>
      <w:r>
        <w:rPr>
          <w:sz w:val="24"/>
        </w:rPr>
        <w:t>and </w:t>
      </w:r>
      <w:r>
        <w:rPr>
          <w:i/>
          <w:sz w:val="24"/>
        </w:rPr>
        <w:t>reactive power </w:t>
      </w:r>
      <w:r>
        <w:rPr>
          <w:sz w:val="24"/>
        </w:rPr>
        <w:t>in respect of </w:t>
      </w:r>
      <w:r>
        <w:rPr>
          <w:i/>
          <w:sz w:val="24"/>
        </w:rPr>
        <w:t>generating unit </w:t>
      </w:r>
      <w:r>
        <w:rPr>
          <w:sz w:val="24"/>
        </w:rPr>
        <w:t>stators or power conversion systems (as</w:t>
      </w:r>
      <w:r>
        <w:rPr>
          <w:spacing w:val="-10"/>
          <w:sz w:val="24"/>
        </w:rPr>
        <w:t> </w:t>
      </w:r>
      <w:r>
        <w:rPr>
          <w:sz w:val="24"/>
        </w:rPr>
        <w:t>applicable);</w:t>
      </w:r>
    </w:p>
    <w:p>
      <w:pPr>
        <w:pStyle w:val="ListParagraph"/>
        <w:numPr>
          <w:ilvl w:val="1"/>
          <w:numId w:val="303"/>
        </w:numPr>
        <w:tabs>
          <w:tab w:pos="2486" w:val="left" w:leader="none"/>
        </w:tabs>
        <w:spacing w:line="240" w:lineRule="auto" w:before="120" w:after="0"/>
        <w:ind w:left="2486" w:right="416" w:hanging="567"/>
        <w:jc w:val="both"/>
        <w:rPr>
          <w:sz w:val="24"/>
        </w:rPr>
      </w:pPr>
      <w:r>
        <w:rPr>
          <w:sz w:val="24"/>
        </w:rPr>
        <w:t>in respect of an auxiliary supply system with a capacity of 30 MW or more associated with a </w:t>
      </w:r>
      <w:r>
        <w:rPr>
          <w:i/>
          <w:sz w:val="24"/>
        </w:rPr>
        <w:t>generating unit </w:t>
      </w:r>
      <w:r>
        <w:rPr>
          <w:sz w:val="24"/>
        </w:rPr>
        <w:t>or </w:t>
      </w:r>
      <w:r>
        <w:rPr>
          <w:i/>
          <w:sz w:val="24"/>
        </w:rPr>
        <w:t>generating system</w:t>
      </w:r>
      <w:r>
        <w:rPr>
          <w:sz w:val="24"/>
        </w:rPr>
        <w:t>, </w:t>
      </w:r>
      <w:r>
        <w:rPr>
          <w:i/>
          <w:sz w:val="24"/>
        </w:rPr>
        <w:t>active </w:t>
      </w:r>
      <w:r>
        <w:rPr>
          <w:i/>
          <w:sz w:val="24"/>
        </w:rPr>
        <w:t>power </w:t>
      </w:r>
      <w:r>
        <w:rPr>
          <w:sz w:val="24"/>
        </w:rPr>
        <w:t>and </w:t>
      </w:r>
      <w:r>
        <w:rPr>
          <w:i/>
          <w:sz w:val="24"/>
        </w:rPr>
        <w:t>reactive</w:t>
      </w:r>
      <w:r>
        <w:rPr>
          <w:i/>
          <w:spacing w:val="-1"/>
          <w:sz w:val="24"/>
        </w:rPr>
        <w:t> </w:t>
      </w:r>
      <w:r>
        <w:rPr>
          <w:i/>
          <w:sz w:val="24"/>
        </w:rPr>
        <w:t>power</w:t>
      </w:r>
      <w:r>
        <w:rPr>
          <w:sz w:val="24"/>
        </w:rPr>
        <w:t>;</w:t>
      </w:r>
    </w:p>
    <w:p>
      <w:pPr>
        <w:pStyle w:val="ListParagraph"/>
        <w:numPr>
          <w:ilvl w:val="1"/>
          <w:numId w:val="303"/>
        </w:numPr>
        <w:tabs>
          <w:tab w:pos="2486" w:val="left" w:leader="none"/>
        </w:tabs>
        <w:spacing w:line="240" w:lineRule="auto" w:before="120" w:after="0"/>
        <w:ind w:left="2486" w:right="416" w:hanging="567"/>
        <w:jc w:val="both"/>
        <w:rPr>
          <w:sz w:val="24"/>
        </w:rPr>
      </w:pPr>
      <w:r>
        <w:rPr>
          <w:sz w:val="24"/>
        </w:rPr>
        <w:t>in respect of </w:t>
      </w:r>
      <w:r>
        <w:rPr>
          <w:i/>
          <w:sz w:val="24"/>
        </w:rPr>
        <w:t>reactive power </w:t>
      </w:r>
      <w:r>
        <w:rPr>
          <w:sz w:val="24"/>
        </w:rPr>
        <w:t>equipment that is part of a </w:t>
      </w:r>
      <w:r>
        <w:rPr>
          <w:i/>
          <w:sz w:val="24"/>
        </w:rPr>
        <w:t>generating </w:t>
      </w:r>
      <w:r>
        <w:rPr>
          <w:i/>
          <w:sz w:val="24"/>
        </w:rPr>
        <w:t>system </w:t>
      </w:r>
      <w:r>
        <w:rPr>
          <w:sz w:val="24"/>
        </w:rPr>
        <w:t>but not part of a particular </w:t>
      </w:r>
      <w:r>
        <w:rPr>
          <w:i/>
          <w:sz w:val="24"/>
        </w:rPr>
        <w:t>generating unit</w:t>
      </w:r>
      <w:r>
        <w:rPr>
          <w:sz w:val="24"/>
        </w:rPr>
        <w:t>, its </w:t>
      </w:r>
      <w:r>
        <w:rPr>
          <w:i/>
          <w:sz w:val="24"/>
        </w:rPr>
        <w:t>reactive</w:t>
      </w:r>
      <w:r>
        <w:rPr>
          <w:i/>
          <w:spacing w:val="-15"/>
          <w:sz w:val="24"/>
        </w:rPr>
        <w:t> </w:t>
      </w:r>
      <w:r>
        <w:rPr>
          <w:i/>
          <w:sz w:val="24"/>
        </w:rPr>
        <w:t>power</w:t>
      </w:r>
      <w:r>
        <w:rPr>
          <w:sz w:val="24"/>
        </w:rPr>
        <w:t>;</w:t>
      </w:r>
    </w:p>
    <w:p>
      <w:pPr>
        <w:pStyle w:val="ListParagraph"/>
        <w:numPr>
          <w:ilvl w:val="1"/>
          <w:numId w:val="303"/>
        </w:numPr>
        <w:tabs>
          <w:tab w:pos="2486" w:val="left" w:leader="none"/>
        </w:tabs>
        <w:spacing w:line="240" w:lineRule="auto" w:before="120" w:after="0"/>
        <w:ind w:left="2486" w:right="416" w:hanging="567"/>
        <w:jc w:val="both"/>
        <w:rPr>
          <w:sz w:val="24"/>
        </w:rPr>
      </w:pPr>
      <w:r>
        <w:rPr>
          <w:sz w:val="24"/>
        </w:rPr>
        <w:t>in respect of a </w:t>
      </w:r>
      <w:r>
        <w:rPr>
          <w:i/>
          <w:sz w:val="24"/>
        </w:rPr>
        <w:t>semi-scheduled generating system</w:t>
      </w:r>
      <w:r>
        <w:rPr>
          <w:sz w:val="24"/>
        </w:rPr>
        <w:t>, all data specified as mandatory in the relevant </w:t>
      </w:r>
      <w:r>
        <w:rPr>
          <w:i/>
          <w:sz w:val="24"/>
        </w:rPr>
        <w:t>energy conversion model </w:t>
      </w:r>
      <w:r>
        <w:rPr>
          <w:sz w:val="24"/>
        </w:rPr>
        <w:t>applicable to that type of </w:t>
      </w:r>
      <w:r>
        <w:rPr>
          <w:i/>
          <w:sz w:val="24"/>
        </w:rPr>
        <w:t>semi-scheduled generating</w:t>
      </w:r>
      <w:r>
        <w:rPr>
          <w:i/>
          <w:spacing w:val="-2"/>
          <w:sz w:val="24"/>
        </w:rPr>
        <w:t> </w:t>
      </w:r>
      <w:r>
        <w:rPr>
          <w:i/>
          <w:sz w:val="24"/>
        </w:rPr>
        <w:t>system</w:t>
      </w:r>
      <w:r>
        <w:rPr>
          <w:sz w:val="24"/>
        </w:rPr>
        <w:t>;</w:t>
      </w:r>
    </w:p>
    <w:p>
      <w:pPr>
        <w:pStyle w:val="ListParagraph"/>
        <w:numPr>
          <w:ilvl w:val="1"/>
          <w:numId w:val="303"/>
        </w:numPr>
        <w:tabs>
          <w:tab w:pos="2486" w:val="left" w:leader="none"/>
        </w:tabs>
        <w:spacing w:line="240" w:lineRule="auto" w:before="120" w:after="0"/>
        <w:ind w:left="2486" w:right="417" w:hanging="567"/>
        <w:jc w:val="both"/>
        <w:rPr>
          <w:sz w:val="24"/>
        </w:rPr>
      </w:pPr>
      <w:r>
        <w:rPr>
          <w:sz w:val="24"/>
        </w:rPr>
        <w:t>in respect of a </w:t>
      </w:r>
      <w:r>
        <w:rPr>
          <w:i/>
          <w:sz w:val="24"/>
        </w:rPr>
        <w:t>scheduled generating system </w:t>
      </w:r>
      <w:r>
        <w:rPr>
          <w:sz w:val="24"/>
        </w:rPr>
        <w:t>or </w:t>
      </w:r>
      <w:r>
        <w:rPr>
          <w:i/>
          <w:sz w:val="24"/>
        </w:rPr>
        <w:t>semi-scheduled </w:t>
      </w:r>
      <w:r>
        <w:rPr>
          <w:i/>
          <w:sz w:val="24"/>
        </w:rPr>
        <w:t>generating</w:t>
      </w:r>
      <w:r>
        <w:rPr>
          <w:i/>
          <w:spacing w:val="-1"/>
          <w:sz w:val="24"/>
        </w:rPr>
        <w:t> </w:t>
      </w:r>
      <w:r>
        <w:rPr>
          <w:i/>
          <w:sz w:val="24"/>
        </w:rPr>
        <w:t>system</w:t>
      </w:r>
      <w:r>
        <w:rPr>
          <w:sz w:val="24"/>
        </w:rPr>
        <w:t>:</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sz w:val="24"/>
        </w:rPr>
        <w:t>maximum </w:t>
      </w:r>
      <w:r>
        <w:rPr>
          <w:i/>
          <w:sz w:val="24"/>
        </w:rPr>
        <w:t>active power</w:t>
      </w:r>
      <w:r>
        <w:rPr>
          <w:i/>
          <w:spacing w:val="-2"/>
          <w:sz w:val="24"/>
        </w:rPr>
        <w:t> </w:t>
      </w:r>
      <w:r>
        <w:rPr>
          <w:sz w:val="24"/>
        </w:rPr>
        <w:t>limit;</w:t>
      </w:r>
    </w:p>
    <w:p>
      <w:pPr>
        <w:pStyle w:val="ListParagraph"/>
        <w:numPr>
          <w:ilvl w:val="2"/>
          <w:numId w:val="303"/>
        </w:numPr>
        <w:tabs>
          <w:tab w:pos="3052" w:val="left" w:leader="none"/>
          <w:tab w:pos="3054" w:val="left" w:leader="none"/>
        </w:tabs>
        <w:spacing w:line="240" w:lineRule="auto" w:before="120" w:after="0"/>
        <w:ind w:left="3053" w:right="0" w:hanging="568"/>
        <w:jc w:val="left"/>
        <w:rPr>
          <w:sz w:val="24"/>
        </w:rPr>
      </w:pPr>
      <w:r>
        <w:rPr>
          <w:sz w:val="24"/>
        </w:rPr>
        <w:t>minimum </w:t>
      </w:r>
      <w:r>
        <w:rPr>
          <w:i/>
          <w:sz w:val="24"/>
        </w:rPr>
        <w:t>active power</w:t>
      </w:r>
      <w:r>
        <w:rPr>
          <w:i/>
          <w:spacing w:val="-3"/>
          <w:sz w:val="24"/>
        </w:rPr>
        <w:t> </w:t>
      </w:r>
      <w:r>
        <w:rPr>
          <w:sz w:val="24"/>
        </w:rPr>
        <w:t>limit;</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sz w:val="24"/>
        </w:rPr>
        <w:t>maximum </w:t>
      </w:r>
      <w:r>
        <w:rPr>
          <w:i/>
          <w:sz w:val="24"/>
        </w:rPr>
        <w:t>active power </w:t>
      </w:r>
      <w:r>
        <w:rPr>
          <w:sz w:val="24"/>
        </w:rPr>
        <w:t>raise </w:t>
      </w:r>
      <w:r>
        <w:rPr>
          <w:i/>
          <w:sz w:val="24"/>
        </w:rPr>
        <w:t>ramp rate</w:t>
      </w:r>
      <w:r>
        <w:rPr>
          <w:sz w:val="24"/>
        </w:rPr>
        <w:t>;</w:t>
      </w:r>
      <w:r>
        <w:rPr>
          <w:spacing w:val="-3"/>
          <w:sz w:val="24"/>
        </w:rPr>
        <w:t> </w:t>
      </w:r>
      <w:r>
        <w:rPr>
          <w:sz w:val="24"/>
        </w:rPr>
        <w:t>and</w:t>
      </w:r>
    </w:p>
    <w:p>
      <w:pPr>
        <w:pStyle w:val="ListParagraph"/>
        <w:numPr>
          <w:ilvl w:val="2"/>
          <w:numId w:val="303"/>
        </w:numPr>
        <w:tabs>
          <w:tab w:pos="3052" w:val="left" w:leader="none"/>
          <w:tab w:pos="3054" w:val="left" w:leader="none"/>
        </w:tabs>
        <w:spacing w:line="240" w:lineRule="auto" w:before="120" w:after="0"/>
        <w:ind w:left="3053" w:right="0" w:hanging="568"/>
        <w:jc w:val="left"/>
        <w:rPr>
          <w:sz w:val="24"/>
        </w:rPr>
      </w:pPr>
      <w:r>
        <w:rPr>
          <w:sz w:val="24"/>
        </w:rPr>
        <w:t>maximum </w:t>
      </w:r>
      <w:r>
        <w:rPr>
          <w:i/>
          <w:sz w:val="24"/>
        </w:rPr>
        <w:t>active power </w:t>
      </w:r>
      <w:r>
        <w:rPr>
          <w:sz w:val="24"/>
        </w:rPr>
        <w:t>lower </w:t>
      </w:r>
      <w:r>
        <w:rPr>
          <w:i/>
          <w:sz w:val="24"/>
        </w:rPr>
        <w:t>ramp</w:t>
      </w:r>
      <w:r>
        <w:rPr>
          <w:i/>
          <w:spacing w:val="-2"/>
          <w:sz w:val="24"/>
        </w:rPr>
        <w:t> </w:t>
      </w:r>
      <w:r>
        <w:rPr>
          <w:i/>
          <w:sz w:val="24"/>
        </w:rPr>
        <w:t>rate</w:t>
      </w:r>
      <w:r>
        <w:rPr>
          <w:sz w:val="24"/>
        </w:rPr>
        <w:t>;</w:t>
      </w:r>
    </w:p>
    <w:p>
      <w:pPr>
        <w:pStyle w:val="ListParagraph"/>
        <w:numPr>
          <w:ilvl w:val="1"/>
          <w:numId w:val="303"/>
        </w:numPr>
        <w:tabs>
          <w:tab w:pos="2485" w:val="left" w:leader="none"/>
          <w:tab w:pos="2486" w:val="left" w:leader="none"/>
        </w:tabs>
        <w:spacing w:line="240" w:lineRule="auto" w:before="120" w:after="0"/>
        <w:ind w:left="2486" w:right="416" w:hanging="567"/>
        <w:jc w:val="left"/>
        <w:rPr>
          <w:sz w:val="24"/>
        </w:rPr>
      </w:pPr>
      <w:r>
        <w:rPr>
          <w:sz w:val="24"/>
        </w:rPr>
        <w:t>in respect of a run-back scheme agreed with the </w:t>
      </w:r>
      <w:r>
        <w:rPr>
          <w:i/>
          <w:sz w:val="24"/>
        </w:rPr>
        <w:t>Network</w:t>
      </w:r>
      <w:r>
        <w:rPr>
          <w:i/>
          <w:spacing w:val="19"/>
          <w:sz w:val="24"/>
        </w:rPr>
        <w:t> </w:t>
      </w:r>
      <w:r>
        <w:rPr>
          <w:i/>
          <w:sz w:val="24"/>
        </w:rPr>
        <w:t>Service </w:t>
      </w:r>
      <w:r>
        <w:rPr>
          <w:i/>
          <w:sz w:val="24"/>
        </w:rPr>
        <w:t>Provider</w:t>
      </w:r>
      <w:r>
        <w:rPr>
          <w:sz w:val="24"/>
        </w:rPr>
        <w:t>:</w:t>
      </w:r>
    </w:p>
    <w:p>
      <w:pPr>
        <w:pStyle w:val="ListParagraph"/>
        <w:numPr>
          <w:ilvl w:val="2"/>
          <w:numId w:val="303"/>
        </w:numPr>
        <w:tabs>
          <w:tab w:pos="3052" w:val="left" w:leader="none"/>
          <w:tab w:pos="3053" w:val="left" w:leader="none"/>
        </w:tabs>
        <w:spacing w:line="240" w:lineRule="auto" w:before="120" w:after="0"/>
        <w:ind w:left="3052" w:right="0" w:hanging="567"/>
        <w:jc w:val="left"/>
        <w:rPr>
          <w:sz w:val="24"/>
        </w:rPr>
      </w:pPr>
      <w:r>
        <w:rPr>
          <w:sz w:val="24"/>
        </w:rPr>
        <w:t>run-back scheme status;</w:t>
      </w:r>
      <w:r>
        <w:rPr>
          <w:spacing w:val="-3"/>
          <w:sz w:val="24"/>
        </w:rPr>
        <w:t> </w:t>
      </w:r>
      <w:r>
        <w:rPr>
          <w:sz w:val="24"/>
        </w:rPr>
        <w:t>and</w:t>
      </w:r>
    </w:p>
    <w:p>
      <w:pPr>
        <w:pStyle w:val="ListParagraph"/>
        <w:numPr>
          <w:ilvl w:val="2"/>
          <w:numId w:val="303"/>
        </w:numPr>
        <w:tabs>
          <w:tab w:pos="3052" w:val="left" w:leader="none"/>
          <w:tab w:pos="3054" w:val="left" w:leader="none"/>
        </w:tabs>
        <w:spacing w:line="240" w:lineRule="auto" w:before="120" w:after="0"/>
        <w:ind w:left="3053" w:right="416" w:hanging="567"/>
        <w:jc w:val="left"/>
        <w:rPr>
          <w:sz w:val="24"/>
        </w:rPr>
      </w:pPr>
      <w:r>
        <w:rPr>
          <w:i/>
          <w:sz w:val="24"/>
        </w:rPr>
        <w:t>active power</w:t>
      </w:r>
      <w:r>
        <w:rPr>
          <w:sz w:val="24"/>
        </w:rPr>
        <w:t>, </w:t>
      </w:r>
      <w:r>
        <w:rPr>
          <w:i/>
          <w:sz w:val="24"/>
        </w:rPr>
        <w:t>reactive power </w:t>
      </w:r>
      <w:r>
        <w:rPr>
          <w:sz w:val="24"/>
        </w:rPr>
        <w:t>or other control limit, as applicable;</w:t>
      </w:r>
    </w:p>
    <w:p>
      <w:pPr>
        <w:pStyle w:val="ListParagraph"/>
        <w:numPr>
          <w:ilvl w:val="1"/>
          <w:numId w:val="303"/>
        </w:numPr>
        <w:tabs>
          <w:tab w:pos="2486" w:val="left" w:leader="none"/>
        </w:tabs>
        <w:spacing w:line="240" w:lineRule="auto" w:before="120" w:after="0"/>
        <w:ind w:left="2486" w:right="415" w:hanging="567"/>
        <w:jc w:val="both"/>
        <w:rPr>
          <w:sz w:val="24"/>
        </w:rPr>
      </w:pPr>
      <w:r>
        <w:rPr>
          <w:sz w:val="24"/>
        </w:rPr>
        <w:t>the mode of operation of the </w:t>
      </w:r>
      <w:r>
        <w:rPr>
          <w:i/>
          <w:sz w:val="24"/>
        </w:rPr>
        <w:t>generating unit</w:t>
      </w:r>
      <w:r>
        <w:rPr>
          <w:sz w:val="24"/>
        </w:rPr>
        <w:t>, turbine control limits, or other information required to reasonably predict the </w:t>
      </w:r>
      <w:r>
        <w:rPr>
          <w:i/>
          <w:sz w:val="24"/>
        </w:rPr>
        <w:t>active power </w:t>
      </w:r>
      <w:r>
        <w:rPr>
          <w:sz w:val="24"/>
        </w:rPr>
        <w:t>response of the </w:t>
      </w:r>
      <w:r>
        <w:rPr>
          <w:i/>
          <w:sz w:val="24"/>
        </w:rPr>
        <w:t>generating system </w:t>
      </w:r>
      <w:r>
        <w:rPr>
          <w:sz w:val="24"/>
        </w:rPr>
        <w:t>to a change in </w:t>
      </w:r>
      <w:r>
        <w:rPr>
          <w:i/>
          <w:sz w:val="24"/>
        </w:rPr>
        <w:t>power system </w:t>
      </w:r>
      <w:r>
        <w:rPr>
          <w:i/>
          <w:sz w:val="24"/>
        </w:rPr>
        <w:t>frequency </w:t>
      </w:r>
      <w:r>
        <w:rPr>
          <w:sz w:val="24"/>
        </w:rPr>
        <w:t>at the </w:t>
      </w:r>
      <w:r>
        <w:rPr>
          <w:i/>
          <w:sz w:val="24"/>
        </w:rPr>
        <w:t>connection point</w:t>
      </w:r>
      <w:r>
        <w:rPr>
          <w:sz w:val="24"/>
        </w:rPr>
        <w:t>;</w:t>
      </w:r>
      <w:r>
        <w:rPr>
          <w:spacing w:val="-3"/>
          <w:sz w:val="24"/>
        </w:rPr>
        <w:t> </w:t>
      </w:r>
      <w:r>
        <w:rPr>
          <w:sz w:val="24"/>
        </w:rPr>
        <w:t>and</w:t>
      </w:r>
    </w:p>
    <w:p>
      <w:pPr>
        <w:pStyle w:val="ListParagraph"/>
        <w:numPr>
          <w:ilvl w:val="1"/>
          <w:numId w:val="303"/>
        </w:numPr>
        <w:tabs>
          <w:tab w:pos="2486" w:val="left" w:leader="none"/>
        </w:tabs>
        <w:spacing w:line="240" w:lineRule="auto" w:before="120" w:after="0"/>
        <w:ind w:left="2486" w:right="415" w:hanging="567"/>
        <w:jc w:val="both"/>
        <w:rPr>
          <w:sz w:val="24"/>
        </w:rPr>
      </w:pPr>
      <w:r>
        <w:rPr>
          <w:sz w:val="24"/>
        </w:rPr>
        <w:t>any other quantity that </w:t>
      </w:r>
      <w:r>
        <w:rPr>
          <w:i/>
          <w:sz w:val="24"/>
        </w:rPr>
        <w:t>AEMO </w:t>
      </w:r>
      <w:r>
        <w:rPr>
          <w:sz w:val="24"/>
        </w:rPr>
        <w:t>reasonably requires to discharge its </w:t>
      </w:r>
      <w:r>
        <w:rPr>
          <w:i/>
          <w:sz w:val="24"/>
        </w:rPr>
        <w:t>market </w:t>
      </w:r>
      <w:r>
        <w:rPr>
          <w:sz w:val="24"/>
        </w:rPr>
        <w:t>and </w:t>
      </w:r>
      <w:r>
        <w:rPr>
          <w:i/>
          <w:sz w:val="24"/>
        </w:rPr>
        <w:t>power system security </w:t>
      </w:r>
      <w:r>
        <w:rPr>
          <w:sz w:val="24"/>
        </w:rPr>
        <w:t>functions as set out in Chapters 3 and 4.</w:t>
      </w:r>
    </w:p>
    <w:p>
      <w:pPr>
        <w:spacing w:after="0" w:line="240" w:lineRule="auto"/>
        <w:jc w:val="both"/>
        <w:rPr>
          <w:sz w:val="24"/>
        </w:rPr>
        <w:sectPr>
          <w:pgSz w:w="11910" w:h="16840"/>
          <w:pgMar w:header="686" w:footer="637" w:top="1320" w:bottom="820" w:left="1200" w:right="1000"/>
        </w:sectPr>
      </w:pPr>
    </w:p>
    <w:p>
      <w:pPr>
        <w:pStyle w:val="BodyText"/>
        <w:spacing w:before="83"/>
        <w:ind w:left="1352" w:firstLine="0"/>
        <w:rPr>
          <w:i/>
        </w:rPr>
      </w:pPr>
      <w:r>
        <w:rPr/>
        <w:t>(b1) The remote control quantities referred to under paragraph (a) that </w:t>
      </w:r>
      <w:r>
        <w:rPr>
          <w:i/>
        </w:rPr>
        <w:t>AEMO</w:t>
      </w:r>
    </w:p>
    <w:p>
      <w:pPr>
        <w:pStyle w:val="BodyText"/>
        <w:spacing w:before="0"/>
        <w:ind w:left="1919" w:firstLine="0"/>
      </w:pPr>
      <w:r>
        <w:rPr/>
        <w:t>may request include:</w:t>
      </w:r>
    </w:p>
    <w:p>
      <w:pPr>
        <w:pStyle w:val="ListParagraph"/>
        <w:numPr>
          <w:ilvl w:val="0"/>
          <w:numId w:val="304"/>
        </w:numPr>
        <w:tabs>
          <w:tab w:pos="2486" w:val="left" w:leader="none"/>
        </w:tabs>
        <w:spacing w:line="240" w:lineRule="auto" w:before="120" w:after="0"/>
        <w:ind w:left="2485" w:right="0" w:hanging="567"/>
        <w:jc w:val="both"/>
        <w:rPr>
          <w:sz w:val="24"/>
        </w:rPr>
      </w:pPr>
      <w:r>
        <w:rPr>
          <w:sz w:val="24"/>
        </w:rPr>
        <w:t>in respect of a </w:t>
      </w:r>
      <w:r>
        <w:rPr>
          <w:i/>
          <w:sz w:val="24"/>
        </w:rPr>
        <w:t>generating</w:t>
      </w:r>
      <w:r>
        <w:rPr>
          <w:i/>
          <w:spacing w:val="-1"/>
          <w:sz w:val="24"/>
        </w:rPr>
        <w:t> </w:t>
      </w:r>
      <w:r>
        <w:rPr>
          <w:i/>
          <w:sz w:val="24"/>
        </w:rPr>
        <w:t>system</w:t>
      </w:r>
      <w:r>
        <w:rPr>
          <w:sz w:val="24"/>
        </w:rPr>
        <w:t>:</w:t>
      </w:r>
    </w:p>
    <w:p>
      <w:pPr>
        <w:pStyle w:val="ListParagraph"/>
        <w:numPr>
          <w:ilvl w:val="1"/>
          <w:numId w:val="304"/>
        </w:numPr>
        <w:tabs>
          <w:tab w:pos="3053" w:val="left" w:leader="none"/>
        </w:tabs>
        <w:spacing w:line="240" w:lineRule="auto" w:before="120" w:after="0"/>
        <w:ind w:left="3052" w:right="0" w:hanging="567"/>
        <w:jc w:val="both"/>
        <w:rPr>
          <w:sz w:val="24"/>
        </w:rPr>
      </w:pPr>
      <w:r>
        <w:rPr>
          <w:i/>
          <w:sz w:val="24"/>
        </w:rPr>
        <w:t>voltage control </w:t>
      </w:r>
      <w:r>
        <w:rPr>
          <w:sz w:val="24"/>
        </w:rPr>
        <w:t>setpoint;</w:t>
      </w:r>
      <w:r>
        <w:rPr>
          <w:spacing w:val="-1"/>
          <w:sz w:val="24"/>
        </w:rPr>
        <w:t> </w:t>
      </w:r>
      <w:r>
        <w:rPr>
          <w:sz w:val="24"/>
        </w:rPr>
        <w:t>and</w:t>
      </w:r>
    </w:p>
    <w:p>
      <w:pPr>
        <w:pStyle w:val="ListParagraph"/>
        <w:numPr>
          <w:ilvl w:val="1"/>
          <w:numId w:val="304"/>
        </w:numPr>
        <w:tabs>
          <w:tab w:pos="3054" w:val="left" w:leader="none"/>
        </w:tabs>
        <w:spacing w:line="240" w:lineRule="auto" w:before="120" w:after="0"/>
        <w:ind w:left="3053" w:right="0" w:hanging="568"/>
        <w:jc w:val="both"/>
        <w:rPr>
          <w:sz w:val="24"/>
        </w:rPr>
      </w:pPr>
      <w:r>
        <w:rPr>
          <w:i/>
          <w:sz w:val="24"/>
        </w:rPr>
        <w:t>voltage control </w:t>
      </w:r>
      <w:r>
        <w:rPr>
          <w:sz w:val="24"/>
        </w:rPr>
        <w:t>mode (where</w:t>
      </w:r>
      <w:r>
        <w:rPr>
          <w:spacing w:val="-1"/>
          <w:sz w:val="24"/>
        </w:rPr>
        <w:t> </w:t>
      </w:r>
      <w:r>
        <w:rPr>
          <w:sz w:val="24"/>
        </w:rPr>
        <w:t>applicable);</w:t>
      </w:r>
    </w:p>
    <w:p>
      <w:pPr>
        <w:pStyle w:val="ListParagraph"/>
        <w:numPr>
          <w:ilvl w:val="0"/>
          <w:numId w:val="304"/>
        </w:numPr>
        <w:tabs>
          <w:tab w:pos="2486" w:val="left" w:leader="none"/>
        </w:tabs>
        <w:spacing w:line="240" w:lineRule="auto" w:before="120" w:after="0"/>
        <w:ind w:left="2486" w:right="416" w:hanging="567"/>
        <w:jc w:val="both"/>
        <w:rPr>
          <w:sz w:val="24"/>
        </w:rPr>
      </w:pPr>
      <w:r>
        <w:rPr>
          <w:sz w:val="24"/>
        </w:rPr>
        <w:t>in respect of a </w:t>
      </w:r>
      <w:r>
        <w:rPr>
          <w:i/>
          <w:sz w:val="24"/>
        </w:rPr>
        <w:t>scheduled generating system </w:t>
      </w:r>
      <w:r>
        <w:rPr>
          <w:sz w:val="24"/>
        </w:rPr>
        <w:t>or </w:t>
      </w:r>
      <w:r>
        <w:rPr>
          <w:i/>
          <w:sz w:val="24"/>
        </w:rPr>
        <w:t>semi-scheduled </w:t>
      </w:r>
      <w:r>
        <w:rPr>
          <w:i/>
          <w:sz w:val="24"/>
        </w:rPr>
        <w:t>generating system</w:t>
      </w:r>
      <w:r>
        <w:rPr>
          <w:sz w:val="24"/>
        </w:rPr>
        <w:t>, the </w:t>
      </w:r>
      <w:r>
        <w:rPr>
          <w:i/>
          <w:sz w:val="24"/>
        </w:rPr>
        <w:t>automatic generation control system </w:t>
      </w:r>
      <w:r>
        <w:rPr>
          <w:sz w:val="24"/>
        </w:rPr>
        <w:t>signal; and</w:t>
      </w:r>
    </w:p>
    <w:p>
      <w:pPr>
        <w:pStyle w:val="ListParagraph"/>
        <w:numPr>
          <w:ilvl w:val="0"/>
          <w:numId w:val="304"/>
        </w:numPr>
        <w:tabs>
          <w:tab w:pos="2486" w:val="left" w:leader="none"/>
        </w:tabs>
        <w:spacing w:line="240" w:lineRule="auto" w:before="120" w:after="0"/>
        <w:ind w:left="2486" w:right="416" w:hanging="567"/>
        <w:jc w:val="both"/>
        <w:rPr>
          <w:sz w:val="24"/>
        </w:rPr>
      </w:pPr>
      <w:r>
        <w:rPr>
          <w:sz w:val="24"/>
        </w:rPr>
        <w:t>in respect of a </w:t>
      </w:r>
      <w:r>
        <w:rPr>
          <w:i/>
          <w:sz w:val="24"/>
        </w:rPr>
        <w:t>non-scheduled generating system</w:t>
      </w:r>
      <w:r>
        <w:rPr>
          <w:sz w:val="24"/>
        </w:rPr>
        <w:t>, to the extent required to manage </w:t>
      </w:r>
      <w:r>
        <w:rPr>
          <w:i/>
          <w:sz w:val="24"/>
        </w:rPr>
        <w:t>network</w:t>
      </w:r>
      <w:r>
        <w:rPr>
          <w:i/>
          <w:spacing w:val="-1"/>
          <w:sz w:val="24"/>
        </w:rPr>
        <w:t> </w:t>
      </w:r>
      <w:r>
        <w:rPr>
          <w:sz w:val="24"/>
        </w:rPr>
        <w:t>flows:</w:t>
      </w:r>
    </w:p>
    <w:p>
      <w:pPr>
        <w:pStyle w:val="ListParagraph"/>
        <w:numPr>
          <w:ilvl w:val="1"/>
          <w:numId w:val="304"/>
        </w:numPr>
        <w:tabs>
          <w:tab w:pos="3053" w:val="left" w:leader="none"/>
        </w:tabs>
        <w:spacing w:line="240" w:lineRule="auto" w:before="120" w:after="0"/>
        <w:ind w:left="3052" w:right="0" w:hanging="567"/>
        <w:jc w:val="both"/>
        <w:rPr>
          <w:sz w:val="24"/>
        </w:rPr>
      </w:pPr>
      <w:r>
        <w:rPr>
          <w:i/>
          <w:sz w:val="24"/>
        </w:rPr>
        <w:t>active power </w:t>
      </w:r>
      <w:r>
        <w:rPr>
          <w:sz w:val="24"/>
        </w:rPr>
        <w:t>limit;</w:t>
      </w:r>
      <w:r>
        <w:rPr>
          <w:spacing w:val="-1"/>
          <w:sz w:val="24"/>
        </w:rPr>
        <w:t> </w:t>
      </w:r>
      <w:r>
        <w:rPr>
          <w:sz w:val="24"/>
        </w:rPr>
        <w:t>and</w:t>
      </w:r>
    </w:p>
    <w:p>
      <w:pPr>
        <w:pStyle w:val="ListParagraph"/>
        <w:numPr>
          <w:ilvl w:val="1"/>
          <w:numId w:val="304"/>
        </w:numPr>
        <w:tabs>
          <w:tab w:pos="3054" w:val="left" w:leader="none"/>
        </w:tabs>
        <w:spacing w:line="240" w:lineRule="auto" w:before="120" w:after="0"/>
        <w:ind w:left="3053" w:right="0" w:hanging="568"/>
        <w:jc w:val="both"/>
        <w:rPr>
          <w:sz w:val="24"/>
        </w:rPr>
      </w:pPr>
      <w:r>
        <w:rPr>
          <w:i/>
          <w:sz w:val="24"/>
        </w:rPr>
        <w:t>active power </w:t>
      </w:r>
      <w:r>
        <w:rPr>
          <w:sz w:val="24"/>
        </w:rPr>
        <w:t>ramp</w:t>
      </w:r>
      <w:r>
        <w:rPr>
          <w:spacing w:val="-1"/>
          <w:sz w:val="24"/>
        </w:rPr>
        <w:t> </w:t>
      </w:r>
      <w:r>
        <w:rPr>
          <w:sz w:val="24"/>
        </w:rPr>
        <w:t>limit.</w:t>
      </w:r>
    </w:p>
    <w:p>
      <w:pPr>
        <w:spacing w:before="220"/>
        <w:ind w:left="1356" w:right="0" w:firstLine="0"/>
        <w:jc w:val="both"/>
        <w:rPr>
          <w:rFonts w:ascii="Arial"/>
          <w:b/>
          <w:sz w:val="22"/>
        </w:rPr>
      </w:pPr>
      <w:r>
        <w:rPr>
          <w:rFonts w:ascii="Arial"/>
          <w:b/>
          <w:sz w:val="22"/>
        </w:rPr>
        <w:t>Minimum access standard</w:t>
      </w:r>
    </w:p>
    <w:p>
      <w:pPr>
        <w:pStyle w:val="ListParagraph"/>
        <w:numPr>
          <w:ilvl w:val="0"/>
          <w:numId w:val="303"/>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minimum access standard </w:t>
      </w:r>
      <w:r>
        <w:rPr>
          <w:sz w:val="24"/>
        </w:rPr>
        <w:t>is</w:t>
      </w:r>
      <w:r>
        <w:rPr>
          <w:spacing w:val="-3"/>
          <w:sz w:val="24"/>
        </w:rPr>
        <w:t> </w:t>
      </w:r>
      <w:r>
        <w:rPr>
          <w:sz w:val="24"/>
        </w:rPr>
        <w:t>a:</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scheduled generating</w:t>
      </w:r>
      <w:r>
        <w:rPr>
          <w:i/>
          <w:spacing w:val="-1"/>
          <w:sz w:val="24"/>
        </w:rPr>
        <w:t> </w:t>
      </w:r>
      <w:r>
        <w:rPr>
          <w:i/>
          <w:sz w:val="24"/>
        </w:rPr>
        <w:t>unit</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scheduled generating</w:t>
      </w:r>
      <w:r>
        <w:rPr>
          <w:i/>
          <w:spacing w:val="-1"/>
          <w:sz w:val="24"/>
        </w:rPr>
        <w:t> </w:t>
      </w:r>
      <w:r>
        <w:rPr>
          <w:i/>
          <w:sz w:val="24"/>
        </w:rPr>
        <w:t>system</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non-scheduled generating</w:t>
      </w:r>
      <w:r>
        <w:rPr>
          <w:i/>
          <w:spacing w:val="-1"/>
          <w:sz w:val="24"/>
        </w:rPr>
        <w:t> </w:t>
      </w:r>
      <w:r>
        <w:rPr>
          <w:i/>
          <w:sz w:val="24"/>
        </w:rPr>
        <w:t>system</w:t>
      </w:r>
      <w:r>
        <w:rPr>
          <w:sz w:val="24"/>
        </w:rPr>
        <w:t>;</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semi-scheduled generating unit</w:t>
      </w:r>
      <w:r>
        <w:rPr>
          <w:sz w:val="24"/>
        </w:rPr>
        <w:t>;</w:t>
      </w:r>
      <w:r>
        <w:rPr>
          <w:spacing w:val="-2"/>
          <w:sz w:val="24"/>
        </w:rPr>
        <w:t> </w:t>
      </w:r>
      <w:r>
        <w:rPr>
          <w:sz w:val="24"/>
        </w:rPr>
        <w:t>or</w:t>
      </w:r>
    </w:p>
    <w:p>
      <w:pPr>
        <w:pStyle w:val="ListParagraph"/>
        <w:numPr>
          <w:ilvl w:val="1"/>
          <w:numId w:val="303"/>
        </w:numPr>
        <w:tabs>
          <w:tab w:pos="2485" w:val="left" w:leader="none"/>
          <w:tab w:pos="2486" w:val="left" w:leader="none"/>
        </w:tabs>
        <w:spacing w:line="240" w:lineRule="auto" w:before="120" w:after="0"/>
        <w:ind w:left="2485" w:right="0" w:hanging="567"/>
        <w:jc w:val="left"/>
        <w:rPr>
          <w:sz w:val="24"/>
        </w:rPr>
      </w:pPr>
      <w:r>
        <w:rPr>
          <w:i/>
          <w:sz w:val="24"/>
        </w:rPr>
        <w:t>semi-scheduled generating</w:t>
      </w:r>
      <w:r>
        <w:rPr>
          <w:i/>
          <w:spacing w:val="-6"/>
          <w:sz w:val="24"/>
        </w:rPr>
        <w:t> </w:t>
      </w:r>
      <w:r>
        <w:rPr>
          <w:i/>
          <w:sz w:val="24"/>
        </w:rPr>
        <w:t>system</w:t>
      </w:r>
      <w:r>
        <w:rPr>
          <w:sz w:val="24"/>
        </w:rPr>
        <w:t>,</w:t>
      </w:r>
    </w:p>
    <w:p>
      <w:pPr>
        <w:spacing w:before="120"/>
        <w:ind w:left="1919" w:right="414" w:firstLine="0"/>
        <w:jc w:val="both"/>
        <w:rPr>
          <w:sz w:val="24"/>
        </w:rPr>
      </w:pPr>
      <w:r>
        <w:rPr>
          <w:sz w:val="24"/>
        </w:rPr>
        <w:t>must have </w:t>
      </w:r>
      <w:r>
        <w:rPr>
          <w:i/>
          <w:sz w:val="24"/>
        </w:rPr>
        <w:t>remote monitoring equipment </w:t>
      </w:r>
      <w:r>
        <w:rPr>
          <w:sz w:val="24"/>
        </w:rPr>
        <w:t>to transmit to </w:t>
      </w:r>
      <w:r>
        <w:rPr>
          <w:i/>
          <w:sz w:val="24"/>
        </w:rPr>
        <w:t>AEMO's control </w:t>
      </w:r>
      <w:r>
        <w:rPr>
          <w:i/>
          <w:sz w:val="24"/>
        </w:rPr>
        <w:t>centres </w:t>
      </w:r>
      <w:r>
        <w:rPr>
          <w:sz w:val="24"/>
        </w:rPr>
        <w:t>in real time in accordance with rule 4.11 the quantities that </w:t>
      </w:r>
      <w:r>
        <w:rPr>
          <w:i/>
          <w:sz w:val="24"/>
        </w:rPr>
        <w:t>AEMO </w:t>
      </w:r>
      <w:r>
        <w:rPr>
          <w:sz w:val="24"/>
        </w:rPr>
        <w:t>reasonably requires to discharge its </w:t>
      </w:r>
      <w:r>
        <w:rPr>
          <w:i/>
          <w:sz w:val="24"/>
        </w:rPr>
        <w:t>market </w:t>
      </w:r>
      <w:r>
        <w:rPr>
          <w:sz w:val="24"/>
        </w:rPr>
        <w:t>and </w:t>
      </w:r>
      <w:r>
        <w:rPr>
          <w:i/>
          <w:sz w:val="24"/>
        </w:rPr>
        <w:t>power system security </w:t>
      </w:r>
      <w:r>
        <w:rPr>
          <w:sz w:val="24"/>
        </w:rPr>
        <w:t>functions set out in Chapters 3 and 4.</w:t>
      </w:r>
    </w:p>
    <w:p>
      <w:pPr>
        <w:pStyle w:val="ListParagraph"/>
        <w:numPr>
          <w:ilvl w:val="0"/>
          <w:numId w:val="303"/>
        </w:numPr>
        <w:tabs>
          <w:tab w:pos="1919" w:val="left" w:leader="none"/>
        </w:tabs>
        <w:spacing w:line="240" w:lineRule="auto" w:before="120" w:after="0"/>
        <w:ind w:left="1919" w:right="415" w:hanging="567"/>
        <w:jc w:val="both"/>
        <w:rPr>
          <w:sz w:val="24"/>
        </w:rPr>
      </w:pPr>
      <w:r>
        <w:rPr>
          <w:sz w:val="24"/>
        </w:rPr>
        <w:t>The quantities referred to under paragraph (c) that </w:t>
      </w:r>
      <w:r>
        <w:rPr>
          <w:i/>
          <w:sz w:val="24"/>
        </w:rPr>
        <w:t>AEMO </w:t>
      </w:r>
      <w:r>
        <w:rPr>
          <w:sz w:val="24"/>
        </w:rPr>
        <w:t>may request include:</w:t>
      </w:r>
    </w:p>
    <w:p>
      <w:pPr>
        <w:pStyle w:val="ListParagraph"/>
        <w:numPr>
          <w:ilvl w:val="1"/>
          <w:numId w:val="303"/>
        </w:numPr>
        <w:tabs>
          <w:tab w:pos="2486" w:val="left" w:leader="none"/>
        </w:tabs>
        <w:spacing w:line="240" w:lineRule="auto" w:before="120" w:after="0"/>
        <w:ind w:left="2485" w:right="0" w:hanging="567"/>
        <w:jc w:val="both"/>
        <w:rPr>
          <w:i/>
          <w:sz w:val="24"/>
        </w:rPr>
      </w:pPr>
      <w:r>
        <w:rPr>
          <w:sz w:val="24"/>
        </w:rPr>
        <w:t>the</w:t>
      </w:r>
      <w:r>
        <w:rPr>
          <w:spacing w:val="32"/>
          <w:sz w:val="24"/>
        </w:rPr>
        <w:t> </w:t>
      </w:r>
      <w:r>
        <w:rPr>
          <w:i/>
          <w:sz w:val="24"/>
        </w:rPr>
        <w:t>active</w:t>
      </w:r>
      <w:r>
        <w:rPr>
          <w:i/>
          <w:spacing w:val="32"/>
          <w:sz w:val="24"/>
        </w:rPr>
        <w:t> </w:t>
      </w:r>
      <w:r>
        <w:rPr>
          <w:i/>
          <w:sz w:val="24"/>
        </w:rPr>
        <w:t>power</w:t>
      </w:r>
      <w:r>
        <w:rPr>
          <w:i/>
          <w:spacing w:val="32"/>
          <w:sz w:val="24"/>
        </w:rPr>
        <w:t> </w:t>
      </w:r>
      <w:r>
        <w:rPr>
          <w:sz w:val="24"/>
        </w:rPr>
        <w:t>output</w:t>
      </w:r>
      <w:r>
        <w:rPr>
          <w:spacing w:val="33"/>
          <w:sz w:val="24"/>
        </w:rPr>
        <w:t> </w:t>
      </w:r>
      <w:r>
        <w:rPr>
          <w:sz w:val="24"/>
        </w:rPr>
        <w:t>of</w:t>
      </w:r>
      <w:r>
        <w:rPr>
          <w:spacing w:val="32"/>
          <w:sz w:val="24"/>
        </w:rPr>
        <w:t> </w:t>
      </w:r>
      <w:r>
        <w:rPr>
          <w:sz w:val="24"/>
        </w:rPr>
        <w:t>the</w:t>
      </w:r>
      <w:r>
        <w:rPr>
          <w:spacing w:val="32"/>
          <w:sz w:val="24"/>
        </w:rPr>
        <w:t> </w:t>
      </w:r>
      <w:r>
        <w:rPr>
          <w:i/>
          <w:sz w:val="24"/>
        </w:rPr>
        <w:t>generating</w:t>
      </w:r>
      <w:r>
        <w:rPr>
          <w:i/>
          <w:spacing w:val="33"/>
          <w:sz w:val="24"/>
        </w:rPr>
        <w:t> </w:t>
      </w:r>
      <w:r>
        <w:rPr>
          <w:i/>
          <w:sz w:val="24"/>
        </w:rPr>
        <w:t>unit</w:t>
      </w:r>
      <w:r>
        <w:rPr>
          <w:i/>
          <w:spacing w:val="32"/>
          <w:sz w:val="24"/>
        </w:rPr>
        <w:t> </w:t>
      </w:r>
      <w:r>
        <w:rPr>
          <w:sz w:val="24"/>
        </w:rPr>
        <w:t>or</w:t>
      </w:r>
      <w:r>
        <w:rPr>
          <w:spacing w:val="32"/>
          <w:sz w:val="24"/>
        </w:rPr>
        <w:t> </w:t>
      </w:r>
      <w:r>
        <w:rPr>
          <w:i/>
          <w:sz w:val="24"/>
        </w:rPr>
        <w:t>generating</w:t>
      </w:r>
      <w:r>
        <w:rPr>
          <w:i/>
          <w:spacing w:val="33"/>
          <w:sz w:val="24"/>
        </w:rPr>
        <w:t> </w:t>
      </w:r>
      <w:r>
        <w:rPr>
          <w:i/>
          <w:sz w:val="24"/>
        </w:rPr>
        <w:t>system</w:t>
      </w:r>
    </w:p>
    <w:p>
      <w:pPr>
        <w:pStyle w:val="BodyText"/>
        <w:spacing w:before="0"/>
        <w:ind w:left="2486" w:firstLine="0"/>
      </w:pPr>
      <w:r>
        <w:rPr/>
        <w:t>(as applicable);</w:t>
      </w:r>
    </w:p>
    <w:p>
      <w:pPr>
        <w:pStyle w:val="ListParagraph"/>
        <w:numPr>
          <w:ilvl w:val="1"/>
          <w:numId w:val="303"/>
        </w:numPr>
        <w:tabs>
          <w:tab w:pos="2486" w:val="left" w:leader="none"/>
        </w:tabs>
        <w:spacing w:line="240" w:lineRule="auto" w:before="120" w:after="0"/>
        <w:ind w:left="2485" w:right="0" w:hanging="567"/>
        <w:jc w:val="both"/>
        <w:rPr>
          <w:sz w:val="24"/>
        </w:rPr>
      </w:pPr>
      <w:r>
        <w:rPr>
          <w:sz w:val="24"/>
        </w:rPr>
        <w:t>if </w:t>
      </w:r>
      <w:r>
        <w:rPr>
          <w:i/>
          <w:sz w:val="24"/>
        </w:rPr>
        <w:t>connected </w:t>
      </w:r>
      <w:r>
        <w:rPr>
          <w:sz w:val="24"/>
        </w:rPr>
        <w:t>to a </w:t>
      </w:r>
      <w:r>
        <w:rPr>
          <w:i/>
          <w:sz w:val="24"/>
        </w:rPr>
        <w:t>transmission system</w:t>
      </w:r>
      <w:r>
        <w:rPr>
          <w:sz w:val="24"/>
        </w:rPr>
        <w:t>, the </w:t>
      </w:r>
      <w:r>
        <w:rPr>
          <w:i/>
          <w:sz w:val="24"/>
        </w:rPr>
        <w:t>reactive power </w:t>
      </w:r>
      <w:r>
        <w:rPr>
          <w:sz w:val="24"/>
        </w:rPr>
        <w:t>output of</w:t>
      </w:r>
      <w:r>
        <w:rPr>
          <w:spacing w:val="14"/>
          <w:sz w:val="24"/>
        </w:rPr>
        <w:t> </w:t>
      </w:r>
      <w:r>
        <w:rPr>
          <w:sz w:val="24"/>
        </w:rPr>
        <w:t>the</w:t>
      </w:r>
    </w:p>
    <w:p>
      <w:pPr>
        <w:spacing w:before="0"/>
        <w:ind w:left="2486" w:right="0" w:firstLine="0"/>
        <w:jc w:val="both"/>
        <w:rPr>
          <w:sz w:val="24"/>
        </w:rPr>
      </w:pPr>
      <w:r>
        <w:rPr>
          <w:i/>
          <w:sz w:val="24"/>
        </w:rPr>
        <w:t>generating unit </w:t>
      </w:r>
      <w:r>
        <w:rPr>
          <w:sz w:val="24"/>
        </w:rPr>
        <w:t>or </w:t>
      </w:r>
      <w:r>
        <w:rPr>
          <w:i/>
          <w:sz w:val="24"/>
        </w:rPr>
        <w:t>generating system </w:t>
      </w:r>
      <w:r>
        <w:rPr>
          <w:sz w:val="24"/>
        </w:rPr>
        <w:t>(as applicable); and</w:t>
      </w:r>
    </w:p>
    <w:p>
      <w:pPr>
        <w:pStyle w:val="ListParagraph"/>
        <w:numPr>
          <w:ilvl w:val="1"/>
          <w:numId w:val="303"/>
        </w:numPr>
        <w:tabs>
          <w:tab w:pos="2486" w:val="left" w:leader="none"/>
        </w:tabs>
        <w:spacing w:line="240" w:lineRule="auto" w:before="120" w:after="0"/>
        <w:ind w:left="2486" w:right="415" w:hanging="567"/>
        <w:jc w:val="both"/>
        <w:rPr>
          <w:sz w:val="24"/>
        </w:rPr>
      </w:pPr>
      <w:r>
        <w:rPr>
          <w:sz w:val="24"/>
        </w:rPr>
        <w:t>if a </w:t>
      </w:r>
      <w:r>
        <w:rPr>
          <w:i/>
          <w:sz w:val="24"/>
        </w:rPr>
        <w:t>semi-scheduled generating system</w:t>
      </w:r>
      <w:r>
        <w:rPr>
          <w:sz w:val="24"/>
        </w:rPr>
        <w:t>, all data specified as mandatory in the relevant </w:t>
      </w:r>
      <w:r>
        <w:rPr>
          <w:i/>
          <w:sz w:val="24"/>
        </w:rPr>
        <w:t>energy conversion model </w:t>
      </w:r>
      <w:r>
        <w:rPr>
          <w:sz w:val="24"/>
        </w:rPr>
        <w:t>applicable to that type of </w:t>
      </w:r>
      <w:r>
        <w:rPr>
          <w:i/>
          <w:sz w:val="24"/>
        </w:rPr>
        <w:t>semi-scheduled generating</w:t>
      </w:r>
      <w:r>
        <w:rPr>
          <w:i/>
          <w:spacing w:val="-2"/>
          <w:sz w:val="24"/>
        </w:rPr>
        <w:t> </w:t>
      </w:r>
      <w:r>
        <w:rPr>
          <w:i/>
          <w:sz w:val="24"/>
        </w:rPr>
        <w:t>system</w:t>
      </w:r>
      <w:r>
        <w:rPr>
          <w:sz w:val="24"/>
        </w:rPr>
        <w:t>.</w:t>
      </w:r>
    </w:p>
    <w:p>
      <w:pPr>
        <w:pStyle w:val="BodyText"/>
        <w:spacing w:before="10"/>
        <w:ind w:firstLine="0"/>
        <w:jc w:val="left"/>
        <w:rPr>
          <w:sz w:val="20"/>
        </w:rPr>
      </w:pPr>
    </w:p>
    <w:p>
      <w:pPr>
        <w:pStyle w:val="Heading4"/>
        <w:tabs>
          <w:tab w:pos="1351" w:val="left" w:leader="none"/>
        </w:tabs>
        <w:ind w:left="218" w:firstLine="0"/>
      </w:pPr>
      <w:bookmarkStart w:name="S5.2.6.2 Communications equipment" w:id="1002"/>
      <w:bookmarkEnd w:id="1002"/>
      <w:r>
        <w:rPr>
          <w:b w:val="0"/>
        </w:rPr>
      </w:r>
      <w:bookmarkStart w:name="_bookmark393" w:id="1003"/>
      <w:bookmarkEnd w:id="1003"/>
      <w:r>
        <w:rPr>
          <w:b w:val="0"/>
        </w:rPr>
      </w:r>
      <w:r>
        <w:rPr/>
        <w:t>S5.2.6.2</w:t>
        <w:tab/>
        <w:t>Communications</w:t>
      </w:r>
      <w:r>
        <w:rPr>
          <w:spacing w:val="-2"/>
        </w:rPr>
        <w:t> </w:t>
      </w:r>
      <w:r>
        <w:rPr/>
        <w:t>equipment</w:t>
      </w:r>
    </w:p>
    <w:p>
      <w:pPr>
        <w:spacing w:before="220"/>
        <w:ind w:left="1356" w:right="0" w:firstLine="0"/>
        <w:jc w:val="both"/>
        <w:rPr>
          <w:rFonts w:ascii="Arial"/>
          <w:b/>
          <w:sz w:val="22"/>
        </w:rPr>
      </w:pPr>
      <w:r>
        <w:rPr>
          <w:rFonts w:ascii="Arial"/>
          <w:b/>
          <w:sz w:val="22"/>
        </w:rPr>
        <w:t>Automatic access standard</w:t>
      </w:r>
    </w:p>
    <w:p>
      <w:pPr>
        <w:pStyle w:val="ListParagraph"/>
        <w:numPr>
          <w:ilvl w:val="0"/>
          <w:numId w:val="305"/>
        </w:numPr>
        <w:tabs>
          <w:tab w:pos="1919" w:val="left" w:leader="none"/>
        </w:tabs>
        <w:spacing w:line="240" w:lineRule="auto" w:before="120" w:after="0"/>
        <w:ind w:left="1918" w:right="0" w:hanging="567"/>
        <w:jc w:val="both"/>
        <w:rPr>
          <w:sz w:val="24"/>
        </w:rPr>
      </w:pPr>
      <w:r>
        <w:rPr>
          <w:sz w:val="24"/>
        </w:rPr>
        <w:t>The </w:t>
      </w:r>
      <w:r>
        <w:rPr>
          <w:i/>
          <w:sz w:val="24"/>
        </w:rPr>
        <w:t>automatic access standard </w:t>
      </w:r>
      <w:r>
        <w:rPr>
          <w:sz w:val="24"/>
        </w:rPr>
        <w:t>is a </w:t>
      </w:r>
      <w:r>
        <w:rPr>
          <w:i/>
          <w:sz w:val="24"/>
        </w:rPr>
        <w:t>Generator</w:t>
      </w:r>
      <w:r>
        <w:rPr>
          <w:i/>
          <w:spacing w:val="-2"/>
          <w:sz w:val="24"/>
        </w:rPr>
        <w:t> </w:t>
      </w:r>
      <w:r>
        <w:rPr>
          <w:sz w:val="24"/>
        </w:rPr>
        <w:t>must:</w:t>
      </w:r>
    </w:p>
    <w:p>
      <w:pPr>
        <w:pStyle w:val="ListParagraph"/>
        <w:numPr>
          <w:ilvl w:val="1"/>
          <w:numId w:val="305"/>
        </w:numPr>
        <w:tabs>
          <w:tab w:pos="2486" w:val="left" w:leader="none"/>
        </w:tabs>
        <w:spacing w:line="240" w:lineRule="auto" w:before="120" w:after="0"/>
        <w:ind w:left="2486" w:right="415" w:hanging="567"/>
        <w:jc w:val="both"/>
        <w:rPr>
          <w:sz w:val="24"/>
        </w:rPr>
      </w:pPr>
      <w:r>
        <w:rPr>
          <w:sz w:val="24"/>
        </w:rPr>
        <w:t>provide and maintain two separate telephone </w:t>
      </w:r>
      <w:r>
        <w:rPr>
          <w:i/>
          <w:sz w:val="24"/>
        </w:rPr>
        <w:t>facilities </w:t>
      </w:r>
      <w:r>
        <w:rPr>
          <w:sz w:val="24"/>
        </w:rPr>
        <w:t>using independent telecommunications service providers, for the purposes of </w:t>
      </w:r>
      <w:r>
        <w:rPr>
          <w:i/>
          <w:sz w:val="24"/>
        </w:rPr>
        <w:t>operational communications </w:t>
      </w:r>
      <w:r>
        <w:rPr>
          <w:sz w:val="24"/>
        </w:rPr>
        <w:t>between the </w:t>
      </w:r>
      <w:r>
        <w:rPr>
          <w:i/>
          <w:sz w:val="24"/>
        </w:rPr>
        <w:t>Generator's </w:t>
      </w:r>
      <w:r>
        <w:rPr>
          <w:sz w:val="24"/>
        </w:rPr>
        <w:t>responsible operator under clause 4.11.3(a) and </w:t>
      </w:r>
      <w:r>
        <w:rPr>
          <w:i/>
          <w:sz w:val="24"/>
        </w:rPr>
        <w:t>AEMO's control centre</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05"/>
        </w:numPr>
        <w:tabs>
          <w:tab w:pos="2486" w:val="left" w:leader="none"/>
        </w:tabs>
        <w:spacing w:line="240" w:lineRule="auto" w:before="83" w:after="0"/>
        <w:ind w:left="2486" w:right="415" w:hanging="567"/>
        <w:jc w:val="both"/>
        <w:rPr>
          <w:sz w:val="24"/>
        </w:rPr>
      </w:pPr>
      <w:r>
        <w:rPr>
          <w:sz w:val="24"/>
        </w:rPr>
        <w:t>provide electricity supplies for </w:t>
      </w:r>
      <w:r>
        <w:rPr>
          <w:i/>
          <w:sz w:val="24"/>
        </w:rPr>
        <w:t>remote monitoring equipment </w:t>
      </w:r>
      <w:r>
        <w:rPr>
          <w:sz w:val="24"/>
        </w:rPr>
        <w:t>and </w:t>
      </w:r>
      <w:r>
        <w:rPr>
          <w:i/>
          <w:sz w:val="24"/>
        </w:rPr>
        <w:t>remote control equipment </w:t>
      </w:r>
      <w:r>
        <w:rPr>
          <w:sz w:val="24"/>
        </w:rPr>
        <w:t>installed in relation to its </w:t>
      </w:r>
      <w:r>
        <w:rPr>
          <w:i/>
          <w:sz w:val="24"/>
        </w:rPr>
        <w:t>generating system </w:t>
      </w:r>
      <w:r>
        <w:rPr>
          <w:sz w:val="24"/>
        </w:rPr>
        <w:t>capable of keeping such equipment available for at least 3 hours following total loss of </w:t>
      </w:r>
      <w:r>
        <w:rPr>
          <w:i/>
          <w:sz w:val="24"/>
        </w:rPr>
        <w:t>supply </w:t>
      </w:r>
      <w:r>
        <w:rPr>
          <w:sz w:val="24"/>
        </w:rPr>
        <w:t>at the </w:t>
      </w:r>
      <w:r>
        <w:rPr>
          <w:i/>
          <w:sz w:val="24"/>
        </w:rPr>
        <w:t>connection point </w:t>
      </w:r>
      <w:r>
        <w:rPr>
          <w:sz w:val="24"/>
        </w:rPr>
        <w:t>for the relevant </w:t>
      </w:r>
      <w:r>
        <w:rPr>
          <w:i/>
          <w:sz w:val="24"/>
        </w:rPr>
        <w:t>generating</w:t>
      </w:r>
      <w:r>
        <w:rPr>
          <w:i/>
          <w:spacing w:val="-1"/>
          <w:sz w:val="24"/>
        </w:rPr>
        <w:t> </w:t>
      </w:r>
      <w:r>
        <w:rPr>
          <w:i/>
          <w:sz w:val="24"/>
        </w:rPr>
        <w:t>unit</w:t>
      </w:r>
      <w:r>
        <w:rPr>
          <w:sz w:val="24"/>
        </w:rPr>
        <w:t>.</w:t>
      </w:r>
    </w:p>
    <w:p>
      <w:pPr>
        <w:spacing w:before="220"/>
        <w:ind w:left="1356" w:right="0" w:firstLine="0"/>
        <w:jc w:val="left"/>
        <w:rPr>
          <w:rFonts w:ascii="Arial"/>
          <w:b/>
          <w:sz w:val="22"/>
        </w:rPr>
      </w:pPr>
      <w:r>
        <w:rPr>
          <w:rFonts w:ascii="Arial"/>
          <w:b/>
          <w:sz w:val="22"/>
        </w:rPr>
        <w:t>Minimum access standard</w:t>
      </w:r>
    </w:p>
    <w:p>
      <w:pPr>
        <w:pStyle w:val="ListParagraph"/>
        <w:numPr>
          <w:ilvl w:val="0"/>
          <w:numId w:val="305"/>
        </w:numPr>
        <w:tabs>
          <w:tab w:pos="1919" w:val="left" w:leader="none"/>
        </w:tabs>
        <w:spacing w:line="240" w:lineRule="auto" w:before="120" w:after="0"/>
        <w:ind w:left="1918" w:right="0" w:hanging="567"/>
        <w:jc w:val="both"/>
        <w:rPr>
          <w:sz w:val="24"/>
        </w:rPr>
      </w:pPr>
      <w:r>
        <w:rPr>
          <w:sz w:val="24"/>
        </w:rPr>
        <w:t>The </w:t>
      </w:r>
      <w:r>
        <w:rPr>
          <w:i/>
          <w:sz w:val="24"/>
        </w:rPr>
        <w:t>minimum access standard </w:t>
      </w:r>
      <w:r>
        <w:rPr>
          <w:sz w:val="24"/>
        </w:rPr>
        <w:t>is a </w:t>
      </w:r>
      <w:r>
        <w:rPr>
          <w:i/>
          <w:sz w:val="24"/>
        </w:rPr>
        <w:t>Generator</w:t>
      </w:r>
      <w:r>
        <w:rPr>
          <w:i/>
          <w:spacing w:val="-6"/>
          <w:sz w:val="24"/>
        </w:rPr>
        <w:t> </w:t>
      </w:r>
      <w:r>
        <w:rPr>
          <w:sz w:val="24"/>
        </w:rPr>
        <w:t>must:</w:t>
      </w:r>
    </w:p>
    <w:p>
      <w:pPr>
        <w:pStyle w:val="ListParagraph"/>
        <w:numPr>
          <w:ilvl w:val="1"/>
          <w:numId w:val="305"/>
        </w:numPr>
        <w:tabs>
          <w:tab w:pos="2486" w:val="left" w:leader="none"/>
        </w:tabs>
        <w:spacing w:line="240" w:lineRule="auto" w:before="120" w:after="0"/>
        <w:ind w:left="2486" w:right="415" w:hanging="567"/>
        <w:jc w:val="both"/>
        <w:rPr>
          <w:sz w:val="24"/>
        </w:rPr>
      </w:pPr>
      <w:r>
        <w:rPr>
          <w:sz w:val="24"/>
        </w:rPr>
        <w:t>provide and maintain a telephone facility for the purposes of </w:t>
      </w:r>
      <w:r>
        <w:rPr>
          <w:i/>
          <w:sz w:val="24"/>
        </w:rPr>
        <w:t>operational communications </w:t>
      </w:r>
      <w:r>
        <w:rPr>
          <w:sz w:val="24"/>
        </w:rPr>
        <w:t>between the </w:t>
      </w:r>
      <w:r>
        <w:rPr>
          <w:i/>
          <w:sz w:val="24"/>
        </w:rPr>
        <w:t>Generator's </w:t>
      </w:r>
      <w:r>
        <w:rPr>
          <w:sz w:val="24"/>
        </w:rPr>
        <w:t>responsible operator under clause 4.11.3(a) and </w:t>
      </w:r>
      <w:r>
        <w:rPr>
          <w:i/>
          <w:sz w:val="24"/>
        </w:rPr>
        <w:t>AEMO's control centre</w:t>
      </w:r>
      <w:r>
        <w:rPr>
          <w:sz w:val="24"/>
        </w:rPr>
        <w:t>;</w:t>
      </w:r>
      <w:r>
        <w:rPr>
          <w:spacing w:val="-2"/>
          <w:sz w:val="24"/>
        </w:rPr>
        <w:t> </w:t>
      </w:r>
      <w:r>
        <w:rPr>
          <w:sz w:val="24"/>
        </w:rPr>
        <w:t>and</w:t>
      </w:r>
    </w:p>
    <w:p>
      <w:pPr>
        <w:pStyle w:val="ListParagraph"/>
        <w:numPr>
          <w:ilvl w:val="1"/>
          <w:numId w:val="305"/>
        </w:numPr>
        <w:tabs>
          <w:tab w:pos="2486" w:val="left" w:leader="none"/>
        </w:tabs>
        <w:spacing w:line="240" w:lineRule="auto" w:before="120" w:after="0"/>
        <w:ind w:left="2486" w:right="415" w:hanging="567"/>
        <w:jc w:val="both"/>
        <w:rPr>
          <w:sz w:val="24"/>
        </w:rPr>
      </w:pPr>
      <w:r>
        <w:rPr>
          <w:sz w:val="24"/>
        </w:rPr>
        <w:t>provide electricity supplies for </w:t>
      </w:r>
      <w:r>
        <w:rPr>
          <w:i/>
          <w:sz w:val="24"/>
        </w:rPr>
        <w:t>remote monitoring equipment </w:t>
      </w:r>
      <w:r>
        <w:rPr>
          <w:sz w:val="24"/>
        </w:rPr>
        <w:t>and </w:t>
      </w:r>
      <w:r>
        <w:rPr>
          <w:i/>
          <w:sz w:val="24"/>
        </w:rPr>
        <w:t>remote control equipment </w:t>
      </w:r>
      <w:r>
        <w:rPr>
          <w:sz w:val="24"/>
        </w:rPr>
        <w:t>installed in relation to its </w:t>
      </w:r>
      <w:r>
        <w:rPr>
          <w:i/>
          <w:sz w:val="24"/>
        </w:rPr>
        <w:t>generating system </w:t>
      </w:r>
      <w:r>
        <w:rPr>
          <w:sz w:val="24"/>
        </w:rPr>
        <w:t>capable of keeping such equipment available for at least 1 hour following total loss of </w:t>
      </w:r>
      <w:r>
        <w:rPr>
          <w:i/>
          <w:sz w:val="24"/>
        </w:rPr>
        <w:t>supply </w:t>
      </w:r>
      <w:r>
        <w:rPr>
          <w:sz w:val="24"/>
        </w:rPr>
        <w:t>at the </w:t>
      </w:r>
      <w:r>
        <w:rPr>
          <w:i/>
          <w:sz w:val="24"/>
        </w:rPr>
        <w:t>connection point </w:t>
      </w:r>
      <w:r>
        <w:rPr>
          <w:sz w:val="24"/>
        </w:rPr>
        <w:t>for the relevant </w:t>
      </w:r>
      <w:r>
        <w:rPr>
          <w:i/>
          <w:sz w:val="24"/>
        </w:rPr>
        <w:t>generating</w:t>
      </w:r>
      <w:r>
        <w:rPr>
          <w:i/>
          <w:spacing w:val="-1"/>
          <w:sz w:val="24"/>
        </w:rPr>
        <w:t> </w:t>
      </w:r>
      <w:r>
        <w:rPr>
          <w:i/>
          <w:sz w:val="24"/>
        </w:rPr>
        <w:t>unit</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305"/>
        </w:numPr>
        <w:tabs>
          <w:tab w:pos="1919" w:val="left" w:leader="none"/>
        </w:tabs>
        <w:spacing w:line="240" w:lineRule="auto" w:before="120" w:after="0"/>
        <w:ind w:left="1919" w:right="414" w:hanging="567"/>
        <w:jc w:val="both"/>
        <w:rPr>
          <w:sz w:val="24"/>
        </w:rPr>
      </w:pPr>
      <w:r>
        <w:rPr>
          <w:sz w:val="24"/>
        </w:rPr>
        <w:t>A </w:t>
      </w:r>
      <w:r>
        <w:rPr>
          <w:i/>
          <w:sz w:val="24"/>
        </w:rPr>
        <w:t>negotiated access standard </w:t>
      </w:r>
      <w:r>
        <w:rPr>
          <w:sz w:val="24"/>
        </w:rPr>
        <w:t>must include, where the </w:t>
      </w:r>
      <w:r>
        <w:rPr>
          <w:i/>
          <w:sz w:val="24"/>
        </w:rPr>
        <w:t>Network</w:t>
      </w:r>
      <w:r>
        <w:rPr>
          <w:i/>
          <w:spacing w:val="40"/>
          <w:sz w:val="24"/>
        </w:rPr>
        <w:t> </w:t>
      </w:r>
      <w:r>
        <w:rPr>
          <w:i/>
          <w:sz w:val="24"/>
        </w:rPr>
        <w:t>Service </w:t>
      </w:r>
      <w:r>
        <w:rPr>
          <w:i/>
          <w:sz w:val="24"/>
        </w:rPr>
        <w:t>Provider </w:t>
      </w:r>
      <w:r>
        <w:rPr>
          <w:sz w:val="24"/>
        </w:rPr>
        <w:t>or </w:t>
      </w:r>
      <w:r>
        <w:rPr>
          <w:i/>
          <w:sz w:val="24"/>
        </w:rPr>
        <w:t>AEMO </w:t>
      </w:r>
      <w:r>
        <w:rPr>
          <w:sz w:val="24"/>
        </w:rPr>
        <w:t>reasonably require, a back-up telephone facility be independent of commercial telephone service providers, and the </w:t>
      </w:r>
      <w:r>
        <w:rPr>
          <w:i/>
          <w:sz w:val="24"/>
        </w:rPr>
        <w:t>Network </w:t>
      </w:r>
      <w:r>
        <w:rPr>
          <w:i/>
          <w:sz w:val="24"/>
        </w:rPr>
        <w:t>Service Provider </w:t>
      </w:r>
      <w:r>
        <w:rPr>
          <w:sz w:val="24"/>
        </w:rPr>
        <w:t>must provide and maintain the separate facility on a cost- recovery basis only through the charge for</w:t>
      </w:r>
      <w:r>
        <w:rPr>
          <w:spacing w:val="-2"/>
          <w:sz w:val="24"/>
        </w:rPr>
        <w:t> </w:t>
      </w:r>
      <w:r>
        <w:rPr>
          <w:i/>
          <w:sz w:val="24"/>
        </w:rPr>
        <w:t>connection</w:t>
      </w:r>
      <w:r>
        <w:rPr>
          <w:sz w:val="24"/>
        </w:rPr>
        <w:t>.</w:t>
      </w:r>
    </w:p>
    <w:p>
      <w:pPr>
        <w:pStyle w:val="ListParagraph"/>
        <w:numPr>
          <w:ilvl w:val="0"/>
          <w:numId w:val="305"/>
        </w:numPr>
        <w:tabs>
          <w:tab w:pos="1919" w:val="left" w:leader="none"/>
        </w:tabs>
        <w:spacing w:line="240" w:lineRule="auto" w:before="120" w:after="0"/>
        <w:ind w:left="1919" w:right="415" w:hanging="567"/>
        <w:jc w:val="both"/>
        <w:rPr>
          <w:sz w:val="24"/>
        </w:rPr>
      </w:pPr>
      <w:r>
        <w:rPr>
          <w:sz w:val="24"/>
        </w:rPr>
        <w:t>A </w:t>
      </w:r>
      <w:r>
        <w:rPr>
          <w:i/>
          <w:sz w:val="24"/>
        </w:rPr>
        <w:t>negotiated access standard </w:t>
      </w:r>
      <w:r>
        <w:rPr>
          <w:sz w:val="24"/>
        </w:rPr>
        <w:t>must include that a </w:t>
      </w:r>
      <w:r>
        <w:rPr>
          <w:i/>
          <w:sz w:val="24"/>
        </w:rPr>
        <w:t>Generator </w:t>
      </w:r>
      <w:r>
        <w:rPr>
          <w:sz w:val="24"/>
        </w:rPr>
        <w:t>must provide communications paths (with appropriate redundancy) from the </w:t>
      </w:r>
      <w:r>
        <w:rPr>
          <w:i/>
          <w:sz w:val="24"/>
        </w:rPr>
        <w:t>remote </w:t>
      </w:r>
      <w:r>
        <w:rPr>
          <w:i/>
          <w:sz w:val="24"/>
        </w:rPr>
        <w:t>monitoring equipment </w:t>
      </w:r>
      <w:r>
        <w:rPr>
          <w:sz w:val="24"/>
        </w:rPr>
        <w:t>or </w:t>
      </w:r>
      <w:r>
        <w:rPr>
          <w:i/>
          <w:sz w:val="24"/>
        </w:rPr>
        <w:t>remote control equipment </w:t>
      </w:r>
      <w:r>
        <w:rPr>
          <w:sz w:val="24"/>
        </w:rPr>
        <w:t>installed for each of its </w:t>
      </w:r>
      <w:r>
        <w:rPr>
          <w:i/>
          <w:sz w:val="24"/>
        </w:rPr>
        <w:t>generating systems </w:t>
      </w:r>
      <w:r>
        <w:rPr>
          <w:sz w:val="24"/>
        </w:rPr>
        <w:t>as appropriate, to an interface for communication purposes in a location reasonably acceptable to the </w:t>
      </w:r>
      <w:r>
        <w:rPr>
          <w:i/>
          <w:sz w:val="24"/>
        </w:rPr>
        <w:t>Network Service </w:t>
      </w:r>
      <w:r>
        <w:rPr>
          <w:i/>
          <w:sz w:val="24"/>
        </w:rPr>
        <w:t>Provider </w:t>
      </w:r>
      <w:r>
        <w:rPr>
          <w:sz w:val="24"/>
        </w:rPr>
        <w:t>at the relevant </w:t>
      </w:r>
      <w:r>
        <w:rPr>
          <w:i/>
          <w:sz w:val="24"/>
        </w:rPr>
        <w:t>generation</w:t>
      </w:r>
      <w:r>
        <w:rPr>
          <w:i/>
          <w:spacing w:val="-2"/>
          <w:sz w:val="24"/>
        </w:rPr>
        <w:t> </w:t>
      </w:r>
      <w:r>
        <w:rPr>
          <w:sz w:val="24"/>
        </w:rPr>
        <w:t>facility.</w:t>
      </w:r>
    </w:p>
    <w:p>
      <w:pPr>
        <w:pStyle w:val="ListParagraph"/>
        <w:numPr>
          <w:ilvl w:val="0"/>
          <w:numId w:val="305"/>
        </w:numPr>
        <w:tabs>
          <w:tab w:pos="1919" w:val="left" w:leader="none"/>
        </w:tabs>
        <w:spacing w:line="240" w:lineRule="auto" w:before="120" w:after="0"/>
        <w:ind w:left="1919" w:right="415" w:hanging="567"/>
        <w:jc w:val="both"/>
        <w:rPr>
          <w:sz w:val="24"/>
        </w:rPr>
      </w:pPr>
      <w:r>
        <w:rPr>
          <w:sz w:val="24"/>
        </w:rPr>
        <w:t>Communications systems between the interface for communication purposes under paragraph (d) and the </w:t>
      </w:r>
      <w:r>
        <w:rPr>
          <w:i/>
          <w:sz w:val="24"/>
        </w:rPr>
        <w:t>control centre </w:t>
      </w:r>
      <w:r>
        <w:rPr>
          <w:sz w:val="24"/>
        </w:rPr>
        <w:t>must be </w:t>
      </w:r>
      <w:r>
        <w:rPr>
          <w:spacing w:val="-5"/>
          <w:sz w:val="24"/>
        </w:rPr>
        <w:t>the </w:t>
      </w:r>
      <w:r>
        <w:rPr>
          <w:sz w:val="24"/>
        </w:rPr>
        <w:t>responsibility of the </w:t>
      </w:r>
      <w:r>
        <w:rPr>
          <w:i/>
          <w:sz w:val="24"/>
        </w:rPr>
        <w:t>Network Service Provider </w:t>
      </w:r>
      <w:r>
        <w:rPr>
          <w:sz w:val="24"/>
        </w:rPr>
        <w:t>unless otherwise agreed </w:t>
      </w:r>
      <w:r>
        <w:rPr>
          <w:spacing w:val="-6"/>
          <w:sz w:val="24"/>
        </w:rPr>
        <w:t>by </w:t>
      </w:r>
      <w:r>
        <w:rPr>
          <w:sz w:val="24"/>
        </w:rPr>
        <w:t>the </w:t>
      </w:r>
      <w:r>
        <w:rPr>
          <w:i/>
          <w:sz w:val="24"/>
        </w:rPr>
        <w:t>Generator </w:t>
      </w:r>
      <w:r>
        <w:rPr>
          <w:sz w:val="24"/>
        </w:rPr>
        <w:t>and the </w:t>
      </w:r>
      <w:r>
        <w:rPr>
          <w:i/>
          <w:sz w:val="24"/>
        </w:rPr>
        <w:t>Network Service</w:t>
      </w:r>
      <w:r>
        <w:rPr>
          <w:i/>
          <w:spacing w:val="-4"/>
          <w:sz w:val="24"/>
        </w:rPr>
        <w:t> </w:t>
      </w:r>
      <w:r>
        <w:rPr>
          <w:i/>
          <w:sz w:val="24"/>
        </w:rPr>
        <w:t>Provider</w:t>
      </w:r>
      <w:r>
        <w:rPr>
          <w:sz w:val="24"/>
        </w:rPr>
        <w:t>.</w:t>
      </w:r>
    </w:p>
    <w:p>
      <w:pPr>
        <w:pStyle w:val="ListParagraph"/>
        <w:numPr>
          <w:ilvl w:val="0"/>
          <w:numId w:val="305"/>
        </w:numPr>
        <w:tabs>
          <w:tab w:pos="1920" w:val="left" w:leader="none"/>
        </w:tabs>
        <w:spacing w:line="240" w:lineRule="auto" w:before="120" w:after="0"/>
        <w:ind w:left="1919" w:right="415" w:hanging="567"/>
        <w:jc w:val="both"/>
        <w:rPr>
          <w:sz w:val="24"/>
        </w:rPr>
      </w:pPr>
      <w:r>
        <w:rPr>
          <w:sz w:val="24"/>
        </w:rPr>
        <w:t>A </w:t>
      </w:r>
      <w:r>
        <w:rPr>
          <w:i/>
          <w:sz w:val="24"/>
        </w:rPr>
        <w:t>negotiated access standard </w:t>
      </w:r>
      <w:r>
        <w:rPr>
          <w:sz w:val="24"/>
        </w:rPr>
        <w:t>must include that the </w:t>
      </w:r>
      <w:r>
        <w:rPr>
          <w:i/>
          <w:sz w:val="24"/>
        </w:rPr>
        <w:t>Generator </w:t>
      </w:r>
      <w:r>
        <w:rPr>
          <w:sz w:val="24"/>
        </w:rPr>
        <w:t>provide accommodation and secure power supplies for communications </w:t>
      </w:r>
      <w:r>
        <w:rPr>
          <w:i/>
          <w:sz w:val="24"/>
        </w:rPr>
        <w:t>facilities </w:t>
      </w:r>
      <w:r>
        <w:rPr>
          <w:sz w:val="24"/>
        </w:rPr>
        <w:t>provided by the </w:t>
      </w:r>
      <w:r>
        <w:rPr>
          <w:i/>
          <w:sz w:val="24"/>
        </w:rPr>
        <w:t>Network Service Provider </w:t>
      </w:r>
      <w:r>
        <w:rPr>
          <w:sz w:val="24"/>
        </w:rPr>
        <w:t>under this clause</w:t>
      </w:r>
      <w:r>
        <w:rPr>
          <w:spacing w:val="-6"/>
          <w:sz w:val="24"/>
        </w:rPr>
        <w:t> </w:t>
      </w:r>
      <w:r>
        <w:rPr>
          <w:sz w:val="24"/>
        </w:rPr>
        <w:t>S5.2.6.2.</w:t>
      </w:r>
    </w:p>
    <w:p>
      <w:pPr>
        <w:pStyle w:val="BodyText"/>
        <w:spacing w:before="10"/>
        <w:ind w:firstLine="0"/>
        <w:jc w:val="left"/>
        <w:rPr>
          <w:sz w:val="20"/>
        </w:rPr>
      </w:pPr>
    </w:p>
    <w:p>
      <w:pPr>
        <w:pStyle w:val="Heading4"/>
        <w:tabs>
          <w:tab w:pos="1351" w:val="left" w:leader="none"/>
        </w:tabs>
        <w:ind w:left="218" w:firstLine="0"/>
      </w:pPr>
      <w:bookmarkStart w:name="S5.2.7 Power station auxiliary supplies" w:id="1004"/>
      <w:bookmarkEnd w:id="1004"/>
      <w:r>
        <w:rPr>
          <w:b w:val="0"/>
        </w:rPr>
      </w:r>
      <w:bookmarkStart w:name="_bookmark394" w:id="1005"/>
      <w:bookmarkEnd w:id="1005"/>
      <w:r>
        <w:rPr>
          <w:b w:val="0"/>
        </w:rPr>
      </w:r>
      <w:r>
        <w:rPr/>
        <w:t>S5.2.7</w:t>
        <w:tab/>
        <w:t>Power station auxiliary</w:t>
      </w:r>
      <w:r>
        <w:rPr>
          <w:spacing w:val="-2"/>
        </w:rPr>
        <w:t> </w:t>
      </w:r>
      <w:r>
        <w:rPr/>
        <w:t>supplies</w:t>
      </w:r>
    </w:p>
    <w:p>
      <w:pPr>
        <w:spacing w:before="120"/>
        <w:ind w:left="1352" w:right="415" w:firstLine="0"/>
        <w:jc w:val="both"/>
        <w:rPr>
          <w:sz w:val="24"/>
        </w:rPr>
      </w:pPr>
      <w:r>
        <w:rPr>
          <w:sz w:val="24"/>
        </w:rPr>
        <w:t>In cases where a </w:t>
      </w:r>
      <w:r>
        <w:rPr>
          <w:i/>
          <w:sz w:val="24"/>
        </w:rPr>
        <w:t>generating system </w:t>
      </w:r>
      <w:r>
        <w:rPr>
          <w:sz w:val="24"/>
        </w:rPr>
        <w:t>takes its auxiliary supplies via a </w:t>
      </w:r>
      <w:r>
        <w:rPr>
          <w:i/>
          <w:sz w:val="24"/>
        </w:rPr>
        <w:t>connection </w:t>
      </w:r>
      <w:r>
        <w:rPr>
          <w:i/>
          <w:sz w:val="24"/>
        </w:rPr>
        <w:t>point </w:t>
      </w:r>
      <w:r>
        <w:rPr>
          <w:sz w:val="24"/>
        </w:rPr>
        <w:t>through which its </w:t>
      </w:r>
      <w:r>
        <w:rPr>
          <w:i/>
          <w:sz w:val="24"/>
        </w:rPr>
        <w:t>generation </w:t>
      </w:r>
      <w:r>
        <w:rPr>
          <w:sz w:val="24"/>
        </w:rPr>
        <w:t>is not transferred to the </w:t>
      </w:r>
      <w:r>
        <w:rPr>
          <w:i/>
          <w:sz w:val="24"/>
        </w:rPr>
        <w:t>network</w:t>
      </w:r>
      <w:r>
        <w:rPr>
          <w:sz w:val="24"/>
        </w:rPr>
        <w:t>, the </w:t>
      </w:r>
      <w:r>
        <w:rPr>
          <w:i/>
          <w:sz w:val="24"/>
        </w:rPr>
        <w:t>access </w:t>
      </w:r>
      <w:r>
        <w:rPr>
          <w:i/>
          <w:sz w:val="24"/>
        </w:rPr>
        <w:t>standards </w:t>
      </w:r>
      <w:r>
        <w:rPr>
          <w:sz w:val="24"/>
        </w:rPr>
        <w:t>must be established under clause S5.3.5 as if the </w:t>
      </w:r>
      <w:r>
        <w:rPr>
          <w:i/>
          <w:sz w:val="24"/>
        </w:rPr>
        <w:t>Generator </w:t>
      </w:r>
      <w:r>
        <w:rPr>
          <w:sz w:val="24"/>
        </w:rPr>
        <w:t>were a </w:t>
      </w:r>
      <w:r>
        <w:rPr>
          <w:i/>
          <w:sz w:val="24"/>
        </w:rPr>
        <w:t>Market Customer</w:t>
      </w:r>
      <w:r>
        <w:rPr>
          <w:sz w:val="24"/>
        </w:rPr>
        <w:t>.</w:t>
      </w:r>
    </w:p>
    <w:p>
      <w:pPr>
        <w:pStyle w:val="BodyText"/>
        <w:spacing w:before="10"/>
        <w:ind w:firstLine="0"/>
        <w:jc w:val="left"/>
        <w:rPr>
          <w:sz w:val="20"/>
        </w:rPr>
      </w:pPr>
    </w:p>
    <w:p>
      <w:pPr>
        <w:pStyle w:val="Heading4"/>
        <w:tabs>
          <w:tab w:pos="1351" w:val="left" w:leader="none"/>
        </w:tabs>
        <w:ind w:left="218" w:firstLine="0"/>
      </w:pPr>
      <w:bookmarkStart w:name="S5.2.8 Fault current" w:id="1006"/>
      <w:bookmarkEnd w:id="1006"/>
      <w:r>
        <w:rPr>
          <w:b w:val="0"/>
        </w:rPr>
      </w:r>
      <w:bookmarkStart w:name="_bookmark395" w:id="1007"/>
      <w:bookmarkEnd w:id="1007"/>
      <w:r>
        <w:rPr>
          <w:b w:val="0"/>
        </w:rPr>
      </w:r>
      <w:r>
        <w:rPr/>
        <w:t>S5.2.8</w:t>
        <w:tab/>
        <w:t>Fault</w:t>
      </w:r>
      <w:r>
        <w:rPr>
          <w:spacing w:val="-1"/>
        </w:rPr>
        <w:t> </w:t>
      </w:r>
      <w:r>
        <w:rPr/>
        <w:t>current</w:t>
      </w:r>
    </w:p>
    <w:p>
      <w:pPr>
        <w:spacing w:before="220"/>
        <w:ind w:left="1356" w:right="0" w:firstLine="0"/>
        <w:jc w:val="left"/>
        <w:rPr>
          <w:rFonts w:ascii="Arial"/>
          <w:b/>
          <w:sz w:val="22"/>
        </w:rPr>
      </w:pPr>
      <w:r>
        <w:rPr>
          <w:rFonts w:ascii="Arial"/>
          <w:b/>
          <w:sz w:val="22"/>
        </w:rPr>
        <w:t>Automatic access standard</w:t>
      </w:r>
    </w:p>
    <w:p>
      <w:pPr>
        <w:pStyle w:val="ListParagraph"/>
        <w:numPr>
          <w:ilvl w:val="0"/>
          <w:numId w:val="306"/>
        </w:numPr>
        <w:tabs>
          <w:tab w:pos="1919" w:val="left" w:leader="none"/>
        </w:tabs>
        <w:spacing w:line="240" w:lineRule="auto" w:before="120" w:after="0"/>
        <w:ind w:left="1918" w:right="0" w:hanging="567"/>
        <w:jc w:val="both"/>
        <w:rPr>
          <w:sz w:val="24"/>
        </w:rPr>
      </w:pPr>
      <w:r>
        <w:rPr>
          <w:sz w:val="24"/>
        </w:rPr>
        <w:t>The </w:t>
      </w:r>
      <w:r>
        <w:rPr>
          <w:i/>
          <w:sz w:val="24"/>
        </w:rPr>
        <w:t>automatic access standard</w:t>
      </w:r>
      <w:r>
        <w:rPr>
          <w:i/>
          <w:spacing w:val="-1"/>
          <w:sz w:val="24"/>
        </w:rPr>
        <w:t> </w:t>
      </w:r>
      <w:r>
        <w:rPr>
          <w:sz w:val="24"/>
        </w:rPr>
        <w:t>is:</w:t>
      </w:r>
    </w:p>
    <w:p>
      <w:pPr>
        <w:spacing w:after="0" w:line="240" w:lineRule="auto"/>
        <w:jc w:val="both"/>
        <w:rPr>
          <w:sz w:val="24"/>
        </w:rPr>
        <w:sectPr>
          <w:pgSz w:w="11910" w:h="16840"/>
          <w:pgMar w:header="686" w:footer="637" w:top="1320" w:bottom="820" w:left="1200" w:right="1000"/>
        </w:sectPr>
      </w:pPr>
    </w:p>
    <w:p>
      <w:pPr>
        <w:pStyle w:val="ListParagraph"/>
        <w:numPr>
          <w:ilvl w:val="1"/>
          <w:numId w:val="306"/>
        </w:numPr>
        <w:tabs>
          <w:tab w:pos="2486" w:val="left" w:leader="none"/>
        </w:tabs>
        <w:spacing w:line="240" w:lineRule="auto" w:before="83" w:after="0"/>
        <w:ind w:left="2486" w:right="414" w:hanging="567"/>
        <w:jc w:val="both"/>
        <w:rPr>
          <w:sz w:val="24"/>
        </w:rPr>
      </w:pPr>
      <w:r>
        <w:rPr>
          <w:sz w:val="24"/>
        </w:rPr>
        <w:t>the contribution of the </w:t>
      </w:r>
      <w:r>
        <w:rPr>
          <w:i/>
          <w:sz w:val="24"/>
        </w:rPr>
        <w:t>generating system </w:t>
      </w:r>
      <w:r>
        <w:rPr>
          <w:sz w:val="24"/>
        </w:rPr>
        <w:t>to the fault current on the </w:t>
      </w:r>
      <w:r>
        <w:rPr>
          <w:i/>
          <w:sz w:val="24"/>
        </w:rPr>
        <w:t>connecting network </w:t>
      </w:r>
      <w:r>
        <w:rPr>
          <w:sz w:val="24"/>
        </w:rPr>
        <w:t>through its </w:t>
      </w:r>
      <w:r>
        <w:rPr>
          <w:i/>
          <w:sz w:val="24"/>
        </w:rPr>
        <w:t>connection point </w:t>
      </w:r>
      <w:r>
        <w:rPr>
          <w:sz w:val="24"/>
        </w:rPr>
        <w:t>must not exceed the contribution level that will ensure that the total fault current can be safely interrupted by the circuit breakers of the </w:t>
      </w:r>
      <w:r>
        <w:rPr>
          <w:i/>
          <w:sz w:val="24"/>
        </w:rPr>
        <w:t>connecting network </w:t>
      </w:r>
      <w:r>
        <w:rPr>
          <w:sz w:val="24"/>
        </w:rPr>
        <w:t>and safely carried by the </w:t>
      </w:r>
      <w:r>
        <w:rPr>
          <w:i/>
          <w:sz w:val="24"/>
        </w:rPr>
        <w:t>connecting network </w:t>
      </w:r>
      <w:r>
        <w:rPr>
          <w:sz w:val="24"/>
        </w:rPr>
        <w:t>for the duration of the applicable </w:t>
      </w:r>
      <w:r>
        <w:rPr>
          <w:i/>
          <w:sz w:val="24"/>
        </w:rPr>
        <w:t>breaker fail protection system fault clearance times</w:t>
      </w:r>
      <w:r>
        <w:rPr>
          <w:sz w:val="24"/>
        </w:rPr>
        <w:t>, as specified for the relevant </w:t>
      </w:r>
      <w:r>
        <w:rPr>
          <w:i/>
          <w:sz w:val="24"/>
        </w:rPr>
        <w:t>connection point </w:t>
      </w:r>
      <w:r>
        <w:rPr>
          <w:sz w:val="24"/>
        </w:rPr>
        <w:t>by the </w:t>
      </w:r>
      <w:r>
        <w:rPr>
          <w:i/>
          <w:sz w:val="24"/>
        </w:rPr>
        <w:t>Network Service </w:t>
      </w:r>
      <w:r>
        <w:rPr>
          <w:i/>
          <w:sz w:val="24"/>
        </w:rPr>
        <w:t>Provider</w:t>
      </w:r>
      <w:r>
        <w:rPr>
          <w:sz w:val="24"/>
        </w:rPr>
        <w:t>;</w:t>
      </w:r>
    </w:p>
    <w:p>
      <w:pPr>
        <w:pStyle w:val="ListParagraph"/>
        <w:numPr>
          <w:ilvl w:val="1"/>
          <w:numId w:val="306"/>
        </w:numPr>
        <w:tabs>
          <w:tab w:pos="2486" w:val="left" w:leader="none"/>
        </w:tabs>
        <w:spacing w:line="240" w:lineRule="auto" w:before="120" w:after="0"/>
        <w:ind w:left="2486" w:right="416" w:hanging="567"/>
        <w:jc w:val="both"/>
        <w:rPr>
          <w:sz w:val="24"/>
        </w:rPr>
      </w:pPr>
      <w:r>
        <w:rPr>
          <w:sz w:val="24"/>
        </w:rPr>
        <w:t>a </w:t>
      </w:r>
      <w:r>
        <w:rPr>
          <w:i/>
          <w:sz w:val="24"/>
        </w:rPr>
        <w:t>generating system's connected plant </w:t>
      </w:r>
      <w:r>
        <w:rPr>
          <w:sz w:val="24"/>
        </w:rPr>
        <w:t>must be capable of withstanding fault current through the </w:t>
      </w:r>
      <w:r>
        <w:rPr>
          <w:i/>
          <w:sz w:val="24"/>
        </w:rPr>
        <w:t>connection point </w:t>
      </w:r>
      <w:r>
        <w:rPr>
          <w:sz w:val="24"/>
        </w:rPr>
        <w:t>up to the higher</w:t>
      </w:r>
      <w:r>
        <w:rPr>
          <w:spacing w:val="-2"/>
          <w:sz w:val="24"/>
        </w:rPr>
        <w:t> </w:t>
      </w:r>
      <w:r>
        <w:rPr>
          <w:sz w:val="24"/>
        </w:rPr>
        <w:t>of:</w:t>
      </w:r>
    </w:p>
    <w:p>
      <w:pPr>
        <w:pStyle w:val="ListParagraph"/>
        <w:numPr>
          <w:ilvl w:val="2"/>
          <w:numId w:val="306"/>
        </w:numPr>
        <w:tabs>
          <w:tab w:pos="3053" w:val="left" w:leader="none"/>
        </w:tabs>
        <w:spacing w:line="240" w:lineRule="auto" w:before="120" w:after="0"/>
        <w:ind w:left="3052" w:right="0" w:hanging="567"/>
        <w:jc w:val="both"/>
        <w:rPr>
          <w:sz w:val="24"/>
        </w:rPr>
      </w:pPr>
      <w:r>
        <w:rPr>
          <w:sz w:val="24"/>
        </w:rPr>
        <w:t>the level specified in clause S5.2.4(e1)(1) ;</w:t>
      </w:r>
      <w:r>
        <w:rPr>
          <w:spacing w:val="-4"/>
          <w:sz w:val="24"/>
        </w:rPr>
        <w:t> </w:t>
      </w:r>
      <w:r>
        <w:rPr>
          <w:sz w:val="24"/>
        </w:rPr>
        <w:t>and</w:t>
      </w:r>
    </w:p>
    <w:p>
      <w:pPr>
        <w:pStyle w:val="ListParagraph"/>
        <w:numPr>
          <w:ilvl w:val="2"/>
          <w:numId w:val="306"/>
        </w:numPr>
        <w:tabs>
          <w:tab w:pos="3054" w:val="left" w:leader="none"/>
        </w:tabs>
        <w:spacing w:line="240" w:lineRule="auto" w:before="120" w:after="0"/>
        <w:ind w:left="3053" w:right="415" w:hanging="567"/>
        <w:jc w:val="both"/>
        <w:rPr>
          <w:sz w:val="24"/>
        </w:rPr>
      </w:pPr>
      <w:r>
        <w:rPr>
          <w:sz w:val="24"/>
        </w:rPr>
        <w:t>the highest level of current at the </w:t>
      </w:r>
      <w:r>
        <w:rPr>
          <w:i/>
          <w:sz w:val="24"/>
        </w:rPr>
        <w:t>connection point </w:t>
      </w:r>
      <w:r>
        <w:rPr>
          <w:sz w:val="24"/>
        </w:rPr>
        <w:t>that can be safely interrupted by the circuit breakers of the </w:t>
      </w:r>
      <w:r>
        <w:rPr>
          <w:i/>
          <w:sz w:val="24"/>
        </w:rPr>
        <w:t>connecting </w:t>
      </w:r>
      <w:r>
        <w:rPr>
          <w:i/>
          <w:sz w:val="24"/>
        </w:rPr>
        <w:t>network </w:t>
      </w:r>
      <w:r>
        <w:rPr>
          <w:sz w:val="24"/>
        </w:rPr>
        <w:t>and safely carried by the </w:t>
      </w:r>
      <w:r>
        <w:rPr>
          <w:i/>
          <w:sz w:val="24"/>
        </w:rPr>
        <w:t>connecting network </w:t>
      </w:r>
      <w:r>
        <w:rPr>
          <w:sz w:val="24"/>
        </w:rPr>
        <w:t>for the duration of the applicable </w:t>
      </w:r>
      <w:r>
        <w:rPr>
          <w:i/>
          <w:sz w:val="24"/>
        </w:rPr>
        <w:t>breaker fail protection system fault </w:t>
      </w:r>
      <w:r>
        <w:rPr>
          <w:i/>
          <w:sz w:val="24"/>
        </w:rPr>
        <w:t>clearance times</w:t>
      </w:r>
      <w:r>
        <w:rPr>
          <w:sz w:val="24"/>
        </w:rPr>
        <w:t>, as specified by the </w:t>
      </w:r>
      <w:r>
        <w:rPr>
          <w:i/>
          <w:sz w:val="24"/>
        </w:rPr>
        <w:t>Network Service Provider</w:t>
      </w:r>
      <w:r>
        <w:rPr>
          <w:sz w:val="24"/>
        </w:rPr>
        <w:t>; and</w:t>
      </w:r>
    </w:p>
    <w:p>
      <w:pPr>
        <w:pStyle w:val="ListParagraph"/>
        <w:numPr>
          <w:ilvl w:val="1"/>
          <w:numId w:val="306"/>
        </w:numPr>
        <w:tabs>
          <w:tab w:pos="2486" w:val="left" w:leader="none"/>
        </w:tabs>
        <w:spacing w:line="240" w:lineRule="auto" w:before="120" w:after="0"/>
        <w:ind w:left="2486" w:right="414" w:hanging="567"/>
        <w:jc w:val="both"/>
        <w:rPr>
          <w:sz w:val="24"/>
        </w:rPr>
      </w:pPr>
      <w:r>
        <w:rPr>
          <w:sz w:val="24"/>
        </w:rPr>
        <w:t>a circuit breaker provided to isolate a </w:t>
      </w:r>
      <w:r>
        <w:rPr>
          <w:i/>
          <w:sz w:val="24"/>
        </w:rPr>
        <w:t>generating unit </w:t>
      </w:r>
      <w:r>
        <w:rPr>
          <w:sz w:val="24"/>
        </w:rPr>
        <w:t>or </w:t>
      </w:r>
      <w:r>
        <w:rPr>
          <w:i/>
          <w:sz w:val="24"/>
        </w:rPr>
        <w:t>generating </w:t>
      </w:r>
      <w:r>
        <w:rPr>
          <w:i/>
          <w:sz w:val="24"/>
        </w:rPr>
        <w:t>system </w:t>
      </w:r>
      <w:r>
        <w:rPr>
          <w:sz w:val="24"/>
        </w:rPr>
        <w:t>from the </w:t>
      </w:r>
      <w:r>
        <w:rPr>
          <w:i/>
          <w:sz w:val="24"/>
        </w:rPr>
        <w:t>network </w:t>
      </w:r>
      <w:r>
        <w:rPr>
          <w:sz w:val="24"/>
        </w:rPr>
        <w:t>must be capable of breaking, without damage or restrike, the maximum fault currents that could reasonably be expected to flow through the circuit breaker for any fault in the </w:t>
      </w:r>
      <w:r>
        <w:rPr>
          <w:i/>
          <w:sz w:val="24"/>
        </w:rPr>
        <w:t>network </w:t>
      </w:r>
      <w:r>
        <w:rPr>
          <w:sz w:val="24"/>
        </w:rPr>
        <w:t>or in the </w:t>
      </w:r>
      <w:r>
        <w:rPr>
          <w:i/>
          <w:sz w:val="24"/>
        </w:rPr>
        <w:t>generating unit </w:t>
      </w:r>
      <w:r>
        <w:rPr>
          <w:sz w:val="24"/>
        </w:rPr>
        <w:t>or </w:t>
      </w:r>
      <w:r>
        <w:rPr>
          <w:i/>
          <w:sz w:val="24"/>
        </w:rPr>
        <w:t>generating system</w:t>
      </w:r>
      <w:r>
        <w:rPr>
          <w:sz w:val="24"/>
        </w:rPr>
        <w:t>, as specified in the </w:t>
      </w:r>
      <w:r>
        <w:rPr>
          <w:i/>
          <w:sz w:val="24"/>
        </w:rPr>
        <w:t>connection</w:t>
      </w:r>
      <w:r>
        <w:rPr>
          <w:i/>
          <w:spacing w:val="-1"/>
          <w:sz w:val="24"/>
        </w:rPr>
        <w:t> </w:t>
      </w:r>
      <w:r>
        <w:rPr>
          <w:i/>
          <w:sz w:val="24"/>
        </w:rPr>
        <w:t>agreement</w:t>
      </w:r>
      <w:r>
        <w:rPr>
          <w:sz w:val="24"/>
        </w:rPr>
        <w:t>.</w:t>
      </w:r>
    </w:p>
    <w:p>
      <w:pPr>
        <w:spacing w:before="220"/>
        <w:ind w:left="1356" w:right="0" w:firstLine="0"/>
        <w:jc w:val="left"/>
        <w:rPr>
          <w:rFonts w:ascii="Arial"/>
          <w:b/>
          <w:sz w:val="22"/>
        </w:rPr>
      </w:pPr>
      <w:r>
        <w:rPr>
          <w:rFonts w:ascii="Arial"/>
          <w:b/>
          <w:sz w:val="22"/>
        </w:rPr>
        <w:t>Minimum access standard</w:t>
      </w:r>
    </w:p>
    <w:p>
      <w:pPr>
        <w:pStyle w:val="ListParagraph"/>
        <w:numPr>
          <w:ilvl w:val="0"/>
          <w:numId w:val="306"/>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306"/>
        </w:numPr>
        <w:tabs>
          <w:tab w:pos="2486" w:val="left" w:leader="none"/>
        </w:tabs>
        <w:spacing w:line="240" w:lineRule="auto" w:before="120" w:after="0"/>
        <w:ind w:left="2485" w:right="0" w:hanging="567"/>
        <w:jc w:val="both"/>
        <w:rPr>
          <w:sz w:val="24"/>
        </w:rPr>
      </w:pPr>
      <w:r>
        <w:rPr>
          <w:sz w:val="24"/>
        </w:rPr>
        <w:t>the </w:t>
      </w:r>
      <w:r>
        <w:rPr>
          <w:i/>
          <w:sz w:val="24"/>
        </w:rPr>
        <w:t>generating system </w:t>
      </w:r>
      <w:r>
        <w:rPr>
          <w:sz w:val="24"/>
        </w:rPr>
        <w:t>does not need to limit fault current</w:t>
      </w:r>
      <w:r>
        <w:rPr>
          <w:spacing w:val="-7"/>
          <w:sz w:val="24"/>
        </w:rPr>
        <w:t> </w:t>
      </w:r>
      <w:r>
        <w:rPr>
          <w:sz w:val="24"/>
        </w:rPr>
        <w:t>contribution;</w:t>
      </w:r>
    </w:p>
    <w:p>
      <w:pPr>
        <w:pStyle w:val="ListParagraph"/>
        <w:numPr>
          <w:ilvl w:val="1"/>
          <w:numId w:val="306"/>
        </w:numPr>
        <w:tabs>
          <w:tab w:pos="2486" w:val="left" w:leader="none"/>
        </w:tabs>
        <w:spacing w:line="240" w:lineRule="auto" w:before="120" w:after="0"/>
        <w:ind w:left="2486" w:right="415" w:hanging="567"/>
        <w:jc w:val="both"/>
        <w:rPr>
          <w:sz w:val="24"/>
        </w:rPr>
      </w:pPr>
      <w:r>
        <w:rPr>
          <w:sz w:val="24"/>
        </w:rPr>
        <w:t>a </w:t>
      </w:r>
      <w:r>
        <w:rPr>
          <w:i/>
          <w:sz w:val="24"/>
        </w:rPr>
        <w:t>generating system's connected plant </w:t>
      </w:r>
      <w:r>
        <w:rPr>
          <w:sz w:val="24"/>
        </w:rPr>
        <w:t>must be capable of withstanding fault current through the </w:t>
      </w:r>
      <w:r>
        <w:rPr>
          <w:i/>
          <w:sz w:val="24"/>
        </w:rPr>
        <w:t>connection point </w:t>
      </w:r>
      <w:r>
        <w:rPr>
          <w:sz w:val="24"/>
        </w:rPr>
        <w:t>up to the level specified in clause S5.2.4(e1)(1) ;</w:t>
      </w:r>
      <w:r>
        <w:rPr>
          <w:spacing w:val="-3"/>
          <w:sz w:val="24"/>
        </w:rPr>
        <w:t> </w:t>
      </w:r>
      <w:r>
        <w:rPr>
          <w:sz w:val="24"/>
        </w:rPr>
        <w:t>and</w:t>
      </w:r>
    </w:p>
    <w:p>
      <w:pPr>
        <w:pStyle w:val="ListParagraph"/>
        <w:numPr>
          <w:ilvl w:val="1"/>
          <w:numId w:val="306"/>
        </w:numPr>
        <w:tabs>
          <w:tab w:pos="2486" w:val="left" w:leader="none"/>
        </w:tabs>
        <w:spacing w:line="240" w:lineRule="auto" w:before="120" w:after="0"/>
        <w:ind w:left="2486" w:right="414" w:hanging="567"/>
        <w:jc w:val="both"/>
        <w:rPr>
          <w:sz w:val="24"/>
        </w:rPr>
      </w:pPr>
      <w:r>
        <w:rPr>
          <w:sz w:val="24"/>
        </w:rPr>
        <w:t>a circuit breaker provided to isolate a </w:t>
      </w:r>
      <w:r>
        <w:rPr>
          <w:i/>
          <w:sz w:val="24"/>
        </w:rPr>
        <w:t>generating unit </w:t>
      </w:r>
      <w:r>
        <w:rPr>
          <w:sz w:val="24"/>
        </w:rPr>
        <w:t>or </w:t>
      </w:r>
      <w:r>
        <w:rPr>
          <w:i/>
          <w:sz w:val="24"/>
        </w:rPr>
        <w:t>generating </w:t>
      </w:r>
      <w:r>
        <w:rPr>
          <w:i/>
          <w:sz w:val="24"/>
        </w:rPr>
        <w:t>system </w:t>
      </w:r>
      <w:r>
        <w:rPr>
          <w:sz w:val="24"/>
        </w:rPr>
        <w:t>from the </w:t>
      </w:r>
      <w:r>
        <w:rPr>
          <w:i/>
          <w:sz w:val="24"/>
        </w:rPr>
        <w:t>network </w:t>
      </w:r>
      <w:r>
        <w:rPr>
          <w:sz w:val="24"/>
        </w:rPr>
        <w:t>must be capable of breaking, without damage or restrike, the maximum fault currents that could reasonably be expected to flow through the circuit breaker for any fault in the </w:t>
      </w:r>
      <w:r>
        <w:rPr>
          <w:i/>
          <w:sz w:val="24"/>
        </w:rPr>
        <w:t>network </w:t>
      </w:r>
      <w:r>
        <w:rPr>
          <w:sz w:val="24"/>
        </w:rPr>
        <w:t>or in the </w:t>
      </w:r>
      <w:r>
        <w:rPr>
          <w:i/>
          <w:sz w:val="24"/>
        </w:rPr>
        <w:t>generating unit </w:t>
      </w:r>
      <w:r>
        <w:rPr>
          <w:sz w:val="24"/>
        </w:rPr>
        <w:t>or </w:t>
      </w:r>
      <w:r>
        <w:rPr>
          <w:i/>
          <w:sz w:val="24"/>
        </w:rPr>
        <w:t>generating system</w:t>
      </w:r>
      <w:r>
        <w:rPr>
          <w:sz w:val="24"/>
        </w:rPr>
        <w:t>, as specified in the </w:t>
      </w:r>
      <w:r>
        <w:rPr>
          <w:i/>
          <w:sz w:val="24"/>
        </w:rPr>
        <w:t>connection</w:t>
      </w:r>
      <w:r>
        <w:rPr>
          <w:i/>
          <w:spacing w:val="-1"/>
          <w:sz w:val="24"/>
        </w:rPr>
        <w:t> </w:t>
      </w:r>
      <w:r>
        <w:rPr>
          <w:i/>
          <w:sz w:val="24"/>
        </w:rPr>
        <w:t>agreement</w:t>
      </w:r>
      <w:r>
        <w:rPr>
          <w:sz w:val="24"/>
        </w:rPr>
        <w:t>.</w:t>
      </w:r>
    </w:p>
    <w:p>
      <w:pPr>
        <w:spacing w:before="220"/>
        <w:ind w:left="1356" w:right="0" w:firstLine="0"/>
        <w:jc w:val="left"/>
        <w:rPr>
          <w:rFonts w:ascii="Arial"/>
          <w:b/>
          <w:sz w:val="22"/>
        </w:rPr>
      </w:pPr>
      <w:r>
        <w:rPr>
          <w:rFonts w:ascii="Arial"/>
          <w:b/>
          <w:sz w:val="22"/>
        </w:rPr>
        <w:t>Negotiated access standard</w:t>
      </w:r>
    </w:p>
    <w:p>
      <w:pPr>
        <w:pStyle w:val="ListParagraph"/>
        <w:numPr>
          <w:ilvl w:val="0"/>
          <w:numId w:val="306"/>
        </w:numPr>
        <w:tabs>
          <w:tab w:pos="1919" w:val="left" w:leader="none"/>
        </w:tabs>
        <w:spacing w:line="240" w:lineRule="auto" w:before="120" w:after="0"/>
        <w:ind w:left="1919" w:right="414" w:hanging="567"/>
        <w:jc w:val="both"/>
        <w:rPr>
          <w:sz w:val="24"/>
        </w:rPr>
      </w:pPr>
      <w:r>
        <w:rPr>
          <w:sz w:val="24"/>
        </w:rPr>
        <w:t>In negotiating a </w:t>
      </w:r>
      <w:r>
        <w:rPr>
          <w:i/>
          <w:sz w:val="24"/>
        </w:rPr>
        <w:t>negotiated access standard</w:t>
      </w:r>
      <w:r>
        <w:rPr>
          <w:sz w:val="24"/>
        </w:rPr>
        <w:t>, the </w:t>
      </w:r>
      <w:r>
        <w:rPr>
          <w:i/>
          <w:sz w:val="24"/>
        </w:rPr>
        <w:t>Network Service Provider </w:t>
      </w:r>
      <w:r>
        <w:rPr>
          <w:sz w:val="24"/>
        </w:rPr>
        <w:t>must consider alternative </w:t>
      </w:r>
      <w:r>
        <w:rPr>
          <w:i/>
          <w:sz w:val="24"/>
        </w:rPr>
        <w:t>network </w:t>
      </w:r>
      <w:r>
        <w:rPr>
          <w:sz w:val="24"/>
        </w:rPr>
        <w:t>configurations in the determination of </w:t>
      </w:r>
      <w:r>
        <w:rPr>
          <w:spacing w:val="-5"/>
          <w:sz w:val="24"/>
        </w:rPr>
        <w:t>the </w:t>
      </w:r>
      <w:r>
        <w:rPr>
          <w:sz w:val="24"/>
        </w:rPr>
        <w:t>applicable fault current level and must prefer those options that maintain an equivalent level of service to other </w:t>
      </w:r>
      <w:r>
        <w:rPr>
          <w:i/>
          <w:sz w:val="24"/>
        </w:rPr>
        <w:t>Network Users </w:t>
      </w:r>
      <w:r>
        <w:rPr>
          <w:sz w:val="24"/>
        </w:rPr>
        <w:t>and which, in the opinion of the </w:t>
      </w:r>
      <w:r>
        <w:rPr>
          <w:i/>
          <w:sz w:val="24"/>
        </w:rPr>
        <w:t>Generator</w:t>
      </w:r>
      <w:r>
        <w:rPr>
          <w:sz w:val="24"/>
        </w:rPr>
        <w:t>, impose the least obligation on the</w:t>
      </w:r>
      <w:r>
        <w:rPr>
          <w:spacing w:val="-4"/>
          <w:sz w:val="24"/>
        </w:rPr>
        <w:t> </w:t>
      </w:r>
      <w:r>
        <w:rPr>
          <w:i/>
          <w:sz w:val="24"/>
        </w:rPr>
        <w:t>Generator</w:t>
      </w:r>
      <w:r>
        <w:rPr>
          <w:sz w:val="24"/>
        </w:rPr>
        <w:t>.</w:t>
      </w:r>
    </w:p>
    <w:p>
      <w:pPr>
        <w:pStyle w:val="ListParagraph"/>
        <w:numPr>
          <w:ilvl w:val="0"/>
          <w:numId w:val="306"/>
        </w:numPr>
        <w:tabs>
          <w:tab w:pos="1919" w:val="left" w:leader="none"/>
        </w:tabs>
        <w:spacing w:line="240" w:lineRule="auto" w:before="120" w:after="0"/>
        <w:ind w:left="1919" w:right="414" w:hanging="567"/>
        <w:jc w:val="both"/>
        <w:rPr>
          <w:sz w:val="24"/>
        </w:rPr>
      </w:pPr>
      <w:r>
        <w:rPr>
          <w:sz w:val="24"/>
        </w:rPr>
        <w:t>In carrying out assessments of proposed </w:t>
      </w:r>
      <w:r>
        <w:rPr>
          <w:i/>
          <w:sz w:val="24"/>
        </w:rPr>
        <w:t>negotiated access standards </w:t>
      </w:r>
      <w:r>
        <w:rPr>
          <w:sz w:val="24"/>
        </w:rPr>
        <w:t>under this clause S5.2.8, the </w:t>
      </w:r>
      <w:r>
        <w:rPr>
          <w:i/>
          <w:sz w:val="24"/>
        </w:rPr>
        <w:t>Network Service Provider </w:t>
      </w:r>
      <w:r>
        <w:rPr>
          <w:sz w:val="24"/>
        </w:rPr>
        <w:t>must take into account, without</w:t>
      </w:r>
      <w:r>
        <w:rPr>
          <w:spacing w:val="-2"/>
          <w:sz w:val="24"/>
        </w:rPr>
        <w:t> </w:t>
      </w:r>
      <w:r>
        <w:rPr>
          <w:sz w:val="24"/>
        </w:rPr>
        <w:t>limitation:</w:t>
      </w:r>
    </w:p>
    <w:p>
      <w:pPr>
        <w:spacing w:after="0" w:line="240" w:lineRule="auto"/>
        <w:jc w:val="both"/>
        <w:rPr>
          <w:sz w:val="24"/>
        </w:rPr>
        <w:sectPr>
          <w:pgSz w:w="11910" w:h="16840"/>
          <w:pgMar w:header="686" w:footer="637" w:top="1320" w:bottom="820" w:left="1200" w:right="1000"/>
        </w:sectPr>
      </w:pPr>
    </w:p>
    <w:p>
      <w:pPr>
        <w:pStyle w:val="ListParagraph"/>
        <w:numPr>
          <w:ilvl w:val="1"/>
          <w:numId w:val="306"/>
        </w:numPr>
        <w:tabs>
          <w:tab w:pos="2485" w:val="left" w:leader="none"/>
          <w:tab w:pos="2486" w:val="left" w:leader="none"/>
        </w:tabs>
        <w:spacing w:line="240" w:lineRule="auto" w:before="83" w:after="0"/>
        <w:ind w:left="2486" w:right="415" w:hanging="567"/>
        <w:jc w:val="left"/>
        <w:rPr>
          <w:sz w:val="24"/>
        </w:rPr>
      </w:pPr>
      <w:r>
        <w:rPr>
          <w:sz w:val="24"/>
        </w:rPr>
        <w:t>the expected performance of existing </w:t>
      </w:r>
      <w:r>
        <w:rPr>
          <w:i/>
          <w:sz w:val="24"/>
        </w:rPr>
        <w:t>networks </w:t>
      </w:r>
      <w:r>
        <w:rPr>
          <w:sz w:val="24"/>
        </w:rPr>
        <w:t>and</w:t>
      </w:r>
      <w:r>
        <w:rPr>
          <w:spacing w:val="32"/>
          <w:sz w:val="24"/>
        </w:rPr>
        <w:t> </w:t>
      </w:r>
      <w:r>
        <w:rPr>
          <w:i/>
          <w:spacing w:val="-3"/>
          <w:sz w:val="24"/>
        </w:rPr>
        <w:t>considered </w:t>
      </w:r>
      <w:r>
        <w:rPr>
          <w:i/>
          <w:sz w:val="24"/>
        </w:rPr>
        <w:t>projects</w:t>
      </w:r>
      <w:r>
        <w:rPr>
          <w:sz w:val="24"/>
        </w:rPr>
        <w:t>;</w:t>
      </w:r>
    </w:p>
    <w:p>
      <w:pPr>
        <w:pStyle w:val="ListParagraph"/>
        <w:numPr>
          <w:ilvl w:val="1"/>
          <w:numId w:val="306"/>
        </w:numPr>
        <w:tabs>
          <w:tab w:pos="2485" w:val="left" w:leader="none"/>
          <w:tab w:pos="2486" w:val="left" w:leader="none"/>
        </w:tabs>
        <w:spacing w:line="240" w:lineRule="auto" w:before="120" w:after="0"/>
        <w:ind w:left="2486" w:right="415" w:hanging="567"/>
        <w:jc w:val="left"/>
        <w:rPr>
          <w:sz w:val="24"/>
        </w:rPr>
      </w:pPr>
      <w:r>
        <w:rPr>
          <w:sz w:val="24"/>
        </w:rPr>
        <w:t>the expected performance of existing </w:t>
      </w:r>
      <w:r>
        <w:rPr>
          <w:i/>
          <w:sz w:val="24"/>
        </w:rPr>
        <w:t>generating plant </w:t>
      </w:r>
      <w:r>
        <w:rPr>
          <w:sz w:val="24"/>
        </w:rPr>
        <w:t>and other relevant projects;</w:t>
      </w:r>
      <w:r>
        <w:rPr>
          <w:spacing w:val="-1"/>
          <w:sz w:val="24"/>
        </w:rPr>
        <w:t> </w:t>
      </w:r>
      <w:r>
        <w:rPr>
          <w:sz w:val="24"/>
        </w:rPr>
        <w:t>and</w:t>
      </w:r>
    </w:p>
    <w:p>
      <w:pPr>
        <w:pStyle w:val="ListParagraph"/>
        <w:numPr>
          <w:ilvl w:val="1"/>
          <w:numId w:val="306"/>
        </w:numPr>
        <w:tabs>
          <w:tab w:pos="2485" w:val="left" w:leader="none"/>
          <w:tab w:pos="2486" w:val="left" w:leader="none"/>
        </w:tabs>
        <w:spacing w:line="240" w:lineRule="auto" w:before="120" w:after="0"/>
        <w:ind w:left="2485" w:right="0" w:hanging="567"/>
        <w:jc w:val="left"/>
        <w:rPr>
          <w:sz w:val="24"/>
        </w:rPr>
      </w:pPr>
      <w:r>
        <w:rPr>
          <w:sz w:val="24"/>
        </w:rPr>
        <w:t>the expected range of </w:t>
      </w:r>
      <w:r>
        <w:rPr>
          <w:i/>
          <w:sz w:val="24"/>
        </w:rPr>
        <w:t>power system </w:t>
      </w:r>
      <w:r>
        <w:rPr>
          <w:sz w:val="24"/>
        </w:rPr>
        <w:t>operating</w:t>
      </w:r>
      <w:r>
        <w:rPr>
          <w:spacing w:val="-3"/>
          <w:sz w:val="24"/>
        </w:rPr>
        <w:t> </w:t>
      </w:r>
      <w:r>
        <w:rPr>
          <w:sz w:val="24"/>
        </w:rPr>
        <w:t>conditions.</w:t>
      </w:r>
    </w:p>
    <w:p>
      <w:pPr>
        <w:pStyle w:val="BodyText"/>
        <w:spacing w:before="10"/>
        <w:ind w:firstLine="0"/>
        <w:jc w:val="left"/>
        <w:rPr>
          <w:sz w:val="20"/>
        </w:rPr>
      </w:pPr>
    </w:p>
    <w:p>
      <w:pPr>
        <w:pStyle w:val="Heading2"/>
        <w:tabs>
          <w:tab w:pos="2485" w:val="left" w:leader="none"/>
        </w:tabs>
      </w:pPr>
      <w:bookmarkStart w:name="Schedule 5.3 Conditions for Connection o" w:id="1008"/>
      <w:bookmarkEnd w:id="1008"/>
      <w:r>
        <w:rPr>
          <w:b w:val="0"/>
        </w:rPr>
      </w:r>
      <w:bookmarkStart w:name="_bookmark396" w:id="1009"/>
      <w:bookmarkEnd w:id="1009"/>
      <w:r>
        <w:rPr>
          <w:b w:val="0"/>
        </w:rPr>
      </w:r>
      <w:r>
        <w:rPr/>
        <w:t>Schedule</w:t>
      </w:r>
      <w:r>
        <w:rPr>
          <w:spacing w:val="-1"/>
        </w:rPr>
        <w:t> </w:t>
      </w:r>
      <w:r>
        <w:rPr/>
        <w:t>5.3</w:t>
        <w:tab/>
        <w:t>Conditions for Connection of</w:t>
      </w:r>
      <w:r>
        <w:rPr>
          <w:spacing w:val="-5"/>
        </w:rPr>
        <w:t> </w:t>
      </w:r>
      <w:r>
        <w:rPr/>
        <w:t>Customers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schedule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351" w:val="left" w:leader="none"/>
        </w:tabs>
        <w:ind w:left="218" w:firstLine="0"/>
      </w:pPr>
      <w:bookmarkStart w:name="S5.3.1a Introduction to the schedule" w:id="1010"/>
      <w:bookmarkEnd w:id="1010"/>
      <w:r>
        <w:rPr>
          <w:b w:val="0"/>
        </w:rPr>
      </w:r>
      <w:bookmarkStart w:name="_bookmark397" w:id="1011"/>
      <w:bookmarkEnd w:id="1011"/>
      <w:r>
        <w:rPr>
          <w:b w:val="0"/>
        </w:rPr>
      </w:r>
      <w:r>
        <w:rPr/>
        <w:t>S5.3.1a</w:t>
        <w:tab/>
        <w:t>Introduction to the</w:t>
      </w:r>
      <w:r>
        <w:rPr>
          <w:spacing w:val="-3"/>
        </w:rPr>
        <w:t> </w:t>
      </w:r>
      <w:r>
        <w:rPr/>
        <w:t>schedule</w:t>
      </w:r>
    </w:p>
    <w:p>
      <w:pPr>
        <w:pStyle w:val="ListParagraph"/>
        <w:numPr>
          <w:ilvl w:val="0"/>
          <w:numId w:val="307"/>
        </w:numPr>
        <w:tabs>
          <w:tab w:pos="1918" w:val="left" w:leader="none"/>
          <w:tab w:pos="1919" w:val="left" w:leader="none"/>
        </w:tabs>
        <w:spacing w:line="240" w:lineRule="auto" w:before="120" w:after="0"/>
        <w:ind w:left="1918" w:right="0" w:hanging="567"/>
        <w:jc w:val="left"/>
        <w:rPr>
          <w:sz w:val="24"/>
        </w:rPr>
      </w:pPr>
      <w:r>
        <w:rPr>
          <w:sz w:val="24"/>
        </w:rPr>
        <w:t>This schedule applies to the following classes of </w:t>
      </w:r>
      <w:r>
        <w:rPr>
          <w:i/>
          <w:sz w:val="24"/>
        </w:rPr>
        <w:t>Network</w:t>
      </w:r>
      <w:r>
        <w:rPr>
          <w:i/>
          <w:spacing w:val="-5"/>
          <w:sz w:val="24"/>
        </w:rPr>
        <w:t> </w:t>
      </w:r>
      <w:r>
        <w:rPr>
          <w:i/>
          <w:sz w:val="24"/>
        </w:rPr>
        <w:t>User</w:t>
      </w:r>
      <w:r>
        <w:rPr>
          <w:sz w:val="24"/>
        </w:rPr>
        <w:t>:</w:t>
      </w:r>
    </w:p>
    <w:p>
      <w:pPr>
        <w:pStyle w:val="ListParagraph"/>
        <w:numPr>
          <w:ilvl w:val="1"/>
          <w:numId w:val="307"/>
        </w:numPr>
        <w:tabs>
          <w:tab w:pos="2485" w:val="left" w:leader="none"/>
          <w:tab w:pos="2486" w:val="left" w:leader="none"/>
        </w:tabs>
        <w:spacing w:line="240" w:lineRule="auto" w:before="120" w:after="0"/>
        <w:ind w:left="2485" w:right="0" w:hanging="567"/>
        <w:jc w:val="left"/>
        <w:rPr>
          <w:sz w:val="24"/>
        </w:rPr>
      </w:pPr>
      <w:r>
        <w:rPr>
          <w:sz w:val="24"/>
        </w:rPr>
        <w:t>a </w:t>
      </w:r>
      <w:r>
        <w:rPr>
          <w:i/>
          <w:sz w:val="24"/>
        </w:rPr>
        <w:t>First-Tier Customer </w:t>
      </w:r>
      <w:r>
        <w:rPr>
          <w:sz w:val="24"/>
        </w:rPr>
        <w:t>in respect of its </w:t>
      </w:r>
      <w:r>
        <w:rPr>
          <w:i/>
          <w:sz w:val="24"/>
        </w:rPr>
        <w:t>first-tier</w:t>
      </w:r>
      <w:r>
        <w:rPr>
          <w:i/>
          <w:spacing w:val="-1"/>
          <w:sz w:val="24"/>
        </w:rPr>
        <w:t> </w:t>
      </w:r>
      <w:r>
        <w:rPr>
          <w:i/>
          <w:sz w:val="24"/>
        </w:rPr>
        <w:t>load</w:t>
      </w:r>
      <w:r>
        <w:rPr>
          <w:sz w:val="24"/>
        </w:rPr>
        <w:t>;</w:t>
      </w:r>
    </w:p>
    <w:p>
      <w:pPr>
        <w:pStyle w:val="ListParagraph"/>
        <w:numPr>
          <w:ilvl w:val="1"/>
          <w:numId w:val="307"/>
        </w:numPr>
        <w:tabs>
          <w:tab w:pos="2485" w:val="left" w:leader="none"/>
          <w:tab w:pos="2486" w:val="left" w:leader="none"/>
        </w:tabs>
        <w:spacing w:line="240" w:lineRule="auto" w:before="120" w:after="0"/>
        <w:ind w:left="2485" w:right="0" w:hanging="567"/>
        <w:jc w:val="left"/>
        <w:rPr>
          <w:sz w:val="24"/>
        </w:rPr>
      </w:pPr>
      <w:r>
        <w:rPr>
          <w:sz w:val="24"/>
        </w:rPr>
        <w:t>a </w:t>
      </w:r>
      <w:r>
        <w:rPr>
          <w:i/>
          <w:sz w:val="24"/>
        </w:rPr>
        <w:t>Second-Tier Customer </w:t>
      </w:r>
      <w:r>
        <w:rPr>
          <w:sz w:val="24"/>
        </w:rPr>
        <w:t>in respect of its </w:t>
      </w:r>
      <w:r>
        <w:rPr>
          <w:i/>
          <w:sz w:val="24"/>
        </w:rPr>
        <w:t>second-tier</w:t>
      </w:r>
      <w:r>
        <w:rPr>
          <w:i/>
          <w:spacing w:val="-1"/>
          <w:sz w:val="24"/>
        </w:rPr>
        <w:t> </w:t>
      </w:r>
      <w:r>
        <w:rPr>
          <w:i/>
          <w:sz w:val="24"/>
        </w:rPr>
        <w:t>load</w:t>
      </w:r>
      <w:r>
        <w:rPr>
          <w:sz w:val="24"/>
        </w:rPr>
        <w:t>;</w:t>
      </w:r>
    </w:p>
    <w:p>
      <w:pPr>
        <w:pStyle w:val="ListParagraph"/>
        <w:numPr>
          <w:ilvl w:val="1"/>
          <w:numId w:val="307"/>
        </w:numPr>
        <w:tabs>
          <w:tab w:pos="2485" w:val="left" w:leader="none"/>
          <w:tab w:pos="2486" w:val="left" w:leader="none"/>
        </w:tabs>
        <w:spacing w:line="240" w:lineRule="auto" w:before="120" w:after="0"/>
        <w:ind w:left="2485" w:right="0" w:hanging="567"/>
        <w:jc w:val="left"/>
        <w:rPr>
          <w:sz w:val="24"/>
        </w:rPr>
      </w:pPr>
      <w:r>
        <w:rPr>
          <w:sz w:val="24"/>
        </w:rPr>
        <w:t>a </w:t>
      </w:r>
      <w:r>
        <w:rPr>
          <w:i/>
          <w:sz w:val="24"/>
        </w:rPr>
        <w:t>Market Customer </w:t>
      </w:r>
      <w:r>
        <w:rPr>
          <w:sz w:val="24"/>
        </w:rPr>
        <w:t>in respect of its </w:t>
      </w:r>
      <w:r>
        <w:rPr>
          <w:i/>
          <w:sz w:val="24"/>
        </w:rPr>
        <w:t>market</w:t>
      </w:r>
      <w:r>
        <w:rPr>
          <w:i/>
          <w:spacing w:val="-1"/>
          <w:sz w:val="24"/>
        </w:rPr>
        <w:t> </w:t>
      </w:r>
      <w:r>
        <w:rPr>
          <w:i/>
          <w:sz w:val="24"/>
        </w:rPr>
        <w:t>load</w:t>
      </w:r>
      <w:r>
        <w:rPr>
          <w:sz w:val="24"/>
        </w:rPr>
        <w:t>;</w:t>
      </w:r>
    </w:p>
    <w:p>
      <w:pPr>
        <w:pStyle w:val="ListParagraph"/>
        <w:numPr>
          <w:ilvl w:val="1"/>
          <w:numId w:val="307"/>
        </w:numPr>
        <w:tabs>
          <w:tab w:pos="2485" w:val="left" w:leader="none"/>
          <w:tab w:pos="2486" w:val="left" w:leader="none"/>
        </w:tabs>
        <w:spacing w:line="240" w:lineRule="auto" w:before="120" w:after="0"/>
        <w:ind w:left="2485" w:right="0" w:hanging="567"/>
        <w:jc w:val="left"/>
        <w:rPr>
          <w:sz w:val="24"/>
        </w:rPr>
      </w:pPr>
      <w:r>
        <w:rPr>
          <w:sz w:val="24"/>
        </w:rPr>
        <w:t>a</w:t>
      </w:r>
      <w:r>
        <w:rPr>
          <w:spacing w:val="15"/>
          <w:sz w:val="24"/>
        </w:rPr>
        <w:t> </w:t>
      </w:r>
      <w:r>
        <w:rPr>
          <w:i/>
          <w:sz w:val="24"/>
        </w:rPr>
        <w:t>Non-Registered</w:t>
      </w:r>
      <w:r>
        <w:rPr>
          <w:i/>
          <w:spacing w:val="15"/>
          <w:sz w:val="24"/>
        </w:rPr>
        <w:t> </w:t>
      </w:r>
      <w:r>
        <w:rPr>
          <w:i/>
          <w:sz w:val="24"/>
        </w:rPr>
        <w:t>Customer</w:t>
      </w:r>
      <w:r>
        <w:rPr>
          <w:i/>
          <w:spacing w:val="15"/>
          <w:sz w:val="24"/>
        </w:rPr>
        <w:t> </w:t>
      </w:r>
      <w:r>
        <w:rPr>
          <w:sz w:val="24"/>
        </w:rPr>
        <w:t>in</w:t>
      </w:r>
      <w:r>
        <w:rPr>
          <w:spacing w:val="15"/>
          <w:sz w:val="24"/>
        </w:rPr>
        <w:t> </w:t>
      </w:r>
      <w:r>
        <w:rPr>
          <w:sz w:val="24"/>
        </w:rPr>
        <w:t>respect</w:t>
      </w:r>
      <w:r>
        <w:rPr>
          <w:spacing w:val="16"/>
          <w:sz w:val="24"/>
        </w:rPr>
        <w:t> </w:t>
      </w:r>
      <w:r>
        <w:rPr>
          <w:sz w:val="24"/>
        </w:rPr>
        <w:t>of</w:t>
      </w:r>
      <w:r>
        <w:rPr>
          <w:spacing w:val="15"/>
          <w:sz w:val="24"/>
        </w:rPr>
        <w:t> </w:t>
      </w:r>
      <w:r>
        <w:rPr>
          <w:i/>
          <w:sz w:val="24"/>
        </w:rPr>
        <w:t>supply</w:t>
      </w:r>
      <w:r>
        <w:rPr>
          <w:i/>
          <w:spacing w:val="15"/>
          <w:sz w:val="24"/>
        </w:rPr>
        <w:t> </w:t>
      </w:r>
      <w:r>
        <w:rPr>
          <w:sz w:val="24"/>
        </w:rPr>
        <w:t>it</w:t>
      </w:r>
      <w:r>
        <w:rPr>
          <w:spacing w:val="15"/>
          <w:sz w:val="24"/>
        </w:rPr>
        <w:t> </w:t>
      </w:r>
      <w:r>
        <w:rPr>
          <w:sz w:val="24"/>
        </w:rPr>
        <w:t>takes</w:t>
      </w:r>
      <w:r>
        <w:rPr>
          <w:spacing w:val="16"/>
          <w:sz w:val="24"/>
        </w:rPr>
        <w:t> </w:t>
      </w:r>
      <w:r>
        <w:rPr>
          <w:sz w:val="24"/>
        </w:rPr>
        <w:t>from</w:t>
      </w:r>
      <w:r>
        <w:rPr>
          <w:spacing w:val="15"/>
          <w:sz w:val="24"/>
        </w:rPr>
        <w:t> </w:t>
      </w:r>
      <w:r>
        <w:rPr>
          <w:sz w:val="24"/>
        </w:rPr>
        <w:t>a</w:t>
      </w:r>
    </w:p>
    <w:p>
      <w:pPr>
        <w:spacing w:before="0"/>
        <w:ind w:left="2486" w:right="0" w:firstLine="0"/>
        <w:jc w:val="left"/>
        <w:rPr>
          <w:sz w:val="24"/>
        </w:rPr>
      </w:pPr>
      <w:r>
        <w:rPr>
          <w:i/>
          <w:sz w:val="24"/>
        </w:rPr>
        <w:t>network</w:t>
      </w:r>
      <w:r>
        <w:rPr>
          <w:sz w:val="24"/>
        </w:rPr>
        <w:t>; and</w:t>
      </w:r>
    </w:p>
    <w:p>
      <w:pPr>
        <w:pStyle w:val="ListParagraph"/>
        <w:numPr>
          <w:ilvl w:val="1"/>
          <w:numId w:val="307"/>
        </w:numPr>
        <w:tabs>
          <w:tab w:pos="2485" w:val="left" w:leader="none"/>
          <w:tab w:pos="2486" w:val="left" w:leader="none"/>
        </w:tabs>
        <w:spacing w:line="240" w:lineRule="auto" w:before="120" w:after="0"/>
        <w:ind w:left="2486" w:right="415" w:hanging="567"/>
        <w:jc w:val="left"/>
        <w:rPr>
          <w:sz w:val="24"/>
        </w:rPr>
      </w:pPr>
      <w:r>
        <w:rPr>
          <w:sz w:val="24"/>
        </w:rPr>
        <w:t>a </w:t>
      </w:r>
      <w:r>
        <w:rPr>
          <w:i/>
          <w:sz w:val="24"/>
        </w:rPr>
        <w:t>Distribution Network Service Provider </w:t>
      </w:r>
      <w:r>
        <w:rPr>
          <w:sz w:val="24"/>
        </w:rPr>
        <w:t>in respect of its </w:t>
      </w:r>
      <w:r>
        <w:rPr>
          <w:i/>
          <w:sz w:val="24"/>
        </w:rPr>
        <w:t>distribution </w:t>
      </w:r>
      <w:r>
        <w:rPr>
          <w:i/>
          <w:sz w:val="24"/>
        </w:rPr>
        <w:t>network</w:t>
      </w:r>
      <w:r>
        <w:rPr>
          <w:sz w:val="24"/>
        </w:rPr>
        <w:t>.</w:t>
      </w:r>
    </w:p>
    <w:p>
      <w:pPr>
        <w:pStyle w:val="ListParagraph"/>
        <w:numPr>
          <w:ilvl w:val="0"/>
          <w:numId w:val="307"/>
        </w:numPr>
        <w:tabs>
          <w:tab w:pos="1919" w:val="left" w:leader="none"/>
        </w:tabs>
        <w:spacing w:line="240" w:lineRule="auto" w:before="120" w:after="0"/>
        <w:ind w:left="1919" w:right="415" w:hanging="567"/>
        <w:jc w:val="both"/>
        <w:rPr>
          <w:sz w:val="24"/>
        </w:rPr>
      </w:pPr>
      <w:r>
        <w:rPr>
          <w:sz w:val="24"/>
        </w:rPr>
        <w:t>For the purposes of this schedule 5.3 the term </w:t>
      </w:r>
      <w:r>
        <w:rPr>
          <w:b/>
          <w:i/>
          <w:sz w:val="24"/>
        </w:rPr>
        <w:t>Network Service Provider </w:t>
      </w:r>
      <w:r>
        <w:rPr>
          <w:sz w:val="24"/>
        </w:rPr>
        <w:t>must be interpreted to mean the </w:t>
      </w:r>
      <w:r>
        <w:rPr>
          <w:i/>
          <w:sz w:val="24"/>
        </w:rPr>
        <w:t>Network Service Provider </w:t>
      </w:r>
      <w:r>
        <w:rPr>
          <w:sz w:val="24"/>
        </w:rPr>
        <w:t>with whom the </w:t>
      </w:r>
      <w:r>
        <w:rPr>
          <w:i/>
          <w:sz w:val="24"/>
        </w:rPr>
        <w:t>Connection Applicant </w:t>
      </w:r>
      <w:r>
        <w:rPr>
          <w:sz w:val="24"/>
        </w:rPr>
        <w:t>has sought, or is seeking, a </w:t>
      </w:r>
      <w:r>
        <w:rPr>
          <w:i/>
          <w:sz w:val="24"/>
        </w:rPr>
        <w:t>connection </w:t>
      </w:r>
      <w:r>
        <w:rPr>
          <w:sz w:val="24"/>
        </w:rPr>
        <w:t>in accordance with clause 5.3.2 of the</w:t>
      </w:r>
      <w:r>
        <w:rPr>
          <w:spacing w:val="-3"/>
          <w:sz w:val="24"/>
        </w:rPr>
        <w:t> </w:t>
      </w:r>
      <w:r>
        <w:rPr>
          <w:i/>
          <w:sz w:val="24"/>
        </w:rPr>
        <w:t>Rules</w:t>
      </w:r>
      <w:r>
        <w:rPr>
          <w:sz w:val="24"/>
        </w:rPr>
        <w:t>.</w:t>
      </w:r>
    </w:p>
    <w:p>
      <w:pPr>
        <w:pStyle w:val="ListParagraph"/>
        <w:numPr>
          <w:ilvl w:val="0"/>
          <w:numId w:val="307"/>
        </w:numPr>
        <w:tabs>
          <w:tab w:pos="1919" w:val="left" w:leader="none"/>
        </w:tabs>
        <w:spacing w:line="240" w:lineRule="auto" w:before="120" w:after="0"/>
        <w:ind w:left="1919" w:right="415" w:hanging="567"/>
        <w:jc w:val="both"/>
        <w:rPr>
          <w:sz w:val="24"/>
        </w:rPr>
      </w:pPr>
      <w:r>
        <w:rPr>
          <w:sz w:val="24"/>
        </w:rPr>
        <w:t>All </w:t>
      </w:r>
      <w:r>
        <w:rPr>
          <w:i/>
          <w:sz w:val="24"/>
        </w:rPr>
        <w:t>Network Users </w:t>
      </w:r>
      <w:r>
        <w:rPr>
          <w:sz w:val="24"/>
        </w:rPr>
        <w:t>must comply with the requirements for the establishment of </w:t>
      </w:r>
      <w:r>
        <w:rPr>
          <w:i/>
          <w:sz w:val="24"/>
        </w:rPr>
        <w:t>performance standards </w:t>
      </w:r>
      <w:r>
        <w:rPr>
          <w:sz w:val="24"/>
        </w:rPr>
        <w:t>in accordance with provisions contained in schedule 5.1a for </w:t>
      </w:r>
      <w:r>
        <w:rPr>
          <w:i/>
          <w:sz w:val="24"/>
        </w:rPr>
        <w:t>system standards </w:t>
      </w:r>
      <w:r>
        <w:rPr>
          <w:sz w:val="24"/>
        </w:rPr>
        <w:t>or schedule 5.1 for </w:t>
      </w:r>
      <w:r>
        <w:rPr>
          <w:i/>
          <w:sz w:val="24"/>
        </w:rPr>
        <w:t>Network Service </w:t>
      </w:r>
      <w:r>
        <w:rPr>
          <w:i/>
          <w:sz w:val="24"/>
        </w:rPr>
        <w:t>Providers </w:t>
      </w:r>
      <w:r>
        <w:rPr>
          <w:sz w:val="24"/>
        </w:rPr>
        <w:t>and this schedule 5.3 for</w:t>
      </w:r>
      <w:r>
        <w:rPr>
          <w:spacing w:val="-1"/>
          <w:sz w:val="24"/>
        </w:rPr>
        <w:t> </w:t>
      </w:r>
      <w:r>
        <w:rPr>
          <w:i/>
          <w:sz w:val="24"/>
        </w:rPr>
        <w:t>Customers</w:t>
      </w:r>
      <w:r>
        <w:rPr>
          <w:sz w:val="24"/>
        </w:rPr>
        <w:t>.</w:t>
      </w:r>
    </w:p>
    <w:p>
      <w:pPr>
        <w:pStyle w:val="ListParagraph"/>
        <w:numPr>
          <w:ilvl w:val="0"/>
          <w:numId w:val="307"/>
        </w:numPr>
        <w:tabs>
          <w:tab w:pos="1919" w:val="left" w:leader="none"/>
        </w:tabs>
        <w:spacing w:line="240" w:lineRule="auto" w:before="120" w:after="0"/>
        <w:ind w:left="1919" w:right="414" w:hanging="567"/>
        <w:jc w:val="both"/>
        <w:rPr>
          <w:sz w:val="24"/>
        </w:rPr>
      </w:pPr>
      <w:r>
        <w:rPr>
          <w:sz w:val="24"/>
        </w:rPr>
        <w:t>If the </w:t>
      </w:r>
      <w:r>
        <w:rPr>
          <w:i/>
          <w:sz w:val="24"/>
        </w:rPr>
        <w:t>Connection Applicant </w:t>
      </w:r>
      <w:r>
        <w:rPr>
          <w:sz w:val="24"/>
        </w:rPr>
        <w:t>is a </w:t>
      </w:r>
      <w:r>
        <w:rPr>
          <w:i/>
          <w:sz w:val="24"/>
        </w:rPr>
        <w:t>Registered Participant </w:t>
      </w:r>
      <w:r>
        <w:rPr>
          <w:sz w:val="24"/>
        </w:rPr>
        <w:t>in relation to the proposed </w:t>
      </w:r>
      <w:r>
        <w:rPr>
          <w:i/>
          <w:sz w:val="24"/>
        </w:rPr>
        <w:t>connection</w:t>
      </w:r>
      <w:r>
        <w:rPr>
          <w:sz w:val="24"/>
        </w:rPr>
        <w:t>, the </w:t>
      </w:r>
      <w:r>
        <w:rPr>
          <w:i/>
          <w:sz w:val="24"/>
        </w:rPr>
        <w:t>Network Service Provider </w:t>
      </w:r>
      <w:r>
        <w:rPr>
          <w:sz w:val="24"/>
        </w:rPr>
        <w:t>may include as terms and conditions of the </w:t>
      </w:r>
      <w:r>
        <w:rPr>
          <w:i/>
          <w:sz w:val="24"/>
        </w:rPr>
        <w:t>connection agreement </w:t>
      </w:r>
      <w:r>
        <w:rPr>
          <w:sz w:val="24"/>
        </w:rPr>
        <w:t>any provision of this schedule that is expressed as an obligation on a </w:t>
      </w:r>
      <w:r>
        <w:rPr>
          <w:i/>
          <w:sz w:val="24"/>
        </w:rPr>
        <w:t>Network User</w:t>
      </w:r>
      <w:r>
        <w:rPr>
          <w:sz w:val="24"/>
        </w:rPr>
        <w:t>. If the </w:t>
      </w:r>
      <w:r>
        <w:rPr>
          <w:i/>
          <w:sz w:val="24"/>
        </w:rPr>
        <w:t>Connection </w:t>
      </w:r>
      <w:r>
        <w:rPr>
          <w:i/>
          <w:sz w:val="24"/>
        </w:rPr>
        <w:t>Applicant </w:t>
      </w:r>
      <w:r>
        <w:rPr>
          <w:sz w:val="24"/>
        </w:rPr>
        <w:t>is not a </w:t>
      </w:r>
      <w:r>
        <w:rPr>
          <w:i/>
          <w:sz w:val="24"/>
        </w:rPr>
        <w:t>Registered Participant </w:t>
      </w:r>
      <w:r>
        <w:rPr>
          <w:sz w:val="24"/>
        </w:rPr>
        <w:t>in relation to the proposed </w:t>
      </w:r>
      <w:r>
        <w:rPr>
          <w:i/>
          <w:sz w:val="24"/>
        </w:rPr>
        <w:t>connection</w:t>
      </w:r>
      <w:r>
        <w:rPr>
          <w:sz w:val="24"/>
        </w:rPr>
        <w:t>, the </w:t>
      </w:r>
      <w:r>
        <w:rPr>
          <w:i/>
          <w:sz w:val="24"/>
        </w:rPr>
        <w:t>Network Service Provider </w:t>
      </w:r>
      <w:r>
        <w:rPr>
          <w:sz w:val="24"/>
        </w:rPr>
        <w:t>must include as terms and conditions of the </w:t>
      </w:r>
      <w:r>
        <w:rPr>
          <w:i/>
          <w:sz w:val="24"/>
        </w:rPr>
        <w:t>connection</w:t>
      </w:r>
      <w:r>
        <w:rPr>
          <w:i/>
          <w:spacing w:val="-1"/>
          <w:sz w:val="24"/>
        </w:rPr>
        <w:t> </w:t>
      </w:r>
      <w:r>
        <w:rPr>
          <w:i/>
          <w:sz w:val="24"/>
        </w:rPr>
        <w:t>agreement</w:t>
      </w:r>
      <w:r>
        <w:rPr>
          <w:sz w:val="24"/>
        </w:rPr>
        <w:t>:</w:t>
      </w:r>
    </w:p>
    <w:p>
      <w:pPr>
        <w:pStyle w:val="ListParagraph"/>
        <w:numPr>
          <w:ilvl w:val="1"/>
          <w:numId w:val="307"/>
        </w:numPr>
        <w:tabs>
          <w:tab w:pos="2486" w:val="left" w:leader="none"/>
        </w:tabs>
        <w:spacing w:line="240" w:lineRule="auto" w:before="120" w:after="0"/>
        <w:ind w:left="2485" w:right="0" w:hanging="567"/>
        <w:jc w:val="both"/>
        <w:rPr>
          <w:sz w:val="24"/>
        </w:rPr>
      </w:pPr>
      <w:r>
        <w:rPr>
          <w:sz w:val="24"/>
        </w:rPr>
        <w:t>each</w:t>
      </w:r>
      <w:r>
        <w:rPr>
          <w:spacing w:val="10"/>
          <w:sz w:val="24"/>
        </w:rPr>
        <w:t> </w:t>
      </w:r>
      <w:r>
        <w:rPr>
          <w:sz w:val="24"/>
        </w:rPr>
        <w:t>provision</w:t>
      </w:r>
      <w:r>
        <w:rPr>
          <w:spacing w:val="10"/>
          <w:sz w:val="24"/>
        </w:rPr>
        <w:t> </w:t>
      </w:r>
      <w:r>
        <w:rPr>
          <w:sz w:val="24"/>
        </w:rPr>
        <w:t>of</w:t>
      </w:r>
      <w:r>
        <w:rPr>
          <w:spacing w:val="11"/>
          <w:sz w:val="24"/>
        </w:rPr>
        <w:t> </w:t>
      </w:r>
      <w:r>
        <w:rPr>
          <w:sz w:val="24"/>
        </w:rPr>
        <w:t>this</w:t>
      </w:r>
      <w:r>
        <w:rPr>
          <w:spacing w:val="10"/>
          <w:sz w:val="24"/>
        </w:rPr>
        <w:t> </w:t>
      </w:r>
      <w:r>
        <w:rPr>
          <w:sz w:val="24"/>
        </w:rPr>
        <w:t>schedule</w:t>
      </w:r>
      <w:r>
        <w:rPr>
          <w:spacing w:val="11"/>
          <w:sz w:val="24"/>
        </w:rPr>
        <w:t> </w:t>
      </w:r>
      <w:r>
        <w:rPr>
          <w:sz w:val="24"/>
        </w:rPr>
        <w:t>that</w:t>
      </w:r>
      <w:r>
        <w:rPr>
          <w:spacing w:val="10"/>
          <w:sz w:val="24"/>
        </w:rPr>
        <w:t> </w:t>
      </w:r>
      <w:r>
        <w:rPr>
          <w:sz w:val="24"/>
        </w:rPr>
        <w:t>is</w:t>
      </w:r>
      <w:r>
        <w:rPr>
          <w:spacing w:val="11"/>
          <w:sz w:val="24"/>
        </w:rPr>
        <w:t> </w:t>
      </w:r>
      <w:r>
        <w:rPr>
          <w:sz w:val="24"/>
        </w:rPr>
        <w:t>expressed</w:t>
      </w:r>
      <w:r>
        <w:rPr>
          <w:spacing w:val="10"/>
          <w:sz w:val="24"/>
        </w:rPr>
        <w:t> </w:t>
      </w:r>
      <w:r>
        <w:rPr>
          <w:sz w:val="24"/>
        </w:rPr>
        <w:t>as</w:t>
      </w:r>
      <w:r>
        <w:rPr>
          <w:spacing w:val="11"/>
          <w:sz w:val="24"/>
        </w:rPr>
        <w:t> </w:t>
      </w:r>
      <w:r>
        <w:rPr>
          <w:sz w:val="24"/>
        </w:rPr>
        <w:t>an</w:t>
      </w:r>
      <w:r>
        <w:rPr>
          <w:spacing w:val="10"/>
          <w:sz w:val="24"/>
        </w:rPr>
        <w:t> </w:t>
      </w:r>
      <w:r>
        <w:rPr>
          <w:sz w:val="24"/>
        </w:rPr>
        <w:t>obligation</w:t>
      </w:r>
      <w:r>
        <w:rPr>
          <w:spacing w:val="10"/>
          <w:sz w:val="24"/>
        </w:rPr>
        <w:t> </w:t>
      </w:r>
      <w:r>
        <w:rPr>
          <w:sz w:val="24"/>
        </w:rPr>
        <w:t>on</w:t>
      </w:r>
      <w:r>
        <w:rPr>
          <w:spacing w:val="11"/>
          <w:sz w:val="24"/>
        </w:rPr>
        <w:t> </w:t>
      </w:r>
      <w:r>
        <w:rPr>
          <w:sz w:val="24"/>
        </w:rPr>
        <w:t>a</w:t>
      </w:r>
    </w:p>
    <w:p>
      <w:pPr>
        <w:spacing w:before="0"/>
        <w:ind w:left="2486" w:right="0" w:firstLine="0"/>
        <w:jc w:val="both"/>
        <w:rPr>
          <w:sz w:val="24"/>
        </w:rPr>
      </w:pPr>
      <w:r>
        <w:rPr>
          <w:i/>
          <w:sz w:val="24"/>
        </w:rPr>
        <w:t>Network User</w:t>
      </w:r>
      <w:r>
        <w:rPr>
          <w:sz w:val="24"/>
        </w:rPr>
        <w:t>; and</w:t>
      </w:r>
    </w:p>
    <w:p>
      <w:pPr>
        <w:pStyle w:val="ListParagraph"/>
        <w:numPr>
          <w:ilvl w:val="1"/>
          <w:numId w:val="307"/>
        </w:numPr>
        <w:tabs>
          <w:tab w:pos="2486" w:val="left" w:leader="none"/>
        </w:tabs>
        <w:spacing w:line="240" w:lineRule="auto" w:before="120" w:after="0"/>
        <w:ind w:left="2486" w:right="415" w:hanging="567"/>
        <w:jc w:val="both"/>
        <w:rPr>
          <w:sz w:val="24"/>
        </w:rPr>
      </w:pPr>
      <w:r>
        <w:rPr>
          <w:sz w:val="24"/>
        </w:rPr>
        <w:t>each agreed </w:t>
      </w:r>
      <w:r>
        <w:rPr>
          <w:i/>
          <w:sz w:val="24"/>
        </w:rPr>
        <w:t>performance standard </w:t>
      </w:r>
      <w:r>
        <w:rPr>
          <w:sz w:val="24"/>
        </w:rPr>
        <w:t>and an obligation to comply with it.</w:t>
      </w:r>
    </w:p>
    <w:p>
      <w:pPr>
        <w:pStyle w:val="ListParagraph"/>
        <w:numPr>
          <w:ilvl w:val="0"/>
          <w:numId w:val="307"/>
        </w:numPr>
        <w:tabs>
          <w:tab w:pos="1919" w:val="left" w:leader="none"/>
        </w:tabs>
        <w:spacing w:line="240" w:lineRule="auto" w:before="120" w:after="0"/>
        <w:ind w:left="1918" w:right="0" w:hanging="567"/>
        <w:jc w:val="both"/>
        <w:rPr>
          <w:sz w:val="24"/>
        </w:rPr>
      </w:pPr>
      <w:r>
        <w:rPr>
          <w:sz w:val="24"/>
        </w:rPr>
        <w:t>The purpose of this schedule is</w:t>
      </w:r>
      <w:r>
        <w:rPr>
          <w:spacing w:val="-2"/>
          <w:sz w:val="24"/>
        </w:rPr>
        <w:t> </w:t>
      </w:r>
      <w:r>
        <w:rPr>
          <w:sz w:val="24"/>
        </w:rPr>
        <w:t>to:</w:t>
      </w:r>
    </w:p>
    <w:p>
      <w:pPr>
        <w:spacing w:after="0" w:line="240" w:lineRule="auto"/>
        <w:jc w:val="both"/>
        <w:rPr>
          <w:sz w:val="24"/>
        </w:rPr>
        <w:sectPr>
          <w:pgSz w:w="11910" w:h="16840"/>
          <w:pgMar w:header="686" w:footer="637" w:top="1320" w:bottom="820" w:left="1200" w:right="1000"/>
        </w:sectPr>
      </w:pPr>
    </w:p>
    <w:p>
      <w:pPr>
        <w:pStyle w:val="ListParagraph"/>
        <w:numPr>
          <w:ilvl w:val="1"/>
          <w:numId w:val="307"/>
        </w:numPr>
        <w:tabs>
          <w:tab w:pos="2486" w:val="left" w:leader="none"/>
        </w:tabs>
        <w:spacing w:line="240" w:lineRule="auto" w:before="83" w:after="0"/>
        <w:ind w:left="2486" w:right="415" w:hanging="567"/>
        <w:jc w:val="both"/>
        <w:rPr>
          <w:sz w:val="24"/>
        </w:rPr>
      </w:pPr>
      <w:r>
        <w:rPr>
          <w:sz w:val="24"/>
        </w:rPr>
        <w:t>describe the information that must be exchanged for the </w:t>
      </w:r>
      <w:r>
        <w:rPr>
          <w:i/>
          <w:sz w:val="24"/>
        </w:rPr>
        <w:t>connection </w:t>
      </w:r>
      <w:r>
        <w:rPr>
          <w:sz w:val="24"/>
        </w:rPr>
        <w:t>enquiry and </w:t>
      </w:r>
      <w:r>
        <w:rPr>
          <w:i/>
          <w:sz w:val="24"/>
        </w:rPr>
        <w:t>application to connect </w:t>
      </w:r>
      <w:r>
        <w:rPr>
          <w:sz w:val="24"/>
        </w:rPr>
        <w:t>processes described in rule 5.3 </w:t>
      </w:r>
      <w:r>
        <w:rPr>
          <w:spacing w:val="-6"/>
          <w:sz w:val="24"/>
        </w:rPr>
        <w:t>of </w:t>
      </w:r>
      <w:r>
        <w:rPr>
          <w:sz w:val="24"/>
        </w:rPr>
        <w:t>the</w:t>
      </w:r>
      <w:r>
        <w:rPr>
          <w:spacing w:val="-1"/>
          <w:sz w:val="24"/>
        </w:rPr>
        <w:t> </w:t>
      </w:r>
      <w:r>
        <w:rPr>
          <w:i/>
          <w:sz w:val="24"/>
        </w:rPr>
        <w:t>Rules</w:t>
      </w:r>
      <w:r>
        <w:rPr>
          <w:sz w:val="24"/>
        </w:rPr>
        <w:t>;</w:t>
      </w:r>
    </w:p>
    <w:p>
      <w:pPr>
        <w:pStyle w:val="ListParagraph"/>
        <w:numPr>
          <w:ilvl w:val="1"/>
          <w:numId w:val="307"/>
        </w:numPr>
        <w:tabs>
          <w:tab w:pos="2486" w:val="left" w:leader="none"/>
        </w:tabs>
        <w:spacing w:line="240" w:lineRule="auto" w:before="120" w:after="0"/>
        <w:ind w:left="2486" w:right="415" w:hanging="567"/>
        <w:jc w:val="both"/>
        <w:rPr>
          <w:sz w:val="24"/>
        </w:rPr>
      </w:pPr>
      <w:r>
        <w:rPr>
          <w:sz w:val="24"/>
        </w:rPr>
        <w:t>establish the </w:t>
      </w:r>
      <w:r>
        <w:rPr>
          <w:i/>
          <w:sz w:val="24"/>
        </w:rPr>
        <w:t>automatic access standards </w:t>
      </w:r>
      <w:r>
        <w:rPr>
          <w:sz w:val="24"/>
        </w:rPr>
        <w:t>and </w:t>
      </w:r>
      <w:r>
        <w:rPr>
          <w:i/>
          <w:sz w:val="24"/>
        </w:rPr>
        <w:t>minimum access </w:t>
      </w:r>
      <w:r>
        <w:rPr>
          <w:i/>
          <w:sz w:val="24"/>
        </w:rPr>
        <w:t>standards </w:t>
      </w:r>
      <w:r>
        <w:rPr>
          <w:sz w:val="24"/>
        </w:rPr>
        <w:t>that will apply to the process of negotiating access standards under clause 5.3.4A of the </w:t>
      </w:r>
      <w:r>
        <w:rPr>
          <w:i/>
          <w:sz w:val="24"/>
        </w:rPr>
        <w:t>Rules</w:t>
      </w:r>
      <w:r>
        <w:rPr>
          <w:sz w:val="24"/>
        </w:rPr>
        <w:t>;</w:t>
      </w:r>
      <w:r>
        <w:rPr>
          <w:spacing w:val="-4"/>
          <w:sz w:val="24"/>
        </w:rPr>
        <w:t> </w:t>
      </w:r>
      <w:r>
        <w:rPr>
          <w:sz w:val="24"/>
        </w:rPr>
        <w:t>and</w:t>
      </w:r>
    </w:p>
    <w:p>
      <w:pPr>
        <w:pStyle w:val="ListParagraph"/>
        <w:numPr>
          <w:ilvl w:val="1"/>
          <w:numId w:val="307"/>
        </w:numPr>
        <w:tabs>
          <w:tab w:pos="2486" w:val="left" w:leader="none"/>
        </w:tabs>
        <w:spacing w:line="240" w:lineRule="auto" w:before="120" w:after="0"/>
        <w:ind w:left="2486" w:right="416" w:hanging="567"/>
        <w:jc w:val="both"/>
        <w:rPr>
          <w:sz w:val="24"/>
        </w:rPr>
      </w:pPr>
      <w:r>
        <w:rPr>
          <w:sz w:val="24"/>
        </w:rPr>
        <w:t>establish obligations to apply prudent design standards for the </w:t>
      </w:r>
      <w:r>
        <w:rPr>
          <w:i/>
          <w:sz w:val="24"/>
        </w:rPr>
        <w:t>plant </w:t>
      </w:r>
      <w:r>
        <w:rPr>
          <w:sz w:val="24"/>
        </w:rPr>
        <w:t>to be</w:t>
      </w:r>
      <w:r>
        <w:rPr>
          <w:spacing w:val="-1"/>
          <w:sz w:val="24"/>
        </w:rPr>
        <w:t> </w:t>
      </w:r>
      <w:r>
        <w:rPr>
          <w:i/>
          <w:sz w:val="24"/>
        </w:rPr>
        <w:t>connected</w:t>
      </w:r>
      <w:r>
        <w:rPr>
          <w:sz w:val="24"/>
        </w:rPr>
        <w:t>.</w:t>
      </w:r>
    </w:p>
    <w:p>
      <w:pPr>
        <w:pStyle w:val="BodyText"/>
        <w:spacing w:before="10"/>
        <w:ind w:firstLine="0"/>
        <w:jc w:val="left"/>
        <w:rPr>
          <w:sz w:val="20"/>
        </w:rPr>
      </w:pPr>
    </w:p>
    <w:p>
      <w:pPr>
        <w:pStyle w:val="Heading4"/>
        <w:tabs>
          <w:tab w:pos="1351" w:val="left" w:leader="none"/>
        </w:tabs>
        <w:ind w:left="218" w:firstLine="0"/>
      </w:pPr>
      <w:bookmarkStart w:name="S5.3.1 Information" w:id="1012"/>
      <w:bookmarkEnd w:id="1012"/>
      <w:r>
        <w:rPr>
          <w:b w:val="0"/>
        </w:rPr>
      </w:r>
      <w:bookmarkStart w:name="_bookmark398" w:id="1013"/>
      <w:bookmarkEnd w:id="1013"/>
      <w:r>
        <w:rPr>
          <w:b w:val="0"/>
        </w:rPr>
      </w:r>
      <w:r>
        <w:rPr/>
        <w:t>S5.3.1</w:t>
        <w:tab/>
        <w:t>Information</w:t>
      </w:r>
    </w:p>
    <w:p>
      <w:pPr>
        <w:pStyle w:val="ListParagraph"/>
        <w:numPr>
          <w:ilvl w:val="0"/>
          <w:numId w:val="308"/>
        </w:numPr>
        <w:tabs>
          <w:tab w:pos="1919" w:val="left" w:leader="none"/>
        </w:tabs>
        <w:spacing w:line="240" w:lineRule="auto" w:before="120" w:after="0"/>
        <w:ind w:left="1919" w:right="415" w:hanging="567"/>
        <w:jc w:val="both"/>
        <w:rPr>
          <w:sz w:val="24"/>
        </w:rPr>
      </w:pPr>
      <w:r>
        <w:rPr>
          <w:sz w:val="24"/>
        </w:rPr>
        <w:t>Before a </w:t>
      </w:r>
      <w:r>
        <w:rPr>
          <w:i/>
          <w:sz w:val="24"/>
        </w:rPr>
        <w:t>Network User connects </w:t>
      </w:r>
      <w:r>
        <w:rPr>
          <w:sz w:val="24"/>
        </w:rPr>
        <w:t>any new or additional equipment to a </w:t>
      </w:r>
      <w:r>
        <w:rPr>
          <w:i/>
          <w:sz w:val="24"/>
        </w:rPr>
        <w:t>network</w:t>
      </w:r>
      <w:r>
        <w:rPr>
          <w:sz w:val="24"/>
        </w:rPr>
        <w:t>, the </w:t>
      </w:r>
      <w:r>
        <w:rPr>
          <w:i/>
          <w:sz w:val="24"/>
        </w:rPr>
        <w:t>Network User </w:t>
      </w:r>
      <w:r>
        <w:rPr>
          <w:sz w:val="24"/>
        </w:rPr>
        <w:t>must submit the following kinds of information to the </w:t>
      </w:r>
      <w:r>
        <w:rPr>
          <w:i/>
          <w:sz w:val="24"/>
        </w:rPr>
        <w:t>Network Service</w:t>
      </w:r>
      <w:r>
        <w:rPr>
          <w:i/>
          <w:spacing w:val="-1"/>
          <w:sz w:val="24"/>
        </w:rPr>
        <w:t> </w:t>
      </w:r>
      <w:r>
        <w:rPr>
          <w:i/>
          <w:sz w:val="24"/>
        </w:rPr>
        <w:t>Provider</w:t>
      </w:r>
      <w:r>
        <w:rPr>
          <w:sz w:val="24"/>
        </w:rPr>
        <w:t>:</w:t>
      </w:r>
    </w:p>
    <w:p>
      <w:pPr>
        <w:pStyle w:val="ListParagraph"/>
        <w:numPr>
          <w:ilvl w:val="1"/>
          <w:numId w:val="308"/>
        </w:numPr>
        <w:tabs>
          <w:tab w:pos="2485" w:val="left" w:leader="none"/>
          <w:tab w:pos="2486" w:val="left" w:leader="none"/>
        </w:tabs>
        <w:spacing w:line="240" w:lineRule="auto" w:before="120" w:after="0"/>
        <w:ind w:left="2485" w:right="0" w:hanging="567"/>
        <w:jc w:val="left"/>
        <w:rPr>
          <w:sz w:val="24"/>
        </w:rPr>
      </w:pPr>
      <w:r>
        <w:rPr>
          <w:sz w:val="24"/>
        </w:rPr>
        <w:t>a single line diagram with the protection</w:t>
      </w:r>
      <w:r>
        <w:rPr>
          <w:spacing w:val="-5"/>
          <w:sz w:val="24"/>
        </w:rPr>
        <w:t> </w:t>
      </w:r>
      <w:r>
        <w:rPr>
          <w:sz w:val="24"/>
        </w:rPr>
        <w:t>details;</w:t>
      </w:r>
    </w:p>
    <w:p>
      <w:pPr>
        <w:pStyle w:val="ListParagraph"/>
        <w:numPr>
          <w:ilvl w:val="1"/>
          <w:numId w:val="308"/>
        </w:numPr>
        <w:tabs>
          <w:tab w:pos="2485" w:val="left" w:leader="none"/>
          <w:tab w:pos="2486" w:val="left" w:leader="none"/>
        </w:tabs>
        <w:spacing w:line="240" w:lineRule="auto" w:before="120" w:after="0"/>
        <w:ind w:left="2486" w:right="415" w:hanging="567"/>
        <w:jc w:val="left"/>
        <w:rPr>
          <w:sz w:val="24"/>
        </w:rPr>
      </w:pPr>
      <w:r>
        <w:rPr>
          <w:i/>
          <w:sz w:val="24"/>
        </w:rPr>
        <w:t>metering system </w:t>
      </w:r>
      <w:r>
        <w:rPr>
          <w:sz w:val="24"/>
        </w:rPr>
        <w:t>design details for any metering equipment being provided by the </w:t>
      </w:r>
      <w:r>
        <w:rPr>
          <w:i/>
          <w:sz w:val="24"/>
        </w:rPr>
        <w:t>Network</w:t>
      </w:r>
      <w:r>
        <w:rPr>
          <w:i/>
          <w:spacing w:val="-1"/>
          <w:sz w:val="24"/>
        </w:rPr>
        <w:t> </w:t>
      </w:r>
      <w:r>
        <w:rPr>
          <w:i/>
          <w:sz w:val="24"/>
        </w:rPr>
        <w:t>User</w:t>
      </w:r>
      <w:r>
        <w:rPr>
          <w:sz w:val="24"/>
        </w:rPr>
        <w:t>;</w:t>
      </w:r>
    </w:p>
    <w:p>
      <w:pPr>
        <w:pStyle w:val="ListParagraph"/>
        <w:numPr>
          <w:ilvl w:val="1"/>
          <w:numId w:val="308"/>
        </w:numPr>
        <w:tabs>
          <w:tab w:pos="2485" w:val="left" w:leader="none"/>
          <w:tab w:pos="2486" w:val="left" w:leader="none"/>
        </w:tabs>
        <w:spacing w:line="240" w:lineRule="auto" w:before="120" w:after="0"/>
        <w:ind w:left="2485" w:right="0" w:hanging="567"/>
        <w:jc w:val="left"/>
        <w:rPr>
          <w:sz w:val="24"/>
        </w:rPr>
      </w:pPr>
      <w:r>
        <w:rPr>
          <w:sz w:val="24"/>
        </w:rPr>
        <w:t>a general arrangement locating all the equipment on the</w:t>
      </w:r>
      <w:r>
        <w:rPr>
          <w:spacing w:val="-9"/>
          <w:sz w:val="24"/>
        </w:rPr>
        <w:t> </w:t>
      </w:r>
      <w:r>
        <w:rPr>
          <w:sz w:val="24"/>
        </w:rPr>
        <w:t>site;</w:t>
      </w:r>
    </w:p>
    <w:p>
      <w:pPr>
        <w:pStyle w:val="ListParagraph"/>
        <w:numPr>
          <w:ilvl w:val="1"/>
          <w:numId w:val="308"/>
        </w:numPr>
        <w:tabs>
          <w:tab w:pos="2486" w:val="left" w:leader="none"/>
        </w:tabs>
        <w:spacing w:line="240" w:lineRule="auto" w:before="120" w:after="0"/>
        <w:ind w:left="2486" w:right="416" w:hanging="567"/>
        <w:jc w:val="both"/>
        <w:rPr>
          <w:sz w:val="24"/>
        </w:rPr>
      </w:pPr>
      <w:r>
        <w:rPr>
          <w:sz w:val="24"/>
        </w:rPr>
        <w:t>a general arrangement for each new or altered </w:t>
      </w:r>
      <w:r>
        <w:rPr>
          <w:i/>
          <w:sz w:val="24"/>
        </w:rPr>
        <w:t>substation </w:t>
      </w:r>
      <w:r>
        <w:rPr>
          <w:sz w:val="24"/>
        </w:rPr>
        <w:t>showing all exits and the position of all electrical</w:t>
      </w:r>
      <w:r>
        <w:rPr>
          <w:spacing w:val="-2"/>
          <w:sz w:val="24"/>
        </w:rPr>
        <w:t> </w:t>
      </w:r>
      <w:r>
        <w:rPr>
          <w:sz w:val="24"/>
        </w:rPr>
        <w:t>equipment;</w:t>
      </w:r>
    </w:p>
    <w:p>
      <w:pPr>
        <w:pStyle w:val="ListParagraph"/>
        <w:numPr>
          <w:ilvl w:val="1"/>
          <w:numId w:val="308"/>
        </w:numPr>
        <w:tabs>
          <w:tab w:pos="2486" w:val="left" w:leader="none"/>
        </w:tabs>
        <w:spacing w:line="240" w:lineRule="auto" w:before="120" w:after="0"/>
        <w:ind w:left="2486" w:right="415" w:hanging="567"/>
        <w:jc w:val="both"/>
        <w:rPr>
          <w:sz w:val="24"/>
        </w:rPr>
      </w:pPr>
      <w:r>
        <w:rPr>
          <w:sz w:val="24"/>
        </w:rPr>
        <w:t>type test certificates for all new switchgear and </w:t>
      </w:r>
      <w:r>
        <w:rPr>
          <w:i/>
          <w:sz w:val="24"/>
        </w:rPr>
        <w:t>transformers</w:t>
      </w:r>
      <w:r>
        <w:rPr>
          <w:sz w:val="24"/>
        </w:rPr>
        <w:t>, including measurement </w:t>
      </w:r>
      <w:r>
        <w:rPr>
          <w:i/>
          <w:sz w:val="24"/>
        </w:rPr>
        <w:t>transformers </w:t>
      </w:r>
      <w:r>
        <w:rPr>
          <w:sz w:val="24"/>
        </w:rPr>
        <w:t>to be used for </w:t>
      </w:r>
      <w:r>
        <w:rPr>
          <w:i/>
          <w:sz w:val="24"/>
        </w:rPr>
        <w:t>metering </w:t>
      </w:r>
      <w:r>
        <w:rPr>
          <w:sz w:val="24"/>
        </w:rPr>
        <w:t>purposes in accordance with Chapter 7 of the</w:t>
      </w:r>
      <w:r>
        <w:rPr>
          <w:spacing w:val="-2"/>
          <w:sz w:val="24"/>
        </w:rPr>
        <w:t> </w:t>
      </w:r>
      <w:r>
        <w:rPr>
          <w:i/>
          <w:sz w:val="24"/>
        </w:rPr>
        <w:t>Rules</w:t>
      </w:r>
      <w:r>
        <w:rPr>
          <w:sz w:val="24"/>
        </w:rPr>
        <w:t>;</w:t>
      </w:r>
    </w:p>
    <w:p>
      <w:pPr>
        <w:pStyle w:val="ListParagraph"/>
        <w:numPr>
          <w:ilvl w:val="1"/>
          <w:numId w:val="308"/>
        </w:numPr>
        <w:tabs>
          <w:tab w:pos="2486" w:val="left" w:leader="none"/>
        </w:tabs>
        <w:spacing w:line="240" w:lineRule="auto" w:before="120" w:after="0"/>
        <w:ind w:left="2485" w:right="0" w:hanging="567"/>
        <w:jc w:val="both"/>
        <w:rPr>
          <w:sz w:val="24"/>
        </w:rPr>
      </w:pPr>
      <w:r>
        <w:rPr>
          <w:sz w:val="24"/>
        </w:rPr>
        <w:t>earthing</w:t>
      </w:r>
      <w:r>
        <w:rPr>
          <w:spacing w:val="-1"/>
          <w:sz w:val="24"/>
        </w:rPr>
        <w:t> </w:t>
      </w:r>
      <w:r>
        <w:rPr>
          <w:sz w:val="24"/>
        </w:rPr>
        <w:t>details;</w:t>
      </w:r>
    </w:p>
    <w:p>
      <w:pPr>
        <w:pStyle w:val="ListParagraph"/>
        <w:numPr>
          <w:ilvl w:val="1"/>
          <w:numId w:val="308"/>
        </w:numPr>
        <w:tabs>
          <w:tab w:pos="2485" w:val="left" w:leader="none"/>
          <w:tab w:pos="2486" w:val="left" w:leader="none"/>
        </w:tabs>
        <w:spacing w:line="240" w:lineRule="auto" w:before="120" w:after="0"/>
        <w:ind w:left="2486" w:right="415" w:hanging="567"/>
        <w:jc w:val="left"/>
        <w:rPr>
          <w:sz w:val="24"/>
        </w:rPr>
      </w:pPr>
      <w:r>
        <w:rPr>
          <w:sz w:val="24"/>
        </w:rPr>
        <w:t>the proposed methods of earthing cables and other equipment </w:t>
      </w:r>
      <w:r>
        <w:rPr>
          <w:spacing w:val="-6"/>
          <w:sz w:val="24"/>
        </w:rPr>
        <w:t>to </w:t>
      </w:r>
      <w:r>
        <w:rPr>
          <w:sz w:val="24"/>
        </w:rPr>
        <w:t>comply with the regulations of the relevant </w:t>
      </w:r>
      <w:r>
        <w:rPr>
          <w:i/>
          <w:sz w:val="24"/>
        </w:rPr>
        <w:t>participating</w:t>
      </w:r>
      <w:r>
        <w:rPr>
          <w:i/>
          <w:spacing w:val="-5"/>
          <w:sz w:val="24"/>
        </w:rPr>
        <w:t> </w:t>
      </w:r>
      <w:r>
        <w:rPr>
          <w:i/>
          <w:sz w:val="24"/>
        </w:rPr>
        <w:t>jurisdiction</w:t>
      </w:r>
      <w:r>
        <w:rPr>
          <w:sz w:val="24"/>
        </w:rPr>
        <w:t>;</w:t>
      </w:r>
    </w:p>
    <w:p>
      <w:pPr>
        <w:pStyle w:val="ListParagraph"/>
        <w:numPr>
          <w:ilvl w:val="1"/>
          <w:numId w:val="308"/>
        </w:numPr>
        <w:tabs>
          <w:tab w:pos="2485" w:val="left" w:leader="none"/>
          <w:tab w:pos="2486" w:val="left" w:leader="none"/>
        </w:tabs>
        <w:spacing w:line="240" w:lineRule="auto" w:before="120" w:after="0"/>
        <w:ind w:left="2485" w:right="0" w:hanging="567"/>
        <w:jc w:val="left"/>
        <w:rPr>
          <w:sz w:val="24"/>
        </w:rPr>
      </w:pPr>
      <w:r>
        <w:rPr>
          <w:i/>
          <w:sz w:val="24"/>
        </w:rPr>
        <w:t>plant </w:t>
      </w:r>
      <w:r>
        <w:rPr>
          <w:sz w:val="24"/>
        </w:rPr>
        <w:t>and earth grid test certificates from approved test</w:t>
      </w:r>
      <w:r>
        <w:rPr>
          <w:spacing w:val="-3"/>
          <w:sz w:val="24"/>
        </w:rPr>
        <w:t> </w:t>
      </w:r>
      <w:r>
        <w:rPr>
          <w:sz w:val="24"/>
        </w:rPr>
        <w:t>authorities;</w:t>
      </w:r>
    </w:p>
    <w:p>
      <w:pPr>
        <w:pStyle w:val="ListParagraph"/>
        <w:numPr>
          <w:ilvl w:val="1"/>
          <w:numId w:val="308"/>
        </w:numPr>
        <w:tabs>
          <w:tab w:pos="2485" w:val="left" w:leader="none"/>
          <w:tab w:pos="2486" w:val="left" w:leader="none"/>
        </w:tabs>
        <w:spacing w:line="240" w:lineRule="auto" w:before="120" w:after="0"/>
        <w:ind w:left="2485" w:right="0" w:hanging="567"/>
        <w:jc w:val="left"/>
        <w:rPr>
          <w:sz w:val="24"/>
        </w:rPr>
      </w:pPr>
      <w:r>
        <w:rPr>
          <w:sz w:val="24"/>
        </w:rPr>
        <w:t>a secondary injection and trip test certificate on all circuit</w:t>
      </w:r>
      <w:r>
        <w:rPr>
          <w:spacing w:val="-9"/>
          <w:sz w:val="24"/>
        </w:rPr>
        <w:t> </w:t>
      </w:r>
      <w:r>
        <w:rPr>
          <w:sz w:val="24"/>
        </w:rPr>
        <w:t>breakers;</w:t>
      </w:r>
    </w:p>
    <w:p>
      <w:pPr>
        <w:pStyle w:val="ListParagraph"/>
        <w:numPr>
          <w:ilvl w:val="1"/>
          <w:numId w:val="308"/>
        </w:numPr>
        <w:tabs>
          <w:tab w:pos="2486" w:val="left" w:leader="none"/>
        </w:tabs>
        <w:spacing w:line="240" w:lineRule="auto" w:before="120" w:after="0"/>
        <w:ind w:left="2485" w:right="0" w:hanging="567"/>
        <w:jc w:val="left"/>
        <w:rPr>
          <w:sz w:val="24"/>
        </w:rPr>
      </w:pPr>
      <w:r>
        <w:rPr>
          <w:sz w:val="24"/>
        </w:rPr>
        <w:t>certification</w:t>
      </w:r>
      <w:r>
        <w:rPr>
          <w:spacing w:val="28"/>
          <w:sz w:val="24"/>
        </w:rPr>
        <w:t> </w:t>
      </w:r>
      <w:r>
        <w:rPr>
          <w:sz w:val="24"/>
        </w:rPr>
        <w:t>that</w:t>
      </w:r>
      <w:r>
        <w:rPr>
          <w:spacing w:val="29"/>
          <w:sz w:val="24"/>
        </w:rPr>
        <w:t> </w:t>
      </w:r>
      <w:r>
        <w:rPr>
          <w:sz w:val="24"/>
        </w:rPr>
        <w:t>all</w:t>
      </w:r>
      <w:r>
        <w:rPr>
          <w:spacing w:val="29"/>
          <w:sz w:val="24"/>
        </w:rPr>
        <w:t> </w:t>
      </w:r>
      <w:r>
        <w:rPr>
          <w:sz w:val="24"/>
        </w:rPr>
        <w:t>new</w:t>
      </w:r>
      <w:r>
        <w:rPr>
          <w:spacing w:val="28"/>
          <w:sz w:val="24"/>
        </w:rPr>
        <w:t> </w:t>
      </w:r>
      <w:r>
        <w:rPr>
          <w:sz w:val="24"/>
        </w:rPr>
        <w:t>equipment</w:t>
      </w:r>
      <w:r>
        <w:rPr>
          <w:spacing w:val="29"/>
          <w:sz w:val="24"/>
        </w:rPr>
        <w:t> </w:t>
      </w:r>
      <w:r>
        <w:rPr>
          <w:sz w:val="24"/>
        </w:rPr>
        <w:t>has</w:t>
      </w:r>
      <w:r>
        <w:rPr>
          <w:spacing w:val="29"/>
          <w:sz w:val="24"/>
        </w:rPr>
        <w:t> </w:t>
      </w:r>
      <w:r>
        <w:rPr>
          <w:sz w:val="24"/>
        </w:rPr>
        <w:t>been</w:t>
      </w:r>
      <w:r>
        <w:rPr>
          <w:spacing w:val="28"/>
          <w:sz w:val="24"/>
        </w:rPr>
        <w:t> </w:t>
      </w:r>
      <w:r>
        <w:rPr>
          <w:sz w:val="24"/>
        </w:rPr>
        <w:t>inspected</w:t>
      </w:r>
      <w:r>
        <w:rPr>
          <w:spacing w:val="29"/>
          <w:sz w:val="24"/>
        </w:rPr>
        <w:t> </w:t>
      </w:r>
      <w:r>
        <w:rPr>
          <w:sz w:val="24"/>
        </w:rPr>
        <w:t>before</w:t>
      </w:r>
      <w:r>
        <w:rPr>
          <w:spacing w:val="29"/>
          <w:sz w:val="24"/>
        </w:rPr>
        <w:t> </w:t>
      </w:r>
      <w:r>
        <w:rPr>
          <w:sz w:val="24"/>
        </w:rPr>
        <w:t>being</w:t>
      </w:r>
    </w:p>
    <w:p>
      <w:pPr>
        <w:spacing w:before="0"/>
        <w:ind w:left="2486" w:right="0" w:firstLine="0"/>
        <w:jc w:val="left"/>
        <w:rPr>
          <w:sz w:val="24"/>
        </w:rPr>
      </w:pPr>
      <w:r>
        <w:rPr>
          <w:i/>
          <w:sz w:val="24"/>
        </w:rPr>
        <w:t>connected </w:t>
      </w:r>
      <w:r>
        <w:rPr>
          <w:sz w:val="24"/>
        </w:rPr>
        <w:t>to the </w:t>
      </w:r>
      <w:r>
        <w:rPr>
          <w:i/>
          <w:sz w:val="24"/>
        </w:rPr>
        <w:t>supply</w:t>
      </w:r>
      <w:r>
        <w:rPr>
          <w:sz w:val="24"/>
        </w:rPr>
        <w:t>; and</w:t>
      </w:r>
    </w:p>
    <w:p>
      <w:pPr>
        <w:pStyle w:val="ListParagraph"/>
        <w:numPr>
          <w:ilvl w:val="1"/>
          <w:numId w:val="308"/>
        </w:numPr>
        <w:tabs>
          <w:tab w:pos="2486" w:val="left" w:leader="none"/>
        </w:tabs>
        <w:spacing w:line="240" w:lineRule="auto" w:before="120" w:after="0"/>
        <w:ind w:left="2485" w:right="0" w:hanging="567"/>
        <w:jc w:val="left"/>
        <w:rPr>
          <w:sz w:val="24"/>
        </w:rPr>
      </w:pPr>
      <w:r>
        <w:rPr>
          <w:sz w:val="24"/>
        </w:rPr>
        <w:t>operational</w:t>
      </w:r>
      <w:r>
        <w:rPr>
          <w:spacing w:val="-1"/>
          <w:sz w:val="24"/>
        </w:rPr>
        <w:t> </w:t>
      </w:r>
      <w:r>
        <w:rPr>
          <w:sz w:val="24"/>
        </w:rPr>
        <w:t>arrangements.</w:t>
      </w:r>
    </w:p>
    <w:p>
      <w:pPr>
        <w:spacing w:before="120"/>
        <w:ind w:left="1352" w:right="0" w:firstLine="0"/>
        <w:jc w:val="left"/>
        <w:rPr>
          <w:sz w:val="24"/>
        </w:rPr>
      </w:pPr>
      <w:r>
        <w:rPr>
          <w:sz w:val="24"/>
        </w:rPr>
        <w:t>(a1) Before a </w:t>
      </w:r>
      <w:r>
        <w:rPr>
          <w:i/>
          <w:sz w:val="24"/>
        </w:rPr>
        <w:t>Network User connects </w:t>
      </w:r>
      <w:r>
        <w:rPr>
          <w:sz w:val="24"/>
        </w:rPr>
        <w:t>any new or additional equipment to a</w:t>
      </w:r>
    </w:p>
    <w:p>
      <w:pPr>
        <w:spacing w:before="0"/>
        <w:ind w:left="1919" w:right="0" w:firstLine="0"/>
        <w:jc w:val="left"/>
        <w:rPr>
          <w:sz w:val="24"/>
        </w:rPr>
      </w:pPr>
      <w:r>
        <w:rPr>
          <w:i/>
          <w:sz w:val="24"/>
        </w:rPr>
        <w:t>network</w:t>
      </w:r>
      <w:r>
        <w:rPr>
          <w:sz w:val="24"/>
        </w:rPr>
        <w:t>, the </w:t>
      </w:r>
      <w:r>
        <w:rPr>
          <w:i/>
          <w:sz w:val="24"/>
        </w:rPr>
        <w:t>Network User </w:t>
      </w:r>
      <w:r>
        <w:rPr>
          <w:sz w:val="24"/>
        </w:rPr>
        <w:t>must submit:</w:t>
      </w:r>
    </w:p>
    <w:p>
      <w:pPr>
        <w:pStyle w:val="ListParagraph"/>
        <w:numPr>
          <w:ilvl w:val="0"/>
          <w:numId w:val="309"/>
        </w:numPr>
        <w:tabs>
          <w:tab w:pos="2485" w:val="left" w:leader="none"/>
          <w:tab w:pos="2486" w:val="left" w:leader="none"/>
        </w:tabs>
        <w:spacing w:line="240" w:lineRule="auto" w:before="120" w:after="0"/>
        <w:ind w:left="2486" w:right="415" w:hanging="567"/>
        <w:jc w:val="left"/>
        <w:rPr>
          <w:sz w:val="24"/>
        </w:rPr>
      </w:pPr>
      <w:r>
        <w:rPr>
          <w:sz w:val="24"/>
        </w:rPr>
        <w:t>to </w:t>
      </w:r>
      <w:r>
        <w:rPr>
          <w:i/>
          <w:sz w:val="24"/>
        </w:rPr>
        <w:t>AEMO </w:t>
      </w:r>
      <w:r>
        <w:rPr>
          <w:sz w:val="24"/>
        </w:rPr>
        <w:t>and the relevant </w:t>
      </w:r>
      <w:r>
        <w:rPr>
          <w:i/>
          <w:sz w:val="24"/>
        </w:rPr>
        <w:t>Network Service Provider</w:t>
      </w:r>
      <w:r>
        <w:rPr>
          <w:sz w:val="24"/>
        </w:rPr>
        <w:t>(s), information about the </w:t>
      </w:r>
      <w:r>
        <w:rPr>
          <w:i/>
          <w:sz w:val="24"/>
        </w:rPr>
        <w:t>protection systems </w:t>
      </w:r>
      <w:r>
        <w:rPr>
          <w:sz w:val="24"/>
        </w:rPr>
        <w:t>of the</w:t>
      </w:r>
      <w:r>
        <w:rPr>
          <w:spacing w:val="-3"/>
          <w:sz w:val="24"/>
        </w:rPr>
        <w:t> </w:t>
      </w:r>
      <w:r>
        <w:rPr>
          <w:sz w:val="24"/>
        </w:rPr>
        <w:t>equipment;</w:t>
      </w:r>
    </w:p>
    <w:p>
      <w:pPr>
        <w:pStyle w:val="ListParagraph"/>
        <w:numPr>
          <w:ilvl w:val="0"/>
          <w:numId w:val="309"/>
        </w:numPr>
        <w:tabs>
          <w:tab w:pos="2485" w:val="left" w:leader="none"/>
          <w:tab w:pos="2486" w:val="left" w:leader="none"/>
        </w:tabs>
        <w:spacing w:line="240" w:lineRule="auto" w:before="120" w:after="0"/>
        <w:ind w:left="2486" w:right="415" w:hanging="567"/>
        <w:jc w:val="left"/>
        <w:rPr>
          <w:sz w:val="24"/>
        </w:rPr>
      </w:pPr>
      <w:r>
        <w:rPr>
          <w:sz w:val="24"/>
        </w:rPr>
        <w:t>to </w:t>
      </w:r>
      <w:r>
        <w:rPr>
          <w:i/>
          <w:sz w:val="24"/>
        </w:rPr>
        <w:t>AEMO </w:t>
      </w:r>
      <w:r>
        <w:rPr>
          <w:sz w:val="24"/>
        </w:rPr>
        <w:t>and the relevant </w:t>
      </w:r>
      <w:r>
        <w:rPr>
          <w:i/>
          <w:sz w:val="24"/>
        </w:rPr>
        <w:t>Network Service Provider</w:t>
      </w:r>
      <w:r>
        <w:rPr>
          <w:sz w:val="24"/>
        </w:rPr>
        <w:t>(s), information about the </w:t>
      </w:r>
      <w:r>
        <w:rPr>
          <w:i/>
          <w:sz w:val="24"/>
        </w:rPr>
        <w:t>control systems </w:t>
      </w:r>
      <w:r>
        <w:rPr>
          <w:sz w:val="24"/>
        </w:rPr>
        <w:t>of the equipment</w:t>
      </w:r>
      <w:r>
        <w:rPr>
          <w:spacing w:val="-3"/>
          <w:sz w:val="24"/>
        </w:rPr>
        <w:t> </w:t>
      </w:r>
      <w:r>
        <w:rPr>
          <w:sz w:val="24"/>
        </w:rPr>
        <w:t>including:</w:t>
      </w:r>
    </w:p>
    <w:p>
      <w:pPr>
        <w:pStyle w:val="ListParagraph"/>
        <w:numPr>
          <w:ilvl w:val="1"/>
          <w:numId w:val="309"/>
        </w:numPr>
        <w:tabs>
          <w:tab w:pos="3052" w:val="left" w:leader="none"/>
          <w:tab w:pos="3053" w:val="left" w:leader="none"/>
        </w:tabs>
        <w:spacing w:line="240" w:lineRule="auto" w:before="120" w:after="0"/>
        <w:ind w:left="3053" w:right="415" w:hanging="567"/>
        <w:jc w:val="left"/>
        <w:rPr>
          <w:sz w:val="24"/>
        </w:rPr>
      </w:pPr>
      <w:r>
        <w:rPr>
          <w:sz w:val="24"/>
        </w:rPr>
        <w:t>a set of functional block diagrams, including all functions between feedback signals and</w:t>
      </w:r>
      <w:r>
        <w:rPr>
          <w:spacing w:val="-2"/>
          <w:sz w:val="24"/>
        </w:rPr>
        <w:t> </w:t>
      </w:r>
      <w:r>
        <w:rPr>
          <w:sz w:val="24"/>
        </w:rPr>
        <w:t>output;</w:t>
      </w:r>
    </w:p>
    <w:p>
      <w:pPr>
        <w:pStyle w:val="ListParagraph"/>
        <w:numPr>
          <w:ilvl w:val="1"/>
          <w:numId w:val="309"/>
        </w:numPr>
        <w:tabs>
          <w:tab w:pos="3052" w:val="left" w:leader="none"/>
          <w:tab w:pos="3054" w:val="left" w:leader="none"/>
        </w:tabs>
        <w:spacing w:line="240" w:lineRule="auto" w:before="120" w:after="0"/>
        <w:ind w:left="3053" w:right="415" w:hanging="567"/>
        <w:jc w:val="left"/>
        <w:rPr>
          <w:sz w:val="24"/>
        </w:rPr>
      </w:pPr>
      <w:r>
        <w:rPr>
          <w:sz w:val="24"/>
        </w:rPr>
        <w:t>the parameters of each functional block, including all settings, gains, time constants, delays, deadbands and</w:t>
      </w:r>
      <w:r>
        <w:rPr>
          <w:spacing w:val="-1"/>
          <w:sz w:val="24"/>
        </w:rPr>
        <w:t> </w:t>
      </w:r>
      <w:r>
        <w:rPr>
          <w:sz w:val="24"/>
        </w:rPr>
        <w:t>limits;</w:t>
      </w:r>
    </w:p>
    <w:p>
      <w:pPr>
        <w:pStyle w:val="ListParagraph"/>
        <w:numPr>
          <w:ilvl w:val="1"/>
          <w:numId w:val="309"/>
        </w:numPr>
        <w:tabs>
          <w:tab w:pos="3052" w:val="left" w:leader="none"/>
          <w:tab w:pos="3053" w:val="left" w:leader="none"/>
        </w:tabs>
        <w:spacing w:line="240" w:lineRule="auto" w:before="120" w:after="0"/>
        <w:ind w:left="3052" w:right="0" w:hanging="567"/>
        <w:jc w:val="left"/>
        <w:rPr>
          <w:sz w:val="24"/>
        </w:rPr>
      </w:pPr>
      <w:r>
        <w:rPr>
          <w:sz w:val="24"/>
        </w:rPr>
        <w:t>the characteristics of non-linear</w:t>
      </w:r>
      <w:r>
        <w:rPr>
          <w:spacing w:val="-1"/>
          <w:sz w:val="24"/>
        </w:rPr>
        <w:t> </w:t>
      </w:r>
      <w:r>
        <w:rPr>
          <w:sz w:val="24"/>
        </w:rPr>
        <w:t>elements;</w:t>
      </w:r>
    </w:p>
    <w:p>
      <w:pPr>
        <w:spacing w:after="0" w:line="240" w:lineRule="auto"/>
        <w:jc w:val="left"/>
        <w:rPr>
          <w:sz w:val="24"/>
        </w:rPr>
        <w:sectPr>
          <w:pgSz w:w="11910" w:h="16840"/>
          <w:pgMar w:header="686" w:footer="637" w:top="1320" w:bottom="820" w:left="1200" w:right="1000"/>
        </w:sectPr>
      </w:pPr>
    </w:p>
    <w:p>
      <w:pPr>
        <w:pStyle w:val="ListParagraph"/>
        <w:numPr>
          <w:ilvl w:val="1"/>
          <w:numId w:val="309"/>
        </w:numPr>
        <w:tabs>
          <w:tab w:pos="3054" w:val="left" w:leader="none"/>
        </w:tabs>
        <w:spacing w:line="240" w:lineRule="auto" w:before="83" w:after="0"/>
        <w:ind w:left="3053" w:right="415" w:hanging="567"/>
        <w:jc w:val="both"/>
        <w:rPr>
          <w:sz w:val="24"/>
        </w:rPr>
      </w:pPr>
      <w:r>
        <w:rPr>
          <w:sz w:val="24"/>
        </w:rPr>
        <w:t>encrypted models in a form suitable for the software simulation products nominated by </w:t>
      </w:r>
      <w:r>
        <w:rPr>
          <w:i/>
          <w:sz w:val="24"/>
        </w:rPr>
        <w:t>AEMO </w:t>
      </w:r>
      <w:r>
        <w:rPr>
          <w:sz w:val="24"/>
        </w:rPr>
        <w:t>in the </w:t>
      </w:r>
      <w:r>
        <w:rPr>
          <w:i/>
          <w:sz w:val="24"/>
        </w:rPr>
        <w:t>Power System </w:t>
      </w:r>
      <w:r>
        <w:rPr>
          <w:i/>
          <w:spacing w:val="-3"/>
          <w:sz w:val="24"/>
        </w:rPr>
        <w:t>Model </w:t>
      </w:r>
      <w:r>
        <w:rPr>
          <w:i/>
          <w:sz w:val="24"/>
        </w:rPr>
        <w:t>Guidelines</w:t>
      </w:r>
      <w:r>
        <w:rPr>
          <w:sz w:val="24"/>
        </w:rPr>
        <w:t>;</w:t>
      </w:r>
    </w:p>
    <w:p>
      <w:pPr>
        <w:pStyle w:val="ListParagraph"/>
        <w:numPr>
          <w:ilvl w:val="0"/>
          <w:numId w:val="309"/>
        </w:numPr>
        <w:tabs>
          <w:tab w:pos="2486" w:val="left" w:leader="none"/>
        </w:tabs>
        <w:spacing w:line="240" w:lineRule="auto" w:before="120" w:after="0"/>
        <w:ind w:left="2486" w:right="415" w:hanging="567"/>
        <w:jc w:val="both"/>
        <w:rPr>
          <w:sz w:val="24"/>
        </w:rPr>
      </w:pPr>
      <w:r>
        <w:rPr>
          <w:sz w:val="24"/>
        </w:rPr>
        <w:t>to </w:t>
      </w:r>
      <w:r>
        <w:rPr>
          <w:i/>
          <w:sz w:val="24"/>
        </w:rPr>
        <w:t>AEMO </w:t>
      </w:r>
      <w:r>
        <w:rPr>
          <w:sz w:val="24"/>
        </w:rPr>
        <w:t>and the relevant </w:t>
      </w:r>
      <w:r>
        <w:rPr>
          <w:i/>
          <w:sz w:val="24"/>
        </w:rPr>
        <w:t>Network Service Provider</w:t>
      </w:r>
      <w:r>
        <w:rPr>
          <w:sz w:val="24"/>
        </w:rPr>
        <w:t>(s), any </w:t>
      </w:r>
      <w:r>
        <w:rPr>
          <w:spacing w:val="-3"/>
          <w:sz w:val="24"/>
        </w:rPr>
        <w:t>other </w:t>
      </w:r>
      <w:r>
        <w:rPr>
          <w:sz w:val="24"/>
        </w:rPr>
        <w:t>information specified in the </w:t>
      </w:r>
      <w:r>
        <w:rPr>
          <w:i/>
          <w:sz w:val="24"/>
        </w:rPr>
        <w:t>Power System Model Guidelines</w:t>
      </w:r>
      <w:r>
        <w:rPr>
          <w:sz w:val="24"/>
        </w:rPr>
        <w:t>, </w:t>
      </w:r>
      <w:r>
        <w:rPr>
          <w:i/>
          <w:sz w:val="24"/>
        </w:rPr>
        <w:t>Power </w:t>
      </w:r>
      <w:r>
        <w:rPr>
          <w:i/>
          <w:sz w:val="24"/>
        </w:rPr>
        <w:t>System Design Data Sheet </w:t>
      </w:r>
      <w:r>
        <w:rPr>
          <w:sz w:val="24"/>
        </w:rPr>
        <w:t>and </w:t>
      </w:r>
      <w:r>
        <w:rPr>
          <w:i/>
          <w:sz w:val="24"/>
        </w:rPr>
        <w:t>Power System Setting Data</w:t>
      </w:r>
      <w:r>
        <w:rPr>
          <w:i/>
          <w:spacing w:val="-10"/>
          <w:sz w:val="24"/>
        </w:rPr>
        <w:t> </w:t>
      </w:r>
      <w:r>
        <w:rPr>
          <w:i/>
          <w:sz w:val="24"/>
        </w:rPr>
        <w:t>Sheet</w:t>
      </w:r>
      <w:r>
        <w:rPr>
          <w:sz w:val="24"/>
        </w:rPr>
        <w:t>;</w:t>
      </w:r>
    </w:p>
    <w:p>
      <w:pPr>
        <w:pStyle w:val="ListParagraph"/>
        <w:numPr>
          <w:ilvl w:val="0"/>
          <w:numId w:val="309"/>
        </w:numPr>
        <w:tabs>
          <w:tab w:pos="2486" w:val="left" w:leader="none"/>
        </w:tabs>
        <w:spacing w:line="240" w:lineRule="auto" w:before="120" w:after="0"/>
        <w:ind w:left="2486" w:right="415" w:hanging="567"/>
        <w:jc w:val="both"/>
        <w:rPr>
          <w:sz w:val="24"/>
        </w:rPr>
      </w:pPr>
      <w:r>
        <w:rPr>
          <w:sz w:val="24"/>
        </w:rPr>
        <w:t>to </w:t>
      </w:r>
      <w:r>
        <w:rPr>
          <w:i/>
          <w:sz w:val="24"/>
        </w:rPr>
        <w:t>AEMO</w:t>
      </w:r>
      <w:r>
        <w:rPr>
          <w:sz w:val="24"/>
        </w:rPr>
        <w:t>, model source code (in the circumstances required by the </w:t>
      </w:r>
      <w:r>
        <w:rPr>
          <w:i/>
          <w:sz w:val="24"/>
        </w:rPr>
        <w:t>Power System Model Guidelines</w:t>
      </w:r>
      <w:r>
        <w:rPr>
          <w:sz w:val="24"/>
        </w:rPr>
        <w:t>) associated with the model in subparagraph (2)(iv) in an unencrypted form suitable for at least one of the software simulation products nominated by </w:t>
      </w:r>
      <w:r>
        <w:rPr>
          <w:i/>
          <w:sz w:val="24"/>
        </w:rPr>
        <w:t>AEMO </w:t>
      </w:r>
      <w:r>
        <w:rPr>
          <w:sz w:val="24"/>
        </w:rPr>
        <w:t>in the </w:t>
      </w:r>
      <w:r>
        <w:rPr>
          <w:i/>
          <w:sz w:val="24"/>
        </w:rPr>
        <w:t>Power </w:t>
      </w:r>
      <w:r>
        <w:rPr>
          <w:i/>
          <w:sz w:val="24"/>
        </w:rPr>
        <w:t>System Model Guidelines </w:t>
      </w:r>
      <w:r>
        <w:rPr>
          <w:sz w:val="24"/>
        </w:rPr>
        <w:t>and in a form that would allow conversion for use with other software simulation products nominated by </w:t>
      </w:r>
      <w:r>
        <w:rPr>
          <w:i/>
          <w:sz w:val="24"/>
        </w:rPr>
        <w:t>AEMO </w:t>
      </w:r>
      <w:r>
        <w:rPr>
          <w:sz w:val="24"/>
        </w:rPr>
        <w:t>in the </w:t>
      </w:r>
      <w:r>
        <w:rPr>
          <w:i/>
          <w:sz w:val="24"/>
        </w:rPr>
        <w:t>Power System Model</w:t>
      </w:r>
      <w:r>
        <w:rPr>
          <w:i/>
          <w:spacing w:val="-1"/>
          <w:sz w:val="24"/>
        </w:rPr>
        <w:t> </w:t>
      </w:r>
      <w:r>
        <w:rPr>
          <w:i/>
          <w:sz w:val="24"/>
        </w:rPr>
        <w:t>Guidelines</w:t>
      </w:r>
      <w:r>
        <w:rPr>
          <w:sz w:val="24"/>
        </w:rPr>
        <w:t>.</w:t>
      </w:r>
    </w:p>
    <w:p>
      <w:pPr>
        <w:spacing w:before="120"/>
        <w:ind w:left="1919" w:right="415" w:hanging="567"/>
        <w:jc w:val="both"/>
        <w:rPr>
          <w:sz w:val="24"/>
        </w:rPr>
      </w:pPr>
      <w:r>
        <w:rPr>
          <w:sz w:val="24"/>
        </w:rPr>
        <w:t>(a2) The information provided under paragraph (a1) must contain  sufficient  detail for </w:t>
      </w:r>
      <w:r>
        <w:rPr>
          <w:i/>
          <w:sz w:val="24"/>
        </w:rPr>
        <w:t>AEMO </w:t>
      </w:r>
      <w:r>
        <w:rPr>
          <w:sz w:val="24"/>
        </w:rPr>
        <w:t>and the relevant </w:t>
      </w:r>
      <w:r>
        <w:rPr>
          <w:i/>
          <w:sz w:val="24"/>
        </w:rPr>
        <w:t>Network Service Provider</w:t>
      </w:r>
      <w:r>
        <w:rPr>
          <w:sz w:val="24"/>
        </w:rPr>
        <w:t>(s) to perform </w:t>
      </w:r>
      <w:r>
        <w:rPr>
          <w:i/>
          <w:sz w:val="24"/>
        </w:rPr>
        <w:t>power system </w:t>
      </w:r>
      <w:r>
        <w:rPr>
          <w:sz w:val="24"/>
        </w:rPr>
        <w:t>simulation studies in accordance with the requirements and circumstances specified in the </w:t>
      </w:r>
      <w:r>
        <w:rPr>
          <w:i/>
          <w:sz w:val="24"/>
        </w:rPr>
        <w:t>Power System Model</w:t>
      </w:r>
      <w:r>
        <w:rPr>
          <w:i/>
          <w:spacing w:val="-6"/>
          <w:sz w:val="24"/>
        </w:rPr>
        <w:t> </w:t>
      </w:r>
      <w:r>
        <w:rPr>
          <w:i/>
          <w:sz w:val="24"/>
        </w:rPr>
        <w:t>Guidelines</w:t>
      </w:r>
      <w:r>
        <w:rPr>
          <w:sz w:val="24"/>
        </w:rPr>
        <w:t>.</w:t>
      </w:r>
    </w:p>
    <w:p>
      <w:pPr>
        <w:spacing w:before="120"/>
        <w:ind w:left="1919" w:right="415" w:hanging="567"/>
        <w:jc w:val="both"/>
        <w:rPr>
          <w:sz w:val="24"/>
        </w:rPr>
      </w:pPr>
      <w:r>
        <w:rPr>
          <w:sz w:val="24"/>
        </w:rPr>
        <w:t>(a3) Notwithstanding paragraph (a1), </w:t>
      </w:r>
      <w:r>
        <w:rPr>
          <w:i/>
          <w:sz w:val="24"/>
        </w:rPr>
        <w:t>AEMO </w:t>
      </w:r>
      <w:r>
        <w:rPr>
          <w:sz w:val="24"/>
        </w:rPr>
        <w:t>may exempt a </w:t>
      </w:r>
      <w:r>
        <w:rPr>
          <w:i/>
          <w:sz w:val="24"/>
        </w:rPr>
        <w:t>Network User </w:t>
      </w:r>
      <w:r>
        <w:rPr>
          <w:sz w:val="24"/>
        </w:rPr>
        <w:t>or  class of </w:t>
      </w:r>
      <w:r>
        <w:rPr>
          <w:i/>
          <w:sz w:val="24"/>
        </w:rPr>
        <w:t>Network Users </w:t>
      </w:r>
      <w:r>
        <w:rPr>
          <w:sz w:val="24"/>
        </w:rPr>
        <w:t>from the requirement to provide some or all of the information specified in paragraph (a1), and must do so in accordance with the circumstances set out in the </w:t>
      </w:r>
      <w:r>
        <w:rPr>
          <w:i/>
          <w:sz w:val="24"/>
        </w:rPr>
        <w:t>Power System Model</w:t>
      </w:r>
      <w:r>
        <w:rPr>
          <w:i/>
          <w:spacing w:val="-7"/>
          <w:sz w:val="24"/>
        </w:rPr>
        <w:t> </w:t>
      </w:r>
      <w:r>
        <w:rPr>
          <w:i/>
          <w:sz w:val="24"/>
        </w:rPr>
        <w:t>Guidelines</w:t>
      </w:r>
      <w:r>
        <w:rPr>
          <w:sz w:val="24"/>
        </w:rPr>
        <w:t>.</w:t>
      </w:r>
    </w:p>
    <w:p>
      <w:pPr>
        <w:spacing w:before="120"/>
        <w:ind w:left="1919" w:right="415" w:hanging="567"/>
        <w:jc w:val="both"/>
        <w:rPr>
          <w:sz w:val="24"/>
        </w:rPr>
      </w:pPr>
      <w:r>
        <w:rPr>
          <w:sz w:val="24"/>
        </w:rPr>
        <w:t>(a4) All information provided to </w:t>
      </w:r>
      <w:r>
        <w:rPr>
          <w:i/>
          <w:sz w:val="24"/>
        </w:rPr>
        <w:t>AEMO </w:t>
      </w:r>
      <w:r>
        <w:rPr>
          <w:sz w:val="24"/>
        </w:rPr>
        <w:t>and the relevant </w:t>
      </w:r>
      <w:r>
        <w:rPr>
          <w:i/>
          <w:sz w:val="24"/>
        </w:rPr>
        <w:t>Network Service </w:t>
      </w:r>
      <w:r>
        <w:rPr>
          <w:i/>
          <w:sz w:val="24"/>
        </w:rPr>
        <w:t>Provider</w:t>
      </w:r>
      <w:r>
        <w:rPr>
          <w:sz w:val="24"/>
        </w:rPr>
        <w:t>(s) under paragraph (a1) or pursuant to paragraph (a3) must be treated as </w:t>
      </w:r>
      <w:r>
        <w:rPr>
          <w:i/>
          <w:sz w:val="24"/>
        </w:rPr>
        <w:t>confidential information </w:t>
      </w:r>
      <w:r>
        <w:rPr>
          <w:sz w:val="24"/>
        </w:rPr>
        <w:t>by those recipients.</w:t>
      </w:r>
    </w:p>
    <w:p>
      <w:pPr>
        <w:pStyle w:val="ListParagraph"/>
        <w:numPr>
          <w:ilvl w:val="0"/>
          <w:numId w:val="308"/>
        </w:numPr>
        <w:tabs>
          <w:tab w:pos="1919" w:val="left" w:leader="none"/>
        </w:tabs>
        <w:spacing w:line="240" w:lineRule="auto" w:before="120" w:after="0"/>
        <w:ind w:left="1919" w:right="415" w:hanging="567"/>
        <w:jc w:val="both"/>
        <w:rPr>
          <w:sz w:val="24"/>
        </w:rPr>
      </w:pPr>
      <w:r>
        <w:rPr>
          <w:sz w:val="24"/>
        </w:rPr>
        <w:t>For the purposes of clause 5.3.2(f) of the </w:t>
      </w:r>
      <w:r>
        <w:rPr>
          <w:i/>
          <w:sz w:val="24"/>
        </w:rPr>
        <w:t>Rules</w:t>
      </w:r>
      <w:r>
        <w:rPr>
          <w:sz w:val="24"/>
        </w:rPr>
        <w:t>, the technical information that a </w:t>
      </w:r>
      <w:r>
        <w:rPr>
          <w:i/>
          <w:sz w:val="24"/>
        </w:rPr>
        <w:t>Network Service Provider </w:t>
      </w:r>
      <w:r>
        <w:rPr>
          <w:sz w:val="24"/>
        </w:rPr>
        <w:t>must, if requested, provide to a </w:t>
      </w:r>
      <w:r>
        <w:rPr>
          <w:i/>
          <w:sz w:val="24"/>
        </w:rPr>
        <w:t>Connection </w:t>
      </w:r>
      <w:r>
        <w:rPr>
          <w:i/>
          <w:sz w:val="24"/>
        </w:rPr>
        <w:t>Applicant </w:t>
      </w:r>
      <w:r>
        <w:rPr>
          <w:sz w:val="24"/>
        </w:rPr>
        <w:t>in respect of the proposed </w:t>
      </w:r>
      <w:r>
        <w:rPr>
          <w:i/>
          <w:sz w:val="24"/>
        </w:rPr>
        <w:t>connection</w:t>
      </w:r>
      <w:r>
        <w:rPr>
          <w:i/>
          <w:spacing w:val="-1"/>
          <w:sz w:val="24"/>
        </w:rPr>
        <w:t> </w:t>
      </w:r>
      <w:r>
        <w:rPr>
          <w:sz w:val="24"/>
        </w:rPr>
        <w:t>includes:</w:t>
      </w:r>
    </w:p>
    <w:p>
      <w:pPr>
        <w:pStyle w:val="ListParagraph"/>
        <w:numPr>
          <w:ilvl w:val="1"/>
          <w:numId w:val="308"/>
        </w:numPr>
        <w:tabs>
          <w:tab w:pos="2486" w:val="left" w:leader="none"/>
        </w:tabs>
        <w:spacing w:line="240" w:lineRule="auto" w:before="120" w:after="0"/>
        <w:ind w:left="2485" w:right="0" w:hanging="567"/>
        <w:jc w:val="both"/>
        <w:rPr>
          <w:sz w:val="24"/>
        </w:rPr>
      </w:pPr>
      <w:r>
        <w:rPr>
          <w:sz w:val="24"/>
        </w:rPr>
        <w:t>the</w:t>
      </w:r>
      <w:r>
        <w:rPr>
          <w:spacing w:val="30"/>
          <w:sz w:val="24"/>
        </w:rPr>
        <w:t> </w:t>
      </w:r>
      <w:r>
        <w:rPr>
          <w:sz w:val="24"/>
        </w:rPr>
        <w:t>highest</w:t>
      </w:r>
      <w:r>
        <w:rPr>
          <w:spacing w:val="30"/>
          <w:sz w:val="24"/>
        </w:rPr>
        <w:t> </w:t>
      </w:r>
      <w:r>
        <w:rPr>
          <w:sz w:val="24"/>
        </w:rPr>
        <w:t>expected</w:t>
      </w:r>
      <w:r>
        <w:rPr>
          <w:spacing w:val="31"/>
          <w:sz w:val="24"/>
        </w:rPr>
        <w:t> </w:t>
      </w:r>
      <w:r>
        <w:rPr>
          <w:sz w:val="24"/>
        </w:rPr>
        <w:t>single</w:t>
      </w:r>
      <w:r>
        <w:rPr>
          <w:spacing w:val="30"/>
          <w:sz w:val="24"/>
        </w:rPr>
        <w:t> </w:t>
      </w:r>
      <w:r>
        <w:rPr>
          <w:sz w:val="24"/>
        </w:rPr>
        <w:t>phase</w:t>
      </w:r>
      <w:r>
        <w:rPr>
          <w:spacing w:val="31"/>
          <w:sz w:val="24"/>
        </w:rPr>
        <w:t> </w:t>
      </w:r>
      <w:r>
        <w:rPr>
          <w:sz w:val="24"/>
        </w:rPr>
        <w:t>and</w:t>
      </w:r>
      <w:r>
        <w:rPr>
          <w:spacing w:val="30"/>
          <w:sz w:val="24"/>
        </w:rPr>
        <w:t> </w:t>
      </w:r>
      <w:r>
        <w:rPr>
          <w:sz w:val="24"/>
        </w:rPr>
        <w:t>three</w:t>
      </w:r>
      <w:r>
        <w:rPr>
          <w:spacing w:val="31"/>
          <w:sz w:val="24"/>
        </w:rPr>
        <w:t> </w:t>
      </w:r>
      <w:r>
        <w:rPr>
          <w:sz w:val="24"/>
        </w:rPr>
        <w:t>phase</w:t>
      </w:r>
      <w:r>
        <w:rPr>
          <w:spacing w:val="30"/>
          <w:sz w:val="24"/>
        </w:rPr>
        <w:t> </w:t>
      </w:r>
      <w:r>
        <w:rPr>
          <w:sz w:val="24"/>
        </w:rPr>
        <w:t>fault</w:t>
      </w:r>
      <w:r>
        <w:rPr>
          <w:spacing w:val="31"/>
          <w:sz w:val="24"/>
        </w:rPr>
        <w:t> </w:t>
      </w:r>
      <w:r>
        <w:rPr>
          <w:sz w:val="24"/>
        </w:rPr>
        <w:t>levels</w:t>
      </w:r>
      <w:r>
        <w:rPr>
          <w:spacing w:val="30"/>
          <w:sz w:val="24"/>
        </w:rPr>
        <w:t> </w:t>
      </w:r>
      <w:r>
        <w:rPr>
          <w:sz w:val="24"/>
        </w:rPr>
        <w:t>at</w:t>
      </w:r>
      <w:r>
        <w:rPr>
          <w:spacing w:val="31"/>
          <w:sz w:val="24"/>
        </w:rPr>
        <w:t> </w:t>
      </w:r>
      <w:r>
        <w:rPr>
          <w:sz w:val="24"/>
        </w:rPr>
        <w:t>the</w:t>
      </w:r>
    </w:p>
    <w:p>
      <w:pPr>
        <w:spacing w:before="0"/>
        <w:ind w:left="2486" w:right="0" w:firstLine="0"/>
        <w:jc w:val="both"/>
        <w:rPr>
          <w:sz w:val="24"/>
        </w:rPr>
      </w:pPr>
      <w:r>
        <w:rPr>
          <w:i/>
          <w:sz w:val="24"/>
        </w:rPr>
        <w:t>connection point </w:t>
      </w:r>
      <w:r>
        <w:rPr>
          <w:sz w:val="24"/>
        </w:rPr>
        <w:t>without the proposed </w:t>
      </w:r>
      <w:r>
        <w:rPr>
          <w:i/>
          <w:sz w:val="24"/>
        </w:rPr>
        <w:t>connection</w:t>
      </w:r>
      <w:r>
        <w:rPr>
          <w:sz w:val="24"/>
        </w:rPr>
        <w:t>;</w:t>
      </w:r>
    </w:p>
    <w:p>
      <w:pPr>
        <w:pStyle w:val="ListParagraph"/>
        <w:numPr>
          <w:ilvl w:val="1"/>
          <w:numId w:val="308"/>
        </w:numPr>
        <w:tabs>
          <w:tab w:pos="2486" w:val="left" w:leader="none"/>
        </w:tabs>
        <w:spacing w:line="240" w:lineRule="auto" w:before="120" w:after="0"/>
        <w:ind w:left="2486" w:right="415" w:hanging="567"/>
        <w:jc w:val="both"/>
        <w:rPr>
          <w:sz w:val="24"/>
        </w:rPr>
      </w:pPr>
      <w:r>
        <w:rPr>
          <w:sz w:val="24"/>
        </w:rPr>
        <w:t>the clearing times of the existing </w:t>
      </w:r>
      <w:r>
        <w:rPr>
          <w:i/>
          <w:sz w:val="24"/>
        </w:rPr>
        <w:t>protection systems </w:t>
      </w:r>
      <w:r>
        <w:rPr>
          <w:sz w:val="24"/>
        </w:rPr>
        <w:t>that would clear a fault at the location at which the new </w:t>
      </w:r>
      <w:r>
        <w:rPr>
          <w:i/>
          <w:sz w:val="24"/>
        </w:rPr>
        <w:t>connection </w:t>
      </w:r>
      <w:r>
        <w:rPr>
          <w:sz w:val="24"/>
        </w:rPr>
        <w:t>would be connected into the existing </w:t>
      </w:r>
      <w:r>
        <w:rPr>
          <w:i/>
          <w:sz w:val="24"/>
        </w:rPr>
        <w:t>transmission system </w:t>
      </w:r>
      <w:r>
        <w:rPr>
          <w:sz w:val="24"/>
        </w:rPr>
        <w:t>or </w:t>
      </w:r>
      <w:r>
        <w:rPr>
          <w:i/>
          <w:sz w:val="24"/>
        </w:rPr>
        <w:t>distribution</w:t>
      </w:r>
      <w:r>
        <w:rPr>
          <w:i/>
          <w:spacing w:val="-5"/>
          <w:sz w:val="24"/>
        </w:rPr>
        <w:t> </w:t>
      </w:r>
      <w:r>
        <w:rPr>
          <w:i/>
          <w:sz w:val="24"/>
        </w:rPr>
        <w:t>system</w:t>
      </w:r>
      <w:r>
        <w:rPr>
          <w:sz w:val="24"/>
        </w:rPr>
        <w:t>;</w:t>
      </w:r>
    </w:p>
    <w:p>
      <w:pPr>
        <w:pStyle w:val="ListParagraph"/>
        <w:numPr>
          <w:ilvl w:val="1"/>
          <w:numId w:val="308"/>
        </w:numPr>
        <w:tabs>
          <w:tab w:pos="2486" w:val="left" w:leader="none"/>
        </w:tabs>
        <w:spacing w:line="240" w:lineRule="auto" w:before="120" w:after="0"/>
        <w:ind w:left="2486" w:right="415" w:hanging="567"/>
        <w:jc w:val="both"/>
        <w:rPr>
          <w:sz w:val="24"/>
        </w:rPr>
      </w:pPr>
      <w:r>
        <w:rPr>
          <w:sz w:val="24"/>
        </w:rPr>
        <w:t>the expected limits of </w:t>
      </w:r>
      <w:r>
        <w:rPr>
          <w:i/>
          <w:sz w:val="24"/>
        </w:rPr>
        <w:t>voltage </w:t>
      </w:r>
      <w:r>
        <w:rPr>
          <w:sz w:val="24"/>
        </w:rPr>
        <w:t>fluctuation, harmonic </w:t>
      </w:r>
      <w:r>
        <w:rPr>
          <w:i/>
          <w:sz w:val="24"/>
        </w:rPr>
        <w:t>voltage </w:t>
      </w:r>
      <w:r>
        <w:rPr>
          <w:sz w:val="24"/>
        </w:rPr>
        <w:t>distortion and </w:t>
      </w:r>
      <w:r>
        <w:rPr>
          <w:i/>
          <w:sz w:val="24"/>
        </w:rPr>
        <w:t>voltage </w:t>
      </w:r>
      <w:r>
        <w:rPr>
          <w:sz w:val="24"/>
        </w:rPr>
        <w:t>unbalance at the </w:t>
      </w:r>
      <w:r>
        <w:rPr>
          <w:i/>
          <w:sz w:val="24"/>
        </w:rPr>
        <w:t>connection point </w:t>
      </w:r>
      <w:r>
        <w:rPr>
          <w:sz w:val="24"/>
        </w:rPr>
        <w:t>without the proposed </w:t>
      </w:r>
      <w:r>
        <w:rPr>
          <w:i/>
          <w:sz w:val="24"/>
        </w:rPr>
        <w:t>connection</w:t>
      </w:r>
      <w:r>
        <w:rPr>
          <w:sz w:val="24"/>
        </w:rPr>
        <w:t>;</w:t>
      </w:r>
    </w:p>
    <w:p>
      <w:pPr>
        <w:pStyle w:val="ListParagraph"/>
        <w:numPr>
          <w:ilvl w:val="1"/>
          <w:numId w:val="308"/>
        </w:numPr>
        <w:tabs>
          <w:tab w:pos="2486" w:val="left" w:leader="none"/>
        </w:tabs>
        <w:spacing w:line="240" w:lineRule="auto" w:before="120" w:after="0"/>
        <w:ind w:left="2486" w:right="415" w:hanging="567"/>
        <w:jc w:val="both"/>
        <w:rPr>
          <w:sz w:val="24"/>
        </w:rPr>
      </w:pPr>
      <w:r>
        <w:rPr>
          <w:sz w:val="24"/>
        </w:rPr>
        <w:t>technical information relevant to the </w:t>
      </w:r>
      <w:r>
        <w:rPr>
          <w:i/>
          <w:sz w:val="24"/>
        </w:rPr>
        <w:t>connection point </w:t>
      </w:r>
      <w:r>
        <w:rPr>
          <w:sz w:val="24"/>
        </w:rPr>
        <w:t>without the proposed </w:t>
      </w:r>
      <w:r>
        <w:rPr>
          <w:i/>
          <w:sz w:val="24"/>
        </w:rPr>
        <w:t>connection </w:t>
      </w:r>
      <w:r>
        <w:rPr>
          <w:sz w:val="24"/>
        </w:rPr>
        <w:t>including equivalent source impedance information, sufficient to estimate fault levels, </w:t>
      </w:r>
      <w:r>
        <w:rPr>
          <w:i/>
          <w:sz w:val="24"/>
        </w:rPr>
        <w:t>voltage </w:t>
      </w:r>
      <w:r>
        <w:rPr>
          <w:sz w:val="24"/>
        </w:rPr>
        <w:t>fluctuations, harmonic </w:t>
      </w:r>
      <w:r>
        <w:rPr>
          <w:i/>
          <w:sz w:val="24"/>
        </w:rPr>
        <w:t>voltage </w:t>
      </w:r>
      <w:r>
        <w:rPr>
          <w:sz w:val="24"/>
        </w:rPr>
        <w:t>distortion and </w:t>
      </w:r>
      <w:r>
        <w:rPr>
          <w:i/>
          <w:sz w:val="24"/>
        </w:rPr>
        <w:t>voltage </w:t>
      </w:r>
      <w:r>
        <w:rPr>
          <w:sz w:val="24"/>
        </w:rPr>
        <w:t>unbalance;</w:t>
      </w:r>
      <w:r>
        <w:rPr>
          <w:spacing w:val="-4"/>
          <w:sz w:val="24"/>
        </w:rPr>
        <w:t> </w:t>
      </w:r>
      <w:r>
        <w:rPr>
          <w:sz w:val="24"/>
        </w:rPr>
        <w:t>and</w:t>
      </w:r>
    </w:p>
    <w:p>
      <w:pPr>
        <w:pStyle w:val="ListParagraph"/>
        <w:numPr>
          <w:ilvl w:val="1"/>
          <w:numId w:val="308"/>
        </w:numPr>
        <w:tabs>
          <w:tab w:pos="2486" w:val="left" w:leader="none"/>
        </w:tabs>
        <w:spacing w:line="240" w:lineRule="auto" w:before="120" w:after="0"/>
        <w:ind w:left="2486" w:right="415" w:hanging="567"/>
        <w:jc w:val="both"/>
        <w:rPr>
          <w:sz w:val="24"/>
        </w:rPr>
      </w:pPr>
      <w:r>
        <w:rPr>
          <w:sz w:val="24"/>
        </w:rPr>
        <w:t>any other information or data not being </w:t>
      </w:r>
      <w:r>
        <w:rPr>
          <w:i/>
          <w:sz w:val="24"/>
        </w:rPr>
        <w:t>confidential information </w:t>
      </w:r>
      <w:r>
        <w:rPr>
          <w:sz w:val="24"/>
        </w:rPr>
        <w:t>relating to the performance of the </w:t>
      </w:r>
      <w:r>
        <w:rPr>
          <w:i/>
          <w:sz w:val="24"/>
        </w:rPr>
        <w:t>Network Service Provider's </w:t>
      </w:r>
      <w:r>
        <w:rPr>
          <w:i/>
          <w:spacing w:val="-3"/>
          <w:sz w:val="24"/>
        </w:rPr>
        <w:t>facilities </w:t>
      </w:r>
      <w:r>
        <w:rPr>
          <w:sz w:val="24"/>
        </w:rPr>
        <w:t>that is reasonably necessary for the </w:t>
      </w:r>
      <w:r>
        <w:rPr>
          <w:i/>
          <w:sz w:val="24"/>
        </w:rPr>
        <w:t>Connection Applicant </w:t>
      </w:r>
      <w:r>
        <w:rPr>
          <w:sz w:val="24"/>
        </w:rPr>
        <w:t>to prepare an </w:t>
      </w:r>
      <w:r>
        <w:rPr>
          <w:i/>
          <w:sz w:val="24"/>
        </w:rPr>
        <w:t>application to</w:t>
      </w:r>
      <w:r>
        <w:rPr>
          <w:i/>
          <w:spacing w:val="-1"/>
          <w:sz w:val="24"/>
        </w:rPr>
        <w:t> </w:t>
      </w:r>
      <w:r>
        <w:rPr>
          <w:i/>
          <w:sz w:val="24"/>
        </w:rPr>
        <w:t>connect</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413" w:firstLine="0"/>
        <w:jc w:val="both"/>
        <w:rPr>
          <w:sz w:val="24"/>
        </w:rPr>
      </w:pPr>
      <w:r>
        <w:rPr>
          <w:sz w:val="24"/>
        </w:rPr>
        <w:t>except where the </w:t>
      </w:r>
      <w:r>
        <w:rPr>
          <w:i/>
          <w:sz w:val="24"/>
        </w:rPr>
        <w:t>Connection Applicant </w:t>
      </w:r>
      <w:r>
        <w:rPr>
          <w:sz w:val="24"/>
        </w:rPr>
        <w:t>agrees the </w:t>
      </w:r>
      <w:r>
        <w:rPr>
          <w:i/>
          <w:sz w:val="24"/>
        </w:rPr>
        <w:t>Network Service Provider </w:t>
      </w:r>
      <w:r>
        <w:rPr>
          <w:sz w:val="24"/>
        </w:rPr>
        <w:t>may provide alternative or less detailed technical information in satisfaction of this clause S5.3.1.(b).</w:t>
      </w:r>
    </w:p>
    <w:p>
      <w:pPr>
        <w:pStyle w:val="BodyText"/>
        <w:spacing w:before="10"/>
        <w:ind w:firstLine="0"/>
        <w:jc w:val="left"/>
        <w:rPr>
          <w:sz w:val="20"/>
        </w:rPr>
      </w:pPr>
    </w:p>
    <w:p>
      <w:pPr>
        <w:pStyle w:val="Heading4"/>
        <w:tabs>
          <w:tab w:pos="1351" w:val="left" w:leader="none"/>
        </w:tabs>
        <w:ind w:left="218" w:firstLine="0"/>
      </w:pPr>
      <w:bookmarkStart w:name="S5.3.2 Design standards" w:id="1014"/>
      <w:bookmarkEnd w:id="1014"/>
      <w:r>
        <w:rPr>
          <w:b w:val="0"/>
        </w:rPr>
      </w:r>
      <w:bookmarkStart w:name="_bookmark399" w:id="1015"/>
      <w:bookmarkEnd w:id="1015"/>
      <w:r>
        <w:rPr>
          <w:b w:val="0"/>
        </w:rPr>
      </w:r>
      <w:r>
        <w:rPr/>
        <w:t>S5.3.2</w:t>
        <w:tab/>
        <w:t>Design</w:t>
      </w:r>
      <w:r>
        <w:rPr>
          <w:spacing w:val="-2"/>
        </w:rPr>
        <w:t> </w:t>
      </w:r>
      <w:r>
        <w:rPr/>
        <w:t>standards</w:t>
      </w:r>
    </w:p>
    <w:p>
      <w:pPr>
        <w:spacing w:before="120"/>
        <w:ind w:left="1352" w:right="0" w:firstLine="0"/>
        <w:jc w:val="both"/>
        <w:rPr>
          <w:sz w:val="24"/>
        </w:rPr>
      </w:pPr>
      <w:r>
        <w:rPr>
          <w:sz w:val="24"/>
        </w:rPr>
        <w:t>A </w:t>
      </w:r>
      <w:r>
        <w:rPr>
          <w:i/>
          <w:sz w:val="24"/>
        </w:rPr>
        <w:t>Network User </w:t>
      </w:r>
      <w:r>
        <w:rPr>
          <w:sz w:val="24"/>
        </w:rPr>
        <w:t>must ensure that:</w:t>
      </w:r>
    </w:p>
    <w:p>
      <w:pPr>
        <w:pStyle w:val="ListParagraph"/>
        <w:numPr>
          <w:ilvl w:val="0"/>
          <w:numId w:val="310"/>
        </w:numPr>
        <w:tabs>
          <w:tab w:pos="1919" w:val="left" w:leader="none"/>
        </w:tabs>
        <w:spacing w:line="240" w:lineRule="auto" w:before="120" w:after="0"/>
        <w:ind w:left="1919" w:right="415" w:hanging="567"/>
        <w:jc w:val="both"/>
        <w:rPr>
          <w:sz w:val="24"/>
        </w:rPr>
      </w:pPr>
      <w:r>
        <w:rPr>
          <w:sz w:val="24"/>
        </w:rPr>
        <w:t>the electrical </w:t>
      </w:r>
      <w:r>
        <w:rPr>
          <w:i/>
          <w:sz w:val="24"/>
        </w:rPr>
        <w:t>plant </w:t>
      </w:r>
      <w:r>
        <w:rPr>
          <w:sz w:val="24"/>
        </w:rPr>
        <w:t>in its </w:t>
      </w:r>
      <w:r>
        <w:rPr>
          <w:i/>
          <w:sz w:val="24"/>
        </w:rPr>
        <w:t>facility </w:t>
      </w:r>
      <w:r>
        <w:rPr>
          <w:sz w:val="24"/>
        </w:rPr>
        <w:t>complies with the relevant </w:t>
      </w:r>
      <w:r>
        <w:rPr>
          <w:i/>
          <w:sz w:val="24"/>
        </w:rPr>
        <w:t>Australian </w:t>
      </w:r>
      <w:r>
        <w:rPr>
          <w:i/>
          <w:sz w:val="24"/>
        </w:rPr>
        <w:t>Standards </w:t>
      </w:r>
      <w:r>
        <w:rPr>
          <w:sz w:val="24"/>
        </w:rPr>
        <w:t>as applicable at the time of first installation of that electrical </w:t>
      </w:r>
      <w:r>
        <w:rPr>
          <w:i/>
          <w:sz w:val="24"/>
        </w:rPr>
        <w:t>plant </w:t>
      </w:r>
      <w:r>
        <w:rPr>
          <w:sz w:val="24"/>
        </w:rPr>
        <w:t>in the</w:t>
      </w:r>
      <w:r>
        <w:rPr>
          <w:spacing w:val="-1"/>
          <w:sz w:val="24"/>
        </w:rPr>
        <w:t> </w:t>
      </w:r>
      <w:r>
        <w:rPr>
          <w:i/>
          <w:sz w:val="24"/>
        </w:rPr>
        <w:t>facility</w:t>
      </w:r>
      <w:r>
        <w:rPr>
          <w:sz w:val="24"/>
        </w:rPr>
        <w:t>;</w:t>
      </w:r>
    </w:p>
    <w:p>
      <w:pPr>
        <w:pStyle w:val="ListParagraph"/>
        <w:numPr>
          <w:ilvl w:val="0"/>
          <w:numId w:val="310"/>
        </w:numPr>
        <w:tabs>
          <w:tab w:pos="1919" w:val="left" w:leader="none"/>
        </w:tabs>
        <w:spacing w:line="240" w:lineRule="auto" w:before="120" w:after="0"/>
        <w:ind w:left="1919" w:right="415" w:hanging="567"/>
        <w:jc w:val="both"/>
        <w:rPr>
          <w:sz w:val="24"/>
        </w:rPr>
      </w:pPr>
      <w:r>
        <w:rPr>
          <w:sz w:val="24"/>
        </w:rPr>
        <w:t>circuit breakers provided to isolate the </w:t>
      </w:r>
      <w:r>
        <w:rPr>
          <w:i/>
          <w:sz w:val="24"/>
        </w:rPr>
        <w:t>Network User's facilities </w:t>
      </w:r>
      <w:r>
        <w:rPr>
          <w:sz w:val="24"/>
        </w:rPr>
        <w:t>from the </w:t>
      </w:r>
      <w:r>
        <w:rPr>
          <w:i/>
          <w:sz w:val="24"/>
        </w:rPr>
        <w:t>Network Service Provider's facilities </w:t>
      </w:r>
      <w:r>
        <w:rPr>
          <w:sz w:val="24"/>
        </w:rPr>
        <w:t>are capable of breaking, without damage or restrike, fault currents nominated by the </w:t>
      </w:r>
      <w:r>
        <w:rPr>
          <w:i/>
          <w:sz w:val="24"/>
        </w:rPr>
        <w:t>Network Service </w:t>
      </w:r>
      <w:r>
        <w:rPr>
          <w:i/>
          <w:sz w:val="24"/>
        </w:rPr>
        <w:t>Provider </w:t>
      </w:r>
      <w:r>
        <w:rPr>
          <w:sz w:val="24"/>
        </w:rPr>
        <w:t>in the relevant </w:t>
      </w:r>
      <w:r>
        <w:rPr>
          <w:i/>
          <w:sz w:val="24"/>
        </w:rPr>
        <w:t>connection agreement</w:t>
      </w:r>
      <w:r>
        <w:rPr>
          <w:sz w:val="24"/>
        </w:rPr>
        <w:t>;</w:t>
      </w:r>
      <w:r>
        <w:rPr>
          <w:spacing w:val="-2"/>
          <w:sz w:val="24"/>
        </w:rPr>
        <w:t> </w:t>
      </w:r>
      <w:r>
        <w:rPr>
          <w:sz w:val="24"/>
        </w:rPr>
        <w:t>and</w:t>
      </w:r>
    </w:p>
    <w:p>
      <w:pPr>
        <w:pStyle w:val="ListParagraph"/>
        <w:numPr>
          <w:ilvl w:val="0"/>
          <w:numId w:val="310"/>
        </w:numPr>
        <w:tabs>
          <w:tab w:pos="1919" w:val="left" w:leader="none"/>
        </w:tabs>
        <w:spacing w:line="240" w:lineRule="auto" w:before="120" w:after="0"/>
        <w:ind w:left="1919" w:right="415" w:hanging="567"/>
        <w:jc w:val="both"/>
        <w:rPr>
          <w:sz w:val="24"/>
        </w:rPr>
      </w:pPr>
      <w:r>
        <w:rPr>
          <w:sz w:val="24"/>
        </w:rPr>
        <w:t>new equipment including circuit breakers provided to isolate the </w:t>
      </w:r>
      <w:r>
        <w:rPr>
          <w:i/>
          <w:sz w:val="24"/>
        </w:rPr>
        <w:t>Network </w:t>
      </w:r>
      <w:r>
        <w:rPr>
          <w:i/>
          <w:sz w:val="24"/>
        </w:rPr>
        <w:t>User's facilities </w:t>
      </w:r>
      <w:r>
        <w:rPr>
          <w:sz w:val="24"/>
        </w:rPr>
        <w:t>from the </w:t>
      </w:r>
      <w:r>
        <w:rPr>
          <w:i/>
          <w:sz w:val="24"/>
        </w:rPr>
        <w:t>Network Service Provider's facilities </w:t>
      </w:r>
      <w:r>
        <w:rPr>
          <w:sz w:val="24"/>
        </w:rPr>
        <w:t>is capable of withstanding, without damage, power </w:t>
      </w:r>
      <w:r>
        <w:rPr>
          <w:i/>
          <w:sz w:val="24"/>
        </w:rPr>
        <w:t>frequency voltages </w:t>
      </w:r>
      <w:r>
        <w:rPr>
          <w:sz w:val="24"/>
        </w:rPr>
        <w:t>and impulse levels nominated by the </w:t>
      </w:r>
      <w:r>
        <w:rPr>
          <w:i/>
          <w:sz w:val="24"/>
        </w:rPr>
        <w:t>Network Service Provider </w:t>
      </w:r>
      <w:r>
        <w:rPr>
          <w:sz w:val="24"/>
        </w:rPr>
        <w:t>to apply at the </w:t>
      </w:r>
      <w:r>
        <w:rPr>
          <w:i/>
          <w:sz w:val="24"/>
        </w:rPr>
        <w:t>connection point </w:t>
      </w:r>
      <w:r>
        <w:rPr>
          <w:sz w:val="24"/>
        </w:rPr>
        <w:t>in accordance with the relevant provisions of the </w:t>
      </w:r>
      <w:r>
        <w:rPr>
          <w:i/>
          <w:sz w:val="24"/>
        </w:rPr>
        <w:t>system standards</w:t>
      </w:r>
      <w:r>
        <w:rPr>
          <w:i/>
          <w:spacing w:val="27"/>
          <w:sz w:val="24"/>
        </w:rPr>
        <w:t> </w:t>
      </w:r>
      <w:r>
        <w:rPr>
          <w:sz w:val="24"/>
        </w:rPr>
        <w:t>and recorded in the relevant </w:t>
      </w:r>
      <w:r>
        <w:rPr>
          <w:i/>
          <w:sz w:val="24"/>
        </w:rPr>
        <w:t>connection</w:t>
      </w:r>
      <w:r>
        <w:rPr>
          <w:i/>
          <w:spacing w:val="-2"/>
          <w:sz w:val="24"/>
        </w:rPr>
        <w:t> </w:t>
      </w:r>
      <w:r>
        <w:rPr>
          <w:i/>
          <w:sz w:val="24"/>
        </w:rPr>
        <w:t>agreement</w:t>
      </w:r>
      <w:r>
        <w:rPr>
          <w:sz w:val="24"/>
        </w:rPr>
        <w:t>.</w:t>
      </w:r>
    </w:p>
    <w:p>
      <w:pPr>
        <w:pStyle w:val="BodyText"/>
        <w:spacing w:before="10"/>
        <w:ind w:firstLine="0"/>
        <w:jc w:val="left"/>
        <w:rPr>
          <w:sz w:val="20"/>
        </w:rPr>
      </w:pPr>
    </w:p>
    <w:p>
      <w:pPr>
        <w:pStyle w:val="Heading4"/>
        <w:tabs>
          <w:tab w:pos="1351" w:val="left" w:leader="none"/>
        </w:tabs>
        <w:ind w:left="218" w:firstLine="0"/>
      </w:pPr>
      <w:bookmarkStart w:name="S5.3.3 Protection systems and settings" w:id="1016"/>
      <w:bookmarkEnd w:id="1016"/>
      <w:r>
        <w:rPr>
          <w:b w:val="0"/>
        </w:rPr>
      </w:r>
      <w:bookmarkStart w:name="_bookmark400" w:id="1017"/>
      <w:bookmarkEnd w:id="1017"/>
      <w:r>
        <w:rPr>
          <w:b w:val="0"/>
        </w:rPr>
      </w:r>
      <w:r>
        <w:rPr/>
        <w:t>S5.3.3</w:t>
        <w:tab/>
        <w:t>Protection systems and</w:t>
      </w:r>
      <w:r>
        <w:rPr>
          <w:spacing w:val="-1"/>
        </w:rPr>
        <w:t> </w:t>
      </w:r>
      <w:r>
        <w:rPr/>
        <w:t>settings</w:t>
      </w:r>
    </w:p>
    <w:p>
      <w:pPr>
        <w:spacing w:before="120"/>
        <w:ind w:left="1352" w:right="414" w:firstLine="0"/>
        <w:jc w:val="both"/>
        <w:rPr>
          <w:sz w:val="24"/>
        </w:rPr>
      </w:pPr>
      <w:r>
        <w:rPr>
          <w:sz w:val="24"/>
        </w:rPr>
        <w:t>A </w:t>
      </w:r>
      <w:r>
        <w:rPr>
          <w:i/>
          <w:sz w:val="24"/>
        </w:rPr>
        <w:t>Network User </w:t>
      </w:r>
      <w:r>
        <w:rPr>
          <w:sz w:val="24"/>
        </w:rPr>
        <w:t>must ensure that all </w:t>
      </w:r>
      <w:r>
        <w:rPr>
          <w:i/>
          <w:sz w:val="24"/>
        </w:rPr>
        <w:t>connections </w:t>
      </w:r>
      <w:r>
        <w:rPr>
          <w:sz w:val="24"/>
        </w:rPr>
        <w:t>to the </w:t>
      </w:r>
      <w:r>
        <w:rPr>
          <w:i/>
          <w:sz w:val="24"/>
        </w:rPr>
        <w:t>network </w:t>
      </w:r>
      <w:r>
        <w:rPr>
          <w:sz w:val="24"/>
        </w:rPr>
        <w:t>are protected by protection devices which effectively and safely </w:t>
      </w:r>
      <w:r>
        <w:rPr>
          <w:i/>
          <w:sz w:val="24"/>
        </w:rPr>
        <w:t>disconnect </w:t>
      </w:r>
      <w:r>
        <w:rPr>
          <w:sz w:val="24"/>
        </w:rPr>
        <w:t>any faulty circuit automatically within a time period specified by the </w:t>
      </w:r>
      <w:r>
        <w:rPr>
          <w:i/>
          <w:sz w:val="24"/>
        </w:rPr>
        <w:t>Network Service Provider </w:t>
      </w:r>
      <w:r>
        <w:rPr>
          <w:sz w:val="24"/>
        </w:rPr>
        <w:t>in accordance with the following provisions:</w:t>
      </w:r>
    </w:p>
    <w:p>
      <w:pPr>
        <w:pStyle w:val="ListParagraph"/>
        <w:numPr>
          <w:ilvl w:val="0"/>
          <w:numId w:val="311"/>
        </w:numPr>
        <w:tabs>
          <w:tab w:pos="1919" w:val="left" w:leader="none"/>
        </w:tabs>
        <w:spacing w:line="240" w:lineRule="auto" w:before="120" w:after="0"/>
        <w:ind w:left="1918" w:right="0" w:hanging="567"/>
        <w:jc w:val="both"/>
        <w:rPr>
          <w:sz w:val="24"/>
        </w:rPr>
      </w:pPr>
      <w:r>
        <w:rPr>
          <w:sz w:val="24"/>
        </w:rPr>
        <w:t>The </w:t>
      </w:r>
      <w:r>
        <w:rPr>
          <w:i/>
          <w:sz w:val="24"/>
        </w:rPr>
        <w:t>automatic access standard</w:t>
      </w:r>
      <w:r>
        <w:rPr>
          <w:i/>
          <w:spacing w:val="-1"/>
          <w:sz w:val="24"/>
        </w:rPr>
        <w:t> </w:t>
      </w:r>
      <w:r>
        <w:rPr>
          <w:sz w:val="24"/>
        </w:rPr>
        <w:t>is:</w:t>
      </w:r>
    </w:p>
    <w:p>
      <w:pPr>
        <w:pStyle w:val="ListParagraph"/>
        <w:numPr>
          <w:ilvl w:val="1"/>
          <w:numId w:val="311"/>
        </w:numPr>
        <w:tabs>
          <w:tab w:pos="2486" w:val="left" w:leader="none"/>
        </w:tabs>
        <w:spacing w:line="240" w:lineRule="auto" w:before="120" w:after="0"/>
        <w:ind w:left="2486" w:right="415" w:hanging="567"/>
        <w:jc w:val="both"/>
        <w:rPr>
          <w:sz w:val="24"/>
        </w:rPr>
      </w:pPr>
      <w:r>
        <w:rPr>
          <w:sz w:val="24"/>
        </w:rPr>
        <w:t>Primary </w:t>
      </w:r>
      <w:r>
        <w:rPr>
          <w:i/>
          <w:sz w:val="24"/>
        </w:rPr>
        <w:t>protection systems </w:t>
      </w:r>
      <w:r>
        <w:rPr>
          <w:sz w:val="24"/>
        </w:rPr>
        <w:t>must be provided to </w:t>
      </w:r>
      <w:r>
        <w:rPr>
          <w:i/>
          <w:sz w:val="24"/>
        </w:rPr>
        <w:t>disconnect </w:t>
      </w:r>
      <w:r>
        <w:rPr>
          <w:sz w:val="24"/>
        </w:rPr>
        <w:t>any  faulted element from the </w:t>
      </w:r>
      <w:r>
        <w:rPr>
          <w:i/>
          <w:sz w:val="24"/>
        </w:rPr>
        <w:t>power system </w:t>
      </w:r>
      <w:r>
        <w:rPr>
          <w:sz w:val="24"/>
        </w:rPr>
        <w:t>within the applicable </w:t>
      </w:r>
      <w:r>
        <w:rPr>
          <w:i/>
          <w:sz w:val="24"/>
        </w:rPr>
        <w:t>fault </w:t>
      </w:r>
      <w:r>
        <w:rPr>
          <w:i/>
          <w:sz w:val="24"/>
        </w:rPr>
        <w:t>clearance time </w:t>
      </w:r>
      <w:r>
        <w:rPr>
          <w:sz w:val="24"/>
        </w:rPr>
        <w:t>determined under clause S5.1.9(a)(1), but subject to clauses S5.1.9(k) and</w:t>
      </w:r>
      <w:r>
        <w:rPr>
          <w:spacing w:val="-2"/>
          <w:sz w:val="24"/>
        </w:rPr>
        <w:t> </w:t>
      </w:r>
      <w:r>
        <w:rPr>
          <w:sz w:val="24"/>
        </w:rPr>
        <w:t>S5.1.9(l).</w:t>
      </w:r>
    </w:p>
    <w:p>
      <w:pPr>
        <w:pStyle w:val="ListParagraph"/>
        <w:numPr>
          <w:ilvl w:val="1"/>
          <w:numId w:val="311"/>
        </w:numPr>
        <w:tabs>
          <w:tab w:pos="2486" w:val="left" w:leader="none"/>
        </w:tabs>
        <w:spacing w:line="240" w:lineRule="auto" w:before="120" w:after="0"/>
        <w:ind w:left="2486" w:right="415" w:hanging="567"/>
        <w:jc w:val="both"/>
        <w:rPr>
          <w:sz w:val="24"/>
        </w:rPr>
      </w:pPr>
      <w:r>
        <w:rPr>
          <w:sz w:val="24"/>
        </w:rPr>
        <w:t>Each primary </w:t>
      </w:r>
      <w:r>
        <w:rPr>
          <w:i/>
          <w:sz w:val="24"/>
        </w:rPr>
        <w:t>protection system </w:t>
      </w:r>
      <w:r>
        <w:rPr>
          <w:sz w:val="24"/>
        </w:rPr>
        <w:t>must have sufficient redundancy to ensure that a faulted element within its protection zone is </w:t>
      </w:r>
      <w:r>
        <w:rPr>
          <w:i/>
          <w:sz w:val="24"/>
        </w:rPr>
        <w:t>disconnected </w:t>
      </w:r>
      <w:r>
        <w:rPr>
          <w:sz w:val="24"/>
        </w:rPr>
        <w:t>from the </w:t>
      </w:r>
      <w:r>
        <w:rPr>
          <w:i/>
          <w:sz w:val="24"/>
        </w:rPr>
        <w:t>power system </w:t>
      </w:r>
      <w:r>
        <w:rPr>
          <w:sz w:val="24"/>
        </w:rPr>
        <w:t>within the applicable </w:t>
      </w:r>
      <w:r>
        <w:rPr>
          <w:i/>
          <w:sz w:val="24"/>
        </w:rPr>
        <w:t>fault clearance time </w:t>
      </w:r>
      <w:r>
        <w:rPr>
          <w:sz w:val="24"/>
        </w:rPr>
        <w:t>with any single protection element (including any communications facility upon which that </w:t>
      </w:r>
      <w:r>
        <w:rPr>
          <w:i/>
          <w:sz w:val="24"/>
        </w:rPr>
        <w:t>protection system </w:t>
      </w:r>
      <w:r>
        <w:rPr>
          <w:sz w:val="24"/>
        </w:rPr>
        <w:t>depends) out of</w:t>
      </w:r>
      <w:r>
        <w:rPr>
          <w:spacing w:val="-10"/>
          <w:sz w:val="24"/>
        </w:rPr>
        <w:t> </w:t>
      </w:r>
      <w:r>
        <w:rPr>
          <w:sz w:val="24"/>
        </w:rPr>
        <w:t>service.</w:t>
      </w:r>
    </w:p>
    <w:p>
      <w:pPr>
        <w:pStyle w:val="ListParagraph"/>
        <w:numPr>
          <w:ilvl w:val="1"/>
          <w:numId w:val="311"/>
        </w:numPr>
        <w:tabs>
          <w:tab w:pos="2486" w:val="left" w:leader="none"/>
        </w:tabs>
        <w:spacing w:line="240" w:lineRule="auto" w:before="120" w:after="0"/>
        <w:ind w:left="2486" w:right="415" w:hanging="567"/>
        <w:jc w:val="both"/>
        <w:rPr>
          <w:sz w:val="24"/>
        </w:rPr>
      </w:pPr>
      <w:r>
        <w:rPr>
          <w:i/>
          <w:sz w:val="24"/>
        </w:rPr>
        <w:t>Breaker fail protection systems </w:t>
      </w:r>
      <w:r>
        <w:rPr>
          <w:sz w:val="24"/>
        </w:rPr>
        <w:t>must be provided to clear faults that are not cleared by the circuit breakers controlled by the primary </w:t>
      </w:r>
      <w:r>
        <w:rPr>
          <w:i/>
          <w:sz w:val="24"/>
        </w:rPr>
        <w:t>protection system</w:t>
      </w:r>
      <w:r>
        <w:rPr>
          <w:sz w:val="24"/>
        </w:rPr>
        <w:t>, within the applicable </w:t>
      </w:r>
      <w:r>
        <w:rPr>
          <w:i/>
          <w:sz w:val="24"/>
        </w:rPr>
        <w:t>fault clearance time </w:t>
      </w:r>
      <w:r>
        <w:rPr>
          <w:sz w:val="24"/>
        </w:rPr>
        <w:t>determined under clause</w:t>
      </w:r>
      <w:r>
        <w:rPr>
          <w:spacing w:val="-2"/>
          <w:sz w:val="24"/>
        </w:rPr>
        <w:t> </w:t>
      </w:r>
      <w:r>
        <w:rPr>
          <w:sz w:val="24"/>
        </w:rPr>
        <w:t>S5.1.9(a)(1).</w:t>
      </w:r>
    </w:p>
    <w:p>
      <w:pPr>
        <w:pStyle w:val="ListParagraph"/>
        <w:numPr>
          <w:ilvl w:val="0"/>
          <w:numId w:val="311"/>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311"/>
        </w:numPr>
        <w:tabs>
          <w:tab w:pos="2486" w:val="left" w:leader="none"/>
        </w:tabs>
        <w:spacing w:line="240" w:lineRule="auto" w:before="120" w:after="0"/>
        <w:ind w:left="2486" w:right="414" w:hanging="567"/>
        <w:jc w:val="both"/>
        <w:rPr>
          <w:sz w:val="24"/>
        </w:rPr>
      </w:pPr>
      <w:r>
        <w:rPr>
          <w:sz w:val="24"/>
        </w:rPr>
        <w:t>Primary </w:t>
      </w:r>
      <w:r>
        <w:rPr>
          <w:i/>
          <w:sz w:val="24"/>
        </w:rPr>
        <w:t>protection systems </w:t>
      </w:r>
      <w:r>
        <w:rPr>
          <w:sz w:val="24"/>
        </w:rPr>
        <w:t>must be provided to </w:t>
      </w:r>
      <w:r>
        <w:rPr>
          <w:i/>
          <w:sz w:val="24"/>
        </w:rPr>
        <w:t>disconnect </w:t>
      </w:r>
      <w:r>
        <w:rPr>
          <w:sz w:val="24"/>
        </w:rPr>
        <w:t>from the </w:t>
      </w:r>
      <w:r>
        <w:rPr>
          <w:i/>
          <w:sz w:val="24"/>
        </w:rPr>
        <w:t>power system </w:t>
      </w:r>
      <w:r>
        <w:rPr>
          <w:sz w:val="24"/>
        </w:rPr>
        <w:t>any faulted element within their respective protection zones within the applicable </w:t>
      </w:r>
      <w:r>
        <w:rPr>
          <w:i/>
          <w:sz w:val="24"/>
        </w:rPr>
        <w:t>fault clearance time </w:t>
      </w:r>
      <w:r>
        <w:rPr>
          <w:sz w:val="24"/>
        </w:rPr>
        <w:t>determined</w:t>
      </w:r>
      <w:r>
        <w:rPr>
          <w:spacing w:val="31"/>
          <w:sz w:val="24"/>
        </w:rPr>
        <w:t> </w:t>
      </w:r>
      <w:r>
        <w:rPr>
          <w:sz w:val="24"/>
        </w:rPr>
        <w:t>under clause S5.1.9(a)(2), but subject to clauses S5.1.9(k) and</w:t>
      </w:r>
      <w:r>
        <w:rPr>
          <w:spacing w:val="-22"/>
          <w:sz w:val="24"/>
        </w:rPr>
        <w:t> </w:t>
      </w:r>
      <w:r>
        <w:rPr>
          <w:sz w:val="24"/>
        </w:rPr>
        <w:t>S5.1.9(l).</w:t>
      </w:r>
    </w:p>
    <w:p>
      <w:pPr>
        <w:spacing w:after="0" w:line="240" w:lineRule="auto"/>
        <w:jc w:val="both"/>
        <w:rPr>
          <w:sz w:val="24"/>
        </w:rPr>
        <w:sectPr>
          <w:pgSz w:w="11910" w:h="16840"/>
          <w:pgMar w:header="686" w:footer="637" w:top="1320" w:bottom="820" w:left="1200" w:right="1000"/>
        </w:sectPr>
      </w:pPr>
    </w:p>
    <w:p>
      <w:pPr>
        <w:pStyle w:val="ListParagraph"/>
        <w:numPr>
          <w:ilvl w:val="1"/>
          <w:numId w:val="311"/>
        </w:numPr>
        <w:tabs>
          <w:tab w:pos="2486" w:val="left" w:leader="none"/>
        </w:tabs>
        <w:spacing w:line="240" w:lineRule="auto" w:before="83" w:after="0"/>
        <w:ind w:left="2486" w:right="415" w:hanging="567"/>
        <w:jc w:val="both"/>
        <w:rPr>
          <w:sz w:val="24"/>
        </w:rPr>
      </w:pPr>
      <w:r>
        <w:rPr>
          <w:sz w:val="24"/>
        </w:rPr>
        <w:t>If a </w:t>
      </w:r>
      <w:r>
        <w:rPr>
          <w:i/>
          <w:sz w:val="24"/>
        </w:rPr>
        <w:t>fault clearance time </w:t>
      </w:r>
      <w:r>
        <w:rPr>
          <w:sz w:val="24"/>
        </w:rPr>
        <w:t>determined under clause S5.1.9(a)(2) for a protection zone is less than 10 seconds, a </w:t>
      </w:r>
      <w:r>
        <w:rPr>
          <w:i/>
          <w:sz w:val="24"/>
        </w:rPr>
        <w:t>breaker fail protection </w:t>
      </w:r>
      <w:r>
        <w:rPr>
          <w:i/>
          <w:sz w:val="24"/>
        </w:rPr>
        <w:t>system </w:t>
      </w:r>
      <w:r>
        <w:rPr>
          <w:sz w:val="24"/>
        </w:rPr>
        <w:t>must be provided to clear from the </w:t>
      </w:r>
      <w:r>
        <w:rPr>
          <w:i/>
          <w:sz w:val="24"/>
        </w:rPr>
        <w:t>power system </w:t>
      </w:r>
      <w:r>
        <w:rPr>
          <w:sz w:val="24"/>
        </w:rPr>
        <w:t>any fault within that protection zone that is not cleared by the circuit breakers controlled by the primary </w:t>
      </w:r>
      <w:r>
        <w:rPr>
          <w:i/>
          <w:sz w:val="24"/>
        </w:rPr>
        <w:t>protection system</w:t>
      </w:r>
      <w:r>
        <w:rPr>
          <w:sz w:val="24"/>
        </w:rPr>
        <w:t>, within the applicable </w:t>
      </w:r>
      <w:r>
        <w:rPr>
          <w:i/>
          <w:sz w:val="24"/>
        </w:rPr>
        <w:t>fault clearance time </w:t>
      </w:r>
      <w:r>
        <w:rPr>
          <w:sz w:val="24"/>
        </w:rPr>
        <w:t>determined under clause</w:t>
      </w:r>
      <w:r>
        <w:rPr>
          <w:spacing w:val="-5"/>
          <w:sz w:val="24"/>
        </w:rPr>
        <w:t> </w:t>
      </w:r>
      <w:r>
        <w:rPr>
          <w:sz w:val="24"/>
        </w:rPr>
        <w:t>S5.1.9(a)(3).</w:t>
      </w:r>
    </w:p>
    <w:p>
      <w:pPr>
        <w:pStyle w:val="ListParagraph"/>
        <w:numPr>
          <w:ilvl w:val="0"/>
          <w:numId w:val="311"/>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and the </w:t>
      </w:r>
      <w:r>
        <w:rPr>
          <w:i/>
          <w:sz w:val="24"/>
        </w:rPr>
        <w:t>Network User </w:t>
      </w:r>
      <w:r>
        <w:rPr>
          <w:sz w:val="24"/>
        </w:rPr>
        <w:t>must cooperate in the design and implementation of </w:t>
      </w:r>
      <w:r>
        <w:rPr>
          <w:i/>
          <w:sz w:val="24"/>
        </w:rPr>
        <w:t>protection systems </w:t>
      </w:r>
      <w:r>
        <w:rPr>
          <w:sz w:val="24"/>
        </w:rPr>
        <w:t>to comply with this clause, including cooperation with regard</w:t>
      </w:r>
      <w:r>
        <w:rPr>
          <w:spacing w:val="-1"/>
          <w:sz w:val="24"/>
        </w:rPr>
        <w:t> </w:t>
      </w:r>
      <w:r>
        <w:rPr>
          <w:sz w:val="24"/>
        </w:rPr>
        <w:t>to:</w:t>
      </w:r>
    </w:p>
    <w:p>
      <w:pPr>
        <w:pStyle w:val="ListParagraph"/>
        <w:numPr>
          <w:ilvl w:val="1"/>
          <w:numId w:val="311"/>
        </w:numPr>
        <w:tabs>
          <w:tab w:pos="2486" w:val="left" w:leader="none"/>
        </w:tabs>
        <w:spacing w:line="240" w:lineRule="auto" w:before="120" w:after="0"/>
        <w:ind w:left="2486" w:right="414" w:hanging="567"/>
        <w:jc w:val="both"/>
        <w:rPr>
          <w:sz w:val="24"/>
        </w:rPr>
      </w:pPr>
      <w:r>
        <w:rPr>
          <w:sz w:val="24"/>
        </w:rPr>
        <w:t>the use of </w:t>
      </w:r>
      <w:r>
        <w:rPr>
          <w:i/>
          <w:sz w:val="24"/>
        </w:rPr>
        <w:t>current transformer </w:t>
      </w:r>
      <w:r>
        <w:rPr>
          <w:sz w:val="24"/>
        </w:rPr>
        <w:t>and </w:t>
      </w:r>
      <w:r>
        <w:rPr>
          <w:i/>
          <w:sz w:val="24"/>
        </w:rPr>
        <w:t>voltage transformer </w:t>
      </w:r>
      <w:r>
        <w:rPr>
          <w:sz w:val="24"/>
        </w:rPr>
        <w:t>secondary circuits (or equivalent) of one party by the </w:t>
      </w:r>
      <w:r>
        <w:rPr>
          <w:i/>
          <w:sz w:val="24"/>
        </w:rPr>
        <w:t>protection system </w:t>
      </w:r>
      <w:r>
        <w:rPr>
          <w:sz w:val="24"/>
        </w:rPr>
        <w:t>of the other;</w:t>
      </w:r>
    </w:p>
    <w:p>
      <w:pPr>
        <w:pStyle w:val="ListParagraph"/>
        <w:numPr>
          <w:ilvl w:val="1"/>
          <w:numId w:val="311"/>
        </w:numPr>
        <w:tabs>
          <w:tab w:pos="2486" w:val="left" w:leader="none"/>
        </w:tabs>
        <w:spacing w:line="240" w:lineRule="auto" w:before="120" w:after="0"/>
        <w:ind w:left="2486" w:right="415" w:hanging="567"/>
        <w:jc w:val="both"/>
        <w:rPr>
          <w:sz w:val="24"/>
        </w:rPr>
      </w:pPr>
      <w:r>
        <w:rPr>
          <w:sz w:val="24"/>
        </w:rPr>
        <w:t>tripping of one party's circuit breakers by a </w:t>
      </w:r>
      <w:r>
        <w:rPr>
          <w:i/>
          <w:sz w:val="24"/>
        </w:rPr>
        <w:t>protection system </w:t>
      </w:r>
      <w:r>
        <w:rPr>
          <w:sz w:val="24"/>
        </w:rPr>
        <w:t>of the other party;</w:t>
      </w:r>
      <w:r>
        <w:rPr>
          <w:spacing w:val="-1"/>
          <w:sz w:val="24"/>
        </w:rPr>
        <w:t> </w:t>
      </w:r>
      <w:r>
        <w:rPr>
          <w:sz w:val="24"/>
        </w:rPr>
        <w:t>and</w:t>
      </w:r>
    </w:p>
    <w:p>
      <w:pPr>
        <w:pStyle w:val="ListParagraph"/>
        <w:numPr>
          <w:ilvl w:val="1"/>
          <w:numId w:val="311"/>
        </w:numPr>
        <w:tabs>
          <w:tab w:pos="2486" w:val="left" w:leader="none"/>
        </w:tabs>
        <w:spacing w:line="240" w:lineRule="auto" w:before="120" w:after="0"/>
        <w:ind w:left="2485" w:right="0" w:hanging="567"/>
        <w:jc w:val="both"/>
        <w:rPr>
          <w:sz w:val="24"/>
        </w:rPr>
      </w:pPr>
      <w:r>
        <w:rPr>
          <w:sz w:val="24"/>
        </w:rPr>
        <w:t>co-ordination of </w:t>
      </w:r>
      <w:r>
        <w:rPr>
          <w:i/>
          <w:sz w:val="24"/>
        </w:rPr>
        <w:t>protection system </w:t>
      </w:r>
      <w:r>
        <w:rPr>
          <w:sz w:val="24"/>
        </w:rPr>
        <w:t>settings to ensure</w:t>
      </w:r>
      <w:r>
        <w:rPr>
          <w:spacing w:val="-9"/>
          <w:sz w:val="24"/>
        </w:rPr>
        <w:t> </w:t>
      </w:r>
      <w:r>
        <w:rPr>
          <w:sz w:val="24"/>
        </w:rPr>
        <w:t>inter-operation.</w:t>
      </w:r>
    </w:p>
    <w:p>
      <w:pPr>
        <w:spacing w:before="120"/>
        <w:ind w:left="1352" w:right="415" w:firstLine="0"/>
        <w:jc w:val="both"/>
        <w:rPr>
          <w:sz w:val="24"/>
        </w:rPr>
      </w:pPr>
      <w:r>
        <w:rPr>
          <w:sz w:val="24"/>
        </w:rPr>
        <w:t>Before the </w:t>
      </w:r>
      <w:r>
        <w:rPr>
          <w:i/>
          <w:sz w:val="24"/>
        </w:rPr>
        <w:t>Network User's </w:t>
      </w:r>
      <w:r>
        <w:rPr>
          <w:sz w:val="24"/>
        </w:rPr>
        <w:t>installation is </w:t>
      </w:r>
      <w:r>
        <w:rPr>
          <w:i/>
          <w:sz w:val="24"/>
        </w:rPr>
        <w:t>connected </w:t>
      </w:r>
      <w:r>
        <w:rPr>
          <w:sz w:val="24"/>
        </w:rPr>
        <w:t>to the </w:t>
      </w:r>
      <w:r>
        <w:rPr>
          <w:i/>
          <w:sz w:val="24"/>
        </w:rPr>
        <w:t>Network Service </w:t>
      </w:r>
      <w:r>
        <w:rPr>
          <w:i/>
          <w:sz w:val="24"/>
        </w:rPr>
        <w:t>Provider's transmission or distribution system </w:t>
      </w:r>
      <w:r>
        <w:rPr>
          <w:sz w:val="24"/>
        </w:rPr>
        <w:t>the </w:t>
      </w:r>
      <w:r>
        <w:rPr>
          <w:i/>
          <w:sz w:val="24"/>
        </w:rPr>
        <w:t>Network User's protection </w:t>
      </w:r>
      <w:r>
        <w:rPr>
          <w:i/>
          <w:sz w:val="24"/>
        </w:rPr>
        <w:t>system </w:t>
      </w:r>
      <w:r>
        <w:rPr>
          <w:sz w:val="24"/>
        </w:rPr>
        <w:t>must be tested and the </w:t>
      </w:r>
      <w:r>
        <w:rPr>
          <w:i/>
          <w:sz w:val="24"/>
        </w:rPr>
        <w:t>Network User </w:t>
      </w:r>
      <w:r>
        <w:rPr>
          <w:sz w:val="24"/>
        </w:rPr>
        <w:t>must submit the appropriate test certificate to the </w:t>
      </w:r>
      <w:r>
        <w:rPr>
          <w:i/>
          <w:sz w:val="24"/>
        </w:rPr>
        <w:t>Network Service Provider</w:t>
      </w:r>
      <w:r>
        <w:rPr>
          <w:sz w:val="24"/>
        </w:rPr>
        <w:t>.</w:t>
      </w:r>
    </w:p>
    <w:p>
      <w:pPr>
        <w:pStyle w:val="BodyText"/>
        <w:ind w:left="1352" w:right="416" w:firstLine="0"/>
      </w:pPr>
      <w:r>
        <w:rPr/>
        <w:t>The application of settings of the protection scheme must be undertaken in accordance with clause S5.3.4.</w:t>
      </w:r>
    </w:p>
    <w:p>
      <w:pPr>
        <w:pStyle w:val="BodyText"/>
        <w:spacing w:before="10"/>
        <w:ind w:firstLine="0"/>
        <w:jc w:val="left"/>
        <w:rPr>
          <w:sz w:val="20"/>
        </w:rPr>
      </w:pPr>
    </w:p>
    <w:p>
      <w:pPr>
        <w:pStyle w:val="Heading4"/>
        <w:tabs>
          <w:tab w:pos="1351" w:val="left" w:leader="none"/>
        </w:tabs>
        <w:ind w:left="218" w:firstLine="0"/>
      </w:pPr>
      <w:bookmarkStart w:name="S5.3.4 Settings of protection and contro" w:id="1018"/>
      <w:bookmarkEnd w:id="1018"/>
      <w:r>
        <w:rPr>
          <w:b w:val="0"/>
        </w:rPr>
      </w:r>
      <w:bookmarkStart w:name="_bookmark401" w:id="1019"/>
      <w:bookmarkEnd w:id="1019"/>
      <w:r>
        <w:rPr>
          <w:b w:val="0"/>
        </w:rPr>
      </w:r>
      <w:r>
        <w:rPr/>
        <w:t>S5.3.4</w:t>
        <w:tab/>
        <w:t>Settings of protection and control</w:t>
      </w:r>
      <w:r>
        <w:rPr>
          <w:spacing w:val="-3"/>
        </w:rPr>
        <w:t> </w:t>
      </w:r>
      <w:r>
        <w:rPr/>
        <w:t>systems</w:t>
      </w:r>
    </w:p>
    <w:p>
      <w:pPr>
        <w:spacing w:before="120"/>
        <w:ind w:left="1352" w:right="415" w:firstLine="0"/>
        <w:jc w:val="both"/>
        <w:rPr>
          <w:sz w:val="24"/>
        </w:rPr>
      </w:pPr>
      <w:r>
        <w:rPr>
          <w:sz w:val="24"/>
        </w:rPr>
        <w:t>A </w:t>
      </w:r>
      <w:r>
        <w:rPr>
          <w:i/>
          <w:sz w:val="24"/>
        </w:rPr>
        <w:t>Network User </w:t>
      </w:r>
      <w:r>
        <w:rPr>
          <w:sz w:val="24"/>
        </w:rPr>
        <w:t>must only apply settings to a </w:t>
      </w:r>
      <w:r>
        <w:rPr>
          <w:i/>
          <w:sz w:val="24"/>
        </w:rPr>
        <w:t>control system </w:t>
      </w:r>
      <w:r>
        <w:rPr>
          <w:sz w:val="24"/>
        </w:rPr>
        <w:t>or a </w:t>
      </w:r>
      <w:r>
        <w:rPr>
          <w:i/>
          <w:sz w:val="24"/>
        </w:rPr>
        <w:t>protection </w:t>
      </w:r>
      <w:r>
        <w:rPr>
          <w:i/>
          <w:sz w:val="24"/>
        </w:rPr>
        <w:t>system </w:t>
      </w:r>
      <w:r>
        <w:rPr>
          <w:sz w:val="24"/>
        </w:rPr>
        <w:t>that are necessary to comply with performance requirements of this schedule 5.3 if the settings have been approved in writing by the </w:t>
      </w:r>
      <w:r>
        <w:rPr>
          <w:i/>
          <w:sz w:val="24"/>
        </w:rPr>
        <w:t>Network Service </w:t>
      </w:r>
      <w:r>
        <w:rPr>
          <w:i/>
          <w:sz w:val="24"/>
        </w:rPr>
        <w:t>Provider </w:t>
      </w:r>
      <w:r>
        <w:rPr>
          <w:sz w:val="24"/>
        </w:rPr>
        <w:t>and, if the requirement is  one  that  would  involve  </w:t>
      </w:r>
      <w:r>
        <w:rPr>
          <w:i/>
          <w:sz w:val="24"/>
        </w:rPr>
        <w:t>AEMO  </w:t>
      </w:r>
      <w:r>
        <w:rPr>
          <w:sz w:val="24"/>
        </w:rPr>
        <w:t>under  clause 5.3.4A(c) of the </w:t>
      </w:r>
      <w:r>
        <w:rPr>
          <w:i/>
          <w:sz w:val="24"/>
        </w:rPr>
        <w:t>Rules</w:t>
      </w:r>
      <w:r>
        <w:rPr>
          <w:sz w:val="24"/>
        </w:rPr>
        <w:t>, also by </w:t>
      </w:r>
      <w:r>
        <w:rPr>
          <w:i/>
          <w:sz w:val="24"/>
        </w:rPr>
        <w:t>AEMO</w:t>
      </w:r>
      <w:r>
        <w:rPr>
          <w:sz w:val="24"/>
        </w:rPr>
        <w:t>. A </w:t>
      </w:r>
      <w:r>
        <w:rPr>
          <w:i/>
          <w:sz w:val="24"/>
        </w:rPr>
        <w:t>Network User </w:t>
      </w:r>
      <w:r>
        <w:rPr>
          <w:sz w:val="24"/>
        </w:rPr>
        <w:t>must not allow its </w:t>
      </w:r>
      <w:r>
        <w:rPr>
          <w:i/>
          <w:sz w:val="24"/>
        </w:rPr>
        <w:t>plant </w:t>
      </w:r>
      <w:r>
        <w:rPr>
          <w:sz w:val="24"/>
        </w:rPr>
        <w:t>to take </w:t>
      </w:r>
      <w:r>
        <w:rPr>
          <w:i/>
          <w:sz w:val="24"/>
        </w:rPr>
        <w:t>supply </w:t>
      </w:r>
      <w:r>
        <w:rPr>
          <w:sz w:val="24"/>
        </w:rPr>
        <w:t>of electricity from the </w:t>
      </w:r>
      <w:r>
        <w:rPr>
          <w:i/>
          <w:sz w:val="24"/>
        </w:rPr>
        <w:t>power system </w:t>
      </w:r>
      <w:r>
        <w:rPr>
          <w:sz w:val="24"/>
        </w:rPr>
        <w:t>without such</w:t>
      </w:r>
      <w:r>
        <w:rPr>
          <w:spacing w:val="34"/>
          <w:sz w:val="24"/>
        </w:rPr>
        <w:t> </w:t>
      </w:r>
      <w:r>
        <w:rPr>
          <w:sz w:val="24"/>
        </w:rPr>
        <w:t>prior approval.</w:t>
      </w:r>
    </w:p>
    <w:p>
      <w:pPr>
        <w:spacing w:before="120"/>
        <w:ind w:left="1352" w:right="414" w:firstLine="0"/>
        <w:jc w:val="both"/>
        <w:rPr>
          <w:sz w:val="24"/>
        </w:rPr>
      </w:pPr>
      <w:r>
        <w:rPr>
          <w:sz w:val="24"/>
        </w:rPr>
        <w:t>If a </w:t>
      </w:r>
      <w:r>
        <w:rPr>
          <w:i/>
          <w:sz w:val="24"/>
        </w:rPr>
        <w:t>Network User </w:t>
      </w:r>
      <w:r>
        <w:rPr>
          <w:sz w:val="24"/>
        </w:rPr>
        <w:t>seeks approval from the </w:t>
      </w:r>
      <w:r>
        <w:rPr>
          <w:i/>
          <w:sz w:val="24"/>
        </w:rPr>
        <w:t>Network Service Provider </w:t>
      </w:r>
      <w:r>
        <w:rPr>
          <w:sz w:val="24"/>
        </w:rPr>
        <w:t>to apply or change a setting, approval must not be withheld unless the </w:t>
      </w:r>
      <w:r>
        <w:rPr>
          <w:i/>
          <w:sz w:val="24"/>
        </w:rPr>
        <w:t>Network Service </w:t>
      </w:r>
      <w:r>
        <w:rPr>
          <w:i/>
          <w:sz w:val="24"/>
        </w:rPr>
        <w:t>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the changed setting would cause the </w:t>
      </w:r>
      <w:r>
        <w:rPr>
          <w:i/>
          <w:sz w:val="24"/>
        </w:rPr>
        <w:t>plant </w:t>
      </w:r>
      <w:r>
        <w:rPr>
          <w:sz w:val="24"/>
        </w:rPr>
        <w:t>to not comply with the relevant </w:t>
      </w:r>
      <w:r>
        <w:rPr>
          <w:i/>
          <w:sz w:val="24"/>
        </w:rPr>
        <w:t>performance </w:t>
      </w:r>
      <w:r>
        <w:rPr>
          <w:i/>
          <w:sz w:val="24"/>
        </w:rPr>
        <w:t>standard </w:t>
      </w:r>
      <w:r>
        <w:rPr>
          <w:sz w:val="24"/>
        </w:rPr>
        <w:t>or cause an </w:t>
      </w:r>
      <w:r>
        <w:rPr>
          <w:i/>
          <w:sz w:val="24"/>
        </w:rPr>
        <w:t>inter-regional </w:t>
      </w:r>
      <w:r>
        <w:rPr>
          <w:sz w:val="24"/>
        </w:rPr>
        <w:t>or </w:t>
      </w:r>
      <w:r>
        <w:rPr>
          <w:i/>
          <w:sz w:val="24"/>
        </w:rPr>
        <w:t>intra-regional power transfer capability </w:t>
      </w:r>
      <w:r>
        <w:rPr>
          <w:sz w:val="24"/>
        </w:rPr>
        <w:t>to be reduced.</w:t>
      </w:r>
    </w:p>
    <w:p>
      <w:pPr>
        <w:spacing w:before="120"/>
        <w:ind w:left="1352" w:right="414" w:firstLine="0"/>
        <w:jc w:val="both"/>
        <w:rPr>
          <w:sz w:val="24"/>
        </w:rPr>
      </w:pPr>
      <w:r>
        <w:rPr>
          <w:sz w:val="24"/>
        </w:rPr>
        <w:t>If the </w:t>
      </w:r>
      <w:r>
        <w:rPr>
          <w:i/>
          <w:sz w:val="24"/>
        </w:rPr>
        <w:t>Network Service 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a setting of a </w:t>
      </w:r>
      <w:r>
        <w:rPr>
          <w:i/>
          <w:sz w:val="24"/>
        </w:rPr>
        <w:t>control system </w:t>
      </w:r>
      <w:r>
        <w:rPr>
          <w:sz w:val="24"/>
        </w:rPr>
        <w:t>or </w:t>
      </w:r>
      <w:r>
        <w:rPr>
          <w:i/>
          <w:sz w:val="24"/>
        </w:rPr>
        <w:t>protection system </w:t>
      </w:r>
      <w:r>
        <w:rPr>
          <w:sz w:val="24"/>
        </w:rPr>
        <w:t>of the </w:t>
      </w:r>
      <w:r>
        <w:rPr>
          <w:i/>
          <w:sz w:val="24"/>
        </w:rPr>
        <w:t>plant </w:t>
      </w:r>
      <w:r>
        <w:rPr>
          <w:sz w:val="24"/>
        </w:rPr>
        <w:t>needs to change to comply with the relevant </w:t>
      </w:r>
      <w:r>
        <w:rPr>
          <w:i/>
          <w:sz w:val="24"/>
        </w:rPr>
        <w:t>performance standard </w:t>
      </w:r>
      <w:r>
        <w:rPr>
          <w:sz w:val="24"/>
        </w:rPr>
        <w:t>or to maintain or restore an </w:t>
      </w:r>
      <w:r>
        <w:rPr>
          <w:i/>
          <w:sz w:val="24"/>
        </w:rPr>
        <w:t>inter- </w:t>
      </w:r>
      <w:r>
        <w:rPr>
          <w:i/>
          <w:sz w:val="24"/>
        </w:rPr>
        <w:t>regional </w:t>
      </w:r>
      <w:r>
        <w:rPr>
          <w:sz w:val="24"/>
        </w:rPr>
        <w:t>or </w:t>
      </w:r>
      <w:r>
        <w:rPr>
          <w:i/>
          <w:sz w:val="24"/>
        </w:rPr>
        <w:t>intra-regional power transfer capability</w:t>
      </w:r>
      <w:r>
        <w:rPr>
          <w:sz w:val="24"/>
        </w:rPr>
        <w:t>, the </w:t>
      </w:r>
      <w:r>
        <w:rPr>
          <w:i/>
          <w:sz w:val="24"/>
        </w:rPr>
        <w:t>Network Service </w:t>
      </w:r>
      <w:r>
        <w:rPr>
          <w:i/>
          <w:sz w:val="24"/>
        </w:rPr>
        <w:t>Provider </w:t>
      </w:r>
      <w:r>
        <w:rPr>
          <w:sz w:val="24"/>
        </w:rPr>
        <w:t>or </w:t>
      </w:r>
      <w:r>
        <w:rPr>
          <w:i/>
          <w:sz w:val="24"/>
        </w:rPr>
        <w:t>AEMO </w:t>
      </w:r>
      <w:r>
        <w:rPr>
          <w:sz w:val="24"/>
        </w:rPr>
        <w:t>(as applicable) must consult with the </w:t>
      </w:r>
      <w:r>
        <w:rPr>
          <w:i/>
          <w:sz w:val="24"/>
        </w:rPr>
        <w:t>Network User</w:t>
      </w:r>
      <w:r>
        <w:rPr>
          <w:sz w:val="24"/>
        </w:rPr>
        <w:t>, and the </w:t>
      </w:r>
      <w:r>
        <w:rPr>
          <w:i/>
          <w:sz w:val="24"/>
        </w:rPr>
        <w:t>Network Service Provider </w:t>
      </w:r>
      <w:r>
        <w:rPr>
          <w:sz w:val="24"/>
        </w:rPr>
        <w:t>may request in writing that a setting be applied in accordance with the</w:t>
      </w:r>
      <w:r>
        <w:rPr>
          <w:spacing w:val="-2"/>
          <w:sz w:val="24"/>
        </w:rPr>
        <w:t> </w:t>
      </w:r>
      <w:r>
        <w:rPr>
          <w:sz w:val="24"/>
        </w:rPr>
        <w:t>determination.</w:t>
      </w:r>
    </w:p>
    <w:p>
      <w:pPr>
        <w:spacing w:after="0"/>
        <w:jc w:val="both"/>
        <w:rPr>
          <w:sz w:val="24"/>
        </w:rPr>
        <w:sectPr>
          <w:pgSz w:w="11910" w:h="16840"/>
          <w:pgMar w:header="686" w:footer="637" w:top="1320" w:bottom="820" w:left="1200" w:right="1000"/>
        </w:sectPr>
      </w:pPr>
    </w:p>
    <w:p>
      <w:pPr>
        <w:spacing w:before="83"/>
        <w:ind w:left="1352" w:right="415" w:firstLine="0"/>
        <w:jc w:val="both"/>
        <w:rPr>
          <w:sz w:val="24"/>
        </w:rPr>
      </w:pPr>
      <w:r>
        <w:rPr>
          <w:sz w:val="24"/>
        </w:rPr>
        <w:t>The </w:t>
      </w:r>
      <w:r>
        <w:rPr>
          <w:i/>
          <w:sz w:val="24"/>
        </w:rPr>
        <w:t>Network Service Provider </w:t>
      </w:r>
      <w:r>
        <w:rPr>
          <w:sz w:val="24"/>
        </w:rPr>
        <w:t>may also request a test to verify the performance of the relevant </w:t>
      </w:r>
      <w:r>
        <w:rPr>
          <w:i/>
          <w:sz w:val="24"/>
        </w:rPr>
        <w:t>plant </w:t>
      </w:r>
      <w:r>
        <w:rPr>
          <w:sz w:val="24"/>
        </w:rPr>
        <w:t>with the new setting.</w:t>
      </w:r>
    </w:p>
    <w:p>
      <w:pPr>
        <w:spacing w:before="120"/>
        <w:ind w:left="1352" w:right="415" w:firstLine="0"/>
        <w:jc w:val="both"/>
        <w:rPr>
          <w:sz w:val="24"/>
        </w:rPr>
      </w:pPr>
      <w:r>
        <w:rPr>
          <w:sz w:val="24"/>
        </w:rPr>
        <w:t>A </w:t>
      </w:r>
      <w:r>
        <w:rPr>
          <w:i/>
          <w:sz w:val="24"/>
        </w:rPr>
        <w:t>Network User </w:t>
      </w:r>
      <w:r>
        <w:rPr>
          <w:sz w:val="24"/>
        </w:rPr>
        <w:t>who receives such a request must arrange for the notified setting to be applied as requested and for a test to be conducted as requested. After the test, the </w:t>
      </w:r>
      <w:r>
        <w:rPr>
          <w:i/>
          <w:sz w:val="24"/>
        </w:rPr>
        <w:t>Network User </w:t>
      </w:r>
      <w:r>
        <w:rPr>
          <w:sz w:val="24"/>
        </w:rPr>
        <w:t>must, on request, provide both </w:t>
      </w:r>
      <w:r>
        <w:rPr>
          <w:i/>
          <w:sz w:val="24"/>
        </w:rPr>
        <w:t>AEMO </w:t>
      </w:r>
      <w:r>
        <w:rPr>
          <w:sz w:val="24"/>
        </w:rPr>
        <w:t>and the </w:t>
      </w:r>
      <w:r>
        <w:rPr>
          <w:i/>
          <w:sz w:val="24"/>
        </w:rPr>
        <w:t>Network </w:t>
      </w:r>
      <w:r>
        <w:rPr>
          <w:i/>
          <w:sz w:val="24"/>
        </w:rPr>
        <w:t>Service Provider </w:t>
      </w:r>
      <w:r>
        <w:rPr>
          <w:sz w:val="24"/>
        </w:rPr>
        <w:t>with a report of a requested test, including evidence of its success or failure. Such a report of a test is </w:t>
      </w:r>
      <w:r>
        <w:rPr>
          <w:i/>
          <w:sz w:val="24"/>
        </w:rPr>
        <w:t>confidential</w:t>
      </w:r>
      <w:r>
        <w:rPr>
          <w:i/>
          <w:spacing w:val="-7"/>
          <w:sz w:val="24"/>
        </w:rPr>
        <w:t> </w:t>
      </w:r>
      <w:r>
        <w:rPr>
          <w:i/>
          <w:sz w:val="24"/>
        </w:rPr>
        <w:t>information</w:t>
      </w:r>
      <w:r>
        <w:rPr>
          <w:sz w:val="24"/>
        </w:rPr>
        <w:t>.</w:t>
      </w:r>
    </w:p>
    <w:p>
      <w:pPr>
        <w:spacing w:before="120"/>
        <w:ind w:left="1352" w:right="415" w:firstLine="0"/>
        <w:jc w:val="both"/>
        <w:rPr>
          <w:sz w:val="24"/>
        </w:rPr>
      </w:pPr>
      <w:r>
        <w:rPr>
          <w:sz w:val="24"/>
        </w:rPr>
        <w:t>A </w:t>
      </w:r>
      <w:r>
        <w:rPr>
          <w:i/>
          <w:sz w:val="24"/>
        </w:rPr>
        <w:t>Network User </w:t>
      </w:r>
      <w:r>
        <w:rPr>
          <w:sz w:val="24"/>
        </w:rPr>
        <w:t>must not change a setting requested by the </w:t>
      </w:r>
      <w:r>
        <w:rPr>
          <w:i/>
          <w:sz w:val="24"/>
        </w:rPr>
        <w:t>Network Service </w:t>
      </w:r>
      <w:r>
        <w:rPr>
          <w:i/>
          <w:sz w:val="24"/>
        </w:rPr>
        <w:t>Provider </w:t>
      </w:r>
      <w:r>
        <w:rPr>
          <w:sz w:val="24"/>
        </w:rPr>
        <w:t>without its prior written agreement. If the </w:t>
      </w:r>
      <w:r>
        <w:rPr>
          <w:i/>
          <w:sz w:val="24"/>
        </w:rPr>
        <w:t>Network Service Provider </w:t>
      </w:r>
      <w:r>
        <w:rPr>
          <w:sz w:val="24"/>
        </w:rPr>
        <w:t>requires a </w:t>
      </w:r>
      <w:r>
        <w:rPr>
          <w:i/>
          <w:sz w:val="24"/>
        </w:rPr>
        <w:t>Network User </w:t>
      </w:r>
      <w:r>
        <w:rPr>
          <w:sz w:val="24"/>
        </w:rPr>
        <w:t>to change a setting within 18 months of a previous request, the </w:t>
      </w:r>
      <w:r>
        <w:rPr>
          <w:i/>
          <w:sz w:val="24"/>
        </w:rPr>
        <w:t>Network Service Provider </w:t>
      </w:r>
      <w:r>
        <w:rPr>
          <w:sz w:val="24"/>
        </w:rPr>
        <w:t>must pay the </w:t>
      </w:r>
      <w:r>
        <w:rPr>
          <w:i/>
          <w:sz w:val="24"/>
        </w:rPr>
        <w:t>Network User </w:t>
      </w:r>
      <w:r>
        <w:rPr>
          <w:sz w:val="24"/>
        </w:rPr>
        <w:t>its reasonable costs of changing the setting and conducting the tests as requested.</w:t>
      </w:r>
    </w:p>
    <w:p>
      <w:pPr>
        <w:pStyle w:val="BodyText"/>
        <w:spacing w:before="10"/>
        <w:ind w:firstLine="0"/>
        <w:jc w:val="left"/>
        <w:rPr>
          <w:sz w:val="20"/>
        </w:rPr>
      </w:pPr>
    </w:p>
    <w:p>
      <w:pPr>
        <w:pStyle w:val="Heading4"/>
        <w:tabs>
          <w:tab w:pos="1351" w:val="left" w:leader="none"/>
        </w:tabs>
        <w:ind w:left="218" w:firstLine="0"/>
      </w:pPr>
      <w:bookmarkStart w:name="S5.3.5 Power factor requirements" w:id="1020"/>
      <w:bookmarkEnd w:id="1020"/>
      <w:r>
        <w:rPr>
          <w:b w:val="0"/>
        </w:rPr>
      </w:r>
      <w:bookmarkStart w:name="_bookmark402" w:id="1021"/>
      <w:bookmarkEnd w:id="1021"/>
      <w:r>
        <w:rPr>
          <w:b w:val="0"/>
        </w:rPr>
      </w:r>
      <w:r>
        <w:rPr/>
        <w:t>S5.3.5</w:t>
        <w:tab/>
        <w:t>Power factor</w:t>
      </w:r>
      <w:r>
        <w:rPr>
          <w:spacing w:val="-1"/>
        </w:rPr>
        <w:t> </w:t>
      </w:r>
      <w:r>
        <w:rPr/>
        <w:t>requirements</w:t>
      </w:r>
    </w:p>
    <w:p>
      <w:pPr>
        <w:spacing w:before="120"/>
        <w:ind w:left="1352" w:right="414" w:firstLine="0"/>
        <w:jc w:val="both"/>
        <w:rPr>
          <w:sz w:val="24"/>
        </w:rPr>
      </w:pPr>
      <w:r>
        <w:rPr>
          <w:i/>
          <w:sz w:val="24"/>
        </w:rPr>
        <w:t>Automatic access standard</w:t>
      </w:r>
      <w:r>
        <w:rPr>
          <w:sz w:val="24"/>
        </w:rPr>
        <w:t>: For </w:t>
      </w:r>
      <w:r>
        <w:rPr>
          <w:i/>
          <w:sz w:val="24"/>
        </w:rPr>
        <w:t>loads </w:t>
      </w:r>
      <w:r>
        <w:rPr>
          <w:sz w:val="24"/>
        </w:rPr>
        <w:t>equal to or greater than 30 percent of the </w:t>
      </w:r>
      <w:r>
        <w:rPr>
          <w:i/>
          <w:sz w:val="24"/>
        </w:rPr>
        <w:t>maximum demand </w:t>
      </w:r>
      <w:r>
        <w:rPr>
          <w:sz w:val="24"/>
        </w:rPr>
        <w:t>at the </w:t>
      </w:r>
      <w:r>
        <w:rPr>
          <w:i/>
          <w:sz w:val="24"/>
        </w:rPr>
        <w:t>connection point </w:t>
      </w:r>
      <w:r>
        <w:rPr>
          <w:sz w:val="24"/>
        </w:rPr>
        <w:t>the </w:t>
      </w:r>
      <w:r>
        <w:rPr>
          <w:i/>
          <w:sz w:val="24"/>
        </w:rPr>
        <w:t>power factors </w:t>
      </w:r>
      <w:r>
        <w:rPr>
          <w:sz w:val="24"/>
        </w:rPr>
        <w:t>for </w:t>
      </w:r>
      <w:r>
        <w:rPr>
          <w:i/>
          <w:sz w:val="24"/>
        </w:rPr>
        <w:t>Network Users </w:t>
      </w:r>
      <w:r>
        <w:rPr>
          <w:sz w:val="24"/>
        </w:rPr>
        <w:t>and for </w:t>
      </w:r>
      <w:r>
        <w:rPr>
          <w:i/>
          <w:sz w:val="24"/>
        </w:rPr>
        <w:t>distribution networks connected </w:t>
      </w:r>
      <w:r>
        <w:rPr>
          <w:sz w:val="24"/>
        </w:rPr>
        <w:t>to another </w:t>
      </w:r>
      <w:r>
        <w:rPr>
          <w:i/>
          <w:sz w:val="24"/>
        </w:rPr>
        <w:t>transmission network </w:t>
      </w:r>
      <w:r>
        <w:rPr>
          <w:spacing w:val="-7"/>
          <w:sz w:val="24"/>
        </w:rPr>
        <w:t>or </w:t>
      </w:r>
      <w:r>
        <w:rPr>
          <w:i/>
          <w:sz w:val="24"/>
        </w:rPr>
        <w:t>distribution network </w:t>
      </w:r>
      <w:r>
        <w:rPr>
          <w:sz w:val="24"/>
        </w:rPr>
        <w:t>are shown in Table</w:t>
      </w:r>
      <w:r>
        <w:rPr>
          <w:spacing w:val="-4"/>
          <w:sz w:val="24"/>
        </w:rPr>
        <w:t> </w:t>
      </w:r>
      <w:r>
        <w:rPr>
          <w:sz w:val="24"/>
        </w:rPr>
        <w:t>S5.3.1:</w:t>
      </w:r>
    </w:p>
    <w:p>
      <w:pPr>
        <w:spacing w:before="120"/>
        <w:ind w:left="1352" w:right="0" w:firstLine="0"/>
        <w:jc w:val="both"/>
        <w:rPr>
          <w:rFonts w:ascii="Arial"/>
          <w:b/>
          <w:sz w:val="22"/>
        </w:rPr>
      </w:pPr>
      <w:r>
        <w:rPr>
          <w:rFonts w:ascii="Arial"/>
          <w:b/>
          <w:sz w:val="22"/>
        </w:rPr>
        <w:t>Table S5.3.1</w:t>
      </w:r>
    </w:p>
    <w:p>
      <w:pPr>
        <w:pStyle w:val="BodyText"/>
        <w:spacing w:before="8"/>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68"/>
        <w:gridCol w:w="3969"/>
      </w:tblGrid>
      <w:tr>
        <w:trPr>
          <w:trHeight w:val="395" w:hRule="atLeast"/>
        </w:trPr>
        <w:tc>
          <w:tcPr>
            <w:tcW w:w="7937" w:type="dxa"/>
            <w:gridSpan w:val="2"/>
            <w:tcBorders>
              <w:right w:val="single" w:sz="4" w:space="0" w:color="000000"/>
            </w:tcBorders>
            <w:shd w:val="clear" w:color="auto" w:fill="D9D9D9"/>
          </w:tcPr>
          <w:p>
            <w:pPr>
              <w:pStyle w:val="TableParagraph"/>
              <w:spacing w:line="256" w:lineRule="exact"/>
              <w:ind w:left="2874" w:right="2859"/>
              <w:jc w:val="center"/>
              <w:rPr>
                <w:rFonts w:ascii="Arial"/>
                <w:b/>
                <w:sz w:val="24"/>
              </w:rPr>
            </w:pPr>
            <w:r>
              <w:rPr>
                <w:rFonts w:ascii="Arial"/>
                <w:b/>
                <w:sz w:val="24"/>
              </w:rPr>
              <w:t>Permissible Range</w:t>
            </w:r>
          </w:p>
        </w:tc>
      </w:tr>
      <w:tr>
        <w:trPr>
          <w:trHeight w:val="395" w:hRule="atLeast"/>
        </w:trPr>
        <w:tc>
          <w:tcPr>
            <w:tcW w:w="3968" w:type="dxa"/>
            <w:tcBorders>
              <w:bottom w:val="single" w:sz="4" w:space="0" w:color="000000"/>
              <w:right w:val="single" w:sz="4" w:space="0" w:color="000000"/>
            </w:tcBorders>
            <w:shd w:val="clear" w:color="auto" w:fill="D9D9D9"/>
          </w:tcPr>
          <w:p>
            <w:pPr>
              <w:pStyle w:val="TableParagraph"/>
              <w:spacing w:line="256" w:lineRule="exact"/>
              <w:ind w:left="543"/>
              <w:rPr>
                <w:rFonts w:ascii="Arial"/>
                <w:b/>
                <w:sz w:val="24"/>
              </w:rPr>
            </w:pPr>
            <w:r>
              <w:rPr>
                <w:rFonts w:ascii="Arial"/>
                <w:b/>
                <w:sz w:val="24"/>
              </w:rPr>
              <w:t>Supply Voltage (nominal)</w:t>
            </w:r>
          </w:p>
        </w:tc>
        <w:tc>
          <w:tcPr>
            <w:tcW w:w="396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829"/>
              <w:rPr>
                <w:rFonts w:ascii="Arial"/>
                <w:b/>
                <w:sz w:val="24"/>
              </w:rPr>
            </w:pPr>
            <w:r>
              <w:rPr>
                <w:rFonts w:ascii="Arial"/>
                <w:b/>
                <w:sz w:val="24"/>
              </w:rPr>
              <w:t>Power Factor Range</w:t>
            </w:r>
          </w:p>
        </w:tc>
      </w:tr>
      <w:tr>
        <w:trPr>
          <w:trHeight w:val="515" w:hRule="atLeast"/>
        </w:trPr>
        <w:tc>
          <w:tcPr>
            <w:tcW w:w="3968" w:type="dxa"/>
            <w:tcBorders>
              <w:top w:val="single" w:sz="4" w:space="0" w:color="000000"/>
              <w:bottom w:val="single" w:sz="4" w:space="0" w:color="000000"/>
              <w:right w:val="single" w:sz="4" w:space="0" w:color="000000"/>
            </w:tcBorders>
          </w:tcPr>
          <w:p>
            <w:pPr>
              <w:pStyle w:val="TableParagraph"/>
              <w:ind w:left="40"/>
              <w:rPr>
                <w:sz w:val="24"/>
              </w:rPr>
            </w:pPr>
            <w:r>
              <w:rPr>
                <w:sz w:val="24"/>
              </w:rPr>
              <w:t>&gt; 400 kV</w:t>
            </w:r>
          </w:p>
        </w:tc>
        <w:tc>
          <w:tcPr>
            <w:tcW w:w="3969"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0.98 lagging to unity</w:t>
            </w:r>
          </w:p>
        </w:tc>
      </w:tr>
      <w:tr>
        <w:trPr>
          <w:trHeight w:val="515" w:hRule="atLeast"/>
        </w:trPr>
        <w:tc>
          <w:tcPr>
            <w:tcW w:w="3968" w:type="dxa"/>
            <w:tcBorders>
              <w:top w:val="single" w:sz="4" w:space="0" w:color="000000"/>
              <w:bottom w:val="single" w:sz="4" w:space="0" w:color="000000"/>
              <w:right w:val="single" w:sz="4" w:space="0" w:color="000000"/>
            </w:tcBorders>
          </w:tcPr>
          <w:p>
            <w:pPr>
              <w:pStyle w:val="TableParagraph"/>
              <w:ind w:left="40"/>
              <w:rPr>
                <w:sz w:val="24"/>
              </w:rPr>
            </w:pPr>
            <w:r>
              <w:rPr>
                <w:sz w:val="24"/>
              </w:rPr>
              <w:t>250 kV - 400 kV</w:t>
            </w:r>
          </w:p>
        </w:tc>
        <w:tc>
          <w:tcPr>
            <w:tcW w:w="3969"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0.96 lagging to unity</w:t>
            </w:r>
          </w:p>
        </w:tc>
      </w:tr>
      <w:tr>
        <w:trPr>
          <w:trHeight w:val="515" w:hRule="atLeast"/>
        </w:trPr>
        <w:tc>
          <w:tcPr>
            <w:tcW w:w="3968" w:type="dxa"/>
            <w:tcBorders>
              <w:top w:val="single" w:sz="4" w:space="0" w:color="000000"/>
              <w:bottom w:val="single" w:sz="4" w:space="0" w:color="000000"/>
              <w:right w:val="single" w:sz="4" w:space="0" w:color="000000"/>
            </w:tcBorders>
          </w:tcPr>
          <w:p>
            <w:pPr>
              <w:pStyle w:val="TableParagraph"/>
              <w:ind w:left="40"/>
              <w:rPr>
                <w:sz w:val="24"/>
              </w:rPr>
            </w:pPr>
            <w:r>
              <w:rPr>
                <w:sz w:val="24"/>
              </w:rPr>
              <w:t>50 kV - 250 kV</w:t>
            </w:r>
          </w:p>
        </w:tc>
        <w:tc>
          <w:tcPr>
            <w:tcW w:w="3969"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0.95 lagging to unity</w:t>
            </w:r>
          </w:p>
        </w:tc>
      </w:tr>
      <w:tr>
        <w:trPr>
          <w:trHeight w:val="515" w:hRule="atLeast"/>
        </w:trPr>
        <w:tc>
          <w:tcPr>
            <w:tcW w:w="3968" w:type="dxa"/>
            <w:tcBorders>
              <w:top w:val="single" w:sz="4" w:space="0" w:color="000000"/>
              <w:right w:val="single" w:sz="4" w:space="0" w:color="000000"/>
            </w:tcBorders>
          </w:tcPr>
          <w:p>
            <w:pPr>
              <w:pStyle w:val="TableParagraph"/>
              <w:ind w:left="40"/>
              <w:rPr>
                <w:sz w:val="24"/>
              </w:rPr>
            </w:pPr>
            <w:r>
              <w:rPr>
                <w:sz w:val="24"/>
              </w:rPr>
              <w:t>1 kV &lt; 50 kV</w:t>
            </w:r>
          </w:p>
        </w:tc>
        <w:tc>
          <w:tcPr>
            <w:tcW w:w="3969" w:type="dxa"/>
            <w:tcBorders>
              <w:top w:val="single" w:sz="4" w:space="0" w:color="000000"/>
              <w:left w:val="single" w:sz="4" w:space="0" w:color="000000"/>
              <w:right w:val="single" w:sz="4" w:space="0" w:color="000000"/>
            </w:tcBorders>
          </w:tcPr>
          <w:p>
            <w:pPr>
              <w:pStyle w:val="TableParagraph"/>
              <w:ind w:left="44"/>
              <w:rPr>
                <w:sz w:val="24"/>
              </w:rPr>
            </w:pPr>
            <w:r>
              <w:rPr>
                <w:sz w:val="24"/>
              </w:rPr>
              <w:t>0.90 lagging to 0.90 leading</w:t>
            </w:r>
          </w:p>
        </w:tc>
      </w:tr>
    </w:tbl>
    <w:p>
      <w:pPr>
        <w:pStyle w:val="BodyText"/>
        <w:spacing w:before="5"/>
        <w:ind w:firstLine="0"/>
        <w:jc w:val="left"/>
        <w:rPr>
          <w:rFonts w:ascii="Arial"/>
          <w:b/>
          <w:sz w:val="34"/>
        </w:rPr>
      </w:pPr>
    </w:p>
    <w:p>
      <w:pPr>
        <w:spacing w:before="0"/>
        <w:ind w:left="1352" w:right="415" w:firstLine="0"/>
        <w:jc w:val="both"/>
        <w:rPr>
          <w:sz w:val="24"/>
        </w:rPr>
      </w:pPr>
      <w:r>
        <w:rPr>
          <w:sz w:val="24"/>
        </w:rPr>
        <w:t>For </w:t>
      </w:r>
      <w:r>
        <w:rPr>
          <w:i/>
          <w:sz w:val="24"/>
        </w:rPr>
        <w:t>load </w:t>
      </w:r>
      <w:r>
        <w:rPr>
          <w:sz w:val="24"/>
        </w:rPr>
        <w:t>less than 30 percent of the </w:t>
      </w:r>
      <w:r>
        <w:rPr>
          <w:i/>
          <w:sz w:val="24"/>
        </w:rPr>
        <w:t>maximum demand </w:t>
      </w:r>
      <w:r>
        <w:rPr>
          <w:sz w:val="24"/>
        </w:rPr>
        <w:t>at the </w:t>
      </w:r>
      <w:r>
        <w:rPr>
          <w:i/>
          <w:sz w:val="24"/>
        </w:rPr>
        <w:t>connection point </w:t>
      </w:r>
      <w:r>
        <w:rPr>
          <w:sz w:val="24"/>
        </w:rPr>
        <w:t>a </w:t>
      </w:r>
      <w:r>
        <w:rPr>
          <w:i/>
          <w:sz w:val="24"/>
        </w:rPr>
        <w:t>Network Service Provider </w:t>
      </w:r>
      <w:r>
        <w:rPr>
          <w:sz w:val="24"/>
        </w:rPr>
        <w:t>may accept a </w:t>
      </w:r>
      <w:r>
        <w:rPr>
          <w:i/>
          <w:sz w:val="24"/>
        </w:rPr>
        <w:t>power factor </w:t>
      </w:r>
      <w:r>
        <w:rPr>
          <w:sz w:val="24"/>
        </w:rPr>
        <w:t>outside the range stipulated in Table S5.3.1 provided this does not cause the </w:t>
      </w:r>
      <w:r>
        <w:rPr>
          <w:i/>
          <w:sz w:val="24"/>
        </w:rPr>
        <w:t>system standards </w:t>
      </w:r>
      <w:r>
        <w:rPr>
          <w:sz w:val="24"/>
        </w:rPr>
        <w:t>to be violated.</w:t>
      </w:r>
    </w:p>
    <w:p>
      <w:pPr>
        <w:spacing w:before="120"/>
        <w:ind w:left="1352" w:right="415" w:firstLine="0"/>
        <w:jc w:val="both"/>
        <w:rPr>
          <w:sz w:val="24"/>
        </w:rPr>
      </w:pPr>
      <w:r>
        <w:rPr>
          <w:i/>
          <w:sz w:val="24"/>
        </w:rPr>
        <w:t>Minimum access standard</w:t>
      </w:r>
      <w:r>
        <w:rPr>
          <w:sz w:val="24"/>
        </w:rPr>
        <w:t>: A </w:t>
      </w:r>
      <w:r>
        <w:rPr>
          <w:i/>
          <w:sz w:val="24"/>
        </w:rPr>
        <w:t>Network Service Provider </w:t>
      </w:r>
      <w:r>
        <w:rPr>
          <w:sz w:val="24"/>
        </w:rPr>
        <w:t>may permit a lower lagging or leading </w:t>
      </w:r>
      <w:r>
        <w:rPr>
          <w:i/>
          <w:sz w:val="24"/>
        </w:rPr>
        <w:t>power factor </w:t>
      </w:r>
      <w:r>
        <w:rPr>
          <w:sz w:val="24"/>
        </w:rPr>
        <w:t>where the </w:t>
      </w:r>
      <w:r>
        <w:rPr>
          <w:i/>
          <w:sz w:val="24"/>
        </w:rPr>
        <w:t>Network Service Provider </w:t>
      </w:r>
      <w:r>
        <w:rPr>
          <w:sz w:val="24"/>
        </w:rPr>
        <w:t>is advised by </w:t>
      </w:r>
      <w:r>
        <w:rPr>
          <w:i/>
          <w:sz w:val="24"/>
        </w:rPr>
        <w:t>AEMO </w:t>
      </w:r>
      <w:r>
        <w:rPr>
          <w:sz w:val="24"/>
        </w:rPr>
        <w:t>that this will not detrimentally affect </w:t>
      </w:r>
      <w:r>
        <w:rPr>
          <w:i/>
          <w:sz w:val="24"/>
        </w:rPr>
        <w:t>power system security </w:t>
      </w:r>
      <w:r>
        <w:rPr>
          <w:sz w:val="24"/>
        </w:rPr>
        <w:t>or reduce </w:t>
      </w:r>
      <w:r>
        <w:rPr>
          <w:i/>
          <w:sz w:val="24"/>
        </w:rPr>
        <w:t>intra-regional </w:t>
      </w:r>
      <w:r>
        <w:rPr>
          <w:sz w:val="24"/>
        </w:rPr>
        <w:t>or </w:t>
      </w:r>
      <w:r>
        <w:rPr>
          <w:i/>
          <w:sz w:val="24"/>
        </w:rPr>
        <w:t>inter-regional power transfer capability</w:t>
      </w:r>
      <w:r>
        <w:rPr>
          <w:sz w:val="24"/>
        </w:rPr>
        <w:t>.</w:t>
      </w:r>
    </w:p>
    <w:p>
      <w:pPr>
        <w:pStyle w:val="BodyText"/>
        <w:ind w:left="1352" w:firstLine="0"/>
        <w:jc w:val="left"/>
      </w:pPr>
      <w:r>
        <w:rPr/>
        <w:t>General:</w:t>
      </w:r>
    </w:p>
    <w:p>
      <w:pPr>
        <w:spacing w:before="120"/>
        <w:ind w:left="1352" w:right="414" w:firstLine="0"/>
        <w:jc w:val="both"/>
        <w:rPr>
          <w:i/>
          <w:sz w:val="24"/>
        </w:rPr>
      </w:pPr>
      <w:r>
        <w:rPr>
          <w:sz w:val="24"/>
        </w:rPr>
        <w:t>If the </w:t>
      </w:r>
      <w:r>
        <w:rPr>
          <w:i/>
          <w:sz w:val="24"/>
        </w:rPr>
        <w:t>power factor </w:t>
      </w:r>
      <w:r>
        <w:rPr>
          <w:sz w:val="24"/>
        </w:rPr>
        <w:t>falls outside the relevant </w:t>
      </w:r>
      <w:r>
        <w:rPr>
          <w:i/>
          <w:sz w:val="24"/>
        </w:rPr>
        <w:t>performance standard </w:t>
      </w:r>
      <w:r>
        <w:rPr>
          <w:sz w:val="24"/>
        </w:rPr>
        <w:t>over any critical loading period nominated by the </w:t>
      </w:r>
      <w:r>
        <w:rPr>
          <w:i/>
          <w:sz w:val="24"/>
        </w:rPr>
        <w:t>Network Service Provider</w:t>
      </w:r>
      <w:r>
        <w:rPr>
          <w:sz w:val="24"/>
        </w:rPr>
        <w:t>, the </w:t>
      </w:r>
      <w:r>
        <w:rPr>
          <w:i/>
          <w:sz w:val="24"/>
        </w:rPr>
        <w:t>Network </w:t>
      </w:r>
      <w:r>
        <w:rPr>
          <w:i/>
          <w:sz w:val="24"/>
        </w:rPr>
        <w:t>User </w:t>
      </w:r>
      <w:r>
        <w:rPr>
          <w:sz w:val="24"/>
        </w:rPr>
        <w:t>must, where required by the </w:t>
      </w:r>
      <w:r>
        <w:rPr>
          <w:i/>
          <w:sz w:val="24"/>
        </w:rPr>
        <w:t>Network Service Provider </w:t>
      </w:r>
      <w:r>
        <w:rPr>
          <w:sz w:val="24"/>
        </w:rPr>
        <w:t>in order to maintain satisfactory </w:t>
      </w:r>
      <w:r>
        <w:rPr>
          <w:i/>
          <w:sz w:val="24"/>
        </w:rPr>
        <w:t>voltage </w:t>
      </w:r>
      <w:r>
        <w:rPr>
          <w:sz w:val="24"/>
        </w:rPr>
        <w:t>levels at the </w:t>
      </w:r>
      <w:r>
        <w:rPr>
          <w:i/>
          <w:sz w:val="24"/>
        </w:rPr>
        <w:t>connection point </w:t>
      </w:r>
      <w:r>
        <w:rPr>
          <w:sz w:val="24"/>
        </w:rPr>
        <w:t>or to restore </w:t>
      </w:r>
      <w:r>
        <w:rPr>
          <w:i/>
          <w:sz w:val="24"/>
        </w:rPr>
        <w:t>intra-regional </w:t>
      </w:r>
      <w:r>
        <w:rPr>
          <w:sz w:val="24"/>
        </w:rPr>
        <w:t>or </w:t>
      </w:r>
      <w:r>
        <w:rPr>
          <w:i/>
          <w:sz w:val="24"/>
        </w:rPr>
        <w:t>inter-regional power transfer capability</w:t>
      </w:r>
      <w:r>
        <w:rPr>
          <w:sz w:val="24"/>
        </w:rPr>
        <w:t>, take action to ensure that the </w:t>
      </w:r>
      <w:r>
        <w:rPr>
          <w:i/>
          <w:sz w:val="24"/>
        </w:rPr>
        <w:t>power </w:t>
      </w:r>
      <w:r>
        <w:rPr>
          <w:i/>
          <w:sz w:val="24"/>
        </w:rPr>
        <w:t>factor </w:t>
      </w:r>
      <w:r>
        <w:rPr>
          <w:sz w:val="24"/>
        </w:rPr>
        <w:t>falls within range as soon as reasonably practicable. This may be achieved by installing additional </w:t>
      </w:r>
      <w:r>
        <w:rPr>
          <w:i/>
          <w:sz w:val="24"/>
        </w:rPr>
        <w:t>reactive plant </w:t>
      </w:r>
      <w:r>
        <w:rPr>
          <w:sz w:val="24"/>
        </w:rPr>
        <w:t>or reaching a commercial agreement with the</w:t>
      </w:r>
      <w:r>
        <w:rPr>
          <w:spacing w:val="15"/>
          <w:sz w:val="24"/>
        </w:rPr>
        <w:t> </w:t>
      </w:r>
      <w:r>
        <w:rPr>
          <w:i/>
          <w:sz w:val="24"/>
        </w:rPr>
        <w:t>Network</w:t>
      </w:r>
      <w:r>
        <w:rPr>
          <w:i/>
          <w:spacing w:val="16"/>
          <w:sz w:val="24"/>
        </w:rPr>
        <w:t> </w:t>
      </w:r>
      <w:r>
        <w:rPr>
          <w:i/>
          <w:sz w:val="24"/>
        </w:rPr>
        <w:t>Service</w:t>
      </w:r>
      <w:r>
        <w:rPr>
          <w:i/>
          <w:spacing w:val="16"/>
          <w:sz w:val="24"/>
        </w:rPr>
        <w:t> </w:t>
      </w:r>
      <w:r>
        <w:rPr>
          <w:i/>
          <w:sz w:val="24"/>
        </w:rPr>
        <w:t>Provider</w:t>
      </w:r>
      <w:r>
        <w:rPr>
          <w:i/>
          <w:spacing w:val="16"/>
          <w:sz w:val="24"/>
        </w:rPr>
        <w:t> </w:t>
      </w:r>
      <w:r>
        <w:rPr>
          <w:sz w:val="24"/>
        </w:rPr>
        <w:t>to</w:t>
      </w:r>
      <w:r>
        <w:rPr>
          <w:spacing w:val="16"/>
          <w:sz w:val="24"/>
        </w:rPr>
        <w:t> </w:t>
      </w:r>
      <w:r>
        <w:rPr>
          <w:sz w:val="24"/>
        </w:rPr>
        <w:t>install,</w:t>
      </w:r>
      <w:r>
        <w:rPr>
          <w:spacing w:val="16"/>
          <w:sz w:val="24"/>
        </w:rPr>
        <w:t> </w:t>
      </w:r>
      <w:r>
        <w:rPr>
          <w:sz w:val="24"/>
        </w:rPr>
        <w:t>operate</w:t>
      </w:r>
      <w:r>
        <w:rPr>
          <w:spacing w:val="16"/>
          <w:sz w:val="24"/>
        </w:rPr>
        <w:t> </w:t>
      </w:r>
      <w:r>
        <w:rPr>
          <w:sz w:val="24"/>
        </w:rPr>
        <w:t>and</w:t>
      </w:r>
      <w:r>
        <w:rPr>
          <w:spacing w:val="16"/>
          <w:sz w:val="24"/>
        </w:rPr>
        <w:t> </w:t>
      </w:r>
      <w:r>
        <w:rPr>
          <w:sz w:val="24"/>
        </w:rPr>
        <w:t>maintain</w:t>
      </w:r>
      <w:r>
        <w:rPr>
          <w:spacing w:val="16"/>
          <w:sz w:val="24"/>
        </w:rPr>
        <w:t> </w:t>
      </w:r>
      <w:r>
        <w:rPr>
          <w:sz w:val="24"/>
        </w:rPr>
        <w:t>equivalent</w:t>
      </w:r>
      <w:r>
        <w:rPr>
          <w:spacing w:val="16"/>
          <w:sz w:val="24"/>
        </w:rPr>
        <w:t> </w:t>
      </w:r>
      <w:r>
        <w:rPr>
          <w:i/>
          <w:sz w:val="24"/>
        </w:rPr>
        <w:t>reactive</w:t>
      </w:r>
    </w:p>
    <w:p>
      <w:pPr>
        <w:spacing w:after="0"/>
        <w:jc w:val="both"/>
        <w:rPr>
          <w:sz w:val="24"/>
        </w:rPr>
        <w:sectPr>
          <w:pgSz w:w="11910" w:h="16840"/>
          <w:pgMar w:header="686" w:footer="637" w:top="1320" w:bottom="820" w:left="1200" w:right="1000"/>
        </w:sectPr>
      </w:pPr>
    </w:p>
    <w:p>
      <w:pPr>
        <w:spacing w:before="83"/>
        <w:ind w:left="1352" w:right="416" w:firstLine="0"/>
        <w:jc w:val="both"/>
        <w:rPr>
          <w:sz w:val="24"/>
        </w:rPr>
      </w:pPr>
      <w:r>
        <w:rPr>
          <w:i/>
          <w:sz w:val="24"/>
        </w:rPr>
        <w:t>plant </w:t>
      </w:r>
      <w:r>
        <w:rPr>
          <w:sz w:val="24"/>
        </w:rPr>
        <w:t>as part of the </w:t>
      </w:r>
      <w:r>
        <w:rPr>
          <w:i/>
          <w:sz w:val="24"/>
        </w:rPr>
        <w:t>connection assets </w:t>
      </w:r>
      <w:r>
        <w:rPr>
          <w:sz w:val="24"/>
        </w:rPr>
        <w:t>or by alternative commercial arrangements with another party.</w:t>
      </w:r>
    </w:p>
    <w:p>
      <w:pPr>
        <w:spacing w:before="120"/>
        <w:ind w:left="1352" w:right="415" w:firstLine="0"/>
        <w:jc w:val="both"/>
        <w:rPr>
          <w:sz w:val="24"/>
        </w:rPr>
      </w:pPr>
      <w:r>
        <w:rPr>
          <w:sz w:val="24"/>
        </w:rPr>
        <w:t>A </w:t>
      </w:r>
      <w:r>
        <w:rPr>
          <w:i/>
          <w:sz w:val="24"/>
        </w:rPr>
        <w:t>Registered Participant </w:t>
      </w:r>
      <w:r>
        <w:rPr>
          <w:sz w:val="24"/>
        </w:rPr>
        <w:t>who installs </w:t>
      </w:r>
      <w:r>
        <w:rPr>
          <w:i/>
          <w:sz w:val="24"/>
        </w:rPr>
        <w:t>shunt capacitors </w:t>
      </w:r>
      <w:r>
        <w:rPr>
          <w:sz w:val="24"/>
        </w:rPr>
        <w:t>to comply with </w:t>
      </w:r>
      <w:r>
        <w:rPr>
          <w:i/>
          <w:sz w:val="24"/>
        </w:rPr>
        <w:t>power </w:t>
      </w:r>
      <w:r>
        <w:rPr>
          <w:i/>
          <w:sz w:val="24"/>
        </w:rPr>
        <w:t>factor </w:t>
      </w:r>
      <w:r>
        <w:rPr>
          <w:sz w:val="24"/>
        </w:rPr>
        <w:t>requirements must comply with the </w:t>
      </w:r>
      <w:r>
        <w:rPr>
          <w:i/>
          <w:sz w:val="24"/>
        </w:rPr>
        <w:t>Network Service Provider's </w:t>
      </w:r>
      <w:r>
        <w:rPr>
          <w:sz w:val="24"/>
        </w:rPr>
        <w:t>reasonable requirements to ensure that the design does not severely attenuate audio </w:t>
      </w:r>
      <w:r>
        <w:rPr>
          <w:i/>
          <w:sz w:val="24"/>
        </w:rPr>
        <w:t>frequency </w:t>
      </w:r>
      <w:r>
        <w:rPr>
          <w:sz w:val="24"/>
        </w:rPr>
        <w:t>signals used for </w:t>
      </w:r>
      <w:r>
        <w:rPr>
          <w:i/>
          <w:sz w:val="24"/>
        </w:rPr>
        <w:t>load </w:t>
      </w:r>
      <w:r>
        <w:rPr>
          <w:sz w:val="24"/>
        </w:rPr>
        <w:t>control or operations, or adversely impact on harmonic </w:t>
      </w:r>
      <w:r>
        <w:rPr>
          <w:i/>
          <w:sz w:val="24"/>
        </w:rPr>
        <w:t>voltage </w:t>
      </w:r>
      <w:r>
        <w:rPr>
          <w:sz w:val="24"/>
        </w:rPr>
        <w:t>levels at the </w:t>
      </w:r>
      <w:r>
        <w:rPr>
          <w:i/>
          <w:sz w:val="24"/>
        </w:rPr>
        <w:t>connection point</w:t>
      </w:r>
      <w:r>
        <w:rPr>
          <w:sz w:val="24"/>
        </w:rPr>
        <w:t>.</w:t>
      </w:r>
    </w:p>
    <w:p>
      <w:pPr>
        <w:pStyle w:val="BodyText"/>
        <w:spacing w:before="10"/>
        <w:ind w:firstLine="0"/>
        <w:jc w:val="left"/>
        <w:rPr>
          <w:sz w:val="20"/>
        </w:rPr>
      </w:pPr>
    </w:p>
    <w:p>
      <w:pPr>
        <w:pStyle w:val="Heading4"/>
        <w:tabs>
          <w:tab w:pos="1351" w:val="left" w:leader="none"/>
        </w:tabs>
        <w:ind w:left="218" w:firstLine="0"/>
      </w:pPr>
      <w:bookmarkStart w:name="S5.3.6 Balancing of load currents" w:id="1022"/>
      <w:bookmarkEnd w:id="1022"/>
      <w:r>
        <w:rPr>
          <w:b w:val="0"/>
        </w:rPr>
      </w:r>
      <w:bookmarkStart w:name="_bookmark403" w:id="1023"/>
      <w:bookmarkEnd w:id="1023"/>
      <w:r>
        <w:rPr>
          <w:b w:val="0"/>
        </w:rPr>
      </w:r>
      <w:r>
        <w:rPr/>
        <w:t>S5.3.6</w:t>
        <w:tab/>
        <w:t>Balancing of load</w:t>
      </w:r>
      <w:r>
        <w:rPr>
          <w:spacing w:val="-3"/>
        </w:rPr>
        <w:t> </w:t>
      </w:r>
      <w:r>
        <w:rPr/>
        <w:t>currents</w:t>
      </w:r>
    </w:p>
    <w:p>
      <w:pPr>
        <w:spacing w:before="120"/>
        <w:ind w:left="1352" w:right="414" w:firstLine="0"/>
        <w:jc w:val="both"/>
        <w:rPr>
          <w:sz w:val="24"/>
        </w:rPr>
      </w:pPr>
      <w:r>
        <w:rPr>
          <w:sz w:val="24"/>
        </w:rPr>
        <w:t>A </w:t>
      </w:r>
      <w:r>
        <w:rPr>
          <w:i/>
          <w:sz w:val="24"/>
        </w:rPr>
        <w:t>Network Service Provider </w:t>
      </w:r>
      <w:r>
        <w:rPr>
          <w:sz w:val="24"/>
        </w:rPr>
        <w:t>may require a </w:t>
      </w:r>
      <w:r>
        <w:rPr>
          <w:i/>
          <w:sz w:val="24"/>
        </w:rPr>
        <w:t>connected Registered Participant's </w:t>
      </w:r>
      <w:r>
        <w:rPr>
          <w:i/>
          <w:sz w:val="24"/>
        </w:rPr>
        <w:t>load </w:t>
      </w:r>
      <w:r>
        <w:rPr>
          <w:sz w:val="24"/>
        </w:rPr>
        <w:t>to be balanced across all phases in order to maintain the negative sequence </w:t>
      </w:r>
      <w:r>
        <w:rPr>
          <w:i/>
          <w:sz w:val="24"/>
        </w:rPr>
        <w:t>voltage </w:t>
      </w:r>
      <w:r>
        <w:rPr>
          <w:sz w:val="24"/>
        </w:rPr>
        <w:t>at each </w:t>
      </w:r>
      <w:r>
        <w:rPr>
          <w:i/>
          <w:sz w:val="24"/>
        </w:rPr>
        <w:t>connection point </w:t>
      </w:r>
      <w:r>
        <w:rPr>
          <w:sz w:val="24"/>
        </w:rPr>
        <w:t>at less than or equal to the limits set out  in  Table S5.1a.1 of the </w:t>
      </w:r>
      <w:r>
        <w:rPr>
          <w:i/>
          <w:sz w:val="24"/>
        </w:rPr>
        <w:t>system standards </w:t>
      </w:r>
      <w:r>
        <w:rPr>
          <w:sz w:val="24"/>
        </w:rPr>
        <w:t>for the applicable nominal </w:t>
      </w:r>
      <w:r>
        <w:rPr>
          <w:i/>
          <w:sz w:val="24"/>
        </w:rPr>
        <w:t>supply voltage </w:t>
      </w:r>
      <w:r>
        <w:rPr>
          <w:sz w:val="24"/>
        </w:rPr>
        <w:t>level.</w:t>
      </w:r>
    </w:p>
    <w:p>
      <w:pPr>
        <w:spacing w:before="120"/>
        <w:ind w:left="1352" w:right="0" w:firstLine="0"/>
        <w:jc w:val="both"/>
        <w:rPr>
          <w:sz w:val="24"/>
        </w:rPr>
      </w:pPr>
      <w:r>
        <w:rPr>
          <w:i/>
          <w:sz w:val="24"/>
        </w:rPr>
        <w:t>Automatic access standard</w:t>
      </w:r>
      <w:r>
        <w:rPr>
          <w:sz w:val="24"/>
        </w:rPr>
        <w:t>: A </w:t>
      </w:r>
      <w:r>
        <w:rPr>
          <w:i/>
          <w:sz w:val="24"/>
        </w:rPr>
        <w:t>Network User </w:t>
      </w:r>
      <w:r>
        <w:rPr>
          <w:sz w:val="24"/>
        </w:rPr>
        <w:t>must ensure that:</w:t>
      </w:r>
    </w:p>
    <w:p>
      <w:pPr>
        <w:pStyle w:val="ListParagraph"/>
        <w:numPr>
          <w:ilvl w:val="0"/>
          <w:numId w:val="312"/>
        </w:numPr>
        <w:tabs>
          <w:tab w:pos="1919" w:val="left" w:leader="none"/>
        </w:tabs>
        <w:spacing w:line="240" w:lineRule="auto" w:before="120" w:after="0"/>
        <w:ind w:left="1919" w:right="416" w:hanging="567"/>
        <w:jc w:val="both"/>
        <w:rPr>
          <w:sz w:val="24"/>
        </w:rPr>
      </w:pPr>
      <w:r>
        <w:rPr>
          <w:sz w:val="24"/>
        </w:rPr>
        <w:t>for </w:t>
      </w:r>
      <w:r>
        <w:rPr>
          <w:i/>
          <w:sz w:val="24"/>
        </w:rPr>
        <w:t>connections </w:t>
      </w:r>
      <w:r>
        <w:rPr>
          <w:sz w:val="24"/>
        </w:rPr>
        <w:t>at 30 kV or higher </w:t>
      </w:r>
      <w:r>
        <w:rPr>
          <w:i/>
          <w:sz w:val="24"/>
        </w:rPr>
        <w:t>voltage</w:t>
      </w:r>
      <w:r>
        <w:rPr>
          <w:sz w:val="24"/>
        </w:rPr>
        <w:t>, the current in any phase is not greater than 102 percent or less than 98 percent of the average of </w:t>
      </w:r>
      <w:r>
        <w:rPr>
          <w:spacing w:val="-5"/>
          <w:sz w:val="24"/>
        </w:rPr>
        <w:t>the </w:t>
      </w:r>
      <w:r>
        <w:rPr>
          <w:sz w:val="24"/>
        </w:rPr>
        <w:t>currents in the three phases;</w:t>
      </w:r>
      <w:r>
        <w:rPr>
          <w:spacing w:val="-1"/>
          <w:sz w:val="24"/>
        </w:rPr>
        <w:t> </w:t>
      </w:r>
      <w:r>
        <w:rPr>
          <w:sz w:val="24"/>
        </w:rPr>
        <w:t>and</w:t>
      </w:r>
    </w:p>
    <w:p>
      <w:pPr>
        <w:pStyle w:val="ListParagraph"/>
        <w:numPr>
          <w:ilvl w:val="0"/>
          <w:numId w:val="312"/>
        </w:numPr>
        <w:tabs>
          <w:tab w:pos="1919" w:val="left" w:leader="none"/>
        </w:tabs>
        <w:spacing w:line="240" w:lineRule="auto" w:before="120" w:after="0"/>
        <w:ind w:left="1919" w:right="414" w:hanging="567"/>
        <w:jc w:val="both"/>
        <w:rPr>
          <w:sz w:val="24"/>
        </w:rPr>
      </w:pPr>
      <w:r>
        <w:rPr>
          <w:sz w:val="24"/>
        </w:rPr>
        <w:t>for </w:t>
      </w:r>
      <w:r>
        <w:rPr>
          <w:i/>
          <w:sz w:val="24"/>
        </w:rPr>
        <w:t>connections </w:t>
      </w:r>
      <w:r>
        <w:rPr>
          <w:sz w:val="24"/>
        </w:rPr>
        <w:t>at </w:t>
      </w:r>
      <w:r>
        <w:rPr>
          <w:i/>
          <w:sz w:val="24"/>
        </w:rPr>
        <w:t>voltages </w:t>
      </w:r>
      <w:r>
        <w:rPr>
          <w:sz w:val="24"/>
        </w:rPr>
        <w:t>less than 30 kV, that the current in any phase is not greater than 105 percent or less than 95 percent of the average of the currents in the three</w:t>
      </w:r>
      <w:r>
        <w:rPr>
          <w:spacing w:val="-1"/>
          <w:sz w:val="24"/>
        </w:rPr>
        <w:t> </w:t>
      </w:r>
      <w:r>
        <w:rPr>
          <w:sz w:val="24"/>
        </w:rPr>
        <w:t>phases.</w:t>
      </w:r>
    </w:p>
    <w:p>
      <w:pPr>
        <w:spacing w:before="120"/>
        <w:ind w:left="1352" w:right="414" w:firstLine="0"/>
        <w:jc w:val="both"/>
        <w:rPr>
          <w:sz w:val="24"/>
        </w:rPr>
      </w:pPr>
      <w:r>
        <w:rPr>
          <w:i/>
          <w:sz w:val="24"/>
        </w:rPr>
        <w:t>Minimum access standard</w:t>
      </w:r>
      <w:r>
        <w:rPr>
          <w:sz w:val="24"/>
        </w:rPr>
        <w:t>: Where agreed with the relevant </w:t>
      </w:r>
      <w:r>
        <w:rPr>
          <w:i/>
          <w:sz w:val="24"/>
        </w:rPr>
        <w:t>Network Service </w:t>
      </w:r>
      <w:r>
        <w:rPr>
          <w:i/>
          <w:sz w:val="24"/>
        </w:rPr>
        <w:t>Provider </w:t>
      </w:r>
      <w:r>
        <w:rPr>
          <w:sz w:val="24"/>
        </w:rPr>
        <w:t>and subject to any specific conditions imposed, a </w:t>
      </w:r>
      <w:r>
        <w:rPr>
          <w:i/>
          <w:sz w:val="24"/>
        </w:rPr>
        <w:t>Network User </w:t>
      </w:r>
      <w:r>
        <w:rPr>
          <w:sz w:val="24"/>
        </w:rPr>
        <w:t>may cause current unbalance greater than that specified in the </w:t>
      </w:r>
      <w:r>
        <w:rPr>
          <w:i/>
          <w:sz w:val="24"/>
        </w:rPr>
        <w:t>automatic access </w:t>
      </w:r>
      <w:r>
        <w:rPr>
          <w:i/>
          <w:sz w:val="24"/>
        </w:rPr>
        <w:t>standard </w:t>
      </w:r>
      <w:r>
        <w:rPr>
          <w:sz w:val="24"/>
        </w:rPr>
        <w:t>provided the </w:t>
      </w:r>
      <w:r>
        <w:rPr>
          <w:i/>
          <w:sz w:val="24"/>
        </w:rPr>
        <w:t>Network User </w:t>
      </w:r>
      <w:r>
        <w:rPr>
          <w:sz w:val="24"/>
        </w:rPr>
        <w:t>does not cause the limits  specified  in  clause S5.1a.7 to be exceeded at any point in the</w:t>
      </w:r>
      <w:r>
        <w:rPr>
          <w:spacing w:val="-2"/>
          <w:sz w:val="24"/>
        </w:rPr>
        <w:t> </w:t>
      </w:r>
      <w:r>
        <w:rPr>
          <w:i/>
          <w:sz w:val="24"/>
        </w:rPr>
        <w:t>network</w:t>
      </w:r>
      <w:r>
        <w:rPr>
          <w:sz w:val="24"/>
        </w:rPr>
        <w:t>.</w:t>
      </w:r>
    </w:p>
    <w:p>
      <w:pPr>
        <w:pStyle w:val="BodyText"/>
        <w:ind w:left="1352" w:firstLine="0"/>
        <w:jc w:val="left"/>
      </w:pPr>
      <w:r>
        <w:rPr/>
        <w:t>General:</w:t>
      </w:r>
    </w:p>
    <w:p>
      <w:pPr>
        <w:spacing w:before="120"/>
        <w:ind w:left="1352" w:right="0" w:firstLine="0"/>
        <w:jc w:val="left"/>
        <w:rPr>
          <w:i/>
          <w:sz w:val="24"/>
        </w:rPr>
      </w:pPr>
      <w:r>
        <w:rPr>
          <w:sz w:val="24"/>
        </w:rPr>
        <w:t>The limit to </w:t>
      </w:r>
      <w:r>
        <w:rPr>
          <w:i/>
          <w:sz w:val="24"/>
        </w:rPr>
        <w:t>load </w:t>
      </w:r>
      <w:r>
        <w:rPr>
          <w:sz w:val="24"/>
        </w:rPr>
        <w:t>current unbalance must be included in the </w:t>
      </w:r>
      <w:r>
        <w:rPr>
          <w:i/>
          <w:sz w:val="24"/>
        </w:rPr>
        <w:t>connection</w:t>
      </w:r>
      <w:r>
        <w:rPr>
          <w:i/>
          <w:spacing w:val="51"/>
          <w:sz w:val="24"/>
        </w:rPr>
        <w:t> </w:t>
      </w:r>
      <w:r>
        <w:rPr>
          <w:i/>
          <w:sz w:val="24"/>
        </w:rPr>
        <w:t>agreement</w:t>
      </w:r>
    </w:p>
    <w:p>
      <w:pPr>
        <w:spacing w:before="0"/>
        <w:ind w:left="1352" w:right="0" w:firstLine="0"/>
        <w:jc w:val="left"/>
        <w:rPr>
          <w:sz w:val="24"/>
        </w:rPr>
      </w:pPr>
      <w:r>
        <w:rPr>
          <w:sz w:val="24"/>
        </w:rPr>
        <w:t>and is subject to verification of compliance by the </w:t>
      </w:r>
      <w:r>
        <w:rPr>
          <w:i/>
          <w:sz w:val="24"/>
        </w:rPr>
        <w:t>Network Service Provider</w:t>
      </w:r>
      <w:r>
        <w:rPr>
          <w:sz w:val="24"/>
        </w:rPr>
        <w:t>.</w:t>
      </w:r>
    </w:p>
    <w:p>
      <w:pPr>
        <w:spacing w:before="120"/>
        <w:ind w:left="1352" w:right="414" w:firstLine="0"/>
        <w:jc w:val="both"/>
        <w:rPr>
          <w:sz w:val="24"/>
        </w:rPr>
      </w:pPr>
      <w:r>
        <w:rPr>
          <w:sz w:val="24"/>
        </w:rPr>
        <w:t>Where these requirements cannot be met the </w:t>
      </w:r>
      <w:r>
        <w:rPr>
          <w:i/>
          <w:sz w:val="24"/>
        </w:rPr>
        <w:t>Registered Participant </w:t>
      </w:r>
      <w:r>
        <w:rPr>
          <w:sz w:val="24"/>
        </w:rPr>
        <w:t>may enter into a commercial arrangement with the </w:t>
      </w:r>
      <w:r>
        <w:rPr>
          <w:i/>
          <w:sz w:val="24"/>
        </w:rPr>
        <w:t>Network Service Provider </w:t>
      </w:r>
      <w:r>
        <w:rPr>
          <w:sz w:val="24"/>
        </w:rPr>
        <w:t>for the installation of equipment to correct the phase unbalance. Such equipment must be considered as part of the </w:t>
      </w:r>
      <w:r>
        <w:rPr>
          <w:i/>
          <w:sz w:val="24"/>
        </w:rPr>
        <w:t>connection assets </w:t>
      </w:r>
      <w:r>
        <w:rPr>
          <w:sz w:val="24"/>
        </w:rPr>
        <w:t>for the </w:t>
      </w:r>
      <w:r>
        <w:rPr>
          <w:i/>
          <w:sz w:val="24"/>
        </w:rPr>
        <w:t>Registered</w:t>
      </w:r>
      <w:r>
        <w:rPr>
          <w:i/>
          <w:spacing w:val="-3"/>
          <w:sz w:val="24"/>
        </w:rPr>
        <w:t> </w:t>
      </w:r>
      <w:r>
        <w:rPr>
          <w:i/>
          <w:sz w:val="24"/>
        </w:rPr>
        <w:t>Participant</w:t>
      </w:r>
      <w:r>
        <w:rPr>
          <w:sz w:val="24"/>
        </w:rPr>
        <w:t>.</w:t>
      </w:r>
    </w:p>
    <w:p>
      <w:pPr>
        <w:spacing w:before="120"/>
        <w:ind w:left="1352" w:right="0" w:firstLine="0"/>
        <w:jc w:val="both"/>
        <w:rPr>
          <w:i/>
          <w:sz w:val="24"/>
        </w:rPr>
      </w:pPr>
      <w:r>
        <w:rPr>
          <w:sz w:val="24"/>
        </w:rPr>
        <w:t>The limit to </w:t>
      </w:r>
      <w:r>
        <w:rPr>
          <w:i/>
          <w:sz w:val="24"/>
        </w:rPr>
        <w:t>load </w:t>
      </w:r>
      <w:r>
        <w:rPr>
          <w:sz w:val="24"/>
        </w:rPr>
        <w:t>current unbalance must be included in the </w:t>
      </w:r>
      <w:r>
        <w:rPr>
          <w:i/>
          <w:sz w:val="24"/>
        </w:rPr>
        <w:t>connection</w:t>
      </w:r>
      <w:r>
        <w:rPr>
          <w:i/>
          <w:spacing w:val="51"/>
          <w:sz w:val="24"/>
        </w:rPr>
        <w:t> </w:t>
      </w:r>
      <w:r>
        <w:rPr>
          <w:i/>
          <w:sz w:val="24"/>
        </w:rPr>
        <w:t>agreement</w:t>
      </w:r>
    </w:p>
    <w:p>
      <w:pPr>
        <w:spacing w:before="0"/>
        <w:ind w:left="1352" w:right="0" w:firstLine="0"/>
        <w:jc w:val="both"/>
        <w:rPr>
          <w:sz w:val="24"/>
        </w:rPr>
      </w:pPr>
      <w:r>
        <w:rPr>
          <w:sz w:val="24"/>
        </w:rPr>
        <w:t>and is subject to verification of compliance by the </w:t>
      </w:r>
      <w:r>
        <w:rPr>
          <w:i/>
          <w:sz w:val="24"/>
        </w:rPr>
        <w:t>Network Service 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3.7 Voltage fluctuations" w:id="1024"/>
      <w:bookmarkEnd w:id="1024"/>
      <w:r>
        <w:rPr>
          <w:b w:val="0"/>
        </w:rPr>
      </w:r>
      <w:bookmarkStart w:name="_bookmark404" w:id="1025"/>
      <w:bookmarkEnd w:id="1025"/>
      <w:r>
        <w:rPr>
          <w:b w:val="0"/>
        </w:rPr>
      </w:r>
      <w:r>
        <w:rPr/>
        <w:t>S5.3.7</w:t>
        <w:tab/>
        <w:t>Voltage</w:t>
      </w:r>
      <w:r>
        <w:rPr>
          <w:spacing w:val="-1"/>
        </w:rPr>
        <w:t> </w:t>
      </w:r>
      <w:r>
        <w:rPr/>
        <w:t>fluctuations</w:t>
      </w:r>
    </w:p>
    <w:p>
      <w:pPr>
        <w:pStyle w:val="ListParagraph"/>
        <w:numPr>
          <w:ilvl w:val="0"/>
          <w:numId w:val="313"/>
        </w:numPr>
        <w:tabs>
          <w:tab w:pos="1919" w:val="left" w:leader="none"/>
        </w:tabs>
        <w:spacing w:line="240" w:lineRule="auto" w:before="120" w:after="0"/>
        <w:ind w:left="1919" w:right="414" w:hanging="567"/>
        <w:jc w:val="both"/>
        <w:rPr>
          <w:sz w:val="24"/>
        </w:rPr>
      </w:pPr>
      <w:r>
        <w:rPr>
          <w:i/>
          <w:sz w:val="24"/>
        </w:rPr>
        <w:t>Automatic access standard</w:t>
      </w:r>
      <w:r>
        <w:rPr>
          <w:sz w:val="24"/>
        </w:rPr>
        <w:t>: The </w:t>
      </w:r>
      <w:r>
        <w:rPr>
          <w:i/>
          <w:sz w:val="24"/>
        </w:rPr>
        <w:t>voltage </w:t>
      </w:r>
      <w:r>
        <w:rPr>
          <w:sz w:val="24"/>
        </w:rPr>
        <w:t>fluctuations caused by variations in </w:t>
      </w:r>
      <w:r>
        <w:rPr>
          <w:i/>
          <w:sz w:val="24"/>
        </w:rPr>
        <w:t>loading level </w:t>
      </w:r>
      <w:r>
        <w:rPr>
          <w:sz w:val="24"/>
        </w:rPr>
        <w:t>at the </w:t>
      </w:r>
      <w:r>
        <w:rPr>
          <w:i/>
          <w:sz w:val="24"/>
        </w:rPr>
        <w:t>connection point</w:t>
      </w:r>
      <w:r>
        <w:rPr>
          <w:sz w:val="24"/>
        </w:rPr>
        <w:t>, including those arising </w:t>
      </w:r>
      <w:r>
        <w:rPr>
          <w:spacing w:val="-3"/>
          <w:sz w:val="24"/>
        </w:rPr>
        <w:t>from </w:t>
      </w:r>
      <w:r>
        <w:rPr>
          <w:i/>
          <w:sz w:val="24"/>
        </w:rPr>
        <w:t>energisation</w:t>
      </w:r>
      <w:r>
        <w:rPr>
          <w:sz w:val="24"/>
        </w:rPr>
        <w:t>, de-energisation or other operation of </w:t>
      </w:r>
      <w:r>
        <w:rPr>
          <w:i/>
          <w:sz w:val="24"/>
        </w:rPr>
        <w:t>plant</w:t>
      </w:r>
      <w:r>
        <w:rPr>
          <w:sz w:val="24"/>
        </w:rPr>
        <w:t>, must not exceed the limits determined under clause</w:t>
      </w:r>
      <w:r>
        <w:rPr>
          <w:spacing w:val="-2"/>
          <w:sz w:val="24"/>
        </w:rPr>
        <w:t> </w:t>
      </w:r>
      <w:r>
        <w:rPr>
          <w:sz w:val="24"/>
        </w:rPr>
        <w:t>S5.1.5(a).</w:t>
      </w:r>
    </w:p>
    <w:p>
      <w:pPr>
        <w:pStyle w:val="ListParagraph"/>
        <w:numPr>
          <w:ilvl w:val="0"/>
          <w:numId w:val="313"/>
        </w:numPr>
        <w:tabs>
          <w:tab w:pos="1919" w:val="left" w:leader="none"/>
        </w:tabs>
        <w:spacing w:line="240" w:lineRule="auto" w:before="120" w:after="0"/>
        <w:ind w:left="1919" w:right="414" w:hanging="567"/>
        <w:jc w:val="both"/>
        <w:rPr>
          <w:sz w:val="24"/>
        </w:rPr>
      </w:pPr>
      <w:r>
        <w:rPr>
          <w:i/>
          <w:sz w:val="24"/>
        </w:rPr>
        <w:t>Minimum access standard</w:t>
      </w:r>
      <w:r>
        <w:rPr>
          <w:sz w:val="24"/>
        </w:rPr>
        <w:t>: The </w:t>
      </w:r>
      <w:r>
        <w:rPr>
          <w:i/>
          <w:sz w:val="24"/>
        </w:rPr>
        <w:t>voltage </w:t>
      </w:r>
      <w:r>
        <w:rPr>
          <w:sz w:val="24"/>
        </w:rPr>
        <w:t>fluctuations caused by variations in </w:t>
      </w:r>
      <w:r>
        <w:rPr>
          <w:i/>
          <w:sz w:val="24"/>
        </w:rPr>
        <w:t>loading level </w:t>
      </w:r>
      <w:r>
        <w:rPr>
          <w:sz w:val="24"/>
        </w:rPr>
        <w:t>at the </w:t>
      </w:r>
      <w:r>
        <w:rPr>
          <w:i/>
          <w:sz w:val="24"/>
        </w:rPr>
        <w:t>connection point</w:t>
      </w:r>
      <w:r>
        <w:rPr>
          <w:sz w:val="24"/>
        </w:rPr>
        <w:t>, including those arising </w:t>
      </w:r>
      <w:r>
        <w:rPr>
          <w:spacing w:val="-3"/>
          <w:sz w:val="24"/>
        </w:rPr>
        <w:t>from </w:t>
      </w:r>
      <w:r>
        <w:rPr>
          <w:i/>
          <w:sz w:val="24"/>
        </w:rPr>
        <w:t>energisation</w:t>
      </w:r>
      <w:r>
        <w:rPr>
          <w:sz w:val="24"/>
        </w:rPr>
        <w:t>, de-energisation or other operation of </w:t>
      </w:r>
      <w:r>
        <w:rPr>
          <w:i/>
          <w:sz w:val="24"/>
        </w:rPr>
        <w:t>plant</w:t>
      </w:r>
      <w:r>
        <w:rPr>
          <w:sz w:val="24"/>
        </w:rPr>
        <w:t>, must not exceed the limits determined under clause</w:t>
      </w:r>
      <w:r>
        <w:rPr>
          <w:spacing w:val="-2"/>
          <w:sz w:val="24"/>
        </w:rPr>
        <w:t> </w:t>
      </w:r>
      <w:r>
        <w:rPr>
          <w:sz w:val="24"/>
        </w:rPr>
        <w:t>S5.1.5(b).</w:t>
      </w:r>
    </w:p>
    <w:p>
      <w:pPr>
        <w:spacing w:after="0" w:line="240" w:lineRule="auto"/>
        <w:jc w:val="both"/>
        <w:rPr>
          <w:sz w:val="24"/>
        </w:rPr>
        <w:sectPr>
          <w:pgSz w:w="11910" w:h="16840"/>
          <w:pgMar w:header="686" w:footer="637" w:top="1320" w:bottom="820" w:left="1200" w:right="1000"/>
        </w:sectPr>
      </w:pPr>
    </w:p>
    <w:p>
      <w:pPr>
        <w:spacing w:before="83"/>
        <w:ind w:left="1352" w:right="414" w:firstLine="0"/>
        <w:jc w:val="both"/>
        <w:rPr>
          <w:sz w:val="24"/>
        </w:rPr>
      </w:pPr>
      <w:r>
        <w:rPr>
          <w:sz w:val="24"/>
        </w:rPr>
        <w:t>The </w:t>
      </w:r>
      <w:r>
        <w:rPr>
          <w:i/>
          <w:sz w:val="24"/>
        </w:rPr>
        <w:t>voltage </w:t>
      </w:r>
      <w:r>
        <w:rPr>
          <w:sz w:val="24"/>
        </w:rPr>
        <w:t>fluctuation emission limits and any specified conditions must be included in the </w:t>
      </w:r>
      <w:r>
        <w:rPr>
          <w:i/>
          <w:sz w:val="24"/>
        </w:rPr>
        <w:t>connection agreement</w:t>
      </w:r>
      <w:r>
        <w:rPr>
          <w:sz w:val="24"/>
        </w:rPr>
        <w:t>, and are subject to verification of compliance by the </w:t>
      </w:r>
      <w:r>
        <w:rPr>
          <w:i/>
          <w:sz w:val="24"/>
        </w:rPr>
        <w:t>Network Service 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3.8 Harmonics and voltage notching" w:id="1026"/>
      <w:bookmarkEnd w:id="1026"/>
      <w:r>
        <w:rPr>
          <w:b w:val="0"/>
        </w:rPr>
      </w:r>
      <w:bookmarkStart w:name="_bookmark405" w:id="1027"/>
      <w:bookmarkEnd w:id="1027"/>
      <w:r>
        <w:rPr>
          <w:b w:val="0"/>
        </w:rPr>
      </w:r>
      <w:r>
        <w:rPr/>
        <w:t>S5.3.8</w:t>
        <w:tab/>
        <w:t>Harmonics and voltage</w:t>
      </w:r>
      <w:r>
        <w:rPr>
          <w:spacing w:val="-3"/>
        </w:rPr>
        <w:t> </w:t>
      </w:r>
      <w:r>
        <w:rPr/>
        <w:t>notching</w:t>
      </w:r>
    </w:p>
    <w:p>
      <w:pPr>
        <w:pStyle w:val="ListParagraph"/>
        <w:numPr>
          <w:ilvl w:val="0"/>
          <w:numId w:val="314"/>
        </w:numPr>
        <w:tabs>
          <w:tab w:pos="1919" w:val="left" w:leader="none"/>
        </w:tabs>
        <w:spacing w:line="240" w:lineRule="auto" w:before="120" w:after="0"/>
        <w:ind w:left="1919" w:right="415" w:hanging="567"/>
        <w:jc w:val="both"/>
        <w:rPr>
          <w:sz w:val="24"/>
        </w:rPr>
      </w:pPr>
      <w:r>
        <w:rPr>
          <w:i/>
          <w:sz w:val="24"/>
        </w:rPr>
        <w:t>Automatic access standard</w:t>
      </w:r>
      <w:r>
        <w:rPr>
          <w:sz w:val="24"/>
        </w:rPr>
        <w:t>: The harmonic </w:t>
      </w:r>
      <w:r>
        <w:rPr>
          <w:i/>
          <w:sz w:val="24"/>
        </w:rPr>
        <w:t>voltage </w:t>
      </w:r>
      <w:r>
        <w:rPr>
          <w:sz w:val="24"/>
        </w:rPr>
        <w:t>distortion caused by </w:t>
      </w:r>
      <w:r>
        <w:rPr>
          <w:spacing w:val="-3"/>
          <w:sz w:val="24"/>
        </w:rPr>
        <w:t>non- </w:t>
      </w:r>
      <w:r>
        <w:rPr>
          <w:sz w:val="24"/>
        </w:rPr>
        <w:t>linearity, commutation of power electronic equipment, harmonic resonance and other effects within the </w:t>
      </w:r>
      <w:r>
        <w:rPr>
          <w:i/>
          <w:sz w:val="24"/>
        </w:rPr>
        <w:t>plant</w:t>
      </w:r>
      <w:r>
        <w:rPr>
          <w:sz w:val="24"/>
        </w:rPr>
        <w:t>, must not exceed the limits determined under clause</w:t>
      </w:r>
      <w:r>
        <w:rPr>
          <w:spacing w:val="-2"/>
          <w:sz w:val="24"/>
        </w:rPr>
        <w:t> </w:t>
      </w:r>
      <w:r>
        <w:rPr>
          <w:sz w:val="24"/>
        </w:rPr>
        <w:t>S5.1.6(a).</w:t>
      </w:r>
    </w:p>
    <w:p>
      <w:pPr>
        <w:pStyle w:val="ListParagraph"/>
        <w:numPr>
          <w:ilvl w:val="0"/>
          <w:numId w:val="314"/>
        </w:numPr>
        <w:tabs>
          <w:tab w:pos="1919" w:val="left" w:leader="none"/>
        </w:tabs>
        <w:spacing w:line="240" w:lineRule="auto" w:before="120" w:after="0"/>
        <w:ind w:left="1919" w:right="415" w:hanging="567"/>
        <w:jc w:val="both"/>
        <w:rPr>
          <w:sz w:val="24"/>
        </w:rPr>
      </w:pPr>
      <w:r>
        <w:rPr>
          <w:i/>
          <w:sz w:val="24"/>
        </w:rPr>
        <w:t>Minimum access standard</w:t>
      </w:r>
      <w:r>
        <w:rPr>
          <w:sz w:val="24"/>
        </w:rPr>
        <w:t>: The harmonic </w:t>
      </w:r>
      <w:r>
        <w:rPr>
          <w:i/>
          <w:sz w:val="24"/>
        </w:rPr>
        <w:t>voltage </w:t>
      </w:r>
      <w:r>
        <w:rPr>
          <w:sz w:val="24"/>
        </w:rPr>
        <w:t>distortion caused by non- linearity, commutation of power electronic equipment, harmonic resonance and other effects within the </w:t>
      </w:r>
      <w:r>
        <w:rPr>
          <w:i/>
          <w:sz w:val="24"/>
        </w:rPr>
        <w:t>plant</w:t>
      </w:r>
      <w:r>
        <w:rPr>
          <w:sz w:val="24"/>
        </w:rPr>
        <w:t>, must not exceed the limits determined under clause</w:t>
      </w:r>
      <w:r>
        <w:rPr>
          <w:spacing w:val="-2"/>
          <w:sz w:val="24"/>
        </w:rPr>
        <w:t> </w:t>
      </w:r>
      <w:r>
        <w:rPr>
          <w:sz w:val="24"/>
        </w:rPr>
        <w:t>S5.1.6(b).</w:t>
      </w:r>
    </w:p>
    <w:p>
      <w:pPr>
        <w:spacing w:before="120"/>
        <w:ind w:left="1352" w:right="415" w:firstLine="0"/>
        <w:jc w:val="both"/>
        <w:rPr>
          <w:sz w:val="24"/>
        </w:rPr>
      </w:pPr>
      <w:r>
        <w:rPr>
          <w:sz w:val="24"/>
        </w:rPr>
        <w:t>The harmonic </w:t>
      </w:r>
      <w:r>
        <w:rPr>
          <w:i/>
          <w:sz w:val="24"/>
        </w:rPr>
        <w:t>voltage </w:t>
      </w:r>
      <w:r>
        <w:rPr>
          <w:sz w:val="24"/>
        </w:rPr>
        <w:t>distortion emission limits and any special conditions must be included in the </w:t>
      </w:r>
      <w:r>
        <w:rPr>
          <w:i/>
          <w:sz w:val="24"/>
        </w:rPr>
        <w:t>connection agreement</w:t>
      </w:r>
      <w:r>
        <w:rPr>
          <w:sz w:val="24"/>
        </w:rPr>
        <w:t>, and is subject to verification of compliance by the </w:t>
      </w:r>
      <w:r>
        <w:rPr>
          <w:i/>
          <w:sz w:val="24"/>
        </w:rPr>
        <w:t>Network Service 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3.9 Design requirements for Network U" w:id="1028"/>
      <w:bookmarkEnd w:id="1028"/>
      <w:r>
        <w:rPr>
          <w:b w:val="0"/>
        </w:rPr>
      </w:r>
      <w:bookmarkStart w:name="_bookmark406" w:id="1029"/>
      <w:bookmarkEnd w:id="1029"/>
      <w:r>
        <w:rPr>
          <w:b w:val="0"/>
        </w:rPr>
      </w:r>
      <w:r>
        <w:rPr/>
        <w:t>S5.3.9</w:t>
        <w:tab/>
        <w:t>Design requirements for Network Users'</w:t>
      </w:r>
      <w:r>
        <w:rPr>
          <w:spacing w:val="-8"/>
        </w:rPr>
        <w:t> </w:t>
      </w:r>
      <w:r>
        <w:rPr/>
        <w:t>substations</w:t>
      </w:r>
    </w:p>
    <w:p>
      <w:pPr>
        <w:pStyle w:val="BodyText"/>
        <w:ind w:left="1352" w:right="415" w:firstLine="0"/>
      </w:pPr>
      <w:r>
        <w:rPr/>
        <w:t>A </w:t>
      </w:r>
      <w:r>
        <w:rPr>
          <w:i/>
        </w:rPr>
        <w:t>Network User </w:t>
      </w:r>
      <w:r>
        <w:rPr/>
        <w:t>must comply with the following requirements applicable to the design, station layout and choice of equipment for a </w:t>
      </w:r>
      <w:r>
        <w:rPr>
          <w:i/>
        </w:rPr>
        <w:t>substation</w:t>
      </w:r>
      <w:r>
        <w:rPr/>
        <w:t>:</w:t>
      </w:r>
    </w:p>
    <w:p>
      <w:pPr>
        <w:pStyle w:val="ListParagraph"/>
        <w:numPr>
          <w:ilvl w:val="0"/>
          <w:numId w:val="315"/>
        </w:numPr>
        <w:tabs>
          <w:tab w:pos="1919" w:val="left" w:leader="none"/>
        </w:tabs>
        <w:spacing w:line="240" w:lineRule="auto" w:before="120" w:after="0"/>
        <w:ind w:left="1918" w:right="0" w:hanging="567"/>
        <w:jc w:val="both"/>
        <w:rPr>
          <w:sz w:val="24"/>
        </w:rPr>
      </w:pPr>
      <w:r>
        <w:rPr>
          <w:sz w:val="24"/>
        </w:rPr>
        <w:t>safety provisions must comply with requirements applicable to</w:t>
      </w:r>
      <w:r>
        <w:rPr>
          <w:spacing w:val="16"/>
          <w:sz w:val="24"/>
        </w:rPr>
        <w:t> </w:t>
      </w:r>
      <w:r>
        <w:rPr>
          <w:sz w:val="24"/>
        </w:rPr>
        <w:t>the</w:t>
      </w:r>
    </w:p>
    <w:p>
      <w:pPr>
        <w:spacing w:before="0"/>
        <w:ind w:left="1919" w:right="0" w:firstLine="0"/>
        <w:jc w:val="both"/>
        <w:rPr>
          <w:sz w:val="24"/>
        </w:rPr>
      </w:pPr>
      <w:r>
        <w:rPr>
          <w:i/>
          <w:sz w:val="24"/>
        </w:rPr>
        <w:t>participating jurisdiction </w:t>
      </w:r>
      <w:r>
        <w:rPr>
          <w:sz w:val="24"/>
        </w:rPr>
        <w:t>notified by the </w:t>
      </w:r>
      <w:r>
        <w:rPr>
          <w:i/>
          <w:sz w:val="24"/>
        </w:rPr>
        <w:t>Network Service Provider</w:t>
      </w:r>
      <w:r>
        <w:rPr>
          <w:sz w:val="24"/>
        </w:rPr>
        <w:t>;</w:t>
      </w:r>
    </w:p>
    <w:p>
      <w:pPr>
        <w:pStyle w:val="ListParagraph"/>
        <w:numPr>
          <w:ilvl w:val="0"/>
          <w:numId w:val="315"/>
        </w:numPr>
        <w:tabs>
          <w:tab w:pos="1919" w:val="left" w:leader="none"/>
        </w:tabs>
        <w:spacing w:line="240" w:lineRule="auto" w:before="120" w:after="0"/>
        <w:ind w:left="1919" w:right="413" w:hanging="567"/>
        <w:jc w:val="both"/>
        <w:rPr>
          <w:sz w:val="24"/>
        </w:rPr>
      </w:pPr>
      <w:r>
        <w:rPr>
          <w:sz w:val="24"/>
        </w:rPr>
        <w:t>where required by the </w:t>
      </w:r>
      <w:r>
        <w:rPr>
          <w:i/>
          <w:sz w:val="24"/>
        </w:rPr>
        <w:t>Network Service Provider</w:t>
      </w:r>
      <w:r>
        <w:rPr>
          <w:sz w:val="24"/>
        </w:rPr>
        <w:t>, appropriate interfaces and accommodation must be incorporated for communication </w:t>
      </w:r>
      <w:r>
        <w:rPr>
          <w:i/>
          <w:sz w:val="24"/>
        </w:rPr>
        <w:t>facilities</w:t>
      </w:r>
      <w:r>
        <w:rPr>
          <w:sz w:val="24"/>
        </w:rPr>
        <w:t>, remote monitoring and control and protection of </w:t>
      </w:r>
      <w:r>
        <w:rPr>
          <w:i/>
          <w:sz w:val="24"/>
        </w:rPr>
        <w:t>plant </w:t>
      </w:r>
      <w:r>
        <w:rPr>
          <w:sz w:val="24"/>
        </w:rPr>
        <w:t>which is to be installed in the </w:t>
      </w:r>
      <w:r>
        <w:rPr>
          <w:i/>
          <w:sz w:val="24"/>
        </w:rPr>
        <w:t>substation</w:t>
      </w:r>
      <w:r>
        <w:rPr>
          <w:sz w:val="24"/>
        </w:rPr>
        <w:t>;</w:t>
      </w:r>
    </w:p>
    <w:p>
      <w:pPr>
        <w:pStyle w:val="ListParagraph"/>
        <w:numPr>
          <w:ilvl w:val="0"/>
          <w:numId w:val="315"/>
        </w:numPr>
        <w:tabs>
          <w:tab w:pos="1919" w:val="left" w:leader="none"/>
        </w:tabs>
        <w:spacing w:line="240" w:lineRule="auto" w:before="120" w:after="0"/>
        <w:ind w:left="1919" w:right="415" w:hanging="567"/>
        <w:jc w:val="both"/>
        <w:rPr>
          <w:sz w:val="24"/>
        </w:rPr>
      </w:pPr>
      <w:r>
        <w:rPr>
          <w:sz w:val="24"/>
        </w:rPr>
        <w:t>a </w:t>
      </w:r>
      <w:r>
        <w:rPr>
          <w:i/>
          <w:sz w:val="24"/>
        </w:rPr>
        <w:t>substation </w:t>
      </w:r>
      <w:r>
        <w:rPr>
          <w:sz w:val="24"/>
        </w:rPr>
        <w:t>must be capable of continuous uninterrupted operation with the levels of </w:t>
      </w:r>
      <w:r>
        <w:rPr>
          <w:i/>
          <w:sz w:val="24"/>
        </w:rPr>
        <w:t>voltage</w:t>
      </w:r>
      <w:r>
        <w:rPr>
          <w:sz w:val="24"/>
        </w:rPr>
        <w:t>, harmonics, unbalance and </w:t>
      </w:r>
      <w:r>
        <w:rPr>
          <w:i/>
          <w:sz w:val="24"/>
        </w:rPr>
        <w:t>voltage </w:t>
      </w:r>
      <w:r>
        <w:rPr>
          <w:sz w:val="24"/>
        </w:rPr>
        <w:t>fluctuation specified in the </w:t>
      </w:r>
      <w:r>
        <w:rPr>
          <w:i/>
          <w:sz w:val="24"/>
        </w:rPr>
        <w:t>system standards </w:t>
      </w:r>
      <w:r>
        <w:rPr>
          <w:sz w:val="24"/>
        </w:rPr>
        <w:t>as modified in accordance with the relevant provisions of schedule</w:t>
      </w:r>
      <w:r>
        <w:rPr>
          <w:spacing w:val="-2"/>
          <w:sz w:val="24"/>
        </w:rPr>
        <w:t> </w:t>
      </w:r>
      <w:r>
        <w:rPr>
          <w:sz w:val="24"/>
        </w:rPr>
        <w:t>5.1;</w:t>
      </w:r>
    </w:p>
    <w:p>
      <w:pPr>
        <w:pStyle w:val="ListParagraph"/>
        <w:numPr>
          <w:ilvl w:val="0"/>
          <w:numId w:val="315"/>
        </w:numPr>
        <w:tabs>
          <w:tab w:pos="1919" w:val="left" w:leader="none"/>
        </w:tabs>
        <w:spacing w:line="240" w:lineRule="auto" w:before="120" w:after="0"/>
        <w:ind w:left="1919" w:right="415" w:hanging="567"/>
        <w:jc w:val="both"/>
        <w:rPr>
          <w:sz w:val="24"/>
        </w:rPr>
      </w:pPr>
      <w:r>
        <w:rPr>
          <w:sz w:val="24"/>
        </w:rPr>
        <w:t>earthing of primary </w:t>
      </w:r>
      <w:r>
        <w:rPr>
          <w:i/>
          <w:sz w:val="24"/>
        </w:rPr>
        <w:t>plant </w:t>
      </w:r>
      <w:r>
        <w:rPr>
          <w:sz w:val="24"/>
        </w:rPr>
        <w:t>in the </w:t>
      </w:r>
      <w:r>
        <w:rPr>
          <w:i/>
          <w:sz w:val="24"/>
        </w:rPr>
        <w:t>substation </w:t>
      </w:r>
      <w:r>
        <w:rPr>
          <w:sz w:val="24"/>
        </w:rPr>
        <w:t>must be in accordance with the Electricity Supply Association of Australia Safe Earthing Guide and must reduce step and touch potentials to safe</w:t>
      </w:r>
      <w:r>
        <w:rPr>
          <w:spacing w:val="-2"/>
          <w:sz w:val="24"/>
        </w:rPr>
        <w:t> </w:t>
      </w:r>
      <w:r>
        <w:rPr>
          <w:sz w:val="24"/>
        </w:rPr>
        <w:t>levels;</w:t>
      </w:r>
    </w:p>
    <w:p>
      <w:pPr>
        <w:pStyle w:val="ListParagraph"/>
        <w:numPr>
          <w:ilvl w:val="0"/>
          <w:numId w:val="315"/>
        </w:numPr>
        <w:tabs>
          <w:tab w:pos="1919" w:val="left" w:leader="none"/>
        </w:tabs>
        <w:spacing w:line="240" w:lineRule="auto" w:before="120" w:after="0"/>
        <w:ind w:left="1918" w:right="0" w:hanging="567"/>
        <w:jc w:val="both"/>
        <w:rPr>
          <w:sz w:val="24"/>
        </w:rPr>
      </w:pPr>
      <w:r>
        <w:rPr>
          <w:i/>
          <w:sz w:val="24"/>
        </w:rPr>
        <w:t>synchronisation</w:t>
      </w:r>
      <w:r>
        <w:rPr>
          <w:i/>
          <w:spacing w:val="44"/>
          <w:sz w:val="24"/>
        </w:rPr>
        <w:t> </w:t>
      </w:r>
      <w:r>
        <w:rPr>
          <w:i/>
          <w:sz w:val="24"/>
        </w:rPr>
        <w:t>facilities</w:t>
      </w:r>
      <w:r>
        <w:rPr>
          <w:i/>
          <w:spacing w:val="44"/>
          <w:sz w:val="24"/>
        </w:rPr>
        <w:t> </w:t>
      </w:r>
      <w:r>
        <w:rPr>
          <w:sz w:val="24"/>
        </w:rPr>
        <w:t>or</w:t>
      </w:r>
      <w:r>
        <w:rPr>
          <w:spacing w:val="45"/>
          <w:sz w:val="24"/>
        </w:rPr>
        <w:t> </w:t>
      </w:r>
      <w:r>
        <w:rPr>
          <w:sz w:val="24"/>
        </w:rPr>
        <w:t>reclose</w:t>
      </w:r>
      <w:r>
        <w:rPr>
          <w:spacing w:val="44"/>
          <w:sz w:val="24"/>
        </w:rPr>
        <w:t> </w:t>
      </w:r>
      <w:r>
        <w:rPr>
          <w:sz w:val="24"/>
        </w:rPr>
        <w:t>blocking</w:t>
      </w:r>
      <w:r>
        <w:rPr>
          <w:spacing w:val="45"/>
          <w:sz w:val="24"/>
        </w:rPr>
        <w:t> </w:t>
      </w:r>
      <w:r>
        <w:rPr>
          <w:sz w:val="24"/>
        </w:rPr>
        <w:t>must</w:t>
      </w:r>
      <w:r>
        <w:rPr>
          <w:spacing w:val="44"/>
          <w:sz w:val="24"/>
        </w:rPr>
        <w:t> </w:t>
      </w:r>
      <w:r>
        <w:rPr>
          <w:sz w:val="24"/>
        </w:rPr>
        <w:t>be</w:t>
      </w:r>
      <w:r>
        <w:rPr>
          <w:spacing w:val="45"/>
          <w:sz w:val="24"/>
        </w:rPr>
        <w:t> </w:t>
      </w:r>
      <w:r>
        <w:rPr>
          <w:sz w:val="24"/>
        </w:rPr>
        <w:t>provided</w:t>
      </w:r>
      <w:r>
        <w:rPr>
          <w:spacing w:val="44"/>
          <w:sz w:val="24"/>
        </w:rPr>
        <w:t> </w:t>
      </w:r>
      <w:r>
        <w:rPr>
          <w:sz w:val="24"/>
        </w:rPr>
        <w:t>if</w:t>
      </w:r>
      <w:r>
        <w:rPr>
          <w:spacing w:val="45"/>
          <w:sz w:val="24"/>
        </w:rPr>
        <w:t> </w:t>
      </w:r>
      <w:r>
        <w:rPr>
          <w:sz w:val="24"/>
        </w:rPr>
        <w:t>a</w:t>
      </w:r>
    </w:p>
    <w:p>
      <w:pPr>
        <w:spacing w:before="0"/>
        <w:ind w:left="1919" w:right="0" w:firstLine="0"/>
        <w:jc w:val="both"/>
        <w:rPr>
          <w:sz w:val="24"/>
        </w:rPr>
      </w:pPr>
      <w:r>
        <w:rPr>
          <w:i/>
          <w:sz w:val="24"/>
        </w:rPr>
        <w:t>generating unit </w:t>
      </w:r>
      <w:r>
        <w:rPr>
          <w:sz w:val="24"/>
        </w:rPr>
        <w:t>is </w:t>
      </w:r>
      <w:r>
        <w:rPr>
          <w:i/>
          <w:sz w:val="24"/>
        </w:rPr>
        <w:t>connected </w:t>
      </w:r>
      <w:r>
        <w:rPr>
          <w:sz w:val="24"/>
        </w:rPr>
        <w:t>through the </w:t>
      </w:r>
      <w:r>
        <w:rPr>
          <w:i/>
          <w:sz w:val="24"/>
        </w:rPr>
        <w:t>substation</w:t>
      </w:r>
      <w:r>
        <w:rPr>
          <w:sz w:val="24"/>
        </w:rPr>
        <w:t>;</w:t>
      </w:r>
    </w:p>
    <w:p>
      <w:pPr>
        <w:pStyle w:val="ListParagraph"/>
        <w:numPr>
          <w:ilvl w:val="0"/>
          <w:numId w:val="315"/>
        </w:numPr>
        <w:tabs>
          <w:tab w:pos="1920" w:val="left" w:leader="none"/>
        </w:tabs>
        <w:spacing w:line="240" w:lineRule="auto" w:before="120" w:after="0"/>
        <w:ind w:left="1919" w:right="0" w:hanging="568"/>
        <w:jc w:val="both"/>
        <w:rPr>
          <w:i/>
          <w:sz w:val="24"/>
        </w:rPr>
      </w:pPr>
      <w:r>
        <w:rPr>
          <w:sz w:val="24"/>
        </w:rPr>
        <w:t>secure electricity supplies of adequate capacity must be provided for</w:t>
      </w:r>
      <w:r>
        <w:rPr>
          <w:spacing w:val="-14"/>
          <w:sz w:val="24"/>
        </w:rPr>
        <w:t> </w:t>
      </w:r>
      <w:r>
        <w:rPr>
          <w:i/>
          <w:sz w:val="24"/>
        </w:rPr>
        <w:t>plant</w:t>
      </w:r>
    </w:p>
    <w:p>
      <w:pPr>
        <w:pStyle w:val="BodyText"/>
        <w:spacing w:before="0"/>
        <w:ind w:left="1919" w:firstLine="0"/>
      </w:pPr>
      <w:r>
        <w:rPr/>
        <w:t>performing communication, monitoring, control and protection functions;</w:t>
      </w:r>
    </w:p>
    <w:p>
      <w:pPr>
        <w:pStyle w:val="ListParagraph"/>
        <w:numPr>
          <w:ilvl w:val="0"/>
          <w:numId w:val="315"/>
        </w:numPr>
        <w:tabs>
          <w:tab w:pos="1919" w:val="left" w:leader="none"/>
        </w:tabs>
        <w:spacing w:line="240" w:lineRule="auto" w:before="120" w:after="0"/>
        <w:ind w:left="1919" w:right="415" w:hanging="567"/>
        <w:jc w:val="both"/>
        <w:rPr>
          <w:sz w:val="24"/>
        </w:rPr>
      </w:pPr>
      <w:r>
        <w:rPr>
          <w:i/>
          <w:sz w:val="24"/>
        </w:rPr>
        <w:t>plant </w:t>
      </w:r>
      <w:r>
        <w:rPr>
          <w:sz w:val="24"/>
        </w:rPr>
        <w:t>must be tested to ensure that the </w:t>
      </w:r>
      <w:r>
        <w:rPr>
          <w:i/>
          <w:sz w:val="24"/>
        </w:rPr>
        <w:t>substation </w:t>
      </w:r>
      <w:r>
        <w:rPr>
          <w:sz w:val="24"/>
        </w:rPr>
        <w:t>complies with the approved design and specifications as included in a </w:t>
      </w:r>
      <w:r>
        <w:rPr>
          <w:i/>
          <w:sz w:val="24"/>
        </w:rPr>
        <w:t>connection</w:t>
      </w:r>
      <w:r>
        <w:rPr>
          <w:i/>
          <w:spacing w:val="-11"/>
          <w:sz w:val="24"/>
        </w:rPr>
        <w:t> </w:t>
      </w:r>
      <w:r>
        <w:rPr>
          <w:i/>
          <w:sz w:val="24"/>
        </w:rPr>
        <w:t>agreement</w:t>
      </w:r>
      <w:r>
        <w:rPr>
          <w:sz w:val="24"/>
        </w:rPr>
        <w:t>;</w:t>
      </w:r>
    </w:p>
    <w:p>
      <w:pPr>
        <w:pStyle w:val="ListParagraph"/>
        <w:numPr>
          <w:ilvl w:val="0"/>
          <w:numId w:val="315"/>
        </w:numPr>
        <w:tabs>
          <w:tab w:pos="1919" w:val="left" w:leader="none"/>
        </w:tabs>
        <w:spacing w:line="240" w:lineRule="auto" w:before="120" w:after="0"/>
        <w:ind w:left="1919" w:right="416" w:hanging="567"/>
        <w:jc w:val="both"/>
        <w:rPr>
          <w:sz w:val="24"/>
        </w:rPr>
      </w:pPr>
      <w:r>
        <w:rPr>
          <w:sz w:val="24"/>
        </w:rPr>
        <w:t>the protection equipment required would normally include protection schemes for individual items of </w:t>
      </w:r>
      <w:r>
        <w:rPr>
          <w:i/>
          <w:sz w:val="24"/>
        </w:rPr>
        <w:t>plant</w:t>
      </w:r>
      <w:r>
        <w:rPr>
          <w:sz w:val="24"/>
        </w:rPr>
        <w:t>, back-up arrangements, auxiliary DC supplies and instrumentation </w:t>
      </w:r>
      <w:r>
        <w:rPr>
          <w:i/>
          <w:sz w:val="24"/>
        </w:rPr>
        <w:t>transformers</w:t>
      </w:r>
      <w:r>
        <w:rPr>
          <w:sz w:val="24"/>
        </w:rPr>
        <w:t>;</w:t>
      </w:r>
      <w:r>
        <w:rPr>
          <w:spacing w:val="-3"/>
          <w:sz w:val="24"/>
        </w:rPr>
        <w:t> </w:t>
      </w:r>
      <w:r>
        <w:rPr>
          <w:sz w:val="24"/>
        </w:rPr>
        <w:t>and</w:t>
      </w:r>
    </w:p>
    <w:p>
      <w:pPr>
        <w:pStyle w:val="ListParagraph"/>
        <w:numPr>
          <w:ilvl w:val="0"/>
          <w:numId w:val="315"/>
        </w:numPr>
        <w:tabs>
          <w:tab w:pos="1919" w:val="left" w:leader="none"/>
        </w:tabs>
        <w:spacing w:line="240" w:lineRule="auto" w:before="120" w:after="0"/>
        <w:ind w:left="1919" w:right="414" w:hanging="567"/>
        <w:jc w:val="both"/>
        <w:rPr>
          <w:sz w:val="24"/>
        </w:rPr>
      </w:pPr>
      <w:r>
        <w:rPr>
          <w:sz w:val="24"/>
        </w:rPr>
        <w:t>insulation levels of </w:t>
      </w:r>
      <w:r>
        <w:rPr>
          <w:i/>
          <w:sz w:val="24"/>
        </w:rPr>
        <w:t>plant </w:t>
      </w:r>
      <w:r>
        <w:rPr>
          <w:sz w:val="24"/>
        </w:rPr>
        <w:t>in the </w:t>
      </w:r>
      <w:r>
        <w:rPr>
          <w:i/>
          <w:sz w:val="24"/>
        </w:rPr>
        <w:t>substation </w:t>
      </w:r>
      <w:r>
        <w:rPr>
          <w:sz w:val="24"/>
        </w:rPr>
        <w:t>must co-ordinate with the insulation levels of the </w:t>
      </w:r>
      <w:r>
        <w:rPr>
          <w:i/>
          <w:sz w:val="24"/>
        </w:rPr>
        <w:t>network </w:t>
      </w:r>
      <w:r>
        <w:rPr>
          <w:sz w:val="24"/>
        </w:rPr>
        <w:t>to which the </w:t>
      </w:r>
      <w:r>
        <w:rPr>
          <w:i/>
          <w:sz w:val="24"/>
        </w:rPr>
        <w:t>substation </w:t>
      </w:r>
      <w:r>
        <w:rPr>
          <w:sz w:val="24"/>
        </w:rPr>
        <w:t>is </w:t>
      </w:r>
      <w:r>
        <w:rPr>
          <w:i/>
          <w:sz w:val="24"/>
        </w:rPr>
        <w:t>connected </w:t>
      </w:r>
      <w:r>
        <w:rPr>
          <w:sz w:val="24"/>
        </w:rPr>
        <w:t>as nominated in the </w:t>
      </w:r>
      <w:r>
        <w:rPr>
          <w:i/>
          <w:sz w:val="24"/>
        </w:rPr>
        <w:t>connection</w:t>
      </w:r>
      <w:r>
        <w:rPr>
          <w:i/>
          <w:spacing w:val="-1"/>
          <w:sz w:val="24"/>
        </w:rPr>
        <w:t> </w:t>
      </w:r>
      <w:r>
        <w:rPr>
          <w:i/>
          <w:sz w:val="24"/>
        </w:rPr>
        <w:t>agreement</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5.3.10 Load shedding facilities" w:id="1030"/>
      <w:bookmarkEnd w:id="1030"/>
      <w:r>
        <w:rPr>
          <w:b w:val="0"/>
        </w:rPr>
      </w:r>
      <w:bookmarkStart w:name="_bookmark407" w:id="1031"/>
      <w:bookmarkEnd w:id="1031"/>
      <w:r>
        <w:rPr>
          <w:b w:val="0"/>
        </w:rPr>
      </w:r>
      <w:r>
        <w:rPr/>
        <w:t>S5.3.10</w:t>
        <w:tab/>
        <w:t>Load shedding</w:t>
      </w:r>
      <w:r>
        <w:rPr>
          <w:spacing w:val="-1"/>
        </w:rPr>
        <w:t> </w:t>
      </w:r>
      <w:r>
        <w:rPr/>
        <w:t>facilities</w:t>
      </w:r>
    </w:p>
    <w:p>
      <w:pPr>
        <w:spacing w:before="120"/>
        <w:ind w:left="1352" w:right="415" w:firstLine="0"/>
        <w:jc w:val="both"/>
        <w:rPr>
          <w:sz w:val="24"/>
        </w:rPr>
      </w:pPr>
      <w:r>
        <w:rPr>
          <w:i/>
          <w:sz w:val="24"/>
        </w:rPr>
        <w:t>Network Users </w:t>
      </w:r>
      <w:r>
        <w:rPr>
          <w:sz w:val="24"/>
        </w:rPr>
        <w:t>who are </w:t>
      </w:r>
      <w:r>
        <w:rPr>
          <w:i/>
          <w:sz w:val="24"/>
        </w:rPr>
        <w:t>Market Customers </w:t>
      </w:r>
      <w:r>
        <w:rPr>
          <w:sz w:val="24"/>
        </w:rPr>
        <w:t>and who have expected peak demands in excess of 10MW must provide automatic </w:t>
      </w:r>
      <w:r>
        <w:rPr>
          <w:i/>
          <w:sz w:val="24"/>
        </w:rPr>
        <w:t>interruptible load </w:t>
      </w:r>
      <w:r>
        <w:rPr>
          <w:sz w:val="24"/>
        </w:rPr>
        <w:t>in accordance with clause 4.3.5 of the </w:t>
      </w:r>
      <w:r>
        <w:rPr>
          <w:i/>
          <w:sz w:val="24"/>
        </w:rPr>
        <w:t>Rules</w:t>
      </w:r>
      <w:r>
        <w:rPr>
          <w:sz w:val="24"/>
        </w:rPr>
        <w:t>.</w:t>
      </w:r>
    </w:p>
    <w:p>
      <w:pPr>
        <w:spacing w:before="120"/>
        <w:ind w:left="1352" w:right="414" w:firstLine="0"/>
        <w:jc w:val="both"/>
        <w:rPr>
          <w:sz w:val="24"/>
        </w:rPr>
      </w:pPr>
      <w:r>
        <w:rPr>
          <w:i/>
          <w:sz w:val="24"/>
        </w:rPr>
        <w:t>Load shedding procedures </w:t>
      </w:r>
      <w:r>
        <w:rPr>
          <w:sz w:val="24"/>
        </w:rPr>
        <w:t>may be applied by </w:t>
      </w:r>
      <w:r>
        <w:rPr>
          <w:i/>
          <w:sz w:val="24"/>
        </w:rPr>
        <w:t>AEMO</w:t>
      </w:r>
      <w:r>
        <w:rPr>
          <w:sz w:val="24"/>
        </w:rPr>
        <w:t>, or </w:t>
      </w:r>
      <w:r>
        <w:rPr>
          <w:i/>
          <w:sz w:val="24"/>
        </w:rPr>
        <w:t>EFCS settings schedules </w:t>
      </w:r>
      <w:r>
        <w:rPr>
          <w:sz w:val="24"/>
        </w:rPr>
        <w:t>may be determined, in accordance with the provisions of clause 4.3.2 of the </w:t>
      </w:r>
      <w:r>
        <w:rPr>
          <w:i/>
          <w:sz w:val="24"/>
        </w:rPr>
        <w:t>Rules </w:t>
      </w:r>
      <w:r>
        <w:rPr>
          <w:sz w:val="24"/>
        </w:rPr>
        <w:t>for the shedding of all </w:t>
      </w:r>
      <w:r>
        <w:rPr>
          <w:i/>
          <w:sz w:val="24"/>
        </w:rPr>
        <w:t>loads </w:t>
      </w:r>
      <w:r>
        <w:rPr>
          <w:sz w:val="24"/>
        </w:rPr>
        <w:t>including </w:t>
      </w:r>
      <w:r>
        <w:rPr>
          <w:i/>
          <w:sz w:val="24"/>
        </w:rPr>
        <w:t>sensitive loads</w:t>
      </w:r>
      <w:r>
        <w:rPr>
          <w:sz w:val="24"/>
        </w:rPr>
        <w:t>.</w:t>
      </w:r>
    </w:p>
    <w:p>
      <w:pPr>
        <w:pStyle w:val="BodyText"/>
        <w:spacing w:before="10"/>
        <w:ind w:firstLine="0"/>
        <w:jc w:val="left"/>
        <w:rPr>
          <w:sz w:val="20"/>
        </w:rPr>
      </w:pPr>
    </w:p>
    <w:p>
      <w:pPr>
        <w:pStyle w:val="Heading2"/>
        <w:tabs>
          <w:tab w:pos="2485" w:val="left" w:leader="none"/>
        </w:tabs>
        <w:ind w:left="2486" w:right="1231" w:hanging="2268"/>
      </w:pPr>
      <w:bookmarkStart w:name="Schedule 5.3a Conditions for connection " w:id="1032"/>
      <w:bookmarkEnd w:id="1032"/>
      <w:r>
        <w:rPr>
          <w:b w:val="0"/>
        </w:rPr>
      </w:r>
      <w:bookmarkStart w:name="_bookmark408" w:id="1033"/>
      <w:bookmarkEnd w:id="1033"/>
      <w:r>
        <w:rPr>
          <w:b w:val="0"/>
        </w:rPr>
      </w:r>
      <w:r>
        <w:rPr/>
        <w:t>Schedule</w:t>
      </w:r>
      <w:r>
        <w:rPr>
          <w:spacing w:val="-1"/>
        </w:rPr>
        <w:t> </w:t>
      </w:r>
      <w:r>
        <w:rPr/>
        <w:t>5.3a</w:t>
        <w:tab/>
        <w:t>Conditions for connection of Market Network Services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 The application of this schedule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ind w:left="218" w:firstLine="0"/>
      </w:pPr>
      <w:bookmarkStart w:name="S5.3a.1a Introduction to the schedule" w:id="1034"/>
      <w:bookmarkEnd w:id="1034"/>
      <w:r>
        <w:rPr>
          <w:b w:val="0"/>
        </w:rPr>
      </w:r>
      <w:bookmarkStart w:name="_bookmark409" w:id="1035"/>
      <w:bookmarkEnd w:id="1035"/>
      <w:r>
        <w:rPr>
          <w:b w:val="0"/>
        </w:rPr>
      </w:r>
      <w:r>
        <w:rPr/>
        <w:t>S5.3a.1a Introduction to the schedule</w:t>
      </w:r>
    </w:p>
    <w:p>
      <w:pPr>
        <w:spacing w:before="120"/>
        <w:ind w:left="1352" w:right="415" w:firstLine="0"/>
        <w:jc w:val="both"/>
        <w:rPr>
          <w:sz w:val="24"/>
        </w:rPr>
      </w:pPr>
      <w:r>
        <w:rPr>
          <w:sz w:val="24"/>
        </w:rPr>
        <w:t>This schedule sets out obligations of </w:t>
      </w:r>
      <w:r>
        <w:rPr>
          <w:i/>
          <w:sz w:val="24"/>
        </w:rPr>
        <w:t>Market Network Service Providers </w:t>
      </w:r>
      <w:r>
        <w:rPr>
          <w:sz w:val="24"/>
        </w:rPr>
        <w:t>who </w:t>
      </w:r>
      <w:r>
        <w:rPr>
          <w:i/>
          <w:sz w:val="24"/>
        </w:rPr>
        <w:t>connect </w:t>
      </w:r>
      <w:r>
        <w:rPr>
          <w:sz w:val="24"/>
        </w:rPr>
        <w:t>to either a </w:t>
      </w:r>
      <w:r>
        <w:rPr>
          <w:i/>
          <w:sz w:val="24"/>
        </w:rPr>
        <w:t>transmission network </w:t>
      </w:r>
      <w:r>
        <w:rPr>
          <w:sz w:val="24"/>
        </w:rPr>
        <w:t>or a </w:t>
      </w:r>
      <w:r>
        <w:rPr>
          <w:i/>
          <w:sz w:val="24"/>
        </w:rPr>
        <w:t>distribution network</w:t>
      </w:r>
      <w:r>
        <w:rPr>
          <w:sz w:val="24"/>
        </w:rPr>
        <w:t>. It represents the requirements to be met for access to a </w:t>
      </w:r>
      <w:r>
        <w:rPr>
          <w:i/>
          <w:sz w:val="24"/>
        </w:rPr>
        <w:t>network</w:t>
      </w:r>
      <w:r>
        <w:rPr>
          <w:sz w:val="24"/>
        </w:rPr>
        <w:t>. Particular provisions may be varied by the </w:t>
      </w:r>
      <w:r>
        <w:rPr>
          <w:i/>
          <w:sz w:val="24"/>
        </w:rPr>
        <w:t>Network Service Provider </w:t>
      </w:r>
      <w:r>
        <w:rPr>
          <w:sz w:val="24"/>
        </w:rPr>
        <w:t>under the provisions of the </w:t>
      </w:r>
      <w:r>
        <w:rPr>
          <w:i/>
          <w:sz w:val="24"/>
        </w:rPr>
        <w:t>Rules </w:t>
      </w:r>
      <w:r>
        <w:rPr>
          <w:sz w:val="24"/>
        </w:rPr>
        <w:t>for </w:t>
      </w:r>
      <w:r>
        <w:rPr>
          <w:spacing w:val="-4"/>
          <w:sz w:val="24"/>
        </w:rPr>
        <w:t>the </w:t>
      </w:r>
      <w:r>
        <w:rPr>
          <w:sz w:val="24"/>
        </w:rPr>
        <w:t>application of </w:t>
      </w:r>
      <w:r>
        <w:rPr>
          <w:i/>
          <w:sz w:val="24"/>
        </w:rPr>
        <w:t>minimum access standards </w:t>
      </w:r>
      <w:r>
        <w:rPr>
          <w:sz w:val="24"/>
        </w:rPr>
        <w:t>and </w:t>
      </w:r>
      <w:r>
        <w:rPr>
          <w:i/>
          <w:sz w:val="24"/>
        </w:rPr>
        <w:t>automatic access</w:t>
      </w:r>
      <w:r>
        <w:rPr>
          <w:i/>
          <w:spacing w:val="-11"/>
          <w:sz w:val="24"/>
        </w:rPr>
        <w:t> </w:t>
      </w:r>
      <w:r>
        <w:rPr>
          <w:i/>
          <w:sz w:val="24"/>
        </w:rPr>
        <w:t>standards</w:t>
      </w:r>
      <w:r>
        <w:rPr>
          <w:sz w:val="24"/>
        </w:rPr>
        <w:t>.</w:t>
      </w:r>
    </w:p>
    <w:p>
      <w:pPr>
        <w:spacing w:before="120"/>
        <w:ind w:left="1352" w:right="416" w:firstLine="0"/>
        <w:jc w:val="both"/>
        <w:rPr>
          <w:sz w:val="24"/>
        </w:rPr>
      </w:pPr>
      <w:r>
        <w:rPr>
          <w:sz w:val="24"/>
        </w:rPr>
        <w:t>This schedule includes specific provisions for the determination of </w:t>
      </w:r>
      <w:r>
        <w:rPr>
          <w:i/>
          <w:sz w:val="24"/>
        </w:rPr>
        <w:t>automatic </w:t>
      </w:r>
      <w:r>
        <w:rPr>
          <w:i/>
          <w:sz w:val="24"/>
        </w:rPr>
        <w:t>access standards </w:t>
      </w:r>
      <w:r>
        <w:rPr>
          <w:sz w:val="24"/>
        </w:rPr>
        <w:t>and </w:t>
      </w:r>
      <w:r>
        <w:rPr>
          <w:i/>
          <w:sz w:val="24"/>
        </w:rPr>
        <w:t>negotiated access standards </w:t>
      </w:r>
      <w:r>
        <w:rPr>
          <w:sz w:val="24"/>
        </w:rPr>
        <w:t>which, once determined, must be recorded together with the </w:t>
      </w:r>
      <w:r>
        <w:rPr>
          <w:i/>
          <w:sz w:val="24"/>
        </w:rPr>
        <w:t>automatic access standards </w:t>
      </w:r>
      <w:r>
        <w:rPr>
          <w:sz w:val="24"/>
        </w:rPr>
        <w:t>in a </w:t>
      </w:r>
      <w:r>
        <w:rPr>
          <w:i/>
          <w:sz w:val="24"/>
        </w:rPr>
        <w:t>connection </w:t>
      </w:r>
      <w:r>
        <w:rPr>
          <w:i/>
          <w:sz w:val="24"/>
        </w:rPr>
        <w:t>agreement </w:t>
      </w:r>
      <w:r>
        <w:rPr>
          <w:sz w:val="24"/>
        </w:rPr>
        <w:t>and registered with </w:t>
      </w:r>
      <w:r>
        <w:rPr>
          <w:i/>
          <w:sz w:val="24"/>
        </w:rPr>
        <w:t>AEMO </w:t>
      </w:r>
      <w:r>
        <w:rPr>
          <w:sz w:val="24"/>
        </w:rPr>
        <w:t>as </w:t>
      </w:r>
      <w:r>
        <w:rPr>
          <w:i/>
          <w:sz w:val="24"/>
        </w:rPr>
        <w:t>performance standards</w:t>
      </w:r>
      <w:r>
        <w:rPr>
          <w:sz w:val="24"/>
        </w:rPr>
        <w:t>.</w:t>
      </w:r>
    </w:p>
    <w:p>
      <w:pPr>
        <w:spacing w:before="120"/>
        <w:ind w:left="1352" w:right="416" w:firstLine="0"/>
        <w:jc w:val="both"/>
        <w:rPr>
          <w:sz w:val="24"/>
        </w:rPr>
      </w:pPr>
      <w:r>
        <w:rPr>
          <w:sz w:val="24"/>
        </w:rPr>
        <w:t>In this schedule, the term </w:t>
      </w:r>
      <w:r>
        <w:rPr>
          <w:b/>
          <w:i/>
          <w:sz w:val="24"/>
        </w:rPr>
        <w:t>Network Service Provider </w:t>
      </w:r>
      <w:r>
        <w:rPr>
          <w:sz w:val="24"/>
        </w:rPr>
        <w:t>applies only to the </w:t>
      </w:r>
      <w:r>
        <w:rPr>
          <w:i/>
          <w:sz w:val="24"/>
        </w:rPr>
        <w:t>Network </w:t>
      </w:r>
      <w:r>
        <w:rPr>
          <w:i/>
          <w:sz w:val="24"/>
        </w:rPr>
        <w:t>Service Provider </w:t>
      </w:r>
      <w:r>
        <w:rPr>
          <w:sz w:val="24"/>
        </w:rPr>
        <w:t>with whom the </w:t>
      </w:r>
      <w:r>
        <w:rPr>
          <w:i/>
          <w:sz w:val="24"/>
        </w:rPr>
        <w:t>Market Network Service Provider </w:t>
      </w:r>
      <w:r>
        <w:rPr>
          <w:sz w:val="24"/>
        </w:rPr>
        <w:t>has lodged, or is considering lodging, an </w:t>
      </w:r>
      <w:r>
        <w:rPr>
          <w:i/>
          <w:sz w:val="24"/>
        </w:rPr>
        <w:t>application to connect</w:t>
      </w:r>
      <w:r>
        <w:rPr>
          <w:sz w:val="24"/>
        </w:rPr>
        <w:t>.</w:t>
      </w:r>
    </w:p>
    <w:p>
      <w:pPr>
        <w:pStyle w:val="ListParagraph"/>
        <w:numPr>
          <w:ilvl w:val="0"/>
          <w:numId w:val="316"/>
        </w:numPr>
        <w:tabs>
          <w:tab w:pos="1919" w:val="left" w:leader="none"/>
        </w:tabs>
        <w:spacing w:line="240" w:lineRule="auto" w:before="120" w:after="0"/>
        <w:ind w:left="1919" w:right="417" w:hanging="567"/>
        <w:jc w:val="both"/>
        <w:rPr>
          <w:sz w:val="24"/>
        </w:rPr>
      </w:pPr>
      <w:r>
        <w:rPr>
          <w:sz w:val="24"/>
        </w:rPr>
        <w:t>The schedule includes, in respect of each </w:t>
      </w:r>
      <w:r>
        <w:rPr>
          <w:i/>
          <w:sz w:val="24"/>
        </w:rPr>
        <w:t>market network service</w:t>
      </w:r>
      <w:r>
        <w:rPr>
          <w:sz w:val="24"/>
        </w:rPr>
        <w:t>, provisions regarding the capability</w:t>
      </w:r>
      <w:r>
        <w:rPr>
          <w:spacing w:val="-1"/>
          <w:sz w:val="24"/>
        </w:rPr>
        <w:t> </w:t>
      </w:r>
      <w:r>
        <w:rPr>
          <w:sz w:val="24"/>
        </w:rPr>
        <w:t>to:</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automatically control the transfer of real power at the </w:t>
      </w:r>
      <w:r>
        <w:rPr>
          <w:i/>
          <w:sz w:val="24"/>
        </w:rPr>
        <w:t>connection point </w:t>
      </w:r>
      <w:r>
        <w:rPr>
          <w:sz w:val="24"/>
        </w:rPr>
        <w:t>for any given set of system conditions within the limits permitted under the</w:t>
      </w:r>
      <w:r>
        <w:rPr>
          <w:spacing w:val="-1"/>
          <w:sz w:val="24"/>
        </w:rPr>
        <w:t> </w:t>
      </w:r>
      <w:r>
        <w:rPr>
          <w:i/>
          <w:sz w:val="24"/>
        </w:rPr>
        <w:t>Rules</w:t>
      </w:r>
      <w:r>
        <w:rPr>
          <w:sz w:val="24"/>
        </w:rPr>
        <w:t>;</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respond to control requirements under expected normal and abnormal conditions;</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comply with general requirements to meet quality of </w:t>
      </w:r>
      <w:r>
        <w:rPr>
          <w:i/>
          <w:sz w:val="24"/>
        </w:rPr>
        <w:t>supply </w:t>
      </w:r>
      <w:r>
        <w:rPr>
          <w:sz w:val="24"/>
        </w:rPr>
        <w:t>obligations in accordance with clauses S5.3a.9, S5.3a.10 and S5.3a.11 and to maintain security of </w:t>
      </w:r>
      <w:r>
        <w:rPr>
          <w:i/>
          <w:sz w:val="24"/>
        </w:rPr>
        <w:t>supply </w:t>
      </w:r>
      <w:r>
        <w:rPr>
          <w:sz w:val="24"/>
        </w:rPr>
        <w:t>to other </w:t>
      </w:r>
      <w:r>
        <w:rPr>
          <w:i/>
          <w:sz w:val="24"/>
        </w:rPr>
        <w:t>Registered Participants</w:t>
      </w:r>
      <w:r>
        <w:rPr>
          <w:sz w:val="24"/>
        </w:rPr>
        <w:t>; and</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automatically </w:t>
      </w:r>
      <w:r>
        <w:rPr>
          <w:i/>
          <w:sz w:val="24"/>
        </w:rPr>
        <w:t>disconnect </w:t>
      </w:r>
      <w:r>
        <w:rPr>
          <w:sz w:val="24"/>
        </w:rPr>
        <w:t>itself when necessary to prevent any damage to the </w:t>
      </w:r>
      <w:r>
        <w:rPr>
          <w:i/>
          <w:sz w:val="24"/>
        </w:rPr>
        <w:t>market network service facilities </w:t>
      </w:r>
      <w:r>
        <w:rPr>
          <w:sz w:val="24"/>
        </w:rPr>
        <w:t>or threat to </w:t>
      </w:r>
      <w:r>
        <w:rPr>
          <w:i/>
          <w:sz w:val="24"/>
        </w:rPr>
        <w:t>power system </w:t>
      </w:r>
      <w:r>
        <w:rPr>
          <w:i/>
          <w:sz w:val="24"/>
        </w:rPr>
        <w:t>security</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316"/>
        </w:numPr>
        <w:tabs>
          <w:tab w:pos="1919" w:val="left" w:leader="none"/>
        </w:tabs>
        <w:spacing w:line="240" w:lineRule="auto" w:before="83" w:after="0"/>
        <w:ind w:left="1919" w:right="415" w:hanging="567"/>
        <w:jc w:val="both"/>
        <w:rPr>
          <w:sz w:val="24"/>
        </w:rPr>
      </w:pPr>
      <w:r>
        <w:rPr>
          <w:sz w:val="24"/>
        </w:rPr>
        <w:t>This schedule also sets out the requirements and conditions, which (subject to clause 5.2.3 of the </w:t>
      </w:r>
      <w:r>
        <w:rPr>
          <w:i/>
          <w:sz w:val="24"/>
        </w:rPr>
        <w:t>Rules</w:t>
      </w:r>
      <w:r>
        <w:rPr>
          <w:sz w:val="24"/>
        </w:rPr>
        <w:t>) are obligations of </w:t>
      </w:r>
      <w:r>
        <w:rPr>
          <w:i/>
          <w:sz w:val="24"/>
        </w:rPr>
        <w:t>Market Network Service </w:t>
      </w:r>
      <w:r>
        <w:rPr>
          <w:i/>
          <w:sz w:val="24"/>
        </w:rPr>
        <w:t>Providers </w:t>
      </w:r>
      <w:r>
        <w:rPr>
          <w:sz w:val="24"/>
        </w:rPr>
        <w:t>to:</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co--operate with the relevant </w:t>
      </w:r>
      <w:r>
        <w:rPr>
          <w:i/>
          <w:sz w:val="24"/>
        </w:rPr>
        <w:t>Network Service Provider </w:t>
      </w:r>
      <w:r>
        <w:rPr>
          <w:sz w:val="24"/>
        </w:rPr>
        <w:t>on technical matters when making a new</w:t>
      </w:r>
      <w:r>
        <w:rPr>
          <w:spacing w:val="-1"/>
          <w:sz w:val="24"/>
        </w:rPr>
        <w:t> </w:t>
      </w:r>
      <w:r>
        <w:rPr>
          <w:i/>
          <w:sz w:val="24"/>
        </w:rPr>
        <w:t>connection</w:t>
      </w:r>
      <w:r>
        <w:rPr>
          <w:sz w:val="24"/>
        </w:rPr>
        <w:t>;</w:t>
      </w:r>
    </w:p>
    <w:p>
      <w:pPr>
        <w:pStyle w:val="ListParagraph"/>
        <w:numPr>
          <w:ilvl w:val="1"/>
          <w:numId w:val="316"/>
        </w:numPr>
        <w:tabs>
          <w:tab w:pos="2486" w:val="left" w:leader="none"/>
        </w:tabs>
        <w:spacing w:line="240" w:lineRule="auto" w:before="120" w:after="0"/>
        <w:ind w:left="2485" w:right="0" w:hanging="567"/>
        <w:jc w:val="both"/>
        <w:rPr>
          <w:sz w:val="24"/>
        </w:rPr>
      </w:pPr>
      <w:r>
        <w:rPr>
          <w:sz w:val="24"/>
        </w:rPr>
        <w:t>provide information to the </w:t>
      </w:r>
      <w:r>
        <w:rPr>
          <w:i/>
          <w:sz w:val="24"/>
        </w:rPr>
        <w:t>Network Service Provider </w:t>
      </w:r>
      <w:r>
        <w:rPr>
          <w:sz w:val="24"/>
        </w:rPr>
        <w:t>or </w:t>
      </w:r>
      <w:r>
        <w:rPr>
          <w:i/>
          <w:sz w:val="24"/>
        </w:rPr>
        <w:t>AEMO</w:t>
      </w:r>
      <w:r>
        <w:rPr>
          <w:sz w:val="24"/>
        </w:rPr>
        <w:t>;</w:t>
      </w:r>
      <w:r>
        <w:rPr>
          <w:spacing w:val="-4"/>
          <w:sz w:val="24"/>
        </w:rPr>
        <w:t> </w:t>
      </w:r>
      <w:r>
        <w:rPr>
          <w:sz w:val="24"/>
        </w:rPr>
        <w:t>and</w:t>
      </w:r>
    </w:p>
    <w:p>
      <w:pPr>
        <w:pStyle w:val="ListParagraph"/>
        <w:numPr>
          <w:ilvl w:val="1"/>
          <w:numId w:val="316"/>
        </w:numPr>
        <w:tabs>
          <w:tab w:pos="2486" w:val="left" w:leader="none"/>
        </w:tabs>
        <w:spacing w:line="240" w:lineRule="auto" w:before="120" w:after="0"/>
        <w:ind w:left="2486" w:right="415" w:hanging="567"/>
        <w:jc w:val="both"/>
        <w:rPr>
          <w:sz w:val="24"/>
        </w:rPr>
      </w:pPr>
      <w:r>
        <w:rPr>
          <w:sz w:val="24"/>
        </w:rPr>
        <w:t>observe and apply the relevant provisions of the </w:t>
      </w:r>
      <w:r>
        <w:rPr>
          <w:i/>
          <w:sz w:val="24"/>
        </w:rPr>
        <w:t>system standards </w:t>
      </w:r>
      <w:r>
        <w:rPr>
          <w:sz w:val="24"/>
        </w:rPr>
        <w:t>contained in schedule 5.1a in relation to the planning, design and operation of its </w:t>
      </w:r>
      <w:r>
        <w:rPr>
          <w:i/>
          <w:sz w:val="24"/>
        </w:rPr>
        <w:t>market network service</w:t>
      </w:r>
      <w:r>
        <w:rPr>
          <w:i/>
          <w:spacing w:val="-3"/>
          <w:sz w:val="24"/>
        </w:rPr>
        <w:t> </w:t>
      </w:r>
      <w:r>
        <w:rPr>
          <w:i/>
          <w:sz w:val="24"/>
        </w:rPr>
        <w:t>facilities</w:t>
      </w:r>
      <w:r>
        <w:rPr>
          <w:sz w:val="24"/>
        </w:rPr>
        <w:t>.</w:t>
      </w:r>
    </w:p>
    <w:p>
      <w:pPr>
        <w:pStyle w:val="ListParagraph"/>
        <w:numPr>
          <w:ilvl w:val="0"/>
          <w:numId w:val="316"/>
        </w:numPr>
        <w:tabs>
          <w:tab w:pos="1919" w:val="left" w:leader="none"/>
        </w:tabs>
        <w:spacing w:line="240" w:lineRule="auto" w:before="120" w:after="0"/>
        <w:ind w:left="1919" w:right="416" w:hanging="567"/>
        <w:jc w:val="both"/>
        <w:rPr>
          <w:sz w:val="24"/>
        </w:rPr>
      </w:pPr>
      <w:r>
        <w:rPr>
          <w:sz w:val="24"/>
        </w:rPr>
        <w:t>This schedule does not set out arrangements by which a </w:t>
      </w:r>
      <w:r>
        <w:rPr>
          <w:i/>
          <w:sz w:val="24"/>
        </w:rPr>
        <w:t>Market Network </w:t>
      </w:r>
      <w:r>
        <w:rPr>
          <w:i/>
          <w:sz w:val="24"/>
        </w:rPr>
        <w:t>Service Provider </w:t>
      </w:r>
      <w:r>
        <w:rPr>
          <w:sz w:val="24"/>
        </w:rPr>
        <w:t>may enter into an agreement or contract with </w:t>
      </w:r>
      <w:r>
        <w:rPr>
          <w:i/>
          <w:sz w:val="24"/>
        </w:rPr>
        <w:t>AEMO</w:t>
      </w:r>
      <w:r>
        <w:rPr>
          <w:i/>
          <w:spacing w:val="-6"/>
          <w:sz w:val="24"/>
        </w:rPr>
        <w:t> </w:t>
      </w:r>
      <w:r>
        <w:rPr>
          <w:sz w:val="24"/>
        </w:rPr>
        <w:t>to:</w:t>
      </w:r>
    </w:p>
    <w:p>
      <w:pPr>
        <w:pStyle w:val="ListParagraph"/>
        <w:numPr>
          <w:ilvl w:val="1"/>
          <w:numId w:val="316"/>
        </w:numPr>
        <w:tabs>
          <w:tab w:pos="2486" w:val="left" w:leader="none"/>
        </w:tabs>
        <w:spacing w:line="240" w:lineRule="auto" w:before="120" w:after="0"/>
        <w:ind w:left="2486" w:right="416" w:hanging="567"/>
        <w:jc w:val="both"/>
        <w:rPr>
          <w:sz w:val="24"/>
        </w:rPr>
      </w:pPr>
      <w:r>
        <w:rPr>
          <w:sz w:val="24"/>
        </w:rPr>
        <w:t>provide additional services that are necessary to maintain </w:t>
      </w:r>
      <w:r>
        <w:rPr>
          <w:i/>
          <w:sz w:val="24"/>
        </w:rPr>
        <w:t>power </w:t>
      </w:r>
      <w:r>
        <w:rPr>
          <w:i/>
          <w:sz w:val="24"/>
        </w:rPr>
        <w:t>system security</w:t>
      </w:r>
      <w:r>
        <w:rPr>
          <w:sz w:val="24"/>
        </w:rPr>
        <w:t>;</w:t>
      </w:r>
      <w:r>
        <w:rPr>
          <w:spacing w:val="-2"/>
          <w:sz w:val="24"/>
        </w:rPr>
        <w:t> </w:t>
      </w:r>
      <w:r>
        <w:rPr>
          <w:sz w:val="24"/>
        </w:rPr>
        <w:t>or</w:t>
      </w:r>
    </w:p>
    <w:p>
      <w:pPr>
        <w:pStyle w:val="ListParagraph"/>
        <w:numPr>
          <w:ilvl w:val="1"/>
          <w:numId w:val="316"/>
        </w:numPr>
        <w:tabs>
          <w:tab w:pos="2486" w:val="left" w:leader="none"/>
        </w:tabs>
        <w:spacing w:line="240" w:lineRule="auto" w:before="120" w:after="0"/>
        <w:ind w:left="2485" w:right="0" w:hanging="567"/>
        <w:jc w:val="both"/>
        <w:rPr>
          <w:sz w:val="24"/>
        </w:rPr>
      </w:pPr>
      <w:r>
        <w:rPr>
          <w:sz w:val="24"/>
        </w:rPr>
        <w:t>provide additional service to facilitate management of the</w:t>
      </w:r>
      <w:r>
        <w:rPr>
          <w:spacing w:val="-7"/>
          <w:sz w:val="24"/>
        </w:rPr>
        <w:t> </w:t>
      </w:r>
      <w:r>
        <w:rPr>
          <w:i/>
          <w:sz w:val="24"/>
        </w:rPr>
        <w:t>market</w:t>
      </w:r>
      <w:r>
        <w:rPr>
          <w:sz w:val="24"/>
        </w:rPr>
        <w:t>.</w:t>
      </w:r>
    </w:p>
    <w:p>
      <w:pPr>
        <w:pStyle w:val="BodyText"/>
        <w:spacing w:before="10"/>
        <w:ind w:firstLine="0"/>
        <w:jc w:val="left"/>
        <w:rPr>
          <w:sz w:val="20"/>
        </w:rPr>
      </w:pPr>
    </w:p>
    <w:p>
      <w:pPr>
        <w:pStyle w:val="Heading4"/>
        <w:tabs>
          <w:tab w:pos="1351" w:val="left" w:leader="none"/>
        </w:tabs>
        <w:ind w:left="218" w:firstLine="0"/>
      </w:pPr>
      <w:bookmarkStart w:name="S5.3a.1 Provision of Information" w:id="1036"/>
      <w:bookmarkEnd w:id="1036"/>
      <w:r>
        <w:rPr>
          <w:b w:val="0"/>
        </w:rPr>
      </w:r>
      <w:bookmarkStart w:name="_bookmark410" w:id="1037"/>
      <w:bookmarkEnd w:id="1037"/>
      <w:r>
        <w:rPr>
          <w:b w:val="0"/>
        </w:rPr>
      </w:r>
      <w:r>
        <w:rPr/>
        <w:t>S5.3a.1</w:t>
        <w:tab/>
        <w:t>Provision of</w:t>
      </w:r>
      <w:r>
        <w:rPr>
          <w:spacing w:val="-1"/>
        </w:rPr>
        <w:t> </w:t>
      </w:r>
      <w:r>
        <w:rPr/>
        <w:t>Information</w:t>
      </w:r>
    </w:p>
    <w:p>
      <w:pPr>
        <w:pStyle w:val="ListParagraph"/>
        <w:numPr>
          <w:ilvl w:val="0"/>
          <w:numId w:val="317"/>
        </w:numPr>
        <w:tabs>
          <w:tab w:pos="1919" w:val="left" w:leader="none"/>
        </w:tabs>
        <w:spacing w:line="240" w:lineRule="auto" w:before="120" w:after="0"/>
        <w:ind w:left="1919" w:right="415" w:hanging="567"/>
        <w:jc w:val="both"/>
        <w:rPr>
          <w:sz w:val="24"/>
        </w:rPr>
      </w:pPr>
      <w:r>
        <w:rPr>
          <w:sz w:val="24"/>
        </w:rPr>
        <w:t>Before a </w:t>
      </w:r>
      <w:r>
        <w:rPr>
          <w:i/>
          <w:sz w:val="24"/>
        </w:rPr>
        <w:t>Market Network Service Provider connects </w:t>
      </w:r>
      <w:r>
        <w:rPr>
          <w:sz w:val="24"/>
        </w:rPr>
        <w:t>any new or additional equipment to a </w:t>
      </w:r>
      <w:r>
        <w:rPr>
          <w:i/>
          <w:sz w:val="24"/>
        </w:rPr>
        <w:t>network</w:t>
      </w:r>
      <w:r>
        <w:rPr>
          <w:sz w:val="24"/>
        </w:rPr>
        <w:t>, the </w:t>
      </w:r>
      <w:r>
        <w:rPr>
          <w:i/>
          <w:sz w:val="24"/>
        </w:rPr>
        <w:t>Market Network Service Provider </w:t>
      </w:r>
      <w:r>
        <w:rPr>
          <w:sz w:val="24"/>
        </w:rPr>
        <w:t>must submit the following kinds of information to the </w:t>
      </w:r>
      <w:r>
        <w:rPr>
          <w:i/>
          <w:sz w:val="24"/>
        </w:rPr>
        <w:t>Network Service</w:t>
      </w:r>
      <w:r>
        <w:rPr>
          <w:i/>
          <w:spacing w:val="-2"/>
          <w:sz w:val="24"/>
        </w:rPr>
        <w:t> </w:t>
      </w:r>
      <w:r>
        <w:rPr>
          <w:i/>
          <w:sz w:val="24"/>
        </w:rPr>
        <w:t>Provider</w:t>
      </w:r>
      <w:r>
        <w:rPr>
          <w:sz w:val="24"/>
        </w:rPr>
        <w:t>:</w:t>
      </w:r>
    </w:p>
    <w:p>
      <w:pPr>
        <w:pStyle w:val="ListParagraph"/>
        <w:numPr>
          <w:ilvl w:val="1"/>
          <w:numId w:val="317"/>
        </w:numPr>
        <w:tabs>
          <w:tab w:pos="2485" w:val="left" w:leader="none"/>
          <w:tab w:pos="2486" w:val="left" w:leader="none"/>
        </w:tabs>
        <w:spacing w:line="240" w:lineRule="auto" w:before="120" w:after="0"/>
        <w:ind w:left="2485" w:right="0" w:hanging="567"/>
        <w:jc w:val="left"/>
        <w:rPr>
          <w:sz w:val="24"/>
        </w:rPr>
      </w:pPr>
      <w:r>
        <w:rPr>
          <w:sz w:val="24"/>
        </w:rPr>
        <w:t>a single line diagram with the protection</w:t>
      </w:r>
      <w:r>
        <w:rPr>
          <w:spacing w:val="-5"/>
          <w:sz w:val="24"/>
        </w:rPr>
        <w:t> </w:t>
      </w:r>
      <w:r>
        <w:rPr>
          <w:sz w:val="24"/>
        </w:rPr>
        <w:t>details;</w:t>
      </w:r>
    </w:p>
    <w:p>
      <w:pPr>
        <w:pStyle w:val="ListParagraph"/>
        <w:numPr>
          <w:ilvl w:val="1"/>
          <w:numId w:val="317"/>
        </w:numPr>
        <w:tabs>
          <w:tab w:pos="2485" w:val="left" w:leader="none"/>
          <w:tab w:pos="2486" w:val="left" w:leader="none"/>
        </w:tabs>
        <w:spacing w:line="240" w:lineRule="auto" w:before="120" w:after="0"/>
        <w:ind w:left="2486" w:right="415" w:hanging="567"/>
        <w:jc w:val="left"/>
        <w:rPr>
          <w:sz w:val="24"/>
        </w:rPr>
      </w:pPr>
      <w:r>
        <w:rPr>
          <w:i/>
          <w:sz w:val="24"/>
        </w:rPr>
        <w:t>metering system </w:t>
      </w:r>
      <w:r>
        <w:rPr>
          <w:sz w:val="24"/>
        </w:rPr>
        <w:t>design details for any metering equipment being provided by the </w:t>
      </w:r>
      <w:r>
        <w:rPr>
          <w:i/>
          <w:sz w:val="24"/>
        </w:rPr>
        <w:t>Market Network Service</w:t>
      </w:r>
      <w:r>
        <w:rPr>
          <w:i/>
          <w:spacing w:val="-1"/>
          <w:sz w:val="24"/>
        </w:rPr>
        <w:t> </w:t>
      </w:r>
      <w:r>
        <w:rPr>
          <w:i/>
          <w:sz w:val="24"/>
        </w:rPr>
        <w:t>Provider</w:t>
      </w:r>
      <w:r>
        <w:rPr>
          <w:sz w:val="24"/>
        </w:rPr>
        <w:t>;</w:t>
      </w:r>
    </w:p>
    <w:p>
      <w:pPr>
        <w:pStyle w:val="ListParagraph"/>
        <w:numPr>
          <w:ilvl w:val="1"/>
          <w:numId w:val="317"/>
        </w:numPr>
        <w:tabs>
          <w:tab w:pos="2485" w:val="left" w:leader="none"/>
          <w:tab w:pos="2486" w:val="left" w:leader="none"/>
        </w:tabs>
        <w:spacing w:line="240" w:lineRule="auto" w:before="120" w:after="0"/>
        <w:ind w:left="2485" w:right="0" w:hanging="567"/>
        <w:jc w:val="left"/>
        <w:rPr>
          <w:sz w:val="24"/>
        </w:rPr>
      </w:pPr>
      <w:r>
        <w:rPr>
          <w:sz w:val="24"/>
        </w:rPr>
        <w:t>a general arrangement locating all relevant equipment on the</w:t>
      </w:r>
      <w:r>
        <w:rPr>
          <w:spacing w:val="-4"/>
          <w:sz w:val="24"/>
        </w:rPr>
        <w:t> </w:t>
      </w:r>
      <w:r>
        <w:rPr>
          <w:sz w:val="24"/>
        </w:rPr>
        <w:t>site;</w:t>
      </w:r>
    </w:p>
    <w:p>
      <w:pPr>
        <w:pStyle w:val="ListParagraph"/>
        <w:numPr>
          <w:ilvl w:val="1"/>
          <w:numId w:val="317"/>
        </w:numPr>
        <w:tabs>
          <w:tab w:pos="2486" w:val="left" w:leader="none"/>
        </w:tabs>
        <w:spacing w:line="240" w:lineRule="auto" w:before="120" w:after="0"/>
        <w:ind w:left="2486" w:right="416" w:hanging="567"/>
        <w:jc w:val="both"/>
        <w:rPr>
          <w:sz w:val="24"/>
        </w:rPr>
      </w:pPr>
      <w:r>
        <w:rPr>
          <w:sz w:val="24"/>
        </w:rPr>
        <w:t>a general arrangement for each new or altered </w:t>
      </w:r>
      <w:r>
        <w:rPr>
          <w:i/>
          <w:sz w:val="24"/>
        </w:rPr>
        <w:t>substation </w:t>
      </w:r>
      <w:r>
        <w:rPr>
          <w:sz w:val="24"/>
        </w:rPr>
        <w:t>showing all exits and the position of all electrical</w:t>
      </w:r>
      <w:r>
        <w:rPr>
          <w:spacing w:val="-2"/>
          <w:sz w:val="24"/>
        </w:rPr>
        <w:t> </w:t>
      </w:r>
      <w:r>
        <w:rPr>
          <w:sz w:val="24"/>
        </w:rPr>
        <w:t>equipment;</w:t>
      </w:r>
    </w:p>
    <w:p>
      <w:pPr>
        <w:pStyle w:val="ListParagraph"/>
        <w:numPr>
          <w:ilvl w:val="1"/>
          <w:numId w:val="317"/>
        </w:numPr>
        <w:tabs>
          <w:tab w:pos="2486" w:val="left" w:leader="none"/>
        </w:tabs>
        <w:spacing w:line="240" w:lineRule="auto" w:before="120" w:after="0"/>
        <w:ind w:left="2486" w:right="415" w:hanging="567"/>
        <w:jc w:val="both"/>
        <w:rPr>
          <w:sz w:val="24"/>
        </w:rPr>
      </w:pPr>
      <w:r>
        <w:rPr>
          <w:sz w:val="24"/>
        </w:rPr>
        <w:t>type test certificates for all new switchgear and </w:t>
      </w:r>
      <w:r>
        <w:rPr>
          <w:i/>
          <w:sz w:val="24"/>
        </w:rPr>
        <w:t>transformers</w:t>
      </w:r>
      <w:r>
        <w:rPr>
          <w:sz w:val="24"/>
        </w:rPr>
        <w:t>, including measurement </w:t>
      </w:r>
      <w:r>
        <w:rPr>
          <w:i/>
          <w:sz w:val="24"/>
        </w:rPr>
        <w:t>transformers </w:t>
      </w:r>
      <w:r>
        <w:rPr>
          <w:sz w:val="24"/>
        </w:rPr>
        <w:t>to be used for </w:t>
      </w:r>
      <w:r>
        <w:rPr>
          <w:i/>
          <w:sz w:val="24"/>
        </w:rPr>
        <w:t>metering </w:t>
      </w:r>
      <w:r>
        <w:rPr>
          <w:sz w:val="24"/>
        </w:rPr>
        <w:t>purposes in accordance with Chapter 7 of the</w:t>
      </w:r>
      <w:r>
        <w:rPr>
          <w:spacing w:val="-2"/>
          <w:sz w:val="24"/>
        </w:rPr>
        <w:t> </w:t>
      </w:r>
      <w:r>
        <w:rPr>
          <w:i/>
          <w:sz w:val="24"/>
        </w:rPr>
        <w:t>Rules</w:t>
      </w:r>
      <w:r>
        <w:rPr>
          <w:sz w:val="24"/>
        </w:rPr>
        <w:t>;</w:t>
      </w:r>
    </w:p>
    <w:p>
      <w:pPr>
        <w:pStyle w:val="ListParagraph"/>
        <w:numPr>
          <w:ilvl w:val="1"/>
          <w:numId w:val="317"/>
        </w:numPr>
        <w:tabs>
          <w:tab w:pos="2486" w:val="left" w:leader="none"/>
        </w:tabs>
        <w:spacing w:line="240" w:lineRule="auto" w:before="120" w:after="0"/>
        <w:ind w:left="2485" w:right="0" w:hanging="567"/>
        <w:jc w:val="both"/>
        <w:rPr>
          <w:sz w:val="24"/>
        </w:rPr>
      </w:pPr>
      <w:r>
        <w:rPr>
          <w:sz w:val="24"/>
        </w:rPr>
        <w:t>earthing</w:t>
      </w:r>
      <w:r>
        <w:rPr>
          <w:spacing w:val="-1"/>
          <w:sz w:val="24"/>
        </w:rPr>
        <w:t> </w:t>
      </w:r>
      <w:r>
        <w:rPr>
          <w:sz w:val="24"/>
        </w:rPr>
        <w:t>details;</w:t>
      </w:r>
    </w:p>
    <w:p>
      <w:pPr>
        <w:pStyle w:val="ListParagraph"/>
        <w:numPr>
          <w:ilvl w:val="1"/>
          <w:numId w:val="317"/>
        </w:numPr>
        <w:tabs>
          <w:tab w:pos="2485" w:val="left" w:leader="none"/>
          <w:tab w:pos="2486" w:val="left" w:leader="none"/>
        </w:tabs>
        <w:spacing w:line="240" w:lineRule="auto" w:before="120" w:after="0"/>
        <w:ind w:left="2486" w:right="415" w:hanging="567"/>
        <w:jc w:val="left"/>
        <w:rPr>
          <w:sz w:val="24"/>
        </w:rPr>
      </w:pPr>
      <w:r>
        <w:rPr>
          <w:sz w:val="24"/>
        </w:rPr>
        <w:t>the proposed methods of earthing cables and other equipment </w:t>
      </w:r>
      <w:r>
        <w:rPr>
          <w:spacing w:val="-6"/>
          <w:sz w:val="24"/>
        </w:rPr>
        <w:t>to </w:t>
      </w:r>
      <w:r>
        <w:rPr>
          <w:sz w:val="24"/>
        </w:rPr>
        <w:t>comply with the regulations of the relevant </w:t>
      </w:r>
      <w:r>
        <w:rPr>
          <w:i/>
          <w:sz w:val="24"/>
        </w:rPr>
        <w:t>participating</w:t>
      </w:r>
      <w:r>
        <w:rPr>
          <w:i/>
          <w:spacing w:val="-5"/>
          <w:sz w:val="24"/>
        </w:rPr>
        <w:t> </w:t>
      </w:r>
      <w:r>
        <w:rPr>
          <w:i/>
          <w:sz w:val="24"/>
        </w:rPr>
        <w:t>jurisdiction</w:t>
      </w:r>
      <w:r>
        <w:rPr>
          <w:sz w:val="24"/>
        </w:rPr>
        <w:t>;</w:t>
      </w:r>
    </w:p>
    <w:p>
      <w:pPr>
        <w:pStyle w:val="ListParagraph"/>
        <w:numPr>
          <w:ilvl w:val="1"/>
          <w:numId w:val="317"/>
        </w:numPr>
        <w:tabs>
          <w:tab w:pos="2485" w:val="left" w:leader="none"/>
          <w:tab w:pos="2486" w:val="left" w:leader="none"/>
        </w:tabs>
        <w:spacing w:line="240" w:lineRule="auto" w:before="120" w:after="0"/>
        <w:ind w:left="2485" w:right="0" w:hanging="567"/>
        <w:jc w:val="left"/>
        <w:rPr>
          <w:sz w:val="24"/>
        </w:rPr>
      </w:pPr>
      <w:r>
        <w:rPr>
          <w:i/>
          <w:sz w:val="24"/>
        </w:rPr>
        <w:t>plant </w:t>
      </w:r>
      <w:r>
        <w:rPr>
          <w:sz w:val="24"/>
        </w:rPr>
        <w:t>and earth grid test certificates from approved test</w:t>
      </w:r>
      <w:r>
        <w:rPr>
          <w:spacing w:val="-3"/>
          <w:sz w:val="24"/>
        </w:rPr>
        <w:t> </w:t>
      </w:r>
      <w:r>
        <w:rPr>
          <w:sz w:val="24"/>
        </w:rPr>
        <w:t>authorities;</w:t>
      </w:r>
    </w:p>
    <w:p>
      <w:pPr>
        <w:pStyle w:val="ListParagraph"/>
        <w:numPr>
          <w:ilvl w:val="1"/>
          <w:numId w:val="317"/>
        </w:numPr>
        <w:tabs>
          <w:tab w:pos="2485" w:val="left" w:leader="none"/>
          <w:tab w:pos="2486" w:val="left" w:leader="none"/>
        </w:tabs>
        <w:spacing w:line="240" w:lineRule="auto" w:before="120" w:after="0"/>
        <w:ind w:left="2485" w:right="0" w:hanging="567"/>
        <w:jc w:val="left"/>
        <w:rPr>
          <w:sz w:val="24"/>
        </w:rPr>
      </w:pPr>
      <w:r>
        <w:rPr>
          <w:sz w:val="24"/>
        </w:rPr>
        <w:t>a secondary injection and trip test certificate on all circuit</w:t>
      </w:r>
      <w:r>
        <w:rPr>
          <w:spacing w:val="-9"/>
          <w:sz w:val="24"/>
        </w:rPr>
        <w:t> </w:t>
      </w:r>
      <w:r>
        <w:rPr>
          <w:sz w:val="24"/>
        </w:rPr>
        <w:t>breakers;</w:t>
      </w:r>
    </w:p>
    <w:p>
      <w:pPr>
        <w:pStyle w:val="ListParagraph"/>
        <w:numPr>
          <w:ilvl w:val="1"/>
          <w:numId w:val="317"/>
        </w:numPr>
        <w:tabs>
          <w:tab w:pos="2486" w:val="left" w:leader="none"/>
        </w:tabs>
        <w:spacing w:line="240" w:lineRule="auto" w:before="120" w:after="0"/>
        <w:ind w:left="2485" w:right="0" w:hanging="567"/>
        <w:jc w:val="left"/>
        <w:rPr>
          <w:sz w:val="24"/>
        </w:rPr>
      </w:pPr>
      <w:r>
        <w:rPr>
          <w:sz w:val="24"/>
        </w:rPr>
        <w:t>certification</w:t>
      </w:r>
      <w:r>
        <w:rPr>
          <w:spacing w:val="28"/>
          <w:sz w:val="24"/>
        </w:rPr>
        <w:t> </w:t>
      </w:r>
      <w:r>
        <w:rPr>
          <w:sz w:val="24"/>
        </w:rPr>
        <w:t>that</w:t>
      </w:r>
      <w:r>
        <w:rPr>
          <w:spacing w:val="29"/>
          <w:sz w:val="24"/>
        </w:rPr>
        <w:t> </w:t>
      </w:r>
      <w:r>
        <w:rPr>
          <w:sz w:val="24"/>
        </w:rPr>
        <w:t>all</w:t>
      </w:r>
      <w:r>
        <w:rPr>
          <w:spacing w:val="29"/>
          <w:sz w:val="24"/>
        </w:rPr>
        <w:t> </w:t>
      </w:r>
      <w:r>
        <w:rPr>
          <w:sz w:val="24"/>
        </w:rPr>
        <w:t>new</w:t>
      </w:r>
      <w:r>
        <w:rPr>
          <w:spacing w:val="28"/>
          <w:sz w:val="24"/>
        </w:rPr>
        <w:t> </w:t>
      </w:r>
      <w:r>
        <w:rPr>
          <w:sz w:val="24"/>
        </w:rPr>
        <w:t>equipment</w:t>
      </w:r>
      <w:r>
        <w:rPr>
          <w:spacing w:val="29"/>
          <w:sz w:val="24"/>
        </w:rPr>
        <w:t> </w:t>
      </w:r>
      <w:r>
        <w:rPr>
          <w:sz w:val="24"/>
        </w:rPr>
        <w:t>has</w:t>
      </w:r>
      <w:r>
        <w:rPr>
          <w:spacing w:val="29"/>
          <w:sz w:val="24"/>
        </w:rPr>
        <w:t> </w:t>
      </w:r>
      <w:r>
        <w:rPr>
          <w:sz w:val="24"/>
        </w:rPr>
        <w:t>been</w:t>
      </w:r>
      <w:r>
        <w:rPr>
          <w:spacing w:val="28"/>
          <w:sz w:val="24"/>
        </w:rPr>
        <w:t> </w:t>
      </w:r>
      <w:r>
        <w:rPr>
          <w:sz w:val="24"/>
        </w:rPr>
        <w:t>inspected</w:t>
      </w:r>
      <w:r>
        <w:rPr>
          <w:spacing w:val="29"/>
          <w:sz w:val="24"/>
        </w:rPr>
        <w:t> </w:t>
      </w:r>
      <w:r>
        <w:rPr>
          <w:sz w:val="24"/>
        </w:rPr>
        <w:t>before</w:t>
      </w:r>
      <w:r>
        <w:rPr>
          <w:spacing w:val="29"/>
          <w:sz w:val="24"/>
        </w:rPr>
        <w:t> </w:t>
      </w:r>
      <w:r>
        <w:rPr>
          <w:sz w:val="24"/>
        </w:rPr>
        <w:t>being</w:t>
      </w:r>
    </w:p>
    <w:p>
      <w:pPr>
        <w:spacing w:before="0"/>
        <w:ind w:left="2486" w:right="0" w:firstLine="0"/>
        <w:jc w:val="left"/>
        <w:rPr>
          <w:sz w:val="24"/>
        </w:rPr>
      </w:pPr>
      <w:r>
        <w:rPr>
          <w:i/>
          <w:sz w:val="24"/>
        </w:rPr>
        <w:t>connected </w:t>
      </w:r>
      <w:r>
        <w:rPr>
          <w:sz w:val="24"/>
        </w:rPr>
        <w:t>to the </w:t>
      </w:r>
      <w:r>
        <w:rPr>
          <w:i/>
          <w:sz w:val="24"/>
        </w:rPr>
        <w:t>supply</w:t>
      </w:r>
      <w:r>
        <w:rPr>
          <w:sz w:val="24"/>
        </w:rPr>
        <w:t>; and</w:t>
      </w:r>
    </w:p>
    <w:p>
      <w:pPr>
        <w:pStyle w:val="ListParagraph"/>
        <w:numPr>
          <w:ilvl w:val="1"/>
          <w:numId w:val="317"/>
        </w:numPr>
        <w:tabs>
          <w:tab w:pos="2486" w:val="left" w:leader="none"/>
        </w:tabs>
        <w:spacing w:line="240" w:lineRule="auto" w:before="120" w:after="0"/>
        <w:ind w:left="2485" w:right="0" w:hanging="567"/>
        <w:jc w:val="left"/>
        <w:rPr>
          <w:sz w:val="24"/>
        </w:rPr>
      </w:pPr>
      <w:r>
        <w:rPr>
          <w:sz w:val="24"/>
        </w:rPr>
        <w:t>operational</w:t>
      </w:r>
      <w:r>
        <w:rPr>
          <w:spacing w:val="-1"/>
          <w:sz w:val="24"/>
        </w:rPr>
        <w:t> </w:t>
      </w:r>
      <w:r>
        <w:rPr>
          <w:sz w:val="24"/>
        </w:rPr>
        <w:t>arrangements.</w:t>
      </w:r>
    </w:p>
    <w:p>
      <w:pPr>
        <w:spacing w:before="120"/>
        <w:ind w:left="1919" w:right="0" w:hanging="567"/>
        <w:jc w:val="left"/>
        <w:rPr>
          <w:sz w:val="24"/>
        </w:rPr>
      </w:pPr>
      <w:r>
        <w:rPr>
          <w:sz w:val="24"/>
        </w:rPr>
        <w:t>(a1) Before a </w:t>
      </w:r>
      <w:r>
        <w:rPr>
          <w:i/>
          <w:sz w:val="24"/>
        </w:rPr>
        <w:t>Market Network Service Provider connects </w:t>
      </w:r>
      <w:r>
        <w:rPr>
          <w:sz w:val="24"/>
        </w:rPr>
        <w:t>any new or additional equipment to a </w:t>
      </w:r>
      <w:r>
        <w:rPr>
          <w:i/>
          <w:sz w:val="24"/>
        </w:rPr>
        <w:t>network</w:t>
      </w:r>
      <w:r>
        <w:rPr>
          <w:sz w:val="24"/>
        </w:rPr>
        <w:t>, the </w:t>
      </w:r>
      <w:r>
        <w:rPr>
          <w:i/>
          <w:sz w:val="24"/>
        </w:rPr>
        <w:t>Market Network Service Provider </w:t>
      </w:r>
      <w:r>
        <w:rPr>
          <w:sz w:val="24"/>
        </w:rPr>
        <w:t>must submit:</w:t>
      </w:r>
    </w:p>
    <w:p>
      <w:pPr>
        <w:pStyle w:val="ListParagraph"/>
        <w:numPr>
          <w:ilvl w:val="0"/>
          <w:numId w:val="318"/>
        </w:numPr>
        <w:tabs>
          <w:tab w:pos="2485" w:val="left" w:leader="none"/>
          <w:tab w:pos="2486" w:val="left" w:leader="none"/>
        </w:tabs>
        <w:spacing w:line="240" w:lineRule="auto" w:before="120" w:after="0"/>
        <w:ind w:left="2486" w:right="415" w:hanging="567"/>
        <w:jc w:val="left"/>
        <w:rPr>
          <w:sz w:val="24"/>
        </w:rPr>
      </w:pPr>
      <w:r>
        <w:rPr>
          <w:sz w:val="24"/>
        </w:rPr>
        <w:t>to </w:t>
      </w:r>
      <w:r>
        <w:rPr>
          <w:i/>
          <w:sz w:val="24"/>
        </w:rPr>
        <w:t>AEMO </w:t>
      </w:r>
      <w:r>
        <w:rPr>
          <w:sz w:val="24"/>
        </w:rPr>
        <w:t>and the relevant </w:t>
      </w:r>
      <w:r>
        <w:rPr>
          <w:i/>
          <w:sz w:val="24"/>
        </w:rPr>
        <w:t>Network Service Provider</w:t>
      </w:r>
      <w:r>
        <w:rPr>
          <w:sz w:val="24"/>
        </w:rPr>
        <w:t>(s), information about the </w:t>
      </w:r>
      <w:r>
        <w:rPr>
          <w:i/>
          <w:sz w:val="24"/>
        </w:rPr>
        <w:t>protection systems </w:t>
      </w:r>
      <w:r>
        <w:rPr>
          <w:sz w:val="24"/>
        </w:rPr>
        <w:t>of the</w:t>
      </w:r>
      <w:r>
        <w:rPr>
          <w:spacing w:val="-3"/>
          <w:sz w:val="24"/>
        </w:rPr>
        <w:t> </w:t>
      </w:r>
      <w:r>
        <w:rPr>
          <w:sz w:val="24"/>
        </w:rPr>
        <w:t>equipment;</w:t>
      </w:r>
    </w:p>
    <w:p>
      <w:pPr>
        <w:spacing w:after="0" w:line="240" w:lineRule="auto"/>
        <w:jc w:val="left"/>
        <w:rPr>
          <w:sz w:val="24"/>
        </w:rPr>
        <w:sectPr>
          <w:pgSz w:w="11910" w:h="16840"/>
          <w:pgMar w:header="686" w:footer="637" w:top="1320" w:bottom="820" w:left="1200" w:right="1000"/>
        </w:sectPr>
      </w:pPr>
    </w:p>
    <w:p>
      <w:pPr>
        <w:pStyle w:val="ListParagraph"/>
        <w:numPr>
          <w:ilvl w:val="0"/>
          <w:numId w:val="318"/>
        </w:numPr>
        <w:tabs>
          <w:tab w:pos="2485" w:val="left" w:leader="none"/>
          <w:tab w:pos="2486" w:val="left" w:leader="none"/>
        </w:tabs>
        <w:spacing w:line="240" w:lineRule="auto" w:before="83" w:after="0"/>
        <w:ind w:left="2486" w:right="415" w:hanging="567"/>
        <w:jc w:val="left"/>
        <w:rPr>
          <w:sz w:val="24"/>
        </w:rPr>
      </w:pPr>
      <w:r>
        <w:rPr>
          <w:sz w:val="24"/>
        </w:rPr>
        <w:t>to </w:t>
      </w:r>
      <w:r>
        <w:rPr>
          <w:i/>
          <w:sz w:val="24"/>
        </w:rPr>
        <w:t>AEMO </w:t>
      </w:r>
      <w:r>
        <w:rPr>
          <w:sz w:val="24"/>
        </w:rPr>
        <w:t>and the relevant </w:t>
      </w:r>
      <w:r>
        <w:rPr>
          <w:i/>
          <w:sz w:val="24"/>
        </w:rPr>
        <w:t>Network Service Provider</w:t>
      </w:r>
      <w:r>
        <w:rPr>
          <w:sz w:val="24"/>
        </w:rPr>
        <w:t>(s), information about the </w:t>
      </w:r>
      <w:r>
        <w:rPr>
          <w:i/>
          <w:sz w:val="24"/>
        </w:rPr>
        <w:t>control systems </w:t>
      </w:r>
      <w:r>
        <w:rPr>
          <w:sz w:val="24"/>
        </w:rPr>
        <w:t>of the equipment</w:t>
      </w:r>
      <w:r>
        <w:rPr>
          <w:spacing w:val="-3"/>
          <w:sz w:val="24"/>
        </w:rPr>
        <w:t> </w:t>
      </w:r>
      <w:r>
        <w:rPr>
          <w:sz w:val="24"/>
        </w:rPr>
        <w:t>including:</w:t>
      </w:r>
    </w:p>
    <w:p>
      <w:pPr>
        <w:pStyle w:val="ListParagraph"/>
        <w:numPr>
          <w:ilvl w:val="1"/>
          <w:numId w:val="318"/>
        </w:numPr>
        <w:tabs>
          <w:tab w:pos="3052" w:val="left" w:leader="none"/>
          <w:tab w:pos="3053" w:val="left" w:leader="none"/>
        </w:tabs>
        <w:spacing w:line="240" w:lineRule="auto" w:before="120" w:after="0"/>
        <w:ind w:left="3053" w:right="415" w:hanging="567"/>
        <w:jc w:val="left"/>
        <w:rPr>
          <w:sz w:val="24"/>
        </w:rPr>
      </w:pPr>
      <w:r>
        <w:rPr>
          <w:sz w:val="24"/>
        </w:rPr>
        <w:t>a set of functional block diagrams, including all functions between feedback signals and</w:t>
      </w:r>
      <w:r>
        <w:rPr>
          <w:spacing w:val="-2"/>
          <w:sz w:val="24"/>
        </w:rPr>
        <w:t> </w:t>
      </w:r>
      <w:r>
        <w:rPr>
          <w:sz w:val="24"/>
        </w:rPr>
        <w:t>output;</w:t>
      </w:r>
    </w:p>
    <w:p>
      <w:pPr>
        <w:pStyle w:val="ListParagraph"/>
        <w:numPr>
          <w:ilvl w:val="1"/>
          <w:numId w:val="318"/>
        </w:numPr>
        <w:tabs>
          <w:tab w:pos="3052" w:val="left" w:leader="none"/>
          <w:tab w:pos="3054" w:val="left" w:leader="none"/>
        </w:tabs>
        <w:spacing w:line="240" w:lineRule="auto" w:before="120" w:after="0"/>
        <w:ind w:left="3053" w:right="415" w:hanging="567"/>
        <w:jc w:val="left"/>
        <w:rPr>
          <w:sz w:val="24"/>
        </w:rPr>
      </w:pPr>
      <w:r>
        <w:rPr>
          <w:sz w:val="24"/>
        </w:rPr>
        <w:t>the parameters of each functional block, including all settings, gains, time constraints, delays, deadbands and</w:t>
      </w:r>
      <w:r>
        <w:rPr>
          <w:spacing w:val="-1"/>
          <w:sz w:val="24"/>
        </w:rPr>
        <w:t> </w:t>
      </w:r>
      <w:r>
        <w:rPr>
          <w:sz w:val="24"/>
        </w:rPr>
        <w:t>limits;</w:t>
      </w:r>
    </w:p>
    <w:p>
      <w:pPr>
        <w:pStyle w:val="ListParagraph"/>
        <w:numPr>
          <w:ilvl w:val="1"/>
          <w:numId w:val="318"/>
        </w:numPr>
        <w:tabs>
          <w:tab w:pos="3052" w:val="left" w:leader="none"/>
          <w:tab w:pos="3053" w:val="left" w:leader="none"/>
        </w:tabs>
        <w:spacing w:line="240" w:lineRule="auto" w:before="120" w:after="0"/>
        <w:ind w:left="3052" w:right="0" w:hanging="567"/>
        <w:jc w:val="left"/>
        <w:rPr>
          <w:sz w:val="24"/>
        </w:rPr>
      </w:pPr>
      <w:r>
        <w:rPr>
          <w:sz w:val="24"/>
        </w:rPr>
        <w:t>the characteristics of non-linear</w:t>
      </w:r>
      <w:r>
        <w:rPr>
          <w:spacing w:val="-1"/>
          <w:sz w:val="24"/>
        </w:rPr>
        <w:t> </w:t>
      </w:r>
      <w:r>
        <w:rPr>
          <w:sz w:val="24"/>
        </w:rPr>
        <w:t>elements;</w:t>
      </w:r>
    </w:p>
    <w:p>
      <w:pPr>
        <w:pStyle w:val="ListParagraph"/>
        <w:numPr>
          <w:ilvl w:val="1"/>
          <w:numId w:val="318"/>
        </w:numPr>
        <w:tabs>
          <w:tab w:pos="3054" w:val="left" w:leader="none"/>
        </w:tabs>
        <w:spacing w:line="240" w:lineRule="auto" w:before="120" w:after="0"/>
        <w:ind w:left="3053" w:right="415" w:hanging="567"/>
        <w:jc w:val="both"/>
        <w:rPr>
          <w:sz w:val="24"/>
        </w:rPr>
      </w:pPr>
      <w:r>
        <w:rPr>
          <w:sz w:val="24"/>
        </w:rPr>
        <w:t>encrypted models in a form suitable for the software simulation products nominated by </w:t>
      </w:r>
      <w:r>
        <w:rPr>
          <w:i/>
          <w:sz w:val="24"/>
        </w:rPr>
        <w:t>AEMO </w:t>
      </w:r>
      <w:r>
        <w:rPr>
          <w:sz w:val="24"/>
        </w:rPr>
        <w:t>in the </w:t>
      </w:r>
      <w:r>
        <w:rPr>
          <w:i/>
          <w:sz w:val="24"/>
        </w:rPr>
        <w:t>Power System </w:t>
      </w:r>
      <w:r>
        <w:rPr>
          <w:i/>
          <w:spacing w:val="-3"/>
          <w:sz w:val="24"/>
        </w:rPr>
        <w:t>Model </w:t>
      </w:r>
      <w:r>
        <w:rPr>
          <w:i/>
          <w:sz w:val="24"/>
        </w:rPr>
        <w:t>Guidelines</w:t>
      </w:r>
      <w:r>
        <w:rPr>
          <w:sz w:val="24"/>
        </w:rPr>
        <w:t>;</w:t>
      </w:r>
    </w:p>
    <w:p>
      <w:pPr>
        <w:pStyle w:val="ListParagraph"/>
        <w:numPr>
          <w:ilvl w:val="0"/>
          <w:numId w:val="318"/>
        </w:numPr>
        <w:tabs>
          <w:tab w:pos="2486" w:val="left" w:leader="none"/>
        </w:tabs>
        <w:spacing w:line="240" w:lineRule="auto" w:before="120" w:after="0"/>
        <w:ind w:left="2486" w:right="415" w:hanging="567"/>
        <w:jc w:val="both"/>
        <w:rPr>
          <w:sz w:val="24"/>
        </w:rPr>
      </w:pPr>
      <w:r>
        <w:rPr>
          <w:sz w:val="24"/>
        </w:rPr>
        <w:t>to </w:t>
      </w:r>
      <w:r>
        <w:rPr>
          <w:i/>
          <w:sz w:val="24"/>
        </w:rPr>
        <w:t>AEMO </w:t>
      </w:r>
      <w:r>
        <w:rPr>
          <w:sz w:val="24"/>
        </w:rPr>
        <w:t>and the relevant </w:t>
      </w:r>
      <w:r>
        <w:rPr>
          <w:i/>
          <w:sz w:val="24"/>
        </w:rPr>
        <w:t>Network Service Provider</w:t>
      </w:r>
      <w:r>
        <w:rPr>
          <w:sz w:val="24"/>
        </w:rPr>
        <w:t>(s), any </w:t>
      </w:r>
      <w:r>
        <w:rPr>
          <w:spacing w:val="-3"/>
          <w:sz w:val="24"/>
        </w:rPr>
        <w:t>other </w:t>
      </w:r>
      <w:r>
        <w:rPr>
          <w:sz w:val="24"/>
        </w:rPr>
        <w:t>information specified in the </w:t>
      </w:r>
      <w:r>
        <w:rPr>
          <w:i/>
          <w:sz w:val="24"/>
        </w:rPr>
        <w:t>Power System Model Guidelines</w:t>
      </w:r>
      <w:r>
        <w:rPr>
          <w:sz w:val="24"/>
        </w:rPr>
        <w:t>, </w:t>
      </w:r>
      <w:r>
        <w:rPr>
          <w:i/>
          <w:sz w:val="24"/>
        </w:rPr>
        <w:t>Power </w:t>
      </w:r>
      <w:r>
        <w:rPr>
          <w:i/>
          <w:sz w:val="24"/>
        </w:rPr>
        <w:t>System Design Data Sheet </w:t>
      </w:r>
      <w:r>
        <w:rPr>
          <w:sz w:val="24"/>
        </w:rPr>
        <w:t>and </w:t>
      </w:r>
      <w:r>
        <w:rPr>
          <w:i/>
          <w:sz w:val="24"/>
        </w:rPr>
        <w:t>Power System Setting Data</w:t>
      </w:r>
      <w:r>
        <w:rPr>
          <w:i/>
          <w:spacing w:val="-10"/>
          <w:sz w:val="24"/>
        </w:rPr>
        <w:t> </w:t>
      </w:r>
      <w:r>
        <w:rPr>
          <w:i/>
          <w:sz w:val="24"/>
        </w:rPr>
        <w:t>Sheet</w:t>
      </w:r>
      <w:r>
        <w:rPr>
          <w:sz w:val="24"/>
        </w:rPr>
        <w:t>;</w:t>
      </w:r>
    </w:p>
    <w:p>
      <w:pPr>
        <w:pStyle w:val="ListParagraph"/>
        <w:numPr>
          <w:ilvl w:val="0"/>
          <w:numId w:val="318"/>
        </w:numPr>
        <w:tabs>
          <w:tab w:pos="2486" w:val="left" w:leader="none"/>
        </w:tabs>
        <w:spacing w:line="240" w:lineRule="auto" w:before="120" w:after="0"/>
        <w:ind w:left="2486" w:right="415" w:hanging="567"/>
        <w:jc w:val="both"/>
        <w:rPr>
          <w:sz w:val="24"/>
        </w:rPr>
      </w:pPr>
      <w:r>
        <w:rPr>
          <w:sz w:val="24"/>
        </w:rPr>
        <w:t>to </w:t>
      </w:r>
      <w:r>
        <w:rPr>
          <w:i/>
          <w:sz w:val="24"/>
        </w:rPr>
        <w:t>AEMO</w:t>
      </w:r>
      <w:r>
        <w:rPr>
          <w:sz w:val="24"/>
        </w:rPr>
        <w:t>, model source code (in the circumstances required by the </w:t>
      </w:r>
      <w:r>
        <w:rPr>
          <w:i/>
          <w:sz w:val="24"/>
        </w:rPr>
        <w:t>Power System Model Guidelines</w:t>
      </w:r>
      <w:r>
        <w:rPr>
          <w:sz w:val="24"/>
        </w:rPr>
        <w:t>) associated with the model in subparagraph (2)(iv) in an unencrypted form suitable for at least one of the software simulation products nominated by </w:t>
      </w:r>
      <w:r>
        <w:rPr>
          <w:i/>
          <w:sz w:val="24"/>
        </w:rPr>
        <w:t>AEMO </w:t>
      </w:r>
      <w:r>
        <w:rPr>
          <w:sz w:val="24"/>
        </w:rPr>
        <w:t>in the </w:t>
      </w:r>
      <w:r>
        <w:rPr>
          <w:i/>
          <w:sz w:val="24"/>
        </w:rPr>
        <w:t>Power </w:t>
      </w:r>
      <w:r>
        <w:rPr>
          <w:i/>
          <w:sz w:val="24"/>
        </w:rPr>
        <w:t>System Model Guidelines </w:t>
      </w:r>
      <w:r>
        <w:rPr>
          <w:sz w:val="24"/>
        </w:rPr>
        <w:t>and in a form that would allow conversion for use with other software simulation products nominated by </w:t>
      </w:r>
      <w:r>
        <w:rPr>
          <w:i/>
          <w:sz w:val="24"/>
        </w:rPr>
        <w:t>AEMO </w:t>
      </w:r>
      <w:r>
        <w:rPr>
          <w:sz w:val="24"/>
        </w:rPr>
        <w:t>in the </w:t>
      </w:r>
      <w:r>
        <w:rPr>
          <w:i/>
          <w:sz w:val="24"/>
        </w:rPr>
        <w:t>Power System Model</w:t>
      </w:r>
      <w:r>
        <w:rPr>
          <w:i/>
          <w:spacing w:val="-1"/>
          <w:sz w:val="24"/>
        </w:rPr>
        <w:t> </w:t>
      </w:r>
      <w:r>
        <w:rPr>
          <w:i/>
          <w:sz w:val="24"/>
        </w:rPr>
        <w:t>Guidelines</w:t>
      </w:r>
      <w:r>
        <w:rPr>
          <w:sz w:val="24"/>
        </w:rPr>
        <w:t>.</w:t>
      </w:r>
    </w:p>
    <w:p>
      <w:pPr>
        <w:spacing w:before="120"/>
        <w:ind w:left="1919" w:right="415" w:hanging="567"/>
        <w:jc w:val="both"/>
        <w:rPr>
          <w:sz w:val="24"/>
        </w:rPr>
      </w:pPr>
      <w:r>
        <w:rPr>
          <w:sz w:val="24"/>
        </w:rPr>
        <w:t>(a2) The information provided under paragraph (a1) must contain  sufficient  detail for </w:t>
      </w:r>
      <w:r>
        <w:rPr>
          <w:i/>
          <w:sz w:val="24"/>
        </w:rPr>
        <w:t>AEMO </w:t>
      </w:r>
      <w:r>
        <w:rPr>
          <w:sz w:val="24"/>
        </w:rPr>
        <w:t>and the relevant </w:t>
      </w:r>
      <w:r>
        <w:rPr>
          <w:i/>
          <w:sz w:val="24"/>
        </w:rPr>
        <w:t>Network Service Provider</w:t>
      </w:r>
      <w:r>
        <w:rPr>
          <w:sz w:val="24"/>
        </w:rPr>
        <w:t>(s) to perform </w:t>
      </w:r>
      <w:r>
        <w:rPr>
          <w:i/>
          <w:sz w:val="24"/>
        </w:rPr>
        <w:t>power system </w:t>
      </w:r>
      <w:r>
        <w:rPr>
          <w:sz w:val="24"/>
        </w:rPr>
        <w:t>simulation studies in accordance with the requirements and circumstances specified in the </w:t>
      </w:r>
      <w:r>
        <w:rPr>
          <w:i/>
          <w:sz w:val="24"/>
        </w:rPr>
        <w:t>Power System Model</w:t>
      </w:r>
      <w:r>
        <w:rPr>
          <w:i/>
          <w:spacing w:val="-6"/>
          <w:sz w:val="24"/>
        </w:rPr>
        <w:t> </w:t>
      </w:r>
      <w:r>
        <w:rPr>
          <w:i/>
          <w:sz w:val="24"/>
        </w:rPr>
        <w:t>Guidelines</w:t>
      </w:r>
      <w:r>
        <w:rPr>
          <w:sz w:val="24"/>
        </w:rPr>
        <w:t>.</w:t>
      </w:r>
    </w:p>
    <w:p>
      <w:pPr>
        <w:spacing w:before="120"/>
        <w:ind w:left="1919" w:right="415" w:hanging="567"/>
        <w:jc w:val="both"/>
        <w:rPr>
          <w:sz w:val="24"/>
        </w:rPr>
      </w:pPr>
      <w:r>
        <w:rPr>
          <w:sz w:val="24"/>
        </w:rPr>
        <w:t>(a3) All information provided to </w:t>
      </w:r>
      <w:r>
        <w:rPr>
          <w:i/>
          <w:sz w:val="24"/>
        </w:rPr>
        <w:t>AEMO </w:t>
      </w:r>
      <w:r>
        <w:rPr>
          <w:sz w:val="24"/>
        </w:rPr>
        <w:t>and the relevant </w:t>
      </w:r>
      <w:r>
        <w:rPr>
          <w:i/>
          <w:sz w:val="24"/>
        </w:rPr>
        <w:t>Network Service </w:t>
      </w:r>
      <w:r>
        <w:rPr>
          <w:i/>
          <w:sz w:val="24"/>
        </w:rPr>
        <w:t>Provider</w:t>
      </w:r>
      <w:r>
        <w:rPr>
          <w:sz w:val="24"/>
        </w:rPr>
        <w:t>(s) under paragraph (a1) must be treated as </w:t>
      </w:r>
      <w:r>
        <w:rPr>
          <w:i/>
          <w:sz w:val="24"/>
        </w:rPr>
        <w:t>confidential information </w:t>
      </w:r>
      <w:r>
        <w:rPr>
          <w:sz w:val="24"/>
        </w:rPr>
        <w:t>by those recipients.</w:t>
      </w:r>
    </w:p>
    <w:p>
      <w:pPr>
        <w:pStyle w:val="ListParagraph"/>
        <w:numPr>
          <w:ilvl w:val="0"/>
          <w:numId w:val="317"/>
        </w:numPr>
        <w:tabs>
          <w:tab w:pos="1919" w:val="left" w:leader="none"/>
        </w:tabs>
        <w:spacing w:line="240" w:lineRule="auto" w:before="120" w:after="0"/>
        <w:ind w:left="1919" w:right="415" w:hanging="567"/>
        <w:jc w:val="both"/>
        <w:rPr>
          <w:sz w:val="24"/>
        </w:rPr>
      </w:pPr>
      <w:r>
        <w:rPr>
          <w:sz w:val="24"/>
        </w:rPr>
        <w:t>For the purposes of clause 5.3.2(f) of the </w:t>
      </w:r>
      <w:r>
        <w:rPr>
          <w:i/>
          <w:sz w:val="24"/>
        </w:rPr>
        <w:t>Rules</w:t>
      </w:r>
      <w:r>
        <w:rPr>
          <w:sz w:val="24"/>
        </w:rPr>
        <w:t>, the technical information that a </w:t>
      </w:r>
      <w:r>
        <w:rPr>
          <w:i/>
          <w:sz w:val="24"/>
        </w:rPr>
        <w:t>Network Service Provider </w:t>
      </w:r>
      <w:r>
        <w:rPr>
          <w:sz w:val="24"/>
        </w:rPr>
        <w:t>must, if requested, provide to a </w:t>
      </w:r>
      <w:r>
        <w:rPr>
          <w:i/>
          <w:sz w:val="24"/>
        </w:rPr>
        <w:t>Connection </w:t>
      </w:r>
      <w:r>
        <w:rPr>
          <w:i/>
          <w:sz w:val="24"/>
        </w:rPr>
        <w:t>Applicant </w:t>
      </w:r>
      <w:r>
        <w:rPr>
          <w:sz w:val="24"/>
        </w:rPr>
        <w:t>in respect of the proposed </w:t>
      </w:r>
      <w:r>
        <w:rPr>
          <w:i/>
          <w:sz w:val="24"/>
        </w:rPr>
        <w:t>connection </w:t>
      </w:r>
      <w:r>
        <w:rPr>
          <w:sz w:val="24"/>
        </w:rPr>
        <w:t>of a </w:t>
      </w:r>
      <w:r>
        <w:rPr>
          <w:i/>
          <w:sz w:val="24"/>
        </w:rPr>
        <w:t>market network service </w:t>
      </w:r>
      <w:r>
        <w:rPr>
          <w:i/>
          <w:sz w:val="24"/>
        </w:rPr>
        <w:t>facility</w:t>
      </w:r>
      <w:r>
        <w:rPr>
          <w:i/>
          <w:spacing w:val="-1"/>
          <w:sz w:val="24"/>
        </w:rPr>
        <w:t> </w:t>
      </w:r>
      <w:r>
        <w:rPr>
          <w:sz w:val="24"/>
        </w:rPr>
        <w:t>includes:</w:t>
      </w:r>
    </w:p>
    <w:p>
      <w:pPr>
        <w:pStyle w:val="ListParagraph"/>
        <w:numPr>
          <w:ilvl w:val="1"/>
          <w:numId w:val="317"/>
        </w:numPr>
        <w:tabs>
          <w:tab w:pos="2486" w:val="left" w:leader="none"/>
        </w:tabs>
        <w:spacing w:line="240" w:lineRule="auto" w:before="120" w:after="0"/>
        <w:ind w:left="2485" w:right="0" w:hanging="567"/>
        <w:jc w:val="both"/>
        <w:rPr>
          <w:sz w:val="24"/>
        </w:rPr>
      </w:pPr>
      <w:r>
        <w:rPr>
          <w:sz w:val="24"/>
        </w:rPr>
        <w:t>the</w:t>
      </w:r>
      <w:r>
        <w:rPr>
          <w:spacing w:val="30"/>
          <w:sz w:val="24"/>
        </w:rPr>
        <w:t> </w:t>
      </w:r>
      <w:r>
        <w:rPr>
          <w:sz w:val="24"/>
        </w:rPr>
        <w:t>highest</w:t>
      </w:r>
      <w:r>
        <w:rPr>
          <w:spacing w:val="30"/>
          <w:sz w:val="24"/>
        </w:rPr>
        <w:t> </w:t>
      </w:r>
      <w:r>
        <w:rPr>
          <w:sz w:val="24"/>
        </w:rPr>
        <w:t>expected</w:t>
      </w:r>
      <w:r>
        <w:rPr>
          <w:spacing w:val="31"/>
          <w:sz w:val="24"/>
        </w:rPr>
        <w:t> </w:t>
      </w:r>
      <w:r>
        <w:rPr>
          <w:sz w:val="24"/>
        </w:rPr>
        <w:t>single</w:t>
      </w:r>
      <w:r>
        <w:rPr>
          <w:spacing w:val="30"/>
          <w:sz w:val="24"/>
        </w:rPr>
        <w:t> </w:t>
      </w:r>
      <w:r>
        <w:rPr>
          <w:sz w:val="24"/>
        </w:rPr>
        <w:t>phase</w:t>
      </w:r>
      <w:r>
        <w:rPr>
          <w:spacing w:val="31"/>
          <w:sz w:val="24"/>
        </w:rPr>
        <w:t> </w:t>
      </w:r>
      <w:r>
        <w:rPr>
          <w:sz w:val="24"/>
        </w:rPr>
        <w:t>and</w:t>
      </w:r>
      <w:r>
        <w:rPr>
          <w:spacing w:val="30"/>
          <w:sz w:val="24"/>
        </w:rPr>
        <w:t> </w:t>
      </w:r>
      <w:r>
        <w:rPr>
          <w:sz w:val="24"/>
        </w:rPr>
        <w:t>three</w:t>
      </w:r>
      <w:r>
        <w:rPr>
          <w:spacing w:val="31"/>
          <w:sz w:val="24"/>
        </w:rPr>
        <w:t> </w:t>
      </w:r>
      <w:r>
        <w:rPr>
          <w:sz w:val="24"/>
        </w:rPr>
        <w:t>phase</w:t>
      </w:r>
      <w:r>
        <w:rPr>
          <w:spacing w:val="30"/>
          <w:sz w:val="24"/>
        </w:rPr>
        <w:t> </w:t>
      </w:r>
      <w:r>
        <w:rPr>
          <w:sz w:val="24"/>
        </w:rPr>
        <w:t>fault</w:t>
      </w:r>
      <w:r>
        <w:rPr>
          <w:spacing w:val="31"/>
          <w:sz w:val="24"/>
        </w:rPr>
        <w:t> </w:t>
      </w:r>
      <w:r>
        <w:rPr>
          <w:sz w:val="24"/>
        </w:rPr>
        <w:t>levels</w:t>
      </w:r>
      <w:r>
        <w:rPr>
          <w:spacing w:val="30"/>
          <w:sz w:val="24"/>
        </w:rPr>
        <w:t> </w:t>
      </w:r>
      <w:r>
        <w:rPr>
          <w:sz w:val="24"/>
        </w:rPr>
        <w:t>at</w:t>
      </w:r>
      <w:r>
        <w:rPr>
          <w:spacing w:val="31"/>
          <w:sz w:val="24"/>
        </w:rPr>
        <w:t> </w:t>
      </w:r>
      <w:r>
        <w:rPr>
          <w:sz w:val="24"/>
        </w:rPr>
        <w:t>the</w:t>
      </w:r>
    </w:p>
    <w:p>
      <w:pPr>
        <w:spacing w:before="0"/>
        <w:ind w:left="2486" w:right="0" w:firstLine="0"/>
        <w:jc w:val="both"/>
        <w:rPr>
          <w:sz w:val="24"/>
        </w:rPr>
      </w:pPr>
      <w:r>
        <w:rPr>
          <w:i/>
          <w:sz w:val="24"/>
        </w:rPr>
        <w:t>connection point </w:t>
      </w:r>
      <w:r>
        <w:rPr>
          <w:sz w:val="24"/>
        </w:rPr>
        <w:t>without the proposed </w:t>
      </w:r>
      <w:r>
        <w:rPr>
          <w:i/>
          <w:sz w:val="24"/>
        </w:rPr>
        <w:t>connection</w:t>
      </w:r>
      <w:r>
        <w:rPr>
          <w:sz w:val="24"/>
        </w:rPr>
        <w:t>;</w:t>
      </w:r>
    </w:p>
    <w:p>
      <w:pPr>
        <w:pStyle w:val="ListParagraph"/>
        <w:numPr>
          <w:ilvl w:val="1"/>
          <w:numId w:val="317"/>
        </w:numPr>
        <w:tabs>
          <w:tab w:pos="2486" w:val="left" w:leader="none"/>
        </w:tabs>
        <w:spacing w:line="240" w:lineRule="auto" w:before="120" w:after="0"/>
        <w:ind w:left="2486" w:right="415" w:hanging="567"/>
        <w:jc w:val="both"/>
        <w:rPr>
          <w:sz w:val="24"/>
        </w:rPr>
      </w:pPr>
      <w:r>
        <w:rPr>
          <w:sz w:val="24"/>
        </w:rPr>
        <w:t>the clearing times of the existing </w:t>
      </w:r>
      <w:r>
        <w:rPr>
          <w:i/>
          <w:sz w:val="24"/>
        </w:rPr>
        <w:t>protection systems </w:t>
      </w:r>
      <w:r>
        <w:rPr>
          <w:sz w:val="24"/>
        </w:rPr>
        <w:t>that would clear a fault at the location at which the new </w:t>
      </w:r>
      <w:r>
        <w:rPr>
          <w:i/>
          <w:sz w:val="24"/>
        </w:rPr>
        <w:t>connection </w:t>
      </w:r>
      <w:r>
        <w:rPr>
          <w:sz w:val="24"/>
        </w:rPr>
        <w:t>would be connected into the existing </w:t>
      </w:r>
      <w:r>
        <w:rPr>
          <w:i/>
          <w:sz w:val="24"/>
        </w:rPr>
        <w:t>transmission system </w:t>
      </w:r>
      <w:r>
        <w:rPr>
          <w:sz w:val="24"/>
        </w:rPr>
        <w:t>or </w:t>
      </w:r>
      <w:r>
        <w:rPr>
          <w:i/>
          <w:sz w:val="24"/>
        </w:rPr>
        <w:t>distribution</w:t>
      </w:r>
      <w:r>
        <w:rPr>
          <w:i/>
          <w:spacing w:val="-5"/>
          <w:sz w:val="24"/>
        </w:rPr>
        <w:t> </w:t>
      </w:r>
      <w:r>
        <w:rPr>
          <w:i/>
          <w:sz w:val="24"/>
        </w:rPr>
        <w:t>system</w:t>
      </w:r>
      <w:r>
        <w:rPr>
          <w:sz w:val="24"/>
        </w:rPr>
        <w:t>;</w:t>
      </w:r>
    </w:p>
    <w:p>
      <w:pPr>
        <w:pStyle w:val="ListParagraph"/>
        <w:numPr>
          <w:ilvl w:val="1"/>
          <w:numId w:val="317"/>
        </w:numPr>
        <w:tabs>
          <w:tab w:pos="2486" w:val="left" w:leader="none"/>
        </w:tabs>
        <w:spacing w:line="240" w:lineRule="auto" w:before="120" w:after="0"/>
        <w:ind w:left="2486" w:right="415" w:hanging="567"/>
        <w:jc w:val="both"/>
        <w:rPr>
          <w:sz w:val="24"/>
        </w:rPr>
      </w:pPr>
      <w:r>
        <w:rPr>
          <w:sz w:val="24"/>
        </w:rPr>
        <w:t>the expected limits of </w:t>
      </w:r>
      <w:r>
        <w:rPr>
          <w:i/>
          <w:sz w:val="24"/>
        </w:rPr>
        <w:t>voltage </w:t>
      </w:r>
      <w:r>
        <w:rPr>
          <w:sz w:val="24"/>
        </w:rPr>
        <w:t>fluctuation, harmonic </w:t>
      </w:r>
      <w:r>
        <w:rPr>
          <w:i/>
          <w:sz w:val="24"/>
        </w:rPr>
        <w:t>voltage </w:t>
      </w:r>
      <w:r>
        <w:rPr>
          <w:sz w:val="24"/>
        </w:rPr>
        <w:t>distortion and </w:t>
      </w:r>
      <w:r>
        <w:rPr>
          <w:i/>
          <w:sz w:val="24"/>
        </w:rPr>
        <w:t>voltage </w:t>
      </w:r>
      <w:r>
        <w:rPr>
          <w:sz w:val="24"/>
        </w:rPr>
        <w:t>unbalance at the </w:t>
      </w:r>
      <w:r>
        <w:rPr>
          <w:i/>
          <w:sz w:val="24"/>
        </w:rPr>
        <w:t>connection point </w:t>
      </w:r>
      <w:r>
        <w:rPr>
          <w:sz w:val="24"/>
        </w:rPr>
        <w:t>without the proposed </w:t>
      </w:r>
      <w:r>
        <w:rPr>
          <w:i/>
          <w:sz w:val="24"/>
        </w:rPr>
        <w:t>connection</w:t>
      </w:r>
      <w:r>
        <w:rPr>
          <w:sz w:val="24"/>
        </w:rPr>
        <w:t>;</w:t>
      </w:r>
    </w:p>
    <w:p>
      <w:pPr>
        <w:pStyle w:val="ListParagraph"/>
        <w:numPr>
          <w:ilvl w:val="1"/>
          <w:numId w:val="317"/>
        </w:numPr>
        <w:tabs>
          <w:tab w:pos="2486" w:val="left" w:leader="none"/>
        </w:tabs>
        <w:spacing w:line="240" w:lineRule="auto" w:before="120" w:after="0"/>
        <w:ind w:left="2486" w:right="415" w:hanging="567"/>
        <w:jc w:val="both"/>
        <w:rPr>
          <w:sz w:val="24"/>
        </w:rPr>
      </w:pPr>
      <w:r>
        <w:rPr>
          <w:sz w:val="24"/>
        </w:rPr>
        <w:t>technical information relevant to the </w:t>
      </w:r>
      <w:r>
        <w:rPr>
          <w:i/>
          <w:sz w:val="24"/>
        </w:rPr>
        <w:t>connection point </w:t>
      </w:r>
      <w:r>
        <w:rPr>
          <w:sz w:val="24"/>
        </w:rPr>
        <w:t>without the proposed </w:t>
      </w:r>
      <w:r>
        <w:rPr>
          <w:i/>
          <w:sz w:val="24"/>
        </w:rPr>
        <w:t>connection </w:t>
      </w:r>
      <w:r>
        <w:rPr>
          <w:sz w:val="24"/>
        </w:rPr>
        <w:t>including equivalent source impedance information, sufficient to estimate fault levels, </w:t>
      </w:r>
      <w:r>
        <w:rPr>
          <w:i/>
          <w:sz w:val="24"/>
        </w:rPr>
        <w:t>voltage </w:t>
      </w:r>
      <w:r>
        <w:rPr>
          <w:sz w:val="24"/>
        </w:rPr>
        <w:t>fluctuations, harmonic </w:t>
      </w:r>
      <w:r>
        <w:rPr>
          <w:i/>
          <w:sz w:val="24"/>
        </w:rPr>
        <w:t>voltage </w:t>
      </w:r>
      <w:r>
        <w:rPr>
          <w:sz w:val="24"/>
        </w:rPr>
        <w:t>distortion and </w:t>
      </w:r>
      <w:r>
        <w:rPr>
          <w:i/>
          <w:sz w:val="24"/>
        </w:rPr>
        <w:t>voltage </w:t>
      </w:r>
      <w:r>
        <w:rPr>
          <w:sz w:val="24"/>
        </w:rPr>
        <w:t>unbalance;</w:t>
      </w:r>
      <w:r>
        <w:rPr>
          <w:spacing w:val="-4"/>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17"/>
        </w:numPr>
        <w:tabs>
          <w:tab w:pos="2486" w:val="left" w:leader="none"/>
        </w:tabs>
        <w:spacing w:line="240" w:lineRule="auto" w:before="83" w:after="0"/>
        <w:ind w:left="2486" w:right="415" w:hanging="567"/>
        <w:jc w:val="both"/>
        <w:rPr>
          <w:sz w:val="24"/>
        </w:rPr>
      </w:pPr>
      <w:r>
        <w:rPr>
          <w:sz w:val="24"/>
        </w:rPr>
        <w:t>any other information or data not being </w:t>
      </w:r>
      <w:r>
        <w:rPr>
          <w:i/>
          <w:sz w:val="24"/>
        </w:rPr>
        <w:t>confidential information </w:t>
      </w:r>
      <w:r>
        <w:rPr>
          <w:sz w:val="24"/>
        </w:rPr>
        <w:t>relating to the performance of the </w:t>
      </w:r>
      <w:r>
        <w:rPr>
          <w:i/>
          <w:sz w:val="24"/>
        </w:rPr>
        <w:t>Network Service Provider's </w:t>
      </w:r>
      <w:r>
        <w:rPr>
          <w:i/>
          <w:spacing w:val="-3"/>
          <w:sz w:val="24"/>
        </w:rPr>
        <w:t>facilities </w:t>
      </w:r>
      <w:r>
        <w:rPr>
          <w:sz w:val="24"/>
        </w:rPr>
        <w:t>that is reasonably necessary for the </w:t>
      </w:r>
      <w:r>
        <w:rPr>
          <w:i/>
          <w:sz w:val="24"/>
        </w:rPr>
        <w:t>Connection Applicant </w:t>
      </w:r>
      <w:r>
        <w:rPr>
          <w:sz w:val="24"/>
        </w:rPr>
        <w:t>to prepare an </w:t>
      </w:r>
      <w:r>
        <w:rPr>
          <w:i/>
          <w:sz w:val="24"/>
        </w:rPr>
        <w:t>application to</w:t>
      </w:r>
      <w:r>
        <w:rPr>
          <w:i/>
          <w:spacing w:val="-1"/>
          <w:sz w:val="24"/>
        </w:rPr>
        <w:t> </w:t>
      </w:r>
      <w:r>
        <w:rPr>
          <w:i/>
          <w:sz w:val="24"/>
        </w:rPr>
        <w:t>connect</w:t>
      </w:r>
      <w:r>
        <w:rPr>
          <w:sz w:val="24"/>
        </w:rPr>
        <w:t>;</w:t>
      </w:r>
    </w:p>
    <w:p>
      <w:pPr>
        <w:spacing w:before="120"/>
        <w:ind w:left="1919" w:right="413" w:firstLine="0"/>
        <w:jc w:val="both"/>
        <w:rPr>
          <w:sz w:val="24"/>
        </w:rPr>
      </w:pPr>
      <w:r>
        <w:rPr>
          <w:sz w:val="24"/>
        </w:rPr>
        <w:t>except where the </w:t>
      </w:r>
      <w:r>
        <w:rPr>
          <w:i/>
          <w:sz w:val="24"/>
        </w:rPr>
        <w:t>Connection Applicant </w:t>
      </w:r>
      <w:r>
        <w:rPr>
          <w:sz w:val="24"/>
        </w:rPr>
        <w:t>agrees the </w:t>
      </w:r>
      <w:r>
        <w:rPr>
          <w:i/>
          <w:sz w:val="24"/>
        </w:rPr>
        <w:t>Network Service Provider </w:t>
      </w:r>
      <w:r>
        <w:rPr>
          <w:sz w:val="24"/>
        </w:rPr>
        <w:t>may provide alternative or less detailed technical information in satisfaction of this clause S5.3a.1(b).</w:t>
      </w:r>
    </w:p>
    <w:p>
      <w:pPr>
        <w:pStyle w:val="BodyText"/>
        <w:spacing w:before="10"/>
        <w:ind w:firstLine="0"/>
        <w:jc w:val="left"/>
        <w:rPr>
          <w:sz w:val="20"/>
        </w:rPr>
      </w:pPr>
    </w:p>
    <w:p>
      <w:pPr>
        <w:pStyle w:val="Heading4"/>
        <w:tabs>
          <w:tab w:pos="1351" w:val="left" w:leader="none"/>
        </w:tabs>
        <w:ind w:left="218" w:firstLine="0"/>
      </w:pPr>
      <w:bookmarkStart w:name="S5.3a.2 Application of settings" w:id="1038"/>
      <w:bookmarkEnd w:id="1038"/>
      <w:r>
        <w:rPr>
          <w:b w:val="0"/>
        </w:rPr>
      </w:r>
      <w:bookmarkStart w:name="_bookmark411" w:id="1039"/>
      <w:bookmarkEnd w:id="1039"/>
      <w:r>
        <w:rPr>
          <w:b w:val="0"/>
        </w:rPr>
      </w:r>
      <w:r>
        <w:rPr/>
        <w:t>S5.3a.2</w:t>
        <w:tab/>
        <w:t>Application of</w:t>
      </w:r>
      <w:r>
        <w:rPr>
          <w:spacing w:val="-1"/>
        </w:rPr>
        <w:t> </w:t>
      </w:r>
      <w:r>
        <w:rPr/>
        <w:t>settings</w:t>
      </w:r>
    </w:p>
    <w:p>
      <w:pPr>
        <w:spacing w:before="120"/>
        <w:ind w:left="1352" w:right="414" w:firstLine="0"/>
        <w:jc w:val="both"/>
        <w:rPr>
          <w:sz w:val="24"/>
        </w:rPr>
      </w:pPr>
      <w:r>
        <w:rPr>
          <w:sz w:val="24"/>
        </w:rPr>
        <w:t>A </w:t>
      </w:r>
      <w:r>
        <w:rPr>
          <w:i/>
          <w:sz w:val="24"/>
        </w:rPr>
        <w:t>Market Network Service Provider </w:t>
      </w:r>
      <w:r>
        <w:rPr>
          <w:sz w:val="24"/>
        </w:rPr>
        <w:t>must only apply settings to a </w:t>
      </w:r>
      <w:r>
        <w:rPr>
          <w:i/>
          <w:sz w:val="24"/>
        </w:rPr>
        <w:t>control system </w:t>
      </w:r>
      <w:r>
        <w:rPr>
          <w:sz w:val="24"/>
        </w:rPr>
        <w:t>or a </w:t>
      </w:r>
      <w:r>
        <w:rPr>
          <w:i/>
          <w:sz w:val="24"/>
        </w:rPr>
        <w:t>protection system </w:t>
      </w:r>
      <w:r>
        <w:rPr>
          <w:sz w:val="24"/>
        </w:rPr>
        <w:t>that are necessary to comply with performance requirements of this schedule 5.3a if the settings have been approved in writing by the </w:t>
      </w:r>
      <w:r>
        <w:rPr>
          <w:i/>
          <w:sz w:val="24"/>
        </w:rPr>
        <w:t>Network Service Provider </w:t>
      </w:r>
      <w:r>
        <w:rPr>
          <w:sz w:val="24"/>
        </w:rPr>
        <w:t>and, if the requirement is one that would involve </w:t>
      </w:r>
      <w:r>
        <w:rPr>
          <w:i/>
          <w:sz w:val="24"/>
        </w:rPr>
        <w:t>AEMO </w:t>
      </w:r>
      <w:r>
        <w:rPr>
          <w:sz w:val="24"/>
        </w:rPr>
        <w:t>under clause 5.3.4A(c) of the </w:t>
      </w:r>
      <w:r>
        <w:rPr>
          <w:i/>
          <w:sz w:val="24"/>
        </w:rPr>
        <w:t>Rules</w:t>
      </w:r>
      <w:r>
        <w:rPr>
          <w:sz w:val="24"/>
        </w:rPr>
        <w:t>, also by </w:t>
      </w:r>
      <w:r>
        <w:rPr>
          <w:i/>
          <w:sz w:val="24"/>
        </w:rPr>
        <w:t>AEMO</w:t>
      </w:r>
      <w:r>
        <w:rPr>
          <w:sz w:val="24"/>
        </w:rPr>
        <w:t>. A </w:t>
      </w:r>
      <w:r>
        <w:rPr>
          <w:i/>
          <w:sz w:val="24"/>
        </w:rPr>
        <w:t>Market Network </w:t>
      </w:r>
      <w:r>
        <w:rPr>
          <w:i/>
          <w:sz w:val="24"/>
        </w:rPr>
        <w:t>Service Provider </w:t>
      </w:r>
      <w:r>
        <w:rPr>
          <w:sz w:val="24"/>
        </w:rPr>
        <w:t>must not allow its </w:t>
      </w:r>
      <w:r>
        <w:rPr>
          <w:i/>
          <w:sz w:val="24"/>
        </w:rPr>
        <w:t>market network service facilities </w:t>
      </w:r>
      <w:r>
        <w:rPr>
          <w:sz w:val="24"/>
        </w:rPr>
        <w:t>to</w:t>
      </w:r>
      <w:r>
        <w:rPr>
          <w:spacing w:val="38"/>
          <w:sz w:val="24"/>
        </w:rPr>
        <w:t> </w:t>
      </w:r>
      <w:r>
        <w:rPr>
          <w:sz w:val="24"/>
        </w:rPr>
        <w:t>take electricity from the </w:t>
      </w:r>
      <w:r>
        <w:rPr>
          <w:i/>
          <w:sz w:val="24"/>
        </w:rPr>
        <w:t>power system </w:t>
      </w:r>
      <w:r>
        <w:rPr>
          <w:sz w:val="24"/>
        </w:rPr>
        <w:t>without such prior</w:t>
      </w:r>
      <w:r>
        <w:rPr>
          <w:spacing w:val="-8"/>
          <w:sz w:val="24"/>
        </w:rPr>
        <w:t> </w:t>
      </w:r>
      <w:r>
        <w:rPr>
          <w:sz w:val="24"/>
        </w:rPr>
        <w:t>approval.</w:t>
      </w:r>
    </w:p>
    <w:p>
      <w:pPr>
        <w:spacing w:before="120"/>
        <w:ind w:left="1352" w:right="414" w:firstLine="0"/>
        <w:jc w:val="both"/>
        <w:rPr>
          <w:sz w:val="24"/>
        </w:rPr>
      </w:pPr>
      <w:r>
        <w:rPr>
          <w:sz w:val="24"/>
        </w:rPr>
        <w:t>If a </w:t>
      </w:r>
      <w:r>
        <w:rPr>
          <w:i/>
          <w:sz w:val="24"/>
        </w:rPr>
        <w:t>Market Network Service Provider </w:t>
      </w:r>
      <w:r>
        <w:rPr>
          <w:sz w:val="24"/>
        </w:rPr>
        <w:t>seeks approval from the </w:t>
      </w:r>
      <w:r>
        <w:rPr>
          <w:i/>
          <w:sz w:val="24"/>
        </w:rPr>
        <w:t>Network Service </w:t>
      </w:r>
      <w:r>
        <w:rPr>
          <w:i/>
          <w:sz w:val="24"/>
        </w:rPr>
        <w:t>Provider </w:t>
      </w:r>
      <w:r>
        <w:rPr>
          <w:sz w:val="24"/>
        </w:rPr>
        <w:t>to apply or change a setting, approval must not be withheld unless the </w:t>
      </w:r>
      <w:r>
        <w:rPr>
          <w:i/>
          <w:sz w:val="24"/>
        </w:rPr>
        <w:t>Network Service 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the changed setting would cause the </w:t>
      </w:r>
      <w:r>
        <w:rPr>
          <w:i/>
          <w:sz w:val="24"/>
        </w:rPr>
        <w:t>market network service facilities </w:t>
      </w:r>
      <w:r>
        <w:rPr>
          <w:sz w:val="24"/>
        </w:rPr>
        <w:t>to not comply with the relevant </w:t>
      </w:r>
      <w:r>
        <w:rPr>
          <w:i/>
          <w:sz w:val="24"/>
        </w:rPr>
        <w:t>performance standard </w:t>
      </w:r>
      <w:r>
        <w:rPr>
          <w:sz w:val="24"/>
        </w:rPr>
        <w:t>or cause an </w:t>
      </w:r>
      <w:r>
        <w:rPr>
          <w:i/>
          <w:sz w:val="24"/>
        </w:rPr>
        <w:t>inter-regional </w:t>
      </w:r>
      <w:r>
        <w:rPr>
          <w:sz w:val="24"/>
        </w:rPr>
        <w:t>or </w:t>
      </w:r>
      <w:r>
        <w:rPr>
          <w:i/>
          <w:sz w:val="24"/>
        </w:rPr>
        <w:t>intra- </w:t>
      </w:r>
      <w:r>
        <w:rPr>
          <w:i/>
          <w:sz w:val="24"/>
        </w:rPr>
        <w:t>regional power transfer capability </w:t>
      </w:r>
      <w:r>
        <w:rPr>
          <w:sz w:val="24"/>
        </w:rPr>
        <w:t>to be reduced.</w:t>
      </w:r>
    </w:p>
    <w:p>
      <w:pPr>
        <w:spacing w:before="120"/>
        <w:ind w:left="1352" w:right="414" w:firstLine="0"/>
        <w:jc w:val="both"/>
        <w:rPr>
          <w:sz w:val="24"/>
        </w:rPr>
      </w:pPr>
      <w:r>
        <w:rPr>
          <w:sz w:val="24"/>
        </w:rPr>
        <w:t>If the </w:t>
      </w:r>
      <w:r>
        <w:rPr>
          <w:i/>
          <w:sz w:val="24"/>
        </w:rPr>
        <w:t>Network Service Provider </w:t>
      </w:r>
      <w:r>
        <w:rPr>
          <w:sz w:val="24"/>
        </w:rPr>
        <w:t>or, if the requirement is one that would involve </w:t>
      </w:r>
      <w:r>
        <w:rPr>
          <w:i/>
          <w:sz w:val="24"/>
        </w:rPr>
        <w:t>AEMO </w:t>
      </w:r>
      <w:r>
        <w:rPr>
          <w:sz w:val="24"/>
        </w:rPr>
        <w:t>under clause 5.3.4A(c) of the </w:t>
      </w:r>
      <w:r>
        <w:rPr>
          <w:i/>
          <w:sz w:val="24"/>
        </w:rPr>
        <w:t>Rules</w:t>
      </w:r>
      <w:r>
        <w:rPr>
          <w:sz w:val="24"/>
        </w:rPr>
        <w:t>, </w:t>
      </w:r>
      <w:r>
        <w:rPr>
          <w:i/>
          <w:sz w:val="24"/>
        </w:rPr>
        <w:t>AEMO</w:t>
      </w:r>
      <w:r>
        <w:rPr>
          <w:sz w:val="24"/>
        </w:rPr>
        <w:t>, reasonably determines that a setting of a </w:t>
      </w:r>
      <w:r>
        <w:rPr>
          <w:i/>
          <w:sz w:val="24"/>
        </w:rPr>
        <w:t>market network service facility's control system </w:t>
      </w:r>
      <w:r>
        <w:rPr>
          <w:sz w:val="24"/>
        </w:rPr>
        <w:t>or </w:t>
      </w:r>
      <w:r>
        <w:rPr>
          <w:i/>
          <w:sz w:val="24"/>
        </w:rPr>
        <w:t>protection system </w:t>
      </w:r>
      <w:r>
        <w:rPr>
          <w:sz w:val="24"/>
        </w:rPr>
        <w:t>needs to change to comply with the relevant </w:t>
      </w:r>
      <w:r>
        <w:rPr>
          <w:i/>
          <w:sz w:val="24"/>
        </w:rPr>
        <w:t>performance standard </w:t>
      </w:r>
      <w:r>
        <w:rPr>
          <w:sz w:val="24"/>
        </w:rPr>
        <w:t>or to maintain or restore an </w:t>
      </w:r>
      <w:r>
        <w:rPr>
          <w:i/>
          <w:sz w:val="24"/>
        </w:rPr>
        <w:t>inter-regional </w:t>
      </w:r>
      <w:r>
        <w:rPr>
          <w:sz w:val="24"/>
        </w:rPr>
        <w:t>or </w:t>
      </w:r>
      <w:r>
        <w:rPr>
          <w:i/>
          <w:sz w:val="24"/>
        </w:rPr>
        <w:t>intra-regional power transfer capability</w:t>
      </w:r>
      <w:r>
        <w:rPr>
          <w:sz w:val="24"/>
        </w:rPr>
        <w:t>, the </w:t>
      </w:r>
      <w:r>
        <w:rPr>
          <w:i/>
          <w:sz w:val="24"/>
        </w:rPr>
        <w:t>Network Service Provider </w:t>
      </w:r>
      <w:r>
        <w:rPr>
          <w:sz w:val="24"/>
        </w:rPr>
        <w:t>or </w:t>
      </w:r>
      <w:r>
        <w:rPr>
          <w:i/>
          <w:sz w:val="24"/>
        </w:rPr>
        <w:t>AEMO </w:t>
      </w:r>
      <w:r>
        <w:rPr>
          <w:sz w:val="24"/>
        </w:rPr>
        <w:t>(as applicable) must consult with the </w:t>
      </w:r>
      <w:r>
        <w:rPr>
          <w:i/>
          <w:sz w:val="24"/>
        </w:rPr>
        <w:t>Market </w:t>
      </w:r>
      <w:r>
        <w:rPr>
          <w:i/>
          <w:sz w:val="24"/>
        </w:rPr>
        <w:t>Network Service Provider</w:t>
      </w:r>
      <w:r>
        <w:rPr>
          <w:sz w:val="24"/>
        </w:rPr>
        <w:t>, and may request in writing that a setting be applied in accordance with the</w:t>
      </w:r>
      <w:r>
        <w:rPr>
          <w:spacing w:val="-2"/>
          <w:sz w:val="24"/>
        </w:rPr>
        <w:t> </w:t>
      </w:r>
      <w:r>
        <w:rPr>
          <w:sz w:val="24"/>
        </w:rPr>
        <w:t>determination.</w:t>
      </w:r>
    </w:p>
    <w:p>
      <w:pPr>
        <w:spacing w:before="120"/>
        <w:ind w:left="1352" w:right="415" w:firstLine="0"/>
        <w:jc w:val="both"/>
        <w:rPr>
          <w:sz w:val="24"/>
        </w:rPr>
      </w:pPr>
      <w:r>
        <w:rPr>
          <w:sz w:val="24"/>
        </w:rPr>
        <w:t>The </w:t>
      </w:r>
      <w:r>
        <w:rPr>
          <w:i/>
          <w:sz w:val="24"/>
        </w:rPr>
        <w:t>Network Service Provider </w:t>
      </w:r>
      <w:r>
        <w:rPr>
          <w:sz w:val="24"/>
        </w:rPr>
        <w:t>may also request a test to verify the performance of the relevant </w:t>
      </w:r>
      <w:r>
        <w:rPr>
          <w:i/>
          <w:sz w:val="24"/>
        </w:rPr>
        <w:t>plant </w:t>
      </w:r>
      <w:r>
        <w:rPr>
          <w:sz w:val="24"/>
        </w:rPr>
        <w:t>with the new setting. The </w:t>
      </w:r>
      <w:r>
        <w:rPr>
          <w:i/>
          <w:sz w:val="24"/>
        </w:rPr>
        <w:t>Network Service Provider </w:t>
      </w:r>
      <w:r>
        <w:rPr>
          <w:sz w:val="24"/>
        </w:rPr>
        <w:t>must provide </w:t>
      </w:r>
      <w:r>
        <w:rPr>
          <w:i/>
          <w:sz w:val="24"/>
        </w:rPr>
        <w:t>AEMO </w:t>
      </w:r>
      <w:r>
        <w:rPr>
          <w:sz w:val="24"/>
        </w:rPr>
        <w:t>with a copy of its request to a </w:t>
      </w:r>
      <w:r>
        <w:rPr>
          <w:i/>
          <w:sz w:val="24"/>
        </w:rPr>
        <w:t>Market Network Service Provider </w:t>
      </w:r>
      <w:r>
        <w:rPr>
          <w:sz w:val="24"/>
        </w:rPr>
        <w:t>to apply a setting or to conduct a</w:t>
      </w:r>
      <w:r>
        <w:rPr>
          <w:spacing w:val="-2"/>
          <w:sz w:val="24"/>
        </w:rPr>
        <w:t> </w:t>
      </w:r>
      <w:r>
        <w:rPr>
          <w:sz w:val="24"/>
        </w:rPr>
        <w:t>test.</w:t>
      </w:r>
    </w:p>
    <w:p>
      <w:pPr>
        <w:spacing w:before="120"/>
        <w:ind w:left="1352" w:right="414" w:firstLine="0"/>
        <w:jc w:val="both"/>
        <w:rPr>
          <w:sz w:val="24"/>
        </w:rPr>
      </w:pPr>
      <w:r>
        <w:rPr>
          <w:sz w:val="24"/>
        </w:rPr>
        <w:t>A </w:t>
      </w:r>
      <w:r>
        <w:rPr>
          <w:i/>
          <w:sz w:val="24"/>
        </w:rPr>
        <w:t>Market Network Service Provider </w:t>
      </w:r>
      <w:r>
        <w:rPr>
          <w:sz w:val="24"/>
        </w:rPr>
        <w:t>who receives such a request must arrange for the notified setting to be applied as requested and for a test to be conducted as requested. After the test, the </w:t>
      </w:r>
      <w:r>
        <w:rPr>
          <w:i/>
          <w:sz w:val="24"/>
        </w:rPr>
        <w:t>Market Network Service Provider </w:t>
      </w:r>
      <w:r>
        <w:rPr>
          <w:sz w:val="24"/>
        </w:rPr>
        <w:t>must, on request, provide both </w:t>
      </w:r>
      <w:r>
        <w:rPr>
          <w:i/>
          <w:sz w:val="24"/>
        </w:rPr>
        <w:t>AEMO </w:t>
      </w:r>
      <w:r>
        <w:rPr>
          <w:sz w:val="24"/>
        </w:rPr>
        <w:t>and the </w:t>
      </w:r>
      <w:r>
        <w:rPr>
          <w:i/>
          <w:sz w:val="24"/>
        </w:rPr>
        <w:t>Network Service Provider </w:t>
      </w:r>
      <w:r>
        <w:rPr>
          <w:sz w:val="24"/>
        </w:rPr>
        <w:t>with a report of a requested test, including evidence of its success or failure. Such a report of a test is </w:t>
      </w:r>
      <w:r>
        <w:rPr>
          <w:i/>
          <w:sz w:val="24"/>
        </w:rPr>
        <w:t>confidential</w:t>
      </w:r>
      <w:r>
        <w:rPr>
          <w:i/>
          <w:spacing w:val="-1"/>
          <w:sz w:val="24"/>
        </w:rPr>
        <w:t> </w:t>
      </w:r>
      <w:r>
        <w:rPr>
          <w:i/>
          <w:sz w:val="24"/>
        </w:rPr>
        <w:t>information</w:t>
      </w:r>
      <w:r>
        <w:rPr>
          <w:sz w:val="24"/>
        </w:rPr>
        <w:t>.</w:t>
      </w:r>
    </w:p>
    <w:p>
      <w:pPr>
        <w:spacing w:before="120"/>
        <w:ind w:left="1352" w:right="415" w:firstLine="0"/>
        <w:jc w:val="both"/>
        <w:rPr>
          <w:sz w:val="24"/>
        </w:rPr>
      </w:pPr>
      <w:r>
        <w:rPr>
          <w:sz w:val="24"/>
        </w:rPr>
        <w:t>A </w:t>
      </w:r>
      <w:r>
        <w:rPr>
          <w:i/>
          <w:sz w:val="24"/>
        </w:rPr>
        <w:t>Market Network Service Provider </w:t>
      </w:r>
      <w:r>
        <w:rPr>
          <w:sz w:val="24"/>
        </w:rPr>
        <w:t>must not change a setting requested by </w:t>
      </w:r>
      <w:r>
        <w:rPr>
          <w:spacing w:val="-5"/>
          <w:sz w:val="24"/>
        </w:rPr>
        <w:t>the </w:t>
      </w:r>
      <w:r>
        <w:rPr>
          <w:i/>
          <w:sz w:val="24"/>
        </w:rPr>
        <w:t>Network Service Provider </w:t>
      </w:r>
      <w:r>
        <w:rPr>
          <w:sz w:val="24"/>
        </w:rPr>
        <w:t>without its prior written agreement. If the </w:t>
      </w:r>
      <w:r>
        <w:rPr>
          <w:i/>
          <w:sz w:val="24"/>
        </w:rPr>
        <w:t>Network </w:t>
      </w:r>
      <w:r>
        <w:rPr>
          <w:i/>
          <w:sz w:val="24"/>
        </w:rPr>
        <w:t>Service Provider </w:t>
      </w:r>
      <w:r>
        <w:rPr>
          <w:sz w:val="24"/>
        </w:rPr>
        <w:t>requires a </w:t>
      </w:r>
      <w:r>
        <w:rPr>
          <w:i/>
          <w:sz w:val="24"/>
        </w:rPr>
        <w:t>Market Network Service Provider </w:t>
      </w:r>
      <w:r>
        <w:rPr>
          <w:sz w:val="24"/>
        </w:rPr>
        <w:t>to change a setting within 18 months of a previous request, the </w:t>
      </w:r>
      <w:r>
        <w:rPr>
          <w:i/>
          <w:sz w:val="24"/>
        </w:rPr>
        <w:t>Network Service Provider </w:t>
      </w:r>
      <w:r>
        <w:rPr>
          <w:sz w:val="24"/>
        </w:rPr>
        <w:t>must pay the </w:t>
      </w:r>
      <w:r>
        <w:rPr>
          <w:i/>
          <w:sz w:val="24"/>
        </w:rPr>
        <w:t>Market Network Service Provider </w:t>
      </w:r>
      <w:r>
        <w:rPr>
          <w:sz w:val="24"/>
        </w:rPr>
        <w:t>its reasonable costs of changing the setting and conducting the tests as</w:t>
      </w:r>
      <w:r>
        <w:rPr>
          <w:spacing w:val="-1"/>
          <w:sz w:val="24"/>
        </w:rPr>
        <w:t> </w:t>
      </w:r>
      <w:r>
        <w:rPr>
          <w:sz w:val="24"/>
        </w:rPr>
        <w:t>requested.</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5.3a.3 Technical matters to be co-ordin" w:id="1040"/>
      <w:bookmarkEnd w:id="1040"/>
      <w:r>
        <w:rPr>
          <w:b w:val="0"/>
        </w:rPr>
      </w:r>
      <w:bookmarkStart w:name="_bookmark412" w:id="1041"/>
      <w:bookmarkEnd w:id="1041"/>
      <w:r>
        <w:rPr>
          <w:b w:val="0"/>
        </w:rPr>
      </w:r>
      <w:r>
        <w:rPr/>
        <w:t>S5.3a.3</w:t>
        <w:tab/>
        <w:t>Technical matters to be</w:t>
      </w:r>
      <w:r>
        <w:rPr>
          <w:spacing w:val="-2"/>
        </w:rPr>
        <w:t> </w:t>
      </w:r>
      <w:r>
        <w:rPr/>
        <w:t>co-ordinated</w:t>
      </w:r>
    </w:p>
    <w:p>
      <w:pPr>
        <w:spacing w:before="120"/>
        <w:ind w:left="1352" w:right="414" w:firstLine="0"/>
        <w:jc w:val="both"/>
        <w:rPr>
          <w:sz w:val="24"/>
        </w:rPr>
      </w:pPr>
      <w:r>
        <w:rPr>
          <w:sz w:val="24"/>
        </w:rPr>
        <w:t>A </w:t>
      </w:r>
      <w:r>
        <w:rPr>
          <w:i/>
          <w:sz w:val="24"/>
        </w:rPr>
        <w:t>Market Network Service Provider </w:t>
      </w:r>
      <w:r>
        <w:rPr>
          <w:sz w:val="24"/>
        </w:rPr>
        <w:t>and the relevant </w:t>
      </w:r>
      <w:r>
        <w:rPr>
          <w:i/>
          <w:sz w:val="24"/>
        </w:rPr>
        <w:t>Network Service Provider </w:t>
      </w:r>
      <w:r>
        <w:rPr>
          <w:sz w:val="24"/>
        </w:rPr>
        <w:t>must use all reasonable endeavours to agree upon the following matters in respect of each new or altered </w:t>
      </w:r>
      <w:r>
        <w:rPr>
          <w:i/>
          <w:sz w:val="24"/>
        </w:rPr>
        <w:t>connection </w:t>
      </w:r>
      <w:r>
        <w:rPr>
          <w:sz w:val="24"/>
        </w:rPr>
        <w:t>of a </w:t>
      </w:r>
      <w:r>
        <w:rPr>
          <w:i/>
          <w:sz w:val="24"/>
        </w:rPr>
        <w:t>market network service facility </w:t>
      </w:r>
      <w:r>
        <w:rPr>
          <w:sz w:val="24"/>
        </w:rPr>
        <w:t>to a </w:t>
      </w:r>
      <w:r>
        <w:rPr>
          <w:i/>
          <w:sz w:val="24"/>
        </w:rPr>
        <w:t>network</w:t>
      </w:r>
      <w:r>
        <w:rPr>
          <w:sz w:val="24"/>
        </w:rPr>
        <w:t>:</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design at the </w:t>
      </w:r>
      <w:r>
        <w:rPr>
          <w:i/>
          <w:sz w:val="24"/>
        </w:rPr>
        <w:t>connection</w:t>
      </w:r>
      <w:r>
        <w:rPr>
          <w:i/>
          <w:spacing w:val="-1"/>
          <w:sz w:val="24"/>
        </w:rPr>
        <w:t> </w:t>
      </w:r>
      <w:r>
        <w:rPr>
          <w:i/>
          <w:sz w:val="24"/>
        </w:rPr>
        <w:t>point</w:t>
      </w:r>
      <w:r>
        <w:rPr>
          <w:sz w:val="24"/>
        </w:rPr>
        <w:t>;</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physical layout adjacent to the </w:t>
      </w:r>
      <w:r>
        <w:rPr>
          <w:i/>
          <w:sz w:val="24"/>
        </w:rPr>
        <w:t>connection</w:t>
      </w:r>
      <w:r>
        <w:rPr>
          <w:i/>
          <w:spacing w:val="-1"/>
          <w:sz w:val="24"/>
        </w:rPr>
        <w:t> </w:t>
      </w:r>
      <w:r>
        <w:rPr>
          <w:i/>
          <w:sz w:val="24"/>
        </w:rPr>
        <w:t>point</w:t>
      </w:r>
      <w:r>
        <w:rPr>
          <w:sz w:val="24"/>
        </w:rPr>
        <w:t>;</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primary protection and backup protection (clause</w:t>
      </w:r>
      <w:r>
        <w:rPr>
          <w:spacing w:val="-2"/>
          <w:sz w:val="24"/>
        </w:rPr>
        <w:t> </w:t>
      </w:r>
      <w:r>
        <w:rPr>
          <w:sz w:val="24"/>
        </w:rPr>
        <w:t>S5.3a.6);</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control characteristics (clause</w:t>
      </w:r>
      <w:r>
        <w:rPr>
          <w:spacing w:val="-1"/>
          <w:sz w:val="24"/>
        </w:rPr>
        <w:t> </w:t>
      </w:r>
      <w:r>
        <w:rPr>
          <w:sz w:val="24"/>
        </w:rPr>
        <w:t>S5.3a.4);</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communications and alarms (clause</w:t>
      </w:r>
      <w:r>
        <w:rPr>
          <w:spacing w:val="-1"/>
          <w:sz w:val="24"/>
        </w:rPr>
        <w:t> </w:t>
      </w:r>
      <w:r>
        <w:rPr>
          <w:sz w:val="24"/>
        </w:rPr>
        <w:t>S5.3a.4);</w:t>
      </w:r>
    </w:p>
    <w:p>
      <w:pPr>
        <w:pStyle w:val="ListParagraph"/>
        <w:numPr>
          <w:ilvl w:val="0"/>
          <w:numId w:val="319"/>
        </w:numPr>
        <w:tabs>
          <w:tab w:pos="1919" w:val="left" w:leader="none"/>
          <w:tab w:pos="1920" w:val="left" w:leader="none"/>
        </w:tabs>
        <w:spacing w:line="240" w:lineRule="auto" w:before="120" w:after="0"/>
        <w:ind w:left="1919" w:right="0" w:hanging="568"/>
        <w:jc w:val="left"/>
        <w:rPr>
          <w:sz w:val="24"/>
        </w:rPr>
      </w:pPr>
      <w:r>
        <w:rPr>
          <w:sz w:val="24"/>
        </w:rPr>
        <w:t>insulation co-ordination and lightning</w:t>
      </w:r>
      <w:r>
        <w:rPr>
          <w:spacing w:val="-1"/>
          <w:sz w:val="24"/>
        </w:rPr>
        <w:t> </w:t>
      </w:r>
      <w:r>
        <w:rPr>
          <w:sz w:val="24"/>
        </w:rPr>
        <w:t>protection;</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fault levels and </w:t>
      </w:r>
      <w:r>
        <w:rPr>
          <w:i/>
          <w:sz w:val="24"/>
        </w:rPr>
        <w:t>fault clearance</w:t>
      </w:r>
      <w:r>
        <w:rPr>
          <w:i/>
          <w:spacing w:val="-1"/>
          <w:sz w:val="24"/>
        </w:rPr>
        <w:t> </w:t>
      </w:r>
      <w:r>
        <w:rPr>
          <w:i/>
          <w:sz w:val="24"/>
        </w:rPr>
        <w:t>times</w:t>
      </w:r>
      <w:r>
        <w:rPr>
          <w:sz w:val="24"/>
        </w:rPr>
        <w:t>;</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switching and </w:t>
      </w:r>
      <w:r>
        <w:rPr>
          <w:i/>
          <w:sz w:val="24"/>
        </w:rPr>
        <w:t>isolation</w:t>
      </w:r>
      <w:r>
        <w:rPr>
          <w:i/>
          <w:spacing w:val="-1"/>
          <w:sz w:val="24"/>
        </w:rPr>
        <w:t> </w:t>
      </w:r>
      <w:r>
        <w:rPr>
          <w:i/>
          <w:sz w:val="24"/>
        </w:rPr>
        <w:t>facilities</w:t>
      </w:r>
      <w:r>
        <w:rPr>
          <w:sz w:val="24"/>
        </w:rPr>
        <w:t>;</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sz w:val="24"/>
        </w:rPr>
        <w:t>interlocking arrangements;</w:t>
      </w:r>
      <w:r>
        <w:rPr>
          <w:spacing w:val="-1"/>
          <w:sz w:val="24"/>
        </w:rPr>
        <w:t> </w:t>
      </w:r>
      <w:r>
        <w:rPr>
          <w:sz w:val="24"/>
        </w:rPr>
        <w:t>and</w:t>
      </w:r>
    </w:p>
    <w:p>
      <w:pPr>
        <w:pStyle w:val="ListParagraph"/>
        <w:numPr>
          <w:ilvl w:val="0"/>
          <w:numId w:val="319"/>
        </w:numPr>
        <w:tabs>
          <w:tab w:pos="1918" w:val="left" w:leader="none"/>
          <w:tab w:pos="1919" w:val="left" w:leader="none"/>
        </w:tabs>
        <w:spacing w:line="240" w:lineRule="auto" w:before="120" w:after="0"/>
        <w:ind w:left="1918" w:right="0" w:hanging="567"/>
        <w:jc w:val="left"/>
        <w:rPr>
          <w:sz w:val="24"/>
        </w:rPr>
      </w:pPr>
      <w:r>
        <w:rPr>
          <w:i/>
          <w:sz w:val="24"/>
        </w:rPr>
        <w:t>metering installations </w:t>
      </w:r>
      <w:r>
        <w:rPr>
          <w:sz w:val="24"/>
        </w:rPr>
        <w:t>as described in Chapter 7 of the</w:t>
      </w:r>
      <w:r>
        <w:rPr>
          <w:spacing w:val="-2"/>
          <w:sz w:val="24"/>
        </w:rPr>
        <w:t> </w:t>
      </w:r>
      <w:r>
        <w:rPr>
          <w:i/>
          <w:sz w:val="24"/>
        </w:rPr>
        <w:t>Rules</w:t>
      </w:r>
      <w:r>
        <w:rPr>
          <w:sz w:val="24"/>
        </w:rPr>
        <w:t>.</w:t>
      </w:r>
    </w:p>
    <w:p>
      <w:pPr>
        <w:pStyle w:val="Heading4"/>
        <w:tabs>
          <w:tab w:pos="1351" w:val="left" w:leader="none"/>
        </w:tabs>
        <w:spacing w:line="510" w:lineRule="atLeast" w:before="6"/>
        <w:ind w:left="218" w:right="4153" w:firstLine="0"/>
      </w:pPr>
      <w:bookmarkStart w:name="S5.3a.4 Monitoring and control requireme" w:id="1042"/>
      <w:bookmarkEnd w:id="1042"/>
      <w:r>
        <w:rPr>
          <w:b w:val="0"/>
        </w:rPr>
      </w:r>
      <w:bookmarkStart w:name="_bookmark413" w:id="1043"/>
      <w:bookmarkEnd w:id="1043"/>
      <w:r>
        <w:rPr>
          <w:b w:val="0"/>
        </w:rPr>
      </w:r>
      <w:r>
        <w:rPr/>
        <w:t>S5.3a.4</w:t>
        <w:tab/>
        <w:t>Monitoring and control requirements</w:t>
      </w:r>
      <w:bookmarkStart w:name="S5.3a.4.1 Remote Monitoring" w:id="1044"/>
      <w:bookmarkEnd w:id="1044"/>
      <w:r>
        <w:rPr/>
      </w:r>
      <w:bookmarkStart w:name="_bookmark414" w:id="1045"/>
      <w:bookmarkEnd w:id="1045"/>
      <w:r>
        <w:rPr/>
      </w:r>
      <w:r>
        <w:rPr/>
        <w:t> S5.3a.4.1 Remote</w:t>
      </w:r>
      <w:r>
        <w:rPr>
          <w:spacing w:val="-28"/>
        </w:rPr>
        <w:t> </w:t>
      </w:r>
      <w:r>
        <w:rPr/>
        <w:t>Monitoring</w:t>
      </w:r>
    </w:p>
    <w:p>
      <w:pPr>
        <w:pStyle w:val="ListParagraph"/>
        <w:numPr>
          <w:ilvl w:val="0"/>
          <w:numId w:val="320"/>
        </w:numPr>
        <w:tabs>
          <w:tab w:pos="1919" w:val="left" w:leader="none"/>
        </w:tabs>
        <w:spacing w:line="240" w:lineRule="auto" w:before="126" w:after="0"/>
        <w:ind w:left="1918" w:right="0" w:hanging="567"/>
        <w:jc w:val="both"/>
        <w:rPr>
          <w:sz w:val="24"/>
        </w:rPr>
      </w:pPr>
      <w:r>
        <w:rPr>
          <w:i/>
          <w:sz w:val="24"/>
        </w:rPr>
        <w:t>Automatic access</w:t>
      </w:r>
      <w:r>
        <w:rPr>
          <w:i/>
          <w:spacing w:val="-2"/>
          <w:sz w:val="24"/>
        </w:rPr>
        <w:t> </w:t>
      </w:r>
      <w:r>
        <w:rPr>
          <w:i/>
          <w:sz w:val="24"/>
        </w:rPr>
        <w:t>standard</w:t>
      </w:r>
      <w:r>
        <w:rPr>
          <w:sz w:val="24"/>
        </w:rPr>
        <w:t>:</w:t>
      </w:r>
    </w:p>
    <w:p>
      <w:pPr>
        <w:pStyle w:val="ListParagraph"/>
        <w:numPr>
          <w:ilvl w:val="1"/>
          <w:numId w:val="320"/>
        </w:numPr>
        <w:tabs>
          <w:tab w:pos="2486" w:val="left" w:leader="none"/>
        </w:tabs>
        <w:spacing w:line="240" w:lineRule="auto" w:before="120" w:after="0"/>
        <w:ind w:left="2486" w:right="413" w:hanging="567"/>
        <w:jc w:val="both"/>
        <w:rPr>
          <w:sz w:val="24"/>
        </w:rPr>
      </w:pPr>
      <w:r>
        <w:rPr>
          <w:sz w:val="24"/>
        </w:rPr>
        <w:t>Each </w:t>
      </w:r>
      <w:r>
        <w:rPr>
          <w:i/>
          <w:sz w:val="24"/>
        </w:rPr>
        <w:t>market network service facility </w:t>
      </w:r>
      <w:r>
        <w:rPr>
          <w:sz w:val="24"/>
        </w:rPr>
        <w:t>must have </w:t>
      </w:r>
      <w:r>
        <w:rPr>
          <w:i/>
          <w:sz w:val="24"/>
        </w:rPr>
        <w:t>remote monitoring </w:t>
      </w:r>
      <w:r>
        <w:rPr>
          <w:i/>
          <w:sz w:val="24"/>
        </w:rPr>
        <w:t>equipment </w:t>
      </w:r>
      <w:r>
        <w:rPr>
          <w:sz w:val="24"/>
        </w:rPr>
        <w:t>to transmit to </w:t>
      </w:r>
      <w:r>
        <w:rPr>
          <w:i/>
          <w:sz w:val="24"/>
        </w:rPr>
        <w:t>AEMO's control centres </w:t>
      </w:r>
      <w:r>
        <w:rPr>
          <w:sz w:val="24"/>
        </w:rPr>
        <w:t>in real time, the quantities that </w:t>
      </w:r>
      <w:r>
        <w:rPr>
          <w:i/>
          <w:sz w:val="24"/>
        </w:rPr>
        <w:t>AEMO </w:t>
      </w:r>
      <w:r>
        <w:rPr>
          <w:sz w:val="24"/>
        </w:rPr>
        <w:t>reasonably requires to discharge its </w:t>
      </w:r>
      <w:r>
        <w:rPr>
          <w:i/>
          <w:sz w:val="24"/>
        </w:rPr>
        <w:t>market </w:t>
      </w:r>
      <w:r>
        <w:rPr>
          <w:sz w:val="24"/>
        </w:rPr>
        <w:t>and </w:t>
      </w:r>
      <w:r>
        <w:rPr>
          <w:i/>
          <w:sz w:val="24"/>
        </w:rPr>
        <w:t>power system security </w:t>
      </w:r>
      <w:r>
        <w:rPr>
          <w:sz w:val="24"/>
        </w:rPr>
        <w:t>functions as set out in Chapters 3 and 4 of the </w:t>
      </w:r>
      <w:r>
        <w:rPr>
          <w:i/>
          <w:sz w:val="24"/>
        </w:rPr>
        <w:t>Rules</w:t>
      </w:r>
      <w:r>
        <w:rPr>
          <w:i/>
          <w:spacing w:val="-1"/>
          <w:sz w:val="24"/>
        </w:rPr>
        <w:t> </w:t>
      </w:r>
      <w:r>
        <w:rPr>
          <w:sz w:val="24"/>
        </w:rPr>
        <w:t>respectively.</w:t>
      </w:r>
    </w:p>
    <w:p>
      <w:pPr>
        <w:pStyle w:val="ListParagraph"/>
        <w:numPr>
          <w:ilvl w:val="1"/>
          <w:numId w:val="320"/>
        </w:numPr>
        <w:tabs>
          <w:tab w:pos="2486" w:val="left" w:leader="none"/>
        </w:tabs>
        <w:spacing w:line="240" w:lineRule="auto" w:before="120" w:after="0"/>
        <w:ind w:left="2486" w:right="415" w:hanging="567"/>
        <w:jc w:val="both"/>
        <w:rPr>
          <w:sz w:val="24"/>
        </w:rPr>
      </w:pPr>
      <w:r>
        <w:rPr>
          <w:sz w:val="24"/>
        </w:rPr>
        <w:t>The quantities may include such data as current, </w:t>
      </w:r>
      <w:r>
        <w:rPr>
          <w:i/>
          <w:sz w:val="24"/>
        </w:rPr>
        <w:t>voltage</w:t>
      </w:r>
      <w:r>
        <w:rPr>
          <w:sz w:val="24"/>
        </w:rPr>
        <w:t>, </w:t>
      </w:r>
      <w:r>
        <w:rPr>
          <w:i/>
          <w:sz w:val="24"/>
        </w:rPr>
        <w:t>active  </w:t>
      </w:r>
      <w:r>
        <w:rPr>
          <w:i/>
          <w:sz w:val="24"/>
        </w:rPr>
        <w:t>power</w:t>
      </w:r>
      <w:r>
        <w:rPr>
          <w:sz w:val="24"/>
        </w:rPr>
        <w:t>, </w:t>
      </w:r>
      <w:r>
        <w:rPr>
          <w:i/>
          <w:sz w:val="24"/>
        </w:rPr>
        <w:t>reactive power</w:t>
      </w:r>
      <w:r>
        <w:rPr>
          <w:sz w:val="24"/>
        </w:rPr>
        <w:t>, operational limits and critical temperatures in respect of </w:t>
      </w:r>
      <w:r>
        <w:rPr>
          <w:i/>
          <w:sz w:val="24"/>
        </w:rPr>
        <w:t>connection points </w:t>
      </w:r>
      <w:r>
        <w:rPr>
          <w:sz w:val="24"/>
        </w:rPr>
        <w:t>and power conversion</w:t>
      </w:r>
      <w:r>
        <w:rPr>
          <w:spacing w:val="-4"/>
          <w:sz w:val="24"/>
        </w:rPr>
        <w:t> </w:t>
      </w:r>
      <w:r>
        <w:rPr>
          <w:sz w:val="24"/>
        </w:rPr>
        <w:t>systems.</w:t>
      </w:r>
    </w:p>
    <w:p>
      <w:pPr>
        <w:pStyle w:val="ListParagraph"/>
        <w:numPr>
          <w:ilvl w:val="0"/>
          <w:numId w:val="320"/>
        </w:numPr>
        <w:tabs>
          <w:tab w:pos="1919" w:val="left" w:leader="none"/>
        </w:tabs>
        <w:spacing w:line="240" w:lineRule="auto" w:before="120" w:after="0"/>
        <w:ind w:left="1918" w:right="0" w:hanging="567"/>
        <w:jc w:val="both"/>
        <w:rPr>
          <w:sz w:val="24"/>
        </w:rPr>
      </w:pPr>
      <w:r>
        <w:rPr>
          <w:i/>
          <w:sz w:val="24"/>
        </w:rPr>
        <w:t>Minimum access</w:t>
      </w:r>
      <w:r>
        <w:rPr>
          <w:i/>
          <w:spacing w:val="-1"/>
          <w:sz w:val="24"/>
        </w:rPr>
        <w:t> </w:t>
      </w:r>
      <w:r>
        <w:rPr>
          <w:i/>
          <w:sz w:val="24"/>
        </w:rPr>
        <w:t>standard</w:t>
      </w:r>
      <w:r>
        <w:rPr>
          <w:sz w:val="24"/>
        </w:rPr>
        <w:t>:</w:t>
      </w:r>
    </w:p>
    <w:p>
      <w:pPr>
        <w:pStyle w:val="ListParagraph"/>
        <w:numPr>
          <w:ilvl w:val="1"/>
          <w:numId w:val="320"/>
        </w:numPr>
        <w:tabs>
          <w:tab w:pos="2486" w:val="left" w:leader="none"/>
        </w:tabs>
        <w:spacing w:line="240" w:lineRule="auto" w:before="120" w:after="0"/>
        <w:ind w:left="2486" w:right="417" w:hanging="567"/>
        <w:jc w:val="both"/>
        <w:rPr>
          <w:sz w:val="24"/>
        </w:rPr>
      </w:pPr>
      <w:r>
        <w:rPr>
          <w:sz w:val="24"/>
        </w:rPr>
        <w:t>Each </w:t>
      </w:r>
      <w:r>
        <w:rPr>
          <w:i/>
          <w:sz w:val="24"/>
        </w:rPr>
        <w:t>market network service facility </w:t>
      </w:r>
      <w:r>
        <w:rPr>
          <w:sz w:val="24"/>
        </w:rPr>
        <w:t>must have </w:t>
      </w:r>
      <w:r>
        <w:rPr>
          <w:i/>
          <w:sz w:val="24"/>
        </w:rPr>
        <w:t>remote monitoring </w:t>
      </w:r>
      <w:r>
        <w:rPr>
          <w:i/>
          <w:sz w:val="24"/>
        </w:rPr>
        <w:t>equipment </w:t>
      </w:r>
      <w:r>
        <w:rPr>
          <w:sz w:val="24"/>
        </w:rPr>
        <w:t>to transmit to </w:t>
      </w:r>
      <w:r>
        <w:rPr>
          <w:i/>
          <w:sz w:val="24"/>
        </w:rPr>
        <w:t>AEMO's control centres </w:t>
      </w:r>
      <w:r>
        <w:rPr>
          <w:sz w:val="24"/>
        </w:rPr>
        <w:t>in real</w:t>
      </w:r>
      <w:r>
        <w:rPr>
          <w:spacing w:val="-3"/>
          <w:sz w:val="24"/>
        </w:rPr>
        <w:t> </w:t>
      </w:r>
      <w:r>
        <w:rPr>
          <w:sz w:val="24"/>
        </w:rPr>
        <w:t>time:</w:t>
      </w:r>
    </w:p>
    <w:p>
      <w:pPr>
        <w:pStyle w:val="ListParagraph"/>
        <w:numPr>
          <w:ilvl w:val="2"/>
          <w:numId w:val="320"/>
        </w:numPr>
        <w:tabs>
          <w:tab w:pos="3053" w:val="left" w:leader="none"/>
        </w:tabs>
        <w:spacing w:line="240" w:lineRule="auto" w:before="120" w:after="0"/>
        <w:ind w:left="3052" w:right="0" w:hanging="567"/>
        <w:jc w:val="both"/>
        <w:rPr>
          <w:sz w:val="24"/>
        </w:rPr>
      </w:pPr>
      <w:r>
        <w:rPr>
          <w:i/>
          <w:sz w:val="24"/>
        </w:rPr>
        <w:t>connection</w:t>
      </w:r>
      <w:r>
        <w:rPr>
          <w:i/>
          <w:spacing w:val="46"/>
          <w:sz w:val="24"/>
        </w:rPr>
        <w:t> </w:t>
      </w:r>
      <w:r>
        <w:rPr>
          <w:i/>
          <w:sz w:val="24"/>
        </w:rPr>
        <w:t>point</w:t>
      </w:r>
      <w:r>
        <w:rPr>
          <w:i/>
          <w:spacing w:val="47"/>
          <w:sz w:val="24"/>
        </w:rPr>
        <w:t> </w:t>
      </w:r>
      <w:r>
        <w:rPr>
          <w:i/>
          <w:sz w:val="24"/>
        </w:rPr>
        <w:t>active</w:t>
      </w:r>
      <w:r>
        <w:rPr>
          <w:i/>
          <w:spacing w:val="47"/>
          <w:sz w:val="24"/>
        </w:rPr>
        <w:t> </w:t>
      </w:r>
      <w:r>
        <w:rPr>
          <w:i/>
          <w:sz w:val="24"/>
        </w:rPr>
        <w:t>power</w:t>
      </w:r>
      <w:r>
        <w:rPr>
          <w:i/>
          <w:spacing w:val="47"/>
          <w:sz w:val="24"/>
        </w:rPr>
        <w:t> </w:t>
      </w:r>
      <w:r>
        <w:rPr>
          <w:sz w:val="24"/>
        </w:rPr>
        <w:t>flow,</w:t>
      </w:r>
      <w:r>
        <w:rPr>
          <w:spacing w:val="47"/>
          <w:sz w:val="24"/>
        </w:rPr>
        <w:t> </w:t>
      </w:r>
      <w:r>
        <w:rPr>
          <w:i/>
          <w:sz w:val="24"/>
        </w:rPr>
        <w:t>reactive</w:t>
      </w:r>
      <w:r>
        <w:rPr>
          <w:i/>
          <w:spacing w:val="47"/>
          <w:sz w:val="24"/>
        </w:rPr>
        <w:t> </w:t>
      </w:r>
      <w:r>
        <w:rPr>
          <w:i/>
          <w:sz w:val="24"/>
        </w:rPr>
        <w:t>power</w:t>
      </w:r>
      <w:r>
        <w:rPr>
          <w:i/>
          <w:spacing w:val="46"/>
          <w:sz w:val="24"/>
        </w:rPr>
        <w:t> </w:t>
      </w:r>
      <w:r>
        <w:rPr>
          <w:sz w:val="24"/>
        </w:rPr>
        <w:t>flow</w:t>
      </w:r>
      <w:r>
        <w:rPr>
          <w:spacing w:val="47"/>
          <w:sz w:val="24"/>
        </w:rPr>
        <w:t> </w:t>
      </w:r>
      <w:r>
        <w:rPr>
          <w:sz w:val="24"/>
        </w:rPr>
        <w:t>and</w:t>
      </w:r>
    </w:p>
    <w:p>
      <w:pPr>
        <w:spacing w:before="0"/>
        <w:ind w:left="3053" w:right="0" w:firstLine="0"/>
        <w:jc w:val="left"/>
        <w:rPr>
          <w:sz w:val="24"/>
        </w:rPr>
      </w:pPr>
      <w:r>
        <w:rPr>
          <w:i/>
          <w:sz w:val="24"/>
        </w:rPr>
        <w:t>voltage</w:t>
      </w:r>
      <w:r>
        <w:rPr>
          <w:sz w:val="24"/>
        </w:rPr>
        <w:t>;</w:t>
      </w:r>
    </w:p>
    <w:p>
      <w:pPr>
        <w:pStyle w:val="ListParagraph"/>
        <w:numPr>
          <w:ilvl w:val="2"/>
          <w:numId w:val="320"/>
        </w:numPr>
        <w:tabs>
          <w:tab w:pos="3054" w:val="left" w:leader="none"/>
        </w:tabs>
        <w:spacing w:line="240" w:lineRule="auto" w:before="120" w:after="0"/>
        <w:ind w:left="3053" w:right="415" w:hanging="567"/>
        <w:jc w:val="both"/>
        <w:rPr>
          <w:sz w:val="24"/>
        </w:rPr>
      </w:pPr>
      <w:r>
        <w:rPr>
          <w:i/>
          <w:sz w:val="24"/>
        </w:rPr>
        <w:t>active power</w:t>
      </w:r>
      <w:r>
        <w:rPr>
          <w:sz w:val="24"/>
        </w:rPr>
        <w:t>, </w:t>
      </w:r>
      <w:r>
        <w:rPr>
          <w:i/>
          <w:sz w:val="24"/>
        </w:rPr>
        <w:t>reactive power </w:t>
      </w:r>
      <w:r>
        <w:rPr>
          <w:sz w:val="24"/>
        </w:rPr>
        <w:t>and </w:t>
      </w:r>
      <w:r>
        <w:rPr>
          <w:i/>
          <w:sz w:val="24"/>
        </w:rPr>
        <w:t>voltage </w:t>
      </w:r>
      <w:r>
        <w:rPr>
          <w:sz w:val="24"/>
        </w:rPr>
        <w:t>for AC power lines, </w:t>
      </w:r>
      <w:r>
        <w:rPr>
          <w:i/>
          <w:sz w:val="24"/>
        </w:rPr>
        <w:t>transformers </w:t>
      </w:r>
      <w:r>
        <w:rPr>
          <w:sz w:val="24"/>
        </w:rPr>
        <w:t>and </w:t>
      </w:r>
      <w:r>
        <w:rPr>
          <w:i/>
          <w:sz w:val="24"/>
        </w:rPr>
        <w:t>busbars</w:t>
      </w:r>
      <w:r>
        <w:rPr>
          <w:sz w:val="24"/>
        </w:rPr>
        <w:t>, and power and </w:t>
      </w:r>
      <w:r>
        <w:rPr>
          <w:i/>
          <w:sz w:val="24"/>
        </w:rPr>
        <w:t>voltage </w:t>
      </w:r>
      <w:r>
        <w:rPr>
          <w:spacing w:val="-4"/>
          <w:sz w:val="24"/>
        </w:rPr>
        <w:t>(or</w:t>
      </w:r>
      <w:r>
        <w:rPr>
          <w:spacing w:val="52"/>
          <w:sz w:val="24"/>
        </w:rPr>
        <w:t> </w:t>
      </w:r>
      <w:r>
        <w:rPr>
          <w:sz w:val="24"/>
        </w:rPr>
        <w:t>alternatively current) for DC power lines;</w:t>
      </w:r>
      <w:r>
        <w:rPr>
          <w:spacing w:val="-2"/>
          <w:sz w:val="24"/>
        </w:rPr>
        <w:t> </w:t>
      </w:r>
      <w:r>
        <w:rPr>
          <w:sz w:val="24"/>
        </w:rPr>
        <w:t>and</w:t>
      </w:r>
    </w:p>
    <w:p>
      <w:pPr>
        <w:pStyle w:val="ListParagraph"/>
        <w:numPr>
          <w:ilvl w:val="2"/>
          <w:numId w:val="320"/>
        </w:numPr>
        <w:tabs>
          <w:tab w:pos="3054" w:val="left" w:leader="none"/>
        </w:tabs>
        <w:spacing w:line="240" w:lineRule="auto" w:before="120" w:after="0"/>
        <w:ind w:left="3053" w:right="0" w:hanging="568"/>
        <w:jc w:val="both"/>
        <w:rPr>
          <w:sz w:val="24"/>
        </w:rPr>
      </w:pPr>
      <w:r>
        <w:rPr>
          <w:sz w:val="24"/>
        </w:rPr>
        <w:t>the status of circuit</w:t>
      </w:r>
      <w:r>
        <w:rPr>
          <w:spacing w:val="-2"/>
          <w:sz w:val="24"/>
        </w:rPr>
        <w:t> </w:t>
      </w:r>
      <w:r>
        <w:rPr>
          <w:sz w:val="24"/>
        </w:rPr>
        <w:t>breakers.</w:t>
      </w:r>
    </w:p>
    <w:p>
      <w:pPr>
        <w:pStyle w:val="ListParagraph"/>
        <w:numPr>
          <w:ilvl w:val="0"/>
          <w:numId w:val="320"/>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5.3a.4.2 [Deleted]" w:id="1046"/>
      <w:bookmarkEnd w:id="1046"/>
      <w:r>
        <w:rPr>
          <w:b w:val="0"/>
        </w:rPr>
      </w:r>
      <w:bookmarkStart w:name="_bookmark415" w:id="1047"/>
      <w:bookmarkEnd w:id="1047"/>
      <w:r>
        <w:rPr>
          <w:b w:val="0"/>
        </w:rPr>
      </w:r>
      <w:r>
        <w:rPr/>
        <w:t>S5.3a.4.2 [Deleted]</w:t>
      </w:r>
    </w:p>
    <w:p>
      <w:pPr>
        <w:pStyle w:val="BodyText"/>
        <w:spacing w:before="10"/>
        <w:ind w:firstLine="0"/>
        <w:jc w:val="left"/>
        <w:rPr>
          <w:rFonts w:ascii="Arial"/>
          <w:b/>
          <w:sz w:val="20"/>
        </w:rPr>
      </w:pPr>
    </w:p>
    <w:p>
      <w:pPr>
        <w:pStyle w:val="Heading4"/>
        <w:ind w:left="218" w:firstLine="0"/>
      </w:pPr>
      <w:bookmarkStart w:name="S5.3a.4.3 Communications equipment" w:id="1048"/>
      <w:bookmarkEnd w:id="1048"/>
      <w:r>
        <w:rPr>
          <w:b w:val="0"/>
        </w:rPr>
      </w:r>
      <w:bookmarkStart w:name="_bookmark416" w:id="1049"/>
      <w:bookmarkEnd w:id="1049"/>
      <w:r>
        <w:rPr>
          <w:b w:val="0"/>
        </w:rPr>
      </w:r>
      <w:r>
        <w:rPr/>
        <w:t>S5.3a.4.3 Communications equipment</w:t>
      </w:r>
    </w:p>
    <w:p>
      <w:pPr>
        <w:spacing w:before="120"/>
        <w:ind w:left="1352" w:right="415" w:firstLine="0"/>
        <w:jc w:val="both"/>
        <w:rPr>
          <w:sz w:val="24"/>
        </w:rPr>
      </w:pPr>
      <w:r>
        <w:rPr>
          <w:sz w:val="24"/>
        </w:rPr>
        <w:t>A </w:t>
      </w:r>
      <w:r>
        <w:rPr>
          <w:i/>
          <w:sz w:val="24"/>
        </w:rPr>
        <w:t>Market Network Service Provider </w:t>
      </w:r>
      <w:r>
        <w:rPr>
          <w:sz w:val="24"/>
        </w:rPr>
        <w:t>must provide electricity </w:t>
      </w:r>
      <w:r>
        <w:rPr>
          <w:i/>
          <w:sz w:val="24"/>
        </w:rPr>
        <w:t>supplies </w:t>
      </w:r>
      <w:r>
        <w:rPr>
          <w:sz w:val="24"/>
        </w:rPr>
        <w:t>for </w:t>
      </w:r>
      <w:r>
        <w:rPr>
          <w:i/>
          <w:sz w:val="24"/>
        </w:rPr>
        <w:t>remote </w:t>
      </w:r>
      <w:r>
        <w:rPr>
          <w:i/>
          <w:sz w:val="24"/>
        </w:rPr>
        <w:t>monitoring equipment </w:t>
      </w:r>
      <w:r>
        <w:rPr>
          <w:sz w:val="24"/>
        </w:rPr>
        <w:t>and </w:t>
      </w:r>
      <w:r>
        <w:rPr>
          <w:i/>
          <w:sz w:val="24"/>
        </w:rPr>
        <w:t>remote control equipment </w:t>
      </w:r>
      <w:r>
        <w:rPr>
          <w:sz w:val="24"/>
        </w:rPr>
        <w:t>installed in relation to its </w:t>
      </w:r>
      <w:r>
        <w:rPr>
          <w:i/>
          <w:sz w:val="24"/>
        </w:rPr>
        <w:t>market network service facilities </w:t>
      </w:r>
      <w:r>
        <w:rPr>
          <w:sz w:val="24"/>
        </w:rPr>
        <w:t>capable of keeping such equipment available for at least three hours following total loss of </w:t>
      </w:r>
      <w:r>
        <w:rPr>
          <w:i/>
          <w:sz w:val="24"/>
        </w:rPr>
        <w:t>supply </w:t>
      </w:r>
      <w:r>
        <w:rPr>
          <w:sz w:val="24"/>
        </w:rPr>
        <w:t>at the </w:t>
      </w:r>
      <w:r>
        <w:rPr>
          <w:i/>
          <w:sz w:val="24"/>
        </w:rPr>
        <w:t>connection point </w:t>
      </w:r>
      <w:r>
        <w:rPr>
          <w:sz w:val="24"/>
        </w:rPr>
        <w:t>for the relevant </w:t>
      </w:r>
      <w:r>
        <w:rPr>
          <w:i/>
          <w:sz w:val="24"/>
        </w:rPr>
        <w:t>market network service facility</w:t>
      </w:r>
      <w:r>
        <w:rPr>
          <w:sz w:val="24"/>
        </w:rPr>
        <w:t>.</w:t>
      </w:r>
    </w:p>
    <w:p>
      <w:pPr>
        <w:spacing w:before="120"/>
        <w:ind w:left="1352" w:right="414" w:firstLine="0"/>
        <w:jc w:val="both"/>
        <w:rPr>
          <w:sz w:val="24"/>
        </w:rPr>
      </w:pPr>
      <w:r>
        <w:rPr>
          <w:sz w:val="24"/>
        </w:rPr>
        <w:t>A </w:t>
      </w:r>
      <w:r>
        <w:rPr>
          <w:i/>
          <w:sz w:val="24"/>
        </w:rPr>
        <w:t>Market Network Service Provider </w:t>
      </w:r>
      <w:r>
        <w:rPr>
          <w:sz w:val="24"/>
        </w:rPr>
        <w:t>must provide communications paths (with appropriate redundancy) from the </w:t>
      </w:r>
      <w:r>
        <w:rPr>
          <w:i/>
          <w:sz w:val="24"/>
        </w:rPr>
        <w:t>remote monitoring equipment </w:t>
      </w:r>
      <w:r>
        <w:rPr>
          <w:sz w:val="24"/>
        </w:rPr>
        <w:t>or </w:t>
      </w:r>
      <w:r>
        <w:rPr>
          <w:i/>
          <w:sz w:val="24"/>
        </w:rPr>
        <w:t>remote control </w:t>
      </w:r>
      <w:r>
        <w:rPr>
          <w:i/>
          <w:sz w:val="24"/>
        </w:rPr>
        <w:t>equipment </w:t>
      </w:r>
      <w:r>
        <w:rPr>
          <w:sz w:val="24"/>
        </w:rPr>
        <w:t>installed at any of its </w:t>
      </w:r>
      <w:r>
        <w:rPr>
          <w:i/>
          <w:sz w:val="24"/>
        </w:rPr>
        <w:t>market network service facilities </w:t>
      </w:r>
      <w:r>
        <w:rPr>
          <w:sz w:val="24"/>
        </w:rPr>
        <w:t>to a interface for communication purposes in a location reasonably acceptable to the </w:t>
      </w:r>
      <w:r>
        <w:rPr>
          <w:i/>
          <w:sz w:val="24"/>
        </w:rPr>
        <w:t>Network </w:t>
      </w:r>
      <w:r>
        <w:rPr>
          <w:i/>
          <w:sz w:val="24"/>
        </w:rPr>
        <w:t>Service Provider </w:t>
      </w:r>
      <w:r>
        <w:rPr>
          <w:sz w:val="24"/>
        </w:rPr>
        <w:t>at the relevant </w:t>
      </w:r>
      <w:r>
        <w:rPr>
          <w:i/>
          <w:sz w:val="24"/>
        </w:rPr>
        <w:t>connection point</w:t>
      </w:r>
      <w:r>
        <w:rPr>
          <w:sz w:val="24"/>
        </w:rPr>
        <w:t>. Communications systems between this interface for communication purposes and the </w:t>
      </w:r>
      <w:r>
        <w:rPr>
          <w:i/>
          <w:sz w:val="24"/>
        </w:rPr>
        <w:t>control centre </w:t>
      </w:r>
      <w:r>
        <w:rPr>
          <w:sz w:val="24"/>
        </w:rPr>
        <w:t>are </w:t>
      </w:r>
      <w:r>
        <w:rPr>
          <w:spacing w:val="-4"/>
          <w:sz w:val="24"/>
        </w:rPr>
        <w:t>the</w:t>
      </w:r>
      <w:r>
        <w:rPr>
          <w:spacing w:val="52"/>
          <w:sz w:val="24"/>
        </w:rPr>
        <w:t> </w:t>
      </w:r>
      <w:r>
        <w:rPr>
          <w:sz w:val="24"/>
        </w:rPr>
        <w:t>responsibility of the </w:t>
      </w:r>
      <w:r>
        <w:rPr>
          <w:i/>
          <w:sz w:val="24"/>
        </w:rPr>
        <w:t>Network Service Provider </w:t>
      </w:r>
      <w:r>
        <w:rPr>
          <w:sz w:val="24"/>
        </w:rPr>
        <w:t>unless otherwise agreed by the </w:t>
      </w:r>
      <w:r>
        <w:rPr>
          <w:i/>
          <w:sz w:val="24"/>
        </w:rPr>
        <w:t>Market Network Service Provider </w:t>
      </w:r>
      <w:r>
        <w:rPr>
          <w:sz w:val="24"/>
        </w:rPr>
        <w:t>and the </w:t>
      </w:r>
      <w:r>
        <w:rPr>
          <w:i/>
          <w:sz w:val="24"/>
        </w:rPr>
        <w:t>Network Service Provider</w:t>
      </w:r>
      <w:r>
        <w:rPr>
          <w:sz w:val="24"/>
        </w:rPr>
        <w:t>.</w:t>
      </w:r>
    </w:p>
    <w:p>
      <w:pPr>
        <w:spacing w:before="120"/>
        <w:ind w:left="1352" w:right="414" w:firstLine="0"/>
        <w:jc w:val="both"/>
        <w:rPr>
          <w:sz w:val="24"/>
        </w:rPr>
      </w:pPr>
      <w:r>
        <w:rPr>
          <w:sz w:val="24"/>
        </w:rPr>
        <w:t>Telecommunications between </w:t>
      </w:r>
      <w:r>
        <w:rPr>
          <w:i/>
          <w:sz w:val="24"/>
        </w:rPr>
        <w:t>Network Service Providers </w:t>
      </w:r>
      <w:r>
        <w:rPr>
          <w:sz w:val="24"/>
        </w:rPr>
        <w:t>and </w:t>
      </w:r>
      <w:r>
        <w:rPr>
          <w:i/>
          <w:sz w:val="24"/>
        </w:rPr>
        <w:t>Market Network </w:t>
      </w:r>
      <w:r>
        <w:rPr>
          <w:i/>
          <w:sz w:val="24"/>
        </w:rPr>
        <w:t>Service Providers </w:t>
      </w:r>
      <w:r>
        <w:rPr>
          <w:sz w:val="24"/>
        </w:rPr>
        <w:t>for </w:t>
      </w:r>
      <w:r>
        <w:rPr>
          <w:i/>
          <w:sz w:val="24"/>
        </w:rPr>
        <w:t>operational communications </w:t>
      </w:r>
      <w:r>
        <w:rPr>
          <w:sz w:val="24"/>
        </w:rPr>
        <w:t>must be established in accordance with the requirements set down below.</w:t>
      </w:r>
    </w:p>
    <w:p>
      <w:pPr>
        <w:pStyle w:val="Heading4"/>
        <w:numPr>
          <w:ilvl w:val="0"/>
          <w:numId w:val="321"/>
        </w:numPr>
        <w:tabs>
          <w:tab w:pos="2039" w:val="left" w:leader="none"/>
        </w:tabs>
        <w:spacing w:line="240" w:lineRule="auto" w:before="120" w:after="0"/>
        <w:ind w:left="2038" w:right="0" w:hanging="687"/>
        <w:jc w:val="both"/>
        <w:rPr>
          <w:rFonts w:ascii="Times New Roman"/>
        </w:rPr>
      </w:pPr>
      <w:r>
        <w:rPr>
          <w:rFonts w:ascii="Times New Roman"/>
        </w:rPr>
        <w:t>Primary Speech</w:t>
      </w:r>
      <w:r>
        <w:rPr>
          <w:rFonts w:ascii="Times New Roman"/>
          <w:spacing w:val="-2"/>
        </w:rPr>
        <w:t> </w:t>
      </w:r>
      <w:r>
        <w:rPr>
          <w:rFonts w:ascii="Times New Roman"/>
        </w:rPr>
        <w:t>Facility</w:t>
      </w:r>
    </w:p>
    <w:p>
      <w:pPr>
        <w:spacing w:before="120"/>
        <w:ind w:left="1919" w:right="415" w:firstLine="0"/>
        <w:jc w:val="both"/>
        <w:rPr>
          <w:sz w:val="24"/>
        </w:rPr>
      </w:pPr>
      <w:r>
        <w:rPr>
          <w:sz w:val="24"/>
        </w:rPr>
        <w:t>The relevant </w:t>
      </w:r>
      <w:r>
        <w:rPr>
          <w:i/>
          <w:sz w:val="24"/>
        </w:rPr>
        <w:t>Network Service Provider </w:t>
      </w:r>
      <w:r>
        <w:rPr>
          <w:sz w:val="24"/>
        </w:rPr>
        <w:t>must provide and </w:t>
      </w:r>
      <w:r>
        <w:rPr>
          <w:spacing w:val="-3"/>
          <w:sz w:val="24"/>
        </w:rPr>
        <w:t>maintain </w:t>
      </w:r>
      <w:r>
        <w:rPr>
          <w:sz w:val="24"/>
        </w:rPr>
        <w:t>equipment by means of which routine and emergency control telephone calls may be established between the </w:t>
      </w:r>
      <w:r>
        <w:rPr>
          <w:i/>
          <w:sz w:val="24"/>
        </w:rPr>
        <w:t>Market Network Service Provider's </w:t>
      </w:r>
      <w:r>
        <w:rPr>
          <w:sz w:val="24"/>
        </w:rPr>
        <w:t>responsible Engineer/Operator and</w:t>
      </w:r>
      <w:r>
        <w:rPr>
          <w:spacing w:val="-1"/>
          <w:sz w:val="24"/>
        </w:rPr>
        <w:t> </w:t>
      </w:r>
      <w:r>
        <w:rPr>
          <w:i/>
          <w:sz w:val="24"/>
        </w:rPr>
        <w:t>AEMO</w:t>
      </w:r>
      <w:r>
        <w:rPr>
          <w:sz w:val="24"/>
        </w:rPr>
        <w:t>.</w:t>
      </w:r>
    </w:p>
    <w:p>
      <w:pPr>
        <w:spacing w:before="120"/>
        <w:ind w:left="1919" w:right="415" w:firstLine="0"/>
        <w:jc w:val="both"/>
        <w:rPr>
          <w:sz w:val="24"/>
        </w:rPr>
      </w:pPr>
      <w:r>
        <w:rPr>
          <w:sz w:val="24"/>
        </w:rPr>
        <w:t>The </w:t>
      </w:r>
      <w:r>
        <w:rPr>
          <w:i/>
          <w:sz w:val="24"/>
        </w:rPr>
        <w:t>facilities </w:t>
      </w:r>
      <w:r>
        <w:rPr>
          <w:sz w:val="24"/>
        </w:rPr>
        <w:t>to be provided, including the interface requirement between the </w:t>
      </w:r>
      <w:r>
        <w:rPr>
          <w:i/>
          <w:sz w:val="24"/>
        </w:rPr>
        <w:t>Network Service Provider's </w:t>
      </w:r>
      <w:r>
        <w:rPr>
          <w:sz w:val="24"/>
        </w:rPr>
        <w:t>equipment and the </w:t>
      </w:r>
      <w:r>
        <w:rPr>
          <w:i/>
          <w:sz w:val="24"/>
        </w:rPr>
        <w:t>Market Network </w:t>
      </w:r>
      <w:r>
        <w:rPr>
          <w:i/>
          <w:spacing w:val="-3"/>
          <w:sz w:val="24"/>
        </w:rPr>
        <w:t>Service </w:t>
      </w:r>
      <w:r>
        <w:rPr>
          <w:i/>
          <w:sz w:val="24"/>
        </w:rPr>
        <w:t>Provider's </w:t>
      </w:r>
      <w:r>
        <w:rPr>
          <w:sz w:val="24"/>
        </w:rPr>
        <w:t>equipment, must be specified by the </w:t>
      </w:r>
      <w:r>
        <w:rPr>
          <w:i/>
          <w:sz w:val="24"/>
        </w:rPr>
        <w:t>Network Service</w:t>
      </w:r>
      <w:r>
        <w:rPr>
          <w:i/>
          <w:spacing w:val="-5"/>
          <w:sz w:val="24"/>
        </w:rPr>
        <w:t> </w:t>
      </w:r>
      <w:r>
        <w:rPr>
          <w:i/>
          <w:sz w:val="24"/>
        </w:rPr>
        <w:t>Provider</w:t>
      </w:r>
      <w:r>
        <w:rPr>
          <w:sz w:val="24"/>
        </w:rPr>
        <w:t>.</w:t>
      </w:r>
    </w:p>
    <w:p>
      <w:pPr>
        <w:spacing w:before="120"/>
        <w:ind w:left="1919" w:right="414" w:firstLine="0"/>
        <w:jc w:val="both"/>
        <w:rPr>
          <w:sz w:val="24"/>
        </w:rPr>
      </w:pPr>
      <w:r>
        <w:rPr>
          <w:sz w:val="24"/>
        </w:rPr>
        <w:t>The costs of the equipment must be recovered by the </w:t>
      </w:r>
      <w:r>
        <w:rPr>
          <w:i/>
          <w:sz w:val="24"/>
        </w:rPr>
        <w:t>Network Service </w:t>
      </w:r>
      <w:r>
        <w:rPr>
          <w:i/>
          <w:sz w:val="24"/>
        </w:rPr>
        <w:t>Provider </w:t>
      </w:r>
      <w:r>
        <w:rPr>
          <w:sz w:val="24"/>
        </w:rPr>
        <w:t>only through the charge for </w:t>
      </w:r>
      <w:r>
        <w:rPr>
          <w:i/>
          <w:sz w:val="24"/>
        </w:rPr>
        <w:t>connection</w:t>
      </w:r>
      <w:r>
        <w:rPr>
          <w:sz w:val="24"/>
        </w:rPr>
        <w:t>.</w:t>
      </w:r>
    </w:p>
    <w:p>
      <w:pPr>
        <w:pStyle w:val="Heading4"/>
        <w:numPr>
          <w:ilvl w:val="0"/>
          <w:numId w:val="321"/>
        </w:numPr>
        <w:tabs>
          <w:tab w:pos="2039" w:val="left" w:leader="none"/>
        </w:tabs>
        <w:spacing w:line="240" w:lineRule="auto" w:before="120" w:after="0"/>
        <w:ind w:left="2038" w:right="0" w:hanging="687"/>
        <w:jc w:val="both"/>
        <w:rPr>
          <w:rFonts w:ascii="Times New Roman"/>
        </w:rPr>
      </w:pPr>
      <w:r>
        <w:rPr>
          <w:rFonts w:ascii="Times New Roman"/>
        </w:rPr>
        <w:t>Back-up Speech</w:t>
      </w:r>
      <w:r>
        <w:rPr>
          <w:rFonts w:ascii="Times New Roman"/>
          <w:spacing w:val="-3"/>
        </w:rPr>
        <w:t> </w:t>
      </w:r>
      <w:r>
        <w:rPr>
          <w:rFonts w:ascii="Times New Roman"/>
        </w:rPr>
        <w:t>Facility</w:t>
      </w:r>
    </w:p>
    <w:p>
      <w:pPr>
        <w:spacing w:before="120"/>
        <w:ind w:left="1919" w:right="414" w:firstLine="0"/>
        <w:jc w:val="both"/>
        <w:rPr>
          <w:sz w:val="24"/>
        </w:rPr>
      </w:pPr>
      <w:r>
        <w:rPr>
          <w:sz w:val="24"/>
        </w:rPr>
        <w:t>Where the </w:t>
      </w:r>
      <w:r>
        <w:rPr>
          <w:i/>
          <w:sz w:val="24"/>
        </w:rPr>
        <w:t>Network Service Provider </w:t>
      </w:r>
      <w:r>
        <w:rPr>
          <w:sz w:val="24"/>
        </w:rPr>
        <w:t>or </w:t>
      </w:r>
      <w:r>
        <w:rPr>
          <w:i/>
          <w:sz w:val="24"/>
        </w:rPr>
        <w:t>AEMO </w:t>
      </w:r>
      <w:r>
        <w:rPr>
          <w:sz w:val="24"/>
        </w:rPr>
        <w:t>reasonably determines that a back-up speech </w:t>
      </w:r>
      <w:r>
        <w:rPr>
          <w:i/>
          <w:sz w:val="24"/>
        </w:rPr>
        <w:t>facility </w:t>
      </w:r>
      <w:r>
        <w:rPr>
          <w:sz w:val="24"/>
        </w:rPr>
        <w:t>to the primary </w:t>
      </w:r>
      <w:r>
        <w:rPr>
          <w:i/>
          <w:sz w:val="24"/>
        </w:rPr>
        <w:t>facility </w:t>
      </w:r>
      <w:r>
        <w:rPr>
          <w:sz w:val="24"/>
        </w:rPr>
        <w:t>is required, the </w:t>
      </w:r>
      <w:r>
        <w:rPr>
          <w:i/>
          <w:sz w:val="24"/>
        </w:rPr>
        <w:t>Network </w:t>
      </w:r>
      <w:r>
        <w:rPr>
          <w:i/>
          <w:sz w:val="24"/>
        </w:rPr>
        <w:t>Service Provider </w:t>
      </w:r>
      <w:r>
        <w:rPr>
          <w:sz w:val="24"/>
        </w:rPr>
        <w:t>must provide and maintain a separate telephone link or radio installation on a cost-recovery basis only through the charge for </w:t>
      </w:r>
      <w:r>
        <w:rPr>
          <w:i/>
          <w:sz w:val="24"/>
        </w:rPr>
        <w:t>connection</w:t>
      </w:r>
      <w:r>
        <w:rPr>
          <w:sz w:val="24"/>
        </w:rPr>
        <w:t>.</w:t>
      </w:r>
    </w:p>
    <w:p>
      <w:pPr>
        <w:spacing w:before="120"/>
        <w:ind w:left="1919" w:right="416" w:firstLine="0"/>
        <w:jc w:val="both"/>
        <w:rPr>
          <w:sz w:val="24"/>
        </w:rPr>
      </w:pPr>
      <w:r>
        <w:rPr>
          <w:sz w:val="24"/>
        </w:rPr>
        <w:t>The </w:t>
      </w:r>
      <w:r>
        <w:rPr>
          <w:i/>
          <w:sz w:val="24"/>
        </w:rPr>
        <w:t>Network Service Provider </w:t>
      </w:r>
      <w:r>
        <w:rPr>
          <w:sz w:val="24"/>
        </w:rPr>
        <w:t>is responsible for radio system planning and for obtaining all necessary radio licences.</w:t>
      </w:r>
    </w:p>
    <w:p>
      <w:pPr>
        <w:pStyle w:val="BodyText"/>
        <w:spacing w:before="10"/>
        <w:ind w:firstLine="0"/>
        <w:jc w:val="left"/>
        <w:rPr>
          <w:sz w:val="20"/>
        </w:rPr>
      </w:pPr>
    </w:p>
    <w:p>
      <w:pPr>
        <w:pStyle w:val="Heading4"/>
        <w:tabs>
          <w:tab w:pos="1351" w:val="left" w:leader="none"/>
        </w:tabs>
        <w:ind w:left="218" w:firstLine="0"/>
      </w:pPr>
      <w:bookmarkStart w:name="S5.3a.5 Design standards" w:id="1050"/>
      <w:bookmarkEnd w:id="1050"/>
      <w:r>
        <w:rPr>
          <w:b w:val="0"/>
        </w:rPr>
      </w:r>
      <w:bookmarkStart w:name="_bookmark417" w:id="1051"/>
      <w:bookmarkEnd w:id="1051"/>
      <w:r>
        <w:rPr>
          <w:b w:val="0"/>
        </w:rPr>
      </w:r>
      <w:r>
        <w:rPr/>
        <w:t>S5.3a.5</w:t>
        <w:tab/>
        <w:t>Design</w:t>
      </w:r>
      <w:r>
        <w:rPr>
          <w:spacing w:val="-2"/>
        </w:rPr>
        <w:t> </w:t>
      </w:r>
      <w:r>
        <w:rPr/>
        <w:t>standards</w:t>
      </w:r>
    </w:p>
    <w:p>
      <w:pPr>
        <w:spacing w:before="120"/>
        <w:ind w:left="1352" w:right="0" w:firstLine="0"/>
        <w:jc w:val="both"/>
        <w:rPr>
          <w:sz w:val="24"/>
        </w:rPr>
      </w:pPr>
      <w:r>
        <w:rPr>
          <w:sz w:val="24"/>
        </w:rPr>
        <w:t>A </w:t>
      </w:r>
      <w:r>
        <w:rPr>
          <w:i/>
          <w:sz w:val="24"/>
        </w:rPr>
        <w:t>Market Network Service Provider </w:t>
      </w:r>
      <w:r>
        <w:rPr>
          <w:sz w:val="24"/>
        </w:rPr>
        <w:t>must ensure that:</w:t>
      </w:r>
    </w:p>
    <w:p>
      <w:pPr>
        <w:pStyle w:val="ListParagraph"/>
        <w:numPr>
          <w:ilvl w:val="0"/>
          <w:numId w:val="322"/>
        </w:numPr>
        <w:tabs>
          <w:tab w:pos="1919" w:val="left" w:leader="none"/>
        </w:tabs>
        <w:spacing w:line="240" w:lineRule="auto" w:before="120" w:after="0"/>
        <w:ind w:left="1919" w:right="415" w:hanging="567"/>
        <w:jc w:val="both"/>
        <w:rPr>
          <w:sz w:val="24"/>
        </w:rPr>
      </w:pPr>
      <w:r>
        <w:rPr>
          <w:sz w:val="24"/>
        </w:rPr>
        <w:t>the electrical </w:t>
      </w:r>
      <w:r>
        <w:rPr>
          <w:i/>
          <w:sz w:val="24"/>
        </w:rPr>
        <w:t>plant </w:t>
      </w:r>
      <w:r>
        <w:rPr>
          <w:sz w:val="24"/>
        </w:rPr>
        <w:t>in its </w:t>
      </w:r>
      <w:r>
        <w:rPr>
          <w:i/>
          <w:sz w:val="24"/>
        </w:rPr>
        <w:t>facility </w:t>
      </w:r>
      <w:r>
        <w:rPr>
          <w:sz w:val="24"/>
        </w:rPr>
        <w:t>complies with the relevant </w:t>
      </w:r>
      <w:r>
        <w:rPr>
          <w:i/>
          <w:sz w:val="24"/>
        </w:rPr>
        <w:t>Australian </w:t>
      </w:r>
      <w:r>
        <w:rPr>
          <w:i/>
          <w:sz w:val="24"/>
        </w:rPr>
        <w:t>Standards </w:t>
      </w:r>
      <w:r>
        <w:rPr>
          <w:sz w:val="24"/>
        </w:rPr>
        <w:t>as applicable at the time of first installation of that electrical </w:t>
      </w:r>
      <w:r>
        <w:rPr>
          <w:i/>
          <w:sz w:val="24"/>
        </w:rPr>
        <w:t>plant </w:t>
      </w:r>
      <w:r>
        <w:rPr>
          <w:sz w:val="24"/>
        </w:rPr>
        <w:t>in the</w:t>
      </w:r>
      <w:r>
        <w:rPr>
          <w:spacing w:val="-1"/>
          <w:sz w:val="24"/>
        </w:rPr>
        <w:t> </w:t>
      </w:r>
      <w:r>
        <w:rPr>
          <w:i/>
          <w:sz w:val="24"/>
        </w:rPr>
        <w:t>facility</w:t>
      </w:r>
      <w:r>
        <w:rPr>
          <w:sz w:val="24"/>
        </w:rPr>
        <w:t>;</w:t>
      </w:r>
    </w:p>
    <w:p>
      <w:pPr>
        <w:pStyle w:val="ListParagraph"/>
        <w:numPr>
          <w:ilvl w:val="0"/>
          <w:numId w:val="322"/>
        </w:numPr>
        <w:tabs>
          <w:tab w:pos="1919" w:val="left" w:leader="none"/>
        </w:tabs>
        <w:spacing w:line="240" w:lineRule="auto" w:before="120" w:after="0"/>
        <w:ind w:left="1919" w:right="415" w:hanging="567"/>
        <w:jc w:val="both"/>
        <w:rPr>
          <w:sz w:val="24"/>
        </w:rPr>
      </w:pPr>
      <w:r>
        <w:rPr>
          <w:sz w:val="24"/>
        </w:rPr>
        <w:t>circuit breakers provided to isolate the </w:t>
      </w:r>
      <w:r>
        <w:rPr>
          <w:i/>
          <w:sz w:val="24"/>
        </w:rPr>
        <w:t>Market Network Service Provider's </w:t>
      </w:r>
      <w:r>
        <w:rPr>
          <w:i/>
          <w:sz w:val="24"/>
        </w:rPr>
        <w:t>facilities</w:t>
      </w:r>
      <w:r>
        <w:rPr>
          <w:i/>
          <w:spacing w:val="13"/>
          <w:sz w:val="24"/>
        </w:rPr>
        <w:t> </w:t>
      </w:r>
      <w:r>
        <w:rPr>
          <w:sz w:val="24"/>
        </w:rPr>
        <w:t>from</w:t>
      </w:r>
      <w:r>
        <w:rPr>
          <w:spacing w:val="13"/>
          <w:sz w:val="24"/>
        </w:rPr>
        <w:t> </w:t>
      </w:r>
      <w:r>
        <w:rPr>
          <w:sz w:val="24"/>
        </w:rPr>
        <w:t>the</w:t>
      </w:r>
      <w:r>
        <w:rPr>
          <w:spacing w:val="13"/>
          <w:sz w:val="24"/>
        </w:rPr>
        <w:t> </w:t>
      </w:r>
      <w:r>
        <w:rPr>
          <w:i/>
          <w:sz w:val="24"/>
        </w:rPr>
        <w:t>Network</w:t>
      </w:r>
      <w:r>
        <w:rPr>
          <w:i/>
          <w:spacing w:val="13"/>
          <w:sz w:val="24"/>
        </w:rPr>
        <w:t> </w:t>
      </w:r>
      <w:r>
        <w:rPr>
          <w:i/>
          <w:sz w:val="24"/>
        </w:rPr>
        <w:t>Service</w:t>
      </w:r>
      <w:r>
        <w:rPr>
          <w:i/>
          <w:spacing w:val="14"/>
          <w:sz w:val="24"/>
        </w:rPr>
        <w:t> </w:t>
      </w:r>
      <w:r>
        <w:rPr>
          <w:i/>
          <w:sz w:val="24"/>
        </w:rPr>
        <w:t>Provider's</w:t>
      </w:r>
      <w:r>
        <w:rPr>
          <w:i/>
          <w:spacing w:val="14"/>
          <w:sz w:val="24"/>
        </w:rPr>
        <w:t> </w:t>
      </w:r>
      <w:r>
        <w:rPr>
          <w:i/>
          <w:sz w:val="24"/>
        </w:rPr>
        <w:t>facilities</w:t>
      </w:r>
      <w:r>
        <w:rPr>
          <w:i/>
          <w:spacing w:val="14"/>
          <w:sz w:val="24"/>
        </w:rPr>
        <w:t> </w:t>
      </w:r>
      <w:r>
        <w:rPr>
          <w:sz w:val="24"/>
        </w:rPr>
        <w:t>are</w:t>
      </w:r>
      <w:r>
        <w:rPr>
          <w:spacing w:val="13"/>
          <w:sz w:val="24"/>
        </w:rPr>
        <w:t> </w:t>
      </w:r>
      <w:r>
        <w:rPr>
          <w:sz w:val="24"/>
        </w:rPr>
        <w:t>capable</w:t>
      </w:r>
      <w:r>
        <w:rPr>
          <w:spacing w:val="14"/>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BodyText"/>
        <w:spacing w:before="83"/>
        <w:ind w:left="1919" w:firstLine="0"/>
      </w:pPr>
      <w:r>
        <w:rPr/>
        <w:t>breaking, without damage or restrike, fault currents nominated by the</w:t>
      </w:r>
    </w:p>
    <w:p>
      <w:pPr>
        <w:spacing w:before="0"/>
        <w:ind w:left="1919" w:right="0" w:firstLine="0"/>
        <w:jc w:val="both"/>
        <w:rPr>
          <w:sz w:val="24"/>
        </w:rPr>
      </w:pPr>
      <w:r>
        <w:rPr>
          <w:i/>
          <w:sz w:val="24"/>
        </w:rPr>
        <w:t>Network Service Provider </w:t>
      </w:r>
      <w:r>
        <w:rPr>
          <w:sz w:val="24"/>
        </w:rPr>
        <w:t>in the relevant </w:t>
      </w:r>
      <w:r>
        <w:rPr>
          <w:i/>
          <w:sz w:val="24"/>
        </w:rPr>
        <w:t>connection agreement</w:t>
      </w:r>
      <w:r>
        <w:rPr>
          <w:sz w:val="24"/>
        </w:rPr>
        <w:t>; and</w:t>
      </w:r>
    </w:p>
    <w:p>
      <w:pPr>
        <w:pStyle w:val="ListParagraph"/>
        <w:numPr>
          <w:ilvl w:val="0"/>
          <w:numId w:val="322"/>
        </w:numPr>
        <w:tabs>
          <w:tab w:pos="1919" w:val="left" w:leader="none"/>
        </w:tabs>
        <w:spacing w:line="240" w:lineRule="auto" w:before="120" w:after="0"/>
        <w:ind w:left="1919" w:right="414" w:hanging="567"/>
        <w:jc w:val="both"/>
        <w:rPr>
          <w:sz w:val="24"/>
        </w:rPr>
      </w:pPr>
      <w:r>
        <w:rPr>
          <w:sz w:val="24"/>
        </w:rPr>
        <w:t>all new equipment including circuit breakers provided to isolate the </w:t>
      </w:r>
      <w:r>
        <w:rPr>
          <w:i/>
          <w:sz w:val="24"/>
        </w:rPr>
        <w:t>Market </w:t>
      </w:r>
      <w:r>
        <w:rPr>
          <w:i/>
          <w:sz w:val="24"/>
        </w:rPr>
        <w:t>Network Service Provider's facilities </w:t>
      </w:r>
      <w:r>
        <w:rPr>
          <w:sz w:val="24"/>
        </w:rPr>
        <w:t>from the </w:t>
      </w:r>
      <w:r>
        <w:rPr>
          <w:i/>
          <w:sz w:val="24"/>
        </w:rPr>
        <w:t>Network Service Provider's </w:t>
      </w:r>
      <w:r>
        <w:rPr>
          <w:i/>
          <w:sz w:val="24"/>
        </w:rPr>
        <w:t>facilities </w:t>
      </w:r>
      <w:r>
        <w:rPr>
          <w:sz w:val="24"/>
        </w:rPr>
        <w:t>is capable of withstanding, without damage, power </w:t>
      </w:r>
      <w:r>
        <w:rPr>
          <w:i/>
          <w:sz w:val="24"/>
        </w:rPr>
        <w:t>frequency </w:t>
      </w:r>
      <w:r>
        <w:rPr>
          <w:i/>
          <w:sz w:val="24"/>
        </w:rPr>
        <w:t>voltages </w:t>
      </w:r>
      <w:r>
        <w:rPr>
          <w:sz w:val="24"/>
        </w:rPr>
        <w:t>and impulse levels nominated by the </w:t>
      </w:r>
      <w:r>
        <w:rPr>
          <w:i/>
          <w:sz w:val="24"/>
        </w:rPr>
        <w:t>Network Service Provider </w:t>
      </w:r>
      <w:r>
        <w:rPr>
          <w:sz w:val="24"/>
        </w:rPr>
        <w:t>in accordance with the relevant provisions of the </w:t>
      </w:r>
      <w:r>
        <w:rPr>
          <w:i/>
          <w:sz w:val="24"/>
        </w:rPr>
        <w:t>system standards </w:t>
      </w:r>
      <w:r>
        <w:rPr>
          <w:sz w:val="24"/>
        </w:rPr>
        <w:t>and recorded in the relevant </w:t>
      </w:r>
      <w:r>
        <w:rPr>
          <w:i/>
          <w:sz w:val="24"/>
        </w:rPr>
        <w:t>connection</w:t>
      </w:r>
      <w:r>
        <w:rPr>
          <w:i/>
          <w:spacing w:val="-2"/>
          <w:sz w:val="24"/>
        </w:rPr>
        <w:t> </w:t>
      </w:r>
      <w:r>
        <w:rPr>
          <w:i/>
          <w:sz w:val="24"/>
        </w:rPr>
        <w:t>agreement</w:t>
      </w:r>
      <w:r>
        <w:rPr>
          <w:sz w:val="24"/>
        </w:rPr>
        <w:t>.</w:t>
      </w:r>
    </w:p>
    <w:p>
      <w:pPr>
        <w:pStyle w:val="BodyText"/>
        <w:spacing w:before="10"/>
        <w:ind w:firstLine="0"/>
        <w:jc w:val="left"/>
        <w:rPr>
          <w:sz w:val="20"/>
        </w:rPr>
      </w:pPr>
    </w:p>
    <w:p>
      <w:pPr>
        <w:pStyle w:val="Heading4"/>
        <w:tabs>
          <w:tab w:pos="1351" w:val="left" w:leader="none"/>
        </w:tabs>
        <w:ind w:left="218" w:firstLine="0"/>
      </w:pPr>
      <w:bookmarkStart w:name="S5.3a.6 Protection systems and settings" w:id="1052"/>
      <w:bookmarkEnd w:id="1052"/>
      <w:r>
        <w:rPr>
          <w:b w:val="0"/>
        </w:rPr>
      </w:r>
      <w:bookmarkStart w:name="_bookmark418" w:id="1053"/>
      <w:bookmarkEnd w:id="1053"/>
      <w:r>
        <w:rPr>
          <w:b w:val="0"/>
        </w:rPr>
      </w:r>
      <w:r>
        <w:rPr/>
        <w:t>S5.3a.6</w:t>
        <w:tab/>
        <w:t>Protection systems and</w:t>
      </w:r>
      <w:r>
        <w:rPr>
          <w:spacing w:val="-1"/>
        </w:rPr>
        <w:t> </w:t>
      </w:r>
      <w:r>
        <w:rPr/>
        <w:t>settings</w:t>
      </w:r>
    </w:p>
    <w:p>
      <w:pPr>
        <w:spacing w:before="120"/>
        <w:ind w:left="1352" w:right="414" w:firstLine="0"/>
        <w:jc w:val="both"/>
        <w:rPr>
          <w:sz w:val="24"/>
        </w:rPr>
      </w:pPr>
      <w:r>
        <w:rPr>
          <w:sz w:val="24"/>
        </w:rPr>
        <w:t>A </w:t>
      </w:r>
      <w:r>
        <w:rPr>
          <w:i/>
          <w:sz w:val="24"/>
        </w:rPr>
        <w:t>Market Network Service Provider </w:t>
      </w:r>
      <w:r>
        <w:rPr>
          <w:sz w:val="24"/>
        </w:rPr>
        <w:t>must ensure that all </w:t>
      </w:r>
      <w:r>
        <w:rPr>
          <w:i/>
          <w:sz w:val="24"/>
        </w:rPr>
        <w:t>connections </w:t>
      </w:r>
      <w:r>
        <w:rPr>
          <w:sz w:val="24"/>
        </w:rPr>
        <w:t>to the </w:t>
      </w:r>
      <w:r>
        <w:rPr>
          <w:i/>
          <w:sz w:val="24"/>
        </w:rPr>
        <w:t>network </w:t>
      </w:r>
      <w:r>
        <w:rPr>
          <w:sz w:val="24"/>
        </w:rPr>
        <w:t>are protected by protection devices which effectively and safely </w:t>
      </w:r>
      <w:r>
        <w:rPr>
          <w:i/>
          <w:sz w:val="24"/>
        </w:rPr>
        <w:t>disconnect </w:t>
      </w:r>
      <w:r>
        <w:rPr>
          <w:sz w:val="24"/>
        </w:rPr>
        <w:t>any faulty circuit automatically within a time period specified by the </w:t>
      </w:r>
      <w:r>
        <w:rPr>
          <w:i/>
          <w:sz w:val="24"/>
        </w:rPr>
        <w:t>Network Service Provider </w:t>
      </w:r>
      <w:r>
        <w:rPr>
          <w:sz w:val="24"/>
        </w:rPr>
        <w:t>in accordance with the following provisions:</w:t>
      </w:r>
    </w:p>
    <w:p>
      <w:pPr>
        <w:pStyle w:val="ListParagraph"/>
        <w:numPr>
          <w:ilvl w:val="0"/>
          <w:numId w:val="323"/>
        </w:numPr>
        <w:tabs>
          <w:tab w:pos="1919" w:val="left" w:leader="none"/>
        </w:tabs>
        <w:spacing w:line="240" w:lineRule="auto" w:before="120" w:after="0"/>
        <w:ind w:left="1918" w:right="0" w:hanging="567"/>
        <w:jc w:val="both"/>
        <w:rPr>
          <w:sz w:val="24"/>
        </w:rPr>
      </w:pPr>
      <w:r>
        <w:rPr>
          <w:sz w:val="24"/>
        </w:rPr>
        <w:t>The </w:t>
      </w:r>
      <w:r>
        <w:rPr>
          <w:i/>
          <w:sz w:val="24"/>
        </w:rPr>
        <w:t>automatic access standard</w:t>
      </w:r>
      <w:r>
        <w:rPr>
          <w:i/>
          <w:spacing w:val="-1"/>
          <w:sz w:val="24"/>
        </w:rPr>
        <w:t> </w:t>
      </w:r>
      <w:r>
        <w:rPr>
          <w:sz w:val="24"/>
        </w:rPr>
        <w:t>is:</w:t>
      </w:r>
    </w:p>
    <w:p>
      <w:pPr>
        <w:pStyle w:val="ListParagraph"/>
        <w:numPr>
          <w:ilvl w:val="1"/>
          <w:numId w:val="323"/>
        </w:numPr>
        <w:tabs>
          <w:tab w:pos="2486" w:val="left" w:leader="none"/>
        </w:tabs>
        <w:spacing w:line="240" w:lineRule="auto" w:before="120" w:after="0"/>
        <w:ind w:left="2486" w:right="415" w:hanging="567"/>
        <w:jc w:val="both"/>
        <w:rPr>
          <w:sz w:val="24"/>
        </w:rPr>
      </w:pPr>
      <w:r>
        <w:rPr>
          <w:sz w:val="24"/>
        </w:rPr>
        <w:t>Primary </w:t>
      </w:r>
      <w:r>
        <w:rPr>
          <w:i/>
          <w:sz w:val="24"/>
        </w:rPr>
        <w:t>protection systems </w:t>
      </w:r>
      <w:r>
        <w:rPr>
          <w:sz w:val="24"/>
        </w:rPr>
        <w:t>must be provided to </w:t>
      </w:r>
      <w:r>
        <w:rPr>
          <w:i/>
          <w:sz w:val="24"/>
        </w:rPr>
        <w:t>disconnect </w:t>
      </w:r>
      <w:r>
        <w:rPr>
          <w:sz w:val="24"/>
        </w:rPr>
        <w:t>any  faulted element from the </w:t>
      </w:r>
      <w:r>
        <w:rPr>
          <w:i/>
          <w:sz w:val="24"/>
        </w:rPr>
        <w:t>power system </w:t>
      </w:r>
      <w:r>
        <w:rPr>
          <w:sz w:val="24"/>
        </w:rPr>
        <w:t>within the applicable </w:t>
      </w:r>
      <w:r>
        <w:rPr>
          <w:i/>
          <w:sz w:val="24"/>
        </w:rPr>
        <w:t>fault </w:t>
      </w:r>
      <w:r>
        <w:rPr>
          <w:i/>
          <w:sz w:val="24"/>
        </w:rPr>
        <w:t>clearance time </w:t>
      </w:r>
      <w:r>
        <w:rPr>
          <w:sz w:val="24"/>
        </w:rPr>
        <w:t>determined under clause S5.1.9(a)(1), but subject to clauses S5.1.9(k) and</w:t>
      </w:r>
      <w:r>
        <w:rPr>
          <w:spacing w:val="-2"/>
          <w:sz w:val="24"/>
        </w:rPr>
        <w:t> </w:t>
      </w:r>
      <w:r>
        <w:rPr>
          <w:sz w:val="24"/>
        </w:rPr>
        <w:t>S5.1.9(l).</w:t>
      </w:r>
    </w:p>
    <w:p>
      <w:pPr>
        <w:pStyle w:val="ListParagraph"/>
        <w:numPr>
          <w:ilvl w:val="1"/>
          <w:numId w:val="323"/>
        </w:numPr>
        <w:tabs>
          <w:tab w:pos="2486" w:val="left" w:leader="none"/>
        </w:tabs>
        <w:spacing w:line="240" w:lineRule="auto" w:before="120" w:after="0"/>
        <w:ind w:left="2486" w:right="415" w:hanging="567"/>
        <w:jc w:val="both"/>
        <w:rPr>
          <w:sz w:val="24"/>
        </w:rPr>
      </w:pPr>
      <w:r>
        <w:rPr>
          <w:sz w:val="24"/>
        </w:rPr>
        <w:t>Each primary </w:t>
      </w:r>
      <w:r>
        <w:rPr>
          <w:i/>
          <w:sz w:val="24"/>
        </w:rPr>
        <w:t>protection system </w:t>
      </w:r>
      <w:r>
        <w:rPr>
          <w:sz w:val="24"/>
        </w:rPr>
        <w:t>must have sufficient redundancy to ensure that a faulted element within its protection zone is </w:t>
      </w:r>
      <w:r>
        <w:rPr>
          <w:i/>
          <w:sz w:val="24"/>
        </w:rPr>
        <w:t>disconnected </w:t>
      </w:r>
      <w:r>
        <w:rPr>
          <w:sz w:val="24"/>
        </w:rPr>
        <w:t>from the </w:t>
      </w:r>
      <w:r>
        <w:rPr>
          <w:i/>
          <w:sz w:val="24"/>
        </w:rPr>
        <w:t>power system </w:t>
      </w:r>
      <w:r>
        <w:rPr>
          <w:sz w:val="24"/>
        </w:rPr>
        <w:t>within the applicable </w:t>
      </w:r>
      <w:r>
        <w:rPr>
          <w:i/>
          <w:sz w:val="24"/>
        </w:rPr>
        <w:t>fault clearance time </w:t>
      </w:r>
      <w:r>
        <w:rPr>
          <w:sz w:val="24"/>
        </w:rPr>
        <w:t>with any single protection element (including any communications facility upon which that </w:t>
      </w:r>
      <w:r>
        <w:rPr>
          <w:i/>
          <w:sz w:val="24"/>
        </w:rPr>
        <w:t>protection system </w:t>
      </w:r>
      <w:r>
        <w:rPr>
          <w:sz w:val="24"/>
        </w:rPr>
        <w:t>depends) out of</w:t>
      </w:r>
      <w:r>
        <w:rPr>
          <w:spacing w:val="-10"/>
          <w:sz w:val="24"/>
        </w:rPr>
        <w:t> </w:t>
      </w:r>
      <w:r>
        <w:rPr>
          <w:sz w:val="24"/>
        </w:rPr>
        <w:t>service.</w:t>
      </w:r>
    </w:p>
    <w:p>
      <w:pPr>
        <w:pStyle w:val="ListParagraph"/>
        <w:numPr>
          <w:ilvl w:val="1"/>
          <w:numId w:val="323"/>
        </w:numPr>
        <w:tabs>
          <w:tab w:pos="2486" w:val="left" w:leader="none"/>
        </w:tabs>
        <w:spacing w:line="240" w:lineRule="auto" w:before="120" w:after="0"/>
        <w:ind w:left="2486" w:right="415" w:hanging="567"/>
        <w:jc w:val="both"/>
        <w:rPr>
          <w:sz w:val="24"/>
        </w:rPr>
      </w:pPr>
      <w:r>
        <w:rPr>
          <w:i/>
          <w:sz w:val="24"/>
        </w:rPr>
        <w:t>Breaker fail protection systems </w:t>
      </w:r>
      <w:r>
        <w:rPr>
          <w:sz w:val="24"/>
        </w:rPr>
        <w:t>must be provided to clear faults that are not cleared by the circuit breakers controlled by the primary </w:t>
      </w:r>
      <w:r>
        <w:rPr>
          <w:i/>
          <w:sz w:val="24"/>
        </w:rPr>
        <w:t>protection system</w:t>
      </w:r>
      <w:r>
        <w:rPr>
          <w:sz w:val="24"/>
        </w:rPr>
        <w:t>, within the applicable </w:t>
      </w:r>
      <w:r>
        <w:rPr>
          <w:i/>
          <w:sz w:val="24"/>
        </w:rPr>
        <w:t>fault clearance time </w:t>
      </w:r>
      <w:r>
        <w:rPr>
          <w:sz w:val="24"/>
        </w:rPr>
        <w:t>determined under clause</w:t>
      </w:r>
      <w:r>
        <w:rPr>
          <w:spacing w:val="-2"/>
          <w:sz w:val="24"/>
        </w:rPr>
        <w:t> </w:t>
      </w:r>
      <w:r>
        <w:rPr>
          <w:sz w:val="24"/>
        </w:rPr>
        <w:t>S5.1.9(a)(1).</w:t>
      </w:r>
    </w:p>
    <w:p>
      <w:pPr>
        <w:pStyle w:val="ListParagraph"/>
        <w:numPr>
          <w:ilvl w:val="0"/>
          <w:numId w:val="323"/>
        </w:numPr>
        <w:tabs>
          <w:tab w:pos="1919" w:val="left" w:leader="none"/>
        </w:tabs>
        <w:spacing w:line="240" w:lineRule="auto" w:before="120" w:after="0"/>
        <w:ind w:left="1918" w:right="0" w:hanging="567"/>
        <w:jc w:val="both"/>
        <w:rPr>
          <w:sz w:val="24"/>
        </w:rPr>
      </w:pPr>
      <w:r>
        <w:rPr>
          <w:sz w:val="24"/>
        </w:rPr>
        <w:t>The </w:t>
      </w:r>
      <w:r>
        <w:rPr>
          <w:i/>
          <w:sz w:val="24"/>
        </w:rPr>
        <w:t>minimum access standard</w:t>
      </w:r>
      <w:r>
        <w:rPr>
          <w:i/>
          <w:spacing w:val="-3"/>
          <w:sz w:val="24"/>
        </w:rPr>
        <w:t> </w:t>
      </w:r>
      <w:r>
        <w:rPr>
          <w:sz w:val="24"/>
        </w:rPr>
        <w:t>is:</w:t>
      </w:r>
    </w:p>
    <w:p>
      <w:pPr>
        <w:pStyle w:val="ListParagraph"/>
        <w:numPr>
          <w:ilvl w:val="1"/>
          <w:numId w:val="323"/>
        </w:numPr>
        <w:tabs>
          <w:tab w:pos="2486" w:val="left" w:leader="none"/>
        </w:tabs>
        <w:spacing w:line="240" w:lineRule="auto" w:before="120" w:after="0"/>
        <w:ind w:left="2486" w:right="414" w:hanging="567"/>
        <w:jc w:val="both"/>
        <w:rPr>
          <w:sz w:val="24"/>
        </w:rPr>
      </w:pPr>
      <w:r>
        <w:rPr>
          <w:sz w:val="24"/>
        </w:rPr>
        <w:t>Primary </w:t>
      </w:r>
      <w:r>
        <w:rPr>
          <w:i/>
          <w:sz w:val="24"/>
        </w:rPr>
        <w:t>protection systems </w:t>
      </w:r>
      <w:r>
        <w:rPr>
          <w:sz w:val="24"/>
        </w:rPr>
        <w:t>must be provided to </w:t>
      </w:r>
      <w:r>
        <w:rPr>
          <w:i/>
          <w:sz w:val="24"/>
        </w:rPr>
        <w:t>disconnect </w:t>
      </w:r>
      <w:r>
        <w:rPr>
          <w:sz w:val="24"/>
        </w:rPr>
        <w:t>from the </w:t>
      </w:r>
      <w:r>
        <w:rPr>
          <w:i/>
          <w:sz w:val="24"/>
        </w:rPr>
        <w:t>power system </w:t>
      </w:r>
      <w:r>
        <w:rPr>
          <w:sz w:val="24"/>
        </w:rPr>
        <w:t>any faulted element within their respective protection zones within the applicable </w:t>
      </w:r>
      <w:r>
        <w:rPr>
          <w:i/>
          <w:sz w:val="24"/>
        </w:rPr>
        <w:t>fault clearance time </w:t>
      </w:r>
      <w:r>
        <w:rPr>
          <w:sz w:val="24"/>
        </w:rPr>
        <w:t>determined</w:t>
      </w:r>
      <w:r>
        <w:rPr>
          <w:spacing w:val="31"/>
          <w:sz w:val="24"/>
        </w:rPr>
        <w:t> </w:t>
      </w:r>
      <w:r>
        <w:rPr>
          <w:sz w:val="24"/>
        </w:rPr>
        <w:t>under clause S5.1.9(a)(2), but subject to clauses S5.1.9(k) and</w:t>
      </w:r>
      <w:r>
        <w:rPr>
          <w:spacing w:val="-22"/>
          <w:sz w:val="24"/>
        </w:rPr>
        <w:t> </w:t>
      </w:r>
      <w:r>
        <w:rPr>
          <w:sz w:val="24"/>
        </w:rPr>
        <w:t>S5.1.9(l).</w:t>
      </w:r>
    </w:p>
    <w:p>
      <w:pPr>
        <w:pStyle w:val="ListParagraph"/>
        <w:numPr>
          <w:ilvl w:val="1"/>
          <w:numId w:val="323"/>
        </w:numPr>
        <w:tabs>
          <w:tab w:pos="2486" w:val="left" w:leader="none"/>
        </w:tabs>
        <w:spacing w:line="240" w:lineRule="auto" w:before="120" w:after="0"/>
        <w:ind w:left="2486" w:right="415" w:hanging="567"/>
        <w:jc w:val="both"/>
        <w:rPr>
          <w:sz w:val="24"/>
        </w:rPr>
      </w:pPr>
      <w:r>
        <w:rPr>
          <w:sz w:val="24"/>
        </w:rPr>
        <w:t>If a </w:t>
      </w:r>
      <w:r>
        <w:rPr>
          <w:i/>
          <w:sz w:val="24"/>
        </w:rPr>
        <w:t>fault clearance time </w:t>
      </w:r>
      <w:r>
        <w:rPr>
          <w:sz w:val="24"/>
        </w:rPr>
        <w:t>determined under clause S5.1.9(a)(2) for a protection zone is less than 10 seconds, a </w:t>
      </w:r>
      <w:r>
        <w:rPr>
          <w:i/>
          <w:sz w:val="24"/>
        </w:rPr>
        <w:t>breaker fail protection </w:t>
      </w:r>
      <w:r>
        <w:rPr>
          <w:i/>
          <w:sz w:val="24"/>
        </w:rPr>
        <w:t>system </w:t>
      </w:r>
      <w:r>
        <w:rPr>
          <w:sz w:val="24"/>
        </w:rPr>
        <w:t>must be provided to clear from the </w:t>
      </w:r>
      <w:r>
        <w:rPr>
          <w:i/>
          <w:sz w:val="24"/>
        </w:rPr>
        <w:t>power system </w:t>
      </w:r>
      <w:r>
        <w:rPr>
          <w:sz w:val="24"/>
        </w:rPr>
        <w:t>any fault within that protection zone that is not cleared by the circuit breakers controlled by the primary </w:t>
      </w:r>
      <w:r>
        <w:rPr>
          <w:i/>
          <w:sz w:val="24"/>
        </w:rPr>
        <w:t>protection system</w:t>
      </w:r>
      <w:r>
        <w:rPr>
          <w:sz w:val="24"/>
        </w:rPr>
        <w:t>, within the applicable </w:t>
      </w:r>
      <w:r>
        <w:rPr>
          <w:i/>
          <w:sz w:val="24"/>
        </w:rPr>
        <w:t>fault clearance time </w:t>
      </w:r>
      <w:r>
        <w:rPr>
          <w:sz w:val="24"/>
        </w:rPr>
        <w:t>determined under clause</w:t>
      </w:r>
      <w:r>
        <w:rPr>
          <w:spacing w:val="-5"/>
          <w:sz w:val="24"/>
        </w:rPr>
        <w:t> </w:t>
      </w:r>
      <w:r>
        <w:rPr>
          <w:sz w:val="24"/>
        </w:rPr>
        <w:t>S5.1.9(a)(3).</w:t>
      </w:r>
    </w:p>
    <w:p>
      <w:pPr>
        <w:pStyle w:val="ListParagraph"/>
        <w:numPr>
          <w:ilvl w:val="0"/>
          <w:numId w:val="323"/>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and the </w:t>
      </w:r>
      <w:r>
        <w:rPr>
          <w:i/>
          <w:sz w:val="24"/>
        </w:rPr>
        <w:t>Market Network Service Provider </w:t>
      </w:r>
      <w:r>
        <w:rPr>
          <w:sz w:val="24"/>
        </w:rPr>
        <w:t>must cooperate in the design and implementation of </w:t>
      </w:r>
      <w:r>
        <w:rPr>
          <w:i/>
          <w:sz w:val="24"/>
        </w:rPr>
        <w:t>protection systems </w:t>
      </w:r>
      <w:r>
        <w:rPr>
          <w:sz w:val="24"/>
        </w:rPr>
        <w:t>to comply with this clause, including cooperation with regard</w:t>
      </w:r>
      <w:r>
        <w:rPr>
          <w:spacing w:val="-4"/>
          <w:sz w:val="24"/>
        </w:rPr>
        <w:t> </w:t>
      </w:r>
      <w:r>
        <w:rPr>
          <w:sz w:val="24"/>
        </w:rPr>
        <w:t>to:</w:t>
      </w:r>
    </w:p>
    <w:p>
      <w:pPr>
        <w:pStyle w:val="ListParagraph"/>
        <w:numPr>
          <w:ilvl w:val="1"/>
          <w:numId w:val="323"/>
        </w:numPr>
        <w:tabs>
          <w:tab w:pos="2486" w:val="left" w:leader="none"/>
        </w:tabs>
        <w:spacing w:line="240" w:lineRule="auto" w:before="120" w:after="0"/>
        <w:ind w:left="2486" w:right="414" w:hanging="567"/>
        <w:jc w:val="both"/>
        <w:rPr>
          <w:sz w:val="24"/>
        </w:rPr>
      </w:pPr>
      <w:r>
        <w:rPr>
          <w:sz w:val="24"/>
        </w:rPr>
        <w:t>the use of </w:t>
      </w:r>
      <w:r>
        <w:rPr>
          <w:i/>
          <w:sz w:val="24"/>
        </w:rPr>
        <w:t>current transformer </w:t>
      </w:r>
      <w:r>
        <w:rPr>
          <w:sz w:val="24"/>
        </w:rPr>
        <w:t>and </w:t>
      </w:r>
      <w:r>
        <w:rPr>
          <w:i/>
          <w:sz w:val="24"/>
        </w:rPr>
        <w:t>voltage transformer </w:t>
      </w:r>
      <w:r>
        <w:rPr>
          <w:sz w:val="24"/>
        </w:rPr>
        <w:t>secondary circuits (or equivalent) of one party by the </w:t>
      </w:r>
      <w:r>
        <w:rPr>
          <w:i/>
          <w:sz w:val="24"/>
        </w:rPr>
        <w:t>protection system </w:t>
      </w:r>
      <w:r>
        <w:rPr>
          <w:sz w:val="24"/>
        </w:rPr>
        <w:t>of the other;</w:t>
      </w:r>
    </w:p>
    <w:p>
      <w:pPr>
        <w:spacing w:after="0" w:line="240" w:lineRule="auto"/>
        <w:jc w:val="both"/>
        <w:rPr>
          <w:sz w:val="24"/>
        </w:rPr>
        <w:sectPr>
          <w:pgSz w:w="11910" w:h="16840"/>
          <w:pgMar w:header="686" w:footer="637" w:top="1320" w:bottom="820" w:left="1200" w:right="1000"/>
        </w:sectPr>
      </w:pPr>
    </w:p>
    <w:p>
      <w:pPr>
        <w:pStyle w:val="ListParagraph"/>
        <w:numPr>
          <w:ilvl w:val="1"/>
          <w:numId w:val="323"/>
        </w:numPr>
        <w:tabs>
          <w:tab w:pos="2486" w:val="left" w:leader="none"/>
        </w:tabs>
        <w:spacing w:line="240" w:lineRule="auto" w:before="83" w:after="0"/>
        <w:ind w:left="2486" w:right="415" w:hanging="567"/>
        <w:jc w:val="both"/>
        <w:rPr>
          <w:sz w:val="24"/>
        </w:rPr>
      </w:pPr>
      <w:r>
        <w:rPr>
          <w:sz w:val="24"/>
        </w:rPr>
        <w:t>tripping of one party's circuit breakers by a </w:t>
      </w:r>
      <w:r>
        <w:rPr>
          <w:i/>
          <w:sz w:val="24"/>
        </w:rPr>
        <w:t>protection system </w:t>
      </w:r>
      <w:r>
        <w:rPr>
          <w:sz w:val="24"/>
        </w:rPr>
        <w:t>of the other party;</w:t>
      </w:r>
      <w:r>
        <w:rPr>
          <w:spacing w:val="-1"/>
          <w:sz w:val="24"/>
        </w:rPr>
        <w:t> </w:t>
      </w:r>
      <w:r>
        <w:rPr>
          <w:sz w:val="24"/>
        </w:rPr>
        <w:t>and</w:t>
      </w:r>
    </w:p>
    <w:p>
      <w:pPr>
        <w:pStyle w:val="ListParagraph"/>
        <w:numPr>
          <w:ilvl w:val="1"/>
          <w:numId w:val="323"/>
        </w:numPr>
        <w:tabs>
          <w:tab w:pos="2486" w:val="left" w:leader="none"/>
        </w:tabs>
        <w:spacing w:line="240" w:lineRule="auto" w:before="120" w:after="0"/>
        <w:ind w:left="2485" w:right="0" w:hanging="567"/>
        <w:jc w:val="both"/>
        <w:rPr>
          <w:sz w:val="24"/>
        </w:rPr>
      </w:pPr>
      <w:r>
        <w:rPr>
          <w:sz w:val="24"/>
        </w:rPr>
        <w:t>co-ordination of </w:t>
      </w:r>
      <w:r>
        <w:rPr>
          <w:i/>
          <w:sz w:val="24"/>
        </w:rPr>
        <w:t>protection system </w:t>
      </w:r>
      <w:r>
        <w:rPr>
          <w:sz w:val="24"/>
        </w:rPr>
        <w:t>settings to ensure</w:t>
      </w:r>
      <w:r>
        <w:rPr>
          <w:spacing w:val="-18"/>
          <w:sz w:val="24"/>
        </w:rPr>
        <w:t> </w:t>
      </w:r>
      <w:r>
        <w:rPr>
          <w:sz w:val="24"/>
        </w:rPr>
        <w:t>inter-operation.</w:t>
      </w:r>
    </w:p>
    <w:p>
      <w:pPr>
        <w:spacing w:before="120"/>
        <w:ind w:left="1352" w:right="414" w:firstLine="0"/>
        <w:jc w:val="both"/>
        <w:rPr>
          <w:sz w:val="24"/>
        </w:rPr>
      </w:pPr>
      <w:r>
        <w:rPr>
          <w:sz w:val="24"/>
        </w:rPr>
        <w:t>The </w:t>
      </w:r>
      <w:r>
        <w:rPr>
          <w:i/>
          <w:sz w:val="24"/>
        </w:rPr>
        <w:t>Market Network Service Provider </w:t>
      </w:r>
      <w:r>
        <w:rPr>
          <w:sz w:val="24"/>
        </w:rPr>
        <w:t>must ensure that the protection settings of its protective equipment grade with the </w:t>
      </w:r>
      <w:r>
        <w:rPr>
          <w:i/>
          <w:sz w:val="24"/>
        </w:rPr>
        <w:t>Network Service Provider's transmission </w:t>
      </w:r>
      <w:r>
        <w:rPr>
          <w:i/>
          <w:sz w:val="24"/>
        </w:rPr>
        <w:t>system </w:t>
      </w:r>
      <w:r>
        <w:rPr>
          <w:sz w:val="24"/>
        </w:rPr>
        <w:t>or </w:t>
      </w:r>
      <w:r>
        <w:rPr>
          <w:i/>
          <w:sz w:val="24"/>
        </w:rPr>
        <w:t>distribution system </w:t>
      </w:r>
      <w:r>
        <w:rPr>
          <w:sz w:val="24"/>
        </w:rPr>
        <w:t>protection settings. Similarly the grading requirements of fuses must be co-ordinated with the </w:t>
      </w:r>
      <w:r>
        <w:rPr>
          <w:i/>
          <w:sz w:val="24"/>
        </w:rPr>
        <w:t>Network Service Provider</w:t>
      </w:r>
      <w:r>
        <w:rPr>
          <w:sz w:val="24"/>
        </w:rPr>
        <w:t>. The </w:t>
      </w:r>
      <w:r>
        <w:rPr>
          <w:i/>
          <w:sz w:val="24"/>
        </w:rPr>
        <w:t>Market Network Service Provider </w:t>
      </w:r>
      <w:r>
        <w:rPr>
          <w:sz w:val="24"/>
        </w:rPr>
        <w:t>must provide details of the protection scheme implemented by the </w:t>
      </w:r>
      <w:r>
        <w:rPr>
          <w:i/>
          <w:sz w:val="24"/>
        </w:rPr>
        <w:t>Market Network Service Provider </w:t>
      </w:r>
      <w:r>
        <w:rPr>
          <w:sz w:val="24"/>
        </w:rPr>
        <w:t>to the </w:t>
      </w:r>
      <w:r>
        <w:rPr>
          <w:i/>
          <w:sz w:val="24"/>
        </w:rPr>
        <w:t>Network </w:t>
      </w:r>
      <w:r>
        <w:rPr>
          <w:i/>
          <w:sz w:val="24"/>
        </w:rPr>
        <w:t>Service Provider </w:t>
      </w:r>
      <w:r>
        <w:rPr>
          <w:sz w:val="24"/>
        </w:rPr>
        <w:t>and must liaise with the </w:t>
      </w:r>
      <w:r>
        <w:rPr>
          <w:i/>
          <w:sz w:val="24"/>
        </w:rPr>
        <w:t>Network Service Provider </w:t>
      </w:r>
      <w:r>
        <w:rPr>
          <w:sz w:val="24"/>
        </w:rPr>
        <w:t>when determining gradings and</w:t>
      </w:r>
      <w:r>
        <w:rPr>
          <w:spacing w:val="-1"/>
          <w:sz w:val="24"/>
        </w:rPr>
        <w:t> </w:t>
      </w:r>
      <w:r>
        <w:rPr>
          <w:sz w:val="24"/>
        </w:rPr>
        <w:t>settings.</w:t>
      </w:r>
    </w:p>
    <w:p>
      <w:pPr>
        <w:pStyle w:val="BodyText"/>
        <w:ind w:left="1352" w:right="416" w:firstLine="0"/>
      </w:pPr>
      <w:r>
        <w:rPr/>
        <w:t>The application of settings of the protection scheme must be undertaken in accordance with clause S5.3a.2.</w:t>
      </w:r>
    </w:p>
    <w:p>
      <w:pPr>
        <w:spacing w:before="120"/>
        <w:ind w:left="1352" w:right="414" w:firstLine="0"/>
        <w:jc w:val="both"/>
        <w:rPr>
          <w:sz w:val="24"/>
        </w:rPr>
      </w:pPr>
      <w:r>
        <w:rPr>
          <w:sz w:val="24"/>
        </w:rPr>
        <w:t>Before the </w:t>
      </w:r>
      <w:r>
        <w:rPr>
          <w:i/>
          <w:sz w:val="24"/>
        </w:rPr>
        <w:t>Market Network Service Provider's </w:t>
      </w:r>
      <w:r>
        <w:rPr>
          <w:sz w:val="24"/>
        </w:rPr>
        <w:t>installation is </w:t>
      </w:r>
      <w:r>
        <w:rPr>
          <w:i/>
          <w:sz w:val="24"/>
        </w:rPr>
        <w:t>connected </w:t>
      </w:r>
      <w:r>
        <w:rPr>
          <w:sz w:val="24"/>
        </w:rPr>
        <w:t>to the </w:t>
      </w:r>
      <w:r>
        <w:rPr>
          <w:i/>
          <w:sz w:val="24"/>
        </w:rPr>
        <w:t>Network Service Provider's transmission or distribution system </w:t>
      </w:r>
      <w:r>
        <w:rPr>
          <w:sz w:val="24"/>
        </w:rPr>
        <w:t>the </w:t>
      </w:r>
      <w:r>
        <w:rPr>
          <w:i/>
          <w:sz w:val="24"/>
        </w:rPr>
        <w:t>Market </w:t>
      </w:r>
      <w:r>
        <w:rPr>
          <w:i/>
          <w:sz w:val="24"/>
        </w:rPr>
        <w:t>Network Service Provider's protection system </w:t>
      </w:r>
      <w:r>
        <w:rPr>
          <w:sz w:val="24"/>
        </w:rPr>
        <w:t>must be tested and the </w:t>
      </w:r>
      <w:r>
        <w:rPr>
          <w:i/>
          <w:sz w:val="24"/>
        </w:rPr>
        <w:t>Market </w:t>
      </w:r>
      <w:r>
        <w:rPr>
          <w:i/>
          <w:sz w:val="24"/>
        </w:rPr>
        <w:t>Network Service Provider </w:t>
      </w:r>
      <w:r>
        <w:rPr>
          <w:sz w:val="24"/>
        </w:rPr>
        <w:t>must submit the appropriate test certificate to the </w:t>
      </w:r>
      <w:r>
        <w:rPr>
          <w:i/>
          <w:sz w:val="24"/>
        </w:rPr>
        <w:t>Network Service 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3a.7 [Deleted]" w:id="1054"/>
      <w:bookmarkEnd w:id="1054"/>
      <w:r>
        <w:rPr>
          <w:b w:val="0"/>
        </w:rPr>
      </w:r>
      <w:bookmarkStart w:name="_bookmark419" w:id="1055"/>
      <w:bookmarkEnd w:id="1055"/>
      <w:r>
        <w:rPr>
          <w:b w:val="0"/>
        </w:rPr>
      </w:r>
      <w:r>
        <w:rPr/>
        <w:t>S5.3a.7</w:t>
        <w:tab/>
        <w:t>[Deleted]</w:t>
      </w:r>
    </w:p>
    <w:p>
      <w:pPr>
        <w:pStyle w:val="BodyText"/>
        <w:spacing w:before="10"/>
        <w:ind w:firstLine="0"/>
        <w:jc w:val="left"/>
        <w:rPr>
          <w:rFonts w:ascii="Arial"/>
          <w:b/>
          <w:sz w:val="20"/>
        </w:rPr>
      </w:pPr>
    </w:p>
    <w:p>
      <w:pPr>
        <w:pStyle w:val="Heading4"/>
        <w:tabs>
          <w:tab w:pos="1351" w:val="left" w:leader="none"/>
        </w:tabs>
        <w:ind w:left="218" w:firstLine="0"/>
      </w:pPr>
      <w:bookmarkStart w:name="S5.3a.8 Reactive power capability" w:id="1056"/>
      <w:bookmarkEnd w:id="1056"/>
      <w:r>
        <w:rPr>
          <w:b w:val="0"/>
        </w:rPr>
      </w:r>
      <w:bookmarkStart w:name="_bookmark420" w:id="1057"/>
      <w:bookmarkEnd w:id="1057"/>
      <w:r>
        <w:rPr>
          <w:b w:val="0"/>
        </w:rPr>
      </w:r>
      <w:r>
        <w:rPr/>
        <w:t>S5.3a.8</w:t>
        <w:tab/>
        <w:t>Reactive power</w:t>
      </w:r>
      <w:r>
        <w:rPr>
          <w:spacing w:val="-2"/>
        </w:rPr>
        <w:t> </w:t>
      </w:r>
      <w:r>
        <w:rPr/>
        <w:t>capability</w:t>
      </w:r>
    </w:p>
    <w:p>
      <w:pPr>
        <w:spacing w:before="120"/>
        <w:ind w:left="1352" w:right="415" w:firstLine="0"/>
        <w:jc w:val="both"/>
        <w:rPr>
          <w:sz w:val="24"/>
        </w:rPr>
      </w:pPr>
      <w:r>
        <w:rPr>
          <w:sz w:val="24"/>
        </w:rPr>
        <w:t>Subject to the access standards stated in this clause S5.3a.8, if additional </w:t>
      </w:r>
      <w:r>
        <w:rPr>
          <w:i/>
          <w:sz w:val="24"/>
        </w:rPr>
        <w:t>reactive </w:t>
      </w:r>
      <w:r>
        <w:rPr>
          <w:i/>
          <w:sz w:val="24"/>
        </w:rPr>
        <w:t>support </w:t>
      </w:r>
      <w:r>
        <w:rPr>
          <w:sz w:val="24"/>
        </w:rPr>
        <w:t>is required as a result of the </w:t>
      </w:r>
      <w:r>
        <w:rPr>
          <w:i/>
          <w:sz w:val="24"/>
        </w:rPr>
        <w:t>connection </w:t>
      </w:r>
      <w:r>
        <w:rPr>
          <w:sz w:val="24"/>
        </w:rPr>
        <w:t>or operation of the </w:t>
      </w:r>
      <w:r>
        <w:rPr>
          <w:i/>
          <w:sz w:val="24"/>
        </w:rPr>
        <w:t>network </w:t>
      </w:r>
      <w:r>
        <w:rPr>
          <w:i/>
          <w:sz w:val="24"/>
        </w:rPr>
        <w:t>elements </w:t>
      </w:r>
      <w:r>
        <w:rPr>
          <w:sz w:val="24"/>
        </w:rPr>
        <w:t>which provide a </w:t>
      </w:r>
      <w:r>
        <w:rPr>
          <w:i/>
          <w:sz w:val="24"/>
        </w:rPr>
        <w:t>market network service </w:t>
      </w:r>
      <w:r>
        <w:rPr>
          <w:sz w:val="24"/>
        </w:rPr>
        <w:t>then the requisite </w:t>
      </w:r>
      <w:r>
        <w:rPr>
          <w:i/>
          <w:sz w:val="24"/>
        </w:rPr>
        <w:t>reactive </w:t>
      </w:r>
      <w:r>
        <w:rPr>
          <w:i/>
          <w:sz w:val="24"/>
        </w:rPr>
        <w:t>support </w:t>
      </w:r>
      <w:r>
        <w:rPr>
          <w:sz w:val="24"/>
        </w:rPr>
        <w:t>must be supplied or paid for by the </w:t>
      </w:r>
      <w:r>
        <w:rPr>
          <w:i/>
          <w:sz w:val="24"/>
        </w:rPr>
        <w:t>Market Network Service Provider</w:t>
      </w:r>
      <w:r>
        <w:rPr>
          <w:sz w:val="24"/>
        </w:rPr>
        <w:t>.</w:t>
      </w:r>
    </w:p>
    <w:p>
      <w:pPr>
        <w:spacing w:before="120"/>
        <w:ind w:left="1352" w:right="415" w:firstLine="0"/>
        <w:jc w:val="both"/>
        <w:rPr>
          <w:sz w:val="24"/>
        </w:rPr>
      </w:pPr>
      <w:r>
        <w:rPr>
          <w:sz w:val="24"/>
        </w:rPr>
        <w:t>Additional reactive support is required if, at rated power output as measured at the </w:t>
      </w:r>
      <w:r>
        <w:rPr>
          <w:i/>
          <w:sz w:val="24"/>
        </w:rPr>
        <w:t>connection point </w:t>
      </w:r>
      <w:r>
        <w:rPr>
          <w:sz w:val="24"/>
        </w:rPr>
        <w:t>of the </w:t>
      </w:r>
      <w:r>
        <w:rPr>
          <w:i/>
          <w:sz w:val="24"/>
        </w:rPr>
        <w:t>market network service </w:t>
      </w:r>
      <w:r>
        <w:rPr>
          <w:sz w:val="24"/>
        </w:rPr>
        <w:t>the </w:t>
      </w:r>
      <w:r>
        <w:rPr>
          <w:i/>
          <w:sz w:val="24"/>
        </w:rPr>
        <w:t>market network service </w:t>
      </w:r>
      <w:r>
        <w:rPr>
          <w:sz w:val="24"/>
        </w:rPr>
        <w:t>has a lagging power factor of less than 0.9 or a leading power factor of less than 0.95.</w:t>
      </w:r>
    </w:p>
    <w:p>
      <w:pPr>
        <w:spacing w:before="120"/>
        <w:ind w:left="1352" w:right="415" w:firstLine="0"/>
        <w:jc w:val="both"/>
        <w:rPr>
          <w:sz w:val="24"/>
        </w:rPr>
      </w:pPr>
      <w:r>
        <w:rPr>
          <w:i/>
          <w:sz w:val="24"/>
        </w:rPr>
        <w:t>Automatic access standard</w:t>
      </w:r>
      <w:r>
        <w:rPr>
          <w:sz w:val="24"/>
        </w:rPr>
        <w:t>: For power export, at rated power output and target </w:t>
      </w:r>
      <w:r>
        <w:rPr>
          <w:i/>
          <w:sz w:val="24"/>
        </w:rPr>
        <w:t>network voltage </w:t>
      </w:r>
      <w:r>
        <w:rPr>
          <w:sz w:val="24"/>
        </w:rPr>
        <w:t>as determined in accordance with clause S5.1a.4 of the </w:t>
      </w:r>
      <w:r>
        <w:rPr>
          <w:i/>
          <w:sz w:val="24"/>
        </w:rPr>
        <w:t>system </w:t>
      </w:r>
      <w:r>
        <w:rPr>
          <w:i/>
          <w:sz w:val="24"/>
        </w:rPr>
        <w:t>standards </w:t>
      </w:r>
      <w:r>
        <w:rPr>
          <w:sz w:val="24"/>
        </w:rPr>
        <w:t>when measured at the </w:t>
      </w:r>
      <w:r>
        <w:rPr>
          <w:i/>
          <w:sz w:val="24"/>
        </w:rPr>
        <w:t>connection point </w:t>
      </w:r>
      <w:r>
        <w:rPr>
          <w:sz w:val="24"/>
        </w:rPr>
        <w:t>of the </w:t>
      </w:r>
      <w:r>
        <w:rPr>
          <w:i/>
          <w:sz w:val="24"/>
        </w:rPr>
        <w:t>market network service</w:t>
      </w:r>
      <w:r>
        <w:rPr>
          <w:sz w:val="24"/>
        </w:rPr>
        <w:t>, the </w:t>
      </w:r>
      <w:r>
        <w:rPr>
          <w:i/>
          <w:sz w:val="24"/>
        </w:rPr>
        <w:t>market network service </w:t>
      </w:r>
      <w:r>
        <w:rPr>
          <w:sz w:val="24"/>
        </w:rPr>
        <w:t>must be capable of operation in the range from a lagging power factor of 0.9 to a leading power factor of 0.95. For power import, the power factor must satisfy the requirements of clause S5.3.5 of schedule 5.3.</w:t>
      </w:r>
    </w:p>
    <w:p>
      <w:pPr>
        <w:spacing w:before="120"/>
        <w:ind w:left="1352" w:right="415" w:firstLine="0"/>
        <w:jc w:val="both"/>
        <w:rPr>
          <w:sz w:val="24"/>
        </w:rPr>
      </w:pPr>
      <w:r>
        <w:rPr>
          <w:i/>
          <w:sz w:val="24"/>
        </w:rPr>
        <w:t>Minimum access standard</w:t>
      </w:r>
      <w:r>
        <w:rPr>
          <w:sz w:val="24"/>
        </w:rPr>
        <w:t>: With the agreement of </w:t>
      </w:r>
      <w:r>
        <w:rPr>
          <w:i/>
          <w:sz w:val="24"/>
        </w:rPr>
        <w:t>AEMO </w:t>
      </w:r>
      <w:r>
        <w:rPr>
          <w:sz w:val="24"/>
        </w:rPr>
        <w:t>and the </w:t>
      </w:r>
      <w:r>
        <w:rPr>
          <w:i/>
          <w:sz w:val="24"/>
        </w:rPr>
        <w:t>Network Service </w:t>
      </w:r>
      <w:r>
        <w:rPr>
          <w:i/>
          <w:sz w:val="24"/>
        </w:rPr>
        <w:t>Provider</w:t>
      </w:r>
      <w:r>
        <w:rPr>
          <w:sz w:val="24"/>
        </w:rPr>
        <w:t>, a power factor capability less than that defined by the </w:t>
      </w:r>
      <w:r>
        <w:rPr>
          <w:i/>
          <w:sz w:val="24"/>
        </w:rPr>
        <w:t>automatic access </w:t>
      </w:r>
      <w:r>
        <w:rPr>
          <w:i/>
          <w:sz w:val="24"/>
        </w:rPr>
        <w:t>standard </w:t>
      </w:r>
      <w:r>
        <w:rPr>
          <w:sz w:val="24"/>
        </w:rPr>
        <w:t>may be provided if the requirements of the </w:t>
      </w:r>
      <w:r>
        <w:rPr>
          <w:i/>
          <w:sz w:val="24"/>
        </w:rPr>
        <w:t>system standards </w:t>
      </w:r>
      <w:r>
        <w:rPr>
          <w:sz w:val="24"/>
        </w:rPr>
        <w:t>are satisfied under all operating conditions of the </w:t>
      </w:r>
      <w:r>
        <w:rPr>
          <w:i/>
          <w:sz w:val="24"/>
        </w:rPr>
        <w:t>market network service</w:t>
      </w:r>
      <w:r>
        <w:rPr>
          <w:sz w:val="24"/>
        </w:rPr>
        <w:t>.</w:t>
      </w:r>
    </w:p>
    <w:p>
      <w:pPr>
        <w:pStyle w:val="BodyText"/>
        <w:spacing w:before="10"/>
        <w:ind w:firstLine="0"/>
        <w:jc w:val="left"/>
        <w:rPr>
          <w:sz w:val="20"/>
        </w:rPr>
      </w:pPr>
    </w:p>
    <w:p>
      <w:pPr>
        <w:pStyle w:val="Heading4"/>
        <w:tabs>
          <w:tab w:pos="1351" w:val="left" w:leader="none"/>
        </w:tabs>
        <w:ind w:left="218" w:firstLine="0"/>
      </w:pPr>
      <w:bookmarkStart w:name="S5.3a.9 Balancing of load currents" w:id="1058"/>
      <w:bookmarkEnd w:id="1058"/>
      <w:r>
        <w:rPr>
          <w:b w:val="0"/>
        </w:rPr>
      </w:r>
      <w:bookmarkStart w:name="_bookmark421" w:id="1059"/>
      <w:bookmarkEnd w:id="1059"/>
      <w:r>
        <w:rPr>
          <w:b w:val="0"/>
        </w:rPr>
      </w:r>
      <w:r>
        <w:rPr/>
        <w:t>S5.3a.9</w:t>
        <w:tab/>
        <w:t>Balancing of load</w:t>
      </w:r>
      <w:r>
        <w:rPr>
          <w:spacing w:val="-3"/>
        </w:rPr>
        <w:t> </w:t>
      </w:r>
      <w:r>
        <w:rPr/>
        <w:t>currents</w:t>
      </w:r>
    </w:p>
    <w:p>
      <w:pPr>
        <w:spacing w:before="120"/>
        <w:ind w:left="1352" w:right="415" w:firstLine="0"/>
        <w:jc w:val="both"/>
        <w:rPr>
          <w:sz w:val="24"/>
        </w:rPr>
      </w:pPr>
      <w:r>
        <w:rPr>
          <w:sz w:val="24"/>
        </w:rPr>
        <w:t>A </w:t>
      </w:r>
      <w:r>
        <w:rPr>
          <w:i/>
          <w:sz w:val="24"/>
        </w:rPr>
        <w:t>Network Service Provider </w:t>
      </w:r>
      <w:r>
        <w:rPr>
          <w:sz w:val="24"/>
        </w:rPr>
        <w:t>may require a </w:t>
      </w:r>
      <w:r>
        <w:rPr>
          <w:i/>
          <w:sz w:val="24"/>
        </w:rPr>
        <w:t>Market Network Service Provider's </w:t>
      </w:r>
      <w:r>
        <w:rPr>
          <w:i/>
          <w:sz w:val="24"/>
        </w:rPr>
        <w:t>power transfer </w:t>
      </w:r>
      <w:r>
        <w:rPr>
          <w:sz w:val="24"/>
        </w:rPr>
        <w:t>to be balanced at a </w:t>
      </w:r>
      <w:r>
        <w:rPr>
          <w:i/>
          <w:sz w:val="24"/>
        </w:rPr>
        <w:t>connection point </w:t>
      </w:r>
      <w:r>
        <w:rPr>
          <w:sz w:val="24"/>
        </w:rPr>
        <w:t>in order to maintain the negative sequence </w:t>
      </w:r>
      <w:r>
        <w:rPr>
          <w:i/>
          <w:sz w:val="24"/>
        </w:rPr>
        <w:t>voltage </w:t>
      </w:r>
      <w:r>
        <w:rPr>
          <w:sz w:val="24"/>
        </w:rPr>
        <w:t>at each connection point at less than or equal to the limits set out in Table S5.1a.1 of the </w:t>
      </w:r>
      <w:r>
        <w:rPr>
          <w:i/>
          <w:sz w:val="24"/>
        </w:rPr>
        <w:t>system standards </w:t>
      </w:r>
      <w:r>
        <w:rPr>
          <w:sz w:val="24"/>
        </w:rPr>
        <w:t>for the applicable nominal </w:t>
      </w:r>
      <w:r>
        <w:rPr>
          <w:i/>
          <w:sz w:val="24"/>
        </w:rPr>
        <w:t>supply voltage </w:t>
      </w:r>
      <w:r>
        <w:rPr>
          <w:sz w:val="24"/>
        </w:rPr>
        <w:t>level.</w:t>
      </w:r>
    </w:p>
    <w:p>
      <w:pPr>
        <w:spacing w:after="0"/>
        <w:jc w:val="both"/>
        <w:rPr>
          <w:sz w:val="24"/>
        </w:rPr>
        <w:sectPr>
          <w:pgSz w:w="11910" w:h="16840"/>
          <w:pgMar w:header="686" w:footer="637" w:top="1320" w:bottom="820" w:left="1200" w:right="1000"/>
        </w:sectPr>
      </w:pPr>
    </w:p>
    <w:p>
      <w:pPr>
        <w:spacing w:before="83"/>
        <w:ind w:left="1352" w:right="414" w:firstLine="0"/>
        <w:jc w:val="both"/>
        <w:rPr>
          <w:sz w:val="24"/>
        </w:rPr>
      </w:pPr>
      <w:r>
        <w:rPr>
          <w:i/>
          <w:sz w:val="24"/>
        </w:rPr>
        <w:t>Automatic access standard</w:t>
      </w:r>
      <w:r>
        <w:rPr>
          <w:sz w:val="24"/>
        </w:rPr>
        <w:t>: A </w:t>
      </w:r>
      <w:r>
        <w:rPr>
          <w:i/>
          <w:sz w:val="24"/>
        </w:rPr>
        <w:t>Market Network Service Provider </w:t>
      </w:r>
      <w:r>
        <w:rPr>
          <w:sz w:val="24"/>
        </w:rPr>
        <w:t>must ensure that for </w:t>
      </w:r>
      <w:r>
        <w:rPr>
          <w:i/>
          <w:sz w:val="24"/>
        </w:rPr>
        <w:t>connections </w:t>
      </w:r>
      <w:r>
        <w:rPr>
          <w:sz w:val="24"/>
        </w:rPr>
        <w:t>at 11kV or higher </w:t>
      </w:r>
      <w:r>
        <w:rPr>
          <w:i/>
          <w:sz w:val="24"/>
        </w:rPr>
        <w:t>voltage</w:t>
      </w:r>
      <w:r>
        <w:rPr>
          <w:sz w:val="24"/>
        </w:rPr>
        <w:t>, the current in any phase drawn by its equipment from the </w:t>
      </w:r>
      <w:r>
        <w:rPr>
          <w:i/>
          <w:sz w:val="24"/>
        </w:rPr>
        <w:t>Network Service Provider's  network  </w:t>
      </w:r>
      <w:r>
        <w:rPr>
          <w:sz w:val="24"/>
        </w:rPr>
        <w:t>is  not  greater  than  102 percent or less than 98 percent of the average of the currents in the </w:t>
      </w:r>
      <w:r>
        <w:rPr>
          <w:spacing w:val="-3"/>
          <w:sz w:val="24"/>
        </w:rPr>
        <w:t>three </w:t>
      </w:r>
      <w:r>
        <w:rPr>
          <w:sz w:val="24"/>
        </w:rPr>
        <w:t>phases.</w:t>
      </w:r>
    </w:p>
    <w:p>
      <w:pPr>
        <w:spacing w:before="120"/>
        <w:ind w:left="1352" w:right="415" w:firstLine="0"/>
        <w:jc w:val="both"/>
        <w:rPr>
          <w:sz w:val="24"/>
        </w:rPr>
      </w:pPr>
      <w:r>
        <w:rPr>
          <w:i/>
          <w:sz w:val="24"/>
        </w:rPr>
        <w:t>Minimum access standard</w:t>
      </w:r>
      <w:r>
        <w:rPr>
          <w:sz w:val="24"/>
        </w:rPr>
        <w:t>: Where agreed with the relevant </w:t>
      </w:r>
      <w:r>
        <w:rPr>
          <w:i/>
          <w:sz w:val="24"/>
        </w:rPr>
        <w:t>Network Service </w:t>
      </w:r>
      <w:r>
        <w:rPr>
          <w:i/>
          <w:sz w:val="24"/>
        </w:rPr>
        <w:t>Provider </w:t>
      </w:r>
      <w:r>
        <w:rPr>
          <w:sz w:val="24"/>
        </w:rPr>
        <w:t>and subject to any specific conditions imposed, a </w:t>
      </w:r>
      <w:r>
        <w:rPr>
          <w:i/>
          <w:sz w:val="24"/>
        </w:rPr>
        <w:t>Market Network </w:t>
      </w:r>
      <w:r>
        <w:rPr>
          <w:i/>
          <w:sz w:val="24"/>
        </w:rPr>
        <w:t>Service Provider </w:t>
      </w:r>
      <w:r>
        <w:rPr>
          <w:sz w:val="24"/>
        </w:rPr>
        <w:t>may cause current unbalance greater than that specified in the </w:t>
      </w:r>
      <w:r>
        <w:rPr>
          <w:i/>
          <w:sz w:val="24"/>
        </w:rPr>
        <w:t>automatic access standard </w:t>
      </w:r>
      <w:r>
        <w:rPr>
          <w:sz w:val="24"/>
        </w:rPr>
        <w:t>provided the </w:t>
      </w:r>
      <w:r>
        <w:rPr>
          <w:i/>
          <w:sz w:val="24"/>
        </w:rPr>
        <w:t>Market Network Service Provider </w:t>
      </w:r>
      <w:r>
        <w:rPr>
          <w:sz w:val="24"/>
        </w:rPr>
        <w:t>does not cause the limits specified in clause S5.1a.7 of the </w:t>
      </w:r>
      <w:r>
        <w:rPr>
          <w:i/>
          <w:sz w:val="24"/>
        </w:rPr>
        <w:t>system standards </w:t>
      </w:r>
      <w:r>
        <w:rPr>
          <w:sz w:val="24"/>
        </w:rPr>
        <w:t>to be exceeded at any point in the</w:t>
      </w:r>
      <w:r>
        <w:rPr>
          <w:spacing w:val="-2"/>
          <w:sz w:val="24"/>
        </w:rPr>
        <w:t> </w:t>
      </w:r>
      <w:r>
        <w:rPr>
          <w:i/>
          <w:sz w:val="24"/>
        </w:rPr>
        <w:t>network</w:t>
      </w:r>
      <w:r>
        <w:rPr>
          <w:sz w:val="24"/>
        </w:rPr>
        <w:t>.</w:t>
      </w:r>
    </w:p>
    <w:p>
      <w:pPr>
        <w:spacing w:before="120"/>
        <w:ind w:left="1352" w:right="414" w:firstLine="0"/>
        <w:jc w:val="both"/>
        <w:rPr>
          <w:sz w:val="24"/>
        </w:rPr>
      </w:pPr>
      <w:r>
        <w:rPr>
          <w:sz w:val="24"/>
        </w:rPr>
        <w:t>Where these requirements cannot be met the </w:t>
      </w:r>
      <w:r>
        <w:rPr>
          <w:i/>
          <w:sz w:val="24"/>
        </w:rPr>
        <w:t>Market Network Service Provider </w:t>
      </w:r>
      <w:r>
        <w:rPr>
          <w:sz w:val="24"/>
        </w:rPr>
        <w:t>may enter into a commercial arrangement with the </w:t>
      </w:r>
      <w:r>
        <w:rPr>
          <w:i/>
          <w:sz w:val="24"/>
        </w:rPr>
        <w:t>Network Service Provider </w:t>
      </w:r>
      <w:r>
        <w:rPr>
          <w:sz w:val="24"/>
        </w:rPr>
        <w:t>for the installation of equipment to correct the phase unbalance. Such equipment must be considered as part of the </w:t>
      </w:r>
      <w:r>
        <w:rPr>
          <w:i/>
          <w:sz w:val="24"/>
        </w:rPr>
        <w:t>connection assets </w:t>
      </w:r>
      <w:r>
        <w:rPr>
          <w:sz w:val="24"/>
        </w:rPr>
        <w:t>for the </w:t>
      </w:r>
      <w:r>
        <w:rPr>
          <w:i/>
          <w:sz w:val="24"/>
        </w:rPr>
        <w:t>Market Network Service </w:t>
      </w:r>
      <w:r>
        <w:rPr>
          <w:i/>
          <w:sz w:val="24"/>
        </w:rPr>
        <w:t>Provider</w:t>
      </w:r>
      <w:r>
        <w:rPr>
          <w:sz w:val="24"/>
        </w:rPr>
        <w:t>.</w:t>
      </w:r>
    </w:p>
    <w:p>
      <w:pPr>
        <w:spacing w:before="120"/>
        <w:ind w:left="1352" w:right="415" w:firstLine="0"/>
        <w:jc w:val="both"/>
        <w:rPr>
          <w:sz w:val="24"/>
        </w:rPr>
      </w:pPr>
      <w:r>
        <w:rPr>
          <w:sz w:val="24"/>
        </w:rPr>
        <w:t>The limit to </w:t>
      </w:r>
      <w:r>
        <w:rPr>
          <w:i/>
          <w:sz w:val="24"/>
        </w:rPr>
        <w:t>power transfer </w:t>
      </w:r>
      <w:r>
        <w:rPr>
          <w:sz w:val="24"/>
        </w:rPr>
        <w:t>current unbalance must be included in the </w:t>
      </w:r>
      <w:r>
        <w:rPr>
          <w:i/>
          <w:sz w:val="24"/>
        </w:rPr>
        <w:t>connection </w:t>
      </w:r>
      <w:r>
        <w:rPr>
          <w:i/>
          <w:sz w:val="24"/>
        </w:rPr>
        <w:t>agreement </w:t>
      </w:r>
      <w:r>
        <w:rPr>
          <w:sz w:val="24"/>
        </w:rPr>
        <w:t>and is subject to verification of compliance by the </w:t>
      </w:r>
      <w:r>
        <w:rPr>
          <w:i/>
          <w:sz w:val="24"/>
        </w:rPr>
        <w:t>Network Service </w:t>
      </w:r>
      <w:r>
        <w:rPr>
          <w:i/>
          <w:sz w:val="24"/>
        </w:rPr>
        <w:t>Provider</w:t>
      </w:r>
      <w:r>
        <w:rPr>
          <w:sz w:val="24"/>
        </w:rPr>
        <w:t>.</w:t>
      </w:r>
    </w:p>
    <w:p>
      <w:pPr>
        <w:pStyle w:val="BodyText"/>
        <w:spacing w:before="10"/>
        <w:ind w:firstLine="0"/>
        <w:jc w:val="left"/>
        <w:rPr>
          <w:sz w:val="20"/>
        </w:rPr>
      </w:pPr>
    </w:p>
    <w:p>
      <w:pPr>
        <w:pStyle w:val="Heading4"/>
        <w:ind w:left="218" w:firstLine="0"/>
      </w:pPr>
      <w:bookmarkStart w:name="S5.3a.10 Voltage fluctuations" w:id="1060"/>
      <w:bookmarkEnd w:id="1060"/>
      <w:r>
        <w:rPr>
          <w:b w:val="0"/>
        </w:rPr>
      </w:r>
      <w:bookmarkStart w:name="_bookmark422" w:id="1061"/>
      <w:bookmarkEnd w:id="1061"/>
      <w:r>
        <w:rPr>
          <w:b w:val="0"/>
        </w:rPr>
      </w:r>
      <w:r>
        <w:rPr/>
        <w:t>S5.3a.10 Voltage fluctuations</w:t>
      </w:r>
    </w:p>
    <w:p>
      <w:pPr>
        <w:pStyle w:val="ListParagraph"/>
        <w:numPr>
          <w:ilvl w:val="0"/>
          <w:numId w:val="324"/>
        </w:numPr>
        <w:tabs>
          <w:tab w:pos="1919" w:val="left" w:leader="none"/>
        </w:tabs>
        <w:spacing w:line="240" w:lineRule="auto" w:before="120" w:after="0"/>
        <w:ind w:left="1919" w:right="414" w:hanging="567"/>
        <w:jc w:val="both"/>
        <w:rPr>
          <w:sz w:val="24"/>
        </w:rPr>
      </w:pPr>
      <w:r>
        <w:rPr>
          <w:i/>
          <w:sz w:val="24"/>
        </w:rPr>
        <w:t>Automatic access standard</w:t>
      </w:r>
      <w:r>
        <w:rPr>
          <w:sz w:val="24"/>
        </w:rPr>
        <w:t>: The </w:t>
      </w:r>
      <w:r>
        <w:rPr>
          <w:i/>
          <w:sz w:val="24"/>
        </w:rPr>
        <w:t>voltage </w:t>
      </w:r>
      <w:r>
        <w:rPr>
          <w:sz w:val="24"/>
        </w:rPr>
        <w:t>fluctuations caused by variations in </w:t>
      </w:r>
      <w:r>
        <w:rPr>
          <w:i/>
          <w:sz w:val="24"/>
        </w:rPr>
        <w:t>loading level </w:t>
      </w:r>
      <w:r>
        <w:rPr>
          <w:sz w:val="24"/>
        </w:rPr>
        <w:t>at the </w:t>
      </w:r>
      <w:r>
        <w:rPr>
          <w:i/>
          <w:sz w:val="24"/>
        </w:rPr>
        <w:t>connection point</w:t>
      </w:r>
      <w:r>
        <w:rPr>
          <w:sz w:val="24"/>
        </w:rPr>
        <w:t>, including those arising </w:t>
      </w:r>
      <w:r>
        <w:rPr>
          <w:spacing w:val="-3"/>
          <w:sz w:val="24"/>
        </w:rPr>
        <w:t>from </w:t>
      </w:r>
      <w:r>
        <w:rPr>
          <w:i/>
          <w:sz w:val="24"/>
        </w:rPr>
        <w:t>energisation</w:t>
      </w:r>
      <w:r>
        <w:rPr>
          <w:sz w:val="24"/>
        </w:rPr>
        <w:t>, de-energisation or other operation of </w:t>
      </w:r>
      <w:r>
        <w:rPr>
          <w:i/>
          <w:sz w:val="24"/>
        </w:rPr>
        <w:t>plant</w:t>
      </w:r>
      <w:r>
        <w:rPr>
          <w:sz w:val="24"/>
        </w:rPr>
        <w:t>, must not exceed the limits determined under clause</w:t>
      </w:r>
      <w:r>
        <w:rPr>
          <w:spacing w:val="-2"/>
          <w:sz w:val="24"/>
        </w:rPr>
        <w:t> </w:t>
      </w:r>
      <w:r>
        <w:rPr>
          <w:sz w:val="24"/>
        </w:rPr>
        <w:t>S5.1.5(a).</w:t>
      </w:r>
    </w:p>
    <w:p>
      <w:pPr>
        <w:pStyle w:val="ListParagraph"/>
        <w:numPr>
          <w:ilvl w:val="0"/>
          <w:numId w:val="324"/>
        </w:numPr>
        <w:tabs>
          <w:tab w:pos="1919" w:val="left" w:leader="none"/>
        </w:tabs>
        <w:spacing w:line="240" w:lineRule="auto" w:before="120" w:after="0"/>
        <w:ind w:left="1919" w:right="414" w:hanging="567"/>
        <w:jc w:val="both"/>
        <w:rPr>
          <w:sz w:val="24"/>
        </w:rPr>
      </w:pPr>
      <w:r>
        <w:rPr>
          <w:i/>
          <w:sz w:val="24"/>
        </w:rPr>
        <w:t>Minimum access standard</w:t>
      </w:r>
      <w:r>
        <w:rPr>
          <w:sz w:val="24"/>
        </w:rPr>
        <w:t>: The </w:t>
      </w:r>
      <w:r>
        <w:rPr>
          <w:i/>
          <w:sz w:val="24"/>
        </w:rPr>
        <w:t>voltage </w:t>
      </w:r>
      <w:r>
        <w:rPr>
          <w:sz w:val="24"/>
        </w:rPr>
        <w:t>fluctuations caused by variations in </w:t>
      </w:r>
      <w:r>
        <w:rPr>
          <w:i/>
          <w:sz w:val="24"/>
        </w:rPr>
        <w:t>loading level </w:t>
      </w:r>
      <w:r>
        <w:rPr>
          <w:sz w:val="24"/>
        </w:rPr>
        <w:t>at the </w:t>
      </w:r>
      <w:r>
        <w:rPr>
          <w:i/>
          <w:sz w:val="24"/>
        </w:rPr>
        <w:t>connection point</w:t>
      </w:r>
      <w:r>
        <w:rPr>
          <w:sz w:val="24"/>
        </w:rPr>
        <w:t>, including those arising </w:t>
      </w:r>
      <w:r>
        <w:rPr>
          <w:spacing w:val="-3"/>
          <w:sz w:val="24"/>
        </w:rPr>
        <w:t>from </w:t>
      </w:r>
      <w:r>
        <w:rPr>
          <w:i/>
          <w:sz w:val="24"/>
        </w:rPr>
        <w:t>energisation</w:t>
      </w:r>
      <w:r>
        <w:rPr>
          <w:sz w:val="24"/>
        </w:rPr>
        <w:t>, de-energisation or other operation of </w:t>
      </w:r>
      <w:r>
        <w:rPr>
          <w:i/>
          <w:sz w:val="24"/>
        </w:rPr>
        <w:t>plant</w:t>
      </w:r>
      <w:r>
        <w:rPr>
          <w:sz w:val="24"/>
        </w:rPr>
        <w:t>, must not exceed the limits determined under clause</w:t>
      </w:r>
      <w:r>
        <w:rPr>
          <w:spacing w:val="-2"/>
          <w:sz w:val="24"/>
        </w:rPr>
        <w:t> </w:t>
      </w:r>
      <w:r>
        <w:rPr>
          <w:sz w:val="24"/>
        </w:rPr>
        <w:t>S5.1.5(b).</w:t>
      </w:r>
    </w:p>
    <w:p>
      <w:pPr>
        <w:spacing w:before="120"/>
        <w:ind w:left="1352" w:right="414" w:firstLine="0"/>
        <w:jc w:val="both"/>
        <w:rPr>
          <w:sz w:val="24"/>
        </w:rPr>
      </w:pPr>
      <w:r>
        <w:rPr>
          <w:sz w:val="24"/>
        </w:rPr>
        <w:t>The </w:t>
      </w:r>
      <w:r>
        <w:rPr>
          <w:i/>
          <w:sz w:val="24"/>
        </w:rPr>
        <w:t>voltage </w:t>
      </w:r>
      <w:r>
        <w:rPr>
          <w:sz w:val="24"/>
        </w:rPr>
        <w:t>fluctuation emission limits and any specified conditions must be included in the </w:t>
      </w:r>
      <w:r>
        <w:rPr>
          <w:i/>
          <w:sz w:val="24"/>
        </w:rPr>
        <w:t>connection agreement</w:t>
      </w:r>
      <w:r>
        <w:rPr>
          <w:sz w:val="24"/>
        </w:rPr>
        <w:t>, and are subject to verification of compliance by the </w:t>
      </w:r>
      <w:r>
        <w:rPr>
          <w:i/>
          <w:sz w:val="24"/>
        </w:rPr>
        <w:t>Network Service Provider</w:t>
      </w:r>
      <w:r>
        <w:rPr>
          <w:sz w:val="24"/>
        </w:rPr>
        <w:t>.</w:t>
      </w:r>
    </w:p>
    <w:p>
      <w:pPr>
        <w:pStyle w:val="BodyText"/>
        <w:spacing w:before="10"/>
        <w:ind w:firstLine="0"/>
        <w:jc w:val="left"/>
        <w:rPr>
          <w:sz w:val="20"/>
        </w:rPr>
      </w:pPr>
    </w:p>
    <w:p>
      <w:pPr>
        <w:pStyle w:val="Heading4"/>
        <w:ind w:left="218" w:firstLine="0"/>
      </w:pPr>
      <w:bookmarkStart w:name="S5.3a.11 Harmonics and voltage notching" w:id="1062"/>
      <w:bookmarkEnd w:id="1062"/>
      <w:r>
        <w:rPr>
          <w:b w:val="0"/>
        </w:rPr>
      </w:r>
      <w:bookmarkStart w:name="_bookmark423" w:id="1063"/>
      <w:bookmarkEnd w:id="1063"/>
      <w:r>
        <w:rPr>
          <w:b w:val="0"/>
        </w:rPr>
      </w:r>
      <w:r>
        <w:rPr/>
        <w:t>S5.3a.11 Harmonics and voltage notching</w:t>
      </w:r>
    </w:p>
    <w:p>
      <w:pPr>
        <w:pStyle w:val="ListParagraph"/>
        <w:numPr>
          <w:ilvl w:val="0"/>
          <w:numId w:val="325"/>
        </w:numPr>
        <w:tabs>
          <w:tab w:pos="1919" w:val="left" w:leader="none"/>
        </w:tabs>
        <w:spacing w:line="240" w:lineRule="auto" w:before="120" w:after="0"/>
        <w:ind w:left="1919" w:right="415" w:hanging="567"/>
        <w:jc w:val="both"/>
        <w:rPr>
          <w:sz w:val="24"/>
        </w:rPr>
      </w:pPr>
      <w:r>
        <w:rPr>
          <w:i/>
          <w:sz w:val="24"/>
        </w:rPr>
        <w:t>Automatic access standard</w:t>
      </w:r>
      <w:r>
        <w:rPr>
          <w:sz w:val="24"/>
        </w:rPr>
        <w:t>: The harmonic </w:t>
      </w:r>
      <w:r>
        <w:rPr>
          <w:i/>
          <w:sz w:val="24"/>
        </w:rPr>
        <w:t>voltage </w:t>
      </w:r>
      <w:r>
        <w:rPr>
          <w:sz w:val="24"/>
        </w:rPr>
        <w:t>distortion caused by </w:t>
      </w:r>
      <w:r>
        <w:rPr>
          <w:spacing w:val="-3"/>
          <w:sz w:val="24"/>
        </w:rPr>
        <w:t>non- </w:t>
      </w:r>
      <w:r>
        <w:rPr>
          <w:sz w:val="24"/>
        </w:rPr>
        <w:t>linearity, commutation of power electronic equipment, harmonic resonance and other effects within the </w:t>
      </w:r>
      <w:r>
        <w:rPr>
          <w:i/>
          <w:sz w:val="24"/>
        </w:rPr>
        <w:t>plant</w:t>
      </w:r>
      <w:r>
        <w:rPr>
          <w:sz w:val="24"/>
        </w:rPr>
        <w:t>, must not exceed the limits determined under clause</w:t>
      </w:r>
      <w:r>
        <w:rPr>
          <w:spacing w:val="-2"/>
          <w:sz w:val="24"/>
        </w:rPr>
        <w:t> </w:t>
      </w:r>
      <w:r>
        <w:rPr>
          <w:sz w:val="24"/>
        </w:rPr>
        <w:t>S5.1.6(a).</w:t>
      </w:r>
    </w:p>
    <w:p>
      <w:pPr>
        <w:pStyle w:val="ListParagraph"/>
        <w:numPr>
          <w:ilvl w:val="0"/>
          <w:numId w:val="325"/>
        </w:numPr>
        <w:tabs>
          <w:tab w:pos="1919" w:val="left" w:leader="none"/>
        </w:tabs>
        <w:spacing w:line="240" w:lineRule="auto" w:before="120" w:after="0"/>
        <w:ind w:left="1919" w:right="415" w:hanging="567"/>
        <w:jc w:val="both"/>
        <w:rPr>
          <w:sz w:val="24"/>
        </w:rPr>
      </w:pPr>
      <w:r>
        <w:rPr>
          <w:i/>
          <w:sz w:val="24"/>
        </w:rPr>
        <w:t>Minimum access standard</w:t>
      </w:r>
      <w:r>
        <w:rPr>
          <w:sz w:val="24"/>
        </w:rPr>
        <w:t>: The harmonic </w:t>
      </w:r>
      <w:r>
        <w:rPr>
          <w:i/>
          <w:sz w:val="24"/>
        </w:rPr>
        <w:t>voltage </w:t>
      </w:r>
      <w:r>
        <w:rPr>
          <w:sz w:val="24"/>
        </w:rPr>
        <w:t>distortion caused by non- linearity, commutation of power electronic equipment, harmonic resonance and other effects within the </w:t>
      </w:r>
      <w:r>
        <w:rPr>
          <w:i/>
          <w:sz w:val="24"/>
        </w:rPr>
        <w:t>plant</w:t>
      </w:r>
      <w:r>
        <w:rPr>
          <w:sz w:val="24"/>
        </w:rPr>
        <w:t>, must not exceed the limits determined under clause</w:t>
      </w:r>
      <w:r>
        <w:rPr>
          <w:spacing w:val="-2"/>
          <w:sz w:val="24"/>
        </w:rPr>
        <w:t> </w:t>
      </w:r>
      <w:r>
        <w:rPr>
          <w:sz w:val="24"/>
        </w:rPr>
        <w:t>S5.1.6(b).</w:t>
      </w:r>
    </w:p>
    <w:p>
      <w:pPr>
        <w:spacing w:before="120"/>
        <w:ind w:left="1352" w:right="414" w:firstLine="0"/>
        <w:jc w:val="both"/>
        <w:rPr>
          <w:sz w:val="24"/>
        </w:rPr>
      </w:pPr>
      <w:r>
        <w:rPr>
          <w:sz w:val="24"/>
        </w:rPr>
        <w:t>A </w:t>
      </w:r>
      <w:r>
        <w:rPr>
          <w:i/>
          <w:sz w:val="24"/>
        </w:rPr>
        <w:t>Market Network Service Provider </w:t>
      </w:r>
      <w:r>
        <w:rPr>
          <w:sz w:val="24"/>
        </w:rPr>
        <w:t>must ensure that all of its </w:t>
      </w:r>
      <w:r>
        <w:rPr>
          <w:i/>
          <w:sz w:val="24"/>
        </w:rPr>
        <w:t>plant connected </w:t>
      </w:r>
      <w:r>
        <w:rPr>
          <w:sz w:val="24"/>
        </w:rPr>
        <w:t>to a </w:t>
      </w:r>
      <w:r>
        <w:rPr>
          <w:i/>
          <w:sz w:val="24"/>
        </w:rPr>
        <w:t>transmission network </w:t>
      </w:r>
      <w:r>
        <w:rPr>
          <w:sz w:val="24"/>
        </w:rPr>
        <w:t>or </w:t>
      </w:r>
      <w:r>
        <w:rPr>
          <w:i/>
          <w:sz w:val="24"/>
        </w:rPr>
        <w:t>distribution network </w:t>
      </w:r>
      <w:r>
        <w:rPr>
          <w:sz w:val="24"/>
        </w:rPr>
        <w:t>is capable of withstanding the effects of harmonic levels produced by that </w:t>
      </w:r>
      <w:r>
        <w:rPr>
          <w:i/>
          <w:sz w:val="24"/>
        </w:rPr>
        <w:t>plant </w:t>
      </w:r>
      <w:r>
        <w:rPr>
          <w:sz w:val="24"/>
        </w:rPr>
        <w:t>plus those imposed from the </w:t>
      </w:r>
      <w:r>
        <w:rPr>
          <w:i/>
          <w:sz w:val="24"/>
        </w:rPr>
        <w:t>network</w:t>
      </w:r>
      <w:r>
        <w:rPr>
          <w:sz w:val="24"/>
        </w:rPr>
        <w:t>.</w:t>
      </w:r>
    </w:p>
    <w:p>
      <w:pPr>
        <w:spacing w:after="0"/>
        <w:jc w:val="both"/>
        <w:rPr>
          <w:sz w:val="24"/>
        </w:rPr>
        <w:sectPr>
          <w:pgSz w:w="11910" w:h="16840"/>
          <w:pgMar w:header="686" w:footer="637" w:top="1320" w:bottom="820" w:left="1200" w:right="1000"/>
        </w:sectPr>
      </w:pPr>
    </w:p>
    <w:p>
      <w:pPr>
        <w:spacing w:before="83"/>
        <w:ind w:left="1352" w:right="415" w:firstLine="0"/>
        <w:jc w:val="both"/>
        <w:rPr>
          <w:sz w:val="24"/>
        </w:rPr>
      </w:pPr>
      <w:r>
        <w:rPr>
          <w:sz w:val="24"/>
        </w:rPr>
        <w:t>The harmonic </w:t>
      </w:r>
      <w:r>
        <w:rPr>
          <w:i/>
          <w:sz w:val="24"/>
        </w:rPr>
        <w:t>voltage </w:t>
      </w:r>
      <w:r>
        <w:rPr>
          <w:sz w:val="24"/>
        </w:rPr>
        <w:t>distortion emission limits and any special conditions must be included in the </w:t>
      </w:r>
      <w:r>
        <w:rPr>
          <w:i/>
          <w:sz w:val="24"/>
        </w:rPr>
        <w:t>connection agreement</w:t>
      </w:r>
      <w:r>
        <w:rPr>
          <w:sz w:val="24"/>
        </w:rPr>
        <w:t>, and are subject to verification of compliance by the </w:t>
      </w:r>
      <w:r>
        <w:rPr>
          <w:i/>
          <w:sz w:val="24"/>
        </w:rPr>
        <w:t>Network Service Provider</w:t>
      </w:r>
      <w:r>
        <w:rPr>
          <w:sz w:val="24"/>
        </w:rPr>
        <w:t>.</w:t>
      </w:r>
    </w:p>
    <w:p>
      <w:pPr>
        <w:pStyle w:val="BodyText"/>
        <w:spacing w:before="10"/>
        <w:ind w:firstLine="0"/>
        <w:jc w:val="left"/>
        <w:rPr>
          <w:sz w:val="20"/>
        </w:rPr>
      </w:pPr>
    </w:p>
    <w:p>
      <w:pPr>
        <w:pStyle w:val="Heading4"/>
        <w:ind w:left="1352" w:right="415"/>
      </w:pPr>
      <w:bookmarkStart w:name="S5.3a.12 Design requirements for Market " w:id="1064"/>
      <w:bookmarkEnd w:id="1064"/>
      <w:r>
        <w:rPr>
          <w:b w:val="0"/>
        </w:rPr>
      </w:r>
      <w:bookmarkStart w:name="_bookmark424" w:id="1065"/>
      <w:bookmarkEnd w:id="1065"/>
      <w:r>
        <w:rPr>
          <w:b w:val="0"/>
        </w:rPr>
      </w:r>
      <w:r>
        <w:rPr/>
        <w:t>S5.3a.12 Design requirements for Market Network Service Providers' substations</w:t>
      </w:r>
    </w:p>
    <w:p>
      <w:pPr>
        <w:spacing w:before="120"/>
        <w:ind w:left="1352" w:right="415" w:firstLine="0"/>
        <w:jc w:val="both"/>
        <w:rPr>
          <w:sz w:val="24"/>
        </w:rPr>
      </w:pPr>
      <w:r>
        <w:rPr>
          <w:sz w:val="24"/>
        </w:rPr>
        <w:t>A </w:t>
      </w:r>
      <w:r>
        <w:rPr>
          <w:i/>
          <w:sz w:val="24"/>
        </w:rPr>
        <w:t>Market Network Service Provider </w:t>
      </w:r>
      <w:r>
        <w:rPr>
          <w:sz w:val="24"/>
        </w:rPr>
        <w:t>must comply with the following requirements applicable to the design, station layout and choice of equipment for a </w:t>
      </w:r>
      <w:r>
        <w:rPr>
          <w:i/>
          <w:sz w:val="24"/>
        </w:rPr>
        <w:t>substation</w:t>
      </w:r>
      <w:r>
        <w:rPr>
          <w:sz w:val="24"/>
        </w:rPr>
        <w:t>:</w:t>
      </w:r>
    </w:p>
    <w:p>
      <w:pPr>
        <w:pStyle w:val="ListParagraph"/>
        <w:numPr>
          <w:ilvl w:val="0"/>
          <w:numId w:val="326"/>
        </w:numPr>
        <w:tabs>
          <w:tab w:pos="1919" w:val="left" w:leader="none"/>
        </w:tabs>
        <w:spacing w:line="240" w:lineRule="auto" w:before="120" w:after="0"/>
        <w:ind w:left="1918" w:right="0" w:hanging="567"/>
        <w:jc w:val="both"/>
        <w:rPr>
          <w:sz w:val="24"/>
        </w:rPr>
      </w:pPr>
      <w:r>
        <w:rPr>
          <w:sz w:val="24"/>
        </w:rPr>
        <w:t>safety provisions must comply with requirements applicable to</w:t>
      </w:r>
      <w:r>
        <w:rPr>
          <w:spacing w:val="16"/>
          <w:sz w:val="24"/>
        </w:rPr>
        <w:t> </w:t>
      </w:r>
      <w:r>
        <w:rPr>
          <w:sz w:val="24"/>
        </w:rPr>
        <w:t>the</w:t>
      </w:r>
    </w:p>
    <w:p>
      <w:pPr>
        <w:spacing w:before="0"/>
        <w:ind w:left="1919" w:right="0" w:firstLine="0"/>
        <w:jc w:val="both"/>
        <w:rPr>
          <w:sz w:val="24"/>
        </w:rPr>
      </w:pPr>
      <w:r>
        <w:rPr>
          <w:i/>
          <w:sz w:val="24"/>
        </w:rPr>
        <w:t>participating jurisdiction </w:t>
      </w:r>
      <w:r>
        <w:rPr>
          <w:sz w:val="24"/>
        </w:rPr>
        <w:t>notified by the </w:t>
      </w:r>
      <w:r>
        <w:rPr>
          <w:i/>
          <w:sz w:val="24"/>
        </w:rPr>
        <w:t>Network Service Provider</w:t>
      </w:r>
      <w:r>
        <w:rPr>
          <w:sz w:val="24"/>
        </w:rPr>
        <w:t>;</w:t>
      </w:r>
    </w:p>
    <w:p>
      <w:pPr>
        <w:pStyle w:val="ListParagraph"/>
        <w:numPr>
          <w:ilvl w:val="0"/>
          <w:numId w:val="326"/>
        </w:numPr>
        <w:tabs>
          <w:tab w:pos="1919" w:val="left" w:leader="none"/>
        </w:tabs>
        <w:spacing w:line="240" w:lineRule="auto" w:before="120" w:after="0"/>
        <w:ind w:left="1919" w:right="413" w:hanging="567"/>
        <w:jc w:val="both"/>
        <w:rPr>
          <w:sz w:val="24"/>
        </w:rPr>
      </w:pPr>
      <w:r>
        <w:rPr>
          <w:sz w:val="24"/>
        </w:rPr>
        <w:t>where required by the </w:t>
      </w:r>
      <w:r>
        <w:rPr>
          <w:i/>
          <w:sz w:val="24"/>
        </w:rPr>
        <w:t>Network Service Provider</w:t>
      </w:r>
      <w:r>
        <w:rPr>
          <w:sz w:val="24"/>
        </w:rPr>
        <w:t>, appropriate interfaces and accommodation must be incorporated for communication </w:t>
      </w:r>
      <w:r>
        <w:rPr>
          <w:i/>
          <w:sz w:val="24"/>
        </w:rPr>
        <w:t>facilities</w:t>
      </w:r>
      <w:r>
        <w:rPr>
          <w:sz w:val="24"/>
        </w:rPr>
        <w:t>, remote monitoring and control and protection of </w:t>
      </w:r>
      <w:r>
        <w:rPr>
          <w:i/>
          <w:sz w:val="24"/>
        </w:rPr>
        <w:t>plant </w:t>
      </w:r>
      <w:r>
        <w:rPr>
          <w:sz w:val="24"/>
        </w:rPr>
        <w:t>which is to be installed in the </w:t>
      </w:r>
      <w:r>
        <w:rPr>
          <w:i/>
          <w:sz w:val="24"/>
        </w:rPr>
        <w:t>substation</w:t>
      </w:r>
      <w:r>
        <w:rPr>
          <w:sz w:val="24"/>
        </w:rPr>
        <w:t>;</w:t>
      </w:r>
    </w:p>
    <w:p>
      <w:pPr>
        <w:pStyle w:val="ListParagraph"/>
        <w:numPr>
          <w:ilvl w:val="0"/>
          <w:numId w:val="326"/>
        </w:numPr>
        <w:tabs>
          <w:tab w:pos="1919" w:val="left" w:leader="none"/>
        </w:tabs>
        <w:spacing w:line="240" w:lineRule="auto" w:before="120" w:after="0"/>
        <w:ind w:left="1919" w:right="415" w:hanging="567"/>
        <w:jc w:val="both"/>
        <w:rPr>
          <w:sz w:val="24"/>
        </w:rPr>
      </w:pPr>
      <w:r>
        <w:rPr>
          <w:sz w:val="24"/>
        </w:rPr>
        <w:t>a </w:t>
      </w:r>
      <w:r>
        <w:rPr>
          <w:i/>
          <w:sz w:val="24"/>
        </w:rPr>
        <w:t>substation </w:t>
      </w:r>
      <w:r>
        <w:rPr>
          <w:sz w:val="24"/>
        </w:rPr>
        <w:t>must be capable of continuous uninterrupted operation with the levels of </w:t>
      </w:r>
      <w:r>
        <w:rPr>
          <w:i/>
          <w:sz w:val="24"/>
        </w:rPr>
        <w:t>voltage</w:t>
      </w:r>
      <w:r>
        <w:rPr>
          <w:sz w:val="24"/>
        </w:rPr>
        <w:t>, harmonics, unbalance and </w:t>
      </w:r>
      <w:r>
        <w:rPr>
          <w:i/>
          <w:sz w:val="24"/>
        </w:rPr>
        <w:t>voltage </w:t>
      </w:r>
      <w:r>
        <w:rPr>
          <w:sz w:val="24"/>
        </w:rPr>
        <w:t>fluctuation specified in the </w:t>
      </w:r>
      <w:r>
        <w:rPr>
          <w:i/>
          <w:sz w:val="24"/>
        </w:rPr>
        <w:t>system standards </w:t>
      </w:r>
      <w:r>
        <w:rPr>
          <w:sz w:val="24"/>
        </w:rPr>
        <w:t>as modified in accordance with the relevant provisions of schedule</w:t>
      </w:r>
      <w:r>
        <w:rPr>
          <w:spacing w:val="-2"/>
          <w:sz w:val="24"/>
        </w:rPr>
        <w:t> </w:t>
      </w:r>
      <w:r>
        <w:rPr>
          <w:sz w:val="24"/>
        </w:rPr>
        <w:t>5.1;</w:t>
      </w:r>
    </w:p>
    <w:p>
      <w:pPr>
        <w:pStyle w:val="ListParagraph"/>
        <w:numPr>
          <w:ilvl w:val="0"/>
          <w:numId w:val="326"/>
        </w:numPr>
        <w:tabs>
          <w:tab w:pos="1919" w:val="left" w:leader="none"/>
        </w:tabs>
        <w:spacing w:line="240" w:lineRule="auto" w:before="120" w:after="0"/>
        <w:ind w:left="1919" w:right="415" w:hanging="567"/>
        <w:jc w:val="both"/>
        <w:rPr>
          <w:sz w:val="24"/>
        </w:rPr>
      </w:pPr>
      <w:r>
        <w:rPr>
          <w:sz w:val="24"/>
        </w:rPr>
        <w:t>earthing of primary </w:t>
      </w:r>
      <w:r>
        <w:rPr>
          <w:i/>
          <w:sz w:val="24"/>
        </w:rPr>
        <w:t>plant </w:t>
      </w:r>
      <w:r>
        <w:rPr>
          <w:sz w:val="24"/>
        </w:rPr>
        <w:t>in the </w:t>
      </w:r>
      <w:r>
        <w:rPr>
          <w:i/>
          <w:sz w:val="24"/>
        </w:rPr>
        <w:t>substation </w:t>
      </w:r>
      <w:r>
        <w:rPr>
          <w:sz w:val="24"/>
        </w:rPr>
        <w:t>must be in accordance with the Electricity Supply Association of Australia Safe Earthing Guide and must reduce step and touch potentials to safe</w:t>
      </w:r>
      <w:r>
        <w:rPr>
          <w:spacing w:val="-2"/>
          <w:sz w:val="24"/>
        </w:rPr>
        <w:t> </w:t>
      </w:r>
      <w:r>
        <w:rPr>
          <w:sz w:val="24"/>
        </w:rPr>
        <w:t>levels;</w:t>
      </w:r>
    </w:p>
    <w:p>
      <w:pPr>
        <w:pStyle w:val="ListParagraph"/>
        <w:numPr>
          <w:ilvl w:val="0"/>
          <w:numId w:val="326"/>
        </w:numPr>
        <w:tabs>
          <w:tab w:pos="1919" w:val="left" w:leader="none"/>
        </w:tabs>
        <w:spacing w:line="240" w:lineRule="auto" w:before="120" w:after="0"/>
        <w:ind w:left="1918" w:right="0" w:hanging="567"/>
        <w:jc w:val="both"/>
        <w:rPr>
          <w:sz w:val="24"/>
        </w:rPr>
      </w:pPr>
      <w:r>
        <w:rPr>
          <w:i/>
          <w:sz w:val="24"/>
        </w:rPr>
        <w:t>synchronisation facilities </w:t>
      </w:r>
      <w:r>
        <w:rPr>
          <w:sz w:val="24"/>
        </w:rPr>
        <w:t>or reclose blocking must be provided if</w:t>
      </w:r>
      <w:r>
        <w:rPr>
          <w:spacing w:val="-4"/>
          <w:sz w:val="24"/>
        </w:rPr>
        <w:t> </w:t>
      </w:r>
      <w:r>
        <w:rPr>
          <w:sz w:val="24"/>
        </w:rPr>
        <w:t>necessary;</w:t>
      </w:r>
    </w:p>
    <w:p>
      <w:pPr>
        <w:pStyle w:val="ListParagraph"/>
        <w:numPr>
          <w:ilvl w:val="0"/>
          <w:numId w:val="326"/>
        </w:numPr>
        <w:tabs>
          <w:tab w:pos="1920" w:val="left" w:leader="none"/>
        </w:tabs>
        <w:spacing w:line="240" w:lineRule="auto" w:before="120" w:after="0"/>
        <w:ind w:left="1919" w:right="0" w:hanging="568"/>
        <w:jc w:val="both"/>
        <w:rPr>
          <w:i/>
          <w:sz w:val="24"/>
        </w:rPr>
      </w:pPr>
      <w:r>
        <w:rPr>
          <w:sz w:val="24"/>
        </w:rPr>
        <w:t>secure electricity supplies of adequate capacity must be provided for</w:t>
      </w:r>
      <w:r>
        <w:rPr>
          <w:spacing w:val="-14"/>
          <w:sz w:val="24"/>
        </w:rPr>
        <w:t> </w:t>
      </w:r>
      <w:r>
        <w:rPr>
          <w:i/>
          <w:sz w:val="24"/>
        </w:rPr>
        <w:t>plant</w:t>
      </w:r>
    </w:p>
    <w:p>
      <w:pPr>
        <w:pStyle w:val="BodyText"/>
        <w:spacing w:before="0"/>
        <w:ind w:left="1919" w:firstLine="0"/>
      </w:pPr>
      <w:r>
        <w:rPr/>
        <w:t>performing communication, monitoring, control and protection functions;</w:t>
      </w:r>
    </w:p>
    <w:p>
      <w:pPr>
        <w:pStyle w:val="ListParagraph"/>
        <w:numPr>
          <w:ilvl w:val="0"/>
          <w:numId w:val="326"/>
        </w:numPr>
        <w:tabs>
          <w:tab w:pos="1919" w:val="left" w:leader="none"/>
        </w:tabs>
        <w:spacing w:line="240" w:lineRule="auto" w:before="120" w:after="0"/>
        <w:ind w:left="1919" w:right="415" w:hanging="567"/>
        <w:jc w:val="both"/>
        <w:rPr>
          <w:sz w:val="24"/>
        </w:rPr>
      </w:pPr>
      <w:r>
        <w:rPr>
          <w:i/>
          <w:sz w:val="24"/>
        </w:rPr>
        <w:t>plant </w:t>
      </w:r>
      <w:r>
        <w:rPr>
          <w:sz w:val="24"/>
        </w:rPr>
        <w:t>must be tested to ensure that the </w:t>
      </w:r>
      <w:r>
        <w:rPr>
          <w:i/>
          <w:sz w:val="24"/>
        </w:rPr>
        <w:t>substation </w:t>
      </w:r>
      <w:r>
        <w:rPr>
          <w:sz w:val="24"/>
        </w:rPr>
        <w:t>complies with the approved design and specifications as included in a </w:t>
      </w:r>
      <w:r>
        <w:rPr>
          <w:i/>
          <w:sz w:val="24"/>
        </w:rPr>
        <w:t>connection</w:t>
      </w:r>
      <w:r>
        <w:rPr>
          <w:i/>
          <w:spacing w:val="-11"/>
          <w:sz w:val="24"/>
        </w:rPr>
        <w:t> </w:t>
      </w:r>
      <w:r>
        <w:rPr>
          <w:i/>
          <w:sz w:val="24"/>
        </w:rPr>
        <w:t>agreement</w:t>
      </w:r>
      <w:r>
        <w:rPr>
          <w:sz w:val="24"/>
        </w:rPr>
        <w:t>;</w:t>
      </w:r>
    </w:p>
    <w:p>
      <w:pPr>
        <w:pStyle w:val="ListParagraph"/>
        <w:numPr>
          <w:ilvl w:val="0"/>
          <w:numId w:val="326"/>
        </w:numPr>
        <w:tabs>
          <w:tab w:pos="1919" w:val="left" w:leader="none"/>
        </w:tabs>
        <w:spacing w:line="240" w:lineRule="auto" w:before="120" w:after="0"/>
        <w:ind w:left="1919" w:right="415" w:hanging="567"/>
        <w:jc w:val="both"/>
        <w:rPr>
          <w:sz w:val="24"/>
        </w:rPr>
      </w:pPr>
      <w:r>
        <w:rPr>
          <w:sz w:val="24"/>
        </w:rPr>
        <w:t>the protection equipment required would normally include protection schemes for individual items of </w:t>
      </w:r>
      <w:r>
        <w:rPr>
          <w:i/>
          <w:sz w:val="24"/>
        </w:rPr>
        <w:t>plant</w:t>
      </w:r>
      <w:r>
        <w:rPr>
          <w:sz w:val="24"/>
        </w:rPr>
        <w:t>,  back-up  arrangements,  auxiliary  DC supplies and instrumentation </w:t>
      </w:r>
      <w:r>
        <w:rPr>
          <w:i/>
          <w:sz w:val="24"/>
        </w:rPr>
        <w:t>transformers</w:t>
      </w:r>
      <w:r>
        <w:rPr>
          <w:sz w:val="24"/>
        </w:rPr>
        <w:t>;</w:t>
      </w:r>
      <w:r>
        <w:rPr>
          <w:spacing w:val="-4"/>
          <w:sz w:val="24"/>
        </w:rPr>
        <w:t> </w:t>
      </w:r>
      <w:r>
        <w:rPr>
          <w:sz w:val="24"/>
        </w:rPr>
        <w:t>and</w:t>
      </w:r>
    </w:p>
    <w:p>
      <w:pPr>
        <w:pStyle w:val="ListParagraph"/>
        <w:numPr>
          <w:ilvl w:val="0"/>
          <w:numId w:val="326"/>
        </w:numPr>
        <w:tabs>
          <w:tab w:pos="1919" w:val="left" w:leader="none"/>
        </w:tabs>
        <w:spacing w:line="240" w:lineRule="auto" w:before="120" w:after="0"/>
        <w:ind w:left="1919" w:right="414" w:hanging="567"/>
        <w:jc w:val="both"/>
        <w:rPr>
          <w:sz w:val="24"/>
        </w:rPr>
      </w:pPr>
      <w:r>
        <w:rPr>
          <w:sz w:val="24"/>
        </w:rPr>
        <w:t>insulation levels of </w:t>
      </w:r>
      <w:r>
        <w:rPr>
          <w:i/>
          <w:sz w:val="24"/>
        </w:rPr>
        <w:t>plant </w:t>
      </w:r>
      <w:r>
        <w:rPr>
          <w:sz w:val="24"/>
        </w:rPr>
        <w:t>in the </w:t>
      </w:r>
      <w:r>
        <w:rPr>
          <w:i/>
          <w:sz w:val="24"/>
        </w:rPr>
        <w:t>substation </w:t>
      </w:r>
      <w:r>
        <w:rPr>
          <w:sz w:val="24"/>
        </w:rPr>
        <w:t>must co-ordinate with the insulation levels of the </w:t>
      </w:r>
      <w:r>
        <w:rPr>
          <w:i/>
          <w:sz w:val="24"/>
        </w:rPr>
        <w:t>network </w:t>
      </w:r>
      <w:r>
        <w:rPr>
          <w:sz w:val="24"/>
        </w:rPr>
        <w:t>to which the </w:t>
      </w:r>
      <w:r>
        <w:rPr>
          <w:i/>
          <w:sz w:val="24"/>
        </w:rPr>
        <w:t>substation </w:t>
      </w:r>
      <w:r>
        <w:rPr>
          <w:sz w:val="24"/>
        </w:rPr>
        <w:t>is </w:t>
      </w:r>
      <w:r>
        <w:rPr>
          <w:i/>
          <w:sz w:val="24"/>
        </w:rPr>
        <w:t>connected </w:t>
      </w:r>
      <w:r>
        <w:rPr>
          <w:sz w:val="24"/>
        </w:rPr>
        <w:t>as nominated in the </w:t>
      </w:r>
      <w:r>
        <w:rPr>
          <w:i/>
          <w:sz w:val="24"/>
        </w:rPr>
        <w:t>connection</w:t>
      </w:r>
      <w:r>
        <w:rPr>
          <w:i/>
          <w:spacing w:val="-1"/>
          <w:sz w:val="24"/>
        </w:rPr>
        <w:t> </w:t>
      </w:r>
      <w:r>
        <w:rPr>
          <w:i/>
          <w:sz w:val="24"/>
        </w:rPr>
        <w:t>agreement</w:t>
      </w:r>
      <w:r>
        <w:rPr>
          <w:sz w:val="24"/>
        </w:rPr>
        <w:t>.</w:t>
      </w:r>
    </w:p>
    <w:p>
      <w:pPr>
        <w:pStyle w:val="BodyText"/>
        <w:spacing w:before="10"/>
        <w:ind w:firstLine="0"/>
        <w:jc w:val="left"/>
        <w:rPr>
          <w:sz w:val="20"/>
        </w:rPr>
      </w:pPr>
    </w:p>
    <w:p>
      <w:pPr>
        <w:pStyle w:val="Heading4"/>
        <w:ind w:left="1352" w:right="565"/>
      </w:pPr>
      <w:bookmarkStart w:name="S5.3a.13 Market network service response" w:id="1066"/>
      <w:bookmarkEnd w:id="1066"/>
      <w:r>
        <w:rPr>
          <w:b w:val="0"/>
        </w:rPr>
      </w:r>
      <w:bookmarkStart w:name="_bookmark425" w:id="1067"/>
      <w:bookmarkEnd w:id="1067"/>
      <w:r>
        <w:rPr>
          <w:b w:val="0"/>
        </w:rPr>
      </w:r>
      <w:r>
        <w:rPr/>
        <w:t>S5.3a.13 Market network service response to disturbances in the power system</w:t>
      </w:r>
    </w:p>
    <w:p>
      <w:pPr>
        <w:pStyle w:val="ListParagraph"/>
        <w:numPr>
          <w:ilvl w:val="0"/>
          <w:numId w:val="327"/>
        </w:numPr>
        <w:tabs>
          <w:tab w:pos="1919" w:val="left" w:leader="none"/>
        </w:tabs>
        <w:spacing w:line="240" w:lineRule="auto" w:before="120" w:after="0"/>
        <w:ind w:left="1919" w:right="416" w:hanging="567"/>
        <w:jc w:val="both"/>
        <w:rPr>
          <w:sz w:val="24"/>
        </w:rPr>
      </w:pPr>
      <w:r>
        <w:rPr>
          <w:sz w:val="24"/>
        </w:rPr>
        <w:t>Each </w:t>
      </w:r>
      <w:r>
        <w:rPr>
          <w:i/>
          <w:sz w:val="24"/>
        </w:rPr>
        <w:t>market network service </w:t>
      </w:r>
      <w:r>
        <w:rPr>
          <w:sz w:val="24"/>
        </w:rPr>
        <w:t>must be capable of continuous uninterrupted operation during the occurrence</w:t>
      </w:r>
      <w:r>
        <w:rPr>
          <w:spacing w:val="-1"/>
          <w:sz w:val="24"/>
        </w:rPr>
        <w:t> </w:t>
      </w:r>
      <w:r>
        <w:rPr>
          <w:sz w:val="24"/>
        </w:rPr>
        <w:t>of:</w:t>
      </w:r>
    </w:p>
    <w:p>
      <w:pPr>
        <w:pStyle w:val="ListParagraph"/>
        <w:numPr>
          <w:ilvl w:val="1"/>
          <w:numId w:val="327"/>
        </w:numPr>
        <w:tabs>
          <w:tab w:pos="2486" w:val="left" w:leader="none"/>
        </w:tabs>
        <w:spacing w:line="240" w:lineRule="auto" w:before="120" w:after="0"/>
        <w:ind w:left="2485" w:right="0" w:hanging="567"/>
        <w:jc w:val="both"/>
        <w:rPr>
          <w:sz w:val="24"/>
        </w:rPr>
      </w:pPr>
      <w:r>
        <w:rPr>
          <w:i/>
          <w:sz w:val="24"/>
        </w:rPr>
        <w:t>power system frequency </w:t>
      </w:r>
      <w:r>
        <w:rPr>
          <w:sz w:val="24"/>
        </w:rPr>
        <w:t>within the </w:t>
      </w:r>
      <w:r>
        <w:rPr>
          <w:i/>
          <w:sz w:val="24"/>
        </w:rPr>
        <w:t>frequency operating standards</w:t>
      </w:r>
      <w:r>
        <w:rPr>
          <w:sz w:val="24"/>
        </w:rPr>
        <w:t>;</w:t>
      </w:r>
      <w:r>
        <w:rPr>
          <w:spacing w:val="-10"/>
          <w:sz w:val="24"/>
        </w:rPr>
        <w:t> </w:t>
      </w:r>
      <w:r>
        <w:rPr>
          <w:sz w:val="24"/>
        </w:rPr>
        <w:t>or</w:t>
      </w:r>
    </w:p>
    <w:p>
      <w:pPr>
        <w:pStyle w:val="ListParagraph"/>
        <w:numPr>
          <w:ilvl w:val="1"/>
          <w:numId w:val="327"/>
        </w:numPr>
        <w:tabs>
          <w:tab w:pos="2486" w:val="left" w:leader="none"/>
        </w:tabs>
        <w:spacing w:line="240" w:lineRule="auto" w:before="120" w:after="0"/>
        <w:ind w:left="2486" w:right="416" w:hanging="567"/>
        <w:jc w:val="both"/>
        <w:rPr>
          <w:sz w:val="24"/>
        </w:rPr>
      </w:pPr>
      <w:r>
        <w:rPr>
          <w:sz w:val="24"/>
        </w:rPr>
        <w:t>the range of </w:t>
      </w:r>
      <w:r>
        <w:rPr>
          <w:i/>
          <w:sz w:val="24"/>
        </w:rPr>
        <w:t>voltage </w:t>
      </w:r>
      <w:r>
        <w:rPr>
          <w:sz w:val="24"/>
        </w:rPr>
        <w:t>variation conditions permitted by the </w:t>
      </w:r>
      <w:r>
        <w:rPr>
          <w:i/>
          <w:sz w:val="24"/>
        </w:rPr>
        <w:t>system </w:t>
      </w:r>
      <w:r>
        <w:rPr>
          <w:i/>
          <w:sz w:val="24"/>
        </w:rPr>
        <w:t>standards</w:t>
      </w:r>
      <w:r>
        <w:rPr>
          <w:sz w:val="24"/>
        </w:rPr>
        <w:t>.</w:t>
      </w:r>
    </w:p>
    <w:p>
      <w:pPr>
        <w:pStyle w:val="ListParagraph"/>
        <w:numPr>
          <w:ilvl w:val="0"/>
          <w:numId w:val="327"/>
        </w:numPr>
        <w:tabs>
          <w:tab w:pos="1919" w:val="left" w:leader="none"/>
        </w:tabs>
        <w:spacing w:line="240" w:lineRule="auto" w:before="120" w:after="0"/>
        <w:ind w:left="1919" w:right="415" w:hanging="567"/>
        <w:jc w:val="both"/>
        <w:rPr>
          <w:sz w:val="24"/>
        </w:rPr>
      </w:pPr>
      <w:r>
        <w:rPr>
          <w:sz w:val="24"/>
        </w:rPr>
        <w:t>The equipment associated with each </w:t>
      </w:r>
      <w:r>
        <w:rPr>
          <w:i/>
          <w:sz w:val="24"/>
        </w:rPr>
        <w:t>market network service </w:t>
      </w:r>
      <w:r>
        <w:rPr>
          <w:sz w:val="24"/>
        </w:rPr>
        <w:t>must be designed to withstand without damage or reduction in life expectancy the harmonic</w:t>
      </w:r>
      <w:r>
        <w:rPr>
          <w:spacing w:val="28"/>
          <w:sz w:val="24"/>
        </w:rPr>
        <w:t> </w:t>
      </w:r>
      <w:r>
        <w:rPr>
          <w:sz w:val="24"/>
        </w:rPr>
        <w:t>distortion</w:t>
      </w:r>
      <w:r>
        <w:rPr>
          <w:spacing w:val="28"/>
          <w:sz w:val="24"/>
        </w:rPr>
        <w:t> </w:t>
      </w:r>
      <w:r>
        <w:rPr>
          <w:sz w:val="24"/>
        </w:rPr>
        <w:t>and</w:t>
      </w:r>
      <w:r>
        <w:rPr>
          <w:spacing w:val="28"/>
          <w:sz w:val="24"/>
        </w:rPr>
        <w:t> </w:t>
      </w:r>
      <w:r>
        <w:rPr>
          <w:i/>
          <w:sz w:val="24"/>
        </w:rPr>
        <w:t>voltage</w:t>
      </w:r>
      <w:r>
        <w:rPr>
          <w:i/>
          <w:spacing w:val="29"/>
          <w:sz w:val="24"/>
        </w:rPr>
        <w:t> </w:t>
      </w:r>
      <w:r>
        <w:rPr>
          <w:sz w:val="24"/>
        </w:rPr>
        <w:t>unbalance</w:t>
      </w:r>
      <w:r>
        <w:rPr>
          <w:spacing w:val="28"/>
          <w:sz w:val="24"/>
        </w:rPr>
        <w:t> </w:t>
      </w:r>
      <w:r>
        <w:rPr>
          <w:sz w:val="24"/>
        </w:rPr>
        <w:t>conditions</w:t>
      </w:r>
      <w:r>
        <w:rPr>
          <w:spacing w:val="28"/>
          <w:sz w:val="24"/>
        </w:rPr>
        <w:t> </w:t>
      </w:r>
      <w:r>
        <w:rPr>
          <w:sz w:val="24"/>
        </w:rPr>
        <w:t>determined</w:t>
      </w:r>
      <w:r>
        <w:rPr>
          <w:spacing w:val="29"/>
          <w:sz w:val="24"/>
        </w:rPr>
        <w:t> </w:t>
      </w:r>
      <w:r>
        <w:rPr>
          <w:sz w:val="24"/>
        </w:rPr>
        <w:t>to</w:t>
      </w:r>
      <w:r>
        <w:rPr>
          <w:spacing w:val="30"/>
          <w:sz w:val="24"/>
        </w:rPr>
        <w:t> </w:t>
      </w:r>
      <w:r>
        <w:rPr>
          <w:sz w:val="24"/>
        </w:rPr>
        <w:t>apply</w:t>
      </w:r>
    </w:p>
    <w:p>
      <w:pPr>
        <w:spacing w:after="0" w:line="240" w:lineRule="auto"/>
        <w:jc w:val="both"/>
        <w:rPr>
          <w:sz w:val="24"/>
        </w:rPr>
        <w:sectPr>
          <w:pgSz w:w="11910" w:h="16840"/>
          <w:pgMar w:header="686" w:footer="637" w:top="1320" w:bottom="820" w:left="1200" w:right="1000"/>
        </w:sectPr>
      </w:pPr>
    </w:p>
    <w:p>
      <w:pPr>
        <w:pStyle w:val="BodyText"/>
        <w:spacing w:before="83"/>
        <w:ind w:left="1919" w:right="565" w:firstLine="0"/>
        <w:jc w:val="left"/>
      </w:pPr>
      <w:r>
        <w:rPr/>
        <w:t>in accordance with the provisions of schedule 5.1, clauses S5.1.6 and  S5.1.7, respectively, at the </w:t>
      </w:r>
      <w:r>
        <w:rPr>
          <w:i/>
        </w:rPr>
        <w:t>connection</w:t>
      </w:r>
      <w:r>
        <w:rPr>
          <w:i/>
          <w:spacing w:val="-2"/>
        </w:rPr>
        <w:t> </w:t>
      </w:r>
      <w:r>
        <w:rPr>
          <w:i/>
        </w:rPr>
        <w:t>point</w:t>
      </w:r>
      <w:r>
        <w:rPr/>
        <w:t>.</w:t>
      </w:r>
    </w:p>
    <w:p>
      <w:pPr>
        <w:pStyle w:val="BodyText"/>
        <w:spacing w:before="10"/>
        <w:ind w:firstLine="0"/>
        <w:jc w:val="left"/>
        <w:rPr>
          <w:sz w:val="20"/>
        </w:rPr>
      </w:pPr>
    </w:p>
    <w:p>
      <w:pPr>
        <w:pStyle w:val="Heading4"/>
        <w:ind w:left="1352" w:right="415"/>
      </w:pPr>
      <w:bookmarkStart w:name="S5.3a.14 Protection of market network se" w:id="1068"/>
      <w:bookmarkEnd w:id="1068"/>
      <w:r>
        <w:rPr>
          <w:b w:val="0"/>
        </w:rPr>
      </w:r>
      <w:bookmarkStart w:name="_bookmark426" w:id="1069"/>
      <w:bookmarkEnd w:id="1069"/>
      <w:r>
        <w:rPr>
          <w:b w:val="0"/>
        </w:rPr>
      </w:r>
      <w:r>
        <w:rPr/>
        <w:t>S5.3a.14 Protection of market network services from power system disturbances</w:t>
      </w:r>
    </w:p>
    <w:p>
      <w:pPr>
        <w:pStyle w:val="ListParagraph"/>
        <w:numPr>
          <w:ilvl w:val="0"/>
          <w:numId w:val="328"/>
        </w:numPr>
        <w:tabs>
          <w:tab w:pos="1919" w:val="left" w:leader="none"/>
        </w:tabs>
        <w:spacing w:line="240" w:lineRule="auto" w:before="120" w:after="0"/>
        <w:ind w:left="1919" w:right="414" w:hanging="567"/>
        <w:jc w:val="both"/>
        <w:rPr>
          <w:sz w:val="24"/>
        </w:rPr>
      </w:pPr>
      <w:r>
        <w:rPr>
          <w:i/>
          <w:sz w:val="24"/>
        </w:rPr>
        <w:t>Minimum access standard</w:t>
      </w:r>
      <w:r>
        <w:rPr>
          <w:sz w:val="24"/>
        </w:rPr>
        <w:t>: If a </w:t>
      </w:r>
      <w:r>
        <w:rPr>
          <w:i/>
          <w:sz w:val="24"/>
        </w:rPr>
        <w:t>Connection Applicant </w:t>
      </w:r>
      <w:r>
        <w:rPr>
          <w:sz w:val="24"/>
        </w:rPr>
        <w:t>requires that its </w:t>
      </w:r>
      <w:r>
        <w:rPr>
          <w:i/>
          <w:sz w:val="24"/>
        </w:rPr>
        <w:t>market network service facility </w:t>
      </w:r>
      <w:r>
        <w:rPr>
          <w:sz w:val="24"/>
        </w:rPr>
        <w:t>be automatically </w:t>
      </w:r>
      <w:r>
        <w:rPr>
          <w:i/>
          <w:sz w:val="24"/>
        </w:rPr>
        <w:t>disconnected </w:t>
      </w:r>
      <w:r>
        <w:rPr>
          <w:sz w:val="24"/>
        </w:rPr>
        <w:t>from the </w:t>
      </w:r>
      <w:r>
        <w:rPr>
          <w:i/>
          <w:sz w:val="24"/>
        </w:rPr>
        <w:t>power system </w:t>
      </w:r>
      <w:r>
        <w:rPr>
          <w:sz w:val="24"/>
        </w:rPr>
        <w:t>in response to abnormal conditions arising from the </w:t>
      </w:r>
      <w:r>
        <w:rPr>
          <w:i/>
          <w:sz w:val="24"/>
        </w:rPr>
        <w:t>power </w:t>
      </w:r>
      <w:r>
        <w:rPr>
          <w:i/>
          <w:sz w:val="24"/>
        </w:rPr>
        <w:t>system</w:t>
      </w:r>
      <w:r>
        <w:rPr>
          <w:sz w:val="24"/>
        </w:rPr>
        <w:t>, the relevant </w:t>
      </w:r>
      <w:r>
        <w:rPr>
          <w:i/>
          <w:sz w:val="24"/>
        </w:rPr>
        <w:t>protection system </w:t>
      </w:r>
      <w:r>
        <w:rPr>
          <w:sz w:val="24"/>
        </w:rPr>
        <w:t>or </w:t>
      </w:r>
      <w:r>
        <w:rPr>
          <w:i/>
          <w:sz w:val="24"/>
        </w:rPr>
        <w:t>control system </w:t>
      </w:r>
      <w:r>
        <w:rPr>
          <w:sz w:val="24"/>
        </w:rPr>
        <w:t>must not </w:t>
      </w:r>
      <w:r>
        <w:rPr>
          <w:i/>
          <w:sz w:val="24"/>
        </w:rPr>
        <w:t>disconnect </w:t>
      </w:r>
      <w:r>
        <w:rPr>
          <w:sz w:val="24"/>
        </w:rPr>
        <w:t>the </w:t>
      </w:r>
      <w:r>
        <w:rPr>
          <w:i/>
          <w:sz w:val="24"/>
        </w:rPr>
        <w:t>facility </w:t>
      </w:r>
      <w:r>
        <w:rPr>
          <w:sz w:val="24"/>
        </w:rPr>
        <w:t>for conditions under which it must continuously operate or must withstand under a provision of the</w:t>
      </w:r>
      <w:r>
        <w:rPr>
          <w:spacing w:val="-3"/>
          <w:sz w:val="24"/>
        </w:rPr>
        <w:t> </w:t>
      </w:r>
      <w:r>
        <w:rPr>
          <w:i/>
          <w:sz w:val="24"/>
        </w:rPr>
        <w:t>Rules</w:t>
      </w:r>
      <w:r>
        <w:rPr>
          <w:sz w:val="24"/>
        </w:rPr>
        <w:t>.</w:t>
      </w:r>
    </w:p>
    <w:p>
      <w:pPr>
        <w:pStyle w:val="ListParagraph"/>
        <w:numPr>
          <w:ilvl w:val="0"/>
          <w:numId w:val="328"/>
        </w:numPr>
        <w:tabs>
          <w:tab w:pos="1919" w:val="left" w:leader="none"/>
        </w:tabs>
        <w:spacing w:line="240" w:lineRule="auto" w:before="120" w:after="0"/>
        <w:ind w:left="1918" w:right="0" w:hanging="567"/>
        <w:jc w:val="both"/>
        <w:rPr>
          <w:sz w:val="24"/>
        </w:rPr>
      </w:pPr>
      <w:r>
        <w:rPr>
          <w:sz w:val="24"/>
        </w:rPr>
        <w:t>There is no </w:t>
      </w:r>
      <w:r>
        <w:rPr>
          <w:i/>
          <w:sz w:val="24"/>
        </w:rPr>
        <w:t>automatic access standard </w:t>
      </w:r>
      <w:r>
        <w:rPr>
          <w:sz w:val="24"/>
        </w:rPr>
        <w:t>for this technical</w:t>
      </w:r>
      <w:r>
        <w:rPr>
          <w:spacing w:val="-2"/>
          <w:sz w:val="24"/>
        </w:rPr>
        <w:t> </w:t>
      </w:r>
      <w:r>
        <w:rPr>
          <w:sz w:val="24"/>
        </w:rPr>
        <w:t>requirement.</w:t>
      </w:r>
    </w:p>
    <w:p>
      <w:pPr>
        <w:pStyle w:val="ListParagraph"/>
        <w:numPr>
          <w:ilvl w:val="0"/>
          <w:numId w:val="328"/>
        </w:numPr>
        <w:tabs>
          <w:tab w:pos="1919" w:val="left" w:leader="none"/>
        </w:tabs>
        <w:spacing w:line="240" w:lineRule="auto" w:before="120" w:after="0"/>
        <w:ind w:left="1918" w:right="0" w:hanging="567"/>
        <w:jc w:val="both"/>
        <w:rPr>
          <w:sz w:val="24"/>
        </w:rPr>
      </w:pPr>
      <w:r>
        <w:rPr>
          <w:sz w:val="24"/>
        </w:rPr>
        <w:t>For the purposes of this clause S5.3a.14, the abnormal conditions</w:t>
      </w:r>
      <w:r>
        <w:rPr>
          <w:spacing w:val="-9"/>
          <w:sz w:val="24"/>
        </w:rPr>
        <w:t> </w:t>
      </w:r>
      <w:r>
        <w:rPr>
          <w:sz w:val="24"/>
        </w:rPr>
        <w:t>include:</w:t>
      </w:r>
    </w:p>
    <w:p>
      <w:pPr>
        <w:pStyle w:val="ListParagraph"/>
        <w:numPr>
          <w:ilvl w:val="1"/>
          <w:numId w:val="328"/>
        </w:numPr>
        <w:tabs>
          <w:tab w:pos="2486" w:val="left" w:leader="none"/>
        </w:tabs>
        <w:spacing w:line="240" w:lineRule="auto" w:before="120" w:after="0"/>
        <w:ind w:left="2485" w:right="0" w:hanging="567"/>
        <w:jc w:val="both"/>
        <w:rPr>
          <w:sz w:val="24"/>
        </w:rPr>
      </w:pPr>
      <w:r>
        <w:rPr>
          <w:i/>
          <w:sz w:val="24"/>
        </w:rPr>
        <w:t>frequency </w:t>
      </w:r>
      <w:r>
        <w:rPr>
          <w:sz w:val="24"/>
        </w:rPr>
        <w:t>outside the </w:t>
      </w:r>
      <w:r>
        <w:rPr>
          <w:i/>
          <w:sz w:val="24"/>
        </w:rPr>
        <w:t>extreme frequency excursion tolerance</w:t>
      </w:r>
      <w:r>
        <w:rPr>
          <w:i/>
          <w:spacing w:val="-2"/>
          <w:sz w:val="24"/>
        </w:rPr>
        <w:t> </w:t>
      </w:r>
      <w:r>
        <w:rPr>
          <w:i/>
          <w:sz w:val="24"/>
        </w:rPr>
        <w:t>limits</w:t>
      </w:r>
      <w:r>
        <w:rPr>
          <w:sz w:val="24"/>
        </w:rPr>
        <w:t>;</w:t>
      </w:r>
    </w:p>
    <w:p>
      <w:pPr>
        <w:pStyle w:val="ListParagraph"/>
        <w:numPr>
          <w:ilvl w:val="1"/>
          <w:numId w:val="328"/>
        </w:numPr>
        <w:tabs>
          <w:tab w:pos="2486" w:val="left" w:leader="none"/>
        </w:tabs>
        <w:spacing w:line="240" w:lineRule="auto" w:before="120" w:after="0"/>
        <w:ind w:left="2486" w:right="415" w:hanging="567"/>
        <w:jc w:val="both"/>
        <w:rPr>
          <w:sz w:val="24"/>
        </w:rPr>
      </w:pPr>
      <w:r>
        <w:rPr>
          <w:sz w:val="24"/>
        </w:rPr>
        <w:t>sustained and uncontrollable DC current beyond a short term </w:t>
      </w:r>
      <w:r>
        <w:rPr>
          <w:i/>
          <w:sz w:val="24"/>
        </w:rPr>
        <w:t>current </w:t>
      </w:r>
      <w:r>
        <w:rPr>
          <w:i/>
          <w:sz w:val="24"/>
        </w:rPr>
        <w:t>rating </w:t>
      </w:r>
      <w:r>
        <w:rPr>
          <w:sz w:val="24"/>
        </w:rPr>
        <w:t>for the period assigned to that</w:t>
      </w:r>
      <w:r>
        <w:rPr>
          <w:spacing w:val="-4"/>
          <w:sz w:val="24"/>
        </w:rPr>
        <w:t> </w:t>
      </w:r>
      <w:r>
        <w:rPr>
          <w:sz w:val="24"/>
        </w:rPr>
        <w:t>rating;</w:t>
      </w:r>
    </w:p>
    <w:p>
      <w:pPr>
        <w:pStyle w:val="ListParagraph"/>
        <w:numPr>
          <w:ilvl w:val="1"/>
          <w:numId w:val="328"/>
        </w:numPr>
        <w:tabs>
          <w:tab w:pos="2486" w:val="left" w:leader="none"/>
        </w:tabs>
        <w:spacing w:line="240" w:lineRule="auto" w:before="120" w:after="0"/>
        <w:ind w:left="2486" w:right="415" w:hanging="567"/>
        <w:jc w:val="both"/>
        <w:rPr>
          <w:sz w:val="24"/>
        </w:rPr>
      </w:pPr>
      <w:r>
        <w:rPr>
          <w:sz w:val="24"/>
        </w:rPr>
        <w:t>DC </w:t>
      </w:r>
      <w:r>
        <w:rPr>
          <w:i/>
          <w:sz w:val="24"/>
        </w:rPr>
        <w:t>voltage </w:t>
      </w:r>
      <w:r>
        <w:rPr>
          <w:sz w:val="24"/>
        </w:rPr>
        <w:t>above the </w:t>
      </w:r>
      <w:r>
        <w:rPr>
          <w:i/>
          <w:sz w:val="24"/>
        </w:rPr>
        <w:t>voltage </w:t>
      </w:r>
      <w:r>
        <w:rPr>
          <w:sz w:val="24"/>
        </w:rPr>
        <w:t>maximum rating or sustained below any lower limit for stable</w:t>
      </w:r>
      <w:r>
        <w:rPr>
          <w:spacing w:val="-2"/>
          <w:sz w:val="24"/>
        </w:rPr>
        <w:t> </w:t>
      </w:r>
      <w:r>
        <w:rPr>
          <w:sz w:val="24"/>
        </w:rPr>
        <w:t>operation;</w:t>
      </w:r>
    </w:p>
    <w:p>
      <w:pPr>
        <w:pStyle w:val="ListParagraph"/>
        <w:numPr>
          <w:ilvl w:val="1"/>
          <w:numId w:val="328"/>
        </w:numPr>
        <w:tabs>
          <w:tab w:pos="2486" w:val="left" w:leader="none"/>
        </w:tabs>
        <w:spacing w:line="240" w:lineRule="auto" w:before="120" w:after="0"/>
        <w:ind w:left="2485" w:right="0" w:hanging="567"/>
        <w:jc w:val="both"/>
        <w:rPr>
          <w:sz w:val="24"/>
        </w:rPr>
      </w:pPr>
      <w:r>
        <w:rPr>
          <w:i/>
          <w:sz w:val="24"/>
        </w:rPr>
        <w:t>voltage</w:t>
      </w:r>
      <w:r>
        <w:rPr>
          <w:i/>
          <w:spacing w:val="22"/>
          <w:sz w:val="24"/>
        </w:rPr>
        <w:t> </w:t>
      </w:r>
      <w:r>
        <w:rPr>
          <w:sz w:val="24"/>
        </w:rPr>
        <w:t>to</w:t>
      </w:r>
      <w:r>
        <w:rPr>
          <w:spacing w:val="23"/>
          <w:sz w:val="24"/>
        </w:rPr>
        <w:t> </w:t>
      </w:r>
      <w:r>
        <w:rPr>
          <w:i/>
          <w:sz w:val="24"/>
        </w:rPr>
        <w:t>frequency</w:t>
      </w:r>
      <w:r>
        <w:rPr>
          <w:i/>
          <w:spacing w:val="23"/>
          <w:sz w:val="24"/>
        </w:rPr>
        <w:t> </w:t>
      </w:r>
      <w:r>
        <w:rPr>
          <w:sz w:val="24"/>
        </w:rPr>
        <w:t>ratio</w:t>
      </w:r>
      <w:r>
        <w:rPr>
          <w:spacing w:val="23"/>
          <w:sz w:val="24"/>
        </w:rPr>
        <w:t> </w:t>
      </w:r>
      <w:r>
        <w:rPr>
          <w:sz w:val="24"/>
        </w:rPr>
        <w:t>beyond</w:t>
      </w:r>
      <w:r>
        <w:rPr>
          <w:spacing w:val="22"/>
          <w:sz w:val="24"/>
        </w:rPr>
        <w:t> </w:t>
      </w:r>
      <w:r>
        <w:rPr>
          <w:sz w:val="24"/>
        </w:rPr>
        <w:t>a</w:t>
      </w:r>
      <w:r>
        <w:rPr>
          <w:spacing w:val="23"/>
          <w:sz w:val="24"/>
        </w:rPr>
        <w:t> </w:t>
      </w:r>
      <w:r>
        <w:rPr>
          <w:i/>
          <w:sz w:val="24"/>
        </w:rPr>
        <w:t>transformer</w:t>
      </w:r>
      <w:r>
        <w:rPr>
          <w:i/>
          <w:spacing w:val="23"/>
          <w:sz w:val="24"/>
        </w:rPr>
        <w:t> </w:t>
      </w:r>
      <w:r>
        <w:rPr>
          <w:sz w:val="24"/>
        </w:rPr>
        <w:t>magnetic</w:t>
      </w:r>
      <w:r>
        <w:rPr>
          <w:spacing w:val="23"/>
          <w:sz w:val="24"/>
        </w:rPr>
        <w:t> </w:t>
      </w:r>
      <w:r>
        <w:rPr>
          <w:sz w:val="24"/>
        </w:rPr>
        <w:t>flux</w:t>
      </w:r>
      <w:r>
        <w:rPr>
          <w:spacing w:val="23"/>
          <w:sz w:val="24"/>
        </w:rPr>
        <w:t> </w:t>
      </w:r>
      <w:r>
        <w:rPr>
          <w:sz w:val="24"/>
        </w:rPr>
        <w:t>based</w:t>
      </w:r>
    </w:p>
    <w:p>
      <w:pPr>
        <w:spacing w:before="0"/>
        <w:ind w:left="2486" w:right="0" w:firstLine="0"/>
        <w:jc w:val="both"/>
        <w:rPr>
          <w:sz w:val="24"/>
        </w:rPr>
      </w:pPr>
      <w:r>
        <w:rPr>
          <w:i/>
          <w:sz w:val="24"/>
        </w:rPr>
        <w:t>voltage </w:t>
      </w:r>
      <w:r>
        <w:rPr>
          <w:sz w:val="24"/>
        </w:rPr>
        <w:t>to </w:t>
      </w:r>
      <w:r>
        <w:rPr>
          <w:i/>
          <w:sz w:val="24"/>
        </w:rPr>
        <w:t>frequency </w:t>
      </w:r>
      <w:r>
        <w:rPr>
          <w:sz w:val="24"/>
        </w:rPr>
        <w:t>rating;</w:t>
      </w:r>
    </w:p>
    <w:p>
      <w:pPr>
        <w:pStyle w:val="ListParagraph"/>
        <w:numPr>
          <w:ilvl w:val="1"/>
          <w:numId w:val="328"/>
        </w:numPr>
        <w:tabs>
          <w:tab w:pos="2485" w:val="left" w:leader="none"/>
          <w:tab w:pos="2486" w:val="left" w:leader="none"/>
        </w:tabs>
        <w:spacing w:line="240" w:lineRule="auto" w:before="120" w:after="0"/>
        <w:ind w:left="2486" w:right="415" w:hanging="567"/>
        <w:jc w:val="left"/>
        <w:rPr>
          <w:sz w:val="24"/>
        </w:rPr>
      </w:pPr>
      <w:r>
        <w:rPr>
          <w:sz w:val="24"/>
        </w:rPr>
        <w:t>sustained </w:t>
      </w:r>
      <w:r>
        <w:rPr>
          <w:i/>
          <w:sz w:val="24"/>
        </w:rPr>
        <w:t>voltage </w:t>
      </w:r>
      <w:r>
        <w:rPr>
          <w:sz w:val="24"/>
        </w:rPr>
        <w:t>fluctuations at the </w:t>
      </w:r>
      <w:r>
        <w:rPr>
          <w:i/>
          <w:sz w:val="24"/>
        </w:rPr>
        <w:t>connection point </w:t>
      </w:r>
      <w:r>
        <w:rPr>
          <w:sz w:val="24"/>
        </w:rPr>
        <w:t>beyond the level determined under clause</w:t>
      </w:r>
      <w:r>
        <w:rPr>
          <w:spacing w:val="-2"/>
          <w:sz w:val="24"/>
        </w:rPr>
        <w:t> </w:t>
      </w:r>
      <w:r>
        <w:rPr>
          <w:sz w:val="24"/>
        </w:rPr>
        <w:t>S5.1.5(a);</w:t>
      </w:r>
    </w:p>
    <w:p>
      <w:pPr>
        <w:pStyle w:val="ListParagraph"/>
        <w:numPr>
          <w:ilvl w:val="1"/>
          <w:numId w:val="328"/>
        </w:numPr>
        <w:tabs>
          <w:tab w:pos="2485" w:val="left" w:leader="none"/>
          <w:tab w:pos="2486" w:val="left" w:leader="none"/>
        </w:tabs>
        <w:spacing w:line="240" w:lineRule="auto" w:before="120" w:after="0"/>
        <w:ind w:left="2486" w:right="415" w:hanging="567"/>
        <w:jc w:val="left"/>
        <w:rPr>
          <w:sz w:val="24"/>
        </w:rPr>
      </w:pPr>
      <w:r>
        <w:rPr>
          <w:sz w:val="24"/>
        </w:rPr>
        <w:t>sustained harmonic </w:t>
      </w:r>
      <w:r>
        <w:rPr>
          <w:i/>
          <w:sz w:val="24"/>
        </w:rPr>
        <w:t>voltage </w:t>
      </w:r>
      <w:r>
        <w:rPr>
          <w:sz w:val="24"/>
        </w:rPr>
        <w:t>distortion at the </w:t>
      </w:r>
      <w:r>
        <w:rPr>
          <w:i/>
          <w:sz w:val="24"/>
        </w:rPr>
        <w:t>connection point </w:t>
      </w:r>
      <w:r>
        <w:rPr>
          <w:sz w:val="24"/>
        </w:rPr>
        <w:t>beyond the level determined under clause</w:t>
      </w:r>
      <w:r>
        <w:rPr>
          <w:spacing w:val="-2"/>
          <w:sz w:val="24"/>
        </w:rPr>
        <w:t> </w:t>
      </w:r>
      <w:r>
        <w:rPr>
          <w:sz w:val="24"/>
        </w:rPr>
        <w:t>S5.1.6(a);</w:t>
      </w:r>
    </w:p>
    <w:p>
      <w:pPr>
        <w:pStyle w:val="ListParagraph"/>
        <w:numPr>
          <w:ilvl w:val="1"/>
          <w:numId w:val="328"/>
        </w:numPr>
        <w:tabs>
          <w:tab w:pos="2485" w:val="left" w:leader="none"/>
          <w:tab w:pos="2486" w:val="left" w:leader="none"/>
        </w:tabs>
        <w:spacing w:line="240" w:lineRule="auto" w:before="120" w:after="0"/>
        <w:ind w:left="2485" w:right="0" w:hanging="567"/>
        <w:jc w:val="left"/>
        <w:rPr>
          <w:i/>
          <w:sz w:val="24"/>
        </w:rPr>
      </w:pPr>
      <w:r>
        <w:rPr>
          <w:sz w:val="24"/>
        </w:rPr>
        <w:t>sustained negative phase sequence </w:t>
      </w:r>
      <w:r>
        <w:rPr>
          <w:i/>
          <w:sz w:val="24"/>
        </w:rPr>
        <w:t>voltage </w:t>
      </w:r>
      <w:r>
        <w:rPr>
          <w:sz w:val="24"/>
        </w:rPr>
        <w:t>at the </w:t>
      </w:r>
      <w:r>
        <w:rPr>
          <w:i/>
          <w:sz w:val="24"/>
        </w:rPr>
        <w:t>connection</w:t>
      </w:r>
      <w:r>
        <w:rPr>
          <w:i/>
          <w:spacing w:val="45"/>
          <w:sz w:val="24"/>
        </w:rPr>
        <w:t> </w:t>
      </w:r>
      <w:r>
        <w:rPr>
          <w:i/>
          <w:sz w:val="24"/>
        </w:rPr>
        <w:t>point</w:t>
      </w:r>
    </w:p>
    <w:p>
      <w:pPr>
        <w:pStyle w:val="BodyText"/>
        <w:spacing w:before="0"/>
        <w:ind w:left="2486" w:firstLine="0"/>
        <w:jc w:val="left"/>
      </w:pPr>
      <w:r>
        <w:rPr/>
        <w:t>beyond the level determined under clause S5.1.7(a); and</w:t>
      </w:r>
    </w:p>
    <w:p>
      <w:pPr>
        <w:pStyle w:val="ListParagraph"/>
        <w:numPr>
          <w:ilvl w:val="1"/>
          <w:numId w:val="328"/>
        </w:numPr>
        <w:tabs>
          <w:tab w:pos="2486" w:val="left" w:leader="none"/>
        </w:tabs>
        <w:spacing w:line="240" w:lineRule="auto" w:before="120" w:after="0"/>
        <w:ind w:left="2486" w:right="414" w:hanging="567"/>
        <w:jc w:val="both"/>
        <w:rPr>
          <w:sz w:val="24"/>
        </w:rPr>
      </w:pPr>
      <w:r>
        <w:rPr>
          <w:sz w:val="24"/>
        </w:rPr>
        <w:t>any similar condition agreed between the </w:t>
      </w:r>
      <w:r>
        <w:rPr>
          <w:i/>
          <w:sz w:val="24"/>
        </w:rPr>
        <w:t>Market Network</w:t>
      </w:r>
      <w:r>
        <w:rPr>
          <w:i/>
          <w:spacing w:val="28"/>
          <w:sz w:val="24"/>
        </w:rPr>
        <w:t> </w:t>
      </w:r>
      <w:r>
        <w:rPr>
          <w:i/>
          <w:sz w:val="24"/>
        </w:rPr>
        <w:t>Service </w:t>
      </w:r>
      <w:r>
        <w:rPr>
          <w:i/>
          <w:sz w:val="24"/>
        </w:rPr>
        <w:t>Provider </w:t>
      </w:r>
      <w:r>
        <w:rPr>
          <w:sz w:val="24"/>
        </w:rPr>
        <w:t>and </w:t>
      </w:r>
      <w:r>
        <w:rPr>
          <w:i/>
          <w:sz w:val="24"/>
        </w:rPr>
        <w:t>AEMO </w:t>
      </w:r>
      <w:r>
        <w:rPr>
          <w:sz w:val="24"/>
        </w:rPr>
        <w:t>after consultation with each relevant </w:t>
      </w:r>
      <w:r>
        <w:rPr>
          <w:i/>
          <w:sz w:val="24"/>
        </w:rPr>
        <w:t>Network </w:t>
      </w:r>
      <w:r>
        <w:rPr>
          <w:i/>
          <w:sz w:val="24"/>
        </w:rPr>
        <w:t>Service</w:t>
      </w:r>
      <w:r>
        <w:rPr>
          <w:i/>
          <w:spacing w:val="-1"/>
          <w:sz w:val="24"/>
        </w:rPr>
        <w:t> </w:t>
      </w:r>
      <w:r>
        <w:rPr>
          <w:i/>
          <w:sz w:val="24"/>
        </w:rPr>
        <w:t>Provider</w:t>
      </w:r>
      <w:r>
        <w:rPr>
          <w:sz w:val="24"/>
        </w:rPr>
        <w:t>.</w:t>
      </w:r>
    </w:p>
    <w:p>
      <w:pPr>
        <w:pStyle w:val="ListParagraph"/>
        <w:numPr>
          <w:ilvl w:val="0"/>
          <w:numId w:val="328"/>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0"/>
          <w:numId w:val="328"/>
        </w:numPr>
        <w:tabs>
          <w:tab w:pos="1919" w:val="left" w:leader="none"/>
        </w:tabs>
        <w:spacing w:line="240" w:lineRule="auto" w:before="120" w:after="0"/>
        <w:ind w:left="1919" w:right="414" w:hanging="567"/>
        <w:jc w:val="both"/>
        <w:rPr>
          <w:sz w:val="24"/>
        </w:rPr>
      </w:pPr>
      <w:r>
        <w:rPr>
          <w:sz w:val="24"/>
        </w:rPr>
        <w:t>The </w:t>
      </w:r>
      <w:r>
        <w:rPr>
          <w:i/>
          <w:sz w:val="24"/>
        </w:rPr>
        <w:t>Network Service Provider </w:t>
      </w:r>
      <w:r>
        <w:rPr>
          <w:sz w:val="24"/>
        </w:rPr>
        <w:t>is not liable for any loss or damage incurred by the </w:t>
      </w:r>
      <w:r>
        <w:rPr>
          <w:i/>
          <w:sz w:val="24"/>
        </w:rPr>
        <w:t>Market Network Service Provider </w:t>
      </w:r>
      <w:r>
        <w:rPr>
          <w:sz w:val="24"/>
        </w:rPr>
        <w:t>or any other person as </w:t>
      </w:r>
      <w:r>
        <w:rPr>
          <w:spacing w:val="-12"/>
          <w:sz w:val="24"/>
        </w:rPr>
        <w:t>a </w:t>
      </w:r>
      <w:r>
        <w:rPr>
          <w:sz w:val="24"/>
        </w:rPr>
        <w:t>consequence of a fault on either the </w:t>
      </w:r>
      <w:r>
        <w:rPr>
          <w:i/>
          <w:sz w:val="24"/>
        </w:rPr>
        <w:t>power system</w:t>
      </w:r>
      <w:r>
        <w:rPr>
          <w:sz w:val="24"/>
        </w:rPr>
        <w:t>, or within the </w:t>
      </w:r>
      <w:r>
        <w:rPr>
          <w:i/>
          <w:sz w:val="24"/>
        </w:rPr>
        <w:t>Market </w:t>
      </w:r>
      <w:r>
        <w:rPr>
          <w:i/>
          <w:sz w:val="24"/>
        </w:rPr>
        <w:t>Network Service Provider's</w:t>
      </w:r>
      <w:r>
        <w:rPr>
          <w:i/>
          <w:spacing w:val="-1"/>
          <w:sz w:val="24"/>
        </w:rPr>
        <w:t> </w:t>
      </w:r>
      <w:r>
        <w:rPr>
          <w:i/>
          <w:sz w:val="24"/>
        </w:rPr>
        <w:t>facility</w:t>
      </w:r>
      <w:r>
        <w:rPr>
          <w:sz w:val="24"/>
        </w:rPr>
        <w:t>.</w:t>
      </w:r>
    </w:p>
    <w:p>
      <w:pPr>
        <w:pStyle w:val="BodyText"/>
        <w:spacing w:before="10"/>
        <w:ind w:firstLine="0"/>
        <w:jc w:val="left"/>
        <w:rPr>
          <w:sz w:val="20"/>
        </w:rPr>
      </w:pPr>
    </w:p>
    <w:p>
      <w:pPr>
        <w:pStyle w:val="Heading2"/>
        <w:tabs>
          <w:tab w:pos="2485" w:val="left" w:leader="none"/>
        </w:tabs>
        <w:ind w:left="2486" w:right="1414" w:hanging="2268"/>
      </w:pPr>
      <w:bookmarkStart w:name="Schedule 5.4 Information to be Provided " w:id="1070"/>
      <w:bookmarkEnd w:id="1070"/>
      <w:r>
        <w:rPr>
          <w:b w:val="0"/>
        </w:rPr>
      </w:r>
      <w:bookmarkStart w:name="_bookmark427" w:id="1071"/>
      <w:bookmarkEnd w:id="1071"/>
      <w:r>
        <w:rPr>
          <w:b w:val="0"/>
        </w:rPr>
      </w:r>
      <w:r>
        <w:rPr/>
        <w:t>Schedule</w:t>
      </w:r>
      <w:r>
        <w:rPr>
          <w:spacing w:val="-1"/>
        </w:rPr>
        <w:t> </w:t>
      </w:r>
      <w:r>
        <w:rPr/>
        <w:t>5.4</w:t>
        <w:tab/>
        <w:t>Information to be Provided with Preliminary Enquiry</w:t>
      </w:r>
    </w:p>
    <w:p>
      <w:pPr>
        <w:pStyle w:val="BodyText"/>
        <w:ind w:left="1352" w:right="565" w:firstLine="0"/>
        <w:jc w:val="left"/>
      </w:pPr>
      <w:r>
        <w:rPr/>
        <w:t>The following items of information are required to be submitted with a preliminary enquiry for </w:t>
      </w:r>
      <w:r>
        <w:rPr>
          <w:i/>
        </w:rPr>
        <w:t>connection </w:t>
      </w:r>
      <w:r>
        <w:rPr/>
        <w:t>or modification of an existing</w:t>
      </w:r>
      <w:r>
        <w:rPr>
          <w:spacing w:val="-4"/>
        </w:rPr>
        <w:t> </w:t>
      </w:r>
      <w:r>
        <w:rPr>
          <w:i/>
        </w:rPr>
        <w:t>connection</w:t>
      </w:r>
      <w:r>
        <w:rPr/>
        <w:t>:</w:t>
      </w:r>
    </w:p>
    <w:p>
      <w:pPr>
        <w:pStyle w:val="ListParagraph"/>
        <w:numPr>
          <w:ilvl w:val="0"/>
          <w:numId w:val="329"/>
        </w:numPr>
        <w:tabs>
          <w:tab w:pos="1918" w:val="left" w:leader="none"/>
          <w:tab w:pos="1919" w:val="left" w:leader="none"/>
        </w:tabs>
        <w:spacing w:line="240" w:lineRule="auto" w:before="120" w:after="0"/>
        <w:ind w:left="1918" w:right="0" w:hanging="567"/>
        <w:jc w:val="left"/>
        <w:rPr>
          <w:sz w:val="24"/>
        </w:rPr>
      </w:pPr>
      <w:r>
        <w:rPr>
          <w:sz w:val="24"/>
        </w:rPr>
        <w:t>Type of </w:t>
      </w:r>
      <w:r>
        <w:rPr>
          <w:i/>
          <w:sz w:val="24"/>
        </w:rPr>
        <w:t>plant </w:t>
      </w:r>
      <w:r>
        <w:rPr>
          <w:sz w:val="24"/>
        </w:rPr>
        <w:t>– (eg. gas turbine </w:t>
      </w:r>
      <w:r>
        <w:rPr>
          <w:i/>
          <w:sz w:val="24"/>
        </w:rPr>
        <w:t>generating unit</w:t>
      </w:r>
      <w:r>
        <w:rPr>
          <w:sz w:val="24"/>
        </w:rPr>
        <w:t>; rolling mill,</w:t>
      </w:r>
      <w:r>
        <w:rPr>
          <w:spacing w:val="-2"/>
          <w:sz w:val="24"/>
        </w:rPr>
        <w:t> </w:t>
      </w:r>
      <w:r>
        <w:rPr>
          <w:sz w:val="24"/>
        </w:rPr>
        <w:t>etc.).</w:t>
      </w:r>
    </w:p>
    <w:p>
      <w:pPr>
        <w:pStyle w:val="ListParagraph"/>
        <w:numPr>
          <w:ilvl w:val="0"/>
          <w:numId w:val="329"/>
        </w:numPr>
        <w:tabs>
          <w:tab w:pos="1918" w:val="left" w:leader="none"/>
          <w:tab w:pos="1919" w:val="left" w:leader="none"/>
        </w:tabs>
        <w:spacing w:line="240" w:lineRule="auto" w:before="120" w:after="0"/>
        <w:ind w:left="1919" w:right="416" w:hanging="567"/>
        <w:jc w:val="left"/>
        <w:rPr>
          <w:sz w:val="24"/>
        </w:rPr>
      </w:pPr>
      <w:r>
        <w:rPr>
          <w:sz w:val="24"/>
        </w:rPr>
        <w:t>Preferred site location – (listing any alternatives in order of preference as well).</w:t>
      </w:r>
    </w:p>
    <w:p>
      <w:pPr>
        <w:spacing w:after="0" w:line="240" w:lineRule="auto"/>
        <w:jc w:val="left"/>
        <w:rPr>
          <w:sz w:val="24"/>
        </w:rPr>
        <w:sectPr>
          <w:pgSz w:w="11910" w:h="16840"/>
          <w:pgMar w:header="686" w:footer="637" w:top="1320" w:bottom="820" w:left="1200" w:right="1000"/>
        </w:sectPr>
      </w:pPr>
    </w:p>
    <w:p>
      <w:pPr>
        <w:pStyle w:val="ListParagraph"/>
        <w:numPr>
          <w:ilvl w:val="0"/>
          <w:numId w:val="329"/>
        </w:numPr>
        <w:tabs>
          <w:tab w:pos="1919" w:val="left" w:leader="none"/>
        </w:tabs>
        <w:spacing w:line="240" w:lineRule="auto" w:before="83" w:after="0"/>
        <w:ind w:left="1919" w:right="416" w:hanging="567"/>
        <w:jc w:val="both"/>
        <w:rPr>
          <w:sz w:val="24"/>
        </w:rPr>
      </w:pPr>
      <w:r>
        <w:rPr>
          <w:sz w:val="24"/>
        </w:rPr>
        <w:t>Maximum power </w:t>
      </w:r>
      <w:r>
        <w:rPr>
          <w:i/>
          <w:sz w:val="24"/>
        </w:rPr>
        <w:t>generation </w:t>
      </w:r>
      <w:r>
        <w:rPr>
          <w:sz w:val="24"/>
        </w:rPr>
        <w:t>or demand of whole </w:t>
      </w:r>
      <w:r>
        <w:rPr>
          <w:i/>
          <w:sz w:val="24"/>
        </w:rPr>
        <w:t>plant </w:t>
      </w:r>
      <w:r>
        <w:rPr>
          <w:sz w:val="24"/>
        </w:rPr>
        <w:t>– (maximum MW and/or MVA, or average over 15 minutes or</w:t>
      </w:r>
      <w:r>
        <w:rPr>
          <w:spacing w:val="-3"/>
          <w:sz w:val="24"/>
        </w:rPr>
        <w:t> </w:t>
      </w:r>
      <w:r>
        <w:rPr>
          <w:sz w:val="24"/>
        </w:rPr>
        <w:t>similar).</w:t>
      </w:r>
    </w:p>
    <w:p>
      <w:pPr>
        <w:pStyle w:val="ListParagraph"/>
        <w:numPr>
          <w:ilvl w:val="0"/>
          <w:numId w:val="329"/>
        </w:numPr>
        <w:tabs>
          <w:tab w:pos="1919" w:val="left" w:leader="none"/>
        </w:tabs>
        <w:spacing w:line="240" w:lineRule="auto" w:before="120" w:after="0"/>
        <w:ind w:left="1918" w:right="0" w:hanging="567"/>
        <w:jc w:val="both"/>
        <w:rPr>
          <w:sz w:val="24"/>
        </w:rPr>
      </w:pPr>
      <w:r>
        <w:rPr>
          <w:sz w:val="24"/>
        </w:rPr>
        <w:t>Expected </w:t>
      </w:r>
      <w:r>
        <w:rPr>
          <w:i/>
          <w:sz w:val="24"/>
        </w:rPr>
        <w:t>energy </w:t>
      </w:r>
      <w:r>
        <w:rPr>
          <w:sz w:val="24"/>
        </w:rPr>
        <w:t>production or consumption (MWh per</w:t>
      </w:r>
      <w:r>
        <w:rPr>
          <w:spacing w:val="-2"/>
          <w:sz w:val="24"/>
        </w:rPr>
        <w:t> </w:t>
      </w:r>
      <w:r>
        <w:rPr>
          <w:sz w:val="24"/>
        </w:rPr>
        <w:t>month).</w:t>
      </w:r>
    </w:p>
    <w:p>
      <w:pPr>
        <w:pStyle w:val="ListParagraph"/>
        <w:numPr>
          <w:ilvl w:val="0"/>
          <w:numId w:val="329"/>
        </w:numPr>
        <w:tabs>
          <w:tab w:pos="1919" w:val="left" w:leader="none"/>
        </w:tabs>
        <w:spacing w:line="240" w:lineRule="auto" w:before="120" w:after="0"/>
        <w:ind w:left="1919" w:right="415" w:hanging="567"/>
        <w:jc w:val="both"/>
        <w:rPr>
          <w:sz w:val="24"/>
        </w:rPr>
      </w:pPr>
      <w:r>
        <w:rPr>
          <w:i/>
          <w:sz w:val="24"/>
        </w:rPr>
        <w:t>Plant </w:t>
      </w:r>
      <w:r>
        <w:rPr>
          <w:sz w:val="24"/>
        </w:rPr>
        <w:t>type and configuration – (eg. number and type of </w:t>
      </w:r>
      <w:r>
        <w:rPr>
          <w:i/>
          <w:sz w:val="24"/>
        </w:rPr>
        <w:t>generating units </w:t>
      </w:r>
      <w:r>
        <w:rPr>
          <w:sz w:val="24"/>
        </w:rPr>
        <w:t>or number of separate production</w:t>
      </w:r>
      <w:r>
        <w:rPr>
          <w:spacing w:val="-1"/>
          <w:sz w:val="24"/>
        </w:rPr>
        <w:t> </w:t>
      </w:r>
      <w:r>
        <w:rPr>
          <w:sz w:val="24"/>
        </w:rPr>
        <w:t>lines).</w:t>
      </w:r>
    </w:p>
    <w:p>
      <w:pPr>
        <w:pStyle w:val="ListParagraph"/>
        <w:numPr>
          <w:ilvl w:val="0"/>
          <w:numId w:val="329"/>
        </w:numPr>
        <w:tabs>
          <w:tab w:pos="1920" w:val="left" w:leader="none"/>
        </w:tabs>
        <w:spacing w:line="240" w:lineRule="auto" w:before="120" w:after="0"/>
        <w:ind w:left="1919" w:right="416" w:hanging="567"/>
        <w:jc w:val="both"/>
        <w:rPr>
          <w:sz w:val="24"/>
        </w:rPr>
      </w:pPr>
      <w:r>
        <w:rPr>
          <w:sz w:val="24"/>
        </w:rPr>
        <w:t>Nature of any disturbing </w:t>
      </w:r>
      <w:r>
        <w:rPr>
          <w:i/>
          <w:sz w:val="24"/>
        </w:rPr>
        <w:t>load </w:t>
      </w:r>
      <w:r>
        <w:rPr>
          <w:sz w:val="24"/>
        </w:rPr>
        <w:t>(size of disturbing component MW/MVAr, duty cycle, nature of power electronic </w:t>
      </w:r>
      <w:r>
        <w:rPr>
          <w:i/>
          <w:sz w:val="24"/>
        </w:rPr>
        <w:t>plant </w:t>
      </w:r>
      <w:r>
        <w:rPr>
          <w:sz w:val="24"/>
        </w:rPr>
        <w:t>which may produce harmonic distortion).</w:t>
      </w:r>
    </w:p>
    <w:p>
      <w:pPr>
        <w:pStyle w:val="ListParagraph"/>
        <w:numPr>
          <w:ilvl w:val="0"/>
          <w:numId w:val="329"/>
        </w:numPr>
        <w:tabs>
          <w:tab w:pos="1919" w:val="left" w:leader="none"/>
        </w:tabs>
        <w:spacing w:line="240" w:lineRule="auto" w:before="120" w:after="0"/>
        <w:ind w:left="1919" w:right="416" w:hanging="567"/>
        <w:jc w:val="both"/>
        <w:rPr>
          <w:sz w:val="24"/>
        </w:rPr>
      </w:pPr>
      <w:r>
        <w:rPr>
          <w:sz w:val="24"/>
        </w:rPr>
        <w:t>Technology of proposed </w:t>
      </w:r>
      <w:r>
        <w:rPr>
          <w:i/>
          <w:sz w:val="24"/>
        </w:rPr>
        <w:t>generating unit </w:t>
      </w:r>
      <w:r>
        <w:rPr>
          <w:sz w:val="24"/>
        </w:rPr>
        <w:t>(e.g. </w:t>
      </w:r>
      <w:r>
        <w:rPr>
          <w:i/>
          <w:sz w:val="24"/>
        </w:rPr>
        <w:t>synchronous generating unit</w:t>
      </w:r>
      <w:r>
        <w:rPr>
          <w:sz w:val="24"/>
        </w:rPr>
        <w:t>, induction generator, photovoltaic array,</w:t>
      </w:r>
      <w:r>
        <w:rPr>
          <w:spacing w:val="-1"/>
          <w:sz w:val="24"/>
        </w:rPr>
        <w:t> </w:t>
      </w:r>
      <w:r>
        <w:rPr>
          <w:sz w:val="24"/>
        </w:rPr>
        <w:t>etc).</w:t>
      </w:r>
    </w:p>
    <w:p>
      <w:pPr>
        <w:pStyle w:val="ListParagraph"/>
        <w:numPr>
          <w:ilvl w:val="0"/>
          <w:numId w:val="329"/>
        </w:numPr>
        <w:tabs>
          <w:tab w:pos="1919" w:val="left" w:leader="none"/>
        </w:tabs>
        <w:spacing w:line="240" w:lineRule="auto" w:before="120" w:after="0"/>
        <w:ind w:left="1919" w:right="416" w:hanging="567"/>
        <w:jc w:val="both"/>
        <w:rPr>
          <w:sz w:val="24"/>
        </w:rPr>
      </w:pPr>
      <w:r>
        <w:rPr>
          <w:sz w:val="24"/>
        </w:rPr>
        <w:t>When </w:t>
      </w:r>
      <w:r>
        <w:rPr>
          <w:i/>
          <w:sz w:val="24"/>
        </w:rPr>
        <w:t>plant </w:t>
      </w:r>
      <w:r>
        <w:rPr>
          <w:sz w:val="24"/>
        </w:rPr>
        <w:t>is to be in service – (eg. estimated date for each </w:t>
      </w:r>
      <w:r>
        <w:rPr>
          <w:i/>
          <w:sz w:val="24"/>
        </w:rPr>
        <w:t>generating </w:t>
      </w:r>
      <w:r>
        <w:rPr>
          <w:i/>
          <w:sz w:val="24"/>
        </w:rPr>
        <w:t>unit</w:t>
      </w:r>
      <w:r>
        <w:rPr>
          <w:sz w:val="24"/>
        </w:rPr>
        <w:t>).</w:t>
      </w:r>
    </w:p>
    <w:p>
      <w:pPr>
        <w:pStyle w:val="ListParagraph"/>
        <w:numPr>
          <w:ilvl w:val="0"/>
          <w:numId w:val="329"/>
        </w:numPr>
        <w:tabs>
          <w:tab w:pos="1919" w:val="left" w:leader="none"/>
        </w:tabs>
        <w:spacing w:line="240" w:lineRule="auto" w:before="120" w:after="0"/>
        <w:ind w:left="1919" w:right="415" w:hanging="567"/>
        <w:jc w:val="both"/>
        <w:rPr>
          <w:sz w:val="24"/>
        </w:rPr>
      </w:pPr>
      <w:r>
        <w:rPr>
          <w:sz w:val="24"/>
        </w:rPr>
        <w:t>Name and address of enquirer, and, if relevant, of the party for whom the enquirer is</w:t>
      </w:r>
      <w:r>
        <w:rPr>
          <w:spacing w:val="-1"/>
          <w:sz w:val="24"/>
        </w:rPr>
        <w:t> </w:t>
      </w:r>
      <w:r>
        <w:rPr>
          <w:sz w:val="24"/>
        </w:rPr>
        <w:t>acting.</w:t>
      </w:r>
    </w:p>
    <w:p>
      <w:pPr>
        <w:pStyle w:val="ListParagraph"/>
        <w:numPr>
          <w:ilvl w:val="0"/>
          <w:numId w:val="329"/>
        </w:numPr>
        <w:tabs>
          <w:tab w:pos="1919" w:val="left" w:leader="none"/>
        </w:tabs>
        <w:spacing w:line="240" w:lineRule="auto" w:before="120" w:after="0"/>
        <w:ind w:left="1919" w:right="414" w:hanging="567"/>
        <w:jc w:val="both"/>
        <w:rPr>
          <w:sz w:val="24"/>
        </w:rPr>
      </w:pPr>
      <w:r>
        <w:rPr>
          <w:sz w:val="24"/>
        </w:rPr>
        <w:t>Other information may be requested by the </w:t>
      </w:r>
      <w:r>
        <w:rPr>
          <w:i/>
          <w:sz w:val="24"/>
        </w:rPr>
        <w:t>Network Service Provider</w:t>
      </w:r>
      <w:r>
        <w:rPr>
          <w:sz w:val="24"/>
        </w:rPr>
        <w:t>, such as amount and timing of power required during construction or any auxiliary power</w:t>
      </w:r>
      <w:r>
        <w:rPr>
          <w:spacing w:val="-1"/>
          <w:sz w:val="24"/>
        </w:rPr>
        <w:t> </w:t>
      </w:r>
      <w:r>
        <w:rPr>
          <w:sz w:val="24"/>
        </w:rPr>
        <w:t>requirements.</w:t>
      </w:r>
    </w:p>
    <w:p>
      <w:pPr>
        <w:pStyle w:val="BodyText"/>
        <w:spacing w:before="10"/>
        <w:ind w:firstLine="0"/>
        <w:jc w:val="left"/>
        <w:rPr>
          <w:sz w:val="20"/>
        </w:rPr>
      </w:pPr>
    </w:p>
    <w:p>
      <w:pPr>
        <w:pStyle w:val="Heading2"/>
        <w:tabs>
          <w:tab w:pos="2485" w:val="left" w:leader="none"/>
        </w:tabs>
      </w:pPr>
      <w:bookmarkStart w:name="Schedule 5.4A Preliminary Response" w:id="1072"/>
      <w:bookmarkEnd w:id="1072"/>
      <w:r>
        <w:rPr>
          <w:b w:val="0"/>
        </w:rPr>
      </w:r>
      <w:bookmarkStart w:name="_bookmark428" w:id="1073"/>
      <w:bookmarkEnd w:id="1073"/>
      <w:r>
        <w:rPr>
          <w:b w:val="0"/>
        </w:rPr>
      </w:r>
      <w:r>
        <w:rPr/>
        <w:t>Schedule</w:t>
      </w:r>
      <w:r>
        <w:rPr>
          <w:spacing w:val="-1"/>
        </w:rPr>
        <w:t> </w:t>
      </w:r>
      <w:r>
        <w:rPr/>
        <w:t>5.4A</w:t>
        <w:tab/>
        <w:t>Preliminary</w:t>
      </w:r>
      <w:r>
        <w:rPr>
          <w:spacing w:val="-1"/>
        </w:rPr>
        <w:t> </w:t>
      </w:r>
      <w:r>
        <w:rPr/>
        <w:t>Response</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(a)(9), (i1) and (o)(3) of this schedule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these paragraphs will be revisited as part of the phased implementation of the </w:t>
      </w:r>
      <w:r>
        <w:rPr>
          <w:i/>
          <w:sz w:val="20"/>
        </w:rPr>
        <w:t>Rules </w:t>
      </w:r>
      <w:r>
        <w:rPr>
          <w:sz w:val="20"/>
        </w:rPr>
        <w:t>in this jurisdiction.</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local definitions in clause 5.10.2 apply to this schedule.</w:t>
      </w:r>
    </w:p>
    <w:p>
      <w:pPr>
        <w:pStyle w:val="BodyText"/>
        <w:ind w:left="1352" w:right="414" w:firstLine="0"/>
      </w:pPr>
      <w:r>
        <w:rPr/>
        <w:t>For the purposes of clause 5.3A.7(a), the following information must be included in the preliminary response:</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relevant technical information about the </w:t>
      </w:r>
      <w:r>
        <w:rPr>
          <w:i/>
          <w:sz w:val="24"/>
        </w:rPr>
        <w:t>Distribution Network Service </w:t>
      </w:r>
      <w:r>
        <w:rPr>
          <w:i/>
          <w:sz w:val="24"/>
        </w:rPr>
        <w:t>Provider's distribution network</w:t>
      </w:r>
      <w:r>
        <w:rPr>
          <w:sz w:val="24"/>
        </w:rPr>
        <w:t>, including guidance on how the </w:t>
      </w:r>
      <w:r>
        <w:rPr>
          <w:i/>
          <w:sz w:val="24"/>
        </w:rPr>
        <w:t>Connection </w:t>
      </w:r>
      <w:r>
        <w:rPr>
          <w:i/>
          <w:sz w:val="24"/>
        </w:rPr>
        <w:t>Applicant </w:t>
      </w:r>
      <w:r>
        <w:rPr>
          <w:sz w:val="24"/>
        </w:rPr>
        <w:t>may meet the following requirements if it were to proceed to prepare an </w:t>
      </w:r>
      <w:r>
        <w:rPr>
          <w:i/>
          <w:sz w:val="24"/>
        </w:rPr>
        <w:t>application to</w:t>
      </w:r>
      <w:r>
        <w:rPr>
          <w:i/>
          <w:spacing w:val="-1"/>
          <w:sz w:val="24"/>
        </w:rPr>
        <w:t> </w:t>
      </w:r>
      <w:r>
        <w:rPr>
          <w:i/>
          <w:sz w:val="24"/>
        </w:rPr>
        <w:t>connect</w:t>
      </w:r>
      <w:r>
        <w:rPr>
          <w:sz w:val="24"/>
        </w:rPr>
        <w:t>:</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sz w:val="24"/>
        </w:rPr>
        <w:t>primary protection and backup</w:t>
      </w:r>
      <w:r>
        <w:rPr>
          <w:spacing w:val="-3"/>
          <w:sz w:val="24"/>
        </w:rPr>
        <w:t> </w:t>
      </w:r>
      <w:r>
        <w:rPr>
          <w:sz w:val="24"/>
        </w:rPr>
        <w:t>protection;</w:t>
      </w:r>
    </w:p>
    <w:p>
      <w:pPr>
        <w:pStyle w:val="ListParagraph"/>
        <w:numPr>
          <w:ilvl w:val="1"/>
          <w:numId w:val="330"/>
        </w:numPr>
        <w:tabs>
          <w:tab w:pos="2485" w:val="left" w:leader="none"/>
          <w:tab w:pos="2486" w:val="left" w:leader="none"/>
        </w:tabs>
        <w:spacing w:line="240" w:lineRule="auto" w:before="120" w:after="0"/>
        <w:ind w:left="2486" w:right="415" w:hanging="567"/>
        <w:jc w:val="left"/>
        <w:rPr>
          <w:sz w:val="24"/>
        </w:rPr>
      </w:pPr>
      <w:r>
        <w:rPr>
          <w:sz w:val="24"/>
        </w:rPr>
        <w:t>other protection and control requirements applicable to </w:t>
      </w:r>
      <w:r>
        <w:rPr>
          <w:i/>
          <w:sz w:val="24"/>
        </w:rPr>
        <w:t>embedded </w:t>
      </w:r>
      <w:r>
        <w:rPr>
          <w:i/>
          <w:sz w:val="24"/>
        </w:rPr>
        <w:t>generating units </w:t>
      </w:r>
      <w:r>
        <w:rPr>
          <w:sz w:val="24"/>
        </w:rPr>
        <w:t>and associated</w:t>
      </w:r>
      <w:r>
        <w:rPr>
          <w:spacing w:val="-1"/>
          <w:sz w:val="24"/>
        </w:rPr>
        <w:t> </w:t>
      </w:r>
      <w:r>
        <w:rPr>
          <w:i/>
          <w:sz w:val="24"/>
        </w:rPr>
        <w:t>plant</w:t>
      </w:r>
      <w:r>
        <w:rPr>
          <w:sz w:val="24"/>
        </w:rPr>
        <w:t>;</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i/>
          <w:sz w:val="24"/>
        </w:rPr>
        <w:t>remote monitoring equipment </w:t>
      </w:r>
      <w:r>
        <w:rPr>
          <w:sz w:val="24"/>
        </w:rPr>
        <w:t>and control communications</w:t>
      </w:r>
      <w:r>
        <w:rPr>
          <w:spacing w:val="-3"/>
          <w:sz w:val="24"/>
        </w:rPr>
        <w:t> </w:t>
      </w:r>
      <w:r>
        <w:rPr>
          <w:i/>
          <w:sz w:val="24"/>
        </w:rPr>
        <w:t>facilities</w:t>
      </w:r>
      <w:r>
        <w:rPr>
          <w:sz w:val="24"/>
        </w:rPr>
        <w:t>;</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sz w:val="24"/>
        </w:rPr>
        <w:t>insulation co-ordination and lightning</w:t>
      </w:r>
      <w:r>
        <w:rPr>
          <w:spacing w:val="-1"/>
          <w:sz w:val="24"/>
        </w:rPr>
        <w:t> </w:t>
      </w:r>
      <w:r>
        <w:rPr>
          <w:sz w:val="24"/>
        </w:rPr>
        <w:t>protection;</w:t>
      </w:r>
    </w:p>
    <w:p>
      <w:pPr>
        <w:pStyle w:val="ListParagraph"/>
        <w:numPr>
          <w:ilvl w:val="1"/>
          <w:numId w:val="330"/>
        </w:numPr>
        <w:tabs>
          <w:tab w:pos="2485" w:val="left" w:leader="none"/>
          <w:tab w:pos="2486" w:val="left" w:leader="none"/>
        </w:tabs>
        <w:spacing w:line="240" w:lineRule="auto" w:before="120" w:after="0"/>
        <w:ind w:left="2485" w:right="0" w:hanging="567"/>
        <w:jc w:val="left"/>
        <w:rPr>
          <w:i/>
          <w:sz w:val="24"/>
        </w:rPr>
      </w:pPr>
      <w:r>
        <w:rPr>
          <w:sz w:val="24"/>
        </w:rPr>
        <w:t>existing maximum and minimum fault levels and </w:t>
      </w:r>
      <w:r>
        <w:rPr>
          <w:i/>
          <w:sz w:val="24"/>
        </w:rPr>
        <w:t>fault clearance</w:t>
      </w:r>
      <w:r>
        <w:rPr>
          <w:i/>
          <w:spacing w:val="6"/>
          <w:sz w:val="24"/>
        </w:rPr>
        <w:t> </w:t>
      </w:r>
      <w:r>
        <w:rPr>
          <w:i/>
          <w:sz w:val="24"/>
        </w:rPr>
        <w:t>times</w:t>
      </w:r>
    </w:p>
    <w:p>
      <w:pPr>
        <w:pStyle w:val="BodyText"/>
        <w:spacing w:before="0"/>
        <w:ind w:left="2486" w:firstLine="0"/>
        <w:jc w:val="left"/>
      </w:pPr>
      <w:r>
        <w:rPr/>
        <w:t>of relevant local zone substations;</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sz w:val="24"/>
        </w:rPr>
        <w:t>switching and </w:t>
      </w:r>
      <w:r>
        <w:rPr>
          <w:i/>
          <w:sz w:val="24"/>
        </w:rPr>
        <w:t>isolation</w:t>
      </w:r>
      <w:r>
        <w:rPr>
          <w:i/>
          <w:spacing w:val="-1"/>
          <w:sz w:val="24"/>
        </w:rPr>
        <w:t> </w:t>
      </w:r>
      <w:r>
        <w:rPr>
          <w:sz w:val="24"/>
        </w:rPr>
        <w:t>facilities;</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sz w:val="24"/>
        </w:rPr>
        <w:t>interlocking and </w:t>
      </w:r>
      <w:r>
        <w:rPr>
          <w:i/>
          <w:sz w:val="24"/>
        </w:rPr>
        <w:t>synchronising</w:t>
      </w:r>
      <w:r>
        <w:rPr>
          <w:i/>
          <w:spacing w:val="-2"/>
          <w:sz w:val="24"/>
        </w:rPr>
        <w:t> </w:t>
      </w:r>
      <w:r>
        <w:rPr>
          <w:sz w:val="24"/>
        </w:rPr>
        <w:t>arrangements;</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i/>
          <w:sz w:val="24"/>
        </w:rPr>
        <w:t>metering installations</w:t>
      </w:r>
      <w:r>
        <w:rPr>
          <w:sz w:val="24"/>
        </w:rPr>
        <w:t>;</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330"/>
        </w:numPr>
        <w:tabs>
          <w:tab w:pos="2485" w:val="left" w:leader="none"/>
          <w:tab w:pos="2486" w:val="left" w:leader="none"/>
        </w:tabs>
        <w:spacing w:line="240" w:lineRule="auto" w:before="83" w:after="0"/>
        <w:ind w:left="2485" w:right="0" w:hanging="567"/>
        <w:jc w:val="left"/>
        <w:rPr>
          <w:sz w:val="24"/>
        </w:rPr>
      </w:pPr>
      <w:r>
        <w:rPr>
          <w:sz w:val="24"/>
        </w:rPr>
        <w:t>remedy</w:t>
      </w:r>
      <w:r>
        <w:rPr>
          <w:spacing w:val="50"/>
          <w:sz w:val="24"/>
        </w:rPr>
        <w:t> </w:t>
      </w:r>
      <w:r>
        <w:rPr>
          <w:sz w:val="24"/>
        </w:rPr>
        <w:t>or</w:t>
      </w:r>
      <w:r>
        <w:rPr>
          <w:spacing w:val="50"/>
          <w:sz w:val="24"/>
        </w:rPr>
        <w:t> </w:t>
      </w:r>
      <w:r>
        <w:rPr>
          <w:sz w:val="24"/>
        </w:rPr>
        <w:t>avoid</w:t>
      </w:r>
      <w:r>
        <w:rPr>
          <w:spacing w:val="50"/>
          <w:sz w:val="24"/>
        </w:rPr>
        <w:t> </w:t>
      </w:r>
      <w:r>
        <w:rPr>
          <w:sz w:val="24"/>
        </w:rPr>
        <w:t>an</w:t>
      </w:r>
      <w:r>
        <w:rPr>
          <w:spacing w:val="50"/>
          <w:sz w:val="24"/>
        </w:rPr>
        <w:t> </w:t>
      </w:r>
      <w:r>
        <w:rPr>
          <w:i/>
          <w:sz w:val="24"/>
        </w:rPr>
        <w:t>adverse</w:t>
      </w:r>
      <w:r>
        <w:rPr>
          <w:i/>
          <w:spacing w:val="50"/>
          <w:sz w:val="24"/>
        </w:rPr>
        <w:t> </w:t>
      </w:r>
      <w:r>
        <w:rPr>
          <w:i/>
          <w:sz w:val="24"/>
        </w:rPr>
        <w:t>system</w:t>
      </w:r>
      <w:r>
        <w:rPr>
          <w:i/>
          <w:spacing w:val="50"/>
          <w:sz w:val="24"/>
        </w:rPr>
        <w:t> </w:t>
      </w:r>
      <w:r>
        <w:rPr>
          <w:i/>
          <w:sz w:val="24"/>
        </w:rPr>
        <w:t>strength</w:t>
      </w:r>
      <w:r>
        <w:rPr>
          <w:i/>
          <w:spacing w:val="50"/>
          <w:sz w:val="24"/>
        </w:rPr>
        <w:t> </w:t>
      </w:r>
      <w:r>
        <w:rPr>
          <w:i/>
          <w:sz w:val="24"/>
        </w:rPr>
        <w:t>impact</w:t>
      </w:r>
      <w:r>
        <w:rPr>
          <w:i/>
          <w:spacing w:val="49"/>
          <w:sz w:val="24"/>
        </w:rPr>
        <w:t> </w:t>
      </w:r>
      <w:r>
        <w:rPr>
          <w:sz w:val="24"/>
        </w:rPr>
        <w:t>caused</w:t>
      </w:r>
      <w:r>
        <w:rPr>
          <w:spacing w:val="50"/>
          <w:sz w:val="24"/>
        </w:rPr>
        <w:t> </w:t>
      </w:r>
      <w:r>
        <w:rPr>
          <w:sz w:val="24"/>
        </w:rPr>
        <w:t>by</w:t>
      </w:r>
      <w:r>
        <w:rPr>
          <w:spacing w:val="50"/>
          <w:sz w:val="24"/>
        </w:rPr>
        <w:t> </w:t>
      </w:r>
      <w:r>
        <w:rPr>
          <w:sz w:val="24"/>
        </w:rPr>
        <w:t>the</w:t>
      </w:r>
    </w:p>
    <w:p>
      <w:pPr>
        <w:spacing w:before="0"/>
        <w:ind w:left="2486" w:right="0" w:firstLine="0"/>
        <w:jc w:val="left"/>
        <w:rPr>
          <w:sz w:val="24"/>
        </w:rPr>
      </w:pPr>
      <w:r>
        <w:rPr>
          <w:i/>
          <w:sz w:val="24"/>
        </w:rPr>
        <w:t>connection</w:t>
      </w:r>
      <w:r>
        <w:rPr>
          <w:sz w:val="24"/>
        </w:rPr>
        <w:t>;</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if not otherwise provided in accordance with paragraph (a), to the extent the </w:t>
      </w:r>
      <w:r>
        <w:rPr>
          <w:i/>
          <w:sz w:val="24"/>
        </w:rPr>
        <w:t>Distribution Network Service Provider </w:t>
      </w:r>
      <w:r>
        <w:rPr>
          <w:sz w:val="24"/>
        </w:rPr>
        <w:t>holds technical information necessary to prepare an </w:t>
      </w:r>
      <w:r>
        <w:rPr>
          <w:i/>
          <w:sz w:val="24"/>
        </w:rPr>
        <w:t>application to connect</w:t>
      </w:r>
      <w:r>
        <w:rPr>
          <w:sz w:val="24"/>
        </w:rPr>
        <w:t>, that</w:t>
      </w:r>
      <w:r>
        <w:rPr>
          <w:spacing w:val="-2"/>
          <w:sz w:val="24"/>
        </w:rPr>
        <w:t> </w:t>
      </w:r>
      <w:r>
        <w:rPr>
          <w:sz w:val="24"/>
        </w:rPr>
        <w:t>information;</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information relevant to each technical requirement of the proposed </w:t>
      </w:r>
      <w:r>
        <w:rPr>
          <w:i/>
          <w:sz w:val="24"/>
        </w:rPr>
        <w:t>plant </w:t>
      </w:r>
      <w:r>
        <w:rPr>
          <w:sz w:val="24"/>
        </w:rPr>
        <w:t>under </w:t>
      </w:r>
      <w:r>
        <w:rPr>
          <w:i/>
          <w:sz w:val="24"/>
        </w:rPr>
        <w:t>jurisdictional electricity legislation </w:t>
      </w:r>
      <w:r>
        <w:rPr>
          <w:sz w:val="24"/>
        </w:rPr>
        <w:t>and the </w:t>
      </w:r>
      <w:r>
        <w:rPr>
          <w:i/>
          <w:sz w:val="24"/>
        </w:rPr>
        <w:t>normal voltage </w:t>
      </w:r>
      <w:r>
        <w:rPr>
          <w:sz w:val="24"/>
        </w:rPr>
        <w:t>level, if </w:t>
      </w:r>
      <w:r>
        <w:rPr>
          <w:spacing w:val="-6"/>
          <w:sz w:val="24"/>
        </w:rPr>
        <w:t>it </w:t>
      </w:r>
      <w:r>
        <w:rPr>
          <w:sz w:val="24"/>
        </w:rPr>
        <w:t>is expected to change from the </w:t>
      </w:r>
      <w:r>
        <w:rPr>
          <w:i/>
          <w:sz w:val="24"/>
        </w:rPr>
        <w:t>nominal voltage</w:t>
      </w:r>
      <w:r>
        <w:rPr>
          <w:i/>
          <w:spacing w:val="-2"/>
          <w:sz w:val="24"/>
        </w:rPr>
        <w:t> </w:t>
      </w:r>
      <w:r>
        <w:rPr>
          <w:sz w:val="24"/>
        </w:rPr>
        <w:t>level;</w:t>
      </w:r>
    </w:p>
    <w:p>
      <w:pPr>
        <w:pStyle w:val="ListParagraph"/>
        <w:numPr>
          <w:ilvl w:val="0"/>
          <w:numId w:val="330"/>
        </w:numPr>
        <w:tabs>
          <w:tab w:pos="1919" w:val="left" w:leader="none"/>
        </w:tabs>
        <w:spacing w:line="240" w:lineRule="auto" w:before="120" w:after="0"/>
        <w:ind w:left="1918" w:right="0" w:hanging="567"/>
        <w:jc w:val="both"/>
        <w:rPr>
          <w:i/>
          <w:sz w:val="24"/>
        </w:rPr>
      </w:pPr>
      <w:r>
        <w:rPr>
          <w:sz w:val="24"/>
        </w:rPr>
        <w:t>the</w:t>
      </w:r>
      <w:r>
        <w:rPr>
          <w:spacing w:val="20"/>
          <w:sz w:val="24"/>
        </w:rPr>
        <w:t> </w:t>
      </w:r>
      <w:r>
        <w:rPr>
          <w:sz w:val="24"/>
        </w:rPr>
        <w:t>identity</w:t>
      </w:r>
      <w:r>
        <w:rPr>
          <w:spacing w:val="20"/>
          <w:sz w:val="24"/>
        </w:rPr>
        <w:t> </w:t>
      </w:r>
      <w:r>
        <w:rPr>
          <w:sz w:val="24"/>
        </w:rPr>
        <w:t>of</w:t>
      </w:r>
      <w:r>
        <w:rPr>
          <w:spacing w:val="20"/>
          <w:sz w:val="24"/>
        </w:rPr>
        <w:t> </w:t>
      </w:r>
      <w:r>
        <w:rPr>
          <w:sz w:val="24"/>
        </w:rPr>
        <w:t>other</w:t>
      </w:r>
      <w:r>
        <w:rPr>
          <w:spacing w:val="20"/>
          <w:sz w:val="24"/>
        </w:rPr>
        <w:t> </w:t>
      </w:r>
      <w:r>
        <w:rPr>
          <w:sz w:val="24"/>
        </w:rPr>
        <w:t>parties</w:t>
      </w:r>
      <w:r>
        <w:rPr>
          <w:spacing w:val="20"/>
          <w:sz w:val="24"/>
        </w:rPr>
        <w:t> </w:t>
      </w:r>
      <w:r>
        <w:rPr>
          <w:sz w:val="24"/>
        </w:rPr>
        <w:t>that</w:t>
      </w:r>
      <w:r>
        <w:rPr>
          <w:spacing w:val="20"/>
          <w:sz w:val="24"/>
        </w:rPr>
        <w:t> </w:t>
      </w:r>
      <w:r>
        <w:rPr>
          <w:sz w:val="24"/>
        </w:rPr>
        <w:t>the</w:t>
      </w:r>
      <w:r>
        <w:rPr>
          <w:spacing w:val="21"/>
          <w:sz w:val="24"/>
        </w:rPr>
        <w:t> </w:t>
      </w:r>
      <w:r>
        <w:rPr>
          <w:i/>
          <w:sz w:val="24"/>
        </w:rPr>
        <w:t>Distribution</w:t>
      </w:r>
      <w:r>
        <w:rPr>
          <w:i/>
          <w:spacing w:val="20"/>
          <w:sz w:val="24"/>
        </w:rPr>
        <w:t> </w:t>
      </w:r>
      <w:r>
        <w:rPr>
          <w:i/>
          <w:sz w:val="24"/>
        </w:rPr>
        <w:t>Network</w:t>
      </w:r>
      <w:r>
        <w:rPr>
          <w:i/>
          <w:spacing w:val="20"/>
          <w:sz w:val="24"/>
        </w:rPr>
        <w:t> </w:t>
      </w:r>
      <w:r>
        <w:rPr>
          <w:i/>
          <w:sz w:val="24"/>
        </w:rPr>
        <w:t>Service</w:t>
      </w:r>
      <w:r>
        <w:rPr>
          <w:i/>
          <w:spacing w:val="20"/>
          <w:sz w:val="24"/>
        </w:rPr>
        <w:t> </w:t>
      </w:r>
      <w:r>
        <w:rPr>
          <w:i/>
          <w:sz w:val="24"/>
        </w:rPr>
        <w:t>Provider</w:t>
      </w:r>
    </w:p>
    <w:p>
      <w:pPr>
        <w:pStyle w:val="BodyText"/>
        <w:spacing w:before="0"/>
        <w:ind w:left="1919" w:firstLine="0"/>
        <w:jc w:val="left"/>
      </w:pPr>
      <w:r>
        <w:rPr/>
        <w:t>considers:</w:t>
      </w:r>
    </w:p>
    <w:p>
      <w:pPr>
        <w:pStyle w:val="ListParagraph"/>
        <w:numPr>
          <w:ilvl w:val="1"/>
          <w:numId w:val="330"/>
        </w:numPr>
        <w:tabs>
          <w:tab w:pos="2485" w:val="left" w:leader="none"/>
          <w:tab w:pos="2486" w:val="left" w:leader="none"/>
        </w:tabs>
        <w:spacing w:line="240" w:lineRule="auto" w:before="120" w:after="0"/>
        <w:ind w:left="2486" w:right="414" w:hanging="567"/>
        <w:jc w:val="left"/>
        <w:rPr>
          <w:sz w:val="24"/>
        </w:rPr>
      </w:pPr>
      <w:r>
        <w:rPr>
          <w:sz w:val="24"/>
        </w:rPr>
        <w:t>will need to be involved in planning to make the </w:t>
      </w:r>
      <w:r>
        <w:rPr>
          <w:i/>
          <w:sz w:val="24"/>
        </w:rPr>
        <w:t>connection </w:t>
      </w:r>
      <w:r>
        <w:rPr>
          <w:sz w:val="24"/>
        </w:rPr>
        <w:t>or must be involved under clause 5.3A.10(c);</w:t>
      </w:r>
      <w:r>
        <w:rPr>
          <w:spacing w:val="-1"/>
          <w:sz w:val="24"/>
        </w:rPr>
        <w:t> </w:t>
      </w:r>
      <w:r>
        <w:rPr>
          <w:sz w:val="24"/>
        </w:rPr>
        <w:t>and</w:t>
      </w:r>
    </w:p>
    <w:p>
      <w:pPr>
        <w:pStyle w:val="ListParagraph"/>
        <w:numPr>
          <w:ilvl w:val="1"/>
          <w:numId w:val="330"/>
        </w:numPr>
        <w:tabs>
          <w:tab w:pos="2485" w:val="left" w:leader="none"/>
          <w:tab w:pos="2486" w:val="left" w:leader="none"/>
        </w:tabs>
        <w:spacing w:line="240" w:lineRule="auto" w:before="120" w:after="0"/>
        <w:ind w:left="2485" w:right="0" w:hanging="567"/>
        <w:jc w:val="left"/>
        <w:rPr>
          <w:sz w:val="24"/>
        </w:rPr>
      </w:pPr>
      <w:r>
        <w:rPr>
          <w:sz w:val="24"/>
        </w:rPr>
        <w:t>must be paid for </w:t>
      </w:r>
      <w:r>
        <w:rPr>
          <w:i/>
          <w:sz w:val="24"/>
        </w:rPr>
        <w:t>transmission services </w:t>
      </w:r>
      <w:r>
        <w:rPr>
          <w:sz w:val="24"/>
        </w:rPr>
        <w:t>or </w:t>
      </w:r>
      <w:r>
        <w:rPr>
          <w:i/>
          <w:sz w:val="24"/>
        </w:rPr>
        <w:t>distribution</w:t>
      </w:r>
      <w:r>
        <w:rPr>
          <w:i/>
          <w:spacing w:val="-5"/>
          <w:sz w:val="24"/>
        </w:rPr>
        <w:t> </w:t>
      </w:r>
      <w:r>
        <w:rPr>
          <w:i/>
          <w:sz w:val="24"/>
        </w:rPr>
        <w:t>services</w:t>
      </w:r>
      <w:r>
        <w:rPr>
          <w:sz w:val="24"/>
        </w:rPr>
        <w:t>;</w:t>
      </w:r>
    </w:p>
    <w:p>
      <w:pPr>
        <w:pStyle w:val="ListParagraph"/>
        <w:numPr>
          <w:ilvl w:val="0"/>
          <w:numId w:val="330"/>
        </w:numPr>
        <w:tabs>
          <w:tab w:pos="1919" w:val="left" w:leader="none"/>
        </w:tabs>
        <w:spacing w:line="240" w:lineRule="auto" w:before="120" w:after="0"/>
        <w:ind w:left="1918" w:right="0" w:hanging="567"/>
        <w:jc w:val="both"/>
        <w:rPr>
          <w:sz w:val="24"/>
        </w:rPr>
      </w:pPr>
      <w:r>
        <w:rPr>
          <w:sz w:val="24"/>
        </w:rPr>
        <w:t>whether it will be necessary for any of the parties identified in</w:t>
      </w:r>
      <w:r>
        <w:rPr>
          <w:spacing w:val="37"/>
          <w:sz w:val="24"/>
        </w:rPr>
        <w:t> </w:t>
      </w:r>
      <w:r>
        <w:rPr>
          <w:sz w:val="24"/>
        </w:rPr>
        <w:t>subparagraph</w:t>
      </w:r>
    </w:p>
    <w:p>
      <w:pPr>
        <w:spacing w:before="0"/>
        <w:ind w:left="1919" w:right="416" w:firstLine="0"/>
        <w:jc w:val="both"/>
        <w:rPr>
          <w:sz w:val="24"/>
        </w:rPr>
      </w:pPr>
      <w:r>
        <w:rPr>
          <w:sz w:val="24"/>
        </w:rPr>
        <w:t>(d) to enter into an agreement with the </w:t>
      </w:r>
      <w:r>
        <w:rPr>
          <w:i/>
          <w:sz w:val="24"/>
        </w:rPr>
        <w:t>Connection Applicant </w:t>
      </w:r>
      <w:r>
        <w:rPr>
          <w:sz w:val="24"/>
        </w:rPr>
        <w:t>in respect of the provision of </w:t>
      </w:r>
      <w:r>
        <w:rPr>
          <w:i/>
          <w:sz w:val="24"/>
        </w:rPr>
        <w:t>connection services </w:t>
      </w:r>
      <w:r>
        <w:rPr>
          <w:sz w:val="24"/>
        </w:rPr>
        <w:t>or other </w:t>
      </w:r>
      <w:r>
        <w:rPr>
          <w:i/>
          <w:sz w:val="24"/>
        </w:rPr>
        <w:t>transmission services </w:t>
      </w:r>
      <w:r>
        <w:rPr>
          <w:sz w:val="24"/>
        </w:rPr>
        <w:t>or </w:t>
      </w:r>
      <w:r>
        <w:rPr>
          <w:i/>
          <w:sz w:val="24"/>
        </w:rPr>
        <w:t>distribution services </w:t>
      </w:r>
      <w:r>
        <w:rPr>
          <w:sz w:val="24"/>
        </w:rPr>
        <w:t>or both, to the </w:t>
      </w:r>
      <w:r>
        <w:rPr>
          <w:i/>
          <w:sz w:val="24"/>
        </w:rPr>
        <w:t>Connection Applicant</w:t>
      </w:r>
      <w:r>
        <w:rPr>
          <w:sz w:val="24"/>
        </w:rPr>
        <w:t>;</w:t>
      </w:r>
    </w:p>
    <w:p>
      <w:pPr>
        <w:pStyle w:val="ListParagraph"/>
        <w:numPr>
          <w:ilvl w:val="0"/>
          <w:numId w:val="330"/>
        </w:numPr>
        <w:tabs>
          <w:tab w:pos="1920" w:val="left" w:leader="none"/>
        </w:tabs>
        <w:spacing w:line="240" w:lineRule="auto" w:before="120" w:after="0"/>
        <w:ind w:left="1919" w:right="415" w:hanging="567"/>
        <w:jc w:val="both"/>
        <w:rPr>
          <w:sz w:val="24"/>
        </w:rPr>
      </w:pPr>
      <w:r>
        <w:rPr>
          <w:sz w:val="24"/>
        </w:rPr>
        <w:t>where relevant the </w:t>
      </w:r>
      <w:r>
        <w:rPr>
          <w:i/>
          <w:sz w:val="24"/>
        </w:rPr>
        <w:t>Distribution Network Service Provider </w:t>
      </w:r>
      <w:r>
        <w:rPr>
          <w:sz w:val="24"/>
        </w:rPr>
        <w:t>is to identify whether any service required to establish a </w:t>
      </w:r>
      <w:r>
        <w:rPr>
          <w:i/>
          <w:sz w:val="24"/>
        </w:rPr>
        <w:t>connection </w:t>
      </w:r>
      <w:r>
        <w:rPr>
          <w:sz w:val="24"/>
        </w:rPr>
        <w:t>is </w:t>
      </w:r>
      <w:r>
        <w:rPr>
          <w:i/>
          <w:sz w:val="24"/>
        </w:rPr>
        <w:t>contestable </w:t>
      </w:r>
      <w:r>
        <w:rPr>
          <w:sz w:val="24"/>
        </w:rPr>
        <w:t>in the relevant </w:t>
      </w:r>
      <w:r>
        <w:rPr>
          <w:i/>
          <w:sz w:val="24"/>
        </w:rPr>
        <w:t>participating</w:t>
      </w:r>
      <w:r>
        <w:rPr>
          <w:i/>
          <w:spacing w:val="-1"/>
          <w:sz w:val="24"/>
        </w:rPr>
        <w:t> </w:t>
      </w:r>
      <w:r>
        <w:rPr>
          <w:i/>
          <w:sz w:val="24"/>
        </w:rPr>
        <w:t>jurisdiction</w:t>
      </w:r>
      <w:r>
        <w:rPr>
          <w:sz w:val="24"/>
        </w:rPr>
        <w:t>;</w:t>
      </w:r>
    </w:p>
    <w:p>
      <w:pPr>
        <w:pStyle w:val="ListParagraph"/>
        <w:numPr>
          <w:ilvl w:val="0"/>
          <w:numId w:val="330"/>
        </w:numPr>
        <w:tabs>
          <w:tab w:pos="1919" w:val="left" w:leader="none"/>
        </w:tabs>
        <w:spacing w:line="240" w:lineRule="auto" w:before="120" w:after="0"/>
        <w:ind w:left="1919" w:right="414" w:hanging="567"/>
        <w:jc w:val="both"/>
        <w:rPr>
          <w:sz w:val="24"/>
        </w:rPr>
      </w:pPr>
      <w:r>
        <w:rPr>
          <w:sz w:val="24"/>
        </w:rPr>
        <w:t>worked examples of </w:t>
      </w:r>
      <w:r>
        <w:rPr>
          <w:i/>
          <w:sz w:val="24"/>
        </w:rPr>
        <w:t>connection service </w:t>
      </w:r>
      <w:r>
        <w:rPr>
          <w:sz w:val="24"/>
        </w:rPr>
        <w:t>charges relevant to the enquiry and an explanation of the factors on which the charges</w:t>
      </w:r>
      <w:r>
        <w:rPr>
          <w:spacing w:val="-3"/>
          <w:sz w:val="24"/>
        </w:rPr>
        <w:t> </w:t>
      </w:r>
      <w:r>
        <w:rPr>
          <w:sz w:val="24"/>
        </w:rPr>
        <w:t>depend;</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information regarding the </w:t>
      </w:r>
      <w:r>
        <w:rPr>
          <w:i/>
          <w:sz w:val="24"/>
        </w:rPr>
        <w:t>Distribution Network Service Provider </w:t>
      </w:r>
      <w:r>
        <w:rPr>
          <w:sz w:val="24"/>
        </w:rPr>
        <w:t>and </w:t>
      </w:r>
      <w:r>
        <w:rPr>
          <w:spacing w:val="-4"/>
          <w:sz w:val="24"/>
        </w:rPr>
        <w:t>its </w:t>
      </w:r>
      <w:r>
        <w:rPr>
          <w:i/>
          <w:sz w:val="24"/>
        </w:rPr>
        <w:t>network</w:t>
      </w:r>
      <w:r>
        <w:rPr>
          <w:sz w:val="24"/>
        </w:rPr>
        <w:t>, system limitations for sub-transmission lines and zone substations and other information relevant to constraints on the </w:t>
      </w:r>
      <w:r>
        <w:rPr>
          <w:i/>
          <w:sz w:val="24"/>
        </w:rPr>
        <w:t>network </w:t>
      </w:r>
      <w:r>
        <w:rPr>
          <w:sz w:val="24"/>
        </w:rPr>
        <w:t>as such information is relevant to the </w:t>
      </w:r>
      <w:r>
        <w:rPr>
          <w:i/>
          <w:sz w:val="24"/>
        </w:rPr>
        <w:t>application to</w:t>
      </w:r>
      <w:r>
        <w:rPr>
          <w:i/>
          <w:spacing w:val="-2"/>
          <w:sz w:val="24"/>
        </w:rPr>
        <w:t> </w:t>
      </w:r>
      <w:r>
        <w:rPr>
          <w:i/>
          <w:sz w:val="24"/>
        </w:rPr>
        <w:t>connect</w:t>
      </w:r>
      <w:r>
        <w:rPr>
          <w:sz w:val="24"/>
        </w:rPr>
        <w:t>;</w:t>
      </w:r>
    </w:p>
    <w:p>
      <w:pPr>
        <w:pStyle w:val="ListParagraph"/>
        <w:numPr>
          <w:ilvl w:val="0"/>
          <w:numId w:val="330"/>
        </w:numPr>
        <w:tabs>
          <w:tab w:pos="1919" w:val="left" w:leader="none"/>
        </w:tabs>
        <w:spacing w:line="240" w:lineRule="auto" w:before="120" w:after="0"/>
        <w:ind w:left="1919" w:right="416" w:hanging="567"/>
        <w:jc w:val="both"/>
        <w:rPr>
          <w:sz w:val="24"/>
        </w:rPr>
      </w:pPr>
      <w:r>
        <w:rPr>
          <w:sz w:val="24"/>
        </w:rPr>
        <w:t>an indication of whether </w:t>
      </w:r>
      <w:r>
        <w:rPr>
          <w:i/>
          <w:sz w:val="24"/>
        </w:rPr>
        <w:t>network augmentation </w:t>
      </w:r>
      <w:r>
        <w:rPr>
          <w:sz w:val="24"/>
        </w:rPr>
        <w:t>may be required and</w:t>
      </w:r>
      <w:r>
        <w:rPr>
          <w:spacing w:val="32"/>
          <w:sz w:val="24"/>
        </w:rPr>
        <w:t> </w:t>
      </w:r>
      <w:r>
        <w:rPr>
          <w:sz w:val="24"/>
        </w:rPr>
        <w:t>if required, what work the </w:t>
      </w:r>
      <w:r>
        <w:rPr>
          <w:i/>
          <w:sz w:val="24"/>
        </w:rPr>
        <w:t>network augmentation </w:t>
      </w:r>
      <w:r>
        <w:rPr>
          <w:sz w:val="24"/>
        </w:rPr>
        <w:t>may</w:t>
      </w:r>
      <w:r>
        <w:rPr>
          <w:spacing w:val="-3"/>
          <w:sz w:val="24"/>
        </w:rPr>
        <w:t> </w:t>
      </w:r>
      <w:r>
        <w:rPr>
          <w:sz w:val="24"/>
        </w:rPr>
        <w:t>involve;</w:t>
      </w:r>
    </w:p>
    <w:p>
      <w:pPr>
        <w:spacing w:before="120"/>
        <w:ind w:left="1919" w:right="414" w:hanging="567"/>
        <w:jc w:val="both"/>
        <w:rPr>
          <w:sz w:val="24"/>
        </w:rPr>
      </w:pPr>
      <w:r>
        <w:rPr>
          <w:sz w:val="24"/>
        </w:rPr>
        <w:t>(i1) an indication of whether the new </w:t>
      </w:r>
      <w:r>
        <w:rPr>
          <w:i/>
          <w:sz w:val="24"/>
        </w:rPr>
        <w:t>connection </w:t>
      </w:r>
      <w:r>
        <w:rPr>
          <w:sz w:val="24"/>
        </w:rPr>
        <w:t>is expected in the reasonable opinion of a </w:t>
      </w:r>
      <w:r>
        <w:rPr>
          <w:i/>
          <w:sz w:val="24"/>
        </w:rPr>
        <w:t>Network Service Provider </w:t>
      </w:r>
      <w:r>
        <w:rPr>
          <w:sz w:val="24"/>
        </w:rPr>
        <w:t>to have an </w:t>
      </w:r>
      <w:r>
        <w:rPr>
          <w:i/>
          <w:sz w:val="24"/>
        </w:rPr>
        <w:t>adverse system strength </w:t>
      </w:r>
      <w:r>
        <w:rPr>
          <w:i/>
          <w:sz w:val="24"/>
        </w:rPr>
        <w:t>impact</w:t>
      </w:r>
      <w:r>
        <w:rPr>
          <w:sz w:val="24"/>
        </w:rPr>
        <w:t>;</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a hyperlink to the </w:t>
      </w:r>
      <w:r>
        <w:rPr>
          <w:i/>
          <w:sz w:val="24"/>
        </w:rPr>
        <w:t>Distribution Network Service Provider's </w:t>
      </w:r>
      <w:r>
        <w:rPr>
          <w:sz w:val="24"/>
        </w:rPr>
        <w:t>information pack;</w:t>
      </w:r>
    </w:p>
    <w:p>
      <w:pPr>
        <w:pStyle w:val="ListParagraph"/>
        <w:numPr>
          <w:ilvl w:val="0"/>
          <w:numId w:val="330"/>
        </w:numPr>
        <w:tabs>
          <w:tab w:pos="1919" w:val="left" w:leader="none"/>
        </w:tabs>
        <w:spacing w:line="240" w:lineRule="auto" w:before="120" w:after="0"/>
        <w:ind w:left="1919" w:right="416" w:hanging="567"/>
        <w:jc w:val="both"/>
        <w:rPr>
          <w:sz w:val="24"/>
        </w:rPr>
      </w:pPr>
      <w:r>
        <w:rPr>
          <w:sz w:val="24"/>
        </w:rPr>
        <w:t>the contact details for the relevant point of contact within the </w:t>
      </w:r>
      <w:r>
        <w:rPr>
          <w:i/>
          <w:sz w:val="24"/>
        </w:rPr>
        <w:t>Distribution </w:t>
      </w:r>
      <w:r>
        <w:rPr>
          <w:i/>
          <w:sz w:val="24"/>
        </w:rPr>
        <w:t>Network Service Provider </w:t>
      </w:r>
      <w:r>
        <w:rPr>
          <w:sz w:val="24"/>
        </w:rPr>
        <w:t>managing the </w:t>
      </w:r>
      <w:r>
        <w:rPr>
          <w:i/>
          <w:sz w:val="24"/>
        </w:rPr>
        <w:t>connection</w:t>
      </w:r>
      <w:r>
        <w:rPr>
          <w:i/>
          <w:spacing w:val="-1"/>
          <w:sz w:val="24"/>
        </w:rPr>
        <w:t> </w:t>
      </w:r>
      <w:r>
        <w:rPr>
          <w:sz w:val="24"/>
        </w:rPr>
        <w:t>enquiry;</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Provider's </w:t>
      </w:r>
      <w:r>
        <w:rPr>
          <w:sz w:val="24"/>
        </w:rPr>
        <w:t>response to the objectives of the </w:t>
      </w:r>
      <w:r>
        <w:rPr>
          <w:i/>
          <w:sz w:val="24"/>
        </w:rPr>
        <w:t>connection </w:t>
      </w:r>
      <w:r>
        <w:rPr>
          <w:sz w:val="24"/>
        </w:rPr>
        <w:t>sought as included by the </w:t>
      </w:r>
      <w:r>
        <w:rPr>
          <w:i/>
          <w:sz w:val="24"/>
        </w:rPr>
        <w:t>Connection Applicant </w:t>
      </w:r>
      <w:r>
        <w:rPr>
          <w:sz w:val="24"/>
        </w:rPr>
        <w:t>in its enquiry under clause</w:t>
      </w:r>
      <w:r>
        <w:rPr>
          <w:spacing w:val="-2"/>
          <w:sz w:val="24"/>
        </w:rPr>
        <w:t> </w:t>
      </w:r>
      <w:r>
        <w:rPr>
          <w:sz w:val="24"/>
        </w:rPr>
        <w:t>5.3A.5(c)(1);</w:t>
      </w:r>
    </w:p>
    <w:p>
      <w:pPr>
        <w:pStyle w:val="ListParagraph"/>
        <w:numPr>
          <w:ilvl w:val="0"/>
          <w:numId w:val="330"/>
        </w:numPr>
        <w:tabs>
          <w:tab w:pos="1919" w:val="left" w:leader="none"/>
        </w:tabs>
        <w:spacing w:line="240" w:lineRule="auto" w:before="120" w:after="0"/>
        <w:ind w:left="1919" w:right="415" w:hanging="567"/>
        <w:jc w:val="both"/>
        <w:rPr>
          <w:sz w:val="24"/>
        </w:rPr>
      </w:pPr>
      <w:r>
        <w:rPr>
          <w:sz w:val="24"/>
        </w:rPr>
        <w:t>a description of the process for the provision of the detailed response, including the further information to be provided by the </w:t>
      </w:r>
      <w:r>
        <w:rPr>
          <w:i/>
          <w:sz w:val="24"/>
        </w:rPr>
        <w:t>Connection </w:t>
      </w:r>
      <w:r>
        <w:rPr>
          <w:i/>
          <w:sz w:val="24"/>
        </w:rPr>
        <w:t>Applicant </w:t>
      </w:r>
      <w:r>
        <w:rPr>
          <w:sz w:val="24"/>
        </w:rPr>
        <w:t>and analysis to be undertaken by the </w:t>
      </w:r>
      <w:r>
        <w:rPr>
          <w:i/>
          <w:sz w:val="24"/>
        </w:rPr>
        <w:t>Distribution Network Service </w:t>
      </w:r>
      <w:r>
        <w:rPr>
          <w:i/>
          <w:sz w:val="24"/>
        </w:rPr>
        <w:t>Provider </w:t>
      </w:r>
      <w:r>
        <w:rPr>
          <w:sz w:val="24"/>
        </w:rPr>
        <w:t>as part of the preparation of the detailed</w:t>
      </w:r>
      <w:r>
        <w:rPr>
          <w:spacing w:val="-2"/>
          <w:sz w:val="24"/>
        </w:rPr>
        <w:t> </w:t>
      </w:r>
      <w:r>
        <w:rPr>
          <w:sz w:val="24"/>
        </w:rPr>
        <w:t>response;</w:t>
      </w:r>
    </w:p>
    <w:p>
      <w:pPr>
        <w:spacing w:after="0" w:line="240" w:lineRule="auto"/>
        <w:jc w:val="both"/>
        <w:rPr>
          <w:sz w:val="24"/>
        </w:rPr>
        <w:sectPr>
          <w:pgSz w:w="11910" w:h="16840"/>
          <w:pgMar w:header="686" w:footer="637" w:top="1320" w:bottom="820" w:left="1200" w:right="1000"/>
        </w:sectPr>
      </w:pPr>
    </w:p>
    <w:p>
      <w:pPr>
        <w:pStyle w:val="ListParagraph"/>
        <w:numPr>
          <w:ilvl w:val="0"/>
          <w:numId w:val="330"/>
        </w:numPr>
        <w:tabs>
          <w:tab w:pos="1919" w:val="left" w:leader="none"/>
        </w:tabs>
        <w:spacing w:line="240" w:lineRule="auto" w:before="83" w:after="0"/>
        <w:ind w:left="1919" w:right="414" w:hanging="567"/>
        <w:jc w:val="both"/>
        <w:rPr>
          <w:sz w:val="24"/>
        </w:rPr>
      </w:pPr>
      <w:r>
        <w:rPr>
          <w:sz w:val="24"/>
        </w:rPr>
        <w:t>an overview of any available options for </w:t>
      </w:r>
      <w:r>
        <w:rPr>
          <w:i/>
          <w:sz w:val="24"/>
        </w:rPr>
        <w:t>connection </w:t>
      </w:r>
      <w:r>
        <w:rPr>
          <w:sz w:val="24"/>
        </w:rPr>
        <w:t>to the </w:t>
      </w:r>
      <w:r>
        <w:rPr>
          <w:i/>
          <w:sz w:val="24"/>
        </w:rPr>
        <w:t>Distribution </w:t>
      </w:r>
      <w:r>
        <w:rPr>
          <w:i/>
          <w:sz w:val="24"/>
        </w:rPr>
        <w:t>Network Service Provider's network</w:t>
      </w:r>
      <w:r>
        <w:rPr>
          <w:sz w:val="24"/>
        </w:rPr>
        <w:t>, as relevant to an enquiry lodged, at more than one </w:t>
      </w:r>
      <w:r>
        <w:rPr>
          <w:i/>
          <w:sz w:val="24"/>
        </w:rPr>
        <w:t>connection point </w:t>
      </w:r>
      <w:r>
        <w:rPr>
          <w:sz w:val="24"/>
        </w:rPr>
        <w:t>in a </w:t>
      </w:r>
      <w:r>
        <w:rPr>
          <w:i/>
          <w:sz w:val="24"/>
        </w:rPr>
        <w:t>network</w:t>
      </w:r>
      <w:r>
        <w:rPr>
          <w:sz w:val="24"/>
        </w:rPr>
        <w:t>,</w:t>
      </w:r>
      <w:r>
        <w:rPr>
          <w:spacing w:val="-1"/>
          <w:sz w:val="24"/>
        </w:rPr>
        <w:t> </w:t>
      </w:r>
      <w:r>
        <w:rPr>
          <w:sz w:val="24"/>
        </w:rPr>
        <w:t>including:</w:t>
      </w:r>
    </w:p>
    <w:p>
      <w:pPr>
        <w:pStyle w:val="ListParagraph"/>
        <w:numPr>
          <w:ilvl w:val="1"/>
          <w:numId w:val="330"/>
        </w:numPr>
        <w:tabs>
          <w:tab w:pos="2486" w:val="left" w:leader="none"/>
        </w:tabs>
        <w:spacing w:line="240" w:lineRule="auto" w:before="120" w:after="0"/>
        <w:ind w:left="2485" w:right="0" w:hanging="567"/>
        <w:jc w:val="both"/>
        <w:rPr>
          <w:sz w:val="24"/>
        </w:rPr>
      </w:pPr>
      <w:r>
        <w:rPr>
          <w:sz w:val="24"/>
        </w:rPr>
        <w:t>example</w:t>
      </w:r>
      <w:r>
        <w:rPr>
          <w:spacing w:val="13"/>
          <w:sz w:val="24"/>
        </w:rPr>
        <w:t> </w:t>
      </w:r>
      <w:r>
        <w:rPr>
          <w:sz w:val="24"/>
        </w:rPr>
        <w:t>single</w:t>
      </w:r>
      <w:r>
        <w:rPr>
          <w:spacing w:val="14"/>
          <w:sz w:val="24"/>
        </w:rPr>
        <w:t> </w:t>
      </w:r>
      <w:r>
        <w:rPr>
          <w:sz w:val="24"/>
        </w:rPr>
        <w:t>line</w:t>
      </w:r>
      <w:r>
        <w:rPr>
          <w:spacing w:val="14"/>
          <w:sz w:val="24"/>
        </w:rPr>
        <w:t> </w:t>
      </w:r>
      <w:r>
        <w:rPr>
          <w:sz w:val="24"/>
        </w:rPr>
        <w:t>diagram</w:t>
      </w:r>
      <w:r>
        <w:rPr>
          <w:spacing w:val="14"/>
          <w:sz w:val="24"/>
        </w:rPr>
        <w:t> </w:t>
      </w:r>
      <w:r>
        <w:rPr>
          <w:sz w:val="24"/>
        </w:rPr>
        <w:t>and</w:t>
      </w:r>
      <w:r>
        <w:rPr>
          <w:spacing w:val="14"/>
          <w:sz w:val="24"/>
        </w:rPr>
        <w:t> </w:t>
      </w:r>
      <w:r>
        <w:rPr>
          <w:sz w:val="24"/>
        </w:rPr>
        <w:t>relevant</w:t>
      </w:r>
      <w:r>
        <w:rPr>
          <w:spacing w:val="14"/>
          <w:sz w:val="24"/>
        </w:rPr>
        <w:t> </w:t>
      </w:r>
      <w:r>
        <w:rPr>
          <w:i/>
          <w:sz w:val="24"/>
        </w:rPr>
        <w:t>protection</w:t>
      </w:r>
      <w:r>
        <w:rPr>
          <w:i/>
          <w:spacing w:val="13"/>
          <w:sz w:val="24"/>
        </w:rPr>
        <w:t> </w:t>
      </w:r>
      <w:r>
        <w:rPr>
          <w:i/>
          <w:sz w:val="24"/>
        </w:rPr>
        <w:t>systems</w:t>
      </w:r>
      <w:r>
        <w:rPr>
          <w:i/>
          <w:spacing w:val="14"/>
          <w:sz w:val="24"/>
        </w:rPr>
        <w:t> </w:t>
      </w:r>
      <w:r>
        <w:rPr>
          <w:sz w:val="24"/>
        </w:rPr>
        <w:t>and</w:t>
      </w:r>
    </w:p>
    <w:p>
      <w:pPr>
        <w:spacing w:before="0"/>
        <w:ind w:left="2486" w:right="0" w:firstLine="0"/>
        <w:jc w:val="both"/>
        <w:rPr>
          <w:sz w:val="24"/>
        </w:rPr>
      </w:pPr>
      <w:r>
        <w:rPr>
          <w:i/>
          <w:sz w:val="24"/>
        </w:rPr>
        <w:t>control systems </w:t>
      </w:r>
      <w:r>
        <w:rPr>
          <w:sz w:val="24"/>
        </w:rPr>
        <w:t>used by existing </w:t>
      </w:r>
      <w:r>
        <w:rPr>
          <w:i/>
          <w:sz w:val="24"/>
        </w:rPr>
        <w:t>connection </w:t>
      </w:r>
      <w:r>
        <w:rPr>
          <w:sz w:val="24"/>
        </w:rPr>
        <w:t>arrangements;</w:t>
      </w:r>
    </w:p>
    <w:p>
      <w:pPr>
        <w:pStyle w:val="ListParagraph"/>
        <w:numPr>
          <w:ilvl w:val="1"/>
          <w:numId w:val="330"/>
        </w:numPr>
        <w:tabs>
          <w:tab w:pos="2486" w:val="left" w:leader="none"/>
        </w:tabs>
        <w:spacing w:line="240" w:lineRule="auto" w:before="120" w:after="0"/>
        <w:ind w:left="2485" w:right="0" w:hanging="567"/>
        <w:jc w:val="both"/>
        <w:rPr>
          <w:sz w:val="24"/>
        </w:rPr>
      </w:pPr>
      <w:r>
        <w:rPr>
          <w:sz w:val="24"/>
        </w:rPr>
        <w:t>a description of the characteristics of supply;</w:t>
      </w:r>
      <w:r>
        <w:rPr>
          <w:spacing w:val="-3"/>
          <w:sz w:val="24"/>
        </w:rPr>
        <w:t> </w:t>
      </w:r>
      <w:r>
        <w:rPr>
          <w:sz w:val="24"/>
        </w:rPr>
        <w:t>and</w:t>
      </w:r>
    </w:p>
    <w:p>
      <w:pPr>
        <w:pStyle w:val="ListParagraph"/>
        <w:numPr>
          <w:ilvl w:val="1"/>
          <w:numId w:val="330"/>
        </w:numPr>
        <w:tabs>
          <w:tab w:pos="2486" w:val="left" w:leader="none"/>
        </w:tabs>
        <w:spacing w:line="240" w:lineRule="auto" w:before="120" w:after="0"/>
        <w:ind w:left="2485" w:right="0" w:hanging="567"/>
        <w:jc w:val="both"/>
        <w:rPr>
          <w:sz w:val="24"/>
        </w:rPr>
      </w:pPr>
      <w:r>
        <w:rPr>
          <w:sz w:val="24"/>
        </w:rPr>
        <w:t>an</w:t>
      </w:r>
      <w:r>
        <w:rPr>
          <w:spacing w:val="39"/>
          <w:sz w:val="24"/>
        </w:rPr>
        <w:t> </w:t>
      </w:r>
      <w:r>
        <w:rPr>
          <w:sz w:val="24"/>
        </w:rPr>
        <w:t>indication</w:t>
      </w:r>
      <w:r>
        <w:rPr>
          <w:spacing w:val="40"/>
          <w:sz w:val="24"/>
        </w:rPr>
        <w:t> </w:t>
      </w:r>
      <w:r>
        <w:rPr>
          <w:sz w:val="24"/>
        </w:rPr>
        <w:t>of</w:t>
      </w:r>
      <w:r>
        <w:rPr>
          <w:spacing w:val="40"/>
          <w:sz w:val="24"/>
        </w:rPr>
        <w:t> </w:t>
      </w:r>
      <w:r>
        <w:rPr>
          <w:sz w:val="24"/>
        </w:rPr>
        <w:t>the</w:t>
      </w:r>
      <w:r>
        <w:rPr>
          <w:spacing w:val="39"/>
          <w:sz w:val="24"/>
        </w:rPr>
        <w:t> </w:t>
      </w:r>
      <w:r>
        <w:rPr>
          <w:sz w:val="24"/>
        </w:rPr>
        <w:t>likely</w:t>
      </w:r>
      <w:r>
        <w:rPr>
          <w:spacing w:val="40"/>
          <w:sz w:val="24"/>
        </w:rPr>
        <w:t> </w:t>
      </w:r>
      <w:r>
        <w:rPr>
          <w:sz w:val="24"/>
        </w:rPr>
        <w:t>impact</w:t>
      </w:r>
      <w:r>
        <w:rPr>
          <w:spacing w:val="40"/>
          <w:sz w:val="24"/>
        </w:rPr>
        <w:t> </w:t>
      </w:r>
      <w:r>
        <w:rPr>
          <w:sz w:val="24"/>
        </w:rPr>
        <w:t>on</w:t>
      </w:r>
      <w:r>
        <w:rPr>
          <w:spacing w:val="39"/>
          <w:sz w:val="24"/>
        </w:rPr>
        <w:t> </w:t>
      </w:r>
      <w:r>
        <w:rPr>
          <w:sz w:val="24"/>
        </w:rPr>
        <w:t>terms</w:t>
      </w:r>
      <w:r>
        <w:rPr>
          <w:spacing w:val="40"/>
          <w:sz w:val="24"/>
        </w:rPr>
        <w:t> </w:t>
      </w:r>
      <w:r>
        <w:rPr>
          <w:sz w:val="24"/>
        </w:rPr>
        <w:t>and</w:t>
      </w:r>
      <w:r>
        <w:rPr>
          <w:spacing w:val="40"/>
          <w:sz w:val="24"/>
        </w:rPr>
        <w:t> </w:t>
      </w:r>
      <w:r>
        <w:rPr>
          <w:sz w:val="24"/>
        </w:rPr>
        <w:t>conditions</w:t>
      </w:r>
      <w:r>
        <w:rPr>
          <w:spacing w:val="39"/>
          <w:sz w:val="24"/>
        </w:rPr>
        <w:t> </w:t>
      </w:r>
      <w:r>
        <w:rPr>
          <w:sz w:val="24"/>
        </w:rPr>
        <w:t>of</w:t>
      </w:r>
    </w:p>
    <w:p>
      <w:pPr>
        <w:spacing w:before="0"/>
        <w:ind w:left="2486" w:right="0" w:firstLine="0"/>
        <w:jc w:val="left"/>
        <w:rPr>
          <w:sz w:val="24"/>
        </w:rPr>
      </w:pPr>
      <w:r>
        <w:rPr>
          <w:i/>
          <w:sz w:val="24"/>
        </w:rPr>
        <w:t>connection</w:t>
      </w:r>
      <w:r>
        <w:rPr>
          <w:sz w:val="24"/>
        </w:rPr>
        <w:t>,</w:t>
      </w:r>
    </w:p>
    <w:p>
      <w:pPr>
        <w:spacing w:before="120"/>
        <w:ind w:left="1919" w:right="0" w:firstLine="0"/>
        <w:jc w:val="left"/>
        <w:rPr>
          <w:sz w:val="24"/>
        </w:rPr>
      </w:pPr>
      <w:r>
        <w:rPr>
          <w:sz w:val="24"/>
        </w:rPr>
        <w:t>as relevant to each optional differing </w:t>
      </w:r>
      <w:r>
        <w:rPr>
          <w:i/>
          <w:sz w:val="24"/>
        </w:rPr>
        <w:t>connection point</w:t>
      </w:r>
      <w:r>
        <w:rPr>
          <w:sz w:val="24"/>
        </w:rPr>
        <w:t>;</w:t>
      </w:r>
    </w:p>
    <w:p>
      <w:pPr>
        <w:pStyle w:val="ListParagraph"/>
        <w:numPr>
          <w:ilvl w:val="0"/>
          <w:numId w:val="330"/>
        </w:numPr>
        <w:tabs>
          <w:tab w:pos="1918" w:val="left" w:leader="none"/>
          <w:tab w:pos="1919" w:val="left" w:leader="none"/>
        </w:tabs>
        <w:spacing w:line="240" w:lineRule="auto" w:before="120" w:after="0"/>
        <w:ind w:left="1918" w:right="0" w:hanging="567"/>
        <w:jc w:val="left"/>
        <w:rPr>
          <w:i/>
          <w:sz w:val="24"/>
        </w:rPr>
      </w:pPr>
      <w:r>
        <w:rPr>
          <w:sz w:val="24"/>
        </w:rPr>
        <w:t>a</w:t>
      </w:r>
      <w:r>
        <w:rPr>
          <w:spacing w:val="23"/>
          <w:sz w:val="24"/>
        </w:rPr>
        <w:t> </w:t>
      </w:r>
      <w:r>
        <w:rPr>
          <w:sz w:val="24"/>
        </w:rPr>
        <w:t>statement</w:t>
      </w:r>
      <w:r>
        <w:rPr>
          <w:spacing w:val="24"/>
          <w:sz w:val="24"/>
        </w:rPr>
        <w:t> </w:t>
      </w:r>
      <w:r>
        <w:rPr>
          <w:sz w:val="24"/>
        </w:rPr>
        <w:t>of</w:t>
      </w:r>
      <w:r>
        <w:rPr>
          <w:spacing w:val="23"/>
          <w:sz w:val="24"/>
        </w:rPr>
        <w:t> </w:t>
      </w:r>
      <w:r>
        <w:rPr>
          <w:sz w:val="24"/>
        </w:rPr>
        <w:t>further</w:t>
      </w:r>
      <w:r>
        <w:rPr>
          <w:spacing w:val="24"/>
          <w:sz w:val="24"/>
        </w:rPr>
        <w:t> </w:t>
      </w:r>
      <w:r>
        <w:rPr>
          <w:sz w:val="24"/>
        </w:rPr>
        <w:t>information</w:t>
      </w:r>
      <w:r>
        <w:rPr>
          <w:spacing w:val="23"/>
          <w:sz w:val="24"/>
        </w:rPr>
        <w:t> </w:t>
      </w:r>
      <w:r>
        <w:rPr>
          <w:sz w:val="24"/>
        </w:rPr>
        <w:t>required</w:t>
      </w:r>
      <w:r>
        <w:rPr>
          <w:spacing w:val="24"/>
          <w:sz w:val="24"/>
        </w:rPr>
        <w:t> </w:t>
      </w:r>
      <w:r>
        <w:rPr>
          <w:sz w:val="24"/>
        </w:rPr>
        <w:t>from</w:t>
      </w:r>
      <w:r>
        <w:rPr>
          <w:spacing w:val="23"/>
          <w:sz w:val="24"/>
        </w:rPr>
        <w:t> </w:t>
      </w:r>
      <w:r>
        <w:rPr>
          <w:sz w:val="24"/>
        </w:rPr>
        <w:t>the</w:t>
      </w:r>
      <w:r>
        <w:rPr>
          <w:spacing w:val="24"/>
          <w:sz w:val="24"/>
        </w:rPr>
        <w:t> </w:t>
      </w:r>
      <w:r>
        <w:rPr>
          <w:i/>
          <w:sz w:val="24"/>
        </w:rPr>
        <w:t>Connection</w:t>
      </w:r>
      <w:r>
        <w:rPr>
          <w:i/>
          <w:spacing w:val="23"/>
          <w:sz w:val="24"/>
        </w:rPr>
        <w:t> </w:t>
      </w:r>
      <w:r>
        <w:rPr>
          <w:i/>
          <w:sz w:val="24"/>
        </w:rPr>
        <w:t>Applicant</w:t>
      </w:r>
    </w:p>
    <w:p>
      <w:pPr>
        <w:pStyle w:val="BodyText"/>
        <w:spacing w:before="0"/>
        <w:ind w:left="1919" w:firstLine="0"/>
      </w:pPr>
      <w:r>
        <w:rPr/>
        <w:t>for the preparation of the detailed response, including:</w:t>
      </w:r>
    </w:p>
    <w:p>
      <w:pPr>
        <w:pStyle w:val="ListParagraph"/>
        <w:numPr>
          <w:ilvl w:val="1"/>
          <w:numId w:val="330"/>
        </w:numPr>
        <w:tabs>
          <w:tab w:pos="2486" w:val="left" w:leader="none"/>
        </w:tabs>
        <w:spacing w:line="240" w:lineRule="auto" w:before="120" w:after="0"/>
        <w:ind w:left="2486" w:right="414" w:hanging="567"/>
        <w:jc w:val="both"/>
        <w:rPr>
          <w:sz w:val="24"/>
        </w:rPr>
      </w:pPr>
      <w:r>
        <w:rPr>
          <w:sz w:val="24"/>
        </w:rPr>
        <w:t>details of the </w:t>
      </w:r>
      <w:r>
        <w:rPr>
          <w:i/>
          <w:sz w:val="24"/>
        </w:rPr>
        <w:t>Connection Applicant's connection </w:t>
      </w:r>
      <w:r>
        <w:rPr>
          <w:sz w:val="24"/>
        </w:rPr>
        <w:t>requirements, and the </w:t>
      </w:r>
      <w:r>
        <w:rPr>
          <w:i/>
          <w:sz w:val="24"/>
        </w:rPr>
        <w:t>Connection Applicant's </w:t>
      </w:r>
      <w:r>
        <w:rPr>
          <w:sz w:val="24"/>
        </w:rPr>
        <w:t>specifications of the </w:t>
      </w:r>
      <w:r>
        <w:rPr>
          <w:i/>
          <w:sz w:val="24"/>
        </w:rPr>
        <w:t>facility </w:t>
      </w:r>
      <w:r>
        <w:rPr>
          <w:sz w:val="24"/>
        </w:rPr>
        <w:t>to be </w:t>
      </w:r>
      <w:r>
        <w:rPr>
          <w:i/>
          <w:sz w:val="24"/>
        </w:rPr>
        <w:t>connected</w:t>
      </w:r>
      <w:r>
        <w:rPr>
          <w:sz w:val="24"/>
        </w:rPr>
        <w:t>, consistent with the requirements advised in accordance with paragraphs (a) to (c);</w:t>
      </w:r>
      <w:r>
        <w:rPr>
          <w:spacing w:val="-1"/>
          <w:sz w:val="24"/>
        </w:rPr>
        <w:t> </w:t>
      </w:r>
      <w:r>
        <w:rPr>
          <w:sz w:val="24"/>
        </w:rPr>
        <w:t>and</w:t>
      </w:r>
    </w:p>
    <w:p>
      <w:pPr>
        <w:pStyle w:val="ListParagraph"/>
        <w:numPr>
          <w:ilvl w:val="1"/>
          <w:numId w:val="330"/>
        </w:numPr>
        <w:tabs>
          <w:tab w:pos="2486" w:val="left" w:leader="none"/>
        </w:tabs>
        <w:spacing w:line="240" w:lineRule="auto" w:before="120" w:after="0"/>
        <w:ind w:left="2486" w:right="415" w:hanging="567"/>
        <w:jc w:val="both"/>
        <w:rPr>
          <w:sz w:val="24"/>
        </w:rPr>
      </w:pPr>
      <w:r>
        <w:rPr>
          <w:sz w:val="24"/>
        </w:rPr>
        <w:t>details of the </w:t>
      </w:r>
      <w:r>
        <w:rPr>
          <w:i/>
          <w:sz w:val="24"/>
        </w:rPr>
        <w:t>Connection Applicant's </w:t>
      </w:r>
      <w:r>
        <w:rPr>
          <w:sz w:val="24"/>
        </w:rPr>
        <w:t>reasonable expectations of the level and standard of service of </w:t>
      </w:r>
      <w:r>
        <w:rPr>
          <w:i/>
          <w:sz w:val="24"/>
        </w:rPr>
        <w:t>power transfer capability </w:t>
      </w:r>
      <w:r>
        <w:rPr>
          <w:sz w:val="24"/>
        </w:rPr>
        <w:t>that the </w:t>
      </w:r>
      <w:r>
        <w:rPr>
          <w:i/>
          <w:sz w:val="24"/>
        </w:rPr>
        <w:t>network </w:t>
      </w:r>
      <w:r>
        <w:rPr>
          <w:sz w:val="24"/>
        </w:rPr>
        <w:t>should</w:t>
      </w:r>
      <w:r>
        <w:rPr>
          <w:spacing w:val="-2"/>
          <w:sz w:val="24"/>
        </w:rPr>
        <w:t> </w:t>
      </w:r>
      <w:r>
        <w:rPr>
          <w:sz w:val="24"/>
        </w:rPr>
        <w:t>provide;</w:t>
      </w:r>
    </w:p>
    <w:p>
      <w:pPr>
        <w:pStyle w:val="ListParagraph"/>
        <w:numPr>
          <w:ilvl w:val="1"/>
          <w:numId w:val="330"/>
        </w:numPr>
        <w:tabs>
          <w:tab w:pos="2486" w:val="left" w:leader="none"/>
        </w:tabs>
        <w:spacing w:line="240" w:lineRule="auto" w:before="120" w:after="0"/>
        <w:ind w:left="2486" w:right="415" w:hanging="567"/>
        <w:jc w:val="both"/>
        <w:rPr>
          <w:sz w:val="24"/>
        </w:rPr>
      </w:pPr>
      <w:r>
        <w:rPr>
          <w:sz w:val="24"/>
        </w:rPr>
        <w:t>the </w:t>
      </w:r>
      <w:r>
        <w:rPr>
          <w:i/>
          <w:sz w:val="24"/>
        </w:rPr>
        <w:t>Connection Applicant's </w:t>
      </w:r>
      <w:r>
        <w:rPr>
          <w:sz w:val="24"/>
        </w:rPr>
        <w:t>proposal for any </w:t>
      </w:r>
      <w:r>
        <w:rPr>
          <w:i/>
          <w:sz w:val="24"/>
        </w:rPr>
        <w:t>system strength </w:t>
      </w:r>
      <w:r>
        <w:rPr>
          <w:i/>
          <w:sz w:val="24"/>
        </w:rPr>
        <w:t>remediation</w:t>
      </w:r>
      <w:r>
        <w:rPr>
          <w:i/>
          <w:spacing w:val="-2"/>
          <w:sz w:val="24"/>
        </w:rPr>
        <w:t> </w:t>
      </w:r>
      <w:r>
        <w:rPr>
          <w:i/>
          <w:sz w:val="24"/>
        </w:rPr>
        <w:t>scheme</w:t>
      </w:r>
      <w:r>
        <w:rPr>
          <w:sz w:val="24"/>
        </w:rPr>
        <w:t>;</w:t>
      </w:r>
    </w:p>
    <w:p>
      <w:pPr>
        <w:pStyle w:val="ListParagraph"/>
        <w:numPr>
          <w:ilvl w:val="0"/>
          <w:numId w:val="330"/>
        </w:numPr>
        <w:tabs>
          <w:tab w:pos="1919" w:val="left" w:leader="none"/>
        </w:tabs>
        <w:spacing w:line="240" w:lineRule="auto" w:before="120" w:after="0"/>
        <w:ind w:left="1919" w:right="414" w:hanging="567"/>
        <w:jc w:val="both"/>
        <w:rPr>
          <w:sz w:val="24"/>
        </w:rPr>
      </w:pPr>
      <w:r>
        <w:rPr>
          <w:sz w:val="24"/>
        </w:rPr>
        <w:t>an estimate of the enquiry fee payable by the </w:t>
      </w:r>
      <w:r>
        <w:rPr>
          <w:i/>
          <w:sz w:val="24"/>
        </w:rPr>
        <w:t>Connection Applicant </w:t>
      </w:r>
      <w:r>
        <w:rPr>
          <w:sz w:val="24"/>
        </w:rPr>
        <w:t>for the detailed response, including details of how components of the fee </w:t>
      </w:r>
      <w:r>
        <w:rPr>
          <w:spacing w:val="-3"/>
          <w:sz w:val="24"/>
        </w:rPr>
        <w:t>were </w:t>
      </w:r>
      <w:r>
        <w:rPr>
          <w:sz w:val="24"/>
        </w:rPr>
        <w:t>calculated;</w:t>
      </w:r>
    </w:p>
    <w:p>
      <w:pPr>
        <w:pStyle w:val="ListParagraph"/>
        <w:numPr>
          <w:ilvl w:val="0"/>
          <w:numId w:val="330"/>
        </w:numPr>
        <w:tabs>
          <w:tab w:pos="1919" w:val="left" w:leader="none"/>
        </w:tabs>
        <w:spacing w:line="240" w:lineRule="auto" w:before="120" w:after="0"/>
        <w:ind w:left="1919" w:right="414" w:hanging="567"/>
        <w:jc w:val="both"/>
        <w:rPr>
          <w:sz w:val="24"/>
        </w:rPr>
      </w:pPr>
      <w:r>
        <w:rPr>
          <w:sz w:val="24"/>
        </w:rPr>
        <w:t>the component of the estimate of the enquiry fee payable by the </w:t>
      </w:r>
      <w:r>
        <w:rPr>
          <w:i/>
          <w:sz w:val="24"/>
        </w:rPr>
        <w:t>Connection </w:t>
      </w:r>
      <w:r>
        <w:rPr>
          <w:i/>
          <w:sz w:val="24"/>
        </w:rPr>
        <w:t>Applicant </w:t>
      </w:r>
      <w:r>
        <w:rPr>
          <w:sz w:val="24"/>
        </w:rPr>
        <w:t>to request the detailed</w:t>
      </w:r>
      <w:r>
        <w:rPr>
          <w:spacing w:val="-1"/>
          <w:sz w:val="24"/>
        </w:rPr>
        <w:t> </w:t>
      </w:r>
      <w:r>
        <w:rPr>
          <w:sz w:val="24"/>
        </w:rPr>
        <w:t>response;</w:t>
      </w:r>
    </w:p>
    <w:p>
      <w:pPr>
        <w:pStyle w:val="ListParagraph"/>
        <w:numPr>
          <w:ilvl w:val="0"/>
          <w:numId w:val="330"/>
        </w:numPr>
        <w:tabs>
          <w:tab w:pos="1920" w:val="left" w:leader="none"/>
        </w:tabs>
        <w:spacing w:line="240" w:lineRule="auto" w:before="120" w:after="0"/>
        <w:ind w:left="1919" w:right="0" w:hanging="568"/>
        <w:jc w:val="both"/>
        <w:rPr>
          <w:sz w:val="24"/>
        </w:rPr>
      </w:pPr>
      <w:r>
        <w:rPr>
          <w:sz w:val="24"/>
        </w:rPr>
        <w:t>an</w:t>
      </w:r>
      <w:r>
        <w:rPr>
          <w:spacing w:val="15"/>
          <w:sz w:val="24"/>
        </w:rPr>
        <w:t> </w:t>
      </w:r>
      <w:r>
        <w:rPr>
          <w:sz w:val="24"/>
        </w:rPr>
        <w:t>estimate</w:t>
      </w:r>
      <w:r>
        <w:rPr>
          <w:spacing w:val="15"/>
          <w:sz w:val="24"/>
        </w:rPr>
        <w:t> </w:t>
      </w:r>
      <w:r>
        <w:rPr>
          <w:sz w:val="24"/>
        </w:rPr>
        <w:t>of</w:t>
      </w:r>
      <w:r>
        <w:rPr>
          <w:spacing w:val="15"/>
          <w:sz w:val="24"/>
        </w:rPr>
        <w:t> </w:t>
      </w:r>
      <w:r>
        <w:rPr>
          <w:sz w:val="24"/>
        </w:rPr>
        <w:t>the</w:t>
      </w:r>
      <w:r>
        <w:rPr>
          <w:spacing w:val="15"/>
          <w:sz w:val="24"/>
        </w:rPr>
        <w:t> </w:t>
      </w:r>
      <w:r>
        <w:rPr>
          <w:sz w:val="24"/>
        </w:rPr>
        <w:t>application</w:t>
      </w:r>
      <w:r>
        <w:rPr>
          <w:spacing w:val="15"/>
          <w:sz w:val="24"/>
        </w:rPr>
        <w:t> </w:t>
      </w:r>
      <w:r>
        <w:rPr>
          <w:sz w:val="24"/>
        </w:rPr>
        <w:t>fee</w:t>
      </w:r>
      <w:r>
        <w:rPr>
          <w:spacing w:val="15"/>
          <w:sz w:val="24"/>
        </w:rPr>
        <w:t> </w:t>
      </w:r>
      <w:r>
        <w:rPr>
          <w:sz w:val="24"/>
        </w:rPr>
        <w:t>which</w:t>
      </w:r>
      <w:r>
        <w:rPr>
          <w:spacing w:val="15"/>
          <w:sz w:val="24"/>
        </w:rPr>
        <w:t> </w:t>
      </w:r>
      <w:r>
        <w:rPr>
          <w:sz w:val="24"/>
        </w:rPr>
        <w:t>is</w:t>
      </w:r>
      <w:r>
        <w:rPr>
          <w:spacing w:val="16"/>
          <w:sz w:val="24"/>
        </w:rPr>
        <w:t> </w:t>
      </w:r>
      <w:r>
        <w:rPr>
          <w:sz w:val="24"/>
        </w:rPr>
        <w:t>payable</w:t>
      </w:r>
      <w:r>
        <w:rPr>
          <w:spacing w:val="15"/>
          <w:sz w:val="24"/>
        </w:rPr>
        <w:t> </w:t>
      </w:r>
      <w:r>
        <w:rPr>
          <w:sz w:val="24"/>
        </w:rPr>
        <w:t>on</w:t>
      </w:r>
      <w:r>
        <w:rPr>
          <w:spacing w:val="15"/>
          <w:sz w:val="24"/>
        </w:rPr>
        <w:t> </w:t>
      </w:r>
      <w:r>
        <w:rPr>
          <w:sz w:val="24"/>
        </w:rPr>
        <w:t>submitting</w:t>
      </w:r>
      <w:r>
        <w:rPr>
          <w:spacing w:val="15"/>
          <w:sz w:val="24"/>
        </w:rPr>
        <w:t> </w:t>
      </w:r>
      <w:r>
        <w:rPr>
          <w:sz w:val="24"/>
        </w:rPr>
        <w:t>an</w:t>
      </w:r>
    </w:p>
    <w:p>
      <w:pPr>
        <w:spacing w:before="0"/>
        <w:ind w:left="1919" w:right="0" w:firstLine="0"/>
        <w:jc w:val="both"/>
        <w:rPr>
          <w:sz w:val="24"/>
        </w:rPr>
      </w:pPr>
      <w:r>
        <w:rPr>
          <w:i/>
          <w:sz w:val="24"/>
        </w:rPr>
        <w:t>application to connect</w:t>
      </w:r>
      <w:r>
        <w:rPr>
          <w:sz w:val="24"/>
        </w:rPr>
        <w:t>; and</w:t>
      </w:r>
    </w:p>
    <w:p>
      <w:pPr>
        <w:pStyle w:val="ListParagraph"/>
        <w:numPr>
          <w:ilvl w:val="0"/>
          <w:numId w:val="330"/>
        </w:numPr>
        <w:tabs>
          <w:tab w:pos="1920" w:val="left" w:leader="none"/>
        </w:tabs>
        <w:spacing w:line="240" w:lineRule="auto" w:before="120" w:after="0"/>
        <w:ind w:left="1919" w:right="0" w:hanging="568"/>
        <w:jc w:val="both"/>
        <w:rPr>
          <w:sz w:val="24"/>
        </w:rPr>
      </w:pPr>
      <w:r>
        <w:rPr>
          <w:sz w:val="24"/>
        </w:rPr>
        <w:t>any additional information relevant to the</w:t>
      </w:r>
      <w:r>
        <w:rPr>
          <w:spacing w:val="-3"/>
          <w:sz w:val="24"/>
        </w:rPr>
        <w:t> </w:t>
      </w:r>
      <w:r>
        <w:rPr>
          <w:sz w:val="24"/>
        </w:rPr>
        <w:t>enquiry.</w:t>
      </w:r>
    </w:p>
    <w:p>
      <w:pPr>
        <w:pStyle w:val="BodyText"/>
        <w:spacing w:before="10"/>
        <w:ind w:firstLine="0"/>
        <w:jc w:val="left"/>
        <w:rPr>
          <w:sz w:val="20"/>
        </w:rPr>
      </w:pPr>
    </w:p>
    <w:p>
      <w:pPr>
        <w:pStyle w:val="Heading2"/>
        <w:tabs>
          <w:tab w:pos="2485" w:val="left" w:leader="none"/>
        </w:tabs>
      </w:pPr>
      <w:bookmarkStart w:name="Schedule 5.4B Detailed Response to Enqui" w:id="1074"/>
      <w:bookmarkEnd w:id="1074"/>
      <w:r>
        <w:rPr>
          <w:b w:val="0"/>
        </w:rPr>
      </w:r>
      <w:bookmarkStart w:name="_bookmark429" w:id="1075"/>
      <w:bookmarkEnd w:id="1075"/>
      <w:r>
        <w:rPr>
          <w:b w:val="0"/>
        </w:rPr>
      </w:r>
      <w:r>
        <w:rPr/>
        <w:t>Schedule</w:t>
      </w:r>
      <w:r>
        <w:rPr>
          <w:spacing w:val="-1"/>
        </w:rPr>
        <w:t> </w:t>
      </w:r>
      <w:r>
        <w:rPr/>
        <w:t>5.4B</w:t>
        <w:tab/>
        <w:t>Detailed Response to</w:t>
      </w:r>
      <w:r>
        <w:rPr>
          <w:spacing w:val="-3"/>
        </w:rPr>
        <w:t> </w:t>
      </w:r>
      <w:r>
        <w:rPr/>
        <w:t>Enquiry</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Paragraphs (e) and (e1)(2) of this schedule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paragraphs (b), (e) and (e1) of this schedule will be revisited as part of the phased implementation of the </w:t>
      </w:r>
      <w:r>
        <w:rPr>
          <w:i/>
          <w:sz w:val="20"/>
        </w:rPr>
        <w:t>Rules </w:t>
      </w:r>
      <w:r>
        <w:rPr>
          <w:sz w:val="20"/>
        </w:rPr>
        <w:t>in this jurisdiction.</w:t>
      </w:r>
    </w:p>
    <w:p>
      <w:pPr>
        <w:pStyle w:val="BodyText"/>
        <w:ind w:left="1352" w:right="415" w:firstLine="0"/>
        <w:jc w:val="left"/>
      </w:pPr>
      <w:r>
        <w:rPr/>
        <w:t>For the purposes of clause 5.3A.8(g), the following information must be included in the detailed response:</w:t>
      </w:r>
    </w:p>
    <w:p>
      <w:pPr>
        <w:pStyle w:val="ListParagraph"/>
        <w:numPr>
          <w:ilvl w:val="0"/>
          <w:numId w:val="331"/>
        </w:numPr>
        <w:tabs>
          <w:tab w:pos="1918" w:val="left" w:leader="none"/>
          <w:tab w:pos="1919" w:val="left" w:leader="none"/>
        </w:tabs>
        <w:spacing w:line="240" w:lineRule="auto" w:before="120" w:after="0"/>
        <w:ind w:left="1919" w:right="416" w:hanging="567"/>
        <w:jc w:val="left"/>
        <w:rPr>
          <w:sz w:val="24"/>
        </w:rPr>
      </w:pPr>
      <w:r>
        <w:rPr>
          <w:sz w:val="24"/>
        </w:rPr>
        <w:t>the contact details for the relevant point of contact within the </w:t>
      </w:r>
      <w:r>
        <w:rPr>
          <w:i/>
          <w:sz w:val="24"/>
        </w:rPr>
        <w:t>Distribution </w:t>
      </w:r>
      <w:r>
        <w:rPr>
          <w:i/>
          <w:sz w:val="24"/>
        </w:rPr>
        <w:t>Network Service Provider </w:t>
      </w:r>
      <w:r>
        <w:rPr>
          <w:sz w:val="24"/>
        </w:rPr>
        <w:t>who will manage the </w:t>
      </w:r>
      <w:r>
        <w:rPr>
          <w:i/>
          <w:sz w:val="24"/>
        </w:rPr>
        <w:t>application to</w:t>
      </w:r>
      <w:r>
        <w:rPr>
          <w:i/>
          <w:spacing w:val="-7"/>
          <w:sz w:val="24"/>
        </w:rPr>
        <w:t> </w:t>
      </w:r>
      <w:r>
        <w:rPr>
          <w:i/>
          <w:sz w:val="24"/>
        </w:rPr>
        <w:t>connect</w:t>
      </w:r>
      <w:r>
        <w:rPr>
          <w:sz w:val="24"/>
        </w:rPr>
        <w:t>;</w:t>
      </w:r>
    </w:p>
    <w:p>
      <w:pPr>
        <w:pStyle w:val="ListParagraph"/>
        <w:numPr>
          <w:ilvl w:val="0"/>
          <w:numId w:val="331"/>
        </w:numPr>
        <w:tabs>
          <w:tab w:pos="1918" w:val="left" w:leader="none"/>
          <w:tab w:pos="1919" w:val="left" w:leader="none"/>
        </w:tabs>
        <w:spacing w:line="240" w:lineRule="auto" w:before="120" w:after="0"/>
        <w:ind w:left="1918" w:right="0" w:hanging="567"/>
        <w:jc w:val="left"/>
        <w:rPr>
          <w:i/>
          <w:sz w:val="24"/>
        </w:rPr>
      </w:pPr>
      <w:r>
        <w:rPr>
          <w:sz w:val="24"/>
        </w:rPr>
        <w:t>written</w:t>
      </w:r>
      <w:r>
        <w:rPr>
          <w:spacing w:val="-1"/>
          <w:sz w:val="24"/>
        </w:rPr>
        <w:t> </w:t>
      </w:r>
      <w:r>
        <w:rPr>
          <w:sz w:val="24"/>
        </w:rPr>
        <w:t>details</w:t>
      </w:r>
      <w:r>
        <w:rPr>
          <w:spacing w:val="19"/>
          <w:sz w:val="24"/>
        </w:rPr>
        <w:t> </w:t>
      </w:r>
      <w:r>
        <w:rPr>
          <w:sz w:val="24"/>
        </w:rPr>
        <w:t>of</w:t>
      </w:r>
      <w:r>
        <w:rPr>
          <w:spacing w:val="18"/>
          <w:sz w:val="24"/>
        </w:rPr>
        <w:t> </w:t>
      </w:r>
      <w:r>
        <w:rPr>
          <w:sz w:val="24"/>
        </w:rPr>
        <w:t>each</w:t>
      </w:r>
      <w:r>
        <w:rPr>
          <w:spacing w:val="19"/>
          <w:sz w:val="24"/>
        </w:rPr>
        <w:t> </w:t>
      </w:r>
      <w:r>
        <w:rPr>
          <w:sz w:val="24"/>
        </w:rPr>
        <w:t>technical</w:t>
      </w:r>
      <w:r>
        <w:rPr>
          <w:spacing w:val="19"/>
          <w:sz w:val="24"/>
        </w:rPr>
        <w:t> </w:t>
      </w:r>
      <w:r>
        <w:rPr>
          <w:sz w:val="24"/>
        </w:rPr>
        <w:t>requirement</w:t>
      </w:r>
      <w:r>
        <w:rPr>
          <w:spacing w:val="17"/>
          <w:sz w:val="24"/>
        </w:rPr>
        <w:t> </w:t>
      </w:r>
      <w:r>
        <w:rPr>
          <w:sz w:val="24"/>
        </w:rPr>
        <w:t>relevant</w:t>
      </w:r>
      <w:r>
        <w:rPr>
          <w:spacing w:val="19"/>
          <w:sz w:val="24"/>
        </w:rPr>
        <w:t> </w:t>
      </w:r>
      <w:r>
        <w:rPr>
          <w:sz w:val="24"/>
        </w:rPr>
        <w:t>to</w:t>
      </w:r>
      <w:r>
        <w:rPr>
          <w:spacing w:val="18"/>
          <w:sz w:val="24"/>
        </w:rPr>
        <w:t> </w:t>
      </w:r>
      <w:r>
        <w:rPr>
          <w:sz w:val="24"/>
        </w:rPr>
        <w:t>the</w:t>
      </w:r>
      <w:r>
        <w:rPr>
          <w:spacing w:val="19"/>
          <w:sz w:val="24"/>
        </w:rPr>
        <w:t> </w:t>
      </w:r>
      <w:r>
        <w:rPr>
          <w:sz w:val="24"/>
        </w:rPr>
        <w:t>proposed</w:t>
      </w:r>
      <w:r>
        <w:rPr>
          <w:spacing w:val="19"/>
          <w:sz w:val="24"/>
        </w:rPr>
        <w:t> </w:t>
      </w:r>
      <w:r>
        <w:rPr>
          <w:i/>
          <w:sz w:val="24"/>
        </w:rPr>
        <w:t>plant</w:t>
      </w:r>
    </w:p>
    <w:p>
      <w:pPr>
        <w:spacing w:before="0"/>
        <w:ind w:left="1919" w:right="0" w:firstLine="0"/>
        <w:jc w:val="left"/>
        <w:rPr>
          <w:sz w:val="24"/>
        </w:rPr>
      </w:pPr>
      <w:r>
        <w:rPr>
          <w:sz w:val="24"/>
        </w:rPr>
        <w:t>under </w:t>
      </w:r>
      <w:r>
        <w:rPr>
          <w:i/>
          <w:sz w:val="24"/>
        </w:rPr>
        <w:t>jurisdictional electricity legislation</w:t>
      </w:r>
      <w:r>
        <w:rPr>
          <w:sz w:val="24"/>
        </w:rPr>
        <w:t>;</w:t>
      </w:r>
    </w:p>
    <w:p>
      <w:pPr>
        <w:pStyle w:val="ListParagraph"/>
        <w:numPr>
          <w:ilvl w:val="0"/>
          <w:numId w:val="331"/>
        </w:numPr>
        <w:tabs>
          <w:tab w:pos="1918" w:val="left" w:leader="none"/>
          <w:tab w:pos="1919" w:val="left" w:leader="none"/>
        </w:tabs>
        <w:spacing w:line="240" w:lineRule="auto" w:before="120" w:after="0"/>
        <w:ind w:left="1918" w:right="0" w:hanging="567"/>
        <w:jc w:val="left"/>
        <w:rPr>
          <w:i/>
          <w:sz w:val="24"/>
        </w:rPr>
      </w:pPr>
      <w:r>
        <w:rPr>
          <w:sz w:val="24"/>
        </w:rPr>
        <w:t>details</w:t>
      </w:r>
      <w:r>
        <w:rPr>
          <w:spacing w:val="14"/>
          <w:sz w:val="24"/>
        </w:rPr>
        <w:t> </w:t>
      </w:r>
      <w:r>
        <w:rPr>
          <w:sz w:val="24"/>
        </w:rPr>
        <w:t>of</w:t>
      </w:r>
      <w:r>
        <w:rPr>
          <w:spacing w:val="15"/>
          <w:sz w:val="24"/>
        </w:rPr>
        <w:t> </w:t>
      </w:r>
      <w:r>
        <w:rPr>
          <w:sz w:val="24"/>
        </w:rPr>
        <w:t>the</w:t>
      </w:r>
      <w:r>
        <w:rPr>
          <w:spacing w:val="15"/>
          <w:sz w:val="24"/>
        </w:rPr>
        <w:t> </w:t>
      </w:r>
      <w:r>
        <w:rPr>
          <w:i/>
          <w:sz w:val="24"/>
        </w:rPr>
        <w:t>connection</w:t>
      </w:r>
      <w:r>
        <w:rPr>
          <w:i/>
          <w:spacing w:val="15"/>
          <w:sz w:val="24"/>
        </w:rPr>
        <w:t> </w:t>
      </w:r>
      <w:r>
        <w:rPr>
          <w:sz w:val="24"/>
        </w:rPr>
        <w:t>requirements</w:t>
      </w:r>
      <w:r>
        <w:rPr>
          <w:spacing w:val="14"/>
          <w:sz w:val="24"/>
        </w:rPr>
        <w:t> </w:t>
      </w:r>
      <w:r>
        <w:rPr>
          <w:sz w:val="24"/>
        </w:rPr>
        <w:t>based</w:t>
      </w:r>
      <w:r>
        <w:rPr>
          <w:spacing w:val="15"/>
          <w:sz w:val="24"/>
        </w:rPr>
        <w:t> </w:t>
      </w:r>
      <w:r>
        <w:rPr>
          <w:sz w:val="24"/>
        </w:rPr>
        <w:t>on</w:t>
      </w:r>
      <w:r>
        <w:rPr>
          <w:spacing w:val="15"/>
          <w:sz w:val="24"/>
        </w:rPr>
        <w:t> </w:t>
      </w:r>
      <w:r>
        <w:rPr>
          <w:sz w:val="24"/>
        </w:rPr>
        <w:t>the</w:t>
      </w:r>
      <w:r>
        <w:rPr>
          <w:spacing w:val="15"/>
          <w:sz w:val="24"/>
        </w:rPr>
        <w:t> </w:t>
      </w:r>
      <w:r>
        <w:rPr>
          <w:i/>
          <w:sz w:val="24"/>
        </w:rPr>
        <w:t>Connection</w:t>
      </w:r>
      <w:r>
        <w:rPr>
          <w:i/>
          <w:spacing w:val="15"/>
          <w:sz w:val="24"/>
        </w:rPr>
        <w:t> </w:t>
      </w:r>
      <w:r>
        <w:rPr>
          <w:i/>
          <w:sz w:val="24"/>
        </w:rPr>
        <w:t>Applicant's</w:t>
      </w:r>
    </w:p>
    <w:p>
      <w:pPr>
        <w:spacing w:before="0"/>
        <w:ind w:left="1919" w:right="0" w:firstLine="0"/>
        <w:jc w:val="left"/>
        <w:rPr>
          <w:sz w:val="24"/>
        </w:rPr>
      </w:pPr>
      <w:r>
        <w:rPr>
          <w:sz w:val="24"/>
        </w:rPr>
        <w:t>specifications of the </w:t>
      </w:r>
      <w:r>
        <w:rPr>
          <w:i/>
          <w:sz w:val="24"/>
        </w:rPr>
        <w:t>facility </w:t>
      </w:r>
      <w:r>
        <w:rPr>
          <w:sz w:val="24"/>
        </w:rPr>
        <w:t>to be </w:t>
      </w:r>
      <w:r>
        <w:rPr>
          <w:i/>
          <w:sz w:val="24"/>
        </w:rPr>
        <w:t>connected</w:t>
      </w:r>
      <w:r>
        <w:rPr>
          <w:sz w:val="24"/>
        </w:rPr>
        <w:t>;</w:t>
      </w:r>
    </w:p>
    <w:p>
      <w:pPr>
        <w:spacing w:after="0"/>
        <w:jc w:val="left"/>
        <w:rPr>
          <w:sz w:val="24"/>
        </w:rPr>
        <w:sectPr>
          <w:pgSz w:w="11910" w:h="16840"/>
          <w:pgMar w:header="686" w:footer="637" w:top="1320" w:bottom="820" w:left="1200" w:right="1000"/>
        </w:sectPr>
      </w:pPr>
    </w:p>
    <w:p>
      <w:pPr>
        <w:pStyle w:val="ListParagraph"/>
        <w:numPr>
          <w:ilvl w:val="0"/>
          <w:numId w:val="331"/>
        </w:numPr>
        <w:tabs>
          <w:tab w:pos="1919" w:val="left" w:leader="none"/>
        </w:tabs>
        <w:spacing w:line="240" w:lineRule="auto" w:before="83" w:after="0"/>
        <w:ind w:left="1919" w:right="414" w:hanging="567"/>
        <w:jc w:val="both"/>
        <w:rPr>
          <w:sz w:val="24"/>
        </w:rPr>
      </w:pPr>
      <w:r>
        <w:rPr>
          <w:sz w:val="24"/>
        </w:rPr>
        <w:t>details of the level and standard of service of </w:t>
      </w:r>
      <w:r>
        <w:rPr>
          <w:i/>
          <w:sz w:val="24"/>
        </w:rPr>
        <w:t>power transfer capability </w:t>
      </w:r>
      <w:r>
        <w:rPr>
          <w:sz w:val="24"/>
        </w:rPr>
        <w:t>that the </w:t>
      </w:r>
      <w:r>
        <w:rPr>
          <w:i/>
          <w:sz w:val="24"/>
        </w:rPr>
        <w:t>Distribution Network Service Provider</w:t>
      </w:r>
      <w:r>
        <w:rPr>
          <w:sz w:val="24"/>
        </w:rPr>
        <w:t>, with reasonable endeavours, considers the </w:t>
      </w:r>
      <w:r>
        <w:rPr>
          <w:i/>
          <w:sz w:val="24"/>
        </w:rPr>
        <w:t>network </w:t>
      </w:r>
      <w:r>
        <w:rPr>
          <w:sz w:val="24"/>
        </w:rPr>
        <w:t>provides at the location of the </w:t>
      </w:r>
      <w:r>
        <w:rPr>
          <w:i/>
          <w:sz w:val="24"/>
        </w:rPr>
        <w:t>connection point </w:t>
      </w:r>
      <w:r>
        <w:rPr>
          <w:spacing w:val="-6"/>
          <w:sz w:val="24"/>
        </w:rPr>
        <w:t>or </w:t>
      </w:r>
      <w:r>
        <w:rPr>
          <w:i/>
          <w:sz w:val="24"/>
        </w:rPr>
        <w:t>connection points</w:t>
      </w:r>
      <w:r>
        <w:rPr>
          <w:sz w:val="24"/>
        </w:rPr>
        <w:t>, if options have been made available under clause S5.4A(n);</w:t>
      </w:r>
    </w:p>
    <w:p>
      <w:pPr>
        <w:pStyle w:val="ListParagraph"/>
        <w:numPr>
          <w:ilvl w:val="0"/>
          <w:numId w:val="331"/>
        </w:numPr>
        <w:tabs>
          <w:tab w:pos="1919" w:val="left" w:leader="none"/>
        </w:tabs>
        <w:spacing w:line="240" w:lineRule="auto" w:before="120" w:after="0"/>
        <w:ind w:left="1919" w:right="415" w:hanging="567"/>
        <w:jc w:val="both"/>
        <w:rPr>
          <w:sz w:val="24"/>
        </w:rPr>
      </w:pPr>
      <w:r>
        <w:rPr>
          <w:i/>
          <w:sz w:val="24"/>
        </w:rPr>
        <w:t>negotiated access standards </w:t>
      </w:r>
      <w:r>
        <w:rPr>
          <w:sz w:val="24"/>
        </w:rPr>
        <w:t>that will require </w:t>
      </w:r>
      <w:r>
        <w:rPr>
          <w:i/>
          <w:sz w:val="24"/>
        </w:rPr>
        <w:t>AEMO's </w:t>
      </w:r>
      <w:r>
        <w:rPr>
          <w:sz w:val="24"/>
        </w:rPr>
        <w:t>involvement in accordance with clause</w:t>
      </w:r>
      <w:r>
        <w:rPr>
          <w:spacing w:val="-3"/>
          <w:sz w:val="24"/>
        </w:rPr>
        <w:t> </w:t>
      </w:r>
      <w:r>
        <w:rPr>
          <w:sz w:val="24"/>
        </w:rPr>
        <w:t>5.3.4A(c);</w:t>
      </w:r>
    </w:p>
    <w:p>
      <w:pPr>
        <w:pStyle w:val="BodyText"/>
        <w:ind w:left="1352" w:firstLine="0"/>
      </w:pPr>
      <w:r>
        <w:rPr/>
        <w:t>(e1) written details of:</w:t>
      </w:r>
    </w:p>
    <w:p>
      <w:pPr>
        <w:pStyle w:val="ListParagraph"/>
        <w:numPr>
          <w:ilvl w:val="1"/>
          <w:numId w:val="331"/>
        </w:numPr>
        <w:tabs>
          <w:tab w:pos="2486" w:val="left" w:leader="none"/>
        </w:tabs>
        <w:spacing w:line="240" w:lineRule="auto" w:before="120" w:after="0"/>
        <w:ind w:left="2485" w:right="0" w:hanging="567"/>
        <w:jc w:val="both"/>
        <w:rPr>
          <w:sz w:val="24"/>
        </w:rPr>
      </w:pPr>
      <w:r>
        <w:rPr>
          <w:sz w:val="24"/>
        </w:rPr>
        <w:t>the minimum </w:t>
      </w:r>
      <w:r>
        <w:rPr>
          <w:i/>
          <w:sz w:val="24"/>
        </w:rPr>
        <w:t>three phase fault level </w:t>
      </w:r>
      <w:r>
        <w:rPr>
          <w:sz w:val="24"/>
        </w:rPr>
        <w:t>at the </w:t>
      </w:r>
      <w:r>
        <w:rPr>
          <w:i/>
          <w:sz w:val="24"/>
        </w:rPr>
        <w:t>connection point</w:t>
      </w:r>
      <w:r>
        <w:rPr>
          <w:sz w:val="24"/>
        </w:rPr>
        <w:t>;</w:t>
      </w:r>
      <w:r>
        <w:rPr>
          <w:spacing w:val="-3"/>
          <w:sz w:val="24"/>
        </w:rPr>
        <w:t> </w:t>
      </w:r>
      <w:r>
        <w:rPr>
          <w:sz w:val="24"/>
        </w:rPr>
        <w:t>and</w:t>
      </w:r>
    </w:p>
    <w:p>
      <w:pPr>
        <w:pStyle w:val="ListParagraph"/>
        <w:numPr>
          <w:ilvl w:val="1"/>
          <w:numId w:val="331"/>
        </w:numPr>
        <w:tabs>
          <w:tab w:pos="2486" w:val="left" w:leader="none"/>
        </w:tabs>
        <w:spacing w:line="240" w:lineRule="auto" w:before="120" w:after="0"/>
        <w:ind w:left="2486" w:right="414" w:hanging="567"/>
        <w:jc w:val="both"/>
        <w:rPr>
          <w:sz w:val="24"/>
        </w:rPr>
      </w:pPr>
      <w:r>
        <w:rPr>
          <w:sz w:val="24"/>
        </w:rPr>
        <w:t>the results of the </w:t>
      </w:r>
      <w:r>
        <w:rPr>
          <w:i/>
          <w:sz w:val="24"/>
        </w:rPr>
        <w:t>Network Service Provider's </w:t>
      </w:r>
      <w:r>
        <w:rPr>
          <w:sz w:val="24"/>
        </w:rPr>
        <w:t>preliminary assessment of the impact of the new </w:t>
      </w:r>
      <w:r>
        <w:rPr>
          <w:i/>
          <w:sz w:val="24"/>
        </w:rPr>
        <w:t>connection </w:t>
      </w:r>
      <w:r>
        <w:rPr>
          <w:sz w:val="24"/>
        </w:rPr>
        <w:t>undertaken in accordance with  the </w:t>
      </w:r>
      <w:r>
        <w:rPr>
          <w:i/>
          <w:sz w:val="24"/>
        </w:rPr>
        <w:t>system strength impact assessment guidelines </w:t>
      </w:r>
      <w:r>
        <w:rPr>
          <w:sz w:val="24"/>
        </w:rPr>
        <w:t>and clause</w:t>
      </w:r>
      <w:r>
        <w:rPr>
          <w:spacing w:val="-13"/>
          <w:sz w:val="24"/>
        </w:rPr>
        <w:t> </w:t>
      </w:r>
      <w:r>
        <w:rPr>
          <w:sz w:val="24"/>
        </w:rPr>
        <w:t>5.3.4B;</w:t>
      </w:r>
    </w:p>
    <w:p>
      <w:pPr>
        <w:pStyle w:val="ListParagraph"/>
        <w:numPr>
          <w:ilvl w:val="0"/>
          <w:numId w:val="331"/>
        </w:numPr>
        <w:tabs>
          <w:tab w:pos="1920" w:val="left" w:leader="none"/>
        </w:tabs>
        <w:spacing w:line="240" w:lineRule="auto" w:before="120" w:after="0"/>
        <w:ind w:left="1919" w:right="415" w:hanging="567"/>
        <w:jc w:val="both"/>
        <w:rPr>
          <w:sz w:val="24"/>
        </w:rPr>
      </w:pPr>
      <w:r>
        <w:rPr>
          <w:sz w:val="24"/>
        </w:rPr>
        <w:t>a list of the technical data to be included with the </w:t>
      </w:r>
      <w:r>
        <w:rPr>
          <w:i/>
          <w:sz w:val="24"/>
        </w:rPr>
        <w:t>application to connect</w:t>
      </w:r>
      <w:r>
        <w:rPr>
          <w:sz w:val="24"/>
        </w:rPr>
        <w:t>, which may vary depending on the </w:t>
      </w:r>
      <w:r>
        <w:rPr>
          <w:i/>
          <w:sz w:val="24"/>
        </w:rPr>
        <w:t>connection </w:t>
      </w:r>
      <w:r>
        <w:rPr>
          <w:sz w:val="24"/>
        </w:rPr>
        <w:t>requirements and the type, rating and location of the </w:t>
      </w:r>
      <w:r>
        <w:rPr>
          <w:i/>
          <w:sz w:val="24"/>
        </w:rPr>
        <w:t>facility </w:t>
      </w:r>
      <w:r>
        <w:rPr>
          <w:sz w:val="24"/>
        </w:rPr>
        <w:t>to be </w:t>
      </w:r>
      <w:r>
        <w:rPr>
          <w:i/>
          <w:sz w:val="24"/>
        </w:rPr>
        <w:t>connected</w:t>
      </w:r>
      <w:r>
        <w:rPr>
          <w:sz w:val="24"/>
        </w:rPr>
        <w:t>. The list provided under this paragraph (f) will generally be in the nature of the information set out in schedule 5.5 but may be varied by the </w:t>
      </w:r>
      <w:r>
        <w:rPr>
          <w:i/>
          <w:sz w:val="24"/>
        </w:rPr>
        <w:t>Distribution Network Service </w:t>
      </w:r>
      <w:r>
        <w:rPr>
          <w:i/>
          <w:sz w:val="24"/>
        </w:rPr>
        <w:t>Provider </w:t>
      </w:r>
      <w:r>
        <w:rPr>
          <w:sz w:val="24"/>
        </w:rPr>
        <w:t>as appropriate to suit the size and complexity of the proposed </w:t>
      </w:r>
      <w:r>
        <w:rPr>
          <w:i/>
          <w:sz w:val="24"/>
        </w:rPr>
        <w:t>facility </w:t>
      </w:r>
      <w:r>
        <w:rPr>
          <w:sz w:val="24"/>
        </w:rPr>
        <w:t>to be</w:t>
      </w:r>
      <w:r>
        <w:rPr>
          <w:spacing w:val="-1"/>
          <w:sz w:val="24"/>
        </w:rPr>
        <w:t> </w:t>
      </w:r>
      <w:r>
        <w:rPr>
          <w:i/>
          <w:sz w:val="24"/>
        </w:rPr>
        <w:t>connected</w:t>
      </w:r>
      <w:r>
        <w:rPr>
          <w:sz w:val="24"/>
        </w:rPr>
        <w:t>;</w:t>
      </w:r>
    </w:p>
    <w:p>
      <w:pPr>
        <w:pStyle w:val="ListParagraph"/>
        <w:numPr>
          <w:ilvl w:val="0"/>
          <w:numId w:val="331"/>
        </w:numPr>
        <w:tabs>
          <w:tab w:pos="1919" w:val="left" w:leader="none"/>
        </w:tabs>
        <w:spacing w:line="240" w:lineRule="auto" w:before="120" w:after="0"/>
        <w:ind w:left="1919" w:right="414" w:hanging="567"/>
        <w:jc w:val="both"/>
        <w:rPr>
          <w:sz w:val="24"/>
        </w:rPr>
      </w:pPr>
      <w:r>
        <w:rPr>
          <w:sz w:val="24"/>
        </w:rPr>
        <w:t>commercial information to be supplied by the </w:t>
      </w:r>
      <w:r>
        <w:rPr>
          <w:i/>
          <w:sz w:val="24"/>
        </w:rPr>
        <w:t>Connection Applicant </w:t>
      </w:r>
      <w:r>
        <w:rPr>
          <w:sz w:val="24"/>
        </w:rPr>
        <w:t>to allow a </w:t>
      </w:r>
      <w:r>
        <w:rPr>
          <w:i/>
          <w:sz w:val="24"/>
        </w:rPr>
        <w:t>Network Service Provider </w:t>
      </w:r>
      <w:r>
        <w:rPr>
          <w:sz w:val="24"/>
        </w:rPr>
        <w:t>(as is relevant) to make an assessment of the ability of the </w:t>
      </w:r>
      <w:r>
        <w:rPr>
          <w:i/>
          <w:sz w:val="24"/>
        </w:rPr>
        <w:t>Connection Applicant </w:t>
      </w:r>
      <w:r>
        <w:rPr>
          <w:sz w:val="24"/>
        </w:rPr>
        <w:t>to satisfy the prudential  requirements set out in rule</w:t>
      </w:r>
      <w:r>
        <w:rPr>
          <w:spacing w:val="-3"/>
          <w:sz w:val="24"/>
        </w:rPr>
        <w:t> </w:t>
      </w:r>
      <w:r>
        <w:rPr>
          <w:sz w:val="24"/>
        </w:rPr>
        <w:t>6.21;</w:t>
      </w:r>
    </w:p>
    <w:p>
      <w:pPr>
        <w:pStyle w:val="ListParagraph"/>
        <w:numPr>
          <w:ilvl w:val="0"/>
          <w:numId w:val="331"/>
        </w:numPr>
        <w:tabs>
          <w:tab w:pos="1919" w:val="left" w:leader="none"/>
        </w:tabs>
        <w:spacing w:line="240" w:lineRule="auto" w:before="120" w:after="0"/>
        <w:ind w:left="1919" w:right="415" w:hanging="567"/>
        <w:jc w:val="both"/>
        <w:rPr>
          <w:sz w:val="24"/>
        </w:rPr>
      </w:pPr>
      <w:r>
        <w:rPr>
          <w:sz w:val="24"/>
        </w:rPr>
        <w:t>so far as is relevant, and in relation to services that the </w:t>
      </w:r>
      <w:r>
        <w:rPr>
          <w:i/>
          <w:sz w:val="24"/>
        </w:rPr>
        <w:t>Distribution Network </w:t>
      </w:r>
      <w:r>
        <w:rPr>
          <w:i/>
          <w:sz w:val="24"/>
        </w:rPr>
        <w:t>Service Provider </w:t>
      </w:r>
      <w:r>
        <w:rPr>
          <w:sz w:val="24"/>
        </w:rPr>
        <w:t>intends to provide, an itemised estimate of </w:t>
      </w:r>
      <w:r>
        <w:rPr>
          <w:i/>
          <w:sz w:val="24"/>
        </w:rPr>
        <w:t>connection </w:t>
      </w:r>
      <w:r>
        <w:rPr>
          <w:sz w:val="24"/>
        </w:rPr>
        <w:t>costs</w:t>
      </w:r>
      <w:r>
        <w:rPr>
          <w:spacing w:val="-1"/>
          <w:sz w:val="24"/>
        </w:rPr>
        <w:t> </w:t>
      </w:r>
      <w:r>
        <w:rPr>
          <w:sz w:val="24"/>
        </w:rPr>
        <w:t>including:</w:t>
      </w:r>
    </w:p>
    <w:p>
      <w:pPr>
        <w:pStyle w:val="ListParagraph"/>
        <w:numPr>
          <w:ilvl w:val="1"/>
          <w:numId w:val="331"/>
        </w:numPr>
        <w:tabs>
          <w:tab w:pos="2486" w:val="left" w:leader="none"/>
        </w:tabs>
        <w:spacing w:line="240" w:lineRule="auto" w:before="120" w:after="0"/>
        <w:ind w:left="2485" w:right="0" w:hanging="567"/>
        <w:jc w:val="both"/>
        <w:rPr>
          <w:sz w:val="24"/>
        </w:rPr>
      </w:pPr>
      <w:r>
        <w:rPr>
          <w:i/>
          <w:sz w:val="24"/>
        </w:rPr>
        <w:t>connection services</w:t>
      </w:r>
      <w:r>
        <w:rPr>
          <w:i/>
          <w:spacing w:val="-1"/>
          <w:sz w:val="24"/>
        </w:rPr>
        <w:t> </w:t>
      </w:r>
      <w:r>
        <w:rPr>
          <w:sz w:val="24"/>
        </w:rPr>
        <w:t>charges;</w:t>
      </w:r>
    </w:p>
    <w:p>
      <w:pPr>
        <w:pStyle w:val="ListParagraph"/>
        <w:numPr>
          <w:ilvl w:val="1"/>
          <w:numId w:val="331"/>
        </w:numPr>
        <w:tabs>
          <w:tab w:pos="2486" w:val="left" w:leader="none"/>
        </w:tabs>
        <w:spacing w:line="240" w:lineRule="auto" w:before="120" w:after="0"/>
        <w:ind w:left="2485" w:right="0" w:hanging="567"/>
        <w:jc w:val="both"/>
        <w:rPr>
          <w:sz w:val="24"/>
        </w:rPr>
      </w:pPr>
      <w:r>
        <w:rPr>
          <w:sz w:val="24"/>
        </w:rPr>
        <w:t>costs</w:t>
      </w:r>
      <w:r>
        <w:rPr>
          <w:spacing w:val="10"/>
          <w:sz w:val="24"/>
        </w:rPr>
        <w:t> </w:t>
      </w:r>
      <w:r>
        <w:rPr>
          <w:sz w:val="24"/>
        </w:rPr>
        <w:t>associated</w:t>
      </w:r>
      <w:r>
        <w:rPr>
          <w:spacing w:val="10"/>
          <w:sz w:val="24"/>
        </w:rPr>
        <w:t> </w:t>
      </w:r>
      <w:r>
        <w:rPr>
          <w:sz w:val="24"/>
        </w:rPr>
        <w:t>with</w:t>
      </w:r>
      <w:r>
        <w:rPr>
          <w:spacing w:val="10"/>
          <w:sz w:val="24"/>
        </w:rPr>
        <w:t> </w:t>
      </w:r>
      <w:r>
        <w:rPr>
          <w:sz w:val="24"/>
        </w:rPr>
        <w:t>the</w:t>
      </w:r>
      <w:r>
        <w:rPr>
          <w:spacing w:val="11"/>
          <w:sz w:val="24"/>
        </w:rPr>
        <w:t> </w:t>
      </w:r>
      <w:r>
        <w:rPr>
          <w:sz w:val="24"/>
        </w:rPr>
        <w:t>proposed</w:t>
      </w:r>
      <w:r>
        <w:rPr>
          <w:spacing w:val="10"/>
          <w:sz w:val="24"/>
        </w:rPr>
        <w:t> </w:t>
      </w:r>
      <w:r>
        <w:rPr>
          <w:i/>
          <w:sz w:val="24"/>
        </w:rPr>
        <w:t>metering</w:t>
      </w:r>
      <w:r>
        <w:rPr>
          <w:i/>
          <w:spacing w:val="10"/>
          <w:sz w:val="24"/>
        </w:rPr>
        <w:t> </w:t>
      </w:r>
      <w:r>
        <w:rPr>
          <w:sz w:val="24"/>
        </w:rPr>
        <w:t>requirements</w:t>
      </w:r>
      <w:r>
        <w:rPr>
          <w:spacing w:val="11"/>
          <w:sz w:val="24"/>
        </w:rPr>
        <w:t> </w:t>
      </w:r>
      <w:r>
        <w:rPr>
          <w:sz w:val="24"/>
        </w:rPr>
        <w:t>for</w:t>
      </w:r>
      <w:r>
        <w:rPr>
          <w:spacing w:val="10"/>
          <w:sz w:val="24"/>
        </w:rPr>
        <w:t> </w:t>
      </w:r>
      <w:r>
        <w:rPr>
          <w:sz w:val="24"/>
        </w:rPr>
        <w:t>the</w:t>
      </w:r>
    </w:p>
    <w:p>
      <w:pPr>
        <w:spacing w:before="0"/>
        <w:ind w:left="2486" w:right="0" w:firstLine="0"/>
        <w:jc w:val="left"/>
        <w:rPr>
          <w:sz w:val="24"/>
        </w:rPr>
      </w:pPr>
      <w:r>
        <w:rPr>
          <w:i/>
          <w:sz w:val="24"/>
        </w:rPr>
        <w:t>connection</w:t>
      </w:r>
      <w:r>
        <w:rPr>
          <w:sz w:val="24"/>
        </w:rPr>
        <w:t>;</w:t>
      </w:r>
    </w:p>
    <w:p>
      <w:pPr>
        <w:pStyle w:val="ListParagraph"/>
        <w:numPr>
          <w:ilvl w:val="1"/>
          <w:numId w:val="331"/>
        </w:numPr>
        <w:tabs>
          <w:tab w:pos="2485" w:val="left" w:leader="none"/>
          <w:tab w:pos="2486" w:val="left" w:leader="none"/>
        </w:tabs>
        <w:spacing w:line="240" w:lineRule="auto" w:before="120" w:after="0"/>
        <w:ind w:left="2485" w:right="0" w:hanging="567"/>
        <w:jc w:val="left"/>
        <w:rPr>
          <w:sz w:val="24"/>
        </w:rPr>
      </w:pPr>
      <w:r>
        <w:rPr>
          <w:sz w:val="24"/>
        </w:rPr>
        <w:t>costs of any </w:t>
      </w:r>
      <w:r>
        <w:rPr>
          <w:i/>
          <w:sz w:val="24"/>
        </w:rPr>
        <w:t>network</w:t>
      </w:r>
      <w:r>
        <w:rPr>
          <w:i/>
          <w:spacing w:val="-2"/>
          <w:sz w:val="24"/>
        </w:rPr>
        <w:t> </w:t>
      </w:r>
      <w:r>
        <w:rPr>
          <w:i/>
          <w:sz w:val="24"/>
        </w:rPr>
        <w:t>extension</w:t>
      </w:r>
      <w:r>
        <w:rPr>
          <w:sz w:val="24"/>
        </w:rPr>
        <w:t>;</w:t>
      </w:r>
    </w:p>
    <w:p>
      <w:pPr>
        <w:pStyle w:val="ListParagraph"/>
        <w:numPr>
          <w:ilvl w:val="1"/>
          <w:numId w:val="331"/>
        </w:numPr>
        <w:tabs>
          <w:tab w:pos="2485" w:val="left" w:leader="none"/>
          <w:tab w:pos="2486" w:val="left" w:leader="none"/>
        </w:tabs>
        <w:spacing w:line="240" w:lineRule="auto" w:before="120" w:after="0"/>
        <w:ind w:left="2486" w:right="415" w:hanging="567"/>
        <w:jc w:val="left"/>
        <w:rPr>
          <w:sz w:val="24"/>
        </w:rPr>
      </w:pPr>
      <w:r>
        <w:rPr>
          <w:sz w:val="24"/>
        </w:rPr>
        <w:t>details of </w:t>
      </w:r>
      <w:r>
        <w:rPr>
          <w:i/>
          <w:sz w:val="24"/>
        </w:rPr>
        <w:t>augmentation </w:t>
      </w:r>
      <w:r>
        <w:rPr>
          <w:sz w:val="24"/>
        </w:rPr>
        <w:t>required to provide the </w:t>
      </w:r>
      <w:r>
        <w:rPr>
          <w:i/>
          <w:sz w:val="24"/>
        </w:rPr>
        <w:t>connection </w:t>
      </w:r>
      <w:r>
        <w:rPr>
          <w:sz w:val="24"/>
        </w:rPr>
        <w:t>and associated</w:t>
      </w:r>
      <w:r>
        <w:rPr>
          <w:spacing w:val="-1"/>
          <w:sz w:val="24"/>
        </w:rPr>
        <w:t> </w:t>
      </w:r>
      <w:r>
        <w:rPr>
          <w:sz w:val="24"/>
        </w:rPr>
        <w:t>costs;</w:t>
      </w:r>
    </w:p>
    <w:p>
      <w:pPr>
        <w:pStyle w:val="ListParagraph"/>
        <w:numPr>
          <w:ilvl w:val="1"/>
          <w:numId w:val="331"/>
        </w:numPr>
        <w:tabs>
          <w:tab w:pos="2485" w:val="left" w:leader="none"/>
          <w:tab w:pos="2486" w:val="left" w:leader="none"/>
        </w:tabs>
        <w:spacing w:line="240" w:lineRule="auto" w:before="120" w:after="0"/>
        <w:ind w:left="2485" w:right="0" w:hanging="567"/>
        <w:jc w:val="left"/>
        <w:rPr>
          <w:i/>
          <w:sz w:val="24"/>
        </w:rPr>
      </w:pPr>
      <w:r>
        <w:rPr>
          <w:sz w:val="24"/>
        </w:rPr>
        <w:t>details</w:t>
      </w:r>
      <w:r>
        <w:rPr>
          <w:spacing w:val="23"/>
          <w:sz w:val="24"/>
        </w:rPr>
        <w:t> </w:t>
      </w:r>
      <w:r>
        <w:rPr>
          <w:sz w:val="24"/>
        </w:rPr>
        <w:t>of</w:t>
      </w:r>
      <w:r>
        <w:rPr>
          <w:spacing w:val="25"/>
          <w:sz w:val="24"/>
        </w:rPr>
        <w:t> </w:t>
      </w:r>
      <w:r>
        <w:rPr>
          <w:sz w:val="24"/>
        </w:rPr>
        <w:t>the</w:t>
      </w:r>
      <w:r>
        <w:rPr>
          <w:spacing w:val="24"/>
          <w:sz w:val="24"/>
        </w:rPr>
        <w:t> </w:t>
      </w:r>
      <w:r>
        <w:rPr>
          <w:sz w:val="24"/>
        </w:rPr>
        <w:t>interface</w:t>
      </w:r>
      <w:r>
        <w:rPr>
          <w:spacing w:val="25"/>
          <w:sz w:val="24"/>
        </w:rPr>
        <w:t> </w:t>
      </w:r>
      <w:r>
        <w:rPr>
          <w:sz w:val="24"/>
        </w:rPr>
        <w:t>equipment</w:t>
      </w:r>
      <w:r>
        <w:rPr>
          <w:spacing w:val="24"/>
          <w:sz w:val="24"/>
        </w:rPr>
        <w:t> </w:t>
      </w:r>
      <w:r>
        <w:rPr>
          <w:sz w:val="24"/>
        </w:rPr>
        <w:t>required</w:t>
      </w:r>
      <w:r>
        <w:rPr>
          <w:spacing w:val="24"/>
          <w:sz w:val="24"/>
        </w:rPr>
        <w:t> </w:t>
      </w:r>
      <w:r>
        <w:rPr>
          <w:sz w:val="24"/>
        </w:rPr>
        <w:t>to</w:t>
      </w:r>
      <w:r>
        <w:rPr>
          <w:spacing w:val="25"/>
          <w:sz w:val="24"/>
        </w:rPr>
        <w:t> </w:t>
      </w:r>
      <w:r>
        <w:rPr>
          <w:sz w:val="24"/>
        </w:rPr>
        <w:t>provide</w:t>
      </w:r>
      <w:r>
        <w:rPr>
          <w:spacing w:val="24"/>
          <w:sz w:val="24"/>
        </w:rPr>
        <w:t> </w:t>
      </w:r>
      <w:r>
        <w:rPr>
          <w:sz w:val="24"/>
        </w:rPr>
        <w:t>the</w:t>
      </w:r>
      <w:r>
        <w:rPr>
          <w:spacing w:val="25"/>
          <w:sz w:val="24"/>
        </w:rPr>
        <w:t> </w:t>
      </w:r>
      <w:r>
        <w:rPr>
          <w:i/>
          <w:sz w:val="24"/>
        </w:rPr>
        <w:t>connection</w:t>
      </w:r>
    </w:p>
    <w:p>
      <w:pPr>
        <w:pStyle w:val="BodyText"/>
        <w:spacing w:before="0"/>
        <w:ind w:left="2486" w:firstLine="0"/>
        <w:jc w:val="left"/>
      </w:pPr>
      <w:r>
        <w:rPr/>
        <w:t>and associated costs;</w:t>
      </w:r>
    </w:p>
    <w:p>
      <w:pPr>
        <w:pStyle w:val="ListParagraph"/>
        <w:numPr>
          <w:ilvl w:val="1"/>
          <w:numId w:val="331"/>
        </w:numPr>
        <w:tabs>
          <w:tab w:pos="2485" w:val="left" w:leader="none"/>
          <w:tab w:pos="2486" w:val="left" w:leader="none"/>
        </w:tabs>
        <w:spacing w:line="240" w:lineRule="auto" w:before="120" w:after="0"/>
        <w:ind w:left="2486" w:right="415" w:hanging="567"/>
        <w:jc w:val="left"/>
        <w:rPr>
          <w:sz w:val="24"/>
        </w:rPr>
      </w:pPr>
      <w:r>
        <w:rPr>
          <w:sz w:val="24"/>
        </w:rPr>
        <w:t>details of any ongoing operation and maintenance costs and charges </w:t>
      </w:r>
      <w:r>
        <w:rPr>
          <w:spacing w:val="-7"/>
          <w:sz w:val="24"/>
        </w:rPr>
        <w:t>to </w:t>
      </w:r>
      <w:r>
        <w:rPr>
          <w:sz w:val="24"/>
        </w:rPr>
        <w:t>be undertaken by the </w:t>
      </w:r>
      <w:r>
        <w:rPr>
          <w:i/>
          <w:sz w:val="24"/>
        </w:rPr>
        <w:t>Distribution Network Service Provider</w:t>
      </w:r>
      <w:r>
        <w:rPr>
          <w:sz w:val="24"/>
        </w:rPr>
        <w:t>;</w:t>
      </w:r>
      <w:r>
        <w:rPr>
          <w:spacing w:val="-8"/>
          <w:sz w:val="24"/>
        </w:rPr>
        <w:t> </w:t>
      </w:r>
      <w:r>
        <w:rPr>
          <w:sz w:val="24"/>
        </w:rPr>
        <w:t>and</w:t>
      </w:r>
    </w:p>
    <w:p>
      <w:pPr>
        <w:pStyle w:val="ListParagraph"/>
        <w:numPr>
          <w:ilvl w:val="1"/>
          <w:numId w:val="331"/>
        </w:numPr>
        <w:tabs>
          <w:tab w:pos="2485" w:val="left" w:leader="none"/>
          <w:tab w:pos="2486" w:val="left" w:leader="none"/>
        </w:tabs>
        <w:spacing w:line="240" w:lineRule="auto" w:before="120" w:after="0"/>
        <w:ind w:left="2485" w:right="0" w:hanging="567"/>
        <w:jc w:val="left"/>
        <w:rPr>
          <w:sz w:val="24"/>
        </w:rPr>
      </w:pPr>
      <w:r>
        <w:rPr>
          <w:sz w:val="24"/>
        </w:rPr>
        <w:t>other incidental costs and their basis of</w:t>
      </w:r>
      <w:r>
        <w:rPr>
          <w:spacing w:val="-1"/>
          <w:sz w:val="24"/>
        </w:rPr>
        <w:t> </w:t>
      </w:r>
      <w:r>
        <w:rPr>
          <w:sz w:val="24"/>
        </w:rPr>
        <w:t>calculation;</w:t>
      </w:r>
    </w:p>
    <w:p>
      <w:pPr>
        <w:pStyle w:val="ListParagraph"/>
        <w:numPr>
          <w:ilvl w:val="0"/>
          <w:numId w:val="331"/>
        </w:numPr>
        <w:tabs>
          <w:tab w:pos="1919" w:val="left" w:leader="none"/>
        </w:tabs>
        <w:spacing w:line="240" w:lineRule="auto" w:before="120" w:after="0"/>
        <w:ind w:left="1919" w:right="414" w:hanging="567"/>
        <w:jc w:val="both"/>
        <w:rPr>
          <w:sz w:val="24"/>
        </w:rPr>
      </w:pPr>
      <w:r>
        <w:rPr>
          <w:sz w:val="24"/>
        </w:rPr>
        <w:t>an explanation of the factors affecting each component of the itemised estimate of </w:t>
      </w:r>
      <w:r>
        <w:rPr>
          <w:i/>
          <w:sz w:val="24"/>
        </w:rPr>
        <w:t>connection </w:t>
      </w:r>
      <w:r>
        <w:rPr>
          <w:sz w:val="24"/>
        </w:rPr>
        <w:t>costs and the further information that will be taken into account by the </w:t>
      </w:r>
      <w:r>
        <w:rPr>
          <w:i/>
          <w:sz w:val="24"/>
        </w:rPr>
        <w:t>Distribution Network Service Provider </w:t>
      </w:r>
      <w:r>
        <w:rPr>
          <w:sz w:val="24"/>
        </w:rPr>
        <w:t>in preparing the final itemised statement of </w:t>
      </w:r>
      <w:r>
        <w:rPr>
          <w:i/>
          <w:sz w:val="24"/>
        </w:rPr>
        <w:t>connection </w:t>
      </w:r>
      <w:r>
        <w:rPr>
          <w:sz w:val="24"/>
        </w:rPr>
        <w:t>costs to be provided under clause 5.3.6(b2)(1);</w:t>
      </w:r>
    </w:p>
    <w:p>
      <w:pPr>
        <w:spacing w:after="0" w:line="240" w:lineRule="auto"/>
        <w:jc w:val="both"/>
        <w:rPr>
          <w:sz w:val="24"/>
        </w:rPr>
        <w:sectPr>
          <w:pgSz w:w="11910" w:h="16840"/>
          <w:pgMar w:header="686" w:footer="637" w:top="1320" w:bottom="820" w:left="1200" w:right="1000"/>
        </w:sectPr>
      </w:pPr>
    </w:p>
    <w:p>
      <w:pPr>
        <w:pStyle w:val="ListParagraph"/>
        <w:numPr>
          <w:ilvl w:val="0"/>
          <w:numId w:val="331"/>
        </w:numPr>
        <w:tabs>
          <w:tab w:pos="1919" w:val="left" w:leader="none"/>
        </w:tabs>
        <w:spacing w:line="240" w:lineRule="auto" w:before="83" w:after="0"/>
        <w:ind w:left="1919" w:right="414" w:hanging="567"/>
        <w:jc w:val="both"/>
        <w:rPr>
          <w:sz w:val="24"/>
        </w:rPr>
      </w:pPr>
      <w:r>
        <w:rPr>
          <w:sz w:val="24"/>
        </w:rPr>
        <w:t>using reasonable endeavours, all risks and obligations in respect of the proposed </w:t>
      </w:r>
      <w:r>
        <w:rPr>
          <w:i/>
          <w:sz w:val="24"/>
        </w:rPr>
        <w:t>connection </w:t>
      </w:r>
      <w:r>
        <w:rPr>
          <w:sz w:val="24"/>
        </w:rPr>
        <w:t>associated with planning and environmental laws not contained in the</w:t>
      </w:r>
      <w:r>
        <w:rPr>
          <w:spacing w:val="-1"/>
          <w:sz w:val="24"/>
        </w:rPr>
        <w:t> </w:t>
      </w:r>
      <w:r>
        <w:rPr>
          <w:i/>
          <w:sz w:val="24"/>
        </w:rPr>
        <w:t>Rules</w:t>
      </w:r>
      <w:r>
        <w:rPr>
          <w:sz w:val="24"/>
        </w:rPr>
        <w:t>;</w:t>
      </w:r>
    </w:p>
    <w:p>
      <w:pPr>
        <w:pStyle w:val="ListParagraph"/>
        <w:numPr>
          <w:ilvl w:val="0"/>
          <w:numId w:val="331"/>
        </w:numPr>
        <w:tabs>
          <w:tab w:pos="1919" w:val="left" w:leader="none"/>
        </w:tabs>
        <w:spacing w:line="240" w:lineRule="auto" w:before="120" w:after="0"/>
        <w:ind w:left="1919" w:right="415" w:hanging="567"/>
        <w:jc w:val="both"/>
        <w:rPr>
          <w:sz w:val="24"/>
        </w:rPr>
      </w:pPr>
      <w:r>
        <w:rPr>
          <w:sz w:val="24"/>
        </w:rPr>
        <w:t>a draft </w:t>
      </w:r>
      <w:r>
        <w:rPr>
          <w:i/>
          <w:sz w:val="24"/>
        </w:rPr>
        <w:t>connection agreement </w:t>
      </w:r>
      <w:r>
        <w:rPr>
          <w:sz w:val="24"/>
        </w:rPr>
        <w:t>that contains the proposed terms </w:t>
      </w:r>
      <w:r>
        <w:rPr>
          <w:spacing w:val="-4"/>
          <w:sz w:val="24"/>
        </w:rPr>
        <w:t>and </w:t>
      </w:r>
      <w:r>
        <w:rPr>
          <w:sz w:val="24"/>
        </w:rPr>
        <w:t>conditions for </w:t>
      </w:r>
      <w:r>
        <w:rPr>
          <w:i/>
          <w:sz w:val="24"/>
        </w:rPr>
        <w:t>connection </w:t>
      </w:r>
      <w:r>
        <w:rPr>
          <w:sz w:val="24"/>
        </w:rPr>
        <w:t>to the </w:t>
      </w:r>
      <w:r>
        <w:rPr>
          <w:i/>
          <w:sz w:val="24"/>
        </w:rPr>
        <w:t>network </w:t>
      </w:r>
      <w:r>
        <w:rPr>
          <w:sz w:val="24"/>
        </w:rPr>
        <w:t>including those of the kind set out in schedule 5.6</w:t>
      </w:r>
      <w:r>
        <w:rPr>
          <w:spacing w:val="-2"/>
          <w:sz w:val="24"/>
        </w:rPr>
        <w:t> </w:t>
      </w:r>
      <w:r>
        <w:rPr>
          <w:sz w:val="24"/>
        </w:rPr>
        <w:t>and:</w:t>
      </w:r>
    </w:p>
    <w:p>
      <w:pPr>
        <w:pStyle w:val="ListParagraph"/>
        <w:numPr>
          <w:ilvl w:val="1"/>
          <w:numId w:val="331"/>
        </w:numPr>
        <w:tabs>
          <w:tab w:pos="2486" w:val="left" w:leader="none"/>
        </w:tabs>
        <w:spacing w:line="240" w:lineRule="auto" w:before="120" w:after="0"/>
        <w:ind w:left="2486" w:right="413" w:hanging="567"/>
        <w:jc w:val="both"/>
        <w:rPr>
          <w:sz w:val="24"/>
        </w:rPr>
      </w:pPr>
      <w:r>
        <w:rPr>
          <w:sz w:val="24"/>
        </w:rPr>
        <w:t>an explanation of the terms and conditions in the </w:t>
      </w:r>
      <w:r>
        <w:rPr>
          <w:i/>
          <w:sz w:val="24"/>
        </w:rPr>
        <w:t>connection </w:t>
      </w:r>
      <w:r>
        <w:rPr>
          <w:i/>
          <w:sz w:val="24"/>
        </w:rPr>
        <w:t>agreement </w:t>
      </w:r>
      <w:r>
        <w:rPr>
          <w:sz w:val="24"/>
        </w:rPr>
        <w:t>that need to be finalised;</w:t>
      </w:r>
      <w:r>
        <w:rPr>
          <w:spacing w:val="-1"/>
          <w:sz w:val="24"/>
        </w:rPr>
        <w:t> </w:t>
      </w:r>
      <w:r>
        <w:rPr>
          <w:sz w:val="24"/>
        </w:rPr>
        <w:t>and</w:t>
      </w:r>
    </w:p>
    <w:p>
      <w:pPr>
        <w:pStyle w:val="ListParagraph"/>
        <w:numPr>
          <w:ilvl w:val="1"/>
          <w:numId w:val="331"/>
        </w:numPr>
        <w:tabs>
          <w:tab w:pos="2486" w:val="left" w:leader="none"/>
        </w:tabs>
        <w:spacing w:line="240" w:lineRule="auto" w:before="120" w:after="0"/>
        <w:ind w:left="2486" w:right="415" w:hanging="567"/>
        <w:jc w:val="both"/>
        <w:rPr>
          <w:sz w:val="24"/>
        </w:rPr>
      </w:pPr>
      <w:r>
        <w:rPr>
          <w:sz w:val="24"/>
        </w:rPr>
        <w:t>if relevant, further information necessary from the </w:t>
      </w:r>
      <w:r>
        <w:rPr>
          <w:i/>
          <w:sz w:val="24"/>
        </w:rPr>
        <w:t>Connection </w:t>
      </w:r>
      <w:r>
        <w:rPr>
          <w:i/>
          <w:sz w:val="24"/>
        </w:rPr>
        <w:t>Applicant </w:t>
      </w:r>
      <w:r>
        <w:rPr>
          <w:sz w:val="24"/>
        </w:rPr>
        <w:t>to finalise the </w:t>
      </w:r>
      <w:r>
        <w:rPr>
          <w:i/>
          <w:sz w:val="24"/>
        </w:rPr>
        <w:t>connection</w:t>
      </w:r>
      <w:r>
        <w:rPr>
          <w:i/>
          <w:spacing w:val="-2"/>
          <w:sz w:val="24"/>
        </w:rPr>
        <w:t> </w:t>
      </w:r>
      <w:r>
        <w:rPr>
          <w:i/>
          <w:sz w:val="24"/>
        </w:rPr>
        <w:t>agreement</w:t>
      </w:r>
      <w:r>
        <w:rPr>
          <w:sz w:val="24"/>
        </w:rPr>
        <w:t>;</w:t>
      </w:r>
    </w:p>
    <w:p>
      <w:pPr>
        <w:pStyle w:val="ListParagraph"/>
        <w:numPr>
          <w:ilvl w:val="0"/>
          <w:numId w:val="331"/>
        </w:numPr>
        <w:tabs>
          <w:tab w:pos="1919" w:val="left" w:leader="none"/>
        </w:tabs>
        <w:spacing w:line="240" w:lineRule="auto" w:before="120" w:after="0"/>
        <w:ind w:left="1919" w:right="415" w:hanging="567"/>
        <w:jc w:val="both"/>
        <w:rPr>
          <w:sz w:val="24"/>
        </w:rPr>
      </w:pPr>
      <w:r>
        <w:rPr>
          <w:sz w:val="24"/>
        </w:rPr>
        <w:t>a description of the process for lodging the </w:t>
      </w:r>
      <w:r>
        <w:rPr>
          <w:i/>
          <w:sz w:val="24"/>
        </w:rPr>
        <w:t>application to connect</w:t>
      </w:r>
      <w:r>
        <w:rPr>
          <w:sz w:val="24"/>
        </w:rPr>
        <w:t>, including:</w:t>
      </w:r>
    </w:p>
    <w:p>
      <w:pPr>
        <w:pStyle w:val="ListParagraph"/>
        <w:numPr>
          <w:ilvl w:val="1"/>
          <w:numId w:val="331"/>
        </w:numPr>
        <w:tabs>
          <w:tab w:pos="2486" w:val="left" w:leader="none"/>
        </w:tabs>
        <w:spacing w:line="240" w:lineRule="auto" w:before="120" w:after="0"/>
        <w:ind w:left="2485" w:right="0" w:hanging="567"/>
        <w:jc w:val="both"/>
        <w:rPr>
          <w:sz w:val="24"/>
        </w:rPr>
      </w:pPr>
      <w:r>
        <w:rPr>
          <w:sz w:val="24"/>
        </w:rPr>
        <w:t>the </w:t>
      </w:r>
      <w:r>
        <w:rPr>
          <w:spacing w:val="32"/>
          <w:sz w:val="24"/>
        </w:rPr>
        <w:t> </w:t>
      </w:r>
      <w:r>
        <w:rPr>
          <w:sz w:val="24"/>
        </w:rPr>
        <w:t>options </w:t>
      </w:r>
      <w:r>
        <w:rPr>
          <w:spacing w:val="32"/>
          <w:sz w:val="24"/>
        </w:rPr>
        <w:t> </w:t>
      </w:r>
      <w:r>
        <w:rPr>
          <w:sz w:val="24"/>
        </w:rPr>
        <w:t>open </w:t>
      </w:r>
      <w:r>
        <w:rPr>
          <w:spacing w:val="31"/>
          <w:sz w:val="24"/>
        </w:rPr>
        <w:t> </w:t>
      </w:r>
      <w:r>
        <w:rPr>
          <w:sz w:val="24"/>
        </w:rPr>
        <w:t>to </w:t>
      </w:r>
      <w:r>
        <w:rPr>
          <w:spacing w:val="32"/>
          <w:sz w:val="24"/>
        </w:rPr>
        <w:t> </w:t>
      </w:r>
      <w:r>
        <w:rPr>
          <w:sz w:val="24"/>
        </w:rPr>
        <w:t>the </w:t>
      </w:r>
      <w:r>
        <w:rPr>
          <w:spacing w:val="32"/>
          <w:sz w:val="24"/>
        </w:rPr>
        <w:t> </w:t>
      </w:r>
      <w:r>
        <w:rPr>
          <w:i/>
          <w:sz w:val="24"/>
        </w:rPr>
        <w:t>Connection </w:t>
      </w:r>
      <w:r>
        <w:rPr>
          <w:i/>
          <w:spacing w:val="32"/>
          <w:sz w:val="24"/>
        </w:rPr>
        <w:t> </w:t>
      </w:r>
      <w:r>
        <w:rPr>
          <w:i/>
          <w:sz w:val="24"/>
        </w:rPr>
        <w:t>Applicant </w:t>
      </w:r>
      <w:r>
        <w:rPr>
          <w:i/>
          <w:spacing w:val="31"/>
          <w:sz w:val="24"/>
        </w:rPr>
        <w:t> </w:t>
      </w:r>
      <w:r>
        <w:rPr>
          <w:sz w:val="24"/>
        </w:rPr>
        <w:t>in </w:t>
      </w:r>
      <w:r>
        <w:rPr>
          <w:spacing w:val="32"/>
          <w:sz w:val="24"/>
        </w:rPr>
        <w:t> </w:t>
      </w:r>
      <w:r>
        <w:rPr>
          <w:sz w:val="24"/>
        </w:rPr>
        <w:t>submitting </w:t>
      </w:r>
      <w:r>
        <w:rPr>
          <w:spacing w:val="31"/>
          <w:sz w:val="24"/>
        </w:rPr>
        <w:t> </w:t>
      </w:r>
      <w:r>
        <w:rPr>
          <w:sz w:val="24"/>
        </w:rPr>
        <w:t>an</w:t>
      </w:r>
    </w:p>
    <w:p>
      <w:pPr>
        <w:spacing w:before="0"/>
        <w:ind w:left="2486" w:right="0" w:firstLine="0"/>
        <w:jc w:val="both"/>
        <w:rPr>
          <w:sz w:val="24"/>
        </w:rPr>
      </w:pPr>
      <w:r>
        <w:rPr>
          <w:i/>
          <w:sz w:val="24"/>
        </w:rPr>
        <w:t>application to connect </w:t>
      </w:r>
      <w:r>
        <w:rPr>
          <w:sz w:val="24"/>
        </w:rPr>
        <w:t>in accordance with clause 5.3A.9;</w:t>
      </w:r>
    </w:p>
    <w:p>
      <w:pPr>
        <w:pStyle w:val="ListParagraph"/>
        <w:numPr>
          <w:ilvl w:val="1"/>
          <w:numId w:val="331"/>
        </w:numPr>
        <w:tabs>
          <w:tab w:pos="2486" w:val="left" w:leader="none"/>
        </w:tabs>
        <w:spacing w:line="240" w:lineRule="auto" w:before="120" w:after="0"/>
        <w:ind w:left="2486" w:right="415" w:hanging="567"/>
        <w:jc w:val="both"/>
        <w:rPr>
          <w:sz w:val="24"/>
        </w:rPr>
      </w:pPr>
      <w:r>
        <w:rPr>
          <w:sz w:val="24"/>
        </w:rPr>
        <w:t>the further analysis to be undertaken by the </w:t>
      </w:r>
      <w:r>
        <w:rPr>
          <w:i/>
          <w:sz w:val="24"/>
        </w:rPr>
        <w:t>Distribution Network </w:t>
      </w:r>
      <w:r>
        <w:rPr>
          <w:i/>
          <w:sz w:val="24"/>
        </w:rPr>
        <w:t>Service Provider </w:t>
      </w:r>
      <w:r>
        <w:rPr>
          <w:sz w:val="24"/>
        </w:rPr>
        <w:t>as part of the </w:t>
      </w:r>
      <w:r>
        <w:rPr>
          <w:i/>
          <w:sz w:val="24"/>
        </w:rPr>
        <w:t>Distribution Network Service </w:t>
      </w:r>
      <w:r>
        <w:rPr>
          <w:i/>
          <w:sz w:val="24"/>
        </w:rPr>
        <w:t>Provider's </w:t>
      </w:r>
      <w:r>
        <w:rPr>
          <w:sz w:val="24"/>
        </w:rPr>
        <w:t>assessment of the </w:t>
      </w:r>
      <w:r>
        <w:rPr>
          <w:i/>
          <w:sz w:val="24"/>
        </w:rPr>
        <w:t>application to</w:t>
      </w:r>
      <w:r>
        <w:rPr>
          <w:i/>
          <w:spacing w:val="-1"/>
          <w:sz w:val="24"/>
        </w:rPr>
        <w:t> </w:t>
      </w:r>
      <w:r>
        <w:rPr>
          <w:i/>
          <w:sz w:val="24"/>
        </w:rPr>
        <w:t>connect</w:t>
      </w:r>
      <w:r>
        <w:rPr>
          <w:sz w:val="24"/>
        </w:rPr>
        <w:t>;</w:t>
      </w:r>
    </w:p>
    <w:p>
      <w:pPr>
        <w:pStyle w:val="ListParagraph"/>
        <w:numPr>
          <w:ilvl w:val="1"/>
          <w:numId w:val="331"/>
        </w:numPr>
        <w:tabs>
          <w:tab w:pos="2486" w:val="left" w:leader="none"/>
        </w:tabs>
        <w:spacing w:line="240" w:lineRule="auto" w:before="120" w:after="0"/>
        <w:ind w:left="2486" w:right="415" w:hanging="567"/>
        <w:jc w:val="both"/>
        <w:rPr>
          <w:sz w:val="24"/>
        </w:rPr>
      </w:pPr>
      <w:r>
        <w:rPr>
          <w:sz w:val="24"/>
        </w:rPr>
        <w:t>further information required from the </w:t>
      </w:r>
      <w:r>
        <w:rPr>
          <w:i/>
          <w:sz w:val="24"/>
        </w:rPr>
        <w:t>Connection Applicant </w:t>
      </w:r>
      <w:r>
        <w:rPr>
          <w:sz w:val="24"/>
        </w:rPr>
        <w:t>for the </w:t>
      </w:r>
      <w:r>
        <w:rPr>
          <w:i/>
          <w:sz w:val="24"/>
        </w:rPr>
        <w:t>Distribution Network Service Provider </w:t>
      </w:r>
      <w:r>
        <w:rPr>
          <w:sz w:val="24"/>
        </w:rPr>
        <w:t>to assess the </w:t>
      </w:r>
      <w:r>
        <w:rPr>
          <w:i/>
          <w:sz w:val="24"/>
        </w:rPr>
        <w:t>application to </w:t>
      </w:r>
      <w:r>
        <w:rPr>
          <w:i/>
          <w:sz w:val="24"/>
        </w:rPr>
        <w:t>connect</w:t>
      </w:r>
      <w:r>
        <w:rPr>
          <w:sz w:val="24"/>
        </w:rPr>
        <w:t>;</w:t>
      </w:r>
      <w:r>
        <w:rPr>
          <w:spacing w:val="-1"/>
          <w:sz w:val="24"/>
        </w:rPr>
        <w:t> </w:t>
      </w:r>
      <w:r>
        <w:rPr>
          <w:sz w:val="24"/>
        </w:rPr>
        <w:t>and</w:t>
      </w:r>
    </w:p>
    <w:p>
      <w:pPr>
        <w:pStyle w:val="ListParagraph"/>
        <w:numPr>
          <w:ilvl w:val="1"/>
          <w:numId w:val="331"/>
        </w:numPr>
        <w:tabs>
          <w:tab w:pos="2486" w:val="left" w:leader="none"/>
        </w:tabs>
        <w:spacing w:line="240" w:lineRule="auto" w:before="120" w:after="0"/>
        <w:ind w:left="2486" w:right="415" w:hanging="567"/>
        <w:jc w:val="both"/>
        <w:rPr>
          <w:sz w:val="24"/>
        </w:rPr>
      </w:pPr>
      <w:r>
        <w:rPr>
          <w:sz w:val="24"/>
        </w:rPr>
        <w:t>an outline of proposed milestones (and their timeframes) </w:t>
      </w:r>
      <w:r>
        <w:rPr>
          <w:spacing w:val="-5"/>
          <w:sz w:val="24"/>
        </w:rPr>
        <w:t>for </w:t>
      </w:r>
      <w:r>
        <w:rPr>
          <w:i/>
          <w:sz w:val="24"/>
        </w:rPr>
        <w:t>connection </w:t>
      </w:r>
      <w:r>
        <w:rPr>
          <w:sz w:val="24"/>
        </w:rPr>
        <w:t>and access activities which may be modified from time to time by agreement of the parties, where such agreement must not be unreasonably</w:t>
      </w:r>
      <w:r>
        <w:rPr>
          <w:spacing w:val="-1"/>
          <w:sz w:val="24"/>
        </w:rPr>
        <w:t> </w:t>
      </w:r>
      <w:r>
        <w:rPr>
          <w:sz w:val="24"/>
        </w:rPr>
        <w:t>withheld;</w:t>
      </w:r>
    </w:p>
    <w:p>
      <w:pPr>
        <w:pStyle w:val="ListParagraph"/>
        <w:numPr>
          <w:ilvl w:val="0"/>
          <w:numId w:val="331"/>
        </w:numPr>
        <w:tabs>
          <w:tab w:pos="1919" w:val="left" w:leader="none"/>
        </w:tabs>
        <w:spacing w:line="240" w:lineRule="auto" w:before="120" w:after="0"/>
        <w:ind w:left="1918" w:right="0" w:hanging="567"/>
        <w:jc w:val="both"/>
        <w:rPr>
          <w:sz w:val="24"/>
        </w:rPr>
      </w:pPr>
      <w:r>
        <w:rPr>
          <w:sz w:val="24"/>
        </w:rPr>
        <w:t>the application fee payable when submitting an </w:t>
      </w:r>
      <w:r>
        <w:rPr>
          <w:i/>
          <w:sz w:val="24"/>
        </w:rPr>
        <w:t>application to</w:t>
      </w:r>
      <w:r>
        <w:rPr>
          <w:i/>
          <w:spacing w:val="-6"/>
          <w:sz w:val="24"/>
        </w:rPr>
        <w:t> </w:t>
      </w:r>
      <w:r>
        <w:rPr>
          <w:i/>
          <w:sz w:val="24"/>
        </w:rPr>
        <w:t>connect</w:t>
      </w:r>
      <w:r>
        <w:rPr>
          <w:sz w:val="24"/>
        </w:rPr>
        <w:t>;</w:t>
      </w:r>
    </w:p>
    <w:p>
      <w:pPr>
        <w:pStyle w:val="ListParagraph"/>
        <w:numPr>
          <w:ilvl w:val="0"/>
          <w:numId w:val="331"/>
        </w:numPr>
        <w:tabs>
          <w:tab w:pos="1919" w:val="left" w:leader="none"/>
        </w:tabs>
        <w:spacing w:line="240" w:lineRule="auto" w:before="120" w:after="0"/>
        <w:ind w:left="1919" w:right="415" w:hanging="567"/>
        <w:jc w:val="both"/>
        <w:rPr>
          <w:sz w:val="24"/>
        </w:rPr>
      </w:pPr>
      <w:r>
        <w:rPr>
          <w:sz w:val="24"/>
        </w:rPr>
        <w:t>whether the </w:t>
      </w:r>
      <w:r>
        <w:rPr>
          <w:i/>
          <w:sz w:val="24"/>
        </w:rPr>
        <w:t>Distribution Network Service Provider </w:t>
      </w:r>
      <w:r>
        <w:rPr>
          <w:sz w:val="24"/>
        </w:rPr>
        <w:t>agrees to the detailed response remaining valid for a specified period of time to allow the </w:t>
      </w:r>
      <w:r>
        <w:rPr>
          <w:i/>
          <w:sz w:val="24"/>
        </w:rPr>
        <w:t>Connection Applicant </w:t>
      </w:r>
      <w:r>
        <w:rPr>
          <w:sz w:val="24"/>
        </w:rPr>
        <w:t>to lodge an </w:t>
      </w:r>
      <w:r>
        <w:rPr>
          <w:i/>
          <w:sz w:val="24"/>
        </w:rPr>
        <w:t>application to connect </w:t>
      </w:r>
      <w:r>
        <w:rPr>
          <w:sz w:val="24"/>
        </w:rPr>
        <w:t>within that time; and</w:t>
      </w:r>
    </w:p>
    <w:p>
      <w:pPr>
        <w:pStyle w:val="ListParagraph"/>
        <w:numPr>
          <w:ilvl w:val="0"/>
          <w:numId w:val="331"/>
        </w:numPr>
        <w:tabs>
          <w:tab w:pos="1919" w:val="left" w:leader="none"/>
        </w:tabs>
        <w:spacing w:line="240" w:lineRule="auto" w:before="120" w:after="0"/>
        <w:ind w:left="1918" w:right="0" w:hanging="567"/>
        <w:jc w:val="both"/>
        <w:rPr>
          <w:sz w:val="24"/>
        </w:rPr>
      </w:pPr>
      <w:r>
        <w:rPr>
          <w:sz w:val="24"/>
        </w:rPr>
        <w:t>any additional information relevant to the </w:t>
      </w:r>
      <w:r>
        <w:rPr>
          <w:i/>
          <w:sz w:val="24"/>
        </w:rPr>
        <w:t>application to</w:t>
      </w:r>
      <w:r>
        <w:rPr>
          <w:i/>
          <w:spacing w:val="-3"/>
          <w:sz w:val="24"/>
        </w:rPr>
        <w:t> </w:t>
      </w:r>
      <w:r>
        <w:rPr>
          <w:i/>
          <w:sz w:val="24"/>
        </w:rPr>
        <w:t>connect</w:t>
      </w:r>
      <w:r>
        <w:rPr>
          <w:sz w:val="24"/>
        </w:rPr>
        <w:t>.</w:t>
      </w:r>
    </w:p>
    <w:p>
      <w:pPr>
        <w:pStyle w:val="BodyText"/>
        <w:spacing w:before="10"/>
        <w:ind w:firstLine="0"/>
        <w:jc w:val="left"/>
        <w:rPr>
          <w:sz w:val="20"/>
        </w:rPr>
      </w:pPr>
    </w:p>
    <w:p>
      <w:pPr>
        <w:pStyle w:val="Heading2"/>
        <w:tabs>
          <w:tab w:pos="2485" w:val="left" w:leader="none"/>
        </w:tabs>
        <w:ind w:left="2486" w:right="1385" w:hanging="2268"/>
      </w:pPr>
      <w:bookmarkStart w:name="Schedule 5.5 Technical Details to Suppor" w:id="1076"/>
      <w:bookmarkEnd w:id="1076"/>
      <w:r>
        <w:rPr>
          <w:b w:val="0"/>
        </w:rPr>
      </w:r>
      <w:bookmarkStart w:name="_bookmark430" w:id="1077"/>
      <w:bookmarkEnd w:id="1077"/>
      <w:r>
        <w:rPr>
          <w:b w:val="0"/>
        </w:rPr>
      </w:r>
      <w:r>
        <w:rPr/>
        <w:t>Schedule</w:t>
      </w:r>
      <w:r>
        <w:rPr>
          <w:spacing w:val="-1"/>
        </w:rPr>
        <w:t> </w:t>
      </w:r>
      <w:r>
        <w:rPr/>
        <w:t>5.5</w:t>
        <w:tab/>
        <w:t>Technical Details to Support Application for Connection and Connection</w:t>
      </w:r>
      <w:r>
        <w:rPr>
          <w:spacing w:val="-10"/>
        </w:rPr>
        <w:t> </w:t>
      </w:r>
      <w:r>
        <w:rPr/>
        <w:t>Agreement</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spacing w:before="10"/>
        <w:ind w:firstLine="0"/>
        <w:jc w:val="left"/>
        <w:rPr>
          <w:sz w:val="20"/>
        </w:rPr>
      </w:pPr>
    </w:p>
    <w:p>
      <w:pPr>
        <w:pStyle w:val="Heading4"/>
        <w:tabs>
          <w:tab w:pos="1351" w:val="left" w:leader="none"/>
        </w:tabs>
        <w:ind w:left="218" w:firstLine="0"/>
      </w:pPr>
      <w:bookmarkStart w:name="S5.5.1 Introduction to the schedule" w:id="1078"/>
      <w:bookmarkEnd w:id="1078"/>
      <w:r>
        <w:rPr>
          <w:b w:val="0"/>
        </w:rPr>
      </w:r>
      <w:bookmarkStart w:name="_bookmark431" w:id="1079"/>
      <w:bookmarkEnd w:id="1079"/>
      <w:r>
        <w:rPr>
          <w:b w:val="0"/>
        </w:rPr>
      </w:r>
      <w:r>
        <w:rPr/>
        <w:t>S5.5.1</w:t>
        <w:tab/>
        <w:t>Introduction to the</w:t>
      </w:r>
      <w:r>
        <w:rPr>
          <w:spacing w:val="-3"/>
        </w:rPr>
        <w:t> </w:t>
      </w:r>
      <w:r>
        <w:rPr/>
        <w:t>schedule</w:t>
      </w:r>
    </w:p>
    <w:p>
      <w:pPr>
        <w:spacing w:before="120"/>
        <w:ind w:left="1352" w:right="415" w:firstLine="0"/>
        <w:jc w:val="both"/>
        <w:rPr>
          <w:sz w:val="24"/>
        </w:rPr>
      </w:pPr>
      <w:r>
        <w:rPr>
          <w:sz w:val="24"/>
        </w:rPr>
        <w:t>Various sections of the </w:t>
      </w:r>
      <w:r>
        <w:rPr>
          <w:i/>
          <w:sz w:val="24"/>
        </w:rPr>
        <w:t>Rules </w:t>
      </w:r>
      <w:r>
        <w:rPr>
          <w:sz w:val="24"/>
        </w:rPr>
        <w:t>require that </w:t>
      </w:r>
      <w:r>
        <w:rPr>
          <w:i/>
          <w:sz w:val="24"/>
        </w:rPr>
        <w:t>Registered Participants </w:t>
      </w:r>
      <w:r>
        <w:rPr>
          <w:sz w:val="24"/>
        </w:rPr>
        <w:t>submit technical data to the </w:t>
      </w:r>
      <w:r>
        <w:rPr>
          <w:i/>
          <w:sz w:val="24"/>
        </w:rPr>
        <w:t>Network Service Provider</w:t>
      </w:r>
      <w:r>
        <w:rPr>
          <w:sz w:val="24"/>
        </w:rPr>
        <w:t>. This schedule lists the range of data which may be required. The actual data required will be advised by the </w:t>
      </w:r>
      <w:r>
        <w:rPr>
          <w:i/>
          <w:sz w:val="24"/>
        </w:rPr>
        <w:t>Network Service </w:t>
      </w:r>
      <w:r>
        <w:rPr>
          <w:i/>
          <w:sz w:val="24"/>
        </w:rPr>
        <w:t>Provider</w:t>
      </w:r>
      <w:r>
        <w:rPr>
          <w:sz w:val="24"/>
        </w:rPr>
        <w:t>, and will form part of the technical specification in the </w:t>
      </w:r>
      <w:r>
        <w:rPr>
          <w:i/>
          <w:sz w:val="24"/>
        </w:rPr>
        <w:t>connection </w:t>
      </w:r>
      <w:r>
        <w:rPr>
          <w:i/>
          <w:sz w:val="24"/>
        </w:rPr>
        <w:t>agreement</w:t>
      </w:r>
      <w:r>
        <w:rPr>
          <w:sz w:val="24"/>
        </w:rPr>
        <w:t>. These data will also be made available to </w:t>
      </w:r>
      <w:r>
        <w:rPr>
          <w:i/>
          <w:sz w:val="24"/>
        </w:rPr>
        <w:t>AEMO </w:t>
      </w:r>
      <w:r>
        <w:rPr>
          <w:sz w:val="24"/>
        </w:rPr>
        <w:t>and to other </w:t>
      </w:r>
      <w:r>
        <w:rPr>
          <w:i/>
          <w:sz w:val="24"/>
        </w:rPr>
        <w:t>Network </w:t>
      </w:r>
      <w:r>
        <w:rPr>
          <w:i/>
          <w:sz w:val="24"/>
        </w:rPr>
        <w:t>Service Providers </w:t>
      </w:r>
      <w:r>
        <w:rPr>
          <w:sz w:val="24"/>
        </w:rPr>
        <w:t>by the </w:t>
      </w:r>
      <w:r>
        <w:rPr>
          <w:i/>
          <w:sz w:val="24"/>
        </w:rPr>
        <w:t>Network Service Provider </w:t>
      </w:r>
      <w:r>
        <w:rPr>
          <w:sz w:val="24"/>
        </w:rPr>
        <w:t>at the appropriate time.</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5.5.2 Categories of data" w:id="1080"/>
      <w:bookmarkEnd w:id="1080"/>
      <w:r>
        <w:rPr>
          <w:b w:val="0"/>
        </w:rPr>
      </w:r>
      <w:bookmarkStart w:name="_bookmark432" w:id="1081"/>
      <w:bookmarkEnd w:id="1081"/>
      <w:r>
        <w:rPr>
          <w:b w:val="0"/>
        </w:rPr>
      </w:r>
      <w:r>
        <w:rPr/>
        <w:t>S5.5.2</w:t>
        <w:tab/>
        <w:t>Categories of</w:t>
      </w:r>
      <w:r>
        <w:rPr>
          <w:spacing w:val="-2"/>
        </w:rPr>
        <w:t> </w:t>
      </w:r>
      <w:r>
        <w:rPr/>
        <w:t>data</w:t>
      </w:r>
    </w:p>
    <w:p>
      <w:pPr>
        <w:pStyle w:val="BodyText"/>
        <w:ind w:left="1352" w:right="415" w:firstLine="0"/>
      </w:pPr>
      <w:r>
        <w:rPr/>
        <w:t>Data is coded in categories, according to the stage at which it is available in the build-up of data during the process of forming a </w:t>
      </w:r>
      <w:r>
        <w:rPr>
          <w:i/>
        </w:rPr>
        <w:t>connection </w:t>
      </w:r>
      <w:r>
        <w:rPr/>
        <w:t>or obtaining access to a </w:t>
      </w:r>
      <w:r>
        <w:rPr>
          <w:i/>
        </w:rPr>
        <w:t>network</w:t>
      </w:r>
      <w:r>
        <w:rPr/>
        <w:t>, with data acquired at each stage being carried forward, or enhanced in subsequent stages, eg. by testing.</w:t>
      </w:r>
    </w:p>
    <w:p>
      <w:pPr>
        <w:spacing w:before="120"/>
        <w:ind w:left="1352" w:right="414" w:firstLine="0"/>
        <w:jc w:val="both"/>
        <w:rPr>
          <w:sz w:val="24"/>
        </w:rPr>
      </w:pPr>
      <w:r>
        <w:rPr>
          <w:sz w:val="24"/>
        </w:rPr>
        <w:t>The </w:t>
      </w:r>
      <w:r>
        <w:rPr>
          <w:i/>
          <w:sz w:val="24"/>
        </w:rPr>
        <w:t>Power System Model Guidelines</w:t>
      </w:r>
      <w:r>
        <w:rPr>
          <w:sz w:val="24"/>
        </w:rPr>
        <w:t>, </w:t>
      </w:r>
      <w:r>
        <w:rPr>
          <w:i/>
          <w:sz w:val="24"/>
        </w:rPr>
        <w:t>Power System Design Data Sheet </w:t>
      </w:r>
      <w:r>
        <w:rPr>
          <w:sz w:val="24"/>
        </w:rPr>
        <w:t>and </w:t>
      </w:r>
      <w:r>
        <w:rPr>
          <w:i/>
          <w:sz w:val="24"/>
        </w:rPr>
        <w:t>Power System Setting Data Sheet </w:t>
      </w:r>
      <w:r>
        <w:rPr>
          <w:sz w:val="24"/>
        </w:rPr>
        <w:t>identify for each type of data, its category in terms of clause</w:t>
      </w:r>
      <w:r>
        <w:rPr>
          <w:spacing w:val="-1"/>
          <w:sz w:val="24"/>
        </w:rPr>
        <w:t> </w:t>
      </w:r>
      <w:r>
        <w:rPr>
          <w:sz w:val="24"/>
        </w:rPr>
        <w:t>S5.5.2.</w:t>
      </w:r>
    </w:p>
    <w:p>
      <w:pPr>
        <w:pStyle w:val="BodyText"/>
        <w:ind w:left="1352" w:firstLine="0"/>
        <w:jc w:val="left"/>
      </w:pPr>
      <w:r>
        <w:rPr/>
        <w:t>Codes:</w:t>
      </w:r>
    </w:p>
    <w:p>
      <w:pPr>
        <w:pStyle w:val="BodyText"/>
        <w:spacing w:line="343" w:lineRule="auto"/>
        <w:ind w:left="1352" w:right="5669" w:firstLine="0"/>
        <w:jc w:val="left"/>
      </w:pPr>
      <w:r>
        <w:rPr/>
        <w:t>S = Standard Planning Data D = Detailed Planning Data</w:t>
      </w:r>
    </w:p>
    <w:p>
      <w:pPr>
        <w:spacing w:before="3"/>
        <w:ind w:left="1352" w:right="0" w:firstLine="0"/>
        <w:jc w:val="left"/>
        <w:rPr>
          <w:sz w:val="24"/>
        </w:rPr>
      </w:pPr>
      <w:r>
        <w:rPr>
          <w:sz w:val="24"/>
        </w:rPr>
        <w:t>R = Registered Data (R1 pre-</w:t>
      </w:r>
      <w:r>
        <w:rPr>
          <w:i/>
          <w:sz w:val="24"/>
        </w:rPr>
        <w:t>connection</w:t>
      </w:r>
      <w:r>
        <w:rPr>
          <w:sz w:val="24"/>
        </w:rPr>
        <w:t>, R2 post-</w:t>
      </w:r>
      <w:r>
        <w:rPr>
          <w:i/>
          <w:sz w:val="24"/>
        </w:rPr>
        <w:t>connection</w:t>
      </w:r>
      <w:r>
        <w:rPr>
          <w:sz w:val="24"/>
        </w:rPr>
        <w:t>)</w:t>
      </w:r>
    </w:p>
    <w:p>
      <w:pPr>
        <w:spacing w:before="220"/>
        <w:ind w:left="1356" w:right="0" w:firstLine="0"/>
        <w:jc w:val="left"/>
        <w:rPr>
          <w:rFonts w:ascii="Arial"/>
          <w:b/>
          <w:sz w:val="22"/>
        </w:rPr>
      </w:pPr>
      <w:r>
        <w:rPr>
          <w:rFonts w:ascii="Arial"/>
          <w:b/>
          <w:sz w:val="22"/>
        </w:rPr>
        <w:t>Preliminary system planning</w:t>
      </w:r>
      <w:r>
        <w:rPr>
          <w:rFonts w:ascii="Arial"/>
          <w:b/>
          <w:spacing w:val="-5"/>
          <w:sz w:val="22"/>
        </w:rPr>
        <w:t> </w:t>
      </w:r>
      <w:r>
        <w:rPr>
          <w:rFonts w:ascii="Arial"/>
          <w:b/>
          <w:sz w:val="22"/>
        </w:rPr>
        <w:t>data</w:t>
      </w:r>
    </w:p>
    <w:p>
      <w:pPr>
        <w:spacing w:before="120"/>
        <w:ind w:left="1352" w:right="414" w:firstLine="0"/>
        <w:jc w:val="both"/>
        <w:rPr>
          <w:sz w:val="24"/>
        </w:rPr>
      </w:pPr>
      <w:r>
        <w:rPr>
          <w:sz w:val="24"/>
        </w:rPr>
        <w:t>Preliminary system planning data is required for submission with the </w:t>
      </w:r>
      <w:r>
        <w:rPr>
          <w:i/>
          <w:sz w:val="24"/>
        </w:rPr>
        <w:t>application </w:t>
      </w:r>
      <w:r>
        <w:rPr>
          <w:i/>
          <w:sz w:val="24"/>
        </w:rPr>
        <w:t>to connect</w:t>
      </w:r>
      <w:r>
        <w:rPr>
          <w:sz w:val="24"/>
        </w:rPr>
        <w:t>, to allow the </w:t>
      </w:r>
      <w:r>
        <w:rPr>
          <w:i/>
          <w:sz w:val="24"/>
        </w:rPr>
        <w:t>Network Service Provider </w:t>
      </w:r>
      <w:r>
        <w:rPr>
          <w:sz w:val="24"/>
        </w:rPr>
        <w:t>to prepare an offer of terms and conditions for a </w:t>
      </w:r>
      <w:r>
        <w:rPr>
          <w:i/>
          <w:sz w:val="24"/>
        </w:rPr>
        <w:t>connection agreement </w:t>
      </w:r>
      <w:r>
        <w:rPr>
          <w:sz w:val="24"/>
        </w:rPr>
        <w:t>and to assess the requirement for, and effect of, </w:t>
      </w:r>
      <w:r>
        <w:rPr>
          <w:i/>
          <w:sz w:val="24"/>
        </w:rPr>
        <w:t>network augmentation </w:t>
      </w:r>
      <w:r>
        <w:rPr>
          <w:sz w:val="24"/>
        </w:rPr>
        <w:t>or </w:t>
      </w:r>
      <w:r>
        <w:rPr>
          <w:i/>
          <w:sz w:val="24"/>
        </w:rPr>
        <w:t>extension </w:t>
      </w:r>
      <w:r>
        <w:rPr>
          <w:sz w:val="24"/>
        </w:rPr>
        <w:t>options. Such data is normally limited to the items denoted as Standard Planning Data (S) in the </w:t>
      </w:r>
      <w:r>
        <w:rPr>
          <w:i/>
          <w:sz w:val="24"/>
        </w:rPr>
        <w:t>Power System </w:t>
      </w:r>
      <w:r>
        <w:rPr>
          <w:i/>
          <w:sz w:val="24"/>
        </w:rPr>
        <w:t>Model Guidelines</w:t>
      </w:r>
      <w:r>
        <w:rPr>
          <w:sz w:val="24"/>
        </w:rPr>
        <w:t>, </w:t>
      </w:r>
      <w:r>
        <w:rPr>
          <w:i/>
          <w:sz w:val="24"/>
        </w:rPr>
        <w:t>Power System Design Data Sheet</w:t>
      </w:r>
      <w:r>
        <w:rPr>
          <w:sz w:val="24"/>
        </w:rPr>
        <w:t>, </w:t>
      </w:r>
      <w:r>
        <w:rPr>
          <w:i/>
          <w:sz w:val="24"/>
        </w:rPr>
        <w:t>Power System Setting Data </w:t>
      </w:r>
      <w:r>
        <w:rPr>
          <w:i/>
          <w:sz w:val="24"/>
        </w:rPr>
        <w:t>Sheet </w:t>
      </w:r>
      <w:r>
        <w:rPr>
          <w:sz w:val="24"/>
        </w:rPr>
        <w:t>and in schedules 5.5.3 to</w:t>
      </w:r>
      <w:r>
        <w:rPr>
          <w:spacing w:val="-2"/>
          <w:sz w:val="24"/>
        </w:rPr>
        <w:t> </w:t>
      </w:r>
      <w:r>
        <w:rPr>
          <w:sz w:val="24"/>
        </w:rPr>
        <w:t>5.5.5.</w:t>
      </w:r>
    </w:p>
    <w:p>
      <w:pPr>
        <w:spacing w:before="120"/>
        <w:ind w:left="1352" w:right="414" w:firstLine="0"/>
        <w:jc w:val="both"/>
        <w:rPr>
          <w:sz w:val="24"/>
        </w:rPr>
      </w:pPr>
      <w:r>
        <w:rPr>
          <w:sz w:val="24"/>
        </w:rPr>
        <w:t>The </w:t>
      </w:r>
      <w:r>
        <w:rPr>
          <w:i/>
          <w:sz w:val="24"/>
        </w:rPr>
        <w:t>Network Service Provider </w:t>
      </w:r>
      <w:r>
        <w:rPr>
          <w:sz w:val="24"/>
        </w:rPr>
        <w:t>may, in cases where there is reasonable doubt as to the viability of a proposal, require the submission of other data before making an offer to </w:t>
      </w:r>
      <w:r>
        <w:rPr>
          <w:i/>
          <w:sz w:val="24"/>
        </w:rPr>
        <w:t>connect </w:t>
      </w:r>
      <w:r>
        <w:rPr>
          <w:sz w:val="24"/>
        </w:rPr>
        <w:t>or to amend a </w:t>
      </w:r>
      <w:r>
        <w:rPr>
          <w:i/>
          <w:sz w:val="24"/>
        </w:rPr>
        <w:t>connection agreement</w:t>
      </w:r>
      <w:r>
        <w:rPr>
          <w:sz w:val="24"/>
        </w:rPr>
        <w:t>.</w:t>
      </w:r>
    </w:p>
    <w:p>
      <w:pPr>
        <w:spacing w:before="220"/>
        <w:ind w:left="1356" w:right="0" w:firstLine="0"/>
        <w:jc w:val="left"/>
        <w:rPr>
          <w:rFonts w:ascii="Arial"/>
          <w:b/>
          <w:sz w:val="22"/>
        </w:rPr>
      </w:pPr>
      <w:r>
        <w:rPr>
          <w:rFonts w:ascii="Arial"/>
          <w:b/>
          <w:sz w:val="22"/>
        </w:rPr>
        <w:t>Registered system planning data</w:t>
      </w:r>
    </w:p>
    <w:p>
      <w:pPr>
        <w:pStyle w:val="BodyText"/>
        <w:ind w:left="1352" w:right="415" w:firstLine="0"/>
      </w:pPr>
      <w:r>
        <w:rPr/>
        <w:t>Registered system planning data is the class of data which will be included in the </w:t>
      </w:r>
      <w:r>
        <w:rPr>
          <w:i/>
        </w:rPr>
        <w:t>connection agreement </w:t>
      </w:r>
      <w:r>
        <w:rPr/>
        <w:t>signed by both parties. It consists of the preliminary system planning data plus those items denoted in the attached schedules as Detailed Planning Data (D). The latter must be submitted by the </w:t>
      </w:r>
      <w:r>
        <w:rPr>
          <w:i/>
        </w:rPr>
        <w:t>Registered Participant </w:t>
      </w:r>
      <w:r>
        <w:rPr/>
        <w:t>in time for inclusion in the </w:t>
      </w:r>
      <w:r>
        <w:rPr>
          <w:i/>
        </w:rPr>
        <w:t>connection agreement</w:t>
      </w:r>
      <w:r>
        <w:rPr/>
        <w:t>.</w:t>
      </w:r>
    </w:p>
    <w:p>
      <w:pPr>
        <w:spacing w:before="220"/>
        <w:ind w:left="1356" w:right="0" w:firstLine="0"/>
        <w:jc w:val="left"/>
        <w:rPr>
          <w:rFonts w:ascii="Arial"/>
          <w:b/>
          <w:sz w:val="22"/>
        </w:rPr>
      </w:pPr>
      <w:r>
        <w:rPr>
          <w:rFonts w:ascii="Arial"/>
          <w:b/>
          <w:sz w:val="22"/>
        </w:rPr>
        <w:t>Registered data</w:t>
      </w:r>
    </w:p>
    <w:p>
      <w:pPr>
        <w:spacing w:before="120"/>
        <w:ind w:left="1352" w:right="415" w:firstLine="0"/>
        <w:jc w:val="both"/>
        <w:rPr>
          <w:sz w:val="24"/>
        </w:rPr>
      </w:pPr>
      <w:r>
        <w:rPr>
          <w:sz w:val="24"/>
        </w:rPr>
        <w:t>Registered Data consists of data validated and agreed between the </w:t>
      </w:r>
      <w:r>
        <w:rPr>
          <w:i/>
          <w:sz w:val="24"/>
        </w:rPr>
        <w:t>Network </w:t>
      </w:r>
      <w:r>
        <w:rPr>
          <w:i/>
          <w:sz w:val="24"/>
        </w:rPr>
        <w:t>Service Provider </w:t>
      </w:r>
      <w:r>
        <w:rPr>
          <w:sz w:val="24"/>
        </w:rPr>
        <w:t>and the </w:t>
      </w:r>
      <w:r>
        <w:rPr>
          <w:i/>
          <w:sz w:val="24"/>
        </w:rPr>
        <w:t>Registered Participant</w:t>
      </w:r>
      <w:r>
        <w:rPr>
          <w:sz w:val="24"/>
        </w:rPr>
        <w:t>, such data</w:t>
      </w:r>
      <w:r>
        <w:rPr>
          <w:spacing w:val="-4"/>
          <w:sz w:val="24"/>
        </w:rPr>
        <w:t> </w:t>
      </w:r>
      <w:r>
        <w:rPr>
          <w:sz w:val="24"/>
        </w:rPr>
        <w:t>being:</w:t>
      </w:r>
    </w:p>
    <w:p>
      <w:pPr>
        <w:pStyle w:val="ListParagraph"/>
        <w:numPr>
          <w:ilvl w:val="0"/>
          <w:numId w:val="332"/>
        </w:numPr>
        <w:tabs>
          <w:tab w:pos="1919" w:val="left" w:leader="none"/>
        </w:tabs>
        <w:spacing w:line="240" w:lineRule="auto" w:before="120" w:after="0"/>
        <w:ind w:left="1919" w:right="415" w:hanging="567"/>
        <w:jc w:val="both"/>
        <w:rPr>
          <w:sz w:val="24"/>
        </w:rPr>
      </w:pPr>
      <w:r>
        <w:rPr>
          <w:sz w:val="24"/>
        </w:rPr>
        <w:t>prior to actual </w:t>
      </w:r>
      <w:r>
        <w:rPr>
          <w:i/>
          <w:sz w:val="24"/>
        </w:rPr>
        <w:t>connection </w:t>
      </w:r>
      <w:r>
        <w:rPr>
          <w:sz w:val="24"/>
        </w:rPr>
        <w:t>and provision of access, data derived from manufacturers' data, detailed design calculations, works or site tests etc. (R1); and</w:t>
      </w:r>
    </w:p>
    <w:p>
      <w:pPr>
        <w:pStyle w:val="ListParagraph"/>
        <w:numPr>
          <w:ilvl w:val="0"/>
          <w:numId w:val="332"/>
        </w:numPr>
        <w:tabs>
          <w:tab w:pos="1919" w:val="left" w:leader="none"/>
        </w:tabs>
        <w:spacing w:line="240" w:lineRule="auto" w:before="120" w:after="0"/>
        <w:ind w:left="1918" w:right="0" w:hanging="567"/>
        <w:jc w:val="both"/>
        <w:rPr>
          <w:sz w:val="24"/>
        </w:rPr>
      </w:pPr>
      <w:r>
        <w:rPr>
          <w:sz w:val="24"/>
        </w:rPr>
        <w:t>after connection, data derived from on-system testing</w:t>
      </w:r>
      <w:r>
        <w:rPr>
          <w:spacing w:val="-1"/>
          <w:sz w:val="24"/>
        </w:rPr>
        <w:t> </w:t>
      </w:r>
      <w:r>
        <w:rPr>
          <w:sz w:val="24"/>
        </w:rPr>
        <w:t>(R2).</w:t>
      </w:r>
    </w:p>
    <w:p>
      <w:pPr>
        <w:pStyle w:val="BodyText"/>
        <w:ind w:left="1352" w:right="417" w:firstLine="0"/>
      </w:pPr>
      <w:r>
        <w:rPr/>
        <w:t>All of the data will, from this stage, be categorised and referred to as Registered Data; but for convenience the schedules omit placing a higher ranked code next to items which are expected to already be valid at an earlier stage.</w:t>
      </w:r>
    </w:p>
    <w:p>
      <w:pPr>
        <w:spacing w:after="0"/>
        <w:sectPr>
          <w:pgSz w:w="11910" w:h="16840"/>
          <w:pgMar w:header="686" w:footer="637" w:top="1320" w:bottom="820" w:left="1200" w:right="1000"/>
        </w:sectPr>
      </w:pPr>
    </w:p>
    <w:p>
      <w:pPr>
        <w:pStyle w:val="Heading4"/>
        <w:tabs>
          <w:tab w:pos="1351" w:val="left" w:leader="none"/>
        </w:tabs>
        <w:spacing w:before="83"/>
        <w:ind w:left="218" w:firstLine="0"/>
      </w:pPr>
      <w:bookmarkStart w:name="S5.5.3 Review, change and supply of data" w:id="1082"/>
      <w:bookmarkEnd w:id="1082"/>
      <w:r>
        <w:rPr>
          <w:b w:val="0"/>
        </w:rPr>
      </w:r>
      <w:bookmarkStart w:name="_bookmark433" w:id="1083"/>
      <w:bookmarkEnd w:id="1083"/>
      <w:r>
        <w:rPr>
          <w:b w:val="0"/>
        </w:rPr>
      </w:r>
      <w:r>
        <w:rPr/>
        <w:t>S5.5.3</w:t>
        <w:tab/>
        <w:t>Review, change and supply of</w:t>
      </w:r>
      <w:r>
        <w:rPr>
          <w:spacing w:val="-5"/>
        </w:rPr>
        <w:t> </w:t>
      </w:r>
      <w:r>
        <w:rPr/>
        <w:t>data</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ind w:left="1352" w:right="414" w:firstLine="0"/>
      </w:pPr>
      <w:r>
        <w:rPr/>
        <w:t>Data will be subject to review at reasonable intervals to ensure its continued accuracy and relevance. The </w:t>
      </w:r>
      <w:r>
        <w:rPr>
          <w:i/>
        </w:rPr>
        <w:t>Network Service Provider </w:t>
      </w:r>
      <w:r>
        <w:rPr/>
        <w:t>must initiate this review. A </w:t>
      </w:r>
      <w:r>
        <w:rPr>
          <w:i/>
        </w:rPr>
        <w:t>Registered Participant </w:t>
      </w:r>
      <w:r>
        <w:rPr/>
        <w:t>may </w:t>
      </w:r>
      <w:r>
        <w:rPr>
          <w:i/>
        </w:rPr>
        <w:t>change </w:t>
      </w:r>
      <w:r>
        <w:rPr/>
        <w:t>any data item at a time other than when that item would normally be reviewed or updated by submission to the </w:t>
      </w:r>
      <w:r>
        <w:rPr>
          <w:i/>
        </w:rPr>
        <w:t>Network </w:t>
      </w:r>
      <w:r>
        <w:rPr>
          <w:i/>
        </w:rPr>
        <w:t>Service Provider </w:t>
      </w:r>
      <w:r>
        <w:rPr/>
        <w:t>of the revised data, together with authentication documents, eg. test reports.</w:t>
      </w:r>
    </w:p>
    <w:p>
      <w:pPr>
        <w:spacing w:before="120"/>
        <w:ind w:left="1352" w:right="414" w:firstLine="0"/>
        <w:jc w:val="both"/>
        <w:rPr>
          <w:sz w:val="24"/>
        </w:rPr>
      </w:pPr>
      <w:r>
        <w:rPr>
          <w:sz w:val="24"/>
        </w:rPr>
        <w:t>The </w:t>
      </w:r>
      <w:r>
        <w:rPr>
          <w:i/>
          <w:sz w:val="24"/>
        </w:rPr>
        <w:t>Network Service Provider </w:t>
      </w:r>
      <w:r>
        <w:rPr>
          <w:sz w:val="24"/>
        </w:rPr>
        <w:t>must supply data relating to its system to other </w:t>
      </w:r>
      <w:r>
        <w:rPr>
          <w:i/>
          <w:sz w:val="24"/>
        </w:rPr>
        <w:t>Network Service Providers </w:t>
      </w:r>
      <w:r>
        <w:rPr>
          <w:sz w:val="24"/>
        </w:rPr>
        <w:t>for planning purposes and to other </w:t>
      </w:r>
      <w:r>
        <w:rPr>
          <w:i/>
          <w:sz w:val="24"/>
        </w:rPr>
        <w:t>Registered </w:t>
      </w:r>
      <w:r>
        <w:rPr>
          <w:i/>
          <w:sz w:val="24"/>
        </w:rPr>
        <w:t>Participants </w:t>
      </w:r>
      <w:r>
        <w:rPr>
          <w:sz w:val="24"/>
        </w:rPr>
        <w:t>and </w:t>
      </w:r>
      <w:r>
        <w:rPr>
          <w:i/>
          <w:sz w:val="24"/>
        </w:rPr>
        <w:t>AEMO </w:t>
      </w:r>
      <w:r>
        <w:rPr>
          <w:sz w:val="24"/>
        </w:rPr>
        <w:t>as specified in the various sections of the </w:t>
      </w:r>
      <w:r>
        <w:rPr>
          <w:i/>
          <w:sz w:val="24"/>
        </w:rPr>
        <w:t>Rules</w:t>
      </w:r>
      <w:r>
        <w:rPr>
          <w:sz w:val="24"/>
        </w:rPr>
        <w:t>,  including through the </w:t>
      </w:r>
      <w:r>
        <w:rPr>
          <w:i/>
          <w:sz w:val="24"/>
        </w:rPr>
        <w:t>statement of</w:t>
      </w:r>
      <w:r>
        <w:rPr>
          <w:i/>
          <w:spacing w:val="-2"/>
          <w:sz w:val="24"/>
        </w:rPr>
        <w:t> </w:t>
      </w:r>
      <w:r>
        <w:rPr>
          <w:i/>
          <w:sz w:val="24"/>
        </w:rPr>
        <w:t>opportunities</w:t>
      </w:r>
      <w:r>
        <w:rPr>
          <w:sz w:val="24"/>
        </w:rPr>
        <w:t>.</w:t>
      </w:r>
    </w:p>
    <w:p>
      <w:pPr>
        <w:pStyle w:val="BodyText"/>
        <w:spacing w:before="10"/>
        <w:ind w:firstLine="0"/>
        <w:jc w:val="left"/>
        <w:rPr>
          <w:sz w:val="20"/>
        </w:rPr>
      </w:pPr>
    </w:p>
    <w:p>
      <w:pPr>
        <w:pStyle w:val="Heading4"/>
        <w:tabs>
          <w:tab w:pos="1351" w:val="left" w:leader="none"/>
        </w:tabs>
        <w:ind w:left="218" w:firstLine="0"/>
      </w:pPr>
      <w:bookmarkStart w:name="S5.5.4 Data Requirements" w:id="1084"/>
      <w:bookmarkEnd w:id="1084"/>
      <w:r>
        <w:rPr>
          <w:b w:val="0"/>
        </w:rPr>
      </w:r>
      <w:bookmarkStart w:name="_bookmark434" w:id="1085"/>
      <w:bookmarkEnd w:id="1085"/>
      <w:r>
        <w:rPr>
          <w:b w:val="0"/>
        </w:rPr>
      </w:r>
      <w:r>
        <w:rPr/>
        <w:t>S5.5.4</w:t>
        <w:tab/>
        <w:t>Data</w:t>
      </w:r>
      <w:r>
        <w:rPr>
          <w:spacing w:val="-1"/>
        </w:rPr>
        <w:t> </w:t>
      </w:r>
      <w:r>
        <w:rPr/>
        <w:t>Requirements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ind w:left="1352" w:firstLine="0"/>
      </w:pPr>
      <w:r>
        <w:rPr/>
        <w:t>Schedules 5.5.3 to 5.5.5 cover the following data areas:</w:t>
      </w:r>
    </w:p>
    <w:p>
      <w:pPr>
        <w:pStyle w:val="ListParagraph"/>
        <w:numPr>
          <w:ilvl w:val="0"/>
          <w:numId w:val="333"/>
        </w:numPr>
        <w:tabs>
          <w:tab w:pos="1919" w:val="left" w:leader="none"/>
        </w:tabs>
        <w:spacing w:line="240" w:lineRule="auto" w:before="120" w:after="0"/>
        <w:ind w:left="1919" w:right="416" w:hanging="567"/>
        <w:jc w:val="both"/>
        <w:rPr>
          <w:sz w:val="24"/>
        </w:rPr>
      </w:pPr>
      <w:r>
        <w:rPr>
          <w:sz w:val="24"/>
        </w:rPr>
        <w:t>schedule 5.5.3 - Network Plant Technical Data. This comprises fixed electrical</w:t>
      </w:r>
      <w:r>
        <w:rPr>
          <w:spacing w:val="-1"/>
          <w:sz w:val="24"/>
        </w:rPr>
        <w:t> </w:t>
      </w:r>
      <w:r>
        <w:rPr>
          <w:sz w:val="24"/>
        </w:rPr>
        <w:t>parameters.</w:t>
      </w:r>
    </w:p>
    <w:p>
      <w:pPr>
        <w:pStyle w:val="ListParagraph"/>
        <w:numPr>
          <w:ilvl w:val="0"/>
          <w:numId w:val="333"/>
        </w:numPr>
        <w:tabs>
          <w:tab w:pos="1919" w:val="left" w:leader="none"/>
        </w:tabs>
        <w:spacing w:line="240" w:lineRule="auto" w:before="120" w:after="0"/>
        <w:ind w:left="1919" w:right="416" w:hanging="567"/>
        <w:jc w:val="both"/>
        <w:rPr>
          <w:sz w:val="24"/>
        </w:rPr>
      </w:pPr>
      <w:r>
        <w:rPr>
          <w:sz w:val="24"/>
        </w:rPr>
        <w:t>schedule 5.5.4 - Plant and Apparatus Setting Data. This comprises settings which can be varied by agreement or by direction of the </w:t>
      </w:r>
      <w:r>
        <w:rPr>
          <w:i/>
          <w:sz w:val="24"/>
        </w:rPr>
        <w:t>Network Service </w:t>
      </w:r>
      <w:r>
        <w:rPr>
          <w:i/>
          <w:sz w:val="24"/>
        </w:rPr>
        <w:t>Provider </w:t>
      </w:r>
      <w:r>
        <w:rPr>
          <w:sz w:val="24"/>
        </w:rPr>
        <w:t>or</w:t>
      </w:r>
      <w:r>
        <w:rPr>
          <w:spacing w:val="-1"/>
          <w:sz w:val="24"/>
        </w:rPr>
        <w:t> </w:t>
      </w:r>
      <w:r>
        <w:rPr>
          <w:i/>
          <w:sz w:val="24"/>
        </w:rPr>
        <w:t>AEMO</w:t>
      </w:r>
      <w:r>
        <w:rPr>
          <w:sz w:val="24"/>
        </w:rPr>
        <w:t>.</w:t>
      </w:r>
    </w:p>
    <w:p>
      <w:pPr>
        <w:pStyle w:val="ListParagraph"/>
        <w:numPr>
          <w:ilvl w:val="0"/>
          <w:numId w:val="333"/>
        </w:numPr>
        <w:tabs>
          <w:tab w:pos="1918" w:val="left" w:leader="none"/>
          <w:tab w:pos="1919" w:val="left" w:leader="none"/>
        </w:tabs>
        <w:spacing w:line="240" w:lineRule="auto" w:before="120" w:after="0"/>
        <w:ind w:left="1919" w:right="414" w:hanging="567"/>
        <w:jc w:val="left"/>
        <w:rPr>
          <w:sz w:val="24"/>
        </w:rPr>
      </w:pPr>
      <w:r>
        <w:rPr>
          <w:sz w:val="24"/>
        </w:rPr>
        <w:t>schedule 5.5.5 - </w:t>
      </w:r>
      <w:r>
        <w:rPr>
          <w:i/>
          <w:sz w:val="24"/>
        </w:rPr>
        <w:t>Load </w:t>
      </w:r>
      <w:r>
        <w:rPr>
          <w:sz w:val="24"/>
        </w:rPr>
        <w:t>Characteristics. This comprises the estimated design parameters of</w:t>
      </w:r>
      <w:r>
        <w:rPr>
          <w:spacing w:val="-1"/>
          <w:sz w:val="24"/>
        </w:rPr>
        <w:t> </w:t>
      </w:r>
      <w:r>
        <w:rPr>
          <w:i/>
          <w:sz w:val="24"/>
        </w:rPr>
        <w:t>loads</w:t>
      </w:r>
      <w:r>
        <w:rPr>
          <w:sz w:val="24"/>
        </w:rPr>
        <w:t>.</w:t>
      </w:r>
    </w:p>
    <w:p>
      <w:pPr>
        <w:spacing w:before="120"/>
        <w:ind w:left="1352" w:right="0" w:firstLine="0"/>
        <w:jc w:val="left"/>
        <w:rPr>
          <w:i/>
          <w:sz w:val="24"/>
        </w:rPr>
      </w:pPr>
      <w:r>
        <w:rPr>
          <w:sz w:val="24"/>
        </w:rPr>
        <w:t>The documents and schedules applicable to each class of </w:t>
      </w:r>
      <w:r>
        <w:rPr>
          <w:i/>
          <w:sz w:val="24"/>
        </w:rPr>
        <w:t>Registered Participant</w:t>
      </w:r>
    </w:p>
    <w:p>
      <w:pPr>
        <w:pStyle w:val="BodyText"/>
        <w:spacing w:before="0"/>
        <w:ind w:left="1352" w:firstLine="0"/>
        <w:jc w:val="left"/>
      </w:pPr>
      <w:r>
        <w:rPr/>
        <w:t>are as follows:</w:t>
      </w:r>
    </w:p>
    <w:p>
      <w:pPr>
        <w:pStyle w:val="ListParagraph"/>
        <w:numPr>
          <w:ilvl w:val="0"/>
          <w:numId w:val="334"/>
        </w:numPr>
        <w:tabs>
          <w:tab w:pos="1919" w:val="left" w:leader="none"/>
        </w:tabs>
        <w:spacing w:line="240" w:lineRule="auto" w:before="120" w:after="0"/>
        <w:ind w:left="1919" w:right="416" w:hanging="567"/>
        <w:jc w:val="both"/>
        <w:rPr>
          <w:sz w:val="24"/>
        </w:rPr>
      </w:pPr>
      <w:r>
        <w:rPr>
          <w:i/>
          <w:sz w:val="24"/>
        </w:rPr>
        <w:t>Generators</w:t>
      </w:r>
      <w:r>
        <w:rPr>
          <w:sz w:val="24"/>
        </w:rPr>
        <w:t>: the </w:t>
      </w:r>
      <w:r>
        <w:rPr>
          <w:i/>
          <w:sz w:val="24"/>
        </w:rPr>
        <w:t>Power System Model Guidelines</w:t>
      </w:r>
      <w:r>
        <w:rPr>
          <w:sz w:val="24"/>
        </w:rPr>
        <w:t>, </w:t>
      </w:r>
      <w:r>
        <w:rPr>
          <w:i/>
          <w:sz w:val="24"/>
        </w:rPr>
        <w:t>Power System Design </w:t>
      </w:r>
      <w:r>
        <w:rPr>
          <w:i/>
          <w:sz w:val="24"/>
        </w:rPr>
        <w:t>Data Sheet </w:t>
      </w:r>
      <w:r>
        <w:rPr>
          <w:sz w:val="24"/>
        </w:rPr>
        <w:t>and </w:t>
      </w:r>
      <w:r>
        <w:rPr>
          <w:i/>
          <w:sz w:val="24"/>
        </w:rPr>
        <w:t>Power System Setting Data</w:t>
      </w:r>
      <w:r>
        <w:rPr>
          <w:i/>
          <w:spacing w:val="-3"/>
          <w:sz w:val="24"/>
        </w:rPr>
        <w:t> </w:t>
      </w:r>
      <w:r>
        <w:rPr>
          <w:i/>
          <w:sz w:val="24"/>
        </w:rPr>
        <w:t>Sheet</w:t>
      </w:r>
      <w:r>
        <w:rPr>
          <w:sz w:val="24"/>
        </w:rPr>
        <w:t>;</w:t>
      </w:r>
    </w:p>
    <w:p>
      <w:pPr>
        <w:pStyle w:val="ListParagraph"/>
        <w:numPr>
          <w:ilvl w:val="0"/>
          <w:numId w:val="334"/>
        </w:numPr>
        <w:tabs>
          <w:tab w:pos="1919" w:val="left" w:leader="none"/>
        </w:tabs>
        <w:spacing w:line="240" w:lineRule="auto" w:before="120" w:after="0"/>
        <w:ind w:left="1919" w:right="415" w:hanging="567"/>
        <w:jc w:val="both"/>
        <w:rPr>
          <w:sz w:val="24"/>
        </w:rPr>
      </w:pPr>
      <w:r>
        <w:rPr>
          <w:i/>
          <w:sz w:val="24"/>
        </w:rPr>
        <w:t>Customers </w:t>
      </w:r>
      <w:r>
        <w:rPr>
          <w:sz w:val="24"/>
        </w:rPr>
        <w:t>and </w:t>
      </w:r>
      <w:r>
        <w:rPr>
          <w:i/>
          <w:sz w:val="24"/>
        </w:rPr>
        <w:t>Network Service Providers</w:t>
      </w:r>
      <w:r>
        <w:rPr>
          <w:sz w:val="24"/>
        </w:rPr>
        <w:t>: schedules 5.5.3, 5.5.4 and the </w:t>
      </w:r>
      <w:r>
        <w:rPr>
          <w:i/>
          <w:sz w:val="24"/>
        </w:rPr>
        <w:t>Power System Model Guidelines</w:t>
      </w:r>
      <w:r>
        <w:rPr>
          <w:sz w:val="24"/>
        </w:rPr>
        <w:t>, </w:t>
      </w:r>
      <w:r>
        <w:rPr>
          <w:i/>
          <w:sz w:val="24"/>
        </w:rPr>
        <w:t>Power System Design Data Sheet </w:t>
      </w:r>
      <w:r>
        <w:rPr>
          <w:sz w:val="24"/>
        </w:rPr>
        <w:t>and </w:t>
      </w:r>
      <w:r>
        <w:rPr>
          <w:i/>
          <w:sz w:val="24"/>
        </w:rPr>
        <w:t>Power System Setting Data</w:t>
      </w:r>
      <w:r>
        <w:rPr>
          <w:i/>
          <w:spacing w:val="-2"/>
          <w:sz w:val="24"/>
        </w:rPr>
        <w:t> </w:t>
      </w:r>
      <w:r>
        <w:rPr>
          <w:i/>
          <w:sz w:val="24"/>
        </w:rPr>
        <w:t>Sheet</w:t>
      </w:r>
      <w:r>
        <w:rPr>
          <w:sz w:val="24"/>
        </w:rPr>
        <w:t>;</w:t>
      </w:r>
    </w:p>
    <w:p>
      <w:pPr>
        <w:pStyle w:val="ListParagraph"/>
        <w:numPr>
          <w:ilvl w:val="0"/>
          <w:numId w:val="334"/>
        </w:numPr>
        <w:tabs>
          <w:tab w:pos="1919" w:val="left" w:leader="none"/>
        </w:tabs>
        <w:spacing w:line="240" w:lineRule="auto" w:before="120" w:after="0"/>
        <w:ind w:left="1919" w:right="416" w:hanging="567"/>
        <w:jc w:val="both"/>
        <w:rPr>
          <w:sz w:val="24"/>
        </w:rPr>
      </w:pPr>
      <w:r>
        <w:rPr>
          <w:i/>
          <w:sz w:val="24"/>
        </w:rPr>
        <w:t>Customers</w:t>
      </w:r>
      <w:r>
        <w:rPr>
          <w:sz w:val="24"/>
        </w:rPr>
        <w:t>: schedule 5.5.5 and the </w:t>
      </w:r>
      <w:r>
        <w:rPr>
          <w:i/>
          <w:sz w:val="24"/>
        </w:rPr>
        <w:t>Power System Model Guidelines</w:t>
      </w:r>
      <w:r>
        <w:rPr>
          <w:sz w:val="24"/>
        </w:rPr>
        <w:t>, </w:t>
      </w:r>
      <w:r>
        <w:rPr>
          <w:i/>
          <w:sz w:val="24"/>
        </w:rPr>
        <w:t>Power </w:t>
      </w:r>
      <w:r>
        <w:rPr>
          <w:i/>
          <w:sz w:val="24"/>
        </w:rPr>
        <w:t>System Design Data Sheet </w:t>
      </w:r>
      <w:r>
        <w:rPr>
          <w:sz w:val="24"/>
        </w:rPr>
        <w:t>and </w:t>
      </w:r>
      <w:r>
        <w:rPr>
          <w:i/>
          <w:sz w:val="24"/>
        </w:rPr>
        <w:t>Power System Setting Data Sheet</w:t>
      </w:r>
      <w:r>
        <w:rPr>
          <w:sz w:val="24"/>
        </w:rPr>
        <w:t>;</w:t>
      </w:r>
      <w:r>
        <w:rPr>
          <w:spacing w:val="-11"/>
          <w:sz w:val="24"/>
        </w:rPr>
        <w:t> </w:t>
      </w:r>
      <w:r>
        <w:rPr>
          <w:sz w:val="24"/>
        </w:rPr>
        <w:t>and</w:t>
      </w:r>
    </w:p>
    <w:p>
      <w:pPr>
        <w:pStyle w:val="ListParagraph"/>
        <w:numPr>
          <w:ilvl w:val="0"/>
          <w:numId w:val="334"/>
        </w:numPr>
        <w:tabs>
          <w:tab w:pos="1919" w:val="left" w:leader="none"/>
        </w:tabs>
        <w:spacing w:line="240" w:lineRule="auto" w:before="120" w:after="0"/>
        <w:ind w:left="1919" w:right="415" w:hanging="567"/>
        <w:jc w:val="both"/>
        <w:rPr>
          <w:sz w:val="24"/>
        </w:rPr>
      </w:pPr>
      <w:r>
        <w:rPr>
          <w:i/>
          <w:sz w:val="24"/>
        </w:rPr>
        <w:t>Market Network Service Providers</w:t>
      </w:r>
      <w:r>
        <w:rPr>
          <w:sz w:val="24"/>
        </w:rPr>
        <w:t>: schedules 5.5.3 and 5.5.4 and the </w:t>
      </w:r>
      <w:r>
        <w:rPr>
          <w:i/>
          <w:sz w:val="24"/>
        </w:rPr>
        <w:t>Power </w:t>
      </w:r>
      <w:r>
        <w:rPr>
          <w:i/>
          <w:sz w:val="24"/>
        </w:rPr>
        <w:t>System Model Guidelines</w:t>
      </w:r>
      <w:r>
        <w:rPr>
          <w:sz w:val="24"/>
        </w:rPr>
        <w:t>, </w:t>
      </w:r>
      <w:r>
        <w:rPr>
          <w:i/>
          <w:sz w:val="24"/>
        </w:rPr>
        <w:t>Power System Design Data Sheet </w:t>
      </w:r>
      <w:r>
        <w:rPr>
          <w:sz w:val="24"/>
        </w:rPr>
        <w:t>and </w:t>
      </w:r>
      <w:r>
        <w:rPr>
          <w:i/>
          <w:sz w:val="24"/>
        </w:rPr>
        <w:t>Power </w:t>
      </w:r>
      <w:r>
        <w:rPr>
          <w:i/>
          <w:sz w:val="24"/>
        </w:rPr>
        <w:t>System Setting Data</w:t>
      </w:r>
      <w:r>
        <w:rPr>
          <w:i/>
          <w:spacing w:val="-2"/>
          <w:sz w:val="24"/>
        </w:rPr>
        <w:t> </w:t>
      </w:r>
      <w:r>
        <w:rPr>
          <w:i/>
          <w:sz w:val="24"/>
        </w:rPr>
        <w:t>Sheet</w:t>
      </w:r>
      <w:r>
        <w:rPr>
          <w:sz w:val="24"/>
        </w:rPr>
        <w:t>.</w:t>
      </w:r>
    </w:p>
    <w:p>
      <w:pPr>
        <w:pStyle w:val="BodyText"/>
        <w:spacing w:before="10"/>
        <w:ind w:firstLine="0"/>
        <w:jc w:val="left"/>
        <w:rPr>
          <w:sz w:val="20"/>
        </w:rPr>
      </w:pPr>
    </w:p>
    <w:p>
      <w:pPr>
        <w:pStyle w:val="Heading4"/>
        <w:tabs>
          <w:tab w:pos="1351" w:val="left" w:leader="none"/>
        </w:tabs>
        <w:ind w:left="218" w:firstLine="0"/>
      </w:pPr>
      <w:bookmarkStart w:name="S5.5.5 Asynchronous generating unit data" w:id="1086"/>
      <w:bookmarkEnd w:id="1086"/>
      <w:r>
        <w:rPr>
          <w:b w:val="0"/>
        </w:rPr>
      </w:r>
      <w:bookmarkStart w:name="_bookmark435" w:id="1087"/>
      <w:bookmarkEnd w:id="1087"/>
      <w:r>
        <w:rPr>
          <w:b w:val="0"/>
        </w:rPr>
      </w:r>
      <w:r>
        <w:rPr/>
        <w:t>S5.5.5</w:t>
        <w:tab/>
        <w:t>Asynchronous generating unit</w:t>
      </w:r>
      <w:r>
        <w:rPr>
          <w:spacing w:val="-2"/>
        </w:rPr>
        <w:t> </w:t>
      </w:r>
      <w:r>
        <w:rPr/>
        <w:t>data</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spacing w:after="0"/>
        <w:jc w:val="left"/>
        <w:rPr>
          <w:sz w:val="20"/>
        </w:rPr>
        <w:sectPr>
          <w:pgSz w:w="11910" w:h="16840"/>
          <w:pgMar w:header="686" w:footer="637" w:top="1320" w:bottom="820" w:left="1200" w:right="1000"/>
        </w:sectPr>
      </w:pPr>
    </w:p>
    <w:p>
      <w:pPr>
        <w:spacing w:before="83"/>
        <w:ind w:left="1352" w:right="415" w:firstLine="0"/>
        <w:jc w:val="both"/>
        <w:rPr>
          <w:sz w:val="24"/>
        </w:rPr>
      </w:pPr>
      <w:r>
        <w:rPr>
          <w:sz w:val="24"/>
        </w:rPr>
        <w:t>A </w:t>
      </w:r>
      <w:r>
        <w:rPr>
          <w:i/>
          <w:sz w:val="24"/>
        </w:rPr>
        <w:t>Generator </w:t>
      </w:r>
      <w:r>
        <w:rPr>
          <w:sz w:val="24"/>
        </w:rPr>
        <w:t>that </w:t>
      </w:r>
      <w:r>
        <w:rPr>
          <w:i/>
          <w:sz w:val="24"/>
        </w:rPr>
        <w:t>connects </w:t>
      </w:r>
      <w:r>
        <w:rPr>
          <w:sz w:val="24"/>
        </w:rPr>
        <w:t>a </w:t>
      </w:r>
      <w:r>
        <w:rPr>
          <w:i/>
          <w:sz w:val="24"/>
        </w:rPr>
        <w:t>generating system</w:t>
      </w:r>
      <w:r>
        <w:rPr>
          <w:sz w:val="24"/>
        </w:rPr>
        <w:t>, that is an </w:t>
      </w:r>
      <w:r>
        <w:rPr>
          <w:i/>
          <w:sz w:val="24"/>
        </w:rPr>
        <w:t>asynchronous </w:t>
      </w:r>
      <w:r>
        <w:rPr>
          <w:i/>
          <w:sz w:val="24"/>
        </w:rPr>
        <w:t>generating unit</w:t>
      </w:r>
      <w:r>
        <w:rPr>
          <w:sz w:val="24"/>
        </w:rPr>
        <w:t>, must be given exemption from complying with those parts of the </w:t>
      </w:r>
      <w:r>
        <w:rPr>
          <w:i/>
          <w:sz w:val="24"/>
        </w:rPr>
        <w:t>Power System Model Guidelines</w:t>
      </w:r>
      <w:r>
        <w:rPr>
          <w:sz w:val="24"/>
        </w:rPr>
        <w:t>, </w:t>
      </w:r>
      <w:r>
        <w:rPr>
          <w:i/>
          <w:sz w:val="24"/>
        </w:rPr>
        <w:t>Power System Design Data Sheet </w:t>
      </w:r>
      <w:r>
        <w:rPr>
          <w:sz w:val="24"/>
        </w:rPr>
        <w:t>and </w:t>
      </w:r>
      <w:r>
        <w:rPr>
          <w:i/>
          <w:sz w:val="24"/>
        </w:rPr>
        <w:t>Power </w:t>
      </w:r>
      <w:r>
        <w:rPr>
          <w:i/>
          <w:sz w:val="24"/>
        </w:rPr>
        <w:t>System Design Data Sheet </w:t>
      </w:r>
      <w:r>
        <w:rPr>
          <w:sz w:val="24"/>
        </w:rPr>
        <w:t>that are determined by the </w:t>
      </w:r>
      <w:r>
        <w:rPr>
          <w:i/>
          <w:sz w:val="24"/>
        </w:rPr>
        <w:t>Network Service Provider </w:t>
      </w:r>
      <w:r>
        <w:rPr>
          <w:sz w:val="24"/>
        </w:rPr>
        <w:t>to be not relevant to such </w:t>
      </w:r>
      <w:r>
        <w:rPr>
          <w:i/>
          <w:sz w:val="24"/>
        </w:rPr>
        <w:t>generating systems</w:t>
      </w:r>
      <w:r>
        <w:rPr>
          <w:sz w:val="24"/>
        </w:rPr>
        <w:t>, but must comply with those parts of schedules 5.5.3, 5.5.4, and 5.5.5 that are relevant to such </w:t>
      </w:r>
      <w:r>
        <w:rPr>
          <w:i/>
          <w:sz w:val="24"/>
        </w:rPr>
        <w:t>generating systems</w:t>
      </w:r>
      <w:r>
        <w:rPr>
          <w:sz w:val="24"/>
        </w:rPr>
        <w:t>, as determined by the </w:t>
      </w:r>
      <w:r>
        <w:rPr>
          <w:i/>
          <w:sz w:val="24"/>
        </w:rPr>
        <w:t>Network Service</w:t>
      </w:r>
      <w:r>
        <w:rPr>
          <w:i/>
          <w:spacing w:val="-2"/>
          <w:sz w:val="24"/>
        </w:rPr>
        <w:t> </w:t>
      </w:r>
      <w:r>
        <w:rPr>
          <w:i/>
          <w:sz w:val="24"/>
        </w:rPr>
        <w:t>Provider</w:t>
      </w:r>
      <w:r>
        <w:rPr>
          <w:sz w:val="24"/>
        </w:rPr>
        <w:t>.</w:t>
      </w:r>
    </w:p>
    <w:p>
      <w:pPr>
        <w:pStyle w:val="BodyText"/>
        <w:spacing w:before="10"/>
        <w:ind w:firstLine="0"/>
        <w:jc w:val="left"/>
        <w:rPr>
          <w:sz w:val="20"/>
        </w:rPr>
      </w:pPr>
    </w:p>
    <w:p>
      <w:pPr>
        <w:pStyle w:val="Heading4"/>
        <w:tabs>
          <w:tab w:pos="1351" w:val="left" w:leader="none"/>
        </w:tabs>
        <w:ind w:left="218" w:firstLine="0"/>
      </w:pPr>
      <w:bookmarkStart w:name="S5.5.6 Generating units smaller than 30M" w:id="1088"/>
      <w:bookmarkEnd w:id="1088"/>
      <w:r>
        <w:rPr>
          <w:b w:val="0"/>
        </w:rPr>
      </w:r>
      <w:bookmarkStart w:name="_bookmark436" w:id="1089"/>
      <w:bookmarkEnd w:id="1089"/>
      <w:r>
        <w:rPr>
          <w:b w:val="0"/>
        </w:rPr>
      </w:r>
      <w:r>
        <w:rPr/>
        <w:t>S5.5.6</w:t>
        <w:tab/>
        <w:t>Generating units smaller than 30MW</w:t>
      </w:r>
      <w:r>
        <w:rPr>
          <w:spacing w:val="-2"/>
        </w:rPr>
        <w:t> </w:t>
      </w:r>
      <w:r>
        <w:rPr/>
        <w:t>data</w:t>
      </w:r>
    </w:p>
    <w:p>
      <w:pPr>
        <w:spacing w:before="120"/>
        <w:ind w:left="1352" w:right="415" w:firstLine="0"/>
        <w:jc w:val="both"/>
        <w:rPr>
          <w:sz w:val="24"/>
        </w:rPr>
      </w:pPr>
      <w:r>
        <w:rPr>
          <w:sz w:val="24"/>
        </w:rPr>
        <w:t>A </w:t>
      </w:r>
      <w:r>
        <w:rPr>
          <w:i/>
          <w:sz w:val="24"/>
        </w:rPr>
        <w:t>Generator </w:t>
      </w:r>
      <w:r>
        <w:rPr>
          <w:sz w:val="24"/>
        </w:rPr>
        <w:t>that </w:t>
      </w:r>
      <w:r>
        <w:rPr>
          <w:i/>
          <w:sz w:val="24"/>
        </w:rPr>
        <w:t>connects </w:t>
      </w:r>
      <w:r>
        <w:rPr>
          <w:sz w:val="24"/>
        </w:rPr>
        <w:t>a </w:t>
      </w:r>
      <w:r>
        <w:rPr>
          <w:i/>
          <w:sz w:val="24"/>
        </w:rPr>
        <w:t>generating unit </w:t>
      </w:r>
      <w:r>
        <w:rPr>
          <w:sz w:val="24"/>
        </w:rPr>
        <w:t>smaller than 30 MW or </w:t>
      </w:r>
      <w:r>
        <w:rPr>
          <w:i/>
          <w:sz w:val="24"/>
        </w:rPr>
        <w:t>generating </w:t>
      </w:r>
      <w:r>
        <w:rPr>
          <w:i/>
          <w:sz w:val="24"/>
        </w:rPr>
        <w:t>units </w:t>
      </w:r>
      <w:r>
        <w:rPr>
          <w:sz w:val="24"/>
        </w:rPr>
        <w:t>totalling less than 30 MW to a </w:t>
      </w:r>
      <w:r>
        <w:rPr>
          <w:i/>
          <w:sz w:val="24"/>
        </w:rPr>
        <w:t>connection point </w:t>
      </w:r>
      <w:r>
        <w:rPr>
          <w:sz w:val="24"/>
        </w:rPr>
        <w:t>to a </w:t>
      </w:r>
      <w:r>
        <w:rPr>
          <w:i/>
          <w:sz w:val="24"/>
        </w:rPr>
        <w:t>distribution network </w:t>
      </w:r>
      <w:r>
        <w:rPr>
          <w:sz w:val="24"/>
        </w:rPr>
        <w:t>must submit registered system planning data and registered data to </w:t>
      </w:r>
      <w:r>
        <w:rPr>
          <w:i/>
          <w:sz w:val="24"/>
        </w:rPr>
        <w:t>AEMO </w:t>
      </w:r>
      <w:r>
        <w:rPr>
          <w:sz w:val="24"/>
        </w:rPr>
        <w:t>and the relevant </w:t>
      </w:r>
      <w:r>
        <w:rPr>
          <w:i/>
          <w:sz w:val="24"/>
        </w:rPr>
        <w:t>Network Service Provider </w:t>
      </w:r>
      <w:r>
        <w:rPr>
          <w:sz w:val="24"/>
        </w:rPr>
        <w:t>in accordance with the requirements specified in the </w:t>
      </w:r>
      <w:r>
        <w:rPr>
          <w:i/>
          <w:sz w:val="24"/>
        </w:rPr>
        <w:t>Power System Model Guidelines</w:t>
      </w:r>
      <w:r>
        <w:rPr>
          <w:sz w:val="24"/>
        </w:rPr>
        <w:t>, </w:t>
      </w:r>
      <w:r>
        <w:rPr>
          <w:i/>
          <w:sz w:val="24"/>
        </w:rPr>
        <w:t>Power System Design Data Sheet </w:t>
      </w:r>
      <w:r>
        <w:rPr>
          <w:sz w:val="24"/>
        </w:rPr>
        <w:t>and </w:t>
      </w:r>
      <w:r>
        <w:rPr>
          <w:i/>
          <w:sz w:val="24"/>
        </w:rPr>
        <w:t>Power System Setting Data Sheet</w:t>
      </w:r>
      <w:r>
        <w:rPr>
          <w:sz w:val="24"/>
        </w:rPr>
        <w:t>.</w:t>
      </w:r>
    </w:p>
    <w:p>
      <w:pPr>
        <w:pStyle w:val="BodyText"/>
        <w:ind w:left="1352" w:firstLine="0"/>
        <w:jc w:val="left"/>
      </w:pPr>
      <w:r>
        <w:rPr/>
        <w:t>Codes:</w:t>
      </w:r>
    </w:p>
    <w:p>
      <w:pPr>
        <w:pStyle w:val="BodyText"/>
        <w:spacing w:line="343" w:lineRule="auto"/>
        <w:ind w:left="1352" w:right="5669" w:firstLine="0"/>
        <w:jc w:val="left"/>
      </w:pPr>
      <w:r>
        <w:rPr/>
        <w:t>S = Standard Planning Data D = Detailed Planning Data</w:t>
      </w:r>
    </w:p>
    <w:p>
      <w:pPr>
        <w:spacing w:before="3"/>
        <w:ind w:left="1352" w:right="0" w:firstLine="0"/>
        <w:jc w:val="left"/>
        <w:rPr>
          <w:sz w:val="24"/>
        </w:rPr>
      </w:pPr>
      <w:r>
        <w:rPr>
          <w:sz w:val="24"/>
        </w:rPr>
        <w:t>R = Registered Data (R1 pre-</w:t>
      </w:r>
      <w:r>
        <w:rPr>
          <w:i/>
          <w:sz w:val="24"/>
        </w:rPr>
        <w:t>connection</w:t>
      </w:r>
      <w:r>
        <w:rPr>
          <w:sz w:val="24"/>
        </w:rPr>
        <w:t>,R2 post-</w:t>
      </w:r>
      <w:r>
        <w:rPr>
          <w:i/>
          <w:sz w:val="24"/>
        </w:rPr>
        <w:t>connection</w:t>
      </w:r>
      <w:r>
        <w:rPr>
          <w:sz w:val="24"/>
        </w:rPr>
        <w:t>)</w:t>
      </w:r>
    </w:p>
    <w:p>
      <w:pPr>
        <w:pStyle w:val="BodyText"/>
        <w:spacing w:before="10"/>
        <w:ind w:firstLine="0"/>
        <w:jc w:val="left"/>
        <w:rPr>
          <w:sz w:val="20"/>
        </w:rPr>
      </w:pPr>
    </w:p>
    <w:p>
      <w:pPr>
        <w:pStyle w:val="Heading4"/>
        <w:tabs>
          <w:tab w:pos="1351" w:val="left" w:leader="none"/>
        </w:tabs>
        <w:ind w:left="1352" w:right="577"/>
      </w:pPr>
      <w:bookmarkStart w:name="S5.5.7 Power System Design Data Sheet, P" w:id="1090"/>
      <w:bookmarkEnd w:id="1090"/>
      <w:r>
        <w:rPr>
          <w:b w:val="0"/>
        </w:rPr>
      </w:r>
      <w:bookmarkStart w:name="_bookmark437" w:id="1091"/>
      <w:bookmarkEnd w:id="1091"/>
      <w:r>
        <w:rPr>
          <w:b w:val="0"/>
        </w:rPr>
      </w:r>
      <w:r>
        <w:rPr/>
        <w:t>S5.5.7</w:t>
        <w:tab/>
        <w:t>Power System Design Data Sheet, Power System Setting Data Sheet and Power System Model</w:t>
      </w:r>
      <w:r>
        <w:rPr>
          <w:spacing w:val="-4"/>
        </w:rPr>
        <w:t> </w:t>
      </w:r>
      <w:r>
        <w:rPr/>
        <w:t>Guidelines</w:t>
      </w:r>
    </w:p>
    <w:p>
      <w:pPr>
        <w:pStyle w:val="ListParagraph"/>
        <w:numPr>
          <w:ilvl w:val="0"/>
          <w:numId w:val="335"/>
        </w:numPr>
        <w:tabs>
          <w:tab w:pos="1919" w:val="left" w:leader="none"/>
        </w:tabs>
        <w:spacing w:line="240" w:lineRule="auto" w:before="120" w:after="0"/>
        <w:ind w:left="1919" w:right="416" w:hanging="567"/>
        <w:jc w:val="both"/>
        <w:rPr>
          <w:sz w:val="24"/>
        </w:rPr>
      </w:pPr>
      <w:r>
        <w:rPr>
          <w:i/>
          <w:sz w:val="24"/>
        </w:rPr>
        <w:t>AEMO </w:t>
      </w:r>
      <w:r>
        <w:rPr>
          <w:sz w:val="24"/>
        </w:rPr>
        <w:t>must, subject to paragraphs (b) and (c), develop, </w:t>
      </w:r>
      <w:r>
        <w:rPr>
          <w:i/>
          <w:sz w:val="24"/>
        </w:rPr>
        <w:t>publish </w:t>
      </w:r>
      <w:r>
        <w:rPr>
          <w:sz w:val="24"/>
        </w:rPr>
        <w:t>and maintain, in accordance with the </w:t>
      </w:r>
      <w:r>
        <w:rPr>
          <w:i/>
          <w:sz w:val="24"/>
        </w:rPr>
        <w:t>Rules consultation</w:t>
      </w:r>
      <w:r>
        <w:rPr>
          <w:i/>
          <w:spacing w:val="-4"/>
          <w:sz w:val="24"/>
        </w:rPr>
        <w:t> </w:t>
      </w:r>
      <w:r>
        <w:rPr>
          <w:i/>
          <w:sz w:val="24"/>
        </w:rPr>
        <w:t>procedures</w:t>
      </w:r>
      <w:r>
        <w:rPr>
          <w:sz w:val="24"/>
        </w:rPr>
        <w:t>:</w:t>
      </w:r>
    </w:p>
    <w:p>
      <w:pPr>
        <w:pStyle w:val="ListParagraph"/>
        <w:numPr>
          <w:ilvl w:val="1"/>
          <w:numId w:val="335"/>
        </w:numPr>
        <w:tabs>
          <w:tab w:pos="2486" w:val="left" w:leader="none"/>
        </w:tabs>
        <w:spacing w:line="240" w:lineRule="auto" w:before="120" w:after="0"/>
        <w:ind w:left="2486" w:right="415" w:hanging="567"/>
        <w:jc w:val="both"/>
        <w:rPr>
          <w:sz w:val="24"/>
        </w:rPr>
      </w:pPr>
      <w:r>
        <w:rPr>
          <w:sz w:val="24"/>
        </w:rPr>
        <w:t>a </w:t>
      </w:r>
      <w:r>
        <w:rPr>
          <w:i/>
          <w:sz w:val="24"/>
        </w:rPr>
        <w:t>Power System Design Data Sheet </w:t>
      </w:r>
      <w:r>
        <w:rPr>
          <w:sz w:val="24"/>
        </w:rPr>
        <w:t>describing, for relevant </w:t>
      </w:r>
      <w:r>
        <w:rPr>
          <w:i/>
          <w:sz w:val="24"/>
        </w:rPr>
        <w:t>plant </w:t>
      </w:r>
      <w:r>
        <w:rPr>
          <w:i/>
          <w:sz w:val="24"/>
        </w:rPr>
        <w:t>technologies</w:t>
      </w:r>
      <w:r>
        <w:rPr>
          <w:sz w:val="24"/>
        </w:rPr>
        <w:t>, </w:t>
      </w:r>
      <w:r>
        <w:rPr>
          <w:i/>
          <w:sz w:val="24"/>
        </w:rPr>
        <w:t>plant </w:t>
      </w:r>
      <w:r>
        <w:rPr>
          <w:sz w:val="24"/>
        </w:rPr>
        <w:t>design parameters including </w:t>
      </w:r>
      <w:r>
        <w:rPr>
          <w:i/>
          <w:sz w:val="24"/>
        </w:rPr>
        <w:t>plant </w:t>
      </w:r>
      <w:r>
        <w:rPr>
          <w:sz w:val="24"/>
        </w:rPr>
        <w:t>configurations, impedances, time constants, non-linearities, ratings and capabilities to be provided under clauses 3.11.5(b)(5), 3.11.9(g), 4.3.4(o), 5.2.3(j), 5.2.3(k), 5.2.3A(a), 5.2.4(c), 5.2.4(d), 5.2.5(d), 5.2.5(e), 5.3.9(b)(2), S5.2.4, S5.3.1, S5.3a.1 and this schedule</w:t>
      </w:r>
      <w:r>
        <w:rPr>
          <w:spacing w:val="-8"/>
          <w:sz w:val="24"/>
        </w:rPr>
        <w:t> </w:t>
      </w:r>
      <w:r>
        <w:rPr>
          <w:sz w:val="24"/>
        </w:rPr>
        <w:t>5.5;</w:t>
      </w:r>
    </w:p>
    <w:p>
      <w:pPr>
        <w:pStyle w:val="ListParagraph"/>
        <w:numPr>
          <w:ilvl w:val="1"/>
          <w:numId w:val="335"/>
        </w:numPr>
        <w:tabs>
          <w:tab w:pos="2486" w:val="left" w:leader="none"/>
        </w:tabs>
        <w:spacing w:line="240" w:lineRule="auto" w:before="120" w:after="0"/>
        <w:ind w:left="2486" w:right="414" w:hanging="567"/>
        <w:jc w:val="both"/>
        <w:rPr>
          <w:sz w:val="24"/>
        </w:rPr>
      </w:pPr>
      <w:r>
        <w:rPr>
          <w:sz w:val="24"/>
        </w:rPr>
        <w:t>a </w:t>
      </w:r>
      <w:r>
        <w:rPr>
          <w:i/>
          <w:sz w:val="24"/>
        </w:rPr>
        <w:t>Power System Setting Data Sheet </w:t>
      </w:r>
      <w:r>
        <w:rPr>
          <w:sz w:val="24"/>
        </w:rPr>
        <w:t>describing, for relevant </w:t>
      </w:r>
      <w:r>
        <w:rPr>
          <w:i/>
          <w:sz w:val="24"/>
        </w:rPr>
        <w:t>power </w:t>
      </w:r>
      <w:r>
        <w:rPr>
          <w:i/>
          <w:sz w:val="24"/>
        </w:rPr>
        <w:t>systems </w:t>
      </w:r>
      <w:r>
        <w:rPr>
          <w:sz w:val="24"/>
        </w:rPr>
        <w:t>and </w:t>
      </w:r>
      <w:r>
        <w:rPr>
          <w:i/>
          <w:sz w:val="24"/>
        </w:rPr>
        <w:t>control system </w:t>
      </w:r>
      <w:r>
        <w:rPr>
          <w:sz w:val="24"/>
        </w:rPr>
        <w:t>technologies, the </w:t>
      </w:r>
      <w:r>
        <w:rPr>
          <w:i/>
          <w:sz w:val="24"/>
        </w:rPr>
        <w:t>protection system </w:t>
      </w:r>
      <w:r>
        <w:rPr>
          <w:sz w:val="24"/>
        </w:rPr>
        <w:t>and </w:t>
      </w:r>
      <w:r>
        <w:rPr>
          <w:i/>
          <w:sz w:val="24"/>
        </w:rPr>
        <w:t>control system </w:t>
      </w:r>
      <w:r>
        <w:rPr>
          <w:sz w:val="24"/>
        </w:rPr>
        <w:t>functions and their settings, including configurations, gains, time constants, delays, deadbands, non-linearities and limits to be provided under clauses 3.11.5(b)(5), 3.11.9(g), 4.3.4(o), 5.2.3(j), 5.2.3(k), 5.2.3A(a), 5.2.3A(b), 5.2.4(c), 5.2.4(d), 5.2.5(d), 5.2.5(e), 5.3.9(b)(2), S5.2.4, S5.3.1, S5.3a.1 and this schedule 5.5;</w:t>
      </w:r>
      <w:r>
        <w:rPr>
          <w:spacing w:val="-14"/>
          <w:sz w:val="24"/>
        </w:rPr>
        <w:t> </w:t>
      </w:r>
      <w:r>
        <w:rPr>
          <w:sz w:val="24"/>
        </w:rPr>
        <w:t>and</w:t>
      </w:r>
    </w:p>
    <w:p>
      <w:pPr>
        <w:pStyle w:val="ListParagraph"/>
        <w:numPr>
          <w:ilvl w:val="1"/>
          <w:numId w:val="335"/>
        </w:numPr>
        <w:tabs>
          <w:tab w:pos="2486" w:val="left" w:leader="none"/>
        </w:tabs>
        <w:spacing w:line="240" w:lineRule="auto" w:before="120" w:after="0"/>
        <w:ind w:left="2486" w:right="415" w:hanging="567"/>
        <w:jc w:val="both"/>
        <w:rPr>
          <w:sz w:val="24"/>
        </w:rPr>
      </w:pPr>
      <w:r>
        <w:rPr>
          <w:i/>
          <w:sz w:val="24"/>
        </w:rPr>
        <w:t>Power System Model Guidelines </w:t>
      </w:r>
      <w:r>
        <w:rPr>
          <w:sz w:val="24"/>
        </w:rPr>
        <w:t>describing, for relevant </w:t>
      </w:r>
      <w:r>
        <w:rPr>
          <w:i/>
          <w:sz w:val="24"/>
        </w:rPr>
        <w:t>power system </w:t>
      </w:r>
      <w:r>
        <w:rPr>
          <w:sz w:val="24"/>
        </w:rPr>
        <w:t>technologies at the </w:t>
      </w:r>
      <w:r>
        <w:rPr>
          <w:i/>
          <w:sz w:val="24"/>
        </w:rPr>
        <w:t>transmission system </w:t>
      </w:r>
      <w:r>
        <w:rPr>
          <w:sz w:val="24"/>
        </w:rPr>
        <w:t>and </w:t>
      </w:r>
      <w:r>
        <w:rPr>
          <w:i/>
          <w:sz w:val="24"/>
        </w:rPr>
        <w:t>distribution system </w:t>
      </w:r>
      <w:r>
        <w:rPr>
          <w:sz w:val="24"/>
        </w:rPr>
        <w:t>level, </w:t>
      </w:r>
      <w:r>
        <w:rPr>
          <w:i/>
          <w:sz w:val="24"/>
        </w:rPr>
        <w:t>AEMO's </w:t>
      </w:r>
      <w:r>
        <w:rPr>
          <w:sz w:val="24"/>
        </w:rPr>
        <w:t>requirements when developing mathematical models for </w:t>
      </w:r>
      <w:r>
        <w:rPr>
          <w:i/>
          <w:sz w:val="24"/>
        </w:rPr>
        <w:t>plant</w:t>
      </w:r>
      <w:r>
        <w:rPr>
          <w:sz w:val="24"/>
        </w:rPr>
        <w:t>, including the impact of their </w:t>
      </w:r>
      <w:r>
        <w:rPr>
          <w:i/>
          <w:sz w:val="24"/>
        </w:rPr>
        <w:t>control systems </w:t>
      </w:r>
      <w:r>
        <w:rPr>
          <w:sz w:val="24"/>
        </w:rPr>
        <w:t>and </w:t>
      </w:r>
      <w:r>
        <w:rPr>
          <w:i/>
          <w:sz w:val="24"/>
        </w:rPr>
        <w:t>protection </w:t>
      </w:r>
      <w:r>
        <w:rPr>
          <w:i/>
          <w:sz w:val="24"/>
        </w:rPr>
        <w:t>systems </w:t>
      </w:r>
      <w:r>
        <w:rPr>
          <w:sz w:val="24"/>
        </w:rPr>
        <w:t>on </w:t>
      </w:r>
      <w:r>
        <w:rPr>
          <w:i/>
          <w:sz w:val="24"/>
        </w:rPr>
        <w:t>power system security </w:t>
      </w:r>
      <w:r>
        <w:rPr>
          <w:sz w:val="24"/>
        </w:rPr>
        <w:t>to be provided under clauses 3.11.5(b)(5), 3.11.9(g), 4.3.4(o), 5.2.3(j), 5.2.3(k), 5.2.3A(a), 5.2.3A(b), 5.2.4(c), 5.2.4(d), 5.2.5(d), 5.2.5(e), 5.3.9(b)(2), S5.2.4, S5.3.1, S5.3a.1 and this schedule</w:t>
      </w:r>
      <w:r>
        <w:rPr>
          <w:spacing w:val="-5"/>
          <w:sz w:val="24"/>
        </w:rPr>
        <w:t> </w:t>
      </w:r>
      <w:r>
        <w:rPr>
          <w:sz w:val="24"/>
        </w:rPr>
        <w:t>5.5.</w:t>
      </w:r>
    </w:p>
    <w:p>
      <w:pPr>
        <w:spacing w:after="0" w:line="240" w:lineRule="auto"/>
        <w:jc w:val="both"/>
        <w:rPr>
          <w:sz w:val="24"/>
        </w:rPr>
        <w:sectPr>
          <w:pgSz w:w="11910" w:h="16840"/>
          <w:pgMar w:header="686" w:footer="637" w:top="1320" w:bottom="820" w:left="1200" w:right="1000"/>
        </w:sectPr>
      </w:pPr>
    </w:p>
    <w:p>
      <w:pPr>
        <w:pStyle w:val="ListParagraph"/>
        <w:numPr>
          <w:ilvl w:val="0"/>
          <w:numId w:val="335"/>
        </w:numPr>
        <w:tabs>
          <w:tab w:pos="1919" w:val="left" w:leader="none"/>
        </w:tabs>
        <w:spacing w:line="240" w:lineRule="auto" w:before="83" w:after="0"/>
        <w:ind w:left="1919" w:right="414" w:hanging="567"/>
        <w:jc w:val="both"/>
        <w:rPr>
          <w:sz w:val="24"/>
        </w:rPr>
      </w:pPr>
      <w:r>
        <w:rPr>
          <w:sz w:val="24"/>
        </w:rPr>
        <w:t>When developing, </w:t>
      </w:r>
      <w:r>
        <w:rPr>
          <w:i/>
          <w:sz w:val="24"/>
        </w:rPr>
        <w:t>publishing </w:t>
      </w:r>
      <w:r>
        <w:rPr>
          <w:sz w:val="24"/>
        </w:rPr>
        <w:t>and maintaining the </w:t>
      </w:r>
      <w:r>
        <w:rPr>
          <w:i/>
          <w:sz w:val="24"/>
        </w:rPr>
        <w:t>Power System Model </w:t>
      </w:r>
      <w:r>
        <w:rPr>
          <w:i/>
          <w:sz w:val="24"/>
        </w:rPr>
        <w:t>Guidelines</w:t>
      </w:r>
      <w:r>
        <w:rPr>
          <w:sz w:val="24"/>
        </w:rPr>
        <w:t>, the </w:t>
      </w:r>
      <w:r>
        <w:rPr>
          <w:i/>
          <w:sz w:val="24"/>
        </w:rPr>
        <w:t>Power System Design Data Sheet </w:t>
      </w:r>
      <w:r>
        <w:rPr>
          <w:sz w:val="24"/>
        </w:rPr>
        <w:t>and the </w:t>
      </w:r>
      <w:r>
        <w:rPr>
          <w:i/>
          <w:sz w:val="24"/>
        </w:rPr>
        <w:t>Power System </w:t>
      </w:r>
      <w:r>
        <w:rPr>
          <w:i/>
          <w:sz w:val="24"/>
        </w:rPr>
        <w:t>Setting Data Sheet </w:t>
      </w:r>
      <w:r>
        <w:rPr>
          <w:sz w:val="24"/>
        </w:rPr>
        <w:t>under paragraph (a), </w:t>
      </w:r>
      <w:r>
        <w:rPr>
          <w:i/>
          <w:sz w:val="24"/>
        </w:rPr>
        <w:t>AEMO </w:t>
      </w:r>
      <w:r>
        <w:rPr>
          <w:sz w:val="24"/>
        </w:rPr>
        <w:t>must have regard to the purpose of the </w:t>
      </w:r>
      <w:r>
        <w:rPr>
          <w:i/>
          <w:sz w:val="24"/>
        </w:rPr>
        <w:t>Power System Model Guidelines</w:t>
      </w:r>
      <w:r>
        <w:rPr>
          <w:sz w:val="24"/>
        </w:rPr>
        <w:t>, the </w:t>
      </w:r>
      <w:r>
        <w:rPr>
          <w:i/>
          <w:sz w:val="24"/>
        </w:rPr>
        <w:t>Power System Design </w:t>
      </w:r>
      <w:r>
        <w:rPr>
          <w:i/>
          <w:sz w:val="24"/>
        </w:rPr>
        <w:t>Data Sheet </w:t>
      </w:r>
      <w:r>
        <w:rPr>
          <w:sz w:val="24"/>
        </w:rPr>
        <w:t>and the </w:t>
      </w:r>
      <w:r>
        <w:rPr>
          <w:i/>
          <w:sz w:val="24"/>
        </w:rPr>
        <w:t>Power System Setting Data Sheet</w:t>
      </w:r>
      <w:r>
        <w:rPr>
          <w:sz w:val="24"/>
        </w:rPr>
        <w:t>, which is</w:t>
      </w:r>
      <w:r>
        <w:rPr>
          <w:spacing w:val="-7"/>
          <w:sz w:val="24"/>
        </w:rPr>
        <w:t> </w:t>
      </w:r>
      <w:r>
        <w:rPr>
          <w:sz w:val="24"/>
        </w:rPr>
        <w:t>to:</w:t>
      </w:r>
    </w:p>
    <w:p>
      <w:pPr>
        <w:pStyle w:val="ListParagraph"/>
        <w:numPr>
          <w:ilvl w:val="1"/>
          <w:numId w:val="335"/>
        </w:numPr>
        <w:tabs>
          <w:tab w:pos="2486" w:val="left" w:leader="none"/>
        </w:tabs>
        <w:spacing w:line="240" w:lineRule="auto" w:before="120" w:after="0"/>
        <w:ind w:left="2485" w:right="0" w:hanging="567"/>
        <w:jc w:val="both"/>
        <w:rPr>
          <w:i/>
          <w:sz w:val="24"/>
        </w:rPr>
      </w:pPr>
      <w:r>
        <w:rPr>
          <w:sz w:val="24"/>
        </w:rPr>
        <w:t>allow</w:t>
      </w:r>
      <w:r>
        <w:rPr>
          <w:spacing w:val="19"/>
          <w:sz w:val="24"/>
        </w:rPr>
        <w:t> </w:t>
      </w:r>
      <w:r>
        <w:rPr>
          <w:i/>
          <w:sz w:val="24"/>
        </w:rPr>
        <w:t>plant</w:t>
      </w:r>
      <w:r>
        <w:rPr>
          <w:i/>
          <w:spacing w:val="20"/>
          <w:sz w:val="24"/>
        </w:rPr>
        <w:t> </w:t>
      </w:r>
      <w:r>
        <w:rPr>
          <w:sz w:val="24"/>
        </w:rPr>
        <w:t>and</w:t>
      </w:r>
      <w:r>
        <w:rPr>
          <w:spacing w:val="20"/>
          <w:sz w:val="24"/>
        </w:rPr>
        <w:t> </w:t>
      </w:r>
      <w:r>
        <w:rPr>
          <w:sz w:val="24"/>
        </w:rPr>
        <w:t>equipment</w:t>
      </w:r>
      <w:r>
        <w:rPr>
          <w:spacing w:val="19"/>
          <w:sz w:val="24"/>
        </w:rPr>
        <w:t> </w:t>
      </w:r>
      <w:r>
        <w:rPr>
          <w:sz w:val="24"/>
        </w:rPr>
        <w:t>to</w:t>
      </w:r>
      <w:r>
        <w:rPr>
          <w:spacing w:val="20"/>
          <w:sz w:val="24"/>
        </w:rPr>
        <w:t> </w:t>
      </w:r>
      <w:r>
        <w:rPr>
          <w:sz w:val="24"/>
        </w:rPr>
        <w:t>be</w:t>
      </w:r>
      <w:r>
        <w:rPr>
          <w:spacing w:val="20"/>
          <w:sz w:val="24"/>
        </w:rPr>
        <w:t> </w:t>
      </w:r>
      <w:r>
        <w:rPr>
          <w:sz w:val="24"/>
        </w:rPr>
        <w:t>mathematically</w:t>
      </w:r>
      <w:r>
        <w:rPr>
          <w:spacing w:val="20"/>
          <w:sz w:val="24"/>
        </w:rPr>
        <w:t> </w:t>
      </w:r>
      <w:r>
        <w:rPr>
          <w:sz w:val="24"/>
        </w:rPr>
        <w:t>modelled</w:t>
      </w:r>
      <w:r>
        <w:rPr>
          <w:spacing w:val="19"/>
          <w:sz w:val="24"/>
        </w:rPr>
        <w:t> </w:t>
      </w:r>
      <w:r>
        <w:rPr>
          <w:sz w:val="24"/>
        </w:rPr>
        <w:t>by</w:t>
      </w:r>
      <w:r>
        <w:rPr>
          <w:spacing w:val="20"/>
          <w:sz w:val="24"/>
        </w:rPr>
        <w:t> </w:t>
      </w:r>
      <w:r>
        <w:rPr>
          <w:i/>
          <w:sz w:val="24"/>
        </w:rPr>
        <w:t>AEMO</w:t>
      </w:r>
    </w:p>
    <w:p>
      <w:pPr>
        <w:pStyle w:val="BodyText"/>
        <w:spacing w:before="0"/>
        <w:ind w:left="2486" w:firstLine="0"/>
      </w:pPr>
      <w:r>
        <w:rPr/>
        <w:t>with sufficient accuracy to permit:</w:t>
      </w:r>
    </w:p>
    <w:p>
      <w:pPr>
        <w:pStyle w:val="ListParagraph"/>
        <w:numPr>
          <w:ilvl w:val="2"/>
          <w:numId w:val="335"/>
        </w:numPr>
        <w:tabs>
          <w:tab w:pos="3053" w:val="left" w:leader="none"/>
        </w:tabs>
        <w:spacing w:line="240" w:lineRule="auto" w:before="120" w:after="0"/>
        <w:ind w:left="3053" w:right="415" w:hanging="567"/>
        <w:jc w:val="both"/>
        <w:rPr>
          <w:sz w:val="24"/>
        </w:rPr>
      </w:pPr>
      <w:r>
        <w:rPr>
          <w:sz w:val="24"/>
        </w:rPr>
        <w:t>the </w:t>
      </w:r>
      <w:r>
        <w:rPr>
          <w:i/>
          <w:sz w:val="24"/>
        </w:rPr>
        <w:t>power system </w:t>
      </w:r>
      <w:r>
        <w:rPr>
          <w:sz w:val="24"/>
        </w:rPr>
        <w:t>operating limits for ensuring </w:t>
      </w:r>
      <w:r>
        <w:rPr>
          <w:i/>
          <w:sz w:val="24"/>
        </w:rPr>
        <w:t>power system </w:t>
      </w:r>
      <w:r>
        <w:rPr>
          <w:i/>
          <w:sz w:val="24"/>
        </w:rPr>
        <w:t>security </w:t>
      </w:r>
      <w:r>
        <w:rPr>
          <w:sz w:val="24"/>
        </w:rPr>
        <w:t>to be quantified with the lowest practical safety margins;</w:t>
      </w:r>
    </w:p>
    <w:p>
      <w:pPr>
        <w:pStyle w:val="ListParagraph"/>
        <w:numPr>
          <w:ilvl w:val="2"/>
          <w:numId w:val="335"/>
        </w:numPr>
        <w:tabs>
          <w:tab w:pos="3054" w:val="left" w:leader="none"/>
        </w:tabs>
        <w:spacing w:line="240" w:lineRule="auto" w:before="120" w:after="0"/>
        <w:ind w:left="3053" w:right="0" w:hanging="568"/>
        <w:jc w:val="both"/>
        <w:rPr>
          <w:sz w:val="24"/>
        </w:rPr>
      </w:pPr>
      <w:r>
        <w:rPr>
          <w:sz w:val="24"/>
        </w:rPr>
        <w:t>the assessment of proposed </w:t>
      </w:r>
      <w:r>
        <w:rPr>
          <w:i/>
          <w:sz w:val="24"/>
        </w:rPr>
        <w:t>negotiated access</w:t>
      </w:r>
      <w:r>
        <w:rPr>
          <w:i/>
          <w:spacing w:val="-3"/>
          <w:sz w:val="24"/>
        </w:rPr>
        <w:t> </w:t>
      </w:r>
      <w:r>
        <w:rPr>
          <w:i/>
          <w:sz w:val="24"/>
        </w:rPr>
        <w:t>standards</w:t>
      </w:r>
      <w:r>
        <w:rPr>
          <w:sz w:val="24"/>
        </w:rPr>
        <w:t>;</w:t>
      </w:r>
    </w:p>
    <w:p>
      <w:pPr>
        <w:pStyle w:val="ListParagraph"/>
        <w:numPr>
          <w:ilvl w:val="2"/>
          <w:numId w:val="335"/>
        </w:numPr>
        <w:tabs>
          <w:tab w:pos="3053" w:val="left" w:leader="none"/>
        </w:tabs>
        <w:spacing w:line="240" w:lineRule="auto" w:before="120" w:after="0"/>
        <w:ind w:left="3053" w:right="415" w:hanging="567"/>
        <w:jc w:val="both"/>
        <w:rPr>
          <w:sz w:val="24"/>
        </w:rPr>
      </w:pPr>
      <w:r>
        <w:rPr>
          <w:sz w:val="24"/>
        </w:rPr>
        <w:t>settings of </w:t>
      </w:r>
      <w:r>
        <w:rPr>
          <w:i/>
          <w:sz w:val="24"/>
        </w:rPr>
        <w:t>control systems </w:t>
      </w:r>
      <w:r>
        <w:rPr>
          <w:sz w:val="24"/>
        </w:rPr>
        <w:t>and </w:t>
      </w:r>
      <w:r>
        <w:rPr>
          <w:i/>
          <w:sz w:val="24"/>
        </w:rPr>
        <w:t>protection systems </w:t>
      </w:r>
      <w:r>
        <w:rPr>
          <w:sz w:val="24"/>
        </w:rPr>
        <w:t>of </w:t>
      </w:r>
      <w:r>
        <w:rPr>
          <w:i/>
          <w:sz w:val="24"/>
        </w:rPr>
        <w:t>plant </w:t>
      </w:r>
      <w:r>
        <w:rPr>
          <w:sz w:val="24"/>
        </w:rPr>
        <w:t>and </w:t>
      </w:r>
      <w:r>
        <w:rPr>
          <w:i/>
          <w:sz w:val="24"/>
        </w:rPr>
        <w:t>networks </w:t>
      </w:r>
      <w:r>
        <w:rPr>
          <w:sz w:val="24"/>
        </w:rPr>
        <w:t>to be assessed and quantified for maximum practical performance of the </w:t>
      </w:r>
      <w:r>
        <w:rPr>
          <w:i/>
          <w:sz w:val="24"/>
        </w:rPr>
        <w:t>power system</w:t>
      </w:r>
      <w:r>
        <w:rPr>
          <w:sz w:val="24"/>
        </w:rPr>
        <w:t>;</w:t>
      </w:r>
      <w:r>
        <w:rPr>
          <w:spacing w:val="-1"/>
          <w:sz w:val="24"/>
        </w:rPr>
        <w:t> </w:t>
      </w:r>
      <w:r>
        <w:rPr>
          <w:sz w:val="24"/>
        </w:rPr>
        <w:t>and</w:t>
      </w:r>
    </w:p>
    <w:p>
      <w:pPr>
        <w:pStyle w:val="ListParagraph"/>
        <w:numPr>
          <w:ilvl w:val="2"/>
          <w:numId w:val="335"/>
        </w:numPr>
        <w:tabs>
          <w:tab w:pos="3054" w:val="left" w:leader="none"/>
        </w:tabs>
        <w:spacing w:line="240" w:lineRule="auto" w:before="120" w:after="0"/>
        <w:ind w:left="3053" w:right="0" w:hanging="568"/>
        <w:jc w:val="both"/>
        <w:rPr>
          <w:i/>
          <w:sz w:val="24"/>
        </w:rPr>
      </w:pPr>
      <w:r>
        <w:rPr>
          <w:sz w:val="24"/>
        </w:rPr>
        <w:t>the efficient procurement of </w:t>
      </w:r>
      <w:r>
        <w:rPr>
          <w:i/>
          <w:sz w:val="24"/>
        </w:rPr>
        <w:t>system restart ancillary</w:t>
      </w:r>
      <w:r>
        <w:rPr>
          <w:i/>
          <w:spacing w:val="14"/>
          <w:sz w:val="24"/>
        </w:rPr>
        <w:t> </w:t>
      </w:r>
      <w:r>
        <w:rPr>
          <w:i/>
          <w:sz w:val="24"/>
        </w:rPr>
        <w:t>services</w:t>
      </w:r>
    </w:p>
    <w:p>
      <w:pPr>
        <w:spacing w:before="0"/>
        <w:ind w:left="3053" w:right="0" w:firstLine="0"/>
        <w:jc w:val="both"/>
        <w:rPr>
          <w:sz w:val="24"/>
        </w:rPr>
      </w:pPr>
      <w:r>
        <w:rPr>
          <w:sz w:val="24"/>
        </w:rPr>
        <w:t>and </w:t>
      </w:r>
      <w:r>
        <w:rPr>
          <w:i/>
          <w:sz w:val="24"/>
        </w:rPr>
        <w:t>network support and control ancillary services</w:t>
      </w:r>
      <w:r>
        <w:rPr>
          <w:sz w:val="24"/>
        </w:rPr>
        <w:t>; and</w:t>
      </w:r>
    </w:p>
    <w:p>
      <w:pPr>
        <w:pStyle w:val="ListParagraph"/>
        <w:numPr>
          <w:ilvl w:val="1"/>
          <w:numId w:val="335"/>
        </w:numPr>
        <w:tabs>
          <w:tab w:pos="2486" w:val="left" w:leader="none"/>
        </w:tabs>
        <w:spacing w:line="343" w:lineRule="auto" w:before="120" w:after="0"/>
        <w:ind w:left="1352" w:right="772" w:firstLine="567"/>
        <w:jc w:val="both"/>
        <w:rPr>
          <w:sz w:val="24"/>
        </w:rPr>
      </w:pPr>
      <w:r>
        <w:rPr>
          <w:sz w:val="24"/>
        </w:rPr>
        <w:t>identify for each type of data its category in terms of clause S5.5.2. (b1) The </w:t>
      </w:r>
      <w:r>
        <w:rPr>
          <w:i/>
          <w:sz w:val="24"/>
        </w:rPr>
        <w:t>Power System Model Guidelines </w:t>
      </w:r>
      <w:r>
        <w:rPr>
          <w:sz w:val="24"/>
        </w:rPr>
        <w:t>must</w:t>
      </w:r>
      <w:r>
        <w:rPr>
          <w:spacing w:val="-16"/>
          <w:sz w:val="24"/>
        </w:rPr>
        <w:t> </w:t>
      </w:r>
      <w:r>
        <w:rPr>
          <w:sz w:val="24"/>
        </w:rPr>
        <w:t>specify:</w:t>
      </w:r>
    </w:p>
    <w:p>
      <w:pPr>
        <w:pStyle w:val="ListParagraph"/>
        <w:numPr>
          <w:ilvl w:val="0"/>
          <w:numId w:val="336"/>
        </w:numPr>
        <w:tabs>
          <w:tab w:pos="2486" w:val="left" w:leader="none"/>
        </w:tabs>
        <w:spacing w:line="240" w:lineRule="auto" w:before="3" w:after="0"/>
        <w:ind w:left="2485" w:right="0" w:hanging="567"/>
        <w:jc w:val="both"/>
        <w:rPr>
          <w:sz w:val="24"/>
        </w:rPr>
      </w:pPr>
      <w:r>
        <w:rPr>
          <w:sz w:val="24"/>
        </w:rPr>
        <w:t>the information, including the types of models,</w:t>
      </w:r>
      <w:r>
        <w:rPr>
          <w:spacing w:val="-1"/>
          <w:sz w:val="24"/>
        </w:rPr>
        <w:t> </w:t>
      </w:r>
      <w:r>
        <w:rPr>
          <w:sz w:val="24"/>
        </w:rPr>
        <w:t>that:</w:t>
      </w:r>
    </w:p>
    <w:p>
      <w:pPr>
        <w:pStyle w:val="ListParagraph"/>
        <w:numPr>
          <w:ilvl w:val="1"/>
          <w:numId w:val="336"/>
        </w:numPr>
        <w:tabs>
          <w:tab w:pos="3052" w:val="left" w:leader="none"/>
          <w:tab w:pos="3053" w:val="left" w:leader="none"/>
        </w:tabs>
        <w:spacing w:line="240" w:lineRule="auto" w:before="120" w:after="0"/>
        <w:ind w:left="3053" w:right="415" w:hanging="567"/>
        <w:jc w:val="left"/>
        <w:rPr>
          <w:sz w:val="24"/>
        </w:rPr>
      </w:pPr>
      <w:r>
        <w:rPr>
          <w:i/>
          <w:sz w:val="24"/>
        </w:rPr>
        <w:t>Generators </w:t>
      </w:r>
      <w:r>
        <w:rPr>
          <w:sz w:val="24"/>
        </w:rPr>
        <w:t>must provide under clause 5.2.5(d), clause 5.2.5(e), clause 5.3.9(b)(2), clause S5.2.4 and clause</w:t>
      </w:r>
      <w:r>
        <w:rPr>
          <w:spacing w:val="-5"/>
          <w:sz w:val="24"/>
        </w:rPr>
        <w:t> </w:t>
      </w:r>
      <w:r>
        <w:rPr>
          <w:sz w:val="24"/>
        </w:rPr>
        <w:t>S5.5.6;</w:t>
      </w:r>
    </w:p>
    <w:p>
      <w:pPr>
        <w:pStyle w:val="ListParagraph"/>
        <w:numPr>
          <w:ilvl w:val="1"/>
          <w:numId w:val="336"/>
        </w:numPr>
        <w:tabs>
          <w:tab w:pos="3052" w:val="left" w:leader="none"/>
          <w:tab w:pos="3054" w:val="left" w:leader="none"/>
        </w:tabs>
        <w:spacing w:line="240" w:lineRule="auto" w:before="120" w:after="0"/>
        <w:ind w:left="3053" w:right="415" w:hanging="567"/>
        <w:jc w:val="left"/>
        <w:rPr>
          <w:sz w:val="24"/>
        </w:rPr>
      </w:pPr>
      <w:r>
        <w:rPr>
          <w:i/>
          <w:sz w:val="24"/>
        </w:rPr>
        <w:t>Network Service Providers </w:t>
      </w:r>
      <w:r>
        <w:rPr>
          <w:sz w:val="24"/>
        </w:rPr>
        <w:t>must provide under clause 4.3.4(o), clause 5.2.3(j) and clause</w:t>
      </w:r>
      <w:r>
        <w:rPr>
          <w:spacing w:val="-1"/>
          <w:sz w:val="24"/>
        </w:rPr>
        <w:t> </w:t>
      </w:r>
      <w:r>
        <w:rPr>
          <w:sz w:val="24"/>
        </w:rPr>
        <w:t>5.2.3(k);</w:t>
      </w:r>
    </w:p>
    <w:p>
      <w:pPr>
        <w:pStyle w:val="ListParagraph"/>
        <w:numPr>
          <w:ilvl w:val="1"/>
          <w:numId w:val="336"/>
        </w:numPr>
        <w:tabs>
          <w:tab w:pos="3052" w:val="left" w:leader="none"/>
          <w:tab w:pos="3053" w:val="left" w:leader="none"/>
        </w:tabs>
        <w:spacing w:line="240" w:lineRule="auto" w:before="120" w:after="0"/>
        <w:ind w:left="3053" w:right="415" w:hanging="567"/>
        <w:jc w:val="left"/>
        <w:rPr>
          <w:sz w:val="24"/>
        </w:rPr>
      </w:pPr>
      <w:r>
        <w:rPr>
          <w:i/>
          <w:sz w:val="24"/>
        </w:rPr>
        <w:t>Network Users </w:t>
      </w:r>
      <w:r>
        <w:rPr>
          <w:sz w:val="24"/>
        </w:rPr>
        <w:t>must provide under clause 5.2.4(c), clause 5.2.4(d) and clause</w:t>
      </w:r>
      <w:r>
        <w:rPr>
          <w:spacing w:val="-2"/>
          <w:sz w:val="24"/>
        </w:rPr>
        <w:t> </w:t>
      </w:r>
      <w:r>
        <w:rPr>
          <w:sz w:val="24"/>
        </w:rPr>
        <w:t>S5.3.1(a1);</w:t>
      </w:r>
    </w:p>
    <w:p>
      <w:pPr>
        <w:pStyle w:val="ListParagraph"/>
        <w:numPr>
          <w:ilvl w:val="1"/>
          <w:numId w:val="336"/>
        </w:numPr>
        <w:tabs>
          <w:tab w:pos="3052" w:val="left" w:leader="none"/>
          <w:tab w:pos="3054" w:val="left" w:leader="none"/>
        </w:tabs>
        <w:spacing w:line="240" w:lineRule="auto" w:before="120" w:after="0"/>
        <w:ind w:left="3053" w:right="415" w:hanging="567"/>
        <w:jc w:val="left"/>
        <w:rPr>
          <w:sz w:val="24"/>
        </w:rPr>
      </w:pPr>
      <w:r>
        <w:rPr>
          <w:i/>
          <w:sz w:val="24"/>
        </w:rPr>
        <w:t>Market Network Service Providers </w:t>
      </w:r>
      <w:r>
        <w:rPr>
          <w:sz w:val="24"/>
        </w:rPr>
        <w:t>must provide under clause 5.2.3A(a), clause 5.2.3A(b) and clause</w:t>
      </w:r>
      <w:r>
        <w:rPr>
          <w:spacing w:val="-5"/>
          <w:sz w:val="24"/>
        </w:rPr>
        <w:t> </w:t>
      </w:r>
      <w:r>
        <w:rPr>
          <w:sz w:val="24"/>
        </w:rPr>
        <w:t>S5.3a.1(a1);</w:t>
      </w:r>
    </w:p>
    <w:p>
      <w:pPr>
        <w:pStyle w:val="ListParagraph"/>
        <w:numPr>
          <w:ilvl w:val="1"/>
          <w:numId w:val="336"/>
        </w:numPr>
        <w:tabs>
          <w:tab w:pos="3052" w:val="left" w:leader="none"/>
          <w:tab w:pos="3053" w:val="left" w:leader="none"/>
        </w:tabs>
        <w:spacing w:line="240" w:lineRule="auto" w:before="120" w:after="0"/>
        <w:ind w:left="3053" w:right="415" w:hanging="567"/>
        <w:jc w:val="left"/>
        <w:rPr>
          <w:sz w:val="24"/>
        </w:rPr>
      </w:pPr>
      <w:r>
        <w:rPr>
          <w:sz w:val="24"/>
        </w:rPr>
        <w:t>prospective </w:t>
      </w:r>
      <w:r>
        <w:rPr>
          <w:i/>
          <w:sz w:val="24"/>
        </w:rPr>
        <w:t>NSCAS </w:t>
      </w:r>
      <w:r>
        <w:rPr>
          <w:sz w:val="24"/>
        </w:rPr>
        <w:t>tenderers must provide under clause 3.11.5(b)(5); and</w:t>
      </w:r>
    </w:p>
    <w:p>
      <w:pPr>
        <w:pStyle w:val="ListParagraph"/>
        <w:numPr>
          <w:ilvl w:val="1"/>
          <w:numId w:val="336"/>
        </w:numPr>
        <w:tabs>
          <w:tab w:pos="3052" w:val="left" w:leader="none"/>
          <w:tab w:pos="3053" w:val="left" w:leader="none"/>
          <w:tab w:pos="4376" w:val="left" w:leader="none"/>
          <w:tab w:pos="5127" w:val="left" w:leader="none"/>
          <w:tab w:pos="6291" w:val="left" w:leader="none"/>
          <w:tab w:pos="6975" w:val="left" w:leader="none"/>
          <w:tab w:pos="7925" w:val="left" w:leader="none"/>
          <w:tab w:pos="8689" w:val="left" w:leader="none"/>
        </w:tabs>
        <w:spacing w:line="240" w:lineRule="auto" w:before="120" w:after="0"/>
        <w:ind w:left="3053" w:right="415" w:hanging="567"/>
        <w:jc w:val="left"/>
        <w:rPr>
          <w:sz w:val="24"/>
        </w:rPr>
      </w:pPr>
      <w:r>
        <w:rPr>
          <w:sz w:val="24"/>
        </w:rPr>
        <w:t>prospective</w:t>
        <w:tab/>
      </w:r>
      <w:r>
        <w:rPr>
          <w:i/>
          <w:sz w:val="24"/>
        </w:rPr>
        <w:t>SRAS</w:t>
        <w:tab/>
        <w:t>Providers</w:t>
        <w:tab/>
      </w:r>
      <w:r>
        <w:rPr>
          <w:sz w:val="24"/>
        </w:rPr>
        <w:t>must</w:t>
        <w:tab/>
        <w:t>provide</w:t>
        <w:tab/>
        <w:t>under</w:t>
        <w:tab/>
      </w:r>
      <w:r>
        <w:rPr>
          <w:spacing w:val="-3"/>
          <w:sz w:val="24"/>
        </w:rPr>
        <w:t>clause </w:t>
      </w:r>
      <w:r>
        <w:rPr>
          <w:sz w:val="24"/>
        </w:rPr>
        <w:t>3.11.9(g);</w:t>
      </w:r>
    </w:p>
    <w:p>
      <w:pPr>
        <w:pStyle w:val="ListParagraph"/>
        <w:numPr>
          <w:ilvl w:val="0"/>
          <w:numId w:val="336"/>
        </w:numPr>
        <w:tabs>
          <w:tab w:pos="2486" w:val="left" w:leader="none"/>
        </w:tabs>
        <w:spacing w:line="240" w:lineRule="auto" w:before="120" w:after="0"/>
        <w:ind w:left="2486" w:right="414" w:hanging="567"/>
        <w:jc w:val="both"/>
        <w:rPr>
          <w:sz w:val="24"/>
        </w:rPr>
      </w:pPr>
      <w:r>
        <w:rPr>
          <w:sz w:val="24"/>
        </w:rPr>
        <w:t>the model accuracy requirements that are applicable to each type of model provided, as well as the types of </w:t>
      </w:r>
      <w:r>
        <w:rPr>
          <w:i/>
          <w:sz w:val="24"/>
        </w:rPr>
        <w:t>generating systems </w:t>
      </w:r>
      <w:r>
        <w:rPr>
          <w:sz w:val="24"/>
        </w:rPr>
        <w:t>and </w:t>
      </w:r>
      <w:r>
        <w:rPr>
          <w:i/>
          <w:sz w:val="24"/>
        </w:rPr>
        <w:t>plant </w:t>
      </w:r>
      <w:r>
        <w:rPr>
          <w:sz w:val="24"/>
        </w:rPr>
        <w:t>and equipment that the model accuracy requirements apply</w:t>
      </w:r>
      <w:r>
        <w:rPr>
          <w:spacing w:val="-2"/>
          <w:sz w:val="24"/>
        </w:rPr>
        <w:t> </w:t>
      </w:r>
      <w:r>
        <w:rPr>
          <w:sz w:val="24"/>
        </w:rPr>
        <w:t>to;</w:t>
      </w:r>
    </w:p>
    <w:p>
      <w:pPr>
        <w:pStyle w:val="ListParagraph"/>
        <w:numPr>
          <w:ilvl w:val="0"/>
          <w:numId w:val="336"/>
        </w:numPr>
        <w:tabs>
          <w:tab w:pos="2486" w:val="left" w:leader="none"/>
        </w:tabs>
        <w:spacing w:line="240" w:lineRule="auto" w:before="120" w:after="0"/>
        <w:ind w:left="2485" w:right="0" w:hanging="567"/>
        <w:jc w:val="both"/>
        <w:rPr>
          <w:i/>
          <w:sz w:val="24"/>
        </w:rPr>
      </w:pPr>
      <w:r>
        <w:rPr>
          <w:sz w:val="24"/>
        </w:rPr>
        <w:t>when</w:t>
      </w:r>
      <w:r>
        <w:rPr>
          <w:spacing w:val="20"/>
          <w:sz w:val="24"/>
        </w:rPr>
        <w:t> </w:t>
      </w:r>
      <w:r>
        <w:rPr>
          <w:sz w:val="24"/>
        </w:rPr>
        <w:t>information</w:t>
      </w:r>
      <w:r>
        <w:rPr>
          <w:spacing w:val="21"/>
          <w:sz w:val="24"/>
        </w:rPr>
        <w:t> </w:t>
      </w:r>
      <w:r>
        <w:rPr>
          <w:sz w:val="24"/>
        </w:rPr>
        <w:t>to</w:t>
      </w:r>
      <w:r>
        <w:rPr>
          <w:spacing w:val="20"/>
          <w:sz w:val="24"/>
        </w:rPr>
        <w:t> </w:t>
      </w:r>
      <w:r>
        <w:rPr>
          <w:sz w:val="24"/>
        </w:rPr>
        <w:t>which</w:t>
      </w:r>
      <w:r>
        <w:rPr>
          <w:spacing w:val="21"/>
          <w:sz w:val="24"/>
        </w:rPr>
        <w:t> </w:t>
      </w:r>
      <w:r>
        <w:rPr>
          <w:sz w:val="24"/>
        </w:rPr>
        <w:t>the</w:t>
      </w:r>
      <w:r>
        <w:rPr>
          <w:spacing w:val="20"/>
          <w:sz w:val="24"/>
        </w:rPr>
        <w:t> </w:t>
      </w:r>
      <w:r>
        <w:rPr>
          <w:i/>
          <w:sz w:val="24"/>
        </w:rPr>
        <w:t>Power</w:t>
      </w:r>
      <w:r>
        <w:rPr>
          <w:i/>
          <w:spacing w:val="21"/>
          <w:sz w:val="24"/>
        </w:rPr>
        <w:t> </w:t>
      </w:r>
      <w:r>
        <w:rPr>
          <w:i/>
          <w:sz w:val="24"/>
        </w:rPr>
        <w:t>System</w:t>
      </w:r>
      <w:r>
        <w:rPr>
          <w:i/>
          <w:spacing w:val="20"/>
          <w:sz w:val="24"/>
        </w:rPr>
        <w:t> </w:t>
      </w:r>
      <w:r>
        <w:rPr>
          <w:i/>
          <w:sz w:val="24"/>
        </w:rPr>
        <w:t>Model</w:t>
      </w:r>
      <w:r>
        <w:rPr>
          <w:i/>
          <w:spacing w:val="21"/>
          <w:sz w:val="24"/>
        </w:rPr>
        <w:t> </w:t>
      </w:r>
      <w:r>
        <w:rPr>
          <w:i/>
          <w:sz w:val="24"/>
        </w:rPr>
        <w:t>Guidelines</w:t>
      </w:r>
    </w:p>
    <w:p>
      <w:pPr>
        <w:pStyle w:val="BodyText"/>
        <w:spacing w:before="0"/>
        <w:ind w:left="2486" w:firstLine="0"/>
      </w:pPr>
      <w:r>
        <w:rPr/>
        <w:t>relates must be provided;</w:t>
      </w:r>
    </w:p>
    <w:p>
      <w:pPr>
        <w:pStyle w:val="ListParagraph"/>
        <w:numPr>
          <w:ilvl w:val="0"/>
          <w:numId w:val="336"/>
        </w:numPr>
        <w:tabs>
          <w:tab w:pos="2486" w:val="left" w:leader="none"/>
        </w:tabs>
        <w:spacing w:line="240" w:lineRule="auto" w:before="120" w:after="0"/>
        <w:ind w:left="2486" w:right="415" w:hanging="567"/>
        <w:jc w:val="both"/>
        <w:rPr>
          <w:sz w:val="24"/>
        </w:rPr>
      </w:pPr>
      <w:r>
        <w:rPr>
          <w:sz w:val="24"/>
        </w:rPr>
        <w:t>a process to be followed in circumstances where a person is unable to provide information required to be provided under clauses 3.11.5(b)(5), 3.11.9(g), 4.3.4(o), 5.2.3(j), 5.2.3(k), 5.2.3A(a), 5.2.3A(b), 5.2.4(c), 5.2.4(d), 5.2.5(d), 5.2.4(e), 5.3.9(b)(2), S5.2.4, S5.3.1, S5.3a.1, S5.5.6, schedule 5.5 or as otherwise required by the </w:t>
      </w:r>
      <w:r>
        <w:rPr>
          <w:i/>
          <w:sz w:val="24"/>
        </w:rPr>
        <w:t>Power System Model Guidelines</w:t>
      </w:r>
      <w:r>
        <w:rPr>
          <w:sz w:val="24"/>
        </w:rPr>
        <w:t>, </w:t>
      </w:r>
      <w:r>
        <w:rPr>
          <w:i/>
          <w:sz w:val="24"/>
        </w:rPr>
        <w:t>Power System Design Data Sheet </w:t>
      </w:r>
      <w:r>
        <w:rPr>
          <w:sz w:val="24"/>
        </w:rPr>
        <w:t>or </w:t>
      </w:r>
      <w:r>
        <w:rPr>
          <w:i/>
          <w:sz w:val="24"/>
        </w:rPr>
        <w:t>Power System Setting Data</w:t>
      </w:r>
      <w:r>
        <w:rPr>
          <w:i/>
          <w:spacing w:val="-2"/>
          <w:sz w:val="24"/>
        </w:rPr>
        <w:t> </w:t>
      </w:r>
      <w:r>
        <w:rPr>
          <w:i/>
          <w:sz w:val="24"/>
        </w:rPr>
        <w:t>Sheet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336"/>
        </w:numPr>
        <w:tabs>
          <w:tab w:pos="2486" w:val="left" w:leader="none"/>
        </w:tabs>
        <w:spacing w:line="240" w:lineRule="auto" w:before="83" w:after="0"/>
        <w:ind w:left="2486" w:right="414" w:hanging="567"/>
        <w:jc w:val="both"/>
        <w:rPr>
          <w:sz w:val="24"/>
        </w:rPr>
      </w:pPr>
      <w:r>
        <w:rPr>
          <w:sz w:val="24"/>
        </w:rPr>
        <w:t>guidance on the factors that </w:t>
      </w:r>
      <w:r>
        <w:rPr>
          <w:i/>
          <w:sz w:val="24"/>
        </w:rPr>
        <w:t>AEMO </w:t>
      </w:r>
      <w:r>
        <w:rPr>
          <w:sz w:val="24"/>
        </w:rPr>
        <w:t>will take into account when determining the circumstances under which </w:t>
      </w:r>
      <w:r>
        <w:rPr>
          <w:i/>
          <w:sz w:val="24"/>
        </w:rPr>
        <w:t>AEMO </w:t>
      </w:r>
      <w:r>
        <w:rPr>
          <w:sz w:val="24"/>
        </w:rPr>
        <w:t>will request information to be provided, including the </w:t>
      </w:r>
      <w:r>
        <w:rPr>
          <w:i/>
          <w:sz w:val="24"/>
        </w:rPr>
        <w:t>power system </w:t>
      </w:r>
      <w:r>
        <w:rPr>
          <w:sz w:val="24"/>
        </w:rPr>
        <w:t>conditions that necessitate the usage of a certain type of model in order to achieve </w:t>
      </w:r>
      <w:r>
        <w:rPr>
          <w:spacing w:val="-5"/>
          <w:sz w:val="24"/>
        </w:rPr>
        <w:t>the </w:t>
      </w:r>
      <w:r>
        <w:rPr>
          <w:sz w:val="24"/>
        </w:rPr>
        <w:t>desired level of</w:t>
      </w:r>
      <w:r>
        <w:rPr>
          <w:spacing w:val="-1"/>
          <w:sz w:val="24"/>
        </w:rPr>
        <w:t> </w:t>
      </w:r>
      <w:r>
        <w:rPr>
          <w:sz w:val="24"/>
        </w:rPr>
        <w:t>accuracy;</w:t>
      </w:r>
    </w:p>
    <w:p>
      <w:pPr>
        <w:pStyle w:val="ListParagraph"/>
        <w:numPr>
          <w:ilvl w:val="0"/>
          <w:numId w:val="336"/>
        </w:numPr>
        <w:tabs>
          <w:tab w:pos="2486" w:val="left" w:leader="none"/>
        </w:tabs>
        <w:spacing w:line="240" w:lineRule="auto" w:before="120" w:after="0"/>
        <w:ind w:left="2486" w:right="414" w:hanging="567"/>
        <w:jc w:val="both"/>
        <w:rPr>
          <w:sz w:val="24"/>
        </w:rPr>
      </w:pPr>
      <w:r>
        <w:rPr>
          <w:sz w:val="24"/>
        </w:rPr>
        <w:t>the format in which information must be provided and any material </w:t>
      </w:r>
      <w:r>
        <w:rPr>
          <w:i/>
          <w:sz w:val="24"/>
        </w:rPr>
        <w:t>AEMO </w:t>
      </w:r>
      <w:r>
        <w:rPr>
          <w:sz w:val="24"/>
        </w:rPr>
        <w:t>requires to assess the accuracy of information provided to </w:t>
      </w:r>
      <w:r>
        <w:rPr>
          <w:spacing w:val="-5"/>
          <w:sz w:val="24"/>
        </w:rPr>
        <w:t>it; </w:t>
      </w:r>
      <w:r>
        <w:rPr>
          <w:sz w:val="24"/>
        </w:rPr>
        <w:t>and</w:t>
      </w:r>
    </w:p>
    <w:p>
      <w:pPr>
        <w:pStyle w:val="ListParagraph"/>
        <w:numPr>
          <w:ilvl w:val="0"/>
          <w:numId w:val="336"/>
        </w:numPr>
        <w:tabs>
          <w:tab w:pos="2486" w:val="left" w:leader="none"/>
        </w:tabs>
        <w:spacing w:line="240" w:lineRule="auto" w:before="120" w:after="0"/>
        <w:ind w:left="2486" w:right="415" w:hanging="567"/>
        <w:jc w:val="both"/>
        <w:rPr>
          <w:sz w:val="24"/>
        </w:rPr>
      </w:pPr>
      <w:r>
        <w:rPr>
          <w:sz w:val="24"/>
        </w:rPr>
        <w:t>the circumstances in which model source code is required to be provided.</w:t>
      </w:r>
    </w:p>
    <w:p>
      <w:pPr>
        <w:pStyle w:val="ListParagraph"/>
        <w:numPr>
          <w:ilvl w:val="0"/>
          <w:numId w:val="335"/>
        </w:numPr>
        <w:tabs>
          <w:tab w:pos="1919" w:val="left" w:leader="none"/>
        </w:tabs>
        <w:spacing w:line="240" w:lineRule="auto" w:before="120" w:after="0"/>
        <w:ind w:left="1919" w:right="415" w:hanging="567"/>
        <w:jc w:val="both"/>
        <w:rPr>
          <w:sz w:val="24"/>
        </w:rPr>
      </w:pPr>
      <w:r>
        <w:rPr>
          <w:sz w:val="24"/>
        </w:rPr>
        <w:t>In developing and amending the </w:t>
      </w:r>
      <w:r>
        <w:rPr>
          <w:i/>
          <w:sz w:val="24"/>
        </w:rPr>
        <w:t>Power System Model Guidelines</w:t>
      </w:r>
      <w:r>
        <w:rPr>
          <w:sz w:val="24"/>
        </w:rPr>
        <w:t>, the </w:t>
      </w:r>
      <w:r>
        <w:rPr>
          <w:i/>
          <w:sz w:val="24"/>
        </w:rPr>
        <w:t>Power System Design Data Sheet </w:t>
      </w:r>
      <w:r>
        <w:rPr>
          <w:sz w:val="24"/>
        </w:rPr>
        <w:t>and the </w:t>
      </w:r>
      <w:r>
        <w:rPr>
          <w:i/>
          <w:sz w:val="24"/>
        </w:rPr>
        <w:t>Power System Setting Data Sheet</w:t>
      </w:r>
      <w:r>
        <w:rPr>
          <w:sz w:val="24"/>
        </w:rPr>
        <w:t>, </w:t>
      </w:r>
      <w:r>
        <w:rPr>
          <w:i/>
          <w:sz w:val="24"/>
        </w:rPr>
        <w:t>AEMO </w:t>
      </w:r>
      <w:r>
        <w:rPr>
          <w:sz w:val="24"/>
        </w:rPr>
        <w:t>must:</w:t>
      </w:r>
    </w:p>
    <w:p>
      <w:pPr>
        <w:pStyle w:val="ListParagraph"/>
        <w:numPr>
          <w:ilvl w:val="1"/>
          <w:numId w:val="335"/>
        </w:numPr>
        <w:tabs>
          <w:tab w:pos="2486" w:val="left" w:leader="none"/>
        </w:tabs>
        <w:spacing w:line="240" w:lineRule="auto" w:before="120" w:after="0"/>
        <w:ind w:left="2486" w:right="415" w:hanging="567"/>
        <w:jc w:val="both"/>
        <w:rPr>
          <w:sz w:val="24"/>
        </w:rPr>
      </w:pPr>
      <w:r>
        <w:rPr>
          <w:sz w:val="24"/>
        </w:rPr>
        <w:t>have regard to the reasonable costs of efficient compliance </w:t>
      </w:r>
      <w:r>
        <w:rPr>
          <w:spacing w:val="-8"/>
          <w:sz w:val="24"/>
        </w:rPr>
        <w:t>by  </w:t>
      </w:r>
      <w:r>
        <w:rPr>
          <w:i/>
          <w:sz w:val="24"/>
        </w:rPr>
        <w:t>Registered Participants </w:t>
      </w:r>
      <w:r>
        <w:rPr>
          <w:sz w:val="24"/>
        </w:rPr>
        <w:t>with those guidelines and data sheets compared to the likely benefits from the use of the information provided under the guidelines and data</w:t>
      </w:r>
      <w:r>
        <w:rPr>
          <w:spacing w:val="-3"/>
          <w:sz w:val="24"/>
        </w:rPr>
        <w:t> </w:t>
      </w:r>
      <w:r>
        <w:rPr>
          <w:sz w:val="24"/>
        </w:rPr>
        <w:t>sheets;</w:t>
      </w:r>
    </w:p>
    <w:p>
      <w:pPr>
        <w:pStyle w:val="ListParagraph"/>
        <w:numPr>
          <w:ilvl w:val="1"/>
          <w:numId w:val="335"/>
        </w:numPr>
        <w:tabs>
          <w:tab w:pos="2486" w:val="left" w:leader="none"/>
        </w:tabs>
        <w:spacing w:line="240" w:lineRule="auto" w:before="120" w:after="0"/>
        <w:ind w:left="2486" w:right="414" w:hanging="567"/>
        <w:jc w:val="both"/>
        <w:rPr>
          <w:sz w:val="24"/>
        </w:rPr>
      </w:pPr>
      <w:r>
        <w:rPr>
          <w:sz w:val="24"/>
        </w:rPr>
        <w:t>have regard to any requirements to protect the intellectual property and confidential information of third parties, including where those third parties are not </w:t>
      </w:r>
      <w:r>
        <w:rPr>
          <w:i/>
          <w:sz w:val="24"/>
        </w:rPr>
        <w:t>Registered Participants</w:t>
      </w:r>
      <w:r>
        <w:rPr>
          <w:sz w:val="24"/>
        </w:rPr>
        <w:t>;</w:t>
      </w:r>
      <w:r>
        <w:rPr>
          <w:spacing w:val="-1"/>
          <w:sz w:val="24"/>
        </w:rPr>
        <w:t> </w:t>
      </w:r>
      <w:r>
        <w:rPr>
          <w:sz w:val="24"/>
        </w:rPr>
        <w:t>and</w:t>
      </w:r>
    </w:p>
    <w:p>
      <w:pPr>
        <w:pStyle w:val="ListParagraph"/>
        <w:numPr>
          <w:ilvl w:val="1"/>
          <w:numId w:val="335"/>
        </w:numPr>
        <w:tabs>
          <w:tab w:pos="2486" w:val="left" w:leader="none"/>
        </w:tabs>
        <w:spacing w:line="240" w:lineRule="auto" w:before="120" w:after="0"/>
        <w:ind w:left="2486" w:right="415" w:hanging="567"/>
        <w:jc w:val="both"/>
        <w:rPr>
          <w:sz w:val="24"/>
        </w:rPr>
      </w:pPr>
      <w:r>
        <w:rPr>
          <w:sz w:val="24"/>
        </w:rPr>
        <w:t>have regard to </w:t>
      </w:r>
      <w:r>
        <w:rPr>
          <w:i/>
          <w:sz w:val="24"/>
        </w:rPr>
        <w:t>Distribution Network Service Providers</w:t>
      </w:r>
      <w:r>
        <w:rPr>
          <w:sz w:val="24"/>
        </w:rPr>
        <w:t>' and </w:t>
      </w:r>
      <w:r>
        <w:rPr>
          <w:i/>
          <w:sz w:val="24"/>
        </w:rPr>
        <w:t>Transmission Network Service Providers</w:t>
      </w:r>
      <w:r>
        <w:rPr>
          <w:sz w:val="24"/>
        </w:rPr>
        <w:t>' requirements for data and modelling information that is reasonably necessary for the relevant provider to fulfil its obligations under the </w:t>
      </w:r>
      <w:r>
        <w:rPr>
          <w:i/>
          <w:sz w:val="24"/>
        </w:rPr>
        <w:t>Rules </w:t>
      </w:r>
      <w:r>
        <w:rPr>
          <w:sz w:val="24"/>
        </w:rPr>
        <w:t>or </w:t>
      </w:r>
      <w:r>
        <w:rPr>
          <w:i/>
          <w:sz w:val="24"/>
        </w:rPr>
        <w:t>jurisdictional </w:t>
      </w:r>
      <w:r>
        <w:rPr>
          <w:i/>
          <w:sz w:val="24"/>
        </w:rPr>
        <w:t>electricity</w:t>
      </w:r>
      <w:r>
        <w:rPr>
          <w:i/>
          <w:spacing w:val="-1"/>
          <w:sz w:val="24"/>
        </w:rPr>
        <w:t> </w:t>
      </w:r>
      <w:r>
        <w:rPr>
          <w:i/>
          <w:sz w:val="24"/>
        </w:rPr>
        <w:t>legislation</w:t>
      </w:r>
      <w:r>
        <w:rPr>
          <w:sz w:val="24"/>
        </w:rPr>
        <w:t>.</w:t>
      </w:r>
    </w:p>
    <w:p>
      <w:pPr>
        <w:pStyle w:val="ListParagraph"/>
        <w:numPr>
          <w:ilvl w:val="0"/>
          <w:numId w:val="335"/>
        </w:numPr>
        <w:tabs>
          <w:tab w:pos="1919" w:val="left" w:leader="none"/>
        </w:tabs>
        <w:spacing w:line="240" w:lineRule="auto" w:before="120" w:after="0"/>
        <w:ind w:left="1919" w:right="415" w:hanging="567"/>
        <w:jc w:val="both"/>
        <w:rPr>
          <w:sz w:val="24"/>
        </w:rPr>
      </w:pPr>
      <w:r>
        <w:rPr>
          <w:i/>
          <w:sz w:val="24"/>
        </w:rPr>
        <w:t>AEMO </w:t>
      </w:r>
      <w:r>
        <w:rPr>
          <w:sz w:val="24"/>
        </w:rPr>
        <w:t>may amend the </w:t>
      </w:r>
      <w:r>
        <w:rPr>
          <w:i/>
          <w:sz w:val="24"/>
        </w:rPr>
        <w:t>Power System Model Guidelines</w:t>
      </w:r>
      <w:r>
        <w:rPr>
          <w:sz w:val="24"/>
        </w:rPr>
        <w:t>, the </w:t>
      </w:r>
      <w:r>
        <w:rPr>
          <w:i/>
          <w:sz w:val="24"/>
        </w:rPr>
        <w:t>Power System </w:t>
      </w:r>
      <w:r>
        <w:rPr>
          <w:i/>
          <w:sz w:val="24"/>
        </w:rPr>
        <w:t>Design Data Sheet </w:t>
      </w:r>
      <w:r>
        <w:rPr>
          <w:sz w:val="24"/>
        </w:rPr>
        <w:t>or the </w:t>
      </w:r>
      <w:r>
        <w:rPr>
          <w:i/>
          <w:sz w:val="24"/>
        </w:rPr>
        <w:t>Power System Setting Data Sheet </w:t>
      </w:r>
      <w:r>
        <w:rPr>
          <w:sz w:val="24"/>
        </w:rPr>
        <w:t>from time to time.</w:t>
      </w:r>
    </w:p>
    <w:p>
      <w:pPr>
        <w:pStyle w:val="ListParagraph"/>
        <w:numPr>
          <w:ilvl w:val="0"/>
          <w:numId w:val="335"/>
        </w:numPr>
        <w:tabs>
          <w:tab w:pos="1919" w:val="left" w:leader="none"/>
        </w:tabs>
        <w:spacing w:line="240" w:lineRule="auto" w:before="120" w:after="0"/>
        <w:ind w:left="1919" w:right="415" w:hanging="567"/>
        <w:jc w:val="both"/>
        <w:rPr>
          <w:sz w:val="24"/>
        </w:rPr>
      </w:pPr>
      <w:r>
        <w:rPr>
          <w:sz w:val="24"/>
        </w:rPr>
        <w:t>Any person may submit a written request (with reasons) for </w:t>
      </w:r>
      <w:r>
        <w:rPr>
          <w:i/>
          <w:sz w:val="24"/>
        </w:rPr>
        <w:t>AEMO </w:t>
      </w:r>
      <w:r>
        <w:rPr>
          <w:sz w:val="24"/>
        </w:rPr>
        <w:t>to amend the </w:t>
      </w:r>
      <w:r>
        <w:rPr>
          <w:i/>
          <w:sz w:val="24"/>
        </w:rPr>
        <w:t>Power System Model Guidelines</w:t>
      </w:r>
      <w:r>
        <w:rPr>
          <w:sz w:val="24"/>
        </w:rPr>
        <w:t>, the </w:t>
      </w:r>
      <w:r>
        <w:rPr>
          <w:i/>
          <w:sz w:val="24"/>
        </w:rPr>
        <w:t>Power System Design Data </w:t>
      </w:r>
      <w:r>
        <w:rPr>
          <w:i/>
          <w:sz w:val="24"/>
        </w:rPr>
        <w:t>Sheet </w:t>
      </w:r>
      <w:r>
        <w:rPr>
          <w:sz w:val="24"/>
        </w:rPr>
        <w:t>or the </w:t>
      </w:r>
      <w:r>
        <w:rPr>
          <w:i/>
          <w:sz w:val="24"/>
        </w:rPr>
        <w:t>Power System Setting Data Sheet </w:t>
      </w:r>
      <w:r>
        <w:rPr>
          <w:sz w:val="24"/>
        </w:rPr>
        <w:t>from time to</w:t>
      </w:r>
      <w:r>
        <w:rPr>
          <w:spacing w:val="-5"/>
          <w:sz w:val="24"/>
        </w:rPr>
        <w:t> </w:t>
      </w:r>
      <w:r>
        <w:rPr>
          <w:sz w:val="24"/>
        </w:rPr>
        <w:t>time.</w:t>
      </w:r>
    </w:p>
    <w:p>
      <w:pPr>
        <w:pStyle w:val="ListParagraph"/>
        <w:numPr>
          <w:ilvl w:val="0"/>
          <w:numId w:val="335"/>
        </w:numPr>
        <w:tabs>
          <w:tab w:pos="1920" w:val="left" w:leader="none"/>
        </w:tabs>
        <w:spacing w:line="240" w:lineRule="auto" w:before="120" w:after="0"/>
        <w:ind w:left="1919" w:right="414" w:hanging="567"/>
        <w:jc w:val="both"/>
        <w:rPr>
          <w:sz w:val="24"/>
        </w:rPr>
      </w:pPr>
      <w:r>
        <w:rPr>
          <w:sz w:val="24"/>
        </w:rPr>
        <w:t>In developing and amending the </w:t>
      </w:r>
      <w:r>
        <w:rPr>
          <w:i/>
          <w:sz w:val="24"/>
        </w:rPr>
        <w:t>Power System Model Guidelines</w:t>
      </w:r>
      <w:r>
        <w:rPr>
          <w:sz w:val="24"/>
        </w:rPr>
        <w:t>, the </w:t>
      </w:r>
      <w:r>
        <w:rPr>
          <w:i/>
          <w:sz w:val="24"/>
        </w:rPr>
        <w:t>Power System Design Data Sheet </w:t>
      </w:r>
      <w:r>
        <w:rPr>
          <w:sz w:val="24"/>
        </w:rPr>
        <w:t>or the </w:t>
      </w:r>
      <w:r>
        <w:rPr>
          <w:i/>
          <w:sz w:val="24"/>
        </w:rPr>
        <w:t>Power System Setting Data Sheet</w:t>
      </w:r>
      <w:r>
        <w:rPr>
          <w:sz w:val="24"/>
        </w:rPr>
        <w:t>, </w:t>
      </w:r>
      <w:r>
        <w:rPr>
          <w:i/>
          <w:sz w:val="24"/>
        </w:rPr>
        <w:t>AEMO </w:t>
      </w:r>
      <w:r>
        <w:rPr>
          <w:sz w:val="24"/>
        </w:rPr>
        <w:t>must, subject to paragraph (g), consult with </w:t>
      </w:r>
      <w:r>
        <w:rPr>
          <w:i/>
          <w:sz w:val="24"/>
        </w:rPr>
        <w:t>Registered Participants </w:t>
      </w:r>
      <w:r>
        <w:rPr>
          <w:sz w:val="24"/>
        </w:rPr>
        <w:t>and such other persons who, in </w:t>
      </w:r>
      <w:r>
        <w:rPr>
          <w:i/>
          <w:sz w:val="24"/>
        </w:rPr>
        <w:t>AEMO</w:t>
      </w:r>
      <w:r>
        <w:rPr>
          <w:sz w:val="24"/>
        </w:rPr>
        <w:t>'s reasonable opinion have, or have identified themselves as having, an interest in the </w:t>
      </w:r>
      <w:r>
        <w:rPr>
          <w:i/>
          <w:sz w:val="24"/>
        </w:rPr>
        <w:t>Power System Model </w:t>
      </w:r>
      <w:r>
        <w:rPr>
          <w:i/>
          <w:sz w:val="24"/>
        </w:rPr>
        <w:t>Guidelines</w:t>
      </w:r>
      <w:r>
        <w:rPr>
          <w:sz w:val="24"/>
        </w:rPr>
        <w:t>, in accordance with the </w:t>
      </w:r>
      <w:r>
        <w:rPr>
          <w:i/>
          <w:sz w:val="24"/>
        </w:rPr>
        <w:t>Rules consultation</w:t>
      </w:r>
      <w:r>
        <w:rPr>
          <w:i/>
          <w:spacing w:val="-6"/>
          <w:sz w:val="24"/>
        </w:rPr>
        <w:t> </w:t>
      </w:r>
      <w:r>
        <w:rPr>
          <w:i/>
          <w:sz w:val="24"/>
        </w:rPr>
        <w:t>procedures</w:t>
      </w:r>
      <w:r>
        <w:rPr>
          <w:sz w:val="24"/>
        </w:rPr>
        <w:t>.</w:t>
      </w:r>
    </w:p>
    <w:p>
      <w:pPr>
        <w:pStyle w:val="ListParagraph"/>
        <w:numPr>
          <w:ilvl w:val="0"/>
          <w:numId w:val="335"/>
        </w:numPr>
        <w:tabs>
          <w:tab w:pos="1919" w:val="left" w:leader="none"/>
        </w:tabs>
        <w:spacing w:line="240" w:lineRule="auto" w:before="120" w:after="0"/>
        <w:ind w:left="1919" w:right="414" w:hanging="567"/>
        <w:jc w:val="both"/>
        <w:rPr>
          <w:sz w:val="24"/>
        </w:rPr>
      </w:pPr>
      <w:r>
        <w:rPr>
          <w:i/>
          <w:sz w:val="24"/>
        </w:rPr>
        <w:t>AEMO </w:t>
      </w:r>
      <w:r>
        <w:rPr>
          <w:sz w:val="24"/>
        </w:rPr>
        <w:t>is not required to comply with the </w:t>
      </w:r>
      <w:r>
        <w:rPr>
          <w:i/>
          <w:sz w:val="24"/>
        </w:rPr>
        <w:t>Rules consultation procedures </w:t>
      </w:r>
      <w:r>
        <w:rPr>
          <w:sz w:val="24"/>
        </w:rPr>
        <w:t>when making minor or administrative amendments to the </w:t>
      </w:r>
      <w:r>
        <w:rPr>
          <w:i/>
          <w:sz w:val="24"/>
        </w:rPr>
        <w:t>Power System </w:t>
      </w:r>
      <w:r>
        <w:rPr>
          <w:i/>
          <w:sz w:val="24"/>
        </w:rPr>
        <w:t>Model Guidelines</w:t>
      </w:r>
      <w:r>
        <w:rPr>
          <w:sz w:val="24"/>
        </w:rPr>
        <w:t>, the </w:t>
      </w:r>
      <w:r>
        <w:rPr>
          <w:i/>
          <w:sz w:val="24"/>
        </w:rPr>
        <w:t>Power System Design Data Sheet </w:t>
      </w:r>
      <w:r>
        <w:rPr>
          <w:sz w:val="24"/>
        </w:rPr>
        <w:t>or the </w:t>
      </w:r>
      <w:r>
        <w:rPr>
          <w:i/>
          <w:sz w:val="24"/>
        </w:rPr>
        <w:t>Power </w:t>
      </w:r>
      <w:r>
        <w:rPr>
          <w:i/>
          <w:sz w:val="24"/>
        </w:rPr>
        <w:t>System Setting Data</w:t>
      </w:r>
      <w:r>
        <w:rPr>
          <w:i/>
          <w:spacing w:val="-2"/>
          <w:sz w:val="24"/>
        </w:rPr>
        <w:t> </w:t>
      </w:r>
      <w:r>
        <w:rPr>
          <w:i/>
          <w:sz w:val="24"/>
        </w:rPr>
        <w:t>Sheet</w:t>
      </w:r>
      <w:r>
        <w:rPr>
          <w:sz w:val="24"/>
        </w:rPr>
        <w:t>.</w:t>
      </w:r>
    </w:p>
    <w:p>
      <w:pPr>
        <w:pStyle w:val="ListParagraph"/>
        <w:numPr>
          <w:ilvl w:val="0"/>
          <w:numId w:val="335"/>
        </w:numPr>
        <w:tabs>
          <w:tab w:pos="1919" w:val="left" w:leader="none"/>
        </w:tabs>
        <w:spacing w:line="240" w:lineRule="auto" w:before="120" w:after="0"/>
        <w:ind w:left="1919" w:right="413" w:hanging="567"/>
        <w:jc w:val="both"/>
        <w:rPr>
          <w:sz w:val="24"/>
        </w:rPr>
      </w:pPr>
      <w:r>
        <w:rPr>
          <w:i/>
          <w:sz w:val="24"/>
        </w:rPr>
        <w:t>AEMO </w:t>
      </w:r>
      <w:r>
        <w:rPr>
          <w:sz w:val="24"/>
        </w:rPr>
        <w:t>may at the conclusion of the </w:t>
      </w:r>
      <w:r>
        <w:rPr>
          <w:i/>
          <w:sz w:val="24"/>
        </w:rPr>
        <w:t>Rules consultation procedures </w:t>
      </w:r>
      <w:r>
        <w:rPr>
          <w:sz w:val="24"/>
        </w:rPr>
        <w:t>under paragraph (f) or otherwise under paragraph (g), amend the relevant data sheet or guidelines (if</w:t>
      </w:r>
      <w:r>
        <w:rPr>
          <w:spacing w:val="-2"/>
          <w:sz w:val="24"/>
        </w:rPr>
        <w:t> </w:t>
      </w:r>
      <w:r>
        <w:rPr>
          <w:sz w:val="24"/>
        </w:rPr>
        <w:t>necessary).</w:t>
      </w:r>
    </w:p>
    <w:p>
      <w:pPr>
        <w:spacing w:after="0" w:line="240" w:lineRule="auto"/>
        <w:jc w:val="both"/>
        <w:rPr>
          <w:sz w:val="24"/>
        </w:rPr>
        <w:sectPr>
          <w:pgSz w:w="11910" w:h="16840"/>
          <w:pgMar w:header="686" w:footer="637" w:top="1320" w:bottom="820" w:left="1200" w:right="1000"/>
        </w:sectPr>
      </w:pPr>
    </w:p>
    <w:p>
      <w:pPr>
        <w:pStyle w:val="Heading4"/>
        <w:tabs>
          <w:tab w:pos="2377" w:val="left" w:leader="none"/>
        </w:tabs>
        <w:spacing w:before="83"/>
        <w:ind w:left="218" w:firstLine="0"/>
      </w:pPr>
      <w:bookmarkStart w:name="Schedule 5.5.1 [Deleted]" w:id="1092"/>
      <w:bookmarkEnd w:id="1092"/>
      <w:r>
        <w:rPr>
          <w:b w:val="0"/>
        </w:rPr>
      </w:r>
      <w:bookmarkStart w:name="_bookmark438" w:id="1093"/>
      <w:bookmarkEnd w:id="1093"/>
      <w:r>
        <w:rPr>
          <w:b w:val="0"/>
        </w:rPr>
      </w:r>
      <w:r>
        <w:rPr/>
        <w:t>Schedule</w:t>
      </w:r>
      <w:r>
        <w:rPr>
          <w:spacing w:val="-2"/>
        </w:rPr>
        <w:t> </w:t>
      </w:r>
      <w:r>
        <w:rPr/>
        <w:t>5.5.1</w:t>
        <w:tab/>
        <w:t>[Deleted]</w:t>
      </w:r>
    </w:p>
    <w:p>
      <w:pPr>
        <w:pStyle w:val="BodyText"/>
        <w:spacing w:before="10"/>
        <w:ind w:firstLine="0"/>
        <w:jc w:val="left"/>
        <w:rPr>
          <w:rFonts w:ascii="Arial"/>
          <w:b/>
          <w:sz w:val="20"/>
        </w:rPr>
      </w:pPr>
    </w:p>
    <w:p>
      <w:pPr>
        <w:pStyle w:val="Heading4"/>
        <w:tabs>
          <w:tab w:pos="2377" w:val="left" w:leader="none"/>
        </w:tabs>
        <w:ind w:left="218" w:firstLine="0"/>
      </w:pPr>
      <w:bookmarkStart w:name="Schedule 5.5.2 [Deleted]" w:id="1094"/>
      <w:bookmarkEnd w:id="1094"/>
      <w:r>
        <w:rPr>
          <w:b w:val="0"/>
        </w:rPr>
      </w:r>
      <w:bookmarkStart w:name="_bookmark439" w:id="1095"/>
      <w:bookmarkEnd w:id="1095"/>
      <w:r>
        <w:rPr>
          <w:b w:val="0"/>
        </w:rPr>
      </w:r>
      <w:r>
        <w:rPr/>
        <w:t>Schedule</w:t>
      </w:r>
      <w:r>
        <w:rPr>
          <w:spacing w:val="-2"/>
        </w:rPr>
        <w:t> </w:t>
      </w:r>
      <w:r>
        <w:rPr/>
        <w:t>5.5.2</w:t>
        <w:tab/>
        <w:t>[Deleted]</w:t>
      </w:r>
    </w:p>
    <w:p>
      <w:pPr>
        <w:pStyle w:val="BodyText"/>
        <w:spacing w:before="10"/>
        <w:ind w:firstLine="0"/>
        <w:jc w:val="left"/>
        <w:rPr>
          <w:rFonts w:ascii="Arial"/>
          <w:b/>
          <w:sz w:val="20"/>
        </w:rPr>
      </w:pPr>
    </w:p>
    <w:p>
      <w:pPr>
        <w:pStyle w:val="Heading4"/>
        <w:tabs>
          <w:tab w:pos="2377" w:val="left" w:leader="none"/>
        </w:tabs>
        <w:ind w:left="1352" w:right="845"/>
      </w:pPr>
      <w:bookmarkStart w:name="Schedule 5.5.3 Network and plant technic" w:id="1096"/>
      <w:bookmarkEnd w:id="1096"/>
      <w:r>
        <w:rPr>
          <w:b w:val="0"/>
        </w:rPr>
      </w:r>
      <w:bookmarkStart w:name="_bookmark440" w:id="1097"/>
      <w:bookmarkEnd w:id="1097"/>
      <w:r>
        <w:rPr>
          <w:b w:val="0"/>
        </w:rPr>
      </w:r>
      <w:r>
        <w:rPr/>
        <w:t>Schedule</w:t>
      </w:r>
      <w:r>
        <w:rPr>
          <w:spacing w:val="-2"/>
        </w:rPr>
        <w:t> </w:t>
      </w:r>
      <w:r>
        <w:rPr/>
        <w:t>5.5.3</w:t>
        <w:tab/>
        <w:t>Network and plant technical data of equipment at or near connection</w:t>
      </w:r>
      <w:r>
        <w:rPr>
          <w:spacing w:val="-2"/>
        </w:rPr>
        <w:t> </w:t>
      </w:r>
      <w:r>
        <w:rPr/>
        <w:t>point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spacing w:before="9"/>
        <w:ind w:firstLine="0"/>
        <w:jc w:val="left"/>
        <w:rPr>
          <w:sz w:val="20"/>
        </w:rPr>
      </w:pPr>
      <w:r>
        <w:rPr/>
        <w:pict>
          <v:shape style="position:absolute;margin-left:70.900002pt;margin-top:13.175307pt;width:453.55pt;height:19.8pt;mso-position-horizontal-relative:page;mso-position-vertical-relative:paragraph;z-index:-251648000;mso-wrap-distance-left:0;mso-wrap-distance-right:0" type="#_x0000_t202" filled="true" fillcolor="#d9d9d9" stroked="false">
            <v:textbox inset="0,0,0,0">
              <w:txbxContent>
                <w:p>
                  <w:pPr>
                    <w:tabs>
                      <w:tab w:pos="4987" w:val="left" w:leader="none"/>
                      <w:tab w:pos="6636"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w10:wrap type="topAndBottom"/>
          </v:shape>
        </w:pict>
      </w:r>
    </w:p>
    <w:p>
      <w:pPr>
        <w:pStyle w:val="Heading4"/>
        <w:spacing w:before="105"/>
        <w:ind w:left="1083" w:firstLine="0"/>
        <w:rPr>
          <w:rFonts w:ascii="Times New Roman"/>
        </w:rPr>
      </w:pPr>
      <w:r>
        <w:rPr>
          <w:rFonts w:ascii="Times New Roman"/>
        </w:rPr>
        <w:t>Voltage Rating</w:t>
      </w:r>
    </w:p>
    <w:p>
      <w:pPr>
        <w:pStyle w:val="BodyText"/>
        <w:spacing w:before="8"/>
        <w:ind w:firstLine="0"/>
        <w:jc w:val="left"/>
        <w:rPr>
          <w:b/>
          <w:sz w:val="21"/>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4"/>
        <w:gridCol w:w="1716"/>
        <w:gridCol w:w="576"/>
      </w:tblGrid>
      <w:tr>
        <w:trPr>
          <w:trHeight w:val="390" w:hRule="atLeast"/>
        </w:trPr>
        <w:tc>
          <w:tcPr>
            <w:tcW w:w="4834" w:type="dxa"/>
          </w:tcPr>
          <w:p>
            <w:pPr>
              <w:pStyle w:val="TableParagraph"/>
              <w:spacing w:line="266" w:lineRule="exact" w:before="0"/>
              <w:ind w:left="50"/>
              <w:rPr>
                <w:i/>
                <w:sz w:val="24"/>
              </w:rPr>
            </w:pPr>
            <w:r>
              <w:rPr>
                <w:i/>
                <w:sz w:val="24"/>
              </w:rPr>
              <w:t>Nominal voltage</w:t>
            </w:r>
          </w:p>
        </w:tc>
        <w:tc>
          <w:tcPr>
            <w:tcW w:w="1716" w:type="dxa"/>
          </w:tcPr>
          <w:p>
            <w:pPr>
              <w:pStyle w:val="TableParagraph"/>
              <w:spacing w:line="266" w:lineRule="exact" w:before="0"/>
              <w:ind w:left="163"/>
              <w:rPr>
                <w:sz w:val="24"/>
              </w:rPr>
            </w:pPr>
            <w:r>
              <w:rPr>
                <w:sz w:val="24"/>
              </w:rPr>
              <w:t>kV</w:t>
            </w:r>
          </w:p>
        </w:tc>
        <w:tc>
          <w:tcPr>
            <w:tcW w:w="576" w:type="dxa"/>
          </w:tcPr>
          <w:p>
            <w:pPr>
              <w:pStyle w:val="TableParagraph"/>
              <w:spacing w:line="266" w:lineRule="exact" w:before="0"/>
              <w:ind w:left="97"/>
              <w:rPr>
                <w:sz w:val="24"/>
              </w:rPr>
            </w:pPr>
            <w:r>
              <w:rPr>
                <w:sz w:val="24"/>
              </w:rPr>
              <w:t>S, D</w:t>
            </w:r>
          </w:p>
        </w:tc>
      </w:tr>
      <w:tr>
        <w:trPr>
          <w:trHeight w:val="773" w:hRule="atLeast"/>
        </w:trPr>
        <w:tc>
          <w:tcPr>
            <w:tcW w:w="4834" w:type="dxa"/>
          </w:tcPr>
          <w:p>
            <w:pPr>
              <w:pStyle w:val="TableParagraph"/>
              <w:spacing w:before="115"/>
              <w:ind w:left="50"/>
              <w:rPr>
                <w:i/>
                <w:sz w:val="24"/>
              </w:rPr>
            </w:pPr>
            <w:r>
              <w:rPr>
                <w:sz w:val="24"/>
              </w:rPr>
              <w:t>Highest </w:t>
            </w:r>
            <w:r>
              <w:rPr>
                <w:i/>
                <w:sz w:val="24"/>
              </w:rPr>
              <w:t>voltage</w:t>
            </w:r>
          </w:p>
        </w:tc>
        <w:tc>
          <w:tcPr>
            <w:tcW w:w="1716" w:type="dxa"/>
          </w:tcPr>
          <w:p>
            <w:pPr>
              <w:pStyle w:val="TableParagraph"/>
              <w:spacing w:before="115"/>
              <w:ind w:left="163"/>
              <w:rPr>
                <w:sz w:val="24"/>
              </w:rPr>
            </w:pPr>
            <w:r>
              <w:rPr>
                <w:sz w:val="24"/>
              </w:rPr>
              <w:t>kV</w:t>
            </w:r>
          </w:p>
        </w:tc>
        <w:tc>
          <w:tcPr>
            <w:tcW w:w="576" w:type="dxa"/>
          </w:tcPr>
          <w:p>
            <w:pPr>
              <w:pStyle w:val="TableParagraph"/>
              <w:spacing w:before="115"/>
              <w:ind w:left="97"/>
              <w:rPr>
                <w:sz w:val="24"/>
              </w:rPr>
            </w:pPr>
            <w:r>
              <w:rPr>
                <w:sz w:val="24"/>
              </w:rPr>
              <w:t>D</w:t>
            </w:r>
          </w:p>
        </w:tc>
      </w:tr>
      <w:tr>
        <w:trPr>
          <w:trHeight w:val="773" w:hRule="atLeast"/>
        </w:trPr>
        <w:tc>
          <w:tcPr>
            <w:tcW w:w="4834" w:type="dxa"/>
          </w:tcPr>
          <w:p>
            <w:pPr>
              <w:pStyle w:val="TableParagraph"/>
              <w:spacing w:before="4"/>
              <w:ind w:left="0"/>
              <w:rPr>
                <w:b/>
                <w:sz w:val="32"/>
              </w:rPr>
            </w:pPr>
          </w:p>
          <w:p>
            <w:pPr>
              <w:pStyle w:val="TableParagraph"/>
              <w:spacing w:before="1"/>
              <w:ind w:left="875"/>
              <w:rPr>
                <w:b/>
                <w:sz w:val="24"/>
              </w:rPr>
            </w:pPr>
            <w:r>
              <w:rPr>
                <w:b/>
                <w:sz w:val="24"/>
              </w:rPr>
              <w:t>Insulation Co-ordination</w:t>
            </w:r>
          </w:p>
        </w:tc>
        <w:tc>
          <w:tcPr>
            <w:tcW w:w="1716" w:type="dxa"/>
          </w:tcPr>
          <w:p>
            <w:pPr>
              <w:pStyle w:val="TableParagraph"/>
              <w:spacing w:before="0"/>
              <w:ind w:left="0"/>
              <w:rPr>
                <w:sz w:val="22"/>
              </w:rPr>
            </w:pPr>
          </w:p>
        </w:tc>
        <w:tc>
          <w:tcPr>
            <w:tcW w:w="576" w:type="dxa"/>
          </w:tcPr>
          <w:p>
            <w:pPr>
              <w:pStyle w:val="TableParagraph"/>
              <w:spacing w:before="0"/>
              <w:ind w:left="0"/>
              <w:rPr>
                <w:sz w:val="22"/>
              </w:rPr>
            </w:pPr>
          </w:p>
        </w:tc>
      </w:tr>
      <w:tr>
        <w:trPr>
          <w:trHeight w:val="515" w:hRule="atLeast"/>
        </w:trPr>
        <w:tc>
          <w:tcPr>
            <w:tcW w:w="4834" w:type="dxa"/>
          </w:tcPr>
          <w:p>
            <w:pPr>
              <w:pStyle w:val="TableParagraph"/>
              <w:spacing w:before="115"/>
              <w:ind w:left="50"/>
              <w:rPr>
                <w:i/>
                <w:sz w:val="24"/>
              </w:rPr>
            </w:pPr>
            <w:r>
              <w:rPr>
                <w:sz w:val="24"/>
              </w:rPr>
              <w:t>Rated lightning impulse withstand </w:t>
            </w:r>
            <w:r>
              <w:rPr>
                <w:i/>
                <w:sz w:val="24"/>
              </w:rPr>
              <w:t>voltage</w:t>
            </w:r>
          </w:p>
        </w:tc>
        <w:tc>
          <w:tcPr>
            <w:tcW w:w="1716" w:type="dxa"/>
          </w:tcPr>
          <w:p>
            <w:pPr>
              <w:pStyle w:val="TableParagraph"/>
              <w:spacing w:before="115"/>
              <w:ind w:left="163"/>
              <w:rPr>
                <w:sz w:val="24"/>
              </w:rPr>
            </w:pPr>
            <w:r>
              <w:rPr>
                <w:sz w:val="24"/>
              </w:rPr>
              <w:t>kVp</w:t>
            </w:r>
          </w:p>
        </w:tc>
        <w:tc>
          <w:tcPr>
            <w:tcW w:w="576" w:type="dxa"/>
          </w:tcPr>
          <w:p>
            <w:pPr>
              <w:pStyle w:val="TableParagraph"/>
              <w:spacing w:before="115"/>
              <w:ind w:left="97"/>
              <w:rPr>
                <w:sz w:val="24"/>
              </w:rPr>
            </w:pPr>
            <w:r>
              <w:rPr>
                <w:sz w:val="24"/>
              </w:rPr>
              <w:t>D</w:t>
            </w:r>
          </w:p>
        </w:tc>
      </w:tr>
      <w:tr>
        <w:trPr>
          <w:trHeight w:val="1049" w:hRule="atLeast"/>
        </w:trPr>
        <w:tc>
          <w:tcPr>
            <w:tcW w:w="4834" w:type="dxa"/>
          </w:tcPr>
          <w:p>
            <w:pPr>
              <w:pStyle w:val="TableParagraph"/>
              <w:spacing w:before="115"/>
              <w:ind w:left="50"/>
              <w:rPr>
                <w:sz w:val="24"/>
              </w:rPr>
            </w:pPr>
            <w:r>
              <w:rPr>
                <w:sz w:val="24"/>
              </w:rPr>
              <w:t>Rated short duration power </w:t>
            </w:r>
            <w:r>
              <w:rPr>
                <w:i/>
                <w:sz w:val="24"/>
              </w:rPr>
              <w:t>frequency </w:t>
            </w:r>
            <w:r>
              <w:rPr>
                <w:sz w:val="24"/>
              </w:rPr>
              <w:t>withstand</w:t>
            </w:r>
          </w:p>
          <w:p>
            <w:pPr>
              <w:pStyle w:val="TableParagraph"/>
              <w:spacing w:before="0"/>
              <w:ind w:left="50"/>
              <w:rPr>
                <w:i/>
                <w:sz w:val="24"/>
              </w:rPr>
            </w:pPr>
            <w:r>
              <w:rPr>
                <w:i/>
                <w:sz w:val="24"/>
              </w:rPr>
              <w:t>voltage</w:t>
            </w:r>
          </w:p>
        </w:tc>
        <w:tc>
          <w:tcPr>
            <w:tcW w:w="1716" w:type="dxa"/>
          </w:tcPr>
          <w:p>
            <w:pPr>
              <w:pStyle w:val="TableParagraph"/>
              <w:spacing w:before="115"/>
              <w:ind w:left="163"/>
              <w:rPr>
                <w:sz w:val="24"/>
              </w:rPr>
            </w:pPr>
            <w:r>
              <w:rPr>
                <w:sz w:val="24"/>
              </w:rPr>
              <w:t>kV</w:t>
            </w:r>
          </w:p>
        </w:tc>
        <w:tc>
          <w:tcPr>
            <w:tcW w:w="576" w:type="dxa"/>
          </w:tcPr>
          <w:p>
            <w:pPr>
              <w:pStyle w:val="TableParagraph"/>
              <w:spacing w:before="115"/>
              <w:ind w:left="97"/>
              <w:rPr>
                <w:sz w:val="24"/>
              </w:rPr>
            </w:pPr>
            <w:r>
              <w:rPr>
                <w:sz w:val="24"/>
              </w:rPr>
              <w:t>D</w:t>
            </w:r>
          </w:p>
        </w:tc>
      </w:tr>
      <w:tr>
        <w:trPr>
          <w:trHeight w:val="773" w:hRule="atLeast"/>
        </w:trPr>
        <w:tc>
          <w:tcPr>
            <w:tcW w:w="4834" w:type="dxa"/>
          </w:tcPr>
          <w:p>
            <w:pPr>
              <w:pStyle w:val="TableParagraph"/>
              <w:spacing w:before="4"/>
              <w:ind w:left="0"/>
              <w:rPr>
                <w:b/>
                <w:sz w:val="32"/>
              </w:rPr>
            </w:pPr>
          </w:p>
          <w:p>
            <w:pPr>
              <w:pStyle w:val="TableParagraph"/>
              <w:spacing w:before="1"/>
              <w:ind w:left="875"/>
              <w:rPr>
                <w:b/>
                <w:sz w:val="24"/>
              </w:rPr>
            </w:pPr>
            <w:r>
              <w:rPr>
                <w:b/>
                <w:sz w:val="24"/>
              </w:rPr>
              <w:t>Rated Currents</w:t>
            </w:r>
          </w:p>
        </w:tc>
        <w:tc>
          <w:tcPr>
            <w:tcW w:w="1716" w:type="dxa"/>
          </w:tcPr>
          <w:p>
            <w:pPr>
              <w:pStyle w:val="TableParagraph"/>
              <w:spacing w:before="0"/>
              <w:ind w:left="0"/>
              <w:rPr>
                <w:sz w:val="22"/>
              </w:rPr>
            </w:pPr>
          </w:p>
        </w:tc>
        <w:tc>
          <w:tcPr>
            <w:tcW w:w="576" w:type="dxa"/>
          </w:tcPr>
          <w:p>
            <w:pPr>
              <w:pStyle w:val="TableParagraph"/>
              <w:spacing w:before="0"/>
              <w:ind w:left="0"/>
              <w:rPr>
                <w:sz w:val="22"/>
              </w:rPr>
            </w:pPr>
          </w:p>
        </w:tc>
      </w:tr>
      <w:tr>
        <w:trPr>
          <w:trHeight w:val="515" w:hRule="atLeast"/>
        </w:trPr>
        <w:tc>
          <w:tcPr>
            <w:tcW w:w="4834" w:type="dxa"/>
          </w:tcPr>
          <w:p>
            <w:pPr>
              <w:pStyle w:val="TableParagraph"/>
              <w:spacing w:before="115"/>
              <w:ind w:left="50"/>
              <w:rPr>
                <w:sz w:val="24"/>
              </w:rPr>
            </w:pPr>
            <w:r>
              <w:rPr>
                <w:sz w:val="24"/>
              </w:rPr>
              <w:t>Circuit maximum current</w:t>
            </w:r>
          </w:p>
        </w:tc>
        <w:tc>
          <w:tcPr>
            <w:tcW w:w="1716" w:type="dxa"/>
          </w:tcPr>
          <w:p>
            <w:pPr>
              <w:pStyle w:val="TableParagraph"/>
              <w:spacing w:before="115"/>
              <w:ind w:left="163"/>
              <w:rPr>
                <w:sz w:val="24"/>
              </w:rPr>
            </w:pPr>
            <w:r>
              <w:rPr>
                <w:sz w:val="24"/>
              </w:rPr>
              <w:t>kA</w:t>
            </w:r>
          </w:p>
        </w:tc>
        <w:tc>
          <w:tcPr>
            <w:tcW w:w="576" w:type="dxa"/>
          </w:tcPr>
          <w:p>
            <w:pPr>
              <w:pStyle w:val="TableParagraph"/>
              <w:spacing w:before="115"/>
              <w:ind w:left="97"/>
              <w:rPr>
                <w:sz w:val="24"/>
              </w:rPr>
            </w:pPr>
            <w:r>
              <w:rPr>
                <w:sz w:val="24"/>
              </w:rPr>
              <w:t>S, D</w:t>
            </w:r>
          </w:p>
        </w:tc>
      </w:tr>
      <w:tr>
        <w:trPr>
          <w:trHeight w:val="515" w:hRule="atLeast"/>
        </w:trPr>
        <w:tc>
          <w:tcPr>
            <w:tcW w:w="4834" w:type="dxa"/>
          </w:tcPr>
          <w:p>
            <w:pPr>
              <w:pStyle w:val="TableParagraph"/>
              <w:spacing w:before="115"/>
              <w:ind w:left="50"/>
              <w:rPr>
                <w:sz w:val="24"/>
              </w:rPr>
            </w:pPr>
            <w:r>
              <w:rPr>
                <w:sz w:val="24"/>
              </w:rPr>
              <w:t>Rated Short Time Withstand Current</w:t>
            </w:r>
          </w:p>
        </w:tc>
        <w:tc>
          <w:tcPr>
            <w:tcW w:w="1716" w:type="dxa"/>
          </w:tcPr>
          <w:p>
            <w:pPr>
              <w:pStyle w:val="TableParagraph"/>
              <w:spacing w:before="115"/>
              <w:ind w:left="163"/>
              <w:rPr>
                <w:sz w:val="24"/>
              </w:rPr>
            </w:pPr>
            <w:r>
              <w:rPr>
                <w:sz w:val="24"/>
              </w:rPr>
              <w:t>kA for seconds</w:t>
            </w:r>
          </w:p>
        </w:tc>
        <w:tc>
          <w:tcPr>
            <w:tcW w:w="576" w:type="dxa"/>
          </w:tcPr>
          <w:p>
            <w:pPr>
              <w:pStyle w:val="TableParagraph"/>
              <w:spacing w:before="115"/>
              <w:ind w:left="97"/>
              <w:rPr>
                <w:sz w:val="24"/>
              </w:rPr>
            </w:pPr>
            <w:r>
              <w:rPr>
                <w:sz w:val="24"/>
              </w:rPr>
              <w:t>D</w:t>
            </w:r>
          </w:p>
        </w:tc>
      </w:tr>
      <w:tr>
        <w:trPr>
          <w:trHeight w:val="666" w:hRule="atLeast"/>
        </w:trPr>
        <w:tc>
          <w:tcPr>
            <w:tcW w:w="4834" w:type="dxa"/>
          </w:tcPr>
          <w:p>
            <w:pPr>
              <w:pStyle w:val="TableParagraph"/>
              <w:spacing w:line="270" w:lineRule="atLeast" w:before="115"/>
              <w:ind w:left="50" w:right="238"/>
              <w:rPr>
                <w:sz w:val="24"/>
              </w:rPr>
            </w:pPr>
            <w:r>
              <w:rPr>
                <w:sz w:val="24"/>
              </w:rPr>
              <w:t>Ambient conditions under which above current applies</w:t>
            </w:r>
          </w:p>
        </w:tc>
        <w:tc>
          <w:tcPr>
            <w:tcW w:w="1716" w:type="dxa"/>
          </w:tcPr>
          <w:p>
            <w:pPr>
              <w:pStyle w:val="TableParagraph"/>
              <w:spacing w:before="115"/>
              <w:ind w:left="163"/>
              <w:rPr>
                <w:sz w:val="24"/>
              </w:rPr>
            </w:pPr>
            <w:r>
              <w:rPr>
                <w:sz w:val="24"/>
              </w:rPr>
              <w:t>Text</w:t>
            </w:r>
          </w:p>
        </w:tc>
        <w:tc>
          <w:tcPr>
            <w:tcW w:w="576" w:type="dxa"/>
          </w:tcPr>
          <w:p>
            <w:pPr>
              <w:pStyle w:val="TableParagraph"/>
              <w:spacing w:before="115"/>
              <w:ind w:left="97"/>
              <w:rPr>
                <w:sz w:val="24"/>
              </w:rPr>
            </w:pPr>
            <w:r>
              <w:rPr>
                <w:sz w:val="24"/>
              </w:rPr>
              <w:t>S,D</w:t>
            </w:r>
          </w:p>
        </w:tc>
      </w:tr>
    </w:tbl>
    <w:p>
      <w:pPr>
        <w:pStyle w:val="BodyText"/>
        <w:spacing w:before="0"/>
        <w:ind w:firstLine="0"/>
        <w:jc w:val="left"/>
        <w:rPr>
          <w:b/>
          <w:sz w:val="26"/>
        </w:rPr>
      </w:pPr>
    </w:p>
    <w:p>
      <w:pPr>
        <w:pStyle w:val="BodyText"/>
        <w:spacing w:before="0"/>
        <w:ind w:firstLine="0"/>
        <w:jc w:val="left"/>
        <w:rPr>
          <w:b/>
          <w:sz w:val="26"/>
        </w:rPr>
      </w:pPr>
    </w:p>
    <w:p>
      <w:pPr>
        <w:spacing w:before="158"/>
        <w:ind w:left="1083" w:right="0" w:firstLine="0"/>
        <w:jc w:val="left"/>
        <w:rPr>
          <w:b/>
          <w:sz w:val="24"/>
        </w:rPr>
      </w:pPr>
      <w:r>
        <w:rPr>
          <w:b/>
          <w:sz w:val="24"/>
        </w:rPr>
        <w:t>Earthing</w:t>
      </w:r>
    </w:p>
    <w:p>
      <w:pPr>
        <w:pStyle w:val="BodyText"/>
        <w:spacing w:before="8"/>
        <w:ind w:firstLine="0"/>
        <w:jc w:val="left"/>
        <w:rPr>
          <w:b/>
          <w:sz w:val="21"/>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4"/>
        <w:gridCol w:w="2826"/>
        <w:gridCol w:w="575"/>
      </w:tblGrid>
      <w:tr>
        <w:trPr>
          <w:trHeight w:val="390" w:hRule="atLeast"/>
        </w:trPr>
        <w:tc>
          <w:tcPr>
            <w:tcW w:w="3724" w:type="dxa"/>
          </w:tcPr>
          <w:p>
            <w:pPr>
              <w:pStyle w:val="TableParagraph"/>
              <w:spacing w:line="266" w:lineRule="exact" w:before="0"/>
              <w:ind w:left="50"/>
              <w:rPr>
                <w:sz w:val="24"/>
              </w:rPr>
            </w:pPr>
            <w:r>
              <w:rPr>
                <w:sz w:val="24"/>
              </w:rPr>
              <w:t>System Earthing Method</w:t>
            </w:r>
          </w:p>
        </w:tc>
        <w:tc>
          <w:tcPr>
            <w:tcW w:w="2826" w:type="dxa"/>
          </w:tcPr>
          <w:p>
            <w:pPr>
              <w:pStyle w:val="TableParagraph"/>
              <w:spacing w:line="266" w:lineRule="exact" w:before="0"/>
              <w:ind w:left="1273"/>
              <w:rPr>
                <w:sz w:val="24"/>
              </w:rPr>
            </w:pPr>
            <w:r>
              <w:rPr>
                <w:sz w:val="24"/>
              </w:rPr>
              <w:t>Text</w:t>
            </w:r>
          </w:p>
        </w:tc>
        <w:tc>
          <w:tcPr>
            <w:tcW w:w="575" w:type="dxa"/>
          </w:tcPr>
          <w:p>
            <w:pPr>
              <w:pStyle w:val="TableParagraph"/>
              <w:spacing w:line="266" w:lineRule="exact" w:before="0"/>
              <w:ind w:left="97"/>
              <w:rPr>
                <w:sz w:val="24"/>
              </w:rPr>
            </w:pPr>
            <w:r>
              <w:rPr>
                <w:sz w:val="24"/>
              </w:rPr>
              <w:t>S, D</w:t>
            </w:r>
          </w:p>
        </w:tc>
      </w:tr>
      <w:tr>
        <w:trPr>
          <w:trHeight w:val="390" w:hRule="atLeast"/>
        </w:trPr>
        <w:tc>
          <w:tcPr>
            <w:tcW w:w="3724" w:type="dxa"/>
          </w:tcPr>
          <w:p>
            <w:pPr>
              <w:pStyle w:val="TableParagraph"/>
              <w:spacing w:line="256" w:lineRule="exact" w:before="115"/>
              <w:ind w:left="50"/>
              <w:rPr>
                <w:sz w:val="24"/>
              </w:rPr>
            </w:pPr>
            <w:r>
              <w:rPr>
                <w:sz w:val="24"/>
              </w:rPr>
              <w:t>Earth grid rated current</w:t>
            </w:r>
          </w:p>
        </w:tc>
        <w:tc>
          <w:tcPr>
            <w:tcW w:w="2826" w:type="dxa"/>
          </w:tcPr>
          <w:p>
            <w:pPr>
              <w:pStyle w:val="TableParagraph"/>
              <w:spacing w:line="256" w:lineRule="exact" w:before="115"/>
              <w:ind w:left="1273"/>
              <w:rPr>
                <w:sz w:val="24"/>
              </w:rPr>
            </w:pPr>
            <w:r>
              <w:rPr>
                <w:sz w:val="24"/>
              </w:rPr>
              <w:t>kA for seconds</w:t>
            </w:r>
          </w:p>
        </w:tc>
        <w:tc>
          <w:tcPr>
            <w:tcW w:w="575" w:type="dxa"/>
          </w:tcPr>
          <w:p>
            <w:pPr>
              <w:pStyle w:val="TableParagraph"/>
              <w:spacing w:line="256" w:lineRule="exact" w:before="115"/>
              <w:ind w:left="97"/>
              <w:rPr>
                <w:sz w:val="24"/>
              </w:rPr>
            </w:pPr>
            <w:r>
              <w:rPr>
                <w:sz w:val="24"/>
              </w:rPr>
              <w:t>D</w:t>
            </w:r>
          </w:p>
        </w:tc>
      </w:tr>
    </w:tbl>
    <w:p>
      <w:pPr>
        <w:pStyle w:val="BodyText"/>
        <w:spacing w:before="0"/>
        <w:ind w:firstLine="0"/>
        <w:jc w:val="left"/>
        <w:rPr>
          <w:b/>
          <w:sz w:val="26"/>
        </w:rPr>
      </w:pPr>
    </w:p>
    <w:p>
      <w:pPr>
        <w:pStyle w:val="BodyText"/>
        <w:spacing w:before="0"/>
        <w:ind w:firstLine="0"/>
        <w:jc w:val="left"/>
        <w:rPr>
          <w:b/>
          <w:sz w:val="26"/>
        </w:rPr>
      </w:pPr>
    </w:p>
    <w:p>
      <w:pPr>
        <w:spacing w:before="158"/>
        <w:ind w:left="1083" w:right="0" w:firstLine="0"/>
        <w:jc w:val="left"/>
        <w:rPr>
          <w:b/>
          <w:sz w:val="24"/>
        </w:rPr>
      </w:pPr>
      <w:r>
        <w:rPr>
          <w:b/>
          <w:sz w:val="24"/>
        </w:rPr>
        <w:t>Insulation Pollution Performance</w:t>
      </w:r>
    </w:p>
    <w:p>
      <w:pPr>
        <w:pStyle w:val="BodyText"/>
        <w:spacing w:before="10"/>
        <w:ind w:firstLine="0"/>
        <w:jc w:val="left"/>
        <w:rPr>
          <w:b/>
          <w:sz w:val="20"/>
        </w:rPr>
      </w:pPr>
    </w:p>
    <w:p>
      <w:pPr>
        <w:pStyle w:val="BodyText"/>
        <w:tabs>
          <w:tab w:pos="5205" w:val="left" w:leader="none"/>
          <w:tab w:pos="6854" w:val="left" w:leader="none"/>
        </w:tabs>
        <w:spacing w:before="0"/>
        <w:ind w:left="258" w:firstLine="0"/>
        <w:jc w:val="left"/>
      </w:pPr>
      <w:r>
        <w:rPr/>
        <w:t>Minimum</w:t>
      </w:r>
      <w:r>
        <w:rPr>
          <w:spacing w:val="-3"/>
        </w:rPr>
        <w:t> </w:t>
      </w:r>
      <w:r>
        <w:rPr/>
        <w:t>total</w:t>
      </w:r>
      <w:r>
        <w:rPr>
          <w:spacing w:val="-2"/>
        </w:rPr>
        <w:t> </w:t>
      </w:r>
      <w:r>
        <w:rPr/>
        <w:t>creepage</w:t>
        <w:tab/>
        <w:t>mm</w:t>
        <w:tab/>
        <w:t>D</w:t>
      </w:r>
    </w:p>
    <w:p>
      <w:pPr>
        <w:spacing w:after="0"/>
        <w:jc w:val="left"/>
        <w:sectPr>
          <w:pgSz w:w="11910" w:h="16840"/>
          <w:pgMar w:header="686" w:footer="637" w:top="1320" w:bottom="820" w:left="1200" w:right="1000"/>
        </w:sectPr>
      </w:pPr>
    </w:p>
    <w:p>
      <w:pPr>
        <w:pStyle w:val="BodyText"/>
        <w:spacing w:before="2"/>
        <w:ind w:firstLine="0"/>
        <w:jc w:val="left"/>
        <w:rPr>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4987" w:val="left" w:leader="none"/>
                      <w:tab w:pos="6636"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pStyle w:val="BodyText"/>
        <w:tabs>
          <w:tab w:pos="4947" w:val="left" w:leader="none"/>
          <w:tab w:pos="6596" w:val="left" w:leader="none"/>
        </w:tabs>
        <w:spacing w:before="97"/>
        <w:ind w:right="2418" w:firstLine="0"/>
        <w:jc w:val="center"/>
      </w:pPr>
      <w:r>
        <w:rPr/>
        <w:t>Pollution</w:t>
      </w:r>
      <w:r>
        <w:rPr>
          <w:spacing w:val="-3"/>
        </w:rPr>
        <w:t> </w:t>
      </w:r>
      <w:r>
        <w:rPr/>
        <w:t>level</w:t>
        <w:tab/>
        <w:t>Level</w:t>
      </w:r>
      <w:r>
        <w:rPr>
          <w:spacing w:val="-1"/>
        </w:rPr>
        <w:t> </w:t>
      </w:r>
      <w:r>
        <w:rPr/>
        <w:t>of IEC</w:t>
        <w:tab/>
        <w:t>D</w:t>
      </w:r>
    </w:p>
    <w:p>
      <w:pPr>
        <w:pStyle w:val="BodyText"/>
        <w:spacing w:before="0"/>
        <w:ind w:left="1934" w:right="869" w:firstLine="0"/>
        <w:jc w:val="center"/>
      </w:pPr>
      <w:r>
        <w:rPr/>
        <w:t>815</w:t>
      </w:r>
    </w:p>
    <w:p>
      <w:pPr>
        <w:pStyle w:val="BodyText"/>
        <w:spacing w:before="0"/>
        <w:ind w:firstLine="0"/>
        <w:jc w:val="left"/>
        <w:rPr>
          <w:sz w:val="20"/>
        </w:rPr>
      </w:pPr>
    </w:p>
    <w:p>
      <w:pPr>
        <w:pStyle w:val="BodyText"/>
        <w:spacing w:before="0"/>
        <w:ind w:firstLine="0"/>
        <w:jc w:val="left"/>
        <w:rPr>
          <w:sz w:val="20"/>
        </w:rPr>
      </w:pPr>
    </w:p>
    <w:p>
      <w:pPr>
        <w:pStyle w:val="BodyText"/>
        <w:spacing w:before="10"/>
        <w:ind w:firstLine="0"/>
        <w:jc w:val="left"/>
        <w:rPr>
          <w:sz w:val="17"/>
        </w:rPr>
      </w:pPr>
    </w:p>
    <w:p>
      <w:pPr>
        <w:spacing w:after="0"/>
        <w:jc w:val="left"/>
        <w:rPr>
          <w:sz w:val="17"/>
        </w:rPr>
        <w:sectPr>
          <w:pgSz w:w="11910" w:h="16840"/>
          <w:pgMar w:header="686" w:footer="637" w:top="1320" w:bottom="820" w:left="1200" w:right="1000"/>
        </w:sectPr>
      </w:pPr>
    </w:p>
    <w:p>
      <w:pPr>
        <w:pStyle w:val="Heading4"/>
        <w:spacing w:before="90"/>
        <w:ind w:left="1083" w:firstLine="0"/>
        <w:rPr>
          <w:rFonts w:ascii="Times New Roman"/>
        </w:rPr>
      </w:pPr>
      <w:r>
        <w:rPr>
          <w:rFonts w:ascii="Times New Roman"/>
        </w:rPr>
        <w:t>Controls</w:t>
      </w:r>
    </w:p>
    <w:p>
      <w:pPr>
        <w:pStyle w:val="BodyText"/>
        <w:spacing w:before="10"/>
        <w:ind w:firstLine="0"/>
        <w:jc w:val="left"/>
        <w:rPr>
          <w:b/>
          <w:sz w:val="20"/>
        </w:rPr>
      </w:pPr>
    </w:p>
    <w:p>
      <w:pPr>
        <w:pStyle w:val="BodyText"/>
        <w:spacing w:before="0"/>
        <w:ind w:left="258" w:right="22" w:firstLine="0"/>
        <w:jc w:val="left"/>
      </w:pPr>
      <w:r>
        <w:rPr/>
        <w:t>Remote control and data transmission arrangements</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tabs>
          <w:tab w:pos="1906" w:val="left" w:leader="none"/>
        </w:tabs>
        <w:spacing w:before="0"/>
        <w:ind w:left="258" w:firstLine="0"/>
        <w:jc w:val="left"/>
      </w:pPr>
      <w:r>
        <w:rPr/>
        <w:t>Text</w:t>
        <w:tab/>
        <w:t>D</w:t>
      </w:r>
    </w:p>
    <w:p>
      <w:pPr>
        <w:spacing w:after="0"/>
        <w:jc w:val="left"/>
        <w:sectPr>
          <w:type w:val="continuous"/>
          <w:pgSz w:w="11910" w:h="16840"/>
          <w:pgMar w:top="1360" w:bottom="280" w:left="1200" w:right="1000"/>
          <w:cols w:num="2" w:equalWidth="0">
            <w:col w:w="3926" w:space="1022"/>
            <w:col w:w="4762"/>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pStyle w:val="Heading4"/>
        <w:spacing w:before="90"/>
        <w:ind w:left="1083" w:firstLine="0"/>
        <w:rPr>
          <w:rFonts w:ascii="Times New Roman"/>
        </w:rPr>
      </w:pPr>
      <w:r>
        <w:rPr>
          <w:rFonts w:ascii="Times New Roman"/>
        </w:rPr>
        <w:t>Metering Provided by Customer</w:t>
      </w:r>
    </w:p>
    <w:p>
      <w:pPr>
        <w:pStyle w:val="BodyText"/>
        <w:spacing w:before="8"/>
        <w:ind w:firstLine="0"/>
        <w:jc w:val="left"/>
        <w:rPr>
          <w:b/>
          <w:sz w:val="21"/>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7"/>
        <w:gridCol w:w="1403"/>
        <w:gridCol w:w="888"/>
      </w:tblGrid>
      <w:tr>
        <w:trPr>
          <w:trHeight w:val="390" w:hRule="atLeast"/>
        </w:trPr>
        <w:tc>
          <w:tcPr>
            <w:tcW w:w="4687" w:type="dxa"/>
          </w:tcPr>
          <w:p>
            <w:pPr>
              <w:pStyle w:val="TableParagraph"/>
              <w:spacing w:line="266" w:lineRule="exact" w:before="0"/>
              <w:ind w:left="50"/>
              <w:rPr>
                <w:sz w:val="24"/>
              </w:rPr>
            </w:pPr>
            <w:r>
              <w:rPr>
                <w:sz w:val="24"/>
              </w:rPr>
              <w:t>Measurement </w:t>
            </w:r>
            <w:r>
              <w:rPr>
                <w:i/>
                <w:sz w:val="24"/>
              </w:rPr>
              <w:t>transformer </w:t>
            </w:r>
            <w:r>
              <w:rPr>
                <w:sz w:val="24"/>
              </w:rPr>
              <w:t>ratios:</w:t>
            </w:r>
          </w:p>
        </w:tc>
        <w:tc>
          <w:tcPr>
            <w:tcW w:w="1403" w:type="dxa"/>
          </w:tcPr>
          <w:p>
            <w:pPr>
              <w:pStyle w:val="TableParagraph"/>
              <w:spacing w:before="0"/>
              <w:ind w:left="0"/>
              <w:rPr>
                <w:sz w:val="22"/>
              </w:rPr>
            </w:pPr>
          </w:p>
        </w:tc>
        <w:tc>
          <w:tcPr>
            <w:tcW w:w="888" w:type="dxa"/>
          </w:tcPr>
          <w:p>
            <w:pPr>
              <w:pStyle w:val="TableParagraph"/>
              <w:spacing w:line="266" w:lineRule="exact" w:before="0"/>
              <w:ind w:left="0" w:right="155"/>
              <w:jc w:val="right"/>
              <w:rPr>
                <w:sz w:val="24"/>
              </w:rPr>
            </w:pPr>
            <w:r>
              <w:rPr>
                <w:sz w:val="24"/>
              </w:rPr>
              <w:t>D</w:t>
            </w:r>
          </w:p>
        </w:tc>
      </w:tr>
      <w:tr>
        <w:trPr>
          <w:trHeight w:val="515" w:hRule="atLeast"/>
        </w:trPr>
        <w:tc>
          <w:tcPr>
            <w:tcW w:w="4687" w:type="dxa"/>
          </w:tcPr>
          <w:p>
            <w:pPr>
              <w:pStyle w:val="TableParagraph"/>
              <w:spacing w:before="115"/>
              <w:ind w:left="50"/>
              <w:rPr>
                <w:i/>
                <w:sz w:val="24"/>
              </w:rPr>
            </w:pPr>
            <w:r>
              <w:rPr>
                <w:i/>
                <w:sz w:val="24"/>
              </w:rPr>
              <w:t>Current transformers</w:t>
            </w:r>
          </w:p>
        </w:tc>
        <w:tc>
          <w:tcPr>
            <w:tcW w:w="1403" w:type="dxa"/>
          </w:tcPr>
          <w:p>
            <w:pPr>
              <w:pStyle w:val="TableParagraph"/>
              <w:spacing w:before="115"/>
              <w:ind w:left="310"/>
              <w:rPr>
                <w:sz w:val="24"/>
              </w:rPr>
            </w:pPr>
            <w:r>
              <w:rPr>
                <w:sz w:val="24"/>
              </w:rPr>
              <w:t>A/A</w:t>
            </w:r>
          </w:p>
        </w:tc>
        <w:tc>
          <w:tcPr>
            <w:tcW w:w="888" w:type="dxa"/>
          </w:tcPr>
          <w:p>
            <w:pPr>
              <w:pStyle w:val="TableParagraph"/>
              <w:spacing w:before="115"/>
              <w:ind w:left="0" w:right="155"/>
              <w:jc w:val="right"/>
              <w:rPr>
                <w:sz w:val="24"/>
              </w:rPr>
            </w:pPr>
            <w:r>
              <w:rPr>
                <w:sz w:val="24"/>
              </w:rPr>
              <w:t>D</w:t>
            </w:r>
          </w:p>
        </w:tc>
      </w:tr>
      <w:tr>
        <w:trPr>
          <w:trHeight w:val="515" w:hRule="atLeast"/>
        </w:trPr>
        <w:tc>
          <w:tcPr>
            <w:tcW w:w="4687" w:type="dxa"/>
          </w:tcPr>
          <w:p>
            <w:pPr>
              <w:pStyle w:val="TableParagraph"/>
              <w:spacing w:before="115"/>
              <w:ind w:left="50"/>
              <w:rPr>
                <w:i/>
                <w:sz w:val="24"/>
              </w:rPr>
            </w:pPr>
            <w:r>
              <w:rPr>
                <w:i/>
                <w:sz w:val="24"/>
              </w:rPr>
              <w:t>Voltage transformers</w:t>
            </w:r>
          </w:p>
        </w:tc>
        <w:tc>
          <w:tcPr>
            <w:tcW w:w="1403" w:type="dxa"/>
          </w:tcPr>
          <w:p>
            <w:pPr>
              <w:pStyle w:val="TableParagraph"/>
              <w:spacing w:before="115"/>
              <w:ind w:left="310"/>
              <w:rPr>
                <w:sz w:val="24"/>
              </w:rPr>
            </w:pPr>
            <w:r>
              <w:rPr>
                <w:sz w:val="24"/>
              </w:rPr>
              <w:t>V/kV</w:t>
            </w:r>
          </w:p>
        </w:tc>
        <w:tc>
          <w:tcPr>
            <w:tcW w:w="888" w:type="dxa"/>
          </w:tcPr>
          <w:p>
            <w:pPr>
              <w:pStyle w:val="TableParagraph"/>
              <w:spacing w:before="115"/>
              <w:ind w:left="0" w:right="155"/>
              <w:jc w:val="right"/>
              <w:rPr>
                <w:sz w:val="24"/>
              </w:rPr>
            </w:pPr>
            <w:r>
              <w:rPr>
                <w:sz w:val="24"/>
              </w:rPr>
              <w:t>D</w:t>
            </w:r>
          </w:p>
        </w:tc>
      </w:tr>
      <w:tr>
        <w:trPr>
          <w:trHeight w:val="666" w:hRule="atLeast"/>
        </w:trPr>
        <w:tc>
          <w:tcPr>
            <w:tcW w:w="4687" w:type="dxa"/>
          </w:tcPr>
          <w:p>
            <w:pPr>
              <w:pStyle w:val="TableParagraph"/>
              <w:spacing w:line="270" w:lineRule="atLeast" w:before="115"/>
              <w:ind w:left="50" w:right="291"/>
              <w:rPr>
                <w:sz w:val="24"/>
              </w:rPr>
            </w:pPr>
            <w:r>
              <w:rPr>
                <w:sz w:val="24"/>
              </w:rPr>
              <w:t>Measurement </w:t>
            </w:r>
            <w:r>
              <w:rPr>
                <w:i/>
                <w:sz w:val="24"/>
              </w:rPr>
              <w:t>Transformer </w:t>
            </w:r>
            <w:r>
              <w:rPr>
                <w:sz w:val="24"/>
              </w:rPr>
              <w:t>Test Certification details</w:t>
            </w:r>
          </w:p>
        </w:tc>
        <w:tc>
          <w:tcPr>
            <w:tcW w:w="1403" w:type="dxa"/>
          </w:tcPr>
          <w:p>
            <w:pPr>
              <w:pStyle w:val="TableParagraph"/>
              <w:spacing w:before="115"/>
              <w:ind w:left="310"/>
              <w:rPr>
                <w:sz w:val="24"/>
              </w:rPr>
            </w:pPr>
            <w:r>
              <w:rPr>
                <w:sz w:val="24"/>
              </w:rPr>
              <w:t>Text</w:t>
            </w:r>
          </w:p>
        </w:tc>
        <w:tc>
          <w:tcPr>
            <w:tcW w:w="888" w:type="dxa"/>
          </w:tcPr>
          <w:p>
            <w:pPr>
              <w:pStyle w:val="TableParagraph"/>
              <w:spacing w:before="115"/>
              <w:ind w:left="0" w:right="48"/>
              <w:jc w:val="right"/>
              <w:rPr>
                <w:sz w:val="24"/>
              </w:rPr>
            </w:pPr>
            <w:r>
              <w:rPr>
                <w:sz w:val="24"/>
              </w:rPr>
              <w:t>R1</w:t>
            </w:r>
          </w:p>
        </w:tc>
      </w:tr>
    </w:tbl>
    <w:p>
      <w:pPr>
        <w:pStyle w:val="BodyText"/>
        <w:spacing w:before="0"/>
        <w:ind w:firstLine="0"/>
        <w:jc w:val="left"/>
        <w:rPr>
          <w:b/>
          <w:sz w:val="20"/>
        </w:rPr>
      </w:pPr>
    </w:p>
    <w:p>
      <w:pPr>
        <w:pStyle w:val="BodyText"/>
        <w:spacing w:before="0"/>
        <w:ind w:firstLine="0"/>
        <w:jc w:val="left"/>
        <w:rPr>
          <w:b/>
          <w:sz w:val="20"/>
        </w:rPr>
      </w:pPr>
    </w:p>
    <w:p>
      <w:pPr>
        <w:pStyle w:val="BodyText"/>
        <w:spacing w:before="10"/>
        <w:ind w:firstLine="0"/>
        <w:jc w:val="left"/>
        <w:rPr>
          <w:b/>
          <w:sz w:val="17"/>
        </w:rPr>
      </w:pPr>
    </w:p>
    <w:p>
      <w:pPr>
        <w:spacing w:after="0"/>
        <w:jc w:val="left"/>
        <w:rPr>
          <w:sz w:val="17"/>
        </w:rPr>
        <w:sectPr>
          <w:type w:val="continuous"/>
          <w:pgSz w:w="11910" w:h="16840"/>
          <w:pgMar w:top="1360" w:bottom="280" w:left="1200" w:right="1000"/>
        </w:sectPr>
      </w:pPr>
    </w:p>
    <w:p>
      <w:pPr>
        <w:spacing w:before="90"/>
        <w:ind w:left="1083" w:right="0" w:firstLine="0"/>
        <w:jc w:val="left"/>
        <w:rPr>
          <w:b/>
          <w:sz w:val="24"/>
        </w:rPr>
      </w:pPr>
      <w:r>
        <w:rPr>
          <w:b/>
          <w:sz w:val="24"/>
        </w:rPr>
        <w:t>Network Configuration</w:t>
      </w:r>
    </w:p>
    <w:p>
      <w:pPr>
        <w:pStyle w:val="BodyText"/>
        <w:spacing w:before="10"/>
        <w:ind w:firstLine="0"/>
        <w:jc w:val="left"/>
        <w:rPr>
          <w:b/>
          <w:sz w:val="20"/>
        </w:rPr>
      </w:pPr>
    </w:p>
    <w:p>
      <w:pPr>
        <w:spacing w:before="0"/>
        <w:ind w:left="258" w:right="21" w:firstLine="0"/>
        <w:jc w:val="left"/>
        <w:rPr>
          <w:sz w:val="24"/>
        </w:rPr>
      </w:pPr>
      <w:r>
        <w:rPr>
          <w:sz w:val="24"/>
        </w:rPr>
        <w:t>Operation Diagrams showing the electrical circuits of the existing and proposed main </w:t>
      </w:r>
      <w:r>
        <w:rPr>
          <w:i/>
          <w:sz w:val="24"/>
        </w:rPr>
        <w:t>facilities </w:t>
      </w:r>
      <w:r>
        <w:rPr>
          <w:sz w:val="24"/>
        </w:rPr>
        <w:t>within the </w:t>
      </w:r>
      <w:r>
        <w:rPr>
          <w:i/>
          <w:sz w:val="24"/>
        </w:rPr>
        <w:t>Registered Participant's </w:t>
      </w:r>
      <w:r>
        <w:rPr>
          <w:sz w:val="24"/>
        </w:rPr>
        <w:t>ownership including </w:t>
      </w:r>
      <w:r>
        <w:rPr>
          <w:i/>
          <w:sz w:val="24"/>
        </w:rPr>
        <w:t>busbar </w:t>
      </w:r>
      <w:r>
        <w:rPr>
          <w:sz w:val="24"/>
        </w:rPr>
        <w:t>arrangements, phasing arrangements, earthing arrangements, switching </w:t>
      </w:r>
      <w:r>
        <w:rPr>
          <w:i/>
          <w:sz w:val="24"/>
        </w:rPr>
        <w:t>facilities </w:t>
      </w:r>
      <w:r>
        <w:rPr>
          <w:sz w:val="24"/>
        </w:rPr>
        <w:t>and operating </w:t>
      </w:r>
      <w:r>
        <w:rPr>
          <w:i/>
          <w:sz w:val="24"/>
        </w:rPr>
        <w:t>voltages</w:t>
      </w:r>
      <w:r>
        <w:rPr>
          <w:sz w:val="24"/>
        </w:rPr>
        <w:t>.</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258" w:right="19" w:firstLine="0"/>
        <w:jc w:val="left"/>
      </w:pPr>
      <w:r>
        <w:rPr/>
        <w:t>Single line Diagrams</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258" w:firstLine="0"/>
        <w:jc w:val="left"/>
      </w:pPr>
      <w:r>
        <w:rPr/>
        <w:t>S, D, R1</w:t>
      </w:r>
    </w:p>
    <w:p>
      <w:pPr>
        <w:spacing w:after="0"/>
        <w:jc w:val="left"/>
        <w:sectPr>
          <w:type w:val="continuous"/>
          <w:pgSz w:w="11910" w:h="16840"/>
          <w:pgMar w:top="1360" w:bottom="280" w:left="1200" w:right="1000"/>
          <w:cols w:num="3" w:equalWidth="0">
            <w:col w:w="4718" w:space="230"/>
            <w:col w:w="1331" w:space="318"/>
            <w:col w:w="3113"/>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spacing w:after="0"/>
        <w:jc w:val="left"/>
        <w:rPr>
          <w:sz w:val="17"/>
        </w:rPr>
        <w:sectPr>
          <w:type w:val="continuous"/>
          <w:pgSz w:w="11910" w:h="16840"/>
          <w:pgMar w:top="1360" w:bottom="280" w:left="1200" w:right="1000"/>
        </w:sectPr>
      </w:pPr>
    </w:p>
    <w:p>
      <w:pPr>
        <w:pStyle w:val="Heading4"/>
        <w:spacing w:before="90"/>
        <w:ind w:left="1083" w:firstLine="0"/>
        <w:rPr>
          <w:rFonts w:ascii="Times New Roman"/>
        </w:rPr>
      </w:pPr>
      <w:r>
        <w:rPr>
          <w:rFonts w:ascii="Times New Roman"/>
        </w:rPr>
        <w:t>Network Impedance</w:t>
      </w:r>
    </w:p>
    <w:p>
      <w:pPr>
        <w:pStyle w:val="BodyText"/>
        <w:spacing w:before="10"/>
        <w:ind w:firstLine="0"/>
        <w:jc w:val="left"/>
        <w:rPr>
          <w:b/>
          <w:sz w:val="20"/>
        </w:rPr>
      </w:pPr>
    </w:p>
    <w:p>
      <w:pPr>
        <w:spacing w:before="0"/>
        <w:ind w:left="258" w:right="0" w:firstLine="0"/>
        <w:jc w:val="left"/>
        <w:rPr>
          <w:sz w:val="24"/>
        </w:rPr>
      </w:pPr>
      <w:r>
        <w:rPr>
          <w:sz w:val="24"/>
        </w:rPr>
        <w:t>For each item of </w:t>
      </w:r>
      <w:r>
        <w:rPr>
          <w:i/>
          <w:sz w:val="24"/>
        </w:rPr>
        <w:t>plant</w:t>
      </w:r>
      <w:r>
        <w:rPr>
          <w:sz w:val="24"/>
        </w:rPr>
        <w:t>:</w:t>
      </w:r>
    </w:p>
    <w:p>
      <w:pPr>
        <w:pStyle w:val="BodyText"/>
        <w:ind w:left="258" w:right="-20" w:firstLine="0"/>
        <w:jc w:val="left"/>
      </w:pPr>
      <w:r>
        <w:rPr/>
        <w:t>details of the positive, negative and zero sequence series and shunt impedance, including mutual coupling between physically adjacent elements.</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96" w:firstLine="0"/>
        <w:jc w:val="left"/>
      </w:pPr>
      <w:r>
        <w:rPr/>
        <w:t>% on 100 MVA</w:t>
      </w:r>
    </w:p>
    <w:p>
      <w:pPr>
        <w:pStyle w:val="BodyText"/>
        <w:spacing w:before="0"/>
        <w:ind w:left="96" w:firstLine="0"/>
        <w:jc w:val="left"/>
      </w:pPr>
      <w:r>
        <w:rPr/>
        <w:t>base</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69" w:firstLine="0"/>
        <w:jc w:val="left"/>
      </w:pPr>
      <w:r>
        <w:rPr/>
        <w:t>S, D, R1</w:t>
      </w:r>
    </w:p>
    <w:p>
      <w:pPr>
        <w:spacing w:after="0"/>
        <w:jc w:val="left"/>
        <w:sectPr>
          <w:type w:val="continuous"/>
          <w:pgSz w:w="11910" w:h="16840"/>
          <w:pgMar w:top="1360" w:bottom="280" w:left="1200" w:right="1000"/>
          <w:cols w:num="3" w:equalWidth="0">
            <w:col w:w="5070" w:space="40"/>
            <w:col w:w="1637" w:space="39"/>
            <w:col w:w="2924"/>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0"/>
        <w:ind w:firstLine="0"/>
        <w:jc w:val="left"/>
        <w:rPr>
          <w:sz w:val="17"/>
        </w:rPr>
      </w:pPr>
    </w:p>
    <w:p>
      <w:pPr>
        <w:spacing w:after="0"/>
        <w:jc w:val="left"/>
        <w:rPr>
          <w:sz w:val="17"/>
        </w:rPr>
        <w:sectPr>
          <w:type w:val="continuous"/>
          <w:pgSz w:w="11910" w:h="16840"/>
          <w:pgMar w:top="1360" w:bottom="280" w:left="1200" w:right="1000"/>
        </w:sectPr>
      </w:pPr>
    </w:p>
    <w:p>
      <w:pPr>
        <w:pStyle w:val="Heading4"/>
        <w:spacing w:before="90"/>
        <w:ind w:left="1083" w:firstLine="0"/>
        <w:rPr>
          <w:rFonts w:ascii="Times New Roman"/>
        </w:rPr>
      </w:pPr>
      <w:r>
        <w:rPr>
          <w:rFonts w:ascii="Times New Roman"/>
        </w:rPr>
        <w:t>Short Circuit Infeed to the Network</w:t>
      </w:r>
    </w:p>
    <w:p>
      <w:pPr>
        <w:pStyle w:val="BodyText"/>
        <w:spacing w:before="10"/>
        <w:ind w:firstLine="0"/>
        <w:jc w:val="left"/>
        <w:rPr>
          <w:b/>
          <w:sz w:val="20"/>
        </w:rPr>
      </w:pPr>
    </w:p>
    <w:p>
      <w:pPr>
        <w:spacing w:before="0"/>
        <w:ind w:left="258" w:right="-20" w:firstLine="0"/>
        <w:jc w:val="left"/>
        <w:rPr>
          <w:sz w:val="24"/>
        </w:rPr>
      </w:pPr>
      <w:r>
        <w:rPr>
          <w:sz w:val="24"/>
        </w:rPr>
        <w:t>Maximum generator 3-phase short circuit infeed including infeeds from </w:t>
      </w:r>
      <w:r>
        <w:rPr>
          <w:i/>
          <w:sz w:val="24"/>
        </w:rPr>
        <w:t>generating units connected </w:t>
      </w:r>
      <w:r>
        <w:rPr>
          <w:sz w:val="24"/>
        </w:rPr>
        <w:t>to the </w:t>
      </w:r>
      <w:r>
        <w:rPr>
          <w:i/>
          <w:sz w:val="24"/>
        </w:rPr>
        <w:t>Registered Participant's </w:t>
      </w:r>
      <w:r>
        <w:rPr>
          <w:sz w:val="24"/>
        </w:rPr>
        <w:t>system, calculated</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62" w:firstLine="0"/>
        <w:jc w:val="left"/>
      </w:pPr>
      <w:r>
        <w:rPr/>
        <w:t>kA symmetrical S, D, R1</w:t>
      </w:r>
    </w:p>
    <w:p>
      <w:pPr>
        <w:spacing w:after="0"/>
        <w:jc w:val="left"/>
        <w:sectPr>
          <w:type w:val="continuous"/>
          <w:pgSz w:w="11910" w:h="16840"/>
          <w:pgMar w:top="1360" w:bottom="280" w:left="1200" w:right="1000"/>
          <w:cols w:num="2" w:equalWidth="0">
            <w:col w:w="5104" w:space="40"/>
            <w:col w:w="4566"/>
          </w:cols>
        </w:sectPr>
      </w:pPr>
    </w:p>
    <w:p>
      <w:pPr>
        <w:pStyle w:val="BodyText"/>
        <w:spacing w:before="2"/>
        <w:ind w:firstLine="0"/>
        <w:jc w:val="left"/>
        <w:rPr>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4987" w:val="left" w:leader="none"/>
                      <w:tab w:pos="6636"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spacing w:after="0"/>
        <w:jc w:val="left"/>
        <w:rPr>
          <w:sz w:val="20"/>
        </w:rPr>
        <w:sectPr>
          <w:pgSz w:w="11910" w:h="16840"/>
          <w:pgMar w:header="686" w:footer="637" w:top="1320" w:bottom="820" w:left="1200" w:right="1000"/>
        </w:sectPr>
      </w:pPr>
    </w:p>
    <w:p>
      <w:pPr>
        <w:pStyle w:val="BodyText"/>
        <w:spacing w:line="253" w:lineRule="exact" w:before="0"/>
        <w:ind w:left="258" w:firstLine="0"/>
        <w:jc w:val="left"/>
      </w:pPr>
      <w:r>
        <w:rPr/>
        <w:t>by method of AS 3851 (1991).</w:t>
      </w:r>
    </w:p>
    <w:p>
      <w:pPr>
        <w:pStyle w:val="BodyText"/>
        <w:spacing w:before="10"/>
        <w:ind w:firstLine="0"/>
        <w:jc w:val="left"/>
        <w:rPr>
          <w:sz w:val="20"/>
        </w:rPr>
      </w:pPr>
    </w:p>
    <w:p>
      <w:pPr>
        <w:pStyle w:val="BodyText"/>
        <w:spacing w:before="0"/>
        <w:ind w:left="258" w:right="-19" w:firstLine="0"/>
        <w:jc w:val="left"/>
      </w:pPr>
      <w:r>
        <w:rPr/>
        <w:t>The total infeed at the instant of fault (including contribution of induction motors).</w:t>
      </w:r>
    </w:p>
    <w:p>
      <w:pPr>
        <w:pStyle w:val="BodyText"/>
        <w:spacing w:before="0"/>
        <w:ind w:firstLine="0"/>
        <w:jc w:val="left"/>
        <w:rPr>
          <w:sz w:val="26"/>
        </w:rPr>
      </w:pPr>
      <w:r>
        <w:rPr/>
        <w:br w:type="column"/>
      </w:r>
      <w:r>
        <w:rPr>
          <w:sz w:val="26"/>
        </w:rPr>
      </w:r>
    </w:p>
    <w:p>
      <w:pPr>
        <w:pStyle w:val="BodyText"/>
        <w:tabs>
          <w:tab w:pos="1906" w:val="left" w:leader="none"/>
        </w:tabs>
        <w:spacing w:before="194"/>
        <w:ind w:left="258" w:firstLine="0"/>
        <w:jc w:val="left"/>
      </w:pPr>
      <w:r>
        <w:rPr/>
        <w:t>kA</w:t>
        <w:tab/>
        <w:t>D,</w:t>
      </w:r>
      <w:r>
        <w:rPr>
          <w:spacing w:val="-2"/>
        </w:rPr>
        <w:t> </w:t>
      </w:r>
      <w:r>
        <w:rPr/>
        <w:t>R1</w:t>
      </w:r>
    </w:p>
    <w:p>
      <w:pPr>
        <w:spacing w:after="0"/>
        <w:jc w:val="left"/>
        <w:sectPr>
          <w:type w:val="continuous"/>
          <w:pgSz w:w="11910" w:h="16840"/>
          <w:pgMar w:top="1360" w:bottom="280" w:left="1200" w:right="1000"/>
          <w:cols w:num="2" w:equalWidth="0">
            <w:col w:w="4871" w:space="77"/>
            <w:col w:w="4762"/>
          </w:cols>
        </w:sectPr>
      </w:pPr>
    </w:p>
    <w:p>
      <w:pPr>
        <w:pStyle w:val="BodyText"/>
        <w:spacing w:before="0"/>
        <w:ind w:firstLine="0"/>
        <w:jc w:val="left"/>
        <w:rPr>
          <w:sz w:val="13"/>
        </w:rPr>
      </w:pPr>
    </w:p>
    <w:p>
      <w:pPr>
        <w:spacing w:after="0"/>
        <w:jc w:val="left"/>
        <w:rPr>
          <w:sz w:val="13"/>
        </w:rPr>
        <w:sectPr>
          <w:type w:val="continuous"/>
          <w:pgSz w:w="11910" w:h="16840"/>
          <w:pgMar w:top="1360" w:bottom="280" w:left="1200" w:right="1000"/>
        </w:sectPr>
      </w:pPr>
    </w:p>
    <w:p>
      <w:pPr>
        <w:spacing w:before="90"/>
        <w:ind w:left="258" w:right="-3" w:firstLine="0"/>
        <w:jc w:val="left"/>
        <w:rPr>
          <w:sz w:val="24"/>
        </w:rPr>
      </w:pPr>
      <w:r>
        <w:rPr>
          <w:sz w:val="24"/>
        </w:rPr>
        <w:t>Minimum zero sequence impedance of</w:t>
      </w:r>
      <w:r>
        <w:rPr>
          <w:spacing w:val="-18"/>
          <w:sz w:val="24"/>
        </w:rPr>
        <w:t> </w:t>
      </w:r>
      <w:r>
        <w:rPr>
          <w:i/>
          <w:sz w:val="24"/>
        </w:rPr>
        <w:t>Registered </w:t>
      </w:r>
      <w:r>
        <w:rPr>
          <w:i/>
          <w:sz w:val="24"/>
        </w:rPr>
        <w:t>Participant's network </w:t>
      </w:r>
      <w:r>
        <w:rPr>
          <w:sz w:val="24"/>
        </w:rPr>
        <w:t>at </w:t>
      </w:r>
      <w:r>
        <w:rPr>
          <w:i/>
          <w:sz w:val="24"/>
        </w:rPr>
        <w:t>connection</w:t>
      </w:r>
      <w:r>
        <w:rPr>
          <w:i/>
          <w:spacing w:val="-1"/>
          <w:sz w:val="24"/>
        </w:rPr>
        <w:t> </w:t>
      </w:r>
      <w:r>
        <w:rPr>
          <w:i/>
          <w:sz w:val="24"/>
        </w:rPr>
        <w:t>point</w:t>
      </w:r>
      <w:r>
        <w:rPr>
          <w:sz w:val="24"/>
        </w:rPr>
        <w:t>.</w:t>
      </w:r>
    </w:p>
    <w:p>
      <w:pPr>
        <w:pStyle w:val="BodyText"/>
        <w:spacing w:before="10"/>
        <w:ind w:firstLine="0"/>
        <w:jc w:val="left"/>
        <w:rPr>
          <w:sz w:val="20"/>
        </w:rPr>
      </w:pPr>
    </w:p>
    <w:p>
      <w:pPr>
        <w:spacing w:before="0"/>
        <w:ind w:left="258" w:right="294" w:firstLine="0"/>
        <w:jc w:val="left"/>
        <w:rPr>
          <w:sz w:val="24"/>
        </w:rPr>
      </w:pPr>
      <w:r>
        <w:rPr>
          <w:sz w:val="24"/>
        </w:rPr>
        <w:t>Minimum negative sequence impedance of </w:t>
      </w:r>
      <w:r>
        <w:rPr>
          <w:i/>
          <w:sz w:val="24"/>
        </w:rPr>
        <w:t>Registered Participant's network </w:t>
      </w:r>
      <w:r>
        <w:rPr>
          <w:sz w:val="24"/>
        </w:rPr>
        <w:t>at </w:t>
      </w:r>
      <w:r>
        <w:rPr>
          <w:i/>
          <w:sz w:val="24"/>
        </w:rPr>
        <w:t>connection </w:t>
      </w:r>
      <w:r>
        <w:rPr>
          <w:i/>
          <w:sz w:val="24"/>
        </w:rPr>
        <w:t>point</w:t>
      </w:r>
      <w:r>
        <w:rPr>
          <w:sz w:val="24"/>
        </w:rPr>
        <w:t>.</w:t>
      </w:r>
    </w:p>
    <w:p>
      <w:pPr>
        <w:pStyle w:val="BodyText"/>
        <w:spacing w:before="90"/>
        <w:ind w:left="90" w:firstLine="0"/>
        <w:jc w:val="left"/>
      </w:pPr>
      <w:r>
        <w:rPr/>
        <w:br w:type="column"/>
      </w:r>
      <w:r>
        <w:rPr/>
        <w:t>% on 100 MVA</w:t>
      </w:r>
    </w:p>
    <w:p>
      <w:pPr>
        <w:pStyle w:val="BodyText"/>
        <w:spacing w:before="0"/>
        <w:ind w:left="90" w:firstLine="0"/>
        <w:jc w:val="left"/>
      </w:pPr>
      <w:r>
        <w:rPr/>
        <w:t>base</w:t>
      </w:r>
    </w:p>
    <w:p>
      <w:pPr>
        <w:pStyle w:val="BodyText"/>
        <w:spacing w:before="10"/>
        <w:ind w:firstLine="0"/>
        <w:jc w:val="left"/>
        <w:rPr>
          <w:sz w:val="20"/>
        </w:rPr>
      </w:pPr>
    </w:p>
    <w:p>
      <w:pPr>
        <w:pStyle w:val="BodyText"/>
        <w:spacing w:before="0"/>
        <w:ind w:left="90" w:firstLine="0"/>
        <w:jc w:val="left"/>
      </w:pPr>
      <w:r>
        <w:rPr/>
        <w:t>% on 100 MVA</w:t>
      </w:r>
    </w:p>
    <w:p>
      <w:pPr>
        <w:pStyle w:val="BodyText"/>
        <w:spacing w:before="0"/>
        <w:ind w:left="90" w:firstLine="0"/>
        <w:jc w:val="left"/>
      </w:pPr>
      <w:r>
        <w:rPr/>
        <w:t>base</w:t>
      </w:r>
    </w:p>
    <w:p>
      <w:pPr>
        <w:pStyle w:val="BodyText"/>
        <w:spacing w:line="688" w:lineRule="auto" w:before="90"/>
        <w:ind w:left="69" w:right="2261" w:firstLine="0"/>
        <w:jc w:val="left"/>
      </w:pPr>
      <w:r>
        <w:rPr/>
        <w:br w:type="column"/>
      </w:r>
      <w:r>
        <w:rPr/>
        <w:t>D, R1 D, R1</w:t>
      </w:r>
    </w:p>
    <w:p>
      <w:pPr>
        <w:spacing w:after="0" w:line="688" w:lineRule="auto"/>
        <w:jc w:val="left"/>
        <w:sectPr>
          <w:type w:val="continuous"/>
          <w:pgSz w:w="11910" w:h="16840"/>
          <w:pgMar w:top="1360" w:bottom="280" w:left="1200" w:right="1000"/>
          <w:cols w:num="3" w:equalWidth="0">
            <w:col w:w="5076" w:space="40"/>
            <w:col w:w="1631" w:space="39"/>
            <w:col w:w="2924"/>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pStyle w:val="Heading4"/>
        <w:spacing w:before="90"/>
        <w:ind w:left="1083" w:firstLine="0"/>
        <w:rPr>
          <w:rFonts w:ascii="Times New Roman"/>
          <w:b w:val="0"/>
        </w:rPr>
      </w:pPr>
      <w:r>
        <w:rPr>
          <w:rFonts w:ascii="Times New Roman"/>
        </w:rPr>
        <w:t>Load Transfer Capability</w:t>
      </w:r>
      <w:r>
        <w:rPr>
          <w:rFonts w:ascii="Times New Roman"/>
          <w:b w:val="0"/>
        </w:rPr>
        <w:t>:</w:t>
      </w:r>
    </w:p>
    <w:p>
      <w:pPr>
        <w:pStyle w:val="BodyText"/>
        <w:spacing w:before="8" w:after="1"/>
        <w:ind w:firstLine="0"/>
        <w:jc w:val="left"/>
        <w:rPr>
          <w:sz w:val="21"/>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7"/>
        <w:gridCol w:w="1125"/>
        <w:gridCol w:w="1227"/>
      </w:tblGrid>
      <w:tr>
        <w:trPr>
          <w:trHeight w:val="666" w:hRule="atLeast"/>
        </w:trPr>
        <w:tc>
          <w:tcPr>
            <w:tcW w:w="4917" w:type="dxa"/>
          </w:tcPr>
          <w:p>
            <w:pPr>
              <w:pStyle w:val="TableParagraph"/>
              <w:spacing w:before="0"/>
              <w:ind w:left="50" w:right="61"/>
              <w:rPr>
                <w:sz w:val="24"/>
              </w:rPr>
            </w:pPr>
            <w:r>
              <w:rPr>
                <w:sz w:val="24"/>
              </w:rPr>
              <w:t>Where a </w:t>
            </w:r>
            <w:r>
              <w:rPr>
                <w:i/>
                <w:sz w:val="24"/>
              </w:rPr>
              <w:t>load</w:t>
            </w:r>
            <w:r>
              <w:rPr>
                <w:sz w:val="24"/>
              </w:rPr>
              <w:t>, or group of </w:t>
            </w:r>
            <w:r>
              <w:rPr>
                <w:i/>
                <w:sz w:val="24"/>
              </w:rPr>
              <w:t>loads</w:t>
            </w:r>
            <w:r>
              <w:rPr>
                <w:sz w:val="24"/>
              </w:rPr>
              <w:t>, may be fed from alternative </w:t>
            </w:r>
            <w:r>
              <w:rPr>
                <w:i/>
                <w:sz w:val="24"/>
              </w:rPr>
              <w:t>connection points</w:t>
            </w:r>
            <w:r>
              <w:rPr>
                <w:sz w:val="24"/>
              </w:rPr>
              <w:t>:</w:t>
            </w:r>
          </w:p>
        </w:tc>
        <w:tc>
          <w:tcPr>
            <w:tcW w:w="2352" w:type="dxa"/>
            <w:gridSpan w:val="2"/>
          </w:tcPr>
          <w:p>
            <w:pPr>
              <w:pStyle w:val="TableParagraph"/>
              <w:spacing w:before="0"/>
              <w:ind w:left="0"/>
              <w:rPr>
                <w:sz w:val="22"/>
              </w:rPr>
            </w:pPr>
          </w:p>
        </w:tc>
      </w:tr>
      <w:tr>
        <w:trPr>
          <w:trHeight w:val="515" w:hRule="atLeast"/>
        </w:trPr>
        <w:tc>
          <w:tcPr>
            <w:tcW w:w="4917" w:type="dxa"/>
          </w:tcPr>
          <w:p>
            <w:pPr>
              <w:pStyle w:val="TableParagraph"/>
              <w:spacing w:before="115"/>
              <w:ind w:left="50"/>
              <w:rPr>
                <w:sz w:val="24"/>
              </w:rPr>
            </w:pPr>
            <w:r>
              <w:rPr>
                <w:i/>
                <w:sz w:val="24"/>
              </w:rPr>
              <w:t>Load </w:t>
            </w:r>
            <w:r>
              <w:rPr>
                <w:sz w:val="24"/>
              </w:rPr>
              <w:t>normally taken from </w:t>
            </w:r>
            <w:r>
              <w:rPr>
                <w:i/>
                <w:sz w:val="24"/>
              </w:rPr>
              <w:t>connection point </w:t>
            </w:r>
            <w:r>
              <w:rPr>
                <w:sz w:val="24"/>
              </w:rPr>
              <w:t>X</w:t>
            </w:r>
          </w:p>
        </w:tc>
        <w:tc>
          <w:tcPr>
            <w:tcW w:w="1125" w:type="dxa"/>
          </w:tcPr>
          <w:p>
            <w:pPr>
              <w:pStyle w:val="TableParagraph"/>
              <w:spacing w:before="115"/>
              <w:ind w:left="80"/>
              <w:rPr>
                <w:sz w:val="24"/>
              </w:rPr>
            </w:pPr>
            <w:r>
              <w:rPr>
                <w:sz w:val="24"/>
              </w:rPr>
              <w:t>MW</w:t>
            </w:r>
          </w:p>
        </w:tc>
        <w:tc>
          <w:tcPr>
            <w:tcW w:w="1227" w:type="dxa"/>
          </w:tcPr>
          <w:p>
            <w:pPr>
              <w:pStyle w:val="TableParagraph"/>
              <w:spacing w:before="115"/>
              <w:ind w:left="605"/>
              <w:rPr>
                <w:sz w:val="24"/>
              </w:rPr>
            </w:pPr>
            <w:r>
              <w:rPr>
                <w:sz w:val="24"/>
              </w:rPr>
              <w:t>D, R1</w:t>
            </w:r>
          </w:p>
        </w:tc>
      </w:tr>
      <w:tr>
        <w:trPr>
          <w:trHeight w:val="515" w:hRule="atLeast"/>
        </w:trPr>
        <w:tc>
          <w:tcPr>
            <w:tcW w:w="4917" w:type="dxa"/>
          </w:tcPr>
          <w:p>
            <w:pPr>
              <w:pStyle w:val="TableParagraph"/>
              <w:spacing w:before="115"/>
              <w:ind w:left="50"/>
              <w:rPr>
                <w:sz w:val="24"/>
              </w:rPr>
            </w:pPr>
            <w:r>
              <w:rPr>
                <w:i/>
                <w:sz w:val="24"/>
              </w:rPr>
              <w:t>Load </w:t>
            </w:r>
            <w:r>
              <w:rPr>
                <w:sz w:val="24"/>
              </w:rPr>
              <w:t>normally taken from </w:t>
            </w:r>
            <w:r>
              <w:rPr>
                <w:i/>
                <w:sz w:val="24"/>
              </w:rPr>
              <w:t>connection point </w:t>
            </w:r>
            <w:r>
              <w:rPr>
                <w:sz w:val="24"/>
              </w:rPr>
              <w:t>Y</w:t>
            </w:r>
          </w:p>
        </w:tc>
        <w:tc>
          <w:tcPr>
            <w:tcW w:w="1125" w:type="dxa"/>
          </w:tcPr>
          <w:p>
            <w:pPr>
              <w:pStyle w:val="TableParagraph"/>
              <w:spacing w:before="115"/>
              <w:ind w:left="80"/>
              <w:rPr>
                <w:sz w:val="24"/>
              </w:rPr>
            </w:pPr>
            <w:r>
              <w:rPr>
                <w:sz w:val="24"/>
              </w:rPr>
              <w:t>MW</w:t>
            </w:r>
          </w:p>
        </w:tc>
        <w:tc>
          <w:tcPr>
            <w:tcW w:w="1227" w:type="dxa"/>
          </w:tcPr>
          <w:p>
            <w:pPr>
              <w:pStyle w:val="TableParagraph"/>
              <w:spacing w:before="115"/>
              <w:ind w:left="605"/>
              <w:rPr>
                <w:sz w:val="24"/>
              </w:rPr>
            </w:pPr>
            <w:r>
              <w:rPr>
                <w:sz w:val="24"/>
              </w:rPr>
              <w:t>D, R1</w:t>
            </w:r>
          </w:p>
        </w:tc>
      </w:tr>
      <w:tr>
        <w:trPr>
          <w:trHeight w:val="666" w:hRule="atLeast"/>
        </w:trPr>
        <w:tc>
          <w:tcPr>
            <w:tcW w:w="4917" w:type="dxa"/>
          </w:tcPr>
          <w:p>
            <w:pPr>
              <w:pStyle w:val="TableParagraph"/>
              <w:spacing w:before="115"/>
              <w:ind w:left="50"/>
              <w:rPr>
                <w:sz w:val="24"/>
              </w:rPr>
            </w:pPr>
            <w:r>
              <w:rPr>
                <w:sz w:val="24"/>
              </w:rPr>
              <w:t>Arrangements for transfer under planned or fault</w:t>
            </w:r>
          </w:p>
          <w:p>
            <w:pPr>
              <w:pStyle w:val="TableParagraph"/>
              <w:spacing w:line="256" w:lineRule="exact" w:before="0"/>
              <w:ind w:left="50"/>
              <w:rPr>
                <w:sz w:val="24"/>
              </w:rPr>
            </w:pPr>
            <w:r>
              <w:rPr>
                <w:i/>
                <w:sz w:val="24"/>
              </w:rPr>
              <w:t>outage </w:t>
            </w:r>
            <w:r>
              <w:rPr>
                <w:sz w:val="24"/>
              </w:rPr>
              <w:t>conditions</w:t>
            </w:r>
          </w:p>
        </w:tc>
        <w:tc>
          <w:tcPr>
            <w:tcW w:w="1125" w:type="dxa"/>
          </w:tcPr>
          <w:p>
            <w:pPr>
              <w:pStyle w:val="TableParagraph"/>
              <w:spacing w:before="115"/>
              <w:ind w:left="80"/>
              <w:rPr>
                <w:sz w:val="24"/>
              </w:rPr>
            </w:pPr>
            <w:r>
              <w:rPr>
                <w:sz w:val="24"/>
              </w:rPr>
              <w:t>Text</w:t>
            </w:r>
          </w:p>
        </w:tc>
        <w:tc>
          <w:tcPr>
            <w:tcW w:w="1227" w:type="dxa"/>
          </w:tcPr>
          <w:p>
            <w:pPr>
              <w:pStyle w:val="TableParagraph"/>
              <w:spacing w:before="115"/>
              <w:ind w:left="605"/>
              <w:rPr>
                <w:sz w:val="24"/>
              </w:rPr>
            </w:pPr>
            <w:r>
              <w:rPr>
                <w:sz w:val="24"/>
              </w:rPr>
              <w:t>D</w:t>
            </w:r>
          </w:p>
        </w:tc>
      </w:tr>
    </w:tbl>
    <w:p>
      <w:pPr>
        <w:pStyle w:val="BodyText"/>
        <w:spacing w:before="0"/>
        <w:ind w:firstLine="0"/>
        <w:jc w:val="left"/>
        <w:rPr>
          <w:sz w:val="26"/>
        </w:rPr>
      </w:pPr>
    </w:p>
    <w:p>
      <w:pPr>
        <w:pStyle w:val="BodyText"/>
        <w:spacing w:before="0"/>
        <w:ind w:firstLine="0"/>
        <w:jc w:val="left"/>
        <w:rPr>
          <w:sz w:val="26"/>
        </w:rPr>
      </w:pPr>
    </w:p>
    <w:p>
      <w:pPr>
        <w:spacing w:before="158"/>
        <w:ind w:left="1083" w:right="0" w:firstLine="0"/>
        <w:jc w:val="left"/>
        <w:rPr>
          <w:sz w:val="24"/>
        </w:rPr>
      </w:pPr>
      <w:r>
        <w:rPr>
          <w:b/>
          <w:sz w:val="24"/>
        </w:rPr>
        <w:t>Circuits Connecting Embedded Generating Units to the Network</w:t>
      </w:r>
      <w:r>
        <w:rPr>
          <w:sz w:val="24"/>
        </w:rPr>
        <w:t>:</w:t>
      </w:r>
    </w:p>
    <w:p>
      <w:pPr>
        <w:pStyle w:val="BodyText"/>
        <w:spacing w:before="10"/>
        <w:ind w:firstLine="0"/>
        <w:jc w:val="left"/>
        <w:rPr>
          <w:sz w:val="20"/>
        </w:rPr>
      </w:pPr>
    </w:p>
    <w:p>
      <w:pPr>
        <w:spacing w:before="0"/>
        <w:ind w:left="258" w:right="5699" w:firstLine="0"/>
        <w:jc w:val="left"/>
        <w:rPr>
          <w:sz w:val="24"/>
        </w:rPr>
      </w:pPr>
      <w:r>
        <w:rPr>
          <w:sz w:val="24"/>
        </w:rPr>
        <w:t>For all </w:t>
      </w:r>
      <w:r>
        <w:rPr>
          <w:i/>
          <w:sz w:val="24"/>
        </w:rPr>
        <w:t>generating units</w:t>
      </w:r>
      <w:r>
        <w:rPr>
          <w:sz w:val="24"/>
        </w:rPr>
        <w:t>, all connecting lines/cables, </w:t>
      </w:r>
      <w:r>
        <w:rPr>
          <w:i/>
          <w:sz w:val="24"/>
        </w:rPr>
        <w:t>transformers </w:t>
      </w:r>
      <w:r>
        <w:rPr>
          <w:sz w:val="24"/>
        </w:rPr>
        <w:t>etc.</w:t>
      </w:r>
    </w:p>
    <w:p>
      <w:pPr>
        <w:pStyle w:val="BodyText"/>
        <w:spacing w:before="0"/>
        <w:ind w:firstLine="0"/>
        <w:jc w:val="left"/>
        <w:rPr>
          <w:sz w:val="13"/>
        </w:rPr>
      </w:pPr>
    </w:p>
    <w:p>
      <w:pPr>
        <w:spacing w:after="0"/>
        <w:jc w:val="left"/>
        <w:rPr>
          <w:sz w:val="13"/>
        </w:rPr>
        <w:sectPr>
          <w:type w:val="continuous"/>
          <w:pgSz w:w="11910" w:h="16840"/>
          <w:pgMar w:top="1360" w:bottom="280" w:left="1200" w:right="1000"/>
        </w:sectPr>
      </w:pPr>
    </w:p>
    <w:p>
      <w:pPr>
        <w:pStyle w:val="BodyText"/>
        <w:tabs>
          <w:tab w:pos="5205" w:val="left" w:leader="none"/>
        </w:tabs>
        <w:spacing w:before="90"/>
        <w:ind w:left="258" w:firstLine="0"/>
        <w:jc w:val="left"/>
      </w:pPr>
      <w:r>
        <w:rPr/>
        <w:t>Series</w:t>
      </w:r>
      <w:r>
        <w:rPr>
          <w:spacing w:val="-3"/>
        </w:rPr>
        <w:t> </w:t>
      </w:r>
      <w:r>
        <w:rPr/>
        <w:t>Resistance</w:t>
        <w:tab/>
        <w:t>% on 100</w:t>
      </w:r>
      <w:r>
        <w:rPr>
          <w:spacing w:val="1"/>
        </w:rPr>
        <w:t> </w:t>
      </w:r>
      <w:r>
        <w:rPr>
          <w:spacing w:val="-7"/>
        </w:rPr>
        <w:t>MVA</w:t>
      </w:r>
    </w:p>
    <w:p>
      <w:pPr>
        <w:pStyle w:val="BodyText"/>
        <w:spacing w:before="0"/>
        <w:ind w:left="5205" w:firstLine="0"/>
        <w:jc w:val="left"/>
      </w:pPr>
      <w:r>
        <w:rPr/>
        <w:t>base</w:t>
      </w:r>
    </w:p>
    <w:p>
      <w:pPr>
        <w:pStyle w:val="BodyText"/>
        <w:spacing w:before="10"/>
        <w:ind w:firstLine="0"/>
        <w:jc w:val="left"/>
        <w:rPr>
          <w:sz w:val="20"/>
        </w:rPr>
      </w:pPr>
    </w:p>
    <w:p>
      <w:pPr>
        <w:pStyle w:val="BodyText"/>
        <w:tabs>
          <w:tab w:pos="5205" w:val="left" w:leader="none"/>
        </w:tabs>
        <w:spacing w:before="0"/>
        <w:ind w:left="258" w:firstLine="0"/>
        <w:jc w:val="left"/>
      </w:pPr>
      <w:r>
        <w:rPr/>
        <w:t>Series</w:t>
      </w:r>
      <w:r>
        <w:rPr>
          <w:spacing w:val="-3"/>
        </w:rPr>
        <w:t> </w:t>
      </w:r>
      <w:r>
        <w:rPr/>
        <w:t>Reactance</w:t>
        <w:tab/>
        <w:t>% on 100</w:t>
      </w:r>
      <w:r>
        <w:rPr>
          <w:spacing w:val="1"/>
        </w:rPr>
        <w:t> </w:t>
      </w:r>
      <w:r>
        <w:rPr>
          <w:spacing w:val="-7"/>
        </w:rPr>
        <w:t>MVA</w:t>
      </w:r>
    </w:p>
    <w:p>
      <w:pPr>
        <w:pStyle w:val="BodyText"/>
        <w:spacing w:before="0"/>
        <w:ind w:left="5205" w:firstLine="0"/>
        <w:jc w:val="left"/>
      </w:pPr>
      <w:r>
        <w:rPr/>
        <w:t>base</w:t>
      </w:r>
    </w:p>
    <w:p>
      <w:pPr>
        <w:pStyle w:val="BodyText"/>
        <w:spacing w:before="10"/>
        <w:ind w:firstLine="0"/>
        <w:jc w:val="left"/>
        <w:rPr>
          <w:sz w:val="20"/>
        </w:rPr>
      </w:pPr>
    </w:p>
    <w:p>
      <w:pPr>
        <w:pStyle w:val="BodyText"/>
        <w:tabs>
          <w:tab w:pos="5205" w:val="left" w:leader="none"/>
        </w:tabs>
        <w:spacing w:before="0"/>
        <w:ind w:left="5205" w:hanging="4948"/>
        <w:jc w:val="left"/>
      </w:pPr>
      <w:r>
        <w:rPr/>
        <w:t>Shunt</w:t>
      </w:r>
      <w:r>
        <w:rPr>
          <w:spacing w:val="-6"/>
        </w:rPr>
        <w:t> </w:t>
      </w:r>
      <w:r>
        <w:rPr/>
        <w:t>Susceptance</w:t>
        <w:tab/>
        <w:t>% on 100 </w:t>
      </w:r>
      <w:r>
        <w:rPr>
          <w:spacing w:val="-7"/>
        </w:rPr>
        <w:t>MVA </w:t>
      </w:r>
      <w:r>
        <w:rPr/>
        <w:t>base</w:t>
      </w:r>
    </w:p>
    <w:p>
      <w:pPr>
        <w:pStyle w:val="BodyText"/>
        <w:spacing w:before="90"/>
        <w:ind w:left="69" w:firstLine="0"/>
        <w:jc w:val="left"/>
      </w:pPr>
      <w:r>
        <w:rPr/>
        <w:br w:type="column"/>
      </w:r>
      <w:r>
        <w:rPr/>
        <w:t>D,</w:t>
      </w:r>
      <w:r>
        <w:rPr>
          <w:spacing w:val="-2"/>
        </w:rPr>
        <w:t> </w:t>
      </w:r>
      <w:r>
        <w:rPr/>
        <w:t>R</w:t>
      </w:r>
    </w:p>
    <w:p>
      <w:pPr>
        <w:pStyle w:val="BodyText"/>
        <w:spacing w:before="0"/>
        <w:ind w:firstLine="0"/>
        <w:jc w:val="left"/>
        <w:rPr>
          <w:sz w:val="26"/>
        </w:rPr>
      </w:pPr>
    </w:p>
    <w:p>
      <w:pPr>
        <w:pStyle w:val="BodyText"/>
        <w:spacing w:before="217"/>
        <w:ind w:left="69" w:firstLine="0"/>
        <w:jc w:val="left"/>
      </w:pPr>
      <w:r>
        <w:rPr/>
        <w:t>D,</w:t>
      </w:r>
      <w:r>
        <w:rPr>
          <w:spacing w:val="-2"/>
        </w:rPr>
        <w:t> </w:t>
      </w:r>
      <w:r>
        <w:rPr/>
        <w:t>R</w:t>
      </w:r>
    </w:p>
    <w:p>
      <w:pPr>
        <w:pStyle w:val="BodyText"/>
        <w:spacing w:before="0"/>
        <w:ind w:firstLine="0"/>
        <w:jc w:val="left"/>
        <w:rPr>
          <w:sz w:val="26"/>
        </w:rPr>
      </w:pPr>
    </w:p>
    <w:p>
      <w:pPr>
        <w:pStyle w:val="BodyText"/>
        <w:spacing w:before="217"/>
        <w:ind w:left="69" w:firstLine="0"/>
        <w:jc w:val="left"/>
      </w:pPr>
      <w:r>
        <w:rPr/>
        <w:t>D,</w:t>
      </w:r>
      <w:r>
        <w:rPr>
          <w:spacing w:val="-2"/>
        </w:rPr>
        <w:t> </w:t>
      </w:r>
      <w:r>
        <w:rPr/>
        <w:t>R</w:t>
      </w:r>
    </w:p>
    <w:p>
      <w:pPr>
        <w:spacing w:after="0"/>
        <w:jc w:val="left"/>
        <w:sectPr>
          <w:type w:val="continuous"/>
          <w:pgSz w:w="11910" w:h="16840"/>
          <w:pgMar w:top="1360" w:bottom="280" w:left="1200" w:right="1000"/>
          <w:cols w:num="2" w:equalWidth="0">
            <w:col w:w="6746" w:space="40"/>
            <w:col w:w="2924"/>
          </w:cols>
        </w:sectPr>
      </w:pPr>
    </w:p>
    <w:p>
      <w:pPr>
        <w:pStyle w:val="BodyText"/>
        <w:spacing w:before="1"/>
        <w:ind w:firstLine="0"/>
        <w:jc w:val="left"/>
        <w:rPr>
          <w:sz w:val="13"/>
        </w:rPr>
      </w:pPr>
    </w:p>
    <w:p>
      <w:pPr>
        <w:pStyle w:val="BodyText"/>
        <w:tabs>
          <w:tab w:pos="5205" w:val="left" w:leader="none"/>
          <w:tab w:pos="6854" w:val="left" w:leader="none"/>
        </w:tabs>
        <w:spacing w:before="90"/>
        <w:ind w:left="258" w:firstLine="0"/>
        <w:jc w:val="left"/>
      </w:pPr>
      <w:r>
        <w:rPr/>
        <w:t>Normal and short-time</w:t>
      </w:r>
      <w:r>
        <w:rPr>
          <w:spacing w:val="-7"/>
        </w:rPr>
        <w:t> </w:t>
      </w:r>
      <w:r>
        <w:rPr/>
        <w:t>emergency</w:t>
      </w:r>
      <w:r>
        <w:rPr>
          <w:spacing w:val="-2"/>
        </w:rPr>
        <w:t> </w:t>
      </w:r>
      <w:r>
        <w:rPr/>
        <w:t>ratings</w:t>
        <w:tab/>
        <w:t>MVA</w:t>
        <w:tab/>
        <w:t>D,R</w:t>
      </w:r>
    </w:p>
    <w:p>
      <w:pPr>
        <w:pStyle w:val="BodyText"/>
        <w:spacing w:before="10"/>
        <w:ind w:firstLine="0"/>
        <w:jc w:val="left"/>
        <w:rPr>
          <w:sz w:val="20"/>
        </w:rPr>
      </w:pPr>
    </w:p>
    <w:p>
      <w:pPr>
        <w:spacing w:before="0"/>
        <w:ind w:left="258" w:right="4892" w:firstLine="0"/>
        <w:jc w:val="left"/>
        <w:rPr>
          <w:i/>
          <w:sz w:val="24"/>
        </w:rPr>
      </w:pPr>
      <w:r>
        <w:rPr>
          <w:sz w:val="24"/>
        </w:rPr>
        <w:t>Technical Details of </w:t>
      </w:r>
      <w:r>
        <w:rPr>
          <w:i/>
          <w:sz w:val="24"/>
        </w:rPr>
        <w:t>generating units </w:t>
      </w:r>
      <w:r>
        <w:rPr>
          <w:sz w:val="24"/>
        </w:rPr>
        <w:t>and </w:t>
      </w:r>
      <w:r>
        <w:rPr>
          <w:i/>
          <w:sz w:val="24"/>
        </w:rPr>
        <w:t>generating systems </w:t>
      </w:r>
      <w:r>
        <w:rPr>
          <w:sz w:val="24"/>
        </w:rPr>
        <w:t>as per the </w:t>
      </w:r>
      <w:r>
        <w:rPr>
          <w:i/>
          <w:sz w:val="24"/>
        </w:rPr>
        <w:t>Power System </w:t>
      </w:r>
      <w:r>
        <w:rPr>
          <w:i/>
          <w:sz w:val="24"/>
        </w:rPr>
        <w:t>Design Data Sheet</w:t>
      </w:r>
      <w:r>
        <w:rPr>
          <w:sz w:val="24"/>
        </w:rPr>
        <w:t>, </w:t>
      </w:r>
      <w:r>
        <w:rPr>
          <w:i/>
          <w:sz w:val="24"/>
        </w:rPr>
        <w:t>Power System Setting Data </w:t>
      </w:r>
      <w:r>
        <w:rPr>
          <w:i/>
          <w:sz w:val="24"/>
        </w:rPr>
        <w:t>Sheet </w:t>
      </w:r>
      <w:r>
        <w:rPr>
          <w:sz w:val="24"/>
        </w:rPr>
        <w:t>and the </w:t>
      </w:r>
      <w:r>
        <w:rPr>
          <w:i/>
          <w:sz w:val="24"/>
        </w:rPr>
        <w:t>Power System Model Guidelines </w:t>
      </w:r>
      <w:r>
        <w:rPr>
          <w:sz w:val="24"/>
        </w:rPr>
        <w:t>where such details are not </w:t>
      </w:r>
      <w:r>
        <w:rPr>
          <w:i/>
          <w:sz w:val="24"/>
        </w:rPr>
        <w:t>confidential </w:t>
      </w:r>
      <w:r>
        <w:rPr>
          <w:i/>
          <w:sz w:val="24"/>
        </w:rPr>
        <w:t>information</w:t>
      </w:r>
    </w:p>
    <w:p>
      <w:pPr>
        <w:spacing w:after="0"/>
        <w:jc w:val="left"/>
        <w:rPr>
          <w:sz w:val="24"/>
        </w:rPr>
        <w:sectPr>
          <w:type w:val="continuous"/>
          <w:pgSz w:w="11910" w:h="16840"/>
          <w:pgMar w:top="1360" w:bottom="280" w:left="1200" w:right="1000"/>
        </w:sectPr>
      </w:pPr>
    </w:p>
    <w:p>
      <w:pPr>
        <w:pStyle w:val="BodyText"/>
        <w:spacing w:before="2"/>
        <w:ind w:firstLine="0"/>
        <w:jc w:val="left"/>
        <w:rPr>
          <w:i/>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4987" w:val="left" w:leader="none"/>
                      <w:tab w:pos="6636"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pStyle w:val="BodyText"/>
        <w:spacing w:before="0"/>
        <w:ind w:firstLine="0"/>
        <w:jc w:val="left"/>
        <w:rPr>
          <w:i/>
          <w:sz w:val="20"/>
        </w:rPr>
      </w:pPr>
    </w:p>
    <w:p>
      <w:pPr>
        <w:pStyle w:val="BodyText"/>
        <w:spacing w:before="5"/>
        <w:ind w:firstLine="0"/>
        <w:jc w:val="left"/>
        <w:rPr>
          <w:i/>
          <w:sz w:val="25"/>
        </w:rPr>
      </w:pPr>
    </w:p>
    <w:p>
      <w:pPr>
        <w:pStyle w:val="Heading5"/>
        <w:spacing w:before="90"/>
        <w:ind w:left="1083"/>
        <w:jc w:val="left"/>
        <w:rPr>
          <w:i w:val="0"/>
        </w:rPr>
      </w:pPr>
      <w:r>
        <w:rPr>
          <w:i/>
        </w:rPr>
        <w:t>Transformers </w:t>
      </w:r>
      <w:r>
        <w:rPr>
          <w:i w:val="0"/>
        </w:rPr>
        <w:t>at </w:t>
      </w:r>
      <w:r>
        <w:rPr>
          <w:i/>
        </w:rPr>
        <w:t>connection points</w:t>
      </w:r>
      <w:r>
        <w:rPr>
          <w:i w:val="0"/>
        </w:rPr>
        <w:t>:</w:t>
      </w:r>
    </w:p>
    <w:p>
      <w:pPr>
        <w:pStyle w:val="BodyText"/>
        <w:spacing w:before="9"/>
        <w:ind w:firstLine="0"/>
        <w:jc w:val="left"/>
        <w:rPr>
          <w:b/>
          <w:sz w:val="21"/>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1"/>
        <w:gridCol w:w="1642"/>
        <w:gridCol w:w="848"/>
      </w:tblGrid>
      <w:tr>
        <w:trPr>
          <w:trHeight w:val="390" w:hRule="atLeast"/>
        </w:trPr>
        <w:tc>
          <w:tcPr>
            <w:tcW w:w="4601" w:type="dxa"/>
          </w:tcPr>
          <w:p>
            <w:pPr>
              <w:pStyle w:val="TableParagraph"/>
              <w:spacing w:line="266" w:lineRule="exact" w:before="0"/>
              <w:ind w:left="50"/>
              <w:rPr>
                <w:sz w:val="24"/>
              </w:rPr>
            </w:pPr>
            <w:r>
              <w:rPr>
                <w:sz w:val="24"/>
              </w:rPr>
              <w:t>Saturation curve</w:t>
            </w:r>
          </w:p>
        </w:tc>
        <w:tc>
          <w:tcPr>
            <w:tcW w:w="1642" w:type="dxa"/>
          </w:tcPr>
          <w:p>
            <w:pPr>
              <w:pStyle w:val="TableParagraph"/>
              <w:spacing w:line="266" w:lineRule="exact" w:before="0"/>
              <w:ind w:left="396"/>
              <w:rPr>
                <w:sz w:val="24"/>
              </w:rPr>
            </w:pPr>
            <w:r>
              <w:rPr>
                <w:sz w:val="24"/>
              </w:rPr>
              <w:t>Diagram</w:t>
            </w:r>
          </w:p>
        </w:tc>
        <w:tc>
          <w:tcPr>
            <w:tcW w:w="848" w:type="dxa"/>
          </w:tcPr>
          <w:p>
            <w:pPr>
              <w:pStyle w:val="TableParagraph"/>
              <w:spacing w:line="266" w:lineRule="exact" w:before="0"/>
              <w:ind w:left="404"/>
              <w:rPr>
                <w:sz w:val="24"/>
              </w:rPr>
            </w:pPr>
            <w:r>
              <w:rPr>
                <w:sz w:val="24"/>
              </w:rPr>
              <w:t>R</w:t>
            </w:r>
          </w:p>
        </w:tc>
      </w:tr>
      <w:tr>
        <w:trPr>
          <w:trHeight w:val="515" w:hRule="atLeast"/>
        </w:trPr>
        <w:tc>
          <w:tcPr>
            <w:tcW w:w="4601" w:type="dxa"/>
          </w:tcPr>
          <w:p>
            <w:pPr>
              <w:pStyle w:val="TableParagraph"/>
              <w:spacing w:before="115"/>
              <w:ind w:left="50"/>
              <w:rPr>
                <w:sz w:val="24"/>
              </w:rPr>
            </w:pPr>
            <w:r>
              <w:rPr>
                <w:sz w:val="24"/>
              </w:rPr>
              <w:t>Equipment associated with DC Links</w:t>
            </w:r>
          </w:p>
        </w:tc>
        <w:tc>
          <w:tcPr>
            <w:tcW w:w="1642" w:type="dxa"/>
          </w:tcPr>
          <w:p>
            <w:pPr>
              <w:pStyle w:val="TableParagraph"/>
              <w:spacing w:before="0"/>
              <w:ind w:left="0"/>
              <w:rPr>
                <w:sz w:val="22"/>
              </w:rPr>
            </w:pPr>
          </w:p>
        </w:tc>
        <w:tc>
          <w:tcPr>
            <w:tcW w:w="848" w:type="dxa"/>
          </w:tcPr>
          <w:p>
            <w:pPr>
              <w:pStyle w:val="TableParagraph"/>
              <w:spacing w:before="0"/>
              <w:ind w:left="0"/>
              <w:rPr>
                <w:sz w:val="22"/>
              </w:rPr>
            </w:pPr>
          </w:p>
        </w:tc>
      </w:tr>
      <w:tr>
        <w:trPr>
          <w:trHeight w:val="515" w:hRule="atLeast"/>
        </w:trPr>
        <w:tc>
          <w:tcPr>
            <w:tcW w:w="4601" w:type="dxa"/>
          </w:tcPr>
          <w:p>
            <w:pPr>
              <w:pStyle w:val="TableParagraph"/>
              <w:spacing w:before="115"/>
              <w:ind w:left="50"/>
              <w:rPr>
                <w:sz w:val="24"/>
              </w:rPr>
            </w:pPr>
            <w:r>
              <w:rPr>
                <w:sz w:val="24"/>
              </w:rPr>
              <w:t>Number of poles</w:t>
            </w:r>
          </w:p>
        </w:tc>
        <w:tc>
          <w:tcPr>
            <w:tcW w:w="1642" w:type="dxa"/>
          </w:tcPr>
          <w:p>
            <w:pPr>
              <w:pStyle w:val="TableParagraph"/>
              <w:spacing w:before="115"/>
              <w:ind w:left="396"/>
              <w:rPr>
                <w:sz w:val="24"/>
              </w:rPr>
            </w:pPr>
            <w:r>
              <w:rPr>
                <w:sz w:val="24"/>
              </w:rPr>
              <w:t>MVA</w:t>
            </w:r>
          </w:p>
        </w:tc>
        <w:tc>
          <w:tcPr>
            <w:tcW w:w="848" w:type="dxa"/>
          </w:tcPr>
          <w:p>
            <w:pPr>
              <w:pStyle w:val="TableParagraph"/>
              <w:spacing w:before="115"/>
              <w:ind w:left="404"/>
              <w:rPr>
                <w:sz w:val="24"/>
              </w:rPr>
            </w:pPr>
            <w:r>
              <w:rPr>
                <w:sz w:val="24"/>
              </w:rPr>
              <w:t>D,R</w:t>
            </w:r>
          </w:p>
        </w:tc>
      </w:tr>
      <w:tr>
        <w:trPr>
          <w:trHeight w:val="515" w:hRule="atLeast"/>
        </w:trPr>
        <w:tc>
          <w:tcPr>
            <w:tcW w:w="4601" w:type="dxa"/>
          </w:tcPr>
          <w:p>
            <w:pPr>
              <w:pStyle w:val="TableParagraph"/>
              <w:spacing w:before="115"/>
              <w:ind w:left="50"/>
              <w:rPr>
                <w:sz w:val="24"/>
              </w:rPr>
            </w:pPr>
            <w:r>
              <w:rPr>
                <w:sz w:val="24"/>
              </w:rPr>
              <w:t>Converters per station</w:t>
            </w:r>
          </w:p>
        </w:tc>
        <w:tc>
          <w:tcPr>
            <w:tcW w:w="1642" w:type="dxa"/>
          </w:tcPr>
          <w:p>
            <w:pPr>
              <w:pStyle w:val="TableParagraph"/>
              <w:spacing w:before="115"/>
              <w:ind w:left="396"/>
              <w:rPr>
                <w:sz w:val="24"/>
              </w:rPr>
            </w:pPr>
            <w:r>
              <w:rPr>
                <w:sz w:val="24"/>
              </w:rPr>
              <w:t>Quantity</w:t>
            </w:r>
          </w:p>
        </w:tc>
        <w:tc>
          <w:tcPr>
            <w:tcW w:w="848" w:type="dxa"/>
          </w:tcPr>
          <w:p>
            <w:pPr>
              <w:pStyle w:val="TableParagraph"/>
              <w:spacing w:before="115"/>
              <w:ind w:left="404"/>
              <w:rPr>
                <w:sz w:val="24"/>
              </w:rPr>
            </w:pPr>
            <w:r>
              <w:rPr>
                <w:sz w:val="24"/>
              </w:rPr>
              <w:t>D,R</w:t>
            </w:r>
          </w:p>
        </w:tc>
      </w:tr>
      <w:tr>
        <w:trPr>
          <w:trHeight w:val="515" w:hRule="atLeast"/>
        </w:trPr>
        <w:tc>
          <w:tcPr>
            <w:tcW w:w="4601" w:type="dxa"/>
          </w:tcPr>
          <w:p>
            <w:pPr>
              <w:pStyle w:val="TableParagraph"/>
              <w:spacing w:before="115"/>
              <w:ind w:left="50"/>
              <w:rPr>
                <w:sz w:val="24"/>
              </w:rPr>
            </w:pPr>
            <w:r>
              <w:rPr>
                <w:sz w:val="24"/>
              </w:rPr>
              <w:t>Reactive Power consumption of converters</w:t>
            </w:r>
          </w:p>
        </w:tc>
        <w:tc>
          <w:tcPr>
            <w:tcW w:w="1642" w:type="dxa"/>
          </w:tcPr>
          <w:p>
            <w:pPr>
              <w:pStyle w:val="TableParagraph"/>
              <w:spacing w:before="115"/>
              <w:ind w:left="396"/>
              <w:rPr>
                <w:sz w:val="24"/>
              </w:rPr>
            </w:pPr>
            <w:r>
              <w:rPr>
                <w:sz w:val="24"/>
              </w:rPr>
              <w:t>MCAr</w:t>
            </w:r>
          </w:p>
        </w:tc>
        <w:tc>
          <w:tcPr>
            <w:tcW w:w="848" w:type="dxa"/>
          </w:tcPr>
          <w:p>
            <w:pPr>
              <w:pStyle w:val="TableParagraph"/>
              <w:spacing w:before="115"/>
              <w:ind w:left="404"/>
              <w:rPr>
                <w:sz w:val="24"/>
              </w:rPr>
            </w:pPr>
            <w:r>
              <w:rPr>
                <w:sz w:val="24"/>
              </w:rPr>
              <w:t>D,R</w:t>
            </w:r>
          </w:p>
        </w:tc>
      </w:tr>
      <w:tr>
        <w:trPr>
          <w:trHeight w:val="515" w:hRule="atLeast"/>
        </w:trPr>
        <w:tc>
          <w:tcPr>
            <w:tcW w:w="4601" w:type="dxa"/>
          </w:tcPr>
          <w:p>
            <w:pPr>
              <w:pStyle w:val="TableParagraph"/>
              <w:spacing w:before="115"/>
              <w:ind w:left="50"/>
              <w:rPr>
                <w:sz w:val="24"/>
              </w:rPr>
            </w:pPr>
            <w:r>
              <w:rPr>
                <w:sz w:val="24"/>
              </w:rPr>
              <w:t>Location and Rating of A.C. Filters</w:t>
            </w:r>
          </w:p>
        </w:tc>
        <w:tc>
          <w:tcPr>
            <w:tcW w:w="1642" w:type="dxa"/>
          </w:tcPr>
          <w:p>
            <w:pPr>
              <w:pStyle w:val="TableParagraph"/>
              <w:spacing w:before="115"/>
              <w:ind w:left="396"/>
              <w:rPr>
                <w:sz w:val="24"/>
              </w:rPr>
            </w:pPr>
            <w:r>
              <w:rPr>
                <w:sz w:val="24"/>
              </w:rPr>
              <w:t>MVAr</w:t>
            </w:r>
          </w:p>
        </w:tc>
        <w:tc>
          <w:tcPr>
            <w:tcW w:w="848" w:type="dxa"/>
          </w:tcPr>
          <w:p>
            <w:pPr>
              <w:pStyle w:val="TableParagraph"/>
              <w:spacing w:before="115"/>
              <w:ind w:left="404"/>
              <w:rPr>
                <w:sz w:val="24"/>
              </w:rPr>
            </w:pPr>
            <w:r>
              <w:rPr>
                <w:sz w:val="24"/>
              </w:rPr>
              <w:t>D,R</w:t>
            </w:r>
          </w:p>
        </w:tc>
      </w:tr>
      <w:tr>
        <w:trPr>
          <w:trHeight w:val="515" w:hRule="atLeast"/>
        </w:trPr>
        <w:tc>
          <w:tcPr>
            <w:tcW w:w="4601" w:type="dxa"/>
          </w:tcPr>
          <w:p>
            <w:pPr>
              <w:pStyle w:val="TableParagraph"/>
              <w:spacing w:before="115"/>
              <w:ind w:left="50"/>
              <w:rPr>
                <w:sz w:val="24"/>
              </w:rPr>
            </w:pPr>
            <w:r>
              <w:rPr>
                <w:sz w:val="24"/>
              </w:rPr>
              <w:t>Location and Rating of Shunt Capacitors</w:t>
            </w:r>
          </w:p>
        </w:tc>
        <w:tc>
          <w:tcPr>
            <w:tcW w:w="1642" w:type="dxa"/>
          </w:tcPr>
          <w:p>
            <w:pPr>
              <w:pStyle w:val="TableParagraph"/>
              <w:spacing w:before="115"/>
              <w:ind w:left="396"/>
              <w:rPr>
                <w:sz w:val="24"/>
              </w:rPr>
            </w:pPr>
            <w:r>
              <w:rPr>
                <w:sz w:val="24"/>
              </w:rPr>
              <w:t>MVAr</w:t>
            </w:r>
          </w:p>
        </w:tc>
        <w:tc>
          <w:tcPr>
            <w:tcW w:w="848" w:type="dxa"/>
          </w:tcPr>
          <w:p>
            <w:pPr>
              <w:pStyle w:val="TableParagraph"/>
              <w:spacing w:before="115"/>
              <w:ind w:left="404"/>
              <w:rPr>
                <w:sz w:val="24"/>
              </w:rPr>
            </w:pPr>
            <w:r>
              <w:rPr>
                <w:sz w:val="24"/>
              </w:rPr>
              <w:t>D,R</w:t>
            </w:r>
          </w:p>
        </w:tc>
      </w:tr>
      <w:tr>
        <w:trPr>
          <w:trHeight w:val="515" w:hRule="atLeast"/>
        </w:trPr>
        <w:tc>
          <w:tcPr>
            <w:tcW w:w="4601" w:type="dxa"/>
          </w:tcPr>
          <w:p>
            <w:pPr>
              <w:pStyle w:val="TableParagraph"/>
              <w:spacing w:before="115"/>
              <w:ind w:left="50"/>
              <w:rPr>
                <w:i/>
                <w:sz w:val="24"/>
              </w:rPr>
            </w:pPr>
            <w:r>
              <w:rPr>
                <w:sz w:val="24"/>
              </w:rPr>
              <w:t>Location and Rating of Smoothing </w:t>
            </w:r>
            <w:r>
              <w:rPr>
                <w:i/>
                <w:sz w:val="24"/>
              </w:rPr>
              <w:t>Reactor</w:t>
            </w:r>
          </w:p>
        </w:tc>
        <w:tc>
          <w:tcPr>
            <w:tcW w:w="1642" w:type="dxa"/>
          </w:tcPr>
          <w:p>
            <w:pPr>
              <w:pStyle w:val="TableParagraph"/>
              <w:spacing w:before="115"/>
              <w:ind w:left="396"/>
              <w:rPr>
                <w:sz w:val="24"/>
              </w:rPr>
            </w:pPr>
            <w:r>
              <w:rPr>
                <w:sz w:val="24"/>
              </w:rPr>
              <w:t>MVAr</w:t>
            </w:r>
          </w:p>
        </w:tc>
        <w:tc>
          <w:tcPr>
            <w:tcW w:w="848" w:type="dxa"/>
          </w:tcPr>
          <w:p>
            <w:pPr>
              <w:pStyle w:val="TableParagraph"/>
              <w:spacing w:before="115"/>
              <w:ind w:left="404"/>
              <w:rPr>
                <w:sz w:val="24"/>
              </w:rPr>
            </w:pPr>
            <w:r>
              <w:rPr>
                <w:sz w:val="24"/>
              </w:rPr>
              <w:t>D,R</w:t>
            </w:r>
          </w:p>
        </w:tc>
      </w:tr>
      <w:tr>
        <w:trPr>
          <w:trHeight w:val="390" w:hRule="atLeast"/>
        </w:trPr>
        <w:tc>
          <w:tcPr>
            <w:tcW w:w="4601" w:type="dxa"/>
          </w:tcPr>
          <w:p>
            <w:pPr>
              <w:pStyle w:val="TableParagraph"/>
              <w:spacing w:line="256" w:lineRule="exact" w:before="115"/>
              <w:ind w:left="50"/>
              <w:rPr>
                <w:sz w:val="24"/>
              </w:rPr>
            </w:pPr>
            <w:r>
              <w:rPr>
                <w:sz w:val="24"/>
              </w:rPr>
              <w:t>Location and Rating of DC Filter</w:t>
            </w:r>
          </w:p>
        </w:tc>
        <w:tc>
          <w:tcPr>
            <w:tcW w:w="1642" w:type="dxa"/>
          </w:tcPr>
          <w:p>
            <w:pPr>
              <w:pStyle w:val="TableParagraph"/>
              <w:spacing w:line="256" w:lineRule="exact" w:before="115"/>
              <w:ind w:left="396"/>
              <w:rPr>
                <w:sz w:val="24"/>
              </w:rPr>
            </w:pPr>
            <w:r>
              <w:rPr>
                <w:sz w:val="24"/>
              </w:rPr>
              <w:t>MVAr</w:t>
            </w:r>
          </w:p>
        </w:tc>
        <w:tc>
          <w:tcPr>
            <w:tcW w:w="848" w:type="dxa"/>
          </w:tcPr>
          <w:p>
            <w:pPr>
              <w:pStyle w:val="TableParagraph"/>
              <w:spacing w:line="256" w:lineRule="exact" w:before="115"/>
              <w:ind w:left="404"/>
              <w:rPr>
                <w:sz w:val="24"/>
              </w:rPr>
            </w:pPr>
            <w:r>
              <w:rPr>
                <w:sz w:val="24"/>
              </w:rPr>
              <w:t>D,R</w:t>
            </w:r>
          </w:p>
        </w:tc>
      </w:tr>
    </w:tbl>
    <w:p>
      <w:pPr>
        <w:pStyle w:val="BodyText"/>
        <w:spacing w:before="0"/>
        <w:ind w:firstLine="0"/>
        <w:jc w:val="left"/>
        <w:rPr>
          <w:b/>
          <w:sz w:val="26"/>
        </w:rPr>
      </w:pPr>
    </w:p>
    <w:p>
      <w:pPr>
        <w:pStyle w:val="BodyText"/>
        <w:spacing w:before="3"/>
        <w:ind w:firstLine="0"/>
        <w:jc w:val="left"/>
        <w:rPr>
          <w:b/>
          <w:sz w:val="29"/>
        </w:rPr>
      </w:pPr>
    </w:p>
    <w:p>
      <w:pPr>
        <w:pStyle w:val="Heading4"/>
        <w:tabs>
          <w:tab w:pos="2377" w:val="left" w:leader="none"/>
        </w:tabs>
        <w:ind w:left="218" w:firstLine="0"/>
      </w:pPr>
      <w:bookmarkStart w:name="Schedule 5.5.4 Network Plant and Apparat" w:id="1098"/>
      <w:bookmarkEnd w:id="1098"/>
      <w:r>
        <w:rPr>
          <w:b w:val="0"/>
        </w:rPr>
      </w:r>
      <w:bookmarkStart w:name="_bookmark441" w:id="1099"/>
      <w:bookmarkEnd w:id="1099"/>
      <w:r>
        <w:rPr>
          <w:b w:val="0"/>
        </w:rPr>
      </w:r>
      <w:r>
        <w:rPr/>
        <w:t>Schedule</w:t>
      </w:r>
      <w:r>
        <w:rPr>
          <w:spacing w:val="-2"/>
        </w:rPr>
        <w:t> </w:t>
      </w:r>
      <w:r>
        <w:rPr/>
        <w:t>5.5.4</w:t>
        <w:tab/>
        <w:t>Network Plant and Apparatus Setting</w:t>
      </w:r>
      <w:r>
        <w:rPr>
          <w:spacing w:val="-6"/>
        </w:rPr>
        <w:t> </w:t>
      </w:r>
      <w:r>
        <w:rPr/>
        <w:t>Data</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spacing w:before="9"/>
        <w:ind w:firstLine="0"/>
        <w:jc w:val="left"/>
        <w:rPr>
          <w:sz w:val="20"/>
        </w:rPr>
      </w:pPr>
      <w:r>
        <w:rPr/>
        <w:pict>
          <v:shape style="position:absolute;margin-left:70.900002pt;margin-top:13.177103pt;width:453.55pt;height:19.8pt;mso-position-horizontal-relative:page;mso-position-vertical-relative:paragraph;z-index:-251643904;mso-wrap-distance-left:0;mso-wrap-distance-right:0" type="#_x0000_t202" filled="true" fillcolor="#d9d9d9" stroked="false">
            <v:textbox inset="0,0,0,0">
              <w:txbxContent>
                <w:p>
                  <w:pPr>
                    <w:tabs>
                      <w:tab w:pos="5709" w:val="left" w:leader="none"/>
                      <w:tab w:pos="6842"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w10:wrap type="topAndBottom"/>
          </v:shape>
        </w:pict>
      </w:r>
    </w:p>
    <w:p>
      <w:pPr>
        <w:pStyle w:val="Heading4"/>
        <w:spacing w:before="105"/>
        <w:ind w:left="258" w:right="3927" w:firstLine="0"/>
        <w:rPr>
          <w:rFonts w:ascii="Times New Roman"/>
          <w:b w:val="0"/>
        </w:rPr>
      </w:pPr>
      <w:r>
        <w:rPr>
          <w:rFonts w:ascii="Times New Roman"/>
        </w:rPr>
        <w:t>Protection Data for Protection relevant to Connection Point</w:t>
      </w:r>
      <w:r>
        <w:rPr>
          <w:rFonts w:ascii="Times New Roman"/>
          <w:b w:val="0"/>
        </w:rPr>
        <w:t>:</w:t>
      </w:r>
    </w:p>
    <w:p>
      <w:pPr>
        <w:pStyle w:val="BodyText"/>
        <w:spacing w:before="10"/>
        <w:ind w:firstLine="0"/>
        <w:jc w:val="left"/>
        <w:rPr>
          <w:sz w:val="20"/>
        </w:rPr>
      </w:pPr>
    </w:p>
    <w:p>
      <w:pPr>
        <w:tabs>
          <w:tab w:pos="5927" w:val="left" w:leader="none"/>
        </w:tabs>
        <w:spacing w:before="0"/>
        <w:ind w:left="258" w:right="0" w:firstLine="0"/>
        <w:jc w:val="left"/>
        <w:rPr>
          <w:sz w:val="24"/>
        </w:rPr>
      </w:pPr>
      <w:r>
        <w:rPr>
          <w:sz w:val="24"/>
        </w:rPr>
        <w:t>Reach of all protections on </w:t>
      </w:r>
      <w:r>
        <w:rPr>
          <w:i/>
          <w:sz w:val="24"/>
        </w:rPr>
        <w:t>transmission lines</w:t>
      </w:r>
      <w:r>
        <w:rPr>
          <w:sz w:val="24"/>
        </w:rPr>
        <w:t>,</w:t>
      </w:r>
      <w:r>
        <w:rPr>
          <w:spacing w:val="-7"/>
          <w:sz w:val="24"/>
        </w:rPr>
        <w:t> </w:t>
      </w:r>
      <w:r>
        <w:rPr>
          <w:sz w:val="24"/>
        </w:rPr>
        <w:t>or</w:t>
      </w:r>
      <w:r>
        <w:rPr>
          <w:spacing w:val="-1"/>
          <w:sz w:val="24"/>
        </w:rPr>
        <w:t> </w:t>
      </w:r>
      <w:r>
        <w:rPr>
          <w:sz w:val="24"/>
        </w:rPr>
        <w:t>cables</w:t>
        <w:tab/>
        <w:t>ohms or % S,</w:t>
      </w:r>
      <w:r>
        <w:rPr>
          <w:spacing w:val="-28"/>
          <w:sz w:val="24"/>
        </w:rPr>
        <w:t> </w:t>
      </w:r>
      <w:r>
        <w:rPr>
          <w:sz w:val="24"/>
        </w:rPr>
        <w:t>D</w:t>
      </w:r>
    </w:p>
    <w:p>
      <w:pPr>
        <w:pStyle w:val="BodyText"/>
        <w:spacing w:before="0"/>
        <w:ind w:left="5928" w:right="2715" w:firstLine="0"/>
        <w:jc w:val="left"/>
      </w:pPr>
      <w:r>
        <w:rPr/>
        <w:t>on 100 MVA base</w:t>
      </w:r>
    </w:p>
    <w:p>
      <w:pPr>
        <w:pStyle w:val="BodyText"/>
        <w:spacing w:before="10"/>
        <w:ind w:firstLine="0"/>
        <w:jc w:val="left"/>
        <w:rPr>
          <w:sz w:val="20"/>
        </w:rPr>
      </w:pPr>
    </w:p>
    <w:p>
      <w:pPr>
        <w:pStyle w:val="BodyText"/>
        <w:tabs>
          <w:tab w:pos="5927" w:val="left" w:leader="none"/>
          <w:tab w:pos="7060" w:val="left" w:leader="none"/>
        </w:tabs>
        <w:spacing w:line="448" w:lineRule="auto" w:before="0"/>
        <w:ind w:left="258" w:right="1817" w:firstLine="0"/>
        <w:jc w:val="left"/>
      </w:pPr>
      <w:r>
        <w:rPr/>
        <w:t>Number of protections on</w:t>
      </w:r>
      <w:r>
        <w:rPr>
          <w:spacing w:val="-5"/>
        </w:rPr>
        <w:t> </w:t>
      </w:r>
      <w:r>
        <w:rPr/>
        <w:t>each</w:t>
      </w:r>
      <w:r>
        <w:rPr>
          <w:spacing w:val="-1"/>
        </w:rPr>
        <w:t> </w:t>
      </w:r>
      <w:r>
        <w:rPr/>
        <w:t>item</w:t>
        <w:tab/>
        <w:t>Text</w:t>
        <w:tab/>
        <w:t>S, D Total fault clearing times for near and</w:t>
      </w:r>
      <w:r>
        <w:rPr>
          <w:spacing w:val="-4"/>
        </w:rPr>
        <w:t> </w:t>
      </w:r>
      <w:r>
        <w:rPr/>
        <w:t>remote</w:t>
      </w:r>
      <w:r>
        <w:rPr>
          <w:spacing w:val="-1"/>
        </w:rPr>
        <w:t> </w:t>
      </w:r>
      <w:r>
        <w:rPr/>
        <w:t>faults</w:t>
        <w:tab/>
        <w:t>ms</w:t>
        <w:tab/>
        <w:t>S, D, </w:t>
      </w:r>
      <w:r>
        <w:rPr>
          <w:spacing w:val="-7"/>
        </w:rPr>
        <w:t>R1 </w:t>
      </w:r>
      <w:r>
        <w:rPr/>
        <w:t>Line reclosure</w:t>
      </w:r>
      <w:r>
        <w:rPr>
          <w:spacing w:val="-4"/>
        </w:rPr>
        <w:t> </w:t>
      </w:r>
      <w:r>
        <w:rPr/>
        <w:t>sequence</w:t>
      </w:r>
      <w:r>
        <w:rPr>
          <w:spacing w:val="-3"/>
        </w:rPr>
        <w:t> </w:t>
      </w:r>
      <w:r>
        <w:rPr/>
        <w:t>details</w:t>
        <w:tab/>
        <w:t>Text</w:t>
        <w:tab/>
        <w:t>S, D,</w:t>
      </w:r>
      <w:r>
        <w:rPr>
          <w:spacing w:val="-2"/>
        </w:rPr>
        <w:t> </w:t>
      </w:r>
      <w:r>
        <w:rPr>
          <w:spacing w:val="-7"/>
        </w:rPr>
        <w:t>R1</w:t>
      </w:r>
    </w:p>
    <w:p>
      <w:pPr>
        <w:pStyle w:val="BodyText"/>
        <w:spacing w:before="0"/>
        <w:ind w:firstLine="0"/>
        <w:jc w:val="left"/>
        <w:rPr>
          <w:sz w:val="26"/>
        </w:rPr>
      </w:pPr>
    </w:p>
    <w:p>
      <w:pPr>
        <w:pStyle w:val="Heading4"/>
        <w:spacing w:before="216"/>
        <w:ind w:left="258" w:firstLine="0"/>
        <w:rPr>
          <w:rFonts w:ascii="Times New Roman"/>
          <w:b w:val="0"/>
        </w:rPr>
      </w:pPr>
      <w:r>
        <w:rPr>
          <w:rFonts w:ascii="Times New Roman"/>
        </w:rPr>
        <w:t>Tap Change Control Data</w:t>
      </w:r>
      <w:r>
        <w:rPr>
          <w:rFonts w:ascii="Times New Roman"/>
          <w:b w:val="0"/>
        </w:rPr>
        <w:t>:</w:t>
      </w:r>
    </w:p>
    <w:p>
      <w:pPr>
        <w:pStyle w:val="BodyText"/>
        <w:spacing w:before="10"/>
        <w:ind w:firstLine="0"/>
        <w:jc w:val="left"/>
        <w:rPr>
          <w:sz w:val="20"/>
        </w:rPr>
      </w:pPr>
    </w:p>
    <w:p>
      <w:pPr>
        <w:pStyle w:val="BodyText"/>
        <w:tabs>
          <w:tab w:pos="5927" w:val="left" w:leader="none"/>
          <w:tab w:pos="7060" w:val="left" w:leader="none"/>
        </w:tabs>
        <w:spacing w:before="0"/>
        <w:ind w:left="258" w:firstLine="0"/>
        <w:jc w:val="left"/>
      </w:pPr>
      <w:r>
        <w:rPr/>
        <w:t>Time delay settings of all </w:t>
      </w:r>
      <w:r>
        <w:rPr>
          <w:i/>
        </w:rPr>
        <w:t>transformer</w:t>
      </w:r>
      <w:r>
        <w:rPr>
          <w:i/>
          <w:spacing w:val="-5"/>
        </w:rPr>
        <w:t> </w:t>
      </w:r>
      <w:r>
        <w:rPr/>
        <w:t>tap</w:t>
      </w:r>
      <w:r>
        <w:rPr>
          <w:spacing w:val="-1"/>
        </w:rPr>
        <w:t> </w:t>
      </w:r>
      <w:r>
        <w:rPr/>
        <w:t>changers.</w:t>
        <w:tab/>
        <w:t>Seconds</w:t>
        <w:tab/>
        <w:t>D,</w:t>
      </w:r>
      <w:r>
        <w:rPr>
          <w:spacing w:val="-1"/>
        </w:rPr>
        <w:t> </w:t>
      </w:r>
      <w:r>
        <w:rPr/>
        <w:t>R1</w:t>
      </w:r>
    </w:p>
    <w:p>
      <w:pPr>
        <w:spacing w:after="0"/>
        <w:jc w:val="left"/>
        <w:sectPr>
          <w:pgSz w:w="11910" w:h="16840"/>
          <w:pgMar w:header="686" w:footer="637" w:top="1320" w:bottom="820" w:left="1200" w:right="1000"/>
        </w:sectPr>
      </w:pPr>
    </w:p>
    <w:p>
      <w:pPr>
        <w:pStyle w:val="BodyText"/>
        <w:spacing w:before="2"/>
        <w:ind w:firstLine="0"/>
        <w:jc w:val="left"/>
        <w:rPr>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5709" w:val="left" w:leader="none"/>
                      <w:tab w:pos="6842"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pStyle w:val="Heading4"/>
        <w:spacing w:before="97"/>
        <w:ind w:left="258" w:firstLine="0"/>
        <w:jc w:val="both"/>
        <w:rPr>
          <w:rFonts w:ascii="Times New Roman"/>
          <w:b w:val="0"/>
        </w:rPr>
      </w:pPr>
      <w:r>
        <w:rPr>
          <w:rFonts w:ascii="Times New Roman"/>
        </w:rPr>
        <w:t>Reactive Compensation</w:t>
      </w:r>
      <w:r>
        <w:rPr>
          <w:rFonts w:ascii="Times New Roman"/>
          <w:b w:val="0"/>
        </w:rPr>
        <w:t>:</w:t>
      </w:r>
    </w:p>
    <w:p>
      <w:pPr>
        <w:tabs>
          <w:tab w:pos="5927" w:val="left" w:leader="none"/>
        </w:tabs>
        <w:spacing w:line="510" w:lineRule="atLeast" w:before="6"/>
        <w:ind w:left="258" w:right="2070" w:firstLine="0"/>
        <w:jc w:val="both"/>
        <w:rPr>
          <w:sz w:val="24"/>
        </w:rPr>
      </w:pPr>
      <w:r>
        <w:rPr>
          <w:sz w:val="24"/>
        </w:rPr>
        <w:t>Location and Rating of individual</w:t>
      </w:r>
      <w:r>
        <w:rPr>
          <w:spacing w:val="-7"/>
          <w:sz w:val="24"/>
        </w:rPr>
        <w:t> </w:t>
      </w:r>
      <w:r>
        <w:rPr>
          <w:i/>
          <w:sz w:val="24"/>
        </w:rPr>
        <w:t>shunt</w:t>
      </w:r>
      <w:r>
        <w:rPr>
          <w:i/>
          <w:spacing w:val="-2"/>
          <w:sz w:val="24"/>
        </w:rPr>
        <w:t> </w:t>
      </w:r>
      <w:r>
        <w:rPr>
          <w:i/>
          <w:sz w:val="24"/>
        </w:rPr>
        <w:t>reactors</w:t>
        <w:tab/>
      </w:r>
      <w:r>
        <w:rPr>
          <w:sz w:val="24"/>
        </w:rPr>
        <w:t>MVAr D, </w:t>
      </w:r>
      <w:r>
        <w:rPr>
          <w:spacing w:val="-6"/>
          <w:sz w:val="24"/>
        </w:rPr>
        <w:t>R1 </w:t>
      </w:r>
      <w:r>
        <w:rPr>
          <w:sz w:val="24"/>
        </w:rPr>
        <w:t>Location and Rating of individual </w:t>
      </w:r>
      <w:r>
        <w:rPr>
          <w:i/>
          <w:sz w:val="24"/>
        </w:rPr>
        <w:t>shunt capacitor </w:t>
      </w:r>
      <w:r>
        <w:rPr>
          <w:sz w:val="24"/>
        </w:rPr>
        <w:t>banks MVAr D, R1 </w:t>
      </w:r>
      <w:r>
        <w:rPr>
          <w:i/>
          <w:sz w:val="24"/>
        </w:rPr>
        <w:t>Capacitor</w:t>
      </w:r>
      <w:r>
        <w:rPr>
          <w:i/>
          <w:spacing w:val="-1"/>
          <w:sz w:val="24"/>
        </w:rPr>
        <w:t> </w:t>
      </w:r>
      <w:r>
        <w:rPr>
          <w:i/>
          <w:sz w:val="24"/>
        </w:rPr>
        <w:t>bank </w:t>
      </w:r>
      <w:r>
        <w:rPr>
          <w:sz w:val="24"/>
        </w:rPr>
        <w:t>capacitance</w:t>
        <w:tab/>
        <w:t>microfarad</w:t>
      </w:r>
      <w:r>
        <w:rPr>
          <w:spacing w:val="19"/>
          <w:sz w:val="24"/>
        </w:rPr>
        <w:t> </w:t>
      </w:r>
      <w:r>
        <w:rPr>
          <w:sz w:val="24"/>
        </w:rPr>
        <w:t>D</w:t>
      </w:r>
    </w:p>
    <w:p>
      <w:pPr>
        <w:pStyle w:val="BodyText"/>
        <w:spacing w:before="12"/>
        <w:ind w:left="2242" w:firstLine="0"/>
        <w:jc w:val="center"/>
      </w:pPr>
      <w:r>
        <w:rPr/>
        <w:t>s</w:t>
      </w:r>
    </w:p>
    <w:p>
      <w:pPr>
        <w:pStyle w:val="BodyText"/>
        <w:spacing w:before="0"/>
        <w:ind w:firstLine="0"/>
        <w:jc w:val="left"/>
        <w:rPr>
          <w:sz w:val="13"/>
        </w:rPr>
      </w:pPr>
    </w:p>
    <w:p>
      <w:pPr>
        <w:pStyle w:val="BodyText"/>
        <w:tabs>
          <w:tab w:pos="5927" w:val="left" w:leader="none"/>
        </w:tabs>
        <w:spacing w:before="90"/>
        <w:ind w:left="5928" w:right="2512" w:hanging="5670"/>
        <w:jc w:val="left"/>
      </w:pPr>
      <w:r>
        <w:rPr/>
        <w:t>Inductance of switching </w:t>
      </w:r>
      <w:r>
        <w:rPr>
          <w:i/>
        </w:rPr>
        <w:t>reactor</w:t>
      </w:r>
      <w:r>
        <w:rPr>
          <w:i/>
          <w:spacing w:val="-7"/>
        </w:rPr>
        <w:t> </w:t>
      </w:r>
      <w:r>
        <w:rPr/>
        <w:t>(if</w:t>
      </w:r>
      <w:r>
        <w:rPr>
          <w:spacing w:val="-1"/>
        </w:rPr>
        <w:t> </w:t>
      </w:r>
      <w:r>
        <w:rPr/>
        <w:t>fitted)</w:t>
        <w:tab/>
        <w:t>millihenri </w:t>
      </w:r>
      <w:r>
        <w:rPr>
          <w:spacing w:val="-15"/>
        </w:rPr>
        <w:t>D </w:t>
      </w:r>
      <w:r>
        <w:rPr/>
        <w:t>es</w:t>
      </w:r>
    </w:p>
    <w:p>
      <w:pPr>
        <w:pStyle w:val="BodyText"/>
        <w:spacing w:before="1"/>
        <w:ind w:firstLine="0"/>
        <w:jc w:val="left"/>
        <w:rPr>
          <w:sz w:val="13"/>
        </w:rPr>
      </w:pPr>
    </w:p>
    <w:p>
      <w:pPr>
        <w:pStyle w:val="BodyText"/>
        <w:tabs>
          <w:tab w:pos="5927" w:val="left" w:leader="none"/>
          <w:tab w:pos="7060" w:val="left" w:leader="none"/>
        </w:tabs>
        <w:spacing w:line="448" w:lineRule="auto" w:before="90"/>
        <w:ind w:left="258" w:right="2470" w:firstLine="0"/>
        <w:jc w:val="left"/>
      </w:pPr>
      <w:r>
        <w:rPr/>
        <w:t>Resistance of capacitor</w:t>
      </w:r>
      <w:r>
        <w:rPr>
          <w:spacing w:val="-2"/>
        </w:rPr>
        <w:t> </w:t>
      </w:r>
      <w:r>
        <w:rPr/>
        <w:t>plus</w:t>
      </w:r>
      <w:r>
        <w:rPr>
          <w:spacing w:val="-1"/>
        </w:rPr>
        <w:t> </w:t>
      </w:r>
      <w:r>
        <w:rPr>
          <w:i/>
        </w:rPr>
        <w:t>reactor</w:t>
        <w:tab/>
      </w:r>
      <w:r>
        <w:rPr/>
        <w:t>Ohms</w:t>
        <w:tab/>
      </w:r>
      <w:r>
        <w:rPr>
          <w:spacing w:val="-17"/>
        </w:rPr>
        <w:t>D </w:t>
      </w:r>
      <w:r>
        <w:rPr/>
        <w:t>Details of special controls (e.g. Point-on-wave</w:t>
      </w:r>
      <w:r>
        <w:rPr>
          <w:spacing w:val="-22"/>
        </w:rPr>
        <w:t> </w:t>
      </w:r>
      <w:r>
        <w:rPr/>
        <w:t>switching) </w:t>
      </w:r>
      <w:r>
        <w:rPr>
          <w:spacing w:val="12"/>
        </w:rPr>
        <w:t> </w:t>
      </w:r>
      <w:r>
        <w:rPr/>
        <w:t>Text</w:t>
        <w:tab/>
      </w:r>
      <w:r>
        <w:rPr>
          <w:spacing w:val="-17"/>
        </w:rPr>
        <w:t>D</w:t>
      </w:r>
    </w:p>
    <w:p>
      <w:pPr>
        <w:pStyle w:val="BodyText"/>
        <w:spacing w:before="0"/>
        <w:ind w:firstLine="0"/>
        <w:jc w:val="left"/>
        <w:rPr>
          <w:sz w:val="26"/>
        </w:rPr>
      </w:pPr>
    </w:p>
    <w:p>
      <w:pPr>
        <w:pStyle w:val="Heading4"/>
        <w:spacing w:before="216"/>
        <w:ind w:left="1391" w:firstLine="0"/>
        <w:rPr>
          <w:rFonts w:ascii="Times New Roman"/>
          <w:b w:val="0"/>
        </w:rPr>
      </w:pPr>
      <w:r>
        <w:rPr>
          <w:rFonts w:ascii="Times New Roman"/>
        </w:rPr>
        <w:t>For each shunt reactor or capacitor bank</w:t>
      </w:r>
      <w:r>
        <w:rPr>
          <w:rFonts w:ascii="Times New Roman"/>
          <w:b w:val="0"/>
        </w:rPr>
        <w:t>:</w:t>
      </w:r>
    </w:p>
    <w:p>
      <w:pPr>
        <w:pStyle w:val="BodyText"/>
        <w:spacing w:before="10"/>
        <w:ind w:firstLine="0"/>
        <w:jc w:val="left"/>
        <w:rPr>
          <w:sz w:val="20"/>
        </w:rPr>
      </w:pPr>
    </w:p>
    <w:p>
      <w:pPr>
        <w:pStyle w:val="BodyText"/>
        <w:tabs>
          <w:tab w:pos="5927" w:val="left" w:leader="none"/>
          <w:tab w:pos="7060" w:val="left" w:leader="none"/>
        </w:tabs>
        <w:spacing w:before="0"/>
        <w:ind w:left="258" w:firstLine="0"/>
        <w:jc w:val="left"/>
      </w:pPr>
      <w:r>
        <w:rPr/>
        <w:t>Method</w:t>
      </w:r>
      <w:r>
        <w:rPr>
          <w:spacing w:val="-4"/>
        </w:rPr>
        <w:t> </w:t>
      </w:r>
      <w:r>
        <w:rPr/>
        <w:t>of</w:t>
      </w:r>
      <w:r>
        <w:rPr>
          <w:spacing w:val="-4"/>
        </w:rPr>
        <w:t> </w:t>
      </w:r>
      <w:r>
        <w:rPr/>
        <w:t>switching</w:t>
        <w:tab/>
        <w:t>Text</w:t>
        <w:tab/>
        <w:t>S</w:t>
      </w:r>
    </w:p>
    <w:p>
      <w:pPr>
        <w:pStyle w:val="BodyText"/>
        <w:spacing w:before="1"/>
        <w:ind w:firstLine="0"/>
        <w:jc w:val="left"/>
        <w:rPr>
          <w:sz w:val="13"/>
        </w:rPr>
      </w:pPr>
    </w:p>
    <w:p>
      <w:pPr>
        <w:spacing w:after="0"/>
        <w:jc w:val="left"/>
        <w:rPr>
          <w:sz w:val="13"/>
        </w:rPr>
        <w:sectPr>
          <w:pgSz w:w="11910" w:h="16840"/>
          <w:pgMar w:header="686" w:footer="637" w:top="1320" w:bottom="820" w:left="1200" w:right="1000"/>
        </w:sectPr>
      </w:pPr>
    </w:p>
    <w:p>
      <w:pPr>
        <w:pStyle w:val="BodyText"/>
        <w:spacing w:before="90"/>
        <w:ind w:left="258" w:right="20" w:firstLine="0"/>
        <w:jc w:val="left"/>
      </w:pPr>
      <w:r>
        <w:rPr/>
        <w:t>Details of automatic control logic such that operating characteristics can be determined</w:t>
      </w:r>
    </w:p>
    <w:p>
      <w:pPr>
        <w:pStyle w:val="BodyText"/>
        <w:tabs>
          <w:tab w:pos="1390" w:val="left" w:leader="none"/>
        </w:tabs>
        <w:spacing w:before="90"/>
        <w:ind w:left="258" w:firstLine="0"/>
        <w:jc w:val="left"/>
      </w:pPr>
      <w:r>
        <w:rPr/>
        <w:br w:type="column"/>
      </w:r>
      <w:r>
        <w:rPr/>
        <w:t>Text</w:t>
        <w:tab/>
        <w:t>D,</w:t>
      </w:r>
      <w:r>
        <w:rPr>
          <w:spacing w:val="-2"/>
        </w:rPr>
        <w:t> </w:t>
      </w:r>
      <w:r>
        <w:rPr/>
        <w:t>R1</w:t>
      </w:r>
    </w:p>
    <w:p>
      <w:pPr>
        <w:spacing w:after="0"/>
        <w:jc w:val="left"/>
        <w:sectPr>
          <w:type w:val="continuous"/>
          <w:pgSz w:w="11910" w:h="16840"/>
          <w:pgMar w:top="1360" w:bottom="280" w:left="1200" w:right="1000"/>
          <w:cols w:num="2" w:equalWidth="0">
            <w:col w:w="5410" w:space="260"/>
            <w:col w:w="4040"/>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spacing w:after="0"/>
        <w:jc w:val="left"/>
        <w:rPr>
          <w:sz w:val="17"/>
        </w:rPr>
        <w:sectPr>
          <w:type w:val="continuous"/>
          <w:pgSz w:w="11910" w:h="16840"/>
          <w:pgMar w:top="1360" w:bottom="280" w:left="1200" w:right="1000"/>
        </w:sectPr>
      </w:pPr>
    </w:p>
    <w:p>
      <w:pPr>
        <w:pStyle w:val="Heading4"/>
        <w:spacing w:before="90"/>
        <w:ind w:left="1391" w:firstLine="0"/>
        <w:rPr>
          <w:rFonts w:ascii="Times New Roman"/>
          <w:b w:val="0"/>
        </w:rPr>
      </w:pPr>
      <w:r>
        <w:rPr>
          <w:rFonts w:ascii="Times New Roman"/>
        </w:rPr>
        <w:t>FACTS Installation</w:t>
      </w:r>
      <w:r>
        <w:rPr>
          <w:rFonts w:ascii="Times New Roman"/>
          <w:b w:val="0"/>
        </w:rPr>
        <w:t>:</w:t>
      </w:r>
    </w:p>
    <w:p>
      <w:pPr>
        <w:pStyle w:val="BodyText"/>
        <w:spacing w:before="9"/>
        <w:ind w:firstLine="0"/>
        <w:jc w:val="left"/>
        <w:rPr>
          <w:sz w:val="20"/>
        </w:rPr>
      </w:pPr>
    </w:p>
    <w:p>
      <w:pPr>
        <w:pStyle w:val="BodyText"/>
        <w:spacing w:before="1"/>
        <w:ind w:left="258" w:right="-1" w:firstLine="0"/>
        <w:jc w:val="left"/>
      </w:pPr>
      <w:r>
        <w:rPr/>
        <w:t>Data sufficient to enable static and dynamic</w:t>
      </w:r>
      <w:r>
        <w:rPr>
          <w:spacing w:val="-20"/>
        </w:rPr>
        <w:t> </w:t>
      </w:r>
      <w:r>
        <w:rPr/>
        <w:t>performance of the installation to be</w:t>
      </w:r>
      <w:r>
        <w:rPr>
          <w:spacing w:val="-1"/>
        </w:rPr>
        <w:t> </w:t>
      </w:r>
      <w:r>
        <w:rPr/>
        <w:t>modelled</w:t>
      </w:r>
    </w:p>
    <w:p>
      <w:pPr>
        <w:pStyle w:val="BodyText"/>
        <w:spacing w:before="0"/>
        <w:ind w:firstLine="0"/>
        <w:jc w:val="left"/>
        <w:rPr>
          <w:sz w:val="26"/>
        </w:rPr>
      </w:pPr>
      <w:r>
        <w:rPr/>
        <w:br w:type="column"/>
      </w:r>
      <w:r>
        <w:rPr>
          <w:sz w:val="26"/>
        </w:rPr>
      </w:r>
    </w:p>
    <w:p>
      <w:pPr>
        <w:pStyle w:val="BodyText"/>
        <w:spacing w:before="7"/>
        <w:ind w:firstLine="0"/>
        <w:jc w:val="left"/>
        <w:rPr>
          <w:sz w:val="26"/>
        </w:rPr>
      </w:pPr>
    </w:p>
    <w:p>
      <w:pPr>
        <w:pStyle w:val="BodyText"/>
        <w:spacing w:before="1"/>
        <w:ind w:left="146" w:right="-19" w:firstLine="0"/>
        <w:jc w:val="left"/>
      </w:pPr>
      <w:r>
        <w:rPr/>
        <w:t>Text, diagrams control settings</w:t>
      </w:r>
    </w:p>
    <w:p>
      <w:pPr>
        <w:pStyle w:val="BodyText"/>
        <w:spacing w:before="0"/>
        <w:ind w:firstLine="0"/>
        <w:jc w:val="left"/>
        <w:rPr>
          <w:sz w:val="26"/>
        </w:rPr>
      </w:pPr>
      <w:r>
        <w:rPr/>
        <w:br w:type="column"/>
      </w:r>
      <w:r>
        <w:rPr>
          <w:sz w:val="26"/>
        </w:rPr>
      </w:r>
    </w:p>
    <w:p>
      <w:pPr>
        <w:pStyle w:val="BodyText"/>
        <w:spacing w:before="7"/>
        <w:ind w:firstLine="0"/>
        <w:jc w:val="left"/>
        <w:rPr>
          <w:sz w:val="26"/>
        </w:rPr>
      </w:pPr>
    </w:p>
    <w:p>
      <w:pPr>
        <w:pStyle w:val="BodyText"/>
        <w:spacing w:before="1"/>
        <w:ind w:left="213" w:firstLine="0"/>
        <w:jc w:val="left"/>
      </w:pPr>
      <w:r>
        <w:rPr/>
        <w:t>S, D, R1</w:t>
      </w:r>
    </w:p>
    <w:p>
      <w:pPr>
        <w:spacing w:after="0"/>
        <w:jc w:val="left"/>
        <w:sectPr>
          <w:type w:val="continuous"/>
          <w:pgSz w:w="11910" w:h="16840"/>
          <w:pgMar w:top="1360" w:bottom="280" w:left="1200" w:right="1000"/>
          <w:cols w:num="3" w:equalWidth="0">
            <w:col w:w="5742" w:space="40"/>
            <w:col w:w="1027" w:space="39"/>
            <w:col w:w="2862"/>
          </w:cols>
        </w:sectPr>
      </w:pPr>
    </w:p>
    <w:p>
      <w:pPr>
        <w:pStyle w:val="BodyText"/>
        <w:spacing w:before="0"/>
        <w:ind w:firstLine="0"/>
        <w:jc w:val="left"/>
        <w:rPr>
          <w:sz w:val="13"/>
        </w:rPr>
      </w:pPr>
    </w:p>
    <w:p>
      <w:pPr>
        <w:pStyle w:val="BodyText"/>
        <w:tabs>
          <w:tab w:pos="5927" w:val="left" w:leader="none"/>
          <w:tab w:pos="7060" w:val="left" w:leader="none"/>
        </w:tabs>
        <w:spacing w:before="90"/>
        <w:ind w:left="258" w:firstLine="0"/>
        <w:jc w:val="left"/>
      </w:pPr>
      <w:r>
        <w:rPr/>
        <w:t>Transmission line flow</w:t>
      </w:r>
      <w:r>
        <w:rPr>
          <w:spacing w:val="-1"/>
        </w:rPr>
        <w:t> </w:t>
      </w:r>
      <w:r>
        <w:rPr/>
        <w:t>control</w:t>
      </w:r>
      <w:r>
        <w:rPr>
          <w:spacing w:val="-1"/>
        </w:rPr>
        <w:t> </w:t>
      </w:r>
      <w:r>
        <w:rPr/>
        <w:t>device</w:t>
        <w:tab/>
        <w:t>Text,</w:t>
        <w:tab/>
        <w:t>D</w:t>
      </w:r>
    </w:p>
    <w:p>
      <w:pPr>
        <w:pStyle w:val="BodyText"/>
        <w:spacing w:before="1"/>
        <w:ind w:firstLine="0"/>
        <w:jc w:val="left"/>
        <w:rPr>
          <w:sz w:val="13"/>
        </w:rPr>
      </w:pPr>
    </w:p>
    <w:p>
      <w:pPr>
        <w:spacing w:after="0"/>
        <w:jc w:val="left"/>
        <w:rPr>
          <w:sz w:val="13"/>
        </w:rPr>
        <w:sectPr>
          <w:type w:val="continuous"/>
          <w:pgSz w:w="11910" w:h="16840"/>
          <w:pgMar w:top="1360" w:bottom="280" w:left="1200" w:right="1000"/>
        </w:sectPr>
      </w:pPr>
    </w:p>
    <w:p>
      <w:pPr>
        <w:pStyle w:val="BodyText"/>
        <w:spacing w:before="90"/>
        <w:ind w:left="258" w:right="20" w:firstLine="0"/>
        <w:jc w:val="left"/>
      </w:pPr>
      <w:r>
        <w:rPr/>
        <w:t>Details of the operation of the control device under normal operation conditions (including startup and shutdown of the line) and during a fault (close up and remote)</w:t>
      </w:r>
    </w:p>
    <w:p>
      <w:pPr>
        <w:pStyle w:val="BodyText"/>
        <w:spacing w:before="9"/>
        <w:ind w:firstLine="0"/>
        <w:jc w:val="left"/>
        <w:rPr>
          <w:sz w:val="20"/>
        </w:rPr>
      </w:pPr>
    </w:p>
    <w:p>
      <w:pPr>
        <w:pStyle w:val="BodyText"/>
        <w:spacing w:before="1"/>
        <w:ind w:left="258" w:right="243" w:firstLine="0"/>
      </w:pPr>
      <w:r>
        <w:rPr/>
        <w:t>Models for the control device and transmission line appropriate for load flow, small signal stability and transient stability analysis</w:t>
      </w:r>
    </w:p>
    <w:p>
      <w:pPr>
        <w:pStyle w:val="BodyText"/>
        <w:spacing w:before="90"/>
        <w:ind w:left="258" w:firstLine="0"/>
        <w:jc w:val="left"/>
      </w:pPr>
      <w:r>
        <w:rPr/>
        <w:br w:type="column"/>
      </w:r>
      <w:r>
        <w:rPr/>
        <w:t>diagrams</w:t>
      </w: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tabs>
          <w:tab w:pos="1390" w:val="left" w:leader="none"/>
        </w:tabs>
        <w:spacing w:before="171"/>
        <w:ind w:left="258" w:right="2470" w:firstLine="0"/>
        <w:jc w:val="left"/>
      </w:pPr>
      <w:r>
        <w:rPr/>
        <w:t>Text,</w:t>
        <w:tab/>
      </w:r>
      <w:r>
        <w:rPr>
          <w:spacing w:val="-17"/>
        </w:rPr>
        <w:t>D </w:t>
      </w:r>
      <w:r>
        <w:rPr/>
        <w:t>diagrams</w:t>
      </w:r>
    </w:p>
    <w:p>
      <w:pPr>
        <w:spacing w:after="0"/>
        <w:jc w:val="left"/>
        <w:sectPr>
          <w:type w:val="continuous"/>
          <w:pgSz w:w="11910" w:h="16840"/>
          <w:pgMar w:top="1360" w:bottom="280" w:left="1200" w:right="1000"/>
          <w:cols w:num="2" w:equalWidth="0">
            <w:col w:w="5444" w:space="226"/>
            <w:col w:w="4040"/>
          </w:cols>
        </w:sectPr>
      </w:pPr>
    </w:p>
    <w:p>
      <w:pPr>
        <w:pStyle w:val="BodyText"/>
        <w:spacing w:before="0"/>
        <w:ind w:firstLine="0"/>
        <w:jc w:val="left"/>
        <w:rPr>
          <w:sz w:val="13"/>
        </w:rPr>
      </w:pPr>
    </w:p>
    <w:p>
      <w:pPr>
        <w:pStyle w:val="BodyText"/>
        <w:tabs>
          <w:tab w:pos="5927" w:val="left" w:leader="none"/>
          <w:tab w:pos="7060" w:val="left" w:leader="none"/>
        </w:tabs>
        <w:spacing w:before="90"/>
        <w:ind w:left="5928" w:right="2470" w:hanging="5670"/>
        <w:jc w:val="left"/>
      </w:pPr>
      <w:r>
        <w:rPr/>
        <w:t>Capability of the line flow</w:t>
      </w:r>
      <w:r>
        <w:rPr>
          <w:spacing w:val="-2"/>
        </w:rPr>
        <w:t> </w:t>
      </w:r>
      <w:r>
        <w:rPr/>
        <w:t>control</w:t>
      </w:r>
      <w:r>
        <w:rPr>
          <w:spacing w:val="-1"/>
        </w:rPr>
        <w:t> </w:t>
      </w:r>
      <w:r>
        <w:rPr/>
        <w:t>device</w:t>
        <w:tab/>
        <w:t>KA,</w:t>
        <w:tab/>
      </w:r>
      <w:r>
        <w:rPr>
          <w:spacing w:val="-17"/>
        </w:rPr>
        <w:t>D </w:t>
      </w:r>
      <w:r>
        <w:rPr/>
        <w:t>MVA,</w:t>
      </w:r>
    </w:p>
    <w:p>
      <w:pPr>
        <w:pStyle w:val="BodyText"/>
        <w:spacing w:before="0"/>
        <w:ind w:left="5928" w:firstLine="0"/>
        <w:jc w:val="left"/>
      </w:pPr>
      <w:r>
        <w:rPr/>
        <w:t>MW</w:t>
      </w:r>
    </w:p>
    <w:p>
      <w:pPr>
        <w:pStyle w:val="BodyText"/>
        <w:spacing w:before="1"/>
        <w:ind w:firstLine="0"/>
        <w:jc w:val="left"/>
        <w:rPr>
          <w:sz w:val="13"/>
        </w:rPr>
      </w:pPr>
    </w:p>
    <w:p>
      <w:pPr>
        <w:pStyle w:val="BodyText"/>
        <w:tabs>
          <w:tab w:pos="5927" w:val="left" w:leader="none"/>
          <w:tab w:pos="7060" w:val="left" w:leader="none"/>
        </w:tabs>
        <w:spacing w:before="90"/>
        <w:ind w:left="258" w:firstLine="0"/>
        <w:jc w:val="left"/>
      </w:pPr>
      <w:r>
        <w:rPr/>
        <w:t>Details of the rate of change of flow capability</w:t>
      </w:r>
      <w:r>
        <w:rPr>
          <w:spacing w:val="-8"/>
        </w:rPr>
        <w:t> </w:t>
      </w:r>
      <w:r>
        <w:rPr/>
        <w:t>of</w:t>
      </w:r>
      <w:r>
        <w:rPr>
          <w:spacing w:val="-1"/>
        </w:rPr>
        <w:t> </w:t>
      </w:r>
      <w:r>
        <w:rPr/>
        <w:t>the</w:t>
        <w:tab/>
        <w:t>Text</w:t>
        <w:tab/>
        <w:t>D</w:t>
      </w:r>
    </w:p>
    <w:p>
      <w:pPr>
        <w:spacing w:after="0"/>
        <w:jc w:val="left"/>
        <w:sectPr>
          <w:type w:val="continuous"/>
          <w:pgSz w:w="11910" w:h="16840"/>
          <w:pgMar w:top="1360" w:bottom="280" w:left="1200" w:right="1000"/>
        </w:sectPr>
      </w:pPr>
    </w:p>
    <w:p>
      <w:pPr>
        <w:pStyle w:val="BodyText"/>
        <w:spacing w:before="2"/>
        <w:ind w:firstLine="0"/>
        <w:jc w:val="left"/>
        <w:rPr>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5709" w:val="left" w:leader="none"/>
                      <w:tab w:pos="6842"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spacing w:after="0"/>
        <w:jc w:val="left"/>
        <w:rPr>
          <w:sz w:val="20"/>
        </w:rPr>
        <w:sectPr>
          <w:pgSz w:w="11910" w:h="16840"/>
          <w:pgMar w:header="686" w:footer="637" w:top="1320" w:bottom="820" w:left="1200" w:right="1000"/>
        </w:sectPr>
      </w:pPr>
    </w:p>
    <w:p>
      <w:pPr>
        <w:pStyle w:val="BodyText"/>
        <w:spacing w:line="253" w:lineRule="exact" w:before="0"/>
        <w:ind w:left="258" w:firstLine="0"/>
        <w:jc w:val="left"/>
      </w:pPr>
      <w:r>
        <w:rPr/>
        <w:t>control device</w:t>
      </w:r>
    </w:p>
    <w:p>
      <w:pPr>
        <w:pStyle w:val="BodyText"/>
        <w:spacing w:before="10"/>
        <w:ind w:firstLine="0"/>
        <w:jc w:val="left"/>
        <w:rPr>
          <w:sz w:val="20"/>
        </w:rPr>
      </w:pPr>
    </w:p>
    <w:p>
      <w:pPr>
        <w:pStyle w:val="BodyText"/>
        <w:spacing w:before="0"/>
        <w:ind w:left="258" w:right="-20" w:firstLine="0"/>
        <w:jc w:val="left"/>
      </w:pPr>
      <w:r>
        <w:rPr/>
        <w:t>Details of the capability of the control device to provide frequency and voltage control</w:t>
      </w:r>
    </w:p>
    <w:p>
      <w:pPr>
        <w:pStyle w:val="BodyText"/>
        <w:spacing w:before="0"/>
        <w:ind w:firstLine="0"/>
        <w:jc w:val="left"/>
        <w:rPr>
          <w:sz w:val="26"/>
        </w:rPr>
      </w:pPr>
      <w:r>
        <w:rPr/>
        <w:br w:type="column"/>
      </w:r>
      <w:r>
        <w:rPr>
          <w:sz w:val="26"/>
        </w:rPr>
      </w:r>
    </w:p>
    <w:p>
      <w:pPr>
        <w:pStyle w:val="BodyText"/>
        <w:tabs>
          <w:tab w:pos="1384" w:val="left" w:leader="none"/>
        </w:tabs>
        <w:spacing w:before="194"/>
        <w:ind w:left="251" w:firstLine="0"/>
        <w:jc w:val="left"/>
      </w:pPr>
      <w:r>
        <w:rPr/>
        <w:t>Text</w:t>
        <w:tab/>
        <w:t>D</w:t>
      </w:r>
    </w:p>
    <w:p>
      <w:pPr>
        <w:spacing w:after="0"/>
        <w:jc w:val="left"/>
        <w:sectPr>
          <w:type w:val="continuous"/>
          <w:pgSz w:w="11910" w:h="16840"/>
          <w:pgMar w:top="1360" w:bottom="280" w:left="1200" w:right="1000"/>
          <w:cols w:num="2" w:equalWidth="0">
            <w:col w:w="5637" w:space="40"/>
            <w:col w:w="4033"/>
          </w:cols>
        </w:sectPr>
      </w:pPr>
    </w:p>
    <w:p>
      <w:pPr>
        <w:pStyle w:val="BodyText"/>
        <w:spacing w:before="0"/>
        <w:ind w:firstLine="0"/>
        <w:jc w:val="left"/>
        <w:rPr>
          <w:sz w:val="13"/>
        </w:rPr>
      </w:pPr>
    </w:p>
    <w:p>
      <w:pPr>
        <w:pStyle w:val="BodyText"/>
        <w:tabs>
          <w:tab w:pos="5927" w:val="left" w:leader="none"/>
          <w:tab w:pos="7060" w:val="left" w:leader="none"/>
        </w:tabs>
        <w:spacing w:before="90"/>
        <w:ind w:left="258" w:firstLine="0"/>
        <w:jc w:val="left"/>
      </w:pPr>
      <w:r>
        <w:rPr/>
        <w:t>Description of possible failure modes of</w:t>
      </w:r>
      <w:r>
        <w:rPr>
          <w:spacing w:val="-9"/>
        </w:rPr>
        <w:t> </w:t>
      </w:r>
      <w:r>
        <w:rPr/>
        <w:t>control</w:t>
      </w:r>
      <w:r>
        <w:rPr>
          <w:spacing w:val="-2"/>
        </w:rPr>
        <w:t> </w:t>
      </w:r>
      <w:r>
        <w:rPr/>
        <w:t>device</w:t>
        <w:tab/>
        <w:t>Text</w:t>
        <w:tab/>
        <w:t>D</w:t>
      </w:r>
    </w:p>
    <w:p>
      <w:pPr>
        <w:pStyle w:val="BodyText"/>
        <w:spacing w:before="1"/>
        <w:ind w:firstLine="0"/>
        <w:jc w:val="left"/>
        <w:rPr>
          <w:sz w:val="13"/>
        </w:rPr>
      </w:pPr>
    </w:p>
    <w:p>
      <w:pPr>
        <w:spacing w:after="0"/>
        <w:jc w:val="left"/>
        <w:rPr>
          <w:sz w:val="13"/>
        </w:rPr>
        <w:sectPr>
          <w:type w:val="continuous"/>
          <w:pgSz w:w="11910" w:h="16840"/>
          <w:pgMar w:top="1360" w:bottom="280" w:left="1200" w:right="1000"/>
        </w:sectPr>
      </w:pPr>
    </w:p>
    <w:p>
      <w:pPr>
        <w:pStyle w:val="BodyText"/>
        <w:spacing w:before="90"/>
        <w:ind w:left="258" w:right="281" w:firstLine="0"/>
        <w:jc w:val="left"/>
      </w:pPr>
      <w:r>
        <w:rPr/>
        <w:t>Details of performance of the control device under disturbance conditions including changes in AC frequency, variations in AC system voltages and Ac system waveform distortion.</w:t>
      </w:r>
    </w:p>
    <w:p>
      <w:pPr>
        <w:pStyle w:val="BodyText"/>
        <w:spacing w:before="10"/>
        <w:ind w:firstLine="0"/>
        <w:jc w:val="left"/>
        <w:rPr>
          <w:sz w:val="20"/>
        </w:rPr>
      </w:pPr>
    </w:p>
    <w:p>
      <w:pPr>
        <w:pStyle w:val="BodyText"/>
        <w:spacing w:before="0"/>
        <w:ind w:left="258" w:right="20" w:firstLine="0"/>
        <w:jc w:val="left"/>
      </w:pPr>
      <w:r>
        <w:rPr/>
        <w:t>For DC control devices, contribution to the AC system short circuit level</w:t>
      </w:r>
    </w:p>
    <w:p>
      <w:pPr>
        <w:pStyle w:val="BodyText"/>
        <w:tabs>
          <w:tab w:pos="1390" w:val="left" w:leader="none"/>
        </w:tabs>
        <w:spacing w:before="90"/>
        <w:ind w:left="258" w:firstLine="0"/>
        <w:jc w:val="left"/>
      </w:pPr>
      <w:r>
        <w:rPr/>
        <w:br w:type="column"/>
      </w:r>
      <w:r>
        <w:rPr/>
        <w:t>Text</w:t>
        <w:tab/>
        <w:t>D</w:t>
      </w: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171"/>
        <w:ind w:left="258" w:firstLine="0"/>
        <w:jc w:val="left"/>
      </w:pPr>
      <w:r>
        <w:rPr/>
        <w:t>KA, MVA</w:t>
      </w:r>
      <w:r>
        <w:rPr>
          <w:spacing w:val="42"/>
        </w:rPr>
        <w:t> </w:t>
      </w:r>
      <w:r>
        <w:rPr/>
        <w:t>D</w:t>
      </w:r>
    </w:p>
    <w:p>
      <w:pPr>
        <w:spacing w:after="0"/>
        <w:jc w:val="left"/>
        <w:sectPr>
          <w:type w:val="continuous"/>
          <w:pgSz w:w="11910" w:h="16840"/>
          <w:pgMar w:top="1360" w:bottom="280" w:left="1200" w:right="1000"/>
          <w:cols w:num="2" w:equalWidth="0">
            <w:col w:w="5558" w:space="112"/>
            <w:col w:w="4040"/>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0"/>
        <w:ind w:firstLine="0"/>
        <w:jc w:val="left"/>
        <w:rPr>
          <w:sz w:val="17"/>
        </w:rPr>
      </w:pPr>
    </w:p>
    <w:p>
      <w:pPr>
        <w:spacing w:after="0"/>
        <w:jc w:val="left"/>
        <w:rPr>
          <w:sz w:val="17"/>
        </w:rPr>
        <w:sectPr>
          <w:type w:val="continuous"/>
          <w:pgSz w:w="11910" w:h="16840"/>
          <w:pgMar w:top="1360" w:bottom="280" w:left="1200" w:right="1000"/>
        </w:sectPr>
      </w:pPr>
    </w:p>
    <w:p>
      <w:pPr>
        <w:pStyle w:val="Heading4"/>
        <w:spacing w:before="90"/>
        <w:ind w:left="1391" w:firstLine="0"/>
        <w:rPr>
          <w:rFonts w:ascii="Times New Roman"/>
        </w:rPr>
      </w:pPr>
      <w:r>
        <w:rPr>
          <w:rFonts w:ascii="Times New Roman"/>
        </w:rPr>
        <w:t>Short circuit ratio</w:t>
      </w:r>
    </w:p>
    <w:p>
      <w:pPr>
        <w:pStyle w:val="BodyText"/>
        <w:spacing w:before="10"/>
        <w:ind w:firstLine="0"/>
        <w:jc w:val="left"/>
        <w:rPr>
          <w:b/>
          <w:sz w:val="20"/>
        </w:rPr>
      </w:pPr>
    </w:p>
    <w:p>
      <w:pPr>
        <w:spacing w:before="0"/>
        <w:ind w:left="258" w:right="67" w:firstLine="0"/>
        <w:jc w:val="left"/>
        <w:rPr>
          <w:sz w:val="24"/>
        </w:rPr>
      </w:pPr>
      <w:r>
        <w:rPr>
          <w:sz w:val="24"/>
        </w:rPr>
        <w:t>The lowest short circuit ratio at the </w:t>
      </w:r>
      <w:r>
        <w:rPr>
          <w:i/>
          <w:sz w:val="24"/>
        </w:rPr>
        <w:t>connection point </w:t>
      </w:r>
      <w:r>
        <w:rPr>
          <w:sz w:val="24"/>
        </w:rPr>
        <w:t>for which the </w:t>
      </w:r>
      <w:r>
        <w:rPr>
          <w:i/>
          <w:sz w:val="24"/>
        </w:rPr>
        <w:t>generating system</w:t>
      </w:r>
      <w:r>
        <w:rPr>
          <w:sz w:val="24"/>
        </w:rPr>
        <w:t>, including its </w:t>
      </w:r>
      <w:r>
        <w:rPr>
          <w:i/>
          <w:sz w:val="24"/>
        </w:rPr>
        <w:t>control </w:t>
      </w:r>
      <w:r>
        <w:rPr>
          <w:i/>
          <w:sz w:val="24"/>
        </w:rPr>
        <w:t>systems</w:t>
      </w:r>
      <w:r>
        <w:rPr>
          <w:sz w:val="24"/>
        </w:rPr>
        <w:t>: (i) will be commissioned to maintain stable operation; and (ii) has the design capability to maintain stable operation.</w:t>
      </w:r>
    </w:p>
    <w:p>
      <w:pPr>
        <w:pStyle w:val="BodyText"/>
        <w:spacing w:before="10"/>
        <w:ind w:firstLine="0"/>
        <w:jc w:val="left"/>
        <w:rPr>
          <w:sz w:val="20"/>
        </w:rPr>
      </w:pPr>
    </w:p>
    <w:p>
      <w:pPr>
        <w:spacing w:before="0"/>
        <w:ind w:left="258" w:right="0" w:firstLine="0"/>
        <w:jc w:val="both"/>
        <w:rPr>
          <w:sz w:val="24"/>
        </w:rPr>
      </w:pPr>
      <w:r>
        <w:rPr>
          <w:sz w:val="24"/>
        </w:rPr>
        <w:t>For the purposes of the above, "short circuit ratio" is the synchronous </w:t>
      </w:r>
      <w:r>
        <w:rPr>
          <w:i/>
          <w:sz w:val="24"/>
        </w:rPr>
        <w:t>three phase fault level </w:t>
      </w:r>
      <w:r>
        <w:rPr>
          <w:sz w:val="24"/>
        </w:rPr>
        <w:t>(expressed in MVA) at the </w:t>
      </w:r>
      <w:r>
        <w:rPr>
          <w:i/>
          <w:sz w:val="24"/>
        </w:rPr>
        <w:t>connection point </w:t>
      </w:r>
      <w:r>
        <w:rPr>
          <w:sz w:val="24"/>
        </w:rPr>
        <w:t>divided by the rated output of the </w:t>
      </w:r>
      <w:r>
        <w:rPr>
          <w:i/>
          <w:sz w:val="24"/>
        </w:rPr>
        <w:t>generating system </w:t>
      </w:r>
      <w:r>
        <w:rPr>
          <w:sz w:val="24"/>
        </w:rPr>
        <w:t>(expressed in MW or MVA).</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177" w:right="-20" w:firstLine="0"/>
        <w:jc w:val="left"/>
      </w:pPr>
      <w:r>
        <w:rPr/>
        <w:t>Numeric ratio</w:t>
      </w:r>
    </w:p>
    <w:p>
      <w:pPr>
        <w:pStyle w:val="BodyText"/>
        <w:spacing w:before="0"/>
        <w:ind w:firstLine="0"/>
        <w:jc w:val="left"/>
        <w:rPr>
          <w:sz w:val="26"/>
        </w:rPr>
      </w:pPr>
      <w:r>
        <w:rPr/>
        <w:br w:type="column"/>
      </w:r>
      <w:r>
        <w:rPr>
          <w:sz w:val="26"/>
        </w:rPr>
      </w:r>
    </w:p>
    <w:p>
      <w:pPr>
        <w:pStyle w:val="BodyText"/>
        <w:spacing w:before="8"/>
        <w:ind w:firstLine="0"/>
        <w:jc w:val="left"/>
        <w:rPr>
          <w:sz w:val="26"/>
        </w:rPr>
      </w:pPr>
    </w:p>
    <w:p>
      <w:pPr>
        <w:pStyle w:val="BodyText"/>
        <w:spacing w:before="0"/>
        <w:ind w:left="253" w:firstLine="0"/>
        <w:jc w:val="left"/>
      </w:pPr>
      <w:r>
        <w:rPr/>
        <w:t>S, D, R1</w:t>
      </w:r>
    </w:p>
    <w:p>
      <w:pPr>
        <w:spacing w:after="0"/>
        <w:jc w:val="left"/>
        <w:sectPr>
          <w:type w:val="continuous"/>
          <w:pgSz w:w="11910" w:h="16840"/>
          <w:pgMar w:top="1360" w:bottom="280" w:left="1200" w:right="1000"/>
          <w:cols w:num="3" w:equalWidth="0">
            <w:col w:w="5711" w:space="40"/>
            <w:col w:w="1017" w:space="39"/>
            <w:col w:w="2903"/>
          </w:cols>
        </w:sectPr>
      </w:pPr>
    </w:p>
    <w:p>
      <w:pPr>
        <w:pStyle w:val="BodyText"/>
        <w:spacing w:before="0"/>
        <w:ind w:firstLine="0"/>
        <w:jc w:val="left"/>
        <w:rPr>
          <w:sz w:val="20"/>
        </w:rPr>
      </w:pPr>
    </w:p>
    <w:p>
      <w:pPr>
        <w:pStyle w:val="BodyText"/>
        <w:spacing w:before="4"/>
        <w:ind w:firstLine="0"/>
        <w:jc w:val="left"/>
        <w:rPr>
          <w:sz w:val="27"/>
        </w:rPr>
      </w:pPr>
    </w:p>
    <w:p>
      <w:pPr>
        <w:pStyle w:val="Heading4"/>
        <w:tabs>
          <w:tab w:pos="2377" w:val="left" w:leader="none"/>
        </w:tabs>
        <w:spacing w:before="92"/>
        <w:ind w:left="218" w:firstLine="0"/>
      </w:pPr>
      <w:bookmarkStart w:name="Schedule 5.5.5 Load Characteristics at C" w:id="1100"/>
      <w:bookmarkEnd w:id="1100"/>
      <w:r>
        <w:rPr>
          <w:b w:val="0"/>
        </w:rPr>
      </w:r>
      <w:bookmarkStart w:name="_bookmark442" w:id="1101"/>
      <w:bookmarkEnd w:id="1101"/>
      <w:r>
        <w:rPr>
          <w:b w:val="0"/>
        </w:rPr>
      </w:r>
      <w:r>
        <w:rPr/>
        <w:t>Schedule</w:t>
      </w:r>
      <w:r>
        <w:rPr>
          <w:spacing w:val="-2"/>
        </w:rPr>
        <w:t> </w:t>
      </w:r>
      <w:r>
        <w:rPr/>
        <w:t>5.5.5</w:t>
        <w:tab/>
        <w:t>Load Characteristics at Connection</w:t>
      </w:r>
      <w:r>
        <w:rPr>
          <w:spacing w:val="-2"/>
        </w:rPr>
        <w:t> </w:t>
      </w:r>
      <w:r>
        <w:rPr/>
        <w:t>Point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schedule has no effect in this jurisdiction (see regulation 5A of the </w:t>
      </w:r>
      <w:r>
        <w:rPr>
          <w:i/>
          <w:sz w:val="20"/>
        </w:rPr>
        <w:t>National Electricity </w:t>
      </w:r>
      <w:r>
        <w:rPr>
          <w:i/>
          <w:sz w:val="20"/>
        </w:rPr>
        <w:t>(Northern Territory) (National Uniform Legislation) (Modification) Regulations 2016</w:t>
      </w:r>
      <w:r>
        <w:rPr>
          <w:sz w:val="20"/>
        </w:rPr>
        <w:t>).</w:t>
      </w:r>
    </w:p>
    <w:p>
      <w:pPr>
        <w:pStyle w:val="BodyText"/>
        <w:spacing w:before="5"/>
        <w:ind w:firstLine="0"/>
        <w:jc w:val="left"/>
        <w:rPr>
          <w:sz w:val="19"/>
        </w:rPr>
      </w:pPr>
      <w:r>
        <w:rPr/>
        <w:pict>
          <v:group style="position:absolute;margin-left:70.900002pt;margin-top:13.16194pt;width:453.55pt;height:19.8pt;mso-position-horizontal-relative:page;mso-position-vertical-relative:paragraph;z-index:-251637760;mso-wrap-distance-left:0;mso-wrap-distance-right:0" coordorigin="1418,263" coordsize="9071,396">
            <v:rect style="position:absolute;left:1418;top:263;width:4948;height:396" filled="true" fillcolor="#d9d9d9" stroked="false">
              <v:fill type="solid"/>
            </v:rect>
            <v:rect style="position:absolute;left:6366;top:263;width:1649;height:396" filled="true" fillcolor="#d9d9d9" stroked="false">
              <v:fill type="solid"/>
            </v:rect>
            <v:rect style="position:absolute;left:8015;top:263;width:2474;height:396" filled="true" fillcolor="#d9d9d9" stroked="false">
              <v:fill type="solid"/>
            </v:rect>
            <v:shape style="position:absolute;left:1458;top:391;width:1927;height:269" type="#_x0000_t202" filled="false" stroked="false">
              <v:textbox inset="0,0,0,0">
                <w:txbxContent>
                  <w:p>
                    <w:pPr>
                      <w:spacing w:line="268" w:lineRule="exact" w:before="0"/>
                      <w:ind w:left="0" w:right="0" w:firstLine="0"/>
                      <w:jc w:val="left"/>
                      <w:rPr>
                        <w:rFonts w:ascii="Arial"/>
                        <w:b/>
                        <w:sz w:val="24"/>
                      </w:rPr>
                    </w:pPr>
                    <w:r>
                      <w:rPr>
                        <w:rFonts w:ascii="Arial"/>
                        <w:b/>
                        <w:sz w:val="24"/>
                      </w:rPr>
                      <w:t>Data Description</w:t>
                    </w:r>
                  </w:p>
                </w:txbxContent>
              </v:textbox>
              <w10:wrap type="none"/>
            </v:shape>
            <v:shape style="position:absolute;left:6406;top:391;width:620;height:269" type="#_x0000_t202" filled="false" stroked="false">
              <v:textbox inset="0,0,0,0">
                <w:txbxContent>
                  <w:p>
                    <w:pPr>
                      <w:spacing w:line="268" w:lineRule="exact" w:before="0"/>
                      <w:ind w:left="0" w:right="0" w:firstLine="0"/>
                      <w:jc w:val="left"/>
                      <w:rPr>
                        <w:rFonts w:ascii="Arial"/>
                        <w:b/>
                        <w:sz w:val="24"/>
                      </w:rPr>
                    </w:pPr>
                    <w:r>
                      <w:rPr>
                        <w:rFonts w:ascii="Arial"/>
                        <w:b/>
                        <w:sz w:val="24"/>
                      </w:rPr>
                      <w:t>Units</w:t>
                    </w:r>
                  </w:p>
                </w:txbxContent>
              </v:textbox>
              <w10:wrap type="none"/>
            </v:shape>
            <v:shape style="position:absolute;left:8055;top:391;width:1647;height:269" type="#_x0000_t202" filled="false" stroked="false">
              <v:textbox inset="0,0,0,0">
                <w:txbxContent>
                  <w:p>
                    <w:pPr>
                      <w:spacing w:line="268" w:lineRule="exact" w:before="0"/>
                      <w:ind w:left="0" w:right="0" w:firstLine="0"/>
                      <w:jc w:val="left"/>
                      <w:rPr>
                        <w:rFonts w:ascii="Arial"/>
                        <w:b/>
                        <w:sz w:val="24"/>
                      </w:rPr>
                    </w:pPr>
                    <w:r>
                      <w:rPr>
                        <w:rFonts w:ascii="Arial"/>
                        <w:b/>
                        <w:sz w:val="24"/>
                      </w:rPr>
                      <w:t>Data Category</w:t>
                    </w:r>
                  </w:p>
                </w:txbxContent>
              </v:textbox>
              <w10:wrap type="none"/>
            </v:shape>
            <w10:wrap type="topAndBottom"/>
          </v:group>
        </w:pict>
      </w:r>
    </w:p>
    <w:p>
      <w:pPr>
        <w:pStyle w:val="Heading4"/>
        <w:spacing w:before="91"/>
        <w:ind w:left="258" w:firstLine="0"/>
        <w:rPr>
          <w:rFonts w:ascii="Times New Roman"/>
        </w:rPr>
      </w:pPr>
      <w:r>
        <w:rPr>
          <w:rFonts w:ascii="Times New Roman"/>
        </w:rPr>
        <w:t>For all Types of Load</w:t>
      </w:r>
    </w:p>
    <w:p>
      <w:pPr>
        <w:pStyle w:val="BodyText"/>
        <w:spacing w:before="0"/>
        <w:ind w:firstLine="0"/>
        <w:jc w:val="left"/>
        <w:rPr>
          <w:b/>
          <w:sz w:val="26"/>
        </w:rPr>
      </w:pPr>
    </w:p>
    <w:p>
      <w:pPr>
        <w:pStyle w:val="BodyText"/>
        <w:spacing w:before="0"/>
        <w:ind w:firstLine="0"/>
        <w:jc w:val="left"/>
        <w:rPr>
          <w:b/>
          <w:sz w:val="26"/>
        </w:rPr>
      </w:pPr>
    </w:p>
    <w:p>
      <w:pPr>
        <w:tabs>
          <w:tab w:pos="5205" w:val="left" w:leader="none"/>
          <w:tab w:pos="6854" w:val="left" w:leader="none"/>
        </w:tabs>
        <w:spacing w:before="158"/>
        <w:ind w:left="258" w:right="0" w:firstLine="0"/>
        <w:jc w:val="left"/>
        <w:rPr>
          <w:sz w:val="24"/>
        </w:rPr>
      </w:pPr>
      <w:r>
        <w:rPr>
          <w:sz w:val="24"/>
        </w:rPr>
        <w:t>Type</w:t>
      </w:r>
      <w:r>
        <w:rPr>
          <w:spacing w:val="-1"/>
          <w:sz w:val="24"/>
        </w:rPr>
        <w:t> </w:t>
      </w:r>
      <w:r>
        <w:rPr>
          <w:sz w:val="24"/>
        </w:rPr>
        <w:t>of</w:t>
      </w:r>
      <w:r>
        <w:rPr>
          <w:spacing w:val="-1"/>
          <w:sz w:val="24"/>
        </w:rPr>
        <w:t> </w:t>
      </w:r>
      <w:r>
        <w:rPr>
          <w:i/>
          <w:sz w:val="24"/>
        </w:rPr>
        <w:t>Load</w:t>
        <w:tab/>
      </w:r>
      <w:r>
        <w:rPr>
          <w:sz w:val="24"/>
        </w:rPr>
        <w:t>Text</w:t>
        <w:tab/>
        <w:t>S</w:t>
      </w:r>
    </w:p>
    <w:p>
      <w:pPr>
        <w:pStyle w:val="BodyText"/>
        <w:spacing w:before="10"/>
        <w:ind w:firstLine="0"/>
        <w:jc w:val="left"/>
        <w:rPr>
          <w:sz w:val="20"/>
        </w:rPr>
      </w:pPr>
    </w:p>
    <w:p>
      <w:pPr>
        <w:pStyle w:val="BodyText"/>
        <w:spacing w:before="0"/>
        <w:ind w:left="1083" w:firstLine="0"/>
        <w:jc w:val="left"/>
      </w:pPr>
      <w:r>
        <w:rPr/>
        <w:t>eg controlled rectifiers or large motor drives</w:t>
      </w:r>
    </w:p>
    <w:p>
      <w:pPr>
        <w:pStyle w:val="BodyText"/>
        <w:spacing w:before="0"/>
        <w:ind w:firstLine="0"/>
        <w:jc w:val="left"/>
        <w:rPr>
          <w:sz w:val="26"/>
        </w:rPr>
      </w:pPr>
    </w:p>
    <w:p>
      <w:pPr>
        <w:pStyle w:val="BodyText"/>
        <w:spacing w:before="0"/>
        <w:ind w:firstLine="0"/>
        <w:jc w:val="left"/>
        <w:rPr>
          <w:sz w:val="26"/>
        </w:rPr>
      </w:pPr>
    </w:p>
    <w:p>
      <w:pPr>
        <w:pStyle w:val="Heading4"/>
        <w:spacing w:before="158"/>
        <w:ind w:left="1083" w:firstLine="0"/>
        <w:rPr>
          <w:rFonts w:ascii="Times New Roman"/>
        </w:rPr>
      </w:pPr>
      <w:r>
        <w:rPr>
          <w:rFonts w:ascii="Times New Roman"/>
        </w:rPr>
        <w:t>For Fluctuating Loads</w:t>
      </w:r>
    </w:p>
    <w:p>
      <w:pPr>
        <w:spacing w:after="0"/>
        <w:rPr>
          <w:rFonts w:ascii="Times New Roman"/>
        </w:rPr>
        <w:sectPr>
          <w:type w:val="continuous"/>
          <w:pgSz w:w="11910" w:h="16840"/>
          <w:pgMar w:top="1360" w:bottom="280" w:left="1200" w:right="1000"/>
        </w:sectPr>
      </w:pPr>
    </w:p>
    <w:p>
      <w:pPr>
        <w:pStyle w:val="BodyText"/>
        <w:spacing w:before="2"/>
        <w:ind w:firstLine="0"/>
        <w:jc w:val="left"/>
        <w:rPr>
          <w:b/>
          <w:sz w:val="7"/>
        </w:rPr>
      </w:pPr>
    </w:p>
    <w:p>
      <w:pPr>
        <w:pStyle w:val="BodyText"/>
        <w:spacing w:before="0"/>
        <w:ind w:left="218" w:firstLine="0"/>
        <w:jc w:val="left"/>
        <w:rPr>
          <w:sz w:val="20"/>
        </w:rPr>
      </w:pPr>
      <w:r>
        <w:rPr>
          <w:sz w:val="20"/>
        </w:rPr>
        <w:pict>
          <v:shape style="width:453.55pt;height:19.8pt;mso-position-horizontal-relative:char;mso-position-vertical-relative:line" type="#_x0000_t202" filled="true" fillcolor="#d9d9d9" stroked="false">
            <w10:anchorlock/>
            <v:textbox inset="0,0,0,0">
              <w:txbxContent>
                <w:p>
                  <w:pPr>
                    <w:tabs>
                      <w:tab w:pos="4987" w:val="left" w:leader="none"/>
                      <w:tab w:pos="6636" w:val="left" w:leader="none"/>
                    </w:tabs>
                    <w:spacing w:before="120"/>
                    <w:ind w:left="40" w:right="0" w:firstLine="0"/>
                    <w:jc w:val="left"/>
                    <w:rPr>
                      <w:rFonts w:ascii="Arial"/>
                      <w:b/>
                      <w:sz w:val="24"/>
                    </w:rPr>
                  </w:pPr>
                  <w:r>
                    <w:rPr>
                      <w:rFonts w:ascii="Arial"/>
                      <w:b/>
                      <w:sz w:val="24"/>
                    </w:rPr>
                    <w:t>Data</w:t>
                  </w:r>
                  <w:r>
                    <w:rPr>
                      <w:rFonts w:ascii="Arial"/>
                      <w:b/>
                      <w:spacing w:val="-4"/>
                      <w:sz w:val="24"/>
                    </w:rPr>
                    <w:t> </w:t>
                  </w:r>
                  <w:r>
                    <w:rPr>
                      <w:rFonts w:ascii="Arial"/>
                      <w:b/>
                      <w:sz w:val="24"/>
                    </w:rPr>
                    <w:t>Description</w:t>
                    <w:tab/>
                    <w:t>Units</w:t>
                    <w:tab/>
                    <w:t>Data</w:t>
                  </w:r>
                  <w:r>
                    <w:rPr>
                      <w:rFonts w:ascii="Arial"/>
                      <w:b/>
                      <w:spacing w:val="-1"/>
                      <w:sz w:val="24"/>
                    </w:rPr>
                    <w:t> </w:t>
                  </w:r>
                  <w:r>
                    <w:rPr>
                      <w:rFonts w:ascii="Arial"/>
                      <w:b/>
                      <w:sz w:val="24"/>
                    </w:rPr>
                    <w:t>Category</w:t>
                  </w:r>
                </w:p>
              </w:txbxContent>
            </v:textbox>
            <v:fill type="solid"/>
          </v:shape>
        </w:pict>
      </w:r>
      <w:r>
        <w:rPr>
          <w:sz w:val="20"/>
        </w:rPr>
      </w:r>
    </w:p>
    <w:p>
      <w:pPr>
        <w:tabs>
          <w:tab w:pos="4947" w:val="left" w:leader="none"/>
          <w:tab w:pos="6596" w:val="left" w:leader="none"/>
        </w:tabs>
        <w:spacing w:before="97"/>
        <w:ind w:left="0" w:right="2458" w:firstLine="0"/>
        <w:jc w:val="center"/>
        <w:rPr>
          <w:sz w:val="24"/>
        </w:rPr>
      </w:pPr>
      <w:r>
        <w:rPr>
          <w:sz w:val="24"/>
        </w:rPr>
        <w:t>Cyclic variation of </w:t>
      </w:r>
      <w:r>
        <w:rPr>
          <w:i/>
          <w:sz w:val="24"/>
        </w:rPr>
        <w:t>active power</w:t>
      </w:r>
      <w:r>
        <w:rPr>
          <w:i/>
          <w:spacing w:val="-3"/>
          <w:sz w:val="24"/>
        </w:rPr>
        <w:t> </w:t>
      </w:r>
      <w:r>
        <w:rPr>
          <w:sz w:val="24"/>
        </w:rPr>
        <w:t>over period</w:t>
        <w:tab/>
        <w:t>Graph</w:t>
        <w:tab/>
        <w:t>S</w:t>
      </w:r>
    </w:p>
    <w:p>
      <w:pPr>
        <w:pStyle w:val="BodyText"/>
        <w:ind w:left="5205" w:firstLine="0"/>
        <w:jc w:val="left"/>
      </w:pPr>
      <w:r>
        <w:rPr/>
        <w:t>MW/time</w:t>
      </w:r>
    </w:p>
    <w:p>
      <w:pPr>
        <w:pStyle w:val="BodyText"/>
        <w:spacing w:before="9"/>
        <w:ind w:firstLine="0"/>
        <w:jc w:val="left"/>
        <w:rPr>
          <w:sz w:val="20"/>
        </w:rPr>
      </w:pPr>
    </w:p>
    <w:p>
      <w:pPr>
        <w:tabs>
          <w:tab w:pos="4947" w:val="left" w:leader="none"/>
          <w:tab w:pos="6596" w:val="left" w:leader="none"/>
        </w:tabs>
        <w:spacing w:before="1"/>
        <w:ind w:left="0" w:right="2458" w:firstLine="0"/>
        <w:jc w:val="center"/>
        <w:rPr>
          <w:sz w:val="24"/>
        </w:rPr>
      </w:pPr>
      <w:r>
        <w:rPr>
          <w:sz w:val="24"/>
        </w:rPr>
        <w:t>Cyclic variation of </w:t>
      </w:r>
      <w:r>
        <w:rPr>
          <w:i/>
          <w:sz w:val="24"/>
        </w:rPr>
        <w:t>reactive power</w:t>
      </w:r>
      <w:r>
        <w:rPr>
          <w:i/>
          <w:spacing w:val="-4"/>
          <w:sz w:val="24"/>
        </w:rPr>
        <w:t> </w:t>
      </w:r>
      <w:r>
        <w:rPr>
          <w:sz w:val="24"/>
        </w:rPr>
        <w:t>over</w:t>
      </w:r>
      <w:r>
        <w:rPr>
          <w:spacing w:val="-1"/>
          <w:sz w:val="24"/>
        </w:rPr>
        <w:t> </w:t>
      </w:r>
      <w:r>
        <w:rPr>
          <w:sz w:val="24"/>
        </w:rPr>
        <w:t>period</w:t>
        <w:tab/>
        <w:t>Graph</w:t>
        <w:tab/>
        <w:t>S</w:t>
      </w:r>
    </w:p>
    <w:p>
      <w:pPr>
        <w:pStyle w:val="BodyText"/>
        <w:ind w:left="5205" w:firstLine="0"/>
        <w:jc w:val="left"/>
      </w:pPr>
      <w:r>
        <w:rPr/>
        <w:t>MVAr/time</w:t>
      </w:r>
    </w:p>
    <w:p>
      <w:pPr>
        <w:pStyle w:val="BodyText"/>
        <w:spacing w:before="0"/>
        <w:ind w:firstLine="0"/>
        <w:jc w:val="left"/>
        <w:rPr>
          <w:sz w:val="13"/>
        </w:rPr>
      </w:pPr>
    </w:p>
    <w:p>
      <w:pPr>
        <w:tabs>
          <w:tab w:pos="5205" w:val="left" w:leader="none"/>
          <w:tab w:pos="6854" w:val="left" w:leader="none"/>
        </w:tabs>
        <w:spacing w:line="448" w:lineRule="auto" w:before="90"/>
        <w:ind w:left="258" w:right="2716" w:firstLine="0"/>
        <w:jc w:val="left"/>
        <w:rPr>
          <w:sz w:val="24"/>
        </w:rPr>
      </w:pPr>
      <w:r>
        <w:rPr>
          <w:sz w:val="24"/>
        </w:rPr>
        <w:t>Maximum rate of change of</w:t>
      </w:r>
      <w:r>
        <w:rPr>
          <w:spacing w:val="-6"/>
          <w:sz w:val="24"/>
        </w:rPr>
        <w:t> </w:t>
      </w:r>
      <w:r>
        <w:rPr>
          <w:i/>
          <w:sz w:val="24"/>
        </w:rPr>
        <w:t>active</w:t>
      </w:r>
      <w:r>
        <w:rPr>
          <w:i/>
          <w:spacing w:val="-1"/>
          <w:sz w:val="24"/>
        </w:rPr>
        <w:t> </w:t>
      </w:r>
      <w:r>
        <w:rPr>
          <w:i/>
          <w:sz w:val="24"/>
        </w:rPr>
        <w:t>power</w:t>
        <w:tab/>
      </w:r>
      <w:r>
        <w:rPr>
          <w:sz w:val="24"/>
        </w:rPr>
        <w:t>MW/s</w:t>
        <w:tab/>
      </w:r>
      <w:r>
        <w:rPr>
          <w:spacing w:val="-17"/>
          <w:sz w:val="24"/>
        </w:rPr>
        <w:t>S </w:t>
      </w:r>
      <w:r>
        <w:rPr>
          <w:sz w:val="24"/>
        </w:rPr>
        <w:t>Maximum rate of change of</w:t>
      </w:r>
      <w:r>
        <w:rPr>
          <w:spacing w:val="-8"/>
          <w:sz w:val="24"/>
        </w:rPr>
        <w:t> </w:t>
      </w:r>
      <w:r>
        <w:rPr>
          <w:i/>
          <w:sz w:val="24"/>
        </w:rPr>
        <w:t>reactive</w:t>
      </w:r>
      <w:r>
        <w:rPr>
          <w:i/>
          <w:spacing w:val="-1"/>
          <w:sz w:val="24"/>
        </w:rPr>
        <w:t> </w:t>
      </w:r>
      <w:r>
        <w:rPr>
          <w:i/>
          <w:sz w:val="24"/>
        </w:rPr>
        <w:t>power</w:t>
        <w:tab/>
      </w:r>
      <w:r>
        <w:rPr>
          <w:sz w:val="24"/>
        </w:rPr>
        <w:t>MVAr/s</w:t>
        <w:tab/>
      </w:r>
      <w:r>
        <w:rPr>
          <w:spacing w:val="-17"/>
          <w:sz w:val="24"/>
        </w:rPr>
        <w:t>S</w:t>
      </w:r>
    </w:p>
    <w:p>
      <w:pPr>
        <w:pStyle w:val="BodyText"/>
        <w:tabs>
          <w:tab w:pos="5205" w:val="left" w:leader="none"/>
          <w:tab w:pos="6854" w:val="left" w:leader="none"/>
        </w:tabs>
        <w:spacing w:before="0"/>
        <w:ind w:left="258" w:right="2716" w:firstLine="0"/>
        <w:jc w:val="left"/>
      </w:pPr>
      <w:r>
        <w:rPr/>
        <w:t>Shortest Repetitive time</w:t>
      </w:r>
      <w:r>
        <w:rPr>
          <w:spacing w:val="-6"/>
        </w:rPr>
        <w:t> </w:t>
      </w:r>
      <w:r>
        <w:rPr/>
        <w:t>interval</w:t>
      </w:r>
      <w:r>
        <w:rPr>
          <w:spacing w:val="-2"/>
        </w:rPr>
        <w:t> </w:t>
      </w:r>
      <w:r>
        <w:rPr/>
        <w:t>between</w:t>
        <w:tab/>
        <w:t>s</w:t>
        <w:tab/>
      </w:r>
      <w:r>
        <w:rPr>
          <w:spacing w:val="-17"/>
        </w:rPr>
        <w:t>S </w:t>
      </w:r>
      <w:r>
        <w:rPr/>
        <w:t>fluctuations in active and </w:t>
      </w:r>
      <w:r>
        <w:rPr>
          <w:i/>
        </w:rPr>
        <w:t>reactive power</w:t>
      </w:r>
      <w:r>
        <w:rPr>
          <w:i/>
          <w:spacing w:val="-2"/>
        </w:rPr>
        <w:t> </w:t>
      </w:r>
      <w:r>
        <w:rPr/>
        <w:t>reviewed</w:t>
      </w:r>
    </w:p>
    <w:p>
      <w:pPr>
        <w:pStyle w:val="BodyText"/>
        <w:spacing w:before="0"/>
        <w:ind w:left="258" w:firstLine="0"/>
        <w:jc w:val="left"/>
      </w:pPr>
      <w:r>
        <w:rPr/>
        <w:t>annually</w:t>
      </w: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pStyle w:val="Heading4"/>
        <w:spacing w:before="90"/>
        <w:ind w:left="1083" w:firstLine="0"/>
        <w:rPr>
          <w:rFonts w:ascii="Times New Roman"/>
          <w:b w:val="0"/>
        </w:rPr>
      </w:pPr>
      <w:r>
        <w:rPr>
          <w:rFonts w:ascii="Times New Roman"/>
        </w:rPr>
        <w:t>Largest Step Change</w:t>
      </w:r>
      <w:r>
        <w:rPr>
          <w:rFonts w:ascii="Times New Roman"/>
          <w:b w:val="0"/>
        </w:rPr>
        <w:t>:</w:t>
      </w:r>
    </w:p>
    <w:p>
      <w:pPr>
        <w:pStyle w:val="BodyText"/>
        <w:spacing w:before="9"/>
        <w:ind w:firstLine="0"/>
        <w:jc w:val="left"/>
        <w:rPr>
          <w:sz w:val="20"/>
        </w:rPr>
      </w:pPr>
    </w:p>
    <w:p>
      <w:pPr>
        <w:tabs>
          <w:tab w:pos="5205" w:val="left" w:leader="none"/>
          <w:tab w:pos="6854" w:val="left" w:leader="none"/>
        </w:tabs>
        <w:spacing w:before="1"/>
        <w:ind w:left="258" w:right="0" w:firstLine="0"/>
        <w:jc w:val="left"/>
        <w:rPr>
          <w:sz w:val="24"/>
        </w:rPr>
      </w:pPr>
      <w:r>
        <w:rPr>
          <w:sz w:val="24"/>
        </w:rPr>
        <w:t>In</w:t>
      </w:r>
      <w:r>
        <w:rPr>
          <w:spacing w:val="-1"/>
          <w:sz w:val="24"/>
        </w:rPr>
        <w:t> </w:t>
      </w:r>
      <w:r>
        <w:rPr>
          <w:i/>
          <w:sz w:val="24"/>
        </w:rPr>
        <w:t>active power</w:t>
        <w:tab/>
      </w:r>
      <w:r>
        <w:rPr>
          <w:sz w:val="24"/>
        </w:rPr>
        <w:t>MW</w:t>
        <w:tab/>
        <w:t>S</w:t>
      </w:r>
    </w:p>
    <w:p>
      <w:pPr>
        <w:pStyle w:val="BodyText"/>
        <w:spacing w:before="9"/>
        <w:ind w:firstLine="0"/>
        <w:jc w:val="left"/>
        <w:rPr>
          <w:sz w:val="20"/>
        </w:rPr>
      </w:pPr>
    </w:p>
    <w:p>
      <w:pPr>
        <w:tabs>
          <w:tab w:pos="5205" w:val="left" w:leader="none"/>
          <w:tab w:pos="6854" w:val="left" w:leader="none"/>
        </w:tabs>
        <w:spacing w:before="1"/>
        <w:ind w:left="258" w:right="0" w:firstLine="0"/>
        <w:jc w:val="left"/>
        <w:rPr>
          <w:sz w:val="24"/>
        </w:rPr>
      </w:pPr>
      <w:r>
        <w:rPr>
          <w:sz w:val="24"/>
        </w:rPr>
        <w:t>In</w:t>
      </w:r>
      <w:r>
        <w:rPr>
          <w:spacing w:val="-2"/>
          <w:sz w:val="24"/>
        </w:rPr>
        <w:t> </w:t>
      </w:r>
      <w:r>
        <w:rPr>
          <w:i/>
          <w:sz w:val="24"/>
        </w:rPr>
        <w:t>reactive</w:t>
      </w:r>
      <w:r>
        <w:rPr>
          <w:i/>
          <w:spacing w:val="-2"/>
          <w:sz w:val="24"/>
        </w:rPr>
        <w:t> </w:t>
      </w:r>
      <w:r>
        <w:rPr>
          <w:i/>
          <w:sz w:val="24"/>
        </w:rPr>
        <w:t>power</w:t>
        <w:tab/>
      </w:r>
      <w:r>
        <w:rPr>
          <w:sz w:val="24"/>
        </w:rPr>
        <w:t>MVAr</w:t>
        <w:tab/>
        <w:t>S</w:t>
      </w:r>
    </w:p>
    <w:p>
      <w:pPr>
        <w:pStyle w:val="BodyText"/>
        <w:spacing w:before="0"/>
        <w:ind w:firstLine="0"/>
        <w:jc w:val="left"/>
        <w:rPr>
          <w:sz w:val="26"/>
        </w:rPr>
      </w:pPr>
    </w:p>
    <w:p>
      <w:pPr>
        <w:pStyle w:val="BodyText"/>
        <w:spacing w:before="3"/>
        <w:ind w:firstLine="0"/>
        <w:jc w:val="left"/>
        <w:rPr>
          <w:sz w:val="29"/>
        </w:rPr>
      </w:pPr>
    </w:p>
    <w:p>
      <w:pPr>
        <w:pStyle w:val="Heading2"/>
        <w:tabs>
          <w:tab w:pos="2485" w:val="left" w:leader="none"/>
        </w:tabs>
        <w:ind w:left="2486" w:right="654" w:hanging="2268"/>
      </w:pPr>
      <w:bookmarkStart w:name="Schedule 5.6 Terms and Conditions of Con" w:id="1102"/>
      <w:bookmarkEnd w:id="1102"/>
      <w:r>
        <w:rPr>
          <w:b w:val="0"/>
        </w:rPr>
      </w:r>
      <w:bookmarkStart w:name="_bookmark443" w:id="1103"/>
      <w:bookmarkEnd w:id="1103"/>
      <w:r>
        <w:rPr>
          <w:b w:val="0"/>
        </w:rPr>
      </w:r>
      <w:r>
        <w:rPr/>
        <w:t>Schedule</w:t>
      </w:r>
      <w:r>
        <w:rPr>
          <w:spacing w:val="-1"/>
        </w:rPr>
        <w:t> </w:t>
      </w:r>
      <w:r>
        <w:rPr/>
        <w:t>5.6</w:t>
        <w:tab/>
        <w:t>Terms and Conditions of Connection agreements and network operating</w:t>
      </w:r>
      <w:r>
        <w:rPr>
          <w:spacing w:val="-4"/>
        </w:rPr>
        <w:t> </w:t>
      </w:r>
      <w:r>
        <w:rPr/>
        <w:t>agreements</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Paragraphs (c2) and (c3) of this schedule have no effect in this jurisdiction (see regulation 5A of the </w:t>
      </w:r>
      <w:r>
        <w:rPr>
          <w:i/>
          <w:sz w:val="20"/>
        </w:rPr>
        <w:t>National Electricity (Northern Territory) (National Uniform Legislation) (Modification) </w:t>
      </w:r>
      <w:r>
        <w:rPr>
          <w:i/>
          <w:sz w:val="20"/>
        </w:rPr>
        <w:t>Regulations 2016</w:t>
      </w:r>
      <w:r>
        <w:rPr>
          <w:sz w:val="20"/>
        </w:rPr>
        <w:t>). The application of paragraphs (c), (c1) and (c3) of this schedule will be revisited as part of the phased implementation of the </w:t>
      </w:r>
      <w:r>
        <w:rPr>
          <w:i/>
          <w:sz w:val="20"/>
        </w:rPr>
        <w:t>Rules </w:t>
      </w:r>
      <w:r>
        <w:rPr>
          <w:sz w:val="20"/>
        </w:rPr>
        <w:t>in this jurisdiction.</w:t>
      </w:r>
    </w:p>
    <w:p>
      <w:pPr>
        <w:pStyle w:val="BodyText"/>
        <w:spacing w:before="9"/>
        <w:ind w:firstLine="0"/>
        <w:jc w:val="left"/>
        <w:rPr>
          <w:sz w:val="18"/>
        </w:rPr>
      </w:pPr>
      <w:r>
        <w:rPr/>
        <w:pict>
          <v:shape style="position:absolute;margin-left:69.450005pt;margin-top:12.021837pt;width:456.45pt;height:16.1pt;mso-position-horizontal-relative:page;mso-position-vertical-relative:paragraph;z-index:-251635712;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A Connection agreements" w:id="1104"/>
                  <w:bookmarkEnd w:id="1104"/>
                  <w:r>
                    <w:rPr/>
                  </w:r>
                  <w:bookmarkStart w:name="_bookmark444" w:id="1105"/>
                  <w:bookmarkEnd w:id="1105"/>
                  <w:r>
                    <w:rPr/>
                  </w:r>
                  <w:r>
                    <w:rPr>
                      <w:rFonts w:ascii="Arial"/>
                      <w:b/>
                      <w:sz w:val="28"/>
                    </w:rPr>
                    <w:t>Part A</w:t>
                    <w:tab/>
                    <w:t>Connection</w:t>
                  </w:r>
                  <w:r>
                    <w:rPr>
                      <w:rFonts w:ascii="Arial"/>
                      <w:b/>
                      <w:spacing w:val="-2"/>
                      <w:sz w:val="28"/>
                    </w:rPr>
                    <w:t> </w:t>
                  </w:r>
                  <w:r>
                    <w:rPr>
                      <w:rFonts w:ascii="Arial"/>
                      <w:b/>
                      <w:sz w:val="28"/>
                    </w:rPr>
                    <w:t>agreements</w:t>
                  </w:r>
                </w:p>
              </w:txbxContent>
            </v:textbox>
            <v:fill type="solid"/>
            <w10:wrap type="topAndBottom"/>
          </v:shape>
        </w:pict>
      </w:r>
    </w:p>
    <w:p>
      <w:pPr>
        <w:spacing w:before="105"/>
        <w:ind w:left="1352" w:right="413" w:firstLine="0"/>
        <w:jc w:val="both"/>
        <w:rPr>
          <w:sz w:val="24"/>
        </w:rPr>
      </w:pPr>
      <w:r>
        <w:rPr>
          <w:sz w:val="24"/>
        </w:rPr>
        <w:t>The </w:t>
      </w:r>
      <w:r>
        <w:rPr>
          <w:i/>
          <w:sz w:val="24"/>
        </w:rPr>
        <w:t>connection agreements </w:t>
      </w:r>
      <w:r>
        <w:rPr>
          <w:sz w:val="24"/>
        </w:rPr>
        <w:t>must contain the specific conditions that have been agreed to for </w:t>
      </w:r>
      <w:r>
        <w:rPr>
          <w:i/>
          <w:sz w:val="24"/>
        </w:rPr>
        <w:t>connection </w:t>
      </w:r>
      <w:r>
        <w:rPr>
          <w:sz w:val="24"/>
        </w:rPr>
        <w:t>and access to the </w:t>
      </w:r>
      <w:r>
        <w:rPr>
          <w:i/>
          <w:sz w:val="24"/>
        </w:rPr>
        <w:t>transmission </w:t>
      </w:r>
      <w:r>
        <w:rPr>
          <w:sz w:val="24"/>
        </w:rPr>
        <w:t>or </w:t>
      </w:r>
      <w:r>
        <w:rPr>
          <w:i/>
          <w:sz w:val="24"/>
        </w:rPr>
        <w:t>distribution network</w:t>
      </w:r>
      <w:r>
        <w:rPr>
          <w:sz w:val="24"/>
        </w:rPr>
        <w:t>, including but not limited to:</w:t>
      </w:r>
    </w:p>
    <w:p>
      <w:pPr>
        <w:pStyle w:val="ListParagraph"/>
        <w:numPr>
          <w:ilvl w:val="0"/>
          <w:numId w:val="337"/>
        </w:numPr>
        <w:tabs>
          <w:tab w:pos="1919" w:val="left" w:leader="none"/>
        </w:tabs>
        <w:spacing w:line="240" w:lineRule="auto" w:before="120" w:after="0"/>
        <w:ind w:left="1919" w:right="415" w:hanging="567"/>
        <w:jc w:val="both"/>
        <w:rPr>
          <w:sz w:val="24"/>
        </w:rPr>
      </w:pPr>
      <w:r>
        <w:rPr>
          <w:sz w:val="24"/>
        </w:rPr>
        <w:t>details of the </w:t>
      </w:r>
      <w:r>
        <w:rPr>
          <w:i/>
          <w:sz w:val="24"/>
        </w:rPr>
        <w:t>connection point </w:t>
      </w:r>
      <w:r>
        <w:rPr>
          <w:sz w:val="24"/>
        </w:rPr>
        <w:t>including the </w:t>
      </w:r>
      <w:r>
        <w:rPr>
          <w:i/>
          <w:sz w:val="24"/>
        </w:rPr>
        <w:t>distribution network </w:t>
      </w:r>
      <w:r>
        <w:rPr>
          <w:sz w:val="24"/>
        </w:rPr>
        <w:t>coupling points where</w:t>
      </w:r>
      <w:r>
        <w:rPr>
          <w:spacing w:val="-2"/>
          <w:sz w:val="24"/>
        </w:rPr>
        <w:t> </w:t>
      </w:r>
      <w:r>
        <w:rPr>
          <w:sz w:val="24"/>
        </w:rPr>
        <w:t>appropriate;</w:t>
      </w:r>
    </w:p>
    <w:p>
      <w:pPr>
        <w:pStyle w:val="ListParagraph"/>
        <w:numPr>
          <w:ilvl w:val="0"/>
          <w:numId w:val="337"/>
        </w:numPr>
        <w:tabs>
          <w:tab w:pos="1919" w:val="left" w:leader="none"/>
        </w:tabs>
        <w:spacing w:line="240" w:lineRule="auto" w:before="120" w:after="0"/>
        <w:ind w:left="1918" w:right="0" w:hanging="567"/>
        <w:jc w:val="both"/>
        <w:rPr>
          <w:sz w:val="24"/>
        </w:rPr>
      </w:pPr>
      <w:r>
        <w:rPr>
          <w:i/>
          <w:sz w:val="24"/>
        </w:rPr>
        <w:t>metering</w:t>
      </w:r>
      <w:r>
        <w:rPr>
          <w:i/>
          <w:spacing w:val="24"/>
          <w:sz w:val="24"/>
        </w:rPr>
        <w:t> </w:t>
      </w:r>
      <w:r>
        <w:rPr>
          <w:sz w:val="24"/>
        </w:rPr>
        <w:t>arrangements</w:t>
      </w:r>
      <w:r>
        <w:rPr>
          <w:spacing w:val="24"/>
          <w:sz w:val="24"/>
        </w:rPr>
        <w:t> </w:t>
      </w:r>
      <w:r>
        <w:rPr>
          <w:sz w:val="24"/>
        </w:rPr>
        <w:t>and</w:t>
      </w:r>
      <w:r>
        <w:rPr>
          <w:spacing w:val="24"/>
          <w:sz w:val="24"/>
        </w:rPr>
        <w:t> </w:t>
      </w:r>
      <w:r>
        <w:rPr>
          <w:sz w:val="24"/>
        </w:rPr>
        <w:t>adjustments</w:t>
      </w:r>
      <w:r>
        <w:rPr>
          <w:spacing w:val="24"/>
          <w:sz w:val="24"/>
        </w:rPr>
        <w:t> </w:t>
      </w:r>
      <w:r>
        <w:rPr>
          <w:sz w:val="24"/>
        </w:rPr>
        <w:t>for</w:t>
      </w:r>
      <w:r>
        <w:rPr>
          <w:spacing w:val="23"/>
          <w:sz w:val="24"/>
        </w:rPr>
        <w:t> </w:t>
      </w:r>
      <w:r>
        <w:rPr>
          <w:sz w:val="24"/>
        </w:rPr>
        <w:t>losses</w:t>
      </w:r>
      <w:r>
        <w:rPr>
          <w:spacing w:val="25"/>
          <w:sz w:val="24"/>
        </w:rPr>
        <w:t> </w:t>
      </w:r>
      <w:r>
        <w:rPr>
          <w:sz w:val="24"/>
        </w:rPr>
        <w:t>where</w:t>
      </w:r>
      <w:r>
        <w:rPr>
          <w:spacing w:val="23"/>
          <w:sz w:val="24"/>
        </w:rPr>
        <w:t> </w:t>
      </w:r>
      <w:r>
        <w:rPr>
          <w:sz w:val="24"/>
        </w:rPr>
        <w:t>the</w:t>
      </w:r>
      <w:r>
        <w:rPr>
          <w:spacing w:val="24"/>
          <w:sz w:val="24"/>
        </w:rPr>
        <w:t> </w:t>
      </w:r>
      <w:r>
        <w:rPr>
          <w:sz w:val="24"/>
        </w:rPr>
        <w:t>point</w:t>
      </w:r>
      <w:r>
        <w:rPr>
          <w:spacing w:val="23"/>
          <w:sz w:val="24"/>
        </w:rPr>
        <w:t> </w:t>
      </w:r>
      <w:r>
        <w:rPr>
          <w:sz w:val="24"/>
        </w:rPr>
        <w:t>of</w:t>
      </w:r>
    </w:p>
    <w:p>
      <w:pPr>
        <w:spacing w:before="0"/>
        <w:ind w:left="1919" w:right="0" w:firstLine="0"/>
        <w:jc w:val="both"/>
        <w:rPr>
          <w:sz w:val="24"/>
        </w:rPr>
      </w:pPr>
      <w:r>
        <w:rPr>
          <w:i/>
          <w:sz w:val="24"/>
        </w:rPr>
        <w:t>metering </w:t>
      </w:r>
      <w:r>
        <w:rPr>
          <w:sz w:val="24"/>
        </w:rPr>
        <w:t>is significantly different to the </w:t>
      </w:r>
      <w:r>
        <w:rPr>
          <w:i/>
          <w:sz w:val="24"/>
        </w:rPr>
        <w:t>connection point</w:t>
      </w:r>
      <w:r>
        <w:rPr>
          <w:sz w:val="24"/>
        </w:rPr>
        <w:t>;</w:t>
      </w:r>
    </w:p>
    <w:p>
      <w:pPr>
        <w:pStyle w:val="ListParagraph"/>
        <w:numPr>
          <w:ilvl w:val="0"/>
          <w:numId w:val="337"/>
        </w:numPr>
        <w:tabs>
          <w:tab w:pos="1919" w:val="left" w:leader="none"/>
        </w:tabs>
        <w:spacing w:line="240" w:lineRule="auto" w:before="120" w:after="0"/>
        <w:ind w:left="1918" w:right="0" w:hanging="567"/>
        <w:jc w:val="both"/>
        <w:rPr>
          <w:i/>
          <w:sz w:val="24"/>
        </w:rPr>
      </w:pPr>
      <w:r>
        <w:rPr>
          <w:sz w:val="24"/>
        </w:rPr>
        <w:t>authorised</w:t>
      </w:r>
      <w:r>
        <w:rPr>
          <w:spacing w:val="15"/>
          <w:sz w:val="24"/>
        </w:rPr>
        <w:t> </w:t>
      </w:r>
      <w:r>
        <w:rPr>
          <w:sz w:val="24"/>
        </w:rPr>
        <w:t>demand</w:t>
      </w:r>
      <w:r>
        <w:rPr>
          <w:spacing w:val="15"/>
          <w:sz w:val="24"/>
        </w:rPr>
        <w:t> </w:t>
      </w:r>
      <w:r>
        <w:rPr>
          <w:sz w:val="24"/>
        </w:rPr>
        <w:t>which</w:t>
      </w:r>
      <w:r>
        <w:rPr>
          <w:spacing w:val="15"/>
          <w:sz w:val="24"/>
        </w:rPr>
        <w:t> </w:t>
      </w:r>
      <w:r>
        <w:rPr>
          <w:sz w:val="24"/>
        </w:rPr>
        <w:t>may</w:t>
      </w:r>
      <w:r>
        <w:rPr>
          <w:spacing w:val="15"/>
          <w:sz w:val="24"/>
        </w:rPr>
        <w:t> </w:t>
      </w:r>
      <w:r>
        <w:rPr>
          <w:sz w:val="24"/>
        </w:rPr>
        <w:t>be</w:t>
      </w:r>
      <w:r>
        <w:rPr>
          <w:spacing w:val="15"/>
          <w:sz w:val="24"/>
        </w:rPr>
        <w:t> </w:t>
      </w:r>
      <w:r>
        <w:rPr>
          <w:sz w:val="24"/>
        </w:rPr>
        <w:t>taken</w:t>
      </w:r>
      <w:r>
        <w:rPr>
          <w:spacing w:val="16"/>
          <w:sz w:val="24"/>
        </w:rPr>
        <w:t> </w:t>
      </w:r>
      <w:r>
        <w:rPr>
          <w:sz w:val="24"/>
        </w:rPr>
        <w:t>or</w:t>
      </w:r>
      <w:r>
        <w:rPr>
          <w:spacing w:val="15"/>
          <w:sz w:val="24"/>
        </w:rPr>
        <w:t> </w:t>
      </w:r>
      <w:r>
        <w:rPr>
          <w:sz w:val="24"/>
        </w:rPr>
        <w:t>supplied</w:t>
      </w:r>
      <w:r>
        <w:rPr>
          <w:spacing w:val="15"/>
          <w:sz w:val="24"/>
        </w:rPr>
        <w:t> </w:t>
      </w:r>
      <w:r>
        <w:rPr>
          <w:sz w:val="24"/>
        </w:rPr>
        <w:t>at</w:t>
      </w:r>
      <w:r>
        <w:rPr>
          <w:spacing w:val="15"/>
          <w:sz w:val="24"/>
        </w:rPr>
        <w:t> </w:t>
      </w:r>
      <w:r>
        <w:rPr>
          <w:sz w:val="24"/>
        </w:rPr>
        <w:t>the</w:t>
      </w:r>
      <w:r>
        <w:rPr>
          <w:spacing w:val="15"/>
          <w:sz w:val="24"/>
        </w:rPr>
        <w:t> </w:t>
      </w:r>
      <w:r>
        <w:rPr>
          <w:i/>
          <w:sz w:val="24"/>
        </w:rPr>
        <w:t>connection</w:t>
      </w:r>
      <w:r>
        <w:rPr>
          <w:i/>
          <w:spacing w:val="15"/>
          <w:sz w:val="24"/>
        </w:rPr>
        <w:t> </w:t>
      </w:r>
      <w:r>
        <w:rPr>
          <w:i/>
          <w:sz w:val="24"/>
        </w:rPr>
        <w:t>point</w:t>
      </w:r>
    </w:p>
    <w:p>
      <w:pPr>
        <w:pStyle w:val="BodyText"/>
        <w:spacing w:before="0"/>
        <w:ind w:left="1919" w:firstLine="0"/>
      </w:pPr>
      <w:r>
        <w:rPr/>
        <w:t>(under specified conditions);</w:t>
      </w:r>
    </w:p>
    <w:p>
      <w:pPr>
        <w:spacing w:before="120"/>
        <w:ind w:left="1919" w:right="414" w:hanging="567"/>
        <w:jc w:val="both"/>
        <w:rPr>
          <w:sz w:val="24"/>
        </w:rPr>
      </w:pPr>
      <w:r>
        <w:rPr>
          <w:sz w:val="24"/>
        </w:rPr>
        <w:t>(c1) details of each </w:t>
      </w:r>
      <w:r>
        <w:rPr>
          <w:i/>
          <w:sz w:val="24"/>
        </w:rPr>
        <w:t>access standard </w:t>
      </w:r>
      <w:r>
        <w:rPr>
          <w:sz w:val="24"/>
        </w:rPr>
        <w:t>agreed between the </w:t>
      </w:r>
      <w:r>
        <w:rPr>
          <w:i/>
          <w:sz w:val="24"/>
        </w:rPr>
        <w:t>Network Service  </w:t>
      </w:r>
      <w:r>
        <w:rPr>
          <w:i/>
          <w:sz w:val="24"/>
        </w:rPr>
        <w:t>Provider </w:t>
      </w:r>
      <w:r>
        <w:rPr>
          <w:sz w:val="24"/>
        </w:rPr>
        <w:t>and the </w:t>
      </w:r>
      <w:r>
        <w:rPr>
          <w:i/>
          <w:sz w:val="24"/>
        </w:rPr>
        <w:t>Registered Participant </w:t>
      </w:r>
      <w:r>
        <w:rPr>
          <w:sz w:val="24"/>
        </w:rPr>
        <w:t>and all related conditions of agreement resulting from the application of the access provisions contained in </w:t>
      </w:r>
      <w:r>
        <w:rPr>
          <w:i/>
          <w:sz w:val="24"/>
        </w:rPr>
        <w:t>jurisdictional electricity</w:t>
      </w:r>
      <w:r>
        <w:rPr>
          <w:i/>
          <w:spacing w:val="-1"/>
          <w:sz w:val="24"/>
        </w:rPr>
        <w:t> </w:t>
      </w:r>
      <w:r>
        <w:rPr>
          <w:i/>
          <w:sz w:val="24"/>
        </w:rPr>
        <w:t>legislation</w:t>
      </w:r>
      <w:r>
        <w:rPr>
          <w:sz w:val="24"/>
        </w:rPr>
        <w:t>;</w:t>
      </w:r>
    </w:p>
    <w:p>
      <w:pPr>
        <w:spacing w:after="0"/>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The access provisions in </w:t>
      </w:r>
      <w:r>
        <w:rPr>
          <w:i/>
          <w:sz w:val="20"/>
        </w:rPr>
        <w:t>jurisdictional electricity legislation </w:t>
      </w:r>
      <w:r>
        <w:rPr>
          <w:sz w:val="20"/>
        </w:rPr>
        <w:t>referred to in paragraph (c1) will be access provisions that correspond to schedules 5.1, 5.2 or 5.3 in the </w:t>
      </w:r>
      <w:r>
        <w:rPr>
          <w:i/>
          <w:sz w:val="20"/>
        </w:rPr>
        <w:t>Rules </w:t>
      </w:r>
      <w:r>
        <w:rPr>
          <w:sz w:val="20"/>
        </w:rPr>
        <w:t>applying in other </w:t>
      </w:r>
      <w:r>
        <w:rPr>
          <w:i/>
          <w:sz w:val="20"/>
        </w:rPr>
        <w:t>participating jurisdictions</w:t>
      </w:r>
      <w:r>
        <w:rPr>
          <w:sz w:val="20"/>
        </w:rPr>
        <w:t>.</w:t>
      </w:r>
    </w:p>
    <w:p>
      <w:pPr>
        <w:spacing w:before="120"/>
        <w:ind w:left="1919" w:right="414" w:hanging="567"/>
        <w:jc w:val="both"/>
        <w:rPr>
          <w:sz w:val="24"/>
        </w:rPr>
      </w:pPr>
      <w:r>
        <w:rPr>
          <w:sz w:val="24"/>
        </w:rPr>
        <w:t>(c2) details of any </w:t>
      </w:r>
      <w:r>
        <w:rPr>
          <w:i/>
          <w:sz w:val="24"/>
        </w:rPr>
        <w:t>system strength remediation scheme </w:t>
      </w:r>
      <w:r>
        <w:rPr>
          <w:sz w:val="24"/>
        </w:rPr>
        <w:t>agreed, determined or modified in accordance with clause 5.3.4B and associated terms and conditions;</w:t>
      </w:r>
    </w:p>
    <w:p>
      <w:pPr>
        <w:spacing w:before="120"/>
        <w:ind w:left="1352" w:right="0" w:firstLine="0"/>
        <w:jc w:val="both"/>
        <w:rPr>
          <w:sz w:val="24"/>
        </w:rPr>
      </w:pPr>
      <w:r>
        <w:rPr>
          <w:sz w:val="24"/>
        </w:rPr>
        <w:t>(c3) details of any </w:t>
      </w:r>
      <w:r>
        <w:rPr>
          <w:i/>
          <w:sz w:val="24"/>
        </w:rPr>
        <w:t>system strength connection works</w:t>
      </w:r>
      <w:r>
        <w:rPr>
          <w:sz w:val="24"/>
        </w:rPr>
        <w:t>;</w:t>
      </w:r>
    </w:p>
    <w:p>
      <w:pPr>
        <w:pStyle w:val="ListParagraph"/>
        <w:numPr>
          <w:ilvl w:val="0"/>
          <w:numId w:val="337"/>
        </w:numPr>
        <w:tabs>
          <w:tab w:pos="1918" w:val="left" w:leader="none"/>
          <w:tab w:pos="1919" w:val="left" w:leader="none"/>
        </w:tabs>
        <w:spacing w:line="240" w:lineRule="auto" w:before="120" w:after="0"/>
        <w:ind w:left="1918" w:right="0" w:hanging="567"/>
        <w:jc w:val="left"/>
        <w:rPr>
          <w:sz w:val="24"/>
        </w:rPr>
      </w:pPr>
      <w:r>
        <w:rPr>
          <w:i/>
          <w:sz w:val="24"/>
        </w:rPr>
        <w:t>connection service</w:t>
      </w:r>
      <w:r>
        <w:rPr>
          <w:i/>
          <w:spacing w:val="-1"/>
          <w:sz w:val="24"/>
        </w:rPr>
        <w:t> </w:t>
      </w:r>
      <w:r>
        <w:rPr>
          <w:sz w:val="24"/>
        </w:rPr>
        <w:t>charges;</w:t>
      </w:r>
    </w:p>
    <w:p>
      <w:pPr>
        <w:pStyle w:val="ListParagraph"/>
        <w:numPr>
          <w:ilvl w:val="0"/>
          <w:numId w:val="337"/>
        </w:numPr>
        <w:tabs>
          <w:tab w:pos="1918" w:val="left" w:leader="none"/>
          <w:tab w:pos="1919" w:val="left" w:leader="none"/>
        </w:tabs>
        <w:spacing w:line="240" w:lineRule="auto" w:before="120" w:after="0"/>
        <w:ind w:left="1918" w:right="0" w:hanging="567"/>
        <w:jc w:val="left"/>
        <w:rPr>
          <w:sz w:val="24"/>
        </w:rPr>
      </w:pPr>
      <w:r>
        <w:rPr>
          <w:sz w:val="24"/>
        </w:rPr>
        <w:t>payment</w:t>
      </w:r>
      <w:r>
        <w:rPr>
          <w:spacing w:val="-1"/>
          <w:sz w:val="24"/>
        </w:rPr>
        <w:t> </w:t>
      </w:r>
      <w:r>
        <w:rPr>
          <w:sz w:val="24"/>
        </w:rPr>
        <w:t>conditions;</w:t>
      </w:r>
    </w:p>
    <w:p>
      <w:pPr>
        <w:pStyle w:val="ListParagraph"/>
        <w:numPr>
          <w:ilvl w:val="0"/>
          <w:numId w:val="337"/>
        </w:numPr>
        <w:tabs>
          <w:tab w:pos="1919" w:val="left" w:leader="none"/>
          <w:tab w:pos="1920" w:val="left" w:leader="none"/>
        </w:tabs>
        <w:spacing w:line="240" w:lineRule="auto" w:before="120" w:after="0"/>
        <w:ind w:left="1919" w:right="0" w:hanging="568"/>
        <w:jc w:val="left"/>
        <w:rPr>
          <w:sz w:val="24"/>
        </w:rPr>
      </w:pPr>
      <w:r>
        <w:rPr>
          <w:sz w:val="24"/>
        </w:rPr>
        <w:t>duration and termination conditions of the </w:t>
      </w:r>
      <w:r>
        <w:rPr>
          <w:i/>
          <w:sz w:val="24"/>
        </w:rPr>
        <w:t>connection</w:t>
      </w:r>
      <w:r>
        <w:rPr>
          <w:i/>
          <w:spacing w:val="-2"/>
          <w:sz w:val="24"/>
        </w:rPr>
        <w:t> </w:t>
      </w:r>
      <w:r>
        <w:rPr>
          <w:i/>
          <w:sz w:val="24"/>
        </w:rPr>
        <w:t>agreement</w:t>
      </w:r>
      <w:r>
        <w:rPr>
          <w:sz w:val="24"/>
        </w:rPr>
        <w:t>;</w:t>
      </w:r>
    </w:p>
    <w:p>
      <w:pPr>
        <w:pStyle w:val="ListParagraph"/>
        <w:numPr>
          <w:ilvl w:val="0"/>
          <w:numId w:val="337"/>
        </w:numPr>
        <w:tabs>
          <w:tab w:pos="1919" w:val="left" w:leader="none"/>
        </w:tabs>
        <w:spacing w:line="240" w:lineRule="auto" w:before="120" w:after="0"/>
        <w:ind w:left="1919" w:right="414" w:hanging="567"/>
        <w:jc w:val="both"/>
        <w:rPr>
          <w:sz w:val="24"/>
        </w:rPr>
      </w:pPr>
      <w:r>
        <w:rPr>
          <w:sz w:val="24"/>
        </w:rPr>
        <w:t>terms, conditions and </w:t>
      </w:r>
      <w:r>
        <w:rPr>
          <w:i/>
          <w:sz w:val="24"/>
        </w:rPr>
        <w:t>constraints </w:t>
      </w:r>
      <w:r>
        <w:rPr>
          <w:sz w:val="24"/>
        </w:rPr>
        <w:t>that have been agreed to for </w:t>
      </w:r>
      <w:r>
        <w:rPr>
          <w:i/>
          <w:sz w:val="24"/>
        </w:rPr>
        <w:t>connection </w:t>
      </w:r>
      <w:r>
        <w:rPr>
          <w:sz w:val="24"/>
        </w:rPr>
        <w:t>to the </w:t>
      </w:r>
      <w:r>
        <w:rPr>
          <w:i/>
          <w:sz w:val="24"/>
        </w:rPr>
        <w:t>network </w:t>
      </w:r>
      <w:r>
        <w:rPr>
          <w:sz w:val="24"/>
        </w:rPr>
        <w:t>to protect the legitimate interest of the </w:t>
      </w:r>
      <w:r>
        <w:rPr>
          <w:i/>
          <w:sz w:val="24"/>
        </w:rPr>
        <w:t>Network Service </w:t>
      </w:r>
      <w:r>
        <w:rPr>
          <w:i/>
          <w:sz w:val="24"/>
        </w:rPr>
        <w:t>Providers </w:t>
      </w:r>
      <w:r>
        <w:rPr>
          <w:sz w:val="24"/>
        </w:rPr>
        <w:t>including rights to </w:t>
      </w:r>
      <w:r>
        <w:rPr>
          <w:i/>
          <w:sz w:val="24"/>
        </w:rPr>
        <w:t>disconnect </w:t>
      </w:r>
      <w:r>
        <w:rPr>
          <w:sz w:val="24"/>
        </w:rPr>
        <w:t>the </w:t>
      </w:r>
      <w:r>
        <w:rPr>
          <w:i/>
          <w:sz w:val="24"/>
        </w:rPr>
        <w:t>Registered Participant </w:t>
      </w:r>
      <w:r>
        <w:rPr>
          <w:sz w:val="24"/>
        </w:rPr>
        <w:t>for breach of commercial</w:t>
      </w:r>
      <w:r>
        <w:rPr>
          <w:spacing w:val="-1"/>
          <w:sz w:val="24"/>
        </w:rPr>
        <w:t> </w:t>
      </w:r>
      <w:r>
        <w:rPr>
          <w:sz w:val="24"/>
        </w:rPr>
        <w:t>undertakings;</w:t>
      </w:r>
    </w:p>
    <w:p>
      <w:pPr>
        <w:pStyle w:val="ListParagraph"/>
        <w:numPr>
          <w:ilvl w:val="0"/>
          <w:numId w:val="337"/>
        </w:numPr>
        <w:tabs>
          <w:tab w:pos="1919" w:val="left" w:leader="none"/>
        </w:tabs>
        <w:spacing w:line="240" w:lineRule="auto" w:before="120" w:after="0"/>
        <w:ind w:left="1918" w:right="0" w:hanging="567"/>
        <w:jc w:val="both"/>
        <w:rPr>
          <w:sz w:val="24"/>
        </w:rPr>
      </w:pPr>
      <w:r>
        <w:rPr>
          <w:sz w:val="24"/>
        </w:rPr>
        <w:t>details of any agreed standards of </w:t>
      </w:r>
      <w:r>
        <w:rPr>
          <w:i/>
          <w:sz w:val="24"/>
        </w:rPr>
        <w:t>reliability </w:t>
      </w:r>
      <w:r>
        <w:rPr>
          <w:sz w:val="24"/>
        </w:rPr>
        <w:t>of </w:t>
      </w:r>
      <w:r>
        <w:rPr>
          <w:i/>
          <w:sz w:val="24"/>
        </w:rPr>
        <w:t>transmission service</w:t>
      </w:r>
      <w:r>
        <w:rPr>
          <w:i/>
          <w:spacing w:val="42"/>
          <w:sz w:val="24"/>
        </w:rPr>
        <w:t> </w:t>
      </w:r>
      <w:r>
        <w:rPr>
          <w:sz w:val="24"/>
        </w:rPr>
        <w:t>or</w:t>
      </w:r>
    </w:p>
    <w:p>
      <w:pPr>
        <w:spacing w:before="0"/>
        <w:ind w:left="1919" w:right="0" w:firstLine="0"/>
        <w:jc w:val="both"/>
        <w:rPr>
          <w:sz w:val="24"/>
        </w:rPr>
      </w:pPr>
      <w:r>
        <w:rPr>
          <w:i/>
          <w:sz w:val="24"/>
        </w:rPr>
        <w:t>distribution service </w:t>
      </w:r>
      <w:r>
        <w:rPr>
          <w:sz w:val="24"/>
        </w:rPr>
        <w:t>at the </w:t>
      </w:r>
      <w:r>
        <w:rPr>
          <w:i/>
          <w:sz w:val="24"/>
        </w:rPr>
        <w:t>connection points </w:t>
      </w:r>
      <w:r>
        <w:rPr>
          <w:sz w:val="24"/>
        </w:rPr>
        <w:t>or within the </w:t>
      </w:r>
      <w:r>
        <w:rPr>
          <w:i/>
          <w:sz w:val="24"/>
        </w:rPr>
        <w:t>network</w:t>
      </w:r>
      <w:r>
        <w:rPr>
          <w:sz w:val="24"/>
        </w:rPr>
        <w:t>;</w:t>
      </w:r>
    </w:p>
    <w:p>
      <w:pPr>
        <w:pStyle w:val="ListParagraph"/>
        <w:numPr>
          <w:ilvl w:val="0"/>
          <w:numId w:val="337"/>
        </w:numPr>
        <w:tabs>
          <w:tab w:pos="1919" w:val="left" w:leader="none"/>
        </w:tabs>
        <w:spacing w:line="240" w:lineRule="auto" w:before="120" w:after="0"/>
        <w:ind w:left="1918" w:right="0" w:hanging="567"/>
        <w:jc w:val="both"/>
        <w:rPr>
          <w:sz w:val="24"/>
        </w:rPr>
      </w:pPr>
      <w:r>
        <w:rPr>
          <w:sz w:val="24"/>
        </w:rPr>
        <w:t>testing intervals for </w:t>
      </w:r>
      <w:r>
        <w:rPr>
          <w:i/>
          <w:sz w:val="24"/>
        </w:rPr>
        <w:t>protection systems </w:t>
      </w:r>
      <w:r>
        <w:rPr>
          <w:sz w:val="24"/>
        </w:rPr>
        <w:t>associated with the </w:t>
      </w:r>
      <w:r>
        <w:rPr>
          <w:i/>
          <w:sz w:val="24"/>
        </w:rPr>
        <w:t>connection</w:t>
      </w:r>
      <w:r>
        <w:rPr>
          <w:i/>
          <w:spacing w:val="-9"/>
          <w:sz w:val="24"/>
        </w:rPr>
        <w:t> </w:t>
      </w:r>
      <w:r>
        <w:rPr>
          <w:i/>
          <w:sz w:val="24"/>
        </w:rPr>
        <w:t>point</w:t>
      </w:r>
      <w:r>
        <w:rPr>
          <w:sz w:val="24"/>
        </w:rPr>
        <w:t>;</w:t>
      </w:r>
    </w:p>
    <w:p>
      <w:pPr>
        <w:pStyle w:val="ListParagraph"/>
        <w:numPr>
          <w:ilvl w:val="0"/>
          <w:numId w:val="337"/>
        </w:numPr>
        <w:tabs>
          <w:tab w:pos="1919" w:val="left" w:leader="none"/>
        </w:tabs>
        <w:spacing w:line="240" w:lineRule="auto" w:before="120" w:after="0"/>
        <w:ind w:left="1918" w:right="0" w:hanging="567"/>
        <w:jc w:val="both"/>
        <w:rPr>
          <w:sz w:val="24"/>
        </w:rPr>
      </w:pPr>
      <w:r>
        <w:rPr>
          <w:sz w:val="24"/>
        </w:rPr>
        <w:t>agreed protocols for maintenance</w:t>
      </w:r>
      <w:r>
        <w:rPr>
          <w:spacing w:val="-2"/>
          <w:sz w:val="24"/>
        </w:rPr>
        <w:t> </w:t>
      </w:r>
      <w:r>
        <w:rPr>
          <w:sz w:val="24"/>
        </w:rPr>
        <w:t>co-ordination;</w:t>
      </w:r>
    </w:p>
    <w:p>
      <w:pPr>
        <w:pStyle w:val="ListParagraph"/>
        <w:numPr>
          <w:ilvl w:val="0"/>
          <w:numId w:val="337"/>
        </w:numPr>
        <w:tabs>
          <w:tab w:pos="1919" w:val="left" w:leader="none"/>
        </w:tabs>
        <w:spacing w:line="240" w:lineRule="auto" w:before="120" w:after="0"/>
        <w:ind w:left="1919" w:right="414" w:hanging="567"/>
        <w:jc w:val="both"/>
        <w:rPr>
          <w:sz w:val="24"/>
        </w:rPr>
      </w:pPr>
      <w:r>
        <w:rPr>
          <w:sz w:val="24"/>
        </w:rPr>
        <w:t>where an expected </w:t>
      </w:r>
      <w:r>
        <w:rPr>
          <w:i/>
          <w:sz w:val="24"/>
        </w:rPr>
        <w:t>load</w:t>
      </w:r>
      <w:r>
        <w:rPr>
          <w:sz w:val="24"/>
        </w:rPr>
        <w:t>, to be connected to a </w:t>
      </w:r>
      <w:r>
        <w:rPr>
          <w:i/>
          <w:sz w:val="24"/>
        </w:rPr>
        <w:t>network</w:t>
      </w:r>
      <w:r>
        <w:rPr>
          <w:sz w:val="24"/>
        </w:rPr>
        <w:t>, has a </w:t>
      </w:r>
      <w:r>
        <w:rPr>
          <w:i/>
          <w:sz w:val="24"/>
        </w:rPr>
        <w:t>peak load </w:t>
      </w:r>
      <w:r>
        <w:rPr>
          <w:sz w:val="24"/>
        </w:rPr>
        <w:t>requirement in excess 10 MW, the provision, installation, operation and maintenance of automatic </w:t>
      </w:r>
      <w:r>
        <w:rPr>
          <w:i/>
          <w:sz w:val="24"/>
        </w:rPr>
        <w:t>load </w:t>
      </w:r>
      <w:r>
        <w:rPr>
          <w:sz w:val="24"/>
        </w:rPr>
        <w:t>shedding facilities for 60 percent of the </w:t>
      </w:r>
      <w:r>
        <w:rPr>
          <w:i/>
          <w:sz w:val="24"/>
        </w:rPr>
        <w:t>load </w:t>
      </w:r>
      <w:r>
        <w:rPr>
          <w:sz w:val="24"/>
        </w:rPr>
        <w:t>at anytime;</w:t>
      </w:r>
    </w:p>
    <w:p>
      <w:pPr>
        <w:pStyle w:val="ListParagraph"/>
        <w:numPr>
          <w:ilvl w:val="0"/>
          <w:numId w:val="337"/>
        </w:numPr>
        <w:tabs>
          <w:tab w:pos="1919" w:val="left" w:leader="none"/>
        </w:tabs>
        <w:spacing w:line="240" w:lineRule="auto" w:before="120" w:after="0"/>
        <w:ind w:left="1919" w:right="414" w:hanging="567"/>
        <w:jc w:val="both"/>
        <w:rPr>
          <w:sz w:val="24"/>
        </w:rPr>
      </w:pPr>
      <w:r>
        <w:rPr>
          <w:sz w:val="24"/>
        </w:rPr>
        <w:t>terms and conditions of access to the </w:t>
      </w:r>
      <w:r>
        <w:rPr>
          <w:i/>
          <w:sz w:val="24"/>
        </w:rPr>
        <w:t>metering installation </w:t>
      </w:r>
      <w:r>
        <w:rPr>
          <w:sz w:val="24"/>
        </w:rPr>
        <w:t>for the </w:t>
      </w:r>
      <w:r>
        <w:rPr>
          <w:i/>
          <w:sz w:val="24"/>
        </w:rPr>
        <w:t>Metering </w:t>
      </w:r>
      <w:r>
        <w:rPr>
          <w:i/>
          <w:sz w:val="24"/>
        </w:rPr>
        <w:t>Provider </w:t>
      </w:r>
      <w:r>
        <w:rPr>
          <w:sz w:val="24"/>
        </w:rPr>
        <w:t>and access to </w:t>
      </w:r>
      <w:r>
        <w:rPr>
          <w:i/>
          <w:sz w:val="24"/>
        </w:rPr>
        <w:t>metering installations </w:t>
      </w:r>
      <w:r>
        <w:rPr>
          <w:sz w:val="24"/>
        </w:rPr>
        <w:t>type 4A, 5 and 6 for the </w:t>
      </w:r>
      <w:r>
        <w:rPr>
          <w:i/>
          <w:sz w:val="24"/>
        </w:rPr>
        <w:t>Metering Data</w:t>
      </w:r>
      <w:r>
        <w:rPr>
          <w:i/>
          <w:spacing w:val="-2"/>
          <w:sz w:val="24"/>
        </w:rPr>
        <w:t> </w:t>
      </w:r>
      <w:r>
        <w:rPr>
          <w:i/>
          <w:sz w:val="24"/>
        </w:rPr>
        <w:t>Provider</w:t>
      </w:r>
      <w:r>
        <w:rPr>
          <w:sz w:val="24"/>
        </w:rPr>
        <w:t>.</w:t>
      </w:r>
    </w:p>
    <w:p>
      <w:pPr>
        <w:pStyle w:val="ListParagraph"/>
        <w:numPr>
          <w:ilvl w:val="0"/>
          <w:numId w:val="337"/>
        </w:numPr>
        <w:tabs>
          <w:tab w:pos="1919" w:val="left" w:leader="none"/>
        </w:tabs>
        <w:spacing w:line="240" w:lineRule="auto" w:before="120" w:after="0"/>
        <w:ind w:left="1919" w:right="416" w:hanging="567"/>
        <w:jc w:val="both"/>
        <w:rPr>
          <w:sz w:val="24"/>
        </w:rPr>
      </w:pPr>
      <w:r>
        <w:rPr>
          <w:sz w:val="24"/>
        </w:rPr>
        <w:t>the arrangements for the provision of services relating to </w:t>
      </w:r>
      <w:r>
        <w:rPr>
          <w:i/>
          <w:sz w:val="24"/>
        </w:rPr>
        <w:t>non-contestable </w:t>
      </w:r>
      <w:r>
        <w:rPr>
          <w:i/>
          <w:sz w:val="24"/>
        </w:rPr>
        <w:t>IUSA components </w:t>
      </w:r>
      <w:r>
        <w:rPr>
          <w:sz w:val="24"/>
        </w:rPr>
        <w:t>(if</w:t>
      </w:r>
      <w:r>
        <w:rPr>
          <w:spacing w:val="-1"/>
          <w:sz w:val="24"/>
        </w:rPr>
        <w:t> </w:t>
      </w:r>
      <w:r>
        <w:rPr>
          <w:sz w:val="24"/>
        </w:rPr>
        <w:t>applicable);</w:t>
      </w:r>
    </w:p>
    <w:p>
      <w:pPr>
        <w:pStyle w:val="ListParagraph"/>
        <w:numPr>
          <w:ilvl w:val="0"/>
          <w:numId w:val="337"/>
        </w:numPr>
        <w:tabs>
          <w:tab w:pos="1919" w:val="left" w:leader="none"/>
        </w:tabs>
        <w:spacing w:line="240" w:lineRule="auto" w:before="120" w:after="0"/>
        <w:ind w:left="1918" w:right="0" w:hanging="567"/>
        <w:jc w:val="both"/>
        <w:rPr>
          <w:sz w:val="24"/>
        </w:rPr>
      </w:pPr>
      <w:r>
        <w:rPr>
          <w:sz w:val="24"/>
        </w:rPr>
        <w:t>the functional specifications for the </w:t>
      </w:r>
      <w:r>
        <w:rPr>
          <w:i/>
          <w:sz w:val="24"/>
        </w:rPr>
        <w:t>contestable IUSA components</w:t>
      </w:r>
      <w:r>
        <w:rPr>
          <w:sz w:val="24"/>
        </w:rPr>
        <w:t>;</w:t>
      </w:r>
      <w:r>
        <w:rPr>
          <w:spacing w:val="-5"/>
          <w:sz w:val="24"/>
        </w:rPr>
        <w:t> </w:t>
      </w:r>
      <w:r>
        <w:rPr>
          <w:sz w:val="24"/>
        </w:rPr>
        <w:t>and</w:t>
      </w:r>
    </w:p>
    <w:p>
      <w:pPr>
        <w:pStyle w:val="ListParagraph"/>
        <w:numPr>
          <w:ilvl w:val="0"/>
          <w:numId w:val="337"/>
        </w:numPr>
        <w:tabs>
          <w:tab w:pos="1919" w:val="left" w:leader="none"/>
        </w:tabs>
        <w:spacing w:line="240" w:lineRule="auto" w:before="120" w:after="0"/>
        <w:ind w:left="1919" w:right="414" w:hanging="567"/>
        <w:jc w:val="both"/>
        <w:rPr>
          <w:sz w:val="24"/>
        </w:rPr>
      </w:pPr>
      <w:r>
        <w:rPr>
          <w:sz w:val="24"/>
        </w:rPr>
        <w:t>if the </w:t>
      </w:r>
      <w:r>
        <w:rPr>
          <w:i/>
          <w:sz w:val="24"/>
        </w:rPr>
        <w:t>Connection Applicant </w:t>
      </w:r>
      <w:r>
        <w:rPr>
          <w:sz w:val="24"/>
        </w:rPr>
        <w:t>has obtained services related to a </w:t>
      </w:r>
      <w:r>
        <w:rPr>
          <w:i/>
          <w:sz w:val="24"/>
        </w:rPr>
        <w:t>contestable </w:t>
      </w:r>
      <w:r>
        <w:rPr>
          <w:i/>
          <w:sz w:val="24"/>
        </w:rPr>
        <w:t>IUSA components </w:t>
      </w:r>
      <w:r>
        <w:rPr>
          <w:sz w:val="24"/>
        </w:rPr>
        <w:t>other than from the </w:t>
      </w:r>
      <w:r>
        <w:rPr>
          <w:i/>
          <w:sz w:val="24"/>
        </w:rPr>
        <w:t>Primary Transmission Network </w:t>
      </w:r>
      <w:r>
        <w:rPr>
          <w:i/>
          <w:sz w:val="24"/>
        </w:rPr>
        <w:t>Service Provider </w:t>
      </w:r>
      <w:r>
        <w:rPr>
          <w:sz w:val="24"/>
        </w:rPr>
        <w:t>and intends to transfer ownership of some or all of those components to the </w:t>
      </w:r>
      <w:r>
        <w:rPr>
          <w:i/>
          <w:sz w:val="24"/>
        </w:rPr>
        <w:t>Primary Transmission Network Service Provider</w:t>
      </w:r>
      <w:r>
        <w:rPr>
          <w:sz w:val="24"/>
        </w:rPr>
        <w:t>, arrangements for the transfer of ownership of those components </w:t>
      </w:r>
      <w:r>
        <w:rPr>
          <w:spacing w:val="-3"/>
          <w:sz w:val="24"/>
        </w:rPr>
        <w:t>upon </w:t>
      </w:r>
      <w:r>
        <w:rPr>
          <w:sz w:val="24"/>
        </w:rPr>
        <w:t>energisation of the </w:t>
      </w:r>
      <w:r>
        <w:rPr>
          <w:i/>
          <w:sz w:val="24"/>
        </w:rPr>
        <w:t>identified user shared asset </w:t>
      </w:r>
      <w:r>
        <w:rPr>
          <w:sz w:val="24"/>
        </w:rPr>
        <w:t>to the </w:t>
      </w:r>
      <w:r>
        <w:rPr>
          <w:i/>
          <w:sz w:val="24"/>
        </w:rPr>
        <w:t>Primary Transmission </w:t>
      </w:r>
      <w:r>
        <w:rPr>
          <w:i/>
          <w:sz w:val="24"/>
        </w:rPr>
        <w:t>Network Service Provider </w:t>
      </w:r>
      <w:r>
        <w:rPr>
          <w:sz w:val="24"/>
        </w:rPr>
        <w:t>(if applicable) and how any defects liabilities will be managed.</w:t>
      </w:r>
    </w:p>
    <w:p>
      <w:pPr>
        <w:spacing w:before="120"/>
        <w:ind w:left="1919" w:right="415" w:firstLine="0"/>
        <w:jc w:val="both"/>
        <w:rPr>
          <w:sz w:val="24"/>
        </w:rPr>
      </w:pPr>
      <w:r>
        <w:rPr>
          <w:sz w:val="24"/>
        </w:rPr>
        <w:t>The </w:t>
      </w:r>
      <w:r>
        <w:rPr>
          <w:i/>
          <w:sz w:val="24"/>
        </w:rPr>
        <w:t>connection agreements </w:t>
      </w:r>
      <w:r>
        <w:rPr>
          <w:sz w:val="24"/>
        </w:rPr>
        <w:t>may include other technical, commercial and legal conditions governing works required for the </w:t>
      </w:r>
      <w:r>
        <w:rPr>
          <w:i/>
          <w:sz w:val="24"/>
        </w:rPr>
        <w:t>connection </w:t>
      </w:r>
      <w:r>
        <w:rPr>
          <w:sz w:val="24"/>
        </w:rPr>
        <w:t>or </w:t>
      </w:r>
      <w:r>
        <w:rPr>
          <w:i/>
          <w:sz w:val="24"/>
        </w:rPr>
        <w:t>extension </w:t>
      </w:r>
      <w:r>
        <w:rPr>
          <w:sz w:val="24"/>
        </w:rPr>
        <w:t>to the </w:t>
      </w:r>
      <w:r>
        <w:rPr>
          <w:i/>
          <w:sz w:val="24"/>
        </w:rPr>
        <w:t>network </w:t>
      </w:r>
      <w:r>
        <w:rPr>
          <w:sz w:val="24"/>
        </w:rPr>
        <w:t>which the parties have negotiated and agreed to. The circumstances under which the terms of the </w:t>
      </w:r>
      <w:r>
        <w:rPr>
          <w:i/>
          <w:sz w:val="24"/>
        </w:rPr>
        <w:t>connection agreement </w:t>
      </w:r>
      <w:r>
        <w:rPr>
          <w:sz w:val="24"/>
        </w:rPr>
        <w:t>would require renegotiation may also be included.</w:t>
      </w:r>
    </w:p>
    <w:p>
      <w:pPr>
        <w:spacing w:after="0"/>
        <w:jc w:val="both"/>
        <w:rPr>
          <w:sz w:val="24"/>
        </w:rPr>
        <w:sectPr>
          <w:pgSz w:w="11910" w:h="16840"/>
          <w:pgMar w:header="686" w:footer="637" w:top="1320" w:bottom="820" w:left="1200" w:right="1000"/>
        </w:sectPr>
      </w:pPr>
    </w:p>
    <w:p>
      <w:pPr>
        <w:pStyle w:val="BodyText"/>
        <w:spacing w:before="2"/>
        <w:ind w:firstLine="0"/>
        <w:jc w:val="left"/>
        <w:rPr>
          <w:sz w:val="7"/>
        </w:rPr>
      </w:pPr>
    </w:p>
    <w:p>
      <w:pPr>
        <w:pStyle w:val="BodyText"/>
        <w:spacing w:before="0"/>
        <w:ind w:left="189" w:firstLine="0"/>
        <w:jc w:val="left"/>
        <w:rPr>
          <w:sz w:val="20"/>
        </w:rPr>
      </w:pPr>
      <w:r>
        <w:rPr>
          <w:sz w:val="20"/>
        </w:rPr>
        <w:pict>
          <v:shape style="width:456.45pt;height:16.1pt;mso-position-horizontal-relative:char;mso-position-vertical-relative:line" type="#_x0000_t202" filled="true" fillcolor="#d9d9d9" stroked="false">
            <w10:anchorlock/>
            <v:textbox inset="0,0,0,0">
              <w:txbxContent>
                <w:p>
                  <w:pPr>
                    <w:tabs>
                      <w:tab w:pos="1163" w:val="left" w:leader="none"/>
                    </w:tabs>
                    <w:spacing w:before="0"/>
                    <w:ind w:left="29" w:right="0" w:firstLine="0"/>
                    <w:jc w:val="left"/>
                    <w:rPr>
                      <w:rFonts w:ascii="Arial"/>
                      <w:b/>
                      <w:sz w:val="28"/>
                    </w:rPr>
                  </w:pPr>
                  <w:bookmarkStart w:name="Part B Network Operating Agreements" w:id="1106"/>
                  <w:bookmarkEnd w:id="1106"/>
                  <w:r>
                    <w:rPr/>
                  </w:r>
                  <w:bookmarkStart w:name="_bookmark445" w:id="1107"/>
                  <w:bookmarkEnd w:id="1107"/>
                  <w:r>
                    <w:rPr/>
                  </w:r>
                  <w:r>
                    <w:rPr>
                      <w:rFonts w:ascii="Arial"/>
                      <w:b/>
                      <w:sz w:val="28"/>
                    </w:rPr>
                    <w:t>Part B</w:t>
                    <w:tab/>
                    <w:t>Network Operating</w:t>
                  </w:r>
                  <w:r>
                    <w:rPr>
                      <w:rFonts w:ascii="Arial"/>
                      <w:b/>
                      <w:spacing w:val="-2"/>
                      <w:sz w:val="28"/>
                    </w:rPr>
                    <w:t> </w:t>
                  </w:r>
                  <w:r>
                    <w:rPr>
                      <w:rFonts w:ascii="Arial"/>
                      <w:b/>
                      <w:sz w:val="28"/>
                    </w:rPr>
                    <w:t>Agreements</w:t>
                  </w:r>
                </w:p>
              </w:txbxContent>
            </v:textbox>
            <v:fill type="solid"/>
          </v:shape>
        </w:pict>
      </w:r>
      <w:r>
        <w:rPr>
          <w:sz w:val="20"/>
        </w:rPr>
      </w:r>
    </w:p>
    <w:p>
      <w:pPr>
        <w:spacing w:before="98"/>
        <w:ind w:left="1352" w:right="414" w:firstLine="0"/>
        <w:jc w:val="both"/>
        <w:rPr>
          <w:sz w:val="24"/>
        </w:rPr>
      </w:pPr>
      <w:r>
        <w:rPr>
          <w:sz w:val="24"/>
        </w:rPr>
        <w:t>A </w:t>
      </w:r>
      <w:r>
        <w:rPr>
          <w:i/>
          <w:sz w:val="24"/>
        </w:rPr>
        <w:t>network operating agreement </w:t>
      </w:r>
      <w:r>
        <w:rPr>
          <w:sz w:val="24"/>
        </w:rPr>
        <w:t>between the </w:t>
      </w:r>
      <w:r>
        <w:rPr>
          <w:i/>
          <w:sz w:val="24"/>
        </w:rPr>
        <w:t>Primary Transmission Network </w:t>
      </w:r>
      <w:r>
        <w:rPr>
          <w:i/>
          <w:sz w:val="24"/>
        </w:rPr>
        <w:t>Service Provider </w:t>
      </w:r>
      <w:r>
        <w:rPr>
          <w:sz w:val="24"/>
        </w:rPr>
        <w:t>and the owner of </w:t>
      </w:r>
      <w:r>
        <w:rPr>
          <w:i/>
          <w:sz w:val="24"/>
        </w:rPr>
        <w:t>contestable IUSA components </w:t>
      </w:r>
      <w:r>
        <w:rPr>
          <w:sz w:val="24"/>
        </w:rPr>
        <w:t>must include provisions relating to:</w:t>
      </w:r>
    </w:p>
    <w:p>
      <w:pPr>
        <w:pStyle w:val="ListParagraph"/>
        <w:numPr>
          <w:ilvl w:val="0"/>
          <w:numId w:val="338"/>
        </w:numPr>
        <w:tabs>
          <w:tab w:pos="1918" w:val="left" w:leader="none"/>
          <w:tab w:pos="1919" w:val="left" w:leader="none"/>
        </w:tabs>
        <w:spacing w:line="240" w:lineRule="auto" w:before="120" w:after="0"/>
        <w:ind w:left="1919" w:right="414" w:hanging="567"/>
        <w:jc w:val="left"/>
        <w:rPr>
          <w:sz w:val="24"/>
        </w:rPr>
      </w:pPr>
      <w:r>
        <w:rPr>
          <w:sz w:val="24"/>
        </w:rPr>
        <w:t>agreed boundaries and physical connection obligations and interface between the </w:t>
      </w:r>
      <w:r>
        <w:rPr>
          <w:i/>
          <w:sz w:val="24"/>
        </w:rPr>
        <w:t>identified user shared asset </w:t>
      </w:r>
      <w:r>
        <w:rPr>
          <w:sz w:val="24"/>
        </w:rPr>
        <w:t>and the </w:t>
      </w:r>
      <w:r>
        <w:rPr>
          <w:i/>
          <w:sz w:val="24"/>
        </w:rPr>
        <w:t>transmission</w:t>
      </w:r>
      <w:r>
        <w:rPr>
          <w:i/>
          <w:spacing w:val="-5"/>
          <w:sz w:val="24"/>
        </w:rPr>
        <w:t> </w:t>
      </w:r>
      <w:r>
        <w:rPr>
          <w:i/>
          <w:sz w:val="24"/>
        </w:rPr>
        <w:t>network</w:t>
      </w:r>
      <w:r>
        <w:rPr>
          <w:sz w:val="24"/>
        </w:rPr>
        <w:t>;</w:t>
      </w:r>
    </w:p>
    <w:p>
      <w:pPr>
        <w:pStyle w:val="ListParagraph"/>
        <w:numPr>
          <w:ilvl w:val="0"/>
          <w:numId w:val="338"/>
        </w:numPr>
        <w:tabs>
          <w:tab w:pos="1918" w:val="left" w:leader="none"/>
          <w:tab w:pos="1919" w:val="left" w:leader="none"/>
        </w:tabs>
        <w:spacing w:line="240" w:lineRule="auto" w:before="120" w:after="0"/>
        <w:ind w:left="1919" w:right="414" w:hanging="567"/>
        <w:jc w:val="left"/>
        <w:rPr>
          <w:sz w:val="24"/>
        </w:rPr>
      </w:pPr>
      <w:r>
        <w:rPr>
          <w:sz w:val="24"/>
        </w:rPr>
        <w:t>conditions to transfer operational control of the asset to the </w:t>
      </w:r>
      <w:r>
        <w:rPr>
          <w:i/>
          <w:sz w:val="24"/>
        </w:rPr>
        <w:t>Primary </w:t>
      </w:r>
      <w:r>
        <w:rPr>
          <w:i/>
          <w:sz w:val="24"/>
        </w:rPr>
        <w:t>Transmission Network Service</w:t>
      </w:r>
      <w:r>
        <w:rPr>
          <w:i/>
          <w:spacing w:val="-2"/>
          <w:sz w:val="24"/>
        </w:rPr>
        <w:t> </w:t>
      </w:r>
      <w:r>
        <w:rPr>
          <w:i/>
          <w:sz w:val="24"/>
        </w:rPr>
        <w:t>Provider</w:t>
      </w:r>
      <w:r>
        <w:rPr>
          <w:sz w:val="24"/>
        </w:rPr>
        <w:t>;</w:t>
      </w:r>
    </w:p>
    <w:p>
      <w:pPr>
        <w:pStyle w:val="ListParagraph"/>
        <w:numPr>
          <w:ilvl w:val="0"/>
          <w:numId w:val="338"/>
        </w:numPr>
        <w:tabs>
          <w:tab w:pos="1918" w:val="left" w:leader="none"/>
          <w:tab w:pos="1919" w:val="left" w:leader="none"/>
        </w:tabs>
        <w:spacing w:line="240" w:lineRule="auto" w:before="120" w:after="0"/>
        <w:ind w:left="1919" w:right="415" w:hanging="567"/>
        <w:jc w:val="left"/>
        <w:rPr>
          <w:sz w:val="24"/>
        </w:rPr>
      </w:pPr>
      <w:r>
        <w:rPr>
          <w:sz w:val="24"/>
        </w:rPr>
        <w:t>the standard of care to apply to the </w:t>
      </w:r>
      <w:r>
        <w:rPr>
          <w:i/>
          <w:sz w:val="24"/>
        </w:rPr>
        <w:t>Primary Transmission Network Service </w:t>
      </w:r>
      <w:r>
        <w:rPr>
          <w:i/>
          <w:sz w:val="24"/>
        </w:rPr>
        <w:t>Provider </w:t>
      </w:r>
      <w:r>
        <w:rPr>
          <w:sz w:val="24"/>
        </w:rPr>
        <w:t>in providing operation and maintenance</w:t>
      </w:r>
      <w:r>
        <w:rPr>
          <w:spacing w:val="-3"/>
          <w:sz w:val="24"/>
        </w:rPr>
        <w:t> </w:t>
      </w:r>
      <w:r>
        <w:rPr>
          <w:sz w:val="24"/>
        </w:rPr>
        <w:t>services;</w:t>
      </w:r>
    </w:p>
    <w:p>
      <w:pPr>
        <w:pStyle w:val="ListParagraph"/>
        <w:numPr>
          <w:ilvl w:val="0"/>
          <w:numId w:val="338"/>
        </w:numPr>
        <w:tabs>
          <w:tab w:pos="1918" w:val="left" w:leader="none"/>
          <w:tab w:pos="1919" w:val="left" w:leader="none"/>
        </w:tabs>
        <w:spacing w:line="240" w:lineRule="auto" w:before="120" w:after="0"/>
        <w:ind w:left="1918" w:right="0" w:hanging="567"/>
        <w:jc w:val="left"/>
        <w:rPr>
          <w:sz w:val="24"/>
        </w:rPr>
      </w:pPr>
      <w:r>
        <w:rPr>
          <w:sz w:val="24"/>
        </w:rPr>
        <w:t>insurance</w:t>
      </w:r>
      <w:r>
        <w:rPr>
          <w:spacing w:val="-1"/>
          <w:sz w:val="24"/>
        </w:rPr>
        <w:t> </w:t>
      </w:r>
      <w:r>
        <w:rPr>
          <w:sz w:val="24"/>
        </w:rPr>
        <w:t>obligations;</w:t>
      </w:r>
    </w:p>
    <w:p>
      <w:pPr>
        <w:pStyle w:val="ListParagraph"/>
        <w:numPr>
          <w:ilvl w:val="0"/>
          <w:numId w:val="338"/>
        </w:numPr>
        <w:tabs>
          <w:tab w:pos="1918" w:val="left" w:leader="none"/>
          <w:tab w:pos="1919" w:val="left" w:leader="none"/>
        </w:tabs>
        <w:spacing w:line="240" w:lineRule="auto" w:before="120" w:after="0"/>
        <w:ind w:left="1918" w:right="0" w:hanging="567"/>
        <w:jc w:val="left"/>
        <w:rPr>
          <w:sz w:val="24"/>
        </w:rPr>
      </w:pPr>
      <w:r>
        <w:rPr>
          <w:sz w:val="24"/>
        </w:rPr>
        <w:t>termination, events of default and force majeure</w:t>
      </w:r>
      <w:r>
        <w:rPr>
          <w:spacing w:val="-2"/>
          <w:sz w:val="24"/>
        </w:rPr>
        <w:t> </w:t>
      </w:r>
      <w:r>
        <w:rPr>
          <w:sz w:val="24"/>
        </w:rPr>
        <w:t>regime;</w:t>
      </w:r>
    </w:p>
    <w:p>
      <w:pPr>
        <w:pStyle w:val="ListParagraph"/>
        <w:numPr>
          <w:ilvl w:val="0"/>
          <w:numId w:val="338"/>
        </w:numPr>
        <w:tabs>
          <w:tab w:pos="1919" w:val="left" w:leader="none"/>
          <w:tab w:pos="1920" w:val="left" w:leader="none"/>
        </w:tabs>
        <w:spacing w:line="240" w:lineRule="auto" w:before="120" w:after="0"/>
        <w:ind w:left="1919" w:right="0" w:hanging="568"/>
        <w:jc w:val="left"/>
        <w:rPr>
          <w:sz w:val="24"/>
        </w:rPr>
      </w:pPr>
      <w:r>
        <w:rPr>
          <w:sz w:val="24"/>
        </w:rPr>
        <w:t>liability and indemnity;</w:t>
      </w:r>
      <w:r>
        <w:rPr>
          <w:spacing w:val="-1"/>
          <w:sz w:val="24"/>
        </w:rPr>
        <w:t> </w:t>
      </w:r>
      <w:r>
        <w:rPr>
          <w:sz w:val="24"/>
        </w:rPr>
        <w:t>and</w:t>
      </w:r>
    </w:p>
    <w:p>
      <w:pPr>
        <w:pStyle w:val="ListParagraph"/>
        <w:numPr>
          <w:ilvl w:val="0"/>
          <w:numId w:val="338"/>
        </w:numPr>
        <w:tabs>
          <w:tab w:pos="1918" w:val="left" w:leader="none"/>
          <w:tab w:pos="1919" w:val="left" w:leader="none"/>
        </w:tabs>
        <w:spacing w:line="240" w:lineRule="auto" w:before="120" w:after="0"/>
        <w:ind w:left="1918" w:right="0" w:hanging="567"/>
        <w:jc w:val="left"/>
        <w:rPr>
          <w:sz w:val="24"/>
        </w:rPr>
      </w:pPr>
      <w:r>
        <w:rPr>
          <w:sz w:val="24"/>
        </w:rPr>
        <w:t>defect</w:t>
      </w:r>
      <w:r>
        <w:rPr>
          <w:spacing w:val="-1"/>
          <w:sz w:val="24"/>
        </w:rPr>
        <w:t> </w:t>
      </w:r>
      <w:r>
        <w:rPr>
          <w:sz w:val="24"/>
        </w:rPr>
        <w:t>warranties.</w:t>
      </w:r>
    </w:p>
    <w:p>
      <w:pPr>
        <w:pStyle w:val="BodyText"/>
        <w:spacing w:before="10"/>
        <w:ind w:firstLine="0"/>
        <w:jc w:val="left"/>
        <w:rPr>
          <w:sz w:val="20"/>
        </w:rPr>
      </w:pPr>
    </w:p>
    <w:p>
      <w:pPr>
        <w:pStyle w:val="Heading2"/>
        <w:tabs>
          <w:tab w:pos="2485" w:val="left" w:leader="none"/>
        </w:tabs>
        <w:ind w:left="2486" w:right="1697" w:hanging="2268"/>
      </w:pPr>
      <w:bookmarkStart w:name="Schedule 5.7 Annual Forecast Information" w:id="1108"/>
      <w:bookmarkEnd w:id="1108"/>
      <w:r>
        <w:rPr>
          <w:b w:val="0"/>
        </w:rPr>
      </w:r>
      <w:bookmarkStart w:name="_bookmark446" w:id="1109"/>
      <w:bookmarkEnd w:id="1109"/>
      <w:r>
        <w:rPr>
          <w:b w:val="0"/>
        </w:rPr>
      </w:r>
      <w:r>
        <w:rPr/>
        <w:t>Schedule</w:t>
      </w:r>
      <w:r>
        <w:rPr>
          <w:spacing w:val="-1"/>
        </w:rPr>
        <w:t> </w:t>
      </w:r>
      <w:r>
        <w:rPr/>
        <w:t>5.7</w:t>
        <w:tab/>
        <w:t>Annual Forecast Information for Planning Purposes</w:t>
      </w:r>
    </w:p>
    <w:p>
      <w:pPr>
        <w:spacing w:before="120"/>
        <w:ind w:left="1352" w:right="414" w:firstLine="0"/>
        <w:jc w:val="both"/>
        <w:rPr>
          <w:sz w:val="24"/>
        </w:rPr>
      </w:pPr>
      <w:r>
        <w:rPr>
          <w:sz w:val="24"/>
        </w:rPr>
        <w:t>This schedule sets out the information in respect of each </w:t>
      </w:r>
      <w:r>
        <w:rPr>
          <w:i/>
          <w:sz w:val="24"/>
        </w:rPr>
        <w:t>connection point </w:t>
      </w:r>
      <w:r>
        <w:rPr>
          <w:sz w:val="24"/>
        </w:rPr>
        <w:t>that must be provided to the relevant </w:t>
      </w:r>
      <w:r>
        <w:rPr>
          <w:i/>
          <w:sz w:val="24"/>
        </w:rPr>
        <w:t>Network Service Provider </w:t>
      </w:r>
      <w:r>
        <w:rPr>
          <w:sz w:val="24"/>
        </w:rPr>
        <w:t>by each </w:t>
      </w:r>
      <w:r>
        <w:rPr>
          <w:i/>
          <w:sz w:val="24"/>
        </w:rPr>
        <w:t>Registered </w:t>
      </w:r>
      <w:r>
        <w:rPr>
          <w:i/>
          <w:sz w:val="24"/>
        </w:rPr>
        <w:t>Participant </w:t>
      </w:r>
      <w:r>
        <w:rPr>
          <w:sz w:val="24"/>
        </w:rPr>
        <w:t>that has a </w:t>
      </w:r>
      <w:r>
        <w:rPr>
          <w:i/>
          <w:sz w:val="24"/>
        </w:rPr>
        <w:t>connection point </w:t>
      </w:r>
      <w:r>
        <w:rPr>
          <w:sz w:val="24"/>
        </w:rPr>
        <w:t>to a </w:t>
      </w:r>
      <w:r>
        <w:rPr>
          <w:i/>
          <w:sz w:val="24"/>
        </w:rPr>
        <w:t>transmission network </w:t>
      </w:r>
      <w:r>
        <w:rPr>
          <w:sz w:val="24"/>
        </w:rPr>
        <w:t>of that </w:t>
      </w:r>
      <w:r>
        <w:rPr>
          <w:i/>
          <w:sz w:val="24"/>
        </w:rPr>
        <w:t>Network </w:t>
      </w:r>
      <w:r>
        <w:rPr>
          <w:i/>
          <w:sz w:val="24"/>
        </w:rPr>
        <w:t>Service Provider</w:t>
      </w:r>
      <w:r>
        <w:rPr>
          <w:sz w:val="24"/>
        </w:rPr>
        <w:t>.</w:t>
      </w:r>
    </w:p>
    <w:p>
      <w:pPr>
        <w:pStyle w:val="BodyText"/>
        <w:spacing w:before="10"/>
        <w:ind w:firstLine="0"/>
        <w:jc w:val="left"/>
        <w:rPr>
          <w:sz w:val="22"/>
        </w:rPr>
      </w:pPr>
    </w:p>
    <w:tbl>
      <w:tblPr>
        <w:tblW w:w="0" w:type="auto"/>
        <w:jc w:val="left"/>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9"/>
        <w:gridCol w:w="870"/>
        <w:gridCol w:w="1543"/>
        <w:gridCol w:w="1807"/>
      </w:tblGrid>
      <w:tr>
        <w:trPr>
          <w:trHeight w:val="671" w:hRule="atLeast"/>
        </w:trPr>
        <w:tc>
          <w:tcPr>
            <w:tcW w:w="4849" w:type="dxa"/>
            <w:shd w:val="clear" w:color="auto" w:fill="D9D9D9"/>
          </w:tcPr>
          <w:p>
            <w:pPr>
              <w:pStyle w:val="TableParagraph"/>
              <w:ind w:left="40"/>
              <w:rPr>
                <w:rFonts w:ascii="Arial"/>
                <w:b/>
                <w:sz w:val="24"/>
              </w:rPr>
            </w:pPr>
            <w:r>
              <w:rPr>
                <w:rFonts w:ascii="Arial"/>
                <w:b/>
                <w:sz w:val="24"/>
              </w:rPr>
              <w:t>Data Description</w:t>
            </w:r>
          </w:p>
        </w:tc>
        <w:tc>
          <w:tcPr>
            <w:tcW w:w="870" w:type="dxa"/>
            <w:shd w:val="clear" w:color="auto" w:fill="D9D9D9"/>
          </w:tcPr>
          <w:p>
            <w:pPr>
              <w:pStyle w:val="TableParagraph"/>
              <w:ind w:left="138"/>
              <w:rPr>
                <w:rFonts w:ascii="Arial"/>
                <w:b/>
                <w:sz w:val="24"/>
              </w:rPr>
            </w:pPr>
            <w:r>
              <w:rPr>
                <w:rFonts w:ascii="Arial"/>
                <w:b/>
                <w:sz w:val="24"/>
              </w:rPr>
              <w:t>Units</w:t>
            </w:r>
          </w:p>
        </w:tc>
        <w:tc>
          <w:tcPr>
            <w:tcW w:w="1543" w:type="dxa"/>
            <w:shd w:val="clear" w:color="auto" w:fill="D9D9D9"/>
          </w:tcPr>
          <w:p>
            <w:pPr>
              <w:pStyle w:val="TableParagraph"/>
              <w:ind w:left="93"/>
              <w:rPr>
                <w:rFonts w:ascii="Arial"/>
                <w:b/>
                <w:sz w:val="24"/>
              </w:rPr>
            </w:pPr>
            <w:r>
              <w:rPr>
                <w:rFonts w:ascii="Arial"/>
                <w:b/>
                <w:sz w:val="24"/>
              </w:rPr>
              <w:t>Time Scale</w:t>
            </w:r>
          </w:p>
        </w:tc>
        <w:tc>
          <w:tcPr>
            <w:tcW w:w="1807" w:type="dxa"/>
            <w:shd w:val="clear" w:color="auto" w:fill="D9D9D9"/>
          </w:tcPr>
          <w:p>
            <w:pPr>
              <w:pStyle w:val="TableParagraph"/>
              <w:spacing w:line="270" w:lineRule="atLeast"/>
              <w:ind w:left="198" w:right="548"/>
              <w:rPr>
                <w:rFonts w:ascii="Arial"/>
                <w:b/>
                <w:sz w:val="24"/>
              </w:rPr>
            </w:pPr>
            <w:r>
              <w:rPr>
                <w:rFonts w:ascii="Arial"/>
                <w:b/>
                <w:sz w:val="24"/>
              </w:rPr>
              <w:t>Data Category</w:t>
            </w:r>
          </w:p>
        </w:tc>
      </w:tr>
      <w:tr>
        <w:trPr>
          <w:trHeight w:val="1055" w:hRule="atLeast"/>
        </w:trPr>
        <w:tc>
          <w:tcPr>
            <w:tcW w:w="4849" w:type="dxa"/>
          </w:tcPr>
          <w:p>
            <w:pPr>
              <w:pStyle w:val="TableParagraph"/>
              <w:ind w:left="40" w:right="682"/>
              <w:rPr>
                <w:sz w:val="24"/>
              </w:rPr>
            </w:pPr>
            <w:r>
              <w:rPr>
                <w:sz w:val="24"/>
              </w:rPr>
              <w:t>At each </w:t>
            </w:r>
            <w:r>
              <w:rPr>
                <w:i/>
                <w:sz w:val="24"/>
              </w:rPr>
              <w:t>connection point </w:t>
            </w:r>
            <w:r>
              <w:rPr>
                <w:sz w:val="24"/>
              </w:rPr>
              <w:t>to a </w:t>
            </w:r>
            <w:r>
              <w:rPr>
                <w:i/>
                <w:sz w:val="24"/>
              </w:rPr>
              <w:t>transmission </w:t>
            </w:r>
            <w:r>
              <w:rPr>
                <w:i/>
                <w:sz w:val="24"/>
              </w:rPr>
              <w:t>network</w:t>
            </w:r>
            <w:r>
              <w:rPr>
                <w:sz w:val="24"/>
              </w:rPr>
              <w:t>, a forecast of:</w:t>
            </w:r>
          </w:p>
        </w:tc>
        <w:tc>
          <w:tcPr>
            <w:tcW w:w="870" w:type="dxa"/>
          </w:tcPr>
          <w:p>
            <w:pPr>
              <w:pStyle w:val="TableParagraph"/>
              <w:spacing w:before="0"/>
              <w:ind w:left="0"/>
              <w:rPr>
                <w:sz w:val="22"/>
              </w:rPr>
            </w:pPr>
          </w:p>
        </w:tc>
        <w:tc>
          <w:tcPr>
            <w:tcW w:w="1543" w:type="dxa"/>
          </w:tcPr>
          <w:p>
            <w:pPr>
              <w:pStyle w:val="TableParagraph"/>
              <w:spacing w:before="0"/>
              <w:ind w:left="0"/>
              <w:rPr>
                <w:sz w:val="22"/>
              </w:rPr>
            </w:pPr>
          </w:p>
        </w:tc>
        <w:tc>
          <w:tcPr>
            <w:tcW w:w="1807" w:type="dxa"/>
          </w:tcPr>
          <w:p>
            <w:pPr>
              <w:pStyle w:val="TableParagraph"/>
              <w:spacing w:before="0"/>
              <w:ind w:left="0"/>
              <w:rPr>
                <w:sz w:val="22"/>
              </w:rPr>
            </w:pPr>
          </w:p>
        </w:tc>
      </w:tr>
      <w:tr>
        <w:trPr>
          <w:trHeight w:val="1031" w:hRule="atLeast"/>
        </w:trPr>
        <w:tc>
          <w:tcPr>
            <w:tcW w:w="4849" w:type="dxa"/>
          </w:tcPr>
          <w:p>
            <w:pPr>
              <w:pStyle w:val="TableParagraph"/>
              <w:spacing w:before="4"/>
              <w:ind w:left="0"/>
              <w:rPr>
                <w:sz w:val="32"/>
              </w:rPr>
            </w:pPr>
          </w:p>
          <w:p>
            <w:pPr>
              <w:pStyle w:val="TableParagraph"/>
              <w:spacing w:before="1"/>
              <w:ind w:left="40"/>
              <w:rPr>
                <w:sz w:val="24"/>
              </w:rPr>
            </w:pPr>
            <w:r>
              <w:rPr>
                <w:sz w:val="24"/>
              </w:rPr>
              <w:t>Annual Maximum </w:t>
            </w:r>
            <w:r>
              <w:rPr>
                <w:i/>
                <w:sz w:val="24"/>
              </w:rPr>
              <w:t>Active power</w:t>
            </w:r>
            <w:r>
              <w:rPr>
                <w:sz w:val="24"/>
              </w:rPr>
              <w:t>- Winter</w:t>
            </w:r>
          </w:p>
        </w:tc>
        <w:tc>
          <w:tcPr>
            <w:tcW w:w="870" w:type="dxa"/>
          </w:tcPr>
          <w:p>
            <w:pPr>
              <w:pStyle w:val="TableParagraph"/>
              <w:spacing w:before="4"/>
              <w:ind w:left="0"/>
              <w:rPr>
                <w:sz w:val="32"/>
              </w:rPr>
            </w:pPr>
          </w:p>
          <w:p>
            <w:pPr>
              <w:pStyle w:val="TableParagraph"/>
              <w:spacing w:before="1"/>
              <w:ind w:left="138"/>
              <w:rPr>
                <w:sz w:val="24"/>
              </w:rPr>
            </w:pPr>
            <w:r>
              <w:rPr>
                <w:sz w:val="24"/>
              </w:rPr>
              <w:t>MW</w:t>
            </w:r>
          </w:p>
        </w:tc>
        <w:tc>
          <w:tcPr>
            <w:tcW w:w="1543" w:type="dxa"/>
          </w:tcPr>
          <w:p>
            <w:pPr>
              <w:pStyle w:val="TableParagraph"/>
              <w:spacing w:before="4"/>
              <w:ind w:left="0"/>
              <w:rPr>
                <w:sz w:val="32"/>
              </w:rPr>
            </w:pPr>
          </w:p>
          <w:p>
            <w:pPr>
              <w:pStyle w:val="TableParagraph"/>
              <w:spacing w:before="1"/>
              <w:ind w:left="93"/>
              <w:rPr>
                <w:sz w:val="24"/>
              </w:rPr>
            </w:pPr>
            <w:r>
              <w:rPr>
                <w:sz w:val="24"/>
              </w:rPr>
              <w:t>years 1-10</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031" w:hRule="atLeast"/>
        </w:trPr>
        <w:tc>
          <w:tcPr>
            <w:tcW w:w="4849" w:type="dxa"/>
          </w:tcPr>
          <w:p>
            <w:pPr>
              <w:pStyle w:val="TableParagraph"/>
              <w:spacing w:before="4"/>
              <w:ind w:left="0"/>
              <w:rPr>
                <w:sz w:val="32"/>
              </w:rPr>
            </w:pPr>
          </w:p>
          <w:p>
            <w:pPr>
              <w:pStyle w:val="TableParagraph"/>
              <w:spacing w:before="1"/>
              <w:ind w:left="40"/>
              <w:rPr>
                <w:sz w:val="24"/>
              </w:rPr>
            </w:pPr>
            <w:r>
              <w:rPr>
                <w:sz w:val="24"/>
              </w:rPr>
              <w:t>Coincident </w:t>
            </w:r>
            <w:r>
              <w:rPr>
                <w:i/>
                <w:sz w:val="24"/>
              </w:rPr>
              <w:t>Reactive Power </w:t>
            </w:r>
            <w:r>
              <w:rPr>
                <w:sz w:val="24"/>
              </w:rPr>
              <w:t>- Winter</w:t>
            </w:r>
          </w:p>
        </w:tc>
        <w:tc>
          <w:tcPr>
            <w:tcW w:w="870" w:type="dxa"/>
          </w:tcPr>
          <w:p>
            <w:pPr>
              <w:pStyle w:val="TableParagraph"/>
              <w:spacing w:before="4"/>
              <w:ind w:left="0"/>
              <w:rPr>
                <w:sz w:val="32"/>
              </w:rPr>
            </w:pPr>
          </w:p>
          <w:p>
            <w:pPr>
              <w:pStyle w:val="TableParagraph"/>
              <w:spacing w:before="1"/>
              <w:ind w:left="138"/>
              <w:rPr>
                <w:sz w:val="24"/>
              </w:rPr>
            </w:pPr>
            <w:r>
              <w:rPr>
                <w:sz w:val="24"/>
              </w:rPr>
              <w:t>MVAr</w:t>
            </w:r>
          </w:p>
        </w:tc>
        <w:tc>
          <w:tcPr>
            <w:tcW w:w="1543" w:type="dxa"/>
          </w:tcPr>
          <w:p>
            <w:pPr>
              <w:pStyle w:val="TableParagraph"/>
              <w:spacing w:before="4"/>
              <w:ind w:left="0"/>
              <w:rPr>
                <w:sz w:val="32"/>
              </w:rPr>
            </w:pPr>
          </w:p>
          <w:p>
            <w:pPr>
              <w:pStyle w:val="TableParagraph"/>
              <w:spacing w:before="1"/>
              <w:ind w:left="93"/>
              <w:rPr>
                <w:sz w:val="24"/>
              </w:rPr>
            </w:pPr>
            <w:r>
              <w:rPr>
                <w:sz w:val="24"/>
              </w:rPr>
              <w:t>years 1-10</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031" w:hRule="atLeast"/>
        </w:trPr>
        <w:tc>
          <w:tcPr>
            <w:tcW w:w="4849" w:type="dxa"/>
          </w:tcPr>
          <w:p>
            <w:pPr>
              <w:pStyle w:val="TableParagraph"/>
              <w:spacing w:before="4"/>
              <w:ind w:left="0"/>
              <w:rPr>
                <w:sz w:val="32"/>
              </w:rPr>
            </w:pPr>
          </w:p>
          <w:p>
            <w:pPr>
              <w:pStyle w:val="TableParagraph"/>
              <w:spacing w:before="1"/>
              <w:ind w:left="40"/>
              <w:rPr>
                <w:sz w:val="24"/>
              </w:rPr>
            </w:pPr>
            <w:r>
              <w:rPr>
                <w:sz w:val="24"/>
              </w:rPr>
              <w:t>Annual Maximum </w:t>
            </w:r>
            <w:r>
              <w:rPr>
                <w:i/>
                <w:sz w:val="24"/>
              </w:rPr>
              <w:t>Active power</w:t>
            </w:r>
            <w:r>
              <w:rPr>
                <w:sz w:val="24"/>
              </w:rPr>
              <w:t>- Summer</w:t>
            </w:r>
          </w:p>
        </w:tc>
        <w:tc>
          <w:tcPr>
            <w:tcW w:w="870" w:type="dxa"/>
          </w:tcPr>
          <w:p>
            <w:pPr>
              <w:pStyle w:val="TableParagraph"/>
              <w:spacing w:before="4"/>
              <w:ind w:left="0"/>
              <w:rPr>
                <w:sz w:val="32"/>
              </w:rPr>
            </w:pPr>
          </w:p>
          <w:p>
            <w:pPr>
              <w:pStyle w:val="TableParagraph"/>
              <w:spacing w:before="1"/>
              <w:ind w:left="138"/>
              <w:rPr>
                <w:sz w:val="24"/>
              </w:rPr>
            </w:pPr>
            <w:r>
              <w:rPr>
                <w:sz w:val="24"/>
              </w:rPr>
              <w:t>MW</w:t>
            </w:r>
          </w:p>
        </w:tc>
        <w:tc>
          <w:tcPr>
            <w:tcW w:w="1543" w:type="dxa"/>
          </w:tcPr>
          <w:p>
            <w:pPr>
              <w:pStyle w:val="TableParagraph"/>
              <w:spacing w:before="4"/>
              <w:ind w:left="0"/>
              <w:rPr>
                <w:sz w:val="32"/>
              </w:rPr>
            </w:pPr>
          </w:p>
          <w:p>
            <w:pPr>
              <w:pStyle w:val="TableParagraph"/>
              <w:spacing w:before="1"/>
              <w:ind w:left="93"/>
              <w:rPr>
                <w:sz w:val="24"/>
              </w:rPr>
            </w:pPr>
            <w:r>
              <w:rPr>
                <w:sz w:val="24"/>
              </w:rPr>
              <w:t>years 1-10</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031" w:hRule="atLeast"/>
        </w:trPr>
        <w:tc>
          <w:tcPr>
            <w:tcW w:w="4849" w:type="dxa"/>
          </w:tcPr>
          <w:p>
            <w:pPr>
              <w:pStyle w:val="TableParagraph"/>
              <w:spacing w:before="4"/>
              <w:ind w:left="0"/>
              <w:rPr>
                <w:sz w:val="32"/>
              </w:rPr>
            </w:pPr>
          </w:p>
          <w:p>
            <w:pPr>
              <w:pStyle w:val="TableParagraph"/>
              <w:spacing w:before="1"/>
              <w:ind w:left="40"/>
              <w:rPr>
                <w:sz w:val="24"/>
              </w:rPr>
            </w:pPr>
            <w:r>
              <w:rPr>
                <w:sz w:val="24"/>
              </w:rPr>
              <w:t>Coincident </w:t>
            </w:r>
            <w:r>
              <w:rPr>
                <w:i/>
                <w:sz w:val="24"/>
              </w:rPr>
              <w:t>Reactive Power</w:t>
            </w:r>
            <w:r>
              <w:rPr>
                <w:sz w:val="24"/>
              </w:rPr>
              <w:t>- Summer</w:t>
            </w:r>
          </w:p>
        </w:tc>
        <w:tc>
          <w:tcPr>
            <w:tcW w:w="870" w:type="dxa"/>
          </w:tcPr>
          <w:p>
            <w:pPr>
              <w:pStyle w:val="TableParagraph"/>
              <w:spacing w:before="4"/>
              <w:ind w:left="0"/>
              <w:rPr>
                <w:sz w:val="32"/>
              </w:rPr>
            </w:pPr>
          </w:p>
          <w:p>
            <w:pPr>
              <w:pStyle w:val="TableParagraph"/>
              <w:spacing w:before="1"/>
              <w:ind w:left="138"/>
              <w:rPr>
                <w:sz w:val="24"/>
              </w:rPr>
            </w:pPr>
            <w:r>
              <w:rPr>
                <w:sz w:val="24"/>
              </w:rPr>
              <w:t>MVAr</w:t>
            </w:r>
          </w:p>
        </w:tc>
        <w:tc>
          <w:tcPr>
            <w:tcW w:w="1543" w:type="dxa"/>
          </w:tcPr>
          <w:p>
            <w:pPr>
              <w:pStyle w:val="TableParagraph"/>
              <w:spacing w:before="4"/>
              <w:ind w:left="0"/>
              <w:rPr>
                <w:sz w:val="32"/>
              </w:rPr>
            </w:pPr>
          </w:p>
          <w:p>
            <w:pPr>
              <w:pStyle w:val="TableParagraph"/>
              <w:spacing w:before="1"/>
              <w:ind w:left="93"/>
              <w:rPr>
                <w:sz w:val="24"/>
              </w:rPr>
            </w:pPr>
            <w:r>
              <w:rPr>
                <w:sz w:val="24"/>
              </w:rPr>
              <w:t>years 1-10</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648" w:hRule="atLeast"/>
        </w:trPr>
        <w:tc>
          <w:tcPr>
            <w:tcW w:w="4849" w:type="dxa"/>
          </w:tcPr>
          <w:p>
            <w:pPr>
              <w:pStyle w:val="TableParagraph"/>
              <w:spacing w:before="4"/>
              <w:ind w:left="0"/>
              <w:rPr>
                <w:sz w:val="32"/>
              </w:rPr>
            </w:pPr>
          </w:p>
          <w:p>
            <w:pPr>
              <w:pStyle w:val="TableParagraph"/>
              <w:spacing w:line="256" w:lineRule="exact" w:before="1"/>
              <w:ind w:left="40"/>
              <w:rPr>
                <w:i/>
                <w:sz w:val="24"/>
              </w:rPr>
            </w:pPr>
            <w:r>
              <w:rPr>
                <w:sz w:val="24"/>
              </w:rPr>
              <w:t>Forecast </w:t>
            </w:r>
            <w:r>
              <w:rPr>
                <w:i/>
                <w:sz w:val="24"/>
              </w:rPr>
              <w:t>load </w:t>
            </w:r>
            <w:r>
              <w:rPr>
                <w:sz w:val="24"/>
              </w:rPr>
              <w:t>diversity between each </w:t>
            </w:r>
            <w:r>
              <w:rPr>
                <w:i/>
                <w:sz w:val="24"/>
              </w:rPr>
              <w:t>connection</w:t>
            </w:r>
          </w:p>
        </w:tc>
        <w:tc>
          <w:tcPr>
            <w:tcW w:w="870" w:type="dxa"/>
          </w:tcPr>
          <w:p>
            <w:pPr>
              <w:pStyle w:val="TableParagraph"/>
              <w:spacing w:before="4"/>
              <w:ind w:left="0"/>
              <w:rPr>
                <w:sz w:val="32"/>
              </w:rPr>
            </w:pPr>
          </w:p>
          <w:p>
            <w:pPr>
              <w:pStyle w:val="TableParagraph"/>
              <w:spacing w:line="256" w:lineRule="exact" w:before="1"/>
              <w:ind w:left="138"/>
              <w:rPr>
                <w:sz w:val="24"/>
              </w:rPr>
            </w:pPr>
            <w:r>
              <w:rPr>
                <w:sz w:val="24"/>
              </w:rPr>
              <w:t>%</w:t>
            </w:r>
          </w:p>
        </w:tc>
        <w:tc>
          <w:tcPr>
            <w:tcW w:w="1543" w:type="dxa"/>
          </w:tcPr>
          <w:p>
            <w:pPr>
              <w:pStyle w:val="TableParagraph"/>
              <w:spacing w:before="4"/>
              <w:ind w:left="0"/>
              <w:rPr>
                <w:sz w:val="32"/>
              </w:rPr>
            </w:pPr>
          </w:p>
          <w:p>
            <w:pPr>
              <w:pStyle w:val="TableParagraph"/>
              <w:spacing w:line="256" w:lineRule="exact" w:before="1"/>
              <w:ind w:left="93"/>
              <w:rPr>
                <w:sz w:val="24"/>
              </w:rPr>
            </w:pPr>
            <w:r>
              <w:rPr>
                <w:sz w:val="24"/>
              </w:rPr>
              <w:t>years 1-5</w:t>
            </w:r>
          </w:p>
        </w:tc>
        <w:tc>
          <w:tcPr>
            <w:tcW w:w="1807" w:type="dxa"/>
          </w:tcPr>
          <w:p>
            <w:pPr>
              <w:pStyle w:val="TableParagraph"/>
              <w:spacing w:before="4"/>
              <w:ind w:left="0"/>
              <w:rPr>
                <w:sz w:val="32"/>
              </w:rPr>
            </w:pPr>
          </w:p>
          <w:p>
            <w:pPr>
              <w:pStyle w:val="TableParagraph"/>
              <w:spacing w:line="256" w:lineRule="exact" w:before="1"/>
              <w:ind w:left="198"/>
              <w:rPr>
                <w:sz w:val="24"/>
              </w:rPr>
            </w:pPr>
            <w:r>
              <w:rPr>
                <w:sz w:val="24"/>
              </w:rPr>
              <w:t>Annual</w:t>
            </w:r>
          </w:p>
        </w:tc>
      </w:tr>
    </w:tbl>
    <w:p>
      <w:pPr>
        <w:spacing w:after="0" w:line="256" w:lineRule="exact"/>
        <w:rPr>
          <w:sz w:val="24"/>
        </w:rPr>
        <w:sectPr>
          <w:pgSz w:w="11910" w:h="16840"/>
          <w:pgMar w:header="686" w:footer="637" w:top="1320" w:bottom="820" w:left="1200" w:right="1000"/>
        </w:sectPr>
      </w:pPr>
    </w:p>
    <w:p>
      <w:pPr>
        <w:pStyle w:val="BodyText"/>
        <w:spacing w:before="2"/>
        <w:ind w:firstLine="0"/>
        <w:jc w:val="left"/>
        <w:rPr>
          <w:sz w:val="7"/>
        </w:rPr>
      </w:pPr>
    </w:p>
    <w:p>
      <w:pPr>
        <w:pStyle w:val="BodyText"/>
        <w:spacing w:before="0"/>
        <w:ind w:left="218" w:firstLine="0"/>
        <w:jc w:val="left"/>
        <w:rPr>
          <w:sz w:val="20"/>
        </w:rPr>
      </w:pPr>
      <w:r>
        <w:rPr>
          <w:sz w:val="20"/>
        </w:rPr>
        <w:pict>
          <v:group style="width:453.55pt;height:33.6pt;mso-position-horizontal-relative:char;mso-position-vertical-relative:line" coordorigin="0,0" coordsize="9071,672">
            <v:rect style="position:absolute;left:0;top:0;width:4948;height:672" filled="true" fillcolor="#d9d9d9" stroked="false">
              <v:fill type="solid"/>
            </v:rect>
            <v:rect style="position:absolute;left:4948;top:0;width:824;height:672" filled="true" fillcolor="#d9d9d9" stroked="false">
              <v:fill type="solid"/>
            </v:rect>
            <v:rect style="position:absolute;left:5772;top:0;width:1649;height:672" filled="true" fillcolor="#d9d9d9" stroked="false">
              <v:fill type="solid"/>
            </v:rect>
            <v:rect style="position:absolute;left:7421;top:0;width:1650;height:672" filled="true" fillcolor="#d9d9d9" stroked="false">
              <v:fill type="solid"/>
            </v:rect>
            <v:shape style="position:absolute;left:4988;top:127;width:3533;height:545" type="#_x0000_t202" filled="false" stroked="false">
              <v:textbox inset="0,0,0,0">
                <w:txbxContent>
                  <w:p>
                    <w:pPr>
                      <w:tabs>
                        <w:tab w:pos="823" w:val="left" w:leader="none"/>
                        <w:tab w:pos="2472" w:val="left" w:leader="none"/>
                      </w:tabs>
                      <w:spacing w:line="268" w:lineRule="exact" w:before="0"/>
                      <w:ind w:left="0" w:right="0" w:firstLine="0"/>
                      <w:jc w:val="left"/>
                      <w:rPr>
                        <w:rFonts w:ascii="Arial"/>
                        <w:b/>
                        <w:sz w:val="24"/>
                      </w:rPr>
                    </w:pPr>
                    <w:r>
                      <w:rPr>
                        <w:rFonts w:ascii="Arial"/>
                        <w:b/>
                        <w:sz w:val="24"/>
                      </w:rPr>
                      <w:t>Units</w:t>
                      <w:tab/>
                      <w:t>Time Scale</w:t>
                      <w:tab/>
                      <w:t>Data</w:t>
                    </w:r>
                  </w:p>
                  <w:p>
                    <w:pPr>
                      <w:spacing w:before="0"/>
                      <w:ind w:left="2472" w:right="0" w:firstLine="0"/>
                      <w:jc w:val="left"/>
                      <w:rPr>
                        <w:rFonts w:ascii="Arial"/>
                        <w:b/>
                        <w:sz w:val="24"/>
                      </w:rPr>
                    </w:pPr>
                    <w:r>
                      <w:rPr>
                        <w:rFonts w:ascii="Arial"/>
                        <w:b/>
                        <w:sz w:val="24"/>
                      </w:rPr>
                      <w:t>Category</w:t>
                    </w:r>
                  </w:p>
                </w:txbxContent>
              </v:textbox>
              <w10:wrap type="none"/>
            </v:shape>
            <v:shape style="position:absolute;left:40;top:127;width:1927;height:269" type="#_x0000_t202" filled="false" stroked="false">
              <v:textbox inset="0,0,0,0">
                <w:txbxContent>
                  <w:p>
                    <w:pPr>
                      <w:spacing w:line="268" w:lineRule="exact" w:before="0"/>
                      <w:ind w:left="0" w:right="0" w:firstLine="0"/>
                      <w:jc w:val="left"/>
                      <w:rPr>
                        <w:rFonts w:ascii="Arial"/>
                        <w:b/>
                        <w:sz w:val="24"/>
                      </w:rPr>
                    </w:pPr>
                    <w:r>
                      <w:rPr>
                        <w:rFonts w:ascii="Arial"/>
                        <w:b/>
                        <w:sz w:val="24"/>
                      </w:rPr>
                      <w:t>Data Description</w:t>
                    </w:r>
                  </w:p>
                </w:txbxContent>
              </v:textbox>
              <w10:wrap type="none"/>
            </v:shape>
          </v:group>
        </w:pict>
      </w:r>
      <w:r>
        <w:rPr>
          <w:sz w:val="20"/>
        </w:rPr>
      </w:r>
    </w:p>
    <w:p>
      <w:pPr>
        <w:spacing w:line="249" w:lineRule="exact" w:before="0"/>
        <w:ind w:left="258" w:right="0" w:firstLine="0"/>
        <w:jc w:val="left"/>
        <w:rPr>
          <w:sz w:val="24"/>
        </w:rPr>
      </w:pPr>
      <w:r>
        <w:rPr>
          <w:i/>
          <w:sz w:val="24"/>
        </w:rPr>
        <w:t>point </w:t>
      </w:r>
      <w:r>
        <w:rPr>
          <w:sz w:val="24"/>
        </w:rPr>
        <w:t>to the </w:t>
      </w:r>
      <w:r>
        <w:rPr>
          <w:i/>
          <w:sz w:val="24"/>
        </w:rPr>
        <w:t>network </w:t>
      </w:r>
      <w:r>
        <w:rPr>
          <w:sz w:val="24"/>
        </w:rPr>
        <w:t>(winter and summer)</w:t>
      </w:r>
    </w:p>
    <w:p>
      <w:pPr>
        <w:pStyle w:val="BodyText"/>
        <w:spacing w:before="0"/>
        <w:ind w:firstLine="0"/>
        <w:jc w:val="left"/>
        <w:rPr>
          <w:sz w:val="26"/>
        </w:rPr>
      </w:pPr>
    </w:p>
    <w:p>
      <w:pPr>
        <w:pStyle w:val="BodyText"/>
        <w:spacing w:before="0"/>
        <w:ind w:firstLine="0"/>
        <w:jc w:val="left"/>
        <w:rPr>
          <w:sz w:val="26"/>
        </w:rPr>
      </w:pPr>
    </w:p>
    <w:p>
      <w:pPr>
        <w:spacing w:before="158"/>
        <w:ind w:left="1083" w:right="0" w:firstLine="0"/>
        <w:jc w:val="left"/>
        <w:rPr>
          <w:sz w:val="24"/>
        </w:rPr>
      </w:pPr>
      <w:r>
        <w:rPr>
          <w:i/>
          <w:sz w:val="24"/>
        </w:rPr>
        <w:t>Load Profiles</w:t>
      </w:r>
      <w:r>
        <w:rPr>
          <w:sz w:val="24"/>
        </w:rPr>
        <w:t>:</w:t>
      </w:r>
    </w:p>
    <w:p>
      <w:pPr>
        <w:pStyle w:val="BodyText"/>
        <w:spacing w:before="0"/>
        <w:ind w:firstLine="0"/>
        <w:jc w:val="left"/>
        <w:rPr>
          <w:sz w:val="20"/>
        </w:rPr>
      </w:pPr>
    </w:p>
    <w:p>
      <w:pPr>
        <w:pStyle w:val="BodyText"/>
        <w:spacing w:before="0"/>
        <w:ind w:firstLine="0"/>
        <w:jc w:val="left"/>
        <w:rPr>
          <w:sz w:val="20"/>
        </w:rPr>
      </w:pPr>
    </w:p>
    <w:p>
      <w:pPr>
        <w:pStyle w:val="BodyText"/>
        <w:spacing w:before="7"/>
        <w:ind w:firstLine="0"/>
        <w:jc w:val="left"/>
        <w:rPr>
          <w:sz w:val="26"/>
        </w:rPr>
      </w:pPr>
    </w:p>
    <w:tbl>
      <w:tblPr>
        <w:tblW w:w="0" w:type="auto"/>
        <w:jc w:val="left"/>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2"/>
        <w:gridCol w:w="837"/>
        <w:gridCol w:w="1543"/>
        <w:gridCol w:w="1807"/>
      </w:tblGrid>
      <w:tr>
        <w:trPr>
          <w:trHeight w:val="1476" w:hRule="atLeast"/>
        </w:trPr>
        <w:tc>
          <w:tcPr>
            <w:tcW w:w="4882" w:type="dxa"/>
          </w:tcPr>
          <w:p>
            <w:pPr>
              <w:pStyle w:val="TableParagraph"/>
              <w:spacing w:before="0"/>
              <w:ind w:left="40" w:right="197"/>
              <w:rPr>
                <w:sz w:val="24"/>
              </w:rPr>
            </w:pPr>
            <w:r>
              <w:rPr>
                <w:sz w:val="24"/>
              </w:rPr>
              <w:t>The following forecast daily </w:t>
            </w:r>
            <w:r>
              <w:rPr>
                <w:i/>
                <w:sz w:val="24"/>
              </w:rPr>
              <w:t>profiles </w:t>
            </w:r>
            <w:r>
              <w:rPr>
                <w:sz w:val="24"/>
              </w:rPr>
              <w:t>of </w:t>
            </w:r>
            <w:r>
              <w:rPr>
                <w:i/>
                <w:sz w:val="24"/>
              </w:rPr>
              <w:t>connection point </w:t>
            </w:r>
            <w:r>
              <w:rPr>
                <w:sz w:val="24"/>
              </w:rPr>
              <w:t>half-hourly average active and reactive </w:t>
            </w:r>
            <w:r>
              <w:rPr>
                <w:i/>
                <w:sz w:val="24"/>
              </w:rPr>
              <w:t>loads </w:t>
            </w:r>
            <w:r>
              <w:rPr>
                <w:sz w:val="24"/>
              </w:rPr>
              <w:t>are required, net of all </w:t>
            </w:r>
            <w:r>
              <w:rPr>
                <w:i/>
                <w:sz w:val="24"/>
              </w:rPr>
              <w:t>generating </w:t>
            </w:r>
            <w:r>
              <w:rPr>
                <w:i/>
                <w:sz w:val="24"/>
              </w:rPr>
              <w:t>plant</w:t>
            </w:r>
            <w:r>
              <w:rPr>
                <w:sz w:val="24"/>
              </w:rPr>
              <w:t>:</w:t>
            </w:r>
          </w:p>
        </w:tc>
        <w:tc>
          <w:tcPr>
            <w:tcW w:w="4187" w:type="dxa"/>
            <w:gridSpan w:val="3"/>
          </w:tcPr>
          <w:p>
            <w:pPr>
              <w:pStyle w:val="TableParagraph"/>
              <w:spacing w:before="0"/>
              <w:ind w:left="0"/>
              <w:rPr>
                <w:sz w:val="22"/>
              </w:rPr>
            </w:pPr>
          </w:p>
        </w:tc>
      </w:tr>
      <w:tr>
        <w:trPr>
          <w:trHeight w:val="1583" w:hRule="atLeast"/>
        </w:trPr>
        <w:tc>
          <w:tcPr>
            <w:tcW w:w="4882" w:type="dxa"/>
          </w:tcPr>
          <w:p>
            <w:pPr>
              <w:pStyle w:val="TableParagraph"/>
              <w:spacing w:before="4"/>
              <w:ind w:left="0"/>
              <w:rPr>
                <w:sz w:val="32"/>
              </w:rPr>
            </w:pPr>
          </w:p>
          <w:p>
            <w:pPr>
              <w:pStyle w:val="TableParagraph"/>
              <w:spacing w:before="1"/>
              <w:ind w:left="40" w:right="370"/>
              <w:rPr>
                <w:i/>
                <w:sz w:val="24"/>
              </w:rPr>
            </w:pPr>
            <w:r>
              <w:rPr>
                <w:i/>
                <w:sz w:val="24"/>
              </w:rPr>
              <w:t>Day </w:t>
            </w:r>
            <w:r>
              <w:rPr>
                <w:sz w:val="24"/>
              </w:rPr>
              <w:t>of the peak summer and winter MW </w:t>
            </w:r>
            <w:r>
              <w:rPr>
                <w:i/>
                <w:sz w:val="24"/>
              </w:rPr>
              <w:t>peak </w:t>
            </w:r>
            <w:r>
              <w:rPr>
                <w:i/>
                <w:sz w:val="24"/>
              </w:rPr>
              <w:t>load </w:t>
            </w:r>
            <w:r>
              <w:rPr>
                <w:sz w:val="24"/>
              </w:rPr>
              <w:t>at </w:t>
            </w:r>
            <w:r>
              <w:rPr>
                <w:i/>
                <w:sz w:val="24"/>
              </w:rPr>
              <w:t>connection point</w:t>
            </w:r>
          </w:p>
        </w:tc>
        <w:tc>
          <w:tcPr>
            <w:tcW w:w="837" w:type="dxa"/>
          </w:tcPr>
          <w:p>
            <w:pPr>
              <w:pStyle w:val="TableParagraph"/>
              <w:spacing w:before="4"/>
              <w:ind w:left="0"/>
              <w:rPr>
                <w:sz w:val="32"/>
              </w:rPr>
            </w:pPr>
          </w:p>
          <w:p>
            <w:pPr>
              <w:pStyle w:val="TableParagraph"/>
              <w:spacing w:before="1"/>
              <w:ind w:left="105"/>
              <w:rPr>
                <w:sz w:val="24"/>
              </w:rPr>
            </w:pPr>
            <w:r>
              <w:rPr>
                <w:sz w:val="24"/>
              </w:rPr>
              <w:t>MW</w:t>
            </w:r>
          </w:p>
          <w:p>
            <w:pPr>
              <w:pStyle w:val="TableParagraph"/>
              <w:spacing w:before="0"/>
              <w:ind w:left="105" w:right="72"/>
              <w:rPr>
                <w:sz w:val="24"/>
              </w:rPr>
            </w:pPr>
            <w:r>
              <w:rPr>
                <w:sz w:val="24"/>
              </w:rPr>
              <w:t>and MVAr</w:t>
            </w:r>
          </w:p>
        </w:tc>
        <w:tc>
          <w:tcPr>
            <w:tcW w:w="1543" w:type="dxa"/>
          </w:tcPr>
          <w:p>
            <w:pPr>
              <w:pStyle w:val="TableParagraph"/>
              <w:spacing w:before="4"/>
              <w:ind w:left="0"/>
              <w:rPr>
                <w:sz w:val="32"/>
              </w:rPr>
            </w:pPr>
          </w:p>
          <w:p>
            <w:pPr>
              <w:pStyle w:val="TableParagraph"/>
              <w:spacing w:before="1"/>
              <w:ind w:left="93"/>
              <w:rPr>
                <w:sz w:val="24"/>
              </w:rPr>
            </w:pPr>
            <w:r>
              <w:rPr>
                <w:sz w:val="24"/>
              </w:rPr>
              <w:t>years 1-5</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739" w:hRule="atLeast"/>
        </w:trPr>
        <w:tc>
          <w:tcPr>
            <w:tcW w:w="4882" w:type="dxa"/>
          </w:tcPr>
          <w:p>
            <w:pPr>
              <w:pStyle w:val="TableParagraph"/>
              <w:spacing w:before="4"/>
              <w:ind w:left="0"/>
              <w:rPr>
                <w:sz w:val="32"/>
              </w:rPr>
            </w:pPr>
          </w:p>
          <w:p>
            <w:pPr>
              <w:pStyle w:val="TableParagraph"/>
              <w:spacing w:before="1"/>
              <w:ind w:left="40"/>
              <w:rPr>
                <w:sz w:val="24"/>
              </w:rPr>
            </w:pPr>
            <w:r>
              <w:rPr>
                <w:i/>
                <w:sz w:val="24"/>
              </w:rPr>
              <w:t>Day </w:t>
            </w:r>
            <w:r>
              <w:rPr>
                <w:sz w:val="24"/>
              </w:rPr>
              <w:t>of </w:t>
            </w:r>
            <w:r>
              <w:rPr>
                <w:i/>
                <w:sz w:val="24"/>
              </w:rPr>
              <w:t>network </w:t>
            </w:r>
            <w:r>
              <w:rPr>
                <w:sz w:val="24"/>
              </w:rPr>
              <w:t>peak summer and winter MW</w:t>
            </w:r>
          </w:p>
          <w:p>
            <w:pPr>
              <w:pStyle w:val="TableParagraph"/>
              <w:spacing w:before="0"/>
              <w:ind w:left="40"/>
              <w:rPr>
                <w:sz w:val="24"/>
              </w:rPr>
            </w:pPr>
            <w:r>
              <w:rPr>
                <w:i/>
                <w:sz w:val="24"/>
              </w:rPr>
              <w:t>load </w:t>
            </w:r>
            <w:r>
              <w:rPr>
                <w:sz w:val="24"/>
              </w:rPr>
              <w:t>(as specified)</w:t>
            </w:r>
          </w:p>
        </w:tc>
        <w:tc>
          <w:tcPr>
            <w:tcW w:w="837" w:type="dxa"/>
          </w:tcPr>
          <w:p>
            <w:pPr>
              <w:pStyle w:val="TableParagraph"/>
              <w:spacing w:before="4"/>
              <w:ind w:left="0"/>
              <w:rPr>
                <w:sz w:val="32"/>
              </w:rPr>
            </w:pPr>
          </w:p>
          <w:p>
            <w:pPr>
              <w:pStyle w:val="TableParagraph"/>
              <w:spacing w:before="1"/>
              <w:ind w:left="105"/>
              <w:rPr>
                <w:sz w:val="24"/>
              </w:rPr>
            </w:pPr>
            <w:r>
              <w:rPr>
                <w:sz w:val="24"/>
              </w:rPr>
              <w:t>MW</w:t>
            </w:r>
          </w:p>
          <w:p>
            <w:pPr>
              <w:pStyle w:val="TableParagraph"/>
              <w:spacing w:before="0"/>
              <w:ind w:left="105" w:right="72"/>
              <w:rPr>
                <w:sz w:val="24"/>
              </w:rPr>
            </w:pPr>
            <w:r>
              <w:rPr>
                <w:sz w:val="24"/>
              </w:rPr>
              <w:t>and MVAr</w:t>
            </w:r>
          </w:p>
        </w:tc>
        <w:tc>
          <w:tcPr>
            <w:tcW w:w="1543" w:type="dxa"/>
          </w:tcPr>
          <w:p>
            <w:pPr>
              <w:pStyle w:val="TableParagraph"/>
              <w:spacing w:before="4"/>
              <w:ind w:left="0"/>
              <w:rPr>
                <w:sz w:val="32"/>
              </w:rPr>
            </w:pPr>
          </w:p>
          <w:p>
            <w:pPr>
              <w:pStyle w:val="TableParagraph"/>
              <w:spacing w:before="1"/>
              <w:ind w:left="93"/>
              <w:rPr>
                <w:sz w:val="24"/>
              </w:rPr>
            </w:pPr>
            <w:r>
              <w:rPr>
                <w:sz w:val="24"/>
              </w:rPr>
              <w:t>years 1-5</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671" w:hRule="atLeast"/>
        </w:trPr>
        <w:tc>
          <w:tcPr>
            <w:tcW w:w="4882" w:type="dxa"/>
            <w:shd w:val="clear" w:color="auto" w:fill="D9D9D9"/>
          </w:tcPr>
          <w:p>
            <w:pPr>
              <w:pStyle w:val="TableParagraph"/>
              <w:ind w:left="40"/>
              <w:rPr>
                <w:rFonts w:ascii="Arial"/>
                <w:b/>
                <w:sz w:val="24"/>
              </w:rPr>
            </w:pPr>
            <w:r>
              <w:rPr>
                <w:rFonts w:ascii="Arial"/>
                <w:b/>
                <w:sz w:val="24"/>
              </w:rPr>
              <w:t>Data Description</w:t>
            </w:r>
          </w:p>
        </w:tc>
        <w:tc>
          <w:tcPr>
            <w:tcW w:w="837" w:type="dxa"/>
            <w:shd w:val="clear" w:color="auto" w:fill="D9D9D9"/>
          </w:tcPr>
          <w:p>
            <w:pPr>
              <w:pStyle w:val="TableParagraph"/>
              <w:ind w:left="105"/>
              <w:rPr>
                <w:rFonts w:ascii="Arial"/>
                <w:b/>
                <w:sz w:val="24"/>
              </w:rPr>
            </w:pPr>
            <w:r>
              <w:rPr>
                <w:rFonts w:ascii="Arial"/>
                <w:b/>
                <w:sz w:val="24"/>
              </w:rPr>
              <w:t>Units</w:t>
            </w:r>
          </w:p>
        </w:tc>
        <w:tc>
          <w:tcPr>
            <w:tcW w:w="1543" w:type="dxa"/>
            <w:shd w:val="clear" w:color="auto" w:fill="D9D9D9"/>
          </w:tcPr>
          <w:p>
            <w:pPr>
              <w:pStyle w:val="TableParagraph"/>
              <w:ind w:left="93"/>
              <w:rPr>
                <w:rFonts w:ascii="Arial"/>
                <w:b/>
                <w:sz w:val="24"/>
              </w:rPr>
            </w:pPr>
            <w:r>
              <w:rPr>
                <w:rFonts w:ascii="Arial"/>
                <w:b/>
                <w:sz w:val="24"/>
              </w:rPr>
              <w:t>Time Scale</w:t>
            </w:r>
          </w:p>
        </w:tc>
        <w:tc>
          <w:tcPr>
            <w:tcW w:w="1807" w:type="dxa"/>
            <w:shd w:val="clear" w:color="auto" w:fill="D9D9D9"/>
          </w:tcPr>
          <w:p>
            <w:pPr>
              <w:pStyle w:val="TableParagraph"/>
              <w:spacing w:line="270" w:lineRule="atLeast"/>
              <w:ind w:left="198" w:right="548"/>
              <w:rPr>
                <w:rFonts w:ascii="Arial"/>
                <w:b/>
                <w:sz w:val="24"/>
              </w:rPr>
            </w:pPr>
            <w:r>
              <w:rPr>
                <w:rFonts w:ascii="Arial"/>
                <w:b/>
                <w:sz w:val="24"/>
              </w:rPr>
              <w:t>Data Category</w:t>
            </w:r>
          </w:p>
        </w:tc>
      </w:tr>
      <w:tr>
        <w:trPr>
          <w:trHeight w:val="1055" w:hRule="atLeast"/>
        </w:trPr>
        <w:tc>
          <w:tcPr>
            <w:tcW w:w="4882" w:type="dxa"/>
          </w:tcPr>
          <w:p>
            <w:pPr>
              <w:pStyle w:val="TableParagraph"/>
              <w:ind w:left="40" w:right="83"/>
              <w:rPr>
                <w:sz w:val="24"/>
              </w:rPr>
            </w:pPr>
            <w:r>
              <w:rPr>
                <w:sz w:val="24"/>
              </w:rPr>
              <w:t>Each July, October, January, April under average conditions representing:</w:t>
            </w:r>
          </w:p>
        </w:tc>
        <w:tc>
          <w:tcPr>
            <w:tcW w:w="837" w:type="dxa"/>
          </w:tcPr>
          <w:p>
            <w:pPr>
              <w:pStyle w:val="TableParagraph"/>
              <w:spacing w:before="0"/>
              <w:ind w:left="0"/>
              <w:rPr>
                <w:sz w:val="22"/>
              </w:rPr>
            </w:pPr>
          </w:p>
        </w:tc>
        <w:tc>
          <w:tcPr>
            <w:tcW w:w="1543" w:type="dxa"/>
          </w:tcPr>
          <w:p>
            <w:pPr>
              <w:pStyle w:val="TableParagraph"/>
              <w:spacing w:before="0"/>
              <w:ind w:left="0"/>
              <w:rPr>
                <w:sz w:val="22"/>
              </w:rPr>
            </w:pPr>
          </w:p>
        </w:tc>
        <w:tc>
          <w:tcPr>
            <w:tcW w:w="1807" w:type="dxa"/>
          </w:tcPr>
          <w:p>
            <w:pPr>
              <w:pStyle w:val="TableParagraph"/>
              <w:spacing w:before="0"/>
              <w:ind w:left="0"/>
              <w:rPr>
                <w:sz w:val="22"/>
              </w:rPr>
            </w:pPr>
          </w:p>
        </w:tc>
      </w:tr>
      <w:tr>
        <w:trPr>
          <w:trHeight w:val="1583" w:hRule="atLeast"/>
        </w:trPr>
        <w:tc>
          <w:tcPr>
            <w:tcW w:w="4882" w:type="dxa"/>
          </w:tcPr>
          <w:p>
            <w:pPr>
              <w:pStyle w:val="TableParagraph"/>
              <w:spacing w:before="4"/>
              <w:ind w:left="0"/>
              <w:rPr>
                <w:sz w:val="32"/>
              </w:rPr>
            </w:pPr>
          </w:p>
          <w:p>
            <w:pPr>
              <w:pStyle w:val="TableParagraph"/>
              <w:tabs>
                <w:tab w:pos="606" w:val="left" w:leader="none"/>
              </w:tabs>
              <w:spacing w:before="1"/>
              <w:ind w:left="40"/>
              <w:rPr>
                <w:sz w:val="24"/>
              </w:rPr>
            </w:pPr>
            <w:r>
              <w:rPr>
                <w:sz w:val="24"/>
              </w:rPr>
              <w:t>(a)</w:t>
              <w:tab/>
              <w:t>weekdays</w:t>
            </w:r>
          </w:p>
        </w:tc>
        <w:tc>
          <w:tcPr>
            <w:tcW w:w="837" w:type="dxa"/>
          </w:tcPr>
          <w:p>
            <w:pPr>
              <w:pStyle w:val="TableParagraph"/>
              <w:spacing w:before="4"/>
              <w:ind w:left="0"/>
              <w:rPr>
                <w:sz w:val="32"/>
              </w:rPr>
            </w:pPr>
          </w:p>
          <w:p>
            <w:pPr>
              <w:pStyle w:val="TableParagraph"/>
              <w:spacing w:before="1"/>
              <w:ind w:left="105"/>
              <w:rPr>
                <w:sz w:val="24"/>
              </w:rPr>
            </w:pPr>
            <w:r>
              <w:rPr>
                <w:sz w:val="24"/>
              </w:rPr>
              <w:t>MW</w:t>
            </w:r>
          </w:p>
          <w:p>
            <w:pPr>
              <w:pStyle w:val="TableParagraph"/>
              <w:spacing w:before="0"/>
              <w:ind w:left="105" w:right="72"/>
              <w:rPr>
                <w:sz w:val="24"/>
              </w:rPr>
            </w:pPr>
            <w:r>
              <w:rPr>
                <w:sz w:val="24"/>
              </w:rPr>
              <w:t>and MVAr</w:t>
            </w:r>
          </w:p>
        </w:tc>
        <w:tc>
          <w:tcPr>
            <w:tcW w:w="1543" w:type="dxa"/>
          </w:tcPr>
          <w:p>
            <w:pPr>
              <w:pStyle w:val="TableParagraph"/>
              <w:spacing w:before="4"/>
              <w:ind w:left="0"/>
              <w:rPr>
                <w:sz w:val="32"/>
              </w:rPr>
            </w:pPr>
          </w:p>
          <w:p>
            <w:pPr>
              <w:pStyle w:val="TableParagraph"/>
              <w:spacing w:before="1"/>
              <w:ind w:left="93"/>
              <w:rPr>
                <w:sz w:val="24"/>
              </w:rPr>
            </w:pPr>
            <w:r>
              <w:rPr>
                <w:sz w:val="24"/>
              </w:rPr>
              <w:t>years 1-5</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583" w:hRule="atLeast"/>
        </w:trPr>
        <w:tc>
          <w:tcPr>
            <w:tcW w:w="4882" w:type="dxa"/>
          </w:tcPr>
          <w:p>
            <w:pPr>
              <w:pStyle w:val="TableParagraph"/>
              <w:spacing w:before="4"/>
              <w:ind w:left="0"/>
              <w:rPr>
                <w:sz w:val="32"/>
              </w:rPr>
            </w:pPr>
          </w:p>
          <w:p>
            <w:pPr>
              <w:pStyle w:val="TableParagraph"/>
              <w:tabs>
                <w:tab w:pos="606" w:val="left" w:leader="none"/>
              </w:tabs>
              <w:spacing w:before="1"/>
              <w:ind w:left="40"/>
              <w:rPr>
                <w:sz w:val="24"/>
              </w:rPr>
            </w:pPr>
            <w:r>
              <w:rPr>
                <w:sz w:val="24"/>
              </w:rPr>
              <w:t>(b)</w:t>
              <w:tab/>
              <w:t>Saturdays</w:t>
            </w:r>
          </w:p>
        </w:tc>
        <w:tc>
          <w:tcPr>
            <w:tcW w:w="837" w:type="dxa"/>
          </w:tcPr>
          <w:p>
            <w:pPr>
              <w:pStyle w:val="TableParagraph"/>
              <w:spacing w:before="4"/>
              <w:ind w:left="0"/>
              <w:rPr>
                <w:sz w:val="32"/>
              </w:rPr>
            </w:pPr>
          </w:p>
          <w:p>
            <w:pPr>
              <w:pStyle w:val="TableParagraph"/>
              <w:spacing w:before="1"/>
              <w:ind w:left="105"/>
              <w:rPr>
                <w:sz w:val="24"/>
              </w:rPr>
            </w:pPr>
            <w:r>
              <w:rPr>
                <w:sz w:val="24"/>
              </w:rPr>
              <w:t>MW</w:t>
            </w:r>
          </w:p>
          <w:p>
            <w:pPr>
              <w:pStyle w:val="TableParagraph"/>
              <w:spacing w:before="0"/>
              <w:ind w:left="105" w:right="72"/>
              <w:rPr>
                <w:sz w:val="24"/>
              </w:rPr>
            </w:pPr>
            <w:r>
              <w:rPr>
                <w:sz w:val="24"/>
              </w:rPr>
              <w:t>and MVAr</w:t>
            </w:r>
          </w:p>
        </w:tc>
        <w:tc>
          <w:tcPr>
            <w:tcW w:w="1543" w:type="dxa"/>
          </w:tcPr>
          <w:p>
            <w:pPr>
              <w:pStyle w:val="TableParagraph"/>
              <w:spacing w:before="4"/>
              <w:ind w:left="0"/>
              <w:rPr>
                <w:sz w:val="32"/>
              </w:rPr>
            </w:pPr>
          </w:p>
          <w:p>
            <w:pPr>
              <w:pStyle w:val="TableParagraph"/>
              <w:spacing w:before="1"/>
              <w:ind w:left="93"/>
              <w:rPr>
                <w:sz w:val="24"/>
              </w:rPr>
            </w:pPr>
            <w:r>
              <w:rPr>
                <w:sz w:val="24"/>
              </w:rPr>
              <w:t>years 1-5</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r>
        <w:trPr>
          <w:trHeight w:val="1200" w:hRule="atLeast"/>
        </w:trPr>
        <w:tc>
          <w:tcPr>
            <w:tcW w:w="4882" w:type="dxa"/>
          </w:tcPr>
          <w:p>
            <w:pPr>
              <w:pStyle w:val="TableParagraph"/>
              <w:spacing w:before="4"/>
              <w:ind w:left="0"/>
              <w:rPr>
                <w:sz w:val="32"/>
              </w:rPr>
            </w:pPr>
          </w:p>
          <w:p>
            <w:pPr>
              <w:pStyle w:val="TableParagraph"/>
              <w:tabs>
                <w:tab w:pos="606" w:val="left" w:leader="none"/>
              </w:tabs>
              <w:spacing w:before="1"/>
              <w:ind w:left="40"/>
              <w:rPr>
                <w:sz w:val="24"/>
              </w:rPr>
            </w:pPr>
            <w:r>
              <w:rPr>
                <w:sz w:val="24"/>
              </w:rPr>
              <w:t>(c)</w:t>
              <w:tab/>
              <w:t>Sundays/holidays</w:t>
            </w:r>
          </w:p>
        </w:tc>
        <w:tc>
          <w:tcPr>
            <w:tcW w:w="837" w:type="dxa"/>
          </w:tcPr>
          <w:p>
            <w:pPr>
              <w:pStyle w:val="TableParagraph"/>
              <w:spacing w:before="4"/>
              <w:ind w:left="0"/>
              <w:rPr>
                <w:sz w:val="32"/>
              </w:rPr>
            </w:pPr>
          </w:p>
          <w:p>
            <w:pPr>
              <w:pStyle w:val="TableParagraph"/>
              <w:spacing w:before="1"/>
              <w:ind w:left="105"/>
              <w:rPr>
                <w:sz w:val="24"/>
              </w:rPr>
            </w:pPr>
            <w:r>
              <w:rPr>
                <w:sz w:val="24"/>
              </w:rPr>
              <w:t>MW</w:t>
            </w:r>
          </w:p>
          <w:p>
            <w:pPr>
              <w:pStyle w:val="TableParagraph"/>
              <w:spacing w:line="270" w:lineRule="atLeast" w:before="0"/>
              <w:ind w:left="105" w:right="72"/>
              <w:rPr>
                <w:sz w:val="24"/>
              </w:rPr>
            </w:pPr>
            <w:r>
              <w:rPr>
                <w:sz w:val="24"/>
              </w:rPr>
              <w:t>and MVAr</w:t>
            </w:r>
          </w:p>
        </w:tc>
        <w:tc>
          <w:tcPr>
            <w:tcW w:w="1543" w:type="dxa"/>
          </w:tcPr>
          <w:p>
            <w:pPr>
              <w:pStyle w:val="TableParagraph"/>
              <w:spacing w:before="4"/>
              <w:ind w:left="0"/>
              <w:rPr>
                <w:sz w:val="32"/>
              </w:rPr>
            </w:pPr>
          </w:p>
          <w:p>
            <w:pPr>
              <w:pStyle w:val="TableParagraph"/>
              <w:spacing w:before="1"/>
              <w:ind w:left="93"/>
              <w:rPr>
                <w:sz w:val="24"/>
              </w:rPr>
            </w:pPr>
            <w:r>
              <w:rPr>
                <w:sz w:val="24"/>
              </w:rPr>
              <w:t>years 1-5</w:t>
            </w:r>
          </w:p>
        </w:tc>
        <w:tc>
          <w:tcPr>
            <w:tcW w:w="1807" w:type="dxa"/>
          </w:tcPr>
          <w:p>
            <w:pPr>
              <w:pStyle w:val="TableParagraph"/>
              <w:spacing w:before="4"/>
              <w:ind w:left="0"/>
              <w:rPr>
                <w:sz w:val="32"/>
              </w:rPr>
            </w:pPr>
          </w:p>
          <w:p>
            <w:pPr>
              <w:pStyle w:val="TableParagraph"/>
              <w:spacing w:before="1"/>
              <w:ind w:left="198"/>
              <w:rPr>
                <w:sz w:val="24"/>
              </w:rPr>
            </w:pPr>
            <w:r>
              <w:rPr>
                <w:sz w:val="24"/>
              </w:rPr>
              <w:t>Annual</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p>
      <w:pPr>
        <w:pStyle w:val="BodyText"/>
        <w:spacing w:before="0"/>
        <w:ind w:left="218" w:firstLine="0"/>
        <w:jc w:val="left"/>
        <w:rPr>
          <w:sz w:val="20"/>
        </w:rPr>
      </w:pPr>
      <w:r>
        <w:rPr>
          <w:sz w:val="20"/>
        </w:rPr>
        <w:pict>
          <v:group style="width:453.55pt;height:33.6pt;mso-position-horizontal-relative:char;mso-position-vertical-relative:line" coordorigin="0,0" coordsize="9071,672">
            <v:rect style="position:absolute;left:0;top:0;width:4948;height:672" filled="true" fillcolor="#d9d9d9" stroked="false">
              <v:fill type="solid"/>
            </v:rect>
            <v:rect style="position:absolute;left:4948;top:0;width:824;height:672" filled="true" fillcolor="#d9d9d9" stroked="false">
              <v:fill type="solid"/>
            </v:rect>
            <v:rect style="position:absolute;left:5772;top:0;width:1649;height:672" filled="true" fillcolor="#d9d9d9" stroked="false">
              <v:fill type="solid"/>
            </v:rect>
            <v:rect style="position:absolute;left:7421;top:0;width:1650;height:672" filled="true" fillcolor="#d9d9d9" stroked="false">
              <v:fill type="solid"/>
            </v:rect>
            <v:shape style="position:absolute;left:4988;top:127;width:3533;height:545" type="#_x0000_t202" filled="false" stroked="false">
              <v:textbox inset="0,0,0,0">
                <w:txbxContent>
                  <w:p>
                    <w:pPr>
                      <w:tabs>
                        <w:tab w:pos="823" w:val="left" w:leader="none"/>
                        <w:tab w:pos="2472" w:val="left" w:leader="none"/>
                      </w:tabs>
                      <w:spacing w:line="268" w:lineRule="exact" w:before="0"/>
                      <w:ind w:left="0" w:right="0" w:firstLine="0"/>
                      <w:jc w:val="left"/>
                      <w:rPr>
                        <w:rFonts w:ascii="Arial"/>
                        <w:b/>
                        <w:sz w:val="24"/>
                      </w:rPr>
                    </w:pPr>
                    <w:r>
                      <w:rPr>
                        <w:rFonts w:ascii="Arial"/>
                        <w:b/>
                        <w:sz w:val="24"/>
                      </w:rPr>
                      <w:t>Units</w:t>
                      <w:tab/>
                      <w:t>Time Scale</w:t>
                      <w:tab/>
                      <w:t>Data</w:t>
                    </w:r>
                  </w:p>
                  <w:p>
                    <w:pPr>
                      <w:spacing w:before="0"/>
                      <w:ind w:left="2472" w:right="0" w:firstLine="0"/>
                      <w:jc w:val="left"/>
                      <w:rPr>
                        <w:rFonts w:ascii="Arial"/>
                        <w:b/>
                        <w:sz w:val="24"/>
                      </w:rPr>
                    </w:pPr>
                    <w:r>
                      <w:rPr>
                        <w:rFonts w:ascii="Arial"/>
                        <w:b/>
                        <w:sz w:val="24"/>
                      </w:rPr>
                      <w:t>Category</w:t>
                    </w:r>
                  </w:p>
                </w:txbxContent>
              </v:textbox>
              <w10:wrap type="none"/>
            </v:shape>
            <v:shape style="position:absolute;left:40;top:127;width:1927;height:269" type="#_x0000_t202" filled="false" stroked="false">
              <v:textbox inset="0,0,0,0">
                <w:txbxContent>
                  <w:p>
                    <w:pPr>
                      <w:spacing w:line="268" w:lineRule="exact" w:before="0"/>
                      <w:ind w:left="0" w:right="0" w:firstLine="0"/>
                      <w:jc w:val="left"/>
                      <w:rPr>
                        <w:rFonts w:ascii="Arial"/>
                        <w:b/>
                        <w:sz w:val="24"/>
                      </w:rPr>
                    </w:pPr>
                    <w:r>
                      <w:rPr>
                        <w:rFonts w:ascii="Arial"/>
                        <w:b/>
                        <w:sz w:val="24"/>
                      </w:rPr>
                      <w:t>Data Description</w:t>
                    </w:r>
                  </w:p>
                </w:txbxContent>
              </v:textbox>
              <w10:wrap type="none"/>
            </v:shape>
          </v:group>
        </w:pict>
      </w:r>
      <w:r>
        <w:rPr>
          <w:sz w:val="20"/>
        </w:rPr>
      </w:r>
    </w:p>
    <w:p>
      <w:pPr>
        <w:pStyle w:val="BodyText"/>
        <w:spacing w:before="0"/>
        <w:ind w:firstLine="0"/>
        <w:jc w:val="left"/>
        <w:rPr>
          <w:sz w:val="20"/>
        </w:rPr>
      </w:pPr>
    </w:p>
    <w:p>
      <w:pPr>
        <w:pStyle w:val="BodyText"/>
        <w:spacing w:before="1"/>
        <w:ind w:firstLine="0"/>
        <w:jc w:val="left"/>
        <w:rPr>
          <w:sz w:val="25"/>
        </w:rPr>
      </w:pPr>
    </w:p>
    <w:p>
      <w:pPr>
        <w:spacing w:after="0"/>
        <w:jc w:val="left"/>
        <w:rPr>
          <w:sz w:val="25"/>
        </w:rPr>
        <w:sectPr>
          <w:pgSz w:w="11910" w:h="16840"/>
          <w:pgMar w:header="686" w:footer="637" w:top="1320" w:bottom="820" w:left="1200" w:right="1000"/>
        </w:sectPr>
      </w:pPr>
    </w:p>
    <w:p>
      <w:pPr>
        <w:spacing w:before="90"/>
        <w:ind w:left="258" w:right="20" w:firstLine="0"/>
        <w:jc w:val="left"/>
        <w:rPr>
          <w:sz w:val="24"/>
        </w:rPr>
      </w:pPr>
      <w:r>
        <w:rPr>
          <w:i/>
          <w:sz w:val="24"/>
        </w:rPr>
        <w:t>Day </w:t>
      </w:r>
      <w:r>
        <w:rPr>
          <w:sz w:val="24"/>
        </w:rPr>
        <w:t>of the </w:t>
      </w:r>
      <w:r>
        <w:rPr>
          <w:i/>
          <w:sz w:val="24"/>
        </w:rPr>
        <w:t>network </w:t>
      </w:r>
      <w:r>
        <w:rPr>
          <w:sz w:val="24"/>
        </w:rPr>
        <w:t>minimum demand (as specified)</w:t>
      </w:r>
    </w:p>
    <w:p>
      <w:pPr>
        <w:spacing w:before="90"/>
        <w:ind w:left="258" w:right="0" w:firstLine="0"/>
        <w:jc w:val="left"/>
        <w:rPr>
          <w:sz w:val="24"/>
        </w:rPr>
      </w:pPr>
      <w:r>
        <w:rPr/>
        <w:br w:type="column"/>
      </w:r>
      <w:r>
        <w:rPr>
          <w:sz w:val="24"/>
        </w:rPr>
        <w:t>MW</w:t>
      </w:r>
    </w:p>
    <w:p>
      <w:pPr>
        <w:pStyle w:val="BodyText"/>
        <w:spacing w:before="0"/>
        <w:ind w:left="258" w:right="-20" w:firstLine="0"/>
        <w:jc w:val="left"/>
      </w:pPr>
      <w:r>
        <w:rPr/>
        <w:t>and MVAr</w:t>
      </w:r>
    </w:p>
    <w:p>
      <w:pPr>
        <w:pStyle w:val="BodyText"/>
        <w:tabs>
          <w:tab w:pos="1793" w:val="left" w:leader="none"/>
        </w:tabs>
        <w:spacing w:before="90"/>
        <w:ind w:left="144" w:firstLine="0"/>
        <w:jc w:val="left"/>
      </w:pPr>
      <w:r>
        <w:rPr/>
        <w:br w:type="column"/>
      </w:r>
      <w:r>
        <w:rPr/>
        <w:t>years 1-5</w:t>
        <w:tab/>
        <w:t>Annual</w:t>
      </w:r>
    </w:p>
    <w:p>
      <w:pPr>
        <w:spacing w:after="0"/>
        <w:jc w:val="left"/>
        <w:sectPr>
          <w:type w:val="continuous"/>
          <w:pgSz w:w="11910" w:h="16840"/>
          <w:pgMar w:top="1360" w:bottom="280" w:left="1200" w:right="1000"/>
          <w:cols w:num="3" w:equalWidth="0">
            <w:col w:w="4298" w:space="650"/>
            <w:col w:w="898" w:space="39"/>
            <w:col w:w="3825"/>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spacing w:before="90"/>
        <w:ind w:left="1083" w:right="0" w:firstLine="0"/>
        <w:jc w:val="left"/>
        <w:rPr>
          <w:sz w:val="24"/>
        </w:rPr>
      </w:pPr>
      <w:r>
        <w:rPr>
          <w:sz w:val="24"/>
        </w:rPr>
        <w:t>Undispatched</w:t>
      </w:r>
      <w:r>
        <w:rPr>
          <w:spacing w:val="-13"/>
          <w:sz w:val="24"/>
        </w:rPr>
        <w:t> </w:t>
      </w:r>
      <w:r>
        <w:rPr>
          <w:i/>
          <w:sz w:val="24"/>
        </w:rPr>
        <w:t>generation</w:t>
      </w:r>
      <w:r>
        <w:rPr>
          <w:sz w:val="24"/>
        </w:rPr>
        <w:t>:</w:t>
      </w:r>
    </w:p>
    <w:p>
      <w:pPr>
        <w:pStyle w:val="BodyText"/>
        <w:spacing w:before="0"/>
        <w:ind w:firstLine="0"/>
        <w:jc w:val="left"/>
        <w:rPr>
          <w:sz w:val="26"/>
        </w:rPr>
      </w:pPr>
    </w:p>
    <w:p>
      <w:pPr>
        <w:pStyle w:val="BodyText"/>
        <w:spacing w:before="0"/>
        <w:ind w:firstLine="0"/>
        <w:jc w:val="left"/>
        <w:rPr>
          <w:sz w:val="26"/>
        </w:rPr>
      </w:pPr>
    </w:p>
    <w:p>
      <w:pPr>
        <w:spacing w:before="158"/>
        <w:ind w:left="258" w:right="5158" w:firstLine="0"/>
        <w:jc w:val="left"/>
        <w:rPr>
          <w:sz w:val="24"/>
        </w:rPr>
      </w:pPr>
      <w:r>
        <w:rPr>
          <w:sz w:val="24"/>
        </w:rPr>
        <w:t>For each </w:t>
      </w:r>
      <w:r>
        <w:rPr>
          <w:i/>
          <w:sz w:val="24"/>
        </w:rPr>
        <w:t>connection point </w:t>
      </w:r>
      <w:r>
        <w:rPr>
          <w:sz w:val="24"/>
        </w:rPr>
        <w:t>to the </w:t>
      </w:r>
      <w:r>
        <w:rPr>
          <w:i/>
          <w:sz w:val="24"/>
        </w:rPr>
        <w:t>network </w:t>
      </w:r>
      <w:r>
        <w:rPr>
          <w:spacing w:val="-4"/>
          <w:sz w:val="24"/>
        </w:rPr>
        <w:t>the </w:t>
      </w:r>
      <w:r>
        <w:rPr>
          <w:sz w:val="24"/>
        </w:rPr>
        <w:t>following information is</w:t>
      </w:r>
      <w:r>
        <w:rPr>
          <w:spacing w:val="-1"/>
          <w:sz w:val="24"/>
        </w:rPr>
        <w:t> </w:t>
      </w:r>
      <w:r>
        <w:rPr>
          <w:sz w:val="24"/>
        </w:rPr>
        <w:t>required:</w:t>
      </w:r>
    </w:p>
    <w:p>
      <w:pPr>
        <w:pStyle w:val="BodyText"/>
        <w:spacing w:before="0"/>
        <w:ind w:firstLine="0"/>
        <w:jc w:val="left"/>
        <w:rPr>
          <w:sz w:val="26"/>
        </w:rPr>
      </w:pPr>
    </w:p>
    <w:p>
      <w:pPr>
        <w:pStyle w:val="BodyText"/>
        <w:spacing w:before="0"/>
        <w:ind w:firstLine="0"/>
        <w:jc w:val="left"/>
        <w:rPr>
          <w:sz w:val="26"/>
        </w:rPr>
      </w:pPr>
    </w:p>
    <w:p>
      <w:pPr>
        <w:tabs>
          <w:tab w:pos="5205" w:val="left" w:leader="none"/>
          <w:tab w:pos="6029" w:val="left" w:leader="none"/>
          <w:tab w:pos="7678" w:val="left" w:leader="none"/>
        </w:tabs>
        <w:spacing w:before="158"/>
        <w:ind w:left="258" w:right="0" w:firstLine="0"/>
        <w:jc w:val="left"/>
        <w:rPr>
          <w:sz w:val="24"/>
        </w:rPr>
      </w:pPr>
      <w:r>
        <w:rPr>
          <w:sz w:val="24"/>
        </w:rPr>
        <w:t>No. of</w:t>
      </w:r>
      <w:r>
        <w:rPr>
          <w:spacing w:val="-3"/>
          <w:sz w:val="24"/>
        </w:rPr>
        <w:t> </w:t>
      </w:r>
      <w:r>
        <w:rPr>
          <w:i/>
          <w:sz w:val="24"/>
        </w:rPr>
        <w:t>generating units</w:t>
        <w:tab/>
      </w:r>
      <w:r>
        <w:rPr>
          <w:sz w:val="24"/>
        </w:rPr>
        <w:t>No.</w:t>
        <w:tab/>
        <w:t>years 1-5</w:t>
        <w:tab/>
        <w:t>Annual</w:t>
      </w:r>
    </w:p>
    <w:p>
      <w:pPr>
        <w:pStyle w:val="BodyText"/>
        <w:spacing w:before="0"/>
        <w:ind w:firstLine="0"/>
        <w:jc w:val="left"/>
        <w:rPr>
          <w:sz w:val="20"/>
        </w:rPr>
      </w:pPr>
    </w:p>
    <w:p>
      <w:pPr>
        <w:pStyle w:val="BodyText"/>
        <w:spacing w:before="0"/>
        <w:ind w:firstLine="0"/>
        <w:jc w:val="left"/>
        <w:rPr>
          <w:sz w:val="20"/>
        </w:rPr>
      </w:pPr>
    </w:p>
    <w:p>
      <w:pPr>
        <w:pStyle w:val="BodyText"/>
        <w:spacing w:before="10"/>
        <w:ind w:firstLine="0"/>
        <w:jc w:val="left"/>
        <w:rPr>
          <w:sz w:val="17"/>
        </w:rPr>
      </w:pPr>
    </w:p>
    <w:p>
      <w:pPr>
        <w:spacing w:after="0"/>
        <w:jc w:val="left"/>
        <w:rPr>
          <w:sz w:val="17"/>
        </w:rPr>
        <w:sectPr>
          <w:type w:val="continuous"/>
          <w:pgSz w:w="11910" w:h="16840"/>
          <w:pgMar w:top="1360" w:bottom="280" w:left="1200" w:right="1000"/>
        </w:sectPr>
      </w:pPr>
    </w:p>
    <w:p>
      <w:pPr>
        <w:tabs>
          <w:tab w:pos="5205" w:val="left" w:leader="none"/>
        </w:tabs>
        <w:spacing w:before="90"/>
        <w:ind w:left="5205" w:right="38" w:hanging="4948"/>
        <w:jc w:val="both"/>
        <w:rPr>
          <w:sz w:val="24"/>
        </w:rPr>
      </w:pPr>
      <w:r>
        <w:rPr>
          <w:sz w:val="24"/>
        </w:rPr>
        <w:t>Capacity of each</w:t>
      </w:r>
      <w:r>
        <w:rPr>
          <w:spacing w:val="-2"/>
          <w:sz w:val="24"/>
        </w:rPr>
        <w:t> </w:t>
      </w:r>
      <w:r>
        <w:rPr>
          <w:i/>
          <w:sz w:val="24"/>
        </w:rPr>
        <w:t>generating unit</w:t>
        <w:tab/>
      </w:r>
      <w:r>
        <w:rPr>
          <w:sz w:val="24"/>
        </w:rPr>
        <w:t>MW (sent out)</w:t>
      </w:r>
    </w:p>
    <w:p>
      <w:pPr>
        <w:pStyle w:val="BodyText"/>
        <w:tabs>
          <w:tab w:pos="1906" w:val="left" w:leader="none"/>
        </w:tabs>
        <w:spacing w:before="90"/>
        <w:ind w:left="258" w:firstLine="0"/>
        <w:jc w:val="left"/>
      </w:pPr>
      <w:r>
        <w:rPr/>
        <w:br w:type="column"/>
      </w:r>
      <w:r>
        <w:rPr/>
        <w:t>years 1-5</w:t>
        <w:tab/>
        <w:t>Annual</w:t>
      </w:r>
    </w:p>
    <w:p>
      <w:pPr>
        <w:spacing w:after="0"/>
        <w:jc w:val="left"/>
        <w:sectPr>
          <w:type w:val="continuous"/>
          <w:pgSz w:w="11910" w:h="16840"/>
          <w:pgMar w:top="1360" w:bottom="280" w:left="1200" w:right="1000"/>
          <w:cols w:num="2" w:equalWidth="0">
            <w:col w:w="5713" w:space="59"/>
            <w:col w:w="3938"/>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pStyle w:val="BodyText"/>
        <w:tabs>
          <w:tab w:pos="5205" w:val="left" w:leader="none"/>
          <w:tab w:pos="6029" w:val="left" w:leader="none"/>
          <w:tab w:pos="7678" w:val="left" w:leader="none"/>
        </w:tabs>
        <w:spacing w:before="90"/>
        <w:ind w:left="258" w:firstLine="0"/>
        <w:jc w:val="left"/>
      </w:pPr>
      <w:r>
        <w:rPr/>
        <w:t>Daily/Seasonal</w:t>
      </w:r>
      <w:r>
        <w:rPr>
          <w:spacing w:val="-5"/>
        </w:rPr>
        <w:t> </w:t>
      </w:r>
      <w:r>
        <w:rPr/>
        <w:t>Operating</w:t>
      </w:r>
      <w:r>
        <w:rPr>
          <w:spacing w:val="-6"/>
        </w:rPr>
        <w:t> </w:t>
      </w:r>
      <w:r>
        <w:rPr/>
        <w:t>characteristics</w:t>
        <w:tab/>
        <w:t>Text</w:t>
        <w:tab/>
        <w:t>years 1-5</w:t>
        <w:tab/>
        <w:t>Annual</w:t>
      </w:r>
    </w:p>
    <w:p>
      <w:pPr>
        <w:pStyle w:val="BodyText"/>
        <w:spacing w:before="0"/>
        <w:ind w:firstLine="0"/>
        <w:jc w:val="left"/>
        <w:rPr>
          <w:sz w:val="20"/>
        </w:rPr>
      </w:pPr>
    </w:p>
    <w:p>
      <w:pPr>
        <w:pStyle w:val="BodyText"/>
        <w:spacing w:before="0"/>
        <w:ind w:firstLine="0"/>
        <w:jc w:val="left"/>
        <w:rPr>
          <w:sz w:val="20"/>
        </w:rPr>
      </w:pPr>
    </w:p>
    <w:p>
      <w:pPr>
        <w:pStyle w:val="BodyText"/>
        <w:spacing w:before="10"/>
        <w:ind w:firstLine="0"/>
        <w:jc w:val="left"/>
        <w:rPr>
          <w:sz w:val="17"/>
        </w:rPr>
      </w:pPr>
    </w:p>
    <w:p>
      <w:pPr>
        <w:spacing w:after="0"/>
        <w:jc w:val="left"/>
        <w:rPr>
          <w:sz w:val="17"/>
        </w:rPr>
        <w:sectPr>
          <w:type w:val="continuous"/>
          <w:pgSz w:w="11910" w:h="16840"/>
          <w:pgMar w:top="1360" w:bottom="280" w:left="1200" w:right="1000"/>
        </w:sectPr>
      </w:pPr>
    </w:p>
    <w:p>
      <w:pPr>
        <w:pStyle w:val="BodyText"/>
        <w:spacing w:before="90"/>
        <w:ind w:left="258" w:firstLine="0"/>
        <w:jc w:val="left"/>
      </w:pPr>
      <w:r>
        <w:rPr/>
        <w:t>Expected output at time of peak </w:t>
      </w:r>
      <w:r>
        <w:rPr>
          <w:i/>
        </w:rPr>
        <w:t>network </w:t>
      </w:r>
      <w:r>
        <w:rPr/>
        <w:t>Winter</w:t>
      </w:r>
    </w:p>
    <w:p>
      <w:pPr>
        <w:spacing w:before="0"/>
        <w:ind w:left="258" w:right="0" w:firstLine="0"/>
        <w:jc w:val="left"/>
        <w:rPr>
          <w:sz w:val="24"/>
        </w:rPr>
      </w:pPr>
      <w:r>
        <w:rPr>
          <w:i/>
          <w:sz w:val="24"/>
        </w:rPr>
        <w:t>load </w:t>
      </w:r>
      <w:r>
        <w:rPr>
          <w:sz w:val="24"/>
        </w:rPr>
        <w:t>(as specified)</w:t>
      </w:r>
    </w:p>
    <w:p>
      <w:pPr>
        <w:pStyle w:val="BodyText"/>
        <w:tabs>
          <w:tab w:pos="1081" w:val="left" w:leader="none"/>
          <w:tab w:pos="2730" w:val="left" w:leader="none"/>
        </w:tabs>
        <w:spacing w:before="90"/>
        <w:ind w:left="258" w:firstLine="0"/>
        <w:jc w:val="left"/>
      </w:pPr>
      <w:r>
        <w:rPr/>
        <w:br w:type="column"/>
      </w:r>
      <w:r>
        <w:rPr/>
        <w:t>MW</w:t>
        <w:tab/>
        <w:t>years 1-5</w:t>
        <w:tab/>
        <w:t>Annual</w:t>
      </w:r>
    </w:p>
    <w:p>
      <w:pPr>
        <w:spacing w:after="0"/>
        <w:jc w:val="left"/>
        <w:sectPr>
          <w:type w:val="continuous"/>
          <w:pgSz w:w="11910" w:h="16840"/>
          <w:pgMar w:top="1360" w:bottom="280" w:left="1200" w:right="1000"/>
          <w:cols w:num="2" w:equalWidth="0">
            <w:col w:w="4878" w:space="70"/>
            <w:col w:w="4762"/>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11"/>
        <w:ind w:firstLine="0"/>
        <w:jc w:val="left"/>
        <w:rPr>
          <w:sz w:val="17"/>
        </w:rPr>
      </w:pPr>
    </w:p>
    <w:p>
      <w:pPr>
        <w:spacing w:after="0"/>
        <w:jc w:val="left"/>
        <w:rPr>
          <w:sz w:val="17"/>
        </w:rPr>
        <w:sectPr>
          <w:type w:val="continuous"/>
          <w:pgSz w:w="11910" w:h="16840"/>
          <w:pgMar w:top="1360" w:bottom="280" w:left="1200" w:right="1000"/>
        </w:sectPr>
      </w:pPr>
    </w:p>
    <w:p>
      <w:pPr>
        <w:pStyle w:val="BodyText"/>
        <w:spacing w:before="90"/>
        <w:ind w:left="258" w:firstLine="0"/>
        <w:jc w:val="left"/>
      </w:pPr>
      <w:r>
        <w:rPr/>
        <w:t>Expected output at time of peak </w:t>
      </w:r>
      <w:r>
        <w:rPr>
          <w:i/>
        </w:rPr>
        <w:t>network </w:t>
      </w:r>
      <w:r>
        <w:rPr/>
        <w:t>Summer</w:t>
      </w:r>
    </w:p>
    <w:p>
      <w:pPr>
        <w:spacing w:before="0"/>
        <w:ind w:left="258" w:right="0" w:firstLine="0"/>
        <w:jc w:val="left"/>
        <w:rPr>
          <w:sz w:val="24"/>
        </w:rPr>
      </w:pPr>
      <w:r>
        <w:rPr>
          <w:i/>
          <w:sz w:val="24"/>
        </w:rPr>
        <w:t>load </w:t>
      </w:r>
      <w:r>
        <w:rPr>
          <w:sz w:val="24"/>
        </w:rPr>
        <w:t>(as specified)</w:t>
      </w:r>
    </w:p>
    <w:p>
      <w:pPr>
        <w:pStyle w:val="BodyText"/>
        <w:tabs>
          <w:tab w:pos="966" w:val="left" w:leader="none"/>
          <w:tab w:pos="2615" w:val="left" w:leader="none"/>
        </w:tabs>
        <w:spacing w:before="90"/>
        <w:ind w:left="142" w:firstLine="0"/>
        <w:jc w:val="left"/>
      </w:pPr>
      <w:r>
        <w:rPr/>
        <w:br w:type="column"/>
      </w:r>
      <w:r>
        <w:rPr/>
        <w:t>MW</w:t>
        <w:tab/>
        <w:t>years 1-5</w:t>
        <w:tab/>
        <w:t>Annual</w:t>
      </w:r>
    </w:p>
    <w:p>
      <w:pPr>
        <w:spacing w:after="0"/>
        <w:jc w:val="left"/>
        <w:sectPr>
          <w:type w:val="continuous"/>
          <w:pgSz w:w="11910" w:h="16840"/>
          <w:pgMar w:top="1360" w:bottom="280" w:left="1200" w:right="1000"/>
          <w:cols w:num="2" w:equalWidth="0">
            <w:col w:w="5024" w:space="40"/>
            <w:col w:w="4646"/>
          </w:cols>
        </w:sectPr>
      </w:pPr>
    </w:p>
    <w:p>
      <w:pPr>
        <w:pStyle w:val="BodyText"/>
        <w:spacing w:before="0"/>
        <w:ind w:firstLine="0"/>
        <w:jc w:val="left"/>
        <w:rPr>
          <w:sz w:val="20"/>
        </w:rPr>
      </w:pPr>
    </w:p>
    <w:p>
      <w:pPr>
        <w:pStyle w:val="BodyText"/>
        <w:spacing w:before="4"/>
        <w:ind w:firstLine="0"/>
        <w:jc w:val="left"/>
        <w:rPr>
          <w:sz w:val="27"/>
        </w:rPr>
      </w:pPr>
    </w:p>
    <w:p>
      <w:pPr>
        <w:pStyle w:val="Heading2"/>
        <w:tabs>
          <w:tab w:pos="2485" w:val="left" w:leader="none"/>
        </w:tabs>
        <w:spacing w:before="91"/>
      </w:pPr>
      <w:bookmarkStart w:name="Schedule 5.8 Distribution Annual Plannin" w:id="1110"/>
      <w:bookmarkEnd w:id="1110"/>
      <w:r>
        <w:rPr>
          <w:b w:val="0"/>
        </w:rPr>
      </w:r>
      <w:bookmarkStart w:name="_bookmark447" w:id="1111"/>
      <w:bookmarkEnd w:id="1111"/>
      <w:r>
        <w:rPr>
          <w:b w:val="0"/>
        </w:rPr>
      </w:r>
      <w:r>
        <w:rPr/>
        <w:t>Schedule</w:t>
      </w:r>
      <w:r>
        <w:rPr>
          <w:spacing w:val="-1"/>
        </w:rPr>
        <w:t> </w:t>
      </w:r>
      <w:r>
        <w:rPr/>
        <w:t>5.8</w:t>
        <w:tab/>
        <w:t>Distribution Annual Planning</w:t>
      </w:r>
      <w:r>
        <w:rPr>
          <w:spacing w:val="-4"/>
        </w:rPr>
        <w:t> </w:t>
      </w:r>
      <w:r>
        <w:rPr/>
        <w:t>Report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local definitions in clause 5.10.2 apply to this schedule.</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application of paragraph (m) of this schedule will be revisited as part of the phased implementation of the </w:t>
      </w:r>
      <w:r>
        <w:rPr>
          <w:i/>
          <w:sz w:val="20"/>
        </w:rPr>
        <w:t>Rules </w:t>
      </w:r>
      <w:r>
        <w:rPr>
          <w:sz w:val="20"/>
        </w:rPr>
        <w:t>in this jurisdiction.</w:t>
      </w:r>
    </w:p>
    <w:p>
      <w:pPr>
        <w:spacing w:before="120"/>
        <w:ind w:left="1352" w:right="565" w:firstLine="0"/>
        <w:jc w:val="left"/>
        <w:rPr>
          <w:sz w:val="24"/>
        </w:rPr>
      </w:pPr>
      <w:r>
        <w:rPr>
          <w:sz w:val="24"/>
        </w:rPr>
        <w:t>For the purposes of clause 5.13.2(c), the following information must be included in a </w:t>
      </w:r>
      <w:r>
        <w:rPr>
          <w:i/>
          <w:sz w:val="24"/>
        </w:rPr>
        <w:t>Distribution Annual Planning</w:t>
      </w:r>
      <w:r>
        <w:rPr>
          <w:i/>
          <w:spacing w:val="-1"/>
          <w:sz w:val="24"/>
        </w:rPr>
        <w:t> </w:t>
      </w:r>
      <w:r>
        <w:rPr>
          <w:i/>
          <w:sz w:val="24"/>
        </w:rPr>
        <w:t>Report</w:t>
      </w:r>
      <w:r>
        <w:rPr>
          <w:sz w:val="24"/>
        </w:rPr>
        <w:t>:</w:t>
      </w:r>
    </w:p>
    <w:p>
      <w:pPr>
        <w:spacing w:after="0"/>
        <w:jc w:val="left"/>
        <w:rPr>
          <w:sz w:val="24"/>
        </w:rPr>
        <w:sectPr>
          <w:type w:val="continuous"/>
          <w:pgSz w:w="11910" w:h="16840"/>
          <w:pgMar w:top="1360" w:bottom="280" w:left="1200" w:right="1000"/>
        </w:sectPr>
      </w:pPr>
    </w:p>
    <w:p>
      <w:pPr>
        <w:pStyle w:val="ListParagraph"/>
        <w:numPr>
          <w:ilvl w:val="0"/>
          <w:numId w:val="339"/>
        </w:numPr>
        <w:tabs>
          <w:tab w:pos="1918" w:val="left" w:leader="none"/>
          <w:tab w:pos="1919" w:val="left" w:leader="none"/>
        </w:tabs>
        <w:spacing w:line="240" w:lineRule="auto" w:before="83" w:after="0"/>
        <w:ind w:left="1918" w:right="0" w:hanging="567"/>
        <w:jc w:val="left"/>
        <w:rPr>
          <w:sz w:val="24"/>
        </w:rPr>
      </w:pPr>
      <w:r>
        <w:rPr>
          <w:sz w:val="24"/>
        </w:rPr>
        <w:t>information regarding the </w:t>
      </w:r>
      <w:r>
        <w:rPr>
          <w:i/>
          <w:sz w:val="24"/>
        </w:rPr>
        <w:t>Distribution Network Service Provider </w:t>
      </w:r>
      <w:r>
        <w:rPr>
          <w:sz w:val="24"/>
        </w:rPr>
        <w:t>and</w:t>
      </w:r>
      <w:r>
        <w:rPr>
          <w:spacing w:val="-1"/>
          <w:sz w:val="24"/>
        </w:rPr>
        <w:t> </w:t>
      </w:r>
      <w:r>
        <w:rPr>
          <w:sz w:val="24"/>
        </w:rPr>
        <w:t>its</w:t>
      </w:r>
    </w:p>
    <w:p>
      <w:pPr>
        <w:spacing w:before="0"/>
        <w:ind w:left="1919" w:right="0" w:firstLine="0"/>
        <w:jc w:val="left"/>
        <w:rPr>
          <w:sz w:val="24"/>
        </w:rPr>
      </w:pPr>
      <w:r>
        <w:rPr>
          <w:i/>
          <w:sz w:val="24"/>
        </w:rPr>
        <w:t>network</w:t>
      </w:r>
      <w:r>
        <w:rPr>
          <w:sz w:val="24"/>
        </w:rPr>
        <w:t>, including:</w:t>
      </w:r>
    </w:p>
    <w:p>
      <w:pPr>
        <w:pStyle w:val="ListParagraph"/>
        <w:numPr>
          <w:ilvl w:val="1"/>
          <w:numId w:val="339"/>
        </w:numPr>
        <w:tabs>
          <w:tab w:pos="2485" w:val="left" w:leader="none"/>
          <w:tab w:pos="2486" w:val="left" w:leader="none"/>
        </w:tabs>
        <w:spacing w:line="240" w:lineRule="auto" w:before="120" w:after="0"/>
        <w:ind w:left="2485" w:right="0" w:hanging="567"/>
        <w:jc w:val="left"/>
        <w:rPr>
          <w:sz w:val="24"/>
        </w:rPr>
      </w:pPr>
      <w:r>
        <w:rPr>
          <w:sz w:val="24"/>
        </w:rPr>
        <w:t>a description of its</w:t>
      </w:r>
      <w:r>
        <w:rPr>
          <w:spacing w:val="-1"/>
          <w:sz w:val="24"/>
        </w:rPr>
        <w:t> </w:t>
      </w:r>
      <w:r>
        <w:rPr>
          <w:i/>
          <w:sz w:val="24"/>
        </w:rPr>
        <w:t>network</w:t>
      </w:r>
      <w:r>
        <w:rPr>
          <w:sz w:val="24"/>
        </w:rPr>
        <w:t>;</w:t>
      </w:r>
    </w:p>
    <w:p>
      <w:pPr>
        <w:pStyle w:val="ListParagraph"/>
        <w:numPr>
          <w:ilvl w:val="1"/>
          <w:numId w:val="339"/>
        </w:numPr>
        <w:tabs>
          <w:tab w:pos="2485" w:val="left" w:leader="none"/>
          <w:tab w:pos="2486" w:val="left" w:leader="none"/>
        </w:tabs>
        <w:spacing w:line="240" w:lineRule="auto" w:before="120" w:after="0"/>
        <w:ind w:left="2485" w:right="0" w:hanging="567"/>
        <w:jc w:val="left"/>
        <w:rPr>
          <w:sz w:val="24"/>
        </w:rPr>
      </w:pPr>
      <w:r>
        <w:rPr>
          <w:sz w:val="24"/>
        </w:rPr>
        <w:t>a description of its operating</w:t>
      </w:r>
      <w:r>
        <w:rPr>
          <w:spacing w:val="-1"/>
          <w:sz w:val="24"/>
        </w:rPr>
        <w:t> </w:t>
      </w:r>
      <w:r>
        <w:rPr>
          <w:sz w:val="24"/>
        </w:rPr>
        <w:t>environment;</w:t>
      </w:r>
    </w:p>
    <w:p>
      <w:pPr>
        <w:pStyle w:val="ListParagraph"/>
        <w:numPr>
          <w:ilvl w:val="1"/>
          <w:numId w:val="339"/>
        </w:numPr>
        <w:tabs>
          <w:tab w:pos="2485" w:val="left" w:leader="none"/>
          <w:tab w:pos="2486" w:val="left" w:leader="none"/>
        </w:tabs>
        <w:spacing w:line="240" w:lineRule="auto" w:before="120" w:after="0"/>
        <w:ind w:left="2485" w:right="0" w:hanging="567"/>
        <w:jc w:val="left"/>
        <w:rPr>
          <w:sz w:val="24"/>
        </w:rPr>
      </w:pPr>
      <w:r>
        <w:rPr>
          <w:sz w:val="24"/>
        </w:rPr>
        <w:t>the number and types of its distribution</w:t>
      </w:r>
      <w:r>
        <w:rPr>
          <w:spacing w:val="-1"/>
          <w:sz w:val="24"/>
        </w:rPr>
        <w:t> </w:t>
      </w:r>
      <w:r>
        <w:rPr>
          <w:sz w:val="24"/>
        </w:rPr>
        <w:t>assets;</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methodologies used in preparing the </w:t>
      </w:r>
      <w:r>
        <w:rPr>
          <w:i/>
          <w:sz w:val="24"/>
        </w:rPr>
        <w:t>Distribution Annual Planning </w:t>
      </w:r>
      <w:r>
        <w:rPr>
          <w:i/>
          <w:sz w:val="24"/>
        </w:rPr>
        <w:t>Report</w:t>
      </w:r>
      <w:r>
        <w:rPr>
          <w:sz w:val="24"/>
        </w:rPr>
        <w:t>, including methodologies used to identify system limitations and any assumptions applied;</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analysis and explanation of any aspects of forecasts and information provided in the </w:t>
      </w:r>
      <w:r>
        <w:rPr>
          <w:i/>
          <w:sz w:val="24"/>
        </w:rPr>
        <w:t>Distribution Annual Planning Report </w:t>
      </w:r>
      <w:r>
        <w:rPr>
          <w:sz w:val="24"/>
        </w:rPr>
        <w:t>that have changed significantly from previous forecasts and information provided in the preceding</w:t>
      </w:r>
      <w:r>
        <w:rPr>
          <w:spacing w:val="-1"/>
          <w:sz w:val="24"/>
        </w:rPr>
        <w:t> </w:t>
      </w:r>
      <w:r>
        <w:rPr>
          <w:sz w:val="24"/>
        </w:rPr>
        <w:t>year;</w:t>
      </w:r>
    </w:p>
    <w:p>
      <w:pPr>
        <w:pStyle w:val="ListParagraph"/>
        <w:numPr>
          <w:ilvl w:val="0"/>
          <w:numId w:val="339"/>
        </w:numPr>
        <w:tabs>
          <w:tab w:pos="1919" w:val="left" w:leader="none"/>
        </w:tabs>
        <w:spacing w:line="240" w:lineRule="auto" w:before="120" w:after="0"/>
        <w:ind w:left="1918" w:right="0" w:hanging="567"/>
        <w:jc w:val="both"/>
        <w:rPr>
          <w:sz w:val="24"/>
        </w:rPr>
      </w:pPr>
      <w:r>
        <w:rPr>
          <w:sz w:val="24"/>
        </w:rPr>
        <w:t>forecasts for the forward planning period, including at</w:t>
      </w:r>
      <w:r>
        <w:rPr>
          <w:spacing w:val="-1"/>
          <w:sz w:val="24"/>
        </w:rPr>
        <w:t> </w:t>
      </w:r>
      <w:r>
        <w:rPr>
          <w:sz w:val="24"/>
        </w:rPr>
        <w:t>least:</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description of the forecasting methodology used, sources of input information, and the assumptions</w:t>
      </w:r>
      <w:r>
        <w:rPr>
          <w:spacing w:val="-1"/>
          <w:sz w:val="24"/>
        </w:rPr>
        <w:t> </w:t>
      </w:r>
      <w:r>
        <w:rPr>
          <w:sz w:val="24"/>
        </w:rPr>
        <w:t>applied;</w:t>
      </w:r>
    </w:p>
    <w:p>
      <w:pPr>
        <w:pStyle w:val="ListParagraph"/>
        <w:numPr>
          <w:ilvl w:val="1"/>
          <w:numId w:val="339"/>
        </w:numPr>
        <w:tabs>
          <w:tab w:pos="2486" w:val="left" w:leader="none"/>
        </w:tabs>
        <w:spacing w:line="240" w:lineRule="auto" w:before="120" w:after="0"/>
        <w:ind w:left="2485" w:right="0" w:hanging="567"/>
        <w:jc w:val="both"/>
        <w:rPr>
          <w:sz w:val="24"/>
        </w:rPr>
      </w:pPr>
      <w:r>
        <w:rPr>
          <w:i/>
          <w:sz w:val="24"/>
        </w:rPr>
        <w:t>load </w:t>
      </w:r>
      <w:r>
        <w:rPr>
          <w:sz w:val="24"/>
        </w:rPr>
        <w:t>forecasts:</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at the transmission-distribution connection</w:t>
      </w:r>
      <w:r>
        <w:rPr>
          <w:spacing w:val="-3"/>
          <w:sz w:val="24"/>
        </w:rPr>
        <w:t> </w:t>
      </w:r>
      <w:r>
        <w:rPr>
          <w:sz w:val="24"/>
        </w:rPr>
        <w:t>points;</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sz w:val="24"/>
        </w:rPr>
        <w:t>for sub-transmission lines;</w:t>
      </w:r>
      <w:r>
        <w:rPr>
          <w:spacing w:val="-1"/>
          <w:sz w:val="24"/>
        </w:rPr>
        <w:t> </w:t>
      </w:r>
      <w:r>
        <w:rPr>
          <w:sz w:val="24"/>
        </w:rPr>
        <w:t>and</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for zone</w:t>
      </w:r>
      <w:r>
        <w:rPr>
          <w:spacing w:val="-1"/>
          <w:sz w:val="24"/>
        </w:rPr>
        <w:t> </w:t>
      </w:r>
      <w:r>
        <w:rPr>
          <w:sz w:val="24"/>
        </w:rPr>
        <w:t>substations,</w:t>
      </w:r>
    </w:p>
    <w:p>
      <w:pPr>
        <w:pStyle w:val="BodyText"/>
        <w:ind w:left="2486" w:firstLine="0"/>
        <w:jc w:val="left"/>
      </w:pPr>
      <w:r>
        <w:rPr/>
        <w:t>including, where applicable, for each item specified above:</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sz w:val="24"/>
        </w:rPr>
        <w:t>total</w:t>
      </w:r>
      <w:r>
        <w:rPr>
          <w:spacing w:val="-1"/>
          <w:sz w:val="24"/>
        </w:rPr>
        <w:t> </w:t>
      </w:r>
      <w:r>
        <w:rPr>
          <w:sz w:val="24"/>
        </w:rPr>
        <w:t>capacity;</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firm delivery capacity for summer periods and winter</w:t>
      </w:r>
      <w:r>
        <w:rPr>
          <w:spacing w:val="-7"/>
          <w:sz w:val="24"/>
        </w:rPr>
        <w:t> </w:t>
      </w:r>
      <w:r>
        <w:rPr>
          <w:sz w:val="24"/>
        </w:rPr>
        <w:t>periods;</w:t>
      </w:r>
    </w:p>
    <w:p>
      <w:pPr>
        <w:pStyle w:val="ListParagraph"/>
        <w:numPr>
          <w:ilvl w:val="2"/>
          <w:numId w:val="339"/>
        </w:numPr>
        <w:tabs>
          <w:tab w:pos="3052" w:val="left" w:leader="none"/>
          <w:tab w:pos="3053" w:val="left" w:leader="none"/>
        </w:tabs>
        <w:spacing w:line="240" w:lineRule="auto" w:before="120" w:after="0"/>
        <w:ind w:left="3053" w:right="416" w:hanging="567"/>
        <w:jc w:val="left"/>
        <w:rPr>
          <w:sz w:val="24"/>
        </w:rPr>
      </w:pPr>
      <w:r>
        <w:rPr>
          <w:i/>
          <w:sz w:val="24"/>
        </w:rPr>
        <w:t>peak load </w:t>
      </w:r>
      <w:r>
        <w:rPr>
          <w:sz w:val="24"/>
        </w:rPr>
        <w:t>(summer or winter and an estimate of the number of hours per year that 95% of </w:t>
      </w:r>
      <w:r>
        <w:rPr>
          <w:i/>
          <w:sz w:val="24"/>
        </w:rPr>
        <w:t>peak load </w:t>
      </w:r>
      <w:r>
        <w:rPr>
          <w:sz w:val="24"/>
        </w:rPr>
        <w:t>is expected to be</w:t>
      </w:r>
      <w:r>
        <w:rPr>
          <w:spacing w:val="-4"/>
          <w:sz w:val="24"/>
        </w:rPr>
        <w:t> </w:t>
      </w:r>
      <w:r>
        <w:rPr>
          <w:sz w:val="24"/>
        </w:rPr>
        <w:t>reached);</w:t>
      </w:r>
    </w:p>
    <w:p>
      <w:pPr>
        <w:pStyle w:val="ListParagraph"/>
        <w:numPr>
          <w:ilvl w:val="2"/>
          <w:numId w:val="339"/>
        </w:numPr>
        <w:tabs>
          <w:tab w:pos="3053" w:val="left" w:leader="none"/>
        </w:tabs>
        <w:spacing w:line="240" w:lineRule="auto" w:before="120" w:after="0"/>
        <w:ind w:left="3052" w:right="0" w:hanging="567"/>
        <w:jc w:val="left"/>
        <w:rPr>
          <w:sz w:val="24"/>
        </w:rPr>
      </w:pPr>
      <w:r>
        <w:rPr>
          <w:i/>
          <w:sz w:val="24"/>
        </w:rPr>
        <w:t>power factor </w:t>
      </w:r>
      <w:r>
        <w:rPr>
          <w:sz w:val="24"/>
        </w:rPr>
        <w:t>at time of </w:t>
      </w:r>
      <w:r>
        <w:rPr>
          <w:i/>
          <w:sz w:val="24"/>
        </w:rPr>
        <w:t>peak</w:t>
      </w:r>
      <w:r>
        <w:rPr>
          <w:i/>
          <w:spacing w:val="-1"/>
          <w:sz w:val="24"/>
        </w:rPr>
        <w:t> </w:t>
      </w:r>
      <w:r>
        <w:rPr>
          <w:i/>
          <w:sz w:val="24"/>
        </w:rPr>
        <w:t>load</w:t>
      </w:r>
      <w:r>
        <w:rPr>
          <w:sz w:val="24"/>
        </w:rPr>
        <w:t>;</w:t>
      </w:r>
    </w:p>
    <w:p>
      <w:pPr>
        <w:pStyle w:val="ListParagraph"/>
        <w:numPr>
          <w:ilvl w:val="2"/>
          <w:numId w:val="339"/>
        </w:numPr>
        <w:tabs>
          <w:tab w:pos="3053" w:val="left" w:leader="none"/>
        </w:tabs>
        <w:spacing w:line="240" w:lineRule="auto" w:before="120" w:after="0"/>
        <w:ind w:left="3052" w:right="0" w:hanging="567"/>
        <w:jc w:val="left"/>
        <w:rPr>
          <w:sz w:val="24"/>
        </w:rPr>
      </w:pPr>
      <w:r>
        <w:rPr>
          <w:sz w:val="24"/>
        </w:rPr>
        <w:t>load transfer capacities;</w:t>
      </w:r>
      <w:r>
        <w:rPr>
          <w:spacing w:val="-1"/>
          <w:sz w:val="24"/>
        </w:rPr>
        <w:t> </w:t>
      </w:r>
      <w:r>
        <w:rPr>
          <w:sz w:val="24"/>
        </w:rPr>
        <w:t>and</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sz w:val="24"/>
        </w:rPr>
        <w:t>generation capacity of known </w:t>
      </w:r>
      <w:r>
        <w:rPr>
          <w:i/>
          <w:sz w:val="24"/>
        </w:rPr>
        <w:t>embedded generating</w:t>
      </w:r>
      <w:r>
        <w:rPr>
          <w:i/>
          <w:spacing w:val="-1"/>
          <w:sz w:val="24"/>
        </w:rPr>
        <w:t> </w:t>
      </w:r>
      <w:r>
        <w:rPr>
          <w:i/>
          <w:sz w:val="24"/>
        </w:rPr>
        <w:t>units</w:t>
      </w:r>
      <w:r>
        <w:rPr>
          <w:sz w:val="24"/>
        </w:rPr>
        <w:t>;</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forecasts of future transmission-distribution connection points</w:t>
      </w:r>
      <w:r>
        <w:rPr>
          <w:spacing w:val="44"/>
          <w:sz w:val="24"/>
        </w:rPr>
        <w:t> </w:t>
      </w:r>
      <w:r>
        <w:rPr>
          <w:sz w:val="24"/>
        </w:rPr>
        <w:t>(and any associated </w:t>
      </w:r>
      <w:r>
        <w:rPr>
          <w:i/>
          <w:sz w:val="24"/>
        </w:rPr>
        <w:t>connection assets</w:t>
      </w:r>
      <w:r>
        <w:rPr>
          <w:sz w:val="24"/>
        </w:rPr>
        <w:t>), sub-transmission lines and zone substations, including for each future transmission-distribution connection point and zone</w:t>
      </w:r>
      <w:r>
        <w:rPr>
          <w:spacing w:val="-2"/>
          <w:sz w:val="24"/>
        </w:rPr>
        <w:t> </w:t>
      </w:r>
      <w:r>
        <w:rPr>
          <w:sz w:val="24"/>
        </w:rPr>
        <w:t>substation:</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location;</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sz w:val="24"/>
        </w:rPr>
        <w:t>future </w:t>
      </w:r>
      <w:r>
        <w:rPr>
          <w:i/>
          <w:sz w:val="24"/>
        </w:rPr>
        <w:t>loading level</w:t>
      </w:r>
      <w:r>
        <w:rPr>
          <w:sz w:val="24"/>
        </w:rPr>
        <w:t>;</w:t>
      </w:r>
      <w:r>
        <w:rPr>
          <w:spacing w:val="-1"/>
          <w:sz w:val="24"/>
        </w:rPr>
        <w:t> </w:t>
      </w:r>
      <w:r>
        <w:rPr>
          <w:sz w:val="24"/>
        </w:rPr>
        <w:t>and</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proposed commissioning time (estimate of month and</w:t>
      </w:r>
      <w:r>
        <w:rPr>
          <w:spacing w:val="-2"/>
          <w:sz w:val="24"/>
        </w:rPr>
        <w:t> </w:t>
      </w:r>
      <w:r>
        <w:rPr>
          <w:sz w:val="24"/>
        </w:rPr>
        <w:t>year);</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forecasts of the </w:t>
      </w:r>
      <w:r>
        <w:rPr>
          <w:i/>
          <w:sz w:val="24"/>
        </w:rPr>
        <w:t>Distribution Network Service Provider's </w:t>
      </w:r>
      <w:r>
        <w:rPr>
          <w:sz w:val="24"/>
        </w:rPr>
        <w:t>performance against any reliability targets in a </w:t>
      </w:r>
      <w:r>
        <w:rPr>
          <w:i/>
          <w:sz w:val="24"/>
        </w:rPr>
        <w:t>service target performance incentive </w:t>
      </w:r>
      <w:r>
        <w:rPr>
          <w:i/>
          <w:sz w:val="24"/>
        </w:rPr>
        <w:t>scheme</w:t>
      </w:r>
      <w:r>
        <w:rPr>
          <w:sz w:val="24"/>
        </w:rPr>
        <w:t>;</w:t>
      </w:r>
      <w:r>
        <w:rPr>
          <w:spacing w:val="-1"/>
          <w:sz w:val="24"/>
        </w:rPr>
        <w:t> </w:t>
      </w:r>
      <w:r>
        <w:rPr>
          <w:sz w:val="24"/>
        </w:rPr>
        <w:t>and</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a</w:t>
      </w:r>
      <w:r>
        <w:rPr>
          <w:spacing w:val="38"/>
          <w:sz w:val="24"/>
        </w:rPr>
        <w:t> </w:t>
      </w:r>
      <w:r>
        <w:rPr>
          <w:sz w:val="24"/>
        </w:rPr>
        <w:t>description</w:t>
      </w:r>
      <w:r>
        <w:rPr>
          <w:spacing w:val="39"/>
          <w:sz w:val="24"/>
        </w:rPr>
        <w:t> </w:t>
      </w:r>
      <w:r>
        <w:rPr>
          <w:sz w:val="24"/>
        </w:rPr>
        <w:t>of</w:t>
      </w:r>
      <w:r>
        <w:rPr>
          <w:spacing w:val="39"/>
          <w:sz w:val="24"/>
        </w:rPr>
        <w:t> </w:t>
      </w:r>
      <w:r>
        <w:rPr>
          <w:sz w:val="24"/>
        </w:rPr>
        <w:t>any</w:t>
      </w:r>
      <w:r>
        <w:rPr>
          <w:spacing w:val="39"/>
          <w:sz w:val="24"/>
        </w:rPr>
        <w:t> </w:t>
      </w:r>
      <w:r>
        <w:rPr>
          <w:sz w:val="24"/>
        </w:rPr>
        <w:t>factors</w:t>
      </w:r>
      <w:r>
        <w:rPr>
          <w:spacing w:val="38"/>
          <w:sz w:val="24"/>
        </w:rPr>
        <w:t> </w:t>
      </w:r>
      <w:r>
        <w:rPr>
          <w:sz w:val="24"/>
        </w:rPr>
        <w:t>that</w:t>
      </w:r>
      <w:r>
        <w:rPr>
          <w:spacing w:val="39"/>
          <w:sz w:val="24"/>
        </w:rPr>
        <w:t> </w:t>
      </w:r>
      <w:r>
        <w:rPr>
          <w:sz w:val="24"/>
        </w:rPr>
        <w:t>may</w:t>
      </w:r>
      <w:r>
        <w:rPr>
          <w:spacing w:val="39"/>
          <w:sz w:val="24"/>
        </w:rPr>
        <w:t> </w:t>
      </w:r>
      <w:r>
        <w:rPr>
          <w:sz w:val="24"/>
        </w:rPr>
        <w:t>have</w:t>
      </w:r>
      <w:r>
        <w:rPr>
          <w:spacing w:val="39"/>
          <w:sz w:val="24"/>
        </w:rPr>
        <w:t> </w:t>
      </w:r>
      <w:r>
        <w:rPr>
          <w:sz w:val="24"/>
        </w:rPr>
        <w:t>a</w:t>
      </w:r>
      <w:r>
        <w:rPr>
          <w:spacing w:val="38"/>
          <w:sz w:val="24"/>
        </w:rPr>
        <w:t> </w:t>
      </w:r>
      <w:r>
        <w:rPr>
          <w:sz w:val="24"/>
        </w:rPr>
        <w:t>material</w:t>
      </w:r>
      <w:r>
        <w:rPr>
          <w:spacing w:val="39"/>
          <w:sz w:val="24"/>
        </w:rPr>
        <w:t> </w:t>
      </w:r>
      <w:r>
        <w:rPr>
          <w:sz w:val="24"/>
        </w:rPr>
        <w:t>impact</w:t>
      </w:r>
      <w:r>
        <w:rPr>
          <w:spacing w:val="39"/>
          <w:sz w:val="24"/>
        </w:rPr>
        <w:t> </w:t>
      </w:r>
      <w:r>
        <w:rPr>
          <w:sz w:val="24"/>
        </w:rPr>
        <w:t>on</w:t>
      </w:r>
      <w:r>
        <w:rPr>
          <w:spacing w:val="39"/>
          <w:sz w:val="24"/>
        </w:rPr>
        <w:t> </w:t>
      </w:r>
      <w:r>
        <w:rPr>
          <w:sz w:val="24"/>
        </w:rPr>
        <w:t>its</w:t>
      </w:r>
    </w:p>
    <w:p>
      <w:pPr>
        <w:pStyle w:val="BodyText"/>
        <w:spacing w:before="0"/>
        <w:ind w:left="2486" w:firstLine="0"/>
      </w:pPr>
      <w:r>
        <w:rPr>
          <w:i/>
        </w:rPr>
        <w:t>network</w:t>
      </w:r>
      <w:r>
        <w:rPr/>
        <w:t>, including factors affecting;</w:t>
      </w:r>
    </w:p>
    <w:p>
      <w:pPr>
        <w:spacing w:after="0"/>
        <w:sectPr>
          <w:pgSz w:w="11910" w:h="16840"/>
          <w:pgMar w:header="686" w:footer="637" w:top="1320" w:bottom="820" w:left="1200" w:right="1000"/>
        </w:sectPr>
      </w:pPr>
    </w:p>
    <w:p>
      <w:pPr>
        <w:pStyle w:val="ListParagraph"/>
        <w:numPr>
          <w:ilvl w:val="2"/>
          <w:numId w:val="339"/>
        </w:numPr>
        <w:tabs>
          <w:tab w:pos="3052" w:val="left" w:leader="none"/>
          <w:tab w:pos="3053" w:val="left" w:leader="none"/>
        </w:tabs>
        <w:spacing w:line="240" w:lineRule="auto" w:before="83" w:after="0"/>
        <w:ind w:left="3052" w:right="0" w:hanging="567"/>
        <w:jc w:val="left"/>
        <w:rPr>
          <w:sz w:val="24"/>
        </w:rPr>
      </w:pPr>
      <w:r>
        <w:rPr>
          <w:sz w:val="24"/>
        </w:rPr>
        <w:t>fault</w:t>
      </w:r>
      <w:r>
        <w:rPr>
          <w:spacing w:val="-1"/>
          <w:sz w:val="24"/>
        </w:rPr>
        <w:t> </w:t>
      </w:r>
      <w:r>
        <w:rPr>
          <w:sz w:val="24"/>
        </w:rPr>
        <w:t>levels;</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i/>
          <w:sz w:val="24"/>
        </w:rPr>
        <w:t>voltage</w:t>
      </w:r>
      <w:r>
        <w:rPr>
          <w:i/>
          <w:spacing w:val="-1"/>
          <w:sz w:val="24"/>
        </w:rPr>
        <w:t> </w:t>
      </w:r>
      <w:r>
        <w:rPr>
          <w:sz w:val="24"/>
        </w:rPr>
        <w:t>levels;</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other </w:t>
      </w:r>
      <w:r>
        <w:rPr>
          <w:i/>
          <w:sz w:val="24"/>
        </w:rPr>
        <w:t>power system security</w:t>
      </w:r>
      <w:r>
        <w:rPr>
          <w:i/>
          <w:spacing w:val="-4"/>
          <w:sz w:val="24"/>
        </w:rPr>
        <w:t> </w:t>
      </w:r>
      <w:r>
        <w:rPr>
          <w:sz w:val="24"/>
        </w:rPr>
        <w:t>requirements;</w:t>
      </w:r>
    </w:p>
    <w:p>
      <w:pPr>
        <w:pStyle w:val="ListParagraph"/>
        <w:numPr>
          <w:ilvl w:val="2"/>
          <w:numId w:val="339"/>
        </w:numPr>
        <w:tabs>
          <w:tab w:pos="3052" w:val="left" w:leader="none"/>
          <w:tab w:pos="3054" w:val="left" w:leader="none"/>
        </w:tabs>
        <w:spacing w:line="240" w:lineRule="auto" w:before="120" w:after="0"/>
        <w:ind w:left="3053" w:right="415" w:hanging="567"/>
        <w:jc w:val="left"/>
        <w:rPr>
          <w:sz w:val="24"/>
        </w:rPr>
      </w:pPr>
      <w:r>
        <w:rPr>
          <w:sz w:val="24"/>
        </w:rPr>
        <w:t>the quality of </w:t>
      </w:r>
      <w:r>
        <w:rPr>
          <w:i/>
          <w:sz w:val="24"/>
        </w:rPr>
        <w:t>supply </w:t>
      </w:r>
      <w:r>
        <w:rPr>
          <w:sz w:val="24"/>
        </w:rPr>
        <w:t>to other </w:t>
      </w:r>
      <w:r>
        <w:rPr>
          <w:i/>
          <w:sz w:val="24"/>
        </w:rPr>
        <w:t>Network Users </w:t>
      </w:r>
      <w:r>
        <w:rPr>
          <w:sz w:val="24"/>
        </w:rPr>
        <w:t>(where relevant); and</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ageing and potentially unreliable</w:t>
      </w:r>
      <w:r>
        <w:rPr>
          <w:spacing w:val="-1"/>
          <w:sz w:val="24"/>
        </w:rPr>
        <w:t> </w:t>
      </w:r>
      <w:r>
        <w:rPr>
          <w:sz w:val="24"/>
        </w:rPr>
        <w:t>assets;</w:t>
      </w:r>
    </w:p>
    <w:p>
      <w:pPr>
        <w:pStyle w:val="BodyText"/>
        <w:ind w:left="1919" w:right="415"/>
      </w:pPr>
      <w:r>
        <w:rPr/>
        <w:t>(b1) for all </w:t>
      </w:r>
      <w:r>
        <w:rPr>
          <w:i/>
        </w:rPr>
        <w:t>network </w:t>
      </w:r>
      <w:r>
        <w:rPr/>
        <w:t>asset retirements, and for all </w:t>
      </w:r>
      <w:r>
        <w:rPr>
          <w:i/>
        </w:rPr>
        <w:t>network </w:t>
      </w:r>
      <w:r>
        <w:rPr/>
        <w:t>asset de-ratings that would result in a system limitation, that are planned over the forward planning period, the following information in sufficient detail relative to the size or significance of the asset:</w:t>
      </w:r>
    </w:p>
    <w:p>
      <w:pPr>
        <w:pStyle w:val="ListParagraph"/>
        <w:numPr>
          <w:ilvl w:val="0"/>
          <w:numId w:val="340"/>
        </w:numPr>
        <w:tabs>
          <w:tab w:pos="2486" w:val="left" w:leader="none"/>
        </w:tabs>
        <w:spacing w:line="240" w:lineRule="auto" w:before="120" w:after="0"/>
        <w:ind w:left="2485" w:right="0" w:hanging="567"/>
        <w:jc w:val="both"/>
        <w:rPr>
          <w:sz w:val="24"/>
        </w:rPr>
      </w:pPr>
      <w:r>
        <w:rPr>
          <w:sz w:val="24"/>
        </w:rPr>
        <w:t>a description of the </w:t>
      </w:r>
      <w:r>
        <w:rPr>
          <w:i/>
          <w:sz w:val="24"/>
        </w:rPr>
        <w:t>network </w:t>
      </w:r>
      <w:r>
        <w:rPr>
          <w:sz w:val="24"/>
        </w:rPr>
        <w:t>asset, including</w:t>
      </w:r>
      <w:r>
        <w:rPr>
          <w:spacing w:val="-1"/>
          <w:sz w:val="24"/>
        </w:rPr>
        <w:t> </w:t>
      </w:r>
      <w:r>
        <w:rPr>
          <w:sz w:val="24"/>
        </w:rPr>
        <w:t>location;</w:t>
      </w:r>
    </w:p>
    <w:p>
      <w:pPr>
        <w:pStyle w:val="ListParagraph"/>
        <w:numPr>
          <w:ilvl w:val="0"/>
          <w:numId w:val="340"/>
        </w:numPr>
        <w:tabs>
          <w:tab w:pos="2486" w:val="left" w:leader="none"/>
        </w:tabs>
        <w:spacing w:line="240" w:lineRule="auto" w:before="120" w:after="0"/>
        <w:ind w:left="2486" w:right="414" w:hanging="567"/>
        <w:jc w:val="both"/>
        <w:rPr>
          <w:sz w:val="24"/>
        </w:rPr>
      </w:pPr>
      <w:r>
        <w:rPr>
          <w:sz w:val="24"/>
        </w:rPr>
        <w:t>the reasons, including methodologies and assumptions used by </w:t>
      </w:r>
      <w:r>
        <w:rPr>
          <w:spacing w:val="-4"/>
          <w:sz w:val="24"/>
        </w:rPr>
        <w:t>the </w:t>
      </w:r>
      <w:r>
        <w:rPr>
          <w:i/>
          <w:sz w:val="24"/>
        </w:rPr>
        <w:t>Distribution Network Service Provider</w:t>
      </w:r>
      <w:r>
        <w:rPr>
          <w:sz w:val="24"/>
        </w:rPr>
        <w:t>, for deciding that it is necessary or prudent for the </w:t>
      </w:r>
      <w:r>
        <w:rPr>
          <w:i/>
          <w:sz w:val="24"/>
        </w:rPr>
        <w:t>network </w:t>
      </w:r>
      <w:r>
        <w:rPr>
          <w:sz w:val="24"/>
        </w:rPr>
        <w:t>asset to be retired or de-rated, taking into account factors such as the condition of the </w:t>
      </w:r>
      <w:r>
        <w:rPr>
          <w:i/>
          <w:sz w:val="24"/>
        </w:rPr>
        <w:t>network</w:t>
      </w:r>
      <w:r>
        <w:rPr>
          <w:i/>
          <w:spacing w:val="-11"/>
          <w:sz w:val="24"/>
        </w:rPr>
        <w:t> </w:t>
      </w:r>
      <w:r>
        <w:rPr>
          <w:sz w:val="24"/>
        </w:rPr>
        <w:t>asset;</w:t>
      </w:r>
    </w:p>
    <w:p>
      <w:pPr>
        <w:pStyle w:val="ListParagraph"/>
        <w:numPr>
          <w:ilvl w:val="0"/>
          <w:numId w:val="340"/>
        </w:numPr>
        <w:tabs>
          <w:tab w:pos="2486" w:val="left" w:leader="none"/>
        </w:tabs>
        <w:spacing w:line="240" w:lineRule="auto" w:before="120" w:after="0"/>
        <w:ind w:left="2485" w:right="0" w:hanging="567"/>
        <w:jc w:val="both"/>
        <w:rPr>
          <w:i/>
          <w:sz w:val="24"/>
        </w:rPr>
      </w:pPr>
      <w:r>
        <w:rPr>
          <w:sz w:val="24"/>
        </w:rPr>
        <w:t>the</w:t>
      </w:r>
      <w:r>
        <w:rPr>
          <w:spacing w:val="30"/>
          <w:sz w:val="24"/>
        </w:rPr>
        <w:t> </w:t>
      </w:r>
      <w:r>
        <w:rPr>
          <w:sz w:val="24"/>
        </w:rPr>
        <w:t>date</w:t>
      </w:r>
      <w:r>
        <w:rPr>
          <w:spacing w:val="31"/>
          <w:sz w:val="24"/>
        </w:rPr>
        <w:t> </w:t>
      </w:r>
      <w:r>
        <w:rPr>
          <w:sz w:val="24"/>
        </w:rPr>
        <w:t>from</w:t>
      </w:r>
      <w:r>
        <w:rPr>
          <w:spacing w:val="30"/>
          <w:sz w:val="24"/>
        </w:rPr>
        <w:t> </w:t>
      </w:r>
      <w:r>
        <w:rPr>
          <w:sz w:val="24"/>
        </w:rPr>
        <w:t>which</w:t>
      </w:r>
      <w:r>
        <w:rPr>
          <w:spacing w:val="31"/>
          <w:sz w:val="24"/>
        </w:rPr>
        <w:t> </w:t>
      </w:r>
      <w:r>
        <w:rPr>
          <w:sz w:val="24"/>
        </w:rPr>
        <w:t>the</w:t>
      </w:r>
      <w:r>
        <w:rPr>
          <w:spacing w:val="30"/>
          <w:sz w:val="24"/>
        </w:rPr>
        <w:t> </w:t>
      </w:r>
      <w:r>
        <w:rPr>
          <w:i/>
          <w:sz w:val="24"/>
        </w:rPr>
        <w:t>Distribution</w:t>
      </w:r>
      <w:r>
        <w:rPr>
          <w:i/>
          <w:spacing w:val="31"/>
          <w:sz w:val="24"/>
        </w:rPr>
        <w:t> </w:t>
      </w:r>
      <w:r>
        <w:rPr>
          <w:i/>
          <w:sz w:val="24"/>
        </w:rPr>
        <w:t>Network</w:t>
      </w:r>
      <w:r>
        <w:rPr>
          <w:i/>
          <w:spacing w:val="30"/>
          <w:sz w:val="24"/>
        </w:rPr>
        <w:t> </w:t>
      </w:r>
      <w:r>
        <w:rPr>
          <w:i/>
          <w:sz w:val="24"/>
        </w:rPr>
        <w:t>Service</w:t>
      </w:r>
      <w:r>
        <w:rPr>
          <w:i/>
          <w:spacing w:val="31"/>
          <w:sz w:val="24"/>
        </w:rPr>
        <w:t> </w:t>
      </w:r>
      <w:r>
        <w:rPr>
          <w:i/>
          <w:sz w:val="24"/>
        </w:rPr>
        <w:t>Provider</w:t>
      </w:r>
    </w:p>
    <w:p>
      <w:pPr>
        <w:pStyle w:val="BodyText"/>
        <w:spacing w:before="0"/>
        <w:ind w:left="2486" w:firstLine="0"/>
      </w:pPr>
      <w:r>
        <w:rPr/>
        <w:t>proposes that the </w:t>
      </w:r>
      <w:r>
        <w:rPr>
          <w:i/>
        </w:rPr>
        <w:t>network </w:t>
      </w:r>
      <w:r>
        <w:rPr/>
        <w:t>asset will be retired or de-rated; and</w:t>
      </w:r>
    </w:p>
    <w:p>
      <w:pPr>
        <w:pStyle w:val="ListParagraph"/>
        <w:numPr>
          <w:ilvl w:val="0"/>
          <w:numId w:val="340"/>
        </w:numPr>
        <w:tabs>
          <w:tab w:pos="2486" w:val="left" w:leader="none"/>
        </w:tabs>
        <w:spacing w:line="240" w:lineRule="auto" w:before="120" w:after="0"/>
        <w:ind w:left="2486" w:right="415" w:hanging="567"/>
        <w:jc w:val="both"/>
        <w:rPr>
          <w:sz w:val="24"/>
        </w:rPr>
      </w:pPr>
      <w:r>
        <w:rPr>
          <w:sz w:val="24"/>
        </w:rPr>
        <w:t>if the date to retire or de-rate the </w:t>
      </w:r>
      <w:r>
        <w:rPr>
          <w:i/>
          <w:sz w:val="24"/>
        </w:rPr>
        <w:t>network </w:t>
      </w:r>
      <w:r>
        <w:rPr>
          <w:sz w:val="24"/>
        </w:rPr>
        <w:t>asset has changed since the previous </w:t>
      </w:r>
      <w:r>
        <w:rPr>
          <w:i/>
          <w:sz w:val="24"/>
        </w:rPr>
        <w:t>Distribution Annual Planning Report</w:t>
      </w:r>
      <w:r>
        <w:rPr>
          <w:sz w:val="24"/>
        </w:rPr>
        <w:t>, an explanation of why this has</w:t>
      </w:r>
      <w:r>
        <w:rPr>
          <w:spacing w:val="-1"/>
          <w:sz w:val="24"/>
        </w:rPr>
        <w:t> </w:t>
      </w:r>
      <w:r>
        <w:rPr>
          <w:sz w:val="24"/>
        </w:rPr>
        <w:t>occurred;</w:t>
      </w:r>
    </w:p>
    <w:p>
      <w:pPr>
        <w:pStyle w:val="BodyText"/>
        <w:ind w:left="1919" w:right="416"/>
      </w:pPr>
      <w:r>
        <w:rPr/>
        <w:t>(b2) for the purposes of subparagraph (b1), where two or more </w:t>
      </w:r>
      <w:r>
        <w:rPr>
          <w:i/>
        </w:rPr>
        <w:t>network </w:t>
      </w:r>
      <w:r>
        <w:rPr/>
        <w:t>assets  are:</w:t>
      </w:r>
    </w:p>
    <w:p>
      <w:pPr>
        <w:pStyle w:val="ListParagraph"/>
        <w:numPr>
          <w:ilvl w:val="0"/>
          <w:numId w:val="341"/>
        </w:numPr>
        <w:tabs>
          <w:tab w:pos="2485" w:val="left" w:leader="none"/>
          <w:tab w:pos="2486" w:val="left" w:leader="none"/>
        </w:tabs>
        <w:spacing w:line="240" w:lineRule="auto" w:before="120" w:after="0"/>
        <w:ind w:left="2485" w:right="0" w:hanging="567"/>
        <w:jc w:val="left"/>
        <w:rPr>
          <w:sz w:val="24"/>
        </w:rPr>
      </w:pPr>
      <w:r>
        <w:rPr>
          <w:sz w:val="24"/>
        </w:rPr>
        <w:t>of the same</w:t>
      </w:r>
      <w:r>
        <w:rPr>
          <w:spacing w:val="-2"/>
          <w:sz w:val="24"/>
        </w:rPr>
        <w:t> </w:t>
      </w:r>
      <w:r>
        <w:rPr>
          <w:sz w:val="24"/>
        </w:rPr>
        <w:t>type;</w:t>
      </w:r>
    </w:p>
    <w:p>
      <w:pPr>
        <w:pStyle w:val="ListParagraph"/>
        <w:numPr>
          <w:ilvl w:val="0"/>
          <w:numId w:val="341"/>
        </w:numPr>
        <w:tabs>
          <w:tab w:pos="2485" w:val="left" w:leader="none"/>
          <w:tab w:pos="2486" w:val="left" w:leader="none"/>
        </w:tabs>
        <w:spacing w:line="240" w:lineRule="auto" w:before="120" w:after="0"/>
        <w:ind w:left="2485" w:right="0" w:hanging="567"/>
        <w:jc w:val="left"/>
        <w:rPr>
          <w:sz w:val="24"/>
        </w:rPr>
      </w:pPr>
      <w:r>
        <w:rPr>
          <w:sz w:val="24"/>
        </w:rPr>
        <w:t>to be retired or de-rated across more than one</w:t>
      </w:r>
      <w:r>
        <w:rPr>
          <w:spacing w:val="-2"/>
          <w:sz w:val="24"/>
        </w:rPr>
        <w:t> </w:t>
      </w:r>
      <w:r>
        <w:rPr>
          <w:sz w:val="24"/>
        </w:rPr>
        <w:t>location;</w:t>
      </w:r>
    </w:p>
    <w:p>
      <w:pPr>
        <w:pStyle w:val="ListParagraph"/>
        <w:numPr>
          <w:ilvl w:val="0"/>
          <w:numId w:val="341"/>
        </w:numPr>
        <w:tabs>
          <w:tab w:pos="2485" w:val="left" w:leader="none"/>
          <w:tab w:pos="2486" w:val="left" w:leader="none"/>
        </w:tabs>
        <w:spacing w:line="240" w:lineRule="auto" w:before="120" w:after="0"/>
        <w:ind w:left="2485" w:right="0" w:hanging="567"/>
        <w:jc w:val="left"/>
        <w:rPr>
          <w:sz w:val="24"/>
        </w:rPr>
      </w:pPr>
      <w:r>
        <w:rPr>
          <w:sz w:val="24"/>
        </w:rPr>
        <w:t>to be retired or de-rated in the same calendar year;</w:t>
      </w:r>
      <w:r>
        <w:rPr>
          <w:spacing w:val="-3"/>
          <w:sz w:val="24"/>
        </w:rPr>
        <w:t> </w:t>
      </w:r>
      <w:r>
        <w:rPr>
          <w:sz w:val="24"/>
        </w:rPr>
        <w:t>and</w:t>
      </w:r>
    </w:p>
    <w:p>
      <w:pPr>
        <w:pStyle w:val="ListParagraph"/>
        <w:numPr>
          <w:ilvl w:val="0"/>
          <w:numId w:val="341"/>
        </w:numPr>
        <w:tabs>
          <w:tab w:pos="2485" w:val="left" w:leader="none"/>
          <w:tab w:pos="2486" w:val="left" w:leader="none"/>
        </w:tabs>
        <w:spacing w:line="240" w:lineRule="auto" w:before="120" w:after="0"/>
        <w:ind w:left="2486" w:right="415" w:hanging="567"/>
        <w:jc w:val="left"/>
        <w:rPr>
          <w:sz w:val="24"/>
        </w:rPr>
      </w:pPr>
      <w:r>
        <w:rPr>
          <w:sz w:val="24"/>
        </w:rPr>
        <w:t>each expected to have a replacement cost less than $200,000 (as varied by a cost threshold</w:t>
      </w:r>
      <w:r>
        <w:rPr>
          <w:spacing w:val="-2"/>
          <w:sz w:val="24"/>
        </w:rPr>
        <w:t> </w:t>
      </w:r>
      <w:r>
        <w:rPr>
          <w:sz w:val="24"/>
        </w:rPr>
        <w:t>determination),</w:t>
      </w:r>
    </w:p>
    <w:p>
      <w:pPr>
        <w:spacing w:before="120"/>
        <w:ind w:left="1919" w:right="415" w:firstLine="0"/>
        <w:jc w:val="left"/>
        <w:rPr>
          <w:sz w:val="24"/>
        </w:rPr>
      </w:pPr>
      <w:r>
        <w:rPr>
          <w:sz w:val="24"/>
        </w:rPr>
        <w:t>those assets can be reported together by setting out in the </w:t>
      </w:r>
      <w:r>
        <w:rPr>
          <w:i/>
          <w:sz w:val="24"/>
        </w:rPr>
        <w:t>Distribution </w:t>
      </w:r>
      <w:r>
        <w:rPr>
          <w:i/>
          <w:sz w:val="24"/>
        </w:rPr>
        <w:t>Annual Planning Report</w:t>
      </w:r>
      <w:r>
        <w:rPr>
          <w:sz w:val="24"/>
        </w:rPr>
        <w:t>:</w:t>
      </w:r>
    </w:p>
    <w:p>
      <w:pPr>
        <w:pStyle w:val="ListParagraph"/>
        <w:numPr>
          <w:ilvl w:val="0"/>
          <w:numId w:val="341"/>
        </w:numPr>
        <w:tabs>
          <w:tab w:pos="2486" w:val="left" w:leader="none"/>
        </w:tabs>
        <w:spacing w:line="240" w:lineRule="auto" w:before="120" w:after="0"/>
        <w:ind w:left="2486" w:right="415" w:hanging="567"/>
        <w:jc w:val="both"/>
        <w:rPr>
          <w:sz w:val="24"/>
        </w:rPr>
      </w:pPr>
      <w:r>
        <w:rPr>
          <w:sz w:val="24"/>
        </w:rPr>
        <w:t>a description of the </w:t>
      </w:r>
      <w:r>
        <w:rPr>
          <w:i/>
          <w:sz w:val="24"/>
        </w:rPr>
        <w:t>network </w:t>
      </w:r>
      <w:r>
        <w:rPr>
          <w:sz w:val="24"/>
        </w:rPr>
        <w:t>assets, including a summarised description of their</w:t>
      </w:r>
      <w:r>
        <w:rPr>
          <w:spacing w:val="-1"/>
          <w:sz w:val="24"/>
        </w:rPr>
        <w:t> </w:t>
      </w:r>
      <w:r>
        <w:rPr>
          <w:sz w:val="24"/>
        </w:rPr>
        <w:t>locations;</w:t>
      </w:r>
    </w:p>
    <w:p>
      <w:pPr>
        <w:pStyle w:val="ListParagraph"/>
        <w:numPr>
          <w:ilvl w:val="0"/>
          <w:numId w:val="341"/>
        </w:numPr>
        <w:tabs>
          <w:tab w:pos="2486" w:val="left" w:leader="none"/>
        </w:tabs>
        <w:spacing w:line="240" w:lineRule="auto" w:before="120" w:after="0"/>
        <w:ind w:left="2486" w:right="414" w:hanging="567"/>
        <w:jc w:val="both"/>
        <w:rPr>
          <w:sz w:val="24"/>
        </w:rPr>
      </w:pPr>
      <w:r>
        <w:rPr>
          <w:sz w:val="24"/>
        </w:rPr>
        <w:t>the reasons, including methodologies and assumptions used by </w:t>
      </w:r>
      <w:r>
        <w:rPr>
          <w:spacing w:val="-4"/>
          <w:sz w:val="24"/>
        </w:rPr>
        <w:t>the </w:t>
      </w:r>
      <w:r>
        <w:rPr>
          <w:i/>
          <w:sz w:val="24"/>
        </w:rPr>
        <w:t>Distribution Network Service Provider</w:t>
      </w:r>
      <w:r>
        <w:rPr>
          <w:sz w:val="24"/>
        </w:rPr>
        <w:t>, for deciding that it is necessary or prudent for the </w:t>
      </w:r>
      <w:r>
        <w:rPr>
          <w:i/>
          <w:sz w:val="24"/>
        </w:rPr>
        <w:t>network </w:t>
      </w:r>
      <w:r>
        <w:rPr>
          <w:sz w:val="24"/>
        </w:rPr>
        <w:t>assets to be retired or de-rated, taking into account factors such as the condition of the </w:t>
      </w:r>
      <w:r>
        <w:rPr>
          <w:i/>
          <w:sz w:val="24"/>
        </w:rPr>
        <w:t>network</w:t>
      </w:r>
      <w:r>
        <w:rPr>
          <w:i/>
          <w:spacing w:val="-12"/>
          <w:sz w:val="24"/>
        </w:rPr>
        <w:t> </w:t>
      </w:r>
      <w:r>
        <w:rPr>
          <w:sz w:val="24"/>
        </w:rPr>
        <w:t>assets;</w:t>
      </w:r>
    </w:p>
    <w:p>
      <w:pPr>
        <w:pStyle w:val="ListParagraph"/>
        <w:numPr>
          <w:ilvl w:val="0"/>
          <w:numId w:val="341"/>
        </w:numPr>
        <w:tabs>
          <w:tab w:pos="2486" w:val="left" w:leader="none"/>
        </w:tabs>
        <w:spacing w:line="240" w:lineRule="auto" w:before="120" w:after="0"/>
        <w:ind w:left="2485" w:right="0" w:hanging="567"/>
        <w:jc w:val="both"/>
        <w:rPr>
          <w:i/>
          <w:sz w:val="24"/>
        </w:rPr>
      </w:pPr>
      <w:r>
        <w:rPr>
          <w:sz w:val="24"/>
        </w:rPr>
        <w:t>the</w:t>
      </w:r>
      <w:r>
        <w:rPr>
          <w:spacing w:val="30"/>
          <w:sz w:val="24"/>
        </w:rPr>
        <w:t> </w:t>
      </w:r>
      <w:r>
        <w:rPr>
          <w:sz w:val="24"/>
        </w:rPr>
        <w:t>date</w:t>
      </w:r>
      <w:r>
        <w:rPr>
          <w:spacing w:val="31"/>
          <w:sz w:val="24"/>
        </w:rPr>
        <w:t> </w:t>
      </w:r>
      <w:r>
        <w:rPr>
          <w:sz w:val="24"/>
        </w:rPr>
        <w:t>from</w:t>
      </w:r>
      <w:r>
        <w:rPr>
          <w:spacing w:val="30"/>
          <w:sz w:val="24"/>
        </w:rPr>
        <w:t> </w:t>
      </w:r>
      <w:r>
        <w:rPr>
          <w:sz w:val="24"/>
        </w:rPr>
        <w:t>which</w:t>
      </w:r>
      <w:r>
        <w:rPr>
          <w:spacing w:val="31"/>
          <w:sz w:val="24"/>
        </w:rPr>
        <w:t> </w:t>
      </w:r>
      <w:r>
        <w:rPr>
          <w:sz w:val="24"/>
        </w:rPr>
        <w:t>the</w:t>
      </w:r>
      <w:r>
        <w:rPr>
          <w:spacing w:val="30"/>
          <w:sz w:val="24"/>
        </w:rPr>
        <w:t> </w:t>
      </w:r>
      <w:r>
        <w:rPr>
          <w:i/>
          <w:sz w:val="24"/>
        </w:rPr>
        <w:t>Distribution</w:t>
      </w:r>
      <w:r>
        <w:rPr>
          <w:i/>
          <w:spacing w:val="31"/>
          <w:sz w:val="24"/>
        </w:rPr>
        <w:t> </w:t>
      </w:r>
      <w:r>
        <w:rPr>
          <w:i/>
          <w:sz w:val="24"/>
        </w:rPr>
        <w:t>Network</w:t>
      </w:r>
      <w:r>
        <w:rPr>
          <w:i/>
          <w:spacing w:val="30"/>
          <w:sz w:val="24"/>
        </w:rPr>
        <w:t> </w:t>
      </w:r>
      <w:r>
        <w:rPr>
          <w:i/>
          <w:sz w:val="24"/>
        </w:rPr>
        <w:t>Service</w:t>
      </w:r>
      <w:r>
        <w:rPr>
          <w:i/>
          <w:spacing w:val="31"/>
          <w:sz w:val="24"/>
        </w:rPr>
        <w:t> </w:t>
      </w:r>
      <w:r>
        <w:rPr>
          <w:i/>
          <w:sz w:val="24"/>
        </w:rPr>
        <w:t>Provider</w:t>
      </w:r>
    </w:p>
    <w:p>
      <w:pPr>
        <w:pStyle w:val="BodyText"/>
        <w:spacing w:before="0"/>
        <w:ind w:left="2486" w:firstLine="0"/>
      </w:pPr>
      <w:r>
        <w:rPr/>
        <w:t>proposes that the </w:t>
      </w:r>
      <w:r>
        <w:rPr>
          <w:i/>
        </w:rPr>
        <w:t>network </w:t>
      </w:r>
      <w:r>
        <w:rPr/>
        <w:t>assets will be retired or de-rated; and</w:t>
      </w:r>
    </w:p>
    <w:p>
      <w:pPr>
        <w:pStyle w:val="ListParagraph"/>
        <w:numPr>
          <w:ilvl w:val="0"/>
          <w:numId w:val="341"/>
        </w:numPr>
        <w:tabs>
          <w:tab w:pos="2486" w:val="left" w:leader="none"/>
        </w:tabs>
        <w:spacing w:line="240" w:lineRule="auto" w:before="120" w:after="0"/>
        <w:ind w:left="2486" w:right="415" w:hanging="567"/>
        <w:jc w:val="both"/>
        <w:rPr>
          <w:sz w:val="24"/>
        </w:rPr>
      </w:pPr>
      <w:r>
        <w:rPr>
          <w:sz w:val="24"/>
        </w:rPr>
        <w:t>if the calendar year to retire or de-rate the </w:t>
      </w:r>
      <w:r>
        <w:rPr>
          <w:i/>
          <w:sz w:val="24"/>
        </w:rPr>
        <w:t>network </w:t>
      </w:r>
      <w:r>
        <w:rPr>
          <w:sz w:val="24"/>
        </w:rPr>
        <w:t>assets has changed since the previous </w:t>
      </w:r>
      <w:r>
        <w:rPr>
          <w:i/>
          <w:sz w:val="24"/>
        </w:rPr>
        <w:t>Distribution Annual Planning Report</w:t>
      </w:r>
      <w:r>
        <w:rPr>
          <w:sz w:val="24"/>
        </w:rPr>
        <w:t>, an explanation of why this has</w:t>
      </w:r>
      <w:r>
        <w:rPr>
          <w:spacing w:val="-2"/>
          <w:sz w:val="24"/>
        </w:rPr>
        <w:t> </w:t>
      </w:r>
      <w:r>
        <w:rPr>
          <w:sz w:val="24"/>
        </w:rPr>
        <w:t>occurred;</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information on system limitations for sub-transmission lines and zone substations, including at</w:t>
      </w:r>
      <w:r>
        <w:rPr>
          <w:spacing w:val="-2"/>
          <w:sz w:val="24"/>
        </w:rPr>
        <w:t> </w:t>
      </w:r>
      <w:r>
        <w:rPr>
          <w:sz w:val="24"/>
        </w:rPr>
        <w:t>least:</w:t>
      </w:r>
    </w:p>
    <w:p>
      <w:pPr>
        <w:spacing w:after="0" w:line="240" w:lineRule="auto"/>
        <w:jc w:val="both"/>
        <w:rPr>
          <w:sz w:val="24"/>
        </w:rPr>
        <w:sectPr>
          <w:pgSz w:w="11910" w:h="16840"/>
          <w:pgMar w:header="686" w:footer="637" w:top="1320" w:bottom="820" w:left="1200" w:right="1000"/>
        </w:sectPr>
      </w:pPr>
    </w:p>
    <w:p>
      <w:pPr>
        <w:pStyle w:val="ListParagraph"/>
        <w:numPr>
          <w:ilvl w:val="1"/>
          <w:numId w:val="339"/>
        </w:numPr>
        <w:tabs>
          <w:tab w:pos="2486" w:val="left" w:leader="none"/>
        </w:tabs>
        <w:spacing w:line="240" w:lineRule="auto" w:before="83" w:after="0"/>
        <w:ind w:left="2486" w:right="414" w:hanging="567"/>
        <w:jc w:val="both"/>
        <w:rPr>
          <w:sz w:val="24"/>
        </w:rPr>
      </w:pPr>
      <w:r>
        <w:rPr>
          <w:sz w:val="24"/>
        </w:rPr>
        <w:t>estimates of the location and timing (month(s) and year) of the system limitation;</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analysis of any potential for load transfer capacity between </w:t>
      </w:r>
      <w:r>
        <w:rPr>
          <w:i/>
          <w:sz w:val="24"/>
        </w:rPr>
        <w:t>supply </w:t>
      </w:r>
      <w:r>
        <w:rPr>
          <w:sz w:val="24"/>
        </w:rPr>
        <w:t>points that may decrease the impact of the system limitation or defer the requirement for</w:t>
      </w:r>
      <w:r>
        <w:rPr>
          <w:spacing w:val="-1"/>
          <w:sz w:val="24"/>
        </w:rPr>
        <w:t> </w:t>
      </w:r>
      <w:r>
        <w:rPr>
          <w:sz w:val="24"/>
        </w:rPr>
        <w:t>investment;</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impact of the system limitation, if any, on the capacity at transmission-distribution connection</w:t>
      </w:r>
      <w:r>
        <w:rPr>
          <w:spacing w:val="-1"/>
          <w:sz w:val="24"/>
        </w:rPr>
        <w:t> </w:t>
      </w:r>
      <w:r>
        <w:rPr>
          <w:sz w:val="24"/>
        </w:rPr>
        <w:t>points;</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brief discussion of the types of potential solutions that may address the system limitation in the forward planning period, if a solution is required;</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where an estimated reduction in forecast </w:t>
      </w:r>
      <w:r>
        <w:rPr>
          <w:i/>
          <w:sz w:val="24"/>
        </w:rPr>
        <w:t>load </w:t>
      </w:r>
      <w:r>
        <w:rPr>
          <w:sz w:val="24"/>
        </w:rPr>
        <w:t>would defer a forecast system limitation for a period of at least 12 months,</w:t>
      </w:r>
      <w:r>
        <w:rPr>
          <w:spacing w:val="-5"/>
          <w:sz w:val="24"/>
        </w:rPr>
        <w:t> </w:t>
      </w:r>
      <w:r>
        <w:rPr>
          <w:sz w:val="24"/>
        </w:rPr>
        <w:t>include:</w:t>
      </w:r>
    </w:p>
    <w:p>
      <w:pPr>
        <w:pStyle w:val="ListParagraph"/>
        <w:numPr>
          <w:ilvl w:val="2"/>
          <w:numId w:val="339"/>
        </w:numPr>
        <w:tabs>
          <w:tab w:pos="3052" w:val="left" w:leader="none"/>
          <w:tab w:pos="3053" w:val="left" w:leader="none"/>
        </w:tabs>
        <w:spacing w:line="240" w:lineRule="auto" w:before="120" w:after="0"/>
        <w:ind w:left="3053" w:right="415" w:hanging="567"/>
        <w:jc w:val="left"/>
        <w:rPr>
          <w:sz w:val="24"/>
        </w:rPr>
      </w:pPr>
      <w:r>
        <w:rPr>
          <w:sz w:val="24"/>
        </w:rPr>
        <w:t>an estimate of the month and year in which a system limitation is forecast to occur as required under subparagraph</w:t>
      </w:r>
      <w:r>
        <w:rPr>
          <w:spacing w:val="-2"/>
          <w:sz w:val="24"/>
        </w:rPr>
        <w:t> </w:t>
      </w:r>
      <w:r>
        <w:rPr>
          <w:sz w:val="24"/>
        </w:rPr>
        <w:t>(1);</w:t>
      </w:r>
    </w:p>
    <w:p>
      <w:pPr>
        <w:pStyle w:val="ListParagraph"/>
        <w:numPr>
          <w:ilvl w:val="2"/>
          <w:numId w:val="339"/>
        </w:numPr>
        <w:tabs>
          <w:tab w:pos="3052" w:val="left" w:leader="none"/>
          <w:tab w:pos="3054" w:val="left" w:leader="none"/>
        </w:tabs>
        <w:spacing w:line="240" w:lineRule="auto" w:before="120" w:after="0"/>
        <w:ind w:left="3053" w:right="416" w:hanging="567"/>
        <w:jc w:val="left"/>
        <w:rPr>
          <w:sz w:val="24"/>
        </w:rPr>
      </w:pPr>
      <w:r>
        <w:rPr>
          <w:sz w:val="24"/>
        </w:rPr>
        <w:t>the relevant </w:t>
      </w:r>
      <w:r>
        <w:rPr>
          <w:i/>
          <w:sz w:val="24"/>
        </w:rPr>
        <w:t>connection points </w:t>
      </w:r>
      <w:r>
        <w:rPr>
          <w:sz w:val="24"/>
        </w:rPr>
        <w:t>at which the estimated reduction in forecast </w:t>
      </w:r>
      <w:r>
        <w:rPr>
          <w:i/>
          <w:sz w:val="24"/>
        </w:rPr>
        <w:t>load </w:t>
      </w:r>
      <w:r>
        <w:rPr>
          <w:sz w:val="24"/>
        </w:rPr>
        <w:t>may occur;</w:t>
      </w:r>
      <w:r>
        <w:rPr>
          <w:spacing w:val="-3"/>
          <w:sz w:val="24"/>
        </w:rPr>
        <w:t> </w:t>
      </w:r>
      <w:r>
        <w:rPr>
          <w:sz w:val="24"/>
        </w:rPr>
        <w:t>and</w:t>
      </w:r>
    </w:p>
    <w:p>
      <w:pPr>
        <w:pStyle w:val="ListParagraph"/>
        <w:numPr>
          <w:ilvl w:val="2"/>
          <w:numId w:val="339"/>
        </w:numPr>
        <w:tabs>
          <w:tab w:pos="3052" w:val="left" w:leader="none"/>
          <w:tab w:pos="3053" w:val="left" w:leader="none"/>
        </w:tabs>
        <w:spacing w:line="240" w:lineRule="auto" w:before="120" w:after="0"/>
        <w:ind w:left="3053" w:right="415" w:hanging="567"/>
        <w:jc w:val="left"/>
        <w:rPr>
          <w:sz w:val="24"/>
        </w:rPr>
      </w:pPr>
      <w:r>
        <w:rPr>
          <w:sz w:val="24"/>
        </w:rPr>
        <w:t>the estimated reduction in forecast </w:t>
      </w:r>
      <w:r>
        <w:rPr>
          <w:i/>
          <w:sz w:val="24"/>
        </w:rPr>
        <w:t>load </w:t>
      </w:r>
      <w:r>
        <w:rPr>
          <w:sz w:val="24"/>
        </w:rPr>
        <w:t>in MW or improvements in </w:t>
      </w:r>
      <w:r>
        <w:rPr>
          <w:i/>
          <w:sz w:val="24"/>
        </w:rPr>
        <w:t>power factor </w:t>
      </w:r>
      <w:r>
        <w:rPr>
          <w:sz w:val="24"/>
        </w:rPr>
        <w:t>needed to defer the forecast system</w:t>
      </w:r>
      <w:r>
        <w:rPr>
          <w:spacing w:val="-7"/>
          <w:sz w:val="24"/>
        </w:rPr>
        <w:t> </w:t>
      </w:r>
      <w:r>
        <w:rPr>
          <w:sz w:val="24"/>
        </w:rPr>
        <w:t>limitation;</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for any primary distribution feeders for which a </w:t>
      </w:r>
      <w:r>
        <w:rPr>
          <w:i/>
          <w:sz w:val="24"/>
        </w:rPr>
        <w:t>Distribution Network </w:t>
      </w:r>
      <w:r>
        <w:rPr>
          <w:i/>
          <w:sz w:val="24"/>
        </w:rPr>
        <w:t>Service Provider </w:t>
      </w:r>
      <w:r>
        <w:rPr>
          <w:sz w:val="24"/>
        </w:rPr>
        <w:t>has prepared forecasts of </w:t>
      </w:r>
      <w:r>
        <w:rPr>
          <w:i/>
          <w:sz w:val="24"/>
        </w:rPr>
        <w:t>maximum demands </w:t>
      </w:r>
      <w:r>
        <w:rPr>
          <w:sz w:val="24"/>
        </w:rPr>
        <w:t>under clause 5.13.1(d)(1)(iii) and which are currently experiencing an overload, or are forecast to experience an overload in the next two years the </w:t>
      </w:r>
      <w:r>
        <w:rPr>
          <w:i/>
          <w:sz w:val="24"/>
        </w:rPr>
        <w:t>Distribution </w:t>
      </w:r>
      <w:r>
        <w:rPr>
          <w:i/>
          <w:sz w:val="24"/>
        </w:rPr>
        <w:t>Network Service Provider </w:t>
      </w:r>
      <w:r>
        <w:rPr>
          <w:sz w:val="24"/>
        </w:rPr>
        <w:t>must set</w:t>
      </w:r>
      <w:r>
        <w:rPr>
          <w:spacing w:val="-2"/>
          <w:sz w:val="24"/>
        </w:rPr>
        <w:t> </w:t>
      </w:r>
      <w:r>
        <w:rPr>
          <w:sz w:val="24"/>
        </w:rPr>
        <w:t>out:</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the location of the primary distribution</w:t>
      </w:r>
      <w:r>
        <w:rPr>
          <w:spacing w:val="-3"/>
          <w:sz w:val="24"/>
        </w:rPr>
        <w:t> </w:t>
      </w:r>
      <w:r>
        <w:rPr>
          <w:sz w:val="24"/>
        </w:rPr>
        <w:t>feeder;</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the extent to which load exceeds, or is forecast to exceed, 100% </w:t>
      </w:r>
      <w:r>
        <w:rPr>
          <w:spacing w:val="-4"/>
          <w:sz w:val="24"/>
        </w:rPr>
        <w:t>(or</w:t>
      </w:r>
      <w:r>
        <w:rPr>
          <w:spacing w:val="52"/>
          <w:sz w:val="24"/>
        </w:rPr>
        <w:t> </w:t>
      </w:r>
      <w:r>
        <w:rPr>
          <w:sz w:val="24"/>
        </w:rPr>
        <w:t>lower utilisation factor, as appropriate) of the normal cyclic rating under normal conditions (in summer periods or winter</w:t>
      </w:r>
      <w:r>
        <w:rPr>
          <w:spacing w:val="-6"/>
          <w:sz w:val="24"/>
        </w:rPr>
        <w:t> </w:t>
      </w:r>
      <w:r>
        <w:rPr>
          <w:sz w:val="24"/>
        </w:rPr>
        <w:t>periods);</w:t>
      </w:r>
    </w:p>
    <w:p>
      <w:pPr>
        <w:pStyle w:val="ListParagraph"/>
        <w:numPr>
          <w:ilvl w:val="1"/>
          <w:numId w:val="339"/>
        </w:numPr>
        <w:tabs>
          <w:tab w:pos="2486" w:val="left" w:leader="none"/>
        </w:tabs>
        <w:spacing w:line="240" w:lineRule="auto" w:before="120" w:after="0"/>
        <w:ind w:left="2486" w:right="416" w:hanging="567"/>
        <w:jc w:val="both"/>
        <w:rPr>
          <w:sz w:val="24"/>
        </w:rPr>
      </w:pPr>
      <w:r>
        <w:rPr>
          <w:sz w:val="24"/>
        </w:rPr>
        <w:t>the types of potential solutions that may address the overload or forecast overload;</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where an estimated reduction in forecast </w:t>
      </w:r>
      <w:r>
        <w:rPr>
          <w:i/>
          <w:sz w:val="24"/>
        </w:rPr>
        <w:t>load </w:t>
      </w:r>
      <w:r>
        <w:rPr>
          <w:sz w:val="24"/>
        </w:rPr>
        <w:t>would defer a forecast overload for a period of 12 months,</w:t>
      </w:r>
      <w:r>
        <w:rPr>
          <w:spacing w:val="-2"/>
          <w:sz w:val="24"/>
        </w:rPr>
        <w:t> </w:t>
      </w:r>
      <w:r>
        <w:rPr>
          <w:sz w:val="24"/>
        </w:rPr>
        <w:t>include:</w:t>
      </w:r>
    </w:p>
    <w:p>
      <w:pPr>
        <w:pStyle w:val="ListParagraph"/>
        <w:numPr>
          <w:ilvl w:val="2"/>
          <w:numId w:val="339"/>
        </w:numPr>
        <w:tabs>
          <w:tab w:pos="3053" w:val="left" w:leader="none"/>
        </w:tabs>
        <w:spacing w:line="240" w:lineRule="auto" w:before="120" w:after="0"/>
        <w:ind w:left="3053" w:right="415" w:hanging="567"/>
        <w:jc w:val="both"/>
        <w:rPr>
          <w:sz w:val="24"/>
        </w:rPr>
      </w:pPr>
      <w:r>
        <w:rPr>
          <w:sz w:val="24"/>
        </w:rPr>
        <w:t>estimate of the month and year in which the overload is forecast to occur;</w:t>
      </w:r>
    </w:p>
    <w:p>
      <w:pPr>
        <w:pStyle w:val="ListParagraph"/>
        <w:numPr>
          <w:ilvl w:val="2"/>
          <w:numId w:val="339"/>
        </w:numPr>
        <w:tabs>
          <w:tab w:pos="3054" w:val="left" w:leader="none"/>
        </w:tabs>
        <w:spacing w:line="240" w:lineRule="auto" w:before="120" w:after="0"/>
        <w:ind w:left="3053" w:right="415" w:hanging="567"/>
        <w:jc w:val="both"/>
        <w:rPr>
          <w:sz w:val="24"/>
        </w:rPr>
      </w:pPr>
      <w:r>
        <w:rPr>
          <w:sz w:val="24"/>
        </w:rPr>
        <w:t>a summary of the location of relevant </w:t>
      </w:r>
      <w:r>
        <w:rPr>
          <w:i/>
          <w:sz w:val="24"/>
        </w:rPr>
        <w:t>connection points </w:t>
      </w:r>
      <w:r>
        <w:rPr>
          <w:sz w:val="24"/>
        </w:rPr>
        <w:t>at  which the estimated reduction in forecast </w:t>
      </w:r>
      <w:r>
        <w:rPr>
          <w:i/>
          <w:sz w:val="24"/>
        </w:rPr>
        <w:t>load </w:t>
      </w:r>
      <w:r>
        <w:rPr>
          <w:sz w:val="24"/>
        </w:rPr>
        <w:t>would defer the overload;</w:t>
      </w:r>
    </w:p>
    <w:p>
      <w:pPr>
        <w:pStyle w:val="ListParagraph"/>
        <w:numPr>
          <w:ilvl w:val="2"/>
          <w:numId w:val="339"/>
        </w:numPr>
        <w:tabs>
          <w:tab w:pos="3053" w:val="left" w:leader="none"/>
        </w:tabs>
        <w:spacing w:line="240" w:lineRule="auto" w:before="120" w:after="0"/>
        <w:ind w:left="3053" w:right="415" w:hanging="567"/>
        <w:jc w:val="both"/>
        <w:rPr>
          <w:sz w:val="24"/>
        </w:rPr>
      </w:pPr>
      <w:r>
        <w:rPr>
          <w:sz w:val="24"/>
        </w:rPr>
        <w:t>the estimated reduction in forecast </w:t>
      </w:r>
      <w:r>
        <w:rPr>
          <w:i/>
          <w:sz w:val="24"/>
        </w:rPr>
        <w:t>load </w:t>
      </w:r>
      <w:r>
        <w:rPr>
          <w:sz w:val="24"/>
        </w:rPr>
        <w:t>in MW needed to defer the forecast system</w:t>
      </w:r>
      <w:r>
        <w:rPr>
          <w:spacing w:val="-1"/>
          <w:sz w:val="24"/>
        </w:rPr>
        <w:t> </w:t>
      </w:r>
      <w:r>
        <w:rPr>
          <w:sz w:val="24"/>
        </w:rPr>
        <w:t>limitation;</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a high-level summary of each RIT-D project for which the </w:t>
      </w:r>
      <w:r>
        <w:rPr>
          <w:i/>
          <w:sz w:val="24"/>
        </w:rPr>
        <w:t>regulatory </w:t>
      </w:r>
      <w:r>
        <w:rPr>
          <w:i/>
          <w:sz w:val="24"/>
        </w:rPr>
        <w:t>investment test for distribution </w:t>
      </w:r>
      <w:r>
        <w:rPr>
          <w:sz w:val="24"/>
        </w:rPr>
        <w:t>has been completed in the preceding year or is in progress,</w:t>
      </w:r>
      <w:r>
        <w:rPr>
          <w:spacing w:val="-1"/>
          <w:sz w:val="24"/>
        </w:rPr>
        <w:t> </w:t>
      </w:r>
      <w:r>
        <w:rPr>
          <w:sz w:val="24"/>
        </w:rPr>
        <w:t>including:</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if the </w:t>
      </w:r>
      <w:r>
        <w:rPr>
          <w:i/>
          <w:sz w:val="24"/>
        </w:rPr>
        <w:t>regulatory investment test for distribution </w:t>
      </w:r>
      <w:r>
        <w:rPr>
          <w:sz w:val="24"/>
        </w:rPr>
        <w:t>is in progress, the current stage in the</w:t>
      </w:r>
      <w:r>
        <w:rPr>
          <w:spacing w:val="-1"/>
          <w:sz w:val="24"/>
        </w:rPr>
        <w:t> </w:t>
      </w:r>
      <w:r>
        <w:rPr>
          <w:sz w:val="24"/>
        </w:rPr>
        <w:t>process;</w:t>
      </w:r>
    </w:p>
    <w:p>
      <w:pPr>
        <w:spacing w:after="0" w:line="240" w:lineRule="auto"/>
        <w:jc w:val="both"/>
        <w:rPr>
          <w:sz w:val="24"/>
        </w:rPr>
        <w:sectPr>
          <w:pgSz w:w="11910" w:h="16840"/>
          <w:pgMar w:header="686" w:footer="637" w:top="1320" w:bottom="820" w:left="1200" w:right="1000"/>
        </w:sectPr>
      </w:pPr>
    </w:p>
    <w:p>
      <w:pPr>
        <w:pStyle w:val="ListParagraph"/>
        <w:numPr>
          <w:ilvl w:val="1"/>
          <w:numId w:val="339"/>
        </w:numPr>
        <w:tabs>
          <w:tab w:pos="2486" w:val="left" w:leader="none"/>
        </w:tabs>
        <w:spacing w:line="240" w:lineRule="auto" w:before="83" w:after="0"/>
        <w:ind w:left="2485" w:right="0" w:hanging="567"/>
        <w:jc w:val="both"/>
        <w:rPr>
          <w:sz w:val="24"/>
        </w:rPr>
      </w:pPr>
      <w:r>
        <w:rPr>
          <w:sz w:val="24"/>
        </w:rPr>
        <w:t>a brief description of the </w:t>
      </w:r>
      <w:r>
        <w:rPr>
          <w:i/>
          <w:sz w:val="24"/>
        </w:rPr>
        <w:t>identified</w:t>
      </w:r>
      <w:r>
        <w:rPr>
          <w:i/>
          <w:spacing w:val="-1"/>
          <w:sz w:val="24"/>
        </w:rPr>
        <w:t> </w:t>
      </w:r>
      <w:r>
        <w:rPr>
          <w:i/>
          <w:sz w:val="24"/>
        </w:rPr>
        <w:t>need</w:t>
      </w:r>
      <w:r>
        <w:rPr>
          <w:sz w:val="24"/>
        </w:rPr>
        <w:t>;</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list of the credible options assessed or being assessed (to the extent reasonably</w:t>
      </w:r>
      <w:r>
        <w:rPr>
          <w:spacing w:val="-1"/>
          <w:sz w:val="24"/>
        </w:rPr>
        <w:t> </w:t>
      </w:r>
      <w:r>
        <w:rPr>
          <w:sz w:val="24"/>
        </w:rPr>
        <w:t>practicable);</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if the </w:t>
      </w:r>
      <w:r>
        <w:rPr>
          <w:i/>
          <w:sz w:val="24"/>
        </w:rPr>
        <w:t>regulatory investment test for distribution </w:t>
      </w:r>
      <w:r>
        <w:rPr>
          <w:sz w:val="24"/>
        </w:rPr>
        <w:t>has been completed a brief description of the conclusion,</w:t>
      </w:r>
      <w:r>
        <w:rPr>
          <w:spacing w:val="-1"/>
          <w:sz w:val="24"/>
        </w:rPr>
        <w:t> </w:t>
      </w:r>
      <w:r>
        <w:rPr>
          <w:sz w:val="24"/>
        </w:rPr>
        <w:t>including:</w:t>
      </w:r>
    </w:p>
    <w:p>
      <w:pPr>
        <w:pStyle w:val="ListParagraph"/>
        <w:numPr>
          <w:ilvl w:val="2"/>
          <w:numId w:val="339"/>
        </w:numPr>
        <w:tabs>
          <w:tab w:pos="3053" w:val="left" w:leader="none"/>
        </w:tabs>
        <w:spacing w:line="240" w:lineRule="auto" w:before="120" w:after="0"/>
        <w:ind w:left="3052" w:right="0" w:hanging="567"/>
        <w:jc w:val="both"/>
        <w:rPr>
          <w:sz w:val="24"/>
        </w:rPr>
      </w:pPr>
      <w:r>
        <w:rPr>
          <w:sz w:val="24"/>
        </w:rPr>
        <w:t>the net economic benefit of each credible</w:t>
      </w:r>
      <w:r>
        <w:rPr>
          <w:spacing w:val="-2"/>
          <w:sz w:val="24"/>
        </w:rPr>
        <w:t> </w:t>
      </w:r>
      <w:r>
        <w:rPr>
          <w:sz w:val="24"/>
        </w:rPr>
        <w:t>option;</w:t>
      </w:r>
    </w:p>
    <w:p>
      <w:pPr>
        <w:pStyle w:val="ListParagraph"/>
        <w:numPr>
          <w:ilvl w:val="2"/>
          <w:numId w:val="339"/>
        </w:numPr>
        <w:tabs>
          <w:tab w:pos="3054" w:val="left" w:leader="none"/>
        </w:tabs>
        <w:spacing w:line="240" w:lineRule="auto" w:before="120" w:after="0"/>
        <w:ind w:left="3053" w:right="0" w:hanging="568"/>
        <w:jc w:val="both"/>
        <w:rPr>
          <w:sz w:val="24"/>
        </w:rPr>
      </w:pPr>
      <w:r>
        <w:rPr>
          <w:sz w:val="24"/>
        </w:rPr>
        <w:t>the estimated capital cost of the preferred option;</w:t>
      </w:r>
      <w:r>
        <w:rPr>
          <w:spacing w:val="-4"/>
          <w:sz w:val="24"/>
        </w:rPr>
        <w:t> </w:t>
      </w:r>
      <w:r>
        <w:rPr>
          <w:sz w:val="24"/>
        </w:rPr>
        <w:t>and</w:t>
      </w:r>
    </w:p>
    <w:p>
      <w:pPr>
        <w:pStyle w:val="ListParagraph"/>
        <w:numPr>
          <w:ilvl w:val="2"/>
          <w:numId w:val="339"/>
        </w:numPr>
        <w:tabs>
          <w:tab w:pos="3053" w:val="left" w:leader="none"/>
        </w:tabs>
        <w:spacing w:line="240" w:lineRule="auto" w:before="120" w:after="0"/>
        <w:ind w:left="3053" w:right="413" w:hanging="567"/>
        <w:jc w:val="both"/>
        <w:rPr>
          <w:sz w:val="24"/>
        </w:rPr>
      </w:pPr>
      <w:r>
        <w:rPr>
          <w:sz w:val="24"/>
        </w:rPr>
        <w:t>the estimated construction timetable and commissioning date (where relevant) of the preferred option;</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any impacts on </w:t>
      </w:r>
      <w:r>
        <w:rPr>
          <w:i/>
          <w:sz w:val="24"/>
        </w:rPr>
        <w:t>Network Users</w:t>
      </w:r>
      <w:r>
        <w:rPr>
          <w:sz w:val="24"/>
        </w:rPr>
        <w:t>, including any potential material impacts on </w:t>
      </w:r>
      <w:r>
        <w:rPr>
          <w:i/>
          <w:sz w:val="24"/>
        </w:rPr>
        <w:t>connection </w:t>
      </w:r>
      <w:r>
        <w:rPr>
          <w:sz w:val="24"/>
        </w:rPr>
        <w:t>charges and </w:t>
      </w:r>
      <w:r>
        <w:rPr>
          <w:i/>
          <w:sz w:val="24"/>
        </w:rPr>
        <w:t>distribution use of system </w:t>
      </w:r>
      <w:r>
        <w:rPr>
          <w:sz w:val="24"/>
        </w:rPr>
        <w:t>charges that have been</w:t>
      </w:r>
      <w:r>
        <w:rPr>
          <w:spacing w:val="-1"/>
          <w:sz w:val="24"/>
        </w:rPr>
        <w:t> </w:t>
      </w:r>
      <w:r>
        <w:rPr>
          <w:sz w:val="24"/>
        </w:rPr>
        <w:t>estimated;</w:t>
      </w:r>
    </w:p>
    <w:p>
      <w:pPr>
        <w:pStyle w:val="ListParagraph"/>
        <w:numPr>
          <w:ilvl w:val="0"/>
          <w:numId w:val="339"/>
        </w:numPr>
        <w:tabs>
          <w:tab w:pos="1920" w:val="left" w:leader="none"/>
        </w:tabs>
        <w:spacing w:line="240" w:lineRule="auto" w:before="120" w:after="0"/>
        <w:ind w:left="1919" w:right="415" w:hanging="567"/>
        <w:jc w:val="both"/>
        <w:rPr>
          <w:sz w:val="24"/>
        </w:rPr>
      </w:pPr>
      <w:r>
        <w:rPr>
          <w:sz w:val="24"/>
        </w:rPr>
        <w:t>for each identified system limitation which a </w:t>
      </w:r>
      <w:r>
        <w:rPr>
          <w:i/>
          <w:sz w:val="24"/>
        </w:rPr>
        <w:t>Distribution Network Service </w:t>
      </w:r>
      <w:r>
        <w:rPr>
          <w:i/>
          <w:sz w:val="24"/>
        </w:rPr>
        <w:t>Provider </w:t>
      </w:r>
      <w:r>
        <w:rPr>
          <w:sz w:val="24"/>
        </w:rPr>
        <w:t>has determined will require a </w:t>
      </w:r>
      <w:r>
        <w:rPr>
          <w:i/>
          <w:sz w:val="24"/>
        </w:rPr>
        <w:t>regulatory investment test for </w:t>
      </w:r>
      <w:r>
        <w:rPr>
          <w:i/>
          <w:sz w:val="24"/>
        </w:rPr>
        <w:t>distribution</w:t>
      </w:r>
      <w:r>
        <w:rPr>
          <w:sz w:val="24"/>
        </w:rPr>
        <w:t>, provide an estimate of the month and year when the test is expected to</w:t>
      </w:r>
      <w:r>
        <w:rPr>
          <w:spacing w:val="-1"/>
          <w:sz w:val="24"/>
        </w:rPr>
        <w:t> </w:t>
      </w:r>
      <w:r>
        <w:rPr>
          <w:sz w:val="24"/>
        </w:rPr>
        <w:t>commence;</w:t>
      </w:r>
    </w:p>
    <w:p>
      <w:pPr>
        <w:pStyle w:val="ListParagraph"/>
        <w:numPr>
          <w:ilvl w:val="0"/>
          <w:numId w:val="339"/>
        </w:numPr>
        <w:tabs>
          <w:tab w:pos="1919" w:val="left" w:leader="none"/>
        </w:tabs>
        <w:spacing w:line="240" w:lineRule="auto" w:before="120" w:after="0"/>
        <w:ind w:left="1919" w:right="414" w:hanging="567"/>
        <w:jc w:val="both"/>
        <w:rPr>
          <w:sz w:val="24"/>
        </w:rPr>
      </w:pPr>
      <w:r>
        <w:rPr>
          <w:sz w:val="24"/>
        </w:rPr>
        <w:t>a summary of all committed investments to be carried out within the forward planning period with an estimated capital cost of $2 million or more (as varied by a cost threshold determination) that are to address an urgent and unforeseen </w:t>
      </w:r>
      <w:r>
        <w:rPr>
          <w:i/>
          <w:sz w:val="24"/>
        </w:rPr>
        <w:t>network </w:t>
      </w:r>
      <w:r>
        <w:rPr>
          <w:sz w:val="24"/>
        </w:rPr>
        <w:t>issue as described in clause 5.17.3(a)(1),</w:t>
      </w:r>
      <w:r>
        <w:rPr>
          <w:spacing w:val="-3"/>
          <w:sz w:val="24"/>
        </w:rPr>
        <w:t> </w:t>
      </w:r>
      <w:r>
        <w:rPr>
          <w:sz w:val="24"/>
        </w:rPr>
        <w:t>including:</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a brief description of the investment, including its purpose, its location, the estimated capital cost of the investment and an estimate of the date (month and year) the investment is expected to become operational;</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a brief description of the alternative options considered by the </w:t>
      </w:r>
      <w:r>
        <w:rPr>
          <w:i/>
          <w:sz w:val="24"/>
        </w:rPr>
        <w:t>Distribution Network Service Provider </w:t>
      </w:r>
      <w:r>
        <w:rPr>
          <w:sz w:val="24"/>
        </w:rPr>
        <w:t>in deciding on the preferred investment, including an explanation of the ranking of these options to the committed project. Alternative options could include, but are not limited to, </w:t>
      </w:r>
      <w:r>
        <w:rPr>
          <w:i/>
          <w:sz w:val="24"/>
        </w:rPr>
        <w:t>generation </w:t>
      </w:r>
      <w:r>
        <w:rPr>
          <w:sz w:val="24"/>
        </w:rPr>
        <w:t>options, demand side options, and options involving other </w:t>
      </w:r>
      <w:r>
        <w:rPr>
          <w:i/>
          <w:sz w:val="24"/>
        </w:rPr>
        <w:t>distribution </w:t>
      </w:r>
      <w:r>
        <w:rPr>
          <w:sz w:val="24"/>
        </w:rPr>
        <w:t>or </w:t>
      </w:r>
      <w:r>
        <w:rPr>
          <w:i/>
          <w:sz w:val="24"/>
        </w:rPr>
        <w:t>transmission</w:t>
      </w:r>
      <w:r>
        <w:rPr>
          <w:i/>
          <w:spacing w:val="-1"/>
          <w:sz w:val="24"/>
        </w:rPr>
        <w:t> </w:t>
      </w:r>
      <w:r>
        <w:rPr>
          <w:i/>
          <w:sz w:val="24"/>
        </w:rPr>
        <w:t>networks</w:t>
      </w:r>
      <w:r>
        <w:rPr>
          <w:sz w:val="24"/>
        </w:rPr>
        <w:t>;</w:t>
      </w:r>
    </w:p>
    <w:p>
      <w:pPr>
        <w:pStyle w:val="ListParagraph"/>
        <w:numPr>
          <w:ilvl w:val="0"/>
          <w:numId w:val="339"/>
        </w:numPr>
        <w:tabs>
          <w:tab w:pos="1919" w:val="left" w:leader="none"/>
        </w:tabs>
        <w:spacing w:line="240" w:lineRule="auto" w:before="120" w:after="0"/>
        <w:ind w:left="1919" w:right="416" w:hanging="567"/>
        <w:jc w:val="both"/>
        <w:rPr>
          <w:sz w:val="24"/>
        </w:rPr>
      </w:pPr>
      <w:r>
        <w:rPr>
          <w:sz w:val="24"/>
        </w:rPr>
        <w:t>the results of any joint planning undertaken with a </w:t>
      </w:r>
      <w:r>
        <w:rPr>
          <w:i/>
          <w:sz w:val="24"/>
        </w:rPr>
        <w:t>Transmission Network </w:t>
      </w:r>
      <w:r>
        <w:rPr>
          <w:i/>
          <w:sz w:val="24"/>
        </w:rPr>
        <w:t>Service Provider </w:t>
      </w:r>
      <w:r>
        <w:rPr>
          <w:sz w:val="24"/>
        </w:rPr>
        <w:t>in the preceding year,</w:t>
      </w:r>
      <w:r>
        <w:rPr>
          <w:spacing w:val="-2"/>
          <w:sz w:val="24"/>
        </w:rPr>
        <w:t> </w:t>
      </w:r>
      <w:r>
        <w:rPr>
          <w:sz w:val="24"/>
        </w:rPr>
        <w:t>including:</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summary of the process and methodology used by the </w:t>
      </w:r>
      <w:r>
        <w:rPr>
          <w:i/>
          <w:sz w:val="24"/>
        </w:rPr>
        <w:t>Distribution </w:t>
      </w:r>
      <w:r>
        <w:rPr>
          <w:i/>
          <w:sz w:val="24"/>
        </w:rPr>
        <w:t>Network Service Provider </w:t>
      </w:r>
      <w:r>
        <w:rPr>
          <w:sz w:val="24"/>
        </w:rPr>
        <w:t>and relevant </w:t>
      </w:r>
      <w:r>
        <w:rPr>
          <w:i/>
          <w:sz w:val="24"/>
        </w:rPr>
        <w:t>Transmission Network Service </w:t>
      </w:r>
      <w:r>
        <w:rPr>
          <w:i/>
          <w:sz w:val="24"/>
        </w:rPr>
        <w:t>Providers </w:t>
      </w:r>
      <w:r>
        <w:rPr>
          <w:sz w:val="24"/>
        </w:rPr>
        <w:t>to undertake joint</w:t>
      </w:r>
      <w:r>
        <w:rPr>
          <w:spacing w:val="-1"/>
          <w:sz w:val="24"/>
        </w:rPr>
        <w:t> </w:t>
      </w:r>
      <w:r>
        <w:rPr>
          <w:sz w:val="24"/>
        </w:rPr>
        <w:t>planning;</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brief description of any investments that have been planned through this process, including the estimated capital costs of the investment and an estimate of the timing (month and year) of the investment;</w:t>
      </w:r>
      <w:r>
        <w:rPr>
          <w:spacing w:val="-5"/>
          <w:sz w:val="24"/>
        </w:rPr>
        <w:t> </w:t>
      </w:r>
      <w:r>
        <w:rPr>
          <w:sz w:val="24"/>
        </w:rPr>
        <w:t>and</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where additional information on the investments may be</w:t>
      </w:r>
      <w:r>
        <w:rPr>
          <w:spacing w:val="-5"/>
          <w:sz w:val="24"/>
        </w:rPr>
        <w:t> </w:t>
      </w:r>
      <w:r>
        <w:rPr>
          <w:sz w:val="24"/>
        </w:rPr>
        <w:t>obtained;</w:t>
      </w:r>
    </w:p>
    <w:p>
      <w:pPr>
        <w:pStyle w:val="ListParagraph"/>
        <w:numPr>
          <w:ilvl w:val="0"/>
          <w:numId w:val="339"/>
        </w:numPr>
        <w:tabs>
          <w:tab w:pos="1919" w:val="left" w:leader="none"/>
        </w:tabs>
        <w:spacing w:line="240" w:lineRule="auto" w:before="120" w:after="0"/>
        <w:ind w:left="1919" w:right="417" w:hanging="567"/>
        <w:jc w:val="both"/>
        <w:rPr>
          <w:sz w:val="24"/>
        </w:rPr>
      </w:pPr>
      <w:r>
        <w:rPr>
          <w:sz w:val="24"/>
        </w:rPr>
        <w:t>the results of any joint planning undertaken with other </w:t>
      </w:r>
      <w:r>
        <w:rPr>
          <w:i/>
          <w:sz w:val="24"/>
        </w:rPr>
        <w:t>Distribution Network </w:t>
      </w:r>
      <w:r>
        <w:rPr>
          <w:i/>
          <w:sz w:val="24"/>
        </w:rPr>
        <w:t>Service Providers </w:t>
      </w:r>
      <w:r>
        <w:rPr>
          <w:sz w:val="24"/>
        </w:rPr>
        <w:t>in the preceding year,</w:t>
      </w:r>
      <w:r>
        <w:rPr>
          <w:spacing w:val="-2"/>
          <w:sz w:val="24"/>
        </w:rPr>
        <w:t> </w:t>
      </w:r>
      <w:r>
        <w:rPr>
          <w:sz w:val="24"/>
        </w:rPr>
        <w:t>including:</w:t>
      </w:r>
    </w:p>
    <w:p>
      <w:pPr>
        <w:pStyle w:val="ListParagraph"/>
        <w:numPr>
          <w:ilvl w:val="1"/>
          <w:numId w:val="339"/>
        </w:numPr>
        <w:tabs>
          <w:tab w:pos="2486" w:val="left" w:leader="none"/>
        </w:tabs>
        <w:spacing w:line="240" w:lineRule="auto" w:before="120" w:after="0"/>
        <w:ind w:left="2486" w:right="416" w:hanging="567"/>
        <w:jc w:val="both"/>
        <w:rPr>
          <w:sz w:val="24"/>
        </w:rPr>
      </w:pPr>
      <w:r>
        <w:rPr>
          <w:sz w:val="24"/>
        </w:rPr>
        <w:t>a summary of the process and methodology used by the </w:t>
      </w:r>
      <w:r>
        <w:rPr>
          <w:i/>
          <w:sz w:val="24"/>
        </w:rPr>
        <w:t>Distribution </w:t>
      </w:r>
      <w:r>
        <w:rPr>
          <w:i/>
          <w:sz w:val="24"/>
        </w:rPr>
        <w:t>Network Service Providers </w:t>
      </w:r>
      <w:r>
        <w:rPr>
          <w:sz w:val="24"/>
        </w:rPr>
        <w:t>to undertake joint</w:t>
      </w:r>
      <w:r>
        <w:rPr>
          <w:spacing w:val="-1"/>
          <w:sz w:val="24"/>
        </w:rPr>
        <w:t> </w:t>
      </w:r>
      <w:r>
        <w:rPr>
          <w:sz w:val="24"/>
        </w:rPr>
        <w:t>planning;</w:t>
      </w:r>
    </w:p>
    <w:p>
      <w:pPr>
        <w:spacing w:after="0" w:line="240" w:lineRule="auto"/>
        <w:jc w:val="both"/>
        <w:rPr>
          <w:sz w:val="24"/>
        </w:rPr>
        <w:sectPr>
          <w:pgSz w:w="11910" w:h="16840"/>
          <w:pgMar w:header="686" w:footer="637" w:top="1320" w:bottom="820" w:left="1200" w:right="1000"/>
        </w:sectPr>
      </w:pPr>
    </w:p>
    <w:p>
      <w:pPr>
        <w:pStyle w:val="ListParagraph"/>
        <w:numPr>
          <w:ilvl w:val="1"/>
          <w:numId w:val="339"/>
        </w:numPr>
        <w:tabs>
          <w:tab w:pos="2486" w:val="left" w:leader="none"/>
        </w:tabs>
        <w:spacing w:line="240" w:lineRule="auto" w:before="83" w:after="0"/>
        <w:ind w:left="2486" w:right="414" w:hanging="567"/>
        <w:jc w:val="both"/>
        <w:rPr>
          <w:sz w:val="24"/>
        </w:rPr>
      </w:pPr>
      <w:r>
        <w:rPr>
          <w:sz w:val="24"/>
        </w:rPr>
        <w:t>a brief description of any investments that have been planned through this process, including the estimated capital cost of the investment and an estimate of the timing (month and year) of the investment;</w:t>
      </w:r>
      <w:r>
        <w:rPr>
          <w:spacing w:val="-4"/>
          <w:sz w:val="24"/>
        </w:rPr>
        <w:t> </w:t>
      </w:r>
      <w:r>
        <w:rPr>
          <w:sz w:val="24"/>
        </w:rPr>
        <w:t>and</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where additional information on the investments may be</w:t>
      </w:r>
      <w:r>
        <w:rPr>
          <w:spacing w:val="-5"/>
          <w:sz w:val="24"/>
        </w:rPr>
        <w:t> </w:t>
      </w:r>
      <w:r>
        <w:rPr>
          <w:sz w:val="24"/>
        </w:rPr>
        <w:t>obtained;</w:t>
      </w:r>
    </w:p>
    <w:p>
      <w:pPr>
        <w:pStyle w:val="ListParagraph"/>
        <w:numPr>
          <w:ilvl w:val="0"/>
          <w:numId w:val="339"/>
        </w:numPr>
        <w:tabs>
          <w:tab w:pos="1919" w:val="left" w:leader="none"/>
        </w:tabs>
        <w:spacing w:line="240" w:lineRule="auto" w:before="120" w:after="0"/>
        <w:ind w:left="1919" w:right="416" w:hanging="567"/>
        <w:jc w:val="both"/>
        <w:rPr>
          <w:sz w:val="24"/>
        </w:rPr>
      </w:pPr>
      <w:r>
        <w:rPr>
          <w:sz w:val="24"/>
        </w:rPr>
        <w:t>information on the performance of the </w:t>
      </w:r>
      <w:r>
        <w:rPr>
          <w:i/>
          <w:sz w:val="24"/>
        </w:rPr>
        <w:t>Distribution Network Service </w:t>
      </w:r>
      <w:r>
        <w:rPr>
          <w:i/>
          <w:sz w:val="24"/>
        </w:rPr>
        <w:t>Provider's network</w:t>
      </w:r>
      <w:r>
        <w:rPr>
          <w:sz w:val="24"/>
        </w:rPr>
        <w:t>,</w:t>
      </w:r>
      <w:r>
        <w:rPr>
          <w:spacing w:val="-1"/>
          <w:sz w:val="24"/>
        </w:rPr>
        <w:t> </w:t>
      </w:r>
      <w:r>
        <w:rPr>
          <w:sz w:val="24"/>
        </w:rPr>
        <w:t>including:</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a</w:t>
      </w:r>
      <w:r>
        <w:rPr>
          <w:spacing w:val="36"/>
          <w:sz w:val="24"/>
        </w:rPr>
        <w:t> </w:t>
      </w:r>
      <w:r>
        <w:rPr>
          <w:sz w:val="24"/>
        </w:rPr>
        <w:t>summary</w:t>
      </w:r>
      <w:r>
        <w:rPr>
          <w:spacing w:val="37"/>
          <w:sz w:val="24"/>
        </w:rPr>
        <w:t> </w:t>
      </w:r>
      <w:r>
        <w:rPr>
          <w:sz w:val="24"/>
        </w:rPr>
        <w:t>description</w:t>
      </w:r>
      <w:r>
        <w:rPr>
          <w:spacing w:val="37"/>
          <w:sz w:val="24"/>
        </w:rPr>
        <w:t> </w:t>
      </w:r>
      <w:r>
        <w:rPr>
          <w:sz w:val="24"/>
        </w:rPr>
        <w:t>of</w:t>
      </w:r>
      <w:r>
        <w:rPr>
          <w:spacing w:val="37"/>
          <w:sz w:val="24"/>
        </w:rPr>
        <w:t> </w:t>
      </w:r>
      <w:r>
        <w:rPr>
          <w:sz w:val="24"/>
        </w:rPr>
        <w:t>reliability</w:t>
      </w:r>
      <w:r>
        <w:rPr>
          <w:spacing w:val="37"/>
          <w:sz w:val="24"/>
        </w:rPr>
        <w:t> </w:t>
      </w:r>
      <w:r>
        <w:rPr>
          <w:sz w:val="24"/>
        </w:rPr>
        <w:t>measures</w:t>
      </w:r>
      <w:r>
        <w:rPr>
          <w:spacing w:val="37"/>
          <w:sz w:val="24"/>
        </w:rPr>
        <w:t> </w:t>
      </w:r>
      <w:r>
        <w:rPr>
          <w:sz w:val="24"/>
        </w:rPr>
        <w:t>and</w:t>
      </w:r>
      <w:r>
        <w:rPr>
          <w:spacing w:val="37"/>
          <w:sz w:val="24"/>
        </w:rPr>
        <w:t> </w:t>
      </w:r>
      <w:r>
        <w:rPr>
          <w:sz w:val="24"/>
        </w:rPr>
        <w:t>standards</w:t>
      </w:r>
      <w:r>
        <w:rPr>
          <w:spacing w:val="37"/>
          <w:sz w:val="24"/>
        </w:rPr>
        <w:t> </w:t>
      </w:r>
      <w:r>
        <w:rPr>
          <w:sz w:val="24"/>
        </w:rPr>
        <w:t>in</w:t>
      </w:r>
    </w:p>
    <w:p>
      <w:pPr>
        <w:spacing w:before="0"/>
        <w:ind w:left="2486" w:right="0" w:firstLine="0"/>
        <w:jc w:val="both"/>
        <w:rPr>
          <w:sz w:val="24"/>
        </w:rPr>
      </w:pPr>
      <w:r>
        <w:rPr>
          <w:i/>
          <w:sz w:val="24"/>
        </w:rPr>
        <w:t>applicable regulatory instruments</w:t>
      </w:r>
      <w:r>
        <w:rPr>
          <w:sz w:val="24"/>
        </w:rPr>
        <w:t>;</w:t>
      </w:r>
    </w:p>
    <w:p>
      <w:pPr>
        <w:pStyle w:val="ListParagraph"/>
        <w:numPr>
          <w:ilvl w:val="1"/>
          <w:numId w:val="339"/>
        </w:numPr>
        <w:tabs>
          <w:tab w:pos="2486" w:val="left" w:leader="none"/>
        </w:tabs>
        <w:spacing w:line="240" w:lineRule="auto" w:before="120" w:after="0"/>
        <w:ind w:left="2486" w:right="416" w:hanging="567"/>
        <w:jc w:val="both"/>
        <w:rPr>
          <w:sz w:val="24"/>
        </w:rPr>
      </w:pPr>
      <w:r>
        <w:rPr>
          <w:sz w:val="24"/>
        </w:rPr>
        <w:t>a summary description of the quality of </w:t>
      </w:r>
      <w:r>
        <w:rPr>
          <w:i/>
          <w:sz w:val="24"/>
        </w:rPr>
        <w:t>supply </w:t>
      </w:r>
      <w:r>
        <w:rPr>
          <w:sz w:val="24"/>
        </w:rPr>
        <w:t>standards that apply, including the relevant codes, standards and</w:t>
      </w:r>
      <w:r>
        <w:rPr>
          <w:spacing w:val="-4"/>
          <w:sz w:val="24"/>
        </w:rPr>
        <w:t> </w:t>
      </w:r>
      <w:r>
        <w:rPr>
          <w:sz w:val="24"/>
        </w:rPr>
        <w:t>guidelines;</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summary description of the performance of the </w:t>
      </w:r>
      <w:r>
        <w:rPr>
          <w:i/>
          <w:sz w:val="24"/>
        </w:rPr>
        <w:t>distribution network </w:t>
      </w:r>
      <w:r>
        <w:rPr>
          <w:sz w:val="24"/>
        </w:rPr>
        <w:t>against the measures and standards described under subparagraphs (1) and (2) for the preceding</w:t>
      </w:r>
      <w:r>
        <w:rPr>
          <w:spacing w:val="-2"/>
          <w:sz w:val="24"/>
        </w:rPr>
        <w:t> </w:t>
      </w:r>
      <w:r>
        <w:rPr>
          <w:sz w:val="24"/>
        </w:rPr>
        <w:t>year;</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where the measures and standards described under subparagraphs (1) and (2) were not met in the preceding year, information on the corrective action taken or</w:t>
      </w:r>
      <w:r>
        <w:rPr>
          <w:spacing w:val="-1"/>
          <w:sz w:val="24"/>
        </w:rPr>
        <w:t> </w:t>
      </w:r>
      <w:r>
        <w:rPr>
          <w:sz w:val="24"/>
        </w:rPr>
        <w:t>planned;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summary description of the </w:t>
      </w:r>
      <w:r>
        <w:rPr>
          <w:i/>
          <w:sz w:val="24"/>
        </w:rPr>
        <w:t>Distribution Network Service Provider's </w:t>
      </w:r>
      <w:r>
        <w:rPr>
          <w:sz w:val="24"/>
        </w:rPr>
        <w:t>processes to ensure compliance with the measures and standards described under subparagraphs (1) and (2);</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an outline of the information contained in the </w:t>
      </w:r>
      <w:r>
        <w:rPr>
          <w:i/>
          <w:sz w:val="24"/>
        </w:rPr>
        <w:t>Distribution Network </w:t>
      </w:r>
      <w:r>
        <w:rPr>
          <w:i/>
          <w:sz w:val="24"/>
        </w:rPr>
        <w:t>Service Provider's </w:t>
      </w:r>
      <w:r>
        <w:rPr>
          <w:sz w:val="24"/>
        </w:rPr>
        <w:t>most recent submission to the </w:t>
      </w:r>
      <w:r>
        <w:rPr>
          <w:i/>
          <w:sz w:val="24"/>
        </w:rPr>
        <w:t>AER </w:t>
      </w:r>
      <w:r>
        <w:rPr>
          <w:sz w:val="24"/>
        </w:rPr>
        <w:t>under the </w:t>
      </w:r>
      <w:r>
        <w:rPr>
          <w:i/>
          <w:sz w:val="24"/>
        </w:rPr>
        <w:t>service target performance incentive</w:t>
      </w:r>
      <w:r>
        <w:rPr>
          <w:i/>
          <w:spacing w:val="-3"/>
          <w:sz w:val="24"/>
        </w:rPr>
        <w:t> </w:t>
      </w:r>
      <w:r>
        <w:rPr>
          <w:i/>
          <w:sz w:val="24"/>
        </w:rPr>
        <w:t>scheme</w:t>
      </w:r>
      <w:r>
        <w:rPr>
          <w:sz w:val="24"/>
        </w:rPr>
        <w:t>;</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information on the </w:t>
      </w:r>
      <w:r>
        <w:rPr>
          <w:i/>
          <w:sz w:val="24"/>
        </w:rPr>
        <w:t>Distribution Network Service Provider's </w:t>
      </w:r>
      <w:r>
        <w:rPr>
          <w:sz w:val="24"/>
        </w:rPr>
        <w:t>asset management approach,</w:t>
      </w:r>
      <w:r>
        <w:rPr>
          <w:spacing w:val="-1"/>
          <w:sz w:val="24"/>
        </w:rPr>
        <w:t> </w:t>
      </w:r>
      <w:r>
        <w:rPr>
          <w:sz w:val="24"/>
        </w:rPr>
        <w:t>including:</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a</w:t>
      </w:r>
      <w:r>
        <w:rPr>
          <w:spacing w:val="26"/>
          <w:sz w:val="24"/>
        </w:rPr>
        <w:t> </w:t>
      </w:r>
      <w:r>
        <w:rPr>
          <w:sz w:val="24"/>
        </w:rPr>
        <w:t>summary</w:t>
      </w:r>
      <w:r>
        <w:rPr>
          <w:spacing w:val="26"/>
          <w:sz w:val="24"/>
        </w:rPr>
        <w:t> </w:t>
      </w:r>
      <w:r>
        <w:rPr>
          <w:sz w:val="24"/>
        </w:rPr>
        <w:t>of</w:t>
      </w:r>
      <w:r>
        <w:rPr>
          <w:spacing w:val="26"/>
          <w:sz w:val="24"/>
        </w:rPr>
        <w:t> </w:t>
      </w:r>
      <w:r>
        <w:rPr>
          <w:sz w:val="24"/>
        </w:rPr>
        <w:t>any</w:t>
      </w:r>
      <w:r>
        <w:rPr>
          <w:spacing w:val="26"/>
          <w:sz w:val="24"/>
        </w:rPr>
        <w:t> </w:t>
      </w:r>
      <w:r>
        <w:rPr>
          <w:sz w:val="24"/>
        </w:rPr>
        <w:t>asset</w:t>
      </w:r>
      <w:r>
        <w:rPr>
          <w:spacing w:val="27"/>
          <w:sz w:val="24"/>
        </w:rPr>
        <w:t> </w:t>
      </w:r>
      <w:r>
        <w:rPr>
          <w:sz w:val="24"/>
        </w:rPr>
        <w:t>management</w:t>
      </w:r>
      <w:r>
        <w:rPr>
          <w:spacing w:val="26"/>
          <w:sz w:val="24"/>
        </w:rPr>
        <w:t> </w:t>
      </w:r>
      <w:r>
        <w:rPr>
          <w:sz w:val="24"/>
        </w:rPr>
        <w:t>strategy</w:t>
      </w:r>
      <w:r>
        <w:rPr>
          <w:spacing w:val="26"/>
          <w:sz w:val="24"/>
        </w:rPr>
        <w:t> </w:t>
      </w:r>
      <w:r>
        <w:rPr>
          <w:sz w:val="24"/>
        </w:rPr>
        <w:t>employed</w:t>
      </w:r>
      <w:r>
        <w:rPr>
          <w:spacing w:val="26"/>
          <w:sz w:val="24"/>
        </w:rPr>
        <w:t> </w:t>
      </w:r>
      <w:r>
        <w:rPr>
          <w:sz w:val="24"/>
        </w:rPr>
        <w:t>by</w:t>
      </w:r>
      <w:r>
        <w:rPr>
          <w:spacing w:val="27"/>
          <w:sz w:val="24"/>
        </w:rPr>
        <w:t> </w:t>
      </w:r>
      <w:r>
        <w:rPr>
          <w:sz w:val="24"/>
        </w:rPr>
        <w:t>the</w:t>
      </w:r>
    </w:p>
    <w:p>
      <w:pPr>
        <w:spacing w:before="0"/>
        <w:ind w:left="2486" w:right="0" w:firstLine="0"/>
        <w:jc w:val="both"/>
        <w:rPr>
          <w:sz w:val="24"/>
        </w:rPr>
      </w:pPr>
      <w:r>
        <w:rPr>
          <w:i/>
          <w:sz w:val="24"/>
        </w:rPr>
        <w:t>Distribution Network Service Provider</w:t>
      </w:r>
      <w:r>
        <w:rPr>
          <w:sz w:val="24"/>
        </w:rPr>
        <w:t>;</w:t>
      </w:r>
    </w:p>
    <w:p>
      <w:pPr>
        <w:spacing w:before="120"/>
        <w:ind w:left="2486" w:right="414" w:hanging="567"/>
        <w:jc w:val="both"/>
        <w:rPr>
          <w:sz w:val="24"/>
        </w:rPr>
      </w:pPr>
      <w:r>
        <w:rPr>
          <w:sz w:val="24"/>
        </w:rPr>
        <w:t>(1A) an explanation of how the </w:t>
      </w:r>
      <w:r>
        <w:rPr>
          <w:i/>
          <w:sz w:val="24"/>
        </w:rPr>
        <w:t>Distribution Network Service  Provider </w:t>
      </w:r>
      <w:r>
        <w:rPr>
          <w:sz w:val="24"/>
        </w:rPr>
        <w:t>takes into account the cost of </w:t>
      </w:r>
      <w:r>
        <w:rPr>
          <w:i/>
          <w:sz w:val="24"/>
        </w:rPr>
        <w:t>distribution losses </w:t>
      </w:r>
      <w:r>
        <w:rPr>
          <w:sz w:val="24"/>
        </w:rPr>
        <w:t>when developing and implementing its asset management and investment</w:t>
      </w:r>
      <w:r>
        <w:rPr>
          <w:spacing w:val="-6"/>
          <w:sz w:val="24"/>
        </w:rPr>
        <w:t> </w:t>
      </w:r>
      <w:r>
        <w:rPr>
          <w:sz w:val="24"/>
        </w:rPr>
        <w:t>strategy;</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 summary of any issues that may impact on the system limitations identified in the </w:t>
      </w:r>
      <w:r>
        <w:rPr>
          <w:i/>
          <w:sz w:val="24"/>
        </w:rPr>
        <w:t>Distribution Annual Planning Report </w:t>
      </w:r>
      <w:r>
        <w:rPr>
          <w:sz w:val="24"/>
        </w:rPr>
        <w:t>that has been identified through carrying out asset management;</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information about where further information on the asset management strategy and methodology adopted by the </w:t>
      </w:r>
      <w:r>
        <w:rPr>
          <w:i/>
          <w:sz w:val="24"/>
        </w:rPr>
        <w:t>Distribution Network </w:t>
      </w:r>
      <w:r>
        <w:rPr>
          <w:i/>
          <w:sz w:val="24"/>
        </w:rPr>
        <w:t>Service Provider </w:t>
      </w:r>
      <w:r>
        <w:rPr>
          <w:sz w:val="24"/>
        </w:rPr>
        <w:t>may be</w:t>
      </w:r>
      <w:r>
        <w:rPr>
          <w:spacing w:val="-2"/>
          <w:sz w:val="24"/>
        </w:rPr>
        <w:t> </w:t>
      </w:r>
      <w:r>
        <w:rPr>
          <w:sz w:val="24"/>
        </w:rPr>
        <w:t>obtained;</w:t>
      </w:r>
    </w:p>
    <w:p>
      <w:pPr>
        <w:pStyle w:val="ListParagraph"/>
        <w:numPr>
          <w:ilvl w:val="0"/>
          <w:numId w:val="339"/>
        </w:numPr>
        <w:tabs>
          <w:tab w:pos="1919" w:val="left" w:leader="none"/>
        </w:tabs>
        <w:spacing w:line="240" w:lineRule="auto" w:before="120" w:after="0"/>
        <w:ind w:left="1919" w:right="416" w:hanging="567"/>
        <w:jc w:val="both"/>
        <w:rPr>
          <w:sz w:val="24"/>
        </w:rPr>
      </w:pPr>
      <w:r>
        <w:rPr>
          <w:sz w:val="24"/>
        </w:rPr>
        <w:t>information on the </w:t>
      </w:r>
      <w:r>
        <w:rPr>
          <w:i/>
          <w:sz w:val="24"/>
        </w:rPr>
        <w:t>Distribution Network Service Provider's</w:t>
      </w:r>
      <w:r>
        <w:rPr>
          <w:i/>
          <w:spacing w:val="37"/>
          <w:sz w:val="24"/>
        </w:rPr>
        <w:t> </w:t>
      </w:r>
      <w:r>
        <w:rPr>
          <w:sz w:val="24"/>
        </w:rPr>
        <w:t>demand management activities,</w:t>
      </w:r>
      <w:r>
        <w:rPr>
          <w:spacing w:val="-1"/>
          <w:sz w:val="24"/>
        </w:rPr>
        <w:t> </w:t>
      </w:r>
      <w:r>
        <w:rPr>
          <w:sz w:val="24"/>
        </w:rPr>
        <w:t>including:</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a qualitative summary</w:t>
      </w:r>
      <w:r>
        <w:rPr>
          <w:spacing w:val="-2"/>
          <w:sz w:val="24"/>
        </w:rPr>
        <w:t> </w:t>
      </w:r>
      <w:r>
        <w:rPr>
          <w:sz w:val="24"/>
        </w:rPr>
        <w:t>of:</w:t>
      </w:r>
    </w:p>
    <w:p>
      <w:pPr>
        <w:pStyle w:val="ListParagraph"/>
        <w:numPr>
          <w:ilvl w:val="2"/>
          <w:numId w:val="339"/>
        </w:numPr>
        <w:tabs>
          <w:tab w:pos="3053" w:val="left" w:leader="none"/>
        </w:tabs>
        <w:spacing w:line="240" w:lineRule="auto" w:before="120" w:after="0"/>
        <w:ind w:left="3053" w:right="415" w:hanging="567"/>
        <w:jc w:val="both"/>
        <w:rPr>
          <w:sz w:val="24"/>
        </w:rPr>
      </w:pPr>
      <w:r>
        <w:rPr>
          <w:i/>
          <w:sz w:val="24"/>
        </w:rPr>
        <w:t>non-network options </w:t>
      </w:r>
      <w:r>
        <w:rPr>
          <w:sz w:val="24"/>
        </w:rPr>
        <w:t>that have been considered in the past year, including </w:t>
      </w:r>
      <w:r>
        <w:rPr>
          <w:i/>
          <w:sz w:val="24"/>
        </w:rPr>
        <w:t>generation </w:t>
      </w:r>
      <w:r>
        <w:rPr>
          <w:sz w:val="24"/>
        </w:rPr>
        <w:t>from </w:t>
      </w:r>
      <w:r>
        <w:rPr>
          <w:i/>
          <w:sz w:val="24"/>
        </w:rPr>
        <w:t>embedded generating</w:t>
      </w:r>
      <w:r>
        <w:rPr>
          <w:i/>
          <w:spacing w:val="-1"/>
          <w:sz w:val="24"/>
        </w:rPr>
        <w:t> </w:t>
      </w:r>
      <w:r>
        <w:rPr>
          <w:i/>
          <w:sz w:val="24"/>
        </w:rPr>
        <w:t>units</w:t>
      </w:r>
      <w:r>
        <w:rPr>
          <w:sz w:val="24"/>
        </w:rPr>
        <w:t>;</w:t>
      </w:r>
    </w:p>
    <w:p>
      <w:pPr>
        <w:pStyle w:val="ListParagraph"/>
        <w:numPr>
          <w:ilvl w:val="2"/>
          <w:numId w:val="339"/>
        </w:numPr>
        <w:tabs>
          <w:tab w:pos="3054" w:val="left" w:leader="none"/>
        </w:tabs>
        <w:spacing w:line="240" w:lineRule="auto" w:before="120" w:after="0"/>
        <w:ind w:left="3053" w:right="415" w:hanging="567"/>
        <w:jc w:val="both"/>
        <w:rPr>
          <w:sz w:val="24"/>
        </w:rPr>
      </w:pPr>
      <w:r>
        <w:rPr>
          <w:sz w:val="24"/>
        </w:rPr>
        <w:t>key issues arising from </w:t>
      </w:r>
      <w:r>
        <w:rPr>
          <w:i/>
          <w:sz w:val="24"/>
        </w:rPr>
        <w:t>applications to connect embedded </w:t>
      </w:r>
      <w:r>
        <w:rPr>
          <w:i/>
          <w:sz w:val="24"/>
        </w:rPr>
        <w:t>generating units </w:t>
      </w:r>
      <w:r>
        <w:rPr>
          <w:sz w:val="24"/>
        </w:rPr>
        <w:t>received in the past</w:t>
      </w:r>
      <w:r>
        <w:rPr>
          <w:spacing w:val="-1"/>
          <w:sz w:val="24"/>
        </w:rPr>
        <w:t> </w:t>
      </w:r>
      <w:r>
        <w:rPr>
          <w:sz w:val="24"/>
        </w:rPr>
        <w:t>year;</w:t>
      </w:r>
    </w:p>
    <w:p>
      <w:pPr>
        <w:spacing w:after="0" w:line="240" w:lineRule="auto"/>
        <w:jc w:val="both"/>
        <w:rPr>
          <w:sz w:val="24"/>
        </w:rPr>
        <w:sectPr>
          <w:pgSz w:w="11910" w:h="16840"/>
          <w:pgMar w:header="686" w:footer="637" w:top="1320" w:bottom="820" w:left="1200" w:right="1000"/>
        </w:sectPr>
      </w:pPr>
    </w:p>
    <w:p>
      <w:pPr>
        <w:pStyle w:val="ListParagraph"/>
        <w:numPr>
          <w:ilvl w:val="2"/>
          <w:numId w:val="339"/>
        </w:numPr>
        <w:tabs>
          <w:tab w:pos="3053" w:val="left" w:leader="none"/>
        </w:tabs>
        <w:spacing w:line="240" w:lineRule="auto" w:before="83" w:after="0"/>
        <w:ind w:left="3053" w:right="415" w:hanging="567"/>
        <w:jc w:val="both"/>
        <w:rPr>
          <w:sz w:val="24"/>
        </w:rPr>
      </w:pPr>
      <w:r>
        <w:rPr>
          <w:sz w:val="24"/>
        </w:rPr>
        <w:t>actions taken to promote non-network proposals in </w:t>
      </w:r>
      <w:r>
        <w:rPr>
          <w:spacing w:val="-4"/>
          <w:sz w:val="24"/>
        </w:rPr>
        <w:t>the</w:t>
      </w:r>
      <w:r>
        <w:rPr>
          <w:spacing w:val="52"/>
          <w:sz w:val="24"/>
        </w:rPr>
        <w:t> </w:t>
      </w:r>
      <w:r>
        <w:rPr>
          <w:sz w:val="24"/>
        </w:rPr>
        <w:t>preceding year, including </w:t>
      </w:r>
      <w:r>
        <w:rPr>
          <w:i/>
          <w:sz w:val="24"/>
        </w:rPr>
        <w:t>generation </w:t>
      </w:r>
      <w:r>
        <w:rPr>
          <w:sz w:val="24"/>
        </w:rPr>
        <w:t>from </w:t>
      </w:r>
      <w:r>
        <w:rPr>
          <w:i/>
          <w:sz w:val="24"/>
        </w:rPr>
        <w:t>embedded generating </w:t>
      </w:r>
      <w:r>
        <w:rPr>
          <w:i/>
          <w:sz w:val="24"/>
        </w:rPr>
        <w:t>units</w:t>
      </w:r>
      <w:r>
        <w:rPr>
          <w:sz w:val="24"/>
        </w:rPr>
        <w:t>; and</w:t>
      </w:r>
    </w:p>
    <w:p>
      <w:pPr>
        <w:pStyle w:val="ListParagraph"/>
        <w:numPr>
          <w:ilvl w:val="2"/>
          <w:numId w:val="339"/>
        </w:numPr>
        <w:tabs>
          <w:tab w:pos="3054" w:val="left" w:leader="none"/>
        </w:tabs>
        <w:spacing w:line="240" w:lineRule="auto" w:before="120" w:after="0"/>
        <w:ind w:left="3053" w:right="415" w:hanging="567"/>
        <w:jc w:val="both"/>
        <w:rPr>
          <w:sz w:val="24"/>
        </w:rPr>
      </w:pPr>
      <w:r>
        <w:rPr>
          <w:sz w:val="24"/>
        </w:rPr>
        <w:t>the </w:t>
      </w:r>
      <w:r>
        <w:rPr>
          <w:i/>
          <w:sz w:val="24"/>
        </w:rPr>
        <w:t>Distribution Network Service Provider's </w:t>
      </w:r>
      <w:r>
        <w:rPr>
          <w:sz w:val="24"/>
        </w:rPr>
        <w:t>plans for demand management and </w:t>
      </w:r>
      <w:r>
        <w:rPr>
          <w:i/>
          <w:sz w:val="24"/>
        </w:rPr>
        <w:t>generation </w:t>
      </w:r>
      <w:r>
        <w:rPr>
          <w:sz w:val="24"/>
        </w:rPr>
        <w:t>from </w:t>
      </w:r>
      <w:r>
        <w:rPr>
          <w:i/>
          <w:sz w:val="24"/>
        </w:rPr>
        <w:t>embedded generating </w:t>
      </w:r>
      <w:r>
        <w:rPr>
          <w:i/>
          <w:spacing w:val="-3"/>
          <w:sz w:val="24"/>
        </w:rPr>
        <w:t>units </w:t>
      </w:r>
      <w:r>
        <w:rPr>
          <w:sz w:val="24"/>
        </w:rPr>
        <w:t>over the forward planning</w:t>
      </w:r>
      <w:r>
        <w:rPr>
          <w:spacing w:val="-1"/>
          <w:sz w:val="24"/>
        </w:rPr>
        <w:t> </w:t>
      </w:r>
      <w:r>
        <w:rPr>
          <w:sz w:val="24"/>
        </w:rPr>
        <w:t>period;</w:t>
      </w:r>
    </w:p>
    <w:p>
      <w:pPr>
        <w:pStyle w:val="ListParagraph"/>
        <w:numPr>
          <w:ilvl w:val="1"/>
          <w:numId w:val="339"/>
        </w:numPr>
        <w:tabs>
          <w:tab w:pos="2486" w:val="left" w:leader="none"/>
        </w:tabs>
        <w:spacing w:line="240" w:lineRule="auto" w:before="120" w:after="0"/>
        <w:ind w:left="2485" w:right="0" w:hanging="567"/>
        <w:jc w:val="both"/>
        <w:rPr>
          <w:sz w:val="24"/>
        </w:rPr>
      </w:pPr>
      <w:r>
        <w:rPr>
          <w:sz w:val="24"/>
        </w:rPr>
        <w:t>a quantitative summary</w:t>
      </w:r>
      <w:r>
        <w:rPr>
          <w:spacing w:val="-2"/>
          <w:sz w:val="24"/>
        </w:rPr>
        <w:t> </w:t>
      </w:r>
      <w:r>
        <w:rPr>
          <w:sz w:val="24"/>
        </w:rPr>
        <w:t>of:</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i/>
          <w:sz w:val="24"/>
        </w:rPr>
        <w:t>connection </w:t>
      </w:r>
      <w:r>
        <w:rPr>
          <w:sz w:val="24"/>
        </w:rPr>
        <w:t>enquiries received under clause</w:t>
      </w:r>
      <w:r>
        <w:rPr>
          <w:spacing w:val="-1"/>
          <w:sz w:val="24"/>
        </w:rPr>
        <w:t> </w:t>
      </w:r>
      <w:r>
        <w:rPr>
          <w:sz w:val="24"/>
        </w:rPr>
        <w:t>5.3A.5;</w:t>
      </w:r>
    </w:p>
    <w:p>
      <w:pPr>
        <w:pStyle w:val="ListParagraph"/>
        <w:numPr>
          <w:ilvl w:val="2"/>
          <w:numId w:val="339"/>
        </w:numPr>
        <w:tabs>
          <w:tab w:pos="3052" w:val="left" w:leader="none"/>
          <w:tab w:pos="3054" w:val="left" w:leader="none"/>
        </w:tabs>
        <w:spacing w:line="240" w:lineRule="auto" w:before="120" w:after="0"/>
        <w:ind w:left="3053" w:right="0" w:hanging="568"/>
        <w:jc w:val="left"/>
        <w:rPr>
          <w:sz w:val="24"/>
        </w:rPr>
      </w:pPr>
      <w:r>
        <w:rPr>
          <w:i/>
          <w:sz w:val="24"/>
        </w:rPr>
        <w:t>applications to connect </w:t>
      </w:r>
      <w:r>
        <w:rPr>
          <w:sz w:val="24"/>
        </w:rPr>
        <w:t>received under clause 5.3A.9;</w:t>
      </w:r>
      <w:r>
        <w:rPr>
          <w:spacing w:val="-2"/>
          <w:sz w:val="24"/>
        </w:rPr>
        <w:t> </w:t>
      </w:r>
      <w:r>
        <w:rPr>
          <w:sz w:val="24"/>
        </w:rPr>
        <w:t>and</w:t>
      </w:r>
    </w:p>
    <w:p>
      <w:pPr>
        <w:pStyle w:val="ListParagraph"/>
        <w:numPr>
          <w:ilvl w:val="2"/>
          <w:numId w:val="339"/>
        </w:numPr>
        <w:tabs>
          <w:tab w:pos="3052" w:val="left" w:leader="none"/>
          <w:tab w:pos="3053" w:val="left" w:leader="none"/>
        </w:tabs>
        <w:spacing w:line="240" w:lineRule="auto" w:before="120" w:after="0"/>
        <w:ind w:left="3052" w:right="0" w:hanging="567"/>
        <w:jc w:val="left"/>
        <w:rPr>
          <w:sz w:val="24"/>
        </w:rPr>
      </w:pPr>
      <w:r>
        <w:rPr>
          <w:sz w:val="24"/>
        </w:rPr>
        <w:t>the average time taken to complete </w:t>
      </w:r>
      <w:r>
        <w:rPr>
          <w:i/>
          <w:sz w:val="24"/>
        </w:rPr>
        <w:t>applications to</w:t>
      </w:r>
      <w:r>
        <w:rPr>
          <w:i/>
          <w:spacing w:val="-2"/>
          <w:sz w:val="24"/>
        </w:rPr>
        <w:t> </w:t>
      </w:r>
      <w:r>
        <w:rPr>
          <w:i/>
          <w:sz w:val="24"/>
        </w:rPr>
        <w:t>connect</w:t>
      </w:r>
      <w:r>
        <w:rPr>
          <w:sz w:val="24"/>
        </w:rPr>
        <w:t>;</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information on the </w:t>
      </w:r>
      <w:r>
        <w:rPr>
          <w:i/>
          <w:sz w:val="24"/>
        </w:rPr>
        <w:t>Distribution Network Service Provider's </w:t>
      </w:r>
      <w:r>
        <w:rPr>
          <w:sz w:val="24"/>
        </w:rPr>
        <w:t>investments in </w:t>
      </w:r>
      <w:r>
        <w:rPr>
          <w:i/>
          <w:sz w:val="24"/>
        </w:rPr>
        <w:t>metering </w:t>
      </w:r>
      <w:r>
        <w:rPr>
          <w:sz w:val="24"/>
        </w:rPr>
        <w:t>or information technology and communication systems which occurred in the preceding year, and planned investments in </w:t>
      </w:r>
      <w:r>
        <w:rPr>
          <w:i/>
          <w:sz w:val="24"/>
        </w:rPr>
        <w:t>metering </w:t>
      </w:r>
      <w:r>
        <w:rPr>
          <w:sz w:val="24"/>
        </w:rPr>
        <w:t>or information technology and communication systems related to management of </w:t>
      </w:r>
      <w:r>
        <w:rPr>
          <w:i/>
          <w:sz w:val="24"/>
        </w:rPr>
        <w:t>network </w:t>
      </w:r>
      <w:r>
        <w:rPr>
          <w:sz w:val="24"/>
        </w:rPr>
        <w:t>assets in the forward planning period;</w:t>
      </w:r>
      <w:r>
        <w:rPr>
          <w:spacing w:val="-1"/>
          <w:sz w:val="24"/>
        </w:rPr>
        <w:t> </w:t>
      </w:r>
      <w:r>
        <w:rPr>
          <w:sz w:val="24"/>
        </w:rPr>
        <w:t>and</w:t>
      </w:r>
    </w:p>
    <w:p>
      <w:pPr>
        <w:pStyle w:val="ListParagraph"/>
        <w:numPr>
          <w:ilvl w:val="0"/>
          <w:numId w:val="339"/>
        </w:numPr>
        <w:tabs>
          <w:tab w:pos="1919" w:val="left" w:leader="none"/>
        </w:tabs>
        <w:spacing w:line="240" w:lineRule="auto" w:before="120" w:after="0"/>
        <w:ind w:left="1919" w:right="415" w:hanging="567"/>
        <w:jc w:val="both"/>
        <w:rPr>
          <w:sz w:val="24"/>
        </w:rPr>
      </w:pPr>
      <w:r>
        <w:rPr>
          <w:sz w:val="24"/>
        </w:rPr>
        <w:t>a regional development plan consisting of a map of the </w:t>
      </w:r>
      <w:r>
        <w:rPr>
          <w:i/>
          <w:sz w:val="24"/>
        </w:rPr>
        <w:t>Distribution </w:t>
      </w:r>
      <w:r>
        <w:rPr>
          <w:i/>
          <w:sz w:val="24"/>
        </w:rPr>
        <w:t>Network Service Provider's network </w:t>
      </w:r>
      <w:r>
        <w:rPr>
          <w:sz w:val="24"/>
        </w:rPr>
        <w:t>as a whole, or maps by regions, in accordance with the </w:t>
      </w:r>
      <w:r>
        <w:rPr>
          <w:i/>
          <w:sz w:val="24"/>
        </w:rPr>
        <w:t>Distribution Network Service Provider's </w:t>
      </w:r>
      <w:r>
        <w:rPr>
          <w:sz w:val="24"/>
        </w:rPr>
        <w:t>planning methodology or as required under any </w:t>
      </w:r>
      <w:r>
        <w:rPr>
          <w:i/>
          <w:sz w:val="24"/>
        </w:rPr>
        <w:t>regulatory obligation or requirement</w:t>
      </w:r>
      <w:r>
        <w:rPr>
          <w:sz w:val="24"/>
        </w:rPr>
        <w:t>, identifying:</w:t>
      </w:r>
    </w:p>
    <w:p>
      <w:pPr>
        <w:pStyle w:val="ListParagraph"/>
        <w:numPr>
          <w:ilvl w:val="1"/>
          <w:numId w:val="339"/>
        </w:numPr>
        <w:tabs>
          <w:tab w:pos="2486" w:val="left" w:leader="none"/>
        </w:tabs>
        <w:spacing w:line="240" w:lineRule="auto" w:before="120" w:after="0"/>
        <w:ind w:left="2486" w:right="414" w:hanging="567"/>
        <w:jc w:val="both"/>
        <w:rPr>
          <w:sz w:val="24"/>
        </w:rPr>
      </w:pPr>
      <w:r>
        <w:rPr>
          <w:sz w:val="24"/>
        </w:rPr>
        <w:t>sub-transmission lines, zone substations and transmission-distribution connection points;</w:t>
      </w:r>
      <w:r>
        <w:rPr>
          <w:spacing w:val="-1"/>
          <w:sz w:val="24"/>
        </w:rPr>
        <w:t> </w:t>
      </w:r>
      <w:r>
        <w:rPr>
          <w:sz w:val="24"/>
        </w:rPr>
        <w:t>and</w:t>
      </w:r>
    </w:p>
    <w:p>
      <w:pPr>
        <w:pStyle w:val="ListParagraph"/>
        <w:numPr>
          <w:ilvl w:val="1"/>
          <w:numId w:val="339"/>
        </w:numPr>
        <w:tabs>
          <w:tab w:pos="2486" w:val="left" w:leader="none"/>
        </w:tabs>
        <w:spacing w:line="240" w:lineRule="auto" w:before="120" w:after="0"/>
        <w:ind w:left="2486" w:right="415" w:hanging="567"/>
        <w:jc w:val="both"/>
        <w:rPr>
          <w:sz w:val="24"/>
        </w:rPr>
      </w:pPr>
      <w:r>
        <w:rPr>
          <w:sz w:val="24"/>
        </w:rPr>
        <w:t>any system limitations that have been forecast to occur in the forward planning period, including, where they have been identified, overloaded primary distribution</w:t>
      </w:r>
      <w:r>
        <w:rPr>
          <w:spacing w:val="-1"/>
          <w:sz w:val="24"/>
        </w:rPr>
        <w:t> </w:t>
      </w:r>
      <w:r>
        <w:rPr>
          <w:sz w:val="24"/>
        </w:rPr>
        <w:t>feeders.</w:t>
      </w:r>
    </w:p>
    <w:p>
      <w:pPr>
        <w:pStyle w:val="BodyText"/>
        <w:spacing w:before="10"/>
        <w:ind w:firstLine="0"/>
        <w:jc w:val="left"/>
        <w:rPr>
          <w:sz w:val="20"/>
        </w:rPr>
      </w:pPr>
    </w:p>
    <w:p>
      <w:pPr>
        <w:pStyle w:val="Heading2"/>
        <w:tabs>
          <w:tab w:pos="2485" w:val="left" w:leader="none"/>
        </w:tabs>
        <w:ind w:left="2486" w:right="1291" w:hanging="2268"/>
      </w:pPr>
      <w:bookmarkStart w:name="Schedule 5.9 Demand side engagement docu" w:id="1112"/>
      <w:bookmarkEnd w:id="1112"/>
      <w:r>
        <w:rPr>
          <w:b w:val="0"/>
        </w:rPr>
      </w:r>
      <w:bookmarkStart w:name="_bookmark448" w:id="1113"/>
      <w:bookmarkEnd w:id="1113"/>
      <w:r>
        <w:rPr>
          <w:b w:val="0"/>
        </w:rPr>
      </w:r>
      <w:r>
        <w:rPr/>
        <w:t>Schedule</w:t>
      </w:r>
      <w:r>
        <w:rPr>
          <w:spacing w:val="-1"/>
        </w:rPr>
        <w:t> </w:t>
      </w:r>
      <w:r>
        <w:rPr/>
        <w:t>5.9</w:t>
        <w:tab/>
        <w:t>Demand side engagement document (clause 5.13.1(h))</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local definitions in clause 5.10.2 apply to this schedule.</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Paragraph (h) of this schedule has no effect in this jurisdiction (see regulation 5A of the </w:t>
      </w:r>
      <w:r>
        <w:rPr>
          <w:i/>
          <w:sz w:val="20"/>
        </w:rPr>
        <w:t>National </w:t>
      </w:r>
      <w:r>
        <w:rPr>
          <w:i/>
          <w:sz w:val="20"/>
        </w:rPr>
        <w:t>Electricity (Northern Territory) (National Uniform Legislation) (Modification) Regulations 2016</w:t>
      </w:r>
      <w:r>
        <w:rPr>
          <w:sz w:val="20"/>
        </w:rPr>
        <w:t>). The application of paragraph (h) of this schedule will be revisited as part of the phased implementation of the </w:t>
      </w:r>
      <w:r>
        <w:rPr>
          <w:i/>
          <w:sz w:val="20"/>
        </w:rPr>
        <w:t>Rules </w:t>
      </w:r>
      <w:r>
        <w:rPr>
          <w:sz w:val="20"/>
        </w:rPr>
        <w:t>in this jurisdiction.</w:t>
      </w:r>
    </w:p>
    <w:p>
      <w:pPr>
        <w:spacing w:before="120"/>
        <w:ind w:left="1352" w:right="414" w:firstLine="0"/>
        <w:jc w:val="both"/>
        <w:rPr>
          <w:sz w:val="24"/>
        </w:rPr>
      </w:pPr>
      <w:r>
        <w:rPr>
          <w:sz w:val="24"/>
        </w:rPr>
        <w:t>For the purposes of clause 5.13.1(h), the following information must be </w:t>
      </w:r>
      <w:r>
        <w:rPr>
          <w:spacing w:val="-3"/>
          <w:sz w:val="24"/>
        </w:rPr>
        <w:t>included </w:t>
      </w:r>
      <w:r>
        <w:rPr>
          <w:sz w:val="24"/>
        </w:rPr>
        <w:t>in a </w:t>
      </w:r>
      <w:r>
        <w:rPr>
          <w:i/>
          <w:sz w:val="24"/>
        </w:rPr>
        <w:t>Distribution Network Service Provider's </w:t>
      </w:r>
      <w:r>
        <w:rPr>
          <w:sz w:val="24"/>
        </w:rPr>
        <w:t>demand side engagement</w:t>
      </w:r>
      <w:r>
        <w:rPr>
          <w:spacing w:val="-13"/>
          <w:sz w:val="24"/>
        </w:rPr>
        <w:t> </w:t>
      </w:r>
      <w:r>
        <w:rPr>
          <w:sz w:val="24"/>
        </w:rPr>
        <w:t>document:</w:t>
      </w:r>
    </w:p>
    <w:p>
      <w:pPr>
        <w:pStyle w:val="ListParagraph"/>
        <w:numPr>
          <w:ilvl w:val="0"/>
          <w:numId w:val="342"/>
        </w:numPr>
        <w:tabs>
          <w:tab w:pos="1919" w:val="left" w:leader="none"/>
        </w:tabs>
        <w:spacing w:line="240" w:lineRule="auto" w:before="120" w:after="0"/>
        <w:ind w:left="1919" w:right="417" w:hanging="567"/>
        <w:jc w:val="both"/>
        <w:rPr>
          <w:sz w:val="24"/>
        </w:rPr>
      </w:pPr>
      <w:r>
        <w:rPr>
          <w:sz w:val="24"/>
        </w:rPr>
        <w:t>a description of how the </w:t>
      </w:r>
      <w:r>
        <w:rPr>
          <w:i/>
          <w:sz w:val="24"/>
        </w:rPr>
        <w:t>Distribution Network Service Provider </w:t>
      </w:r>
      <w:r>
        <w:rPr>
          <w:sz w:val="24"/>
        </w:rPr>
        <w:t>will investigate, develop, assess and report on potential </w:t>
      </w:r>
      <w:r>
        <w:rPr>
          <w:i/>
          <w:sz w:val="24"/>
        </w:rPr>
        <w:t>non-network</w:t>
      </w:r>
      <w:r>
        <w:rPr>
          <w:i/>
          <w:spacing w:val="-6"/>
          <w:sz w:val="24"/>
        </w:rPr>
        <w:t> </w:t>
      </w:r>
      <w:r>
        <w:rPr>
          <w:i/>
          <w:sz w:val="24"/>
        </w:rPr>
        <w:t>options</w:t>
      </w:r>
      <w:r>
        <w:rPr>
          <w:sz w:val="24"/>
        </w:rPr>
        <w:t>;</w:t>
      </w:r>
    </w:p>
    <w:p>
      <w:pPr>
        <w:pStyle w:val="ListParagraph"/>
        <w:numPr>
          <w:ilvl w:val="0"/>
          <w:numId w:val="342"/>
        </w:numPr>
        <w:tabs>
          <w:tab w:pos="1919" w:val="left" w:leader="none"/>
        </w:tabs>
        <w:spacing w:line="240" w:lineRule="auto" w:before="120" w:after="0"/>
        <w:ind w:left="1919" w:right="415" w:hanging="567"/>
        <w:jc w:val="both"/>
        <w:rPr>
          <w:sz w:val="24"/>
        </w:rPr>
      </w:pPr>
      <w:r>
        <w:rPr>
          <w:sz w:val="24"/>
        </w:rPr>
        <w:t>a description of the </w:t>
      </w:r>
      <w:r>
        <w:rPr>
          <w:i/>
          <w:sz w:val="24"/>
        </w:rPr>
        <w:t>Distribution Network Service Provider's </w:t>
      </w:r>
      <w:r>
        <w:rPr>
          <w:sz w:val="24"/>
        </w:rPr>
        <w:t>process to engage and consult with potential non-network providers to determine their level of interest and ability to participate in the development process for potential </w:t>
      </w:r>
      <w:r>
        <w:rPr>
          <w:i/>
          <w:sz w:val="24"/>
        </w:rPr>
        <w:t>non-network</w:t>
      </w:r>
      <w:r>
        <w:rPr>
          <w:i/>
          <w:spacing w:val="-1"/>
          <w:sz w:val="24"/>
        </w:rPr>
        <w:t> </w:t>
      </w:r>
      <w:r>
        <w:rPr>
          <w:i/>
          <w:sz w:val="24"/>
        </w:rPr>
        <w:t>options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342"/>
        </w:numPr>
        <w:tabs>
          <w:tab w:pos="1919" w:val="left" w:leader="none"/>
        </w:tabs>
        <w:spacing w:line="240" w:lineRule="auto" w:before="83" w:after="0"/>
        <w:ind w:left="1919" w:right="415" w:hanging="567"/>
        <w:jc w:val="both"/>
        <w:rPr>
          <w:sz w:val="24"/>
        </w:rPr>
      </w:pPr>
      <w:r>
        <w:rPr>
          <w:sz w:val="24"/>
        </w:rPr>
        <w:t>an outline of the process followed by the </w:t>
      </w:r>
      <w:r>
        <w:rPr>
          <w:i/>
          <w:sz w:val="24"/>
        </w:rPr>
        <w:t>Distribution Network</w:t>
      </w:r>
      <w:r>
        <w:rPr>
          <w:i/>
          <w:spacing w:val="26"/>
          <w:sz w:val="24"/>
        </w:rPr>
        <w:t> </w:t>
      </w:r>
      <w:r>
        <w:rPr>
          <w:i/>
          <w:sz w:val="24"/>
        </w:rPr>
        <w:t>Service </w:t>
      </w:r>
      <w:r>
        <w:rPr>
          <w:i/>
          <w:sz w:val="24"/>
        </w:rPr>
        <w:t>Provider </w:t>
      </w:r>
      <w:r>
        <w:rPr>
          <w:sz w:val="24"/>
        </w:rPr>
        <w:t>when negotiating with non-network providers to further develop a potential </w:t>
      </w:r>
      <w:r>
        <w:rPr>
          <w:i/>
          <w:sz w:val="24"/>
        </w:rPr>
        <w:t>non-network</w:t>
      </w:r>
      <w:r>
        <w:rPr>
          <w:i/>
          <w:spacing w:val="-1"/>
          <w:sz w:val="24"/>
        </w:rPr>
        <w:t> </w:t>
      </w:r>
      <w:r>
        <w:rPr>
          <w:i/>
          <w:sz w:val="24"/>
        </w:rPr>
        <w:t>option</w:t>
      </w:r>
      <w:r>
        <w:rPr>
          <w:sz w:val="24"/>
        </w:rPr>
        <w:t>;</w:t>
      </w:r>
    </w:p>
    <w:p>
      <w:pPr>
        <w:pStyle w:val="ListParagraph"/>
        <w:numPr>
          <w:ilvl w:val="0"/>
          <w:numId w:val="342"/>
        </w:numPr>
        <w:tabs>
          <w:tab w:pos="1919" w:val="left" w:leader="none"/>
        </w:tabs>
        <w:spacing w:line="240" w:lineRule="auto" w:before="120" w:after="0"/>
        <w:ind w:left="1919" w:right="415" w:hanging="567"/>
        <w:jc w:val="both"/>
        <w:rPr>
          <w:sz w:val="24"/>
        </w:rPr>
      </w:pPr>
      <w:r>
        <w:rPr>
          <w:sz w:val="24"/>
        </w:rPr>
        <w:t>an outline of the information a non-network provider is to include in a non- </w:t>
      </w:r>
      <w:r>
        <w:rPr>
          <w:i/>
          <w:sz w:val="24"/>
        </w:rPr>
        <w:t>network </w:t>
      </w:r>
      <w:r>
        <w:rPr>
          <w:sz w:val="24"/>
        </w:rPr>
        <w:t>proposal, including, where possible, an example of a best practice non-network proposal;</w:t>
      </w:r>
    </w:p>
    <w:p>
      <w:pPr>
        <w:pStyle w:val="ListParagraph"/>
        <w:numPr>
          <w:ilvl w:val="0"/>
          <w:numId w:val="342"/>
        </w:numPr>
        <w:tabs>
          <w:tab w:pos="1919" w:val="left" w:leader="none"/>
        </w:tabs>
        <w:spacing w:line="240" w:lineRule="auto" w:before="120" w:after="0"/>
        <w:ind w:left="1919" w:right="416" w:hanging="567"/>
        <w:jc w:val="both"/>
        <w:rPr>
          <w:sz w:val="24"/>
        </w:rPr>
      </w:pPr>
      <w:r>
        <w:rPr>
          <w:sz w:val="24"/>
        </w:rPr>
        <w:t>an outline of the criteria that will be applied by the </w:t>
      </w:r>
      <w:r>
        <w:rPr>
          <w:i/>
          <w:sz w:val="24"/>
        </w:rPr>
        <w:t>Distribution Network </w:t>
      </w:r>
      <w:r>
        <w:rPr>
          <w:i/>
          <w:sz w:val="24"/>
        </w:rPr>
        <w:t>Service Provider </w:t>
      </w:r>
      <w:r>
        <w:rPr>
          <w:sz w:val="24"/>
        </w:rPr>
        <w:t>in evaluating non-</w:t>
      </w:r>
      <w:r>
        <w:rPr>
          <w:i/>
          <w:sz w:val="24"/>
        </w:rPr>
        <w:t>network</w:t>
      </w:r>
      <w:r>
        <w:rPr>
          <w:i/>
          <w:spacing w:val="-2"/>
          <w:sz w:val="24"/>
        </w:rPr>
        <w:t> </w:t>
      </w:r>
      <w:r>
        <w:rPr>
          <w:sz w:val="24"/>
        </w:rPr>
        <w:t>proposals;</w:t>
      </w:r>
    </w:p>
    <w:p>
      <w:pPr>
        <w:pStyle w:val="ListParagraph"/>
        <w:numPr>
          <w:ilvl w:val="0"/>
          <w:numId w:val="342"/>
        </w:numPr>
        <w:tabs>
          <w:tab w:pos="1920" w:val="left" w:leader="none"/>
        </w:tabs>
        <w:spacing w:line="240" w:lineRule="auto" w:before="120" w:after="0"/>
        <w:ind w:left="1919" w:right="0" w:hanging="568"/>
        <w:jc w:val="both"/>
        <w:rPr>
          <w:i/>
          <w:sz w:val="24"/>
        </w:rPr>
      </w:pPr>
      <w:r>
        <w:rPr>
          <w:sz w:val="24"/>
        </w:rPr>
        <w:t>an</w:t>
      </w:r>
      <w:r>
        <w:rPr>
          <w:spacing w:val="23"/>
          <w:sz w:val="24"/>
        </w:rPr>
        <w:t> </w:t>
      </w:r>
      <w:r>
        <w:rPr>
          <w:sz w:val="24"/>
        </w:rPr>
        <w:t>outline</w:t>
      </w:r>
      <w:r>
        <w:rPr>
          <w:spacing w:val="22"/>
          <w:sz w:val="24"/>
        </w:rPr>
        <w:t> </w:t>
      </w:r>
      <w:r>
        <w:rPr>
          <w:sz w:val="24"/>
        </w:rPr>
        <w:t>of</w:t>
      </w:r>
      <w:r>
        <w:rPr>
          <w:spacing w:val="22"/>
          <w:sz w:val="24"/>
        </w:rPr>
        <w:t> </w:t>
      </w:r>
      <w:r>
        <w:rPr>
          <w:sz w:val="24"/>
        </w:rPr>
        <w:t>the</w:t>
      </w:r>
      <w:r>
        <w:rPr>
          <w:spacing w:val="22"/>
          <w:sz w:val="24"/>
        </w:rPr>
        <w:t> </w:t>
      </w:r>
      <w:r>
        <w:rPr>
          <w:sz w:val="24"/>
        </w:rPr>
        <w:t>principles</w:t>
      </w:r>
      <w:r>
        <w:rPr>
          <w:spacing w:val="23"/>
          <w:sz w:val="24"/>
        </w:rPr>
        <w:t> </w:t>
      </w:r>
      <w:r>
        <w:rPr>
          <w:sz w:val="24"/>
        </w:rPr>
        <w:t>that</w:t>
      </w:r>
      <w:r>
        <w:rPr>
          <w:spacing w:val="22"/>
          <w:sz w:val="24"/>
        </w:rPr>
        <w:t> </w:t>
      </w:r>
      <w:r>
        <w:rPr>
          <w:sz w:val="24"/>
        </w:rPr>
        <w:t>the</w:t>
      </w:r>
      <w:r>
        <w:rPr>
          <w:spacing w:val="23"/>
          <w:sz w:val="24"/>
        </w:rPr>
        <w:t> </w:t>
      </w:r>
      <w:r>
        <w:rPr>
          <w:i/>
          <w:sz w:val="24"/>
        </w:rPr>
        <w:t>Distribution</w:t>
      </w:r>
      <w:r>
        <w:rPr>
          <w:i/>
          <w:spacing w:val="22"/>
          <w:sz w:val="24"/>
        </w:rPr>
        <w:t> </w:t>
      </w:r>
      <w:r>
        <w:rPr>
          <w:i/>
          <w:sz w:val="24"/>
        </w:rPr>
        <w:t>Network</w:t>
      </w:r>
      <w:r>
        <w:rPr>
          <w:i/>
          <w:spacing w:val="22"/>
          <w:sz w:val="24"/>
        </w:rPr>
        <w:t> </w:t>
      </w:r>
      <w:r>
        <w:rPr>
          <w:i/>
          <w:sz w:val="24"/>
        </w:rPr>
        <w:t>Service</w:t>
      </w:r>
      <w:r>
        <w:rPr>
          <w:i/>
          <w:spacing w:val="23"/>
          <w:sz w:val="24"/>
        </w:rPr>
        <w:t> </w:t>
      </w:r>
      <w:r>
        <w:rPr>
          <w:i/>
          <w:sz w:val="24"/>
        </w:rPr>
        <w:t>Provider</w:t>
      </w:r>
    </w:p>
    <w:p>
      <w:pPr>
        <w:spacing w:before="0"/>
        <w:ind w:left="1919" w:right="0" w:firstLine="0"/>
        <w:jc w:val="both"/>
        <w:rPr>
          <w:sz w:val="24"/>
        </w:rPr>
      </w:pPr>
      <w:r>
        <w:rPr>
          <w:sz w:val="24"/>
        </w:rPr>
        <w:t>considers in developing the payment levels for </w:t>
      </w:r>
      <w:r>
        <w:rPr>
          <w:i/>
          <w:sz w:val="24"/>
        </w:rPr>
        <w:t>non-network options</w:t>
      </w:r>
      <w:r>
        <w:rPr>
          <w:sz w:val="24"/>
        </w:rPr>
        <w:t>;</w:t>
      </w:r>
    </w:p>
    <w:p>
      <w:pPr>
        <w:pStyle w:val="ListParagraph"/>
        <w:numPr>
          <w:ilvl w:val="0"/>
          <w:numId w:val="342"/>
        </w:numPr>
        <w:tabs>
          <w:tab w:pos="1919" w:val="left" w:leader="none"/>
        </w:tabs>
        <w:spacing w:line="240" w:lineRule="auto" w:before="120" w:after="0"/>
        <w:ind w:left="1919" w:right="415" w:hanging="567"/>
        <w:jc w:val="both"/>
        <w:rPr>
          <w:sz w:val="24"/>
        </w:rPr>
      </w:pPr>
      <w:r>
        <w:rPr>
          <w:sz w:val="24"/>
        </w:rPr>
        <w:t>a reference to any applicable incentive payment schemes for the implementation of </w:t>
      </w:r>
      <w:r>
        <w:rPr>
          <w:i/>
          <w:sz w:val="24"/>
        </w:rPr>
        <w:t>non-network options </w:t>
      </w:r>
      <w:r>
        <w:rPr>
          <w:sz w:val="24"/>
        </w:rPr>
        <w:t>and whether any specific criteria is applied by the </w:t>
      </w:r>
      <w:r>
        <w:rPr>
          <w:i/>
          <w:sz w:val="24"/>
        </w:rPr>
        <w:t>Distribution Network Service Provider </w:t>
      </w:r>
      <w:r>
        <w:rPr>
          <w:sz w:val="24"/>
        </w:rPr>
        <w:t>in its application and assessment of the</w:t>
      </w:r>
      <w:r>
        <w:rPr>
          <w:spacing w:val="-2"/>
          <w:sz w:val="24"/>
        </w:rPr>
        <w:t> </w:t>
      </w:r>
      <w:r>
        <w:rPr>
          <w:sz w:val="24"/>
        </w:rPr>
        <w:t>scheme;</w:t>
      </w:r>
    </w:p>
    <w:p>
      <w:pPr>
        <w:pStyle w:val="ListParagraph"/>
        <w:numPr>
          <w:ilvl w:val="0"/>
          <w:numId w:val="342"/>
        </w:numPr>
        <w:tabs>
          <w:tab w:pos="1919" w:val="left" w:leader="none"/>
        </w:tabs>
        <w:spacing w:line="240" w:lineRule="auto" w:before="120" w:after="0"/>
        <w:ind w:left="1919" w:right="415" w:hanging="567"/>
        <w:jc w:val="both"/>
        <w:rPr>
          <w:sz w:val="24"/>
        </w:rPr>
      </w:pPr>
      <w:r>
        <w:rPr>
          <w:sz w:val="24"/>
        </w:rPr>
        <w:t>the methodology to be used for determining </w:t>
      </w:r>
      <w:r>
        <w:rPr>
          <w:i/>
          <w:sz w:val="24"/>
        </w:rPr>
        <w:t>avoided Customer TUOS </w:t>
      </w:r>
      <w:r>
        <w:rPr>
          <w:i/>
          <w:sz w:val="24"/>
        </w:rPr>
        <w:t>charges</w:t>
      </w:r>
      <w:r>
        <w:rPr>
          <w:sz w:val="24"/>
        </w:rPr>
        <w:t>, in accordance with clauses 5.4AA and 5.5;</w:t>
      </w:r>
      <w:r>
        <w:rPr>
          <w:spacing w:val="-4"/>
          <w:sz w:val="24"/>
        </w:rPr>
        <w:t> </w:t>
      </w:r>
      <w:r>
        <w:rPr>
          <w:sz w:val="24"/>
        </w:rPr>
        <w:t>and;</w:t>
      </w:r>
    </w:p>
    <w:p>
      <w:pPr>
        <w:pStyle w:val="ListParagraph"/>
        <w:numPr>
          <w:ilvl w:val="0"/>
          <w:numId w:val="342"/>
        </w:numPr>
        <w:tabs>
          <w:tab w:pos="1919" w:val="left" w:leader="none"/>
        </w:tabs>
        <w:spacing w:line="240" w:lineRule="auto" w:before="120" w:after="0"/>
        <w:ind w:left="1919" w:right="414" w:hanging="567"/>
        <w:jc w:val="both"/>
        <w:rPr>
          <w:sz w:val="24"/>
        </w:rPr>
      </w:pPr>
      <w:r>
        <w:rPr>
          <w:sz w:val="24"/>
        </w:rPr>
        <w:t>a summary of the factors the </w:t>
      </w:r>
      <w:r>
        <w:rPr>
          <w:i/>
          <w:sz w:val="24"/>
        </w:rPr>
        <w:t>Distribution Network Service Provider </w:t>
      </w:r>
      <w:r>
        <w:rPr>
          <w:sz w:val="24"/>
        </w:rPr>
        <w:t>takes into account when negotiating </w:t>
      </w:r>
      <w:r>
        <w:rPr>
          <w:i/>
          <w:sz w:val="24"/>
        </w:rPr>
        <w:t>connection agreements </w:t>
      </w:r>
      <w:r>
        <w:rPr>
          <w:sz w:val="24"/>
        </w:rPr>
        <w:t>with </w:t>
      </w:r>
      <w:r>
        <w:rPr>
          <w:i/>
          <w:sz w:val="24"/>
        </w:rPr>
        <w:t>Embedded </w:t>
      </w:r>
      <w:r>
        <w:rPr>
          <w:i/>
          <w:sz w:val="24"/>
        </w:rPr>
        <w:t>Generators</w:t>
      </w:r>
      <w:r>
        <w:rPr>
          <w:sz w:val="24"/>
        </w:rPr>
        <w:t>;</w:t>
      </w:r>
    </w:p>
    <w:p>
      <w:pPr>
        <w:pStyle w:val="ListParagraph"/>
        <w:numPr>
          <w:ilvl w:val="0"/>
          <w:numId w:val="342"/>
        </w:numPr>
        <w:tabs>
          <w:tab w:pos="1919" w:val="left" w:leader="none"/>
        </w:tabs>
        <w:spacing w:line="240" w:lineRule="auto" w:before="120" w:after="0"/>
        <w:ind w:left="1919" w:right="414" w:hanging="567"/>
        <w:jc w:val="both"/>
        <w:rPr>
          <w:sz w:val="24"/>
        </w:rPr>
      </w:pPr>
      <w:r>
        <w:rPr>
          <w:sz w:val="24"/>
        </w:rPr>
        <w:t>the process used, and a summary of any specific regulatory requirements, for setting charges and the terms and conditions of </w:t>
      </w:r>
      <w:r>
        <w:rPr>
          <w:i/>
          <w:sz w:val="24"/>
        </w:rPr>
        <w:t>connection agreements </w:t>
      </w:r>
      <w:r>
        <w:rPr>
          <w:sz w:val="24"/>
        </w:rPr>
        <w:t>for </w:t>
      </w:r>
      <w:r>
        <w:rPr>
          <w:i/>
          <w:sz w:val="24"/>
        </w:rPr>
        <w:t>embedded generating</w:t>
      </w:r>
      <w:r>
        <w:rPr>
          <w:i/>
          <w:spacing w:val="-1"/>
          <w:sz w:val="24"/>
        </w:rPr>
        <w:t> </w:t>
      </w:r>
      <w:r>
        <w:rPr>
          <w:i/>
          <w:sz w:val="24"/>
        </w:rPr>
        <w:t>units</w:t>
      </w:r>
      <w:r>
        <w:rPr>
          <w:sz w:val="24"/>
        </w:rPr>
        <w:t>;</w:t>
      </w:r>
    </w:p>
    <w:p>
      <w:pPr>
        <w:pStyle w:val="ListParagraph"/>
        <w:numPr>
          <w:ilvl w:val="0"/>
          <w:numId w:val="342"/>
        </w:numPr>
        <w:tabs>
          <w:tab w:pos="1919" w:val="left" w:leader="none"/>
        </w:tabs>
        <w:spacing w:line="240" w:lineRule="auto" w:before="120" w:after="0"/>
        <w:ind w:left="1919" w:right="414" w:hanging="567"/>
        <w:jc w:val="both"/>
        <w:rPr>
          <w:sz w:val="24"/>
        </w:rPr>
      </w:pPr>
      <w:r>
        <w:rPr>
          <w:sz w:val="24"/>
        </w:rPr>
        <w:t>the process for lodging an </w:t>
      </w:r>
      <w:r>
        <w:rPr>
          <w:i/>
          <w:sz w:val="24"/>
        </w:rPr>
        <w:t>application to connect </w:t>
      </w:r>
      <w:r>
        <w:rPr>
          <w:sz w:val="24"/>
        </w:rPr>
        <w:t>for an </w:t>
      </w:r>
      <w:r>
        <w:rPr>
          <w:i/>
          <w:sz w:val="24"/>
        </w:rPr>
        <w:t>embedded </w:t>
      </w:r>
      <w:r>
        <w:rPr>
          <w:i/>
          <w:sz w:val="24"/>
        </w:rPr>
        <w:t>generating unit </w:t>
      </w:r>
      <w:r>
        <w:rPr>
          <w:sz w:val="24"/>
        </w:rPr>
        <w:t>and the factors taken into account by the </w:t>
      </w:r>
      <w:r>
        <w:rPr>
          <w:i/>
          <w:sz w:val="24"/>
        </w:rPr>
        <w:t>Distribution </w:t>
      </w:r>
      <w:r>
        <w:rPr>
          <w:i/>
          <w:sz w:val="24"/>
        </w:rPr>
        <w:t>Network Service Provider </w:t>
      </w:r>
      <w:r>
        <w:rPr>
          <w:sz w:val="24"/>
        </w:rPr>
        <w:t>when assessing such</w:t>
      </w:r>
      <w:r>
        <w:rPr>
          <w:spacing w:val="-4"/>
          <w:sz w:val="24"/>
        </w:rPr>
        <w:t> </w:t>
      </w:r>
      <w:r>
        <w:rPr>
          <w:sz w:val="24"/>
        </w:rPr>
        <w:t>applications;</w:t>
      </w:r>
    </w:p>
    <w:p>
      <w:pPr>
        <w:pStyle w:val="ListParagraph"/>
        <w:numPr>
          <w:ilvl w:val="0"/>
          <w:numId w:val="342"/>
        </w:numPr>
        <w:tabs>
          <w:tab w:pos="1919" w:val="left" w:leader="none"/>
        </w:tabs>
        <w:spacing w:line="240" w:lineRule="auto" w:before="120" w:after="0"/>
        <w:ind w:left="1919" w:right="416" w:hanging="567"/>
        <w:jc w:val="both"/>
        <w:rPr>
          <w:sz w:val="24"/>
        </w:rPr>
      </w:pPr>
      <w:r>
        <w:rPr>
          <w:sz w:val="24"/>
        </w:rPr>
        <w:t>worked examples to support the description of how the </w:t>
      </w:r>
      <w:r>
        <w:rPr>
          <w:i/>
          <w:sz w:val="24"/>
        </w:rPr>
        <w:t>Distribution </w:t>
      </w:r>
      <w:r>
        <w:rPr>
          <w:i/>
          <w:sz w:val="24"/>
        </w:rPr>
        <w:t>Network Service Provider </w:t>
      </w:r>
      <w:r>
        <w:rPr>
          <w:sz w:val="24"/>
        </w:rPr>
        <w:t>will assess potential </w:t>
      </w:r>
      <w:r>
        <w:rPr>
          <w:i/>
          <w:sz w:val="24"/>
        </w:rPr>
        <w:t>non-network options </w:t>
      </w:r>
      <w:r>
        <w:rPr>
          <w:sz w:val="24"/>
        </w:rPr>
        <w:t>in accordance with paragraph</w:t>
      </w:r>
      <w:r>
        <w:rPr>
          <w:spacing w:val="-2"/>
          <w:sz w:val="24"/>
        </w:rPr>
        <w:t> </w:t>
      </w:r>
      <w:r>
        <w:rPr>
          <w:sz w:val="24"/>
        </w:rPr>
        <w:t>(a);</w:t>
      </w:r>
    </w:p>
    <w:p>
      <w:pPr>
        <w:pStyle w:val="ListParagraph"/>
        <w:numPr>
          <w:ilvl w:val="0"/>
          <w:numId w:val="342"/>
        </w:numPr>
        <w:tabs>
          <w:tab w:pos="1919" w:val="left" w:leader="none"/>
        </w:tabs>
        <w:spacing w:line="240" w:lineRule="auto" w:before="120" w:after="0"/>
        <w:ind w:left="1918" w:right="0" w:hanging="567"/>
        <w:jc w:val="both"/>
        <w:rPr>
          <w:sz w:val="24"/>
        </w:rPr>
      </w:pPr>
      <w:r>
        <w:rPr>
          <w:sz w:val="24"/>
        </w:rPr>
        <w:t>a</w:t>
      </w:r>
      <w:r>
        <w:rPr>
          <w:spacing w:val="15"/>
          <w:sz w:val="24"/>
        </w:rPr>
        <w:t> </w:t>
      </w:r>
      <w:r>
        <w:rPr>
          <w:sz w:val="24"/>
        </w:rPr>
        <w:t>hyperlink</w:t>
      </w:r>
      <w:r>
        <w:rPr>
          <w:spacing w:val="16"/>
          <w:sz w:val="24"/>
        </w:rPr>
        <w:t> </w:t>
      </w:r>
      <w:r>
        <w:rPr>
          <w:sz w:val="24"/>
        </w:rPr>
        <w:t>to</w:t>
      </w:r>
      <w:r>
        <w:rPr>
          <w:spacing w:val="16"/>
          <w:sz w:val="24"/>
        </w:rPr>
        <w:t> </w:t>
      </w:r>
      <w:r>
        <w:rPr>
          <w:sz w:val="24"/>
        </w:rPr>
        <w:t>any</w:t>
      </w:r>
      <w:r>
        <w:rPr>
          <w:spacing w:val="15"/>
          <w:sz w:val="24"/>
        </w:rPr>
        <w:t> </w:t>
      </w:r>
      <w:r>
        <w:rPr>
          <w:sz w:val="24"/>
        </w:rPr>
        <w:t>relevant,</w:t>
      </w:r>
      <w:r>
        <w:rPr>
          <w:spacing w:val="16"/>
          <w:sz w:val="24"/>
        </w:rPr>
        <w:t> </w:t>
      </w:r>
      <w:r>
        <w:rPr>
          <w:sz w:val="24"/>
        </w:rPr>
        <w:t>publicly</w:t>
      </w:r>
      <w:r>
        <w:rPr>
          <w:spacing w:val="16"/>
          <w:sz w:val="24"/>
        </w:rPr>
        <w:t> </w:t>
      </w:r>
      <w:r>
        <w:rPr>
          <w:sz w:val="24"/>
        </w:rPr>
        <w:t>available</w:t>
      </w:r>
      <w:r>
        <w:rPr>
          <w:spacing w:val="16"/>
          <w:sz w:val="24"/>
        </w:rPr>
        <w:t> </w:t>
      </w:r>
      <w:r>
        <w:rPr>
          <w:sz w:val="24"/>
        </w:rPr>
        <w:t>information</w:t>
      </w:r>
      <w:r>
        <w:rPr>
          <w:spacing w:val="15"/>
          <w:sz w:val="24"/>
        </w:rPr>
        <w:t> </w:t>
      </w:r>
      <w:r>
        <w:rPr>
          <w:sz w:val="24"/>
        </w:rPr>
        <w:t>produced</w:t>
      </w:r>
      <w:r>
        <w:rPr>
          <w:spacing w:val="16"/>
          <w:sz w:val="24"/>
        </w:rPr>
        <w:t> </w:t>
      </w:r>
      <w:r>
        <w:rPr>
          <w:sz w:val="24"/>
        </w:rPr>
        <w:t>by</w:t>
      </w:r>
      <w:r>
        <w:rPr>
          <w:spacing w:val="16"/>
          <w:sz w:val="24"/>
        </w:rPr>
        <w:t> </w:t>
      </w:r>
      <w:r>
        <w:rPr>
          <w:sz w:val="24"/>
        </w:rPr>
        <w:t>the</w:t>
      </w:r>
    </w:p>
    <w:p>
      <w:pPr>
        <w:spacing w:before="0"/>
        <w:ind w:left="1919" w:right="0" w:firstLine="0"/>
        <w:jc w:val="both"/>
        <w:rPr>
          <w:sz w:val="24"/>
        </w:rPr>
      </w:pPr>
      <w:r>
        <w:rPr>
          <w:i/>
          <w:sz w:val="24"/>
        </w:rPr>
        <w:t>Distribution Network Service Provider</w:t>
      </w:r>
      <w:r>
        <w:rPr>
          <w:sz w:val="24"/>
        </w:rPr>
        <w:t>;</w:t>
      </w:r>
    </w:p>
    <w:p>
      <w:pPr>
        <w:pStyle w:val="ListParagraph"/>
        <w:numPr>
          <w:ilvl w:val="0"/>
          <w:numId w:val="342"/>
        </w:numPr>
        <w:tabs>
          <w:tab w:pos="1919" w:val="left" w:leader="none"/>
        </w:tabs>
        <w:spacing w:line="240" w:lineRule="auto" w:before="120" w:after="0"/>
        <w:ind w:left="1919" w:right="417" w:hanging="567"/>
        <w:jc w:val="both"/>
        <w:rPr>
          <w:sz w:val="24"/>
        </w:rPr>
      </w:pPr>
      <w:r>
        <w:rPr>
          <w:sz w:val="24"/>
        </w:rPr>
        <w:t>a description of how parties may be listed on the demand side engagement register;</w:t>
      </w:r>
      <w:r>
        <w:rPr>
          <w:spacing w:val="-1"/>
          <w:sz w:val="24"/>
        </w:rPr>
        <w:t> </w:t>
      </w:r>
      <w:r>
        <w:rPr>
          <w:sz w:val="24"/>
        </w:rPr>
        <w:t>and</w:t>
      </w:r>
    </w:p>
    <w:p>
      <w:pPr>
        <w:pStyle w:val="ListParagraph"/>
        <w:numPr>
          <w:ilvl w:val="0"/>
          <w:numId w:val="342"/>
        </w:numPr>
        <w:tabs>
          <w:tab w:pos="1919" w:val="left" w:leader="none"/>
        </w:tabs>
        <w:spacing w:line="240" w:lineRule="auto" w:before="120" w:after="0"/>
        <w:ind w:left="1918" w:right="0" w:hanging="567"/>
        <w:jc w:val="both"/>
        <w:rPr>
          <w:sz w:val="24"/>
        </w:rPr>
      </w:pPr>
      <w:r>
        <w:rPr>
          <w:sz w:val="24"/>
        </w:rPr>
        <w:t>the </w:t>
      </w:r>
      <w:r>
        <w:rPr>
          <w:i/>
          <w:sz w:val="24"/>
        </w:rPr>
        <w:t>Distribution Network Service Provider's </w:t>
      </w:r>
      <w:r>
        <w:rPr>
          <w:sz w:val="24"/>
        </w:rPr>
        <w:t>contact</w:t>
      </w:r>
      <w:r>
        <w:rPr>
          <w:spacing w:val="-4"/>
          <w:sz w:val="24"/>
        </w:rPr>
        <w:t> </w:t>
      </w:r>
      <w:r>
        <w:rPr>
          <w:sz w:val="24"/>
        </w:rPr>
        <w:t>details.</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Paragraph (h) of this schedule has no effect in this jurisdiction, and the remainder of this schedule has no effect in this jurisdiction until 1 July 2019 (see regulation 5A of the </w:t>
      </w:r>
      <w:r>
        <w:rPr>
          <w:i/>
          <w:sz w:val="20"/>
        </w:rPr>
        <w:t>National Electricity </w:t>
      </w:r>
      <w:r>
        <w:rPr>
          <w:i/>
          <w:sz w:val="20"/>
        </w:rPr>
        <w:t>(Northern Territory) (National Uniform Legislation) (Modification) Regulations)</w:t>
      </w:r>
      <w:r>
        <w:rPr>
          <w:sz w:val="20"/>
        </w:rPr>
        <w:t>. The application of paragraph (h) of this schedule will be revisited as part of the phased implementation of the </w:t>
      </w:r>
      <w:r>
        <w:rPr>
          <w:i/>
          <w:sz w:val="20"/>
        </w:rPr>
        <w:t>Rules </w:t>
      </w:r>
      <w:r>
        <w:rPr>
          <w:sz w:val="20"/>
        </w:rPr>
        <w:t>in this</w:t>
      </w:r>
      <w:r>
        <w:rPr>
          <w:spacing w:val="-2"/>
          <w:sz w:val="20"/>
        </w:rPr>
        <w:t> </w:t>
      </w:r>
      <w:r>
        <w:rPr>
          <w:sz w:val="20"/>
        </w:rPr>
        <w:t>jurisdiction.</w:t>
      </w:r>
    </w:p>
    <w:p>
      <w:pPr>
        <w:spacing w:after="0"/>
        <w:jc w:val="both"/>
        <w:rPr>
          <w:sz w:val="20"/>
        </w:rPr>
        <w:sectPr>
          <w:pgSz w:w="11910" w:h="16840"/>
          <w:pgMar w:header="686" w:footer="637" w:top="1320" w:bottom="820" w:left="1200" w:right="1000"/>
        </w:sectPr>
      </w:pPr>
    </w:p>
    <w:p>
      <w:pPr>
        <w:pStyle w:val="Heading2"/>
        <w:tabs>
          <w:tab w:pos="2485" w:val="left" w:leader="none"/>
        </w:tabs>
        <w:spacing w:before="83"/>
      </w:pPr>
      <w:bookmarkStart w:name="Schedule 5.10 Information requirements f" w:id="1114"/>
      <w:bookmarkEnd w:id="1114"/>
      <w:r>
        <w:rPr>
          <w:b w:val="0"/>
        </w:rPr>
      </w:r>
      <w:bookmarkStart w:name="_bookmark449" w:id="1115"/>
      <w:bookmarkEnd w:id="1115"/>
      <w:r>
        <w:rPr>
          <w:b w:val="0"/>
        </w:rPr>
      </w:r>
      <w:r>
        <w:rPr/>
        <w:t>Schedule</w:t>
      </w:r>
      <w:r>
        <w:rPr>
          <w:spacing w:val="-1"/>
        </w:rPr>
        <w:t> </w:t>
      </w:r>
      <w:r>
        <w:rPr/>
        <w:t>5.10</w:t>
        <w:tab/>
        <w:t>Information requirements for</w:t>
      </w:r>
      <w:r>
        <w:rPr>
          <w:spacing w:val="-4"/>
        </w:rPr>
        <w:t> </w:t>
      </w:r>
      <w:r>
        <w:rPr/>
        <w:t>Primary</w:t>
      </w:r>
    </w:p>
    <w:p>
      <w:pPr>
        <w:spacing w:before="0"/>
        <w:ind w:left="2486" w:right="714" w:firstLine="0"/>
        <w:jc w:val="left"/>
        <w:rPr>
          <w:rFonts w:ascii="Arial"/>
          <w:b/>
          <w:sz w:val="28"/>
        </w:rPr>
      </w:pPr>
      <w:r>
        <w:rPr>
          <w:rFonts w:ascii="Arial"/>
          <w:b/>
          <w:sz w:val="28"/>
        </w:rPr>
        <w:t>Transmission Network Service Providers (clause 5.2A.5)</w:t>
      </w:r>
    </w:p>
    <w:p>
      <w:pPr>
        <w:pStyle w:val="BodyText"/>
        <w:spacing w:before="8"/>
        <w:ind w:firstLine="0"/>
        <w:jc w:val="left"/>
        <w:rPr>
          <w:rFonts w:ascii="Arial"/>
          <w:b/>
          <w:sz w:val="1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7"/>
        <w:gridCol w:w="1478"/>
        <w:gridCol w:w="1478"/>
        <w:gridCol w:w="2937"/>
      </w:tblGrid>
      <w:tr>
        <w:trPr>
          <w:trHeight w:val="947" w:hRule="atLeast"/>
        </w:trPr>
        <w:tc>
          <w:tcPr>
            <w:tcW w:w="1477"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Information</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96"/>
              <w:rPr>
                <w:rFonts w:ascii="Arial"/>
                <w:b/>
                <w:sz w:val="24"/>
              </w:rPr>
            </w:pPr>
            <w:r>
              <w:rPr>
                <w:rFonts w:ascii="Arial"/>
                <w:b/>
                <w:sz w:val="24"/>
              </w:rPr>
              <w:t>Via website or direct enquiry</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42" w:lineRule="auto"/>
              <w:ind w:right="229"/>
              <w:rPr>
                <w:b/>
                <w:sz w:val="12"/>
              </w:rPr>
            </w:pPr>
            <w:r>
              <w:rPr>
                <w:rFonts w:ascii="Arial"/>
                <w:b/>
                <w:sz w:val="24"/>
              </w:rPr>
              <w:t>Additional fee</w:t>
            </w:r>
            <w:r>
              <w:rPr>
                <w:b/>
                <w:position w:val="11"/>
                <w:sz w:val="12"/>
              </w:rPr>
              <w:t>1</w:t>
            </w:r>
          </w:p>
        </w:tc>
        <w:tc>
          <w:tcPr>
            <w:tcW w:w="2937"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Comments</w:t>
            </w:r>
          </w:p>
        </w:tc>
      </w:tr>
      <w:tr>
        <w:trPr>
          <w:trHeight w:val="515" w:hRule="atLeast"/>
        </w:trPr>
        <w:tc>
          <w:tcPr>
            <w:tcW w:w="7370" w:type="dxa"/>
            <w:gridSpan w:val="4"/>
            <w:tcBorders>
              <w:top w:val="single" w:sz="4" w:space="0" w:color="000000"/>
              <w:bottom w:val="single" w:sz="4" w:space="0" w:color="000000"/>
              <w:right w:val="single" w:sz="4" w:space="0" w:color="000000"/>
            </w:tcBorders>
          </w:tcPr>
          <w:p>
            <w:pPr>
              <w:pStyle w:val="TableParagraph"/>
              <w:ind w:left="40"/>
              <w:rPr>
                <w:b/>
                <w:sz w:val="24"/>
              </w:rPr>
            </w:pPr>
            <w:r>
              <w:rPr>
                <w:b/>
                <w:sz w:val="24"/>
              </w:rPr>
              <w:t>Technical specification</w:t>
            </w: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562"/>
              <w:rPr>
                <w:sz w:val="24"/>
              </w:rPr>
            </w:pPr>
            <w:r>
              <w:rPr>
                <w:sz w:val="24"/>
              </w:rPr>
              <w:t>Generic interface works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tcBorders>
              <w:top w:val="single" w:sz="4" w:space="0" w:color="000000"/>
              <w:left w:val="single" w:sz="4" w:space="0" w:color="000000"/>
              <w:bottom w:val="nil"/>
              <w:right w:val="single" w:sz="4" w:space="0" w:color="000000"/>
            </w:tcBorders>
          </w:tcPr>
          <w:p>
            <w:pPr>
              <w:pStyle w:val="TableParagraph"/>
              <w:ind w:left="44" w:right="303"/>
              <w:rPr>
                <w:sz w:val="24"/>
              </w:rPr>
            </w:pPr>
            <w:r>
              <w:rPr>
                <w:sz w:val="24"/>
              </w:rPr>
              <w:t>Typical standards and layouts must be published. This information:</w:t>
            </w: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428"/>
              <w:rPr>
                <w:sz w:val="24"/>
              </w:rPr>
            </w:pPr>
            <w:r>
              <w:rPr>
                <w:sz w:val="24"/>
              </w:rPr>
              <w:t>Generic substation layouts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val="restart"/>
            <w:tcBorders>
              <w:top w:val="nil"/>
              <w:left w:val="single" w:sz="4" w:space="0" w:color="000000"/>
              <w:bottom w:val="nil"/>
              <w:right w:val="single" w:sz="4" w:space="0" w:color="000000"/>
            </w:tcBorders>
          </w:tcPr>
          <w:p>
            <w:pPr>
              <w:pStyle w:val="TableParagraph"/>
              <w:tabs>
                <w:tab w:pos="1178" w:val="left" w:leader="none"/>
              </w:tabs>
              <w:spacing w:before="0"/>
              <w:ind w:left="1178" w:right="66" w:hanging="567"/>
              <w:rPr>
                <w:sz w:val="24"/>
              </w:rPr>
            </w:pPr>
            <w:r>
              <w:rPr>
                <w:sz w:val="24"/>
              </w:rPr>
              <w:t>(a)</w:t>
              <w:tab/>
              <w:t>may be generic but should provide a high level overview </w:t>
            </w:r>
            <w:r>
              <w:rPr>
                <w:spacing w:val="-8"/>
                <w:sz w:val="24"/>
              </w:rPr>
              <w:t>of </w:t>
            </w:r>
            <w:r>
              <w:rPr>
                <w:sz w:val="24"/>
              </w:rPr>
              <w:t>the components of a </w:t>
            </w:r>
            <w:r>
              <w:rPr>
                <w:i/>
                <w:sz w:val="24"/>
              </w:rPr>
              <w:t>connection</w:t>
            </w:r>
            <w:r>
              <w:rPr>
                <w:sz w:val="24"/>
              </w:rPr>
              <w:t>; and</w:t>
            </w:r>
          </w:p>
        </w:tc>
      </w:tr>
      <w:tr>
        <w:trPr>
          <w:trHeight w:val="961" w:hRule="atLeast"/>
        </w:trPr>
        <w:tc>
          <w:tcPr>
            <w:tcW w:w="1477" w:type="dxa"/>
            <w:tcBorders>
              <w:top w:val="single" w:sz="4" w:space="0" w:color="000000"/>
              <w:bottom w:val="nil"/>
              <w:right w:val="single" w:sz="4" w:space="0" w:color="000000"/>
            </w:tcBorders>
          </w:tcPr>
          <w:p>
            <w:pPr>
              <w:pStyle w:val="TableParagraph"/>
              <w:spacing w:line="270" w:lineRule="atLeast"/>
              <w:ind w:left="40" w:right="102"/>
              <w:rPr>
                <w:sz w:val="24"/>
              </w:rPr>
            </w:pPr>
            <w:r>
              <w:rPr>
                <w:sz w:val="24"/>
              </w:rPr>
              <w:t>Typical overhead line structures</w:t>
            </w:r>
          </w:p>
        </w:tc>
        <w:tc>
          <w:tcPr>
            <w:tcW w:w="1478" w:type="dxa"/>
            <w:tcBorders>
              <w:top w:val="single" w:sz="4" w:space="0" w:color="000000"/>
              <w:left w:val="single" w:sz="4" w:space="0" w:color="000000"/>
              <w:bottom w:val="nil"/>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nil"/>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nil"/>
              <w:right w:val="single" w:sz="4" w:space="0" w:color="000000"/>
            </w:tcBorders>
          </w:tcPr>
          <w:p>
            <w:pPr>
              <w:rPr>
                <w:sz w:val="2"/>
                <w:szCs w:val="2"/>
              </w:rPr>
            </w:pPr>
          </w:p>
        </w:tc>
      </w:tr>
      <w:tr>
        <w:trPr>
          <w:trHeight w:val="106" w:hRule="atLeast"/>
        </w:trPr>
        <w:tc>
          <w:tcPr>
            <w:tcW w:w="1477" w:type="dxa"/>
            <w:tcBorders>
              <w:top w:val="nil"/>
              <w:bottom w:val="single" w:sz="4" w:space="0" w:color="000000"/>
              <w:right w:val="single" w:sz="4" w:space="0" w:color="000000"/>
            </w:tcBorders>
          </w:tcPr>
          <w:p>
            <w:pPr>
              <w:pStyle w:val="TableParagraph"/>
              <w:spacing w:before="0"/>
              <w:ind w:left="0"/>
              <w:rPr>
                <w:sz w:val="4"/>
              </w:rPr>
            </w:pPr>
          </w:p>
        </w:tc>
        <w:tc>
          <w:tcPr>
            <w:tcW w:w="1478" w:type="dxa"/>
            <w:tcBorders>
              <w:top w:val="nil"/>
              <w:left w:val="single" w:sz="4" w:space="0" w:color="000000"/>
              <w:bottom w:val="single" w:sz="4" w:space="0" w:color="000000"/>
              <w:right w:val="single" w:sz="4" w:space="0" w:color="000000"/>
            </w:tcBorders>
          </w:tcPr>
          <w:p>
            <w:pPr>
              <w:pStyle w:val="TableParagraph"/>
              <w:spacing w:before="0"/>
              <w:ind w:left="0"/>
              <w:rPr>
                <w:sz w:val="4"/>
              </w:rPr>
            </w:pPr>
          </w:p>
        </w:tc>
        <w:tc>
          <w:tcPr>
            <w:tcW w:w="1478" w:type="dxa"/>
            <w:tcBorders>
              <w:top w:val="nil"/>
              <w:left w:val="single" w:sz="4" w:space="0" w:color="000000"/>
              <w:bottom w:val="single" w:sz="4" w:space="0" w:color="000000"/>
              <w:right w:val="single" w:sz="4" w:space="0" w:color="000000"/>
            </w:tcBorders>
          </w:tcPr>
          <w:p>
            <w:pPr>
              <w:pStyle w:val="TableParagraph"/>
              <w:spacing w:before="0"/>
              <w:ind w:left="0"/>
              <w:rPr>
                <w:sz w:val="4"/>
              </w:rPr>
            </w:pPr>
          </w:p>
        </w:tc>
        <w:tc>
          <w:tcPr>
            <w:tcW w:w="2937" w:type="dxa"/>
            <w:vMerge w:val="restart"/>
            <w:tcBorders>
              <w:top w:val="nil"/>
              <w:left w:val="single" w:sz="4" w:space="0" w:color="000000"/>
              <w:bottom w:val="nil"/>
              <w:right w:val="single" w:sz="4" w:space="0" w:color="000000"/>
            </w:tcBorders>
          </w:tcPr>
          <w:p>
            <w:pPr>
              <w:pStyle w:val="TableParagraph"/>
              <w:tabs>
                <w:tab w:pos="1178" w:val="left" w:leader="none"/>
              </w:tabs>
              <w:spacing w:before="3"/>
              <w:ind w:left="611"/>
              <w:rPr>
                <w:sz w:val="24"/>
              </w:rPr>
            </w:pPr>
            <w:r>
              <w:rPr>
                <w:sz w:val="24"/>
              </w:rPr>
              <w:t>(b)</w:t>
              <w:tab/>
              <w:t>must provide</w:t>
            </w:r>
          </w:p>
          <w:p>
            <w:pPr>
              <w:pStyle w:val="TableParagraph"/>
              <w:spacing w:before="0"/>
              <w:ind w:left="1178" w:right="63"/>
              <w:rPr>
                <w:sz w:val="24"/>
              </w:rPr>
            </w:pPr>
            <w:r>
              <w:rPr>
                <w:i/>
                <w:sz w:val="24"/>
              </w:rPr>
              <w:t>Connection </w:t>
            </w:r>
            <w:r>
              <w:rPr>
                <w:i/>
                <w:sz w:val="24"/>
              </w:rPr>
              <w:t>Applicants </w:t>
            </w:r>
            <w:r>
              <w:rPr>
                <w:sz w:val="24"/>
              </w:rPr>
              <w:t>with a high level understanding of what a </w:t>
            </w:r>
            <w:r>
              <w:rPr>
                <w:i/>
                <w:sz w:val="24"/>
              </w:rPr>
              <w:t>connection </w:t>
            </w:r>
            <w:r>
              <w:rPr>
                <w:sz w:val="24"/>
              </w:rPr>
              <w:t>consists of.</w:t>
            </w:r>
          </w:p>
        </w:tc>
      </w:tr>
      <w:tr>
        <w:trPr>
          <w:trHeight w:val="1343" w:hRule="atLeast"/>
        </w:trPr>
        <w:tc>
          <w:tcPr>
            <w:tcW w:w="1477" w:type="dxa"/>
            <w:tcBorders>
              <w:top w:val="single" w:sz="4" w:space="0" w:color="000000"/>
              <w:bottom w:val="single" w:sz="4" w:space="0" w:color="000000"/>
              <w:right w:val="single" w:sz="4" w:space="0" w:color="000000"/>
            </w:tcBorders>
          </w:tcPr>
          <w:p>
            <w:pPr>
              <w:pStyle w:val="TableParagraph"/>
              <w:ind w:left="40" w:right="109"/>
              <w:rPr>
                <w:sz w:val="24"/>
              </w:rPr>
            </w:pPr>
            <w:r>
              <w:rPr>
                <w:sz w:val="24"/>
              </w:rPr>
              <w:t>Typical underground cable arrangements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nil"/>
              <w:right w:val="single" w:sz="4" w:space="0" w:color="000000"/>
            </w:tcBorders>
          </w:tcPr>
          <w:p>
            <w:pPr>
              <w:rPr>
                <w:sz w:val="2"/>
                <w:szCs w:val="2"/>
              </w:rPr>
            </w:pPr>
          </w:p>
        </w:tc>
      </w:tr>
      <w:tr>
        <w:trPr>
          <w:trHeight w:val="791" w:hRule="atLeast"/>
        </w:trPr>
        <w:tc>
          <w:tcPr>
            <w:tcW w:w="1477" w:type="dxa"/>
            <w:tcBorders>
              <w:top w:val="single" w:sz="4" w:space="0" w:color="000000"/>
              <w:bottom w:val="single" w:sz="4" w:space="0" w:color="000000"/>
              <w:right w:val="single" w:sz="4" w:space="0" w:color="000000"/>
            </w:tcBorders>
          </w:tcPr>
          <w:p>
            <w:pPr>
              <w:pStyle w:val="TableParagraph"/>
              <w:ind w:left="40" w:right="102"/>
              <w:rPr>
                <w:sz w:val="24"/>
              </w:rPr>
            </w:pPr>
            <w:r>
              <w:rPr>
                <w:sz w:val="24"/>
              </w:rPr>
              <w:t>Typical primary plant</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nil"/>
              <w:right w:val="single" w:sz="4" w:space="0" w:color="000000"/>
            </w:tcBorders>
          </w:tcPr>
          <w:p>
            <w:pPr>
              <w:rPr>
                <w:sz w:val="2"/>
                <w:szCs w:val="2"/>
              </w:rPr>
            </w:pPr>
          </w:p>
        </w:tc>
      </w:tr>
      <w:tr>
        <w:trPr>
          <w:trHeight w:val="791" w:hRule="atLeast"/>
        </w:trPr>
        <w:tc>
          <w:tcPr>
            <w:tcW w:w="1477" w:type="dxa"/>
            <w:tcBorders>
              <w:top w:val="single" w:sz="4" w:space="0" w:color="000000"/>
              <w:bottom w:val="single" w:sz="4" w:space="0" w:color="000000"/>
              <w:right w:val="single" w:sz="4" w:space="0" w:color="000000"/>
            </w:tcBorders>
          </w:tcPr>
          <w:p>
            <w:pPr>
              <w:pStyle w:val="TableParagraph"/>
              <w:ind w:left="40" w:right="495"/>
              <w:rPr>
                <w:sz w:val="24"/>
              </w:rPr>
            </w:pPr>
            <w:r>
              <w:rPr>
                <w:sz w:val="24"/>
              </w:rPr>
              <w:t>Design standards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val="restart"/>
            <w:tcBorders>
              <w:top w:val="nil"/>
              <w:left w:val="single" w:sz="4" w:space="0" w:color="000000"/>
              <w:bottom w:val="single" w:sz="4" w:space="0" w:color="000000"/>
              <w:right w:val="single" w:sz="4" w:space="0" w:color="000000"/>
            </w:tcBorders>
          </w:tcPr>
          <w:p>
            <w:pPr>
              <w:pStyle w:val="TableParagraph"/>
              <w:spacing w:before="58"/>
              <w:ind w:left="44" w:right="150"/>
              <w:rPr>
                <w:sz w:val="24"/>
              </w:rPr>
            </w:pPr>
            <w:r>
              <w:rPr>
                <w:i/>
                <w:sz w:val="24"/>
              </w:rPr>
              <w:t>Primary Transmission </w:t>
            </w:r>
            <w:r>
              <w:rPr>
                <w:i/>
                <w:sz w:val="24"/>
              </w:rPr>
              <w:t>Network Service Providers </w:t>
            </w:r>
            <w:r>
              <w:rPr>
                <w:sz w:val="24"/>
              </w:rPr>
              <w:t>must provide the design standards which are specific to their </w:t>
            </w:r>
            <w:r>
              <w:rPr>
                <w:i/>
                <w:sz w:val="24"/>
              </w:rPr>
              <w:t>network</w:t>
            </w:r>
            <w:r>
              <w:rPr>
                <w:sz w:val="24"/>
              </w:rPr>
              <w:t>.</w:t>
            </w:r>
          </w:p>
        </w:tc>
      </w:tr>
      <w:tr>
        <w:trPr>
          <w:trHeight w:val="1151" w:hRule="atLeast"/>
        </w:trPr>
        <w:tc>
          <w:tcPr>
            <w:tcW w:w="1477" w:type="dxa"/>
            <w:tcBorders>
              <w:top w:val="single" w:sz="4" w:space="0" w:color="000000"/>
              <w:bottom w:val="single" w:sz="4" w:space="0" w:color="000000"/>
              <w:right w:val="single" w:sz="4" w:space="0" w:color="000000"/>
            </w:tcBorders>
          </w:tcPr>
          <w:p>
            <w:pPr>
              <w:pStyle w:val="TableParagraph"/>
              <w:ind w:left="40" w:right="429"/>
              <w:rPr>
                <w:sz w:val="24"/>
              </w:rPr>
            </w:pPr>
            <w:r>
              <w:rPr>
                <w:sz w:val="24"/>
              </w:rPr>
              <w:t>Typical secondary systems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960" w:hRule="atLeast"/>
        </w:trPr>
        <w:tc>
          <w:tcPr>
            <w:tcW w:w="1477" w:type="dxa"/>
            <w:tcBorders>
              <w:top w:val="single" w:sz="4" w:space="0" w:color="000000"/>
              <w:bottom w:val="nil"/>
              <w:right w:val="single" w:sz="4" w:space="0" w:color="000000"/>
            </w:tcBorders>
          </w:tcPr>
          <w:p>
            <w:pPr>
              <w:pStyle w:val="TableParagraph"/>
              <w:ind w:left="40" w:right="149"/>
              <w:rPr>
                <w:i/>
                <w:sz w:val="24"/>
              </w:rPr>
            </w:pPr>
            <w:r>
              <w:rPr>
                <w:sz w:val="24"/>
              </w:rPr>
              <w:t>Detailed technical requirements for a particular </w:t>
            </w:r>
            <w:r>
              <w:rPr>
                <w:i/>
                <w:sz w:val="24"/>
              </w:rPr>
              <w:t>connection</w:t>
            </w:r>
          </w:p>
        </w:tc>
        <w:tc>
          <w:tcPr>
            <w:tcW w:w="1478" w:type="dxa"/>
            <w:tcBorders>
              <w:top w:val="single" w:sz="4" w:space="0" w:color="000000"/>
              <w:left w:val="single" w:sz="4" w:space="0" w:color="000000"/>
              <w:bottom w:val="nil"/>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bottom w:val="nil"/>
              <w:right w:val="single" w:sz="4" w:space="0" w:color="000000"/>
            </w:tcBorders>
          </w:tcPr>
          <w:p>
            <w:pPr>
              <w:pStyle w:val="TableParagraph"/>
              <w:rPr>
                <w:sz w:val="24"/>
              </w:rPr>
            </w:pPr>
            <w:r>
              <w:rPr>
                <w:sz w:val="24"/>
              </w:rPr>
              <w:t>No</w:t>
            </w:r>
          </w:p>
        </w:tc>
        <w:tc>
          <w:tcPr>
            <w:tcW w:w="2937" w:type="dxa"/>
            <w:tcBorders>
              <w:top w:val="single" w:sz="4" w:space="0" w:color="000000"/>
              <w:left w:val="single" w:sz="4" w:space="0" w:color="000000"/>
              <w:bottom w:val="nil"/>
              <w:right w:val="single" w:sz="4" w:space="0" w:color="000000"/>
            </w:tcBorders>
          </w:tcPr>
          <w:p>
            <w:pPr>
              <w:pStyle w:val="TableParagraph"/>
              <w:ind w:left="44" w:right="303"/>
              <w:rPr>
                <w:sz w:val="24"/>
              </w:rPr>
            </w:pPr>
            <w:r>
              <w:rPr>
                <w:sz w:val="24"/>
              </w:rPr>
              <w:t>Functional specification to describe the requirements that must be met by the detailed design.</w:t>
            </w:r>
          </w:p>
          <w:p>
            <w:pPr>
              <w:pStyle w:val="TableParagraph"/>
              <w:ind w:left="44" w:right="77"/>
              <w:rPr>
                <w:sz w:val="24"/>
              </w:rPr>
            </w:pPr>
            <w:r>
              <w:rPr>
                <w:sz w:val="24"/>
              </w:rPr>
              <w:t>The functional specifications must include:</w:t>
            </w:r>
          </w:p>
        </w:tc>
      </w:tr>
      <w:tr>
        <w:trPr>
          <w:trHeight w:val="882" w:hRule="atLeast"/>
        </w:trPr>
        <w:tc>
          <w:tcPr>
            <w:tcW w:w="1477" w:type="dxa"/>
            <w:tcBorders>
              <w:top w:val="nil"/>
              <w:bottom w:val="single" w:sz="4" w:space="0" w:color="000000"/>
              <w:right w:val="single" w:sz="4" w:space="0" w:color="000000"/>
            </w:tcBorders>
          </w:tcPr>
          <w:p>
            <w:pPr>
              <w:pStyle w:val="TableParagraph"/>
              <w:spacing w:before="0"/>
              <w:ind w:left="0"/>
              <w:rPr>
                <w:sz w:val="22"/>
              </w:rPr>
            </w:pPr>
          </w:p>
        </w:tc>
        <w:tc>
          <w:tcPr>
            <w:tcW w:w="1478"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1478"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2937" w:type="dxa"/>
            <w:tcBorders>
              <w:top w:val="nil"/>
              <w:left w:val="single" w:sz="4" w:space="0" w:color="000000"/>
              <w:bottom w:val="single" w:sz="4" w:space="0" w:color="000000"/>
              <w:right w:val="single" w:sz="4" w:space="0" w:color="000000"/>
            </w:tcBorders>
          </w:tcPr>
          <w:p>
            <w:pPr>
              <w:pStyle w:val="TableParagraph"/>
              <w:spacing w:line="270" w:lineRule="atLeast" w:before="55"/>
              <w:ind w:left="1178" w:right="359" w:hanging="567"/>
              <w:jc w:val="both"/>
              <w:rPr>
                <w:sz w:val="24"/>
              </w:rPr>
            </w:pPr>
            <w:r>
              <w:rPr>
                <w:sz w:val="24"/>
              </w:rPr>
              <w:t>(a) description of any proposed </w:t>
            </w:r>
            <w:r>
              <w:rPr>
                <w:i/>
                <w:sz w:val="24"/>
              </w:rPr>
              <w:t>augmentation</w:t>
            </w:r>
            <w:r>
              <w:rPr>
                <w:sz w:val="24"/>
              </w:rPr>
              <w:t>;</w:t>
            </w:r>
          </w:p>
        </w:tc>
      </w:tr>
    </w:tbl>
    <w:p>
      <w:pPr>
        <w:pStyle w:val="BodyText"/>
        <w:spacing w:before="30"/>
        <w:ind w:left="218" w:firstLine="0"/>
        <w:jc w:val="left"/>
      </w:pPr>
      <w:r>
        <w:rPr/>
        <w:t>—————–—————–</w:t>
      </w:r>
    </w:p>
    <w:p>
      <w:pPr>
        <w:tabs>
          <w:tab w:pos="784" w:val="left" w:leader="none"/>
        </w:tabs>
        <w:spacing w:line="264" w:lineRule="auto" w:before="75"/>
        <w:ind w:left="785" w:right="431" w:hanging="567"/>
        <w:jc w:val="left"/>
        <w:rPr>
          <w:sz w:val="18"/>
        </w:rPr>
      </w:pPr>
      <w:r>
        <w:rPr>
          <w:position w:val="6"/>
          <w:sz w:val="18"/>
        </w:rPr>
        <w:t>1</w:t>
        <w:tab/>
      </w:r>
      <w:r>
        <w:rPr>
          <w:sz w:val="18"/>
        </w:rPr>
        <w:t>This refers to the right for the </w:t>
      </w:r>
      <w:r>
        <w:rPr>
          <w:i/>
          <w:sz w:val="18"/>
        </w:rPr>
        <w:t>Primary Transmission Network Service Providers </w:t>
      </w:r>
      <w:r>
        <w:rPr>
          <w:sz w:val="18"/>
        </w:rPr>
        <w:t>to charge an additional fee for the provision of this information to the </w:t>
      </w:r>
      <w:r>
        <w:rPr>
          <w:i/>
          <w:sz w:val="18"/>
        </w:rPr>
        <w:t>connection </w:t>
      </w:r>
      <w:r>
        <w:rPr>
          <w:sz w:val="18"/>
        </w:rPr>
        <w:t>enquiry under clause 5.3.2(g) and the </w:t>
      </w:r>
      <w:r>
        <w:rPr>
          <w:i/>
          <w:sz w:val="18"/>
        </w:rPr>
        <w:t>connection </w:t>
      </w:r>
      <w:r>
        <w:rPr>
          <w:sz w:val="18"/>
        </w:rPr>
        <w:t>application fee under clause 5.3.4.(b)(2).</w:t>
      </w:r>
    </w:p>
    <w:p>
      <w:pPr>
        <w:spacing w:after="0" w:line="264" w:lineRule="auto"/>
        <w:jc w:val="left"/>
        <w:rPr>
          <w:sz w:val="18"/>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7"/>
        <w:gridCol w:w="1478"/>
        <w:gridCol w:w="1478"/>
        <w:gridCol w:w="2937"/>
      </w:tblGrid>
      <w:tr>
        <w:trPr>
          <w:trHeight w:val="947" w:hRule="atLeast"/>
        </w:trPr>
        <w:tc>
          <w:tcPr>
            <w:tcW w:w="1477"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Information</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96"/>
              <w:rPr>
                <w:rFonts w:ascii="Arial"/>
                <w:b/>
                <w:sz w:val="24"/>
              </w:rPr>
            </w:pPr>
            <w:r>
              <w:rPr>
                <w:rFonts w:ascii="Arial"/>
                <w:b/>
                <w:sz w:val="24"/>
              </w:rPr>
              <w:t>Via website or direct enquiry</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42" w:lineRule="auto"/>
              <w:ind w:right="229"/>
              <w:rPr>
                <w:b/>
                <w:sz w:val="12"/>
              </w:rPr>
            </w:pPr>
            <w:r>
              <w:rPr>
                <w:rFonts w:ascii="Arial"/>
                <w:b/>
                <w:sz w:val="24"/>
              </w:rPr>
              <w:t>Additional fee</w:t>
            </w:r>
            <w:r>
              <w:rPr>
                <w:b/>
                <w:position w:val="11"/>
                <w:sz w:val="12"/>
              </w:rPr>
              <w:t>1</w:t>
            </w:r>
          </w:p>
        </w:tc>
        <w:tc>
          <w:tcPr>
            <w:tcW w:w="2937"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Comments</w:t>
            </w:r>
          </w:p>
        </w:tc>
      </w:tr>
      <w:tr>
        <w:trPr>
          <w:trHeight w:val="4931" w:hRule="atLeast"/>
        </w:trPr>
        <w:tc>
          <w:tcPr>
            <w:tcW w:w="1477"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2937" w:type="dxa"/>
            <w:tcBorders>
              <w:top w:val="single" w:sz="4" w:space="0" w:color="000000"/>
              <w:left w:val="single" w:sz="4" w:space="0" w:color="000000"/>
              <w:bottom w:val="single" w:sz="4" w:space="0" w:color="000000"/>
              <w:right w:val="single" w:sz="4" w:space="0" w:color="000000"/>
            </w:tcBorders>
          </w:tcPr>
          <w:p>
            <w:pPr>
              <w:pStyle w:val="TableParagraph"/>
              <w:spacing w:before="0"/>
              <w:ind w:left="1178"/>
              <w:rPr>
                <w:sz w:val="24"/>
              </w:rPr>
            </w:pPr>
            <w:r>
              <w:rPr>
                <w:sz w:val="24"/>
              </w:rPr>
              <w:t>and</w:t>
            </w:r>
          </w:p>
          <w:p>
            <w:pPr>
              <w:pStyle w:val="TableParagraph"/>
              <w:tabs>
                <w:tab w:pos="1178" w:val="left" w:leader="none"/>
              </w:tabs>
              <w:ind w:left="611"/>
              <w:rPr>
                <w:sz w:val="24"/>
              </w:rPr>
            </w:pPr>
            <w:r>
              <w:rPr>
                <w:sz w:val="24"/>
              </w:rPr>
              <w:t>(b)</w:t>
              <w:tab/>
              <w:t>references</w:t>
            </w:r>
            <w:r>
              <w:rPr>
                <w:spacing w:val="-1"/>
                <w:sz w:val="24"/>
              </w:rPr>
              <w:t> </w:t>
            </w:r>
            <w:r>
              <w:rPr>
                <w:sz w:val="24"/>
              </w:rPr>
              <w:t>to</w:t>
            </w:r>
          </w:p>
          <w:p>
            <w:pPr>
              <w:pStyle w:val="TableParagraph"/>
              <w:spacing w:before="0"/>
              <w:ind w:left="1178" w:right="39"/>
              <w:rPr>
                <w:sz w:val="24"/>
              </w:rPr>
            </w:pPr>
            <w:r>
              <w:rPr>
                <w:sz w:val="24"/>
              </w:rPr>
              <w:t>typical plant including primary and secondary equipment so </w:t>
            </w:r>
            <w:r>
              <w:rPr>
                <w:spacing w:val="-4"/>
                <w:sz w:val="24"/>
              </w:rPr>
              <w:t>that </w:t>
            </w:r>
            <w:r>
              <w:rPr>
                <w:sz w:val="24"/>
              </w:rPr>
              <w:t>the detailed design will interface to the existing </w:t>
            </w:r>
            <w:r>
              <w:rPr>
                <w:i/>
                <w:sz w:val="24"/>
              </w:rPr>
              <w:t>network </w:t>
            </w:r>
            <w:r>
              <w:rPr>
                <w:sz w:val="24"/>
              </w:rPr>
              <w:t>and be able to be adopted by the </w:t>
            </w:r>
            <w:r>
              <w:rPr>
                <w:i/>
                <w:sz w:val="24"/>
              </w:rPr>
              <w:t>Primary </w:t>
            </w:r>
            <w:r>
              <w:rPr>
                <w:i/>
                <w:sz w:val="24"/>
              </w:rPr>
              <w:t>Transmission Network Service Provider</w:t>
            </w:r>
            <w:r>
              <w:rPr>
                <w:sz w:val="24"/>
              </w:rPr>
              <w:t>.</w:t>
            </w:r>
          </w:p>
        </w:tc>
      </w:tr>
      <w:tr>
        <w:trPr>
          <w:trHeight w:val="515" w:hRule="atLeast"/>
        </w:trPr>
        <w:tc>
          <w:tcPr>
            <w:tcW w:w="7370" w:type="dxa"/>
            <w:gridSpan w:val="4"/>
            <w:tcBorders>
              <w:top w:val="single" w:sz="4" w:space="0" w:color="000000"/>
              <w:bottom w:val="single" w:sz="4" w:space="0" w:color="000000"/>
              <w:right w:val="single" w:sz="4" w:space="0" w:color="000000"/>
            </w:tcBorders>
          </w:tcPr>
          <w:p>
            <w:pPr>
              <w:pStyle w:val="TableParagraph"/>
              <w:ind w:left="40"/>
              <w:rPr>
                <w:b/>
                <w:sz w:val="24"/>
              </w:rPr>
            </w:pPr>
            <w:r>
              <w:rPr>
                <w:b/>
                <w:sz w:val="24"/>
              </w:rPr>
              <w:t>Operation and maintenance</w:t>
            </w:r>
          </w:p>
        </w:tc>
      </w:tr>
      <w:tr>
        <w:trPr>
          <w:trHeight w:val="3275" w:hRule="atLeast"/>
        </w:trPr>
        <w:tc>
          <w:tcPr>
            <w:tcW w:w="1477" w:type="dxa"/>
            <w:tcBorders>
              <w:top w:val="single" w:sz="4" w:space="0" w:color="000000"/>
              <w:bottom w:val="single" w:sz="4" w:space="0" w:color="000000"/>
              <w:right w:val="single" w:sz="4" w:space="0" w:color="000000"/>
            </w:tcBorders>
          </w:tcPr>
          <w:p>
            <w:pPr>
              <w:pStyle w:val="TableParagraph"/>
              <w:ind w:left="40" w:right="89"/>
              <w:rPr>
                <w:sz w:val="24"/>
              </w:rPr>
            </w:pPr>
            <w:r>
              <w:rPr>
                <w:sz w:val="24"/>
              </w:rPr>
              <w:t>Typical operation and maintenance scheduling</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tcBorders>
              <w:top w:val="single" w:sz="4" w:space="0" w:color="000000"/>
              <w:left w:val="single" w:sz="4" w:space="0" w:color="000000"/>
              <w:bottom w:val="single" w:sz="4" w:space="0" w:color="000000"/>
              <w:right w:val="single" w:sz="4" w:space="0" w:color="000000"/>
            </w:tcBorders>
          </w:tcPr>
          <w:p>
            <w:pPr>
              <w:pStyle w:val="TableParagraph"/>
              <w:ind w:left="44" w:right="50"/>
              <w:rPr>
                <w:sz w:val="24"/>
              </w:rPr>
            </w:pPr>
            <w:r>
              <w:rPr>
                <w:sz w:val="24"/>
              </w:rPr>
              <w:t>Operation and maintenance intervals for specific items of </w:t>
            </w:r>
            <w:r>
              <w:rPr>
                <w:i/>
                <w:sz w:val="24"/>
              </w:rPr>
              <w:t>plant </w:t>
            </w:r>
            <w:r>
              <w:rPr>
                <w:sz w:val="24"/>
              </w:rPr>
              <w:t>used regularly by the </w:t>
            </w:r>
            <w:r>
              <w:rPr>
                <w:i/>
                <w:sz w:val="24"/>
              </w:rPr>
              <w:t>Primary Transmission </w:t>
            </w:r>
            <w:r>
              <w:rPr>
                <w:i/>
                <w:sz w:val="24"/>
              </w:rPr>
              <w:t>Network Service Provider </w:t>
            </w:r>
            <w:r>
              <w:rPr>
                <w:sz w:val="24"/>
              </w:rPr>
              <w:t>must be published. These are routine activities irrespective of whether assets are unregulated or regulated and should be in line with </w:t>
            </w:r>
            <w:r>
              <w:rPr>
                <w:i/>
                <w:sz w:val="24"/>
              </w:rPr>
              <w:t>good </w:t>
            </w:r>
            <w:r>
              <w:rPr>
                <w:i/>
                <w:sz w:val="24"/>
              </w:rPr>
              <w:t>electricity industry practice</w:t>
            </w:r>
            <w:r>
              <w:rPr>
                <w:sz w:val="24"/>
              </w:rPr>
              <w:t>.</w:t>
            </w:r>
          </w:p>
        </w:tc>
      </w:tr>
      <w:tr>
        <w:trPr>
          <w:trHeight w:val="515" w:hRule="atLeast"/>
        </w:trPr>
        <w:tc>
          <w:tcPr>
            <w:tcW w:w="7370" w:type="dxa"/>
            <w:gridSpan w:val="4"/>
            <w:tcBorders>
              <w:top w:val="single" w:sz="4" w:space="0" w:color="000000"/>
              <w:bottom w:val="single" w:sz="4" w:space="0" w:color="000000"/>
              <w:right w:val="single" w:sz="4" w:space="0" w:color="000000"/>
            </w:tcBorders>
          </w:tcPr>
          <w:p>
            <w:pPr>
              <w:pStyle w:val="TableParagraph"/>
              <w:ind w:left="40"/>
              <w:rPr>
                <w:b/>
                <w:sz w:val="24"/>
              </w:rPr>
            </w:pPr>
            <w:r>
              <w:rPr>
                <w:b/>
                <w:sz w:val="24"/>
              </w:rPr>
              <w:t>Timescales</w:t>
            </w:r>
          </w:p>
        </w:tc>
      </w:tr>
      <w:tr>
        <w:trPr>
          <w:trHeight w:val="2447" w:hRule="atLeast"/>
        </w:trPr>
        <w:tc>
          <w:tcPr>
            <w:tcW w:w="1477" w:type="dxa"/>
            <w:tcBorders>
              <w:top w:val="single" w:sz="4" w:space="0" w:color="000000"/>
              <w:bottom w:val="single" w:sz="4" w:space="0" w:color="000000"/>
              <w:right w:val="single" w:sz="4" w:space="0" w:color="000000"/>
            </w:tcBorders>
          </w:tcPr>
          <w:p>
            <w:pPr>
              <w:pStyle w:val="TableParagraph"/>
              <w:ind w:left="40" w:right="102"/>
              <w:rPr>
                <w:sz w:val="24"/>
              </w:rPr>
            </w:pPr>
            <w:r>
              <w:rPr>
                <w:sz w:val="24"/>
              </w:rPr>
              <w:t>Easement acquisition (site specific)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Yes</w:t>
            </w:r>
          </w:p>
        </w:tc>
        <w:tc>
          <w:tcPr>
            <w:tcW w:w="2937" w:type="dxa"/>
            <w:tcBorders>
              <w:top w:val="single" w:sz="4" w:space="0" w:color="000000"/>
              <w:left w:val="single" w:sz="4" w:space="0" w:color="000000"/>
              <w:bottom w:val="single" w:sz="4" w:space="0" w:color="000000"/>
              <w:right w:val="single" w:sz="4" w:space="0" w:color="000000"/>
            </w:tcBorders>
          </w:tcPr>
          <w:p>
            <w:pPr>
              <w:pStyle w:val="TableParagraph"/>
              <w:ind w:left="44" w:right="150"/>
              <w:rPr>
                <w:sz w:val="24"/>
              </w:rPr>
            </w:pPr>
            <w:r>
              <w:rPr>
                <w:sz w:val="24"/>
              </w:rPr>
              <w:t>Site specific timescales may be discussed and negotiated on a project by project basis as part of the </w:t>
            </w:r>
            <w:r>
              <w:rPr>
                <w:i/>
                <w:sz w:val="24"/>
              </w:rPr>
              <w:t>connection </w:t>
            </w:r>
            <w:r>
              <w:rPr>
                <w:i/>
                <w:sz w:val="24"/>
              </w:rPr>
              <w:t>enquiry </w:t>
            </w:r>
            <w:r>
              <w:rPr>
                <w:sz w:val="24"/>
              </w:rPr>
              <w:t>/ </w:t>
            </w:r>
            <w:r>
              <w:rPr>
                <w:i/>
                <w:sz w:val="24"/>
              </w:rPr>
              <w:t>connection </w:t>
            </w:r>
            <w:r>
              <w:rPr>
                <w:i/>
                <w:sz w:val="24"/>
              </w:rPr>
              <w:t>application </w:t>
            </w:r>
            <w:r>
              <w:rPr>
                <w:sz w:val="24"/>
              </w:rPr>
              <w:t>process if the </w:t>
            </w:r>
            <w:r>
              <w:rPr>
                <w:i/>
                <w:sz w:val="24"/>
              </w:rPr>
              <w:t>Connection Applicant </w:t>
            </w:r>
            <w:r>
              <w:rPr>
                <w:sz w:val="24"/>
              </w:rPr>
              <w:t>requests it at their election.</w:t>
            </w:r>
          </w:p>
        </w:tc>
      </w:tr>
      <w:tr>
        <w:trPr>
          <w:trHeight w:val="791" w:hRule="atLeast"/>
        </w:trPr>
        <w:tc>
          <w:tcPr>
            <w:tcW w:w="1477" w:type="dxa"/>
            <w:tcBorders>
              <w:top w:val="single" w:sz="4" w:space="0" w:color="000000"/>
              <w:bottom w:val="single" w:sz="4" w:space="0" w:color="000000"/>
              <w:right w:val="single" w:sz="4" w:space="0" w:color="000000"/>
            </w:tcBorders>
          </w:tcPr>
          <w:p>
            <w:pPr>
              <w:pStyle w:val="TableParagraph"/>
              <w:ind w:left="40" w:right="108"/>
              <w:rPr>
                <w:sz w:val="24"/>
              </w:rPr>
            </w:pPr>
            <w:r>
              <w:rPr>
                <w:sz w:val="24"/>
              </w:rPr>
              <w:t>Commission- ing (generic)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tcBorders>
              <w:top w:val="single" w:sz="4" w:space="0" w:color="000000"/>
              <w:left w:val="single" w:sz="4" w:space="0" w:color="000000"/>
              <w:bottom w:val="single" w:sz="4" w:space="0" w:color="000000"/>
              <w:right w:val="single" w:sz="4" w:space="0" w:color="000000"/>
            </w:tcBorders>
          </w:tcPr>
          <w:p>
            <w:pPr>
              <w:pStyle w:val="TableParagraph"/>
              <w:ind w:left="44" w:right="230"/>
              <w:rPr>
                <w:sz w:val="24"/>
              </w:rPr>
            </w:pPr>
            <w:r>
              <w:rPr>
                <w:sz w:val="24"/>
              </w:rPr>
              <w:t>Generic timescales must be published.</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7"/>
        <w:gridCol w:w="1478"/>
        <w:gridCol w:w="1478"/>
        <w:gridCol w:w="2937"/>
      </w:tblGrid>
      <w:tr>
        <w:trPr>
          <w:trHeight w:val="947" w:hRule="atLeast"/>
        </w:trPr>
        <w:tc>
          <w:tcPr>
            <w:tcW w:w="1477"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Information</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96"/>
              <w:rPr>
                <w:rFonts w:ascii="Arial"/>
                <w:b/>
                <w:sz w:val="24"/>
              </w:rPr>
            </w:pPr>
            <w:r>
              <w:rPr>
                <w:rFonts w:ascii="Arial"/>
                <w:b/>
                <w:sz w:val="24"/>
              </w:rPr>
              <w:t>Via website or direct enquiry</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42" w:lineRule="auto"/>
              <w:ind w:right="229"/>
              <w:rPr>
                <w:b/>
                <w:sz w:val="12"/>
              </w:rPr>
            </w:pPr>
            <w:r>
              <w:rPr>
                <w:rFonts w:ascii="Arial"/>
                <w:b/>
                <w:sz w:val="24"/>
              </w:rPr>
              <w:t>Additional fee</w:t>
            </w:r>
            <w:r>
              <w:rPr>
                <w:b/>
                <w:position w:val="11"/>
                <w:sz w:val="12"/>
              </w:rPr>
              <w:t>1</w:t>
            </w:r>
          </w:p>
        </w:tc>
        <w:tc>
          <w:tcPr>
            <w:tcW w:w="2937"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Comments</w:t>
            </w:r>
          </w:p>
        </w:tc>
      </w:tr>
      <w:tr>
        <w:trPr>
          <w:trHeight w:val="2171" w:hRule="atLeast"/>
        </w:trPr>
        <w:tc>
          <w:tcPr>
            <w:tcW w:w="1477" w:type="dxa"/>
            <w:tcBorders>
              <w:top w:val="single" w:sz="4" w:space="0" w:color="000000"/>
              <w:bottom w:val="single" w:sz="4" w:space="0" w:color="000000"/>
              <w:right w:val="single" w:sz="4" w:space="0" w:color="000000"/>
            </w:tcBorders>
          </w:tcPr>
          <w:p>
            <w:pPr>
              <w:pStyle w:val="TableParagraph"/>
              <w:ind w:left="40" w:right="108"/>
              <w:rPr>
                <w:sz w:val="24"/>
              </w:rPr>
            </w:pPr>
            <w:r>
              <w:rPr>
                <w:sz w:val="24"/>
              </w:rPr>
              <w:t>Commission- ing (site specific)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Yes</w:t>
            </w:r>
          </w:p>
        </w:tc>
        <w:tc>
          <w:tcPr>
            <w:tcW w:w="2937" w:type="dxa"/>
            <w:tcBorders>
              <w:top w:val="single" w:sz="4" w:space="0" w:color="000000"/>
              <w:left w:val="single" w:sz="4" w:space="0" w:color="000000"/>
              <w:bottom w:val="single" w:sz="4" w:space="0" w:color="000000"/>
              <w:right w:val="single" w:sz="4" w:space="0" w:color="000000"/>
            </w:tcBorders>
          </w:tcPr>
          <w:p>
            <w:pPr>
              <w:pStyle w:val="TableParagraph"/>
              <w:ind w:left="44" w:right="150"/>
              <w:rPr>
                <w:sz w:val="24"/>
              </w:rPr>
            </w:pPr>
            <w:r>
              <w:rPr>
                <w:sz w:val="24"/>
              </w:rPr>
              <w:t>Site specific timescales may be provided as part of the </w:t>
            </w:r>
            <w:r>
              <w:rPr>
                <w:i/>
                <w:sz w:val="24"/>
              </w:rPr>
              <w:t>connection enquiry </w:t>
            </w:r>
            <w:r>
              <w:rPr>
                <w:sz w:val="24"/>
              </w:rPr>
              <w:t>/ </w:t>
            </w:r>
            <w:r>
              <w:rPr>
                <w:i/>
                <w:sz w:val="24"/>
              </w:rPr>
              <w:t>connection application </w:t>
            </w:r>
            <w:r>
              <w:rPr>
                <w:sz w:val="24"/>
              </w:rPr>
              <w:t>process if the </w:t>
            </w:r>
            <w:r>
              <w:rPr>
                <w:i/>
                <w:sz w:val="24"/>
              </w:rPr>
              <w:t>Connection </w:t>
            </w:r>
            <w:r>
              <w:rPr>
                <w:i/>
                <w:sz w:val="24"/>
              </w:rPr>
              <w:t>Applicant </w:t>
            </w:r>
            <w:r>
              <w:rPr>
                <w:sz w:val="24"/>
              </w:rPr>
              <w:t>requests it at their election.</w:t>
            </w:r>
          </w:p>
        </w:tc>
      </w:tr>
      <w:tr>
        <w:trPr>
          <w:trHeight w:val="515" w:hRule="atLeast"/>
        </w:trPr>
        <w:tc>
          <w:tcPr>
            <w:tcW w:w="7370" w:type="dxa"/>
            <w:gridSpan w:val="4"/>
            <w:tcBorders>
              <w:top w:val="single" w:sz="4" w:space="0" w:color="000000"/>
              <w:bottom w:val="single" w:sz="4" w:space="0" w:color="000000"/>
              <w:right w:val="single" w:sz="4" w:space="0" w:color="000000"/>
            </w:tcBorders>
          </w:tcPr>
          <w:p>
            <w:pPr>
              <w:pStyle w:val="TableParagraph"/>
              <w:ind w:left="40"/>
              <w:rPr>
                <w:b/>
                <w:sz w:val="24"/>
              </w:rPr>
            </w:pPr>
            <w:r>
              <w:rPr>
                <w:b/>
                <w:sz w:val="24"/>
              </w:rPr>
              <w:t>Legal</w:t>
            </w: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309"/>
              <w:rPr>
                <w:sz w:val="24"/>
              </w:rPr>
            </w:pPr>
            <w:r>
              <w:rPr>
                <w:sz w:val="24"/>
              </w:rPr>
              <w:t>Standard connection agreements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val="restart"/>
            <w:tcBorders>
              <w:top w:val="single" w:sz="4" w:space="0" w:color="000000"/>
              <w:left w:val="single" w:sz="4" w:space="0" w:color="000000"/>
              <w:bottom w:val="single" w:sz="4" w:space="0" w:color="000000"/>
              <w:right w:val="single" w:sz="4" w:space="0" w:color="000000"/>
            </w:tcBorders>
          </w:tcPr>
          <w:p>
            <w:pPr>
              <w:pStyle w:val="TableParagraph"/>
              <w:ind w:left="44" w:right="224"/>
              <w:rPr>
                <w:sz w:val="24"/>
              </w:rPr>
            </w:pPr>
            <w:r>
              <w:rPr>
                <w:sz w:val="24"/>
              </w:rPr>
              <w:t>Standard forms of these agreements and deeds to be published.</w:t>
            </w:r>
          </w:p>
          <w:p>
            <w:pPr>
              <w:pStyle w:val="TableParagraph"/>
              <w:ind w:left="44" w:right="63"/>
              <w:rPr>
                <w:sz w:val="24"/>
              </w:rPr>
            </w:pPr>
            <w:r>
              <w:rPr>
                <w:sz w:val="24"/>
              </w:rPr>
              <w:t>The standard form construction agreement must cover the construction of any interface works.</w:t>
            </w:r>
          </w:p>
          <w:p>
            <w:pPr>
              <w:pStyle w:val="TableParagraph"/>
              <w:ind w:left="44" w:right="210"/>
              <w:rPr>
                <w:sz w:val="24"/>
              </w:rPr>
            </w:pPr>
            <w:r>
              <w:rPr>
                <w:sz w:val="24"/>
              </w:rPr>
              <w:t>The standard form </w:t>
            </w:r>
            <w:r>
              <w:rPr>
                <w:i/>
                <w:sz w:val="24"/>
              </w:rPr>
              <w:t>connection agreement </w:t>
            </w:r>
            <w:r>
              <w:rPr>
                <w:sz w:val="24"/>
              </w:rPr>
              <w:t>must cover the </w:t>
            </w:r>
            <w:r>
              <w:rPr>
                <w:i/>
                <w:sz w:val="24"/>
              </w:rPr>
              <w:t>connection </w:t>
            </w:r>
            <w:r>
              <w:rPr>
                <w:sz w:val="24"/>
              </w:rPr>
              <w:t>of the asset to the </w:t>
            </w:r>
            <w:r>
              <w:rPr>
                <w:i/>
                <w:sz w:val="24"/>
              </w:rPr>
              <w:t>transmission </w:t>
            </w:r>
            <w:r>
              <w:rPr>
                <w:sz w:val="24"/>
              </w:rPr>
              <w:t>network.</w:t>
            </w:r>
          </w:p>
          <w:p>
            <w:pPr>
              <w:pStyle w:val="TableParagraph"/>
              <w:ind w:left="44" w:right="191"/>
              <w:rPr>
                <w:sz w:val="24"/>
              </w:rPr>
            </w:pPr>
            <w:r>
              <w:rPr>
                <w:sz w:val="24"/>
              </w:rPr>
              <w:t>The standard form </w:t>
            </w:r>
            <w:r>
              <w:rPr>
                <w:i/>
                <w:sz w:val="24"/>
              </w:rPr>
              <w:t>network </w:t>
            </w:r>
            <w:r>
              <w:rPr>
                <w:i/>
                <w:sz w:val="24"/>
              </w:rPr>
              <w:t>operating agreement </w:t>
            </w:r>
            <w:r>
              <w:rPr>
                <w:sz w:val="24"/>
              </w:rPr>
              <w:t>must cover those aspects referred to in clause 5.2.7(b).</w:t>
            </w:r>
          </w:p>
        </w:tc>
      </w:tr>
      <w:tr>
        <w:trPr>
          <w:trHeight w:val="1343" w:hRule="atLeast"/>
        </w:trPr>
        <w:tc>
          <w:tcPr>
            <w:tcW w:w="1477" w:type="dxa"/>
            <w:tcBorders>
              <w:top w:val="single" w:sz="4" w:space="0" w:color="000000"/>
              <w:bottom w:val="single" w:sz="4" w:space="0" w:color="000000"/>
              <w:right w:val="single" w:sz="4" w:space="0" w:color="000000"/>
            </w:tcBorders>
          </w:tcPr>
          <w:p>
            <w:pPr>
              <w:pStyle w:val="TableParagraph"/>
              <w:ind w:left="40" w:right="420"/>
              <w:jc w:val="both"/>
              <w:rPr>
                <w:sz w:val="24"/>
              </w:rPr>
            </w:pPr>
            <w:r>
              <w:rPr>
                <w:sz w:val="24"/>
              </w:rPr>
              <w:t>Standard network operating agreement</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619" w:hRule="atLeast"/>
        </w:trPr>
        <w:tc>
          <w:tcPr>
            <w:tcW w:w="1477" w:type="dxa"/>
            <w:tcBorders>
              <w:top w:val="single" w:sz="4" w:space="0" w:color="000000"/>
              <w:bottom w:val="single" w:sz="4" w:space="0" w:color="000000"/>
              <w:right w:val="single" w:sz="4" w:space="0" w:color="000000"/>
            </w:tcBorders>
          </w:tcPr>
          <w:p>
            <w:pPr>
              <w:pStyle w:val="TableParagraph"/>
              <w:ind w:left="40" w:right="215"/>
              <w:rPr>
                <w:sz w:val="24"/>
              </w:rPr>
            </w:pPr>
            <w:r>
              <w:rPr>
                <w:sz w:val="24"/>
              </w:rPr>
              <w:t>Standard interface works construction agreements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442"/>
              <w:rPr>
                <w:sz w:val="24"/>
              </w:rPr>
            </w:pPr>
            <w:r>
              <w:rPr>
                <w:sz w:val="24"/>
              </w:rPr>
              <w:t>Standard relocation deeds</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69"/>
              <w:rPr>
                <w:sz w:val="24"/>
              </w:rPr>
            </w:pPr>
            <w:r>
              <w:rPr>
                <w:sz w:val="24"/>
              </w:rPr>
              <w:t>Environment- al approvals (generic)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val="restart"/>
            <w:tcBorders>
              <w:top w:val="single" w:sz="4" w:space="0" w:color="000000"/>
              <w:left w:val="single" w:sz="4" w:space="0" w:color="000000"/>
              <w:bottom w:val="single" w:sz="4" w:space="0" w:color="000000"/>
              <w:right w:val="single" w:sz="4" w:space="0" w:color="000000"/>
            </w:tcBorders>
          </w:tcPr>
          <w:p>
            <w:pPr>
              <w:pStyle w:val="TableParagraph"/>
              <w:ind w:left="44" w:right="257"/>
              <w:rPr>
                <w:sz w:val="24"/>
              </w:rPr>
            </w:pPr>
            <w:r>
              <w:rPr>
                <w:sz w:val="24"/>
              </w:rPr>
              <w:t>Standard forms or lists of required approvals must be published.</w:t>
            </w:r>
          </w:p>
          <w:p>
            <w:pPr>
              <w:pStyle w:val="TableParagraph"/>
              <w:ind w:left="44" w:right="17"/>
              <w:rPr>
                <w:sz w:val="24"/>
              </w:rPr>
            </w:pPr>
            <w:r>
              <w:rPr>
                <w:sz w:val="24"/>
              </w:rPr>
              <w:t>Site specific information may be provided as part of the </w:t>
            </w:r>
            <w:r>
              <w:rPr>
                <w:i/>
                <w:sz w:val="24"/>
              </w:rPr>
              <w:t>connection enquiry </w:t>
            </w:r>
            <w:r>
              <w:rPr>
                <w:sz w:val="24"/>
              </w:rPr>
              <w:t>/ </w:t>
            </w:r>
            <w:r>
              <w:rPr>
                <w:i/>
                <w:sz w:val="24"/>
              </w:rPr>
              <w:t>connection application </w:t>
            </w:r>
            <w:r>
              <w:rPr>
                <w:sz w:val="24"/>
              </w:rPr>
              <w:t>process if </w:t>
            </w:r>
            <w:r>
              <w:rPr>
                <w:i/>
                <w:sz w:val="24"/>
              </w:rPr>
              <w:t>Connection </w:t>
            </w:r>
            <w:r>
              <w:rPr>
                <w:i/>
                <w:sz w:val="24"/>
              </w:rPr>
              <w:t>Applicant </w:t>
            </w:r>
            <w:r>
              <w:rPr>
                <w:sz w:val="24"/>
              </w:rPr>
              <w:t>requests it at their election.</w:t>
            </w: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69"/>
              <w:rPr>
                <w:sz w:val="24"/>
              </w:rPr>
            </w:pPr>
            <w:r>
              <w:rPr>
                <w:sz w:val="24"/>
              </w:rPr>
              <w:t>Environment- al approvals (site specific)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Yes</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109"/>
              <w:rPr>
                <w:sz w:val="24"/>
              </w:rPr>
            </w:pPr>
            <w:r>
              <w:rPr>
                <w:sz w:val="24"/>
              </w:rPr>
              <w:t>Development approvals (generic)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1067" w:hRule="atLeast"/>
        </w:trPr>
        <w:tc>
          <w:tcPr>
            <w:tcW w:w="1477" w:type="dxa"/>
            <w:tcBorders>
              <w:top w:val="single" w:sz="4" w:space="0" w:color="000000"/>
              <w:bottom w:val="single" w:sz="4" w:space="0" w:color="000000"/>
              <w:right w:val="single" w:sz="4" w:space="0" w:color="000000"/>
            </w:tcBorders>
          </w:tcPr>
          <w:p>
            <w:pPr>
              <w:pStyle w:val="TableParagraph"/>
              <w:ind w:left="40" w:right="102"/>
              <w:rPr>
                <w:sz w:val="24"/>
              </w:rPr>
            </w:pPr>
            <w:r>
              <w:rPr>
                <w:sz w:val="24"/>
              </w:rPr>
              <w:t>Development approvals (site specific)</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Yes</w:t>
            </w:r>
          </w:p>
        </w:tc>
        <w:tc>
          <w:tcPr>
            <w:tcW w:w="2937" w:type="dxa"/>
            <w:vMerge/>
            <w:tcBorders>
              <w:top w:val="nil"/>
              <w:left w:val="single" w:sz="4" w:space="0" w:color="000000"/>
              <w:bottom w:val="single" w:sz="4" w:space="0" w:color="000000"/>
              <w:right w:val="single" w:sz="4" w:space="0" w:color="000000"/>
            </w:tcBorders>
          </w:tcPr>
          <w:p>
            <w:pPr>
              <w:rPr>
                <w:sz w:val="2"/>
                <w:szCs w:val="2"/>
              </w:rPr>
            </w:pPr>
          </w:p>
        </w:tc>
      </w:tr>
      <w:tr>
        <w:trPr>
          <w:trHeight w:val="515" w:hRule="atLeast"/>
        </w:trPr>
        <w:tc>
          <w:tcPr>
            <w:tcW w:w="7370" w:type="dxa"/>
            <w:gridSpan w:val="4"/>
            <w:tcBorders>
              <w:top w:val="single" w:sz="4" w:space="0" w:color="000000"/>
              <w:bottom w:val="single" w:sz="4" w:space="0" w:color="000000"/>
              <w:right w:val="single" w:sz="4" w:space="0" w:color="000000"/>
            </w:tcBorders>
          </w:tcPr>
          <w:p>
            <w:pPr>
              <w:pStyle w:val="TableParagraph"/>
              <w:ind w:left="40"/>
              <w:rPr>
                <w:b/>
                <w:sz w:val="24"/>
              </w:rPr>
            </w:pPr>
            <w:r>
              <w:rPr>
                <w:b/>
                <w:sz w:val="24"/>
              </w:rPr>
              <w:t>Financial</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7"/>
        <w:gridCol w:w="1478"/>
        <w:gridCol w:w="1478"/>
        <w:gridCol w:w="2937"/>
      </w:tblGrid>
      <w:tr>
        <w:trPr>
          <w:trHeight w:val="947" w:hRule="atLeast"/>
        </w:trPr>
        <w:tc>
          <w:tcPr>
            <w:tcW w:w="1477"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Information</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96"/>
              <w:rPr>
                <w:rFonts w:ascii="Arial"/>
                <w:b/>
                <w:sz w:val="24"/>
              </w:rPr>
            </w:pPr>
            <w:r>
              <w:rPr>
                <w:rFonts w:ascii="Arial"/>
                <w:b/>
                <w:sz w:val="24"/>
              </w:rPr>
              <w:t>Via website or direct enquiry</w:t>
            </w:r>
          </w:p>
        </w:tc>
        <w:tc>
          <w:tcPr>
            <w:tcW w:w="1478" w:type="dxa"/>
            <w:tcBorders>
              <w:left w:val="single" w:sz="4" w:space="0" w:color="000000"/>
              <w:bottom w:val="single" w:sz="4" w:space="0" w:color="000000"/>
              <w:right w:val="single" w:sz="4" w:space="0" w:color="000000"/>
            </w:tcBorders>
            <w:shd w:val="clear" w:color="auto" w:fill="D9D9D9"/>
          </w:tcPr>
          <w:p>
            <w:pPr>
              <w:pStyle w:val="TableParagraph"/>
              <w:spacing w:line="242" w:lineRule="auto"/>
              <w:ind w:right="229"/>
              <w:rPr>
                <w:b/>
                <w:sz w:val="12"/>
              </w:rPr>
            </w:pPr>
            <w:r>
              <w:rPr>
                <w:rFonts w:ascii="Arial"/>
                <w:b/>
                <w:sz w:val="24"/>
              </w:rPr>
              <w:t>Additional fee</w:t>
            </w:r>
            <w:r>
              <w:rPr>
                <w:b/>
                <w:position w:val="11"/>
                <w:sz w:val="12"/>
              </w:rPr>
              <w:t>1</w:t>
            </w:r>
          </w:p>
        </w:tc>
        <w:tc>
          <w:tcPr>
            <w:tcW w:w="2937"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Comments</w:t>
            </w:r>
          </w:p>
        </w:tc>
      </w:tr>
      <w:tr>
        <w:trPr>
          <w:trHeight w:val="2175" w:hRule="atLeast"/>
        </w:trPr>
        <w:tc>
          <w:tcPr>
            <w:tcW w:w="1477" w:type="dxa"/>
            <w:tcBorders>
              <w:top w:val="single" w:sz="4" w:space="0" w:color="000000"/>
              <w:bottom w:val="single" w:sz="4" w:space="0" w:color="000000"/>
              <w:right w:val="single" w:sz="4" w:space="0" w:color="000000"/>
            </w:tcBorders>
          </w:tcPr>
          <w:p>
            <w:pPr>
              <w:pStyle w:val="TableParagraph"/>
              <w:ind w:left="40" w:right="142"/>
              <w:rPr>
                <w:sz w:val="12"/>
              </w:rPr>
            </w:pPr>
            <w:r>
              <w:rPr>
                <w:sz w:val="24"/>
              </w:rPr>
              <w:t>Amount and terms and conditions of the connection application charge</w:t>
            </w:r>
            <w:r>
              <w:rPr>
                <w:position w:val="11"/>
                <w:sz w:val="12"/>
              </w:rPr>
              <w:t>2</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Website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w:t>
            </w:r>
          </w:p>
        </w:tc>
        <w:tc>
          <w:tcPr>
            <w:tcW w:w="2937" w:type="dxa"/>
            <w:tcBorders>
              <w:top w:val="single" w:sz="4" w:space="0" w:color="000000"/>
              <w:left w:val="single" w:sz="4" w:space="0" w:color="000000"/>
              <w:bottom w:val="single" w:sz="4" w:space="0" w:color="000000"/>
              <w:right w:val="single" w:sz="4" w:space="0" w:color="000000"/>
            </w:tcBorders>
          </w:tcPr>
          <w:p>
            <w:pPr>
              <w:pStyle w:val="TableParagraph"/>
              <w:ind w:left="44" w:right="203"/>
              <w:rPr>
                <w:sz w:val="24"/>
              </w:rPr>
            </w:pPr>
            <w:r>
              <w:rPr>
                <w:sz w:val="24"/>
              </w:rPr>
              <w:t>A guide to the structure of the application fee under clause 5.3.4, and the terms and conditions under which the charge is paid, must be published.</w:t>
            </w:r>
          </w:p>
        </w:tc>
      </w:tr>
      <w:tr>
        <w:trPr>
          <w:trHeight w:val="3395" w:hRule="atLeast"/>
        </w:trPr>
        <w:tc>
          <w:tcPr>
            <w:tcW w:w="1477" w:type="dxa"/>
            <w:tcBorders>
              <w:top w:val="single" w:sz="4" w:space="0" w:color="000000"/>
              <w:right w:val="single" w:sz="4" w:space="0" w:color="000000"/>
            </w:tcBorders>
          </w:tcPr>
          <w:p>
            <w:pPr>
              <w:pStyle w:val="TableParagraph"/>
              <w:ind w:left="40" w:right="22"/>
              <w:rPr>
                <w:sz w:val="24"/>
              </w:rPr>
            </w:pPr>
            <w:r>
              <w:rPr>
                <w:sz w:val="24"/>
              </w:rPr>
              <w:t>Relocation of existing assets</w:t>
            </w:r>
          </w:p>
        </w:tc>
        <w:tc>
          <w:tcPr>
            <w:tcW w:w="1478" w:type="dxa"/>
            <w:tcBorders>
              <w:top w:val="single" w:sz="4" w:space="0" w:color="000000"/>
              <w:left w:val="single" w:sz="4" w:space="0" w:color="000000"/>
              <w:right w:val="single" w:sz="4" w:space="0" w:color="000000"/>
            </w:tcBorders>
          </w:tcPr>
          <w:p>
            <w:pPr>
              <w:pStyle w:val="TableParagraph"/>
              <w:ind w:left="44"/>
              <w:rPr>
                <w:sz w:val="24"/>
              </w:rPr>
            </w:pPr>
            <w:r>
              <w:rPr>
                <w:sz w:val="24"/>
              </w:rPr>
              <w:t>Direct enquiry</w:t>
            </w:r>
          </w:p>
        </w:tc>
        <w:tc>
          <w:tcPr>
            <w:tcW w:w="1478" w:type="dxa"/>
            <w:tcBorders>
              <w:top w:val="single" w:sz="4" w:space="0" w:color="000000"/>
              <w:left w:val="single" w:sz="4" w:space="0" w:color="000000"/>
              <w:right w:val="single" w:sz="4" w:space="0" w:color="000000"/>
            </w:tcBorders>
          </w:tcPr>
          <w:p>
            <w:pPr>
              <w:pStyle w:val="TableParagraph"/>
              <w:rPr>
                <w:sz w:val="24"/>
              </w:rPr>
            </w:pPr>
            <w:r>
              <w:rPr>
                <w:sz w:val="24"/>
              </w:rPr>
              <w:t>Yes</w:t>
            </w:r>
          </w:p>
        </w:tc>
        <w:tc>
          <w:tcPr>
            <w:tcW w:w="2937" w:type="dxa"/>
            <w:tcBorders>
              <w:top w:val="single" w:sz="4" w:space="0" w:color="000000"/>
              <w:left w:val="single" w:sz="4" w:space="0" w:color="000000"/>
              <w:right w:val="single" w:sz="4" w:space="0" w:color="000000"/>
            </w:tcBorders>
          </w:tcPr>
          <w:p>
            <w:pPr>
              <w:pStyle w:val="TableParagraph"/>
              <w:ind w:left="44" w:right="103"/>
              <w:rPr>
                <w:sz w:val="24"/>
              </w:rPr>
            </w:pPr>
            <w:r>
              <w:rPr>
                <w:sz w:val="24"/>
              </w:rPr>
              <w:t>Specific information about relocation of existing assets may be provided by the </w:t>
            </w:r>
            <w:r>
              <w:rPr>
                <w:i/>
                <w:sz w:val="24"/>
              </w:rPr>
              <w:t>Primary Transmission </w:t>
            </w:r>
            <w:r>
              <w:rPr>
                <w:i/>
                <w:sz w:val="24"/>
              </w:rPr>
              <w:t>Network Service Provider</w:t>
            </w:r>
            <w:r>
              <w:rPr>
                <w:sz w:val="24"/>
              </w:rPr>
              <w:t>, if the </w:t>
            </w:r>
            <w:r>
              <w:rPr>
                <w:i/>
                <w:sz w:val="24"/>
              </w:rPr>
              <w:t>Connection Applicant </w:t>
            </w:r>
            <w:r>
              <w:rPr>
                <w:sz w:val="24"/>
              </w:rPr>
              <w:t>requests it at their election.</w:t>
            </w:r>
          </w:p>
          <w:p>
            <w:pPr>
              <w:pStyle w:val="TableParagraph"/>
              <w:ind w:left="44" w:right="90"/>
              <w:rPr>
                <w:sz w:val="24"/>
              </w:rPr>
            </w:pPr>
            <w:r>
              <w:rPr>
                <w:sz w:val="24"/>
              </w:rPr>
              <w:t>The </w:t>
            </w:r>
            <w:r>
              <w:rPr>
                <w:i/>
                <w:sz w:val="24"/>
              </w:rPr>
              <w:t>Connection Applicant </w:t>
            </w:r>
            <w:r>
              <w:rPr>
                <w:sz w:val="24"/>
              </w:rPr>
              <w:t>would be required to pay for any costs associated with the relocation of assets.</w:t>
            </w:r>
          </w:p>
        </w:tc>
      </w:tr>
    </w:tbl>
    <w:p>
      <w:pPr>
        <w:pStyle w:val="BodyText"/>
        <w:spacing w:before="0"/>
        <w:ind w:firstLine="0"/>
        <w:jc w:val="left"/>
        <w:rPr>
          <w:sz w:val="20"/>
        </w:rPr>
      </w:pPr>
    </w:p>
    <w:p>
      <w:pPr>
        <w:pStyle w:val="BodyText"/>
        <w:spacing w:before="0"/>
        <w:ind w:firstLine="0"/>
        <w:jc w:val="left"/>
        <w:rPr>
          <w:sz w:val="17"/>
        </w:rPr>
      </w:pPr>
    </w:p>
    <w:p>
      <w:pPr>
        <w:pStyle w:val="Heading2"/>
        <w:tabs>
          <w:tab w:pos="2485" w:val="left" w:leader="none"/>
        </w:tabs>
        <w:spacing w:before="91"/>
        <w:ind w:left="2486" w:right="514" w:hanging="2268"/>
      </w:pPr>
      <w:bookmarkStart w:name="Schedule 5.11 Negotiating principles for" w:id="1116"/>
      <w:bookmarkEnd w:id="1116"/>
      <w:r>
        <w:rPr>
          <w:b w:val="0"/>
        </w:rPr>
      </w:r>
      <w:bookmarkStart w:name="_bookmark450" w:id="1117"/>
      <w:bookmarkEnd w:id="1117"/>
      <w:r>
        <w:rPr>
          <w:b w:val="0"/>
        </w:rPr>
      </w:r>
      <w:r>
        <w:rPr/>
        <w:t>Schedule</w:t>
      </w:r>
      <w:r>
        <w:rPr>
          <w:spacing w:val="-1"/>
        </w:rPr>
        <w:t> </w:t>
      </w:r>
      <w:r>
        <w:rPr/>
        <w:t>5.11</w:t>
        <w:tab/>
        <w:t>Negotiating principles for negotiated transmission services (clause</w:t>
      </w:r>
      <w:r>
        <w:rPr>
          <w:spacing w:val="-2"/>
        </w:rPr>
        <w:t> </w:t>
      </w:r>
      <w:r>
        <w:rPr/>
        <w:t>5.2A.6)</w:t>
      </w:r>
    </w:p>
    <w:p>
      <w:pPr>
        <w:pStyle w:val="BodyText"/>
        <w:ind w:left="1352" w:firstLine="0"/>
      </w:pPr>
      <w:r>
        <w:rPr/>
        <w:t>The following provisions apply to the operation of this schedule:</w:t>
      </w:r>
    </w:p>
    <w:p>
      <w:pPr>
        <w:pStyle w:val="ListParagraph"/>
        <w:numPr>
          <w:ilvl w:val="0"/>
          <w:numId w:val="343"/>
        </w:numPr>
        <w:tabs>
          <w:tab w:pos="1919" w:val="left" w:leader="none"/>
        </w:tabs>
        <w:spacing w:line="240" w:lineRule="auto" w:before="120" w:after="0"/>
        <w:ind w:left="1918" w:right="0" w:hanging="567"/>
        <w:jc w:val="both"/>
        <w:rPr>
          <w:sz w:val="24"/>
        </w:rPr>
      </w:pPr>
      <w:r>
        <w:rPr>
          <w:sz w:val="24"/>
        </w:rPr>
        <w:t>principles (1), (4), (8), (9) and (10) have no effect in this</w:t>
      </w:r>
      <w:r>
        <w:rPr>
          <w:spacing w:val="-2"/>
          <w:sz w:val="24"/>
        </w:rPr>
        <w:t> </w:t>
      </w:r>
      <w:r>
        <w:rPr>
          <w:sz w:val="24"/>
        </w:rPr>
        <w:t>jurisdiction;</w:t>
      </w:r>
    </w:p>
    <w:p>
      <w:pPr>
        <w:pStyle w:val="ListParagraph"/>
        <w:numPr>
          <w:ilvl w:val="0"/>
          <w:numId w:val="343"/>
        </w:numPr>
        <w:tabs>
          <w:tab w:pos="1919" w:val="left" w:leader="none"/>
        </w:tabs>
        <w:spacing w:line="240" w:lineRule="auto" w:before="120" w:after="0"/>
        <w:ind w:left="1919" w:right="415" w:hanging="567"/>
        <w:jc w:val="both"/>
        <w:rPr>
          <w:sz w:val="24"/>
        </w:rPr>
      </w:pPr>
      <w:r>
        <w:rPr>
          <w:sz w:val="24"/>
        </w:rPr>
        <w:t>principles (2), (3), (5), (6) and (7) only have effect for the purposes </w:t>
      </w:r>
      <w:r>
        <w:rPr>
          <w:spacing w:val="-6"/>
          <w:sz w:val="24"/>
        </w:rPr>
        <w:t>of </w:t>
      </w:r>
      <w:r>
        <w:rPr>
          <w:sz w:val="24"/>
        </w:rPr>
        <w:t>schedule</w:t>
      </w:r>
      <w:r>
        <w:rPr>
          <w:spacing w:val="-2"/>
          <w:sz w:val="24"/>
        </w:rPr>
        <w:t> </w:t>
      </w:r>
      <w:r>
        <w:rPr>
          <w:sz w:val="24"/>
        </w:rPr>
        <w:t>12;</w:t>
      </w:r>
    </w:p>
    <w:p>
      <w:pPr>
        <w:pStyle w:val="ListParagraph"/>
        <w:numPr>
          <w:ilvl w:val="0"/>
          <w:numId w:val="343"/>
        </w:numPr>
        <w:tabs>
          <w:tab w:pos="1919" w:val="left" w:leader="none"/>
        </w:tabs>
        <w:spacing w:line="240" w:lineRule="auto" w:before="120" w:after="0"/>
        <w:ind w:left="1919" w:right="416" w:hanging="567"/>
        <w:jc w:val="both"/>
        <w:rPr>
          <w:sz w:val="24"/>
        </w:rPr>
      </w:pPr>
      <w:r>
        <w:rPr>
          <w:sz w:val="24"/>
        </w:rPr>
        <w:t>principles (11), (12) and (13) only have effect for the purposes of Chapter 6, in relation to </w:t>
      </w:r>
      <w:r>
        <w:rPr>
          <w:i/>
          <w:sz w:val="24"/>
        </w:rPr>
        <w:t>negotiated transmission</w:t>
      </w:r>
      <w:r>
        <w:rPr>
          <w:i/>
          <w:spacing w:val="-1"/>
          <w:sz w:val="24"/>
        </w:rPr>
        <w:t> </w:t>
      </w:r>
      <w:r>
        <w:rPr>
          <w:i/>
          <w:sz w:val="24"/>
        </w:rPr>
        <w:t>services</w:t>
      </w:r>
      <w:r>
        <w:rPr>
          <w:sz w:val="24"/>
        </w:rPr>
        <w:t>.</w:t>
      </w:r>
    </w:p>
    <w:p>
      <w:pPr>
        <w:pStyle w:val="ListParagraph"/>
        <w:numPr>
          <w:ilvl w:val="0"/>
          <w:numId w:val="344"/>
        </w:numPr>
        <w:tabs>
          <w:tab w:pos="1919" w:val="left" w:leader="none"/>
        </w:tabs>
        <w:spacing w:line="240" w:lineRule="auto" w:before="120" w:after="0"/>
        <w:ind w:left="1919" w:right="415" w:hanging="567"/>
        <w:jc w:val="both"/>
        <w:rPr>
          <w:sz w:val="24"/>
        </w:rPr>
      </w:pPr>
      <w:r>
        <w:rPr>
          <w:sz w:val="24"/>
        </w:rPr>
        <w:t>The price for a </w:t>
      </w:r>
      <w:r>
        <w:rPr>
          <w:i/>
          <w:sz w:val="24"/>
        </w:rPr>
        <w:t>negotiated transmission service </w:t>
      </w:r>
      <w:r>
        <w:rPr>
          <w:sz w:val="24"/>
        </w:rPr>
        <w:t>should be based on the costs incurred in providing that service, determined in accordance with the principles and policies set out in the </w:t>
      </w:r>
      <w:r>
        <w:rPr>
          <w:i/>
          <w:sz w:val="24"/>
        </w:rPr>
        <w:t>Cost Allocation Methodology </w:t>
      </w:r>
      <w:r>
        <w:rPr>
          <w:sz w:val="24"/>
        </w:rPr>
        <w:t>for the relevant </w:t>
      </w:r>
      <w:r>
        <w:rPr>
          <w:i/>
          <w:sz w:val="24"/>
        </w:rPr>
        <w:t>Transmission Network Service</w:t>
      </w:r>
      <w:r>
        <w:rPr>
          <w:i/>
          <w:spacing w:val="-1"/>
          <w:sz w:val="24"/>
        </w:rPr>
        <w:t> </w:t>
      </w:r>
      <w:r>
        <w:rPr>
          <w:i/>
          <w:sz w:val="24"/>
        </w:rPr>
        <w:t>Provider</w:t>
      </w:r>
      <w:r>
        <w:rPr>
          <w:sz w:val="24"/>
        </w:rPr>
        <w:t>.</w:t>
      </w:r>
    </w:p>
    <w:p>
      <w:pPr>
        <w:pStyle w:val="ListParagraph"/>
        <w:numPr>
          <w:ilvl w:val="0"/>
          <w:numId w:val="344"/>
        </w:numPr>
        <w:tabs>
          <w:tab w:pos="1919" w:val="left" w:leader="none"/>
        </w:tabs>
        <w:spacing w:line="240" w:lineRule="auto" w:before="120" w:after="0"/>
        <w:ind w:left="1919" w:right="414" w:hanging="567"/>
        <w:jc w:val="both"/>
        <w:rPr>
          <w:sz w:val="24"/>
        </w:rPr>
      </w:pPr>
      <w:r>
        <w:rPr>
          <w:sz w:val="24"/>
        </w:rPr>
        <w:t>Subject to paragraphs (3) and (4), the price for a </w:t>
      </w:r>
      <w:r>
        <w:rPr>
          <w:i/>
          <w:sz w:val="24"/>
        </w:rPr>
        <w:t>negotiated transmission </w:t>
      </w:r>
      <w:r>
        <w:rPr>
          <w:i/>
          <w:sz w:val="24"/>
        </w:rPr>
        <w:t>service </w:t>
      </w:r>
      <w:r>
        <w:rPr>
          <w:sz w:val="24"/>
        </w:rPr>
        <w:t>should be at least equal to the avoided cost of providing it but no more than the cost of providing it on a stand-alone</w:t>
      </w:r>
      <w:r>
        <w:rPr>
          <w:spacing w:val="-4"/>
          <w:sz w:val="24"/>
        </w:rPr>
        <w:t> </w:t>
      </w:r>
      <w:r>
        <w:rPr>
          <w:sz w:val="24"/>
        </w:rPr>
        <w:t>basis.</w:t>
      </w:r>
    </w:p>
    <w:p>
      <w:pPr>
        <w:pStyle w:val="ListParagraph"/>
        <w:numPr>
          <w:ilvl w:val="0"/>
          <w:numId w:val="344"/>
        </w:numPr>
        <w:tabs>
          <w:tab w:pos="1919" w:val="left" w:leader="none"/>
        </w:tabs>
        <w:spacing w:line="240" w:lineRule="auto" w:before="120" w:after="0"/>
        <w:ind w:left="1919" w:right="414" w:hanging="567"/>
        <w:jc w:val="both"/>
        <w:rPr>
          <w:sz w:val="24"/>
        </w:rPr>
      </w:pPr>
      <w:r>
        <w:rPr>
          <w:sz w:val="24"/>
        </w:rPr>
        <w:t>If the </w:t>
      </w:r>
      <w:r>
        <w:rPr>
          <w:i/>
          <w:sz w:val="24"/>
        </w:rPr>
        <w:t>negotiated transmission service </w:t>
      </w:r>
      <w:r>
        <w:rPr>
          <w:sz w:val="24"/>
        </w:rPr>
        <w:t>is the provision of a </w:t>
      </w:r>
      <w:r>
        <w:rPr>
          <w:i/>
          <w:sz w:val="24"/>
        </w:rPr>
        <w:t>shared </w:t>
      </w:r>
      <w:r>
        <w:rPr>
          <w:i/>
          <w:sz w:val="24"/>
        </w:rPr>
        <w:t>transmission</w:t>
      </w:r>
      <w:r>
        <w:rPr>
          <w:i/>
          <w:spacing w:val="12"/>
          <w:sz w:val="24"/>
        </w:rPr>
        <w:t> </w:t>
      </w:r>
      <w:r>
        <w:rPr>
          <w:i/>
          <w:sz w:val="24"/>
        </w:rPr>
        <w:t>service</w:t>
      </w:r>
      <w:r>
        <w:rPr>
          <w:i/>
          <w:spacing w:val="12"/>
          <w:sz w:val="24"/>
        </w:rPr>
        <w:t> </w:t>
      </w:r>
      <w:r>
        <w:rPr>
          <w:sz w:val="24"/>
        </w:rPr>
        <w:t>that</w:t>
      </w:r>
      <w:r>
        <w:rPr>
          <w:spacing w:val="12"/>
          <w:sz w:val="24"/>
        </w:rPr>
        <w:t> </w:t>
      </w:r>
      <w:r>
        <w:rPr>
          <w:sz w:val="24"/>
        </w:rPr>
        <w:t>exceeds</w:t>
      </w:r>
      <w:r>
        <w:rPr>
          <w:spacing w:val="13"/>
          <w:sz w:val="24"/>
        </w:rPr>
        <w:t> </w:t>
      </w:r>
      <w:r>
        <w:rPr>
          <w:sz w:val="24"/>
        </w:rPr>
        <w:t>the</w:t>
      </w:r>
      <w:r>
        <w:rPr>
          <w:spacing w:val="12"/>
          <w:sz w:val="24"/>
        </w:rPr>
        <w:t> </w:t>
      </w:r>
      <w:r>
        <w:rPr>
          <w:i/>
          <w:sz w:val="24"/>
        </w:rPr>
        <w:t>network</w:t>
      </w:r>
      <w:r>
        <w:rPr>
          <w:i/>
          <w:spacing w:val="12"/>
          <w:sz w:val="24"/>
        </w:rPr>
        <w:t> </w:t>
      </w:r>
      <w:r>
        <w:rPr>
          <w:sz w:val="24"/>
        </w:rPr>
        <w:t>performance</w:t>
      </w:r>
      <w:r>
        <w:rPr>
          <w:spacing w:val="12"/>
          <w:sz w:val="24"/>
        </w:rPr>
        <w:t> </w:t>
      </w:r>
      <w:r>
        <w:rPr>
          <w:sz w:val="24"/>
        </w:rPr>
        <w:t>requirements</w:t>
      </w:r>
      <w:r>
        <w:rPr>
          <w:spacing w:val="13"/>
          <w:sz w:val="24"/>
        </w:rPr>
        <w:t> </w:t>
      </w:r>
      <w:r>
        <w:rPr>
          <w:sz w:val="24"/>
        </w:rPr>
        <w:t>(if</w:t>
      </w:r>
    </w:p>
    <w:p>
      <w:pPr>
        <w:pStyle w:val="BodyText"/>
        <w:spacing w:before="192"/>
        <w:ind w:left="218" w:firstLine="0"/>
        <w:jc w:val="left"/>
      </w:pPr>
      <w:r>
        <w:rPr/>
        <w:t>—————–—————–</w:t>
      </w:r>
    </w:p>
    <w:p>
      <w:pPr>
        <w:tabs>
          <w:tab w:pos="784" w:val="left" w:leader="none"/>
        </w:tabs>
        <w:spacing w:line="264" w:lineRule="auto" w:before="74"/>
        <w:ind w:left="785" w:right="442" w:hanging="567"/>
        <w:jc w:val="both"/>
        <w:rPr>
          <w:sz w:val="18"/>
        </w:rPr>
      </w:pPr>
      <w:r>
        <w:rPr>
          <w:position w:val="6"/>
          <w:sz w:val="18"/>
        </w:rPr>
        <w:t>2</w:t>
        <w:tab/>
      </w:r>
      <w:r>
        <w:rPr>
          <w:sz w:val="18"/>
        </w:rPr>
        <w:t>For clarification, information about the structure, terms and conditions of the charge should be made available free of charge on the </w:t>
      </w:r>
      <w:r>
        <w:rPr>
          <w:i/>
          <w:sz w:val="18"/>
        </w:rPr>
        <w:t>Primary Transmission Network Service Provider's </w:t>
      </w:r>
      <w:r>
        <w:rPr>
          <w:sz w:val="18"/>
        </w:rPr>
        <w:t>website, but the </w:t>
      </w:r>
      <w:r>
        <w:rPr>
          <w:i/>
          <w:sz w:val="18"/>
        </w:rPr>
        <w:t>Connection Applicant </w:t>
      </w:r>
      <w:r>
        <w:rPr>
          <w:sz w:val="18"/>
        </w:rPr>
        <w:t>would still be required to pay the </w:t>
      </w:r>
      <w:r>
        <w:rPr>
          <w:i/>
          <w:sz w:val="18"/>
        </w:rPr>
        <w:t>connection </w:t>
      </w:r>
      <w:r>
        <w:rPr>
          <w:sz w:val="18"/>
        </w:rPr>
        <w:t>application fee under clause</w:t>
      </w:r>
      <w:r>
        <w:rPr>
          <w:spacing w:val="-1"/>
          <w:sz w:val="18"/>
        </w:rPr>
        <w:t> </w:t>
      </w:r>
      <w:r>
        <w:rPr>
          <w:sz w:val="18"/>
        </w:rPr>
        <w:t>5.3.4(b)(2).</w:t>
      </w:r>
    </w:p>
    <w:p>
      <w:pPr>
        <w:spacing w:after="0" w:line="264" w:lineRule="auto"/>
        <w:jc w:val="both"/>
        <w:rPr>
          <w:sz w:val="18"/>
        </w:rPr>
        <w:sectPr>
          <w:pgSz w:w="11910" w:h="16840"/>
          <w:pgMar w:header="686" w:footer="637" w:top="1320" w:bottom="820" w:left="1200" w:right="1000"/>
        </w:sectPr>
      </w:pPr>
    </w:p>
    <w:p>
      <w:pPr>
        <w:spacing w:before="83"/>
        <w:ind w:left="1919" w:right="414" w:firstLine="0"/>
        <w:jc w:val="both"/>
        <w:rPr>
          <w:sz w:val="24"/>
        </w:rPr>
      </w:pPr>
      <w:r>
        <w:rPr>
          <w:sz w:val="24"/>
        </w:rPr>
        <w:t>any) which that </w:t>
      </w:r>
      <w:r>
        <w:rPr>
          <w:i/>
          <w:sz w:val="24"/>
        </w:rPr>
        <w:t>shared transmission service </w:t>
      </w:r>
      <w:r>
        <w:rPr>
          <w:sz w:val="24"/>
        </w:rPr>
        <w:t>is required to meet under any </w:t>
      </w:r>
      <w:r>
        <w:rPr>
          <w:i/>
          <w:sz w:val="24"/>
        </w:rPr>
        <w:t>jurisdictional electricity legislation</w:t>
      </w:r>
      <w:r>
        <w:rPr>
          <w:sz w:val="24"/>
        </w:rPr>
        <w:t>, then the differential between the price for that service and the price for the </w:t>
      </w:r>
      <w:r>
        <w:rPr>
          <w:i/>
          <w:sz w:val="24"/>
        </w:rPr>
        <w:t>shared transmission service </w:t>
      </w:r>
      <w:r>
        <w:rPr>
          <w:sz w:val="24"/>
        </w:rPr>
        <w:t>which meets (but does not exceed) the </w:t>
      </w:r>
      <w:r>
        <w:rPr>
          <w:i/>
          <w:sz w:val="24"/>
        </w:rPr>
        <w:t>network </w:t>
      </w:r>
      <w:r>
        <w:rPr>
          <w:sz w:val="24"/>
        </w:rPr>
        <w:t>performance requirements under any </w:t>
      </w:r>
      <w:r>
        <w:rPr>
          <w:i/>
          <w:sz w:val="24"/>
        </w:rPr>
        <w:t>jurisdictional electricity legislation </w:t>
      </w:r>
      <w:r>
        <w:rPr>
          <w:sz w:val="24"/>
        </w:rPr>
        <w:t>should reflect the increase in the </w:t>
      </w:r>
      <w:r>
        <w:rPr>
          <w:i/>
          <w:sz w:val="24"/>
        </w:rPr>
        <w:t>Transmission Network Service Provider’s </w:t>
      </w:r>
      <w:r>
        <w:rPr>
          <w:sz w:val="24"/>
        </w:rPr>
        <w:t>incremental cost of providing that service.</w:t>
      </w:r>
    </w:p>
    <w:p>
      <w:pPr>
        <w:pStyle w:val="ListParagraph"/>
        <w:numPr>
          <w:ilvl w:val="0"/>
          <w:numId w:val="345"/>
        </w:numPr>
        <w:tabs>
          <w:tab w:pos="1919" w:val="left" w:leader="none"/>
        </w:tabs>
        <w:spacing w:line="240" w:lineRule="auto" w:before="120" w:after="0"/>
        <w:ind w:left="1919" w:right="415" w:hanging="567"/>
        <w:jc w:val="both"/>
        <w:rPr>
          <w:sz w:val="24"/>
        </w:rPr>
      </w:pPr>
      <w:r>
        <w:rPr>
          <w:sz w:val="24"/>
        </w:rPr>
        <w:t>If the </w:t>
      </w:r>
      <w:r>
        <w:rPr>
          <w:i/>
          <w:sz w:val="24"/>
        </w:rPr>
        <w:t>negotiated transmission service </w:t>
      </w:r>
      <w:r>
        <w:rPr>
          <w:sz w:val="24"/>
        </w:rPr>
        <w:t>is the provision of a </w:t>
      </w:r>
      <w:r>
        <w:rPr>
          <w:i/>
          <w:sz w:val="24"/>
        </w:rPr>
        <w:t>shared </w:t>
      </w:r>
      <w:r>
        <w:rPr>
          <w:i/>
          <w:sz w:val="24"/>
        </w:rPr>
        <w:t>transmission service </w:t>
      </w:r>
      <w:r>
        <w:rPr>
          <w:sz w:val="24"/>
        </w:rPr>
        <w:t>that does not meet (and does not exceed) the </w:t>
      </w:r>
      <w:r>
        <w:rPr>
          <w:i/>
          <w:sz w:val="24"/>
        </w:rPr>
        <w:t>network </w:t>
      </w:r>
      <w:r>
        <w:rPr>
          <w:sz w:val="24"/>
        </w:rPr>
        <w:t>performance requirements set out in schedules 5.1a and 5.1, the differential between the price for that service and the price for the </w:t>
      </w:r>
      <w:r>
        <w:rPr>
          <w:i/>
          <w:sz w:val="24"/>
        </w:rPr>
        <w:t>shared transmission </w:t>
      </w:r>
      <w:r>
        <w:rPr>
          <w:i/>
          <w:sz w:val="24"/>
        </w:rPr>
        <w:t>service </w:t>
      </w:r>
      <w:r>
        <w:rPr>
          <w:sz w:val="24"/>
        </w:rPr>
        <w:t>which meets (but does not exceed) the </w:t>
      </w:r>
      <w:r>
        <w:rPr>
          <w:i/>
          <w:sz w:val="24"/>
        </w:rPr>
        <w:t>network </w:t>
      </w:r>
      <w:r>
        <w:rPr>
          <w:sz w:val="24"/>
        </w:rPr>
        <w:t>performance requirements set out in schedules 5.1a and 5.1 should reflect the amount of the </w:t>
      </w:r>
      <w:r>
        <w:rPr>
          <w:i/>
          <w:sz w:val="24"/>
        </w:rPr>
        <w:t>Transmission Network Service Provider's </w:t>
      </w:r>
      <w:r>
        <w:rPr>
          <w:sz w:val="24"/>
        </w:rPr>
        <w:t>avoided cost of providing that service.</w:t>
      </w:r>
    </w:p>
    <w:p>
      <w:pPr>
        <w:pStyle w:val="ListParagraph"/>
        <w:numPr>
          <w:ilvl w:val="0"/>
          <w:numId w:val="345"/>
        </w:numPr>
        <w:tabs>
          <w:tab w:pos="1919" w:val="left" w:leader="none"/>
        </w:tabs>
        <w:spacing w:line="240" w:lineRule="auto" w:before="120" w:after="0"/>
        <w:ind w:left="1919" w:right="415" w:hanging="567"/>
        <w:jc w:val="both"/>
        <w:rPr>
          <w:sz w:val="24"/>
        </w:rPr>
      </w:pPr>
      <w:r>
        <w:rPr>
          <w:sz w:val="24"/>
        </w:rPr>
        <w:t>The price for a </w:t>
      </w:r>
      <w:r>
        <w:rPr>
          <w:i/>
          <w:sz w:val="24"/>
        </w:rPr>
        <w:t>negotiated transmission service </w:t>
      </w:r>
      <w:r>
        <w:rPr>
          <w:sz w:val="24"/>
        </w:rPr>
        <w:t>must be the same for all </w:t>
      </w:r>
      <w:r>
        <w:rPr>
          <w:i/>
          <w:sz w:val="24"/>
        </w:rPr>
        <w:t>Transmission Network Users </w:t>
      </w:r>
      <w:r>
        <w:rPr>
          <w:sz w:val="24"/>
        </w:rPr>
        <w:t>unless there is a material difference in the costs of providing the </w:t>
      </w:r>
      <w:r>
        <w:rPr>
          <w:i/>
          <w:sz w:val="24"/>
        </w:rPr>
        <w:t>negotiated transmission service </w:t>
      </w:r>
      <w:r>
        <w:rPr>
          <w:sz w:val="24"/>
        </w:rPr>
        <w:t>to different </w:t>
      </w:r>
      <w:r>
        <w:rPr>
          <w:i/>
          <w:sz w:val="24"/>
        </w:rPr>
        <w:t>Transmission Network Users </w:t>
      </w:r>
      <w:r>
        <w:rPr>
          <w:sz w:val="24"/>
        </w:rPr>
        <w:t>or classes of </w:t>
      </w:r>
      <w:r>
        <w:rPr>
          <w:i/>
          <w:sz w:val="24"/>
        </w:rPr>
        <w:t>Transmission Network</w:t>
      </w:r>
      <w:r>
        <w:rPr>
          <w:i/>
          <w:spacing w:val="-20"/>
          <w:sz w:val="24"/>
        </w:rPr>
        <w:t> </w:t>
      </w:r>
      <w:r>
        <w:rPr>
          <w:i/>
          <w:sz w:val="24"/>
        </w:rPr>
        <w:t>Users</w:t>
      </w:r>
      <w:r>
        <w:rPr>
          <w:sz w:val="24"/>
        </w:rPr>
        <w:t>.</w:t>
      </w:r>
    </w:p>
    <w:p>
      <w:pPr>
        <w:pStyle w:val="ListParagraph"/>
        <w:numPr>
          <w:ilvl w:val="0"/>
          <w:numId w:val="345"/>
        </w:numPr>
        <w:tabs>
          <w:tab w:pos="1919" w:val="left" w:leader="none"/>
        </w:tabs>
        <w:spacing w:line="240" w:lineRule="auto" w:before="120" w:after="0"/>
        <w:ind w:left="1919" w:right="415" w:hanging="567"/>
        <w:jc w:val="both"/>
        <w:rPr>
          <w:sz w:val="24"/>
        </w:rPr>
      </w:pPr>
      <w:r>
        <w:rPr>
          <w:sz w:val="24"/>
        </w:rPr>
        <w:t>The price for a </w:t>
      </w:r>
      <w:r>
        <w:rPr>
          <w:i/>
          <w:sz w:val="24"/>
        </w:rPr>
        <w:t>negotiated transmission service </w:t>
      </w:r>
      <w:r>
        <w:rPr>
          <w:sz w:val="24"/>
        </w:rPr>
        <w:t>should be subject to adjustment over time to the extent that the assets used to provide that service are subsequently used to provide services to another person, in which case such adjustment should reflect the extent to which the costs of that asset is being recovered through charges to that other</w:t>
      </w:r>
      <w:r>
        <w:rPr>
          <w:spacing w:val="-1"/>
          <w:sz w:val="24"/>
        </w:rPr>
        <w:t> </w:t>
      </w:r>
      <w:r>
        <w:rPr>
          <w:sz w:val="24"/>
        </w:rPr>
        <w:t>person.</w:t>
      </w:r>
    </w:p>
    <w:p>
      <w:pPr>
        <w:pStyle w:val="ListParagraph"/>
        <w:numPr>
          <w:ilvl w:val="0"/>
          <w:numId w:val="345"/>
        </w:numPr>
        <w:tabs>
          <w:tab w:pos="1919" w:val="left" w:leader="none"/>
        </w:tabs>
        <w:spacing w:line="240" w:lineRule="auto" w:before="120" w:after="0"/>
        <w:ind w:left="1919" w:right="415" w:hanging="567"/>
        <w:jc w:val="both"/>
        <w:rPr>
          <w:sz w:val="24"/>
        </w:rPr>
      </w:pPr>
      <w:r>
        <w:rPr>
          <w:sz w:val="24"/>
        </w:rPr>
        <w:t>The price for a </w:t>
      </w:r>
      <w:r>
        <w:rPr>
          <w:i/>
          <w:sz w:val="24"/>
        </w:rPr>
        <w:t>negotiated transmission service </w:t>
      </w:r>
      <w:r>
        <w:rPr>
          <w:sz w:val="24"/>
        </w:rPr>
        <w:t>should be such as to enable the </w:t>
      </w:r>
      <w:r>
        <w:rPr>
          <w:i/>
          <w:sz w:val="24"/>
        </w:rPr>
        <w:t>Transmission Network Service Provider </w:t>
      </w:r>
      <w:r>
        <w:rPr>
          <w:sz w:val="24"/>
        </w:rPr>
        <w:t>to recover the efficient costs of complying with all </w:t>
      </w:r>
      <w:r>
        <w:rPr>
          <w:i/>
          <w:sz w:val="24"/>
        </w:rPr>
        <w:t>regulatory obligations or requirements </w:t>
      </w:r>
      <w:r>
        <w:rPr>
          <w:sz w:val="24"/>
        </w:rPr>
        <w:t>associated with the provision of the </w:t>
      </w:r>
      <w:r>
        <w:rPr>
          <w:i/>
          <w:sz w:val="24"/>
        </w:rPr>
        <w:t>negotiated transmission</w:t>
      </w:r>
      <w:r>
        <w:rPr>
          <w:i/>
          <w:spacing w:val="-3"/>
          <w:sz w:val="24"/>
        </w:rPr>
        <w:t> </w:t>
      </w:r>
      <w:r>
        <w:rPr>
          <w:i/>
          <w:sz w:val="24"/>
        </w:rPr>
        <w:t>service</w:t>
      </w:r>
      <w:r>
        <w:rPr>
          <w:sz w:val="24"/>
        </w:rPr>
        <w:t>.</w:t>
      </w:r>
    </w:p>
    <w:p>
      <w:pPr>
        <w:pStyle w:val="ListParagraph"/>
        <w:numPr>
          <w:ilvl w:val="0"/>
          <w:numId w:val="345"/>
        </w:numPr>
        <w:tabs>
          <w:tab w:pos="1919" w:val="left" w:leader="none"/>
        </w:tabs>
        <w:spacing w:line="240" w:lineRule="auto" w:before="120" w:after="0"/>
        <w:ind w:left="1919" w:right="414" w:hanging="567"/>
        <w:jc w:val="both"/>
        <w:rPr>
          <w:sz w:val="24"/>
        </w:rPr>
      </w:pPr>
      <w:r>
        <w:rPr>
          <w:sz w:val="24"/>
        </w:rPr>
        <w:t>The </w:t>
      </w:r>
      <w:r>
        <w:rPr>
          <w:i/>
          <w:sz w:val="24"/>
        </w:rPr>
        <w:t>terms and conditions of access </w:t>
      </w:r>
      <w:r>
        <w:rPr>
          <w:sz w:val="24"/>
        </w:rPr>
        <w:t>for a </w:t>
      </w:r>
      <w:r>
        <w:rPr>
          <w:i/>
          <w:sz w:val="24"/>
        </w:rPr>
        <w:t>negotiated transmission service </w:t>
      </w:r>
      <w:r>
        <w:rPr>
          <w:sz w:val="24"/>
        </w:rPr>
        <w:t>should be fair and reasonable and consistent with the safe and reliable operation of the </w:t>
      </w:r>
      <w:r>
        <w:rPr>
          <w:i/>
          <w:sz w:val="24"/>
        </w:rPr>
        <w:t>power system </w:t>
      </w:r>
      <w:r>
        <w:rPr>
          <w:sz w:val="24"/>
        </w:rPr>
        <w:t>in accordance with the </w:t>
      </w:r>
      <w:r>
        <w:rPr>
          <w:i/>
          <w:sz w:val="24"/>
        </w:rPr>
        <w:t>Rules </w:t>
      </w:r>
      <w:r>
        <w:rPr>
          <w:sz w:val="24"/>
        </w:rPr>
        <w:t>(for these purposes, the price for a </w:t>
      </w:r>
      <w:r>
        <w:rPr>
          <w:i/>
          <w:sz w:val="24"/>
        </w:rPr>
        <w:t>negotiated transmission service </w:t>
      </w:r>
      <w:r>
        <w:rPr>
          <w:sz w:val="24"/>
        </w:rPr>
        <w:t>is to be treated as being fair and reasonable if it complies with principles (1) to (7) (other than principles (1) and (4)) of this schedule</w:t>
      </w:r>
      <w:r>
        <w:rPr>
          <w:spacing w:val="-2"/>
          <w:sz w:val="24"/>
        </w:rPr>
        <w:t> </w:t>
      </w:r>
      <w:r>
        <w:rPr>
          <w:sz w:val="24"/>
        </w:rPr>
        <w:t>5.11).</w:t>
      </w:r>
    </w:p>
    <w:p>
      <w:pPr>
        <w:pStyle w:val="ListParagraph"/>
        <w:numPr>
          <w:ilvl w:val="0"/>
          <w:numId w:val="345"/>
        </w:numPr>
        <w:tabs>
          <w:tab w:pos="1919" w:val="left" w:leader="none"/>
        </w:tabs>
        <w:spacing w:line="240" w:lineRule="auto" w:before="120" w:after="0"/>
        <w:ind w:left="1919" w:right="414" w:hanging="567"/>
        <w:jc w:val="both"/>
        <w:rPr>
          <w:sz w:val="24"/>
        </w:rPr>
      </w:pPr>
      <w:r>
        <w:rPr>
          <w:sz w:val="24"/>
        </w:rPr>
        <w:t>The </w:t>
      </w:r>
      <w:r>
        <w:rPr>
          <w:i/>
          <w:sz w:val="24"/>
        </w:rPr>
        <w:t>terms and conditions of access </w:t>
      </w:r>
      <w:r>
        <w:rPr>
          <w:sz w:val="24"/>
        </w:rPr>
        <w:t>for a </w:t>
      </w:r>
      <w:r>
        <w:rPr>
          <w:i/>
          <w:sz w:val="24"/>
        </w:rPr>
        <w:t>negotiated transmission service </w:t>
      </w:r>
      <w:r>
        <w:rPr>
          <w:sz w:val="24"/>
        </w:rPr>
        <w:t>(including, in particular, any exclusions and limitations of liability and indemnities) must not be unreasonably onerous taking into account the allocation of risk between the </w:t>
      </w:r>
      <w:r>
        <w:rPr>
          <w:i/>
          <w:sz w:val="24"/>
        </w:rPr>
        <w:t>Transmission Network Service Provider </w:t>
      </w:r>
      <w:r>
        <w:rPr>
          <w:sz w:val="24"/>
        </w:rPr>
        <w:t>and the other party, the price for the </w:t>
      </w:r>
      <w:r>
        <w:rPr>
          <w:i/>
          <w:sz w:val="24"/>
        </w:rPr>
        <w:t>negotiated transmission service </w:t>
      </w:r>
      <w:r>
        <w:rPr>
          <w:sz w:val="24"/>
        </w:rPr>
        <w:t>and the costs to the </w:t>
      </w:r>
      <w:r>
        <w:rPr>
          <w:i/>
          <w:sz w:val="24"/>
        </w:rPr>
        <w:t>Transmission Network Service Provider </w:t>
      </w:r>
      <w:r>
        <w:rPr>
          <w:sz w:val="24"/>
        </w:rPr>
        <w:t>of providing the </w:t>
      </w:r>
      <w:r>
        <w:rPr>
          <w:i/>
          <w:sz w:val="24"/>
        </w:rPr>
        <w:t>negotiated transmission</w:t>
      </w:r>
      <w:r>
        <w:rPr>
          <w:i/>
          <w:spacing w:val="-1"/>
          <w:sz w:val="24"/>
        </w:rPr>
        <w:t> </w:t>
      </w:r>
      <w:r>
        <w:rPr>
          <w:i/>
          <w:sz w:val="24"/>
        </w:rPr>
        <w:t>service</w:t>
      </w:r>
      <w:r>
        <w:rPr>
          <w:sz w:val="24"/>
        </w:rPr>
        <w:t>.</w:t>
      </w:r>
    </w:p>
    <w:p>
      <w:pPr>
        <w:pStyle w:val="ListParagraph"/>
        <w:numPr>
          <w:ilvl w:val="0"/>
          <w:numId w:val="345"/>
        </w:numPr>
        <w:tabs>
          <w:tab w:pos="1919" w:val="left" w:leader="none"/>
        </w:tabs>
        <w:spacing w:line="240" w:lineRule="auto" w:before="120" w:after="0"/>
        <w:ind w:left="1919" w:right="414" w:hanging="567"/>
        <w:jc w:val="both"/>
        <w:rPr>
          <w:sz w:val="24"/>
        </w:rPr>
      </w:pPr>
      <w:r>
        <w:rPr>
          <w:sz w:val="24"/>
        </w:rPr>
        <w:t>The </w:t>
      </w:r>
      <w:r>
        <w:rPr>
          <w:i/>
          <w:sz w:val="24"/>
        </w:rPr>
        <w:t>terms and conditions of access </w:t>
      </w:r>
      <w:r>
        <w:rPr>
          <w:sz w:val="24"/>
        </w:rPr>
        <w:t>for a </w:t>
      </w:r>
      <w:r>
        <w:rPr>
          <w:i/>
          <w:sz w:val="24"/>
        </w:rPr>
        <w:t>negotiated transmission service </w:t>
      </w:r>
      <w:r>
        <w:rPr>
          <w:sz w:val="24"/>
        </w:rPr>
        <w:t>should be provided in a manner that does not adversely affect the safe and reliable operation of the </w:t>
      </w:r>
      <w:r>
        <w:rPr>
          <w:i/>
          <w:sz w:val="24"/>
        </w:rPr>
        <w:t>power system </w:t>
      </w:r>
      <w:r>
        <w:rPr>
          <w:sz w:val="24"/>
        </w:rPr>
        <w:t>in accordance with the</w:t>
      </w:r>
      <w:r>
        <w:rPr>
          <w:spacing w:val="-8"/>
          <w:sz w:val="24"/>
        </w:rPr>
        <w:t> </w:t>
      </w:r>
      <w:r>
        <w:rPr>
          <w:i/>
          <w:sz w:val="24"/>
        </w:rPr>
        <w:t>Rules</w:t>
      </w:r>
      <w:r>
        <w:rPr>
          <w:sz w:val="24"/>
        </w:rPr>
        <w:t>.</w:t>
      </w:r>
    </w:p>
    <w:p>
      <w:pPr>
        <w:pStyle w:val="ListParagraph"/>
        <w:numPr>
          <w:ilvl w:val="0"/>
          <w:numId w:val="345"/>
        </w:numPr>
        <w:tabs>
          <w:tab w:pos="1919" w:val="left" w:leader="none"/>
        </w:tabs>
        <w:spacing w:line="240" w:lineRule="auto" w:before="120" w:after="0"/>
        <w:ind w:left="1919" w:right="414" w:hanging="567"/>
        <w:jc w:val="both"/>
        <w:rPr>
          <w:sz w:val="24"/>
        </w:rPr>
      </w:pPr>
      <w:r>
        <w:rPr>
          <w:sz w:val="24"/>
        </w:rPr>
        <w:t>The </w:t>
      </w:r>
      <w:r>
        <w:rPr>
          <w:i/>
          <w:sz w:val="24"/>
        </w:rPr>
        <w:t>Connection Applicant </w:t>
      </w:r>
      <w:r>
        <w:rPr>
          <w:sz w:val="24"/>
        </w:rPr>
        <w:t>should only be required to pay the costs directly incurred as a result of its </w:t>
      </w:r>
      <w:r>
        <w:rPr>
          <w:i/>
          <w:sz w:val="24"/>
        </w:rPr>
        <w:t>connection</w:t>
      </w:r>
      <w:r>
        <w:rPr>
          <w:sz w:val="24"/>
        </w:rPr>
        <w:t>, including its share of costs associated with an </w:t>
      </w:r>
      <w:r>
        <w:rPr>
          <w:i/>
          <w:sz w:val="24"/>
        </w:rPr>
        <w:t>identified user shared</w:t>
      </w:r>
      <w:r>
        <w:rPr>
          <w:i/>
          <w:spacing w:val="-3"/>
          <w:sz w:val="24"/>
        </w:rPr>
        <w:t> </w:t>
      </w:r>
      <w:r>
        <w:rPr>
          <w:i/>
          <w:sz w:val="24"/>
        </w:rPr>
        <w:t>asset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345"/>
        </w:numPr>
        <w:tabs>
          <w:tab w:pos="1919" w:val="left" w:leader="none"/>
        </w:tabs>
        <w:spacing w:line="240" w:lineRule="auto" w:before="83" w:after="0"/>
        <w:ind w:left="1919" w:right="414" w:hanging="567"/>
        <w:jc w:val="both"/>
        <w:rPr>
          <w:sz w:val="24"/>
        </w:rPr>
      </w:pPr>
      <w:r>
        <w:rPr>
          <w:sz w:val="24"/>
        </w:rPr>
        <w:t>Subsequent connections to an </w:t>
      </w:r>
      <w:r>
        <w:rPr>
          <w:i/>
          <w:sz w:val="24"/>
        </w:rPr>
        <w:t>identified user shared asset </w:t>
      </w:r>
      <w:r>
        <w:rPr>
          <w:sz w:val="24"/>
        </w:rPr>
        <w:t>by other </w:t>
      </w:r>
      <w:r>
        <w:rPr>
          <w:i/>
          <w:sz w:val="24"/>
        </w:rPr>
        <w:t>connecting </w:t>
      </w:r>
      <w:r>
        <w:rPr>
          <w:sz w:val="24"/>
        </w:rPr>
        <w:t>parties should not adversely affect the </w:t>
      </w:r>
      <w:r>
        <w:rPr>
          <w:i/>
          <w:sz w:val="24"/>
        </w:rPr>
        <w:t>negotiated transmission </w:t>
      </w:r>
      <w:r>
        <w:rPr>
          <w:i/>
          <w:sz w:val="24"/>
        </w:rPr>
        <w:t>services </w:t>
      </w:r>
      <w:r>
        <w:rPr>
          <w:sz w:val="24"/>
        </w:rPr>
        <w:t>provided to the original </w:t>
      </w:r>
      <w:r>
        <w:rPr>
          <w:i/>
          <w:sz w:val="24"/>
        </w:rPr>
        <w:t>identified user group </w:t>
      </w:r>
      <w:r>
        <w:rPr>
          <w:sz w:val="24"/>
        </w:rPr>
        <w:t>for that </w:t>
      </w:r>
      <w:r>
        <w:rPr>
          <w:i/>
          <w:sz w:val="24"/>
        </w:rPr>
        <w:t>identified user </w:t>
      </w:r>
      <w:r>
        <w:rPr>
          <w:i/>
          <w:sz w:val="24"/>
        </w:rPr>
        <w:t>shared</w:t>
      </w:r>
      <w:r>
        <w:rPr>
          <w:i/>
          <w:spacing w:val="-2"/>
          <w:sz w:val="24"/>
        </w:rPr>
        <w:t> </w:t>
      </w:r>
      <w:r>
        <w:rPr>
          <w:i/>
          <w:sz w:val="24"/>
        </w:rPr>
        <w:t>asset</w:t>
      </w:r>
      <w:r>
        <w:rPr>
          <w:sz w:val="24"/>
        </w:rPr>
        <w:t>.</w:t>
      </w:r>
    </w:p>
    <w:p>
      <w:pPr>
        <w:pStyle w:val="ListParagraph"/>
        <w:numPr>
          <w:ilvl w:val="0"/>
          <w:numId w:val="345"/>
        </w:numPr>
        <w:tabs>
          <w:tab w:pos="1919" w:val="left" w:leader="none"/>
        </w:tabs>
        <w:spacing w:line="240" w:lineRule="auto" w:before="120" w:after="0"/>
        <w:ind w:left="1919" w:right="414" w:hanging="567"/>
        <w:jc w:val="both"/>
        <w:rPr>
          <w:sz w:val="24"/>
        </w:rPr>
      </w:pPr>
      <w:r>
        <w:rPr>
          <w:sz w:val="24"/>
        </w:rPr>
        <w:t>Subject to principle 11, future </w:t>
      </w:r>
      <w:r>
        <w:rPr>
          <w:i/>
          <w:sz w:val="24"/>
        </w:rPr>
        <w:t>Connection Applicants </w:t>
      </w:r>
      <w:r>
        <w:rPr>
          <w:sz w:val="24"/>
        </w:rPr>
        <w:t>should pay for a proportion of the costs paid by the </w:t>
      </w:r>
      <w:r>
        <w:rPr>
          <w:i/>
          <w:sz w:val="24"/>
        </w:rPr>
        <w:t>identified user groups </w:t>
      </w:r>
      <w:r>
        <w:rPr>
          <w:sz w:val="24"/>
        </w:rPr>
        <w:t>for </w:t>
      </w:r>
      <w:r>
        <w:rPr>
          <w:i/>
          <w:spacing w:val="-3"/>
          <w:sz w:val="24"/>
        </w:rPr>
        <w:t>negotiated </w:t>
      </w:r>
      <w:r>
        <w:rPr>
          <w:i/>
          <w:sz w:val="24"/>
        </w:rPr>
        <w:t>transmission services</w:t>
      </w:r>
      <w:r>
        <w:rPr>
          <w:sz w:val="24"/>
        </w:rPr>
        <w:t>. The proportion of costs will be calculated with respect to:</w:t>
      </w:r>
    </w:p>
    <w:p>
      <w:pPr>
        <w:pStyle w:val="ListParagraph"/>
        <w:numPr>
          <w:ilvl w:val="1"/>
          <w:numId w:val="345"/>
        </w:numPr>
        <w:tabs>
          <w:tab w:pos="2485" w:val="left" w:leader="none"/>
          <w:tab w:pos="2486" w:val="left" w:leader="none"/>
        </w:tabs>
        <w:spacing w:line="240" w:lineRule="auto" w:before="120" w:after="0"/>
        <w:ind w:left="2486" w:right="415" w:hanging="567"/>
        <w:jc w:val="left"/>
        <w:rPr>
          <w:sz w:val="24"/>
        </w:rPr>
      </w:pPr>
      <w:r>
        <w:rPr>
          <w:sz w:val="24"/>
        </w:rPr>
        <w:t>the relative capacity of the </w:t>
      </w:r>
      <w:r>
        <w:rPr>
          <w:i/>
          <w:sz w:val="24"/>
        </w:rPr>
        <w:t>Connection Applicant's generating plant</w:t>
      </w:r>
      <w:r>
        <w:rPr>
          <w:sz w:val="24"/>
        </w:rPr>
        <w:t>; or</w:t>
      </w:r>
    </w:p>
    <w:p>
      <w:pPr>
        <w:pStyle w:val="ListParagraph"/>
        <w:numPr>
          <w:ilvl w:val="1"/>
          <w:numId w:val="345"/>
        </w:numPr>
        <w:tabs>
          <w:tab w:pos="2485" w:val="left" w:leader="none"/>
          <w:tab w:pos="2486" w:val="left" w:leader="none"/>
        </w:tabs>
        <w:spacing w:line="240" w:lineRule="auto" w:before="120" w:after="0"/>
        <w:ind w:left="2485" w:right="0" w:hanging="567"/>
        <w:jc w:val="left"/>
        <w:rPr>
          <w:sz w:val="24"/>
        </w:rPr>
      </w:pPr>
      <w:r>
        <w:rPr>
          <w:sz w:val="24"/>
        </w:rPr>
        <w:t>the relative number of bays;</w:t>
      </w:r>
      <w:r>
        <w:rPr>
          <w:spacing w:val="-1"/>
          <w:sz w:val="24"/>
        </w:rPr>
        <w:t> </w:t>
      </w:r>
      <w:r>
        <w:rPr>
          <w:sz w:val="24"/>
        </w:rPr>
        <w:t>or</w:t>
      </w:r>
    </w:p>
    <w:p>
      <w:pPr>
        <w:pStyle w:val="ListParagraph"/>
        <w:numPr>
          <w:ilvl w:val="1"/>
          <w:numId w:val="345"/>
        </w:numPr>
        <w:tabs>
          <w:tab w:pos="2485" w:val="left" w:leader="none"/>
          <w:tab w:pos="2486" w:val="left" w:leader="none"/>
        </w:tabs>
        <w:spacing w:line="240" w:lineRule="auto" w:before="120" w:after="0"/>
        <w:ind w:left="2485" w:right="0" w:hanging="567"/>
        <w:jc w:val="left"/>
        <w:rPr>
          <w:sz w:val="24"/>
        </w:rPr>
      </w:pPr>
      <w:r>
        <w:rPr>
          <w:sz w:val="24"/>
        </w:rPr>
        <w:t>respective</w:t>
      </w:r>
      <w:r>
        <w:rPr>
          <w:spacing w:val="-1"/>
          <w:sz w:val="24"/>
        </w:rPr>
        <w:t> </w:t>
      </w:r>
      <w:r>
        <w:rPr>
          <w:sz w:val="24"/>
        </w:rPr>
        <w:t>bays,</w:t>
      </w:r>
    </w:p>
    <w:p>
      <w:pPr>
        <w:spacing w:before="120"/>
        <w:ind w:left="1919" w:right="415" w:firstLine="0"/>
        <w:jc w:val="left"/>
        <w:rPr>
          <w:sz w:val="24"/>
        </w:rPr>
      </w:pPr>
      <w:r>
        <w:rPr>
          <w:sz w:val="24"/>
        </w:rPr>
        <w:t>with the applicable cost sharing methodology determined as appropriate by the nature of the </w:t>
      </w:r>
      <w:r>
        <w:rPr>
          <w:i/>
          <w:sz w:val="24"/>
        </w:rPr>
        <w:t>negotiated transmission services</w:t>
      </w:r>
      <w:r>
        <w:rPr>
          <w:sz w:val="24"/>
        </w:rPr>
        <w:t>.</w:t>
      </w:r>
    </w:p>
    <w:p>
      <w:pPr>
        <w:pStyle w:val="BodyText"/>
        <w:spacing w:before="10"/>
        <w:ind w:firstLine="0"/>
        <w:jc w:val="left"/>
        <w:rPr>
          <w:sz w:val="20"/>
        </w:rPr>
      </w:pPr>
    </w:p>
    <w:p>
      <w:pPr>
        <w:pStyle w:val="Heading2"/>
        <w:tabs>
          <w:tab w:pos="2485" w:val="left" w:leader="none"/>
        </w:tabs>
      </w:pPr>
      <w:bookmarkStart w:name="Schedule 5.12 Negotiating principles for" w:id="1118"/>
      <w:bookmarkEnd w:id="1118"/>
      <w:r>
        <w:rPr>
          <w:b w:val="0"/>
        </w:rPr>
      </w:r>
      <w:bookmarkStart w:name="_bookmark451" w:id="1119"/>
      <w:bookmarkEnd w:id="1119"/>
      <w:r>
        <w:rPr>
          <w:b w:val="0"/>
        </w:rPr>
      </w:r>
      <w:r>
        <w:rPr/>
        <w:t>Schedule</w:t>
      </w:r>
      <w:r>
        <w:rPr>
          <w:spacing w:val="-1"/>
        </w:rPr>
        <w:t> </w:t>
      </w:r>
      <w:r>
        <w:rPr/>
        <w:t>5.12</w:t>
        <w:tab/>
        <w:t>Negotiating principles for large DCA</w:t>
      </w:r>
      <w:r>
        <w:rPr>
          <w:spacing w:val="-7"/>
        </w:rPr>
        <w:t> </w:t>
      </w:r>
      <w:r>
        <w:rPr/>
        <w:t>services</w:t>
      </w:r>
    </w:p>
    <w:p>
      <w:pPr>
        <w:pStyle w:val="ListParagraph"/>
        <w:numPr>
          <w:ilvl w:val="0"/>
          <w:numId w:val="346"/>
        </w:numPr>
        <w:tabs>
          <w:tab w:pos="1919" w:val="left" w:leader="none"/>
        </w:tabs>
        <w:spacing w:line="240" w:lineRule="auto" w:before="120" w:after="0"/>
        <w:ind w:left="1919" w:right="415" w:hanging="567"/>
        <w:jc w:val="both"/>
        <w:rPr>
          <w:sz w:val="24"/>
        </w:rPr>
      </w:pPr>
      <w:r>
        <w:rPr>
          <w:sz w:val="24"/>
        </w:rPr>
        <w:t>Principles 2 -7 of schedule 5.11 (other than principle 4) apply in relation to </w:t>
      </w:r>
      <w:r>
        <w:rPr>
          <w:i/>
          <w:sz w:val="24"/>
        </w:rPr>
        <w:t>connection </w:t>
      </w:r>
      <w:r>
        <w:rPr>
          <w:sz w:val="24"/>
        </w:rPr>
        <w:t>and access to </w:t>
      </w:r>
      <w:r>
        <w:rPr>
          <w:i/>
          <w:sz w:val="24"/>
        </w:rPr>
        <w:t>large DCA services</w:t>
      </w:r>
      <w:r>
        <w:rPr>
          <w:sz w:val="24"/>
        </w:rPr>
        <w:t>, except a reference to a </w:t>
      </w:r>
      <w:r>
        <w:rPr>
          <w:i/>
          <w:sz w:val="24"/>
        </w:rPr>
        <w:t>negotiated transmission service </w:t>
      </w:r>
      <w:r>
        <w:rPr>
          <w:sz w:val="24"/>
        </w:rPr>
        <w:t>and a </w:t>
      </w:r>
      <w:r>
        <w:rPr>
          <w:i/>
          <w:sz w:val="24"/>
        </w:rPr>
        <w:t>Transmission Network Service </w:t>
      </w:r>
      <w:r>
        <w:rPr>
          <w:i/>
          <w:sz w:val="24"/>
        </w:rPr>
        <w:t>Provider </w:t>
      </w:r>
      <w:r>
        <w:rPr>
          <w:sz w:val="24"/>
        </w:rPr>
        <w:t>will be taken to be a reference to a </w:t>
      </w:r>
      <w:r>
        <w:rPr>
          <w:i/>
          <w:sz w:val="24"/>
        </w:rPr>
        <w:t>large DCA service </w:t>
      </w:r>
      <w:r>
        <w:rPr>
          <w:sz w:val="24"/>
        </w:rPr>
        <w:t>and a </w:t>
      </w:r>
      <w:r>
        <w:rPr>
          <w:i/>
          <w:sz w:val="24"/>
        </w:rPr>
        <w:t>Dedicated Connection Asset Service Provider</w:t>
      </w:r>
      <w:r>
        <w:rPr>
          <w:i/>
          <w:spacing w:val="-2"/>
          <w:sz w:val="24"/>
        </w:rPr>
        <w:t> </w:t>
      </w:r>
      <w:r>
        <w:rPr>
          <w:sz w:val="24"/>
        </w:rPr>
        <w:t>respectively.</w:t>
      </w:r>
    </w:p>
    <w:p>
      <w:pPr>
        <w:pStyle w:val="ListParagraph"/>
        <w:numPr>
          <w:ilvl w:val="0"/>
          <w:numId w:val="346"/>
        </w:numPr>
        <w:tabs>
          <w:tab w:pos="1919" w:val="left" w:leader="none"/>
        </w:tabs>
        <w:spacing w:line="240" w:lineRule="auto" w:before="120" w:after="0"/>
        <w:ind w:left="1919" w:right="415" w:hanging="567"/>
        <w:jc w:val="both"/>
        <w:rPr>
          <w:sz w:val="24"/>
        </w:rPr>
      </w:pPr>
      <w:r>
        <w:rPr>
          <w:sz w:val="24"/>
        </w:rPr>
        <w:t>An applicant for </w:t>
      </w:r>
      <w:r>
        <w:rPr>
          <w:i/>
          <w:sz w:val="24"/>
        </w:rPr>
        <w:t>large DCA services </w:t>
      </w:r>
      <w:r>
        <w:rPr>
          <w:sz w:val="24"/>
        </w:rPr>
        <w:t>should pay for the cost of any enlargement or increase in capacity of (an "</w:t>
      </w:r>
      <w:r>
        <w:rPr>
          <w:b/>
          <w:sz w:val="24"/>
        </w:rPr>
        <w:t>upgrade</w:t>
      </w:r>
      <w:r>
        <w:rPr>
          <w:sz w:val="24"/>
        </w:rPr>
        <w:t>"), or alterations to, an existing </w:t>
      </w:r>
      <w:r>
        <w:rPr>
          <w:i/>
          <w:sz w:val="24"/>
        </w:rPr>
        <w:t>large dedicated connection asset </w:t>
      </w:r>
      <w:r>
        <w:rPr>
          <w:sz w:val="24"/>
        </w:rPr>
        <w:t>required to provide it with </w:t>
      </w:r>
      <w:r>
        <w:rPr>
          <w:i/>
          <w:sz w:val="24"/>
        </w:rPr>
        <w:t>large </w:t>
      </w:r>
      <w:r>
        <w:rPr>
          <w:i/>
          <w:sz w:val="24"/>
        </w:rPr>
        <w:t>DCA services</w:t>
      </w:r>
      <w:r>
        <w:rPr>
          <w:sz w:val="24"/>
        </w:rPr>
        <w:t>, including the moving of metering and other related equipment, necessary for the applicant's </w:t>
      </w:r>
      <w:r>
        <w:rPr>
          <w:i/>
          <w:sz w:val="24"/>
        </w:rPr>
        <w:t>connection </w:t>
      </w:r>
      <w:r>
        <w:rPr>
          <w:sz w:val="24"/>
        </w:rPr>
        <w:t>to the </w:t>
      </w:r>
      <w:r>
        <w:rPr>
          <w:i/>
          <w:sz w:val="24"/>
        </w:rPr>
        <w:t>large dedicated </w:t>
      </w:r>
      <w:r>
        <w:rPr>
          <w:i/>
          <w:sz w:val="24"/>
        </w:rPr>
        <w:t>connection</w:t>
      </w:r>
      <w:r>
        <w:rPr>
          <w:i/>
          <w:spacing w:val="-1"/>
          <w:sz w:val="24"/>
        </w:rPr>
        <w:t> </w:t>
      </w:r>
      <w:r>
        <w:rPr>
          <w:i/>
          <w:sz w:val="24"/>
        </w:rPr>
        <w:t>asset</w:t>
      </w:r>
      <w:r>
        <w:rPr>
          <w:sz w:val="24"/>
        </w:rPr>
        <w:t>.</w:t>
      </w:r>
    </w:p>
    <w:p>
      <w:pPr>
        <w:pStyle w:val="ListParagraph"/>
        <w:numPr>
          <w:ilvl w:val="0"/>
          <w:numId w:val="346"/>
        </w:numPr>
        <w:tabs>
          <w:tab w:pos="1919" w:val="left" w:leader="none"/>
        </w:tabs>
        <w:spacing w:line="240" w:lineRule="auto" w:before="120" w:after="0"/>
        <w:ind w:left="1919" w:right="414" w:hanging="567"/>
        <w:jc w:val="both"/>
        <w:rPr>
          <w:sz w:val="24"/>
        </w:rPr>
      </w:pPr>
      <w:r>
        <w:rPr>
          <w:sz w:val="24"/>
        </w:rPr>
        <w:t>The </w:t>
      </w:r>
      <w:r>
        <w:rPr>
          <w:i/>
          <w:sz w:val="24"/>
        </w:rPr>
        <w:t>connection </w:t>
      </w:r>
      <w:r>
        <w:rPr>
          <w:sz w:val="24"/>
        </w:rPr>
        <w:t>of an applicant to an existing </w:t>
      </w:r>
      <w:r>
        <w:rPr>
          <w:i/>
          <w:sz w:val="24"/>
        </w:rPr>
        <w:t>large dedicated connection </w:t>
      </w:r>
      <w:r>
        <w:rPr>
          <w:i/>
          <w:sz w:val="24"/>
        </w:rPr>
        <w:t>asset </w:t>
      </w:r>
      <w:r>
        <w:rPr>
          <w:sz w:val="24"/>
        </w:rPr>
        <w:t>and access to </w:t>
      </w:r>
      <w:r>
        <w:rPr>
          <w:i/>
          <w:sz w:val="24"/>
        </w:rPr>
        <w:t>large DCA services </w:t>
      </w:r>
      <w:r>
        <w:rPr>
          <w:sz w:val="24"/>
        </w:rPr>
        <w:t>must not adversely affect the </w:t>
      </w:r>
      <w:r>
        <w:rPr>
          <w:i/>
          <w:sz w:val="24"/>
        </w:rPr>
        <w:t>access </w:t>
      </w:r>
      <w:r>
        <w:rPr>
          <w:i/>
          <w:sz w:val="24"/>
        </w:rPr>
        <w:t>standards</w:t>
      </w:r>
      <w:r>
        <w:rPr>
          <w:sz w:val="24"/>
        </w:rPr>
        <w:t>, including </w:t>
      </w:r>
      <w:r>
        <w:rPr>
          <w:i/>
          <w:sz w:val="24"/>
        </w:rPr>
        <w:t>performance standards </w:t>
      </w:r>
      <w:r>
        <w:rPr>
          <w:sz w:val="24"/>
        </w:rPr>
        <w:t>and </w:t>
      </w:r>
      <w:r>
        <w:rPr>
          <w:i/>
          <w:sz w:val="24"/>
        </w:rPr>
        <w:t>power transfer capability </w:t>
      </w:r>
      <w:r>
        <w:rPr>
          <w:sz w:val="24"/>
        </w:rPr>
        <w:t>of an existing connecting party at the time of the access application by the applicant.</w:t>
      </w:r>
    </w:p>
    <w:p>
      <w:pPr>
        <w:pStyle w:val="ListParagraph"/>
        <w:numPr>
          <w:ilvl w:val="0"/>
          <w:numId w:val="346"/>
        </w:numPr>
        <w:tabs>
          <w:tab w:pos="1919" w:val="left" w:leader="none"/>
        </w:tabs>
        <w:spacing w:line="240" w:lineRule="auto" w:before="120" w:after="0"/>
        <w:ind w:left="1919" w:right="414" w:hanging="567"/>
        <w:jc w:val="both"/>
        <w:rPr>
          <w:sz w:val="24"/>
        </w:rPr>
      </w:pPr>
      <w:r>
        <w:rPr>
          <w:sz w:val="24"/>
        </w:rPr>
        <w:t>The </w:t>
      </w:r>
      <w:r>
        <w:rPr>
          <w:i/>
          <w:sz w:val="24"/>
        </w:rPr>
        <w:t>connection </w:t>
      </w:r>
      <w:r>
        <w:rPr>
          <w:sz w:val="24"/>
        </w:rPr>
        <w:t>of an applicant to an existing </w:t>
      </w:r>
      <w:r>
        <w:rPr>
          <w:i/>
          <w:sz w:val="24"/>
        </w:rPr>
        <w:t>large dedicated connection </w:t>
      </w:r>
      <w:r>
        <w:rPr>
          <w:i/>
          <w:sz w:val="24"/>
        </w:rPr>
        <w:t>asset </w:t>
      </w:r>
      <w:r>
        <w:rPr>
          <w:sz w:val="24"/>
        </w:rPr>
        <w:t>and access to </w:t>
      </w:r>
      <w:r>
        <w:rPr>
          <w:i/>
          <w:sz w:val="24"/>
        </w:rPr>
        <w:t>large DCA services </w:t>
      </w:r>
      <w:r>
        <w:rPr>
          <w:sz w:val="24"/>
        </w:rPr>
        <w:t>must not adversely affect contractual obligations of an existing connecting party to the </w:t>
      </w:r>
      <w:r>
        <w:rPr>
          <w:i/>
          <w:sz w:val="24"/>
        </w:rPr>
        <w:t>large  dedicated </w:t>
      </w:r>
      <w:r>
        <w:rPr>
          <w:i/>
          <w:sz w:val="24"/>
        </w:rPr>
        <w:t>connection asset </w:t>
      </w:r>
      <w:r>
        <w:rPr>
          <w:sz w:val="24"/>
        </w:rPr>
        <w:t>with the relevant </w:t>
      </w:r>
      <w:r>
        <w:rPr>
          <w:i/>
          <w:sz w:val="24"/>
        </w:rPr>
        <w:t>Dedicated Connection Asset Service </w:t>
      </w:r>
      <w:r>
        <w:rPr>
          <w:i/>
          <w:sz w:val="24"/>
        </w:rPr>
        <w:t>Provider</w:t>
      </w:r>
      <w:r>
        <w:rPr>
          <w:sz w:val="24"/>
        </w:rPr>
        <w:t>.</w:t>
      </w:r>
    </w:p>
    <w:p>
      <w:pPr>
        <w:pStyle w:val="ListParagraph"/>
        <w:numPr>
          <w:ilvl w:val="0"/>
          <w:numId w:val="346"/>
        </w:numPr>
        <w:tabs>
          <w:tab w:pos="1919" w:val="left" w:leader="none"/>
        </w:tabs>
        <w:spacing w:line="240" w:lineRule="auto" w:before="120" w:after="0"/>
        <w:ind w:left="1919" w:right="414" w:hanging="567"/>
        <w:jc w:val="both"/>
        <w:rPr>
          <w:sz w:val="24"/>
        </w:rPr>
      </w:pPr>
      <w:r>
        <w:rPr>
          <w:sz w:val="24"/>
        </w:rPr>
        <w:t>An applicant must compensate the </w:t>
      </w:r>
      <w:r>
        <w:rPr>
          <w:i/>
          <w:sz w:val="24"/>
        </w:rPr>
        <w:t>Dedicated Connection Asset Service </w:t>
      </w:r>
      <w:r>
        <w:rPr>
          <w:i/>
          <w:sz w:val="24"/>
        </w:rPr>
        <w:t>Provider </w:t>
      </w:r>
      <w:r>
        <w:rPr>
          <w:sz w:val="24"/>
        </w:rPr>
        <w:t>(and any existing connecting party) for any lost revenue incurred during an upgrade of, or alterations to, an existing </w:t>
      </w:r>
      <w:r>
        <w:rPr>
          <w:i/>
          <w:sz w:val="24"/>
        </w:rPr>
        <w:t>large </w:t>
      </w:r>
      <w:r>
        <w:rPr>
          <w:i/>
          <w:spacing w:val="-3"/>
          <w:sz w:val="24"/>
        </w:rPr>
        <w:t>dedicated </w:t>
      </w:r>
      <w:r>
        <w:rPr>
          <w:i/>
          <w:sz w:val="24"/>
        </w:rPr>
        <w:t>connection asset </w:t>
      </w:r>
      <w:r>
        <w:rPr>
          <w:sz w:val="24"/>
        </w:rPr>
        <w:t>and metering and other related equipment moves to provide for the </w:t>
      </w:r>
      <w:r>
        <w:rPr>
          <w:i/>
          <w:sz w:val="24"/>
        </w:rPr>
        <w:t>connection </w:t>
      </w:r>
      <w:r>
        <w:rPr>
          <w:sz w:val="24"/>
        </w:rPr>
        <w:t>and operation of the applicant's </w:t>
      </w:r>
      <w:r>
        <w:rPr>
          <w:i/>
          <w:sz w:val="24"/>
        </w:rPr>
        <w:t>facilities </w:t>
      </w:r>
      <w:r>
        <w:rPr>
          <w:sz w:val="24"/>
        </w:rPr>
        <w:t>and access to </w:t>
      </w:r>
      <w:r>
        <w:rPr>
          <w:i/>
          <w:sz w:val="24"/>
        </w:rPr>
        <w:t>large DCA</w:t>
      </w:r>
      <w:r>
        <w:rPr>
          <w:i/>
          <w:spacing w:val="-4"/>
          <w:sz w:val="24"/>
        </w:rPr>
        <w:t> </w:t>
      </w:r>
      <w:r>
        <w:rPr>
          <w:i/>
          <w:sz w:val="24"/>
        </w:rPr>
        <w:t>services</w:t>
      </w:r>
      <w:r>
        <w:rPr>
          <w:sz w:val="24"/>
        </w:rPr>
        <w:t>.</w:t>
      </w:r>
    </w:p>
    <w:p>
      <w:pPr>
        <w:pStyle w:val="ListParagraph"/>
        <w:numPr>
          <w:ilvl w:val="0"/>
          <w:numId w:val="346"/>
        </w:numPr>
        <w:tabs>
          <w:tab w:pos="1919" w:val="left" w:leader="none"/>
        </w:tabs>
        <w:spacing w:line="240" w:lineRule="auto" w:before="120" w:after="0"/>
        <w:ind w:left="1919" w:right="414" w:hanging="567"/>
        <w:jc w:val="both"/>
        <w:rPr>
          <w:sz w:val="24"/>
        </w:rPr>
      </w:pPr>
      <w:r>
        <w:rPr>
          <w:sz w:val="24"/>
        </w:rPr>
        <w:t>The </w:t>
      </w:r>
      <w:r>
        <w:rPr>
          <w:i/>
          <w:sz w:val="24"/>
        </w:rPr>
        <w:t>connection </w:t>
      </w:r>
      <w:r>
        <w:rPr>
          <w:sz w:val="24"/>
        </w:rPr>
        <w:t>of an applicant to a </w:t>
      </w:r>
      <w:r>
        <w:rPr>
          <w:i/>
          <w:sz w:val="24"/>
        </w:rPr>
        <w:t>large dedicated connection asset </w:t>
      </w:r>
      <w:r>
        <w:rPr>
          <w:sz w:val="24"/>
        </w:rPr>
        <w:t>and access to </w:t>
      </w:r>
      <w:r>
        <w:rPr>
          <w:i/>
          <w:sz w:val="24"/>
        </w:rPr>
        <w:t>large DCA services </w:t>
      </w:r>
      <w:r>
        <w:rPr>
          <w:sz w:val="24"/>
        </w:rPr>
        <w:t>must</w:t>
      </w:r>
      <w:r>
        <w:rPr>
          <w:spacing w:val="-4"/>
          <w:sz w:val="24"/>
        </w:rPr>
        <w:t> </w:t>
      </w:r>
      <w:r>
        <w:rPr>
          <w:sz w:val="24"/>
        </w:rPr>
        <w:t>not:</w:t>
      </w:r>
    </w:p>
    <w:p>
      <w:pPr>
        <w:spacing w:after="0" w:line="240" w:lineRule="auto"/>
        <w:jc w:val="both"/>
        <w:rPr>
          <w:sz w:val="24"/>
        </w:rPr>
        <w:sectPr>
          <w:pgSz w:w="11910" w:h="16840"/>
          <w:pgMar w:header="686" w:footer="637" w:top="1320" w:bottom="820" w:left="1200" w:right="1000"/>
        </w:sectPr>
      </w:pPr>
    </w:p>
    <w:p>
      <w:pPr>
        <w:pStyle w:val="ListParagraph"/>
        <w:numPr>
          <w:ilvl w:val="1"/>
          <w:numId w:val="346"/>
        </w:numPr>
        <w:tabs>
          <w:tab w:pos="2486" w:val="left" w:leader="none"/>
        </w:tabs>
        <w:spacing w:line="240" w:lineRule="auto" w:before="83" w:after="0"/>
        <w:ind w:left="2486" w:right="414" w:hanging="567"/>
        <w:jc w:val="both"/>
        <w:rPr>
          <w:sz w:val="24"/>
        </w:rPr>
      </w:pPr>
      <w:r>
        <w:rPr>
          <w:sz w:val="24"/>
        </w:rPr>
        <w:t>prevent an existing connecting party at the time of the applicant's access application from obtaining a sufficient amount of </w:t>
      </w:r>
      <w:r>
        <w:rPr>
          <w:i/>
          <w:sz w:val="24"/>
        </w:rPr>
        <w:t>large DCA </w:t>
      </w:r>
      <w:r>
        <w:rPr>
          <w:i/>
          <w:sz w:val="24"/>
        </w:rPr>
        <w:t>services </w:t>
      </w:r>
      <w:r>
        <w:rPr>
          <w:sz w:val="24"/>
        </w:rPr>
        <w:t>to be able to meet that person's reasonably anticipated requirements, measured at the time of the access application by </w:t>
      </w:r>
      <w:r>
        <w:rPr>
          <w:spacing w:val="-4"/>
          <w:sz w:val="24"/>
        </w:rPr>
        <w:t>the </w:t>
      </w:r>
      <w:r>
        <w:rPr>
          <w:sz w:val="24"/>
        </w:rPr>
        <w:t>applicant;</w:t>
      </w:r>
    </w:p>
    <w:p>
      <w:pPr>
        <w:pStyle w:val="ListParagraph"/>
        <w:numPr>
          <w:ilvl w:val="1"/>
          <w:numId w:val="346"/>
        </w:numPr>
        <w:tabs>
          <w:tab w:pos="2486" w:val="left" w:leader="none"/>
        </w:tabs>
        <w:spacing w:line="240" w:lineRule="auto" w:before="120" w:after="0"/>
        <w:ind w:left="2486" w:right="415" w:hanging="567"/>
        <w:jc w:val="both"/>
        <w:rPr>
          <w:sz w:val="24"/>
        </w:rPr>
      </w:pPr>
      <w:r>
        <w:rPr>
          <w:sz w:val="24"/>
        </w:rPr>
        <w:t>result in the applicant becoming the owner (or one of the owners) of any part of the existing </w:t>
      </w:r>
      <w:r>
        <w:rPr>
          <w:i/>
          <w:sz w:val="24"/>
        </w:rPr>
        <w:t>large dedicated connection asset </w:t>
      </w:r>
      <w:r>
        <w:rPr>
          <w:sz w:val="24"/>
        </w:rPr>
        <w:t>or upgrade </w:t>
      </w:r>
      <w:r>
        <w:rPr>
          <w:spacing w:val="-6"/>
          <w:sz w:val="24"/>
        </w:rPr>
        <w:t>of </w:t>
      </w:r>
      <w:r>
        <w:rPr>
          <w:sz w:val="24"/>
        </w:rPr>
        <w:t>that asset without the consent of the existing</w:t>
      </w:r>
      <w:r>
        <w:rPr>
          <w:spacing w:val="-4"/>
          <w:sz w:val="24"/>
        </w:rPr>
        <w:t> </w:t>
      </w:r>
      <w:r>
        <w:rPr>
          <w:sz w:val="24"/>
        </w:rPr>
        <w:t>owner;</w:t>
      </w:r>
    </w:p>
    <w:p>
      <w:pPr>
        <w:pStyle w:val="ListParagraph"/>
        <w:numPr>
          <w:ilvl w:val="1"/>
          <w:numId w:val="346"/>
        </w:numPr>
        <w:tabs>
          <w:tab w:pos="2486" w:val="left" w:leader="none"/>
        </w:tabs>
        <w:spacing w:line="240" w:lineRule="auto" w:before="120" w:after="0"/>
        <w:ind w:left="2486" w:right="415" w:hanging="567"/>
        <w:jc w:val="both"/>
        <w:rPr>
          <w:sz w:val="24"/>
        </w:rPr>
      </w:pPr>
      <w:r>
        <w:rPr>
          <w:sz w:val="24"/>
        </w:rPr>
        <w:t>require an existing connecting party or the owner of the </w:t>
      </w:r>
      <w:r>
        <w:rPr>
          <w:i/>
          <w:sz w:val="24"/>
        </w:rPr>
        <w:t>large </w:t>
      </w:r>
      <w:r>
        <w:rPr>
          <w:i/>
          <w:sz w:val="24"/>
        </w:rPr>
        <w:t>dedicated connection asset </w:t>
      </w:r>
      <w:r>
        <w:rPr>
          <w:sz w:val="24"/>
        </w:rPr>
        <w:t>to bear all or some of the costs of an upgrade of the </w:t>
      </w:r>
      <w:r>
        <w:rPr>
          <w:i/>
          <w:sz w:val="24"/>
        </w:rPr>
        <w:t>large dedicated connection asset </w:t>
      </w:r>
      <w:r>
        <w:rPr>
          <w:sz w:val="24"/>
        </w:rPr>
        <w:t>or maintaining an upgrade;</w:t>
      </w:r>
    </w:p>
    <w:p>
      <w:pPr>
        <w:pStyle w:val="ListParagraph"/>
        <w:numPr>
          <w:ilvl w:val="1"/>
          <w:numId w:val="346"/>
        </w:numPr>
        <w:tabs>
          <w:tab w:pos="2486" w:val="left" w:leader="none"/>
        </w:tabs>
        <w:spacing w:line="240" w:lineRule="auto" w:before="120" w:after="0"/>
        <w:ind w:left="2486" w:right="414" w:hanging="567"/>
        <w:jc w:val="both"/>
        <w:rPr>
          <w:sz w:val="24"/>
        </w:rPr>
      </w:pPr>
      <w:r>
        <w:rPr>
          <w:sz w:val="24"/>
        </w:rPr>
        <w:t>require an existing connecting party to the </w:t>
      </w:r>
      <w:r>
        <w:rPr>
          <w:i/>
          <w:sz w:val="24"/>
        </w:rPr>
        <w:t>large dedicated connection </w:t>
      </w:r>
      <w:r>
        <w:rPr>
          <w:i/>
          <w:sz w:val="24"/>
        </w:rPr>
        <w:t>asset </w:t>
      </w:r>
      <w:r>
        <w:rPr>
          <w:sz w:val="24"/>
        </w:rPr>
        <w:t>to bear all or some of the costs of an interconnection to the </w:t>
      </w:r>
      <w:r>
        <w:rPr>
          <w:i/>
          <w:sz w:val="24"/>
        </w:rPr>
        <w:t>large </w:t>
      </w:r>
      <w:r>
        <w:rPr>
          <w:i/>
          <w:sz w:val="24"/>
        </w:rPr>
        <w:t>dedicated connection asset </w:t>
      </w:r>
      <w:r>
        <w:rPr>
          <w:sz w:val="24"/>
        </w:rPr>
        <w:t>or maintaining an</w:t>
      </w:r>
      <w:r>
        <w:rPr>
          <w:spacing w:val="-3"/>
          <w:sz w:val="24"/>
        </w:rPr>
        <w:t> </w:t>
      </w:r>
      <w:r>
        <w:rPr>
          <w:sz w:val="24"/>
        </w:rPr>
        <w:t>interconnection.</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5A</w:t>
                  </w:r>
                </w:p>
              </w:txbxContent>
            </v:textbox>
            <v:fill type="solid"/>
            <v:stroke dashstyle="solid"/>
          </v:shape>
        </w:pict>
      </w:r>
      <w:r>
        <w:rPr>
          <w:position w:val="0"/>
          <w:sz w:val="20"/>
        </w:rPr>
      </w:r>
    </w:p>
    <w:p>
      <w:pPr>
        <w:spacing w:after="0"/>
        <w:jc w:val="left"/>
        <w:rPr>
          <w:sz w:val="20"/>
        </w:rPr>
        <w:sectPr>
          <w:headerReference w:type="default" r:id="rId62"/>
          <w:footerReference w:type="default" r:id="rId63"/>
          <w:pgSz w:w="11910" w:h="16840"/>
          <w:pgMar w:header="686" w:footer="637" w:top="1320" w:bottom="820" w:left="1200" w:right="1000"/>
          <w:pgNumType w:start="379"/>
        </w:sectPr>
      </w:pPr>
    </w:p>
    <w:p>
      <w:pPr>
        <w:pStyle w:val="BodyText"/>
        <w:spacing w:before="4"/>
        <w:ind w:firstLine="0"/>
        <w:jc w:val="left"/>
        <w:rPr>
          <w:sz w:val="17"/>
        </w:rPr>
      </w:pPr>
    </w:p>
    <w:p>
      <w:pPr>
        <w:spacing w:after="0"/>
        <w:jc w:val="left"/>
        <w:rPr>
          <w:sz w:val="17"/>
        </w:rPr>
        <w:sectPr>
          <w:headerReference w:type="default" r:id="rId64"/>
          <w:footerReference w:type="default" r:id="rId65"/>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5A. Electricity connection for retail cu" w:id="1120"/>
      <w:bookmarkEnd w:id="1120"/>
      <w:r>
        <w:rPr>
          <w:b w:val="0"/>
        </w:rPr>
      </w:r>
      <w:bookmarkStart w:name="_bookmark452" w:id="1121"/>
      <w:bookmarkEnd w:id="1121"/>
      <w:r>
        <w:rPr>
          <w:b w:val="0"/>
        </w:rPr>
      </w:r>
      <w:r>
        <w:rPr/>
        <w:t>5A.</w:t>
        <w:tab/>
        <w:t>Electricity connection for retail</w:t>
      </w:r>
      <w:r>
        <w:rPr>
          <w:spacing w:val="-5"/>
        </w:rPr>
        <w:t> </w:t>
      </w:r>
      <w:r>
        <w:rPr/>
        <w:t>customers</w:t>
      </w:r>
    </w:p>
    <w:p>
      <w:pPr>
        <w:pStyle w:val="Heading2"/>
        <w:tabs>
          <w:tab w:pos="1352" w:val="left" w:leader="none"/>
          <w:tab w:pos="9317" w:val="left" w:leader="none"/>
        </w:tabs>
        <w:spacing w:before="240"/>
      </w:pPr>
      <w:bookmarkStart w:name="Part A Preliminary" w:id="1122"/>
      <w:bookmarkEnd w:id="1122"/>
      <w:r>
        <w:rPr>
          <w:b w:val="0"/>
        </w:rPr>
      </w:r>
      <w:bookmarkStart w:name="_bookmark453" w:id="1123"/>
      <w:bookmarkEnd w:id="1123"/>
      <w:r>
        <w:rPr>
          <w:b w:val="0"/>
        </w:rPr>
      </w:r>
      <w:r>
        <w:rPr>
          <w:shd w:fill="D9D9D9" w:color="auto" w:val="clear"/>
        </w:rPr>
        <w:t>Part A</w:t>
        <w:tab/>
        <w:t>Preliminary</w:t>
        <w:tab/>
      </w:r>
    </w:p>
    <w:p>
      <w:pPr>
        <w:pStyle w:val="Heading4"/>
        <w:tabs>
          <w:tab w:pos="1351" w:val="left" w:leader="none"/>
        </w:tabs>
        <w:spacing w:before="240"/>
        <w:ind w:left="218" w:firstLine="0"/>
      </w:pPr>
      <w:bookmarkStart w:name=" " w:id="1124"/>
      <w:bookmarkEnd w:id="1124"/>
      <w:r>
        <w:rPr>
          <w:b w:val="0"/>
        </w:rPr>
      </w:r>
      <w:bookmarkStart w:name="5A.A.1 Definitions" w:id="1125"/>
      <w:bookmarkEnd w:id="1125"/>
      <w:r>
        <w:rPr>
          <w:b w:val="0"/>
        </w:rPr>
      </w:r>
      <w:bookmarkStart w:name="_bookmark454" w:id="1126"/>
      <w:bookmarkEnd w:id="1126"/>
      <w:r>
        <w:rPr>
          <w:b w:val="0"/>
        </w:rPr>
      </w:r>
      <w:r>
        <w:rPr/>
        <w:t>5A.A.1</w:t>
        <w:tab/>
        <w:t>Definitions</w:t>
      </w:r>
    </w:p>
    <w:p>
      <w:pPr>
        <w:pStyle w:val="BodyText"/>
        <w:ind w:left="1352" w:firstLine="0"/>
      </w:pPr>
      <w:r>
        <w:rPr/>
        <w:t>In this Chapter:</w:t>
      </w:r>
    </w:p>
    <w:p>
      <w:pPr>
        <w:pStyle w:val="Heading4"/>
        <w:spacing w:before="120"/>
        <w:ind w:left="218" w:firstLine="0"/>
        <w:jc w:val="both"/>
        <w:rPr>
          <w:rFonts w:ascii="Times New Roman"/>
        </w:rPr>
      </w:pPr>
      <w:r>
        <w:rPr>
          <w:rFonts w:ascii="Times New Roman"/>
        </w:rPr>
        <w:t>basic connection service</w:t>
      </w:r>
    </w:p>
    <w:p>
      <w:pPr>
        <w:spacing w:before="120"/>
        <w:ind w:left="1352" w:right="414" w:firstLine="0"/>
        <w:jc w:val="both"/>
        <w:rPr>
          <w:sz w:val="24"/>
        </w:rPr>
      </w:pPr>
      <w:r>
        <w:rPr>
          <w:sz w:val="24"/>
        </w:rPr>
        <w:t>means a </w:t>
      </w:r>
      <w:r>
        <w:rPr>
          <w:i/>
          <w:sz w:val="24"/>
        </w:rPr>
        <w:t>connection service </w:t>
      </w:r>
      <w:r>
        <w:rPr>
          <w:sz w:val="24"/>
        </w:rPr>
        <w:t>related to a </w:t>
      </w:r>
      <w:r>
        <w:rPr>
          <w:i/>
          <w:sz w:val="24"/>
        </w:rPr>
        <w:t>connection </w:t>
      </w:r>
      <w:r>
        <w:rPr>
          <w:sz w:val="24"/>
        </w:rPr>
        <w:t>(or a proposed </w:t>
      </w:r>
      <w:r>
        <w:rPr>
          <w:i/>
          <w:sz w:val="24"/>
        </w:rPr>
        <w:t>connection</w:t>
      </w:r>
      <w:r>
        <w:rPr>
          <w:sz w:val="24"/>
        </w:rPr>
        <w:t>) between a </w:t>
      </w:r>
      <w:r>
        <w:rPr>
          <w:i/>
          <w:sz w:val="24"/>
        </w:rPr>
        <w:t>distribution system </w:t>
      </w:r>
      <w:r>
        <w:rPr>
          <w:sz w:val="24"/>
        </w:rPr>
        <w:t>and a </w:t>
      </w:r>
      <w:r>
        <w:rPr>
          <w:i/>
          <w:sz w:val="24"/>
        </w:rPr>
        <w:t>retail customer's </w:t>
      </w:r>
      <w:r>
        <w:rPr>
          <w:sz w:val="24"/>
        </w:rPr>
        <w:t>premises (excluding a non- registered </w:t>
      </w:r>
      <w:r>
        <w:rPr>
          <w:i/>
          <w:sz w:val="24"/>
        </w:rPr>
        <w:t>embedded generator's </w:t>
      </w:r>
      <w:r>
        <w:rPr>
          <w:sz w:val="24"/>
        </w:rPr>
        <w:t>premises) in the following circumstances:</w:t>
      </w:r>
    </w:p>
    <w:p>
      <w:pPr>
        <w:pStyle w:val="ListParagraph"/>
        <w:numPr>
          <w:ilvl w:val="0"/>
          <w:numId w:val="347"/>
        </w:numPr>
        <w:tabs>
          <w:tab w:pos="1919" w:val="left" w:leader="none"/>
        </w:tabs>
        <w:spacing w:line="240" w:lineRule="auto" w:before="120" w:after="0"/>
        <w:ind w:left="1918" w:right="0" w:hanging="567"/>
        <w:jc w:val="both"/>
        <w:rPr>
          <w:sz w:val="24"/>
        </w:rPr>
      </w:pPr>
      <w:r>
        <w:rPr>
          <w:sz w:val="24"/>
        </w:rPr>
        <w:t>either:</w:t>
      </w:r>
    </w:p>
    <w:p>
      <w:pPr>
        <w:pStyle w:val="ListParagraph"/>
        <w:numPr>
          <w:ilvl w:val="1"/>
          <w:numId w:val="347"/>
        </w:numPr>
        <w:tabs>
          <w:tab w:pos="2486" w:val="left" w:leader="none"/>
        </w:tabs>
        <w:spacing w:line="240" w:lineRule="auto" w:before="120" w:after="0"/>
        <w:ind w:left="2485" w:right="0" w:hanging="567"/>
        <w:jc w:val="both"/>
        <w:rPr>
          <w:i/>
          <w:sz w:val="24"/>
        </w:rPr>
      </w:pPr>
      <w:r>
        <w:rPr>
          <w:sz w:val="24"/>
        </w:rPr>
        <w:t>the</w:t>
      </w:r>
      <w:r>
        <w:rPr>
          <w:spacing w:val="12"/>
          <w:sz w:val="24"/>
        </w:rPr>
        <w:t> </w:t>
      </w:r>
      <w:r>
        <w:rPr>
          <w:i/>
          <w:sz w:val="24"/>
        </w:rPr>
        <w:t>retail</w:t>
      </w:r>
      <w:r>
        <w:rPr>
          <w:i/>
          <w:spacing w:val="13"/>
          <w:sz w:val="24"/>
        </w:rPr>
        <w:t> </w:t>
      </w:r>
      <w:r>
        <w:rPr>
          <w:i/>
          <w:sz w:val="24"/>
        </w:rPr>
        <w:t>customer</w:t>
      </w:r>
      <w:r>
        <w:rPr>
          <w:i/>
          <w:spacing w:val="12"/>
          <w:sz w:val="24"/>
        </w:rPr>
        <w:t> </w:t>
      </w:r>
      <w:r>
        <w:rPr>
          <w:sz w:val="24"/>
        </w:rPr>
        <w:t>is</w:t>
      </w:r>
      <w:r>
        <w:rPr>
          <w:spacing w:val="13"/>
          <w:sz w:val="24"/>
        </w:rPr>
        <w:t> </w:t>
      </w:r>
      <w:r>
        <w:rPr>
          <w:sz w:val="24"/>
        </w:rPr>
        <w:t>typical</w:t>
      </w:r>
      <w:r>
        <w:rPr>
          <w:spacing w:val="13"/>
          <w:sz w:val="24"/>
        </w:rPr>
        <w:t> </w:t>
      </w:r>
      <w:r>
        <w:rPr>
          <w:sz w:val="24"/>
        </w:rPr>
        <w:t>of</w:t>
      </w:r>
      <w:r>
        <w:rPr>
          <w:spacing w:val="12"/>
          <w:sz w:val="24"/>
        </w:rPr>
        <w:t> </w:t>
      </w:r>
      <w:r>
        <w:rPr>
          <w:sz w:val="24"/>
        </w:rPr>
        <w:t>a</w:t>
      </w:r>
      <w:r>
        <w:rPr>
          <w:spacing w:val="13"/>
          <w:sz w:val="24"/>
        </w:rPr>
        <w:t> </w:t>
      </w:r>
      <w:r>
        <w:rPr>
          <w:sz w:val="24"/>
        </w:rPr>
        <w:t>significant</w:t>
      </w:r>
      <w:r>
        <w:rPr>
          <w:spacing w:val="13"/>
          <w:sz w:val="24"/>
        </w:rPr>
        <w:t> </w:t>
      </w:r>
      <w:r>
        <w:rPr>
          <w:sz w:val="24"/>
        </w:rPr>
        <w:t>class</w:t>
      </w:r>
      <w:r>
        <w:rPr>
          <w:spacing w:val="12"/>
          <w:sz w:val="24"/>
        </w:rPr>
        <w:t> </w:t>
      </w:r>
      <w:r>
        <w:rPr>
          <w:sz w:val="24"/>
        </w:rPr>
        <w:t>of</w:t>
      </w:r>
      <w:r>
        <w:rPr>
          <w:spacing w:val="13"/>
          <w:sz w:val="24"/>
        </w:rPr>
        <w:t> </w:t>
      </w:r>
      <w:r>
        <w:rPr>
          <w:i/>
          <w:sz w:val="24"/>
        </w:rPr>
        <w:t>retail</w:t>
      </w:r>
      <w:r>
        <w:rPr>
          <w:i/>
          <w:spacing w:val="13"/>
          <w:sz w:val="24"/>
        </w:rPr>
        <w:t> </w:t>
      </w:r>
      <w:r>
        <w:rPr>
          <w:i/>
          <w:sz w:val="24"/>
        </w:rPr>
        <w:t>customers</w:t>
      </w:r>
    </w:p>
    <w:p>
      <w:pPr>
        <w:pStyle w:val="BodyText"/>
        <w:spacing w:before="0"/>
        <w:ind w:left="2486" w:firstLine="0"/>
      </w:pPr>
      <w:r>
        <w:rPr/>
        <w:t>who have sought, or are likely to seek, the service; or</w:t>
      </w:r>
    </w:p>
    <w:p>
      <w:pPr>
        <w:pStyle w:val="ListParagraph"/>
        <w:numPr>
          <w:ilvl w:val="1"/>
          <w:numId w:val="347"/>
        </w:numPr>
        <w:tabs>
          <w:tab w:pos="2486" w:val="left" w:leader="none"/>
        </w:tabs>
        <w:spacing w:line="240" w:lineRule="auto" w:before="120" w:after="0"/>
        <w:ind w:left="2486" w:right="414" w:hanging="567"/>
        <w:jc w:val="both"/>
        <w:rPr>
          <w:sz w:val="24"/>
        </w:rPr>
      </w:pPr>
      <w:r>
        <w:rPr>
          <w:sz w:val="24"/>
        </w:rPr>
        <w:t>the </w:t>
      </w:r>
      <w:r>
        <w:rPr>
          <w:i/>
          <w:sz w:val="24"/>
        </w:rPr>
        <w:t>retail customer </w:t>
      </w:r>
      <w:r>
        <w:rPr>
          <w:sz w:val="24"/>
        </w:rPr>
        <w:t>is, or proposes to become, a </w:t>
      </w:r>
      <w:r>
        <w:rPr>
          <w:i/>
          <w:sz w:val="24"/>
        </w:rPr>
        <w:t>micro embedded </w:t>
      </w:r>
      <w:r>
        <w:rPr>
          <w:i/>
          <w:sz w:val="24"/>
        </w:rPr>
        <w:t>generator</w:t>
      </w:r>
      <w:r>
        <w:rPr>
          <w:sz w:val="24"/>
        </w:rPr>
        <w:t>; and</w:t>
      </w:r>
    </w:p>
    <w:p>
      <w:pPr>
        <w:pStyle w:val="ListParagraph"/>
        <w:numPr>
          <w:ilvl w:val="0"/>
          <w:numId w:val="347"/>
        </w:numPr>
        <w:tabs>
          <w:tab w:pos="1919" w:val="left" w:leader="none"/>
        </w:tabs>
        <w:spacing w:line="240" w:lineRule="auto" w:before="120" w:after="0"/>
        <w:ind w:left="1918" w:right="0" w:hanging="567"/>
        <w:jc w:val="both"/>
        <w:rPr>
          <w:sz w:val="24"/>
        </w:rPr>
      </w:pPr>
      <w:r>
        <w:rPr>
          <w:sz w:val="24"/>
        </w:rPr>
        <w:t>the</w:t>
      </w:r>
      <w:r>
        <w:rPr>
          <w:spacing w:val="42"/>
          <w:sz w:val="24"/>
        </w:rPr>
        <w:t> </w:t>
      </w:r>
      <w:r>
        <w:rPr>
          <w:sz w:val="24"/>
        </w:rPr>
        <w:t>provision</w:t>
      </w:r>
      <w:r>
        <w:rPr>
          <w:spacing w:val="41"/>
          <w:sz w:val="24"/>
        </w:rPr>
        <w:t> </w:t>
      </w:r>
      <w:r>
        <w:rPr>
          <w:sz w:val="24"/>
        </w:rPr>
        <w:t>of</w:t>
      </w:r>
      <w:r>
        <w:rPr>
          <w:spacing w:val="41"/>
          <w:sz w:val="24"/>
        </w:rPr>
        <w:t> </w:t>
      </w:r>
      <w:r>
        <w:rPr>
          <w:sz w:val="24"/>
        </w:rPr>
        <w:t>the</w:t>
      </w:r>
      <w:r>
        <w:rPr>
          <w:spacing w:val="42"/>
          <w:sz w:val="24"/>
        </w:rPr>
        <w:t> </w:t>
      </w:r>
      <w:r>
        <w:rPr>
          <w:sz w:val="24"/>
        </w:rPr>
        <w:t>service</w:t>
      </w:r>
      <w:r>
        <w:rPr>
          <w:spacing w:val="42"/>
          <w:sz w:val="24"/>
        </w:rPr>
        <w:t> </w:t>
      </w:r>
      <w:r>
        <w:rPr>
          <w:sz w:val="24"/>
        </w:rPr>
        <w:t>involves</w:t>
      </w:r>
      <w:r>
        <w:rPr>
          <w:spacing w:val="41"/>
          <w:sz w:val="24"/>
        </w:rPr>
        <w:t> </w:t>
      </w:r>
      <w:r>
        <w:rPr>
          <w:sz w:val="24"/>
        </w:rPr>
        <w:t>minimal</w:t>
      </w:r>
      <w:r>
        <w:rPr>
          <w:spacing w:val="41"/>
          <w:sz w:val="24"/>
        </w:rPr>
        <w:t> </w:t>
      </w:r>
      <w:r>
        <w:rPr>
          <w:sz w:val="24"/>
        </w:rPr>
        <w:t>or</w:t>
      </w:r>
      <w:r>
        <w:rPr>
          <w:spacing w:val="42"/>
          <w:sz w:val="24"/>
        </w:rPr>
        <w:t> </w:t>
      </w:r>
      <w:r>
        <w:rPr>
          <w:sz w:val="24"/>
        </w:rPr>
        <w:t>no</w:t>
      </w:r>
      <w:r>
        <w:rPr>
          <w:spacing w:val="41"/>
          <w:sz w:val="24"/>
        </w:rPr>
        <w:t> </w:t>
      </w:r>
      <w:r>
        <w:rPr>
          <w:i/>
          <w:sz w:val="24"/>
        </w:rPr>
        <w:t>augmentation</w:t>
      </w:r>
      <w:r>
        <w:rPr>
          <w:i/>
          <w:spacing w:val="41"/>
          <w:sz w:val="24"/>
        </w:rPr>
        <w:t> </w:t>
      </w:r>
      <w:r>
        <w:rPr>
          <w:sz w:val="24"/>
        </w:rPr>
        <w:t>of</w:t>
      </w:r>
      <w:r>
        <w:rPr>
          <w:spacing w:val="42"/>
          <w:sz w:val="24"/>
        </w:rPr>
        <w:t> </w:t>
      </w:r>
      <w:r>
        <w:rPr>
          <w:sz w:val="24"/>
        </w:rPr>
        <w:t>the</w:t>
      </w:r>
    </w:p>
    <w:p>
      <w:pPr>
        <w:spacing w:before="0"/>
        <w:ind w:left="1919" w:right="0" w:firstLine="0"/>
        <w:jc w:val="both"/>
        <w:rPr>
          <w:sz w:val="24"/>
        </w:rPr>
      </w:pPr>
      <w:r>
        <w:rPr>
          <w:i/>
          <w:sz w:val="24"/>
        </w:rPr>
        <w:t>distribution network</w:t>
      </w:r>
      <w:r>
        <w:rPr>
          <w:sz w:val="24"/>
        </w:rPr>
        <w:t>; and</w:t>
      </w:r>
    </w:p>
    <w:p>
      <w:pPr>
        <w:pStyle w:val="ListParagraph"/>
        <w:numPr>
          <w:ilvl w:val="0"/>
          <w:numId w:val="347"/>
        </w:numPr>
        <w:tabs>
          <w:tab w:pos="1919" w:val="left" w:leader="none"/>
        </w:tabs>
        <w:spacing w:line="240" w:lineRule="auto" w:before="120" w:after="0"/>
        <w:ind w:left="1919" w:right="416" w:hanging="567"/>
        <w:jc w:val="both"/>
        <w:rPr>
          <w:sz w:val="24"/>
        </w:rPr>
      </w:pPr>
      <w:r>
        <w:rPr>
          <w:sz w:val="24"/>
        </w:rPr>
        <w:t>a </w:t>
      </w:r>
      <w:r>
        <w:rPr>
          <w:i/>
          <w:sz w:val="24"/>
        </w:rPr>
        <w:t>model standing offer </w:t>
      </w:r>
      <w:r>
        <w:rPr>
          <w:sz w:val="24"/>
        </w:rPr>
        <w:t>has been approved by the </w:t>
      </w:r>
      <w:r>
        <w:rPr>
          <w:i/>
          <w:sz w:val="24"/>
        </w:rPr>
        <w:t>AER </w:t>
      </w:r>
      <w:r>
        <w:rPr>
          <w:sz w:val="24"/>
        </w:rPr>
        <w:t>for providing that service as a </w:t>
      </w:r>
      <w:r>
        <w:rPr>
          <w:i/>
          <w:sz w:val="24"/>
        </w:rPr>
        <w:t>basic connection</w:t>
      </w:r>
      <w:r>
        <w:rPr>
          <w:i/>
          <w:spacing w:val="-3"/>
          <w:sz w:val="24"/>
        </w:rPr>
        <w:t> </w:t>
      </w:r>
      <w:r>
        <w:rPr>
          <w:i/>
          <w:sz w:val="24"/>
        </w:rPr>
        <w:t>service</w:t>
      </w:r>
      <w:r>
        <w:rPr>
          <w:sz w:val="24"/>
        </w:rPr>
        <w:t>.</w:t>
      </w:r>
    </w:p>
    <w:p>
      <w:pPr>
        <w:pStyle w:val="Heading4"/>
        <w:spacing w:before="120"/>
        <w:ind w:left="218" w:firstLine="0"/>
        <w:jc w:val="both"/>
        <w:rPr>
          <w:rFonts w:ascii="Times New Roman"/>
        </w:rPr>
      </w:pPr>
      <w:r>
        <w:rPr>
          <w:rFonts w:ascii="Times New Roman"/>
        </w:rPr>
        <w:t>basic micro EG connection service</w:t>
      </w:r>
    </w:p>
    <w:p>
      <w:pPr>
        <w:spacing w:before="120"/>
        <w:ind w:left="1352" w:right="414" w:firstLine="0"/>
        <w:jc w:val="both"/>
        <w:rPr>
          <w:sz w:val="24"/>
        </w:rPr>
      </w:pPr>
      <w:r>
        <w:rPr>
          <w:sz w:val="24"/>
        </w:rPr>
        <w:t>means a </w:t>
      </w:r>
      <w:r>
        <w:rPr>
          <w:i/>
          <w:sz w:val="24"/>
        </w:rPr>
        <w:t>basic connection service </w:t>
      </w:r>
      <w:r>
        <w:rPr>
          <w:sz w:val="24"/>
        </w:rPr>
        <w:t>for a </w:t>
      </w:r>
      <w:r>
        <w:rPr>
          <w:i/>
          <w:sz w:val="24"/>
        </w:rPr>
        <w:t>retail customer </w:t>
      </w:r>
      <w:r>
        <w:rPr>
          <w:sz w:val="24"/>
        </w:rPr>
        <w:t>who is a </w:t>
      </w:r>
      <w:r>
        <w:rPr>
          <w:i/>
          <w:sz w:val="24"/>
        </w:rPr>
        <w:t>micro embedded </w:t>
      </w:r>
      <w:r>
        <w:rPr>
          <w:i/>
          <w:sz w:val="24"/>
        </w:rPr>
        <w:t>generator</w:t>
      </w:r>
      <w:r>
        <w:rPr>
          <w:sz w:val="24"/>
        </w:rPr>
        <w:t>.</w:t>
      </w:r>
    </w:p>
    <w:p>
      <w:pPr>
        <w:pStyle w:val="Heading4"/>
        <w:spacing w:before="120"/>
        <w:ind w:left="218" w:firstLine="0"/>
        <w:jc w:val="both"/>
        <w:rPr>
          <w:rFonts w:ascii="Times New Roman"/>
        </w:rPr>
      </w:pPr>
      <w:r>
        <w:rPr>
          <w:rFonts w:ascii="Times New Roman"/>
        </w:rPr>
        <w:t>confidential information</w:t>
      </w:r>
    </w:p>
    <w:p>
      <w:pPr>
        <w:spacing w:before="120"/>
        <w:ind w:left="1352" w:right="414" w:firstLine="0"/>
        <w:jc w:val="both"/>
        <w:rPr>
          <w:sz w:val="24"/>
        </w:rPr>
      </w:pPr>
      <w:r>
        <w:rPr>
          <w:sz w:val="24"/>
        </w:rPr>
        <w:t>means, in relation to a </w:t>
      </w:r>
      <w:r>
        <w:rPr>
          <w:i/>
          <w:sz w:val="24"/>
        </w:rPr>
        <w:t>Registered Participant</w:t>
      </w:r>
      <w:r>
        <w:rPr>
          <w:sz w:val="24"/>
        </w:rPr>
        <w:t>, </w:t>
      </w:r>
      <w:r>
        <w:rPr>
          <w:i/>
          <w:sz w:val="24"/>
        </w:rPr>
        <w:t>NTESMO </w:t>
      </w:r>
      <w:r>
        <w:rPr>
          <w:sz w:val="24"/>
        </w:rPr>
        <w:t>or a </w:t>
      </w:r>
      <w:r>
        <w:rPr>
          <w:i/>
          <w:sz w:val="24"/>
        </w:rPr>
        <w:t>connection </w:t>
      </w:r>
      <w:r>
        <w:rPr>
          <w:i/>
          <w:sz w:val="24"/>
        </w:rPr>
        <w:t>applicant</w:t>
      </w:r>
      <w:r>
        <w:rPr>
          <w:sz w:val="24"/>
        </w:rPr>
        <w:t>, information which is or has been provided to that </w:t>
      </w:r>
      <w:r>
        <w:rPr>
          <w:i/>
          <w:sz w:val="24"/>
        </w:rPr>
        <w:t>Registered </w:t>
      </w:r>
      <w:r>
        <w:rPr>
          <w:i/>
          <w:sz w:val="24"/>
        </w:rPr>
        <w:t>Participant</w:t>
      </w:r>
      <w:r>
        <w:rPr>
          <w:sz w:val="24"/>
        </w:rPr>
        <w:t>, </w:t>
      </w:r>
      <w:r>
        <w:rPr>
          <w:i/>
          <w:sz w:val="24"/>
        </w:rPr>
        <w:t>NTESMO </w:t>
      </w:r>
      <w:r>
        <w:rPr>
          <w:sz w:val="24"/>
        </w:rPr>
        <w:t>or </w:t>
      </w:r>
      <w:r>
        <w:rPr>
          <w:i/>
          <w:sz w:val="24"/>
        </w:rPr>
        <w:t>connection applicant </w:t>
      </w:r>
      <w:r>
        <w:rPr>
          <w:sz w:val="24"/>
        </w:rPr>
        <w:t>under or in connection with the </w:t>
      </w:r>
      <w:r>
        <w:rPr>
          <w:i/>
          <w:sz w:val="24"/>
        </w:rPr>
        <w:t>Rules </w:t>
      </w:r>
      <w:r>
        <w:rPr>
          <w:sz w:val="24"/>
        </w:rPr>
        <w:t>and which is stated under the </w:t>
      </w:r>
      <w:r>
        <w:rPr>
          <w:i/>
          <w:sz w:val="24"/>
        </w:rPr>
        <w:t>Rules</w:t>
      </w:r>
      <w:r>
        <w:rPr>
          <w:sz w:val="24"/>
        </w:rPr>
        <w:t>, or by </w:t>
      </w:r>
      <w:r>
        <w:rPr>
          <w:i/>
          <w:sz w:val="24"/>
        </w:rPr>
        <w:t>NTESMO</w:t>
      </w:r>
      <w:r>
        <w:rPr>
          <w:sz w:val="24"/>
        </w:rPr>
        <w:t>, the </w:t>
      </w:r>
      <w:r>
        <w:rPr>
          <w:i/>
          <w:sz w:val="24"/>
        </w:rPr>
        <w:t>AER </w:t>
      </w:r>
      <w:r>
        <w:rPr>
          <w:sz w:val="24"/>
        </w:rPr>
        <w:t>or the </w:t>
      </w:r>
      <w:r>
        <w:rPr>
          <w:i/>
          <w:sz w:val="24"/>
        </w:rPr>
        <w:t>AEMC</w:t>
      </w:r>
      <w:r>
        <w:rPr>
          <w:sz w:val="24"/>
        </w:rPr>
        <w:t>, to be </w:t>
      </w:r>
      <w:r>
        <w:rPr>
          <w:i/>
          <w:sz w:val="24"/>
        </w:rPr>
        <w:t>confidential information </w:t>
      </w:r>
      <w:r>
        <w:rPr>
          <w:sz w:val="24"/>
        </w:rPr>
        <w:t>or is otherwise confidential or commercially sensitive. It also includes any information which is derived from  such information.</w:t>
      </w:r>
    </w:p>
    <w:p>
      <w:pPr>
        <w:spacing w:after="0"/>
        <w:jc w:val="both"/>
        <w:rPr>
          <w:sz w:val="24"/>
        </w:rPr>
        <w:sectPr>
          <w:headerReference w:type="default" r:id="rId66"/>
          <w:footerReference w:type="default" r:id="rId67"/>
          <w:pgSz w:w="11910" w:h="16840"/>
          <w:pgMar w:header="686" w:footer="637" w:top="1320" w:bottom="820" w:left="1200" w:right="1000"/>
        </w:sectPr>
      </w:pPr>
    </w:p>
    <w:p>
      <w:pPr>
        <w:pStyle w:val="Heading4"/>
        <w:spacing w:before="120"/>
        <w:ind w:left="218" w:firstLine="0"/>
        <w:rPr>
          <w:rFonts w:ascii="Times New Roman"/>
        </w:rPr>
      </w:pPr>
      <w:r>
        <w:rPr>
          <w:rFonts w:ascii="Times New Roman"/>
        </w:rPr>
        <w:t>connection</w:t>
      </w:r>
    </w:p>
    <w:p>
      <w:pPr>
        <w:pStyle w:val="BodyText"/>
        <w:spacing w:before="0"/>
        <w:ind w:firstLine="0"/>
        <w:jc w:val="left"/>
        <w:rPr>
          <w:b/>
          <w:sz w:val="26"/>
        </w:rPr>
      </w:pPr>
      <w:r>
        <w:rPr/>
        <w:br w:type="column"/>
      </w:r>
      <w:r>
        <w:rPr>
          <w:b/>
          <w:sz w:val="26"/>
        </w:rPr>
      </w:r>
    </w:p>
    <w:p>
      <w:pPr>
        <w:spacing w:before="217"/>
        <w:ind w:left="-13" w:right="0" w:firstLine="0"/>
        <w:jc w:val="left"/>
        <w:rPr>
          <w:i/>
          <w:sz w:val="24"/>
        </w:rPr>
      </w:pPr>
      <w:r>
        <w:rPr>
          <w:sz w:val="24"/>
        </w:rPr>
        <w:t>means a physical link between a </w:t>
      </w:r>
      <w:r>
        <w:rPr>
          <w:i/>
          <w:sz w:val="24"/>
        </w:rPr>
        <w:t>distribution system </w:t>
      </w:r>
      <w:r>
        <w:rPr>
          <w:sz w:val="24"/>
        </w:rPr>
        <w:t>and a </w:t>
      </w:r>
      <w:r>
        <w:rPr>
          <w:i/>
          <w:sz w:val="24"/>
        </w:rPr>
        <w:t>retail</w:t>
      </w:r>
      <w:r>
        <w:rPr>
          <w:i/>
          <w:spacing w:val="51"/>
          <w:sz w:val="24"/>
        </w:rPr>
        <w:t> </w:t>
      </w:r>
      <w:r>
        <w:rPr>
          <w:i/>
          <w:sz w:val="24"/>
        </w:rPr>
        <w:t>customer's</w:t>
      </w:r>
    </w:p>
    <w:p>
      <w:pPr>
        <w:pStyle w:val="BodyText"/>
        <w:spacing w:before="0"/>
        <w:ind w:left="-13" w:firstLine="0"/>
        <w:jc w:val="left"/>
      </w:pPr>
      <w:r>
        <w:rPr/>
        <w:t>premises to allow the flow of electricity.</w:t>
      </w:r>
    </w:p>
    <w:p>
      <w:pPr>
        <w:spacing w:after="0"/>
        <w:jc w:val="left"/>
        <w:sectPr>
          <w:type w:val="continuous"/>
          <w:pgSz w:w="11910" w:h="16840"/>
          <w:pgMar w:top="1360" w:bottom="280" w:left="1200" w:right="1000"/>
          <w:cols w:num="2" w:equalWidth="0">
            <w:col w:w="1325" w:space="40"/>
            <w:col w:w="8345"/>
          </w:cols>
        </w:sectPr>
      </w:pPr>
    </w:p>
    <w:p>
      <w:pPr>
        <w:pStyle w:val="Heading4"/>
        <w:spacing w:before="120"/>
        <w:ind w:left="218" w:firstLine="0"/>
        <w:rPr>
          <w:rFonts w:ascii="Times New Roman"/>
        </w:rPr>
      </w:pPr>
      <w:r>
        <w:rPr>
          <w:rFonts w:ascii="Times New Roman"/>
        </w:rPr>
        <w:t>connection alteration</w:t>
      </w:r>
    </w:p>
    <w:p>
      <w:pPr>
        <w:pStyle w:val="BodyText"/>
        <w:ind w:left="1352" w:firstLine="0"/>
        <w:jc w:val="left"/>
      </w:pPr>
      <w:r>
        <w:rPr/>
        <w:t>means an alteration to an existing </w:t>
      </w:r>
      <w:r>
        <w:rPr>
          <w:i/>
        </w:rPr>
        <w:t>connection </w:t>
      </w:r>
      <w:r>
        <w:rPr/>
        <w:t>including an addition, upgrade,</w:t>
      </w:r>
    </w:p>
    <w:p>
      <w:pPr>
        <w:spacing w:before="0"/>
        <w:ind w:left="1352" w:right="0" w:firstLine="0"/>
        <w:jc w:val="left"/>
        <w:rPr>
          <w:sz w:val="24"/>
        </w:rPr>
      </w:pPr>
      <w:r>
        <w:rPr>
          <w:i/>
          <w:sz w:val="24"/>
        </w:rPr>
        <w:t>extension</w:t>
      </w:r>
      <w:r>
        <w:rPr>
          <w:sz w:val="24"/>
        </w:rPr>
        <w:t>, expansion, </w:t>
      </w:r>
      <w:r>
        <w:rPr>
          <w:i/>
          <w:sz w:val="24"/>
        </w:rPr>
        <w:t>augmentation </w:t>
      </w:r>
      <w:r>
        <w:rPr>
          <w:sz w:val="24"/>
        </w:rPr>
        <w:t>or any other kind of alteration.</w:t>
      </w:r>
    </w:p>
    <w:p>
      <w:pPr>
        <w:pStyle w:val="Heading4"/>
        <w:spacing w:before="120"/>
        <w:ind w:left="218" w:firstLine="0"/>
        <w:rPr>
          <w:rFonts w:ascii="Times New Roman"/>
        </w:rPr>
      </w:pPr>
      <w:r>
        <w:rPr>
          <w:rFonts w:ascii="Times New Roman"/>
        </w:rPr>
        <w:t>connection applicant</w:t>
      </w:r>
    </w:p>
    <w:p>
      <w:pPr>
        <w:spacing w:before="120"/>
        <w:ind w:left="1352" w:right="0" w:firstLine="0"/>
        <w:jc w:val="left"/>
        <w:rPr>
          <w:sz w:val="24"/>
        </w:rPr>
      </w:pPr>
      <w:r>
        <w:rPr>
          <w:sz w:val="24"/>
        </w:rPr>
        <w:t>means an applicant for a </w:t>
      </w:r>
      <w:r>
        <w:rPr>
          <w:i/>
          <w:sz w:val="24"/>
        </w:rPr>
        <w:t>connection service </w:t>
      </w:r>
      <w:r>
        <w:rPr>
          <w:sz w:val="24"/>
        </w:rPr>
        <w:t>of 1 of the following categories:</w:t>
      </w:r>
    </w:p>
    <w:p>
      <w:pPr>
        <w:pStyle w:val="ListParagraph"/>
        <w:numPr>
          <w:ilvl w:val="0"/>
          <w:numId w:val="348"/>
        </w:numPr>
        <w:tabs>
          <w:tab w:pos="1918" w:val="left" w:leader="none"/>
          <w:tab w:pos="1919" w:val="left" w:leader="none"/>
        </w:tabs>
        <w:spacing w:line="240" w:lineRule="auto" w:before="120" w:after="0"/>
        <w:ind w:left="1918" w:right="0" w:hanging="567"/>
        <w:jc w:val="left"/>
        <w:rPr>
          <w:sz w:val="24"/>
        </w:rPr>
      </w:pPr>
      <w:r>
        <w:rPr>
          <w:i/>
          <w:sz w:val="24"/>
        </w:rPr>
        <w:t>retail customer</w:t>
      </w:r>
      <w:r>
        <w:rPr>
          <w:sz w:val="24"/>
        </w:rPr>
        <w:t>;</w:t>
      </w:r>
    </w:p>
    <w:p>
      <w:pPr>
        <w:pStyle w:val="ListParagraph"/>
        <w:numPr>
          <w:ilvl w:val="0"/>
          <w:numId w:val="348"/>
        </w:numPr>
        <w:tabs>
          <w:tab w:pos="1918" w:val="left" w:leader="none"/>
          <w:tab w:pos="1919" w:val="left" w:leader="none"/>
        </w:tabs>
        <w:spacing w:line="240" w:lineRule="auto" w:before="120" w:after="0"/>
        <w:ind w:left="1918" w:right="0" w:hanging="567"/>
        <w:jc w:val="left"/>
        <w:rPr>
          <w:sz w:val="24"/>
        </w:rPr>
      </w:pPr>
      <w:r>
        <w:rPr>
          <w:i/>
          <w:sz w:val="24"/>
        </w:rPr>
        <w:t>retailer </w:t>
      </w:r>
      <w:r>
        <w:rPr>
          <w:sz w:val="24"/>
        </w:rPr>
        <w:t>or other person acting on behalf of a </w:t>
      </w:r>
      <w:r>
        <w:rPr>
          <w:i/>
          <w:sz w:val="24"/>
        </w:rPr>
        <w:t>retail</w:t>
      </w:r>
      <w:r>
        <w:rPr>
          <w:i/>
          <w:spacing w:val="-4"/>
          <w:sz w:val="24"/>
        </w:rPr>
        <w:t> </w:t>
      </w:r>
      <w:r>
        <w:rPr>
          <w:i/>
          <w:sz w:val="24"/>
        </w:rPr>
        <w:t>customer</w:t>
      </w:r>
      <w:r>
        <w:rPr>
          <w:sz w:val="24"/>
        </w:rPr>
        <w:t>;</w:t>
      </w:r>
    </w:p>
    <w:p>
      <w:pPr>
        <w:spacing w:after="0" w:line="240" w:lineRule="auto"/>
        <w:jc w:val="left"/>
        <w:rPr>
          <w:sz w:val="24"/>
        </w:rPr>
        <w:sectPr>
          <w:type w:val="continuous"/>
          <w:pgSz w:w="11910" w:h="16840"/>
          <w:pgMar w:top="1360" w:bottom="280" w:left="1200" w:right="1000"/>
        </w:sectPr>
      </w:pPr>
    </w:p>
    <w:p>
      <w:pPr>
        <w:pStyle w:val="ListParagraph"/>
        <w:numPr>
          <w:ilvl w:val="0"/>
          <w:numId w:val="348"/>
        </w:numPr>
        <w:tabs>
          <w:tab w:pos="1918" w:val="left" w:leader="none"/>
          <w:tab w:pos="1919" w:val="left" w:leader="none"/>
        </w:tabs>
        <w:spacing w:line="240" w:lineRule="auto" w:before="83" w:after="0"/>
        <w:ind w:left="1918" w:right="0" w:hanging="567"/>
        <w:jc w:val="left"/>
        <w:rPr>
          <w:sz w:val="24"/>
        </w:rPr>
      </w:pPr>
      <w:r>
        <w:rPr>
          <w:i/>
          <w:sz w:val="24"/>
        </w:rPr>
        <w:t>real estate</w:t>
      </w:r>
      <w:r>
        <w:rPr>
          <w:i/>
          <w:spacing w:val="-2"/>
          <w:sz w:val="24"/>
        </w:rPr>
        <w:t> </w:t>
      </w:r>
      <w:r>
        <w:rPr>
          <w:i/>
          <w:sz w:val="24"/>
        </w:rPr>
        <w:t>developer</w:t>
      </w:r>
      <w:r>
        <w:rPr>
          <w:sz w:val="24"/>
        </w:rPr>
        <w:t>.</w:t>
      </w:r>
    </w:p>
    <w:p>
      <w:pPr>
        <w:pStyle w:val="Heading4"/>
        <w:spacing w:before="120"/>
        <w:ind w:left="218" w:firstLine="0"/>
        <w:rPr>
          <w:rFonts w:ascii="Times New Roman"/>
        </w:rPr>
      </w:pPr>
      <w:r>
        <w:rPr>
          <w:rFonts w:ascii="Times New Roman"/>
        </w:rPr>
        <w:t>connection application</w:t>
      </w:r>
    </w:p>
    <w:p>
      <w:pPr>
        <w:pStyle w:val="BodyText"/>
        <w:ind w:left="1352" w:firstLine="0"/>
        <w:jc w:val="left"/>
      </w:pPr>
      <w:r>
        <w:rPr/>
        <w:t>means an application under clause 5A.D.3.</w:t>
      </w:r>
    </w:p>
    <w:p>
      <w:pPr>
        <w:pStyle w:val="Heading4"/>
        <w:spacing w:before="120"/>
        <w:ind w:left="218" w:firstLine="0"/>
        <w:rPr>
          <w:rFonts w:ascii="Times New Roman"/>
        </w:rPr>
      </w:pPr>
      <w:r>
        <w:rPr>
          <w:rFonts w:ascii="Times New Roman"/>
        </w:rPr>
        <w:t>connection charge</w:t>
      </w:r>
    </w:p>
    <w:p>
      <w:pPr>
        <w:spacing w:before="120"/>
        <w:ind w:left="1352" w:right="0" w:firstLine="0"/>
        <w:jc w:val="left"/>
        <w:rPr>
          <w:sz w:val="24"/>
        </w:rPr>
      </w:pPr>
      <w:r>
        <w:rPr>
          <w:sz w:val="24"/>
        </w:rPr>
        <w:t>means a charge imposed by a </w:t>
      </w:r>
      <w:r>
        <w:rPr>
          <w:i/>
          <w:sz w:val="24"/>
        </w:rPr>
        <w:t>Distribution Network Service Provider </w:t>
      </w:r>
      <w:r>
        <w:rPr>
          <w:sz w:val="24"/>
        </w:rPr>
        <w:t>for a</w:t>
      </w:r>
    </w:p>
    <w:p>
      <w:pPr>
        <w:spacing w:before="0"/>
        <w:ind w:left="1352" w:right="0" w:firstLine="0"/>
        <w:jc w:val="left"/>
        <w:rPr>
          <w:sz w:val="24"/>
        </w:rPr>
      </w:pPr>
      <w:r>
        <w:rPr>
          <w:i/>
          <w:sz w:val="24"/>
        </w:rPr>
        <w:t>connection</w:t>
      </w:r>
      <w:r>
        <w:rPr>
          <w:i/>
          <w:spacing w:val="-8"/>
          <w:sz w:val="24"/>
        </w:rPr>
        <w:t> </w:t>
      </w:r>
      <w:r>
        <w:rPr>
          <w:i/>
          <w:sz w:val="24"/>
        </w:rPr>
        <w:t>service</w:t>
      </w:r>
      <w:r>
        <w:rPr>
          <w:sz w:val="24"/>
        </w:rPr>
        <w:t>.</w:t>
      </w:r>
    </w:p>
    <w:p>
      <w:pPr>
        <w:pStyle w:val="Heading4"/>
        <w:spacing w:before="120"/>
        <w:ind w:left="218" w:firstLine="0"/>
        <w:rPr>
          <w:rFonts w:ascii="Times New Roman"/>
        </w:rPr>
      </w:pPr>
      <w:r>
        <w:rPr>
          <w:rFonts w:ascii="Times New Roman"/>
        </w:rPr>
        <w:t>connection charge</w:t>
      </w:r>
      <w:r>
        <w:rPr>
          <w:rFonts w:ascii="Times New Roman"/>
          <w:spacing w:val="-2"/>
        </w:rPr>
        <w:t> </w:t>
      </w:r>
      <w:r>
        <w:rPr>
          <w:rFonts w:ascii="Times New Roman"/>
        </w:rPr>
        <w:t>guidelines</w:t>
      </w:r>
    </w:p>
    <w:p>
      <w:pPr>
        <w:pStyle w:val="ListParagraph"/>
        <w:numPr>
          <w:ilvl w:val="0"/>
          <w:numId w:val="349"/>
        </w:numPr>
        <w:tabs>
          <w:tab w:pos="1532" w:val="left" w:leader="none"/>
        </w:tabs>
        <w:spacing w:line="240" w:lineRule="auto" w:before="120" w:after="0"/>
        <w:ind w:left="1532" w:right="0" w:hanging="180"/>
        <w:jc w:val="left"/>
        <w:rPr>
          <w:sz w:val="24"/>
        </w:rPr>
      </w:pPr>
      <w:r>
        <w:rPr>
          <w:sz w:val="24"/>
        </w:rPr>
        <w:t>see clause</w:t>
      </w:r>
      <w:r>
        <w:rPr>
          <w:spacing w:val="-3"/>
          <w:sz w:val="24"/>
        </w:rPr>
        <w:t> </w:t>
      </w:r>
      <w:r>
        <w:rPr>
          <w:sz w:val="24"/>
        </w:rPr>
        <w:t>5A.E.3.</w:t>
      </w:r>
    </w:p>
    <w:p>
      <w:pPr>
        <w:pStyle w:val="Heading4"/>
        <w:spacing w:before="120"/>
        <w:ind w:left="218" w:firstLine="0"/>
        <w:rPr>
          <w:rFonts w:ascii="Times New Roman"/>
        </w:rPr>
      </w:pPr>
      <w:r>
        <w:rPr>
          <w:rFonts w:ascii="Times New Roman"/>
        </w:rPr>
        <w:t>connection charge principles</w:t>
      </w:r>
    </w:p>
    <w:p>
      <w:pPr>
        <w:pStyle w:val="ListParagraph"/>
        <w:numPr>
          <w:ilvl w:val="0"/>
          <w:numId w:val="349"/>
        </w:numPr>
        <w:tabs>
          <w:tab w:pos="1532" w:val="left" w:leader="none"/>
        </w:tabs>
        <w:spacing w:line="240" w:lineRule="auto" w:before="120" w:after="0"/>
        <w:ind w:left="1532" w:right="0" w:hanging="180"/>
        <w:jc w:val="left"/>
        <w:rPr>
          <w:sz w:val="24"/>
        </w:rPr>
      </w:pPr>
      <w:r>
        <w:rPr>
          <w:sz w:val="24"/>
        </w:rPr>
        <w:t>see clause</w:t>
      </w:r>
      <w:r>
        <w:rPr>
          <w:spacing w:val="-3"/>
          <w:sz w:val="24"/>
        </w:rPr>
        <w:t> </w:t>
      </w:r>
      <w:r>
        <w:rPr>
          <w:sz w:val="24"/>
        </w:rPr>
        <w:t>5A.E.1.</w:t>
      </w:r>
    </w:p>
    <w:p>
      <w:pPr>
        <w:pStyle w:val="Heading4"/>
        <w:spacing w:before="120"/>
        <w:ind w:left="218" w:firstLine="0"/>
        <w:rPr>
          <w:rFonts w:ascii="Times New Roman"/>
        </w:rPr>
      </w:pPr>
      <w:r>
        <w:rPr>
          <w:rFonts w:ascii="Times New Roman"/>
        </w:rPr>
        <w:t>connection contract</w:t>
      </w:r>
    </w:p>
    <w:p>
      <w:pPr>
        <w:spacing w:before="120"/>
        <w:ind w:left="1352" w:right="0" w:firstLine="0"/>
        <w:jc w:val="left"/>
        <w:rPr>
          <w:sz w:val="24"/>
        </w:rPr>
      </w:pPr>
      <w:r>
        <w:rPr>
          <w:sz w:val="24"/>
        </w:rPr>
        <w:t>means a contract formed by the making and acceptance of a </w:t>
      </w:r>
      <w:r>
        <w:rPr>
          <w:i/>
          <w:sz w:val="24"/>
        </w:rPr>
        <w:t>connection offer</w:t>
      </w:r>
      <w:r>
        <w:rPr>
          <w:sz w:val="24"/>
        </w:rPr>
        <w:t>.</w:t>
      </w:r>
    </w:p>
    <w:p>
      <w:pPr>
        <w:pStyle w:val="Heading4"/>
        <w:spacing w:before="120"/>
        <w:ind w:left="218" w:firstLine="0"/>
        <w:rPr>
          <w:rFonts w:ascii="Times New Roman"/>
        </w:rPr>
      </w:pPr>
      <w:r>
        <w:rPr>
          <w:rFonts w:ascii="Times New Roman"/>
        </w:rPr>
        <w:t>connection offer</w:t>
      </w:r>
    </w:p>
    <w:p>
      <w:pPr>
        <w:spacing w:before="120"/>
        <w:ind w:left="1352" w:right="0" w:firstLine="0"/>
        <w:jc w:val="left"/>
        <w:rPr>
          <w:sz w:val="24"/>
        </w:rPr>
      </w:pPr>
      <w:r>
        <w:rPr>
          <w:sz w:val="24"/>
        </w:rPr>
        <w:t>means an offer by a </w:t>
      </w:r>
      <w:r>
        <w:rPr>
          <w:i/>
          <w:sz w:val="24"/>
        </w:rPr>
        <w:t>Distribution Network Service Provider </w:t>
      </w:r>
      <w:r>
        <w:rPr>
          <w:sz w:val="24"/>
        </w:rPr>
        <w:t>to enter into a</w:t>
      </w:r>
    </w:p>
    <w:p>
      <w:pPr>
        <w:spacing w:before="0"/>
        <w:ind w:left="1352" w:right="0" w:firstLine="0"/>
        <w:jc w:val="left"/>
        <w:rPr>
          <w:sz w:val="24"/>
        </w:rPr>
      </w:pPr>
      <w:r>
        <w:rPr>
          <w:i/>
          <w:sz w:val="24"/>
        </w:rPr>
        <w:t>connection contract </w:t>
      </w:r>
      <w:r>
        <w:rPr>
          <w:sz w:val="24"/>
        </w:rPr>
        <w:t>with:</w:t>
      </w:r>
    </w:p>
    <w:p>
      <w:pPr>
        <w:pStyle w:val="ListParagraph"/>
        <w:numPr>
          <w:ilvl w:val="0"/>
          <w:numId w:val="350"/>
        </w:numPr>
        <w:tabs>
          <w:tab w:pos="1918" w:val="left" w:leader="none"/>
          <w:tab w:pos="1919" w:val="left" w:leader="none"/>
        </w:tabs>
        <w:spacing w:line="240" w:lineRule="auto" w:before="120" w:after="0"/>
        <w:ind w:left="1918" w:right="0" w:hanging="567"/>
        <w:jc w:val="left"/>
        <w:rPr>
          <w:sz w:val="24"/>
        </w:rPr>
      </w:pPr>
      <w:r>
        <w:rPr>
          <w:sz w:val="24"/>
        </w:rPr>
        <w:t>a </w:t>
      </w:r>
      <w:r>
        <w:rPr>
          <w:i/>
          <w:sz w:val="24"/>
        </w:rPr>
        <w:t>retail customer</w:t>
      </w:r>
      <w:r>
        <w:rPr>
          <w:sz w:val="24"/>
        </w:rPr>
        <w:t>;</w:t>
      </w:r>
      <w:r>
        <w:rPr>
          <w:spacing w:val="-2"/>
          <w:sz w:val="24"/>
        </w:rPr>
        <w:t> </w:t>
      </w:r>
      <w:r>
        <w:rPr>
          <w:sz w:val="24"/>
        </w:rPr>
        <w:t>or</w:t>
      </w:r>
    </w:p>
    <w:p>
      <w:pPr>
        <w:pStyle w:val="ListParagraph"/>
        <w:numPr>
          <w:ilvl w:val="0"/>
          <w:numId w:val="350"/>
        </w:numPr>
        <w:tabs>
          <w:tab w:pos="1918" w:val="left" w:leader="none"/>
          <w:tab w:pos="1919" w:val="left" w:leader="none"/>
        </w:tabs>
        <w:spacing w:line="240" w:lineRule="auto" w:before="120" w:after="0"/>
        <w:ind w:left="1918" w:right="0" w:hanging="567"/>
        <w:jc w:val="left"/>
        <w:rPr>
          <w:sz w:val="24"/>
        </w:rPr>
      </w:pPr>
      <w:r>
        <w:rPr>
          <w:sz w:val="24"/>
        </w:rPr>
        <w:t>a </w:t>
      </w:r>
      <w:r>
        <w:rPr>
          <w:i/>
          <w:sz w:val="24"/>
        </w:rPr>
        <w:t>real estate</w:t>
      </w:r>
      <w:r>
        <w:rPr>
          <w:i/>
          <w:spacing w:val="-2"/>
          <w:sz w:val="24"/>
        </w:rPr>
        <w:t> </w:t>
      </w:r>
      <w:r>
        <w:rPr>
          <w:i/>
          <w:sz w:val="24"/>
        </w:rPr>
        <w:t>developer</w:t>
      </w:r>
      <w:r>
        <w:rPr>
          <w:sz w:val="24"/>
        </w:rPr>
        <w:t>.</w:t>
      </w:r>
    </w:p>
    <w:p>
      <w:pPr>
        <w:pStyle w:val="Heading4"/>
        <w:spacing w:before="120"/>
        <w:ind w:left="218" w:firstLine="0"/>
        <w:rPr>
          <w:rFonts w:ascii="Times New Roman"/>
        </w:rPr>
      </w:pPr>
      <w:r>
        <w:rPr>
          <w:rFonts w:ascii="Times New Roman"/>
        </w:rPr>
        <w:t>connection policy</w:t>
      </w:r>
    </w:p>
    <w:p>
      <w:pPr>
        <w:pStyle w:val="BodyText"/>
        <w:ind w:left="1352" w:right="415" w:firstLine="0"/>
      </w:pPr>
      <w:r>
        <w:rPr/>
        <w:t>means a document, approved as a </w:t>
      </w:r>
      <w:r>
        <w:rPr>
          <w:i/>
        </w:rPr>
        <w:t>connection policy </w:t>
      </w:r>
      <w:r>
        <w:rPr/>
        <w:t>by the </w:t>
      </w:r>
      <w:r>
        <w:rPr>
          <w:i/>
        </w:rPr>
        <w:t>AER </w:t>
      </w:r>
      <w:r>
        <w:rPr/>
        <w:t>under Chapter 6, Part E, setting out the circumstances in which </w:t>
      </w:r>
      <w:r>
        <w:rPr>
          <w:i/>
        </w:rPr>
        <w:t>connection charges </w:t>
      </w:r>
      <w:r>
        <w:rPr/>
        <w:t>are payable and the basis for determining the amount of such charges.</w:t>
      </w:r>
    </w:p>
    <w:p>
      <w:pPr>
        <w:pStyle w:val="Heading4"/>
        <w:spacing w:before="120"/>
        <w:ind w:left="218" w:firstLine="0"/>
        <w:jc w:val="both"/>
        <w:rPr>
          <w:rFonts w:ascii="Times New Roman"/>
        </w:rPr>
      </w:pPr>
      <w:r>
        <w:rPr>
          <w:rFonts w:ascii="Times New Roman"/>
        </w:rPr>
        <w:t>connection service</w:t>
      </w:r>
    </w:p>
    <w:p>
      <w:pPr>
        <w:pStyle w:val="BodyText"/>
        <w:ind w:left="1352" w:firstLine="0"/>
        <w:jc w:val="left"/>
      </w:pPr>
      <w:r>
        <w:rPr/>
        <w:t>means either or both of the following:</w:t>
      </w:r>
    </w:p>
    <w:p>
      <w:pPr>
        <w:pStyle w:val="ListParagraph"/>
        <w:numPr>
          <w:ilvl w:val="0"/>
          <w:numId w:val="351"/>
        </w:numPr>
        <w:tabs>
          <w:tab w:pos="1918" w:val="left" w:leader="none"/>
          <w:tab w:pos="1919" w:val="left" w:leader="none"/>
        </w:tabs>
        <w:spacing w:line="240" w:lineRule="auto" w:before="120" w:after="0"/>
        <w:ind w:left="1918" w:right="0" w:hanging="567"/>
        <w:jc w:val="left"/>
        <w:rPr>
          <w:sz w:val="24"/>
        </w:rPr>
      </w:pPr>
      <w:r>
        <w:rPr>
          <w:sz w:val="24"/>
        </w:rPr>
        <w:t>a service relating to a </w:t>
      </w:r>
      <w:r>
        <w:rPr>
          <w:i/>
          <w:sz w:val="24"/>
        </w:rPr>
        <w:t>new connection </w:t>
      </w:r>
      <w:r>
        <w:rPr>
          <w:sz w:val="24"/>
        </w:rPr>
        <w:t>for</w:t>
      </w:r>
      <w:r>
        <w:rPr>
          <w:spacing w:val="-3"/>
          <w:sz w:val="24"/>
        </w:rPr>
        <w:t> </w:t>
      </w:r>
      <w:r>
        <w:rPr>
          <w:sz w:val="24"/>
        </w:rPr>
        <w:t>premises;</w:t>
      </w:r>
    </w:p>
    <w:p>
      <w:pPr>
        <w:pStyle w:val="ListParagraph"/>
        <w:numPr>
          <w:ilvl w:val="0"/>
          <w:numId w:val="351"/>
        </w:numPr>
        <w:tabs>
          <w:tab w:pos="1918" w:val="left" w:leader="none"/>
          <w:tab w:pos="1919" w:val="left" w:leader="none"/>
        </w:tabs>
        <w:spacing w:line="240" w:lineRule="auto" w:before="120" w:after="0"/>
        <w:ind w:left="1918" w:right="0" w:hanging="567"/>
        <w:jc w:val="left"/>
        <w:rPr>
          <w:sz w:val="24"/>
        </w:rPr>
      </w:pPr>
      <w:r>
        <w:rPr>
          <w:sz w:val="24"/>
        </w:rPr>
        <w:t>a service relating to a </w:t>
      </w:r>
      <w:r>
        <w:rPr>
          <w:i/>
          <w:sz w:val="24"/>
        </w:rPr>
        <w:t>connection alteration </w:t>
      </w:r>
      <w:r>
        <w:rPr>
          <w:sz w:val="24"/>
        </w:rPr>
        <w:t>for</w:t>
      </w:r>
      <w:r>
        <w:rPr>
          <w:spacing w:val="-3"/>
          <w:sz w:val="24"/>
        </w:rPr>
        <w:t> </w:t>
      </w:r>
      <w:r>
        <w:rPr>
          <w:sz w:val="24"/>
        </w:rPr>
        <w:t>premises,</w:t>
      </w:r>
    </w:p>
    <w:p>
      <w:pPr>
        <w:pStyle w:val="BodyText"/>
        <w:ind w:left="1352" w:right="415" w:firstLine="0"/>
        <w:jc w:val="left"/>
      </w:pPr>
      <w:r>
        <w:rPr/>
        <w:t>but, to avoid doubt, does not include a service of providing, installing or maintaining a </w:t>
      </w:r>
      <w:r>
        <w:rPr>
          <w:i/>
        </w:rPr>
        <w:t>metering installation </w:t>
      </w:r>
      <w:r>
        <w:rPr/>
        <w:t>for premises.</w:t>
      </w:r>
    </w:p>
    <w:p>
      <w:pPr>
        <w:pStyle w:val="Heading4"/>
        <w:spacing w:before="120"/>
        <w:ind w:left="218" w:firstLine="0"/>
        <w:rPr>
          <w:rFonts w:ascii="Times New Roman"/>
        </w:rPr>
      </w:pPr>
      <w:r>
        <w:rPr>
          <w:rFonts w:ascii="Times New Roman"/>
        </w:rPr>
        <w:t>contestable</w:t>
      </w:r>
    </w:p>
    <w:p>
      <w:pPr>
        <w:pStyle w:val="ListParagraph"/>
        <w:numPr>
          <w:ilvl w:val="0"/>
          <w:numId w:val="349"/>
        </w:numPr>
        <w:tabs>
          <w:tab w:pos="1542" w:val="left" w:leader="none"/>
        </w:tabs>
        <w:spacing w:line="240" w:lineRule="auto" w:before="120" w:after="0"/>
        <w:ind w:left="1352" w:right="415" w:firstLine="0"/>
        <w:jc w:val="both"/>
        <w:rPr>
          <w:sz w:val="24"/>
        </w:rPr>
      </w:pPr>
      <w:r>
        <w:rPr>
          <w:sz w:val="24"/>
        </w:rPr>
        <w:t>a service is </w:t>
      </w:r>
      <w:r>
        <w:rPr>
          <w:i/>
          <w:sz w:val="24"/>
        </w:rPr>
        <w:t>contestable </w:t>
      </w:r>
      <w:r>
        <w:rPr>
          <w:sz w:val="24"/>
        </w:rPr>
        <w:t>if the laws of the </w:t>
      </w:r>
      <w:r>
        <w:rPr>
          <w:i/>
          <w:sz w:val="24"/>
        </w:rPr>
        <w:t>participating jurisdiction </w:t>
      </w:r>
      <w:r>
        <w:rPr>
          <w:sz w:val="24"/>
        </w:rPr>
        <w:t>in which the service is to be provided permit the service to be provided by more than one supplier as a </w:t>
      </w:r>
      <w:r>
        <w:rPr>
          <w:i/>
          <w:sz w:val="24"/>
        </w:rPr>
        <w:t>contestable </w:t>
      </w:r>
      <w:r>
        <w:rPr>
          <w:sz w:val="24"/>
        </w:rPr>
        <w:t>service or on a competitive</w:t>
      </w:r>
      <w:r>
        <w:rPr>
          <w:spacing w:val="-4"/>
          <w:sz w:val="24"/>
        </w:rPr>
        <w:t> </w:t>
      </w:r>
      <w:r>
        <w:rPr>
          <w:sz w:val="24"/>
        </w:rPr>
        <w:t>basis.</w:t>
      </w:r>
    </w:p>
    <w:p>
      <w:pPr>
        <w:pStyle w:val="Heading4"/>
        <w:spacing w:before="120"/>
        <w:ind w:left="218" w:firstLine="0"/>
        <w:jc w:val="both"/>
        <w:rPr>
          <w:rFonts w:ascii="Times New Roman"/>
        </w:rPr>
      </w:pPr>
      <w:r>
        <w:rPr>
          <w:rFonts w:ascii="Times New Roman"/>
        </w:rPr>
        <w:t>customer connection contract</w:t>
      </w:r>
    </w:p>
    <w:p>
      <w:pPr>
        <w:pStyle w:val="ListParagraph"/>
        <w:numPr>
          <w:ilvl w:val="0"/>
          <w:numId w:val="349"/>
        </w:numPr>
        <w:tabs>
          <w:tab w:pos="1532" w:val="left" w:leader="none"/>
        </w:tabs>
        <w:spacing w:line="240" w:lineRule="auto" w:before="120" w:after="0"/>
        <w:ind w:left="1532" w:right="0" w:hanging="180"/>
        <w:jc w:val="both"/>
        <w:rPr>
          <w:sz w:val="24"/>
        </w:rPr>
      </w:pPr>
      <w:r>
        <w:rPr>
          <w:sz w:val="24"/>
        </w:rPr>
        <w:t>see section 67 of the</w:t>
      </w:r>
      <w:r>
        <w:rPr>
          <w:spacing w:val="-2"/>
          <w:sz w:val="24"/>
        </w:rPr>
        <w:t> </w:t>
      </w:r>
      <w:r>
        <w:rPr>
          <w:i/>
          <w:sz w:val="24"/>
        </w:rPr>
        <w:t>NERL</w:t>
      </w:r>
      <w:r>
        <w:rPr>
          <w:sz w:val="24"/>
        </w:rPr>
        <w:t>.</w:t>
      </w:r>
    </w:p>
    <w:p>
      <w:pPr>
        <w:pStyle w:val="Heading4"/>
        <w:spacing w:before="120"/>
        <w:ind w:left="218" w:firstLine="0"/>
        <w:jc w:val="both"/>
        <w:rPr>
          <w:rFonts w:ascii="Times New Roman"/>
        </w:rPr>
      </w:pPr>
      <w:r>
        <w:rPr>
          <w:rFonts w:ascii="Times New Roman"/>
        </w:rPr>
        <w:t>embedded generator</w:t>
      </w:r>
    </w:p>
    <w:p>
      <w:pPr>
        <w:spacing w:before="120"/>
        <w:ind w:left="1352" w:right="0" w:firstLine="0"/>
        <w:jc w:val="both"/>
        <w:rPr>
          <w:sz w:val="24"/>
        </w:rPr>
      </w:pPr>
      <w:r>
        <w:rPr>
          <w:sz w:val="24"/>
        </w:rPr>
        <w:t>means a person that owns, controls or operates an </w:t>
      </w:r>
      <w:r>
        <w:rPr>
          <w:i/>
          <w:sz w:val="24"/>
        </w:rPr>
        <w:t>embedded generating unit</w:t>
      </w:r>
      <w:r>
        <w:rPr>
          <w:sz w:val="24"/>
        </w:rPr>
        <w:t>.</w:t>
      </w:r>
    </w:p>
    <w:p>
      <w:pPr>
        <w:pStyle w:val="Heading4"/>
        <w:spacing w:before="120"/>
        <w:ind w:left="218" w:firstLine="0"/>
        <w:rPr>
          <w:rFonts w:ascii="Times New Roman"/>
        </w:rPr>
      </w:pPr>
      <w:r>
        <w:rPr>
          <w:rFonts w:ascii="Times New Roman"/>
        </w:rPr>
        <w:t>enquiry</w:t>
      </w:r>
    </w:p>
    <w:p>
      <w:pPr>
        <w:pStyle w:val="BodyText"/>
        <w:ind w:left="1352" w:firstLine="0"/>
        <w:jc w:val="left"/>
      </w:pPr>
      <w:r>
        <w:rPr/>
        <w:t>means a preliminary </w:t>
      </w:r>
      <w:r>
        <w:rPr>
          <w:i/>
        </w:rPr>
        <w:t>enquiry </w:t>
      </w:r>
      <w:r>
        <w:rPr/>
        <w:t>under clause 5A.D.2.</w:t>
      </w:r>
    </w:p>
    <w:p>
      <w:pPr>
        <w:spacing w:after="0"/>
        <w:jc w:val="left"/>
        <w:sectPr>
          <w:headerReference w:type="default" r:id="rId68"/>
          <w:footerReference w:type="default" r:id="rId69"/>
          <w:pgSz w:w="11910" w:h="16840"/>
          <w:pgMar w:header="686" w:footer="637" w:top="1320" w:bottom="820" w:left="1200" w:right="1000"/>
          <w:pgNumType w:start="382"/>
        </w:sectPr>
      </w:pPr>
    </w:p>
    <w:p>
      <w:pPr>
        <w:pStyle w:val="Heading4"/>
        <w:spacing w:before="83"/>
        <w:ind w:left="218" w:firstLine="0"/>
        <w:jc w:val="both"/>
        <w:rPr>
          <w:rFonts w:ascii="Times New Roman"/>
        </w:rPr>
      </w:pPr>
      <w:r>
        <w:rPr>
          <w:rFonts w:ascii="Times New Roman"/>
        </w:rPr>
        <w:t>micro EG connection</w:t>
      </w:r>
    </w:p>
    <w:p>
      <w:pPr>
        <w:spacing w:before="120"/>
        <w:ind w:left="1352" w:right="416" w:firstLine="0"/>
        <w:jc w:val="both"/>
        <w:rPr>
          <w:sz w:val="24"/>
        </w:rPr>
      </w:pPr>
      <w:r>
        <w:rPr>
          <w:sz w:val="24"/>
        </w:rPr>
        <w:t>means a </w:t>
      </w:r>
      <w:r>
        <w:rPr>
          <w:i/>
          <w:sz w:val="24"/>
        </w:rPr>
        <w:t>connection </w:t>
      </w:r>
      <w:r>
        <w:rPr>
          <w:sz w:val="24"/>
        </w:rPr>
        <w:t>between an </w:t>
      </w:r>
      <w:r>
        <w:rPr>
          <w:i/>
          <w:sz w:val="24"/>
        </w:rPr>
        <w:t>embedded generating unit </w:t>
      </w:r>
      <w:r>
        <w:rPr>
          <w:sz w:val="24"/>
        </w:rPr>
        <w:t>and a </w:t>
      </w:r>
      <w:r>
        <w:rPr>
          <w:i/>
          <w:sz w:val="24"/>
        </w:rPr>
        <w:t>distribution </w:t>
      </w:r>
      <w:r>
        <w:rPr>
          <w:i/>
          <w:sz w:val="24"/>
        </w:rPr>
        <w:t>network </w:t>
      </w:r>
      <w:r>
        <w:rPr>
          <w:sz w:val="24"/>
        </w:rPr>
        <w:t>of the kind contemplated by </w:t>
      </w:r>
      <w:r>
        <w:rPr>
          <w:i/>
          <w:sz w:val="24"/>
        </w:rPr>
        <w:t>Australian Standard </w:t>
      </w:r>
      <w:r>
        <w:rPr>
          <w:sz w:val="24"/>
        </w:rPr>
        <w:t>AS 4777 (Grid connection of energy systems via inverters).</w:t>
      </w:r>
    </w:p>
    <w:p>
      <w:pPr>
        <w:pStyle w:val="Heading4"/>
        <w:spacing w:before="120"/>
        <w:ind w:left="218" w:firstLine="0"/>
        <w:jc w:val="both"/>
        <w:rPr>
          <w:rFonts w:ascii="Times New Roman"/>
        </w:rPr>
      </w:pPr>
      <w:r>
        <w:rPr>
          <w:rFonts w:ascii="Times New Roman"/>
        </w:rPr>
        <w:t>micro embedded generator</w:t>
      </w:r>
    </w:p>
    <w:p>
      <w:pPr>
        <w:spacing w:before="120"/>
        <w:ind w:left="1352" w:right="415" w:firstLine="0"/>
        <w:jc w:val="both"/>
        <w:rPr>
          <w:sz w:val="24"/>
        </w:rPr>
      </w:pPr>
      <w:r>
        <w:rPr>
          <w:sz w:val="24"/>
        </w:rPr>
        <w:t>means a </w:t>
      </w:r>
      <w:r>
        <w:rPr>
          <w:i/>
          <w:sz w:val="24"/>
        </w:rPr>
        <w:t>retail customer </w:t>
      </w:r>
      <w:r>
        <w:rPr>
          <w:sz w:val="24"/>
        </w:rPr>
        <w:t>who operates, or proposes to operate, an </w:t>
      </w:r>
      <w:r>
        <w:rPr>
          <w:i/>
          <w:sz w:val="24"/>
        </w:rPr>
        <w:t>embedded </w:t>
      </w:r>
      <w:r>
        <w:rPr>
          <w:i/>
          <w:sz w:val="24"/>
        </w:rPr>
        <w:t>generating unit </w:t>
      </w:r>
      <w:r>
        <w:rPr>
          <w:sz w:val="24"/>
        </w:rPr>
        <w:t>for which a </w:t>
      </w:r>
      <w:r>
        <w:rPr>
          <w:i/>
          <w:sz w:val="24"/>
        </w:rPr>
        <w:t>micro EG connection </w:t>
      </w:r>
      <w:r>
        <w:rPr>
          <w:sz w:val="24"/>
        </w:rPr>
        <w:t>is appropriate.</w:t>
      </w:r>
    </w:p>
    <w:p>
      <w:pPr>
        <w:pStyle w:val="Heading4"/>
        <w:spacing w:before="120"/>
        <w:ind w:left="218" w:firstLine="0"/>
        <w:jc w:val="both"/>
        <w:rPr>
          <w:rFonts w:ascii="Times New Roman"/>
        </w:rPr>
      </w:pPr>
      <w:r>
        <w:rPr>
          <w:rFonts w:ascii="Times New Roman"/>
        </w:rPr>
        <w:t>model standing offer</w:t>
      </w:r>
    </w:p>
    <w:p>
      <w:pPr>
        <w:spacing w:before="120"/>
        <w:ind w:left="1352" w:right="416" w:firstLine="0"/>
        <w:jc w:val="both"/>
        <w:rPr>
          <w:sz w:val="24"/>
        </w:rPr>
      </w:pPr>
      <w:r>
        <w:rPr>
          <w:sz w:val="24"/>
        </w:rPr>
        <w:t>means a document approved by the </w:t>
      </w:r>
      <w:r>
        <w:rPr>
          <w:i/>
          <w:sz w:val="24"/>
        </w:rPr>
        <w:t>AER </w:t>
      </w:r>
      <w:r>
        <w:rPr>
          <w:sz w:val="24"/>
        </w:rPr>
        <w:t>as a </w:t>
      </w:r>
      <w:r>
        <w:rPr>
          <w:i/>
          <w:sz w:val="24"/>
        </w:rPr>
        <w:t>model standing offer </w:t>
      </w:r>
      <w:r>
        <w:rPr>
          <w:sz w:val="24"/>
        </w:rPr>
        <w:t>to provide </w:t>
      </w:r>
      <w:r>
        <w:rPr>
          <w:i/>
          <w:sz w:val="24"/>
        </w:rPr>
        <w:t>basic connection services </w:t>
      </w:r>
      <w:r>
        <w:rPr>
          <w:sz w:val="24"/>
        </w:rPr>
        <w:t>(see clause 5A.B.3) or as a </w:t>
      </w:r>
      <w:r>
        <w:rPr>
          <w:i/>
          <w:sz w:val="24"/>
        </w:rPr>
        <w:t>model standing offer </w:t>
      </w:r>
      <w:r>
        <w:rPr>
          <w:sz w:val="24"/>
        </w:rPr>
        <w:t>to provide </w:t>
      </w:r>
      <w:r>
        <w:rPr>
          <w:i/>
          <w:sz w:val="24"/>
        </w:rPr>
        <w:t>standard connection services </w:t>
      </w:r>
      <w:r>
        <w:rPr>
          <w:sz w:val="24"/>
        </w:rPr>
        <w:t>(see clause</w:t>
      </w:r>
      <w:r>
        <w:rPr>
          <w:spacing w:val="-5"/>
          <w:sz w:val="24"/>
        </w:rPr>
        <w:t> </w:t>
      </w:r>
      <w:r>
        <w:rPr>
          <w:sz w:val="24"/>
        </w:rPr>
        <w:t>5A.B.5).</w:t>
      </w:r>
    </w:p>
    <w:p>
      <w:pPr>
        <w:pStyle w:val="Heading4"/>
        <w:spacing w:before="120"/>
        <w:ind w:left="0" w:right="6340" w:firstLine="0"/>
        <w:jc w:val="right"/>
        <w:rPr>
          <w:rFonts w:ascii="Times New Roman"/>
        </w:rPr>
      </w:pPr>
      <w:r>
        <w:rPr>
          <w:rFonts w:ascii="Times New Roman"/>
        </w:rPr>
        <w:t>negotiated connection contract</w:t>
      </w:r>
    </w:p>
    <w:p>
      <w:pPr>
        <w:pStyle w:val="ListParagraph"/>
        <w:numPr>
          <w:ilvl w:val="0"/>
          <w:numId w:val="349"/>
        </w:numPr>
        <w:tabs>
          <w:tab w:pos="180" w:val="left" w:leader="none"/>
        </w:tabs>
        <w:spacing w:line="240" w:lineRule="auto" w:before="120" w:after="0"/>
        <w:ind w:left="1532" w:right="6393" w:hanging="1532"/>
        <w:jc w:val="right"/>
        <w:rPr>
          <w:sz w:val="24"/>
        </w:rPr>
      </w:pPr>
      <w:r>
        <w:rPr>
          <w:sz w:val="24"/>
        </w:rPr>
        <w:t>see clause</w:t>
      </w:r>
      <w:r>
        <w:rPr>
          <w:spacing w:val="-6"/>
          <w:sz w:val="24"/>
        </w:rPr>
        <w:t> </w:t>
      </w:r>
      <w:r>
        <w:rPr>
          <w:sz w:val="24"/>
        </w:rPr>
        <w:t>5A.C.1.</w:t>
      </w:r>
    </w:p>
    <w:p>
      <w:pPr>
        <w:pStyle w:val="Heading4"/>
        <w:spacing w:before="120"/>
        <w:ind w:left="218" w:firstLine="0"/>
        <w:rPr>
          <w:rFonts w:ascii="Times New Roman"/>
        </w:rPr>
      </w:pPr>
      <w:r>
        <w:rPr>
          <w:rFonts w:ascii="Times New Roman"/>
        </w:rPr>
        <w:t>new connection</w:t>
      </w:r>
    </w:p>
    <w:p>
      <w:pPr>
        <w:spacing w:before="120"/>
        <w:ind w:left="1352" w:right="415" w:firstLine="0"/>
        <w:jc w:val="left"/>
        <w:rPr>
          <w:sz w:val="24"/>
        </w:rPr>
      </w:pPr>
      <w:r>
        <w:rPr>
          <w:sz w:val="24"/>
        </w:rPr>
        <w:t>means a </w:t>
      </w:r>
      <w:r>
        <w:rPr>
          <w:i/>
          <w:sz w:val="24"/>
        </w:rPr>
        <w:t>connection </w:t>
      </w:r>
      <w:r>
        <w:rPr>
          <w:sz w:val="24"/>
        </w:rPr>
        <w:t>established or to be established, in accordance with this Chapter and applicable </w:t>
      </w:r>
      <w:r>
        <w:rPr>
          <w:i/>
          <w:sz w:val="24"/>
        </w:rPr>
        <w:t>energy laws</w:t>
      </w:r>
      <w:r>
        <w:rPr>
          <w:sz w:val="24"/>
        </w:rPr>
        <w:t>, where there is no existing </w:t>
      </w:r>
      <w:r>
        <w:rPr>
          <w:i/>
          <w:sz w:val="24"/>
        </w:rPr>
        <w:t>connection</w:t>
      </w:r>
      <w:r>
        <w:rPr>
          <w:sz w:val="24"/>
        </w:rPr>
        <w:t>.</w:t>
      </w:r>
    </w:p>
    <w:p>
      <w:pPr>
        <w:pStyle w:val="Heading4"/>
        <w:spacing w:before="120"/>
        <w:ind w:left="218" w:firstLine="0"/>
        <w:rPr>
          <w:rFonts w:ascii="Times New Roman"/>
        </w:rPr>
      </w:pPr>
      <w:r>
        <w:rPr>
          <w:rFonts w:ascii="Times New Roman"/>
        </w:rPr>
        <w:t>non-registered embedded generator</w:t>
      </w:r>
    </w:p>
    <w:p>
      <w:pPr>
        <w:spacing w:before="120"/>
        <w:ind w:left="1352" w:right="0" w:firstLine="0"/>
        <w:jc w:val="left"/>
        <w:rPr>
          <w:sz w:val="24"/>
        </w:rPr>
      </w:pPr>
      <w:r>
        <w:rPr>
          <w:sz w:val="24"/>
        </w:rPr>
        <w:t>means an </w:t>
      </w:r>
      <w:r>
        <w:rPr>
          <w:i/>
          <w:sz w:val="24"/>
        </w:rPr>
        <w:t>embedded generator </w:t>
      </w:r>
      <w:r>
        <w:rPr>
          <w:sz w:val="24"/>
        </w:rPr>
        <w:t>that is neither a </w:t>
      </w:r>
      <w:r>
        <w:rPr>
          <w:i/>
          <w:sz w:val="24"/>
        </w:rPr>
        <w:t>micro embedded generator </w:t>
      </w:r>
      <w:r>
        <w:rPr>
          <w:sz w:val="24"/>
        </w:rPr>
        <w:t>nor a</w:t>
      </w:r>
    </w:p>
    <w:p>
      <w:pPr>
        <w:spacing w:before="0"/>
        <w:ind w:left="1352" w:right="0" w:firstLine="0"/>
        <w:jc w:val="left"/>
        <w:rPr>
          <w:sz w:val="24"/>
        </w:rPr>
      </w:pPr>
      <w:r>
        <w:rPr>
          <w:i/>
          <w:sz w:val="24"/>
        </w:rPr>
        <w:t>Registered Participant</w:t>
      </w:r>
      <w:r>
        <w:rPr>
          <w:sz w:val="24"/>
        </w:rPr>
        <w:t>.</w:t>
      </w:r>
    </w:p>
    <w:p>
      <w:pPr>
        <w:pStyle w:val="Heading4"/>
        <w:spacing w:before="120"/>
        <w:ind w:left="218" w:firstLine="0"/>
        <w:rPr>
          <w:rFonts w:ascii="Times New Roman"/>
        </w:rPr>
      </w:pPr>
      <w:r>
        <w:rPr>
          <w:rFonts w:ascii="Times New Roman"/>
        </w:rPr>
        <w:t>premises connection assets</w:t>
      </w:r>
    </w:p>
    <w:p>
      <w:pPr>
        <w:spacing w:before="120"/>
        <w:ind w:left="1352" w:right="415" w:firstLine="0"/>
        <w:jc w:val="left"/>
        <w:rPr>
          <w:sz w:val="24"/>
        </w:rPr>
      </w:pPr>
      <w:r>
        <w:rPr>
          <w:sz w:val="24"/>
        </w:rPr>
        <w:t>means the components of a </w:t>
      </w:r>
      <w:r>
        <w:rPr>
          <w:i/>
          <w:sz w:val="24"/>
        </w:rPr>
        <w:t>distribution system </w:t>
      </w:r>
      <w:r>
        <w:rPr>
          <w:sz w:val="24"/>
        </w:rPr>
        <w:t>used to provide </w:t>
      </w:r>
      <w:r>
        <w:rPr>
          <w:i/>
          <w:sz w:val="24"/>
        </w:rPr>
        <w:t>connection </w:t>
      </w:r>
      <w:r>
        <w:rPr>
          <w:i/>
          <w:sz w:val="24"/>
        </w:rPr>
        <w:t>services</w:t>
      </w:r>
      <w:r>
        <w:rPr>
          <w:sz w:val="24"/>
        </w:rPr>
        <w:t>.</w:t>
      </w:r>
    </w:p>
    <w:p>
      <w:pPr>
        <w:pStyle w:val="Heading4"/>
        <w:spacing w:before="120"/>
        <w:ind w:left="218" w:firstLine="0"/>
        <w:rPr>
          <w:rFonts w:ascii="Times New Roman"/>
        </w:rPr>
      </w:pPr>
      <w:r>
        <w:rPr>
          <w:rFonts w:ascii="Times New Roman"/>
        </w:rPr>
        <w:t>real estate developer</w:t>
      </w:r>
    </w:p>
    <w:p>
      <w:pPr>
        <w:spacing w:before="120"/>
        <w:ind w:left="1352" w:right="0" w:firstLine="0"/>
        <w:jc w:val="left"/>
        <w:rPr>
          <w:sz w:val="24"/>
        </w:rPr>
      </w:pPr>
      <w:r>
        <w:rPr>
          <w:sz w:val="24"/>
        </w:rPr>
        <w:t>means a person who carries out a </w:t>
      </w:r>
      <w:r>
        <w:rPr>
          <w:i/>
          <w:sz w:val="24"/>
        </w:rPr>
        <w:t>real estate development</w:t>
      </w:r>
      <w:r>
        <w:rPr>
          <w:sz w:val="24"/>
        </w:rPr>
        <w:t>.</w:t>
      </w:r>
    </w:p>
    <w:p>
      <w:pPr>
        <w:pStyle w:val="Heading4"/>
        <w:spacing w:before="120"/>
        <w:ind w:left="218" w:firstLine="0"/>
        <w:rPr>
          <w:rFonts w:ascii="Times New Roman"/>
        </w:rPr>
      </w:pPr>
      <w:r>
        <w:rPr>
          <w:rFonts w:ascii="Times New Roman"/>
        </w:rPr>
        <w:t>real estate development</w:t>
      </w:r>
    </w:p>
    <w:p>
      <w:pPr>
        <w:pStyle w:val="BodyText"/>
        <w:ind w:left="1352" w:right="565" w:firstLine="0"/>
        <w:jc w:val="left"/>
      </w:pPr>
      <w:r>
        <w:rPr/>
        <w:t>means the commercial development of land including its development in 1 or more of the following</w:t>
      </w:r>
      <w:r>
        <w:rPr>
          <w:spacing w:val="-1"/>
        </w:rPr>
        <w:t> </w:t>
      </w:r>
      <w:r>
        <w:rPr/>
        <w:t>ways:</w:t>
      </w:r>
    </w:p>
    <w:p>
      <w:pPr>
        <w:pStyle w:val="ListParagraph"/>
        <w:numPr>
          <w:ilvl w:val="0"/>
          <w:numId w:val="352"/>
        </w:numPr>
        <w:tabs>
          <w:tab w:pos="1918" w:val="left" w:leader="none"/>
          <w:tab w:pos="1919" w:val="left" w:leader="none"/>
        </w:tabs>
        <w:spacing w:line="240" w:lineRule="auto" w:before="120" w:after="0"/>
        <w:ind w:left="1918" w:right="0" w:hanging="567"/>
        <w:jc w:val="left"/>
        <w:rPr>
          <w:sz w:val="24"/>
        </w:rPr>
      </w:pPr>
      <w:r>
        <w:rPr>
          <w:sz w:val="24"/>
        </w:rPr>
        <w:t>subdivision;</w:t>
      </w:r>
    </w:p>
    <w:p>
      <w:pPr>
        <w:pStyle w:val="ListParagraph"/>
        <w:numPr>
          <w:ilvl w:val="0"/>
          <w:numId w:val="352"/>
        </w:numPr>
        <w:tabs>
          <w:tab w:pos="1918" w:val="left" w:leader="none"/>
          <w:tab w:pos="1919" w:val="left" w:leader="none"/>
        </w:tabs>
        <w:spacing w:line="240" w:lineRule="auto" w:before="120" w:after="0"/>
        <w:ind w:left="1918" w:right="0" w:hanging="567"/>
        <w:jc w:val="left"/>
        <w:rPr>
          <w:sz w:val="24"/>
        </w:rPr>
      </w:pPr>
      <w:r>
        <w:rPr>
          <w:sz w:val="24"/>
        </w:rPr>
        <w:t>the construction of commercial or industrial premises (or</w:t>
      </w:r>
      <w:r>
        <w:rPr>
          <w:spacing w:val="-2"/>
          <w:sz w:val="24"/>
        </w:rPr>
        <w:t> </w:t>
      </w:r>
      <w:r>
        <w:rPr>
          <w:sz w:val="24"/>
        </w:rPr>
        <w:t>both);</w:t>
      </w:r>
    </w:p>
    <w:p>
      <w:pPr>
        <w:pStyle w:val="ListParagraph"/>
        <w:numPr>
          <w:ilvl w:val="0"/>
          <w:numId w:val="352"/>
        </w:numPr>
        <w:tabs>
          <w:tab w:pos="1918" w:val="left" w:leader="none"/>
          <w:tab w:pos="1919" w:val="left" w:leader="none"/>
        </w:tabs>
        <w:spacing w:line="240" w:lineRule="auto" w:before="120" w:after="0"/>
        <w:ind w:left="1918" w:right="0" w:hanging="567"/>
        <w:jc w:val="left"/>
        <w:rPr>
          <w:sz w:val="24"/>
        </w:rPr>
      </w:pPr>
      <w:r>
        <w:rPr>
          <w:sz w:val="24"/>
        </w:rPr>
        <w:t>the construction of multiple new residential</w:t>
      </w:r>
      <w:r>
        <w:rPr>
          <w:spacing w:val="-4"/>
          <w:sz w:val="24"/>
        </w:rPr>
        <w:t> </w:t>
      </w:r>
      <w:r>
        <w:rPr>
          <w:sz w:val="24"/>
        </w:rPr>
        <w:t>premises.</w:t>
      </w:r>
    </w:p>
    <w:p>
      <w:pPr>
        <w:pStyle w:val="Heading4"/>
        <w:spacing w:before="120"/>
        <w:ind w:left="218" w:firstLine="0"/>
        <w:rPr>
          <w:rFonts w:ascii="Times New Roman"/>
        </w:rPr>
      </w:pPr>
      <w:r>
        <w:rPr>
          <w:rFonts w:ascii="Times New Roman"/>
        </w:rPr>
        <w:t>retail customer</w:t>
      </w:r>
    </w:p>
    <w:p>
      <w:pPr>
        <w:spacing w:before="120"/>
        <w:ind w:left="1352" w:right="0" w:firstLine="0"/>
        <w:jc w:val="left"/>
        <w:rPr>
          <w:sz w:val="24"/>
        </w:rPr>
      </w:pPr>
      <w:r>
        <w:rPr>
          <w:sz w:val="24"/>
        </w:rPr>
        <w:t>includes a non-registered </w:t>
      </w:r>
      <w:r>
        <w:rPr>
          <w:i/>
          <w:sz w:val="24"/>
        </w:rPr>
        <w:t>embedded generator </w:t>
      </w:r>
      <w:r>
        <w:rPr>
          <w:sz w:val="24"/>
        </w:rPr>
        <w:t>and a </w:t>
      </w:r>
      <w:r>
        <w:rPr>
          <w:i/>
          <w:sz w:val="24"/>
        </w:rPr>
        <w:t>micro embedded generator</w:t>
      </w:r>
      <w:r>
        <w:rPr>
          <w:sz w:val="24"/>
        </w:rPr>
        <w:t>.</w:t>
      </w:r>
    </w:p>
    <w:p>
      <w:pPr>
        <w:pStyle w:val="Heading4"/>
        <w:spacing w:before="120"/>
        <w:ind w:left="218" w:firstLine="0"/>
        <w:rPr>
          <w:rFonts w:ascii="Times New Roman"/>
        </w:rPr>
      </w:pPr>
      <w:r>
        <w:rPr>
          <w:rFonts w:ascii="Times New Roman"/>
        </w:rPr>
        <w:t>standard connection service</w:t>
      </w:r>
    </w:p>
    <w:p>
      <w:pPr>
        <w:spacing w:before="120"/>
        <w:ind w:left="1352" w:right="415" w:firstLine="0"/>
        <w:jc w:val="both"/>
        <w:rPr>
          <w:sz w:val="24"/>
        </w:rPr>
      </w:pPr>
      <w:r>
        <w:rPr>
          <w:sz w:val="24"/>
        </w:rPr>
        <w:t>means a </w:t>
      </w:r>
      <w:r>
        <w:rPr>
          <w:i/>
          <w:sz w:val="24"/>
        </w:rPr>
        <w:t>connection service </w:t>
      </w:r>
      <w:r>
        <w:rPr>
          <w:sz w:val="24"/>
        </w:rPr>
        <w:t>(other than a </w:t>
      </w:r>
      <w:r>
        <w:rPr>
          <w:i/>
          <w:sz w:val="24"/>
        </w:rPr>
        <w:t>basic connection service</w:t>
      </w:r>
      <w:r>
        <w:rPr>
          <w:sz w:val="24"/>
        </w:rPr>
        <w:t>) for a particular class (or sub-class) of </w:t>
      </w:r>
      <w:r>
        <w:rPr>
          <w:i/>
          <w:sz w:val="24"/>
        </w:rPr>
        <w:t>connection applicant </w:t>
      </w:r>
      <w:r>
        <w:rPr>
          <w:sz w:val="24"/>
        </w:rPr>
        <w:t>and for which a </w:t>
      </w:r>
      <w:r>
        <w:rPr>
          <w:i/>
          <w:sz w:val="24"/>
        </w:rPr>
        <w:t>model standing offer </w:t>
      </w:r>
      <w:r>
        <w:rPr>
          <w:sz w:val="24"/>
        </w:rPr>
        <w:t>has been approved by the </w:t>
      </w:r>
      <w:r>
        <w:rPr>
          <w:i/>
          <w:sz w:val="24"/>
        </w:rPr>
        <w:t>AER</w:t>
      </w:r>
      <w:r>
        <w:rPr>
          <w:sz w:val="24"/>
        </w:rPr>
        <w:t>.</w:t>
      </w:r>
    </w:p>
    <w:p>
      <w:pPr>
        <w:pStyle w:val="Heading4"/>
        <w:spacing w:before="120"/>
        <w:ind w:left="218" w:firstLine="0"/>
        <w:jc w:val="both"/>
        <w:rPr>
          <w:rFonts w:ascii="Times New Roman"/>
        </w:rPr>
      </w:pPr>
      <w:r>
        <w:rPr>
          <w:rFonts w:ascii="Times New Roman"/>
        </w:rPr>
        <w:t>supply service</w:t>
      </w:r>
    </w:p>
    <w:p>
      <w:pPr>
        <w:spacing w:before="120"/>
        <w:ind w:left="1352" w:right="416" w:firstLine="0"/>
        <w:jc w:val="both"/>
        <w:rPr>
          <w:sz w:val="24"/>
        </w:rPr>
      </w:pPr>
      <w:r>
        <w:rPr>
          <w:sz w:val="24"/>
        </w:rPr>
        <w:t>means a service (other than a </w:t>
      </w:r>
      <w:r>
        <w:rPr>
          <w:i/>
          <w:sz w:val="24"/>
        </w:rPr>
        <w:t>connection service</w:t>
      </w:r>
      <w:r>
        <w:rPr>
          <w:sz w:val="24"/>
        </w:rPr>
        <w:t>) relating to the </w:t>
      </w:r>
      <w:r>
        <w:rPr>
          <w:i/>
          <w:sz w:val="24"/>
        </w:rPr>
        <w:t>supply </w:t>
      </w:r>
      <w:r>
        <w:rPr>
          <w:sz w:val="24"/>
        </w:rPr>
        <w:t>of electricity.</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5A.A.2 Application of this Chapter" w:id="1127"/>
      <w:bookmarkEnd w:id="1127"/>
      <w:r>
        <w:rPr>
          <w:b w:val="0"/>
        </w:rPr>
      </w:r>
      <w:bookmarkStart w:name="_bookmark455" w:id="1128"/>
      <w:bookmarkEnd w:id="1128"/>
      <w:r>
        <w:rPr>
          <w:b w:val="0"/>
        </w:rPr>
      </w:r>
      <w:r>
        <w:rPr/>
        <w:t>5A.A.2</w:t>
        <w:tab/>
        <w:t>Application of this</w:t>
      </w:r>
      <w:r>
        <w:rPr>
          <w:spacing w:val="-1"/>
        </w:rPr>
        <w:t> </w:t>
      </w:r>
      <w:r>
        <w:rPr/>
        <w:t>Chapter</w:t>
      </w:r>
    </w:p>
    <w:p>
      <w:pPr>
        <w:pStyle w:val="ListParagraph"/>
        <w:numPr>
          <w:ilvl w:val="0"/>
          <w:numId w:val="353"/>
        </w:numPr>
        <w:tabs>
          <w:tab w:pos="1919" w:val="left" w:leader="none"/>
        </w:tabs>
        <w:spacing w:line="240" w:lineRule="auto" w:before="120" w:after="0"/>
        <w:ind w:left="1919" w:right="415" w:hanging="567"/>
        <w:jc w:val="both"/>
        <w:rPr>
          <w:sz w:val="24"/>
        </w:rPr>
      </w:pPr>
      <w:r>
        <w:rPr>
          <w:sz w:val="24"/>
        </w:rPr>
        <w:t>This Chapter does not apply to, or in relation to, a </w:t>
      </w:r>
      <w:r>
        <w:rPr>
          <w:i/>
          <w:sz w:val="24"/>
        </w:rPr>
        <w:t>connection applicant </w:t>
      </w:r>
      <w:r>
        <w:rPr>
          <w:sz w:val="24"/>
        </w:rPr>
        <w:t>that is a </w:t>
      </w:r>
      <w:r>
        <w:rPr>
          <w:i/>
          <w:sz w:val="24"/>
        </w:rPr>
        <w:t>Registered Participant </w:t>
      </w:r>
      <w:r>
        <w:rPr>
          <w:sz w:val="24"/>
        </w:rPr>
        <w:t>or a person intending to become a </w:t>
      </w:r>
      <w:r>
        <w:rPr>
          <w:i/>
          <w:sz w:val="24"/>
        </w:rPr>
        <w:t>Registered </w:t>
      </w:r>
      <w:r>
        <w:rPr>
          <w:i/>
          <w:sz w:val="24"/>
        </w:rPr>
        <w:t>Participant </w:t>
      </w:r>
      <w:r>
        <w:rPr>
          <w:sz w:val="24"/>
        </w:rPr>
        <w:t>unless the </w:t>
      </w:r>
      <w:r>
        <w:rPr>
          <w:i/>
          <w:sz w:val="24"/>
        </w:rPr>
        <w:t>Registered Participant </w:t>
      </w:r>
      <w:r>
        <w:rPr>
          <w:sz w:val="24"/>
        </w:rPr>
        <w:t>or person intending to become a </w:t>
      </w:r>
      <w:r>
        <w:rPr>
          <w:i/>
          <w:sz w:val="24"/>
        </w:rPr>
        <w:t>Registered Participant </w:t>
      </w:r>
      <w:r>
        <w:rPr>
          <w:sz w:val="24"/>
        </w:rPr>
        <w:t>is acting as the agent of a </w:t>
      </w:r>
      <w:r>
        <w:rPr>
          <w:i/>
          <w:sz w:val="24"/>
        </w:rPr>
        <w:t>retail</w:t>
      </w:r>
      <w:r>
        <w:rPr>
          <w:i/>
          <w:spacing w:val="-5"/>
          <w:sz w:val="24"/>
        </w:rPr>
        <w:t> </w:t>
      </w:r>
      <w:r>
        <w:rPr>
          <w:i/>
          <w:sz w:val="24"/>
        </w:rPr>
        <w:t>customer</w:t>
      </w:r>
      <w:r>
        <w:rPr>
          <w:sz w:val="24"/>
        </w:rPr>
        <w:t>.</w:t>
      </w:r>
    </w:p>
    <w:p>
      <w:pPr>
        <w:pStyle w:val="ListParagraph"/>
        <w:numPr>
          <w:ilvl w:val="0"/>
          <w:numId w:val="353"/>
        </w:numPr>
        <w:tabs>
          <w:tab w:pos="1919" w:val="left" w:leader="none"/>
        </w:tabs>
        <w:spacing w:line="240" w:lineRule="auto" w:before="120" w:after="0"/>
        <w:ind w:left="1919" w:right="415" w:hanging="567"/>
        <w:jc w:val="both"/>
        <w:rPr>
          <w:sz w:val="24"/>
        </w:rPr>
      </w:pPr>
      <w:r>
        <w:rPr>
          <w:sz w:val="24"/>
        </w:rPr>
        <w:t>Where a </w:t>
      </w:r>
      <w:r>
        <w:rPr>
          <w:i/>
          <w:sz w:val="24"/>
        </w:rPr>
        <w:t>non-registered embedded generator </w:t>
      </w:r>
      <w:r>
        <w:rPr>
          <w:sz w:val="24"/>
        </w:rPr>
        <w:t>wishing to </w:t>
      </w:r>
      <w:r>
        <w:rPr>
          <w:i/>
          <w:sz w:val="24"/>
        </w:rPr>
        <w:t>connect </w:t>
      </w:r>
      <w:r>
        <w:rPr>
          <w:sz w:val="24"/>
        </w:rPr>
        <w:t>an </w:t>
      </w:r>
      <w:r>
        <w:rPr>
          <w:i/>
          <w:sz w:val="24"/>
        </w:rPr>
        <w:t>embedded generating unit </w:t>
      </w:r>
      <w:r>
        <w:rPr>
          <w:sz w:val="24"/>
        </w:rPr>
        <w:t>to a </w:t>
      </w:r>
      <w:r>
        <w:rPr>
          <w:i/>
          <w:sz w:val="24"/>
        </w:rPr>
        <w:t>Distribution Network Service Provider's </w:t>
      </w:r>
      <w:r>
        <w:rPr>
          <w:i/>
          <w:sz w:val="24"/>
        </w:rPr>
        <w:t>network</w:t>
      </w:r>
      <w:r>
        <w:rPr>
          <w:sz w:val="24"/>
        </w:rPr>
        <w:t>:</w:t>
      </w:r>
    </w:p>
    <w:p>
      <w:pPr>
        <w:pStyle w:val="ListParagraph"/>
        <w:numPr>
          <w:ilvl w:val="1"/>
          <w:numId w:val="353"/>
        </w:numPr>
        <w:tabs>
          <w:tab w:pos="2486" w:val="left" w:leader="none"/>
        </w:tabs>
        <w:spacing w:line="240" w:lineRule="auto" w:before="120" w:after="0"/>
        <w:ind w:left="2486" w:right="416" w:hanging="567"/>
        <w:jc w:val="both"/>
        <w:rPr>
          <w:sz w:val="24"/>
        </w:rPr>
      </w:pPr>
      <w:r>
        <w:rPr>
          <w:sz w:val="24"/>
        </w:rPr>
        <w:t>falls within a particular class (or subclass) of </w:t>
      </w:r>
      <w:r>
        <w:rPr>
          <w:i/>
          <w:sz w:val="24"/>
        </w:rPr>
        <w:t>connection applicant </w:t>
      </w:r>
      <w:r>
        <w:rPr>
          <w:sz w:val="24"/>
        </w:rPr>
        <w:t>for which that </w:t>
      </w:r>
      <w:r>
        <w:rPr>
          <w:i/>
          <w:sz w:val="24"/>
        </w:rPr>
        <w:t>Distribution Network Service Provider </w:t>
      </w:r>
      <w:r>
        <w:rPr>
          <w:sz w:val="24"/>
        </w:rPr>
        <w:t>provides a </w:t>
      </w:r>
      <w:r>
        <w:rPr>
          <w:i/>
          <w:sz w:val="24"/>
        </w:rPr>
        <w:t>standard </w:t>
      </w:r>
      <w:r>
        <w:rPr>
          <w:i/>
          <w:sz w:val="24"/>
        </w:rPr>
        <w:t>connection service</w:t>
      </w:r>
      <w:r>
        <w:rPr>
          <w:sz w:val="24"/>
        </w:rPr>
        <w:t>, this Chapter will</w:t>
      </w:r>
      <w:r>
        <w:rPr>
          <w:spacing w:val="-3"/>
          <w:sz w:val="24"/>
        </w:rPr>
        <w:t> </w:t>
      </w:r>
      <w:r>
        <w:rPr>
          <w:sz w:val="24"/>
        </w:rPr>
        <w:t>apply;</w:t>
      </w:r>
    </w:p>
    <w:p>
      <w:pPr>
        <w:pStyle w:val="ListParagraph"/>
        <w:numPr>
          <w:ilvl w:val="1"/>
          <w:numId w:val="353"/>
        </w:numPr>
        <w:tabs>
          <w:tab w:pos="2486" w:val="left" w:leader="none"/>
        </w:tabs>
        <w:spacing w:line="240" w:lineRule="auto" w:before="120" w:after="0"/>
        <w:ind w:left="2486" w:right="416" w:hanging="567"/>
        <w:jc w:val="both"/>
        <w:rPr>
          <w:sz w:val="24"/>
        </w:rPr>
      </w:pPr>
      <w:r>
        <w:rPr>
          <w:sz w:val="24"/>
        </w:rPr>
        <w:t>does not fall within a particular class (or subclass) of </w:t>
      </w:r>
      <w:r>
        <w:rPr>
          <w:i/>
          <w:sz w:val="24"/>
        </w:rPr>
        <w:t>connection </w:t>
      </w:r>
      <w:r>
        <w:rPr>
          <w:i/>
          <w:sz w:val="24"/>
        </w:rPr>
        <w:t>applicant </w:t>
      </w:r>
      <w:r>
        <w:rPr>
          <w:sz w:val="24"/>
        </w:rPr>
        <w:t>for which that </w:t>
      </w:r>
      <w:r>
        <w:rPr>
          <w:i/>
          <w:sz w:val="24"/>
        </w:rPr>
        <w:t>Distribution Network Service Provider </w:t>
      </w:r>
      <w:r>
        <w:rPr>
          <w:sz w:val="24"/>
        </w:rPr>
        <w:t>provides a </w:t>
      </w:r>
      <w:r>
        <w:rPr>
          <w:i/>
          <w:sz w:val="24"/>
        </w:rPr>
        <w:t>standard connection service</w:t>
      </w:r>
      <w:r>
        <w:rPr>
          <w:sz w:val="24"/>
        </w:rPr>
        <w:t>, paragraph (c) will</w:t>
      </w:r>
      <w:r>
        <w:rPr>
          <w:spacing w:val="-12"/>
          <w:sz w:val="24"/>
        </w:rPr>
        <w:t> </w:t>
      </w:r>
      <w:r>
        <w:rPr>
          <w:sz w:val="24"/>
        </w:rPr>
        <w:t>apply.</w:t>
      </w:r>
    </w:p>
    <w:p>
      <w:pPr>
        <w:pStyle w:val="ListParagraph"/>
        <w:numPr>
          <w:ilvl w:val="0"/>
          <w:numId w:val="353"/>
        </w:numPr>
        <w:tabs>
          <w:tab w:pos="1919" w:val="left" w:leader="none"/>
        </w:tabs>
        <w:spacing w:line="240" w:lineRule="auto" w:before="120" w:after="0"/>
        <w:ind w:left="1919" w:right="415" w:hanging="567"/>
        <w:jc w:val="both"/>
        <w:rPr>
          <w:sz w:val="24"/>
        </w:rPr>
      </w:pPr>
      <w:r>
        <w:rPr>
          <w:sz w:val="24"/>
        </w:rPr>
        <w:t>A </w:t>
      </w:r>
      <w:r>
        <w:rPr>
          <w:i/>
          <w:sz w:val="24"/>
        </w:rPr>
        <w:t>non-registered embedded generator </w:t>
      </w:r>
      <w:r>
        <w:rPr>
          <w:sz w:val="24"/>
        </w:rPr>
        <w:t>that meets the requirements in paragraph (b)(2) may elect to seek </w:t>
      </w:r>
      <w:r>
        <w:rPr>
          <w:i/>
          <w:sz w:val="24"/>
        </w:rPr>
        <w:t>connection </w:t>
      </w:r>
      <w:r>
        <w:rPr>
          <w:sz w:val="24"/>
        </w:rPr>
        <w:t>of the relevant </w:t>
      </w:r>
      <w:r>
        <w:rPr>
          <w:i/>
          <w:sz w:val="24"/>
        </w:rPr>
        <w:t>embedded </w:t>
      </w:r>
      <w:r>
        <w:rPr>
          <w:i/>
          <w:sz w:val="24"/>
        </w:rPr>
        <w:t>generating unit </w:t>
      </w:r>
      <w:r>
        <w:rPr>
          <w:sz w:val="24"/>
        </w:rPr>
        <w:t>under rule 5.3A instead of this</w:t>
      </w:r>
      <w:r>
        <w:rPr>
          <w:spacing w:val="-1"/>
          <w:sz w:val="24"/>
        </w:rPr>
        <w:t> </w:t>
      </w:r>
      <w:r>
        <w:rPr>
          <w:sz w:val="24"/>
        </w:rPr>
        <w:t>Chapter.</w:t>
      </w:r>
    </w:p>
    <w:p>
      <w:pPr>
        <w:pStyle w:val="ListParagraph"/>
        <w:numPr>
          <w:ilvl w:val="0"/>
          <w:numId w:val="353"/>
        </w:numPr>
        <w:tabs>
          <w:tab w:pos="1919" w:val="left" w:leader="none"/>
        </w:tabs>
        <w:spacing w:line="240" w:lineRule="auto" w:before="120" w:after="0"/>
        <w:ind w:left="1919" w:right="415" w:hanging="567"/>
        <w:jc w:val="both"/>
        <w:rPr>
          <w:sz w:val="24"/>
        </w:rPr>
      </w:pPr>
      <w:r>
        <w:rPr>
          <w:sz w:val="24"/>
        </w:rPr>
        <w:t>Any election made by a </w:t>
      </w:r>
      <w:r>
        <w:rPr>
          <w:i/>
          <w:sz w:val="24"/>
        </w:rPr>
        <w:t>non-registered embedded generator </w:t>
      </w:r>
      <w:r>
        <w:rPr>
          <w:sz w:val="24"/>
        </w:rPr>
        <w:t>under paragraph (c) must</w:t>
      </w:r>
      <w:r>
        <w:rPr>
          <w:spacing w:val="-1"/>
          <w:sz w:val="24"/>
        </w:rPr>
        <w:t> </w:t>
      </w:r>
      <w:r>
        <w:rPr>
          <w:sz w:val="24"/>
        </w:rPr>
        <w:t>be:</w:t>
      </w:r>
    </w:p>
    <w:p>
      <w:pPr>
        <w:pStyle w:val="ListParagraph"/>
        <w:numPr>
          <w:ilvl w:val="1"/>
          <w:numId w:val="353"/>
        </w:numPr>
        <w:tabs>
          <w:tab w:pos="2486" w:val="left" w:leader="none"/>
        </w:tabs>
        <w:spacing w:line="240" w:lineRule="auto" w:before="120" w:after="0"/>
        <w:ind w:left="2486" w:right="414" w:hanging="567"/>
        <w:jc w:val="both"/>
        <w:rPr>
          <w:sz w:val="24"/>
        </w:rPr>
      </w:pPr>
      <w:r>
        <w:rPr>
          <w:sz w:val="24"/>
        </w:rPr>
        <w:t>made before an </w:t>
      </w:r>
      <w:r>
        <w:rPr>
          <w:i/>
          <w:sz w:val="24"/>
        </w:rPr>
        <w:t>enquiry </w:t>
      </w:r>
      <w:r>
        <w:rPr>
          <w:sz w:val="24"/>
        </w:rPr>
        <w:t>is made or if no </w:t>
      </w:r>
      <w:r>
        <w:rPr>
          <w:i/>
          <w:sz w:val="24"/>
        </w:rPr>
        <w:t>enquiry </w:t>
      </w:r>
      <w:r>
        <w:rPr>
          <w:sz w:val="24"/>
        </w:rPr>
        <w:t>is made, before </w:t>
      </w:r>
      <w:r>
        <w:rPr>
          <w:spacing w:val="-11"/>
          <w:sz w:val="24"/>
        </w:rPr>
        <w:t>a </w:t>
      </w:r>
      <w:r>
        <w:rPr>
          <w:i/>
          <w:sz w:val="24"/>
        </w:rPr>
        <w:t>connection application </w:t>
      </w:r>
      <w:r>
        <w:rPr>
          <w:sz w:val="24"/>
        </w:rPr>
        <w:t>is lodged with the relevant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1"/>
          <w:numId w:val="353"/>
        </w:numPr>
        <w:tabs>
          <w:tab w:pos="2486" w:val="left" w:leader="none"/>
        </w:tabs>
        <w:spacing w:line="240" w:lineRule="auto" w:before="120" w:after="0"/>
        <w:ind w:left="2485" w:right="0" w:hanging="567"/>
        <w:jc w:val="both"/>
        <w:rPr>
          <w:sz w:val="24"/>
        </w:rPr>
      </w:pPr>
      <w:r>
        <w:rPr>
          <w:sz w:val="24"/>
        </w:rPr>
        <w:t>in writing;</w:t>
      </w:r>
      <w:r>
        <w:rPr>
          <w:spacing w:val="-1"/>
          <w:sz w:val="24"/>
        </w:rPr>
        <w:t> </w:t>
      </w:r>
      <w:r>
        <w:rPr>
          <w:sz w:val="24"/>
        </w:rPr>
        <w:t>and</w:t>
      </w:r>
    </w:p>
    <w:p>
      <w:pPr>
        <w:pStyle w:val="ListParagraph"/>
        <w:numPr>
          <w:ilvl w:val="1"/>
          <w:numId w:val="353"/>
        </w:numPr>
        <w:tabs>
          <w:tab w:pos="2486" w:val="left" w:leader="none"/>
        </w:tabs>
        <w:spacing w:line="240" w:lineRule="auto" w:before="120" w:after="0"/>
        <w:ind w:left="2486" w:right="416" w:hanging="567"/>
        <w:jc w:val="both"/>
        <w:rPr>
          <w:sz w:val="24"/>
        </w:rPr>
      </w:pPr>
      <w:r>
        <w:rPr>
          <w:sz w:val="24"/>
        </w:rPr>
        <w:t>delivered to the relevant </w:t>
      </w:r>
      <w:r>
        <w:rPr>
          <w:i/>
          <w:sz w:val="24"/>
        </w:rPr>
        <w:t>Distribution Network Service Provider </w:t>
      </w:r>
      <w:r>
        <w:rPr>
          <w:sz w:val="24"/>
        </w:rPr>
        <w:t>at the same time as lodging an enquiry under clause</w:t>
      </w:r>
      <w:r>
        <w:rPr>
          <w:spacing w:val="-4"/>
          <w:sz w:val="24"/>
        </w:rPr>
        <w:t> </w:t>
      </w:r>
      <w:r>
        <w:rPr>
          <w:sz w:val="24"/>
        </w:rPr>
        <w:t>5.3A.5.</w:t>
      </w:r>
    </w:p>
    <w:p>
      <w:pPr>
        <w:pStyle w:val="ListParagraph"/>
        <w:numPr>
          <w:ilvl w:val="0"/>
          <w:numId w:val="353"/>
        </w:numPr>
        <w:tabs>
          <w:tab w:pos="1919" w:val="left" w:leader="none"/>
        </w:tabs>
        <w:spacing w:line="240" w:lineRule="auto" w:before="120" w:after="0"/>
        <w:ind w:left="1919" w:right="415" w:hanging="567"/>
        <w:jc w:val="both"/>
        <w:rPr>
          <w:sz w:val="24"/>
        </w:rPr>
      </w:pPr>
      <w:r>
        <w:rPr>
          <w:sz w:val="24"/>
        </w:rPr>
        <w:t>For the avoidance of doubt, clause 5A.C.1(a)(2) is still applicable when a </w:t>
      </w:r>
      <w:r>
        <w:rPr>
          <w:i/>
          <w:sz w:val="24"/>
        </w:rPr>
        <w:t>non-registered embedded generator </w:t>
      </w:r>
      <w:r>
        <w:rPr>
          <w:sz w:val="24"/>
        </w:rPr>
        <w:t>meets the requirements in </w:t>
      </w:r>
      <w:r>
        <w:rPr>
          <w:spacing w:val="-3"/>
          <w:sz w:val="24"/>
        </w:rPr>
        <w:t>paragraph</w:t>
      </w:r>
      <w:r>
        <w:rPr>
          <w:spacing w:val="54"/>
          <w:sz w:val="24"/>
        </w:rPr>
        <w:t> </w:t>
      </w:r>
      <w:r>
        <w:rPr>
          <w:sz w:val="24"/>
        </w:rPr>
        <w:t>(b)(1).</w:t>
      </w:r>
    </w:p>
    <w:p>
      <w:pPr>
        <w:pStyle w:val="BodyText"/>
        <w:spacing w:before="10"/>
        <w:ind w:firstLine="0"/>
        <w:jc w:val="left"/>
        <w:rPr>
          <w:sz w:val="20"/>
        </w:rPr>
      </w:pPr>
    </w:p>
    <w:p>
      <w:pPr>
        <w:pStyle w:val="Heading4"/>
        <w:tabs>
          <w:tab w:pos="1351" w:val="left" w:leader="none"/>
        </w:tabs>
        <w:ind w:left="218" w:firstLine="0"/>
      </w:pPr>
      <w:bookmarkStart w:name="5A.A.3 Small Generation Aggregator deeme" w:id="1129"/>
      <w:bookmarkEnd w:id="1129"/>
      <w:r>
        <w:rPr>
          <w:b w:val="0"/>
        </w:rPr>
      </w:r>
      <w:bookmarkStart w:name="_bookmark456" w:id="1130"/>
      <w:bookmarkEnd w:id="1130"/>
      <w:r>
        <w:rPr>
          <w:b w:val="0"/>
        </w:rPr>
      </w:r>
      <w:r>
        <w:rPr/>
        <w:t>5A.A.3</w:t>
        <w:tab/>
        <w:t>Small Generation Aggregator deemed to be agent of a retail</w:t>
      </w:r>
      <w:r>
        <w:rPr>
          <w:spacing w:val="-24"/>
        </w:rPr>
        <w:t> </w:t>
      </w:r>
      <w:r>
        <w:rPr/>
        <w:t>customer</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5A.A.3 has no effect in this jurisdiction (see regulation 5A of the </w:t>
      </w:r>
      <w:r>
        <w:rPr>
          <w:i/>
          <w:sz w:val="20"/>
        </w:rPr>
        <w:t>National Electricity </w:t>
      </w:r>
      <w:r>
        <w:rPr>
          <w:i/>
          <w:sz w:val="20"/>
        </w:rPr>
        <w:t>(Northern Territory) (National Uniform Legislation) (Modification) Regulations)</w:t>
      </w:r>
      <w:r>
        <w:rPr>
          <w:sz w:val="20"/>
        </w:rPr>
        <w:t>. The application of clause 5A.A.3 will be revisited as part of the phased implementation of the </w:t>
      </w:r>
      <w:r>
        <w:rPr>
          <w:i/>
          <w:sz w:val="20"/>
        </w:rPr>
        <w:t>Rules </w:t>
      </w:r>
      <w:r>
        <w:rPr>
          <w:sz w:val="20"/>
        </w:rPr>
        <w:t>in this jurisdiction.</w:t>
      </w:r>
    </w:p>
    <w:p>
      <w:pPr>
        <w:spacing w:before="120"/>
        <w:ind w:left="1352" w:right="415" w:firstLine="0"/>
        <w:jc w:val="both"/>
        <w:rPr>
          <w:sz w:val="24"/>
        </w:rPr>
      </w:pPr>
      <w:r>
        <w:rPr>
          <w:sz w:val="24"/>
        </w:rPr>
        <w:t>A </w:t>
      </w:r>
      <w:r>
        <w:rPr>
          <w:i/>
          <w:sz w:val="24"/>
        </w:rPr>
        <w:t>Market Small Generation Aggregator </w:t>
      </w:r>
      <w:r>
        <w:rPr>
          <w:sz w:val="24"/>
        </w:rPr>
        <w:t>is deemed to be the agent of a </w:t>
      </w:r>
      <w:r>
        <w:rPr>
          <w:i/>
          <w:sz w:val="24"/>
        </w:rPr>
        <w:t>retail </w:t>
      </w:r>
      <w:r>
        <w:rPr>
          <w:i/>
          <w:sz w:val="24"/>
        </w:rPr>
        <w:t>customer</w:t>
      </w:r>
      <w:r>
        <w:rPr>
          <w:sz w:val="24"/>
        </w:rPr>
        <w:t>, where there is an agreement between the </w:t>
      </w:r>
      <w:r>
        <w:rPr>
          <w:i/>
          <w:sz w:val="24"/>
        </w:rPr>
        <w:t>Market Small Generation </w:t>
      </w:r>
      <w:r>
        <w:rPr>
          <w:i/>
          <w:sz w:val="24"/>
        </w:rPr>
        <w:t>Aggregator </w:t>
      </w:r>
      <w:r>
        <w:rPr>
          <w:sz w:val="24"/>
        </w:rPr>
        <w:t>and the</w:t>
      </w:r>
      <w:r>
        <w:rPr>
          <w:i/>
          <w:sz w:val="24"/>
        </w:rPr>
        <w:t>retail customer </w:t>
      </w:r>
      <w:r>
        <w:rPr>
          <w:sz w:val="24"/>
        </w:rPr>
        <w:t>relating to the </w:t>
      </w:r>
      <w:r>
        <w:rPr>
          <w:i/>
          <w:sz w:val="24"/>
        </w:rPr>
        <w:t>retail customer's small </w:t>
      </w:r>
      <w:r>
        <w:rPr>
          <w:i/>
          <w:sz w:val="24"/>
        </w:rPr>
        <w:t>generating unit </w:t>
      </w:r>
      <w:r>
        <w:rPr>
          <w:sz w:val="24"/>
        </w:rPr>
        <w:t>under which the </w:t>
      </w:r>
      <w:r>
        <w:rPr>
          <w:i/>
          <w:sz w:val="24"/>
        </w:rPr>
        <w:t>Market Small Generation Aggregator </w:t>
      </w:r>
      <w:r>
        <w:rPr>
          <w:sz w:val="24"/>
        </w:rPr>
        <w:t>is </w:t>
      </w:r>
      <w:r>
        <w:rPr>
          <w:i/>
          <w:sz w:val="24"/>
        </w:rPr>
        <w:t>financially responsible </w:t>
      </w:r>
      <w:r>
        <w:rPr>
          <w:sz w:val="24"/>
        </w:rPr>
        <w:t>for the </w:t>
      </w:r>
      <w:r>
        <w:rPr>
          <w:i/>
          <w:sz w:val="24"/>
        </w:rPr>
        <w:t>market connection point </w:t>
      </w:r>
      <w:r>
        <w:rPr>
          <w:sz w:val="24"/>
        </w:rPr>
        <w:t>at which the </w:t>
      </w:r>
      <w:r>
        <w:rPr>
          <w:i/>
          <w:sz w:val="24"/>
        </w:rPr>
        <w:t>small </w:t>
      </w:r>
      <w:r>
        <w:rPr>
          <w:i/>
          <w:sz w:val="24"/>
        </w:rPr>
        <w:t>generating unit </w:t>
      </w:r>
      <w:r>
        <w:rPr>
          <w:sz w:val="24"/>
        </w:rPr>
        <w:t>is connected to the </w:t>
      </w:r>
      <w:r>
        <w:rPr>
          <w:i/>
          <w:sz w:val="24"/>
        </w:rPr>
        <w:t>national grid</w:t>
      </w:r>
      <w:r>
        <w:rPr>
          <w:sz w:val="24"/>
        </w:rPr>
        <w:t>.</w:t>
      </w:r>
    </w:p>
    <w:p>
      <w:pPr>
        <w:spacing w:after="0"/>
        <w:jc w:val="both"/>
        <w:rPr>
          <w:sz w:val="24"/>
        </w:rPr>
        <w:sectPr>
          <w:pgSz w:w="11910" w:h="16840"/>
          <w:pgMar w:header="686" w:footer="637" w:top="1320" w:bottom="820" w:left="1200" w:right="1000"/>
        </w:sectPr>
      </w:pPr>
    </w:p>
    <w:p>
      <w:pPr>
        <w:pStyle w:val="BodyText"/>
        <w:spacing w:before="2"/>
        <w:ind w:firstLine="0"/>
        <w:jc w:val="left"/>
        <w:rPr>
          <w:sz w:val="7"/>
        </w:rPr>
      </w:pPr>
    </w:p>
    <w:p>
      <w:pPr>
        <w:pStyle w:val="BodyText"/>
        <w:spacing w:before="0"/>
        <w:ind w:left="189" w:firstLine="0"/>
        <w:jc w:val="left"/>
        <w:rPr>
          <w:sz w:val="20"/>
        </w:rPr>
      </w:pPr>
      <w:r>
        <w:rPr>
          <w:sz w:val="20"/>
        </w:rPr>
        <w:pict>
          <v:shape style="width:456.45pt;height:32.2pt;mso-position-horizontal-relative:char;mso-position-vertical-relative:line" type="#_x0000_t202" filled="true" fillcolor="#d9d9d9" stroked="false">
            <w10:anchorlock/>
            <v:textbox inset="0,0,0,0">
              <w:txbxContent>
                <w:p>
                  <w:pPr>
                    <w:tabs>
                      <w:tab w:pos="1163" w:val="left" w:leader="none"/>
                    </w:tabs>
                    <w:spacing w:before="0"/>
                    <w:ind w:left="1163" w:right="1273" w:hanging="1134"/>
                    <w:jc w:val="left"/>
                    <w:rPr>
                      <w:rFonts w:ascii="Arial"/>
                      <w:b/>
                      <w:sz w:val="28"/>
                    </w:rPr>
                  </w:pPr>
                  <w:bookmarkStart w:name="Part B Standardised offers to provide ba" w:id="1131"/>
                  <w:bookmarkEnd w:id="1131"/>
                  <w:r>
                    <w:rPr/>
                  </w:r>
                  <w:bookmarkStart w:name="_bookmark457" w:id="1132"/>
                  <w:bookmarkEnd w:id="1132"/>
                  <w:r>
                    <w:rPr/>
                  </w:r>
                  <w:r>
                    <w:rPr>
                      <w:rFonts w:ascii="Arial"/>
                      <w:b/>
                      <w:sz w:val="28"/>
                    </w:rPr>
                    <w:t>Part B</w:t>
                    <w:tab/>
                    <w:t>Standardised offers to provide basic and standard connection</w:t>
                  </w:r>
                  <w:r>
                    <w:rPr>
                      <w:rFonts w:ascii="Arial"/>
                      <w:b/>
                      <w:spacing w:val="-2"/>
                      <w:sz w:val="28"/>
                    </w:rPr>
                    <w:t> </w:t>
                  </w:r>
                  <w:r>
                    <w:rPr>
                      <w:rFonts w:ascii="Arial"/>
                      <w:b/>
                      <w:sz w:val="28"/>
                    </w:rPr>
                    <w:t>services</w:t>
                  </w:r>
                </w:p>
              </w:txbxContent>
            </v:textbox>
            <v:fill type="solid"/>
          </v:shape>
        </w:pict>
      </w:r>
      <w:r>
        <w:rPr>
          <w:sz w:val="20"/>
        </w:rPr>
      </w:r>
    </w:p>
    <w:p>
      <w:pPr>
        <w:pStyle w:val="BodyText"/>
        <w:spacing w:before="1"/>
        <w:ind w:firstLine="0"/>
        <w:jc w:val="left"/>
        <w:rPr>
          <w:sz w:val="22"/>
        </w:rPr>
      </w:pPr>
    </w:p>
    <w:p>
      <w:pPr>
        <w:pStyle w:val="Heading2"/>
        <w:tabs>
          <w:tab w:pos="2485" w:val="left" w:leader="none"/>
        </w:tabs>
        <w:spacing w:before="91"/>
      </w:pPr>
      <w:bookmarkStart w:name="_bookmark458" w:id="1133"/>
      <w:bookmarkEnd w:id="1133"/>
      <w:r>
        <w:rPr>
          <w:b w:val="0"/>
        </w:rPr>
      </w:r>
      <w:r>
        <w:rPr/>
        <w:t>Division</w:t>
      </w:r>
      <w:r>
        <w:rPr>
          <w:spacing w:val="-4"/>
        </w:rPr>
        <w:t> </w:t>
      </w:r>
      <w:r>
        <w:rPr/>
        <w:t>1</w:t>
        <w:tab/>
        <w:t>Basic connection</w:t>
      </w:r>
      <w:r>
        <w:rPr>
          <w:spacing w:val="-3"/>
        </w:rPr>
        <w:t> </w:t>
      </w:r>
      <w:r>
        <w:rPr/>
        <w:t>services</w:t>
      </w:r>
    </w:p>
    <w:p>
      <w:pPr>
        <w:pStyle w:val="Heading4"/>
        <w:tabs>
          <w:tab w:pos="1351" w:val="left" w:leader="none"/>
        </w:tabs>
        <w:spacing w:before="240"/>
        <w:ind w:left="1352" w:right="565"/>
      </w:pPr>
      <w:bookmarkStart w:name=" " w:id="1134"/>
      <w:bookmarkEnd w:id="1134"/>
      <w:r>
        <w:rPr>
          <w:b w:val="0"/>
        </w:rPr>
      </w:r>
      <w:bookmarkStart w:name="5A.B.1 Obligation to have model standing" w:id="1135"/>
      <w:bookmarkEnd w:id="1135"/>
      <w:r>
        <w:rPr>
          <w:b w:val="0"/>
        </w:rPr>
      </w:r>
      <w:bookmarkStart w:name="_bookmark459" w:id="1136"/>
      <w:bookmarkEnd w:id="1136"/>
      <w:r>
        <w:rPr>
          <w:b w:val="0"/>
        </w:rPr>
      </w:r>
      <w:r>
        <w:rPr/>
        <w:t>5A.B.1</w:t>
        <w:tab/>
        <w:t>Obligation to have model standing offer to provide basic connection services</w:t>
      </w:r>
    </w:p>
    <w:p>
      <w:pPr>
        <w:pStyle w:val="ListParagraph"/>
        <w:numPr>
          <w:ilvl w:val="0"/>
          <w:numId w:val="354"/>
        </w:numPr>
        <w:tabs>
          <w:tab w:pos="1919" w:val="left" w:leader="none"/>
        </w:tabs>
        <w:spacing w:line="240" w:lineRule="auto" w:before="120" w:after="0"/>
        <w:ind w:left="1919" w:right="416" w:hanging="567"/>
        <w:jc w:val="both"/>
        <w:rPr>
          <w:sz w:val="24"/>
        </w:rPr>
      </w:pPr>
      <w:r>
        <w:rPr>
          <w:sz w:val="24"/>
        </w:rPr>
        <w:t>Subject to paragraph (b), a </w:t>
      </w:r>
      <w:r>
        <w:rPr>
          <w:i/>
          <w:sz w:val="24"/>
        </w:rPr>
        <w:t>Distribution Network Service Provider </w:t>
      </w:r>
      <w:r>
        <w:rPr>
          <w:sz w:val="24"/>
        </w:rPr>
        <w:t>must have a </w:t>
      </w:r>
      <w:r>
        <w:rPr>
          <w:i/>
          <w:sz w:val="24"/>
        </w:rPr>
        <w:t>model standing offer </w:t>
      </w:r>
      <w:r>
        <w:rPr>
          <w:sz w:val="24"/>
        </w:rPr>
        <w:t>to provide </w:t>
      </w:r>
      <w:r>
        <w:rPr>
          <w:i/>
          <w:sz w:val="24"/>
        </w:rPr>
        <w:t>basic connection services </w:t>
      </w:r>
      <w:r>
        <w:rPr>
          <w:sz w:val="24"/>
        </w:rPr>
        <w:t>to </w:t>
      </w:r>
      <w:r>
        <w:rPr>
          <w:i/>
          <w:sz w:val="24"/>
        </w:rPr>
        <w:t>retail </w:t>
      </w:r>
      <w:r>
        <w:rPr>
          <w:i/>
          <w:sz w:val="24"/>
        </w:rPr>
        <w:t>customers</w:t>
      </w:r>
      <w:r>
        <w:rPr>
          <w:sz w:val="24"/>
        </w:rPr>
        <w:t>.</w:t>
      </w:r>
    </w:p>
    <w:p>
      <w:pPr>
        <w:pStyle w:val="ListParagraph"/>
        <w:numPr>
          <w:ilvl w:val="0"/>
          <w:numId w:val="354"/>
        </w:numPr>
        <w:tabs>
          <w:tab w:pos="1919" w:val="left" w:leader="none"/>
        </w:tabs>
        <w:spacing w:line="240" w:lineRule="auto" w:before="120" w:after="0"/>
        <w:ind w:left="1918" w:right="0" w:hanging="567"/>
        <w:jc w:val="both"/>
        <w:rPr>
          <w:sz w:val="24"/>
        </w:rPr>
      </w:pPr>
      <w:r>
        <w:rPr>
          <w:i/>
          <w:sz w:val="24"/>
        </w:rPr>
        <w:t>Basic connection services </w:t>
      </w:r>
      <w:r>
        <w:rPr>
          <w:sz w:val="24"/>
        </w:rPr>
        <w:t>are of 2</w:t>
      </w:r>
      <w:r>
        <w:rPr>
          <w:spacing w:val="-1"/>
          <w:sz w:val="24"/>
        </w:rPr>
        <w:t> </w:t>
      </w:r>
      <w:r>
        <w:rPr>
          <w:sz w:val="24"/>
        </w:rPr>
        <w:t>classes:</w:t>
      </w:r>
    </w:p>
    <w:p>
      <w:pPr>
        <w:pStyle w:val="ListParagraph"/>
        <w:numPr>
          <w:ilvl w:val="1"/>
          <w:numId w:val="354"/>
        </w:numPr>
        <w:tabs>
          <w:tab w:pos="2486" w:val="left" w:leader="none"/>
        </w:tabs>
        <w:spacing w:line="240" w:lineRule="auto" w:before="120" w:after="0"/>
        <w:ind w:left="2486" w:right="414" w:hanging="567"/>
        <w:jc w:val="both"/>
        <w:rPr>
          <w:sz w:val="24"/>
        </w:rPr>
      </w:pPr>
      <w:r>
        <w:rPr>
          <w:i/>
          <w:sz w:val="24"/>
        </w:rPr>
        <w:t>basic connection services </w:t>
      </w:r>
      <w:r>
        <w:rPr>
          <w:sz w:val="24"/>
        </w:rPr>
        <w:t>for </w:t>
      </w:r>
      <w:r>
        <w:rPr>
          <w:i/>
          <w:sz w:val="24"/>
        </w:rPr>
        <w:t>retail customers </w:t>
      </w:r>
      <w:r>
        <w:rPr>
          <w:sz w:val="24"/>
        </w:rPr>
        <w:t>who are not </w:t>
      </w:r>
      <w:r>
        <w:rPr>
          <w:i/>
          <w:sz w:val="24"/>
        </w:rPr>
        <w:t>embedded </w:t>
      </w:r>
      <w:r>
        <w:rPr>
          <w:i/>
          <w:sz w:val="24"/>
        </w:rPr>
        <w:t>generators</w:t>
      </w:r>
      <w:r>
        <w:rPr>
          <w:sz w:val="24"/>
        </w:rPr>
        <w:t>; and</w:t>
      </w:r>
    </w:p>
    <w:p>
      <w:pPr>
        <w:pStyle w:val="ListParagraph"/>
        <w:numPr>
          <w:ilvl w:val="1"/>
          <w:numId w:val="354"/>
        </w:numPr>
        <w:tabs>
          <w:tab w:pos="2486" w:val="left" w:leader="none"/>
        </w:tabs>
        <w:spacing w:line="240" w:lineRule="auto" w:before="120" w:after="0"/>
        <w:ind w:left="2486" w:right="415" w:hanging="567"/>
        <w:jc w:val="both"/>
        <w:rPr>
          <w:sz w:val="24"/>
        </w:rPr>
      </w:pPr>
      <w:r>
        <w:rPr>
          <w:i/>
          <w:sz w:val="24"/>
        </w:rPr>
        <w:t>basic connection services </w:t>
      </w:r>
      <w:r>
        <w:rPr>
          <w:sz w:val="24"/>
        </w:rPr>
        <w:t>for </w:t>
      </w:r>
      <w:r>
        <w:rPr>
          <w:i/>
          <w:sz w:val="24"/>
        </w:rPr>
        <w:t>retail customers </w:t>
      </w:r>
      <w:r>
        <w:rPr>
          <w:sz w:val="24"/>
        </w:rPr>
        <w:t>who are</w:t>
      </w:r>
      <w:r>
        <w:rPr>
          <w:spacing w:val="29"/>
          <w:sz w:val="24"/>
        </w:rPr>
        <w:t> </w:t>
      </w:r>
      <w:r>
        <w:rPr>
          <w:i/>
          <w:sz w:val="24"/>
        </w:rPr>
        <w:t>micro </w:t>
      </w:r>
      <w:r>
        <w:rPr>
          <w:i/>
          <w:sz w:val="24"/>
        </w:rPr>
        <w:t>embedded</w:t>
      </w:r>
      <w:r>
        <w:rPr>
          <w:i/>
          <w:spacing w:val="-1"/>
          <w:sz w:val="24"/>
        </w:rPr>
        <w:t> </w:t>
      </w:r>
      <w:r>
        <w:rPr>
          <w:i/>
          <w:sz w:val="24"/>
        </w:rPr>
        <w:t>generators</w:t>
      </w:r>
      <w:r>
        <w:rPr>
          <w:sz w:val="24"/>
        </w:rPr>
        <w:t>.</w:t>
      </w:r>
    </w:p>
    <w:p>
      <w:pPr>
        <w:spacing w:before="120"/>
        <w:ind w:left="1919" w:right="0" w:firstLine="0"/>
        <w:jc w:val="left"/>
        <w:rPr>
          <w:rFonts w:ascii="Arial"/>
          <w:b/>
          <w:sz w:val="20"/>
        </w:rPr>
      </w:pPr>
      <w:r>
        <w:rPr>
          <w:rFonts w:ascii="Arial"/>
          <w:b/>
          <w:sz w:val="20"/>
        </w:rPr>
        <w:t>Note</w:t>
      </w:r>
    </w:p>
    <w:p>
      <w:pPr>
        <w:spacing w:before="120"/>
        <w:ind w:left="1919" w:right="0" w:firstLine="0"/>
        <w:jc w:val="both"/>
        <w:rPr>
          <w:i/>
          <w:sz w:val="20"/>
        </w:rPr>
      </w:pPr>
      <w:r>
        <w:rPr>
          <w:i/>
          <w:sz w:val="20"/>
        </w:rPr>
        <w:t>Basic connection services </w:t>
      </w:r>
      <w:r>
        <w:rPr>
          <w:sz w:val="20"/>
        </w:rPr>
        <w:t>are not available to </w:t>
      </w:r>
      <w:r>
        <w:rPr>
          <w:i/>
          <w:sz w:val="20"/>
        </w:rPr>
        <w:t>non-registered embedded generator</w:t>
      </w:r>
    </w:p>
    <w:p>
      <w:pPr>
        <w:pStyle w:val="ListParagraph"/>
        <w:numPr>
          <w:ilvl w:val="0"/>
          <w:numId w:val="354"/>
        </w:numPr>
        <w:tabs>
          <w:tab w:pos="1919" w:val="left" w:leader="none"/>
        </w:tabs>
        <w:spacing w:line="240" w:lineRule="auto" w:before="120" w:after="0"/>
        <w:ind w:left="1919" w:right="415" w:hanging="567"/>
        <w:jc w:val="both"/>
        <w:rPr>
          <w:sz w:val="24"/>
        </w:rPr>
      </w:pPr>
      <w:r>
        <w:rPr>
          <w:sz w:val="24"/>
        </w:rPr>
        <w:t>A </w:t>
      </w:r>
      <w:r>
        <w:rPr>
          <w:i/>
          <w:sz w:val="24"/>
        </w:rPr>
        <w:t>model standing offer </w:t>
      </w:r>
      <w:r>
        <w:rPr>
          <w:sz w:val="24"/>
        </w:rPr>
        <w:t>may relate to each class of </w:t>
      </w:r>
      <w:r>
        <w:rPr>
          <w:i/>
          <w:sz w:val="24"/>
        </w:rPr>
        <w:t>basic connection services </w:t>
      </w:r>
      <w:r>
        <w:rPr>
          <w:sz w:val="24"/>
        </w:rPr>
        <w:t>(or a subclass for which there is significant demand) within the area served by the relevant </w:t>
      </w:r>
      <w:r>
        <w:rPr>
          <w:i/>
          <w:sz w:val="24"/>
        </w:rPr>
        <w:t>distribution</w:t>
      </w:r>
      <w:r>
        <w:rPr>
          <w:i/>
          <w:spacing w:val="-1"/>
          <w:sz w:val="24"/>
        </w:rPr>
        <w:t> </w:t>
      </w:r>
      <w:r>
        <w:rPr>
          <w:i/>
          <w:sz w:val="24"/>
        </w:rPr>
        <w:t>network</w:t>
      </w:r>
      <w:r>
        <w:rPr>
          <w:sz w:val="24"/>
        </w:rPr>
        <w:t>.</w:t>
      </w:r>
    </w:p>
    <w:p>
      <w:pPr>
        <w:pStyle w:val="BodyText"/>
        <w:spacing w:before="10"/>
        <w:ind w:firstLine="0"/>
        <w:jc w:val="left"/>
        <w:rPr>
          <w:sz w:val="20"/>
        </w:rPr>
      </w:pPr>
    </w:p>
    <w:p>
      <w:pPr>
        <w:pStyle w:val="Heading4"/>
        <w:tabs>
          <w:tab w:pos="1351" w:val="left" w:leader="none"/>
        </w:tabs>
        <w:ind w:left="218" w:firstLine="0"/>
      </w:pPr>
      <w:bookmarkStart w:name="5A.B.2 Proposed model standing offer for" w:id="1137"/>
      <w:bookmarkEnd w:id="1137"/>
      <w:r>
        <w:rPr>
          <w:b w:val="0"/>
        </w:rPr>
      </w:r>
      <w:bookmarkStart w:name="_bookmark460" w:id="1138"/>
      <w:bookmarkEnd w:id="1138"/>
      <w:r>
        <w:rPr>
          <w:b w:val="0"/>
        </w:rPr>
      </w:r>
      <w:r>
        <w:rPr/>
        <w:t>5A.B.2</w:t>
        <w:tab/>
        <w:t>Proposed model standing offer for basic connection</w:t>
      </w:r>
      <w:r>
        <w:rPr>
          <w:spacing w:val="-7"/>
        </w:rPr>
        <w:t> </w:t>
      </w:r>
      <w:r>
        <w:rPr/>
        <w:t>services</w:t>
      </w:r>
    </w:p>
    <w:p>
      <w:pPr>
        <w:pStyle w:val="ListParagraph"/>
        <w:numPr>
          <w:ilvl w:val="0"/>
          <w:numId w:val="355"/>
        </w:numPr>
        <w:tabs>
          <w:tab w:pos="1919" w:val="left" w:leader="none"/>
        </w:tabs>
        <w:spacing w:line="240" w:lineRule="auto" w:before="120" w:after="0"/>
        <w:ind w:left="1919" w:right="417" w:hanging="567"/>
        <w:jc w:val="both"/>
        <w:rPr>
          <w:sz w:val="24"/>
        </w:rPr>
      </w:pPr>
      <w:r>
        <w:rPr>
          <w:sz w:val="24"/>
        </w:rPr>
        <w:t>A </w:t>
      </w:r>
      <w:r>
        <w:rPr>
          <w:i/>
          <w:sz w:val="24"/>
        </w:rPr>
        <w:t>Distribution Network Service Provider </w:t>
      </w:r>
      <w:r>
        <w:rPr>
          <w:sz w:val="24"/>
        </w:rPr>
        <w:t>must submit for the </w:t>
      </w:r>
      <w:r>
        <w:rPr>
          <w:i/>
          <w:sz w:val="24"/>
        </w:rPr>
        <w:t>AER's </w:t>
      </w:r>
      <w:r>
        <w:rPr>
          <w:sz w:val="24"/>
        </w:rPr>
        <w:t>approval a proposed </w:t>
      </w:r>
      <w:r>
        <w:rPr>
          <w:i/>
          <w:sz w:val="24"/>
        </w:rPr>
        <w:t>model standing offer </w:t>
      </w:r>
      <w:r>
        <w:rPr>
          <w:sz w:val="24"/>
        </w:rPr>
        <w:t>to provide </w:t>
      </w:r>
      <w:r>
        <w:rPr>
          <w:i/>
          <w:sz w:val="24"/>
        </w:rPr>
        <w:t>basic connection </w:t>
      </w:r>
      <w:r>
        <w:rPr>
          <w:i/>
          <w:sz w:val="24"/>
        </w:rPr>
        <w:t>services </w:t>
      </w:r>
      <w:r>
        <w:rPr>
          <w:sz w:val="24"/>
        </w:rPr>
        <w:t>for each class (or subclass) of </w:t>
      </w:r>
      <w:r>
        <w:rPr>
          <w:i/>
          <w:sz w:val="24"/>
        </w:rPr>
        <w:t>basic connection services </w:t>
      </w:r>
      <w:r>
        <w:rPr>
          <w:sz w:val="24"/>
        </w:rPr>
        <w:t>on specified terms and</w:t>
      </w:r>
      <w:r>
        <w:rPr>
          <w:spacing w:val="-1"/>
          <w:sz w:val="24"/>
        </w:rPr>
        <w:t> </w:t>
      </w:r>
      <w:r>
        <w:rPr>
          <w:sz w:val="24"/>
        </w:rPr>
        <w:t>conditions.</w:t>
      </w:r>
    </w:p>
    <w:p>
      <w:pPr>
        <w:pStyle w:val="ListParagraph"/>
        <w:numPr>
          <w:ilvl w:val="0"/>
          <w:numId w:val="355"/>
        </w:numPr>
        <w:tabs>
          <w:tab w:pos="1919" w:val="left" w:leader="none"/>
        </w:tabs>
        <w:spacing w:line="240" w:lineRule="auto" w:before="120" w:after="0"/>
        <w:ind w:left="1918" w:right="0" w:hanging="567"/>
        <w:jc w:val="both"/>
        <w:rPr>
          <w:sz w:val="24"/>
        </w:rPr>
      </w:pPr>
      <w:r>
        <w:rPr>
          <w:sz w:val="24"/>
        </w:rPr>
        <w:t>The terms and conditions of the proposed </w:t>
      </w:r>
      <w:r>
        <w:rPr>
          <w:i/>
          <w:sz w:val="24"/>
        </w:rPr>
        <w:t>model standing offer </w:t>
      </w:r>
      <w:r>
        <w:rPr>
          <w:sz w:val="24"/>
        </w:rPr>
        <w:t>must</w:t>
      </w:r>
      <w:r>
        <w:rPr>
          <w:spacing w:val="-8"/>
          <w:sz w:val="24"/>
        </w:rPr>
        <w:t> </w:t>
      </w:r>
      <w:r>
        <w:rPr>
          <w:sz w:val="24"/>
        </w:rPr>
        <w:t>cover:</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a description of the </w:t>
      </w:r>
      <w:r>
        <w:rPr>
          <w:i/>
          <w:sz w:val="24"/>
        </w:rPr>
        <w:t>connection </w:t>
      </w:r>
      <w:r>
        <w:rPr>
          <w:sz w:val="24"/>
        </w:rPr>
        <w:t>(and the </w:t>
      </w:r>
      <w:r>
        <w:rPr>
          <w:i/>
          <w:sz w:val="24"/>
        </w:rPr>
        <w:t>premises connection assets </w:t>
      </w:r>
      <w:r>
        <w:rPr>
          <w:sz w:val="24"/>
        </w:rPr>
        <w:t>of which it is to be comprised) including a statement of its maximum capacity;</w:t>
      </w:r>
      <w:r>
        <w:rPr>
          <w:spacing w:val="-1"/>
          <w:sz w:val="24"/>
        </w:rPr>
        <w:t> </w:t>
      </w:r>
      <w:r>
        <w:rPr>
          <w:sz w:val="24"/>
        </w:rPr>
        <w:t>and</w:t>
      </w:r>
    </w:p>
    <w:p>
      <w:pPr>
        <w:pStyle w:val="ListParagraph"/>
        <w:numPr>
          <w:ilvl w:val="1"/>
          <w:numId w:val="355"/>
        </w:numPr>
        <w:tabs>
          <w:tab w:pos="2486" w:val="left" w:leader="none"/>
        </w:tabs>
        <w:spacing w:line="240" w:lineRule="auto" w:before="120" w:after="0"/>
        <w:ind w:left="2485" w:right="0" w:hanging="567"/>
        <w:jc w:val="both"/>
        <w:rPr>
          <w:sz w:val="24"/>
        </w:rPr>
      </w:pPr>
      <w:r>
        <w:rPr>
          <w:sz w:val="24"/>
        </w:rPr>
        <w:t>timeframes for commencing and completing the work;</w:t>
      </w:r>
      <w:r>
        <w:rPr>
          <w:spacing w:val="-3"/>
          <w:sz w:val="24"/>
        </w:rPr>
        <w:t> </w:t>
      </w:r>
      <w:r>
        <w:rPr>
          <w:sz w:val="24"/>
        </w:rPr>
        <w:t>and</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the qualifications required for carrying out the work involved in providing a </w:t>
      </w:r>
      <w:r>
        <w:rPr>
          <w:i/>
          <w:sz w:val="24"/>
        </w:rPr>
        <w:t>contestable </w:t>
      </w:r>
      <w:r>
        <w:rPr>
          <w:sz w:val="24"/>
        </w:rPr>
        <w:t>service (including reference to the jurisdictional or other legislation and statutory instruments under which the qualifications are required);</w:t>
      </w:r>
      <w:r>
        <w:rPr>
          <w:spacing w:val="-4"/>
          <w:sz w:val="24"/>
        </w:rPr>
        <w:t> </w:t>
      </w:r>
      <w:r>
        <w:rPr>
          <w:sz w:val="24"/>
        </w:rPr>
        <w:t>and</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the safety and technical requirements (including reference to the jurisdictional or other legislation and statutory instruments under which the requirements are imposed) to be complied with by the provider of a </w:t>
      </w:r>
      <w:r>
        <w:rPr>
          <w:i/>
          <w:sz w:val="24"/>
        </w:rPr>
        <w:t>contestable </w:t>
      </w:r>
      <w:r>
        <w:rPr>
          <w:sz w:val="24"/>
        </w:rPr>
        <w:t>service or the </w:t>
      </w:r>
      <w:r>
        <w:rPr>
          <w:i/>
          <w:sz w:val="24"/>
        </w:rPr>
        <w:t>retail customer </w:t>
      </w:r>
      <w:r>
        <w:rPr>
          <w:sz w:val="24"/>
        </w:rPr>
        <w:t>(or both);</w:t>
      </w:r>
      <w:r>
        <w:rPr>
          <w:spacing w:val="-11"/>
          <w:sz w:val="24"/>
        </w:rPr>
        <w:t> </w:t>
      </w:r>
      <w:r>
        <w:rPr>
          <w:sz w:val="24"/>
        </w:rPr>
        <w:t>and</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details of the </w:t>
      </w:r>
      <w:r>
        <w:rPr>
          <w:i/>
          <w:sz w:val="24"/>
        </w:rPr>
        <w:t>connection charges </w:t>
      </w:r>
      <w:r>
        <w:rPr>
          <w:sz w:val="24"/>
        </w:rPr>
        <w:t>(or the basis on which they will be calculated) including details of the following (so far as</w:t>
      </w:r>
      <w:r>
        <w:rPr>
          <w:spacing w:val="-3"/>
          <w:sz w:val="24"/>
        </w:rPr>
        <w:t> </w:t>
      </w:r>
      <w:r>
        <w:rPr>
          <w:sz w:val="24"/>
        </w:rPr>
        <w:t>applicable):</w:t>
      </w:r>
    </w:p>
    <w:p>
      <w:pPr>
        <w:pStyle w:val="ListParagraph"/>
        <w:numPr>
          <w:ilvl w:val="2"/>
          <w:numId w:val="355"/>
        </w:numPr>
        <w:tabs>
          <w:tab w:pos="3053" w:val="left" w:leader="none"/>
        </w:tabs>
        <w:spacing w:line="240" w:lineRule="auto" w:before="120" w:after="0"/>
        <w:ind w:left="3053" w:right="414" w:hanging="567"/>
        <w:jc w:val="both"/>
        <w:rPr>
          <w:sz w:val="24"/>
        </w:rPr>
      </w:pPr>
      <w:r>
        <w:rPr>
          <w:sz w:val="24"/>
        </w:rPr>
        <w:t>the cost of any necessary </w:t>
      </w:r>
      <w:r>
        <w:rPr>
          <w:i/>
          <w:sz w:val="24"/>
        </w:rPr>
        <w:t>extension </w:t>
      </w:r>
      <w:r>
        <w:rPr>
          <w:sz w:val="24"/>
        </w:rPr>
        <w:t>to the </w:t>
      </w:r>
      <w:r>
        <w:rPr>
          <w:i/>
          <w:sz w:val="24"/>
        </w:rPr>
        <w:t>distribution system </w:t>
      </w:r>
      <w:r>
        <w:rPr>
          <w:sz w:val="24"/>
        </w:rPr>
        <w:t>for which provision has not already been made through</w:t>
      </w:r>
      <w:r>
        <w:rPr>
          <w:spacing w:val="21"/>
          <w:sz w:val="24"/>
        </w:rPr>
        <w:t> </w:t>
      </w:r>
      <w:r>
        <w:rPr>
          <w:sz w:val="24"/>
        </w:rPr>
        <w:t>existing</w:t>
      </w:r>
    </w:p>
    <w:p>
      <w:pPr>
        <w:spacing w:after="0" w:line="240" w:lineRule="auto"/>
        <w:jc w:val="both"/>
        <w:rPr>
          <w:sz w:val="24"/>
        </w:rPr>
        <w:sectPr>
          <w:pgSz w:w="11910" w:h="16840"/>
          <w:pgMar w:header="686" w:footer="637" w:top="1320" w:bottom="820" w:left="1200" w:right="1000"/>
        </w:sectPr>
      </w:pPr>
    </w:p>
    <w:p>
      <w:pPr>
        <w:spacing w:before="83"/>
        <w:ind w:left="3053" w:right="0" w:firstLine="0"/>
        <w:jc w:val="left"/>
        <w:rPr>
          <w:sz w:val="24"/>
        </w:rPr>
      </w:pPr>
      <w:r>
        <w:rPr>
          <w:i/>
          <w:sz w:val="24"/>
        </w:rPr>
        <w:t>distribution use of system </w:t>
      </w:r>
      <w:r>
        <w:rPr>
          <w:sz w:val="24"/>
        </w:rPr>
        <w:t>charges or a tariff applicable to the</w:t>
      </w:r>
    </w:p>
    <w:p>
      <w:pPr>
        <w:spacing w:before="0"/>
        <w:ind w:left="3053" w:right="0" w:firstLine="0"/>
        <w:jc w:val="left"/>
        <w:rPr>
          <w:sz w:val="24"/>
        </w:rPr>
      </w:pPr>
      <w:r>
        <w:rPr>
          <w:i/>
          <w:sz w:val="24"/>
        </w:rPr>
        <w:t>connection</w:t>
      </w:r>
      <w:r>
        <w:rPr>
          <w:sz w:val="24"/>
        </w:rPr>
        <w:t>;</w:t>
      </w:r>
    </w:p>
    <w:p>
      <w:pPr>
        <w:pStyle w:val="Heading4"/>
        <w:numPr>
          <w:ilvl w:val="2"/>
          <w:numId w:val="355"/>
        </w:numPr>
        <w:tabs>
          <w:tab w:pos="3052" w:val="left" w:leader="none"/>
          <w:tab w:pos="3054" w:val="left" w:leader="none"/>
        </w:tabs>
        <w:spacing w:line="240" w:lineRule="auto" w:before="120" w:after="0"/>
        <w:ind w:left="3053" w:right="0" w:hanging="568"/>
        <w:jc w:val="left"/>
        <w:rPr>
          <w:rFonts w:ascii="Times New Roman"/>
        </w:rPr>
      </w:pPr>
      <w:r>
        <w:rPr>
          <w:rFonts w:ascii="Times New Roman"/>
        </w:rPr>
        <w:t>[Deleted]</w:t>
      </w:r>
    </w:p>
    <w:p>
      <w:pPr>
        <w:pStyle w:val="ListParagraph"/>
        <w:numPr>
          <w:ilvl w:val="2"/>
          <w:numId w:val="355"/>
        </w:numPr>
        <w:tabs>
          <w:tab w:pos="3052" w:val="left" w:leader="none"/>
          <w:tab w:pos="3053" w:val="left" w:leader="none"/>
        </w:tabs>
        <w:spacing w:line="240" w:lineRule="auto" w:before="120" w:after="0"/>
        <w:ind w:left="3052" w:right="0" w:hanging="567"/>
        <w:jc w:val="left"/>
        <w:rPr>
          <w:sz w:val="24"/>
        </w:rPr>
      </w:pPr>
      <w:r>
        <w:rPr>
          <w:sz w:val="24"/>
        </w:rPr>
        <w:t>the cost of any other relevant </w:t>
      </w:r>
      <w:r>
        <w:rPr>
          <w:i/>
          <w:sz w:val="24"/>
        </w:rPr>
        <w:t>premises connection</w:t>
      </w:r>
      <w:r>
        <w:rPr>
          <w:i/>
          <w:spacing w:val="-2"/>
          <w:sz w:val="24"/>
        </w:rPr>
        <w:t> </w:t>
      </w:r>
      <w:r>
        <w:rPr>
          <w:i/>
          <w:sz w:val="24"/>
        </w:rPr>
        <w:t>assets</w:t>
      </w:r>
      <w:r>
        <w:rPr>
          <w:sz w:val="24"/>
        </w:rPr>
        <w:t>;</w:t>
      </w:r>
    </w:p>
    <w:p>
      <w:pPr>
        <w:pStyle w:val="ListParagraph"/>
        <w:numPr>
          <w:ilvl w:val="2"/>
          <w:numId w:val="355"/>
        </w:numPr>
        <w:tabs>
          <w:tab w:pos="3052" w:val="left" w:leader="none"/>
          <w:tab w:pos="3054" w:val="left" w:leader="none"/>
        </w:tabs>
        <w:spacing w:line="240" w:lineRule="auto" w:before="120" w:after="0"/>
        <w:ind w:left="3053" w:right="414" w:hanging="567"/>
        <w:jc w:val="left"/>
        <w:rPr>
          <w:sz w:val="24"/>
        </w:rPr>
      </w:pPr>
      <w:r>
        <w:rPr>
          <w:sz w:val="24"/>
        </w:rPr>
        <w:t>the costs of common components of minor variations from the standard</w:t>
      </w:r>
      <w:r>
        <w:rPr>
          <w:spacing w:val="-2"/>
          <w:sz w:val="24"/>
        </w:rPr>
        <w:t> </w:t>
      </w:r>
      <w:r>
        <w:rPr>
          <w:sz w:val="24"/>
        </w:rPr>
        <w:t>specifications;</w:t>
      </w:r>
    </w:p>
    <w:p>
      <w:pPr>
        <w:pStyle w:val="ListParagraph"/>
        <w:numPr>
          <w:ilvl w:val="2"/>
          <w:numId w:val="355"/>
        </w:numPr>
        <w:tabs>
          <w:tab w:pos="3052" w:val="left" w:leader="none"/>
          <w:tab w:pos="3053" w:val="left" w:leader="none"/>
        </w:tabs>
        <w:spacing w:line="240" w:lineRule="auto" w:before="120" w:after="0"/>
        <w:ind w:left="3052" w:right="0" w:hanging="567"/>
        <w:jc w:val="left"/>
        <w:rPr>
          <w:sz w:val="24"/>
        </w:rPr>
      </w:pPr>
      <w:r>
        <w:rPr>
          <w:sz w:val="24"/>
        </w:rPr>
        <w:t>any other incidental costs;</w:t>
      </w:r>
      <w:r>
        <w:rPr>
          <w:spacing w:val="-1"/>
          <w:sz w:val="24"/>
        </w:rPr>
        <w:t> </w:t>
      </w:r>
      <w:r>
        <w:rPr>
          <w:sz w:val="24"/>
        </w:rPr>
        <w:t>and</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the manner in which </w:t>
      </w:r>
      <w:r>
        <w:rPr>
          <w:i/>
          <w:sz w:val="24"/>
        </w:rPr>
        <w:t>connection charges </w:t>
      </w:r>
      <w:r>
        <w:rPr>
          <w:sz w:val="24"/>
        </w:rPr>
        <w:t>are to be paid by the </w:t>
      </w:r>
      <w:r>
        <w:rPr>
          <w:i/>
          <w:sz w:val="24"/>
        </w:rPr>
        <w:t>retail </w:t>
      </w:r>
      <w:r>
        <w:rPr>
          <w:i/>
          <w:sz w:val="24"/>
        </w:rPr>
        <w:t>customer</w:t>
      </w:r>
      <w:r>
        <w:rPr>
          <w:sz w:val="24"/>
        </w:rPr>
        <w:t>; and</w:t>
      </w:r>
    </w:p>
    <w:p>
      <w:pPr>
        <w:pStyle w:val="ListParagraph"/>
        <w:numPr>
          <w:ilvl w:val="1"/>
          <w:numId w:val="355"/>
        </w:numPr>
        <w:tabs>
          <w:tab w:pos="2486" w:val="left" w:leader="none"/>
        </w:tabs>
        <w:spacing w:line="240" w:lineRule="auto" w:before="120" w:after="0"/>
        <w:ind w:left="2486" w:right="415" w:hanging="567"/>
        <w:jc w:val="both"/>
        <w:rPr>
          <w:sz w:val="24"/>
        </w:rPr>
      </w:pPr>
      <w:r>
        <w:rPr>
          <w:sz w:val="24"/>
        </w:rPr>
        <w:t>if the service is a </w:t>
      </w:r>
      <w:r>
        <w:rPr>
          <w:i/>
          <w:sz w:val="24"/>
        </w:rPr>
        <w:t>basic micro EG connection service</w:t>
      </w:r>
      <w:r>
        <w:rPr>
          <w:sz w:val="24"/>
        </w:rPr>
        <w:t>, the particular requirements with regard to the export of electricity into the </w:t>
      </w:r>
      <w:r>
        <w:rPr>
          <w:i/>
          <w:sz w:val="24"/>
        </w:rPr>
        <w:t>distribution system</w:t>
      </w:r>
      <w:r>
        <w:rPr>
          <w:i/>
          <w:spacing w:val="-1"/>
          <w:sz w:val="24"/>
        </w:rPr>
        <w:t> </w:t>
      </w:r>
      <w:r>
        <w:rPr>
          <w:sz w:val="24"/>
        </w:rPr>
        <w:t>including:</w:t>
      </w:r>
    </w:p>
    <w:p>
      <w:pPr>
        <w:pStyle w:val="ListParagraph"/>
        <w:numPr>
          <w:ilvl w:val="2"/>
          <w:numId w:val="355"/>
        </w:numPr>
        <w:tabs>
          <w:tab w:pos="3053" w:val="left" w:leader="none"/>
        </w:tabs>
        <w:spacing w:line="240" w:lineRule="auto" w:before="120" w:after="0"/>
        <w:ind w:left="3053" w:right="418" w:hanging="567"/>
        <w:jc w:val="both"/>
        <w:rPr>
          <w:sz w:val="24"/>
        </w:rPr>
      </w:pPr>
      <w:r>
        <w:rPr>
          <w:sz w:val="24"/>
        </w:rPr>
        <w:t>the special requirements for </w:t>
      </w:r>
      <w:r>
        <w:rPr>
          <w:i/>
          <w:sz w:val="24"/>
        </w:rPr>
        <w:t>metering </w:t>
      </w:r>
      <w:r>
        <w:rPr>
          <w:sz w:val="24"/>
        </w:rPr>
        <w:t>and other equipment for the export of electricity;</w:t>
      </w:r>
      <w:r>
        <w:rPr>
          <w:spacing w:val="-2"/>
          <w:sz w:val="24"/>
        </w:rPr>
        <w:t> </w:t>
      </w:r>
      <w:r>
        <w:rPr>
          <w:sz w:val="24"/>
        </w:rPr>
        <w:t>and</w:t>
      </w:r>
    </w:p>
    <w:p>
      <w:pPr>
        <w:pStyle w:val="ListParagraph"/>
        <w:numPr>
          <w:ilvl w:val="2"/>
          <w:numId w:val="355"/>
        </w:numPr>
        <w:tabs>
          <w:tab w:pos="3054" w:val="left" w:leader="none"/>
        </w:tabs>
        <w:spacing w:line="240" w:lineRule="auto" w:before="120" w:after="0"/>
        <w:ind w:left="3053" w:right="415" w:hanging="567"/>
        <w:jc w:val="both"/>
        <w:rPr>
          <w:sz w:val="24"/>
        </w:rPr>
      </w:pPr>
      <w:r>
        <w:rPr>
          <w:sz w:val="24"/>
        </w:rPr>
        <w:t>the required qualification for installers of relevant </w:t>
      </w:r>
      <w:r>
        <w:rPr>
          <w:spacing w:val="-3"/>
          <w:sz w:val="24"/>
        </w:rPr>
        <w:t>equipment</w:t>
      </w:r>
      <w:r>
        <w:rPr>
          <w:spacing w:val="54"/>
          <w:sz w:val="24"/>
        </w:rPr>
        <w:t> </w:t>
      </w:r>
      <w:r>
        <w:rPr>
          <w:sz w:val="24"/>
        </w:rPr>
        <w:t>(including reference to the jurisdictional or other legislation and statutory instruments under which the qualifications are required);</w:t>
      </w:r>
      <w:r>
        <w:rPr>
          <w:spacing w:val="-1"/>
          <w:sz w:val="24"/>
        </w:rPr>
        <w:t> </w:t>
      </w:r>
      <w:r>
        <w:rPr>
          <w:sz w:val="24"/>
        </w:rPr>
        <w:t>and</w:t>
      </w:r>
    </w:p>
    <w:p>
      <w:pPr>
        <w:pStyle w:val="ListParagraph"/>
        <w:numPr>
          <w:ilvl w:val="2"/>
          <w:numId w:val="355"/>
        </w:numPr>
        <w:tabs>
          <w:tab w:pos="3053" w:val="left" w:leader="none"/>
        </w:tabs>
        <w:spacing w:line="240" w:lineRule="auto" w:before="120" w:after="0"/>
        <w:ind w:left="3053" w:right="415" w:hanging="567"/>
        <w:jc w:val="both"/>
        <w:rPr>
          <w:sz w:val="24"/>
        </w:rPr>
      </w:pPr>
      <w:r>
        <w:rPr>
          <w:sz w:val="24"/>
        </w:rPr>
        <w:t>the special safety and technical requirements (including reference to the jurisdictional or other legislation and statutory instruments under which they are imposed) to be complied with by the provider of a </w:t>
      </w:r>
      <w:r>
        <w:rPr>
          <w:i/>
          <w:sz w:val="24"/>
        </w:rPr>
        <w:t>contestable </w:t>
      </w:r>
      <w:r>
        <w:rPr>
          <w:sz w:val="24"/>
        </w:rPr>
        <w:t>service or the </w:t>
      </w:r>
      <w:r>
        <w:rPr>
          <w:i/>
          <w:sz w:val="24"/>
        </w:rPr>
        <w:t>retail customer </w:t>
      </w:r>
      <w:r>
        <w:rPr>
          <w:sz w:val="24"/>
        </w:rPr>
        <w:t>(or both).</w:t>
      </w:r>
    </w:p>
    <w:p>
      <w:pPr>
        <w:pStyle w:val="BodyText"/>
        <w:spacing w:before="10"/>
        <w:ind w:firstLine="0"/>
        <w:jc w:val="left"/>
        <w:rPr>
          <w:sz w:val="20"/>
        </w:rPr>
      </w:pPr>
    </w:p>
    <w:p>
      <w:pPr>
        <w:pStyle w:val="Heading4"/>
        <w:tabs>
          <w:tab w:pos="1351" w:val="left" w:leader="none"/>
        </w:tabs>
        <w:ind w:left="1352" w:right="566"/>
      </w:pPr>
      <w:bookmarkStart w:name="5A.B.3 Approval of terms and conditions " w:id="1139"/>
      <w:bookmarkEnd w:id="1139"/>
      <w:r>
        <w:rPr>
          <w:b w:val="0"/>
        </w:rPr>
      </w:r>
      <w:bookmarkStart w:name="_bookmark461" w:id="1140"/>
      <w:bookmarkEnd w:id="1140"/>
      <w:r>
        <w:rPr>
          <w:b w:val="0"/>
        </w:rPr>
      </w:r>
      <w:r>
        <w:rPr/>
        <w:t>5A.B.3</w:t>
        <w:tab/>
        <w:t>Approval of terms and conditions of model standing offer to provide basic connection</w:t>
      </w:r>
      <w:r>
        <w:rPr>
          <w:spacing w:val="-2"/>
        </w:rPr>
        <w:t> </w:t>
      </w:r>
      <w:r>
        <w:rPr/>
        <w:t>services</w:t>
      </w:r>
    </w:p>
    <w:p>
      <w:pPr>
        <w:pStyle w:val="ListParagraph"/>
        <w:numPr>
          <w:ilvl w:val="0"/>
          <w:numId w:val="356"/>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approve a proposed </w:t>
      </w:r>
      <w:r>
        <w:rPr>
          <w:i/>
          <w:sz w:val="24"/>
        </w:rPr>
        <w:t>model standing offer </w:t>
      </w:r>
      <w:r>
        <w:rPr>
          <w:sz w:val="24"/>
        </w:rPr>
        <w:t>to provide </w:t>
      </w:r>
      <w:r>
        <w:rPr>
          <w:i/>
          <w:sz w:val="24"/>
        </w:rPr>
        <w:t>basic </w:t>
      </w:r>
      <w:r>
        <w:rPr>
          <w:i/>
          <w:sz w:val="24"/>
        </w:rPr>
        <w:t>connection services </w:t>
      </w:r>
      <w:r>
        <w:rPr>
          <w:sz w:val="24"/>
        </w:rPr>
        <w:t>of a particular class (or subclass) on specified terms and conditions if satisfied</w:t>
      </w:r>
      <w:r>
        <w:rPr>
          <w:spacing w:val="-2"/>
          <w:sz w:val="24"/>
        </w:rPr>
        <w:t> </w:t>
      </w:r>
      <w:r>
        <w:rPr>
          <w:sz w:val="24"/>
        </w:rPr>
        <w:t>that:</w:t>
      </w:r>
    </w:p>
    <w:p>
      <w:pPr>
        <w:pStyle w:val="ListParagraph"/>
        <w:numPr>
          <w:ilvl w:val="1"/>
          <w:numId w:val="356"/>
        </w:numPr>
        <w:tabs>
          <w:tab w:pos="2486" w:val="left" w:leader="none"/>
        </w:tabs>
        <w:spacing w:line="240" w:lineRule="auto" w:before="120" w:after="0"/>
        <w:ind w:left="2485" w:right="0" w:hanging="567"/>
        <w:jc w:val="both"/>
        <w:rPr>
          <w:sz w:val="24"/>
        </w:rPr>
      </w:pPr>
      <w:r>
        <w:rPr>
          <w:sz w:val="24"/>
        </w:rPr>
        <w:t>the services are likely to be sought</w:t>
      </w:r>
      <w:r>
        <w:rPr>
          <w:spacing w:val="-5"/>
          <w:sz w:val="24"/>
        </w:rPr>
        <w:t> </w:t>
      </w:r>
      <w:r>
        <w:rPr>
          <w:sz w:val="24"/>
        </w:rPr>
        <w:t>by:</w:t>
      </w:r>
    </w:p>
    <w:p>
      <w:pPr>
        <w:pStyle w:val="ListParagraph"/>
        <w:numPr>
          <w:ilvl w:val="2"/>
          <w:numId w:val="356"/>
        </w:numPr>
        <w:tabs>
          <w:tab w:pos="3053" w:val="left" w:leader="none"/>
        </w:tabs>
        <w:spacing w:line="240" w:lineRule="auto" w:before="120" w:after="0"/>
        <w:ind w:left="3053" w:right="415" w:hanging="567"/>
        <w:jc w:val="both"/>
        <w:rPr>
          <w:sz w:val="24"/>
        </w:rPr>
      </w:pPr>
      <w:r>
        <w:rPr>
          <w:sz w:val="24"/>
        </w:rPr>
        <w:t>a significant number of </w:t>
      </w:r>
      <w:r>
        <w:rPr>
          <w:i/>
          <w:sz w:val="24"/>
        </w:rPr>
        <w:t>retail customers </w:t>
      </w:r>
      <w:r>
        <w:rPr>
          <w:sz w:val="24"/>
        </w:rPr>
        <w:t>in the area served by the </w:t>
      </w:r>
      <w:r>
        <w:rPr>
          <w:i/>
          <w:sz w:val="24"/>
        </w:rPr>
        <w:t>distribution network </w:t>
      </w:r>
      <w:r>
        <w:rPr>
          <w:sz w:val="24"/>
        </w:rPr>
        <w:t>(excluding </w:t>
      </w:r>
      <w:r>
        <w:rPr>
          <w:i/>
          <w:sz w:val="24"/>
        </w:rPr>
        <w:t>embedded generators</w:t>
      </w:r>
      <w:r>
        <w:rPr>
          <w:sz w:val="24"/>
        </w:rPr>
        <w:t>);</w:t>
      </w:r>
      <w:r>
        <w:rPr>
          <w:spacing w:val="-3"/>
          <w:sz w:val="24"/>
        </w:rPr>
        <w:t> </w:t>
      </w:r>
      <w:r>
        <w:rPr>
          <w:sz w:val="24"/>
        </w:rPr>
        <w:t>or</w:t>
      </w:r>
    </w:p>
    <w:p>
      <w:pPr>
        <w:pStyle w:val="ListParagraph"/>
        <w:numPr>
          <w:ilvl w:val="2"/>
          <w:numId w:val="356"/>
        </w:numPr>
        <w:tabs>
          <w:tab w:pos="3054" w:val="left" w:leader="none"/>
        </w:tabs>
        <w:spacing w:line="240" w:lineRule="auto" w:before="120" w:after="0"/>
        <w:ind w:left="3053" w:right="0" w:hanging="568"/>
        <w:jc w:val="both"/>
        <w:rPr>
          <w:sz w:val="24"/>
        </w:rPr>
      </w:pPr>
      <w:r>
        <w:rPr>
          <w:i/>
          <w:sz w:val="24"/>
        </w:rPr>
        <w:t>micro embedded generators</w:t>
      </w:r>
      <w:r>
        <w:rPr>
          <w:sz w:val="24"/>
        </w:rPr>
        <w:t>;</w:t>
      </w:r>
      <w:r>
        <w:rPr>
          <w:spacing w:val="-1"/>
          <w:sz w:val="24"/>
        </w:rPr>
        <w:t> </w:t>
      </w:r>
      <w:r>
        <w:rPr>
          <w:sz w:val="24"/>
        </w:rPr>
        <w:t>and</w:t>
      </w:r>
    </w:p>
    <w:p>
      <w:pPr>
        <w:pStyle w:val="ListParagraph"/>
        <w:numPr>
          <w:ilvl w:val="1"/>
          <w:numId w:val="356"/>
        </w:numPr>
        <w:tabs>
          <w:tab w:pos="2486" w:val="left" w:leader="none"/>
        </w:tabs>
        <w:spacing w:line="240" w:lineRule="auto" w:before="120" w:after="0"/>
        <w:ind w:left="2486" w:right="415" w:hanging="567"/>
        <w:jc w:val="both"/>
        <w:rPr>
          <w:sz w:val="24"/>
        </w:rPr>
      </w:pPr>
      <w:r>
        <w:rPr>
          <w:sz w:val="24"/>
        </w:rPr>
        <w:t>the </w:t>
      </w:r>
      <w:r>
        <w:rPr>
          <w:i/>
          <w:sz w:val="24"/>
        </w:rPr>
        <w:t>connection charges </w:t>
      </w:r>
      <w:r>
        <w:rPr>
          <w:sz w:val="24"/>
        </w:rPr>
        <w:t>are consistent with the </w:t>
      </w:r>
      <w:r>
        <w:rPr>
          <w:i/>
          <w:sz w:val="24"/>
        </w:rPr>
        <w:t>Distribution Network </w:t>
      </w:r>
      <w:r>
        <w:rPr>
          <w:i/>
          <w:sz w:val="24"/>
        </w:rPr>
        <w:t>Service Provider's </w:t>
      </w:r>
      <w:r>
        <w:rPr>
          <w:sz w:val="24"/>
        </w:rPr>
        <w:t>distribution determination including the </w:t>
      </w:r>
      <w:r>
        <w:rPr>
          <w:i/>
          <w:sz w:val="24"/>
        </w:rPr>
        <w:t>connection </w:t>
      </w:r>
      <w:r>
        <w:rPr>
          <w:i/>
          <w:sz w:val="24"/>
        </w:rPr>
        <w:t>policy</w:t>
      </w:r>
      <w:r>
        <w:rPr>
          <w:sz w:val="24"/>
        </w:rPr>
        <w:t>;</w:t>
      </w:r>
      <w:r>
        <w:rPr>
          <w:spacing w:val="-1"/>
          <w:sz w:val="24"/>
        </w:rPr>
        <w:t> </w:t>
      </w:r>
      <w:r>
        <w:rPr>
          <w:sz w:val="24"/>
        </w:rPr>
        <w:t>and</w:t>
      </w:r>
    </w:p>
    <w:p>
      <w:pPr>
        <w:pStyle w:val="ListParagraph"/>
        <w:numPr>
          <w:ilvl w:val="1"/>
          <w:numId w:val="356"/>
        </w:numPr>
        <w:tabs>
          <w:tab w:pos="2486" w:val="left" w:leader="none"/>
        </w:tabs>
        <w:spacing w:line="240" w:lineRule="auto" w:before="120" w:after="0"/>
        <w:ind w:left="2485" w:right="0" w:hanging="567"/>
        <w:jc w:val="both"/>
        <w:rPr>
          <w:sz w:val="24"/>
        </w:rPr>
      </w:pPr>
      <w:r>
        <w:rPr>
          <w:sz w:val="24"/>
        </w:rPr>
        <w:t>the terms and conditions are fair and reasonable;</w:t>
      </w:r>
      <w:r>
        <w:rPr>
          <w:spacing w:val="-2"/>
          <w:sz w:val="24"/>
        </w:rPr>
        <w:t> </w:t>
      </w:r>
      <w:r>
        <w:rPr>
          <w:sz w:val="24"/>
        </w:rPr>
        <w:t>and</w:t>
      </w:r>
    </w:p>
    <w:p>
      <w:pPr>
        <w:pStyle w:val="ListParagraph"/>
        <w:numPr>
          <w:ilvl w:val="1"/>
          <w:numId w:val="356"/>
        </w:numPr>
        <w:tabs>
          <w:tab w:pos="2486" w:val="left" w:leader="none"/>
        </w:tabs>
        <w:spacing w:line="240" w:lineRule="auto" w:before="120" w:after="0"/>
        <w:ind w:left="2485" w:right="0" w:hanging="567"/>
        <w:jc w:val="both"/>
        <w:rPr>
          <w:sz w:val="24"/>
        </w:rPr>
      </w:pPr>
      <w:r>
        <w:rPr>
          <w:sz w:val="24"/>
        </w:rPr>
        <w:t>the</w:t>
      </w:r>
      <w:r>
        <w:rPr>
          <w:spacing w:val="22"/>
          <w:sz w:val="24"/>
        </w:rPr>
        <w:t> </w:t>
      </w:r>
      <w:r>
        <w:rPr>
          <w:sz w:val="24"/>
        </w:rPr>
        <w:t>terms</w:t>
      </w:r>
      <w:r>
        <w:rPr>
          <w:spacing w:val="23"/>
          <w:sz w:val="24"/>
        </w:rPr>
        <w:t> </w:t>
      </w:r>
      <w:r>
        <w:rPr>
          <w:sz w:val="24"/>
        </w:rPr>
        <w:t>and</w:t>
      </w:r>
      <w:r>
        <w:rPr>
          <w:spacing w:val="22"/>
          <w:sz w:val="24"/>
        </w:rPr>
        <w:t> </w:t>
      </w:r>
      <w:r>
        <w:rPr>
          <w:sz w:val="24"/>
        </w:rPr>
        <w:t>conditions</w:t>
      </w:r>
      <w:r>
        <w:rPr>
          <w:spacing w:val="23"/>
          <w:sz w:val="24"/>
        </w:rPr>
        <w:t> </w:t>
      </w:r>
      <w:r>
        <w:rPr>
          <w:sz w:val="24"/>
        </w:rPr>
        <w:t>comply</w:t>
      </w:r>
      <w:r>
        <w:rPr>
          <w:spacing w:val="23"/>
          <w:sz w:val="24"/>
        </w:rPr>
        <w:t> </w:t>
      </w:r>
      <w:r>
        <w:rPr>
          <w:sz w:val="24"/>
        </w:rPr>
        <w:t>with</w:t>
      </w:r>
      <w:r>
        <w:rPr>
          <w:spacing w:val="22"/>
          <w:sz w:val="24"/>
        </w:rPr>
        <w:t> </w:t>
      </w:r>
      <w:r>
        <w:rPr>
          <w:sz w:val="24"/>
        </w:rPr>
        <w:t>applicable</w:t>
      </w:r>
      <w:r>
        <w:rPr>
          <w:spacing w:val="23"/>
          <w:sz w:val="24"/>
        </w:rPr>
        <w:t> </w:t>
      </w:r>
      <w:r>
        <w:rPr>
          <w:sz w:val="24"/>
        </w:rPr>
        <w:t>requirements</w:t>
      </w:r>
      <w:r>
        <w:rPr>
          <w:spacing w:val="23"/>
          <w:sz w:val="24"/>
        </w:rPr>
        <w:t> </w:t>
      </w:r>
      <w:r>
        <w:rPr>
          <w:sz w:val="24"/>
        </w:rPr>
        <w:t>of</w:t>
      </w:r>
      <w:r>
        <w:rPr>
          <w:spacing w:val="22"/>
          <w:sz w:val="24"/>
        </w:rPr>
        <w:t> </w:t>
      </w:r>
      <w:r>
        <w:rPr>
          <w:sz w:val="24"/>
        </w:rPr>
        <w:t>the</w:t>
      </w:r>
    </w:p>
    <w:p>
      <w:pPr>
        <w:spacing w:before="0"/>
        <w:ind w:left="2486" w:right="0" w:firstLine="0"/>
        <w:jc w:val="both"/>
        <w:rPr>
          <w:sz w:val="24"/>
        </w:rPr>
      </w:pPr>
      <w:r>
        <w:rPr>
          <w:i/>
          <w:sz w:val="24"/>
        </w:rPr>
        <w:t>energy laws</w:t>
      </w:r>
      <w:r>
        <w:rPr>
          <w:sz w:val="24"/>
        </w:rPr>
        <w:t>.</w:t>
      </w:r>
    </w:p>
    <w:p>
      <w:pPr>
        <w:pStyle w:val="ListParagraph"/>
        <w:numPr>
          <w:ilvl w:val="0"/>
          <w:numId w:val="356"/>
        </w:numPr>
        <w:tabs>
          <w:tab w:pos="1919" w:val="left" w:leader="none"/>
        </w:tabs>
        <w:spacing w:line="240" w:lineRule="auto" w:before="120" w:after="0"/>
        <w:ind w:left="1919" w:right="415" w:hanging="567"/>
        <w:jc w:val="both"/>
        <w:rPr>
          <w:sz w:val="24"/>
        </w:rPr>
      </w:pPr>
      <w:r>
        <w:rPr>
          <w:sz w:val="24"/>
        </w:rPr>
        <w:t>In deciding whether to approve a proposed </w:t>
      </w:r>
      <w:r>
        <w:rPr>
          <w:i/>
          <w:sz w:val="24"/>
        </w:rPr>
        <w:t>model standing offer </w:t>
      </w:r>
      <w:r>
        <w:rPr>
          <w:sz w:val="24"/>
        </w:rPr>
        <w:t>to provide </w:t>
      </w:r>
      <w:r>
        <w:rPr>
          <w:i/>
          <w:sz w:val="24"/>
        </w:rPr>
        <w:t>basic connection services </w:t>
      </w:r>
      <w:r>
        <w:rPr>
          <w:sz w:val="24"/>
        </w:rPr>
        <w:t>on specified terms and conditions, the </w:t>
      </w:r>
      <w:r>
        <w:rPr>
          <w:i/>
          <w:sz w:val="24"/>
        </w:rPr>
        <w:t>AER </w:t>
      </w:r>
      <w:r>
        <w:rPr>
          <w:sz w:val="24"/>
        </w:rPr>
        <w:t>must have regard</w:t>
      </w:r>
      <w:r>
        <w:rPr>
          <w:spacing w:val="-1"/>
          <w:sz w:val="24"/>
        </w:rPr>
        <w:t> </w:t>
      </w:r>
      <w:r>
        <w:rPr>
          <w:sz w:val="24"/>
        </w:rPr>
        <w:t>to:</w:t>
      </w:r>
    </w:p>
    <w:p>
      <w:pPr>
        <w:pStyle w:val="ListParagraph"/>
        <w:numPr>
          <w:ilvl w:val="1"/>
          <w:numId w:val="356"/>
        </w:numPr>
        <w:tabs>
          <w:tab w:pos="2486" w:val="left" w:leader="none"/>
        </w:tabs>
        <w:spacing w:line="240" w:lineRule="auto" w:before="120" w:after="0"/>
        <w:ind w:left="2485" w:right="0" w:hanging="567"/>
        <w:jc w:val="both"/>
        <w:rPr>
          <w:sz w:val="24"/>
        </w:rPr>
      </w:pPr>
      <w:r>
        <w:rPr>
          <w:sz w:val="24"/>
        </w:rPr>
        <w:t>the </w:t>
      </w:r>
      <w:r>
        <w:rPr>
          <w:i/>
          <w:sz w:val="24"/>
        </w:rPr>
        <w:t>national electricity objective</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56"/>
        </w:numPr>
        <w:tabs>
          <w:tab w:pos="2486" w:val="left" w:leader="none"/>
        </w:tabs>
        <w:spacing w:line="240" w:lineRule="auto" w:before="83" w:after="0"/>
        <w:ind w:left="2486" w:right="417" w:hanging="567"/>
        <w:jc w:val="both"/>
        <w:rPr>
          <w:sz w:val="24"/>
        </w:rPr>
      </w:pPr>
      <w:r>
        <w:rPr>
          <w:sz w:val="24"/>
        </w:rPr>
        <w:t>the basis on which the </w:t>
      </w:r>
      <w:r>
        <w:rPr>
          <w:i/>
          <w:sz w:val="24"/>
        </w:rPr>
        <w:t>Distribution Network Service Provider </w:t>
      </w:r>
      <w:r>
        <w:rPr>
          <w:sz w:val="24"/>
        </w:rPr>
        <w:t>has provided the relevant services in the past;</w:t>
      </w:r>
      <w:r>
        <w:rPr>
          <w:spacing w:val="-2"/>
          <w:sz w:val="24"/>
        </w:rPr>
        <w:t> </w:t>
      </w:r>
      <w:r>
        <w:rPr>
          <w:sz w:val="24"/>
        </w:rPr>
        <w:t>and</w:t>
      </w:r>
    </w:p>
    <w:p>
      <w:pPr>
        <w:pStyle w:val="ListParagraph"/>
        <w:numPr>
          <w:ilvl w:val="1"/>
          <w:numId w:val="356"/>
        </w:numPr>
        <w:tabs>
          <w:tab w:pos="2486" w:val="left" w:leader="none"/>
        </w:tabs>
        <w:spacing w:line="240" w:lineRule="auto" w:before="120" w:after="0"/>
        <w:ind w:left="2485" w:right="0" w:hanging="567"/>
        <w:jc w:val="both"/>
        <w:rPr>
          <w:sz w:val="24"/>
        </w:rPr>
      </w:pPr>
      <w:r>
        <w:rPr>
          <w:sz w:val="24"/>
        </w:rPr>
        <w:t>the geographical characteristics of the area served by the</w:t>
      </w:r>
      <w:r>
        <w:rPr>
          <w:spacing w:val="43"/>
          <w:sz w:val="24"/>
        </w:rPr>
        <w:t> </w:t>
      </w:r>
      <w:r>
        <w:rPr>
          <w:sz w:val="24"/>
        </w:rPr>
        <w:t>relevant</w:t>
      </w:r>
    </w:p>
    <w:p>
      <w:pPr>
        <w:spacing w:before="0"/>
        <w:ind w:left="2486" w:right="0" w:firstLine="0"/>
        <w:jc w:val="both"/>
        <w:rPr>
          <w:sz w:val="24"/>
        </w:rPr>
      </w:pPr>
      <w:r>
        <w:rPr>
          <w:i/>
          <w:sz w:val="24"/>
        </w:rPr>
        <w:t>distribution network</w:t>
      </w:r>
      <w:r>
        <w:rPr>
          <w:sz w:val="24"/>
        </w:rPr>
        <w:t>.</w:t>
      </w:r>
    </w:p>
    <w:p>
      <w:pPr>
        <w:pStyle w:val="BodyText"/>
        <w:ind w:left="1919" w:right="415"/>
      </w:pPr>
      <w:r>
        <w:rPr/>
        <w:t>(ba) For the purposes of paragraph (b)(1), the </w:t>
      </w:r>
      <w:r>
        <w:rPr>
          <w:i/>
        </w:rPr>
        <w:t>AER </w:t>
      </w:r>
      <w:r>
        <w:rPr/>
        <w:t>must regard the reference to "the national electricity system" in the national electricity objective stated in section 7 of the Law as including a reference to one or more, or all, of the local electricity systems, as the case requires.</w:t>
      </w:r>
    </w:p>
    <w:p>
      <w:pPr>
        <w:pStyle w:val="ListParagraph"/>
        <w:numPr>
          <w:ilvl w:val="0"/>
          <w:numId w:val="356"/>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does not approve a proposed </w:t>
      </w:r>
      <w:r>
        <w:rPr>
          <w:i/>
          <w:sz w:val="24"/>
        </w:rPr>
        <w:t>model standing offer </w:t>
      </w:r>
      <w:r>
        <w:rPr>
          <w:sz w:val="24"/>
        </w:rPr>
        <w:t>to provide </w:t>
      </w:r>
      <w:r>
        <w:rPr>
          <w:i/>
          <w:sz w:val="24"/>
        </w:rPr>
        <w:t>basic connection services </w:t>
      </w:r>
      <w:r>
        <w:rPr>
          <w:sz w:val="24"/>
        </w:rPr>
        <w:t>of a particular class on specified terms and conditions:</w:t>
      </w:r>
    </w:p>
    <w:p>
      <w:pPr>
        <w:pStyle w:val="ListParagraph"/>
        <w:numPr>
          <w:ilvl w:val="1"/>
          <w:numId w:val="356"/>
        </w:numPr>
        <w:tabs>
          <w:tab w:pos="2486" w:val="left" w:leader="none"/>
        </w:tabs>
        <w:spacing w:line="240" w:lineRule="auto" w:before="120" w:after="0"/>
        <w:ind w:left="2486" w:right="416" w:hanging="567"/>
        <w:jc w:val="both"/>
        <w:rPr>
          <w:sz w:val="24"/>
        </w:rPr>
      </w:pPr>
      <w:r>
        <w:rPr>
          <w:sz w:val="24"/>
        </w:rPr>
        <w:t>the </w:t>
      </w:r>
      <w:r>
        <w:rPr>
          <w:i/>
          <w:sz w:val="24"/>
        </w:rPr>
        <w:t>AER </w:t>
      </w:r>
      <w:r>
        <w:rPr>
          <w:sz w:val="24"/>
        </w:rPr>
        <w:t>must give the </w:t>
      </w:r>
      <w:r>
        <w:rPr>
          <w:i/>
          <w:sz w:val="24"/>
        </w:rPr>
        <w:t>Distribution Network Service Provider </w:t>
      </w:r>
      <w:r>
        <w:rPr>
          <w:sz w:val="24"/>
        </w:rPr>
        <w:t>written reasons for its decision;</w:t>
      </w:r>
      <w:r>
        <w:rPr>
          <w:spacing w:val="-1"/>
          <w:sz w:val="24"/>
        </w:rPr>
        <w:t> </w:t>
      </w:r>
      <w:r>
        <w:rPr>
          <w:sz w:val="24"/>
        </w:rPr>
        <w:t>and</w:t>
      </w:r>
    </w:p>
    <w:p>
      <w:pPr>
        <w:pStyle w:val="ListParagraph"/>
        <w:numPr>
          <w:ilvl w:val="1"/>
          <w:numId w:val="356"/>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must re-submit the proposed </w:t>
      </w:r>
      <w:r>
        <w:rPr>
          <w:i/>
          <w:sz w:val="24"/>
        </w:rPr>
        <w:t>model standing offer </w:t>
      </w:r>
      <w:r>
        <w:rPr>
          <w:sz w:val="24"/>
        </w:rPr>
        <w:t>with appropriate amendments as soon as reasonably</w:t>
      </w:r>
      <w:r>
        <w:rPr>
          <w:spacing w:val="-1"/>
          <w:sz w:val="24"/>
        </w:rPr>
        <w:t> </w:t>
      </w:r>
      <w:r>
        <w:rPr>
          <w:sz w:val="24"/>
        </w:rPr>
        <w:t>practicable.</w:t>
      </w:r>
    </w:p>
    <w:p>
      <w:pPr>
        <w:pStyle w:val="ListParagraph"/>
        <w:numPr>
          <w:ilvl w:val="0"/>
          <w:numId w:val="356"/>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deal expeditiously with a proposed </w:t>
      </w:r>
      <w:r>
        <w:rPr>
          <w:i/>
          <w:sz w:val="24"/>
        </w:rPr>
        <w:t>model standing offer </w:t>
      </w:r>
      <w:r>
        <w:rPr>
          <w:sz w:val="24"/>
        </w:rPr>
        <w:t>to provide </w:t>
      </w:r>
      <w:r>
        <w:rPr>
          <w:i/>
          <w:sz w:val="24"/>
        </w:rPr>
        <w:t>basic connection</w:t>
      </w:r>
      <w:r>
        <w:rPr>
          <w:i/>
          <w:spacing w:val="-1"/>
          <w:sz w:val="24"/>
        </w:rPr>
        <w:t> </w:t>
      </w:r>
      <w:r>
        <w:rPr>
          <w:i/>
          <w:sz w:val="24"/>
        </w:rPr>
        <w:t>services</w:t>
      </w:r>
      <w:r>
        <w:rPr>
          <w:sz w:val="24"/>
        </w:rPr>
        <w:t>.</w:t>
      </w:r>
    </w:p>
    <w:p>
      <w:pPr>
        <w:pStyle w:val="BodyText"/>
        <w:spacing w:before="4"/>
        <w:ind w:firstLine="0"/>
        <w:jc w:val="left"/>
        <w:rPr>
          <w:sz w:val="31"/>
        </w:rPr>
      </w:pPr>
    </w:p>
    <w:p>
      <w:pPr>
        <w:pStyle w:val="Heading2"/>
        <w:tabs>
          <w:tab w:pos="2485" w:val="left" w:leader="none"/>
        </w:tabs>
      </w:pPr>
      <w:bookmarkStart w:name="_bookmark462" w:id="1141"/>
      <w:bookmarkEnd w:id="1141"/>
      <w:r>
        <w:rPr>
          <w:b w:val="0"/>
        </w:rPr>
      </w:r>
      <w:r>
        <w:rPr/>
        <w:t>Division</w:t>
      </w:r>
      <w:r>
        <w:rPr>
          <w:spacing w:val="-4"/>
        </w:rPr>
        <w:t> </w:t>
      </w:r>
      <w:r>
        <w:rPr/>
        <w:t>2</w:t>
        <w:tab/>
        <w:t>Standard connection</w:t>
      </w:r>
      <w:r>
        <w:rPr>
          <w:spacing w:val="-1"/>
        </w:rPr>
        <w:t> </w:t>
      </w:r>
      <w:r>
        <w:rPr/>
        <w:t>services</w:t>
      </w:r>
    </w:p>
    <w:p>
      <w:pPr>
        <w:pStyle w:val="Heading4"/>
        <w:tabs>
          <w:tab w:pos="1351" w:val="left" w:leader="none"/>
        </w:tabs>
        <w:spacing w:before="240"/>
        <w:ind w:left="218" w:firstLine="0"/>
      </w:pPr>
      <w:bookmarkStart w:name="5A.B.4 Standard connection services" w:id="1142"/>
      <w:bookmarkEnd w:id="1142"/>
      <w:r>
        <w:rPr>
          <w:b w:val="0"/>
        </w:rPr>
      </w:r>
      <w:bookmarkStart w:name="_bookmark463" w:id="1143"/>
      <w:bookmarkEnd w:id="1143"/>
      <w:r>
        <w:rPr>
          <w:b w:val="0"/>
        </w:rPr>
      </w:r>
      <w:r>
        <w:rPr/>
        <w:t>5A.B.4</w:t>
        <w:tab/>
        <w:t>Standard connection</w:t>
      </w:r>
      <w:r>
        <w:rPr>
          <w:spacing w:val="-1"/>
        </w:rPr>
        <w:t> </w:t>
      </w:r>
      <w:r>
        <w:rPr/>
        <w:t>services</w:t>
      </w:r>
    </w:p>
    <w:p>
      <w:pPr>
        <w:pStyle w:val="ListParagraph"/>
        <w:numPr>
          <w:ilvl w:val="0"/>
          <w:numId w:val="35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may submit for the </w:t>
      </w:r>
      <w:r>
        <w:rPr>
          <w:i/>
          <w:sz w:val="24"/>
        </w:rPr>
        <w:t>AER's </w:t>
      </w:r>
      <w:r>
        <w:rPr>
          <w:sz w:val="24"/>
        </w:rPr>
        <w:t>approval a proposed </w:t>
      </w:r>
      <w:r>
        <w:rPr>
          <w:i/>
          <w:sz w:val="24"/>
        </w:rPr>
        <w:t>model standing offer </w:t>
      </w:r>
      <w:r>
        <w:rPr>
          <w:sz w:val="24"/>
        </w:rPr>
        <w:t>to provide </w:t>
      </w:r>
      <w:r>
        <w:rPr>
          <w:i/>
          <w:sz w:val="24"/>
        </w:rPr>
        <w:t>standard connection </w:t>
      </w:r>
      <w:r>
        <w:rPr>
          <w:i/>
          <w:sz w:val="24"/>
        </w:rPr>
        <w:t>services </w:t>
      </w:r>
      <w:r>
        <w:rPr>
          <w:sz w:val="24"/>
        </w:rPr>
        <w:t>on specified terms and</w:t>
      </w:r>
      <w:r>
        <w:rPr>
          <w:spacing w:val="-3"/>
          <w:sz w:val="24"/>
        </w:rPr>
        <w:t> </w:t>
      </w:r>
      <w:r>
        <w:rPr>
          <w:sz w:val="24"/>
        </w:rPr>
        <w:t>conditions.</w:t>
      </w:r>
    </w:p>
    <w:p>
      <w:pPr>
        <w:pStyle w:val="ListParagraph"/>
        <w:numPr>
          <w:ilvl w:val="0"/>
          <w:numId w:val="357"/>
        </w:numPr>
        <w:tabs>
          <w:tab w:pos="1919" w:val="left" w:leader="none"/>
        </w:tabs>
        <w:spacing w:line="240" w:lineRule="auto" w:before="120" w:after="0"/>
        <w:ind w:left="1919" w:right="415" w:hanging="567"/>
        <w:jc w:val="both"/>
        <w:rPr>
          <w:sz w:val="24"/>
        </w:rPr>
      </w:pPr>
      <w:r>
        <w:rPr>
          <w:sz w:val="24"/>
        </w:rPr>
        <w:t>Different sets of terms and conditions may be submitted under this </w:t>
      </w:r>
      <w:r>
        <w:rPr>
          <w:i/>
          <w:sz w:val="24"/>
        </w:rPr>
        <w:t>rule </w:t>
      </w:r>
      <w:r>
        <w:rPr>
          <w:sz w:val="24"/>
        </w:rPr>
        <w:t>for different classes of </w:t>
      </w:r>
      <w:r>
        <w:rPr>
          <w:i/>
          <w:sz w:val="24"/>
        </w:rPr>
        <w:t>connection services </w:t>
      </w:r>
      <w:r>
        <w:rPr>
          <w:sz w:val="24"/>
        </w:rPr>
        <w:t>or different classes of </w:t>
      </w:r>
      <w:r>
        <w:rPr>
          <w:i/>
          <w:sz w:val="24"/>
        </w:rPr>
        <w:t>retail </w:t>
      </w:r>
      <w:r>
        <w:rPr>
          <w:i/>
          <w:sz w:val="24"/>
        </w:rPr>
        <w:t>customer</w:t>
      </w:r>
      <w:r>
        <w:rPr>
          <w:sz w:val="24"/>
        </w:rPr>
        <w:t>.</w:t>
      </w:r>
    </w:p>
    <w:p>
      <w:pPr>
        <w:pStyle w:val="ListParagraph"/>
        <w:numPr>
          <w:ilvl w:val="0"/>
          <w:numId w:val="357"/>
        </w:numPr>
        <w:tabs>
          <w:tab w:pos="1919" w:val="left" w:leader="none"/>
        </w:tabs>
        <w:spacing w:line="240" w:lineRule="auto" w:before="120" w:after="0"/>
        <w:ind w:left="1918" w:right="0" w:hanging="567"/>
        <w:jc w:val="both"/>
        <w:rPr>
          <w:sz w:val="24"/>
        </w:rPr>
      </w:pPr>
      <w:r>
        <w:rPr>
          <w:sz w:val="24"/>
        </w:rPr>
        <w:t>The terms and conditions must</w:t>
      </w:r>
      <w:r>
        <w:rPr>
          <w:spacing w:val="-1"/>
          <w:sz w:val="24"/>
        </w:rPr>
        <w:t> </w:t>
      </w:r>
      <w:r>
        <w:rPr>
          <w:sz w:val="24"/>
        </w:rPr>
        <w:t>cover:</w:t>
      </w:r>
    </w:p>
    <w:p>
      <w:pPr>
        <w:pStyle w:val="ListParagraph"/>
        <w:numPr>
          <w:ilvl w:val="1"/>
          <w:numId w:val="357"/>
        </w:numPr>
        <w:tabs>
          <w:tab w:pos="2486" w:val="left" w:leader="none"/>
        </w:tabs>
        <w:spacing w:line="240" w:lineRule="auto" w:before="120" w:after="0"/>
        <w:ind w:left="2486" w:right="415" w:hanging="567"/>
        <w:jc w:val="both"/>
        <w:rPr>
          <w:sz w:val="24"/>
        </w:rPr>
      </w:pPr>
      <w:r>
        <w:rPr>
          <w:sz w:val="24"/>
        </w:rPr>
        <w:t>a description of the </w:t>
      </w:r>
      <w:r>
        <w:rPr>
          <w:i/>
          <w:sz w:val="24"/>
        </w:rPr>
        <w:t>connection </w:t>
      </w:r>
      <w:r>
        <w:rPr>
          <w:sz w:val="24"/>
        </w:rPr>
        <w:t>(and the </w:t>
      </w:r>
      <w:r>
        <w:rPr>
          <w:i/>
          <w:sz w:val="24"/>
        </w:rPr>
        <w:t>premises connection assets </w:t>
      </w:r>
      <w:r>
        <w:rPr>
          <w:sz w:val="24"/>
        </w:rPr>
        <w:t>of which it is to be comprised) including a statement of its maximum capacity;</w:t>
      </w:r>
      <w:r>
        <w:rPr>
          <w:spacing w:val="-1"/>
          <w:sz w:val="24"/>
        </w:rPr>
        <w:t> </w:t>
      </w:r>
      <w:r>
        <w:rPr>
          <w:sz w:val="24"/>
        </w:rPr>
        <w:t>and</w:t>
      </w:r>
    </w:p>
    <w:p>
      <w:pPr>
        <w:pStyle w:val="ListParagraph"/>
        <w:numPr>
          <w:ilvl w:val="1"/>
          <w:numId w:val="357"/>
        </w:numPr>
        <w:tabs>
          <w:tab w:pos="2486" w:val="left" w:leader="none"/>
        </w:tabs>
        <w:spacing w:line="240" w:lineRule="auto" w:before="120" w:after="0"/>
        <w:ind w:left="2485" w:right="0" w:hanging="567"/>
        <w:jc w:val="both"/>
        <w:rPr>
          <w:sz w:val="24"/>
        </w:rPr>
      </w:pPr>
      <w:r>
        <w:rPr>
          <w:sz w:val="24"/>
        </w:rPr>
        <w:t>timeframes for commencing and completing the work;</w:t>
      </w:r>
      <w:r>
        <w:rPr>
          <w:spacing w:val="-3"/>
          <w:sz w:val="24"/>
        </w:rPr>
        <w:t> </w:t>
      </w:r>
      <w:r>
        <w:rPr>
          <w:sz w:val="24"/>
        </w:rPr>
        <w:t>and</w:t>
      </w:r>
    </w:p>
    <w:p>
      <w:pPr>
        <w:pStyle w:val="ListParagraph"/>
        <w:numPr>
          <w:ilvl w:val="1"/>
          <w:numId w:val="357"/>
        </w:numPr>
        <w:tabs>
          <w:tab w:pos="2486" w:val="left" w:leader="none"/>
        </w:tabs>
        <w:spacing w:line="240" w:lineRule="auto" w:before="120" w:after="0"/>
        <w:ind w:left="2486" w:right="415" w:hanging="567"/>
        <w:jc w:val="both"/>
        <w:rPr>
          <w:sz w:val="24"/>
        </w:rPr>
      </w:pPr>
      <w:r>
        <w:rPr>
          <w:sz w:val="24"/>
        </w:rPr>
        <w:t>the qualifications required for carrying out the work involved in providing a </w:t>
      </w:r>
      <w:r>
        <w:rPr>
          <w:i/>
          <w:sz w:val="24"/>
        </w:rPr>
        <w:t>contestable </w:t>
      </w:r>
      <w:r>
        <w:rPr>
          <w:sz w:val="24"/>
        </w:rPr>
        <w:t>service (including reference to the jurisdictional or other legislation and statutory instruments under which the qualifications are required);</w:t>
      </w:r>
      <w:r>
        <w:rPr>
          <w:spacing w:val="-4"/>
          <w:sz w:val="24"/>
        </w:rPr>
        <w:t> </w:t>
      </w:r>
      <w:r>
        <w:rPr>
          <w:sz w:val="24"/>
        </w:rPr>
        <w:t>and</w:t>
      </w:r>
    </w:p>
    <w:p>
      <w:pPr>
        <w:pStyle w:val="ListParagraph"/>
        <w:numPr>
          <w:ilvl w:val="1"/>
          <w:numId w:val="357"/>
        </w:numPr>
        <w:tabs>
          <w:tab w:pos="2486" w:val="left" w:leader="none"/>
        </w:tabs>
        <w:spacing w:line="240" w:lineRule="auto" w:before="120" w:after="0"/>
        <w:ind w:left="2486" w:right="415" w:hanging="567"/>
        <w:jc w:val="both"/>
        <w:rPr>
          <w:sz w:val="24"/>
        </w:rPr>
      </w:pPr>
      <w:r>
        <w:rPr>
          <w:sz w:val="24"/>
        </w:rPr>
        <w:t>the safety and technical requirements (including reference to the jurisdictional or other legislation and statutory instruments under which the requirements are imposed) to be complied with by the provider of a </w:t>
      </w:r>
      <w:r>
        <w:rPr>
          <w:i/>
          <w:sz w:val="24"/>
        </w:rPr>
        <w:t>contestable </w:t>
      </w:r>
      <w:r>
        <w:rPr>
          <w:sz w:val="24"/>
        </w:rPr>
        <w:t>service or the </w:t>
      </w:r>
      <w:r>
        <w:rPr>
          <w:i/>
          <w:sz w:val="24"/>
        </w:rPr>
        <w:t>retail customer </w:t>
      </w:r>
      <w:r>
        <w:rPr>
          <w:sz w:val="24"/>
        </w:rPr>
        <w:t>(or both);</w:t>
      </w:r>
      <w:r>
        <w:rPr>
          <w:spacing w:val="-11"/>
          <w:sz w:val="24"/>
        </w:rPr>
        <w:t> </w:t>
      </w:r>
      <w:r>
        <w:rPr>
          <w:sz w:val="24"/>
        </w:rPr>
        <w:t>and</w:t>
      </w:r>
    </w:p>
    <w:p>
      <w:pPr>
        <w:pStyle w:val="ListParagraph"/>
        <w:numPr>
          <w:ilvl w:val="1"/>
          <w:numId w:val="357"/>
        </w:numPr>
        <w:tabs>
          <w:tab w:pos="2486" w:val="left" w:leader="none"/>
        </w:tabs>
        <w:spacing w:line="240" w:lineRule="auto" w:before="120" w:after="0"/>
        <w:ind w:left="2486" w:right="415" w:hanging="567"/>
        <w:jc w:val="both"/>
        <w:rPr>
          <w:sz w:val="24"/>
        </w:rPr>
      </w:pPr>
      <w:r>
        <w:rPr>
          <w:sz w:val="24"/>
        </w:rPr>
        <w:t>details of the </w:t>
      </w:r>
      <w:r>
        <w:rPr>
          <w:i/>
          <w:sz w:val="24"/>
        </w:rPr>
        <w:t>connection charges </w:t>
      </w:r>
      <w:r>
        <w:rPr>
          <w:sz w:val="24"/>
        </w:rPr>
        <w:t>(or the basis on which they will be calculated) including details of the following (so far as</w:t>
      </w:r>
      <w:r>
        <w:rPr>
          <w:spacing w:val="-3"/>
          <w:sz w:val="24"/>
        </w:rPr>
        <w:t> </w:t>
      </w:r>
      <w:r>
        <w:rPr>
          <w:sz w:val="24"/>
        </w:rPr>
        <w:t>applicable):</w:t>
      </w:r>
    </w:p>
    <w:p>
      <w:pPr>
        <w:spacing w:after="0" w:line="240" w:lineRule="auto"/>
        <w:jc w:val="both"/>
        <w:rPr>
          <w:sz w:val="24"/>
        </w:rPr>
        <w:sectPr>
          <w:pgSz w:w="11910" w:h="16840"/>
          <w:pgMar w:header="686" w:footer="637" w:top="1320" w:bottom="820" w:left="1200" w:right="1000"/>
        </w:sectPr>
      </w:pPr>
    </w:p>
    <w:p>
      <w:pPr>
        <w:pStyle w:val="ListParagraph"/>
        <w:numPr>
          <w:ilvl w:val="2"/>
          <w:numId w:val="357"/>
        </w:numPr>
        <w:tabs>
          <w:tab w:pos="3053" w:val="left" w:leader="none"/>
        </w:tabs>
        <w:spacing w:line="240" w:lineRule="auto" w:before="83" w:after="0"/>
        <w:ind w:left="3053" w:right="415" w:hanging="567"/>
        <w:jc w:val="both"/>
        <w:rPr>
          <w:sz w:val="24"/>
        </w:rPr>
      </w:pPr>
      <w:r>
        <w:rPr>
          <w:sz w:val="24"/>
        </w:rPr>
        <w:t>the cost of </w:t>
      </w:r>
      <w:r>
        <w:rPr>
          <w:i/>
          <w:sz w:val="24"/>
        </w:rPr>
        <w:t>premises connection assets </w:t>
      </w:r>
      <w:r>
        <w:rPr>
          <w:sz w:val="24"/>
        </w:rPr>
        <w:t>to which the </w:t>
      </w:r>
      <w:r>
        <w:rPr>
          <w:i/>
          <w:spacing w:val="-3"/>
          <w:sz w:val="24"/>
        </w:rPr>
        <w:t>connection </w:t>
      </w:r>
      <w:r>
        <w:rPr>
          <w:i/>
          <w:sz w:val="24"/>
        </w:rPr>
        <w:t>charges</w:t>
      </w:r>
      <w:r>
        <w:rPr>
          <w:i/>
          <w:spacing w:val="-1"/>
          <w:sz w:val="24"/>
        </w:rPr>
        <w:t> </w:t>
      </w:r>
      <w:r>
        <w:rPr>
          <w:sz w:val="24"/>
        </w:rPr>
        <w:t>relate;</w:t>
      </w:r>
    </w:p>
    <w:p>
      <w:pPr>
        <w:pStyle w:val="ListParagraph"/>
        <w:numPr>
          <w:ilvl w:val="2"/>
          <w:numId w:val="357"/>
        </w:numPr>
        <w:tabs>
          <w:tab w:pos="3054" w:val="left" w:leader="none"/>
        </w:tabs>
        <w:spacing w:line="240" w:lineRule="auto" w:before="120" w:after="0"/>
        <w:ind w:left="3053" w:right="415" w:hanging="567"/>
        <w:jc w:val="both"/>
        <w:rPr>
          <w:sz w:val="24"/>
        </w:rPr>
      </w:pPr>
      <w:r>
        <w:rPr>
          <w:sz w:val="24"/>
        </w:rPr>
        <w:t>the cost of any necessary </w:t>
      </w:r>
      <w:r>
        <w:rPr>
          <w:i/>
          <w:sz w:val="24"/>
        </w:rPr>
        <w:t>augmentation </w:t>
      </w:r>
      <w:r>
        <w:rPr>
          <w:sz w:val="24"/>
        </w:rPr>
        <w:t>of the </w:t>
      </w:r>
      <w:r>
        <w:rPr>
          <w:i/>
          <w:sz w:val="24"/>
        </w:rPr>
        <w:t>distribution </w:t>
      </w:r>
      <w:r>
        <w:rPr>
          <w:i/>
          <w:sz w:val="24"/>
        </w:rPr>
        <w:t>system </w:t>
      </w:r>
      <w:r>
        <w:rPr>
          <w:sz w:val="24"/>
        </w:rPr>
        <w:t>for which provision has not already been made through existing </w:t>
      </w:r>
      <w:r>
        <w:rPr>
          <w:i/>
          <w:sz w:val="24"/>
        </w:rPr>
        <w:t>distribution use of system </w:t>
      </w:r>
      <w:r>
        <w:rPr>
          <w:sz w:val="24"/>
        </w:rPr>
        <w:t>charges or a tariff applicable to the</w:t>
      </w:r>
      <w:r>
        <w:rPr>
          <w:spacing w:val="-1"/>
          <w:sz w:val="24"/>
        </w:rPr>
        <w:t> </w:t>
      </w:r>
      <w:r>
        <w:rPr>
          <w:i/>
          <w:sz w:val="24"/>
        </w:rPr>
        <w:t>connection</w:t>
      </w:r>
      <w:r>
        <w:rPr>
          <w:sz w:val="24"/>
        </w:rPr>
        <w:t>;</w:t>
      </w:r>
    </w:p>
    <w:p>
      <w:pPr>
        <w:pStyle w:val="ListParagraph"/>
        <w:numPr>
          <w:ilvl w:val="2"/>
          <w:numId w:val="357"/>
        </w:numPr>
        <w:tabs>
          <w:tab w:pos="3053" w:val="left" w:leader="none"/>
        </w:tabs>
        <w:spacing w:line="240" w:lineRule="auto" w:before="120" w:after="0"/>
        <w:ind w:left="3053" w:right="414" w:hanging="567"/>
        <w:jc w:val="both"/>
        <w:rPr>
          <w:sz w:val="24"/>
        </w:rPr>
      </w:pPr>
      <w:r>
        <w:rPr>
          <w:sz w:val="24"/>
        </w:rPr>
        <w:t>the costs of common components of minor variations from </w:t>
      </w:r>
      <w:r>
        <w:rPr>
          <w:spacing w:val="-4"/>
          <w:sz w:val="24"/>
        </w:rPr>
        <w:t>the </w:t>
      </w:r>
      <w:r>
        <w:rPr>
          <w:sz w:val="24"/>
        </w:rPr>
        <w:t>standard</w:t>
      </w:r>
      <w:r>
        <w:rPr>
          <w:spacing w:val="-2"/>
          <w:sz w:val="24"/>
        </w:rPr>
        <w:t> </w:t>
      </w:r>
      <w:r>
        <w:rPr>
          <w:sz w:val="24"/>
        </w:rPr>
        <w:t>specifications;</w:t>
      </w:r>
    </w:p>
    <w:p>
      <w:pPr>
        <w:pStyle w:val="ListParagraph"/>
        <w:numPr>
          <w:ilvl w:val="2"/>
          <w:numId w:val="357"/>
        </w:numPr>
        <w:tabs>
          <w:tab w:pos="3054" w:val="left" w:leader="none"/>
        </w:tabs>
        <w:spacing w:line="240" w:lineRule="auto" w:before="120" w:after="0"/>
        <w:ind w:left="3053" w:right="0" w:hanging="568"/>
        <w:jc w:val="both"/>
        <w:rPr>
          <w:sz w:val="24"/>
        </w:rPr>
      </w:pPr>
      <w:r>
        <w:rPr>
          <w:sz w:val="24"/>
        </w:rPr>
        <w:t>any other incidental costs;</w:t>
      </w:r>
      <w:r>
        <w:rPr>
          <w:spacing w:val="-1"/>
          <w:sz w:val="24"/>
        </w:rPr>
        <w:t> </w:t>
      </w:r>
      <w:r>
        <w:rPr>
          <w:sz w:val="24"/>
        </w:rPr>
        <w:t>and</w:t>
      </w:r>
    </w:p>
    <w:p>
      <w:pPr>
        <w:pStyle w:val="ListParagraph"/>
        <w:numPr>
          <w:ilvl w:val="1"/>
          <w:numId w:val="357"/>
        </w:numPr>
        <w:tabs>
          <w:tab w:pos="2486" w:val="left" w:leader="none"/>
        </w:tabs>
        <w:spacing w:line="240" w:lineRule="auto" w:before="120" w:after="0"/>
        <w:ind w:left="2486" w:right="415" w:hanging="567"/>
        <w:jc w:val="both"/>
        <w:rPr>
          <w:sz w:val="24"/>
        </w:rPr>
      </w:pPr>
      <w:r>
        <w:rPr>
          <w:sz w:val="24"/>
        </w:rPr>
        <w:t>the manner in which </w:t>
      </w:r>
      <w:r>
        <w:rPr>
          <w:i/>
          <w:sz w:val="24"/>
        </w:rPr>
        <w:t>connection charges </w:t>
      </w:r>
      <w:r>
        <w:rPr>
          <w:sz w:val="24"/>
        </w:rPr>
        <w:t>are to be paid by the </w:t>
      </w:r>
      <w:r>
        <w:rPr>
          <w:i/>
          <w:sz w:val="24"/>
        </w:rPr>
        <w:t>retail </w:t>
      </w:r>
      <w:r>
        <w:rPr>
          <w:i/>
          <w:sz w:val="24"/>
        </w:rPr>
        <w:t>customer</w:t>
      </w:r>
      <w:r>
        <w:rPr>
          <w:sz w:val="24"/>
        </w:rPr>
        <w:t>.</w:t>
      </w:r>
    </w:p>
    <w:p>
      <w:pPr>
        <w:pStyle w:val="BodyText"/>
        <w:spacing w:before="10"/>
        <w:ind w:firstLine="0"/>
        <w:jc w:val="left"/>
        <w:rPr>
          <w:sz w:val="20"/>
        </w:rPr>
      </w:pPr>
    </w:p>
    <w:p>
      <w:pPr>
        <w:pStyle w:val="Heading4"/>
        <w:tabs>
          <w:tab w:pos="1351" w:val="left" w:leader="none"/>
        </w:tabs>
        <w:ind w:left="1352" w:right="928"/>
      </w:pPr>
      <w:bookmarkStart w:name="5A.B.5 Approval of model standing offer " w:id="1144"/>
      <w:bookmarkEnd w:id="1144"/>
      <w:r>
        <w:rPr>
          <w:b w:val="0"/>
        </w:rPr>
      </w:r>
      <w:bookmarkStart w:name="_bookmark464" w:id="1145"/>
      <w:bookmarkEnd w:id="1145"/>
      <w:r>
        <w:rPr>
          <w:b w:val="0"/>
        </w:rPr>
      </w:r>
      <w:r>
        <w:rPr/>
        <w:t>5A.B.5</w:t>
        <w:tab/>
        <w:t>Approval of model standing offer to provide standard connection services</w:t>
      </w:r>
    </w:p>
    <w:p>
      <w:pPr>
        <w:pStyle w:val="ListParagraph"/>
        <w:numPr>
          <w:ilvl w:val="0"/>
          <w:numId w:val="358"/>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approve a proposed </w:t>
      </w:r>
      <w:r>
        <w:rPr>
          <w:i/>
          <w:sz w:val="24"/>
        </w:rPr>
        <w:t>model standing offer </w:t>
      </w:r>
      <w:r>
        <w:rPr>
          <w:sz w:val="24"/>
        </w:rPr>
        <w:t>to provide a particular class of </w:t>
      </w:r>
      <w:r>
        <w:rPr>
          <w:i/>
          <w:sz w:val="24"/>
        </w:rPr>
        <w:t>standard connection services </w:t>
      </w:r>
      <w:r>
        <w:rPr>
          <w:sz w:val="24"/>
        </w:rPr>
        <w:t>on specified terms and conditions if satisfied</w:t>
      </w:r>
      <w:r>
        <w:rPr>
          <w:spacing w:val="-2"/>
          <w:sz w:val="24"/>
        </w:rPr>
        <w:t> </w:t>
      </w:r>
      <w:r>
        <w:rPr>
          <w:sz w:val="24"/>
        </w:rPr>
        <w:t>that:</w:t>
      </w:r>
    </w:p>
    <w:p>
      <w:pPr>
        <w:pStyle w:val="ListParagraph"/>
        <w:numPr>
          <w:ilvl w:val="1"/>
          <w:numId w:val="358"/>
        </w:numPr>
        <w:tabs>
          <w:tab w:pos="2486" w:val="left" w:leader="none"/>
        </w:tabs>
        <w:spacing w:line="240" w:lineRule="auto" w:before="120" w:after="0"/>
        <w:ind w:left="2485" w:right="0" w:hanging="567"/>
        <w:jc w:val="both"/>
        <w:rPr>
          <w:sz w:val="24"/>
        </w:rPr>
      </w:pPr>
      <w:r>
        <w:rPr>
          <w:sz w:val="24"/>
        </w:rPr>
        <w:t>the terms and conditions are fair and reasonable;</w:t>
      </w:r>
      <w:r>
        <w:rPr>
          <w:spacing w:val="-2"/>
          <w:sz w:val="24"/>
        </w:rPr>
        <w:t> </w:t>
      </w:r>
      <w:r>
        <w:rPr>
          <w:sz w:val="24"/>
        </w:rPr>
        <w:t>and</w:t>
      </w:r>
    </w:p>
    <w:p>
      <w:pPr>
        <w:pStyle w:val="ListParagraph"/>
        <w:numPr>
          <w:ilvl w:val="1"/>
          <w:numId w:val="358"/>
        </w:numPr>
        <w:tabs>
          <w:tab w:pos="2486" w:val="left" w:leader="none"/>
        </w:tabs>
        <w:spacing w:line="240" w:lineRule="auto" w:before="120" w:after="0"/>
        <w:ind w:left="2486" w:right="415" w:hanging="567"/>
        <w:jc w:val="both"/>
        <w:rPr>
          <w:sz w:val="24"/>
        </w:rPr>
      </w:pPr>
      <w:r>
        <w:rPr>
          <w:sz w:val="24"/>
        </w:rPr>
        <w:t>the </w:t>
      </w:r>
      <w:r>
        <w:rPr>
          <w:i/>
          <w:sz w:val="24"/>
        </w:rPr>
        <w:t>connection charges </w:t>
      </w:r>
      <w:r>
        <w:rPr>
          <w:sz w:val="24"/>
        </w:rPr>
        <w:t>are consistent with the </w:t>
      </w:r>
      <w:r>
        <w:rPr>
          <w:i/>
          <w:sz w:val="24"/>
        </w:rPr>
        <w:t>Distribution Network </w:t>
      </w:r>
      <w:r>
        <w:rPr>
          <w:i/>
          <w:sz w:val="24"/>
        </w:rPr>
        <w:t>Service Provider's </w:t>
      </w:r>
      <w:r>
        <w:rPr>
          <w:sz w:val="24"/>
        </w:rPr>
        <w:t>distribution determination including the </w:t>
      </w:r>
      <w:r>
        <w:rPr>
          <w:i/>
          <w:sz w:val="24"/>
        </w:rPr>
        <w:t>connection </w:t>
      </w:r>
      <w:r>
        <w:rPr>
          <w:i/>
          <w:sz w:val="24"/>
        </w:rPr>
        <w:t>policy</w:t>
      </w:r>
      <w:r>
        <w:rPr>
          <w:sz w:val="24"/>
        </w:rPr>
        <w:t>;</w:t>
      </w:r>
      <w:r>
        <w:rPr>
          <w:spacing w:val="-1"/>
          <w:sz w:val="24"/>
        </w:rPr>
        <w:t> </w:t>
      </w:r>
      <w:r>
        <w:rPr>
          <w:sz w:val="24"/>
        </w:rPr>
        <w:t>and</w:t>
      </w:r>
    </w:p>
    <w:p>
      <w:pPr>
        <w:pStyle w:val="ListParagraph"/>
        <w:numPr>
          <w:ilvl w:val="1"/>
          <w:numId w:val="358"/>
        </w:numPr>
        <w:tabs>
          <w:tab w:pos="2486" w:val="left" w:leader="none"/>
        </w:tabs>
        <w:spacing w:line="240" w:lineRule="auto" w:before="120" w:after="0"/>
        <w:ind w:left="2485" w:right="0" w:hanging="567"/>
        <w:jc w:val="both"/>
        <w:rPr>
          <w:sz w:val="24"/>
        </w:rPr>
      </w:pPr>
      <w:r>
        <w:rPr>
          <w:sz w:val="24"/>
        </w:rPr>
        <w:t>the</w:t>
      </w:r>
      <w:r>
        <w:rPr>
          <w:spacing w:val="22"/>
          <w:sz w:val="24"/>
        </w:rPr>
        <w:t> </w:t>
      </w:r>
      <w:r>
        <w:rPr>
          <w:sz w:val="24"/>
        </w:rPr>
        <w:t>terms</w:t>
      </w:r>
      <w:r>
        <w:rPr>
          <w:spacing w:val="23"/>
          <w:sz w:val="24"/>
        </w:rPr>
        <w:t> </w:t>
      </w:r>
      <w:r>
        <w:rPr>
          <w:sz w:val="24"/>
        </w:rPr>
        <w:t>and</w:t>
      </w:r>
      <w:r>
        <w:rPr>
          <w:spacing w:val="22"/>
          <w:sz w:val="24"/>
        </w:rPr>
        <w:t> </w:t>
      </w:r>
      <w:r>
        <w:rPr>
          <w:sz w:val="24"/>
        </w:rPr>
        <w:t>conditions</w:t>
      </w:r>
      <w:r>
        <w:rPr>
          <w:spacing w:val="23"/>
          <w:sz w:val="24"/>
        </w:rPr>
        <w:t> </w:t>
      </w:r>
      <w:r>
        <w:rPr>
          <w:sz w:val="24"/>
        </w:rPr>
        <w:t>comply</w:t>
      </w:r>
      <w:r>
        <w:rPr>
          <w:spacing w:val="23"/>
          <w:sz w:val="24"/>
        </w:rPr>
        <w:t> </w:t>
      </w:r>
      <w:r>
        <w:rPr>
          <w:sz w:val="24"/>
        </w:rPr>
        <w:t>with</w:t>
      </w:r>
      <w:r>
        <w:rPr>
          <w:spacing w:val="22"/>
          <w:sz w:val="24"/>
        </w:rPr>
        <w:t> </w:t>
      </w:r>
      <w:r>
        <w:rPr>
          <w:sz w:val="24"/>
        </w:rPr>
        <w:t>applicable</w:t>
      </w:r>
      <w:r>
        <w:rPr>
          <w:spacing w:val="23"/>
          <w:sz w:val="24"/>
        </w:rPr>
        <w:t> </w:t>
      </w:r>
      <w:r>
        <w:rPr>
          <w:sz w:val="24"/>
        </w:rPr>
        <w:t>requirements</w:t>
      </w:r>
      <w:r>
        <w:rPr>
          <w:spacing w:val="23"/>
          <w:sz w:val="24"/>
        </w:rPr>
        <w:t> </w:t>
      </w:r>
      <w:r>
        <w:rPr>
          <w:sz w:val="24"/>
        </w:rPr>
        <w:t>of</w:t>
      </w:r>
      <w:r>
        <w:rPr>
          <w:spacing w:val="22"/>
          <w:sz w:val="24"/>
        </w:rPr>
        <w:t> </w:t>
      </w:r>
      <w:r>
        <w:rPr>
          <w:sz w:val="24"/>
        </w:rPr>
        <w:t>the</w:t>
      </w:r>
    </w:p>
    <w:p>
      <w:pPr>
        <w:spacing w:before="0"/>
        <w:ind w:left="2486" w:right="0" w:firstLine="0"/>
        <w:jc w:val="both"/>
        <w:rPr>
          <w:sz w:val="24"/>
        </w:rPr>
      </w:pPr>
      <w:r>
        <w:rPr>
          <w:i/>
          <w:sz w:val="24"/>
        </w:rPr>
        <w:t>energy laws</w:t>
      </w:r>
      <w:r>
        <w:rPr>
          <w:sz w:val="24"/>
        </w:rPr>
        <w:t>.</w:t>
      </w:r>
    </w:p>
    <w:p>
      <w:pPr>
        <w:pStyle w:val="ListParagraph"/>
        <w:numPr>
          <w:ilvl w:val="0"/>
          <w:numId w:val="358"/>
        </w:numPr>
        <w:tabs>
          <w:tab w:pos="1919" w:val="left" w:leader="none"/>
        </w:tabs>
        <w:spacing w:line="240" w:lineRule="auto" w:before="120" w:after="0"/>
        <w:ind w:left="1918" w:right="0" w:hanging="567"/>
        <w:jc w:val="both"/>
        <w:rPr>
          <w:i/>
          <w:sz w:val="24"/>
        </w:rPr>
      </w:pPr>
      <w:r>
        <w:rPr>
          <w:sz w:val="24"/>
        </w:rPr>
        <w:t>In</w:t>
      </w:r>
      <w:r>
        <w:rPr>
          <w:spacing w:val="9"/>
          <w:sz w:val="24"/>
        </w:rPr>
        <w:t> </w:t>
      </w:r>
      <w:r>
        <w:rPr>
          <w:sz w:val="24"/>
        </w:rPr>
        <w:t>deciding</w:t>
      </w:r>
      <w:r>
        <w:rPr>
          <w:spacing w:val="9"/>
          <w:sz w:val="24"/>
        </w:rPr>
        <w:t> </w:t>
      </w:r>
      <w:r>
        <w:rPr>
          <w:sz w:val="24"/>
        </w:rPr>
        <w:t>whether</w:t>
      </w:r>
      <w:r>
        <w:rPr>
          <w:spacing w:val="9"/>
          <w:sz w:val="24"/>
        </w:rPr>
        <w:t> </w:t>
      </w:r>
      <w:r>
        <w:rPr>
          <w:sz w:val="24"/>
        </w:rPr>
        <w:t>to</w:t>
      </w:r>
      <w:r>
        <w:rPr>
          <w:spacing w:val="9"/>
          <w:sz w:val="24"/>
        </w:rPr>
        <w:t> </w:t>
      </w:r>
      <w:r>
        <w:rPr>
          <w:sz w:val="24"/>
        </w:rPr>
        <w:t>approve</w:t>
      </w:r>
      <w:r>
        <w:rPr>
          <w:spacing w:val="9"/>
          <w:sz w:val="24"/>
        </w:rPr>
        <w:t> </w:t>
      </w:r>
      <w:r>
        <w:rPr>
          <w:sz w:val="24"/>
        </w:rPr>
        <w:t>the</w:t>
      </w:r>
      <w:r>
        <w:rPr>
          <w:spacing w:val="9"/>
          <w:sz w:val="24"/>
        </w:rPr>
        <w:t> </w:t>
      </w:r>
      <w:r>
        <w:rPr>
          <w:sz w:val="24"/>
        </w:rPr>
        <w:t>proposed</w:t>
      </w:r>
      <w:r>
        <w:rPr>
          <w:spacing w:val="9"/>
          <w:sz w:val="24"/>
        </w:rPr>
        <w:t> </w:t>
      </w:r>
      <w:r>
        <w:rPr>
          <w:i/>
          <w:sz w:val="24"/>
        </w:rPr>
        <w:t>model</w:t>
      </w:r>
      <w:r>
        <w:rPr>
          <w:i/>
          <w:spacing w:val="9"/>
          <w:sz w:val="24"/>
        </w:rPr>
        <w:t> </w:t>
      </w:r>
      <w:r>
        <w:rPr>
          <w:i/>
          <w:sz w:val="24"/>
        </w:rPr>
        <w:t>standing</w:t>
      </w:r>
      <w:r>
        <w:rPr>
          <w:i/>
          <w:spacing w:val="9"/>
          <w:sz w:val="24"/>
        </w:rPr>
        <w:t> </w:t>
      </w:r>
      <w:r>
        <w:rPr>
          <w:i/>
          <w:sz w:val="24"/>
        </w:rPr>
        <w:t>offer</w:t>
      </w:r>
      <w:r>
        <w:rPr>
          <w:sz w:val="24"/>
        </w:rPr>
        <w:t>,</w:t>
      </w:r>
      <w:r>
        <w:rPr>
          <w:spacing w:val="9"/>
          <w:sz w:val="24"/>
        </w:rPr>
        <w:t> </w:t>
      </w:r>
      <w:r>
        <w:rPr>
          <w:sz w:val="24"/>
        </w:rPr>
        <w:t>the</w:t>
      </w:r>
      <w:r>
        <w:rPr>
          <w:spacing w:val="9"/>
          <w:sz w:val="24"/>
        </w:rPr>
        <w:t> </w:t>
      </w:r>
      <w:r>
        <w:rPr>
          <w:i/>
          <w:sz w:val="24"/>
        </w:rPr>
        <w:t>AER</w:t>
      </w:r>
    </w:p>
    <w:p>
      <w:pPr>
        <w:spacing w:before="0"/>
        <w:ind w:left="1919" w:right="0" w:firstLine="0"/>
        <w:jc w:val="both"/>
        <w:rPr>
          <w:sz w:val="24"/>
        </w:rPr>
      </w:pPr>
      <w:r>
        <w:rPr>
          <w:sz w:val="24"/>
        </w:rPr>
        <w:t>must have regard to the </w:t>
      </w:r>
      <w:r>
        <w:rPr>
          <w:i/>
          <w:sz w:val="24"/>
        </w:rPr>
        <w:t>national electricity objective</w:t>
      </w:r>
      <w:r>
        <w:rPr>
          <w:sz w:val="24"/>
        </w:rPr>
        <w:t>.</w:t>
      </w:r>
    </w:p>
    <w:p>
      <w:pPr>
        <w:pStyle w:val="BodyText"/>
        <w:ind w:left="1919" w:right="415"/>
      </w:pPr>
      <w:r>
        <w:rPr/>
        <w:t>(ba) For the purposes of paragraph (b)(1), the </w:t>
      </w:r>
      <w:r>
        <w:rPr>
          <w:i/>
        </w:rPr>
        <w:t>AER </w:t>
      </w:r>
      <w:r>
        <w:rPr/>
        <w:t>must regard the reference to "the national electricity system" in the national electricity objective stated in section 7 of the Law as including a reference to one or more, or all, of the local electricity systems, as the case requires.</w:t>
      </w:r>
    </w:p>
    <w:p>
      <w:pPr>
        <w:pStyle w:val="ListParagraph"/>
        <w:numPr>
          <w:ilvl w:val="0"/>
          <w:numId w:val="358"/>
        </w:numPr>
        <w:tabs>
          <w:tab w:pos="1919" w:val="left" w:leader="none"/>
        </w:tabs>
        <w:spacing w:line="240" w:lineRule="auto" w:before="120" w:after="0"/>
        <w:ind w:left="1918" w:right="0" w:hanging="567"/>
        <w:jc w:val="both"/>
        <w:rPr>
          <w:sz w:val="24"/>
        </w:rPr>
      </w:pPr>
      <w:r>
        <w:rPr>
          <w:sz w:val="24"/>
        </w:rPr>
        <w:t>If</w:t>
      </w:r>
      <w:r>
        <w:rPr>
          <w:spacing w:val="37"/>
          <w:sz w:val="24"/>
        </w:rPr>
        <w:t> </w:t>
      </w:r>
      <w:r>
        <w:rPr>
          <w:sz w:val="24"/>
        </w:rPr>
        <w:t>the</w:t>
      </w:r>
      <w:r>
        <w:rPr>
          <w:spacing w:val="37"/>
          <w:sz w:val="24"/>
        </w:rPr>
        <w:t> </w:t>
      </w:r>
      <w:r>
        <w:rPr>
          <w:i/>
          <w:sz w:val="24"/>
        </w:rPr>
        <w:t>AER</w:t>
      </w:r>
      <w:r>
        <w:rPr>
          <w:i/>
          <w:spacing w:val="37"/>
          <w:sz w:val="24"/>
        </w:rPr>
        <w:t> </w:t>
      </w:r>
      <w:r>
        <w:rPr>
          <w:sz w:val="24"/>
        </w:rPr>
        <w:t>does</w:t>
      </w:r>
      <w:r>
        <w:rPr>
          <w:spacing w:val="38"/>
          <w:sz w:val="24"/>
        </w:rPr>
        <w:t> </w:t>
      </w:r>
      <w:r>
        <w:rPr>
          <w:sz w:val="24"/>
        </w:rPr>
        <w:t>not</w:t>
      </w:r>
      <w:r>
        <w:rPr>
          <w:spacing w:val="37"/>
          <w:sz w:val="24"/>
        </w:rPr>
        <w:t> </w:t>
      </w:r>
      <w:r>
        <w:rPr>
          <w:sz w:val="24"/>
        </w:rPr>
        <w:t>approve</w:t>
      </w:r>
      <w:r>
        <w:rPr>
          <w:spacing w:val="37"/>
          <w:sz w:val="24"/>
        </w:rPr>
        <w:t> </w:t>
      </w:r>
      <w:r>
        <w:rPr>
          <w:sz w:val="24"/>
        </w:rPr>
        <w:t>a</w:t>
      </w:r>
      <w:r>
        <w:rPr>
          <w:spacing w:val="37"/>
          <w:sz w:val="24"/>
        </w:rPr>
        <w:t> </w:t>
      </w:r>
      <w:r>
        <w:rPr>
          <w:sz w:val="24"/>
        </w:rPr>
        <w:t>proposed</w:t>
      </w:r>
      <w:r>
        <w:rPr>
          <w:spacing w:val="38"/>
          <w:sz w:val="24"/>
        </w:rPr>
        <w:t> </w:t>
      </w:r>
      <w:r>
        <w:rPr>
          <w:i/>
          <w:sz w:val="24"/>
        </w:rPr>
        <w:t>model</w:t>
      </w:r>
      <w:r>
        <w:rPr>
          <w:i/>
          <w:spacing w:val="37"/>
          <w:sz w:val="24"/>
        </w:rPr>
        <w:t> </w:t>
      </w:r>
      <w:r>
        <w:rPr>
          <w:i/>
          <w:sz w:val="24"/>
        </w:rPr>
        <w:t>standing</w:t>
      </w:r>
      <w:r>
        <w:rPr>
          <w:i/>
          <w:spacing w:val="37"/>
          <w:sz w:val="24"/>
        </w:rPr>
        <w:t> </w:t>
      </w:r>
      <w:r>
        <w:rPr>
          <w:i/>
          <w:sz w:val="24"/>
        </w:rPr>
        <w:t>offer</w:t>
      </w:r>
      <w:r>
        <w:rPr>
          <w:i/>
          <w:spacing w:val="38"/>
          <w:sz w:val="24"/>
        </w:rPr>
        <w:t> </w:t>
      </w:r>
      <w:r>
        <w:rPr>
          <w:sz w:val="24"/>
        </w:rPr>
        <w:t>to</w:t>
      </w:r>
      <w:r>
        <w:rPr>
          <w:spacing w:val="37"/>
          <w:sz w:val="24"/>
        </w:rPr>
        <w:t> </w:t>
      </w:r>
      <w:r>
        <w:rPr>
          <w:sz w:val="24"/>
        </w:rPr>
        <w:t>provide</w:t>
      </w:r>
    </w:p>
    <w:p>
      <w:pPr>
        <w:spacing w:before="0"/>
        <w:ind w:left="1919" w:right="0" w:firstLine="0"/>
        <w:jc w:val="both"/>
        <w:rPr>
          <w:sz w:val="24"/>
        </w:rPr>
      </w:pPr>
      <w:r>
        <w:rPr>
          <w:i/>
          <w:sz w:val="24"/>
        </w:rPr>
        <w:t>standard connection services</w:t>
      </w:r>
      <w:r>
        <w:rPr>
          <w:sz w:val="24"/>
        </w:rPr>
        <w:t>:</w:t>
      </w:r>
    </w:p>
    <w:p>
      <w:pPr>
        <w:pStyle w:val="ListParagraph"/>
        <w:numPr>
          <w:ilvl w:val="1"/>
          <w:numId w:val="358"/>
        </w:numPr>
        <w:tabs>
          <w:tab w:pos="2486" w:val="left" w:leader="none"/>
        </w:tabs>
        <w:spacing w:line="240" w:lineRule="auto" w:before="120" w:after="0"/>
        <w:ind w:left="2486" w:right="416" w:hanging="567"/>
        <w:jc w:val="both"/>
        <w:rPr>
          <w:sz w:val="24"/>
        </w:rPr>
      </w:pPr>
      <w:r>
        <w:rPr>
          <w:sz w:val="24"/>
        </w:rPr>
        <w:t>the </w:t>
      </w:r>
      <w:r>
        <w:rPr>
          <w:i/>
          <w:sz w:val="24"/>
        </w:rPr>
        <w:t>AER </w:t>
      </w:r>
      <w:r>
        <w:rPr>
          <w:sz w:val="24"/>
        </w:rPr>
        <w:t>must give the </w:t>
      </w:r>
      <w:r>
        <w:rPr>
          <w:i/>
          <w:sz w:val="24"/>
        </w:rPr>
        <w:t>Distribution Network Service Provider </w:t>
      </w:r>
      <w:r>
        <w:rPr>
          <w:sz w:val="24"/>
        </w:rPr>
        <w:t>written reasons for its decision;</w:t>
      </w:r>
      <w:r>
        <w:rPr>
          <w:spacing w:val="-1"/>
          <w:sz w:val="24"/>
        </w:rPr>
        <w:t> </w:t>
      </w:r>
      <w:r>
        <w:rPr>
          <w:sz w:val="24"/>
        </w:rPr>
        <w:t>and</w:t>
      </w:r>
    </w:p>
    <w:p>
      <w:pPr>
        <w:pStyle w:val="ListParagraph"/>
        <w:numPr>
          <w:ilvl w:val="1"/>
          <w:numId w:val="358"/>
        </w:numPr>
        <w:tabs>
          <w:tab w:pos="2486" w:val="left" w:leader="none"/>
        </w:tabs>
        <w:spacing w:line="240" w:lineRule="auto" w:before="120" w:after="0"/>
        <w:ind w:left="2486" w:right="416" w:hanging="567"/>
        <w:jc w:val="both"/>
        <w:rPr>
          <w:sz w:val="24"/>
        </w:rPr>
      </w:pPr>
      <w:r>
        <w:rPr>
          <w:sz w:val="24"/>
        </w:rPr>
        <w:t>the </w:t>
      </w:r>
      <w:r>
        <w:rPr>
          <w:i/>
          <w:sz w:val="24"/>
        </w:rPr>
        <w:t>Distribution Network Service Provider </w:t>
      </w:r>
      <w:r>
        <w:rPr>
          <w:sz w:val="24"/>
        </w:rPr>
        <w:t>may re-submit the proposed </w:t>
      </w:r>
      <w:r>
        <w:rPr>
          <w:i/>
          <w:sz w:val="24"/>
        </w:rPr>
        <w:t>model standing offer </w:t>
      </w:r>
      <w:r>
        <w:rPr>
          <w:sz w:val="24"/>
        </w:rPr>
        <w:t>with appropriate</w:t>
      </w:r>
      <w:r>
        <w:rPr>
          <w:spacing w:val="-7"/>
          <w:sz w:val="24"/>
        </w:rPr>
        <w:t> </w:t>
      </w:r>
      <w:r>
        <w:rPr>
          <w:sz w:val="24"/>
        </w:rPr>
        <w:t>amendments.</w:t>
      </w:r>
    </w:p>
    <w:p>
      <w:pPr>
        <w:pStyle w:val="ListParagraph"/>
        <w:numPr>
          <w:ilvl w:val="0"/>
          <w:numId w:val="358"/>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deal expeditiously with a proposed </w:t>
      </w:r>
      <w:r>
        <w:rPr>
          <w:i/>
          <w:sz w:val="24"/>
        </w:rPr>
        <w:t>model standing offer </w:t>
      </w:r>
      <w:r>
        <w:rPr>
          <w:sz w:val="24"/>
        </w:rPr>
        <w:t>to provide </w:t>
      </w:r>
      <w:r>
        <w:rPr>
          <w:i/>
          <w:sz w:val="24"/>
        </w:rPr>
        <w:t>standard connection</w:t>
      </w:r>
      <w:r>
        <w:rPr>
          <w:i/>
          <w:spacing w:val="-2"/>
          <w:sz w:val="24"/>
        </w:rPr>
        <w:t> </w:t>
      </w:r>
      <w:r>
        <w:rPr>
          <w:i/>
          <w:sz w:val="24"/>
        </w:rPr>
        <w:t>services</w:t>
      </w:r>
      <w:r>
        <w:rPr>
          <w:sz w:val="24"/>
        </w:rPr>
        <w:t>.</w:t>
      </w:r>
    </w:p>
    <w:p>
      <w:pPr>
        <w:pStyle w:val="BodyText"/>
        <w:spacing w:before="4"/>
        <w:ind w:firstLine="0"/>
        <w:jc w:val="left"/>
        <w:rPr>
          <w:sz w:val="31"/>
        </w:rPr>
      </w:pPr>
    </w:p>
    <w:p>
      <w:pPr>
        <w:pStyle w:val="Heading2"/>
        <w:tabs>
          <w:tab w:pos="2485" w:val="left" w:leader="none"/>
        </w:tabs>
      </w:pPr>
      <w:bookmarkStart w:name="_bookmark465" w:id="1146"/>
      <w:bookmarkEnd w:id="1146"/>
      <w:r>
        <w:rPr>
          <w:b w:val="0"/>
        </w:rPr>
      </w:r>
      <w:r>
        <w:rPr/>
        <w:t>Division</w:t>
      </w:r>
      <w:r>
        <w:rPr>
          <w:spacing w:val="-4"/>
        </w:rPr>
        <w:t> </w:t>
      </w:r>
      <w:r>
        <w:rPr/>
        <w:t>3</w:t>
        <w:tab/>
        <w:t>Miscellaneous</w:t>
      </w:r>
    </w:p>
    <w:p>
      <w:pPr>
        <w:pStyle w:val="Heading4"/>
        <w:tabs>
          <w:tab w:pos="1351" w:val="left" w:leader="none"/>
        </w:tabs>
        <w:spacing w:before="240"/>
        <w:ind w:left="218" w:firstLine="0"/>
      </w:pPr>
      <w:bookmarkStart w:name="5A.B.6 Amendment etc of model standing o" w:id="1147"/>
      <w:bookmarkEnd w:id="1147"/>
      <w:r>
        <w:rPr>
          <w:b w:val="0"/>
        </w:rPr>
      </w:r>
      <w:bookmarkStart w:name="_bookmark466" w:id="1148"/>
      <w:bookmarkEnd w:id="1148"/>
      <w:r>
        <w:rPr>
          <w:b w:val="0"/>
        </w:rPr>
      </w:r>
      <w:r>
        <w:rPr/>
        <w:t>5A.B.6</w:t>
        <w:tab/>
        <w:t>Amendment etc of model standing</w:t>
      </w:r>
      <w:r>
        <w:rPr>
          <w:spacing w:val="-4"/>
        </w:rPr>
        <w:t> </w:t>
      </w:r>
      <w:r>
        <w:rPr/>
        <w:t>offer</w:t>
      </w:r>
    </w:p>
    <w:p>
      <w:pPr>
        <w:pStyle w:val="ListParagraph"/>
        <w:numPr>
          <w:ilvl w:val="0"/>
          <w:numId w:val="359"/>
        </w:numPr>
        <w:tabs>
          <w:tab w:pos="1919" w:val="left" w:leader="none"/>
        </w:tabs>
        <w:spacing w:line="240" w:lineRule="auto" w:before="120" w:after="0"/>
        <w:ind w:left="1918" w:right="0" w:hanging="567"/>
        <w:jc w:val="both"/>
        <w:rPr>
          <w:i/>
          <w:sz w:val="24"/>
        </w:rPr>
      </w:pPr>
      <w:r>
        <w:rPr>
          <w:sz w:val="24"/>
        </w:rPr>
        <w:t>A</w:t>
      </w:r>
      <w:r>
        <w:rPr>
          <w:spacing w:val="29"/>
          <w:sz w:val="24"/>
        </w:rPr>
        <w:t> </w:t>
      </w:r>
      <w:r>
        <w:rPr>
          <w:i/>
          <w:sz w:val="24"/>
        </w:rPr>
        <w:t>Distribution</w:t>
      </w:r>
      <w:r>
        <w:rPr>
          <w:i/>
          <w:spacing w:val="29"/>
          <w:sz w:val="24"/>
        </w:rPr>
        <w:t> </w:t>
      </w:r>
      <w:r>
        <w:rPr>
          <w:i/>
          <w:sz w:val="24"/>
        </w:rPr>
        <w:t>Network</w:t>
      </w:r>
      <w:r>
        <w:rPr>
          <w:i/>
          <w:spacing w:val="29"/>
          <w:sz w:val="24"/>
        </w:rPr>
        <w:t> </w:t>
      </w:r>
      <w:r>
        <w:rPr>
          <w:i/>
          <w:sz w:val="24"/>
        </w:rPr>
        <w:t>Service</w:t>
      </w:r>
      <w:r>
        <w:rPr>
          <w:i/>
          <w:spacing w:val="29"/>
          <w:sz w:val="24"/>
        </w:rPr>
        <w:t> </w:t>
      </w:r>
      <w:r>
        <w:rPr>
          <w:i/>
          <w:sz w:val="24"/>
        </w:rPr>
        <w:t>Provider</w:t>
      </w:r>
      <w:r>
        <w:rPr>
          <w:i/>
          <w:spacing w:val="30"/>
          <w:sz w:val="24"/>
        </w:rPr>
        <w:t> </w:t>
      </w:r>
      <w:r>
        <w:rPr>
          <w:sz w:val="24"/>
        </w:rPr>
        <w:t>may</w:t>
      </w:r>
      <w:r>
        <w:rPr>
          <w:spacing w:val="30"/>
          <w:sz w:val="24"/>
        </w:rPr>
        <w:t> </w:t>
      </w:r>
      <w:r>
        <w:rPr>
          <w:sz w:val="24"/>
        </w:rPr>
        <w:t>submit,</w:t>
      </w:r>
      <w:r>
        <w:rPr>
          <w:spacing w:val="29"/>
          <w:sz w:val="24"/>
        </w:rPr>
        <w:t> </w:t>
      </w:r>
      <w:r>
        <w:rPr>
          <w:sz w:val="24"/>
        </w:rPr>
        <w:t>for</w:t>
      </w:r>
      <w:r>
        <w:rPr>
          <w:spacing w:val="29"/>
          <w:sz w:val="24"/>
        </w:rPr>
        <w:t> </w:t>
      </w:r>
      <w:r>
        <w:rPr>
          <w:sz w:val="24"/>
        </w:rPr>
        <w:t>the</w:t>
      </w:r>
      <w:r>
        <w:rPr>
          <w:spacing w:val="31"/>
          <w:sz w:val="24"/>
        </w:rPr>
        <w:t> </w:t>
      </w:r>
      <w:r>
        <w:rPr>
          <w:i/>
          <w:sz w:val="24"/>
        </w:rPr>
        <w:t>AER's</w:t>
      </w:r>
    </w:p>
    <w:p>
      <w:pPr>
        <w:pStyle w:val="BodyText"/>
        <w:spacing w:before="0"/>
        <w:ind w:left="1919" w:firstLine="0"/>
      </w:pPr>
      <w:r>
        <w:rPr/>
        <w:t>approval, a proposal:</w:t>
      </w:r>
    </w:p>
    <w:p>
      <w:pPr>
        <w:spacing w:after="0"/>
        <w:sectPr>
          <w:pgSz w:w="11910" w:h="16840"/>
          <w:pgMar w:header="686" w:footer="637" w:top="1320" w:bottom="820" w:left="1200" w:right="1000"/>
        </w:sectPr>
      </w:pPr>
    </w:p>
    <w:p>
      <w:pPr>
        <w:pStyle w:val="ListParagraph"/>
        <w:numPr>
          <w:ilvl w:val="1"/>
          <w:numId w:val="359"/>
        </w:numPr>
        <w:tabs>
          <w:tab w:pos="2486" w:val="left" w:leader="none"/>
        </w:tabs>
        <w:spacing w:line="240" w:lineRule="auto" w:before="83" w:after="0"/>
        <w:ind w:left="2485" w:right="0" w:hanging="567"/>
        <w:jc w:val="both"/>
        <w:rPr>
          <w:sz w:val="24"/>
        </w:rPr>
      </w:pPr>
      <w:r>
        <w:rPr>
          <w:sz w:val="24"/>
        </w:rPr>
        <w:t>for the amendment or substitution of a </w:t>
      </w:r>
      <w:r>
        <w:rPr>
          <w:i/>
          <w:sz w:val="24"/>
        </w:rPr>
        <w:t>model standing offer </w:t>
      </w:r>
      <w:r>
        <w:rPr>
          <w:sz w:val="24"/>
        </w:rPr>
        <w:t>to</w:t>
      </w:r>
      <w:r>
        <w:rPr>
          <w:spacing w:val="18"/>
          <w:sz w:val="24"/>
        </w:rPr>
        <w:t> </w:t>
      </w:r>
      <w:r>
        <w:rPr>
          <w:sz w:val="24"/>
        </w:rPr>
        <w:t>provide</w:t>
      </w:r>
    </w:p>
    <w:p>
      <w:pPr>
        <w:spacing w:before="0"/>
        <w:ind w:left="2486" w:right="0" w:firstLine="0"/>
        <w:jc w:val="both"/>
        <w:rPr>
          <w:sz w:val="24"/>
        </w:rPr>
      </w:pPr>
      <w:r>
        <w:rPr>
          <w:i/>
          <w:sz w:val="24"/>
        </w:rPr>
        <w:t>basic connection services</w:t>
      </w:r>
      <w:r>
        <w:rPr>
          <w:sz w:val="24"/>
        </w:rPr>
        <w:t>; or</w:t>
      </w:r>
    </w:p>
    <w:p>
      <w:pPr>
        <w:pStyle w:val="ListParagraph"/>
        <w:numPr>
          <w:ilvl w:val="1"/>
          <w:numId w:val="359"/>
        </w:numPr>
        <w:tabs>
          <w:tab w:pos="2486" w:val="left" w:leader="none"/>
        </w:tabs>
        <w:spacing w:line="240" w:lineRule="auto" w:before="120" w:after="0"/>
        <w:ind w:left="2486" w:right="416" w:hanging="567"/>
        <w:jc w:val="both"/>
        <w:rPr>
          <w:sz w:val="24"/>
        </w:rPr>
      </w:pPr>
      <w:r>
        <w:rPr>
          <w:sz w:val="24"/>
        </w:rPr>
        <w:t>for the amendment, substitution or revocation of a </w:t>
      </w:r>
      <w:r>
        <w:rPr>
          <w:i/>
          <w:sz w:val="24"/>
        </w:rPr>
        <w:t>model standing </w:t>
      </w:r>
      <w:r>
        <w:rPr>
          <w:i/>
          <w:sz w:val="24"/>
        </w:rPr>
        <w:t>offer </w:t>
      </w:r>
      <w:r>
        <w:rPr>
          <w:sz w:val="24"/>
        </w:rPr>
        <w:t>to provide </w:t>
      </w:r>
      <w:r>
        <w:rPr>
          <w:i/>
          <w:sz w:val="24"/>
        </w:rPr>
        <w:t>standard connection</w:t>
      </w:r>
      <w:r>
        <w:rPr>
          <w:i/>
          <w:spacing w:val="-3"/>
          <w:sz w:val="24"/>
        </w:rPr>
        <w:t> </w:t>
      </w:r>
      <w:r>
        <w:rPr>
          <w:i/>
          <w:sz w:val="24"/>
        </w:rPr>
        <w:t>services</w:t>
      </w:r>
      <w:r>
        <w:rPr>
          <w:sz w:val="24"/>
        </w:rPr>
        <w:t>.</w:t>
      </w:r>
    </w:p>
    <w:p>
      <w:pPr>
        <w:pStyle w:val="ListParagraph"/>
        <w:numPr>
          <w:ilvl w:val="0"/>
          <w:numId w:val="359"/>
        </w:numPr>
        <w:tabs>
          <w:tab w:pos="1919" w:val="left" w:leader="none"/>
        </w:tabs>
        <w:spacing w:line="240" w:lineRule="auto" w:before="120" w:after="0"/>
        <w:ind w:left="1919" w:right="415" w:hanging="567"/>
        <w:jc w:val="both"/>
        <w:rPr>
          <w:sz w:val="24"/>
        </w:rPr>
      </w:pPr>
      <w:r>
        <w:rPr>
          <w:sz w:val="24"/>
        </w:rPr>
        <w:t>In deciding whether to approve a proposal submitted for its approval under this clause, the </w:t>
      </w:r>
      <w:r>
        <w:rPr>
          <w:i/>
          <w:sz w:val="24"/>
        </w:rPr>
        <w:t>AER </w:t>
      </w:r>
      <w:r>
        <w:rPr>
          <w:sz w:val="24"/>
        </w:rPr>
        <w:t>must, so far as relevant, apply the same principles and have regard to the same matters as are relevant to the approval of a proposed </w:t>
      </w:r>
      <w:r>
        <w:rPr>
          <w:i/>
          <w:sz w:val="24"/>
        </w:rPr>
        <w:t>model standing offer </w:t>
      </w:r>
      <w:r>
        <w:rPr>
          <w:sz w:val="24"/>
        </w:rPr>
        <w:t>to provide </w:t>
      </w:r>
      <w:r>
        <w:rPr>
          <w:i/>
          <w:sz w:val="24"/>
        </w:rPr>
        <w:t>basic connection services </w:t>
      </w:r>
      <w:r>
        <w:rPr>
          <w:sz w:val="24"/>
        </w:rPr>
        <w:t>or </w:t>
      </w:r>
      <w:r>
        <w:rPr>
          <w:i/>
          <w:sz w:val="24"/>
        </w:rPr>
        <w:t>standard </w:t>
      </w:r>
      <w:r>
        <w:rPr>
          <w:i/>
          <w:sz w:val="24"/>
        </w:rPr>
        <w:t>connection</w:t>
      </w:r>
      <w:r>
        <w:rPr>
          <w:i/>
          <w:spacing w:val="-1"/>
          <w:sz w:val="24"/>
        </w:rPr>
        <w:t> </w:t>
      </w:r>
      <w:r>
        <w:rPr>
          <w:i/>
          <w:sz w:val="24"/>
        </w:rPr>
        <w:t>services</w:t>
      </w:r>
      <w:r>
        <w:rPr>
          <w:sz w:val="24"/>
        </w:rPr>
        <w:t>.</w:t>
      </w:r>
    </w:p>
    <w:p>
      <w:pPr>
        <w:pStyle w:val="ListParagraph"/>
        <w:numPr>
          <w:ilvl w:val="0"/>
          <w:numId w:val="359"/>
        </w:numPr>
        <w:tabs>
          <w:tab w:pos="1919" w:val="left" w:leader="none"/>
        </w:tabs>
        <w:spacing w:line="240" w:lineRule="auto" w:before="120" w:after="0"/>
        <w:ind w:left="1919" w:right="415" w:hanging="567"/>
        <w:jc w:val="both"/>
        <w:rPr>
          <w:sz w:val="24"/>
        </w:rPr>
      </w:pPr>
      <w:r>
        <w:rPr>
          <w:sz w:val="24"/>
        </w:rPr>
        <w:t>The amendment, substitution or revocation of a </w:t>
      </w:r>
      <w:r>
        <w:rPr>
          <w:i/>
          <w:sz w:val="24"/>
        </w:rPr>
        <w:t>model standing offer </w:t>
      </w:r>
      <w:r>
        <w:rPr>
          <w:sz w:val="24"/>
        </w:rPr>
        <w:t>takes effect on the date of the </w:t>
      </w:r>
      <w:r>
        <w:rPr>
          <w:i/>
          <w:sz w:val="24"/>
        </w:rPr>
        <w:t>AER's </w:t>
      </w:r>
      <w:r>
        <w:rPr>
          <w:sz w:val="24"/>
        </w:rPr>
        <w:t>approval or a later date fixed by the </w:t>
      </w:r>
      <w:r>
        <w:rPr>
          <w:i/>
          <w:sz w:val="24"/>
        </w:rPr>
        <w:t>AER </w:t>
      </w:r>
      <w:r>
        <w:rPr>
          <w:sz w:val="24"/>
        </w:rPr>
        <w:t>in its approval.</w:t>
      </w:r>
    </w:p>
    <w:p>
      <w:pPr>
        <w:pStyle w:val="ListParagraph"/>
        <w:numPr>
          <w:ilvl w:val="0"/>
          <w:numId w:val="359"/>
        </w:numPr>
        <w:tabs>
          <w:tab w:pos="1919" w:val="left" w:leader="none"/>
        </w:tabs>
        <w:spacing w:line="240" w:lineRule="auto" w:before="120" w:after="0"/>
        <w:ind w:left="1918" w:right="0" w:hanging="567"/>
        <w:jc w:val="both"/>
        <w:rPr>
          <w:sz w:val="24"/>
        </w:rPr>
      </w:pPr>
      <w:r>
        <w:rPr>
          <w:sz w:val="24"/>
        </w:rPr>
        <w:t>If the </w:t>
      </w:r>
      <w:r>
        <w:rPr>
          <w:i/>
          <w:sz w:val="24"/>
        </w:rPr>
        <w:t>AER </w:t>
      </w:r>
      <w:r>
        <w:rPr>
          <w:sz w:val="24"/>
        </w:rPr>
        <w:t>does not approve a proposal submitted under paragraph</w:t>
      </w:r>
      <w:r>
        <w:rPr>
          <w:spacing w:val="-4"/>
          <w:sz w:val="24"/>
        </w:rPr>
        <w:t> </w:t>
      </w:r>
      <w:r>
        <w:rPr>
          <w:sz w:val="24"/>
        </w:rPr>
        <w:t>(a):</w:t>
      </w:r>
    </w:p>
    <w:p>
      <w:pPr>
        <w:pStyle w:val="ListParagraph"/>
        <w:numPr>
          <w:ilvl w:val="1"/>
          <w:numId w:val="359"/>
        </w:numPr>
        <w:tabs>
          <w:tab w:pos="2486" w:val="left" w:leader="none"/>
        </w:tabs>
        <w:spacing w:line="240" w:lineRule="auto" w:before="120" w:after="0"/>
        <w:ind w:left="2486" w:right="416" w:hanging="567"/>
        <w:jc w:val="both"/>
        <w:rPr>
          <w:sz w:val="24"/>
        </w:rPr>
      </w:pPr>
      <w:r>
        <w:rPr>
          <w:sz w:val="24"/>
        </w:rPr>
        <w:t>the </w:t>
      </w:r>
      <w:r>
        <w:rPr>
          <w:i/>
          <w:sz w:val="24"/>
        </w:rPr>
        <w:t>AER </w:t>
      </w:r>
      <w:r>
        <w:rPr>
          <w:sz w:val="24"/>
        </w:rPr>
        <w:t>must give the </w:t>
      </w:r>
      <w:r>
        <w:rPr>
          <w:i/>
          <w:sz w:val="24"/>
        </w:rPr>
        <w:t>Distribution Network Service Provider </w:t>
      </w:r>
      <w:r>
        <w:rPr>
          <w:sz w:val="24"/>
        </w:rPr>
        <w:t>written reasons for its decision;</w:t>
      </w:r>
      <w:r>
        <w:rPr>
          <w:spacing w:val="-1"/>
          <w:sz w:val="24"/>
        </w:rPr>
        <w:t> </w:t>
      </w:r>
      <w:r>
        <w:rPr>
          <w:sz w:val="24"/>
        </w:rPr>
        <w:t>and</w:t>
      </w:r>
    </w:p>
    <w:p>
      <w:pPr>
        <w:pStyle w:val="ListParagraph"/>
        <w:numPr>
          <w:ilvl w:val="1"/>
          <w:numId w:val="359"/>
        </w:numPr>
        <w:tabs>
          <w:tab w:pos="2486" w:val="left" w:leader="none"/>
        </w:tabs>
        <w:spacing w:line="240" w:lineRule="auto" w:before="120" w:after="0"/>
        <w:ind w:left="2486" w:right="416" w:hanging="567"/>
        <w:jc w:val="both"/>
        <w:rPr>
          <w:sz w:val="24"/>
        </w:rPr>
      </w:pPr>
      <w:r>
        <w:rPr>
          <w:sz w:val="24"/>
        </w:rPr>
        <w:t>the </w:t>
      </w:r>
      <w:r>
        <w:rPr>
          <w:i/>
          <w:sz w:val="24"/>
        </w:rPr>
        <w:t>Distribution Network Service Provider </w:t>
      </w:r>
      <w:r>
        <w:rPr>
          <w:sz w:val="24"/>
        </w:rPr>
        <w:t>may re-submit the proposal with appropriate</w:t>
      </w:r>
      <w:r>
        <w:rPr>
          <w:spacing w:val="-2"/>
          <w:sz w:val="24"/>
        </w:rPr>
        <w:t> </w:t>
      </w:r>
      <w:r>
        <w:rPr>
          <w:sz w:val="24"/>
        </w:rPr>
        <w:t>amendments.</w:t>
      </w:r>
    </w:p>
    <w:p>
      <w:pPr>
        <w:pStyle w:val="ListParagraph"/>
        <w:numPr>
          <w:ilvl w:val="0"/>
          <w:numId w:val="359"/>
        </w:numPr>
        <w:tabs>
          <w:tab w:pos="1919" w:val="left" w:leader="none"/>
        </w:tabs>
        <w:spacing w:line="240" w:lineRule="auto" w:before="120" w:after="0"/>
        <w:ind w:left="1919" w:right="417" w:hanging="567"/>
        <w:jc w:val="both"/>
        <w:rPr>
          <w:sz w:val="24"/>
        </w:rPr>
      </w:pPr>
      <w:r>
        <w:rPr>
          <w:sz w:val="24"/>
        </w:rPr>
        <w:t>The amendment, substitution or revocation of a </w:t>
      </w:r>
      <w:r>
        <w:rPr>
          <w:i/>
          <w:sz w:val="24"/>
        </w:rPr>
        <w:t>model standing offer </w:t>
      </w:r>
      <w:r>
        <w:rPr>
          <w:sz w:val="24"/>
        </w:rPr>
        <w:t>does not affect the validity or effect</w:t>
      </w:r>
      <w:r>
        <w:rPr>
          <w:spacing w:val="-2"/>
          <w:sz w:val="24"/>
        </w:rPr>
        <w:t> </w:t>
      </w:r>
      <w:r>
        <w:rPr>
          <w:sz w:val="24"/>
        </w:rPr>
        <w:t>of:</w:t>
      </w:r>
    </w:p>
    <w:p>
      <w:pPr>
        <w:pStyle w:val="ListParagraph"/>
        <w:numPr>
          <w:ilvl w:val="1"/>
          <w:numId w:val="359"/>
        </w:numPr>
        <w:tabs>
          <w:tab w:pos="2486" w:val="left" w:leader="none"/>
        </w:tabs>
        <w:spacing w:line="240" w:lineRule="auto" w:before="120" w:after="0"/>
        <w:ind w:left="2486" w:right="415" w:hanging="567"/>
        <w:jc w:val="both"/>
        <w:rPr>
          <w:sz w:val="24"/>
        </w:rPr>
      </w:pPr>
      <w:r>
        <w:rPr>
          <w:sz w:val="24"/>
        </w:rPr>
        <w:t>a </w:t>
      </w:r>
      <w:r>
        <w:rPr>
          <w:i/>
          <w:sz w:val="24"/>
        </w:rPr>
        <w:t>connection offer </w:t>
      </w:r>
      <w:r>
        <w:rPr>
          <w:sz w:val="24"/>
        </w:rPr>
        <w:t>made before the amendment, substitution or revocation takes effect;</w:t>
      </w:r>
      <w:r>
        <w:rPr>
          <w:spacing w:val="-1"/>
          <w:sz w:val="24"/>
        </w:rPr>
        <w:t> </w:t>
      </w:r>
      <w:r>
        <w:rPr>
          <w:sz w:val="24"/>
        </w:rPr>
        <w:t>or</w:t>
      </w:r>
    </w:p>
    <w:p>
      <w:pPr>
        <w:pStyle w:val="ListParagraph"/>
        <w:numPr>
          <w:ilvl w:val="1"/>
          <w:numId w:val="359"/>
        </w:numPr>
        <w:tabs>
          <w:tab w:pos="2486" w:val="left" w:leader="none"/>
        </w:tabs>
        <w:spacing w:line="240" w:lineRule="auto" w:before="120" w:after="0"/>
        <w:ind w:left="2485" w:right="0" w:hanging="567"/>
        <w:jc w:val="both"/>
        <w:rPr>
          <w:sz w:val="24"/>
        </w:rPr>
      </w:pPr>
      <w:r>
        <w:rPr>
          <w:sz w:val="24"/>
        </w:rPr>
        <w:t>a </w:t>
      </w:r>
      <w:r>
        <w:rPr>
          <w:i/>
          <w:sz w:val="24"/>
        </w:rPr>
        <w:t>connection contract </w:t>
      </w:r>
      <w:r>
        <w:rPr>
          <w:sz w:val="24"/>
        </w:rPr>
        <w:t>formed on the basis of such an</w:t>
      </w:r>
      <w:r>
        <w:rPr>
          <w:spacing w:val="-4"/>
          <w:sz w:val="24"/>
        </w:rPr>
        <w:t> </w:t>
      </w:r>
      <w:r>
        <w:rPr>
          <w:sz w:val="24"/>
        </w:rPr>
        <w:t>offer.</w:t>
      </w:r>
    </w:p>
    <w:p>
      <w:pPr>
        <w:pStyle w:val="ListParagraph"/>
        <w:numPr>
          <w:ilvl w:val="0"/>
          <w:numId w:val="359"/>
        </w:numPr>
        <w:tabs>
          <w:tab w:pos="1920" w:val="left" w:leader="none"/>
        </w:tabs>
        <w:spacing w:line="240" w:lineRule="auto" w:before="120" w:after="0"/>
        <w:ind w:left="1919" w:right="416" w:hanging="567"/>
        <w:jc w:val="both"/>
        <w:rPr>
          <w:sz w:val="24"/>
        </w:rPr>
      </w:pPr>
      <w:r>
        <w:rPr>
          <w:sz w:val="24"/>
        </w:rPr>
        <w:t>The </w:t>
      </w:r>
      <w:r>
        <w:rPr>
          <w:i/>
          <w:sz w:val="24"/>
        </w:rPr>
        <w:t>AER </w:t>
      </w:r>
      <w:r>
        <w:rPr>
          <w:sz w:val="24"/>
        </w:rPr>
        <w:t>must deal expeditiously with a proposal for the amendment, substitution or revocation of a </w:t>
      </w:r>
      <w:r>
        <w:rPr>
          <w:i/>
          <w:sz w:val="24"/>
        </w:rPr>
        <w:t>model standing</w:t>
      </w:r>
      <w:r>
        <w:rPr>
          <w:i/>
          <w:spacing w:val="-5"/>
          <w:sz w:val="24"/>
        </w:rPr>
        <w:t> </w:t>
      </w:r>
      <w:r>
        <w:rPr>
          <w:i/>
          <w:sz w:val="24"/>
        </w:rPr>
        <w:t>offer</w:t>
      </w:r>
      <w:r>
        <w:rPr>
          <w:sz w:val="24"/>
        </w:rPr>
        <w:t>.</w:t>
      </w:r>
    </w:p>
    <w:p>
      <w:pPr>
        <w:pStyle w:val="ListParagraph"/>
        <w:numPr>
          <w:ilvl w:val="0"/>
          <w:numId w:val="359"/>
        </w:numPr>
        <w:tabs>
          <w:tab w:pos="1919" w:val="left" w:leader="none"/>
        </w:tabs>
        <w:spacing w:line="240" w:lineRule="auto" w:before="120" w:after="0"/>
        <w:ind w:left="1919" w:right="415" w:hanging="567"/>
        <w:jc w:val="both"/>
        <w:rPr>
          <w:sz w:val="24"/>
        </w:rPr>
      </w:pPr>
      <w:r>
        <w:rPr>
          <w:sz w:val="24"/>
        </w:rPr>
        <w:t>If the </w:t>
      </w:r>
      <w:r>
        <w:rPr>
          <w:i/>
          <w:sz w:val="24"/>
        </w:rPr>
        <w:t>AER</w:t>
      </w:r>
      <w:r>
        <w:rPr>
          <w:sz w:val="24"/>
        </w:rPr>
        <w:t>, after making a distribution determination, considers that an existing </w:t>
      </w:r>
      <w:r>
        <w:rPr>
          <w:i/>
          <w:sz w:val="24"/>
        </w:rPr>
        <w:t>model standing offer </w:t>
      </w:r>
      <w:r>
        <w:rPr>
          <w:sz w:val="24"/>
        </w:rPr>
        <w:t>to provide </w:t>
      </w:r>
      <w:r>
        <w:rPr>
          <w:i/>
          <w:sz w:val="24"/>
        </w:rPr>
        <w:t>basic connection services </w:t>
      </w:r>
      <w:r>
        <w:rPr>
          <w:sz w:val="24"/>
        </w:rPr>
        <w:t>or </w:t>
      </w:r>
      <w:r>
        <w:rPr>
          <w:i/>
          <w:sz w:val="24"/>
        </w:rPr>
        <w:t>standard connection services </w:t>
      </w:r>
      <w:r>
        <w:rPr>
          <w:sz w:val="24"/>
        </w:rPr>
        <w:t>may be inconsistent with the </w:t>
      </w:r>
      <w:r>
        <w:rPr>
          <w:i/>
          <w:sz w:val="24"/>
        </w:rPr>
        <w:t>Distribution </w:t>
      </w:r>
      <w:r>
        <w:rPr>
          <w:i/>
          <w:sz w:val="24"/>
        </w:rPr>
        <w:t>Network Service Provider's </w:t>
      </w:r>
      <w:r>
        <w:rPr>
          <w:sz w:val="24"/>
        </w:rPr>
        <w:t>distribution determination (including the </w:t>
      </w:r>
      <w:r>
        <w:rPr>
          <w:i/>
          <w:sz w:val="24"/>
        </w:rPr>
        <w:t>connection policy</w:t>
      </w:r>
      <w:r>
        <w:rPr>
          <w:sz w:val="24"/>
        </w:rPr>
        <w:t>), the </w:t>
      </w:r>
      <w:r>
        <w:rPr>
          <w:i/>
          <w:sz w:val="24"/>
        </w:rPr>
        <w:t>AER </w:t>
      </w:r>
      <w:r>
        <w:rPr>
          <w:sz w:val="24"/>
        </w:rPr>
        <w:t>may require the </w:t>
      </w:r>
      <w:r>
        <w:rPr>
          <w:i/>
          <w:sz w:val="24"/>
        </w:rPr>
        <w:t>Distribution Network Service </w:t>
      </w:r>
      <w:r>
        <w:rPr>
          <w:i/>
          <w:sz w:val="24"/>
        </w:rPr>
        <w:t>Provider </w:t>
      </w:r>
      <w:r>
        <w:rPr>
          <w:sz w:val="24"/>
        </w:rPr>
        <w:t>to submit a proposal under paragraph (a) to bring the </w:t>
      </w:r>
      <w:r>
        <w:rPr>
          <w:i/>
          <w:sz w:val="24"/>
        </w:rPr>
        <w:t>model </w:t>
      </w:r>
      <w:r>
        <w:rPr>
          <w:i/>
          <w:sz w:val="24"/>
        </w:rPr>
        <w:t>standing offer </w:t>
      </w:r>
      <w:r>
        <w:rPr>
          <w:sz w:val="24"/>
        </w:rPr>
        <w:t>into consistency with the distribution</w:t>
      </w:r>
      <w:r>
        <w:rPr>
          <w:spacing w:val="-5"/>
          <w:sz w:val="24"/>
        </w:rPr>
        <w:t> </w:t>
      </w:r>
      <w:r>
        <w:rPr>
          <w:sz w:val="24"/>
        </w:rPr>
        <w:t>determination.</w:t>
      </w:r>
    </w:p>
    <w:p>
      <w:pPr>
        <w:pStyle w:val="BodyText"/>
        <w:spacing w:before="10"/>
        <w:ind w:firstLine="0"/>
        <w:jc w:val="left"/>
        <w:rPr>
          <w:sz w:val="20"/>
        </w:rPr>
      </w:pPr>
    </w:p>
    <w:p>
      <w:pPr>
        <w:pStyle w:val="Heading4"/>
        <w:tabs>
          <w:tab w:pos="1351" w:val="left" w:leader="none"/>
        </w:tabs>
        <w:ind w:left="218" w:firstLine="0"/>
      </w:pPr>
      <w:bookmarkStart w:name="5A.B.7 Publication of model standing off" w:id="1149"/>
      <w:bookmarkEnd w:id="1149"/>
      <w:r>
        <w:rPr>
          <w:b w:val="0"/>
        </w:rPr>
      </w:r>
      <w:bookmarkStart w:name="_bookmark467" w:id="1150"/>
      <w:bookmarkEnd w:id="1150"/>
      <w:r>
        <w:rPr>
          <w:b w:val="0"/>
        </w:rPr>
      </w:r>
      <w:r>
        <w:rPr/>
        <w:t>5A.B.7</w:t>
        <w:tab/>
        <w:t>Publication of model standing</w:t>
      </w:r>
      <w:r>
        <w:rPr>
          <w:spacing w:val="-2"/>
        </w:rPr>
        <w:t> </w:t>
      </w:r>
      <w:r>
        <w:rPr/>
        <w:t>offers</w:t>
      </w:r>
    </w:p>
    <w:p>
      <w:pPr>
        <w:spacing w:before="120"/>
        <w:ind w:left="1352" w:right="416" w:firstLine="0"/>
        <w:jc w:val="both"/>
        <w:rPr>
          <w:sz w:val="24"/>
        </w:rPr>
      </w:pPr>
      <w:r>
        <w:rPr>
          <w:sz w:val="24"/>
        </w:rPr>
        <w:t>A </w:t>
      </w:r>
      <w:r>
        <w:rPr>
          <w:i/>
          <w:sz w:val="24"/>
        </w:rPr>
        <w:t>Distribution Network Service Provider </w:t>
      </w:r>
      <w:r>
        <w:rPr>
          <w:sz w:val="24"/>
        </w:rPr>
        <w:t>must publish, on its website, each of its </w:t>
      </w:r>
      <w:r>
        <w:rPr>
          <w:i/>
          <w:sz w:val="24"/>
        </w:rPr>
        <w:t>model standing offers </w:t>
      </w:r>
      <w:r>
        <w:rPr>
          <w:sz w:val="24"/>
        </w:rPr>
        <w:t>to provide </w:t>
      </w:r>
      <w:r>
        <w:rPr>
          <w:i/>
          <w:sz w:val="24"/>
        </w:rPr>
        <w:t>basic connection services </w:t>
      </w:r>
      <w:r>
        <w:rPr>
          <w:sz w:val="24"/>
        </w:rPr>
        <w:t>or </w:t>
      </w:r>
      <w:r>
        <w:rPr>
          <w:i/>
          <w:sz w:val="24"/>
        </w:rPr>
        <w:t>standard connection </w:t>
      </w:r>
      <w:r>
        <w:rPr>
          <w:i/>
          <w:sz w:val="24"/>
        </w:rPr>
        <w:t>services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C Negotiated connection" w:id="1151"/>
      <w:bookmarkEnd w:id="1151"/>
      <w:r>
        <w:rPr>
          <w:b w:val="0"/>
        </w:rPr>
      </w:r>
      <w:bookmarkStart w:name="_bookmark468" w:id="1152"/>
      <w:bookmarkEnd w:id="1152"/>
      <w:r>
        <w:rPr>
          <w:b w:val="0"/>
        </w:rPr>
      </w:r>
      <w:r>
        <w:rPr>
          <w:shd w:fill="D9D9D9" w:color="auto" w:val="clear"/>
        </w:rPr>
        <w:t>Part C</w:t>
        <w:tab/>
        <w:t>Negotiated</w:t>
      </w:r>
      <w:r>
        <w:rPr>
          <w:spacing w:val="-19"/>
          <w:shd w:fill="D9D9D9" w:color="auto" w:val="clear"/>
        </w:rPr>
        <w:t> </w:t>
      </w:r>
      <w:r>
        <w:rPr>
          <w:shd w:fill="D9D9D9" w:color="auto" w:val="clear"/>
        </w:rPr>
        <w:t>connection</w:t>
        <w:tab/>
      </w:r>
    </w:p>
    <w:p>
      <w:pPr>
        <w:pStyle w:val="Heading4"/>
        <w:tabs>
          <w:tab w:pos="1351" w:val="left" w:leader="none"/>
        </w:tabs>
        <w:spacing w:before="240"/>
        <w:ind w:left="218" w:firstLine="0"/>
      </w:pPr>
      <w:bookmarkStart w:name=" " w:id="1153"/>
      <w:bookmarkEnd w:id="1153"/>
      <w:r>
        <w:rPr>
          <w:b w:val="0"/>
        </w:rPr>
      </w:r>
      <w:bookmarkStart w:name="5A.C.1 Negotiation of connection" w:id="1154"/>
      <w:bookmarkEnd w:id="1154"/>
      <w:r>
        <w:rPr>
          <w:b w:val="0"/>
        </w:rPr>
      </w:r>
      <w:bookmarkStart w:name="_bookmark469" w:id="1155"/>
      <w:bookmarkEnd w:id="1155"/>
      <w:r>
        <w:rPr>
          <w:b w:val="0"/>
        </w:rPr>
      </w:r>
      <w:r>
        <w:rPr/>
        <w:t>5A.C.1</w:t>
        <w:tab/>
        <w:t>Negotiation of</w:t>
      </w:r>
      <w:r>
        <w:rPr>
          <w:spacing w:val="-2"/>
        </w:rPr>
        <w:t> </w:t>
      </w:r>
      <w:r>
        <w:rPr/>
        <w:t>connection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Clause 5A.C.1(c) and (d) has no effect in this jurisdiction until the </w:t>
      </w:r>
      <w:r>
        <w:rPr>
          <w:i/>
          <w:sz w:val="20"/>
        </w:rPr>
        <w:t>National Energy Retail Law </w:t>
      </w:r>
      <w:r>
        <w:rPr>
          <w:sz w:val="20"/>
        </w:rPr>
        <w:t>is applied as a law of this jurisdiction (see regulation 5A of the </w:t>
      </w:r>
      <w:r>
        <w:rPr>
          <w:i/>
          <w:sz w:val="20"/>
        </w:rPr>
        <w:t>National Electricity (Northern </w:t>
      </w:r>
      <w:r>
        <w:rPr>
          <w:i/>
          <w:sz w:val="20"/>
        </w:rPr>
        <w:t>Territory) (National Uniform Legislation) (Modification) Regulations)</w:t>
      </w:r>
      <w:r>
        <w:rPr>
          <w:sz w:val="20"/>
        </w:rPr>
        <w:t>.</w:t>
      </w:r>
    </w:p>
    <w:p>
      <w:pPr>
        <w:spacing w:after="0"/>
        <w:jc w:val="both"/>
        <w:rPr>
          <w:sz w:val="20"/>
        </w:rPr>
        <w:sectPr>
          <w:pgSz w:w="11910" w:h="16840"/>
          <w:pgMar w:header="686" w:footer="637" w:top="1320" w:bottom="820" w:left="1200" w:right="1000"/>
        </w:sectPr>
      </w:pPr>
    </w:p>
    <w:p>
      <w:pPr>
        <w:pStyle w:val="ListParagraph"/>
        <w:numPr>
          <w:ilvl w:val="0"/>
          <w:numId w:val="360"/>
        </w:numPr>
        <w:tabs>
          <w:tab w:pos="1919" w:val="left" w:leader="none"/>
        </w:tabs>
        <w:spacing w:line="240" w:lineRule="auto" w:before="83" w:after="0"/>
        <w:ind w:left="1919" w:right="416" w:hanging="567"/>
        <w:jc w:val="both"/>
        <w:rPr>
          <w:sz w:val="24"/>
        </w:rPr>
      </w:pPr>
      <w:r>
        <w:rPr>
          <w:sz w:val="24"/>
        </w:rPr>
        <w:t>A </w:t>
      </w:r>
      <w:r>
        <w:rPr>
          <w:i/>
          <w:sz w:val="24"/>
        </w:rPr>
        <w:t>connection applicant </w:t>
      </w:r>
      <w:r>
        <w:rPr>
          <w:sz w:val="24"/>
        </w:rPr>
        <w:t>and a </w:t>
      </w:r>
      <w:r>
        <w:rPr>
          <w:i/>
          <w:sz w:val="24"/>
        </w:rPr>
        <w:t>Distribution Network Service Provider </w:t>
      </w:r>
      <w:r>
        <w:rPr>
          <w:sz w:val="24"/>
        </w:rPr>
        <w:t>may negotiate a </w:t>
      </w:r>
      <w:r>
        <w:rPr>
          <w:i/>
          <w:sz w:val="24"/>
        </w:rPr>
        <w:t>connection contract </w:t>
      </w:r>
      <w:r>
        <w:rPr>
          <w:sz w:val="24"/>
        </w:rPr>
        <w:t>(a negotiated </w:t>
      </w:r>
      <w:r>
        <w:rPr>
          <w:i/>
          <w:sz w:val="24"/>
        </w:rPr>
        <w:t>connection</w:t>
      </w:r>
      <w:r>
        <w:rPr>
          <w:i/>
          <w:spacing w:val="-3"/>
          <w:sz w:val="24"/>
        </w:rPr>
        <w:t> </w:t>
      </w:r>
      <w:r>
        <w:rPr>
          <w:i/>
          <w:sz w:val="24"/>
        </w:rPr>
        <w:t>contract</w:t>
      </w:r>
      <w:r>
        <w:rPr>
          <w:sz w:val="24"/>
        </w:rPr>
        <w:t>):</w:t>
      </w:r>
    </w:p>
    <w:p>
      <w:pPr>
        <w:pStyle w:val="ListParagraph"/>
        <w:numPr>
          <w:ilvl w:val="1"/>
          <w:numId w:val="360"/>
        </w:numPr>
        <w:tabs>
          <w:tab w:pos="2486" w:val="left" w:leader="none"/>
        </w:tabs>
        <w:spacing w:line="240" w:lineRule="auto" w:before="120" w:after="0"/>
        <w:ind w:left="2486" w:right="416" w:hanging="567"/>
        <w:jc w:val="both"/>
        <w:rPr>
          <w:sz w:val="24"/>
        </w:rPr>
      </w:pPr>
      <w:r>
        <w:rPr>
          <w:sz w:val="24"/>
        </w:rPr>
        <w:t>where the </w:t>
      </w:r>
      <w:r>
        <w:rPr>
          <w:i/>
          <w:sz w:val="24"/>
        </w:rPr>
        <w:t>connection service </w:t>
      </w:r>
      <w:r>
        <w:rPr>
          <w:sz w:val="24"/>
        </w:rPr>
        <w:t>sought by the </w:t>
      </w:r>
      <w:r>
        <w:rPr>
          <w:i/>
          <w:sz w:val="24"/>
        </w:rPr>
        <w:t>connection applicant </w:t>
      </w:r>
      <w:r>
        <w:rPr>
          <w:sz w:val="24"/>
        </w:rPr>
        <w:t>is neither a </w:t>
      </w:r>
      <w:r>
        <w:rPr>
          <w:i/>
          <w:sz w:val="24"/>
        </w:rPr>
        <w:t>basic connection service </w:t>
      </w:r>
      <w:r>
        <w:rPr>
          <w:sz w:val="24"/>
        </w:rPr>
        <w:t>nor a </w:t>
      </w:r>
      <w:r>
        <w:rPr>
          <w:i/>
          <w:sz w:val="24"/>
        </w:rPr>
        <w:t>standard connection service</w:t>
      </w:r>
      <w:r>
        <w:rPr>
          <w:sz w:val="24"/>
        </w:rPr>
        <w:t>; or</w:t>
      </w:r>
    </w:p>
    <w:p>
      <w:pPr>
        <w:pStyle w:val="ListParagraph"/>
        <w:numPr>
          <w:ilvl w:val="1"/>
          <w:numId w:val="360"/>
        </w:numPr>
        <w:tabs>
          <w:tab w:pos="2486" w:val="left" w:leader="none"/>
        </w:tabs>
        <w:spacing w:line="240" w:lineRule="auto" w:before="120" w:after="0"/>
        <w:ind w:left="2486" w:right="414" w:hanging="567"/>
        <w:jc w:val="both"/>
        <w:rPr>
          <w:sz w:val="24"/>
        </w:rPr>
      </w:pPr>
      <w:r>
        <w:rPr>
          <w:sz w:val="24"/>
        </w:rPr>
        <w:t>where the </w:t>
      </w:r>
      <w:r>
        <w:rPr>
          <w:i/>
          <w:sz w:val="24"/>
        </w:rPr>
        <w:t>connection service </w:t>
      </w:r>
      <w:r>
        <w:rPr>
          <w:sz w:val="24"/>
        </w:rPr>
        <w:t>sought by the </w:t>
      </w:r>
      <w:r>
        <w:rPr>
          <w:i/>
          <w:sz w:val="24"/>
        </w:rPr>
        <w:t>connection applicant </w:t>
      </w:r>
      <w:r>
        <w:rPr>
          <w:sz w:val="24"/>
        </w:rPr>
        <w:t>is a </w:t>
      </w:r>
      <w:r>
        <w:rPr>
          <w:i/>
          <w:sz w:val="24"/>
        </w:rPr>
        <w:t>basic connection service </w:t>
      </w:r>
      <w:r>
        <w:rPr>
          <w:sz w:val="24"/>
        </w:rPr>
        <w:t>or a </w:t>
      </w:r>
      <w:r>
        <w:rPr>
          <w:i/>
          <w:sz w:val="24"/>
        </w:rPr>
        <w:t>standard connection service </w:t>
      </w:r>
      <w:r>
        <w:rPr>
          <w:sz w:val="24"/>
        </w:rPr>
        <w:t>but</w:t>
      </w:r>
      <w:r>
        <w:rPr>
          <w:spacing w:val="32"/>
          <w:sz w:val="24"/>
        </w:rPr>
        <w:t> </w:t>
      </w:r>
      <w:r>
        <w:rPr>
          <w:sz w:val="24"/>
        </w:rPr>
        <w:t>the </w:t>
      </w:r>
      <w:r>
        <w:rPr>
          <w:i/>
          <w:sz w:val="24"/>
        </w:rPr>
        <w:t>connection applicant </w:t>
      </w:r>
      <w:r>
        <w:rPr>
          <w:sz w:val="24"/>
        </w:rPr>
        <w:t>elects to negotiate the terms and conditions on which the </w:t>
      </w:r>
      <w:r>
        <w:rPr>
          <w:i/>
          <w:sz w:val="24"/>
        </w:rPr>
        <w:t>connection service </w:t>
      </w:r>
      <w:r>
        <w:rPr>
          <w:sz w:val="24"/>
        </w:rPr>
        <w:t>is to be</w:t>
      </w:r>
      <w:r>
        <w:rPr>
          <w:spacing w:val="-4"/>
          <w:sz w:val="24"/>
        </w:rPr>
        <w:t> </w:t>
      </w:r>
      <w:r>
        <w:rPr>
          <w:sz w:val="24"/>
        </w:rPr>
        <w:t>provided.</w:t>
      </w:r>
    </w:p>
    <w:p>
      <w:pPr>
        <w:pStyle w:val="ListParagraph"/>
        <w:numPr>
          <w:ilvl w:val="0"/>
          <w:numId w:val="360"/>
        </w:numPr>
        <w:tabs>
          <w:tab w:pos="1918" w:val="left" w:leader="none"/>
          <w:tab w:pos="1919" w:val="left" w:leader="none"/>
        </w:tabs>
        <w:spacing w:line="240" w:lineRule="auto" w:before="120" w:after="0"/>
        <w:ind w:left="1919" w:right="414" w:hanging="567"/>
        <w:jc w:val="left"/>
        <w:rPr>
          <w:sz w:val="24"/>
        </w:rPr>
      </w:pPr>
      <w:r>
        <w:rPr>
          <w:sz w:val="24"/>
        </w:rPr>
        <w:t>The negotiations may, if the </w:t>
      </w:r>
      <w:r>
        <w:rPr>
          <w:i/>
          <w:sz w:val="24"/>
        </w:rPr>
        <w:t>connection applicant </w:t>
      </w:r>
      <w:r>
        <w:rPr>
          <w:sz w:val="24"/>
        </w:rPr>
        <w:t>elects, extend to </w:t>
      </w:r>
      <w:r>
        <w:rPr>
          <w:i/>
          <w:sz w:val="24"/>
        </w:rPr>
        <w:t>supply </w:t>
      </w:r>
      <w:r>
        <w:rPr>
          <w:i/>
          <w:sz w:val="24"/>
        </w:rPr>
        <w:t>services </w:t>
      </w:r>
      <w:r>
        <w:rPr>
          <w:sz w:val="24"/>
        </w:rPr>
        <w:t>available from the </w:t>
      </w:r>
      <w:r>
        <w:rPr>
          <w:i/>
          <w:sz w:val="24"/>
        </w:rPr>
        <w:t>Distribution Network Service</w:t>
      </w:r>
      <w:r>
        <w:rPr>
          <w:i/>
          <w:spacing w:val="-11"/>
          <w:sz w:val="24"/>
        </w:rPr>
        <w:t> </w:t>
      </w:r>
      <w:r>
        <w:rPr>
          <w:i/>
          <w:sz w:val="24"/>
        </w:rPr>
        <w:t>Provider</w:t>
      </w:r>
      <w:r>
        <w:rPr>
          <w:sz w:val="24"/>
        </w:rPr>
        <w:t>.</w:t>
      </w:r>
    </w:p>
    <w:p>
      <w:pPr>
        <w:pStyle w:val="ListParagraph"/>
        <w:numPr>
          <w:ilvl w:val="0"/>
          <w:numId w:val="360"/>
        </w:numPr>
        <w:tabs>
          <w:tab w:pos="1918" w:val="left" w:leader="none"/>
          <w:tab w:pos="1919" w:val="left" w:leader="none"/>
        </w:tabs>
        <w:spacing w:line="240" w:lineRule="auto" w:before="120" w:after="0"/>
        <w:ind w:left="1918" w:right="0" w:hanging="567"/>
        <w:jc w:val="left"/>
        <w:rPr>
          <w:sz w:val="24"/>
        </w:rPr>
      </w:pPr>
      <w:r>
        <w:rPr>
          <w:sz w:val="24"/>
        </w:rPr>
        <w:t>This Part sets out the requirements for negotiation referred to in the</w:t>
      </w:r>
      <w:r>
        <w:rPr>
          <w:spacing w:val="-7"/>
          <w:sz w:val="24"/>
        </w:rPr>
        <w:t> </w:t>
      </w:r>
      <w:r>
        <w:rPr>
          <w:i/>
          <w:sz w:val="24"/>
        </w:rPr>
        <w:t>NERL</w:t>
      </w:r>
      <w:r>
        <w:rPr>
          <w:sz w:val="24"/>
        </w:rPr>
        <w:t>.</w:t>
      </w:r>
    </w:p>
    <w:p>
      <w:pPr>
        <w:pStyle w:val="ListParagraph"/>
        <w:numPr>
          <w:ilvl w:val="0"/>
          <w:numId w:val="360"/>
        </w:numPr>
        <w:tabs>
          <w:tab w:pos="1918" w:val="left" w:leader="none"/>
          <w:tab w:pos="1919" w:val="left" w:leader="none"/>
        </w:tabs>
        <w:spacing w:line="240" w:lineRule="auto" w:before="120" w:after="0"/>
        <w:ind w:left="1918" w:right="0" w:hanging="567"/>
        <w:jc w:val="left"/>
        <w:rPr>
          <w:sz w:val="24"/>
        </w:rPr>
      </w:pPr>
      <w:r>
        <w:rPr>
          <w:sz w:val="24"/>
        </w:rPr>
        <w:t>When reading this Part in the context of the</w:t>
      </w:r>
      <w:r>
        <w:rPr>
          <w:spacing w:val="-2"/>
          <w:sz w:val="24"/>
        </w:rPr>
        <w:t> </w:t>
      </w:r>
      <w:r>
        <w:rPr>
          <w:i/>
          <w:sz w:val="24"/>
        </w:rPr>
        <w:t>NERL</w:t>
      </w:r>
      <w:r>
        <w:rPr>
          <w:sz w:val="24"/>
        </w:rPr>
        <w:t>:</w:t>
      </w:r>
    </w:p>
    <w:p>
      <w:pPr>
        <w:pStyle w:val="ListParagraph"/>
        <w:numPr>
          <w:ilvl w:val="1"/>
          <w:numId w:val="360"/>
        </w:numPr>
        <w:tabs>
          <w:tab w:pos="2485" w:val="left" w:leader="none"/>
          <w:tab w:pos="2486" w:val="left" w:leader="none"/>
        </w:tabs>
        <w:spacing w:line="240" w:lineRule="auto" w:before="120" w:after="0"/>
        <w:ind w:left="2486" w:right="415" w:hanging="567"/>
        <w:jc w:val="left"/>
        <w:rPr>
          <w:sz w:val="24"/>
        </w:rPr>
      </w:pPr>
      <w:r>
        <w:rPr>
          <w:sz w:val="24"/>
        </w:rPr>
        <w:t>a reference to a </w:t>
      </w:r>
      <w:r>
        <w:rPr>
          <w:i/>
          <w:sz w:val="24"/>
        </w:rPr>
        <w:t>connection applicant </w:t>
      </w:r>
      <w:r>
        <w:rPr>
          <w:sz w:val="24"/>
        </w:rPr>
        <w:t>in this Part corresponds to a reference to a </w:t>
      </w:r>
      <w:r>
        <w:rPr>
          <w:i/>
          <w:sz w:val="24"/>
        </w:rPr>
        <w:t>customer </w:t>
      </w:r>
      <w:r>
        <w:rPr>
          <w:sz w:val="24"/>
        </w:rPr>
        <w:t>in the </w:t>
      </w:r>
      <w:r>
        <w:rPr>
          <w:i/>
          <w:sz w:val="24"/>
        </w:rPr>
        <w:t>NERL</w:t>
      </w:r>
      <w:r>
        <w:rPr>
          <w:sz w:val="24"/>
        </w:rPr>
        <w:t>;</w:t>
      </w:r>
      <w:r>
        <w:rPr>
          <w:spacing w:val="-2"/>
          <w:sz w:val="24"/>
        </w:rPr>
        <w:t> </w:t>
      </w:r>
      <w:r>
        <w:rPr>
          <w:sz w:val="24"/>
        </w:rPr>
        <w:t>and</w:t>
      </w:r>
    </w:p>
    <w:p>
      <w:pPr>
        <w:pStyle w:val="ListParagraph"/>
        <w:numPr>
          <w:ilvl w:val="1"/>
          <w:numId w:val="360"/>
        </w:numPr>
        <w:tabs>
          <w:tab w:pos="2485" w:val="left" w:leader="none"/>
          <w:tab w:pos="2486" w:val="left" w:leader="none"/>
        </w:tabs>
        <w:spacing w:line="240" w:lineRule="auto" w:before="120" w:after="0"/>
        <w:ind w:left="2486" w:right="417" w:hanging="567"/>
        <w:jc w:val="left"/>
        <w:rPr>
          <w:sz w:val="24"/>
        </w:rPr>
      </w:pPr>
      <w:r>
        <w:rPr>
          <w:sz w:val="24"/>
        </w:rPr>
        <w:t>a reference to a </w:t>
      </w:r>
      <w:r>
        <w:rPr>
          <w:i/>
          <w:sz w:val="24"/>
        </w:rPr>
        <w:t>Distribution Network Service Provider </w:t>
      </w:r>
      <w:r>
        <w:rPr>
          <w:sz w:val="24"/>
        </w:rPr>
        <w:t>in this Part corresponds to a reference to a distributor in the </w:t>
      </w:r>
      <w:r>
        <w:rPr>
          <w:i/>
          <w:sz w:val="24"/>
        </w:rPr>
        <w:t>NERL</w:t>
      </w:r>
      <w:r>
        <w:rPr>
          <w:sz w:val="24"/>
        </w:rPr>
        <w:t>;</w:t>
      </w:r>
      <w:r>
        <w:rPr>
          <w:spacing w:val="-2"/>
          <w:sz w:val="24"/>
        </w:rPr>
        <w:t> </w:t>
      </w:r>
      <w:r>
        <w:rPr>
          <w:sz w:val="24"/>
        </w:rPr>
        <w:t>and</w:t>
      </w:r>
    </w:p>
    <w:p>
      <w:pPr>
        <w:pStyle w:val="ListParagraph"/>
        <w:numPr>
          <w:ilvl w:val="1"/>
          <w:numId w:val="360"/>
        </w:numPr>
        <w:tabs>
          <w:tab w:pos="2485" w:val="left" w:leader="none"/>
          <w:tab w:pos="2486" w:val="left" w:leader="none"/>
        </w:tabs>
        <w:spacing w:line="240" w:lineRule="auto" w:before="120" w:after="0"/>
        <w:ind w:left="2486" w:right="415" w:hanging="567"/>
        <w:jc w:val="left"/>
        <w:rPr>
          <w:sz w:val="24"/>
        </w:rPr>
      </w:pPr>
      <w:r>
        <w:rPr>
          <w:sz w:val="24"/>
        </w:rPr>
        <w:t>this Part will be read subject to any further adaptations and modifications necessary to give effect to the intendment of the</w:t>
      </w:r>
      <w:r>
        <w:rPr>
          <w:spacing w:val="-4"/>
          <w:sz w:val="24"/>
        </w:rPr>
        <w:t> </w:t>
      </w:r>
      <w:r>
        <w:rPr>
          <w:i/>
          <w:sz w:val="24"/>
        </w:rPr>
        <w:t>NERL</w:t>
      </w:r>
      <w:r>
        <w:rPr>
          <w:sz w:val="24"/>
        </w:rPr>
        <w:t>.</w:t>
      </w:r>
    </w:p>
    <w:p>
      <w:pPr>
        <w:pStyle w:val="ListParagraph"/>
        <w:numPr>
          <w:ilvl w:val="0"/>
          <w:numId w:val="360"/>
        </w:numPr>
        <w:tabs>
          <w:tab w:pos="1919" w:val="left" w:leader="none"/>
        </w:tabs>
        <w:spacing w:line="240" w:lineRule="auto" w:before="120" w:after="0"/>
        <w:ind w:left="1919" w:right="416" w:hanging="567"/>
        <w:jc w:val="both"/>
        <w:rPr>
          <w:sz w:val="24"/>
        </w:rPr>
      </w:pPr>
      <w:r>
        <w:rPr>
          <w:sz w:val="24"/>
        </w:rPr>
        <w:t>If, but for this paragraph, a contract negotiable under this Part, or parts or aspects of such a contract, would also be negotiable under Chapter 6, this Part applies to the exclusion of the relevant provisions of Chapter</w:t>
      </w:r>
      <w:r>
        <w:rPr>
          <w:spacing w:val="-5"/>
          <w:sz w:val="24"/>
        </w:rPr>
        <w:t> </w:t>
      </w:r>
      <w:r>
        <w:rPr>
          <w:sz w:val="24"/>
        </w:rPr>
        <w:t>6.</w:t>
      </w:r>
    </w:p>
    <w:p>
      <w:pPr>
        <w:pStyle w:val="BodyText"/>
        <w:spacing w:before="10"/>
        <w:ind w:firstLine="0"/>
        <w:jc w:val="left"/>
        <w:rPr>
          <w:sz w:val="20"/>
        </w:rPr>
      </w:pPr>
    </w:p>
    <w:p>
      <w:pPr>
        <w:pStyle w:val="Heading4"/>
        <w:tabs>
          <w:tab w:pos="1351" w:val="left" w:leader="none"/>
        </w:tabs>
        <w:ind w:left="218" w:firstLine="0"/>
      </w:pPr>
      <w:bookmarkStart w:name="5A.C.2 Process of negotiation" w:id="1156"/>
      <w:bookmarkEnd w:id="1156"/>
      <w:r>
        <w:rPr>
          <w:b w:val="0"/>
        </w:rPr>
      </w:r>
      <w:bookmarkStart w:name="_bookmark470" w:id="1157"/>
      <w:bookmarkEnd w:id="1157"/>
      <w:r>
        <w:rPr>
          <w:b w:val="0"/>
        </w:rPr>
      </w:r>
      <w:r>
        <w:rPr/>
        <w:t>5A.C.2</w:t>
        <w:tab/>
        <w:t>Process of</w:t>
      </w:r>
      <w:r>
        <w:rPr>
          <w:spacing w:val="-1"/>
        </w:rPr>
        <w:t> </w:t>
      </w:r>
      <w:r>
        <w:rPr/>
        <w:t>negotiation</w:t>
      </w:r>
    </w:p>
    <w:p>
      <w:pPr>
        <w:spacing w:before="120"/>
        <w:ind w:left="1352" w:right="416" w:firstLine="0"/>
        <w:jc w:val="both"/>
        <w:rPr>
          <w:sz w:val="24"/>
        </w:rPr>
      </w:pPr>
      <w:r>
        <w:rPr>
          <w:sz w:val="24"/>
        </w:rPr>
        <w:t>A </w:t>
      </w:r>
      <w:r>
        <w:rPr>
          <w:i/>
          <w:sz w:val="24"/>
        </w:rPr>
        <w:t>Distribution Network Service Provider </w:t>
      </w:r>
      <w:r>
        <w:rPr>
          <w:sz w:val="24"/>
        </w:rPr>
        <w:t>and a </w:t>
      </w:r>
      <w:r>
        <w:rPr>
          <w:i/>
          <w:sz w:val="24"/>
        </w:rPr>
        <w:t>connection applicant </w:t>
      </w:r>
      <w:r>
        <w:rPr>
          <w:sz w:val="24"/>
        </w:rPr>
        <w:t>for a negotiated </w:t>
      </w:r>
      <w:r>
        <w:rPr>
          <w:i/>
          <w:sz w:val="24"/>
        </w:rPr>
        <w:t>connection contract </w:t>
      </w:r>
      <w:r>
        <w:rPr>
          <w:sz w:val="24"/>
        </w:rPr>
        <w:t>must negotiate in accordance with the negotiation framework set out in clause 5A.C.3.</w:t>
      </w:r>
    </w:p>
    <w:p>
      <w:pPr>
        <w:pStyle w:val="BodyText"/>
        <w:spacing w:before="10"/>
        <w:ind w:firstLine="0"/>
        <w:jc w:val="left"/>
        <w:rPr>
          <w:sz w:val="20"/>
        </w:rPr>
      </w:pPr>
    </w:p>
    <w:p>
      <w:pPr>
        <w:pStyle w:val="Heading4"/>
        <w:tabs>
          <w:tab w:pos="1351" w:val="left" w:leader="none"/>
        </w:tabs>
        <w:ind w:left="218" w:firstLine="0"/>
      </w:pPr>
      <w:bookmarkStart w:name="5A.C.3 Negotiation framework" w:id="1158"/>
      <w:bookmarkEnd w:id="1158"/>
      <w:r>
        <w:rPr>
          <w:b w:val="0"/>
        </w:rPr>
      </w:r>
      <w:bookmarkStart w:name="_bookmark471" w:id="1159"/>
      <w:bookmarkEnd w:id="1159"/>
      <w:r>
        <w:rPr>
          <w:b w:val="0"/>
        </w:rPr>
      </w:r>
      <w:r>
        <w:rPr/>
        <w:t>5A.C.3</w:t>
        <w:tab/>
        <w:t>Negotiation</w:t>
      </w:r>
      <w:r>
        <w:rPr>
          <w:spacing w:val="-2"/>
        </w:rPr>
        <w:t> </w:t>
      </w:r>
      <w:r>
        <w:rPr/>
        <w:t>framework</w:t>
      </w:r>
    </w:p>
    <w:p>
      <w:pPr>
        <w:pStyle w:val="ListParagraph"/>
        <w:numPr>
          <w:ilvl w:val="0"/>
          <w:numId w:val="361"/>
        </w:numPr>
        <w:tabs>
          <w:tab w:pos="1919" w:val="left" w:leader="none"/>
        </w:tabs>
        <w:spacing w:line="240" w:lineRule="auto" w:before="120" w:after="0"/>
        <w:ind w:left="1919" w:right="416" w:hanging="567"/>
        <w:jc w:val="both"/>
        <w:rPr>
          <w:sz w:val="24"/>
        </w:rPr>
      </w:pPr>
      <w:r>
        <w:rPr>
          <w:sz w:val="24"/>
        </w:rPr>
        <w:t>The following rules (collectively described as the </w:t>
      </w:r>
      <w:r>
        <w:rPr>
          <w:b/>
          <w:sz w:val="24"/>
        </w:rPr>
        <w:t>negotiation framework</w:t>
      </w:r>
      <w:r>
        <w:rPr>
          <w:sz w:val="24"/>
        </w:rPr>
        <w:t>) govern negotiations between a </w:t>
      </w:r>
      <w:r>
        <w:rPr>
          <w:i/>
          <w:sz w:val="24"/>
        </w:rPr>
        <w:t>Distribution Network Service Provider </w:t>
      </w:r>
      <w:r>
        <w:rPr>
          <w:sz w:val="24"/>
        </w:rPr>
        <w:t>and a </w:t>
      </w:r>
      <w:r>
        <w:rPr>
          <w:i/>
          <w:sz w:val="24"/>
        </w:rPr>
        <w:t>connection</w:t>
      </w:r>
      <w:r>
        <w:rPr>
          <w:i/>
          <w:spacing w:val="-1"/>
          <w:sz w:val="24"/>
        </w:rPr>
        <w:t> </w:t>
      </w:r>
      <w:r>
        <w:rPr>
          <w:i/>
          <w:sz w:val="24"/>
        </w:rPr>
        <w:t>applicant</w:t>
      </w:r>
      <w:r>
        <w:rPr>
          <w:sz w:val="24"/>
        </w:rPr>
        <w:t>:</w:t>
      </w:r>
    </w:p>
    <w:p>
      <w:pPr>
        <w:pStyle w:val="ListParagraph"/>
        <w:numPr>
          <w:ilvl w:val="1"/>
          <w:numId w:val="361"/>
        </w:numPr>
        <w:tabs>
          <w:tab w:pos="2486" w:val="left" w:leader="none"/>
        </w:tabs>
        <w:spacing w:line="240" w:lineRule="auto" w:before="120" w:after="0"/>
        <w:ind w:left="2485" w:right="0" w:hanging="567"/>
        <w:jc w:val="both"/>
        <w:rPr>
          <w:sz w:val="24"/>
        </w:rPr>
      </w:pPr>
      <w:r>
        <w:rPr>
          <w:sz w:val="24"/>
        </w:rPr>
        <w:t>each party must negotiate in good</w:t>
      </w:r>
      <w:r>
        <w:rPr>
          <w:spacing w:val="-1"/>
          <w:sz w:val="24"/>
        </w:rPr>
        <w:t> </w:t>
      </w:r>
      <w:r>
        <w:rPr>
          <w:sz w:val="24"/>
        </w:rPr>
        <w:t>faith.</w:t>
      </w:r>
    </w:p>
    <w:p>
      <w:pPr>
        <w:pStyle w:val="ListParagraph"/>
        <w:numPr>
          <w:ilvl w:val="1"/>
          <w:numId w:val="361"/>
        </w:numPr>
        <w:tabs>
          <w:tab w:pos="2486" w:val="left" w:leader="none"/>
        </w:tabs>
        <w:spacing w:line="240" w:lineRule="auto" w:before="120" w:after="0"/>
        <w:ind w:left="2486" w:right="415" w:hanging="567"/>
        <w:jc w:val="both"/>
        <w:rPr>
          <w:sz w:val="24"/>
        </w:rPr>
      </w:pPr>
      <w:r>
        <w:rPr>
          <w:sz w:val="24"/>
        </w:rPr>
        <w:t>the </w:t>
      </w:r>
      <w:r>
        <w:rPr>
          <w:i/>
          <w:sz w:val="24"/>
        </w:rPr>
        <w:t>connection applicant </w:t>
      </w:r>
      <w:r>
        <w:rPr>
          <w:sz w:val="24"/>
        </w:rPr>
        <w:t>must, at the request of the </w:t>
      </w:r>
      <w:r>
        <w:rPr>
          <w:i/>
          <w:sz w:val="24"/>
        </w:rPr>
        <w:t>Distribution </w:t>
      </w:r>
      <w:r>
        <w:rPr>
          <w:i/>
          <w:sz w:val="24"/>
        </w:rPr>
        <w:t>Network Service Provider</w:t>
      </w:r>
      <w:r>
        <w:rPr>
          <w:sz w:val="24"/>
        </w:rPr>
        <w:t>, provide the </w:t>
      </w:r>
      <w:r>
        <w:rPr>
          <w:i/>
          <w:sz w:val="24"/>
        </w:rPr>
        <w:t>Distribution Network Service </w:t>
      </w:r>
      <w:r>
        <w:rPr>
          <w:i/>
          <w:sz w:val="24"/>
        </w:rPr>
        <w:t>Provider </w:t>
      </w:r>
      <w:r>
        <w:rPr>
          <w:sz w:val="24"/>
        </w:rPr>
        <w:t>with information it reasonably requires in order to negotiate on an informed</w:t>
      </w:r>
      <w:r>
        <w:rPr>
          <w:spacing w:val="-1"/>
          <w:sz w:val="24"/>
        </w:rPr>
        <w:t> </w:t>
      </w:r>
      <w:r>
        <w:rPr>
          <w:sz w:val="24"/>
        </w:rPr>
        <w:t>basis.</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The information might (for example) include estimates of average and </w:t>
      </w:r>
      <w:r>
        <w:rPr>
          <w:i/>
          <w:sz w:val="20"/>
        </w:rPr>
        <w:t>maximum </w:t>
      </w:r>
      <w:r>
        <w:rPr>
          <w:i/>
          <w:sz w:val="20"/>
        </w:rPr>
        <w:t>demand </w:t>
      </w:r>
      <w:r>
        <w:rPr>
          <w:sz w:val="20"/>
        </w:rPr>
        <w:t>for electricity to be </w:t>
      </w:r>
      <w:r>
        <w:rPr>
          <w:i/>
          <w:sz w:val="20"/>
        </w:rPr>
        <w:t>supplied </w:t>
      </w:r>
      <w:r>
        <w:rPr>
          <w:sz w:val="20"/>
        </w:rPr>
        <w:t>through the </w:t>
      </w:r>
      <w:r>
        <w:rPr>
          <w:i/>
          <w:sz w:val="20"/>
        </w:rPr>
        <w:t>connection</w:t>
      </w:r>
      <w:r>
        <w:rPr>
          <w:sz w:val="20"/>
        </w:rPr>
        <w:t>.</w:t>
      </w:r>
    </w:p>
    <w:p>
      <w:pPr>
        <w:pStyle w:val="ListParagraph"/>
        <w:numPr>
          <w:ilvl w:val="1"/>
          <w:numId w:val="361"/>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must provide the </w:t>
      </w:r>
      <w:r>
        <w:rPr>
          <w:i/>
          <w:sz w:val="24"/>
        </w:rPr>
        <w:t>connection applicant </w:t>
      </w:r>
      <w:r>
        <w:rPr>
          <w:sz w:val="24"/>
        </w:rPr>
        <w:t>with information the </w:t>
      </w:r>
      <w:r>
        <w:rPr>
          <w:i/>
          <w:sz w:val="24"/>
        </w:rPr>
        <w:t>connection applicant </w:t>
      </w:r>
      <w:r>
        <w:rPr>
          <w:sz w:val="24"/>
        </w:rPr>
        <w:t>reasonably requires in order to negotiate on an informed </w:t>
      </w:r>
      <w:r>
        <w:rPr>
          <w:spacing w:val="-3"/>
          <w:sz w:val="24"/>
        </w:rPr>
        <w:t>basis </w:t>
      </w:r>
      <w:r>
        <w:rPr>
          <w:sz w:val="24"/>
        </w:rPr>
        <w:t>including:</w:t>
      </w:r>
    </w:p>
    <w:p>
      <w:pPr>
        <w:spacing w:after="0" w:line="240" w:lineRule="auto"/>
        <w:jc w:val="both"/>
        <w:rPr>
          <w:sz w:val="24"/>
        </w:rPr>
        <w:sectPr>
          <w:pgSz w:w="11910" w:h="16840"/>
          <w:pgMar w:header="686" w:footer="637" w:top="1320" w:bottom="820" w:left="1200" w:right="1000"/>
        </w:sectPr>
      </w:pPr>
    </w:p>
    <w:p>
      <w:pPr>
        <w:pStyle w:val="ListParagraph"/>
        <w:numPr>
          <w:ilvl w:val="2"/>
          <w:numId w:val="361"/>
        </w:numPr>
        <w:tabs>
          <w:tab w:pos="3053" w:val="left" w:leader="none"/>
        </w:tabs>
        <w:spacing w:line="240" w:lineRule="auto" w:before="83" w:after="0"/>
        <w:ind w:left="3053" w:right="414" w:hanging="567"/>
        <w:jc w:val="both"/>
        <w:rPr>
          <w:sz w:val="24"/>
        </w:rPr>
      </w:pPr>
      <w:r>
        <w:rPr>
          <w:sz w:val="24"/>
        </w:rPr>
        <w:t>an estimate of the amount to be charged by the </w:t>
      </w:r>
      <w:r>
        <w:rPr>
          <w:i/>
          <w:sz w:val="24"/>
        </w:rPr>
        <w:t>Distribution </w:t>
      </w:r>
      <w:r>
        <w:rPr>
          <w:i/>
          <w:sz w:val="24"/>
        </w:rPr>
        <w:t>Network Service Provider </w:t>
      </w:r>
      <w:r>
        <w:rPr>
          <w:sz w:val="24"/>
        </w:rPr>
        <w:t>for assessment of the application and the making of a </w:t>
      </w:r>
      <w:r>
        <w:rPr>
          <w:i/>
          <w:sz w:val="24"/>
        </w:rPr>
        <w:t>connection offer </w:t>
      </w:r>
      <w:r>
        <w:rPr>
          <w:sz w:val="24"/>
        </w:rPr>
        <w:t>for a negotiated </w:t>
      </w:r>
      <w:r>
        <w:rPr>
          <w:i/>
          <w:sz w:val="24"/>
        </w:rPr>
        <w:t>connection </w:t>
      </w:r>
      <w:r>
        <w:rPr>
          <w:i/>
          <w:sz w:val="24"/>
        </w:rPr>
        <w:t>contract</w:t>
      </w:r>
      <w:r>
        <w:rPr>
          <w:sz w:val="24"/>
        </w:rPr>
        <w:t>;</w:t>
      </w:r>
      <w:r>
        <w:rPr>
          <w:spacing w:val="-1"/>
          <w:sz w:val="24"/>
        </w:rPr>
        <w:t> </w:t>
      </w:r>
      <w:r>
        <w:rPr>
          <w:sz w:val="24"/>
        </w:rPr>
        <w:t>and</w:t>
      </w:r>
    </w:p>
    <w:p>
      <w:pPr>
        <w:pStyle w:val="ListParagraph"/>
        <w:numPr>
          <w:ilvl w:val="2"/>
          <w:numId w:val="361"/>
        </w:numPr>
        <w:tabs>
          <w:tab w:pos="3054" w:val="left" w:leader="none"/>
        </w:tabs>
        <w:spacing w:line="240" w:lineRule="auto" w:before="120" w:after="0"/>
        <w:ind w:left="3053" w:right="0" w:hanging="568"/>
        <w:jc w:val="both"/>
        <w:rPr>
          <w:sz w:val="24"/>
        </w:rPr>
      </w:pPr>
      <w:r>
        <w:rPr>
          <w:sz w:val="24"/>
        </w:rPr>
        <w:t>an estimate of </w:t>
      </w:r>
      <w:r>
        <w:rPr>
          <w:i/>
          <w:sz w:val="24"/>
        </w:rPr>
        <w:t>connection charges</w:t>
      </w:r>
      <w:r>
        <w:rPr>
          <w:sz w:val="24"/>
        </w:rPr>
        <w:t>;</w:t>
      </w:r>
      <w:r>
        <w:rPr>
          <w:spacing w:val="-2"/>
          <w:sz w:val="24"/>
        </w:rPr>
        <w:t> </w:t>
      </w:r>
      <w:r>
        <w:rPr>
          <w:sz w:val="24"/>
        </w:rPr>
        <w:t>and</w:t>
      </w:r>
    </w:p>
    <w:p>
      <w:pPr>
        <w:pStyle w:val="ListParagraph"/>
        <w:numPr>
          <w:ilvl w:val="2"/>
          <w:numId w:val="361"/>
        </w:numPr>
        <w:tabs>
          <w:tab w:pos="3053" w:val="left" w:leader="none"/>
        </w:tabs>
        <w:spacing w:line="240" w:lineRule="auto" w:before="120" w:after="0"/>
        <w:ind w:left="3053" w:right="416" w:hanging="567"/>
        <w:jc w:val="both"/>
        <w:rPr>
          <w:sz w:val="24"/>
        </w:rPr>
      </w:pPr>
      <w:r>
        <w:rPr>
          <w:sz w:val="24"/>
        </w:rPr>
        <w:t>a statement of the basis on which </w:t>
      </w:r>
      <w:r>
        <w:rPr>
          <w:i/>
          <w:sz w:val="24"/>
        </w:rPr>
        <w:t>connection charges </w:t>
      </w:r>
      <w:r>
        <w:rPr>
          <w:sz w:val="24"/>
        </w:rPr>
        <w:t>are calculated;</w:t>
      </w:r>
      <w:r>
        <w:rPr>
          <w:spacing w:val="-1"/>
          <w:sz w:val="24"/>
        </w:rPr>
        <w:t> </w:t>
      </w:r>
      <w:r>
        <w:rPr>
          <w:sz w:val="24"/>
        </w:rPr>
        <w:t>and</w:t>
      </w:r>
    </w:p>
    <w:p>
      <w:pPr>
        <w:pStyle w:val="ListParagraph"/>
        <w:numPr>
          <w:ilvl w:val="2"/>
          <w:numId w:val="361"/>
        </w:numPr>
        <w:tabs>
          <w:tab w:pos="3054" w:val="left" w:leader="none"/>
        </w:tabs>
        <w:spacing w:line="240" w:lineRule="auto" w:before="120" w:after="0"/>
        <w:ind w:left="3053" w:right="415" w:hanging="567"/>
        <w:jc w:val="both"/>
        <w:rPr>
          <w:sz w:val="24"/>
        </w:rPr>
      </w:pPr>
      <w:r>
        <w:rPr>
          <w:sz w:val="24"/>
        </w:rPr>
        <w:t>if the </w:t>
      </w:r>
      <w:r>
        <w:rPr>
          <w:i/>
          <w:sz w:val="24"/>
        </w:rPr>
        <w:t>connection applicant </w:t>
      </w:r>
      <w:r>
        <w:rPr>
          <w:sz w:val="24"/>
        </w:rPr>
        <w:t>has elected to extend the negotiations to </w:t>
      </w:r>
      <w:r>
        <w:rPr>
          <w:i/>
          <w:sz w:val="24"/>
        </w:rPr>
        <w:t>supply services</w:t>
      </w:r>
      <w:r>
        <w:rPr>
          <w:sz w:val="24"/>
        </w:rPr>
        <w:t>— an estimate of any applicable charges for </w:t>
      </w:r>
      <w:r>
        <w:rPr>
          <w:i/>
          <w:sz w:val="24"/>
        </w:rPr>
        <w:t>supply services </w:t>
      </w:r>
      <w:r>
        <w:rPr>
          <w:sz w:val="24"/>
        </w:rPr>
        <w:t>and a statement of the basis of their</w:t>
      </w:r>
      <w:r>
        <w:rPr>
          <w:spacing w:val="-19"/>
          <w:sz w:val="24"/>
        </w:rPr>
        <w:t> </w:t>
      </w:r>
      <w:r>
        <w:rPr>
          <w:sz w:val="24"/>
        </w:rPr>
        <w:t>calculation.</w:t>
      </w:r>
    </w:p>
    <w:p>
      <w:pPr>
        <w:spacing w:before="120"/>
        <w:ind w:left="2486" w:right="0" w:firstLine="0"/>
        <w:jc w:val="left"/>
        <w:rPr>
          <w:rFonts w:ascii="Arial"/>
          <w:b/>
          <w:sz w:val="20"/>
        </w:rPr>
      </w:pPr>
      <w:r>
        <w:rPr>
          <w:rFonts w:ascii="Arial"/>
          <w:b/>
          <w:sz w:val="20"/>
        </w:rPr>
        <w:t>Note</w:t>
      </w:r>
    </w:p>
    <w:p>
      <w:pPr>
        <w:spacing w:before="120"/>
        <w:ind w:left="2486" w:right="414" w:firstLine="0"/>
        <w:jc w:val="both"/>
        <w:rPr>
          <w:sz w:val="20"/>
        </w:rPr>
      </w:pPr>
      <w:r>
        <w:rPr>
          <w:sz w:val="20"/>
        </w:rPr>
        <w:t>The </w:t>
      </w:r>
      <w:r>
        <w:rPr>
          <w:i/>
          <w:sz w:val="20"/>
        </w:rPr>
        <w:t>Distribution Network Service Provider </w:t>
      </w:r>
      <w:r>
        <w:rPr>
          <w:sz w:val="20"/>
        </w:rPr>
        <w:t>might, according to the circumstances of a particular case, need to provide further information to ensure the </w:t>
      </w:r>
      <w:r>
        <w:rPr>
          <w:i/>
          <w:sz w:val="20"/>
        </w:rPr>
        <w:t>connection </w:t>
      </w:r>
      <w:r>
        <w:rPr>
          <w:i/>
          <w:sz w:val="20"/>
        </w:rPr>
        <w:t>applicant </w:t>
      </w:r>
      <w:r>
        <w:rPr>
          <w:sz w:val="20"/>
        </w:rPr>
        <w:t>is properly informed – for example, information about:</w:t>
      </w:r>
    </w:p>
    <w:p>
      <w:pPr>
        <w:pStyle w:val="ListParagraph"/>
        <w:numPr>
          <w:ilvl w:val="0"/>
          <w:numId w:val="362"/>
        </w:numPr>
        <w:tabs>
          <w:tab w:pos="3053" w:val="left" w:leader="none"/>
          <w:tab w:pos="3054" w:val="left" w:leader="none"/>
        </w:tabs>
        <w:spacing w:line="240" w:lineRule="auto" w:before="120" w:after="0"/>
        <w:ind w:left="3053" w:right="0" w:hanging="568"/>
        <w:jc w:val="left"/>
        <w:rPr>
          <w:sz w:val="24"/>
        </w:rPr>
      </w:pPr>
      <w:r>
        <w:rPr>
          <w:sz w:val="24"/>
        </w:rPr>
        <w:t>technical and safety</w:t>
      </w:r>
      <w:r>
        <w:rPr>
          <w:spacing w:val="-3"/>
          <w:sz w:val="24"/>
        </w:rPr>
        <w:t> </w:t>
      </w:r>
      <w:r>
        <w:rPr>
          <w:sz w:val="24"/>
        </w:rPr>
        <w:t>requirements;</w:t>
      </w:r>
    </w:p>
    <w:p>
      <w:pPr>
        <w:pStyle w:val="ListParagraph"/>
        <w:numPr>
          <w:ilvl w:val="0"/>
          <w:numId w:val="362"/>
        </w:numPr>
        <w:tabs>
          <w:tab w:pos="3053" w:val="left" w:leader="none"/>
          <w:tab w:pos="3054" w:val="left" w:leader="none"/>
        </w:tabs>
        <w:spacing w:line="240" w:lineRule="auto" w:before="120" w:after="0"/>
        <w:ind w:left="3053" w:right="0" w:hanging="568"/>
        <w:jc w:val="left"/>
        <w:rPr>
          <w:sz w:val="24"/>
        </w:rPr>
      </w:pPr>
      <w:r>
        <w:rPr>
          <w:sz w:val="24"/>
        </w:rPr>
        <w:t>the types of </w:t>
      </w:r>
      <w:r>
        <w:rPr>
          <w:i/>
          <w:sz w:val="24"/>
        </w:rPr>
        <w:t>connection </w:t>
      </w:r>
      <w:r>
        <w:rPr>
          <w:sz w:val="24"/>
        </w:rPr>
        <w:t>that are technically</w:t>
      </w:r>
      <w:r>
        <w:rPr>
          <w:spacing w:val="-2"/>
          <w:sz w:val="24"/>
        </w:rPr>
        <w:t> </w:t>
      </w:r>
      <w:r>
        <w:rPr>
          <w:sz w:val="24"/>
        </w:rPr>
        <w:t>feasible;</w:t>
      </w:r>
    </w:p>
    <w:p>
      <w:pPr>
        <w:pStyle w:val="ListParagraph"/>
        <w:numPr>
          <w:ilvl w:val="0"/>
          <w:numId w:val="362"/>
        </w:numPr>
        <w:tabs>
          <w:tab w:pos="3053" w:val="left" w:leader="none"/>
          <w:tab w:pos="3054" w:val="left" w:leader="none"/>
        </w:tabs>
        <w:spacing w:line="240" w:lineRule="auto" w:before="120" w:after="0"/>
        <w:ind w:left="3053" w:right="0" w:hanging="568"/>
        <w:jc w:val="left"/>
        <w:rPr>
          <w:sz w:val="24"/>
        </w:rPr>
      </w:pPr>
      <w:r>
        <w:rPr>
          <w:i/>
          <w:sz w:val="24"/>
        </w:rPr>
        <w:t>network </w:t>
      </w:r>
      <w:r>
        <w:rPr>
          <w:sz w:val="24"/>
        </w:rPr>
        <w:t>capacity at the proposed </w:t>
      </w:r>
      <w:r>
        <w:rPr>
          <w:i/>
          <w:sz w:val="24"/>
        </w:rPr>
        <w:t>connection</w:t>
      </w:r>
      <w:r>
        <w:rPr>
          <w:i/>
          <w:spacing w:val="-1"/>
          <w:sz w:val="24"/>
        </w:rPr>
        <w:t> </w:t>
      </w:r>
      <w:r>
        <w:rPr>
          <w:i/>
          <w:sz w:val="24"/>
        </w:rPr>
        <w:t>point</w:t>
      </w:r>
      <w:r>
        <w:rPr>
          <w:sz w:val="24"/>
        </w:rPr>
        <w:t>;</w:t>
      </w:r>
    </w:p>
    <w:p>
      <w:pPr>
        <w:pStyle w:val="ListParagraph"/>
        <w:numPr>
          <w:ilvl w:val="0"/>
          <w:numId w:val="362"/>
        </w:numPr>
        <w:tabs>
          <w:tab w:pos="3053" w:val="left" w:leader="none"/>
          <w:tab w:pos="3054" w:val="left" w:leader="none"/>
        </w:tabs>
        <w:spacing w:line="240" w:lineRule="auto" w:before="120" w:after="0"/>
        <w:ind w:left="3053" w:right="0" w:hanging="568"/>
        <w:jc w:val="left"/>
        <w:rPr>
          <w:sz w:val="24"/>
        </w:rPr>
      </w:pPr>
      <w:r>
        <w:rPr>
          <w:sz w:val="24"/>
        </w:rPr>
        <w:t>possible strategies to reduce the cost of the</w:t>
      </w:r>
      <w:r>
        <w:rPr>
          <w:spacing w:val="-6"/>
          <w:sz w:val="24"/>
        </w:rPr>
        <w:t> </w:t>
      </w:r>
      <w:r>
        <w:rPr>
          <w:i/>
          <w:sz w:val="24"/>
        </w:rPr>
        <w:t>connection</w:t>
      </w:r>
      <w:r>
        <w:rPr>
          <w:sz w:val="24"/>
        </w:rPr>
        <w:t>.</w:t>
      </w:r>
    </w:p>
    <w:p>
      <w:pPr>
        <w:pStyle w:val="ListParagraph"/>
        <w:numPr>
          <w:ilvl w:val="1"/>
          <w:numId w:val="361"/>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may consult with other users of the </w:t>
      </w:r>
      <w:r>
        <w:rPr>
          <w:i/>
          <w:sz w:val="24"/>
        </w:rPr>
        <w:t>distribution network </w:t>
      </w:r>
      <w:r>
        <w:rPr>
          <w:sz w:val="24"/>
        </w:rPr>
        <w:t>who may be adversely affected by the proposed </w:t>
      </w:r>
      <w:r>
        <w:rPr>
          <w:i/>
          <w:sz w:val="24"/>
        </w:rPr>
        <w:t>new connection </w:t>
      </w:r>
      <w:r>
        <w:rPr>
          <w:sz w:val="24"/>
        </w:rPr>
        <w:t>or </w:t>
      </w:r>
      <w:r>
        <w:rPr>
          <w:i/>
          <w:sz w:val="24"/>
        </w:rPr>
        <w:t>connection</w:t>
      </w:r>
      <w:r>
        <w:rPr>
          <w:i/>
          <w:spacing w:val="-1"/>
          <w:sz w:val="24"/>
        </w:rPr>
        <w:t> </w:t>
      </w:r>
      <w:r>
        <w:rPr>
          <w:i/>
          <w:sz w:val="24"/>
        </w:rPr>
        <w:t>alteration</w:t>
      </w:r>
      <w:r>
        <w:rPr>
          <w:sz w:val="24"/>
        </w:rPr>
        <w:t>.</w:t>
      </w:r>
    </w:p>
    <w:p>
      <w:pPr>
        <w:pStyle w:val="ListParagraph"/>
        <w:numPr>
          <w:ilvl w:val="1"/>
          <w:numId w:val="361"/>
        </w:numPr>
        <w:tabs>
          <w:tab w:pos="2486" w:val="left" w:leader="none"/>
        </w:tabs>
        <w:spacing w:line="240" w:lineRule="auto" w:before="120" w:after="0"/>
        <w:ind w:left="2486" w:right="416" w:hanging="567"/>
        <w:jc w:val="both"/>
        <w:rPr>
          <w:sz w:val="24"/>
        </w:rPr>
      </w:pPr>
      <w:r>
        <w:rPr>
          <w:sz w:val="24"/>
        </w:rPr>
        <w:t>in assessing the application, the </w:t>
      </w:r>
      <w:r>
        <w:rPr>
          <w:i/>
          <w:sz w:val="24"/>
        </w:rPr>
        <w:t>Distribution Network Service </w:t>
      </w:r>
      <w:r>
        <w:rPr>
          <w:i/>
          <w:sz w:val="24"/>
        </w:rPr>
        <w:t>Provider </w:t>
      </w:r>
      <w:r>
        <w:rPr>
          <w:sz w:val="24"/>
        </w:rPr>
        <w:t>must</w:t>
      </w:r>
      <w:r>
        <w:rPr>
          <w:spacing w:val="-1"/>
          <w:sz w:val="24"/>
        </w:rPr>
        <w:t> </w:t>
      </w:r>
      <w:r>
        <w:rPr>
          <w:sz w:val="24"/>
        </w:rPr>
        <w:t>determine:</w:t>
      </w:r>
    </w:p>
    <w:p>
      <w:pPr>
        <w:pStyle w:val="ListParagraph"/>
        <w:numPr>
          <w:ilvl w:val="2"/>
          <w:numId w:val="361"/>
        </w:numPr>
        <w:tabs>
          <w:tab w:pos="3053" w:val="left" w:leader="none"/>
        </w:tabs>
        <w:spacing w:line="240" w:lineRule="auto" w:before="120" w:after="0"/>
        <w:ind w:left="3052" w:right="0" w:hanging="567"/>
        <w:jc w:val="both"/>
        <w:rPr>
          <w:sz w:val="24"/>
        </w:rPr>
      </w:pPr>
      <w:r>
        <w:rPr>
          <w:sz w:val="24"/>
        </w:rPr>
        <w:t>the</w:t>
      </w:r>
      <w:r>
        <w:rPr>
          <w:spacing w:val="30"/>
          <w:sz w:val="24"/>
        </w:rPr>
        <w:t> </w:t>
      </w:r>
      <w:r>
        <w:rPr>
          <w:sz w:val="24"/>
        </w:rPr>
        <w:t>technical</w:t>
      </w:r>
      <w:r>
        <w:rPr>
          <w:spacing w:val="31"/>
          <w:sz w:val="24"/>
        </w:rPr>
        <w:t> </w:t>
      </w:r>
      <w:r>
        <w:rPr>
          <w:sz w:val="24"/>
        </w:rPr>
        <w:t>requirements</w:t>
      </w:r>
      <w:r>
        <w:rPr>
          <w:spacing w:val="31"/>
          <w:sz w:val="24"/>
        </w:rPr>
        <w:t> </w:t>
      </w:r>
      <w:r>
        <w:rPr>
          <w:sz w:val="24"/>
        </w:rPr>
        <w:t>for</w:t>
      </w:r>
      <w:r>
        <w:rPr>
          <w:spacing w:val="31"/>
          <w:sz w:val="24"/>
        </w:rPr>
        <w:t> </w:t>
      </w:r>
      <w:r>
        <w:rPr>
          <w:sz w:val="24"/>
        </w:rPr>
        <w:t>the</w:t>
      </w:r>
      <w:r>
        <w:rPr>
          <w:spacing w:val="30"/>
          <w:sz w:val="24"/>
        </w:rPr>
        <w:t> </w:t>
      </w:r>
      <w:r>
        <w:rPr>
          <w:sz w:val="24"/>
        </w:rPr>
        <w:t>proposed</w:t>
      </w:r>
      <w:r>
        <w:rPr>
          <w:spacing w:val="31"/>
          <w:sz w:val="24"/>
        </w:rPr>
        <w:t> </w:t>
      </w:r>
      <w:r>
        <w:rPr>
          <w:i/>
          <w:sz w:val="24"/>
        </w:rPr>
        <w:t>new</w:t>
      </w:r>
      <w:r>
        <w:rPr>
          <w:i/>
          <w:spacing w:val="31"/>
          <w:sz w:val="24"/>
        </w:rPr>
        <w:t> </w:t>
      </w:r>
      <w:r>
        <w:rPr>
          <w:i/>
          <w:sz w:val="24"/>
        </w:rPr>
        <w:t>connection</w:t>
      </w:r>
      <w:r>
        <w:rPr>
          <w:i/>
          <w:spacing w:val="31"/>
          <w:sz w:val="24"/>
        </w:rPr>
        <w:t> </w:t>
      </w:r>
      <w:r>
        <w:rPr>
          <w:sz w:val="24"/>
        </w:rPr>
        <w:t>or</w:t>
      </w:r>
    </w:p>
    <w:p>
      <w:pPr>
        <w:spacing w:before="0"/>
        <w:ind w:left="3053" w:right="0" w:firstLine="0"/>
        <w:jc w:val="both"/>
        <w:rPr>
          <w:sz w:val="24"/>
        </w:rPr>
      </w:pPr>
      <w:r>
        <w:rPr>
          <w:i/>
          <w:sz w:val="24"/>
        </w:rPr>
        <w:t>connection alteration</w:t>
      </w:r>
      <w:r>
        <w:rPr>
          <w:sz w:val="24"/>
        </w:rPr>
        <w:t>; and</w:t>
      </w:r>
    </w:p>
    <w:p>
      <w:pPr>
        <w:pStyle w:val="ListParagraph"/>
        <w:numPr>
          <w:ilvl w:val="2"/>
          <w:numId w:val="361"/>
        </w:numPr>
        <w:tabs>
          <w:tab w:pos="3054" w:val="left" w:leader="none"/>
        </w:tabs>
        <w:spacing w:line="240" w:lineRule="auto" w:before="120" w:after="0"/>
        <w:ind w:left="3053" w:right="0" w:hanging="568"/>
        <w:jc w:val="both"/>
        <w:rPr>
          <w:sz w:val="24"/>
        </w:rPr>
      </w:pPr>
      <w:r>
        <w:rPr>
          <w:sz w:val="24"/>
        </w:rPr>
        <w:t>the</w:t>
      </w:r>
      <w:r>
        <w:rPr>
          <w:spacing w:val="16"/>
          <w:sz w:val="24"/>
        </w:rPr>
        <w:t> </w:t>
      </w:r>
      <w:r>
        <w:rPr>
          <w:sz w:val="24"/>
        </w:rPr>
        <w:t>extent</w:t>
      </w:r>
      <w:r>
        <w:rPr>
          <w:spacing w:val="17"/>
          <w:sz w:val="24"/>
        </w:rPr>
        <w:t> </w:t>
      </w:r>
      <w:r>
        <w:rPr>
          <w:sz w:val="24"/>
        </w:rPr>
        <w:t>and</w:t>
      </w:r>
      <w:r>
        <w:rPr>
          <w:spacing w:val="17"/>
          <w:sz w:val="24"/>
        </w:rPr>
        <w:t> </w:t>
      </w:r>
      <w:r>
        <w:rPr>
          <w:sz w:val="24"/>
        </w:rPr>
        <w:t>costs</w:t>
      </w:r>
      <w:r>
        <w:rPr>
          <w:spacing w:val="16"/>
          <w:sz w:val="24"/>
        </w:rPr>
        <w:t> </w:t>
      </w:r>
      <w:r>
        <w:rPr>
          <w:sz w:val="24"/>
        </w:rPr>
        <w:t>of</w:t>
      </w:r>
      <w:r>
        <w:rPr>
          <w:spacing w:val="17"/>
          <w:sz w:val="24"/>
        </w:rPr>
        <w:t> </w:t>
      </w:r>
      <w:r>
        <w:rPr>
          <w:sz w:val="24"/>
        </w:rPr>
        <w:t>any</w:t>
      </w:r>
      <w:r>
        <w:rPr>
          <w:spacing w:val="17"/>
          <w:sz w:val="24"/>
        </w:rPr>
        <w:t> </w:t>
      </w:r>
      <w:r>
        <w:rPr>
          <w:sz w:val="24"/>
        </w:rPr>
        <w:t>necessary</w:t>
      </w:r>
      <w:r>
        <w:rPr>
          <w:spacing w:val="16"/>
          <w:sz w:val="24"/>
        </w:rPr>
        <w:t> </w:t>
      </w:r>
      <w:r>
        <w:rPr>
          <w:i/>
          <w:sz w:val="24"/>
        </w:rPr>
        <w:t>augmentation</w:t>
      </w:r>
      <w:r>
        <w:rPr>
          <w:i/>
          <w:spacing w:val="17"/>
          <w:sz w:val="24"/>
        </w:rPr>
        <w:t> </w:t>
      </w:r>
      <w:r>
        <w:rPr>
          <w:sz w:val="24"/>
        </w:rPr>
        <w:t>of</w:t>
      </w:r>
      <w:r>
        <w:rPr>
          <w:spacing w:val="17"/>
          <w:sz w:val="24"/>
        </w:rPr>
        <w:t> </w:t>
      </w:r>
      <w:r>
        <w:rPr>
          <w:sz w:val="24"/>
        </w:rPr>
        <w:t>the</w:t>
      </w:r>
    </w:p>
    <w:p>
      <w:pPr>
        <w:spacing w:before="0"/>
        <w:ind w:left="3053" w:right="0" w:firstLine="0"/>
        <w:jc w:val="both"/>
        <w:rPr>
          <w:sz w:val="24"/>
        </w:rPr>
      </w:pPr>
      <w:r>
        <w:rPr>
          <w:i/>
          <w:sz w:val="24"/>
        </w:rPr>
        <w:t>distribution system</w:t>
      </w:r>
      <w:r>
        <w:rPr>
          <w:sz w:val="24"/>
        </w:rPr>
        <w:t>; and</w:t>
      </w:r>
    </w:p>
    <w:p>
      <w:pPr>
        <w:pStyle w:val="ListParagraph"/>
        <w:numPr>
          <w:ilvl w:val="2"/>
          <w:numId w:val="361"/>
        </w:numPr>
        <w:tabs>
          <w:tab w:pos="3053" w:val="left" w:leader="none"/>
        </w:tabs>
        <w:spacing w:line="240" w:lineRule="auto" w:before="120" w:after="0"/>
        <w:ind w:left="3052" w:right="0" w:hanging="567"/>
        <w:jc w:val="both"/>
        <w:rPr>
          <w:i/>
          <w:sz w:val="24"/>
        </w:rPr>
      </w:pPr>
      <w:r>
        <w:rPr>
          <w:sz w:val="24"/>
        </w:rPr>
        <w:t>any</w:t>
      </w:r>
      <w:r>
        <w:rPr>
          <w:spacing w:val="11"/>
          <w:sz w:val="24"/>
        </w:rPr>
        <w:t> </w:t>
      </w:r>
      <w:r>
        <w:rPr>
          <w:sz w:val="24"/>
        </w:rPr>
        <w:t>consequent</w:t>
      </w:r>
      <w:r>
        <w:rPr>
          <w:spacing w:val="11"/>
          <w:sz w:val="24"/>
        </w:rPr>
        <w:t> </w:t>
      </w:r>
      <w:r>
        <w:rPr>
          <w:i/>
          <w:sz w:val="24"/>
        </w:rPr>
        <w:t>change</w:t>
      </w:r>
      <w:r>
        <w:rPr>
          <w:i/>
          <w:spacing w:val="11"/>
          <w:sz w:val="24"/>
        </w:rPr>
        <w:t> </w:t>
      </w:r>
      <w:r>
        <w:rPr>
          <w:sz w:val="24"/>
        </w:rPr>
        <w:t>in</w:t>
      </w:r>
      <w:r>
        <w:rPr>
          <w:spacing w:val="12"/>
          <w:sz w:val="24"/>
        </w:rPr>
        <w:t> </w:t>
      </w:r>
      <w:r>
        <w:rPr>
          <w:sz w:val="24"/>
        </w:rPr>
        <w:t>charges</w:t>
      </w:r>
      <w:r>
        <w:rPr>
          <w:spacing w:val="11"/>
          <w:sz w:val="24"/>
        </w:rPr>
        <w:t> </w:t>
      </w:r>
      <w:r>
        <w:rPr>
          <w:sz w:val="24"/>
        </w:rPr>
        <w:t>for</w:t>
      </w:r>
      <w:r>
        <w:rPr>
          <w:spacing w:val="11"/>
          <w:sz w:val="24"/>
        </w:rPr>
        <w:t> </w:t>
      </w:r>
      <w:r>
        <w:rPr>
          <w:i/>
          <w:sz w:val="24"/>
        </w:rPr>
        <w:t>distribution</w:t>
      </w:r>
      <w:r>
        <w:rPr>
          <w:i/>
          <w:spacing w:val="11"/>
          <w:sz w:val="24"/>
        </w:rPr>
        <w:t> </w:t>
      </w:r>
      <w:r>
        <w:rPr>
          <w:i/>
          <w:sz w:val="24"/>
        </w:rPr>
        <w:t>use</w:t>
      </w:r>
      <w:r>
        <w:rPr>
          <w:i/>
          <w:spacing w:val="12"/>
          <w:sz w:val="24"/>
        </w:rPr>
        <w:t> </w:t>
      </w:r>
      <w:r>
        <w:rPr>
          <w:i/>
          <w:sz w:val="24"/>
        </w:rPr>
        <w:t>of</w:t>
      </w:r>
      <w:r>
        <w:rPr>
          <w:i/>
          <w:spacing w:val="11"/>
          <w:sz w:val="24"/>
        </w:rPr>
        <w:t> </w:t>
      </w:r>
      <w:r>
        <w:rPr>
          <w:i/>
          <w:sz w:val="24"/>
        </w:rPr>
        <w:t>system</w:t>
      </w:r>
    </w:p>
    <w:p>
      <w:pPr>
        <w:pStyle w:val="BodyText"/>
        <w:spacing w:before="0"/>
        <w:ind w:left="3053" w:firstLine="0"/>
      </w:pPr>
      <w:r>
        <w:rPr/>
        <w:t>services; and</w:t>
      </w:r>
    </w:p>
    <w:p>
      <w:pPr>
        <w:pStyle w:val="ListParagraph"/>
        <w:numPr>
          <w:ilvl w:val="2"/>
          <w:numId w:val="361"/>
        </w:numPr>
        <w:tabs>
          <w:tab w:pos="3054" w:val="left" w:leader="none"/>
        </w:tabs>
        <w:spacing w:line="240" w:lineRule="auto" w:before="120" w:after="0"/>
        <w:ind w:left="3053" w:right="415" w:hanging="567"/>
        <w:jc w:val="both"/>
        <w:rPr>
          <w:sz w:val="24"/>
        </w:rPr>
      </w:pPr>
      <w:r>
        <w:rPr>
          <w:sz w:val="24"/>
        </w:rPr>
        <w:t>any possible material effect of the proposed </w:t>
      </w:r>
      <w:r>
        <w:rPr>
          <w:i/>
          <w:sz w:val="24"/>
        </w:rPr>
        <w:t>new connection </w:t>
      </w:r>
      <w:r>
        <w:rPr>
          <w:sz w:val="24"/>
        </w:rPr>
        <w:t>or </w:t>
      </w:r>
      <w:r>
        <w:rPr>
          <w:i/>
          <w:sz w:val="24"/>
        </w:rPr>
        <w:t>connection alteration </w:t>
      </w:r>
      <w:r>
        <w:rPr>
          <w:sz w:val="24"/>
        </w:rPr>
        <w:t>on the </w:t>
      </w:r>
      <w:r>
        <w:rPr>
          <w:i/>
          <w:sz w:val="24"/>
        </w:rPr>
        <w:t>network power transfer </w:t>
      </w:r>
      <w:r>
        <w:rPr>
          <w:i/>
          <w:spacing w:val="-3"/>
          <w:sz w:val="24"/>
        </w:rPr>
        <w:t>capability </w:t>
      </w:r>
      <w:r>
        <w:rPr>
          <w:sz w:val="24"/>
        </w:rPr>
        <w:t>of the </w:t>
      </w:r>
      <w:r>
        <w:rPr>
          <w:i/>
          <w:sz w:val="24"/>
        </w:rPr>
        <w:t>distribution network </w:t>
      </w:r>
      <w:r>
        <w:rPr>
          <w:sz w:val="24"/>
        </w:rPr>
        <w:t>to which the </w:t>
      </w:r>
      <w:r>
        <w:rPr>
          <w:i/>
          <w:sz w:val="24"/>
        </w:rPr>
        <w:t>new connection </w:t>
      </w:r>
      <w:r>
        <w:rPr>
          <w:sz w:val="24"/>
        </w:rPr>
        <w:t>or </w:t>
      </w:r>
      <w:r>
        <w:rPr>
          <w:i/>
          <w:sz w:val="24"/>
        </w:rPr>
        <w:t>connection alteration </w:t>
      </w:r>
      <w:r>
        <w:rPr>
          <w:sz w:val="24"/>
        </w:rPr>
        <w:t>is proposed to be made and any other </w:t>
      </w:r>
      <w:r>
        <w:rPr>
          <w:i/>
          <w:sz w:val="24"/>
        </w:rPr>
        <w:t>distribution network </w:t>
      </w:r>
      <w:r>
        <w:rPr>
          <w:sz w:val="24"/>
        </w:rPr>
        <w:t>that might be affected by the proposed </w:t>
      </w:r>
      <w:r>
        <w:rPr>
          <w:i/>
          <w:spacing w:val="-5"/>
          <w:sz w:val="24"/>
        </w:rPr>
        <w:t>new </w:t>
      </w:r>
      <w:r>
        <w:rPr>
          <w:i/>
          <w:sz w:val="24"/>
        </w:rPr>
        <w:t>connection </w:t>
      </w:r>
      <w:r>
        <w:rPr>
          <w:sz w:val="24"/>
        </w:rPr>
        <w:t>or </w:t>
      </w:r>
      <w:r>
        <w:rPr>
          <w:i/>
          <w:sz w:val="24"/>
        </w:rPr>
        <w:t>connection</w:t>
      </w:r>
      <w:r>
        <w:rPr>
          <w:i/>
          <w:spacing w:val="-1"/>
          <w:sz w:val="24"/>
        </w:rPr>
        <w:t> </w:t>
      </w:r>
      <w:r>
        <w:rPr>
          <w:i/>
          <w:sz w:val="24"/>
        </w:rPr>
        <w:t>alteration</w:t>
      </w:r>
      <w:r>
        <w:rPr>
          <w:sz w:val="24"/>
        </w:rPr>
        <w:t>.</w:t>
      </w:r>
    </w:p>
    <w:p>
      <w:pPr>
        <w:pStyle w:val="ListParagraph"/>
        <w:numPr>
          <w:ilvl w:val="1"/>
          <w:numId w:val="361"/>
        </w:numPr>
        <w:tabs>
          <w:tab w:pos="2486" w:val="left" w:leader="none"/>
        </w:tabs>
        <w:spacing w:line="240" w:lineRule="auto" w:before="120" w:after="0"/>
        <w:ind w:left="2486" w:right="414" w:hanging="567"/>
        <w:jc w:val="both"/>
        <w:rPr>
          <w:sz w:val="24"/>
        </w:rPr>
      </w:pPr>
      <w:r>
        <w:rPr>
          <w:sz w:val="24"/>
        </w:rPr>
        <w:t>the </w:t>
      </w:r>
      <w:r>
        <w:rPr>
          <w:i/>
          <w:sz w:val="24"/>
        </w:rPr>
        <w:t>Distribution Network Service Provider </w:t>
      </w:r>
      <w:r>
        <w:rPr>
          <w:sz w:val="24"/>
        </w:rPr>
        <w:t>must make reasonable endeavours to make a </w:t>
      </w:r>
      <w:r>
        <w:rPr>
          <w:i/>
          <w:sz w:val="24"/>
        </w:rPr>
        <w:t>connection offer </w:t>
      </w:r>
      <w:r>
        <w:rPr>
          <w:sz w:val="24"/>
        </w:rPr>
        <w:t>that complies with the </w:t>
      </w:r>
      <w:r>
        <w:rPr>
          <w:i/>
          <w:sz w:val="24"/>
        </w:rPr>
        <w:t>connection applicant's </w:t>
      </w:r>
      <w:r>
        <w:rPr>
          <w:sz w:val="24"/>
        </w:rPr>
        <w:t>reasonable</w:t>
      </w:r>
      <w:r>
        <w:rPr>
          <w:spacing w:val="-2"/>
          <w:sz w:val="24"/>
        </w:rPr>
        <w:t> </w:t>
      </w:r>
      <w:r>
        <w:rPr>
          <w:sz w:val="24"/>
        </w:rPr>
        <w:t>requirements.</w:t>
      </w:r>
    </w:p>
    <w:p>
      <w:pPr>
        <w:spacing w:before="120"/>
        <w:ind w:left="2486" w:right="0" w:firstLine="0"/>
        <w:jc w:val="left"/>
        <w:rPr>
          <w:rFonts w:ascii="Arial"/>
          <w:b/>
          <w:sz w:val="20"/>
        </w:rPr>
      </w:pPr>
      <w:r>
        <w:rPr>
          <w:rFonts w:ascii="Arial"/>
          <w:b/>
          <w:sz w:val="20"/>
        </w:rPr>
        <w:t>Example</w:t>
      </w:r>
    </w:p>
    <w:p>
      <w:pPr>
        <w:spacing w:before="120"/>
        <w:ind w:left="2486" w:right="415" w:firstLine="0"/>
        <w:jc w:val="left"/>
        <w:rPr>
          <w:sz w:val="20"/>
        </w:rPr>
      </w:pPr>
      <w:r>
        <w:rPr>
          <w:sz w:val="20"/>
        </w:rPr>
        <w:t>Reasonable requirements as to the location of the proposed </w:t>
      </w:r>
      <w:r>
        <w:rPr>
          <w:i/>
          <w:sz w:val="20"/>
        </w:rPr>
        <w:t>connection point </w:t>
      </w:r>
      <w:r>
        <w:rPr>
          <w:sz w:val="20"/>
        </w:rPr>
        <w:t>or the level and standard of the </w:t>
      </w:r>
      <w:r>
        <w:rPr>
          <w:i/>
          <w:sz w:val="20"/>
        </w:rPr>
        <w:t>distribution network's power transfer capability</w:t>
      </w:r>
      <w:r>
        <w:rPr>
          <w:sz w:val="20"/>
        </w:rPr>
        <w:t>.</w:t>
      </w:r>
    </w:p>
    <w:p>
      <w:pPr>
        <w:pStyle w:val="ListParagraph"/>
        <w:numPr>
          <w:ilvl w:val="1"/>
          <w:numId w:val="361"/>
        </w:numPr>
        <w:tabs>
          <w:tab w:pos="2485" w:val="left" w:leader="none"/>
          <w:tab w:pos="2486" w:val="left" w:leader="none"/>
        </w:tabs>
        <w:spacing w:line="240" w:lineRule="auto" w:before="120" w:after="0"/>
        <w:ind w:left="2485" w:right="0" w:hanging="567"/>
        <w:jc w:val="left"/>
        <w:rPr>
          <w:sz w:val="24"/>
        </w:rPr>
      </w:pPr>
      <w:r>
        <w:rPr>
          <w:sz w:val="24"/>
        </w:rPr>
        <w:t>the</w:t>
      </w:r>
      <w:r>
        <w:rPr>
          <w:spacing w:val="18"/>
          <w:sz w:val="24"/>
        </w:rPr>
        <w:t> </w:t>
      </w:r>
      <w:r>
        <w:rPr>
          <w:i/>
          <w:sz w:val="24"/>
        </w:rPr>
        <w:t>Distribution</w:t>
      </w:r>
      <w:r>
        <w:rPr>
          <w:i/>
          <w:spacing w:val="19"/>
          <w:sz w:val="24"/>
        </w:rPr>
        <w:t> </w:t>
      </w:r>
      <w:r>
        <w:rPr>
          <w:i/>
          <w:sz w:val="24"/>
        </w:rPr>
        <w:t>Network</w:t>
      </w:r>
      <w:r>
        <w:rPr>
          <w:i/>
          <w:spacing w:val="18"/>
          <w:sz w:val="24"/>
        </w:rPr>
        <w:t> </w:t>
      </w:r>
      <w:r>
        <w:rPr>
          <w:i/>
          <w:sz w:val="24"/>
        </w:rPr>
        <w:t>Service</w:t>
      </w:r>
      <w:r>
        <w:rPr>
          <w:i/>
          <w:spacing w:val="19"/>
          <w:sz w:val="24"/>
        </w:rPr>
        <w:t> </w:t>
      </w:r>
      <w:r>
        <w:rPr>
          <w:i/>
          <w:sz w:val="24"/>
        </w:rPr>
        <w:t>Provider</w:t>
      </w:r>
      <w:r>
        <w:rPr>
          <w:i/>
          <w:spacing w:val="19"/>
          <w:sz w:val="24"/>
        </w:rPr>
        <w:t> </w:t>
      </w:r>
      <w:r>
        <w:rPr>
          <w:sz w:val="24"/>
        </w:rPr>
        <w:t>must</w:t>
      </w:r>
      <w:r>
        <w:rPr>
          <w:spacing w:val="18"/>
          <w:sz w:val="24"/>
        </w:rPr>
        <w:t> </w:t>
      </w:r>
      <w:r>
        <w:rPr>
          <w:sz w:val="24"/>
        </w:rPr>
        <w:t>comply</w:t>
      </w:r>
      <w:r>
        <w:rPr>
          <w:spacing w:val="19"/>
          <w:sz w:val="24"/>
        </w:rPr>
        <w:t> </w:t>
      </w:r>
      <w:r>
        <w:rPr>
          <w:sz w:val="24"/>
        </w:rPr>
        <w:t>with</w:t>
      </w:r>
      <w:r>
        <w:rPr>
          <w:spacing w:val="19"/>
          <w:sz w:val="24"/>
        </w:rPr>
        <w:t> </w:t>
      </w:r>
      <w:r>
        <w:rPr>
          <w:sz w:val="24"/>
        </w:rPr>
        <w:t>its</w:t>
      </w:r>
    </w:p>
    <w:p>
      <w:pPr>
        <w:spacing w:before="0"/>
        <w:ind w:left="2486" w:right="0" w:firstLine="0"/>
        <w:jc w:val="left"/>
        <w:rPr>
          <w:sz w:val="24"/>
        </w:rPr>
      </w:pPr>
      <w:r>
        <w:rPr>
          <w:i/>
          <w:sz w:val="24"/>
        </w:rPr>
        <w:t>connection policy</w:t>
      </w:r>
      <w:r>
        <w:rPr>
          <w:sz w:val="24"/>
        </w:rPr>
        <w:t>.</w:t>
      </w:r>
    </w:p>
    <w:p>
      <w:pPr>
        <w:spacing w:after="0"/>
        <w:jc w:val="left"/>
        <w:rPr>
          <w:sz w:val="24"/>
        </w:rPr>
        <w:sectPr>
          <w:pgSz w:w="11910" w:h="16840"/>
          <w:pgMar w:header="686" w:footer="637" w:top="1320" w:bottom="820" w:left="1200" w:right="1000"/>
        </w:sectPr>
      </w:pPr>
    </w:p>
    <w:p>
      <w:pPr>
        <w:pStyle w:val="ListParagraph"/>
        <w:numPr>
          <w:ilvl w:val="0"/>
          <w:numId w:val="361"/>
        </w:numPr>
        <w:tabs>
          <w:tab w:pos="1919" w:val="left" w:leader="none"/>
        </w:tabs>
        <w:spacing w:line="240" w:lineRule="auto" w:before="83" w:after="0"/>
        <w:ind w:left="1918" w:right="0" w:hanging="567"/>
        <w:jc w:val="both"/>
        <w:rPr>
          <w:sz w:val="24"/>
        </w:rPr>
      </w:pPr>
      <w:r>
        <w:rPr>
          <w:sz w:val="24"/>
        </w:rPr>
        <w:t>The following supplementary rules</w:t>
      </w:r>
      <w:r>
        <w:rPr>
          <w:spacing w:val="-1"/>
          <w:sz w:val="24"/>
        </w:rPr>
        <w:t> </w:t>
      </w:r>
      <w:r>
        <w:rPr>
          <w:sz w:val="24"/>
        </w:rPr>
        <w:t>apply:</w:t>
      </w:r>
    </w:p>
    <w:p>
      <w:pPr>
        <w:pStyle w:val="ListParagraph"/>
        <w:numPr>
          <w:ilvl w:val="1"/>
          <w:numId w:val="361"/>
        </w:numPr>
        <w:tabs>
          <w:tab w:pos="2486" w:val="left" w:leader="none"/>
        </w:tabs>
        <w:spacing w:line="240" w:lineRule="auto" w:before="120" w:after="0"/>
        <w:ind w:left="2486" w:right="415" w:hanging="567"/>
        <w:jc w:val="both"/>
        <w:rPr>
          <w:sz w:val="24"/>
        </w:rPr>
      </w:pPr>
      <w:r>
        <w:rPr>
          <w:sz w:val="24"/>
        </w:rPr>
        <w:t>if a </w:t>
      </w:r>
      <w:r>
        <w:rPr>
          <w:i/>
          <w:sz w:val="24"/>
        </w:rPr>
        <w:t>Distribution Network Service Provider </w:t>
      </w:r>
      <w:r>
        <w:rPr>
          <w:sz w:val="24"/>
        </w:rPr>
        <w:t>requires information from a </w:t>
      </w:r>
      <w:r>
        <w:rPr>
          <w:i/>
          <w:sz w:val="24"/>
        </w:rPr>
        <w:t>connection applicant </w:t>
      </w:r>
      <w:r>
        <w:rPr>
          <w:sz w:val="24"/>
        </w:rPr>
        <w:t>in addition to the information provided in the application, a request for the additional information under </w:t>
      </w:r>
      <w:r>
        <w:rPr>
          <w:spacing w:val="-3"/>
          <w:sz w:val="24"/>
        </w:rPr>
        <w:t>paragraph </w:t>
      </w:r>
      <w:r>
        <w:rPr>
          <w:sz w:val="24"/>
        </w:rPr>
        <w:t>(a)(2) must (if practicable) be made within 20 </w:t>
      </w:r>
      <w:r>
        <w:rPr>
          <w:i/>
          <w:sz w:val="24"/>
        </w:rPr>
        <w:t>business days </w:t>
      </w:r>
      <w:r>
        <w:rPr>
          <w:sz w:val="24"/>
        </w:rPr>
        <w:t>after the </w:t>
      </w:r>
      <w:r>
        <w:rPr>
          <w:i/>
          <w:sz w:val="24"/>
        </w:rPr>
        <w:t>Distribution Network Service Provider </w:t>
      </w:r>
      <w:r>
        <w:rPr>
          <w:sz w:val="24"/>
        </w:rPr>
        <w:t>receives the relevant application;</w:t>
      </w:r>
    </w:p>
    <w:p>
      <w:pPr>
        <w:pStyle w:val="ListParagraph"/>
        <w:numPr>
          <w:ilvl w:val="1"/>
          <w:numId w:val="361"/>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must provide the information required under paragraph (a)(3) as soon as practicable after the </w:t>
      </w:r>
      <w:r>
        <w:rPr>
          <w:i/>
          <w:sz w:val="24"/>
        </w:rPr>
        <w:t>Distribution Network Service Provider </w:t>
      </w:r>
      <w:r>
        <w:rPr>
          <w:sz w:val="24"/>
        </w:rPr>
        <w:t>receives the </w:t>
      </w:r>
      <w:r>
        <w:rPr>
          <w:i/>
          <w:sz w:val="24"/>
        </w:rPr>
        <w:t>connection applicant's </w:t>
      </w:r>
      <w:r>
        <w:rPr>
          <w:sz w:val="24"/>
        </w:rPr>
        <w:t>application or, if the </w:t>
      </w:r>
      <w:r>
        <w:rPr>
          <w:i/>
          <w:sz w:val="24"/>
        </w:rPr>
        <w:t>Distribution Network </w:t>
      </w:r>
      <w:r>
        <w:rPr>
          <w:i/>
          <w:sz w:val="24"/>
        </w:rPr>
        <w:t>Service Provider </w:t>
      </w:r>
      <w:r>
        <w:rPr>
          <w:sz w:val="24"/>
        </w:rPr>
        <w:t>requests additional information under </w:t>
      </w:r>
      <w:r>
        <w:rPr>
          <w:spacing w:val="-3"/>
          <w:sz w:val="24"/>
        </w:rPr>
        <w:t>paragraph </w:t>
      </w:r>
      <w:r>
        <w:rPr>
          <w:sz w:val="24"/>
        </w:rPr>
        <w:t>(a)(2), as soon as practicable after the </w:t>
      </w:r>
      <w:r>
        <w:rPr>
          <w:i/>
          <w:sz w:val="24"/>
        </w:rPr>
        <w:t>Distribution Network Service </w:t>
      </w:r>
      <w:r>
        <w:rPr>
          <w:i/>
          <w:sz w:val="24"/>
        </w:rPr>
        <w:t>Provider </w:t>
      </w:r>
      <w:r>
        <w:rPr>
          <w:sz w:val="24"/>
        </w:rPr>
        <w:t>receives the relevant</w:t>
      </w:r>
      <w:r>
        <w:rPr>
          <w:spacing w:val="-1"/>
          <w:sz w:val="24"/>
        </w:rPr>
        <w:t> </w:t>
      </w:r>
      <w:r>
        <w:rPr>
          <w:sz w:val="24"/>
        </w:rPr>
        <w:t>information.</w:t>
      </w:r>
    </w:p>
    <w:p>
      <w:pPr>
        <w:pStyle w:val="ListParagraph"/>
        <w:numPr>
          <w:ilvl w:val="0"/>
          <w:numId w:val="361"/>
        </w:numPr>
        <w:tabs>
          <w:tab w:pos="1919" w:val="left" w:leader="none"/>
        </w:tabs>
        <w:spacing w:line="240" w:lineRule="auto" w:before="120" w:after="0"/>
        <w:ind w:left="1919" w:right="415" w:hanging="567"/>
        <w:jc w:val="both"/>
        <w:rPr>
          <w:sz w:val="24"/>
        </w:rPr>
      </w:pPr>
      <w:r>
        <w:rPr>
          <w:sz w:val="24"/>
        </w:rPr>
        <w:t>Each party to the negotiations must maintain the confidentiality of </w:t>
      </w:r>
      <w:r>
        <w:rPr>
          <w:i/>
          <w:sz w:val="24"/>
        </w:rPr>
        <w:t>confidential information </w:t>
      </w:r>
      <w:r>
        <w:rPr>
          <w:sz w:val="24"/>
        </w:rPr>
        <w:t>disclosed by the other party in the course of the negotiations unless disclosure of the information is</w:t>
      </w:r>
      <w:r>
        <w:rPr>
          <w:spacing w:val="-1"/>
          <w:sz w:val="24"/>
        </w:rPr>
        <w:t> </w:t>
      </w:r>
      <w:r>
        <w:rPr>
          <w:sz w:val="24"/>
        </w:rPr>
        <w:t>authorised:</w:t>
      </w:r>
    </w:p>
    <w:p>
      <w:pPr>
        <w:pStyle w:val="ListParagraph"/>
        <w:numPr>
          <w:ilvl w:val="1"/>
          <w:numId w:val="361"/>
        </w:numPr>
        <w:tabs>
          <w:tab w:pos="2486" w:val="left" w:leader="none"/>
        </w:tabs>
        <w:spacing w:line="240" w:lineRule="auto" w:before="120" w:after="0"/>
        <w:ind w:left="2485" w:right="0" w:hanging="567"/>
        <w:jc w:val="both"/>
        <w:rPr>
          <w:sz w:val="24"/>
        </w:rPr>
      </w:pPr>
      <w:r>
        <w:rPr>
          <w:sz w:val="24"/>
        </w:rPr>
        <w:t>by the party to whom the duty of confidentiality is owed;</w:t>
      </w:r>
      <w:r>
        <w:rPr>
          <w:spacing w:val="-3"/>
          <w:sz w:val="24"/>
        </w:rPr>
        <w:t> </w:t>
      </w:r>
      <w:r>
        <w:rPr>
          <w:sz w:val="24"/>
        </w:rPr>
        <w:t>or</w:t>
      </w:r>
    </w:p>
    <w:p>
      <w:pPr>
        <w:pStyle w:val="ListParagraph"/>
        <w:numPr>
          <w:ilvl w:val="1"/>
          <w:numId w:val="361"/>
        </w:numPr>
        <w:tabs>
          <w:tab w:pos="2486" w:val="left" w:leader="none"/>
        </w:tabs>
        <w:spacing w:line="240" w:lineRule="auto" w:before="120" w:after="0"/>
        <w:ind w:left="2485" w:right="0" w:hanging="567"/>
        <w:jc w:val="both"/>
        <w:rPr>
          <w:sz w:val="24"/>
        </w:rPr>
      </w:pPr>
      <w:r>
        <w:rPr>
          <w:sz w:val="24"/>
        </w:rPr>
        <w:t>under:</w:t>
      </w:r>
    </w:p>
    <w:p>
      <w:pPr>
        <w:pStyle w:val="ListParagraph"/>
        <w:numPr>
          <w:ilvl w:val="2"/>
          <w:numId w:val="361"/>
        </w:numPr>
        <w:tabs>
          <w:tab w:pos="3053" w:val="left" w:leader="none"/>
        </w:tabs>
        <w:spacing w:line="240" w:lineRule="auto" w:before="120" w:after="0"/>
        <w:ind w:left="3052" w:right="0" w:hanging="567"/>
        <w:jc w:val="both"/>
        <w:rPr>
          <w:sz w:val="24"/>
        </w:rPr>
      </w:pPr>
      <w:r>
        <w:rPr>
          <w:sz w:val="24"/>
        </w:rPr>
        <w:t>the Law or the Rules;</w:t>
      </w:r>
      <w:r>
        <w:rPr>
          <w:spacing w:val="-1"/>
          <w:sz w:val="24"/>
        </w:rPr>
        <w:t> </w:t>
      </w:r>
      <w:r>
        <w:rPr>
          <w:sz w:val="24"/>
        </w:rPr>
        <w:t>or</w:t>
      </w:r>
    </w:p>
    <w:p>
      <w:pPr>
        <w:pStyle w:val="ListParagraph"/>
        <w:numPr>
          <w:ilvl w:val="2"/>
          <w:numId w:val="361"/>
        </w:numPr>
        <w:tabs>
          <w:tab w:pos="3054" w:val="left" w:leader="none"/>
        </w:tabs>
        <w:spacing w:line="240" w:lineRule="auto" w:before="120" w:after="0"/>
        <w:ind w:left="3053" w:right="0" w:hanging="568"/>
        <w:jc w:val="both"/>
        <w:rPr>
          <w:sz w:val="24"/>
        </w:rPr>
      </w:pPr>
      <w:r>
        <w:rPr>
          <w:sz w:val="24"/>
        </w:rPr>
        <w:t>any other</w:t>
      </w:r>
      <w:r>
        <w:rPr>
          <w:spacing w:val="-1"/>
          <w:sz w:val="24"/>
        </w:rPr>
        <w:t> </w:t>
      </w:r>
      <w:r>
        <w:rPr>
          <w:sz w:val="24"/>
        </w:rPr>
        <w:t>law.</w:t>
      </w:r>
    </w:p>
    <w:p>
      <w:pPr>
        <w:pStyle w:val="BodyText"/>
        <w:spacing w:before="10"/>
        <w:ind w:firstLine="0"/>
        <w:jc w:val="left"/>
        <w:rPr>
          <w:sz w:val="20"/>
        </w:rPr>
      </w:pPr>
    </w:p>
    <w:p>
      <w:pPr>
        <w:pStyle w:val="Heading4"/>
        <w:tabs>
          <w:tab w:pos="1351" w:val="left" w:leader="none"/>
        </w:tabs>
        <w:ind w:left="218" w:firstLine="0"/>
      </w:pPr>
      <w:bookmarkStart w:name="5A.C.4 Fee to cover cost of negotiation" w:id="1160"/>
      <w:bookmarkEnd w:id="1160"/>
      <w:r>
        <w:rPr>
          <w:b w:val="0"/>
        </w:rPr>
      </w:r>
      <w:bookmarkStart w:name="_bookmark472" w:id="1161"/>
      <w:bookmarkEnd w:id="1161"/>
      <w:r>
        <w:rPr>
          <w:b w:val="0"/>
        </w:rPr>
      </w:r>
      <w:r>
        <w:rPr/>
        <w:t>5A.C.4</w:t>
        <w:tab/>
        <w:t>Fee to cover cost of</w:t>
      </w:r>
      <w:r>
        <w:rPr>
          <w:spacing w:val="-3"/>
        </w:rPr>
        <w:t> </w:t>
      </w:r>
      <w:r>
        <w:rPr/>
        <w:t>negotiation</w:t>
      </w:r>
    </w:p>
    <w:p>
      <w:pPr>
        <w:pStyle w:val="ListParagraph"/>
        <w:numPr>
          <w:ilvl w:val="0"/>
          <w:numId w:val="363"/>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may charge a </w:t>
      </w:r>
      <w:r>
        <w:rPr>
          <w:i/>
          <w:sz w:val="24"/>
        </w:rPr>
        <w:t>connection </w:t>
      </w:r>
      <w:r>
        <w:rPr>
          <w:i/>
          <w:sz w:val="24"/>
        </w:rPr>
        <w:t>applicant </w:t>
      </w:r>
      <w:r>
        <w:rPr>
          <w:sz w:val="24"/>
        </w:rPr>
        <w:t>for a negotiated </w:t>
      </w:r>
      <w:r>
        <w:rPr>
          <w:i/>
          <w:sz w:val="24"/>
        </w:rPr>
        <w:t>connection contract </w:t>
      </w:r>
      <w:r>
        <w:rPr>
          <w:sz w:val="24"/>
        </w:rPr>
        <w:t>a reasonable fee to cover expenses directly and reasonably incurred by the </w:t>
      </w:r>
      <w:r>
        <w:rPr>
          <w:i/>
          <w:sz w:val="24"/>
        </w:rPr>
        <w:t>Distribution Network </w:t>
      </w:r>
      <w:r>
        <w:rPr>
          <w:i/>
          <w:sz w:val="24"/>
        </w:rPr>
        <w:t>Service Provider </w:t>
      </w:r>
      <w:r>
        <w:rPr>
          <w:sz w:val="24"/>
        </w:rPr>
        <w:t>in assessing the applicant's application and making a </w:t>
      </w:r>
      <w:r>
        <w:rPr>
          <w:i/>
          <w:sz w:val="24"/>
        </w:rPr>
        <w:t>connection</w:t>
      </w:r>
      <w:r>
        <w:rPr>
          <w:i/>
          <w:spacing w:val="-1"/>
          <w:sz w:val="24"/>
        </w:rPr>
        <w:t> </w:t>
      </w:r>
      <w:r>
        <w:rPr>
          <w:i/>
          <w:sz w:val="24"/>
        </w:rPr>
        <w:t>offer</w:t>
      </w:r>
      <w:r>
        <w:rPr>
          <w:sz w:val="24"/>
        </w:rPr>
        <w:t>.</w:t>
      </w:r>
    </w:p>
    <w:p>
      <w:pPr>
        <w:pStyle w:val="ListParagraph"/>
        <w:numPr>
          <w:ilvl w:val="0"/>
          <w:numId w:val="363"/>
        </w:numPr>
        <w:tabs>
          <w:tab w:pos="1919" w:val="left" w:leader="none"/>
        </w:tabs>
        <w:spacing w:line="240" w:lineRule="auto" w:before="120" w:after="0"/>
        <w:ind w:left="1919" w:right="416" w:hanging="567"/>
        <w:jc w:val="both"/>
        <w:rPr>
          <w:sz w:val="24"/>
        </w:rPr>
      </w:pPr>
      <w:r>
        <w:rPr>
          <w:sz w:val="24"/>
        </w:rPr>
        <w:t>A fee charged under paragraph (a) is recoverable as a debt (whether or </w:t>
      </w:r>
      <w:r>
        <w:rPr>
          <w:spacing w:val="-4"/>
          <w:sz w:val="24"/>
        </w:rPr>
        <w:t>not </w:t>
      </w:r>
      <w:r>
        <w:rPr>
          <w:sz w:val="24"/>
        </w:rPr>
        <w:t>the </w:t>
      </w:r>
      <w:r>
        <w:rPr>
          <w:i/>
          <w:sz w:val="24"/>
        </w:rPr>
        <w:t>connection applicant </w:t>
      </w:r>
      <w:r>
        <w:rPr>
          <w:sz w:val="24"/>
        </w:rPr>
        <w:t>accepts the </w:t>
      </w:r>
      <w:r>
        <w:rPr>
          <w:i/>
          <w:sz w:val="24"/>
        </w:rPr>
        <w:t>connection</w:t>
      </w:r>
      <w:r>
        <w:rPr>
          <w:i/>
          <w:spacing w:val="-1"/>
          <w:sz w:val="24"/>
        </w:rPr>
        <w:t> </w:t>
      </w:r>
      <w:r>
        <w:rPr>
          <w:i/>
          <w:sz w:val="24"/>
        </w:rPr>
        <w:t>offer</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D Application for connection servic" w:id="1162"/>
      <w:bookmarkEnd w:id="1162"/>
      <w:r>
        <w:rPr>
          <w:b w:val="0"/>
        </w:rPr>
      </w:r>
      <w:bookmarkStart w:name="_bookmark473" w:id="1163"/>
      <w:bookmarkEnd w:id="1163"/>
      <w:r>
        <w:rPr>
          <w:b w:val="0"/>
        </w:rPr>
      </w:r>
      <w:r>
        <w:rPr>
          <w:shd w:fill="D9D9D9" w:color="auto" w:val="clear"/>
        </w:rPr>
        <w:t>Part D</w:t>
        <w:tab/>
        <w:t>Application for connection</w:t>
      </w:r>
      <w:r>
        <w:rPr>
          <w:spacing w:val="-25"/>
          <w:shd w:fill="D9D9D9" w:color="auto" w:val="clear"/>
        </w:rPr>
        <w:t> </w:t>
      </w:r>
      <w:r>
        <w:rPr>
          <w:shd w:fill="D9D9D9" w:color="auto" w:val="clear"/>
        </w:rPr>
        <w:t>service</w:t>
        <w:tab/>
      </w:r>
    </w:p>
    <w:p>
      <w:pPr>
        <w:pStyle w:val="BodyText"/>
        <w:spacing w:before="4"/>
        <w:ind w:firstLine="0"/>
        <w:jc w:val="left"/>
        <w:rPr>
          <w:rFonts w:ascii="Arial"/>
          <w:b/>
          <w:sz w:val="31"/>
        </w:rPr>
      </w:pPr>
    </w:p>
    <w:p>
      <w:pPr>
        <w:tabs>
          <w:tab w:pos="2485" w:val="left" w:leader="none"/>
        </w:tabs>
        <w:spacing w:before="0"/>
        <w:ind w:left="218" w:right="0" w:firstLine="0"/>
        <w:jc w:val="left"/>
        <w:rPr>
          <w:rFonts w:ascii="Arial"/>
          <w:b/>
          <w:sz w:val="28"/>
        </w:rPr>
      </w:pPr>
      <w:bookmarkStart w:name="_bookmark474" w:id="1164"/>
      <w:bookmarkEnd w:id="1164"/>
      <w:r>
        <w:rPr/>
      </w:r>
      <w:r>
        <w:rPr>
          <w:rFonts w:ascii="Arial"/>
          <w:b/>
          <w:sz w:val="28"/>
        </w:rPr>
        <w:t>Division</w:t>
      </w:r>
      <w:r>
        <w:rPr>
          <w:rFonts w:ascii="Arial"/>
          <w:b/>
          <w:spacing w:val="-4"/>
          <w:sz w:val="28"/>
        </w:rPr>
        <w:t> </w:t>
      </w:r>
      <w:r>
        <w:rPr>
          <w:rFonts w:ascii="Arial"/>
          <w:b/>
          <w:sz w:val="28"/>
        </w:rPr>
        <w:t>1</w:t>
        <w:tab/>
        <w:t>Information</w:t>
      </w:r>
    </w:p>
    <w:p>
      <w:pPr>
        <w:pStyle w:val="Heading4"/>
        <w:tabs>
          <w:tab w:pos="1351" w:val="left" w:leader="none"/>
        </w:tabs>
        <w:spacing w:before="240"/>
        <w:ind w:left="218" w:firstLine="0"/>
      </w:pPr>
      <w:bookmarkStart w:name=" " w:id="1165"/>
      <w:bookmarkEnd w:id="1165"/>
      <w:r>
        <w:rPr>
          <w:b w:val="0"/>
        </w:rPr>
      </w:r>
      <w:bookmarkStart w:name="5A.D.1 Publication of information" w:id="1166"/>
      <w:bookmarkEnd w:id="1166"/>
      <w:r>
        <w:rPr>
          <w:b w:val="0"/>
        </w:rPr>
      </w:r>
      <w:bookmarkStart w:name="_bookmark475" w:id="1167"/>
      <w:bookmarkEnd w:id="1167"/>
      <w:r>
        <w:rPr>
          <w:b w:val="0"/>
        </w:rPr>
      </w:r>
      <w:r>
        <w:rPr/>
        <w:t>5A.D.1</w:t>
        <w:tab/>
        <w:t>Publication of</w:t>
      </w:r>
      <w:r>
        <w:rPr>
          <w:spacing w:val="-1"/>
        </w:rPr>
        <w:t> </w:t>
      </w:r>
      <w:r>
        <w:rPr/>
        <w:t>information</w:t>
      </w:r>
    </w:p>
    <w:p>
      <w:pPr>
        <w:pStyle w:val="ListParagraph"/>
        <w:numPr>
          <w:ilvl w:val="0"/>
          <w:numId w:val="364"/>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publish on its website the following:</w:t>
      </w:r>
    </w:p>
    <w:p>
      <w:pPr>
        <w:pStyle w:val="ListParagraph"/>
        <w:numPr>
          <w:ilvl w:val="1"/>
          <w:numId w:val="364"/>
        </w:numPr>
        <w:tabs>
          <w:tab w:pos="2486" w:val="left" w:leader="none"/>
        </w:tabs>
        <w:spacing w:line="240" w:lineRule="auto" w:before="120" w:after="0"/>
        <w:ind w:left="2486" w:right="414" w:hanging="567"/>
        <w:jc w:val="both"/>
        <w:rPr>
          <w:sz w:val="24"/>
        </w:rPr>
      </w:pPr>
      <w:r>
        <w:rPr>
          <w:sz w:val="24"/>
        </w:rPr>
        <w:t>an application form for a </w:t>
      </w:r>
      <w:r>
        <w:rPr>
          <w:i/>
          <w:sz w:val="24"/>
        </w:rPr>
        <w:t>new connection </w:t>
      </w:r>
      <w:r>
        <w:rPr>
          <w:sz w:val="24"/>
        </w:rPr>
        <w:t>or a </w:t>
      </w:r>
      <w:r>
        <w:rPr>
          <w:i/>
          <w:sz w:val="24"/>
        </w:rPr>
        <w:t>connection alteration</w:t>
      </w:r>
      <w:r>
        <w:rPr>
          <w:sz w:val="24"/>
        </w:rPr>
        <w:t>; and</w:t>
      </w:r>
    </w:p>
    <w:p>
      <w:pPr>
        <w:pStyle w:val="ListParagraph"/>
        <w:numPr>
          <w:ilvl w:val="1"/>
          <w:numId w:val="364"/>
        </w:numPr>
        <w:tabs>
          <w:tab w:pos="2486" w:val="left" w:leader="none"/>
        </w:tabs>
        <w:spacing w:line="240" w:lineRule="auto" w:before="120" w:after="0"/>
        <w:ind w:left="2486" w:right="415" w:hanging="567"/>
        <w:jc w:val="both"/>
        <w:rPr>
          <w:sz w:val="24"/>
        </w:rPr>
      </w:pPr>
      <w:r>
        <w:rPr>
          <w:sz w:val="24"/>
        </w:rPr>
        <w:t>a description of how an application for a </w:t>
      </w:r>
      <w:r>
        <w:rPr>
          <w:i/>
          <w:sz w:val="24"/>
        </w:rPr>
        <w:t>new connection </w:t>
      </w:r>
      <w:r>
        <w:rPr>
          <w:sz w:val="24"/>
        </w:rPr>
        <w:t>or a </w:t>
      </w:r>
      <w:r>
        <w:rPr>
          <w:i/>
          <w:sz w:val="24"/>
        </w:rPr>
        <w:t>connection alteration </w:t>
      </w:r>
      <w:r>
        <w:rPr>
          <w:sz w:val="24"/>
        </w:rPr>
        <w:t>is to be made (including a statement of the information required for the application);</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64"/>
        </w:numPr>
        <w:tabs>
          <w:tab w:pos="2486" w:val="left" w:leader="none"/>
        </w:tabs>
        <w:spacing w:line="240" w:lineRule="auto" w:before="83" w:after="0"/>
        <w:ind w:left="2486" w:right="415" w:hanging="567"/>
        <w:jc w:val="both"/>
        <w:rPr>
          <w:sz w:val="24"/>
        </w:rPr>
      </w:pPr>
      <w:r>
        <w:rPr>
          <w:sz w:val="24"/>
        </w:rPr>
        <w:t>a description of the </w:t>
      </w:r>
      <w:r>
        <w:rPr>
          <w:i/>
          <w:sz w:val="24"/>
        </w:rPr>
        <w:t>Distribution Network Service Provider's basic </w:t>
      </w:r>
      <w:r>
        <w:rPr>
          <w:i/>
          <w:sz w:val="24"/>
        </w:rPr>
        <w:t>connection services </w:t>
      </w:r>
      <w:r>
        <w:rPr>
          <w:sz w:val="24"/>
        </w:rPr>
        <w:t>and </w:t>
      </w:r>
      <w:r>
        <w:rPr>
          <w:i/>
          <w:sz w:val="24"/>
        </w:rPr>
        <w:t>standard connection services </w:t>
      </w:r>
      <w:r>
        <w:rPr>
          <w:sz w:val="24"/>
        </w:rPr>
        <w:t>and the classes (or subclasses) of </w:t>
      </w:r>
      <w:r>
        <w:rPr>
          <w:i/>
          <w:sz w:val="24"/>
        </w:rPr>
        <w:t>retail customer </w:t>
      </w:r>
      <w:r>
        <w:rPr>
          <w:sz w:val="24"/>
        </w:rPr>
        <w:t>to which they apply. If the </w:t>
      </w:r>
      <w:r>
        <w:rPr>
          <w:i/>
          <w:sz w:val="24"/>
        </w:rPr>
        <w:t>Distribution Network Service Provider </w:t>
      </w:r>
      <w:r>
        <w:rPr>
          <w:sz w:val="24"/>
        </w:rPr>
        <w:t>does not provide </w:t>
      </w:r>
      <w:r>
        <w:rPr>
          <w:i/>
          <w:sz w:val="24"/>
        </w:rPr>
        <w:t>standard </w:t>
      </w:r>
      <w:r>
        <w:rPr>
          <w:i/>
          <w:sz w:val="24"/>
        </w:rPr>
        <w:t>connection services </w:t>
      </w:r>
      <w:r>
        <w:rPr>
          <w:sz w:val="24"/>
        </w:rPr>
        <w:t>for all or some non-registered embedded generators, a clear statement to this effect must also be included in the description;</w:t>
      </w:r>
      <w:r>
        <w:rPr>
          <w:spacing w:val="-1"/>
          <w:sz w:val="24"/>
        </w:rPr>
        <w:t> </w:t>
      </w:r>
      <w:r>
        <w:rPr>
          <w:sz w:val="24"/>
        </w:rPr>
        <w:t>and</w:t>
      </w:r>
    </w:p>
    <w:p>
      <w:pPr>
        <w:pStyle w:val="ListParagraph"/>
        <w:numPr>
          <w:ilvl w:val="1"/>
          <w:numId w:val="364"/>
        </w:numPr>
        <w:tabs>
          <w:tab w:pos="2486" w:val="left" w:leader="none"/>
        </w:tabs>
        <w:spacing w:line="240" w:lineRule="auto" w:before="120" w:after="0"/>
        <w:ind w:left="2486" w:right="414" w:hanging="567"/>
        <w:jc w:val="both"/>
        <w:rPr>
          <w:sz w:val="24"/>
        </w:rPr>
      </w:pPr>
      <w:r>
        <w:rPr>
          <w:sz w:val="24"/>
        </w:rPr>
        <w:t>an explanation of the </w:t>
      </w:r>
      <w:r>
        <w:rPr>
          <w:i/>
          <w:sz w:val="24"/>
        </w:rPr>
        <w:t>connection applicant's </w:t>
      </w:r>
      <w:r>
        <w:rPr>
          <w:sz w:val="24"/>
        </w:rPr>
        <w:t>right to negotiate with the </w:t>
      </w:r>
      <w:r>
        <w:rPr>
          <w:i/>
          <w:sz w:val="24"/>
        </w:rPr>
        <w:t>Distribution Network Service Provider </w:t>
      </w:r>
      <w:r>
        <w:rPr>
          <w:sz w:val="24"/>
        </w:rPr>
        <w:t>for a negotiated </w:t>
      </w:r>
      <w:r>
        <w:rPr>
          <w:i/>
          <w:sz w:val="24"/>
        </w:rPr>
        <w:t>connection </w:t>
      </w:r>
      <w:r>
        <w:rPr>
          <w:i/>
          <w:sz w:val="24"/>
        </w:rPr>
        <w:t>contract </w:t>
      </w:r>
      <w:r>
        <w:rPr>
          <w:sz w:val="24"/>
        </w:rPr>
        <w:t>and a description of the negotiation process;</w:t>
      </w:r>
      <w:r>
        <w:rPr>
          <w:spacing w:val="-2"/>
          <w:sz w:val="24"/>
        </w:rPr>
        <w:t> </w:t>
      </w:r>
      <w:r>
        <w:rPr>
          <w:sz w:val="24"/>
        </w:rPr>
        <w:t>and</w:t>
      </w:r>
    </w:p>
    <w:p>
      <w:pPr>
        <w:pStyle w:val="ListParagraph"/>
        <w:numPr>
          <w:ilvl w:val="1"/>
          <w:numId w:val="364"/>
        </w:numPr>
        <w:tabs>
          <w:tab w:pos="2486" w:val="left" w:leader="none"/>
        </w:tabs>
        <w:spacing w:line="240" w:lineRule="auto" w:before="120" w:after="0"/>
        <w:ind w:left="2485" w:right="0" w:hanging="567"/>
        <w:jc w:val="both"/>
        <w:rPr>
          <w:sz w:val="24"/>
        </w:rPr>
      </w:pPr>
      <w:r>
        <w:rPr>
          <w:sz w:val="24"/>
        </w:rPr>
        <w:t>the requirements for an expedited </w:t>
      </w:r>
      <w:r>
        <w:rPr>
          <w:i/>
          <w:sz w:val="24"/>
        </w:rPr>
        <w:t>connection</w:t>
      </w:r>
      <w:r>
        <w:rPr>
          <w:sz w:val="24"/>
        </w:rPr>
        <w:t>;</w:t>
      </w:r>
      <w:r>
        <w:rPr>
          <w:spacing w:val="-3"/>
          <w:sz w:val="24"/>
        </w:rPr>
        <w:t> </w:t>
      </w:r>
      <w:r>
        <w:rPr>
          <w:sz w:val="24"/>
        </w:rPr>
        <w:t>and</w:t>
      </w:r>
    </w:p>
    <w:p>
      <w:pPr>
        <w:pStyle w:val="ListParagraph"/>
        <w:numPr>
          <w:ilvl w:val="1"/>
          <w:numId w:val="364"/>
        </w:numPr>
        <w:tabs>
          <w:tab w:pos="2486" w:val="left" w:leader="none"/>
        </w:tabs>
        <w:spacing w:line="240" w:lineRule="auto" w:before="120" w:after="0"/>
        <w:ind w:left="2485" w:right="0" w:hanging="567"/>
        <w:jc w:val="both"/>
        <w:rPr>
          <w:sz w:val="24"/>
        </w:rPr>
      </w:pPr>
      <w:r>
        <w:rPr>
          <w:sz w:val="24"/>
        </w:rPr>
        <w:t>the basis for calculation of </w:t>
      </w:r>
      <w:r>
        <w:rPr>
          <w:i/>
          <w:sz w:val="24"/>
        </w:rPr>
        <w:t>connection charges</w:t>
      </w:r>
      <w:r>
        <w:rPr>
          <w:sz w:val="24"/>
        </w:rPr>
        <w:t>;</w:t>
      </w:r>
      <w:r>
        <w:rPr>
          <w:spacing w:val="-2"/>
          <w:sz w:val="24"/>
        </w:rPr>
        <w:t> </w:t>
      </w:r>
      <w:r>
        <w:rPr>
          <w:sz w:val="24"/>
        </w:rPr>
        <w:t>and</w:t>
      </w:r>
    </w:p>
    <w:p>
      <w:pPr>
        <w:pStyle w:val="ListParagraph"/>
        <w:numPr>
          <w:ilvl w:val="1"/>
          <w:numId w:val="364"/>
        </w:numPr>
        <w:tabs>
          <w:tab w:pos="2486" w:val="left" w:leader="none"/>
        </w:tabs>
        <w:spacing w:line="240" w:lineRule="auto" w:before="120" w:after="0"/>
        <w:ind w:left="2486" w:right="414" w:hanging="567"/>
        <w:jc w:val="both"/>
        <w:rPr>
          <w:sz w:val="24"/>
        </w:rPr>
      </w:pPr>
      <w:r>
        <w:rPr>
          <w:sz w:val="24"/>
        </w:rPr>
        <w:t>information set out in clauses 5.3A.3(b)(1)(vii) and 5.3A.3(b)(2)-(7) as such information relates to the </w:t>
      </w:r>
      <w:r>
        <w:rPr>
          <w:i/>
          <w:sz w:val="24"/>
        </w:rPr>
        <w:t>connection </w:t>
      </w:r>
      <w:r>
        <w:rPr>
          <w:sz w:val="24"/>
        </w:rPr>
        <w:t>of </w:t>
      </w:r>
      <w:r>
        <w:rPr>
          <w:i/>
          <w:sz w:val="24"/>
        </w:rPr>
        <w:t>embedded generating </w:t>
      </w:r>
      <w:r>
        <w:rPr>
          <w:i/>
          <w:sz w:val="24"/>
        </w:rPr>
        <w:t>units </w:t>
      </w:r>
      <w:r>
        <w:rPr>
          <w:sz w:val="24"/>
        </w:rPr>
        <w:t>by a </w:t>
      </w:r>
      <w:r>
        <w:rPr>
          <w:i/>
          <w:sz w:val="24"/>
        </w:rPr>
        <w:t>non-registered embedded</w:t>
      </w:r>
      <w:r>
        <w:rPr>
          <w:i/>
          <w:spacing w:val="-1"/>
          <w:sz w:val="24"/>
        </w:rPr>
        <w:t> </w:t>
      </w:r>
      <w:r>
        <w:rPr>
          <w:i/>
          <w:sz w:val="24"/>
        </w:rPr>
        <w:t>generator</w:t>
      </w:r>
      <w:r>
        <w:rPr>
          <w:sz w:val="24"/>
        </w:rPr>
        <w:t>.</w:t>
      </w:r>
    </w:p>
    <w:p>
      <w:pPr>
        <w:pStyle w:val="ListParagraph"/>
        <w:numPr>
          <w:ilvl w:val="0"/>
          <w:numId w:val="364"/>
        </w:numPr>
        <w:tabs>
          <w:tab w:pos="1919" w:val="left" w:leader="none"/>
        </w:tabs>
        <w:spacing w:line="240" w:lineRule="auto" w:before="120" w:after="0"/>
        <w:ind w:left="1919" w:right="415" w:hanging="567"/>
        <w:jc w:val="both"/>
        <w:rPr>
          <w:sz w:val="24"/>
        </w:rPr>
      </w:pPr>
      <w:r>
        <w:rPr>
          <w:sz w:val="24"/>
        </w:rPr>
        <w:t>To the extent a </w:t>
      </w:r>
      <w:r>
        <w:rPr>
          <w:i/>
          <w:sz w:val="24"/>
        </w:rPr>
        <w:t>Distribution Network Service Provider </w:t>
      </w:r>
      <w:r>
        <w:rPr>
          <w:sz w:val="24"/>
        </w:rPr>
        <w:t>has provided the information required under paragraph (a)(7) by including that information in its information pack </w:t>
      </w:r>
      <w:r>
        <w:rPr>
          <w:i/>
          <w:sz w:val="24"/>
        </w:rPr>
        <w:t>published </w:t>
      </w:r>
      <w:r>
        <w:rPr>
          <w:sz w:val="24"/>
        </w:rPr>
        <w:t>under clause 5.3A.3(a)(3), it will be taken to have complied with paragraph</w:t>
      </w:r>
      <w:r>
        <w:rPr>
          <w:spacing w:val="-2"/>
          <w:sz w:val="24"/>
        </w:rPr>
        <w:t> </w:t>
      </w:r>
      <w:r>
        <w:rPr>
          <w:sz w:val="24"/>
        </w:rPr>
        <w:t>(a)(7).</w:t>
      </w:r>
    </w:p>
    <w:p>
      <w:pPr>
        <w:pStyle w:val="BodyText"/>
        <w:spacing w:before="10"/>
        <w:ind w:firstLine="0"/>
        <w:jc w:val="left"/>
        <w:rPr>
          <w:sz w:val="20"/>
        </w:rPr>
      </w:pPr>
    </w:p>
    <w:p>
      <w:pPr>
        <w:pStyle w:val="Heading4"/>
        <w:tabs>
          <w:tab w:pos="1351" w:val="left" w:leader="none"/>
        </w:tabs>
        <w:ind w:left="218" w:firstLine="0"/>
      </w:pPr>
      <w:bookmarkStart w:name="5A.D.1A Register of completed embedded g" w:id="1168"/>
      <w:bookmarkEnd w:id="1168"/>
      <w:r>
        <w:rPr>
          <w:b w:val="0"/>
        </w:rPr>
      </w:r>
      <w:bookmarkStart w:name="_bookmark476" w:id="1169"/>
      <w:bookmarkEnd w:id="1169"/>
      <w:r>
        <w:rPr>
          <w:b w:val="0"/>
        </w:rPr>
      </w:r>
      <w:r>
        <w:rPr/>
        <w:t>5A.D.1A</w:t>
        <w:tab/>
        <w:t>Register of completed embedded generation</w:t>
      </w:r>
      <w:r>
        <w:rPr>
          <w:spacing w:val="-6"/>
        </w:rPr>
        <w:t> </w:t>
      </w:r>
      <w:r>
        <w:rPr/>
        <w:t>projects</w:t>
      </w:r>
    </w:p>
    <w:p>
      <w:pPr>
        <w:pStyle w:val="ListParagraph"/>
        <w:numPr>
          <w:ilvl w:val="0"/>
          <w:numId w:val="365"/>
        </w:numPr>
        <w:tabs>
          <w:tab w:pos="1919" w:val="left" w:leader="none"/>
        </w:tabs>
        <w:spacing w:line="240" w:lineRule="auto" w:before="120" w:after="0"/>
        <w:ind w:left="1918" w:right="0" w:hanging="567"/>
        <w:jc w:val="both"/>
        <w:rPr>
          <w:sz w:val="24"/>
        </w:rPr>
      </w:pPr>
      <w:r>
        <w:rPr>
          <w:sz w:val="24"/>
        </w:rPr>
        <w:t>For the purposes of this clause</w:t>
      </w:r>
      <w:r>
        <w:rPr>
          <w:spacing w:val="-2"/>
          <w:sz w:val="24"/>
        </w:rPr>
        <w:t> </w:t>
      </w:r>
      <w:r>
        <w:rPr>
          <w:sz w:val="24"/>
        </w:rPr>
        <w:t>5A.D.1A:</w:t>
      </w:r>
    </w:p>
    <w:p>
      <w:pPr>
        <w:spacing w:before="120"/>
        <w:ind w:left="1919" w:right="415" w:firstLine="0"/>
        <w:jc w:val="both"/>
        <w:rPr>
          <w:sz w:val="24"/>
        </w:rPr>
      </w:pPr>
      <w:r>
        <w:rPr>
          <w:b/>
          <w:sz w:val="24"/>
        </w:rPr>
        <w:t>completed non-registered embedded generation projects </w:t>
      </w:r>
      <w:r>
        <w:rPr>
          <w:sz w:val="24"/>
        </w:rPr>
        <w:t>means all </w:t>
      </w:r>
      <w:r>
        <w:rPr>
          <w:i/>
          <w:sz w:val="24"/>
        </w:rPr>
        <w:t>embedded generating units</w:t>
      </w:r>
      <w:r>
        <w:rPr>
          <w:sz w:val="24"/>
        </w:rPr>
        <w:t>, operated or controlled by a non-registered embedded generator that are </w:t>
      </w:r>
      <w:r>
        <w:rPr>
          <w:i/>
          <w:sz w:val="24"/>
        </w:rPr>
        <w:t>connected </w:t>
      </w:r>
      <w:r>
        <w:rPr>
          <w:sz w:val="24"/>
        </w:rPr>
        <w:t>to the </w:t>
      </w:r>
      <w:r>
        <w:rPr>
          <w:i/>
          <w:sz w:val="24"/>
        </w:rPr>
        <w:t>Distribution Network Service </w:t>
      </w:r>
      <w:r>
        <w:rPr>
          <w:i/>
          <w:sz w:val="24"/>
        </w:rPr>
        <w:t>Provider's network </w:t>
      </w:r>
      <w:r>
        <w:rPr>
          <w:sz w:val="24"/>
        </w:rPr>
        <w:t>and that are below the relevant materiality threshold.</w:t>
      </w:r>
    </w:p>
    <w:p>
      <w:pPr>
        <w:pStyle w:val="BodyText"/>
        <w:ind w:left="1919" w:firstLine="0"/>
      </w:pPr>
      <w:r>
        <w:rPr>
          <w:b/>
        </w:rPr>
        <w:t>DAPR date </w:t>
      </w:r>
      <w:r>
        <w:rPr/>
        <w:t>has the same meaning as in clause 5.13.2.</w:t>
      </w:r>
    </w:p>
    <w:p>
      <w:pPr>
        <w:spacing w:before="120"/>
        <w:ind w:left="1919" w:right="0" w:firstLine="0"/>
        <w:jc w:val="both"/>
        <w:rPr>
          <w:sz w:val="24"/>
        </w:rPr>
      </w:pPr>
      <w:r>
        <w:rPr>
          <w:b/>
          <w:sz w:val="24"/>
        </w:rPr>
        <w:t>relevant materiality threshold </w:t>
      </w:r>
      <w:r>
        <w:rPr>
          <w:sz w:val="24"/>
        </w:rPr>
        <w:t>has the same meaning as in clause 5.1.3.</w:t>
      </w:r>
    </w:p>
    <w:p>
      <w:pPr>
        <w:pStyle w:val="ListParagraph"/>
        <w:numPr>
          <w:ilvl w:val="0"/>
          <w:numId w:val="365"/>
        </w:numPr>
        <w:tabs>
          <w:tab w:pos="1919" w:val="left" w:leader="none"/>
        </w:tabs>
        <w:spacing w:line="240" w:lineRule="auto" w:before="120" w:after="0"/>
        <w:ind w:left="1919" w:right="415" w:hanging="567"/>
        <w:jc w:val="both"/>
        <w:rPr>
          <w:sz w:val="24"/>
        </w:rPr>
      </w:pPr>
      <w:r>
        <w:rPr>
          <w:sz w:val="24"/>
        </w:rPr>
        <w:t>In relation to completed non-registered embedded generation projects,</w:t>
      </w:r>
      <w:r>
        <w:rPr>
          <w:spacing w:val="32"/>
          <w:sz w:val="24"/>
        </w:rPr>
        <w:t> </w:t>
      </w:r>
      <w:r>
        <w:rPr>
          <w:sz w:val="24"/>
        </w:rPr>
        <w:t>a </w:t>
      </w:r>
      <w:r>
        <w:rPr>
          <w:i/>
          <w:sz w:val="24"/>
        </w:rPr>
        <w:t>Distribution Network Service Provider </w:t>
      </w:r>
      <w:r>
        <w:rPr>
          <w:sz w:val="24"/>
        </w:rPr>
        <w:t>must establish and </w:t>
      </w:r>
      <w:r>
        <w:rPr>
          <w:i/>
          <w:sz w:val="24"/>
        </w:rPr>
        <w:t>publish</w:t>
      </w:r>
      <w:r>
        <w:rPr>
          <w:sz w:val="24"/>
        </w:rPr>
        <w:t>, on its website, a register of the </w:t>
      </w:r>
      <w:r>
        <w:rPr>
          <w:i/>
          <w:sz w:val="24"/>
        </w:rPr>
        <w:t>plant</w:t>
      </w:r>
      <w:r>
        <w:rPr>
          <w:sz w:val="24"/>
        </w:rPr>
        <w:t>, including but not limited</w:t>
      </w:r>
      <w:r>
        <w:rPr>
          <w:spacing w:val="-4"/>
          <w:sz w:val="24"/>
        </w:rPr>
        <w:t> </w:t>
      </w:r>
      <w:r>
        <w:rPr>
          <w:sz w:val="24"/>
        </w:rPr>
        <w:t>to:</w:t>
      </w:r>
    </w:p>
    <w:p>
      <w:pPr>
        <w:pStyle w:val="ListParagraph"/>
        <w:numPr>
          <w:ilvl w:val="1"/>
          <w:numId w:val="365"/>
        </w:numPr>
        <w:tabs>
          <w:tab w:pos="2485" w:val="left" w:leader="none"/>
          <w:tab w:pos="2486" w:val="left" w:leader="none"/>
        </w:tabs>
        <w:spacing w:line="240" w:lineRule="auto" w:before="120" w:after="0"/>
        <w:ind w:left="2486" w:right="416" w:hanging="567"/>
        <w:jc w:val="left"/>
        <w:rPr>
          <w:sz w:val="24"/>
        </w:rPr>
      </w:pPr>
      <w:r>
        <w:rPr>
          <w:sz w:val="24"/>
        </w:rPr>
        <w:t>technology of </w:t>
      </w:r>
      <w:r>
        <w:rPr>
          <w:i/>
          <w:sz w:val="24"/>
        </w:rPr>
        <w:t>generating unit </w:t>
      </w:r>
      <w:r>
        <w:rPr>
          <w:sz w:val="24"/>
        </w:rPr>
        <w:t>(e.g. </w:t>
      </w:r>
      <w:r>
        <w:rPr>
          <w:i/>
          <w:sz w:val="24"/>
        </w:rPr>
        <w:t>synchronous generating unit</w:t>
      </w:r>
      <w:r>
        <w:rPr>
          <w:sz w:val="24"/>
        </w:rPr>
        <w:t>, induction generator, photovoltaic array, etc) and its make and</w:t>
      </w:r>
      <w:r>
        <w:rPr>
          <w:spacing w:val="-4"/>
          <w:sz w:val="24"/>
        </w:rPr>
        <w:t> </w:t>
      </w:r>
      <w:r>
        <w:rPr>
          <w:sz w:val="24"/>
        </w:rPr>
        <w:t>model;</w:t>
      </w:r>
    </w:p>
    <w:p>
      <w:pPr>
        <w:pStyle w:val="ListParagraph"/>
        <w:numPr>
          <w:ilvl w:val="1"/>
          <w:numId w:val="365"/>
        </w:numPr>
        <w:tabs>
          <w:tab w:pos="2485" w:val="left" w:leader="none"/>
          <w:tab w:pos="2486" w:val="left" w:leader="none"/>
        </w:tabs>
        <w:spacing w:line="240" w:lineRule="auto" w:before="120" w:after="0"/>
        <w:ind w:left="2486" w:right="415" w:hanging="567"/>
        <w:jc w:val="left"/>
        <w:rPr>
          <w:sz w:val="24"/>
        </w:rPr>
      </w:pPr>
      <w:r>
        <w:rPr>
          <w:sz w:val="24"/>
        </w:rPr>
        <w:t>maximum power </w:t>
      </w:r>
      <w:r>
        <w:rPr>
          <w:i/>
          <w:sz w:val="24"/>
        </w:rPr>
        <w:t>generation </w:t>
      </w:r>
      <w:r>
        <w:rPr>
          <w:sz w:val="24"/>
        </w:rPr>
        <w:t>capacity of all </w:t>
      </w:r>
      <w:r>
        <w:rPr>
          <w:i/>
          <w:sz w:val="24"/>
        </w:rPr>
        <w:t>embedded generating </w:t>
      </w:r>
      <w:r>
        <w:rPr>
          <w:i/>
          <w:sz w:val="24"/>
        </w:rPr>
        <w:t>units </w:t>
      </w:r>
      <w:r>
        <w:rPr>
          <w:sz w:val="24"/>
        </w:rPr>
        <w:t>comprised in the relevant </w:t>
      </w:r>
      <w:r>
        <w:rPr>
          <w:i/>
          <w:sz w:val="24"/>
        </w:rPr>
        <w:t>generating</w:t>
      </w:r>
      <w:r>
        <w:rPr>
          <w:i/>
          <w:spacing w:val="-2"/>
          <w:sz w:val="24"/>
        </w:rPr>
        <w:t> </w:t>
      </w:r>
      <w:r>
        <w:rPr>
          <w:i/>
          <w:sz w:val="24"/>
        </w:rPr>
        <w:t>system</w:t>
      </w:r>
      <w:r>
        <w:rPr>
          <w:sz w:val="24"/>
        </w:rPr>
        <w:t>;</w:t>
      </w:r>
    </w:p>
    <w:p>
      <w:pPr>
        <w:pStyle w:val="ListParagraph"/>
        <w:numPr>
          <w:ilvl w:val="1"/>
          <w:numId w:val="365"/>
        </w:numPr>
        <w:tabs>
          <w:tab w:pos="2485" w:val="left" w:leader="none"/>
          <w:tab w:pos="2486" w:val="left" w:leader="none"/>
        </w:tabs>
        <w:spacing w:line="240" w:lineRule="auto" w:before="120" w:after="0"/>
        <w:ind w:left="2485" w:right="0" w:hanging="567"/>
        <w:jc w:val="left"/>
        <w:rPr>
          <w:sz w:val="24"/>
        </w:rPr>
      </w:pPr>
      <w:r>
        <w:rPr>
          <w:sz w:val="24"/>
        </w:rPr>
        <w:t>contribution to fault</w:t>
      </w:r>
      <w:r>
        <w:rPr>
          <w:spacing w:val="-1"/>
          <w:sz w:val="24"/>
        </w:rPr>
        <w:t> </w:t>
      </w:r>
      <w:r>
        <w:rPr>
          <w:sz w:val="24"/>
        </w:rPr>
        <w:t>levels;</w:t>
      </w:r>
    </w:p>
    <w:p>
      <w:pPr>
        <w:pStyle w:val="ListParagraph"/>
        <w:numPr>
          <w:ilvl w:val="1"/>
          <w:numId w:val="365"/>
        </w:numPr>
        <w:tabs>
          <w:tab w:pos="2485" w:val="left" w:leader="none"/>
          <w:tab w:pos="2486" w:val="left" w:leader="none"/>
        </w:tabs>
        <w:spacing w:line="240" w:lineRule="auto" w:before="120" w:after="0"/>
        <w:ind w:left="2485" w:right="0" w:hanging="567"/>
        <w:jc w:val="left"/>
        <w:rPr>
          <w:sz w:val="24"/>
        </w:rPr>
      </w:pPr>
      <w:r>
        <w:rPr>
          <w:sz w:val="24"/>
        </w:rPr>
        <w:t>the size and rating of the relevant</w:t>
      </w:r>
      <w:r>
        <w:rPr>
          <w:spacing w:val="-2"/>
          <w:sz w:val="24"/>
        </w:rPr>
        <w:t> </w:t>
      </w:r>
      <w:r>
        <w:rPr>
          <w:i/>
          <w:sz w:val="24"/>
        </w:rPr>
        <w:t>transformer</w:t>
      </w:r>
      <w:r>
        <w:rPr>
          <w:sz w:val="24"/>
        </w:rPr>
        <w:t>;</w:t>
      </w:r>
    </w:p>
    <w:p>
      <w:pPr>
        <w:pStyle w:val="ListParagraph"/>
        <w:numPr>
          <w:ilvl w:val="1"/>
          <w:numId w:val="365"/>
        </w:numPr>
        <w:tabs>
          <w:tab w:pos="2485" w:val="left" w:leader="none"/>
          <w:tab w:pos="2486" w:val="left" w:leader="none"/>
        </w:tabs>
        <w:spacing w:line="240" w:lineRule="auto" w:before="120" w:after="0"/>
        <w:ind w:left="2485" w:right="0" w:hanging="567"/>
        <w:jc w:val="left"/>
        <w:rPr>
          <w:sz w:val="24"/>
        </w:rPr>
      </w:pPr>
      <w:r>
        <w:rPr>
          <w:sz w:val="24"/>
        </w:rPr>
        <w:t>a single line diagram of the </w:t>
      </w:r>
      <w:r>
        <w:rPr>
          <w:i/>
          <w:sz w:val="24"/>
        </w:rPr>
        <w:t>connection</w:t>
      </w:r>
      <w:r>
        <w:rPr>
          <w:i/>
          <w:spacing w:val="-4"/>
          <w:sz w:val="24"/>
        </w:rPr>
        <w:t> </w:t>
      </w:r>
      <w:r>
        <w:rPr>
          <w:sz w:val="24"/>
        </w:rPr>
        <w:t>arrangement;</w:t>
      </w:r>
    </w:p>
    <w:p>
      <w:pPr>
        <w:pStyle w:val="ListParagraph"/>
        <w:numPr>
          <w:ilvl w:val="1"/>
          <w:numId w:val="365"/>
        </w:numPr>
        <w:tabs>
          <w:tab w:pos="2485" w:val="left" w:leader="none"/>
          <w:tab w:pos="2486" w:val="left" w:leader="none"/>
        </w:tabs>
        <w:spacing w:line="240" w:lineRule="auto" w:before="120" w:after="0"/>
        <w:ind w:left="2485" w:right="0" w:hanging="567"/>
        <w:jc w:val="left"/>
        <w:rPr>
          <w:sz w:val="24"/>
        </w:rPr>
      </w:pPr>
      <w:r>
        <w:rPr>
          <w:i/>
          <w:sz w:val="24"/>
        </w:rPr>
        <w:t>protection systems </w:t>
      </w:r>
      <w:r>
        <w:rPr>
          <w:sz w:val="24"/>
        </w:rPr>
        <w:t>and communication</w:t>
      </w:r>
      <w:r>
        <w:rPr>
          <w:spacing w:val="-3"/>
          <w:sz w:val="24"/>
        </w:rPr>
        <w:t> </w:t>
      </w:r>
      <w:r>
        <w:rPr>
          <w:sz w:val="24"/>
        </w:rPr>
        <w:t>systems;</w:t>
      </w:r>
    </w:p>
    <w:p>
      <w:pPr>
        <w:pStyle w:val="ListParagraph"/>
        <w:numPr>
          <w:ilvl w:val="1"/>
          <w:numId w:val="365"/>
        </w:numPr>
        <w:tabs>
          <w:tab w:pos="2485" w:val="left" w:leader="none"/>
          <w:tab w:pos="2486" w:val="left" w:leader="none"/>
        </w:tabs>
        <w:spacing w:line="240" w:lineRule="auto" w:before="120" w:after="0"/>
        <w:ind w:left="2485" w:right="0" w:hanging="567"/>
        <w:jc w:val="left"/>
        <w:rPr>
          <w:i/>
          <w:sz w:val="24"/>
        </w:rPr>
      </w:pPr>
      <w:r>
        <w:rPr>
          <w:i/>
          <w:sz w:val="24"/>
        </w:rPr>
        <w:t>voltage </w:t>
      </w:r>
      <w:r>
        <w:rPr>
          <w:sz w:val="24"/>
        </w:rPr>
        <w:t>control, </w:t>
      </w:r>
      <w:r>
        <w:rPr>
          <w:i/>
          <w:sz w:val="24"/>
        </w:rPr>
        <w:t>power factor </w:t>
      </w:r>
      <w:r>
        <w:rPr>
          <w:sz w:val="24"/>
        </w:rPr>
        <w:t>control and/or </w:t>
      </w:r>
      <w:r>
        <w:rPr>
          <w:i/>
          <w:sz w:val="24"/>
        </w:rPr>
        <w:t>reactive power</w:t>
      </w:r>
      <w:r>
        <w:rPr>
          <w:i/>
          <w:spacing w:val="7"/>
          <w:sz w:val="24"/>
        </w:rPr>
        <w:t> </w:t>
      </w:r>
      <w:r>
        <w:rPr>
          <w:i/>
          <w:sz w:val="24"/>
        </w:rPr>
        <w:t>capability</w:t>
      </w:r>
    </w:p>
    <w:p>
      <w:pPr>
        <w:pStyle w:val="BodyText"/>
        <w:spacing w:before="0"/>
        <w:ind w:left="2486" w:firstLine="0"/>
        <w:jc w:val="left"/>
      </w:pPr>
      <w:r>
        <w:rPr/>
        <w:t>(where relevant); and</w:t>
      </w:r>
    </w:p>
    <w:p>
      <w:pPr>
        <w:pStyle w:val="ListParagraph"/>
        <w:numPr>
          <w:ilvl w:val="1"/>
          <w:numId w:val="365"/>
        </w:numPr>
        <w:tabs>
          <w:tab w:pos="2485" w:val="left" w:leader="none"/>
          <w:tab w:pos="2486" w:val="left" w:leader="none"/>
        </w:tabs>
        <w:spacing w:line="240" w:lineRule="auto" w:before="120" w:after="0"/>
        <w:ind w:left="2485" w:right="0" w:hanging="567"/>
        <w:jc w:val="left"/>
        <w:rPr>
          <w:i/>
          <w:sz w:val="24"/>
        </w:rPr>
      </w:pPr>
      <w:r>
        <w:rPr>
          <w:sz w:val="24"/>
        </w:rPr>
        <w:t>details</w:t>
      </w:r>
      <w:r>
        <w:rPr>
          <w:spacing w:val="28"/>
          <w:sz w:val="24"/>
        </w:rPr>
        <w:t> </w:t>
      </w:r>
      <w:r>
        <w:rPr>
          <w:sz w:val="24"/>
        </w:rPr>
        <w:t>specific</w:t>
      </w:r>
      <w:r>
        <w:rPr>
          <w:spacing w:val="28"/>
          <w:sz w:val="24"/>
        </w:rPr>
        <w:t> </w:t>
      </w:r>
      <w:r>
        <w:rPr>
          <w:sz w:val="24"/>
        </w:rPr>
        <w:t>to</w:t>
      </w:r>
      <w:r>
        <w:rPr>
          <w:spacing w:val="28"/>
          <w:sz w:val="24"/>
        </w:rPr>
        <w:t> </w:t>
      </w:r>
      <w:r>
        <w:rPr>
          <w:sz w:val="24"/>
        </w:rPr>
        <w:t>the</w:t>
      </w:r>
      <w:r>
        <w:rPr>
          <w:spacing w:val="28"/>
          <w:sz w:val="24"/>
        </w:rPr>
        <w:t> </w:t>
      </w:r>
      <w:r>
        <w:rPr>
          <w:sz w:val="24"/>
        </w:rPr>
        <w:t>location</w:t>
      </w:r>
      <w:r>
        <w:rPr>
          <w:spacing w:val="27"/>
          <w:sz w:val="24"/>
        </w:rPr>
        <w:t> </w:t>
      </w:r>
      <w:r>
        <w:rPr>
          <w:sz w:val="24"/>
        </w:rPr>
        <w:t>of</w:t>
      </w:r>
      <w:r>
        <w:rPr>
          <w:spacing w:val="29"/>
          <w:sz w:val="24"/>
        </w:rPr>
        <w:t> </w:t>
      </w:r>
      <w:r>
        <w:rPr>
          <w:sz w:val="24"/>
        </w:rPr>
        <w:t>a</w:t>
      </w:r>
      <w:r>
        <w:rPr>
          <w:spacing w:val="27"/>
          <w:sz w:val="24"/>
        </w:rPr>
        <w:t> </w:t>
      </w:r>
      <w:r>
        <w:rPr>
          <w:i/>
          <w:sz w:val="24"/>
        </w:rPr>
        <w:t>facility</w:t>
      </w:r>
      <w:r>
        <w:rPr>
          <w:i/>
          <w:spacing w:val="29"/>
          <w:sz w:val="24"/>
        </w:rPr>
        <w:t> </w:t>
      </w:r>
      <w:r>
        <w:rPr>
          <w:i/>
          <w:sz w:val="24"/>
        </w:rPr>
        <w:t>connected</w:t>
      </w:r>
      <w:r>
        <w:rPr>
          <w:i/>
          <w:spacing w:val="29"/>
          <w:sz w:val="24"/>
        </w:rPr>
        <w:t> </w:t>
      </w:r>
      <w:r>
        <w:rPr>
          <w:sz w:val="24"/>
        </w:rPr>
        <w:t>to</w:t>
      </w:r>
      <w:r>
        <w:rPr>
          <w:spacing w:val="27"/>
          <w:sz w:val="24"/>
        </w:rPr>
        <w:t> </w:t>
      </w:r>
      <w:r>
        <w:rPr>
          <w:sz w:val="24"/>
        </w:rPr>
        <w:t>the</w:t>
      </w:r>
      <w:r>
        <w:rPr>
          <w:spacing w:val="29"/>
          <w:sz w:val="24"/>
        </w:rPr>
        <w:t> </w:t>
      </w:r>
      <w:r>
        <w:rPr>
          <w:i/>
          <w:sz w:val="24"/>
        </w:rPr>
        <w:t>network</w:t>
      </w:r>
    </w:p>
    <w:p>
      <w:pPr>
        <w:pStyle w:val="BodyText"/>
        <w:spacing w:before="0"/>
        <w:ind w:left="2486" w:firstLine="0"/>
        <w:jc w:val="left"/>
      </w:pPr>
      <w:r>
        <w:rPr/>
        <w:t>that are relevant to any of the details in subparagraphs (1)-(7).</w:t>
      </w:r>
    </w:p>
    <w:p>
      <w:pPr>
        <w:spacing w:after="0"/>
        <w:jc w:val="left"/>
        <w:sectPr>
          <w:pgSz w:w="11910" w:h="16840"/>
          <w:pgMar w:header="686" w:footer="637" w:top="1320" w:bottom="820" w:left="1200" w:right="1000"/>
        </w:sectPr>
      </w:pPr>
    </w:p>
    <w:p>
      <w:pPr>
        <w:pStyle w:val="ListParagraph"/>
        <w:numPr>
          <w:ilvl w:val="0"/>
          <w:numId w:val="365"/>
        </w:numPr>
        <w:tabs>
          <w:tab w:pos="1919" w:val="left" w:leader="none"/>
        </w:tabs>
        <w:spacing w:line="240" w:lineRule="auto" w:before="83" w:after="0"/>
        <w:ind w:left="1919" w:right="416" w:hanging="567"/>
        <w:jc w:val="both"/>
        <w:rPr>
          <w:sz w:val="24"/>
        </w:rPr>
      </w:pPr>
      <w:r>
        <w:rPr>
          <w:sz w:val="24"/>
        </w:rPr>
        <w:t>The </w:t>
      </w:r>
      <w:r>
        <w:rPr>
          <w:i/>
          <w:sz w:val="24"/>
        </w:rPr>
        <w:t>Distribution Network Service Provider </w:t>
      </w:r>
      <w:r>
        <w:rPr>
          <w:sz w:val="24"/>
        </w:rPr>
        <w:t>must not </w:t>
      </w:r>
      <w:r>
        <w:rPr>
          <w:i/>
          <w:sz w:val="24"/>
        </w:rPr>
        <w:t>publish confidential </w:t>
      </w:r>
      <w:r>
        <w:rPr>
          <w:i/>
          <w:sz w:val="24"/>
        </w:rPr>
        <w:t>information </w:t>
      </w:r>
      <w:r>
        <w:rPr>
          <w:sz w:val="24"/>
        </w:rPr>
        <w:t>as part of, or in connection with, the register, unless disclosure of the information is</w:t>
      </w:r>
      <w:r>
        <w:rPr>
          <w:spacing w:val="-1"/>
          <w:sz w:val="24"/>
        </w:rPr>
        <w:t> </w:t>
      </w:r>
      <w:r>
        <w:rPr>
          <w:sz w:val="24"/>
        </w:rPr>
        <w:t>authorised:</w:t>
      </w:r>
    </w:p>
    <w:p>
      <w:pPr>
        <w:pStyle w:val="ListParagraph"/>
        <w:numPr>
          <w:ilvl w:val="1"/>
          <w:numId w:val="365"/>
        </w:numPr>
        <w:tabs>
          <w:tab w:pos="2486" w:val="left" w:leader="none"/>
        </w:tabs>
        <w:spacing w:line="240" w:lineRule="auto" w:before="120" w:after="0"/>
        <w:ind w:left="2485" w:right="0" w:hanging="567"/>
        <w:jc w:val="both"/>
        <w:rPr>
          <w:sz w:val="24"/>
        </w:rPr>
      </w:pPr>
      <w:r>
        <w:rPr>
          <w:sz w:val="24"/>
        </w:rPr>
        <w:t>by the party to whom the duty of confidentiality is owed;</w:t>
      </w:r>
      <w:r>
        <w:rPr>
          <w:spacing w:val="-3"/>
          <w:sz w:val="24"/>
        </w:rPr>
        <w:t> </w:t>
      </w:r>
      <w:r>
        <w:rPr>
          <w:sz w:val="24"/>
        </w:rPr>
        <w:t>or</w:t>
      </w:r>
    </w:p>
    <w:p>
      <w:pPr>
        <w:pStyle w:val="ListParagraph"/>
        <w:numPr>
          <w:ilvl w:val="1"/>
          <w:numId w:val="365"/>
        </w:numPr>
        <w:tabs>
          <w:tab w:pos="2486" w:val="left" w:leader="none"/>
        </w:tabs>
        <w:spacing w:line="240" w:lineRule="auto" w:before="120" w:after="0"/>
        <w:ind w:left="2485" w:right="0" w:hanging="567"/>
        <w:jc w:val="both"/>
        <w:rPr>
          <w:sz w:val="24"/>
        </w:rPr>
      </w:pPr>
      <w:r>
        <w:rPr>
          <w:sz w:val="24"/>
        </w:rPr>
        <w:t>under:</w:t>
      </w:r>
    </w:p>
    <w:p>
      <w:pPr>
        <w:pStyle w:val="ListParagraph"/>
        <w:numPr>
          <w:ilvl w:val="2"/>
          <w:numId w:val="365"/>
        </w:numPr>
        <w:tabs>
          <w:tab w:pos="3053" w:val="left" w:leader="none"/>
        </w:tabs>
        <w:spacing w:line="240" w:lineRule="auto" w:before="120" w:after="0"/>
        <w:ind w:left="3052" w:right="0" w:hanging="567"/>
        <w:jc w:val="both"/>
        <w:rPr>
          <w:sz w:val="24"/>
        </w:rPr>
      </w:pPr>
      <w:r>
        <w:rPr>
          <w:sz w:val="24"/>
        </w:rPr>
        <w:t>the </w:t>
      </w:r>
      <w:r>
        <w:rPr>
          <w:i/>
          <w:sz w:val="24"/>
        </w:rPr>
        <w:t>National Electricity Law </w:t>
      </w:r>
      <w:r>
        <w:rPr>
          <w:sz w:val="24"/>
        </w:rPr>
        <w:t>or the </w:t>
      </w:r>
      <w:r>
        <w:rPr>
          <w:i/>
          <w:sz w:val="24"/>
        </w:rPr>
        <w:t>Rules</w:t>
      </w:r>
      <w:r>
        <w:rPr>
          <w:sz w:val="24"/>
        </w:rPr>
        <w:t>;</w:t>
      </w:r>
      <w:r>
        <w:rPr>
          <w:spacing w:val="-2"/>
          <w:sz w:val="24"/>
        </w:rPr>
        <w:t> </w:t>
      </w:r>
      <w:r>
        <w:rPr>
          <w:sz w:val="24"/>
        </w:rPr>
        <w:t>or</w:t>
      </w:r>
    </w:p>
    <w:p>
      <w:pPr>
        <w:pStyle w:val="ListParagraph"/>
        <w:numPr>
          <w:ilvl w:val="2"/>
          <w:numId w:val="365"/>
        </w:numPr>
        <w:tabs>
          <w:tab w:pos="3054" w:val="left" w:leader="none"/>
        </w:tabs>
        <w:spacing w:line="240" w:lineRule="auto" w:before="120" w:after="0"/>
        <w:ind w:left="3053" w:right="0" w:hanging="568"/>
        <w:jc w:val="both"/>
        <w:rPr>
          <w:sz w:val="24"/>
        </w:rPr>
      </w:pPr>
      <w:r>
        <w:rPr>
          <w:sz w:val="24"/>
        </w:rPr>
        <w:t>any other</w:t>
      </w:r>
      <w:r>
        <w:rPr>
          <w:spacing w:val="-1"/>
          <w:sz w:val="24"/>
        </w:rPr>
        <w:t> </w:t>
      </w:r>
      <w:r>
        <w:rPr>
          <w:sz w:val="24"/>
        </w:rPr>
        <w:t>law.</w:t>
      </w:r>
    </w:p>
    <w:p>
      <w:pPr>
        <w:pStyle w:val="ListParagraph"/>
        <w:numPr>
          <w:ilvl w:val="0"/>
          <w:numId w:val="365"/>
        </w:numPr>
        <w:tabs>
          <w:tab w:pos="1919" w:val="left" w:leader="none"/>
        </w:tabs>
        <w:spacing w:line="240" w:lineRule="auto" w:before="120" w:after="0"/>
        <w:ind w:left="1918" w:right="0" w:hanging="567"/>
        <w:jc w:val="both"/>
        <w:rPr>
          <w:sz w:val="24"/>
        </w:rPr>
      </w:pPr>
      <w:r>
        <w:rPr>
          <w:sz w:val="24"/>
        </w:rPr>
        <w:t>The </w:t>
      </w:r>
      <w:r>
        <w:rPr>
          <w:i/>
          <w:sz w:val="24"/>
        </w:rPr>
        <w:t>Distribution Network Service Provider</w:t>
      </w:r>
      <w:r>
        <w:rPr>
          <w:i/>
          <w:spacing w:val="-3"/>
          <w:sz w:val="24"/>
        </w:rPr>
        <w:t> </w:t>
      </w:r>
      <w:r>
        <w:rPr>
          <w:sz w:val="24"/>
        </w:rPr>
        <w:t>must:</w:t>
      </w:r>
    </w:p>
    <w:p>
      <w:pPr>
        <w:pStyle w:val="ListParagraph"/>
        <w:numPr>
          <w:ilvl w:val="1"/>
          <w:numId w:val="365"/>
        </w:numPr>
        <w:tabs>
          <w:tab w:pos="2486" w:val="left" w:leader="none"/>
        </w:tabs>
        <w:spacing w:line="240" w:lineRule="auto" w:before="120" w:after="0"/>
        <w:ind w:left="2486" w:right="415" w:hanging="567"/>
        <w:jc w:val="both"/>
        <w:rPr>
          <w:sz w:val="24"/>
        </w:rPr>
      </w:pPr>
      <w:r>
        <w:rPr>
          <w:sz w:val="24"/>
        </w:rPr>
        <w:t>by the DAPR date each year, include in the register the details contained in paragraph (b) for all completed non-registered embedded generation</w:t>
      </w:r>
      <w:r>
        <w:rPr>
          <w:spacing w:val="13"/>
          <w:sz w:val="24"/>
        </w:rPr>
        <w:t> </w:t>
      </w:r>
      <w:r>
        <w:rPr>
          <w:sz w:val="24"/>
        </w:rPr>
        <w:t>projects</w:t>
      </w:r>
      <w:r>
        <w:rPr>
          <w:spacing w:val="12"/>
          <w:sz w:val="24"/>
        </w:rPr>
        <w:t> </w:t>
      </w:r>
      <w:r>
        <w:rPr>
          <w:sz w:val="24"/>
        </w:rPr>
        <w:t>since</w:t>
      </w:r>
      <w:r>
        <w:rPr>
          <w:spacing w:val="12"/>
          <w:sz w:val="24"/>
        </w:rPr>
        <w:t> </w:t>
      </w:r>
      <w:r>
        <w:rPr>
          <w:sz w:val="24"/>
        </w:rPr>
        <w:t>the</w:t>
      </w:r>
      <w:r>
        <w:rPr>
          <w:spacing w:val="12"/>
          <w:sz w:val="24"/>
        </w:rPr>
        <w:t> </w:t>
      </w:r>
      <w:r>
        <w:rPr>
          <w:sz w:val="24"/>
        </w:rPr>
        <w:t>date</w:t>
      </w:r>
      <w:r>
        <w:rPr>
          <w:spacing w:val="12"/>
          <w:sz w:val="24"/>
        </w:rPr>
        <w:t> </w:t>
      </w:r>
      <w:r>
        <w:rPr>
          <w:sz w:val="24"/>
        </w:rPr>
        <w:t>the</w:t>
      </w:r>
      <w:r>
        <w:rPr>
          <w:spacing w:val="13"/>
          <w:sz w:val="24"/>
        </w:rPr>
        <w:t> </w:t>
      </w:r>
      <w:r>
        <w:rPr>
          <w:sz w:val="24"/>
        </w:rPr>
        <w:t>register</w:t>
      </w:r>
      <w:r>
        <w:rPr>
          <w:spacing w:val="13"/>
          <w:sz w:val="24"/>
        </w:rPr>
        <w:t> </w:t>
      </w:r>
      <w:r>
        <w:rPr>
          <w:sz w:val="24"/>
        </w:rPr>
        <w:t>referred</w:t>
      </w:r>
      <w:r>
        <w:rPr>
          <w:spacing w:val="12"/>
          <w:sz w:val="24"/>
        </w:rPr>
        <w:t> </w:t>
      </w:r>
      <w:r>
        <w:rPr>
          <w:sz w:val="24"/>
        </w:rPr>
        <w:t>to</w:t>
      </w:r>
      <w:r>
        <w:rPr>
          <w:spacing w:val="14"/>
          <w:sz w:val="24"/>
        </w:rPr>
        <w:t> </w:t>
      </w:r>
      <w:r>
        <w:rPr>
          <w:sz w:val="24"/>
        </w:rPr>
        <w:t>in</w:t>
      </w:r>
      <w:r>
        <w:rPr>
          <w:spacing w:val="13"/>
          <w:sz w:val="24"/>
        </w:rPr>
        <w:t> </w:t>
      </w:r>
      <w:r>
        <w:rPr>
          <w:sz w:val="24"/>
        </w:rPr>
        <w:t>paragraph</w:t>
      </w:r>
    </w:p>
    <w:p>
      <w:pPr>
        <w:pStyle w:val="BodyText"/>
        <w:spacing w:before="0"/>
        <w:ind w:left="2486" w:firstLine="0"/>
      </w:pPr>
      <w:r>
        <w:rPr/>
        <w:t>(b) is established; and</w:t>
      </w:r>
    </w:p>
    <w:p>
      <w:pPr>
        <w:pStyle w:val="ListParagraph"/>
        <w:numPr>
          <w:ilvl w:val="1"/>
          <w:numId w:val="365"/>
        </w:numPr>
        <w:tabs>
          <w:tab w:pos="2486" w:val="left" w:leader="none"/>
        </w:tabs>
        <w:spacing w:line="240" w:lineRule="auto" w:before="120" w:after="0"/>
        <w:ind w:left="2486" w:right="414" w:hanging="567"/>
        <w:jc w:val="both"/>
        <w:rPr>
          <w:sz w:val="24"/>
        </w:rPr>
      </w:pPr>
      <w:r>
        <w:rPr>
          <w:sz w:val="24"/>
        </w:rPr>
        <w:t>in the fifth year after the establishment of the register, and in each year thereafter, update the register by the DAPR date with details of all completed non-registered embedded generation projects in the 5 year period preceding the DAPR</w:t>
      </w:r>
      <w:r>
        <w:rPr>
          <w:spacing w:val="-2"/>
          <w:sz w:val="24"/>
        </w:rPr>
        <w:t> </w:t>
      </w:r>
      <w:r>
        <w:rPr>
          <w:sz w:val="24"/>
        </w:rPr>
        <w:t>date.</w:t>
      </w:r>
    </w:p>
    <w:p>
      <w:pPr>
        <w:pStyle w:val="ListParagraph"/>
        <w:numPr>
          <w:ilvl w:val="0"/>
          <w:numId w:val="365"/>
        </w:numPr>
        <w:tabs>
          <w:tab w:pos="1919" w:val="left" w:leader="none"/>
        </w:tabs>
        <w:spacing w:line="240" w:lineRule="auto" w:before="120" w:after="0"/>
        <w:ind w:left="1919" w:right="414" w:hanging="567"/>
        <w:jc w:val="both"/>
        <w:rPr>
          <w:sz w:val="24"/>
        </w:rPr>
      </w:pPr>
      <w:r>
        <w:rPr>
          <w:sz w:val="24"/>
        </w:rPr>
        <w:t>To the extent a </w:t>
      </w:r>
      <w:r>
        <w:rPr>
          <w:i/>
          <w:sz w:val="24"/>
        </w:rPr>
        <w:t>Distribution Network Service Provider </w:t>
      </w:r>
      <w:r>
        <w:rPr>
          <w:sz w:val="24"/>
        </w:rPr>
        <w:t>includes the information required under paragraphs (b) and (d) in its register established under rule 5.18B, it will be taken to have complied with paragraphs (b) and (d).</w:t>
      </w:r>
    </w:p>
    <w:p>
      <w:pPr>
        <w:pStyle w:val="BodyText"/>
        <w:spacing w:before="4"/>
        <w:ind w:firstLine="0"/>
        <w:jc w:val="left"/>
        <w:rPr>
          <w:sz w:val="31"/>
        </w:rPr>
      </w:pPr>
    </w:p>
    <w:p>
      <w:pPr>
        <w:pStyle w:val="Heading2"/>
        <w:tabs>
          <w:tab w:pos="2485" w:val="left" w:leader="none"/>
        </w:tabs>
      </w:pPr>
      <w:bookmarkStart w:name="_bookmark477" w:id="1170"/>
      <w:bookmarkEnd w:id="1170"/>
      <w:r>
        <w:rPr>
          <w:b w:val="0"/>
        </w:rPr>
      </w:r>
      <w:r>
        <w:rPr/>
        <w:t>Division</w:t>
      </w:r>
      <w:r>
        <w:rPr>
          <w:spacing w:val="-4"/>
        </w:rPr>
        <w:t> </w:t>
      </w:r>
      <w:r>
        <w:rPr/>
        <w:t>2</w:t>
        <w:tab/>
        <w:t>Preliminary enquiry</w:t>
      </w:r>
    </w:p>
    <w:p>
      <w:pPr>
        <w:pStyle w:val="Heading4"/>
        <w:tabs>
          <w:tab w:pos="1351" w:val="left" w:leader="none"/>
        </w:tabs>
        <w:spacing w:before="240"/>
        <w:ind w:left="218" w:firstLine="0"/>
      </w:pPr>
      <w:bookmarkStart w:name="5A.D.2 Preliminary enquiry" w:id="1171"/>
      <w:bookmarkEnd w:id="1171"/>
      <w:r>
        <w:rPr>
          <w:b w:val="0"/>
        </w:rPr>
      </w:r>
      <w:bookmarkStart w:name="_bookmark478" w:id="1172"/>
      <w:bookmarkEnd w:id="1172"/>
      <w:r>
        <w:rPr>
          <w:b w:val="0"/>
        </w:rPr>
      </w:r>
      <w:r>
        <w:rPr/>
        <w:t>5A.D.2</w:t>
        <w:tab/>
        <w:t>Preliminary</w:t>
      </w:r>
      <w:r>
        <w:rPr>
          <w:spacing w:val="-1"/>
        </w:rPr>
        <w:t> </w:t>
      </w:r>
      <w:r>
        <w:rPr/>
        <w:t>enquiry</w:t>
      </w:r>
    </w:p>
    <w:p>
      <w:pPr>
        <w:pStyle w:val="ListParagraph"/>
        <w:numPr>
          <w:ilvl w:val="0"/>
          <w:numId w:val="366"/>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must, within 5 </w:t>
      </w:r>
      <w:r>
        <w:rPr>
          <w:i/>
          <w:sz w:val="24"/>
        </w:rPr>
        <w:t>business days </w:t>
      </w:r>
      <w:r>
        <w:rPr>
          <w:sz w:val="24"/>
        </w:rPr>
        <w:t>after receiving an </w:t>
      </w:r>
      <w:r>
        <w:rPr>
          <w:i/>
          <w:sz w:val="24"/>
        </w:rPr>
        <w:t>enquiry </w:t>
      </w:r>
      <w:r>
        <w:rPr>
          <w:sz w:val="24"/>
        </w:rPr>
        <w:t>about a </w:t>
      </w:r>
      <w:r>
        <w:rPr>
          <w:i/>
          <w:sz w:val="24"/>
        </w:rPr>
        <w:t>connection service </w:t>
      </w:r>
      <w:r>
        <w:rPr>
          <w:sz w:val="24"/>
        </w:rPr>
        <w:t>(or some other period agreed between the </w:t>
      </w:r>
      <w:r>
        <w:rPr>
          <w:i/>
          <w:sz w:val="24"/>
        </w:rPr>
        <w:t>Distribution Network Service Provider </w:t>
      </w:r>
      <w:r>
        <w:rPr>
          <w:sz w:val="24"/>
        </w:rPr>
        <w:t>and the enquirer), provide the enquirer with the information required to make an informed</w:t>
      </w:r>
      <w:r>
        <w:rPr>
          <w:spacing w:val="-2"/>
          <w:sz w:val="24"/>
        </w:rPr>
        <w:t> </w:t>
      </w:r>
      <w:r>
        <w:rPr>
          <w:sz w:val="24"/>
        </w:rPr>
        <w:t>application.</w:t>
      </w:r>
    </w:p>
    <w:p>
      <w:pPr>
        <w:pStyle w:val="ListParagraph"/>
        <w:numPr>
          <w:ilvl w:val="0"/>
          <w:numId w:val="366"/>
        </w:numPr>
        <w:tabs>
          <w:tab w:pos="1919" w:val="left" w:leader="none"/>
        </w:tabs>
        <w:spacing w:line="240" w:lineRule="auto" w:before="120" w:after="0"/>
        <w:ind w:left="1918" w:right="0" w:hanging="567"/>
        <w:jc w:val="both"/>
        <w:rPr>
          <w:sz w:val="24"/>
        </w:rPr>
      </w:pPr>
      <w:r>
        <w:rPr>
          <w:sz w:val="24"/>
        </w:rPr>
        <w:t>The information must</w:t>
      </w:r>
      <w:r>
        <w:rPr>
          <w:spacing w:val="-1"/>
          <w:sz w:val="24"/>
        </w:rPr>
        <w:t> </w:t>
      </w:r>
      <w:r>
        <w:rPr>
          <w:sz w:val="24"/>
        </w:rPr>
        <w:t>include:</w:t>
      </w:r>
    </w:p>
    <w:p>
      <w:pPr>
        <w:pStyle w:val="ListParagraph"/>
        <w:numPr>
          <w:ilvl w:val="1"/>
          <w:numId w:val="366"/>
        </w:numPr>
        <w:tabs>
          <w:tab w:pos="2486" w:val="left" w:leader="none"/>
        </w:tabs>
        <w:spacing w:line="240" w:lineRule="auto" w:before="120" w:after="0"/>
        <w:ind w:left="2486" w:right="414" w:hanging="567"/>
        <w:jc w:val="both"/>
        <w:rPr>
          <w:sz w:val="24"/>
        </w:rPr>
      </w:pPr>
      <w:r>
        <w:rPr>
          <w:sz w:val="24"/>
        </w:rPr>
        <w:t>a description of the </w:t>
      </w:r>
      <w:r>
        <w:rPr>
          <w:i/>
          <w:sz w:val="24"/>
        </w:rPr>
        <w:t>Distribution Network Service Provider's </w:t>
      </w:r>
      <w:r>
        <w:rPr>
          <w:sz w:val="24"/>
        </w:rPr>
        <w:t>basic and </w:t>
      </w:r>
      <w:r>
        <w:rPr>
          <w:i/>
          <w:sz w:val="24"/>
        </w:rPr>
        <w:t>standard connection services </w:t>
      </w:r>
      <w:r>
        <w:rPr>
          <w:sz w:val="24"/>
        </w:rPr>
        <w:t>and the terms and conditions of the </w:t>
      </w:r>
      <w:r>
        <w:rPr>
          <w:i/>
          <w:sz w:val="24"/>
        </w:rPr>
        <w:t>model standing offers </w:t>
      </w:r>
      <w:r>
        <w:rPr>
          <w:sz w:val="24"/>
        </w:rPr>
        <w:t>to provide such services (including possible costs); and</w:t>
      </w:r>
    </w:p>
    <w:p>
      <w:pPr>
        <w:pStyle w:val="ListParagraph"/>
        <w:numPr>
          <w:ilvl w:val="1"/>
          <w:numId w:val="366"/>
        </w:numPr>
        <w:tabs>
          <w:tab w:pos="2486" w:val="left" w:leader="none"/>
        </w:tabs>
        <w:spacing w:line="240" w:lineRule="auto" w:before="120" w:after="0"/>
        <w:ind w:left="2486" w:right="414" w:hanging="567"/>
        <w:jc w:val="both"/>
        <w:rPr>
          <w:sz w:val="24"/>
        </w:rPr>
      </w:pPr>
      <w:r>
        <w:rPr>
          <w:sz w:val="24"/>
        </w:rPr>
        <w:t>a description of the process, including a statement of the information required, for submission of a </w:t>
      </w:r>
      <w:r>
        <w:rPr>
          <w:i/>
          <w:sz w:val="24"/>
        </w:rPr>
        <w:t>connection application </w:t>
      </w:r>
      <w:r>
        <w:rPr>
          <w:sz w:val="24"/>
        </w:rPr>
        <w:t>including an application for an expedited </w:t>
      </w:r>
      <w:r>
        <w:rPr>
          <w:i/>
          <w:sz w:val="24"/>
        </w:rPr>
        <w:t>connection</w:t>
      </w:r>
      <w:r>
        <w:rPr>
          <w:sz w:val="24"/>
        </w:rPr>
        <w:t>;</w:t>
      </w:r>
      <w:r>
        <w:rPr>
          <w:spacing w:val="-1"/>
          <w:sz w:val="24"/>
        </w:rPr>
        <w:t> </w:t>
      </w:r>
      <w:r>
        <w:rPr>
          <w:sz w:val="24"/>
        </w:rPr>
        <w:t>and</w:t>
      </w:r>
    </w:p>
    <w:p>
      <w:pPr>
        <w:pStyle w:val="ListParagraph"/>
        <w:numPr>
          <w:ilvl w:val="1"/>
          <w:numId w:val="366"/>
        </w:numPr>
        <w:tabs>
          <w:tab w:pos="2486" w:val="left" w:leader="none"/>
        </w:tabs>
        <w:spacing w:line="240" w:lineRule="auto" w:before="120" w:after="0"/>
        <w:ind w:left="2485" w:right="0" w:hanging="567"/>
        <w:jc w:val="both"/>
        <w:rPr>
          <w:sz w:val="24"/>
        </w:rPr>
      </w:pPr>
      <w:r>
        <w:rPr>
          <w:sz w:val="24"/>
        </w:rPr>
        <w:t>a statement of possible site inspection charges;</w:t>
      </w:r>
      <w:r>
        <w:rPr>
          <w:spacing w:val="-4"/>
          <w:sz w:val="24"/>
        </w:rPr>
        <w:t> </w:t>
      </w:r>
      <w:r>
        <w:rPr>
          <w:sz w:val="24"/>
        </w:rPr>
        <w:t>and</w:t>
      </w:r>
    </w:p>
    <w:p>
      <w:pPr>
        <w:pStyle w:val="ListParagraph"/>
        <w:numPr>
          <w:ilvl w:val="1"/>
          <w:numId w:val="366"/>
        </w:numPr>
        <w:tabs>
          <w:tab w:pos="2486" w:val="left" w:leader="none"/>
        </w:tabs>
        <w:spacing w:line="240" w:lineRule="auto" w:before="120" w:after="0"/>
        <w:ind w:left="2486" w:right="414" w:hanging="567"/>
        <w:jc w:val="both"/>
        <w:rPr>
          <w:sz w:val="24"/>
        </w:rPr>
      </w:pPr>
      <w:r>
        <w:rPr>
          <w:sz w:val="24"/>
        </w:rPr>
        <w:t>a statement of a </w:t>
      </w:r>
      <w:r>
        <w:rPr>
          <w:i/>
          <w:sz w:val="24"/>
        </w:rPr>
        <w:t>connection applicant's </w:t>
      </w:r>
      <w:r>
        <w:rPr>
          <w:sz w:val="24"/>
        </w:rPr>
        <w:t>right to negotiate the terms of  a </w:t>
      </w:r>
      <w:r>
        <w:rPr>
          <w:i/>
          <w:sz w:val="24"/>
        </w:rPr>
        <w:t>connection contract </w:t>
      </w:r>
      <w:r>
        <w:rPr>
          <w:sz w:val="24"/>
        </w:rPr>
        <w:t>and a description of the relevant process (including the types of possible costs and expenses);</w:t>
      </w:r>
      <w:r>
        <w:rPr>
          <w:spacing w:val="-1"/>
          <w:sz w:val="24"/>
        </w:rPr>
        <w:t> </w:t>
      </w:r>
      <w:r>
        <w:rPr>
          <w:sz w:val="24"/>
        </w:rPr>
        <w:t>and</w:t>
      </w:r>
    </w:p>
    <w:p>
      <w:pPr>
        <w:pStyle w:val="ListParagraph"/>
        <w:numPr>
          <w:ilvl w:val="1"/>
          <w:numId w:val="366"/>
        </w:numPr>
        <w:tabs>
          <w:tab w:pos="2486" w:val="left" w:leader="none"/>
        </w:tabs>
        <w:spacing w:line="240" w:lineRule="auto" w:before="120" w:after="0"/>
        <w:ind w:left="2486" w:right="415" w:hanging="567"/>
        <w:jc w:val="both"/>
        <w:rPr>
          <w:sz w:val="24"/>
        </w:rPr>
      </w:pPr>
      <w:r>
        <w:rPr>
          <w:sz w:val="24"/>
        </w:rPr>
        <w:t>an indication of whether any aspects of the proposed </w:t>
      </w:r>
      <w:r>
        <w:rPr>
          <w:i/>
          <w:sz w:val="24"/>
        </w:rPr>
        <w:t>connection </w:t>
      </w:r>
      <w:r>
        <w:rPr>
          <w:sz w:val="24"/>
        </w:rPr>
        <w:t>are likely to be </w:t>
      </w:r>
      <w:r>
        <w:rPr>
          <w:i/>
          <w:sz w:val="24"/>
        </w:rPr>
        <w:t>contestable</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66"/>
        </w:numPr>
        <w:tabs>
          <w:tab w:pos="2486" w:val="left" w:leader="none"/>
        </w:tabs>
        <w:spacing w:line="240" w:lineRule="auto" w:before="83" w:after="0"/>
        <w:ind w:left="2485" w:right="0" w:hanging="567"/>
        <w:jc w:val="both"/>
        <w:rPr>
          <w:sz w:val="24"/>
        </w:rPr>
      </w:pPr>
      <w:r>
        <w:rPr>
          <w:sz w:val="24"/>
        </w:rPr>
        <w:t>any additional information reasonably required by the</w:t>
      </w:r>
      <w:r>
        <w:rPr>
          <w:spacing w:val="-3"/>
          <w:sz w:val="24"/>
        </w:rPr>
        <w:t> </w:t>
      </w:r>
      <w:r>
        <w:rPr>
          <w:sz w:val="24"/>
        </w:rPr>
        <w:t>enquirer.</w:t>
      </w:r>
    </w:p>
    <w:p>
      <w:pPr>
        <w:pStyle w:val="ListParagraph"/>
        <w:numPr>
          <w:ilvl w:val="0"/>
          <w:numId w:val="366"/>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that publishes any of the above information on its website complies with its obligation to disclose information under this clause if it refers the enquirer to the relevant part of the</w:t>
      </w:r>
      <w:r>
        <w:rPr>
          <w:spacing w:val="-1"/>
          <w:sz w:val="24"/>
        </w:rPr>
        <w:t> </w:t>
      </w:r>
      <w:r>
        <w:rPr>
          <w:sz w:val="24"/>
        </w:rPr>
        <w:t>website.</w:t>
      </w:r>
    </w:p>
    <w:p>
      <w:pPr>
        <w:pStyle w:val="BodyText"/>
        <w:ind w:left="1919" w:firstLine="0"/>
        <w:jc w:val="left"/>
      </w:pPr>
      <w:r>
        <w:rPr/>
        <w:t>Exception:</w:t>
      </w:r>
    </w:p>
    <w:p>
      <w:pPr>
        <w:spacing w:before="120"/>
        <w:ind w:left="1919" w:right="414" w:firstLine="0"/>
        <w:jc w:val="both"/>
        <w:rPr>
          <w:sz w:val="24"/>
        </w:rPr>
      </w:pPr>
      <w:r>
        <w:rPr>
          <w:sz w:val="24"/>
        </w:rPr>
        <w:t>If the enquirer asks for a written reply to the </w:t>
      </w:r>
      <w:r>
        <w:rPr>
          <w:i/>
          <w:sz w:val="24"/>
        </w:rPr>
        <w:t>enquiry </w:t>
      </w:r>
      <w:r>
        <w:rPr>
          <w:sz w:val="24"/>
        </w:rPr>
        <w:t>or asks for specific advice about the enquirer's particular situation, the </w:t>
      </w:r>
      <w:r>
        <w:rPr>
          <w:i/>
          <w:sz w:val="24"/>
        </w:rPr>
        <w:t>Distribution Network </w:t>
      </w:r>
      <w:r>
        <w:rPr>
          <w:i/>
          <w:sz w:val="24"/>
        </w:rPr>
        <w:t>Service Provider </w:t>
      </w:r>
      <w:r>
        <w:rPr>
          <w:sz w:val="24"/>
        </w:rPr>
        <w:t>must reply to the </w:t>
      </w:r>
      <w:r>
        <w:rPr>
          <w:i/>
          <w:sz w:val="24"/>
        </w:rPr>
        <w:t>enquiry </w:t>
      </w:r>
      <w:r>
        <w:rPr>
          <w:sz w:val="24"/>
        </w:rPr>
        <w:t>as soon as reasonably practicable and in writing if requested.</w:t>
      </w:r>
    </w:p>
    <w:p>
      <w:pPr>
        <w:pStyle w:val="ListParagraph"/>
        <w:numPr>
          <w:ilvl w:val="0"/>
          <w:numId w:val="366"/>
        </w:numPr>
        <w:tabs>
          <w:tab w:pos="1919" w:val="left" w:leader="none"/>
        </w:tabs>
        <w:spacing w:line="240" w:lineRule="auto" w:before="120" w:after="0"/>
        <w:ind w:left="1919" w:right="415" w:hanging="567"/>
        <w:jc w:val="both"/>
        <w:rPr>
          <w:sz w:val="24"/>
        </w:rPr>
      </w:pPr>
      <w:r>
        <w:rPr>
          <w:sz w:val="24"/>
        </w:rPr>
        <w:t>If an </w:t>
      </w:r>
      <w:r>
        <w:rPr>
          <w:i/>
          <w:sz w:val="24"/>
        </w:rPr>
        <w:t>enquiry </w:t>
      </w:r>
      <w:r>
        <w:rPr>
          <w:sz w:val="24"/>
        </w:rPr>
        <w:t>is made to a </w:t>
      </w:r>
      <w:r>
        <w:rPr>
          <w:i/>
          <w:sz w:val="24"/>
        </w:rPr>
        <w:t>Distribution Network Service Provider </w:t>
      </w:r>
      <w:r>
        <w:rPr>
          <w:sz w:val="24"/>
        </w:rPr>
        <w:t>about a </w:t>
      </w:r>
      <w:r>
        <w:rPr>
          <w:i/>
          <w:sz w:val="24"/>
        </w:rPr>
        <w:t>connection </w:t>
      </w:r>
      <w:r>
        <w:rPr>
          <w:sz w:val="24"/>
        </w:rPr>
        <w:t>within the area of another </w:t>
      </w:r>
      <w:r>
        <w:rPr>
          <w:i/>
          <w:sz w:val="24"/>
        </w:rPr>
        <w:t>Distribution Network Service </w:t>
      </w:r>
      <w:r>
        <w:rPr>
          <w:i/>
          <w:sz w:val="24"/>
        </w:rPr>
        <w:t>Provider</w:t>
      </w:r>
      <w:r>
        <w:rPr>
          <w:sz w:val="24"/>
        </w:rPr>
        <w:t>, the </w:t>
      </w:r>
      <w:r>
        <w:rPr>
          <w:i/>
          <w:sz w:val="24"/>
        </w:rPr>
        <w:t>Distribution Network Service</w:t>
      </w:r>
      <w:r>
        <w:rPr>
          <w:i/>
          <w:spacing w:val="-3"/>
          <w:sz w:val="24"/>
        </w:rPr>
        <w:t> </w:t>
      </w:r>
      <w:r>
        <w:rPr>
          <w:i/>
          <w:sz w:val="24"/>
        </w:rPr>
        <w:t>Provider</w:t>
      </w:r>
      <w:r>
        <w:rPr>
          <w:sz w:val="24"/>
        </w:rPr>
        <w:t>:</w:t>
      </w:r>
    </w:p>
    <w:p>
      <w:pPr>
        <w:pStyle w:val="ListParagraph"/>
        <w:numPr>
          <w:ilvl w:val="1"/>
          <w:numId w:val="366"/>
        </w:numPr>
        <w:tabs>
          <w:tab w:pos="2486" w:val="left" w:leader="none"/>
        </w:tabs>
        <w:spacing w:line="240" w:lineRule="auto" w:before="120" w:after="0"/>
        <w:ind w:left="2486" w:right="413" w:hanging="567"/>
        <w:jc w:val="both"/>
        <w:rPr>
          <w:sz w:val="24"/>
        </w:rPr>
      </w:pPr>
      <w:r>
        <w:rPr>
          <w:sz w:val="24"/>
        </w:rPr>
        <w:t>must inform the enquirer of the identity, and contact details, of the responsible </w:t>
      </w:r>
      <w:r>
        <w:rPr>
          <w:i/>
          <w:sz w:val="24"/>
        </w:rPr>
        <w:t>Distribution Network Service Provider</w:t>
      </w:r>
      <w:r>
        <w:rPr>
          <w:sz w:val="24"/>
        </w:rPr>
        <w:t>;</w:t>
      </w:r>
      <w:r>
        <w:rPr>
          <w:spacing w:val="-3"/>
          <w:sz w:val="24"/>
        </w:rPr>
        <w:t> </w:t>
      </w:r>
      <w:r>
        <w:rPr>
          <w:sz w:val="24"/>
        </w:rPr>
        <w:t>and</w:t>
      </w:r>
    </w:p>
    <w:p>
      <w:pPr>
        <w:pStyle w:val="ListParagraph"/>
        <w:numPr>
          <w:ilvl w:val="1"/>
          <w:numId w:val="366"/>
        </w:numPr>
        <w:tabs>
          <w:tab w:pos="2486" w:val="left" w:leader="none"/>
        </w:tabs>
        <w:spacing w:line="240" w:lineRule="auto" w:before="120" w:after="0"/>
        <w:ind w:left="2485" w:right="0" w:hanging="567"/>
        <w:jc w:val="both"/>
        <w:rPr>
          <w:sz w:val="24"/>
        </w:rPr>
      </w:pPr>
      <w:r>
        <w:rPr>
          <w:sz w:val="24"/>
        </w:rPr>
        <w:t>on</w:t>
      </w:r>
      <w:r>
        <w:rPr>
          <w:spacing w:val="49"/>
          <w:sz w:val="24"/>
        </w:rPr>
        <w:t> </w:t>
      </w:r>
      <w:r>
        <w:rPr>
          <w:sz w:val="24"/>
        </w:rPr>
        <w:t>doing</w:t>
      </w:r>
      <w:r>
        <w:rPr>
          <w:spacing w:val="50"/>
          <w:sz w:val="24"/>
        </w:rPr>
        <w:t> </w:t>
      </w:r>
      <w:r>
        <w:rPr>
          <w:sz w:val="24"/>
        </w:rPr>
        <w:t>so,</w:t>
      </w:r>
      <w:r>
        <w:rPr>
          <w:spacing w:val="49"/>
          <w:sz w:val="24"/>
        </w:rPr>
        <w:t> </w:t>
      </w:r>
      <w:r>
        <w:rPr>
          <w:sz w:val="24"/>
        </w:rPr>
        <w:t>is</w:t>
      </w:r>
      <w:r>
        <w:rPr>
          <w:spacing w:val="49"/>
          <w:sz w:val="24"/>
        </w:rPr>
        <w:t> </w:t>
      </w:r>
      <w:r>
        <w:rPr>
          <w:sz w:val="24"/>
        </w:rPr>
        <w:t>released</w:t>
      </w:r>
      <w:r>
        <w:rPr>
          <w:spacing w:val="49"/>
          <w:sz w:val="24"/>
        </w:rPr>
        <w:t> </w:t>
      </w:r>
      <w:r>
        <w:rPr>
          <w:sz w:val="24"/>
        </w:rPr>
        <w:t>from</w:t>
      </w:r>
      <w:r>
        <w:rPr>
          <w:spacing w:val="50"/>
          <w:sz w:val="24"/>
        </w:rPr>
        <w:t> </w:t>
      </w:r>
      <w:r>
        <w:rPr>
          <w:sz w:val="24"/>
        </w:rPr>
        <w:t>further</w:t>
      </w:r>
      <w:r>
        <w:rPr>
          <w:spacing w:val="49"/>
          <w:sz w:val="24"/>
        </w:rPr>
        <w:t> </w:t>
      </w:r>
      <w:r>
        <w:rPr>
          <w:sz w:val="24"/>
        </w:rPr>
        <w:t>obligations</w:t>
      </w:r>
      <w:r>
        <w:rPr>
          <w:spacing w:val="50"/>
          <w:sz w:val="24"/>
        </w:rPr>
        <w:t> </w:t>
      </w:r>
      <w:r>
        <w:rPr>
          <w:sz w:val="24"/>
        </w:rPr>
        <w:t>in</w:t>
      </w:r>
      <w:r>
        <w:rPr>
          <w:spacing w:val="49"/>
          <w:sz w:val="24"/>
        </w:rPr>
        <w:t> </w:t>
      </w:r>
      <w:r>
        <w:rPr>
          <w:sz w:val="24"/>
        </w:rPr>
        <w:t>relation</w:t>
      </w:r>
      <w:r>
        <w:rPr>
          <w:spacing w:val="50"/>
          <w:sz w:val="24"/>
        </w:rPr>
        <w:t> </w:t>
      </w:r>
      <w:r>
        <w:rPr>
          <w:sz w:val="24"/>
        </w:rPr>
        <w:t>to</w:t>
      </w:r>
      <w:r>
        <w:rPr>
          <w:spacing w:val="50"/>
          <w:sz w:val="24"/>
        </w:rPr>
        <w:t> </w:t>
      </w:r>
      <w:r>
        <w:rPr>
          <w:sz w:val="24"/>
        </w:rPr>
        <w:t>the</w:t>
      </w:r>
    </w:p>
    <w:p>
      <w:pPr>
        <w:spacing w:before="0"/>
        <w:ind w:left="2486" w:right="0" w:firstLine="0"/>
        <w:jc w:val="left"/>
        <w:rPr>
          <w:sz w:val="24"/>
        </w:rPr>
      </w:pPr>
      <w:r>
        <w:rPr>
          <w:i/>
          <w:sz w:val="24"/>
        </w:rPr>
        <w:t>enquiry</w:t>
      </w:r>
      <w:r>
        <w:rPr>
          <w:sz w:val="24"/>
        </w:rPr>
        <w:t>.</w:t>
      </w:r>
    </w:p>
    <w:p>
      <w:pPr>
        <w:pStyle w:val="BodyText"/>
        <w:spacing w:before="4"/>
        <w:ind w:firstLine="0"/>
        <w:jc w:val="left"/>
        <w:rPr>
          <w:sz w:val="31"/>
        </w:rPr>
      </w:pPr>
    </w:p>
    <w:p>
      <w:pPr>
        <w:pStyle w:val="Heading2"/>
        <w:tabs>
          <w:tab w:pos="2485" w:val="left" w:leader="none"/>
        </w:tabs>
      </w:pPr>
      <w:bookmarkStart w:name="_bookmark479" w:id="1173"/>
      <w:bookmarkEnd w:id="1173"/>
      <w:r>
        <w:rPr>
          <w:b w:val="0"/>
        </w:rPr>
      </w:r>
      <w:r>
        <w:rPr/>
        <w:t>Division</w:t>
      </w:r>
      <w:r>
        <w:rPr>
          <w:spacing w:val="-4"/>
        </w:rPr>
        <w:t> </w:t>
      </w:r>
      <w:r>
        <w:rPr/>
        <w:t>3</w:t>
        <w:tab/>
        <w:t>Applications</w:t>
      </w:r>
    </w:p>
    <w:p>
      <w:pPr>
        <w:pStyle w:val="Heading4"/>
        <w:tabs>
          <w:tab w:pos="1351" w:val="left" w:leader="none"/>
        </w:tabs>
        <w:spacing w:before="240"/>
        <w:ind w:left="218" w:firstLine="0"/>
      </w:pPr>
      <w:bookmarkStart w:name="5A.D.3 Application process" w:id="1174"/>
      <w:bookmarkEnd w:id="1174"/>
      <w:r>
        <w:rPr>
          <w:b w:val="0"/>
        </w:rPr>
      </w:r>
      <w:bookmarkStart w:name="_bookmark480" w:id="1175"/>
      <w:bookmarkEnd w:id="1175"/>
      <w:r>
        <w:rPr>
          <w:b w:val="0"/>
        </w:rPr>
      </w:r>
      <w:r>
        <w:rPr/>
        <w:t>5A.D.3</w:t>
        <w:tab/>
        <w:t>Application</w:t>
      </w:r>
      <w:r>
        <w:rPr>
          <w:spacing w:val="-1"/>
        </w:rPr>
        <w:t> </w:t>
      </w:r>
      <w:r>
        <w:rPr/>
        <w:t>process</w:t>
      </w:r>
    </w:p>
    <w:p>
      <w:pPr>
        <w:pStyle w:val="ListParagraph"/>
        <w:numPr>
          <w:ilvl w:val="0"/>
          <w:numId w:val="367"/>
        </w:numPr>
        <w:tabs>
          <w:tab w:pos="1919" w:val="left" w:leader="none"/>
        </w:tabs>
        <w:spacing w:line="240" w:lineRule="auto" w:before="120" w:after="0"/>
        <w:ind w:left="1919" w:right="415" w:hanging="567"/>
        <w:jc w:val="both"/>
        <w:rPr>
          <w:sz w:val="24"/>
        </w:rPr>
      </w:pPr>
      <w:r>
        <w:rPr>
          <w:sz w:val="24"/>
        </w:rPr>
        <w:t>An application for a </w:t>
      </w:r>
      <w:r>
        <w:rPr>
          <w:i/>
          <w:sz w:val="24"/>
        </w:rPr>
        <w:t>connection service </w:t>
      </w:r>
      <w:r>
        <w:rPr>
          <w:sz w:val="24"/>
        </w:rPr>
        <w:t>must be in the appropriate form determined by the </w:t>
      </w:r>
      <w:r>
        <w:rPr>
          <w:i/>
          <w:sz w:val="24"/>
        </w:rPr>
        <w:t>Distribution Network Service</w:t>
      </w:r>
      <w:r>
        <w:rPr>
          <w:i/>
          <w:spacing w:val="-3"/>
          <w:sz w:val="24"/>
        </w:rPr>
        <w:t> </w:t>
      </w:r>
      <w:r>
        <w:rPr>
          <w:i/>
          <w:sz w:val="24"/>
        </w:rPr>
        <w:t>Provider</w:t>
      </w:r>
      <w:r>
        <w:rPr>
          <w:sz w:val="24"/>
        </w:rPr>
        <w:t>.</w:t>
      </w:r>
    </w:p>
    <w:p>
      <w:pPr>
        <w:pStyle w:val="ListParagraph"/>
        <w:numPr>
          <w:ilvl w:val="0"/>
          <w:numId w:val="367"/>
        </w:numPr>
        <w:tabs>
          <w:tab w:pos="1919" w:val="left" w:leader="none"/>
        </w:tabs>
        <w:spacing w:line="240" w:lineRule="auto" w:before="120" w:after="0"/>
        <w:ind w:left="1918" w:right="0" w:hanging="567"/>
        <w:jc w:val="both"/>
        <w:rPr>
          <w:sz w:val="24"/>
        </w:rPr>
      </w:pPr>
      <w:r>
        <w:rPr>
          <w:sz w:val="24"/>
        </w:rPr>
        <w:t>An application for a </w:t>
      </w:r>
      <w:r>
        <w:rPr>
          <w:i/>
          <w:sz w:val="24"/>
        </w:rPr>
        <w:t>connection service </w:t>
      </w:r>
      <w:r>
        <w:rPr>
          <w:sz w:val="24"/>
        </w:rPr>
        <w:t>may be made</w:t>
      </w:r>
      <w:r>
        <w:rPr>
          <w:spacing w:val="-3"/>
          <w:sz w:val="24"/>
        </w:rPr>
        <w:t> </w:t>
      </w:r>
      <w:r>
        <w:rPr>
          <w:sz w:val="24"/>
        </w:rPr>
        <w:t>by:</w:t>
      </w:r>
    </w:p>
    <w:p>
      <w:pPr>
        <w:pStyle w:val="ListParagraph"/>
        <w:numPr>
          <w:ilvl w:val="1"/>
          <w:numId w:val="367"/>
        </w:numPr>
        <w:tabs>
          <w:tab w:pos="2486" w:val="left" w:leader="none"/>
        </w:tabs>
        <w:spacing w:line="240" w:lineRule="auto" w:before="120" w:after="0"/>
        <w:ind w:left="2485" w:right="0" w:hanging="567"/>
        <w:jc w:val="both"/>
        <w:rPr>
          <w:sz w:val="24"/>
        </w:rPr>
      </w:pPr>
      <w:r>
        <w:rPr>
          <w:sz w:val="24"/>
        </w:rPr>
        <w:t>a </w:t>
      </w:r>
      <w:r>
        <w:rPr>
          <w:i/>
          <w:sz w:val="24"/>
        </w:rPr>
        <w:t>retail customer </w:t>
      </w:r>
      <w:r>
        <w:rPr>
          <w:sz w:val="24"/>
        </w:rPr>
        <w:t>for whom the </w:t>
      </w:r>
      <w:r>
        <w:rPr>
          <w:i/>
          <w:sz w:val="24"/>
        </w:rPr>
        <w:t>connection service </w:t>
      </w:r>
      <w:r>
        <w:rPr>
          <w:sz w:val="24"/>
        </w:rPr>
        <w:t>is sought;</w:t>
      </w:r>
      <w:r>
        <w:rPr>
          <w:spacing w:val="-11"/>
          <w:sz w:val="24"/>
        </w:rPr>
        <w:t> </w:t>
      </w:r>
      <w:r>
        <w:rPr>
          <w:sz w:val="24"/>
        </w:rPr>
        <w:t>or</w:t>
      </w:r>
    </w:p>
    <w:p>
      <w:pPr>
        <w:pStyle w:val="ListParagraph"/>
        <w:numPr>
          <w:ilvl w:val="1"/>
          <w:numId w:val="367"/>
        </w:numPr>
        <w:tabs>
          <w:tab w:pos="2486" w:val="left" w:leader="none"/>
        </w:tabs>
        <w:spacing w:line="240" w:lineRule="auto" w:before="120" w:after="0"/>
        <w:ind w:left="2485" w:right="0" w:hanging="567"/>
        <w:jc w:val="both"/>
        <w:rPr>
          <w:sz w:val="24"/>
        </w:rPr>
      </w:pPr>
      <w:r>
        <w:rPr>
          <w:sz w:val="24"/>
        </w:rPr>
        <w:t>a </w:t>
      </w:r>
      <w:r>
        <w:rPr>
          <w:i/>
          <w:sz w:val="24"/>
        </w:rPr>
        <w:t>retailer </w:t>
      </w:r>
      <w:r>
        <w:rPr>
          <w:sz w:val="24"/>
        </w:rPr>
        <w:t>or other person acting on behalf of a </w:t>
      </w:r>
      <w:r>
        <w:rPr>
          <w:i/>
          <w:sz w:val="24"/>
        </w:rPr>
        <w:t>retail customer</w:t>
      </w:r>
      <w:r>
        <w:rPr>
          <w:sz w:val="24"/>
        </w:rPr>
        <w:t>;</w:t>
      </w:r>
      <w:r>
        <w:rPr>
          <w:spacing w:val="-10"/>
          <w:sz w:val="24"/>
        </w:rPr>
        <w:t> </w:t>
      </w:r>
      <w:r>
        <w:rPr>
          <w:sz w:val="24"/>
        </w:rPr>
        <w:t>or</w:t>
      </w:r>
    </w:p>
    <w:p>
      <w:pPr>
        <w:pStyle w:val="ListParagraph"/>
        <w:numPr>
          <w:ilvl w:val="1"/>
          <w:numId w:val="367"/>
        </w:numPr>
        <w:tabs>
          <w:tab w:pos="2486" w:val="left" w:leader="none"/>
        </w:tabs>
        <w:spacing w:line="240" w:lineRule="auto" w:before="120" w:after="0"/>
        <w:ind w:left="2486" w:right="416" w:hanging="567"/>
        <w:jc w:val="both"/>
        <w:rPr>
          <w:sz w:val="24"/>
        </w:rPr>
      </w:pPr>
      <w:r>
        <w:rPr>
          <w:sz w:val="24"/>
        </w:rPr>
        <w:t>a </w:t>
      </w:r>
      <w:r>
        <w:rPr>
          <w:i/>
          <w:sz w:val="24"/>
        </w:rPr>
        <w:t>real estate developer </w:t>
      </w:r>
      <w:r>
        <w:rPr>
          <w:sz w:val="24"/>
        </w:rPr>
        <w:t>who seeks </w:t>
      </w:r>
      <w:r>
        <w:rPr>
          <w:i/>
          <w:sz w:val="24"/>
        </w:rPr>
        <w:t>connection services </w:t>
      </w:r>
      <w:r>
        <w:rPr>
          <w:sz w:val="24"/>
        </w:rPr>
        <w:t>for premises comprised in a </w:t>
      </w:r>
      <w:r>
        <w:rPr>
          <w:i/>
          <w:sz w:val="24"/>
        </w:rPr>
        <w:t>real estate</w:t>
      </w:r>
      <w:r>
        <w:rPr>
          <w:i/>
          <w:spacing w:val="-3"/>
          <w:sz w:val="24"/>
        </w:rPr>
        <w:t> </w:t>
      </w:r>
      <w:r>
        <w:rPr>
          <w:i/>
          <w:sz w:val="24"/>
        </w:rPr>
        <w:t>development</w:t>
      </w:r>
      <w:r>
        <w:rPr>
          <w:sz w:val="24"/>
        </w:rPr>
        <w:t>.</w:t>
      </w:r>
    </w:p>
    <w:p>
      <w:pPr>
        <w:pStyle w:val="ListParagraph"/>
        <w:numPr>
          <w:ilvl w:val="0"/>
          <w:numId w:val="367"/>
        </w:numPr>
        <w:tabs>
          <w:tab w:pos="1919" w:val="left" w:leader="none"/>
        </w:tabs>
        <w:spacing w:line="240" w:lineRule="auto" w:before="120" w:after="0"/>
        <w:ind w:left="1919" w:right="415" w:hanging="567"/>
        <w:jc w:val="both"/>
        <w:rPr>
          <w:sz w:val="24"/>
        </w:rPr>
      </w:pPr>
      <w:r>
        <w:rPr>
          <w:sz w:val="24"/>
        </w:rPr>
        <w:t>If an application for a </w:t>
      </w:r>
      <w:r>
        <w:rPr>
          <w:i/>
          <w:sz w:val="24"/>
        </w:rPr>
        <w:t>connection service </w:t>
      </w:r>
      <w:r>
        <w:rPr>
          <w:sz w:val="24"/>
        </w:rPr>
        <w:t>has been made in error to the wrong </w:t>
      </w:r>
      <w:r>
        <w:rPr>
          <w:i/>
          <w:sz w:val="24"/>
        </w:rPr>
        <w:t>Distribution Network Service Provider</w:t>
      </w:r>
      <w:r>
        <w:rPr>
          <w:sz w:val="24"/>
        </w:rPr>
        <w:t>, that </w:t>
      </w:r>
      <w:r>
        <w:rPr>
          <w:i/>
          <w:sz w:val="24"/>
        </w:rPr>
        <w:t>Distribution Network </w:t>
      </w:r>
      <w:r>
        <w:rPr>
          <w:i/>
          <w:sz w:val="24"/>
        </w:rPr>
        <w:t>Service</w:t>
      </w:r>
      <w:r>
        <w:rPr>
          <w:i/>
          <w:spacing w:val="-1"/>
          <w:sz w:val="24"/>
        </w:rPr>
        <w:t> </w:t>
      </w:r>
      <w:r>
        <w:rPr>
          <w:i/>
          <w:sz w:val="24"/>
        </w:rPr>
        <w:t>Provider</w:t>
      </w:r>
      <w:r>
        <w:rPr>
          <w:sz w:val="24"/>
        </w:rPr>
        <w:t>:</w:t>
      </w:r>
    </w:p>
    <w:p>
      <w:pPr>
        <w:pStyle w:val="ListParagraph"/>
        <w:numPr>
          <w:ilvl w:val="1"/>
          <w:numId w:val="367"/>
        </w:numPr>
        <w:tabs>
          <w:tab w:pos="2486" w:val="left" w:leader="none"/>
        </w:tabs>
        <w:spacing w:line="240" w:lineRule="auto" w:before="120" w:after="0"/>
        <w:ind w:left="2486" w:right="415" w:hanging="567"/>
        <w:jc w:val="both"/>
        <w:rPr>
          <w:sz w:val="24"/>
        </w:rPr>
      </w:pPr>
      <w:r>
        <w:rPr>
          <w:sz w:val="24"/>
        </w:rPr>
        <w:t>must inform the </w:t>
      </w:r>
      <w:r>
        <w:rPr>
          <w:i/>
          <w:sz w:val="24"/>
        </w:rPr>
        <w:t>connection applicant </w:t>
      </w:r>
      <w:r>
        <w:rPr>
          <w:sz w:val="24"/>
        </w:rPr>
        <w:t>of the identity, and contact details, of the responsible </w:t>
      </w:r>
      <w:r>
        <w:rPr>
          <w:i/>
          <w:sz w:val="24"/>
        </w:rPr>
        <w:t>Distribution Network Service Provider</w:t>
      </w:r>
      <w:r>
        <w:rPr>
          <w:sz w:val="24"/>
        </w:rPr>
        <w:t>;</w:t>
      </w:r>
      <w:r>
        <w:rPr>
          <w:spacing w:val="-10"/>
          <w:sz w:val="24"/>
        </w:rPr>
        <w:t> </w:t>
      </w:r>
      <w:r>
        <w:rPr>
          <w:sz w:val="24"/>
        </w:rPr>
        <w:t>and</w:t>
      </w:r>
    </w:p>
    <w:p>
      <w:pPr>
        <w:pStyle w:val="ListParagraph"/>
        <w:numPr>
          <w:ilvl w:val="1"/>
          <w:numId w:val="367"/>
        </w:numPr>
        <w:tabs>
          <w:tab w:pos="2486" w:val="left" w:leader="none"/>
        </w:tabs>
        <w:spacing w:line="240" w:lineRule="auto" w:before="120" w:after="0"/>
        <w:ind w:left="2486" w:right="415" w:hanging="567"/>
        <w:jc w:val="both"/>
        <w:rPr>
          <w:sz w:val="24"/>
        </w:rPr>
      </w:pPr>
      <w:r>
        <w:rPr>
          <w:sz w:val="24"/>
        </w:rPr>
        <w:t>on doing so, is released from further obligations in relation to the application.</w:t>
      </w:r>
    </w:p>
    <w:p>
      <w:pPr>
        <w:pStyle w:val="ListParagraph"/>
        <w:numPr>
          <w:ilvl w:val="0"/>
          <w:numId w:val="367"/>
        </w:numPr>
        <w:tabs>
          <w:tab w:pos="1919" w:val="left" w:leader="none"/>
        </w:tabs>
        <w:spacing w:line="240" w:lineRule="auto" w:before="120" w:after="0"/>
        <w:ind w:left="1919" w:right="415" w:hanging="567"/>
        <w:jc w:val="both"/>
        <w:rPr>
          <w:sz w:val="24"/>
        </w:rPr>
      </w:pPr>
      <w:r>
        <w:rPr>
          <w:sz w:val="24"/>
        </w:rPr>
        <w:t>If an application is incomplete in a </w:t>
      </w:r>
      <w:r>
        <w:rPr>
          <w:i/>
          <w:sz w:val="24"/>
        </w:rPr>
        <w:t>material </w:t>
      </w:r>
      <w:r>
        <w:rPr>
          <w:sz w:val="24"/>
        </w:rPr>
        <w:t>respect, the </w:t>
      </w:r>
      <w:r>
        <w:rPr>
          <w:i/>
          <w:sz w:val="24"/>
        </w:rPr>
        <w:t>Distribution </w:t>
      </w:r>
      <w:r>
        <w:rPr>
          <w:i/>
          <w:sz w:val="24"/>
        </w:rPr>
        <w:t>Network Service Provider </w:t>
      </w:r>
      <w:r>
        <w:rPr>
          <w:sz w:val="24"/>
        </w:rPr>
        <w:t>must advise the applicant of the deficiency and may require the </w:t>
      </w:r>
      <w:r>
        <w:rPr>
          <w:i/>
          <w:sz w:val="24"/>
        </w:rPr>
        <w:t>connection applicant </w:t>
      </w:r>
      <w:r>
        <w:rPr>
          <w:sz w:val="24"/>
        </w:rPr>
        <w:t>to complete the application and re- submit</w:t>
      </w:r>
      <w:r>
        <w:rPr>
          <w:spacing w:val="-2"/>
          <w:sz w:val="24"/>
        </w:rPr>
        <w:t> </w:t>
      </w:r>
      <w:r>
        <w:rPr>
          <w:sz w:val="24"/>
        </w:rPr>
        <w:t>it.</w:t>
      </w:r>
    </w:p>
    <w:p>
      <w:pPr>
        <w:pStyle w:val="ListParagraph"/>
        <w:numPr>
          <w:ilvl w:val="0"/>
          <w:numId w:val="367"/>
        </w:numPr>
        <w:tabs>
          <w:tab w:pos="1919" w:val="left" w:leader="none"/>
        </w:tabs>
        <w:spacing w:line="240" w:lineRule="auto" w:before="120" w:after="0"/>
        <w:ind w:left="1919" w:right="414" w:hanging="567"/>
        <w:jc w:val="both"/>
        <w:rPr>
          <w:sz w:val="24"/>
        </w:rPr>
      </w:pPr>
      <w:r>
        <w:rPr>
          <w:sz w:val="24"/>
        </w:rPr>
        <w:t>If the </w:t>
      </w:r>
      <w:r>
        <w:rPr>
          <w:i/>
          <w:sz w:val="24"/>
        </w:rPr>
        <w:t>Distribution Network Service Provider </w:t>
      </w:r>
      <w:r>
        <w:rPr>
          <w:sz w:val="24"/>
        </w:rPr>
        <w:t>reasonably requires additional information to assess the application, it may require the </w:t>
      </w:r>
      <w:r>
        <w:rPr>
          <w:i/>
          <w:sz w:val="24"/>
        </w:rPr>
        <w:t>connection </w:t>
      </w:r>
      <w:r>
        <w:rPr>
          <w:i/>
          <w:sz w:val="24"/>
        </w:rPr>
        <w:t>applicant </w:t>
      </w:r>
      <w:r>
        <w:rPr>
          <w:sz w:val="24"/>
        </w:rPr>
        <w:t>to provide the necessary</w:t>
      </w:r>
      <w:r>
        <w:rPr>
          <w:spacing w:val="-2"/>
          <w:sz w:val="24"/>
        </w:rPr>
        <w:t> </w:t>
      </w:r>
      <w:r>
        <w:rPr>
          <w:sz w:val="24"/>
        </w:rPr>
        <w:t>information.</w:t>
      </w:r>
    </w:p>
    <w:p>
      <w:pPr>
        <w:spacing w:after="0" w:line="240" w:lineRule="auto"/>
        <w:jc w:val="both"/>
        <w:rPr>
          <w:sz w:val="24"/>
        </w:rPr>
        <w:sectPr>
          <w:pgSz w:w="11910" w:h="16840"/>
          <w:pgMar w:header="686" w:footer="637" w:top="1320" w:bottom="820" w:left="1200" w:right="1000"/>
        </w:sectPr>
      </w:pPr>
    </w:p>
    <w:p>
      <w:pPr>
        <w:pStyle w:val="ListParagraph"/>
        <w:numPr>
          <w:ilvl w:val="0"/>
          <w:numId w:val="367"/>
        </w:numPr>
        <w:tabs>
          <w:tab w:pos="1920" w:val="left" w:leader="none"/>
        </w:tabs>
        <w:spacing w:line="240" w:lineRule="auto" w:before="83" w:after="0"/>
        <w:ind w:left="1919" w:right="415" w:hanging="567"/>
        <w:jc w:val="both"/>
        <w:rPr>
          <w:sz w:val="24"/>
        </w:rPr>
      </w:pPr>
      <w:r>
        <w:rPr>
          <w:sz w:val="24"/>
        </w:rPr>
        <w:t>The </w:t>
      </w:r>
      <w:r>
        <w:rPr>
          <w:i/>
          <w:sz w:val="24"/>
        </w:rPr>
        <w:t>Distribution Network Service Provider </w:t>
      </w:r>
      <w:r>
        <w:rPr>
          <w:sz w:val="24"/>
        </w:rPr>
        <w:t>must, within 10 </w:t>
      </w:r>
      <w:r>
        <w:rPr>
          <w:i/>
          <w:sz w:val="24"/>
        </w:rPr>
        <w:t>business days </w:t>
      </w:r>
      <w:r>
        <w:rPr>
          <w:sz w:val="24"/>
        </w:rPr>
        <w:t>after receipt of a complete application for a </w:t>
      </w:r>
      <w:r>
        <w:rPr>
          <w:i/>
          <w:sz w:val="24"/>
        </w:rPr>
        <w:t>connection service </w:t>
      </w:r>
      <w:r>
        <w:rPr>
          <w:sz w:val="24"/>
        </w:rPr>
        <w:t>or if the </w:t>
      </w:r>
      <w:r>
        <w:rPr>
          <w:i/>
          <w:sz w:val="24"/>
        </w:rPr>
        <w:t>connection applicant </w:t>
      </w:r>
      <w:r>
        <w:rPr>
          <w:sz w:val="24"/>
        </w:rPr>
        <w:t>is required to provide additional information under paragraph (e), within 10 </w:t>
      </w:r>
      <w:r>
        <w:rPr>
          <w:i/>
          <w:sz w:val="24"/>
        </w:rPr>
        <w:t>business days </w:t>
      </w:r>
      <w:r>
        <w:rPr>
          <w:sz w:val="24"/>
        </w:rPr>
        <w:t>after receipt of the information (or some other period agreed between the </w:t>
      </w:r>
      <w:r>
        <w:rPr>
          <w:i/>
          <w:sz w:val="24"/>
        </w:rPr>
        <w:t>Distribution Network Service </w:t>
      </w:r>
      <w:r>
        <w:rPr>
          <w:i/>
          <w:sz w:val="24"/>
        </w:rPr>
        <w:t>Provider </w:t>
      </w:r>
      <w:r>
        <w:rPr>
          <w:sz w:val="24"/>
        </w:rPr>
        <w:t>and the </w:t>
      </w:r>
      <w:r>
        <w:rPr>
          <w:i/>
          <w:sz w:val="24"/>
        </w:rPr>
        <w:t>connection</w:t>
      </w:r>
      <w:r>
        <w:rPr>
          <w:i/>
          <w:spacing w:val="-1"/>
          <w:sz w:val="24"/>
        </w:rPr>
        <w:t> </w:t>
      </w:r>
      <w:r>
        <w:rPr>
          <w:i/>
          <w:sz w:val="24"/>
        </w:rPr>
        <w:t>applicant</w:t>
      </w:r>
      <w:r>
        <w:rPr>
          <w:sz w:val="24"/>
        </w:rPr>
        <w:t>):</w:t>
      </w:r>
    </w:p>
    <w:p>
      <w:pPr>
        <w:pStyle w:val="ListParagraph"/>
        <w:numPr>
          <w:ilvl w:val="1"/>
          <w:numId w:val="367"/>
        </w:numPr>
        <w:tabs>
          <w:tab w:pos="2486" w:val="left" w:leader="none"/>
        </w:tabs>
        <w:spacing w:line="240" w:lineRule="auto" w:before="120" w:after="0"/>
        <w:ind w:left="2486" w:right="415" w:hanging="567"/>
        <w:jc w:val="both"/>
        <w:rPr>
          <w:sz w:val="24"/>
        </w:rPr>
      </w:pPr>
      <w:r>
        <w:rPr>
          <w:sz w:val="24"/>
        </w:rPr>
        <w:t>subject to any statements made on its website under clause 5A.D.1(a)(3), advise the </w:t>
      </w:r>
      <w:r>
        <w:rPr>
          <w:i/>
          <w:sz w:val="24"/>
        </w:rPr>
        <w:t>connection applicant </w:t>
      </w:r>
      <w:r>
        <w:rPr>
          <w:sz w:val="24"/>
        </w:rPr>
        <w:t>whether the proposed </w:t>
      </w:r>
      <w:r>
        <w:rPr>
          <w:i/>
          <w:sz w:val="24"/>
        </w:rPr>
        <w:t>connection service </w:t>
      </w:r>
      <w:r>
        <w:rPr>
          <w:sz w:val="24"/>
        </w:rPr>
        <w:t>is a </w:t>
      </w:r>
      <w:r>
        <w:rPr>
          <w:i/>
          <w:sz w:val="24"/>
        </w:rPr>
        <w:t>basic connection service</w:t>
      </w:r>
      <w:r>
        <w:rPr>
          <w:sz w:val="24"/>
        </w:rPr>
        <w:t>, a </w:t>
      </w:r>
      <w:r>
        <w:rPr>
          <w:i/>
          <w:sz w:val="24"/>
        </w:rPr>
        <w:t>standard </w:t>
      </w:r>
      <w:r>
        <w:rPr>
          <w:i/>
          <w:sz w:val="24"/>
        </w:rPr>
        <w:t>connection service </w:t>
      </w:r>
      <w:r>
        <w:rPr>
          <w:sz w:val="24"/>
        </w:rPr>
        <w:t>or neither;</w:t>
      </w:r>
      <w:r>
        <w:rPr>
          <w:spacing w:val="-2"/>
          <w:sz w:val="24"/>
        </w:rPr>
        <w:t> </w:t>
      </w:r>
      <w:r>
        <w:rPr>
          <w:sz w:val="24"/>
        </w:rPr>
        <w:t>and</w:t>
      </w:r>
    </w:p>
    <w:p>
      <w:pPr>
        <w:pStyle w:val="ListParagraph"/>
        <w:numPr>
          <w:ilvl w:val="1"/>
          <w:numId w:val="367"/>
        </w:numPr>
        <w:tabs>
          <w:tab w:pos="2486" w:val="left" w:leader="none"/>
        </w:tabs>
        <w:spacing w:line="240" w:lineRule="auto" w:before="120" w:after="0"/>
        <w:ind w:left="2485" w:right="0" w:hanging="567"/>
        <w:jc w:val="both"/>
        <w:rPr>
          <w:sz w:val="24"/>
        </w:rPr>
      </w:pPr>
      <w:r>
        <w:rPr>
          <w:sz w:val="24"/>
        </w:rPr>
        <w:t>if:</w:t>
      </w:r>
    </w:p>
    <w:p>
      <w:pPr>
        <w:pStyle w:val="ListParagraph"/>
        <w:numPr>
          <w:ilvl w:val="2"/>
          <w:numId w:val="367"/>
        </w:numPr>
        <w:tabs>
          <w:tab w:pos="3053" w:val="left" w:leader="none"/>
        </w:tabs>
        <w:spacing w:line="240" w:lineRule="auto" w:before="120" w:after="0"/>
        <w:ind w:left="3052" w:right="0" w:hanging="567"/>
        <w:jc w:val="both"/>
        <w:rPr>
          <w:sz w:val="24"/>
        </w:rPr>
      </w:pPr>
      <w:r>
        <w:rPr>
          <w:sz w:val="24"/>
        </w:rPr>
        <w:t>the </w:t>
      </w:r>
      <w:r>
        <w:rPr>
          <w:i/>
          <w:sz w:val="24"/>
        </w:rPr>
        <w:t>connection service </w:t>
      </w:r>
      <w:r>
        <w:rPr>
          <w:sz w:val="24"/>
        </w:rPr>
        <w:t>is neither a </w:t>
      </w:r>
      <w:r>
        <w:rPr>
          <w:i/>
          <w:sz w:val="24"/>
        </w:rPr>
        <w:t>basic connection service </w:t>
      </w:r>
      <w:r>
        <w:rPr>
          <w:sz w:val="24"/>
        </w:rPr>
        <w:t>nor</w:t>
      </w:r>
      <w:r>
        <w:rPr>
          <w:spacing w:val="2"/>
          <w:sz w:val="24"/>
        </w:rPr>
        <w:t> </w:t>
      </w:r>
      <w:r>
        <w:rPr>
          <w:sz w:val="24"/>
        </w:rPr>
        <w:t>a</w:t>
      </w:r>
    </w:p>
    <w:p>
      <w:pPr>
        <w:spacing w:before="0"/>
        <w:ind w:left="3053" w:right="0" w:firstLine="0"/>
        <w:jc w:val="both"/>
        <w:rPr>
          <w:sz w:val="24"/>
        </w:rPr>
      </w:pPr>
      <w:r>
        <w:rPr>
          <w:i/>
          <w:sz w:val="24"/>
        </w:rPr>
        <w:t>standard connection service</w:t>
      </w:r>
      <w:r>
        <w:rPr>
          <w:sz w:val="24"/>
        </w:rPr>
        <w:t>; or</w:t>
      </w:r>
    </w:p>
    <w:p>
      <w:pPr>
        <w:pStyle w:val="ListParagraph"/>
        <w:numPr>
          <w:ilvl w:val="2"/>
          <w:numId w:val="367"/>
        </w:numPr>
        <w:tabs>
          <w:tab w:pos="3054" w:val="left" w:leader="none"/>
        </w:tabs>
        <w:spacing w:line="240" w:lineRule="auto" w:before="120" w:after="0"/>
        <w:ind w:left="3053" w:right="414" w:hanging="567"/>
        <w:jc w:val="both"/>
        <w:rPr>
          <w:sz w:val="24"/>
        </w:rPr>
      </w:pPr>
      <w:r>
        <w:rPr>
          <w:sz w:val="24"/>
        </w:rPr>
        <w:t>the </w:t>
      </w:r>
      <w:r>
        <w:rPr>
          <w:i/>
          <w:sz w:val="24"/>
        </w:rPr>
        <w:t>connection applicant </w:t>
      </w:r>
      <w:r>
        <w:rPr>
          <w:sz w:val="24"/>
        </w:rPr>
        <w:t>elects to have a negotiated </w:t>
      </w:r>
      <w:r>
        <w:rPr>
          <w:i/>
          <w:sz w:val="24"/>
        </w:rPr>
        <w:t>connection </w:t>
      </w:r>
      <w:r>
        <w:rPr>
          <w:i/>
          <w:sz w:val="24"/>
        </w:rPr>
        <w:t>contract </w:t>
      </w:r>
      <w:r>
        <w:rPr>
          <w:sz w:val="24"/>
        </w:rPr>
        <w:t>even though the proposed </w:t>
      </w:r>
      <w:r>
        <w:rPr>
          <w:i/>
          <w:sz w:val="24"/>
        </w:rPr>
        <w:t>connection service </w:t>
      </w:r>
      <w:r>
        <w:rPr>
          <w:sz w:val="24"/>
        </w:rPr>
        <w:t>is a basic or </w:t>
      </w:r>
      <w:r>
        <w:rPr>
          <w:i/>
          <w:sz w:val="24"/>
        </w:rPr>
        <w:t>standard connection</w:t>
      </w:r>
      <w:r>
        <w:rPr>
          <w:i/>
          <w:spacing w:val="-2"/>
          <w:sz w:val="24"/>
        </w:rPr>
        <w:t> </w:t>
      </w:r>
      <w:r>
        <w:rPr>
          <w:i/>
          <w:sz w:val="24"/>
        </w:rPr>
        <w:t>service</w:t>
      </w:r>
      <w:r>
        <w:rPr>
          <w:sz w:val="24"/>
        </w:rPr>
        <w:t>,</w:t>
      </w:r>
    </w:p>
    <w:p>
      <w:pPr>
        <w:spacing w:before="120"/>
        <w:ind w:left="1919" w:right="414" w:firstLine="0"/>
        <w:jc w:val="both"/>
        <w:rPr>
          <w:sz w:val="24"/>
        </w:rPr>
      </w:pPr>
      <w:r>
        <w:rPr>
          <w:sz w:val="24"/>
        </w:rPr>
        <w:t>advise the </w:t>
      </w:r>
      <w:r>
        <w:rPr>
          <w:i/>
          <w:sz w:val="24"/>
        </w:rPr>
        <w:t>connection applicant </w:t>
      </w:r>
      <w:r>
        <w:rPr>
          <w:sz w:val="24"/>
        </w:rPr>
        <w:t>of the negotiated </w:t>
      </w:r>
      <w:r>
        <w:rPr>
          <w:i/>
          <w:sz w:val="24"/>
        </w:rPr>
        <w:t>connection </w:t>
      </w:r>
      <w:r>
        <w:rPr>
          <w:sz w:val="24"/>
        </w:rPr>
        <w:t>process and of possible costs and expenses related to the negotiations.</w:t>
      </w:r>
    </w:p>
    <w:p>
      <w:pPr>
        <w:pStyle w:val="ListParagraph"/>
        <w:numPr>
          <w:ilvl w:val="0"/>
          <w:numId w:val="367"/>
        </w:numPr>
        <w:tabs>
          <w:tab w:pos="1919" w:val="left" w:leader="none"/>
        </w:tabs>
        <w:spacing w:line="240" w:lineRule="auto" w:before="120" w:after="0"/>
        <w:ind w:left="1919" w:right="415" w:hanging="567"/>
        <w:jc w:val="both"/>
        <w:rPr>
          <w:sz w:val="24"/>
        </w:rPr>
      </w:pPr>
      <w:r>
        <w:rPr>
          <w:sz w:val="24"/>
        </w:rPr>
        <w:t>A single application may relate to multiple </w:t>
      </w:r>
      <w:r>
        <w:rPr>
          <w:i/>
          <w:sz w:val="24"/>
        </w:rPr>
        <w:t>connection services </w:t>
      </w:r>
      <w:r>
        <w:rPr>
          <w:sz w:val="24"/>
        </w:rPr>
        <w:t>of the same or different</w:t>
      </w:r>
      <w:r>
        <w:rPr>
          <w:spacing w:val="-1"/>
          <w:sz w:val="24"/>
        </w:rPr>
        <w:t> </w:t>
      </w:r>
      <w:r>
        <w:rPr>
          <w:sz w:val="24"/>
        </w:rPr>
        <w:t>kinds.</w:t>
      </w:r>
    </w:p>
    <w:p>
      <w:pPr>
        <w:pStyle w:val="BodyText"/>
        <w:spacing w:before="10"/>
        <w:ind w:firstLine="0"/>
        <w:jc w:val="left"/>
        <w:rPr>
          <w:sz w:val="20"/>
        </w:rPr>
      </w:pPr>
    </w:p>
    <w:p>
      <w:pPr>
        <w:pStyle w:val="Heading4"/>
        <w:tabs>
          <w:tab w:pos="1351" w:val="left" w:leader="none"/>
        </w:tabs>
        <w:ind w:left="218" w:firstLine="0"/>
      </w:pPr>
      <w:bookmarkStart w:name="5A.D.4 Site inspection" w:id="1176"/>
      <w:bookmarkEnd w:id="1176"/>
      <w:r>
        <w:rPr>
          <w:b w:val="0"/>
        </w:rPr>
      </w:r>
      <w:bookmarkStart w:name="_bookmark481" w:id="1177"/>
      <w:bookmarkEnd w:id="1177"/>
      <w:r>
        <w:rPr>
          <w:b w:val="0"/>
        </w:rPr>
      </w:r>
      <w:r>
        <w:rPr/>
        <w:t>5A.D.4</w:t>
        <w:tab/>
        <w:t>Site</w:t>
      </w:r>
      <w:r>
        <w:rPr>
          <w:spacing w:val="-1"/>
        </w:rPr>
        <w:t> </w:t>
      </w:r>
      <w:r>
        <w:rPr/>
        <w:t>inspection</w:t>
      </w:r>
    </w:p>
    <w:p>
      <w:pPr>
        <w:spacing w:before="120"/>
        <w:ind w:left="1352" w:right="414" w:firstLine="0"/>
        <w:jc w:val="both"/>
        <w:rPr>
          <w:sz w:val="24"/>
        </w:rPr>
      </w:pPr>
      <w:r>
        <w:rPr>
          <w:sz w:val="24"/>
        </w:rPr>
        <w:t>If a </w:t>
      </w:r>
      <w:r>
        <w:rPr>
          <w:i/>
          <w:sz w:val="24"/>
        </w:rPr>
        <w:t>Distribution Network Service Provider </w:t>
      </w:r>
      <w:r>
        <w:rPr>
          <w:sz w:val="24"/>
        </w:rPr>
        <w:t>reasonably needs to make a site inspection in order to determine the nature of a </w:t>
      </w:r>
      <w:r>
        <w:rPr>
          <w:i/>
          <w:sz w:val="24"/>
        </w:rPr>
        <w:t>connection service </w:t>
      </w:r>
      <w:r>
        <w:rPr>
          <w:sz w:val="24"/>
        </w:rPr>
        <w:t>sought by a </w:t>
      </w:r>
      <w:r>
        <w:rPr>
          <w:i/>
          <w:sz w:val="24"/>
        </w:rPr>
        <w:t>connection applicant</w:t>
      </w:r>
      <w:r>
        <w:rPr>
          <w:sz w:val="24"/>
        </w:rPr>
        <w:t>, the </w:t>
      </w:r>
      <w:r>
        <w:rPr>
          <w:i/>
          <w:sz w:val="24"/>
        </w:rPr>
        <w:t>Distribution Network Service Provider </w:t>
      </w:r>
      <w:r>
        <w:rPr>
          <w:sz w:val="24"/>
        </w:rPr>
        <w:t>may charge its reasonable expenses to the </w:t>
      </w:r>
      <w:r>
        <w:rPr>
          <w:i/>
          <w:sz w:val="24"/>
        </w:rPr>
        <w:t>connection applicant </w:t>
      </w:r>
      <w:r>
        <w:rPr>
          <w:sz w:val="24"/>
        </w:rPr>
        <w:t>and recover those expenses as a debt.</w:t>
      </w:r>
    </w:p>
    <w:p>
      <w:pPr>
        <w:pStyle w:val="BodyText"/>
        <w:spacing w:before="10"/>
        <w:ind w:firstLine="0"/>
        <w:jc w:val="left"/>
        <w:rPr>
          <w:sz w:val="20"/>
        </w:rPr>
      </w:pPr>
    </w:p>
    <w:p>
      <w:pPr>
        <w:pStyle w:val="Heading2"/>
        <w:tabs>
          <w:tab w:pos="1352" w:val="left" w:leader="none"/>
          <w:tab w:pos="9317" w:val="left" w:leader="none"/>
        </w:tabs>
      </w:pPr>
      <w:bookmarkStart w:name="Part E Connection charges" w:id="1178"/>
      <w:bookmarkEnd w:id="1178"/>
      <w:r>
        <w:rPr>
          <w:b w:val="0"/>
        </w:rPr>
      </w:r>
      <w:bookmarkStart w:name="_bookmark482" w:id="1179"/>
      <w:bookmarkEnd w:id="1179"/>
      <w:r>
        <w:rPr>
          <w:b w:val="0"/>
        </w:rPr>
      </w:r>
      <w:r>
        <w:rPr>
          <w:shd w:fill="D9D9D9" w:color="auto" w:val="clear"/>
        </w:rPr>
        <w:t>Part E</w:t>
        <w:tab/>
        <w:t>Connection</w:t>
      </w:r>
      <w:r>
        <w:rPr>
          <w:spacing w:val="-14"/>
          <w:shd w:fill="D9D9D9" w:color="auto" w:val="clear"/>
        </w:rPr>
        <w:t> </w:t>
      </w:r>
      <w:r>
        <w:rPr>
          <w:shd w:fill="D9D9D9" w:color="auto" w:val="clear"/>
        </w:rPr>
        <w:t>charges</w:t>
        <w:tab/>
      </w:r>
    </w:p>
    <w:p>
      <w:pPr>
        <w:pStyle w:val="Heading4"/>
        <w:tabs>
          <w:tab w:pos="1351" w:val="left" w:leader="none"/>
        </w:tabs>
        <w:spacing w:before="240"/>
        <w:ind w:left="218" w:firstLine="0"/>
      </w:pPr>
      <w:bookmarkStart w:name=" " w:id="1180"/>
      <w:bookmarkEnd w:id="1180"/>
      <w:r>
        <w:rPr>
          <w:b w:val="0"/>
        </w:rPr>
      </w:r>
      <w:bookmarkStart w:name="5A.E.1 Connection charge principles" w:id="1181"/>
      <w:bookmarkEnd w:id="1181"/>
      <w:r>
        <w:rPr>
          <w:b w:val="0"/>
        </w:rPr>
      </w:r>
      <w:bookmarkStart w:name="_bookmark483" w:id="1182"/>
      <w:bookmarkEnd w:id="1182"/>
      <w:r>
        <w:rPr>
          <w:b w:val="0"/>
        </w:rPr>
      </w:r>
      <w:r>
        <w:rPr/>
        <w:t>5A.E.1</w:t>
        <w:tab/>
        <w:t>Connection charge</w:t>
      </w:r>
      <w:r>
        <w:rPr>
          <w:spacing w:val="-2"/>
        </w:rPr>
        <w:t> </w:t>
      </w:r>
      <w:r>
        <w:rPr/>
        <w:t>principles</w:t>
      </w:r>
    </w:p>
    <w:p>
      <w:pPr>
        <w:pStyle w:val="ListParagraph"/>
        <w:numPr>
          <w:ilvl w:val="0"/>
          <w:numId w:val="368"/>
        </w:numPr>
        <w:tabs>
          <w:tab w:pos="1919" w:val="left" w:leader="none"/>
        </w:tabs>
        <w:spacing w:line="240" w:lineRule="auto" w:before="120" w:after="0"/>
        <w:ind w:left="1918" w:right="0" w:hanging="567"/>
        <w:jc w:val="both"/>
        <w:rPr>
          <w:sz w:val="24"/>
        </w:rPr>
      </w:pPr>
      <w:r>
        <w:rPr>
          <w:sz w:val="24"/>
        </w:rPr>
        <w:t>This clause states the </w:t>
      </w:r>
      <w:r>
        <w:rPr>
          <w:b/>
          <w:i/>
          <w:sz w:val="24"/>
        </w:rPr>
        <w:t>connection charge</w:t>
      </w:r>
      <w:r>
        <w:rPr>
          <w:b/>
          <w:i/>
          <w:spacing w:val="-2"/>
          <w:sz w:val="24"/>
        </w:rPr>
        <w:t> </w:t>
      </w:r>
      <w:r>
        <w:rPr>
          <w:b/>
          <w:i/>
          <w:sz w:val="24"/>
        </w:rPr>
        <w:t>principles</w:t>
      </w:r>
      <w:r>
        <w:rPr>
          <w:sz w:val="24"/>
        </w:rPr>
        <w:t>.</w:t>
      </w:r>
    </w:p>
    <w:p>
      <w:pPr>
        <w:pStyle w:val="ListParagraph"/>
        <w:numPr>
          <w:ilvl w:val="0"/>
          <w:numId w:val="368"/>
        </w:numPr>
        <w:tabs>
          <w:tab w:pos="1919" w:val="left" w:leader="none"/>
        </w:tabs>
        <w:spacing w:line="240" w:lineRule="auto" w:before="120" w:after="0"/>
        <w:ind w:left="1919" w:right="414" w:hanging="567"/>
        <w:jc w:val="both"/>
        <w:rPr>
          <w:sz w:val="24"/>
        </w:rPr>
      </w:pPr>
      <w:r>
        <w:rPr>
          <w:sz w:val="24"/>
        </w:rPr>
        <w:t>A </w:t>
      </w:r>
      <w:r>
        <w:rPr>
          <w:i/>
          <w:sz w:val="24"/>
        </w:rPr>
        <w:t>retail customer </w:t>
      </w:r>
      <w:r>
        <w:rPr>
          <w:sz w:val="24"/>
        </w:rPr>
        <w:t>(other than a</w:t>
      </w:r>
      <w:r>
        <w:rPr>
          <w:i/>
          <w:sz w:val="24"/>
        </w:rPr>
        <w:t>non-registered embedded generator</w:t>
      </w:r>
      <w:r>
        <w:rPr>
          <w:sz w:val="24"/>
        </w:rPr>
        <w:t>or a </w:t>
      </w:r>
      <w:r>
        <w:rPr>
          <w:i/>
          <w:sz w:val="24"/>
        </w:rPr>
        <w:t>real </w:t>
      </w:r>
      <w:r>
        <w:rPr>
          <w:i/>
          <w:sz w:val="24"/>
        </w:rPr>
        <w:t>estate developer</w:t>
      </w:r>
      <w:r>
        <w:rPr>
          <w:sz w:val="24"/>
        </w:rPr>
        <w:t>) who applies for a </w:t>
      </w:r>
      <w:r>
        <w:rPr>
          <w:i/>
          <w:sz w:val="24"/>
        </w:rPr>
        <w:t>connection service </w:t>
      </w:r>
      <w:r>
        <w:rPr>
          <w:sz w:val="24"/>
        </w:rPr>
        <w:t>for which an </w:t>
      </w:r>
      <w:r>
        <w:rPr>
          <w:i/>
          <w:sz w:val="24"/>
        </w:rPr>
        <w:t>augmentation </w:t>
      </w:r>
      <w:r>
        <w:rPr>
          <w:sz w:val="24"/>
        </w:rPr>
        <w:t>is required cannot be required to make a capital contribution towards the cost of the </w:t>
      </w:r>
      <w:r>
        <w:rPr>
          <w:i/>
          <w:sz w:val="24"/>
        </w:rPr>
        <w:t>augmentation </w:t>
      </w:r>
      <w:r>
        <w:rPr>
          <w:sz w:val="24"/>
        </w:rPr>
        <w:t>(insofar as it involves more than </w:t>
      </w:r>
      <w:r>
        <w:rPr>
          <w:spacing w:val="-6"/>
          <w:sz w:val="24"/>
        </w:rPr>
        <w:t>an </w:t>
      </w:r>
      <w:r>
        <w:rPr>
          <w:i/>
          <w:sz w:val="24"/>
        </w:rPr>
        <w:t>extension</w:t>
      </w:r>
      <w:r>
        <w:rPr>
          <w:sz w:val="24"/>
        </w:rPr>
        <w:t>)</w:t>
      </w:r>
      <w:r>
        <w:rPr>
          <w:spacing w:val="-1"/>
          <w:sz w:val="24"/>
        </w:rPr>
        <w:t> </w:t>
      </w:r>
      <w:r>
        <w:rPr>
          <w:sz w:val="24"/>
        </w:rPr>
        <w:t>if:</w:t>
      </w:r>
    </w:p>
    <w:p>
      <w:pPr>
        <w:pStyle w:val="ListParagraph"/>
        <w:numPr>
          <w:ilvl w:val="1"/>
          <w:numId w:val="368"/>
        </w:numPr>
        <w:tabs>
          <w:tab w:pos="2486" w:val="left" w:leader="none"/>
        </w:tabs>
        <w:spacing w:line="240" w:lineRule="auto" w:before="120" w:after="0"/>
        <w:ind w:left="2485" w:right="0" w:hanging="567"/>
        <w:jc w:val="both"/>
        <w:rPr>
          <w:sz w:val="24"/>
        </w:rPr>
      </w:pPr>
      <w:r>
        <w:rPr>
          <w:sz w:val="24"/>
        </w:rPr>
        <w:t>the application is for a </w:t>
      </w:r>
      <w:r>
        <w:rPr>
          <w:i/>
          <w:sz w:val="24"/>
        </w:rPr>
        <w:t>basic connection service</w:t>
      </w:r>
      <w:r>
        <w:rPr>
          <w:sz w:val="24"/>
        </w:rPr>
        <w:t>;</w:t>
      </w:r>
      <w:r>
        <w:rPr>
          <w:spacing w:val="-2"/>
          <w:sz w:val="24"/>
        </w:rPr>
        <w:t> </w:t>
      </w:r>
      <w:r>
        <w:rPr>
          <w:sz w:val="24"/>
        </w:rPr>
        <w:t>or</w:t>
      </w:r>
    </w:p>
    <w:p>
      <w:pPr>
        <w:pStyle w:val="ListParagraph"/>
        <w:numPr>
          <w:ilvl w:val="1"/>
          <w:numId w:val="368"/>
        </w:numPr>
        <w:tabs>
          <w:tab w:pos="2486" w:val="left" w:leader="none"/>
        </w:tabs>
        <w:spacing w:line="240" w:lineRule="auto" w:before="120" w:after="0"/>
        <w:ind w:left="2486" w:right="417" w:hanging="567"/>
        <w:jc w:val="both"/>
        <w:rPr>
          <w:sz w:val="24"/>
        </w:rPr>
      </w:pPr>
      <w:r>
        <w:rPr>
          <w:sz w:val="24"/>
        </w:rPr>
        <w:t>a relevant threshold set in the </w:t>
      </w:r>
      <w:r>
        <w:rPr>
          <w:i/>
          <w:sz w:val="24"/>
        </w:rPr>
        <w:t>Distribution Network Service Provider's </w:t>
      </w:r>
      <w:r>
        <w:rPr>
          <w:i/>
          <w:sz w:val="24"/>
        </w:rPr>
        <w:t>connection policy </w:t>
      </w:r>
      <w:r>
        <w:rPr>
          <w:sz w:val="24"/>
        </w:rPr>
        <w:t>is not</w:t>
      </w:r>
      <w:r>
        <w:rPr>
          <w:spacing w:val="-2"/>
          <w:sz w:val="24"/>
        </w:rPr>
        <w:t> </w:t>
      </w:r>
      <w:r>
        <w:rPr>
          <w:sz w:val="24"/>
        </w:rPr>
        <w:t>exceeded.</w:t>
      </w:r>
    </w:p>
    <w:p>
      <w:pPr>
        <w:spacing w:before="120"/>
        <w:ind w:left="1919" w:right="0" w:firstLine="0"/>
        <w:jc w:val="left"/>
        <w:rPr>
          <w:rFonts w:ascii="Arial"/>
          <w:b/>
          <w:sz w:val="20"/>
        </w:rPr>
      </w:pPr>
      <w:r>
        <w:rPr>
          <w:rFonts w:ascii="Arial"/>
          <w:b/>
          <w:sz w:val="20"/>
        </w:rPr>
        <w:t>Note</w:t>
      </w:r>
    </w:p>
    <w:p>
      <w:pPr>
        <w:spacing w:before="120"/>
        <w:ind w:left="1919" w:right="415" w:firstLine="0"/>
        <w:jc w:val="left"/>
        <w:rPr>
          <w:sz w:val="20"/>
        </w:rPr>
      </w:pPr>
      <w:r>
        <w:rPr>
          <w:sz w:val="20"/>
        </w:rPr>
        <w:t>In general, the intention is to exclude deep system </w:t>
      </w:r>
      <w:r>
        <w:rPr>
          <w:i/>
          <w:sz w:val="20"/>
        </w:rPr>
        <w:t>augmentation </w:t>
      </w:r>
      <w:r>
        <w:rPr>
          <w:sz w:val="20"/>
        </w:rPr>
        <w:t>charges for </w:t>
      </w:r>
      <w:r>
        <w:rPr>
          <w:i/>
          <w:sz w:val="20"/>
        </w:rPr>
        <w:t>retail </w:t>
      </w:r>
      <w:r>
        <w:rPr>
          <w:i/>
          <w:sz w:val="20"/>
        </w:rPr>
        <w:t>customers</w:t>
      </w:r>
      <w:r>
        <w:rPr>
          <w:sz w:val="20"/>
        </w:rPr>
        <w:t>.</w:t>
      </w:r>
    </w:p>
    <w:p>
      <w:pPr>
        <w:spacing w:after="0"/>
        <w:jc w:val="left"/>
        <w:rPr>
          <w:sz w:val="20"/>
        </w:rPr>
        <w:sectPr>
          <w:pgSz w:w="11910" w:h="16840"/>
          <w:pgMar w:header="686" w:footer="637" w:top="1320" w:bottom="820" w:left="1200" w:right="1000"/>
        </w:sectPr>
      </w:pPr>
    </w:p>
    <w:p>
      <w:pPr>
        <w:pStyle w:val="ListParagraph"/>
        <w:numPr>
          <w:ilvl w:val="0"/>
          <w:numId w:val="368"/>
        </w:numPr>
        <w:tabs>
          <w:tab w:pos="1919" w:val="left" w:leader="none"/>
        </w:tabs>
        <w:spacing w:line="240" w:lineRule="auto" w:before="83" w:after="0"/>
        <w:ind w:left="1919" w:right="414" w:hanging="567"/>
        <w:jc w:val="both"/>
        <w:rPr>
          <w:sz w:val="24"/>
        </w:rPr>
      </w:pPr>
      <w:r>
        <w:rPr>
          <w:sz w:val="24"/>
        </w:rPr>
        <w:t>Subject to paragraph (b), in determining </w:t>
      </w:r>
      <w:r>
        <w:rPr>
          <w:i/>
          <w:sz w:val="24"/>
        </w:rPr>
        <w:t>connection charges </w:t>
      </w:r>
      <w:r>
        <w:rPr>
          <w:sz w:val="24"/>
        </w:rPr>
        <w:t>in accordance with its </w:t>
      </w:r>
      <w:r>
        <w:rPr>
          <w:i/>
          <w:sz w:val="24"/>
        </w:rPr>
        <w:t>connection policy</w:t>
      </w:r>
      <w:r>
        <w:rPr>
          <w:sz w:val="24"/>
        </w:rPr>
        <w:t>, a </w:t>
      </w:r>
      <w:r>
        <w:rPr>
          <w:i/>
          <w:sz w:val="24"/>
        </w:rPr>
        <w:t>Distribution Network Service Provider </w:t>
      </w:r>
      <w:r>
        <w:rPr>
          <w:sz w:val="24"/>
        </w:rPr>
        <w:t>must apply the following</w:t>
      </w:r>
      <w:r>
        <w:rPr>
          <w:spacing w:val="-1"/>
          <w:sz w:val="24"/>
        </w:rPr>
        <w:t> </w:t>
      </w:r>
      <w:r>
        <w:rPr>
          <w:sz w:val="24"/>
        </w:rPr>
        <w:t>principles:</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if an </w:t>
      </w:r>
      <w:r>
        <w:rPr>
          <w:i/>
          <w:sz w:val="24"/>
        </w:rPr>
        <w:t>extension </w:t>
      </w:r>
      <w:r>
        <w:rPr>
          <w:sz w:val="24"/>
        </w:rPr>
        <w:t>to the </w:t>
      </w:r>
      <w:r>
        <w:rPr>
          <w:i/>
          <w:sz w:val="24"/>
        </w:rPr>
        <w:t>distribution network </w:t>
      </w:r>
      <w:r>
        <w:rPr>
          <w:sz w:val="24"/>
        </w:rPr>
        <w:t>is necessary in order to provide a </w:t>
      </w:r>
      <w:r>
        <w:rPr>
          <w:i/>
          <w:sz w:val="24"/>
        </w:rPr>
        <w:t>connection service</w:t>
      </w:r>
      <w:r>
        <w:rPr>
          <w:sz w:val="24"/>
        </w:rPr>
        <w:t>, </w:t>
      </w:r>
      <w:r>
        <w:rPr>
          <w:i/>
          <w:sz w:val="24"/>
        </w:rPr>
        <w:t>connection charges </w:t>
      </w:r>
      <w:r>
        <w:rPr>
          <w:sz w:val="24"/>
        </w:rPr>
        <w:t>for the service may include a reasonable capital contribution towards the cost of </w:t>
      </w:r>
      <w:r>
        <w:rPr>
          <w:spacing w:val="-4"/>
          <w:sz w:val="24"/>
        </w:rPr>
        <w:t>the</w:t>
      </w:r>
      <w:r>
        <w:rPr>
          <w:spacing w:val="52"/>
          <w:sz w:val="24"/>
        </w:rPr>
        <w:t> </w:t>
      </w:r>
      <w:r>
        <w:rPr>
          <w:i/>
          <w:sz w:val="24"/>
        </w:rPr>
        <w:t>extension </w:t>
      </w:r>
      <w:r>
        <w:rPr>
          <w:sz w:val="24"/>
        </w:rPr>
        <w:t>necessary to provide the</w:t>
      </w:r>
      <w:r>
        <w:rPr>
          <w:spacing w:val="-2"/>
          <w:sz w:val="24"/>
        </w:rPr>
        <w:t> </w:t>
      </w:r>
      <w:r>
        <w:rPr>
          <w:sz w:val="24"/>
        </w:rPr>
        <w:t>service;</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if </w:t>
      </w:r>
      <w:r>
        <w:rPr>
          <w:i/>
          <w:sz w:val="24"/>
        </w:rPr>
        <w:t>augmentation </w:t>
      </w:r>
      <w:r>
        <w:rPr>
          <w:sz w:val="24"/>
        </w:rPr>
        <w:t>of </w:t>
      </w:r>
      <w:r>
        <w:rPr>
          <w:i/>
          <w:sz w:val="24"/>
        </w:rPr>
        <w:t>premises connection assets </w:t>
      </w:r>
      <w:r>
        <w:rPr>
          <w:sz w:val="24"/>
        </w:rPr>
        <w:t>at the </w:t>
      </w:r>
      <w:r>
        <w:rPr>
          <w:i/>
          <w:sz w:val="24"/>
        </w:rPr>
        <w:t>retail customer'</w:t>
      </w:r>
      <w:r>
        <w:rPr>
          <w:sz w:val="24"/>
        </w:rPr>
        <w:t>s </w:t>
      </w:r>
      <w:r>
        <w:rPr>
          <w:i/>
          <w:sz w:val="24"/>
        </w:rPr>
        <w:t>connection </w:t>
      </w:r>
      <w:r>
        <w:rPr>
          <w:sz w:val="24"/>
        </w:rPr>
        <w:t>point is necessary in order to provide a </w:t>
      </w:r>
      <w:r>
        <w:rPr>
          <w:i/>
          <w:sz w:val="24"/>
        </w:rPr>
        <w:t>connection service</w:t>
      </w:r>
      <w:r>
        <w:rPr>
          <w:sz w:val="24"/>
        </w:rPr>
        <w:t>, </w:t>
      </w:r>
      <w:r>
        <w:rPr>
          <w:i/>
          <w:sz w:val="24"/>
        </w:rPr>
        <w:t>connection charges </w:t>
      </w:r>
      <w:r>
        <w:rPr>
          <w:sz w:val="24"/>
        </w:rPr>
        <w:t>for the service may include a reasonable capital contribution towards the cost of the </w:t>
      </w:r>
      <w:r>
        <w:rPr>
          <w:i/>
          <w:sz w:val="24"/>
        </w:rPr>
        <w:t>augmentation </w:t>
      </w:r>
      <w:r>
        <w:rPr>
          <w:sz w:val="24"/>
        </w:rPr>
        <w:t>of </w:t>
      </w:r>
      <w:r>
        <w:rPr>
          <w:i/>
          <w:sz w:val="24"/>
        </w:rPr>
        <w:t>premises </w:t>
      </w:r>
      <w:r>
        <w:rPr>
          <w:i/>
          <w:sz w:val="24"/>
        </w:rPr>
        <w:t>connection assets </w:t>
      </w:r>
      <w:r>
        <w:rPr>
          <w:sz w:val="24"/>
        </w:rPr>
        <w:t>at the </w:t>
      </w:r>
      <w:r>
        <w:rPr>
          <w:i/>
          <w:sz w:val="24"/>
        </w:rPr>
        <w:t>connection point </w:t>
      </w:r>
      <w:r>
        <w:rPr>
          <w:sz w:val="24"/>
        </w:rPr>
        <w:t>necessary to provide the service;</w:t>
      </w:r>
    </w:p>
    <w:p>
      <w:pPr>
        <w:pStyle w:val="ListParagraph"/>
        <w:numPr>
          <w:ilvl w:val="1"/>
          <w:numId w:val="368"/>
        </w:numPr>
        <w:tabs>
          <w:tab w:pos="2486" w:val="left" w:leader="none"/>
        </w:tabs>
        <w:spacing w:line="240" w:lineRule="auto" w:before="120" w:after="0"/>
        <w:ind w:left="2486" w:right="415" w:hanging="567"/>
        <w:jc w:val="both"/>
        <w:rPr>
          <w:sz w:val="24"/>
        </w:rPr>
      </w:pPr>
      <w:r>
        <w:rPr>
          <w:sz w:val="24"/>
        </w:rPr>
        <w:t>if </w:t>
      </w:r>
      <w:r>
        <w:rPr>
          <w:i/>
          <w:sz w:val="24"/>
        </w:rPr>
        <w:t>augmentation </w:t>
      </w:r>
      <w:r>
        <w:rPr>
          <w:sz w:val="24"/>
        </w:rPr>
        <w:t>of the </w:t>
      </w:r>
      <w:r>
        <w:rPr>
          <w:i/>
          <w:sz w:val="24"/>
        </w:rPr>
        <w:t>distribution system </w:t>
      </w:r>
      <w:r>
        <w:rPr>
          <w:sz w:val="24"/>
        </w:rPr>
        <w:t>is necessary in order to provide a </w:t>
      </w:r>
      <w:r>
        <w:rPr>
          <w:i/>
          <w:sz w:val="24"/>
        </w:rPr>
        <w:t>standard connection service</w:t>
      </w:r>
      <w:r>
        <w:rPr>
          <w:sz w:val="24"/>
        </w:rPr>
        <w:t>, </w:t>
      </w:r>
      <w:r>
        <w:rPr>
          <w:i/>
          <w:sz w:val="24"/>
        </w:rPr>
        <w:t>connection charges </w:t>
      </w:r>
      <w:r>
        <w:rPr>
          <w:sz w:val="24"/>
        </w:rPr>
        <w:t>for the service may include a reasonable capital contribution towards the cost of the </w:t>
      </w:r>
      <w:r>
        <w:rPr>
          <w:i/>
          <w:sz w:val="24"/>
        </w:rPr>
        <w:t>augmentation </w:t>
      </w:r>
      <w:r>
        <w:rPr>
          <w:sz w:val="24"/>
        </w:rPr>
        <w:t>necessary to provide the</w:t>
      </w:r>
      <w:r>
        <w:rPr>
          <w:spacing w:val="-3"/>
          <w:sz w:val="24"/>
        </w:rPr>
        <w:t> </w:t>
      </w:r>
      <w:r>
        <w:rPr>
          <w:sz w:val="24"/>
        </w:rPr>
        <w:t>service;</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if </w:t>
      </w:r>
      <w:r>
        <w:rPr>
          <w:i/>
          <w:sz w:val="24"/>
        </w:rPr>
        <w:t>augmentation </w:t>
      </w:r>
      <w:r>
        <w:rPr>
          <w:sz w:val="24"/>
        </w:rPr>
        <w:t>of the </w:t>
      </w:r>
      <w:r>
        <w:rPr>
          <w:i/>
          <w:sz w:val="24"/>
        </w:rPr>
        <w:t>distribution system </w:t>
      </w:r>
      <w:r>
        <w:rPr>
          <w:sz w:val="24"/>
        </w:rPr>
        <w:t>is necessary in order to provide a </w:t>
      </w:r>
      <w:r>
        <w:rPr>
          <w:i/>
          <w:sz w:val="24"/>
        </w:rPr>
        <w:t>connection service </w:t>
      </w:r>
      <w:r>
        <w:rPr>
          <w:sz w:val="24"/>
        </w:rPr>
        <w:t>under a negotiated </w:t>
      </w:r>
      <w:r>
        <w:rPr>
          <w:i/>
          <w:sz w:val="24"/>
        </w:rPr>
        <w:t>connection contract</w:t>
      </w:r>
      <w:r>
        <w:rPr>
          <w:sz w:val="24"/>
        </w:rPr>
        <w:t>, </w:t>
      </w:r>
      <w:r>
        <w:rPr>
          <w:i/>
          <w:sz w:val="24"/>
        </w:rPr>
        <w:t>connection charges </w:t>
      </w:r>
      <w:r>
        <w:rPr>
          <w:sz w:val="24"/>
        </w:rPr>
        <w:t>for the service may, subject to any agreement to the contrary, include a reasonable capital contribution towards the cost of </w:t>
      </w:r>
      <w:r>
        <w:rPr>
          <w:i/>
          <w:sz w:val="24"/>
        </w:rPr>
        <w:t>augmentation </w:t>
      </w:r>
      <w:r>
        <w:rPr>
          <w:sz w:val="24"/>
        </w:rPr>
        <w:t>of the </w:t>
      </w:r>
      <w:r>
        <w:rPr>
          <w:i/>
          <w:sz w:val="24"/>
        </w:rPr>
        <w:t>distribution system </w:t>
      </w:r>
      <w:r>
        <w:rPr>
          <w:sz w:val="24"/>
        </w:rPr>
        <w:t>to the extent necessary to provide the service and to any further extent that a prudent service provider would consider necessary to provide efficiently for forecast </w:t>
      </w:r>
      <w:r>
        <w:rPr>
          <w:i/>
          <w:sz w:val="24"/>
        </w:rPr>
        <w:t>load </w:t>
      </w:r>
      <w:r>
        <w:rPr>
          <w:sz w:val="24"/>
        </w:rPr>
        <w:t>growth;</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despite subparagraphs (1) to (4) if </w:t>
      </w:r>
      <w:r>
        <w:rPr>
          <w:i/>
          <w:sz w:val="24"/>
        </w:rPr>
        <w:t>augmentation </w:t>
      </w:r>
      <w:r>
        <w:rPr>
          <w:sz w:val="24"/>
        </w:rPr>
        <w:t>of the </w:t>
      </w:r>
      <w:r>
        <w:rPr>
          <w:i/>
          <w:sz w:val="24"/>
        </w:rPr>
        <w:t>distribution </w:t>
      </w:r>
      <w:r>
        <w:rPr>
          <w:i/>
          <w:sz w:val="24"/>
        </w:rPr>
        <w:t>system </w:t>
      </w:r>
      <w:r>
        <w:rPr>
          <w:sz w:val="24"/>
        </w:rPr>
        <w:t>is necessary in order to provide, on the application of a </w:t>
      </w:r>
      <w:r>
        <w:rPr>
          <w:i/>
          <w:sz w:val="24"/>
        </w:rPr>
        <w:t>real </w:t>
      </w:r>
      <w:r>
        <w:rPr>
          <w:i/>
          <w:sz w:val="24"/>
        </w:rPr>
        <w:t>estate developer</w:t>
      </w:r>
      <w:r>
        <w:rPr>
          <w:sz w:val="24"/>
        </w:rPr>
        <w:t>, </w:t>
      </w:r>
      <w:r>
        <w:rPr>
          <w:i/>
          <w:sz w:val="24"/>
        </w:rPr>
        <w:t>connection services </w:t>
      </w:r>
      <w:r>
        <w:rPr>
          <w:sz w:val="24"/>
        </w:rPr>
        <w:t>for premises comprised in a </w:t>
      </w:r>
      <w:r>
        <w:rPr>
          <w:i/>
          <w:sz w:val="24"/>
        </w:rPr>
        <w:t>real </w:t>
      </w:r>
      <w:r>
        <w:rPr>
          <w:i/>
          <w:sz w:val="24"/>
        </w:rPr>
        <w:t>estate development</w:t>
      </w:r>
      <w:r>
        <w:rPr>
          <w:sz w:val="24"/>
        </w:rPr>
        <w:t>, </w:t>
      </w:r>
      <w:r>
        <w:rPr>
          <w:i/>
          <w:sz w:val="24"/>
        </w:rPr>
        <w:t>connection charges </w:t>
      </w:r>
      <w:r>
        <w:rPr>
          <w:sz w:val="24"/>
        </w:rPr>
        <w:t>for the services may, subject to any agreement to the contrary, include a reasonable capital contribution towards the cost of </w:t>
      </w:r>
      <w:r>
        <w:rPr>
          <w:i/>
          <w:sz w:val="24"/>
        </w:rPr>
        <w:t>augmentation </w:t>
      </w:r>
      <w:r>
        <w:rPr>
          <w:sz w:val="24"/>
        </w:rPr>
        <w:t>of the </w:t>
      </w:r>
      <w:r>
        <w:rPr>
          <w:i/>
          <w:sz w:val="24"/>
        </w:rPr>
        <w:t>distribution </w:t>
      </w:r>
      <w:r>
        <w:rPr>
          <w:i/>
          <w:sz w:val="24"/>
        </w:rPr>
        <w:t>system </w:t>
      </w:r>
      <w:r>
        <w:rPr>
          <w:sz w:val="24"/>
        </w:rPr>
        <w:t>to the extent necessary to provide the services and to any further extent that a prudent service provider would consider necessary to provide efficiently for forecast </w:t>
      </w:r>
      <w:r>
        <w:rPr>
          <w:i/>
          <w:sz w:val="24"/>
        </w:rPr>
        <w:t>load</w:t>
      </w:r>
      <w:r>
        <w:rPr>
          <w:i/>
          <w:spacing w:val="-1"/>
          <w:sz w:val="24"/>
        </w:rPr>
        <w:t> </w:t>
      </w:r>
      <w:r>
        <w:rPr>
          <w:sz w:val="24"/>
        </w:rPr>
        <w:t>growth;</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however, a capital contribution may only be required in the circumstances described in subparagraphs (1) to (5) if provision for the costs has not already been made through existing </w:t>
      </w:r>
      <w:r>
        <w:rPr>
          <w:i/>
          <w:sz w:val="24"/>
        </w:rPr>
        <w:t>distribution use </w:t>
      </w:r>
      <w:r>
        <w:rPr>
          <w:i/>
          <w:sz w:val="24"/>
        </w:rPr>
        <w:t>of system </w:t>
      </w:r>
      <w:r>
        <w:rPr>
          <w:sz w:val="24"/>
        </w:rPr>
        <w:t>charges or a tariff applicable to the</w:t>
      </w:r>
      <w:r>
        <w:rPr>
          <w:spacing w:val="-5"/>
          <w:sz w:val="24"/>
        </w:rPr>
        <w:t> </w:t>
      </w:r>
      <w:r>
        <w:rPr>
          <w:i/>
          <w:sz w:val="24"/>
        </w:rPr>
        <w:t>connection</w:t>
      </w:r>
      <w:r>
        <w:rPr>
          <w:sz w:val="24"/>
        </w:rPr>
        <w:t>.</w:t>
      </w:r>
    </w:p>
    <w:p>
      <w:pPr>
        <w:pStyle w:val="ListParagraph"/>
        <w:numPr>
          <w:ilvl w:val="0"/>
          <w:numId w:val="368"/>
        </w:numPr>
        <w:tabs>
          <w:tab w:pos="1919" w:val="left" w:leader="none"/>
        </w:tabs>
        <w:spacing w:line="240" w:lineRule="auto" w:before="120" w:after="0"/>
        <w:ind w:left="1918" w:right="0" w:hanging="567"/>
        <w:jc w:val="both"/>
        <w:rPr>
          <w:sz w:val="24"/>
        </w:rPr>
      </w:pPr>
      <w:r>
        <w:rPr>
          <w:sz w:val="24"/>
        </w:rPr>
        <w:t>If:</w:t>
      </w:r>
    </w:p>
    <w:p>
      <w:pPr>
        <w:pStyle w:val="ListParagraph"/>
        <w:numPr>
          <w:ilvl w:val="1"/>
          <w:numId w:val="368"/>
        </w:numPr>
        <w:tabs>
          <w:tab w:pos="2486" w:val="left" w:leader="none"/>
        </w:tabs>
        <w:spacing w:line="240" w:lineRule="auto" w:before="120" w:after="0"/>
        <w:ind w:left="2486" w:right="415" w:hanging="567"/>
        <w:jc w:val="both"/>
        <w:rPr>
          <w:sz w:val="24"/>
        </w:rPr>
      </w:pPr>
      <w:r>
        <w:rPr>
          <w:sz w:val="24"/>
        </w:rPr>
        <w:t>a </w:t>
      </w:r>
      <w:r>
        <w:rPr>
          <w:i/>
          <w:sz w:val="24"/>
        </w:rPr>
        <w:t>connection asset </w:t>
      </w:r>
      <w:r>
        <w:rPr>
          <w:sz w:val="24"/>
        </w:rPr>
        <w:t>ceases, within 7 years after its construction or installation, to be dedicated to the exclusive use of the </w:t>
      </w:r>
      <w:r>
        <w:rPr>
          <w:i/>
          <w:sz w:val="24"/>
        </w:rPr>
        <w:t>retail customer </w:t>
      </w:r>
      <w:r>
        <w:rPr>
          <w:sz w:val="24"/>
        </w:rPr>
        <w:t>occupying particular premises;</w:t>
      </w:r>
      <w:r>
        <w:rPr>
          <w:spacing w:val="-1"/>
          <w:sz w:val="24"/>
        </w:rPr>
        <w:t> </w:t>
      </w:r>
      <w:r>
        <w:rPr>
          <w:sz w:val="24"/>
        </w:rPr>
        <w:t>and</w:t>
      </w:r>
    </w:p>
    <w:p>
      <w:pPr>
        <w:pStyle w:val="ListParagraph"/>
        <w:numPr>
          <w:ilvl w:val="1"/>
          <w:numId w:val="368"/>
        </w:numPr>
        <w:tabs>
          <w:tab w:pos="2486" w:val="left" w:leader="none"/>
        </w:tabs>
        <w:spacing w:line="240" w:lineRule="auto" w:before="120" w:after="0"/>
        <w:ind w:left="2486" w:right="414" w:hanging="567"/>
        <w:jc w:val="both"/>
        <w:rPr>
          <w:sz w:val="24"/>
        </w:rPr>
      </w:pPr>
      <w:r>
        <w:rPr>
          <w:sz w:val="24"/>
        </w:rPr>
        <w:t>the </w:t>
      </w:r>
      <w:r>
        <w:rPr>
          <w:i/>
          <w:sz w:val="24"/>
        </w:rPr>
        <w:t>retail customer </w:t>
      </w:r>
      <w:r>
        <w:rPr>
          <w:sz w:val="24"/>
        </w:rPr>
        <w:t>is entitled, in accordance with the </w:t>
      </w:r>
      <w:r>
        <w:rPr>
          <w:i/>
          <w:sz w:val="24"/>
        </w:rPr>
        <w:t>connection </w:t>
      </w:r>
      <w:r>
        <w:rPr>
          <w:i/>
          <w:sz w:val="24"/>
        </w:rPr>
        <w:t>charge guidelines</w:t>
      </w:r>
      <w:r>
        <w:rPr>
          <w:sz w:val="24"/>
        </w:rPr>
        <w:t>, to a refund of </w:t>
      </w:r>
      <w:r>
        <w:rPr>
          <w:i/>
          <w:sz w:val="24"/>
        </w:rPr>
        <w:t>connection</w:t>
      </w:r>
      <w:r>
        <w:rPr>
          <w:i/>
          <w:spacing w:val="-1"/>
          <w:sz w:val="24"/>
        </w:rPr>
        <w:t> </w:t>
      </w:r>
      <w:r>
        <w:rPr>
          <w:i/>
          <w:sz w:val="24"/>
        </w:rPr>
        <w:t>charges</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416" w:firstLine="0"/>
        <w:jc w:val="both"/>
        <w:rPr>
          <w:sz w:val="24"/>
        </w:rPr>
      </w:pPr>
      <w:r>
        <w:rPr>
          <w:sz w:val="24"/>
        </w:rPr>
        <w:t>the </w:t>
      </w:r>
      <w:r>
        <w:rPr>
          <w:i/>
          <w:sz w:val="24"/>
        </w:rPr>
        <w:t>Distribution Network Service Provider </w:t>
      </w:r>
      <w:r>
        <w:rPr>
          <w:sz w:val="24"/>
        </w:rPr>
        <w:t>must make the refund, and may recover the amount of the refund, by way of a </w:t>
      </w:r>
      <w:r>
        <w:rPr>
          <w:i/>
          <w:sz w:val="24"/>
        </w:rPr>
        <w:t>connection charge</w:t>
      </w:r>
      <w:r>
        <w:rPr>
          <w:sz w:val="24"/>
        </w:rPr>
        <w:t>, from the new users of the asset.</w:t>
      </w:r>
    </w:p>
    <w:p>
      <w:pPr>
        <w:pStyle w:val="ListParagraph"/>
        <w:numPr>
          <w:ilvl w:val="0"/>
          <w:numId w:val="368"/>
        </w:numPr>
        <w:tabs>
          <w:tab w:pos="1919" w:val="left" w:leader="none"/>
        </w:tabs>
        <w:spacing w:line="240" w:lineRule="auto" w:before="120" w:after="0"/>
        <w:ind w:left="1919" w:right="414" w:hanging="567"/>
        <w:jc w:val="both"/>
        <w:rPr>
          <w:sz w:val="24"/>
        </w:rPr>
      </w:pPr>
      <w:r>
        <w:rPr>
          <w:sz w:val="24"/>
        </w:rPr>
        <w:t>For the purposes of paragraph (d), a person is taken to be a new user of a </w:t>
      </w:r>
      <w:r>
        <w:rPr>
          <w:i/>
          <w:sz w:val="24"/>
        </w:rPr>
        <w:t>connection asset </w:t>
      </w:r>
      <w:r>
        <w:rPr>
          <w:sz w:val="24"/>
        </w:rPr>
        <w:t>if the asset comes to be used to provide a </w:t>
      </w:r>
      <w:r>
        <w:rPr>
          <w:i/>
          <w:sz w:val="24"/>
        </w:rPr>
        <w:t>connection </w:t>
      </w:r>
      <w:r>
        <w:rPr>
          <w:spacing w:val="-6"/>
          <w:sz w:val="24"/>
        </w:rPr>
        <w:t>to  </w:t>
      </w:r>
      <w:r>
        <w:rPr>
          <w:sz w:val="24"/>
        </w:rPr>
        <w:t>that person's</w:t>
      </w:r>
      <w:r>
        <w:rPr>
          <w:spacing w:val="-1"/>
          <w:sz w:val="24"/>
        </w:rPr>
        <w:t> </w:t>
      </w:r>
      <w:r>
        <w:rPr>
          <w:sz w:val="24"/>
        </w:rPr>
        <w:t>premises</w:t>
      </w:r>
    </w:p>
    <w:p>
      <w:pPr>
        <w:pStyle w:val="ListParagraph"/>
        <w:numPr>
          <w:ilvl w:val="0"/>
          <w:numId w:val="368"/>
        </w:numPr>
        <w:tabs>
          <w:tab w:pos="1920" w:val="left" w:leader="none"/>
        </w:tabs>
        <w:spacing w:line="240" w:lineRule="auto" w:before="120" w:after="0"/>
        <w:ind w:left="1919" w:right="415" w:hanging="567"/>
        <w:jc w:val="both"/>
        <w:rPr>
          <w:sz w:val="24"/>
        </w:rPr>
      </w:pPr>
      <w:r>
        <w:rPr>
          <w:sz w:val="24"/>
        </w:rPr>
        <w:t>For the purposes of this clause capital contribution includes a prepayment or financial</w:t>
      </w:r>
      <w:r>
        <w:rPr>
          <w:spacing w:val="-1"/>
          <w:sz w:val="24"/>
        </w:rPr>
        <w:t> </w:t>
      </w:r>
      <w:r>
        <w:rPr>
          <w:sz w:val="24"/>
        </w:rPr>
        <w:t>guarantee.</w:t>
      </w:r>
    </w:p>
    <w:p>
      <w:pPr>
        <w:pStyle w:val="BodyText"/>
        <w:spacing w:before="10"/>
        <w:ind w:firstLine="0"/>
        <w:jc w:val="left"/>
        <w:rPr>
          <w:sz w:val="20"/>
        </w:rPr>
      </w:pPr>
    </w:p>
    <w:p>
      <w:pPr>
        <w:pStyle w:val="Heading4"/>
        <w:tabs>
          <w:tab w:pos="1351" w:val="left" w:leader="none"/>
        </w:tabs>
        <w:ind w:left="218" w:firstLine="0"/>
      </w:pPr>
      <w:bookmarkStart w:name="5A.E.2 Itemised statement of connection " w:id="1183"/>
      <w:bookmarkEnd w:id="1183"/>
      <w:r>
        <w:rPr>
          <w:b w:val="0"/>
        </w:rPr>
      </w:r>
      <w:bookmarkStart w:name="_bookmark484" w:id="1184"/>
      <w:bookmarkEnd w:id="1184"/>
      <w:r>
        <w:rPr>
          <w:b w:val="0"/>
        </w:rPr>
      </w:r>
      <w:r>
        <w:rPr/>
        <w:t>5A.E.2</w:t>
        <w:tab/>
        <w:t>Itemised statement of connection</w:t>
      </w:r>
      <w:r>
        <w:rPr>
          <w:spacing w:val="-4"/>
        </w:rPr>
        <w:t> </w:t>
      </w:r>
      <w:r>
        <w:rPr/>
        <w:t>charges</w:t>
      </w:r>
    </w:p>
    <w:p>
      <w:pPr>
        <w:pStyle w:val="BodyText"/>
        <w:ind w:left="1352" w:firstLine="0"/>
        <w:jc w:val="left"/>
      </w:pPr>
      <w:r>
        <w:rPr/>
        <w:t>A </w:t>
      </w:r>
      <w:r>
        <w:rPr>
          <w:i/>
        </w:rPr>
        <w:t>connection offer </w:t>
      </w:r>
      <w:r>
        <w:rPr/>
        <w:t>must be accompanied by a schedule containing an itemised statement of </w:t>
      </w:r>
      <w:r>
        <w:rPr>
          <w:i/>
        </w:rPr>
        <w:t>connection </w:t>
      </w:r>
      <w:r>
        <w:rPr/>
        <w:t>costs including (so far as relevant) the following:</w:t>
      </w:r>
    </w:p>
    <w:p>
      <w:pPr>
        <w:pStyle w:val="ListParagraph"/>
        <w:numPr>
          <w:ilvl w:val="0"/>
          <w:numId w:val="369"/>
        </w:numPr>
        <w:tabs>
          <w:tab w:pos="1918" w:val="left" w:leader="none"/>
          <w:tab w:pos="1919" w:val="left" w:leader="none"/>
        </w:tabs>
        <w:spacing w:line="240" w:lineRule="auto" w:before="120" w:after="0"/>
        <w:ind w:left="1918" w:right="0" w:hanging="567"/>
        <w:jc w:val="left"/>
        <w:rPr>
          <w:sz w:val="24"/>
        </w:rPr>
      </w:pPr>
      <w:r>
        <w:rPr>
          <w:sz w:val="24"/>
        </w:rPr>
        <w:t>applicable </w:t>
      </w:r>
      <w:r>
        <w:rPr>
          <w:i/>
          <w:sz w:val="24"/>
        </w:rPr>
        <w:t>connection</w:t>
      </w:r>
      <w:r>
        <w:rPr>
          <w:i/>
          <w:spacing w:val="-2"/>
          <w:sz w:val="24"/>
        </w:rPr>
        <w:t> </w:t>
      </w:r>
      <w:r>
        <w:rPr>
          <w:i/>
          <w:sz w:val="24"/>
        </w:rPr>
        <w:t>charges</w:t>
      </w:r>
      <w:r>
        <w:rPr>
          <w:sz w:val="24"/>
        </w:rPr>
        <w:t>;</w:t>
      </w:r>
    </w:p>
    <w:p>
      <w:pPr>
        <w:pStyle w:val="ListParagraph"/>
        <w:numPr>
          <w:ilvl w:val="0"/>
          <w:numId w:val="369"/>
        </w:numPr>
        <w:tabs>
          <w:tab w:pos="1918" w:val="left" w:leader="none"/>
          <w:tab w:pos="1919" w:val="left" w:leader="none"/>
        </w:tabs>
        <w:spacing w:line="240" w:lineRule="auto" w:before="120" w:after="0"/>
        <w:ind w:left="1918" w:right="0" w:hanging="567"/>
        <w:jc w:val="left"/>
        <w:rPr>
          <w:sz w:val="24"/>
        </w:rPr>
      </w:pPr>
      <w:r>
        <w:rPr>
          <w:sz w:val="24"/>
        </w:rPr>
        <w:t>cost of </w:t>
      </w:r>
      <w:r>
        <w:rPr>
          <w:i/>
          <w:sz w:val="24"/>
        </w:rPr>
        <w:t>network</w:t>
      </w:r>
      <w:r>
        <w:rPr>
          <w:i/>
          <w:spacing w:val="-2"/>
          <w:sz w:val="24"/>
        </w:rPr>
        <w:t> </w:t>
      </w:r>
      <w:r>
        <w:rPr>
          <w:i/>
          <w:sz w:val="24"/>
        </w:rPr>
        <w:t>extension</w:t>
      </w:r>
      <w:r>
        <w:rPr>
          <w:sz w:val="24"/>
        </w:rPr>
        <w:t>;</w:t>
      </w:r>
    </w:p>
    <w:p>
      <w:pPr>
        <w:pStyle w:val="ListParagraph"/>
        <w:numPr>
          <w:ilvl w:val="0"/>
          <w:numId w:val="369"/>
        </w:numPr>
        <w:tabs>
          <w:tab w:pos="1918" w:val="left" w:leader="none"/>
          <w:tab w:pos="1919" w:val="left" w:leader="none"/>
        </w:tabs>
        <w:spacing w:line="240" w:lineRule="auto" w:before="120" w:after="0"/>
        <w:ind w:left="1918" w:right="0" w:hanging="567"/>
        <w:jc w:val="left"/>
        <w:rPr>
          <w:i/>
          <w:sz w:val="24"/>
        </w:rPr>
      </w:pPr>
      <w:r>
        <w:rPr>
          <w:sz w:val="24"/>
        </w:rPr>
        <w:t>details of upstream </w:t>
      </w:r>
      <w:r>
        <w:rPr>
          <w:i/>
          <w:sz w:val="24"/>
        </w:rPr>
        <w:t>augmentation </w:t>
      </w:r>
      <w:r>
        <w:rPr>
          <w:sz w:val="24"/>
        </w:rPr>
        <w:t>required to provide the </w:t>
      </w:r>
      <w:r>
        <w:rPr>
          <w:i/>
          <w:sz w:val="24"/>
        </w:rPr>
        <w:t>connection</w:t>
      </w:r>
      <w:r>
        <w:rPr>
          <w:i/>
          <w:spacing w:val="47"/>
          <w:sz w:val="24"/>
        </w:rPr>
        <w:t> </w:t>
      </w:r>
      <w:r>
        <w:rPr>
          <w:i/>
          <w:sz w:val="24"/>
        </w:rPr>
        <w:t>service</w:t>
      </w:r>
    </w:p>
    <w:p>
      <w:pPr>
        <w:pStyle w:val="BodyText"/>
        <w:spacing w:before="0"/>
        <w:ind w:left="1919" w:firstLine="0"/>
        <w:jc w:val="left"/>
      </w:pPr>
      <w:r>
        <w:rPr/>
        <w:t>and associated cost;</w:t>
      </w:r>
    </w:p>
    <w:p>
      <w:pPr>
        <w:pStyle w:val="ListParagraph"/>
        <w:numPr>
          <w:ilvl w:val="0"/>
          <w:numId w:val="369"/>
        </w:numPr>
        <w:tabs>
          <w:tab w:pos="1919" w:val="left" w:leader="none"/>
        </w:tabs>
        <w:spacing w:line="240" w:lineRule="auto" w:before="120" w:after="0"/>
        <w:ind w:left="1919" w:right="416" w:hanging="567"/>
        <w:jc w:val="both"/>
        <w:rPr>
          <w:sz w:val="24"/>
        </w:rPr>
      </w:pPr>
      <w:r>
        <w:rPr>
          <w:sz w:val="24"/>
        </w:rPr>
        <w:t>any other incidental costs and the basis of their calculation including, if relevant, costs of minor deviation from the standard specification for a </w:t>
      </w:r>
      <w:r>
        <w:rPr>
          <w:i/>
          <w:sz w:val="24"/>
        </w:rPr>
        <w:t>basic </w:t>
      </w:r>
      <w:r>
        <w:rPr>
          <w:i/>
          <w:sz w:val="24"/>
        </w:rPr>
        <w:t>connection service </w:t>
      </w:r>
      <w:r>
        <w:rPr>
          <w:sz w:val="24"/>
        </w:rPr>
        <w:t>or a </w:t>
      </w:r>
      <w:r>
        <w:rPr>
          <w:i/>
          <w:sz w:val="24"/>
        </w:rPr>
        <w:t>standard connection service </w:t>
      </w:r>
      <w:r>
        <w:rPr>
          <w:sz w:val="24"/>
        </w:rPr>
        <w:t>(as the case may require).</w:t>
      </w:r>
    </w:p>
    <w:p>
      <w:pPr>
        <w:pStyle w:val="BodyText"/>
        <w:spacing w:before="10"/>
        <w:ind w:firstLine="0"/>
        <w:jc w:val="left"/>
        <w:rPr>
          <w:sz w:val="20"/>
        </w:rPr>
      </w:pPr>
    </w:p>
    <w:p>
      <w:pPr>
        <w:pStyle w:val="Heading4"/>
        <w:tabs>
          <w:tab w:pos="1351" w:val="left" w:leader="none"/>
        </w:tabs>
        <w:ind w:left="218" w:firstLine="0"/>
      </w:pPr>
      <w:bookmarkStart w:name="5A.E.3 Connection charge guidelines" w:id="1185"/>
      <w:bookmarkEnd w:id="1185"/>
      <w:r>
        <w:rPr>
          <w:b w:val="0"/>
        </w:rPr>
      </w:r>
      <w:bookmarkStart w:name="_bookmark485" w:id="1186"/>
      <w:bookmarkEnd w:id="1186"/>
      <w:r>
        <w:rPr>
          <w:b w:val="0"/>
        </w:rPr>
      </w:r>
      <w:r>
        <w:rPr/>
        <w:t>5A.E.3</w:t>
        <w:tab/>
        <w:t>Connection charge</w:t>
      </w:r>
      <w:r>
        <w:rPr>
          <w:spacing w:val="-2"/>
        </w:rPr>
        <w:t> </w:t>
      </w:r>
      <w:r>
        <w:rPr/>
        <w:t>guidelines</w:t>
      </w:r>
    </w:p>
    <w:p>
      <w:pPr>
        <w:pStyle w:val="ListParagraph"/>
        <w:numPr>
          <w:ilvl w:val="0"/>
          <w:numId w:val="37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w:t>
      </w:r>
      <w:r>
        <w:rPr>
          <w:i/>
          <w:sz w:val="24"/>
        </w:rPr>
        <w:t>publish </w:t>
      </w:r>
      <w:r>
        <w:rPr>
          <w:sz w:val="24"/>
        </w:rPr>
        <w:t>guidelines (</w:t>
      </w:r>
      <w:r>
        <w:rPr>
          <w:b/>
          <w:i/>
          <w:sz w:val="24"/>
        </w:rPr>
        <w:t>connection charge </w:t>
      </w:r>
      <w:r>
        <w:rPr>
          <w:b/>
          <w:i/>
          <w:sz w:val="24"/>
        </w:rPr>
        <w:t>guidelines</w:t>
      </w:r>
      <w:r>
        <w:rPr>
          <w:sz w:val="24"/>
        </w:rPr>
        <w:t>) for the development of </w:t>
      </w:r>
      <w:r>
        <w:rPr>
          <w:i/>
          <w:sz w:val="24"/>
        </w:rPr>
        <w:t>connection policies </w:t>
      </w:r>
      <w:r>
        <w:rPr>
          <w:sz w:val="24"/>
        </w:rPr>
        <w:t>by </w:t>
      </w:r>
      <w:r>
        <w:rPr>
          <w:i/>
          <w:sz w:val="24"/>
        </w:rPr>
        <w:t>Distribution </w:t>
      </w:r>
      <w:r>
        <w:rPr>
          <w:i/>
          <w:sz w:val="24"/>
        </w:rPr>
        <w:t>Network Service</w:t>
      </w:r>
      <w:r>
        <w:rPr>
          <w:i/>
          <w:spacing w:val="-1"/>
          <w:sz w:val="24"/>
        </w:rPr>
        <w:t> </w:t>
      </w:r>
      <w:r>
        <w:rPr>
          <w:i/>
          <w:sz w:val="24"/>
        </w:rPr>
        <w:t>Providers</w:t>
      </w:r>
      <w:r>
        <w:rPr>
          <w:sz w:val="24"/>
        </w:rPr>
        <w:t>.</w:t>
      </w:r>
    </w:p>
    <w:p>
      <w:pPr>
        <w:pStyle w:val="ListParagraph"/>
        <w:numPr>
          <w:ilvl w:val="0"/>
          <w:numId w:val="370"/>
        </w:numPr>
        <w:tabs>
          <w:tab w:pos="1919" w:val="left" w:leader="none"/>
        </w:tabs>
        <w:spacing w:line="240" w:lineRule="auto" w:before="120" w:after="0"/>
        <w:ind w:left="1918" w:right="0" w:hanging="567"/>
        <w:jc w:val="both"/>
        <w:rPr>
          <w:sz w:val="24"/>
        </w:rPr>
      </w:pPr>
      <w:r>
        <w:rPr>
          <w:sz w:val="24"/>
        </w:rPr>
        <w:t>The purpose of the guidelines is to ensure that </w:t>
      </w:r>
      <w:r>
        <w:rPr>
          <w:i/>
          <w:sz w:val="24"/>
        </w:rPr>
        <w:t>connection</w:t>
      </w:r>
      <w:r>
        <w:rPr>
          <w:i/>
          <w:spacing w:val="-3"/>
          <w:sz w:val="24"/>
        </w:rPr>
        <w:t> </w:t>
      </w:r>
      <w:r>
        <w:rPr>
          <w:i/>
          <w:sz w:val="24"/>
        </w:rPr>
        <w:t>charges</w:t>
      </w:r>
      <w:r>
        <w:rPr>
          <w:sz w:val="24"/>
        </w:rPr>
        <w:t>:</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are reasonable, taking into account the efficient costs of providing the </w:t>
      </w:r>
      <w:r>
        <w:rPr>
          <w:i/>
          <w:sz w:val="24"/>
        </w:rPr>
        <w:t>connection services </w:t>
      </w:r>
      <w:r>
        <w:rPr>
          <w:sz w:val="24"/>
        </w:rPr>
        <w:t>arising from the </w:t>
      </w:r>
      <w:r>
        <w:rPr>
          <w:i/>
          <w:sz w:val="24"/>
        </w:rPr>
        <w:t>new connection </w:t>
      </w:r>
      <w:r>
        <w:rPr>
          <w:sz w:val="24"/>
        </w:rPr>
        <w:t>or </w:t>
      </w:r>
      <w:r>
        <w:rPr>
          <w:i/>
          <w:sz w:val="24"/>
        </w:rPr>
        <w:t>connection </w:t>
      </w:r>
      <w:r>
        <w:rPr>
          <w:i/>
          <w:sz w:val="24"/>
        </w:rPr>
        <w:t>alteration </w:t>
      </w:r>
      <w:r>
        <w:rPr>
          <w:sz w:val="24"/>
        </w:rPr>
        <w:t>and the revenue a prudent operator in the circumstances of the relevant </w:t>
      </w:r>
      <w:r>
        <w:rPr>
          <w:i/>
          <w:sz w:val="24"/>
        </w:rPr>
        <w:t>Distribution Network Service Provider </w:t>
      </w:r>
      <w:r>
        <w:rPr>
          <w:sz w:val="24"/>
        </w:rPr>
        <w:t>would require to provide those </w:t>
      </w:r>
      <w:r>
        <w:rPr>
          <w:i/>
          <w:sz w:val="24"/>
        </w:rPr>
        <w:t>connection services</w:t>
      </w:r>
      <w:r>
        <w:rPr>
          <w:sz w:val="24"/>
        </w:rPr>
        <w:t>;</w:t>
      </w:r>
      <w:r>
        <w:rPr>
          <w:spacing w:val="-1"/>
          <w:sz w:val="24"/>
        </w:rPr>
        <w:t> </w:t>
      </w:r>
      <w:r>
        <w:rPr>
          <w:sz w:val="24"/>
        </w:rPr>
        <w:t>and</w:t>
      </w:r>
    </w:p>
    <w:p>
      <w:pPr>
        <w:pStyle w:val="ListParagraph"/>
        <w:numPr>
          <w:ilvl w:val="1"/>
          <w:numId w:val="370"/>
        </w:numPr>
        <w:tabs>
          <w:tab w:pos="2486" w:val="left" w:leader="none"/>
        </w:tabs>
        <w:spacing w:line="240" w:lineRule="auto" w:before="120" w:after="0"/>
        <w:ind w:left="2486" w:right="416" w:hanging="567"/>
        <w:jc w:val="both"/>
        <w:rPr>
          <w:sz w:val="24"/>
        </w:rPr>
      </w:pPr>
      <w:r>
        <w:rPr>
          <w:sz w:val="24"/>
        </w:rPr>
        <w:t>provide, without undue administrative cost, a user-pays signal to reflect the efficient cost of providing the </w:t>
      </w:r>
      <w:r>
        <w:rPr>
          <w:i/>
          <w:sz w:val="24"/>
        </w:rPr>
        <w:t>connection services</w:t>
      </w:r>
      <w:r>
        <w:rPr>
          <w:sz w:val="24"/>
        </w:rPr>
        <w:t>;</w:t>
      </w:r>
      <w:r>
        <w:rPr>
          <w:spacing w:val="-7"/>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limit cross-subsidisation of </w:t>
      </w:r>
      <w:r>
        <w:rPr>
          <w:i/>
          <w:sz w:val="24"/>
        </w:rPr>
        <w:t>connection </w:t>
      </w:r>
      <w:r>
        <w:rPr>
          <w:sz w:val="24"/>
        </w:rPr>
        <w:t>costs between different classes (or subclasses) of </w:t>
      </w:r>
      <w:r>
        <w:rPr>
          <w:i/>
          <w:sz w:val="24"/>
        </w:rPr>
        <w:t>retail customer</w:t>
      </w:r>
      <w:r>
        <w:rPr>
          <w:sz w:val="24"/>
        </w:rPr>
        <w:t>;</w:t>
      </w:r>
      <w:r>
        <w:rPr>
          <w:spacing w:val="-4"/>
          <w:sz w:val="24"/>
        </w:rPr>
        <w:t> </w:t>
      </w:r>
      <w:r>
        <w:rPr>
          <w:sz w:val="24"/>
        </w:rPr>
        <w:t>and</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if the </w:t>
      </w:r>
      <w:r>
        <w:rPr>
          <w:i/>
          <w:sz w:val="24"/>
        </w:rPr>
        <w:t>connection services </w:t>
      </w:r>
      <w:r>
        <w:rPr>
          <w:sz w:val="24"/>
        </w:rPr>
        <w:t>are </w:t>
      </w:r>
      <w:r>
        <w:rPr>
          <w:i/>
          <w:sz w:val="24"/>
        </w:rPr>
        <w:t>contestable </w:t>
      </w:r>
      <w:r>
        <w:rPr>
          <w:sz w:val="24"/>
        </w:rPr>
        <w:t>– are competitively</w:t>
      </w:r>
      <w:r>
        <w:rPr>
          <w:spacing w:val="-8"/>
          <w:sz w:val="24"/>
        </w:rPr>
        <w:t> </w:t>
      </w:r>
      <w:r>
        <w:rPr>
          <w:sz w:val="24"/>
        </w:rPr>
        <w:t>neutral.</w:t>
      </w:r>
    </w:p>
    <w:p>
      <w:pPr>
        <w:pStyle w:val="ListParagraph"/>
        <w:numPr>
          <w:ilvl w:val="0"/>
          <w:numId w:val="370"/>
        </w:numPr>
        <w:tabs>
          <w:tab w:pos="1919" w:val="left" w:leader="none"/>
        </w:tabs>
        <w:spacing w:line="240" w:lineRule="auto" w:before="120" w:after="0"/>
        <w:ind w:left="1918" w:right="0" w:hanging="567"/>
        <w:jc w:val="both"/>
        <w:rPr>
          <w:sz w:val="24"/>
        </w:rPr>
      </w:pPr>
      <w:r>
        <w:rPr>
          <w:sz w:val="24"/>
        </w:rPr>
        <w:t>The guidelines</w:t>
      </w:r>
      <w:r>
        <w:rPr>
          <w:spacing w:val="-2"/>
          <w:sz w:val="24"/>
        </w:rPr>
        <w:t> </w:t>
      </w:r>
      <w:r>
        <w:rPr>
          <w:sz w:val="24"/>
        </w:rPr>
        <w:t>must:</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describe the method for determining charges for </w:t>
      </w:r>
      <w:r>
        <w:rPr>
          <w:i/>
          <w:sz w:val="24"/>
        </w:rPr>
        <w:t>premises connection </w:t>
      </w:r>
      <w:r>
        <w:rPr>
          <w:i/>
          <w:sz w:val="24"/>
        </w:rPr>
        <w:t>assets</w:t>
      </w:r>
      <w:r>
        <w:rPr>
          <w:sz w:val="24"/>
        </w:rPr>
        <w:t>; 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describe the circumstances (or how to determine the circumstances) under which a </w:t>
      </w:r>
      <w:r>
        <w:rPr>
          <w:i/>
          <w:sz w:val="24"/>
        </w:rPr>
        <w:t>Distribution Network Service Provider </w:t>
      </w:r>
      <w:r>
        <w:rPr>
          <w:sz w:val="24"/>
        </w:rPr>
        <w:t>may receive a capital contribution, prepayment or financial guarantee from a </w:t>
      </w:r>
      <w:r>
        <w:rPr>
          <w:i/>
          <w:sz w:val="24"/>
        </w:rPr>
        <w:t>retail </w:t>
      </w:r>
      <w:r>
        <w:rPr>
          <w:i/>
          <w:sz w:val="24"/>
        </w:rPr>
        <w:t>customer </w:t>
      </w:r>
      <w:r>
        <w:rPr>
          <w:sz w:val="24"/>
        </w:rPr>
        <w:t>or </w:t>
      </w:r>
      <w:r>
        <w:rPr>
          <w:i/>
          <w:sz w:val="24"/>
        </w:rPr>
        <w:t>real estate developer </w:t>
      </w:r>
      <w:r>
        <w:rPr>
          <w:sz w:val="24"/>
        </w:rPr>
        <w:t>for the provision of a </w:t>
      </w:r>
      <w:r>
        <w:rPr>
          <w:i/>
          <w:spacing w:val="-3"/>
          <w:sz w:val="24"/>
        </w:rPr>
        <w:t>connection </w:t>
      </w:r>
      <w:r>
        <w:rPr>
          <w:i/>
          <w:sz w:val="24"/>
        </w:rPr>
        <w:t>service</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70"/>
        </w:numPr>
        <w:tabs>
          <w:tab w:pos="2486" w:val="left" w:leader="none"/>
        </w:tabs>
        <w:spacing w:line="240" w:lineRule="auto" w:before="83" w:after="0"/>
        <w:ind w:left="2486" w:right="415" w:hanging="567"/>
        <w:jc w:val="both"/>
        <w:rPr>
          <w:sz w:val="24"/>
        </w:rPr>
      </w:pPr>
      <w:r>
        <w:rPr>
          <w:sz w:val="24"/>
        </w:rPr>
        <w:t>describe how the amount of any such capital contribution, prepayment or financial guarantee is to be determined;</w:t>
      </w:r>
      <w:r>
        <w:rPr>
          <w:spacing w:val="-1"/>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establish principles for fixing a threshold (based on capacity or </w:t>
      </w:r>
      <w:r>
        <w:rPr>
          <w:spacing w:val="-4"/>
          <w:sz w:val="24"/>
        </w:rPr>
        <w:t>any </w:t>
      </w:r>
      <w:r>
        <w:rPr>
          <w:sz w:val="24"/>
        </w:rPr>
        <w:t>other measure the </w:t>
      </w:r>
      <w:r>
        <w:rPr>
          <w:i/>
          <w:sz w:val="24"/>
        </w:rPr>
        <w:t>AER </w:t>
      </w:r>
      <w:r>
        <w:rPr>
          <w:sz w:val="24"/>
        </w:rPr>
        <w:t>thinks fit) below which </w:t>
      </w:r>
      <w:r>
        <w:rPr>
          <w:i/>
          <w:sz w:val="24"/>
        </w:rPr>
        <w:t>retail customers </w:t>
      </w:r>
      <w:r>
        <w:rPr>
          <w:sz w:val="24"/>
        </w:rPr>
        <w:t>(not being a </w:t>
      </w:r>
      <w:r>
        <w:rPr>
          <w:i/>
          <w:sz w:val="24"/>
        </w:rPr>
        <w:t>non-registered embedded generator </w:t>
      </w:r>
      <w:r>
        <w:rPr>
          <w:sz w:val="24"/>
        </w:rPr>
        <w:t>or a </w:t>
      </w:r>
      <w:r>
        <w:rPr>
          <w:i/>
          <w:sz w:val="24"/>
        </w:rPr>
        <w:t>real estate developer</w:t>
      </w:r>
      <w:r>
        <w:rPr>
          <w:sz w:val="24"/>
        </w:rPr>
        <w:t>) are exempt from any requirement to pay </w:t>
      </w:r>
      <w:r>
        <w:rPr>
          <w:i/>
          <w:sz w:val="24"/>
        </w:rPr>
        <w:t>connection charges </w:t>
      </w:r>
      <w:r>
        <w:rPr>
          <w:sz w:val="24"/>
        </w:rPr>
        <w:t>(or to give consideration in the form of a capital contribution, prepayment or financial guarantee) for an </w:t>
      </w:r>
      <w:r>
        <w:rPr>
          <w:i/>
          <w:sz w:val="24"/>
        </w:rPr>
        <w:t>augmentation </w:t>
      </w:r>
      <w:r>
        <w:rPr>
          <w:sz w:val="24"/>
        </w:rPr>
        <w:t>(other than an </w:t>
      </w:r>
      <w:r>
        <w:rPr>
          <w:i/>
          <w:sz w:val="24"/>
        </w:rPr>
        <w:t>extension</w:t>
      </w:r>
      <w:r>
        <w:rPr>
          <w:sz w:val="24"/>
        </w:rPr>
        <w:t>) </w:t>
      </w:r>
      <w:r>
        <w:rPr>
          <w:spacing w:val="-6"/>
          <w:sz w:val="24"/>
        </w:rPr>
        <w:t>to </w:t>
      </w:r>
      <w:r>
        <w:rPr>
          <w:sz w:val="24"/>
        </w:rPr>
        <w:t>the </w:t>
      </w:r>
      <w:r>
        <w:rPr>
          <w:i/>
          <w:sz w:val="24"/>
        </w:rPr>
        <w:t>distribution network </w:t>
      </w:r>
      <w:r>
        <w:rPr>
          <w:sz w:val="24"/>
        </w:rPr>
        <w:t>necessary to make the </w:t>
      </w:r>
      <w:r>
        <w:rPr>
          <w:i/>
          <w:sz w:val="24"/>
        </w:rPr>
        <w:t>connection</w:t>
      </w:r>
      <w:r>
        <w:rPr>
          <w:sz w:val="24"/>
        </w:rPr>
        <w:t>;</w:t>
      </w:r>
      <w:r>
        <w:rPr>
          <w:spacing w:val="-5"/>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describe the methods for calculating the </w:t>
      </w:r>
      <w:r>
        <w:rPr>
          <w:i/>
          <w:sz w:val="24"/>
        </w:rPr>
        <w:t>augmentation </w:t>
      </w:r>
      <w:r>
        <w:rPr>
          <w:sz w:val="24"/>
        </w:rPr>
        <w:t>component for the </w:t>
      </w:r>
      <w:r>
        <w:rPr>
          <w:i/>
          <w:sz w:val="24"/>
        </w:rPr>
        <w:t>connection assets </w:t>
      </w:r>
      <w:r>
        <w:rPr>
          <w:sz w:val="24"/>
        </w:rPr>
        <w:t>and, if the </w:t>
      </w:r>
      <w:r>
        <w:rPr>
          <w:i/>
          <w:sz w:val="24"/>
        </w:rPr>
        <w:t>augmentation </w:t>
      </w:r>
      <w:r>
        <w:rPr>
          <w:sz w:val="24"/>
        </w:rPr>
        <w:t>consists of or includes an </w:t>
      </w:r>
      <w:r>
        <w:rPr>
          <w:i/>
          <w:sz w:val="24"/>
        </w:rPr>
        <w:t>extension</w:t>
      </w:r>
      <w:r>
        <w:rPr>
          <w:sz w:val="24"/>
        </w:rPr>
        <w:t>, the </w:t>
      </w:r>
      <w:r>
        <w:rPr>
          <w:i/>
          <w:sz w:val="24"/>
        </w:rPr>
        <w:t>extension </w:t>
      </w:r>
      <w:r>
        <w:rPr>
          <w:sz w:val="24"/>
        </w:rPr>
        <w:t>component of a </w:t>
      </w:r>
      <w:r>
        <w:rPr>
          <w:i/>
          <w:sz w:val="24"/>
        </w:rPr>
        <w:t>connection charge</w:t>
      </w:r>
      <w:r>
        <w:rPr>
          <w:sz w:val="24"/>
        </w:rPr>
        <w:t>;</w:t>
      </w:r>
      <w:r>
        <w:rPr>
          <w:spacing w:val="-4"/>
          <w:sz w:val="24"/>
        </w:rPr>
        <w:t> </w:t>
      </w:r>
      <w:r>
        <w:rPr>
          <w:sz w:val="24"/>
        </w:rPr>
        <w:t>and</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describe the method for</w:t>
      </w:r>
      <w:r>
        <w:rPr>
          <w:spacing w:val="-1"/>
          <w:sz w:val="24"/>
        </w:rPr>
        <w:t> </w:t>
      </w:r>
      <w:r>
        <w:rPr>
          <w:sz w:val="24"/>
        </w:rPr>
        <w:t>calculating:</w:t>
      </w:r>
    </w:p>
    <w:p>
      <w:pPr>
        <w:pStyle w:val="ListParagraph"/>
        <w:numPr>
          <w:ilvl w:val="2"/>
          <w:numId w:val="370"/>
        </w:numPr>
        <w:tabs>
          <w:tab w:pos="3053" w:val="left" w:leader="none"/>
        </w:tabs>
        <w:spacing w:line="240" w:lineRule="auto" w:before="120" w:after="0"/>
        <w:ind w:left="3053" w:right="416" w:hanging="567"/>
        <w:jc w:val="both"/>
        <w:rPr>
          <w:sz w:val="24"/>
        </w:rPr>
      </w:pPr>
      <w:r>
        <w:rPr>
          <w:sz w:val="24"/>
        </w:rPr>
        <w:t>the amount of a refund of </w:t>
      </w:r>
      <w:r>
        <w:rPr>
          <w:i/>
          <w:sz w:val="24"/>
        </w:rPr>
        <w:t>connection charges </w:t>
      </w:r>
      <w:r>
        <w:rPr>
          <w:sz w:val="24"/>
        </w:rPr>
        <w:t>for a </w:t>
      </w:r>
      <w:r>
        <w:rPr>
          <w:i/>
          <w:sz w:val="24"/>
        </w:rPr>
        <w:t>connection </w:t>
      </w:r>
      <w:r>
        <w:rPr>
          <w:i/>
          <w:sz w:val="24"/>
        </w:rPr>
        <w:t>asset </w:t>
      </w:r>
      <w:r>
        <w:rPr>
          <w:sz w:val="24"/>
        </w:rPr>
        <w:t>when an </w:t>
      </w:r>
      <w:r>
        <w:rPr>
          <w:i/>
          <w:sz w:val="24"/>
        </w:rPr>
        <w:t>extension </w:t>
      </w:r>
      <w:r>
        <w:rPr>
          <w:sz w:val="24"/>
        </w:rPr>
        <w:t>asset originally installed to </w:t>
      </w:r>
      <w:r>
        <w:rPr>
          <w:i/>
          <w:sz w:val="24"/>
        </w:rPr>
        <w:t>connect </w:t>
      </w:r>
      <w:r>
        <w:rPr>
          <w:sz w:val="24"/>
        </w:rPr>
        <w:t>the premises of a single </w:t>
      </w:r>
      <w:r>
        <w:rPr>
          <w:i/>
          <w:sz w:val="24"/>
        </w:rPr>
        <w:t>retail customer </w:t>
      </w:r>
      <w:r>
        <w:rPr>
          <w:sz w:val="24"/>
        </w:rPr>
        <w:t>is used, within 7 years of its installation, to </w:t>
      </w:r>
      <w:r>
        <w:rPr>
          <w:i/>
          <w:sz w:val="24"/>
        </w:rPr>
        <w:t>connect </w:t>
      </w:r>
      <w:r>
        <w:rPr>
          <w:sz w:val="24"/>
        </w:rPr>
        <w:t>other premises and thus comes to be used for the benefit of 2 or more </w:t>
      </w:r>
      <w:r>
        <w:rPr>
          <w:i/>
          <w:sz w:val="24"/>
        </w:rPr>
        <w:t>retail customers</w:t>
      </w:r>
      <w:r>
        <w:rPr>
          <w:sz w:val="24"/>
        </w:rPr>
        <w:t>;</w:t>
      </w:r>
      <w:r>
        <w:rPr>
          <w:spacing w:val="-2"/>
          <w:sz w:val="24"/>
        </w:rPr>
        <w:t> </w:t>
      </w:r>
      <w:r>
        <w:rPr>
          <w:sz w:val="24"/>
        </w:rPr>
        <w:t>and</w:t>
      </w:r>
    </w:p>
    <w:p>
      <w:pPr>
        <w:pStyle w:val="ListParagraph"/>
        <w:numPr>
          <w:ilvl w:val="2"/>
          <w:numId w:val="370"/>
        </w:numPr>
        <w:tabs>
          <w:tab w:pos="3054" w:val="left" w:leader="none"/>
        </w:tabs>
        <w:spacing w:line="240" w:lineRule="auto" w:before="120" w:after="0"/>
        <w:ind w:left="3053" w:right="0" w:hanging="568"/>
        <w:jc w:val="both"/>
        <w:rPr>
          <w:sz w:val="24"/>
        </w:rPr>
      </w:pPr>
      <w:r>
        <w:rPr>
          <w:sz w:val="24"/>
        </w:rPr>
        <w:t>the threshold below which the refund is not payable;</w:t>
      </w:r>
      <w:r>
        <w:rPr>
          <w:spacing w:val="-4"/>
          <w:sz w:val="24"/>
        </w:rPr>
        <w:t> </w:t>
      </w:r>
      <w:r>
        <w:rPr>
          <w:sz w:val="24"/>
        </w:rPr>
        <w:t>and</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describe the treatment of </w:t>
      </w:r>
      <w:r>
        <w:rPr>
          <w:i/>
          <w:sz w:val="24"/>
        </w:rPr>
        <w:t>augmentation</w:t>
      </w:r>
      <w:r>
        <w:rPr>
          <w:i/>
          <w:spacing w:val="-1"/>
          <w:sz w:val="24"/>
        </w:rPr>
        <w:t> </w:t>
      </w:r>
      <w:r>
        <w:rPr>
          <w:sz w:val="24"/>
        </w:rPr>
        <w:t>assets.</w:t>
      </w:r>
    </w:p>
    <w:p>
      <w:pPr>
        <w:pStyle w:val="ListParagraph"/>
        <w:numPr>
          <w:ilvl w:val="0"/>
          <w:numId w:val="370"/>
        </w:numPr>
        <w:tabs>
          <w:tab w:pos="1919" w:val="left" w:leader="none"/>
        </w:tabs>
        <w:spacing w:line="240" w:lineRule="auto" w:before="120" w:after="0"/>
        <w:ind w:left="1919" w:right="415" w:hanging="567"/>
        <w:jc w:val="both"/>
        <w:rPr>
          <w:sz w:val="24"/>
        </w:rPr>
      </w:pPr>
      <w:r>
        <w:rPr>
          <w:sz w:val="24"/>
        </w:rPr>
        <w:t>The principles for establishing an exemption under paragraph (c)(4) </w:t>
      </w:r>
      <w:r>
        <w:rPr>
          <w:spacing w:val="-4"/>
          <w:sz w:val="24"/>
        </w:rPr>
        <w:t>must</w:t>
      </w:r>
      <w:r>
        <w:rPr>
          <w:spacing w:val="52"/>
          <w:sz w:val="24"/>
        </w:rPr>
        <w:t> </w:t>
      </w:r>
      <w:r>
        <w:rPr>
          <w:sz w:val="24"/>
        </w:rPr>
        <w:t>ensure that the exemption only operates in the following</w:t>
      </w:r>
      <w:r>
        <w:rPr>
          <w:spacing w:val="-4"/>
          <w:sz w:val="24"/>
        </w:rPr>
        <w:t> </w:t>
      </w:r>
      <w:r>
        <w:rPr>
          <w:sz w:val="24"/>
        </w:rPr>
        <w:t>circumstances:</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the </w:t>
      </w:r>
      <w:r>
        <w:rPr>
          <w:i/>
          <w:sz w:val="24"/>
        </w:rPr>
        <w:t>connection </w:t>
      </w:r>
      <w:r>
        <w:rPr>
          <w:sz w:val="24"/>
        </w:rPr>
        <w:t>is a low </w:t>
      </w:r>
      <w:r>
        <w:rPr>
          <w:i/>
          <w:sz w:val="24"/>
        </w:rPr>
        <w:t>voltage connection</w:t>
      </w:r>
      <w:r>
        <w:rPr>
          <w:sz w:val="24"/>
        </w:rPr>
        <w:t>;</w:t>
      </w:r>
      <w:r>
        <w:rPr>
          <w:spacing w:val="-3"/>
          <w:sz w:val="24"/>
        </w:rPr>
        <w:t> </w:t>
      </w:r>
      <w:r>
        <w:rPr>
          <w:sz w:val="24"/>
        </w:rPr>
        <w:t>and</w:t>
      </w:r>
    </w:p>
    <w:p>
      <w:pPr>
        <w:pStyle w:val="ListParagraph"/>
        <w:numPr>
          <w:ilvl w:val="1"/>
          <w:numId w:val="370"/>
        </w:numPr>
        <w:tabs>
          <w:tab w:pos="2486" w:val="left" w:leader="none"/>
        </w:tabs>
        <w:spacing w:line="240" w:lineRule="auto" w:before="120" w:after="0"/>
        <w:ind w:left="2486" w:right="416" w:hanging="567"/>
        <w:jc w:val="both"/>
        <w:rPr>
          <w:sz w:val="24"/>
        </w:rPr>
      </w:pPr>
      <w:r>
        <w:rPr>
          <w:sz w:val="24"/>
        </w:rPr>
        <w:t>the </w:t>
      </w:r>
      <w:r>
        <w:rPr>
          <w:i/>
          <w:sz w:val="24"/>
        </w:rPr>
        <w:t>connection </w:t>
      </w:r>
      <w:r>
        <w:rPr>
          <w:sz w:val="24"/>
        </w:rPr>
        <w:t>would not normally require </w:t>
      </w:r>
      <w:r>
        <w:rPr>
          <w:i/>
          <w:sz w:val="24"/>
        </w:rPr>
        <w:t>augmentation </w:t>
      </w:r>
      <w:r>
        <w:rPr>
          <w:sz w:val="24"/>
        </w:rPr>
        <w:t>of the </w:t>
      </w:r>
      <w:r>
        <w:rPr>
          <w:i/>
          <w:sz w:val="24"/>
        </w:rPr>
        <w:t>network </w:t>
      </w:r>
      <w:r>
        <w:rPr>
          <w:sz w:val="24"/>
        </w:rPr>
        <w:t>beyond the </w:t>
      </w:r>
      <w:r>
        <w:rPr>
          <w:i/>
          <w:sz w:val="24"/>
        </w:rPr>
        <w:t>extension </w:t>
      </w:r>
      <w:r>
        <w:rPr>
          <w:sz w:val="24"/>
        </w:rPr>
        <w:t>to the </w:t>
      </w:r>
      <w:r>
        <w:rPr>
          <w:i/>
          <w:sz w:val="24"/>
        </w:rPr>
        <w:t>distribution network </w:t>
      </w:r>
      <w:r>
        <w:rPr>
          <w:sz w:val="24"/>
        </w:rPr>
        <w:t>necessary </w:t>
      </w:r>
      <w:r>
        <w:rPr>
          <w:spacing w:val="-7"/>
          <w:sz w:val="24"/>
        </w:rPr>
        <w:t>to </w:t>
      </w:r>
      <w:r>
        <w:rPr>
          <w:sz w:val="24"/>
        </w:rPr>
        <w:t>make the </w:t>
      </w:r>
      <w:r>
        <w:rPr>
          <w:i/>
          <w:sz w:val="24"/>
        </w:rPr>
        <w:t>connection</w:t>
      </w:r>
      <w:r>
        <w:rPr>
          <w:sz w:val="24"/>
        </w:rPr>
        <w:t>;</w:t>
      </w:r>
      <w:r>
        <w:rPr>
          <w:spacing w:val="-1"/>
          <w:sz w:val="24"/>
        </w:rPr>
        <w:t> </w:t>
      </w:r>
      <w:r>
        <w:rPr>
          <w:sz w:val="24"/>
        </w:rPr>
        <w:t>and</w:t>
      </w:r>
    </w:p>
    <w:p>
      <w:pPr>
        <w:pStyle w:val="ListParagraph"/>
        <w:numPr>
          <w:ilvl w:val="1"/>
          <w:numId w:val="370"/>
        </w:numPr>
        <w:tabs>
          <w:tab w:pos="2486" w:val="left" w:leader="none"/>
        </w:tabs>
        <w:spacing w:line="240" w:lineRule="auto" w:before="120" w:after="0"/>
        <w:ind w:left="2486" w:right="414" w:hanging="567"/>
        <w:jc w:val="both"/>
        <w:rPr>
          <w:sz w:val="24"/>
        </w:rPr>
      </w:pPr>
      <w:r>
        <w:rPr>
          <w:sz w:val="24"/>
        </w:rPr>
        <w:t>the </w:t>
      </w:r>
      <w:r>
        <w:rPr>
          <w:i/>
          <w:sz w:val="24"/>
        </w:rPr>
        <w:t>connection </w:t>
      </w:r>
      <w:r>
        <w:rPr>
          <w:sz w:val="24"/>
        </w:rPr>
        <w:t>is not expected to increase the </w:t>
      </w:r>
      <w:r>
        <w:rPr>
          <w:i/>
          <w:sz w:val="24"/>
        </w:rPr>
        <w:t>load </w:t>
      </w:r>
      <w:r>
        <w:rPr>
          <w:sz w:val="24"/>
        </w:rPr>
        <w:t>on the </w:t>
      </w:r>
      <w:r>
        <w:rPr>
          <w:i/>
          <w:sz w:val="24"/>
        </w:rPr>
        <w:t>distribution </w:t>
      </w:r>
      <w:r>
        <w:rPr>
          <w:i/>
          <w:sz w:val="24"/>
        </w:rPr>
        <w:t>network </w:t>
      </w:r>
      <w:r>
        <w:rPr>
          <w:sz w:val="24"/>
        </w:rPr>
        <w:t>beyond a level the </w:t>
      </w:r>
      <w:r>
        <w:rPr>
          <w:i/>
          <w:sz w:val="24"/>
        </w:rPr>
        <w:t>Distribution Network Service Provider </w:t>
      </w:r>
      <w:r>
        <w:rPr>
          <w:sz w:val="24"/>
        </w:rPr>
        <w:t>could reasonably be expected to cope with in the ordinary course of managing the </w:t>
      </w:r>
      <w:r>
        <w:rPr>
          <w:i/>
          <w:sz w:val="24"/>
        </w:rPr>
        <w:t>distribution</w:t>
      </w:r>
      <w:r>
        <w:rPr>
          <w:i/>
          <w:spacing w:val="-1"/>
          <w:sz w:val="24"/>
        </w:rPr>
        <w:t> </w:t>
      </w:r>
      <w:r>
        <w:rPr>
          <w:i/>
          <w:sz w:val="24"/>
        </w:rPr>
        <w:t>network</w:t>
      </w:r>
      <w:r>
        <w:rPr>
          <w:sz w:val="24"/>
        </w:rPr>
        <w:t>.</w:t>
      </w:r>
    </w:p>
    <w:p>
      <w:pPr>
        <w:pStyle w:val="ListParagraph"/>
        <w:numPr>
          <w:ilvl w:val="0"/>
          <w:numId w:val="370"/>
        </w:numPr>
        <w:tabs>
          <w:tab w:pos="1919" w:val="left" w:leader="none"/>
        </w:tabs>
        <w:spacing w:line="240" w:lineRule="auto" w:before="120" w:after="0"/>
        <w:ind w:left="1918" w:right="0" w:hanging="567"/>
        <w:jc w:val="both"/>
        <w:rPr>
          <w:sz w:val="24"/>
        </w:rPr>
      </w:pPr>
      <w:r>
        <w:rPr>
          <w:sz w:val="24"/>
        </w:rPr>
        <w:t>In developing the guidelines, the </w:t>
      </w:r>
      <w:r>
        <w:rPr>
          <w:i/>
          <w:sz w:val="24"/>
        </w:rPr>
        <w:t>AER </w:t>
      </w:r>
      <w:r>
        <w:rPr>
          <w:sz w:val="24"/>
        </w:rPr>
        <w:t>must have regard</w:t>
      </w:r>
      <w:r>
        <w:rPr>
          <w:spacing w:val="-4"/>
          <w:sz w:val="24"/>
        </w:rPr>
        <w:t> </w:t>
      </w:r>
      <w:r>
        <w:rPr>
          <w:sz w:val="24"/>
        </w:rPr>
        <w:t>to:</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historical and geographical differences between </w:t>
      </w:r>
      <w:r>
        <w:rPr>
          <w:i/>
          <w:sz w:val="24"/>
        </w:rPr>
        <w:t>networks</w:t>
      </w:r>
      <w:r>
        <w:rPr>
          <w:sz w:val="24"/>
        </w:rPr>
        <w:t>;</w:t>
      </w:r>
      <w:r>
        <w:rPr>
          <w:spacing w:val="-1"/>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inter-jurisdictional differences related to regulatory control mechanisms, classification of services and other relevant matters;</w:t>
      </w:r>
      <w:r>
        <w:rPr>
          <w:spacing w:val="-10"/>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the circumstances in which </w:t>
      </w:r>
      <w:r>
        <w:rPr>
          <w:i/>
          <w:sz w:val="24"/>
        </w:rPr>
        <w:t>connection services </w:t>
      </w:r>
      <w:r>
        <w:rPr>
          <w:sz w:val="24"/>
        </w:rPr>
        <w:t>may be provided by persons other than </w:t>
      </w:r>
      <w:r>
        <w:rPr>
          <w:i/>
          <w:sz w:val="24"/>
        </w:rPr>
        <w:t>Distribution Network Service Providers </w:t>
      </w:r>
      <w:r>
        <w:rPr>
          <w:sz w:val="24"/>
        </w:rPr>
        <w:t>(and are therefore</w:t>
      </w:r>
      <w:r>
        <w:rPr>
          <w:spacing w:val="-1"/>
          <w:sz w:val="24"/>
        </w:rPr>
        <w:t> </w:t>
      </w:r>
      <w:r>
        <w:rPr>
          <w:i/>
          <w:sz w:val="24"/>
        </w:rPr>
        <w:t>contestable</w:t>
      </w:r>
      <w:r>
        <w:rPr>
          <w:sz w:val="24"/>
        </w:rPr>
        <w:t>).</w:t>
      </w:r>
    </w:p>
    <w:p>
      <w:pPr>
        <w:pStyle w:val="ListParagraph"/>
        <w:numPr>
          <w:ilvl w:val="0"/>
          <w:numId w:val="370"/>
        </w:numPr>
        <w:tabs>
          <w:tab w:pos="1920" w:val="left" w:leader="none"/>
        </w:tabs>
        <w:spacing w:line="240" w:lineRule="auto" w:before="120" w:after="0"/>
        <w:ind w:left="1919" w:right="415" w:hanging="567"/>
        <w:jc w:val="both"/>
        <w:rPr>
          <w:sz w:val="24"/>
        </w:rPr>
      </w:pPr>
      <w:r>
        <w:rPr>
          <w:sz w:val="24"/>
        </w:rPr>
        <w:t>In developing guidelines dealing with the method for calculating the amount of a refund of </w:t>
      </w:r>
      <w:r>
        <w:rPr>
          <w:i/>
          <w:sz w:val="24"/>
        </w:rPr>
        <w:t>connection charges </w:t>
      </w:r>
      <w:r>
        <w:rPr>
          <w:sz w:val="24"/>
        </w:rPr>
        <w:t>paid before a </w:t>
      </w:r>
      <w:r>
        <w:rPr>
          <w:i/>
          <w:sz w:val="24"/>
        </w:rPr>
        <w:t>connection asset </w:t>
      </w:r>
      <w:r>
        <w:rPr>
          <w:sz w:val="24"/>
        </w:rPr>
        <w:t>becomes a shared asset, the </w:t>
      </w:r>
      <w:r>
        <w:rPr>
          <w:i/>
          <w:sz w:val="24"/>
        </w:rPr>
        <w:t>AER </w:t>
      </w:r>
      <w:r>
        <w:rPr>
          <w:sz w:val="24"/>
        </w:rPr>
        <w:t>must have regard</w:t>
      </w:r>
      <w:r>
        <w:rPr>
          <w:spacing w:val="-3"/>
          <w:sz w:val="24"/>
        </w:rPr>
        <w:t> </w:t>
      </w:r>
      <w:r>
        <w:rPr>
          <w:sz w:val="24"/>
        </w:rPr>
        <w:t>to:</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Provider's </w:t>
      </w:r>
      <w:r>
        <w:rPr>
          <w:sz w:val="24"/>
        </w:rPr>
        <w:t>obligation to make the refund; and</w:t>
      </w:r>
    </w:p>
    <w:p>
      <w:pPr>
        <w:spacing w:after="0" w:line="240" w:lineRule="auto"/>
        <w:jc w:val="both"/>
        <w:rPr>
          <w:sz w:val="24"/>
        </w:rPr>
        <w:sectPr>
          <w:pgSz w:w="11910" w:h="16840"/>
          <w:pgMar w:header="686" w:footer="637" w:top="1320" w:bottom="820" w:left="1200" w:right="1000"/>
        </w:sectPr>
      </w:pPr>
    </w:p>
    <w:p>
      <w:pPr>
        <w:pStyle w:val="ListParagraph"/>
        <w:numPr>
          <w:ilvl w:val="1"/>
          <w:numId w:val="370"/>
        </w:numPr>
        <w:tabs>
          <w:tab w:pos="2486" w:val="left" w:leader="none"/>
        </w:tabs>
        <w:spacing w:line="240" w:lineRule="auto" w:before="83" w:after="0"/>
        <w:ind w:left="2486" w:right="414" w:hanging="567"/>
        <w:jc w:val="both"/>
        <w:rPr>
          <w:sz w:val="24"/>
        </w:rPr>
      </w:pPr>
      <w:r>
        <w:rPr>
          <w:sz w:val="24"/>
        </w:rPr>
        <w:t>future projections of </w:t>
      </w:r>
      <w:r>
        <w:rPr>
          <w:i/>
          <w:sz w:val="24"/>
        </w:rPr>
        <w:t>distribution network </w:t>
      </w:r>
      <w:r>
        <w:rPr>
          <w:sz w:val="24"/>
        </w:rPr>
        <w:t>expansion and usage and any consequent effect on the </w:t>
      </w:r>
      <w:r>
        <w:rPr>
          <w:i/>
          <w:sz w:val="24"/>
        </w:rPr>
        <w:t>Distribution Network Service Provider's </w:t>
      </w:r>
      <w:r>
        <w:rPr>
          <w:sz w:val="24"/>
        </w:rPr>
        <w:t>capacity to finance the acquisition of </w:t>
      </w:r>
      <w:r>
        <w:rPr>
          <w:i/>
          <w:sz w:val="24"/>
        </w:rPr>
        <w:t>augmentation </w:t>
      </w:r>
      <w:r>
        <w:rPr>
          <w:sz w:val="24"/>
        </w:rPr>
        <w:t>assets out of increased revenue;</w:t>
      </w:r>
      <w:r>
        <w:rPr>
          <w:spacing w:val="-1"/>
          <w:sz w:val="24"/>
        </w:rPr>
        <w:t> </w:t>
      </w:r>
      <w:r>
        <w:rPr>
          <w:sz w:val="24"/>
        </w:rPr>
        <w:t>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the fact that the </w:t>
      </w:r>
      <w:r>
        <w:rPr>
          <w:i/>
          <w:sz w:val="24"/>
        </w:rPr>
        <w:t>Distribution Network Service Provider's </w:t>
      </w:r>
      <w:r>
        <w:rPr>
          <w:sz w:val="24"/>
        </w:rPr>
        <w:t>obligation to make the refund will expire after 7</w:t>
      </w:r>
      <w:r>
        <w:rPr>
          <w:spacing w:val="-2"/>
          <w:sz w:val="24"/>
        </w:rPr>
        <w:t> </w:t>
      </w:r>
      <w:r>
        <w:rPr>
          <w:sz w:val="24"/>
        </w:rPr>
        <w:t>years.</w:t>
      </w:r>
    </w:p>
    <w:p>
      <w:pPr>
        <w:pStyle w:val="ListParagraph"/>
        <w:numPr>
          <w:ilvl w:val="0"/>
          <w:numId w:val="370"/>
        </w:numPr>
        <w:tabs>
          <w:tab w:pos="1919" w:val="left" w:leader="none"/>
        </w:tabs>
        <w:spacing w:line="240" w:lineRule="auto" w:before="120" w:after="0"/>
        <w:ind w:left="1919" w:right="414" w:hanging="567"/>
        <w:jc w:val="both"/>
        <w:rPr>
          <w:sz w:val="24"/>
        </w:rPr>
      </w:pPr>
      <w:r>
        <w:rPr>
          <w:sz w:val="24"/>
        </w:rPr>
        <w:t>In developing guidelines under this clause, the </w:t>
      </w:r>
      <w:r>
        <w:rPr>
          <w:i/>
          <w:sz w:val="24"/>
        </w:rPr>
        <w:t>AER </w:t>
      </w:r>
      <w:r>
        <w:rPr>
          <w:sz w:val="24"/>
        </w:rPr>
        <w:t>must act in accordance with the </w:t>
      </w:r>
      <w:r>
        <w:rPr>
          <w:i/>
          <w:sz w:val="24"/>
        </w:rPr>
        <w:t>distribution consultation</w:t>
      </w:r>
      <w:r>
        <w:rPr>
          <w:i/>
          <w:spacing w:val="-4"/>
          <w:sz w:val="24"/>
        </w:rPr>
        <w:t> </w:t>
      </w:r>
      <w:r>
        <w:rPr>
          <w:i/>
          <w:sz w:val="24"/>
        </w:rPr>
        <w:t>procedures</w:t>
      </w:r>
      <w:r>
        <w:rPr>
          <w:sz w:val="24"/>
        </w:rPr>
        <w:t>.</w:t>
      </w:r>
    </w:p>
    <w:p>
      <w:pPr>
        <w:pStyle w:val="BodyText"/>
        <w:ind w:left="1352" w:firstLine="0"/>
      </w:pPr>
      <w:r>
        <w:rPr/>
        <w:t>(ga) For the application of these </w:t>
      </w:r>
      <w:r>
        <w:rPr>
          <w:i/>
        </w:rPr>
        <w:t>Rules </w:t>
      </w:r>
      <w:r>
        <w:rPr/>
        <w:t>in this jurisdiction:</w:t>
      </w:r>
    </w:p>
    <w:p>
      <w:pPr>
        <w:pStyle w:val="ListParagraph"/>
        <w:numPr>
          <w:ilvl w:val="1"/>
          <w:numId w:val="370"/>
        </w:numPr>
        <w:tabs>
          <w:tab w:pos="2486" w:val="left" w:leader="none"/>
        </w:tabs>
        <w:spacing w:line="240" w:lineRule="auto" w:before="120" w:after="0"/>
        <w:ind w:left="2485" w:right="0" w:hanging="567"/>
        <w:jc w:val="both"/>
        <w:rPr>
          <w:sz w:val="24"/>
        </w:rPr>
      </w:pPr>
      <w:r>
        <w:rPr>
          <w:sz w:val="24"/>
        </w:rPr>
        <w:t>the</w:t>
      </w:r>
      <w:r>
        <w:rPr>
          <w:spacing w:val="28"/>
          <w:sz w:val="24"/>
        </w:rPr>
        <w:t> </w:t>
      </w:r>
      <w:r>
        <w:rPr>
          <w:i/>
          <w:sz w:val="24"/>
        </w:rPr>
        <w:t>connection</w:t>
      </w:r>
      <w:r>
        <w:rPr>
          <w:i/>
          <w:spacing w:val="29"/>
          <w:sz w:val="24"/>
        </w:rPr>
        <w:t> </w:t>
      </w:r>
      <w:r>
        <w:rPr>
          <w:i/>
          <w:sz w:val="24"/>
        </w:rPr>
        <w:t>charge</w:t>
      </w:r>
      <w:r>
        <w:rPr>
          <w:i/>
          <w:spacing w:val="29"/>
          <w:sz w:val="24"/>
        </w:rPr>
        <w:t> </w:t>
      </w:r>
      <w:r>
        <w:rPr>
          <w:i/>
          <w:sz w:val="24"/>
        </w:rPr>
        <w:t>guidelines</w:t>
      </w:r>
      <w:r>
        <w:rPr>
          <w:i/>
          <w:spacing w:val="29"/>
          <w:sz w:val="24"/>
        </w:rPr>
        <w:t> </w:t>
      </w:r>
      <w:r>
        <w:rPr>
          <w:sz w:val="24"/>
        </w:rPr>
        <w:t>that</w:t>
      </w:r>
      <w:r>
        <w:rPr>
          <w:spacing w:val="29"/>
          <w:sz w:val="24"/>
        </w:rPr>
        <w:t> </w:t>
      </w:r>
      <w:r>
        <w:rPr>
          <w:sz w:val="24"/>
        </w:rPr>
        <w:t>are</w:t>
      </w:r>
      <w:r>
        <w:rPr>
          <w:spacing w:val="29"/>
          <w:sz w:val="24"/>
        </w:rPr>
        <w:t> </w:t>
      </w:r>
      <w:r>
        <w:rPr>
          <w:sz w:val="24"/>
        </w:rPr>
        <w:t>in</w:t>
      </w:r>
      <w:r>
        <w:rPr>
          <w:spacing w:val="29"/>
          <w:sz w:val="24"/>
        </w:rPr>
        <w:t> </w:t>
      </w:r>
      <w:r>
        <w:rPr>
          <w:sz w:val="24"/>
        </w:rPr>
        <w:t>force</w:t>
      </w:r>
      <w:r>
        <w:rPr>
          <w:spacing w:val="29"/>
          <w:sz w:val="24"/>
        </w:rPr>
        <w:t> </w:t>
      </w:r>
      <w:r>
        <w:rPr>
          <w:sz w:val="24"/>
        </w:rPr>
        <w:t>in</w:t>
      </w:r>
      <w:r>
        <w:rPr>
          <w:spacing w:val="29"/>
          <w:sz w:val="24"/>
        </w:rPr>
        <w:t> </w:t>
      </w:r>
      <w:r>
        <w:rPr>
          <w:sz w:val="24"/>
        </w:rPr>
        <w:t>the</w:t>
      </w:r>
      <w:r>
        <w:rPr>
          <w:spacing w:val="29"/>
          <w:sz w:val="24"/>
        </w:rPr>
        <w:t> </w:t>
      </w:r>
      <w:r>
        <w:rPr>
          <w:sz w:val="24"/>
        </w:rPr>
        <w:t>other</w:t>
      </w:r>
    </w:p>
    <w:p>
      <w:pPr>
        <w:spacing w:before="0"/>
        <w:ind w:left="2486" w:right="0" w:firstLine="0"/>
        <w:jc w:val="both"/>
        <w:rPr>
          <w:sz w:val="24"/>
        </w:rPr>
      </w:pPr>
      <w:r>
        <w:rPr>
          <w:i/>
          <w:sz w:val="24"/>
        </w:rPr>
        <w:t>participating jurisdictions </w:t>
      </w:r>
      <w:r>
        <w:rPr>
          <w:sz w:val="24"/>
        </w:rPr>
        <w:t>on 1 July 2017 are taken:</w:t>
      </w:r>
    </w:p>
    <w:p>
      <w:pPr>
        <w:pStyle w:val="ListParagraph"/>
        <w:numPr>
          <w:ilvl w:val="2"/>
          <w:numId w:val="370"/>
        </w:numPr>
        <w:tabs>
          <w:tab w:pos="3053" w:val="left" w:leader="none"/>
        </w:tabs>
        <w:spacing w:line="240" w:lineRule="auto" w:before="120" w:after="0"/>
        <w:ind w:left="3053" w:right="415" w:hanging="567"/>
        <w:jc w:val="both"/>
        <w:rPr>
          <w:sz w:val="24"/>
        </w:rPr>
      </w:pPr>
      <w:r>
        <w:rPr>
          <w:sz w:val="24"/>
        </w:rPr>
        <w:t>to be the </w:t>
      </w:r>
      <w:r>
        <w:rPr>
          <w:i/>
          <w:sz w:val="24"/>
        </w:rPr>
        <w:t>connection charge guidelines </w:t>
      </w:r>
      <w:r>
        <w:rPr>
          <w:sz w:val="24"/>
        </w:rPr>
        <w:t>in force in </w:t>
      </w:r>
      <w:r>
        <w:rPr>
          <w:spacing w:val="-4"/>
          <w:sz w:val="24"/>
        </w:rPr>
        <w:t>this </w:t>
      </w:r>
      <w:r>
        <w:rPr>
          <w:sz w:val="24"/>
        </w:rPr>
        <w:t>jurisdiction (subject to any amendment or replacement </w:t>
      </w:r>
      <w:r>
        <w:rPr>
          <w:spacing w:val="-3"/>
          <w:sz w:val="24"/>
        </w:rPr>
        <w:t>under </w:t>
      </w:r>
      <w:r>
        <w:rPr>
          <w:sz w:val="24"/>
        </w:rPr>
        <w:t>these </w:t>
      </w:r>
      <w:r>
        <w:rPr>
          <w:i/>
          <w:sz w:val="24"/>
        </w:rPr>
        <w:t>Rules</w:t>
      </w:r>
      <w:r>
        <w:rPr>
          <w:sz w:val="24"/>
        </w:rPr>
        <w:t>);</w:t>
      </w:r>
      <w:r>
        <w:rPr>
          <w:spacing w:val="-1"/>
          <w:sz w:val="24"/>
        </w:rPr>
        <w:t> </w:t>
      </w:r>
      <w:r>
        <w:rPr>
          <w:sz w:val="24"/>
        </w:rPr>
        <w:t>and</w:t>
      </w:r>
    </w:p>
    <w:p>
      <w:pPr>
        <w:pStyle w:val="ListParagraph"/>
        <w:numPr>
          <w:ilvl w:val="2"/>
          <w:numId w:val="370"/>
        </w:numPr>
        <w:tabs>
          <w:tab w:pos="3054" w:val="left" w:leader="none"/>
        </w:tabs>
        <w:spacing w:line="240" w:lineRule="auto" w:before="120" w:after="0"/>
        <w:ind w:left="3053" w:right="416" w:hanging="567"/>
        <w:jc w:val="both"/>
        <w:rPr>
          <w:sz w:val="24"/>
        </w:rPr>
      </w:pPr>
      <w:r>
        <w:rPr>
          <w:sz w:val="24"/>
        </w:rPr>
        <w:t>to have been developed and </w:t>
      </w:r>
      <w:r>
        <w:rPr>
          <w:i/>
          <w:sz w:val="24"/>
        </w:rPr>
        <w:t>published </w:t>
      </w:r>
      <w:r>
        <w:rPr>
          <w:sz w:val="24"/>
        </w:rPr>
        <w:t>by the </w:t>
      </w:r>
      <w:r>
        <w:rPr>
          <w:i/>
          <w:sz w:val="24"/>
        </w:rPr>
        <w:t>AER </w:t>
      </w:r>
      <w:r>
        <w:rPr>
          <w:sz w:val="24"/>
        </w:rPr>
        <w:t>on 1 July 2017; and</w:t>
      </w:r>
    </w:p>
    <w:p>
      <w:pPr>
        <w:pStyle w:val="ListParagraph"/>
        <w:numPr>
          <w:ilvl w:val="1"/>
          <w:numId w:val="370"/>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(e), (f) and (g) in developing and </w:t>
      </w:r>
      <w:r>
        <w:rPr>
          <w:i/>
          <w:sz w:val="24"/>
        </w:rPr>
        <w:t>publishing  </w:t>
      </w:r>
      <w:r>
        <w:rPr>
          <w:spacing w:val="-5"/>
          <w:sz w:val="24"/>
        </w:rPr>
        <w:t>the </w:t>
      </w:r>
      <w:r>
        <w:rPr>
          <w:i/>
          <w:sz w:val="24"/>
        </w:rPr>
        <w:t>connection charge</w:t>
      </w:r>
      <w:r>
        <w:rPr>
          <w:i/>
          <w:spacing w:val="-1"/>
          <w:sz w:val="24"/>
        </w:rPr>
        <w:t> </w:t>
      </w:r>
      <w:r>
        <w:rPr>
          <w:i/>
          <w:sz w:val="24"/>
        </w:rPr>
        <w:t>guidelines</w:t>
      </w:r>
      <w:r>
        <w:rPr>
          <w:sz w:val="24"/>
        </w:rPr>
        <w:t>.</w:t>
      </w:r>
    </w:p>
    <w:p>
      <w:pPr>
        <w:pStyle w:val="BodyText"/>
        <w:spacing w:before="10"/>
        <w:ind w:firstLine="0"/>
        <w:jc w:val="left"/>
        <w:rPr>
          <w:sz w:val="20"/>
        </w:rPr>
      </w:pPr>
    </w:p>
    <w:p>
      <w:pPr>
        <w:pStyle w:val="Heading4"/>
        <w:tabs>
          <w:tab w:pos="1351" w:val="left" w:leader="none"/>
        </w:tabs>
        <w:ind w:left="218" w:firstLine="0"/>
      </w:pPr>
      <w:bookmarkStart w:name="5A.E.4 Payment of connection charges" w:id="1187"/>
      <w:bookmarkEnd w:id="1187"/>
      <w:r>
        <w:rPr>
          <w:b w:val="0"/>
        </w:rPr>
      </w:r>
      <w:bookmarkStart w:name="_bookmark486" w:id="1188"/>
      <w:bookmarkEnd w:id="1188"/>
      <w:r>
        <w:rPr>
          <w:b w:val="0"/>
        </w:rPr>
      </w:r>
      <w:r>
        <w:rPr/>
        <w:t>5A.E.4</w:t>
        <w:tab/>
        <w:t>Payment of connection</w:t>
      </w:r>
      <w:r>
        <w:rPr>
          <w:spacing w:val="-2"/>
        </w:rPr>
        <w:t> </w:t>
      </w:r>
      <w:r>
        <w:rPr/>
        <w:t>charges</w:t>
      </w:r>
    </w:p>
    <w:p>
      <w:pPr>
        <w:spacing w:before="120"/>
        <w:ind w:left="1352" w:right="0" w:firstLine="0"/>
        <w:jc w:val="left"/>
        <w:rPr>
          <w:rFonts w:ascii="Arial"/>
          <w:b/>
          <w:sz w:val="20"/>
        </w:rPr>
      </w:pPr>
      <w:r>
        <w:rPr>
          <w:rFonts w:ascii="Arial"/>
          <w:b/>
          <w:sz w:val="20"/>
        </w:rPr>
        <w:t>Note</w:t>
      </w:r>
    </w:p>
    <w:p>
      <w:pPr>
        <w:spacing w:before="120"/>
        <w:ind w:left="1352" w:right="413" w:firstLine="0"/>
        <w:jc w:val="both"/>
        <w:rPr>
          <w:sz w:val="20"/>
        </w:rPr>
      </w:pPr>
      <w:r>
        <w:rPr>
          <w:sz w:val="20"/>
        </w:rPr>
        <w:t>The note to clause 5A.E.4(c) has no effect in this jurisdiction until the </w:t>
      </w:r>
      <w:r>
        <w:rPr>
          <w:i/>
          <w:sz w:val="20"/>
        </w:rPr>
        <w:t>National Energy Retail Law </w:t>
      </w:r>
      <w:r>
        <w:rPr>
          <w:sz w:val="20"/>
        </w:rPr>
        <w:t>is applied as a law of this jurisdiction. The remaining provisions of clause 5A.E.4 have no effect in this jurisdiction until 1 July 2019 (see regulation 5A of the </w:t>
      </w:r>
      <w:r>
        <w:rPr>
          <w:i/>
          <w:sz w:val="20"/>
        </w:rPr>
        <w:t>National Electricity (Northern </w:t>
      </w:r>
      <w:r>
        <w:rPr>
          <w:i/>
          <w:sz w:val="20"/>
        </w:rPr>
        <w:t>Territory) (National Uniform Legislation) (Modification) Regulations)</w:t>
      </w:r>
      <w:r>
        <w:rPr>
          <w:sz w:val="20"/>
        </w:rPr>
        <w:t>.</w:t>
      </w:r>
    </w:p>
    <w:p>
      <w:pPr>
        <w:pStyle w:val="ListParagraph"/>
        <w:numPr>
          <w:ilvl w:val="0"/>
          <w:numId w:val="371"/>
        </w:numPr>
        <w:tabs>
          <w:tab w:pos="1919" w:val="left" w:leader="none"/>
        </w:tabs>
        <w:spacing w:line="240" w:lineRule="auto" w:before="120" w:after="0"/>
        <w:ind w:left="1919" w:right="416" w:hanging="567"/>
        <w:jc w:val="both"/>
        <w:rPr>
          <w:sz w:val="24"/>
        </w:rPr>
      </w:pPr>
      <w:r>
        <w:rPr>
          <w:i/>
          <w:sz w:val="24"/>
        </w:rPr>
        <w:t>Connection charges </w:t>
      </w:r>
      <w:r>
        <w:rPr>
          <w:sz w:val="24"/>
        </w:rPr>
        <w:t>payable in respect of a </w:t>
      </w:r>
      <w:r>
        <w:rPr>
          <w:i/>
          <w:sz w:val="24"/>
        </w:rPr>
        <w:t>connection service </w:t>
      </w:r>
      <w:r>
        <w:rPr>
          <w:sz w:val="24"/>
        </w:rPr>
        <w:t>must be paid to the </w:t>
      </w:r>
      <w:r>
        <w:rPr>
          <w:i/>
          <w:sz w:val="24"/>
        </w:rPr>
        <w:t>Distribution Network Service Provider </w:t>
      </w:r>
      <w:r>
        <w:rPr>
          <w:sz w:val="24"/>
        </w:rPr>
        <w:t>by the </w:t>
      </w:r>
      <w:r>
        <w:rPr>
          <w:i/>
          <w:sz w:val="24"/>
        </w:rPr>
        <w:t>retail customer's </w:t>
      </w:r>
      <w:r>
        <w:rPr>
          <w:i/>
          <w:sz w:val="24"/>
        </w:rPr>
        <w:t>retailer</w:t>
      </w:r>
      <w:r>
        <w:rPr>
          <w:i/>
          <w:spacing w:val="-1"/>
          <w:sz w:val="24"/>
        </w:rPr>
        <w:t> </w:t>
      </w:r>
      <w:r>
        <w:rPr>
          <w:sz w:val="24"/>
        </w:rPr>
        <w:t>unless:</w:t>
      </w:r>
    </w:p>
    <w:p>
      <w:pPr>
        <w:pStyle w:val="ListParagraph"/>
        <w:numPr>
          <w:ilvl w:val="1"/>
          <w:numId w:val="371"/>
        </w:numPr>
        <w:tabs>
          <w:tab w:pos="2486" w:val="left" w:leader="none"/>
        </w:tabs>
        <w:spacing w:line="240" w:lineRule="auto" w:before="120" w:after="0"/>
        <w:ind w:left="2486" w:right="415" w:hanging="567"/>
        <w:jc w:val="both"/>
        <w:rPr>
          <w:sz w:val="24"/>
        </w:rPr>
      </w:pPr>
      <w:r>
        <w:rPr>
          <w:sz w:val="24"/>
        </w:rPr>
        <w:t>the </w:t>
      </w:r>
      <w:r>
        <w:rPr>
          <w:i/>
          <w:sz w:val="24"/>
        </w:rPr>
        <w:t>retailer </w:t>
      </w:r>
      <w:r>
        <w:rPr>
          <w:sz w:val="24"/>
        </w:rPr>
        <w:t>did not apply for the </w:t>
      </w:r>
      <w:r>
        <w:rPr>
          <w:i/>
          <w:sz w:val="24"/>
        </w:rPr>
        <w:t>connection service </w:t>
      </w:r>
      <w:r>
        <w:rPr>
          <w:sz w:val="24"/>
        </w:rPr>
        <w:t>and the </w:t>
      </w:r>
      <w:r>
        <w:rPr>
          <w:i/>
          <w:sz w:val="24"/>
        </w:rPr>
        <w:t>Distribution Network Service Provider </w:t>
      </w:r>
      <w:r>
        <w:rPr>
          <w:sz w:val="24"/>
        </w:rPr>
        <w:t>has notified the </w:t>
      </w:r>
      <w:r>
        <w:rPr>
          <w:i/>
          <w:sz w:val="24"/>
        </w:rPr>
        <w:t>retail customer </w:t>
      </w:r>
      <w:r>
        <w:rPr>
          <w:sz w:val="24"/>
        </w:rPr>
        <w:t>that the </w:t>
      </w:r>
      <w:r>
        <w:rPr>
          <w:i/>
          <w:sz w:val="24"/>
        </w:rPr>
        <w:t>retail customer </w:t>
      </w:r>
      <w:r>
        <w:rPr>
          <w:sz w:val="24"/>
        </w:rPr>
        <w:t>must pay the </w:t>
      </w:r>
      <w:r>
        <w:rPr>
          <w:i/>
          <w:sz w:val="24"/>
        </w:rPr>
        <w:t>connection charge </w:t>
      </w:r>
      <w:r>
        <w:rPr>
          <w:sz w:val="24"/>
        </w:rPr>
        <w:t>directly;</w:t>
      </w:r>
      <w:r>
        <w:rPr>
          <w:spacing w:val="-8"/>
          <w:sz w:val="24"/>
        </w:rPr>
        <w:t> </w:t>
      </w:r>
      <w:r>
        <w:rPr>
          <w:sz w:val="24"/>
        </w:rPr>
        <w:t>or</w:t>
      </w:r>
    </w:p>
    <w:p>
      <w:pPr>
        <w:pStyle w:val="ListParagraph"/>
        <w:numPr>
          <w:ilvl w:val="1"/>
          <w:numId w:val="371"/>
        </w:numPr>
        <w:tabs>
          <w:tab w:pos="2486" w:val="left" w:leader="none"/>
        </w:tabs>
        <w:spacing w:line="240" w:lineRule="auto" w:before="120" w:after="0"/>
        <w:ind w:left="2485" w:right="0" w:hanging="567"/>
        <w:jc w:val="both"/>
        <w:rPr>
          <w:sz w:val="24"/>
        </w:rPr>
      </w:pPr>
      <w:r>
        <w:rPr>
          <w:sz w:val="24"/>
        </w:rPr>
        <w:t>the</w:t>
      </w:r>
      <w:r>
        <w:rPr>
          <w:spacing w:val="9"/>
          <w:sz w:val="24"/>
        </w:rPr>
        <w:t> </w:t>
      </w:r>
      <w:r>
        <w:rPr>
          <w:i/>
          <w:sz w:val="24"/>
        </w:rPr>
        <w:t>retail</w:t>
      </w:r>
      <w:r>
        <w:rPr>
          <w:i/>
          <w:spacing w:val="10"/>
          <w:sz w:val="24"/>
        </w:rPr>
        <w:t> </w:t>
      </w:r>
      <w:r>
        <w:rPr>
          <w:i/>
          <w:sz w:val="24"/>
        </w:rPr>
        <w:t>customer</w:t>
      </w:r>
      <w:r>
        <w:rPr>
          <w:i/>
          <w:spacing w:val="9"/>
          <w:sz w:val="24"/>
        </w:rPr>
        <w:t> </w:t>
      </w:r>
      <w:r>
        <w:rPr>
          <w:sz w:val="24"/>
        </w:rPr>
        <w:t>asks</w:t>
      </w:r>
      <w:r>
        <w:rPr>
          <w:spacing w:val="10"/>
          <w:sz w:val="24"/>
        </w:rPr>
        <w:t> </w:t>
      </w:r>
      <w:r>
        <w:rPr>
          <w:sz w:val="24"/>
        </w:rPr>
        <w:t>to</w:t>
      </w:r>
      <w:r>
        <w:rPr>
          <w:spacing w:val="10"/>
          <w:sz w:val="24"/>
        </w:rPr>
        <w:t> </w:t>
      </w:r>
      <w:r>
        <w:rPr>
          <w:sz w:val="24"/>
        </w:rPr>
        <w:t>pay</w:t>
      </w:r>
      <w:r>
        <w:rPr>
          <w:spacing w:val="9"/>
          <w:sz w:val="24"/>
        </w:rPr>
        <w:t> </w:t>
      </w:r>
      <w:r>
        <w:rPr>
          <w:sz w:val="24"/>
        </w:rPr>
        <w:t>the</w:t>
      </w:r>
      <w:r>
        <w:rPr>
          <w:spacing w:val="10"/>
          <w:sz w:val="24"/>
        </w:rPr>
        <w:t> </w:t>
      </w:r>
      <w:r>
        <w:rPr>
          <w:i/>
          <w:sz w:val="24"/>
        </w:rPr>
        <w:t>connection</w:t>
      </w:r>
      <w:r>
        <w:rPr>
          <w:i/>
          <w:spacing w:val="10"/>
          <w:sz w:val="24"/>
        </w:rPr>
        <w:t> </w:t>
      </w:r>
      <w:r>
        <w:rPr>
          <w:i/>
          <w:sz w:val="24"/>
        </w:rPr>
        <w:t>charge</w:t>
      </w:r>
      <w:r>
        <w:rPr>
          <w:i/>
          <w:spacing w:val="9"/>
          <w:sz w:val="24"/>
        </w:rPr>
        <w:t> </w:t>
      </w:r>
      <w:r>
        <w:rPr>
          <w:sz w:val="24"/>
        </w:rPr>
        <w:t>directly</w:t>
      </w:r>
      <w:r>
        <w:rPr>
          <w:spacing w:val="10"/>
          <w:sz w:val="24"/>
        </w:rPr>
        <w:t> </w:t>
      </w:r>
      <w:r>
        <w:rPr>
          <w:sz w:val="24"/>
        </w:rPr>
        <w:t>and</w:t>
      </w:r>
      <w:r>
        <w:rPr>
          <w:spacing w:val="10"/>
          <w:sz w:val="24"/>
        </w:rPr>
        <w:t> </w:t>
      </w:r>
      <w:r>
        <w:rPr>
          <w:sz w:val="24"/>
        </w:rPr>
        <w:t>the</w:t>
      </w:r>
    </w:p>
    <w:p>
      <w:pPr>
        <w:spacing w:before="0"/>
        <w:ind w:left="2486" w:right="0" w:firstLine="0"/>
        <w:jc w:val="both"/>
        <w:rPr>
          <w:sz w:val="24"/>
        </w:rPr>
      </w:pPr>
      <w:r>
        <w:rPr>
          <w:i/>
          <w:sz w:val="24"/>
        </w:rPr>
        <w:t>Distribution Network Service Provider </w:t>
      </w:r>
      <w:r>
        <w:rPr>
          <w:sz w:val="24"/>
        </w:rPr>
        <w:t>agrees; or</w:t>
      </w:r>
    </w:p>
    <w:p>
      <w:pPr>
        <w:pStyle w:val="ListParagraph"/>
        <w:numPr>
          <w:ilvl w:val="1"/>
          <w:numId w:val="371"/>
        </w:numPr>
        <w:tabs>
          <w:tab w:pos="2486" w:val="left" w:leader="none"/>
        </w:tabs>
        <w:spacing w:line="240" w:lineRule="auto" w:before="120" w:after="0"/>
        <w:ind w:left="2486" w:right="416" w:hanging="567"/>
        <w:jc w:val="both"/>
        <w:rPr>
          <w:sz w:val="24"/>
        </w:rPr>
      </w:pPr>
      <w:r>
        <w:rPr>
          <w:sz w:val="24"/>
        </w:rPr>
        <w:t>the </w:t>
      </w:r>
      <w:r>
        <w:rPr>
          <w:i/>
          <w:sz w:val="24"/>
        </w:rPr>
        <w:t>Distribution Network Service Provider </w:t>
      </w:r>
      <w:r>
        <w:rPr>
          <w:sz w:val="24"/>
        </w:rPr>
        <w:t>and the </w:t>
      </w:r>
      <w:r>
        <w:rPr>
          <w:i/>
          <w:sz w:val="24"/>
        </w:rPr>
        <w:t>retailer </w:t>
      </w:r>
      <w:r>
        <w:rPr>
          <w:sz w:val="24"/>
        </w:rPr>
        <w:t>agree that the </w:t>
      </w:r>
      <w:r>
        <w:rPr>
          <w:i/>
          <w:sz w:val="24"/>
        </w:rPr>
        <w:t>Distribution Network Service Provider </w:t>
      </w:r>
      <w:r>
        <w:rPr>
          <w:sz w:val="24"/>
        </w:rPr>
        <w:t>is to recover the </w:t>
      </w:r>
      <w:r>
        <w:rPr>
          <w:i/>
          <w:sz w:val="24"/>
        </w:rPr>
        <w:t>connection </w:t>
      </w:r>
      <w:r>
        <w:rPr>
          <w:i/>
          <w:sz w:val="24"/>
        </w:rPr>
        <w:t>charge </w:t>
      </w:r>
      <w:r>
        <w:rPr>
          <w:sz w:val="24"/>
        </w:rPr>
        <w:t>from the </w:t>
      </w:r>
      <w:r>
        <w:rPr>
          <w:i/>
          <w:sz w:val="24"/>
        </w:rPr>
        <w:t>retail</w:t>
      </w:r>
      <w:r>
        <w:rPr>
          <w:i/>
          <w:spacing w:val="-2"/>
          <w:sz w:val="24"/>
        </w:rPr>
        <w:t> </w:t>
      </w:r>
      <w:r>
        <w:rPr>
          <w:i/>
          <w:sz w:val="24"/>
        </w:rPr>
        <w:t>customer</w:t>
      </w:r>
      <w:r>
        <w:rPr>
          <w:sz w:val="24"/>
        </w:rPr>
        <w:t>.</w:t>
      </w:r>
    </w:p>
    <w:p>
      <w:pPr>
        <w:pStyle w:val="ListParagraph"/>
        <w:numPr>
          <w:ilvl w:val="0"/>
          <w:numId w:val="371"/>
        </w:numPr>
        <w:tabs>
          <w:tab w:pos="1919" w:val="left" w:leader="none"/>
        </w:tabs>
        <w:spacing w:line="240" w:lineRule="auto" w:before="120" w:after="0"/>
        <w:ind w:left="1919" w:right="415" w:hanging="567"/>
        <w:jc w:val="both"/>
        <w:rPr>
          <w:sz w:val="24"/>
        </w:rPr>
      </w:pPr>
      <w:r>
        <w:rPr>
          <w:sz w:val="24"/>
        </w:rPr>
        <w:t>If the </w:t>
      </w:r>
      <w:r>
        <w:rPr>
          <w:i/>
          <w:sz w:val="24"/>
        </w:rPr>
        <w:t>retail customer </w:t>
      </w:r>
      <w:r>
        <w:rPr>
          <w:sz w:val="24"/>
        </w:rPr>
        <w:t>pays, or is required to pay, a </w:t>
      </w:r>
      <w:r>
        <w:rPr>
          <w:i/>
          <w:sz w:val="24"/>
        </w:rPr>
        <w:t>connection charge </w:t>
      </w:r>
      <w:r>
        <w:rPr>
          <w:sz w:val="24"/>
        </w:rPr>
        <w:t>directly to a </w:t>
      </w:r>
      <w:r>
        <w:rPr>
          <w:i/>
          <w:sz w:val="24"/>
        </w:rPr>
        <w:t>Distribution Network Service Provider </w:t>
      </w:r>
      <w:r>
        <w:rPr>
          <w:sz w:val="24"/>
        </w:rPr>
        <w:t>under paragraph (a), the </w:t>
      </w:r>
      <w:r>
        <w:rPr>
          <w:i/>
          <w:sz w:val="24"/>
        </w:rPr>
        <w:t>Distribution Network Service Provider </w:t>
      </w:r>
      <w:r>
        <w:rPr>
          <w:sz w:val="24"/>
        </w:rPr>
        <w:t>must not recover that charge from the </w:t>
      </w:r>
      <w:r>
        <w:rPr>
          <w:i/>
          <w:sz w:val="24"/>
        </w:rPr>
        <w:t>retail customer's</w:t>
      </w:r>
      <w:r>
        <w:rPr>
          <w:i/>
          <w:spacing w:val="-1"/>
          <w:sz w:val="24"/>
        </w:rPr>
        <w:t> </w:t>
      </w:r>
      <w:r>
        <w:rPr>
          <w:i/>
          <w:sz w:val="24"/>
        </w:rPr>
        <w:t>retailer</w:t>
      </w:r>
      <w:r>
        <w:rPr>
          <w:sz w:val="24"/>
        </w:rPr>
        <w:t>.</w:t>
      </w:r>
    </w:p>
    <w:p>
      <w:pPr>
        <w:pStyle w:val="ListParagraph"/>
        <w:numPr>
          <w:ilvl w:val="0"/>
          <w:numId w:val="371"/>
        </w:numPr>
        <w:tabs>
          <w:tab w:pos="1919" w:val="left" w:leader="none"/>
        </w:tabs>
        <w:spacing w:line="240" w:lineRule="auto" w:before="120" w:after="0"/>
        <w:ind w:left="1918" w:right="0" w:hanging="567"/>
        <w:jc w:val="both"/>
        <w:rPr>
          <w:sz w:val="24"/>
        </w:rPr>
      </w:pPr>
      <w:r>
        <w:rPr>
          <w:sz w:val="24"/>
        </w:rPr>
        <w:t>The</w:t>
      </w:r>
      <w:r>
        <w:rPr>
          <w:spacing w:val="41"/>
          <w:sz w:val="24"/>
        </w:rPr>
        <w:t> </w:t>
      </w:r>
      <w:r>
        <w:rPr>
          <w:i/>
          <w:sz w:val="24"/>
        </w:rPr>
        <w:t>Distribution</w:t>
      </w:r>
      <w:r>
        <w:rPr>
          <w:i/>
          <w:spacing w:val="40"/>
          <w:sz w:val="24"/>
        </w:rPr>
        <w:t> </w:t>
      </w:r>
      <w:r>
        <w:rPr>
          <w:i/>
          <w:sz w:val="24"/>
        </w:rPr>
        <w:t>Network</w:t>
      </w:r>
      <w:r>
        <w:rPr>
          <w:i/>
          <w:spacing w:val="41"/>
          <w:sz w:val="24"/>
        </w:rPr>
        <w:t> </w:t>
      </w:r>
      <w:r>
        <w:rPr>
          <w:i/>
          <w:sz w:val="24"/>
        </w:rPr>
        <w:t>Service</w:t>
      </w:r>
      <w:r>
        <w:rPr>
          <w:i/>
          <w:spacing w:val="42"/>
          <w:sz w:val="24"/>
        </w:rPr>
        <w:t> </w:t>
      </w:r>
      <w:r>
        <w:rPr>
          <w:i/>
          <w:sz w:val="24"/>
        </w:rPr>
        <w:t>Provider</w:t>
      </w:r>
      <w:r>
        <w:rPr>
          <w:i/>
          <w:spacing w:val="41"/>
          <w:sz w:val="24"/>
        </w:rPr>
        <w:t> </w:t>
      </w:r>
      <w:r>
        <w:rPr>
          <w:sz w:val="24"/>
        </w:rPr>
        <w:t>must</w:t>
      </w:r>
      <w:r>
        <w:rPr>
          <w:spacing w:val="41"/>
          <w:sz w:val="24"/>
        </w:rPr>
        <w:t> </w:t>
      </w:r>
      <w:r>
        <w:rPr>
          <w:sz w:val="24"/>
        </w:rPr>
        <w:t>separately</w:t>
      </w:r>
      <w:r>
        <w:rPr>
          <w:spacing w:val="42"/>
          <w:sz w:val="24"/>
        </w:rPr>
        <w:t> </w:t>
      </w:r>
      <w:r>
        <w:rPr>
          <w:sz w:val="24"/>
        </w:rPr>
        <w:t>identify</w:t>
      </w:r>
      <w:r>
        <w:rPr>
          <w:spacing w:val="41"/>
          <w:sz w:val="24"/>
        </w:rPr>
        <w:t> </w:t>
      </w:r>
      <w:r>
        <w:rPr>
          <w:sz w:val="24"/>
        </w:rPr>
        <w:t>each</w:t>
      </w:r>
    </w:p>
    <w:p>
      <w:pPr>
        <w:spacing w:before="0"/>
        <w:ind w:left="1919" w:right="0" w:firstLine="0"/>
        <w:jc w:val="both"/>
        <w:rPr>
          <w:sz w:val="24"/>
        </w:rPr>
      </w:pPr>
      <w:r>
        <w:rPr>
          <w:i/>
          <w:sz w:val="24"/>
        </w:rPr>
        <w:t>connection charge </w:t>
      </w:r>
      <w:r>
        <w:rPr>
          <w:sz w:val="24"/>
        </w:rPr>
        <w:t>on the statement or invoice to the </w:t>
      </w:r>
      <w:r>
        <w:rPr>
          <w:i/>
          <w:sz w:val="24"/>
        </w:rPr>
        <w:t>retailer</w:t>
      </w:r>
      <w:r>
        <w:rPr>
          <w:sz w:val="24"/>
        </w:rPr>
        <w:t>.</w:t>
      </w:r>
    </w:p>
    <w:p>
      <w:pPr>
        <w:spacing w:after="0"/>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left"/>
        <w:rPr>
          <w:sz w:val="20"/>
        </w:rPr>
      </w:pPr>
      <w:r>
        <w:rPr>
          <w:sz w:val="20"/>
        </w:rPr>
        <w:t>Rule 25 of the </w:t>
      </w:r>
      <w:r>
        <w:rPr>
          <w:i/>
          <w:sz w:val="20"/>
        </w:rPr>
        <w:t>National Energy Retail Rules </w:t>
      </w:r>
      <w:r>
        <w:rPr>
          <w:sz w:val="20"/>
        </w:rPr>
        <w:t>requires the listing of </w:t>
      </w:r>
      <w:r>
        <w:rPr>
          <w:i/>
          <w:sz w:val="20"/>
        </w:rPr>
        <w:t>connection charges </w:t>
      </w:r>
      <w:r>
        <w:rPr>
          <w:sz w:val="20"/>
        </w:rPr>
        <w:t>that are passed through by a </w:t>
      </w:r>
      <w:r>
        <w:rPr>
          <w:i/>
          <w:sz w:val="20"/>
        </w:rPr>
        <w:t>retailer </w:t>
      </w:r>
      <w:r>
        <w:rPr>
          <w:sz w:val="20"/>
        </w:rPr>
        <w:t>to a retail customer in the customer's bill.</w:t>
      </w:r>
    </w:p>
    <w:p>
      <w:pPr>
        <w:pStyle w:val="BodyText"/>
        <w:spacing w:before="10"/>
        <w:ind w:firstLine="0"/>
        <w:jc w:val="left"/>
        <w:rPr>
          <w:sz w:val="20"/>
        </w:rPr>
      </w:pPr>
    </w:p>
    <w:p>
      <w:pPr>
        <w:pStyle w:val="Heading2"/>
        <w:tabs>
          <w:tab w:pos="1352" w:val="left" w:leader="none"/>
          <w:tab w:pos="9317" w:val="left" w:leader="none"/>
        </w:tabs>
      </w:pPr>
      <w:bookmarkStart w:name="Part F Formation and integration of conn" w:id="1189"/>
      <w:bookmarkEnd w:id="1189"/>
      <w:r>
        <w:rPr>
          <w:b w:val="0"/>
        </w:rPr>
      </w:r>
      <w:bookmarkStart w:name="_bookmark487" w:id="1190"/>
      <w:bookmarkEnd w:id="1190"/>
      <w:r>
        <w:rPr>
          <w:b w:val="0"/>
        </w:rPr>
      </w:r>
      <w:r>
        <w:rPr>
          <w:shd w:fill="D9D9D9" w:color="auto" w:val="clear"/>
        </w:rPr>
        <w:t>Part F</w:t>
        <w:tab/>
        <w:t>Formation and integration of connection</w:t>
      </w:r>
      <w:r>
        <w:rPr>
          <w:spacing w:val="-19"/>
          <w:shd w:fill="D9D9D9" w:color="auto" w:val="clear"/>
        </w:rPr>
        <w:t> </w:t>
      </w:r>
      <w:r>
        <w:rPr>
          <w:shd w:fill="D9D9D9" w:color="auto" w:val="clear"/>
        </w:rPr>
        <w:t>contracts</w:t>
        <w:tab/>
      </w:r>
    </w:p>
    <w:p>
      <w:pPr>
        <w:pStyle w:val="BodyText"/>
        <w:spacing w:before="4"/>
        <w:ind w:firstLine="0"/>
        <w:jc w:val="left"/>
        <w:rPr>
          <w:rFonts w:ascii="Arial"/>
          <w:b/>
          <w:sz w:val="31"/>
        </w:rPr>
      </w:pPr>
    </w:p>
    <w:p>
      <w:pPr>
        <w:tabs>
          <w:tab w:pos="2485" w:val="left" w:leader="none"/>
        </w:tabs>
        <w:spacing w:before="0"/>
        <w:ind w:left="2486" w:right="1509" w:hanging="2268"/>
        <w:jc w:val="left"/>
        <w:rPr>
          <w:rFonts w:ascii="Arial" w:hAnsi="Arial"/>
          <w:b/>
          <w:sz w:val="28"/>
        </w:rPr>
      </w:pPr>
      <w:bookmarkStart w:name="_bookmark488" w:id="1191"/>
      <w:bookmarkEnd w:id="1191"/>
      <w:r>
        <w:rPr/>
      </w:r>
      <w:r>
        <w:rPr>
          <w:rFonts w:ascii="Arial" w:hAnsi="Arial"/>
          <w:b/>
          <w:sz w:val="28"/>
        </w:rPr>
        <w:t>Division</w:t>
      </w:r>
      <w:r>
        <w:rPr>
          <w:rFonts w:ascii="Arial" w:hAnsi="Arial"/>
          <w:b/>
          <w:spacing w:val="-4"/>
          <w:sz w:val="28"/>
        </w:rPr>
        <w:t> </w:t>
      </w:r>
      <w:r>
        <w:rPr>
          <w:rFonts w:ascii="Arial" w:hAnsi="Arial"/>
          <w:b/>
          <w:sz w:val="28"/>
        </w:rPr>
        <w:t>1</w:t>
        <w:tab/>
        <w:t>Offer and acceptance – basic and standard connection</w:t>
      </w:r>
      <w:r>
        <w:rPr>
          <w:rFonts w:ascii="Arial" w:hAnsi="Arial"/>
          <w:b/>
          <w:spacing w:val="-2"/>
          <w:sz w:val="28"/>
        </w:rPr>
        <w:t> </w:t>
      </w:r>
      <w:r>
        <w:rPr>
          <w:rFonts w:ascii="Arial" w:hAnsi="Arial"/>
          <w:b/>
          <w:sz w:val="28"/>
        </w:rPr>
        <w:t>services</w:t>
      </w:r>
    </w:p>
    <w:p>
      <w:pPr>
        <w:pStyle w:val="Heading4"/>
        <w:tabs>
          <w:tab w:pos="1351" w:val="left" w:leader="none"/>
        </w:tabs>
        <w:spacing w:before="240"/>
        <w:ind w:left="218" w:firstLine="0"/>
      </w:pPr>
      <w:bookmarkStart w:name=" " w:id="1192"/>
      <w:bookmarkEnd w:id="1192"/>
      <w:r>
        <w:rPr>
          <w:b w:val="0"/>
        </w:rPr>
      </w:r>
      <w:bookmarkStart w:name="5A.F.1 Distribution Network Service Prov" w:id="1193"/>
      <w:bookmarkEnd w:id="1193"/>
      <w:r>
        <w:rPr>
          <w:b w:val="0"/>
        </w:rPr>
      </w:r>
      <w:bookmarkStart w:name="_bookmark489" w:id="1194"/>
      <w:bookmarkEnd w:id="1194"/>
      <w:r>
        <w:rPr>
          <w:b w:val="0"/>
        </w:rPr>
      </w:r>
      <w:r>
        <w:rPr/>
        <w:t>5A.F.1</w:t>
        <w:tab/>
        <w:t>Distribution Network Service Provider's response to</w:t>
      </w:r>
      <w:r>
        <w:rPr>
          <w:spacing w:val="-12"/>
        </w:rPr>
        <w:t> </w:t>
      </w:r>
      <w:r>
        <w:rPr/>
        <w:t>application</w:t>
      </w:r>
    </w:p>
    <w:p>
      <w:pPr>
        <w:pStyle w:val="ListParagraph"/>
        <w:numPr>
          <w:ilvl w:val="0"/>
          <w:numId w:val="372"/>
        </w:numPr>
        <w:tabs>
          <w:tab w:pos="1919" w:val="left" w:leader="none"/>
        </w:tabs>
        <w:spacing w:line="240" w:lineRule="auto" w:before="120" w:after="0"/>
        <w:ind w:left="1919" w:right="414" w:hanging="567"/>
        <w:jc w:val="both"/>
        <w:rPr>
          <w:sz w:val="24"/>
        </w:rPr>
      </w:pPr>
      <w:r>
        <w:rPr>
          <w:sz w:val="24"/>
        </w:rPr>
        <w:t>If the </w:t>
      </w:r>
      <w:r>
        <w:rPr>
          <w:i/>
          <w:sz w:val="24"/>
        </w:rPr>
        <w:t>connection service </w:t>
      </w:r>
      <w:r>
        <w:rPr>
          <w:sz w:val="24"/>
        </w:rPr>
        <w:t>sought by a </w:t>
      </w:r>
      <w:r>
        <w:rPr>
          <w:i/>
          <w:sz w:val="24"/>
        </w:rPr>
        <w:t>connection applicant </w:t>
      </w:r>
      <w:r>
        <w:rPr>
          <w:sz w:val="24"/>
        </w:rPr>
        <w:t>is a </w:t>
      </w:r>
      <w:r>
        <w:rPr>
          <w:i/>
          <w:sz w:val="24"/>
        </w:rPr>
        <w:t>basic </w:t>
      </w:r>
      <w:r>
        <w:rPr>
          <w:i/>
          <w:sz w:val="24"/>
        </w:rPr>
        <w:t>connection service </w:t>
      </w:r>
      <w:r>
        <w:rPr>
          <w:sz w:val="24"/>
        </w:rPr>
        <w:t>or a </w:t>
      </w:r>
      <w:r>
        <w:rPr>
          <w:i/>
          <w:sz w:val="24"/>
        </w:rPr>
        <w:t>standard connection service </w:t>
      </w:r>
      <w:r>
        <w:rPr>
          <w:sz w:val="24"/>
        </w:rPr>
        <w:t>(and the applicant does not elect to apply for a negotiated </w:t>
      </w:r>
      <w:r>
        <w:rPr>
          <w:i/>
          <w:sz w:val="24"/>
        </w:rPr>
        <w:t>connection contract</w:t>
      </w:r>
      <w:r>
        <w:rPr>
          <w:sz w:val="24"/>
        </w:rPr>
        <w:t>), the </w:t>
      </w:r>
      <w:r>
        <w:rPr>
          <w:i/>
          <w:sz w:val="24"/>
        </w:rPr>
        <w:t>Distribution </w:t>
      </w:r>
      <w:r>
        <w:rPr>
          <w:i/>
          <w:sz w:val="24"/>
        </w:rPr>
        <w:t>Network Service Provider </w:t>
      </w:r>
      <w:r>
        <w:rPr>
          <w:sz w:val="24"/>
        </w:rPr>
        <w:t>must make a </w:t>
      </w:r>
      <w:r>
        <w:rPr>
          <w:i/>
          <w:sz w:val="24"/>
        </w:rPr>
        <w:t>connection offer </w:t>
      </w:r>
      <w:r>
        <w:rPr>
          <w:sz w:val="24"/>
        </w:rPr>
        <w:t>to the applicant within:</w:t>
      </w:r>
    </w:p>
    <w:p>
      <w:pPr>
        <w:pStyle w:val="ListParagraph"/>
        <w:numPr>
          <w:ilvl w:val="1"/>
          <w:numId w:val="372"/>
        </w:numPr>
        <w:tabs>
          <w:tab w:pos="2486" w:val="left" w:leader="none"/>
        </w:tabs>
        <w:spacing w:line="240" w:lineRule="auto" w:before="120" w:after="0"/>
        <w:ind w:left="2486" w:right="415" w:hanging="567"/>
        <w:jc w:val="both"/>
        <w:rPr>
          <w:sz w:val="24"/>
        </w:rPr>
      </w:pPr>
      <w:r>
        <w:rPr>
          <w:sz w:val="24"/>
        </w:rPr>
        <w:t>10 </w:t>
      </w:r>
      <w:r>
        <w:rPr>
          <w:i/>
          <w:sz w:val="24"/>
        </w:rPr>
        <w:t>business days </w:t>
      </w:r>
      <w:r>
        <w:rPr>
          <w:sz w:val="24"/>
        </w:rPr>
        <w:t>after receiving a properly completed application </w:t>
      </w:r>
      <w:r>
        <w:rPr>
          <w:spacing w:val="-4"/>
          <w:sz w:val="24"/>
        </w:rPr>
        <w:t>for </w:t>
      </w:r>
      <w:r>
        <w:rPr>
          <w:sz w:val="24"/>
        </w:rPr>
        <w:t>the service and the additional information (if any) reasonably required under clause 5A.D.3(e);</w:t>
      </w:r>
      <w:r>
        <w:rPr>
          <w:spacing w:val="-3"/>
          <w:sz w:val="24"/>
        </w:rPr>
        <w:t> </w:t>
      </w:r>
      <w:r>
        <w:rPr>
          <w:sz w:val="24"/>
        </w:rPr>
        <w:t>or</w:t>
      </w:r>
    </w:p>
    <w:p>
      <w:pPr>
        <w:pStyle w:val="ListParagraph"/>
        <w:numPr>
          <w:ilvl w:val="1"/>
          <w:numId w:val="372"/>
        </w:numPr>
        <w:tabs>
          <w:tab w:pos="2486" w:val="left" w:leader="none"/>
        </w:tabs>
        <w:spacing w:line="240" w:lineRule="auto" w:before="120" w:after="0"/>
        <w:ind w:left="2486" w:right="415" w:hanging="567"/>
        <w:jc w:val="both"/>
        <w:rPr>
          <w:sz w:val="24"/>
        </w:rPr>
      </w:pPr>
      <w:r>
        <w:rPr>
          <w:sz w:val="24"/>
        </w:rPr>
        <w:t>some other period agreed between the </w:t>
      </w:r>
      <w:r>
        <w:rPr>
          <w:i/>
          <w:sz w:val="24"/>
        </w:rPr>
        <w:t>Distribution Network Service </w:t>
      </w:r>
      <w:r>
        <w:rPr>
          <w:i/>
          <w:sz w:val="24"/>
        </w:rPr>
        <w:t>Provider </w:t>
      </w:r>
      <w:r>
        <w:rPr>
          <w:sz w:val="24"/>
        </w:rPr>
        <w:t>and the </w:t>
      </w:r>
      <w:r>
        <w:rPr>
          <w:i/>
          <w:sz w:val="24"/>
        </w:rPr>
        <w:t>connection</w:t>
      </w:r>
      <w:r>
        <w:rPr>
          <w:i/>
          <w:spacing w:val="-1"/>
          <w:sz w:val="24"/>
        </w:rPr>
        <w:t> </w:t>
      </w:r>
      <w:r>
        <w:rPr>
          <w:i/>
          <w:sz w:val="24"/>
        </w:rPr>
        <w:t>applicant</w:t>
      </w:r>
      <w:r>
        <w:rPr>
          <w:sz w:val="24"/>
        </w:rPr>
        <w:t>.</w:t>
      </w:r>
    </w:p>
    <w:p>
      <w:pPr>
        <w:pStyle w:val="ListParagraph"/>
        <w:numPr>
          <w:ilvl w:val="0"/>
          <w:numId w:val="372"/>
        </w:numPr>
        <w:tabs>
          <w:tab w:pos="1919" w:val="left" w:leader="none"/>
        </w:tabs>
        <w:spacing w:line="240" w:lineRule="auto" w:before="120" w:after="0"/>
        <w:ind w:left="1919" w:right="415" w:hanging="567"/>
        <w:jc w:val="both"/>
        <w:rPr>
          <w:sz w:val="24"/>
        </w:rPr>
      </w:pPr>
      <w:r>
        <w:rPr>
          <w:sz w:val="24"/>
        </w:rPr>
        <w:t>The </w:t>
      </w:r>
      <w:r>
        <w:rPr>
          <w:i/>
          <w:sz w:val="24"/>
        </w:rPr>
        <w:t>connection offer </w:t>
      </w:r>
      <w:r>
        <w:rPr>
          <w:sz w:val="24"/>
        </w:rPr>
        <w:t>must be in accordance with the relevant </w:t>
      </w:r>
      <w:r>
        <w:rPr>
          <w:i/>
          <w:sz w:val="24"/>
        </w:rPr>
        <w:t>model </w:t>
      </w:r>
      <w:r>
        <w:rPr>
          <w:i/>
          <w:sz w:val="24"/>
        </w:rPr>
        <w:t>standing offer </w:t>
      </w:r>
      <w:r>
        <w:rPr>
          <w:sz w:val="24"/>
        </w:rPr>
        <w:t>and must</w:t>
      </w:r>
      <w:r>
        <w:rPr>
          <w:spacing w:val="-2"/>
          <w:sz w:val="24"/>
        </w:rPr>
        <w:t> </w:t>
      </w:r>
      <w:r>
        <w:rPr>
          <w:sz w:val="24"/>
        </w:rPr>
        <w:t>include:</w:t>
      </w:r>
    </w:p>
    <w:p>
      <w:pPr>
        <w:pStyle w:val="ListParagraph"/>
        <w:numPr>
          <w:ilvl w:val="1"/>
          <w:numId w:val="372"/>
        </w:numPr>
        <w:tabs>
          <w:tab w:pos="2486" w:val="left" w:leader="none"/>
        </w:tabs>
        <w:spacing w:line="240" w:lineRule="auto" w:before="120" w:after="0"/>
        <w:ind w:left="2485" w:right="0" w:hanging="567"/>
        <w:jc w:val="both"/>
        <w:rPr>
          <w:sz w:val="24"/>
        </w:rPr>
      </w:pPr>
      <w:r>
        <w:rPr>
          <w:sz w:val="24"/>
        </w:rPr>
        <w:t>the date of the offer;</w:t>
      </w:r>
      <w:r>
        <w:rPr>
          <w:spacing w:val="-1"/>
          <w:sz w:val="24"/>
        </w:rPr>
        <w:t> </w:t>
      </w:r>
      <w:r>
        <w:rPr>
          <w:sz w:val="24"/>
        </w:rPr>
        <w:t>and</w:t>
      </w:r>
    </w:p>
    <w:p>
      <w:pPr>
        <w:pStyle w:val="ListParagraph"/>
        <w:numPr>
          <w:ilvl w:val="1"/>
          <w:numId w:val="372"/>
        </w:numPr>
        <w:tabs>
          <w:tab w:pos="2486" w:val="left" w:leader="none"/>
        </w:tabs>
        <w:spacing w:line="240" w:lineRule="auto" w:before="120" w:after="0"/>
        <w:ind w:left="2485" w:right="0" w:hanging="567"/>
        <w:jc w:val="both"/>
        <w:rPr>
          <w:sz w:val="24"/>
        </w:rPr>
      </w:pPr>
      <w:r>
        <w:rPr>
          <w:sz w:val="24"/>
        </w:rPr>
        <w:t>details of the </w:t>
      </w:r>
      <w:r>
        <w:rPr>
          <w:i/>
          <w:sz w:val="24"/>
        </w:rPr>
        <w:t>connection service </w:t>
      </w:r>
      <w:r>
        <w:rPr>
          <w:sz w:val="24"/>
        </w:rPr>
        <w:t>to be provided;</w:t>
      </w:r>
      <w:r>
        <w:rPr>
          <w:spacing w:val="-3"/>
          <w:sz w:val="24"/>
        </w:rPr>
        <w:t> </w:t>
      </w:r>
      <w:r>
        <w:rPr>
          <w:sz w:val="24"/>
        </w:rPr>
        <w:t>and</w:t>
      </w:r>
    </w:p>
    <w:p>
      <w:pPr>
        <w:pStyle w:val="ListParagraph"/>
        <w:numPr>
          <w:ilvl w:val="1"/>
          <w:numId w:val="372"/>
        </w:numPr>
        <w:tabs>
          <w:tab w:pos="2486" w:val="left" w:leader="none"/>
        </w:tabs>
        <w:spacing w:line="240" w:lineRule="auto" w:before="120" w:after="0"/>
        <w:ind w:left="2486" w:right="415" w:hanging="567"/>
        <w:jc w:val="both"/>
        <w:rPr>
          <w:sz w:val="24"/>
        </w:rPr>
      </w:pPr>
      <w:r>
        <w:rPr>
          <w:sz w:val="24"/>
        </w:rPr>
        <w:t>a statement of the </w:t>
      </w:r>
      <w:r>
        <w:rPr>
          <w:i/>
          <w:sz w:val="24"/>
        </w:rPr>
        <w:t>connection charges </w:t>
      </w:r>
      <w:r>
        <w:rPr>
          <w:sz w:val="24"/>
        </w:rPr>
        <w:t>payable by the </w:t>
      </w:r>
      <w:r>
        <w:rPr>
          <w:i/>
          <w:sz w:val="24"/>
        </w:rPr>
        <w:t>connection </w:t>
      </w:r>
      <w:r>
        <w:rPr>
          <w:i/>
          <w:sz w:val="24"/>
        </w:rPr>
        <w:t>applicant</w:t>
      </w:r>
      <w:r>
        <w:rPr>
          <w:sz w:val="24"/>
        </w:rPr>
        <w:t>.</w:t>
      </w:r>
    </w:p>
    <w:p>
      <w:pPr>
        <w:pStyle w:val="BodyText"/>
        <w:spacing w:before="10"/>
        <w:ind w:firstLine="0"/>
        <w:jc w:val="left"/>
        <w:rPr>
          <w:sz w:val="20"/>
        </w:rPr>
      </w:pPr>
    </w:p>
    <w:p>
      <w:pPr>
        <w:pStyle w:val="Heading4"/>
        <w:tabs>
          <w:tab w:pos="1351" w:val="left" w:leader="none"/>
        </w:tabs>
        <w:ind w:left="218" w:firstLine="0"/>
      </w:pPr>
      <w:bookmarkStart w:name="5A.F.2 Acceptance of connection offer" w:id="1195"/>
      <w:bookmarkEnd w:id="1195"/>
      <w:r>
        <w:rPr>
          <w:b w:val="0"/>
        </w:rPr>
      </w:r>
      <w:bookmarkStart w:name="_bookmark490" w:id="1196"/>
      <w:bookmarkEnd w:id="1196"/>
      <w:r>
        <w:rPr>
          <w:b w:val="0"/>
        </w:rPr>
      </w:r>
      <w:r>
        <w:rPr/>
        <w:t>5A.F.2</w:t>
        <w:tab/>
        <w:t>Acceptance of connection</w:t>
      </w:r>
      <w:r>
        <w:rPr>
          <w:spacing w:val="-3"/>
        </w:rPr>
        <w:t> </w:t>
      </w:r>
      <w:r>
        <w:rPr/>
        <w:t>offer</w:t>
      </w:r>
    </w:p>
    <w:p>
      <w:pPr>
        <w:pStyle w:val="ListParagraph"/>
        <w:numPr>
          <w:ilvl w:val="0"/>
          <w:numId w:val="373"/>
        </w:numPr>
        <w:tabs>
          <w:tab w:pos="1919" w:val="left" w:leader="none"/>
        </w:tabs>
        <w:spacing w:line="240" w:lineRule="auto" w:before="120" w:after="0"/>
        <w:ind w:left="1919" w:right="414" w:hanging="567"/>
        <w:jc w:val="both"/>
        <w:rPr>
          <w:sz w:val="24"/>
        </w:rPr>
      </w:pPr>
      <w:r>
        <w:rPr>
          <w:sz w:val="24"/>
        </w:rPr>
        <w:t>A </w:t>
      </w:r>
      <w:r>
        <w:rPr>
          <w:i/>
          <w:sz w:val="24"/>
        </w:rPr>
        <w:t>connection offer </w:t>
      </w:r>
      <w:r>
        <w:rPr>
          <w:sz w:val="24"/>
        </w:rPr>
        <w:t>to provide a </w:t>
      </w:r>
      <w:r>
        <w:rPr>
          <w:i/>
          <w:sz w:val="24"/>
        </w:rPr>
        <w:t>basic connection service </w:t>
      </w:r>
      <w:r>
        <w:rPr>
          <w:sz w:val="24"/>
        </w:rPr>
        <w:t>or </w:t>
      </w:r>
      <w:r>
        <w:rPr>
          <w:i/>
          <w:sz w:val="24"/>
        </w:rPr>
        <w:t>standard </w:t>
      </w:r>
      <w:r>
        <w:rPr>
          <w:i/>
          <w:sz w:val="24"/>
        </w:rPr>
        <w:t>connection service </w:t>
      </w:r>
      <w:r>
        <w:rPr>
          <w:sz w:val="24"/>
        </w:rPr>
        <w:t>remains open for acceptance for 45 </w:t>
      </w:r>
      <w:r>
        <w:rPr>
          <w:i/>
          <w:sz w:val="24"/>
        </w:rPr>
        <w:t>business days </w:t>
      </w:r>
      <w:r>
        <w:rPr>
          <w:sz w:val="24"/>
        </w:rPr>
        <w:t>from the date of the offer and, if not accepted within that period, lapses unless the period for acceptance is extended by agreement between the </w:t>
      </w:r>
      <w:r>
        <w:rPr>
          <w:i/>
          <w:sz w:val="24"/>
        </w:rPr>
        <w:t>connection </w:t>
      </w:r>
      <w:r>
        <w:rPr>
          <w:i/>
          <w:sz w:val="24"/>
        </w:rPr>
        <w:t>applicant </w:t>
      </w:r>
      <w:r>
        <w:rPr>
          <w:sz w:val="24"/>
        </w:rPr>
        <w:t>and the </w:t>
      </w:r>
      <w:r>
        <w:rPr>
          <w:i/>
          <w:sz w:val="24"/>
        </w:rPr>
        <w:t>Distribution Network Service</w:t>
      </w:r>
      <w:r>
        <w:rPr>
          <w:i/>
          <w:spacing w:val="-4"/>
          <w:sz w:val="24"/>
        </w:rPr>
        <w:t> </w:t>
      </w:r>
      <w:r>
        <w:rPr>
          <w:i/>
          <w:sz w:val="24"/>
        </w:rPr>
        <w:t>Provider</w:t>
      </w:r>
      <w:r>
        <w:rPr>
          <w:sz w:val="24"/>
        </w:rPr>
        <w:t>.</w:t>
      </w:r>
    </w:p>
    <w:p>
      <w:pPr>
        <w:pStyle w:val="ListParagraph"/>
        <w:numPr>
          <w:ilvl w:val="0"/>
          <w:numId w:val="373"/>
        </w:numPr>
        <w:tabs>
          <w:tab w:pos="1919" w:val="left" w:leader="none"/>
        </w:tabs>
        <w:spacing w:line="240" w:lineRule="auto" w:before="120" w:after="0"/>
        <w:ind w:left="1918" w:right="0" w:hanging="567"/>
        <w:jc w:val="both"/>
        <w:rPr>
          <w:sz w:val="24"/>
        </w:rPr>
      </w:pPr>
      <w:r>
        <w:rPr>
          <w:sz w:val="24"/>
        </w:rPr>
        <w:t>This</w:t>
      </w:r>
      <w:r>
        <w:rPr>
          <w:spacing w:val="12"/>
          <w:sz w:val="24"/>
        </w:rPr>
        <w:t> </w:t>
      </w:r>
      <w:r>
        <w:rPr>
          <w:sz w:val="24"/>
        </w:rPr>
        <w:t>clause</w:t>
      </w:r>
      <w:r>
        <w:rPr>
          <w:spacing w:val="13"/>
          <w:sz w:val="24"/>
        </w:rPr>
        <w:t> </w:t>
      </w:r>
      <w:r>
        <w:rPr>
          <w:sz w:val="24"/>
        </w:rPr>
        <w:t>does</w:t>
      </w:r>
      <w:r>
        <w:rPr>
          <w:spacing w:val="13"/>
          <w:sz w:val="24"/>
        </w:rPr>
        <w:t> </w:t>
      </w:r>
      <w:r>
        <w:rPr>
          <w:sz w:val="24"/>
        </w:rPr>
        <w:t>not</w:t>
      </w:r>
      <w:r>
        <w:rPr>
          <w:spacing w:val="13"/>
          <w:sz w:val="24"/>
        </w:rPr>
        <w:t> </w:t>
      </w:r>
      <w:r>
        <w:rPr>
          <w:sz w:val="24"/>
        </w:rPr>
        <w:t>apply</w:t>
      </w:r>
      <w:r>
        <w:rPr>
          <w:spacing w:val="12"/>
          <w:sz w:val="24"/>
        </w:rPr>
        <w:t> </w:t>
      </w:r>
      <w:r>
        <w:rPr>
          <w:sz w:val="24"/>
        </w:rPr>
        <w:t>if</w:t>
      </w:r>
      <w:r>
        <w:rPr>
          <w:spacing w:val="13"/>
          <w:sz w:val="24"/>
        </w:rPr>
        <w:t> </w:t>
      </w:r>
      <w:r>
        <w:rPr>
          <w:sz w:val="24"/>
        </w:rPr>
        <w:t>the</w:t>
      </w:r>
      <w:r>
        <w:rPr>
          <w:spacing w:val="13"/>
          <w:sz w:val="24"/>
        </w:rPr>
        <w:t> </w:t>
      </w:r>
      <w:r>
        <w:rPr>
          <w:i/>
          <w:sz w:val="24"/>
        </w:rPr>
        <w:t>connection</w:t>
      </w:r>
      <w:r>
        <w:rPr>
          <w:i/>
          <w:spacing w:val="13"/>
          <w:sz w:val="24"/>
        </w:rPr>
        <w:t> </w:t>
      </w:r>
      <w:r>
        <w:rPr>
          <w:i/>
          <w:sz w:val="24"/>
        </w:rPr>
        <w:t>application</w:t>
      </w:r>
      <w:r>
        <w:rPr>
          <w:i/>
          <w:spacing w:val="12"/>
          <w:sz w:val="24"/>
        </w:rPr>
        <w:t> </w:t>
      </w:r>
      <w:r>
        <w:rPr>
          <w:sz w:val="24"/>
        </w:rPr>
        <w:t>is</w:t>
      </w:r>
      <w:r>
        <w:rPr>
          <w:spacing w:val="13"/>
          <w:sz w:val="24"/>
        </w:rPr>
        <w:t> </w:t>
      </w:r>
      <w:r>
        <w:rPr>
          <w:sz w:val="24"/>
        </w:rPr>
        <w:t>for</w:t>
      </w:r>
      <w:r>
        <w:rPr>
          <w:spacing w:val="13"/>
          <w:sz w:val="24"/>
        </w:rPr>
        <w:t> </w:t>
      </w:r>
      <w:r>
        <w:rPr>
          <w:sz w:val="24"/>
        </w:rPr>
        <w:t>an</w:t>
      </w:r>
      <w:r>
        <w:rPr>
          <w:spacing w:val="13"/>
          <w:sz w:val="24"/>
        </w:rPr>
        <w:t> </w:t>
      </w:r>
      <w:r>
        <w:rPr>
          <w:sz w:val="24"/>
        </w:rPr>
        <w:t>expedited</w:t>
      </w:r>
    </w:p>
    <w:p>
      <w:pPr>
        <w:spacing w:before="0"/>
        <w:ind w:left="1919" w:right="0" w:firstLine="0"/>
        <w:jc w:val="left"/>
        <w:rPr>
          <w:sz w:val="24"/>
        </w:rPr>
      </w:pPr>
      <w:r>
        <w:rPr>
          <w:i/>
          <w:sz w:val="24"/>
        </w:rPr>
        <w:t>connection</w:t>
      </w:r>
      <w:r>
        <w:rPr>
          <w:sz w:val="24"/>
        </w:rPr>
        <w:t>.</w:t>
      </w:r>
    </w:p>
    <w:p>
      <w:pPr>
        <w:pStyle w:val="BodyText"/>
        <w:spacing w:before="10"/>
        <w:ind w:firstLine="0"/>
        <w:jc w:val="left"/>
        <w:rPr>
          <w:sz w:val="20"/>
        </w:rPr>
      </w:pPr>
    </w:p>
    <w:p>
      <w:pPr>
        <w:pStyle w:val="Heading4"/>
        <w:tabs>
          <w:tab w:pos="1351" w:val="left" w:leader="none"/>
        </w:tabs>
        <w:ind w:left="218" w:firstLine="0"/>
      </w:pPr>
      <w:bookmarkStart w:name="5A.F.3 Offer and acceptance—application " w:id="1197"/>
      <w:bookmarkEnd w:id="1197"/>
      <w:r>
        <w:rPr>
          <w:b w:val="0"/>
        </w:rPr>
      </w:r>
      <w:bookmarkStart w:name="_bookmark491" w:id="1198"/>
      <w:bookmarkEnd w:id="1198"/>
      <w:r>
        <w:rPr>
          <w:b w:val="0"/>
        </w:rPr>
      </w:r>
      <w:r>
        <w:rPr/>
        <w:t>5A.F.3</w:t>
        <w:tab/>
        <w:t>Offer and acceptance—application for expedited</w:t>
      </w:r>
      <w:r>
        <w:rPr>
          <w:spacing w:val="-8"/>
        </w:rPr>
        <w:t> </w:t>
      </w:r>
      <w:r>
        <w:rPr/>
        <w:t>connection</w:t>
      </w:r>
    </w:p>
    <w:p>
      <w:pPr>
        <w:pStyle w:val="ListParagraph"/>
        <w:numPr>
          <w:ilvl w:val="0"/>
          <w:numId w:val="374"/>
        </w:numPr>
        <w:tabs>
          <w:tab w:pos="1919" w:val="left" w:leader="none"/>
        </w:tabs>
        <w:spacing w:line="240" w:lineRule="auto" w:before="120" w:after="0"/>
        <w:ind w:left="1918" w:right="0" w:hanging="567"/>
        <w:jc w:val="both"/>
        <w:rPr>
          <w:sz w:val="24"/>
        </w:rPr>
      </w:pPr>
      <w:r>
        <w:rPr>
          <w:sz w:val="24"/>
        </w:rPr>
        <w:t>If:</w:t>
      </w:r>
    </w:p>
    <w:p>
      <w:pPr>
        <w:pStyle w:val="ListParagraph"/>
        <w:numPr>
          <w:ilvl w:val="1"/>
          <w:numId w:val="374"/>
        </w:numPr>
        <w:tabs>
          <w:tab w:pos="2486" w:val="left" w:leader="none"/>
        </w:tabs>
        <w:spacing w:line="240" w:lineRule="auto" w:before="120" w:after="0"/>
        <w:ind w:left="2485" w:right="0" w:hanging="567"/>
        <w:jc w:val="both"/>
        <w:rPr>
          <w:sz w:val="24"/>
        </w:rPr>
      </w:pPr>
      <w:r>
        <w:rPr>
          <w:sz w:val="24"/>
        </w:rPr>
        <w:t>a</w:t>
      </w:r>
      <w:r>
        <w:rPr>
          <w:spacing w:val="36"/>
          <w:sz w:val="24"/>
        </w:rPr>
        <w:t> </w:t>
      </w:r>
      <w:r>
        <w:rPr>
          <w:i/>
          <w:sz w:val="24"/>
        </w:rPr>
        <w:t>connection</w:t>
      </w:r>
      <w:r>
        <w:rPr>
          <w:i/>
          <w:spacing w:val="37"/>
          <w:sz w:val="24"/>
        </w:rPr>
        <w:t> </w:t>
      </w:r>
      <w:r>
        <w:rPr>
          <w:i/>
          <w:sz w:val="24"/>
        </w:rPr>
        <w:t>applicant</w:t>
      </w:r>
      <w:r>
        <w:rPr>
          <w:i/>
          <w:spacing w:val="37"/>
          <w:sz w:val="24"/>
        </w:rPr>
        <w:t> </w:t>
      </w:r>
      <w:r>
        <w:rPr>
          <w:sz w:val="24"/>
        </w:rPr>
        <w:t>requests</w:t>
      </w:r>
      <w:r>
        <w:rPr>
          <w:spacing w:val="36"/>
          <w:sz w:val="24"/>
        </w:rPr>
        <w:t> </w:t>
      </w:r>
      <w:r>
        <w:rPr>
          <w:sz w:val="24"/>
        </w:rPr>
        <w:t>an</w:t>
      </w:r>
      <w:r>
        <w:rPr>
          <w:spacing w:val="37"/>
          <w:sz w:val="24"/>
        </w:rPr>
        <w:t> </w:t>
      </w:r>
      <w:r>
        <w:rPr>
          <w:sz w:val="24"/>
        </w:rPr>
        <w:t>expedited</w:t>
      </w:r>
      <w:r>
        <w:rPr>
          <w:spacing w:val="37"/>
          <w:sz w:val="24"/>
        </w:rPr>
        <w:t> </w:t>
      </w:r>
      <w:r>
        <w:rPr>
          <w:i/>
          <w:sz w:val="24"/>
        </w:rPr>
        <w:t>connection</w:t>
      </w:r>
      <w:r>
        <w:rPr>
          <w:i/>
          <w:spacing w:val="37"/>
          <w:sz w:val="24"/>
        </w:rPr>
        <w:t> </w:t>
      </w:r>
      <w:r>
        <w:rPr>
          <w:sz w:val="24"/>
        </w:rPr>
        <w:t>in</w:t>
      </w:r>
      <w:r>
        <w:rPr>
          <w:spacing w:val="36"/>
          <w:sz w:val="24"/>
        </w:rPr>
        <w:t> </w:t>
      </w:r>
      <w:r>
        <w:rPr>
          <w:sz w:val="24"/>
        </w:rPr>
        <w:t>the</w:t>
      </w:r>
    </w:p>
    <w:p>
      <w:pPr>
        <w:spacing w:before="0"/>
        <w:ind w:left="2486" w:right="0" w:firstLine="0"/>
        <w:jc w:val="both"/>
        <w:rPr>
          <w:sz w:val="24"/>
        </w:rPr>
      </w:pPr>
      <w:r>
        <w:rPr>
          <w:i/>
          <w:sz w:val="24"/>
        </w:rPr>
        <w:t>connection application</w:t>
      </w:r>
      <w:r>
        <w:rPr>
          <w:sz w:val="24"/>
        </w:rPr>
        <w:t>; and</w:t>
      </w:r>
    </w:p>
    <w:p>
      <w:pPr>
        <w:pStyle w:val="ListParagraph"/>
        <w:numPr>
          <w:ilvl w:val="1"/>
          <w:numId w:val="374"/>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is satisfied that the </w:t>
      </w:r>
      <w:r>
        <w:rPr>
          <w:i/>
          <w:sz w:val="24"/>
        </w:rPr>
        <w:t>connection application </w:t>
      </w:r>
      <w:r>
        <w:rPr>
          <w:sz w:val="24"/>
        </w:rPr>
        <w:t>is for a </w:t>
      </w:r>
      <w:r>
        <w:rPr>
          <w:i/>
          <w:sz w:val="24"/>
        </w:rPr>
        <w:t>basic connection service </w:t>
      </w:r>
      <w:r>
        <w:rPr>
          <w:sz w:val="24"/>
        </w:rPr>
        <w:t>or </w:t>
      </w:r>
      <w:r>
        <w:rPr>
          <w:i/>
          <w:sz w:val="24"/>
        </w:rPr>
        <w:t>standard </w:t>
      </w:r>
      <w:r>
        <w:rPr>
          <w:i/>
          <w:sz w:val="24"/>
        </w:rPr>
        <w:t>connection service </w:t>
      </w:r>
      <w:r>
        <w:rPr>
          <w:sz w:val="24"/>
        </w:rPr>
        <w:t>that falls within the terms of the relevant </w:t>
      </w:r>
      <w:r>
        <w:rPr>
          <w:i/>
          <w:sz w:val="24"/>
        </w:rPr>
        <w:t>model </w:t>
      </w:r>
      <w:r>
        <w:rPr>
          <w:i/>
          <w:sz w:val="24"/>
        </w:rPr>
        <w:t>standing offer</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374"/>
        </w:numPr>
        <w:tabs>
          <w:tab w:pos="2486" w:val="left" w:leader="none"/>
        </w:tabs>
        <w:spacing w:line="240" w:lineRule="auto" w:before="83" w:after="0"/>
        <w:ind w:left="2486" w:right="415" w:hanging="567"/>
        <w:jc w:val="both"/>
        <w:rPr>
          <w:sz w:val="24"/>
        </w:rPr>
      </w:pPr>
      <w:r>
        <w:rPr>
          <w:sz w:val="24"/>
        </w:rPr>
        <w:t>the </w:t>
      </w:r>
      <w:r>
        <w:rPr>
          <w:i/>
          <w:sz w:val="24"/>
        </w:rPr>
        <w:t>connection applicant </w:t>
      </w:r>
      <w:r>
        <w:rPr>
          <w:sz w:val="24"/>
        </w:rPr>
        <w:t>indicates in the </w:t>
      </w:r>
      <w:r>
        <w:rPr>
          <w:i/>
          <w:sz w:val="24"/>
        </w:rPr>
        <w:t>connection application </w:t>
      </w:r>
      <w:r>
        <w:rPr>
          <w:sz w:val="24"/>
        </w:rPr>
        <w:t>that </w:t>
      </w:r>
      <w:r>
        <w:rPr>
          <w:spacing w:val="-10"/>
          <w:sz w:val="24"/>
        </w:rPr>
        <w:t>a </w:t>
      </w:r>
      <w:r>
        <w:rPr>
          <w:i/>
          <w:sz w:val="24"/>
        </w:rPr>
        <w:t>connection offer </w:t>
      </w:r>
      <w:r>
        <w:rPr>
          <w:sz w:val="24"/>
        </w:rPr>
        <w:t>in terms of the relevant </w:t>
      </w:r>
      <w:r>
        <w:rPr>
          <w:i/>
          <w:sz w:val="24"/>
        </w:rPr>
        <w:t>model standing offer </w:t>
      </w:r>
      <w:r>
        <w:rPr>
          <w:sz w:val="24"/>
        </w:rPr>
        <w:t>would be acceptable to the</w:t>
      </w:r>
      <w:r>
        <w:rPr>
          <w:spacing w:val="-1"/>
          <w:sz w:val="24"/>
        </w:rPr>
        <w:t> </w:t>
      </w:r>
      <w:r>
        <w:rPr>
          <w:sz w:val="24"/>
        </w:rPr>
        <w:t>applicant,</w:t>
      </w:r>
    </w:p>
    <w:p>
      <w:pPr>
        <w:spacing w:before="120"/>
        <w:ind w:left="1919" w:right="414" w:firstLine="0"/>
        <w:jc w:val="both"/>
        <w:rPr>
          <w:sz w:val="24"/>
        </w:rPr>
      </w:pPr>
      <w:r>
        <w:rPr>
          <w:sz w:val="24"/>
        </w:rPr>
        <w:t>the </w:t>
      </w:r>
      <w:r>
        <w:rPr>
          <w:i/>
          <w:sz w:val="24"/>
        </w:rPr>
        <w:t>Distribution Network Service Provider </w:t>
      </w:r>
      <w:r>
        <w:rPr>
          <w:sz w:val="24"/>
        </w:rPr>
        <w:t>is taken to have made, and the </w:t>
      </w:r>
      <w:r>
        <w:rPr>
          <w:i/>
          <w:sz w:val="24"/>
        </w:rPr>
        <w:t>connection </w:t>
      </w:r>
      <w:r>
        <w:rPr>
          <w:sz w:val="24"/>
        </w:rPr>
        <w:t>applicant is taken to have accepted, a </w:t>
      </w:r>
      <w:r>
        <w:rPr>
          <w:i/>
          <w:sz w:val="24"/>
        </w:rPr>
        <w:t>connection offer </w:t>
      </w:r>
      <w:r>
        <w:rPr>
          <w:sz w:val="24"/>
        </w:rPr>
        <w:t>in terms of the relevant </w:t>
      </w:r>
      <w:r>
        <w:rPr>
          <w:i/>
          <w:sz w:val="24"/>
        </w:rPr>
        <w:t>model standing offer </w:t>
      </w:r>
      <w:r>
        <w:rPr>
          <w:sz w:val="24"/>
        </w:rPr>
        <w:t>on the date the </w:t>
      </w:r>
      <w:r>
        <w:rPr>
          <w:i/>
          <w:sz w:val="24"/>
        </w:rPr>
        <w:t>Distribution Network </w:t>
      </w:r>
      <w:r>
        <w:rPr>
          <w:i/>
          <w:sz w:val="24"/>
        </w:rPr>
        <w:t>Service Provider </w:t>
      </w:r>
      <w:r>
        <w:rPr>
          <w:sz w:val="24"/>
        </w:rPr>
        <w:t>receives the</w:t>
      </w:r>
      <w:r>
        <w:rPr>
          <w:spacing w:val="-2"/>
          <w:sz w:val="24"/>
        </w:rPr>
        <w:t> </w:t>
      </w:r>
      <w:r>
        <w:rPr>
          <w:sz w:val="24"/>
        </w:rPr>
        <w:t>application.</w:t>
      </w:r>
    </w:p>
    <w:p>
      <w:pPr>
        <w:pStyle w:val="ListParagraph"/>
        <w:numPr>
          <w:ilvl w:val="0"/>
          <w:numId w:val="374"/>
        </w:numPr>
        <w:tabs>
          <w:tab w:pos="1919" w:val="left" w:leader="none"/>
        </w:tabs>
        <w:spacing w:line="240" w:lineRule="auto" w:before="120" w:after="0"/>
        <w:ind w:left="1919" w:right="414" w:hanging="567"/>
        <w:jc w:val="both"/>
        <w:rPr>
          <w:sz w:val="24"/>
        </w:rPr>
      </w:pPr>
      <w:r>
        <w:rPr>
          <w:sz w:val="24"/>
        </w:rPr>
        <w:t>If a </w:t>
      </w:r>
      <w:r>
        <w:rPr>
          <w:i/>
          <w:sz w:val="24"/>
        </w:rPr>
        <w:t>connection applicant </w:t>
      </w:r>
      <w:r>
        <w:rPr>
          <w:sz w:val="24"/>
        </w:rPr>
        <w:t>applies for an expedited </w:t>
      </w:r>
      <w:r>
        <w:rPr>
          <w:i/>
          <w:sz w:val="24"/>
        </w:rPr>
        <w:t>connection </w:t>
      </w:r>
      <w:r>
        <w:rPr>
          <w:sz w:val="24"/>
        </w:rPr>
        <w:t>but </w:t>
      </w:r>
      <w:r>
        <w:rPr>
          <w:spacing w:val="-4"/>
          <w:sz w:val="24"/>
        </w:rPr>
        <w:t>the </w:t>
      </w:r>
      <w:r>
        <w:rPr>
          <w:i/>
          <w:sz w:val="24"/>
        </w:rPr>
        <w:t>Distribution Network Service Provider </w:t>
      </w:r>
      <w:r>
        <w:rPr>
          <w:sz w:val="24"/>
        </w:rPr>
        <w:t>does not agree that an offer in terms of any </w:t>
      </w:r>
      <w:r>
        <w:rPr>
          <w:i/>
          <w:sz w:val="24"/>
        </w:rPr>
        <w:t>model standing offer </w:t>
      </w:r>
      <w:r>
        <w:rPr>
          <w:sz w:val="24"/>
        </w:rPr>
        <w:t>is appropriate, the </w:t>
      </w:r>
      <w:r>
        <w:rPr>
          <w:i/>
          <w:sz w:val="24"/>
        </w:rPr>
        <w:t>Distribution Network Service </w:t>
      </w:r>
      <w:r>
        <w:rPr>
          <w:i/>
          <w:sz w:val="24"/>
        </w:rPr>
        <w:t>Provider </w:t>
      </w:r>
      <w:r>
        <w:rPr>
          <w:sz w:val="24"/>
        </w:rPr>
        <w:t>must notify the </w:t>
      </w:r>
      <w:r>
        <w:rPr>
          <w:i/>
          <w:sz w:val="24"/>
        </w:rPr>
        <w:t>connection applicant </w:t>
      </w:r>
      <w:r>
        <w:rPr>
          <w:sz w:val="24"/>
        </w:rPr>
        <w:t>accordingly and draw </w:t>
      </w:r>
      <w:r>
        <w:rPr>
          <w:spacing w:val="-5"/>
          <w:sz w:val="24"/>
        </w:rPr>
        <w:t>the </w:t>
      </w:r>
      <w:r>
        <w:rPr>
          <w:sz w:val="24"/>
        </w:rPr>
        <w:t>applicant's attention to the provisions of these </w:t>
      </w:r>
      <w:r>
        <w:rPr>
          <w:i/>
          <w:sz w:val="24"/>
        </w:rPr>
        <w:t>Rules </w:t>
      </w:r>
      <w:r>
        <w:rPr>
          <w:sz w:val="24"/>
        </w:rPr>
        <w:t>dealing with negotiated </w:t>
      </w:r>
      <w:r>
        <w:rPr>
          <w:i/>
          <w:sz w:val="24"/>
        </w:rPr>
        <w:t>connection</w:t>
      </w:r>
      <w:r>
        <w:rPr>
          <w:sz w:val="24"/>
        </w:rPr>
        <w:t>.</w:t>
      </w:r>
    </w:p>
    <w:p>
      <w:pPr>
        <w:pStyle w:val="BodyText"/>
        <w:spacing w:before="4"/>
        <w:ind w:firstLine="0"/>
        <w:jc w:val="left"/>
        <w:rPr>
          <w:sz w:val="31"/>
        </w:rPr>
      </w:pPr>
    </w:p>
    <w:p>
      <w:pPr>
        <w:pStyle w:val="Heading2"/>
        <w:tabs>
          <w:tab w:pos="2485" w:val="left" w:leader="none"/>
        </w:tabs>
      </w:pPr>
      <w:bookmarkStart w:name="_bookmark492" w:id="1199"/>
      <w:bookmarkEnd w:id="1199"/>
      <w:r>
        <w:rPr>
          <w:b w:val="0"/>
        </w:rPr>
      </w:r>
      <w:r>
        <w:rPr/>
        <w:t>Division</w:t>
      </w:r>
      <w:r>
        <w:rPr>
          <w:spacing w:val="-4"/>
        </w:rPr>
        <w:t> </w:t>
      </w:r>
      <w:r>
        <w:rPr/>
        <w:t>2</w:t>
        <w:tab/>
        <w:t>Offer and acceptance – negotiated</w:t>
      </w:r>
      <w:r>
        <w:rPr>
          <w:spacing w:val="-6"/>
        </w:rPr>
        <w:t> </w:t>
      </w:r>
      <w:r>
        <w:rPr/>
        <w:t>connection</w:t>
      </w:r>
    </w:p>
    <w:p>
      <w:pPr>
        <w:pStyle w:val="Heading4"/>
        <w:tabs>
          <w:tab w:pos="1351" w:val="left" w:leader="none"/>
        </w:tabs>
        <w:spacing w:before="240"/>
        <w:ind w:left="218" w:firstLine="0"/>
      </w:pPr>
      <w:bookmarkStart w:name="5A.F.4 Negotiated connection offer" w:id="1200"/>
      <w:bookmarkEnd w:id="1200"/>
      <w:r>
        <w:rPr>
          <w:b w:val="0"/>
        </w:rPr>
      </w:r>
      <w:bookmarkStart w:name="_bookmark493" w:id="1201"/>
      <w:bookmarkEnd w:id="1201"/>
      <w:r>
        <w:rPr>
          <w:b w:val="0"/>
        </w:rPr>
      </w:r>
      <w:r>
        <w:rPr/>
        <w:t>5A.F.4</w:t>
        <w:tab/>
        <w:t>Negotiated connection</w:t>
      </w:r>
      <w:r>
        <w:rPr>
          <w:spacing w:val="-2"/>
        </w:rPr>
        <w:t> </w:t>
      </w:r>
      <w:r>
        <w:rPr/>
        <w:t>offer</w:t>
      </w:r>
    </w:p>
    <w:p>
      <w:pPr>
        <w:pStyle w:val="ListParagraph"/>
        <w:numPr>
          <w:ilvl w:val="0"/>
          <w:numId w:val="375"/>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use its best endeavours to make a negotiated </w:t>
      </w:r>
      <w:r>
        <w:rPr>
          <w:i/>
          <w:sz w:val="24"/>
        </w:rPr>
        <w:t>connection offer </w:t>
      </w:r>
      <w:r>
        <w:rPr>
          <w:sz w:val="24"/>
        </w:rPr>
        <w:t>to the </w:t>
      </w:r>
      <w:r>
        <w:rPr>
          <w:i/>
          <w:sz w:val="24"/>
        </w:rPr>
        <w:t>connection applicant </w:t>
      </w:r>
      <w:r>
        <w:rPr>
          <w:sz w:val="24"/>
        </w:rPr>
        <w:t>within 65 </w:t>
      </w:r>
      <w:r>
        <w:rPr>
          <w:i/>
          <w:sz w:val="24"/>
        </w:rPr>
        <w:t>business days </w:t>
      </w:r>
      <w:r>
        <w:rPr>
          <w:sz w:val="24"/>
        </w:rPr>
        <w:t>after the date of the application for </w:t>
      </w:r>
      <w:r>
        <w:rPr>
          <w:i/>
          <w:sz w:val="24"/>
        </w:rPr>
        <w:t>connection </w:t>
      </w:r>
      <w:r>
        <w:rPr>
          <w:sz w:val="24"/>
        </w:rPr>
        <w:t>(but the </w:t>
      </w:r>
      <w:r>
        <w:rPr>
          <w:i/>
          <w:sz w:val="24"/>
        </w:rPr>
        <w:t>time </w:t>
      </w:r>
      <w:r>
        <w:rPr>
          <w:sz w:val="24"/>
        </w:rPr>
        <w:t>taken by the applicant to provide information reasonably sought by</w:t>
      </w:r>
      <w:r>
        <w:rPr>
          <w:spacing w:val="22"/>
          <w:sz w:val="24"/>
        </w:rPr>
        <w:t> </w:t>
      </w:r>
      <w:r>
        <w:rPr>
          <w:sz w:val="24"/>
        </w:rPr>
        <w:t>the </w:t>
      </w:r>
      <w:r>
        <w:rPr>
          <w:i/>
          <w:sz w:val="24"/>
        </w:rPr>
        <w:t>Distribution Network Service Provider </w:t>
      </w:r>
      <w:r>
        <w:rPr>
          <w:sz w:val="24"/>
        </w:rPr>
        <w:t>under clause 5A.C.3(a)(2) will not be counted).</w:t>
      </w:r>
    </w:p>
    <w:p>
      <w:pPr>
        <w:pStyle w:val="ListParagraph"/>
        <w:numPr>
          <w:ilvl w:val="0"/>
          <w:numId w:val="375"/>
        </w:numPr>
        <w:tabs>
          <w:tab w:pos="1919" w:val="left" w:leader="none"/>
        </w:tabs>
        <w:spacing w:line="240" w:lineRule="auto" w:before="120" w:after="0"/>
        <w:ind w:left="1918" w:right="0" w:hanging="567"/>
        <w:jc w:val="both"/>
        <w:rPr>
          <w:sz w:val="24"/>
        </w:rPr>
      </w:pPr>
      <w:r>
        <w:rPr>
          <w:sz w:val="24"/>
        </w:rPr>
        <w:t>A negotiated </w:t>
      </w:r>
      <w:r>
        <w:rPr>
          <w:i/>
          <w:sz w:val="24"/>
        </w:rPr>
        <w:t>connection</w:t>
      </w:r>
      <w:r>
        <w:rPr>
          <w:i/>
          <w:spacing w:val="-1"/>
          <w:sz w:val="24"/>
        </w:rPr>
        <w:t> </w:t>
      </w:r>
      <w:r>
        <w:rPr>
          <w:i/>
          <w:sz w:val="24"/>
        </w:rPr>
        <w:t>offer</w:t>
      </w:r>
      <w:r>
        <w:rPr>
          <w:sz w:val="24"/>
        </w:rPr>
        <w:t>:</w:t>
      </w:r>
    </w:p>
    <w:p>
      <w:pPr>
        <w:pStyle w:val="ListParagraph"/>
        <w:numPr>
          <w:ilvl w:val="1"/>
          <w:numId w:val="375"/>
        </w:numPr>
        <w:tabs>
          <w:tab w:pos="2486" w:val="left" w:leader="none"/>
        </w:tabs>
        <w:spacing w:line="240" w:lineRule="auto" w:before="120" w:after="0"/>
        <w:ind w:left="2486" w:right="415" w:hanging="567"/>
        <w:jc w:val="both"/>
        <w:rPr>
          <w:sz w:val="24"/>
        </w:rPr>
      </w:pPr>
      <w:r>
        <w:rPr>
          <w:sz w:val="24"/>
        </w:rPr>
        <w:t>must be in the form of an offer to enter into a contract in specified terms;</w:t>
      </w:r>
      <w:r>
        <w:rPr>
          <w:spacing w:val="-1"/>
          <w:sz w:val="24"/>
        </w:rPr>
        <w:t> </w:t>
      </w:r>
      <w:r>
        <w:rPr>
          <w:sz w:val="24"/>
        </w:rPr>
        <w:t>and</w:t>
      </w:r>
    </w:p>
    <w:p>
      <w:pPr>
        <w:pStyle w:val="ListParagraph"/>
        <w:numPr>
          <w:ilvl w:val="1"/>
          <w:numId w:val="375"/>
        </w:numPr>
        <w:tabs>
          <w:tab w:pos="2486" w:val="left" w:leader="none"/>
        </w:tabs>
        <w:spacing w:line="240" w:lineRule="auto" w:before="120" w:after="0"/>
        <w:ind w:left="2486" w:right="416" w:hanging="567"/>
        <w:jc w:val="both"/>
        <w:rPr>
          <w:sz w:val="24"/>
        </w:rPr>
      </w:pPr>
      <w:r>
        <w:rPr>
          <w:sz w:val="24"/>
        </w:rPr>
        <w:t>must comply with the minimum requirements set out in</w:t>
      </w:r>
      <w:r>
        <w:rPr>
          <w:spacing w:val="37"/>
          <w:sz w:val="24"/>
        </w:rPr>
        <w:t> </w:t>
      </w:r>
      <w:r>
        <w:rPr>
          <w:sz w:val="24"/>
        </w:rPr>
        <w:t>Schedule 5A.1.</w:t>
      </w:r>
    </w:p>
    <w:p>
      <w:pPr>
        <w:pStyle w:val="ListParagraph"/>
        <w:numPr>
          <w:ilvl w:val="0"/>
          <w:numId w:val="375"/>
        </w:numPr>
        <w:tabs>
          <w:tab w:pos="1919" w:val="left" w:leader="none"/>
        </w:tabs>
        <w:spacing w:line="240" w:lineRule="auto" w:before="120" w:after="0"/>
        <w:ind w:left="1919" w:right="414" w:hanging="567"/>
        <w:jc w:val="both"/>
        <w:rPr>
          <w:sz w:val="24"/>
        </w:rPr>
      </w:pPr>
      <w:r>
        <w:rPr>
          <w:sz w:val="24"/>
        </w:rPr>
        <w:t>If the </w:t>
      </w:r>
      <w:r>
        <w:rPr>
          <w:i/>
          <w:sz w:val="24"/>
        </w:rPr>
        <w:t>connection applicant </w:t>
      </w:r>
      <w:r>
        <w:rPr>
          <w:sz w:val="24"/>
        </w:rPr>
        <w:t>elected to extend the negotiations to</w:t>
      </w:r>
      <w:r>
        <w:rPr>
          <w:spacing w:val="21"/>
          <w:sz w:val="24"/>
        </w:rPr>
        <w:t> </w:t>
      </w:r>
      <w:r>
        <w:rPr>
          <w:i/>
          <w:sz w:val="24"/>
        </w:rPr>
        <w:t>supply </w:t>
      </w:r>
      <w:r>
        <w:rPr>
          <w:i/>
          <w:sz w:val="24"/>
        </w:rPr>
        <w:t>services</w:t>
      </w:r>
      <w:r>
        <w:rPr>
          <w:sz w:val="24"/>
        </w:rPr>
        <w:t>, the </w:t>
      </w:r>
      <w:r>
        <w:rPr>
          <w:i/>
          <w:sz w:val="24"/>
        </w:rPr>
        <w:t>connection offer </w:t>
      </w:r>
      <w:r>
        <w:rPr>
          <w:sz w:val="24"/>
        </w:rPr>
        <w:t>must contain terms and conditions relating to the </w:t>
      </w:r>
      <w:r>
        <w:rPr>
          <w:i/>
          <w:sz w:val="24"/>
        </w:rPr>
        <w:t>supply</w:t>
      </w:r>
      <w:r>
        <w:rPr>
          <w:i/>
          <w:spacing w:val="-2"/>
          <w:sz w:val="24"/>
        </w:rPr>
        <w:t> </w:t>
      </w:r>
      <w:r>
        <w:rPr>
          <w:i/>
          <w:sz w:val="24"/>
        </w:rPr>
        <w:t>services</w:t>
      </w:r>
      <w:r>
        <w:rPr>
          <w:sz w:val="24"/>
        </w:rPr>
        <w:t>.</w:t>
      </w:r>
    </w:p>
    <w:p>
      <w:pPr>
        <w:pStyle w:val="ListParagraph"/>
        <w:numPr>
          <w:ilvl w:val="0"/>
          <w:numId w:val="375"/>
        </w:numPr>
        <w:tabs>
          <w:tab w:pos="1919" w:val="left" w:leader="none"/>
        </w:tabs>
        <w:spacing w:line="240" w:lineRule="auto" w:before="120" w:after="0"/>
        <w:ind w:left="1919" w:right="415" w:hanging="567"/>
        <w:jc w:val="both"/>
        <w:rPr>
          <w:sz w:val="24"/>
        </w:rPr>
      </w:pPr>
      <w:r>
        <w:rPr>
          <w:sz w:val="24"/>
        </w:rPr>
        <w:t>A negotiated </w:t>
      </w:r>
      <w:r>
        <w:rPr>
          <w:i/>
          <w:sz w:val="24"/>
        </w:rPr>
        <w:t>connection offer </w:t>
      </w:r>
      <w:r>
        <w:rPr>
          <w:sz w:val="24"/>
        </w:rPr>
        <w:t>must not include a </w:t>
      </w:r>
      <w:r>
        <w:rPr>
          <w:i/>
          <w:sz w:val="24"/>
        </w:rPr>
        <w:t>connection charge </w:t>
      </w:r>
      <w:r>
        <w:rPr>
          <w:sz w:val="24"/>
        </w:rPr>
        <w:t>that is inconsistent with the </w:t>
      </w:r>
      <w:r>
        <w:rPr>
          <w:i/>
          <w:sz w:val="24"/>
        </w:rPr>
        <w:t>Distribution Network Service Provider's connection </w:t>
      </w:r>
      <w:r>
        <w:rPr>
          <w:i/>
          <w:sz w:val="24"/>
        </w:rPr>
        <w:t>policy</w:t>
      </w:r>
      <w:r>
        <w:rPr>
          <w:sz w:val="24"/>
        </w:rPr>
        <w:t>.</w:t>
      </w:r>
    </w:p>
    <w:p>
      <w:pPr>
        <w:pStyle w:val="ListParagraph"/>
        <w:numPr>
          <w:ilvl w:val="0"/>
          <w:numId w:val="375"/>
        </w:numPr>
        <w:tabs>
          <w:tab w:pos="1919" w:val="left" w:leader="none"/>
        </w:tabs>
        <w:spacing w:line="240" w:lineRule="auto" w:before="120" w:after="0"/>
        <w:ind w:left="1919" w:right="414" w:hanging="567"/>
        <w:jc w:val="both"/>
        <w:rPr>
          <w:sz w:val="24"/>
        </w:rPr>
      </w:pPr>
      <w:r>
        <w:rPr>
          <w:sz w:val="24"/>
        </w:rPr>
        <w:t>A negotiated </w:t>
      </w:r>
      <w:r>
        <w:rPr>
          <w:i/>
          <w:sz w:val="24"/>
        </w:rPr>
        <w:t>connection offer </w:t>
      </w:r>
      <w:r>
        <w:rPr>
          <w:sz w:val="24"/>
        </w:rPr>
        <w:t>remains open for acceptance for 20 </w:t>
      </w:r>
      <w:r>
        <w:rPr>
          <w:i/>
          <w:sz w:val="24"/>
        </w:rPr>
        <w:t>business </w:t>
      </w:r>
      <w:r>
        <w:rPr>
          <w:i/>
          <w:sz w:val="24"/>
        </w:rPr>
        <w:t>days </w:t>
      </w:r>
      <w:r>
        <w:rPr>
          <w:sz w:val="24"/>
        </w:rPr>
        <w:t>from the date of the offer and then lapses unless the period for acceptance is extended by agreement between the </w:t>
      </w:r>
      <w:r>
        <w:rPr>
          <w:i/>
          <w:sz w:val="24"/>
        </w:rPr>
        <w:t>Distribution Network </w:t>
      </w:r>
      <w:r>
        <w:rPr>
          <w:i/>
          <w:sz w:val="24"/>
        </w:rPr>
        <w:t>Service Provider </w:t>
      </w:r>
      <w:r>
        <w:rPr>
          <w:sz w:val="24"/>
        </w:rPr>
        <w:t>and the </w:t>
      </w:r>
      <w:r>
        <w:rPr>
          <w:i/>
          <w:sz w:val="24"/>
        </w:rPr>
        <w:t>connection</w:t>
      </w:r>
      <w:r>
        <w:rPr>
          <w:i/>
          <w:spacing w:val="-2"/>
          <w:sz w:val="24"/>
        </w:rPr>
        <w:t> </w:t>
      </w:r>
      <w:r>
        <w:rPr>
          <w:i/>
          <w:sz w:val="24"/>
        </w:rPr>
        <w:t>applicant</w:t>
      </w:r>
      <w:r>
        <w:rPr>
          <w:sz w:val="24"/>
        </w:rPr>
        <w:t>.</w:t>
      </w:r>
    </w:p>
    <w:p>
      <w:pPr>
        <w:pStyle w:val="BodyText"/>
        <w:spacing w:before="3"/>
        <w:ind w:firstLine="0"/>
        <w:jc w:val="left"/>
        <w:rPr>
          <w:sz w:val="31"/>
        </w:rPr>
      </w:pPr>
    </w:p>
    <w:p>
      <w:pPr>
        <w:pStyle w:val="Heading2"/>
        <w:tabs>
          <w:tab w:pos="2485" w:val="left" w:leader="none"/>
        </w:tabs>
      </w:pPr>
      <w:bookmarkStart w:name="_bookmark494" w:id="1202"/>
      <w:bookmarkEnd w:id="1202"/>
      <w:r>
        <w:rPr>
          <w:b w:val="0"/>
        </w:rPr>
      </w:r>
      <w:r>
        <w:rPr/>
        <w:t>Division</w:t>
      </w:r>
      <w:r>
        <w:rPr>
          <w:spacing w:val="-4"/>
        </w:rPr>
        <w:t> </w:t>
      </w:r>
      <w:r>
        <w:rPr/>
        <w:t>3</w:t>
        <w:tab/>
        <w:t>Formation of contract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5A.F.5(b)(2) has no effect in this jurisdiction until the </w:t>
      </w:r>
      <w:r>
        <w:rPr>
          <w:i/>
          <w:sz w:val="20"/>
        </w:rPr>
        <w:t>National Energy Retail Law </w:t>
      </w:r>
      <w:r>
        <w:rPr>
          <w:sz w:val="20"/>
        </w:rPr>
        <w:t>is applied as a law of this jurisdiction (see regulation 5A of the </w:t>
      </w:r>
      <w:r>
        <w:rPr>
          <w:i/>
          <w:sz w:val="20"/>
        </w:rPr>
        <w:t>National Electricity (Northern </w:t>
      </w:r>
      <w:r>
        <w:rPr>
          <w:i/>
          <w:sz w:val="20"/>
        </w:rPr>
        <w:t>Territory) (National Uniform Legislation) (Modification) Regulations)</w:t>
      </w:r>
      <w:r>
        <w:rPr>
          <w:sz w:val="20"/>
        </w:rPr>
        <w:t>.</w:t>
      </w:r>
    </w:p>
    <w:p>
      <w:pPr>
        <w:spacing w:after="0"/>
        <w:jc w:val="both"/>
        <w:rPr>
          <w:sz w:val="20"/>
        </w:rPr>
        <w:sectPr>
          <w:pgSz w:w="11910" w:h="16840"/>
          <w:pgMar w:header="686" w:footer="637" w:top="1320" w:bottom="820" w:left="1200" w:right="1000"/>
        </w:sectPr>
      </w:pPr>
    </w:p>
    <w:p>
      <w:pPr>
        <w:pStyle w:val="Heading4"/>
        <w:tabs>
          <w:tab w:pos="1351" w:val="left" w:leader="none"/>
        </w:tabs>
        <w:spacing w:before="83"/>
        <w:ind w:left="218" w:firstLine="0"/>
      </w:pPr>
      <w:bookmarkStart w:name="5A.F.5 Acceptance of connection offer" w:id="1203"/>
      <w:bookmarkEnd w:id="1203"/>
      <w:r>
        <w:rPr>
          <w:b w:val="0"/>
        </w:rPr>
      </w:r>
      <w:bookmarkStart w:name="_bookmark495" w:id="1204"/>
      <w:bookmarkEnd w:id="1204"/>
      <w:r>
        <w:rPr>
          <w:b w:val="0"/>
        </w:rPr>
      </w:r>
      <w:r>
        <w:rPr/>
        <w:t>5A.F.5</w:t>
        <w:tab/>
        <w:t>Acceptance of connection</w:t>
      </w:r>
      <w:r>
        <w:rPr>
          <w:spacing w:val="-3"/>
        </w:rPr>
        <w:t> </w:t>
      </w:r>
      <w:r>
        <w:rPr/>
        <w:t>offer</w:t>
      </w:r>
    </w:p>
    <w:p>
      <w:pPr>
        <w:pStyle w:val="ListParagraph"/>
        <w:numPr>
          <w:ilvl w:val="0"/>
          <w:numId w:val="376"/>
        </w:numPr>
        <w:tabs>
          <w:tab w:pos="1919" w:val="left" w:leader="none"/>
        </w:tabs>
        <w:spacing w:line="240" w:lineRule="auto" w:before="120" w:after="0"/>
        <w:ind w:left="1919" w:right="414" w:hanging="567"/>
        <w:jc w:val="both"/>
        <w:rPr>
          <w:sz w:val="24"/>
        </w:rPr>
      </w:pPr>
      <w:r>
        <w:rPr>
          <w:sz w:val="24"/>
        </w:rPr>
        <w:t>If a </w:t>
      </w:r>
      <w:r>
        <w:rPr>
          <w:i/>
          <w:sz w:val="24"/>
        </w:rPr>
        <w:t>connection offer </w:t>
      </w:r>
      <w:r>
        <w:rPr>
          <w:sz w:val="24"/>
        </w:rPr>
        <w:t>to provide a </w:t>
      </w:r>
      <w:r>
        <w:rPr>
          <w:i/>
          <w:sz w:val="24"/>
        </w:rPr>
        <w:t>connection service </w:t>
      </w:r>
      <w:r>
        <w:rPr>
          <w:sz w:val="24"/>
        </w:rPr>
        <w:t>is accepted, the terms and conditions of the </w:t>
      </w:r>
      <w:r>
        <w:rPr>
          <w:i/>
          <w:sz w:val="24"/>
        </w:rPr>
        <w:t>connection</w:t>
      </w:r>
      <w:r>
        <w:rPr>
          <w:i/>
          <w:spacing w:val="-1"/>
          <w:sz w:val="24"/>
        </w:rPr>
        <w:t> </w:t>
      </w:r>
      <w:r>
        <w:rPr>
          <w:i/>
          <w:sz w:val="24"/>
        </w:rPr>
        <w:t>offer</w:t>
      </w:r>
      <w:r>
        <w:rPr>
          <w:sz w:val="24"/>
        </w:rPr>
        <w:t>:</w:t>
      </w:r>
    </w:p>
    <w:p>
      <w:pPr>
        <w:pStyle w:val="ListParagraph"/>
        <w:numPr>
          <w:ilvl w:val="1"/>
          <w:numId w:val="376"/>
        </w:numPr>
        <w:tabs>
          <w:tab w:pos="2486" w:val="left" w:leader="none"/>
        </w:tabs>
        <w:spacing w:line="240" w:lineRule="auto" w:before="120" w:after="0"/>
        <w:ind w:left="2486" w:right="415" w:hanging="567"/>
        <w:jc w:val="both"/>
        <w:rPr>
          <w:sz w:val="24"/>
        </w:rPr>
      </w:pPr>
      <w:r>
        <w:rPr>
          <w:sz w:val="24"/>
        </w:rPr>
        <w:t>become terms and conditions of a </w:t>
      </w:r>
      <w:r>
        <w:rPr>
          <w:i/>
          <w:sz w:val="24"/>
        </w:rPr>
        <w:t>connection contract </w:t>
      </w:r>
      <w:r>
        <w:rPr>
          <w:sz w:val="24"/>
        </w:rPr>
        <w:t>formed between the </w:t>
      </w:r>
      <w:r>
        <w:rPr>
          <w:i/>
          <w:sz w:val="24"/>
        </w:rPr>
        <w:t>Distribution Network Service Provider </w:t>
      </w:r>
      <w:r>
        <w:rPr>
          <w:sz w:val="24"/>
        </w:rPr>
        <w:t>and the </w:t>
      </w:r>
      <w:r>
        <w:rPr>
          <w:i/>
          <w:sz w:val="24"/>
        </w:rPr>
        <w:t>connection applicant</w:t>
      </w:r>
      <w:r>
        <w:rPr>
          <w:sz w:val="24"/>
        </w:rPr>
        <w:t>;</w:t>
      </w:r>
      <w:r>
        <w:rPr>
          <w:spacing w:val="-2"/>
          <w:sz w:val="24"/>
        </w:rPr>
        <w:t> </w:t>
      </w:r>
      <w:r>
        <w:rPr>
          <w:sz w:val="24"/>
        </w:rPr>
        <w:t>and</w:t>
      </w:r>
    </w:p>
    <w:p>
      <w:pPr>
        <w:pStyle w:val="ListParagraph"/>
        <w:numPr>
          <w:ilvl w:val="1"/>
          <w:numId w:val="376"/>
        </w:numPr>
        <w:tabs>
          <w:tab w:pos="2486" w:val="left" w:leader="none"/>
        </w:tabs>
        <w:spacing w:line="240" w:lineRule="auto" w:before="120" w:after="0"/>
        <w:ind w:left="2485" w:right="0" w:hanging="567"/>
        <w:jc w:val="both"/>
        <w:rPr>
          <w:sz w:val="24"/>
        </w:rPr>
      </w:pPr>
      <w:r>
        <w:rPr>
          <w:sz w:val="24"/>
        </w:rPr>
        <w:t>subject to rule 5A.F.6, are enforceable</w:t>
      </w:r>
      <w:r>
        <w:rPr>
          <w:spacing w:val="-3"/>
          <w:sz w:val="24"/>
        </w:rPr>
        <w:t> </w:t>
      </w:r>
      <w:r>
        <w:rPr>
          <w:sz w:val="24"/>
        </w:rPr>
        <w:t>accordingly.</w:t>
      </w:r>
    </w:p>
    <w:p>
      <w:pPr>
        <w:pStyle w:val="ListParagraph"/>
        <w:numPr>
          <w:ilvl w:val="0"/>
          <w:numId w:val="376"/>
        </w:numPr>
        <w:tabs>
          <w:tab w:pos="1919" w:val="left" w:leader="none"/>
        </w:tabs>
        <w:spacing w:line="240" w:lineRule="auto" w:before="120" w:after="0"/>
        <w:ind w:left="1918" w:right="0" w:hanging="567"/>
        <w:jc w:val="both"/>
        <w:rPr>
          <w:sz w:val="24"/>
        </w:rPr>
      </w:pPr>
      <w:r>
        <w:rPr>
          <w:sz w:val="24"/>
        </w:rPr>
        <w:t>The </w:t>
      </w:r>
      <w:r>
        <w:rPr>
          <w:spacing w:val="24"/>
          <w:sz w:val="24"/>
        </w:rPr>
        <w:t> </w:t>
      </w:r>
      <w:r>
        <w:rPr>
          <w:i/>
          <w:sz w:val="24"/>
        </w:rPr>
        <w:t>Distribution </w:t>
      </w:r>
      <w:r>
        <w:rPr>
          <w:i/>
          <w:spacing w:val="25"/>
          <w:sz w:val="24"/>
        </w:rPr>
        <w:t> </w:t>
      </w:r>
      <w:r>
        <w:rPr>
          <w:i/>
          <w:sz w:val="24"/>
        </w:rPr>
        <w:t>Network </w:t>
      </w:r>
      <w:r>
        <w:rPr>
          <w:i/>
          <w:spacing w:val="24"/>
          <w:sz w:val="24"/>
        </w:rPr>
        <w:t> </w:t>
      </w:r>
      <w:r>
        <w:rPr>
          <w:i/>
          <w:sz w:val="24"/>
        </w:rPr>
        <w:t>Service </w:t>
      </w:r>
      <w:r>
        <w:rPr>
          <w:i/>
          <w:spacing w:val="23"/>
          <w:sz w:val="24"/>
        </w:rPr>
        <w:t> </w:t>
      </w:r>
      <w:r>
        <w:rPr>
          <w:i/>
          <w:sz w:val="24"/>
        </w:rPr>
        <w:t>Provider </w:t>
      </w:r>
      <w:r>
        <w:rPr>
          <w:i/>
          <w:spacing w:val="24"/>
          <w:sz w:val="24"/>
        </w:rPr>
        <w:t> </w:t>
      </w:r>
      <w:r>
        <w:rPr>
          <w:sz w:val="24"/>
        </w:rPr>
        <w:t>must, </w:t>
      </w:r>
      <w:r>
        <w:rPr>
          <w:spacing w:val="24"/>
          <w:sz w:val="24"/>
        </w:rPr>
        <w:t> </w:t>
      </w:r>
      <w:r>
        <w:rPr>
          <w:sz w:val="24"/>
        </w:rPr>
        <w:t>at </w:t>
      </w:r>
      <w:r>
        <w:rPr>
          <w:spacing w:val="24"/>
          <w:sz w:val="24"/>
        </w:rPr>
        <w:t> </w:t>
      </w:r>
      <w:r>
        <w:rPr>
          <w:sz w:val="24"/>
        </w:rPr>
        <w:t>the </w:t>
      </w:r>
      <w:r>
        <w:rPr>
          <w:spacing w:val="24"/>
          <w:sz w:val="24"/>
        </w:rPr>
        <w:t> </w:t>
      </w:r>
      <w:r>
        <w:rPr>
          <w:sz w:val="24"/>
        </w:rPr>
        <w:t>request </w:t>
      </w:r>
      <w:r>
        <w:rPr>
          <w:spacing w:val="24"/>
          <w:sz w:val="24"/>
        </w:rPr>
        <w:t> </w:t>
      </w:r>
      <w:r>
        <w:rPr>
          <w:sz w:val="24"/>
        </w:rPr>
        <w:t>of </w:t>
      </w:r>
      <w:r>
        <w:rPr>
          <w:spacing w:val="24"/>
          <w:sz w:val="24"/>
        </w:rPr>
        <w:t> </w:t>
      </w:r>
      <w:r>
        <w:rPr>
          <w:sz w:val="24"/>
        </w:rPr>
        <w:t>a</w:t>
      </w:r>
    </w:p>
    <w:p>
      <w:pPr>
        <w:spacing w:before="0"/>
        <w:ind w:left="1919" w:right="0" w:firstLine="0"/>
        <w:jc w:val="both"/>
        <w:rPr>
          <w:sz w:val="24"/>
        </w:rPr>
      </w:pPr>
      <w:r>
        <w:rPr>
          <w:i/>
          <w:sz w:val="24"/>
        </w:rPr>
        <w:t>connection applicant</w:t>
      </w:r>
      <w:r>
        <w:rPr>
          <w:sz w:val="24"/>
        </w:rPr>
        <w:t>, provide a copy of:</w:t>
      </w:r>
    </w:p>
    <w:p>
      <w:pPr>
        <w:pStyle w:val="ListParagraph"/>
        <w:numPr>
          <w:ilvl w:val="1"/>
          <w:numId w:val="376"/>
        </w:numPr>
        <w:tabs>
          <w:tab w:pos="2486" w:val="left" w:leader="none"/>
        </w:tabs>
        <w:spacing w:line="240" w:lineRule="auto" w:before="120" w:after="0"/>
        <w:ind w:left="2485" w:right="0" w:hanging="567"/>
        <w:jc w:val="both"/>
        <w:rPr>
          <w:sz w:val="24"/>
        </w:rPr>
      </w:pPr>
      <w:r>
        <w:rPr>
          <w:sz w:val="24"/>
        </w:rPr>
        <w:t>the contract formed under paragraph (a);</w:t>
      </w:r>
      <w:r>
        <w:rPr>
          <w:spacing w:val="-2"/>
          <w:sz w:val="24"/>
        </w:rPr>
        <w:t> </w:t>
      </w:r>
      <w:r>
        <w:rPr>
          <w:sz w:val="24"/>
        </w:rPr>
        <w:t>or</w:t>
      </w:r>
    </w:p>
    <w:p>
      <w:pPr>
        <w:pStyle w:val="ListParagraph"/>
        <w:numPr>
          <w:ilvl w:val="1"/>
          <w:numId w:val="376"/>
        </w:numPr>
        <w:tabs>
          <w:tab w:pos="2486" w:val="left" w:leader="none"/>
        </w:tabs>
        <w:spacing w:line="240" w:lineRule="auto" w:before="120" w:after="0"/>
        <w:ind w:left="2486" w:right="416" w:hanging="567"/>
        <w:jc w:val="both"/>
        <w:rPr>
          <w:sz w:val="24"/>
        </w:rPr>
      </w:pPr>
      <w:r>
        <w:rPr>
          <w:sz w:val="24"/>
        </w:rPr>
        <w:t>if that contract has been integrated with, and forms part of, a </w:t>
      </w:r>
      <w:r>
        <w:rPr>
          <w:i/>
          <w:sz w:val="24"/>
        </w:rPr>
        <w:t>customer </w:t>
      </w:r>
      <w:r>
        <w:rPr>
          <w:i/>
          <w:sz w:val="24"/>
        </w:rPr>
        <w:t>connection </w:t>
      </w:r>
      <w:r>
        <w:rPr>
          <w:sz w:val="24"/>
        </w:rPr>
        <w:t>contract arising under the </w:t>
      </w:r>
      <w:r>
        <w:rPr>
          <w:i/>
          <w:sz w:val="24"/>
        </w:rPr>
        <w:t>NERL</w:t>
      </w:r>
      <w:r>
        <w:rPr>
          <w:sz w:val="24"/>
        </w:rPr>
        <w:t>—the integrated</w:t>
      </w:r>
      <w:r>
        <w:rPr>
          <w:spacing w:val="-4"/>
          <w:sz w:val="24"/>
        </w:rPr>
        <w:t> </w:t>
      </w:r>
      <w:r>
        <w:rPr>
          <w:sz w:val="24"/>
        </w:rPr>
        <w:t>contract.</w:t>
      </w:r>
    </w:p>
    <w:p>
      <w:pPr>
        <w:pStyle w:val="BodyText"/>
        <w:spacing w:before="4"/>
        <w:ind w:firstLine="0"/>
        <w:jc w:val="left"/>
        <w:rPr>
          <w:sz w:val="31"/>
        </w:rPr>
      </w:pPr>
    </w:p>
    <w:p>
      <w:pPr>
        <w:pStyle w:val="Heading2"/>
        <w:tabs>
          <w:tab w:pos="2485" w:val="left" w:leader="none"/>
        </w:tabs>
      </w:pPr>
      <w:bookmarkStart w:name="_bookmark496" w:id="1205"/>
      <w:bookmarkEnd w:id="1205"/>
      <w:r>
        <w:rPr>
          <w:b w:val="0"/>
        </w:rPr>
      </w:r>
      <w:r>
        <w:rPr/>
        <w:t>Division</w:t>
      </w:r>
      <w:r>
        <w:rPr>
          <w:spacing w:val="-4"/>
        </w:rPr>
        <w:t> </w:t>
      </w:r>
      <w:r>
        <w:rPr/>
        <w:t>4</w:t>
        <w:tab/>
        <w:t>Contractual</w:t>
      </w:r>
      <w:r>
        <w:rPr>
          <w:spacing w:val="-1"/>
        </w:rPr>
        <w:t> </w:t>
      </w:r>
      <w:r>
        <w:rPr/>
        <w:t>performance</w:t>
      </w:r>
    </w:p>
    <w:p>
      <w:pPr>
        <w:pStyle w:val="Heading4"/>
        <w:tabs>
          <w:tab w:pos="1351" w:val="left" w:leader="none"/>
        </w:tabs>
        <w:spacing w:before="240"/>
        <w:ind w:left="218" w:firstLine="0"/>
      </w:pPr>
      <w:bookmarkStart w:name="5A.F.6 Carrying out connection work" w:id="1206"/>
      <w:bookmarkEnd w:id="1206"/>
      <w:r>
        <w:rPr>
          <w:b w:val="0"/>
        </w:rPr>
      </w:r>
      <w:bookmarkStart w:name="_bookmark497" w:id="1207"/>
      <w:bookmarkEnd w:id="1207"/>
      <w:r>
        <w:rPr>
          <w:b w:val="0"/>
        </w:rPr>
      </w:r>
      <w:r>
        <w:rPr/>
        <w:t>5A.F.6</w:t>
        <w:tab/>
        <w:t>Carrying out connection</w:t>
      </w:r>
      <w:r>
        <w:rPr>
          <w:spacing w:val="-1"/>
        </w:rPr>
        <w:t> </w:t>
      </w:r>
      <w:r>
        <w:rPr/>
        <w:t>work</w:t>
      </w:r>
    </w:p>
    <w:p>
      <w:pPr>
        <w:pStyle w:val="ListParagraph"/>
        <w:numPr>
          <w:ilvl w:val="0"/>
          <w:numId w:val="377"/>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use its best endeavours to ensure that </w:t>
      </w:r>
      <w:r>
        <w:rPr>
          <w:i/>
          <w:sz w:val="24"/>
        </w:rPr>
        <w:t>connection </w:t>
      </w:r>
      <w:r>
        <w:rPr>
          <w:sz w:val="24"/>
        </w:rPr>
        <w:t>work is carried out within the applicable </w:t>
      </w:r>
      <w:r>
        <w:rPr>
          <w:i/>
          <w:sz w:val="24"/>
        </w:rPr>
        <w:t>time </w:t>
      </w:r>
      <w:r>
        <w:rPr>
          <w:sz w:val="24"/>
        </w:rPr>
        <w:t>limits fixed by the relevant provisions of the </w:t>
      </w:r>
      <w:r>
        <w:rPr>
          <w:i/>
          <w:sz w:val="24"/>
        </w:rPr>
        <w:t>connection</w:t>
      </w:r>
      <w:r>
        <w:rPr>
          <w:i/>
          <w:spacing w:val="-2"/>
          <w:sz w:val="24"/>
        </w:rPr>
        <w:t> </w:t>
      </w:r>
      <w:r>
        <w:rPr>
          <w:i/>
          <w:sz w:val="24"/>
        </w:rPr>
        <w:t>contract</w:t>
      </w:r>
      <w:r>
        <w:rPr>
          <w:sz w:val="24"/>
        </w:rPr>
        <w:t>.</w:t>
      </w:r>
    </w:p>
    <w:p>
      <w:pPr>
        <w:pStyle w:val="ListParagraph"/>
        <w:numPr>
          <w:ilvl w:val="0"/>
          <w:numId w:val="377"/>
        </w:numPr>
        <w:tabs>
          <w:tab w:pos="1919" w:val="left" w:leader="none"/>
        </w:tabs>
        <w:spacing w:line="240" w:lineRule="auto" w:before="120" w:after="0"/>
        <w:ind w:left="1919" w:right="415" w:hanging="567"/>
        <w:jc w:val="both"/>
        <w:rPr>
          <w:sz w:val="24"/>
        </w:rPr>
      </w:pPr>
      <w:r>
        <w:rPr>
          <w:sz w:val="24"/>
        </w:rPr>
        <w:t>However, a </w:t>
      </w:r>
      <w:r>
        <w:rPr>
          <w:i/>
          <w:sz w:val="24"/>
        </w:rPr>
        <w:t>Distribution Network Service Provider </w:t>
      </w:r>
      <w:r>
        <w:rPr>
          <w:sz w:val="24"/>
        </w:rPr>
        <w:t>is not obliged to commence or continue with </w:t>
      </w:r>
      <w:r>
        <w:rPr>
          <w:i/>
          <w:sz w:val="24"/>
        </w:rPr>
        <w:t>connection </w:t>
      </w:r>
      <w:r>
        <w:rPr>
          <w:sz w:val="24"/>
        </w:rPr>
        <w:t>work if the </w:t>
      </w:r>
      <w:r>
        <w:rPr>
          <w:i/>
          <w:sz w:val="24"/>
        </w:rPr>
        <w:t>connection applicant </w:t>
      </w:r>
      <w:r>
        <w:rPr>
          <w:sz w:val="24"/>
        </w:rPr>
        <w:t>fails to comply with conditions that are to be complied with by the </w:t>
      </w:r>
      <w:r>
        <w:rPr>
          <w:i/>
          <w:sz w:val="24"/>
        </w:rPr>
        <w:t>connection</w:t>
      </w:r>
      <w:r>
        <w:rPr>
          <w:i/>
          <w:spacing w:val="-1"/>
          <w:sz w:val="24"/>
        </w:rPr>
        <w:t> </w:t>
      </w:r>
      <w:r>
        <w:rPr>
          <w:i/>
          <w:sz w:val="24"/>
        </w:rPr>
        <w:t>applicant</w:t>
      </w:r>
      <w:r>
        <w:rPr>
          <w:sz w:val="24"/>
        </w:rPr>
        <w:t>.</w:t>
      </w:r>
    </w:p>
    <w:p>
      <w:pPr>
        <w:spacing w:before="120"/>
        <w:ind w:left="1919" w:right="0" w:firstLine="0"/>
        <w:jc w:val="left"/>
        <w:rPr>
          <w:rFonts w:ascii="Arial"/>
          <w:b/>
          <w:sz w:val="20"/>
        </w:rPr>
      </w:pPr>
      <w:r>
        <w:rPr>
          <w:rFonts w:ascii="Arial"/>
          <w:b/>
          <w:sz w:val="20"/>
        </w:rPr>
        <w:t>Examples</w:t>
      </w:r>
    </w:p>
    <w:p>
      <w:pPr>
        <w:spacing w:before="120"/>
        <w:ind w:left="1919" w:right="0" w:firstLine="0"/>
        <w:jc w:val="both"/>
        <w:rPr>
          <w:sz w:val="20"/>
        </w:rPr>
      </w:pPr>
      <w:r>
        <w:rPr>
          <w:sz w:val="20"/>
        </w:rPr>
        <w:t>The </w:t>
      </w:r>
      <w:r>
        <w:rPr>
          <w:i/>
          <w:sz w:val="20"/>
        </w:rPr>
        <w:t>connection applicant </w:t>
      </w:r>
      <w:r>
        <w:rPr>
          <w:sz w:val="20"/>
        </w:rPr>
        <w:t>fails to pay </w:t>
      </w:r>
      <w:r>
        <w:rPr>
          <w:i/>
          <w:sz w:val="20"/>
        </w:rPr>
        <w:t>connection charges</w:t>
      </w:r>
      <w:r>
        <w:rPr>
          <w:sz w:val="20"/>
        </w:rPr>
        <w:t>.</w:t>
      </w:r>
    </w:p>
    <w:p>
      <w:pPr>
        <w:spacing w:before="120"/>
        <w:ind w:left="1919" w:right="0" w:firstLine="0"/>
        <w:jc w:val="both"/>
        <w:rPr>
          <w:sz w:val="20"/>
        </w:rPr>
      </w:pPr>
      <w:r>
        <w:rPr>
          <w:sz w:val="20"/>
        </w:rPr>
        <w:t>The </w:t>
      </w:r>
      <w:r>
        <w:rPr>
          <w:i/>
          <w:sz w:val="20"/>
        </w:rPr>
        <w:t>connection applicant </w:t>
      </w:r>
      <w:r>
        <w:rPr>
          <w:sz w:val="20"/>
        </w:rPr>
        <w:t>fails to comply with technical or safety requirements.</w:t>
      </w:r>
    </w:p>
    <w:p>
      <w:pPr>
        <w:spacing w:before="120"/>
        <w:ind w:left="1919" w:right="415" w:firstLine="0"/>
        <w:jc w:val="both"/>
        <w:rPr>
          <w:sz w:val="20"/>
        </w:rPr>
      </w:pPr>
      <w:r>
        <w:rPr>
          <w:sz w:val="20"/>
        </w:rPr>
        <w:t>The </w:t>
      </w:r>
      <w:r>
        <w:rPr>
          <w:i/>
          <w:sz w:val="20"/>
        </w:rPr>
        <w:t>connection applicant </w:t>
      </w:r>
      <w:r>
        <w:rPr>
          <w:sz w:val="20"/>
        </w:rPr>
        <w:t>fails to complete work that is to be carried out on the </w:t>
      </w:r>
      <w:r>
        <w:rPr>
          <w:i/>
          <w:sz w:val="20"/>
        </w:rPr>
        <w:t>connection </w:t>
      </w:r>
      <w:r>
        <w:rPr>
          <w:i/>
          <w:sz w:val="20"/>
        </w:rPr>
        <w:t>applicant's </w:t>
      </w:r>
      <w:r>
        <w:rPr>
          <w:sz w:val="20"/>
        </w:rPr>
        <w:t>premises.</w:t>
      </w:r>
    </w:p>
    <w:p>
      <w:pPr>
        <w:spacing w:before="120"/>
        <w:ind w:left="1919" w:right="416" w:firstLine="0"/>
        <w:jc w:val="both"/>
        <w:rPr>
          <w:sz w:val="20"/>
        </w:rPr>
      </w:pPr>
      <w:r>
        <w:rPr>
          <w:sz w:val="20"/>
        </w:rPr>
        <w:t>The </w:t>
      </w:r>
      <w:r>
        <w:rPr>
          <w:i/>
          <w:sz w:val="20"/>
        </w:rPr>
        <w:t>connection applicant </w:t>
      </w:r>
      <w:r>
        <w:rPr>
          <w:sz w:val="20"/>
        </w:rPr>
        <w:t>fails to comply with the </w:t>
      </w:r>
      <w:r>
        <w:rPr>
          <w:i/>
          <w:sz w:val="20"/>
        </w:rPr>
        <w:t>Distribution Network Service Provider's </w:t>
      </w:r>
      <w:r>
        <w:rPr>
          <w:sz w:val="20"/>
        </w:rPr>
        <w:t>reasonable request to allow the </w:t>
      </w:r>
      <w:r>
        <w:rPr>
          <w:i/>
          <w:sz w:val="20"/>
        </w:rPr>
        <w:t>Distribution Network Service Provider </w:t>
      </w:r>
      <w:r>
        <w:rPr>
          <w:sz w:val="20"/>
        </w:rPr>
        <w:t>safe and unhindered access to the applicant's premises.</w:t>
      </w:r>
    </w:p>
    <w:p>
      <w:pPr>
        <w:pStyle w:val="BodyText"/>
        <w:spacing w:before="10"/>
        <w:ind w:firstLine="0"/>
        <w:jc w:val="left"/>
        <w:rPr>
          <w:sz w:val="20"/>
        </w:rPr>
      </w:pPr>
    </w:p>
    <w:p>
      <w:pPr>
        <w:pStyle w:val="Heading4"/>
        <w:tabs>
          <w:tab w:pos="1351" w:val="left" w:leader="none"/>
        </w:tabs>
        <w:ind w:left="218" w:firstLine="0"/>
      </w:pPr>
      <w:bookmarkStart w:name="5A.F.7 Retailer required for energisatio" w:id="1208"/>
      <w:bookmarkEnd w:id="1208"/>
      <w:r>
        <w:rPr>
          <w:b w:val="0"/>
        </w:rPr>
      </w:r>
      <w:bookmarkStart w:name="_bookmark498" w:id="1209"/>
      <w:bookmarkEnd w:id="1209"/>
      <w:r>
        <w:rPr>
          <w:b w:val="0"/>
        </w:rPr>
      </w:r>
      <w:r>
        <w:rPr/>
        <w:t>5A.F.7</w:t>
        <w:tab/>
        <w:t>Retailer required for energisation where new</w:t>
      </w:r>
      <w:r>
        <w:rPr>
          <w:spacing w:val="-10"/>
        </w:rPr>
        <w:t> </w:t>
      </w:r>
      <w:r>
        <w:rPr/>
        <w:t>connection</w:t>
      </w:r>
    </w:p>
    <w:p>
      <w:pPr>
        <w:spacing w:before="120"/>
        <w:ind w:left="1352" w:right="415" w:firstLine="0"/>
        <w:jc w:val="both"/>
        <w:rPr>
          <w:sz w:val="24"/>
        </w:rPr>
      </w:pPr>
      <w:r>
        <w:rPr>
          <w:sz w:val="24"/>
        </w:rPr>
        <w:t>A </w:t>
      </w:r>
      <w:r>
        <w:rPr>
          <w:i/>
          <w:sz w:val="24"/>
        </w:rPr>
        <w:t>Distribution Network Service Provider </w:t>
      </w:r>
      <w:r>
        <w:rPr>
          <w:sz w:val="24"/>
        </w:rPr>
        <w:t>is not required to </w:t>
      </w:r>
      <w:r>
        <w:rPr>
          <w:i/>
          <w:sz w:val="24"/>
        </w:rPr>
        <w:t>energise </w:t>
      </w:r>
      <w:r>
        <w:rPr>
          <w:sz w:val="24"/>
        </w:rPr>
        <w:t>a </w:t>
      </w:r>
      <w:r>
        <w:rPr>
          <w:i/>
          <w:sz w:val="24"/>
        </w:rPr>
        <w:t>new </w:t>
      </w:r>
      <w:r>
        <w:rPr>
          <w:i/>
          <w:sz w:val="24"/>
        </w:rPr>
        <w:t>connection </w:t>
      </w:r>
      <w:r>
        <w:rPr>
          <w:sz w:val="24"/>
        </w:rPr>
        <w:t>unless a request to </w:t>
      </w:r>
      <w:r>
        <w:rPr>
          <w:i/>
          <w:sz w:val="24"/>
        </w:rPr>
        <w:t>energise </w:t>
      </w:r>
      <w:r>
        <w:rPr>
          <w:sz w:val="24"/>
        </w:rPr>
        <w:t>the </w:t>
      </w:r>
      <w:r>
        <w:rPr>
          <w:i/>
          <w:sz w:val="24"/>
        </w:rPr>
        <w:t>new connection </w:t>
      </w:r>
      <w:r>
        <w:rPr>
          <w:sz w:val="24"/>
        </w:rPr>
        <w:t>is submitted by a </w:t>
      </w:r>
      <w:r>
        <w:rPr>
          <w:i/>
          <w:sz w:val="24"/>
        </w:rPr>
        <w:t>retailer</w:t>
      </w:r>
      <w:r>
        <w:rPr>
          <w:sz w:val="24"/>
        </w:rPr>
        <w:t>, or the </w:t>
      </w:r>
      <w:r>
        <w:rPr>
          <w:i/>
          <w:sz w:val="24"/>
        </w:rPr>
        <w:t>Distribution Network Service Provider </w:t>
      </w:r>
      <w:r>
        <w:rPr>
          <w:sz w:val="24"/>
        </w:rPr>
        <w:t>is otherwise satisfied that there is a relevant contract with a </w:t>
      </w:r>
      <w:r>
        <w:rPr>
          <w:i/>
          <w:sz w:val="24"/>
        </w:rPr>
        <w:t>retailer </w:t>
      </w:r>
      <w:r>
        <w:rPr>
          <w:sz w:val="24"/>
        </w:rPr>
        <w:t>in relation to the premises.</w:t>
      </w:r>
    </w:p>
    <w:p>
      <w:pPr>
        <w:pStyle w:val="BodyText"/>
        <w:spacing w:before="9"/>
        <w:ind w:firstLine="0"/>
        <w:jc w:val="left"/>
        <w:rPr>
          <w:sz w:val="18"/>
        </w:rPr>
      </w:pPr>
      <w:r>
        <w:rPr/>
        <w:pict>
          <v:shape style="position:absolute;margin-left:69.450005pt;margin-top:12.00468pt;width:456.45pt;height:32.2pt;mso-position-horizontal-relative:page;mso-position-vertical-relative:paragraph;z-index:-251625472;mso-wrap-distance-left:0;mso-wrap-distance-right:0" type="#_x0000_t202" filled="true" fillcolor="#d9d9d9" stroked="false">
            <v:textbox inset="0,0,0,0">
              <w:txbxContent>
                <w:p>
                  <w:pPr>
                    <w:tabs>
                      <w:tab w:pos="1163" w:val="left" w:leader="none"/>
                    </w:tabs>
                    <w:spacing w:before="0"/>
                    <w:ind w:left="1163" w:right="404" w:hanging="1134"/>
                    <w:jc w:val="left"/>
                    <w:rPr>
                      <w:rFonts w:ascii="Arial"/>
                      <w:b/>
                      <w:sz w:val="28"/>
                    </w:rPr>
                  </w:pPr>
                  <w:bookmarkStart w:name="Part G Dispute resolution between Distri" w:id="1210"/>
                  <w:bookmarkEnd w:id="1210"/>
                  <w:r>
                    <w:rPr/>
                  </w:r>
                  <w:bookmarkStart w:name="_bookmark499" w:id="1211"/>
                  <w:bookmarkEnd w:id="1211"/>
                  <w:r>
                    <w:rPr/>
                  </w:r>
                  <w:r>
                    <w:rPr>
                      <w:rFonts w:ascii="Arial"/>
                      <w:b/>
                      <w:sz w:val="28"/>
                    </w:rPr>
                    <w:t>Part G</w:t>
                    <w:tab/>
                    <w:t>Dispute resolution between Distribution Network</w:t>
                  </w:r>
                  <w:r>
                    <w:rPr>
                      <w:rFonts w:ascii="Arial"/>
                      <w:b/>
                      <w:spacing w:val="-34"/>
                      <w:sz w:val="28"/>
                    </w:rPr>
                    <w:t> </w:t>
                  </w:r>
                  <w:r>
                    <w:rPr>
                      <w:rFonts w:ascii="Arial"/>
                      <w:b/>
                      <w:sz w:val="28"/>
                    </w:rPr>
                    <w:t>Service Providers and</w:t>
                  </w:r>
                  <w:r>
                    <w:rPr>
                      <w:rFonts w:ascii="Arial"/>
                      <w:b/>
                      <w:spacing w:val="-2"/>
                      <w:sz w:val="28"/>
                    </w:rPr>
                    <w:t> </w:t>
                  </w:r>
                  <w:r>
                    <w:rPr>
                      <w:rFonts w:ascii="Arial"/>
                      <w:b/>
                      <w:sz w:val="28"/>
                    </w:rPr>
                    <w:t>customers</w:t>
                  </w:r>
                </w:p>
              </w:txbxContent>
            </v:textbox>
            <v:fill type="solid"/>
            <w10:wrap type="topAndBottom"/>
          </v:shape>
        </w:pict>
      </w:r>
    </w:p>
    <w:p>
      <w:pPr>
        <w:pStyle w:val="BodyText"/>
        <w:spacing w:before="6"/>
        <w:ind w:firstLine="0"/>
        <w:jc w:val="left"/>
        <w:rPr>
          <w:sz w:val="11"/>
        </w:rPr>
      </w:pPr>
    </w:p>
    <w:p>
      <w:pPr>
        <w:pStyle w:val="Heading4"/>
        <w:tabs>
          <w:tab w:pos="1351" w:val="left" w:leader="none"/>
        </w:tabs>
        <w:spacing w:before="92"/>
        <w:ind w:left="218" w:firstLine="0"/>
      </w:pPr>
      <w:bookmarkStart w:name=" " w:id="1212"/>
      <w:bookmarkEnd w:id="1212"/>
      <w:r>
        <w:rPr>
          <w:b w:val="0"/>
        </w:rPr>
      </w:r>
      <w:bookmarkStart w:name="5A.G.1 Relevant disputes" w:id="1213"/>
      <w:bookmarkEnd w:id="1213"/>
      <w:r>
        <w:rPr>
          <w:b w:val="0"/>
        </w:rPr>
      </w:r>
      <w:bookmarkStart w:name="_bookmark500" w:id="1214"/>
      <w:bookmarkEnd w:id="1214"/>
      <w:r>
        <w:rPr>
          <w:b w:val="0"/>
        </w:rPr>
      </w:r>
      <w:r>
        <w:rPr/>
        <w:t>5A.G.1</w:t>
        <w:tab/>
        <w:t>Relevant</w:t>
      </w:r>
      <w:r>
        <w:rPr>
          <w:spacing w:val="-1"/>
        </w:rPr>
        <w:t> </w:t>
      </w:r>
      <w:r>
        <w:rPr/>
        <w:t>disputes</w:t>
      </w:r>
    </w:p>
    <w:p>
      <w:pPr>
        <w:pStyle w:val="ListParagraph"/>
        <w:numPr>
          <w:ilvl w:val="0"/>
          <w:numId w:val="378"/>
        </w:numPr>
        <w:tabs>
          <w:tab w:pos="1918" w:val="left" w:leader="none"/>
          <w:tab w:pos="1919" w:val="left" w:leader="none"/>
        </w:tabs>
        <w:spacing w:line="240" w:lineRule="auto" w:before="120" w:after="0"/>
        <w:ind w:left="1918" w:right="0" w:hanging="567"/>
        <w:jc w:val="left"/>
        <w:rPr>
          <w:sz w:val="24"/>
        </w:rPr>
      </w:pPr>
      <w:r>
        <w:rPr>
          <w:sz w:val="24"/>
        </w:rPr>
        <w:t>In this</w:t>
      </w:r>
      <w:r>
        <w:rPr>
          <w:spacing w:val="-1"/>
          <w:sz w:val="24"/>
        </w:rPr>
        <w:t> </w:t>
      </w:r>
      <w:r>
        <w:rPr>
          <w:sz w:val="24"/>
        </w:rPr>
        <w:t>Part:</w:t>
      </w:r>
    </w:p>
    <w:p>
      <w:pPr>
        <w:spacing w:before="120"/>
        <w:ind w:left="1919" w:right="0" w:firstLine="0"/>
        <w:jc w:val="left"/>
        <w:rPr>
          <w:sz w:val="24"/>
        </w:rPr>
      </w:pPr>
      <w:r>
        <w:rPr>
          <w:b/>
          <w:sz w:val="24"/>
        </w:rPr>
        <w:t>customer </w:t>
      </w:r>
      <w:r>
        <w:rPr>
          <w:sz w:val="24"/>
        </w:rPr>
        <w:t>means:</w:t>
      </w:r>
    </w:p>
    <w:p>
      <w:pPr>
        <w:spacing w:after="0"/>
        <w:jc w:val="left"/>
        <w:rPr>
          <w:sz w:val="24"/>
        </w:rPr>
        <w:sectPr>
          <w:pgSz w:w="11910" w:h="16840"/>
          <w:pgMar w:header="686" w:footer="637" w:top="1320" w:bottom="820" w:left="1200" w:right="1000"/>
        </w:sectPr>
      </w:pPr>
    </w:p>
    <w:p>
      <w:pPr>
        <w:pStyle w:val="ListParagraph"/>
        <w:numPr>
          <w:ilvl w:val="1"/>
          <w:numId w:val="378"/>
        </w:numPr>
        <w:tabs>
          <w:tab w:pos="2485" w:val="left" w:leader="none"/>
          <w:tab w:pos="2486" w:val="left" w:leader="none"/>
        </w:tabs>
        <w:spacing w:line="240" w:lineRule="auto" w:before="83" w:after="0"/>
        <w:ind w:left="2485" w:right="0" w:hanging="567"/>
        <w:jc w:val="left"/>
        <w:rPr>
          <w:sz w:val="24"/>
        </w:rPr>
      </w:pPr>
      <w:r>
        <w:rPr>
          <w:sz w:val="24"/>
        </w:rPr>
        <w:t>a </w:t>
      </w:r>
      <w:r>
        <w:rPr>
          <w:i/>
          <w:sz w:val="24"/>
        </w:rPr>
        <w:t>retail customer</w:t>
      </w:r>
      <w:r>
        <w:rPr>
          <w:sz w:val="24"/>
        </w:rPr>
        <w:t>;</w:t>
      </w:r>
      <w:r>
        <w:rPr>
          <w:spacing w:val="-2"/>
          <w:sz w:val="24"/>
        </w:rPr>
        <w:t> </w:t>
      </w:r>
      <w:r>
        <w:rPr>
          <w:sz w:val="24"/>
        </w:rPr>
        <w:t>or</w:t>
      </w:r>
    </w:p>
    <w:p>
      <w:pPr>
        <w:pStyle w:val="ListParagraph"/>
        <w:numPr>
          <w:ilvl w:val="1"/>
          <w:numId w:val="378"/>
        </w:numPr>
        <w:tabs>
          <w:tab w:pos="2485" w:val="left" w:leader="none"/>
          <w:tab w:pos="2486" w:val="left" w:leader="none"/>
        </w:tabs>
        <w:spacing w:line="240" w:lineRule="auto" w:before="120" w:after="0"/>
        <w:ind w:left="2485" w:right="0" w:hanging="567"/>
        <w:jc w:val="left"/>
        <w:rPr>
          <w:sz w:val="24"/>
        </w:rPr>
      </w:pPr>
      <w:r>
        <w:rPr>
          <w:sz w:val="24"/>
        </w:rPr>
        <w:t>a </w:t>
      </w:r>
      <w:r>
        <w:rPr>
          <w:i/>
          <w:sz w:val="24"/>
        </w:rPr>
        <w:t>real estate</w:t>
      </w:r>
      <w:r>
        <w:rPr>
          <w:i/>
          <w:spacing w:val="-2"/>
          <w:sz w:val="24"/>
        </w:rPr>
        <w:t> </w:t>
      </w:r>
      <w:r>
        <w:rPr>
          <w:i/>
          <w:sz w:val="24"/>
        </w:rPr>
        <w:t>developer</w:t>
      </w:r>
      <w:r>
        <w:rPr>
          <w:sz w:val="24"/>
        </w:rPr>
        <w:t>.</w:t>
      </w:r>
    </w:p>
    <w:p>
      <w:pPr>
        <w:spacing w:before="120"/>
        <w:ind w:left="1919" w:right="0" w:firstLine="0"/>
        <w:jc w:val="left"/>
        <w:rPr>
          <w:sz w:val="24"/>
        </w:rPr>
      </w:pPr>
      <w:r>
        <w:rPr>
          <w:b/>
          <w:sz w:val="24"/>
        </w:rPr>
        <w:t>relevant dispute </w:t>
      </w:r>
      <w:r>
        <w:rPr>
          <w:sz w:val="24"/>
        </w:rPr>
        <w:t>means:</w:t>
      </w:r>
    </w:p>
    <w:p>
      <w:pPr>
        <w:pStyle w:val="ListParagraph"/>
        <w:numPr>
          <w:ilvl w:val="0"/>
          <w:numId w:val="379"/>
        </w:numPr>
        <w:tabs>
          <w:tab w:pos="2485" w:val="left" w:leader="none"/>
          <w:tab w:pos="2486" w:val="left" w:leader="none"/>
        </w:tabs>
        <w:spacing w:line="240" w:lineRule="auto" w:before="120" w:after="0"/>
        <w:ind w:left="2486" w:right="415" w:hanging="567"/>
        <w:jc w:val="left"/>
        <w:rPr>
          <w:sz w:val="24"/>
        </w:rPr>
      </w:pPr>
      <w:r>
        <w:rPr>
          <w:sz w:val="24"/>
        </w:rPr>
        <w:t>a dispute between a </w:t>
      </w:r>
      <w:r>
        <w:rPr>
          <w:i/>
          <w:sz w:val="24"/>
        </w:rPr>
        <w:t>Distribution Network Service Provider </w:t>
      </w:r>
      <w:r>
        <w:rPr>
          <w:sz w:val="24"/>
        </w:rPr>
        <w:t>and a customer</w:t>
      </w:r>
      <w:r>
        <w:rPr>
          <w:spacing w:val="-1"/>
          <w:sz w:val="24"/>
        </w:rPr>
        <w:t> </w:t>
      </w:r>
      <w:r>
        <w:rPr>
          <w:sz w:val="24"/>
        </w:rPr>
        <w:t>about:</w:t>
      </w:r>
    </w:p>
    <w:p>
      <w:pPr>
        <w:pStyle w:val="ListParagraph"/>
        <w:numPr>
          <w:ilvl w:val="1"/>
          <w:numId w:val="379"/>
        </w:numPr>
        <w:tabs>
          <w:tab w:pos="3052" w:val="left" w:leader="none"/>
          <w:tab w:pos="3053" w:val="left" w:leader="none"/>
        </w:tabs>
        <w:spacing w:line="240" w:lineRule="auto" w:before="120" w:after="0"/>
        <w:ind w:left="3053" w:right="415" w:hanging="567"/>
        <w:jc w:val="left"/>
        <w:rPr>
          <w:sz w:val="24"/>
        </w:rPr>
      </w:pPr>
      <w:r>
        <w:rPr>
          <w:sz w:val="24"/>
        </w:rPr>
        <w:t>the terms and conditions on which a </w:t>
      </w:r>
      <w:r>
        <w:rPr>
          <w:i/>
          <w:sz w:val="24"/>
        </w:rPr>
        <w:t>basic connection service </w:t>
      </w:r>
      <w:r>
        <w:rPr>
          <w:sz w:val="24"/>
        </w:rPr>
        <w:t>or a </w:t>
      </w:r>
      <w:r>
        <w:rPr>
          <w:i/>
          <w:sz w:val="24"/>
        </w:rPr>
        <w:t>standard connection service </w:t>
      </w:r>
      <w:r>
        <w:rPr>
          <w:sz w:val="24"/>
        </w:rPr>
        <w:t>is to be provided;</w:t>
      </w:r>
      <w:r>
        <w:rPr>
          <w:spacing w:val="-7"/>
          <w:sz w:val="24"/>
        </w:rPr>
        <w:t> </w:t>
      </w:r>
      <w:r>
        <w:rPr>
          <w:sz w:val="24"/>
        </w:rPr>
        <w:t>or</w:t>
      </w:r>
    </w:p>
    <w:p>
      <w:pPr>
        <w:pStyle w:val="ListParagraph"/>
        <w:numPr>
          <w:ilvl w:val="1"/>
          <w:numId w:val="379"/>
        </w:numPr>
        <w:tabs>
          <w:tab w:pos="3052" w:val="left" w:leader="none"/>
          <w:tab w:pos="3054" w:val="left" w:leader="none"/>
        </w:tabs>
        <w:spacing w:line="240" w:lineRule="auto" w:before="120" w:after="0"/>
        <w:ind w:left="3053" w:right="0" w:hanging="568"/>
        <w:jc w:val="left"/>
        <w:rPr>
          <w:sz w:val="24"/>
        </w:rPr>
      </w:pPr>
      <w:r>
        <w:rPr>
          <w:sz w:val="24"/>
        </w:rPr>
        <w:t>the  proposed  or  actual  terms  and  conditions  of  a </w:t>
      </w:r>
      <w:r>
        <w:rPr>
          <w:spacing w:val="14"/>
          <w:sz w:val="24"/>
        </w:rPr>
        <w:t> </w:t>
      </w:r>
      <w:r>
        <w:rPr>
          <w:sz w:val="24"/>
        </w:rPr>
        <w:t>negotiated</w:t>
      </w:r>
    </w:p>
    <w:p>
      <w:pPr>
        <w:spacing w:before="0"/>
        <w:ind w:left="3053" w:right="0" w:firstLine="0"/>
        <w:jc w:val="left"/>
        <w:rPr>
          <w:sz w:val="24"/>
        </w:rPr>
      </w:pPr>
      <w:r>
        <w:rPr>
          <w:i/>
          <w:sz w:val="24"/>
        </w:rPr>
        <w:t>connection contract</w:t>
      </w:r>
      <w:r>
        <w:rPr>
          <w:sz w:val="24"/>
        </w:rPr>
        <w:t>; or</w:t>
      </w:r>
    </w:p>
    <w:p>
      <w:pPr>
        <w:pStyle w:val="ListParagraph"/>
        <w:numPr>
          <w:ilvl w:val="0"/>
          <w:numId w:val="379"/>
        </w:numPr>
        <w:tabs>
          <w:tab w:pos="2485" w:val="left" w:leader="none"/>
          <w:tab w:pos="2486" w:val="left" w:leader="none"/>
        </w:tabs>
        <w:spacing w:line="240" w:lineRule="auto" w:before="120" w:after="0"/>
        <w:ind w:left="2486" w:right="415" w:hanging="567"/>
        <w:jc w:val="left"/>
        <w:rPr>
          <w:sz w:val="24"/>
        </w:rPr>
      </w:pPr>
      <w:r>
        <w:rPr>
          <w:sz w:val="24"/>
        </w:rPr>
        <w:t>a dispute between a </w:t>
      </w:r>
      <w:r>
        <w:rPr>
          <w:i/>
          <w:sz w:val="24"/>
        </w:rPr>
        <w:t>Distribution Network Service Provider </w:t>
      </w:r>
      <w:r>
        <w:rPr>
          <w:sz w:val="24"/>
        </w:rPr>
        <w:t>and a customer about </w:t>
      </w:r>
      <w:r>
        <w:rPr>
          <w:i/>
          <w:sz w:val="24"/>
        </w:rPr>
        <w:t>connection</w:t>
      </w:r>
      <w:r>
        <w:rPr>
          <w:i/>
          <w:spacing w:val="-2"/>
          <w:sz w:val="24"/>
        </w:rPr>
        <w:t> </w:t>
      </w:r>
      <w:r>
        <w:rPr>
          <w:i/>
          <w:sz w:val="24"/>
        </w:rPr>
        <w:t>charges</w:t>
      </w:r>
      <w:r>
        <w:rPr>
          <w:sz w:val="24"/>
        </w:rPr>
        <w:t>.</w:t>
      </w:r>
    </w:p>
    <w:p>
      <w:pPr>
        <w:pStyle w:val="ListParagraph"/>
        <w:numPr>
          <w:ilvl w:val="0"/>
          <w:numId w:val="378"/>
        </w:numPr>
        <w:tabs>
          <w:tab w:pos="1918" w:val="left" w:leader="none"/>
          <w:tab w:pos="1919" w:val="left" w:leader="none"/>
        </w:tabs>
        <w:spacing w:line="240" w:lineRule="auto" w:before="120" w:after="0"/>
        <w:ind w:left="1919" w:right="416" w:hanging="567"/>
        <w:jc w:val="left"/>
        <w:rPr>
          <w:sz w:val="24"/>
        </w:rPr>
      </w:pPr>
      <w:r>
        <w:rPr>
          <w:sz w:val="24"/>
        </w:rPr>
        <w:t>A relevant dispute is an access dispute for the purposes of section 2A of the Law.</w:t>
      </w:r>
    </w:p>
    <w:p>
      <w:pPr>
        <w:pStyle w:val="BodyText"/>
        <w:spacing w:before="10"/>
        <w:ind w:firstLine="0"/>
        <w:jc w:val="left"/>
        <w:rPr>
          <w:sz w:val="20"/>
        </w:rPr>
      </w:pPr>
    </w:p>
    <w:p>
      <w:pPr>
        <w:pStyle w:val="Heading4"/>
        <w:tabs>
          <w:tab w:pos="1351" w:val="left" w:leader="none"/>
        </w:tabs>
        <w:ind w:left="218" w:firstLine="0"/>
      </w:pPr>
      <w:bookmarkStart w:name="5A.G.2 Determination of dispute" w:id="1215"/>
      <w:bookmarkEnd w:id="1215"/>
      <w:r>
        <w:rPr>
          <w:b w:val="0"/>
        </w:rPr>
      </w:r>
      <w:bookmarkStart w:name="_bookmark501" w:id="1216"/>
      <w:bookmarkEnd w:id="1216"/>
      <w:r>
        <w:rPr>
          <w:b w:val="0"/>
        </w:rPr>
      </w:r>
      <w:r>
        <w:rPr/>
        <w:t>5A.G.2</w:t>
        <w:tab/>
        <w:t>Determination of</w:t>
      </w:r>
      <w:r>
        <w:rPr>
          <w:spacing w:val="-1"/>
        </w:rPr>
        <w:t> </w:t>
      </w:r>
      <w:r>
        <w:rPr/>
        <w:t>dispute</w:t>
      </w:r>
    </w:p>
    <w:p>
      <w:pPr>
        <w:pStyle w:val="ListParagraph"/>
        <w:numPr>
          <w:ilvl w:val="0"/>
          <w:numId w:val="380"/>
        </w:numPr>
        <w:tabs>
          <w:tab w:pos="1918" w:val="left" w:leader="none"/>
          <w:tab w:pos="1919" w:val="left" w:leader="none"/>
        </w:tabs>
        <w:spacing w:line="240" w:lineRule="auto" w:before="120" w:after="0"/>
        <w:ind w:left="1919" w:right="414" w:hanging="567"/>
        <w:jc w:val="left"/>
        <w:rPr>
          <w:sz w:val="24"/>
        </w:rPr>
      </w:pPr>
      <w:r>
        <w:rPr>
          <w:sz w:val="24"/>
        </w:rPr>
        <w:t>In determining a relevant dispute, the </w:t>
      </w:r>
      <w:r>
        <w:rPr>
          <w:i/>
          <w:sz w:val="24"/>
        </w:rPr>
        <w:t>AER </w:t>
      </w:r>
      <w:r>
        <w:rPr>
          <w:sz w:val="24"/>
        </w:rPr>
        <w:t>must (so far as applicable) give effect</w:t>
      </w:r>
      <w:r>
        <w:rPr>
          <w:spacing w:val="-1"/>
          <w:sz w:val="24"/>
        </w:rPr>
        <w:t> </w:t>
      </w:r>
      <w:r>
        <w:rPr>
          <w:sz w:val="24"/>
        </w:rPr>
        <w:t>to:</w:t>
      </w:r>
    </w:p>
    <w:p>
      <w:pPr>
        <w:pStyle w:val="ListParagraph"/>
        <w:numPr>
          <w:ilvl w:val="1"/>
          <w:numId w:val="380"/>
        </w:numPr>
        <w:tabs>
          <w:tab w:pos="2485" w:val="left" w:leader="none"/>
          <w:tab w:pos="2486" w:val="left" w:leader="none"/>
        </w:tabs>
        <w:spacing w:line="240" w:lineRule="auto" w:before="120" w:after="0"/>
        <w:ind w:left="2485" w:right="0" w:hanging="567"/>
        <w:jc w:val="left"/>
        <w:rPr>
          <w:sz w:val="24"/>
        </w:rPr>
      </w:pPr>
      <w:r>
        <w:rPr>
          <w:sz w:val="24"/>
        </w:rPr>
        <w:t>the relevant </w:t>
      </w:r>
      <w:r>
        <w:rPr>
          <w:i/>
          <w:sz w:val="24"/>
        </w:rPr>
        <w:t>connection policy</w:t>
      </w:r>
      <w:r>
        <w:rPr>
          <w:sz w:val="24"/>
        </w:rPr>
        <w:t>;</w:t>
      </w:r>
      <w:r>
        <w:rPr>
          <w:spacing w:val="-2"/>
          <w:sz w:val="24"/>
        </w:rPr>
        <w:t> </w:t>
      </w:r>
      <w:r>
        <w:rPr>
          <w:sz w:val="24"/>
        </w:rPr>
        <w:t>and</w:t>
      </w:r>
    </w:p>
    <w:p>
      <w:pPr>
        <w:pStyle w:val="ListParagraph"/>
        <w:numPr>
          <w:ilvl w:val="1"/>
          <w:numId w:val="380"/>
        </w:numPr>
        <w:tabs>
          <w:tab w:pos="2485" w:val="left" w:leader="none"/>
          <w:tab w:pos="2486" w:val="left" w:leader="none"/>
        </w:tabs>
        <w:spacing w:line="240" w:lineRule="auto" w:before="120" w:after="0"/>
        <w:ind w:left="2486" w:right="416" w:hanging="567"/>
        <w:jc w:val="left"/>
        <w:rPr>
          <w:sz w:val="24"/>
        </w:rPr>
      </w:pPr>
      <w:r>
        <w:rPr>
          <w:sz w:val="24"/>
        </w:rPr>
        <w:t>a relevant </w:t>
      </w:r>
      <w:r>
        <w:rPr>
          <w:i/>
          <w:sz w:val="24"/>
        </w:rPr>
        <w:t>model standing offer </w:t>
      </w:r>
      <w:r>
        <w:rPr>
          <w:sz w:val="24"/>
        </w:rPr>
        <w:t>to provide a basic or </w:t>
      </w:r>
      <w:r>
        <w:rPr>
          <w:i/>
          <w:sz w:val="24"/>
        </w:rPr>
        <w:t>standard </w:t>
      </w:r>
      <w:r>
        <w:rPr>
          <w:i/>
          <w:sz w:val="24"/>
        </w:rPr>
        <w:t>connection service</w:t>
      </w:r>
      <w:r>
        <w:rPr>
          <w:sz w:val="24"/>
        </w:rPr>
        <w:t>;</w:t>
      </w:r>
      <w:r>
        <w:rPr>
          <w:spacing w:val="-1"/>
          <w:sz w:val="24"/>
        </w:rPr>
        <w:t> </w:t>
      </w:r>
      <w:r>
        <w:rPr>
          <w:sz w:val="24"/>
        </w:rPr>
        <w:t>and</w:t>
      </w:r>
    </w:p>
    <w:p>
      <w:pPr>
        <w:pStyle w:val="ListParagraph"/>
        <w:numPr>
          <w:ilvl w:val="1"/>
          <w:numId w:val="380"/>
        </w:numPr>
        <w:tabs>
          <w:tab w:pos="2485" w:val="left" w:leader="none"/>
          <w:tab w:pos="2486" w:val="left" w:leader="none"/>
        </w:tabs>
        <w:spacing w:line="240" w:lineRule="auto" w:before="120" w:after="0"/>
        <w:ind w:left="2485" w:right="0" w:hanging="567"/>
        <w:jc w:val="left"/>
        <w:rPr>
          <w:sz w:val="24"/>
        </w:rPr>
      </w:pPr>
      <w:r>
        <w:rPr>
          <w:sz w:val="24"/>
        </w:rPr>
        <w:t>this Chapter and any other </w:t>
      </w:r>
      <w:r>
        <w:rPr>
          <w:i/>
          <w:sz w:val="24"/>
        </w:rPr>
        <w:t>applicable regulatory</w:t>
      </w:r>
      <w:r>
        <w:rPr>
          <w:i/>
          <w:spacing w:val="-6"/>
          <w:sz w:val="24"/>
        </w:rPr>
        <w:t> </w:t>
      </w:r>
      <w:r>
        <w:rPr>
          <w:i/>
          <w:sz w:val="24"/>
        </w:rPr>
        <w:t>instrument</w:t>
      </w:r>
      <w:r>
        <w:rPr>
          <w:sz w:val="24"/>
        </w:rPr>
        <w:t>.</w:t>
      </w:r>
    </w:p>
    <w:p>
      <w:pPr>
        <w:pStyle w:val="ListParagraph"/>
        <w:numPr>
          <w:ilvl w:val="0"/>
          <w:numId w:val="380"/>
        </w:numPr>
        <w:tabs>
          <w:tab w:pos="1918" w:val="left" w:leader="none"/>
          <w:tab w:pos="1919" w:val="left" w:leader="none"/>
        </w:tabs>
        <w:spacing w:line="240" w:lineRule="auto" w:before="120" w:after="0"/>
        <w:ind w:left="1918" w:right="0" w:hanging="567"/>
        <w:jc w:val="left"/>
        <w:rPr>
          <w:sz w:val="24"/>
        </w:rPr>
      </w:pPr>
      <w:r>
        <w:rPr>
          <w:sz w:val="24"/>
        </w:rPr>
        <w:t>In determining a relevant dispute, the </w:t>
      </w:r>
      <w:r>
        <w:rPr>
          <w:i/>
          <w:sz w:val="24"/>
        </w:rPr>
        <w:t>AER </w:t>
      </w:r>
      <w:r>
        <w:rPr>
          <w:sz w:val="24"/>
        </w:rPr>
        <w:t>may</w:t>
      </w:r>
      <w:r>
        <w:rPr>
          <w:spacing w:val="-3"/>
          <w:sz w:val="24"/>
        </w:rPr>
        <w:t> </w:t>
      </w:r>
      <w:r>
        <w:rPr>
          <w:sz w:val="24"/>
        </w:rPr>
        <w:t>also:</w:t>
      </w:r>
    </w:p>
    <w:p>
      <w:pPr>
        <w:pStyle w:val="ListParagraph"/>
        <w:numPr>
          <w:ilvl w:val="1"/>
          <w:numId w:val="380"/>
        </w:numPr>
        <w:tabs>
          <w:tab w:pos="2485" w:val="left" w:leader="none"/>
          <w:tab w:pos="2486" w:val="left" w:leader="none"/>
        </w:tabs>
        <w:spacing w:line="240" w:lineRule="auto" w:before="120" w:after="0"/>
        <w:ind w:left="2485" w:right="0" w:hanging="567"/>
        <w:jc w:val="left"/>
        <w:rPr>
          <w:sz w:val="24"/>
        </w:rPr>
      </w:pPr>
      <w:r>
        <w:rPr>
          <w:sz w:val="24"/>
        </w:rPr>
        <w:t>have regard to other matters the </w:t>
      </w:r>
      <w:r>
        <w:rPr>
          <w:i/>
          <w:sz w:val="24"/>
        </w:rPr>
        <w:t>AER </w:t>
      </w:r>
      <w:r>
        <w:rPr>
          <w:sz w:val="24"/>
        </w:rPr>
        <w:t>considers relevant;</w:t>
      </w:r>
      <w:r>
        <w:rPr>
          <w:spacing w:val="-2"/>
          <w:sz w:val="24"/>
        </w:rPr>
        <w:t> </w:t>
      </w:r>
      <w:r>
        <w:rPr>
          <w:sz w:val="24"/>
        </w:rPr>
        <w:t>and</w:t>
      </w:r>
    </w:p>
    <w:p>
      <w:pPr>
        <w:pStyle w:val="ListParagraph"/>
        <w:numPr>
          <w:ilvl w:val="1"/>
          <w:numId w:val="380"/>
        </w:numPr>
        <w:tabs>
          <w:tab w:pos="2485" w:val="left" w:leader="none"/>
          <w:tab w:pos="2486" w:val="left" w:leader="none"/>
        </w:tabs>
        <w:spacing w:line="240" w:lineRule="auto" w:before="120" w:after="0"/>
        <w:ind w:left="2486" w:right="417" w:hanging="567"/>
        <w:jc w:val="left"/>
        <w:rPr>
          <w:sz w:val="24"/>
        </w:rPr>
      </w:pPr>
      <w:r>
        <w:rPr>
          <w:sz w:val="24"/>
        </w:rPr>
        <w:t>hear evidence or receive submissions from the </w:t>
      </w:r>
      <w:r>
        <w:rPr>
          <w:i/>
          <w:sz w:val="24"/>
        </w:rPr>
        <w:t>Distribution Network </w:t>
      </w:r>
      <w:r>
        <w:rPr>
          <w:i/>
          <w:sz w:val="24"/>
        </w:rPr>
        <w:t>Service Provider </w:t>
      </w:r>
      <w:r>
        <w:rPr>
          <w:sz w:val="24"/>
        </w:rPr>
        <w:t>and the customer;</w:t>
      </w:r>
      <w:r>
        <w:rPr>
          <w:spacing w:val="-2"/>
          <w:sz w:val="24"/>
        </w:rPr>
        <w:t> </w:t>
      </w:r>
      <w:r>
        <w:rPr>
          <w:sz w:val="24"/>
        </w:rPr>
        <w:t>and</w:t>
      </w:r>
    </w:p>
    <w:p>
      <w:pPr>
        <w:pStyle w:val="ListParagraph"/>
        <w:numPr>
          <w:ilvl w:val="1"/>
          <w:numId w:val="380"/>
        </w:numPr>
        <w:tabs>
          <w:tab w:pos="2485" w:val="left" w:leader="none"/>
          <w:tab w:pos="2486" w:val="left" w:leader="none"/>
        </w:tabs>
        <w:spacing w:line="240" w:lineRule="auto" w:before="120" w:after="0"/>
        <w:ind w:left="2486" w:right="414" w:hanging="567"/>
        <w:jc w:val="left"/>
        <w:rPr>
          <w:sz w:val="24"/>
        </w:rPr>
      </w:pPr>
      <w:r>
        <w:rPr>
          <w:sz w:val="24"/>
        </w:rPr>
        <w:t>if the dispute relates to a negotiated </w:t>
      </w:r>
      <w:r>
        <w:rPr>
          <w:i/>
          <w:sz w:val="24"/>
        </w:rPr>
        <w:t>connection contract </w:t>
      </w:r>
      <w:r>
        <w:rPr>
          <w:sz w:val="24"/>
        </w:rPr>
        <w:t>– have regard to the negotiation framework set out in clause</w:t>
      </w:r>
      <w:r>
        <w:rPr>
          <w:spacing w:val="-3"/>
          <w:sz w:val="24"/>
        </w:rPr>
        <w:t> </w:t>
      </w:r>
      <w:r>
        <w:rPr>
          <w:sz w:val="24"/>
        </w:rPr>
        <w:t>5A.C.3.</w:t>
      </w:r>
    </w:p>
    <w:p>
      <w:pPr>
        <w:pStyle w:val="BodyText"/>
        <w:spacing w:before="10"/>
        <w:ind w:firstLine="0"/>
        <w:jc w:val="left"/>
        <w:rPr>
          <w:sz w:val="20"/>
        </w:rPr>
      </w:pPr>
    </w:p>
    <w:p>
      <w:pPr>
        <w:pStyle w:val="Heading4"/>
        <w:tabs>
          <w:tab w:pos="1351" w:val="left" w:leader="none"/>
        </w:tabs>
        <w:ind w:left="218" w:firstLine="0"/>
      </w:pPr>
      <w:bookmarkStart w:name="5A.G.3 Termination of proceedings" w:id="1217"/>
      <w:bookmarkEnd w:id="1217"/>
      <w:r>
        <w:rPr>
          <w:b w:val="0"/>
        </w:rPr>
      </w:r>
      <w:bookmarkStart w:name="_bookmark502" w:id="1218"/>
      <w:bookmarkEnd w:id="1218"/>
      <w:r>
        <w:rPr>
          <w:b w:val="0"/>
        </w:rPr>
      </w:r>
      <w:r>
        <w:rPr/>
        <w:t>5A.G.3</w:t>
        <w:tab/>
        <w:t>Termination of</w:t>
      </w:r>
      <w:r>
        <w:rPr>
          <w:spacing w:val="-1"/>
        </w:rPr>
        <w:t> </w:t>
      </w:r>
      <w:r>
        <w:rPr/>
        <w:t>proceedings</w:t>
      </w:r>
    </w:p>
    <w:p>
      <w:pPr>
        <w:pStyle w:val="ListParagraph"/>
        <w:numPr>
          <w:ilvl w:val="0"/>
          <w:numId w:val="381"/>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considers that a relevant dispute could be effectively resolved by some means other than an access determination, the </w:t>
      </w:r>
      <w:r>
        <w:rPr>
          <w:i/>
          <w:sz w:val="24"/>
        </w:rPr>
        <w:t>AER </w:t>
      </w:r>
      <w:r>
        <w:rPr>
          <w:sz w:val="24"/>
        </w:rPr>
        <w:t>may give the parties to the dispute notice of the alternative means of resolving the dispute.</w:t>
      </w:r>
    </w:p>
    <w:p>
      <w:pPr>
        <w:spacing w:before="120"/>
        <w:ind w:left="1919" w:right="0" w:firstLine="0"/>
        <w:jc w:val="left"/>
        <w:rPr>
          <w:rFonts w:ascii="Arial"/>
          <w:b/>
          <w:sz w:val="20"/>
        </w:rPr>
      </w:pPr>
      <w:r>
        <w:rPr>
          <w:rFonts w:ascii="Arial"/>
          <w:b/>
          <w:sz w:val="20"/>
        </w:rPr>
        <w:t>Example</w:t>
      </w:r>
    </w:p>
    <w:p>
      <w:pPr>
        <w:spacing w:before="120"/>
        <w:ind w:left="1919" w:right="415" w:firstLine="0"/>
        <w:jc w:val="left"/>
        <w:rPr>
          <w:sz w:val="20"/>
        </w:rPr>
      </w:pPr>
      <w:r>
        <w:rPr>
          <w:sz w:val="20"/>
        </w:rPr>
        <w:t>The </w:t>
      </w:r>
      <w:r>
        <w:rPr>
          <w:i/>
          <w:sz w:val="20"/>
        </w:rPr>
        <w:t>AER </w:t>
      </w:r>
      <w:r>
        <w:rPr>
          <w:sz w:val="20"/>
        </w:rPr>
        <w:t>might give such a notice if of the opinion that a particular dispute could be dealt with more efficiently, and with less expense, by a jurisdictional ombudsman.</w:t>
      </w:r>
    </w:p>
    <w:p>
      <w:pPr>
        <w:pStyle w:val="ListParagraph"/>
        <w:numPr>
          <w:ilvl w:val="0"/>
          <w:numId w:val="381"/>
        </w:numPr>
        <w:tabs>
          <w:tab w:pos="1919" w:val="left" w:leader="none"/>
        </w:tabs>
        <w:spacing w:line="240" w:lineRule="auto" w:before="120" w:after="0"/>
        <w:ind w:left="1919" w:right="415" w:hanging="567"/>
        <w:jc w:val="both"/>
        <w:rPr>
          <w:sz w:val="24"/>
        </w:rPr>
      </w:pPr>
      <w:r>
        <w:rPr>
          <w:sz w:val="24"/>
        </w:rPr>
        <w:t>The giving of such a notice is a specified dispute termination circumstance for the purposes of section 131(3) of the</w:t>
      </w:r>
      <w:r>
        <w:rPr>
          <w:spacing w:val="-1"/>
          <w:sz w:val="24"/>
        </w:rPr>
        <w:t> </w:t>
      </w:r>
      <w:r>
        <w:rPr>
          <w:sz w:val="24"/>
        </w:rPr>
        <w:t>Law.</w:t>
      </w:r>
    </w:p>
    <w:p>
      <w:pPr>
        <w:spacing w:before="120"/>
        <w:ind w:left="1919" w:right="0" w:firstLine="0"/>
        <w:jc w:val="left"/>
        <w:rPr>
          <w:rFonts w:ascii="Arial"/>
          <w:b/>
          <w:sz w:val="20"/>
        </w:rPr>
      </w:pPr>
      <w:r>
        <w:rPr>
          <w:rFonts w:ascii="Arial"/>
          <w:b/>
          <w:sz w:val="20"/>
        </w:rPr>
        <w:t>Note</w:t>
      </w:r>
    </w:p>
    <w:p>
      <w:pPr>
        <w:spacing w:before="120"/>
        <w:ind w:left="1919" w:right="415" w:firstLine="0"/>
        <w:jc w:val="left"/>
        <w:rPr>
          <w:sz w:val="20"/>
        </w:rPr>
      </w:pPr>
      <w:r>
        <w:rPr>
          <w:sz w:val="20"/>
        </w:rPr>
        <w:t>It follows that the </w:t>
      </w:r>
      <w:r>
        <w:rPr>
          <w:i/>
          <w:sz w:val="20"/>
        </w:rPr>
        <w:t>AER </w:t>
      </w:r>
      <w:r>
        <w:rPr>
          <w:sz w:val="20"/>
        </w:rPr>
        <w:t>may exercise its power to terminate the dispute without making an access determination (see section 131(1)(d) of the Law).</w:t>
      </w:r>
    </w:p>
    <w:p>
      <w:pPr>
        <w:spacing w:after="0"/>
        <w:jc w:val="left"/>
        <w:rPr>
          <w:sz w:val="20"/>
        </w:rPr>
        <w:sectPr>
          <w:pgSz w:w="11910" w:h="16840"/>
          <w:pgMar w:header="686" w:footer="637" w:top="1320" w:bottom="820" w:left="1200" w:right="1000"/>
        </w:sectPr>
      </w:pPr>
    </w:p>
    <w:p>
      <w:pPr>
        <w:pStyle w:val="Heading2"/>
        <w:spacing w:before="83"/>
        <w:ind w:left="2486" w:right="759" w:hanging="2268"/>
      </w:pPr>
      <w:bookmarkStart w:name="SCHEDULE 5A.1 – Minimum content requirem" w:id="1219"/>
      <w:bookmarkEnd w:id="1219"/>
      <w:r>
        <w:rPr>
          <w:b w:val="0"/>
        </w:rPr>
      </w:r>
      <w:bookmarkStart w:name="_bookmark503" w:id="1220"/>
      <w:bookmarkEnd w:id="1220"/>
      <w:r>
        <w:rPr>
          <w:b w:val="0"/>
        </w:rPr>
      </w:r>
      <w:r>
        <w:rPr/>
        <w:t>SCHEDULE 5A.1 – Minimum content requirements for connection contract</w:t>
      </w:r>
    </w:p>
    <w:p>
      <w:pPr>
        <w:tabs>
          <w:tab w:pos="1352" w:val="left" w:leader="none"/>
          <w:tab w:pos="9317" w:val="left" w:leader="none"/>
        </w:tabs>
        <w:spacing w:before="240"/>
        <w:ind w:left="218" w:right="0" w:firstLine="0"/>
        <w:jc w:val="left"/>
        <w:rPr>
          <w:rFonts w:ascii="Arial"/>
          <w:b/>
          <w:sz w:val="28"/>
        </w:rPr>
      </w:pPr>
      <w:bookmarkStart w:name="Part A Connection offer not involving em" w:id="1221"/>
      <w:bookmarkEnd w:id="1221"/>
      <w:r>
        <w:rPr/>
      </w:r>
      <w:bookmarkStart w:name="_bookmark504" w:id="1222"/>
      <w:bookmarkEnd w:id="1222"/>
      <w:r>
        <w:rPr/>
      </w:r>
      <w:r>
        <w:rPr>
          <w:rFonts w:ascii="Arial"/>
          <w:b/>
          <w:sz w:val="28"/>
          <w:shd w:fill="D9D9D9" w:color="auto" w:val="clear"/>
        </w:rPr>
        <w:t>Part A</w:t>
        <w:tab/>
        <w:t>Connection offer not involving embedded</w:t>
      </w:r>
      <w:r>
        <w:rPr>
          <w:rFonts w:ascii="Arial"/>
          <w:b/>
          <w:spacing w:val="-20"/>
          <w:sz w:val="28"/>
          <w:shd w:fill="D9D9D9" w:color="auto" w:val="clear"/>
        </w:rPr>
        <w:t> </w:t>
      </w:r>
      <w:r>
        <w:rPr>
          <w:rFonts w:ascii="Arial"/>
          <w:b/>
          <w:sz w:val="28"/>
          <w:shd w:fill="D9D9D9" w:color="auto" w:val="clear"/>
        </w:rPr>
        <w:t>generation</w:t>
        <w:tab/>
      </w:r>
    </w:p>
    <w:p>
      <w:pPr>
        <w:pStyle w:val="ListParagraph"/>
        <w:numPr>
          <w:ilvl w:val="0"/>
          <w:numId w:val="382"/>
        </w:numPr>
        <w:tabs>
          <w:tab w:pos="1919" w:val="left" w:leader="none"/>
        </w:tabs>
        <w:spacing w:line="240" w:lineRule="auto" w:before="120" w:after="0"/>
        <w:ind w:left="1918" w:right="0" w:hanging="567"/>
        <w:jc w:val="both"/>
        <w:rPr>
          <w:sz w:val="24"/>
        </w:rPr>
      </w:pPr>
      <w:r>
        <w:rPr>
          <w:sz w:val="24"/>
        </w:rPr>
        <w:t>A </w:t>
      </w:r>
      <w:r>
        <w:rPr>
          <w:i/>
          <w:sz w:val="24"/>
        </w:rPr>
        <w:t>connection offer </w:t>
      </w:r>
      <w:r>
        <w:rPr>
          <w:sz w:val="24"/>
        </w:rPr>
        <w:t>must</w:t>
      </w:r>
      <w:r>
        <w:rPr>
          <w:spacing w:val="-1"/>
          <w:sz w:val="24"/>
        </w:rPr>
        <w:t> </w:t>
      </w:r>
      <w:r>
        <w:rPr>
          <w:sz w:val="24"/>
        </w:rPr>
        <w:t>contain:</w:t>
      </w:r>
    </w:p>
    <w:p>
      <w:pPr>
        <w:pStyle w:val="ListParagraph"/>
        <w:numPr>
          <w:ilvl w:val="1"/>
          <w:numId w:val="382"/>
        </w:numPr>
        <w:tabs>
          <w:tab w:pos="2486" w:val="left" w:leader="none"/>
        </w:tabs>
        <w:spacing w:line="240" w:lineRule="auto" w:before="120" w:after="0"/>
        <w:ind w:left="2486" w:right="416" w:hanging="567"/>
        <w:jc w:val="both"/>
        <w:rPr>
          <w:sz w:val="24"/>
        </w:rPr>
      </w:pPr>
      <w:r>
        <w:rPr>
          <w:sz w:val="24"/>
        </w:rPr>
        <w:t>a provision stating that a </w:t>
      </w:r>
      <w:r>
        <w:rPr>
          <w:i/>
          <w:sz w:val="24"/>
        </w:rPr>
        <w:t>connection contract </w:t>
      </w:r>
      <w:r>
        <w:rPr>
          <w:sz w:val="24"/>
        </w:rPr>
        <w:t>will be formed, and will come into operation, on acceptance of the </w:t>
      </w:r>
      <w:r>
        <w:rPr>
          <w:i/>
          <w:sz w:val="24"/>
        </w:rPr>
        <w:t>connection offer</w:t>
      </w:r>
      <w:r>
        <w:rPr>
          <w:sz w:val="24"/>
        </w:rPr>
        <w:t>;</w:t>
      </w:r>
      <w:r>
        <w:rPr>
          <w:spacing w:val="-3"/>
          <w:sz w:val="24"/>
        </w:rPr>
        <w:t> </w:t>
      </w:r>
      <w:r>
        <w:rPr>
          <w:sz w:val="24"/>
        </w:rPr>
        <w:t>and</w:t>
      </w:r>
    </w:p>
    <w:p>
      <w:pPr>
        <w:pStyle w:val="ListParagraph"/>
        <w:numPr>
          <w:ilvl w:val="1"/>
          <w:numId w:val="382"/>
        </w:numPr>
        <w:tabs>
          <w:tab w:pos="2486" w:val="left" w:leader="none"/>
        </w:tabs>
        <w:spacing w:line="240" w:lineRule="auto" w:before="120" w:after="0"/>
        <w:ind w:left="2486" w:right="415" w:hanging="567"/>
        <w:jc w:val="both"/>
        <w:rPr>
          <w:sz w:val="24"/>
        </w:rPr>
      </w:pPr>
      <w:r>
        <w:rPr>
          <w:sz w:val="24"/>
        </w:rPr>
        <w:t>details of the </w:t>
      </w:r>
      <w:r>
        <w:rPr>
          <w:i/>
          <w:sz w:val="24"/>
        </w:rPr>
        <w:t>connection point</w:t>
      </w:r>
      <w:r>
        <w:rPr>
          <w:sz w:val="24"/>
        </w:rPr>
        <w:t>, the maximum capacity of the </w:t>
      </w:r>
      <w:r>
        <w:rPr>
          <w:i/>
          <w:sz w:val="24"/>
        </w:rPr>
        <w:t>connection</w:t>
      </w:r>
      <w:r>
        <w:rPr>
          <w:sz w:val="24"/>
        </w:rPr>
        <w:t>, and the </w:t>
      </w:r>
      <w:r>
        <w:rPr>
          <w:i/>
          <w:sz w:val="24"/>
        </w:rPr>
        <w:t>connection assets </w:t>
      </w:r>
      <w:r>
        <w:rPr>
          <w:sz w:val="24"/>
        </w:rPr>
        <w:t>required at the </w:t>
      </w:r>
      <w:r>
        <w:rPr>
          <w:i/>
          <w:sz w:val="24"/>
        </w:rPr>
        <w:t>connection point</w:t>
      </w:r>
      <w:r>
        <w:rPr>
          <w:sz w:val="24"/>
        </w:rPr>
        <w:t>; and</w:t>
      </w:r>
    </w:p>
    <w:p>
      <w:pPr>
        <w:pStyle w:val="ListParagraph"/>
        <w:numPr>
          <w:ilvl w:val="1"/>
          <w:numId w:val="382"/>
        </w:numPr>
        <w:tabs>
          <w:tab w:pos="2486" w:val="left" w:leader="none"/>
        </w:tabs>
        <w:spacing w:line="240" w:lineRule="auto" w:before="120" w:after="0"/>
        <w:ind w:left="2486" w:right="414" w:hanging="567"/>
        <w:jc w:val="both"/>
        <w:rPr>
          <w:sz w:val="24"/>
        </w:rPr>
      </w:pPr>
      <w:r>
        <w:rPr>
          <w:sz w:val="24"/>
        </w:rPr>
        <w:t>details of the </w:t>
      </w:r>
      <w:r>
        <w:rPr>
          <w:i/>
          <w:sz w:val="24"/>
        </w:rPr>
        <w:t>premises connection assets </w:t>
      </w:r>
      <w:r>
        <w:rPr>
          <w:sz w:val="24"/>
        </w:rPr>
        <w:t>and additional equipment to be installed on the premises and responsibility for undertaking the work;</w:t>
      </w:r>
      <w:r>
        <w:rPr>
          <w:spacing w:val="-2"/>
          <w:sz w:val="24"/>
        </w:rPr>
        <w:t> </w:t>
      </w:r>
      <w:r>
        <w:rPr>
          <w:sz w:val="24"/>
        </w:rPr>
        <w:t>and</w:t>
      </w:r>
    </w:p>
    <w:p>
      <w:pPr>
        <w:pStyle w:val="ListParagraph"/>
        <w:numPr>
          <w:ilvl w:val="1"/>
          <w:numId w:val="382"/>
        </w:numPr>
        <w:tabs>
          <w:tab w:pos="2486" w:val="left" w:leader="none"/>
        </w:tabs>
        <w:spacing w:line="240" w:lineRule="auto" w:before="120" w:after="0"/>
        <w:ind w:left="2485" w:right="0" w:hanging="567"/>
        <w:jc w:val="both"/>
        <w:rPr>
          <w:i/>
          <w:sz w:val="24"/>
        </w:rPr>
      </w:pPr>
      <w:r>
        <w:rPr>
          <w:sz w:val="24"/>
        </w:rPr>
        <w:t>details</w:t>
      </w:r>
      <w:r>
        <w:rPr>
          <w:spacing w:val="41"/>
          <w:sz w:val="24"/>
        </w:rPr>
        <w:t> </w:t>
      </w:r>
      <w:r>
        <w:rPr>
          <w:sz w:val="24"/>
        </w:rPr>
        <w:t>of</w:t>
      </w:r>
      <w:r>
        <w:rPr>
          <w:spacing w:val="42"/>
          <w:sz w:val="24"/>
        </w:rPr>
        <w:t> </w:t>
      </w:r>
      <w:r>
        <w:rPr>
          <w:sz w:val="24"/>
        </w:rPr>
        <w:t>any</w:t>
      </w:r>
      <w:r>
        <w:rPr>
          <w:spacing w:val="42"/>
          <w:sz w:val="24"/>
        </w:rPr>
        <w:t> </w:t>
      </w:r>
      <w:r>
        <w:rPr>
          <w:i/>
          <w:sz w:val="24"/>
        </w:rPr>
        <w:t>distribution</w:t>
      </w:r>
      <w:r>
        <w:rPr>
          <w:i/>
          <w:spacing w:val="42"/>
          <w:sz w:val="24"/>
        </w:rPr>
        <w:t> </w:t>
      </w:r>
      <w:r>
        <w:rPr>
          <w:i/>
          <w:sz w:val="24"/>
        </w:rPr>
        <w:t>network</w:t>
      </w:r>
      <w:r>
        <w:rPr>
          <w:i/>
          <w:spacing w:val="41"/>
          <w:sz w:val="24"/>
        </w:rPr>
        <w:t> </w:t>
      </w:r>
      <w:r>
        <w:rPr>
          <w:i/>
          <w:sz w:val="24"/>
        </w:rPr>
        <w:t>extension</w:t>
      </w:r>
      <w:r>
        <w:rPr>
          <w:i/>
          <w:spacing w:val="42"/>
          <w:sz w:val="24"/>
        </w:rPr>
        <w:t> </w:t>
      </w:r>
      <w:r>
        <w:rPr>
          <w:sz w:val="24"/>
        </w:rPr>
        <w:t>or</w:t>
      </w:r>
      <w:r>
        <w:rPr>
          <w:spacing w:val="42"/>
          <w:sz w:val="24"/>
        </w:rPr>
        <w:t> </w:t>
      </w:r>
      <w:r>
        <w:rPr>
          <w:sz w:val="24"/>
        </w:rPr>
        <w:t>other</w:t>
      </w:r>
      <w:r>
        <w:rPr>
          <w:spacing w:val="42"/>
          <w:sz w:val="24"/>
        </w:rPr>
        <w:t> </w:t>
      </w:r>
      <w:r>
        <w:rPr>
          <w:i/>
          <w:sz w:val="24"/>
        </w:rPr>
        <w:t>augmentation</w:t>
      </w:r>
    </w:p>
    <w:p>
      <w:pPr>
        <w:spacing w:before="0"/>
        <w:ind w:left="2486" w:right="0" w:firstLine="0"/>
        <w:jc w:val="both"/>
        <w:rPr>
          <w:sz w:val="24"/>
        </w:rPr>
      </w:pPr>
      <w:r>
        <w:rPr>
          <w:sz w:val="24"/>
        </w:rPr>
        <w:t>required for the purposes of the </w:t>
      </w:r>
      <w:r>
        <w:rPr>
          <w:i/>
          <w:sz w:val="24"/>
        </w:rPr>
        <w:t>connection</w:t>
      </w:r>
      <w:r>
        <w:rPr>
          <w:sz w:val="24"/>
        </w:rPr>
        <w:t>; and</w:t>
      </w:r>
    </w:p>
    <w:p>
      <w:pPr>
        <w:pStyle w:val="ListParagraph"/>
        <w:numPr>
          <w:ilvl w:val="1"/>
          <w:numId w:val="382"/>
        </w:numPr>
        <w:tabs>
          <w:tab w:pos="2486" w:val="left" w:leader="none"/>
        </w:tabs>
        <w:spacing w:line="240" w:lineRule="auto" w:before="120" w:after="0"/>
        <w:ind w:left="2485" w:right="0" w:hanging="567"/>
        <w:jc w:val="both"/>
        <w:rPr>
          <w:sz w:val="24"/>
        </w:rPr>
      </w:pPr>
      <w:r>
        <w:rPr>
          <w:sz w:val="24"/>
        </w:rPr>
        <w:t>an</w:t>
      </w:r>
      <w:r>
        <w:rPr>
          <w:spacing w:val="41"/>
          <w:sz w:val="24"/>
        </w:rPr>
        <w:t> </w:t>
      </w:r>
      <w:r>
        <w:rPr>
          <w:sz w:val="24"/>
        </w:rPr>
        <w:t>undertaking</w:t>
      </w:r>
      <w:r>
        <w:rPr>
          <w:spacing w:val="41"/>
          <w:sz w:val="24"/>
        </w:rPr>
        <w:t> </w:t>
      </w:r>
      <w:r>
        <w:rPr>
          <w:sz w:val="24"/>
        </w:rPr>
        <w:t>to</w:t>
      </w:r>
      <w:r>
        <w:rPr>
          <w:spacing w:val="42"/>
          <w:sz w:val="24"/>
        </w:rPr>
        <w:t> </w:t>
      </w:r>
      <w:r>
        <w:rPr>
          <w:sz w:val="24"/>
        </w:rPr>
        <w:t>complete</w:t>
      </w:r>
      <w:r>
        <w:rPr>
          <w:spacing w:val="40"/>
          <w:sz w:val="24"/>
        </w:rPr>
        <w:t> </w:t>
      </w:r>
      <w:r>
        <w:rPr>
          <w:sz w:val="24"/>
        </w:rPr>
        <w:t>the</w:t>
      </w:r>
      <w:r>
        <w:rPr>
          <w:spacing w:val="42"/>
          <w:sz w:val="24"/>
        </w:rPr>
        <w:t> </w:t>
      </w:r>
      <w:r>
        <w:rPr>
          <w:sz w:val="24"/>
        </w:rPr>
        <w:t>work</w:t>
      </w:r>
      <w:r>
        <w:rPr>
          <w:spacing w:val="40"/>
          <w:sz w:val="24"/>
        </w:rPr>
        <w:t> </w:t>
      </w:r>
      <w:r>
        <w:rPr>
          <w:sz w:val="24"/>
        </w:rPr>
        <w:t>required</w:t>
      </w:r>
      <w:r>
        <w:rPr>
          <w:spacing w:val="42"/>
          <w:sz w:val="24"/>
        </w:rPr>
        <w:t> </w:t>
      </w:r>
      <w:r>
        <w:rPr>
          <w:sz w:val="24"/>
        </w:rPr>
        <w:t>to</w:t>
      </w:r>
      <w:r>
        <w:rPr>
          <w:spacing w:val="41"/>
          <w:sz w:val="24"/>
        </w:rPr>
        <w:t> </w:t>
      </w:r>
      <w:r>
        <w:rPr>
          <w:sz w:val="24"/>
        </w:rPr>
        <w:t>establish</w:t>
      </w:r>
      <w:r>
        <w:rPr>
          <w:spacing w:val="42"/>
          <w:sz w:val="24"/>
        </w:rPr>
        <w:t> </w:t>
      </w:r>
      <w:r>
        <w:rPr>
          <w:sz w:val="24"/>
        </w:rPr>
        <w:t>the</w:t>
      </w:r>
    </w:p>
    <w:p>
      <w:pPr>
        <w:spacing w:before="0"/>
        <w:ind w:left="2486" w:right="0" w:firstLine="0"/>
        <w:jc w:val="both"/>
        <w:rPr>
          <w:sz w:val="24"/>
        </w:rPr>
      </w:pPr>
      <w:r>
        <w:rPr>
          <w:i/>
          <w:sz w:val="24"/>
        </w:rPr>
        <w:t>connection </w:t>
      </w:r>
      <w:r>
        <w:rPr>
          <w:sz w:val="24"/>
        </w:rPr>
        <w:t>within a specified </w:t>
      </w:r>
      <w:r>
        <w:rPr>
          <w:i/>
          <w:sz w:val="24"/>
        </w:rPr>
        <w:t>time </w:t>
      </w:r>
      <w:r>
        <w:rPr>
          <w:sz w:val="24"/>
        </w:rPr>
        <w:t>frame; and</w:t>
      </w:r>
    </w:p>
    <w:p>
      <w:pPr>
        <w:pStyle w:val="ListParagraph"/>
        <w:numPr>
          <w:ilvl w:val="1"/>
          <w:numId w:val="382"/>
        </w:numPr>
        <w:tabs>
          <w:tab w:pos="2486" w:val="left" w:leader="none"/>
        </w:tabs>
        <w:spacing w:line="240" w:lineRule="auto" w:before="120" w:after="0"/>
        <w:ind w:left="2486" w:right="415" w:hanging="567"/>
        <w:jc w:val="both"/>
        <w:rPr>
          <w:sz w:val="24"/>
        </w:rPr>
      </w:pPr>
      <w:r>
        <w:rPr>
          <w:sz w:val="24"/>
        </w:rPr>
        <w:t>a requirement that the </w:t>
      </w:r>
      <w:r>
        <w:rPr>
          <w:i/>
          <w:sz w:val="24"/>
        </w:rPr>
        <w:t>retail customer </w:t>
      </w:r>
      <w:r>
        <w:rPr>
          <w:sz w:val="24"/>
        </w:rPr>
        <w:t>have appropriate metering installed ;</w:t>
      </w:r>
      <w:r>
        <w:rPr>
          <w:spacing w:val="-1"/>
          <w:sz w:val="24"/>
        </w:rPr>
        <w:t> </w:t>
      </w:r>
      <w:r>
        <w:rPr>
          <w:sz w:val="24"/>
        </w:rPr>
        <w:t>and</w:t>
      </w:r>
    </w:p>
    <w:p>
      <w:pPr>
        <w:pStyle w:val="ListParagraph"/>
        <w:numPr>
          <w:ilvl w:val="1"/>
          <w:numId w:val="382"/>
        </w:numPr>
        <w:tabs>
          <w:tab w:pos="2486" w:val="left" w:leader="none"/>
        </w:tabs>
        <w:spacing w:line="240" w:lineRule="auto" w:before="120" w:after="0"/>
        <w:ind w:left="2486" w:right="415" w:hanging="567"/>
        <w:jc w:val="both"/>
        <w:rPr>
          <w:sz w:val="24"/>
        </w:rPr>
      </w:pPr>
      <w:r>
        <w:rPr>
          <w:sz w:val="24"/>
        </w:rPr>
        <w:t>the relevant technical and safety obligations to be met by the </w:t>
      </w:r>
      <w:r>
        <w:rPr>
          <w:i/>
          <w:sz w:val="24"/>
        </w:rPr>
        <w:t>retail </w:t>
      </w:r>
      <w:r>
        <w:rPr>
          <w:i/>
          <w:sz w:val="24"/>
        </w:rPr>
        <w:t>customer </w:t>
      </w:r>
      <w:r>
        <w:rPr>
          <w:sz w:val="24"/>
        </w:rPr>
        <w:t>relating to the installation;</w:t>
      </w:r>
      <w:r>
        <w:rPr>
          <w:spacing w:val="-2"/>
          <w:sz w:val="24"/>
        </w:rPr>
        <w:t> </w:t>
      </w:r>
      <w:r>
        <w:rPr>
          <w:sz w:val="24"/>
        </w:rPr>
        <w:t>and</w:t>
      </w:r>
    </w:p>
    <w:p>
      <w:pPr>
        <w:pStyle w:val="ListParagraph"/>
        <w:numPr>
          <w:ilvl w:val="1"/>
          <w:numId w:val="382"/>
        </w:numPr>
        <w:tabs>
          <w:tab w:pos="2486" w:val="left" w:leader="none"/>
        </w:tabs>
        <w:spacing w:line="240" w:lineRule="auto" w:before="120" w:after="0"/>
        <w:ind w:left="2486" w:right="414" w:hanging="567"/>
        <w:jc w:val="both"/>
        <w:rPr>
          <w:sz w:val="24"/>
        </w:rPr>
      </w:pPr>
      <w:r>
        <w:rPr>
          <w:sz w:val="24"/>
        </w:rPr>
        <w:t>the </w:t>
      </w:r>
      <w:r>
        <w:rPr>
          <w:i/>
          <w:sz w:val="24"/>
        </w:rPr>
        <w:t>retail customer's </w:t>
      </w:r>
      <w:r>
        <w:rPr>
          <w:sz w:val="24"/>
        </w:rPr>
        <w:t>obligation to allow access to the premises by </w:t>
      </w:r>
      <w:r>
        <w:rPr>
          <w:spacing w:val="-4"/>
          <w:sz w:val="24"/>
        </w:rPr>
        <w:t>the</w:t>
      </w:r>
      <w:r>
        <w:rPr>
          <w:spacing w:val="52"/>
          <w:sz w:val="24"/>
        </w:rPr>
        <w:t> </w:t>
      </w:r>
      <w:r>
        <w:rPr>
          <w:i/>
          <w:sz w:val="24"/>
        </w:rPr>
        <w:t>Distribution Network Service Provider's </w:t>
      </w:r>
      <w:r>
        <w:rPr>
          <w:sz w:val="24"/>
        </w:rPr>
        <w:t>agents, contractors and employees;</w:t>
      </w:r>
      <w:r>
        <w:rPr>
          <w:spacing w:val="-1"/>
          <w:sz w:val="24"/>
        </w:rPr>
        <w:t> </w:t>
      </w:r>
      <w:r>
        <w:rPr>
          <w:sz w:val="24"/>
        </w:rPr>
        <w:t>and</w:t>
      </w:r>
    </w:p>
    <w:p>
      <w:pPr>
        <w:pStyle w:val="ListParagraph"/>
        <w:numPr>
          <w:ilvl w:val="1"/>
          <w:numId w:val="382"/>
        </w:numPr>
        <w:tabs>
          <w:tab w:pos="2486" w:val="left" w:leader="none"/>
        </w:tabs>
        <w:spacing w:line="240" w:lineRule="auto" w:before="120" w:after="0"/>
        <w:ind w:left="2486" w:right="415" w:hanging="567"/>
        <w:jc w:val="both"/>
        <w:rPr>
          <w:sz w:val="24"/>
        </w:rPr>
      </w:pPr>
      <w:r>
        <w:rPr>
          <w:sz w:val="24"/>
        </w:rPr>
        <w:t>the </w:t>
      </w:r>
      <w:r>
        <w:rPr>
          <w:i/>
          <w:sz w:val="24"/>
        </w:rPr>
        <w:t>retail customer's </w:t>
      </w:r>
      <w:r>
        <w:rPr>
          <w:sz w:val="24"/>
        </w:rPr>
        <w:t>obligation to accommodate on its premises, and protect from harm, any equipment necessary for the </w:t>
      </w:r>
      <w:r>
        <w:rPr>
          <w:i/>
          <w:sz w:val="24"/>
        </w:rPr>
        <w:t>connection</w:t>
      </w:r>
      <w:r>
        <w:rPr>
          <w:sz w:val="24"/>
        </w:rPr>
        <w:t>;</w:t>
      </w:r>
      <w:r>
        <w:rPr>
          <w:spacing w:val="-7"/>
          <w:sz w:val="24"/>
        </w:rPr>
        <w:t> </w:t>
      </w:r>
      <w:r>
        <w:rPr>
          <w:sz w:val="24"/>
        </w:rPr>
        <w:t>and</w:t>
      </w:r>
    </w:p>
    <w:p>
      <w:pPr>
        <w:pStyle w:val="ListParagraph"/>
        <w:numPr>
          <w:ilvl w:val="1"/>
          <w:numId w:val="382"/>
        </w:numPr>
        <w:tabs>
          <w:tab w:pos="2486" w:val="left" w:leader="none"/>
        </w:tabs>
        <w:spacing w:line="240" w:lineRule="auto" w:before="120" w:after="0"/>
        <w:ind w:left="2486" w:right="414" w:hanging="567"/>
        <w:jc w:val="both"/>
        <w:rPr>
          <w:sz w:val="24"/>
        </w:rPr>
      </w:pPr>
      <w:r>
        <w:rPr>
          <w:sz w:val="24"/>
        </w:rPr>
        <w:t>details of the </w:t>
      </w:r>
      <w:r>
        <w:rPr>
          <w:i/>
          <w:sz w:val="24"/>
        </w:rPr>
        <w:t>retail customer's </w:t>
      </w:r>
      <w:r>
        <w:rPr>
          <w:sz w:val="24"/>
        </w:rPr>
        <w:t>monetary obligations including billing arrangements and any security to be provided by the </w:t>
      </w:r>
      <w:r>
        <w:rPr>
          <w:i/>
          <w:sz w:val="24"/>
        </w:rPr>
        <w:t>retail customer</w:t>
      </w:r>
      <w:r>
        <w:rPr>
          <w:sz w:val="24"/>
        </w:rPr>
        <w:t>; and</w:t>
      </w:r>
    </w:p>
    <w:p>
      <w:pPr>
        <w:pStyle w:val="ListParagraph"/>
        <w:numPr>
          <w:ilvl w:val="1"/>
          <w:numId w:val="382"/>
        </w:numPr>
        <w:tabs>
          <w:tab w:pos="2486" w:val="left" w:leader="none"/>
        </w:tabs>
        <w:spacing w:line="240" w:lineRule="auto" w:before="120" w:after="0"/>
        <w:ind w:left="2486" w:right="416" w:hanging="567"/>
        <w:jc w:val="both"/>
        <w:rPr>
          <w:sz w:val="24"/>
        </w:rPr>
      </w:pPr>
      <w:r>
        <w:rPr>
          <w:sz w:val="24"/>
        </w:rPr>
        <w:t>details of the </w:t>
      </w:r>
      <w:r>
        <w:rPr>
          <w:i/>
          <w:sz w:val="24"/>
        </w:rPr>
        <w:t>Distribution Network Service Provider's </w:t>
      </w:r>
      <w:r>
        <w:rPr>
          <w:sz w:val="24"/>
        </w:rPr>
        <w:t>monetary obligations (if any) to the </w:t>
      </w:r>
      <w:r>
        <w:rPr>
          <w:i/>
          <w:sz w:val="24"/>
        </w:rPr>
        <w:t>retail customer</w:t>
      </w:r>
      <w:r>
        <w:rPr>
          <w:sz w:val="24"/>
        </w:rPr>
        <w:t>;</w:t>
      </w:r>
      <w:r>
        <w:rPr>
          <w:spacing w:val="-1"/>
          <w:sz w:val="24"/>
        </w:rPr>
        <w:t> </w:t>
      </w:r>
      <w:r>
        <w:rPr>
          <w:sz w:val="24"/>
        </w:rPr>
        <w:t>and</w:t>
      </w:r>
    </w:p>
    <w:p>
      <w:pPr>
        <w:pStyle w:val="ListParagraph"/>
        <w:numPr>
          <w:ilvl w:val="1"/>
          <w:numId w:val="382"/>
        </w:numPr>
        <w:tabs>
          <w:tab w:pos="2486" w:val="left" w:leader="none"/>
        </w:tabs>
        <w:spacing w:line="240" w:lineRule="auto" w:before="120" w:after="0"/>
        <w:ind w:left="2486" w:right="416" w:hanging="567"/>
        <w:jc w:val="both"/>
        <w:rPr>
          <w:sz w:val="24"/>
        </w:rPr>
      </w:pPr>
      <w:r>
        <w:rPr>
          <w:sz w:val="24"/>
        </w:rPr>
        <w:t>a provision requiring the </w:t>
      </w:r>
      <w:r>
        <w:rPr>
          <w:i/>
          <w:sz w:val="24"/>
        </w:rPr>
        <w:t>Distribution Network Service Provider </w:t>
      </w:r>
      <w:r>
        <w:rPr>
          <w:sz w:val="24"/>
        </w:rPr>
        <w:t>to provide information about the </w:t>
      </w:r>
      <w:r>
        <w:rPr>
          <w:i/>
          <w:sz w:val="24"/>
        </w:rPr>
        <w:t>connection </w:t>
      </w:r>
      <w:r>
        <w:rPr>
          <w:sz w:val="24"/>
        </w:rPr>
        <w:t>to the </w:t>
      </w:r>
      <w:r>
        <w:rPr>
          <w:i/>
          <w:sz w:val="24"/>
        </w:rPr>
        <w:t>retail customer</w:t>
      </w:r>
      <w:r>
        <w:rPr>
          <w:sz w:val="24"/>
        </w:rPr>
        <w:t>;</w:t>
      </w:r>
      <w:r>
        <w:rPr>
          <w:spacing w:val="-8"/>
          <w:sz w:val="24"/>
        </w:rPr>
        <w:t> </w:t>
      </w:r>
      <w:r>
        <w:rPr>
          <w:sz w:val="24"/>
        </w:rPr>
        <w:t>and</w:t>
      </w:r>
    </w:p>
    <w:p>
      <w:pPr>
        <w:pStyle w:val="ListParagraph"/>
        <w:numPr>
          <w:ilvl w:val="1"/>
          <w:numId w:val="382"/>
        </w:numPr>
        <w:tabs>
          <w:tab w:pos="2486" w:val="left" w:leader="none"/>
        </w:tabs>
        <w:spacing w:line="240" w:lineRule="auto" w:before="120" w:after="0"/>
        <w:ind w:left="2486" w:right="415" w:hanging="567"/>
        <w:jc w:val="both"/>
        <w:rPr>
          <w:sz w:val="24"/>
        </w:rPr>
      </w:pPr>
      <w:r>
        <w:rPr>
          <w:sz w:val="24"/>
        </w:rPr>
        <w:t>provision for amendment of the </w:t>
      </w:r>
      <w:r>
        <w:rPr>
          <w:i/>
          <w:sz w:val="24"/>
        </w:rPr>
        <w:t>connection contract </w:t>
      </w:r>
      <w:r>
        <w:rPr>
          <w:sz w:val="24"/>
        </w:rPr>
        <w:t>by agreement between the </w:t>
      </w:r>
      <w:r>
        <w:rPr>
          <w:i/>
          <w:sz w:val="24"/>
        </w:rPr>
        <w:t>Distribution Network Service Provider </w:t>
      </w:r>
      <w:r>
        <w:rPr>
          <w:sz w:val="24"/>
        </w:rPr>
        <w:t>and the </w:t>
      </w:r>
      <w:r>
        <w:rPr>
          <w:i/>
          <w:sz w:val="24"/>
        </w:rPr>
        <w:t>retail </w:t>
      </w:r>
      <w:r>
        <w:rPr>
          <w:i/>
          <w:sz w:val="24"/>
        </w:rPr>
        <w:t>customer</w:t>
      </w:r>
      <w:r>
        <w:rPr>
          <w:sz w:val="24"/>
        </w:rPr>
        <w:t>.</w:t>
      </w:r>
    </w:p>
    <w:p>
      <w:pPr>
        <w:pStyle w:val="ListParagraph"/>
        <w:numPr>
          <w:ilvl w:val="0"/>
          <w:numId w:val="382"/>
        </w:numPr>
        <w:tabs>
          <w:tab w:pos="1919" w:val="left" w:leader="none"/>
        </w:tabs>
        <w:spacing w:line="240" w:lineRule="auto" w:before="120" w:after="0"/>
        <w:ind w:left="1918" w:right="0" w:hanging="567"/>
        <w:jc w:val="both"/>
        <w:rPr>
          <w:sz w:val="24"/>
        </w:rPr>
      </w:pPr>
      <w:r>
        <w:rPr>
          <w:sz w:val="24"/>
        </w:rPr>
        <w:t>A </w:t>
      </w:r>
      <w:r>
        <w:rPr>
          <w:i/>
          <w:sz w:val="24"/>
        </w:rPr>
        <w:t>connection offer </w:t>
      </w:r>
      <w:r>
        <w:rPr>
          <w:sz w:val="24"/>
        </w:rPr>
        <w:t>that relates to </w:t>
      </w:r>
      <w:r>
        <w:rPr>
          <w:i/>
          <w:sz w:val="24"/>
        </w:rPr>
        <w:t>supply services </w:t>
      </w:r>
      <w:r>
        <w:rPr>
          <w:sz w:val="24"/>
        </w:rPr>
        <w:t>must also deal</w:t>
      </w:r>
      <w:r>
        <w:rPr>
          <w:spacing w:val="-11"/>
          <w:sz w:val="24"/>
        </w:rPr>
        <w:t> </w:t>
      </w:r>
      <w:r>
        <w:rPr>
          <w:sz w:val="24"/>
        </w:rPr>
        <w:t>with:</w:t>
      </w:r>
    </w:p>
    <w:p>
      <w:pPr>
        <w:pStyle w:val="ListParagraph"/>
        <w:numPr>
          <w:ilvl w:val="1"/>
          <w:numId w:val="382"/>
        </w:numPr>
        <w:tabs>
          <w:tab w:pos="2485" w:val="left" w:leader="none"/>
          <w:tab w:pos="2486" w:val="left" w:leader="none"/>
        </w:tabs>
        <w:spacing w:line="240" w:lineRule="auto" w:before="120" w:after="0"/>
        <w:ind w:left="2486" w:right="416" w:hanging="567"/>
        <w:jc w:val="left"/>
        <w:rPr>
          <w:sz w:val="24"/>
        </w:rPr>
      </w:pPr>
      <w:r>
        <w:rPr>
          <w:sz w:val="24"/>
        </w:rPr>
        <w:t>the </w:t>
      </w:r>
      <w:r>
        <w:rPr>
          <w:i/>
          <w:sz w:val="24"/>
        </w:rPr>
        <w:t>Distribution Network Service Provider's </w:t>
      </w:r>
      <w:r>
        <w:rPr>
          <w:sz w:val="24"/>
        </w:rPr>
        <w:t>power to interrupt or reduce the </w:t>
      </w:r>
      <w:r>
        <w:rPr>
          <w:i/>
          <w:sz w:val="24"/>
        </w:rPr>
        <w:t>supply </w:t>
      </w:r>
      <w:r>
        <w:rPr>
          <w:sz w:val="24"/>
        </w:rPr>
        <w:t>of electricity to the </w:t>
      </w:r>
      <w:r>
        <w:rPr>
          <w:i/>
          <w:sz w:val="24"/>
        </w:rPr>
        <w:t>connection point</w:t>
      </w:r>
      <w:r>
        <w:rPr>
          <w:sz w:val="24"/>
        </w:rPr>
        <w:t>;</w:t>
      </w:r>
      <w:r>
        <w:rPr>
          <w:spacing w:val="-4"/>
          <w:sz w:val="24"/>
        </w:rPr>
        <w:t> </w:t>
      </w:r>
      <w:r>
        <w:rPr>
          <w:sz w:val="24"/>
        </w:rPr>
        <w:t>and</w:t>
      </w:r>
    </w:p>
    <w:p>
      <w:pPr>
        <w:pStyle w:val="ListParagraph"/>
        <w:numPr>
          <w:ilvl w:val="1"/>
          <w:numId w:val="382"/>
        </w:numPr>
        <w:tabs>
          <w:tab w:pos="2485" w:val="left" w:leader="none"/>
          <w:tab w:pos="2486" w:val="left" w:leader="none"/>
        </w:tabs>
        <w:spacing w:line="240" w:lineRule="auto" w:before="120" w:after="0"/>
        <w:ind w:left="2486" w:right="416" w:hanging="567"/>
        <w:jc w:val="left"/>
        <w:rPr>
          <w:sz w:val="24"/>
        </w:rPr>
      </w:pPr>
      <w:r>
        <w:rPr>
          <w:sz w:val="24"/>
        </w:rPr>
        <w:t>warranties and limitations on the </w:t>
      </w:r>
      <w:r>
        <w:rPr>
          <w:i/>
          <w:sz w:val="24"/>
        </w:rPr>
        <w:t>Distribution Network Service </w:t>
      </w:r>
      <w:r>
        <w:rPr>
          <w:i/>
          <w:sz w:val="24"/>
        </w:rPr>
        <w:t>Provider's </w:t>
      </w:r>
      <w:r>
        <w:rPr>
          <w:sz w:val="24"/>
        </w:rPr>
        <w:t>liability;</w:t>
      </w:r>
      <w:r>
        <w:rPr>
          <w:spacing w:val="-2"/>
          <w:sz w:val="24"/>
        </w:rPr>
        <w:t> </w:t>
      </w:r>
      <w:r>
        <w:rPr>
          <w:sz w:val="24"/>
        </w:rPr>
        <w:t>and</w:t>
      </w:r>
    </w:p>
    <w:p>
      <w:pPr>
        <w:pStyle w:val="ListParagraph"/>
        <w:numPr>
          <w:ilvl w:val="1"/>
          <w:numId w:val="382"/>
        </w:numPr>
        <w:tabs>
          <w:tab w:pos="2485" w:val="left" w:leader="none"/>
          <w:tab w:pos="2486" w:val="left" w:leader="none"/>
        </w:tabs>
        <w:spacing w:line="240" w:lineRule="auto" w:before="120" w:after="0"/>
        <w:ind w:left="2485" w:right="0" w:hanging="567"/>
        <w:jc w:val="left"/>
        <w:rPr>
          <w:sz w:val="24"/>
        </w:rPr>
      </w:pPr>
      <w:r>
        <w:rPr>
          <w:i/>
          <w:sz w:val="24"/>
        </w:rPr>
        <w:t>disconnection </w:t>
      </w:r>
      <w:r>
        <w:rPr>
          <w:sz w:val="24"/>
        </w:rPr>
        <w:t>and reconnection;</w:t>
      </w:r>
      <w:r>
        <w:rPr>
          <w:spacing w:val="-3"/>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382"/>
        </w:numPr>
        <w:tabs>
          <w:tab w:pos="2485" w:val="left" w:leader="none"/>
          <w:tab w:pos="2486" w:val="left" w:leader="none"/>
        </w:tabs>
        <w:spacing w:line="240" w:lineRule="auto" w:before="83" w:after="0"/>
        <w:ind w:left="2485" w:right="0" w:hanging="567"/>
        <w:jc w:val="left"/>
        <w:rPr>
          <w:sz w:val="24"/>
        </w:rPr>
      </w:pPr>
      <w:r>
        <w:rPr>
          <w:sz w:val="24"/>
        </w:rPr>
        <w:t>reporting and correction of faults;</w:t>
      </w:r>
      <w:r>
        <w:rPr>
          <w:spacing w:val="-1"/>
          <w:sz w:val="24"/>
        </w:rPr>
        <w:t> </w:t>
      </w:r>
      <w:r>
        <w:rPr>
          <w:sz w:val="24"/>
        </w:rPr>
        <w:t>and</w:t>
      </w:r>
    </w:p>
    <w:p>
      <w:pPr>
        <w:pStyle w:val="ListParagraph"/>
        <w:numPr>
          <w:ilvl w:val="1"/>
          <w:numId w:val="382"/>
        </w:numPr>
        <w:tabs>
          <w:tab w:pos="2485" w:val="left" w:leader="none"/>
          <w:tab w:pos="2486" w:val="left" w:leader="none"/>
        </w:tabs>
        <w:spacing w:line="240" w:lineRule="auto" w:before="120" w:after="0"/>
        <w:ind w:left="2485" w:right="0" w:hanging="567"/>
        <w:jc w:val="left"/>
        <w:rPr>
          <w:sz w:val="24"/>
        </w:rPr>
      </w:pPr>
      <w:r>
        <w:rPr>
          <w:sz w:val="24"/>
        </w:rPr>
        <w:t>dispute resolution;</w:t>
      </w:r>
      <w:r>
        <w:rPr>
          <w:spacing w:val="-1"/>
          <w:sz w:val="24"/>
        </w:rPr>
        <w:t> </w:t>
      </w:r>
      <w:r>
        <w:rPr>
          <w:sz w:val="24"/>
        </w:rPr>
        <w:t>and</w:t>
      </w:r>
    </w:p>
    <w:p>
      <w:pPr>
        <w:pStyle w:val="ListParagraph"/>
        <w:numPr>
          <w:ilvl w:val="1"/>
          <w:numId w:val="382"/>
        </w:numPr>
        <w:tabs>
          <w:tab w:pos="2485" w:val="left" w:leader="none"/>
          <w:tab w:pos="2486" w:val="left" w:leader="none"/>
        </w:tabs>
        <w:spacing w:line="240" w:lineRule="auto" w:before="120" w:after="0"/>
        <w:ind w:left="2485" w:right="0" w:hanging="567"/>
        <w:jc w:val="left"/>
        <w:rPr>
          <w:sz w:val="24"/>
        </w:rPr>
      </w:pPr>
      <w:r>
        <w:rPr>
          <w:sz w:val="24"/>
        </w:rPr>
        <w:t>ongoing </w:t>
      </w:r>
      <w:r>
        <w:rPr>
          <w:i/>
          <w:sz w:val="24"/>
        </w:rPr>
        <w:t>customer </w:t>
      </w:r>
      <w:r>
        <w:rPr>
          <w:sz w:val="24"/>
        </w:rPr>
        <w:t>obligations;</w:t>
      </w:r>
      <w:r>
        <w:rPr>
          <w:spacing w:val="-1"/>
          <w:sz w:val="24"/>
        </w:rPr>
        <w:t> </w:t>
      </w:r>
      <w:r>
        <w:rPr>
          <w:sz w:val="24"/>
        </w:rPr>
        <w:t>and</w:t>
      </w:r>
    </w:p>
    <w:p>
      <w:pPr>
        <w:pStyle w:val="ListParagraph"/>
        <w:numPr>
          <w:ilvl w:val="1"/>
          <w:numId w:val="382"/>
        </w:numPr>
        <w:tabs>
          <w:tab w:pos="2485" w:val="left" w:leader="none"/>
          <w:tab w:pos="2486" w:val="left" w:leader="none"/>
        </w:tabs>
        <w:spacing w:line="240" w:lineRule="auto" w:before="120" w:after="0"/>
        <w:ind w:left="2485" w:right="0" w:hanging="567"/>
        <w:jc w:val="left"/>
        <w:rPr>
          <w:sz w:val="24"/>
        </w:rPr>
      </w:pPr>
      <w:r>
        <w:rPr>
          <w:sz w:val="24"/>
        </w:rPr>
        <w:t>termination of the </w:t>
      </w:r>
      <w:r>
        <w:rPr>
          <w:i/>
          <w:sz w:val="24"/>
        </w:rPr>
        <w:t>connection</w:t>
      </w:r>
      <w:r>
        <w:rPr>
          <w:i/>
          <w:spacing w:val="-1"/>
          <w:sz w:val="24"/>
        </w:rPr>
        <w:t> </w:t>
      </w:r>
      <w:r>
        <w:rPr>
          <w:i/>
          <w:sz w:val="24"/>
        </w:rPr>
        <w:t>contract</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B Connection offer involving embedd" w:id="1223"/>
      <w:bookmarkEnd w:id="1223"/>
      <w:r>
        <w:rPr>
          <w:b w:val="0"/>
        </w:rPr>
      </w:r>
      <w:bookmarkStart w:name="_bookmark505" w:id="1224"/>
      <w:bookmarkEnd w:id="1224"/>
      <w:r>
        <w:rPr>
          <w:b w:val="0"/>
        </w:rPr>
      </w:r>
      <w:r>
        <w:rPr>
          <w:shd w:fill="D9D9D9" w:color="auto" w:val="clear"/>
        </w:rPr>
        <w:t>Part B</w:t>
        <w:tab/>
        <w:t>Connection offer involving embedded</w:t>
      </w:r>
      <w:r>
        <w:rPr>
          <w:spacing w:val="-19"/>
          <w:shd w:fill="D9D9D9" w:color="auto" w:val="clear"/>
        </w:rPr>
        <w:t> </w:t>
      </w:r>
      <w:r>
        <w:rPr>
          <w:shd w:fill="D9D9D9" w:color="auto" w:val="clear"/>
        </w:rPr>
        <w:t>generation</w:t>
        <w:tab/>
      </w:r>
    </w:p>
    <w:p>
      <w:pPr>
        <w:pStyle w:val="ListParagraph"/>
        <w:numPr>
          <w:ilvl w:val="0"/>
          <w:numId w:val="383"/>
        </w:numPr>
        <w:tabs>
          <w:tab w:pos="1919" w:val="left" w:leader="none"/>
        </w:tabs>
        <w:spacing w:line="240" w:lineRule="auto" w:before="120" w:after="0"/>
        <w:ind w:left="1918" w:right="0" w:hanging="567"/>
        <w:jc w:val="both"/>
        <w:rPr>
          <w:sz w:val="24"/>
        </w:rPr>
      </w:pPr>
      <w:r>
        <w:rPr>
          <w:sz w:val="24"/>
        </w:rPr>
        <w:t>A</w:t>
      </w:r>
      <w:r>
        <w:rPr>
          <w:spacing w:val="43"/>
          <w:sz w:val="24"/>
        </w:rPr>
        <w:t> </w:t>
      </w:r>
      <w:r>
        <w:rPr>
          <w:i/>
          <w:sz w:val="24"/>
        </w:rPr>
        <w:t>connection</w:t>
      </w:r>
      <w:r>
        <w:rPr>
          <w:i/>
          <w:spacing w:val="44"/>
          <w:sz w:val="24"/>
        </w:rPr>
        <w:t> </w:t>
      </w:r>
      <w:r>
        <w:rPr>
          <w:i/>
          <w:sz w:val="24"/>
        </w:rPr>
        <w:t>offer</w:t>
      </w:r>
      <w:r>
        <w:rPr>
          <w:i/>
          <w:spacing w:val="44"/>
          <w:sz w:val="24"/>
        </w:rPr>
        <w:t> </w:t>
      </w:r>
      <w:r>
        <w:rPr>
          <w:sz w:val="24"/>
        </w:rPr>
        <w:t>to</w:t>
      </w:r>
      <w:r>
        <w:rPr>
          <w:spacing w:val="44"/>
          <w:sz w:val="24"/>
        </w:rPr>
        <w:t> </w:t>
      </w:r>
      <w:r>
        <w:rPr>
          <w:sz w:val="24"/>
        </w:rPr>
        <w:t>a</w:t>
      </w:r>
      <w:r>
        <w:rPr>
          <w:spacing w:val="44"/>
          <w:sz w:val="24"/>
        </w:rPr>
        <w:t> </w:t>
      </w:r>
      <w:r>
        <w:rPr>
          <w:sz w:val="24"/>
        </w:rPr>
        <w:t>person</w:t>
      </w:r>
      <w:r>
        <w:rPr>
          <w:spacing w:val="43"/>
          <w:sz w:val="24"/>
        </w:rPr>
        <w:t> </w:t>
      </w:r>
      <w:r>
        <w:rPr>
          <w:sz w:val="24"/>
        </w:rPr>
        <w:t>who</w:t>
      </w:r>
      <w:r>
        <w:rPr>
          <w:spacing w:val="44"/>
          <w:sz w:val="24"/>
        </w:rPr>
        <w:t> </w:t>
      </w:r>
      <w:r>
        <w:rPr>
          <w:sz w:val="24"/>
        </w:rPr>
        <w:t>operates,</w:t>
      </w:r>
      <w:r>
        <w:rPr>
          <w:spacing w:val="44"/>
          <w:sz w:val="24"/>
        </w:rPr>
        <w:t> </w:t>
      </w:r>
      <w:r>
        <w:rPr>
          <w:sz w:val="24"/>
        </w:rPr>
        <w:t>or</w:t>
      </w:r>
      <w:r>
        <w:rPr>
          <w:spacing w:val="44"/>
          <w:sz w:val="24"/>
        </w:rPr>
        <w:t> </w:t>
      </w:r>
      <w:r>
        <w:rPr>
          <w:sz w:val="24"/>
        </w:rPr>
        <w:t>proposes</w:t>
      </w:r>
      <w:r>
        <w:rPr>
          <w:spacing w:val="44"/>
          <w:sz w:val="24"/>
        </w:rPr>
        <w:t> </w:t>
      </w:r>
      <w:r>
        <w:rPr>
          <w:sz w:val="24"/>
        </w:rPr>
        <w:t>to</w:t>
      </w:r>
      <w:r>
        <w:rPr>
          <w:spacing w:val="43"/>
          <w:sz w:val="24"/>
        </w:rPr>
        <w:t> </w:t>
      </w:r>
      <w:r>
        <w:rPr>
          <w:sz w:val="24"/>
        </w:rPr>
        <w:t>operate,</w:t>
      </w:r>
      <w:r>
        <w:rPr>
          <w:spacing w:val="44"/>
          <w:sz w:val="24"/>
        </w:rPr>
        <w:t> </w:t>
      </w:r>
      <w:r>
        <w:rPr>
          <w:sz w:val="24"/>
        </w:rPr>
        <w:t>an</w:t>
      </w:r>
    </w:p>
    <w:p>
      <w:pPr>
        <w:spacing w:before="0"/>
        <w:ind w:left="1919" w:right="0" w:firstLine="0"/>
        <w:jc w:val="both"/>
        <w:rPr>
          <w:sz w:val="24"/>
        </w:rPr>
      </w:pPr>
      <w:r>
        <w:rPr>
          <w:i/>
          <w:sz w:val="24"/>
        </w:rPr>
        <w:t>embedded generating unit </w:t>
      </w:r>
      <w:r>
        <w:rPr>
          <w:sz w:val="24"/>
        </w:rPr>
        <w:t>(the </w:t>
      </w:r>
      <w:r>
        <w:rPr>
          <w:b/>
          <w:sz w:val="24"/>
        </w:rPr>
        <w:t>embedded generator</w:t>
      </w:r>
      <w:r>
        <w:rPr>
          <w:sz w:val="24"/>
        </w:rPr>
        <w:t>) must contain:</w:t>
      </w:r>
    </w:p>
    <w:p>
      <w:pPr>
        <w:pStyle w:val="ListParagraph"/>
        <w:numPr>
          <w:ilvl w:val="1"/>
          <w:numId w:val="383"/>
        </w:numPr>
        <w:tabs>
          <w:tab w:pos="2486" w:val="left" w:leader="none"/>
        </w:tabs>
        <w:spacing w:line="240" w:lineRule="auto" w:before="120" w:after="0"/>
        <w:ind w:left="2486" w:right="416" w:hanging="567"/>
        <w:jc w:val="both"/>
        <w:rPr>
          <w:sz w:val="24"/>
        </w:rPr>
      </w:pPr>
      <w:r>
        <w:rPr>
          <w:sz w:val="24"/>
        </w:rPr>
        <w:t>a provision stating that a </w:t>
      </w:r>
      <w:r>
        <w:rPr>
          <w:i/>
          <w:sz w:val="24"/>
        </w:rPr>
        <w:t>connection contract </w:t>
      </w:r>
      <w:r>
        <w:rPr>
          <w:sz w:val="24"/>
        </w:rPr>
        <w:t>will be formed, and will come into operation, on acceptance of the </w:t>
      </w:r>
      <w:r>
        <w:rPr>
          <w:i/>
          <w:sz w:val="24"/>
        </w:rPr>
        <w:t>connection offer</w:t>
      </w:r>
      <w:r>
        <w:rPr>
          <w:sz w:val="24"/>
        </w:rPr>
        <w:t>;</w:t>
      </w:r>
      <w:r>
        <w:rPr>
          <w:spacing w:val="-3"/>
          <w:sz w:val="24"/>
        </w:rPr>
        <w:t> </w:t>
      </w:r>
      <w:r>
        <w:rPr>
          <w:sz w:val="24"/>
        </w:rPr>
        <w:t>and</w:t>
      </w:r>
    </w:p>
    <w:p>
      <w:pPr>
        <w:pStyle w:val="ListParagraph"/>
        <w:numPr>
          <w:ilvl w:val="1"/>
          <w:numId w:val="383"/>
        </w:numPr>
        <w:tabs>
          <w:tab w:pos="2486" w:val="left" w:leader="none"/>
        </w:tabs>
        <w:spacing w:line="240" w:lineRule="auto" w:before="120" w:after="0"/>
        <w:ind w:left="2486" w:right="414" w:hanging="567"/>
        <w:jc w:val="both"/>
        <w:rPr>
          <w:sz w:val="24"/>
        </w:rPr>
      </w:pPr>
      <w:r>
        <w:rPr>
          <w:sz w:val="24"/>
        </w:rPr>
        <w:t>details of the </w:t>
      </w:r>
      <w:r>
        <w:rPr>
          <w:i/>
          <w:sz w:val="24"/>
        </w:rPr>
        <w:t>connection point</w:t>
      </w:r>
      <w:r>
        <w:rPr>
          <w:sz w:val="24"/>
        </w:rPr>
        <w:t>, the maximum capacity of the </w:t>
      </w:r>
      <w:r>
        <w:rPr>
          <w:i/>
          <w:sz w:val="24"/>
        </w:rPr>
        <w:t>connection </w:t>
      </w:r>
      <w:r>
        <w:rPr>
          <w:sz w:val="24"/>
        </w:rPr>
        <w:t>to import and export electricity, and the </w:t>
      </w:r>
      <w:r>
        <w:rPr>
          <w:i/>
          <w:sz w:val="24"/>
        </w:rPr>
        <w:t>embedded </w:t>
      </w:r>
      <w:r>
        <w:rPr>
          <w:i/>
          <w:sz w:val="24"/>
        </w:rPr>
        <w:t>generator's </w:t>
      </w:r>
      <w:r>
        <w:rPr>
          <w:sz w:val="24"/>
        </w:rPr>
        <w:t>installation required at the </w:t>
      </w:r>
      <w:r>
        <w:rPr>
          <w:i/>
          <w:sz w:val="24"/>
        </w:rPr>
        <w:t>connection point</w:t>
      </w:r>
      <w:r>
        <w:rPr>
          <w:sz w:val="24"/>
        </w:rPr>
        <w:t>;</w:t>
      </w:r>
      <w:r>
        <w:rPr>
          <w:spacing w:val="-2"/>
          <w:sz w:val="24"/>
        </w:rPr>
        <w:t> </w:t>
      </w:r>
      <w:r>
        <w:rPr>
          <w:sz w:val="24"/>
        </w:rPr>
        <w:t>and</w:t>
      </w:r>
    </w:p>
    <w:p>
      <w:pPr>
        <w:pStyle w:val="ListParagraph"/>
        <w:numPr>
          <w:ilvl w:val="1"/>
          <w:numId w:val="383"/>
        </w:numPr>
        <w:tabs>
          <w:tab w:pos="2486" w:val="left" w:leader="none"/>
        </w:tabs>
        <w:spacing w:line="240" w:lineRule="auto" w:before="120" w:after="0"/>
        <w:ind w:left="2486" w:right="414" w:hanging="567"/>
        <w:jc w:val="both"/>
        <w:rPr>
          <w:sz w:val="24"/>
        </w:rPr>
      </w:pPr>
      <w:r>
        <w:rPr>
          <w:sz w:val="24"/>
        </w:rPr>
        <w:t>details of the </w:t>
      </w:r>
      <w:r>
        <w:rPr>
          <w:i/>
          <w:sz w:val="24"/>
        </w:rPr>
        <w:t>premises connection assets </w:t>
      </w:r>
      <w:r>
        <w:rPr>
          <w:sz w:val="24"/>
        </w:rPr>
        <w:t>and additional equipment to be installed on the premises and responsibility for undertaking the work;</w:t>
      </w:r>
      <w:r>
        <w:rPr>
          <w:spacing w:val="-2"/>
          <w:sz w:val="24"/>
        </w:rPr>
        <w:t> </w:t>
      </w:r>
      <w:r>
        <w:rPr>
          <w:sz w:val="24"/>
        </w:rPr>
        <w:t>and</w:t>
      </w:r>
    </w:p>
    <w:p>
      <w:pPr>
        <w:pStyle w:val="ListParagraph"/>
        <w:numPr>
          <w:ilvl w:val="1"/>
          <w:numId w:val="383"/>
        </w:numPr>
        <w:tabs>
          <w:tab w:pos="2486" w:val="left" w:leader="none"/>
        </w:tabs>
        <w:spacing w:line="240" w:lineRule="auto" w:before="120" w:after="0"/>
        <w:ind w:left="2485" w:right="0" w:hanging="567"/>
        <w:jc w:val="both"/>
        <w:rPr>
          <w:i/>
          <w:sz w:val="24"/>
        </w:rPr>
      </w:pPr>
      <w:r>
        <w:rPr>
          <w:sz w:val="24"/>
        </w:rPr>
        <w:t>details</w:t>
      </w:r>
      <w:r>
        <w:rPr>
          <w:spacing w:val="41"/>
          <w:sz w:val="24"/>
        </w:rPr>
        <w:t> </w:t>
      </w:r>
      <w:r>
        <w:rPr>
          <w:sz w:val="24"/>
        </w:rPr>
        <w:t>of</w:t>
      </w:r>
      <w:r>
        <w:rPr>
          <w:spacing w:val="42"/>
          <w:sz w:val="24"/>
        </w:rPr>
        <w:t> </w:t>
      </w:r>
      <w:r>
        <w:rPr>
          <w:sz w:val="24"/>
        </w:rPr>
        <w:t>any</w:t>
      </w:r>
      <w:r>
        <w:rPr>
          <w:spacing w:val="42"/>
          <w:sz w:val="24"/>
        </w:rPr>
        <w:t> </w:t>
      </w:r>
      <w:r>
        <w:rPr>
          <w:i/>
          <w:sz w:val="24"/>
        </w:rPr>
        <w:t>distribution</w:t>
      </w:r>
      <w:r>
        <w:rPr>
          <w:i/>
          <w:spacing w:val="42"/>
          <w:sz w:val="24"/>
        </w:rPr>
        <w:t> </w:t>
      </w:r>
      <w:r>
        <w:rPr>
          <w:i/>
          <w:sz w:val="24"/>
        </w:rPr>
        <w:t>network</w:t>
      </w:r>
      <w:r>
        <w:rPr>
          <w:i/>
          <w:spacing w:val="41"/>
          <w:sz w:val="24"/>
        </w:rPr>
        <w:t> </w:t>
      </w:r>
      <w:r>
        <w:rPr>
          <w:i/>
          <w:sz w:val="24"/>
        </w:rPr>
        <w:t>extension</w:t>
      </w:r>
      <w:r>
        <w:rPr>
          <w:i/>
          <w:spacing w:val="42"/>
          <w:sz w:val="24"/>
        </w:rPr>
        <w:t> </w:t>
      </w:r>
      <w:r>
        <w:rPr>
          <w:sz w:val="24"/>
        </w:rPr>
        <w:t>or</w:t>
      </w:r>
      <w:r>
        <w:rPr>
          <w:spacing w:val="42"/>
          <w:sz w:val="24"/>
        </w:rPr>
        <w:t> </w:t>
      </w:r>
      <w:r>
        <w:rPr>
          <w:sz w:val="24"/>
        </w:rPr>
        <w:t>other</w:t>
      </w:r>
      <w:r>
        <w:rPr>
          <w:spacing w:val="42"/>
          <w:sz w:val="24"/>
        </w:rPr>
        <w:t> </w:t>
      </w:r>
      <w:r>
        <w:rPr>
          <w:i/>
          <w:sz w:val="24"/>
        </w:rPr>
        <w:t>augmentation</w:t>
      </w:r>
    </w:p>
    <w:p>
      <w:pPr>
        <w:spacing w:before="0"/>
        <w:ind w:left="2486" w:right="0" w:firstLine="0"/>
        <w:jc w:val="both"/>
        <w:rPr>
          <w:sz w:val="24"/>
        </w:rPr>
      </w:pPr>
      <w:r>
        <w:rPr>
          <w:sz w:val="24"/>
        </w:rPr>
        <w:t>required for the purposes of the </w:t>
      </w:r>
      <w:r>
        <w:rPr>
          <w:i/>
          <w:sz w:val="24"/>
        </w:rPr>
        <w:t>connection</w:t>
      </w:r>
      <w:r>
        <w:rPr>
          <w:sz w:val="24"/>
        </w:rPr>
        <w:t>; and</w:t>
      </w:r>
    </w:p>
    <w:p>
      <w:pPr>
        <w:pStyle w:val="ListParagraph"/>
        <w:numPr>
          <w:ilvl w:val="1"/>
          <w:numId w:val="383"/>
        </w:numPr>
        <w:tabs>
          <w:tab w:pos="2486" w:val="left" w:leader="none"/>
        </w:tabs>
        <w:spacing w:line="240" w:lineRule="auto" w:before="120" w:after="0"/>
        <w:ind w:left="2485" w:right="0" w:hanging="567"/>
        <w:jc w:val="both"/>
        <w:rPr>
          <w:sz w:val="24"/>
        </w:rPr>
      </w:pPr>
      <w:r>
        <w:rPr>
          <w:sz w:val="24"/>
        </w:rPr>
        <w:t>an</w:t>
      </w:r>
      <w:r>
        <w:rPr>
          <w:spacing w:val="41"/>
          <w:sz w:val="24"/>
        </w:rPr>
        <w:t> </w:t>
      </w:r>
      <w:r>
        <w:rPr>
          <w:sz w:val="24"/>
        </w:rPr>
        <w:t>undertaking</w:t>
      </w:r>
      <w:r>
        <w:rPr>
          <w:spacing w:val="41"/>
          <w:sz w:val="24"/>
        </w:rPr>
        <w:t> </w:t>
      </w:r>
      <w:r>
        <w:rPr>
          <w:sz w:val="24"/>
        </w:rPr>
        <w:t>to</w:t>
      </w:r>
      <w:r>
        <w:rPr>
          <w:spacing w:val="42"/>
          <w:sz w:val="24"/>
        </w:rPr>
        <w:t> </w:t>
      </w:r>
      <w:r>
        <w:rPr>
          <w:sz w:val="24"/>
        </w:rPr>
        <w:t>complete</w:t>
      </w:r>
      <w:r>
        <w:rPr>
          <w:spacing w:val="40"/>
          <w:sz w:val="24"/>
        </w:rPr>
        <w:t> </w:t>
      </w:r>
      <w:r>
        <w:rPr>
          <w:sz w:val="24"/>
        </w:rPr>
        <w:t>the</w:t>
      </w:r>
      <w:r>
        <w:rPr>
          <w:spacing w:val="42"/>
          <w:sz w:val="24"/>
        </w:rPr>
        <w:t> </w:t>
      </w:r>
      <w:r>
        <w:rPr>
          <w:sz w:val="24"/>
        </w:rPr>
        <w:t>work</w:t>
      </w:r>
      <w:r>
        <w:rPr>
          <w:spacing w:val="40"/>
          <w:sz w:val="24"/>
        </w:rPr>
        <w:t> </w:t>
      </w:r>
      <w:r>
        <w:rPr>
          <w:sz w:val="24"/>
        </w:rPr>
        <w:t>required</w:t>
      </w:r>
      <w:r>
        <w:rPr>
          <w:spacing w:val="42"/>
          <w:sz w:val="24"/>
        </w:rPr>
        <w:t> </w:t>
      </w:r>
      <w:r>
        <w:rPr>
          <w:sz w:val="24"/>
        </w:rPr>
        <w:t>to</w:t>
      </w:r>
      <w:r>
        <w:rPr>
          <w:spacing w:val="41"/>
          <w:sz w:val="24"/>
        </w:rPr>
        <w:t> </w:t>
      </w:r>
      <w:r>
        <w:rPr>
          <w:sz w:val="24"/>
        </w:rPr>
        <w:t>establish</w:t>
      </w:r>
      <w:r>
        <w:rPr>
          <w:spacing w:val="42"/>
          <w:sz w:val="24"/>
        </w:rPr>
        <w:t> </w:t>
      </w:r>
      <w:r>
        <w:rPr>
          <w:sz w:val="24"/>
        </w:rPr>
        <w:t>the</w:t>
      </w:r>
    </w:p>
    <w:p>
      <w:pPr>
        <w:spacing w:before="0"/>
        <w:ind w:left="2486" w:right="0" w:firstLine="0"/>
        <w:jc w:val="both"/>
        <w:rPr>
          <w:sz w:val="24"/>
        </w:rPr>
      </w:pPr>
      <w:r>
        <w:rPr>
          <w:i/>
          <w:sz w:val="24"/>
        </w:rPr>
        <w:t>connection </w:t>
      </w:r>
      <w:r>
        <w:rPr>
          <w:sz w:val="24"/>
        </w:rPr>
        <w:t>within a specified </w:t>
      </w:r>
      <w:r>
        <w:rPr>
          <w:i/>
          <w:sz w:val="24"/>
        </w:rPr>
        <w:t>time </w:t>
      </w:r>
      <w:r>
        <w:rPr>
          <w:sz w:val="24"/>
        </w:rPr>
        <w:t>frame; and</w:t>
      </w:r>
    </w:p>
    <w:p>
      <w:pPr>
        <w:pStyle w:val="ListParagraph"/>
        <w:numPr>
          <w:ilvl w:val="1"/>
          <w:numId w:val="383"/>
        </w:numPr>
        <w:tabs>
          <w:tab w:pos="2486" w:val="left" w:leader="none"/>
        </w:tabs>
        <w:spacing w:line="240" w:lineRule="auto" w:before="120" w:after="0"/>
        <w:ind w:left="2485" w:right="0" w:hanging="567"/>
        <w:jc w:val="both"/>
        <w:rPr>
          <w:sz w:val="24"/>
        </w:rPr>
      </w:pPr>
      <w:r>
        <w:rPr>
          <w:sz w:val="24"/>
        </w:rPr>
        <w:t>a</w:t>
      </w:r>
      <w:r>
        <w:rPr>
          <w:spacing w:val="21"/>
          <w:sz w:val="24"/>
        </w:rPr>
        <w:t> </w:t>
      </w:r>
      <w:r>
        <w:rPr>
          <w:sz w:val="24"/>
        </w:rPr>
        <w:t>requirement</w:t>
      </w:r>
      <w:r>
        <w:rPr>
          <w:spacing w:val="22"/>
          <w:sz w:val="24"/>
        </w:rPr>
        <w:t> </w:t>
      </w:r>
      <w:r>
        <w:rPr>
          <w:sz w:val="24"/>
        </w:rPr>
        <w:t>that</w:t>
      </w:r>
      <w:r>
        <w:rPr>
          <w:spacing w:val="22"/>
          <w:sz w:val="24"/>
        </w:rPr>
        <w:t> </w:t>
      </w:r>
      <w:r>
        <w:rPr>
          <w:sz w:val="24"/>
        </w:rPr>
        <w:t>the</w:t>
      </w:r>
      <w:r>
        <w:rPr>
          <w:spacing w:val="22"/>
          <w:sz w:val="24"/>
        </w:rPr>
        <w:t> </w:t>
      </w:r>
      <w:r>
        <w:rPr>
          <w:i/>
          <w:sz w:val="24"/>
        </w:rPr>
        <w:t>embedded</w:t>
      </w:r>
      <w:r>
        <w:rPr>
          <w:i/>
          <w:spacing w:val="21"/>
          <w:sz w:val="24"/>
        </w:rPr>
        <w:t> </w:t>
      </w:r>
      <w:r>
        <w:rPr>
          <w:i/>
          <w:sz w:val="24"/>
        </w:rPr>
        <w:t>generator</w:t>
      </w:r>
      <w:r>
        <w:rPr>
          <w:i/>
          <w:spacing w:val="22"/>
          <w:sz w:val="24"/>
        </w:rPr>
        <w:t> </w:t>
      </w:r>
      <w:r>
        <w:rPr>
          <w:sz w:val="24"/>
        </w:rPr>
        <w:t>have</w:t>
      </w:r>
      <w:r>
        <w:rPr>
          <w:spacing w:val="22"/>
          <w:sz w:val="24"/>
        </w:rPr>
        <w:t> </w:t>
      </w:r>
      <w:r>
        <w:rPr>
          <w:sz w:val="24"/>
        </w:rPr>
        <w:t>appropriate</w:t>
      </w:r>
    </w:p>
    <w:p>
      <w:pPr>
        <w:spacing w:before="0"/>
        <w:ind w:left="2486" w:right="0" w:firstLine="0"/>
        <w:jc w:val="both"/>
        <w:rPr>
          <w:sz w:val="24"/>
        </w:rPr>
      </w:pPr>
      <w:r>
        <w:rPr>
          <w:i/>
          <w:sz w:val="24"/>
        </w:rPr>
        <w:t>metering</w:t>
      </w:r>
      <w:r>
        <w:rPr>
          <w:sz w:val="24"/>
        </w:rPr>
        <w:t>installed; and</w:t>
      </w:r>
    </w:p>
    <w:p>
      <w:pPr>
        <w:pStyle w:val="ListParagraph"/>
        <w:numPr>
          <w:ilvl w:val="1"/>
          <w:numId w:val="383"/>
        </w:numPr>
        <w:tabs>
          <w:tab w:pos="2486" w:val="left" w:leader="none"/>
        </w:tabs>
        <w:spacing w:line="240" w:lineRule="auto" w:before="120" w:after="0"/>
        <w:ind w:left="2485" w:right="0" w:hanging="567"/>
        <w:jc w:val="both"/>
        <w:rPr>
          <w:sz w:val="24"/>
        </w:rPr>
      </w:pPr>
      <w:r>
        <w:rPr>
          <w:sz w:val="24"/>
        </w:rPr>
        <w:t>the</w:t>
      </w:r>
      <w:r>
        <w:rPr>
          <w:spacing w:val="37"/>
          <w:sz w:val="24"/>
        </w:rPr>
        <w:t> </w:t>
      </w:r>
      <w:r>
        <w:rPr>
          <w:sz w:val="24"/>
        </w:rPr>
        <w:t>relevant</w:t>
      </w:r>
      <w:r>
        <w:rPr>
          <w:spacing w:val="38"/>
          <w:sz w:val="24"/>
        </w:rPr>
        <w:t> </w:t>
      </w:r>
      <w:r>
        <w:rPr>
          <w:sz w:val="24"/>
        </w:rPr>
        <w:t>technical</w:t>
      </w:r>
      <w:r>
        <w:rPr>
          <w:spacing w:val="36"/>
          <w:sz w:val="24"/>
        </w:rPr>
        <w:t> </w:t>
      </w:r>
      <w:r>
        <w:rPr>
          <w:sz w:val="24"/>
        </w:rPr>
        <w:t>and</w:t>
      </w:r>
      <w:r>
        <w:rPr>
          <w:spacing w:val="37"/>
          <w:sz w:val="24"/>
        </w:rPr>
        <w:t> </w:t>
      </w:r>
      <w:r>
        <w:rPr>
          <w:sz w:val="24"/>
        </w:rPr>
        <w:t>safety</w:t>
      </w:r>
      <w:r>
        <w:rPr>
          <w:spacing w:val="38"/>
          <w:sz w:val="24"/>
        </w:rPr>
        <w:t> </w:t>
      </w:r>
      <w:r>
        <w:rPr>
          <w:sz w:val="24"/>
        </w:rPr>
        <w:t>obligations</w:t>
      </w:r>
      <w:r>
        <w:rPr>
          <w:spacing w:val="36"/>
          <w:sz w:val="24"/>
        </w:rPr>
        <w:t> </w:t>
      </w:r>
      <w:r>
        <w:rPr>
          <w:sz w:val="24"/>
        </w:rPr>
        <w:t>to</w:t>
      </w:r>
      <w:r>
        <w:rPr>
          <w:spacing w:val="37"/>
          <w:sz w:val="24"/>
        </w:rPr>
        <w:t> </w:t>
      </w:r>
      <w:r>
        <w:rPr>
          <w:sz w:val="24"/>
        </w:rPr>
        <w:t>be</w:t>
      </w:r>
      <w:r>
        <w:rPr>
          <w:spacing w:val="36"/>
          <w:sz w:val="24"/>
        </w:rPr>
        <w:t> </w:t>
      </w:r>
      <w:r>
        <w:rPr>
          <w:sz w:val="24"/>
        </w:rPr>
        <w:t>met</w:t>
      </w:r>
      <w:r>
        <w:rPr>
          <w:spacing w:val="38"/>
          <w:sz w:val="24"/>
        </w:rPr>
        <w:t> </w:t>
      </w:r>
      <w:r>
        <w:rPr>
          <w:sz w:val="24"/>
        </w:rPr>
        <w:t>by</w:t>
      </w:r>
      <w:r>
        <w:rPr>
          <w:spacing w:val="37"/>
          <w:sz w:val="24"/>
        </w:rPr>
        <w:t> </w:t>
      </w:r>
      <w:r>
        <w:rPr>
          <w:sz w:val="24"/>
        </w:rPr>
        <w:t>the</w:t>
      </w:r>
    </w:p>
    <w:p>
      <w:pPr>
        <w:spacing w:before="0"/>
        <w:ind w:left="2486" w:right="0" w:firstLine="0"/>
        <w:jc w:val="both"/>
        <w:rPr>
          <w:sz w:val="24"/>
        </w:rPr>
      </w:pPr>
      <w:r>
        <w:rPr>
          <w:i/>
          <w:sz w:val="24"/>
        </w:rPr>
        <w:t>embedded generator </w:t>
      </w:r>
      <w:r>
        <w:rPr>
          <w:sz w:val="24"/>
        </w:rPr>
        <w:t>relating to the installation; and</w:t>
      </w:r>
    </w:p>
    <w:p>
      <w:pPr>
        <w:pStyle w:val="ListParagraph"/>
        <w:numPr>
          <w:ilvl w:val="1"/>
          <w:numId w:val="383"/>
        </w:numPr>
        <w:tabs>
          <w:tab w:pos="2486" w:val="left" w:leader="none"/>
        </w:tabs>
        <w:spacing w:line="240" w:lineRule="auto" w:before="120" w:after="0"/>
        <w:ind w:left="2486" w:right="415" w:hanging="567"/>
        <w:jc w:val="both"/>
        <w:rPr>
          <w:sz w:val="24"/>
        </w:rPr>
      </w:pPr>
      <w:r>
        <w:rPr>
          <w:sz w:val="24"/>
        </w:rPr>
        <w:t>the </w:t>
      </w:r>
      <w:r>
        <w:rPr>
          <w:i/>
          <w:sz w:val="24"/>
        </w:rPr>
        <w:t>embedded generator's </w:t>
      </w:r>
      <w:r>
        <w:rPr>
          <w:sz w:val="24"/>
        </w:rPr>
        <w:t>obligation to allow access to the premises by the </w:t>
      </w:r>
      <w:r>
        <w:rPr>
          <w:i/>
          <w:sz w:val="24"/>
        </w:rPr>
        <w:t>Distribution Network Service Provider's </w:t>
      </w:r>
      <w:r>
        <w:rPr>
          <w:sz w:val="24"/>
        </w:rPr>
        <w:t>agents, contractors and employees;</w:t>
      </w:r>
      <w:r>
        <w:rPr>
          <w:spacing w:val="-1"/>
          <w:sz w:val="24"/>
        </w:rPr>
        <w:t> </w:t>
      </w:r>
      <w:r>
        <w:rPr>
          <w:sz w:val="24"/>
        </w:rPr>
        <w:t>and</w:t>
      </w:r>
    </w:p>
    <w:p>
      <w:pPr>
        <w:pStyle w:val="ListParagraph"/>
        <w:numPr>
          <w:ilvl w:val="1"/>
          <w:numId w:val="383"/>
        </w:numPr>
        <w:tabs>
          <w:tab w:pos="2486" w:val="left" w:leader="none"/>
        </w:tabs>
        <w:spacing w:line="240" w:lineRule="auto" w:before="120" w:after="0"/>
        <w:ind w:left="2486" w:right="415" w:hanging="567"/>
        <w:jc w:val="both"/>
        <w:rPr>
          <w:sz w:val="24"/>
        </w:rPr>
      </w:pPr>
      <w:r>
        <w:rPr>
          <w:sz w:val="24"/>
        </w:rPr>
        <w:t>the </w:t>
      </w:r>
      <w:r>
        <w:rPr>
          <w:i/>
          <w:sz w:val="24"/>
        </w:rPr>
        <w:t>embedded generator's </w:t>
      </w:r>
      <w:r>
        <w:rPr>
          <w:sz w:val="24"/>
        </w:rPr>
        <w:t>obligation to accommodate on its premises, and protect from harm, any equipment necessary for the </w:t>
      </w:r>
      <w:r>
        <w:rPr>
          <w:i/>
          <w:sz w:val="24"/>
        </w:rPr>
        <w:t>connection</w:t>
      </w:r>
      <w:r>
        <w:rPr>
          <w:sz w:val="24"/>
        </w:rPr>
        <w:t>; and</w:t>
      </w:r>
    </w:p>
    <w:p>
      <w:pPr>
        <w:pStyle w:val="ListParagraph"/>
        <w:numPr>
          <w:ilvl w:val="1"/>
          <w:numId w:val="383"/>
        </w:numPr>
        <w:tabs>
          <w:tab w:pos="2486" w:val="left" w:leader="none"/>
        </w:tabs>
        <w:spacing w:line="240" w:lineRule="auto" w:before="120" w:after="0"/>
        <w:ind w:left="2486" w:right="414" w:hanging="567"/>
        <w:jc w:val="both"/>
        <w:rPr>
          <w:sz w:val="24"/>
        </w:rPr>
      </w:pPr>
      <w:r>
        <w:rPr>
          <w:sz w:val="24"/>
        </w:rPr>
        <w:t>details of the </w:t>
      </w:r>
      <w:r>
        <w:rPr>
          <w:i/>
          <w:sz w:val="24"/>
        </w:rPr>
        <w:t>embedded generator's </w:t>
      </w:r>
      <w:r>
        <w:rPr>
          <w:sz w:val="24"/>
        </w:rPr>
        <w:t>monetary obligations including billing arrangements and any security to be provided by the </w:t>
      </w:r>
      <w:r>
        <w:rPr>
          <w:i/>
          <w:sz w:val="24"/>
        </w:rPr>
        <w:t>embedded </w:t>
      </w:r>
      <w:r>
        <w:rPr>
          <w:i/>
          <w:sz w:val="24"/>
        </w:rPr>
        <w:t>generator</w:t>
      </w:r>
      <w:r>
        <w:rPr>
          <w:sz w:val="24"/>
        </w:rPr>
        <w:t>; and</w:t>
      </w:r>
    </w:p>
    <w:p>
      <w:pPr>
        <w:pStyle w:val="ListParagraph"/>
        <w:numPr>
          <w:ilvl w:val="1"/>
          <w:numId w:val="383"/>
        </w:numPr>
        <w:tabs>
          <w:tab w:pos="2486" w:val="left" w:leader="none"/>
        </w:tabs>
        <w:spacing w:line="240" w:lineRule="auto" w:before="120" w:after="0"/>
        <w:ind w:left="2486" w:right="416" w:hanging="567"/>
        <w:jc w:val="both"/>
        <w:rPr>
          <w:sz w:val="24"/>
        </w:rPr>
      </w:pPr>
      <w:r>
        <w:rPr>
          <w:sz w:val="24"/>
        </w:rPr>
        <w:t>details of the </w:t>
      </w:r>
      <w:r>
        <w:rPr>
          <w:i/>
          <w:sz w:val="24"/>
        </w:rPr>
        <w:t>Distribution Network Service Provider's </w:t>
      </w:r>
      <w:r>
        <w:rPr>
          <w:sz w:val="24"/>
        </w:rPr>
        <w:t>monetary obligations (if any) to the </w:t>
      </w:r>
      <w:r>
        <w:rPr>
          <w:i/>
          <w:sz w:val="24"/>
        </w:rPr>
        <w:t>embedded generator</w:t>
      </w:r>
      <w:r>
        <w:rPr>
          <w:sz w:val="24"/>
        </w:rPr>
        <w:t>;</w:t>
      </w:r>
      <w:r>
        <w:rPr>
          <w:spacing w:val="-1"/>
          <w:sz w:val="24"/>
        </w:rPr>
        <w:t> </w:t>
      </w:r>
      <w:r>
        <w:rPr>
          <w:sz w:val="24"/>
        </w:rPr>
        <w:t>and</w:t>
      </w:r>
    </w:p>
    <w:p>
      <w:pPr>
        <w:pStyle w:val="ListParagraph"/>
        <w:numPr>
          <w:ilvl w:val="1"/>
          <w:numId w:val="383"/>
        </w:numPr>
        <w:tabs>
          <w:tab w:pos="2486" w:val="left" w:leader="none"/>
        </w:tabs>
        <w:spacing w:line="240" w:lineRule="auto" w:before="120" w:after="0"/>
        <w:ind w:left="2486" w:right="414" w:hanging="567"/>
        <w:jc w:val="both"/>
        <w:rPr>
          <w:sz w:val="24"/>
        </w:rPr>
      </w:pPr>
      <w:r>
        <w:rPr>
          <w:sz w:val="24"/>
        </w:rPr>
        <w:t>a provision requiring the </w:t>
      </w:r>
      <w:r>
        <w:rPr>
          <w:i/>
          <w:sz w:val="24"/>
        </w:rPr>
        <w:t>Distribution Network Service Provider </w:t>
      </w:r>
      <w:r>
        <w:rPr>
          <w:sz w:val="24"/>
        </w:rPr>
        <w:t>to provide information about the </w:t>
      </w:r>
      <w:r>
        <w:rPr>
          <w:i/>
          <w:sz w:val="24"/>
        </w:rPr>
        <w:t>connection </w:t>
      </w:r>
      <w:r>
        <w:rPr>
          <w:sz w:val="24"/>
        </w:rPr>
        <w:t>to the </w:t>
      </w:r>
      <w:r>
        <w:rPr>
          <w:i/>
          <w:sz w:val="24"/>
        </w:rPr>
        <w:t>embedded generator</w:t>
      </w:r>
      <w:r>
        <w:rPr>
          <w:sz w:val="24"/>
        </w:rPr>
        <w:t>; and</w:t>
      </w:r>
    </w:p>
    <w:p>
      <w:pPr>
        <w:pStyle w:val="ListParagraph"/>
        <w:numPr>
          <w:ilvl w:val="1"/>
          <w:numId w:val="383"/>
        </w:numPr>
        <w:tabs>
          <w:tab w:pos="2486" w:val="left" w:leader="none"/>
        </w:tabs>
        <w:spacing w:line="240" w:lineRule="auto" w:before="120" w:after="0"/>
        <w:ind w:left="2486" w:right="415" w:hanging="567"/>
        <w:jc w:val="both"/>
        <w:rPr>
          <w:sz w:val="24"/>
        </w:rPr>
      </w:pPr>
      <w:r>
        <w:rPr>
          <w:sz w:val="24"/>
        </w:rPr>
        <w:t>provision for amendment of the </w:t>
      </w:r>
      <w:r>
        <w:rPr>
          <w:i/>
          <w:sz w:val="24"/>
        </w:rPr>
        <w:t>connection contract </w:t>
      </w:r>
      <w:r>
        <w:rPr>
          <w:sz w:val="24"/>
        </w:rPr>
        <w:t>by agreement between the </w:t>
      </w:r>
      <w:r>
        <w:rPr>
          <w:i/>
          <w:sz w:val="24"/>
        </w:rPr>
        <w:t>Distribution Network Service Provider </w:t>
      </w:r>
      <w:r>
        <w:rPr>
          <w:sz w:val="24"/>
        </w:rPr>
        <w:t>and the </w:t>
      </w:r>
      <w:r>
        <w:rPr>
          <w:i/>
          <w:sz w:val="24"/>
        </w:rPr>
        <w:t>embedded </w:t>
      </w:r>
      <w:r>
        <w:rPr>
          <w:i/>
          <w:sz w:val="24"/>
        </w:rPr>
        <w:t>generator</w:t>
      </w:r>
      <w:r>
        <w:rPr>
          <w:sz w:val="24"/>
        </w:rPr>
        <w:t>.</w:t>
      </w:r>
    </w:p>
    <w:p>
      <w:pPr>
        <w:pStyle w:val="ListParagraph"/>
        <w:numPr>
          <w:ilvl w:val="0"/>
          <w:numId w:val="383"/>
        </w:numPr>
        <w:tabs>
          <w:tab w:pos="1919" w:val="left" w:leader="none"/>
        </w:tabs>
        <w:spacing w:line="240" w:lineRule="auto" w:before="120" w:after="0"/>
        <w:ind w:left="1918" w:right="0" w:hanging="567"/>
        <w:jc w:val="both"/>
        <w:rPr>
          <w:sz w:val="24"/>
        </w:rPr>
      </w:pPr>
      <w:r>
        <w:rPr>
          <w:sz w:val="24"/>
        </w:rPr>
        <w:t>A </w:t>
      </w:r>
      <w:r>
        <w:rPr>
          <w:i/>
          <w:sz w:val="24"/>
        </w:rPr>
        <w:t>connection contract </w:t>
      </w:r>
      <w:r>
        <w:rPr>
          <w:sz w:val="24"/>
        </w:rPr>
        <w:t>that relates to </w:t>
      </w:r>
      <w:r>
        <w:rPr>
          <w:i/>
          <w:sz w:val="24"/>
        </w:rPr>
        <w:t>supply services </w:t>
      </w:r>
      <w:r>
        <w:rPr>
          <w:sz w:val="24"/>
        </w:rPr>
        <w:t>must also deal</w:t>
      </w:r>
      <w:r>
        <w:rPr>
          <w:spacing w:val="-11"/>
          <w:sz w:val="24"/>
        </w:rPr>
        <w:t> </w:t>
      </w:r>
      <w:r>
        <w:rPr>
          <w:sz w:val="24"/>
        </w:rPr>
        <w:t>with:</w:t>
      </w:r>
    </w:p>
    <w:p>
      <w:pPr>
        <w:spacing w:after="0" w:line="240" w:lineRule="auto"/>
        <w:jc w:val="both"/>
        <w:rPr>
          <w:sz w:val="24"/>
        </w:rPr>
        <w:sectPr>
          <w:pgSz w:w="11910" w:h="16840"/>
          <w:pgMar w:header="686" w:footer="637" w:top="1320" w:bottom="820" w:left="1200" w:right="1000"/>
        </w:sectPr>
      </w:pPr>
    </w:p>
    <w:p>
      <w:pPr>
        <w:pStyle w:val="ListParagraph"/>
        <w:numPr>
          <w:ilvl w:val="1"/>
          <w:numId w:val="383"/>
        </w:numPr>
        <w:tabs>
          <w:tab w:pos="2485" w:val="left" w:leader="none"/>
          <w:tab w:pos="2486" w:val="left" w:leader="none"/>
        </w:tabs>
        <w:spacing w:line="240" w:lineRule="auto" w:before="83" w:after="0"/>
        <w:ind w:left="2486" w:right="416" w:hanging="567"/>
        <w:jc w:val="left"/>
        <w:rPr>
          <w:sz w:val="24"/>
        </w:rPr>
      </w:pPr>
      <w:r>
        <w:rPr>
          <w:sz w:val="24"/>
        </w:rPr>
        <w:t>the </w:t>
      </w:r>
      <w:r>
        <w:rPr>
          <w:i/>
          <w:sz w:val="24"/>
        </w:rPr>
        <w:t>Distribution Network Service Provider's </w:t>
      </w:r>
      <w:r>
        <w:rPr>
          <w:sz w:val="24"/>
        </w:rPr>
        <w:t>power to interrupt or reduce the </w:t>
      </w:r>
      <w:r>
        <w:rPr>
          <w:i/>
          <w:sz w:val="24"/>
        </w:rPr>
        <w:t>supply </w:t>
      </w:r>
      <w:r>
        <w:rPr>
          <w:sz w:val="24"/>
        </w:rPr>
        <w:t>of electricity to the </w:t>
      </w:r>
      <w:r>
        <w:rPr>
          <w:i/>
          <w:sz w:val="24"/>
        </w:rPr>
        <w:t>connection point</w:t>
      </w:r>
      <w:r>
        <w:rPr>
          <w:sz w:val="24"/>
        </w:rPr>
        <w:t>;</w:t>
      </w:r>
      <w:r>
        <w:rPr>
          <w:spacing w:val="-4"/>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6" w:right="416" w:hanging="567"/>
        <w:jc w:val="left"/>
        <w:rPr>
          <w:sz w:val="24"/>
        </w:rPr>
      </w:pPr>
      <w:r>
        <w:rPr>
          <w:sz w:val="24"/>
        </w:rPr>
        <w:t>warranties and limitations on the </w:t>
      </w:r>
      <w:r>
        <w:rPr>
          <w:i/>
          <w:sz w:val="24"/>
        </w:rPr>
        <w:t>Distribution Network Service </w:t>
      </w:r>
      <w:r>
        <w:rPr>
          <w:i/>
          <w:sz w:val="24"/>
        </w:rPr>
        <w:t>Provider's </w:t>
      </w:r>
      <w:r>
        <w:rPr>
          <w:sz w:val="24"/>
        </w:rPr>
        <w:t>liability;</w:t>
      </w:r>
      <w:r>
        <w:rPr>
          <w:spacing w:val="-2"/>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5" w:right="0" w:hanging="567"/>
        <w:jc w:val="left"/>
        <w:rPr>
          <w:sz w:val="24"/>
        </w:rPr>
      </w:pPr>
      <w:r>
        <w:rPr>
          <w:i/>
          <w:sz w:val="24"/>
        </w:rPr>
        <w:t>disconnection </w:t>
      </w:r>
      <w:r>
        <w:rPr>
          <w:sz w:val="24"/>
        </w:rPr>
        <w:t>and reconnection;</w:t>
      </w:r>
      <w:r>
        <w:rPr>
          <w:spacing w:val="-3"/>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5" w:right="0" w:hanging="567"/>
        <w:jc w:val="left"/>
        <w:rPr>
          <w:sz w:val="24"/>
        </w:rPr>
      </w:pPr>
      <w:r>
        <w:rPr>
          <w:sz w:val="24"/>
        </w:rPr>
        <w:t>reporting and correction of faults;</w:t>
      </w:r>
      <w:r>
        <w:rPr>
          <w:spacing w:val="-1"/>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5" w:right="0" w:hanging="567"/>
        <w:jc w:val="left"/>
        <w:rPr>
          <w:sz w:val="24"/>
        </w:rPr>
      </w:pPr>
      <w:r>
        <w:rPr>
          <w:sz w:val="24"/>
        </w:rPr>
        <w:t>dispute resolution;</w:t>
      </w:r>
      <w:r>
        <w:rPr>
          <w:spacing w:val="-1"/>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6" w:right="416" w:hanging="567"/>
        <w:jc w:val="left"/>
        <w:rPr>
          <w:sz w:val="24"/>
        </w:rPr>
      </w:pPr>
      <w:r>
        <w:rPr>
          <w:sz w:val="24"/>
        </w:rPr>
        <w:t>ongoing obligations of the </w:t>
      </w:r>
      <w:r>
        <w:rPr>
          <w:i/>
          <w:sz w:val="24"/>
        </w:rPr>
        <w:t>Distribution Network Service Provider </w:t>
      </w:r>
      <w:r>
        <w:rPr>
          <w:sz w:val="24"/>
        </w:rPr>
        <w:t>and the </w:t>
      </w:r>
      <w:r>
        <w:rPr>
          <w:i/>
          <w:sz w:val="24"/>
        </w:rPr>
        <w:t>embedded generator</w:t>
      </w:r>
      <w:r>
        <w:rPr>
          <w:sz w:val="24"/>
        </w:rPr>
        <w:t>;</w:t>
      </w:r>
      <w:r>
        <w:rPr>
          <w:spacing w:val="-1"/>
          <w:sz w:val="24"/>
        </w:rPr>
        <w:t> </w:t>
      </w:r>
      <w:r>
        <w:rPr>
          <w:sz w:val="24"/>
        </w:rPr>
        <w:t>and</w:t>
      </w:r>
    </w:p>
    <w:p>
      <w:pPr>
        <w:pStyle w:val="ListParagraph"/>
        <w:numPr>
          <w:ilvl w:val="1"/>
          <w:numId w:val="383"/>
        </w:numPr>
        <w:tabs>
          <w:tab w:pos="2485" w:val="left" w:leader="none"/>
          <w:tab w:pos="2486" w:val="left" w:leader="none"/>
        </w:tabs>
        <w:spacing w:line="240" w:lineRule="auto" w:before="120" w:after="0"/>
        <w:ind w:left="2485" w:right="0" w:hanging="567"/>
        <w:jc w:val="left"/>
        <w:rPr>
          <w:sz w:val="24"/>
        </w:rPr>
      </w:pPr>
      <w:r>
        <w:rPr>
          <w:sz w:val="24"/>
        </w:rPr>
        <w:t>termination of the </w:t>
      </w:r>
      <w:r>
        <w:rPr>
          <w:i/>
          <w:sz w:val="24"/>
        </w:rPr>
        <w:t>connection</w:t>
      </w:r>
      <w:r>
        <w:rPr>
          <w:i/>
          <w:spacing w:val="-1"/>
          <w:sz w:val="24"/>
        </w:rPr>
        <w:t> </w:t>
      </w:r>
      <w:r>
        <w:rPr>
          <w:i/>
          <w:sz w:val="24"/>
        </w:rPr>
        <w:t>contract</w:t>
      </w:r>
      <w:r>
        <w:rPr>
          <w:sz w:val="24"/>
        </w:rPr>
        <w:t>.</w:t>
      </w:r>
    </w:p>
    <w:p>
      <w:pPr>
        <w:spacing w:after="0" w:line="240" w:lineRule="auto"/>
        <w:jc w:val="left"/>
        <w:rPr>
          <w:sz w:val="24"/>
        </w:rPr>
        <w:sectPr>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70"/>
          <w:footerReference w:type="default" r:id="rId71"/>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6</w:t>
                  </w:r>
                </w:p>
              </w:txbxContent>
            </v:textbox>
            <v:fill type="solid"/>
            <v:stroke dashstyle="solid"/>
          </v:shape>
        </w:pict>
      </w:r>
      <w:r>
        <w:rPr>
          <w:position w:val="0"/>
          <w:sz w:val="20"/>
        </w:rPr>
      </w:r>
    </w:p>
    <w:p>
      <w:pPr>
        <w:spacing w:after="0"/>
        <w:jc w:val="left"/>
        <w:rPr>
          <w:sz w:val="20"/>
        </w:rPr>
        <w:sectPr>
          <w:headerReference w:type="default" r:id="rId72"/>
          <w:footerReference w:type="default" r:id="rId73"/>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74"/>
          <w:footerReference w:type="default" r:id="rId75"/>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6. Economic Regulation of Distribution S" w:id="1225"/>
      <w:bookmarkEnd w:id="1225"/>
      <w:r>
        <w:rPr>
          <w:b w:val="0"/>
        </w:rPr>
      </w:r>
      <w:bookmarkStart w:name="_bookmark506" w:id="1226"/>
      <w:bookmarkEnd w:id="1226"/>
      <w:r>
        <w:rPr>
          <w:b w:val="0"/>
        </w:rPr>
      </w:r>
      <w:bookmarkStart w:name="_bookmark506" w:id="1227"/>
      <w:bookmarkEnd w:id="1227"/>
      <w:r>
        <w:rPr/>
        <w:t>Econ</w:t>
      </w:r>
      <w:r>
        <w:rPr/>
        <w:t>omic Regulation of Distribution</w:t>
      </w:r>
      <w:r>
        <w:rPr>
          <w:spacing w:val="-3"/>
        </w:rPr>
        <w:t> </w:t>
      </w:r>
      <w:r>
        <w:rPr/>
        <w:t>Services</w:t>
      </w:r>
    </w:p>
    <w:p>
      <w:pPr>
        <w:pStyle w:val="Heading2"/>
        <w:tabs>
          <w:tab w:pos="1352" w:val="left" w:leader="none"/>
          <w:tab w:pos="9317" w:val="left" w:leader="none"/>
        </w:tabs>
        <w:spacing w:before="240"/>
      </w:pPr>
      <w:bookmarkStart w:name="Part A Introduction" w:id="1228"/>
      <w:bookmarkEnd w:id="1228"/>
      <w:r>
        <w:rPr>
          <w:b w:val="0"/>
        </w:rPr>
      </w:r>
      <w:bookmarkStart w:name="_bookmark507" w:id="1229"/>
      <w:bookmarkEnd w:id="1229"/>
      <w:r>
        <w:rPr>
          <w:b w:val="0"/>
        </w:rPr>
      </w:r>
      <w:r>
        <w:rPr>
          <w:shd w:fill="D9D9D9" w:color="auto" w:val="clear"/>
        </w:rPr>
        <w:t>Part A</w:t>
        <w:tab/>
        <w:t>Introduction</w:t>
        <w:tab/>
      </w:r>
    </w:p>
    <w:p>
      <w:pPr>
        <w:pStyle w:val="Heading3"/>
        <w:numPr>
          <w:ilvl w:val="1"/>
          <w:numId w:val="384"/>
        </w:numPr>
        <w:tabs>
          <w:tab w:pos="1351" w:val="left" w:leader="none"/>
          <w:tab w:pos="1353" w:val="left" w:leader="none"/>
        </w:tabs>
        <w:spacing w:line="240" w:lineRule="auto" w:before="240" w:after="0"/>
        <w:ind w:left="1352" w:right="0" w:hanging="1135"/>
        <w:jc w:val="left"/>
      </w:pPr>
      <w:bookmarkStart w:name="6.0 Operation of Chapter 6 in this juris" w:id="1230"/>
      <w:bookmarkEnd w:id="1230"/>
      <w:r>
        <w:rPr>
          <w:b w:val="0"/>
        </w:rPr>
      </w:r>
      <w:bookmarkStart w:name="_bookmark508" w:id="1231"/>
      <w:bookmarkEnd w:id="1231"/>
      <w:r>
        <w:rPr>
          <w:b w:val="0"/>
        </w:rPr>
      </w:r>
      <w:bookmarkStart w:name="_bookmark508" w:id="1232"/>
      <w:bookmarkEnd w:id="1232"/>
      <w:r>
        <w:rPr/>
        <w:t>O</w:t>
      </w:r>
      <w:r>
        <w:rPr/>
        <w:t>peration of Chapter 6 in this</w:t>
      </w:r>
      <w:r>
        <w:rPr>
          <w:spacing w:val="-5"/>
        </w:rPr>
        <w:t> </w:t>
      </w:r>
      <w:r>
        <w:rPr/>
        <w:t>jurisdiction</w:t>
      </w:r>
    </w:p>
    <w:p>
      <w:pPr>
        <w:pStyle w:val="ListParagraph"/>
        <w:numPr>
          <w:ilvl w:val="2"/>
          <w:numId w:val="384"/>
        </w:numPr>
        <w:tabs>
          <w:tab w:pos="1918" w:val="left" w:leader="none"/>
          <w:tab w:pos="1919" w:val="left" w:leader="none"/>
        </w:tabs>
        <w:spacing w:line="240" w:lineRule="auto" w:before="120" w:after="0"/>
        <w:ind w:left="1919" w:right="416" w:hanging="567"/>
        <w:jc w:val="left"/>
        <w:rPr>
          <w:sz w:val="24"/>
        </w:rPr>
      </w:pPr>
      <w:r>
        <w:rPr>
          <w:sz w:val="24"/>
        </w:rPr>
        <w:t>This rule applies if a </w:t>
      </w:r>
      <w:r>
        <w:rPr>
          <w:i/>
          <w:sz w:val="24"/>
        </w:rPr>
        <w:t>Distribution Network Service Provider </w:t>
      </w:r>
      <w:r>
        <w:rPr>
          <w:sz w:val="24"/>
        </w:rPr>
        <w:t>owns, controls or operates more than one </w:t>
      </w:r>
      <w:r>
        <w:rPr>
          <w:i/>
          <w:sz w:val="24"/>
        </w:rPr>
        <w:t>distribution system </w:t>
      </w:r>
      <w:r>
        <w:rPr>
          <w:sz w:val="24"/>
        </w:rPr>
        <w:t>in this</w:t>
      </w:r>
      <w:r>
        <w:rPr>
          <w:spacing w:val="-4"/>
          <w:sz w:val="24"/>
        </w:rPr>
        <w:t> </w:t>
      </w:r>
      <w:r>
        <w:rPr>
          <w:sz w:val="24"/>
        </w:rPr>
        <w:t>jurisdiction.</w:t>
      </w:r>
    </w:p>
    <w:p>
      <w:pPr>
        <w:pStyle w:val="ListParagraph"/>
        <w:numPr>
          <w:ilvl w:val="2"/>
          <w:numId w:val="384"/>
        </w:numPr>
        <w:tabs>
          <w:tab w:pos="1918" w:val="left" w:leader="none"/>
          <w:tab w:pos="1919" w:val="left" w:leader="none"/>
        </w:tabs>
        <w:spacing w:line="240" w:lineRule="auto" w:before="120" w:after="0"/>
        <w:ind w:left="1918" w:right="0" w:hanging="567"/>
        <w:jc w:val="left"/>
        <w:rPr>
          <w:sz w:val="24"/>
        </w:rPr>
      </w:pPr>
      <w:r>
        <w:rPr>
          <w:sz w:val="24"/>
        </w:rPr>
        <w:t>Despite any other provision of this</w:t>
      </w:r>
      <w:r>
        <w:rPr>
          <w:spacing w:val="-1"/>
          <w:sz w:val="24"/>
        </w:rPr>
        <w:t> </w:t>
      </w:r>
      <w:r>
        <w:rPr>
          <w:sz w:val="24"/>
        </w:rPr>
        <w:t>Chapter:</w:t>
      </w:r>
    </w:p>
    <w:p>
      <w:pPr>
        <w:pStyle w:val="ListParagraph"/>
        <w:numPr>
          <w:ilvl w:val="3"/>
          <w:numId w:val="384"/>
        </w:numPr>
        <w:tabs>
          <w:tab w:pos="2485" w:val="left" w:leader="none"/>
          <w:tab w:pos="2486" w:val="left" w:leader="none"/>
        </w:tabs>
        <w:spacing w:line="240" w:lineRule="auto" w:before="120" w:after="0"/>
        <w:ind w:left="2486" w:right="415" w:hanging="567"/>
        <w:jc w:val="left"/>
        <w:rPr>
          <w:sz w:val="24"/>
        </w:rPr>
      </w:pPr>
      <w:r>
        <w:rPr>
          <w:sz w:val="24"/>
        </w:rPr>
        <w:t>for all of those </w:t>
      </w:r>
      <w:r>
        <w:rPr>
          <w:i/>
          <w:sz w:val="24"/>
        </w:rPr>
        <w:t>distribution systems </w:t>
      </w:r>
      <w:r>
        <w:rPr>
          <w:sz w:val="24"/>
        </w:rPr>
        <w:t>there must be, in respect of a particular </w:t>
      </w:r>
      <w:r>
        <w:rPr>
          <w:i/>
          <w:sz w:val="24"/>
        </w:rPr>
        <w:t>regulatory control period</w:t>
      </w:r>
      <w:r>
        <w:rPr>
          <w:sz w:val="24"/>
        </w:rPr>
        <w:t>, only</w:t>
      </w:r>
      <w:r>
        <w:rPr>
          <w:spacing w:val="-4"/>
          <w:sz w:val="24"/>
        </w:rPr>
        <w:t> </w:t>
      </w:r>
      <w:r>
        <w:rPr>
          <w:sz w:val="24"/>
        </w:rPr>
        <w:t>one:</w:t>
      </w:r>
    </w:p>
    <w:p>
      <w:pPr>
        <w:pStyle w:val="ListParagraph"/>
        <w:numPr>
          <w:ilvl w:val="4"/>
          <w:numId w:val="384"/>
        </w:numPr>
        <w:tabs>
          <w:tab w:pos="3052" w:val="left" w:leader="none"/>
          <w:tab w:pos="3053" w:val="left" w:leader="none"/>
          <w:tab w:pos="3795" w:val="left" w:leader="none"/>
          <w:tab w:pos="5192" w:val="left" w:leader="none"/>
          <w:tab w:pos="6815" w:val="left" w:leader="none"/>
          <w:tab w:pos="7452" w:val="left" w:leader="none"/>
          <w:tab w:pos="8181" w:val="left" w:leader="none"/>
        </w:tabs>
        <w:spacing w:line="240" w:lineRule="auto" w:before="120" w:after="0"/>
        <w:ind w:left="3053" w:right="416" w:hanging="567"/>
        <w:jc w:val="left"/>
        <w:rPr>
          <w:sz w:val="24"/>
        </w:rPr>
      </w:pPr>
      <w:r>
        <w:rPr>
          <w:sz w:val="24"/>
        </w:rPr>
        <w:t>draft</w:t>
        <w:tab/>
        <w:t>distribution</w:t>
        <w:tab/>
        <w:t>determination</w:t>
        <w:tab/>
        <w:t>and</w:t>
        <w:tab/>
        <w:t>final</w:t>
        <w:tab/>
      </w:r>
      <w:r>
        <w:rPr>
          <w:spacing w:val="-2"/>
          <w:sz w:val="24"/>
        </w:rPr>
        <w:t>distribution </w:t>
      </w:r>
      <w:r>
        <w:rPr>
          <w:sz w:val="24"/>
        </w:rPr>
        <w:t>determination;</w:t>
      </w:r>
    </w:p>
    <w:p>
      <w:pPr>
        <w:pStyle w:val="ListParagraph"/>
        <w:numPr>
          <w:ilvl w:val="4"/>
          <w:numId w:val="384"/>
        </w:numPr>
        <w:tabs>
          <w:tab w:pos="3052" w:val="left" w:leader="none"/>
          <w:tab w:pos="3054" w:val="left" w:leader="none"/>
        </w:tabs>
        <w:spacing w:line="240" w:lineRule="auto" w:before="120" w:after="0"/>
        <w:ind w:left="3053" w:right="0" w:hanging="568"/>
        <w:jc w:val="left"/>
        <w:rPr>
          <w:sz w:val="24"/>
        </w:rPr>
      </w:pPr>
      <w:r>
        <w:rPr>
          <w:i/>
          <w:sz w:val="24"/>
        </w:rPr>
        <w:t>framework and approach</w:t>
      </w:r>
      <w:r>
        <w:rPr>
          <w:i/>
          <w:spacing w:val="-3"/>
          <w:sz w:val="24"/>
        </w:rPr>
        <w:t> </w:t>
      </w:r>
      <w:r>
        <w:rPr>
          <w:i/>
          <w:sz w:val="24"/>
        </w:rPr>
        <w:t>paper</w:t>
      </w:r>
      <w:r>
        <w:rPr>
          <w:sz w:val="24"/>
        </w:rPr>
        <w:t>;</w:t>
      </w:r>
    </w:p>
    <w:p>
      <w:pPr>
        <w:pStyle w:val="ListParagraph"/>
        <w:numPr>
          <w:ilvl w:val="4"/>
          <w:numId w:val="384"/>
        </w:numPr>
        <w:tabs>
          <w:tab w:pos="3052" w:val="left" w:leader="none"/>
          <w:tab w:pos="3053" w:val="left" w:leader="none"/>
        </w:tabs>
        <w:spacing w:line="240" w:lineRule="auto" w:before="120" w:after="0"/>
        <w:ind w:left="3052" w:right="0" w:hanging="567"/>
        <w:jc w:val="left"/>
        <w:rPr>
          <w:sz w:val="24"/>
        </w:rPr>
      </w:pPr>
      <w:r>
        <w:rPr>
          <w:i/>
          <w:sz w:val="24"/>
        </w:rPr>
        <w:t>building block proposal </w:t>
      </w:r>
      <w:r>
        <w:rPr>
          <w:sz w:val="24"/>
        </w:rPr>
        <w:t>and </w:t>
      </w:r>
      <w:r>
        <w:rPr>
          <w:i/>
          <w:sz w:val="24"/>
        </w:rPr>
        <w:t>building block</w:t>
      </w:r>
      <w:r>
        <w:rPr>
          <w:i/>
          <w:spacing w:val="-2"/>
          <w:sz w:val="24"/>
        </w:rPr>
        <w:t> </w:t>
      </w:r>
      <w:r>
        <w:rPr>
          <w:i/>
          <w:sz w:val="24"/>
        </w:rPr>
        <w:t>determination</w:t>
      </w:r>
      <w:r>
        <w:rPr>
          <w:sz w:val="24"/>
        </w:rPr>
        <w:t>;</w:t>
      </w:r>
    </w:p>
    <w:p>
      <w:pPr>
        <w:pStyle w:val="ListParagraph"/>
        <w:numPr>
          <w:ilvl w:val="4"/>
          <w:numId w:val="384"/>
        </w:numPr>
        <w:tabs>
          <w:tab w:pos="3052" w:val="left" w:leader="none"/>
          <w:tab w:pos="3054" w:val="left" w:leader="none"/>
        </w:tabs>
        <w:spacing w:line="240" w:lineRule="auto" w:before="120" w:after="0"/>
        <w:ind w:left="3053" w:right="0" w:hanging="568"/>
        <w:jc w:val="left"/>
        <w:rPr>
          <w:sz w:val="24"/>
        </w:rPr>
      </w:pPr>
      <w:r>
        <w:rPr>
          <w:i/>
          <w:sz w:val="24"/>
        </w:rPr>
        <w:t>regulatory</w:t>
      </w:r>
      <w:r>
        <w:rPr>
          <w:i/>
          <w:spacing w:val="-1"/>
          <w:sz w:val="24"/>
        </w:rPr>
        <w:t> </w:t>
      </w:r>
      <w:r>
        <w:rPr>
          <w:i/>
          <w:sz w:val="24"/>
        </w:rPr>
        <w:t>proposal</w:t>
      </w:r>
      <w:r>
        <w:rPr>
          <w:sz w:val="24"/>
        </w:rPr>
        <w:t>;</w:t>
      </w:r>
    </w:p>
    <w:p>
      <w:pPr>
        <w:pStyle w:val="ListParagraph"/>
        <w:numPr>
          <w:ilvl w:val="4"/>
          <w:numId w:val="384"/>
        </w:numPr>
        <w:tabs>
          <w:tab w:pos="3052" w:val="left" w:leader="none"/>
          <w:tab w:pos="3053" w:val="left" w:leader="none"/>
        </w:tabs>
        <w:spacing w:line="240" w:lineRule="auto" w:before="120" w:after="0"/>
        <w:ind w:left="3052" w:right="0" w:hanging="567"/>
        <w:jc w:val="left"/>
        <w:rPr>
          <w:sz w:val="24"/>
        </w:rPr>
      </w:pPr>
      <w:r>
        <w:rPr>
          <w:sz w:val="24"/>
        </w:rPr>
        <w:t>proposed and final </w:t>
      </w:r>
      <w:r>
        <w:rPr>
          <w:i/>
          <w:sz w:val="24"/>
        </w:rPr>
        <w:t>tariff structure statement</w:t>
      </w:r>
      <w:r>
        <w:rPr>
          <w:sz w:val="24"/>
        </w:rPr>
        <w:t>;</w:t>
      </w:r>
      <w:r>
        <w:rPr>
          <w:spacing w:val="-5"/>
          <w:sz w:val="24"/>
        </w:rPr>
        <w:t> </w:t>
      </w:r>
      <w:r>
        <w:rPr>
          <w:sz w:val="24"/>
        </w:rPr>
        <w:t>and</w:t>
      </w:r>
    </w:p>
    <w:p>
      <w:pPr>
        <w:pStyle w:val="ListParagraph"/>
        <w:numPr>
          <w:ilvl w:val="4"/>
          <w:numId w:val="384"/>
        </w:numPr>
        <w:tabs>
          <w:tab w:pos="3052" w:val="left" w:leader="none"/>
          <w:tab w:pos="3053" w:val="left" w:leader="none"/>
        </w:tabs>
        <w:spacing w:line="240" w:lineRule="auto" w:before="120" w:after="0"/>
        <w:ind w:left="3052" w:right="0" w:hanging="567"/>
        <w:jc w:val="left"/>
        <w:rPr>
          <w:sz w:val="24"/>
        </w:rPr>
      </w:pPr>
      <w:r>
        <w:rPr>
          <w:sz w:val="24"/>
        </w:rPr>
        <w:t>regulatory asset base value;</w:t>
      </w:r>
      <w:r>
        <w:rPr>
          <w:spacing w:val="-2"/>
          <w:sz w:val="24"/>
        </w:rPr>
        <w:t> </w:t>
      </w:r>
      <w:r>
        <w:rPr>
          <w:sz w:val="24"/>
        </w:rPr>
        <w:t>and</w:t>
      </w:r>
    </w:p>
    <w:p>
      <w:pPr>
        <w:pStyle w:val="ListParagraph"/>
        <w:numPr>
          <w:ilvl w:val="3"/>
          <w:numId w:val="384"/>
        </w:numPr>
        <w:tabs>
          <w:tab w:pos="2485" w:val="left" w:leader="none"/>
          <w:tab w:pos="2486" w:val="left" w:leader="none"/>
        </w:tabs>
        <w:spacing w:line="240" w:lineRule="auto" w:before="120" w:after="0"/>
        <w:ind w:left="2485" w:right="0" w:hanging="567"/>
        <w:jc w:val="left"/>
        <w:rPr>
          <w:sz w:val="24"/>
        </w:rPr>
      </w:pPr>
      <w:r>
        <w:rPr>
          <w:sz w:val="24"/>
        </w:rPr>
        <w:t>all of those </w:t>
      </w:r>
      <w:r>
        <w:rPr>
          <w:i/>
          <w:sz w:val="24"/>
        </w:rPr>
        <w:t>distribution systems </w:t>
      </w:r>
      <w:r>
        <w:rPr>
          <w:sz w:val="24"/>
        </w:rPr>
        <w:t>must be treated as a</w:t>
      </w:r>
      <w:r>
        <w:rPr>
          <w:spacing w:val="20"/>
          <w:sz w:val="24"/>
        </w:rPr>
        <w:t> </w:t>
      </w:r>
      <w:r>
        <w:rPr>
          <w:sz w:val="24"/>
        </w:rPr>
        <w:t>single</w:t>
      </w:r>
    </w:p>
    <w:p>
      <w:pPr>
        <w:spacing w:before="0"/>
        <w:ind w:left="2486" w:right="0" w:firstLine="0"/>
        <w:jc w:val="left"/>
        <w:rPr>
          <w:sz w:val="24"/>
        </w:rPr>
      </w:pPr>
      <w:r>
        <w:rPr>
          <w:i/>
          <w:sz w:val="24"/>
        </w:rPr>
        <w:t>distribution system </w:t>
      </w:r>
      <w:r>
        <w:rPr>
          <w:sz w:val="24"/>
        </w:rPr>
        <w:t>for the purposes of clause 6.5.1 and schedule 6.2.</w:t>
      </w:r>
    </w:p>
    <w:p>
      <w:pPr>
        <w:pStyle w:val="BodyText"/>
        <w:spacing w:before="10"/>
        <w:ind w:firstLine="0"/>
        <w:jc w:val="left"/>
        <w:rPr>
          <w:sz w:val="20"/>
        </w:rPr>
      </w:pPr>
    </w:p>
    <w:p>
      <w:pPr>
        <w:pStyle w:val="Heading3"/>
        <w:numPr>
          <w:ilvl w:val="1"/>
          <w:numId w:val="385"/>
        </w:numPr>
        <w:tabs>
          <w:tab w:pos="581" w:val="left" w:leader="none"/>
          <w:tab w:pos="1351" w:val="left" w:leader="none"/>
        </w:tabs>
        <w:spacing w:line="240" w:lineRule="auto" w:before="0" w:after="0"/>
        <w:ind w:left="580" w:right="0" w:hanging="363"/>
        <w:jc w:val="left"/>
      </w:pPr>
      <w:bookmarkStart w:name="6.0A Interpretation" w:id="1233"/>
      <w:bookmarkEnd w:id="1233"/>
      <w:r>
        <w:rPr>
          <w:b w:val="0"/>
        </w:rPr>
      </w:r>
      <w:bookmarkStart w:name="_bookmark509" w:id="1234"/>
      <w:bookmarkEnd w:id="1234"/>
      <w:r>
        <w:rPr>
          <w:b w:val="0"/>
        </w:rPr>
      </w:r>
      <w:bookmarkStart w:name="_bookmark509" w:id="1235"/>
      <w:bookmarkEnd w:id="1235"/>
      <w:r>
        <w:rPr/>
        <w:t>A</w:t>
      </w:r>
      <w:r>
        <w:rPr/>
        <w:tab/>
        <w:t>Interpretation</w:t>
      </w:r>
    </w:p>
    <w:p>
      <w:pPr>
        <w:pStyle w:val="ListParagraph"/>
        <w:numPr>
          <w:ilvl w:val="2"/>
          <w:numId w:val="385"/>
        </w:numPr>
        <w:tabs>
          <w:tab w:pos="1918" w:val="left" w:leader="none"/>
          <w:tab w:pos="1919" w:val="left" w:leader="none"/>
        </w:tabs>
        <w:spacing w:line="240" w:lineRule="auto" w:before="120" w:after="0"/>
        <w:ind w:left="1918" w:right="0" w:hanging="567"/>
        <w:jc w:val="left"/>
        <w:rPr>
          <w:sz w:val="24"/>
        </w:rPr>
      </w:pPr>
      <w:r>
        <w:rPr>
          <w:sz w:val="24"/>
        </w:rPr>
        <w:t>this rule applies in relation to the</w:t>
      </w:r>
      <w:r>
        <w:rPr>
          <w:spacing w:val="-1"/>
          <w:sz w:val="24"/>
        </w:rPr>
        <w:t> </w:t>
      </w:r>
      <w:r>
        <w:rPr>
          <w:sz w:val="24"/>
        </w:rPr>
        <w:t>following:</w:t>
      </w:r>
    </w:p>
    <w:p>
      <w:pPr>
        <w:pStyle w:val="ListParagraph"/>
        <w:numPr>
          <w:ilvl w:val="3"/>
          <w:numId w:val="385"/>
        </w:numPr>
        <w:tabs>
          <w:tab w:pos="2485" w:val="left" w:leader="none"/>
          <w:tab w:pos="2486" w:val="left" w:leader="none"/>
        </w:tabs>
        <w:spacing w:line="240" w:lineRule="auto" w:before="120" w:after="0"/>
        <w:ind w:left="2485" w:right="0" w:hanging="567"/>
        <w:jc w:val="left"/>
        <w:rPr>
          <w:sz w:val="24"/>
        </w:rPr>
      </w:pPr>
      <w:r>
        <w:rPr>
          <w:sz w:val="24"/>
        </w:rPr>
        <w:t>the provisions of this Chapter;</w:t>
      </w:r>
    </w:p>
    <w:p>
      <w:pPr>
        <w:pStyle w:val="ListParagraph"/>
        <w:numPr>
          <w:ilvl w:val="3"/>
          <w:numId w:val="385"/>
        </w:numPr>
        <w:tabs>
          <w:tab w:pos="2485" w:val="left" w:leader="none"/>
          <w:tab w:pos="2486" w:val="left" w:leader="none"/>
        </w:tabs>
        <w:spacing w:line="240" w:lineRule="auto" w:before="120" w:after="0"/>
        <w:ind w:left="2486" w:right="415" w:hanging="567"/>
        <w:jc w:val="left"/>
        <w:rPr>
          <w:sz w:val="24"/>
        </w:rPr>
      </w:pPr>
      <w:r>
        <w:rPr>
          <w:sz w:val="24"/>
        </w:rPr>
        <w:t>the provisions of Chapters 11 and 11A, to the extent the provisions operate in relation to this</w:t>
      </w:r>
      <w:r>
        <w:rPr>
          <w:spacing w:val="-2"/>
          <w:sz w:val="24"/>
        </w:rPr>
        <w:t> </w:t>
      </w:r>
      <w:r>
        <w:rPr>
          <w:sz w:val="24"/>
        </w:rPr>
        <w:t>Chapter;</w:t>
      </w:r>
    </w:p>
    <w:p>
      <w:pPr>
        <w:pStyle w:val="ListParagraph"/>
        <w:numPr>
          <w:ilvl w:val="3"/>
          <w:numId w:val="385"/>
        </w:numPr>
        <w:tabs>
          <w:tab w:pos="2485" w:val="left" w:leader="none"/>
          <w:tab w:pos="2486" w:val="left" w:leader="none"/>
        </w:tabs>
        <w:spacing w:line="240" w:lineRule="auto" w:before="120" w:after="0"/>
        <w:ind w:left="2485" w:right="0" w:hanging="567"/>
        <w:jc w:val="left"/>
        <w:rPr>
          <w:sz w:val="24"/>
        </w:rPr>
      </w:pPr>
      <w:r>
        <w:rPr>
          <w:sz w:val="24"/>
        </w:rPr>
        <w:t>an instrument made under or for the purposes of this Chapter;</w:t>
      </w:r>
      <w:r>
        <w:rPr>
          <w:spacing w:val="-2"/>
          <w:sz w:val="24"/>
        </w:rPr>
        <w:t> </w:t>
      </w:r>
      <w:r>
        <w:rPr>
          <w:sz w:val="24"/>
        </w:rPr>
        <w:t>and</w:t>
      </w:r>
    </w:p>
    <w:p>
      <w:pPr>
        <w:pStyle w:val="ListParagraph"/>
        <w:numPr>
          <w:ilvl w:val="3"/>
          <w:numId w:val="385"/>
        </w:numPr>
        <w:tabs>
          <w:tab w:pos="2486" w:val="left" w:leader="none"/>
        </w:tabs>
        <w:spacing w:line="240" w:lineRule="auto" w:before="120" w:after="0"/>
        <w:ind w:left="2486" w:right="415" w:hanging="567"/>
        <w:jc w:val="both"/>
        <w:rPr>
          <w:sz w:val="24"/>
        </w:rPr>
      </w:pPr>
      <w:r>
        <w:rPr>
          <w:sz w:val="24"/>
        </w:rPr>
        <w:t>the definitions in Chapter 10, to the extent the definitions are mentioned in a provision or instrument mentioned in subparagraph (1), (2) or (3).</w:t>
      </w:r>
    </w:p>
    <w:p>
      <w:pPr>
        <w:pStyle w:val="ListParagraph"/>
        <w:numPr>
          <w:ilvl w:val="2"/>
          <w:numId w:val="385"/>
        </w:numPr>
        <w:tabs>
          <w:tab w:pos="1919" w:val="left" w:leader="none"/>
        </w:tabs>
        <w:spacing w:line="240" w:lineRule="auto" w:before="120" w:after="0"/>
        <w:ind w:left="1918" w:right="0" w:hanging="567"/>
        <w:jc w:val="both"/>
        <w:rPr>
          <w:sz w:val="24"/>
        </w:rPr>
      </w:pPr>
      <w:r>
        <w:rPr>
          <w:sz w:val="24"/>
        </w:rPr>
        <w:t>Unless the context or subject matter otherwise indicates or</w:t>
      </w:r>
      <w:r>
        <w:rPr>
          <w:spacing w:val="-4"/>
          <w:sz w:val="24"/>
        </w:rPr>
        <w:t> </w:t>
      </w:r>
      <w:r>
        <w:rPr>
          <w:sz w:val="24"/>
        </w:rPr>
        <w:t>requires:</w:t>
      </w:r>
    </w:p>
    <w:p>
      <w:pPr>
        <w:pStyle w:val="ListParagraph"/>
        <w:numPr>
          <w:ilvl w:val="3"/>
          <w:numId w:val="385"/>
        </w:numPr>
        <w:tabs>
          <w:tab w:pos="2486" w:val="left" w:leader="none"/>
        </w:tabs>
        <w:spacing w:line="240" w:lineRule="auto" w:before="120" w:after="0"/>
        <w:ind w:left="2486" w:right="414" w:hanging="567"/>
        <w:jc w:val="both"/>
        <w:rPr>
          <w:sz w:val="24"/>
        </w:rPr>
      </w:pPr>
      <w:r>
        <w:rPr>
          <w:sz w:val="24"/>
        </w:rPr>
        <w:t>a </w:t>
      </w:r>
      <w:r>
        <w:rPr>
          <w:i/>
          <w:sz w:val="24"/>
        </w:rPr>
        <w:t>prescribed transmission service </w:t>
      </w:r>
      <w:r>
        <w:rPr>
          <w:sz w:val="24"/>
        </w:rPr>
        <w:t>will be taken to be a </w:t>
      </w:r>
      <w:r>
        <w:rPr>
          <w:i/>
          <w:sz w:val="24"/>
        </w:rPr>
        <w:t>direct control </w:t>
      </w:r>
      <w:r>
        <w:rPr>
          <w:i/>
          <w:sz w:val="24"/>
        </w:rPr>
        <w:t>service </w:t>
      </w:r>
      <w:r>
        <w:rPr>
          <w:sz w:val="24"/>
        </w:rPr>
        <w:t>under a provision or instrument mentioned in paragraph (a); and</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w:t>
      </w:r>
      <w:r>
        <w:rPr>
          <w:i/>
          <w:sz w:val="24"/>
        </w:rPr>
        <w:t>negotiated transmission service </w:t>
      </w:r>
      <w:r>
        <w:rPr>
          <w:sz w:val="24"/>
        </w:rPr>
        <w:t>will be taken to be a </w:t>
      </w:r>
      <w:r>
        <w:rPr>
          <w:i/>
          <w:sz w:val="24"/>
        </w:rPr>
        <w:t>negotiated </w:t>
      </w:r>
      <w:r>
        <w:rPr>
          <w:i/>
          <w:sz w:val="24"/>
        </w:rPr>
        <w:t>distribution service </w:t>
      </w:r>
      <w:r>
        <w:rPr>
          <w:sz w:val="24"/>
        </w:rPr>
        <w:t>under a provision or instrument mentioned in paragraph</w:t>
      </w:r>
      <w:r>
        <w:rPr>
          <w:spacing w:val="-1"/>
          <w:sz w:val="24"/>
        </w:rPr>
        <w:t> </w:t>
      </w:r>
      <w:r>
        <w:rPr>
          <w:sz w:val="24"/>
        </w:rPr>
        <w:t>(a).</w:t>
      </w:r>
    </w:p>
    <w:p>
      <w:pPr>
        <w:pStyle w:val="ListParagraph"/>
        <w:numPr>
          <w:ilvl w:val="2"/>
          <w:numId w:val="385"/>
        </w:numPr>
        <w:tabs>
          <w:tab w:pos="1919" w:val="left" w:leader="none"/>
        </w:tabs>
        <w:spacing w:line="240" w:lineRule="auto" w:before="120" w:after="0"/>
        <w:ind w:left="1919" w:right="415" w:hanging="567"/>
        <w:jc w:val="both"/>
        <w:rPr>
          <w:sz w:val="24"/>
        </w:rPr>
      </w:pPr>
      <w:r>
        <w:rPr>
          <w:sz w:val="24"/>
        </w:rPr>
        <w:t>Unless the context or subject matter otherwise indicates or requires, in a provision or instrument mentioned in paragraph</w:t>
      </w:r>
      <w:r>
        <w:rPr>
          <w:spacing w:val="-1"/>
          <w:sz w:val="24"/>
        </w:rPr>
        <w:t> </w:t>
      </w:r>
      <w:r>
        <w:rPr>
          <w:sz w:val="24"/>
        </w:rPr>
        <w:t>(a):</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reference to a "</w:t>
      </w:r>
      <w:r>
        <w:rPr>
          <w:i/>
          <w:sz w:val="24"/>
        </w:rPr>
        <w:t>distribution network</w:t>
      </w:r>
      <w:r>
        <w:rPr>
          <w:sz w:val="24"/>
        </w:rPr>
        <w:t>" must be regarded as including a reference to a "</w:t>
      </w:r>
      <w:r>
        <w:rPr>
          <w:i/>
          <w:sz w:val="24"/>
        </w:rPr>
        <w:t>transmission</w:t>
      </w:r>
      <w:r>
        <w:rPr>
          <w:i/>
          <w:spacing w:val="-1"/>
          <w:sz w:val="24"/>
        </w:rPr>
        <w:t> </w:t>
      </w:r>
      <w:r>
        <w:rPr>
          <w:i/>
          <w:sz w:val="24"/>
        </w:rPr>
        <w:t>network</w:t>
      </w:r>
      <w:r>
        <w:rPr>
          <w:sz w:val="24"/>
        </w:rPr>
        <w:t>";</w:t>
      </w:r>
    </w:p>
    <w:p>
      <w:pPr>
        <w:spacing w:after="0" w:line="240" w:lineRule="auto"/>
        <w:jc w:val="both"/>
        <w:rPr>
          <w:sz w:val="24"/>
        </w:rPr>
        <w:sectPr>
          <w:headerReference w:type="default" r:id="rId76"/>
          <w:footerReference w:type="default" r:id="rId77"/>
          <w:pgSz w:w="11910" w:h="16840"/>
          <w:pgMar w:header="686" w:footer="637" w:top="1320" w:bottom="820" w:left="1200" w:right="1000"/>
        </w:sectPr>
      </w:pPr>
    </w:p>
    <w:p>
      <w:pPr>
        <w:pStyle w:val="ListParagraph"/>
        <w:numPr>
          <w:ilvl w:val="3"/>
          <w:numId w:val="385"/>
        </w:numPr>
        <w:tabs>
          <w:tab w:pos="2486" w:val="left" w:leader="none"/>
        </w:tabs>
        <w:spacing w:line="240" w:lineRule="auto" w:before="83" w:after="0"/>
        <w:ind w:left="2486" w:right="415" w:hanging="567"/>
        <w:jc w:val="both"/>
        <w:rPr>
          <w:sz w:val="24"/>
        </w:rPr>
      </w:pPr>
      <w:r>
        <w:rPr>
          <w:sz w:val="24"/>
        </w:rPr>
        <w:t>a reference to a "</w:t>
      </w:r>
      <w:r>
        <w:rPr>
          <w:i/>
          <w:sz w:val="24"/>
        </w:rPr>
        <w:t>distribution system</w:t>
      </w:r>
      <w:r>
        <w:rPr>
          <w:sz w:val="24"/>
        </w:rPr>
        <w:t>" must be regarded as including a reference to a "</w:t>
      </w:r>
      <w:r>
        <w:rPr>
          <w:i/>
          <w:sz w:val="24"/>
        </w:rPr>
        <w:t>transmission</w:t>
      </w:r>
      <w:r>
        <w:rPr>
          <w:i/>
          <w:spacing w:val="-1"/>
          <w:sz w:val="24"/>
        </w:rPr>
        <w:t> </w:t>
      </w:r>
      <w:r>
        <w:rPr>
          <w:i/>
          <w:sz w:val="24"/>
        </w:rPr>
        <w:t>system</w:t>
      </w:r>
      <w:r>
        <w:rPr>
          <w:sz w:val="24"/>
        </w:rPr>
        <w:t>";</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reference to a "</w:t>
      </w:r>
      <w:r>
        <w:rPr>
          <w:i/>
          <w:sz w:val="24"/>
        </w:rPr>
        <w:t>Distribution Network User</w:t>
      </w:r>
      <w:r>
        <w:rPr>
          <w:sz w:val="24"/>
        </w:rPr>
        <w:t>" must be regarded as including a reference to a "</w:t>
      </w:r>
      <w:r>
        <w:rPr>
          <w:i/>
          <w:sz w:val="24"/>
        </w:rPr>
        <w:t>Transmission Network</w:t>
      </w:r>
      <w:r>
        <w:rPr>
          <w:i/>
          <w:spacing w:val="-3"/>
          <w:sz w:val="24"/>
        </w:rPr>
        <w:t> </w:t>
      </w:r>
      <w:r>
        <w:rPr>
          <w:i/>
          <w:sz w:val="24"/>
        </w:rPr>
        <w:t>User</w:t>
      </w:r>
      <w:r>
        <w:rPr>
          <w:sz w:val="24"/>
        </w:rPr>
        <w:t>;</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reference to a "</w:t>
      </w:r>
      <w:r>
        <w:rPr>
          <w:i/>
          <w:sz w:val="24"/>
        </w:rPr>
        <w:t>Distribution Network Service Provider</w:t>
      </w:r>
      <w:r>
        <w:rPr>
          <w:sz w:val="24"/>
        </w:rPr>
        <w:t>" must</w:t>
      </w:r>
      <w:r>
        <w:rPr>
          <w:spacing w:val="36"/>
          <w:sz w:val="24"/>
        </w:rPr>
        <w:t> </w:t>
      </w:r>
      <w:r>
        <w:rPr>
          <w:sz w:val="24"/>
        </w:rPr>
        <w:t>be regarded as including a reference to a "</w:t>
      </w:r>
      <w:r>
        <w:rPr>
          <w:i/>
          <w:sz w:val="24"/>
        </w:rPr>
        <w:t>Transmission Network Service </w:t>
      </w:r>
      <w:r>
        <w:rPr>
          <w:i/>
          <w:sz w:val="24"/>
        </w:rPr>
        <w:t>Provider</w:t>
      </w:r>
      <w:r>
        <w:rPr>
          <w:sz w:val="24"/>
        </w:rPr>
        <w:t>";</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reference to a "</w:t>
      </w:r>
      <w:r>
        <w:rPr>
          <w:i/>
          <w:sz w:val="24"/>
        </w:rPr>
        <w:t>distribution service</w:t>
      </w:r>
      <w:r>
        <w:rPr>
          <w:sz w:val="24"/>
        </w:rPr>
        <w:t>" must be regarded as including a reference to a "</w:t>
      </w:r>
      <w:r>
        <w:rPr>
          <w:i/>
          <w:sz w:val="24"/>
        </w:rPr>
        <w:t>transmission</w:t>
      </w:r>
      <w:r>
        <w:rPr>
          <w:i/>
          <w:spacing w:val="-1"/>
          <w:sz w:val="24"/>
        </w:rPr>
        <w:t> </w:t>
      </w:r>
      <w:r>
        <w:rPr>
          <w:i/>
          <w:sz w:val="24"/>
        </w:rPr>
        <w:t>service</w:t>
      </w:r>
      <w:r>
        <w:rPr>
          <w:sz w:val="24"/>
        </w:rPr>
        <w:t>";</w:t>
      </w:r>
    </w:p>
    <w:p>
      <w:pPr>
        <w:pStyle w:val="ListParagraph"/>
        <w:numPr>
          <w:ilvl w:val="3"/>
          <w:numId w:val="385"/>
        </w:numPr>
        <w:tabs>
          <w:tab w:pos="2486" w:val="left" w:leader="none"/>
        </w:tabs>
        <w:spacing w:line="240" w:lineRule="auto" w:before="120" w:after="0"/>
        <w:ind w:left="2486" w:right="415" w:hanging="567"/>
        <w:jc w:val="both"/>
        <w:rPr>
          <w:sz w:val="24"/>
        </w:rPr>
      </w:pPr>
      <w:r>
        <w:rPr>
          <w:sz w:val="24"/>
        </w:rPr>
        <w:t>a reference to an "</w:t>
      </w:r>
      <w:r>
        <w:rPr>
          <w:i/>
          <w:sz w:val="24"/>
        </w:rPr>
        <w:t>embedded generating unit</w:t>
      </w:r>
      <w:r>
        <w:rPr>
          <w:sz w:val="24"/>
        </w:rPr>
        <w:t>" must be regarded as </w:t>
      </w:r>
      <w:r>
        <w:rPr>
          <w:spacing w:val="-11"/>
          <w:sz w:val="24"/>
        </w:rPr>
        <w:t>a </w:t>
      </w:r>
      <w:r>
        <w:rPr>
          <w:sz w:val="24"/>
        </w:rPr>
        <w:t>reference to a "</w:t>
      </w:r>
      <w:r>
        <w:rPr>
          <w:i/>
          <w:sz w:val="24"/>
        </w:rPr>
        <w:t>generating</w:t>
      </w:r>
      <w:r>
        <w:rPr>
          <w:i/>
          <w:spacing w:val="-1"/>
          <w:sz w:val="24"/>
        </w:rPr>
        <w:t> </w:t>
      </w:r>
      <w:r>
        <w:rPr>
          <w:i/>
          <w:sz w:val="24"/>
        </w:rPr>
        <w:t>unit</w:t>
      </w:r>
      <w:r>
        <w:rPr>
          <w:sz w:val="24"/>
        </w:rPr>
        <w:t>";</w:t>
      </w:r>
    </w:p>
    <w:p>
      <w:pPr>
        <w:pStyle w:val="ListParagraph"/>
        <w:numPr>
          <w:ilvl w:val="3"/>
          <w:numId w:val="385"/>
        </w:numPr>
        <w:tabs>
          <w:tab w:pos="2486" w:val="left" w:leader="none"/>
        </w:tabs>
        <w:spacing w:line="240" w:lineRule="auto" w:before="120" w:after="0"/>
        <w:ind w:left="2486" w:right="415" w:hanging="567"/>
        <w:jc w:val="both"/>
        <w:rPr>
          <w:sz w:val="24"/>
        </w:rPr>
      </w:pPr>
      <w:r>
        <w:rPr>
          <w:sz w:val="24"/>
        </w:rPr>
        <w:t>a reference to an "</w:t>
      </w:r>
      <w:r>
        <w:rPr>
          <w:i/>
          <w:sz w:val="24"/>
        </w:rPr>
        <w:t>Embedded Generator</w:t>
      </w:r>
      <w:r>
        <w:rPr>
          <w:sz w:val="24"/>
        </w:rPr>
        <w:t>" must be regarded as a reference to a "</w:t>
      </w:r>
      <w:r>
        <w:rPr>
          <w:i/>
          <w:sz w:val="24"/>
        </w:rPr>
        <w:t>Generator</w:t>
      </w:r>
      <w:r>
        <w:rPr>
          <w:sz w:val="24"/>
        </w:rPr>
        <w:t>";</w:t>
      </w:r>
      <w:r>
        <w:rPr>
          <w:spacing w:val="-2"/>
          <w:sz w:val="24"/>
        </w:rPr>
        <w:t> </w:t>
      </w:r>
      <w:r>
        <w:rPr>
          <w:sz w:val="24"/>
        </w:rPr>
        <w:t>and</w:t>
      </w:r>
    </w:p>
    <w:p>
      <w:pPr>
        <w:pStyle w:val="ListParagraph"/>
        <w:numPr>
          <w:ilvl w:val="3"/>
          <w:numId w:val="385"/>
        </w:numPr>
        <w:tabs>
          <w:tab w:pos="2486" w:val="left" w:leader="none"/>
        </w:tabs>
        <w:spacing w:line="240" w:lineRule="auto" w:before="120" w:after="0"/>
        <w:ind w:left="2486" w:right="416" w:hanging="567"/>
        <w:jc w:val="both"/>
        <w:rPr>
          <w:sz w:val="24"/>
        </w:rPr>
      </w:pPr>
      <w:r>
        <w:rPr>
          <w:sz w:val="24"/>
        </w:rPr>
        <w:t>a reference to a "</w:t>
      </w:r>
      <w:r>
        <w:rPr>
          <w:i/>
          <w:sz w:val="24"/>
        </w:rPr>
        <w:t>Distribution Customer</w:t>
      </w:r>
      <w:r>
        <w:rPr>
          <w:sz w:val="24"/>
        </w:rPr>
        <w:t>" must be regarded as including a reference to a "</w:t>
      </w:r>
      <w:r>
        <w:rPr>
          <w:i/>
          <w:sz w:val="24"/>
        </w:rPr>
        <w:t>Transmission</w:t>
      </w:r>
      <w:r>
        <w:rPr>
          <w:i/>
          <w:spacing w:val="-2"/>
          <w:sz w:val="24"/>
        </w:rPr>
        <w:t> </w:t>
      </w:r>
      <w:r>
        <w:rPr>
          <w:i/>
          <w:sz w:val="24"/>
        </w:rPr>
        <w:t>Customer</w:t>
      </w:r>
      <w:r>
        <w:rPr>
          <w:sz w:val="24"/>
        </w:rPr>
        <w:t>".</w:t>
      </w:r>
    </w:p>
    <w:p>
      <w:pPr>
        <w:pStyle w:val="BodyText"/>
        <w:spacing w:before="10"/>
        <w:ind w:firstLine="0"/>
        <w:jc w:val="left"/>
        <w:rPr>
          <w:sz w:val="20"/>
        </w:rPr>
      </w:pPr>
    </w:p>
    <w:p>
      <w:pPr>
        <w:pStyle w:val="Heading3"/>
        <w:numPr>
          <w:ilvl w:val="1"/>
          <w:numId w:val="385"/>
        </w:numPr>
        <w:tabs>
          <w:tab w:pos="1351" w:val="left" w:leader="none"/>
          <w:tab w:pos="1353" w:val="left" w:leader="none"/>
        </w:tabs>
        <w:spacing w:line="240" w:lineRule="auto" w:before="0" w:after="0"/>
        <w:ind w:left="1352" w:right="0" w:hanging="1135"/>
        <w:jc w:val="left"/>
      </w:pPr>
      <w:bookmarkStart w:name="6.1 Introduction to Chapter 6" w:id="1236"/>
      <w:bookmarkEnd w:id="1236"/>
      <w:r>
        <w:rPr>
          <w:b w:val="0"/>
        </w:rPr>
      </w:r>
      <w:bookmarkStart w:name="_bookmark510" w:id="1237"/>
      <w:bookmarkEnd w:id="1237"/>
      <w:r>
        <w:rPr>
          <w:b w:val="0"/>
        </w:rPr>
      </w:r>
      <w:bookmarkStart w:name="_bookmark510" w:id="1238"/>
      <w:bookmarkEnd w:id="1238"/>
      <w:r>
        <w:rPr/>
        <w:t>I</w:t>
      </w:r>
      <w:r>
        <w:rPr/>
        <w:t>ntroduction to Chapter</w:t>
      </w:r>
      <w:r>
        <w:rPr>
          <w:spacing w:val="-3"/>
        </w:rPr>
        <w:t> </w:t>
      </w:r>
      <w:r>
        <w:rPr/>
        <w:t>6</w:t>
      </w:r>
    </w:p>
    <w:p>
      <w:pPr>
        <w:pStyle w:val="Heading4"/>
        <w:tabs>
          <w:tab w:pos="1351" w:val="left" w:leader="none"/>
        </w:tabs>
        <w:spacing w:before="240"/>
        <w:ind w:left="218" w:firstLine="0"/>
      </w:pPr>
      <w:bookmarkStart w:name="6.1.1 AER's regulatory responsibility" w:id="1239"/>
      <w:bookmarkEnd w:id="1239"/>
      <w:r>
        <w:rPr>
          <w:b w:val="0"/>
        </w:rPr>
      </w:r>
      <w:bookmarkStart w:name="_bookmark511" w:id="1240"/>
      <w:bookmarkEnd w:id="1240"/>
      <w:r>
        <w:rPr>
          <w:b w:val="0"/>
        </w:rPr>
      </w:r>
      <w:r>
        <w:rPr/>
        <w:t>6.1.1</w:t>
        <w:tab/>
        <w:t>AER's regulatory</w:t>
      </w:r>
      <w:r>
        <w:rPr>
          <w:spacing w:val="-3"/>
        </w:rPr>
        <w:t> </w:t>
      </w:r>
      <w:r>
        <w:rPr/>
        <w:t>responsibility</w:t>
      </w:r>
    </w:p>
    <w:p>
      <w:pPr>
        <w:spacing w:before="120"/>
        <w:ind w:left="1352" w:right="415" w:firstLine="0"/>
        <w:jc w:val="both"/>
        <w:rPr>
          <w:sz w:val="24"/>
        </w:rPr>
      </w:pPr>
      <w:r>
        <w:rPr>
          <w:sz w:val="24"/>
        </w:rPr>
        <w:t>The </w:t>
      </w:r>
      <w:r>
        <w:rPr>
          <w:i/>
          <w:sz w:val="24"/>
        </w:rPr>
        <w:t>AER </w:t>
      </w:r>
      <w:r>
        <w:rPr>
          <w:sz w:val="24"/>
        </w:rPr>
        <w:t>is responsible, in accordance with this Chapter, for the economic regulation of </w:t>
      </w:r>
      <w:r>
        <w:rPr>
          <w:i/>
          <w:sz w:val="24"/>
        </w:rPr>
        <w:t>distribution services </w:t>
      </w:r>
      <w:r>
        <w:rPr>
          <w:sz w:val="24"/>
        </w:rPr>
        <w:t>provided by means of, or in connection with, </w:t>
      </w:r>
      <w:r>
        <w:rPr>
          <w:i/>
          <w:sz w:val="24"/>
        </w:rPr>
        <w:t>distribution systems </w:t>
      </w:r>
      <w:r>
        <w:rPr>
          <w:sz w:val="24"/>
        </w:rPr>
        <w:t>that form part of the </w:t>
      </w:r>
      <w:r>
        <w:rPr>
          <w:i/>
          <w:sz w:val="24"/>
        </w:rPr>
        <w:t>national grid</w:t>
      </w:r>
      <w:r>
        <w:rPr>
          <w:sz w:val="24"/>
        </w:rPr>
        <w:t>.</w:t>
      </w:r>
    </w:p>
    <w:p>
      <w:pPr>
        <w:pStyle w:val="BodyText"/>
        <w:spacing w:before="10"/>
        <w:ind w:firstLine="0"/>
        <w:jc w:val="left"/>
        <w:rPr>
          <w:sz w:val="20"/>
        </w:rPr>
      </w:pPr>
    </w:p>
    <w:p>
      <w:pPr>
        <w:pStyle w:val="Heading4"/>
        <w:numPr>
          <w:ilvl w:val="2"/>
          <w:numId w:val="386"/>
        </w:numPr>
        <w:tabs>
          <w:tab w:pos="753" w:val="left" w:leader="none"/>
          <w:tab w:pos="1351" w:val="left" w:leader="none"/>
        </w:tabs>
        <w:spacing w:line="240" w:lineRule="auto" w:before="0" w:after="0"/>
        <w:ind w:left="752" w:right="0" w:hanging="535"/>
        <w:jc w:val="left"/>
      </w:pPr>
      <w:bookmarkStart w:name="6.1.1A [Deleted]" w:id="1241"/>
      <w:bookmarkEnd w:id="1241"/>
      <w:r>
        <w:rPr>
          <w:b w:val="0"/>
        </w:rPr>
      </w:r>
      <w:bookmarkStart w:name="_bookmark512" w:id="1242"/>
      <w:bookmarkEnd w:id="1242"/>
      <w:r>
        <w:rPr>
          <w:b w:val="0"/>
        </w:rPr>
      </w:r>
      <w:bookmarkStart w:name="_bookmark512" w:id="1243"/>
      <w:bookmarkEnd w:id="1243"/>
      <w:r>
        <w:rPr/>
        <w:t>A</w:t>
      </w:r>
      <w:r>
        <w:rPr/>
        <w:tab/>
        <w:t>[Deleted]</w:t>
      </w:r>
    </w:p>
    <w:p>
      <w:pPr>
        <w:pStyle w:val="BodyText"/>
        <w:spacing w:before="10"/>
        <w:ind w:firstLine="0"/>
        <w:jc w:val="left"/>
        <w:rPr>
          <w:rFonts w:ascii="Arial"/>
          <w:b/>
          <w:sz w:val="20"/>
        </w:rPr>
      </w:pPr>
    </w:p>
    <w:p>
      <w:pPr>
        <w:pStyle w:val="Heading4"/>
        <w:numPr>
          <w:ilvl w:val="2"/>
          <w:numId w:val="386"/>
        </w:numPr>
        <w:tabs>
          <w:tab w:pos="1351" w:val="left" w:leader="none"/>
          <w:tab w:pos="1352" w:val="left" w:leader="none"/>
        </w:tabs>
        <w:spacing w:line="240" w:lineRule="auto" w:before="0" w:after="0"/>
        <w:ind w:left="1351" w:right="0" w:hanging="1134"/>
        <w:jc w:val="left"/>
      </w:pPr>
      <w:bookmarkStart w:name="6.1.2 Structure of this Chapter" w:id="1244"/>
      <w:bookmarkEnd w:id="1244"/>
      <w:r>
        <w:rPr>
          <w:b w:val="0"/>
        </w:rPr>
      </w:r>
      <w:bookmarkStart w:name="_bookmark513" w:id="1245"/>
      <w:bookmarkEnd w:id="1245"/>
      <w:r>
        <w:rPr>
          <w:b w:val="0"/>
        </w:rPr>
      </w:r>
      <w:bookmarkStart w:name="_bookmark513" w:id="1246"/>
      <w:bookmarkEnd w:id="1246"/>
      <w:r>
        <w:rPr/>
        <w:t>Structure</w:t>
      </w:r>
      <w:r>
        <w:rPr/>
        <w:t> of this</w:t>
      </w:r>
      <w:r>
        <w:rPr>
          <w:spacing w:val="-1"/>
        </w:rPr>
        <w:t> </w:t>
      </w:r>
      <w:r>
        <w:rPr/>
        <w:t>Chapter</w:t>
      </w:r>
    </w:p>
    <w:p>
      <w:pPr>
        <w:pStyle w:val="ListParagraph"/>
        <w:numPr>
          <w:ilvl w:val="3"/>
          <w:numId w:val="386"/>
        </w:numPr>
        <w:tabs>
          <w:tab w:pos="1919" w:val="left" w:leader="none"/>
        </w:tabs>
        <w:spacing w:line="240" w:lineRule="auto" w:before="120" w:after="0"/>
        <w:ind w:left="1918" w:right="0" w:hanging="567"/>
        <w:jc w:val="both"/>
        <w:rPr>
          <w:sz w:val="24"/>
        </w:rPr>
      </w:pPr>
      <w:r>
        <w:rPr>
          <w:sz w:val="24"/>
        </w:rPr>
        <w:t>This</w:t>
      </w:r>
      <w:r>
        <w:rPr>
          <w:spacing w:val="18"/>
          <w:sz w:val="24"/>
        </w:rPr>
        <w:t> </w:t>
      </w:r>
      <w:r>
        <w:rPr>
          <w:sz w:val="24"/>
        </w:rPr>
        <w:t>Chapter</w:t>
      </w:r>
      <w:r>
        <w:rPr>
          <w:spacing w:val="18"/>
          <w:sz w:val="24"/>
        </w:rPr>
        <w:t> </w:t>
      </w:r>
      <w:r>
        <w:rPr>
          <w:sz w:val="24"/>
        </w:rPr>
        <w:t>deals</w:t>
      </w:r>
      <w:r>
        <w:rPr>
          <w:spacing w:val="17"/>
          <w:sz w:val="24"/>
        </w:rPr>
        <w:t> </w:t>
      </w:r>
      <w:r>
        <w:rPr>
          <w:sz w:val="24"/>
        </w:rPr>
        <w:t>with</w:t>
      </w:r>
      <w:r>
        <w:rPr>
          <w:spacing w:val="18"/>
          <w:sz w:val="24"/>
        </w:rPr>
        <w:t> </w:t>
      </w:r>
      <w:r>
        <w:rPr>
          <w:sz w:val="24"/>
        </w:rPr>
        <w:t>the</w:t>
      </w:r>
      <w:r>
        <w:rPr>
          <w:spacing w:val="18"/>
          <w:sz w:val="24"/>
        </w:rPr>
        <w:t> </w:t>
      </w:r>
      <w:r>
        <w:rPr>
          <w:sz w:val="24"/>
        </w:rPr>
        <w:t>classification</w:t>
      </w:r>
      <w:r>
        <w:rPr>
          <w:spacing w:val="18"/>
          <w:sz w:val="24"/>
        </w:rPr>
        <w:t> </w:t>
      </w:r>
      <w:r>
        <w:rPr>
          <w:sz w:val="24"/>
        </w:rPr>
        <w:t>and</w:t>
      </w:r>
      <w:r>
        <w:rPr>
          <w:spacing w:val="18"/>
          <w:sz w:val="24"/>
        </w:rPr>
        <w:t> </w:t>
      </w:r>
      <w:r>
        <w:rPr>
          <w:sz w:val="24"/>
        </w:rPr>
        <w:t>economic</w:t>
      </w:r>
      <w:r>
        <w:rPr>
          <w:spacing w:val="18"/>
          <w:sz w:val="24"/>
        </w:rPr>
        <w:t> </w:t>
      </w:r>
      <w:r>
        <w:rPr>
          <w:sz w:val="24"/>
        </w:rPr>
        <w:t>regulation</w:t>
      </w:r>
      <w:r>
        <w:rPr>
          <w:spacing w:val="17"/>
          <w:sz w:val="24"/>
        </w:rPr>
        <w:t> </w:t>
      </w:r>
      <w:r>
        <w:rPr>
          <w:sz w:val="24"/>
        </w:rPr>
        <w:t>of</w:t>
      </w:r>
    </w:p>
    <w:p>
      <w:pPr>
        <w:spacing w:before="0"/>
        <w:ind w:left="1919" w:right="0" w:firstLine="0"/>
        <w:jc w:val="both"/>
        <w:rPr>
          <w:sz w:val="24"/>
        </w:rPr>
      </w:pPr>
      <w:r>
        <w:rPr>
          <w:i/>
          <w:sz w:val="24"/>
        </w:rPr>
        <w:t>distribution services</w:t>
      </w:r>
      <w:r>
        <w:rPr>
          <w:sz w:val="24"/>
        </w:rPr>
        <w:t>.</w:t>
      </w:r>
    </w:p>
    <w:p>
      <w:pPr>
        <w:pStyle w:val="ListParagraph"/>
        <w:numPr>
          <w:ilvl w:val="3"/>
          <w:numId w:val="386"/>
        </w:numPr>
        <w:tabs>
          <w:tab w:pos="1919" w:val="left" w:leader="none"/>
        </w:tabs>
        <w:spacing w:line="240" w:lineRule="auto" w:before="120" w:after="0"/>
        <w:ind w:left="1918" w:right="0" w:hanging="567"/>
        <w:jc w:val="both"/>
        <w:rPr>
          <w:sz w:val="24"/>
        </w:rPr>
      </w:pPr>
      <w:r>
        <w:rPr>
          <w:sz w:val="24"/>
        </w:rPr>
        <w:t>It is divided into parts as</w:t>
      </w:r>
      <w:r>
        <w:rPr>
          <w:spacing w:val="-2"/>
          <w:sz w:val="24"/>
        </w:rPr>
        <w:t> </w:t>
      </w:r>
      <w:r>
        <w:rPr>
          <w:sz w:val="24"/>
        </w:rPr>
        <w:t>follows:</w:t>
      </w:r>
    </w:p>
    <w:p>
      <w:pPr>
        <w:pStyle w:val="ListParagraph"/>
        <w:numPr>
          <w:ilvl w:val="4"/>
          <w:numId w:val="386"/>
        </w:numPr>
        <w:tabs>
          <w:tab w:pos="2486" w:val="left" w:leader="none"/>
        </w:tabs>
        <w:spacing w:line="240" w:lineRule="auto" w:before="120" w:after="0"/>
        <w:ind w:left="2485" w:right="0" w:hanging="567"/>
        <w:jc w:val="both"/>
        <w:rPr>
          <w:sz w:val="24"/>
        </w:rPr>
      </w:pPr>
      <w:r>
        <w:rPr>
          <w:sz w:val="24"/>
        </w:rPr>
        <w:t>this Part is</w:t>
      </w:r>
      <w:r>
        <w:rPr>
          <w:spacing w:val="-2"/>
          <w:sz w:val="24"/>
        </w:rPr>
        <w:t> </w:t>
      </w:r>
      <w:r>
        <w:rPr>
          <w:sz w:val="24"/>
        </w:rPr>
        <w:t>introductory;</w:t>
      </w:r>
    </w:p>
    <w:p>
      <w:pPr>
        <w:pStyle w:val="ListParagraph"/>
        <w:numPr>
          <w:ilvl w:val="4"/>
          <w:numId w:val="386"/>
        </w:numPr>
        <w:tabs>
          <w:tab w:pos="2486" w:val="left" w:leader="none"/>
        </w:tabs>
        <w:spacing w:line="240" w:lineRule="auto" w:before="120" w:after="0"/>
        <w:ind w:left="2486" w:right="415" w:hanging="567"/>
        <w:jc w:val="both"/>
        <w:rPr>
          <w:sz w:val="24"/>
        </w:rPr>
      </w:pPr>
      <w:r>
        <w:rPr>
          <w:sz w:val="24"/>
        </w:rPr>
        <w:t>Part B confers power on the </w:t>
      </w:r>
      <w:r>
        <w:rPr>
          <w:i/>
          <w:sz w:val="24"/>
        </w:rPr>
        <w:t>AER </w:t>
      </w:r>
      <w:r>
        <w:rPr>
          <w:sz w:val="24"/>
        </w:rPr>
        <w:t>to classify </w:t>
      </w:r>
      <w:r>
        <w:rPr>
          <w:i/>
          <w:sz w:val="24"/>
        </w:rPr>
        <w:t>distribution services</w:t>
      </w:r>
      <w:r>
        <w:rPr>
          <w:sz w:val="24"/>
        </w:rPr>
        <w:t>, to determine the forms of control for </w:t>
      </w:r>
      <w:r>
        <w:rPr>
          <w:i/>
          <w:sz w:val="24"/>
        </w:rPr>
        <w:t>distribution services</w:t>
      </w:r>
      <w:r>
        <w:rPr>
          <w:sz w:val="24"/>
        </w:rPr>
        <w:t>, and to make distribution</w:t>
      </w:r>
      <w:r>
        <w:rPr>
          <w:spacing w:val="-1"/>
          <w:sz w:val="24"/>
        </w:rPr>
        <w:t> </w:t>
      </w:r>
      <w:r>
        <w:rPr>
          <w:sz w:val="24"/>
        </w:rPr>
        <w:t>determinations;</w:t>
      </w:r>
    </w:p>
    <w:p>
      <w:pPr>
        <w:pStyle w:val="ListParagraph"/>
        <w:numPr>
          <w:ilvl w:val="4"/>
          <w:numId w:val="386"/>
        </w:numPr>
        <w:tabs>
          <w:tab w:pos="2486" w:val="left" w:leader="none"/>
        </w:tabs>
        <w:spacing w:line="240" w:lineRule="auto" w:before="120" w:after="0"/>
        <w:ind w:left="2486" w:right="415" w:hanging="567"/>
        <w:jc w:val="both"/>
        <w:rPr>
          <w:sz w:val="24"/>
        </w:rPr>
      </w:pPr>
      <w:r>
        <w:rPr>
          <w:sz w:val="24"/>
        </w:rPr>
        <w:t>Part C sets out the building block approach to the regulation of services classified as </w:t>
      </w:r>
      <w:r>
        <w:rPr>
          <w:i/>
          <w:sz w:val="24"/>
        </w:rPr>
        <w:t>standard control</w:t>
      </w:r>
      <w:r>
        <w:rPr>
          <w:i/>
          <w:spacing w:val="-5"/>
          <w:sz w:val="24"/>
        </w:rPr>
        <w:t> </w:t>
      </w:r>
      <w:r>
        <w:rPr>
          <w:i/>
          <w:sz w:val="24"/>
        </w:rPr>
        <w:t>services</w:t>
      </w:r>
      <w:r>
        <w:rPr>
          <w:sz w:val="24"/>
        </w:rPr>
        <w:t>;</w:t>
      </w:r>
    </w:p>
    <w:p>
      <w:pPr>
        <w:pStyle w:val="ListParagraph"/>
        <w:numPr>
          <w:ilvl w:val="4"/>
          <w:numId w:val="386"/>
        </w:numPr>
        <w:tabs>
          <w:tab w:pos="2486" w:val="left" w:leader="none"/>
        </w:tabs>
        <w:spacing w:line="240" w:lineRule="auto" w:before="120" w:after="0"/>
        <w:ind w:left="2486" w:right="416" w:hanging="567"/>
        <w:jc w:val="both"/>
        <w:rPr>
          <w:sz w:val="24"/>
        </w:rPr>
      </w:pPr>
      <w:r>
        <w:rPr>
          <w:sz w:val="24"/>
        </w:rPr>
        <w:t>Part D regulates the prices that may be charged by </w:t>
      </w:r>
      <w:r>
        <w:rPr>
          <w:i/>
          <w:sz w:val="24"/>
        </w:rPr>
        <w:t>Distribution </w:t>
      </w:r>
      <w:r>
        <w:rPr>
          <w:i/>
          <w:sz w:val="24"/>
        </w:rPr>
        <w:t>Network Service Providers </w:t>
      </w:r>
      <w:r>
        <w:rPr>
          <w:sz w:val="24"/>
        </w:rPr>
        <w:t>for the provision of services classified as </w:t>
      </w:r>
      <w:r>
        <w:rPr>
          <w:i/>
          <w:sz w:val="24"/>
        </w:rPr>
        <w:t>negotiated distribution</w:t>
      </w:r>
      <w:r>
        <w:rPr>
          <w:i/>
          <w:spacing w:val="-1"/>
          <w:sz w:val="24"/>
        </w:rPr>
        <w:t> </w:t>
      </w:r>
      <w:r>
        <w:rPr>
          <w:i/>
          <w:sz w:val="24"/>
        </w:rPr>
        <w:t>services</w:t>
      </w:r>
      <w:r>
        <w:rPr>
          <w:sz w:val="24"/>
        </w:rPr>
        <w:t>;</w:t>
      </w:r>
    </w:p>
    <w:p>
      <w:pPr>
        <w:pStyle w:val="BodyText"/>
        <w:ind w:left="2486" w:right="416"/>
      </w:pPr>
      <w:r>
        <w:rPr/>
        <w:t>(4A) Part DA deals with the preparation of, requirements for and approval of, </w:t>
      </w:r>
      <w:r>
        <w:rPr>
          <w:i/>
        </w:rPr>
        <w:t>connection policies</w:t>
      </w:r>
      <w:r>
        <w:rPr/>
        <w:t>;</w:t>
      </w:r>
    </w:p>
    <w:p>
      <w:pPr>
        <w:pStyle w:val="ListParagraph"/>
        <w:numPr>
          <w:ilvl w:val="4"/>
          <w:numId w:val="386"/>
        </w:numPr>
        <w:tabs>
          <w:tab w:pos="2486" w:val="left" w:leader="none"/>
        </w:tabs>
        <w:spacing w:line="240" w:lineRule="auto" w:before="120" w:after="0"/>
        <w:ind w:left="2486" w:right="415" w:hanging="567"/>
        <w:jc w:val="both"/>
        <w:rPr>
          <w:sz w:val="24"/>
        </w:rPr>
      </w:pPr>
      <w:r>
        <w:rPr>
          <w:sz w:val="24"/>
        </w:rPr>
        <w:t>Part E sets out the procedure and approach for the making of a distribution</w:t>
      </w:r>
      <w:r>
        <w:rPr>
          <w:spacing w:val="-1"/>
          <w:sz w:val="24"/>
        </w:rPr>
        <w:t> </w:t>
      </w:r>
      <w:r>
        <w:rPr>
          <w:sz w:val="24"/>
        </w:rPr>
        <w:t>determination;</w:t>
      </w:r>
    </w:p>
    <w:p>
      <w:pPr>
        <w:pStyle w:val="ListParagraph"/>
        <w:numPr>
          <w:ilvl w:val="4"/>
          <w:numId w:val="386"/>
        </w:numPr>
        <w:tabs>
          <w:tab w:pos="2486" w:val="left" w:leader="none"/>
        </w:tabs>
        <w:spacing w:line="240" w:lineRule="auto" w:before="120" w:after="0"/>
        <w:ind w:left="2485" w:right="0" w:hanging="567"/>
        <w:jc w:val="both"/>
        <w:rPr>
          <w:sz w:val="24"/>
        </w:rPr>
      </w:pPr>
      <w:r>
        <w:rPr>
          <w:sz w:val="24"/>
        </w:rPr>
        <w:t>Part F regulates cost</w:t>
      </w:r>
      <w:r>
        <w:rPr>
          <w:spacing w:val="-2"/>
          <w:sz w:val="24"/>
        </w:rPr>
        <w:t> </w:t>
      </w:r>
      <w:r>
        <w:rPr>
          <w:sz w:val="24"/>
        </w:rPr>
        <w:t>allocation;</w:t>
      </w:r>
    </w:p>
    <w:p>
      <w:pPr>
        <w:spacing w:after="0" w:line="240" w:lineRule="auto"/>
        <w:jc w:val="both"/>
        <w:rPr>
          <w:sz w:val="24"/>
        </w:rPr>
        <w:sectPr>
          <w:headerReference w:type="default" r:id="rId78"/>
          <w:footerReference w:type="default" r:id="rId79"/>
          <w:pgSz w:w="11910" w:h="16840"/>
          <w:pgMar w:header="686" w:footer="637" w:top="1320" w:bottom="820" w:left="1200" w:right="1000"/>
          <w:pgNumType w:start="412"/>
        </w:sectPr>
      </w:pPr>
    </w:p>
    <w:p>
      <w:pPr>
        <w:pStyle w:val="ListParagraph"/>
        <w:numPr>
          <w:ilvl w:val="4"/>
          <w:numId w:val="386"/>
        </w:numPr>
        <w:tabs>
          <w:tab w:pos="2485" w:val="left" w:leader="none"/>
          <w:tab w:pos="2486" w:val="left" w:leader="none"/>
        </w:tabs>
        <w:spacing w:line="240" w:lineRule="auto" w:before="83" w:after="0"/>
        <w:ind w:left="2485" w:right="0" w:hanging="567"/>
        <w:jc w:val="left"/>
        <w:rPr>
          <w:sz w:val="24"/>
        </w:rPr>
      </w:pPr>
      <w:r>
        <w:rPr>
          <w:sz w:val="24"/>
        </w:rPr>
        <w:t>Part G contains the distribution consultation</w:t>
      </w:r>
      <w:r>
        <w:rPr>
          <w:spacing w:val="-2"/>
          <w:sz w:val="24"/>
        </w:rPr>
        <w:t> </w:t>
      </w:r>
      <w:r>
        <w:rPr>
          <w:sz w:val="24"/>
        </w:rPr>
        <w:t>procedures;</w:t>
      </w:r>
    </w:p>
    <w:p>
      <w:pPr>
        <w:pStyle w:val="ListParagraph"/>
        <w:numPr>
          <w:ilvl w:val="4"/>
          <w:numId w:val="386"/>
        </w:numPr>
        <w:tabs>
          <w:tab w:pos="2485" w:val="left" w:leader="none"/>
          <w:tab w:pos="2486" w:val="left" w:leader="none"/>
        </w:tabs>
        <w:spacing w:line="240" w:lineRule="auto" w:before="120" w:after="0"/>
        <w:ind w:left="2485" w:right="0" w:hanging="567"/>
        <w:jc w:val="left"/>
        <w:rPr>
          <w:sz w:val="24"/>
        </w:rPr>
      </w:pPr>
      <w:r>
        <w:rPr>
          <w:sz w:val="24"/>
        </w:rPr>
        <w:t>Part H deals with</w:t>
      </w:r>
      <w:r>
        <w:rPr>
          <w:spacing w:val="-3"/>
          <w:sz w:val="24"/>
        </w:rPr>
        <w:t> </w:t>
      </w:r>
      <w:r>
        <w:rPr>
          <w:sz w:val="24"/>
        </w:rPr>
        <w:t>ring-fencing;</w:t>
      </w:r>
    </w:p>
    <w:p>
      <w:pPr>
        <w:pStyle w:val="ListParagraph"/>
        <w:numPr>
          <w:ilvl w:val="4"/>
          <w:numId w:val="386"/>
        </w:numPr>
        <w:tabs>
          <w:tab w:pos="2485" w:val="left" w:leader="none"/>
          <w:tab w:pos="2486" w:val="left" w:leader="none"/>
        </w:tabs>
        <w:spacing w:line="240" w:lineRule="auto" w:before="120" w:after="0"/>
        <w:ind w:left="2485" w:right="0" w:hanging="567"/>
        <w:jc w:val="left"/>
        <w:rPr>
          <w:sz w:val="24"/>
        </w:rPr>
      </w:pPr>
      <w:r>
        <w:rPr>
          <w:sz w:val="24"/>
        </w:rPr>
        <w:t>Part I deals with </w:t>
      </w:r>
      <w:r>
        <w:rPr>
          <w:i/>
          <w:sz w:val="24"/>
        </w:rPr>
        <w:t>tariff classes </w:t>
      </w:r>
      <w:r>
        <w:rPr>
          <w:sz w:val="24"/>
        </w:rPr>
        <w:t>and</w:t>
      </w:r>
      <w:r>
        <w:rPr>
          <w:spacing w:val="-3"/>
          <w:sz w:val="24"/>
        </w:rPr>
        <w:t> </w:t>
      </w:r>
      <w:r>
        <w:rPr>
          <w:sz w:val="24"/>
        </w:rPr>
        <w:t>tariffs;</w:t>
      </w:r>
    </w:p>
    <w:p>
      <w:pPr>
        <w:pStyle w:val="ListParagraph"/>
        <w:numPr>
          <w:ilvl w:val="4"/>
          <w:numId w:val="386"/>
        </w:numPr>
        <w:tabs>
          <w:tab w:pos="2486" w:val="left" w:leader="none"/>
        </w:tabs>
        <w:spacing w:line="240" w:lineRule="auto" w:before="120" w:after="0"/>
        <w:ind w:left="2485" w:right="0" w:hanging="567"/>
        <w:jc w:val="left"/>
        <w:rPr>
          <w:sz w:val="24"/>
        </w:rPr>
      </w:pPr>
      <w:r>
        <w:rPr>
          <w:sz w:val="24"/>
        </w:rPr>
        <w:t>Part J deals with billing and</w:t>
      </w:r>
      <w:r>
        <w:rPr>
          <w:spacing w:val="-4"/>
          <w:sz w:val="24"/>
        </w:rPr>
        <w:t> </w:t>
      </w:r>
      <w:r>
        <w:rPr>
          <w:sz w:val="24"/>
        </w:rPr>
        <w:t>settlements;</w:t>
      </w:r>
    </w:p>
    <w:p>
      <w:pPr>
        <w:pStyle w:val="ListParagraph"/>
        <w:numPr>
          <w:ilvl w:val="4"/>
          <w:numId w:val="386"/>
        </w:numPr>
        <w:tabs>
          <w:tab w:pos="2486" w:val="left" w:leader="none"/>
        </w:tabs>
        <w:spacing w:line="240" w:lineRule="auto" w:before="120" w:after="0"/>
        <w:ind w:left="2486" w:right="416" w:hanging="567"/>
        <w:jc w:val="left"/>
        <w:rPr>
          <w:sz w:val="24"/>
        </w:rPr>
      </w:pPr>
      <w:r>
        <w:rPr>
          <w:sz w:val="24"/>
        </w:rPr>
        <w:t>Part K deals with prudential requirements, prepayments and capital contributions;</w:t>
      </w:r>
    </w:p>
    <w:p>
      <w:pPr>
        <w:pStyle w:val="ListParagraph"/>
        <w:numPr>
          <w:ilvl w:val="4"/>
          <w:numId w:val="386"/>
        </w:numPr>
        <w:tabs>
          <w:tab w:pos="2486" w:val="left" w:leader="none"/>
        </w:tabs>
        <w:spacing w:line="240" w:lineRule="auto" w:before="120" w:after="0"/>
        <w:ind w:left="2485" w:right="0" w:hanging="567"/>
        <w:jc w:val="left"/>
        <w:rPr>
          <w:sz w:val="24"/>
        </w:rPr>
      </w:pPr>
      <w:r>
        <w:rPr>
          <w:sz w:val="24"/>
        </w:rPr>
        <w:t>Part L deals with dispute</w:t>
      </w:r>
      <w:r>
        <w:rPr>
          <w:spacing w:val="-3"/>
          <w:sz w:val="24"/>
        </w:rPr>
        <w:t> </w:t>
      </w:r>
      <w:r>
        <w:rPr>
          <w:sz w:val="24"/>
        </w:rPr>
        <w:t>resolution;</w:t>
      </w:r>
    </w:p>
    <w:p>
      <w:pPr>
        <w:pStyle w:val="ListParagraph"/>
        <w:numPr>
          <w:ilvl w:val="4"/>
          <w:numId w:val="386"/>
        </w:numPr>
        <w:tabs>
          <w:tab w:pos="2486" w:val="left" w:leader="none"/>
        </w:tabs>
        <w:spacing w:line="240" w:lineRule="auto" w:before="120" w:after="0"/>
        <w:ind w:left="2485" w:right="0" w:hanging="567"/>
        <w:jc w:val="left"/>
        <w:rPr>
          <w:i/>
          <w:sz w:val="24"/>
        </w:rPr>
      </w:pPr>
      <w:r>
        <w:rPr>
          <w:sz w:val="24"/>
        </w:rPr>
        <w:t>Part M deals with the disclosure of </w:t>
      </w:r>
      <w:r>
        <w:rPr>
          <w:i/>
          <w:sz w:val="24"/>
        </w:rPr>
        <w:t>transmission </w:t>
      </w:r>
      <w:r>
        <w:rPr>
          <w:sz w:val="24"/>
        </w:rPr>
        <w:t>and</w:t>
      </w:r>
      <w:r>
        <w:rPr>
          <w:spacing w:val="28"/>
          <w:sz w:val="24"/>
        </w:rPr>
        <w:t> </w:t>
      </w:r>
      <w:r>
        <w:rPr>
          <w:i/>
          <w:sz w:val="24"/>
        </w:rPr>
        <w:t>distribution</w:t>
      </w:r>
    </w:p>
    <w:p>
      <w:pPr>
        <w:pStyle w:val="BodyText"/>
        <w:spacing w:before="0"/>
        <w:ind w:left="2486" w:firstLine="0"/>
        <w:jc w:val="left"/>
      </w:pPr>
      <w:r>
        <w:rPr/>
        <w:t>charges;</w:t>
      </w:r>
    </w:p>
    <w:p>
      <w:pPr>
        <w:pStyle w:val="ListParagraph"/>
        <w:numPr>
          <w:ilvl w:val="4"/>
          <w:numId w:val="386"/>
        </w:numPr>
        <w:tabs>
          <w:tab w:pos="2486" w:val="left" w:leader="none"/>
        </w:tabs>
        <w:spacing w:line="240" w:lineRule="auto" w:before="120" w:after="0"/>
        <w:ind w:left="2486" w:right="416" w:hanging="567"/>
        <w:jc w:val="left"/>
        <w:rPr>
          <w:sz w:val="24"/>
        </w:rPr>
      </w:pPr>
      <w:r>
        <w:rPr>
          <w:sz w:val="24"/>
        </w:rPr>
        <w:t>Part N provides for services provided by, or in connection with, </w:t>
      </w:r>
      <w:r>
        <w:rPr>
          <w:i/>
          <w:sz w:val="24"/>
        </w:rPr>
        <w:t>dual </w:t>
      </w:r>
      <w:r>
        <w:rPr>
          <w:i/>
          <w:sz w:val="24"/>
        </w:rPr>
        <w:t>function assets </w:t>
      </w:r>
      <w:r>
        <w:rPr>
          <w:sz w:val="24"/>
        </w:rPr>
        <w:t>to be the subject of distribution determinations;</w:t>
      </w:r>
      <w:r>
        <w:rPr>
          <w:spacing w:val="-9"/>
          <w:sz w:val="24"/>
        </w:rPr>
        <w:t> </w:t>
      </w:r>
      <w:r>
        <w:rPr>
          <w:sz w:val="24"/>
        </w:rPr>
        <w:t>and</w:t>
      </w:r>
    </w:p>
    <w:p>
      <w:pPr>
        <w:pStyle w:val="ListParagraph"/>
        <w:numPr>
          <w:ilvl w:val="4"/>
          <w:numId w:val="386"/>
        </w:numPr>
        <w:tabs>
          <w:tab w:pos="2486" w:val="left" w:leader="none"/>
        </w:tabs>
        <w:spacing w:line="240" w:lineRule="auto" w:before="120" w:after="0"/>
        <w:ind w:left="2486" w:right="416" w:hanging="567"/>
        <w:jc w:val="left"/>
        <w:rPr>
          <w:sz w:val="24"/>
        </w:rPr>
      </w:pPr>
      <w:r>
        <w:rPr>
          <w:sz w:val="24"/>
        </w:rPr>
        <w:t>Part O sets out the requirements to prepare </w:t>
      </w:r>
      <w:r>
        <w:rPr>
          <w:i/>
          <w:sz w:val="24"/>
        </w:rPr>
        <w:t>annual benchmarking </w:t>
      </w:r>
      <w:r>
        <w:rPr>
          <w:i/>
          <w:sz w:val="24"/>
        </w:rPr>
        <w:t>reports</w:t>
      </w:r>
      <w:r>
        <w:rPr>
          <w:sz w:val="24"/>
        </w:rPr>
        <w:t>.</w:t>
      </w:r>
    </w:p>
    <w:p>
      <w:pPr>
        <w:pStyle w:val="BodyText"/>
        <w:spacing w:before="10"/>
        <w:ind w:firstLine="0"/>
        <w:jc w:val="left"/>
        <w:rPr>
          <w:sz w:val="20"/>
        </w:rPr>
      </w:pPr>
    </w:p>
    <w:p>
      <w:pPr>
        <w:pStyle w:val="Heading4"/>
        <w:numPr>
          <w:ilvl w:val="2"/>
          <w:numId w:val="386"/>
        </w:numPr>
        <w:tabs>
          <w:tab w:pos="1351" w:val="left" w:leader="none"/>
          <w:tab w:pos="1352" w:val="left" w:leader="none"/>
        </w:tabs>
        <w:spacing w:line="240" w:lineRule="auto" w:before="0" w:after="0"/>
        <w:ind w:left="1352" w:right="1430" w:hanging="1134"/>
        <w:jc w:val="left"/>
      </w:pPr>
      <w:bookmarkStart w:name="6.1.3 Access to direct control services " w:id="1247"/>
      <w:bookmarkEnd w:id="1247"/>
      <w:r>
        <w:rPr>
          <w:b w:val="0"/>
        </w:rPr>
      </w:r>
      <w:bookmarkStart w:name="_bookmark514" w:id="1248"/>
      <w:bookmarkEnd w:id="1248"/>
      <w:r>
        <w:rPr>
          <w:b w:val="0"/>
        </w:rPr>
      </w:r>
      <w:bookmarkStart w:name="_bookmark514" w:id="1249"/>
      <w:bookmarkEnd w:id="1249"/>
      <w:r>
        <w:rPr/>
        <w:t>Acc</w:t>
      </w:r>
      <w:r>
        <w:rPr/>
        <w:t>ess to direct control services and negotiated distribution services</w:t>
      </w:r>
    </w:p>
    <w:p>
      <w:pPr>
        <w:pStyle w:val="ListParagraph"/>
        <w:numPr>
          <w:ilvl w:val="3"/>
          <w:numId w:val="386"/>
        </w:numPr>
        <w:tabs>
          <w:tab w:pos="1919" w:val="left" w:leader="none"/>
        </w:tabs>
        <w:spacing w:line="240" w:lineRule="auto" w:before="120" w:after="0"/>
        <w:ind w:left="1918" w:right="0" w:hanging="567"/>
        <w:jc w:val="both"/>
        <w:rPr>
          <w:sz w:val="24"/>
        </w:rPr>
      </w:pPr>
      <w:r>
        <w:rPr>
          <w:sz w:val="24"/>
        </w:rPr>
        <w:t>Subject to and in accordance with the</w:t>
      </w:r>
      <w:r>
        <w:rPr>
          <w:spacing w:val="-1"/>
          <w:sz w:val="24"/>
        </w:rPr>
        <w:t> </w:t>
      </w:r>
      <w:r>
        <w:rPr>
          <w:i/>
          <w:sz w:val="24"/>
        </w:rPr>
        <w:t>Rules</w:t>
      </w:r>
      <w:r>
        <w:rPr>
          <w:sz w:val="24"/>
        </w:rPr>
        <w:t>:</w:t>
      </w:r>
    </w:p>
    <w:p>
      <w:pPr>
        <w:pStyle w:val="ListParagraph"/>
        <w:numPr>
          <w:ilvl w:val="4"/>
          <w:numId w:val="386"/>
        </w:numPr>
        <w:tabs>
          <w:tab w:pos="2486" w:val="left" w:leader="none"/>
        </w:tabs>
        <w:spacing w:line="240" w:lineRule="auto" w:before="120" w:after="0"/>
        <w:ind w:left="2486" w:right="416" w:hanging="567"/>
        <w:jc w:val="both"/>
        <w:rPr>
          <w:sz w:val="24"/>
        </w:rPr>
      </w:pPr>
      <w:r>
        <w:rPr>
          <w:sz w:val="24"/>
        </w:rPr>
        <w:t>a person (a </w:t>
      </w:r>
      <w:r>
        <w:rPr>
          <w:b/>
          <w:i/>
          <w:sz w:val="24"/>
        </w:rPr>
        <w:t>Service Applicant</w:t>
      </w:r>
      <w:r>
        <w:rPr>
          <w:sz w:val="24"/>
        </w:rPr>
        <w:t>) may apply to a </w:t>
      </w:r>
      <w:r>
        <w:rPr>
          <w:i/>
          <w:sz w:val="24"/>
        </w:rPr>
        <w:t>Distribution Network </w:t>
      </w:r>
      <w:r>
        <w:rPr>
          <w:i/>
          <w:sz w:val="24"/>
        </w:rPr>
        <w:t>Service Provider </w:t>
      </w:r>
      <w:r>
        <w:rPr>
          <w:sz w:val="24"/>
        </w:rPr>
        <w:t>for provision of </w:t>
      </w:r>
      <w:r>
        <w:rPr>
          <w:i/>
          <w:sz w:val="24"/>
        </w:rPr>
        <w:t>direct control services </w:t>
      </w:r>
      <w:r>
        <w:rPr>
          <w:sz w:val="24"/>
        </w:rPr>
        <w:t>or </w:t>
      </w:r>
      <w:r>
        <w:rPr>
          <w:i/>
          <w:sz w:val="24"/>
        </w:rPr>
        <w:t>negotiated </w:t>
      </w:r>
      <w:r>
        <w:rPr>
          <w:i/>
          <w:sz w:val="24"/>
        </w:rPr>
        <w:t>distribution</w:t>
      </w:r>
      <w:r>
        <w:rPr>
          <w:i/>
          <w:spacing w:val="-1"/>
          <w:sz w:val="24"/>
        </w:rPr>
        <w:t> </w:t>
      </w:r>
      <w:r>
        <w:rPr>
          <w:i/>
          <w:sz w:val="24"/>
        </w:rPr>
        <w:t>services</w:t>
      </w:r>
      <w:r>
        <w:rPr>
          <w:sz w:val="24"/>
        </w:rPr>
        <w:t>;</w:t>
      </w:r>
    </w:p>
    <w:p>
      <w:pPr>
        <w:pStyle w:val="ListParagraph"/>
        <w:numPr>
          <w:ilvl w:val="4"/>
          <w:numId w:val="386"/>
        </w:numPr>
        <w:tabs>
          <w:tab w:pos="2486" w:val="left" w:leader="none"/>
        </w:tabs>
        <w:spacing w:line="240" w:lineRule="auto" w:before="120" w:after="0"/>
        <w:ind w:left="2486" w:right="415" w:hanging="567"/>
        <w:jc w:val="both"/>
        <w:rPr>
          <w:sz w:val="24"/>
        </w:rPr>
      </w:pPr>
      <w:r>
        <w:rPr>
          <w:sz w:val="24"/>
        </w:rPr>
        <w:t>a </w:t>
      </w:r>
      <w:r>
        <w:rPr>
          <w:i/>
          <w:sz w:val="24"/>
        </w:rPr>
        <w:t>Distribution Network Service Provider </w:t>
      </w:r>
      <w:r>
        <w:rPr>
          <w:sz w:val="24"/>
        </w:rPr>
        <w:t>must provide </w:t>
      </w:r>
      <w:r>
        <w:rPr>
          <w:i/>
          <w:sz w:val="24"/>
        </w:rPr>
        <w:t>direct control </w:t>
      </w:r>
      <w:r>
        <w:rPr>
          <w:i/>
          <w:sz w:val="24"/>
        </w:rPr>
        <w:t>services </w:t>
      </w:r>
      <w:r>
        <w:rPr>
          <w:sz w:val="24"/>
        </w:rPr>
        <w:t>or </w:t>
      </w:r>
      <w:r>
        <w:rPr>
          <w:i/>
          <w:sz w:val="24"/>
        </w:rPr>
        <w:t>negotiated distribution services </w:t>
      </w:r>
      <w:r>
        <w:rPr>
          <w:sz w:val="24"/>
        </w:rPr>
        <w:t>(as the case may be) on </w:t>
      </w:r>
      <w:r>
        <w:rPr>
          <w:i/>
          <w:sz w:val="24"/>
        </w:rPr>
        <w:t>terms and conditions of access </w:t>
      </w:r>
      <w:r>
        <w:rPr>
          <w:sz w:val="24"/>
        </w:rPr>
        <w:t>as determined under Chapters 5, 6 </w:t>
      </w:r>
      <w:r>
        <w:rPr>
          <w:spacing w:val="-5"/>
          <w:sz w:val="24"/>
        </w:rPr>
        <w:t>and </w:t>
      </w:r>
      <w:r>
        <w:rPr>
          <w:sz w:val="24"/>
        </w:rPr>
        <w:t>7A of the Rules and under </w:t>
      </w:r>
      <w:r>
        <w:rPr>
          <w:i/>
          <w:sz w:val="24"/>
        </w:rPr>
        <w:t>jurisdictional electricity</w:t>
      </w:r>
      <w:r>
        <w:rPr>
          <w:i/>
          <w:spacing w:val="-2"/>
          <w:sz w:val="24"/>
        </w:rPr>
        <w:t> </w:t>
      </w:r>
      <w:r>
        <w:rPr>
          <w:i/>
          <w:sz w:val="24"/>
        </w:rPr>
        <w:t>legislation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terms and conditions of access in </w:t>
      </w:r>
      <w:r>
        <w:rPr>
          <w:i/>
          <w:sz w:val="20"/>
        </w:rPr>
        <w:t>jurisdiction electricity legislation </w:t>
      </w:r>
      <w:r>
        <w:rPr>
          <w:sz w:val="20"/>
        </w:rPr>
        <w:t>will be terms and conditions that correspond to matters set out in Chapter 4 of the </w:t>
      </w:r>
      <w:r>
        <w:rPr>
          <w:i/>
          <w:sz w:val="20"/>
        </w:rPr>
        <w:t>Rules </w:t>
      </w:r>
      <w:r>
        <w:rPr>
          <w:sz w:val="20"/>
        </w:rPr>
        <w:t>applying in other </w:t>
      </w:r>
      <w:r>
        <w:rPr>
          <w:i/>
          <w:sz w:val="20"/>
        </w:rPr>
        <w:t>participating jurisdictions</w:t>
      </w:r>
      <w:r>
        <w:rPr>
          <w:sz w:val="20"/>
        </w:rPr>
        <w:t>. The application of paragraph (a) will be revisited as part of the phased implementation of the </w:t>
      </w:r>
      <w:r>
        <w:rPr>
          <w:i/>
          <w:sz w:val="20"/>
        </w:rPr>
        <w:t>Rules </w:t>
      </w:r>
      <w:r>
        <w:rPr>
          <w:sz w:val="20"/>
        </w:rPr>
        <w:t>in this jurisdiction.</w:t>
      </w:r>
    </w:p>
    <w:p>
      <w:pPr>
        <w:pStyle w:val="ListParagraph"/>
        <w:numPr>
          <w:ilvl w:val="3"/>
          <w:numId w:val="386"/>
        </w:numPr>
        <w:tabs>
          <w:tab w:pos="1919" w:val="left" w:leader="none"/>
        </w:tabs>
        <w:spacing w:line="240" w:lineRule="auto" w:before="120" w:after="0"/>
        <w:ind w:left="1918" w:right="0" w:hanging="567"/>
        <w:jc w:val="both"/>
        <w:rPr>
          <w:sz w:val="24"/>
        </w:rPr>
      </w:pPr>
      <w:r>
        <w:rPr>
          <w:sz w:val="24"/>
        </w:rPr>
        <w:t>The </w:t>
      </w:r>
      <w:r>
        <w:rPr>
          <w:i/>
          <w:sz w:val="24"/>
        </w:rPr>
        <w:t>terms and conditions of access</w:t>
      </w:r>
      <w:r>
        <w:rPr>
          <w:i/>
          <w:spacing w:val="-1"/>
          <w:sz w:val="24"/>
        </w:rPr>
        <w:t> </w:t>
      </w:r>
      <w:r>
        <w:rPr>
          <w:sz w:val="24"/>
        </w:rPr>
        <w:t>are:</w:t>
      </w:r>
    </w:p>
    <w:p>
      <w:pPr>
        <w:pStyle w:val="ListParagraph"/>
        <w:numPr>
          <w:ilvl w:val="4"/>
          <w:numId w:val="386"/>
        </w:numPr>
        <w:tabs>
          <w:tab w:pos="2486" w:val="left" w:leader="none"/>
        </w:tabs>
        <w:spacing w:line="240" w:lineRule="auto" w:before="120" w:after="0"/>
        <w:ind w:left="2485" w:right="0" w:hanging="567"/>
        <w:jc w:val="both"/>
        <w:rPr>
          <w:sz w:val="24"/>
        </w:rPr>
      </w:pPr>
      <w:r>
        <w:rPr>
          <w:sz w:val="24"/>
        </w:rPr>
        <w:t>in relation to </w:t>
      </w:r>
      <w:r>
        <w:rPr>
          <w:i/>
          <w:sz w:val="24"/>
        </w:rPr>
        <w:t>negotiated distribution</w:t>
      </w:r>
      <w:r>
        <w:rPr>
          <w:i/>
          <w:spacing w:val="-3"/>
          <w:sz w:val="24"/>
        </w:rPr>
        <w:t> </w:t>
      </w:r>
      <w:r>
        <w:rPr>
          <w:i/>
          <w:sz w:val="24"/>
        </w:rPr>
        <w:t>services</w:t>
      </w:r>
      <w:r>
        <w:rPr>
          <w:sz w:val="24"/>
        </w:rPr>
        <w:t>:</w:t>
      </w:r>
    </w:p>
    <w:p>
      <w:pPr>
        <w:pStyle w:val="ListParagraph"/>
        <w:numPr>
          <w:ilvl w:val="5"/>
          <w:numId w:val="386"/>
        </w:numPr>
        <w:tabs>
          <w:tab w:pos="3053" w:val="left" w:leader="none"/>
        </w:tabs>
        <w:spacing w:line="240" w:lineRule="auto" w:before="120" w:after="0"/>
        <w:ind w:left="3053" w:right="416" w:hanging="567"/>
        <w:jc w:val="both"/>
        <w:rPr>
          <w:sz w:val="24"/>
        </w:rPr>
      </w:pPr>
      <w:r>
        <w:rPr>
          <w:sz w:val="24"/>
        </w:rPr>
        <w:t>the price of those services (including, if relevant, </w:t>
      </w:r>
      <w:r>
        <w:rPr>
          <w:i/>
          <w:sz w:val="24"/>
        </w:rPr>
        <w:t>access </w:t>
      </w:r>
      <w:r>
        <w:rPr>
          <w:i/>
          <w:sz w:val="24"/>
        </w:rPr>
        <w:t>charges</w:t>
      </w:r>
      <w:r>
        <w:rPr>
          <w:sz w:val="24"/>
        </w:rPr>
        <w:t>); and</w:t>
      </w:r>
    </w:p>
    <w:p>
      <w:pPr>
        <w:pStyle w:val="ListParagraph"/>
        <w:numPr>
          <w:ilvl w:val="5"/>
          <w:numId w:val="386"/>
        </w:numPr>
        <w:tabs>
          <w:tab w:pos="3054" w:val="left" w:leader="none"/>
        </w:tabs>
        <w:spacing w:line="240" w:lineRule="auto" w:before="120" w:after="0"/>
        <w:ind w:left="3053" w:right="0" w:hanging="568"/>
        <w:jc w:val="both"/>
        <w:rPr>
          <w:sz w:val="24"/>
        </w:rPr>
      </w:pPr>
      <w:r>
        <w:rPr>
          <w:sz w:val="24"/>
        </w:rPr>
        <w:t>other terms and conditions for the provision of those</w:t>
      </w:r>
      <w:r>
        <w:rPr>
          <w:spacing w:val="-3"/>
          <w:sz w:val="24"/>
        </w:rPr>
        <w:t> </w:t>
      </w:r>
      <w:r>
        <w:rPr>
          <w:sz w:val="24"/>
        </w:rPr>
        <w:t>services;</w:t>
      </w:r>
    </w:p>
    <w:p>
      <w:pPr>
        <w:pStyle w:val="ListParagraph"/>
        <w:numPr>
          <w:ilvl w:val="4"/>
          <w:numId w:val="386"/>
        </w:numPr>
        <w:tabs>
          <w:tab w:pos="2486" w:val="left" w:leader="none"/>
        </w:tabs>
        <w:spacing w:line="240" w:lineRule="auto" w:before="120" w:after="0"/>
        <w:ind w:left="2485" w:right="0" w:hanging="567"/>
        <w:jc w:val="both"/>
        <w:rPr>
          <w:sz w:val="24"/>
        </w:rPr>
      </w:pPr>
      <w:r>
        <w:rPr>
          <w:sz w:val="24"/>
        </w:rPr>
        <w:t>in relation to </w:t>
      </w:r>
      <w:r>
        <w:rPr>
          <w:i/>
          <w:sz w:val="24"/>
        </w:rPr>
        <w:t>direct control</w:t>
      </w:r>
      <w:r>
        <w:rPr>
          <w:i/>
          <w:spacing w:val="-1"/>
          <w:sz w:val="24"/>
        </w:rPr>
        <w:t> </w:t>
      </w:r>
      <w:r>
        <w:rPr>
          <w:i/>
          <w:sz w:val="24"/>
        </w:rPr>
        <w:t>services</w:t>
      </w:r>
      <w:r>
        <w:rPr>
          <w:sz w:val="24"/>
        </w:rPr>
        <w:t>:</w:t>
      </w:r>
    </w:p>
    <w:p>
      <w:pPr>
        <w:pStyle w:val="ListParagraph"/>
        <w:numPr>
          <w:ilvl w:val="5"/>
          <w:numId w:val="386"/>
        </w:numPr>
        <w:tabs>
          <w:tab w:pos="3053" w:val="left" w:leader="none"/>
        </w:tabs>
        <w:spacing w:line="240" w:lineRule="auto" w:before="120" w:after="0"/>
        <w:ind w:left="3053" w:right="416" w:hanging="567"/>
        <w:jc w:val="both"/>
        <w:rPr>
          <w:sz w:val="24"/>
        </w:rPr>
      </w:pPr>
      <w:r>
        <w:rPr>
          <w:sz w:val="24"/>
        </w:rPr>
        <w:t>the price of those services under the </w:t>
      </w:r>
      <w:r>
        <w:rPr>
          <w:i/>
          <w:sz w:val="24"/>
        </w:rPr>
        <w:t>approved pricing proposal</w:t>
      </w:r>
      <w:r>
        <w:rPr>
          <w:sz w:val="24"/>
        </w:rPr>
        <w:t>; and</w:t>
      </w:r>
    </w:p>
    <w:p>
      <w:pPr>
        <w:pStyle w:val="ListParagraph"/>
        <w:numPr>
          <w:ilvl w:val="5"/>
          <w:numId w:val="386"/>
        </w:numPr>
        <w:tabs>
          <w:tab w:pos="3054" w:val="left" w:leader="none"/>
        </w:tabs>
        <w:spacing w:line="240" w:lineRule="auto" w:before="120" w:after="0"/>
        <w:ind w:left="3053" w:right="0" w:hanging="568"/>
        <w:jc w:val="both"/>
        <w:rPr>
          <w:sz w:val="24"/>
        </w:rPr>
      </w:pPr>
      <w:r>
        <w:rPr>
          <w:sz w:val="24"/>
        </w:rPr>
        <w:t>other terms and conditions for the provision of those</w:t>
      </w:r>
      <w:r>
        <w:rPr>
          <w:spacing w:val="-3"/>
          <w:sz w:val="24"/>
        </w:rPr>
        <w:t> </w:t>
      </w:r>
      <w:r>
        <w:rPr>
          <w:sz w:val="24"/>
        </w:rPr>
        <w:t>services.</w:t>
      </w:r>
    </w:p>
    <w:p>
      <w:pPr>
        <w:spacing w:after="0" w:line="240" w:lineRule="auto"/>
        <w:jc w:val="both"/>
        <w:rPr>
          <w:sz w:val="24"/>
        </w:rPr>
        <w:sectPr>
          <w:pgSz w:w="11910" w:h="16840"/>
          <w:pgMar w:header="686" w:footer="637" w:top="1320" w:bottom="820" w:left="1200" w:right="1000"/>
        </w:sectPr>
      </w:pPr>
    </w:p>
    <w:p>
      <w:pPr>
        <w:pStyle w:val="Heading4"/>
        <w:numPr>
          <w:ilvl w:val="2"/>
          <w:numId w:val="386"/>
        </w:numPr>
        <w:tabs>
          <w:tab w:pos="1351" w:val="left" w:leader="none"/>
          <w:tab w:pos="1352" w:val="left" w:leader="none"/>
        </w:tabs>
        <w:spacing w:line="240" w:lineRule="auto" w:before="83" w:after="0"/>
        <w:ind w:left="1351" w:right="0" w:hanging="1134"/>
        <w:jc w:val="left"/>
      </w:pPr>
      <w:bookmarkStart w:name="6.1.4 Prohibition of DUOS charges for th" w:id="1250"/>
      <w:bookmarkEnd w:id="1250"/>
      <w:r>
        <w:rPr>
          <w:b w:val="0"/>
        </w:rPr>
      </w:r>
      <w:bookmarkStart w:name="_bookmark515" w:id="1251"/>
      <w:bookmarkEnd w:id="1251"/>
      <w:r>
        <w:rPr>
          <w:b w:val="0"/>
        </w:rPr>
      </w:r>
      <w:bookmarkStart w:name="_bookmark515" w:id="1252"/>
      <w:bookmarkEnd w:id="1252"/>
      <w:r>
        <w:rPr/>
        <w:t>Prohib</w:t>
      </w:r>
      <w:r>
        <w:rPr/>
        <w:t>ition of DUOS charges for the export of</w:t>
      </w:r>
      <w:r>
        <w:rPr>
          <w:spacing w:val="-6"/>
        </w:rPr>
        <w:t> </w:t>
      </w:r>
      <w:r>
        <w:rPr/>
        <w:t>energy</w:t>
      </w:r>
    </w:p>
    <w:p>
      <w:pPr>
        <w:pStyle w:val="ListParagraph"/>
        <w:numPr>
          <w:ilvl w:val="3"/>
          <w:numId w:val="386"/>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not charge a </w:t>
      </w:r>
      <w:r>
        <w:rPr>
          <w:i/>
          <w:sz w:val="24"/>
        </w:rPr>
        <w:t>Distribution </w:t>
      </w:r>
      <w:r>
        <w:rPr>
          <w:i/>
          <w:sz w:val="24"/>
        </w:rPr>
        <w:t>Network User distribution use of system </w:t>
      </w:r>
      <w:r>
        <w:rPr>
          <w:sz w:val="24"/>
        </w:rPr>
        <w:t>charges for the export of electricity generated by the user into the </w:t>
      </w:r>
      <w:r>
        <w:rPr>
          <w:i/>
          <w:sz w:val="24"/>
        </w:rPr>
        <w:t>distribution</w:t>
      </w:r>
      <w:r>
        <w:rPr>
          <w:i/>
          <w:spacing w:val="-1"/>
          <w:sz w:val="24"/>
        </w:rPr>
        <w:t> </w:t>
      </w:r>
      <w:r>
        <w:rPr>
          <w:i/>
          <w:sz w:val="24"/>
        </w:rPr>
        <w:t>network</w:t>
      </w:r>
      <w:r>
        <w:rPr>
          <w:sz w:val="24"/>
        </w:rPr>
        <w:t>.</w:t>
      </w:r>
    </w:p>
    <w:p>
      <w:pPr>
        <w:pStyle w:val="ListParagraph"/>
        <w:numPr>
          <w:ilvl w:val="3"/>
          <w:numId w:val="386"/>
        </w:numPr>
        <w:tabs>
          <w:tab w:pos="1919" w:val="left" w:leader="none"/>
        </w:tabs>
        <w:spacing w:line="240" w:lineRule="auto" w:before="120" w:after="0"/>
        <w:ind w:left="1919" w:right="415" w:hanging="567"/>
        <w:jc w:val="both"/>
        <w:rPr>
          <w:sz w:val="24"/>
        </w:rPr>
      </w:pPr>
      <w:r>
        <w:rPr>
          <w:sz w:val="24"/>
        </w:rPr>
        <w:t>This does not, however, preclude charges for the provision of </w:t>
      </w:r>
      <w:r>
        <w:rPr>
          <w:i/>
          <w:sz w:val="24"/>
        </w:rPr>
        <w:t>connection </w:t>
      </w:r>
      <w:r>
        <w:rPr>
          <w:i/>
          <w:sz w:val="24"/>
        </w:rPr>
        <w:t>services</w:t>
      </w:r>
      <w:r>
        <w:rPr>
          <w:sz w:val="24"/>
        </w:rPr>
        <w:t>.</w:t>
      </w:r>
    </w:p>
    <w:p>
      <w:pPr>
        <w:pStyle w:val="BodyText"/>
        <w:spacing w:before="9"/>
        <w:ind w:firstLine="0"/>
        <w:jc w:val="left"/>
        <w:rPr>
          <w:sz w:val="18"/>
        </w:rPr>
      </w:pPr>
      <w:r>
        <w:rPr/>
        <w:pict>
          <v:shape style="position:absolute;margin-left:69.450005pt;margin-top:12.023765pt;width:456.45pt;height:32.2pt;mso-position-horizontal-relative:page;mso-position-vertical-relative:paragraph;z-index:-251623424;mso-wrap-distance-left:0;mso-wrap-distance-right:0" type="#_x0000_t202" filled="true" fillcolor="#d9d9d9" stroked="false">
            <v:textbox inset="0,0,0,0">
              <w:txbxContent>
                <w:p>
                  <w:pPr>
                    <w:tabs>
                      <w:tab w:pos="1163" w:val="left" w:leader="none"/>
                    </w:tabs>
                    <w:spacing w:before="0"/>
                    <w:ind w:left="1163" w:right="699" w:hanging="1134"/>
                    <w:jc w:val="left"/>
                    <w:rPr>
                      <w:rFonts w:ascii="Arial"/>
                      <w:b/>
                      <w:sz w:val="28"/>
                    </w:rPr>
                  </w:pPr>
                  <w:bookmarkStart w:name="Part B Classification of Distribution Se" w:id="1253"/>
                  <w:bookmarkEnd w:id="1253"/>
                  <w:r>
                    <w:rPr/>
                  </w:r>
                  <w:bookmarkStart w:name="_bookmark516" w:id="1254"/>
                  <w:bookmarkEnd w:id="1254"/>
                  <w:r>
                    <w:rPr/>
                  </w:r>
                  <w:r>
                    <w:rPr>
                      <w:rFonts w:ascii="Arial"/>
                      <w:b/>
                      <w:sz w:val="28"/>
                    </w:rPr>
                    <w:t>Part B</w:t>
                    <w:tab/>
                    <w:t>Classification of Distribution Services and</w:t>
                  </w:r>
                  <w:r>
                    <w:rPr>
                      <w:rFonts w:ascii="Arial"/>
                      <w:b/>
                      <w:spacing w:val="-30"/>
                      <w:sz w:val="28"/>
                    </w:rPr>
                    <w:t> </w:t>
                  </w:r>
                  <w:r>
                    <w:rPr>
                      <w:rFonts w:ascii="Arial"/>
                      <w:b/>
                      <w:sz w:val="28"/>
                    </w:rPr>
                    <w:t>Distribution Determinations</w:t>
                  </w:r>
                </w:p>
              </w:txbxContent>
            </v:textbox>
            <v:fill type="solid"/>
            <w10:wrap type="topAndBottom"/>
          </v:shape>
        </w:pict>
      </w:r>
    </w:p>
    <w:p>
      <w:pPr>
        <w:pStyle w:val="BodyText"/>
        <w:spacing w:before="7"/>
        <w:ind w:firstLine="0"/>
        <w:jc w:val="left"/>
        <w:rPr>
          <w:sz w:val="11"/>
        </w:rPr>
      </w:pPr>
    </w:p>
    <w:p>
      <w:pPr>
        <w:pStyle w:val="Heading3"/>
        <w:numPr>
          <w:ilvl w:val="1"/>
          <w:numId w:val="385"/>
        </w:numPr>
        <w:tabs>
          <w:tab w:pos="1351" w:val="left" w:leader="none"/>
          <w:tab w:pos="1353" w:val="left" w:leader="none"/>
        </w:tabs>
        <w:spacing w:line="240" w:lineRule="auto" w:before="91" w:after="0"/>
        <w:ind w:left="1352" w:right="0" w:hanging="1135"/>
        <w:jc w:val="left"/>
      </w:pPr>
      <w:bookmarkStart w:name="6.2 Classification" w:id="1255"/>
      <w:bookmarkEnd w:id="1255"/>
      <w:r>
        <w:rPr>
          <w:b w:val="0"/>
        </w:rPr>
      </w:r>
      <w:bookmarkStart w:name="_bookmark517" w:id="1256"/>
      <w:bookmarkEnd w:id="1256"/>
      <w:r>
        <w:rPr>
          <w:b w:val="0"/>
        </w:rPr>
      </w:r>
      <w:bookmarkStart w:name="_bookmark517" w:id="1257"/>
      <w:bookmarkEnd w:id="1257"/>
      <w:r>
        <w:rPr/>
        <w:t>Classification</w:t>
      </w:r>
    </w:p>
    <w:p>
      <w:pPr>
        <w:pStyle w:val="Heading4"/>
        <w:numPr>
          <w:ilvl w:val="2"/>
          <w:numId w:val="387"/>
        </w:numPr>
        <w:tabs>
          <w:tab w:pos="1351" w:val="left" w:leader="none"/>
          <w:tab w:pos="1352" w:val="left" w:leader="none"/>
        </w:tabs>
        <w:spacing w:line="240" w:lineRule="auto" w:before="240" w:after="0"/>
        <w:ind w:left="1351" w:right="0" w:hanging="1134"/>
        <w:jc w:val="left"/>
      </w:pPr>
      <w:bookmarkStart w:name="6.2.1 Classification of distribution ser" w:id="1258"/>
      <w:bookmarkEnd w:id="1258"/>
      <w:r>
        <w:rPr>
          <w:b w:val="0"/>
        </w:rPr>
      </w:r>
      <w:bookmarkStart w:name="_bookmark518" w:id="1259"/>
      <w:bookmarkEnd w:id="1259"/>
      <w:r>
        <w:rPr>
          <w:b w:val="0"/>
        </w:rPr>
      </w:r>
      <w:bookmarkStart w:name="_bookmark518" w:id="1260"/>
      <w:bookmarkEnd w:id="1260"/>
      <w:r>
        <w:rPr/>
        <w:t>Classificatio</w:t>
      </w:r>
      <w:r>
        <w:rPr/>
        <w:t>n of distribution</w:t>
      </w:r>
      <w:r>
        <w:rPr>
          <w:spacing w:val="-4"/>
        </w:rPr>
        <w:t> </w:t>
      </w:r>
      <w:r>
        <w:rPr/>
        <w:t>services</w:t>
      </w:r>
    </w:p>
    <w:p>
      <w:pPr>
        <w:pStyle w:val="ListParagraph"/>
        <w:numPr>
          <w:ilvl w:val="3"/>
          <w:numId w:val="387"/>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 </w:t>
      </w:r>
      <w:r>
        <w:rPr>
          <w:sz w:val="24"/>
        </w:rPr>
        <w:t>may classify a </w:t>
      </w:r>
      <w:r>
        <w:rPr>
          <w:i/>
          <w:sz w:val="24"/>
        </w:rPr>
        <w:t>distribution service </w:t>
      </w:r>
      <w:r>
        <w:rPr>
          <w:sz w:val="24"/>
        </w:rPr>
        <w:t>to be provided by</w:t>
      </w:r>
      <w:r>
        <w:rPr>
          <w:spacing w:val="18"/>
          <w:sz w:val="24"/>
        </w:rPr>
        <w:t> </w:t>
      </w:r>
      <w:r>
        <w:rPr>
          <w:sz w:val="24"/>
        </w:rPr>
        <w:t>a</w:t>
      </w:r>
    </w:p>
    <w:p>
      <w:pPr>
        <w:spacing w:before="0"/>
        <w:ind w:left="1919" w:right="0" w:firstLine="0"/>
        <w:jc w:val="left"/>
        <w:rPr>
          <w:sz w:val="24"/>
        </w:rPr>
      </w:pPr>
      <w:r>
        <w:rPr>
          <w:i/>
          <w:sz w:val="24"/>
        </w:rPr>
        <w:t>Distribution Network Service Provider </w:t>
      </w:r>
      <w:r>
        <w:rPr>
          <w:sz w:val="24"/>
        </w:rPr>
        <w:t>as:</w:t>
      </w:r>
    </w:p>
    <w:p>
      <w:pPr>
        <w:pStyle w:val="ListParagraph"/>
        <w:numPr>
          <w:ilvl w:val="4"/>
          <w:numId w:val="387"/>
        </w:numPr>
        <w:tabs>
          <w:tab w:pos="2485" w:val="left" w:leader="none"/>
          <w:tab w:pos="2486" w:val="left" w:leader="none"/>
        </w:tabs>
        <w:spacing w:line="240" w:lineRule="auto" w:before="120" w:after="0"/>
        <w:ind w:left="2485" w:right="0" w:hanging="567"/>
        <w:jc w:val="left"/>
        <w:rPr>
          <w:sz w:val="24"/>
        </w:rPr>
      </w:pPr>
      <w:r>
        <w:rPr>
          <w:sz w:val="24"/>
        </w:rPr>
        <w:t>a </w:t>
      </w:r>
      <w:r>
        <w:rPr>
          <w:i/>
          <w:sz w:val="24"/>
        </w:rPr>
        <w:t>direct control service</w:t>
      </w:r>
      <w:r>
        <w:rPr>
          <w:sz w:val="24"/>
        </w:rPr>
        <w:t>;</w:t>
      </w:r>
      <w:r>
        <w:rPr>
          <w:spacing w:val="-1"/>
          <w:sz w:val="24"/>
        </w:rPr>
        <w:t> </w:t>
      </w:r>
      <w:r>
        <w:rPr>
          <w:sz w:val="24"/>
        </w:rPr>
        <w:t>or</w:t>
      </w:r>
    </w:p>
    <w:p>
      <w:pPr>
        <w:pStyle w:val="ListParagraph"/>
        <w:numPr>
          <w:ilvl w:val="4"/>
          <w:numId w:val="387"/>
        </w:numPr>
        <w:tabs>
          <w:tab w:pos="2485" w:val="left" w:leader="none"/>
          <w:tab w:pos="2486" w:val="left" w:leader="none"/>
        </w:tabs>
        <w:spacing w:line="240" w:lineRule="auto" w:before="120" w:after="0"/>
        <w:ind w:left="2485" w:right="0" w:hanging="567"/>
        <w:jc w:val="left"/>
        <w:rPr>
          <w:sz w:val="24"/>
        </w:rPr>
      </w:pPr>
      <w:r>
        <w:rPr>
          <w:sz w:val="24"/>
        </w:rPr>
        <w:t>a </w:t>
      </w:r>
      <w:r>
        <w:rPr>
          <w:i/>
          <w:sz w:val="24"/>
        </w:rPr>
        <w:t>negotiated distribution</w:t>
      </w:r>
      <w:r>
        <w:rPr>
          <w:i/>
          <w:spacing w:val="-2"/>
          <w:sz w:val="24"/>
        </w:rPr>
        <w:t> </w:t>
      </w:r>
      <w:r>
        <w:rPr>
          <w:i/>
          <w:sz w:val="24"/>
        </w:rPr>
        <w:t>service</w:t>
      </w:r>
      <w:r>
        <w:rPr>
          <w:sz w:val="24"/>
        </w:rPr>
        <w:t>.</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If the </w:t>
      </w:r>
      <w:r>
        <w:rPr>
          <w:i/>
          <w:sz w:val="20"/>
        </w:rPr>
        <w:t>AER </w:t>
      </w:r>
      <w:r>
        <w:rPr>
          <w:sz w:val="20"/>
        </w:rPr>
        <w:t>decides against classifying a </w:t>
      </w:r>
      <w:r>
        <w:rPr>
          <w:i/>
          <w:sz w:val="20"/>
        </w:rPr>
        <w:t>distribution service</w:t>
      </w:r>
      <w:r>
        <w:rPr>
          <w:sz w:val="20"/>
        </w:rPr>
        <w:t>, the service is, subject to Chapters 5 and 5A, not regulated under the </w:t>
      </w:r>
      <w:r>
        <w:rPr>
          <w:i/>
          <w:sz w:val="20"/>
        </w:rPr>
        <w:t>Rules</w:t>
      </w:r>
      <w:r>
        <w:rPr>
          <w:sz w:val="20"/>
        </w:rPr>
        <w:t>.</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group </w:t>
      </w:r>
      <w:r>
        <w:rPr>
          <w:i/>
          <w:sz w:val="24"/>
        </w:rPr>
        <w:t>distribution services </w:t>
      </w:r>
      <w:r>
        <w:rPr>
          <w:sz w:val="24"/>
        </w:rPr>
        <w:t>together for the purpose </w:t>
      </w:r>
      <w:r>
        <w:rPr>
          <w:spacing w:val="-6"/>
          <w:sz w:val="24"/>
        </w:rPr>
        <w:t>of </w:t>
      </w:r>
      <w:r>
        <w:rPr>
          <w:sz w:val="24"/>
        </w:rPr>
        <w:t>classification and, if it does so, a single classification made for the group applies to each service comprised in the group as if it had been separately classified.</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in classifying a </w:t>
      </w:r>
      <w:r>
        <w:rPr>
          <w:i/>
          <w:sz w:val="24"/>
        </w:rPr>
        <w:t>distribution service </w:t>
      </w:r>
      <w:r>
        <w:rPr>
          <w:sz w:val="24"/>
        </w:rPr>
        <w:t>or </w:t>
      </w:r>
      <w:r>
        <w:rPr>
          <w:i/>
          <w:sz w:val="24"/>
        </w:rPr>
        <w:t>distribution services</w:t>
      </w:r>
      <w:r>
        <w:rPr>
          <w:sz w:val="24"/>
        </w:rPr>
        <w:t>, have regard</w:t>
      </w:r>
      <w:r>
        <w:rPr>
          <w:spacing w:val="-1"/>
          <w:sz w:val="24"/>
        </w:rPr>
        <w:t> </w:t>
      </w:r>
      <w:r>
        <w:rPr>
          <w:sz w:val="24"/>
        </w:rPr>
        <w:t>to:</w:t>
      </w:r>
    </w:p>
    <w:p>
      <w:pPr>
        <w:pStyle w:val="ListParagraph"/>
        <w:numPr>
          <w:ilvl w:val="4"/>
          <w:numId w:val="387"/>
        </w:numPr>
        <w:tabs>
          <w:tab w:pos="2486" w:val="left" w:leader="none"/>
        </w:tabs>
        <w:spacing w:line="240" w:lineRule="auto" w:before="120" w:after="0"/>
        <w:ind w:left="2485" w:right="0" w:hanging="567"/>
        <w:jc w:val="both"/>
        <w:rPr>
          <w:sz w:val="24"/>
        </w:rPr>
      </w:pPr>
      <w:r>
        <w:rPr>
          <w:sz w:val="24"/>
        </w:rPr>
        <w:t>the form of regulation factors;</w:t>
      </w:r>
      <w:r>
        <w:rPr>
          <w:spacing w:val="-1"/>
          <w:sz w:val="24"/>
        </w:rPr>
        <w:t> </w:t>
      </w:r>
      <w:r>
        <w:rPr>
          <w:sz w:val="24"/>
        </w:rPr>
        <w:t>and</w:t>
      </w:r>
    </w:p>
    <w:p>
      <w:pPr>
        <w:pStyle w:val="ListParagraph"/>
        <w:numPr>
          <w:ilvl w:val="4"/>
          <w:numId w:val="387"/>
        </w:numPr>
        <w:tabs>
          <w:tab w:pos="2486" w:val="left" w:leader="none"/>
        </w:tabs>
        <w:spacing w:line="240" w:lineRule="auto" w:before="120" w:after="0"/>
        <w:ind w:left="2486" w:right="415" w:hanging="567"/>
        <w:jc w:val="both"/>
        <w:rPr>
          <w:sz w:val="24"/>
        </w:rPr>
      </w:pPr>
      <w:r>
        <w:rPr>
          <w:sz w:val="24"/>
        </w:rPr>
        <w:t>the form of regulation (if any) previously applicable to the relevant service or services and, in particular, any previous classification under the present system of classification or under the previous regulatory system (as the case requires);</w:t>
      </w:r>
      <w:r>
        <w:rPr>
          <w:spacing w:val="-3"/>
          <w:sz w:val="24"/>
        </w:rPr>
        <w:t> </w:t>
      </w:r>
      <w:r>
        <w:rPr>
          <w:sz w:val="24"/>
        </w:rPr>
        <w:t>and</w:t>
      </w:r>
    </w:p>
    <w:p>
      <w:pPr>
        <w:pStyle w:val="ListParagraph"/>
        <w:numPr>
          <w:ilvl w:val="4"/>
          <w:numId w:val="387"/>
        </w:numPr>
        <w:tabs>
          <w:tab w:pos="2486" w:val="left" w:leader="none"/>
        </w:tabs>
        <w:spacing w:line="240" w:lineRule="auto" w:before="120" w:after="0"/>
        <w:ind w:left="2486" w:right="415" w:hanging="567"/>
        <w:jc w:val="both"/>
        <w:rPr>
          <w:sz w:val="24"/>
        </w:rPr>
      </w:pPr>
      <w:r>
        <w:rPr>
          <w:sz w:val="24"/>
        </w:rPr>
        <w:t>the desirability of consistency in the form of regulation for similar services (both within and beyond the relevant jurisdiction);</w:t>
      </w:r>
      <w:r>
        <w:rPr>
          <w:spacing w:val="-7"/>
          <w:sz w:val="24"/>
        </w:rPr>
        <w:t> </w:t>
      </w:r>
      <w:r>
        <w:rPr>
          <w:sz w:val="24"/>
        </w:rPr>
        <w:t>and</w:t>
      </w:r>
    </w:p>
    <w:p>
      <w:pPr>
        <w:pStyle w:val="ListParagraph"/>
        <w:numPr>
          <w:ilvl w:val="4"/>
          <w:numId w:val="387"/>
        </w:numPr>
        <w:tabs>
          <w:tab w:pos="2486" w:val="left" w:leader="none"/>
        </w:tabs>
        <w:spacing w:line="240" w:lineRule="auto" w:before="120" w:after="0"/>
        <w:ind w:left="2485" w:right="0" w:hanging="567"/>
        <w:jc w:val="both"/>
        <w:rPr>
          <w:sz w:val="24"/>
        </w:rPr>
      </w:pPr>
      <w:r>
        <w:rPr>
          <w:sz w:val="24"/>
        </w:rPr>
        <w:t>any other relevant</w:t>
      </w:r>
      <w:r>
        <w:rPr>
          <w:spacing w:val="-1"/>
          <w:sz w:val="24"/>
        </w:rPr>
        <w:t> </w:t>
      </w:r>
      <w:r>
        <w:rPr>
          <w:sz w:val="24"/>
        </w:rPr>
        <w:t>factor.</w:t>
      </w:r>
    </w:p>
    <w:p>
      <w:pPr>
        <w:pStyle w:val="ListParagraph"/>
        <w:numPr>
          <w:ilvl w:val="3"/>
          <w:numId w:val="387"/>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If the </w:t>
      </w:r>
      <w:r>
        <w:rPr>
          <w:i/>
          <w:sz w:val="24"/>
        </w:rPr>
        <w:t>Rules</w:t>
      </w:r>
      <w:r>
        <w:rPr>
          <w:sz w:val="24"/>
        </w:rPr>
        <w:t>, however, require that a particular classification be assigned to a </w:t>
      </w:r>
      <w:r>
        <w:rPr>
          <w:i/>
          <w:sz w:val="24"/>
        </w:rPr>
        <w:t>distribution service </w:t>
      </w:r>
      <w:r>
        <w:rPr>
          <w:sz w:val="24"/>
        </w:rPr>
        <w:t>of a specified kind, a </w:t>
      </w:r>
      <w:r>
        <w:rPr>
          <w:i/>
          <w:sz w:val="24"/>
        </w:rPr>
        <w:t>distribution service </w:t>
      </w:r>
      <w:r>
        <w:rPr>
          <w:sz w:val="24"/>
        </w:rPr>
        <w:t>of the relevant kind is to be classified in accordance with that</w:t>
      </w:r>
      <w:r>
        <w:rPr>
          <w:spacing w:val="-3"/>
          <w:sz w:val="24"/>
        </w:rPr>
        <w:t> </w:t>
      </w:r>
      <w:r>
        <w:rPr>
          <w:sz w:val="24"/>
        </w:rPr>
        <w:t>requirement.</w:t>
      </w:r>
    </w:p>
    <w:p>
      <w:pPr>
        <w:pStyle w:val="BodyText"/>
        <w:spacing w:before="10"/>
        <w:ind w:firstLine="0"/>
        <w:jc w:val="left"/>
        <w:rPr>
          <w:sz w:val="20"/>
        </w:rPr>
      </w:pPr>
    </w:p>
    <w:p>
      <w:pPr>
        <w:pStyle w:val="Heading4"/>
        <w:numPr>
          <w:ilvl w:val="2"/>
          <w:numId w:val="387"/>
        </w:numPr>
        <w:tabs>
          <w:tab w:pos="1351" w:val="left" w:leader="none"/>
          <w:tab w:pos="1352" w:val="left" w:leader="none"/>
        </w:tabs>
        <w:spacing w:line="240" w:lineRule="auto" w:before="0" w:after="0"/>
        <w:ind w:left="1352" w:right="552" w:hanging="1134"/>
        <w:jc w:val="left"/>
      </w:pPr>
      <w:bookmarkStart w:name="6.2.2 Classification of direct control s" w:id="1261"/>
      <w:bookmarkEnd w:id="1261"/>
      <w:r>
        <w:rPr>
          <w:b w:val="0"/>
        </w:rPr>
      </w:r>
      <w:bookmarkStart w:name="_bookmark519" w:id="1262"/>
      <w:bookmarkEnd w:id="1262"/>
      <w:r>
        <w:rPr>
          <w:b w:val="0"/>
        </w:rPr>
      </w:r>
      <w:bookmarkStart w:name="_bookmark519" w:id="1263"/>
      <w:bookmarkEnd w:id="1263"/>
      <w:r>
        <w:rPr/>
        <w:t>Classificatio</w:t>
      </w:r>
      <w:r>
        <w:rPr/>
        <w:t>n of direct control services as standard control services or alternative control</w:t>
      </w:r>
      <w:r>
        <w:rPr>
          <w:spacing w:val="-4"/>
        </w:rPr>
        <w:t> </w:t>
      </w:r>
      <w:r>
        <w:rPr/>
        <w:t>services</w:t>
      </w:r>
    </w:p>
    <w:p>
      <w:pPr>
        <w:pStyle w:val="ListParagraph"/>
        <w:numPr>
          <w:ilvl w:val="3"/>
          <w:numId w:val="387"/>
        </w:numPr>
        <w:tabs>
          <w:tab w:pos="1919" w:val="left" w:leader="none"/>
        </w:tabs>
        <w:spacing w:line="240" w:lineRule="auto" w:before="120" w:after="0"/>
        <w:ind w:left="1918" w:right="0" w:hanging="567"/>
        <w:jc w:val="both"/>
        <w:rPr>
          <w:sz w:val="24"/>
        </w:rPr>
      </w:pPr>
      <w:r>
        <w:rPr>
          <w:i/>
          <w:sz w:val="24"/>
        </w:rPr>
        <w:t>Direct control services </w:t>
      </w:r>
      <w:r>
        <w:rPr>
          <w:sz w:val="24"/>
        </w:rPr>
        <w:t>are to be further divided into 2</w:t>
      </w:r>
      <w:r>
        <w:rPr>
          <w:spacing w:val="-8"/>
          <w:sz w:val="24"/>
        </w:rPr>
        <w:t> </w:t>
      </w:r>
      <w:r>
        <w:rPr>
          <w:sz w:val="24"/>
        </w:rPr>
        <w:t>subclasses:</w:t>
      </w:r>
    </w:p>
    <w:p>
      <w:pPr>
        <w:pStyle w:val="ListParagraph"/>
        <w:numPr>
          <w:ilvl w:val="4"/>
          <w:numId w:val="387"/>
        </w:numPr>
        <w:tabs>
          <w:tab w:pos="2486" w:val="left" w:leader="none"/>
        </w:tabs>
        <w:spacing w:line="240" w:lineRule="auto" w:before="120" w:after="0"/>
        <w:ind w:left="2485" w:right="0" w:hanging="567"/>
        <w:jc w:val="both"/>
        <w:rPr>
          <w:sz w:val="24"/>
        </w:rPr>
      </w:pPr>
      <w:r>
        <w:rPr>
          <w:i/>
          <w:sz w:val="24"/>
        </w:rPr>
        <w:t>standard control services</w:t>
      </w:r>
      <w:r>
        <w:rPr>
          <w:sz w:val="24"/>
        </w:rPr>
        <w: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387"/>
        </w:numPr>
        <w:tabs>
          <w:tab w:pos="2486" w:val="left" w:leader="none"/>
        </w:tabs>
        <w:spacing w:line="240" w:lineRule="auto" w:before="83" w:after="0"/>
        <w:ind w:left="2485" w:right="0" w:hanging="567"/>
        <w:jc w:val="both"/>
        <w:rPr>
          <w:sz w:val="24"/>
        </w:rPr>
      </w:pPr>
      <w:r>
        <w:rPr>
          <w:i/>
          <w:sz w:val="24"/>
        </w:rPr>
        <w:t>alternative control</w:t>
      </w:r>
      <w:r>
        <w:rPr>
          <w:i/>
          <w:spacing w:val="-2"/>
          <w:sz w:val="24"/>
        </w:rPr>
        <w:t> </w:t>
      </w:r>
      <w:r>
        <w:rPr>
          <w:i/>
          <w:sz w:val="24"/>
        </w:rPr>
        <w:t>services</w:t>
      </w:r>
      <w:r>
        <w:rPr>
          <w:sz w:val="24"/>
        </w:rPr>
        <w:t>.</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group </w:t>
      </w:r>
      <w:r>
        <w:rPr>
          <w:i/>
          <w:sz w:val="24"/>
        </w:rPr>
        <w:t>direct control services </w:t>
      </w:r>
      <w:r>
        <w:rPr>
          <w:sz w:val="24"/>
        </w:rPr>
        <w:t>together for the purpose of classification and, if it does so, a single classification made for the group applies to each service comprised in the group as if it had been separately classified.</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in classifying a </w:t>
      </w:r>
      <w:r>
        <w:rPr>
          <w:i/>
          <w:sz w:val="24"/>
        </w:rPr>
        <w:t>direct control service </w:t>
      </w:r>
      <w:r>
        <w:rPr>
          <w:sz w:val="24"/>
        </w:rPr>
        <w:t>as a </w:t>
      </w:r>
      <w:r>
        <w:rPr>
          <w:i/>
          <w:sz w:val="24"/>
        </w:rPr>
        <w:t>standard control </w:t>
      </w:r>
      <w:r>
        <w:rPr>
          <w:i/>
          <w:sz w:val="24"/>
        </w:rPr>
        <w:t>service </w:t>
      </w:r>
      <w:r>
        <w:rPr>
          <w:sz w:val="24"/>
        </w:rPr>
        <w:t>or an </w:t>
      </w:r>
      <w:r>
        <w:rPr>
          <w:i/>
          <w:sz w:val="24"/>
        </w:rPr>
        <w:t>alternative control service</w:t>
      </w:r>
      <w:r>
        <w:rPr>
          <w:sz w:val="24"/>
        </w:rPr>
        <w:t>, have regard</w:t>
      </w:r>
      <w:r>
        <w:rPr>
          <w:spacing w:val="-6"/>
          <w:sz w:val="24"/>
        </w:rPr>
        <w:t> </w:t>
      </w:r>
      <w:r>
        <w:rPr>
          <w:sz w:val="24"/>
        </w:rPr>
        <w:t>to:</w:t>
      </w:r>
    </w:p>
    <w:p>
      <w:pPr>
        <w:pStyle w:val="ListParagraph"/>
        <w:numPr>
          <w:ilvl w:val="4"/>
          <w:numId w:val="387"/>
        </w:numPr>
        <w:tabs>
          <w:tab w:pos="2486" w:val="left" w:leader="none"/>
        </w:tabs>
        <w:spacing w:line="240" w:lineRule="auto" w:before="120" w:after="0"/>
        <w:ind w:left="2486" w:right="414" w:hanging="567"/>
        <w:jc w:val="both"/>
        <w:rPr>
          <w:sz w:val="24"/>
        </w:rPr>
      </w:pPr>
      <w:r>
        <w:rPr>
          <w:sz w:val="24"/>
        </w:rPr>
        <w:t>the potential for development of competition in the relevant market and how the classification might influence that potential;</w:t>
      </w:r>
      <w:r>
        <w:rPr>
          <w:spacing w:val="-2"/>
          <w:sz w:val="24"/>
        </w:rPr>
        <w:t> </w:t>
      </w:r>
      <w:r>
        <w:rPr>
          <w:sz w:val="24"/>
        </w:rPr>
        <w:t>and</w:t>
      </w:r>
    </w:p>
    <w:p>
      <w:pPr>
        <w:pStyle w:val="ListParagraph"/>
        <w:numPr>
          <w:ilvl w:val="4"/>
          <w:numId w:val="387"/>
        </w:numPr>
        <w:tabs>
          <w:tab w:pos="2486" w:val="left" w:leader="none"/>
        </w:tabs>
        <w:spacing w:line="240" w:lineRule="auto" w:before="120" w:after="0"/>
        <w:ind w:left="2486" w:right="414" w:hanging="567"/>
        <w:jc w:val="both"/>
        <w:rPr>
          <w:sz w:val="24"/>
        </w:rPr>
      </w:pPr>
      <w:r>
        <w:rPr>
          <w:sz w:val="24"/>
        </w:rPr>
        <w:t>the possible effects of the classification on administrative costs of the </w:t>
      </w:r>
      <w:r>
        <w:rPr>
          <w:i/>
          <w:sz w:val="24"/>
        </w:rPr>
        <w:t>AER</w:t>
      </w:r>
      <w:r>
        <w:rPr>
          <w:sz w:val="24"/>
        </w:rPr>
        <w:t>, the </w:t>
      </w:r>
      <w:r>
        <w:rPr>
          <w:i/>
          <w:sz w:val="24"/>
        </w:rPr>
        <w:t>Distribution Network Service Provider </w:t>
      </w:r>
      <w:r>
        <w:rPr>
          <w:sz w:val="24"/>
        </w:rPr>
        <w:t>and users or potential users; and</w:t>
      </w:r>
    </w:p>
    <w:p>
      <w:pPr>
        <w:pStyle w:val="ListParagraph"/>
        <w:numPr>
          <w:ilvl w:val="4"/>
          <w:numId w:val="387"/>
        </w:numPr>
        <w:tabs>
          <w:tab w:pos="2486" w:val="left" w:leader="none"/>
        </w:tabs>
        <w:spacing w:line="240" w:lineRule="auto" w:before="120" w:after="0"/>
        <w:ind w:left="2486" w:right="415" w:hanging="567"/>
        <w:jc w:val="both"/>
        <w:rPr>
          <w:sz w:val="24"/>
        </w:rPr>
      </w:pPr>
      <w:r>
        <w:rPr>
          <w:sz w:val="24"/>
        </w:rPr>
        <w:t>the regulatory approach (if any) applicable to the relevant</w:t>
      </w:r>
      <w:r>
        <w:rPr>
          <w:spacing w:val="40"/>
          <w:sz w:val="24"/>
        </w:rPr>
        <w:t> </w:t>
      </w:r>
      <w:r>
        <w:rPr>
          <w:sz w:val="24"/>
        </w:rPr>
        <w:t>service immediately before the commencement of the distribution determination for which the classification is made;</w:t>
      </w:r>
      <w:r>
        <w:rPr>
          <w:spacing w:val="-4"/>
          <w:sz w:val="24"/>
        </w:rPr>
        <w:t> </w:t>
      </w:r>
      <w:r>
        <w:rPr>
          <w:sz w:val="24"/>
        </w:rPr>
        <w:t>and</w:t>
      </w:r>
    </w:p>
    <w:p>
      <w:pPr>
        <w:pStyle w:val="ListParagraph"/>
        <w:numPr>
          <w:ilvl w:val="4"/>
          <w:numId w:val="387"/>
        </w:numPr>
        <w:tabs>
          <w:tab w:pos="2486" w:val="left" w:leader="none"/>
        </w:tabs>
        <w:spacing w:line="240" w:lineRule="auto" w:before="120" w:after="0"/>
        <w:ind w:left="2486" w:right="415" w:hanging="567"/>
        <w:jc w:val="both"/>
        <w:rPr>
          <w:sz w:val="24"/>
        </w:rPr>
      </w:pPr>
      <w:r>
        <w:rPr>
          <w:sz w:val="24"/>
        </w:rPr>
        <w:t>the desirability of a consistent regulatory approach to similar services (both within and beyond the relevant jurisdiction);</w:t>
      </w:r>
      <w:r>
        <w:rPr>
          <w:spacing w:val="-2"/>
          <w:sz w:val="24"/>
        </w:rPr>
        <w:t> </w:t>
      </w:r>
      <w:r>
        <w:rPr>
          <w:sz w:val="24"/>
        </w:rPr>
        <w:t>and</w:t>
      </w:r>
    </w:p>
    <w:p>
      <w:pPr>
        <w:pStyle w:val="ListParagraph"/>
        <w:numPr>
          <w:ilvl w:val="4"/>
          <w:numId w:val="387"/>
        </w:numPr>
        <w:tabs>
          <w:tab w:pos="2486" w:val="left" w:leader="none"/>
        </w:tabs>
        <w:spacing w:line="240" w:lineRule="auto" w:before="120" w:after="0"/>
        <w:ind w:left="2486" w:right="416" w:hanging="567"/>
        <w:jc w:val="both"/>
        <w:rPr>
          <w:sz w:val="24"/>
        </w:rPr>
      </w:pPr>
      <w:r>
        <w:rPr>
          <w:sz w:val="24"/>
        </w:rPr>
        <w:t>the extent the costs of providing the relevant service are directly attributable to the person to whom the service is provided;</w:t>
      </w:r>
      <w:r>
        <w:rPr>
          <w:spacing w:val="-6"/>
          <w:sz w:val="24"/>
        </w:rPr>
        <w:t> </w:t>
      </w:r>
      <w:r>
        <w:rPr>
          <w:sz w:val="24"/>
        </w:rPr>
        <w:t>and</w:t>
      </w:r>
    </w:p>
    <w:p>
      <w:pPr>
        <w:spacing w:before="120"/>
        <w:ind w:left="1919" w:right="0" w:firstLine="0"/>
        <w:jc w:val="left"/>
        <w:rPr>
          <w:rFonts w:ascii="Arial"/>
          <w:b/>
          <w:sz w:val="20"/>
        </w:rPr>
      </w:pPr>
      <w:r>
        <w:rPr>
          <w:rFonts w:ascii="Arial"/>
          <w:b/>
          <w:sz w:val="20"/>
        </w:rPr>
        <w:t>Example:</w:t>
      </w:r>
    </w:p>
    <w:p>
      <w:pPr>
        <w:spacing w:before="120"/>
        <w:ind w:left="1919" w:right="414" w:firstLine="0"/>
        <w:jc w:val="both"/>
        <w:rPr>
          <w:sz w:val="20"/>
        </w:rPr>
      </w:pPr>
      <w:r>
        <w:rPr>
          <w:sz w:val="20"/>
        </w:rPr>
        <w:t>In circumstances where a service is provided to a small number of identifiable customers on a discretionary or infrequent basis, and costs can be directly attributed to those customers, it may be more appropriate to classify the service as an alternative control service than as a standard control service.</w:t>
      </w:r>
    </w:p>
    <w:p>
      <w:pPr>
        <w:pStyle w:val="ListParagraph"/>
        <w:numPr>
          <w:ilvl w:val="4"/>
          <w:numId w:val="387"/>
        </w:numPr>
        <w:tabs>
          <w:tab w:pos="2486" w:val="left" w:leader="none"/>
        </w:tabs>
        <w:spacing w:line="240" w:lineRule="auto" w:before="120" w:after="0"/>
        <w:ind w:left="2485" w:right="0" w:hanging="567"/>
        <w:jc w:val="both"/>
        <w:rPr>
          <w:sz w:val="24"/>
        </w:rPr>
      </w:pPr>
      <w:r>
        <w:rPr>
          <w:sz w:val="24"/>
        </w:rPr>
        <w:t>any other relevant</w:t>
      </w:r>
      <w:r>
        <w:rPr>
          <w:spacing w:val="-1"/>
          <w:sz w:val="24"/>
        </w:rPr>
        <w:t> </w:t>
      </w:r>
      <w:r>
        <w:rPr>
          <w:sz w:val="24"/>
        </w:rPr>
        <w:t>factor.</w:t>
      </w:r>
    </w:p>
    <w:p>
      <w:pPr>
        <w:pStyle w:val="ListParagraph"/>
        <w:numPr>
          <w:ilvl w:val="3"/>
          <w:numId w:val="387"/>
        </w:numPr>
        <w:tabs>
          <w:tab w:pos="1919" w:val="left" w:leader="none"/>
        </w:tabs>
        <w:spacing w:line="240" w:lineRule="auto" w:before="120" w:after="0"/>
        <w:ind w:left="1918" w:right="0" w:hanging="567"/>
        <w:jc w:val="both"/>
        <w:rPr>
          <w:sz w:val="24"/>
        </w:rPr>
      </w:pPr>
      <w:r>
        <w:rPr>
          <w:sz w:val="24"/>
        </w:rPr>
        <w:t>[</w:t>
      </w:r>
      <w:r>
        <w:rPr>
          <w:b/>
          <w:sz w:val="24"/>
        </w:rPr>
        <w:t>Deleted</w:t>
      </w:r>
      <w:r>
        <w:rPr>
          <w:sz w:val="24"/>
        </w:rPr>
        <w:t>]</w:t>
      </w:r>
    </w:p>
    <w:p>
      <w:pPr>
        <w:pStyle w:val="ListParagraph"/>
        <w:numPr>
          <w:ilvl w:val="3"/>
          <w:numId w:val="387"/>
        </w:numPr>
        <w:tabs>
          <w:tab w:pos="1919" w:val="left" w:leader="none"/>
        </w:tabs>
        <w:spacing w:line="240" w:lineRule="auto" w:before="120" w:after="0"/>
        <w:ind w:left="1919" w:right="415" w:hanging="567"/>
        <w:jc w:val="both"/>
        <w:rPr>
          <w:sz w:val="24"/>
        </w:rPr>
      </w:pPr>
      <w:r>
        <w:rPr>
          <w:sz w:val="24"/>
        </w:rPr>
        <w:t>If the </w:t>
      </w:r>
      <w:r>
        <w:rPr>
          <w:i/>
          <w:sz w:val="24"/>
        </w:rPr>
        <w:t>Rules</w:t>
      </w:r>
      <w:r>
        <w:rPr>
          <w:sz w:val="24"/>
        </w:rPr>
        <w:t>, however, require that a </w:t>
      </w:r>
      <w:r>
        <w:rPr>
          <w:i/>
          <w:sz w:val="24"/>
        </w:rPr>
        <w:t>direct control service </w:t>
      </w:r>
      <w:r>
        <w:rPr>
          <w:sz w:val="24"/>
        </w:rPr>
        <w:t>of a specified kind be classified either as a </w:t>
      </w:r>
      <w:r>
        <w:rPr>
          <w:i/>
          <w:sz w:val="24"/>
        </w:rPr>
        <w:t>standard control service </w:t>
      </w:r>
      <w:r>
        <w:rPr>
          <w:sz w:val="24"/>
        </w:rPr>
        <w:t>or as an </w:t>
      </w:r>
      <w:r>
        <w:rPr>
          <w:i/>
          <w:sz w:val="24"/>
        </w:rPr>
        <w:t>alternative </w:t>
      </w:r>
      <w:r>
        <w:rPr>
          <w:i/>
          <w:sz w:val="24"/>
        </w:rPr>
        <w:t>control service</w:t>
      </w:r>
      <w:r>
        <w:rPr>
          <w:sz w:val="24"/>
        </w:rPr>
        <w:t>, a </w:t>
      </w:r>
      <w:r>
        <w:rPr>
          <w:i/>
          <w:sz w:val="24"/>
        </w:rPr>
        <w:t>direct control service </w:t>
      </w:r>
      <w:r>
        <w:rPr>
          <w:sz w:val="24"/>
        </w:rPr>
        <w:t>of the relevant kind is to be classified in accordance with that</w:t>
      </w:r>
      <w:r>
        <w:rPr>
          <w:spacing w:val="-2"/>
          <w:sz w:val="24"/>
        </w:rPr>
        <w:t> </w:t>
      </w:r>
      <w:r>
        <w:rPr>
          <w:sz w:val="24"/>
        </w:rPr>
        <w:t>requirement.</w:t>
      </w:r>
    </w:p>
    <w:p>
      <w:pPr>
        <w:pStyle w:val="BodyText"/>
        <w:spacing w:before="10"/>
        <w:ind w:firstLine="0"/>
        <w:jc w:val="left"/>
        <w:rPr>
          <w:sz w:val="20"/>
        </w:rPr>
      </w:pPr>
    </w:p>
    <w:p>
      <w:pPr>
        <w:pStyle w:val="Heading4"/>
        <w:numPr>
          <w:ilvl w:val="2"/>
          <w:numId w:val="387"/>
        </w:numPr>
        <w:tabs>
          <w:tab w:pos="1351" w:val="left" w:leader="none"/>
          <w:tab w:pos="1352" w:val="left" w:leader="none"/>
        </w:tabs>
        <w:spacing w:line="240" w:lineRule="auto" w:before="0" w:after="0"/>
        <w:ind w:left="1351" w:right="0" w:hanging="1134"/>
        <w:jc w:val="left"/>
      </w:pPr>
      <w:bookmarkStart w:name="6.2.3 Term for which classification oper" w:id="1264"/>
      <w:bookmarkEnd w:id="1264"/>
      <w:r>
        <w:rPr>
          <w:b w:val="0"/>
        </w:rPr>
      </w:r>
      <w:bookmarkStart w:name="_bookmark520" w:id="1265"/>
      <w:bookmarkEnd w:id="1265"/>
      <w:r>
        <w:rPr>
          <w:b w:val="0"/>
        </w:rPr>
      </w:r>
      <w:bookmarkStart w:name="_bookmark520" w:id="1266"/>
      <w:bookmarkEnd w:id="1266"/>
      <w:r>
        <w:rPr/>
        <w:t>Term</w:t>
      </w:r>
      <w:r>
        <w:rPr/>
        <w:t> for which classification</w:t>
      </w:r>
      <w:r>
        <w:rPr>
          <w:spacing w:val="-2"/>
        </w:rPr>
        <w:t> </w:t>
      </w:r>
      <w:r>
        <w:rPr/>
        <w:t>operates</w:t>
      </w:r>
    </w:p>
    <w:p>
      <w:pPr>
        <w:pStyle w:val="BodyText"/>
        <w:ind w:left="1352" w:firstLine="0"/>
      </w:pPr>
      <w:r>
        <w:rPr/>
        <w:t>A classification forms part of a distribution determination and operates for the</w:t>
      </w:r>
    </w:p>
    <w:p>
      <w:pPr>
        <w:spacing w:before="0"/>
        <w:ind w:left="1352" w:right="0" w:firstLine="0"/>
        <w:jc w:val="both"/>
        <w:rPr>
          <w:sz w:val="24"/>
        </w:rPr>
      </w:pPr>
      <w:r>
        <w:rPr>
          <w:i/>
          <w:sz w:val="24"/>
        </w:rPr>
        <w:t>regulatory control period </w:t>
      </w:r>
      <w:r>
        <w:rPr>
          <w:sz w:val="24"/>
        </w:rPr>
        <w:t>for which the distribution determination is made.</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classification is to be reviewed in the course of the making of the next distribution determination, and (subject to these Rules) a reclassification may be made for the purposes of that determination.</w:t>
      </w:r>
    </w:p>
    <w:p>
      <w:pPr>
        <w:pStyle w:val="BodyText"/>
        <w:spacing w:before="10"/>
        <w:ind w:firstLine="0"/>
        <w:jc w:val="left"/>
        <w:rPr>
          <w:sz w:val="20"/>
        </w:rPr>
      </w:pPr>
    </w:p>
    <w:p>
      <w:pPr>
        <w:pStyle w:val="Heading4"/>
        <w:numPr>
          <w:ilvl w:val="2"/>
          <w:numId w:val="388"/>
        </w:numPr>
        <w:tabs>
          <w:tab w:pos="753" w:val="left" w:leader="none"/>
          <w:tab w:pos="1351" w:val="left" w:leader="none"/>
        </w:tabs>
        <w:spacing w:line="240" w:lineRule="auto" w:before="0" w:after="0"/>
        <w:ind w:left="752" w:right="0" w:hanging="535"/>
        <w:jc w:val="left"/>
      </w:pPr>
      <w:bookmarkStart w:name="6.2.3A Distribution Service Classificati" w:id="1267"/>
      <w:bookmarkEnd w:id="1267"/>
      <w:r>
        <w:rPr>
          <w:b w:val="0"/>
        </w:rPr>
      </w:r>
      <w:bookmarkStart w:name="_bookmark521" w:id="1268"/>
      <w:bookmarkEnd w:id="1268"/>
      <w:r>
        <w:rPr>
          <w:b w:val="0"/>
        </w:rPr>
      </w:r>
      <w:bookmarkStart w:name="_bookmark521" w:id="1269"/>
      <w:bookmarkEnd w:id="1269"/>
      <w:r>
        <w:rPr/>
        <w:t>A</w:t>
      </w:r>
      <w:r>
        <w:rPr/>
        <w:tab/>
        <w:t>Distribution Service Classification</w:t>
      </w:r>
      <w:r>
        <w:rPr>
          <w:spacing w:val="-5"/>
        </w:rPr>
        <w:t> </w:t>
      </w:r>
      <w:r>
        <w:rPr/>
        <w:t>Guidelines</w:t>
      </w:r>
    </w:p>
    <w:p>
      <w:pPr>
        <w:pStyle w:val="ListParagraph"/>
        <w:numPr>
          <w:ilvl w:val="3"/>
          <w:numId w:val="388"/>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maintain and </w:t>
      </w:r>
      <w:r>
        <w:rPr>
          <w:i/>
          <w:sz w:val="24"/>
        </w:rPr>
        <w:t>publish </w:t>
      </w:r>
      <w:r>
        <w:rPr>
          <w:sz w:val="24"/>
        </w:rPr>
        <w:t>guidelines (the </w:t>
      </w:r>
      <w:r>
        <w:rPr>
          <w:i/>
          <w:sz w:val="24"/>
        </w:rPr>
        <w:t>Distribution Service </w:t>
      </w:r>
      <w:r>
        <w:rPr>
          <w:i/>
          <w:sz w:val="24"/>
        </w:rPr>
        <w:t>Classification Guidelines) </w:t>
      </w:r>
      <w:r>
        <w:rPr>
          <w:sz w:val="24"/>
        </w:rPr>
        <w:t>that set out the approach the </w:t>
      </w:r>
      <w:r>
        <w:rPr>
          <w:i/>
          <w:sz w:val="24"/>
        </w:rPr>
        <w:t>AER </w:t>
      </w:r>
      <w:r>
        <w:rPr>
          <w:sz w:val="24"/>
        </w:rPr>
        <w:t>proposes to take when classifying </w:t>
      </w:r>
      <w:r>
        <w:rPr>
          <w:i/>
          <w:sz w:val="24"/>
        </w:rPr>
        <w:t>distribution services</w:t>
      </w:r>
      <w:r>
        <w:rPr>
          <w:i/>
          <w:spacing w:val="-2"/>
          <w:sz w:val="24"/>
        </w:rPr>
        <w:t> </w:t>
      </w:r>
      <w:r>
        <w:rPr>
          <w:sz w:val="24"/>
        </w:rPr>
        <w:t>as:</w:t>
      </w:r>
    </w:p>
    <w:p>
      <w:pPr>
        <w:spacing w:after="0" w:line="240" w:lineRule="auto"/>
        <w:jc w:val="both"/>
        <w:rPr>
          <w:sz w:val="24"/>
        </w:rPr>
        <w:sectPr>
          <w:pgSz w:w="11910" w:h="16840"/>
          <w:pgMar w:header="686" w:footer="637" w:top="1320" w:bottom="820" w:left="1200" w:right="1000"/>
        </w:sectPr>
      </w:pPr>
    </w:p>
    <w:p>
      <w:pPr>
        <w:pStyle w:val="ListParagraph"/>
        <w:numPr>
          <w:ilvl w:val="4"/>
          <w:numId w:val="388"/>
        </w:numPr>
        <w:tabs>
          <w:tab w:pos="2486" w:val="left" w:leader="none"/>
        </w:tabs>
        <w:spacing w:line="240" w:lineRule="auto" w:before="83" w:after="0"/>
        <w:ind w:left="2486" w:right="415" w:hanging="567"/>
        <w:jc w:val="both"/>
        <w:rPr>
          <w:sz w:val="24"/>
        </w:rPr>
      </w:pPr>
      <w:r>
        <w:rPr>
          <w:i/>
          <w:sz w:val="24"/>
        </w:rPr>
        <w:t>direct control services </w:t>
      </w:r>
      <w:r>
        <w:rPr>
          <w:sz w:val="24"/>
        </w:rPr>
        <w:t>or </w:t>
      </w:r>
      <w:r>
        <w:rPr>
          <w:i/>
          <w:sz w:val="24"/>
        </w:rPr>
        <w:t>negotiated distribution services </w:t>
      </w:r>
      <w:r>
        <w:rPr>
          <w:sz w:val="24"/>
        </w:rPr>
        <w:t>under clause 6.2.1(a); and</w:t>
      </w:r>
    </w:p>
    <w:p>
      <w:pPr>
        <w:pStyle w:val="ListParagraph"/>
        <w:numPr>
          <w:ilvl w:val="4"/>
          <w:numId w:val="388"/>
        </w:numPr>
        <w:tabs>
          <w:tab w:pos="2486" w:val="left" w:leader="none"/>
        </w:tabs>
        <w:spacing w:line="240" w:lineRule="auto" w:before="120" w:after="0"/>
        <w:ind w:left="2486" w:right="416" w:hanging="567"/>
        <w:jc w:val="both"/>
        <w:rPr>
          <w:sz w:val="24"/>
        </w:rPr>
      </w:pPr>
      <w:r>
        <w:rPr>
          <w:i/>
          <w:sz w:val="24"/>
        </w:rPr>
        <w:t>standard control services </w:t>
      </w:r>
      <w:r>
        <w:rPr>
          <w:sz w:val="24"/>
        </w:rPr>
        <w:t>or </w:t>
      </w:r>
      <w:r>
        <w:rPr>
          <w:i/>
          <w:sz w:val="24"/>
        </w:rPr>
        <w:t>alternative control services </w:t>
      </w:r>
      <w:r>
        <w:rPr>
          <w:sz w:val="24"/>
        </w:rPr>
        <w:t>under clause 6.2.2(a).</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The </w:t>
      </w:r>
      <w:r>
        <w:rPr>
          <w:i/>
          <w:sz w:val="24"/>
        </w:rPr>
        <w:t>Distribution Service Classification Guidelines </w:t>
      </w:r>
      <w:r>
        <w:rPr>
          <w:sz w:val="24"/>
        </w:rPr>
        <w:t>must set out an explanation of the </w:t>
      </w:r>
      <w:r>
        <w:rPr>
          <w:i/>
          <w:sz w:val="24"/>
        </w:rPr>
        <w:t>AER</w:t>
      </w:r>
      <w:r>
        <w:rPr>
          <w:sz w:val="24"/>
        </w:rPr>
        <w:t>'s proposed approach (including worked examples) to:</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determining whether to classify a </w:t>
      </w:r>
      <w:r>
        <w:rPr>
          <w:i/>
          <w:sz w:val="24"/>
        </w:rPr>
        <w:t>distribution</w:t>
      </w:r>
      <w:r>
        <w:rPr>
          <w:i/>
          <w:spacing w:val="-3"/>
          <w:sz w:val="24"/>
        </w:rPr>
        <w:t> </w:t>
      </w:r>
      <w:r>
        <w:rPr>
          <w:i/>
          <w:sz w:val="24"/>
        </w:rPr>
        <w:t>service</w:t>
      </w:r>
      <w:r>
        <w:rPr>
          <w:sz w:val="24"/>
        </w:rPr>
        <w:t>;</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applying the factors set out</w:t>
      </w:r>
      <w:r>
        <w:rPr>
          <w:spacing w:val="-2"/>
          <w:sz w:val="24"/>
        </w:rPr>
        <w:t> </w:t>
      </w:r>
      <w:r>
        <w:rPr>
          <w:sz w:val="24"/>
        </w:rPr>
        <w:t>in:</w:t>
      </w:r>
    </w:p>
    <w:p>
      <w:pPr>
        <w:pStyle w:val="ListParagraph"/>
        <w:numPr>
          <w:ilvl w:val="5"/>
          <w:numId w:val="388"/>
        </w:numPr>
        <w:tabs>
          <w:tab w:pos="3053" w:val="left" w:leader="none"/>
        </w:tabs>
        <w:spacing w:line="240" w:lineRule="auto" w:before="120" w:after="0"/>
        <w:ind w:left="3053" w:right="415" w:hanging="567"/>
        <w:jc w:val="both"/>
        <w:rPr>
          <w:sz w:val="24"/>
        </w:rPr>
      </w:pPr>
      <w:r>
        <w:rPr>
          <w:sz w:val="24"/>
        </w:rPr>
        <w:t>clause 6.2.1(c), when classifying </w:t>
      </w:r>
      <w:r>
        <w:rPr>
          <w:i/>
          <w:sz w:val="24"/>
        </w:rPr>
        <w:t>distribution services </w:t>
      </w:r>
      <w:r>
        <w:rPr>
          <w:sz w:val="24"/>
        </w:rPr>
        <w:t>as </w:t>
      </w:r>
      <w:r>
        <w:rPr>
          <w:i/>
          <w:sz w:val="24"/>
        </w:rPr>
        <w:t>direct </w:t>
      </w:r>
      <w:r>
        <w:rPr>
          <w:i/>
          <w:sz w:val="24"/>
        </w:rPr>
        <w:t>control services </w:t>
      </w:r>
      <w:r>
        <w:rPr>
          <w:sz w:val="24"/>
        </w:rPr>
        <w:t>or </w:t>
      </w:r>
      <w:r>
        <w:rPr>
          <w:i/>
          <w:sz w:val="24"/>
        </w:rPr>
        <w:t>negotiated distribution services</w:t>
      </w:r>
      <w:r>
        <w:rPr>
          <w:sz w:val="24"/>
        </w:rPr>
        <w:t>;</w:t>
      </w:r>
      <w:r>
        <w:rPr>
          <w:spacing w:val="-9"/>
          <w:sz w:val="24"/>
        </w:rPr>
        <w:t> </w:t>
      </w:r>
      <w:r>
        <w:rPr>
          <w:sz w:val="24"/>
        </w:rPr>
        <w:t>and</w:t>
      </w:r>
    </w:p>
    <w:p>
      <w:pPr>
        <w:pStyle w:val="ListParagraph"/>
        <w:numPr>
          <w:ilvl w:val="5"/>
          <w:numId w:val="388"/>
        </w:numPr>
        <w:tabs>
          <w:tab w:pos="3054" w:val="left" w:leader="none"/>
        </w:tabs>
        <w:spacing w:line="240" w:lineRule="auto" w:before="120" w:after="0"/>
        <w:ind w:left="3053" w:right="0" w:hanging="568"/>
        <w:jc w:val="both"/>
        <w:rPr>
          <w:sz w:val="24"/>
        </w:rPr>
      </w:pPr>
      <w:r>
        <w:rPr>
          <w:sz w:val="24"/>
        </w:rPr>
        <w:t>clause</w:t>
      </w:r>
      <w:r>
        <w:rPr>
          <w:spacing w:val="27"/>
          <w:sz w:val="24"/>
        </w:rPr>
        <w:t> </w:t>
      </w:r>
      <w:r>
        <w:rPr>
          <w:sz w:val="24"/>
        </w:rPr>
        <w:t>6.2.2(c),</w:t>
      </w:r>
      <w:r>
        <w:rPr>
          <w:spacing w:val="28"/>
          <w:sz w:val="24"/>
        </w:rPr>
        <w:t> </w:t>
      </w:r>
      <w:r>
        <w:rPr>
          <w:sz w:val="24"/>
        </w:rPr>
        <w:t>when</w:t>
      </w:r>
      <w:r>
        <w:rPr>
          <w:spacing w:val="28"/>
          <w:sz w:val="24"/>
        </w:rPr>
        <w:t> </w:t>
      </w:r>
      <w:r>
        <w:rPr>
          <w:sz w:val="24"/>
        </w:rPr>
        <w:t>classifying</w:t>
      </w:r>
      <w:r>
        <w:rPr>
          <w:spacing w:val="28"/>
          <w:sz w:val="24"/>
        </w:rPr>
        <w:t> </w:t>
      </w:r>
      <w:r>
        <w:rPr>
          <w:i/>
          <w:sz w:val="24"/>
        </w:rPr>
        <w:t>direct</w:t>
      </w:r>
      <w:r>
        <w:rPr>
          <w:i/>
          <w:spacing w:val="28"/>
          <w:sz w:val="24"/>
        </w:rPr>
        <w:t> </w:t>
      </w:r>
      <w:r>
        <w:rPr>
          <w:i/>
          <w:sz w:val="24"/>
        </w:rPr>
        <w:t>control</w:t>
      </w:r>
      <w:r>
        <w:rPr>
          <w:i/>
          <w:spacing w:val="28"/>
          <w:sz w:val="24"/>
        </w:rPr>
        <w:t> </w:t>
      </w:r>
      <w:r>
        <w:rPr>
          <w:i/>
          <w:sz w:val="24"/>
        </w:rPr>
        <w:t>services</w:t>
      </w:r>
      <w:r>
        <w:rPr>
          <w:i/>
          <w:spacing w:val="28"/>
          <w:sz w:val="24"/>
        </w:rPr>
        <w:t> </w:t>
      </w:r>
      <w:r>
        <w:rPr>
          <w:sz w:val="24"/>
        </w:rPr>
        <w:t>as</w:t>
      </w:r>
    </w:p>
    <w:p>
      <w:pPr>
        <w:spacing w:before="0"/>
        <w:ind w:left="3053" w:right="0" w:firstLine="0"/>
        <w:jc w:val="both"/>
        <w:rPr>
          <w:sz w:val="24"/>
        </w:rPr>
      </w:pPr>
      <w:r>
        <w:rPr>
          <w:i/>
          <w:sz w:val="24"/>
        </w:rPr>
        <w:t>standard control services </w:t>
      </w:r>
      <w:r>
        <w:rPr>
          <w:sz w:val="24"/>
        </w:rPr>
        <w:t>or </w:t>
      </w:r>
      <w:r>
        <w:rPr>
          <w:i/>
          <w:sz w:val="24"/>
        </w:rPr>
        <w:t>alternative control services</w:t>
      </w:r>
      <w:r>
        <w:rPr>
          <w:sz w:val="24"/>
        </w:rPr>
        <w:t>; and</w:t>
      </w:r>
    </w:p>
    <w:p>
      <w:pPr>
        <w:pStyle w:val="ListParagraph"/>
        <w:numPr>
          <w:ilvl w:val="4"/>
          <w:numId w:val="388"/>
        </w:numPr>
        <w:tabs>
          <w:tab w:pos="2486" w:val="left" w:leader="none"/>
        </w:tabs>
        <w:spacing w:line="240" w:lineRule="auto" w:before="120" w:after="0"/>
        <w:ind w:left="2486" w:right="414" w:hanging="567"/>
        <w:jc w:val="both"/>
        <w:rPr>
          <w:sz w:val="24"/>
        </w:rPr>
      </w:pPr>
      <w:r>
        <w:rPr>
          <w:sz w:val="24"/>
        </w:rPr>
        <w:t>distinguishing between </w:t>
      </w:r>
      <w:r>
        <w:rPr>
          <w:i/>
          <w:sz w:val="24"/>
        </w:rPr>
        <w:t>distribution services </w:t>
      </w:r>
      <w:r>
        <w:rPr>
          <w:sz w:val="24"/>
        </w:rPr>
        <w:t>(including, but not limited to, those that are classified as </w:t>
      </w:r>
      <w:r>
        <w:rPr>
          <w:i/>
          <w:sz w:val="24"/>
        </w:rPr>
        <w:t>direct control services</w:t>
      </w:r>
      <w:r>
        <w:rPr>
          <w:sz w:val="24"/>
        </w:rPr>
        <w:t>) and the operating and capital inputs that are used to provide such</w:t>
      </w:r>
      <w:r>
        <w:rPr>
          <w:spacing w:val="-8"/>
          <w:sz w:val="24"/>
        </w:rPr>
        <w:t> </w:t>
      </w:r>
      <w:r>
        <w:rPr>
          <w:sz w:val="24"/>
        </w:rPr>
        <w:t>services.</w:t>
      </w:r>
    </w:p>
    <w:p>
      <w:pPr>
        <w:pStyle w:val="ListParagraph"/>
        <w:numPr>
          <w:ilvl w:val="3"/>
          <w:numId w:val="388"/>
        </w:numPr>
        <w:tabs>
          <w:tab w:pos="1919" w:val="left" w:leader="none"/>
        </w:tabs>
        <w:spacing w:line="240" w:lineRule="auto" w:before="120" w:after="0"/>
        <w:ind w:left="1919" w:right="416" w:hanging="567"/>
        <w:jc w:val="both"/>
        <w:rPr>
          <w:sz w:val="24"/>
        </w:rPr>
      </w:pPr>
      <w:r>
        <w:rPr>
          <w:sz w:val="24"/>
        </w:rPr>
        <w:t>Nothing prevents the </w:t>
      </w:r>
      <w:r>
        <w:rPr>
          <w:i/>
          <w:sz w:val="24"/>
        </w:rPr>
        <w:t>AER </w:t>
      </w:r>
      <w:r>
        <w:rPr>
          <w:sz w:val="24"/>
        </w:rPr>
        <w:t>from </w:t>
      </w:r>
      <w:r>
        <w:rPr>
          <w:i/>
          <w:sz w:val="24"/>
        </w:rPr>
        <w:t>publishing </w:t>
      </w:r>
      <w:r>
        <w:rPr>
          <w:sz w:val="24"/>
        </w:rPr>
        <w:t>the </w:t>
      </w:r>
      <w:r>
        <w:rPr>
          <w:i/>
          <w:sz w:val="24"/>
        </w:rPr>
        <w:t>Distribution Service </w:t>
      </w:r>
      <w:r>
        <w:rPr>
          <w:i/>
          <w:sz w:val="24"/>
        </w:rPr>
        <w:t>Classification Guidelines </w:t>
      </w:r>
      <w:r>
        <w:rPr>
          <w:sz w:val="24"/>
        </w:rPr>
        <w:t>in the same document as another guideline </w:t>
      </w:r>
      <w:r>
        <w:rPr>
          <w:i/>
          <w:sz w:val="24"/>
        </w:rPr>
        <w:t>published </w:t>
      </w:r>
      <w:r>
        <w:rPr>
          <w:sz w:val="24"/>
        </w:rPr>
        <w:t>under this</w:t>
      </w:r>
      <w:r>
        <w:rPr>
          <w:spacing w:val="-1"/>
          <w:sz w:val="24"/>
        </w:rPr>
        <w:t> </w:t>
      </w:r>
      <w:r>
        <w:rPr>
          <w:sz w:val="24"/>
        </w:rPr>
        <w:t>Chapter.</w:t>
      </w:r>
    </w:p>
    <w:p>
      <w:pPr>
        <w:pStyle w:val="BodyText"/>
        <w:spacing w:before="10"/>
        <w:ind w:firstLine="0"/>
        <w:jc w:val="left"/>
        <w:rPr>
          <w:sz w:val="20"/>
        </w:rPr>
      </w:pPr>
    </w:p>
    <w:p>
      <w:pPr>
        <w:pStyle w:val="Heading4"/>
        <w:numPr>
          <w:ilvl w:val="2"/>
          <w:numId w:val="388"/>
        </w:numPr>
        <w:tabs>
          <w:tab w:pos="1351" w:val="left" w:leader="none"/>
          <w:tab w:pos="1352" w:val="left" w:leader="none"/>
        </w:tabs>
        <w:spacing w:line="240" w:lineRule="auto" w:before="0" w:after="0"/>
        <w:ind w:left="1351" w:right="0" w:hanging="1134"/>
        <w:jc w:val="left"/>
      </w:pPr>
      <w:bookmarkStart w:name="6.2.4 Duty of AER to make distribution d" w:id="1270"/>
      <w:bookmarkEnd w:id="1270"/>
      <w:r>
        <w:rPr>
          <w:b w:val="0"/>
        </w:rPr>
      </w:r>
      <w:bookmarkStart w:name="_bookmark522" w:id="1271"/>
      <w:bookmarkEnd w:id="1271"/>
      <w:r>
        <w:rPr>
          <w:b w:val="0"/>
        </w:rPr>
      </w:r>
      <w:bookmarkStart w:name="_bookmark522" w:id="1272"/>
      <w:bookmarkEnd w:id="1272"/>
      <w:r>
        <w:rPr/>
        <w:t>Dut</w:t>
      </w:r>
      <w:r>
        <w:rPr/>
        <w:t>y of AER to make distribution</w:t>
      </w:r>
      <w:r>
        <w:rPr>
          <w:spacing w:val="-5"/>
        </w:rPr>
        <w:t> </w:t>
      </w:r>
      <w:r>
        <w:rPr/>
        <w:t>determinations</w:t>
      </w:r>
    </w:p>
    <w:p>
      <w:pPr>
        <w:pStyle w:val="ListParagraph"/>
        <w:numPr>
          <w:ilvl w:val="3"/>
          <w:numId w:val="388"/>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make a distribution determination for each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When the </w:t>
      </w:r>
      <w:r>
        <w:rPr>
          <w:i/>
          <w:sz w:val="24"/>
        </w:rPr>
        <w:t>AER </w:t>
      </w:r>
      <w:r>
        <w:rPr>
          <w:sz w:val="24"/>
        </w:rPr>
        <w:t>makes a distribution determination it must follow the process set out in Part</w:t>
      </w:r>
      <w:r>
        <w:rPr>
          <w:spacing w:val="-3"/>
          <w:sz w:val="24"/>
        </w:rPr>
        <w:t> </w:t>
      </w:r>
      <w:r>
        <w:rPr>
          <w:sz w:val="24"/>
        </w:rPr>
        <w:t>E.</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If more than one </w:t>
      </w:r>
      <w:r>
        <w:rPr>
          <w:i/>
          <w:sz w:val="24"/>
        </w:rPr>
        <w:t>distribution system </w:t>
      </w:r>
      <w:r>
        <w:rPr>
          <w:sz w:val="24"/>
        </w:rPr>
        <w:t>is owned, controlled or operated by a </w:t>
      </w:r>
      <w:r>
        <w:rPr>
          <w:i/>
          <w:sz w:val="24"/>
        </w:rPr>
        <w:t>Distribution Network Service Provider</w:t>
      </w:r>
      <w:r>
        <w:rPr>
          <w:sz w:val="24"/>
        </w:rPr>
        <w:t>, then, unless the </w:t>
      </w:r>
      <w:r>
        <w:rPr>
          <w:i/>
          <w:sz w:val="24"/>
        </w:rPr>
        <w:t>AER </w:t>
      </w:r>
      <w:r>
        <w:rPr>
          <w:sz w:val="24"/>
        </w:rPr>
        <w:t>otherwise determines, a separate distribution determination is to be made for each </w:t>
      </w:r>
      <w:r>
        <w:rPr>
          <w:i/>
          <w:sz w:val="24"/>
        </w:rPr>
        <w:t>distribution</w:t>
      </w:r>
      <w:r>
        <w:rPr>
          <w:i/>
          <w:spacing w:val="-1"/>
          <w:sz w:val="24"/>
        </w:rPr>
        <w:t> </w:t>
      </w:r>
      <w:r>
        <w:rPr>
          <w:i/>
          <w:sz w:val="24"/>
        </w:rPr>
        <w:t>system</w:t>
      </w:r>
      <w:r>
        <w:rPr>
          <w:sz w:val="24"/>
        </w:rPr>
        <w:t>.</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If 2 or more parts of the same </w:t>
      </w:r>
      <w:r>
        <w:rPr>
          <w:i/>
          <w:sz w:val="24"/>
        </w:rPr>
        <w:t>distribution system </w:t>
      </w:r>
      <w:r>
        <w:rPr>
          <w:sz w:val="24"/>
        </w:rPr>
        <w:t>were separately regulated at the commencement of this Chapter, then, unless the </w:t>
      </w:r>
      <w:r>
        <w:rPr>
          <w:i/>
          <w:sz w:val="24"/>
        </w:rPr>
        <w:t>AER </w:t>
      </w:r>
      <w:r>
        <w:rPr>
          <w:sz w:val="24"/>
        </w:rPr>
        <w:t>otherwise determines, a separate distribution determination is to be made for each of those parts of the </w:t>
      </w:r>
      <w:r>
        <w:rPr>
          <w:i/>
          <w:sz w:val="24"/>
        </w:rPr>
        <w:t>distribution</w:t>
      </w:r>
      <w:r>
        <w:rPr>
          <w:i/>
          <w:spacing w:val="-1"/>
          <w:sz w:val="24"/>
        </w:rPr>
        <w:t> </w:t>
      </w:r>
      <w:r>
        <w:rPr>
          <w:i/>
          <w:sz w:val="24"/>
        </w:rPr>
        <w:t>system</w:t>
      </w:r>
      <w:r>
        <w:rPr>
          <w:sz w:val="24"/>
        </w:rPr>
        <w:t>.</w:t>
      </w:r>
    </w:p>
    <w:p>
      <w:pPr>
        <w:pStyle w:val="BodyText"/>
        <w:spacing w:before="10"/>
        <w:ind w:firstLine="0"/>
        <w:jc w:val="left"/>
        <w:rPr>
          <w:sz w:val="20"/>
        </w:rPr>
      </w:pPr>
    </w:p>
    <w:p>
      <w:pPr>
        <w:pStyle w:val="Heading4"/>
        <w:numPr>
          <w:ilvl w:val="2"/>
          <w:numId w:val="388"/>
        </w:numPr>
        <w:tabs>
          <w:tab w:pos="1351" w:val="left" w:leader="none"/>
          <w:tab w:pos="1352" w:val="left" w:leader="none"/>
        </w:tabs>
        <w:spacing w:line="240" w:lineRule="auto" w:before="0" w:after="0"/>
        <w:ind w:left="1351" w:right="0" w:hanging="1134"/>
        <w:jc w:val="left"/>
      </w:pPr>
      <w:bookmarkStart w:name="6.2.5 Control mechanisms for direct cont" w:id="1273"/>
      <w:bookmarkEnd w:id="1273"/>
      <w:r>
        <w:rPr>
          <w:b w:val="0"/>
        </w:rPr>
      </w:r>
      <w:bookmarkStart w:name="_bookmark523" w:id="1274"/>
      <w:bookmarkEnd w:id="1274"/>
      <w:r>
        <w:rPr>
          <w:b w:val="0"/>
        </w:rPr>
      </w:r>
      <w:bookmarkStart w:name="_bookmark523" w:id="1275"/>
      <w:bookmarkEnd w:id="1275"/>
      <w:r>
        <w:rPr/>
        <w:t>Contro</w:t>
      </w:r>
      <w:r>
        <w:rPr/>
        <w:t>l mechanisms for direct control</w:t>
      </w:r>
      <w:r>
        <w:rPr>
          <w:spacing w:val="-8"/>
        </w:rPr>
        <w:t> </w:t>
      </w:r>
      <w:r>
        <w:rPr/>
        <w:t>services</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A distribution determination is to impose controls over the prices of </w:t>
      </w:r>
      <w:r>
        <w:rPr>
          <w:i/>
          <w:sz w:val="24"/>
        </w:rPr>
        <w:t>direct </w:t>
      </w:r>
      <w:r>
        <w:rPr>
          <w:i/>
          <w:sz w:val="24"/>
        </w:rPr>
        <w:t>control services</w:t>
      </w:r>
      <w:r>
        <w:rPr>
          <w:sz w:val="24"/>
        </w:rPr>
        <w:t>, the revenue to be derived from </w:t>
      </w:r>
      <w:r>
        <w:rPr>
          <w:i/>
          <w:sz w:val="24"/>
        </w:rPr>
        <w:t>direct control services </w:t>
      </w:r>
      <w:r>
        <w:rPr>
          <w:sz w:val="24"/>
        </w:rPr>
        <w:t>or both.</w:t>
      </w:r>
    </w:p>
    <w:p>
      <w:pPr>
        <w:pStyle w:val="ListParagraph"/>
        <w:numPr>
          <w:ilvl w:val="3"/>
          <w:numId w:val="388"/>
        </w:numPr>
        <w:tabs>
          <w:tab w:pos="1919" w:val="left" w:leader="none"/>
        </w:tabs>
        <w:spacing w:line="240" w:lineRule="auto" w:before="120" w:after="0"/>
        <w:ind w:left="1918" w:right="0" w:hanging="567"/>
        <w:jc w:val="both"/>
        <w:rPr>
          <w:sz w:val="24"/>
        </w:rPr>
      </w:pPr>
      <w:r>
        <w:rPr>
          <w:sz w:val="24"/>
        </w:rPr>
        <w:t>The control mechanism may consist</w:t>
      </w:r>
      <w:r>
        <w:rPr>
          <w:spacing w:val="-3"/>
          <w:sz w:val="24"/>
        </w:rPr>
        <w:t> </w:t>
      </w:r>
      <w:r>
        <w:rPr>
          <w:sz w:val="24"/>
        </w:rPr>
        <w:t>of:</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a schedule of fixed</w:t>
      </w:r>
      <w:r>
        <w:rPr>
          <w:spacing w:val="-3"/>
          <w:sz w:val="24"/>
        </w:rPr>
        <w:t> </w:t>
      </w:r>
      <w:r>
        <w:rPr>
          <w:sz w:val="24"/>
        </w:rPr>
        <w:t>prices;</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caps on the prices of individual</w:t>
      </w:r>
      <w:r>
        <w:rPr>
          <w:spacing w:val="-1"/>
          <w:sz w:val="24"/>
        </w:rPr>
        <w:t> </w:t>
      </w:r>
      <w:r>
        <w:rPr>
          <w:sz w:val="24"/>
        </w:rPr>
        <w:t>services;</w:t>
      </w:r>
    </w:p>
    <w:p>
      <w:pPr>
        <w:pStyle w:val="ListParagraph"/>
        <w:numPr>
          <w:ilvl w:val="4"/>
          <w:numId w:val="388"/>
        </w:numPr>
        <w:tabs>
          <w:tab w:pos="2486" w:val="left" w:leader="none"/>
        </w:tabs>
        <w:spacing w:line="240" w:lineRule="auto" w:before="120" w:after="0"/>
        <w:ind w:left="2486" w:right="416" w:hanging="567"/>
        <w:jc w:val="both"/>
        <w:rPr>
          <w:sz w:val="24"/>
        </w:rPr>
      </w:pPr>
      <w:r>
        <w:rPr>
          <w:sz w:val="24"/>
        </w:rPr>
        <w:t>caps on the revenue to be derived from a particular combination </w:t>
      </w:r>
      <w:r>
        <w:rPr>
          <w:spacing w:val="-7"/>
          <w:sz w:val="24"/>
        </w:rPr>
        <w:t>of </w:t>
      </w:r>
      <w:r>
        <w:rPr>
          <w:sz w:val="24"/>
        </w:rPr>
        <w:t>services;</w:t>
      </w:r>
    </w:p>
    <w:p>
      <w:pPr>
        <w:spacing w:after="0" w:line="240" w:lineRule="auto"/>
        <w:jc w:val="both"/>
        <w:rPr>
          <w:sz w:val="24"/>
        </w:rPr>
        <w:sectPr>
          <w:pgSz w:w="11910" w:h="16840"/>
          <w:pgMar w:header="686" w:footer="637" w:top="1320" w:bottom="820" w:left="1200" w:right="1000"/>
        </w:sectPr>
      </w:pPr>
    </w:p>
    <w:p>
      <w:pPr>
        <w:pStyle w:val="ListParagraph"/>
        <w:numPr>
          <w:ilvl w:val="4"/>
          <w:numId w:val="388"/>
        </w:numPr>
        <w:tabs>
          <w:tab w:pos="2485" w:val="left" w:leader="none"/>
          <w:tab w:pos="2486" w:val="left" w:leader="none"/>
        </w:tabs>
        <w:spacing w:line="240" w:lineRule="auto" w:before="83" w:after="0"/>
        <w:ind w:left="2485" w:right="0" w:hanging="567"/>
        <w:jc w:val="left"/>
        <w:rPr>
          <w:sz w:val="24"/>
        </w:rPr>
      </w:pPr>
      <w:r>
        <w:rPr>
          <w:sz w:val="24"/>
        </w:rPr>
        <w:t>tariff basket price</w:t>
      </w:r>
      <w:r>
        <w:rPr>
          <w:spacing w:val="-1"/>
          <w:sz w:val="24"/>
        </w:rPr>
        <w:t> </w:t>
      </w:r>
      <w:r>
        <w:rPr>
          <w:sz w:val="24"/>
        </w:rPr>
        <w:t>control;</w:t>
      </w:r>
    </w:p>
    <w:p>
      <w:pPr>
        <w:pStyle w:val="ListParagraph"/>
        <w:numPr>
          <w:ilvl w:val="4"/>
          <w:numId w:val="388"/>
        </w:numPr>
        <w:tabs>
          <w:tab w:pos="2485" w:val="left" w:leader="none"/>
          <w:tab w:pos="2486" w:val="left" w:leader="none"/>
        </w:tabs>
        <w:spacing w:line="240" w:lineRule="auto" w:before="120" w:after="0"/>
        <w:ind w:left="2485" w:right="0" w:hanging="567"/>
        <w:jc w:val="left"/>
        <w:rPr>
          <w:sz w:val="24"/>
        </w:rPr>
      </w:pPr>
      <w:r>
        <w:rPr>
          <w:sz w:val="24"/>
        </w:rPr>
        <w:t>revenue yield control;</w:t>
      </w:r>
      <w:r>
        <w:rPr>
          <w:spacing w:val="-1"/>
          <w:sz w:val="24"/>
        </w:rPr>
        <w:t> </w:t>
      </w:r>
      <w:r>
        <w:rPr>
          <w:sz w:val="24"/>
        </w:rPr>
        <w:t>or</w:t>
      </w:r>
    </w:p>
    <w:p>
      <w:pPr>
        <w:pStyle w:val="ListParagraph"/>
        <w:numPr>
          <w:ilvl w:val="4"/>
          <w:numId w:val="388"/>
        </w:numPr>
        <w:tabs>
          <w:tab w:pos="2485" w:val="left" w:leader="none"/>
          <w:tab w:pos="2486" w:val="left" w:leader="none"/>
        </w:tabs>
        <w:spacing w:line="240" w:lineRule="auto" w:before="120" w:after="0"/>
        <w:ind w:left="2485" w:right="0" w:hanging="567"/>
        <w:jc w:val="left"/>
        <w:rPr>
          <w:sz w:val="24"/>
        </w:rPr>
      </w:pPr>
      <w:r>
        <w:rPr>
          <w:sz w:val="24"/>
        </w:rPr>
        <w:t>a combination of any of the</w:t>
      </w:r>
      <w:r>
        <w:rPr>
          <w:spacing w:val="-1"/>
          <w:sz w:val="24"/>
        </w:rPr>
        <w:t> </w:t>
      </w:r>
      <w:r>
        <w:rPr>
          <w:sz w:val="24"/>
        </w:rPr>
        <w:t>above.</w:t>
      </w:r>
    </w:p>
    <w:p>
      <w:pPr>
        <w:pStyle w:val="ListParagraph"/>
        <w:numPr>
          <w:ilvl w:val="3"/>
          <w:numId w:val="388"/>
        </w:numPr>
        <w:tabs>
          <w:tab w:pos="1918" w:val="left" w:leader="none"/>
          <w:tab w:pos="1919" w:val="left" w:leader="none"/>
        </w:tabs>
        <w:spacing w:line="240" w:lineRule="auto" w:before="120" w:after="0"/>
        <w:ind w:left="1918" w:right="0" w:hanging="567"/>
        <w:jc w:val="left"/>
        <w:rPr>
          <w:i/>
          <w:sz w:val="24"/>
        </w:rPr>
      </w:pPr>
      <w:r>
        <w:rPr>
          <w:sz w:val="24"/>
        </w:rPr>
        <w:t>In</w:t>
      </w:r>
      <w:r>
        <w:rPr>
          <w:spacing w:val="13"/>
          <w:sz w:val="24"/>
        </w:rPr>
        <w:t> </w:t>
      </w:r>
      <w:r>
        <w:rPr>
          <w:sz w:val="24"/>
        </w:rPr>
        <w:t>deciding</w:t>
      </w:r>
      <w:r>
        <w:rPr>
          <w:spacing w:val="14"/>
          <w:sz w:val="24"/>
        </w:rPr>
        <w:t> </w:t>
      </w:r>
      <w:r>
        <w:rPr>
          <w:sz w:val="24"/>
        </w:rPr>
        <w:t>on</w:t>
      </w:r>
      <w:r>
        <w:rPr>
          <w:spacing w:val="14"/>
          <w:sz w:val="24"/>
        </w:rPr>
        <w:t> </w:t>
      </w:r>
      <w:r>
        <w:rPr>
          <w:sz w:val="24"/>
        </w:rPr>
        <w:t>a</w:t>
      </w:r>
      <w:r>
        <w:rPr>
          <w:spacing w:val="14"/>
          <w:sz w:val="24"/>
        </w:rPr>
        <w:t> </w:t>
      </w:r>
      <w:r>
        <w:rPr>
          <w:sz w:val="24"/>
        </w:rPr>
        <w:t>control</w:t>
      </w:r>
      <w:r>
        <w:rPr>
          <w:spacing w:val="14"/>
          <w:sz w:val="24"/>
        </w:rPr>
        <w:t> </w:t>
      </w:r>
      <w:r>
        <w:rPr>
          <w:sz w:val="24"/>
        </w:rPr>
        <w:t>mechanism</w:t>
      </w:r>
      <w:r>
        <w:rPr>
          <w:spacing w:val="14"/>
          <w:sz w:val="24"/>
        </w:rPr>
        <w:t> </w:t>
      </w:r>
      <w:r>
        <w:rPr>
          <w:sz w:val="24"/>
        </w:rPr>
        <w:t>for</w:t>
      </w:r>
      <w:r>
        <w:rPr>
          <w:spacing w:val="14"/>
          <w:sz w:val="24"/>
        </w:rPr>
        <w:t> </w:t>
      </w:r>
      <w:r>
        <w:rPr>
          <w:i/>
          <w:sz w:val="24"/>
        </w:rPr>
        <w:t>standard</w:t>
      </w:r>
      <w:r>
        <w:rPr>
          <w:i/>
          <w:spacing w:val="14"/>
          <w:sz w:val="24"/>
        </w:rPr>
        <w:t> </w:t>
      </w:r>
      <w:r>
        <w:rPr>
          <w:i/>
          <w:sz w:val="24"/>
        </w:rPr>
        <w:t>control</w:t>
      </w:r>
      <w:r>
        <w:rPr>
          <w:i/>
          <w:spacing w:val="14"/>
          <w:sz w:val="24"/>
        </w:rPr>
        <w:t> </w:t>
      </w:r>
      <w:r>
        <w:rPr>
          <w:i/>
          <w:sz w:val="24"/>
        </w:rPr>
        <w:t>services</w:t>
      </w:r>
      <w:r>
        <w:rPr>
          <w:sz w:val="24"/>
        </w:rPr>
        <w:t>,</w:t>
      </w:r>
      <w:r>
        <w:rPr>
          <w:spacing w:val="14"/>
          <w:sz w:val="24"/>
        </w:rPr>
        <w:t> </w:t>
      </w:r>
      <w:r>
        <w:rPr>
          <w:sz w:val="24"/>
        </w:rPr>
        <w:t>the</w:t>
      </w:r>
      <w:r>
        <w:rPr>
          <w:spacing w:val="14"/>
          <w:sz w:val="24"/>
        </w:rPr>
        <w:t> </w:t>
      </w:r>
      <w:r>
        <w:rPr>
          <w:i/>
          <w:sz w:val="24"/>
        </w:rPr>
        <w:t>AER</w:t>
      </w:r>
    </w:p>
    <w:p>
      <w:pPr>
        <w:pStyle w:val="BodyText"/>
        <w:spacing w:before="0"/>
        <w:ind w:left="1919" w:firstLine="0"/>
      </w:pPr>
      <w:r>
        <w:rPr/>
        <w:t>must have regard to:</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the need for efficient tariff structures;</w:t>
      </w:r>
      <w:r>
        <w:rPr>
          <w:spacing w:val="-1"/>
          <w:sz w:val="24"/>
        </w:rPr>
        <w:t> </w:t>
      </w:r>
      <w:r>
        <w:rPr>
          <w:sz w:val="24"/>
        </w:rPr>
        <w:t>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the possible effects of the control mechanism on administrative costs of the </w:t>
      </w:r>
      <w:r>
        <w:rPr>
          <w:i/>
          <w:sz w:val="24"/>
        </w:rPr>
        <w:t>AER</w:t>
      </w:r>
      <w:r>
        <w:rPr>
          <w:sz w:val="24"/>
        </w:rPr>
        <w:t>, the </w:t>
      </w:r>
      <w:r>
        <w:rPr>
          <w:i/>
          <w:sz w:val="24"/>
        </w:rPr>
        <w:t>Distribution Network Service Provider </w:t>
      </w:r>
      <w:r>
        <w:rPr>
          <w:sz w:val="24"/>
        </w:rPr>
        <w:t>and users or potential users;</w:t>
      </w:r>
      <w:r>
        <w:rPr>
          <w:spacing w:val="-1"/>
          <w:sz w:val="24"/>
        </w:rPr>
        <w:t> </w:t>
      </w:r>
      <w:r>
        <w:rPr>
          <w:sz w:val="24"/>
        </w:rPr>
        <w:t>and</w:t>
      </w:r>
    </w:p>
    <w:p>
      <w:pPr>
        <w:spacing w:before="120"/>
        <w:ind w:left="2486" w:right="415" w:hanging="567"/>
        <w:jc w:val="both"/>
        <w:rPr>
          <w:sz w:val="24"/>
        </w:rPr>
      </w:pPr>
      <w:r>
        <w:rPr>
          <w:sz w:val="24"/>
        </w:rPr>
        <w:t>(2A) for a distribution determination for a </w:t>
      </w:r>
      <w:r>
        <w:rPr>
          <w:i/>
          <w:sz w:val="24"/>
        </w:rPr>
        <w:t>Distribution Network Service </w:t>
      </w:r>
      <w:r>
        <w:rPr>
          <w:i/>
          <w:sz w:val="24"/>
        </w:rPr>
        <w:t>Provider </w:t>
      </w:r>
      <w:r>
        <w:rPr>
          <w:sz w:val="24"/>
        </w:rPr>
        <w:t>in this jurisdiction that will apply during the </w:t>
      </w:r>
      <w:r>
        <w:rPr>
          <w:i/>
          <w:sz w:val="24"/>
        </w:rPr>
        <w:t>1st regulatory </w:t>
      </w:r>
      <w:r>
        <w:rPr>
          <w:i/>
          <w:sz w:val="24"/>
        </w:rPr>
        <w:t>control period </w:t>
      </w:r>
      <w:r>
        <w:rPr>
          <w:sz w:val="24"/>
        </w:rPr>
        <w:t>– the regulatory arrangements in the </w:t>
      </w:r>
      <w:r>
        <w:rPr>
          <w:i/>
          <w:sz w:val="24"/>
        </w:rPr>
        <w:t>2014 NT Network </w:t>
      </w:r>
      <w:r>
        <w:rPr>
          <w:i/>
          <w:sz w:val="24"/>
        </w:rPr>
        <w:t>Price Determination</w:t>
      </w:r>
      <w:r>
        <w:rPr>
          <w:sz w:val="24"/>
        </w:rPr>
        <w:t>; 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for a distribution determination for a </w:t>
      </w:r>
      <w:r>
        <w:rPr>
          <w:i/>
          <w:sz w:val="24"/>
        </w:rPr>
        <w:t>Distribution Network Service </w:t>
      </w:r>
      <w:r>
        <w:rPr>
          <w:i/>
          <w:sz w:val="24"/>
        </w:rPr>
        <w:t>Provider </w:t>
      </w:r>
      <w:r>
        <w:rPr>
          <w:sz w:val="24"/>
        </w:rPr>
        <w:t>in this jurisdiction that will apply after the </w:t>
      </w:r>
      <w:r>
        <w:rPr>
          <w:i/>
          <w:sz w:val="24"/>
        </w:rPr>
        <w:t>1st regulatory </w:t>
      </w:r>
      <w:r>
        <w:rPr>
          <w:i/>
          <w:sz w:val="24"/>
        </w:rPr>
        <w:t>control period </w:t>
      </w:r>
      <w:r>
        <w:rPr>
          <w:sz w:val="24"/>
        </w:rPr>
        <w:t>– the regulatory arrangements (if any) applicable to </w:t>
      </w:r>
      <w:r>
        <w:rPr>
          <w:spacing w:val="-4"/>
          <w:sz w:val="24"/>
        </w:rPr>
        <w:t>the </w:t>
      </w:r>
      <w:r>
        <w:rPr>
          <w:sz w:val="24"/>
        </w:rPr>
        <w:t>relevant service immediately before the commencement of the distribution determination;</w:t>
      </w:r>
      <w:r>
        <w:rPr>
          <w:spacing w:val="-1"/>
          <w:sz w:val="24"/>
        </w:rPr>
        <w:t> </w:t>
      </w:r>
      <w:r>
        <w:rPr>
          <w:sz w:val="24"/>
        </w:rPr>
        <w:t>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the desirability of consistency between regulatory arrangements </w:t>
      </w:r>
      <w:r>
        <w:rPr>
          <w:spacing w:val="-4"/>
          <w:sz w:val="24"/>
        </w:rPr>
        <w:t>for</w:t>
      </w:r>
      <w:r>
        <w:rPr>
          <w:spacing w:val="52"/>
          <w:sz w:val="24"/>
        </w:rPr>
        <w:t> </w:t>
      </w:r>
      <w:r>
        <w:rPr>
          <w:sz w:val="24"/>
        </w:rPr>
        <w:t>similar services (both within and beyond the relevant jurisdiction);  and</w:t>
      </w:r>
    </w:p>
    <w:p>
      <w:pPr>
        <w:pStyle w:val="ListParagraph"/>
        <w:numPr>
          <w:ilvl w:val="4"/>
          <w:numId w:val="388"/>
        </w:numPr>
        <w:tabs>
          <w:tab w:pos="2486" w:val="left" w:leader="none"/>
        </w:tabs>
        <w:spacing w:line="240" w:lineRule="auto" w:before="120" w:after="0"/>
        <w:ind w:left="2485" w:right="0" w:hanging="567"/>
        <w:jc w:val="both"/>
        <w:rPr>
          <w:sz w:val="24"/>
        </w:rPr>
      </w:pPr>
      <w:r>
        <w:rPr>
          <w:sz w:val="24"/>
        </w:rPr>
        <w:t>any other relevant</w:t>
      </w:r>
      <w:r>
        <w:rPr>
          <w:spacing w:val="-1"/>
          <w:sz w:val="24"/>
        </w:rPr>
        <w:t> </w:t>
      </w:r>
      <w:r>
        <w:rPr>
          <w:sz w:val="24"/>
        </w:rPr>
        <w:t>factor.</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modifications to this paragraph expire on 1 July 2024.</w:t>
      </w:r>
    </w:p>
    <w:p>
      <w:pPr>
        <w:pStyle w:val="ListParagraph"/>
        <w:numPr>
          <w:ilvl w:val="3"/>
          <w:numId w:val="388"/>
        </w:numPr>
        <w:tabs>
          <w:tab w:pos="1919" w:val="left" w:leader="none"/>
        </w:tabs>
        <w:spacing w:line="240" w:lineRule="auto" w:before="120" w:after="0"/>
        <w:ind w:left="1918" w:right="0" w:hanging="567"/>
        <w:jc w:val="both"/>
        <w:rPr>
          <w:sz w:val="24"/>
        </w:rPr>
      </w:pPr>
      <w:r>
        <w:rPr>
          <w:sz w:val="24"/>
        </w:rPr>
        <w:t>In</w:t>
      </w:r>
      <w:r>
        <w:rPr>
          <w:spacing w:val="47"/>
          <w:sz w:val="24"/>
        </w:rPr>
        <w:t> </w:t>
      </w:r>
      <w:r>
        <w:rPr>
          <w:sz w:val="24"/>
        </w:rPr>
        <w:t>deciding</w:t>
      </w:r>
      <w:r>
        <w:rPr>
          <w:spacing w:val="47"/>
          <w:sz w:val="24"/>
        </w:rPr>
        <w:t> </w:t>
      </w:r>
      <w:r>
        <w:rPr>
          <w:sz w:val="24"/>
        </w:rPr>
        <w:t>on</w:t>
      </w:r>
      <w:r>
        <w:rPr>
          <w:spacing w:val="47"/>
          <w:sz w:val="24"/>
        </w:rPr>
        <w:t> </w:t>
      </w:r>
      <w:r>
        <w:rPr>
          <w:sz w:val="24"/>
        </w:rPr>
        <w:t>a</w:t>
      </w:r>
      <w:r>
        <w:rPr>
          <w:spacing w:val="47"/>
          <w:sz w:val="24"/>
        </w:rPr>
        <w:t> </w:t>
      </w:r>
      <w:r>
        <w:rPr>
          <w:sz w:val="24"/>
        </w:rPr>
        <w:t>control</w:t>
      </w:r>
      <w:r>
        <w:rPr>
          <w:spacing w:val="48"/>
          <w:sz w:val="24"/>
        </w:rPr>
        <w:t> </w:t>
      </w:r>
      <w:r>
        <w:rPr>
          <w:sz w:val="24"/>
        </w:rPr>
        <w:t>mechanism</w:t>
      </w:r>
      <w:r>
        <w:rPr>
          <w:spacing w:val="47"/>
          <w:sz w:val="24"/>
        </w:rPr>
        <w:t> </w:t>
      </w:r>
      <w:r>
        <w:rPr>
          <w:sz w:val="24"/>
        </w:rPr>
        <w:t>for</w:t>
      </w:r>
      <w:r>
        <w:rPr>
          <w:spacing w:val="47"/>
          <w:sz w:val="24"/>
        </w:rPr>
        <w:t> </w:t>
      </w:r>
      <w:r>
        <w:rPr>
          <w:i/>
          <w:sz w:val="24"/>
        </w:rPr>
        <w:t>alternative</w:t>
      </w:r>
      <w:r>
        <w:rPr>
          <w:i/>
          <w:spacing w:val="47"/>
          <w:sz w:val="24"/>
        </w:rPr>
        <w:t> </w:t>
      </w:r>
      <w:r>
        <w:rPr>
          <w:i/>
          <w:sz w:val="24"/>
        </w:rPr>
        <w:t>control</w:t>
      </w:r>
      <w:r>
        <w:rPr>
          <w:i/>
          <w:spacing w:val="47"/>
          <w:sz w:val="24"/>
        </w:rPr>
        <w:t> </w:t>
      </w:r>
      <w:r>
        <w:rPr>
          <w:i/>
          <w:sz w:val="24"/>
        </w:rPr>
        <w:t>services</w:t>
      </w:r>
      <w:r>
        <w:rPr>
          <w:sz w:val="24"/>
        </w:rPr>
        <w:t>,</w:t>
      </w:r>
      <w:r>
        <w:rPr>
          <w:spacing w:val="48"/>
          <w:sz w:val="24"/>
        </w:rPr>
        <w:t> </w:t>
      </w:r>
      <w:r>
        <w:rPr>
          <w:sz w:val="24"/>
        </w:rPr>
        <w:t>the</w:t>
      </w:r>
    </w:p>
    <w:p>
      <w:pPr>
        <w:pStyle w:val="BodyText"/>
        <w:spacing w:before="0"/>
        <w:ind w:left="1919" w:firstLine="0"/>
      </w:pPr>
      <w:r>
        <w:rPr>
          <w:i/>
        </w:rPr>
        <w:t>AER </w:t>
      </w:r>
      <w:r>
        <w:rPr/>
        <w:t>must have regard to:</w:t>
      </w:r>
    </w:p>
    <w:p>
      <w:pPr>
        <w:pStyle w:val="ListParagraph"/>
        <w:numPr>
          <w:ilvl w:val="4"/>
          <w:numId w:val="388"/>
        </w:numPr>
        <w:tabs>
          <w:tab w:pos="2486" w:val="left" w:leader="none"/>
        </w:tabs>
        <w:spacing w:line="240" w:lineRule="auto" w:before="120" w:after="0"/>
        <w:ind w:left="2486" w:right="414" w:hanging="567"/>
        <w:jc w:val="both"/>
        <w:rPr>
          <w:sz w:val="24"/>
        </w:rPr>
      </w:pPr>
      <w:r>
        <w:rPr>
          <w:sz w:val="24"/>
        </w:rPr>
        <w:t>the potential for development of competition in the relevant market and how the control mechanism might influence that potential;</w:t>
      </w:r>
      <w:r>
        <w:rPr>
          <w:spacing w:val="-5"/>
          <w:sz w:val="24"/>
        </w:rPr>
        <w:t> </w:t>
      </w:r>
      <w:r>
        <w:rPr>
          <w:sz w:val="24"/>
        </w:rPr>
        <w:t>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the possible effects of the control mechanism on administrative costs of the </w:t>
      </w:r>
      <w:r>
        <w:rPr>
          <w:i/>
          <w:sz w:val="24"/>
        </w:rPr>
        <w:t>AER</w:t>
      </w:r>
      <w:r>
        <w:rPr>
          <w:sz w:val="24"/>
        </w:rPr>
        <w:t>, the </w:t>
      </w:r>
      <w:r>
        <w:rPr>
          <w:i/>
          <w:sz w:val="24"/>
        </w:rPr>
        <w:t>Distribution Network Service Provider </w:t>
      </w:r>
      <w:r>
        <w:rPr>
          <w:sz w:val="24"/>
        </w:rPr>
        <w:t>and users or potential users;</w:t>
      </w:r>
      <w:r>
        <w:rPr>
          <w:spacing w:val="-1"/>
          <w:sz w:val="24"/>
        </w:rPr>
        <w:t> </w:t>
      </w:r>
      <w:r>
        <w:rPr>
          <w:sz w:val="24"/>
        </w:rPr>
        <w:t>and</w:t>
      </w:r>
    </w:p>
    <w:p>
      <w:pPr>
        <w:spacing w:before="120"/>
        <w:ind w:left="2486" w:right="415" w:hanging="567"/>
        <w:jc w:val="both"/>
        <w:rPr>
          <w:sz w:val="24"/>
        </w:rPr>
      </w:pPr>
      <w:r>
        <w:rPr>
          <w:sz w:val="24"/>
        </w:rPr>
        <w:t>(2A) for a distribution determination for a </w:t>
      </w:r>
      <w:r>
        <w:rPr>
          <w:i/>
          <w:sz w:val="24"/>
        </w:rPr>
        <w:t>Distribution Network Service </w:t>
      </w:r>
      <w:r>
        <w:rPr>
          <w:i/>
          <w:sz w:val="24"/>
        </w:rPr>
        <w:t>Provider </w:t>
      </w:r>
      <w:r>
        <w:rPr>
          <w:sz w:val="24"/>
        </w:rPr>
        <w:t>in this jurisdiction that will apply during the </w:t>
      </w:r>
      <w:r>
        <w:rPr>
          <w:i/>
          <w:sz w:val="24"/>
        </w:rPr>
        <w:t>1st regulatory </w:t>
      </w:r>
      <w:r>
        <w:rPr>
          <w:i/>
          <w:sz w:val="24"/>
        </w:rPr>
        <w:t>control period </w:t>
      </w:r>
      <w:r>
        <w:rPr>
          <w:sz w:val="24"/>
        </w:rPr>
        <w:t>– the regulatory arrangements in the </w:t>
      </w:r>
      <w:r>
        <w:rPr>
          <w:i/>
          <w:sz w:val="24"/>
        </w:rPr>
        <w:t>2014 NT Network </w:t>
      </w:r>
      <w:r>
        <w:rPr>
          <w:i/>
          <w:sz w:val="24"/>
        </w:rPr>
        <w:t>Price Determination</w:t>
      </w:r>
      <w:r>
        <w:rPr>
          <w:sz w:val="24"/>
        </w:rPr>
        <w:t>); 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for a distribution determination for a </w:t>
      </w:r>
      <w:r>
        <w:rPr>
          <w:i/>
          <w:sz w:val="24"/>
        </w:rPr>
        <w:t>Distribution Network Service </w:t>
      </w:r>
      <w:r>
        <w:rPr>
          <w:i/>
          <w:sz w:val="24"/>
        </w:rPr>
        <w:t>Provider </w:t>
      </w:r>
      <w:r>
        <w:rPr>
          <w:sz w:val="24"/>
        </w:rPr>
        <w:t>in this jurisdiction that will apply after the </w:t>
      </w:r>
      <w:r>
        <w:rPr>
          <w:i/>
          <w:sz w:val="24"/>
        </w:rPr>
        <w:t>1st regulatory </w:t>
      </w:r>
      <w:r>
        <w:rPr>
          <w:i/>
          <w:sz w:val="24"/>
        </w:rPr>
        <w:t>control period </w:t>
      </w:r>
      <w:r>
        <w:rPr>
          <w:sz w:val="24"/>
        </w:rPr>
        <w:t>– the regulatory arrangements (if any) applicable to </w:t>
      </w:r>
      <w:r>
        <w:rPr>
          <w:spacing w:val="-4"/>
          <w:sz w:val="24"/>
        </w:rPr>
        <w:t>the </w:t>
      </w:r>
      <w:r>
        <w:rPr>
          <w:sz w:val="24"/>
        </w:rPr>
        <w:t>relevant service immediately before the commencement of the distribution determination;</w:t>
      </w:r>
      <w:r>
        <w:rPr>
          <w:spacing w:val="-1"/>
          <w:sz w:val="24"/>
        </w:rPr>
        <w:t> </w:t>
      </w:r>
      <w:r>
        <w:rPr>
          <w:sz w:val="24"/>
        </w:rPr>
        <w:t>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the desirability of consistency between regulatory arrangements </w:t>
      </w:r>
      <w:r>
        <w:rPr>
          <w:spacing w:val="-4"/>
          <w:sz w:val="24"/>
        </w:rPr>
        <w:t>for</w:t>
      </w:r>
      <w:r>
        <w:rPr>
          <w:spacing w:val="52"/>
          <w:sz w:val="24"/>
        </w:rPr>
        <w:t> </w:t>
      </w:r>
      <w:r>
        <w:rPr>
          <w:sz w:val="24"/>
        </w:rPr>
        <w:t>similar services (both within and beyond the relevant jurisdiction);  and</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2"/>
        </w:rPr>
      </w:pPr>
    </w:p>
    <w:p>
      <w:pPr>
        <w:pStyle w:val="BodyText"/>
        <w:spacing w:before="7"/>
        <w:ind w:firstLine="0"/>
        <w:jc w:val="left"/>
        <w:rPr>
          <w:sz w:val="19"/>
        </w:rPr>
      </w:pPr>
    </w:p>
    <w:p>
      <w:pPr>
        <w:spacing w:before="1"/>
        <w:ind w:left="0" w:right="0" w:firstLine="0"/>
        <w:jc w:val="right"/>
        <w:rPr>
          <w:rFonts w:ascii="Arial"/>
          <w:b/>
          <w:sz w:val="20"/>
        </w:rPr>
      </w:pPr>
      <w:r>
        <w:rPr>
          <w:rFonts w:ascii="Arial"/>
          <w:b/>
          <w:sz w:val="20"/>
        </w:rPr>
        <w:t>Note:</w:t>
      </w:r>
    </w:p>
    <w:p>
      <w:pPr>
        <w:pStyle w:val="ListParagraph"/>
        <w:numPr>
          <w:ilvl w:val="4"/>
          <w:numId w:val="388"/>
        </w:numPr>
        <w:tabs>
          <w:tab w:pos="582" w:val="left" w:leader="none"/>
          <w:tab w:pos="584" w:val="left" w:leader="none"/>
        </w:tabs>
        <w:spacing w:line="240" w:lineRule="auto" w:before="83" w:after="0"/>
        <w:ind w:left="583" w:right="0" w:hanging="568"/>
        <w:jc w:val="left"/>
        <w:rPr>
          <w:sz w:val="24"/>
        </w:rPr>
      </w:pPr>
      <w:r>
        <w:rPr>
          <w:sz w:val="24"/>
        </w:rPr>
        <w:br w:type="column"/>
        <w:t>any other relevant</w:t>
      </w:r>
      <w:r>
        <w:rPr>
          <w:spacing w:val="-1"/>
          <w:sz w:val="24"/>
        </w:rPr>
        <w:t> </w:t>
      </w:r>
      <w:r>
        <w:rPr>
          <w:sz w:val="24"/>
        </w:rPr>
        <w:t>factor.</w:t>
      </w:r>
    </w:p>
    <w:p>
      <w:pPr>
        <w:spacing w:after="0" w:line="240" w:lineRule="auto"/>
        <w:jc w:val="left"/>
        <w:rPr>
          <w:sz w:val="24"/>
        </w:rPr>
        <w:sectPr>
          <w:pgSz w:w="11910" w:h="16840"/>
          <w:pgMar w:header="686" w:footer="637" w:top="1320" w:bottom="820" w:left="1200" w:right="1000"/>
          <w:cols w:num="2" w:equalWidth="0">
            <w:col w:w="1863" w:space="40"/>
            <w:col w:w="7807"/>
          </w:cols>
        </w:sectPr>
      </w:pPr>
    </w:p>
    <w:p>
      <w:pPr>
        <w:spacing w:before="120"/>
        <w:ind w:left="1352" w:right="0" w:firstLine="0"/>
        <w:jc w:val="left"/>
        <w:rPr>
          <w:sz w:val="20"/>
        </w:rPr>
      </w:pPr>
      <w:r>
        <w:rPr>
          <w:sz w:val="20"/>
        </w:rPr>
        <w:t>The modifications to this paragraph expire on 1 July 2024.</w:t>
      </w:r>
    </w:p>
    <w:p>
      <w:pPr>
        <w:pStyle w:val="BodyText"/>
        <w:spacing w:before="10"/>
        <w:ind w:firstLine="0"/>
        <w:jc w:val="left"/>
        <w:rPr>
          <w:sz w:val="20"/>
        </w:rPr>
      </w:pPr>
    </w:p>
    <w:p>
      <w:pPr>
        <w:pStyle w:val="Heading4"/>
        <w:numPr>
          <w:ilvl w:val="2"/>
          <w:numId w:val="388"/>
        </w:numPr>
        <w:tabs>
          <w:tab w:pos="1351" w:val="left" w:leader="none"/>
          <w:tab w:pos="1352" w:val="left" w:leader="none"/>
        </w:tabs>
        <w:spacing w:line="240" w:lineRule="auto" w:before="0" w:after="0"/>
        <w:ind w:left="1351" w:right="0" w:hanging="1134"/>
        <w:jc w:val="left"/>
      </w:pPr>
      <w:bookmarkStart w:name="6.2.6 Basis of control mechanisms for di" w:id="1276"/>
      <w:bookmarkEnd w:id="1276"/>
      <w:r>
        <w:rPr>
          <w:b w:val="0"/>
        </w:rPr>
      </w:r>
      <w:bookmarkStart w:name="_bookmark524" w:id="1277"/>
      <w:bookmarkEnd w:id="1277"/>
      <w:r>
        <w:rPr>
          <w:b w:val="0"/>
        </w:rPr>
      </w:r>
      <w:bookmarkStart w:name="_bookmark524" w:id="1278"/>
      <w:bookmarkEnd w:id="1278"/>
      <w:r>
        <w:rPr/>
        <w:t>Basi</w:t>
      </w:r>
      <w:r>
        <w:rPr/>
        <w:t>s of control mechanisms for direct control</w:t>
      </w:r>
      <w:r>
        <w:rPr>
          <w:spacing w:val="-12"/>
        </w:rPr>
        <w:t> </w:t>
      </w:r>
      <w:r>
        <w:rPr/>
        <w:t>services</w:t>
      </w:r>
    </w:p>
    <w:p>
      <w:pPr>
        <w:pStyle w:val="ListParagraph"/>
        <w:numPr>
          <w:ilvl w:val="3"/>
          <w:numId w:val="388"/>
        </w:numPr>
        <w:tabs>
          <w:tab w:pos="1919" w:val="left" w:leader="none"/>
        </w:tabs>
        <w:spacing w:line="240" w:lineRule="auto" w:before="120" w:after="0"/>
        <w:ind w:left="1919" w:right="416" w:hanging="567"/>
        <w:jc w:val="both"/>
        <w:rPr>
          <w:sz w:val="24"/>
        </w:rPr>
      </w:pPr>
      <w:r>
        <w:rPr>
          <w:sz w:val="24"/>
        </w:rPr>
        <w:t>For </w:t>
      </w:r>
      <w:r>
        <w:rPr>
          <w:i/>
          <w:sz w:val="24"/>
        </w:rPr>
        <w:t>standard control services</w:t>
      </w:r>
      <w:r>
        <w:rPr>
          <w:sz w:val="24"/>
        </w:rPr>
        <w:t>, the control mechanism must be of the prospective CPI minus X form, or some incentive-based variant of </w:t>
      </w:r>
      <w:r>
        <w:rPr>
          <w:spacing w:val="-4"/>
          <w:sz w:val="24"/>
        </w:rPr>
        <w:t>the </w:t>
      </w:r>
      <w:r>
        <w:rPr>
          <w:sz w:val="24"/>
        </w:rPr>
        <w:t>prospective CPI minus X form, in accordance with Part</w:t>
      </w:r>
      <w:r>
        <w:rPr>
          <w:spacing w:val="-6"/>
          <w:sz w:val="24"/>
        </w:rPr>
        <w:t> </w:t>
      </w:r>
      <w:r>
        <w:rPr>
          <w:sz w:val="24"/>
        </w:rPr>
        <w:t>C.</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For </w:t>
      </w:r>
      <w:r>
        <w:rPr>
          <w:i/>
          <w:sz w:val="24"/>
        </w:rPr>
        <w:t>alternative control services</w:t>
      </w:r>
      <w:r>
        <w:rPr>
          <w:sz w:val="24"/>
        </w:rPr>
        <w:t>, the control mechanism must have a basis stated in the distribution</w:t>
      </w:r>
      <w:r>
        <w:rPr>
          <w:spacing w:val="-2"/>
          <w:sz w:val="24"/>
        </w:rPr>
        <w:t> </w:t>
      </w:r>
      <w:r>
        <w:rPr>
          <w:sz w:val="24"/>
        </w:rPr>
        <w:t>determination.</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The control mechanism for </w:t>
      </w:r>
      <w:r>
        <w:rPr>
          <w:i/>
          <w:sz w:val="24"/>
        </w:rPr>
        <w:t>alternative control services </w:t>
      </w:r>
      <w:r>
        <w:rPr>
          <w:sz w:val="24"/>
        </w:rPr>
        <w:t>may (but need not) utilise elements of Part C (with or without</w:t>
      </w:r>
      <w:r>
        <w:rPr>
          <w:spacing w:val="-5"/>
          <w:sz w:val="24"/>
        </w:rPr>
        <w:t> </w:t>
      </w:r>
      <w:r>
        <w:rPr>
          <w:sz w:val="24"/>
        </w:rPr>
        <w:t>modification).</w:t>
      </w:r>
    </w:p>
    <w:p>
      <w:pPr>
        <w:spacing w:before="120"/>
        <w:ind w:left="1919" w:right="0" w:firstLine="0"/>
        <w:jc w:val="left"/>
        <w:rPr>
          <w:rFonts w:ascii="Arial"/>
          <w:b/>
          <w:sz w:val="20"/>
        </w:rPr>
      </w:pPr>
      <w:r>
        <w:rPr>
          <w:rFonts w:ascii="Arial"/>
          <w:b/>
          <w:sz w:val="20"/>
        </w:rPr>
        <w:t>Examples:</w:t>
      </w:r>
    </w:p>
    <w:p>
      <w:pPr>
        <w:spacing w:before="120"/>
        <w:ind w:left="1919" w:right="0" w:firstLine="0"/>
        <w:jc w:val="both"/>
        <w:rPr>
          <w:sz w:val="20"/>
        </w:rPr>
      </w:pPr>
      <w:r>
        <w:rPr>
          <w:sz w:val="20"/>
        </w:rPr>
        <w:t>The control mechanism might be based on the building block approach.</w:t>
      </w:r>
    </w:p>
    <w:p>
      <w:pPr>
        <w:spacing w:before="120"/>
        <w:ind w:left="1919" w:right="414" w:firstLine="0"/>
        <w:jc w:val="both"/>
        <w:rPr>
          <w:sz w:val="20"/>
        </w:rPr>
      </w:pPr>
      <w:r>
        <w:rPr>
          <w:sz w:val="20"/>
        </w:rPr>
        <w:t>The distribution determination might provide for the application of clause 6.6.1 to pass through events with necessary adaptations and specified modifications.</w:t>
      </w:r>
    </w:p>
    <w:p>
      <w:pPr>
        <w:pStyle w:val="BodyText"/>
        <w:spacing w:before="10"/>
        <w:ind w:firstLine="0"/>
        <w:jc w:val="left"/>
        <w:rPr>
          <w:sz w:val="20"/>
        </w:rPr>
      </w:pPr>
    </w:p>
    <w:p>
      <w:pPr>
        <w:pStyle w:val="Heading4"/>
        <w:numPr>
          <w:ilvl w:val="2"/>
          <w:numId w:val="388"/>
        </w:numPr>
        <w:tabs>
          <w:tab w:pos="1351" w:val="left" w:leader="none"/>
          <w:tab w:pos="1352" w:val="left" w:leader="none"/>
        </w:tabs>
        <w:spacing w:line="240" w:lineRule="auto" w:before="0" w:after="0"/>
        <w:ind w:left="1351" w:right="0" w:hanging="1134"/>
        <w:jc w:val="left"/>
      </w:pPr>
      <w:bookmarkStart w:name="6.2.7 Negotiated distribution services" w:id="1279"/>
      <w:bookmarkEnd w:id="1279"/>
      <w:r>
        <w:rPr>
          <w:b w:val="0"/>
        </w:rPr>
      </w:r>
      <w:bookmarkStart w:name="_bookmark525" w:id="1280"/>
      <w:bookmarkEnd w:id="1280"/>
      <w:r>
        <w:rPr>
          <w:b w:val="0"/>
        </w:rPr>
      </w:r>
      <w:bookmarkStart w:name="_bookmark525" w:id="1281"/>
      <w:bookmarkEnd w:id="1281"/>
      <w:r>
        <w:rPr/>
        <w:t>Negotiate</w:t>
      </w:r>
      <w:r>
        <w:rPr/>
        <w:t>d distribution</w:t>
      </w:r>
      <w:r>
        <w:rPr>
          <w:spacing w:val="-2"/>
        </w:rPr>
        <w:t> </w:t>
      </w:r>
      <w:r>
        <w:rPr/>
        <w:t>services</w:t>
      </w:r>
    </w:p>
    <w:p>
      <w:pPr>
        <w:spacing w:before="120"/>
        <w:ind w:left="1352" w:right="0" w:firstLine="0"/>
        <w:jc w:val="left"/>
        <w:rPr>
          <w:sz w:val="24"/>
        </w:rPr>
      </w:pPr>
      <w:r>
        <w:rPr>
          <w:i/>
          <w:sz w:val="24"/>
        </w:rPr>
        <w:t>Negotiated distribution services </w:t>
      </w:r>
      <w:r>
        <w:rPr>
          <w:sz w:val="24"/>
        </w:rPr>
        <w:t>are regulated in accordance with Part D.</w:t>
      </w:r>
    </w:p>
    <w:p>
      <w:pPr>
        <w:pStyle w:val="BodyText"/>
        <w:spacing w:before="10"/>
        <w:ind w:firstLine="0"/>
        <w:jc w:val="left"/>
        <w:rPr>
          <w:sz w:val="20"/>
        </w:rPr>
      </w:pPr>
    </w:p>
    <w:p>
      <w:pPr>
        <w:pStyle w:val="Heading4"/>
        <w:numPr>
          <w:ilvl w:val="2"/>
          <w:numId w:val="388"/>
        </w:numPr>
        <w:tabs>
          <w:tab w:pos="1351" w:val="left" w:leader="none"/>
          <w:tab w:pos="1352" w:val="left" w:leader="none"/>
        </w:tabs>
        <w:spacing w:line="240" w:lineRule="auto" w:before="0" w:after="0"/>
        <w:ind w:left="1351" w:right="0" w:hanging="1134"/>
        <w:jc w:val="left"/>
      </w:pPr>
      <w:bookmarkStart w:name="6.2.8 Guidelines" w:id="1282"/>
      <w:bookmarkEnd w:id="1282"/>
      <w:r>
        <w:rPr>
          <w:b w:val="0"/>
        </w:rPr>
      </w:r>
      <w:bookmarkStart w:name="_bookmark526" w:id="1283"/>
      <w:bookmarkEnd w:id="1283"/>
      <w:r>
        <w:rPr>
          <w:b w:val="0"/>
        </w:rPr>
      </w:r>
      <w:bookmarkStart w:name="_bookmark526" w:id="1284"/>
      <w:bookmarkEnd w:id="1284"/>
      <w:r>
        <w:rPr/>
        <w:t>Gui</w:t>
      </w:r>
      <w:r>
        <w:rPr/>
        <w:t>delines</w:t>
      </w:r>
    </w:p>
    <w:p>
      <w:pPr>
        <w:pStyle w:val="ListParagraph"/>
        <w:numPr>
          <w:ilvl w:val="3"/>
          <w:numId w:val="388"/>
        </w:numPr>
        <w:tabs>
          <w:tab w:pos="1919" w:val="left" w:leader="none"/>
        </w:tabs>
        <w:spacing w:line="240" w:lineRule="auto" w:before="120" w:after="0"/>
        <w:ind w:left="1918" w:right="0" w:hanging="567"/>
        <w:jc w:val="both"/>
        <w:rPr>
          <w:sz w:val="24"/>
        </w:rPr>
      </w:pPr>
      <w:r>
        <w:rPr>
          <w:sz w:val="24"/>
        </w:rPr>
        <w:t>The </w:t>
      </w:r>
      <w:r>
        <w:rPr>
          <w:i/>
          <w:sz w:val="24"/>
        </w:rPr>
        <w:t>AER</w:t>
      </w:r>
      <w:r>
        <w:rPr>
          <w:sz w:val="24"/>
        </w:rPr>
        <w:t>:</w:t>
      </w:r>
    </w:p>
    <w:p>
      <w:pPr>
        <w:pStyle w:val="ListParagraph"/>
        <w:numPr>
          <w:ilvl w:val="4"/>
          <w:numId w:val="388"/>
        </w:numPr>
        <w:tabs>
          <w:tab w:pos="2486" w:val="left" w:leader="none"/>
        </w:tabs>
        <w:spacing w:line="240" w:lineRule="auto" w:before="120" w:after="0"/>
        <w:ind w:left="2486" w:right="414" w:hanging="567"/>
        <w:jc w:val="both"/>
        <w:rPr>
          <w:sz w:val="24"/>
        </w:rPr>
      </w:pPr>
      <w:r>
        <w:rPr>
          <w:sz w:val="24"/>
        </w:rPr>
        <w:t>must make and </w:t>
      </w:r>
      <w:r>
        <w:rPr>
          <w:i/>
          <w:sz w:val="24"/>
        </w:rPr>
        <w:t>publish </w:t>
      </w:r>
      <w:r>
        <w:rPr>
          <w:sz w:val="24"/>
        </w:rPr>
        <w:t>the </w:t>
      </w:r>
      <w:r>
        <w:rPr>
          <w:i/>
          <w:sz w:val="24"/>
        </w:rPr>
        <w:t>Shared Asset Guidelines</w:t>
      </w:r>
      <w:r>
        <w:rPr>
          <w:sz w:val="24"/>
        </w:rPr>
        <w:t>, the </w:t>
      </w:r>
      <w:r>
        <w:rPr>
          <w:i/>
          <w:sz w:val="24"/>
        </w:rPr>
        <w:t>Capital </w:t>
      </w:r>
      <w:r>
        <w:rPr>
          <w:i/>
          <w:sz w:val="24"/>
        </w:rPr>
        <w:t>Expenditure Incentive Guidelines</w:t>
      </w:r>
      <w:r>
        <w:rPr>
          <w:sz w:val="24"/>
        </w:rPr>
        <w:t>, the </w:t>
      </w:r>
      <w:r>
        <w:rPr>
          <w:i/>
          <w:sz w:val="24"/>
        </w:rPr>
        <w:t>Expenditure Forecast </w:t>
      </w:r>
      <w:r>
        <w:rPr>
          <w:i/>
          <w:sz w:val="24"/>
        </w:rPr>
        <w:t>Assessment Guidelines</w:t>
      </w:r>
      <w:r>
        <w:rPr>
          <w:sz w:val="24"/>
        </w:rPr>
        <w:t>, the </w:t>
      </w:r>
      <w:r>
        <w:rPr>
          <w:i/>
          <w:sz w:val="24"/>
        </w:rPr>
        <w:t>Distribution Confidentiality Guidelines</w:t>
      </w:r>
      <w:r>
        <w:rPr>
          <w:sz w:val="24"/>
        </w:rPr>
        <w:t>, the </w:t>
      </w:r>
      <w:r>
        <w:rPr>
          <w:i/>
          <w:sz w:val="24"/>
        </w:rPr>
        <w:t>Distribution Service Classification Guidelines</w:t>
      </w:r>
      <w:r>
        <w:rPr>
          <w:sz w:val="24"/>
        </w:rPr>
        <w:t>, the </w:t>
      </w:r>
      <w:r>
        <w:rPr>
          <w:i/>
          <w:sz w:val="24"/>
        </w:rPr>
        <w:t>Asset </w:t>
      </w:r>
      <w:r>
        <w:rPr>
          <w:i/>
          <w:sz w:val="24"/>
        </w:rPr>
        <w:t>Exemption Guidelines </w:t>
      </w:r>
      <w:r>
        <w:rPr>
          <w:sz w:val="24"/>
        </w:rPr>
        <w:t>and the </w:t>
      </w:r>
      <w:r>
        <w:rPr>
          <w:i/>
          <w:sz w:val="24"/>
        </w:rPr>
        <w:t>Cost Allocation Guidelines </w:t>
      </w:r>
      <w:r>
        <w:rPr>
          <w:sz w:val="24"/>
        </w:rPr>
        <w:t>in accordance with these </w:t>
      </w:r>
      <w:r>
        <w:rPr>
          <w:i/>
          <w:sz w:val="24"/>
        </w:rPr>
        <w:t>Rules</w:t>
      </w:r>
      <w:r>
        <w:rPr>
          <w:sz w:val="24"/>
        </w:rPr>
        <w:t>;</w:t>
      </w:r>
      <w:r>
        <w:rPr>
          <w:spacing w:val="-2"/>
          <w:sz w:val="24"/>
        </w:rPr>
        <w:t> </w:t>
      </w:r>
      <w:r>
        <w:rPr>
          <w:sz w:val="24"/>
        </w:rPr>
        <w:t>and</w:t>
      </w:r>
    </w:p>
    <w:p>
      <w:pPr>
        <w:pStyle w:val="ListParagraph"/>
        <w:numPr>
          <w:ilvl w:val="4"/>
          <w:numId w:val="388"/>
        </w:numPr>
        <w:tabs>
          <w:tab w:pos="2486" w:val="left" w:leader="none"/>
        </w:tabs>
        <w:spacing w:line="240" w:lineRule="auto" w:before="120" w:after="0"/>
        <w:ind w:left="2486" w:right="414" w:hanging="567"/>
        <w:jc w:val="both"/>
        <w:rPr>
          <w:sz w:val="24"/>
        </w:rPr>
      </w:pPr>
      <w:r>
        <w:rPr>
          <w:sz w:val="24"/>
        </w:rPr>
        <w:t>may, in accordance with the </w:t>
      </w:r>
      <w:r>
        <w:rPr>
          <w:i/>
          <w:sz w:val="24"/>
        </w:rPr>
        <w:t>distribution consultation procedures</w:t>
      </w:r>
      <w:r>
        <w:rPr>
          <w:sz w:val="24"/>
        </w:rPr>
        <w:t>, make and </w:t>
      </w:r>
      <w:r>
        <w:rPr>
          <w:i/>
          <w:sz w:val="24"/>
        </w:rPr>
        <w:t>publish </w:t>
      </w:r>
      <w:r>
        <w:rPr>
          <w:sz w:val="24"/>
        </w:rPr>
        <w:t>guidelines as to any other matters relevant to this Chapter.</w:t>
      </w:r>
    </w:p>
    <w:p>
      <w:pPr>
        <w:pStyle w:val="ListParagraph"/>
        <w:numPr>
          <w:ilvl w:val="3"/>
          <w:numId w:val="388"/>
        </w:numPr>
        <w:tabs>
          <w:tab w:pos="1919" w:val="left" w:leader="none"/>
        </w:tabs>
        <w:spacing w:line="240" w:lineRule="auto" w:before="120" w:after="0"/>
        <w:ind w:left="1918" w:right="0" w:hanging="567"/>
        <w:jc w:val="both"/>
        <w:rPr>
          <w:i/>
          <w:sz w:val="24"/>
        </w:rPr>
      </w:pPr>
      <w:r>
        <w:rPr>
          <w:sz w:val="24"/>
        </w:rPr>
        <w:t>A guideline may relate to a specified </w:t>
      </w:r>
      <w:r>
        <w:rPr>
          <w:i/>
          <w:sz w:val="24"/>
        </w:rPr>
        <w:t>Distribution Network Service</w:t>
      </w:r>
      <w:r>
        <w:rPr>
          <w:i/>
          <w:spacing w:val="46"/>
          <w:sz w:val="24"/>
        </w:rPr>
        <w:t> </w:t>
      </w:r>
      <w:r>
        <w:rPr>
          <w:i/>
          <w:sz w:val="24"/>
        </w:rPr>
        <w:t>Provider</w:t>
      </w:r>
    </w:p>
    <w:p>
      <w:pPr>
        <w:spacing w:before="0"/>
        <w:ind w:left="1919" w:right="0" w:firstLine="0"/>
        <w:jc w:val="both"/>
        <w:rPr>
          <w:sz w:val="24"/>
        </w:rPr>
      </w:pPr>
      <w:r>
        <w:rPr>
          <w:sz w:val="24"/>
        </w:rPr>
        <w:t>or </w:t>
      </w:r>
      <w:r>
        <w:rPr>
          <w:i/>
          <w:sz w:val="24"/>
        </w:rPr>
        <w:t>Distribution Network Service Providers </w:t>
      </w:r>
      <w:r>
        <w:rPr>
          <w:sz w:val="24"/>
        </w:rPr>
        <w:t>of a specified class.</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Except as otherwise provided in this Chapter, a guideline is not </w:t>
      </w:r>
      <w:r>
        <w:rPr>
          <w:spacing w:val="-3"/>
          <w:sz w:val="24"/>
        </w:rPr>
        <w:t>mandatory </w:t>
      </w:r>
      <w:r>
        <w:rPr>
          <w:sz w:val="24"/>
        </w:rPr>
        <w:t>(and so does not bind the </w:t>
      </w:r>
      <w:r>
        <w:rPr>
          <w:i/>
          <w:sz w:val="24"/>
        </w:rPr>
        <w:t>AER </w:t>
      </w:r>
      <w:r>
        <w:rPr>
          <w:sz w:val="24"/>
        </w:rPr>
        <w:t>or anyone else) but, if the</w:t>
      </w:r>
      <w:r>
        <w:rPr>
          <w:spacing w:val="-4"/>
          <w:sz w:val="24"/>
        </w:rPr>
        <w:t> </w:t>
      </w:r>
      <w:r>
        <w:rPr>
          <w:i/>
          <w:sz w:val="24"/>
        </w:rPr>
        <w:t>AER</w:t>
      </w:r>
      <w:r>
        <w:rPr>
          <w:sz w:val="24"/>
        </w:rPr>
        <w:t>:</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makes a distribution determination that is not in accordance with the guideline, the </w:t>
      </w:r>
      <w:r>
        <w:rPr>
          <w:i/>
          <w:sz w:val="24"/>
        </w:rPr>
        <w:t>AER </w:t>
      </w:r>
      <w:r>
        <w:rPr>
          <w:sz w:val="24"/>
        </w:rPr>
        <w:t>must state, in its reasons for the distribution determination, the reasons for departing from the</w:t>
      </w:r>
      <w:r>
        <w:rPr>
          <w:spacing w:val="-2"/>
          <w:sz w:val="24"/>
        </w:rPr>
        <w:t> </w:t>
      </w:r>
      <w:r>
        <w:rPr>
          <w:sz w:val="24"/>
        </w:rPr>
        <w:t>guideline;</w:t>
      </w:r>
    </w:p>
    <w:p>
      <w:pPr>
        <w:pStyle w:val="ListParagraph"/>
        <w:numPr>
          <w:ilvl w:val="4"/>
          <w:numId w:val="388"/>
        </w:numPr>
        <w:tabs>
          <w:tab w:pos="2486" w:val="left" w:leader="none"/>
        </w:tabs>
        <w:spacing w:line="240" w:lineRule="auto" w:before="120" w:after="0"/>
        <w:ind w:left="2486" w:right="414" w:hanging="567"/>
        <w:jc w:val="both"/>
        <w:rPr>
          <w:sz w:val="24"/>
        </w:rPr>
      </w:pPr>
      <w:r>
        <w:rPr>
          <w:sz w:val="24"/>
        </w:rPr>
        <w:t>makes a decision in respect of an </w:t>
      </w:r>
      <w:r>
        <w:rPr>
          <w:i/>
          <w:sz w:val="24"/>
        </w:rPr>
        <w:t>asset exemption </w:t>
      </w:r>
      <w:r>
        <w:rPr>
          <w:sz w:val="24"/>
        </w:rPr>
        <w:t>under clause 6.4B.1(a)(3) or (4) that is not made in accordance with the</w:t>
      </w:r>
      <w:r>
        <w:rPr>
          <w:spacing w:val="29"/>
          <w:sz w:val="24"/>
        </w:rPr>
        <w:t> </w:t>
      </w:r>
      <w:r>
        <w:rPr>
          <w:i/>
          <w:sz w:val="24"/>
        </w:rPr>
        <w:t>Asset </w:t>
      </w:r>
      <w:r>
        <w:rPr>
          <w:i/>
          <w:sz w:val="24"/>
        </w:rPr>
        <w:t>Exemption Guidelines</w:t>
      </w:r>
      <w:r>
        <w:rPr>
          <w:sz w:val="24"/>
        </w:rPr>
        <w:t>, the </w:t>
      </w:r>
      <w:r>
        <w:rPr>
          <w:i/>
          <w:sz w:val="24"/>
        </w:rPr>
        <w:t>AER </w:t>
      </w:r>
      <w:r>
        <w:rPr>
          <w:sz w:val="24"/>
        </w:rPr>
        <w:t>must state, in its reasons for that decision, the reasons for departing from that guideline;</w:t>
      </w:r>
      <w:r>
        <w:rPr>
          <w:spacing w:val="-2"/>
          <w:sz w:val="24"/>
        </w:rPr>
        <w:t> </w:t>
      </w:r>
      <w:r>
        <w:rPr>
          <w:sz w:val="24"/>
        </w:rPr>
        <w:t>and</w:t>
      </w:r>
    </w:p>
    <w:p>
      <w:pPr>
        <w:pStyle w:val="ListParagraph"/>
        <w:numPr>
          <w:ilvl w:val="4"/>
          <w:numId w:val="388"/>
        </w:numPr>
        <w:tabs>
          <w:tab w:pos="2486" w:val="left" w:leader="none"/>
        </w:tabs>
        <w:spacing w:line="240" w:lineRule="auto" w:before="120" w:after="0"/>
        <w:ind w:left="2486" w:right="415" w:hanging="567"/>
        <w:jc w:val="both"/>
        <w:rPr>
          <w:sz w:val="24"/>
        </w:rPr>
      </w:pPr>
      <w:r>
        <w:rPr>
          <w:sz w:val="24"/>
        </w:rPr>
        <w:t>makes a </w:t>
      </w:r>
      <w:r>
        <w:rPr>
          <w:i/>
          <w:sz w:val="24"/>
        </w:rPr>
        <w:t>framework and approach paper </w:t>
      </w:r>
      <w:r>
        <w:rPr>
          <w:sz w:val="24"/>
        </w:rPr>
        <w:t>that is not in accordance with the </w:t>
      </w:r>
      <w:r>
        <w:rPr>
          <w:i/>
          <w:sz w:val="24"/>
        </w:rPr>
        <w:t>Distribution Service Classification Guidelines</w:t>
      </w:r>
      <w:r>
        <w:rPr>
          <w:sz w:val="24"/>
        </w:rPr>
        <w:t>, the </w:t>
      </w:r>
      <w:r>
        <w:rPr>
          <w:i/>
          <w:sz w:val="24"/>
        </w:rPr>
        <w:t>AER </w:t>
      </w:r>
      <w:r>
        <w:rPr>
          <w:sz w:val="24"/>
        </w:rPr>
        <w:t>must</w:t>
      </w:r>
      <w:r>
        <w:rPr>
          <w:spacing w:val="-4"/>
          <w:sz w:val="24"/>
        </w:rPr>
        <w:t> </w:t>
      </w:r>
      <w:r>
        <w:rPr>
          <w:sz w:val="24"/>
        </w:rPr>
        <w:t>state,</w:t>
      </w:r>
    </w:p>
    <w:p>
      <w:pPr>
        <w:spacing w:after="0" w:line="240" w:lineRule="auto"/>
        <w:jc w:val="both"/>
        <w:rPr>
          <w:sz w:val="24"/>
        </w:rPr>
        <w:sectPr>
          <w:type w:val="continuous"/>
          <w:pgSz w:w="11910" w:h="16840"/>
          <w:pgMar w:top="1360" w:bottom="280" w:left="1200" w:right="1000"/>
        </w:sectPr>
      </w:pPr>
    </w:p>
    <w:p>
      <w:pPr>
        <w:spacing w:before="83"/>
        <w:ind w:left="2486" w:right="415" w:firstLine="0"/>
        <w:jc w:val="both"/>
        <w:rPr>
          <w:sz w:val="24"/>
        </w:rPr>
      </w:pPr>
      <w:r>
        <w:rPr>
          <w:sz w:val="24"/>
        </w:rPr>
        <w:t>in the relevant </w:t>
      </w:r>
      <w:r>
        <w:rPr>
          <w:i/>
          <w:sz w:val="24"/>
        </w:rPr>
        <w:t>framework and approach paper</w:t>
      </w:r>
      <w:r>
        <w:rPr>
          <w:sz w:val="24"/>
        </w:rPr>
        <w:t>, the reasons for departing from that guideline.</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If a guideline indicates that there may be a change of regulatory approach in future distribution determinations, the guideline should also (if practicable) indicate how transitional issues are to be dealt</w:t>
      </w:r>
      <w:r>
        <w:rPr>
          <w:spacing w:val="-2"/>
          <w:sz w:val="24"/>
        </w:rPr>
        <w:t> </w:t>
      </w:r>
      <w:r>
        <w:rPr>
          <w:sz w:val="24"/>
        </w:rPr>
        <w:t>with.</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Subject to paragraph (f), the </w:t>
      </w:r>
      <w:r>
        <w:rPr>
          <w:i/>
          <w:sz w:val="24"/>
        </w:rPr>
        <w:t>AER </w:t>
      </w:r>
      <w:r>
        <w:rPr>
          <w:sz w:val="24"/>
        </w:rPr>
        <w:t>may, from time to time and in accordance with the </w:t>
      </w:r>
      <w:r>
        <w:rPr>
          <w:i/>
          <w:sz w:val="24"/>
        </w:rPr>
        <w:t>distribution consultation procedures</w:t>
      </w:r>
      <w:r>
        <w:rPr>
          <w:sz w:val="24"/>
        </w:rPr>
        <w:t>, amend or replace a</w:t>
      </w:r>
      <w:r>
        <w:rPr>
          <w:spacing w:val="-16"/>
          <w:sz w:val="24"/>
        </w:rPr>
        <w:t> </w:t>
      </w:r>
      <w:r>
        <w:rPr>
          <w:sz w:val="24"/>
        </w:rPr>
        <w:t>guideline.</w:t>
      </w:r>
    </w:p>
    <w:p>
      <w:pPr>
        <w:pStyle w:val="ListParagraph"/>
        <w:numPr>
          <w:ilvl w:val="3"/>
          <w:numId w:val="388"/>
        </w:numPr>
        <w:tabs>
          <w:tab w:pos="1920" w:val="left" w:leader="none"/>
        </w:tabs>
        <w:spacing w:line="240" w:lineRule="auto" w:before="120" w:after="0"/>
        <w:ind w:left="1919" w:right="415" w:hanging="567"/>
        <w:jc w:val="both"/>
        <w:rPr>
          <w:sz w:val="24"/>
        </w:rPr>
      </w:pPr>
      <w:r>
        <w:rPr>
          <w:sz w:val="24"/>
        </w:rPr>
        <w:t>The </w:t>
      </w:r>
      <w:r>
        <w:rPr>
          <w:i/>
          <w:sz w:val="24"/>
        </w:rPr>
        <w:t>AER </w:t>
      </w:r>
      <w:r>
        <w:rPr>
          <w:sz w:val="24"/>
        </w:rPr>
        <w:t>may make administrative or minor amendments to any guideline without complying with the </w:t>
      </w:r>
      <w:r>
        <w:rPr>
          <w:i/>
          <w:sz w:val="24"/>
        </w:rPr>
        <w:t>distribution consultation</w:t>
      </w:r>
      <w:r>
        <w:rPr>
          <w:i/>
          <w:spacing w:val="-9"/>
          <w:sz w:val="24"/>
        </w:rPr>
        <w:t> </w:t>
      </w:r>
      <w:r>
        <w:rPr>
          <w:i/>
          <w:sz w:val="24"/>
        </w:rPr>
        <w:t>procedures</w:t>
      </w:r>
      <w:r>
        <w:rPr>
          <w:sz w:val="24"/>
        </w:rPr>
        <w:t>.</w:t>
      </w:r>
    </w:p>
    <w:p>
      <w:pPr>
        <w:pStyle w:val="ListParagraph"/>
        <w:numPr>
          <w:ilvl w:val="3"/>
          <w:numId w:val="388"/>
        </w:numPr>
        <w:tabs>
          <w:tab w:pos="1919" w:val="left" w:leader="none"/>
        </w:tabs>
        <w:spacing w:line="240" w:lineRule="auto" w:before="120" w:after="0"/>
        <w:ind w:left="1919" w:right="415" w:hanging="567"/>
        <w:jc w:val="both"/>
        <w:rPr>
          <w:sz w:val="24"/>
        </w:rPr>
      </w:pPr>
      <w:r>
        <w:rPr>
          <w:sz w:val="24"/>
        </w:rPr>
        <w:t>This clause 6.2.8 does not apply to the </w:t>
      </w:r>
      <w:r>
        <w:rPr>
          <w:i/>
          <w:sz w:val="24"/>
        </w:rPr>
        <w:t>Distribution</w:t>
      </w:r>
      <w:r>
        <w:rPr>
          <w:i/>
          <w:spacing w:val="37"/>
          <w:sz w:val="24"/>
        </w:rPr>
        <w:t> </w:t>
      </w:r>
      <w:r>
        <w:rPr>
          <w:i/>
          <w:sz w:val="24"/>
        </w:rPr>
        <w:t>Ring-Fencing </w:t>
      </w:r>
      <w:r>
        <w:rPr>
          <w:i/>
          <w:sz w:val="24"/>
        </w:rPr>
        <w:t>Guidelines </w:t>
      </w:r>
      <w:r>
        <w:rPr>
          <w:sz w:val="24"/>
        </w:rPr>
        <w:t>or the </w:t>
      </w:r>
      <w:r>
        <w:rPr>
          <w:i/>
          <w:sz w:val="24"/>
        </w:rPr>
        <w:t>Distribution Reliability Measures</w:t>
      </w:r>
      <w:r>
        <w:rPr>
          <w:i/>
          <w:spacing w:val="-9"/>
          <w:sz w:val="24"/>
        </w:rPr>
        <w:t> </w:t>
      </w:r>
      <w:r>
        <w:rPr>
          <w:i/>
          <w:sz w:val="24"/>
        </w:rPr>
        <w:t>Guidelines</w:t>
      </w:r>
      <w:r>
        <w:rPr>
          <w:sz w:val="24"/>
        </w:rPr>
        <w:t>.</w:t>
      </w:r>
    </w:p>
    <w:p>
      <w:pPr>
        <w:pStyle w:val="BodyText"/>
        <w:spacing w:before="9"/>
        <w:ind w:firstLine="0"/>
        <w:jc w:val="left"/>
        <w:rPr>
          <w:sz w:val="18"/>
        </w:rPr>
      </w:pPr>
      <w:r>
        <w:rPr/>
        <w:pict>
          <v:shape style="position:absolute;margin-left:69.450005pt;margin-top:12.024627pt;width:456.45pt;height:32.2pt;mso-position-horizontal-relative:page;mso-position-vertical-relative:paragraph;z-index:-251622400;mso-wrap-distance-left:0;mso-wrap-distance-right:0" type="#_x0000_t202" filled="true" fillcolor="#d9d9d9" stroked="false">
            <v:textbox inset="0,0,0,0">
              <w:txbxContent>
                <w:p>
                  <w:pPr>
                    <w:tabs>
                      <w:tab w:pos="1163" w:val="left" w:leader="none"/>
                    </w:tabs>
                    <w:spacing w:before="0"/>
                    <w:ind w:left="1163" w:right="1151" w:hanging="1134"/>
                    <w:jc w:val="left"/>
                    <w:rPr>
                      <w:rFonts w:ascii="Arial"/>
                      <w:b/>
                      <w:sz w:val="28"/>
                    </w:rPr>
                  </w:pPr>
                  <w:bookmarkStart w:name="Part C Building Block Determinations for" w:id="1285"/>
                  <w:bookmarkEnd w:id="1285"/>
                  <w:r>
                    <w:rPr/>
                  </w:r>
                  <w:bookmarkStart w:name="_bookmark527" w:id="1286"/>
                  <w:bookmarkEnd w:id="1286"/>
                  <w:r>
                    <w:rPr/>
                  </w:r>
                  <w:r>
                    <w:rPr>
                      <w:rFonts w:ascii="Arial"/>
                      <w:b/>
                      <w:sz w:val="28"/>
                    </w:rPr>
                    <w:t>Part C</w:t>
                    <w:tab/>
                    <w:t>Building Block Determinations for standard</w:t>
                  </w:r>
                  <w:r>
                    <w:rPr>
                      <w:rFonts w:ascii="Arial"/>
                      <w:b/>
                      <w:spacing w:val="-30"/>
                      <w:sz w:val="28"/>
                    </w:rPr>
                    <w:t> </w:t>
                  </w:r>
                  <w:r>
                    <w:rPr>
                      <w:rFonts w:ascii="Arial"/>
                      <w:b/>
                      <w:sz w:val="28"/>
                    </w:rPr>
                    <w:t>control services</w:t>
                  </w:r>
                </w:p>
              </w:txbxContent>
            </v:textbox>
            <v:fill type="solid"/>
            <w10:wrap type="topAndBottom"/>
          </v:shape>
        </w:pict>
      </w:r>
    </w:p>
    <w:p>
      <w:pPr>
        <w:pStyle w:val="BodyText"/>
        <w:spacing w:before="7"/>
        <w:ind w:firstLine="0"/>
        <w:jc w:val="left"/>
        <w:rPr>
          <w:sz w:val="11"/>
        </w:rPr>
      </w:pPr>
    </w:p>
    <w:p>
      <w:pPr>
        <w:pStyle w:val="Heading3"/>
        <w:numPr>
          <w:ilvl w:val="1"/>
          <w:numId w:val="385"/>
        </w:numPr>
        <w:tabs>
          <w:tab w:pos="1351" w:val="left" w:leader="none"/>
          <w:tab w:pos="1353" w:val="left" w:leader="none"/>
        </w:tabs>
        <w:spacing w:line="240" w:lineRule="auto" w:before="91" w:after="0"/>
        <w:ind w:left="1352" w:right="0" w:hanging="1135"/>
        <w:jc w:val="left"/>
      </w:pPr>
      <w:bookmarkStart w:name="6.3 Building block determinations" w:id="1287"/>
      <w:bookmarkEnd w:id="1287"/>
      <w:r>
        <w:rPr>
          <w:b w:val="0"/>
        </w:rPr>
      </w:r>
      <w:bookmarkStart w:name="_bookmark528" w:id="1288"/>
      <w:bookmarkEnd w:id="1288"/>
      <w:r>
        <w:rPr>
          <w:b w:val="0"/>
        </w:rPr>
      </w:r>
      <w:bookmarkStart w:name="_bookmark528" w:id="1289"/>
      <w:bookmarkEnd w:id="1289"/>
      <w:r>
        <w:rPr/>
        <w:t>Bui</w:t>
      </w:r>
      <w:r>
        <w:rPr/>
        <w:t>lding block</w:t>
      </w:r>
      <w:r>
        <w:rPr>
          <w:spacing w:val="-2"/>
        </w:rPr>
        <w:t> </w:t>
      </w:r>
      <w:r>
        <w:rPr/>
        <w:t>determinations</w:t>
      </w:r>
    </w:p>
    <w:p>
      <w:pPr>
        <w:pStyle w:val="Heading4"/>
        <w:numPr>
          <w:ilvl w:val="2"/>
          <w:numId w:val="389"/>
        </w:numPr>
        <w:tabs>
          <w:tab w:pos="1351" w:val="left" w:leader="none"/>
          <w:tab w:pos="1352" w:val="left" w:leader="none"/>
        </w:tabs>
        <w:spacing w:line="240" w:lineRule="auto" w:before="240" w:after="0"/>
        <w:ind w:left="1351" w:right="0" w:hanging="1134"/>
        <w:jc w:val="left"/>
      </w:pPr>
      <w:bookmarkStart w:name="6.3.1 Introduction" w:id="1290"/>
      <w:bookmarkEnd w:id="1290"/>
      <w:r>
        <w:rPr>
          <w:b w:val="0"/>
        </w:rPr>
      </w:r>
      <w:bookmarkStart w:name="_bookmark529" w:id="1291"/>
      <w:bookmarkEnd w:id="1291"/>
      <w:r>
        <w:rPr>
          <w:b w:val="0"/>
        </w:rPr>
      </w:r>
      <w:bookmarkStart w:name="_bookmark529" w:id="1292"/>
      <w:bookmarkEnd w:id="1292"/>
      <w:r>
        <w:rPr/>
        <w:t>Introd</w:t>
      </w:r>
      <w:r>
        <w:rPr/>
        <w:t>uction</w:t>
      </w:r>
    </w:p>
    <w:p>
      <w:pPr>
        <w:pStyle w:val="ListParagraph"/>
        <w:numPr>
          <w:ilvl w:val="3"/>
          <w:numId w:val="389"/>
        </w:numPr>
        <w:tabs>
          <w:tab w:pos="1919" w:val="left" w:leader="none"/>
        </w:tabs>
        <w:spacing w:line="240" w:lineRule="auto" w:before="120" w:after="0"/>
        <w:ind w:left="1919" w:right="415" w:hanging="567"/>
        <w:jc w:val="both"/>
        <w:rPr>
          <w:sz w:val="24"/>
        </w:rPr>
      </w:pPr>
      <w:r>
        <w:rPr>
          <w:sz w:val="24"/>
        </w:rPr>
        <w:t>A </w:t>
      </w:r>
      <w:r>
        <w:rPr>
          <w:i/>
          <w:sz w:val="24"/>
        </w:rPr>
        <w:t>building block determination </w:t>
      </w:r>
      <w:r>
        <w:rPr>
          <w:sz w:val="24"/>
        </w:rPr>
        <w:t>is a component of a distribution determination.</w:t>
      </w:r>
    </w:p>
    <w:p>
      <w:pPr>
        <w:pStyle w:val="ListParagraph"/>
        <w:numPr>
          <w:ilvl w:val="3"/>
          <w:numId w:val="389"/>
        </w:numPr>
        <w:tabs>
          <w:tab w:pos="1919" w:val="left" w:leader="none"/>
        </w:tabs>
        <w:spacing w:line="240" w:lineRule="auto" w:before="120" w:after="0"/>
        <w:ind w:left="1919" w:right="415" w:hanging="567"/>
        <w:jc w:val="both"/>
        <w:rPr>
          <w:sz w:val="24"/>
        </w:rPr>
      </w:pPr>
      <w:r>
        <w:rPr>
          <w:sz w:val="24"/>
        </w:rPr>
        <w:t>The procedure and approach for the making of a </w:t>
      </w:r>
      <w:r>
        <w:rPr>
          <w:i/>
          <w:sz w:val="24"/>
        </w:rPr>
        <w:t>building </w:t>
      </w:r>
      <w:r>
        <w:rPr>
          <w:i/>
          <w:spacing w:val="-3"/>
          <w:sz w:val="24"/>
        </w:rPr>
        <w:t>block </w:t>
      </w:r>
      <w:r>
        <w:rPr>
          <w:i/>
          <w:sz w:val="24"/>
        </w:rPr>
        <w:t>determination </w:t>
      </w:r>
      <w:r>
        <w:rPr>
          <w:sz w:val="24"/>
        </w:rPr>
        <w:t>is contained in Part E of this Chapter and involves the submission of a </w:t>
      </w:r>
      <w:r>
        <w:rPr>
          <w:i/>
          <w:sz w:val="24"/>
        </w:rPr>
        <w:t>building block proposal </w:t>
      </w:r>
      <w:r>
        <w:rPr>
          <w:sz w:val="24"/>
        </w:rPr>
        <w:t>to the </w:t>
      </w:r>
      <w:r>
        <w:rPr>
          <w:i/>
          <w:sz w:val="24"/>
        </w:rPr>
        <w:t>AER </w:t>
      </w:r>
      <w:r>
        <w:rPr>
          <w:sz w:val="24"/>
        </w:rPr>
        <w:t>by the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3"/>
          <w:numId w:val="389"/>
        </w:numPr>
        <w:tabs>
          <w:tab w:pos="1919" w:val="left" w:leader="none"/>
        </w:tabs>
        <w:spacing w:line="240" w:lineRule="auto" w:before="120" w:after="0"/>
        <w:ind w:left="1918" w:right="0" w:hanging="567"/>
        <w:jc w:val="both"/>
        <w:rPr>
          <w:sz w:val="24"/>
        </w:rPr>
      </w:pPr>
      <w:r>
        <w:rPr>
          <w:sz w:val="24"/>
        </w:rPr>
        <w:t>The </w:t>
      </w:r>
      <w:r>
        <w:rPr>
          <w:i/>
          <w:sz w:val="24"/>
        </w:rPr>
        <w:t>building block</w:t>
      </w:r>
      <w:r>
        <w:rPr>
          <w:i/>
          <w:spacing w:val="-1"/>
          <w:sz w:val="24"/>
        </w:rPr>
        <w:t> </w:t>
      </w:r>
      <w:r>
        <w:rPr>
          <w:i/>
          <w:sz w:val="24"/>
        </w:rPr>
        <w:t>proposal</w:t>
      </w:r>
      <w:r>
        <w:rPr>
          <w:sz w:val="24"/>
        </w:rPr>
        <w:t>:</w:t>
      </w:r>
    </w:p>
    <w:p>
      <w:pPr>
        <w:pStyle w:val="ListParagraph"/>
        <w:numPr>
          <w:ilvl w:val="4"/>
          <w:numId w:val="389"/>
        </w:numPr>
        <w:tabs>
          <w:tab w:pos="2486" w:val="left" w:leader="none"/>
        </w:tabs>
        <w:spacing w:line="240" w:lineRule="auto" w:before="120" w:after="0"/>
        <w:ind w:left="2486" w:right="416" w:hanging="567"/>
        <w:jc w:val="both"/>
        <w:rPr>
          <w:sz w:val="24"/>
        </w:rPr>
      </w:pPr>
      <w:r>
        <w:rPr>
          <w:sz w:val="24"/>
        </w:rPr>
        <w:t>must be prepared in accordance with the </w:t>
      </w:r>
      <w:r>
        <w:rPr>
          <w:i/>
          <w:sz w:val="24"/>
        </w:rPr>
        <w:t>post-tax revenue model </w:t>
      </w:r>
      <w:r>
        <w:rPr>
          <w:sz w:val="24"/>
        </w:rPr>
        <w:t>and other relevant requirements of this</w:t>
      </w:r>
      <w:r>
        <w:rPr>
          <w:spacing w:val="-1"/>
          <w:sz w:val="24"/>
        </w:rPr>
        <w:t> </w:t>
      </w:r>
      <w:r>
        <w:rPr>
          <w:sz w:val="24"/>
        </w:rPr>
        <w:t>Part;</w:t>
      </w:r>
    </w:p>
    <w:p>
      <w:pPr>
        <w:pStyle w:val="ListParagraph"/>
        <w:numPr>
          <w:ilvl w:val="4"/>
          <w:numId w:val="389"/>
        </w:numPr>
        <w:tabs>
          <w:tab w:pos="2486" w:val="left" w:leader="none"/>
        </w:tabs>
        <w:spacing w:line="240" w:lineRule="auto" w:before="120" w:after="0"/>
        <w:ind w:left="2486" w:right="415" w:hanging="567"/>
        <w:jc w:val="both"/>
        <w:rPr>
          <w:sz w:val="24"/>
        </w:rPr>
      </w:pPr>
      <w:r>
        <w:rPr>
          <w:sz w:val="24"/>
        </w:rPr>
        <w:t>must comply with the requirements of, and must contain or be accompanied by the information required by, any relevant </w:t>
      </w:r>
      <w:r>
        <w:rPr>
          <w:i/>
          <w:sz w:val="24"/>
        </w:rPr>
        <w:t>regulatory </w:t>
      </w:r>
      <w:r>
        <w:rPr>
          <w:i/>
          <w:sz w:val="24"/>
        </w:rPr>
        <w:t>information instrument</w:t>
      </w:r>
      <w:r>
        <w:rPr>
          <w:sz w:val="24"/>
        </w:rPr>
        <w:t>;</w:t>
      </w:r>
      <w:r>
        <w:rPr>
          <w:spacing w:val="-2"/>
          <w:sz w:val="24"/>
        </w:rPr>
        <w:t> </w:t>
      </w:r>
      <w:r>
        <w:rPr>
          <w:sz w:val="24"/>
        </w:rPr>
        <w:t>and</w:t>
      </w:r>
    </w:p>
    <w:p>
      <w:pPr>
        <w:pStyle w:val="ListParagraph"/>
        <w:numPr>
          <w:ilvl w:val="4"/>
          <w:numId w:val="389"/>
        </w:numPr>
        <w:tabs>
          <w:tab w:pos="2486" w:val="left" w:leader="none"/>
        </w:tabs>
        <w:spacing w:line="240" w:lineRule="auto" w:before="120" w:after="0"/>
        <w:ind w:left="2485" w:right="0" w:hanging="567"/>
        <w:jc w:val="both"/>
        <w:rPr>
          <w:sz w:val="24"/>
        </w:rPr>
      </w:pPr>
      <w:r>
        <w:rPr>
          <w:sz w:val="24"/>
        </w:rPr>
        <w:t>must be prepared in accordance with Schedule</w:t>
      </w:r>
      <w:r>
        <w:rPr>
          <w:spacing w:val="-1"/>
          <w:sz w:val="24"/>
        </w:rPr>
        <w:t> </w:t>
      </w:r>
      <w:r>
        <w:rPr>
          <w:sz w:val="24"/>
        </w:rPr>
        <w:t>6.1.</w:t>
      </w:r>
    </w:p>
    <w:p>
      <w:pPr>
        <w:pStyle w:val="BodyText"/>
        <w:spacing w:before="10"/>
        <w:ind w:firstLine="0"/>
        <w:jc w:val="left"/>
        <w:rPr>
          <w:sz w:val="20"/>
        </w:rPr>
      </w:pPr>
    </w:p>
    <w:p>
      <w:pPr>
        <w:pStyle w:val="Heading4"/>
        <w:numPr>
          <w:ilvl w:val="2"/>
          <w:numId w:val="389"/>
        </w:numPr>
        <w:tabs>
          <w:tab w:pos="1351" w:val="left" w:leader="none"/>
          <w:tab w:pos="1352" w:val="left" w:leader="none"/>
        </w:tabs>
        <w:spacing w:line="240" w:lineRule="auto" w:before="0" w:after="0"/>
        <w:ind w:left="1351" w:right="0" w:hanging="1134"/>
        <w:jc w:val="left"/>
      </w:pPr>
      <w:bookmarkStart w:name="6.3.2 Contents of building block determi" w:id="1293"/>
      <w:bookmarkEnd w:id="1293"/>
      <w:r>
        <w:rPr>
          <w:b w:val="0"/>
        </w:rPr>
      </w:r>
      <w:bookmarkStart w:name="_bookmark530" w:id="1294"/>
      <w:bookmarkEnd w:id="1294"/>
      <w:r>
        <w:rPr>
          <w:b w:val="0"/>
        </w:rPr>
      </w:r>
      <w:bookmarkStart w:name="_bookmark530" w:id="1295"/>
      <w:bookmarkEnd w:id="1295"/>
      <w:r>
        <w:rPr/>
        <w:t>Content</w:t>
      </w:r>
      <w:r>
        <w:rPr/>
        <w:t>s of building block</w:t>
      </w:r>
      <w:r>
        <w:rPr>
          <w:spacing w:val="-2"/>
        </w:rPr>
        <w:t> </w:t>
      </w:r>
      <w:r>
        <w:rPr/>
        <w:t>determination</w:t>
      </w:r>
    </w:p>
    <w:p>
      <w:pPr>
        <w:pStyle w:val="ListParagraph"/>
        <w:numPr>
          <w:ilvl w:val="3"/>
          <w:numId w:val="389"/>
        </w:numPr>
        <w:tabs>
          <w:tab w:pos="1918" w:val="left" w:leader="none"/>
          <w:tab w:pos="1919" w:val="left" w:leader="none"/>
        </w:tabs>
        <w:spacing w:line="240" w:lineRule="auto" w:before="120" w:after="0"/>
        <w:ind w:left="1918" w:right="0" w:hanging="567"/>
        <w:jc w:val="left"/>
        <w:rPr>
          <w:i/>
          <w:sz w:val="24"/>
        </w:rPr>
      </w:pPr>
      <w:r>
        <w:rPr>
          <w:sz w:val="24"/>
        </w:rPr>
        <w:t>A </w:t>
      </w:r>
      <w:r>
        <w:rPr>
          <w:i/>
          <w:sz w:val="24"/>
        </w:rPr>
        <w:t>building block determination </w:t>
      </w:r>
      <w:r>
        <w:rPr>
          <w:sz w:val="24"/>
        </w:rPr>
        <w:t>for a </w:t>
      </w:r>
      <w:r>
        <w:rPr>
          <w:i/>
          <w:sz w:val="24"/>
        </w:rPr>
        <w:t>Distribution Network Service</w:t>
      </w:r>
      <w:r>
        <w:rPr>
          <w:i/>
          <w:spacing w:val="47"/>
          <w:sz w:val="24"/>
        </w:rPr>
        <w:t> </w:t>
      </w:r>
      <w:r>
        <w:rPr>
          <w:i/>
          <w:sz w:val="24"/>
        </w:rPr>
        <w:t>Provider</w:t>
      </w:r>
    </w:p>
    <w:p>
      <w:pPr>
        <w:spacing w:before="0"/>
        <w:ind w:left="1919" w:right="0" w:firstLine="0"/>
        <w:jc w:val="left"/>
        <w:rPr>
          <w:sz w:val="24"/>
        </w:rPr>
      </w:pPr>
      <w:r>
        <w:rPr>
          <w:sz w:val="24"/>
        </w:rPr>
        <w:t>is to specify, for a </w:t>
      </w:r>
      <w:r>
        <w:rPr>
          <w:i/>
          <w:sz w:val="24"/>
        </w:rPr>
        <w:t>regulatory control period</w:t>
      </w:r>
      <w:r>
        <w:rPr>
          <w:sz w:val="24"/>
        </w:rPr>
        <w:t>, the following matters:</w:t>
      </w:r>
    </w:p>
    <w:p>
      <w:pPr>
        <w:pStyle w:val="ListParagraph"/>
        <w:numPr>
          <w:ilvl w:val="4"/>
          <w:numId w:val="389"/>
        </w:numPr>
        <w:tabs>
          <w:tab w:pos="2485" w:val="left" w:leader="none"/>
          <w:tab w:pos="2486" w:val="left" w:leader="none"/>
          <w:tab w:pos="3011" w:val="left" w:leader="none"/>
          <w:tab w:pos="4416" w:val="left" w:leader="none"/>
          <w:tab w:pos="5461" w:val="left" w:leader="none"/>
          <w:tab w:pos="6399" w:val="left" w:leader="none"/>
          <w:tab w:pos="7629" w:val="left" w:leader="none"/>
          <w:tab w:pos="8528" w:val="left" w:leader="none"/>
        </w:tabs>
        <w:spacing w:line="240" w:lineRule="auto" w:before="120" w:after="0"/>
        <w:ind w:left="2486" w:right="416" w:hanging="567"/>
        <w:jc w:val="left"/>
        <w:rPr>
          <w:sz w:val="24"/>
        </w:rPr>
      </w:pPr>
      <w:r>
        <w:rPr>
          <w:sz w:val="24"/>
        </w:rPr>
        <w:t>the</w:t>
        <w:tab/>
      </w:r>
      <w:r>
        <w:rPr>
          <w:i/>
          <w:sz w:val="24"/>
        </w:rPr>
        <w:t>Distribution</w:t>
        <w:tab/>
        <w:t>Network</w:t>
        <w:tab/>
        <w:t>Service</w:t>
        <w:tab/>
        <w:t>Provider's</w:t>
        <w:tab/>
        <w:t>annual</w:t>
        <w:tab/>
      </w:r>
      <w:r>
        <w:rPr>
          <w:i/>
          <w:spacing w:val="-4"/>
          <w:sz w:val="24"/>
        </w:rPr>
        <w:t>revenue </w:t>
      </w:r>
      <w:r>
        <w:rPr>
          <w:i/>
          <w:sz w:val="24"/>
        </w:rPr>
        <w:t>requirement </w:t>
      </w:r>
      <w:r>
        <w:rPr>
          <w:sz w:val="24"/>
        </w:rPr>
        <w:t>for each </w:t>
      </w:r>
      <w:r>
        <w:rPr>
          <w:i/>
          <w:sz w:val="24"/>
        </w:rPr>
        <w:t>regulatory year </w:t>
      </w:r>
      <w:r>
        <w:rPr>
          <w:sz w:val="24"/>
        </w:rPr>
        <w:t>of the </w:t>
      </w:r>
      <w:r>
        <w:rPr>
          <w:i/>
          <w:sz w:val="24"/>
        </w:rPr>
        <w:t>regulatory control</w:t>
      </w:r>
      <w:r>
        <w:rPr>
          <w:i/>
          <w:spacing w:val="-22"/>
          <w:sz w:val="24"/>
        </w:rPr>
        <w:t> </w:t>
      </w:r>
      <w:r>
        <w:rPr>
          <w:i/>
          <w:sz w:val="24"/>
        </w:rPr>
        <w:t>period</w:t>
      </w:r>
      <w:r>
        <w:rPr>
          <w:sz w:val="24"/>
        </w:rPr>
        <w:t>;</w:t>
      </w:r>
    </w:p>
    <w:p>
      <w:pPr>
        <w:pStyle w:val="ListParagraph"/>
        <w:numPr>
          <w:ilvl w:val="4"/>
          <w:numId w:val="389"/>
        </w:numPr>
        <w:tabs>
          <w:tab w:pos="2485" w:val="left" w:leader="none"/>
          <w:tab w:pos="2486" w:val="left" w:leader="none"/>
        </w:tabs>
        <w:spacing w:line="240" w:lineRule="auto" w:before="120" w:after="0"/>
        <w:ind w:left="2485" w:right="0" w:hanging="567"/>
        <w:jc w:val="left"/>
        <w:rPr>
          <w:sz w:val="24"/>
        </w:rPr>
      </w:pPr>
      <w:r>
        <w:rPr>
          <w:sz w:val="24"/>
        </w:rPr>
        <w:t>appropriate methods for the indexation of the regulatory asset</w:t>
      </w:r>
      <w:r>
        <w:rPr>
          <w:spacing w:val="-2"/>
          <w:sz w:val="24"/>
        </w:rPr>
        <w:t> </w:t>
      </w:r>
      <w:r>
        <w:rPr>
          <w:sz w:val="24"/>
        </w:rPr>
        <w:t>base;</w:t>
      </w:r>
    </w:p>
    <w:p>
      <w:pPr>
        <w:pStyle w:val="ListParagraph"/>
        <w:numPr>
          <w:ilvl w:val="4"/>
          <w:numId w:val="389"/>
        </w:numPr>
        <w:tabs>
          <w:tab w:pos="2486" w:val="left" w:leader="none"/>
        </w:tabs>
        <w:spacing w:line="240" w:lineRule="auto" w:before="120" w:after="0"/>
        <w:ind w:left="2486" w:right="415" w:hanging="567"/>
        <w:jc w:val="both"/>
        <w:rPr>
          <w:sz w:val="24"/>
        </w:rPr>
      </w:pPr>
      <w:r>
        <w:rPr>
          <w:sz w:val="24"/>
        </w:rPr>
        <w:t>how any applicable </w:t>
      </w:r>
      <w:r>
        <w:rPr>
          <w:i/>
          <w:sz w:val="24"/>
        </w:rPr>
        <w:t>efficiency benefit sharing scheme</w:t>
      </w:r>
      <w:r>
        <w:rPr>
          <w:sz w:val="24"/>
        </w:rPr>
        <w:t>, </w:t>
      </w:r>
      <w:r>
        <w:rPr>
          <w:i/>
          <w:sz w:val="24"/>
        </w:rPr>
        <w:t>capital </w:t>
      </w:r>
      <w:r>
        <w:rPr>
          <w:i/>
          <w:sz w:val="24"/>
        </w:rPr>
        <w:t>expenditure sharing scheme</w:t>
      </w:r>
      <w:r>
        <w:rPr>
          <w:sz w:val="24"/>
        </w:rPr>
        <w:t>, </w:t>
      </w:r>
      <w:r>
        <w:rPr>
          <w:i/>
          <w:sz w:val="24"/>
        </w:rPr>
        <w:t>service target performance incentive </w:t>
      </w:r>
      <w:r>
        <w:rPr>
          <w:i/>
          <w:sz w:val="24"/>
        </w:rPr>
        <w:t>scheme</w:t>
      </w:r>
      <w:r>
        <w:rPr>
          <w:sz w:val="24"/>
        </w:rPr>
        <w:t>, </w:t>
      </w:r>
      <w:r>
        <w:rPr>
          <w:i/>
          <w:sz w:val="24"/>
        </w:rPr>
        <w:t>demand management incentive scheme</w:t>
      </w:r>
      <w:r>
        <w:rPr>
          <w:sz w:val="24"/>
        </w:rPr>
        <w:t>, </w:t>
      </w:r>
      <w:r>
        <w:rPr>
          <w:i/>
          <w:sz w:val="24"/>
        </w:rPr>
        <w:t>demand management </w:t>
      </w:r>
      <w:r>
        <w:rPr>
          <w:i/>
          <w:sz w:val="24"/>
        </w:rPr>
        <w:t>innovation allowance mechanism </w:t>
      </w:r>
      <w:r>
        <w:rPr>
          <w:sz w:val="24"/>
        </w:rPr>
        <w:t>or </w:t>
      </w:r>
      <w:r>
        <w:rPr>
          <w:i/>
          <w:sz w:val="24"/>
        </w:rPr>
        <w:t>small-scale incentive scheme </w:t>
      </w:r>
      <w:r>
        <w:rPr>
          <w:sz w:val="24"/>
        </w:rPr>
        <w:t>is to apply to the </w:t>
      </w:r>
      <w:r>
        <w:rPr>
          <w:i/>
          <w:sz w:val="24"/>
        </w:rPr>
        <w:t>Distribution Network Service</w:t>
      </w:r>
      <w:r>
        <w:rPr>
          <w:i/>
          <w:spacing w:val="-4"/>
          <w:sz w:val="24"/>
        </w:rPr>
        <w:t> </w:t>
      </w:r>
      <w:r>
        <w:rPr>
          <w:i/>
          <w:sz w:val="24"/>
        </w:rPr>
        <w:t>Provider</w:t>
      </w:r>
      <w:r>
        <w:rPr>
          <w:sz w:val="24"/>
        </w:rPr>
        <w:t>;</w:t>
      </w:r>
    </w:p>
    <w:p>
      <w:pPr>
        <w:pStyle w:val="ListParagraph"/>
        <w:numPr>
          <w:ilvl w:val="4"/>
          <w:numId w:val="389"/>
        </w:numPr>
        <w:tabs>
          <w:tab w:pos="2486" w:val="left" w:leader="none"/>
        </w:tabs>
        <w:spacing w:line="240" w:lineRule="auto" w:before="120" w:after="0"/>
        <w:ind w:left="2485" w:right="0" w:hanging="567"/>
        <w:jc w:val="both"/>
        <w:rPr>
          <w:sz w:val="24"/>
        </w:rPr>
      </w:pPr>
      <w:r>
        <w:rPr>
          <w:sz w:val="24"/>
        </w:rPr>
        <w:t>the commencement and length of the </w:t>
      </w:r>
      <w:r>
        <w:rPr>
          <w:i/>
          <w:sz w:val="24"/>
        </w:rPr>
        <w:t>regulatory control period</w:t>
      </w:r>
      <w:r>
        <w:rPr>
          <w:sz w:val="24"/>
        </w:rPr>
        <w:t>;</w:t>
      </w:r>
      <w:r>
        <w:rPr>
          <w:spacing w:val="-5"/>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389"/>
        </w:numPr>
        <w:tabs>
          <w:tab w:pos="2486" w:val="left" w:leader="none"/>
        </w:tabs>
        <w:spacing w:line="240" w:lineRule="auto" w:before="83" w:after="0"/>
        <w:ind w:left="2486" w:right="414" w:hanging="567"/>
        <w:jc w:val="both"/>
        <w:rPr>
          <w:sz w:val="24"/>
        </w:rPr>
      </w:pPr>
      <w:r>
        <w:rPr>
          <w:sz w:val="24"/>
        </w:rPr>
        <w:t>any other amounts, values or inputs on which the </w:t>
      </w:r>
      <w:r>
        <w:rPr>
          <w:i/>
          <w:sz w:val="24"/>
        </w:rPr>
        <w:t>building </w:t>
      </w:r>
      <w:r>
        <w:rPr>
          <w:i/>
          <w:spacing w:val="-3"/>
          <w:sz w:val="24"/>
        </w:rPr>
        <w:t>block </w:t>
      </w:r>
      <w:r>
        <w:rPr>
          <w:i/>
          <w:sz w:val="24"/>
        </w:rPr>
        <w:t>determination </w:t>
      </w:r>
      <w:r>
        <w:rPr>
          <w:sz w:val="24"/>
        </w:rPr>
        <w:t>is based (differentiating between those contained in, or inferred from, the </w:t>
      </w:r>
      <w:r>
        <w:rPr>
          <w:i/>
          <w:sz w:val="24"/>
        </w:rPr>
        <w:t>Distribution Network Service Provider's building </w:t>
      </w:r>
      <w:r>
        <w:rPr>
          <w:i/>
          <w:sz w:val="24"/>
        </w:rPr>
        <w:t>block proposal </w:t>
      </w:r>
      <w:r>
        <w:rPr>
          <w:sz w:val="24"/>
        </w:rPr>
        <w:t>and those based on the </w:t>
      </w:r>
      <w:r>
        <w:rPr>
          <w:i/>
          <w:sz w:val="24"/>
        </w:rPr>
        <w:t>AER's </w:t>
      </w:r>
      <w:r>
        <w:rPr>
          <w:sz w:val="24"/>
        </w:rPr>
        <w:t>own estimates or assumptions).</w:t>
      </w:r>
    </w:p>
    <w:p>
      <w:pPr>
        <w:pStyle w:val="ListParagraph"/>
        <w:numPr>
          <w:ilvl w:val="3"/>
          <w:numId w:val="389"/>
        </w:numPr>
        <w:tabs>
          <w:tab w:pos="1919" w:val="left" w:leader="none"/>
        </w:tabs>
        <w:spacing w:line="240" w:lineRule="auto" w:before="120" w:after="0"/>
        <w:ind w:left="1918" w:right="0" w:hanging="567"/>
        <w:jc w:val="both"/>
        <w:rPr>
          <w:sz w:val="24"/>
        </w:rPr>
      </w:pPr>
      <w:r>
        <w:rPr>
          <w:sz w:val="24"/>
        </w:rPr>
        <w:t>A </w:t>
      </w:r>
      <w:r>
        <w:rPr>
          <w:i/>
          <w:sz w:val="24"/>
        </w:rPr>
        <w:t>regulatory control period </w:t>
      </w:r>
      <w:r>
        <w:rPr>
          <w:sz w:val="24"/>
        </w:rPr>
        <w:t>must be not less than 5 </w:t>
      </w:r>
      <w:r>
        <w:rPr>
          <w:i/>
          <w:sz w:val="24"/>
        </w:rPr>
        <w:t>regulatory</w:t>
      </w:r>
      <w:r>
        <w:rPr>
          <w:i/>
          <w:spacing w:val="-9"/>
          <w:sz w:val="24"/>
        </w:rPr>
        <w:t> </w:t>
      </w:r>
      <w:r>
        <w:rPr>
          <w:i/>
          <w:sz w:val="24"/>
        </w:rPr>
        <w:t>years</w:t>
      </w:r>
      <w:r>
        <w:rPr>
          <w:sz w:val="24"/>
        </w:rPr>
        <w:t>.</w:t>
      </w:r>
    </w:p>
    <w:p>
      <w:pPr>
        <w:pStyle w:val="BodyText"/>
        <w:spacing w:before="10"/>
        <w:ind w:firstLine="0"/>
        <w:jc w:val="left"/>
        <w:rPr>
          <w:sz w:val="20"/>
        </w:rPr>
      </w:pPr>
    </w:p>
    <w:p>
      <w:pPr>
        <w:pStyle w:val="Heading3"/>
        <w:numPr>
          <w:ilvl w:val="1"/>
          <w:numId w:val="385"/>
        </w:numPr>
        <w:tabs>
          <w:tab w:pos="1351" w:val="left" w:leader="none"/>
          <w:tab w:pos="1353" w:val="left" w:leader="none"/>
        </w:tabs>
        <w:spacing w:line="240" w:lineRule="auto" w:before="0" w:after="0"/>
        <w:ind w:left="1352" w:right="0" w:hanging="1135"/>
        <w:jc w:val="left"/>
      </w:pPr>
      <w:bookmarkStart w:name="6.4 Post-tax revenue model" w:id="1296"/>
      <w:bookmarkEnd w:id="1296"/>
      <w:r>
        <w:rPr>
          <w:b w:val="0"/>
        </w:rPr>
      </w:r>
      <w:bookmarkStart w:name="_bookmark531" w:id="1297"/>
      <w:bookmarkEnd w:id="1297"/>
      <w:r>
        <w:rPr>
          <w:b w:val="0"/>
        </w:rPr>
      </w:r>
      <w:bookmarkStart w:name="_bookmark531" w:id="1298"/>
      <w:bookmarkEnd w:id="1298"/>
      <w:r>
        <w:rPr/>
        <w:t>P</w:t>
      </w:r>
      <w:r>
        <w:rPr/>
        <w:t>ost-tax revenue</w:t>
      </w:r>
      <w:r>
        <w:rPr>
          <w:spacing w:val="-2"/>
        </w:rPr>
        <w:t> </w:t>
      </w:r>
      <w:r>
        <w:rPr/>
        <w:t>model</w:t>
      </w:r>
    </w:p>
    <w:p>
      <w:pPr>
        <w:pStyle w:val="Heading4"/>
        <w:numPr>
          <w:ilvl w:val="2"/>
          <w:numId w:val="390"/>
        </w:numPr>
        <w:tabs>
          <w:tab w:pos="1351" w:val="left" w:leader="none"/>
          <w:tab w:pos="1352" w:val="left" w:leader="none"/>
        </w:tabs>
        <w:spacing w:line="240" w:lineRule="auto" w:before="240" w:after="0"/>
        <w:ind w:left="1351" w:right="0" w:hanging="1134"/>
        <w:jc w:val="left"/>
      </w:pPr>
      <w:bookmarkStart w:name="6.4.1 Preparation, publication and amend" w:id="1299"/>
      <w:bookmarkEnd w:id="1299"/>
      <w:r>
        <w:rPr>
          <w:b w:val="0"/>
        </w:rPr>
      </w:r>
      <w:bookmarkStart w:name="_bookmark532" w:id="1300"/>
      <w:bookmarkEnd w:id="1300"/>
      <w:r>
        <w:rPr>
          <w:b w:val="0"/>
        </w:rPr>
      </w:r>
      <w:bookmarkStart w:name="_bookmark532" w:id="1301"/>
      <w:bookmarkEnd w:id="1301"/>
      <w:r>
        <w:rPr/>
        <w:t>Preparat</w:t>
      </w:r>
      <w:r>
        <w:rPr/>
        <w:t>ion, publication and amendment of post-tax revenue</w:t>
      </w:r>
      <w:r>
        <w:rPr>
          <w:spacing w:val="-9"/>
        </w:rPr>
        <w:t> </w:t>
      </w:r>
      <w:r>
        <w:rPr/>
        <w:t>model</w:t>
      </w:r>
    </w:p>
    <w:p>
      <w:pPr>
        <w:pStyle w:val="ListParagraph"/>
        <w:numPr>
          <w:ilvl w:val="3"/>
          <w:numId w:val="39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prepare and </w:t>
      </w:r>
      <w:r>
        <w:rPr>
          <w:i/>
          <w:sz w:val="24"/>
        </w:rPr>
        <w:t>publish </w:t>
      </w:r>
      <w:r>
        <w:rPr>
          <w:sz w:val="24"/>
        </w:rPr>
        <w:t>a </w:t>
      </w:r>
      <w:r>
        <w:rPr>
          <w:i/>
          <w:sz w:val="24"/>
        </w:rPr>
        <w:t>post-tax revenue</w:t>
      </w:r>
      <w:r>
        <w:rPr>
          <w:i/>
          <w:spacing w:val="-2"/>
          <w:sz w:val="24"/>
        </w:rPr>
        <w:t> </w:t>
      </w:r>
      <w:r>
        <w:rPr>
          <w:i/>
          <w:sz w:val="24"/>
        </w:rPr>
        <w:t>model</w:t>
      </w:r>
      <w:r>
        <w:rPr>
          <w:sz w:val="24"/>
        </w:rPr>
        <w:t>.</w:t>
      </w:r>
    </w:p>
    <w:p>
      <w:pPr>
        <w:pStyle w:val="ListParagraph"/>
        <w:numPr>
          <w:ilvl w:val="3"/>
          <w:numId w:val="39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from time to time and in accordance with the </w:t>
      </w:r>
      <w:r>
        <w:rPr>
          <w:i/>
          <w:sz w:val="24"/>
        </w:rPr>
        <w:t>distribution </w:t>
      </w:r>
      <w:r>
        <w:rPr>
          <w:i/>
          <w:sz w:val="24"/>
        </w:rPr>
        <w:t>consultation procedures</w:t>
      </w:r>
      <w:r>
        <w:rPr>
          <w:sz w:val="24"/>
        </w:rPr>
        <w:t>, amend or replace the </w:t>
      </w:r>
      <w:r>
        <w:rPr>
          <w:i/>
          <w:sz w:val="24"/>
        </w:rPr>
        <w:t>post-tax revenue</w:t>
      </w:r>
      <w:r>
        <w:rPr>
          <w:i/>
          <w:spacing w:val="-5"/>
          <w:sz w:val="24"/>
        </w:rPr>
        <w:t> </w:t>
      </w:r>
      <w:r>
        <w:rPr>
          <w:i/>
          <w:sz w:val="24"/>
        </w:rPr>
        <w:t>model</w:t>
      </w:r>
      <w:r>
        <w:rPr>
          <w:sz w:val="24"/>
        </w:rPr>
        <w:t>.</w:t>
      </w:r>
    </w:p>
    <w:p>
      <w:pPr>
        <w:pStyle w:val="ListParagraph"/>
        <w:numPr>
          <w:ilvl w:val="3"/>
          <w:numId w:val="39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w:t>
      </w:r>
      <w:r>
        <w:rPr>
          <w:i/>
          <w:sz w:val="24"/>
        </w:rPr>
        <w:t>publish </w:t>
      </w:r>
      <w:r>
        <w:rPr>
          <w:sz w:val="24"/>
        </w:rPr>
        <w:t>the first </w:t>
      </w:r>
      <w:r>
        <w:rPr>
          <w:i/>
          <w:sz w:val="24"/>
        </w:rPr>
        <w:t>post-tax revenue model </w:t>
      </w:r>
      <w:r>
        <w:rPr>
          <w:sz w:val="24"/>
        </w:rPr>
        <w:t>within 6 months after the commencement of this clause and there must be such a model in force at all times after that</w:t>
      </w:r>
      <w:r>
        <w:rPr>
          <w:spacing w:val="-1"/>
          <w:sz w:val="24"/>
        </w:rPr>
        <w:t> </w:t>
      </w:r>
      <w:r>
        <w:rPr>
          <w:sz w:val="24"/>
        </w:rPr>
        <w:t>date.</w:t>
      </w:r>
    </w:p>
    <w:p>
      <w:pPr>
        <w:pStyle w:val="BodyText"/>
        <w:ind w:left="1352" w:firstLine="0"/>
      </w:pPr>
      <w:r>
        <w:rPr/>
        <w:t>(ca) For the application of these </w:t>
      </w:r>
      <w:r>
        <w:rPr>
          <w:i/>
        </w:rPr>
        <w:t>Rules </w:t>
      </w:r>
      <w:r>
        <w:rPr/>
        <w:t>in this jurisdiction:</w:t>
      </w:r>
    </w:p>
    <w:p>
      <w:pPr>
        <w:pStyle w:val="ListParagraph"/>
        <w:numPr>
          <w:ilvl w:val="4"/>
          <w:numId w:val="390"/>
        </w:numPr>
        <w:tabs>
          <w:tab w:pos="2486" w:val="left" w:leader="none"/>
        </w:tabs>
        <w:spacing w:line="240" w:lineRule="auto" w:before="120" w:after="0"/>
        <w:ind w:left="2486" w:right="416" w:hanging="567"/>
        <w:jc w:val="both"/>
        <w:rPr>
          <w:sz w:val="24"/>
        </w:rPr>
      </w:pPr>
      <w:r>
        <w:rPr>
          <w:sz w:val="24"/>
        </w:rPr>
        <w:t>the </w:t>
      </w:r>
      <w:r>
        <w:rPr>
          <w:i/>
          <w:sz w:val="24"/>
        </w:rPr>
        <w:t>post-tax revenue model </w:t>
      </w:r>
      <w:r>
        <w:rPr>
          <w:sz w:val="24"/>
        </w:rPr>
        <w:t>that is in force in the other </w:t>
      </w:r>
      <w:r>
        <w:rPr>
          <w:i/>
          <w:sz w:val="24"/>
        </w:rPr>
        <w:t>participating </w:t>
      </w:r>
      <w:r>
        <w:rPr>
          <w:i/>
          <w:sz w:val="24"/>
        </w:rPr>
        <w:t>jurisdictions </w:t>
      </w:r>
      <w:r>
        <w:rPr>
          <w:sz w:val="24"/>
        </w:rPr>
        <w:t>on 1 July 2016 is</w:t>
      </w:r>
      <w:r>
        <w:rPr>
          <w:spacing w:val="-1"/>
          <w:sz w:val="24"/>
        </w:rPr>
        <w:t> </w:t>
      </w:r>
      <w:r>
        <w:rPr>
          <w:sz w:val="24"/>
        </w:rPr>
        <w:t>taken:</w:t>
      </w:r>
    </w:p>
    <w:p>
      <w:pPr>
        <w:pStyle w:val="ListParagraph"/>
        <w:numPr>
          <w:ilvl w:val="5"/>
          <w:numId w:val="390"/>
        </w:numPr>
        <w:tabs>
          <w:tab w:pos="3053" w:val="left" w:leader="none"/>
        </w:tabs>
        <w:spacing w:line="240" w:lineRule="auto" w:before="120" w:after="0"/>
        <w:ind w:left="3053" w:right="415" w:hanging="567"/>
        <w:jc w:val="both"/>
        <w:rPr>
          <w:sz w:val="24"/>
        </w:rPr>
      </w:pPr>
      <w:r>
        <w:rPr>
          <w:sz w:val="24"/>
        </w:rPr>
        <w:t>to be the </w:t>
      </w:r>
      <w:r>
        <w:rPr>
          <w:i/>
          <w:sz w:val="24"/>
        </w:rPr>
        <w:t>post-tax revenue model </w:t>
      </w:r>
      <w:r>
        <w:rPr>
          <w:sz w:val="24"/>
        </w:rPr>
        <w:t>in force in this jurisdiction (subject to any amendment or replacement under these </w:t>
      </w:r>
      <w:r>
        <w:rPr>
          <w:i/>
          <w:sz w:val="24"/>
        </w:rPr>
        <w:t>Rules</w:t>
      </w:r>
      <w:r>
        <w:rPr>
          <w:sz w:val="24"/>
        </w:rPr>
        <w:t>); and</w:t>
      </w:r>
    </w:p>
    <w:p>
      <w:pPr>
        <w:pStyle w:val="ListParagraph"/>
        <w:numPr>
          <w:ilvl w:val="5"/>
          <w:numId w:val="390"/>
        </w:numPr>
        <w:tabs>
          <w:tab w:pos="3054" w:val="left" w:leader="none"/>
        </w:tabs>
        <w:spacing w:line="240" w:lineRule="auto" w:before="120" w:after="0"/>
        <w:ind w:left="3053" w:right="416" w:hanging="567"/>
        <w:jc w:val="both"/>
        <w:rPr>
          <w:sz w:val="24"/>
        </w:rPr>
      </w:pPr>
      <w:r>
        <w:rPr>
          <w:sz w:val="24"/>
        </w:rPr>
        <w:t>to have been prepared and </w:t>
      </w:r>
      <w:r>
        <w:rPr>
          <w:i/>
          <w:sz w:val="24"/>
        </w:rPr>
        <w:t>published </w:t>
      </w:r>
      <w:r>
        <w:rPr>
          <w:sz w:val="24"/>
        </w:rPr>
        <w:t>by the </w:t>
      </w:r>
      <w:r>
        <w:rPr>
          <w:i/>
          <w:sz w:val="24"/>
        </w:rPr>
        <w:t>AER </w:t>
      </w:r>
      <w:r>
        <w:rPr>
          <w:sz w:val="24"/>
        </w:rPr>
        <w:t>on 1 July 2016; and</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(a) and (c) in preparing and </w:t>
      </w:r>
      <w:r>
        <w:rPr>
          <w:i/>
          <w:sz w:val="24"/>
        </w:rPr>
        <w:t>publishing </w:t>
      </w:r>
      <w:r>
        <w:rPr>
          <w:sz w:val="24"/>
        </w:rPr>
        <w:t>the </w:t>
      </w:r>
      <w:r>
        <w:rPr>
          <w:i/>
          <w:sz w:val="24"/>
        </w:rPr>
        <w:t>post-tax </w:t>
      </w:r>
      <w:r>
        <w:rPr>
          <w:i/>
          <w:sz w:val="24"/>
        </w:rPr>
        <w:t>revenue</w:t>
      </w:r>
      <w:r>
        <w:rPr>
          <w:i/>
          <w:spacing w:val="-2"/>
          <w:sz w:val="24"/>
        </w:rPr>
        <w:t> </w:t>
      </w:r>
      <w:r>
        <w:rPr>
          <w:i/>
          <w:sz w:val="24"/>
        </w:rPr>
        <w:t>model</w:t>
      </w:r>
      <w:r>
        <w:rPr>
          <w:sz w:val="24"/>
        </w:rPr>
        <w:t>.</w:t>
      </w:r>
    </w:p>
    <w:p>
      <w:pPr>
        <w:pStyle w:val="BodyText"/>
        <w:spacing w:before="10"/>
        <w:ind w:firstLine="0"/>
        <w:jc w:val="left"/>
        <w:rPr>
          <w:sz w:val="20"/>
        </w:rPr>
      </w:pPr>
    </w:p>
    <w:p>
      <w:pPr>
        <w:pStyle w:val="Heading4"/>
        <w:numPr>
          <w:ilvl w:val="2"/>
          <w:numId w:val="390"/>
        </w:numPr>
        <w:tabs>
          <w:tab w:pos="1351" w:val="left" w:leader="none"/>
          <w:tab w:pos="1352" w:val="left" w:leader="none"/>
        </w:tabs>
        <w:spacing w:line="240" w:lineRule="auto" w:before="0" w:after="0"/>
        <w:ind w:left="1351" w:right="0" w:hanging="1134"/>
        <w:jc w:val="left"/>
      </w:pPr>
      <w:bookmarkStart w:name="6.4.2 Contents of post-tax revenue model" w:id="1302"/>
      <w:bookmarkEnd w:id="1302"/>
      <w:r>
        <w:rPr>
          <w:b w:val="0"/>
        </w:rPr>
      </w:r>
      <w:bookmarkStart w:name="_bookmark533" w:id="1303"/>
      <w:bookmarkEnd w:id="1303"/>
      <w:r>
        <w:rPr>
          <w:b w:val="0"/>
        </w:rPr>
      </w:r>
      <w:bookmarkStart w:name="_bookmark533" w:id="1304"/>
      <w:bookmarkEnd w:id="1304"/>
      <w:r>
        <w:rPr/>
        <w:t>Content</w:t>
      </w:r>
      <w:r>
        <w:rPr/>
        <w:t>s of post-tax revenue</w:t>
      </w:r>
      <w:r>
        <w:rPr>
          <w:spacing w:val="-5"/>
        </w:rPr>
        <w:t> </w:t>
      </w:r>
      <w:r>
        <w:rPr/>
        <w:t>model</w:t>
      </w:r>
    </w:p>
    <w:p>
      <w:pPr>
        <w:pStyle w:val="ListParagraph"/>
        <w:numPr>
          <w:ilvl w:val="3"/>
          <w:numId w:val="390"/>
        </w:numPr>
        <w:tabs>
          <w:tab w:pos="1919" w:val="left" w:leader="none"/>
        </w:tabs>
        <w:spacing w:line="240" w:lineRule="auto" w:before="120" w:after="0"/>
        <w:ind w:left="1919" w:right="416" w:hanging="567"/>
        <w:jc w:val="both"/>
        <w:rPr>
          <w:sz w:val="24"/>
        </w:rPr>
      </w:pPr>
      <w:r>
        <w:rPr>
          <w:sz w:val="24"/>
        </w:rPr>
        <w:t>The </w:t>
      </w:r>
      <w:r>
        <w:rPr>
          <w:i/>
          <w:sz w:val="24"/>
        </w:rPr>
        <w:t>post-tax revenue model </w:t>
      </w:r>
      <w:r>
        <w:rPr>
          <w:sz w:val="24"/>
        </w:rPr>
        <w:t>must set out the manner in which the </w:t>
      </w:r>
      <w:r>
        <w:rPr>
          <w:i/>
          <w:sz w:val="24"/>
        </w:rPr>
        <w:t>Distribution Network Service Provider's annual revenue requirement </w:t>
      </w:r>
      <w:r>
        <w:rPr>
          <w:sz w:val="24"/>
        </w:rPr>
        <w:t>for each </w:t>
      </w:r>
      <w:r>
        <w:rPr>
          <w:i/>
          <w:sz w:val="24"/>
        </w:rPr>
        <w:t>regulatory year </w:t>
      </w:r>
      <w:r>
        <w:rPr>
          <w:sz w:val="24"/>
        </w:rPr>
        <w:t>of a </w:t>
      </w:r>
      <w:r>
        <w:rPr>
          <w:i/>
          <w:sz w:val="24"/>
        </w:rPr>
        <w:t>regulatory control period </w:t>
      </w:r>
      <w:r>
        <w:rPr>
          <w:sz w:val="24"/>
        </w:rPr>
        <w:t>is to be</w:t>
      </w:r>
      <w:r>
        <w:rPr>
          <w:spacing w:val="-10"/>
          <w:sz w:val="24"/>
        </w:rPr>
        <w:t> </w:t>
      </w:r>
      <w:r>
        <w:rPr>
          <w:sz w:val="24"/>
        </w:rPr>
        <w:t>calculated.</w:t>
      </w:r>
    </w:p>
    <w:p>
      <w:pPr>
        <w:pStyle w:val="ListParagraph"/>
        <w:numPr>
          <w:ilvl w:val="3"/>
          <w:numId w:val="390"/>
        </w:numPr>
        <w:tabs>
          <w:tab w:pos="1919" w:val="left" w:leader="none"/>
        </w:tabs>
        <w:spacing w:line="240" w:lineRule="auto" w:before="120" w:after="0"/>
        <w:ind w:left="1919" w:right="415" w:hanging="567"/>
        <w:jc w:val="both"/>
        <w:rPr>
          <w:sz w:val="24"/>
        </w:rPr>
      </w:pPr>
      <w:r>
        <w:rPr>
          <w:sz w:val="24"/>
        </w:rPr>
        <w:t>The contents of the </w:t>
      </w:r>
      <w:r>
        <w:rPr>
          <w:i/>
          <w:sz w:val="24"/>
        </w:rPr>
        <w:t>post-tax revenue model </w:t>
      </w:r>
      <w:r>
        <w:rPr>
          <w:sz w:val="24"/>
        </w:rPr>
        <w:t>must include (but are not limited to):</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a method that the </w:t>
      </w:r>
      <w:r>
        <w:rPr>
          <w:i/>
          <w:sz w:val="24"/>
        </w:rPr>
        <w:t>AER </w:t>
      </w:r>
      <w:r>
        <w:rPr>
          <w:sz w:val="24"/>
        </w:rPr>
        <w:t>determines is likely to result in the </w:t>
      </w:r>
      <w:r>
        <w:rPr>
          <w:spacing w:val="-3"/>
          <w:sz w:val="24"/>
        </w:rPr>
        <w:t>best </w:t>
      </w:r>
      <w:r>
        <w:rPr>
          <w:sz w:val="24"/>
        </w:rPr>
        <w:t>estimates of expected inflation;</w:t>
      </w:r>
      <w:r>
        <w:rPr>
          <w:spacing w:val="-2"/>
          <w:sz w:val="24"/>
        </w:rPr>
        <w:t> </w:t>
      </w:r>
      <w:r>
        <w:rPr>
          <w:sz w:val="24"/>
        </w:rPr>
        <w:t>and</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timing assumptions and associated discount rates that are to apply in relation to the calculation of the building blocks referred to</w:t>
      </w:r>
      <w:r>
        <w:rPr>
          <w:spacing w:val="31"/>
          <w:sz w:val="24"/>
        </w:rPr>
        <w:t> </w:t>
      </w:r>
      <w:r>
        <w:rPr>
          <w:sz w:val="24"/>
        </w:rPr>
        <w:t>in clause 6.4.3;</w:t>
      </w:r>
      <w:r>
        <w:rPr>
          <w:spacing w:val="-1"/>
          <w:sz w:val="24"/>
        </w:rPr>
        <w:t> </w:t>
      </w:r>
      <w:r>
        <w:rPr>
          <w:sz w:val="24"/>
        </w:rPr>
        <w:t>and</w:t>
      </w:r>
    </w:p>
    <w:p>
      <w:pPr>
        <w:pStyle w:val="ListParagraph"/>
        <w:numPr>
          <w:ilvl w:val="4"/>
          <w:numId w:val="390"/>
        </w:numPr>
        <w:tabs>
          <w:tab w:pos="2486" w:val="left" w:leader="none"/>
        </w:tabs>
        <w:spacing w:line="240" w:lineRule="auto" w:before="120" w:after="0"/>
        <w:ind w:left="2485" w:right="0" w:hanging="567"/>
        <w:jc w:val="both"/>
        <w:rPr>
          <w:sz w:val="24"/>
        </w:rPr>
      </w:pPr>
      <w:r>
        <w:rPr>
          <w:sz w:val="24"/>
        </w:rPr>
        <w:t>the manner in which working capital is to be treated;</w:t>
      </w:r>
      <w:r>
        <w:rPr>
          <w:spacing w:val="-3"/>
          <w:sz w:val="24"/>
        </w:rPr>
        <w:t> </w:t>
      </w:r>
      <w:r>
        <w:rPr>
          <w:sz w:val="24"/>
        </w:rPr>
        <w:t>and</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manner in which the estimated cost of corporate income tax is to be</w:t>
      </w:r>
      <w:r>
        <w:rPr>
          <w:spacing w:val="-1"/>
          <w:sz w:val="24"/>
        </w:rPr>
        <w:t> </w:t>
      </w:r>
      <w:r>
        <w:rPr>
          <w:sz w:val="24"/>
        </w:rPr>
        <w:t>calculated.</w:t>
      </w:r>
    </w:p>
    <w:p>
      <w:pPr>
        <w:spacing w:after="0" w:line="240" w:lineRule="auto"/>
        <w:jc w:val="both"/>
        <w:rPr>
          <w:sz w:val="24"/>
        </w:rPr>
        <w:sectPr>
          <w:pgSz w:w="11910" w:h="16840"/>
          <w:pgMar w:header="686" w:footer="637" w:top="1320" w:bottom="820" w:left="1200" w:right="1000"/>
        </w:sectPr>
      </w:pPr>
    </w:p>
    <w:p>
      <w:pPr>
        <w:pStyle w:val="Heading4"/>
        <w:numPr>
          <w:ilvl w:val="2"/>
          <w:numId w:val="390"/>
        </w:numPr>
        <w:tabs>
          <w:tab w:pos="1351" w:val="left" w:leader="none"/>
          <w:tab w:pos="1352" w:val="left" w:leader="none"/>
        </w:tabs>
        <w:spacing w:line="240" w:lineRule="auto" w:before="83" w:after="0"/>
        <w:ind w:left="1351" w:right="0" w:hanging="1134"/>
        <w:jc w:val="left"/>
      </w:pPr>
      <w:bookmarkStart w:name="6.4.3 Building block approach" w:id="1305"/>
      <w:bookmarkEnd w:id="1305"/>
      <w:r>
        <w:rPr>
          <w:b w:val="0"/>
        </w:rPr>
      </w:r>
      <w:bookmarkStart w:name="_bookmark534" w:id="1306"/>
      <w:bookmarkEnd w:id="1306"/>
      <w:r>
        <w:rPr>
          <w:b w:val="0"/>
        </w:rPr>
      </w:r>
      <w:bookmarkStart w:name="_bookmark534" w:id="1307"/>
      <w:bookmarkEnd w:id="1307"/>
      <w:r>
        <w:rPr/>
        <w:t>Buildi</w:t>
      </w:r>
      <w:r>
        <w:rPr/>
        <w:t>ng block</w:t>
      </w:r>
      <w:r>
        <w:rPr>
          <w:spacing w:val="-1"/>
        </w:rPr>
        <w:t> </w:t>
      </w:r>
      <w:r>
        <w:rPr/>
        <w:t>approach</w:t>
      </w:r>
    </w:p>
    <w:p>
      <w:pPr>
        <w:pStyle w:val="ListParagraph"/>
        <w:numPr>
          <w:ilvl w:val="3"/>
          <w:numId w:val="390"/>
        </w:numPr>
        <w:tabs>
          <w:tab w:pos="1919" w:val="left" w:leader="none"/>
        </w:tabs>
        <w:spacing w:line="240" w:lineRule="auto" w:before="120" w:after="0"/>
        <w:ind w:left="1918" w:right="0" w:hanging="567"/>
        <w:jc w:val="both"/>
        <w:rPr>
          <w:b/>
          <w:sz w:val="24"/>
        </w:rPr>
      </w:pPr>
      <w:r>
        <w:rPr>
          <w:b/>
          <w:sz w:val="24"/>
        </w:rPr>
        <w:t>Building blocks</w:t>
      </w:r>
      <w:r>
        <w:rPr>
          <w:b/>
          <w:spacing w:val="-1"/>
          <w:sz w:val="24"/>
        </w:rPr>
        <w:t> </w:t>
      </w:r>
      <w:r>
        <w:rPr>
          <w:b/>
          <w:sz w:val="24"/>
        </w:rPr>
        <w:t>generally</w:t>
      </w:r>
    </w:p>
    <w:p>
      <w:pPr>
        <w:spacing w:before="120"/>
        <w:ind w:left="1919" w:right="415" w:firstLine="0"/>
        <w:jc w:val="both"/>
        <w:rPr>
          <w:sz w:val="24"/>
        </w:rPr>
      </w:pPr>
      <w:r>
        <w:rPr>
          <w:sz w:val="24"/>
        </w:rPr>
        <w:t>The </w:t>
      </w:r>
      <w:r>
        <w:rPr>
          <w:i/>
          <w:sz w:val="24"/>
        </w:rPr>
        <w:t>annual revenue requirement </w:t>
      </w:r>
      <w:r>
        <w:rPr>
          <w:sz w:val="24"/>
        </w:rPr>
        <w:t>for a </w:t>
      </w:r>
      <w:r>
        <w:rPr>
          <w:i/>
          <w:sz w:val="24"/>
        </w:rPr>
        <w:t>Distribution Network Service </w:t>
      </w:r>
      <w:r>
        <w:rPr>
          <w:i/>
          <w:sz w:val="24"/>
        </w:rPr>
        <w:t>Provider </w:t>
      </w:r>
      <w:r>
        <w:rPr>
          <w:sz w:val="24"/>
        </w:rPr>
        <w:t>for each </w:t>
      </w:r>
      <w:r>
        <w:rPr>
          <w:i/>
          <w:sz w:val="24"/>
        </w:rPr>
        <w:t>regulatory year </w:t>
      </w:r>
      <w:r>
        <w:rPr>
          <w:sz w:val="24"/>
        </w:rPr>
        <w:t>of a </w:t>
      </w:r>
      <w:r>
        <w:rPr>
          <w:i/>
          <w:sz w:val="24"/>
        </w:rPr>
        <w:t>regulatory control period </w:t>
      </w:r>
      <w:r>
        <w:rPr>
          <w:sz w:val="24"/>
        </w:rPr>
        <w:t>must be determined using a building block approach, under which the building blocks are:</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sz w:val="24"/>
        </w:rPr>
        <w:t>indexation of the regulatory asset base – see paragraph</w:t>
      </w:r>
      <w:r>
        <w:rPr>
          <w:spacing w:val="-4"/>
          <w:sz w:val="24"/>
        </w:rPr>
        <w:t> </w:t>
      </w:r>
      <w:r>
        <w:rPr>
          <w:sz w:val="24"/>
        </w:rPr>
        <w:t>(b)(1);</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sz w:val="24"/>
        </w:rPr>
        <w:t>a return on capital for that year – see paragraph</w:t>
      </w:r>
      <w:r>
        <w:rPr>
          <w:spacing w:val="-5"/>
          <w:sz w:val="24"/>
        </w:rPr>
        <w:t> </w:t>
      </w:r>
      <w:r>
        <w:rPr>
          <w:sz w:val="24"/>
        </w:rPr>
        <w:t>(b)(2);</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sz w:val="24"/>
        </w:rPr>
        <w:t>the depreciation for that year – see paragraph</w:t>
      </w:r>
      <w:r>
        <w:rPr>
          <w:spacing w:val="-5"/>
          <w:sz w:val="24"/>
        </w:rPr>
        <w:t> </w:t>
      </w:r>
      <w:r>
        <w:rPr>
          <w:sz w:val="24"/>
        </w:rPr>
        <w:t>(b)(3);</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estimated cost of corporate income tax of the </w:t>
      </w:r>
      <w:r>
        <w:rPr>
          <w:i/>
          <w:sz w:val="24"/>
        </w:rPr>
        <w:t>Distribution Network </w:t>
      </w:r>
      <w:r>
        <w:rPr>
          <w:i/>
          <w:sz w:val="24"/>
        </w:rPr>
        <w:t>Service Provider </w:t>
      </w:r>
      <w:r>
        <w:rPr>
          <w:sz w:val="24"/>
        </w:rPr>
        <w:t>for that year – see paragraph</w:t>
      </w:r>
      <w:r>
        <w:rPr>
          <w:spacing w:val="-3"/>
          <w:sz w:val="24"/>
        </w:rPr>
        <w:t> </w:t>
      </w:r>
      <w:r>
        <w:rPr>
          <w:sz w:val="24"/>
        </w:rPr>
        <w:t>(b)(4);</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revenue increments or decrements (if any) for that year arising from the application of any </w:t>
      </w:r>
      <w:r>
        <w:rPr>
          <w:i/>
          <w:sz w:val="24"/>
        </w:rPr>
        <w:t>efficiency benefit sharing scheme</w:t>
      </w:r>
      <w:r>
        <w:rPr>
          <w:sz w:val="24"/>
        </w:rPr>
        <w:t>, </w:t>
      </w:r>
      <w:r>
        <w:rPr>
          <w:i/>
          <w:sz w:val="24"/>
        </w:rPr>
        <w:t>capital </w:t>
      </w:r>
      <w:r>
        <w:rPr>
          <w:i/>
          <w:sz w:val="24"/>
        </w:rPr>
        <w:t>expenditure sharing scheme</w:t>
      </w:r>
      <w:r>
        <w:rPr>
          <w:sz w:val="24"/>
        </w:rPr>
        <w:t>, </w:t>
      </w:r>
      <w:r>
        <w:rPr>
          <w:i/>
          <w:sz w:val="24"/>
        </w:rPr>
        <w:t>service target performance incentive </w:t>
      </w:r>
      <w:r>
        <w:rPr>
          <w:i/>
          <w:sz w:val="24"/>
        </w:rPr>
        <w:t>scheme</w:t>
      </w:r>
      <w:r>
        <w:rPr>
          <w:sz w:val="24"/>
        </w:rPr>
        <w:t>, </w:t>
      </w:r>
      <w:r>
        <w:rPr>
          <w:i/>
          <w:sz w:val="24"/>
        </w:rPr>
        <w:t>demand management incentive scheme</w:t>
      </w:r>
      <w:r>
        <w:rPr>
          <w:sz w:val="24"/>
        </w:rPr>
        <w:t>, </w:t>
      </w:r>
      <w:r>
        <w:rPr>
          <w:i/>
          <w:sz w:val="24"/>
        </w:rPr>
        <w:t>demand management </w:t>
      </w:r>
      <w:r>
        <w:rPr>
          <w:i/>
          <w:sz w:val="24"/>
        </w:rPr>
        <w:t>innovation allowance mechanism </w:t>
      </w:r>
      <w:r>
        <w:rPr>
          <w:sz w:val="24"/>
        </w:rPr>
        <w:t>or </w:t>
      </w:r>
      <w:r>
        <w:rPr>
          <w:i/>
          <w:sz w:val="24"/>
        </w:rPr>
        <w:t>small-scale incentive scheme </w:t>
      </w:r>
      <w:r>
        <w:rPr>
          <w:sz w:val="24"/>
        </w:rPr>
        <w:t>– see subparagraph</w:t>
      </w:r>
      <w:r>
        <w:rPr>
          <w:spacing w:val="-3"/>
          <w:sz w:val="24"/>
        </w:rPr>
        <w:t> </w:t>
      </w:r>
      <w:r>
        <w:rPr>
          <w:sz w:val="24"/>
        </w:rPr>
        <w:t>(b)(5);</w:t>
      </w:r>
    </w:p>
    <w:p>
      <w:pPr>
        <w:spacing w:before="120"/>
        <w:ind w:left="2486" w:right="415" w:hanging="567"/>
        <w:jc w:val="both"/>
        <w:rPr>
          <w:sz w:val="24"/>
        </w:rPr>
      </w:pPr>
      <w:r>
        <w:rPr>
          <w:sz w:val="24"/>
        </w:rPr>
        <w:t>(5A) for a distribution determination for a </w:t>
      </w:r>
      <w:r>
        <w:rPr>
          <w:i/>
          <w:sz w:val="24"/>
        </w:rPr>
        <w:t>Distribution Network Service </w:t>
      </w:r>
      <w:r>
        <w:rPr>
          <w:i/>
          <w:sz w:val="24"/>
        </w:rPr>
        <w:t>Provider </w:t>
      </w:r>
      <w:r>
        <w:rPr>
          <w:sz w:val="24"/>
        </w:rPr>
        <w:t>in this jurisdiction that will apply during the </w:t>
      </w:r>
      <w:r>
        <w:rPr>
          <w:i/>
          <w:sz w:val="24"/>
        </w:rPr>
        <w:t>1st regulatory </w:t>
      </w:r>
      <w:r>
        <w:rPr>
          <w:i/>
          <w:sz w:val="24"/>
        </w:rPr>
        <w:t>control period </w:t>
      </w:r>
      <w:r>
        <w:rPr>
          <w:sz w:val="24"/>
        </w:rPr>
        <w:t>– the other revenue increments or decrements (if any) for that year arising from the application during the </w:t>
      </w:r>
      <w:r>
        <w:rPr>
          <w:i/>
          <w:sz w:val="24"/>
        </w:rPr>
        <w:t>2014-19 NT </w:t>
      </w:r>
      <w:r>
        <w:rPr>
          <w:i/>
          <w:sz w:val="24"/>
        </w:rPr>
        <w:t>regulatory control period </w:t>
      </w:r>
      <w:r>
        <w:rPr>
          <w:sz w:val="24"/>
        </w:rPr>
        <w:t>of the control mechanism in the </w:t>
      </w:r>
      <w:r>
        <w:rPr>
          <w:i/>
          <w:sz w:val="24"/>
        </w:rPr>
        <w:t>2014 NT </w:t>
      </w:r>
      <w:r>
        <w:rPr>
          <w:i/>
          <w:sz w:val="24"/>
        </w:rPr>
        <w:t>Network Price Determination</w:t>
      </w:r>
      <w:r>
        <w:rPr>
          <w:sz w:val="24"/>
        </w:rPr>
        <w:t>, as modified by the </w:t>
      </w:r>
      <w:r>
        <w:rPr>
          <w:i/>
          <w:sz w:val="24"/>
        </w:rPr>
        <w:t>2014 NT Ministerial </w:t>
      </w:r>
      <w:r>
        <w:rPr>
          <w:i/>
          <w:sz w:val="24"/>
        </w:rPr>
        <w:t>Direction </w:t>
      </w:r>
      <w:r>
        <w:rPr>
          <w:sz w:val="24"/>
        </w:rPr>
        <w:t>– see paragraph (b)(5A); and</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for a distribution determination for a </w:t>
      </w:r>
      <w:r>
        <w:rPr>
          <w:i/>
          <w:sz w:val="24"/>
        </w:rPr>
        <w:t>Distribution Network Service </w:t>
      </w:r>
      <w:r>
        <w:rPr>
          <w:i/>
          <w:sz w:val="24"/>
        </w:rPr>
        <w:t>Provider </w:t>
      </w:r>
      <w:r>
        <w:rPr>
          <w:sz w:val="24"/>
        </w:rPr>
        <w:t>in this jurisdiction that will apply after the </w:t>
      </w:r>
      <w:r>
        <w:rPr>
          <w:i/>
          <w:sz w:val="24"/>
        </w:rPr>
        <w:t>1st regulatory </w:t>
      </w:r>
      <w:r>
        <w:rPr>
          <w:i/>
          <w:sz w:val="24"/>
        </w:rPr>
        <w:t>control period </w:t>
      </w:r>
      <w:r>
        <w:rPr>
          <w:sz w:val="24"/>
        </w:rPr>
        <w:t>– the other revenue increments or decrements (if any) for that year arising from the application of a control mechanism in the previous </w:t>
      </w:r>
      <w:r>
        <w:rPr>
          <w:i/>
          <w:sz w:val="24"/>
        </w:rPr>
        <w:t>regulatory control period </w:t>
      </w:r>
      <w:r>
        <w:rPr>
          <w:sz w:val="24"/>
        </w:rPr>
        <w:t>– see paragraph</w:t>
      </w:r>
      <w:r>
        <w:rPr>
          <w:spacing w:val="-5"/>
          <w:sz w:val="24"/>
        </w:rPr>
        <w:t> </w:t>
      </w:r>
      <w:r>
        <w:rPr>
          <w:sz w:val="24"/>
        </w:rPr>
        <w:t>(b)(6);</w:t>
      </w:r>
    </w:p>
    <w:p>
      <w:pPr>
        <w:pStyle w:val="BodyText"/>
        <w:ind w:left="2486" w:right="415"/>
      </w:pPr>
      <w:r>
        <w:rPr/>
        <w:t>(6A) the revenue decrements (if any) for that year arising from the use of assets that provide </w:t>
      </w:r>
      <w:r>
        <w:rPr>
          <w:i/>
        </w:rPr>
        <w:t>standard control services </w:t>
      </w:r>
      <w:r>
        <w:rPr/>
        <w:t>to provide certain other services – see subparagraph (b)(6A); and</w:t>
      </w:r>
    </w:p>
    <w:p>
      <w:pPr>
        <w:pStyle w:val="ListParagraph"/>
        <w:numPr>
          <w:ilvl w:val="4"/>
          <w:numId w:val="390"/>
        </w:numPr>
        <w:tabs>
          <w:tab w:pos="2486" w:val="left" w:leader="none"/>
        </w:tabs>
        <w:spacing w:line="240" w:lineRule="auto" w:before="120" w:after="0"/>
        <w:ind w:left="2485" w:right="0" w:hanging="567"/>
        <w:jc w:val="both"/>
        <w:rPr>
          <w:sz w:val="24"/>
        </w:rPr>
      </w:pPr>
      <w:r>
        <w:rPr>
          <w:sz w:val="24"/>
        </w:rPr>
        <w:t>the forecast operating expenditure for that year – see paragraph</w:t>
      </w:r>
      <w:r>
        <w:rPr>
          <w:spacing w:val="-4"/>
          <w:sz w:val="24"/>
        </w:rPr>
        <w:t> </w:t>
      </w:r>
      <w:r>
        <w:rPr>
          <w:sz w:val="24"/>
        </w:rPr>
        <w:t>(b)(7).</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The modifications to this paragraph expires on 1 July 2024.</w:t>
      </w:r>
    </w:p>
    <w:p>
      <w:pPr>
        <w:pStyle w:val="Heading4"/>
        <w:numPr>
          <w:ilvl w:val="3"/>
          <w:numId w:val="390"/>
        </w:numPr>
        <w:tabs>
          <w:tab w:pos="1918" w:val="left" w:leader="none"/>
          <w:tab w:pos="1919" w:val="left" w:leader="none"/>
        </w:tabs>
        <w:spacing w:line="240" w:lineRule="auto" w:before="120" w:after="0"/>
        <w:ind w:left="1918" w:right="0" w:hanging="567"/>
        <w:jc w:val="left"/>
        <w:rPr>
          <w:rFonts w:ascii="Times New Roman"/>
        </w:rPr>
      </w:pPr>
      <w:r>
        <w:rPr>
          <w:rFonts w:ascii="Times New Roman"/>
        </w:rPr>
        <w:t>Details of the building</w:t>
      </w:r>
      <w:r>
        <w:rPr>
          <w:rFonts w:ascii="Times New Roman"/>
          <w:spacing w:val="-1"/>
        </w:rPr>
        <w:t> </w:t>
      </w:r>
      <w:r>
        <w:rPr>
          <w:rFonts w:ascii="Times New Roman"/>
        </w:rPr>
        <w:t>blocks</w:t>
      </w:r>
    </w:p>
    <w:p>
      <w:pPr>
        <w:pStyle w:val="BodyText"/>
        <w:ind w:left="1919" w:firstLine="0"/>
        <w:jc w:val="left"/>
      </w:pPr>
      <w:r>
        <w:rPr/>
        <w:t>For the purposes of paragraph (a):</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sz w:val="24"/>
        </w:rPr>
        <w:t>for indexation of the regulatory asset</w:t>
      </w:r>
      <w:r>
        <w:rPr>
          <w:spacing w:val="-2"/>
          <w:sz w:val="24"/>
        </w:rPr>
        <w:t> </w:t>
      </w:r>
      <w:r>
        <w:rPr>
          <w:sz w:val="24"/>
        </w:rPr>
        <w:t>base:</w:t>
      </w:r>
    </w:p>
    <w:p>
      <w:pPr>
        <w:pStyle w:val="ListParagraph"/>
        <w:numPr>
          <w:ilvl w:val="5"/>
          <w:numId w:val="390"/>
        </w:numPr>
        <w:tabs>
          <w:tab w:pos="3052" w:val="left" w:leader="none"/>
          <w:tab w:pos="3053" w:val="left" w:leader="none"/>
        </w:tabs>
        <w:spacing w:line="240" w:lineRule="auto" w:before="120" w:after="0"/>
        <w:ind w:left="3052" w:right="0" w:hanging="567"/>
        <w:jc w:val="left"/>
        <w:rPr>
          <w:sz w:val="24"/>
        </w:rPr>
      </w:pPr>
      <w:r>
        <w:rPr>
          <w:sz w:val="24"/>
        </w:rPr>
        <w:t>the</w:t>
      </w:r>
      <w:r>
        <w:rPr>
          <w:spacing w:val="10"/>
          <w:sz w:val="24"/>
        </w:rPr>
        <w:t> </w:t>
      </w:r>
      <w:r>
        <w:rPr>
          <w:sz w:val="24"/>
        </w:rPr>
        <w:t>regulatory</w:t>
      </w:r>
      <w:r>
        <w:rPr>
          <w:spacing w:val="11"/>
          <w:sz w:val="24"/>
        </w:rPr>
        <w:t> </w:t>
      </w:r>
      <w:r>
        <w:rPr>
          <w:sz w:val="24"/>
        </w:rPr>
        <w:t>asset</w:t>
      </w:r>
      <w:r>
        <w:rPr>
          <w:spacing w:val="9"/>
          <w:sz w:val="24"/>
        </w:rPr>
        <w:t> </w:t>
      </w:r>
      <w:r>
        <w:rPr>
          <w:sz w:val="24"/>
        </w:rPr>
        <w:t>base</w:t>
      </w:r>
      <w:r>
        <w:rPr>
          <w:spacing w:val="11"/>
          <w:sz w:val="24"/>
        </w:rPr>
        <w:t> </w:t>
      </w:r>
      <w:r>
        <w:rPr>
          <w:sz w:val="24"/>
        </w:rPr>
        <w:t>is</w:t>
      </w:r>
      <w:r>
        <w:rPr>
          <w:spacing w:val="10"/>
          <w:sz w:val="24"/>
        </w:rPr>
        <w:t> </w:t>
      </w:r>
      <w:r>
        <w:rPr>
          <w:sz w:val="24"/>
        </w:rPr>
        <w:t>calculated</w:t>
      </w:r>
      <w:r>
        <w:rPr>
          <w:spacing w:val="11"/>
          <w:sz w:val="24"/>
        </w:rPr>
        <w:t> </w:t>
      </w:r>
      <w:r>
        <w:rPr>
          <w:sz w:val="24"/>
        </w:rPr>
        <w:t>in</w:t>
      </w:r>
      <w:r>
        <w:rPr>
          <w:spacing w:val="9"/>
          <w:sz w:val="24"/>
        </w:rPr>
        <w:t> </w:t>
      </w:r>
      <w:r>
        <w:rPr>
          <w:sz w:val="24"/>
        </w:rPr>
        <w:t>accordance</w:t>
      </w:r>
      <w:r>
        <w:rPr>
          <w:spacing w:val="10"/>
          <w:sz w:val="24"/>
        </w:rPr>
        <w:t> </w:t>
      </w:r>
      <w:r>
        <w:rPr>
          <w:sz w:val="24"/>
        </w:rPr>
        <w:t>with</w:t>
      </w:r>
      <w:r>
        <w:rPr>
          <w:spacing w:val="9"/>
          <w:sz w:val="24"/>
        </w:rPr>
        <w:t> </w:t>
      </w:r>
      <w:r>
        <w:rPr>
          <w:sz w:val="24"/>
        </w:rPr>
        <w:t>clause</w:t>
      </w:r>
    </w:p>
    <w:p>
      <w:pPr>
        <w:pStyle w:val="BodyText"/>
        <w:spacing w:before="0"/>
        <w:ind w:left="3053" w:firstLine="0"/>
        <w:jc w:val="left"/>
      </w:pPr>
      <w:r>
        <w:rPr/>
        <w:t>6.5.1 and schedule 6.2; and</w:t>
      </w:r>
    </w:p>
    <w:p>
      <w:pPr>
        <w:pStyle w:val="ListParagraph"/>
        <w:numPr>
          <w:ilvl w:val="5"/>
          <w:numId w:val="390"/>
        </w:numPr>
        <w:tabs>
          <w:tab w:pos="3052" w:val="left" w:leader="none"/>
          <w:tab w:pos="3054" w:val="left" w:leader="none"/>
        </w:tabs>
        <w:spacing w:line="240" w:lineRule="auto" w:before="120" w:after="0"/>
        <w:ind w:left="3053" w:right="415" w:hanging="567"/>
        <w:jc w:val="left"/>
        <w:rPr>
          <w:sz w:val="24"/>
        </w:rPr>
      </w:pPr>
      <w:r>
        <w:rPr>
          <w:sz w:val="24"/>
        </w:rPr>
        <w:t>the building block comprises a negative adjustment equal to the amount referred to in clause S6.2.3(c)(4) for that year;</w:t>
      </w:r>
      <w:r>
        <w:rPr>
          <w:spacing w:val="-8"/>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4"/>
          <w:numId w:val="390"/>
        </w:numPr>
        <w:tabs>
          <w:tab w:pos="2486" w:val="left" w:leader="none"/>
        </w:tabs>
        <w:spacing w:line="240" w:lineRule="auto" w:before="83" w:after="0"/>
        <w:ind w:left="2485" w:right="0" w:hanging="567"/>
        <w:jc w:val="both"/>
        <w:rPr>
          <w:sz w:val="24"/>
        </w:rPr>
      </w:pPr>
      <w:r>
        <w:rPr>
          <w:sz w:val="24"/>
        </w:rPr>
        <w:t>the return on capital is calculated in accordance with clause</w:t>
      </w:r>
      <w:r>
        <w:rPr>
          <w:spacing w:val="-3"/>
          <w:sz w:val="24"/>
        </w:rPr>
        <w:t> </w:t>
      </w:r>
      <w:r>
        <w:rPr>
          <w:sz w:val="24"/>
        </w:rPr>
        <w:t>6.5.2;</w:t>
      </w:r>
    </w:p>
    <w:p>
      <w:pPr>
        <w:pStyle w:val="ListParagraph"/>
        <w:numPr>
          <w:ilvl w:val="4"/>
          <w:numId w:val="390"/>
        </w:numPr>
        <w:tabs>
          <w:tab w:pos="2486" w:val="left" w:leader="none"/>
        </w:tabs>
        <w:spacing w:line="240" w:lineRule="auto" w:before="120" w:after="0"/>
        <w:ind w:left="2485" w:right="0" w:hanging="567"/>
        <w:jc w:val="both"/>
        <w:rPr>
          <w:sz w:val="24"/>
        </w:rPr>
      </w:pPr>
      <w:r>
        <w:rPr>
          <w:sz w:val="24"/>
        </w:rPr>
        <w:t>the depreciation is calculated in accordance with clause</w:t>
      </w:r>
      <w:r>
        <w:rPr>
          <w:spacing w:val="-3"/>
          <w:sz w:val="24"/>
        </w:rPr>
        <w:t> </w:t>
      </w:r>
      <w:r>
        <w:rPr>
          <w:sz w:val="24"/>
        </w:rPr>
        <w:t>6.5.5;</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estimated cost of corporate income tax is determined in accordance with clause</w:t>
      </w:r>
      <w:r>
        <w:rPr>
          <w:spacing w:val="-3"/>
          <w:sz w:val="24"/>
        </w:rPr>
        <w:t> </w:t>
      </w:r>
      <w:r>
        <w:rPr>
          <w:sz w:val="24"/>
        </w:rPr>
        <w:t>6.5.3;</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revenue increments or decrements referred to in subparagraph (a)(5) are those that arise as a result of the operation of an applicable </w:t>
      </w:r>
      <w:r>
        <w:rPr>
          <w:i/>
          <w:sz w:val="24"/>
        </w:rPr>
        <w:t>efficiency benefit sharing scheme</w:t>
      </w:r>
      <w:r>
        <w:rPr>
          <w:sz w:val="24"/>
        </w:rPr>
        <w:t>, </w:t>
      </w:r>
      <w:r>
        <w:rPr>
          <w:i/>
          <w:sz w:val="24"/>
        </w:rPr>
        <w:t>capital expenditure sharing scheme</w:t>
      </w:r>
      <w:r>
        <w:rPr>
          <w:sz w:val="24"/>
        </w:rPr>
        <w:t>, </w:t>
      </w:r>
      <w:r>
        <w:rPr>
          <w:i/>
          <w:sz w:val="24"/>
        </w:rPr>
        <w:t>service target performance incentive scheme</w:t>
      </w:r>
      <w:r>
        <w:rPr>
          <w:sz w:val="24"/>
        </w:rPr>
        <w:t>, </w:t>
      </w:r>
      <w:r>
        <w:rPr>
          <w:i/>
          <w:sz w:val="24"/>
        </w:rPr>
        <w:t>demand management </w:t>
      </w:r>
      <w:r>
        <w:rPr>
          <w:i/>
          <w:sz w:val="24"/>
        </w:rPr>
        <w:t>incentive scheme</w:t>
      </w:r>
      <w:r>
        <w:rPr>
          <w:sz w:val="24"/>
        </w:rPr>
        <w:t>, </w:t>
      </w:r>
      <w:r>
        <w:rPr>
          <w:i/>
          <w:sz w:val="24"/>
        </w:rPr>
        <w:t>demand management innovation allowance </w:t>
      </w:r>
      <w:r>
        <w:rPr>
          <w:i/>
          <w:sz w:val="24"/>
        </w:rPr>
        <w:t>mechanism </w:t>
      </w:r>
      <w:r>
        <w:rPr>
          <w:sz w:val="24"/>
        </w:rPr>
        <w:t>or </w:t>
      </w:r>
      <w:r>
        <w:rPr>
          <w:i/>
          <w:sz w:val="24"/>
        </w:rPr>
        <w:t>small-scale incentive scheme </w:t>
      </w:r>
      <w:r>
        <w:rPr>
          <w:sz w:val="24"/>
        </w:rPr>
        <w:t>as referred to in clauses 6.5.8, 6.5.8A, 6.6.2, 6.6.3A 6.6.3 and 6.6.4;</w:t>
      </w:r>
    </w:p>
    <w:p>
      <w:pPr>
        <w:spacing w:before="120"/>
        <w:ind w:left="2486" w:right="415" w:hanging="567"/>
        <w:jc w:val="both"/>
        <w:rPr>
          <w:sz w:val="24"/>
        </w:rPr>
      </w:pPr>
      <w:r>
        <w:rPr>
          <w:sz w:val="24"/>
        </w:rPr>
        <w:t>(5A) the other revenue increments or decrements referred to in paragraph (a)(5A) are those that are to be carried forward to the </w:t>
      </w:r>
      <w:r>
        <w:rPr>
          <w:i/>
          <w:sz w:val="24"/>
        </w:rPr>
        <w:t>1st regulatory </w:t>
      </w:r>
      <w:r>
        <w:rPr>
          <w:i/>
          <w:sz w:val="24"/>
        </w:rPr>
        <w:t>control period </w:t>
      </w:r>
      <w:r>
        <w:rPr>
          <w:sz w:val="24"/>
        </w:rPr>
        <w:t>as a result of the application during the </w:t>
      </w:r>
      <w:r>
        <w:rPr>
          <w:i/>
          <w:sz w:val="24"/>
        </w:rPr>
        <w:t>2014-19 NT </w:t>
      </w:r>
      <w:r>
        <w:rPr>
          <w:i/>
          <w:sz w:val="24"/>
        </w:rPr>
        <w:t>regulatory control period </w:t>
      </w:r>
      <w:r>
        <w:rPr>
          <w:sz w:val="24"/>
        </w:rPr>
        <w:t>of the control mechanism in the </w:t>
      </w:r>
      <w:r>
        <w:rPr>
          <w:i/>
          <w:sz w:val="24"/>
        </w:rPr>
        <w:t>2014 NT </w:t>
      </w:r>
      <w:r>
        <w:rPr>
          <w:i/>
          <w:sz w:val="24"/>
        </w:rPr>
        <w:t>Network Price Determination</w:t>
      </w:r>
      <w:r>
        <w:rPr>
          <w:sz w:val="24"/>
        </w:rPr>
        <w:t>, as modified by the </w:t>
      </w:r>
      <w:r>
        <w:rPr>
          <w:i/>
          <w:sz w:val="24"/>
        </w:rPr>
        <w:t>2014 NT Ministerial </w:t>
      </w:r>
      <w:r>
        <w:rPr>
          <w:i/>
          <w:sz w:val="24"/>
        </w:rPr>
        <w:t>Direction </w:t>
      </w:r>
      <w:r>
        <w:rPr>
          <w:sz w:val="24"/>
        </w:rPr>
        <w:t>and are apportioned to the relevant year under the distribution determination for the </w:t>
      </w:r>
      <w:r>
        <w:rPr>
          <w:i/>
          <w:sz w:val="24"/>
        </w:rPr>
        <w:t>1st regulatory control period</w:t>
      </w:r>
      <w:r>
        <w:rPr>
          <w:sz w:val="24"/>
        </w:rPr>
        <w:t>;</w:t>
      </w:r>
    </w:p>
    <w:p>
      <w:pPr>
        <w:spacing w:before="120"/>
        <w:ind w:left="2486" w:right="0" w:firstLine="0"/>
        <w:jc w:val="left"/>
        <w:rPr>
          <w:rFonts w:ascii="Arial"/>
          <w:b/>
          <w:sz w:val="20"/>
        </w:rPr>
      </w:pPr>
      <w:r>
        <w:rPr>
          <w:rFonts w:ascii="Arial"/>
          <w:b/>
          <w:sz w:val="20"/>
        </w:rPr>
        <w:t>Note:</w:t>
      </w:r>
    </w:p>
    <w:p>
      <w:pPr>
        <w:spacing w:before="120"/>
        <w:ind w:left="2486" w:right="0" w:firstLine="0"/>
        <w:jc w:val="both"/>
        <w:rPr>
          <w:sz w:val="20"/>
        </w:rPr>
      </w:pPr>
      <w:r>
        <w:rPr>
          <w:sz w:val="20"/>
        </w:rPr>
        <w:t>This subparagraph expires on 1 July 2024</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other revenue increments or decrements referred to in paragraph (a)(6) are those that are to be carried forward to the current </w:t>
      </w:r>
      <w:r>
        <w:rPr>
          <w:i/>
          <w:sz w:val="24"/>
        </w:rPr>
        <w:t>regulatory </w:t>
      </w:r>
      <w:r>
        <w:rPr>
          <w:i/>
          <w:sz w:val="24"/>
        </w:rPr>
        <w:t>control period </w:t>
      </w:r>
      <w:r>
        <w:rPr>
          <w:sz w:val="24"/>
        </w:rPr>
        <w:t>as a result of the application of a control mechanism in the previous </w:t>
      </w:r>
      <w:r>
        <w:rPr>
          <w:i/>
          <w:sz w:val="24"/>
        </w:rPr>
        <w:t>regulatory control period </w:t>
      </w:r>
      <w:r>
        <w:rPr>
          <w:sz w:val="24"/>
        </w:rPr>
        <w:t>and are apportioned to the relevant year under the distribution determination for the current </w:t>
      </w:r>
      <w:r>
        <w:rPr>
          <w:i/>
          <w:sz w:val="24"/>
        </w:rPr>
        <w:t>regulatory control</w:t>
      </w:r>
      <w:r>
        <w:rPr>
          <w:i/>
          <w:spacing w:val="-3"/>
          <w:sz w:val="24"/>
        </w:rPr>
        <w:t> </w:t>
      </w:r>
      <w:r>
        <w:rPr>
          <w:i/>
          <w:sz w:val="24"/>
        </w:rPr>
        <w:t>period</w:t>
      </w:r>
      <w:r>
        <w:rPr>
          <w:sz w:val="24"/>
        </w:rPr>
        <w:t>;</w:t>
      </w:r>
    </w:p>
    <w:p>
      <w:pPr>
        <w:pStyle w:val="BodyText"/>
        <w:ind w:left="2486" w:right="414"/>
      </w:pPr>
      <w:r>
        <w:rPr/>
        <w:t>(6A) the revenue decrements (if any) referred to in paragraph (a)(6A) are those that are determined by the </w:t>
      </w:r>
      <w:r>
        <w:rPr>
          <w:i/>
        </w:rPr>
        <w:t>AER </w:t>
      </w:r>
      <w:r>
        <w:rPr/>
        <w:t>under clause 6.4.4 as a result of assets that provide </w:t>
      </w:r>
      <w:r>
        <w:rPr>
          <w:i/>
        </w:rPr>
        <w:t>standard control services </w:t>
      </w:r>
      <w:r>
        <w:rPr/>
        <w:t>being used to provide:</w:t>
      </w:r>
    </w:p>
    <w:p>
      <w:pPr>
        <w:pStyle w:val="ListParagraph"/>
        <w:numPr>
          <w:ilvl w:val="5"/>
          <w:numId w:val="390"/>
        </w:numPr>
        <w:tabs>
          <w:tab w:pos="3053" w:val="left" w:leader="none"/>
        </w:tabs>
        <w:spacing w:line="240" w:lineRule="auto" w:before="120" w:after="0"/>
        <w:ind w:left="3052" w:right="0" w:hanging="567"/>
        <w:jc w:val="both"/>
        <w:rPr>
          <w:sz w:val="24"/>
        </w:rPr>
      </w:pPr>
      <w:r>
        <w:rPr>
          <w:i/>
          <w:sz w:val="24"/>
        </w:rPr>
        <w:t>distribution services </w:t>
      </w:r>
      <w:r>
        <w:rPr>
          <w:sz w:val="24"/>
        </w:rPr>
        <w:t>that are not classified under clause 6.2.1;</w:t>
      </w:r>
      <w:r>
        <w:rPr>
          <w:spacing w:val="-14"/>
          <w:sz w:val="24"/>
        </w:rPr>
        <w:t> </w:t>
      </w:r>
      <w:r>
        <w:rPr>
          <w:sz w:val="24"/>
        </w:rPr>
        <w:t>or</w:t>
      </w:r>
    </w:p>
    <w:p>
      <w:pPr>
        <w:pStyle w:val="ListParagraph"/>
        <w:numPr>
          <w:ilvl w:val="5"/>
          <w:numId w:val="390"/>
        </w:numPr>
        <w:tabs>
          <w:tab w:pos="3054" w:val="left" w:leader="none"/>
        </w:tabs>
        <w:spacing w:line="240" w:lineRule="auto" w:before="120" w:after="0"/>
        <w:ind w:left="3053" w:right="415" w:hanging="567"/>
        <w:jc w:val="both"/>
        <w:rPr>
          <w:sz w:val="24"/>
        </w:rPr>
      </w:pPr>
      <w:r>
        <w:rPr>
          <w:sz w:val="24"/>
        </w:rPr>
        <w:t>services that are neither </w:t>
      </w:r>
      <w:r>
        <w:rPr>
          <w:i/>
          <w:sz w:val="24"/>
        </w:rPr>
        <w:t>distribution services </w:t>
      </w:r>
      <w:r>
        <w:rPr>
          <w:sz w:val="24"/>
        </w:rPr>
        <w:t>nor services that are provided by means of, or in connection with, </w:t>
      </w:r>
      <w:r>
        <w:rPr>
          <w:i/>
          <w:sz w:val="24"/>
        </w:rPr>
        <w:t>dual function </w:t>
      </w:r>
      <w:r>
        <w:rPr>
          <w:i/>
          <w:sz w:val="24"/>
        </w:rPr>
        <w:t>assets</w:t>
      </w:r>
      <w:r>
        <w:rPr>
          <w:sz w:val="24"/>
        </w:rPr>
        <w:t>; and</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forecast operating expenditure for the year is the forecast operating expenditure as accepted or substituted by the </w:t>
      </w:r>
      <w:r>
        <w:rPr>
          <w:i/>
          <w:sz w:val="24"/>
        </w:rPr>
        <w:t>AER </w:t>
      </w:r>
      <w:r>
        <w:rPr>
          <w:sz w:val="24"/>
        </w:rPr>
        <w:t>in accordance with clause 6.5.6.</w:t>
      </w:r>
    </w:p>
    <w:p>
      <w:pPr>
        <w:pStyle w:val="BodyText"/>
        <w:spacing w:before="10"/>
        <w:ind w:firstLine="0"/>
        <w:jc w:val="left"/>
        <w:rPr>
          <w:sz w:val="20"/>
        </w:rPr>
      </w:pPr>
    </w:p>
    <w:p>
      <w:pPr>
        <w:pStyle w:val="Heading4"/>
        <w:numPr>
          <w:ilvl w:val="2"/>
          <w:numId w:val="390"/>
        </w:numPr>
        <w:tabs>
          <w:tab w:pos="1351" w:val="left" w:leader="none"/>
          <w:tab w:pos="1352" w:val="left" w:leader="none"/>
        </w:tabs>
        <w:spacing w:line="240" w:lineRule="auto" w:before="0" w:after="0"/>
        <w:ind w:left="1351" w:right="0" w:hanging="1134"/>
        <w:jc w:val="left"/>
      </w:pPr>
      <w:bookmarkStart w:name="6.4.4 Shared assets" w:id="1308"/>
      <w:bookmarkEnd w:id="1308"/>
      <w:r>
        <w:rPr>
          <w:b w:val="0"/>
        </w:rPr>
      </w:r>
      <w:bookmarkStart w:name="_bookmark535" w:id="1309"/>
      <w:bookmarkEnd w:id="1309"/>
      <w:r>
        <w:rPr>
          <w:b w:val="0"/>
        </w:rPr>
      </w:r>
      <w:bookmarkStart w:name="_bookmark535" w:id="1310"/>
      <w:bookmarkEnd w:id="1310"/>
      <w:r>
        <w:rPr/>
        <w:t>Shared</w:t>
      </w:r>
      <w:r>
        <w:rPr>
          <w:spacing w:val="-1"/>
        </w:rPr>
        <w:t> </w:t>
      </w:r>
      <w:r>
        <w:rPr/>
        <w:t>assets</w:t>
      </w:r>
    </w:p>
    <w:p>
      <w:pPr>
        <w:pStyle w:val="ListParagraph"/>
        <w:numPr>
          <w:ilvl w:val="3"/>
          <w:numId w:val="390"/>
        </w:numPr>
        <w:tabs>
          <w:tab w:pos="1918" w:val="left" w:leader="none"/>
          <w:tab w:pos="1919" w:val="left" w:leader="none"/>
        </w:tabs>
        <w:spacing w:line="240" w:lineRule="auto" w:before="120" w:after="0"/>
        <w:ind w:left="1918" w:right="0" w:hanging="567"/>
        <w:jc w:val="left"/>
        <w:rPr>
          <w:sz w:val="24"/>
        </w:rPr>
      </w:pPr>
      <w:r>
        <w:rPr>
          <w:sz w:val="24"/>
        </w:rPr>
        <w:t>Where an asset is used to provide both </w:t>
      </w:r>
      <w:r>
        <w:rPr>
          <w:i/>
          <w:sz w:val="24"/>
        </w:rPr>
        <w:t>standard control services </w:t>
      </w:r>
      <w:r>
        <w:rPr>
          <w:sz w:val="24"/>
        </w:rPr>
        <w:t>and</w:t>
      </w:r>
      <w:r>
        <w:rPr>
          <w:spacing w:val="-11"/>
          <w:sz w:val="24"/>
        </w:rPr>
        <w:t> </w:t>
      </w:r>
      <w:r>
        <w:rPr>
          <w:sz w:val="24"/>
        </w:rPr>
        <w:t>either:</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i/>
          <w:sz w:val="24"/>
        </w:rPr>
        <w:t>distribution services </w:t>
      </w:r>
      <w:r>
        <w:rPr>
          <w:sz w:val="24"/>
        </w:rPr>
        <w:t>that are not classified under clause 6.2.1;</w:t>
      </w:r>
      <w:r>
        <w:rPr>
          <w:spacing w:val="-6"/>
          <w:sz w:val="24"/>
        </w:rPr>
        <w:t> </w:t>
      </w:r>
      <w:r>
        <w:rPr>
          <w:sz w:val="24"/>
        </w:rPr>
        <w:t>or</w:t>
      </w:r>
    </w:p>
    <w:p>
      <w:pPr>
        <w:pStyle w:val="ListParagraph"/>
        <w:numPr>
          <w:ilvl w:val="4"/>
          <w:numId w:val="390"/>
        </w:numPr>
        <w:tabs>
          <w:tab w:pos="2485" w:val="left" w:leader="none"/>
          <w:tab w:pos="2486" w:val="left" w:leader="none"/>
        </w:tabs>
        <w:spacing w:line="240" w:lineRule="auto" w:before="120" w:after="0"/>
        <w:ind w:left="2485" w:right="0" w:hanging="567"/>
        <w:jc w:val="left"/>
        <w:rPr>
          <w:sz w:val="24"/>
        </w:rPr>
      </w:pPr>
      <w:r>
        <w:rPr>
          <w:sz w:val="24"/>
        </w:rPr>
        <w:t>services that are</w:t>
      </w:r>
      <w:r>
        <w:rPr>
          <w:spacing w:val="-2"/>
          <w:sz w:val="24"/>
        </w:rPr>
        <w:t> </w:t>
      </w:r>
      <w:r>
        <w:rPr>
          <w:sz w:val="24"/>
        </w:rPr>
        <w:t>neither:</w:t>
      </w:r>
    </w:p>
    <w:p>
      <w:pPr>
        <w:pStyle w:val="ListParagraph"/>
        <w:numPr>
          <w:ilvl w:val="5"/>
          <w:numId w:val="390"/>
        </w:numPr>
        <w:tabs>
          <w:tab w:pos="3052" w:val="left" w:leader="none"/>
          <w:tab w:pos="3053" w:val="left" w:leader="none"/>
        </w:tabs>
        <w:spacing w:line="240" w:lineRule="auto" w:before="120" w:after="0"/>
        <w:ind w:left="3052" w:right="0" w:hanging="567"/>
        <w:jc w:val="left"/>
        <w:rPr>
          <w:sz w:val="24"/>
        </w:rPr>
      </w:pPr>
      <w:r>
        <w:rPr>
          <w:i/>
          <w:sz w:val="24"/>
        </w:rPr>
        <w:t>distribution services</w:t>
      </w:r>
      <w:r>
        <w:rPr>
          <w:sz w:val="24"/>
        </w:rPr>
        <w:t>;</w:t>
      </w:r>
      <w:r>
        <w:rPr>
          <w:spacing w:val="-2"/>
          <w:sz w:val="24"/>
        </w:rPr>
        <w:t> </w:t>
      </w:r>
      <w:r>
        <w:rPr>
          <w:sz w:val="24"/>
        </w:rPr>
        <w:t>nor</w:t>
      </w:r>
    </w:p>
    <w:p>
      <w:pPr>
        <w:spacing w:after="0" w:line="240" w:lineRule="auto"/>
        <w:jc w:val="left"/>
        <w:rPr>
          <w:sz w:val="24"/>
        </w:rPr>
        <w:sectPr>
          <w:pgSz w:w="11910" w:h="16840"/>
          <w:pgMar w:header="686" w:footer="637" w:top="1320" w:bottom="820" w:left="1200" w:right="1000"/>
        </w:sectPr>
      </w:pPr>
    </w:p>
    <w:p>
      <w:pPr>
        <w:pStyle w:val="ListParagraph"/>
        <w:numPr>
          <w:ilvl w:val="5"/>
          <w:numId w:val="390"/>
        </w:numPr>
        <w:tabs>
          <w:tab w:pos="3054" w:val="left" w:leader="none"/>
        </w:tabs>
        <w:spacing w:line="240" w:lineRule="auto" w:before="83" w:after="0"/>
        <w:ind w:left="3053" w:right="415" w:hanging="567"/>
        <w:jc w:val="both"/>
        <w:rPr>
          <w:sz w:val="24"/>
        </w:rPr>
      </w:pPr>
      <w:r>
        <w:rPr>
          <w:sz w:val="24"/>
        </w:rPr>
        <w:t>services that are provided by means of, or in connection with, </w:t>
      </w:r>
      <w:r>
        <w:rPr>
          <w:i/>
          <w:sz w:val="24"/>
        </w:rPr>
        <w:t>dual function assets </w:t>
      </w:r>
      <w:r>
        <w:rPr>
          <w:sz w:val="24"/>
        </w:rPr>
        <w:t>that are owned, operated or controlled </w:t>
      </w:r>
      <w:r>
        <w:rPr>
          <w:spacing w:val="-7"/>
          <w:sz w:val="24"/>
        </w:rPr>
        <w:t>by </w:t>
      </w:r>
      <w:r>
        <w:rPr>
          <w:sz w:val="24"/>
        </w:rPr>
        <w:t>the </w:t>
      </w:r>
      <w:r>
        <w:rPr>
          <w:i/>
          <w:sz w:val="24"/>
        </w:rPr>
        <w:t>Distribution Network Service</w:t>
      </w:r>
      <w:r>
        <w:rPr>
          <w:i/>
          <w:spacing w:val="-2"/>
          <w:sz w:val="24"/>
        </w:rPr>
        <w:t> </w:t>
      </w:r>
      <w:r>
        <w:rPr>
          <w:i/>
          <w:sz w:val="24"/>
        </w:rPr>
        <w:t>Provider</w:t>
      </w:r>
      <w:r>
        <w:rPr>
          <w:sz w:val="24"/>
        </w:rPr>
        <w:t>,</w:t>
      </w:r>
    </w:p>
    <w:p>
      <w:pPr>
        <w:spacing w:before="120"/>
        <w:ind w:left="1919" w:right="414" w:firstLine="0"/>
        <w:jc w:val="both"/>
        <w:rPr>
          <w:sz w:val="24"/>
        </w:rPr>
      </w:pPr>
      <w:r>
        <w:rPr>
          <w:sz w:val="24"/>
        </w:rPr>
        <w:t>the </w:t>
      </w:r>
      <w:r>
        <w:rPr>
          <w:i/>
          <w:sz w:val="24"/>
        </w:rPr>
        <w:t>AER </w:t>
      </w:r>
      <w:r>
        <w:rPr>
          <w:sz w:val="24"/>
        </w:rPr>
        <w:t>may, in a distribution determination for a </w:t>
      </w:r>
      <w:r>
        <w:rPr>
          <w:i/>
          <w:sz w:val="24"/>
        </w:rPr>
        <w:t>regulatory control </w:t>
      </w:r>
      <w:r>
        <w:rPr>
          <w:i/>
          <w:sz w:val="24"/>
        </w:rPr>
        <w:t>period</w:t>
      </w:r>
      <w:r>
        <w:rPr>
          <w:sz w:val="24"/>
        </w:rPr>
        <w:t>, reduce the </w:t>
      </w:r>
      <w:r>
        <w:rPr>
          <w:i/>
          <w:sz w:val="24"/>
        </w:rPr>
        <w:t>annual revenue requirement </w:t>
      </w:r>
      <w:r>
        <w:rPr>
          <w:sz w:val="24"/>
        </w:rPr>
        <w:t>for that </w:t>
      </w:r>
      <w:r>
        <w:rPr>
          <w:i/>
          <w:sz w:val="24"/>
        </w:rPr>
        <w:t>Distribution </w:t>
      </w:r>
      <w:r>
        <w:rPr>
          <w:i/>
          <w:sz w:val="24"/>
        </w:rPr>
        <w:t>Network Service Provider </w:t>
      </w:r>
      <w:r>
        <w:rPr>
          <w:sz w:val="24"/>
        </w:rPr>
        <w:t>for a </w:t>
      </w:r>
      <w:r>
        <w:rPr>
          <w:i/>
          <w:sz w:val="24"/>
        </w:rPr>
        <w:t>regulatory year </w:t>
      </w:r>
      <w:r>
        <w:rPr>
          <w:sz w:val="24"/>
        </w:rPr>
        <w:t>in that </w:t>
      </w:r>
      <w:r>
        <w:rPr>
          <w:i/>
          <w:sz w:val="24"/>
        </w:rPr>
        <w:t>regulatory control </w:t>
      </w:r>
      <w:r>
        <w:rPr>
          <w:i/>
          <w:sz w:val="24"/>
        </w:rPr>
        <w:t>period </w:t>
      </w:r>
      <w:r>
        <w:rPr>
          <w:sz w:val="24"/>
        </w:rPr>
        <w:t>by such amount as it considers reasonable to reflect such part of the costs of that asset as the </w:t>
      </w:r>
      <w:r>
        <w:rPr>
          <w:i/>
          <w:sz w:val="24"/>
        </w:rPr>
        <w:t>Distribution Network Service Provider </w:t>
      </w:r>
      <w:r>
        <w:rPr>
          <w:sz w:val="24"/>
        </w:rPr>
        <w:t>is recovering through charging for the provision of a service referred to in subparagraph (1) or</w:t>
      </w:r>
      <w:r>
        <w:rPr>
          <w:spacing w:val="-2"/>
          <w:sz w:val="24"/>
        </w:rPr>
        <w:t> </w:t>
      </w:r>
      <w:r>
        <w:rPr>
          <w:sz w:val="24"/>
        </w:rPr>
        <w:t>(2).</w:t>
      </w:r>
    </w:p>
    <w:p>
      <w:pPr>
        <w:pStyle w:val="ListParagraph"/>
        <w:numPr>
          <w:ilvl w:val="3"/>
          <w:numId w:val="390"/>
        </w:numPr>
        <w:tabs>
          <w:tab w:pos="1919" w:val="left" w:leader="none"/>
        </w:tabs>
        <w:spacing w:line="240" w:lineRule="auto" w:before="120" w:after="0"/>
        <w:ind w:left="1918" w:right="0" w:hanging="567"/>
        <w:jc w:val="both"/>
        <w:rPr>
          <w:sz w:val="24"/>
        </w:rPr>
      </w:pPr>
      <w:r>
        <w:rPr>
          <w:sz w:val="24"/>
        </w:rPr>
        <w:t>In</w:t>
      </w:r>
      <w:r>
        <w:rPr>
          <w:spacing w:val="13"/>
          <w:sz w:val="24"/>
        </w:rPr>
        <w:t> </w:t>
      </w:r>
      <w:r>
        <w:rPr>
          <w:sz w:val="24"/>
        </w:rPr>
        <w:t>making</w:t>
      </w:r>
      <w:r>
        <w:rPr>
          <w:spacing w:val="14"/>
          <w:sz w:val="24"/>
        </w:rPr>
        <w:t> </w:t>
      </w:r>
      <w:r>
        <w:rPr>
          <w:sz w:val="24"/>
        </w:rPr>
        <w:t>a</w:t>
      </w:r>
      <w:r>
        <w:rPr>
          <w:spacing w:val="14"/>
          <w:sz w:val="24"/>
        </w:rPr>
        <w:t> </w:t>
      </w:r>
      <w:r>
        <w:rPr>
          <w:sz w:val="24"/>
        </w:rPr>
        <w:t>decision</w:t>
      </w:r>
      <w:r>
        <w:rPr>
          <w:spacing w:val="14"/>
          <w:sz w:val="24"/>
        </w:rPr>
        <w:t> </w:t>
      </w:r>
      <w:r>
        <w:rPr>
          <w:sz w:val="24"/>
        </w:rPr>
        <w:t>under</w:t>
      </w:r>
      <w:r>
        <w:rPr>
          <w:spacing w:val="14"/>
          <w:sz w:val="24"/>
        </w:rPr>
        <w:t> </w:t>
      </w:r>
      <w:r>
        <w:rPr>
          <w:sz w:val="24"/>
        </w:rPr>
        <w:t>paragraph</w:t>
      </w:r>
      <w:r>
        <w:rPr>
          <w:spacing w:val="14"/>
          <w:sz w:val="24"/>
        </w:rPr>
        <w:t> </w:t>
      </w:r>
      <w:r>
        <w:rPr>
          <w:sz w:val="24"/>
        </w:rPr>
        <w:t>(a),</w:t>
      </w:r>
      <w:r>
        <w:rPr>
          <w:spacing w:val="13"/>
          <w:sz w:val="24"/>
        </w:rPr>
        <w:t> </w:t>
      </w:r>
      <w:r>
        <w:rPr>
          <w:sz w:val="24"/>
        </w:rPr>
        <w:t>the</w:t>
      </w:r>
      <w:r>
        <w:rPr>
          <w:spacing w:val="14"/>
          <w:sz w:val="24"/>
        </w:rPr>
        <w:t> </w:t>
      </w:r>
      <w:r>
        <w:rPr>
          <w:i/>
          <w:sz w:val="24"/>
        </w:rPr>
        <w:t>AER</w:t>
      </w:r>
      <w:r>
        <w:rPr>
          <w:i/>
          <w:spacing w:val="14"/>
          <w:sz w:val="24"/>
        </w:rPr>
        <w:t> </w:t>
      </w:r>
      <w:r>
        <w:rPr>
          <w:sz w:val="24"/>
        </w:rPr>
        <w:t>must</w:t>
      </w:r>
      <w:r>
        <w:rPr>
          <w:spacing w:val="14"/>
          <w:sz w:val="24"/>
        </w:rPr>
        <w:t> </w:t>
      </w:r>
      <w:r>
        <w:rPr>
          <w:sz w:val="24"/>
        </w:rPr>
        <w:t>have</w:t>
      </w:r>
      <w:r>
        <w:rPr>
          <w:spacing w:val="14"/>
          <w:sz w:val="24"/>
        </w:rPr>
        <w:t> </w:t>
      </w:r>
      <w:r>
        <w:rPr>
          <w:sz w:val="24"/>
        </w:rPr>
        <w:t>regard</w:t>
      </w:r>
      <w:r>
        <w:rPr>
          <w:spacing w:val="14"/>
          <w:sz w:val="24"/>
        </w:rPr>
        <w:t> </w:t>
      </w:r>
      <w:r>
        <w:rPr>
          <w:sz w:val="24"/>
        </w:rPr>
        <w:t>to</w:t>
      </w:r>
      <w:r>
        <w:rPr>
          <w:spacing w:val="13"/>
          <w:sz w:val="24"/>
        </w:rPr>
        <w:t> </w:t>
      </w:r>
      <w:r>
        <w:rPr>
          <w:sz w:val="24"/>
        </w:rPr>
        <w:t>the</w:t>
      </w:r>
    </w:p>
    <w:p>
      <w:pPr>
        <w:spacing w:before="0"/>
        <w:ind w:left="1919" w:right="0" w:firstLine="0"/>
        <w:jc w:val="both"/>
        <w:rPr>
          <w:sz w:val="24"/>
        </w:rPr>
      </w:pPr>
      <w:r>
        <w:rPr>
          <w:i/>
          <w:sz w:val="24"/>
        </w:rPr>
        <w:t>shared asset principles </w:t>
      </w:r>
      <w:r>
        <w:rPr>
          <w:sz w:val="24"/>
        </w:rPr>
        <w:t>and the </w:t>
      </w:r>
      <w:r>
        <w:rPr>
          <w:i/>
          <w:sz w:val="24"/>
        </w:rPr>
        <w:t>Shared Asset Guidelines</w:t>
      </w:r>
      <w:r>
        <w:rPr>
          <w:sz w:val="24"/>
        </w:rPr>
        <w:t>.</w:t>
      </w:r>
    </w:p>
    <w:p>
      <w:pPr>
        <w:pStyle w:val="ListParagraph"/>
        <w:numPr>
          <w:ilvl w:val="3"/>
          <w:numId w:val="390"/>
        </w:numPr>
        <w:tabs>
          <w:tab w:pos="1919" w:val="left" w:leader="none"/>
        </w:tabs>
        <w:spacing w:line="240" w:lineRule="auto" w:before="120" w:after="0"/>
        <w:ind w:left="1918" w:right="0" w:hanging="567"/>
        <w:jc w:val="both"/>
        <w:rPr>
          <w:sz w:val="24"/>
        </w:rPr>
      </w:pPr>
      <w:r>
        <w:rPr>
          <w:sz w:val="24"/>
        </w:rPr>
        <w:t>The </w:t>
      </w:r>
      <w:r>
        <w:rPr>
          <w:i/>
          <w:sz w:val="24"/>
        </w:rPr>
        <w:t>shared asset principles </w:t>
      </w:r>
      <w:r>
        <w:rPr>
          <w:sz w:val="24"/>
        </w:rPr>
        <w:t>are as</w:t>
      </w:r>
      <w:r>
        <w:rPr>
          <w:spacing w:val="-4"/>
          <w:sz w:val="24"/>
        </w:rPr>
        <w:t> </w:t>
      </w:r>
      <w:r>
        <w:rPr>
          <w:sz w:val="24"/>
        </w:rPr>
        <w:t>follows:</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should be encouraged to use assets that provide </w:t>
      </w:r>
      <w:r>
        <w:rPr>
          <w:i/>
          <w:sz w:val="24"/>
        </w:rPr>
        <w:t>standard control services </w:t>
      </w:r>
      <w:r>
        <w:rPr>
          <w:sz w:val="24"/>
        </w:rPr>
        <w:t>for the provision of other kinds of services where that use is efficient and does not materially prejudice the provision of those</w:t>
      </w:r>
      <w:r>
        <w:rPr>
          <w:spacing w:val="-2"/>
          <w:sz w:val="24"/>
        </w:rPr>
        <w:t> </w:t>
      </w:r>
      <w:r>
        <w:rPr>
          <w:sz w:val="24"/>
        </w:rPr>
        <w:t>services;</w:t>
      </w:r>
    </w:p>
    <w:p>
      <w:pPr>
        <w:pStyle w:val="ListParagraph"/>
        <w:numPr>
          <w:ilvl w:val="4"/>
          <w:numId w:val="390"/>
        </w:numPr>
        <w:tabs>
          <w:tab w:pos="2486" w:val="left" w:leader="none"/>
        </w:tabs>
        <w:spacing w:line="240" w:lineRule="auto" w:before="120" w:after="0"/>
        <w:ind w:left="2486" w:right="416" w:hanging="567"/>
        <w:jc w:val="both"/>
        <w:rPr>
          <w:sz w:val="24"/>
        </w:rPr>
      </w:pPr>
      <w:r>
        <w:rPr>
          <w:sz w:val="24"/>
        </w:rPr>
        <w:t>a shared asset cost reduction should not be dependent on the </w:t>
      </w:r>
      <w:r>
        <w:rPr>
          <w:i/>
          <w:sz w:val="24"/>
        </w:rPr>
        <w:t>Distribution Network Service Provider </w:t>
      </w:r>
      <w:r>
        <w:rPr>
          <w:sz w:val="24"/>
        </w:rPr>
        <w:t>deriving a positive commercial outcome from the use of the asset other than for </w:t>
      </w:r>
      <w:r>
        <w:rPr>
          <w:i/>
          <w:sz w:val="24"/>
        </w:rPr>
        <w:t>standard control </w:t>
      </w:r>
      <w:r>
        <w:rPr>
          <w:i/>
          <w:sz w:val="24"/>
        </w:rPr>
        <w:t>services</w:t>
      </w:r>
      <w:r>
        <w:rPr>
          <w:sz w:val="24"/>
        </w:rPr>
        <w:t>;</w:t>
      </w:r>
    </w:p>
    <w:p>
      <w:pPr>
        <w:pStyle w:val="ListParagraph"/>
        <w:numPr>
          <w:ilvl w:val="4"/>
          <w:numId w:val="390"/>
        </w:numPr>
        <w:tabs>
          <w:tab w:pos="2486" w:val="left" w:leader="none"/>
        </w:tabs>
        <w:spacing w:line="240" w:lineRule="auto" w:before="120" w:after="0"/>
        <w:ind w:left="2486" w:right="416" w:hanging="567"/>
        <w:jc w:val="both"/>
        <w:rPr>
          <w:sz w:val="24"/>
        </w:rPr>
      </w:pPr>
      <w:r>
        <w:rPr>
          <w:sz w:val="24"/>
        </w:rPr>
        <w:t>a shared asset cost reduction should be applied where the use of the asset other than for </w:t>
      </w:r>
      <w:r>
        <w:rPr>
          <w:i/>
          <w:sz w:val="24"/>
        </w:rPr>
        <w:t>standard control services </w:t>
      </w:r>
      <w:r>
        <w:rPr>
          <w:sz w:val="24"/>
        </w:rPr>
        <w:t>is</w:t>
      </w:r>
      <w:r>
        <w:rPr>
          <w:spacing w:val="-8"/>
          <w:sz w:val="24"/>
        </w:rPr>
        <w:t> </w:t>
      </w:r>
      <w:r>
        <w:rPr>
          <w:sz w:val="24"/>
        </w:rPr>
        <w:t>material;</w:t>
      </w:r>
    </w:p>
    <w:p>
      <w:pPr>
        <w:pStyle w:val="ListParagraph"/>
        <w:numPr>
          <w:ilvl w:val="4"/>
          <w:numId w:val="390"/>
        </w:numPr>
        <w:tabs>
          <w:tab w:pos="2486" w:val="left" w:leader="none"/>
        </w:tabs>
        <w:spacing w:line="240" w:lineRule="auto" w:before="120" w:after="0"/>
        <w:ind w:left="2486" w:right="416" w:hanging="567"/>
        <w:jc w:val="both"/>
        <w:rPr>
          <w:sz w:val="24"/>
        </w:rPr>
      </w:pPr>
      <w:r>
        <w:rPr>
          <w:sz w:val="24"/>
        </w:rPr>
        <w:t>regard should be had to the manner in which costs have been recovered or revenues reduced in respect of the relevant asset in the past and the reasons for adopting that manner of recovery </w:t>
      </w:r>
      <w:r>
        <w:rPr>
          <w:spacing w:val="-6"/>
          <w:sz w:val="24"/>
        </w:rPr>
        <w:t>or  </w:t>
      </w:r>
      <w:r>
        <w:rPr>
          <w:sz w:val="24"/>
        </w:rPr>
        <w:t>reduction;</w:t>
      </w:r>
    </w:p>
    <w:p>
      <w:pPr>
        <w:pStyle w:val="ListParagraph"/>
        <w:numPr>
          <w:ilvl w:val="4"/>
          <w:numId w:val="390"/>
        </w:numPr>
        <w:tabs>
          <w:tab w:pos="2486" w:val="left" w:leader="none"/>
        </w:tabs>
        <w:spacing w:line="240" w:lineRule="auto" w:before="120" w:after="0"/>
        <w:ind w:left="2486" w:right="416" w:hanging="567"/>
        <w:jc w:val="both"/>
        <w:rPr>
          <w:sz w:val="24"/>
        </w:rPr>
      </w:pPr>
      <w:r>
        <w:rPr>
          <w:sz w:val="24"/>
        </w:rPr>
        <w:t>a shared asset cost reduction should be compatible with the </w:t>
      </w:r>
      <w:r>
        <w:rPr>
          <w:i/>
          <w:sz w:val="24"/>
        </w:rPr>
        <w:t>Cost </w:t>
      </w:r>
      <w:r>
        <w:rPr>
          <w:i/>
          <w:sz w:val="24"/>
        </w:rPr>
        <w:t>Allocation Principles </w:t>
      </w:r>
      <w:r>
        <w:rPr>
          <w:sz w:val="24"/>
        </w:rPr>
        <w:t>and </w:t>
      </w:r>
      <w:r>
        <w:rPr>
          <w:i/>
          <w:sz w:val="24"/>
        </w:rPr>
        <w:t>Cost Allocation Method</w:t>
      </w:r>
      <w:r>
        <w:rPr>
          <w:sz w:val="24"/>
        </w:rPr>
        <w:t>;</w:t>
      </w:r>
      <w:r>
        <w:rPr>
          <w:spacing w:val="-1"/>
          <w:sz w:val="24"/>
        </w:rPr>
        <w:t> </w:t>
      </w:r>
      <w:r>
        <w:rPr>
          <w:sz w:val="24"/>
        </w:rPr>
        <w:t>and</w:t>
      </w:r>
    </w:p>
    <w:p>
      <w:pPr>
        <w:pStyle w:val="ListParagraph"/>
        <w:numPr>
          <w:ilvl w:val="4"/>
          <w:numId w:val="390"/>
        </w:numPr>
        <w:tabs>
          <w:tab w:pos="2486" w:val="left" w:leader="none"/>
        </w:tabs>
        <w:spacing w:line="240" w:lineRule="auto" w:before="120" w:after="0"/>
        <w:ind w:left="2486" w:right="417" w:hanging="567"/>
        <w:jc w:val="both"/>
        <w:rPr>
          <w:sz w:val="24"/>
        </w:rPr>
      </w:pPr>
      <w:r>
        <w:rPr>
          <w:sz w:val="24"/>
        </w:rPr>
        <w:t>any reduction effected under paragraph (a) should be compatible with other incentives provided under the</w:t>
      </w:r>
      <w:r>
        <w:rPr>
          <w:spacing w:val="-1"/>
          <w:sz w:val="24"/>
        </w:rPr>
        <w:t> </w:t>
      </w:r>
      <w:r>
        <w:rPr>
          <w:i/>
          <w:sz w:val="24"/>
        </w:rPr>
        <w:t>Rules</w:t>
      </w:r>
      <w:r>
        <w:rPr>
          <w:sz w:val="24"/>
        </w:rPr>
        <w:t>.</w:t>
      </w:r>
    </w:p>
    <w:p>
      <w:pPr>
        <w:pStyle w:val="ListParagraph"/>
        <w:numPr>
          <w:ilvl w:val="3"/>
          <w:numId w:val="39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make and </w:t>
      </w:r>
      <w:r>
        <w:rPr>
          <w:i/>
          <w:sz w:val="24"/>
        </w:rPr>
        <w:t>publish </w:t>
      </w:r>
      <w:r>
        <w:rPr>
          <w:sz w:val="24"/>
        </w:rPr>
        <w:t>guidelines (the </w:t>
      </w:r>
      <w:r>
        <w:rPr>
          <w:i/>
          <w:sz w:val="24"/>
        </w:rPr>
        <w:t>Shared Asset Guidelines</w:t>
      </w:r>
      <w:r>
        <w:rPr>
          <w:sz w:val="24"/>
        </w:rPr>
        <w:t>) that set out the approach the </w:t>
      </w:r>
      <w:r>
        <w:rPr>
          <w:i/>
          <w:sz w:val="24"/>
        </w:rPr>
        <w:t>AER </w:t>
      </w:r>
      <w:r>
        <w:rPr>
          <w:sz w:val="24"/>
        </w:rPr>
        <w:t>proposes to take in applying the </w:t>
      </w:r>
      <w:r>
        <w:rPr>
          <w:i/>
          <w:sz w:val="24"/>
        </w:rPr>
        <w:t>shared asset principles </w:t>
      </w:r>
      <w:r>
        <w:rPr>
          <w:sz w:val="24"/>
        </w:rPr>
        <w:t>(which may include a methodology that the </w:t>
      </w:r>
      <w:r>
        <w:rPr>
          <w:i/>
          <w:sz w:val="24"/>
        </w:rPr>
        <w:t>AER </w:t>
      </w:r>
      <w:r>
        <w:rPr>
          <w:sz w:val="24"/>
        </w:rPr>
        <w:t>proposes to use to determine reductions for the purposes of paragraph</w:t>
      </w:r>
      <w:r>
        <w:rPr>
          <w:spacing w:val="-1"/>
          <w:sz w:val="24"/>
        </w:rPr>
        <w:t> </w:t>
      </w:r>
      <w:r>
        <w:rPr>
          <w:sz w:val="24"/>
        </w:rPr>
        <w:t>(a)).</w:t>
      </w:r>
    </w:p>
    <w:p>
      <w:pPr>
        <w:pStyle w:val="ListParagraph"/>
        <w:numPr>
          <w:ilvl w:val="3"/>
          <w:numId w:val="390"/>
        </w:numPr>
        <w:tabs>
          <w:tab w:pos="1919" w:val="left" w:leader="none"/>
        </w:tabs>
        <w:spacing w:line="240" w:lineRule="auto" w:before="120" w:after="0"/>
        <w:ind w:left="1919" w:right="415" w:hanging="567"/>
        <w:jc w:val="both"/>
        <w:rPr>
          <w:sz w:val="24"/>
        </w:rPr>
      </w:pPr>
      <w:r>
        <w:rPr>
          <w:sz w:val="24"/>
        </w:rPr>
        <w:t>There must be </w:t>
      </w:r>
      <w:r>
        <w:rPr>
          <w:i/>
          <w:sz w:val="24"/>
        </w:rPr>
        <w:t>Shared Asset Guidelines </w:t>
      </w:r>
      <w:r>
        <w:rPr>
          <w:sz w:val="24"/>
        </w:rPr>
        <w:t>in force at all times after the date on which the </w:t>
      </w:r>
      <w:r>
        <w:rPr>
          <w:i/>
          <w:sz w:val="24"/>
        </w:rPr>
        <w:t>AER </w:t>
      </w:r>
      <w:r>
        <w:rPr>
          <w:sz w:val="24"/>
        </w:rPr>
        <w:t>first </w:t>
      </w:r>
      <w:r>
        <w:rPr>
          <w:i/>
          <w:sz w:val="24"/>
        </w:rPr>
        <w:t>publishes </w:t>
      </w:r>
      <w:r>
        <w:rPr>
          <w:sz w:val="24"/>
        </w:rPr>
        <w:t>the </w:t>
      </w:r>
      <w:r>
        <w:rPr>
          <w:i/>
          <w:sz w:val="24"/>
        </w:rPr>
        <w:t>Shared Asset Guidelines </w:t>
      </w:r>
      <w:r>
        <w:rPr>
          <w:sz w:val="24"/>
        </w:rPr>
        <w:t>under these </w:t>
      </w:r>
      <w:r>
        <w:rPr>
          <w:i/>
          <w:sz w:val="24"/>
        </w:rPr>
        <w:t>Rules</w:t>
      </w:r>
      <w:r>
        <w:rPr>
          <w:sz w:val="24"/>
        </w:rPr>
        <w:t>.</w:t>
      </w:r>
    </w:p>
    <w:p>
      <w:pPr>
        <w:pStyle w:val="BodyText"/>
        <w:ind w:left="1352" w:firstLine="0"/>
      </w:pPr>
      <w:r>
        <w:rPr/>
        <w:t>(ea) For the application of these </w:t>
      </w:r>
      <w:r>
        <w:rPr>
          <w:i/>
        </w:rPr>
        <w:t>Rules </w:t>
      </w:r>
      <w:r>
        <w:rPr/>
        <w:t>in this jurisdiction:</w:t>
      </w:r>
    </w:p>
    <w:p>
      <w:pPr>
        <w:pStyle w:val="ListParagraph"/>
        <w:numPr>
          <w:ilvl w:val="4"/>
          <w:numId w:val="390"/>
        </w:numPr>
        <w:tabs>
          <w:tab w:pos="2486" w:val="left" w:leader="none"/>
        </w:tabs>
        <w:spacing w:line="240" w:lineRule="auto" w:before="120" w:after="0"/>
        <w:ind w:left="2486" w:right="415" w:hanging="567"/>
        <w:jc w:val="both"/>
        <w:rPr>
          <w:sz w:val="24"/>
        </w:rPr>
      </w:pPr>
      <w:r>
        <w:rPr>
          <w:sz w:val="24"/>
        </w:rPr>
        <w:t>the </w:t>
      </w:r>
      <w:r>
        <w:rPr>
          <w:i/>
          <w:sz w:val="24"/>
        </w:rPr>
        <w:t>Shared Asset Guidelines </w:t>
      </w:r>
      <w:r>
        <w:rPr>
          <w:sz w:val="24"/>
        </w:rPr>
        <w:t>that are in force in the other </w:t>
      </w:r>
      <w:r>
        <w:rPr>
          <w:i/>
          <w:sz w:val="24"/>
        </w:rPr>
        <w:t>participating </w:t>
      </w:r>
      <w:r>
        <w:rPr>
          <w:i/>
          <w:sz w:val="24"/>
        </w:rPr>
        <w:t>jurisdictions </w:t>
      </w:r>
      <w:r>
        <w:rPr>
          <w:sz w:val="24"/>
        </w:rPr>
        <w:t>on 1 July 2016 are</w:t>
      </w:r>
      <w:r>
        <w:rPr>
          <w:spacing w:val="-1"/>
          <w:sz w:val="24"/>
        </w:rPr>
        <w:t> </w:t>
      </w:r>
      <w:r>
        <w:rPr>
          <w:sz w:val="24"/>
        </w:rPr>
        <w:t>taken:</w:t>
      </w:r>
    </w:p>
    <w:p>
      <w:pPr>
        <w:spacing w:after="0" w:line="240" w:lineRule="auto"/>
        <w:jc w:val="both"/>
        <w:rPr>
          <w:sz w:val="24"/>
        </w:rPr>
        <w:sectPr>
          <w:pgSz w:w="11910" w:h="16840"/>
          <w:pgMar w:header="686" w:footer="637" w:top="1320" w:bottom="820" w:left="1200" w:right="1000"/>
        </w:sectPr>
      </w:pPr>
    </w:p>
    <w:p>
      <w:pPr>
        <w:pStyle w:val="ListParagraph"/>
        <w:numPr>
          <w:ilvl w:val="5"/>
          <w:numId w:val="390"/>
        </w:numPr>
        <w:tabs>
          <w:tab w:pos="3053" w:val="left" w:leader="none"/>
        </w:tabs>
        <w:spacing w:line="240" w:lineRule="auto" w:before="83" w:after="0"/>
        <w:ind w:left="3053" w:right="415" w:hanging="567"/>
        <w:jc w:val="both"/>
        <w:rPr>
          <w:sz w:val="24"/>
        </w:rPr>
      </w:pPr>
      <w:r>
        <w:rPr>
          <w:sz w:val="24"/>
        </w:rPr>
        <w:t>to be the </w:t>
      </w:r>
      <w:r>
        <w:rPr>
          <w:i/>
          <w:sz w:val="24"/>
        </w:rPr>
        <w:t>Shared Asset Guidelines </w:t>
      </w:r>
      <w:r>
        <w:rPr>
          <w:sz w:val="24"/>
        </w:rPr>
        <w:t>in force in this jurisdiction (subject to any amendment or replacement under these </w:t>
      </w:r>
      <w:r>
        <w:rPr>
          <w:i/>
          <w:sz w:val="24"/>
        </w:rPr>
        <w:t>Rules</w:t>
      </w:r>
      <w:r>
        <w:rPr>
          <w:sz w:val="24"/>
        </w:rPr>
        <w:t>); and</w:t>
      </w:r>
    </w:p>
    <w:p>
      <w:pPr>
        <w:pStyle w:val="ListParagraph"/>
        <w:numPr>
          <w:ilvl w:val="5"/>
          <w:numId w:val="390"/>
        </w:numPr>
        <w:tabs>
          <w:tab w:pos="3054" w:val="left" w:leader="none"/>
        </w:tabs>
        <w:spacing w:line="240" w:lineRule="auto" w:before="120" w:after="0"/>
        <w:ind w:left="3053" w:right="416" w:hanging="567"/>
        <w:jc w:val="both"/>
        <w:rPr>
          <w:sz w:val="24"/>
        </w:rPr>
      </w:pPr>
      <w:r>
        <w:rPr>
          <w:sz w:val="24"/>
        </w:rPr>
        <w:t>to have been made and </w:t>
      </w:r>
      <w:r>
        <w:rPr>
          <w:i/>
          <w:sz w:val="24"/>
        </w:rPr>
        <w:t>published </w:t>
      </w:r>
      <w:r>
        <w:rPr>
          <w:sz w:val="24"/>
        </w:rPr>
        <w:t>by the </w:t>
      </w:r>
      <w:r>
        <w:rPr>
          <w:i/>
          <w:sz w:val="24"/>
        </w:rPr>
        <w:t>AER </w:t>
      </w:r>
      <w:r>
        <w:rPr>
          <w:sz w:val="24"/>
        </w:rPr>
        <w:t>on 1 July 2016; and</w:t>
      </w:r>
    </w:p>
    <w:p>
      <w:pPr>
        <w:pStyle w:val="ListParagraph"/>
        <w:numPr>
          <w:ilvl w:val="4"/>
          <w:numId w:val="390"/>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is taken to have complied with the requirements of</w:t>
      </w:r>
      <w:r>
        <w:rPr>
          <w:spacing w:val="57"/>
          <w:sz w:val="24"/>
        </w:rPr>
        <w:t> </w:t>
      </w:r>
      <w:r>
        <w:rPr>
          <w:sz w:val="24"/>
        </w:rPr>
        <w:t>paragraph</w:t>
      </w:r>
    </w:p>
    <w:p>
      <w:pPr>
        <w:spacing w:before="0"/>
        <w:ind w:left="2486" w:right="0" w:firstLine="0"/>
        <w:jc w:val="both"/>
        <w:rPr>
          <w:sz w:val="24"/>
        </w:rPr>
      </w:pPr>
      <w:r>
        <w:rPr>
          <w:sz w:val="24"/>
        </w:rPr>
        <w:t>(d) in making and publishing the </w:t>
      </w:r>
      <w:r>
        <w:rPr>
          <w:i/>
          <w:sz w:val="24"/>
        </w:rPr>
        <w:t>Shared Asset Guidelines</w:t>
      </w:r>
      <w:r>
        <w:rPr>
          <w:sz w:val="24"/>
        </w:rPr>
        <w:t>.</w:t>
      </w:r>
    </w:p>
    <w:p>
      <w:pPr>
        <w:pStyle w:val="BodyText"/>
        <w:spacing w:before="10"/>
        <w:ind w:firstLine="0"/>
        <w:jc w:val="left"/>
        <w:rPr>
          <w:sz w:val="20"/>
        </w:rPr>
      </w:pPr>
    </w:p>
    <w:p>
      <w:pPr>
        <w:pStyle w:val="Heading4"/>
        <w:numPr>
          <w:ilvl w:val="2"/>
          <w:numId w:val="390"/>
        </w:numPr>
        <w:tabs>
          <w:tab w:pos="1351" w:val="left" w:leader="none"/>
          <w:tab w:pos="1352" w:val="left" w:leader="none"/>
        </w:tabs>
        <w:spacing w:line="240" w:lineRule="auto" w:before="0" w:after="0"/>
        <w:ind w:left="1351" w:right="0" w:hanging="1134"/>
        <w:jc w:val="left"/>
      </w:pPr>
      <w:bookmarkStart w:name="6.4.5 Expenditure Forecast Assessment Gu" w:id="1311"/>
      <w:bookmarkEnd w:id="1311"/>
      <w:r>
        <w:rPr>
          <w:b w:val="0"/>
        </w:rPr>
      </w:r>
      <w:bookmarkStart w:name="_bookmark536" w:id="1312"/>
      <w:bookmarkEnd w:id="1312"/>
      <w:r>
        <w:rPr>
          <w:b w:val="0"/>
        </w:rPr>
      </w:r>
      <w:bookmarkStart w:name="_bookmark536" w:id="1313"/>
      <w:bookmarkEnd w:id="1313"/>
      <w:r>
        <w:rPr/>
        <w:t>Expendit</w:t>
      </w:r>
      <w:r>
        <w:rPr/>
        <w:t>ure Forecast Assessment</w:t>
      </w:r>
      <w:r>
        <w:rPr>
          <w:spacing w:val="-4"/>
        </w:rPr>
        <w:t> </w:t>
      </w:r>
      <w:r>
        <w:rPr/>
        <w:t>Guidelines</w:t>
      </w:r>
    </w:p>
    <w:p>
      <w:pPr>
        <w:pStyle w:val="ListParagraph"/>
        <w:numPr>
          <w:ilvl w:val="3"/>
          <w:numId w:val="39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and </w:t>
      </w:r>
      <w:r>
        <w:rPr>
          <w:i/>
          <w:sz w:val="24"/>
        </w:rPr>
        <w:t>publish </w:t>
      </w:r>
      <w:r>
        <w:rPr>
          <w:sz w:val="24"/>
        </w:rPr>
        <w:t>guidelines (the </w:t>
      </w:r>
      <w:r>
        <w:rPr>
          <w:i/>
          <w:sz w:val="24"/>
        </w:rPr>
        <w:t>Expenditure Forecast Assessment </w:t>
      </w:r>
      <w:r>
        <w:rPr>
          <w:i/>
          <w:sz w:val="24"/>
        </w:rPr>
        <w:t>Guidelines</w:t>
      </w:r>
      <w:r>
        <w:rPr>
          <w:sz w:val="24"/>
        </w:rPr>
        <w:t>) that specify the approach the </w:t>
      </w:r>
      <w:r>
        <w:rPr>
          <w:i/>
          <w:sz w:val="24"/>
        </w:rPr>
        <w:t>AER </w:t>
      </w:r>
      <w:r>
        <w:rPr>
          <w:sz w:val="24"/>
        </w:rPr>
        <w:t>proposes to use to assess the forecasts of operating expenditure and capital expenditure that form part of </w:t>
      </w:r>
      <w:r>
        <w:rPr>
          <w:i/>
          <w:sz w:val="24"/>
        </w:rPr>
        <w:t>Distribution Network Service Providers' regulatory proposals </w:t>
      </w:r>
      <w:r>
        <w:rPr>
          <w:sz w:val="24"/>
        </w:rPr>
        <w:t>and the information the </w:t>
      </w:r>
      <w:r>
        <w:rPr>
          <w:i/>
          <w:sz w:val="24"/>
        </w:rPr>
        <w:t>AER </w:t>
      </w:r>
      <w:r>
        <w:rPr>
          <w:sz w:val="24"/>
        </w:rPr>
        <w:t>requires for the purposes of that</w:t>
      </w:r>
      <w:r>
        <w:rPr>
          <w:spacing w:val="-4"/>
          <w:sz w:val="24"/>
        </w:rPr>
        <w:t> </w:t>
      </w:r>
      <w:r>
        <w:rPr>
          <w:sz w:val="24"/>
        </w:rPr>
        <w:t>assessment.</w:t>
      </w:r>
    </w:p>
    <w:p>
      <w:pPr>
        <w:pStyle w:val="ListParagraph"/>
        <w:numPr>
          <w:ilvl w:val="3"/>
          <w:numId w:val="390"/>
        </w:numPr>
        <w:tabs>
          <w:tab w:pos="1919" w:val="left" w:leader="none"/>
        </w:tabs>
        <w:spacing w:line="240" w:lineRule="auto" w:before="120" w:after="0"/>
        <w:ind w:left="1919" w:right="414" w:hanging="567"/>
        <w:jc w:val="both"/>
        <w:rPr>
          <w:sz w:val="24"/>
        </w:rPr>
      </w:pPr>
      <w:r>
        <w:rPr>
          <w:sz w:val="24"/>
        </w:rPr>
        <w:t>There must be </w:t>
      </w:r>
      <w:r>
        <w:rPr>
          <w:i/>
          <w:sz w:val="24"/>
        </w:rPr>
        <w:t>Expenditure Forecast Assessment Guidelines </w:t>
      </w:r>
      <w:r>
        <w:rPr>
          <w:sz w:val="24"/>
        </w:rPr>
        <w:t>in force at all times after the date on which the </w:t>
      </w:r>
      <w:r>
        <w:rPr>
          <w:i/>
          <w:sz w:val="24"/>
        </w:rPr>
        <w:t>AER </w:t>
      </w:r>
      <w:r>
        <w:rPr>
          <w:sz w:val="24"/>
        </w:rPr>
        <w:t>first </w:t>
      </w:r>
      <w:r>
        <w:rPr>
          <w:i/>
          <w:sz w:val="24"/>
        </w:rPr>
        <w:t>publishes </w:t>
      </w:r>
      <w:r>
        <w:rPr>
          <w:sz w:val="24"/>
        </w:rPr>
        <w:t>the </w:t>
      </w:r>
      <w:r>
        <w:rPr>
          <w:i/>
          <w:sz w:val="24"/>
        </w:rPr>
        <w:t>Expenditure </w:t>
      </w:r>
      <w:r>
        <w:rPr>
          <w:i/>
          <w:sz w:val="24"/>
        </w:rPr>
        <w:t>Forecast Assessment Guidelines </w:t>
      </w:r>
      <w:r>
        <w:rPr>
          <w:sz w:val="24"/>
        </w:rPr>
        <w:t>under these</w:t>
      </w:r>
      <w:r>
        <w:rPr>
          <w:spacing w:val="-1"/>
          <w:sz w:val="24"/>
        </w:rPr>
        <w:t> </w:t>
      </w:r>
      <w:r>
        <w:rPr>
          <w:i/>
          <w:sz w:val="24"/>
        </w:rPr>
        <w:t>Rules</w:t>
      </w:r>
      <w:r>
        <w:rPr>
          <w:sz w:val="24"/>
        </w:rPr>
        <w:t>.</w:t>
      </w:r>
    </w:p>
    <w:p>
      <w:pPr>
        <w:pStyle w:val="BodyText"/>
        <w:ind w:left="1352" w:firstLine="0"/>
      </w:pPr>
      <w:r>
        <w:rPr/>
        <w:t>(ba) For the application of these </w:t>
      </w:r>
      <w:r>
        <w:rPr>
          <w:i/>
        </w:rPr>
        <w:t>Rules </w:t>
      </w:r>
      <w:r>
        <w:rPr/>
        <w:t>in this jurisdiction:</w:t>
      </w:r>
    </w:p>
    <w:p>
      <w:pPr>
        <w:pStyle w:val="ListParagraph"/>
        <w:numPr>
          <w:ilvl w:val="4"/>
          <w:numId w:val="390"/>
        </w:numPr>
        <w:tabs>
          <w:tab w:pos="2486" w:val="left" w:leader="none"/>
        </w:tabs>
        <w:spacing w:line="240" w:lineRule="auto" w:before="120" w:after="0"/>
        <w:ind w:left="2486" w:right="414" w:hanging="567"/>
        <w:jc w:val="both"/>
        <w:rPr>
          <w:sz w:val="24"/>
        </w:rPr>
      </w:pPr>
      <w:r>
        <w:rPr>
          <w:sz w:val="24"/>
        </w:rPr>
        <w:t>the </w:t>
      </w:r>
      <w:r>
        <w:rPr>
          <w:i/>
          <w:sz w:val="24"/>
        </w:rPr>
        <w:t>Expenditure Forecast Assessment Guidelines </w:t>
      </w:r>
      <w:r>
        <w:rPr>
          <w:sz w:val="24"/>
        </w:rPr>
        <w:t>that are in force in the other </w:t>
      </w:r>
      <w:r>
        <w:rPr>
          <w:i/>
          <w:sz w:val="24"/>
        </w:rPr>
        <w:t>participating jurisdictions </w:t>
      </w:r>
      <w:r>
        <w:rPr>
          <w:sz w:val="24"/>
        </w:rPr>
        <w:t>on 1 July 2016 are</w:t>
      </w:r>
      <w:r>
        <w:rPr>
          <w:spacing w:val="-4"/>
          <w:sz w:val="24"/>
        </w:rPr>
        <w:t> </w:t>
      </w:r>
      <w:r>
        <w:rPr>
          <w:sz w:val="24"/>
        </w:rPr>
        <w:t>taken:</w:t>
      </w:r>
    </w:p>
    <w:p>
      <w:pPr>
        <w:pStyle w:val="ListParagraph"/>
        <w:numPr>
          <w:ilvl w:val="5"/>
          <w:numId w:val="390"/>
        </w:numPr>
        <w:tabs>
          <w:tab w:pos="3053" w:val="left" w:leader="none"/>
        </w:tabs>
        <w:spacing w:line="240" w:lineRule="auto" w:before="120" w:after="0"/>
        <w:ind w:left="3053" w:right="414" w:hanging="567"/>
        <w:jc w:val="both"/>
        <w:rPr>
          <w:sz w:val="24"/>
        </w:rPr>
      </w:pPr>
      <w:r>
        <w:rPr>
          <w:sz w:val="24"/>
        </w:rPr>
        <w:t>to be the </w:t>
      </w:r>
      <w:r>
        <w:rPr>
          <w:i/>
          <w:sz w:val="24"/>
        </w:rPr>
        <w:t>Expenditure Forecast Assessment Guidelines </w:t>
      </w:r>
      <w:r>
        <w:rPr>
          <w:sz w:val="24"/>
        </w:rPr>
        <w:t>in force in this jurisdiction (subject to any amendment or replacement under these </w:t>
      </w:r>
      <w:r>
        <w:rPr>
          <w:i/>
          <w:sz w:val="24"/>
        </w:rPr>
        <w:t>Rules</w:t>
      </w:r>
      <w:r>
        <w:rPr>
          <w:sz w:val="24"/>
        </w:rPr>
        <w:t>);</w:t>
      </w:r>
      <w:r>
        <w:rPr>
          <w:spacing w:val="-1"/>
          <w:sz w:val="24"/>
        </w:rPr>
        <w:t> </w:t>
      </w:r>
      <w:r>
        <w:rPr>
          <w:sz w:val="24"/>
        </w:rPr>
        <w:t>and</w:t>
      </w:r>
    </w:p>
    <w:p>
      <w:pPr>
        <w:pStyle w:val="ListParagraph"/>
        <w:numPr>
          <w:ilvl w:val="5"/>
          <w:numId w:val="390"/>
        </w:numPr>
        <w:tabs>
          <w:tab w:pos="3054" w:val="left" w:leader="none"/>
        </w:tabs>
        <w:spacing w:line="240" w:lineRule="auto" w:before="120" w:after="0"/>
        <w:ind w:left="3053" w:right="416" w:hanging="567"/>
        <w:jc w:val="both"/>
        <w:rPr>
          <w:sz w:val="24"/>
        </w:rPr>
      </w:pPr>
      <w:r>
        <w:rPr>
          <w:sz w:val="24"/>
        </w:rPr>
        <w:t>to have been developed and </w:t>
      </w:r>
      <w:r>
        <w:rPr>
          <w:i/>
          <w:sz w:val="24"/>
        </w:rPr>
        <w:t>published </w:t>
      </w:r>
      <w:r>
        <w:rPr>
          <w:sz w:val="24"/>
        </w:rPr>
        <w:t>by the </w:t>
      </w:r>
      <w:r>
        <w:rPr>
          <w:i/>
          <w:sz w:val="24"/>
        </w:rPr>
        <w:t>AER </w:t>
      </w:r>
      <w:r>
        <w:rPr>
          <w:sz w:val="24"/>
        </w:rPr>
        <w:t>on 1 July 2016; and</w:t>
      </w:r>
    </w:p>
    <w:p>
      <w:pPr>
        <w:pStyle w:val="ListParagraph"/>
        <w:numPr>
          <w:ilvl w:val="4"/>
          <w:numId w:val="390"/>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is taken to have complied with the requirements of</w:t>
      </w:r>
      <w:r>
        <w:rPr>
          <w:spacing w:val="57"/>
          <w:sz w:val="24"/>
        </w:rPr>
        <w:t> </w:t>
      </w:r>
      <w:r>
        <w:rPr>
          <w:sz w:val="24"/>
        </w:rPr>
        <w:t>paragraph</w:t>
      </w:r>
    </w:p>
    <w:p>
      <w:pPr>
        <w:spacing w:before="0"/>
        <w:ind w:left="2486" w:right="415" w:firstLine="0"/>
        <w:jc w:val="both"/>
        <w:rPr>
          <w:sz w:val="24"/>
        </w:rPr>
      </w:pPr>
      <w:r>
        <w:rPr>
          <w:sz w:val="24"/>
        </w:rPr>
        <w:t>(a) in developing and </w:t>
      </w:r>
      <w:r>
        <w:rPr>
          <w:i/>
          <w:sz w:val="24"/>
        </w:rPr>
        <w:t>publishing </w:t>
      </w:r>
      <w:r>
        <w:rPr>
          <w:sz w:val="24"/>
        </w:rPr>
        <w:t>the </w:t>
      </w:r>
      <w:r>
        <w:rPr>
          <w:i/>
          <w:sz w:val="24"/>
        </w:rPr>
        <w:t>Expenditure Forecast Assessment </w:t>
      </w:r>
      <w:r>
        <w:rPr>
          <w:i/>
          <w:sz w:val="24"/>
        </w:rPr>
        <w:t>Guidelines</w:t>
      </w:r>
      <w:r>
        <w:rPr>
          <w:sz w:val="24"/>
        </w:rPr>
        <w:t>.</w:t>
      </w:r>
    </w:p>
    <w:p>
      <w:pPr>
        <w:pStyle w:val="BodyText"/>
        <w:spacing w:before="10"/>
        <w:ind w:firstLine="0"/>
        <w:jc w:val="left"/>
        <w:rPr>
          <w:sz w:val="20"/>
        </w:rPr>
      </w:pPr>
    </w:p>
    <w:p>
      <w:pPr>
        <w:pStyle w:val="Heading3"/>
        <w:numPr>
          <w:ilvl w:val="1"/>
          <w:numId w:val="391"/>
        </w:numPr>
        <w:tabs>
          <w:tab w:pos="581" w:val="left" w:leader="none"/>
          <w:tab w:pos="1351" w:val="left" w:leader="none"/>
        </w:tabs>
        <w:spacing w:line="240" w:lineRule="auto" w:before="0" w:after="0"/>
        <w:ind w:left="580" w:right="0" w:hanging="363"/>
        <w:jc w:val="left"/>
      </w:pPr>
      <w:bookmarkStart w:name="6.4A Capital expenditure incentive mecha" w:id="1314"/>
      <w:bookmarkEnd w:id="1314"/>
      <w:r>
        <w:rPr>
          <w:b w:val="0"/>
        </w:rPr>
      </w:r>
      <w:bookmarkStart w:name="_bookmark537" w:id="1315"/>
      <w:bookmarkEnd w:id="1315"/>
      <w:r>
        <w:rPr>
          <w:b w:val="0"/>
        </w:rPr>
      </w:r>
      <w:bookmarkStart w:name="_bookmark537" w:id="1316"/>
      <w:bookmarkEnd w:id="1316"/>
      <w:r>
        <w:rPr/>
        <w:t>A</w:t>
      </w:r>
      <w:r>
        <w:rPr/>
        <w:tab/>
        <w:t>Capital expenditure incentive</w:t>
      </w:r>
      <w:r>
        <w:rPr>
          <w:spacing w:val="-3"/>
        </w:rPr>
        <w:t> </w:t>
      </w:r>
      <w:r>
        <w:rPr/>
        <w:t>mechanisms</w:t>
      </w:r>
    </w:p>
    <w:p>
      <w:pPr>
        <w:pStyle w:val="ListParagraph"/>
        <w:numPr>
          <w:ilvl w:val="2"/>
          <w:numId w:val="391"/>
        </w:numPr>
        <w:tabs>
          <w:tab w:pos="1919" w:val="left" w:leader="none"/>
        </w:tabs>
        <w:spacing w:line="240" w:lineRule="auto" w:before="120" w:after="0"/>
        <w:ind w:left="1919" w:right="414" w:hanging="567"/>
        <w:jc w:val="both"/>
        <w:rPr>
          <w:sz w:val="24"/>
        </w:rPr>
      </w:pPr>
      <w:r>
        <w:rPr>
          <w:sz w:val="24"/>
        </w:rPr>
        <w:t>The </w:t>
      </w:r>
      <w:r>
        <w:rPr>
          <w:i/>
          <w:sz w:val="24"/>
        </w:rPr>
        <w:t>capital expenditure incentive objective </w:t>
      </w:r>
      <w:r>
        <w:rPr>
          <w:sz w:val="24"/>
        </w:rPr>
        <w:t>is to ensure that, where the value of a regulatory asset base is subject to adjustment in accordance with the </w:t>
      </w:r>
      <w:r>
        <w:rPr>
          <w:i/>
          <w:sz w:val="24"/>
        </w:rPr>
        <w:t>Rules</w:t>
      </w:r>
      <w:r>
        <w:rPr>
          <w:sz w:val="24"/>
        </w:rPr>
        <w:t>, then the only capital expenditure that is included in an adjustment that increases the value of that regulatory asset base is capital expenditure that reasonably reflects the </w:t>
      </w:r>
      <w:r>
        <w:rPr>
          <w:i/>
          <w:sz w:val="24"/>
        </w:rPr>
        <w:t>capital expenditure</w:t>
      </w:r>
      <w:r>
        <w:rPr>
          <w:i/>
          <w:spacing w:val="-1"/>
          <w:sz w:val="24"/>
        </w:rPr>
        <w:t> </w:t>
      </w:r>
      <w:r>
        <w:rPr>
          <w:i/>
          <w:sz w:val="24"/>
        </w:rPr>
        <w:t>criteria</w:t>
      </w:r>
      <w:r>
        <w:rPr>
          <w:sz w:val="24"/>
        </w:rPr>
        <w:t>.</w:t>
      </w:r>
    </w:p>
    <w:p>
      <w:pPr>
        <w:pStyle w:val="ListParagraph"/>
        <w:numPr>
          <w:ilvl w:val="2"/>
          <w:numId w:val="391"/>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make and </w:t>
      </w:r>
      <w:r>
        <w:rPr>
          <w:i/>
          <w:sz w:val="24"/>
        </w:rPr>
        <w:t>publish </w:t>
      </w:r>
      <w:r>
        <w:rPr>
          <w:sz w:val="24"/>
        </w:rPr>
        <w:t>guidelines (the </w:t>
      </w:r>
      <w:r>
        <w:rPr>
          <w:i/>
          <w:sz w:val="24"/>
        </w:rPr>
        <w:t>Capital Expenditure Incentive Guidelines</w:t>
      </w:r>
      <w:r>
        <w:rPr>
          <w:sz w:val="24"/>
        </w:rPr>
        <w:t>) that set</w:t>
      </w:r>
      <w:r>
        <w:rPr>
          <w:spacing w:val="-2"/>
          <w:sz w:val="24"/>
        </w:rPr>
        <w:t> </w:t>
      </w:r>
      <w:r>
        <w:rPr>
          <w:sz w:val="24"/>
        </w:rPr>
        <w:t>out:</w:t>
      </w:r>
    </w:p>
    <w:p>
      <w:pPr>
        <w:pStyle w:val="ListParagraph"/>
        <w:numPr>
          <w:ilvl w:val="3"/>
          <w:numId w:val="391"/>
        </w:numPr>
        <w:tabs>
          <w:tab w:pos="2486" w:val="left" w:leader="none"/>
        </w:tabs>
        <w:spacing w:line="240" w:lineRule="auto" w:before="120" w:after="0"/>
        <w:ind w:left="2486" w:right="415" w:hanging="567"/>
        <w:jc w:val="both"/>
        <w:rPr>
          <w:sz w:val="24"/>
        </w:rPr>
      </w:pPr>
      <w:r>
        <w:rPr>
          <w:sz w:val="24"/>
        </w:rPr>
        <w:t>any </w:t>
      </w:r>
      <w:r>
        <w:rPr>
          <w:i/>
          <w:sz w:val="24"/>
        </w:rPr>
        <w:t>capital expenditure sharing schemes </w:t>
      </w:r>
      <w:r>
        <w:rPr>
          <w:sz w:val="24"/>
        </w:rPr>
        <w:t>developed by the </w:t>
      </w:r>
      <w:r>
        <w:rPr>
          <w:i/>
          <w:sz w:val="24"/>
        </w:rPr>
        <w:t>AER </w:t>
      </w:r>
      <w:r>
        <w:rPr>
          <w:sz w:val="24"/>
        </w:rPr>
        <w:t>in accordance with clause 6.5.8A, and how the </w:t>
      </w:r>
      <w:r>
        <w:rPr>
          <w:i/>
          <w:sz w:val="24"/>
        </w:rPr>
        <w:t>AER </w:t>
      </w:r>
      <w:r>
        <w:rPr>
          <w:sz w:val="24"/>
        </w:rPr>
        <w:t>has taken into account the </w:t>
      </w:r>
      <w:r>
        <w:rPr>
          <w:i/>
          <w:sz w:val="24"/>
        </w:rPr>
        <w:t>capital expenditure sharing scheme principles </w:t>
      </w:r>
      <w:r>
        <w:rPr>
          <w:sz w:val="24"/>
        </w:rPr>
        <w:t>in developing those</w:t>
      </w:r>
      <w:r>
        <w:rPr>
          <w:spacing w:val="-1"/>
          <w:sz w:val="24"/>
        </w:rPr>
        <w:t> </w:t>
      </w:r>
      <w:r>
        <w:rPr>
          <w:sz w:val="24"/>
        </w:rPr>
        <w:t>schemes;</w:t>
      </w:r>
    </w:p>
    <w:p>
      <w:pPr>
        <w:pStyle w:val="ListParagraph"/>
        <w:numPr>
          <w:ilvl w:val="3"/>
          <w:numId w:val="391"/>
        </w:numPr>
        <w:tabs>
          <w:tab w:pos="2486" w:val="left" w:leader="none"/>
        </w:tabs>
        <w:spacing w:line="240" w:lineRule="auto" w:before="120" w:after="0"/>
        <w:ind w:left="2486" w:right="415" w:hanging="567"/>
        <w:jc w:val="both"/>
        <w:rPr>
          <w:sz w:val="24"/>
        </w:rPr>
      </w:pPr>
      <w:r>
        <w:rPr>
          <w:sz w:val="24"/>
        </w:rPr>
        <w:t>the manner in which it proposes to make determinations under clause S6.2.2A(a) if the </w:t>
      </w:r>
      <w:r>
        <w:rPr>
          <w:i/>
          <w:sz w:val="24"/>
        </w:rPr>
        <w:t>overspending requirement </w:t>
      </w:r>
      <w:r>
        <w:rPr>
          <w:sz w:val="24"/>
        </w:rPr>
        <w:t>is</w:t>
      </w:r>
      <w:r>
        <w:rPr>
          <w:spacing w:val="-9"/>
          <w:sz w:val="24"/>
        </w:rPr>
        <w:t> </w:t>
      </w:r>
      <w:r>
        <w:rPr>
          <w:sz w:val="24"/>
        </w:rPr>
        <w:t>satisfied;</w:t>
      </w:r>
    </w:p>
    <w:p>
      <w:pPr>
        <w:spacing w:after="0" w:line="240" w:lineRule="auto"/>
        <w:jc w:val="both"/>
        <w:rPr>
          <w:sz w:val="24"/>
        </w:rPr>
        <w:sectPr>
          <w:pgSz w:w="11910" w:h="16840"/>
          <w:pgMar w:header="686" w:footer="637" w:top="1320" w:bottom="820" w:left="1200" w:right="1000"/>
        </w:sectPr>
      </w:pPr>
    </w:p>
    <w:p>
      <w:pPr>
        <w:pStyle w:val="ListParagraph"/>
        <w:numPr>
          <w:ilvl w:val="3"/>
          <w:numId w:val="391"/>
        </w:numPr>
        <w:tabs>
          <w:tab w:pos="2486" w:val="left" w:leader="none"/>
        </w:tabs>
        <w:spacing w:line="240" w:lineRule="auto" w:before="83" w:after="0"/>
        <w:ind w:left="2486" w:right="415" w:hanging="567"/>
        <w:jc w:val="both"/>
        <w:rPr>
          <w:sz w:val="24"/>
        </w:rPr>
      </w:pPr>
      <w:r>
        <w:rPr>
          <w:sz w:val="24"/>
        </w:rPr>
        <w:t>the manner in which it proposes to determine whether depreciation for establishing a regulatory asset base as at the commencement of</w:t>
      </w:r>
      <w:r>
        <w:rPr>
          <w:spacing w:val="27"/>
          <w:sz w:val="24"/>
        </w:rPr>
        <w:t> </w:t>
      </w:r>
      <w:r>
        <w:rPr>
          <w:sz w:val="24"/>
        </w:rPr>
        <w:t>a </w:t>
      </w:r>
      <w:r>
        <w:rPr>
          <w:i/>
          <w:sz w:val="24"/>
        </w:rPr>
        <w:t>regulatory control period </w:t>
      </w:r>
      <w:r>
        <w:rPr>
          <w:sz w:val="24"/>
        </w:rPr>
        <w:t>is to be based on actual or forecast capital expenditure;</w:t>
      </w:r>
    </w:p>
    <w:p>
      <w:pPr>
        <w:pStyle w:val="ListParagraph"/>
        <w:numPr>
          <w:ilvl w:val="3"/>
          <w:numId w:val="391"/>
        </w:numPr>
        <w:tabs>
          <w:tab w:pos="2486" w:val="left" w:leader="none"/>
        </w:tabs>
        <w:spacing w:line="240" w:lineRule="auto" w:before="120" w:after="0"/>
        <w:ind w:left="2486" w:right="415" w:hanging="567"/>
        <w:jc w:val="both"/>
        <w:rPr>
          <w:sz w:val="24"/>
        </w:rPr>
      </w:pPr>
      <w:r>
        <w:rPr>
          <w:sz w:val="24"/>
        </w:rPr>
        <w:t>the manner in which it proposes to make determinations under clause S6.2.2A(i) if the </w:t>
      </w:r>
      <w:r>
        <w:rPr>
          <w:i/>
          <w:sz w:val="24"/>
        </w:rPr>
        <w:t>margin requirement </w:t>
      </w:r>
      <w:r>
        <w:rPr>
          <w:sz w:val="24"/>
        </w:rPr>
        <w:t>is satisfied;</w:t>
      </w:r>
      <w:r>
        <w:rPr>
          <w:spacing w:val="-8"/>
          <w:sz w:val="24"/>
        </w:rPr>
        <w:t> </w:t>
      </w:r>
      <w:r>
        <w:rPr>
          <w:sz w:val="24"/>
        </w:rPr>
        <w:t>and</w:t>
      </w:r>
    </w:p>
    <w:p>
      <w:pPr>
        <w:pStyle w:val="ListParagraph"/>
        <w:numPr>
          <w:ilvl w:val="3"/>
          <w:numId w:val="391"/>
        </w:numPr>
        <w:tabs>
          <w:tab w:pos="2486" w:val="left" w:leader="none"/>
        </w:tabs>
        <w:spacing w:line="240" w:lineRule="auto" w:before="120" w:after="0"/>
        <w:ind w:left="2486" w:right="415" w:hanging="567"/>
        <w:jc w:val="both"/>
        <w:rPr>
          <w:sz w:val="24"/>
        </w:rPr>
      </w:pPr>
      <w:r>
        <w:rPr>
          <w:sz w:val="24"/>
        </w:rPr>
        <w:t>the manner in which it proposes to make determinations under clause S6.2.2A(j) if the </w:t>
      </w:r>
      <w:r>
        <w:rPr>
          <w:i/>
          <w:sz w:val="24"/>
        </w:rPr>
        <w:t>capitalisation requirement </w:t>
      </w:r>
      <w:r>
        <w:rPr>
          <w:sz w:val="24"/>
        </w:rPr>
        <w:t>is satisfied;</w:t>
      </w:r>
      <w:r>
        <w:rPr>
          <w:spacing w:val="-11"/>
          <w:sz w:val="24"/>
        </w:rPr>
        <w:t> </w:t>
      </w:r>
      <w:r>
        <w:rPr>
          <w:sz w:val="24"/>
        </w:rPr>
        <w:t>and</w:t>
      </w:r>
    </w:p>
    <w:p>
      <w:pPr>
        <w:pStyle w:val="ListParagraph"/>
        <w:numPr>
          <w:ilvl w:val="3"/>
          <w:numId w:val="391"/>
        </w:numPr>
        <w:tabs>
          <w:tab w:pos="2486" w:val="left" w:leader="none"/>
        </w:tabs>
        <w:spacing w:line="240" w:lineRule="auto" w:before="120" w:after="0"/>
        <w:ind w:left="2486" w:right="414" w:hanging="567"/>
        <w:jc w:val="both"/>
        <w:rPr>
          <w:sz w:val="24"/>
        </w:rPr>
      </w:pPr>
      <w:r>
        <w:rPr>
          <w:sz w:val="24"/>
        </w:rPr>
        <w:t>how each scheme and proposal referred to in subparagraphs (1) to (5), and all of them taken together, are consistent with the </w:t>
      </w:r>
      <w:r>
        <w:rPr>
          <w:i/>
          <w:sz w:val="24"/>
        </w:rPr>
        <w:t>capital </w:t>
      </w:r>
      <w:r>
        <w:rPr>
          <w:i/>
          <w:sz w:val="24"/>
        </w:rPr>
        <w:t>expenditure incentive</w:t>
      </w:r>
      <w:r>
        <w:rPr>
          <w:i/>
          <w:spacing w:val="-1"/>
          <w:sz w:val="24"/>
        </w:rPr>
        <w:t> </w:t>
      </w:r>
      <w:r>
        <w:rPr>
          <w:i/>
          <w:sz w:val="24"/>
        </w:rPr>
        <w:t>objective</w:t>
      </w:r>
      <w:r>
        <w:rPr>
          <w:sz w:val="24"/>
        </w:rPr>
        <w:t>.</w:t>
      </w:r>
    </w:p>
    <w:p>
      <w:pPr>
        <w:pStyle w:val="ListParagraph"/>
        <w:numPr>
          <w:ilvl w:val="2"/>
          <w:numId w:val="391"/>
        </w:numPr>
        <w:tabs>
          <w:tab w:pos="1919" w:val="left" w:leader="none"/>
        </w:tabs>
        <w:spacing w:line="240" w:lineRule="auto" w:before="120" w:after="0"/>
        <w:ind w:left="1919" w:right="415" w:hanging="567"/>
        <w:jc w:val="both"/>
        <w:rPr>
          <w:sz w:val="24"/>
        </w:rPr>
      </w:pPr>
      <w:r>
        <w:rPr>
          <w:sz w:val="24"/>
        </w:rPr>
        <w:t>There must be </w:t>
      </w:r>
      <w:r>
        <w:rPr>
          <w:i/>
          <w:sz w:val="24"/>
        </w:rPr>
        <w:t>Capital Expenditure Incentive Guidelines </w:t>
      </w:r>
      <w:r>
        <w:rPr>
          <w:sz w:val="24"/>
        </w:rPr>
        <w:t>in force at all times after the date on which the </w:t>
      </w:r>
      <w:r>
        <w:rPr>
          <w:i/>
          <w:sz w:val="24"/>
        </w:rPr>
        <w:t>AER </w:t>
      </w:r>
      <w:r>
        <w:rPr>
          <w:sz w:val="24"/>
        </w:rPr>
        <w:t>first </w:t>
      </w:r>
      <w:r>
        <w:rPr>
          <w:i/>
          <w:sz w:val="24"/>
        </w:rPr>
        <w:t>publishes </w:t>
      </w:r>
      <w:r>
        <w:rPr>
          <w:sz w:val="24"/>
        </w:rPr>
        <w:t>the </w:t>
      </w:r>
      <w:r>
        <w:rPr>
          <w:i/>
          <w:sz w:val="24"/>
        </w:rPr>
        <w:t>Capital Expenditure </w:t>
      </w:r>
      <w:r>
        <w:rPr>
          <w:i/>
          <w:sz w:val="24"/>
        </w:rPr>
        <w:t>Incentive Guidelines </w:t>
      </w:r>
      <w:r>
        <w:rPr>
          <w:sz w:val="24"/>
        </w:rPr>
        <w:t>under these</w:t>
      </w:r>
      <w:r>
        <w:rPr>
          <w:spacing w:val="-1"/>
          <w:sz w:val="24"/>
        </w:rPr>
        <w:t> </w:t>
      </w:r>
      <w:r>
        <w:rPr>
          <w:i/>
          <w:sz w:val="24"/>
        </w:rPr>
        <w:t>Rules</w:t>
      </w:r>
      <w:r>
        <w:rPr>
          <w:sz w:val="24"/>
        </w:rPr>
        <w:t>.</w:t>
      </w:r>
    </w:p>
    <w:p>
      <w:pPr>
        <w:pStyle w:val="BodyText"/>
        <w:ind w:left="1352" w:firstLine="0"/>
      </w:pPr>
      <w:r>
        <w:rPr/>
        <w:t>(ca) For the application of these </w:t>
      </w:r>
      <w:r>
        <w:rPr>
          <w:i/>
        </w:rPr>
        <w:t>Rules </w:t>
      </w:r>
      <w:r>
        <w:rPr/>
        <w:t>in this jurisdiction:</w:t>
      </w:r>
    </w:p>
    <w:p>
      <w:pPr>
        <w:pStyle w:val="ListParagraph"/>
        <w:numPr>
          <w:ilvl w:val="3"/>
          <w:numId w:val="391"/>
        </w:numPr>
        <w:tabs>
          <w:tab w:pos="2486" w:val="left" w:leader="none"/>
        </w:tabs>
        <w:spacing w:line="240" w:lineRule="auto" w:before="120" w:after="0"/>
        <w:ind w:left="2486" w:right="415" w:hanging="567"/>
        <w:jc w:val="both"/>
        <w:rPr>
          <w:sz w:val="24"/>
        </w:rPr>
      </w:pPr>
      <w:r>
        <w:rPr>
          <w:sz w:val="24"/>
        </w:rPr>
        <w:t>the </w:t>
      </w:r>
      <w:r>
        <w:rPr>
          <w:i/>
          <w:sz w:val="24"/>
        </w:rPr>
        <w:t>Capital Expenditure Incentive Guidelines </w:t>
      </w:r>
      <w:r>
        <w:rPr>
          <w:sz w:val="24"/>
        </w:rPr>
        <w:t>that are in force in the other </w:t>
      </w:r>
      <w:r>
        <w:rPr>
          <w:i/>
          <w:sz w:val="24"/>
        </w:rPr>
        <w:t>participating jurisdictions </w:t>
      </w:r>
      <w:r>
        <w:rPr>
          <w:sz w:val="24"/>
        </w:rPr>
        <w:t>on 1 July 2016 are</w:t>
      </w:r>
      <w:r>
        <w:rPr>
          <w:spacing w:val="-3"/>
          <w:sz w:val="24"/>
        </w:rPr>
        <w:t> </w:t>
      </w:r>
      <w:r>
        <w:rPr>
          <w:sz w:val="24"/>
        </w:rPr>
        <w:t>taken:</w:t>
      </w:r>
    </w:p>
    <w:p>
      <w:pPr>
        <w:pStyle w:val="ListParagraph"/>
        <w:numPr>
          <w:ilvl w:val="4"/>
          <w:numId w:val="391"/>
        </w:numPr>
        <w:tabs>
          <w:tab w:pos="3053" w:val="left" w:leader="none"/>
        </w:tabs>
        <w:spacing w:line="240" w:lineRule="auto" w:before="120" w:after="0"/>
        <w:ind w:left="3053" w:right="415" w:hanging="567"/>
        <w:jc w:val="both"/>
        <w:rPr>
          <w:sz w:val="24"/>
        </w:rPr>
      </w:pPr>
      <w:r>
        <w:rPr>
          <w:sz w:val="24"/>
        </w:rPr>
        <w:t>to be the </w:t>
      </w:r>
      <w:r>
        <w:rPr>
          <w:i/>
          <w:sz w:val="24"/>
        </w:rPr>
        <w:t>Capital Expenditure Incentive Guidelines </w:t>
      </w:r>
      <w:r>
        <w:rPr>
          <w:sz w:val="24"/>
        </w:rPr>
        <w:t>in force in this jurisdiction (subject to any amendment or replacement under these </w:t>
      </w:r>
      <w:r>
        <w:rPr>
          <w:i/>
          <w:sz w:val="24"/>
        </w:rPr>
        <w:t>Rules</w:t>
      </w:r>
      <w:r>
        <w:rPr>
          <w:sz w:val="24"/>
        </w:rPr>
        <w:t>);</w:t>
      </w:r>
      <w:r>
        <w:rPr>
          <w:spacing w:val="-1"/>
          <w:sz w:val="24"/>
        </w:rPr>
        <w:t> </w:t>
      </w:r>
      <w:r>
        <w:rPr>
          <w:sz w:val="24"/>
        </w:rPr>
        <w:t>and</w:t>
      </w:r>
    </w:p>
    <w:p>
      <w:pPr>
        <w:pStyle w:val="ListParagraph"/>
        <w:numPr>
          <w:ilvl w:val="4"/>
          <w:numId w:val="391"/>
        </w:numPr>
        <w:tabs>
          <w:tab w:pos="3054" w:val="left" w:leader="none"/>
        </w:tabs>
        <w:spacing w:line="240" w:lineRule="auto" w:before="120" w:after="0"/>
        <w:ind w:left="3053" w:right="416" w:hanging="567"/>
        <w:jc w:val="both"/>
        <w:rPr>
          <w:sz w:val="24"/>
        </w:rPr>
      </w:pPr>
      <w:r>
        <w:rPr>
          <w:sz w:val="24"/>
        </w:rPr>
        <w:t>to have been made and </w:t>
      </w:r>
      <w:r>
        <w:rPr>
          <w:i/>
          <w:sz w:val="24"/>
        </w:rPr>
        <w:t>published </w:t>
      </w:r>
      <w:r>
        <w:rPr>
          <w:sz w:val="24"/>
        </w:rPr>
        <w:t>by the </w:t>
      </w:r>
      <w:r>
        <w:rPr>
          <w:i/>
          <w:sz w:val="24"/>
        </w:rPr>
        <w:t>AER </w:t>
      </w:r>
      <w:r>
        <w:rPr>
          <w:sz w:val="24"/>
        </w:rPr>
        <w:t>on 1 July 2016; and</w:t>
      </w:r>
    </w:p>
    <w:p>
      <w:pPr>
        <w:pStyle w:val="ListParagraph"/>
        <w:numPr>
          <w:ilvl w:val="3"/>
          <w:numId w:val="391"/>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is taken to have complied with the requirements of</w:t>
      </w:r>
      <w:r>
        <w:rPr>
          <w:spacing w:val="57"/>
          <w:sz w:val="24"/>
        </w:rPr>
        <w:t> </w:t>
      </w:r>
      <w:r>
        <w:rPr>
          <w:sz w:val="24"/>
        </w:rPr>
        <w:t>paragraph</w:t>
      </w:r>
    </w:p>
    <w:p>
      <w:pPr>
        <w:spacing w:before="0"/>
        <w:ind w:left="2486" w:right="415" w:firstLine="0"/>
        <w:jc w:val="both"/>
        <w:rPr>
          <w:sz w:val="24"/>
        </w:rPr>
      </w:pPr>
      <w:r>
        <w:rPr>
          <w:sz w:val="24"/>
        </w:rPr>
        <w:t>(b) in making and </w:t>
      </w:r>
      <w:r>
        <w:rPr>
          <w:i/>
          <w:sz w:val="24"/>
        </w:rPr>
        <w:t>publishing </w:t>
      </w:r>
      <w:r>
        <w:rPr>
          <w:sz w:val="24"/>
        </w:rPr>
        <w:t>the </w:t>
      </w:r>
      <w:r>
        <w:rPr>
          <w:i/>
          <w:sz w:val="24"/>
        </w:rPr>
        <w:t>Capital Expenditure Incentive </w:t>
      </w:r>
      <w:r>
        <w:rPr>
          <w:i/>
          <w:sz w:val="24"/>
        </w:rPr>
        <w:t>Guidelines</w:t>
      </w:r>
      <w:r>
        <w:rPr>
          <w:sz w:val="24"/>
        </w:rPr>
        <w:t>.</w:t>
      </w:r>
    </w:p>
    <w:p>
      <w:pPr>
        <w:pStyle w:val="BodyText"/>
        <w:spacing w:before="10"/>
        <w:ind w:firstLine="0"/>
        <w:jc w:val="left"/>
        <w:rPr>
          <w:sz w:val="20"/>
        </w:rPr>
      </w:pPr>
    </w:p>
    <w:p>
      <w:pPr>
        <w:pStyle w:val="Heading3"/>
        <w:tabs>
          <w:tab w:pos="1351" w:val="left" w:leader="none"/>
        </w:tabs>
        <w:ind w:left="218" w:firstLine="0"/>
      </w:pPr>
      <w:bookmarkStart w:name="6.4B Asset exemptions" w:id="1317"/>
      <w:bookmarkEnd w:id="1317"/>
      <w:r>
        <w:rPr>
          <w:b w:val="0"/>
        </w:rPr>
      </w:r>
      <w:bookmarkStart w:name="_bookmark538" w:id="1318"/>
      <w:bookmarkEnd w:id="1318"/>
      <w:r>
        <w:rPr>
          <w:b w:val="0"/>
        </w:rPr>
      </w:r>
      <w:r>
        <w:rPr/>
        <w:t>6.4B</w:t>
        <w:tab/>
        <w:t>Asset</w:t>
      </w:r>
      <w:r>
        <w:rPr>
          <w:spacing w:val="-9"/>
        </w:rPr>
        <w:t> </w:t>
      </w:r>
      <w:r>
        <w:rPr/>
        <w:t>exemptions</w:t>
      </w:r>
    </w:p>
    <w:p>
      <w:pPr>
        <w:pStyle w:val="Heading4"/>
        <w:numPr>
          <w:ilvl w:val="1"/>
          <w:numId w:val="392"/>
        </w:numPr>
        <w:tabs>
          <w:tab w:pos="553" w:val="left" w:leader="none"/>
          <w:tab w:pos="1351" w:val="left" w:leader="none"/>
        </w:tabs>
        <w:spacing w:line="240" w:lineRule="auto" w:before="240" w:after="0"/>
        <w:ind w:left="552" w:right="0" w:hanging="335"/>
        <w:jc w:val="left"/>
      </w:pPr>
      <w:bookmarkStart w:name="6.4B.1 Asset exemption decisions and Ass" w:id="1319"/>
      <w:bookmarkEnd w:id="1319"/>
      <w:r>
        <w:rPr>
          <w:b w:val="0"/>
        </w:rPr>
      </w:r>
      <w:bookmarkStart w:name="_bookmark539" w:id="1320"/>
      <w:bookmarkEnd w:id="1320"/>
      <w:r>
        <w:rPr>
          <w:b w:val="0"/>
        </w:rPr>
      </w:r>
      <w:bookmarkStart w:name="_bookmark539" w:id="1321"/>
      <w:bookmarkEnd w:id="1321"/>
      <w:r>
        <w:rPr/>
        <w:t>B.</w:t>
      </w:r>
      <w:r>
        <w:rPr/>
        <w:t>1</w:t>
        <w:tab/>
        <w:t>Asset exemption decisions and Asset Exemption</w:t>
      </w:r>
      <w:r>
        <w:rPr>
          <w:spacing w:val="-7"/>
        </w:rPr>
        <w:t> </w:t>
      </w:r>
      <w:r>
        <w:rPr/>
        <w:t>Guidelines</w:t>
      </w:r>
    </w:p>
    <w:p>
      <w:pPr>
        <w:pStyle w:val="ListParagraph"/>
        <w:numPr>
          <w:ilvl w:val="2"/>
          <w:numId w:val="39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following receipt of an </w:t>
      </w:r>
      <w:r>
        <w:rPr>
          <w:i/>
          <w:sz w:val="24"/>
        </w:rPr>
        <w:t>exemption application </w:t>
      </w:r>
      <w:r>
        <w:rPr>
          <w:sz w:val="24"/>
        </w:rPr>
        <w:t>and in accordance with this Chapter,</w:t>
      </w:r>
      <w:r>
        <w:rPr>
          <w:spacing w:val="-2"/>
          <w:sz w:val="24"/>
        </w:rPr>
        <w:t> </w:t>
      </w:r>
      <w:r>
        <w:rPr>
          <w:sz w:val="24"/>
        </w:rPr>
        <w:t>approve:</w:t>
      </w:r>
    </w:p>
    <w:p>
      <w:pPr>
        <w:pStyle w:val="ListParagraph"/>
        <w:numPr>
          <w:ilvl w:val="3"/>
          <w:numId w:val="392"/>
        </w:numPr>
        <w:tabs>
          <w:tab w:pos="2486" w:val="left" w:leader="none"/>
        </w:tabs>
        <w:spacing w:line="240" w:lineRule="auto" w:before="120" w:after="0"/>
        <w:ind w:left="2486" w:right="415" w:hanging="567"/>
        <w:jc w:val="both"/>
        <w:rPr>
          <w:sz w:val="24"/>
        </w:rPr>
      </w:pPr>
      <w:r>
        <w:rPr>
          <w:sz w:val="24"/>
        </w:rPr>
        <w:t>for the purpose of clause 6.5.7(c)(2), the inclusion of </w:t>
      </w:r>
      <w:r>
        <w:rPr>
          <w:i/>
          <w:sz w:val="24"/>
        </w:rPr>
        <w:t>expenditure for a </w:t>
      </w:r>
      <w:r>
        <w:rPr>
          <w:i/>
          <w:sz w:val="24"/>
        </w:rPr>
        <w:t>restricted asset </w:t>
      </w:r>
      <w:r>
        <w:rPr>
          <w:sz w:val="24"/>
        </w:rPr>
        <w:t>in a </w:t>
      </w:r>
      <w:r>
        <w:rPr>
          <w:i/>
          <w:sz w:val="24"/>
        </w:rPr>
        <w:t>Distribution Network Service Provider</w:t>
      </w:r>
      <w:r>
        <w:rPr>
          <w:sz w:val="24"/>
        </w:rPr>
        <w:t>'s forecast of required capital</w:t>
      </w:r>
      <w:r>
        <w:rPr>
          <w:spacing w:val="-1"/>
          <w:sz w:val="24"/>
        </w:rPr>
        <w:t> </w:t>
      </w:r>
      <w:r>
        <w:rPr>
          <w:sz w:val="24"/>
        </w:rPr>
        <w:t>expenditure;</w:t>
      </w:r>
    </w:p>
    <w:p>
      <w:pPr>
        <w:pStyle w:val="ListParagraph"/>
        <w:numPr>
          <w:ilvl w:val="3"/>
          <w:numId w:val="392"/>
        </w:numPr>
        <w:tabs>
          <w:tab w:pos="2486" w:val="left" w:leader="none"/>
        </w:tabs>
        <w:spacing w:line="240" w:lineRule="auto" w:before="120" w:after="0"/>
        <w:ind w:left="2486" w:right="415" w:hanging="567"/>
        <w:jc w:val="both"/>
        <w:rPr>
          <w:sz w:val="24"/>
        </w:rPr>
      </w:pPr>
      <w:r>
        <w:rPr>
          <w:sz w:val="24"/>
        </w:rPr>
        <w:t>for the purpose of clause 6.6A.1(b1), the inclusion of </w:t>
      </w:r>
      <w:r>
        <w:rPr>
          <w:i/>
          <w:sz w:val="24"/>
        </w:rPr>
        <w:t>expenditure </w:t>
      </w:r>
      <w:r>
        <w:rPr>
          <w:i/>
          <w:spacing w:val="-5"/>
          <w:sz w:val="24"/>
        </w:rPr>
        <w:t>for  </w:t>
      </w:r>
      <w:r>
        <w:rPr>
          <w:i/>
          <w:sz w:val="24"/>
        </w:rPr>
        <w:t>a restricted asset </w:t>
      </w:r>
      <w:r>
        <w:rPr>
          <w:sz w:val="24"/>
        </w:rPr>
        <w:t>in a </w:t>
      </w:r>
      <w:r>
        <w:rPr>
          <w:i/>
          <w:sz w:val="24"/>
        </w:rPr>
        <w:t>Distribution Network Service Provider</w:t>
      </w:r>
      <w:r>
        <w:rPr>
          <w:sz w:val="24"/>
        </w:rPr>
        <w:t>'s </w:t>
      </w:r>
      <w:r>
        <w:rPr>
          <w:i/>
          <w:sz w:val="24"/>
        </w:rPr>
        <w:t>proposed contingent capital expenditure </w:t>
      </w:r>
      <w:r>
        <w:rPr>
          <w:sz w:val="24"/>
        </w:rPr>
        <w:t>for a </w:t>
      </w:r>
      <w:r>
        <w:rPr>
          <w:i/>
          <w:sz w:val="24"/>
        </w:rPr>
        <w:t>proposed contingent </w:t>
      </w:r>
      <w:r>
        <w:rPr>
          <w:i/>
          <w:sz w:val="24"/>
        </w:rPr>
        <w:t>project</w:t>
      </w:r>
      <w:r>
        <w:rPr>
          <w:sz w:val="24"/>
        </w:rPr>
        <w:t>;</w:t>
      </w:r>
    </w:p>
    <w:p>
      <w:pPr>
        <w:pStyle w:val="ListParagraph"/>
        <w:numPr>
          <w:ilvl w:val="3"/>
          <w:numId w:val="392"/>
        </w:numPr>
        <w:tabs>
          <w:tab w:pos="2486" w:val="left" w:leader="none"/>
        </w:tabs>
        <w:spacing w:line="240" w:lineRule="auto" w:before="120" w:after="0"/>
        <w:ind w:left="2486" w:right="415" w:hanging="567"/>
        <w:jc w:val="both"/>
        <w:rPr>
          <w:sz w:val="24"/>
        </w:rPr>
      </w:pPr>
      <w:r>
        <w:rPr>
          <w:sz w:val="24"/>
        </w:rPr>
        <w:t>for the purpose of clause 6.6.1(d2), the inclusion of </w:t>
      </w:r>
      <w:r>
        <w:rPr>
          <w:i/>
          <w:sz w:val="24"/>
        </w:rPr>
        <w:t>expenditure for a </w:t>
      </w:r>
      <w:r>
        <w:rPr>
          <w:i/>
          <w:sz w:val="24"/>
        </w:rPr>
        <w:t>restricted asset </w:t>
      </w:r>
      <w:r>
        <w:rPr>
          <w:sz w:val="24"/>
        </w:rPr>
        <w:t>in a </w:t>
      </w:r>
      <w:r>
        <w:rPr>
          <w:i/>
          <w:sz w:val="24"/>
        </w:rPr>
        <w:t>Distribution Network Service Provider's positive </w:t>
      </w:r>
      <w:r>
        <w:rPr>
          <w:i/>
          <w:sz w:val="24"/>
        </w:rPr>
        <w:t>pass through amount </w:t>
      </w:r>
      <w:r>
        <w:rPr>
          <w:sz w:val="24"/>
        </w:rPr>
        <w:t>for a </w:t>
      </w:r>
      <w:r>
        <w:rPr>
          <w:i/>
          <w:sz w:val="24"/>
        </w:rPr>
        <w:t>positive change event</w:t>
      </w:r>
      <w:r>
        <w:rPr>
          <w:sz w:val="24"/>
        </w:rPr>
        <w:t>;</w:t>
      </w:r>
      <w:r>
        <w:rPr>
          <w:spacing w:val="-3"/>
          <w:sz w:val="24"/>
        </w:rPr>
        <w:t> </w:t>
      </w:r>
      <w:r>
        <w:rPr>
          <w:sz w:val="24"/>
        </w:rPr>
        <w:t>and</w:t>
      </w:r>
    </w:p>
    <w:p>
      <w:pPr>
        <w:pStyle w:val="ListParagraph"/>
        <w:numPr>
          <w:ilvl w:val="3"/>
          <w:numId w:val="392"/>
        </w:numPr>
        <w:tabs>
          <w:tab w:pos="2486" w:val="left" w:leader="none"/>
        </w:tabs>
        <w:spacing w:line="240" w:lineRule="auto" w:before="120" w:after="0"/>
        <w:ind w:left="2486" w:right="414" w:hanging="567"/>
        <w:jc w:val="both"/>
        <w:rPr>
          <w:sz w:val="24"/>
        </w:rPr>
      </w:pPr>
      <w:r>
        <w:rPr>
          <w:sz w:val="24"/>
        </w:rPr>
        <w:t>for the purpose of clause 6.6.5(f1), the inclusion of </w:t>
      </w:r>
      <w:r>
        <w:rPr>
          <w:i/>
          <w:sz w:val="24"/>
        </w:rPr>
        <w:t>expenditure for a </w:t>
      </w:r>
      <w:r>
        <w:rPr>
          <w:i/>
          <w:sz w:val="24"/>
        </w:rPr>
        <w:t>restricted asset </w:t>
      </w:r>
      <w:r>
        <w:rPr>
          <w:sz w:val="24"/>
        </w:rPr>
        <w:t>in the </w:t>
      </w:r>
      <w:r>
        <w:rPr>
          <w:i/>
          <w:sz w:val="24"/>
        </w:rPr>
        <w:t>Distribution Network Service Provider's </w:t>
      </w:r>
      <w:r>
        <w:rPr>
          <w:sz w:val="24"/>
        </w:rPr>
        <w:t>proposed capital</w:t>
      </w:r>
      <w:r>
        <w:rPr>
          <w:spacing w:val="-1"/>
          <w:sz w:val="24"/>
        </w:rPr>
        <w:t> </w:t>
      </w:r>
      <w:r>
        <w:rPr>
          <w:sz w:val="24"/>
        </w:rPr>
        <w:t>expenditure,</w:t>
      </w:r>
    </w:p>
    <w:p>
      <w:pPr>
        <w:spacing w:after="0" w:line="240" w:lineRule="auto"/>
        <w:jc w:val="both"/>
        <w:rPr>
          <w:sz w:val="24"/>
        </w:rPr>
        <w:sectPr>
          <w:pgSz w:w="11910" w:h="16840"/>
          <w:pgMar w:header="686" w:footer="637" w:top="1320" w:bottom="820" w:left="1200" w:right="1000"/>
        </w:sectPr>
      </w:pPr>
    </w:p>
    <w:p>
      <w:pPr>
        <w:spacing w:before="83"/>
        <w:ind w:left="1919" w:right="0" w:firstLine="0"/>
        <w:jc w:val="both"/>
        <w:rPr>
          <w:sz w:val="24"/>
        </w:rPr>
      </w:pPr>
      <w:r>
        <w:rPr>
          <w:sz w:val="24"/>
        </w:rPr>
        <w:t>(each being an </w:t>
      </w:r>
      <w:r>
        <w:rPr>
          <w:i/>
          <w:sz w:val="24"/>
        </w:rPr>
        <w:t>asset exemption</w:t>
      </w:r>
      <w:r>
        <w:rPr>
          <w:sz w:val="24"/>
        </w:rPr>
        <w:t>).</w:t>
      </w:r>
    </w:p>
    <w:p>
      <w:pPr>
        <w:pStyle w:val="ListParagraph"/>
        <w:numPr>
          <w:ilvl w:val="2"/>
          <w:numId w:val="392"/>
        </w:numPr>
        <w:tabs>
          <w:tab w:pos="1919" w:val="left" w:leader="none"/>
        </w:tabs>
        <w:spacing w:line="240" w:lineRule="auto" w:before="120" w:after="0"/>
        <w:ind w:left="1919" w:right="415" w:hanging="567"/>
        <w:jc w:val="both"/>
        <w:rPr>
          <w:sz w:val="24"/>
        </w:rPr>
      </w:pPr>
      <w:r>
        <w:rPr>
          <w:sz w:val="24"/>
        </w:rPr>
        <w:t>In considering whether to approve an </w:t>
      </w:r>
      <w:r>
        <w:rPr>
          <w:i/>
          <w:sz w:val="24"/>
        </w:rPr>
        <w:t>asset exemption</w:t>
      </w:r>
      <w:r>
        <w:rPr>
          <w:sz w:val="24"/>
        </w:rPr>
        <w:t>, the </w:t>
      </w:r>
      <w:r>
        <w:rPr>
          <w:i/>
          <w:sz w:val="24"/>
        </w:rPr>
        <w:t>AER </w:t>
      </w:r>
      <w:r>
        <w:rPr>
          <w:sz w:val="24"/>
        </w:rPr>
        <w:t>must have regard to:</w:t>
      </w:r>
    </w:p>
    <w:p>
      <w:pPr>
        <w:pStyle w:val="ListParagraph"/>
        <w:numPr>
          <w:ilvl w:val="3"/>
          <w:numId w:val="392"/>
        </w:numPr>
        <w:tabs>
          <w:tab w:pos="2486" w:val="left" w:leader="none"/>
        </w:tabs>
        <w:spacing w:line="240" w:lineRule="auto" w:before="120" w:after="0"/>
        <w:ind w:left="2486" w:right="414" w:hanging="567"/>
        <w:jc w:val="both"/>
        <w:rPr>
          <w:sz w:val="24"/>
        </w:rPr>
      </w:pPr>
      <w:r>
        <w:rPr>
          <w:sz w:val="24"/>
        </w:rPr>
        <w:t>the likely impacts on the development of competition in markets </w:t>
      </w:r>
      <w:r>
        <w:rPr>
          <w:spacing w:val="-4"/>
          <w:sz w:val="24"/>
        </w:rPr>
        <w:t>for </w:t>
      </w:r>
      <w:r>
        <w:rPr>
          <w:sz w:val="24"/>
        </w:rPr>
        <w:t>energy related services if the </w:t>
      </w:r>
      <w:r>
        <w:rPr>
          <w:i/>
          <w:sz w:val="24"/>
        </w:rPr>
        <w:t>Distribution Network Service Provider </w:t>
      </w:r>
      <w:r>
        <w:rPr>
          <w:sz w:val="24"/>
        </w:rPr>
        <w:t>invests in the assets the subject of the </w:t>
      </w:r>
      <w:r>
        <w:rPr>
          <w:i/>
          <w:sz w:val="24"/>
        </w:rPr>
        <w:t>asset exemption</w:t>
      </w:r>
      <w:r>
        <w:rPr>
          <w:sz w:val="24"/>
        </w:rPr>
        <w:t>;</w:t>
      </w:r>
      <w:r>
        <w:rPr>
          <w:spacing w:val="-5"/>
          <w:sz w:val="24"/>
        </w:rPr>
        <w:t> </w:t>
      </w:r>
      <w:r>
        <w:rPr>
          <w:sz w:val="24"/>
        </w:rPr>
        <w:t>and</w:t>
      </w:r>
    </w:p>
    <w:p>
      <w:pPr>
        <w:pStyle w:val="ListParagraph"/>
        <w:numPr>
          <w:ilvl w:val="3"/>
          <w:numId w:val="392"/>
        </w:numPr>
        <w:tabs>
          <w:tab w:pos="2486" w:val="left" w:leader="none"/>
        </w:tabs>
        <w:spacing w:line="240" w:lineRule="auto" w:before="120" w:after="0"/>
        <w:ind w:left="2485" w:right="0" w:hanging="567"/>
        <w:jc w:val="both"/>
        <w:rPr>
          <w:sz w:val="24"/>
        </w:rPr>
      </w:pPr>
      <w:r>
        <w:rPr>
          <w:sz w:val="24"/>
        </w:rPr>
        <w:t>the </w:t>
      </w:r>
      <w:r>
        <w:rPr>
          <w:i/>
          <w:sz w:val="24"/>
        </w:rPr>
        <w:t>Asset Exemption</w:t>
      </w:r>
      <w:r>
        <w:rPr>
          <w:i/>
          <w:spacing w:val="-1"/>
          <w:sz w:val="24"/>
        </w:rPr>
        <w:t> </w:t>
      </w:r>
      <w:r>
        <w:rPr>
          <w:i/>
          <w:sz w:val="24"/>
        </w:rPr>
        <w:t>Guidelines</w:t>
      </w:r>
      <w:r>
        <w:rPr>
          <w:sz w:val="24"/>
        </w:rPr>
        <w:t>.</w:t>
      </w:r>
    </w:p>
    <w:p>
      <w:pPr>
        <w:pStyle w:val="ListParagraph"/>
        <w:numPr>
          <w:ilvl w:val="2"/>
          <w:numId w:val="39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maintain and </w:t>
      </w:r>
      <w:r>
        <w:rPr>
          <w:i/>
          <w:sz w:val="24"/>
        </w:rPr>
        <w:t>publish </w:t>
      </w:r>
      <w:r>
        <w:rPr>
          <w:sz w:val="24"/>
        </w:rPr>
        <w:t>guidelines (the </w:t>
      </w:r>
      <w:r>
        <w:rPr>
          <w:i/>
          <w:sz w:val="24"/>
        </w:rPr>
        <w:t>Asset Exemption Guidelines</w:t>
      </w:r>
      <w:r>
        <w:rPr>
          <w:sz w:val="24"/>
        </w:rPr>
        <w:t>) that set</w:t>
      </w:r>
      <w:r>
        <w:rPr>
          <w:spacing w:val="-2"/>
          <w:sz w:val="24"/>
        </w:rPr>
        <w:t> </w:t>
      </w:r>
      <w:r>
        <w:rPr>
          <w:sz w:val="24"/>
        </w:rPr>
        <w:t>out:</w:t>
      </w:r>
    </w:p>
    <w:p>
      <w:pPr>
        <w:pStyle w:val="ListParagraph"/>
        <w:numPr>
          <w:ilvl w:val="3"/>
          <w:numId w:val="392"/>
        </w:numPr>
        <w:tabs>
          <w:tab w:pos="2486" w:val="left" w:leader="none"/>
        </w:tabs>
        <w:spacing w:line="240" w:lineRule="auto" w:before="120" w:after="0"/>
        <w:ind w:left="2486" w:right="415" w:hanging="567"/>
        <w:jc w:val="both"/>
        <w:rPr>
          <w:sz w:val="24"/>
        </w:rPr>
      </w:pPr>
      <w:r>
        <w:rPr>
          <w:sz w:val="24"/>
        </w:rPr>
        <w:t>the approach the </w:t>
      </w:r>
      <w:r>
        <w:rPr>
          <w:i/>
          <w:sz w:val="24"/>
        </w:rPr>
        <w:t>AER </w:t>
      </w:r>
      <w:r>
        <w:rPr>
          <w:sz w:val="24"/>
        </w:rPr>
        <w:t>proposes to take when determining whether to grant an </w:t>
      </w:r>
      <w:r>
        <w:rPr>
          <w:i/>
          <w:sz w:val="24"/>
        </w:rPr>
        <w:t>asset exemption</w:t>
      </w:r>
      <w:r>
        <w:rPr>
          <w:sz w:val="24"/>
        </w:rPr>
        <w:t>;</w:t>
      </w:r>
      <w:r>
        <w:rPr>
          <w:spacing w:val="-1"/>
          <w:sz w:val="24"/>
        </w:rPr>
        <w:t> </w:t>
      </w:r>
      <w:r>
        <w:rPr>
          <w:sz w:val="24"/>
        </w:rPr>
        <w:t>and</w:t>
      </w:r>
    </w:p>
    <w:p>
      <w:pPr>
        <w:pStyle w:val="ListParagraph"/>
        <w:numPr>
          <w:ilvl w:val="3"/>
          <w:numId w:val="392"/>
        </w:numPr>
        <w:tabs>
          <w:tab w:pos="2486" w:val="left" w:leader="none"/>
        </w:tabs>
        <w:spacing w:line="240" w:lineRule="auto" w:before="120" w:after="0"/>
        <w:ind w:left="2486" w:right="414" w:hanging="567"/>
        <w:jc w:val="both"/>
        <w:rPr>
          <w:sz w:val="24"/>
        </w:rPr>
      </w:pPr>
      <w:r>
        <w:rPr>
          <w:sz w:val="24"/>
        </w:rPr>
        <w:t>the information the </w:t>
      </w:r>
      <w:r>
        <w:rPr>
          <w:i/>
          <w:sz w:val="24"/>
        </w:rPr>
        <w:t>AER </w:t>
      </w:r>
      <w:r>
        <w:rPr>
          <w:sz w:val="24"/>
        </w:rPr>
        <w:t>requires from a </w:t>
      </w:r>
      <w:r>
        <w:rPr>
          <w:i/>
          <w:sz w:val="24"/>
        </w:rPr>
        <w:t>Distribution Network Service </w:t>
      </w:r>
      <w:r>
        <w:rPr>
          <w:i/>
          <w:sz w:val="24"/>
        </w:rPr>
        <w:t>Provider </w:t>
      </w:r>
      <w:r>
        <w:rPr>
          <w:sz w:val="24"/>
        </w:rPr>
        <w:t>(in addition to that set out in clause 6.4B.2(c)(1) to (4)) in order to assess a request for an </w:t>
      </w:r>
      <w:r>
        <w:rPr>
          <w:i/>
          <w:sz w:val="24"/>
        </w:rPr>
        <w:t>asset</w:t>
      </w:r>
      <w:r>
        <w:rPr>
          <w:i/>
          <w:spacing w:val="-3"/>
          <w:sz w:val="24"/>
        </w:rPr>
        <w:t> </w:t>
      </w:r>
      <w:r>
        <w:rPr>
          <w:i/>
          <w:sz w:val="24"/>
        </w:rPr>
        <w:t>exemption</w:t>
      </w:r>
      <w:r>
        <w:rPr>
          <w:sz w:val="24"/>
        </w:rPr>
        <w:t>.</w:t>
      </w:r>
    </w:p>
    <w:p>
      <w:pPr>
        <w:pStyle w:val="ListParagraph"/>
        <w:numPr>
          <w:ilvl w:val="2"/>
          <w:numId w:val="392"/>
        </w:numPr>
        <w:tabs>
          <w:tab w:pos="1919" w:val="left" w:leader="none"/>
        </w:tabs>
        <w:spacing w:line="240" w:lineRule="auto" w:before="120" w:after="0"/>
        <w:ind w:left="1918" w:right="0" w:hanging="567"/>
        <w:jc w:val="both"/>
        <w:rPr>
          <w:i/>
          <w:sz w:val="24"/>
        </w:rPr>
      </w:pPr>
      <w:r>
        <w:rPr>
          <w:sz w:val="24"/>
        </w:rPr>
        <w:t>Nothing</w:t>
      </w:r>
      <w:r>
        <w:rPr>
          <w:spacing w:val="15"/>
          <w:sz w:val="24"/>
        </w:rPr>
        <w:t> </w:t>
      </w:r>
      <w:r>
        <w:rPr>
          <w:sz w:val="24"/>
        </w:rPr>
        <w:t>prevents</w:t>
      </w:r>
      <w:r>
        <w:rPr>
          <w:spacing w:val="15"/>
          <w:sz w:val="24"/>
        </w:rPr>
        <w:t> </w:t>
      </w:r>
      <w:r>
        <w:rPr>
          <w:sz w:val="24"/>
        </w:rPr>
        <w:t>the</w:t>
      </w:r>
      <w:r>
        <w:rPr>
          <w:spacing w:val="15"/>
          <w:sz w:val="24"/>
        </w:rPr>
        <w:t> </w:t>
      </w:r>
      <w:r>
        <w:rPr>
          <w:i/>
          <w:sz w:val="24"/>
        </w:rPr>
        <w:t>AER</w:t>
      </w:r>
      <w:r>
        <w:rPr>
          <w:i/>
          <w:spacing w:val="15"/>
          <w:sz w:val="24"/>
        </w:rPr>
        <w:t> </w:t>
      </w:r>
      <w:r>
        <w:rPr>
          <w:sz w:val="24"/>
        </w:rPr>
        <w:t>from</w:t>
      </w:r>
      <w:r>
        <w:rPr>
          <w:spacing w:val="15"/>
          <w:sz w:val="24"/>
        </w:rPr>
        <w:t> </w:t>
      </w:r>
      <w:r>
        <w:rPr>
          <w:i/>
          <w:sz w:val="24"/>
        </w:rPr>
        <w:t>publishing</w:t>
      </w:r>
      <w:r>
        <w:rPr>
          <w:i/>
          <w:spacing w:val="15"/>
          <w:sz w:val="24"/>
        </w:rPr>
        <w:t> </w:t>
      </w:r>
      <w:r>
        <w:rPr>
          <w:sz w:val="24"/>
        </w:rPr>
        <w:t>the</w:t>
      </w:r>
      <w:r>
        <w:rPr>
          <w:spacing w:val="15"/>
          <w:sz w:val="24"/>
        </w:rPr>
        <w:t> </w:t>
      </w:r>
      <w:r>
        <w:rPr>
          <w:i/>
          <w:sz w:val="24"/>
        </w:rPr>
        <w:t>Asset</w:t>
      </w:r>
      <w:r>
        <w:rPr>
          <w:i/>
          <w:spacing w:val="15"/>
          <w:sz w:val="24"/>
        </w:rPr>
        <w:t> </w:t>
      </w:r>
      <w:r>
        <w:rPr>
          <w:i/>
          <w:sz w:val="24"/>
        </w:rPr>
        <w:t>Exemption</w:t>
      </w:r>
      <w:r>
        <w:rPr>
          <w:i/>
          <w:spacing w:val="15"/>
          <w:sz w:val="24"/>
        </w:rPr>
        <w:t> </w:t>
      </w:r>
      <w:r>
        <w:rPr>
          <w:i/>
          <w:sz w:val="24"/>
        </w:rPr>
        <w:t>Guidelines</w:t>
      </w:r>
    </w:p>
    <w:p>
      <w:pPr>
        <w:pStyle w:val="BodyText"/>
        <w:spacing w:before="0"/>
        <w:ind w:left="1919" w:firstLine="0"/>
      </w:pPr>
      <w:r>
        <w:rPr/>
        <w:t>in the same document as another guideline </w:t>
      </w:r>
      <w:r>
        <w:rPr>
          <w:i/>
        </w:rPr>
        <w:t>published </w:t>
      </w:r>
      <w:r>
        <w:rPr/>
        <w:t>under this Chapter.</w:t>
      </w:r>
    </w:p>
    <w:p>
      <w:pPr>
        <w:pStyle w:val="BodyText"/>
        <w:spacing w:before="10"/>
        <w:ind w:firstLine="0"/>
        <w:jc w:val="left"/>
        <w:rPr>
          <w:sz w:val="20"/>
        </w:rPr>
      </w:pPr>
    </w:p>
    <w:p>
      <w:pPr>
        <w:pStyle w:val="Heading4"/>
        <w:numPr>
          <w:ilvl w:val="1"/>
          <w:numId w:val="393"/>
        </w:numPr>
        <w:tabs>
          <w:tab w:pos="553" w:val="left" w:leader="none"/>
          <w:tab w:pos="1351" w:val="left" w:leader="none"/>
        </w:tabs>
        <w:spacing w:line="240" w:lineRule="auto" w:before="0" w:after="0"/>
        <w:ind w:left="552" w:right="0" w:hanging="335"/>
        <w:jc w:val="left"/>
        <w:rPr>
          <w:sz w:val="22"/>
        </w:rPr>
      </w:pPr>
      <w:bookmarkStart w:name="6.4B.2 Exemption applications" w:id="1322"/>
      <w:bookmarkEnd w:id="1322"/>
      <w:r>
        <w:rPr>
          <w:b w:val="0"/>
        </w:rPr>
      </w:r>
      <w:bookmarkStart w:name="_bookmark540" w:id="1323"/>
      <w:bookmarkEnd w:id="1323"/>
      <w:r>
        <w:rPr>
          <w:b w:val="0"/>
        </w:rPr>
      </w:r>
      <w:bookmarkStart w:name="_bookmark540" w:id="1324"/>
      <w:bookmarkEnd w:id="1324"/>
      <w:r>
        <w:rPr/>
        <w:t>B.</w:t>
      </w:r>
      <w:r>
        <w:rPr/>
        <w:t>2</w:t>
        <w:tab/>
        <w:t>Exemption</w:t>
      </w:r>
      <w:r>
        <w:rPr>
          <w:spacing w:val="-1"/>
        </w:rPr>
        <w:t> </w:t>
      </w:r>
      <w:r>
        <w:rPr/>
        <w:t>applications</w:t>
      </w:r>
    </w:p>
    <w:p>
      <w:pPr>
        <w:pStyle w:val="ListParagraph"/>
        <w:numPr>
          <w:ilvl w:val="2"/>
          <w:numId w:val="393"/>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request an </w:t>
      </w:r>
      <w:r>
        <w:rPr>
          <w:i/>
          <w:sz w:val="24"/>
        </w:rPr>
        <w:t>asset exemption </w:t>
      </w:r>
      <w:r>
        <w:rPr>
          <w:sz w:val="24"/>
        </w:rPr>
        <w:t>from the </w:t>
      </w:r>
      <w:r>
        <w:rPr>
          <w:i/>
          <w:sz w:val="24"/>
        </w:rPr>
        <w:t>AER </w:t>
      </w:r>
      <w:r>
        <w:rPr>
          <w:sz w:val="24"/>
        </w:rPr>
        <w:t>in respect of a specific asset or class of asset by submitting a written request in accordance with this Chapter (an </w:t>
      </w:r>
      <w:r>
        <w:rPr>
          <w:i/>
          <w:sz w:val="24"/>
        </w:rPr>
        <w:t>exemption</w:t>
      </w:r>
      <w:r>
        <w:rPr>
          <w:i/>
          <w:spacing w:val="-13"/>
          <w:sz w:val="24"/>
        </w:rPr>
        <w:t> </w:t>
      </w:r>
      <w:r>
        <w:rPr>
          <w:i/>
          <w:sz w:val="24"/>
        </w:rPr>
        <w:t>application</w:t>
      </w:r>
      <w:r>
        <w:rPr>
          <w:sz w:val="24"/>
        </w:rPr>
        <w:t>).</w:t>
      </w:r>
    </w:p>
    <w:p>
      <w:pPr>
        <w:pStyle w:val="ListParagraph"/>
        <w:numPr>
          <w:ilvl w:val="2"/>
          <w:numId w:val="393"/>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have regard to the </w:t>
      </w:r>
      <w:r>
        <w:rPr>
          <w:i/>
          <w:sz w:val="24"/>
        </w:rPr>
        <w:t>Asset </w:t>
      </w:r>
      <w:r>
        <w:rPr>
          <w:i/>
          <w:sz w:val="24"/>
        </w:rPr>
        <w:t>Exemption Guidelines </w:t>
      </w:r>
      <w:r>
        <w:rPr>
          <w:sz w:val="24"/>
        </w:rPr>
        <w:t>when preparing and submitting an </w:t>
      </w:r>
      <w:r>
        <w:rPr>
          <w:i/>
          <w:sz w:val="24"/>
        </w:rPr>
        <w:t>exemption </w:t>
      </w:r>
      <w:r>
        <w:rPr>
          <w:i/>
          <w:sz w:val="24"/>
        </w:rPr>
        <w:t>application</w:t>
      </w:r>
      <w:r>
        <w:rPr>
          <w:sz w:val="24"/>
        </w:rPr>
        <w:t>.</w:t>
      </w:r>
    </w:p>
    <w:p>
      <w:pPr>
        <w:pStyle w:val="ListParagraph"/>
        <w:numPr>
          <w:ilvl w:val="2"/>
          <w:numId w:val="393"/>
        </w:numPr>
        <w:tabs>
          <w:tab w:pos="1919" w:val="left" w:leader="none"/>
        </w:tabs>
        <w:spacing w:line="240" w:lineRule="auto" w:before="120" w:after="0"/>
        <w:ind w:left="1918" w:right="0" w:hanging="567"/>
        <w:jc w:val="both"/>
        <w:rPr>
          <w:sz w:val="24"/>
        </w:rPr>
      </w:pPr>
      <w:r>
        <w:rPr>
          <w:sz w:val="24"/>
        </w:rPr>
        <w:t>An </w:t>
      </w:r>
      <w:r>
        <w:rPr>
          <w:i/>
          <w:sz w:val="24"/>
        </w:rPr>
        <w:t>exemption application </w:t>
      </w:r>
      <w:r>
        <w:rPr>
          <w:sz w:val="24"/>
        </w:rPr>
        <w:t>must</w:t>
      </w:r>
      <w:r>
        <w:rPr>
          <w:spacing w:val="-1"/>
          <w:sz w:val="24"/>
        </w:rPr>
        <w:t> </w:t>
      </w:r>
      <w:r>
        <w:rPr>
          <w:sz w:val="24"/>
        </w:rPr>
        <w:t>include:</w:t>
      </w:r>
    </w:p>
    <w:p>
      <w:pPr>
        <w:pStyle w:val="ListParagraph"/>
        <w:numPr>
          <w:ilvl w:val="3"/>
          <w:numId w:val="393"/>
        </w:numPr>
        <w:tabs>
          <w:tab w:pos="2486" w:val="left" w:leader="none"/>
        </w:tabs>
        <w:spacing w:line="240" w:lineRule="auto" w:before="120" w:after="0"/>
        <w:ind w:left="2485" w:right="0" w:hanging="567"/>
        <w:jc w:val="both"/>
        <w:rPr>
          <w:sz w:val="24"/>
        </w:rPr>
      </w:pPr>
      <w:r>
        <w:rPr>
          <w:sz w:val="24"/>
        </w:rPr>
        <w:t>details of the type of </w:t>
      </w:r>
      <w:r>
        <w:rPr>
          <w:i/>
          <w:sz w:val="24"/>
        </w:rPr>
        <w:t>asset exemption </w:t>
      </w:r>
      <w:r>
        <w:rPr>
          <w:sz w:val="24"/>
        </w:rPr>
        <w:t>which is being sought by the</w:t>
      </w:r>
    </w:p>
    <w:p>
      <w:pPr>
        <w:spacing w:before="0"/>
        <w:ind w:left="2486" w:right="0" w:firstLine="0"/>
        <w:jc w:val="both"/>
        <w:rPr>
          <w:sz w:val="24"/>
        </w:rPr>
      </w:pPr>
      <w:r>
        <w:rPr>
          <w:i/>
          <w:sz w:val="24"/>
        </w:rPr>
        <w:t>Distribution Network Service Provider </w:t>
      </w:r>
      <w:r>
        <w:rPr>
          <w:sz w:val="24"/>
        </w:rPr>
        <w:t>under clause 6.4B.1(a);</w:t>
      </w:r>
    </w:p>
    <w:p>
      <w:pPr>
        <w:pStyle w:val="ListParagraph"/>
        <w:numPr>
          <w:ilvl w:val="3"/>
          <w:numId w:val="393"/>
        </w:numPr>
        <w:tabs>
          <w:tab w:pos="2486" w:val="left" w:leader="none"/>
        </w:tabs>
        <w:spacing w:line="240" w:lineRule="auto" w:before="120" w:after="0"/>
        <w:ind w:left="2486" w:right="415" w:hanging="567"/>
        <w:jc w:val="both"/>
        <w:rPr>
          <w:sz w:val="24"/>
        </w:rPr>
      </w:pPr>
      <w:r>
        <w:rPr>
          <w:sz w:val="24"/>
        </w:rPr>
        <w:t>a description of the asset or class of asset in respect of which the proposed </w:t>
      </w:r>
      <w:r>
        <w:rPr>
          <w:i/>
          <w:sz w:val="24"/>
        </w:rPr>
        <w:t>asset exemption </w:t>
      </w:r>
      <w:r>
        <w:rPr>
          <w:sz w:val="24"/>
        </w:rPr>
        <w:t>would apply, including the location</w:t>
      </w:r>
      <w:r>
        <w:rPr>
          <w:spacing w:val="36"/>
          <w:sz w:val="24"/>
        </w:rPr>
        <w:t> </w:t>
      </w:r>
      <w:r>
        <w:rPr>
          <w:sz w:val="24"/>
        </w:rPr>
        <w:t>and anticipated or known cost of the proposed asset or class of</w:t>
      </w:r>
      <w:r>
        <w:rPr>
          <w:spacing w:val="-3"/>
          <w:sz w:val="24"/>
        </w:rPr>
        <w:t> </w:t>
      </w:r>
      <w:r>
        <w:rPr>
          <w:sz w:val="24"/>
        </w:rPr>
        <w:t>asset;</w:t>
      </w:r>
    </w:p>
    <w:p>
      <w:pPr>
        <w:pStyle w:val="ListParagraph"/>
        <w:numPr>
          <w:ilvl w:val="3"/>
          <w:numId w:val="393"/>
        </w:numPr>
        <w:tabs>
          <w:tab w:pos="2486" w:val="left" w:leader="none"/>
        </w:tabs>
        <w:spacing w:line="240" w:lineRule="auto" w:before="120" w:after="0"/>
        <w:ind w:left="2486" w:right="415" w:hanging="567"/>
        <w:jc w:val="both"/>
        <w:rPr>
          <w:sz w:val="24"/>
        </w:rPr>
      </w:pPr>
      <w:r>
        <w:rPr>
          <w:sz w:val="24"/>
        </w:rPr>
        <w:t>details of the </w:t>
      </w:r>
      <w:r>
        <w:rPr>
          <w:i/>
          <w:sz w:val="24"/>
        </w:rPr>
        <w:t>standard control services </w:t>
      </w:r>
      <w:r>
        <w:rPr>
          <w:sz w:val="24"/>
        </w:rPr>
        <w:t>that would be provided by the asset or class of asset in respect of which the proposed </w:t>
      </w:r>
      <w:r>
        <w:rPr>
          <w:i/>
          <w:sz w:val="24"/>
        </w:rPr>
        <w:t>asset </w:t>
      </w:r>
      <w:r>
        <w:rPr>
          <w:i/>
          <w:sz w:val="24"/>
        </w:rPr>
        <w:t>exemption </w:t>
      </w:r>
      <w:r>
        <w:rPr>
          <w:sz w:val="24"/>
        </w:rPr>
        <w:t>would</w:t>
      </w:r>
      <w:r>
        <w:rPr>
          <w:spacing w:val="-1"/>
          <w:sz w:val="24"/>
        </w:rPr>
        <w:t> </w:t>
      </w:r>
      <w:r>
        <w:rPr>
          <w:sz w:val="24"/>
        </w:rPr>
        <w:t>apply;</w:t>
      </w:r>
    </w:p>
    <w:p>
      <w:pPr>
        <w:pStyle w:val="ListParagraph"/>
        <w:numPr>
          <w:ilvl w:val="3"/>
          <w:numId w:val="393"/>
        </w:numPr>
        <w:tabs>
          <w:tab w:pos="2486" w:val="left" w:leader="none"/>
        </w:tabs>
        <w:spacing w:line="240" w:lineRule="auto" w:before="120" w:after="0"/>
        <w:ind w:left="2486" w:right="414" w:hanging="567"/>
        <w:jc w:val="both"/>
        <w:rPr>
          <w:sz w:val="24"/>
        </w:rPr>
      </w:pPr>
      <w:r>
        <w:rPr>
          <w:sz w:val="24"/>
        </w:rPr>
        <w:t>the likely impacts on the development of competition in markets </w:t>
      </w:r>
      <w:r>
        <w:rPr>
          <w:spacing w:val="-4"/>
          <w:sz w:val="24"/>
        </w:rPr>
        <w:t>for </w:t>
      </w:r>
      <w:r>
        <w:rPr>
          <w:sz w:val="24"/>
        </w:rPr>
        <w:t>energy related services if the </w:t>
      </w:r>
      <w:r>
        <w:rPr>
          <w:i/>
          <w:sz w:val="24"/>
        </w:rPr>
        <w:t>Distribution Network Service Provider </w:t>
      </w:r>
      <w:r>
        <w:rPr>
          <w:sz w:val="24"/>
        </w:rPr>
        <w:t>invests in the assets the subject of the </w:t>
      </w:r>
      <w:r>
        <w:rPr>
          <w:i/>
          <w:sz w:val="24"/>
        </w:rPr>
        <w:t>asset exemption</w:t>
      </w:r>
      <w:r>
        <w:rPr>
          <w:sz w:val="24"/>
        </w:rPr>
        <w:t>;</w:t>
      </w:r>
      <w:r>
        <w:rPr>
          <w:spacing w:val="-5"/>
          <w:sz w:val="24"/>
        </w:rPr>
        <w:t> </w:t>
      </w:r>
      <w:r>
        <w:rPr>
          <w:sz w:val="24"/>
        </w:rPr>
        <w:t>and</w:t>
      </w:r>
    </w:p>
    <w:p>
      <w:pPr>
        <w:pStyle w:val="ListParagraph"/>
        <w:numPr>
          <w:ilvl w:val="3"/>
          <w:numId w:val="393"/>
        </w:numPr>
        <w:tabs>
          <w:tab w:pos="2486" w:val="left" w:leader="none"/>
        </w:tabs>
        <w:spacing w:line="240" w:lineRule="auto" w:before="120" w:after="0"/>
        <w:ind w:left="2486" w:right="417" w:hanging="567"/>
        <w:jc w:val="both"/>
        <w:rPr>
          <w:sz w:val="24"/>
        </w:rPr>
      </w:pPr>
      <w:r>
        <w:rPr>
          <w:sz w:val="24"/>
        </w:rPr>
        <w:t>any additional information that must be submitted by a </w:t>
      </w:r>
      <w:r>
        <w:rPr>
          <w:i/>
          <w:sz w:val="24"/>
        </w:rPr>
        <w:t>Distribution </w:t>
      </w:r>
      <w:r>
        <w:rPr>
          <w:i/>
          <w:sz w:val="24"/>
        </w:rPr>
        <w:t>Network Service Provider </w:t>
      </w:r>
      <w:r>
        <w:rPr>
          <w:sz w:val="24"/>
        </w:rPr>
        <w:t>under the </w:t>
      </w:r>
      <w:r>
        <w:rPr>
          <w:i/>
          <w:sz w:val="24"/>
        </w:rPr>
        <w:t>Asset Exemption</w:t>
      </w:r>
      <w:r>
        <w:rPr>
          <w:i/>
          <w:spacing w:val="-2"/>
          <w:sz w:val="24"/>
        </w:rPr>
        <w:t> </w:t>
      </w:r>
      <w:r>
        <w:rPr>
          <w:i/>
          <w:sz w:val="24"/>
        </w:rPr>
        <w:t>Guidelines</w:t>
      </w:r>
      <w:r>
        <w:rPr>
          <w:sz w:val="24"/>
        </w:rPr>
        <w:t>.</w:t>
      </w:r>
    </w:p>
    <w:p>
      <w:pPr>
        <w:spacing w:after="0" w:line="240" w:lineRule="auto"/>
        <w:jc w:val="both"/>
        <w:rPr>
          <w:sz w:val="24"/>
        </w:rPr>
        <w:sectPr>
          <w:pgSz w:w="11910" w:h="16840"/>
          <w:pgMar w:header="686" w:footer="637" w:top="1320" w:bottom="820" w:left="1200" w:right="1000"/>
        </w:sectPr>
      </w:pPr>
    </w:p>
    <w:p>
      <w:pPr>
        <w:pStyle w:val="Heading3"/>
        <w:numPr>
          <w:ilvl w:val="1"/>
          <w:numId w:val="393"/>
        </w:numPr>
        <w:tabs>
          <w:tab w:pos="1351" w:val="left" w:leader="none"/>
          <w:tab w:pos="1353" w:val="left" w:leader="none"/>
        </w:tabs>
        <w:spacing w:line="240" w:lineRule="auto" w:before="83" w:after="0"/>
        <w:ind w:left="1352" w:right="0" w:hanging="1135"/>
        <w:jc w:val="left"/>
      </w:pPr>
      <w:bookmarkStart w:name="6.5 Matters relevant to the making of bu" w:id="1325"/>
      <w:bookmarkEnd w:id="1325"/>
      <w:r>
        <w:rPr>
          <w:b w:val="0"/>
        </w:rPr>
      </w:r>
      <w:bookmarkStart w:name="_bookmark541" w:id="1326"/>
      <w:bookmarkEnd w:id="1326"/>
      <w:r>
        <w:rPr>
          <w:b w:val="0"/>
        </w:rPr>
      </w:r>
      <w:bookmarkStart w:name="_bookmark541" w:id="1327"/>
      <w:bookmarkEnd w:id="1327"/>
      <w:r>
        <w:rPr/>
        <w:t>Matters</w:t>
      </w:r>
      <w:r>
        <w:rPr/>
        <w:t> relevant to the making of building block</w:t>
      </w:r>
      <w:r>
        <w:rPr>
          <w:spacing w:val="-11"/>
        </w:rPr>
        <w:t> </w:t>
      </w:r>
      <w:r>
        <w:rPr/>
        <w:t>determinations</w:t>
      </w:r>
    </w:p>
    <w:p>
      <w:pPr>
        <w:pStyle w:val="Heading4"/>
        <w:numPr>
          <w:ilvl w:val="2"/>
          <w:numId w:val="394"/>
        </w:numPr>
        <w:tabs>
          <w:tab w:pos="1351" w:val="left" w:leader="none"/>
          <w:tab w:pos="1352" w:val="left" w:leader="none"/>
        </w:tabs>
        <w:spacing w:line="240" w:lineRule="auto" w:before="240" w:after="0"/>
        <w:ind w:left="1351" w:right="0" w:hanging="1134"/>
        <w:jc w:val="left"/>
      </w:pPr>
      <w:bookmarkStart w:name="6.5.1 Regulatory asset base" w:id="1328"/>
      <w:bookmarkEnd w:id="1328"/>
      <w:r>
        <w:rPr>
          <w:b w:val="0"/>
        </w:rPr>
      </w:r>
      <w:bookmarkStart w:name="_bookmark542" w:id="1329"/>
      <w:bookmarkEnd w:id="1329"/>
      <w:r>
        <w:rPr>
          <w:b w:val="0"/>
        </w:rPr>
      </w:r>
      <w:bookmarkStart w:name="_bookmark542" w:id="1330"/>
      <w:bookmarkEnd w:id="1330"/>
      <w:r>
        <w:rPr/>
        <w:t>Regulator</w:t>
      </w:r>
      <w:r>
        <w:rPr/>
        <w:t>y asset</w:t>
      </w:r>
      <w:r>
        <w:rPr>
          <w:spacing w:val="-3"/>
        </w:rPr>
        <w:t> </w:t>
      </w:r>
      <w:r>
        <w:rPr/>
        <w:t>base</w:t>
      </w:r>
    </w:p>
    <w:p>
      <w:pPr>
        <w:spacing w:before="220"/>
        <w:ind w:left="1356" w:right="0" w:firstLine="0"/>
        <w:jc w:val="left"/>
        <w:rPr>
          <w:rFonts w:ascii="Arial"/>
          <w:b/>
          <w:sz w:val="22"/>
        </w:rPr>
      </w:pPr>
      <w:r>
        <w:rPr>
          <w:rFonts w:ascii="Arial"/>
          <w:b/>
          <w:sz w:val="22"/>
        </w:rPr>
        <w:t>Nature of regulatory asset base</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The regulatory asset base for a </w:t>
      </w:r>
      <w:r>
        <w:rPr>
          <w:i/>
          <w:sz w:val="24"/>
        </w:rPr>
        <w:t>distribution system </w:t>
      </w:r>
      <w:r>
        <w:rPr>
          <w:sz w:val="24"/>
        </w:rPr>
        <w:t>owned, controlled or operated by a </w:t>
      </w:r>
      <w:r>
        <w:rPr>
          <w:i/>
          <w:sz w:val="24"/>
        </w:rPr>
        <w:t>Distribution Network Service Provider </w:t>
      </w:r>
      <w:r>
        <w:rPr>
          <w:sz w:val="24"/>
        </w:rPr>
        <w:t>is the value of those assets that are used by the </w:t>
      </w:r>
      <w:r>
        <w:rPr>
          <w:i/>
          <w:sz w:val="24"/>
        </w:rPr>
        <w:t>Distribution Network Service Provider </w:t>
      </w:r>
      <w:r>
        <w:rPr>
          <w:sz w:val="24"/>
        </w:rPr>
        <w:t>to provide </w:t>
      </w:r>
      <w:r>
        <w:rPr>
          <w:i/>
          <w:sz w:val="24"/>
        </w:rPr>
        <w:t>standard control services</w:t>
      </w:r>
      <w:r>
        <w:rPr>
          <w:sz w:val="24"/>
        </w:rPr>
        <w:t>, but only to the extent that they are used to provide such</w:t>
      </w:r>
      <w:r>
        <w:rPr>
          <w:spacing w:val="-2"/>
          <w:sz w:val="24"/>
        </w:rPr>
        <w:t> </w:t>
      </w:r>
      <w:r>
        <w:rPr>
          <w:sz w:val="24"/>
        </w:rPr>
        <w:t>services.</w:t>
      </w:r>
    </w:p>
    <w:p>
      <w:pPr>
        <w:spacing w:before="220"/>
        <w:ind w:left="1356" w:right="1134" w:firstLine="0"/>
        <w:jc w:val="left"/>
        <w:rPr>
          <w:rFonts w:ascii="Arial"/>
          <w:b/>
          <w:sz w:val="22"/>
        </w:rPr>
      </w:pPr>
      <w:r>
        <w:rPr>
          <w:rFonts w:ascii="Arial"/>
          <w:b/>
          <w:sz w:val="22"/>
        </w:rPr>
        <w:t>Preparation, publication and amendment of model for rolling forward regulatory asset base</w:t>
      </w:r>
    </w:p>
    <w:p>
      <w:pPr>
        <w:pStyle w:val="ListParagraph"/>
        <w:numPr>
          <w:ilvl w:val="3"/>
          <w:numId w:val="39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and </w:t>
      </w:r>
      <w:r>
        <w:rPr>
          <w:i/>
          <w:sz w:val="24"/>
        </w:rPr>
        <w:t>publish </w:t>
      </w:r>
      <w:r>
        <w:rPr>
          <w:sz w:val="24"/>
        </w:rPr>
        <w:t>a model for the roll forward of the regulatory asset base for </w:t>
      </w:r>
      <w:r>
        <w:rPr>
          <w:i/>
          <w:sz w:val="24"/>
        </w:rPr>
        <w:t>distribution systems</w:t>
      </w:r>
      <w:r>
        <w:rPr>
          <w:sz w:val="24"/>
        </w:rPr>
        <w:t>, referred to as the </w:t>
      </w:r>
      <w:r>
        <w:rPr>
          <w:i/>
          <w:sz w:val="24"/>
        </w:rPr>
        <w:t>roll forward</w:t>
      </w:r>
      <w:r>
        <w:rPr>
          <w:i/>
          <w:spacing w:val="-6"/>
          <w:sz w:val="24"/>
        </w:rPr>
        <w:t> </w:t>
      </w:r>
      <w:r>
        <w:rPr>
          <w:i/>
          <w:sz w:val="24"/>
        </w:rPr>
        <w:t>model</w:t>
      </w:r>
      <w:r>
        <w:rPr>
          <w:sz w:val="24"/>
        </w:rPr>
        <w:t>.</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from time to time and in accordance with the </w:t>
      </w:r>
      <w:r>
        <w:rPr>
          <w:i/>
          <w:sz w:val="24"/>
        </w:rPr>
        <w:t>distribution </w:t>
      </w:r>
      <w:r>
        <w:rPr>
          <w:i/>
          <w:sz w:val="24"/>
        </w:rPr>
        <w:t>consultation procedures</w:t>
      </w:r>
      <w:r>
        <w:rPr>
          <w:sz w:val="24"/>
        </w:rPr>
        <w:t>, amend or replace the </w:t>
      </w:r>
      <w:r>
        <w:rPr>
          <w:i/>
          <w:sz w:val="24"/>
        </w:rPr>
        <w:t>roll forward</w:t>
      </w:r>
      <w:r>
        <w:rPr>
          <w:i/>
          <w:spacing w:val="-5"/>
          <w:sz w:val="24"/>
        </w:rPr>
        <w:t> </w:t>
      </w:r>
      <w:r>
        <w:rPr>
          <w:i/>
          <w:sz w:val="24"/>
        </w:rPr>
        <w:t>model</w:t>
      </w:r>
      <w:r>
        <w:rPr>
          <w:sz w:val="24"/>
        </w:rPr>
        <w:t>.</w:t>
      </w:r>
    </w:p>
    <w:p>
      <w:pPr>
        <w:pStyle w:val="ListParagraph"/>
        <w:numPr>
          <w:ilvl w:val="3"/>
          <w:numId w:val="39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w:t>
      </w:r>
      <w:r>
        <w:rPr>
          <w:i/>
          <w:sz w:val="24"/>
        </w:rPr>
        <w:t>publish </w:t>
      </w:r>
      <w:r>
        <w:rPr>
          <w:sz w:val="24"/>
        </w:rPr>
        <w:t>the first </w:t>
      </w:r>
      <w:r>
        <w:rPr>
          <w:i/>
          <w:sz w:val="24"/>
        </w:rPr>
        <w:t>roll forward model </w:t>
      </w:r>
      <w:r>
        <w:rPr>
          <w:sz w:val="24"/>
        </w:rPr>
        <w:t>within 6 months after the commencement of this clause, and there must be such a model available at all times after that</w:t>
      </w:r>
      <w:r>
        <w:rPr>
          <w:spacing w:val="-2"/>
          <w:sz w:val="24"/>
        </w:rPr>
        <w:t> </w:t>
      </w:r>
      <w:r>
        <w:rPr>
          <w:sz w:val="24"/>
        </w:rPr>
        <w:t>date.</w:t>
      </w:r>
    </w:p>
    <w:p>
      <w:pPr>
        <w:pStyle w:val="BodyText"/>
        <w:ind w:left="1352" w:firstLine="0"/>
      </w:pPr>
      <w:r>
        <w:rPr/>
        <w:t>(da) For the application of these </w:t>
      </w:r>
      <w:r>
        <w:rPr>
          <w:i/>
        </w:rPr>
        <w:t>Rules </w:t>
      </w:r>
      <w:r>
        <w:rPr/>
        <w:t>in this jurisdiction:</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w:t>
      </w:r>
      <w:r>
        <w:rPr>
          <w:i/>
          <w:sz w:val="24"/>
        </w:rPr>
        <w:t>roll forward model </w:t>
      </w:r>
      <w:r>
        <w:rPr>
          <w:sz w:val="24"/>
        </w:rPr>
        <w:t>that is in force in the other </w:t>
      </w:r>
      <w:r>
        <w:rPr>
          <w:i/>
          <w:sz w:val="24"/>
        </w:rPr>
        <w:t>participating </w:t>
      </w:r>
      <w:r>
        <w:rPr>
          <w:i/>
          <w:sz w:val="24"/>
        </w:rPr>
        <w:t>jurisdictions </w:t>
      </w:r>
      <w:r>
        <w:rPr>
          <w:sz w:val="24"/>
        </w:rPr>
        <w:t>on 1 July 2016 is</w:t>
      </w:r>
      <w:r>
        <w:rPr>
          <w:spacing w:val="-1"/>
          <w:sz w:val="24"/>
        </w:rPr>
        <w:t> </w:t>
      </w:r>
      <w:r>
        <w:rPr>
          <w:sz w:val="24"/>
        </w:rPr>
        <w:t>taken:</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to be the </w:t>
      </w:r>
      <w:r>
        <w:rPr>
          <w:i/>
          <w:sz w:val="24"/>
        </w:rPr>
        <w:t>roll forward model </w:t>
      </w:r>
      <w:r>
        <w:rPr>
          <w:sz w:val="24"/>
        </w:rPr>
        <w:t>in force in this jurisdiction (subject to any amendment or replacement under these </w:t>
      </w:r>
      <w:r>
        <w:rPr>
          <w:i/>
          <w:sz w:val="24"/>
        </w:rPr>
        <w:t>Rules</w:t>
      </w:r>
      <w:r>
        <w:rPr>
          <w:sz w:val="24"/>
        </w:rPr>
        <w:t>);</w:t>
      </w:r>
      <w:r>
        <w:rPr>
          <w:spacing w:val="-4"/>
          <w:sz w:val="24"/>
        </w:rPr>
        <w:t> </w:t>
      </w:r>
      <w:r>
        <w:rPr>
          <w:sz w:val="24"/>
        </w:rPr>
        <w:t>and</w:t>
      </w:r>
    </w:p>
    <w:p>
      <w:pPr>
        <w:pStyle w:val="ListParagraph"/>
        <w:numPr>
          <w:ilvl w:val="5"/>
          <w:numId w:val="394"/>
        </w:numPr>
        <w:tabs>
          <w:tab w:pos="3054" w:val="left" w:leader="none"/>
        </w:tabs>
        <w:spacing w:line="240" w:lineRule="auto" w:before="120" w:after="0"/>
        <w:ind w:left="3053" w:right="416" w:hanging="567"/>
        <w:jc w:val="both"/>
        <w:rPr>
          <w:sz w:val="24"/>
        </w:rPr>
      </w:pPr>
      <w:r>
        <w:rPr>
          <w:sz w:val="24"/>
        </w:rPr>
        <w:t>to have been developed and </w:t>
      </w:r>
      <w:r>
        <w:rPr>
          <w:i/>
          <w:sz w:val="24"/>
        </w:rPr>
        <w:t>published </w:t>
      </w:r>
      <w:r>
        <w:rPr>
          <w:sz w:val="24"/>
        </w:rPr>
        <w:t>by the </w:t>
      </w:r>
      <w:r>
        <w:rPr>
          <w:i/>
          <w:sz w:val="24"/>
        </w:rPr>
        <w:t>AER </w:t>
      </w:r>
      <w:r>
        <w:rPr>
          <w:sz w:val="24"/>
        </w:rPr>
        <w:t>on 1 July 2016; and</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(b), (d) and (e) in developing and </w:t>
      </w:r>
      <w:r>
        <w:rPr>
          <w:i/>
          <w:sz w:val="24"/>
        </w:rPr>
        <w:t>publishing </w:t>
      </w:r>
      <w:r>
        <w:rPr>
          <w:sz w:val="24"/>
        </w:rPr>
        <w:t>the </w:t>
      </w:r>
      <w:r>
        <w:rPr>
          <w:i/>
          <w:sz w:val="24"/>
        </w:rPr>
        <w:t>roll </w:t>
      </w:r>
      <w:r>
        <w:rPr>
          <w:i/>
          <w:sz w:val="24"/>
        </w:rPr>
        <w:t>forward</w:t>
      </w:r>
      <w:r>
        <w:rPr>
          <w:i/>
          <w:spacing w:val="-1"/>
          <w:sz w:val="24"/>
        </w:rPr>
        <w:t> </w:t>
      </w:r>
      <w:r>
        <w:rPr>
          <w:i/>
          <w:sz w:val="24"/>
        </w:rPr>
        <w:t>model</w:t>
      </w:r>
      <w:r>
        <w:rPr>
          <w:sz w:val="24"/>
        </w:rPr>
        <w:t>.</w:t>
      </w:r>
    </w:p>
    <w:p>
      <w:pPr>
        <w:spacing w:before="220"/>
        <w:ind w:left="1356" w:right="0" w:firstLine="0"/>
        <w:jc w:val="left"/>
        <w:rPr>
          <w:rFonts w:ascii="Arial"/>
          <w:b/>
          <w:sz w:val="22"/>
        </w:rPr>
      </w:pPr>
      <w:r>
        <w:rPr>
          <w:rFonts w:ascii="Arial"/>
          <w:b/>
          <w:sz w:val="22"/>
        </w:rPr>
        <w:t>Contents of roll forward model</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The </w:t>
      </w:r>
      <w:r>
        <w:rPr>
          <w:i/>
          <w:sz w:val="24"/>
        </w:rPr>
        <w:t>roll forward model </w:t>
      </w:r>
      <w:r>
        <w:rPr>
          <w:sz w:val="24"/>
        </w:rPr>
        <w:t>must set out the method for determining the roll forward of the regulatory asset base for </w:t>
      </w:r>
      <w:r>
        <w:rPr>
          <w:i/>
          <w:sz w:val="24"/>
        </w:rPr>
        <w:t>distribution</w:t>
      </w:r>
      <w:r>
        <w:rPr>
          <w:i/>
          <w:spacing w:val="-3"/>
          <w:sz w:val="24"/>
        </w:rPr>
        <w:t> </w:t>
      </w:r>
      <w:r>
        <w:rPr>
          <w:i/>
          <w:sz w:val="24"/>
        </w:rPr>
        <w:t>systems</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from the immediately preceding </w:t>
      </w:r>
      <w:r>
        <w:rPr>
          <w:i/>
          <w:sz w:val="24"/>
        </w:rPr>
        <w:t>regulatory control period </w:t>
      </w:r>
      <w:r>
        <w:rPr>
          <w:sz w:val="24"/>
        </w:rPr>
        <w:t>to the beginning of the first year of the subsequent </w:t>
      </w:r>
      <w:r>
        <w:rPr>
          <w:i/>
          <w:sz w:val="24"/>
        </w:rPr>
        <w:t>regulatory control  </w:t>
      </w:r>
      <w:r>
        <w:rPr>
          <w:i/>
          <w:sz w:val="24"/>
        </w:rPr>
        <w:t>period</w:t>
      </w:r>
      <w:r>
        <w:rPr>
          <w:sz w:val="24"/>
        </w:rPr>
        <w:t>, so as to establish the value of the regulatory asset base as at the beginning of the first </w:t>
      </w:r>
      <w:r>
        <w:rPr>
          <w:i/>
          <w:sz w:val="24"/>
        </w:rPr>
        <w:t>regulatory year </w:t>
      </w:r>
      <w:r>
        <w:rPr>
          <w:sz w:val="24"/>
        </w:rPr>
        <w:t>of that</w:t>
      </w:r>
      <w:r>
        <w:rPr>
          <w:spacing w:val="22"/>
          <w:sz w:val="24"/>
        </w:rPr>
        <w:t> </w:t>
      </w:r>
      <w:r>
        <w:rPr>
          <w:sz w:val="24"/>
        </w:rPr>
        <w:t>subsequent </w:t>
      </w:r>
      <w:r>
        <w:rPr>
          <w:i/>
          <w:sz w:val="24"/>
        </w:rPr>
        <w:t>regulatory control period</w:t>
      </w:r>
      <w:r>
        <w:rPr>
          <w:sz w:val="24"/>
        </w:rPr>
        <w:t>;</w:t>
      </w:r>
      <w:r>
        <w:rPr>
          <w:spacing w:val="-3"/>
          <w:sz w:val="24"/>
        </w:rPr>
        <w:t> </w:t>
      </w:r>
      <w:r>
        <w:rPr>
          <w:sz w:val="24"/>
        </w:rPr>
        <w:t>and</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from one </w:t>
      </w:r>
      <w:r>
        <w:rPr>
          <w:i/>
          <w:sz w:val="24"/>
        </w:rPr>
        <w:t>regulatory year </w:t>
      </w:r>
      <w:r>
        <w:rPr>
          <w:sz w:val="24"/>
        </w:rPr>
        <w:t>in a </w:t>
      </w:r>
      <w:r>
        <w:rPr>
          <w:i/>
          <w:sz w:val="24"/>
        </w:rPr>
        <w:t>regulatory control period </w:t>
      </w:r>
      <w:r>
        <w:rPr>
          <w:sz w:val="24"/>
        </w:rPr>
        <w:t>to a subsequent </w:t>
      </w:r>
      <w:r>
        <w:rPr>
          <w:i/>
          <w:sz w:val="24"/>
        </w:rPr>
        <w:t>regulatory year </w:t>
      </w:r>
      <w:r>
        <w:rPr>
          <w:sz w:val="24"/>
        </w:rPr>
        <w:t>in that same </w:t>
      </w:r>
      <w:r>
        <w:rPr>
          <w:i/>
          <w:sz w:val="24"/>
        </w:rPr>
        <w:t>regulatory control period</w:t>
      </w:r>
      <w:r>
        <w:rPr>
          <w:sz w:val="24"/>
        </w:rPr>
        <w:t>, so as to establish the value of the regulatory asset base as at the beginning of that subsequent </w:t>
      </w:r>
      <w:r>
        <w:rPr>
          <w:i/>
          <w:sz w:val="24"/>
        </w:rPr>
        <w:t>regulatory</w:t>
      </w:r>
      <w:r>
        <w:rPr>
          <w:i/>
          <w:spacing w:val="-5"/>
          <w:sz w:val="24"/>
        </w:rPr>
        <w:t> </w:t>
      </w:r>
      <w:r>
        <w:rPr>
          <w:i/>
          <w:sz w:val="24"/>
        </w:rPr>
        <w:t>year</w:t>
      </w:r>
      <w:r>
        <w:rPr>
          <w:sz w:val="24"/>
        </w:rPr>
        <w:t>;</w:t>
      </w:r>
    </w:p>
    <w:p>
      <w:pPr>
        <w:pStyle w:val="BodyText"/>
        <w:ind w:left="1919" w:firstLine="0"/>
      </w:pPr>
      <w:r>
        <w:rPr/>
        <w:t>under which:</w:t>
      </w:r>
    </w:p>
    <w:p>
      <w:pPr>
        <w:spacing w:after="0"/>
        <w:sectPr>
          <w:pgSz w:w="11910" w:h="16840"/>
          <w:pgMar w:header="686" w:footer="637" w:top="1320" w:bottom="820" w:left="1200" w:right="1000"/>
        </w:sectPr>
      </w:pPr>
    </w:p>
    <w:p>
      <w:pPr>
        <w:pStyle w:val="ListParagraph"/>
        <w:numPr>
          <w:ilvl w:val="4"/>
          <w:numId w:val="394"/>
        </w:numPr>
        <w:tabs>
          <w:tab w:pos="2486" w:val="left" w:leader="none"/>
        </w:tabs>
        <w:spacing w:line="240" w:lineRule="auto" w:before="83" w:after="0"/>
        <w:ind w:left="2486" w:right="414" w:hanging="567"/>
        <w:jc w:val="both"/>
        <w:rPr>
          <w:sz w:val="24"/>
        </w:rPr>
      </w:pPr>
      <w:r>
        <w:rPr>
          <w:sz w:val="24"/>
        </w:rPr>
        <w:t>the roll forward of the regulatory asset base from the immediately preceding </w:t>
      </w:r>
      <w:r>
        <w:rPr>
          <w:i/>
          <w:sz w:val="24"/>
        </w:rPr>
        <w:t>regulatory control period </w:t>
      </w:r>
      <w:r>
        <w:rPr>
          <w:sz w:val="24"/>
        </w:rPr>
        <w:t>to the beginning of the first </w:t>
      </w:r>
      <w:r>
        <w:rPr>
          <w:i/>
          <w:sz w:val="24"/>
        </w:rPr>
        <w:t>regulatory year </w:t>
      </w:r>
      <w:r>
        <w:rPr>
          <w:sz w:val="24"/>
        </w:rPr>
        <w:t>of a subsequent </w:t>
      </w:r>
      <w:r>
        <w:rPr>
          <w:i/>
          <w:sz w:val="24"/>
        </w:rPr>
        <w:t>regulatory control period </w:t>
      </w:r>
      <w:r>
        <w:rPr>
          <w:sz w:val="24"/>
        </w:rPr>
        <w:t>entails the value of the first mentioned regulatory asset base being adjusted for actual inflation, consistently with the method used for the indexation of the control mechanism (or control mechanisms) for </w:t>
      </w:r>
      <w:r>
        <w:rPr>
          <w:i/>
          <w:spacing w:val="-3"/>
          <w:sz w:val="24"/>
        </w:rPr>
        <w:t>standard </w:t>
      </w:r>
      <w:r>
        <w:rPr>
          <w:i/>
          <w:sz w:val="24"/>
        </w:rPr>
        <w:t>control services </w:t>
      </w:r>
      <w:r>
        <w:rPr>
          <w:sz w:val="24"/>
        </w:rPr>
        <w:t>during the preceding </w:t>
      </w:r>
      <w:r>
        <w:rPr>
          <w:i/>
          <w:sz w:val="24"/>
        </w:rPr>
        <w:t>regulatory control</w:t>
      </w:r>
      <w:r>
        <w:rPr>
          <w:i/>
          <w:spacing w:val="-8"/>
          <w:sz w:val="24"/>
        </w:rPr>
        <w:t> </w:t>
      </w:r>
      <w:r>
        <w:rPr>
          <w:i/>
          <w:sz w:val="24"/>
        </w:rPr>
        <w:t>period</w:t>
      </w:r>
      <w:r>
        <w:rPr>
          <w:sz w:val="24"/>
        </w:rPr>
        <w:t>.</w:t>
      </w:r>
    </w:p>
    <w:p>
      <w:pPr>
        <w:spacing w:before="220"/>
        <w:ind w:left="1356" w:right="0" w:firstLine="0"/>
        <w:jc w:val="left"/>
        <w:rPr>
          <w:rFonts w:ascii="Arial"/>
          <w:b/>
          <w:sz w:val="22"/>
        </w:rPr>
      </w:pPr>
      <w:r>
        <w:rPr>
          <w:rFonts w:ascii="Arial"/>
          <w:b/>
          <w:sz w:val="22"/>
        </w:rPr>
        <w:t>Other provisions relating to regulatory asset base</w:t>
      </w:r>
    </w:p>
    <w:p>
      <w:pPr>
        <w:pStyle w:val="ListParagraph"/>
        <w:numPr>
          <w:ilvl w:val="3"/>
          <w:numId w:val="394"/>
        </w:numPr>
        <w:tabs>
          <w:tab w:pos="1919" w:val="left" w:leader="none"/>
          <w:tab w:pos="1920" w:val="left" w:leader="none"/>
        </w:tabs>
        <w:spacing w:line="240" w:lineRule="auto" w:before="120" w:after="0"/>
        <w:ind w:left="1919" w:right="416" w:hanging="567"/>
        <w:jc w:val="left"/>
        <w:rPr>
          <w:sz w:val="24"/>
        </w:rPr>
      </w:pPr>
      <w:r>
        <w:rPr>
          <w:sz w:val="24"/>
        </w:rPr>
        <w:t>Other provisions relating to regulatory asset bases are set out in schedule 6.2.</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2 Return on capital" w:id="1331"/>
      <w:bookmarkEnd w:id="1331"/>
      <w:r>
        <w:rPr>
          <w:b w:val="0"/>
        </w:rPr>
      </w:r>
      <w:bookmarkStart w:name="_bookmark543" w:id="1332"/>
      <w:bookmarkEnd w:id="1332"/>
      <w:r>
        <w:rPr>
          <w:b w:val="0"/>
        </w:rPr>
      </w:r>
      <w:bookmarkStart w:name="_bookmark543" w:id="1333"/>
      <w:bookmarkEnd w:id="1333"/>
      <w:r>
        <w:rPr/>
        <w:t>Retur</w:t>
      </w:r>
      <w:r>
        <w:rPr/>
        <w:t>n on</w:t>
      </w:r>
      <w:r>
        <w:rPr>
          <w:spacing w:val="-2"/>
        </w:rPr>
        <w:t> </w:t>
      </w:r>
      <w:r>
        <w:rPr/>
        <w:t>capital</w:t>
      </w:r>
    </w:p>
    <w:p>
      <w:pPr>
        <w:spacing w:before="120"/>
        <w:ind w:left="1352" w:right="415" w:firstLine="0"/>
        <w:jc w:val="left"/>
        <w:rPr>
          <w:sz w:val="24"/>
        </w:rPr>
      </w:pPr>
      <w:r>
        <w:rPr>
          <w:sz w:val="24"/>
        </w:rPr>
        <w:t>The return on capital for a </w:t>
      </w:r>
      <w:r>
        <w:rPr>
          <w:i/>
          <w:sz w:val="24"/>
        </w:rPr>
        <w:t>Distribution Network Service Provider </w:t>
      </w:r>
      <w:r>
        <w:rPr>
          <w:sz w:val="24"/>
        </w:rPr>
        <w:t>for a </w:t>
      </w:r>
      <w:r>
        <w:rPr>
          <w:i/>
          <w:sz w:val="24"/>
        </w:rPr>
        <w:t>regulatory </w:t>
      </w:r>
      <w:r>
        <w:rPr>
          <w:i/>
          <w:sz w:val="24"/>
        </w:rPr>
        <w:t>year </w:t>
      </w:r>
      <w:r>
        <w:rPr>
          <w:sz w:val="24"/>
        </w:rPr>
        <w:t>(</w:t>
      </w:r>
      <w:r>
        <w:rPr>
          <w:b/>
          <w:sz w:val="24"/>
        </w:rPr>
        <w:t>RC</w:t>
      </w:r>
      <w:r>
        <w:rPr>
          <w:b/>
          <w:sz w:val="24"/>
          <w:vertAlign w:val="subscript"/>
        </w:rPr>
        <w:t>t</w:t>
      </w:r>
      <w:r>
        <w:rPr>
          <w:sz w:val="24"/>
          <w:vertAlign w:val="baseline"/>
        </w:rPr>
        <w:t>) is to be calculated using the following formula:</w:t>
      </w:r>
    </w:p>
    <w:p>
      <w:pPr>
        <w:pStyle w:val="BodyText"/>
        <w:spacing w:line="343" w:lineRule="auto"/>
        <w:ind w:left="1352" w:right="7225" w:firstLine="0"/>
        <w:jc w:val="left"/>
      </w:pPr>
      <w:r>
        <w:rPr/>
        <w:t>RC</w:t>
      </w:r>
      <w:r>
        <w:rPr>
          <w:vertAlign w:val="subscript"/>
        </w:rPr>
        <w:t>t</w:t>
      </w:r>
      <w:r>
        <w:rPr>
          <w:vertAlign w:val="baseline"/>
        </w:rPr>
        <w:t> =a</w:t>
      </w:r>
      <w:r>
        <w:rPr>
          <w:vertAlign w:val="subscript"/>
        </w:rPr>
        <w:t>t</w:t>
      </w:r>
      <w:r>
        <w:rPr>
          <w:vertAlign w:val="baseline"/>
        </w:rPr>
        <w:t> x v</w:t>
      </w:r>
      <w:r>
        <w:rPr>
          <w:vertAlign w:val="subscript"/>
        </w:rPr>
        <w:t>t</w:t>
      </w:r>
      <w:r>
        <w:rPr>
          <w:vertAlign w:val="baseline"/>
        </w:rPr>
        <w:t> where:</w:t>
      </w:r>
    </w:p>
    <w:p>
      <w:pPr>
        <w:spacing w:before="3"/>
        <w:ind w:left="1352" w:right="415" w:firstLine="0"/>
        <w:jc w:val="both"/>
        <w:rPr>
          <w:sz w:val="24"/>
        </w:rPr>
      </w:pPr>
      <w:r>
        <w:rPr>
          <w:sz w:val="24"/>
        </w:rPr>
        <w:t>a</w:t>
      </w:r>
      <w:r>
        <w:rPr>
          <w:sz w:val="24"/>
          <w:vertAlign w:val="subscript"/>
        </w:rPr>
        <w:t>t</w:t>
      </w:r>
      <w:r>
        <w:rPr>
          <w:sz w:val="24"/>
          <w:vertAlign w:val="baseline"/>
        </w:rPr>
        <w:t> is the </w:t>
      </w:r>
      <w:r>
        <w:rPr>
          <w:i/>
          <w:sz w:val="24"/>
          <w:vertAlign w:val="baseline"/>
        </w:rPr>
        <w:t>allowed rate of return </w:t>
      </w:r>
      <w:r>
        <w:rPr>
          <w:sz w:val="24"/>
          <w:vertAlign w:val="baseline"/>
        </w:rPr>
        <w:t>for the </w:t>
      </w:r>
      <w:r>
        <w:rPr>
          <w:i/>
          <w:sz w:val="24"/>
          <w:vertAlign w:val="baseline"/>
        </w:rPr>
        <w:t>Distribution Network Service Provider </w:t>
      </w:r>
      <w:r>
        <w:rPr>
          <w:sz w:val="24"/>
          <w:vertAlign w:val="baseline"/>
        </w:rPr>
        <w:t>for the </w:t>
      </w:r>
      <w:r>
        <w:rPr>
          <w:i/>
          <w:sz w:val="24"/>
          <w:vertAlign w:val="baseline"/>
        </w:rPr>
        <w:t>regulatory year</w:t>
      </w:r>
      <w:r>
        <w:rPr>
          <w:sz w:val="24"/>
          <w:vertAlign w:val="baseline"/>
        </w:rPr>
        <w:t>; and</w:t>
      </w:r>
    </w:p>
    <w:p>
      <w:pPr>
        <w:spacing w:before="120"/>
        <w:ind w:left="1352" w:right="415" w:firstLine="0"/>
        <w:jc w:val="both"/>
        <w:rPr>
          <w:sz w:val="24"/>
        </w:rPr>
      </w:pPr>
      <w:r>
        <w:rPr>
          <w:sz w:val="24"/>
        </w:rPr>
        <w:t>v</w:t>
      </w:r>
      <w:r>
        <w:rPr>
          <w:sz w:val="24"/>
          <w:vertAlign w:val="subscript"/>
        </w:rPr>
        <w:t>t</w:t>
      </w:r>
      <w:r>
        <w:rPr>
          <w:sz w:val="24"/>
          <w:vertAlign w:val="baseline"/>
        </w:rPr>
        <w:t> is the value, as at the beginning of the </w:t>
      </w:r>
      <w:r>
        <w:rPr>
          <w:i/>
          <w:sz w:val="24"/>
          <w:vertAlign w:val="baseline"/>
        </w:rPr>
        <w:t>regulatory year</w:t>
      </w:r>
      <w:r>
        <w:rPr>
          <w:sz w:val="24"/>
          <w:vertAlign w:val="baseline"/>
        </w:rPr>
        <w:t>, of the regulatory asset base for the </w:t>
      </w:r>
      <w:r>
        <w:rPr>
          <w:i/>
          <w:sz w:val="24"/>
          <w:vertAlign w:val="baseline"/>
        </w:rPr>
        <w:t>distribution system </w:t>
      </w:r>
      <w:r>
        <w:rPr>
          <w:sz w:val="24"/>
          <w:vertAlign w:val="baseline"/>
        </w:rPr>
        <w:t>owned, controlled or operated by the </w:t>
      </w:r>
      <w:r>
        <w:rPr>
          <w:i/>
          <w:sz w:val="24"/>
          <w:vertAlign w:val="baseline"/>
        </w:rPr>
        <w:t>Distribution </w:t>
      </w:r>
      <w:r>
        <w:rPr>
          <w:i/>
          <w:sz w:val="24"/>
          <w:vertAlign w:val="baseline"/>
        </w:rPr>
        <w:t>Network Service Provider </w:t>
      </w:r>
      <w:r>
        <w:rPr>
          <w:sz w:val="24"/>
          <w:vertAlign w:val="baseline"/>
        </w:rPr>
        <w:t>(as established in accordance with clause 6.5.1 and schedule 6.2).</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3 Estimated cost of corporate income" w:id="1334"/>
      <w:bookmarkEnd w:id="1334"/>
      <w:r>
        <w:rPr>
          <w:b w:val="0"/>
        </w:rPr>
      </w:r>
      <w:bookmarkStart w:name="_bookmark544" w:id="1335"/>
      <w:bookmarkEnd w:id="1335"/>
      <w:r>
        <w:rPr>
          <w:b w:val="0"/>
        </w:rPr>
      </w:r>
      <w:bookmarkStart w:name="_bookmark544" w:id="1336"/>
      <w:bookmarkEnd w:id="1336"/>
      <w:r>
        <w:rPr/>
        <w:t>Estimated</w:t>
      </w:r>
      <w:r>
        <w:rPr/>
        <w:t> cost of corporate income</w:t>
      </w:r>
      <w:r>
        <w:rPr>
          <w:spacing w:val="-3"/>
        </w:rPr>
        <w:t> </w:t>
      </w:r>
      <w:r>
        <w:rPr/>
        <w:t>tax</w:t>
      </w:r>
    </w:p>
    <w:p>
      <w:pPr>
        <w:spacing w:before="120"/>
        <w:ind w:left="1352" w:right="415" w:firstLine="0"/>
        <w:jc w:val="both"/>
        <w:rPr>
          <w:sz w:val="24"/>
        </w:rPr>
      </w:pPr>
      <w:r>
        <w:rPr>
          <w:sz w:val="24"/>
        </w:rPr>
        <w:t>The estimated cost of corporate income tax of a </w:t>
      </w:r>
      <w:r>
        <w:rPr>
          <w:i/>
          <w:sz w:val="24"/>
        </w:rPr>
        <w:t>Distribution Network Service </w:t>
      </w:r>
      <w:r>
        <w:rPr>
          <w:i/>
          <w:sz w:val="24"/>
        </w:rPr>
        <w:t>Provider </w:t>
      </w:r>
      <w:r>
        <w:rPr>
          <w:sz w:val="24"/>
        </w:rPr>
        <w:t>for each </w:t>
      </w:r>
      <w:r>
        <w:rPr>
          <w:i/>
          <w:sz w:val="24"/>
        </w:rPr>
        <w:t>regulatory year </w:t>
      </w:r>
      <w:r>
        <w:rPr>
          <w:sz w:val="24"/>
        </w:rPr>
        <w:t>(</w:t>
      </w:r>
      <w:r>
        <w:rPr>
          <w:b/>
          <w:sz w:val="24"/>
        </w:rPr>
        <w:t>ETC</w:t>
      </w:r>
      <w:r>
        <w:rPr>
          <w:b/>
          <w:sz w:val="24"/>
          <w:vertAlign w:val="subscript"/>
        </w:rPr>
        <w:t>t</w:t>
      </w:r>
      <w:r>
        <w:rPr>
          <w:sz w:val="24"/>
          <w:vertAlign w:val="baseline"/>
        </w:rPr>
        <w:t>) must be estimated in accordance with the following formula:</w:t>
      </w:r>
    </w:p>
    <w:p>
      <w:pPr>
        <w:pStyle w:val="BodyText"/>
        <w:ind w:left="1352" w:firstLine="0"/>
      </w:pPr>
      <w:r>
        <w:rPr/>
        <w:t>ETC</w:t>
      </w:r>
      <w:r>
        <w:rPr>
          <w:vertAlign w:val="subscript"/>
        </w:rPr>
        <w:t>t</w:t>
      </w:r>
      <w:r>
        <w:rPr>
          <w:vertAlign w:val="baseline"/>
        </w:rPr>
        <w:t> = (ETI</w:t>
      </w:r>
      <w:r>
        <w:rPr>
          <w:vertAlign w:val="subscript"/>
        </w:rPr>
        <w:t>t</w:t>
      </w:r>
      <w:r>
        <w:rPr>
          <w:vertAlign w:val="baseline"/>
        </w:rPr>
        <w:t> × r</w:t>
      </w:r>
      <w:r>
        <w:rPr>
          <w:vertAlign w:val="subscript"/>
        </w:rPr>
        <w:t>t</w:t>
      </w:r>
      <w:r>
        <w:rPr>
          <w:vertAlign w:val="baseline"/>
        </w:rPr>
        <w:t>) (1 – γ)</w:t>
      </w:r>
    </w:p>
    <w:p>
      <w:pPr>
        <w:pStyle w:val="BodyText"/>
        <w:ind w:left="1352" w:firstLine="0"/>
        <w:jc w:val="left"/>
      </w:pPr>
      <w:r>
        <w:rPr/>
        <w:t>where:</w:t>
      </w:r>
    </w:p>
    <w:p>
      <w:pPr>
        <w:spacing w:before="120"/>
        <w:ind w:left="1352" w:right="415" w:firstLine="0"/>
        <w:jc w:val="both"/>
        <w:rPr>
          <w:sz w:val="24"/>
        </w:rPr>
      </w:pPr>
      <w:r>
        <w:rPr>
          <w:sz w:val="24"/>
        </w:rPr>
        <w:t>ETI</w:t>
      </w:r>
      <w:r>
        <w:rPr>
          <w:sz w:val="24"/>
          <w:vertAlign w:val="subscript"/>
        </w:rPr>
        <w:t>t</w:t>
      </w:r>
      <w:r>
        <w:rPr>
          <w:sz w:val="24"/>
          <w:vertAlign w:val="baseline"/>
        </w:rPr>
        <w:t> is an estimate of the taxable income for that </w:t>
      </w:r>
      <w:r>
        <w:rPr>
          <w:i/>
          <w:sz w:val="24"/>
          <w:vertAlign w:val="baseline"/>
        </w:rPr>
        <w:t>regulatory year </w:t>
      </w:r>
      <w:r>
        <w:rPr>
          <w:sz w:val="24"/>
          <w:vertAlign w:val="baseline"/>
        </w:rPr>
        <w:t>that would be earned by a benchmark efficient entity as a result of the provision of </w:t>
      </w:r>
      <w:r>
        <w:rPr>
          <w:i/>
          <w:sz w:val="24"/>
          <w:vertAlign w:val="baseline"/>
        </w:rPr>
        <w:t>standard </w:t>
      </w:r>
      <w:r>
        <w:rPr>
          <w:i/>
          <w:sz w:val="24"/>
          <w:vertAlign w:val="baseline"/>
        </w:rPr>
        <w:t>control services </w:t>
      </w:r>
      <w:r>
        <w:rPr>
          <w:sz w:val="24"/>
          <w:vertAlign w:val="baseline"/>
        </w:rPr>
        <w:t>if such an entity, rather than the </w:t>
      </w:r>
      <w:r>
        <w:rPr>
          <w:i/>
          <w:sz w:val="24"/>
          <w:vertAlign w:val="baseline"/>
        </w:rPr>
        <w:t>Distribution Network Service </w:t>
      </w:r>
      <w:r>
        <w:rPr>
          <w:i/>
          <w:sz w:val="24"/>
          <w:vertAlign w:val="baseline"/>
        </w:rPr>
        <w:t>Provider</w:t>
      </w:r>
      <w:r>
        <w:rPr>
          <w:sz w:val="24"/>
          <w:vertAlign w:val="baseline"/>
        </w:rPr>
        <w:t>, operated the business of the </w:t>
      </w:r>
      <w:r>
        <w:rPr>
          <w:i/>
          <w:sz w:val="24"/>
          <w:vertAlign w:val="baseline"/>
        </w:rPr>
        <w:t>Distribution Network Service Provider</w:t>
      </w:r>
      <w:r>
        <w:rPr>
          <w:sz w:val="24"/>
          <w:vertAlign w:val="baseline"/>
        </w:rPr>
        <w:t>, such estimate being determined in accordance with the </w:t>
      </w:r>
      <w:r>
        <w:rPr>
          <w:i/>
          <w:sz w:val="24"/>
          <w:vertAlign w:val="baseline"/>
        </w:rPr>
        <w:t>post-tax revenue</w:t>
      </w:r>
      <w:r>
        <w:rPr>
          <w:i/>
          <w:spacing w:val="-13"/>
          <w:sz w:val="24"/>
          <w:vertAlign w:val="baseline"/>
        </w:rPr>
        <w:t> </w:t>
      </w:r>
      <w:r>
        <w:rPr>
          <w:i/>
          <w:sz w:val="24"/>
          <w:vertAlign w:val="baseline"/>
        </w:rPr>
        <w:t>model</w:t>
      </w:r>
      <w:r>
        <w:rPr>
          <w:sz w:val="24"/>
          <w:vertAlign w:val="baseline"/>
        </w:rPr>
        <w:t>;</w:t>
      </w:r>
    </w:p>
    <w:p>
      <w:pPr>
        <w:pStyle w:val="BodyText"/>
        <w:ind w:left="1352" w:right="415" w:firstLine="0"/>
      </w:pPr>
      <w:r>
        <w:rPr/>
        <w:t>r</w:t>
      </w:r>
      <w:r>
        <w:rPr>
          <w:vertAlign w:val="subscript"/>
        </w:rPr>
        <w:t>t</w:t>
      </w:r>
      <w:r>
        <w:rPr>
          <w:vertAlign w:val="baseline"/>
        </w:rPr>
        <w:t> is the expected statutory income tax rate for that </w:t>
      </w:r>
      <w:r>
        <w:rPr>
          <w:i/>
          <w:vertAlign w:val="baseline"/>
        </w:rPr>
        <w:t>regulatory year </w:t>
      </w:r>
      <w:r>
        <w:rPr>
          <w:vertAlign w:val="baseline"/>
        </w:rPr>
        <w:t>as determined by the </w:t>
      </w:r>
      <w:r>
        <w:rPr>
          <w:i/>
          <w:vertAlign w:val="baseline"/>
        </w:rPr>
        <w:t>AER</w:t>
      </w:r>
      <w:r>
        <w:rPr>
          <w:vertAlign w:val="baseline"/>
        </w:rPr>
        <w:t>; and</w:t>
      </w:r>
    </w:p>
    <w:p>
      <w:pPr>
        <w:spacing w:before="120"/>
        <w:ind w:left="1352" w:right="0" w:firstLine="0"/>
        <w:jc w:val="both"/>
        <w:rPr>
          <w:i/>
          <w:sz w:val="24"/>
        </w:rPr>
      </w:pPr>
      <w:r>
        <w:rPr>
          <w:sz w:val="24"/>
        </w:rPr>
        <w:t>γ is the </w:t>
      </w:r>
      <w:r>
        <w:rPr>
          <w:i/>
          <w:sz w:val="24"/>
        </w:rPr>
        <w:t>allowed imputation credits </w:t>
      </w:r>
      <w:r>
        <w:rPr>
          <w:sz w:val="24"/>
        </w:rPr>
        <w:t>for the </w:t>
      </w:r>
      <w:r>
        <w:rPr>
          <w:i/>
          <w:sz w:val="24"/>
        </w:rPr>
        <w:t>Distribution Network Service Provider</w:t>
      </w:r>
    </w:p>
    <w:p>
      <w:pPr>
        <w:spacing w:before="0"/>
        <w:ind w:left="1352" w:right="0" w:firstLine="0"/>
        <w:jc w:val="both"/>
        <w:rPr>
          <w:sz w:val="24"/>
        </w:rPr>
      </w:pPr>
      <w:r>
        <w:rPr>
          <w:sz w:val="24"/>
        </w:rPr>
        <w:t>for the </w:t>
      </w:r>
      <w:r>
        <w:rPr>
          <w:i/>
          <w:sz w:val="24"/>
        </w:rPr>
        <w:t>regulatory year</w:t>
      </w:r>
      <w:r>
        <w:rPr>
          <w:sz w:val="24"/>
        </w:rPr>
        <w:t>.</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4 [Deleted]" w:id="1337"/>
      <w:bookmarkEnd w:id="1337"/>
      <w:r>
        <w:rPr>
          <w:b w:val="0"/>
        </w:rPr>
      </w:r>
      <w:bookmarkStart w:name="_bookmark545" w:id="1338"/>
      <w:bookmarkEnd w:id="1338"/>
      <w:r>
        <w:rPr>
          <w:b w:val="0"/>
        </w:rPr>
      </w:r>
      <w:bookmarkStart w:name="_bookmark545" w:id="1339"/>
      <w:bookmarkEnd w:id="1339"/>
      <w:r>
        <w:rPr/>
        <w:t>[Deleted]</w:t>
      </w:r>
    </w:p>
    <w:p>
      <w:pPr>
        <w:pStyle w:val="BodyText"/>
        <w:spacing w:before="10"/>
        <w:ind w:firstLine="0"/>
        <w:jc w:val="left"/>
        <w:rPr>
          <w:rFonts w:ascii="Arial"/>
          <w:b/>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5 Depreciation" w:id="1340"/>
      <w:bookmarkEnd w:id="1340"/>
      <w:r>
        <w:rPr>
          <w:b w:val="0"/>
        </w:rPr>
      </w:r>
      <w:bookmarkStart w:name="_bookmark546" w:id="1341"/>
      <w:bookmarkEnd w:id="1341"/>
      <w:r>
        <w:rPr>
          <w:b w:val="0"/>
        </w:rPr>
      </w:r>
      <w:bookmarkStart w:name="_bookmark546" w:id="1342"/>
      <w:bookmarkEnd w:id="1342"/>
      <w:r>
        <w:rPr/>
        <w:t>Depre</w:t>
      </w:r>
      <w:r>
        <w:rPr/>
        <w:t>ciation</w:t>
      </w:r>
    </w:p>
    <w:p>
      <w:pPr>
        <w:pStyle w:val="ListParagraph"/>
        <w:numPr>
          <w:ilvl w:val="3"/>
          <w:numId w:val="394"/>
        </w:numPr>
        <w:tabs>
          <w:tab w:pos="1918" w:val="left" w:leader="none"/>
          <w:tab w:pos="1919" w:val="left" w:leader="none"/>
        </w:tabs>
        <w:spacing w:line="240" w:lineRule="auto" w:before="120" w:after="0"/>
        <w:ind w:left="1918" w:right="0" w:hanging="567"/>
        <w:jc w:val="left"/>
        <w:rPr>
          <w:sz w:val="24"/>
        </w:rPr>
      </w:pPr>
      <w:r>
        <w:rPr>
          <w:sz w:val="24"/>
        </w:rPr>
        <w:t>The depreciation for each </w:t>
      </w:r>
      <w:r>
        <w:rPr>
          <w:i/>
          <w:sz w:val="24"/>
        </w:rPr>
        <w:t>regulatory</w:t>
      </w:r>
      <w:r>
        <w:rPr>
          <w:i/>
          <w:spacing w:val="-1"/>
          <w:sz w:val="24"/>
        </w:rPr>
        <w:t> </w:t>
      </w:r>
      <w:r>
        <w:rPr>
          <w:i/>
          <w:sz w:val="24"/>
        </w:rPr>
        <w:t>year</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4"/>
          <w:numId w:val="394"/>
        </w:numPr>
        <w:tabs>
          <w:tab w:pos="2486" w:val="left" w:leader="none"/>
        </w:tabs>
        <w:spacing w:line="240" w:lineRule="auto" w:before="83" w:after="0"/>
        <w:ind w:left="2486" w:right="415" w:hanging="567"/>
        <w:jc w:val="both"/>
        <w:rPr>
          <w:sz w:val="24"/>
        </w:rPr>
      </w:pPr>
      <w:r>
        <w:rPr>
          <w:sz w:val="24"/>
        </w:rPr>
        <w:t>must be calculated on the value of the assets as included in the regulatory asset base, as at the beginning of that </w:t>
      </w:r>
      <w:r>
        <w:rPr>
          <w:i/>
          <w:sz w:val="24"/>
        </w:rPr>
        <w:t>regulatory year</w:t>
      </w:r>
      <w:r>
        <w:rPr>
          <w:sz w:val="24"/>
        </w:rPr>
        <w:t>, for the relevant </w:t>
      </w:r>
      <w:r>
        <w:rPr>
          <w:i/>
          <w:sz w:val="24"/>
        </w:rPr>
        <w:t>distribution system</w:t>
      </w:r>
      <w:r>
        <w:rPr>
          <w:sz w:val="24"/>
        </w:rPr>
        <w:t>;</w:t>
      </w:r>
      <w:r>
        <w:rPr>
          <w:spacing w:val="-1"/>
          <w:sz w:val="24"/>
        </w:rPr>
        <w:t> </w:t>
      </w:r>
      <w:r>
        <w:rPr>
          <w:sz w:val="24"/>
        </w:rPr>
        <w:t>and</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must be</w:t>
      </w:r>
      <w:r>
        <w:rPr>
          <w:spacing w:val="-1"/>
          <w:sz w:val="24"/>
        </w:rPr>
        <w:t> </w:t>
      </w:r>
      <w:r>
        <w:rPr>
          <w:sz w:val="24"/>
        </w:rPr>
        <w:t>calculated:</w:t>
      </w:r>
    </w:p>
    <w:p>
      <w:pPr>
        <w:pStyle w:val="ListParagraph"/>
        <w:numPr>
          <w:ilvl w:val="5"/>
          <w:numId w:val="394"/>
        </w:numPr>
        <w:tabs>
          <w:tab w:pos="3053" w:val="left" w:leader="none"/>
        </w:tabs>
        <w:spacing w:line="240" w:lineRule="auto" w:before="120" w:after="0"/>
        <w:ind w:left="3053" w:right="417" w:hanging="567"/>
        <w:jc w:val="both"/>
        <w:rPr>
          <w:sz w:val="24"/>
        </w:rPr>
      </w:pPr>
      <w:r>
        <w:rPr>
          <w:sz w:val="24"/>
        </w:rPr>
        <w:t>providing such depreciation schedules conform with the requirements set out in paragraph (b), using the depreciation schedules for each asset or category of assets that are nominated in the relevant </w:t>
      </w:r>
      <w:r>
        <w:rPr>
          <w:i/>
          <w:sz w:val="24"/>
        </w:rPr>
        <w:t>Distribution Network Service Provider's building </w:t>
      </w:r>
      <w:r>
        <w:rPr>
          <w:i/>
          <w:sz w:val="24"/>
        </w:rPr>
        <w:t>block proposal</w:t>
      </w:r>
      <w:r>
        <w:rPr>
          <w:sz w:val="24"/>
        </w:rPr>
        <w:t>; or</w:t>
      </w:r>
    </w:p>
    <w:p>
      <w:pPr>
        <w:pStyle w:val="ListParagraph"/>
        <w:numPr>
          <w:ilvl w:val="5"/>
          <w:numId w:val="394"/>
        </w:numPr>
        <w:tabs>
          <w:tab w:pos="3054" w:val="left" w:leader="none"/>
        </w:tabs>
        <w:spacing w:line="240" w:lineRule="auto" w:before="120" w:after="0"/>
        <w:ind w:left="3053" w:right="415" w:hanging="567"/>
        <w:jc w:val="both"/>
        <w:rPr>
          <w:sz w:val="24"/>
        </w:rPr>
      </w:pPr>
      <w:r>
        <w:rPr>
          <w:sz w:val="24"/>
        </w:rPr>
        <w:t>to the extent the depreciation schedules nominated in the </w:t>
      </w:r>
      <w:r>
        <w:rPr>
          <w:i/>
          <w:sz w:val="24"/>
        </w:rPr>
        <w:t>Distribution Network Service Provider's building block proposal </w:t>
      </w:r>
      <w:r>
        <w:rPr>
          <w:sz w:val="24"/>
        </w:rPr>
        <w:t>do not so conform, using the depreciation schedules determined for that purpose by the</w:t>
      </w:r>
      <w:r>
        <w:rPr>
          <w:spacing w:val="-1"/>
          <w:sz w:val="24"/>
        </w:rPr>
        <w:t> </w:t>
      </w:r>
      <w:r>
        <w:rPr>
          <w:i/>
          <w:sz w:val="24"/>
        </w:rPr>
        <w:t>AER</w:t>
      </w:r>
      <w:r>
        <w:rPr>
          <w:sz w:val="24"/>
        </w:rPr>
        <w:t>.</w:t>
      </w:r>
    </w:p>
    <w:p>
      <w:pPr>
        <w:pStyle w:val="ListParagraph"/>
        <w:numPr>
          <w:ilvl w:val="3"/>
          <w:numId w:val="394"/>
        </w:numPr>
        <w:tabs>
          <w:tab w:pos="1919" w:val="left" w:leader="none"/>
        </w:tabs>
        <w:spacing w:line="240" w:lineRule="auto" w:before="120" w:after="0"/>
        <w:ind w:left="1919" w:right="414" w:hanging="567"/>
        <w:jc w:val="both"/>
        <w:rPr>
          <w:sz w:val="24"/>
        </w:rPr>
      </w:pPr>
      <w:r>
        <w:rPr>
          <w:sz w:val="24"/>
        </w:rPr>
        <w:t>The depreciation schedules referred to in paragraph (a) must conform to the following</w:t>
      </w:r>
      <w:r>
        <w:rPr>
          <w:spacing w:val="-1"/>
          <w:sz w:val="24"/>
        </w:rPr>
        <w:t> </w:t>
      </w:r>
      <w:r>
        <w:rPr>
          <w:sz w:val="24"/>
        </w:rPr>
        <w:t>requirements:</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schedules must depreciate using a profile that reflects the nature of the assets or category of assets over the economic life of that asset </w:t>
      </w:r>
      <w:r>
        <w:rPr>
          <w:spacing w:val="-6"/>
          <w:sz w:val="24"/>
        </w:rPr>
        <w:t>or </w:t>
      </w:r>
      <w:r>
        <w:rPr>
          <w:sz w:val="24"/>
        </w:rPr>
        <w:t>category of</w:t>
      </w:r>
      <w:r>
        <w:rPr>
          <w:spacing w:val="-1"/>
          <w:sz w:val="24"/>
        </w:rPr>
        <w:t> </w:t>
      </w:r>
      <w:r>
        <w:rPr>
          <w:sz w:val="24"/>
        </w:rPr>
        <w:t>assets;</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sum of the real value of the depreciation that is attributable to any asset or category of assets over the economic life of that asset or category of assets (such real value being calculated as at the time the value of that asset or category of assets was first included in the regulatory asset base for the relevant </w:t>
      </w:r>
      <w:r>
        <w:rPr>
          <w:i/>
          <w:sz w:val="24"/>
        </w:rPr>
        <w:t>distribution system</w:t>
      </w:r>
      <w:r>
        <w:rPr>
          <w:sz w:val="24"/>
        </w:rPr>
        <w:t>) must </w:t>
      </w:r>
      <w:r>
        <w:rPr>
          <w:spacing w:val="-6"/>
          <w:sz w:val="24"/>
        </w:rPr>
        <w:t>be </w:t>
      </w:r>
      <w:r>
        <w:rPr>
          <w:sz w:val="24"/>
        </w:rPr>
        <w:t>equivalent to the value at which that asset or category of assets was first included in the regulatory asset base for the relevant </w:t>
      </w:r>
      <w:r>
        <w:rPr>
          <w:i/>
          <w:sz w:val="24"/>
        </w:rPr>
        <w:t>distribution </w:t>
      </w:r>
      <w:r>
        <w:rPr>
          <w:i/>
          <w:sz w:val="24"/>
        </w:rPr>
        <w:t>system</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economic life of the relevant assets and the depreciation methods and rates underpinning the calculation of depreciation for a </w:t>
      </w:r>
      <w:r>
        <w:rPr>
          <w:spacing w:val="-3"/>
          <w:sz w:val="24"/>
        </w:rPr>
        <w:t>given </w:t>
      </w:r>
      <w:r>
        <w:rPr>
          <w:i/>
          <w:sz w:val="24"/>
        </w:rPr>
        <w:t>regulatory control period </w:t>
      </w:r>
      <w:r>
        <w:rPr>
          <w:sz w:val="24"/>
        </w:rPr>
        <w:t>must be consistent with those determined for the same assets on a prospective basis in the distribution determination for that</w:t>
      </w:r>
      <w:r>
        <w:rPr>
          <w:spacing w:val="-1"/>
          <w:sz w:val="24"/>
        </w:rPr>
        <w:t> </w:t>
      </w:r>
      <w:r>
        <w:rPr>
          <w:sz w:val="24"/>
        </w:rPr>
        <w:t>period.</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6 Forecast operating expenditure" w:id="1343"/>
      <w:bookmarkEnd w:id="1343"/>
      <w:r>
        <w:rPr>
          <w:b w:val="0"/>
        </w:rPr>
      </w:r>
      <w:bookmarkStart w:name="_bookmark547" w:id="1344"/>
      <w:bookmarkEnd w:id="1344"/>
      <w:r>
        <w:rPr>
          <w:b w:val="0"/>
        </w:rPr>
      </w:r>
      <w:bookmarkStart w:name="_bookmark547" w:id="1345"/>
      <w:bookmarkEnd w:id="1345"/>
      <w:r>
        <w:rPr/>
        <w:t>Forecast</w:t>
      </w:r>
      <w:r>
        <w:rPr/>
        <w:t> operating</w:t>
      </w:r>
      <w:r>
        <w:rPr>
          <w:spacing w:val="-1"/>
        </w:rPr>
        <w:t> </w:t>
      </w:r>
      <w:r>
        <w:rPr/>
        <w:t>expenditure</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A </w:t>
      </w:r>
      <w:r>
        <w:rPr>
          <w:i/>
          <w:sz w:val="24"/>
        </w:rPr>
        <w:t>building block proposal </w:t>
      </w:r>
      <w:r>
        <w:rPr>
          <w:sz w:val="24"/>
        </w:rPr>
        <w:t>must include the total forecast operating expenditure for the relevant </w:t>
      </w:r>
      <w:r>
        <w:rPr>
          <w:i/>
          <w:sz w:val="24"/>
        </w:rPr>
        <w:t>regulatory control period </w:t>
      </w:r>
      <w:r>
        <w:rPr>
          <w:sz w:val="24"/>
        </w:rPr>
        <w:t>which the </w:t>
      </w:r>
      <w:r>
        <w:rPr>
          <w:i/>
          <w:sz w:val="24"/>
        </w:rPr>
        <w:t>Distribution Network Service Provider </w:t>
      </w:r>
      <w:r>
        <w:rPr>
          <w:sz w:val="24"/>
        </w:rPr>
        <w:t>considers is required in order to achieve each of the following (the </w:t>
      </w:r>
      <w:r>
        <w:rPr>
          <w:i/>
          <w:sz w:val="24"/>
        </w:rPr>
        <w:t>operating expenditure</w:t>
      </w:r>
      <w:r>
        <w:rPr>
          <w:i/>
          <w:spacing w:val="-4"/>
          <w:sz w:val="24"/>
        </w:rPr>
        <w:t> </w:t>
      </w:r>
      <w:r>
        <w:rPr>
          <w:i/>
          <w:sz w:val="24"/>
        </w:rPr>
        <w:t>objectives</w:t>
      </w:r>
      <w:r>
        <w:rPr>
          <w:sz w:val="24"/>
        </w:rPr>
        <w:t>):</w:t>
      </w:r>
    </w:p>
    <w:p>
      <w:pPr>
        <w:pStyle w:val="ListParagraph"/>
        <w:numPr>
          <w:ilvl w:val="4"/>
          <w:numId w:val="394"/>
        </w:numPr>
        <w:tabs>
          <w:tab w:pos="2486" w:val="left" w:leader="none"/>
        </w:tabs>
        <w:spacing w:line="240" w:lineRule="auto" w:before="120" w:after="0"/>
        <w:ind w:left="2485" w:right="0" w:hanging="567"/>
        <w:jc w:val="both"/>
        <w:rPr>
          <w:i/>
          <w:sz w:val="24"/>
        </w:rPr>
      </w:pPr>
      <w:r>
        <w:rPr>
          <w:sz w:val="24"/>
        </w:rPr>
        <w:t>meet</w:t>
      </w:r>
      <w:r>
        <w:rPr>
          <w:spacing w:val="36"/>
          <w:sz w:val="24"/>
        </w:rPr>
        <w:t> </w:t>
      </w:r>
      <w:r>
        <w:rPr>
          <w:sz w:val="24"/>
        </w:rPr>
        <w:t>or</w:t>
      </w:r>
      <w:r>
        <w:rPr>
          <w:spacing w:val="37"/>
          <w:sz w:val="24"/>
        </w:rPr>
        <w:t> </w:t>
      </w:r>
      <w:r>
        <w:rPr>
          <w:sz w:val="24"/>
        </w:rPr>
        <w:t>manage</w:t>
      </w:r>
      <w:r>
        <w:rPr>
          <w:spacing w:val="37"/>
          <w:sz w:val="24"/>
        </w:rPr>
        <w:t> </w:t>
      </w:r>
      <w:r>
        <w:rPr>
          <w:sz w:val="24"/>
        </w:rPr>
        <w:t>the</w:t>
      </w:r>
      <w:r>
        <w:rPr>
          <w:spacing w:val="36"/>
          <w:sz w:val="24"/>
        </w:rPr>
        <w:t> </w:t>
      </w:r>
      <w:r>
        <w:rPr>
          <w:sz w:val="24"/>
        </w:rPr>
        <w:t>expected</w:t>
      </w:r>
      <w:r>
        <w:rPr>
          <w:spacing w:val="37"/>
          <w:sz w:val="24"/>
        </w:rPr>
        <w:t> </w:t>
      </w:r>
      <w:r>
        <w:rPr>
          <w:sz w:val="24"/>
        </w:rPr>
        <w:t>demand</w:t>
      </w:r>
      <w:r>
        <w:rPr>
          <w:spacing w:val="37"/>
          <w:sz w:val="24"/>
        </w:rPr>
        <w:t> </w:t>
      </w:r>
      <w:r>
        <w:rPr>
          <w:sz w:val="24"/>
        </w:rPr>
        <w:t>for</w:t>
      </w:r>
      <w:r>
        <w:rPr>
          <w:spacing w:val="36"/>
          <w:sz w:val="24"/>
        </w:rPr>
        <w:t> </w:t>
      </w:r>
      <w:r>
        <w:rPr>
          <w:i/>
          <w:sz w:val="24"/>
        </w:rPr>
        <w:t>standard</w:t>
      </w:r>
      <w:r>
        <w:rPr>
          <w:i/>
          <w:spacing w:val="37"/>
          <w:sz w:val="24"/>
        </w:rPr>
        <w:t> </w:t>
      </w:r>
      <w:r>
        <w:rPr>
          <w:i/>
          <w:sz w:val="24"/>
        </w:rPr>
        <w:t>control</w:t>
      </w:r>
      <w:r>
        <w:rPr>
          <w:i/>
          <w:spacing w:val="37"/>
          <w:sz w:val="24"/>
        </w:rPr>
        <w:t> </w:t>
      </w:r>
      <w:r>
        <w:rPr>
          <w:i/>
          <w:sz w:val="24"/>
        </w:rPr>
        <w:t>services</w:t>
      </w:r>
    </w:p>
    <w:p>
      <w:pPr>
        <w:pStyle w:val="BodyText"/>
        <w:spacing w:before="0"/>
        <w:ind w:left="2486" w:firstLine="0"/>
      </w:pPr>
      <w:r>
        <w:rPr/>
        <w:t>over that period;</w:t>
      </w:r>
    </w:p>
    <w:p>
      <w:pPr>
        <w:pStyle w:val="ListParagraph"/>
        <w:numPr>
          <w:ilvl w:val="4"/>
          <w:numId w:val="394"/>
        </w:numPr>
        <w:tabs>
          <w:tab w:pos="2486" w:val="left" w:leader="none"/>
        </w:tabs>
        <w:spacing w:line="240" w:lineRule="auto" w:before="120" w:after="0"/>
        <w:ind w:left="2485" w:right="0" w:hanging="567"/>
        <w:jc w:val="both"/>
        <w:rPr>
          <w:i/>
          <w:sz w:val="24"/>
        </w:rPr>
      </w:pPr>
      <w:r>
        <w:rPr>
          <w:sz w:val="24"/>
        </w:rPr>
        <w:t>comply with all applicable </w:t>
      </w:r>
      <w:r>
        <w:rPr>
          <w:i/>
          <w:sz w:val="24"/>
        </w:rPr>
        <w:t>regulatory obligations or</w:t>
      </w:r>
      <w:r>
        <w:rPr>
          <w:i/>
          <w:spacing w:val="56"/>
          <w:sz w:val="24"/>
        </w:rPr>
        <w:t> </w:t>
      </w:r>
      <w:r>
        <w:rPr>
          <w:i/>
          <w:sz w:val="24"/>
        </w:rPr>
        <w:t>requirements</w:t>
      </w:r>
    </w:p>
    <w:p>
      <w:pPr>
        <w:spacing w:before="0"/>
        <w:ind w:left="2486" w:right="0" w:firstLine="0"/>
        <w:jc w:val="both"/>
        <w:rPr>
          <w:sz w:val="24"/>
        </w:rPr>
      </w:pPr>
      <w:r>
        <w:rPr>
          <w:sz w:val="24"/>
        </w:rPr>
        <w:t>associated with the provision of </w:t>
      </w:r>
      <w:r>
        <w:rPr>
          <w:i/>
          <w:sz w:val="24"/>
        </w:rPr>
        <w:t>standard control services</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to the extent that there is no applicable </w:t>
      </w:r>
      <w:r>
        <w:rPr>
          <w:i/>
          <w:sz w:val="24"/>
        </w:rPr>
        <w:t>regulatory obligation or </w:t>
      </w:r>
      <w:r>
        <w:rPr>
          <w:i/>
          <w:sz w:val="24"/>
        </w:rPr>
        <w:t>requirement </w:t>
      </w:r>
      <w:r>
        <w:rPr>
          <w:sz w:val="24"/>
        </w:rPr>
        <w:t>in relation</w:t>
      </w:r>
      <w:r>
        <w:rPr>
          <w:spacing w:val="-2"/>
          <w:sz w:val="24"/>
        </w:rPr>
        <w:t> </w:t>
      </w:r>
      <w:r>
        <w:rPr>
          <w:sz w:val="24"/>
        </w:rPr>
        <w:t>to:</w:t>
      </w:r>
    </w:p>
    <w:p>
      <w:pPr>
        <w:pStyle w:val="ListParagraph"/>
        <w:numPr>
          <w:ilvl w:val="5"/>
          <w:numId w:val="394"/>
        </w:numPr>
        <w:tabs>
          <w:tab w:pos="3053" w:val="left" w:leader="none"/>
        </w:tabs>
        <w:spacing w:line="240" w:lineRule="auto" w:before="120" w:after="0"/>
        <w:ind w:left="3053" w:right="417" w:hanging="567"/>
        <w:jc w:val="both"/>
        <w:rPr>
          <w:sz w:val="24"/>
        </w:rPr>
      </w:pPr>
      <w:r>
        <w:rPr>
          <w:sz w:val="24"/>
        </w:rPr>
        <w:t>the quality, reliability or security of supply of </w:t>
      </w:r>
      <w:r>
        <w:rPr>
          <w:i/>
          <w:sz w:val="24"/>
        </w:rPr>
        <w:t>standard control </w:t>
      </w:r>
      <w:r>
        <w:rPr>
          <w:i/>
          <w:sz w:val="24"/>
        </w:rPr>
        <w:t>services</w:t>
      </w:r>
      <w:r>
        <w:rPr>
          <w:sz w:val="24"/>
        </w:rPr>
        <w:t>;</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5"/>
          <w:numId w:val="394"/>
        </w:numPr>
        <w:tabs>
          <w:tab w:pos="3052" w:val="left" w:leader="none"/>
          <w:tab w:pos="3054" w:val="left" w:leader="none"/>
        </w:tabs>
        <w:spacing w:line="240" w:lineRule="auto" w:before="83" w:after="0"/>
        <w:ind w:left="3053" w:right="416" w:hanging="567"/>
        <w:jc w:val="left"/>
        <w:rPr>
          <w:sz w:val="24"/>
        </w:rPr>
      </w:pPr>
      <w:r>
        <w:rPr>
          <w:sz w:val="24"/>
        </w:rPr>
        <w:t>the reliability or security of the </w:t>
      </w:r>
      <w:r>
        <w:rPr>
          <w:i/>
          <w:sz w:val="24"/>
        </w:rPr>
        <w:t>distribution system </w:t>
      </w:r>
      <w:r>
        <w:rPr>
          <w:sz w:val="24"/>
        </w:rPr>
        <w:t>through the supply of </w:t>
      </w:r>
      <w:r>
        <w:rPr>
          <w:i/>
          <w:sz w:val="24"/>
        </w:rPr>
        <w:t>standard control</w:t>
      </w:r>
      <w:r>
        <w:rPr>
          <w:i/>
          <w:spacing w:val="-4"/>
          <w:sz w:val="24"/>
        </w:rPr>
        <w:t> </w:t>
      </w:r>
      <w:r>
        <w:rPr>
          <w:i/>
          <w:sz w:val="24"/>
        </w:rPr>
        <w:t>services</w:t>
      </w:r>
      <w:r>
        <w:rPr>
          <w:sz w:val="24"/>
        </w:rPr>
        <w:t>,</w:t>
      </w:r>
    </w:p>
    <w:p>
      <w:pPr>
        <w:pStyle w:val="BodyText"/>
        <w:ind w:left="2486" w:firstLine="0"/>
        <w:jc w:val="left"/>
      </w:pPr>
      <w:r>
        <w:rPr/>
        <w:t>to the relevant extent:</w:t>
      </w:r>
    </w:p>
    <w:p>
      <w:pPr>
        <w:pStyle w:val="ListParagraph"/>
        <w:numPr>
          <w:ilvl w:val="5"/>
          <w:numId w:val="394"/>
        </w:numPr>
        <w:tabs>
          <w:tab w:pos="3052" w:val="left" w:leader="none"/>
          <w:tab w:pos="3053" w:val="left" w:leader="none"/>
        </w:tabs>
        <w:spacing w:line="240" w:lineRule="auto" w:before="120" w:after="0"/>
        <w:ind w:left="3052" w:right="0" w:hanging="567"/>
        <w:jc w:val="left"/>
        <w:rPr>
          <w:sz w:val="24"/>
        </w:rPr>
      </w:pPr>
      <w:r>
        <w:rPr>
          <w:sz w:val="24"/>
        </w:rPr>
        <w:t>maintain</w:t>
      </w:r>
      <w:r>
        <w:rPr>
          <w:spacing w:val="40"/>
          <w:sz w:val="24"/>
        </w:rPr>
        <w:t> </w:t>
      </w:r>
      <w:r>
        <w:rPr>
          <w:sz w:val="24"/>
        </w:rPr>
        <w:t>the</w:t>
      </w:r>
      <w:r>
        <w:rPr>
          <w:spacing w:val="41"/>
          <w:sz w:val="24"/>
        </w:rPr>
        <w:t> </w:t>
      </w:r>
      <w:r>
        <w:rPr>
          <w:sz w:val="24"/>
        </w:rPr>
        <w:t>quality,</w:t>
      </w:r>
      <w:r>
        <w:rPr>
          <w:spacing w:val="40"/>
          <w:sz w:val="24"/>
        </w:rPr>
        <w:t> </w:t>
      </w:r>
      <w:r>
        <w:rPr>
          <w:sz w:val="24"/>
        </w:rPr>
        <w:t>reliability</w:t>
      </w:r>
      <w:r>
        <w:rPr>
          <w:spacing w:val="41"/>
          <w:sz w:val="24"/>
        </w:rPr>
        <w:t> </w:t>
      </w:r>
      <w:r>
        <w:rPr>
          <w:sz w:val="24"/>
        </w:rPr>
        <w:t>and</w:t>
      </w:r>
      <w:r>
        <w:rPr>
          <w:spacing w:val="41"/>
          <w:sz w:val="24"/>
        </w:rPr>
        <w:t> </w:t>
      </w:r>
      <w:r>
        <w:rPr>
          <w:sz w:val="24"/>
        </w:rPr>
        <w:t>security</w:t>
      </w:r>
      <w:r>
        <w:rPr>
          <w:spacing w:val="39"/>
          <w:sz w:val="24"/>
        </w:rPr>
        <w:t> </w:t>
      </w:r>
      <w:r>
        <w:rPr>
          <w:sz w:val="24"/>
        </w:rPr>
        <w:t>of</w:t>
      </w:r>
      <w:r>
        <w:rPr>
          <w:spacing w:val="41"/>
          <w:sz w:val="24"/>
        </w:rPr>
        <w:t> </w:t>
      </w:r>
      <w:r>
        <w:rPr>
          <w:sz w:val="24"/>
        </w:rPr>
        <w:t>supply</w:t>
      </w:r>
      <w:r>
        <w:rPr>
          <w:spacing w:val="40"/>
          <w:sz w:val="24"/>
        </w:rPr>
        <w:t> </w:t>
      </w:r>
      <w:r>
        <w:rPr>
          <w:sz w:val="24"/>
        </w:rPr>
        <w:t>of</w:t>
      </w:r>
    </w:p>
    <w:p>
      <w:pPr>
        <w:spacing w:before="0"/>
        <w:ind w:left="3053" w:right="0" w:firstLine="0"/>
        <w:jc w:val="left"/>
        <w:rPr>
          <w:sz w:val="24"/>
        </w:rPr>
      </w:pPr>
      <w:r>
        <w:rPr>
          <w:i/>
          <w:sz w:val="24"/>
        </w:rPr>
        <w:t>standard control services</w:t>
      </w:r>
      <w:r>
        <w:rPr>
          <w:sz w:val="24"/>
        </w:rPr>
        <w:t>; and</w:t>
      </w:r>
    </w:p>
    <w:p>
      <w:pPr>
        <w:pStyle w:val="ListParagraph"/>
        <w:numPr>
          <w:ilvl w:val="5"/>
          <w:numId w:val="394"/>
        </w:numPr>
        <w:tabs>
          <w:tab w:pos="3052" w:val="left" w:leader="none"/>
          <w:tab w:pos="3054" w:val="left" w:leader="none"/>
        </w:tabs>
        <w:spacing w:line="240" w:lineRule="auto" w:before="120" w:after="0"/>
        <w:ind w:left="3053" w:right="0" w:hanging="568"/>
        <w:jc w:val="left"/>
        <w:rPr>
          <w:i/>
          <w:sz w:val="24"/>
        </w:rPr>
      </w:pPr>
      <w:r>
        <w:rPr>
          <w:sz w:val="24"/>
        </w:rPr>
        <w:t>maintain</w:t>
      </w:r>
      <w:r>
        <w:rPr>
          <w:spacing w:val="39"/>
          <w:sz w:val="24"/>
        </w:rPr>
        <w:t> </w:t>
      </w:r>
      <w:r>
        <w:rPr>
          <w:sz w:val="24"/>
        </w:rPr>
        <w:t>the</w:t>
      </w:r>
      <w:r>
        <w:rPr>
          <w:spacing w:val="40"/>
          <w:sz w:val="24"/>
        </w:rPr>
        <w:t> </w:t>
      </w:r>
      <w:r>
        <w:rPr>
          <w:sz w:val="24"/>
        </w:rPr>
        <w:t>reliability</w:t>
      </w:r>
      <w:r>
        <w:rPr>
          <w:spacing w:val="39"/>
          <w:sz w:val="24"/>
        </w:rPr>
        <w:t> </w:t>
      </w:r>
      <w:r>
        <w:rPr>
          <w:sz w:val="24"/>
        </w:rPr>
        <w:t>and</w:t>
      </w:r>
      <w:r>
        <w:rPr>
          <w:spacing w:val="40"/>
          <w:sz w:val="24"/>
        </w:rPr>
        <w:t> </w:t>
      </w:r>
      <w:r>
        <w:rPr>
          <w:sz w:val="24"/>
        </w:rPr>
        <w:t>security</w:t>
      </w:r>
      <w:r>
        <w:rPr>
          <w:spacing w:val="39"/>
          <w:sz w:val="24"/>
        </w:rPr>
        <w:t> </w:t>
      </w:r>
      <w:r>
        <w:rPr>
          <w:sz w:val="24"/>
        </w:rPr>
        <w:t>of</w:t>
      </w:r>
      <w:r>
        <w:rPr>
          <w:spacing w:val="40"/>
          <w:sz w:val="24"/>
        </w:rPr>
        <w:t> </w:t>
      </w:r>
      <w:r>
        <w:rPr>
          <w:sz w:val="24"/>
        </w:rPr>
        <w:t>the</w:t>
      </w:r>
      <w:r>
        <w:rPr>
          <w:spacing w:val="39"/>
          <w:sz w:val="24"/>
        </w:rPr>
        <w:t> </w:t>
      </w:r>
      <w:r>
        <w:rPr>
          <w:i/>
          <w:sz w:val="24"/>
        </w:rPr>
        <w:t>distribution</w:t>
      </w:r>
      <w:r>
        <w:rPr>
          <w:i/>
          <w:spacing w:val="40"/>
          <w:sz w:val="24"/>
        </w:rPr>
        <w:t> </w:t>
      </w:r>
      <w:r>
        <w:rPr>
          <w:i/>
          <w:sz w:val="24"/>
        </w:rPr>
        <w:t>system</w:t>
      </w:r>
    </w:p>
    <w:p>
      <w:pPr>
        <w:spacing w:before="0"/>
        <w:ind w:left="2301" w:right="869" w:firstLine="0"/>
        <w:jc w:val="center"/>
        <w:rPr>
          <w:sz w:val="24"/>
        </w:rPr>
      </w:pPr>
      <w:r>
        <w:rPr>
          <w:sz w:val="24"/>
        </w:rPr>
        <w:t>through the supply of </w:t>
      </w:r>
      <w:r>
        <w:rPr>
          <w:i/>
          <w:sz w:val="24"/>
        </w:rPr>
        <w:t>standard control services</w:t>
      </w:r>
      <w:r>
        <w:rPr>
          <w:sz w:val="24"/>
        </w:rPr>
        <w:t>; and</w:t>
      </w:r>
    </w:p>
    <w:p>
      <w:pPr>
        <w:pStyle w:val="ListParagraph"/>
        <w:numPr>
          <w:ilvl w:val="4"/>
          <w:numId w:val="394"/>
        </w:numPr>
        <w:tabs>
          <w:tab w:pos="2068" w:val="left" w:leader="none"/>
          <w:tab w:pos="2486" w:val="left" w:leader="none"/>
        </w:tabs>
        <w:spacing w:line="240" w:lineRule="auto" w:before="120" w:after="0"/>
        <w:ind w:left="2485" w:right="0" w:hanging="985"/>
        <w:jc w:val="left"/>
        <w:rPr>
          <w:sz w:val="24"/>
        </w:rPr>
      </w:pPr>
      <w:r>
        <w:rPr>
          <w:sz w:val="24"/>
        </w:rPr>
        <w:t>maintain</w:t>
      </w:r>
      <w:r>
        <w:rPr>
          <w:spacing w:val="35"/>
          <w:sz w:val="24"/>
        </w:rPr>
        <w:t> </w:t>
      </w:r>
      <w:r>
        <w:rPr>
          <w:sz w:val="24"/>
        </w:rPr>
        <w:t>the</w:t>
      </w:r>
      <w:r>
        <w:rPr>
          <w:spacing w:val="35"/>
          <w:sz w:val="24"/>
        </w:rPr>
        <w:t> </w:t>
      </w:r>
      <w:r>
        <w:rPr>
          <w:sz w:val="24"/>
        </w:rPr>
        <w:t>safety</w:t>
      </w:r>
      <w:r>
        <w:rPr>
          <w:spacing w:val="35"/>
          <w:sz w:val="24"/>
        </w:rPr>
        <w:t> </w:t>
      </w:r>
      <w:r>
        <w:rPr>
          <w:sz w:val="24"/>
        </w:rPr>
        <w:t>of</w:t>
      </w:r>
      <w:r>
        <w:rPr>
          <w:spacing w:val="35"/>
          <w:sz w:val="24"/>
        </w:rPr>
        <w:t> </w:t>
      </w:r>
      <w:r>
        <w:rPr>
          <w:sz w:val="24"/>
        </w:rPr>
        <w:t>the</w:t>
      </w:r>
      <w:r>
        <w:rPr>
          <w:spacing w:val="35"/>
          <w:sz w:val="24"/>
        </w:rPr>
        <w:t> </w:t>
      </w:r>
      <w:r>
        <w:rPr>
          <w:i/>
          <w:sz w:val="24"/>
        </w:rPr>
        <w:t>distribution</w:t>
      </w:r>
      <w:r>
        <w:rPr>
          <w:i/>
          <w:spacing w:val="36"/>
          <w:sz w:val="24"/>
        </w:rPr>
        <w:t> </w:t>
      </w:r>
      <w:r>
        <w:rPr>
          <w:i/>
          <w:sz w:val="24"/>
        </w:rPr>
        <w:t>system</w:t>
      </w:r>
      <w:r>
        <w:rPr>
          <w:i/>
          <w:spacing w:val="35"/>
          <w:sz w:val="24"/>
        </w:rPr>
        <w:t> </w:t>
      </w:r>
      <w:r>
        <w:rPr>
          <w:sz w:val="24"/>
        </w:rPr>
        <w:t>through</w:t>
      </w:r>
      <w:r>
        <w:rPr>
          <w:spacing w:val="35"/>
          <w:sz w:val="24"/>
        </w:rPr>
        <w:t> </w:t>
      </w:r>
      <w:r>
        <w:rPr>
          <w:sz w:val="24"/>
        </w:rPr>
        <w:t>the</w:t>
      </w:r>
      <w:r>
        <w:rPr>
          <w:spacing w:val="35"/>
          <w:sz w:val="24"/>
        </w:rPr>
        <w:t> </w:t>
      </w:r>
      <w:r>
        <w:rPr>
          <w:sz w:val="24"/>
        </w:rPr>
        <w:t>supply</w:t>
      </w:r>
      <w:r>
        <w:rPr>
          <w:spacing w:val="35"/>
          <w:sz w:val="24"/>
        </w:rPr>
        <w:t> </w:t>
      </w:r>
      <w:r>
        <w:rPr>
          <w:sz w:val="24"/>
        </w:rPr>
        <w:t>of</w:t>
      </w:r>
    </w:p>
    <w:p>
      <w:pPr>
        <w:spacing w:before="0"/>
        <w:ind w:left="924" w:right="3157" w:firstLine="0"/>
        <w:jc w:val="center"/>
        <w:rPr>
          <w:sz w:val="24"/>
        </w:rPr>
      </w:pPr>
      <w:r>
        <w:rPr>
          <w:i/>
          <w:sz w:val="24"/>
        </w:rPr>
        <w:t>standard control services</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The forecast of required operating expenditure of a </w:t>
      </w:r>
      <w:r>
        <w:rPr>
          <w:i/>
          <w:sz w:val="24"/>
        </w:rPr>
        <w:t>Distribution Network </w:t>
      </w:r>
      <w:r>
        <w:rPr>
          <w:i/>
          <w:sz w:val="24"/>
        </w:rPr>
        <w:t>Service Provider </w:t>
      </w:r>
      <w:r>
        <w:rPr>
          <w:sz w:val="24"/>
        </w:rPr>
        <w:t>that is included in a </w:t>
      </w:r>
      <w:r>
        <w:rPr>
          <w:i/>
          <w:sz w:val="24"/>
        </w:rPr>
        <w:t>building block proposal</w:t>
      </w:r>
      <w:r>
        <w:rPr>
          <w:i/>
          <w:spacing w:val="-3"/>
          <w:sz w:val="24"/>
        </w:rPr>
        <w:t> </w:t>
      </w:r>
      <w:r>
        <w:rPr>
          <w:sz w:val="24"/>
        </w:rPr>
        <w:t>must:</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comply with the requirements of any relevant </w:t>
      </w:r>
      <w:r>
        <w:rPr>
          <w:i/>
          <w:sz w:val="24"/>
        </w:rPr>
        <w:t>regulatory information </w:t>
      </w:r>
      <w:r>
        <w:rPr>
          <w:i/>
          <w:sz w:val="24"/>
        </w:rPr>
        <w:t>instrument</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be for expenditure that is properly allocated to </w:t>
      </w:r>
      <w:r>
        <w:rPr>
          <w:i/>
          <w:sz w:val="24"/>
        </w:rPr>
        <w:t>standard control </w:t>
      </w:r>
      <w:r>
        <w:rPr>
          <w:i/>
          <w:sz w:val="24"/>
        </w:rPr>
        <w:t>services </w:t>
      </w:r>
      <w:r>
        <w:rPr>
          <w:sz w:val="24"/>
        </w:rPr>
        <w:t>in accordance with the principles and policies set out in the </w:t>
      </w:r>
      <w:r>
        <w:rPr>
          <w:i/>
          <w:sz w:val="24"/>
        </w:rPr>
        <w:t>Cost Allocation Method </w:t>
      </w:r>
      <w:r>
        <w:rPr>
          <w:sz w:val="24"/>
        </w:rPr>
        <w:t>for the </w:t>
      </w:r>
      <w:r>
        <w:rPr>
          <w:i/>
          <w:sz w:val="24"/>
        </w:rPr>
        <w:t>Distribution Network Service </w:t>
      </w:r>
      <w:r>
        <w:rPr>
          <w:i/>
          <w:sz w:val="24"/>
        </w:rPr>
        <w:t>Provider</w:t>
      </w:r>
      <w:r>
        <w:rPr>
          <w:sz w:val="24"/>
        </w:rPr>
        <w:t>;</w:t>
      </w:r>
      <w:r>
        <w:rPr>
          <w:spacing w:val="-1"/>
          <w:sz w:val="24"/>
        </w:rPr>
        <w:t> </w:t>
      </w:r>
      <w:r>
        <w:rPr>
          <w:sz w:val="24"/>
        </w:rPr>
        <w:t>and</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include both:</w:t>
      </w:r>
    </w:p>
    <w:p>
      <w:pPr>
        <w:pStyle w:val="ListParagraph"/>
        <w:numPr>
          <w:ilvl w:val="5"/>
          <w:numId w:val="394"/>
        </w:numPr>
        <w:tabs>
          <w:tab w:pos="3053" w:val="left" w:leader="none"/>
        </w:tabs>
        <w:spacing w:line="240" w:lineRule="auto" w:before="120" w:after="0"/>
        <w:ind w:left="3052" w:right="0" w:hanging="567"/>
        <w:jc w:val="both"/>
        <w:rPr>
          <w:sz w:val="24"/>
        </w:rPr>
      </w:pPr>
      <w:r>
        <w:rPr>
          <w:sz w:val="24"/>
        </w:rPr>
        <w:t>the</w:t>
      </w:r>
      <w:r>
        <w:rPr>
          <w:spacing w:val="36"/>
          <w:sz w:val="24"/>
        </w:rPr>
        <w:t> </w:t>
      </w:r>
      <w:r>
        <w:rPr>
          <w:sz w:val="24"/>
        </w:rPr>
        <w:t>total</w:t>
      </w:r>
      <w:r>
        <w:rPr>
          <w:spacing w:val="37"/>
          <w:sz w:val="24"/>
        </w:rPr>
        <w:t> </w:t>
      </w:r>
      <w:r>
        <w:rPr>
          <w:sz w:val="24"/>
        </w:rPr>
        <w:t>of</w:t>
      </w:r>
      <w:r>
        <w:rPr>
          <w:spacing w:val="36"/>
          <w:sz w:val="24"/>
        </w:rPr>
        <w:t> </w:t>
      </w:r>
      <w:r>
        <w:rPr>
          <w:sz w:val="24"/>
        </w:rPr>
        <w:t>the</w:t>
      </w:r>
      <w:r>
        <w:rPr>
          <w:spacing w:val="37"/>
          <w:sz w:val="24"/>
        </w:rPr>
        <w:t> </w:t>
      </w:r>
      <w:r>
        <w:rPr>
          <w:sz w:val="24"/>
        </w:rPr>
        <w:t>forecast</w:t>
      </w:r>
      <w:r>
        <w:rPr>
          <w:spacing w:val="36"/>
          <w:sz w:val="24"/>
        </w:rPr>
        <w:t> </w:t>
      </w:r>
      <w:r>
        <w:rPr>
          <w:sz w:val="24"/>
        </w:rPr>
        <w:t>operating</w:t>
      </w:r>
      <w:r>
        <w:rPr>
          <w:spacing w:val="37"/>
          <w:sz w:val="24"/>
        </w:rPr>
        <w:t> </w:t>
      </w:r>
      <w:r>
        <w:rPr>
          <w:sz w:val="24"/>
        </w:rPr>
        <w:t>expenditure</w:t>
      </w:r>
      <w:r>
        <w:rPr>
          <w:spacing w:val="36"/>
          <w:sz w:val="24"/>
        </w:rPr>
        <w:t> </w:t>
      </w:r>
      <w:r>
        <w:rPr>
          <w:sz w:val="24"/>
        </w:rPr>
        <w:t>for</w:t>
      </w:r>
      <w:r>
        <w:rPr>
          <w:spacing w:val="37"/>
          <w:sz w:val="24"/>
        </w:rPr>
        <w:t> </w:t>
      </w:r>
      <w:r>
        <w:rPr>
          <w:sz w:val="24"/>
        </w:rPr>
        <w:t>the</w:t>
      </w:r>
      <w:r>
        <w:rPr>
          <w:spacing w:val="37"/>
          <w:sz w:val="24"/>
        </w:rPr>
        <w:t> </w:t>
      </w:r>
      <w:r>
        <w:rPr>
          <w:sz w:val="24"/>
        </w:rPr>
        <w:t>relevant</w:t>
      </w:r>
    </w:p>
    <w:p>
      <w:pPr>
        <w:spacing w:before="0"/>
        <w:ind w:left="3053" w:right="0" w:firstLine="0"/>
        <w:jc w:val="both"/>
        <w:rPr>
          <w:sz w:val="24"/>
        </w:rPr>
      </w:pPr>
      <w:r>
        <w:rPr>
          <w:i/>
          <w:sz w:val="24"/>
        </w:rPr>
        <w:t>regulatory control period</w:t>
      </w:r>
      <w:r>
        <w:rPr>
          <w:sz w:val="24"/>
        </w:rPr>
        <w:t>; and</w:t>
      </w:r>
    </w:p>
    <w:p>
      <w:pPr>
        <w:pStyle w:val="ListParagraph"/>
        <w:numPr>
          <w:ilvl w:val="5"/>
          <w:numId w:val="394"/>
        </w:numPr>
        <w:tabs>
          <w:tab w:pos="3054" w:val="left" w:leader="none"/>
        </w:tabs>
        <w:spacing w:line="240" w:lineRule="auto" w:before="120" w:after="0"/>
        <w:ind w:left="3053" w:right="415" w:hanging="567"/>
        <w:jc w:val="both"/>
        <w:rPr>
          <w:sz w:val="24"/>
        </w:rPr>
      </w:pPr>
      <w:r>
        <w:rPr>
          <w:sz w:val="24"/>
        </w:rPr>
        <w:t>the forecast operating expenditure for each </w:t>
      </w:r>
      <w:r>
        <w:rPr>
          <w:i/>
          <w:sz w:val="24"/>
        </w:rPr>
        <w:t>regulatory year </w:t>
      </w:r>
      <w:r>
        <w:rPr>
          <w:spacing w:val="-6"/>
          <w:sz w:val="24"/>
        </w:rPr>
        <w:t>of </w:t>
      </w:r>
      <w:r>
        <w:rPr>
          <w:sz w:val="24"/>
        </w:rPr>
        <w:t>the relevant </w:t>
      </w:r>
      <w:r>
        <w:rPr>
          <w:i/>
          <w:sz w:val="24"/>
        </w:rPr>
        <w:t>regulatory control</w:t>
      </w:r>
      <w:r>
        <w:rPr>
          <w:i/>
          <w:spacing w:val="-2"/>
          <w:sz w:val="24"/>
        </w:rPr>
        <w:t> </w:t>
      </w:r>
      <w:r>
        <w:rPr>
          <w:i/>
          <w:sz w:val="24"/>
        </w:rPr>
        <w:t>period</w:t>
      </w:r>
      <w:r>
        <w:rPr>
          <w:sz w:val="24"/>
        </w:rPr>
        <w:t>.</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accept the forecast of required operating expenditure of a </w:t>
      </w:r>
      <w:r>
        <w:rPr>
          <w:i/>
          <w:sz w:val="24"/>
        </w:rPr>
        <w:t>Distribution Network Service Provider </w:t>
      </w:r>
      <w:r>
        <w:rPr>
          <w:sz w:val="24"/>
        </w:rPr>
        <w:t>that is included in a </w:t>
      </w:r>
      <w:r>
        <w:rPr>
          <w:i/>
          <w:sz w:val="24"/>
        </w:rPr>
        <w:t>building block </w:t>
      </w:r>
      <w:r>
        <w:rPr>
          <w:i/>
          <w:sz w:val="24"/>
        </w:rPr>
        <w:t>proposal </w:t>
      </w:r>
      <w:r>
        <w:rPr>
          <w:sz w:val="24"/>
        </w:rPr>
        <w:t>if the </w:t>
      </w:r>
      <w:r>
        <w:rPr>
          <w:i/>
          <w:sz w:val="24"/>
        </w:rPr>
        <w:t>AER </w:t>
      </w:r>
      <w:r>
        <w:rPr>
          <w:sz w:val="24"/>
        </w:rPr>
        <w:t>is satisfied that the total of the forecast operating expenditure for the </w:t>
      </w:r>
      <w:r>
        <w:rPr>
          <w:i/>
          <w:sz w:val="24"/>
        </w:rPr>
        <w:t>regulatory control period </w:t>
      </w:r>
      <w:r>
        <w:rPr>
          <w:sz w:val="24"/>
        </w:rPr>
        <w:t>reasonably reflects each of </w:t>
      </w:r>
      <w:r>
        <w:rPr>
          <w:spacing w:val="-4"/>
          <w:sz w:val="24"/>
        </w:rPr>
        <w:t>the </w:t>
      </w:r>
      <w:r>
        <w:rPr>
          <w:sz w:val="24"/>
        </w:rPr>
        <w:t>following (the </w:t>
      </w:r>
      <w:r>
        <w:rPr>
          <w:i/>
          <w:sz w:val="24"/>
        </w:rPr>
        <w:t>operating expenditure</w:t>
      </w:r>
      <w:r>
        <w:rPr>
          <w:i/>
          <w:spacing w:val="-2"/>
          <w:sz w:val="24"/>
        </w:rPr>
        <w:t> </w:t>
      </w:r>
      <w:r>
        <w:rPr>
          <w:i/>
          <w:sz w:val="24"/>
        </w:rPr>
        <w:t>criteria</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efficient costs of achieving the </w:t>
      </w:r>
      <w:r>
        <w:rPr>
          <w:i/>
          <w:sz w:val="24"/>
        </w:rPr>
        <w:t>operating expenditure objectives</w:t>
      </w:r>
      <w:r>
        <w:rPr>
          <w:sz w:val="24"/>
        </w:rPr>
        <w:t>; and</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the</w:t>
      </w:r>
      <w:r>
        <w:rPr>
          <w:spacing w:val="32"/>
          <w:sz w:val="24"/>
        </w:rPr>
        <w:t> </w:t>
      </w:r>
      <w:r>
        <w:rPr>
          <w:sz w:val="24"/>
        </w:rPr>
        <w:t>costs</w:t>
      </w:r>
      <w:r>
        <w:rPr>
          <w:spacing w:val="33"/>
          <w:sz w:val="24"/>
        </w:rPr>
        <w:t> </w:t>
      </w:r>
      <w:r>
        <w:rPr>
          <w:sz w:val="24"/>
        </w:rPr>
        <w:t>that</w:t>
      </w:r>
      <w:r>
        <w:rPr>
          <w:spacing w:val="32"/>
          <w:sz w:val="24"/>
        </w:rPr>
        <w:t> </w:t>
      </w:r>
      <w:r>
        <w:rPr>
          <w:sz w:val="24"/>
        </w:rPr>
        <w:t>a</w:t>
      </w:r>
      <w:r>
        <w:rPr>
          <w:spacing w:val="33"/>
          <w:sz w:val="24"/>
        </w:rPr>
        <w:t> </w:t>
      </w:r>
      <w:r>
        <w:rPr>
          <w:sz w:val="24"/>
        </w:rPr>
        <w:t>prudent</w:t>
      </w:r>
      <w:r>
        <w:rPr>
          <w:spacing w:val="32"/>
          <w:sz w:val="24"/>
        </w:rPr>
        <w:t> </w:t>
      </w:r>
      <w:r>
        <w:rPr>
          <w:sz w:val="24"/>
        </w:rPr>
        <w:t>operator</w:t>
      </w:r>
      <w:r>
        <w:rPr>
          <w:spacing w:val="33"/>
          <w:sz w:val="24"/>
        </w:rPr>
        <w:t> </w:t>
      </w:r>
      <w:r>
        <w:rPr>
          <w:sz w:val="24"/>
        </w:rPr>
        <w:t>would</w:t>
      </w:r>
      <w:r>
        <w:rPr>
          <w:spacing w:val="32"/>
          <w:sz w:val="24"/>
        </w:rPr>
        <w:t> </w:t>
      </w:r>
      <w:r>
        <w:rPr>
          <w:sz w:val="24"/>
        </w:rPr>
        <w:t>require</w:t>
      </w:r>
      <w:r>
        <w:rPr>
          <w:spacing w:val="33"/>
          <w:sz w:val="24"/>
        </w:rPr>
        <w:t> </w:t>
      </w:r>
      <w:r>
        <w:rPr>
          <w:sz w:val="24"/>
        </w:rPr>
        <w:t>to</w:t>
      </w:r>
      <w:r>
        <w:rPr>
          <w:spacing w:val="32"/>
          <w:sz w:val="24"/>
        </w:rPr>
        <w:t> </w:t>
      </w:r>
      <w:r>
        <w:rPr>
          <w:sz w:val="24"/>
        </w:rPr>
        <w:t>achieve</w:t>
      </w:r>
      <w:r>
        <w:rPr>
          <w:spacing w:val="33"/>
          <w:sz w:val="24"/>
        </w:rPr>
        <w:t> </w:t>
      </w:r>
      <w:r>
        <w:rPr>
          <w:sz w:val="24"/>
        </w:rPr>
        <w:t>the</w:t>
      </w:r>
    </w:p>
    <w:p>
      <w:pPr>
        <w:spacing w:before="0"/>
        <w:ind w:left="2486" w:right="0" w:firstLine="0"/>
        <w:jc w:val="both"/>
        <w:rPr>
          <w:sz w:val="24"/>
        </w:rPr>
      </w:pPr>
      <w:r>
        <w:rPr>
          <w:i/>
          <w:sz w:val="24"/>
        </w:rPr>
        <w:t>operating expenditure objectives</w:t>
      </w:r>
      <w:r>
        <w:rPr>
          <w:sz w:val="24"/>
        </w:rPr>
        <w:t>; 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a realistic expectation of the demand forecast and cost inputs required to achieve the </w:t>
      </w:r>
      <w:r>
        <w:rPr>
          <w:i/>
          <w:sz w:val="24"/>
        </w:rPr>
        <w:t>operating expenditure</w:t>
      </w:r>
      <w:r>
        <w:rPr>
          <w:i/>
          <w:spacing w:val="-1"/>
          <w:sz w:val="24"/>
        </w:rPr>
        <w:t> </w:t>
      </w:r>
      <w:r>
        <w:rPr>
          <w:i/>
          <w:sz w:val="24"/>
        </w:rPr>
        <w:t>objectives</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If the </w:t>
      </w:r>
      <w:r>
        <w:rPr>
          <w:i/>
          <w:sz w:val="24"/>
        </w:rPr>
        <w:t>AER </w:t>
      </w:r>
      <w:r>
        <w:rPr>
          <w:sz w:val="24"/>
        </w:rPr>
        <w:t>is not satisfied as referred to in paragraph (c), it must not accept the forecast of required operating expenditure of a </w:t>
      </w:r>
      <w:r>
        <w:rPr>
          <w:i/>
          <w:sz w:val="24"/>
        </w:rPr>
        <w:t>Distribution Network </w:t>
      </w:r>
      <w:r>
        <w:rPr>
          <w:i/>
          <w:sz w:val="24"/>
        </w:rPr>
        <w:t>Service Provider </w:t>
      </w:r>
      <w:r>
        <w:rPr>
          <w:sz w:val="24"/>
        </w:rPr>
        <w:t>that is included in a </w:t>
      </w:r>
      <w:r>
        <w:rPr>
          <w:i/>
          <w:sz w:val="24"/>
        </w:rPr>
        <w:t>building block</w:t>
      </w:r>
      <w:r>
        <w:rPr>
          <w:i/>
          <w:spacing w:val="-2"/>
          <w:sz w:val="24"/>
        </w:rPr>
        <w:t> </w:t>
      </w:r>
      <w:r>
        <w:rPr>
          <w:i/>
          <w:sz w:val="24"/>
        </w:rPr>
        <w:t>proposal</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In deciding whether or not the </w:t>
      </w:r>
      <w:r>
        <w:rPr>
          <w:i/>
          <w:sz w:val="24"/>
        </w:rPr>
        <w:t>AER </w:t>
      </w:r>
      <w:r>
        <w:rPr>
          <w:sz w:val="24"/>
        </w:rPr>
        <w:t>is satisfied as referred to in paragraph (c), the </w:t>
      </w:r>
      <w:r>
        <w:rPr>
          <w:i/>
          <w:sz w:val="24"/>
        </w:rPr>
        <w:t>AER </w:t>
      </w:r>
      <w:r>
        <w:rPr>
          <w:sz w:val="24"/>
        </w:rPr>
        <w:t>must have regard to the following (the </w:t>
      </w:r>
      <w:r>
        <w:rPr>
          <w:i/>
          <w:sz w:val="24"/>
        </w:rPr>
        <w:t>operating expenditure </w:t>
      </w:r>
      <w:r>
        <w:rPr>
          <w:i/>
          <w:sz w:val="24"/>
        </w:rPr>
        <w:t>factors</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4"/>
          <w:numId w:val="394"/>
        </w:numPr>
        <w:tabs>
          <w:tab w:pos="2486" w:val="left" w:leader="none"/>
        </w:tabs>
        <w:spacing w:line="240" w:lineRule="auto" w:before="83" w:after="0"/>
        <w:ind w:left="2486" w:right="415" w:hanging="567"/>
        <w:jc w:val="both"/>
        <w:rPr>
          <w:sz w:val="24"/>
        </w:rPr>
      </w:pPr>
      <w:r>
        <w:rPr>
          <w:sz w:val="24"/>
        </w:rPr>
        <w:t>the most recent </w:t>
      </w:r>
      <w:r>
        <w:rPr>
          <w:i/>
          <w:sz w:val="24"/>
        </w:rPr>
        <w:t>annual benchmarking report </w:t>
      </w:r>
      <w:r>
        <w:rPr>
          <w:sz w:val="24"/>
        </w:rPr>
        <w:t>that has been </w:t>
      </w:r>
      <w:r>
        <w:rPr>
          <w:i/>
          <w:sz w:val="24"/>
        </w:rPr>
        <w:t>published </w:t>
      </w:r>
      <w:r>
        <w:rPr>
          <w:sz w:val="24"/>
        </w:rPr>
        <w:t>under rule 6.27 and the benchmark operating expenditure that would be incurred by an efficient </w:t>
      </w:r>
      <w:r>
        <w:rPr>
          <w:i/>
          <w:sz w:val="24"/>
        </w:rPr>
        <w:t>Distribution Network Service  Provider </w:t>
      </w:r>
      <w:r>
        <w:rPr>
          <w:sz w:val="24"/>
        </w:rPr>
        <w:t>over the relevant </w:t>
      </w:r>
      <w:r>
        <w:rPr>
          <w:i/>
          <w:sz w:val="24"/>
        </w:rPr>
        <w:t>regulatory control</w:t>
      </w:r>
      <w:r>
        <w:rPr>
          <w:i/>
          <w:spacing w:val="-2"/>
          <w:sz w:val="24"/>
        </w:rPr>
        <w:t> </w:t>
      </w:r>
      <w:r>
        <w:rPr>
          <w:i/>
          <w:sz w:val="24"/>
        </w:rPr>
        <w:t>period</w:t>
      </w:r>
      <w:r>
        <w:rPr>
          <w:sz w:val="24"/>
        </w:rPr>
        <w: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the actual and expected operating expenditure of the </w:t>
      </w:r>
      <w:r>
        <w:rPr>
          <w:i/>
          <w:sz w:val="24"/>
        </w:rPr>
        <w:t>Distribution </w:t>
      </w:r>
      <w:r>
        <w:rPr>
          <w:i/>
          <w:sz w:val="24"/>
        </w:rPr>
        <w:t>Network Service Provider </w:t>
      </w:r>
      <w:r>
        <w:rPr>
          <w:sz w:val="24"/>
        </w:rPr>
        <w:t>during any preceding </w:t>
      </w:r>
      <w:r>
        <w:rPr>
          <w:i/>
          <w:sz w:val="24"/>
        </w:rPr>
        <w:t>regulatory control </w:t>
      </w:r>
      <w:r>
        <w:rPr>
          <w:i/>
          <w:sz w:val="24"/>
        </w:rPr>
        <w:t>periods</w:t>
      </w:r>
      <w:r>
        <w:rPr>
          <w:sz w:val="24"/>
        </w:rPr>
        <w:t>;</w:t>
      </w:r>
    </w:p>
    <w:p>
      <w:pPr>
        <w:pStyle w:val="BodyText"/>
        <w:ind w:left="2486" w:right="413"/>
      </w:pPr>
      <w:r>
        <w:rPr/>
        <w:t>(5A) the extent to which the operating expenditure forecast includes expenditure to address the concerns of electricity consumers as identified by the </w:t>
      </w:r>
      <w:r>
        <w:rPr>
          <w:i/>
        </w:rPr>
        <w:t>Distribution Network Service Provider </w:t>
      </w:r>
      <w:r>
        <w:rPr/>
        <w:t>in the course of its engagement with electricity consumers;</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the relative prices of operating and capital</w:t>
      </w:r>
      <w:r>
        <w:rPr>
          <w:spacing w:val="-1"/>
          <w:sz w:val="24"/>
        </w:rPr>
        <w:t> </w:t>
      </w:r>
      <w:r>
        <w:rPr>
          <w:sz w:val="24"/>
        </w:rPr>
        <w:t>inputs;</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the substitution possibilities between operating and capital expenditure;</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whether the operating expenditure forecast is consistent with any incentive scheme or schemes that apply to the </w:t>
      </w:r>
      <w:r>
        <w:rPr>
          <w:i/>
          <w:sz w:val="24"/>
        </w:rPr>
        <w:t>Distribution Network </w:t>
      </w:r>
      <w:r>
        <w:rPr>
          <w:i/>
          <w:sz w:val="24"/>
        </w:rPr>
        <w:t>Service Provider </w:t>
      </w:r>
      <w:r>
        <w:rPr>
          <w:sz w:val="24"/>
        </w:rPr>
        <w:t>under clauses 6.5.8 or 6.6.2 to</w:t>
      </w:r>
      <w:r>
        <w:rPr>
          <w:spacing w:val="-2"/>
          <w:sz w:val="24"/>
        </w:rPr>
        <w:t> </w:t>
      </w:r>
      <w:r>
        <w:rPr>
          <w:sz w:val="24"/>
        </w:rPr>
        <w:t>6.6.4;</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the extent the operating expenditure forecast is referable </w:t>
      </w:r>
      <w:r>
        <w:rPr>
          <w:spacing w:val="-7"/>
          <w:sz w:val="24"/>
        </w:rPr>
        <w:t>to </w:t>
      </w:r>
      <w:r>
        <w:rPr>
          <w:sz w:val="24"/>
        </w:rPr>
        <w:t>arrangements with a person other than the </w:t>
      </w:r>
      <w:r>
        <w:rPr>
          <w:i/>
          <w:sz w:val="24"/>
        </w:rPr>
        <w:t>Distribution Network </w:t>
      </w:r>
      <w:r>
        <w:rPr>
          <w:i/>
          <w:sz w:val="24"/>
        </w:rPr>
        <w:t>Service Provider </w:t>
      </w:r>
      <w:r>
        <w:rPr>
          <w:sz w:val="24"/>
        </w:rPr>
        <w:t>that, in the opinion of the </w:t>
      </w:r>
      <w:r>
        <w:rPr>
          <w:i/>
          <w:sz w:val="24"/>
        </w:rPr>
        <w:t>AER</w:t>
      </w:r>
      <w:r>
        <w:rPr>
          <w:sz w:val="24"/>
        </w:rPr>
        <w:t>, do not reflect arm's length</w:t>
      </w:r>
      <w:r>
        <w:rPr>
          <w:spacing w:val="-1"/>
          <w:sz w:val="24"/>
        </w:rPr>
        <w:t> </w:t>
      </w:r>
      <w:r>
        <w:rPr>
          <w:sz w:val="24"/>
        </w:rPr>
        <w:t>terms;</w:t>
      </w:r>
    </w:p>
    <w:p>
      <w:pPr>
        <w:pStyle w:val="BodyText"/>
        <w:ind w:left="2486" w:right="415"/>
      </w:pPr>
      <w:r>
        <w:rPr/>
        <w:t>(9A) whether the operating expenditure forecast includes an amount  relating to a project that should more appropriately be included as a </w:t>
      </w:r>
      <w:r>
        <w:rPr>
          <w:i/>
        </w:rPr>
        <w:t>contingent project </w:t>
      </w:r>
      <w:r>
        <w:rPr/>
        <w:t>under clause</w:t>
      </w:r>
      <w:r>
        <w:rPr>
          <w:spacing w:val="-1"/>
        </w:rPr>
        <w:t> </w:t>
      </w:r>
      <w:r>
        <w:rPr/>
        <w:t>6.6A.1(b);</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extent the </w:t>
      </w:r>
      <w:r>
        <w:rPr>
          <w:i/>
          <w:sz w:val="24"/>
        </w:rPr>
        <w:t>Distribution Network Service Provider </w:t>
      </w:r>
      <w:r>
        <w:rPr>
          <w:sz w:val="24"/>
        </w:rPr>
        <w:t>has considered, and made provision for, efficient and prudent </w:t>
      </w:r>
      <w:r>
        <w:rPr>
          <w:i/>
          <w:sz w:val="24"/>
        </w:rPr>
        <w:t>non-network </w:t>
      </w:r>
      <w:r>
        <w:rPr>
          <w:i/>
          <w:spacing w:val="-3"/>
          <w:sz w:val="24"/>
        </w:rPr>
        <w:t>options</w:t>
      </w:r>
      <w:r>
        <w:rPr>
          <w:spacing w:val="-3"/>
          <w:sz w:val="24"/>
        </w:rPr>
        <w:t>;</w:t>
      </w:r>
      <w:r>
        <w:rPr>
          <w:spacing w:val="54"/>
          <w:sz w:val="24"/>
        </w:rPr>
        <w:t> </w:t>
      </w:r>
      <w:r>
        <w:rPr>
          <w:sz w:val="24"/>
        </w:rPr>
        <w:t>and</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any relevant final project assessment report (as defined in clause 5.10.2) </w:t>
      </w:r>
      <w:r>
        <w:rPr>
          <w:i/>
          <w:sz w:val="24"/>
        </w:rPr>
        <w:t>published </w:t>
      </w:r>
      <w:r>
        <w:rPr>
          <w:sz w:val="24"/>
        </w:rPr>
        <w:t>under clause 5.17.4(o), (p) or</w:t>
      </w:r>
      <w:r>
        <w:rPr>
          <w:spacing w:val="-1"/>
          <w:sz w:val="24"/>
        </w:rPr>
        <w:t> </w:t>
      </w:r>
      <w:r>
        <w:rPr>
          <w:sz w:val="24"/>
        </w:rPr>
        <w:t>(s);</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any other factor the </w:t>
      </w:r>
      <w:r>
        <w:rPr>
          <w:i/>
          <w:sz w:val="24"/>
        </w:rPr>
        <w:t>AER </w:t>
      </w:r>
      <w:r>
        <w:rPr>
          <w:sz w:val="24"/>
        </w:rPr>
        <w:t>considers relevant and which the </w:t>
      </w:r>
      <w:r>
        <w:rPr>
          <w:i/>
          <w:sz w:val="24"/>
        </w:rPr>
        <w:t>AER </w:t>
      </w:r>
      <w:r>
        <w:rPr>
          <w:sz w:val="24"/>
        </w:rPr>
        <w:t>has notified the </w:t>
      </w:r>
      <w:r>
        <w:rPr>
          <w:i/>
          <w:sz w:val="24"/>
        </w:rPr>
        <w:t>Distribution Network Service Provider </w:t>
      </w:r>
      <w:r>
        <w:rPr>
          <w:sz w:val="24"/>
        </w:rPr>
        <w:t>in writing, prior to the submission of its revised </w:t>
      </w:r>
      <w:r>
        <w:rPr>
          <w:i/>
          <w:sz w:val="24"/>
        </w:rPr>
        <w:t>regulatory proposal </w:t>
      </w:r>
      <w:r>
        <w:rPr>
          <w:sz w:val="24"/>
        </w:rPr>
        <w:t>under clause 6.10.3, is an </w:t>
      </w:r>
      <w:r>
        <w:rPr>
          <w:i/>
          <w:sz w:val="24"/>
        </w:rPr>
        <w:t>operating expenditure</w:t>
      </w:r>
      <w:r>
        <w:rPr>
          <w:i/>
          <w:spacing w:val="-1"/>
          <w:sz w:val="24"/>
        </w:rPr>
        <w:t> </w:t>
      </w:r>
      <w:r>
        <w:rPr>
          <w:i/>
          <w:sz w:val="24"/>
        </w:rPr>
        <w:t>factor</w:t>
      </w:r>
      <w:r>
        <w:rPr>
          <w:sz w:val="24"/>
        </w:rPr>
        <w:t>.</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7 Forecast capital expenditure" w:id="1346"/>
      <w:bookmarkEnd w:id="1346"/>
      <w:r>
        <w:rPr>
          <w:b w:val="0"/>
        </w:rPr>
      </w:r>
      <w:bookmarkStart w:name="_bookmark548" w:id="1347"/>
      <w:bookmarkEnd w:id="1347"/>
      <w:r>
        <w:rPr>
          <w:b w:val="0"/>
        </w:rPr>
      </w:r>
      <w:bookmarkStart w:name="_bookmark548" w:id="1348"/>
      <w:bookmarkEnd w:id="1348"/>
      <w:r>
        <w:rPr/>
        <w:t>Forecast</w:t>
      </w:r>
      <w:r>
        <w:rPr/>
        <w:t> capital</w:t>
      </w:r>
      <w:r>
        <w:rPr>
          <w:spacing w:val="-1"/>
        </w:rPr>
        <w:t> </w:t>
      </w:r>
      <w:r>
        <w:rPr/>
        <w:t>expenditure</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A </w:t>
      </w:r>
      <w:r>
        <w:rPr>
          <w:i/>
          <w:sz w:val="24"/>
        </w:rPr>
        <w:t>building block proposal </w:t>
      </w:r>
      <w:r>
        <w:rPr>
          <w:sz w:val="24"/>
        </w:rPr>
        <w:t>must include the total forecast capital  expenditure for the relevant </w:t>
      </w:r>
      <w:r>
        <w:rPr>
          <w:i/>
          <w:sz w:val="24"/>
        </w:rPr>
        <w:t>regulatory control period </w:t>
      </w:r>
      <w:r>
        <w:rPr>
          <w:sz w:val="24"/>
        </w:rPr>
        <w:t>which the </w:t>
      </w:r>
      <w:r>
        <w:rPr>
          <w:i/>
          <w:sz w:val="24"/>
        </w:rPr>
        <w:t>Distribution Network Service Provider </w:t>
      </w:r>
      <w:r>
        <w:rPr>
          <w:sz w:val="24"/>
        </w:rPr>
        <w:t>considers is required in order to achieve each of the following (the </w:t>
      </w:r>
      <w:r>
        <w:rPr>
          <w:i/>
          <w:sz w:val="24"/>
        </w:rPr>
        <w:t>capital expenditure</w:t>
      </w:r>
      <w:r>
        <w:rPr>
          <w:i/>
          <w:spacing w:val="-4"/>
          <w:sz w:val="24"/>
        </w:rPr>
        <w:t> </w:t>
      </w:r>
      <w:r>
        <w:rPr>
          <w:i/>
          <w:sz w:val="24"/>
        </w:rPr>
        <w:t>objectives</w:t>
      </w:r>
      <w:r>
        <w:rPr>
          <w:sz w:val="24"/>
        </w:rPr>
        <w:t>):</w:t>
      </w:r>
    </w:p>
    <w:p>
      <w:pPr>
        <w:pStyle w:val="ListParagraph"/>
        <w:numPr>
          <w:ilvl w:val="4"/>
          <w:numId w:val="394"/>
        </w:numPr>
        <w:tabs>
          <w:tab w:pos="2486" w:val="left" w:leader="none"/>
        </w:tabs>
        <w:spacing w:line="240" w:lineRule="auto" w:before="120" w:after="0"/>
        <w:ind w:left="2485" w:right="0" w:hanging="567"/>
        <w:jc w:val="both"/>
        <w:rPr>
          <w:i/>
          <w:sz w:val="24"/>
        </w:rPr>
      </w:pPr>
      <w:r>
        <w:rPr>
          <w:sz w:val="24"/>
        </w:rPr>
        <w:t>meet</w:t>
      </w:r>
      <w:r>
        <w:rPr>
          <w:spacing w:val="36"/>
          <w:sz w:val="24"/>
        </w:rPr>
        <w:t> </w:t>
      </w:r>
      <w:r>
        <w:rPr>
          <w:sz w:val="24"/>
        </w:rPr>
        <w:t>or</w:t>
      </w:r>
      <w:r>
        <w:rPr>
          <w:spacing w:val="37"/>
          <w:sz w:val="24"/>
        </w:rPr>
        <w:t> </w:t>
      </w:r>
      <w:r>
        <w:rPr>
          <w:sz w:val="24"/>
        </w:rPr>
        <w:t>manage</w:t>
      </w:r>
      <w:r>
        <w:rPr>
          <w:spacing w:val="37"/>
          <w:sz w:val="24"/>
        </w:rPr>
        <w:t> </w:t>
      </w:r>
      <w:r>
        <w:rPr>
          <w:sz w:val="24"/>
        </w:rPr>
        <w:t>the</w:t>
      </w:r>
      <w:r>
        <w:rPr>
          <w:spacing w:val="36"/>
          <w:sz w:val="24"/>
        </w:rPr>
        <w:t> </w:t>
      </w:r>
      <w:r>
        <w:rPr>
          <w:sz w:val="24"/>
        </w:rPr>
        <w:t>expected</w:t>
      </w:r>
      <w:r>
        <w:rPr>
          <w:spacing w:val="37"/>
          <w:sz w:val="24"/>
        </w:rPr>
        <w:t> </w:t>
      </w:r>
      <w:r>
        <w:rPr>
          <w:sz w:val="24"/>
        </w:rPr>
        <w:t>demand</w:t>
      </w:r>
      <w:r>
        <w:rPr>
          <w:spacing w:val="37"/>
          <w:sz w:val="24"/>
        </w:rPr>
        <w:t> </w:t>
      </w:r>
      <w:r>
        <w:rPr>
          <w:sz w:val="24"/>
        </w:rPr>
        <w:t>for</w:t>
      </w:r>
      <w:r>
        <w:rPr>
          <w:spacing w:val="36"/>
          <w:sz w:val="24"/>
        </w:rPr>
        <w:t> </w:t>
      </w:r>
      <w:r>
        <w:rPr>
          <w:i/>
          <w:sz w:val="24"/>
        </w:rPr>
        <w:t>standard</w:t>
      </w:r>
      <w:r>
        <w:rPr>
          <w:i/>
          <w:spacing w:val="37"/>
          <w:sz w:val="24"/>
        </w:rPr>
        <w:t> </w:t>
      </w:r>
      <w:r>
        <w:rPr>
          <w:i/>
          <w:sz w:val="24"/>
        </w:rPr>
        <w:t>control</w:t>
      </w:r>
      <w:r>
        <w:rPr>
          <w:i/>
          <w:spacing w:val="37"/>
          <w:sz w:val="24"/>
        </w:rPr>
        <w:t> </w:t>
      </w:r>
      <w:r>
        <w:rPr>
          <w:i/>
          <w:sz w:val="24"/>
        </w:rPr>
        <w:t>services</w:t>
      </w:r>
    </w:p>
    <w:p>
      <w:pPr>
        <w:pStyle w:val="BodyText"/>
        <w:spacing w:before="0"/>
        <w:ind w:left="2486" w:firstLine="0"/>
      </w:pPr>
      <w:r>
        <w:rPr/>
        <w:t>over that period;</w:t>
      </w:r>
    </w:p>
    <w:p>
      <w:pPr>
        <w:pStyle w:val="ListParagraph"/>
        <w:numPr>
          <w:ilvl w:val="4"/>
          <w:numId w:val="394"/>
        </w:numPr>
        <w:tabs>
          <w:tab w:pos="2486" w:val="left" w:leader="none"/>
        </w:tabs>
        <w:spacing w:line="240" w:lineRule="auto" w:before="120" w:after="0"/>
        <w:ind w:left="2485" w:right="0" w:hanging="567"/>
        <w:jc w:val="both"/>
        <w:rPr>
          <w:i/>
          <w:sz w:val="24"/>
        </w:rPr>
      </w:pPr>
      <w:r>
        <w:rPr>
          <w:sz w:val="24"/>
        </w:rPr>
        <w:t>comply with all applicable </w:t>
      </w:r>
      <w:r>
        <w:rPr>
          <w:i/>
          <w:sz w:val="24"/>
        </w:rPr>
        <w:t>regulatory obligations or</w:t>
      </w:r>
      <w:r>
        <w:rPr>
          <w:i/>
          <w:spacing w:val="56"/>
          <w:sz w:val="24"/>
        </w:rPr>
        <w:t> </w:t>
      </w:r>
      <w:r>
        <w:rPr>
          <w:i/>
          <w:sz w:val="24"/>
        </w:rPr>
        <w:t>requirements</w:t>
      </w:r>
    </w:p>
    <w:p>
      <w:pPr>
        <w:spacing w:before="0"/>
        <w:ind w:left="2486" w:right="0" w:firstLine="0"/>
        <w:jc w:val="both"/>
        <w:rPr>
          <w:sz w:val="24"/>
        </w:rPr>
      </w:pPr>
      <w:r>
        <w:rPr>
          <w:sz w:val="24"/>
        </w:rPr>
        <w:t>associated with the provision of </w:t>
      </w:r>
      <w:r>
        <w:rPr>
          <w:i/>
          <w:sz w:val="24"/>
        </w:rPr>
        <w:t>standard control services</w:t>
      </w:r>
      <w:r>
        <w:rPr>
          <w:sz w:val="24"/>
        </w:rPr>
        <w:t>;</w:t>
      </w:r>
    </w:p>
    <w:p>
      <w:pPr>
        <w:spacing w:after="0"/>
        <w:jc w:val="both"/>
        <w:rPr>
          <w:sz w:val="24"/>
        </w:rPr>
        <w:sectPr>
          <w:pgSz w:w="11910" w:h="16840"/>
          <w:pgMar w:header="686" w:footer="637" w:top="1320" w:bottom="820" w:left="1200" w:right="1000"/>
        </w:sectPr>
      </w:pPr>
    </w:p>
    <w:p>
      <w:pPr>
        <w:pStyle w:val="ListParagraph"/>
        <w:numPr>
          <w:ilvl w:val="4"/>
          <w:numId w:val="394"/>
        </w:numPr>
        <w:tabs>
          <w:tab w:pos="2485" w:val="left" w:leader="none"/>
          <w:tab w:pos="2486" w:val="left" w:leader="none"/>
        </w:tabs>
        <w:spacing w:line="240" w:lineRule="auto" w:before="83" w:after="0"/>
        <w:ind w:left="2486" w:right="414" w:hanging="567"/>
        <w:jc w:val="left"/>
        <w:rPr>
          <w:sz w:val="24"/>
        </w:rPr>
      </w:pPr>
      <w:r>
        <w:rPr>
          <w:sz w:val="24"/>
        </w:rPr>
        <w:t>to the extent that there is no applicable </w:t>
      </w:r>
      <w:r>
        <w:rPr>
          <w:i/>
          <w:sz w:val="24"/>
        </w:rPr>
        <w:t>regulatory obligation or </w:t>
      </w:r>
      <w:r>
        <w:rPr>
          <w:i/>
          <w:sz w:val="24"/>
        </w:rPr>
        <w:t>requirement </w:t>
      </w:r>
      <w:r>
        <w:rPr>
          <w:sz w:val="24"/>
        </w:rPr>
        <w:t>in relation</w:t>
      </w:r>
      <w:r>
        <w:rPr>
          <w:spacing w:val="-2"/>
          <w:sz w:val="24"/>
        </w:rPr>
        <w:t> </w:t>
      </w:r>
      <w:r>
        <w:rPr>
          <w:sz w:val="24"/>
        </w:rPr>
        <w:t>to:</w:t>
      </w:r>
    </w:p>
    <w:p>
      <w:pPr>
        <w:pStyle w:val="ListParagraph"/>
        <w:numPr>
          <w:ilvl w:val="5"/>
          <w:numId w:val="394"/>
        </w:numPr>
        <w:tabs>
          <w:tab w:pos="3052" w:val="left" w:leader="none"/>
          <w:tab w:pos="3053" w:val="left" w:leader="none"/>
        </w:tabs>
        <w:spacing w:line="240" w:lineRule="auto" w:before="120" w:after="0"/>
        <w:ind w:left="3053" w:right="417" w:hanging="567"/>
        <w:jc w:val="left"/>
        <w:rPr>
          <w:sz w:val="24"/>
        </w:rPr>
      </w:pPr>
      <w:r>
        <w:rPr>
          <w:sz w:val="24"/>
        </w:rPr>
        <w:t>the quality, reliability or security of supply of </w:t>
      </w:r>
      <w:r>
        <w:rPr>
          <w:i/>
          <w:sz w:val="24"/>
        </w:rPr>
        <w:t>standard control </w:t>
      </w:r>
      <w:r>
        <w:rPr>
          <w:i/>
          <w:sz w:val="24"/>
        </w:rPr>
        <w:t>services</w:t>
      </w:r>
      <w:r>
        <w:rPr>
          <w:sz w:val="24"/>
        </w:rPr>
        <w:t>;</w:t>
      </w:r>
      <w:r>
        <w:rPr>
          <w:spacing w:val="-1"/>
          <w:sz w:val="24"/>
        </w:rPr>
        <w:t> </w:t>
      </w:r>
      <w:r>
        <w:rPr>
          <w:sz w:val="24"/>
        </w:rPr>
        <w:t>or</w:t>
      </w:r>
    </w:p>
    <w:p>
      <w:pPr>
        <w:pStyle w:val="ListParagraph"/>
        <w:numPr>
          <w:ilvl w:val="5"/>
          <w:numId w:val="394"/>
        </w:numPr>
        <w:tabs>
          <w:tab w:pos="3052" w:val="left" w:leader="none"/>
          <w:tab w:pos="3054" w:val="left" w:leader="none"/>
        </w:tabs>
        <w:spacing w:line="240" w:lineRule="auto" w:before="120" w:after="0"/>
        <w:ind w:left="3053" w:right="416" w:hanging="567"/>
        <w:jc w:val="left"/>
        <w:rPr>
          <w:sz w:val="24"/>
        </w:rPr>
      </w:pPr>
      <w:r>
        <w:rPr>
          <w:sz w:val="24"/>
        </w:rPr>
        <w:t>the reliability or security of the </w:t>
      </w:r>
      <w:r>
        <w:rPr>
          <w:i/>
          <w:sz w:val="24"/>
        </w:rPr>
        <w:t>distribution system </w:t>
      </w:r>
      <w:r>
        <w:rPr>
          <w:sz w:val="24"/>
        </w:rPr>
        <w:t>through the supply of </w:t>
      </w:r>
      <w:r>
        <w:rPr>
          <w:i/>
          <w:sz w:val="24"/>
        </w:rPr>
        <w:t>standard control</w:t>
      </w:r>
      <w:r>
        <w:rPr>
          <w:i/>
          <w:spacing w:val="-4"/>
          <w:sz w:val="24"/>
        </w:rPr>
        <w:t> </w:t>
      </w:r>
      <w:r>
        <w:rPr>
          <w:i/>
          <w:sz w:val="24"/>
        </w:rPr>
        <w:t>services</w:t>
      </w:r>
      <w:r>
        <w:rPr>
          <w:sz w:val="24"/>
        </w:rPr>
        <w:t>,</w:t>
      </w:r>
    </w:p>
    <w:p>
      <w:pPr>
        <w:pStyle w:val="BodyText"/>
        <w:ind w:left="2486" w:firstLine="0"/>
        <w:jc w:val="left"/>
      </w:pPr>
      <w:r>
        <w:rPr/>
        <w:t>to the relevant extent:</w:t>
      </w:r>
    </w:p>
    <w:p>
      <w:pPr>
        <w:pStyle w:val="ListParagraph"/>
        <w:numPr>
          <w:ilvl w:val="5"/>
          <w:numId w:val="394"/>
        </w:numPr>
        <w:tabs>
          <w:tab w:pos="3052" w:val="left" w:leader="none"/>
          <w:tab w:pos="3053" w:val="left" w:leader="none"/>
        </w:tabs>
        <w:spacing w:line="240" w:lineRule="auto" w:before="120" w:after="0"/>
        <w:ind w:left="3052" w:right="0" w:hanging="567"/>
        <w:jc w:val="left"/>
        <w:rPr>
          <w:sz w:val="24"/>
        </w:rPr>
      </w:pPr>
      <w:r>
        <w:rPr>
          <w:sz w:val="24"/>
        </w:rPr>
        <w:t>maintain</w:t>
      </w:r>
      <w:r>
        <w:rPr>
          <w:spacing w:val="40"/>
          <w:sz w:val="24"/>
        </w:rPr>
        <w:t> </w:t>
      </w:r>
      <w:r>
        <w:rPr>
          <w:sz w:val="24"/>
        </w:rPr>
        <w:t>the</w:t>
      </w:r>
      <w:r>
        <w:rPr>
          <w:spacing w:val="41"/>
          <w:sz w:val="24"/>
        </w:rPr>
        <w:t> </w:t>
      </w:r>
      <w:r>
        <w:rPr>
          <w:sz w:val="24"/>
        </w:rPr>
        <w:t>quality,</w:t>
      </w:r>
      <w:r>
        <w:rPr>
          <w:spacing w:val="40"/>
          <w:sz w:val="24"/>
        </w:rPr>
        <w:t> </w:t>
      </w:r>
      <w:r>
        <w:rPr>
          <w:sz w:val="24"/>
        </w:rPr>
        <w:t>reliability</w:t>
      </w:r>
      <w:r>
        <w:rPr>
          <w:spacing w:val="41"/>
          <w:sz w:val="24"/>
        </w:rPr>
        <w:t> </w:t>
      </w:r>
      <w:r>
        <w:rPr>
          <w:sz w:val="24"/>
        </w:rPr>
        <w:t>and</w:t>
      </w:r>
      <w:r>
        <w:rPr>
          <w:spacing w:val="41"/>
          <w:sz w:val="24"/>
        </w:rPr>
        <w:t> </w:t>
      </w:r>
      <w:r>
        <w:rPr>
          <w:sz w:val="24"/>
        </w:rPr>
        <w:t>security</w:t>
      </w:r>
      <w:r>
        <w:rPr>
          <w:spacing w:val="39"/>
          <w:sz w:val="24"/>
        </w:rPr>
        <w:t> </w:t>
      </w:r>
      <w:r>
        <w:rPr>
          <w:sz w:val="24"/>
        </w:rPr>
        <w:t>of</w:t>
      </w:r>
      <w:r>
        <w:rPr>
          <w:spacing w:val="41"/>
          <w:sz w:val="24"/>
        </w:rPr>
        <w:t> </w:t>
      </w:r>
      <w:r>
        <w:rPr>
          <w:sz w:val="24"/>
        </w:rPr>
        <w:t>supply</w:t>
      </w:r>
      <w:r>
        <w:rPr>
          <w:spacing w:val="40"/>
          <w:sz w:val="24"/>
        </w:rPr>
        <w:t> </w:t>
      </w:r>
      <w:r>
        <w:rPr>
          <w:sz w:val="24"/>
        </w:rPr>
        <w:t>of</w:t>
      </w:r>
    </w:p>
    <w:p>
      <w:pPr>
        <w:spacing w:before="0"/>
        <w:ind w:left="3053" w:right="0" w:firstLine="0"/>
        <w:jc w:val="left"/>
        <w:rPr>
          <w:sz w:val="24"/>
        </w:rPr>
      </w:pPr>
      <w:r>
        <w:rPr>
          <w:i/>
          <w:sz w:val="24"/>
        </w:rPr>
        <w:t>standard control services</w:t>
      </w:r>
      <w:r>
        <w:rPr>
          <w:sz w:val="24"/>
        </w:rPr>
        <w:t>; and</w:t>
      </w:r>
    </w:p>
    <w:p>
      <w:pPr>
        <w:pStyle w:val="ListParagraph"/>
        <w:numPr>
          <w:ilvl w:val="5"/>
          <w:numId w:val="394"/>
        </w:numPr>
        <w:tabs>
          <w:tab w:pos="3052" w:val="left" w:leader="none"/>
          <w:tab w:pos="3054" w:val="left" w:leader="none"/>
        </w:tabs>
        <w:spacing w:line="240" w:lineRule="auto" w:before="120" w:after="0"/>
        <w:ind w:left="3053" w:right="0" w:hanging="568"/>
        <w:jc w:val="left"/>
        <w:rPr>
          <w:i/>
          <w:sz w:val="24"/>
        </w:rPr>
      </w:pPr>
      <w:r>
        <w:rPr>
          <w:sz w:val="24"/>
        </w:rPr>
        <w:t>maintain</w:t>
      </w:r>
      <w:r>
        <w:rPr>
          <w:spacing w:val="39"/>
          <w:sz w:val="24"/>
        </w:rPr>
        <w:t> </w:t>
      </w:r>
      <w:r>
        <w:rPr>
          <w:sz w:val="24"/>
        </w:rPr>
        <w:t>the</w:t>
      </w:r>
      <w:r>
        <w:rPr>
          <w:spacing w:val="40"/>
          <w:sz w:val="24"/>
        </w:rPr>
        <w:t> </w:t>
      </w:r>
      <w:r>
        <w:rPr>
          <w:sz w:val="24"/>
        </w:rPr>
        <w:t>reliability</w:t>
      </w:r>
      <w:r>
        <w:rPr>
          <w:spacing w:val="39"/>
          <w:sz w:val="24"/>
        </w:rPr>
        <w:t> </w:t>
      </w:r>
      <w:r>
        <w:rPr>
          <w:sz w:val="24"/>
        </w:rPr>
        <w:t>and</w:t>
      </w:r>
      <w:r>
        <w:rPr>
          <w:spacing w:val="40"/>
          <w:sz w:val="24"/>
        </w:rPr>
        <w:t> </w:t>
      </w:r>
      <w:r>
        <w:rPr>
          <w:sz w:val="24"/>
        </w:rPr>
        <w:t>security</w:t>
      </w:r>
      <w:r>
        <w:rPr>
          <w:spacing w:val="39"/>
          <w:sz w:val="24"/>
        </w:rPr>
        <w:t> </w:t>
      </w:r>
      <w:r>
        <w:rPr>
          <w:sz w:val="24"/>
        </w:rPr>
        <w:t>of</w:t>
      </w:r>
      <w:r>
        <w:rPr>
          <w:spacing w:val="40"/>
          <w:sz w:val="24"/>
        </w:rPr>
        <w:t> </w:t>
      </w:r>
      <w:r>
        <w:rPr>
          <w:sz w:val="24"/>
        </w:rPr>
        <w:t>the</w:t>
      </w:r>
      <w:r>
        <w:rPr>
          <w:spacing w:val="39"/>
          <w:sz w:val="24"/>
        </w:rPr>
        <w:t> </w:t>
      </w:r>
      <w:r>
        <w:rPr>
          <w:i/>
          <w:sz w:val="24"/>
        </w:rPr>
        <w:t>distribution</w:t>
      </w:r>
      <w:r>
        <w:rPr>
          <w:i/>
          <w:spacing w:val="40"/>
          <w:sz w:val="24"/>
        </w:rPr>
        <w:t> </w:t>
      </w:r>
      <w:r>
        <w:rPr>
          <w:i/>
          <w:sz w:val="24"/>
        </w:rPr>
        <w:t>system</w:t>
      </w:r>
    </w:p>
    <w:p>
      <w:pPr>
        <w:spacing w:before="0"/>
        <w:ind w:left="2301" w:right="869" w:firstLine="0"/>
        <w:jc w:val="center"/>
        <w:rPr>
          <w:sz w:val="24"/>
        </w:rPr>
      </w:pPr>
      <w:r>
        <w:rPr>
          <w:sz w:val="24"/>
        </w:rPr>
        <w:t>through the supply of </w:t>
      </w:r>
      <w:r>
        <w:rPr>
          <w:i/>
          <w:sz w:val="24"/>
        </w:rPr>
        <w:t>standard control services</w:t>
      </w:r>
      <w:r>
        <w:rPr>
          <w:sz w:val="24"/>
        </w:rPr>
        <w:t>; and</w:t>
      </w:r>
    </w:p>
    <w:p>
      <w:pPr>
        <w:pStyle w:val="ListParagraph"/>
        <w:numPr>
          <w:ilvl w:val="4"/>
          <w:numId w:val="394"/>
        </w:numPr>
        <w:tabs>
          <w:tab w:pos="2068" w:val="left" w:leader="none"/>
          <w:tab w:pos="2486" w:val="left" w:leader="none"/>
        </w:tabs>
        <w:spacing w:line="240" w:lineRule="auto" w:before="120" w:after="0"/>
        <w:ind w:left="2485" w:right="0" w:hanging="985"/>
        <w:jc w:val="left"/>
        <w:rPr>
          <w:sz w:val="24"/>
        </w:rPr>
      </w:pPr>
      <w:r>
        <w:rPr>
          <w:sz w:val="24"/>
        </w:rPr>
        <w:t>maintain</w:t>
      </w:r>
      <w:r>
        <w:rPr>
          <w:spacing w:val="35"/>
          <w:sz w:val="24"/>
        </w:rPr>
        <w:t> </w:t>
      </w:r>
      <w:r>
        <w:rPr>
          <w:sz w:val="24"/>
        </w:rPr>
        <w:t>the</w:t>
      </w:r>
      <w:r>
        <w:rPr>
          <w:spacing w:val="35"/>
          <w:sz w:val="24"/>
        </w:rPr>
        <w:t> </w:t>
      </w:r>
      <w:r>
        <w:rPr>
          <w:sz w:val="24"/>
        </w:rPr>
        <w:t>safety</w:t>
      </w:r>
      <w:r>
        <w:rPr>
          <w:spacing w:val="35"/>
          <w:sz w:val="24"/>
        </w:rPr>
        <w:t> </w:t>
      </w:r>
      <w:r>
        <w:rPr>
          <w:sz w:val="24"/>
        </w:rPr>
        <w:t>of</w:t>
      </w:r>
      <w:r>
        <w:rPr>
          <w:spacing w:val="35"/>
          <w:sz w:val="24"/>
        </w:rPr>
        <w:t> </w:t>
      </w:r>
      <w:r>
        <w:rPr>
          <w:sz w:val="24"/>
        </w:rPr>
        <w:t>the</w:t>
      </w:r>
      <w:r>
        <w:rPr>
          <w:spacing w:val="35"/>
          <w:sz w:val="24"/>
        </w:rPr>
        <w:t> </w:t>
      </w:r>
      <w:r>
        <w:rPr>
          <w:i/>
          <w:sz w:val="24"/>
        </w:rPr>
        <w:t>distribution</w:t>
      </w:r>
      <w:r>
        <w:rPr>
          <w:i/>
          <w:spacing w:val="36"/>
          <w:sz w:val="24"/>
        </w:rPr>
        <w:t> </w:t>
      </w:r>
      <w:r>
        <w:rPr>
          <w:i/>
          <w:sz w:val="24"/>
        </w:rPr>
        <w:t>system</w:t>
      </w:r>
      <w:r>
        <w:rPr>
          <w:i/>
          <w:spacing w:val="35"/>
          <w:sz w:val="24"/>
        </w:rPr>
        <w:t> </w:t>
      </w:r>
      <w:r>
        <w:rPr>
          <w:sz w:val="24"/>
        </w:rPr>
        <w:t>through</w:t>
      </w:r>
      <w:r>
        <w:rPr>
          <w:spacing w:val="35"/>
          <w:sz w:val="24"/>
        </w:rPr>
        <w:t> </w:t>
      </w:r>
      <w:r>
        <w:rPr>
          <w:sz w:val="24"/>
        </w:rPr>
        <w:t>the</w:t>
      </w:r>
      <w:r>
        <w:rPr>
          <w:spacing w:val="35"/>
          <w:sz w:val="24"/>
        </w:rPr>
        <w:t> </w:t>
      </w:r>
      <w:r>
        <w:rPr>
          <w:sz w:val="24"/>
        </w:rPr>
        <w:t>supply</w:t>
      </w:r>
      <w:r>
        <w:rPr>
          <w:spacing w:val="35"/>
          <w:sz w:val="24"/>
        </w:rPr>
        <w:t> </w:t>
      </w:r>
      <w:r>
        <w:rPr>
          <w:sz w:val="24"/>
        </w:rPr>
        <w:t>of</w:t>
      </w:r>
    </w:p>
    <w:p>
      <w:pPr>
        <w:spacing w:before="0"/>
        <w:ind w:left="924" w:right="3157" w:firstLine="0"/>
        <w:jc w:val="center"/>
        <w:rPr>
          <w:sz w:val="24"/>
        </w:rPr>
      </w:pPr>
      <w:r>
        <w:rPr>
          <w:i/>
          <w:sz w:val="24"/>
        </w:rPr>
        <w:t>standard control services</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The forecast of required capital expenditure of a </w:t>
      </w:r>
      <w:r>
        <w:rPr>
          <w:i/>
          <w:sz w:val="24"/>
        </w:rPr>
        <w:t>Distribution Network </w:t>
      </w:r>
      <w:r>
        <w:rPr>
          <w:i/>
          <w:sz w:val="24"/>
        </w:rPr>
        <w:t>Service Provider </w:t>
      </w:r>
      <w:r>
        <w:rPr>
          <w:sz w:val="24"/>
        </w:rPr>
        <w:t>that is included in a </w:t>
      </w:r>
      <w:r>
        <w:rPr>
          <w:i/>
          <w:sz w:val="24"/>
        </w:rPr>
        <w:t>building block proposal</w:t>
      </w:r>
      <w:r>
        <w:rPr>
          <w:i/>
          <w:spacing w:val="-3"/>
          <w:sz w:val="24"/>
        </w:rPr>
        <w:t> </w:t>
      </w:r>
      <w:r>
        <w:rPr>
          <w:sz w:val="24"/>
        </w:rPr>
        <w:t>must:</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comply with the requirements of any relevant </w:t>
      </w:r>
      <w:r>
        <w:rPr>
          <w:i/>
          <w:sz w:val="24"/>
        </w:rPr>
        <w:t>regulatory information </w:t>
      </w:r>
      <w:r>
        <w:rPr>
          <w:i/>
          <w:sz w:val="24"/>
        </w:rPr>
        <w:t>instrument</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be for expenditure that is properly allocated to </w:t>
      </w:r>
      <w:r>
        <w:rPr>
          <w:i/>
          <w:sz w:val="24"/>
        </w:rPr>
        <w:t>standard control </w:t>
      </w:r>
      <w:r>
        <w:rPr>
          <w:i/>
          <w:sz w:val="24"/>
        </w:rPr>
        <w:t>services </w:t>
      </w:r>
      <w:r>
        <w:rPr>
          <w:sz w:val="24"/>
        </w:rPr>
        <w:t>in accordance with the principles and policies set out in the </w:t>
      </w:r>
      <w:r>
        <w:rPr>
          <w:i/>
          <w:sz w:val="24"/>
        </w:rPr>
        <w:t>Cost Allocation Method </w:t>
      </w:r>
      <w:r>
        <w:rPr>
          <w:sz w:val="24"/>
        </w:rPr>
        <w:t>for the </w:t>
      </w:r>
      <w:r>
        <w:rPr>
          <w:i/>
          <w:sz w:val="24"/>
        </w:rPr>
        <w:t>Distribution Network Service </w:t>
      </w:r>
      <w:r>
        <w:rPr>
          <w:i/>
          <w:sz w:val="24"/>
        </w:rPr>
        <w:t>Provider</w:t>
      </w:r>
      <w:r>
        <w:rPr>
          <w:sz w:val="24"/>
        </w:rPr>
        <w:t>;</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include both:</w:t>
      </w:r>
    </w:p>
    <w:p>
      <w:pPr>
        <w:pStyle w:val="ListParagraph"/>
        <w:numPr>
          <w:ilvl w:val="5"/>
          <w:numId w:val="394"/>
        </w:numPr>
        <w:tabs>
          <w:tab w:pos="3053" w:val="left" w:leader="none"/>
        </w:tabs>
        <w:spacing w:line="240" w:lineRule="auto" w:before="120" w:after="0"/>
        <w:ind w:left="3052" w:right="0" w:hanging="567"/>
        <w:jc w:val="both"/>
        <w:rPr>
          <w:sz w:val="24"/>
        </w:rPr>
      </w:pPr>
      <w:r>
        <w:rPr>
          <w:sz w:val="24"/>
        </w:rPr>
        <w:t>the total of the forecast capital expenditure for the relevant</w:t>
      </w:r>
    </w:p>
    <w:p>
      <w:pPr>
        <w:spacing w:before="0"/>
        <w:ind w:left="3053" w:right="0" w:firstLine="0"/>
        <w:jc w:val="both"/>
        <w:rPr>
          <w:sz w:val="24"/>
        </w:rPr>
      </w:pPr>
      <w:r>
        <w:rPr>
          <w:i/>
          <w:sz w:val="24"/>
        </w:rPr>
        <w:t>regulatory control period</w:t>
      </w:r>
      <w:r>
        <w:rPr>
          <w:sz w:val="24"/>
        </w:rPr>
        <w:t>; and</w:t>
      </w:r>
    </w:p>
    <w:p>
      <w:pPr>
        <w:pStyle w:val="ListParagraph"/>
        <w:numPr>
          <w:ilvl w:val="5"/>
          <w:numId w:val="394"/>
        </w:numPr>
        <w:tabs>
          <w:tab w:pos="3054" w:val="left" w:leader="none"/>
        </w:tabs>
        <w:spacing w:line="240" w:lineRule="auto" w:before="120" w:after="0"/>
        <w:ind w:left="3053" w:right="416" w:hanging="567"/>
        <w:jc w:val="both"/>
        <w:rPr>
          <w:sz w:val="24"/>
        </w:rPr>
      </w:pPr>
      <w:r>
        <w:rPr>
          <w:sz w:val="24"/>
        </w:rPr>
        <w:t>the forecast capital expenditure for each </w:t>
      </w:r>
      <w:r>
        <w:rPr>
          <w:i/>
          <w:sz w:val="24"/>
        </w:rPr>
        <w:t>regulatory year </w:t>
      </w:r>
      <w:r>
        <w:rPr>
          <w:sz w:val="24"/>
        </w:rPr>
        <w:t>of the relevant </w:t>
      </w:r>
      <w:r>
        <w:rPr>
          <w:i/>
          <w:sz w:val="24"/>
        </w:rPr>
        <w:t>regulatory control period</w:t>
      </w:r>
      <w:r>
        <w:rPr>
          <w:sz w:val="24"/>
        </w:rPr>
        <w:t>;</w:t>
      </w:r>
      <w:r>
        <w:rPr>
          <w:spacing w:val="-3"/>
          <w:sz w:val="24"/>
        </w:rPr>
        <w:t> </w:t>
      </w:r>
      <w:r>
        <w:rPr>
          <w:sz w:val="24"/>
        </w:rPr>
        <w:t>and</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identify any forecast capital expenditure for the relevant </w:t>
      </w:r>
      <w:r>
        <w:rPr>
          <w:i/>
          <w:sz w:val="24"/>
        </w:rPr>
        <w:t>regulatory </w:t>
      </w:r>
      <w:r>
        <w:rPr>
          <w:i/>
          <w:sz w:val="24"/>
        </w:rPr>
        <w:t>control period </w:t>
      </w:r>
      <w:r>
        <w:rPr>
          <w:sz w:val="24"/>
        </w:rPr>
        <w:t>that is for an option that has satisfied the </w:t>
      </w:r>
      <w:r>
        <w:rPr>
          <w:i/>
          <w:sz w:val="24"/>
        </w:rPr>
        <w:t>regulatory </w:t>
      </w:r>
      <w:r>
        <w:rPr>
          <w:i/>
          <w:sz w:val="24"/>
        </w:rPr>
        <w:t>investment test for transmission </w:t>
      </w:r>
      <w:r>
        <w:rPr>
          <w:sz w:val="24"/>
        </w:rPr>
        <w:t>or the </w:t>
      </w:r>
      <w:r>
        <w:rPr>
          <w:i/>
          <w:sz w:val="24"/>
        </w:rPr>
        <w:t>regulatory investment test for </w:t>
      </w:r>
      <w:r>
        <w:rPr>
          <w:i/>
          <w:sz w:val="24"/>
        </w:rPr>
        <w:t>distribution </w:t>
      </w:r>
      <w:r>
        <w:rPr>
          <w:sz w:val="24"/>
        </w:rPr>
        <w:t>(as the case may be);</w:t>
      </w:r>
      <w:r>
        <w:rPr>
          <w:spacing w:val="-1"/>
          <w:sz w:val="24"/>
        </w:rPr>
        <w:t> </w:t>
      </w:r>
      <w:r>
        <w:rPr>
          <w:sz w:val="24"/>
        </w:rPr>
        <w:t>and</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not include </w:t>
      </w:r>
      <w:r>
        <w:rPr>
          <w:i/>
          <w:sz w:val="24"/>
        </w:rPr>
        <w:t>expenditure for a restricted asset</w:t>
      </w:r>
      <w:r>
        <w:rPr>
          <w:sz w:val="24"/>
        </w:rPr>
        <w:t>,</w:t>
      </w:r>
      <w:r>
        <w:rPr>
          <w:spacing w:val="-3"/>
          <w:sz w:val="24"/>
        </w:rPr>
        <w:t> </w:t>
      </w:r>
      <w:r>
        <w:rPr>
          <w:sz w:val="24"/>
        </w:rPr>
        <w:t>unless:</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to the extent that any such expenditure includes an amount of unspent capital expenditure for a </w:t>
      </w:r>
      <w:r>
        <w:rPr>
          <w:i/>
          <w:sz w:val="24"/>
        </w:rPr>
        <w:t>contingent project </w:t>
      </w:r>
      <w:r>
        <w:rPr>
          <w:spacing w:val="-8"/>
          <w:sz w:val="24"/>
        </w:rPr>
        <w:t>in </w:t>
      </w:r>
      <w:r>
        <w:rPr>
          <w:sz w:val="24"/>
        </w:rPr>
        <w:t>accordance with paragraph (g), an </w:t>
      </w:r>
      <w:r>
        <w:rPr>
          <w:i/>
          <w:sz w:val="24"/>
        </w:rPr>
        <w:t>asset exemption </w:t>
      </w:r>
      <w:r>
        <w:rPr>
          <w:sz w:val="24"/>
        </w:rPr>
        <w:t>has been granted by the </w:t>
      </w:r>
      <w:r>
        <w:rPr>
          <w:i/>
          <w:sz w:val="24"/>
        </w:rPr>
        <w:t>AER </w:t>
      </w:r>
      <w:r>
        <w:rPr>
          <w:sz w:val="24"/>
        </w:rPr>
        <w:t>under clause 6.4B.1(a)(2) in respect of </w:t>
      </w:r>
      <w:r>
        <w:rPr>
          <w:spacing w:val="-3"/>
          <w:sz w:val="24"/>
        </w:rPr>
        <w:t>that </w:t>
      </w:r>
      <w:r>
        <w:rPr>
          <w:sz w:val="24"/>
        </w:rPr>
        <w:t>asset or that class of asset for that </w:t>
      </w:r>
      <w:r>
        <w:rPr>
          <w:i/>
          <w:sz w:val="24"/>
        </w:rPr>
        <w:t>contingent</w:t>
      </w:r>
      <w:r>
        <w:rPr>
          <w:i/>
          <w:spacing w:val="-2"/>
          <w:sz w:val="24"/>
        </w:rPr>
        <w:t> </w:t>
      </w:r>
      <w:r>
        <w:rPr>
          <w:i/>
          <w:sz w:val="24"/>
        </w:rPr>
        <w:t>project</w:t>
      </w:r>
      <w:r>
        <w:rPr>
          <w:sz w:val="24"/>
        </w:rPr>
        <w:t>;</w:t>
      </w:r>
    </w:p>
    <w:p>
      <w:pPr>
        <w:pStyle w:val="ListParagraph"/>
        <w:numPr>
          <w:ilvl w:val="5"/>
          <w:numId w:val="394"/>
        </w:numPr>
        <w:tabs>
          <w:tab w:pos="3054" w:val="left" w:leader="none"/>
        </w:tabs>
        <w:spacing w:line="240" w:lineRule="auto" w:before="120" w:after="0"/>
        <w:ind w:left="3053" w:right="415" w:hanging="567"/>
        <w:jc w:val="both"/>
        <w:rPr>
          <w:sz w:val="24"/>
        </w:rPr>
      </w:pPr>
      <w:r>
        <w:rPr>
          <w:sz w:val="24"/>
        </w:rPr>
        <w:t>to the extent that any such expenditure relates to a </w:t>
      </w:r>
      <w:r>
        <w:rPr>
          <w:i/>
          <w:sz w:val="24"/>
        </w:rPr>
        <w:t>positive pass </w:t>
      </w:r>
      <w:r>
        <w:rPr>
          <w:i/>
          <w:sz w:val="24"/>
        </w:rPr>
        <w:t>through amount</w:t>
      </w:r>
      <w:r>
        <w:rPr>
          <w:sz w:val="24"/>
        </w:rPr>
        <w:t>, an </w:t>
      </w:r>
      <w:r>
        <w:rPr>
          <w:i/>
          <w:sz w:val="24"/>
        </w:rPr>
        <w:t>asset exemption </w:t>
      </w:r>
      <w:r>
        <w:rPr>
          <w:sz w:val="24"/>
        </w:rPr>
        <w:t>has been granted by the </w:t>
      </w:r>
      <w:r>
        <w:rPr>
          <w:i/>
          <w:sz w:val="24"/>
        </w:rPr>
        <w:t>AER </w:t>
      </w:r>
      <w:r>
        <w:rPr>
          <w:sz w:val="24"/>
        </w:rPr>
        <w:t>under clause 6.4B.1(a)(3) in respect of that asset or </w:t>
      </w:r>
      <w:r>
        <w:rPr>
          <w:spacing w:val="-5"/>
          <w:sz w:val="24"/>
        </w:rPr>
        <w:t>that </w:t>
      </w:r>
      <w:r>
        <w:rPr>
          <w:sz w:val="24"/>
        </w:rPr>
        <w:t>class of asset for that </w:t>
      </w:r>
      <w:r>
        <w:rPr>
          <w:i/>
          <w:sz w:val="24"/>
        </w:rPr>
        <w:t>positive pass through amount</w:t>
      </w:r>
      <w:r>
        <w:rPr>
          <w:sz w:val="24"/>
        </w:rPr>
        <w:t>;</w:t>
      </w:r>
      <w:r>
        <w:rPr>
          <w:spacing w:val="-3"/>
          <w:sz w:val="24"/>
        </w:rPr>
        <w:t> </w:t>
      </w:r>
      <w:r>
        <w:rPr>
          <w:sz w:val="24"/>
        </w:rPr>
        <w:t>or</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otherwise, the </w:t>
      </w:r>
      <w:r>
        <w:rPr>
          <w:i/>
          <w:sz w:val="24"/>
        </w:rPr>
        <w:t>Distribution Network Service Provider </w:t>
      </w:r>
      <w:r>
        <w:rPr>
          <w:sz w:val="24"/>
        </w:rPr>
        <w:t>has submitted an </w:t>
      </w:r>
      <w:r>
        <w:rPr>
          <w:i/>
          <w:sz w:val="24"/>
        </w:rPr>
        <w:t>exemption application </w:t>
      </w:r>
      <w:r>
        <w:rPr>
          <w:sz w:val="24"/>
        </w:rPr>
        <w:t>with the </w:t>
      </w:r>
      <w:r>
        <w:rPr>
          <w:i/>
          <w:sz w:val="24"/>
        </w:rPr>
        <w:t>regulatory </w:t>
      </w:r>
      <w:r>
        <w:rPr>
          <w:i/>
          <w:sz w:val="24"/>
        </w:rPr>
        <w:t>proposal</w:t>
      </w:r>
      <w:r>
        <w:rPr>
          <w:i/>
          <w:spacing w:val="18"/>
          <w:sz w:val="24"/>
        </w:rPr>
        <w:t> </w:t>
      </w:r>
      <w:r>
        <w:rPr>
          <w:sz w:val="24"/>
        </w:rPr>
        <w:t>requesting</w:t>
      </w:r>
      <w:r>
        <w:rPr>
          <w:spacing w:val="18"/>
          <w:sz w:val="24"/>
        </w:rPr>
        <w:t> </w:t>
      </w:r>
      <w:r>
        <w:rPr>
          <w:sz w:val="24"/>
        </w:rPr>
        <w:t>an</w:t>
      </w:r>
      <w:r>
        <w:rPr>
          <w:spacing w:val="19"/>
          <w:sz w:val="24"/>
        </w:rPr>
        <w:t> </w:t>
      </w:r>
      <w:r>
        <w:rPr>
          <w:i/>
          <w:sz w:val="24"/>
        </w:rPr>
        <w:t>asset</w:t>
      </w:r>
      <w:r>
        <w:rPr>
          <w:i/>
          <w:spacing w:val="18"/>
          <w:sz w:val="24"/>
        </w:rPr>
        <w:t> </w:t>
      </w:r>
      <w:r>
        <w:rPr>
          <w:i/>
          <w:sz w:val="24"/>
        </w:rPr>
        <w:t>exemption</w:t>
      </w:r>
      <w:r>
        <w:rPr>
          <w:i/>
          <w:spacing w:val="19"/>
          <w:sz w:val="24"/>
        </w:rPr>
        <w:t> </w:t>
      </w:r>
      <w:r>
        <w:rPr>
          <w:sz w:val="24"/>
        </w:rPr>
        <w:t>under</w:t>
      </w:r>
      <w:r>
        <w:rPr>
          <w:spacing w:val="18"/>
          <w:sz w:val="24"/>
        </w:rPr>
        <w:t> </w:t>
      </w:r>
      <w:r>
        <w:rPr>
          <w:spacing w:val="-4"/>
          <w:sz w:val="24"/>
        </w:rPr>
        <w:t>clause</w:t>
      </w:r>
    </w:p>
    <w:p>
      <w:pPr>
        <w:spacing w:after="0" w:line="240" w:lineRule="auto"/>
        <w:jc w:val="both"/>
        <w:rPr>
          <w:sz w:val="24"/>
        </w:rPr>
        <w:sectPr>
          <w:pgSz w:w="11910" w:h="16840"/>
          <w:pgMar w:header="686" w:footer="637" w:top="1320" w:bottom="820" w:left="1200" w:right="1000"/>
        </w:sectPr>
      </w:pPr>
    </w:p>
    <w:p>
      <w:pPr>
        <w:spacing w:before="83"/>
        <w:ind w:left="3053" w:right="416" w:firstLine="0"/>
        <w:jc w:val="both"/>
        <w:rPr>
          <w:sz w:val="24"/>
        </w:rPr>
      </w:pPr>
      <w:r>
        <w:rPr>
          <w:sz w:val="24"/>
        </w:rPr>
        <w:t>6.4B.1(a)(1) for the </w:t>
      </w:r>
      <w:r>
        <w:rPr>
          <w:i/>
          <w:sz w:val="24"/>
        </w:rPr>
        <w:t>regulatory control period </w:t>
      </w:r>
      <w:r>
        <w:rPr>
          <w:sz w:val="24"/>
        </w:rPr>
        <w:t>in respect of that asset or class of asset.</w:t>
      </w:r>
    </w:p>
    <w:p>
      <w:pPr>
        <w:pStyle w:val="ListParagraph"/>
        <w:numPr>
          <w:ilvl w:val="3"/>
          <w:numId w:val="394"/>
        </w:numPr>
        <w:tabs>
          <w:tab w:pos="1919" w:val="left" w:leader="none"/>
        </w:tabs>
        <w:spacing w:line="240" w:lineRule="auto" w:before="120" w:after="0"/>
        <w:ind w:left="1918" w:right="0" w:hanging="567"/>
        <w:jc w:val="both"/>
        <w:rPr>
          <w:sz w:val="24"/>
        </w:rPr>
      </w:pPr>
      <w:r>
        <w:rPr>
          <w:sz w:val="24"/>
        </w:rPr>
        <w:t>The </w:t>
      </w:r>
      <w:r>
        <w:rPr>
          <w:i/>
          <w:sz w:val="24"/>
        </w:rPr>
        <w:t>AER</w:t>
      </w:r>
      <w:r>
        <w:rPr>
          <w:i/>
          <w:spacing w:val="-1"/>
          <w:sz w:val="24"/>
        </w:rPr>
        <w:t> </w:t>
      </w:r>
      <w:r>
        <w:rPr>
          <w:sz w:val="24"/>
        </w:rPr>
        <w:t>must: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subject to subparagraph (c)(2), accept the forecast of required capital expenditure of a </w:t>
      </w:r>
      <w:r>
        <w:rPr>
          <w:i/>
          <w:sz w:val="24"/>
        </w:rPr>
        <w:t>Distribution Network Service Provider </w:t>
      </w:r>
      <w:r>
        <w:rPr>
          <w:sz w:val="24"/>
        </w:rPr>
        <w:t>that is included in a </w:t>
      </w:r>
      <w:r>
        <w:rPr>
          <w:i/>
          <w:sz w:val="24"/>
        </w:rPr>
        <w:t>building block proposal </w:t>
      </w:r>
      <w:r>
        <w:rPr>
          <w:sz w:val="24"/>
        </w:rPr>
        <w:t>if the </w:t>
      </w:r>
      <w:r>
        <w:rPr>
          <w:i/>
          <w:sz w:val="24"/>
        </w:rPr>
        <w:t>AER </w:t>
      </w:r>
      <w:r>
        <w:rPr>
          <w:sz w:val="24"/>
        </w:rPr>
        <w:t>is satisfied that the total of the forecast capital expenditure for the </w:t>
      </w:r>
      <w:r>
        <w:rPr>
          <w:i/>
          <w:sz w:val="24"/>
        </w:rPr>
        <w:t>regulatory</w:t>
      </w:r>
      <w:r>
        <w:rPr>
          <w:i/>
          <w:spacing w:val="38"/>
          <w:sz w:val="24"/>
        </w:rPr>
        <w:t> </w:t>
      </w:r>
      <w:r>
        <w:rPr>
          <w:i/>
          <w:sz w:val="24"/>
        </w:rPr>
        <w:t>control </w:t>
      </w:r>
      <w:r>
        <w:rPr>
          <w:i/>
          <w:sz w:val="24"/>
        </w:rPr>
        <w:t>period </w:t>
      </w:r>
      <w:r>
        <w:rPr>
          <w:sz w:val="24"/>
        </w:rPr>
        <w:t>reasonably reflects each of the following (the </w:t>
      </w:r>
      <w:r>
        <w:rPr>
          <w:i/>
          <w:sz w:val="24"/>
        </w:rPr>
        <w:t>capital </w:t>
      </w:r>
      <w:r>
        <w:rPr>
          <w:i/>
          <w:sz w:val="24"/>
        </w:rPr>
        <w:t>expenditure</w:t>
      </w:r>
      <w:r>
        <w:rPr>
          <w:i/>
          <w:spacing w:val="-1"/>
          <w:sz w:val="24"/>
        </w:rPr>
        <w:t> </w:t>
      </w:r>
      <w:r>
        <w:rPr>
          <w:i/>
          <w:sz w:val="24"/>
        </w:rPr>
        <w:t>criteria</w:t>
      </w:r>
      <w:r>
        <w:rPr>
          <w:sz w:val="24"/>
        </w:rPr>
        <w:t>):</w:t>
      </w:r>
    </w:p>
    <w:p>
      <w:pPr>
        <w:pStyle w:val="ListParagraph"/>
        <w:numPr>
          <w:ilvl w:val="5"/>
          <w:numId w:val="394"/>
        </w:numPr>
        <w:tabs>
          <w:tab w:pos="3053" w:val="left" w:leader="none"/>
        </w:tabs>
        <w:spacing w:line="240" w:lineRule="auto" w:before="120" w:after="0"/>
        <w:ind w:left="3053" w:right="414" w:hanging="567"/>
        <w:jc w:val="both"/>
        <w:rPr>
          <w:sz w:val="24"/>
        </w:rPr>
      </w:pPr>
      <w:r>
        <w:rPr>
          <w:sz w:val="24"/>
        </w:rPr>
        <w:t>the efficient costs of achieving the </w:t>
      </w:r>
      <w:r>
        <w:rPr>
          <w:i/>
          <w:sz w:val="24"/>
        </w:rPr>
        <w:t>capital expenditure </w:t>
      </w:r>
      <w:r>
        <w:rPr>
          <w:i/>
          <w:sz w:val="24"/>
        </w:rPr>
        <w:t>objectives</w:t>
      </w:r>
      <w:r>
        <w:rPr>
          <w:sz w:val="24"/>
        </w:rPr>
        <w:t>;</w:t>
      </w:r>
    </w:p>
    <w:p>
      <w:pPr>
        <w:pStyle w:val="ListParagraph"/>
        <w:numPr>
          <w:ilvl w:val="5"/>
          <w:numId w:val="394"/>
        </w:numPr>
        <w:tabs>
          <w:tab w:pos="3054" w:val="left" w:leader="none"/>
        </w:tabs>
        <w:spacing w:line="240" w:lineRule="auto" w:before="120" w:after="0"/>
        <w:ind w:left="3053" w:right="0" w:hanging="568"/>
        <w:jc w:val="both"/>
        <w:rPr>
          <w:sz w:val="24"/>
        </w:rPr>
      </w:pPr>
      <w:r>
        <w:rPr>
          <w:sz w:val="24"/>
        </w:rPr>
        <w:t>the</w:t>
      </w:r>
      <w:r>
        <w:rPr>
          <w:spacing w:val="36"/>
          <w:sz w:val="24"/>
        </w:rPr>
        <w:t> </w:t>
      </w:r>
      <w:r>
        <w:rPr>
          <w:sz w:val="24"/>
        </w:rPr>
        <w:t>costs</w:t>
      </w:r>
      <w:r>
        <w:rPr>
          <w:spacing w:val="36"/>
          <w:sz w:val="24"/>
        </w:rPr>
        <w:t> </w:t>
      </w:r>
      <w:r>
        <w:rPr>
          <w:sz w:val="24"/>
        </w:rPr>
        <w:t>that</w:t>
      </w:r>
      <w:r>
        <w:rPr>
          <w:spacing w:val="37"/>
          <w:sz w:val="24"/>
        </w:rPr>
        <w:t> </w:t>
      </w:r>
      <w:r>
        <w:rPr>
          <w:sz w:val="24"/>
        </w:rPr>
        <w:t>a</w:t>
      </w:r>
      <w:r>
        <w:rPr>
          <w:spacing w:val="36"/>
          <w:sz w:val="24"/>
        </w:rPr>
        <w:t> </w:t>
      </w:r>
      <w:r>
        <w:rPr>
          <w:sz w:val="24"/>
        </w:rPr>
        <w:t>prudent</w:t>
      </w:r>
      <w:r>
        <w:rPr>
          <w:spacing w:val="36"/>
          <w:sz w:val="24"/>
        </w:rPr>
        <w:t> </w:t>
      </w:r>
      <w:r>
        <w:rPr>
          <w:sz w:val="24"/>
        </w:rPr>
        <w:t>operator</w:t>
      </w:r>
      <w:r>
        <w:rPr>
          <w:spacing w:val="37"/>
          <w:sz w:val="24"/>
        </w:rPr>
        <w:t> </w:t>
      </w:r>
      <w:r>
        <w:rPr>
          <w:sz w:val="24"/>
        </w:rPr>
        <w:t>would</w:t>
      </w:r>
      <w:r>
        <w:rPr>
          <w:spacing w:val="36"/>
          <w:sz w:val="24"/>
        </w:rPr>
        <w:t> </w:t>
      </w:r>
      <w:r>
        <w:rPr>
          <w:sz w:val="24"/>
        </w:rPr>
        <w:t>require</w:t>
      </w:r>
      <w:r>
        <w:rPr>
          <w:spacing w:val="36"/>
          <w:sz w:val="24"/>
        </w:rPr>
        <w:t> </w:t>
      </w:r>
      <w:r>
        <w:rPr>
          <w:sz w:val="24"/>
        </w:rPr>
        <w:t>to</w:t>
      </w:r>
      <w:r>
        <w:rPr>
          <w:spacing w:val="36"/>
          <w:sz w:val="24"/>
        </w:rPr>
        <w:t> </w:t>
      </w:r>
      <w:r>
        <w:rPr>
          <w:sz w:val="24"/>
        </w:rPr>
        <w:t>achieve</w:t>
      </w:r>
      <w:r>
        <w:rPr>
          <w:spacing w:val="36"/>
          <w:sz w:val="24"/>
        </w:rPr>
        <w:t> </w:t>
      </w:r>
      <w:r>
        <w:rPr>
          <w:sz w:val="24"/>
        </w:rPr>
        <w:t>the</w:t>
      </w:r>
    </w:p>
    <w:p>
      <w:pPr>
        <w:spacing w:before="0"/>
        <w:ind w:left="3053" w:right="0" w:firstLine="0"/>
        <w:jc w:val="both"/>
        <w:rPr>
          <w:sz w:val="24"/>
        </w:rPr>
      </w:pPr>
      <w:r>
        <w:rPr>
          <w:i/>
          <w:sz w:val="24"/>
        </w:rPr>
        <w:t>capital expenditure objectives</w:t>
      </w:r>
      <w:r>
        <w:rPr>
          <w:sz w:val="24"/>
        </w:rPr>
        <w:t>; and</w:t>
      </w:r>
    </w:p>
    <w:p>
      <w:pPr>
        <w:pStyle w:val="ListParagraph"/>
        <w:numPr>
          <w:ilvl w:val="5"/>
          <w:numId w:val="394"/>
        </w:numPr>
        <w:tabs>
          <w:tab w:pos="3053" w:val="left" w:leader="none"/>
        </w:tabs>
        <w:spacing w:line="240" w:lineRule="auto" w:before="120" w:after="0"/>
        <w:ind w:left="3053" w:right="414" w:hanging="567"/>
        <w:jc w:val="both"/>
        <w:rPr>
          <w:sz w:val="24"/>
        </w:rPr>
      </w:pPr>
      <w:r>
        <w:rPr>
          <w:sz w:val="24"/>
        </w:rPr>
        <w:t>a realistic expectation of the demand forecast and cost inputs required to achieve the </w:t>
      </w:r>
      <w:r>
        <w:rPr>
          <w:i/>
          <w:sz w:val="24"/>
        </w:rPr>
        <w:t>capital expenditure</w:t>
      </w:r>
      <w:r>
        <w:rPr>
          <w:i/>
          <w:spacing w:val="-2"/>
          <w:sz w:val="24"/>
        </w:rPr>
        <w:t> </w:t>
      </w:r>
      <w:r>
        <w:rPr>
          <w:i/>
          <w:sz w:val="24"/>
        </w:rPr>
        <w:t>objectives</w:t>
      </w:r>
      <w:r>
        <w:rPr>
          <w:sz w:val="24"/>
        </w:rPr>
        <w: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not accept the forecast of required capital expenditure of a </w:t>
      </w:r>
      <w:r>
        <w:rPr>
          <w:i/>
          <w:sz w:val="24"/>
        </w:rPr>
        <w:t>Distribution Network Service Provider </w:t>
      </w:r>
      <w:r>
        <w:rPr>
          <w:sz w:val="24"/>
        </w:rPr>
        <w:t>that is included in a </w:t>
      </w:r>
      <w:r>
        <w:rPr>
          <w:i/>
          <w:sz w:val="24"/>
        </w:rPr>
        <w:t>building </w:t>
      </w:r>
      <w:r>
        <w:rPr>
          <w:i/>
          <w:sz w:val="24"/>
        </w:rPr>
        <w:t>block proposal </w:t>
      </w:r>
      <w:r>
        <w:rPr>
          <w:sz w:val="24"/>
        </w:rPr>
        <w:t>if that forecast includes </w:t>
      </w:r>
      <w:r>
        <w:rPr>
          <w:i/>
          <w:sz w:val="24"/>
        </w:rPr>
        <w:t>expenditure for a restricted </w:t>
      </w:r>
      <w:r>
        <w:rPr>
          <w:i/>
          <w:sz w:val="24"/>
        </w:rPr>
        <w:t>asset</w:t>
      </w:r>
      <w:r>
        <w:rPr>
          <w:sz w:val="24"/>
        </w:rPr>
        <w:t>, unless:</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to the extent that any such expenditure includes an amount of unspent capital expenditure for a </w:t>
      </w:r>
      <w:r>
        <w:rPr>
          <w:i/>
          <w:sz w:val="24"/>
        </w:rPr>
        <w:t>contingent project </w:t>
      </w:r>
      <w:r>
        <w:rPr>
          <w:spacing w:val="-8"/>
          <w:sz w:val="24"/>
        </w:rPr>
        <w:t>in </w:t>
      </w:r>
      <w:r>
        <w:rPr>
          <w:sz w:val="24"/>
        </w:rPr>
        <w:t>accordance with paragraph (g), an </w:t>
      </w:r>
      <w:r>
        <w:rPr>
          <w:i/>
          <w:sz w:val="24"/>
        </w:rPr>
        <w:t>asset exemption </w:t>
      </w:r>
      <w:r>
        <w:rPr>
          <w:sz w:val="24"/>
        </w:rPr>
        <w:t>has been granted by the </w:t>
      </w:r>
      <w:r>
        <w:rPr>
          <w:i/>
          <w:sz w:val="24"/>
        </w:rPr>
        <w:t>AER </w:t>
      </w:r>
      <w:r>
        <w:rPr>
          <w:sz w:val="24"/>
        </w:rPr>
        <w:t>under clause 6.4B.1(a)(2) in respect of </w:t>
      </w:r>
      <w:r>
        <w:rPr>
          <w:spacing w:val="-3"/>
          <w:sz w:val="24"/>
        </w:rPr>
        <w:t>that </w:t>
      </w:r>
      <w:r>
        <w:rPr>
          <w:sz w:val="24"/>
        </w:rPr>
        <w:t>asset or that class of asset for that </w:t>
      </w:r>
      <w:r>
        <w:rPr>
          <w:i/>
          <w:sz w:val="24"/>
        </w:rPr>
        <w:t>contingent</w:t>
      </w:r>
      <w:r>
        <w:rPr>
          <w:i/>
          <w:spacing w:val="-2"/>
          <w:sz w:val="24"/>
        </w:rPr>
        <w:t> </w:t>
      </w:r>
      <w:r>
        <w:rPr>
          <w:i/>
          <w:sz w:val="24"/>
        </w:rPr>
        <w:t>project</w:t>
      </w:r>
      <w:r>
        <w:rPr>
          <w:sz w:val="24"/>
        </w:rPr>
        <w:t>;</w:t>
      </w:r>
    </w:p>
    <w:p>
      <w:pPr>
        <w:pStyle w:val="ListParagraph"/>
        <w:numPr>
          <w:ilvl w:val="5"/>
          <w:numId w:val="394"/>
        </w:numPr>
        <w:tabs>
          <w:tab w:pos="3054" w:val="left" w:leader="none"/>
        </w:tabs>
        <w:spacing w:line="240" w:lineRule="auto" w:before="120" w:after="0"/>
        <w:ind w:left="3053" w:right="415" w:hanging="567"/>
        <w:jc w:val="both"/>
        <w:rPr>
          <w:sz w:val="24"/>
        </w:rPr>
      </w:pPr>
      <w:r>
        <w:rPr>
          <w:sz w:val="24"/>
        </w:rPr>
        <w:t>to the extent that any such expenditure relates to a </w:t>
      </w:r>
      <w:r>
        <w:rPr>
          <w:i/>
          <w:sz w:val="24"/>
        </w:rPr>
        <w:t>positive pass </w:t>
      </w:r>
      <w:r>
        <w:rPr>
          <w:i/>
          <w:sz w:val="24"/>
        </w:rPr>
        <w:t>through amount</w:t>
      </w:r>
      <w:r>
        <w:rPr>
          <w:sz w:val="24"/>
        </w:rPr>
        <w:t>, an </w:t>
      </w:r>
      <w:r>
        <w:rPr>
          <w:i/>
          <w:sz w:val="24"/>
        </w:rPr>
        <w:t>asset exemption </w:t>
      </w:r>
      <w:r>
        <w:rPr>
          <w:sz w:val="24"/>
        </w:rPr>
        <w:t>has been granted by the </w:t>
      </w:r>
      <w:r>
        <w:rPr>
          <w:i/>
          <w:sz w:val="24"/>
        </w:rPr>
        <w:t>AER </w:t>
      </w:r>
      <w:r>
        <w:rPr>
          <w:sz w:val="24"/>
        </w:rPr>
        <w:t>under clause 6.4B.1(a)(3) in respect of that asset or </w:t>
      </w:r>
      <w:r>
        <w:rPr>
          <w:spacing w:val="-5"/>
          <w:sz w:val="24"/>
        </w:rPr>
        <w:t>that </w:t>
      </w:r>
      <w:r>
        <w:rPr>
          <w:sz w:val="24"/>
        </w:rPr>
        <w:t>class of asset for that </w:t>
      </w:r>
      <w:r>
        <w:rPr>
          <w:i/>
          <w:sz w:val="24"/>
        </w:rPr>
        <w:t>positive pass through amount</w:t>
      </w:r>
      <w:r>
        <w:rPr>
          <w:sz w:val="24"/>
        </w:rPr>
        <w:t>;</w:t>
      </w:r>
      <w:r>
        <w:rPr>
          <w:spacing w:val="-3"/>
          <w:sz w:val="24"/>
        </w:rPr>
        <w:t> </w:t>
      </w:r>
      <w:r>
        <w:rPr>
          <w:sz w:val="24"/>
        </w:rPr>
        <w:t>or</w:t>
      </w:r>
    </w:p>
    <w:p>
      <w:pPr>
        <w:pStyle w:val="ListParagraph"/>
        <w:numPr>
          <w:ilvl w:val="5"/>
          <w:numId w:val="394"/>
        </w:numPr>
        <w:tabs>
          <w:tab w:pos="3053" w:val="left" w:leader="none"/>
        </w:tabs>
        <w:spacing w:line="240" w:lineRule="auto" w:before="120" w:after="0"/>
        <w:ind w:left="3052" w:right="0" w:hanging="567"/>
        <w:jc w:val="both"/>
        <w:rPr>
          <w:sz w:val="24"/>
        </w:rPr>
      </w:pPr>
      <w:r>
        <w:rPr>
          <w:sz w:val="24"/>
        </w:rPr>
        <w:t>otherwise:</w:t>
      </w:r>
    </w:p>
    <w:p>
      <w:pPr>
        <w:pStyle w:val="ListParagraph"/>
        <w:numPr>
          <w:ilvl w:val="6"/>
          <w:numId w:val="394"/>
        </w:numPr>
        <w:tabs>
          <w:tab w:pos="3620" w:val="left" w:leader="none"/>
        </w:tabs>
        <w:spacing w:line="240" w:lineRule="auto" w:before="120" w:after="0"/>
        <w:ind w:left="3620" w:right="416" w:hanging="567"/>
        <w:jc w:val="both"/>
        <w:rPr>
          <w:sz w:val="24"/>
        </w:rPr>
      </w:pPr>
      <w:r>
        <w:rPr>
          <w:sz w:val="24"/>
        </w:rPr>
        <w:t>that </w:t>
      </w:r>
      <w:r>
        <w:rPr>
          <w:i/>
          <w:sz w:val="24"/>
        </w:rPr>
        <w:t>Distribution Network Service Provider </w:t>
      </w:r>
      <w:r>
        <w:rPr>
          <w:sz w:val="24"/>
        </w:rPr>
        <w:t>has requested an </w:t>
      </w:r>
      <w:r>
        <w:rPr>
          <w:i/>
          <w:sz w:val="24"/>
        </w:rPr>
        <w:t>asset exemption </w:t>
      </w:r>
      <w:r>
        <w:rPr>
          <w:sz w:val="24"/>
        </w:rPr>
        <w:t>under subparagraph (b)(5) in respect of that asset or that class of asset;</w:t>
      </w:r>
      <w:r>
        <w:rPr>
          <w:spacing w:val="-4"/>
          <w:sz w:val="24"/>
        </w:rPr>
        <w:t> </w:t>
      </w:r>
      <w:r>
        <w:rPr>
          <w:sz w:val="24"/>
        </w:rPr>
        <w:t>and</w:t>
      </w:r>
    </w:p>
    <w:p>
      <w:pPr>
        <w:pStyle w:val="ListParagraph"/>
        <w:numPr>
          <w:ilvl w:val="6"/>
          <w:numId w:val="394"/>
        </w:numPr>
        <w:tabs>
          <w:tab w:pos="3621" w:val="left" w:leader="none"/>
        </w:tabs>
        <w:spacing w:line="240" w:lineRule="auto" w:before="120" w:after="0"/>
        <w:ind w:left="3620" w:right="0" w:hanging="568"/>
        <w:jc w:val="both"/>
        <w:rPr>
          <w:sz w:val="24"/>
        </w:rPr>
      </w:pPr>
      <w:r>
        <w:rPr>
          <w:sz w:val="24"/>
        </w:rPr>
        <w:t>the </w:t>
      </w:r>
      <w:r>
        <w:rPr>
          <w:i/>
          <w:sz w:val="24"/>
        </w:rPr>
        <w:t>AER </w:t>
      </w:r>
      <w:r>
        <w:rPr>
          <w:sz w:val="24"/>
        </w:rPr>
        <w:t>has granted that </w:t>
      </w:r>
      <w:r>
        <w:rPr>
          <w:i/>
          <w:sz w:val="24"/>
        </w:rPr>
        <w:t>asset</w:t>
      </w:r>
      <w:r>
        <w:rPr>
          <w:i/>
          <w:spacing w:val="-1"/>
          <w:sz w:val="24"/>
        </w:rPr>
        <w:t> </w:t>
      </w:r>
      <w:r>
        <w:rPr>
          <w:i/>
          <w:sz w:val="24"/>
        </w:rPr>
        <w:t>exemption</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If the </w:t>
      </w:r>
      <w:r>
        <w:rPr>
          <w:i/>
          <w:sz w:val="24"/>
        </w:rPr>
        <w:t>AER </w:t>
      </w:r>
      <w:r>
        <w:rPr>
          <w:sz w:val="24"/>
        </w:rPr>
        <w:t>is not satisfied as referred to in paragraph (c), it must not accept the forecast of required capital expenditure of a </w:t>
      </w:r>
      <w:r>
        <w:rPr>
          <w:i/>
          <w:sz w:val="24"/>
        </w:rPr>
        <w:t>Distribution Network </w:t>
      </w:r>
      <w:r>
        <w:rPr>
          <w:i/>
          <w:sz w:val="24"/>
        </w:rPr>
        <w:t>Service</w:t>
      </w:r>
      <w:r>
        <w:rPr>
          <w:i/>
          <w:spacing w:val="-1"/>
          <w:sz w:val="24"/>
        </w:rPr>
        <w:t> </w:t>
      </w:r>
      <w:r>
        <w:rPr>
          <w:i/>
          <w:sz w:val="24"/>
        </w:rPr>
        <w:t>Provider</w:t>
      </w:r>
      <w:r>
        <w:rPr>
          <w:sz w:val="24"/>
        </w:rPr>
        <w:t>.</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In deciding whether or not the </w:t>
      </w:r>
      <w:r>
        <w:rPr>
          <w:i/>
          <w:sz w:val="24"/>
        </w:rPr>
        <w:t>AER </w:t>
      </w:r>
      <w:r>
        <w:rPr>
          <w:sz w:val="24"/>
        </w:rPr>
        <w:t>is satisfied as referred to in paragraph (c), the </w:t>
      </w:r>
      <w:r>
        <w:rPr>
          <w:i/>
          <w:sz w:val="24"/>
        </w:rPr>
        <w:t>AER </w:t>
      </w:r>
      <w:r>
        <w:rPr>
          <w:sz w:val="24"/>
        </w:rPr>
        <w:t>must have regard to the following (the </w:t>
      </w:r>
      <w:r>
        <w:rPr>
          <w:i/>
          <w:sz w:val="24"/>
        </w:rPr>
        <w:t>capital expenditure </w:t>
      </w:r>
      <w:r>
        <w:rPr>
          <w:i/>
          <w:sz w:val="24"/>
        </w:rPr>
        <w:t>factors</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pStyle w:val="ListParagraph"/>
        <w:numPr>
          <w:ilvl w:val="4"/>
          <w:numId w:val="394"/>
        </w:numPr>
        <w:tabs>
          <w:tab w:pos="2485" w:val="left" w:leader="none"/>
          <w:tab w:pos="2486" w:val="left" w:leader="none"/>
        </w:tabs>
        <w:spacing w:line="240" w:lineRule="auto" w:before="120" w:after="0"/>
        <w:ind w:left="2485" w:right="0" w:hanging="567"/>
        <w:jc w:val="left"/>
        <w:rPr>
          <w:sz w:val="24"/>
        </w:rPr>
      </w:pPr>
      <w:r>
        <w:rPr>
          <w:sz w:val="24"/>
        </w:rPr>
        <w:t>[</w:t>
      </w:r>
      <w:r>
        <w:rPr>
          <w:b/>
          <w:sz w:val="24"/>
        </w:rPr>
        <w:t>Deleted</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4"/>
          <w:numId w:val="394"/>
        </w:numPr>
        <w:tabs>
          <w:tab w:pos="2486" w:val="left" w:leader="none"/>
        </w:tabs>
        <w:spacing w:line="240" w:lineRule="auto" w:before="83" w:after="0"/>
        <w:ind w:left="2486" w:right="415" w:hanging="567"/>
        <w:jc w:val="both"/>
        <w:rPr>
          <w:sz w:val="24"/>
        </w:rPr>
      </w:pPr>
      <w:r>
        <w:rPr>
          <w:sz w:val="24"/>
        </w:rPr>
        <w:t>the most recent </w:t>
      </w:r>
      <w:r>
        <w:rPr>
          <w:i/>
          <w:sz w:val="24"/>
        </w:rPr>
        <w:t>annual benchmarking report </w:t>
      </w:r>
      <w:r>
        <w:rPr>
          <w:sz w:val="24"/>
        </w:rPr>
        <w:t>that has been </w:t>
      </w:r>
      <w:r>
        <w:rPr>
          <w:i/>
          <w:sz w:val="24"/>
        </w:rPr>
        <w:t>published </w:t>
      </w:r>
      <w:r>
        <w:rPr>
          <w:sz w:val="24"/>
        </w:rPr>
        <w:t>under rule 6.27 and the benchmark capital expenditure that would be incurred by an efficient </w:t>
      </w:r>
      <w:r>
        <w:rPr>
          <w:i/>
          <w:sz w:val="24"/>
        </w:rPr>
        <w:t>Distribution Network Service Provider </w:t>
      </w:r>
      <w:r>
        <w:rPr>
          <w:sz w:val="24"/>
        </w:rPr>
        <w:t>over the relevant </w:t>
      </w:r>
      <w:r>
        <w:rPr>
          <w:i/>
          <w:sz w:val="24"/>
        </w:rPr>
        <w:t>regulatory control</w:t>
      </w:r>
      <w:r>
        <w:rPr>
          <w:i/>
          <w:spacing w:val="-2"/>
          <w:sz w:val="24"/>
        </w:rPr>
        <w:t> </w:t>
      </w:r>
      <w:r>
        <w:rPr>
          <w:i/>
          <w:sz w:val="24"/>
        </w:rPr>
        <w:t>period</w:t>
      </w:r>
      <w:r>
        <w:rPr>
          <w:sz w:val="24"/>
        </w:rPr>
        <w:t>;</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the actual and expected capital expenditure of the </w:t>
      </w:r>
      <w:r>
        <w:rPr>
          <w:i/>
          <w:sz w:val="24"/>
        </w:rPr>
        <w:t>Distribution </w:t>
      </w:r>
      <w:r>
        <w:rPr>
          <w:i/>
          <w:sz w:val="24"/>
        </w:rPr>
        <w:t>Network Service Provider </w:t>
      </w:r>
      <w:r>
        <w:rPr>
          <w:sz w:val="24"/>
        </w:rPr>
        <w:t>during any preceding </w:t>
      </w:r>
      <w:r>
        <w:rPr>
          <w:i/>
          <w:sz w:val="24"/>
        </w:rPr>
        <w:t>regulatory control </w:t>
      </w:r>
      <w:r>
        <w:rPr>
          <w:i/>
          <w:sz w:val="24"/>
        </w:rPr>
        <w:t>periods</w:t>
      </w:r>
      <w:r>
        <w:rPr>
          <w:sz w:val="24"/>
        </w:rPr>
        <w:t>;</w:t>
      </w:r>
    </w:p>
    <w:p>
      <w:pPr>
        <w:pStyle w:val="BodyText"/>
        <w:ind w:left="2486" w:right="413"/>
      </w:pPr>
      <w:r>
        <w:rPr/>
        <w:t>(5A) the extent to which the capital expenditure forecast includes expenditure to address the concerns of electricity consumers as identified by the </w:t>
      </w:r>
      <w:r>
        <w:rPr>
          <w:i/>
        </w:rPr>
        <w:t>Distribution Network Service Provider </w:t>
      </w:r>
      <w:r>
        <w:rPr/>
        <w:t>in the course of its engagement with electricity consumers;</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the relative prices of operating and capital</w:t>
      </w:r>
      <w:r>
        <w:rPr>
          <w:spacing w:val="-1"/>
          <w:sz w:val="24"/>
        </w:rPr>
        <w:t> </w:t>
      </w:r>
      <w:r>
        <w:rPr>
          <w:sz w:val="24"/>
        </w:rPr>
        <w:t>inputs;</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the substitution possibilities between operating and capital expenditure;</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whether the capital expenditure forecast is consistent with any incentive scheme or schemes that apply to the </w:t>
      </w:r>
      <w:r>
        <w:rPr>
          <w:i/>
          <w:sz w:val="24"/>
        </w:rPr>
        <w:t>Distribution Network </w:t>
      </w:r>
      <w:r>
        <w:rPr>
          <w:i/>
          <w:sz w:val="24"/>
        </w:rPr>
        <w:t>Service Provider </w:t>
      </w:r>
      <w:r>
        <w:rPr>
          <w:sz w:val="24"/>
        </w:rPr>
        <w:t>under clauses 6.5.8A or 6.6.2 to</w:t>
      </w:r>
      <w:r>
        <w:rPr>
          <w:spacing w:val="-2"/>
          <w:sz w:val="24"/>
        </w:rPr>
        <w:t> </w:t>
      </w:r>
      <w:r>
        <w:rPr>
          <w:sz w:val="24"/>
        </w:rPr>
        <w:t>6.6.4;</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extent the capital expenditure forecast is referable to arrangements with a person other than the </w:t>
      </w:r>
      <w:r>
        <w:rPr>
          <w:i/>
          <w:sz w:val="24"/>
        </w:rPr>
        <w:t>Distribution Network Service Provider </w:t>
      </w:r>
      <w:r>
        <w:rPr>
          <w:sz w:val="24"/>
        </w:rPr>
        <w:t>that, in the opinion of the </w:t>
      </w:r>
      <w:r>
        <w:rPr>
          <w:i/>
          <w:sz w:val="24"/>
        </w:rPr>
        <w:t>AER</w:t>
      </w:r>
      <w:r>
        <w:rPr>
          <w:sz w:val="24"/>
        </w:rPr>
        <w:t>, do not reflect arm's length</w:t>
      </w:r>
      <w:r>
        <w:rPr>
          <w:spacing w:val="-3"/>
          <w:sz w:val="24"/>
        </w:rPr>
        <w:t> </w:t>
      </w:r>
      <w:r>
        <w:rPr>
          <w:sz w:val="24"/>
        </w:rPr>
        <w:t>terms;</w:t>
      </w:r>
    </w:p>
    <w:p>
      <w:pPr>
        <w:pStyle w:val="BodyText"/>
        <w:ind w:left="2486" w:right="414"/>
      </w:pPr>
      <w:r>
        <w:rPr/>
        <w:t>(9A)  whether the capital expenditure forecast includes an amount relating  to a project that should more appropriately be included as a </w:t>
      </w:r>
      <w:r>
        <w:rPr>
          <w:i/>
        </w:rPr>
        <w:t>contingent </w:t>
      </w:r>
      <w:r>
        <w:rPr>
          <w:i/>
        </w:rPr>
        <w:t>project </w:t>
      </w:r>
      <w:r>
        <w:rPr/>
        <w:t>under clause</w:t>
      </w:r>
      <w:r>
        <w:rPr>
          <w:spacing w:val="-1"/>
        </w:rPr>
        <w:t> </w:t>
      </w:r>
      <w:r>
        <w:rPr/>
        <w:t>6.6A.1(b);</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extent the </w:t>
      </w:r>
      <w:r>
        <w:rPr>
          <w:i/>
          <w:sz w:val="24"/>
        </w:rPr>
        <w:t>Distribution Network Service Provider </w:t>
      </w:r>
      <w:r>
        <w:rPr>
          <w:sz w:val="24"/>
        </w:rPr>
        <w:t>has considered, and made provision for, efficient and prudent </w:t>
      </w:r>
      <w:r>
        <w:rPr>
          <w:i/>
          <w:sz w:val="24"/>
        </w:rPr>
        <w:t>non-network</w:t>
      </w:r>
      <w:r>
        <w:rPr>
          <w:i/>
          <w:spacing w:val="-4"/>
          <w:sz w:val="24"/>
        </w:rPr>
        <w:t> </w:t>
      </w:r>
      <w:r>
        <w:rPr>
          <w:i/>
          <w:sz w:val="24"/>
        </w:rPr>
        <w:t>options</w:t>
      </w:r>
      <w:r>
        <w:rPr>
          <w:sz w:val="24"/>
        </w:rPr>
        <w: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any relevant final project assessment report (as defined in clause 5.10.2) </w:t>
      </w:r>
      <w:r>
        <w:rPr>
          <w:i/>
          <w:sz w:val="24"/>
        </w:rPr>
        <w:t>published </w:t>
      </w:r>
      <w:r>
        <w:rPr>
          <w:sz w:val="24"/>
        </w:rPr>
        <w:t>under clause 5.17.4(o), (p) or (s);</w:t>
      </w:r>
      <w:r>
        <w:rPr>
          <w:spacing w:val="-1"/>
          <w:sz w:val="24"/>
        </w:rPr>
        <w:t> </w:t>
      </w:r>
      <w:r>
        <w:rPr>
          <w:sz w:val="24"/>
        </w:rPr>
        <w:t>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any other factor the </w:t>
      </w:r>
      <w:r>
        <w:rPr>
          <w:i/>
          <w:sz w:val="24"/>
        </w:rPr>
        <w:t>AER </w:t>
      </w:r>
      <w:r>
        <w:rPr>
          <w:sz w:val="24"/>
        </w:rPr>
        <w:t>considers relevant and which the </w:t>
      </w:r>
      <w:r>
        <w:rPr>
          <w:i/>
          <w:sz w:val="24"/>
        </w:rPr>
        <w:t>AER </w:t>
      </w:r>
      <w:r>
        <w:rPr>
          <w:sz w:val="24"/>
        </w:rPr>
        <w:t>has notified the </w:t>
      </w:r>
      <w:r>
        <w:rPr>
          <w:i/>
          <w:sz w:val="24"/>
        </w:rPr>
        <w:t>Distribution Network Service Provider </w:t>
      </w:r>
      <w:r>
        <w:rPr>
          <w:sz w:val="24"/>
        </w:rPr>
        <w:t>in writing, prior to the submission of its revised </w:t>
      </w:r>
      <w:r>
        <w:rPr>
          <w:i/>
          <w:sz w:val="24"/>
        </w:rPr>
        <w:t>regulatory proposal </w:t>
      </w:r>
      <w:r>
        <w:rPr>
          <w:sz w:val="24"/>
        </w:rPr>
        <w:t>under clause 6.10.3, is a </w:t>
      </w:r>
      <w:r>
        <w:rPr>
          <w:i/>
          <w:sz w:val="24"/>
        </w:rPr>
        <w:t>capital expenditure</w:t>
      </w:r>
      <w:r>
        <w:rPr>
          <w:i/>
          <w:spacing w:val="-2"/>
          <w:sz w:val="24"/>
        </w:rPr>
        <w:t> </w:t>
      </w:r>
      <w:r>
        <w:rPr>
          <w:i/>
          <w:sz w:val="24"/>
        </w:rPr>
        <w:t>factor</w:t>
      </w:r>
      <w:r>
        <w:rPr>
          <w:sz w:val="24"/>
        </w:rPr>
        <w:t>.</w:t>
      </w:r>
    </w:p>
    <w:p>
      <w:pPr>
        <w:spacing w:before="220"/>
        <w:ind w:left="1356" w:right="0" w:firstLine="0"/>
        <w:jc w:val="left"/>
        <w:rPr>
          <w:rFonts w:ascii="Arial"/>
          <w:b/>
          <w:sz w:val="22"/>
        </w:rPr>
      </w:pPr>
      <w:r>
        <w:rPr>
          <w:rFonts w:ascii="Arial"/>
          <w:b/>
          <w:sz w:val="22"/>
        </w:rPr>
        <w:t>Forecast capital expenditure and contingent projects</w:t>
      </w:r>
    </w:p>
    <w:p>
      <w:pPr>
        <w:pStyle w:val="ListParagraph"/>
        <w:numPr>
          <w:ilvl w:val="3"/>
          <w:numId w:val="394"/>
        </w:numPr>
        <w:tabs>
          <w:tab w:pos="1920" w:val="left" w:leader="none"/>
        </w:tabs>
        <w:spacing w:line="240" w:lineRule="auto" w:before="120" w:after="0"/>
        <w:ind w:left="1919" w:right="0" w:hanging="568"/>
        <w:jc w:val="both"/>
        <w:rPr>
          <w:sz w:val="24"/>
        </w:rPr>
      </w:pPr>
      <w:r>
        <w:rPr>
          <w:sz w:val="24"/>
        </w:rPr>
        <w:t>Paragraphs (g) - (j) apply</w:t>
      </w:r>
      <w:r>
        <w:rPr>
          <w:spacing w:val="-1"/>
          <w:sz w:val="24"/>
        </w:rPr>
        <w:t> </w:t>
      </w:r>
      <w:r>
        <w:rPr>
          <w:sz w:val="24"/>
        </w:rPr>
        <w:t>where:</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in a </w:t>
      </w:r>
      <w:r>
        <w:rPr>
          <w:i/>
          <w:sz w:val="24"/>
        </w:rPr>
        <w:t>regulatory control period </w:t>
      </w:r>
      <w:r>
        <w:rPr>
          <w:sz w:val="24"/>
        </w:rPr>
        <w:t>(the </w:t>
      </w:r>
      <w:r>
        <w:rPr>
          <w:b/>
          <w:sz w:val="24"/>
        </w:rPr>
        <w:t>first </w:t>
      </w:r>
      <w:r>
        <w:rPr>
          <w:b/>
          <w:i/>
          <w:sz w:val="24"/>
        </w:rPr>
        <w:t>regulatory control period</w:t>
      </w:r>
      <w:r>
        <w:rPr>
          <w:sz w:val="24"/>
        </w:rPr>
        <w:t>), the </w:t>
      </w:r>
      <w:r>
        <w:rPr>
          <w:i/>
          <w:sz w:val="24"/>
        </w:rPr>
        <w:t>AER </w:t>
      </w:r>
      <w:r>
        <w:rPr>
          <w:sz w:val="24"/>
        </w:rPr>
        <w:t>determines under clause 6.6A.2(e)(1)(iii) that the likely completion date for a </w:t>
      </w:r>
      <w:r>
        <w:rPr>
          <w:i/>
          <w:sz w:val="24"/>
        </w:rPr>
        <w:t>contingent project </w:t>
      </w:r>
      <w:r>
        <w:rPr>
          <w:sz w:val="24"/>
        </w:rPr>
        <w:t>is a date which occurs in the immediately following </w:t>
      </w:r>
      <w:r>
        <w:rPr>
          <w:i/>
          <w:sz w:val="24"/>
        </w:rPr>
        <w:t>regulatory control period </w:t>
      </w:r>
      <w:r>
        <w:rPr>
          <w:sz w:val="24"/>
        </w:rPr>
        <w:t>(the </w:t>
      </w:r>
      <w:r>
        <w:rPr>
          <w:b/>
          <w:sz w:val="24"/>
        </w:rPr>
        <w:t>second </w:t>
      </w:r>
      <w:r>
        <w:rPr>
          <w:b/>
          <w:i/>
          <w:sz w:val="24"/>
        </w:rPr>
        <w:t>regulatory control period</w:t>
      </w:r>
      <w:r>
        <w:rPr>
          <w:sz w:val="24"/>
        </w:rPr>
        <w:t>);</w:t>
      </w:r>
      <w:r>
        <w:rPr>
          <w:spacing w:val="-3"/>
          <w:sz w:val="24"/>
        </w:rPr>
        <w:t> </w:t>
      </w:r>
      <w:r>
        <w:rPr>
          <w:sz w:val="24"/>
        </w:rPr>
        <w:t>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there is an unspent amount of capital expenditure for that </w:t>
      </w:r>
      <w:r>
        <w:rPr>
          <w:i/>
          <w:sz w:val="24"/>
        </w:rPr>
        <w:t>contingent </w:t>
      </w:r>
      <w:r>
        <w:rPr>
          <w:i/>
          <w:sz w:val="24"/>
        </w:rPr>
        <w:t>project </w:t>
      </w:r>
      <w:r>
        <w:rPr>
          <w:sz w:val="24"/>
        </w:rPr>
        <w:t>under paragraph</w:t>
      </w:r>
      <w:r>
        <w:rPr>
          <w:spacing w:val="-1"/>
          <w:sz w:val="24"/>
        </w:rPr>
        <w:t> </w:t>
      </w:r>
      <w:r>
        <w:rPr>
          <w:sz w:val="24"/>
        </w:rPr>
        <w:t>(g).</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Subject to paragraphs (ga) and (j), a </w:t>
      </w:r>
      <w:r>
        <w:rPr>
          <w:i/>
          <w:sz w:val="24"/>
        </w:rPr>
        <w:t>Distribution Network Service  </w:t>
      </w:r>
      <w:r>
        <w:rPr>
          <w:i/>
          <w:sz w:val="24"/>
        </w:rPr>
        <w:t>Provider's regulatory proposal </w:t>
      </w:r>
      <w:r>
        <w:rPr>
          <w:sz w:val="24"/>
        </w:rPr>
        <w:t>for the second </w:t>
      </w:r>
      <w:r>
        <w:rPr>
          <w:i/>
          <w:sz w:val="24"/>
        </w:rPr>
        <w:t>regulatory control period </w:t>
      </w:r>
      <w:r>
        <w:rPr>
          <w:sz w:val="24"/>
        </w:rPr>
        <w:t>must</w:t>
      </w:r>
      <w:r>
        <w:rPr>
          <w:spacing w:val="34"/>
          <w:sz w:val="24"/>
        </w:rPr>
        <w:t> </w:t>
      </w:r>
      <w:r>
        <w:rPr>
          <w:sz w:val="24"/>
        </w:rPr>
        <w:t>include</w:t>
      </w:r>
      <w:r>
        <w:rPr>
          <w:spacing w:val="34"/>
          <w:sz w:val="24"/>
        </w:rPr>
        <w:t> </w:t>
      </w:r>
      <w:r>
        <w:rPr>
          <w:sz w:val="24"/>
        </w:rPr>
        <w:t>in</w:t>
      </w:r>
      <w:r>
        <w:rPr>
          <w:spacing w:val="35"/>
          <w:sz w:val="24"/>
        </w:rPr>
        <w:t> </w:t>
      </w:r>
      <w:r>
        <w:rPr>
          <w:sz w:val="24"/>
        </w:rPr>
        <w:t>the</w:t>
      </w:r>
      <w:r>
        <w:rPr>
          <w:spacing w:val="34"/>
          <w:sz w:val="24"/>
        </w:rPr>
        <w:t> </w:t>
      </w:r>
      <w:r>
        <w:rPr>
          <w:sz w:val="24"/>
        </w:rPr>
        <w:t>forecast</w:t>
      </w:r>
      <w:r>
        <w:rPr>
          <w:spacing w:val="34"/>
          <w:sz w:val="24"/>
        </w:rPr>
        <w:t> </w:t>
      </w:r>
      <w:r>
        <w:rPr>
          <w:sz w:val="24"/>
        </w:rPr>
        <w:t>of</w:t>
      </w:r>
      <w:r>
        <w:rPr>
          <w:spacing w:val="35"/>
          <w:sz w:val="24"/>
        </w:rPr>
        <w:t> </w:t>
      </w:r>
      <w:r>
        <w:rPr>
          <w:sz w:val="24"/>
        </w:rPr>
        <w:t>required</w:t>
      </w:r>
      <w:r>
        <w:rPr>
          <w:spacing w:val="34"/>
          <w:sz w:val="24"/>
        </w:rPr>
        <w:t> </w:t>
      </w:r>
      <w:r>
        <w:rPr>
          <w:sz w:val="24"/>
        </w:rPr>
        <w:t>capital</w:t>
      </w:r>
      <w:r>
        <w:rPr>
          <w:spacing w:val="35"/>
          <w:sz w:val="24"/>
        </w:rPr>
        <w:t> </w:t>
      </w:r>
      <w:r>
        <w:rPr>
          <w:sz w:val="24"/>
        </w:rPr>
        <w:t>expenditure</w:t>
      </w:r>
      <w:r>
        <w:rPr>
          <w:spacing w:val="34"/>
          <w:sz w:val="24"/>
        </w:rPr>
        <w:t> </w:t>
      </w:r>
      <w:r>
        <w:rPr>
          <w:sz w:val="24"/>
        </w:rPr>
        <w:t>referred</w:t>
      </w:r>
      <w:r>
        <w:rPr>
          <w:spacing w:val="34"/>
          <w:sz w:val="24"/>
        </w:rPr>
        <w:t> </w:t>
      </w:r>
      <w:r>
        <w:rPr>
          <w:sz w:val="24"/>
        </w:rPr>
        <w:t>to</w:t>
      </w:r>
      <w:r>
        <w:rPr>
          <w:spacing w:val="35"/>
          <w:sz w:val="24"/>
        </w:rPr>
        <w:t> </w:t>
      </w:r>
      <w:r>
        <w:rPr>
          <w:sz w:val="24"/>
        </w:rPr>
        <w:t>in</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paragraph (a) an amount of any unspent capital expenditure for each </w:t>
      </w:r>
      <w:r>
        <w:rPr>
          <w:i/>
        </w:rPr>
        <w:t>contingent project </w:t>
      </w:r>
      <w:r>
        <w:rPr/>
        <w:t>as described in subparagraph (f)(2), that equals the difference (if any) between:</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total capital expenditure for that </w:t>
      </w:r>
      <w:r>
        <w:rPr>
          <w:i/>
          <w:sz w:val="24"/>
        </w:rPr>
        <w:t>contingent project</w:t>
      </w:r>
      <w:r>
        <w:rPr>
          <w:sz w:val="24"/>
        </w:rPr>
        <w:t>, as determined by the </w:t>
      </w:r>
      <w:r>
        <w:rPr>
          <w:i/>
          <w:sz w:val="24"/>
        </w:rPr>
        <w:t>AER </w:t>
      </w:r>
      <w:r>
        <w:rPr>
          <w:sz w:val="24"/>
        </w:rPr>
        <w:t>in the first </w:t>
      </w:r>
      <w:r>
        <w:rPr>
          <w:i/>
          <w:sz w:val="24"/>
        </w:rPr>
        <w:t>regulatory control period </w:t>
      </w:r>
      <w:r>
        <w:rPr>
          <w:sz w:val="24"/>
        </w:rPr>
        <w:t>under clause 6.6A.2(e)(1)(ii);</w:t>
      </w:r>
      <w:r>
        <w:rPr>
          <w:spacing w:val="-1"/>
          <w:sz w:val="24"/>
        </w:rPr>
        <w:t> </w:t>
      </w:r>
      <w:r>
        <w:rPr>
          <w:sz w:val="24"/>
        </w:rPr>
        <w:t>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total of the capital expenditure actually incurred (or</w:t>
      </w:r>
      <w:r>
        <w:rPr>
          <w:spacing w:val="30"/>
          <w:sz w:val="24"/>
        </w:rPr>
        <w:t> </w:t>
      </w:r>
      <w:r>
        <w:rPr>
          <w:sz w:val="24"/>
        </w:rPr>
        <w:t>estimated capital expenditure for any part of the first </w:t>
      </w:r>
      <w:r>
        <w:rPr>
          <w:i/>
          <w:sz w:val="24"/>
        </w:rPr>
        <w:t>regulatory control period </w:t>
      </w:r>
      <w:r>
        <w:rPr>
          <w:sz w:val="24"/>
        </w:rPr>
        <w:t>for which actual capital expenditure is not available) in the first </w:t>
      </w:r>
      <w:r>
        <w:rPr>
          <w:i/>
          <w:sz w:val="24"/>
        </w:rPr>
        <w:t>regulatory control period </w:t>
      </w:r>
      <w:r>
        <w:rPr>
          <w:sz w:val="24"/>
        </w:rPr>
        <w:t>for that </w:t>
      </w:r>
      <w:r>
        <w:rPr>
          <w:i/>
          <w:sz w:val="24"/>
        </w:rPr>
        <w:t>contingent</w:t>
      </w:r>
      <w:r>
        <w:rPr>
          <w:i/>
          <w:spacing w:val="-5"/>
          <w:sz w:val="24"/>
        </w:rPr>
        <w:t> </w:t>
      </w:r>
      <w:r>
        <w:rPr>
          <w:i/>
          <w:sz w:val="24"/>
        </w:rPr>
        <w:t>project</w:t>
      </w:r>
      <w:r>
        <w:rPr>
          <w:sz w:val="24"/>
        </w:rPr>
        <w:t>.</w:t>
      </w:r>
    </w:p>
    <w:p>
      <w:pPr>
        <w:pStyle w:val="BodyText"/>
        <w:ind w:left="1919" w:right="415"/>
      </w:pPr>
      <w:r>
        <w:rPr/>
        <w:t>(ga) For the purposes of calculating any unspent capital expenditure in  accordance with paragraph (g), the total or estimate of capital expenditure referred to in subparagraph (g)(2) must not include </w:t>
      </w:r>
      <w:r>
        <w:rPr>
          <w:i/>
        </w:rPr>
        <w:t>expenditure for a </w:t>
      </w:r>
      <w:r>
        <w:rPr>
          <w:i/>
        </w:rPr>
        <w:t>restricted asset</w:t>
      </w:r>
      <w:r>
        <w:rPr/>
        <w:t>,</w:t>
      </w:r>
      <w:r>
        <w:rPr>
          <w:spacing w:val="-2"/>
        </w:rPr>
        <w:t> </w:t>
      </w:r>
      <w:r>
        <w:rPr/>
        <w:t>unless:</w:t>
      </w:r>
    </w:p>
    <w:p>
      <w:pPr>
        <w:pStyle w:val="ListParagraph"/>
        <w:numPr>
          <w:ilvl w:val="0"/>
          <w:numId w:val="395"/>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has submitted an </w:t>
      </w:r>
      <w:r>
        <w:rPr>
          <w:i/>
          <w:sz w:val="24"/>
        </w:rPr>
        <w:t>exemption </w:t>
      </w:r>
      <w:r>
        <w:rPr>
          <w:i/>
          <w:sz w:val="24"/>
        </w:rPr>
        <w:t>application </w:t>
      </w:r>
      <w:r>
        <w:rPr>
          <w:sz w:val="24"/>
        </w:rPr>
        <w:t>under clause 6.6A.1(a1) for the previous </w:t>
      </w:r>
      <w:r>
        <w:rPr>
          <w:i/>
          <w:sz w:val="24"/>
        </w:rPr>
        <w:t>regulatory </w:t>
      </w:r>
      <w:r>
        <w:rPr>
          <w:i/>
          <w:sz w:val="24"/>
        </w:rPr>
        <w:t>control period</w:t>
      </w:r>
      <w:r>
        <w:rPr>
          <w:sz w:val="24"/>
        </w:rPr>
        <w:t>, which requested an </w:t>
      </w:r>
      <w:r>
        <w:rPr>
          <w:i/>
          <w:sz w:val="24"/>
        </w:rPr>
        <w:t>asset exemption </w:t>
      </w:r>
      <w:r>
        <w:rPr>
          <w:sz w:val="24"/>
        </w:rPr>
        <w:t>under clause 6.4B.1(a)(2) in respect of that asset or class of asset for that </w:t>
      </w:r>
      <w:r>
        <w:rPr>
          <w:i/>
          <w:sz w:val="24"/>
        </w:rPr>
        <w:t>contingent </w:t>
      </w:r>
      <w:r>
        <w:rPr>
          <w:i/>
          <w:sz w:val="24"/>
        </w:rPr>
        <w:t>project</w:t>
      </w:r>
      <w:r>
        <w:rPr>
          <w:sz w:val="24"/>
        </w:rPr>
        <w:t>;</w:t>
      </w:r>
      <w:r>
        <w:rPr>
          <w:spacing w:val="-1"/>
          <w:sz w:val="24"/>
        </w:rPr>
        <w:t> </w:t>
      </w:r>
      <w:r>
        <w:rPr>
          <w:sz w:val="24"/>
        </w:rPr>
        <w:t>and</w:t>
      </w:r>
    </w:p>
    <w:p>
      <w:pPr>
        <w:pStyle w:val="ListParagraph"/>
        <w:numPr>
          <w:ilvl w:val="0"/>
          <w:numId w:val="395"/>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granted that </w:t>
      </w:r>
      <w:r>
        <w:rPr>
          <w:i/>
          <w:sz w:val="24"/>
        </w:rPr>
        <w:t>asset</w:t>
      </w:r>
      <w:r>
        <w:rPr>
          <w:i/>
          <w:spacing w:val="-1"/>
          <w:sz w:val="24"/>
        </w:rPr>
        <w:t> </w:t>
      </w:r>
      <w:r>
        <w:rPr>
          <w:i/>
          <w:sz w:val="24"/>
        </w:rPr>
        <w:t>exemption</w:t>
      </w:r>
      <w:r>
        <w:rPr>
          <w:sz w:val="24"/>
        </w:rPr>
        <w:t>.</w:t>
      </w:r>
    </w:p>
    <w:p>
      <w:pPr>
        <w:pStyle w:val="ListParagraph"/>
        <w:numPr>
          <w:ilvl w:val="3"/>
          <w:numId w:val="394"/>
        </w:numPr>
        <w:tabs>
          <w:tab w:pos="566" w:val="left" w:leader="none"/>
          <w:tab w:pos="567" w:val="left" w:leader="none"/>
        </w:tabs>
        <w:spacing w:line="240" w:lineRule="auto" w:before="120" w:after="0"/>
        <w:ind w:left="1918" w:right="415" w:hanging="1919"/>
        <w:jc w:val="right"/>
        <w:rPr>
          <w:sz w:val="24"/>
        </w:rPr>
      </w:pPr>
      <w:r>
        <w:rPr>
          <w:sz w:val="24"/>
        </w:rPr>
        <w:t>The</w:t>
      </w:r>
      <w:r>
        <w:rPr>
          <w:spacing w:val="37"/>
          <w:sz w:val="24"/>
        </w:rPr>
        <w:t> </w:t>
      </w:r>
      <w:r>
        <w:rPr>
          <w:i/>
          <w:sz w:val="24"/>
        </w:rPr>
        <w:t>AER</w:t>
      </w:r>
      <w:r>
        <w:rPr>
          <w:i/>
          <w:spacing w:val="36"/>
          <w:sz w:val="24"/>
        </w:rPr>
        <w:t> </w:t>
      </w:r>
      <w:r>
        <w:rPr>
          <w:sz w:val="24"/>
        </w:rPr>
        <w:t>must</w:t>
      </w:r>
      <w:r>
        <w:rPr>
          <w:spacing w:val="37"/>
          <w:sz w:val="24"/>
        </w:rPr>
        <w:t> </w:t>
      </w:r>
      <w:r>
        <w:rPr>
          <w:sz w:val="24"/>
        </w:rPr>
        <w:t>include</w:t>
      </w:r>
      <w:r>
        <w:rPr>
          <w:spacing w:val="38"/>
          <w:sz w:val="24"/>
        </w:rPr>
        <w:t> </w:t>
      </w:r>
      <w:r>
        <w:rPr>
          <w:sz w:val="24"/>
        </w:rPr>
        <w:t>in</w:t>
      </w:r>
      <w:r>
        <w:rPr>
          <w:spacing w:val="37"/>
          <w:sz w:val="24"/>
        </w:rPr>
        <w:t> </w:t>
      </w:r>
      <w:r>
        <w:rPr>
          <w:sz w:val="24"/>
        </w:rPr>
        <w:t>any</w:t>
      </w:r>
      <w:r>
        <w:rPr>
          <w:spacing w:val="37"/>
          <w:sz w:val="24"/>
        </w:rPr>
        <w:t> </w:t>
      </w:r>
      <w:r>
        <w:rPr>
          <w:sz w:val="24"/>
        </w:rPr>
        <w:t>forecast</w:t>
      </w:r>
      <w:r>
        <w:rPr>
          <w:spacing w:val="36"/>
          <w:sz w:val="24"/>
        </w:rPr>
        <w:t> </w:t>
      </w:r>
      <w:r>
        <w:rPr>
          <w:sz w:val="24"/>
        </w:rPr>
        <w:t>capital</w:t>
      </w:r>
      <w:r>
        <w:rPr>
          <w:spacing w:val="37"/>
          <w:sz w:val="24"/>
        </w:rPr>
        <w:t> </w:t>
      </w:r>
      <w:r>
        <w:rPr>
          <w:sz w:val="24"/>
        </w:rPr>
        <w:t>expenditure</w:t>
      </w:r>
      <w:r>
        <w:rPr>
          <w:spacing w:val="37"/>
          <w:sz w:val="24"/>
        </w:rPr>
        <w:t> </w:t>
      </w:r>
      <w:r>
        <w:rPr>
          <w:sz w:val="24"/>
        </w:rPr>
        <w:t>for</w:t>
      </w:r>
      <w:r>
        <w:rPr>
          <w:spacing w:val="37"/>
          <w:sz w:val="24"/>
        </w:rPr>
        <w:t> </w:t>
      </w:r>
      <w:r>
        <w:rPr>
          <w:sz w:val="24"/>
        </w:rPr>
        <w:t>the</w:t>
      </w:r>
      <w:r>
        <w:rPr>
          <w:spacing w:val="38"/>
          <w:sz w:val="24"/>
        </w:rPr>
        <w:t> </w:t>
      </w:r>
      <w:r>
        <w:rPr>
          <w:sz w:val="24"/>
        </w:rPr>
        <w:t>second</w:t>
      </w:r>
    </w:p>
    <w:p>
      <w:pPr>
        <w:spacing w:before="0"/>
        <w:ind w:left="1789" w:right="417" w:firstLine="0"/>
        <w:jc w:val="right"/>
        <w:rPr>
          <w:sz w:val="24"/>
        </w:rPr>
      </w:pPr>
      <w:r>
        <w:rPr>
          <w:i/>
          <w:sz w:val="24"/>
        </w:rPr>
        <w:t>regulatory</w:t>
      </w:r>
      <w:r>
        <w:rPr>
          <w:i/>
          <w:spacing w:val="25"/>
          <w:sz w:val="24"/>
        </w:rPr>
        <w:t> </w:t>
      </w:r>
      <w:r>
        <w:rPr>
          <w:i/>
          <w:sz w:val="24"/>
        </w:rPr>
        <w:t>control</w:t>
      </w:r>
      <w:r>
        <w:rPr>
          <w:i/>
          <w:spacing w:val="26"/>
          <w:sz w:val="24"/>
        </w:rPr>
        <w:t> </w:t>
      </w:r>
      <w:r>
        <w:rPr>
          <w:i/>
          <w:sz w:val="24"/>
        </w:rPr>
        <w:t>period</w:t>
      </w:r>
      <w:r>
        <w:rPr>
          <w:i/>
          <w:spacing w:val="26"/>
          <w:sz w:val="24"/>
        </w:rPr>
        <w:t> </w:t>
      </w:r>
      <w:r>
        <w:rPr>
          <w:sz w:val="24"/>
        </w:rPr>
        <w:t>which</w:t>
      </w:r>
      <w:r>
        <w:rPr>
          <w:spacing w:val="26"/>
          <w:sz w:val="24"/>
        </w:rPr>
        <w:t> </w:t>
      </w:r>
      <w:r>
        <w:rPr>
          <w:sz w:val="24"/>
        </w:rPr>
        <w:t>is</w:t>
      </w:r>
      <w:r>
        <w:rPr>
          <w:spacing w:val="26"/>
          <w:sz w:val="24"/>
        </w:rPr>
        <w:t> </w:t>
      </w:r>
      <w:r>
        <w:rPr>
          <w:sz w:val="24"/>
        </w:rPr>
        <w:t>accepted</w:t>
      </w:r>
      <w:r>
        <w:rPr>
          <w:spacing w:val="26"/>
          <w:sz w:val="24"/>
        </w:rPr>
        <w:t> </w:t>
      </w:r>
      <w:r>
        <w:rPr>
          <w:sz w:val="24"/>
        </w:rPr>
        <w:t>in</w:t>
      </w:r>
      <w:r>
        <w:rPr>
          <w:spacing w:val="26"/>
          <w:sz w:val="24"/>
        </w:rPr>
        <w:t> </w:t>
      </w:r>
      <w:r>
        <w:rPr>
          <w:sz w:val="24"/>
        </w:rPr>
        <w:t>accordance</w:t>
      </w:r>
      <w:r>
        <w:rPr>
          <w:spacing w:val="26"/>
          <w:sz w:val="24"/>
        </w:rPr>
        <w:t> </w:t>
      </w:r>
      <w:r>
        <w:rPr>
          <w:sz w:val="24"/>
        </w:rPr>
        <w:t>with</w:t>
      </w:r>
      <w:r>
        <w:rPr>
          <w:spacing w:val="26"/>
          <w:sz w:val="24"/>
        </w:rPr>
        <w:t> </w:t>
      </w:r>
      <w:r>
        <w:rPr>
          <w:sz w:val="24"/>
        </w:rPr>
        <w:t>paragraph</w:t>
      </w:r>
    </w:p>
    <w:p>
      <w:pPr>
        <w:pStyle w:val="BodyText"/>
        <w:spacing w:before="0"/>
        <w:ind w:left="1919" w:right="414" w:firstLine="0"/>
      </w:pPr>
      <w:r>
        <w:rPr/>
        <w:t>(c) or substituted in accordance with clause 6.12.1(3)(ii) (as the case may be) the amount of any unspent capital expenditure calculated in accordance with paragraph</w:t>
      </w:r>
      <w:r>
        <w:rPr>
          <w:spacing w:val="-2"/>
        </w:rPr>
        <w:t> </w:t>
      </w:r>
      <w:r>
        <w:rPr/>
        <w:t>(g).</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Without limiting the requirement in paragraph (h), in deciding whether or not to accept the forecast of required capital expenditure of a </w:t>
      </w:r>
      <w:r>
        <w:rPr>
          <w:i/>
          <w:sz w:val="24"/>
        </w:rPr>
        <w:t>Distribution </w:t>
      </w:r>
      <w:r>
        <w:rPr>
          <w:i/>
          <w:sz w:val="24"/>
        </w:rPr>
        <w:t>Network Service Provider </w:t>
      </w:r>
      <w:r>
        <w:rPr>
          <w:sz w:val="24"/>
        </w:rPr>
        <w:t>for the second </w:t>
      </w:r>
      <w:r>
        <w:rPr>
          <w:i/>
          <w:sz w:val="24"/>
        </w:rPr>
        <w:t>regulatory control period </w:t>
      </w:r>
      <w:r>
        <w:rPr>
          <w:sz w:val="24"/>
        </w:rPr>
        <w:t>in accordance with this clause 6.5.7, the </w:t>
      </w:r>
      <w:r>
        <w:rPr>
          <w:i/>
          <w:sz w:val="24"/>
        </w:rPr>
        <w:t>AER </w:t>
      </w:r>
      <w:r>
        <w:rPr>
          <w:sz w:val="24"/>
        </w:rPr>
        <w:t>must</w:t>
      </w:r>
      <w:r>
        <w:rPr>
          <w:spacing w:val="-3"/>
          <w:sz w:val="24"/>
        </w:rPr>
        <w:t> </w:t>
      </w:r>
      <w:r>
        <w:rPr>
          <w:sz w:val="24"/>
        </w:rPr>
        <w:t>not: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assess the reasonableness of the amount of unspent capital expenditure for a </w:t>
      </w:r>
      <w:r>
        <w:rPr>
          <w:i/>
          <w:sz w:val="24"/>
        </w:rPr>
        <w:t>contingent project </w:t>
      </w:r>
      <w:r>
        <w:rPr>
          <w:sz w:val="24"/>
        </w:rPr>
        <w:t>referred to in paragraph (g) or the remaining period to which the </w:t>
      </w:r>
      <w:r>
        <w:rPr>
          <w:i/>
          <w:sz w:val="24"/>
        </w:rPr>
        <w:t>contingent project</w:t>
      </w:r>
      <w:r>
        <w:rPr>
          <w:i/>
          <w:spacing w:val="-1"/>
          <w:sz w:val="24"/>
        </w:rPr>
        <w:t> </w:t>
      </w:r>
      <w:r>
        <w:rPr>
          <w:sz w:val="24"/>
        </w:rPr>
        <w:t>applies;</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assess the reasonableness of the timing of the unspent capital expenditure within the remaining period for a </w:t>
      </w:r>
      <w:r>
        <w:rPr>
          <w:i/>
          <w:sz w:val="24"/>
        </w:rPr>
        <w:t>contingent project </w:t>
      </w:r>
      <w:r>
        <w:rPr>
          <w:sz w:val="24"/>
        </w:rPr>
        <w:t>referred to in paragraph (g) except as part of the assessment of </w:t>
      </w:r>
      <w:r>
        <w:rPr>
          <w:spacing w:val="-5"/>
          <w:sz w:val="24"/>
        </w:rPr>
        <w:t>the </w:t>
      </w:r>
      <w:r>
        <w:rPr>
          <w:sz w:val="24"/>
        </w:rPr>
        <w:t>total forecast capital expenditure under paragraph (c);</w:t>
      </w:r>
      <w:r>
        <w:rPr>
          <w:spacing w:val="-2"/>
          <w:sz w:val="24"/>
        </w:rPr>
        <w:t> </w:t>
      </w:r>
      <w:r>
        <w:rPr>
          <w:sz w:val="24"/>
        </w:rPr>
        <w:t>or</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take into account any amount which represents for a </w:t>
      </w:r>
      <w:r>
        <w:rPr>
          <w:i/>
          <w:sz w:val="24"/>
        </w:rPr>
        <w:t>contingent </w:t>
      </w:r>
      <w:r>
        <w:rPr>
          <w:i/>
          <w:sz w:val="24"/>
        </w:rPr>
        <w:t>project </w:t>
      </w:r>
      <w:r>
        <w:rPr>
          <w:sz w:val="24"/>
        </w:rPr>
        <w:t>referred to in paragraph (g) the difference</w:t>
      </w:r>
      <w:r>
        <w:rPr>
          <w:spacing w:val="-1"/>
          <w:sz w:val="24"/>
        </w:rPr>
        <w:t> </w:t>
      </w:r>
      <w:r>
        <w:rPr>
          <w:sz w:val="24"/>
        </w:rPr>
        <w:t>between:</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the amount representing the sum of the forecast capital expenditure for that </w:t>
      </w:r>
      <w:r>
        <w:rPr>
          <w:i/>
          <w:sz w:val="24"/>
        </w:rPr>
        <w:t>contingent project </w:t>
      </w:r>
      <w:r>
        <w:rPr>
          <w:sz w:val="24"/>
        </w:rPr>
        <w:t>for each year of </w:t>
      </w:r>
      <w:r>
        <w:rPr>
          <w:spacing w:val="-4"/>
          <w:sz w:val="24"/>
        </w:rPr>
        <w:t>the </w:t>
      </w:r>
      <w:r>
        <w:rPr>
          <w:sz w:val="24"/>
        </w:rPr>
        <w:t>immediately preceding </w:t>
      </w:r>
      <w:r>
        <w:rPr>
          <w:i/>
          <w:sz w:val="24"/>
        </w:rPr>
        <w:t>regulatory control period </w:t>
      </w:r>
      <w:r>
        <w:rPr>
          <w:sz w:val="24"/>
        </w:rPr>
        <w:t>referred to in clause 6.6A.2(e)(1)(i);</w:t>
      </w:r>
      <w:r>
        <w:rPr>
          <w:spacing w:val="-1"/>
          <w:sz w:val="24"/>
        </w:rPr>
        <w:t> </w:t>
      </w:r>
      <w:r>
        <w:rPr>
          <w:sz w:val="24"/>
        </w:rPr>
        <w:t>and</w:t>
      </w:r>
    </w:p>
    <w:p>
      <w:pPr>
        <w:pStyle w:val="ListParagraph"/>
        <w:numPr>
          <w:ilvl w:val="5"/>
          <w:numId w:val="394"/>
        </w:numPr>
        <w:tabs>
          <w:tab w:pos="3054" w:val="left" w:leader="none"/>
        </w:tabs>
        <w:spacing w:line="240" w:lineRule="auto" w:before="120" w:after="0"/>
        <w:ind w:left="3053" w:right="415" w:hanging="567"/>
        <w:jc w:val="both"/>
        <w:rPr>
          <w:sz w:val="24"/>
        </w:rPr>
      </w:pPr>
      <w:r>
        <w:rPr>
          <w:sz w:val="24"/>
        </w:rPr>
        <w:t>the total capital expenditure actually incurred (or estimated capital expenditure for any part of the preceding </w:t>
      </w:r>
      <w:r>
        <w:rPr>
          <w:i/>
          <w:spacing w:val="-3"/>
          <w:sz w:val="24"/>
        </w:rPr>
        <w:t>regulatory </w:t>
      </w:r>
      <w:r>
        <w:rPr>
          <w:i/>
          <w:sz w:val="24"/>
        </w:rPr>
        <w:t>control</w:t>
      </w:r>
      <w:r>
        <w:rPr>
          <w:i/>
          <w:spacing w:val="33"/>
          <w:sz w:val="24"/>
        </w:rPr>
        <w:t> </w:t>
      </w:r>
      <w:r>
        <w:rPr>
          <w:i/>
          <w:sz w:val="24"/>
        </w:rPr>
        <w:t>period</w:t>
      </w:r>
      <w:r>
        <w:rPr>
          <w:i/>
          <w:spacing w:val="33"/>
          <w:sz w:val="24"/>
        </w:rPr>
        <w:t> </w:t>
      </w:r>
      <w:r>
        <w:rPr>
          <w:sz w:val="24"/>
        </w:rPr>
        <w:t>for</w:t>
      </w:r>
      <w:r>
        <w:rPr>
          <w:spacing w:val="33"/>
          <w:sz w:val="24"/>
        </w:rPr>
        <w:t> </w:t>
      </w:r>
      <w:r>
        <w:rPr>
          <w:sz w:val="24"/>
        </w:rPr>
        <w:t>which</w:t>
      </w:r>
      <w:r>
        <w:rPr>
          <w:spacing w:val="34"/>
          <w:sz w:val="24"/>
        </w:rPr>
        <w:t> </w:t>
      </w:r>
      <w:r>
        <w:rPr>
          <w:sz w:val="24"/>
        </w:rPr>
        <w:t>actual</w:t>
      </w:r>
      <w:r>
        <w:rPr>
          <w:spacing w:val="33"/>
          <w:sz w:val="24"/>
        </w:rPr>
        <w:t> </w:t>
      </w:r>
      <w:r>
        <w:rPr>
          <w:sz w:val="24"/>
        </w:rPr>
        <w:t>capital</w:t>
      </w:r>
      <w:r>
        <w:rPr>
          <w:spacing w:val="33"/>
          <w:sz w:val="24"/>
        </w:rPr>
        <w:t> </w:t>
      </w:r>
      <w:r>
        <w:rPr>
          <w:sz w:val="24"/>
        </w:rPr>
        <w:t>expenditure</w:t>
      </w:r>
      <w:r>
        <w:rPr>
          <w:spacing w:val="33"/>
          <w:sz w:val="24"/>
        </w:rPr>
        <w:t> </w:t>
      </w:r>
      <w:r>
        <w:rPr>
          <w:sz w:val="24"/>
        </w:rPr>
        <w:t>is</w:t>
      </w:r>
      <w:r>
        <w:rPr>
          <w:spacing w:val="34"/>
          <w:sz w:val="24"/>
        </w:rPr>
        <w:t> </w:t>
      </w:r>
      <w:r>
        <w:rPr>
          <w:sz w:val="24"/>
        </w:rPr>
        <w:t>not</w:t>
      </w:r>
    </w:p>
    <w:p>
      <w:pPr>
        <w:spacing w:after="0" w:line="240" w:lineRule="auto"/>
        <w:jc w:val="both"/>
        <w:rPr>
          <w:sz w:val="24"/>
        </w:rPr>
        <w:sectPr>
          <w:pgSz w:w="11910" w:h="16840"/>
          <w:pgMar w:header="686" w:footer="637" w:top="1320" w:bottom="820" w:left="1200" w:right="1000"/>
        </w:sectPr>
      </w:pPr>
    </w:p>
    <w:p>
      <w:pPr>
        <w:spacing w:before="83"/>
        <w:ind w:left="3053" w:right="415" w:firstLine="0"/>
        <w:jc w:val="both"/>
        <w:rPr>
          <w:sz w:val="24"/>
        </w:rPr>
      </w:pPr>
      <w:r>
        <w:rPr>
          <w:sz w:val="24"/>
        </w:rPr>
        <w:t>available) in the immediately preceding </w:t>
      </w:r>
      <w:r>
        <w:rPr>
          <w:i/>
          <w:sz w:val="24"/>
        </w:rPr>
        <w:t>regulatory control </w:t>
      </w:r>
      <w:r>
        <w:rPr>
          <w:i/>
          <w:sz w:val="24"/>
        </w:rPr>
        <w:t>period </w:t>
      </w:r>
      <w:r>
        <w:rPr>
          <w:sz w:val="24"/>
        </w:rPr>
        <w:t>for that </w:t>
      </w:r>
      <w:r>
        <w:rPr>
          <w:i/>
          <w:sz w:val="24"/>
        </w:rPr>
        <w:t>contingent project</w:t>
      </w:r>
      <w:r>
        <w:rPr>
          <w:sz w:val="24"/>
        </w:rPr>
        <w:t>.</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A </w:t>
      </w:r>
      <w:r>
        <w:rPr>
          <w:i/>
          <w:sz w:val="24"/>
        </w:rPr>
        <w:t>regulatory proposal </w:t>
      </w:r>
      <w:r>
        <w:rPr>
          <w:sz w:val="24"/>
        </w:rPr>
        <w:t>in respect of the second </w:t>
      </w:r>
      <w:r>
        <w:rPr>
          <w:i/>
          <w:sz w:val="24"/>
        </w:rPr>
        <w:t>regulatory control period </w:t>
      </w:r>
      <w:r>
        <w:rPr>
          <w:sz w:val="24"/>
        </w:rPr>
        <w:t>must not include in the forecast of required capital expenditure referred to in paragraph (a) any capital expenditure for a </w:t>
      </w:r>
      <w:r>
        <w:rPr>
          <w:i/>
          <w:sz w:val="24"/>
        </w:rPr>
        <w:t>contingent project </w:t>
      </w:r>
      <w:r>
        <w:rPr>
          <w:sz w:val="24"/>
        </w:rPr>
        <w:t>for the first </w:t>
      </w:r>
      <w:r>
        <w:rPr>
          <w:i/>
          <w:sz w:val="24"/>
        </w:rPr>
        <w:t>regulatory control</w:t>
      </w:r>
      <w:r>
        <w:rPr>
          <w:i/>
          <w:spacing w:val="-3"/>
          <w:sz w:val="24"/>
        </w:rPr>
        <w:t> </w:t>
      </w:r>
      <w:r>
        <w:rPr>
          <w:i/>
          <w:sz w:val="24"/>
        </w:rPr>
        <w:t>period</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to the extent that the capital expenditure was included in the amount of capital expenditure for that </w:t>
      </w:r>
      <w:r>
        <w:rPr>
          <w:i/>
          <w:sz w:val="24"/>
        </w:rPr>
        <w:t>contingent project </w:t>
      </w:r>
      <w:r>
        <w:rPr>
          <w:sz w:val="24"/>
        </w:rPr>
        <w:t>as determined in the first </w:t>
      </w:r>
      <w:r>
        <w:rPr>
          <w:i/>
          <w:sz w:val="24"/>
        </w:rPr>
        <w:t>regulatory control period </w:t>
      </w:r>
      <w:r>
        <w:rPr>
          <w:sz w:val="24"/>
        </w:rPr>
        <w:t>under clause 6.6A.2(e)(1)(i);</w:t>
      </w:r>
      <w:r>
        <w:rPr>
          <w:spacing w:val="-7"/>
          <w:sz w:val="24"/>
        </w:rPr>
        <w:t> </w:t>
      </w:r>
      <w:r>
        <w:rPr>
          <w:sz w:val="24"/>
        </w:rPr>
        <w:t>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capital expenditure actually incurred (or estimated capital expenditure for any part of the first </w:t>
      </w:r>
      <w:r>
        <w:rPr>
          <w:i/>
          <w:sz w:val="24"/>
        </w:rPr>
        <w:t>regulatory control period</w:t>
      </w:r>
      <w:r>
        <w:rPr>
          <w:i/>
          <w:spacing w:val="18"/>
          <w:sz w:val="24"/>
        </w:rPr>
        <w:t> </w:t>
      </w:r>
      <w:r>
        <w:rPr>
          <w:sz w:val="24"/>
        </w:rPr>
        <w:t>for which actual capital expenditure is not available) in the first </w:t>
      </w:r>
      <w:r>
        <w:rPr>
          <w:i/>
          <w:sz w:val="24"/>
        </w:rPr>
        <w:t>regulatory control period </w:t>
      </w:r>
      <w:r>
        <w:rPr>
          <w:sz w:val="24"/>
        </w:rPr>
        <w:t>for that </w:t>
      </w:r>
      <w:r>
        <w:rPr>
          <w:i/>
          <w:sz w:val="24"/>
        </w:rPr>
        <w:t>contingent project </w:t>
      </w:r>
      <w:r>
        <w:rPr>
          <w:sz w:val="24"/>
        </w:rPr>
        <w:t>exceeded</w:t>
      </w:r>
      <w:r>
        <w:rPr>
          <w:spacing w:val="35"/>
          <w:sz w:val="24"/>
        </w:rPr>
        <w:t> </w:t>
      </w:r>
      <w:r>
        <w:rPr>
          <w:sz w:val="24"/>
        </w:rPr>
        <w:t>the capital expenditure referred to in subparagraph</w:t>
      </w:r>
      <w:r>
        <w:rPr>
          <w:spacing w:val="-1"/>
          <w:sz w:val="24"/>
        </w:rPr>
        <w:t> </w:t>
      </w:r>
      <w:r>
        <w:rPr>
          <w:sz w:val="24"/>
        </w:rPr>
        <w:t>(1).</w:t>
      </w:r>
    </w:p>
    <w:p>
      <w:pPr>
        <w:pStyle w:val="BodyText"/>
        <w:spacing w:before="10"/>
        <w:ind w:firstLine="0"/>
        <w:jc w:val="left"/>
        <w:rPr>
          <w:sz w:val="20"/>
        </w:rPr>
      </w:pPr>
    </w:p>
    <w:p>
      <w:pPr>
        <w:pStyle w:val="Heading4"/>
        <w:numPr>
          <w:ilvl w:val="2"/>
          <w:numId w:val="394"/>
        </w:numPr>
        <w:tabs>
          <w:tab w:pos="1351" w:val="left" w:leader="none"/>
          <w:tab w:pos="1352" w:val="left" w:leader="none"/>
        </w:tabs>
        <w:spacing w:line="240" w:lineRule="auto" w:before="0" w:after="0"/>
        <w:ind w:left="1351" w:right="0" w:hanging="1134"/>
        <w:jc w:val="left"/>
      </w:pPr>
      <w:bookmarkStart w:name="6.5.8 Efficiency benefit sharing scheme" w:id="1349"/>
      <w:bookmarkEnd w:id="1349"/>
      <w:r>
        <w:rPr>
          <w:b w:val="0"/>
        </w:rPr>
      </w:r>
      <w:bookmarkStart w:name="_bookmark549" w:id="1350"/>
      <w:bookmarkEnd w:id="1350"/>
      <w:r>
        <w:rPr>
          <w:b w:val="0"/>
        </w:rPr>
      </w:r>
      <w:bookmarkStart w:name="_bookmark549" w:id="1351"/>
      <w:bookmarkEnd w:id="1351"/>
      <w:r>
        <w:rPr/>
        <w:t>Efficiency</w:t>
      </w:r>
      <w:r>
        <w:rPr/>
        <w:t> benefit sharing</w:t>
      </w:r>
      <w:r>
        <w:rPr>
          <w:spacing w:val="-2"/>
        </w:rPr>
        <w:t> </w:t>
      </w:r>
      <w:r>
        <w:rPr/>
        <w:t>scheme</w:t>
      </w:r>
    </w:p>
    <w:p>
      <w:pPr>
        <w:pStyle w:val="ListParagraph"/>
        <w:numPr>
          <w:ilvl w:val="3"/>
          <w:numId w:val="39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and </w:t>
      </w:r>
      <w:r>
        <w:rPr>
          <w:i/>
          <w:sz w:val="24"/>
        </w:rPr>
        <w:t>publish </w:t>
      </w:r>
      <w:r>
        <w:rPr>
          <w:sz w:val="24"/>
        </w:rPr>
        <w:t>an incentive scheme or schemes (</w:t>
      </w:r>
      <w:r>
        <w:rPr>
          <w:i/>
          <w:sz w:val="24"/>
        </w:rPr>
        <w:t>efficiency</w:t>
      </w:r>
      <w:r>
        <w:rPr>
          <w:i/>
          <w:spacing w:val="32"/>
          <w:sz w:val="24"/>
        </w:rPr>
        <w:t> </w:t>
      </w:r>
      <w:r>
        <w:rPr>
          <w:i/>
          <w:sz w:val="24"/>
        </w:rPr>
        <w:t>benefit </w:t>
      </w:r>
      <w:r>
        <w:rPr>
          <w:i/>
          <w:sz w:val="24"/>
        </w:rPr>
        <w:t>sharing scheme</w:t>
      </w:r>
      <w:r>
        <w:rPr>
          <w:sz w:val="24"/>
        </w:rPr>
        <w:t>) that provide for a fair sharing between </w:t>
      </w:r>
      <w:r>
        <w:rPr>
          <w:i/>
          <w:sz w:val="24"/>
        </w:rPr>
        <w:t>Distribution </w:t>
      </w:r>
      <w:r>
        <w:rPr>
          <w:i/>
          <w:sz w:val="24"/>
        </w:rPr>
        <w:t>Network Service Providers </w:t>
      </w:r>
      <w:r>
        <w:rPr>
          <w:sz w:val="24"/>
        </w:rPr>
        <w:t>and </w:t>
      </w:r>
      <w:r>
        <w:rPr>
          <w:i/>
          <w:sz w:val="24"/>
        </w:rPr>
        <w:t>Distribution Network Users</w:t>
      </w:r>
      <w:r>
        <w:rPr>
          <w:i/>
          <w:spacing w:val="-4"/>
          <w:sz w:val="24"/>
        </w:rPr>
        <w:t> </w:t>
      </w:r>
      <w:r>
        <w:rPr>
          <w:sz w:val="24"/>
        </w:rPr>
        <w:t>of:</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the efficiency gains derived from the operating expenditure of </w:t>
      </w:r>
      <w:r>
        <w:rPr>
          <w:i/>
          <w:sz w:val="24"/>
        </w:rPr>
        <w:t>Distribution Network Service Providers </w:t>
      </w:r>
      <w:r>
        <w:rPr>
          <w:sz w:val="24"/>
        </w:rPr>
        <w:t>for a </w:t>
      </w:r>
      <w:r>
        <w:rPr>
          <w:i/>
          <w:sz w:val="24"/>
        </w:rPr>
        <w:t>regulatory control </w:t>
      </w:r>
      <w:r>
        <w:rPr>
          <w:i/>
          <w:sz w:val="24"/>
        </w:rPr>
        <w:t>period </w:t>
      </w:r>
      <w:r>
        <w:rPr>
          <w:sz w:val="24"/>
        </w:rPr>
        <w:t>being less than;</w:t>
      </w:r>
      <w:r>
        <w:rPr>
          <w:spacing w:val="-1"/>
          <w:sz w:val="24"/>
        </w:rPr>
        <w:t> </w:t>
      </w:r>
      <w:r>
        <w:rPr>
          <w:sz w:val="24"/>
        </w:rPr>
        <w:t>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efficiency losses derived from the operating expenditure </w:t>
      </w:r>
      <w:r>
        <w:rPr>
          <w:spacing w:val="-6"/>
          <w:sz w:val="24"/>
        </w:rPr>
        <w:t>of </w:t>
      </w:r>
      <w:r>
        <w:rPr>
          <w:i/>
          <w:sz w:val="24"/>
        </w:rPr>
        <w:t>Distribution Network Service Providers </w:t>
      </w:r>
      <w:r>
        <w:rPr>
          <w:sz w:val="24"/>
        </w:rPr>
        <w:t>for a </w:t>
      </w:r>
      <w:r>
        <w:rPr>
          <w:i/>
          <w:sz w:val="24"/>
        </w:rPr>
        <w:t>regulatory control </w:t>
      </w:r>
      <w:r>
        <w:rPr>
          <w:i/>
          <w:sz w:val="24"/>
        </w:rPr>
        <w:t>period </w:t>
      </w:r>
      <w:r>
        <w:rPr>
          <w:sz w:val="24"/>
        </w:rPr>
        <w:t>being more</w:t>
      </w:r>
      <w:r>
        <w:rPr>
          <w:spacing w:val="-1"/>
          <w:sz w:val="24"/>
        </w:rPr>
        <w:t> </w:t>
      </w:r>
      <w:r>
        <w:rPr>
          <w:sz w:val="24"/>
        </w:rPr>
        <w:t>than,</w:t>
      </w:r>
    </w:p>
    <w:p>
      <w:pPr>
        <w:spacing w:before="120"/>
        <w:ind w:left="1919" w:right="416" w:firstLine="0"/>
        <w:jc w:val="both"/>
        <w:rPr>
          <w:sz w:val="24"/>
        </w:rPr>
      </w:pPr>
      <w:r>
        <w:rPr>
          <w:sz w:val="24"/>
        </w:rPr>
        <w:t>the forecast operating expenditure accepted or substituted by the </w:t>
      </w:r>
      <w:r>
        <w:rPr>
          <w:i/>
          <w:sz w:val="24"/>
        </w:rPr>
        <w:t>AER </w:t>
      </w:r>
      <w:r>
        <w:rPr>
          <w:sz w:val="24"/>
        </w:rPr>
        <w:t>for that </w:t>
      </w:r>
      <w:r>
        <w:rPr>
          <w:i/>
          <w:sz w:val="24"/>
        </w:rPr>
        <w:t>regulatory control period</w:t>
      </w:r>
      <w:r>
        <w:rPr>
          <w:sz w:val="24"/>
        </w:rPr>
        <w:t>.</w:t>
      </w:r>
    </w:p>
    <w:p>
      <w:pPr>
        <w:pStyle w:val="ListParagraph"/>
        <w:numPr>
          <w:ilvl w:val="3"/>
          <w:numId w:val="394"/>
        </w:numPr>
        <w:tabs>
          <w:tab w:pos="1919" w:val="left" w:leader="none"/>
        </w:tabs>
        <w:spacing w:line="240" w:lineRule="auto" w:before="120" w:after="0"/>
        <w:ind w:left="1919" w:right="416" w:hanging="567"/>
        <w:jc w:val="both"/>
        <w:rPr>
          <w:sz w:val="24"/>
        </w:rPr>
      </w:pPr>
      <w:r>
        <w:rPr>
          <w:sz w:val="24"/>
        </w:rPr>
        <w:t>An </w:t>
      </w:r>
      <w:r>
        <w:rPr>
          <w:i/>
          <w:sz w:val="24"/>
        </w:rPr>
        <w:t>efficiency benefit sharing scheme </w:t>
      </w:r>
      <w:r>
        <w:rPr>
          <w:sz w:val="24"/>
        </w:rPr>
        <w:t>may (but is not required to) be developed to cover efficiency gains and losses related to </w:t>
      </w:r>
      <w:r>
        <w:rPr>
          <w:i/>
          <w:sz w:val="24"/>
        </w:rPr>
        <w:t>distribution</w:t>
      </w:r>
      <w:r>
        <w:rPr>
          <w:i/>
          <w:spacing w:val="-8"/>
          <w:sz w:val="24"/>
        </w:rPr>
        <w:t> </w:t>
      </w:r>
      <w:r>
        <w:rPr>
          <w:i/>
          <w:sz w:val="24"/>
        </w:rPr>
        <w:t>losses</w:t>
      </w:r>
      <w:r>
        <w:rPr>
          <w:sz w:val="24"/>
        </w:rPr>
        <w:t>.</w:t>
      </w:r>
    </w:p>
    <w:p>
      <w:pPr>
        <w:pStyle w:val="ListParagraph"/>
        <w:numPr>
          <w:ilvl w:val="3"/>
          <w:numId w:val="394"/>
        </w:numPr>
        <w:tabs>
          <w:tab w:pos="1919" w:val="left" w:leader="none"/>
        </w:tabs>
        <w:spacing w:line="240" w:lineRule="auto" w:before="120" w:after="0"/>
        <w:ind w:left="1918" w:right="0" w:hanging="567"/>
        <w:jc w:val="both"/>
        <w:rPr>
          <w:sz w:val="24"/>
        </w:rPr>
      </w:pPr>
      <w:r>
        <w:rPr>
          <w:sz w:val="24"/>
        </w:rPr>
        <w:t>In</w:t>
      </w:r>
      <w:r>
        <w:rPr>
          <w:spacing w:val="30"/>
          <w:sz w:val="24"/>
        </w:rPr>
        <w:t> </w:t>
      </w:r>
      <w:r>
        <w:rPr>
          <w:sz w:val="24"/>
        </w:rPr>
        <w:t>developing</w:t>
      </w:r>
      <w:r>
        <w:rPr>
          <w:spacing w:val="31"/>
          <w:sz w:val="24"/>
        </w:rPr>
        <w:t> </w:t>
      </w:r>
      <w:r>
        <w:rPr>
          <w:sz w:val="24"/>
        </w:rPr>
        <w:t>and</w:t>
      </w:r>
      <w:r>
        <w:rPr>
          <w:spacing w:val="31"/>
          <w:sz w:val="24"/>
        </w:rPr>
        <w:t> </w:t>
      </w:r>
      <w:r>
        <w:rPr>
          <w:sz w:val="24"/>
        </w:rPr>
        <w:t>implementing</w:t>
      </w:r>
      <w:r>
        <w:rPr>
          <w:spacing w:val="31"/>
          <w:sz w:val="24"/>
        </w:rPr>
        <w:t> </w:t>
      </w:r>
      <w:r>
        <w:rPr>
          <w:sz w:val="24"/>
        </w:rPr>
        <w:t>an</w:t>
      </w:r>
      <w:r>
        <w:rPr>
          <w:spacing w:val="31"/>
          <w:sz w:val="24"/>
        </w:rPr>
        <w:t> </w:t>
      </w:r>
      <w:r>
        <w:rPr>
          <w:i/>
          <w:sz w:val="24"/>
        </w:rPr>
        <w:t>efficiency</w:t>
      </w:r>
      <w:r>
        <w:rPr>
          <w:i/>
          <w:spacing w:val="31"/>
          <w:sz w:val="24"/>
        </w:rPr>
        <w:t> </w:t>
      </w:r>
      <w:r>
        <w:rPr>
          <w:i/>
          <w:sz w:val="24"/>
        </w:rPr>
        <w:t>benefit</w:t>
      </w:r>
      <w:r>
        <w:rPr>
          <w:i/>
          <w:spacing w:val="31"/>
          <w:sz w:val="24"/>
        </w:rPr>
        <w:t> </w:t>
      </w:r>
      <w:r>
        <w:rPr>
          <w:i/>
          <w:sz w:val="24"/>
        </w:rPr>
        <w:t>sharing</w:t>
      </w:r>
      <w:r>
        <w:rPr>
          <w:i/>
          <w:spacing w:val="31"/>
          <w:sz w:val="24"/>
        </w:rPr>
        <w:t> </w:t>
      </w:r>
      <w:r>
        <w:rPr>
          <w:i/>
          <w:sz w:val="24"/>
        </w:rPr>
        <w:t>scheme</w:t>
      </w:r>
      <w:r>
        <w:rPr>
          <w:sz w:val="24"/>
        </w:rPr>
        <w:t>,</w:t>
      </w:r>
      <w:r>
        <w:rPr>
          <w:spacing w:val="31"/>
          <w:sz w:val="24"/>
        </w:rPr>
        <w:t> </w:t>
      </w:r>
      <w:r>
        <w:rPr>
          <w:sz w:val="24"/>
        </w:rPr>
        <w:t>the</w:t>
      </w:r>
    </w:p>
    <w:p>
      <w:pPr>
        <w:pStyle w:val="BodyText"/>
        <w:spacing w:before="0"/>
        <w:ind w:left="1919" w:firstLine="0"/>
      </w:pPr>
      <w:r>
        <w:rPr>
          <w:i/>
        </w:rPr>
        <w:t>AER </w:t>
      </w:r>
      <w:r>
        <w:rPr/>
        <w:t>must have regard to:</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need to ensure that benefits to electricity consumers likely to result from the scheme are sufficient to warrant any reward or penalty under the scheme for </w:t>
      </w:r>
      <w:r>
        <w:rPr>
          <w:i/>
          <w:sz w:val="24"/>
        </w:rPr>
        <w:t>Distribution Network Service</w:t>
      </w:r>
      <w:r>
        <w:rPr>
          <w:i/>
          <w:spacing w:val="-6"/>
          <w:sz w:val="24"/>
        </w:rPr>
        <w:t> </w:t>
      </w:r>
      <w:r>
        <w:rPr>
          <w:i/>
          <w:sz w:val="24"/>
        </w:rPr>
        <w:t>Providers</w:t>
      </w:r>
      <w:r>
        <w:rPr>
          <w:sz w:val="24"/>
        </w:rPr>
        <w:t>;</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need to provide </w:t>
      </w:r>
      <w:r>
        <w:rPr>
          <w:i/>
          <w:sz w:val="24"/>
        </w:rPr>
        <w:t>Distribution Network Service Providers </w:t>
      </w:r>
      <w:r>
        <w:rPr>
          <w:sz w:val="24"/>
        </w:rPr>
        <w:t>with a continuous incentive, so far as is consistent with economic efficiency, to reduce operating expenditure</w:t>
      </w:r>
      <w:r>
        <w:rPr>
          <w:spacing w:val="-2"/>
          <w:sz w:val="24"/>
        </w:rPr>
        <w:t> </w:t>
      </w:r>
      <w:r>
        <w:rPr>
          <w:sz w:val="24"/>
        </w:rPr>
        <w:t>;</w:t>
      </w:r>
    </w:p>
    <w:p>
      <w:pPr>
        <w:pStyle w:val="ListParagraph"/>
        <w:numPr>
          <w:ilvl w:val="4"/>
          <w:numId w:val="394"/>
        </w:numPr>
        <w:tabs>
          <w:tab w:pos="2486" w:val="left" w:leader="none"/>
        </w:tabs>
        <w:spacing w:line="240" w:lineRule="auto" w:before="120" w:after="0"/>
        <w:ind w:left="2486" w:right="415" w:hanging="567"/>
        <w:jc w:val="both"/>
        <w:rPr>
          <w:sz w:val="24"/>
        </w:rPr>
      </w:pPr>
      <w:r>
        <w:rPr>
          <w:sz w:val="24"/>
        </w:rPr>
        <w:t>the desirability of both rewarding </w:t>
      </w:r>
      <w:r>
        <w:rPr>
          <w:i/>
          <w:sz w:val="24"/>
        </w:rPr>
        <w:t>Distribution Network Service </w:t>
      </w:r>
      <w:r>
        <w:rPr>
          <w:i/>
          <w:sz w:val="24"/>
        </w:rPr>
        <w:t>Providers </w:t>
      </w:r>
      <w:r>
        <w:rPr>
          <w:sz w:val="24"/>
        </w:rPr>
        <w:t>for efficiency gains and penalising </w:t>
      </w:r>
      <w:r>
        <w:rPr>
          <w:i/>
          <w:sz w:val="24"/>
        </w:rPr>
        <w:t>Distribution Network </w:t>
      </w:r>
      <w:r>
        <w:rPr>
          <w:i/>
          <w:sz w:val="24"/>
        </w:rPr>
        <w:t>Service Providers </w:t>
      </w:r>
      <w:r>
        <w:rPr>
          <w:sz w:val="24"/>
        </w:rPr>
        <w:t>for efficiency</w:t>
      </w:r>
      <w:r>
        <w:rPr>
          <w:spacing w:val="-2"/>
          <w:sz w:val="24"/>
        </w:rPr>
        <w:t> </w:t>
      </w:r>
      <w:r>
        <w:rPr>
          <w:sz w:val="24"/>
        </w:rPr>
        <w:t>losses;</w:t>
      </w:r>
    </w:p>
    <w:p>
      <w:pPr>
        <w:pStyle w:val="ListParagraph"/>
        <w:numPr>
          <w:ilvl w:val="4"/>
          <w:numId w:val="394"/>
        </w:numPr>
        <w:tabs>
          <w:tab w:pos="2486" w:val="left" w:leader="none"/>
        </w:tabs>
        <w:spacing w:line="240" w:lineRule="auto" w:before="120" w:after="0"/>
        <w:ind w:left="2486" w:right="416" w:hanging="567"/>
        <w:jc w:val="both"/>
        <w:rPr>
          <w:sz w:val="24"/>
        </w:rPr>
      </w:pPr>
      <w:r>
        <w:rPr>
          <w:sz w:val="24"/>
        </w:rPr>
        <w:t>any incentives that </w:t>
      </w:r>
      <w:r>
        <w:rPr>
          <w:i/>
          <w:sz w:val="24"/>
        </w:rPr>
        <w:t>Distribution Network Service Providers </w:t>
      </w:r>
      <w:r>
        <w:rPr>
          <w:sz w:val="24"/>
        </w:rPr>
        <w:t>may have to capitalise expenditure;</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394"/>
        </w:numPr>
        <w:tabs>
          <w:tab w:pos="2486" w:val="left" w:leader="none"/>
        </w:tabs>
        <w:spacing w:line="240" w:lineRule="auto" w:before="83" w:after="0"/>
        <w:ind w:left="2486" w:right="415" w:hanging="567"/>
        <w:jc w:val="both"/>
        <w:rPr>
          <w:sz w:val="24"/>
        </w:rPr>
      </w:pPr>
      <w:r>
        <w:rPr>
          <w:sz w:val="24"/>
        </w:rPr>
        <w:t>the possible effects of the scheme on incentives for the implementation of </w:t>
      </w:r>
      <w:r>
        <w:rPr>
          <w:i/>
          <w:sz w:val="24"/>
        </w:rPr>
        <w:t>non-network options</w:t>
      </w:r>
      <w:r>
        <w:rPr>
          <w:i/>
          <w:spacing w:val="-1"/>
          <w:sz w:val="24"/>
        </w:rPr>
        <w:t> </w:t>
      </w:r>
      <w:r>
        <w:rPr>
          <w:sz w:val="24"/>
        </w:rPr>
        <w:t>.</w:t>
      </w:r>
    </w:p>
    <w:p>
      <w:pPr>
        <w:pStyle w:val="ListParagraph"/>
        <w:numPr>
          <w:ilvl w:val="3"/>
          <w:numId w:val="39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from time to time and in accordance with the </w:t>
      </w:r>
      <w:r>
        <w:rPr>
          <w:i/>
          <w:sz w:val="24"/>
        </w:rPr>
        <w:t>distribution </w:t>
      </w:r>
      <w:r>
        <w:rPr>
          <w:i/>
          <w:sz w:val="24"/>
        </w:rPr>
        <w:t>consultation procedures</w:t>
      </w:r>
      <w:r>
        <w:rPr>
          <w:sz w:val="24"/>
        </w:rPr>
        <w:t>, amend or replace an </w:t>
      </w:r>
      <w:r>
        <w:rPr>
          <w:i/>
          <w:sz w:val="24"/>
        </w:rPr>
        <w:t>efficiency benefit sharing </w:t>
      </w:r>
      <w:r>
        <w:rPr>
          <w:i/>
          <w:sz w:val="24"/>
        </w:rPr>
        <w:t>scheme</w:t>
      </w:r>
      <w:r>
        <w:rPr>
          <w:sz w:val="24"/>
        </w:rPr>
        <w:t>.</w:t>
      </w:r>
    </w:p>
    <w:p>
      <w:pPr>
        <w:pStyle w:val="BodyText"/>
        <w:ind w:left="1352" w:firstLine="0"/>
      </w:pPr>
      <w:r>
        <w:rPr/>
        <w:t>(da) For the application of these </w:t>
      </w:r>
      <w:r>
        <w:rPr>
          <w:i/>
        </w:rPr>
        <w:t>Rules </w:t>
      </w:r>
      <w:r>
        <w:rPr/>
        <w:t>in this jurisdiction:</w:t>
      </w:r>
    </w:p>
    <w:p>
      <w:pPr>
        <w:pStyle w:val="ListParagraph"/>
        <w:numPr>
          <w:ilvl w:val="4"/>
          <w:numId w:val="394"/>
        </w:numPr>
        <w:tabs>
          <w:tab w:pos="2486" w:val="left" w:leader="none"/>
        </w:tabs>
        <w:spacing w:line="240" w:lineRule="auto" w:before="120" w:after="0"/>
        <w:ind w:left="2485" w:right="0" w:hanging="567"/>
        <w:jc w:val="both"/>
        <w:rPr>
          <w:sz w:val="24"/>
        </w:rPr>
      </w:pPr>
      <w:r>
        <w:rPr>
          <w:sz w:val="24"/>
        </w:rPr>
        <w:t>the </w:t>
      </w:r>
      <w:r>
        <w:rPr>
          <w:i/>
          <w:sz w:val="24"/>
        </w:rPr>
        <w:t>efficiency benefit sharing scheme </w:t>
      </w:r>
      <w:r>
        <w:rPr>
          <w:sz w:val="24"/>
        </w:rPr>
        <w:t>that is in force in the</w:t>
      </w:r>
      <w:r>
        <w:rPr>
          <w:spacing w:val="48"/>
          <w:sz w:val="24"/>
        </w:rPr>
        <w:t> </w:t>
      </w:r>
      <w:r>
        <w:rPr>
          <w:sz w:val="24"/>
        </w:rPr>
        <w:t>other</w:t>
      </w:r>
    </w:p>
    <w:p>
      <w:pPr>
        <w:spacing w:before="0"/>
        <w:ind w:left="2486" w:right="0" w:firstLine="0"/>
        <w:jc w:val="both"/>
        <w:rPr>
          <w:sz w:val="24"/>
        </w:rPr>
      </w:pPr>
      <w:r>
        <w:rPr>
          <w:i/>
          <w:sz w:val="24"/>
        </w:rPr>
        <w:t>participating jurisdictions </w:t>
      </w:r>
      <w:r>
        <w:rPr>
          <w:sz w:val="24"/>
        </w:rPr>
        <w:t>on 1 July 2016 is taken:</w:t>
      </w:r>
    </w:p>
    <w:p>
      <w:pPr>
        <w:pStyle w:val="ListParagraph"/>
        <w:numPr>
          <w:ilvl w:val="5"/>
          <w:numId w:val="394"/>
        </w:numPr>
        <w:tabs>
          <w:tab w:pos="3053" w:val="left" w:leader="none"/>
        </w:tabs>
        <w:spacing w:line="240" w:lineRule="auto" w:before="120" w:after="0"/>
        <w:ind w:left="3053" w:right="415" w:hanging="567"/>
        <w:jc w:val="both"/>
        <w:rPr>
          <w:sz w:val="24"/>
        </w:rPr>
      </w:pPr>
      <w:r>
        <w:rPr>
          <w:sz w:val="24"/>
        </w:rPr>
        <w:t>to be the </w:t>
      </w:r>
      <w:r>
        <w:rPr>
          <w:i/>
          <w:sz w:val="24"/>
        </w:rPr>
        <w:t>efficiency benefit sharing scheme </w:t>
      </w:r>
      <w:r>
        <w:rPr>
          <w:sz w:val="24"/>
        </w:rPr>
        <w:t>in force in this jurisdiction (subject to any amendment or replacement </w:t>
      </w:r>
      <w:r>
        <w:rPr>
          <w:spacing w:val="-3"/>
          <w:sz w:val="24"/>
        </w:rPr>
        <w:t>under </w:t>
      </w:r>
      <w:r>
        <w:rPr>
          <w:sz w:val="24"/>
        </w:rPr>
        <w:t>these </w:t>
      </w:r>
      <w:r>
        <w:rPr>
          <w:i/>
          <w:sz w:val="24"/>
        </w:rPr>
        <w:t>Rules</w:t>
      </w:r>
      <w:r>
        <w:rPr>
          <w:sz w:val="24"/>
        </w:rPr>
        <w:t>);</w:t>
      </w:r>
      <w:r>
        <w:rPr>
          <w:spacing w:val="-1"/>
          <w:sz w:val="24"/>
        </w:rPr>
        <w:t> </w:t>
      </w:r>
      <w:r>
        <w:rPr>
          <w:sz w:val="24"/>
        </w:rPr>
        <w:t>and</w:t>
      </w:r>
    </w:p>
    <w:p>
      <w:pPr>
        <w:pStyle w:val="ListParagraph"/>
        <w:numPr>
          <w:ilvl w:val="5"/>
          <w:numId w:val="394"/>
        </w:numPr>
        <w:tabs>
          <w:tab w:pos="3054" w:val="left" w:leader="none"/>
        </w:tabs>
        <w:spacing w:line="240" w:lineRule="auto" w:before="120" w:after="0"/>
        <w:ind w:left="3053" w:right="416" w:hanging="567"/>
        <w:jc w:val="both"/>
        <w:rPr>
          <w:sz w:val="24"/>
        </w:rPr>
      </w:pPr>
      <w:r>
        <w:rPr>
          <w:sz w:val="24"/>
        </w:rPr>
        <w:t>to have been developed and </w:t>
      </w:r>
      <w:r>
        <w:rPr>
          <w:i/>
          <w:sz w:val="24"/>
        </w:rPr>
        <w:t>published </w:t>
      </w:r>
      <w:r>
        <w:rPr>
          <w:sz w:val="24"/>
        </w:rPr>
        <w:t>by the </w:t>
      </w:r>
      <w:r>
        <w:rPr>
          <w:i/>
          <w:sz w:val="24"/>
        </w:rPr>
        <w:t>AER </w:t>
      </w:r>
      <w:r>
        <w:rPr>
          <w:sz w:val="24"/>
        </w:rPr>
        <w:t>on 1 July 2016; and</w:t>
      </w:r>
    </w:p>
    <w:p>
      <w:pPr>
        <w:pStyle w:val="ListParagraph"/>
        <w:numPr>
          <w:ilvl w:val="4"/>
          <w:numId w:val="394"/>
        </w:numPr>
        <w:tabs>
          <w:tab w:pos="2486" w:val="left" w:leader="none"/>
        </w:tabs>
        <w:spacing w:line="240" w:lineRule="auto" w:before="120" w:after="0"/>
        <w:ind w:left="2486" w:right="414" w:hanging="567"/>
        <w:jc w:val="both"/>
        <w:rPr>
          <w:sz w:val="24"/>
        </w:rPr>
      </w:pPr>
      <w:r>
        <w:rPr>
          <w:sz w:val="24"/>
        </w:rPr>
        <w:t>the </w:t>
      </w:r>
      <w:r>
        <w:rPr>
          <w:i/>
          <w:sz w:val="24"/>
        </w:rPr>
        <w:t>AER </w:t>
      </w:r>
      <w:r>
        <w:rPr>
          <w:sz w:val="24"/>
        </w:rPr>
        <w:t>is taken to have complied with the requirements of paragraphs (a) and (c) in developing and </w:t>
      </w:r>
      <w:r>
        <w:rPr>
          <w:i/>
          <w:sz w:val="24"/>
        </w:rPr>
        <w:t>publishing </w:t>
      </w:r>
      <w:r>
        <w:rPr>
          <w:sz w:val="24"/>
        </w:rPr>
        <w:t>the</w:t>
      </w:r>
      <w:r>
        <w:rPr>
          <w:spacing w:val="39"/>
          <w:sz w:val="24"/>
        </w:rPr>
        <w:t> </w:t>
      </w:r>
      <w:r>
        <w:rPr>
          <w:i/>
          <w:spacing w:val="-3"/>
          <w:sz w:val="24"/>
        </w:rPr>
        <w:t>efficiency </w:t>
      </w:r>
      <w:r>
        <w:rPr>
          <w:i/>
          <w:sz w:val="24"/>
        </w:rPr>
        <w:t>benefit sharing</w:t>
      </w:r>
      <w:r>
        <w:rPr>
          <w:i/>
          <w:spacing w:val="-2"/>
          <w:sz w:val="24"/>
        </w:rPr>
        <w:t> </w:t>
      </w:r>
      <w:r>
        <w:rPr>
          <w:i/>
          <w:sz w:val="24"/>
        </w:rPr>
        <w:t>scheme</w:t>
      </w:r>
      <w:r>
        <w:rPr>
          <w:sz w:val="24"/>
        </w:rPr>
        <w:t>.</w:t>
      </w:r>
    </w:p>
    <w:p>
      <w:pPr>
        <w:pStyle w:val="BodyText"/>
        <w:spacing w:before="10"/>
        <w:ind w:firstLine="0"/>
        <w:jc w:val="left"/>
        <w:rPr>
          <w:sz w:val="20"/>
        </w:rPr>
      </w:pPr>
    </w:p>
    <w:p>
      <w:pPr>
        <w:pStyle w:val="Heading4"/>
        <w:numPr>
          <w:ilvl w:val="2"/>
          <w:numId w:val="396"/>
        </w:numPr>
        <w:tabs>
          <w:tab w:pos="753" w:val="left" w:leader="none"/>
          <w:tab w:pos="1351" w:val="left" w:leader="none"/>
        </w:tabs>
        <w:spacing w:line="240" w:lineRule="auto" w:before="0" w:after="0"/>
        <w:ind w:left="752" w:right="0" w:hanging="535"/>
        <w:jc w:val="left"/>
      </w:pPr>
      <w:bookmarkStart w:name="6.5.8A Capital expenditure sharing schem" w:id="1352"/>
      <w:bookmarkEnd w:id="1352"/>
      <w:r>
        <w:rPr>
          <w:b w:val="0"/>
        </w:rPr>
      </w:r>
      <w:bookmarkStart w:name="_bookmark550" w:id="1353"/>
      <w:bookmarkEnd w:id="1353"/>
      <w:r>
        <w:rPr>
          <w:b w:val="0"/>
        </w:rPr>
      </w:r>
      <w:bookmarkStart w:name="_bookmark550" w:id="1354"/>
      <w:bookmarkEnd w:id="1354"/>
      <w:r>
        <w:rPr/>
        <w:t>A</w:t>
      </w:r>
      <w:r>
        <w:rPr/>
        <w:tab/>
        <w:t>Capital expenditure sharing</w:t>
      </w:r>
      <w:r>
        <w:rPr>
          <w:spacing w:val="-5"/>
        </w:rPr>
        <w:t> </w:t>
      </w:r>
      <w:r>
        <w:rPr/>
        <w:t>scheme</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A </w:t>
      </w:r>
      <w:r>
        <w:rPr>
          <w:i/>
          <w:sz w:val="24"/>
        </w:rPr>
        <w:t>capital expenditure sharing scheme </w:t>
      </w:r>
      <w:r>
        <w:rPr>
          <w:sz w:val="24"/>
        </w:rPr>
        <w:t>is a scheme that provides </w:t>
      </w:r>
      <w:r>
        <w:rPr>
          <w:i/>
          <w:sz w:val="24"/>
        </w:rPr>
        <w:t>Distribution </w:t>
      </w:r>
      <w:r>
        <w:rPr>
          <w:i/>
          <w:sz w:val="24"/>
        </w:rPr>
        <w:t>Network Service Providers </w:t>
      </w:r>
      <w:r>
        <w:rPr>
          <w:sz w:val="24"/>
        </w:rPr>
        <w:t>with an incentive to undertake efficient capital expenditure during a </w:t>
      </w:r>
      <w:r>
        <w:rPr>
          <w:i/>
          <w:sz w:val="24"/>
        </w:rPr>
        <w:t>regulatory control</w:t>
      </w:r>
      <w:r>
        <w:rPr>
          <w:i/>
          <w:spacing w:val="-3"/>
          <w:sz w:val="24"/>
        </w:rPr>
        <w:t> </w:t>
      </w:r>
      <w:r>
        <w:rPr>
          <w:i/>
          <w:sz w:val="24"/>
        </w:rPr>
        <w:t>period</w:t>
      </w:r>
      <w:r>
        <w:rPr>
          <w:sz w:val="24"/>
        </w:rPr>
        <w:t>.</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develops a </w:t>
      </w:r>
      <w:r>
        <w:rPr>
          <w:i/>
          <w:sz w:val="24"/>
        </w:rPr>
        <w:t>capital expenditure sharing scheme </w:t>
      </w:r>
      <w:r>
        <w:rPr>
          <w:sz w:val="24"/>
        </w:rPr>
        <w:t>in accordance with this clause, the </w:t>
      </w:r>
      <w:r>
        <w:rPr>
          <w:i/>
          <w:sz w:val="24"/>
        </w:rPr>
        <w:t>capital expenditure sharing scheme </w:t>
      </w:r>
      <w:r>
        <w:rPr>
          <w:sz w:val="24"/>
        </w:rPr>
        <w:t>must be consistent with the </w:t>
      </w:r>
      <w:r>
        <w:rPr>
          <w:i/>
          <w:sz w:val="24"/>
        </w:rPr>
        <w:t>capital expenditure incentive</w:t>
      </w:r>
      <w:r>
        <w:rPr>
          <w:i/>
          <w:spacing w:val="-2"/>
          <w:sz w:val="24"/>
        </w:rPr>
        <w:t> </w:t>
      </w:r>
      <w:r>
        <w:rPr>
          <w:i/>
          <w:sz w:val="24"/>
        </w:rPr>
        <w:t>objective</w:t>
      </w:r>
      <w:r>
        <w:rPr>
          <w:sz w:val="24"/>
        </w:rPr>
        <w:t>.</w:t>
      </w:r>
    </w:p>
    <w:p>
      <w:pPr>
        <w:pStyle w:val="ListParagraph"/>
        <w:numPr>
          <w:ilvl w:val="3"/>
          <w:numId w:val="396"/>
        </w:numPr>
        <w:tabs>
          <w:tab w:pos="1919" w:val="left" w:leader="none"/>
        </w:tabs>
        <w:spacing w:line="240" w:lineRule="auto" w:before="120" w:after="0"/>
        <w:ind w:left="1919" w:right="414" w:hanging="567"/>
        <w:jc w:val="both"/>
        <w:rPr>
          <w:sz w:val="24"/>
        </w:rPr>
      </w:pPr>
      <w:r>
        <w:rPr>
          <w:sz w:val="24"/>
        </w:rPr>
        <w:t>In developing a </w:t>
      </w:r>
      <w:r>
        <w:rPr>
          <w:i/>
          <w:sz w:val="24"/>
        </w:rPr>
        <w:t>capital expenditure sharing scheme</w:t>
      </w:r>
      <w:r>
        <w:rPr>
          <w:sz w:val="24"/>
        </w:rPr>
        <w:t>, the </w:t>
      </w:r>
      <w:r>
        <w:rPr>
          <w:i/>
          <w:sz w:val="24"/>
        </w:rPr>
        <w:t>AER </w:t>
      </w:r>
      <w:r>
        <w:rPr>
          <w:sz w:val="24"/>
        </w:rPr>
        <w:t>must take into account the following principles (the </w:t>
      </w:r>
      <w:r>
        <w:rPr>
          <w:i/>
          <w:sz w:val="24"/>
        </w:rPr>
        <w:t>capital expenditure sharing scheme </w:t>
      </w:r>
      <w:r>
        <w:rPr>
          <w:i/>
          <w:sz w:val="24"/>
        </w:rPr>
        <w:t>principles</w:t>
      </w:r>
      <w:r>
        <w:rPr>
          <w:sz w:val="24"/>
        </w:rPr>
        <w:t>):</w:t>
      </w:r>
    </w:p>
    <w:p>
      <w:pPr>
        <w:pStyle w:val="ListParagraph"/>
        <w:numPr>
          <w:ilvl w:val="4"/>
          <w:numId w:val="396"/>
        </w:numPr>
        <w:tabs>
          <w:tab w:pos="2486" w:val="left" w:leader="none"/>
        </w:tabs>
        <w:spacing w:line="240" w:lineRule="auto" w:before="120" w:after="0"/>
        <w:ind w:left="2486" w:right="415" w:hanging="567"/>
        <w:jc w:val="both"/>
        <w:rPr>
          <w:sz w:val="24"/>
        </w:rPr>
      </w:pPr>
      <w:r>
        <w:rPr>
          <w:i/>
          <w:sz w:val="24"/>
        </w:rPr>
        <w:t>Distribution Network Service Providers </w:t>
      </w:r>
      <w:r>
        <w:rPr>
          <w:sz w:val="24"/>
        </w:rPr>
        <w:t>should be rewarded or penalised for improvements or declines in efficiency of capital expenditure;</w:t>
      </w:r>
      <w:r>
        <w:rPr>
          <w:spacing w:val="-1"/>
          <w:sz w:val="24"/>
        </w:rPr>
        <w:t> </w:t>
      </w:r>
      <w:r>
        <w:rPr>
          <w:sz w:val="24"/>
        </w:rPr>
        <w:t>and</w:t>
      </w:r>
    </w:p>
    <w:p>
      <w:pPr>
        <w:pStyle w:val="ListParagraph"/>
        <w:numPr>
          <w:ilvl w:val="4"/>
          <w:numId w:val="396"/>
        </w:numPr>
        <w:tabs>
          <w:tab w:pos="2486" w:val="left" w:leader="none"/>
        </w:tabs>
        <w:spacing w:line="240" w:lineRule="auto" w:before="120" w:after="0"/>
        <w:ind w:left="2486" w:right="414" w:hanging="567"/>
        <w:jc w:val="both"/>
        <w:rPr>
          <w:sz w:val="24"/>
        </w:rPr>
      </w:pPr>
      <w:r>
        <w:rPr>
          <w:sz w:val="24"/>
        </w:rPr>
        <w:t>the rewards and penalties should be commensurate with the efficiencies or inefficiencies in capital expenditure, but a reward for efficient capital expenditure need not correspond in amount to a penalty for the same amount of inefficient capital</w:t>
      </w:r>
      <w:r>
        <w:rPr>
          <w:spacing w:val="-4"/>
          <w:sz w:val="24"/>
        </w:rPr>
        <w:t> </w:t>
      </w:r>
      <w:r>
        <w:rPr>
          <w:sz w:val="24"/>
        </w:rPr>
        <w:t>expenditure.</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In developing a </w:t>
      </w:r>
      <w:r>
        <w:rPr>
          <w:i/>
          <w:sz w:val="24"/>
        </w:rPr>
        <w:t>capital expenditure sharing scheme</w:t>
      </w:r>
      <w:r>
        <w:rPr>
          <w:sz w:val="24"/>
        </w:rPr>
        <w:t>, the </w:t>
      </w:r>
      <w:r>
        <w:rPr>
          <w:i/>
          <w:sz w:val="24"/>
        </w:rPr>
        <w:t>AER </w:t>
      </w:r>
      <w:r>
        <w:rPr>
          <w:sz w:val="24"/>
        </w:rPr>
        <w:t>must also take into account:</w:t>
      </w:r>
    </w:p>
    <w:p>
      <w:pPr>
        <w:pStyle w:val="ListParagraph"/>
        <w:numPr>
          <w:ilvl w:val="4"/>
          <w:numId w:val="396"/>
        </w:numPr>
        <w:tabs>
          <w:tab w:pos="2486" w:val="left" w:leader="none"/>
        </w:tabs>
        <w:spacing w:line="240" w:lineRule="auto" w:before="120" w:after="0"/>
        <w:ind w:left="2486" w:right="415" w:hanging="567"/>
        <w:jc w:val="both"/>
        <w:rPr>
          <w:sz w:val="24"/>
        </w:rPr>
      </w:pPr>
      <w:r>
        <w:rPr>
          <w:sz w:val="24"/>
        </w:rPr>
        <w:t>the interaction of the scheme with other incentives that </w:t>
      </w:r>
      <w:r>
        <w:rPr>
          <w:i/>
          <w:sz w:val="24"/>
        </w:rPr>
        <w:t>Distribution </w:t>
      </w:r>
      <w:r>
        <w:rPr>
          <w:i/>
          <w:sz w:val="24"/>
        </w:rPr>
        <w:t>Network Service Providers </w:t>
      </w:r>
      <w:r>
        <w:rPr>
          <w:sz w:val="24"/>
        </w:rPr>
        <w:t>may have in relation to undertaking efficient operating or capital expenditure;</w:t>
      </w:r>
      <w:r>
        <w:rPr>
          <w:spacing w:val="-2"/>
          <w:sz w:val="24"/>
        </w:rPr>
        <w:t> </w:t>
      </w:r>
      <w:r>
        <w:rPr>
          <w:sz w:val="24"/>
        </w:rPr>
        <w:t>and</w:t>
      </w:r>
    </w:p>
    <w:p>
      <w:pPr>
        <w:pStyle w:val="ListParagraph"/>
        <w:numPr>
          <w:ilvl w:val="4"/>
          <w:numId w:val="396"/>
        </w:numPr>
        <w:tabs>
          <w:tab w:pos="2486" w:val="left" w:leader="none"/>
        </w:tabs>
        <w:spacing w:line="240" w:lineRule="auto" w:before="120" w:after="0"/>
        <w:ind w:left="2486" w:right="415" w:hanging="567"/>
        <w:jc w:val="both"/>
        <w:rPr>
          <w:sz w:val="24"/>
        </w:rPr>
      </w:pPr>
      <w:r>
        <w:rPr>
          <w:sz w:val="24"/>
        </w:rPr>
        <w:t>the </w:t>
      </w:r>
      <w:r>
        <w:rPr>
          <w:i/>
          <w:sz w:val="24"/>
        </w:rPr>
        <w:t>capital expenditure objectives </w:t>
      </w:r>
      <w:r>
        <w:rPr>
          <w:sz w:val="24"/>
        </w:rPr>
        <w:t>and, if relevant, the </w:t>
      </w:r>
      <w:r>
        <w:rPr>
          <w:i/>
          <w:sz w:val="24"/>
        </w:rPr>
        <w:t>operating </w:t>
      </w:r>
      <w:r>
        <w:rPr>
          <w:i/>
          <w:sz w:val="24"/>
        </w:rPr>
        <w:t>expenditure</w:t>
      </w:r>
      <w:r>
        <w:rPr>
          <w:i/>
          <w:spacing w:val="-1"/>
          <w:sz w:val="24"/>
        </w:rPr>
        <w:t> </w:t>
      </w:r>
      <w:r>
        <w:rPr>
          <w:i/>
          <w:sz w:val="24"/>
        </w:rPr>
        <w:t>objectives</w:t>
      </w:r>
      <w:r>
        <w:rPr>
          <w:sz w:val="24"/>
        </w:rPr>
        <w:t>.</w:t>
      </w:r>
    </w:p>
    <w:p>
      <w:pPr>
        <w:pStyle w:val="ListParagraph"/>
        <w:numPr>
          <w:ilvl w:val="3"/>
          <w:numId w:val="396"/>
        </w:numPr>
        <w:tabs>
          <w:tab w:pos="1919" w:val="left" w:leader="none"/>
        </w:tabs>
        <w:spacing w:line="240" w:lineRule="auto" w:before="120" w:after="0"/>
        <w:ind w:left="1918" w:right="0" w:hanging="567"/>
        <w:jc w:val="both"/>
        <w:rPr>
          <w:sz w:val="24"/>
        </w:rPr>
      </w:pPr>
      <w:r>
        <w:rPr>
          <w:sz w:val="24"/>
        </w:rPr>
        <w:t>In deciding:</w:t>
      </w:r>
    </w:p>
    <w:p>
      <w:pPr>
        <w:spacing w:after="0" w:line="240" w:lineRule="auto"/>
        <w:jc w:val="both"/>
        <w:rPr>
          <w:sz w:val="24"/>
        </w:rPr>
        <w:sectPr>
          <w:pgSz w:w="11910" w:h="16840"/>
          <w:pgMar w:header="686" w:footer="637" w:top="1320" w:bottom="820" w:left="1200" w:right="1000"/>
        </w:sectPr>
      </w:pPr>
    </w:p>
    <w:p>
      <w:pPr>
        <w:pStyle w:val="ListParagraph"/>
        <w:numPr>
          <w:ilvl w:val="4"/>
          <w:numId w:val="396"/>
        </w:numPr>
        <w:tabs>
          <w:tab w:pos="2486" w:val="left" w:leader="none"/>
        </w:tabs>
        <w:spacing w:line="240" w:lineRule="auto" w:before="83" w:after="0"/>
        <w:ind w:left="2486" w:right="415" w:hanging="567"/>
        <w:jc w:val="both"/>
        <w:rPr>
          <w:sz w:val="24"/>
        </w:rPr>
      </w:pPr>
      <w:r>
        <w:rPr>
          <w:sz w:val="24"/>
        </w:rPr>
        <w:t>whether to apply a </w:t>
      </w:r>
      <w:r>
        <w:rPr>
          <w:i/>
          <w:sz w:val="24"/>
        </w:rPr>
        <w:t>capital expenditure sharing scheme </w:t>
      </w:r>
      <w:r>
        <w:rPr>
          <w:sz w:val="24"/>
        </w:rPr>
        <w:t>to a </w:t>
      </w:r>
      <w:r>
        <w:rPr>
          <w:i/>
          <w:sz w:val="24"/>
        </w:rPr>
        <w:t>Distribution Network Service Provider </w:t>
      </w:r>
      <w:r>
        <w:rPr>
          <w:sz w:val="24"/>
        </w:rPr>
        <w:t>for a </w:t>
      </w:r>
      <w:r>
        <w:rPr>
          <w:i/>
          <w:sz w:val="24"/>
        </w:rPr>
        <w:t>regulatory control </w:t>
      </w:r>
      <w:r>
        <w:rPr>
          <w:i/>
          <w:sz w:val="24"/>
        </w:rPr>
        <w:t>period</w:t>
      </w:r>
      <w:r>
        <w:rPr>
          <w:sz w:val="24"/>
        </w:rPr>
        <w:t>; and</w:t>
      </w:r>
    </w:p>
    <w:p>
      <w:pPr>
        <w:pStyle w:val="ListParagraph"/>
        <w:numPr>
          <w:ilvl w:val="4"/>
          <w:numId w:val="396"/>
        </w:numPr>
        <w:tabs>
          <w:tab w:pos="2486" w:val="left" w:leader="none"/>
        </w:tabs>
        <w:spacing w:line="240" w:lineRule="auto" w:before="120" w:after="0"/>
        <w:ind w:left="2486" w:right="416" w:hanging="567"/>
        <w:jc w:val="both"/>
        <w:rPr>
          <w:sz w:val="24"/>
        </w:rPr>
      </w:pPr>
      <w:r>
        <w:rPr>
          <w:sz w:val="24"/>
        </w:rPr>
        <w:t>the nature and details of any </w:t>
      </w:r>
      <w:r>
        <w:rPr>
          <w:i/>
          <w:sz w:val="24"/>
        </w:rPr>
        <w:t>capital expenditure sharing scheme </w:t>
      </w:r>
      <w:r>
        <w:rPr>
          <w:sz w:val="24"/>
        </w:rPr>
        <w:t>that is to apply to a </w:t>
      </w:r>
      <w:r>
        <w:rPr>
          <w:i/>
          <w:sz w:val="24"/>
        </w:rPr>
        <w:t>Distribution Network Service Provider </w:t>
      </w:r>
      <w:r>
        <w:rPr>
          <w:sz w:val="24"/>
        </w:rPr>
        <w:t>for a </w:t>
      </w:r>
      <w:r>
        <w:rPr>
          <w:i/>
          <w:sz w:val="24"/>
        </w:rPr>
        <w:t>regulatory </w:t>
      </w:r>
      <w:r>
        <w:rPr>
          <w:i/>
          <w:sz w:val="24"/>
        </w:rPr>
        <w:t>control period</w:t>
      </w:r>
      <w:r>
        <w:rPr>
          <w:sz w:val="24"/>
        </w:rPr>
        <w:t>,</w:t>
      </w:r>
    </w:p>
    <w:p>
      <w:pPr>
        <w:spacing w:before="120"/>
        <w:ind w:left="1919" w:right="0" w:firstLine="0"/>
        <w:jc w:val="both"/>
        <w:rPr>
          <w:sz w:val="24"/>
        </w:rPr>
      </w:pPr>
      <w:r>
        <w:rPr>
          <w:sz w:val="24"/>
        </w:rPr>
        <w:t>the </w:t>
      </w:r>
      <w:r>
        <w:rPr>
          <w:i/>
          <w:sz w:val="24"/>
        </w:rPr>
        <w:t>AER </w:t>
      </w:r>
      <w:r>
        <w:rPr>
          <w:sz w:val="24"/>
        </w:rPr>
        <w:t>must:</w:t>
      </w:r>
    </w:p>
    <w:p>
      <w:pPr>
        <w:pStyle w:val="ListParagraph"/>
        <w:numPr>
          <w:ilvl w:val="4"/>
          <w:numId w:val="396"/>
        </w:numPr>
        <w:tabs>
          <w:tab w:pos="2486" w:val="left" w:leader="none"/>
        </w:tabs>
        <w:spacing w:line="240" w:lineRule="auto" w:before="120" w:after="0"/>
        <w:ind w:left="2486" w:right="414" w:hanging="567"/>
        <w:jc w:val="both"/>
        <w:rPr>
          <w:sz w:val="24"/>
        </w:rPr>
      </w:pPr>
      <w:r>
        <w:rPr>
          <w:sz w:val="24"/>
        </w:rPr>
        <w:t>make that decision in a manner that contributes to the achievement </w:t>
      </w:r>
      <w:r>
        <w:rPr>
          <w:spacing w:val="-6"/>
          <w:sz w:val="24"/>
        </w:rPr>
        <w:t>of </w:t>
      </w:r>
      <w:r>
        <w:rPr>
          <w:sz w:val="24"/>
        </w:rPr>
        <w:t>the </w:t>
      </w:r>
      <w:r>
        <w:rPr>
          <w:i/>
          <w:sz w:val="24"/>
        </w:rPr>
        <w:t>capital expenditure incentive objective</w:t>
      </w:r>
      <w:r>
        <w:rPr>
          <w:sz w:val="24"/>
        </w:rPr>
        <w:t>;</w:t>
      </w:r>
      <w:r>
        <w:rPr>
          <w:spacing w:val="-1"/>
          <w:sz w:val="24"/>
        </w:rPr>
        <w:t> </w:t>
      </w:r>
      <w:r>
        <w:rPr>
          <w:sz w:val="24"/>
        </w:rPr>
        <w:t>and</w:t>
      </w:r>
    </w:p>
    <w:p>
      <w:pPr>
        <w:pStyle w:val="ListParagraph"/>
        <w:numPr>
          <w:ilvl w:val="4"/>
          <w:numId w:val="396"/>
        </w:numPr>
        <w:tabs>
          <w:tab w:pos="2486" w:val="left" w:leader="none"/>
        </w:tabs>
        <w:spacing w:line="240" w:lineRule="auto" w:before="120" w:after="0"/>
        <w:ind w:left="2485" w:right="0" w:hanging="567"/>
        <w:jc w:val="both"/>
        <w:rPr>
          <w:sz w:val="24"/>
        </w:rPr>
      </w:pPr>
      <w:r>
        <w:rPr>
          <w:sz w:val="24"/>
        </w:rPr>
        <w:t>take into</w:t>
      </w:r>
      <w:r>
        <w:rPr>
          <w:spacing w:val="-1"/>
          <w:sz w:val="24"/>
        </w:rPr>
        <w:t> </w:t>
      </w:r>
      <w:r>
        <w:rPr>
          <w:sz w:val="24"/>
        </w:rPr>
        <w:t>account:</w:t>
      </w:r>
    </w:p>
    <w:p>
      <w:pPr>
        <w:pStyle w:val="ListParagraph"/>
        <w:numPr>
          <w:ilvl w:val="5"/>
          <w:numId w:val="396"/>
        </w:numPr>
        <w:tabs>
          <w:tab w:pos="3053" w:val="left" w:leader="none"/>
        </w:tabs>
        <w:spacing w:line="240" w:lineRule="auto" w:before="120" w:after="0"/>
        <w:ind w:left="3053" w:right="415" w:hanging="567"/>
        <w:jc w:val="both"/>
        <w:rPr>
          <w:sz w:val="24"/>
        </w:rPr>
      </w:pPr>
      <w:r>
        <w:rPr>
          <w:sz w:val="24"/>
        </w:rPr>
        <w:t>both the </w:t>
      </w:r>
      <w:r>
        <w:rPr>
          <w:i/>
          <w:sz w:val="24"/>
        </w:rPr>
        <w:t>capital expenditure sharing scheme principles</w:t>
      </w:r>
      <w:r>
        <w:rPr>
          <w:sz w:val="24"/>
        </w:rPr>
        <w:t>, and the matters referred to in paragraph (d), as they apply to </w:t>
      </w:r>
      <w:r>
        <w:rPr>
          <w:spacing w:val="-5"/>
          <w:sz w:val="24"/>
        </w:rPr>
        <w:t>the </w:t>
      </w:r>
      <w:r>
        <w:rPr>
          <w:i/>
          <w:sz w:val="24"/>
        </w:rPr>
        <w:t>Distribution Network Service Provider</w:t>
      </w:r>
      <w:r>
        <w:rPr>
          <w:sz w:val="24"/>
        </w:rPr>
        <w:t>;</w:t>
      </w:r>
      <w:r>
        <w:rPr>
          <w:spacing w:val="-3"/>
          <w:sz w:val="24"/>
        </w:rPr>
        <w:t> </w:t>
      </w:r>
      <w:r>
        <w:rPr>
          <w:sz w:val="24"/>
        </w:rPr>
        <w:t>and</w:t>
      </w:r>
    </w:p>
    <w:p>
      <w:pPr>
        <w:pStyle w:val="ListParagraph"/>
        <w:numPr>
          <w:ilvl w:val="5"/>
          <w:numId w:val="396"/>
        </w:numPr>
        <w:tabs>
          <w:tab w:pos="3054" w:val="left" w:leader="none"/>
        </w:tabs>
        <w:spacing w:line="343" w:lineRule="auto" w:before="120" w:after="0"/>
        <w:ind w:left="1352" w:right="480" w:firstLine="1134"/>
        <w:jc w:val="both"/>
        <w:rPr>
          <w:sz w:val="24"/>
        </w:rPr>
      </w:pPr>
      <w:r>
        <w:rPr>
          <w:sz w:val="24"/>
        </w:rPr>
        <w:t>the circumstances of the </w:t>
      </w:r>
      <w:r>
        <w:rPr>
          <w:i/>
          <w:sz w:val="24"/>
        </w:rPr>
        <w:t>Distribution Network Service Provider</w:t>
      </w:r>
      <w:r>
        <w:rPr>
          <w:sz w:val="24"/>
        </w:rPr>
        <w:t>. (ea) For the application of these </w:t>
      </w:r>
      <w:r>
        <w:rPr>
          <w:i/>
          <w:sz w:val="24"/>
        </w:rPr>
        <w:t>Rules </w:t>
      </w:r>
      <w:r>
        <w:rPr>
          <w:sz w:val="24"/>
        </w:rPr>
        <w:t>in this</w:t>
      </w:r>
      <w:r>
        <w:rPr>
          <w:spacing w:val="11"/>
          <w:sz w:val="24"/>
        </w:rPr>
        <w:t> </w:t>
      </w:r>
      <w:r>
        <w:rPr>
          <w:sz w:val="24"/>
        </w:rPr>
        <w:t>jurisdiction:</w:t>
      </w:r>
    </w:p>
    <w:p>
      <w:pPr>
        <w:pStyle w:val="ListParagraph"/>
        <w:numPr>
          <w:ilvl w:val="0"/>
          <w:numId w:val="397"/>
        </w:numPr>
        <w:tabs>
          <w:tab w:pos="2486" w:val="left" w:leader="none"/>
        </w:tabs>
        <w:spacing w:line="240" w:lineRule="auto" w:before="3" w:after="0"/>
        <w:ind w:left="2485" w:right="0" w:hanging="567"/>
        <w:jc w:val="both"/>
        <w:rPr>
          <w:sz w:val="24"/>
        </w:rPr>
      </w:pPr>
      <w:r>
        <w:rPr>
          <w:sz w:val="24"/>
        </w:rPr>
        <w:t>the</w:t>
      </w:r>
      <w:r>
        <w:rPr>
          <w:spacing w:val="38"/>
          <w:sz w:val="24"/>
        </w:rPr>
        <w:t> </w:t>
      </w:r>
      <w:r>
        <w:rPr>
          <w:i/>
          <w:sz w:val="24"/>
        </w:rPr>
        <w:t>capital</w:t>
      </w:r>
      <w:r>
        <w:rPr>
          <w:i/>
          <w:spacing w:val="39"/>
          <w:sz w:val="24"/>
        </w:rPr>
        <w:t> </w:t>
      </w:r>
      <w:r>
        <w:rPr>
          <w:i/>
          <w:sz w:val="24"/>
        </w:rPr>
        <w:t>expenditure</w:t>
      </w:r>
      <w:r>
        <w:rPr>
          <w:i/>
          <w:spacing w:val="39"/>
          <w:sz w:val="24"/>
        </w:rPr>
        <w:t> </w:t>
      </w:r>
      <w:r>
        <w:rPr>
          <w:i/>
          <w:sz w:val="24"/>
        </w:rPr>
        <w:t>sharing</w:t>
      </w:r>
      <w:r>
        <w:rPr>
          <w:i/>
          <w:spacing w:val="38"/>
          <w:sz w:val="24"/>
        </w:rPr>
        <w:t> </w:t>
      </w:r>
      <w:r>
        <w:rPr>
          <w:i/>
          <w:sz w:val="24"/>
        </w:rPr>
        <w:t>scheme</w:t>
      </w:r>
      <w:r>
        <w:rPr>
          <w:i/>
          <w:spacing w:val="39"/>
          <w:sz w:val="24"/>
        </w:rPr>
        <w:t> </w:t>
      </w:r>
      <w:r>
        <w:rPr>
          <w:sz w:val="24"/>
        </w:rPr>
        <w:t>that</w:t>
      </w:r>
      <w:r>
        <w:rPr>
          <w:spacing w:val="39"/>
          <w:sz w:val="24"/>
        </w:rPr>
        <w:t> </w:t>
      </w:r>
      <w:r>
        <w:rPr>
          <w:sz w:val="24"/>
        </w:rPr>
        <w:t>is</w:t>
      </w:r>
      <w:r>
        <w:rPr>
          <w:spacing w:val="38"/>
          <w:sz w:val="24"/>
        </w:rPr>
        <w:t> </w:t>
      </w:r>
      <w:r>
        <w:rPr>
          <w:sz w:val="24"/>
        </w:rPr>
        <w:t>in</w:t>
      </w:r>
      <w:r>
        <w:rPr>
          <w:spacing w:val="39"/>
          <w:sz w:val="24"/>
        </w:rPr>
        <w:t> </w:t>
      </w:r>
      <w:r>
        <w:rPr>
          <w:sz w:val="24"/>
        </w:rPr>
        <w:t>force</w:t>
      </w:r>
      <w:r>
        <w:rPr>
          <w:spacing w:val="39"/>
          <w:sz w:val="24"/>
        </w:rPr>
        <w:t> </w:t>
      </w:r>
      <w:r>
        <w:rPr>
          <w:sz w:val="24"/>
        </w:rPr>
        <w:t>in</w:t>
      </w:r>
      <w:r>
        <w:rPr>
          <w:spacing w:val="38"/>
          <w:sz w:val="24"/>
        </w:rPr>
        <w:t> </w:t>
      </w:r>
      <w:r>
        <w:rPr>
          <w:sz w:val="24"/>
        </w:rPr>
        <w:t>the</w:t>
      </w:r>
      <w:r>
        <w:rPr>
          <w:spacing w:val="39"/>
          <w:sz w:val="24"/>
        </w:rPr>
        <w:t> </w:t>
      </w:r>
      <w:r>
        <w:rPr>
          <w:sz w:val="24"/>
        </w:rPr>
        <w:t>other</w:t>
      </w:r>
    </w:p>
    <w:p>
      <w:pPr>
        <w:spacing w:before="0"/>
        <w:ind w:left="2486" w:right="0" w:firstLine="0"/>
        <w:jc w:val="both"/>
        <w:rPr>
          <w:sz w:val="24"/>
        </w:rPr>
      </w:pPr>
      <w:r>
        <w:rPr>
          <w:i/>
          <w:sz w:val="24"/>
        </w:rPr>
        <w:t>participating jurisdictions </w:t>
      </w:r>
      <w:r>
        <w:rPr>
          <w:sz w:val="24"/>
        </w:rPr>
        <w:t>on 1 July 2016 is taken:</w:t>
      </w:r>
    </w:p>
    <w:p>
      <w:pPr>
        <w:pStyle w:val="ListParagraph"/>
        <w:numPr>
          <w:ilvl w:val="1"/>
          <w:numId w:val="397"/>
        </w:numPr>
        <w:tabs>
          <w:tab w:pos="3053" w:val="left" w:leader="none"/>
        </w:tabs>
        <w:spacing w:line="240" w:lineRule="auto" w:before="120" w:after="0"/>
        <w:ind w:left="3053" w:right="415" w:hanging="567"/>
        <w:jc w:val="both"/>
        <w:rPr>
          <w:sz w:val="24"/>
        </w:rPr>
      </w:pPr>
      <w:r>
        <w:rPr>
          <w:sz w:val="24"/>
        </w:rPr>
        <w:t>to be the </w:t>
      </w:r>
      <w:r>
        <w:rPr>
          <w:i/>
          <w:sz w:val="24"/>
        </w:rPr>
        <w:t>capital expenditure sharing scheme </w:t>
      </w:r>
      <w:r>
        <w:rPr>
          <w:sz w:val="24"/>
        </w:rPr>
        <w:t>in force in this jurisdiction (subject to any amendment or replacement </w:t>
      </w:r>
      <w:r>
        <w:rPr>
          <w:spacing w:val="-3"/>
          <w:sz w:val="24"/>
        </w:rPr>
        <w:t>under </w:t>
      </w:r>
      <w:r>
        <w:rPr>
          <w:sz w:val="24"/>
        </w:rPr>
        <w:t>these </w:t>
      </w:r>
      <w:r>
        <w:rPr>
          <w:i/>
          <w:sz w:val="24"/>
        </w:rPr>
        <w:t>Rules</w:t>
      </w:r>
      <w:r>
        <w:rPr>
          <w:sz w:val="24"/>
        </w:rPr>
        <w:t>);</w:t>
      </w:r>
      <w:r>
        <w:rPr>
          <w:spacing w:val="-1"/>
          <w:sz w:val="24"/>
        </w:rPr>
        <w:t> </w:t>
      </w:r>
      <w:r>
        <w:rPr>
          <w:sz w:val="24"/>
        </w:rPr>
        <w:t>and</w:t>
      </w:r>
    </w:p>
    <w:p>
      <w:pPr>
        <w:pStyle w:val="ListParagraph"/>
        <w:numPr>
          <w:ilvl w:val="1"/>
          <w:numId w:val="397"/>
        </w:numPr>
        <w:tabs>
          <w:tab w:pos="3054" w:val="left" w:leader="none"/>
        </w:tabs>
        <w:spacing w:line="240" w:lineRule="auto" w:before="120" w:after="0"/>
        <w:ind w:left="3053" w:right="0" w:hanging="568"/>
        <w:jc w:val="both"/>
        <w:rPr>
          <w:sz w:val="24"/>
        </w:rPr>
      </w:pPr>
      <w:r>
        <w:rPr>
          <w:sz w:val="24"/>
        </w:rPr>
        <w:t>to have been developed by the </w:t>
      </w:r>
      <w:r>
        <w:rPr>
          <w:i/>
          <w:sz w:val="24"/>
        </w:rPr>
        <w:t>AER </w:t>
      </w:r>
      <w:r>
        <w:rPr>
          <w:sz w:val="24"/>
        </w:rPr>
        <w:t>on 1 July 2016;</w:t>
      </w:r>
      <w:r>
        <w:rPr>
          <w:spacing w:val="-4"/>
          <w:sz w:val="24"/>
        </w:rPr>
        <w:t> </w:t>
      </w:r>
      <w:r>
        <w:rPr>
          <w:sz w:val="24"/>
        </w:rPr>
        <w:t>and</w:t>
      </w:r>
    </w:p>
    <w:p>
      <w:pPr>
        <w:pStyle w:val="ListParagraph"/>
        <w:numPr>
          <w:ilvl w:val="0"/>
          <w:numId w:val="397"/>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(b), (c) and (d) in developing the </w:t>
      </w:r>
      <w:r>
        <w:rPr>
          <w:i/>
          <w:sz w:val="24"/>
        </w:rPr>
        <w:t>capital </w:t>
      </w:r>
      <w:r>
        <w:rPr>
          <w:i/>
          <w:spacing w:val="-3"/>
          <w:sz w:val="24"/>
        </w:rPr>
        <w:t>expenditure </w:t>
      </w:r>
      <w:r>
        <w:rPr>
          <w:i/>
          <w:sz w:val="24"/>
        </w:rPr>
        <w:t>sharing</w:t>
      </w:r>
      <w:r>
        <w:rPr>
          <w:i/>
          <w:spacing w:val="-2"/>
          <w:sz w:val="24"/>
        </w:rPr>
        <w:t> </w:t>
      </w:r>
      <w:r>
        <w:rPr>
          <w:i/>
          <w:sz w:val="24"/>
        </w:rPr>
        <w:t>scheme</w:t>
      </w:r>
      <w:r>
        <w:rPr>
          <w:sz w:val="24"/>
        </w:rPr>
        <w:t>.</w:t>
      </w:r>
    </w:p>
    <w:p>
      <w:pPr>
        <w:pStyle w:val="BodyText"/>
        <w:spacing w:before="10"/>
        <w:ind w:firstLine="0"/>
        <w:jc w:val="left"/>
        <w:rPr>
          <w:sz w:val="20"/>
        </w:rPr>
      </w:pPr>
    </w:p>
    <w:p>
      <w:pPr>
        <w:pStyle w:val="Heading4"/>
        <w:numPr>
          <w:ilvl w:val="2"/>
          <w:numId w:val="396"/>
        </w:numPr>
        <w:tabs>
          <w:tab w:pos="1351" w:val="left" w:leader="none"/>
          <w:tab w:pos="1352" w:val="left" w:leader="none"/>
        </w:tabs>
        <w:spacing w:line="240" w:lineRule="auto" w:before="0" w:after="0"/>
        <w:ind w:left="1351" w:right="0" w:hanging="1134"/>
        <w:jc w:val="left"/>
      </w:pPr>
      <w:bookmarkStart w:name="6.5.9 The X factor" w:id="1355"/>
      <w:bookmarkEnd w:id="1355"/>
      <w:r>
        <w:rPr>
          <w:b w:val="0"/>
        </w:rPr>
      </w:r>
      <w:bookmarkStart w:name="_bookmark551" w:id="1356"/>
      <w:bookmarkEnd w:id="1356"/>
      <w:r>
        <w:rPr>
          <w:b w:val="0"/>
        </w:rPr>
      </w:r>
      <w:bookmarkStart w:name="_bookmark551" w:id="1357"/>
      <w:bookmarkEnd w:id="1357"/>
      <w:r>
        <w:rPr/>
        <w:t>The</w:t>
      </w:r>
      <w:r>
        <w:rPr/>
        <w:t> X factor</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A </w:t>
      </w:r>
      <w:r>
        <w:rPr>
          <w:i/>
          <w:sz w:val="24"/>
        </w:rPr>
        <w:t>building block determination </w:t>
      </w:r>
      <w:r>
        <w:rPr>
          <w:sz w:val="24"/>
        </w:rPr>
        <w:t>is to include the X factor for each control mechanism for each </w:t>
      </w:r>
      <w:r>
        <w:rPr>
          <w:i/>
          <w:sz w:val="24"/>
        </w:rPr>
        <w:t>regulatory year </w:t>
      </w:r>
      <w:r>
        <w:rPr>
          <w:sz w:val="24"/>
        </w:rPr>
        <w:t>of the </w:t>
      </w:r>
      <w:r>
        <w:rPr>
          <w:i/>
          <w:sz w:val="24"/>
        </w:rPr>
        <w:t>regulatory control</w:t>
      </w:r>
      <w:r>
        <w:rPr>
          <w:i/>
          <w:spacing w:val="-10"/>
          <w:sz w:val="24"/>
        </w:rPr>
        <w:t> </w:t>
      </w:r>
      <w:r>
        <w:rPr>
          <w:i/>
          <w:sz w:val="24"/>
        </w:rPr>
        <w:t>period</w:t>
      </w:r>
      <w:r>
        <w:rPr>
          <w:sz w:val="24"/>
        </w:rPr>
        <w:t>.</w:t>
      </w:r>
    </w:p>
    <w:p>
      <w:pPr>
        <w:pStyle w:val="ListParagraph"/>
        <w:numPr>
          <w:ilvl w:val="3"/>
          <w:numId w:val="396"/>
        </w:numPr>
        <w:tabs>
          <w:tab w:pos="1919" w:val="left" w:leader="none"/>
        </w:tabs>
        <w:spacing w:line="240" w:lineRule="auto" w:before="120" w:after="0"/>
        <w:ind w:left="1918" w:right="0" w:hanging="567"/>
        <w:jc w:val="both"/>
        <w:rPr>
          <w:sz w:val="24"/>
        </w:rPr>
      </w:pPr>
      <w:r>
        <w:rPr>
          <w:sz w:val="24"/>
        </w:rPr>
        <w:t>The X</w:t>
      </w:r>
      <w:r>
        <w:rPr>
          <w:spacing w:val="-1"/>
          <w:sz w:val="24"/>
        </w:rPr>
        <w:t> </w:t>
      </w:r>
      <w:r>
        <w:rPr>
          <w:sz w:val="24"/>
        </w:rPr>
        <w:t>factor:</w:t>
      </w:r>
    </w:p>
    <w:p>
      <w:pPr>
        <w:pStyle w:val="ListParagraph"/>
        <w:numPr>
          <w:ilvl w:val="4"/>
          <w:numId w:val="396"/>
        </w:numPr>
        <w:tabs>
          <w:tab w:pos="2486" w:val="left" w:leader="none"/>
        </w:tabs>
        <w:spacing w:line="240" w:lineRule="auto" w:before="120" w:after="0"/>
        <w:ind w:left="2486" w:right="415" w:hanging="567"/>
        <w:jc w:val="both"/>
        <w:rPr>
          <w:sz w:val="24"/>
        </w:rPr>
      </w:pPr>
      <w:r>
        <w:rPr>
          <w:sz w:val="24"/>
        </w:rPr>
        <w:t>must be set by the </w:t>
      </w:r>
      <w:r>
        <w:rPr>
          <w:i/>
          <w:sz w:val="24"/>
        </w:rPr>
        <w:t>AER </w:t>
      </w:r>
      <w:r>
        <w:rPr>
          <w:sz w:val="24"/>
        </w:rPr>
        <w:t>with regard to the </w:t>
      </w:r>
      <w:r>
        <w:rPr>
          <w:i/>
          <w:sz w:val="24"/>
        </w:rPr>
        <w:t>Distribution Network </w:t>
      </w:r>
      <w:r>
        <w:rPr>
          <w:i/>
          <w:sz w:val="24"/>
        </w:rPr>
        <w:t>Service Provider's total revenue requirement </w:t>
      </w:r>
      <w:r>
        <w:rPr>
          <w:sz w:val="24"/>
        </w:rPr>
        <w:t>for the </w:t>
      </w:r>
      <w:r>
        <w:rPr>
          <w:i/>
          <w:sz w:val="24"/>
        </w:rPr>
        <w:t>regulatory </w:t>
      </w:r>
      <w:r>
        <w:rPr>
          <w:i/>
          <w:sz w:val="24"/>
        </w:rPr>
        <w:t>control period</w:t>
      </w:r>
      <w:r>
        <w:rPr>
          <w:sz w:val="24"/>
        </w:rPr>
        <w:t>;</w:t>
      </w:r>
      <w:r>
        <w:rPr>
          <w:spacing w:val="-1"/>
          <w:sz w:val="24"/>
        </w:rPr>
        <w:t> </w:t>
      </w:r>
      <w:r>
        <w:rPr>
          <w:sz w:val="24"/>
        </w:rPr>
        <w:t>and</w:t>
      </w:r>
    </w:p>
    <w:p>
      <w:pPr>
        <w:pStyle w:val="ListParagraph"/>
        <w:numPr>
          <w:ilvl w:val="4"/>
          <w:numId w:val="396"/>
        </w:numPr>
        <w:tabs>
          <w:tab w:pos="2486" w:val="left" w:leader="none"/>
        </w:tabs>
        <w:spacing w:line="240" w:lineRule="auto" w:before="120" w:after="0"/>
        <w:ind w:left="2486" w:right="415" w:hanging="567"/>
        <w:jc w:val="both"/>
        <w:rPr>
          <w:sz w:val="24"/>
        </w:rPr>
      </w:pPr>
      <w:r>
        <w:rPr>
          <w:sz w:val="24"/>
        </w:rPr>
        <w:t>must be such as to minimise, as far as reasonably possible, variance between expected revenue for the last </w:t>
      </w:r>
      <w:r>
        <w:rPr>
          <w:i/>
          <w:sz w:val="24"/>
        </w:rPr>
        <w:t>regulatory year </w:t>
      </w:r>
      <w:r>
        <w:rPr>
          <w:sz w:val="24"/>
        </w:rPr>
        <w:t>of the </w:t>
      </w:r>
      <w:r>
        <w:rPr>
          <w:i/>
          <w:sz w:val="24"/>
        </w:rPr>
        <w:t>regulatory control period </w:t>
      </w:r>
      <w:r>
        <w:rPr>
          <w:sz w:val="24"/>
        </w:rPr>
        <w:t>and the </w:t>
      </w:r>
      <w:r>
        <w:rPr>
          <w:i/>
          <w:sz w:val="24"/>
        </w:rPr>
        <w:t>annual revenue requirement </w:t>
      </w:r>
      <w:r>
        <w:rPr>
          <w:sz w:val="24"/>
        </w:rPr>
        <w:t>for that last </w:t>
      </w:r>
      <w:r>
        <w:rPr>
          <w:i/>
          <w:sz w:val="24"/>
        </w:rPr>
        <w:t>regulatory year</w:t>
      </w:r>
      <w:r>
        <w:rPr>
          <w:sz w:val="24"/>
        </w:rPr>
        <w:t>;</w:t>
      </w:r>
      <w:r>
        <w:rPr>
          <w:spacing w:val="-1"/>
          <w:sz w:val="24"/>
        </w:rPr>
        <w:t> </w:t>
      </w:r>
      <w:r>
        <w:rPr>
          <w:sz w:val="24"/>
        </w:rPr>
        <w:t>and</w:t>
      </w:r>
    </w:p>
    <w:p>
      <w:pPr>
        <w:pStyle w:val="ListParagraph"/>
        <w:numPr>
          <w:ilvl w:val="4"/>
          <w:numId w:val="396"/>
        </w:numPr>
        <w:tabs>
          <w:tab w:pos="2486" w:val="left" w:leader="none"/>
        </w:tabs>
        <w:spacing w:line="240" w:lineRule="auto" w:before="120" w:after="0"/>
        <w:ind w:left="2486" w:right="416" w:hanging="567"/>
        <w:jc w:val="both"/>
        <w:rPr>
          <w:sz w:val="24"/>
        </w:rPr>
      </w:pPr>
      <w:r>
        <w:rPr>
          <w:sz w:val="24"/>
        </w:rPr>
        <w:t>must conform with whichever of the following requirements is applicable:</w:t>
      </w:r>
    </w:p>
    <w:p>
      <w:pPr>
        <w:pStyle w:val="ListParagraph"/>
        <w:numPr>
          <w:ilvl w:val="5"/>
          <w:numId w:val="396"/>
        </w:numPr>
        <w:tabs>
          <w:tab w:pos="3053" w:val="left" w:leader="none"/>
        </w:tabs>
        <w:spacing w:line="240" w:lineRule="auto" w:before="120" w:after="0"/>
        <w:ind w:left="3053" w:right="415" w:hanging="567"/>
        <w:jc w:val="both"/>
        <w:rPr>
          <w:sz w:val="24"/>
        </w:rPr>
      </w:pPr>
      <w:r>
        <w:rPr>
          <w:sz w:val="24"/>
        </w:rPr>
        <w:t>if the control mechanism relates generally to </w:t>
      </w:r>
      <w:r>
        <w:rPr>
          <w:i/>
          <w:sz w:val="24"/>
        </w:rPr>
        <w:t>standard control </w:t>
      </w:r>
      <w:r>
        <w:rPr>
          <w:i/>
          <w:sz w:val="24"/>
        </w:rPr>
        <w:t>services </w:t>
      </w:r>
      <w:r>
        <w:rPr>
          <w:sz w:val="24"/>
        </w:rPr>
        <w:t>– the X factor must be designed to equalise (in terms of net present value) the revenue to be earned by the </w:t>
      </w:r>
      <w:r>
        <w:rPr>
          <w:i/>
          <w:sz w:val="24"/>
        </w:rPr>
        <w:t>Distribution </w:t>
      </w:r>
      <w:r>
        <w:rPr>
          <w:i/>
          <w:sz w:val="24"/>
        </w:rPr>
        <w:t>Network Service Provider </w:t>
      </w:r>
      <w:r>
        <w:rPr>
          <w:sz w:val="24"/>
        </w:rPr>
        <w:t>from the provision of </w:t>
      </w:r>
      <w:r>
        <w:rPr>
          <w:i/>
          <w:sz w:val="24"/>
        </w:rPr>
        <w:t>standard </w:t>
      </w:r>
      <w:r>
        <w:rPr>
          <w:i/>
          <w:sz w:val="24"/>
        </w:rPr>
        <w:t>control services </w:t>
      </w:r>
      <w:r>
        <w:rPr>
          <w:sz w:val="24"/>
        </w:rPr>
        <w:t>over the </w:t>
      </w:r>
      <w:r>
        <w:rPr>
          <w:i/>
          <w:sz w:val="24"/>
        </w:rPr>
        <w:t>regulatory control period </w:t>
      </w:r>
      <w:r>
        <w:rPr>
          <w:sz w:val="24"/>
        </w:rPr>
        <w:t>with</w:t>
      </w:r>
      <w:r>
        <w:rPr>
          <w:spacing w:val="14"/>
          <w:sz w:val="24"/>
        </w:rPr>
        <w:t> </w:t>
      </w:r>
      <w:r>
        <w:rPr>
          <w:sz w:val="24"/>
        </w:rPr>
        <w:t>the</w:t>
      </w:r>
    </w:p>
    <w:p>
      <w:pPr>
        <w:spacing w:after="0" w:line="240" w:lineRule="auto"/>
        <w:jc w:val="both"/>
        <w:rPr>
          <w:sz w:val="24"/>
        </w:rPr>
        <w:sectPr>
          <w:pgSz w:w="11910" w:h="16840"/>
          <w:pgMar w:header="686" w:footer="637" w:top="1320" w:bottom="820" w:left="1200" w:right="1000"/>
        </w:sectPr>
      </w:pPr>
    </w:p>
    <w:p>
      <w:pPr>
        <w:spacing w:before="83"/>
        <w:ind w:left="3053" w:right="416" w:firstLine="0"/>
        <w:jc w:val="both"/>
        <w:rPr>
          <w:sz w:val="24"/>
        </w:rPr>
      </w:pPr>
      <w:r>
        <w:rPr>
          <w:sz w:val="24"/>
        </w:rPr>
        <w:t>provider's </w:t>
      </w:r>
      <w:r>
        <w:rPr>
          <w:i/>
          <w:sz w:val="24"/>
        </w:rPr>
        <w:t>total revenue requirement </w:t>
      </w:r>
      <w:r>
        <w:rPr>
          <w:sz w:val="24"/>
        </w:rPr>
        <w:t>for the </w:t>
      </w:r>
      <w:r>
        <w:rPr>
          <w:i/>
          <w:sz w:val="24"/>
        </w:rPr>
        <w:t>regulatory control </w:t>
      </w:r>
      <w:r>
        <w:rPr>
          <w:i/>
          <w:sz w:val="24"/>
        </w:rPr>
        <w:t>period</w:t>
      </w:r>
      <w:r>
        <w:rPr>
          <w:sz w:val="24"/>
        </w:rPr>
        <w:t>;</w:t>
      </w:r>
    </w:p>
    <w:p>
      <w:pPr>
        <w:pStyle w:val="ListParagraph"/>
        <w:numPr>
          <w:ilvl w:val="5"/>
          <w:numId w:val="396"/>
        </w:numPr>
        <w:tabs>
          <w:tab w:pos="3054" w:val="left" w:leader="none"/>
        </w:tabs>
        <w:spacing w:line="240" w:lineRule="auto" w:before="120" w:after="0"/>
        <w:ind w:left="3053" w:right="415" w:hanging="567"/>
        <w:jc w:val="both"/>
        <w:rPr>
          <w:sz w:val="24"/>
        </w:rPr>
      </w:pPr>
      <w:r>
        <w:rPr>
          <w:sz w:val="24"/>
        </w:rPr>
        <w:t>if there are separate control mechanisms for different </w:t>
      </w:r>
      <w:r>
        <w:rPr>
          <w:i/>
          <w:sz w:val="24"/>
        </w:rPr>
        <w:t>standard </w:t>
      </w:r>
      <w:r>
        <w:rPr>
          <w:i/>
          <w:sz w:val="24"/>
        </w:rPr>
        <w:t>control services </w:t>
      </w:r>
      <w:r>
        <w:rPr>
          <w:sz w:val="24"/>
        </w:rPr>
        <w:t>– the X factor for each control mechanism must be designed to equalise (in terms of net present value) </w:t>
      </w:r>
      <w:r>
        <w:rPr>
          <w:spacing w:val="-4"/>
          <w:sz w:val="24"/>
        </w:rPr>
        <w:t>the </w:t>
      </w:r>
      <w:r>
        <w:rPr>
          <w:sz w:val="24"/>
        </w:rPr>
        <w:t>revenue to be earned by the </w:t>
      </w:r>
      <w:r>
        <w:rPr>
          <w:i/>
          <w:sz w:val="24"/>
        </w:rPr>
        <w:t>Distribution Network Service </w:t>
      </w:r>
      <w:r>
        <w:rPr>
          <w:i/>
          <w:sz w:val="24"/>
        </w:rPr>
        <w:t>Provider </w:t>
      </w:r>
      <w:r>
        <w:rPr>
          <w:sz w:val="24"/>
        </w:rPr>
        <w:t>from the provision of </w:t>
      </w:r>
      <w:r>
        <w:rPr>
          <w:i/>
          <w:sz w:val="24"/>
        </w:rPr>
        <w:t>standard control services </w:t>
      </w:r>
      <w:r>
        <w:rPr>
          <w:sz w:val="24"/>
        </w:rPr>
        <w:t>to which the control mechanism relates over the </w:t>
      </w:r>
      <w:r>
        <w:rPr>
          <w:i/>
          <w:sz w:val="24"/>
        </w:rPr>
        <w:t>regulatory control </w:t>
      </w:r>
      <w:r>
        <w:rPr>
          <w:i/>
          <w:sz w:val="24"/>
        </w:rPr>
        <w:t>period </w:t>
      </w:r>
      <w:r>
        <w:rPr>
          <w:sz w:val="24"/>
        </w:rPr>
        <w:t>with the portion of the provider's </w:t>
      </w:r>
      <w:r>
        <w:rPr>
          <w:i/>
          <w:sz w:val="24"/>
        </w:rPr>
        <w:t>total revenue </w:t>
      </w:r>
      <w:r>
        <w:rPr>
          <w:i/>
          <w:sz w:val="24"/>
        </w:rPr>
        <w:t>requirement </w:t>
      </w:r>
      <w:r>
        <w:rPr>
          <w:sz w:val="24"/>
        </w:rPr>
        <w:t>for the </w:t>
      </w:r>
      <w:r>
        <w:rPr>
          <w:i/>
          <w:sz w:val="24"/>
        </w:rPr>
        <w:t>regulatory control period </w:t>
      </w:r>
      <w:r>
        <w:rPr>
          <w:sz w:val="24"/>
        </w:rPr>
        <w:t>attributable to those</w:t>
      </w:r>
      <w:r>
        <w:rPr>
          <w:spacing w:val="-1"/>
          <w:sz w:val="24"/>
        </w:rPr>
        <w:t> </w:t>
      </w:r>
      <w:r>
        <w:rPr>
          <w:sz w:val="24"/>
        </w:rPr>
        <w:t>services.</w:t>
      </w:r>
    </w:p>
    <w:p>
      <w:pPr>
        <w:pStyle w:val="ListParagraph"/>
        <w:numPr>
          <w:ilvl w:val="3"/>
          <w:numId w:val="396"/>
        </w:numPr>
        <w:tabs>
          <w:tab w:pos="1919" w:val="left" w:leader="none"/>
        </w:tabs>
        <w:spacing w:line="240" w:lineRule="auto" w:before="120" w:after="0"/>
        <w:ind w:left="1918" w:right="0" w:hanging="567"/>
        <w:jc w:val="both"/>
        <w:rPr>
          <w:sz w:val="24"/>
        </w:rPr>
      </w:pPr>
      <w:r>
        <w:rPr>
          <w:sz w:val="24"/>
        </w:rPr>
        <w:t>There may be different X</w:t>
      </w:r>
      <w:r>
        <w:rPr>
          <w:spacing w:val="-2"/>
          <w:sz w:val="24"/>
        </w:rPr>
        <w:t> </w:t>
      </w:r>
      <w:r>
        <w:rPr>
          <w:sz w:val="24"/>
        </w:rPr>
        <w:t>factors:</w:t>
      </w:r>
    </w:p>
    <w:p>
      <w:pPr>
        <w:pStyle w:val="ListParagraph"/>
        <w:numPr>
          <w:ilvl w:val="4"/>
          <w:numId w:val="396"/>
        </w:numPr>
        <w:tabs>
          <w:tab w:pos="2486" w:val="left" w:leader="none"/>
        </w:tabs>
        <w:spacing w:line="240" w:lineRule="auto" w:before="120" w:after="0"/>
        <w:ind w:left="2485" w:right="0" w:hanging="567"/>
        <w:jc w:val="both"/>
        <w:rPr>
          <w:sz w:val="24"/>
        </w:rPr>
      </w:pPr>
      <w:r>
        <w:rPr>
          <w:sz w:val="24"/>
        </w:rPr>
        <w:t>for different </w:t>
      </w:r>
      <w:r>
        <w:rPr>
          <w:i/>
          <w:sz w:val="24"/>
        </w:rPr>
        <w:t>regulatory years </w:t>
      </w:r>
      <w:r>
        <w:rPr>
          <w:sz w:val="24"/>
        </w:rPr>
        <w:t>of the </w:t>
      </w:r>
      <w:r>
        <w:rPr>
          <w:i/>
          <w:sz w:val="24"/>
        </w:rPr>
        <w:t>regulatory control period</w:t>
      </w:r>
      <w:r>
        <w:rPr>
          <w:sz w:val="24"/>
        </w:rPr>
        <w:t>;</w:t>
      </w:r>
      <w:r>
        <w:rPr>
          <w:spacing w:val="-12"/>
          <w:sz w:val="24"/>
        </w:rPr>
        <w:t> </w:t>
      </w:r>
      <w:r>
        <w:rPr>
          <w:sz w:val="24"/>
        </w:rPr>
        <w:t>and</w:t>
      </w:r>
    </w:p>
    <w:p>
      <w:pPr>
        <w:pStyle w:val="ListParagraph"/>
        <w:numPr>
          <w:ilvl w:val="4"/>
          <w:numId w:val="396"/>
        </w:numPr>
        <w:tabs>
          <w:tab w:pos="2486" w:val="left" w:leader="none"/>
        </w:tabs>
        <w:spacing w:line="240" w:lineRule="auto" w:before="120" w:after="0"/>
        <w:ind w:left="2486" w:right="414" w:hanging="567"/>
        <w:jc w:val="both"/>
        <w:rPr>
          <w:sz w:val="24"/>
        </w:rPr>
      </w:pPr>
      <w:r>
        <w:rPr>
          <w:sz w:val="24"/>
        </w:rPr>
        <w:t>if there are 2 or more control mechanisms – for each control mechanism.</w:t>
      </w:r>
    </w:p>
    <w:p>
      <w:pPr>
        <w:pStyle w:val="BodyText"/>
        <w:spacing w:before="10"/>
        <w:ind w:firstLine="0"/>
        <w:jc w:val="left"/>
        <w:rPr>
          <w:sz w:val="20"/>
        </w:rPr>
      </w:pPr>
    </w:p>
    <w:p>
      <w:pPr>
        <w:pStyle w:val="Heading4"/>
        <w:numPr>
          <w:ilvl w:val="2"/>
          <w:numId w:val="396"/>
        </w:numPr>
        <w:tabs>
          <w:tab w:pos="1351" w:val="left" w:leader="none"/>
          <w:tab w:pos="1352" w:val="left" w:leader="none"/>
        </w:tabs>
        <w:spacing w:line="240" w:lineRule="auto" w:before="0" w:after="0"/>
        <w:ind w:left="1351" w:right="0" w:hanging="1134"/>
        <w:jc w:val="left"/>
      </w:pPr>
      <w:bookmarkStart w:name="6.5.10 Pass through events" w:id="1358"/>
      <w:bookmarkEnd w:id="1358"/>
      <w:r>
        <w:rPr>
          <w:b w:val="0"/>
        </w:rPr>
      </w:r>
      <w:bookmarkStart w:name="_bookmark552" w:id="1359"/>
      <w:bookmarkEnd w:id="1359"/>
      <w:r>
        <w:rPr>
          <w:b w:val="0"/>
        </w:rPr>
      </w:r>
      <w:bookmarkStart w:name="_bookmark552" w:id="1360"/>
      <w:bookmarkEnd w:id="1360"/>
      <w:r>
        <w:rPr/>
        <w:t>Pass</w:t>
      </w:r>
      <w:r>
        <w:rPr/>
        <w:t> through</w:t>
      </w:r>
      <w:r>
        <w:rPr>
          <w:spacing w:val="-2"/>
        </w:rPr>
        <w:t> </w:t>
      </w:r>
      <w:r>
        <w:rPr/>
        <w:t>events</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A </w:t>
      </w:r>
      <w:r>
        <w:rPr>
          <w:i/>
          <w:sz w:val="24"/>
        </w:rPr>
        <w:t>building block proposal </w:t>
      </w:r>
      <w:r>
        <w:rPr>
          <w:sz w:val="24"/>
        </w:rPr>
        <w:t>may include a proposal as to the events that should be defined as </w:t>
      </w:r>
      <w:r>
        <w:rPr>
          <w:i/>
          <w:sz w:val="24"/>
        </w:rPr>
        <w:t>pass through events </w:t>
      </w:r>
      <w:r>
        <w:rPr>
          <w:sz w:val="24"/>
        </w:rPr>
        <w:t>under clause 6.6.1(a1)(5) having regard to the </w:t>
      </w:r>
      <w:r>
        <w:rPr>
          <w:i/>
          <w:sz w:val="24"/>
        </w:rPr>
        <w:t>nominated pass through event</w:t>
      </w:r>
      <w:r>
        <w:rPr>
          <w:i/>
          <w:spacing w:val="-1"/>
          <w:sz w:val="24"/>
        </w:rPr>
        <w:t> </w:t>
      </w:r>
      <w:r>
        <w:rPr>
          <w:i/>
          <w:sz w:val="24"/>
        </w:rPr>
        <w:t>considerations</w:t>
      </w:r>
      <w:r>
        <w:rPr>
          <w:sz w:val="24"/>
        </w:rPr>
        <w:t>.</w:t>
      </w:r>
    </w:p>
    <w:p>
      <w:pPr>
        <w:pStyle w:val="ListParagraph"/>
        <w:numPr>
          <w:ilvl w:val="3"/>
          <w:numId w:val="396"/>
        </w:numPr>
        <w:tabs>
          <w:tab w:pos="1919" w:val="left" w:leader="none"/>
        </w:tabs>
        <w:spacing w:line="240" w:lineRule="auto" w:before="120" w:after="0"/>
        <w:ind w:left="1919" w:right="415" w:hanging="567"/>
        <w:jc w:val="both"/>
        <w:rPr>
          <w:sz w:val="24"/>
        </w:rPr>
      </w:pPr>
      <w:r>
        <w:rPr>
          <w:sz w:val="24"/>
        </w:rPr>
        <w:t>In determining whether to accept the pass through events nominated by a </w:t>
      </w:r>
      <w:r>
        <w:rPr>
          <w:i/>
          <w:sz w:val="24"/>
        </w:rPr>
        <w:t>Distribution Network Service Provider </w:t>
      </w:r>
      <w:r>
        <w:rPr>
          <w:sz w:val="24"/>
        </w:rPr>
        <w:t>in its </w:t>
      </w:r>
      <w:r>
        <w:rPr>
          <w:i/>
          <w:sz w:val="24"/>
        </w:rPr>
        <w:t>building block proposal </w:t>
      </w:r>
      <w:r>
        <w:rPr>
          <w:sz w:val="24"/>
        </w:rPr>
        <w:t>under paragraph (a), the </w:t>
      </w:r>
      <w:r>
        <w:rPr>
          <w:i/>
          <w:sz w:val="24"/>
        </w:rPr>
        <w:t>AER </w:t>
      </w:r>
      <w:r>
        <w:rPr>
          <w:sz w:val="24"/>
        </w:rPr>
        <w:t>must take into account the </w:t>
      </w:r>
      <w:r>
        <w:rPr>
          <w:i/>
          <w:sz w:val="24"/>
        </w:rPr>
        <w:t>nominated pass through </w:t>
      </w:r>
      <w:r>
        <w:rPr>
          <w:i/>
          <w:sz w:val="24"/>
        </w:rPr>
        <w:t>event</w:t>
      </w:r>
      <w:r>
        <w:rPr>
          <w:i/>
          <w:spacing w:val="-1"/>
          <w:sz w:val="24"/>
        </w:rPr>
        <w:t> </w:t>
      </w:r>
      <w:r>
        <w:rPr>
          <w:i/>
          <w:sz w:val="24"/>
        </w:rPr>
        <w:t>considerations</w:t>
      </w:r>
      <w:r>
        <w:rPr>
          <w:sz w:val="24"/>
        </w:rPr>
        <w:t>.</w:t>
      </w:r>
    </w:p>
    <w:p>
      <w:pPr>
        <w:pStyle w:val="BodyText"/>
        <w:spacing w:before="10"/>
        <w:ind w:firstLine="0"/>
        <w:jc w:val="left"/>
        <w:rPr>
          <w:sz w:val="20"/>
        </w:rPr>
      </w:pPr>
    </w:p>
    <w:p>
      <w:pPr>
        <w:pStyle w:val="Heading3"/>
        <w:numPr>
          <w:ilvl w:val="1"/>
          <w:numId w:val="393"/>
        </w:numPr>
        <w:tabs>
          <w:tab w:pos="1351" w:val="left" w:leader="none"/>
          <w:tab w:pos="1353" w:val="left" w:leader="none"/>
        </w:tabs>
        <w:spacing w:line="240" w:lineRule="auto" w:before="0" w:after="0"/>
        <w:ind w:left="1352" w:right="0" w:hanging="1135"/>
        <w:jc w:val="left"/>
      </w:pPr>
      <w:bookmarkStart w:name="6.6 Adjustments after making of building" w:id="1361"/>
      <w:bookmarkEnd w:id="1361"/>
      <w:r>
        <w:rPr>
          <w:b w:val="0"/>
        </w:rPr>
      </w:r>
      <w:bookmarkStart w:name="_bookmark553" w:id="1362"/>
      <w:bookmarkEnd w:id="1362"/>
      <w:r>
        <w:rPr>
          <w:b w:val="0"/>
        </w:rPr>
      </w:r>
      <w:bookmarkStart w:name="_bookmark553" w:id="1363"/>
      <w:bookmarkEnd w:id="1363"/>
      <w:r>
        <w:rPr/>
        <w:t>Adj</w:t>
      </w:r>
      <w:r>
        <w:rPr/>
        <w:t>ustments after making of building block</w:t>
      </w:r>
      <w:r>
        <w:rPr>
          <w:spacing w:val="-11"/>
        </w:rPr>
        <w:t> </w:t>
      </w:r>
      <w:r>
        <w:rPr/>
        <w:t>determination.</w:t>
      </w:r>
    </w:p>
    <w:p>
      <w:pPr>
        <w:pStyle w:val="Heading4"/>
        <w:numPr>
          <w:ilvl w:val="2"/>
          <w:numId w:val="398"/>
        </w:numPr>
        <w:tabs>
          <w:tab w:pos="1351" w:val="left" w:leader="none"/>
          <w:tab w:pos="1352" w:val="left" w:leader="none"/>
        </w:tabs>
        <w:spacing w:line="240" w:lineRule="auto" w:before="240" w:after="0"/>
        <w:ind w:left="1351" w:right="0" w:hanging="1134"/>
        <w:jc w:val="left"/>
      </w:pPr>
      <w:bookmarkStart w:name="6.6.1 Cost pass through" w:id="1364"/>
      <w:bookmarkEnd w:id="1364"/>
      <w:r>
        <w:rPr>
          <w:b w:val="0"/>
        </w:rPr>
      </w:r>
      <w:bookmarkStart w:name="_bookmark554" w:id="1365"/>
      <w:bookmarkEnd w:id="1365"/>
      <w:r>
        <w:rPr>
          <w:b w:val="0"/>
        </w:rPr>
      </w:r>
      <w:bookmarkStart w:name="_bookmark554" w:id="1366"/>
      <w:bookmarkEnd w:id="1366"/>
      <w:r>
        <w:rPr/>
        <w:t>Cos</w:t>
      </w:r>
      <w:r>
        <w:rPr/>
        <w:t>t pass</w:t>
      </w:r>
      <w:r>
        <w:rPr>
          <w:spacing w:val="-2"/>
        </w:rPr>
        <w:t> </w:t>
      </w:r>
      <w:r>
        <w:rPr/>
        <w:t>through</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6.6.1(a1)(4), (c)(6)(iii), (l) and (m) have no effect in this jurisdiction until the </w:t>
      </w:r>
      <w:r>
        <w:rPr>
          <w:i/>
          <w:sz w:val="20"/>
        </w:rPr>
        <w:t>National </w:t>
      </w:r>
      <w:r>
        <w:rPr>
          <w:i/>
          <w:sz w:val="20"/>
        </w:rPr>
        <w:t>Energy Retail Law </w:t>
      </w:r>
      <w:r>
        <w:rPr>
          <w:sz w:val="20"/>
        </w:rPr>
        <w:t>is applied as a law of this jurisdiction (see regulation 5A of the </w:t>
      </w:r>
      <w:r>
        <w:rPr>
          <w:i/>
          <w:sz w:val="20"/>
        </w:rPr>
        <w:t>National </w:t>
      </w:r>
      <w:r>
        <w:rPr>
          <w:i/>
          <w:sz w:val="20"/>
        </w:rPr>
        <w:t>Electricity (Northern Territory) (National Uniform Legislation) (Modification) Regulations)</w:t>
      </w:r>
      <w:r>
        <w:rPr>
          <w:sz w:val="20"/>
        </w:rPr>
        <w:t>.</w:t>
      </w:r>
    </w:p>
    <w:p>
      <w:pPr>
        <w:spacing w:before="120"/>
        <w:ind w:left="1919" w:right="416" w:hanging="567"/>
        <w:jc w:val="both"/>
        <w:rPr>
          <w:sz w:val="24"/>
        </w:rPr>
      </w:pPr>
      <w:r>
        <w:rPr>
          <w:sz w:val="24"/>
        </w:rPr>
        <w:t>(a1) Any of the following is a </w:t>
      </w:r>
      <w:r>
        <w:rPr>
          <w:i/>
          <w:sz w:val="24"/>
        </w:rPr>
        <w:t>pass through event </w:t>
      </w:r>
      <w:r>
        <w:rPr>
          <w:sz w:val="24"/>
        </w:rPr>
        <w:t>for a  distribution  determination:</w:t>
      </w:r>
    </w:p>
    <w:p>
      <w:pPr>
        <w:spacing w:before="120"/>
        <w:ind w:left="2486" w:right="415" w:hanging="567"/>
        <w:jc w:val="both"/>
        <w:rPr>
          <w:sz w:val="24"/>
        </w:rPr>
      </w:pPr>
      <w:r>
        <w:rPr>
          <w:sz w:val="24"/>
        </w:rPr>
        <w:t>(1AA) a local event prescribed by the </w:t>
      </w:r>
      <w:r>
        <w:rPr>
          <w:i/>
          <w:sz w:val="24"/>
        </w:rPr>
        <w:t>National Electricity (Northern </w:t>
      </w:r>
      <w:r>
        <w:rPr>
          <w:i/>
          <w:sz w:val="24"/>
        </w:rPr>
        <w:t>Territory) (National Uniform Legislation) (Modification) Regulations</w:t>
      </w:r>
      <w:r>
        <w:rPr>
          <w:sz w:val="24"/>
        </w:rPr>
        <w:t>;</w:t>
      </w:r>
    </w:p>
    <w:p>
      <w:pPr>
        <w:spacing w:before="120"/>
        <w:ind w:left="2486" w:right="0" w:firstLine="0"/>
        <w:jc w:val="left"/>
        <w:rPr>
          <w:rFonts w:ascii="Arial"/>
          <w:b/>
          <w:sz w:val="20"/>
        </w:rPr>
      </w:pPr>
      <w:r>
        <w:rPr>
          <w:rFonts w:ascii="Arial"/>
          <w:b/>
          <w:sz w:val="20"/>
        </w:rPr>
        <w:t>Notes:</w:t>
      </w:r>
    </w:p>
    <w:p>
      <w:pPr>
        <w:pStyle w:val="ListParagraph"/>
        <w:numPr>
          <w:ilvl w:val="3"/>
          <w:numId w:val="398"/>
        </w:numPr>
        <w:tabs>
          <w:tab w:pos="3098" w:val="left" w:leader="none"/>
        </w:tabs>
        <w:spacing w:line="240" w:lineRule="auto" w:before="120" w:after="0"/>
        <w:ind w:left="2486" w:right="416" w:firstLine="0"/>
        <w:jc w:val="both"/>
        <w:rPr>
          <w:sz w:val="20"/>
        </w:rPr>
      </w:pPr>
      <w:r>
        <w:rPr>
          <w:sz w:val="20"/>
        </w:rPr>
        <w:t>See Part 3 of the </w:t>
      </w:r>
      <w:r>
        <w:rPr>
          <w:i/>
          <w:sz w:val="20"/>
        </w:rPr>
        <w:t>National Electricity (Northern Territory) (National </w:t>
      </w:r>
      <w:r>
        <w:rPr>
          <w:i/>
          <w:sz w:val="20"/>
        </w:rPr>
        <w:t>Uniform Legislation) (Modification) Regulations </w:t>
      </w:r>
      <w:r>
        <w:rPr>
          <w:sz w:val="20"/>
        </w:rPr>
        <w:t>for modifications to the operation of this clause 6.6.1 in relation to a local</w:t>
      </w:r>
      <w:r>
        <w:rPr>
          <w:spacing w:val="-1"/>
          <w:sz w:val="20"/>
        </w:rPr>
        <w:t> </w:t>
      </w:r>
      <w:r>
        <w:rPr>
          <w:sz w:val="20"/>
        </w:rPr>
        <w:t>event.</w:t>
      </w:r>
    </w:p>
    <w:p>
      <w:pPr>
        <w:pStyle w:val="ListParagraph"/>
        <w:numPr>
          <w:ilvl w:val="3"/>
          <w:numId w:val="398"/>
        </w:numPr>
        <w:tabs>
          <w:tab w:pos="3098" w:val="left" w:leader="none"/>
        </w:tabs>
        <w:spacing w:line="240" w:lineRule="auto" w:before="120" w:after="0"/>
        <w:ind w:left="2486" w:right="416" w:firstLine="0"/>
        <w:jc w:val="both"/>
        <w:rPr>
          <w:sz w:val="20"/>
        </w:rPr>
      </w:pPr>
      <w:r>
        <w:rPr>
          <w:sz w:val="20"/>
        </w:rPr>
        <w:t>Subparagraph (1AA) expires when the </w:t>
      </w:r>
      <w:r>
        <w:rPr>
          <w:i/>
          <w:sz w:val="20"/>
        </w:rPr>
        <w:t>National Energy Retail Law </w:t>
      </w:r>
      <w:r>
        <w:rPr>
          <w:sz w:val="20"/>
        </w:rPr>
        <w:t>is applied as a law of this</w:t>
      </w:r>
      <w:r>
        <w:rPr>
          <w:spacing w:val="-1"/>
          <w:sz w:val="20"/>
        </w:rPr>
        <w:t> </w:t>
      </w:r>
      <w:r>
        <w:rPr>
          <w:sz w:val="20"/>
        </w:rPr>
        <w:t>jurisdiction.</w:t>
      </w:r>
    </w:p>
    <w:p>
      <w:pPr>
        <w:spacing w:before="120"/>
        <w:ind w:left="2486" w:right="415" w:hanging="567"/>
        <w:jc w:val="both"/>
        <w:rPr>
          <w:sz w:val="24"/>
        </w:rPr>
      </w:pPr>
      <w:r>
        <w:rPr>
          <w:sz w:val="24"/>
        </w:rPr>
        <w:t>(1AB) a NT transitional regulatory change event prescribed  by  the </w:t>
      </w:r>
      <w:r>
        <w:rPr>
          <w:i/>
          <w:sz w:val="24"/>
        </w:rPr>
        <w:t>National Electricity (Northern Territory) (National Uniform </w:t>
      </w:r>
      <w:r>
        <w:rPr>
          <w:i/>
          <w:sz w:val="24"/>
        </w:rPr>
        <w:t>Legislation) (Modification)</w:t>
      </w:r>
      <w:r>
        <w:rPr>
          <w:i/>
          <w:spacing w:val="-1"/>
          <w:sz w:val="24"/>
        </w:rPr>
        <w:t> </w:t>
      </w:r>
      <w:r>
        <w:rPr>
          <w:i/>
          <w:sz w:val="24"/>
        </w:rPr>
        <w:t>Regulations</w:t>
      </w:r>
      <w:r>
        <w:rPr>
          <w:sz w:val="24"/>
        </w:rPr>
        <w:t>;</w:t>
      </w:r>
    </w:p>
    <w:p>
      <w:pPr>
        <w:spacing w:after="0"/>
        <w:jc w:val="both"/>
        <w:rPr>
          <w:sz w:val="24"/>
        </w:rPr>
        <w:sectPr>
          <w:pgSz w:w="11910" w:h="16840"/>
          <w:pgMar w:header="686" w:footer="637" w:top="1320" w:bottom="820" w:left="1200" w:right="1000"/>
        </w:sectPr>
      </w:pPr>
    </w:p>
    <w:p>
      <w:pPr>
        <w:spacing w:before="83"/>
        <w:ind w:left="2486" w:right="0" w:firstLine="0"/>
        <w:jc w:val="left"/>
        <w:rPr>
          <w:rFonts w:ascii="Arial"/>
          <w:b/>
          <w:sz w:val="20"/>
        </w:rPr>
      </w:pPr>
      <w:r>
        <w:rPr>
          <w:rFonts w:ascii="Arial"/>
          <w:b/>
          <w:sz w:val="20"/>
        </w:rPr>
        <w:t>Note:</w:t>
      </w:r>
    </w:p>
    <w:p>
      <w:pPr>
        <w:pStyle w:val="ListParagraph"/>
        <w:numPr>
          <w:ilvl w:val="0"/>
          <w:numId w:val="399"/>
        </w:numPr>
        <w:tabs>
          <w:tab w:pos="3098" w:val="left" w:leader="none"/>
        </w:tabs>
        <w:spacing w:line="240" w:lineRule="auto" w:before="120" w:after="0"/>
        <w:ind w:left="2486" w:right="415" w:firstLine="0"/>
        <w:jc w:val="both"/>
        <w:rPr>
          <w:sz w:val="20"/>
        </w:rPr>
      </w:pPr>
      <w:r>
        <w:rPr>
          <w:sz w:val="20"/>
        </w:rPr>
        <w:t>See Part 3 of the National Electricity (Northern Territory) (National Uniform Legislation) (Modification) Regulations for modifications to the operation of this clause 6.6.1 in relation to a NT transitional regulatory change</w:t>
      </w:r>
      <w:r>
        <w:rPr>
          <w:spacing w:val="-3"/>
          <w:sz w:val="20"/>
        </w:rPr>
        <w:t> </w:t>
      </w:r>
      <w:r>
        <w:rPr>
          <w:sz w:val="20"/>
        </w:rPr>
        <w:t>event</w:t>
      </w:r>
    </w:p>
    <w:p>
      <w:pPr>
        <w:pStyle w:val="ListParagraph"/>
        <w:numPr>
          <w:ilvl w:val="0"/>
          <w:numId w:val="399"/>
        </w:numPr>
        <w:tabs>
          <w:tab w:pos="3097" w:val="left" w:leader="none"/>
          <w:tab w:pos="3098" w:val="left" w:leader="none"/>
        </w:tabs>
        <w:spacing w:line="240" w:lineRule="auto" w:before="120" w:after="0"/>
        <w:ind w:left="3098" w:right="0" w:hanging="612"/>
        <w:jc w:val="left"/>
        <w:rPr>
          <w:sz w:val="20"/>
        </w:rPr>
      </w:pPr>
      <w:r>
        <w:rPr>
          <w:sz w:val="20"/>
        </w:rPr>
        <w:t>Subparagraph (1AB) expires on 1 July</w:t>
      </w:r>
      <w:r>
        <w:rPr>
          <w:spacing w:val="-4"/>
          <w:sz w:val="20"/>
        </w:rPr>
        <w:t> </w:t>
      </w:r>
      <w:r>
        <w:rPr>
          <w:sz w:val="20"/>
        </w:rPr>
        <w:t>2024.</w:t>
      </w:r>
    </w:p>
    <w:p>
      <w:pPr>
        <w:pStyle w:val="ListParagraph"/>
        <w:numPr>
          <w:ilvl w:val="0"/>
          <w:numId w:val="400"/>
        </w:numPr>
        <w:tabs>
          <w:tab w:pos="2485" w:val="left" w:leader="none"/>
          <w:tab w:pos="2486" w:val="left" w:leader="none"/>
        </w:tabs>
        <w:spacing w:line="240" w:lineRule="auto" w:before="120" w:after="0"/>
        <w:ind w:left="2485" w:right="0" w:hanging="567"/>
        <w:jc w:val="left"/>
        <w:rPr>
          <w:sz w:val="24"/>
        </w:rPr>
      </w:pPr>
      <w:r>
        <w:rPr>
          <w:sz w:val="24"/>
        </w:rPr>
        <w:t>a </w:t>
      </w:r>
      <w:r>
        <w:rPr>
          <w:i/>
          <w:sz w:val="24"/>
        </w:rPr>
        <w:t>regulatory change</w:t>
      </w:r>
      <w:r>
        <w:rPr>
          <w:i/>
          <w:spacing w:val="-2"/>
          <w:sz w:val="24"/>
        </w:rPr>
        <w:t> </w:t>
      </w:r>
      <w:r>
        <w:rPr>
          <w:i/>
          <w:sz w:val="24"/>
        </w:rPr>
        <w:t>event</w:t>
      </w:r>
      <w:r>
        <w:rPr>
          <w:sz w:val="24"/>
        </w:rPr>
        <w:t>;</w:t>
      </w:r>
    </w:p>
    <w:p>
      <w:pPr>
        <w:pStyle w:val="ListParagraph"/>
        <w:numPr>
          <w:ilvl w:val="0"/>
          <w:numId w:val="400"/>
        </w:numPr>
        <w:tabs>
          <w:tab w:pos="2485" w:val="left" w:leader="none"/>
          <w:tab w:pos="2486" w:val="left" w:leader="none"/>
        </w:tabs>
        <w:spacing w:line="240" w:lineRule="auto" w:before="120" w:after="0"/>
        <w:ind w:left="2485" w:right="0" w:hanging="567"/>
        <w:jc w:val="left"/>
        <w:rPr>
          <w:sz w:val="24"/>
        </w:rPr>
      </w:pPr>
      <w:r>
        <w:rPr>
          <w:sz w:val="24"/>
        </w:rPr>
        <w:t>a </w:t>
      </w:r>
      <w:r>
        <w:rPr>
          <w:i/>
          <w:sz w:val="24"/>
        </w:rPr>
        <w:t>service standard</w:t>
      </w:r>
      <w:r>
        <w:rPr>
          <w:i/>
          <w:spacing w:val="-2"/>
          <w:sz w:val="24"/>
        </w:rPr>
        <w:t> </w:t>
      </w:r>
      <w:r>
        <w:rPr>
          <w:i/>
          <w:sz w:val="24"/>
        </w:rPr>
        <w:t>event</w:t>
      </w:r>
      <w:r>
        <w:rPr>
          <w:sz w:val="24"/>
        </w:rPr>
        <w:t>;</w:t>
      </w:r>
    </w:p>
    <w:p>
      <w:pPr>
        <w:pStyle w:val="ListParagraph"/>
        <w:numPr>
          <w:ilvl w:val="0"/>
          <w:numId w:val="400"/>
        </w:numPr>
        <w:tabs>
          <w:tab w:pos="2485" w:val="left" w:leader="none"/>
          <w:tab w:pos="2486" w:val="left" w:leader="none"/>
        </w:tabs>
        <w:spacing w:line="240" w:lineRule="auto" w:before="120" w:after="0"/>
        <w:ind w:left="2485" w:right="0" w:hanging="567"/>
        <w:jc w:val="left"/>
        <w:rPr>
          <w:sz w:val="24"/>
        </w:rPr>
      </w:pPr>
      <w:r>
        <w:rPr>
          <w:sz w:val="24"/>
        </w:rPr>
        <w:t>a </w:t>
      </w:r>
      <w:r>
        <w:rPr>
          <w:i/>
          <w:sz w:val="24"/>
        </w:rPr>
        <w:t>tax change</w:t>
      </w:r>
      <w:r>
        <w:rPr>
          <w:i/>
          <w:spacing w:val="-1"/>
          <w:sz w:val="24"/>
        </w:rPr>
        <w:t> </w:t>
      </w:r>
      <w:r>
        <w:rPr>
          <w:i/>
          <w:sz w:val="24"/>
        </w:rPr>
        <w:t>event</w:t>
      </w:r>
      <w:r>
        <w:rPr>
          <w:sz w:val="24"/>
        </w:rPr>
        <w:t>;</w:t>
      </w:r>
    </w:p>
    <w:p>
      <w:pPr>
        <w:pStyle w:val="ListParagraph"/>
        <w:numPr>
          <w:ilvl w:val="0"/>
          <w:numId w:val="400"/>
        </w:numPr>
        <w:tabs>
          <w:tab w:pos="2485" w:val="left" w:leader="none"/>
          <w:tab w:pos="2486" w:val="left" w:leader="none"/>
        </w:tabs>
        <w:spacing w:line="240" w:lineRule="auto" w:before="120" w:after="0"/>
        <w:ind w:left="2485" w:right="0" w:hanging="567"/>
        <w:jc w:val="left"/>
        <w:rPr>
          <w:sz w:val="24"/>
        </w:rPr>
      </w:pPr>
      <w:r>
        <w:rPr>
          <w:sz w:val="24"/>
        </w:rPr>
        <w:t>a </w:t>
      </w:r>
      <w:r>
        <w:rPr>
          <w:i/>
          <w:sz w:val="24"/>
        </w:rPr>
        <w:t>retailer insolvency event</w:t>
      </w:r>
      <w:r>
        <w:rPr>
          <w:sz w:val="24"/>
        </w:rPr>
        <w:t>;</w:t>
      </w:r>
      <w:r>
        <w:rPr>
          <w:spacing w:val="-2"/>
          <w:sz w:val="24"/>
        </w:rPr>
        <w:t> </w:t>
      </w:r>
      <w:r>
        <w:rPr>
          <w:sz w:val="24"/>
        </w:rPr>
        <w:t>and</w:t>
      </w:r>
    </w:p>
    <w:p>
      <w:pPr>
        <w:pStyle w:val="ListParagraph"/>
        <w:numPr>
          <w:ilvl w:val="0"/>
          <w:numId w:val="400"/>
        </w:numPr>
        <w:tabs>
          <w:tab w:pos="2485" w:val="left" w:leader="none"/>
          <w:tab w:pos="2486" w:val="left" w:leader="none"/>
        </w:tabs>
        <w:spacing w:line="240" w:lineRule="auto" w:before="120" w:after="0"/>
        <w:ind w:left="2486" w:right="417" w:hanging="567"/>
        <w:jc w:val="left"/>
        <w:rPr>
          <w:sz w:val="24"/>
        </w:rPr>
      </w:pPr>
      <w:r>
        <w:rPr>
          <w:sz w:val="24"/>
        </w:rPr>
        <w:t>any other event specified in a distribution determination as a </w:t>
      </w:r>
      <w:r>
        <w:rPr>
          <w:i/>
          <w:spacing w:val="-3"/>
          <w:sz w:val="24"/>
        </w:rPr>
        <w:t>pass </w:t>
      </w:r>
      <w:r>
        <w:rPr>
          <w:i/>
          <w:sz w:val="24"/>
        </w:rPr>
        <w:t>through event </w:t>
      </w:r>
      <w:r>
        <w:rPr>
          <w:sz w:val="24"/>
        </w:rPr>
        <w:t>for the</w:t>
      </w:r>
      <w:r>
        <w:rPr>
          <w:spacing w:val="-2"/>
          <w:sz w:val="24"/>
        </w:rPr>
        <w:t> </w:t>
      </w:r>
      <w:r>
        <w:rPr>
          <w:sz w:val="24"/>
        </w:rPr>
        <w:t>determination.</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If a </w:t>
      </w:r>
      <w:r>
        <w:rPr>
          <w:i/>
          <w:sz w:val="24"/>
        </w:rPr>
        <w:t>positive change event </w:t>
      </w:r>
      <w:r>
        <w:rPr>
          <w:sz w:val="24"/>
        </w:rPr>
        <w:t>occurs, a </w:t>
      </w:r>
      <w:r>
        <w:rPr>
          <w:i/>
          <w:sz w:val="24"/>
        </w:rPr>
        <w:t>Distribution Network Service Provider </w:t>
      </w:r>
      <w:r>
        <w:rPr>
          <w:sz w:val="24"/>
        </w:rPr>
        <w:t>may seek the approval of the </w:t>
      </w:r>
      <w:r>
        <w:rPr>
          <w:i/>
          <w:sz w:val="24"/>
        </w:rPr>
        <w:t>AER </w:t>
      </w:r>
      <w:r>
        <w:rPr>
          <w:sz w:val="24"/>
        </w:rPr>
        <w:t>to pass through to </w:t>
      </w:r>
      <w:r>
        <w:rPr>
          <w:i/>
          <w:sz w:val="24"/>
        </w:rPr>
        <w:t>Distribution Network </w:t>
      </w:r>
      <w:r>
        <w:rPr>
          <w:i/>
          <w:sz w:val="24"/>
        </w:rPr>
        <w:t>Users </w:t>
      </w:r>
      <w:r>
        <w:rPr>
          <w:sz w:val="24"/>
        </w:rPr>
        <w:t>a </w:t>
      </w:r>
      <w:r>
        <w:rPr>
          <w:i/>
          <w:sz w:val="24"/>
        </w:rPr>
        <w:t>positive pass through</w:t>
      </w:r>
      <w:r>
        <w:rPr>
          <w:i/>
          <w:spacing w:val="-2"/>
          <w:sz w:val="24"/>
        </w:rPr>
        <w:t> </w:t>
      </w:r>
      <w:r>
        <w:rPr>
          <w:i/>
          <w:sz w:val="24"/>
        </w:rPr>
        <w:t>amount</w:t>
      </w:r>
      <w:r>
        <w:rPr>
          <w:sz w:val="24"/>
        </w:rPr>
        <w:t>.</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If a </w:t>
      </w:r>
      <w:r>
        <w:rPr>
          <w:i/>
          <w:sz w:val="24"/>
        </w:rPr>
        <w:t>negative change event </w:t>
      </w:r>
      <w:r>
        <w:rPr>
          <w:sz w:val="24"/>
        </w:rPr>
        <w:t>occurs, the </w:t>
      </w:r>
      <w:r>
        <w:rPr>
          <w:i/>
          <w:sz w:val="24"/>
        </w:rPr>
        <w:t>AER </w:t>
      </w:r>
      <w:r>
        <w:rPr>
          <w:sz w:val="24"/>
        </w:rPr>
        <w:t>may require the </w:t>
      </w:r>
      <w:r>
        <w:rPr>
          <w:i/>
          <w:sz w:val="24"/>
        </w:rPr>
        <w:t>Distribution </w:t>
      </w:r>
      <w:r>
        <w:rPr>
          <w:i/>
          <w:sz w:val="24"/>
        </w:rPr>
        <w:t>Network Service Provider </w:t>
      </w:r>
      <w:r>
        <w:rPr>
          <w:sz w:val="24"/>
        </w:rPr>
        <w:t>to pass through to </w:t>
      </w:r>
      <w:r>
        <w:rPr>
          <w:i/>
          <w:sz w:val="24"/>
        </w:rPr>
        <w:t>Distribution Network Users </w:t>
      </w:r>
      <w:r>
        <w:rPr>
          <w:sz w:val="24"/>
        </w:rPr>
        <w:t>a </w:t>
      </w:r>
      <w:r>
        <w:rPr>
          <w:i/>
          <w:sz w:val="24"/>
        </w:rPr>
        <w:t>negative pass through amount </w:t>
      </w:r>
      <w:r>
        <w:rPr>
          <w:sz w:val="24"/>
        </w:rPr>
        <w:t>as determined by the </w:t>
      </w:r>
      <w:r>
        <w:rPr>
          <w:i/>
          <w:sz w:val="24"/>
        </w:rPr>
        <w:t>AER </w:t>
      </w:r>
      <w:r>
        <w:rPr>
          <w:sz w:val="24"/>
        </w:rPr>
        <w:t>under paragraph (g).</w:t>
      </w:r>
    </w:p>
    <w:p>
      <w:pPr>
        <w:spacing w:before="220"/>
        <w:ind w:left="1356" w:right="0" w:firstLine="0"/>
        <w:jc w:val="left"/>
        <w:rPr>
          <w:rFonts w:ascii="Arial"/>
          <w:b/>
          <w:sz w:val="22"/>
        </w:rPr>
      </w:pPr>
      <w:r>
        <w:rPr>
          <w:rFonts w:ascii="Arial"/>
          <w:b/>
          <w:sz w:val="22"/>
        </w:rPr>
        <w:t>Positive pass through</w:t>
      </w:r>
    </w:p>
    <w:p>
      <w:pPr>
        <w:pStyle w:val="ListParagraph"/>
        <w:numPr>
          <w:ilvl w:val="0"/>
          <w:numId w:val="401"/>
        </w:numPr>
        <w:tabs>
          <w:tab w:pos="1919" w:val="left" w:leader="none"/>
        </w:tabs>
        <w:spacing w:line="240" w:lineRule="auto" w:before="120" w:after="0"/>
        <w:ind w:left="1919" w:right="414" w:hanging="567"/>
        <w:jc w:val="both"/>
        <w:rPr>
          <w:sz w:val="24"/>
        </w:rPr>
      </w:pPr>
      <w:r>
        <w:rPr>
          <w:sz w:val="24"/>
        </w:rPr>
        <w:t>To seek the approval of the </w:t>
      </w:r>
      <w:r>
        <w:rPr>
          <w:i/>
          <w:sz w:val="24"/>
        </w:rPr>
        <w:t>AER </w:t>
      </w:r>
      <w:r>
        <w:rPr>
          <w:sz w:val="24"/>
        </w:rPr>
        <w:t>to pass through a </w:t>
      </w:r>
      <w:r>
        <w:rPr>
          <w:i/>
          <w:sz w:val="24"/>
        </w:rPr>
        <w:t>positive pass through </w:t>
      </w:r>
      <w:r>
        <w:rPr>
          <w:i/>
          <w:sz w:val="24"/>
        </w:rPr>
        <w:t>amount</w:t>
      </w:r>
      <w:r>
        <w:rPr>
          <w:sz w:val="24"/>
        </w:rPr>
        <w:t>, a </w:t>
      </w:r>
      <w:r>
        <w:rPr>
          <w:i/>
          <w:sz w:val="24"/>
        </w:rPr>
        <w:t>Distribution Network Service Provider </w:t>
      </w:r>
      <w:r>
        <w:rPr>
          <w:sz w:val="24"/>
        </w:rPr>
        <w:t>must submit to the </w:t>
      </w:r>
      <w:r>
        <w:rPr>
          <w:i/>
          <w:sz w:val="24"/>
        </w:rPr>
        <w:t>AER</w:t>
      </w:r>
      <w:r>
        <w:rPr>
          <w:sz w:val="24"/>
        </w:rPr>
        <w:t>, within 90 </w:t>
      </w:r>
      <w:r>
        <w:rPr>
          <w:i/>
          <w:sz w:val="24"/>
        </w:rPr>
        <w:t>business days </w:t>
      </w:r>
      <w:r>
        <w:rPr>
          <w:sz w:val="24"/>
        </w:rPr>
        <w:t>of the relevant </w:t>
      </w:r>
      <w:r>
        <w:rPr>
          <w:i/>
          <w:sz w:val="24"/>
        </w:rPr>
        <w:t>positive change event </w:t>
      </w:r>
      <w:r>
        <w:rPr>
          <w:sz w:val="24"/>
        </w:rPr>
        <w:t>occurring, a written statement which</w:t>
      </w:r>
      <w:r>
        <w:rPr>
          <w:spacing w:val="-2"/>
          <w:sz w:val="24"/>
        </w:rPr>
        <w:t> </w:t>
      </w:r>
      <w:r>
        <w:rPr>
          <w:sz w:val="24"/>
        </w:rPr>
        <w:t>specifies:</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details of the </w:t>
      </w:r>
      <w:r>
        <w:rPr>
          <w:i/>
          <w:sz w:val="24"/>
        </w:rPr>
        <w:t>positive change</w:t>
      </w:r>
      <w:r>
        <w:rPr>
          <w:i/>
          <w:spacing w:val="-2"/>
          <w:sz w:val="24"/>
        </w:rPr>
        <w:t> </w:t>
      </w:r>
      <w:r>
        <w:rPr>
          <w:i/>
          <w:sz w:val="24"/>
        </w:rPr>
        <w:t>event</w:t>
      </w:r>
      <w:r>
        <w:rPr>
          <w:sz w:val="24"/>
        </w:rPr>
        <w:t>;</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date on which the </w:t>
      </w:r>
      <w:r>
        <w:rPr>
          <w:i/>
          <w:sz w:val="24"/>
        </w:rPr>
        <w:t>positive change event</w:t>
      </w:r>
      <w:r>
        <w:rPr>
          <w:i/>
          <w:spacing w:val="-3"/>
          <w:sz w:val="24"/>
        </w:rPr>
        <w:t> </w:t>
      </w:r>
      <w:r>
        <w:rPr>
          <w:sz w:val="24"/>
        </w:rPr>
        <w:t>occurred;</w:t>
      </w:r>
    </w:p>
    <w:p>
      <w:pPr>
        <w:pStyle w:val="ListParagraph"/>
        <w:numPr>
          <w:ilvl w:val="1"/>
          <w:numId w:val="401"/>
        </w:numPr>
        <w:tabs>
          <w:tab w:pos="2486" w:val="left" w:leader="none"/>
        </w:tabs>
        <w:spacing w:line="240" w:lineRule="auto" w:before="120" w:after="0"/>
        <w:ind w:left="2486" w:right="414" w:hanging="567"/>
        <w:jc w:val="both"/>
        <w:rPr>
          <w:sz w:val="24"/>
        </w:rPr>
      </w:pPr>
      <w:r>
        <w:rPr>
          <w:sz w:val="24"/>
        </w:rPr>
        <w:t>the </w:t>
      </w:r>
      <w:r>
        <w:rPr>
          <w:i/>
          <w:sz w:val="24"/>
        </w:rPr>
        <w:t>eligible pass through amount </w:t>
      </w:r>
      <w:r>
        <w:rPr>
          <w:sz w:val="24"/>
        </w:rPr>
        <w:t>in respect of that </w:t>
      </w:r>
      <w:r>
        <w:rPr>
          <w:i/>
          <w:sz w:val="24"/>
        </w:rPr>
        <w:t>positive change </w:t>
      </w:r>
      <w:r>
        <w:rPr>
          <w:i/>
          <w:sz w:val="24"/>
        </w:rPr>
        <w:t>event</w:t>
      </w:r>
      <w:r>
        <w:rPr>
          <w:sz w:val="24"/>
        </w:rPr>
        <w:t>;</w:t>
      </w:r>
    </w:p>
    <w:p>
      <w:pPr>
        <w:pStyle w:val="ListParagraph"/>
        <w:numPr>
          <w:ilvl w:val="1"/>
          <w:numId w:val="401"/>
        </w:numPr>
        <w:tabs>
          <w:tab w:pos="2486" w:val="left" w:leader="none"/>
        </w:tabs>
        <w:spacing w:line="240" w:lineRule="auto" w:before="120" w:after="0"/>
        <w:ind w:left="2486" w:right="416" w:hanging="567"/>
        <w:jc w:val="both"/>
        <w:rPr>
          <w:sz w:val="24"/>
        </w:rPr>
      </w:pPr>
      <w:r>
        <w:rPr>
          <w:sz w:val="24"/>
        </w:rPr>
        <w:t>the </w:t>
      </w:r>
      <w:r>
        <w:rPr>
          <w:i/>
          <w:sz w:val="24"/>
        </w:rPr>
        <w:t>positive pass through amount </w:t>
      </w:r>
      <w:r>
        <w:rPr>
          <w:sz w:val="24"/>
        </w:rPr>
        <w:t>the </w:t>
      </w:r>
      <w:r>
        <w:rPr>
          <w:i/>
          <w:sz w:val="24"/>
        </w:rPr>
        <w:t>Distribution Network Service </w:t>
      </w:r>
      <w:r>
        <w:rPr>
          <w:i/>
          <w:sz w:val="24"/>
        </w:rPr>
        <w:t>Provider </w:t>
      </w:r>
      <w:r>
        <w:rPr>
          <w:sz w:val="24"/>
        </w:rPr>
        <w:t>proposes in relation to the </w:t>
      </w:r>
      <w:r>
        <w:rPr>
          <w:i/>
          <w:sz w:val="24"/>
        </w:rPr>
        <w:t>positive change</w:t>
      </w:r>
      <w:r>
        <w:rPr>
          <w:i/>
          <w:spacing w:val="-2"/>
          <w:sz w:val="24"/>
        </w:rPr>
        <w:t> </w:t>
      </w:r>
      <w:r>
        <w:rPr>
          <w:i/>
          <w:sz w:val="24"/>
        </w:rPr>
        <w:t>event</w:t>
      </w:r>
      <w:r>
        <w:rPr>
          <w:sz w:val="24"/>
        </w:rPr>
        <w:t>;</w:t>
      </w:r>
    </w:p>
    <w:p>
      <w:pPr>
        <w:pStyle w:val="ListParagraph"/>
        <w:numPr>
          <w:ilvl w:val="1"/>
          <w:numId w:val="401"/>
        </w:numPr>
        <w:tabs>
          <w:tab w:pos="2486" w:val="left" w:leader="none"/>
        </w:tabs>
        <w:spacing w:line="240" w:lineRule="auto" w:before="120" w:after="0"/>
        <w:ind w:left="2486" w:right="414" w:hanging="567"/>
        <w:jc w:val="both"/>
        <w:rPr>
          <w:sz w:val="24"/>
        </w:rPr>
      </w:pPr>
      <w:r>
        <w:rPr>
          <w:sz w:val="24"/>
        </w:rPr>
        <w:t>the amount of the </w:t>
      </w:r>
      <w:r>
        <w:rPr>
          <w:i/>
          <w:sz w:val="24"/>
        </w:rPr>
        <w:t>positive pass through amount </w:t>
      </w:r>
      <w:r>
        <w:rPr>
          <w:sz w:val="24"/>
        </w:rPr>
        <w:t>that the </w:t>
      </w:r>
      <w:r>
        <w:rPr>
          <w:i/>
          <w:sz w:val="24"/>
        </w:rPr>
        <w:t>Distribution </w:t>
      </w:r>
      <w:r>
        <w:rPr>
          <w:i/>
          <w:sz w:val="24"/>
        </w:rPr>
        <w:t>Network Service Provider </w:t>
      </w:r>
      <w:r>
        <w:rPr>
          <w:sz w:val="24"/>
        </w:rPr>
        <w:t>proposes should be passed through to </w:t>
      </w:r>
      <w:r>
        <w:rPr>
          <w:i/>
          <w:sz w:val="24"/>
        </w:rPr>
        <w:t>Distribution Network Users </w:t>
      </w:r>
      <w:r>
        <w:rPr>
          <w:sz w:val="24"/>
        </w:rPr>
        <w:t>in the </w:t>
      </w:r>
      <w:r>
        <w:rPr>
          <w:i/>
          <w:sz w:val="24"/>
        </w:rPr>
        <w:t>regulatory year </w:t>
      </w:r>
      <w:r>
        <w:rPr>
          <w:sz w:val="24"/>
        </w:rPr>
        <w:t>in which, and each </w:t>
      </w:r>
      <w:r>
        <w:rPr>
          <w:i/>
          <w:sz w:val="24"/>
        </w:rPr>
        <w:t>regulatory year </w:t>
      </w:r>
      <w:r>
        <w:rPr>
          <w:sz w:val="24"/>
        </w:rPr>
        <w:t>after that in which, the </w:t>
      </w:r>
      <w:r>
        <w:rPr>
          <w:i/>
          <w:sz w:val="24"/>
        </w:rPr>
        <w:t>positive change event </w:t>
      </w:r>
      <w:r>
        <w:rPr>
          <w:sz w:val="24"/>
        </w:rPr>
        <w:t>occurred;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evidence:</w:t>
      </w:r>
    </w:p>
    <w:p>
      <w:pPr>
        <w:pStyle w:val="ListParagraph"/>
        <w:numPr>
          <w:ilvl w:val="2"/>
          <w:numId w:val="401"/>
        </w:numPr>
        <w:tabs>
          <w:tab w:pos="3052" w:val="left" w:leader="none"/>
          <w:tab w:pos="3053" w:val="left" w:leader="none"/>
        </w:tabs>
        <w:spacing w:line="240" w:lineRule="auto" w:before="120" w:after="0"/>
        <w:ind w:left="3053" w:right="414" w:hanging="567"/>
        <w:jc w:val="left"/>
        <w:rPr>
          <w:sz w:val="24"/>
        </w:rPr>
      </w:pPr>
      <w:r>
        <w:rPr>
          <w:sz w:val="24"/>
        </w:rPr>
        <w:t>of the actual and likely increase in costs referred to in subparagraph</w:t>
      </w:r>
      <w:r>
        <w:rPr>
          <w:spacing w:val="-2"/>
          <w:sz w:val="24"/>
        </w:rPr>
        <w:t> </w:t>
      </w:r>
      <w:r>
        <w:rPr>
          <w:sz w:val="24"/>
        </w:rPr>
        <w:t>(3);</w:t>
      </w:r>
    </w:p>
    <w:p>
      <w:pPr>
        <w:pStyle w:val="ListParagraph"/>
        <w:numPr>
          <w:ilvl w:val="2"/>
          <w:numId w:val="401"/>
        </w:numPr>
        <w:tabs>
          <w:tab w:pos="3052" w:val="left" w:leader="none"/>
          <w:tab w:pos="3054" w:val="left" w:leader="none"/>
        </w:tabs>
        <w:spacing w:line="240" w:lineRule="auto" w:before="120" w:after="0"/>
        <w:ind w:left="3053" w:right="416" w:hanging="567"/>
        <w:jc w:val="left"/>
        <w:rPr>
          <w:sz w:val="24"/>
        </w:rPr>
      </w:pPr>
      <w:r>
        <w:rPr>
          <w:sz w:val="24"/>
        </w:rPr>
        <w:t>that such costs occur solely as a consequence of the </w:t>
      </w:r>
      <w:r>
        <w:rPr>
          <w:i/>
          <w:sz w:val="24"/>
        </w:rPr>
        <w:t>positive </w:t>
      </w:r>
      <w:r>
        <w:rPr>
          <w:i/>
          <w:sz w:val="24"/>
        </w:rPr>
        <w:t>change event</w:t>
      </w:r>
      <w:r>
        <w:rPr>
          <w:sz w:val="24"/>
        </w:rPr>
        <w:t>;</w:t>
      </w:r>
      <w:r>
        <w:rPr>
          <w:spacing w:val="-1"/>
          <w:sz w:val="24"/>
        </w:rPr>
        <w:t> </w:t>
      </w:r>
      <w:r>
        <w:rPr>
          <w:sz w:val="24"/>
        </w:rPr>
        <w:t>and</w:t>
      </w:r>
    </w:p>
    <w:p>
      <w:pPr>
        <w:pStyle w:val="ListParagraph"/>
        <w:numPr>
          <w:ilvl w:val="2"/>
          <w:numId w:val="401"/>
        </w:numPr>
        <w:tabs>
          <w:tab w:pos="3052" w:val="left" w:leader="none"/>
          <w:tab w:pos="3053" w:val="left" w:leader="none"/>
        </w:tabs>
        <w:spacing w:line="240" w:lineRule="auto" w:before="120" w:after="0"/>
        <w:ind w:left="3052" w:right="0" w:hanging="567"/>
        <w:jc w:val="left"/>
        <w:rPr>
          <w:sz w:val="24"/>
        </w:rPr>
      </w:pPr>
      <w:r>
        <w:rPr>
          <w:sz w:val="24"/>
        </w:rPr>
        <w:t>in relation to a </w:t>
      </w:r>
      <w:r>
        <w:rPr>
          <w:i/>
          <w:sz w:val="24"/>
        </w:rPr>
        <w:t>retailer insolvency event</w:t>
      </w:r>
      <w:r>
        <w:rPr>
          <w:sz w:val="24"/>
        </w:rPr>
        <w:t>, of</w:t>
      </w:r>
      <w:r>
        <w:rPr>
          <w:spacing w:val="-3"/>
          <w:sz w:val="24"/>
        </w:rPr>
        <w:t> </w:t>
      </w:r>
      <w:r>
        <w:rPr>
          <w:sz w:val="24"/>
        </w:rPr>
        <w:t>:</w:t>
      </w:r>
    </w:p>
    <w:p>
      <w:pPr>
        <w:pStyle w:val="ListParagraph"/>
        <w:numPr>
          <w:ilvl w:val="3"/>
          <w:numId w:val="401"/>
        </w:numPr>
        <w:tabs>
          <w:tab w:pos="3619" w:val="left" w:leader="none"/>
          <w:tab w:pos="3620" w:val="left" w:leader="none"/>
        </w:tabs>
        <w:spacing w:line="240" w:lineRule="auto" w:before="120" w:after="0"/>
        <w:ind w:left="3620" w:right="417" w:hanging="567"/>
        <w:jc w:val="left"/>
        <w:rPr>
          <w:sz w:val="24"/>
        </w:rPr>
      </w:pPr>
      <w:r>
        <w:rPr>
          <w:sz w:val="24"/>
        </w:rPr>
        <w:t>the amount to which the </w:t>
      </w:r>
      <w:r>
        <w:rPr>
          <w:i/>
          <w:sz w:val="24"/>
        </w:rPr>
        <w:t>Distribution Network Service </w:t>
      </w:r>
      <w:r>
        <w:rPr>
          <w:i/>
          <w:sz w:val="24"/>
        </w:rPr>
        <w:t>Provider </w:t>
      </w:r>
      <w:r>
        <w:rPr>
          <w:sz w:val="24"/>
        </w:rPr>
        <w:t>is entitled under any relevant </w:t>
      </w:r>
      <w:r>
        <w:rPr>
          <w:i/>
          <w:sz w:val="24"/>
        </w:rPr>
        <w:t>credit</w:t>
      </w:r>
      <w:r>
        <w:rPr>
          <w:i/>
          <w:spacing w:val="-6"/>
          <w:sz w:val="24"/>
        </w:rPr>
        <w:t> </w:t>
      </w:r>
      <w:r>
        <w:rPr>
          <w:i/>
          <w:sz w:val="24"/>
        </w:rPr>
        <w:t>support</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3"/>
          <w:numId w:val="401"/>
        </w:numPr>
        <w:tabs>
          <w:tab w:pos="3621" w:val="left" w:leader="none"/>
        </w:tabs>
        <w:spacing w:line="240" w:lineRule="auto" w:before="83" w:after="0"/>
        <w:ind w:left="3620" w:right="415" w:hanging="567"/>
        <w:jc w:val="both"/>
        <w:rPr>
          <w:sz w:val="24"/>
        </w:rPr>
      </w:pPr>
      <w:r>
        <w:rPr>
          <w:sz w:val="24"/>
        </w:rPr>
        <w:t>the maximum amount of </w:t>
      </w:r>
      <w:r>
        <w:rPr>
          <w:i/>
          <w:sz w:val="24"/>
        </w:rPr>
        <w:t>credit support </w:t>
      </w:r>
      <w:r>
        <w:rPr>
          <w:sz w:val="24"/>
        </w:rPr>
        <w:t>(if any) that the </w:t>
      </w:r>
      <w:r>
        <w:rPr>
          <w:i/>
          <w:sz w:val="24"/>
        </w:rPr>
        <w:t>Distribution Network Service </w:t>
      </w:r>
      <w:r>
        <w:rPr>
          <w:sz w:val="24"/>
        </w:rPr>
        <w:t>Provider was entitled to request the </w:t>
      </w:r>
      <w:r>
        <w:rPr>
          <w:i/>
          <w:sz w:val="24"/>
        </w:rPr>
        <w:t>retailer </w:t>
      </w:r>
      <w:r>
        <w:rPr>
          <w:sz w:val="24"/>
        </w:rPr>
        <w:t>to provide under the </w:t>
      </w:r>
      <w:r>
        <w:rPr>
          <w:i/>
          <w:sz w:val="24"/>
        </w:rPr>
        <w:t>credit support </w:t>
      </w:r>
      <w:r>
        <w:rPr>
          <w:sz w:val="24"/>
        </w:rPr>
        <w:t>rules; and</w:t>
      </w:r>
    </w:p>
    <w:p>
      <w:pPr>
        <w:pStyle w:val="ListParagraph"/>
        <w:numPr>
          <w:ilvl w:val="3"/>
          <w:numId w:val="401"/>
        </w:numPr>
        <w:tabs>
          <w:tab w:pos="3621" w:val="left" w:leader="none"/>
        </w:tabs>
        <w:spacing w:line="240" w:lineRule="auto" w:before="120" w:after="0"/>
        <w:ind w:left="3620" w:right="416" w:hanging="567"/>
        <w:jc w:val="both"/>
        <w:rPr>
          <w:sz w:val="24"/>
        </w:rPr>
      </w:pPr>
      <w:r>
        <w:rPr>
          <w:sz w:val="24"/>
        </w:rPr>
        <w:t>any amount that the </w:t>
      </w:r>
      <w:r>
        <w:rPr>
          <w:i/>
          <w:sz w:val="24"/>
        </w:rPr>
        <w:t>Distribution Network Service </w:t>
      </w:r>
      <w:r>
        <w:rPr>
          <w:sz w:val="24"/>
        </w:rPr>
        <w:t>Provider is likely to receive on a winding-up of the </w:t>
      </w:r>
      <w:r>
        <w:rPr>
          <w:i/>
          <w:sz w:val="24"/>
        </w:rPr>
        <w:t>retailer</w:t>
      </w:r>
      <w:r>
        <w:rPr>
          <w:sz w:val="24"/>
        </w:rPr>
        <w:t>;</w:t>
      </w:r>
      <w:r>
        <w:rPr>
          <w:spacing w:val="-11"/>
          <w:sz w:val="24"/>
        </w:rPr>
        <w:t> </w:t>
      </w:r>
      <w:r>
        <w:rPr>
          <w:sz w:val="24"/>
        </w:rPr>
        <w:t>and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such</w:t>
      </w:r>
      <w:r>
        <w:rPr>
          <w:spacing w:val="37"/>
          <w:sz w:val="24"/>
        </w:rPr>
        <w:t> </w:t>
      </w:r>
      <w:r>
        <w:rPr>
          <w:sz w:val="24"/>
        </w:rPr>
        <w:t>other</w:t>
      </w:r>
      <w:r>
        <w:rPr>
          <w:spacing w:val="39"/>
          <w:sz w:val="24"/>
        </w:rPr>
        <w:t> </w:t>
      </w:r>
      <w:r>
        <w:rPr>
          <w:sz w:val="24"/>
        </w:rPr>
        <w:t>information</w:t>
      </w:r>
      <w:r>
        <w:rPr>
          <w:spacing w:val="38"/>
          <w:sz w:val="24"/>
        </w:rPr>
        <w:t> </w:t>
      </w:r>
      <w:r>
        <w:rPr>
          <w:sz w:val="24"/>
        </w:rPr>
        <w:t>as</w:t>
      </w:r>
      <w:r>
        <w:rPr>
          <w:spacing w:val="39"/>
          <w:sz w:val="24"/>
        </w:rPr>
        <w:t> </w:t>
      </w:r>
      <w:r>
        <w:rPr>
          <w:sz w:val="24"/>
        </w:rPr>
        <w:t>may</w:t>
      </w:r>
      <w:r>
        <w:rPr>
          <w:spacing w:val="39"/>
          <w:sz w:val="24"/>
        </w:rPr>
        <w:t> </w:t>
      </w:r>
      <w:r>
        <w:rPr>
          <w:sz w:val="24"/>
        </w:rPr>
        <w:t>be</w:t>
      </w:r>
      <w:r>
        <w:rPr>
          <w:spacing w:val="38"/>
          <w:sz w:val="24"/>
        </w:rPr>
        <w:t> </w:t>
      </w:r>
      <w:r>
        <w:rPr>
          <w:sz w:val="24"/>
        </w:rPr>
        <w:t>required</w:t>
      </w:r>
      <w:r>
        <w:rPr>
          <w:spacing w:val="39"/>
          <w:sz w:val="24"/>
        </w:rPr>
        <w:t> </w:t>
      </w:r>
      <w:r>
        <w:rPr>
          <w:sz w:val="24"/>
        </w:rPr>
        <w:t>under</w:t>
      </w:r>
      <w:r>
        <w:rPr>
          <w:spacing w:val="39"/>
          <w:sz w:val="24"/>
        </w:rPr>
        <w:t> </w:t>
      </w:r>
      <w:r>
        <w:rPr>
          <w:sz w:val="24"/>
        </w:rPr>
        <w:t>any</w:t>
      </w:r>
      <w:r>
        <w:rPr>
          <w:spacing w:val="38"/>
          <w:sz w:val="24"/>
        </w:rPr>
        <w:t> </w:t>
      </w:r>
      <w:r>
        <w:rPr>
          <w:sz w:val="24"/>
        </w:rPr>
        <w:t>relevant</w:t>
      </w:r>
    </w:p>
    <w:p>
      <w:pPr>
        <w:spacing w:before="0"/>
        <w:ind w:left="2486" w:right="0" w:firstLine="0"/>
        <w:jc w:val="both"/>
        <w:rPr>
          <w:sz w:val="24"/>
        </w:rPr>
      </w:pPr>
      <w:r>
        <w:rPr>
          <w:i/>
          <w:sz w:val="24"/>
        </w:rPr>
        <w:t>regulatory information instrument</w:t>
      </w:r>
      <w:r>
        <w:rPr>
          <w:sz w:val="24"/>
        </w:rPr>
        <w:t>.</w:t>
      </w:r>
    </w:p>
    <w:p>
      <w:pPr>
        <w:spacing w:before="120"/>
        <w:ind w:left="1919" w:right="414" w:hanging="567"/>
        <w:jc w:val="both"/>
        <w:rPr>
          <w:sz w:val="24"/>
        </w:rPr>
      </w:pPr>
      <w:r>
        <w:rPr>
          <w:sz w:val="24"/>
        </w:rPr>
        <w:t>(c1) The </w:t>
      </w:r>
      <w:r>
        <w:rPr>
          <w:i/>
          <w:sz w:val="24"/>
        </w:rPr>
        <w:t>positive pass through amount </w:t>
      </w:r>
      <w:r>
        <w:rPr>
          <w:sz w:val="24"/>
        </w:rPr>
        <w:t>proposed by the </w:t>
      </w:r>
      <w:r>
        <w:rPr>
          <w:i/>
          <w:sz w:val="24"/>
        </w:rPr>
        <w:t>Distribution Network </w:t>
      </w:r>
      <w:r>
        <w:rPr>
          <w:i/>
          <w:sz w:val="24"/>
        </w:rPr>
        <w:t>Service Provider </w:t>
      </w:r>
      <w:r>
        <w:rPr>
          <w:sz w:val="24"/>
        </w:rPr>
        <w:t>under subparagraph (c)(4) must not, in whole or in part, be in respect of </w:t>
      </w:r>
      <w:r>
        <w:rPr>
          <w:i/>
          <w:sz w:val="24"/>
        </w:rPr>
        <w:t>expenditure for a restricted asset</w:t>
      </w:r>
      <w:r>
        <w:rPr>
          <w:sz w:val="24"/>
        </w:rPr>
        <w:t>, unless the </w:t>
      </w:r>
      <w:r>
        <w:rPr>
          <w:i/>
          <w:sz w:val="24"/>
        </w:rPr>
        <w:t>Distribution </w:t>
      </w:r>
      <w:r>
        <w:rPr>
          <w:i/>
          <w:sz w:val="24"/>
        </w:rPr>
        <w:t>Network Service Provider </w:t>
      </w:r>
      <w:r>
        <w:rPr>
          <w:sz w:val="24"/>
        </w:rPr>
        <w:t>has submitted an </w:t>
      </w:r>
      <w:r>
        <w:rPr>
          <w:i/>
          <w:sz w:val="24"/>
        </w:rPr>
        <w:t>exemption application </w:t>
      </w:r>
      <w:r>
        <w:rPr>
          <w:sz w:val="24"/>
        </w:rPr>
        <w:t>with the statement under paragraph (c), which requests an </w:t>
      </w:r>
      <w:r>
        <w:rPr>
          <w:i/>
          <w:sz w:val="24"/>
        </w:rPr>
        <w:t>asset exemption </w:t>
      </w:r>
      <w:r>
        <w:rPr>
          <w:sz w:val="24"/>
        </w:rPr>
        <w:t>under clause 6.4B.1(a)(3) in respect of that asset or class of asset for the </w:t>
      </w:r>
      <w:r>
        <w:rPr>
          <w:i/>
          <w:sz w:val="24"/>
        </w:rPr>
        <w:t>positive </w:t>
      </w:r>
      <w:r>
        <w:rPr>
          <w:i/>
          <w:sz w:val="24"/>
        </w:rPr>
        <w:t>pass through amount</w:t>
      </w:r>
      <w:r>
        <w:rPr>
          <w:sz w:val="24"/>
        </w:rPr>
        <w:t>.</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determines that a </w:t>
      </w:r>
      <w:r>
        <w:rPr>
          <w:i/>
          <w:sz w:val="24"/>
        </w:rPr>
        <w:t>positive change event </w:t>
      </w:r>
      <w:r>
        <w:rPr>
          <w:sz w:val="24"/>
        </w:rPr>
        <w:t>has occurred in respect of a statement under paragraph (c), the </w:t>
      </w:r>
      <w:r>
        <w:rPr>
          <w:i/>
          <w:sz w:val="24"/>
        </w:rPr>
        <w:t>AER</w:t>
      </w:r>
      <w:r>
        <w:rPr>
          <w:i/>
          <w:spacing w:val="-1"/>
          <w:sz w:val="24"/>
        </w:rPr>
        <w:t> </w:t>
      </w:r>
      <w:r>
        <w:rPr>
          <w:sz w:val="24"/>
        </w:rPr>
        <w:t>must:</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determine:</w:t>
      </w:r>
    </w:p>
    <w:p>
      <w:pPr>
        <w:pStyle w:val="ListParagraph"/>
        <w:numPr>
          <w:ilvl w:val="2"/>
          <w:numId w:val="401"/>
        </w:numPr>
        <w:tabs>
          <w:tab w:pos="3053" w:val="left" w:leader="none"/>
        </w:tabs>
        <w:spacing w:line="240" w:lineRule="auto" w:before="120" w:after="0"/>
        <w:ind w:left="3052" w:right="0" w:hanging="567"/>
        <w:jc w:val="both"/>
        <w:rPr>
          <w:sz w:val="24"/>
        </w:rPr>
      </w:pPr>
      <w:r>
        <w:rPr>
          <w:sz w:val="24"/>
        </w:rPr>
        <w:t>the </w:t>
      </w:r>
      <w:r>
        <w:rPr>
          <w:i/>
          <w:sz w:val="24"/>
        </w:rPr>
        <w:t>approved pass through amount</w:t>
      </w:r>
      <w:r>
        <w:rPr>
          <w:sz w:val="24"/>
        </w:rPr>
        <w:t>;</w:t>
      </w:r>
      <w:r>
        <w:rPr>
          <w:spacing w:val="-1"/>
          <w:sz w:val="24"/>
        </w:rPr>
        <w:t> </w:t>
      </w:r>
      <w:r>
        <w:rPr>
          <w:sz w:val="24"/>
        </w:rPr>
        <w:t>and</w:t>
      </w:r>
    </w:p>
    <w:p>
      <w:pPr>
        <w:pStyle w:val="ListParagraph"/>
        <w:numPr>
          <w:ilvl w:val="2"/>
          <w:numId w:val="401"/>
        </w:numPr>
        <w:tabs>
          <w:tab w:pos="3054" w:val="left" w:leader="none"/>
        </w:tabs>
        <w:spacing w:line="240" w:lineRule="auto" w:before="120" w:after="0"/>
        <w:ind w:left="3053" w:right="415" w:hanging="567"/>
        <w:jc w:val="both"/>
        <w:rPr>
          <w:sz w:val="24"/>
        </w:rPr>
      </w:pPr>
      <w:r>
        <w:rPr>
          <w:sz w:val="24"/>
        </w:rPr>
        <w:t>the amount of that </w:t>
      </w:r>
      <w:r>
        <w:rPr>
          <w:i/>
          <w:sz w:val="24"/>
        </w:rPr>
        <w:t>approved pass through amount </w:t>
      </w:r>
      <w:r>
        <w:rPr>
          <w:sz w:val="24"/>
        </w:rPr>
        <w:t>that should be passed through to </w:t>
      </w:r>
      <w:r>
        <w:rPr>
          <w:i/>
          <w:sz w:val="24"/>
        </w:rPr>
        <w:t>Distribution Network Users </w:t>
      </w:r>
      <w:r>
        <w:rPr>
          <w:sz w:val="24"/>
        </w:rPr>
        <w:t>in the </w:t>
      </w:r>
      <w:r>
        <w:rPr>
          <w:i/>
          <w:sz w:val="24"/>
        </w:rPr>
        <w:t>regulatory </w:t>
      </w:r>
      <w:r>
        <w:rPr>
          <w:i/>
          <w:sz w:val="24"/>
        </w:rPr>
        <w:t>year </w:t>
      </w:r>
      <w:r>
        <w:rPr>
          <w:sz w:val="24"/>
        </w:rPr>
        <w:t>in which, and each </w:t>
      </w:r>
      <w:r>
        <w:rPr>
          <w:i/>
          <w:sz w:val="24"/>
        </w:rPr>
        <w:t>regulatory year </w:t>
      </w:r>
      <w:r>
        <w:rPr>
          <w:sz w:val="24"/>
        </w:rPr>
        <w:t>after that in which, the </w:t>
      </w:r>
      <w:r>
        <w:rPr>
          <w:i/>
          <w:sz w:val="24"/>
        </w:rPr>
        <w:t>positive change event</w:t>
      </w:r>
      <w:r>
        <w:rPr>
          <w:i/>
          <w:spacing w:val="-2"/>
          <w:sz w:val="24"/>
        </w:rPr>
        <w:t> </w:t>
      </w:r>
      <w:r>
        <w:rPr>
          <w:sz w:val="24"/>
        </w:rPr>
        <w:t>occurred,</w:t>
      </w:r>
    </w:p>
    <w:p>
      <w:pPr>
        <w:pStyle w:val="BodyText"/>
        <w:ind w:left="2486" w:firstLine="0"/>
      </w:pPr>
      <w:r>
        <w:rPr/>
        <w:t>taking into account the matters referred to in paragraph (j); and</w:t>
      </w:r>
    </w:p>
    <w:p>
      <w:pPr>
        <w:pStyle w:val="ListParagraph"/>
        <w:numPr>
          <w:ilvl w:val="1"/>
          <w:numId w:val="401"/>
        </w:numPr>
        <w:tabs>
          <w:tab w:pos="2486" w:val="left" w:leader="none"/>
        </w:tabs>
        <w:spacing w:line="240" w:lineRule="auto" w:before="120" w:after="0"/>
        <w:ind w:left="2486" w:right="416" w:hanging="567"/>
        <w:jc w:val="both"/>
        <w:rPr>
          <w:sz w:val="24"/>
        </w:rPr>
      </w:pPr>
      <w:r>
        <w:rPr>
          <w:sz w:val="24"/>
        </w:rPr>
        <w:t>determine whether or not to grant the </w:t>
      </w:r>
      <w:r>
        <w:rPr>
          <w:i/>
          <w:sz w:val="24"/>
        </w:rPr>
        <w:t>asset exemption </w:t>
      </w:r>
      <w:r>
        <w:rPr>
          <w:sz w:val="24"/>
        </w:rPr>
        <w:t>requested under paragraph</w:t>
      </w:r>
      <w:r>
        <w:rPr>
          <w:spacing w:val="-1"/>
          <w:sz w:val="24"/>
        </w:rPr>
        <w:t> </w:t>
      </w:r>
      <w:r>
        <w:rPr>
          <w:sz w:val="24"/>
        </w:rPr>
        <w:t>(c1).</w:t>
      </w:r>
    </w:p>
    <w:p>
      <w:pPr>
        <w:spacing w:before="120"/>
        <w:ind w:left="1352" w:right="0" w:firstLine="0"/>
        <w:jc w:val="both"/>
        <w:rPr>
          <w:sz w:val="24"/>
        </w:rPr>
      </w:pPr>
      <w:r>
        <w:rPr>
          <w:sz w:val="24"/>
        </w:rPr>
        <w:t>(d1) The </w:t>
      </w:r>
      <w:r>
        <w:rPr>
          <w:i/>
          <w:sz w:val="24"/>
        </w:rPr>
        <w:t>AER </w:t>
      </w:r>
      <w:r>
        <w:rPr>
          <w:sz w:val="24"/>
        </w:rPr>
        <w:t>must </w:t>
      </w:r>
      <w:r>
        <w:rPr>
          <w:i/>
          <w:sz w:val="24"/>
        </w:rPr>
        <w:t>publish</w:t>
      </w:r>
      <w:r>
        <w:rPr>
          <w:sz w:val="24"/>
        </w:rPr>
        <w:t>:</w:t>
      </w:r>
    </w:p>
    <w:p>
      <w:pPr>
        <w:pStyle w:val="ListParagraph"/>
        <w:numPr>
          <w:ilvl w:val="0"/>
          <w:numId w:val="402"/>
        </w:numPr>
        <w:tabs>
          <w:tab w:pos="2486" w:val="left" w:leader="none"/>
        </w:tabs>
        <w:spacing w:line="240" w:lineRule="auto" w:before="120" w:after="0"/>
        <w:ind w:left="2485" w:right="0" w:hanging="567"/>
        <w:jc w:val="both"/>
        <w:rPr>
          <w:sz w:val="24"/>
        </w:rPr>
      </w:pPr>
      <w:r>
        <w:rPr>
          <w:sz w:val="24"/>
        </w:rPr>
        <w:t>the reasons for its determination under subparagraph (d)(2);</w:t>
      </w:r>
      <w:r>
        <w:rPr>
          <w:spacing w:val="-3"/>
          <w:sz w:val="24"/>
        </w:rPr>
        <w:t> </w:t>
      </w:r>
      <w:r>
        <w:rPr>
          <w:sz w:val="24"/>
        </w:rPr>
        <w:t>and</w:t>
      </w:r>
    </w:p>
    <w:p>
      <w:pPr>
        <w:pStyle w:val="ListParagraph"/>
        <w:numPr>
          <w:ilvl w:val="0"/>
          <w:numId w:val="402"/>
        </w:numPr>
        <w:tabs>
          <w:tab w:pos="2486" w:val="left" w:leader="none"/>
        </w:tabs>
        <w:spacing w:line="240" w:lineRule="auto" w:before="120" w:after="0"/>
        <w:ind w:left="2485" w:right="0" w:hanging="567"/>
        <w:jc w:val="both"/>
        <w:rPr>
          <w:sz w:val="24"/>
        </w:rPr>
      </w:pPr>
      <w:r>
        <w:rPr>
          <w:sz w:val="24"/>
        </w:rPr>
        <w:t>any content required under clause</w:t>
      </w:r>
      <w:r>
        <w:rPr>
          <w:spacing w:val="-1"/>
          <w:sz w:val="24"/>
        </w:rPr>
        <w:t> </w:t>
      </w:r>
      <w:r>
        <w:rPr>
          <w:sz w:val="24"/>
        </w:rPr>
        <w:t>6.2.8(c)(2),</w:t>
      </w:r>
    </w:p>
    <w:p>
      <w:pPr>
        <w:spacing w:line="390" w:lineRule="atLeast" w:before="6"/>
        <w:ind w:left="1352" w:right="414" w:firstLine="567"/>
        <w:jc w:val="both"/>
        <w:rPr>
          <w:sz w:val="24"/>
        </w:rPr>
      </w:pPr>
      <w:r>
        <w:rPr>
          <w:sz w:val="24"/>
        </w:rPr>
        <w:t>at the same time as making its determination under subparagraph (d)(1). (d2)</w:t>
      </w:r>
      <w:r>
        <w:rPr>
          <w:spacing w:val="46"/>
          <w:sz w:val="24"/>
        </w:rPr>
        <w:t> </w:t>
      </w:r>
      <w:r>
        <w:rPr>
          <w:sz w:val="24"/>
        </w:rPr>
        <w:t>The</w:t>
      </w:r>
      <w:r>
        <w:rPr>
          <w:spacing w:val="25"/>
          <w:sz w:val="24"/>
        </w:rPr>
        <w:t> </w:t>
      </w:r>
      <w:r>
        <w:rPr>
          <w:i/>
          <w:sz w:val="24"/>
        </w:rPr>
        <w:t>AER</w:t>
      </w:r>
      <w:r>
        <w:rPr>
          <w:i/>
          <w:spacing w:val="23"/>
          <w:sz w:val="24"/>
        </w:rPr>
        <w:t> </w:t>
      </w:r>
      <w:r>
        <w:rPr>
          <w:sz w:val="24"/>
        </w:rPr>
        <w:t>must</w:t>
      </w:r>
      <w:r>
        <w:rPr>
          <w:spacing w:val="25"/>
          <w:sz w:val="24"/>
        </w:rPr>
        <w:t> </w:t>
      </w:r>
      <w:r>
        <w:rPr>
          <w:sz w:val="24"/>
        </w:rPr>
        <w:t>not</w:t>
      </w:r>
      <w:r>
        <w:rPr>
          <w:spacing w:val="24"/>
          <w:sz w:val="24"/>
        </w:rPr>
        <w:t> </w:t>
      </w:r>
      <w:r>
        <w:rPr>
          <w:sz w:val="24"/>
        </w:rPr>
        <w:t>determine</w:t>
      </w:r>
      <w:r>
        <w:rPr>
          <w:spacing w:val="24"/>
          <w:sz w:val="24"/>
        </w:rPr>
        <w:t> </w:t>
      </w:r>
      <w:r>
        <w:rPr>
          <w:sz w:val="24"/>
        </w:rPr>
        <w:t>an</w:t>
      </w:r>
      <w:r>
        <w:rPr>
          <w:spacing w:val="23"/>
          <w:sz w:val="24"/>
        </w:rPr>
        <w:t> </w:t>
      </w:r>
      <w:r>
        <w:rPr>
          <w:i/>
          <w:sz w:val="24"/>
        </w:rPr>
        <w:t>approved</w:t>
      </w:r>
      <w:r>
        <w:rPr>
          <w:i/>
          <w:spacing w:val="24"/>
          <w:sz w:val="24"/>
        </w:rPr>
        <w:t> </w:t>
      </w:r>
      <w:r>
        <w:rPr>
          <w:i/>
          <w:sz w:val="24"/>
        </w:rPr>
        <w:t>pass</w:t>
      </w:r>
      <w:r>
        <w:rPr>
          <w:i/>
          <w:spacing w:val="24"/>
          <w:sz w:val="24"/>
        </w:rPr>
        <w:t> </w:t>
      </w:r>
      <w:r>
        <w:rPr>
          <w:i/>
          <w:sz w:val="24"/>
        </w:rPr>
        <w:t>through</w:t>
      </w:r>
      <w:r>
        <w:rPr>
          <w:i/>
          <w:spacing w:val="23"/>
          <w:sz w:val="24"/>
        </w:rPr>
        <w:t> </w:t>
      </w:r>
      <w:r>
        <w:rPr>
          <w:i/>
          <w:sz w:val="24"/>
        </w:rPr>
        <w:t>amount</w:t>
      </w:r>
      <w:r>
        <w:rPr>
          <w:i/>
          <w:spacing w:val="24"/>
          <w:sz w:val="24"/>
        </w:rPr>
        <w:t> </w:t>
      </w:r>
      <w:r>
        <w:rPr>
          <w:sz w:val="24"/>
        </w:rPr>
        <w:t>that</w:t>
      </w:r>
      <w:r>
        <w:rPr>
          <w:spacing w:val="25"/>
          <w:sz w:val="24"/>
        </w:rPr>
        <w:t> </w:t>
      </w:r>
      <w:r>
        <w:rPr>
          <w:sz w:val="24"/>
        </w:rPr>
        <w:t>is,</w:t>
      </w:r>
      <w:r>
        <w:rPr>
          <w:spacing w:val="24"/>
          <w:sz w:val="24"/>
        </w:rPr>
        <w:t> </w:t>
      </w:r>
      <w:r>
        <w:rPr>
          <w:sz w:val="24"/>
        </w:rPr>
        <w:t>in</w:t>
      </w:r>
    </w:p>
    <w:p>
      <w:pPr>
        <w:spacing w:before="6"/>
        <w:ind w:left="1919" w:right="0" w:firstLine="0"/>
        <w:jc w:val="both"/>
        <w:rPr>
          <w:sz w:val="24"/>
        </w:rPr>
      </w:pPr>
      <w:r>
        <w:rPr>
          <w:sz w:val="24"/>
        </w:rPr>
        <w:t>whole or in part, in respect of </w:t>
      </w:r>
      <w:r>
        <w:rPr>
          <w:i/>
          <w:sz w:val="24"/>
        </w:rPr>
        <w:t>expenditure for a restricted asset</w:t>
      </w:r>
      <w:r>
        <w:rPr>
          <w:sz w:val="24"/>
        </w:rPr>
        <w:t>, unless:</w:t>
      </w:r>
    </w:p>
    <w:p>
      <w:pPr>
        <w:pStyle w:val="ListParagraph"/>
        <w:numPr>
          <w:ilvl w:val="0"/>
          <w:numId w:val="403"/>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has requested an </w:t>
      </w:r>
      <w:r>
        <w:rPr>
          <w:i/>
          <w:sz w:val="24"/>
        </w:rPr>
        <w:t>asset </w:t>
      </w:r>
      <w:r>
        <w:rPr>
          <w:i/>
          <w:sz w:val="24"/>
        </w:rPr>
        <w:t>exemption </w:t>
      </w:r>
      <w:r>
        <w:rPr>
          <w:sz w:val="24"/>
        </w:rPr>
        <w:t>under paragraph (c1) in respect of that asset or that class of asset for the </w:t>
      </w:r>
      <w:r>
        <w:rPr>
          <w:i/>
          <w:sz w:val="24"/>
        </w:rPr>
        <w:t>positive pass through amount</w:t>
      </w:r>
      <w:r>
        <w:rPr>
          <w:sz w:val="24"/>
        </w:rPr>
        <w:t>;</w:t>
      </w:r>
      <w:r>
        <w:rPr>
          <w:spacing w:val="-1"/>
          <w:sz w:val="24"/>
        </w:rPr>
        <w:t> </w:t>
      </w:r>
      <w:r>
        <w:rPr>
          <w:sz w:val="24"/>
        </w:rPr>
        <w:t>and</w:t>
      </w:r>
    </w:p>
    <w:p>
      <w:pPr>
        <w:pStyle w:val="ListParagraph"/>
        <w:numPr>
          <w:ilvl w:val="0"/>
          <w:numId w:val="403"/>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granted that </w:t>
      </w:r>
      <w:r>
        <w:rPr>
          <w:i/>
          <w:sz w:val="24"/>
        </w:rPr>
        <w:t>asset exemption </w:t>
      </w:r>
      <w:r>
        <w:rPr>
          <w:sz w:val="24"/>
        </w:rPr>
        <w:t>under subparagraph</w:t>
      </w:r>
      <w:r>
        <w:rPr>
          <w:spacing w:val="-7"/>
          <w:sz w:val="24"/>
        </w:rPr>
        <w:t> </w:t>
      </w:r>
      <w:r>
        <w:rPr>
          <w:sz w:val="24"/>
        </w:rPr>
        <w:t>(d)(2).</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Subject to paragraph (k1), if the </w:t>
      </w:r>
      <w:r>
        <w:rPr>
          <w:i/>
          <w:sz w:val="24"/>
        </w:rPr>
        <w:t>AER </w:t>
      </w:r>
      <w:r>
        <w:rPr>
          <w:sz w:val="24"/>
        </w:rPr>
        <w:t>does not make the determinations referred to in paragraph (d) within 40 </w:t>
      </w:r>
      <w:r>
        <w:rPr>
          <w:i/>
          <w:sz w:val="24"/>
        </w:rPr>
        <w:t>business days </w:t>
      </w:r>
      <w:r>
        <w:rPr>
          <w:sz w:val="24"/>
        </w:rPr>
        <w:t>from the later of </w:t>
      </w:r>
      <w:r>
        <w:rPr>
          <w:spacing w:val="-4"/>
          <w:sz w:val="24"/>
        </w:rPr>
        <w:t>the </w:t>
      </w:r>
      <w:r>
        <w:rPr>
          <w:sz w:val="24"/>
        </w:rPr>
        <w:t>date it receives the </w:t>
      </w:r>
      <w:r>
        <w:rPr>
          <w:i/>
          <w:sz w:val="24"/>
        </w:rPr>
        <w:t>Distribution Network Service Provider's </w:t>
      </w:r>
      <w:r>
        <w:rPr>
          <w:sz w:val="24"/>
        </w:rPr>
        <w:t>statement and accompanying evidence under paragraph (c), and the date it receives any additional information required under paragraph (e1), then, on the expiry of that period, the </w:t>
      </w:r>
      <w:r>
        <w:rPr>
          <w:i/>
          <w:sz w:val="24"/>
        </w:rPr>
        <w:t>AER </w:t>
      </w:r>
      <w:r>
        <w:rPr>
          <w:sz w:val="24"/>
        </w:rPr>
        <w:t>is taken to have determined</w:t>
      </w:r>
      <w:r>
        <w:rPr>
          <w:spacing w:val="-3"/>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1"/>
          <w:numId w:val="401"/>
        </w:numPr>
        <w:tabs>
          <w:tab w:pos="2486" w:val="left" w:leader="none"/>
        </w:tabs>
        <w:spacing w:line="240" w:lineRule="auto" w:before="83" w:after="0"/>
        <w:ind w:left="2486" w:right="414" w:hanging="567"/>
        <w:jc w:val="both"/>
        <w:rPr>
          <w:sz w:val="24"/>
        </w:rPr>
      </w:pPr>
      <w:r>
        <w:rPr>
          <w:sz w:val="24"/>
        </w:rPr>
        <w:t>the </w:t>
      </w:r>
      <w:r>
        <w:rPr>
          <w:i/>
          <w:sz w:val="24"/>
        </w:rPr>
        <w:t>positive pass through amount </w:t>
      </w:r>
      <w:r>
        <w:rPr>
          <w:sz w:val="24"/>
        </w:rPr>
        <w:t>as proposed in the </w:t>
      </w:r>
      <w:r>
        <w:rPr>
          <w:i/>
          <w:sz w:val="24"/>
        </w:rPr>
        <w:t>Distribution </w:t>
      </w:r>
      <w:r>
        <w:rPr>
          <w:i/>
          <w:sz w:val="24"/>
        </w:rPr>
        <w:t>Network Service Provider's </w:t>
      </w:r>
      <w:r>
        <w:rPr>
          <w:sz w:val="24"/>
        </w:rPr>
        <w:t>statement under paragraph (c) is the </w:t>
      </w:r>
      <w:r>
        <w:rPr>
          <w:i/>
          <w:sz w:val="24"/>
        </w:rPr>
        <w:t>approved pass through amount </w:t>
      </w:r>
      <w:r>
        <w:rPr>
          <w:sz w:val="24"/>
        </w:rPr>
        <w:t>in respect of that </w:t>
      </w:r>
      <w:r>
        <w:rPr>
          <w:i/>
          <w:sz w:val="24"/>
        </w:rPr>
        <w:t>positive change </w:t>
      </w:r>
      <w:r>
        <w:rPr>
          <w:i/>
          <w:sz w:val="24"/>
        </w:rPr>
        <w:t>event</w:t>
      </w:r>
      <w:r>
        <w:rPr>
          <w:sz w:val="24"/>
        </w:rPr>
        <w:t>;</w:t>
      </w:r>
    </w:p>
    <w:p>
      <w:pPr>
        <w:pStyle w:val="ListParagraph"/>
        <w:numPr>
          <w:ilvl w:val="1"/>
          <w:numId w:val="401"/>
        </w:numPr>
        <w:tabs>
          <w:tab w:pos="2486" w:val="left" w:leader="none"/>
        </w:tabs>
        <w:spacing w:line="240" w:lineRule="auto" w:before="120" w:after="0"/>
        <w:ind w:left="2486" w:right="415" w:hanging="567"/>
        <w:jc w:val="both"/>
        <w:rPr>
          <w:sz w:val="24"/>
        </w:rPr>
      </w:pPr>
      <w:r>
        <w:rPr>
          <w:sz w:val="24"/>
        </w:rPr>
        <w:t>the amount of that </w:t>
      </w:r>
      <w:r>
        <w:rPr>
          <w:i/>
          <w:sz w:val="24"/>
        </w:rPr>
        <w:t>positive pass through amount </w:t>
      </w:r>
      <w:r>
        <w:rPr>
          <w:sz w:val="24"/>
        </w:rPr>
        <w:t>that the </w:t>
      </w:r>
      <w:r>
        <w:rPr>
          <w:i/>
          <w:sz w:val="24"/>
        </w:rPr>
        <w:t>Distribution </w:t>
      </w:r>
      <w:r>
        <w:rPr>
          <w:i/>
          <w:sz w:val="24"/>
        </w:rPr>
        <w:t>Network Service Provider </w:t>
      </w:r>
      <w:r>
        <w:rPr>
          <w:sz w:val="24"/>
        </w:rPr>
        <w:t>proposes in its statement under paragraph(c) should be passed through to </w:t>
      </w:r>
      <w:r>
        <w:rPr>
          <w:i/>
          <w:sz w:val="24"/>
        </w:rPr>
        <w:t>Distribution Network Users </w:t>
      </w:r>
      <w:r>
        <w:rPr>
          <w:sz w:val="24"/>
        </w:rPr>
        <w:t>in the </w:t>
      </w:r>
      <w:r>
        <w:rPr>
          <w:i/>
          <w:sz w:val="24"/>
        </w:rPr>
        <w:t>regulatory year </w:t>
      </w:r>
      <w:r>
        <w:rPr>
          <w:sz w:val="24"/>
        </w:rPr>
        <w:t>in which, and each </w:t>
      </w:r>
      <w:r>
        <w:rPr>
          <w:i/>
          <w:sz w:val="24"/>
        </w:rPr>
        <w:t>regulatory year </w:t>
      </w:r>
      <w:r>
        <w:rPr>
          <w:sz w:val="24"/>
        </w:rPr>
        <w:t>after that in which, the </w:t>
      </w:r>
      <w:r>
        <w:rPr>
          <w:i/>
          <w:sz w:val="24"/>
        </w:rPr>
        <w:t>positive change event </w:t>
      </w:r>
      <w:r>
        <w:rPr>
          <w:sz w:val="24"/>
        </w:rPr>
        <w:t>occurred, is the amount that should be so passed through in each such </w:t>
      </w:r>
      <w:r>
        <w:rPr>
          <w:i/>
          <w:sz w:val="24"/>
        </w:rPr>
        <w:t>regulatory year</w:t>
      </w:r>
      <w:r>
        <w:rPr>
          <w:sz w:val="24"/>
        </w:rPr>
        <w:t>;</w:t>
      </w:r>
      <w:r>
        <w:rPr>
          <w:spacing w:val="-7"/>
          <w:sz w:val="24"/>
        </w:rPr>
        <w:t> </w:t>
      </w:r>
      <w:r>
        <w:rPr>
          <w:sz w:val="24"/>
        </w:rPr>
        <w:t>and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w:t>
      </w:r>
      <w:r>
        <w:rPr>
          <w:i/>
          <w:sz w:val="24"/>
        </w:rPr>
        <w:t>asset exemption </w:t>
      </w:r>
      <w:r>
        <w:rPr>
          <w:sz w:val="24"/>
        </w:rPr>
        <w:t>requested under paragraph (c1) is</w:t>
      </w:r>
      <w:r>
        <w:rPr>
          <w:spacing w:val="-2"/>
          <w:sz w:val="24"/>
        </w:rPr>
        <w:t> </w:t>
      </w:r>
      <w:r>
        <w:rPr>
          <w:sz w:val="24"/>
        </w:rPr>
        <w:t>granted.</w:t>
      </w:r>
    </w:p>
    <w:p>
      <w:pPr>
        <w:spacing w:before="120"/>
        <w:ind w:left="1919" w:right="415" w:hanging="567"/>
        <w:jc w:val="both"/>
        <w:rPr>
          <w:sz w:val="24"/>
        </w:rPr>
      </w:pPr>
      <w:r>
        <w:rPr>
          <w:sz w:val="24"/>
        </w:rPr>
        <w:t>(e1) A </w:t>
      </w:r>
      <w:r>
        <w:rPr>
          <w:i/>
          <w:sz w:val="24"/>
        </w:rPr>
        <w:t>Distribution Network Service Provider </w:t>
      </w:r>
      <w:r>
        <w:rPr>
          <w:sz w:val="24"/>
        </w:rPr>
        <w:t>must provide the </w:t>
      </w:r>
      <w:r>
        <w:rPr>
          <w:i/>
          <w:sz w:val="24"/>
        </w:rPr>
        <w:t>AER </w:t>
      </w:r>
      <w:r>
        <w:rPr>
          <w:sz w:val="24"/>
        </w:rPr>
        <w:t>with such additional information as the </w:t>
      </w:r>
      <w:r>
        <w:rPr>
          <w:i/>
          <w:sz w:val="24"/>
        </w:rPr>
        <w:t>AER </w:t>
      </w:r>
      <w:r>
        <w:rPr>
          <w:sz w:val="24"/>
        </w:rPr>
        <w:t>requires for the purpose of making a determination under paragraph (d)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before="220"/>
        <w:ind w:left="1356" w:right="0" w:firstLine="0"/>
        <w:jc w:val="left"/>
        <w:rPr>
          <w:rFonts w:ascii="Arial"/>
          <w:b/>
          <w:sz w:val="22"/>
        </w:rPr>
      </w:pPr>
      <w:r>
        <w:rPr>
          <w:rFonts w:ascii="Arial"/>
          <w:b/>
          <w:sz w:val="22"/>
        </w:rPr>
        <w:t>Negative pass through</w:t>
      </w:r>
    </w:p>
    <w:p>
      <w:pPr>
        <w:pStyle w:val="ListParagraph"/>
        <w:numPr>
          <w:ilvl w:val="0"/>
          <w:numId w:val="401"/>
        </w:numPr>
        <w:tabs>
          <w:tab w:pos="1920"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submit to the </w:t>
      </w:r>
      <w:r>
        <w:rPr>
          <w:i/>
          <w:sz w:val="24"/>
        </w:rPr>
        <w:t>AER</w:t>
      </w:r>
      <w:r>
        <w:rPr>
          <w:sz w:val="24"/>
        </w:rPr>
        <w:t>, within 90 </w:t>
      </w:r>
      <w:r>
        <w:rPr>
          <w:i/>
          <w:sz w:val="24"/>
        </w:rPr>
        <w:t>business days </w:t>
      </w:r>
      <w:r>
        <w:rPr>
          <w:sz w:val="24"/>
        </w:rPr>
        <w:t>of becoming aware of the occurrence of a </w:t>
      </w:r>
      <w:r>
        <w:rPr>
          <w:i/>
          <w:sz w:val="24"/>
        </w:rPr>
        <w:t>negative change </w:t>
      </w:r>
      <w:r>
        <w:rPr>
          <w:i/>
          <w:sz w:val="24"/>
        </w:rPr>
        <w:t>event </w:t>
      </w:r>
      <w:r>
        <w:rPr>
          <w:sz w:val="24"/>
        </w:rPr>
        <w:t>for the </w:t>
      </w:r>
      <w:r>
        <w:rPr>
          <w:i/>
          <w:sz w:val="24"/>
        </w:rPr>
        <w:t>Distribution Network Service Provider</w:t>
      </w:r>
      <w:r>
        <w:rPr>
          <w:sz w:val="24"/>
        </w:rPr>
        <w:t>, a written statement which</w:t>
      </w:r>
      <w:r>
        <w:rPr>
          <w:spacing w:val="-2"/>
          <w:sz w:val="24"/>
        </w:rPr>
        <w:t> </w:t>
      </w:r>
      <w:r>
        <w:rPr>
          <w:sz w:val="24"/>
        </w:rPr>
        <w:t>specifies:</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details of the </w:t>
      </w:r>
      <w:r>
        <w:rPr>
          <w:i/>
          <w:sz w:val="24"/>
        </w:rPr>
        <w:t>negative change event</w:t>
      </w:r>
      <w:r>
        <w:rPr>
          <w:i/>
          <w:spacing w:val="-3"/>
          <w:sz w:val="24"/>
        </w:rPr>
        <w:t> </w:t>
      </w:r>
      <w:r>
        <w:rPr>
          <w:sz w:val="24"/>
        </w:rPr>
        <w:t>concerned;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date the </w:t>
      </w:r>
      <w:r>
        <w:rPr>
          <w:i/>
          <w:sz w:val="24"/>
        </w:rPr>
        <w:t>negative change event</w:t>
      </w:r>
      <w:r>
        <w:rPr>
          <w:i/>
          <w:spacing w:val="-3"/>
          <w:sz w:val="24"/>
        </w:rPr>
        <w:t> </w:t>
      </w:r>
      <w:r>
        <w:rPr>
          <w:sz w:val="24"/>
        </w:rPr>
        <w:t>occurred;</w:t>
      </w:r>
    </w:p>
    <w:p>
      <w:pPr>
        <w:pStyle w:val="ListParagraph"/>
        <w:numPr>
          <w:ilvl w:val="1"/>
          <w:numId w:val="401"/>
        </w:numPr>
        <w:tabs>
          <w:tab w:pos="2486" w:val="left" w:leader="none"/>
        </w:tabs>
        <w:spacing w:line="240" w:lineRule="auto" w:before="120" w:after="0"/>
        <w:ind w:left="2486" w:right="415" w:hanging="567"/>
        <w:jc w:val="both"/>
        <w:rPr>
          <w:sz w:val="24"/>
        </w:rPr>
      </w:pPr>
      <w:r>
        <w:rPr>
          <w:sz w:val="24"/>
        </w:rPr>
        <w:t>the costs in the provision of </w:t>
      </w:r>
      <w:r>
        <w:rPr>
          <w:i/>
          <w:sz w:val="24"/>
        </w:rPr>
        <w:t>direct control services </w:t>
      </w:r>
      <w:r>
        <w:rPr>
          <w:sz w:val="24"/>
        </w:rPr>
        <w:t>that the </w:t>
      </w:r>
      <w:r>
        <w:rPr>
          <w:i/>
          <w:sz w:val="24"/>
        </w:rPr>
        <w:t>Distribution Network Service Provider </w:t>
      </w:r>
      <w:r>
        <w:rPr>
          <w:sz w:val="24"/>
        </w:rPr>
        <w:t>has saved and is likely to save as a result of the </w:t>
      </w:r>
      <w:r>
        <w:rPr>
          <w:i/>
          <w:sz w:val="24"/>
        </w:rPr>
        <w:t>negative change event</w:t>
      </w:r>
      <w:r>
        <w:rPr>
          <w:i/>
          <w:spacing w:val="-3"/>
          <w:sz w:val="24"/>
        </w:rPr>
        <w:t> </w:t>
      </w:r>
      <w:r>
        <w:rPr>
          <w:sz w:val="24"/>
        </w:rPr>
        <w:t>until:</w:t>
      </w:r>
    </w:p>
    <w:p>
      <w:pPr>
        <w:pStyle w:val="ListParagraph"/>
        <w:numPr>
          <w:ilvl w:val="2"/>
          <w:numId w:val="401"/>
        </w:numPr>
        <w:tabs>
          <w:tab w:pos="3053" w:val="left" w:leader="none"/>
        </w:tabs>
        <w:spacing w:line="240" w:lineRule="auto" w:before="120" w:after="0"/>
        <w:ind w:left="3053" w:right="416" w:hanging="567"/>
        <w:jc w:val="both"/>
        <w:rPr>
          <w:sz w:val="24"/>
        </w:rPr>
      </w:pPr>
      <w:r>
        <w:rPr>
          <w:sz w:val="24"/>
        </w:rPr>
        <w:t>unless subparagraph (ii) applies – the end of the </w:t>
      </w:r>
      <w:r>
        <w:rPr>
          <w:i/>
          <w:sz w:val="24"/>
        </w:rPr>
        <w:t>regulatory </w:t>
      </w:r>
      <w:r>
        <w:rPr>
          <w:i/>
          <w:sz w:val="24"/>
        </w:rPr>
        <w:t>control period </w:t>
      </w:r>
      <w:r>
        <w:rPr>
          <w:sz w:val="24"/>
        </w:rPr>
        <w:t>in which the </w:t>
      </w:r>
      <w:r>
        <w:rPr>
          <w:i/>
          <w:sz w:val="24"/>
        </w:rPr>
        <w:t>negative change event </w:t>
      </w:r>
      <w:r>
        <w:rPr>
          <w:sz w:val="24"/>
        </w:rPr>
        <w:t>occurred;</w:t>
      </w:r>
      <w:r>
        <w:rPr>
          <w:spacing w:val="-4"/>
          <w:sz w:val="24"/>
        </w:rPr>
        <w:t> </w:t>
      </w:r>
      <w:r>
        <w:rPr>
          <w:sz w:val="24"/>
        </w:rPr>
        <w:t>or</w:t>
      </w:r>
    </w:p>
    <w:p>
      <w:pPr>
        <w:pStyle w:val="ListParagraph"/>
        <w:numPr>
          <w:ilvl w:val="2"/>
          <w:numId w:val="401"/>
        </w:numPr>
        <w:tabs>
          <w:tab w:pos="3054" w:val="left" w:leader="none"/>
        </w:tabs>
        <w:spacing w:line="240" w:lineRule="auto" w:before="120" w:after="0"/>
        <w:ind w:left="3053" w:right="415" w:hanging="567"/>
        <w:jc w:val="both"/>
        <w:rPr>
          <w:sz w:val="24"/>
        </w:rPr>
      </w:pPr>
      <w:r>
        <w:rPr>
          <w:sz w:val="24"/>
        </w:rPr>
        <w:t>if the distribution determination for the </w:t>
      </w:r>
      <w:r>
        <w:rPr>
          <w:i/>
          <w:sz w:val="24"/>
        </w:rPr>
        <w:t>regulatory control </w:t>
      </w:r>
      <w:r>
        <w:rPr>
          <w:i/>
          <w:sz w:val="24"/>
        </w:rPr>
        <w:t>period </w:t>
      </w:r>
      <w:r>
        <w:rPr>
          <w:sz w:val="24"/>
        </w:rPr>
        <w:t>following that in which the </w:t>
      </w:r>
      <w:r>
        <w:rPr>
          <w:i/>
          <w:sz w:val="24"/>
        </w:rPr>
        <w:t>negative change event </w:t>
      </w:r>
      <w:r>
        <w:rPr>
          <w:sz w:val="24"/>
        </w:rPr>
        <w:t>occurred does not make any allowance for the pass through of those cost savings - the end of the </w:t>
      </w:r>
      <w:r>
        <w:rPr>
          <w:i/>
          <w:sz w:val="24"/>
        </w:rPr>
        <w:t>regulatory control period </w:t>
      </w:r>
      <w:r>
        <w:rPr>
          <w:sz w:val="24"/>
        </w:rPr>
        <w:t>following that in which the </w:t>
      </w:r>
      <w:r>
        <w:rPr>
          <w:i/>
          <w:sz w:val="24"/>
        </w:rPr>
        <w:t>negative change event</w:t>
      </w:r>
      <w:r>
        <w:rPr>
          <w:i/>
          <w:spacing w:val="-6"/>
          <w:sz w:val="24"/>
        </w:rPr>
        <w:t> </w:t>
      </w:r>
      <w:r>
        <w:rPr>
          <w:sz w:val="24"/>
        </w:rPr>
        <w:t>occurred;</w:t>
      </w:r>
    </w:p>
    <w:p>
      <w:pPr>
        <w:pStyle w:val="ListParagraph"/>
        <w:numPr>
          <w:ilvl w:val="1"/>
          <w:numId w:val="401"/>
        </w:numPr>
        <w:tabs>
          <w:tab w:pos="2486" w:val="left" w:leader="none"/>
        </w:tabs>
        <w:spacing w:line="240" w:lineRule="auto" w:before="120" w:after="0"/>
        <w:ind w:left="2486" w:right="414" w:hanging="567"/>
        <w:jc w:val="both"/>
        <w:rPr>
          <w:sz w:val="24"/>
        </w:rPr>
      </w:pPr>
      <w:r>
        <w:rPr>
          <w:sz w:val="24"/>
        </w:rPr>
        <w:t>the aggregate amount of those saved costs that the </w:t>
      </w:r>
      <w:r>
        <w:rPr>
          <w:i/>
          <w:sz w:val="24"/>
        </w:rPr>
        <w:t>Distribution </w:t>
      </w:r>
      <w:r>
        <w:rPr>
          <w:i/>
          <w:sz w:val="24"/>
        </w:rPr>
        <w:t>Network Service Provider </w:t>
      </w:r>
      <w:r>
        <w:rPr>
          <w:sz w:val="24"/>
        </w:rPr>
        <w:t>proposes should be passed through to </w:t>
      </w:r>
      <w:r>
        <w:rPr>
          <w:i/>
          <w:sz w:val="24"/>
        </w:rPr>
        <w:t>Distribution Network</w:t>
      </w:r>
      <w:r>
        <w:rPr>
          <w:i/>
          <w:spacing w:val="-2"/>
          <w:sz w:val="24"/>
        </w:rPr>
        <w:t> </w:t>
      </w:r>
      <w:r>
        <w:rPr>
          <w:i/>
          <w:sz w:val="24"/>
        </w:rPr>
        <w:t>Users</w:t>
      </w:r>
      <w:r>
        <w:rPr>
          <w:sz w:val="24"/>
        </w:rPr>
        <w:t>;</w:t>
      </w:r>
    </w:p>
    <w:p>
      <w:pPr>
        <w:pStyle w:val="ListParagraph"/>
        <w:numPr>
          <w:ilvl w:val="1"/>
          <w:numId w:val="401"/>
        </w:numPr>
        <w:tabs>
          <w:tab w:pos="2486" w:val="left" w:leader="none"/>
        </w:tabs>
        <w:spacing w:line="240" w:lineRule="auto" w:before="120" w:after="0"/>
        <w:ind w:left="2486" w:right="416" w:hanging="567"/>
        <w:jc w:val="both"/>
        <w:rPr>
          <w:sz w:val="24"/>
        </w:rPr>
      </w:pPr>
      <w:r>
        <w:rPr>
          <w:sz w:val="24"/>
        </w:rPr>
        <w:t>the amount of the costs referred to in subparagraph (4) the </w:t>
      </w:r>
      <w:r>
        <w:rPr>
          <w:i/>
          <w:sz w:val="24"/>
        </w:rPr>
        <w:t>Distribution Network Service Provider </w:t>
      </w:r>
      <w:r>
        <w:rPr>
          <w:sz w:val="24"/>
        </w:rPr>
        <w:t>proposes should be passed through to </w:t>
      </w:r>
      <w:r>
        <w:rPr>
          <w:i/>
          <w:sz w:val="24"/>
        </w:rPr>
        <w:t>Distribution Network Users </w:t>
      </w:r>
      <w:r>
        <w:rPr>
          <w:sz w:val="24"/>
        </w:rPr>
        <w:t>in the </w:t>
      </w:r>
      <w:r>
        <w:rPr>
          <w:i/>
          <w:sz w:val="24"/>
        </w:rPr>
        <w:t>regulatory year </w:t>
      </w:r>
      <w:r>
        <w:rPr>
          <w:sz w:val="24"/>
        </w:rPr>
        <w:t>in which, and each </w:t>
      </w:r>
      <w:r>
        <w:rPr>
          <w:i/>
          <w:sz w:val="24"/>
        </w:rPr>
        <w:t>regulatory year </w:t>
      </w:r>
      <w:r>
        <w:rPr>
          <w:sz w:val="24"/>
        </w:rPr>
        <w:t>after that in which, the</w:t>
      </w:r>
      <w:r>
        <w:rPr>
          <w:spacing w:val="26"/>
          <w:sz w:val="24"/>
        </w:rPr>
        <w:t> </w:t>
      </w:r>
      <w:r>
        <w:rPr>
          <w:i/>
          <w:sz w:val="24"/>
        </w:rPr>
        <w:t>negative </w:t>
      </w:r>
      <w:r>
        <w:rPr>
          <w:i/>
          <w:sz w:val="24"/>
        </w:rPr>
        <w:t>change event </w:t>
      </w:r>
      <w:r>
        <w:rPr>
          <w:sz w:val="24"/>
        </w:rPr>
        <w:t>occurred;</w:t>
      </w:r>
      <w:r>
        <w:rPr>
          <w:spacing w:val="-2"/>
          <w:sz w:val="24"/>
        </w:rPr>
        <w:t> </w:t>
      </w:r>
      <w:r>
        <w:rPr>
          <w:sz w:val="24"/>
        </w:rPr>
        <w:t>and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such</w:t>
      </w:r>
      <w:r>
        <w:rPr>
          <w:spacing w:val="37"/>
          <w:sz w:val="24"/>
        </w:rPr>
        <w:t> </w:t>
      </w:r>
      <w:r>
        <w:rPr>
          <w:sz w:val="24"/>
        </w:rPr>
        <w:t>other</w:t>
      </w:r>
      <w:r>
        <w:rPr>
          <w:spacing w:val="39"/>
          <w:sz w:val="24"/>
        </w:rPr>
        <w:t> </w:t>
      </w:r>
      <w:r>
        <w:rPr>
          <w:sz w:val="24"/>
        </w:rPr>
        <w:t>information</w:t>
      </w:r>
      <w:r>
        <w:rPr>
          <w:spacing w:val="38"/>
          <w:sz w:val="24"/>
        </w:rPr>
        <w:t> </w:t>
      </w:r>
      <w:r>
        <w:rPr>
          <w:sz w:val="24"/>
        </w:rPr>
        <w:t>as</w:t>
      </w:r>
      <w:r>
        <w:rPr>
          <w:spacing w:val="39"/>
          <w:sz w:val="24"/>
        </w:rPr>
        <w:t> </w:t>
      </w:r>
      <w:r>
        <w:rPr>
          <w:sz w:val="24"/>
        </w:rPr>
        <w:t>may</w:t>
      </w:r>
      <w:r>
        <w:rPr>
          <w:spacing w:val="39"/>
          <w:sz w:val="24"/>
        </w:rPr>
        <w:t> </w:t>
      </w:r>
      <w:r>
        <w:rPr>
          <w:sz w:val="24"/>
        </w:rPr>
        <w:t>be</w:t>
      </w:r>
      <w:r>
        <w:rPr>
          <w:spacing w:val="38"/>
          <w:sz w:val="24"/>
        </w:rPr>
        <w:t> </w:t>
      </w:r>
      <w:r>
        <w:rPr>
          <w:sz w:val="24"/>
        </w:rPr>
        <w:t>required</w:t>
      </w:r>
      <w:r>
        <w:rPr>
          <w:spacing w:val="39"/>
          <w:sz w:val="24"/>
        </w:rPr>
        <w:t> </w:t>
      </w:r>
      <w:r>
        <w:rPr>
          <w:sz w:val="24"/>
        </w:rPr>
        <w:t>under</w:t>
      </w:r>
      <w:r>
        <w:rPr>
          <w:spacing w:val="39"/>
          <w:sz w:val="24"/>
        </w:rPr>
        <w:t> </w:t>
      </w:r>
      <w:r>
        <w:rPr>
          <w:sz w:val="24"/>
        </w:rPr>
        <w:t>any</w:t>
      </w:r>
      <w:r>
        <w:rPr>
          <w:spacing w:val="38"/>
          <w:sz w:val="24"/>
        </w:rPr>
        <w:t> </w:t>
      </w:r>
      <w:r>
        <w:rPr>
          <w:sz w:val="24"/>
        </w:rPr>
        <w:t>relevant</w:t>
      </w:r>
    </w:p>
    <w:p>
      <w:pPr>
        <w:spacing w:before="0"/>
        <w:ind w:left="2486" w:right="0" w:firstLine="0"/>
        <w:jc w:val="both"/>
        <w:rPr>
          <w:sz w:val="24"/>
        </w:rPr>
      </w:pPr>
      <w:r>
        <w:rPr>
          <w:i/>
          <w:sz w:val="24"/>
        </w:rPr>
        <w:t>regulatory information instrument</w:t>
      </w:r>
      <w:r>
        <w:rPr>
          <w:sz w:val="24"/>
        </w:rPr>
        <w:t>.</w:t>
      </w:r>
    </w:p>
    <w:p>
      <w:pPr>
        <w:spacing w:after="0"/>
        <w:jc w:val="both"/>
        <w:rPr>
          <w:sz w:val="24"/>
        </w:rPr>
        <w:sectPr>
          <w:pgSz w:w="11910" w:h="16840"/>
          <w:pgMar w:header="686" w:footer="637" w:top="1320" w:bottom="820" w:left="1200" w:right="1000"/>
        </w:sectPr>
      </w:pPr>
    </w:p>
    <w:p>
      <w:pPr>
        <w:spacing w:before="83"/>
        <w:ind w:left="1919" w:right="414" w:hanging="567"/>
        <w:jc w:val="both"/>
        <w:rPr>
          <w:sz w:val="24"/>
        </w:rPr>
      </w:pPr>
      <w:r>
        <w:rPr>
          <w:sz w:val="24"/>
        </w:rPr>
        <w:t>(f1) If the occurrence of the </w:t>
      </w:r>
      <w:r>
        <w:rPr>
          <w:i/>
          <w:sz w:val="24"/>
        </w:rPr>
        <w:t>negative change event </w:t>
      </w:r>
      <w:r>
        <w:rPr>
          <w:sz w:val="24"/>
        </w:rPr>
        <w:t>is not notified by the </w:t>
      </w:r>
      <w:r>
        <w:rPr>
          <w:i/>
          <w:sz w:val="24"/>
        </w:rPr>
        <w:t>Distribution Network Service Provider </w:t>
      </w:r>
      <w:r>
        <w:rPr>
          <w:sz w:val="24"/>
        </w:rPr>
        <w:t>to the </w:t>
      </w:r>
      <w:r>
        <w:rPr>
          <w:i/>
          <w:sz w:val="24"/>
        </w:rPr>
        <w:t>AER </w:t>
      </w:r>
      <w:r>
        <w:rPr>
          <w:sz w:val="24"/>
        </w:rPr>
        <w:t>under paragraph (f) then, as soon as is reasonably practicable and before making a determination referred to in paragraph (g), the </w:t>
      </w:r>
      <w:r>
        <w:rPr>
          <w:i/>
          <w:sz w:val="24"/>
        </w:rPr>
        <w:t>AER </w:t>
      </w:r>
      <w:r>
        <w:rPr>
          <w:sz w:val="24"/>
        </w:rPr>
        <w:t>must notify the </w:t>
      </w:r>
      <w:r>
        <w:rPr>
          <w:i/>
          <w:sz w:val="24"/>
        </w:rPr>
        <w:t>Distribution Network </w:t>
      </w:r>
      <w:r>
        <w:rPr>
          <w:i/>
          <w:sz w:val="24"/>
        </w:rPr>
        <w:t>Service Provider </w:t>
      </w:r>
      <w:r>
        <w:rPr>
          <w:sz w:val="24"/>
        </w:rPr>
        <w:t>of the occurrence of that </w:t>
      </w:r>
      <w:r>
        <w:rPr>
          <w:i/>
          <w:sz w:val="24"/>
        </w:rPr>
        <w:t>negative change event</w:t>
      </w:r>
      <w:r>
        <w:rPr>
          <w:sz w:val="24"/>
        </w:rPr>
        <w:t>.</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If a </w:t>
      </w:r>
      <w:r>
        <w:rPr>
          <w:i/>
          <w:sz w:val="24"/>
        </w:rPr>
        <w:t>negative change event </w:t>
      </w:r>
      <w:r>
        <w:rPr>
          <w:sz w:val="24"/>
        </w:rPr>
        <w:t>occurs (whether or not the occurrence of that </w:t>
      </w:r>
      <w:r>
        <w:rPr>
          <w:i/>
          <w:sz w:val="24"/>
        </w:rPr>
        <w:t>negative change event </w:t>
      </w:r>
      <w:r>
        <w:rPr>
          <w:sz w:val="24"/>
        </w:rPr>
        <w:t>is notified by the </w:t>
      </w:r>
      <w:r>
        <w:rPr>
          <w:i/>
          <w:sz w:val="24"/>
        </w:rPr>
        <w:t>Distribution Network Service </w:t>
      </w:r>
      <w:r>
        <w:rPr>
          <w:i/>
          <w:sz w:val="24"/>
        </w:rPr>
        <w:t>Provider </w:t>
      </w:r>
      <w:r>
        <w:rPr>
          <w:sz w:val="24"/>
        </w:rPr>
        <w:t>to the </w:t>
      </w:r>
      <w:r>
        <w:rPr>
          <w:i/>
          <w:sz w:val="24"/>
        </w:rPr>
        <w:t>AER </w:t>
      </w:r>
      <w:r>
        <w:rPr>
          <w:sz w:val="24"/>
        </w:rPr>
        <w:t>under paragraph (f)) and the </w:t>
      </w:r>
      <w:r>
        <w:rPr>
          <w:i/>
          <w:sz w:val="24"/>
        </w:rPr>
        <w:t>AER </w:t>
      </w:r>
      <w:r>
        <w:rPr>
          <w:sz w:val="24"/>
        </w:rPr>
        <w:t>determines to impose a requirement on the provider in relation to that </w:t>
      </w:r>
      <w:r>
        <w:rPr>
          <w:i/>
          <w:sz w:val="24"/>
        </w:rPr>
        <w:t>negative change event </w:t>
      </w:r>
      <w:r>
        <w:rPr>
          <w:sz w:val="24"/>
        </w:rPr>
        <w:t>as described in paragraph (b), the </w:t>
      </w:r>
      <w:r>
        <w:rPr>
          <w:i/>
          <w:sz w:val="24"/>
        </w:rPr>
        <w:t>AER </w:t>
      </w:r>
      <w:r>
        <w:rPr>
          <w:sz w:val="24"/>
        </w:rPr>
        <w:t>must</w:t>
      </w:r>
      <w:r>
        <w:rPr>
          <w:spacing w:val="-1"/>
          <w:sz w:val="24"/>
        </w:rPr>
        <w:t> </w:t>
      </w:r>
      <w:r>
        <w:rPr>
          <w:sz w:val="24"/>
        </w:rPr>
        <w:t>determine:</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the </w:t>
      </w:r>
      <w:r>
        <w:rPr>
          <w:i/>
          <w:sz w:val="24"/>
        </w:rPr>
        <w:t>required pass through amount</w:t>
      </w:r>
      <w:r>
        <w:rPr>
          <w:sz w:val="24"/>
        </w:rPr>
        <w:t>;</w:t>
      </w:r>
      <w:r>
        <w:rPr>
          <w:spacing w:val="-2"/>
          <w:sz w:val="24"/>
        </w:rPr>
        <w:t> </w:t>
      </w:r>
      <w:r>
        <w:rPr>
          <w:sz w:val="24"/>
        </w:rPr>
        <w:t>and</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taking into account the matters referred to in paragraph</w:t>
      </w:r>
      <w:r>
        <w:rPr>
          <w:spacing w:val="-1"/>
          <w:sz w:val="24"/>
        </w:rPr>
        <w:t> </w:t>
      </w:r>
      <w:r>
        <w:rPr>
          <w:sz w:val="24"/>
        </w:rPr>
        <w:t>(j):</w:t>
      </w:r>
    </w:p>
    <w:p>
      <w:pPr>
        <w:pStyle w:val="ListParagraph"/>
        <w:numPr>
          <w:ilvl w:val="2"/>
          <w:numId w:val="401"/>
        </w:numPr>
        <w:tabs>
          <w:tab w:pos="3053" w:val="left" w:leader="none"/>
        </w:tabs>
        <w:spacing w:line="240" w:lineRule="auto" w:before="120" w:after="0"/>
        <w:ind w:left="3053" w:right="415" w:hanging="567"/>
        <w:jc w:val="both"/>
        <w:rPr>
          <w:sz w:val="24"/>
        </w:rPr>
      </w:pPr>
      <w:r>
        <w:rPr>
          <w:sz w:val="24"/>
        </w:rPr>
        <w:t>how much of that </w:t>
      </w:r>
      <w:r>
        <w:rPr>
          <w:i/>
          <w:sz w:val="24"/>
        </w:rPr>
        <w:t>required pass through amount </w:t>
      </w:r>
      <w:r>
        <w:rPr>
          <w:sz w:val="24"/>
        </w:rPr>
        <w:t>should be passed through to </w:t>
      </w:r>
      <w:r>
        <w:rPr>
          <w:i/>
          <w:sz w:val="24"/>
        </w:rPr>
        <w:t>Distribution Network Users </w:t>
      </w:r>
      <w:r>
        <w:rPr>
          <w:sz w:val="24"/>
        </w:rPr>
        <w:t>(the</w:t>
      </w:r>
      <w:r>
        <w:rPr>
          <w:spacing w:val="39"/>
          <w:sz w:val="24"/>
        </w:rPr>
        <w:t> </w:t>
      </w:r>
      <w:r>
        <w:rPr>
          <w:sz w:val="24"/>
        </w:rPr>
        <w:t>"</w:t>
      </w:r>
      <w:r>
        <w:rPr>
          <w:i/>
          <w:sz w:val="24"/>
        </w:rPr>
        <w:t>negative </w:t>
      </w:r>
      <w:r>
        <w:rPr>
          <w:i/>
          <w:sz w:val="24"/>
        </w:rPr>
        <w:t>pass through amount</w:t>
      </w:r>
      <w:r>
        <w:rPr>
          <w:sz w:val="24"/>
        </w:rPr>
        <w:t>");</w:t>
      </w:r>
      <w:r>
        <w:rPr>
          <w:spacing w:val="-2"/>
          <w:sz w:val="24"/>
        </w:rPr>
        <w:t> </w:t>
      </w:r>
      <w:r>
        <w:rPr>
          <w:sz w:val="24"/>
        </w:rPr>
        <w:t>and</w:t>
      </w:r>
    </w:p>
    <w:p>
      <w:pPr>
        <w:pStyle w:val="ListParagraph"/>
        <w:numPr>
          <w:ilvl w:val="2"/>
          <w:numId w:val="401"/>
        </w:numPr>
        <w:tabs>
          <w:tab w:pos="3054" w:val="left" w:leader="none"/>
        </w:tabs>
        <w:spacing w:line="240" w:lineRule="auto" w:before="120" w:after="0"/>
        <w:ind w:left="3053" w:right="415" w:hanging="567"/>
        <w:jc w:val="both"/>
        <w:rPr>
          <w:sz w:val="24"/>
        </w:rPr>
      </w:pPr>
      <w:r>
        <w:rPr>
          <w:sz w:val="24"/>
        </w:rPr>
        <w:t>the amount of that </w:t>
      </w:r>
      <w:r>
        <w:rPr>
          <w:i/>
          <w:sz w:val="24"/>
        </w:rPr>
        <w:t>negative pass through amount </w:t>
      </w:r>
      <w:r>
        <w:rPr>
          <w:sz w:val="24"/>
        </w:rPr>
        <w:t>that should be passed through to </w:t>
      </w:r>
      <w:r>
        <w:rPr>
          <w:i/>
          <w:sz w:val="24"/>
        </w:rPr>
        <w:t>Distribution Network Users </w:t>
      </w:r>
      <w:r>
        <w:rPr>
          <w:sz w:val="24"/>
        </w:rPr>
        <w:t>in the </w:t>
      </w:r>
      <w:r>
        <w:rPr>
          <w:i/>
          <w:sz w:val="24"/>
        </w:rPr>
        <w:t>regulatory </w:t>
      </w:r>
      <w:r>
        <w:rPr>
          <w:i/>
          <w:sz w:val="24"/>
        </w:rPr>
        <w:t>year </w:t>
      </w:r>
      <w:r>
        <w:rPr>
          <w:sz w:val="24"/>
        </w:rPr>
        <w:t>in which, and each </w:t>
      </w:r>
      <w:r>
        <w:rPr>
          <w:i/>
          <w:sz w:val="24"/>
        </w:rPr>
        <w:t>regulatory year </w:t>
      </w:r>
      <w:r>
        <w:rPr>
          <w:sz w:val="24"/>
        </w:rPr>
        <w:t>after that in which, the </w:t>
      </w:r>
      <w:r>
        <w:rPr>
          <w:i/>
          <w:sz w:val="24"/>
        </w:rPr>
        <w:t>negative change event</w:t>
      </w:r>
      <w:r>
        <w:rPr>
          <w:i/>
          <w:spacing w:val="-1"/>
          <w:sz w:val="24"/>
        </w:rPr>
        <w:t> </w:t>
      </w:r>
      <w:r>
        <w:rPr>
          <w:sz w:val="24"/>
        </w:rPr>
        <w:t>occurred.</w:t>
      </w:r>
    </w:p>
    <w:p>
      <w:pPr>
        <w:pStyle w:val="BodyText"/>
        <w:ind w:left="1919" w:right="416"/>
      </w:pPr>
      <w:r>
        <w:rPr/>
        <w:t>(g1) Subject to paragraph (k1), if the </w:t>
      </w:r>
      <w:r>
        <w:rPr>
          <w:i/>
        </w:rPr>
        <w:t>AER </w:t>
      </w:r>
      <w:r>
        <w:rPr/>
        <w:t>does not make the determinations referred to in paragraph (g) within 40 </w:t>
      </w:r>
      <w:r>
        <w:rPr>
          <w:i/>
        </w:rPr>
        <w:t>business days </w:t>
      </w:r>
      <w:r>
        <w:rPr/>
        <w:t>from:</w:t>
      </w:r>
    </w:p>
    <w:p>
      <w:pPr>
        <w:pStyle w:val="ListParagraph"/>
        <w:numPr>
          <w:ilvl w:val="0"/>
          <w:numId w:val="404"/>
        </w:numPr>
        <w:tabs>
          <w:tab w:pos="2486" w:val="left" w:leader="none"/>
        </w:tabs>
        <w:spacing w:line="240" w:lineRule="auto" w:before="120" w:after="0"/>
        <w:ind w:left="2486" w:right="415" w:hanging="567"/>
        <w:jc w:val="both"/>
        <w:rPr>
          <w:sz w:val="24"/>
        </w:rPr>
      </w:pPr>
      <w:r>
        <w:rPr>
          <w:sz w:val="24"/>
        </w:rPr>
        <w:t>where the </w:t>
      </w:r>
      <w:r>
        <w:rPr>
          <w:i/>
          <w:sz w:val="24"/>
        </w:rPr>
        <w:t>Distribution Network Service Provider </w:t>
      </w:r>
      <w:r>
        <w:rPr>
          <w:sz w:val="24"/>
        </w:rPr>
        <w:t>notifies the </w:t>
      </w:r>
      <w:r>
        <w:rPr>
          <w:i/>
          <w:sz w:val="24"/>
        </w:rPr>
        <w:t>AER </w:t>
      </w:r>
      <w:r>
        <w:rPr>
          <w:sz w:val="24"/>
        </w:rPr>
        <w:t>of the occurrence of the </w:t>
      </w:r>
      <w:r>
        <w:rPr>
          <w:i/>
          <w:sz w:val="24"/>
        </w:rPr>
        <w:t>negative change event </w:t>
      </w:r>
      <w:r>
        <w:rPr>
          <w:sz w:val="24"/>
        </w:rPr>
        <w:t>under paragraph (f) - the later of the date the </w:t>
      </w:r>
      <w:r>
        <w:rPr>
          <w:i/>
          <w:sz w:val="24"/>
        </w:rPr>
        <w:t>AER </w:t>
      </w:r>
      <w:r>
        <w:rPr>
          <w:sz w:val="24"/>
        </w:rPr>
        <w:t>receives the </w:t>
      </w:r>
      <w:r>
        <w:rPr>
          <w:i/>
          <w:sz w:val="24"/>
        </w:rPr>
        <w:t>Distribution Network Service </w:t>
      </w:r>
      <w:r>
        <w:rPr>
          <w:i/>
          <w:sz w:val="24"/>
        </w:rPr>
        <w:t>Provider's </w:t>
      </w:r>
      <w:r>
        <w:rPr>
          <w:sz w:val="24"/>
        </w:rPr>
        <w:t>statement under paragraph (f) and the date the </w:t>
      </w:r>
      <w:r>
        <w:rPr>
          <w:i/>
          <w:sz w:val="24"/>
        </w:rPr>
        <w:t>AER </w:t>
      </w:r>
      <w:r>
        <w:rPr>
          <w:sz w:val="24"/>
        </w:rPr>
        <w:t>receives any information required by the </w:t>
      </w:r>
      <w:r>
        <w:rPr>
          <w:i/>
          <w:sz w:val="24"/>
        </w:rPr>
        <w:t>AER </w:t>
      </w:r>
      <w:r>
        <w:rPr>
          <w:sz w:val="24"/>
        </w:rPr>
        <w:t>under paragraph (h);</w:t>
      </w:r>
      <w:r>
        <w:rPr>
          <w:spacing w:val="-4"/>
          <w:sz w:val="24"/>
        </w:rPr>
        <w:t> </w:t>
      </w:r>
      <w:r>
        <w:rPr>
          <w:sz w:val="24"/>
        </w:rPr>
        <w:t>or</w:t>
      </w:r>
    </w:p>
    <w:p>
      <w:pPr>
        <w:pStyle w:val="ListParagraph"/>
        <w:numPr>
          <w:ilvl w:val="0"/>
          <w:numId w:val="404"/>
        </w:numPr>
        <w:tabs>
          <w:tab w:pos="2486" w:val="left" w:leader="none"/>
        </w:tabs>
        <w:spacing w:line="240" w:lineRule="auto" w:before="120" w:after="0"/>
        <w:ind w:left="2485" w:right="0" w:hanging="567"/>
        <w:jc w:val="both"/>
        <w:rPr>
          <w:sz w:val="24"/>
        </w:rPr>
      </w:pPr>
      <w:r>
        <w:rPr>
          <w:sz w:val="24"/>
        </w:rPr>
        <w:t>where</w:t>
      </w:r>
      <w:r>
        <w:rPr>
          <w:spacing w:val="23"/>
          <w:sz w:val="24"/>
        </w:rPr>
        <w:t> </w:t>
      </w:r>
      <w:r>
        <w:rPr>
          <w:sz w:val="24"/>
        </w:rPr>
        <w:t>the</w:t>
      </w:r>
      <w:r>
        <w:rPr>
          <w:spacing w:val="24"/>
          <w:sz w:val="24"/>
        </w:rPr>
        <w:t> </w:t>
      </w:r>
      <w:r>
        <w:rPr>
          <w:i/>
          <w:sz w:val="24"/>
        </w:rPr>
        <w:t>Distribution</w:t>
      </w:r>
      <w:r>
        <w:rPr>
          <w:i/>
          <w:spacing w:val="24"/>
          <w:sz w:val="24"/>
        </w:rPr>
        <w:t> </w:t>
      </w:r>
      <w:r>
        <w:rPr>
          <w:i/>
          <w:sz w:val="24"/>
        </w:rPr>
        <w:t>Network</w:t>
      </w:r>
      <w:r>
        <w:rPr>
          <w:i/>
          <w:spacing w:val="23"/>
          <w:sz w:val="24"/>
        </w:rPr>
        <w:t> </w:t>
      </w:r>
      <w:r>
        <w:rPr>
          <w:i/>
          <w:sz w:val="24"/>
        </w:rPr>
        <w:t>Service</w:t>
      </w:r>
      <w:r>
        <w:rPr>
          <w:i/>
          <w:spacing w:val="25"/>
          <w:sz w:val="24"/>
        </w:rPr>
        <w:t> </w:t>
      </w:r>
      <w:r>
        <w:rPr>
          <w:i/>
          <w:sz w:val="24"/>
        </w:rPr>
        <w:t>Provider</w:t>
      </w:r>
      <w:r>
        <w:rPr>
          <w:i/>
          <w:spacing w:val="23"/>
          <w:sz w:val="24"/>
        </w:rPr>
        <w:t> </w:t>
      </w:r>
      <w:r>
        <w:rPr>
          <w:sz w:val="24"/>
        </w:rPr>
        <w:t>does</w:t>
      </w:r>
      <w:r>
        <w:rPr>
          <w:spacing w:val="23"/>
          <w:sz w:val="24"/>
        </w:rPr>
        <w:t> </w:t>
      </w:r>
      <w:r>
        <w:rPr>
          <w:sz w:val="24"/>
        </w:rPr>
        <w:t>not</w:t>
      </w:r>
      <w:r>
        <w:rPr>
          <w:spacing w:val="23"/>
          <w:sz w:val="24"/>
        </w:rPr>
        <w:t> </w:t>
      </w:r>
      <w:r>
        <w:rPr>
          <w:sz w:val="24"/>
        </w:rPr>
        <w:t>notify</w:t>
      </w:r>
      <w:r>
        <w:rPr>
          <w:spacing w:val="24"/>
          <w:sz w:val="24"/>
        </w:rPr>
        <w:t> </w:t>
      </w:r>
      <w:r>
        <w:rPr>
          <w:sz w:val="24"/>
        </w:rPr>
        <w:t>the</w:t>
      </w:r>
    </w:p>
    <w:p>
      <w:pPr>
        <w:spacing w:before="0"/>
        <w:ind w:left="2486" w:right="0" w:firstLine="0"/>
        <w:jc w:val="both"/>
        <w:rPr>
          <w:sz w:val="24"/>
        </w:rPr>
      </w:pPr>
      <w:r>
        <w:rPr>
          <w:i/>
          <w:sz w:val="24"/>
        </w:rPr>
        <w:t>AER </w:t>
      </w:r>
      <w:r>
        <w:rPr>
          <w:sz w:val="24"/>
        </w:rPr>
        <w:t>of the occurrence of the </w:t>
      </w:r>
      <w:r>
        <w:rPr>
          <w:i/>
          <w:sz w:val="24"/>
        </w:rPr>
        <w:t>negative change event </w:t>
      </w:r>
      <w:r>
        <w:rPr>
          <w:sz w:val="24"/>
        </w:rPr>
        <w:t>under paragraph</w:t>
      </w:r>
    </w:p>
    <w:p>
      <w:pPr>
        <w:spacing w:before="0"/>
        <w:ind w:left="2486" w:right="416" w:firstLine="0"/>
        <w:jc w:val="both"/>
        <w:rPr>
          <w:sz w:val="24"/>
        </w:rPr>
      </w:pPr>
      <w:r>
        <w:rPr>
          <w:sz w:val="24"/>
        </w:rPr>
        <w:t>(f) – the later of the date the </w:t>
      </w:r>
      <w:r>
        <w:rPr>
          <w:i/>
          <w:sz w:val="24"/>
        </w:rPr>
        <w:t>AER </w:t>
      </w:r>
      <w:r>
        <w:rPr>
          <w:sz w:val="24"/>
        </w:rPr>
        <w:t>notifies the </w:t>
      </w:r>
      <w:r>
        <w:rPr>
          <w:i/>
          <w:sz w:val="24"/>
        </w:rPr>
        <w:t>Distribution Network </w:t>
      </w:r>
      <w:r>
        <w:rPr>
          <w:i/>
          <w:sz w:val="24"/>
        </w:rPr>
        <w:t>Service Provider </w:t>
      </w:r>
      <w:r>
        <w:rPr>
          <w:sz w:val="24"/>
        </w:rPr>
        <w:t>under paragraph (g1) and the date the </w:t>
      </w:r>
      <w:r>
        <w:rPr>
          <w:i/>
          <w:sz w:val="24"/>
        </w:rPr>
        <w:t>AER </w:t>
      </w:r>
      <w:r>
        <w:rPr>
          <w:sz w:val="24"/>
        </w:rPr>
        <w:t>receives any information required by the </w:t>
      </w:r>
      <w:r>
        <w:rPr>
          <w:i/>
          <w:sz w:val="24"/>
        </w:rPr>
        <w:t>AER </w:t>
      </w:r>
      <w:r>
        <w:rPr>
          <w:sz w:val="24"/>
        </w:rPr>
        <w:t>under paragraph (h),</w:t>
      </w:r>
    </w:p>
    <w:p>
      <w:pPr>
        <w:spacing w:before="120"/>
        <w:ind w:left="1919" w:right="414" w:firstLine="0"/>
        <w:jc w:val="both"/>
        <w:rPr>
          <w:sz w:val="24"/>
        </w:rPr>
      </w:pPr>
      <w:r>
        <w:rPr>
          <w:sz w:val="24"/>
        </w:rPr>
        <w:t>then the </w:t>
      </w:r>
      <w:r>
        <w:rPr>
          <w:i/>
          <w:sz w:val="24"/>
        </w:rPr>
        <w:t>AER </w:t>
      </w:r>
      <w:r>
        <w:rPr>
          <w:sz w:val="24"/>
        </w:rPr>
        <w:t>is taken to have determined that the </w:t>
      </w:r>
      <w:r>
        <w:rPr>
          <w:i/>
          <w:sz w:val="24"/>
        </w:rPr>
        <w:t>required pass through </w:t>
      </w:r>
      <w:r>
        <w:rPr>
          <w:i/>
          <w:sz w:val="24"/>
        </w:rPr>
        <w:t>amount </w:t>
      </w:r>
      <w:r>
        <w:rPr>
          <w:sz w:val="24"/>
        </w:rPr>
        <w:t>is zero.</w:t>
      </w:r>
    </w:p>
    <w:p>
      <w:pPr>
        <w:pStyle w:val="ListParagraph"/>
        <w:numPr>
          <w:ilvl w:val="0"/>
          <w:numId w:val="401"/>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provide the </w:t>
      </w:r>
      <w:r>
        <w:rPr>
          <w:i/>
          <w:sz w:val="24"/>
        </w:rPr>
        <w:t>AER </w:t>
      </w:r>
      <w:r>
        <w:rPr>
          <w:sz w:val="24"/>
        </w:rPr>
        <w:t>with such information as the </w:t>
      </w:r>
      <w:r>
        <w:rPr>
          <w:i/>
          <w:sz w:val="24"/>
        </w:rPr>
        <w:t>AER </w:t>
      </w:r>
      <w:r>
        <w:rPr>
          <w:sz w:val="24"/>
        </w:rPr>
        <w:t>requires for the purpose of making a determination under paragraph (g)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before="220"/>
        <w:ind w:left="1356" w:right="0" w:firstLine="0"/>
        <w:jc w:val="left"/>
        <w:rPr>
          <w:rFonts w:ascii="Arial"/>
          <w:b/>
          <w:sz w:val="22"/>
        </w:rPr>
      </w:pPr>
      <w:r>
        <w:rPr>
          <w:rFonts w:ascii="Arial"/>
          <w:b/>
          <w:sz w:val="22"/>
        </w:rPr>
        <w:t>Consultation</w:t>
      </w:r>
    </w:p>
    <w:p>
      <w:pPr>
        <w:pStyle w:val="ListParagraph"/>
        <w:numPr>
          <w:ilvl w:val="0"/>
          <w:numId w:val="401"/>
        </w:numPr>
        <w:tabs>
          <w:tab w:pos="1919" w:val="left" w:leader="none"/>
        </w:tabs>
        <w:spacing w:line="240" w:lineRule="auto" w:before="120" w:after="0"/>
        <w:ind w:left="1919" w:right="413" w:hanging="567"/>
        <w:jc w:val="both"/>
        <w:rPr>
          <w:sz w:val="24"/>
        </w:rPr>
      </w:pPr>
      <w:r>
        <w:rPr>
          <w:sz w:val="24"/>
        </w:rPr>
        <w:t>Before making a determination under paragraph (d) or (g), the </w:t>
      </w:r>
      <w:r>
        <w:rPr>
          <w:i/>
          <w:sz w:val="24"/>
        </w:rPr>
        <w:t>AER </w:t>
      </w:r>
      <w:r>
        <w:rPr>
          <w:sz w:val="24"/>
        </w:rPr>
        <w:t>may consult with the relevant </w:t>
      </w:r>
      <w:r>
        <w:rPr>
          <w:i/>
          <w:sz w:val="24"/>
        </w:rPr>
        <w:t>Distribution Network Service Provider </w:t>
      </w:r>
      <w:r>
        <w:rPr>
          <w:sz w:val="24"/>
        </w:rPr>
        <w:t>and such other persons as the </w:t>
      </w:r>
      <w:r>
        <w:rPr>
          <w:i/>
          <w:sz w:val="24"/>
        </w:rPr>
        <w:t>AER </w:t>
      </w:r>
      <w:r>
        <w:rPr>
          <w:sz w:val="24"/>
        </w:rPr>
        <w:t>considers appropriate, on any matters arising out of the relevant </w:t>
      </w:r>
      <w:r>
        <w:rPr>
          <w:i/>
          <w:sz w:val="24"/>
        </w:rPr>
        <w:t>pass through event </w:t>
      </w:r>
      <w:r>
        <w:rPr>
          <w:sz w:val="24"/>
        </w:rPr>
        <w:t>the </w:t>
      </w:r>
      <w:r>
        <w:rPr>
          <w:i/>
          <w:sz w:val="24"/>
        </w:rPr>
        <w:t>AER </w:t>
      </w:r>
      <w:r>
        <w:rPr>
          <w:sz w:val="24"/>
        </w:rPr>
        <w:t>considers</w:t>
      </w:r>
      <w:r>
        <w:rPr>
          <w:spacing w:val="-2"/>
          <w:sz w:val="24"/>
        </w:rPr>
        <w:t> </w:t>
      </w:r>
      <w:r>
        <w:rPr>
          <w:sz w:val="24"/>
        </w:rPr>
        <w:t>appropriate.</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Relevant factors</w:t>
      </w:r>
    </w:p>
    <w:p>
      <w:pPr>
        <w:pStyle w:val="ListParagraph"/>
        <w:numPr>
          <w:ilvl w:val="0"/>
          <w:numId w:val="401"/>
        </w:numPr>
        <w:tabs>
          <w:tab w:pos="1919" w:val="left" w:leader="none"/>
        </w:tabs>
        <w:spacing w:line="240" w:lineRule="auto" w:before="120" w:after="0"/>
        <w:ind w:left="1918" w:right="0" w:hanging="567"/>
        <w:jc w:val="both"/>
        <w:rPr>
          <w:sz w:val="24"/>
        </w:rPr>
      </w:pPr>
      <w:r>
        <w:rPr>
          <w:sz w:val="24"/>
        </w:rPr>
        <w:t>In</w:t>
      </w:r>
      <w:r>
        <w:rPr>
          <w:spacing w:val="10"/>
          <w:sz w:val="24"/>
        </w:rPr>
        <w:t> </w:t>
      </w:r>
      <w:r>
        <w:rPr>
          <w:sz w:val="24"/>
        </w:rPr>
        <w:t>making</w:t>
      </w:r>
      <w:r>
        <w:rPr>
          <w:spacing w:val="11"/>
          <w:sz w:val="24"/>
        </w:rPr>
        <w:t> </w:t>
      </w:r>
      <w:r>
        <w:rPr>
          <w:sz w:val="24"/>
        </w:rPr>
        <w:t>a</w:t>
      </w:r>
      <w:r>
        <w:rPr>
          <w:spacing w:val="11"/>
          <w:sz w:val="24"/>
        </w:rPr>
        <w:t> </w:t>
      </w:r>
      <w:r>
        <w:rPr>
          <w:sz w:val="24"/>
        </w:rPr>
        <w:t>determination</w:t>
      </w:r>
      <w:r>
        <w:rPr>
          <w:spacing w:val="11"/>
          <w:sz w:val="24"/>
        </w:rPr>
        <w:t> </w:t>
      </w:r>
      <w:r>
        <w:rPr>
          <w:sz w:val="24"/>
        </w:rPr>
        <w:t>under</w:t>
      </w:r>
      <w:r>
        <w:rPr>
          <w:spacing w:val="11"/>
          <w:sz w:val="24"/>
        </w:rPr>
        <w:t> </w:t>
      </w:r>
      <w:r>
        <w:rPr>
          <w:sz w:val="24"/>
        </w:rPr>
        <w:t>paragraph</w:t>
      </w:r>
      <w:r>
        <w:rPr>
          <w:spacing w:val="10"/>
          <w:sz w:val="24"/>
        </w:rPr>
        <w:t> </w:t>
      </w:r>
      <w:r>
        <w:rPr>
          <w:sz w:val="24"/>
        </w:rPr>
        <w:t>(d)</w:t>
      </w:r>
      <w:r>
        <w:rPr>
          <w:spacing w:val="11"/>
          <w:sz w:val="24"/>
        </w:rPr>
        <w:t> </w:t>
      </w:r>
      <w:r>
        <w:rPr>
          <w:sz w:val="24"/>
        </w:rPr>
        <w:t>or</w:t>
      </w:r>
      <w:r>
        <w:rPr>
          <w:spacing w:val="11"/>
          <w:sz w:val="24"/>
        </w:rPr>
        <w:t> </w:t>
      </w:r>
      <w:r>
        <w:rPr>
          <w:sz w:val="24"/>
        </w:rPr>
        <w:t>(g)</w:t>
      </w:r>
      <w:r>
        <w:rPr>
          <w:spacing w:val="11"/>
          <w:sz w:val="24"/>
        </w:rPr>
        <w:t> </w:t>
      </w:r>
      <w:r>
        <w:rPr>
          <w:sz w:val="24"/>
        </w:rPr>
        <w:t>in</w:t>
      </w:r>
      <w:r>
        <w:rPr>
          <w:spacing w:val="11"/>
          <w:sz w:val="24"/>
        </w:rPr>
        <w:t> </w:t>
      </w:r>
      <w:r>
        <w:rPr>
          <w:sz w:val="24"/>
        </w:rPr>
        <w:t>respect</w:t>
      </w:r>
      <w:r>
        <w:rPr>
          <w:spacing w:val="9"/>
          <w:sz w:val="24"/>
        </w:rPr>
        <w:t> </w:t>
      </w:r>
      <w:r>
        <w:rPr>
          <w:sz w:val="24"/>
        </w:rPr>
        <w:t>of</w:t>
      </w:r>
      <w:r>
        <w:rPr>
          <w:spacing w:val="11"/>
          <w:sz w:val="24"/>
        </w:rPr>
        <w:t> </w:t>
      </w:r>
      <w:r>
        <w:rPr>
          <w:sz w:val="24"/>
        </w:rPr>
        <w:t>a</w:t>
      </w:r>
    </w:p>
    <w:p>
      <w:pPr>
        <w:spacing w:before="0"/>
        <w:ind w:left="1919" w:right="0" w:firstLine="0"/>
        <w:jc w:val="both"/>
        <w:rPr>
          <w:sz w:val="24"/>
        </w:rPr>
      </w:pPr>
      <w:r>
        <w:rPr>
          <w:i/>
          <w:sz w:val="24"/>
        </w:rPr>
        <w:t>Distribution Network Service Provider</w:t>
      </w:r>
      <w:r>
        <w:rPr>
          <w:sz w:val="24"/>
        </w:rPr>
        <w:t>, the </w:t>
      </w:r>
      <w:r>
        <w:rPr>
          <w:i/>
          <w:sz w:val="24"/>
        </w:rPr>
        <w:t>AER </w:t>
      </w:r>
      <w:r>
        <w:rPr>
          <w:sz w:val="24"/>
        </w:rPr>
        <w:t>must take into account:</w:t>
      </w:r>
    </w:p>
    <w:p>
      <w:pPr>
        <w:pStyle w:val="ListParagraph"/>
        <w:numPr>
          <w:ilvl w:val="1"/>
          <w:numId w:val="401"/>
        </w:numPr>
        <w:tabs>
          <w:tab w:pos="2486" w:val="left" w:leader="none"/>
        </w:tabs>
        <w:spacing w:line="240" w:lineRule="auto" w:before="120" w:after="0"/>
        <w:ind w:left="2486" w:right="416" w:hanging="567"/>
        <w:jc w:val="both"/>
        <w:rPr>
          <w:sz w:val="24"/>
        </w:rPr>
      </w:pPr>
      <w:r>
        <w:rPr>
          <w:sz w:val="24"/>
        </w:rPr>
        <w:t>the matters and proposals set out in any statement given to the </w:t>
      </w:r>
      <w:r>
        <w:rPr>
          <w:i/>
          <w:sz w:val="24"/>
        </w:rPr>
        <w:t>AER </w:t>
      </w:r>
      <w:r>
        <w:rPr>
          <w:sz w:val="24"/>
        </w:rPr>
        <w:t>by the </w:t>
      </w:r>
      <w:r>
        <w:rPr>
          <w:i/>
          <w:sz w:val="24"/>
        </w:rPr>
        <w:t>Distribution Network Service Provider </w:t>
      </w:r>
      <w:r>
        <w:rPr>
          <w:sz w:val="24"/>
        </w:rPr>
        <w:t>under paragraph (c) or (f); and</w:t>
      </w:r>
    </w:p>
    <w:p>
      <w:pPr>
        <w:pStyle w:val="ListParagraph"/>
        <w:numPr>
          <w:ilvl w:val="1"/>
          <w:numId w:val="401"/>
        </w:numPr>
        <w:tabs>
          <w:tab w:pos="2486" w:val="left" w:leader="none"/>
        </w:tabs>
        <w:spacing w:line="240" w:lineRule="auto" w:before="120" w:after="0"/>
        <w:ind w:left="2486" w:right="414" w:hanging="567"/>
        <w:jc w:val="both"/>
        <w:rPr>
          <w:sz w:val="24"/>
        </w:rPr>
      </w:pPr>
      <w:r>
        <w:rPr>
          <w:sz w:val="24"/>
        </w:rPr>
        <w:t>in the case of a </w:t>
      </w:r>
      <w:r>
        <w:rPr>
          <w:i/>
          <w:sz w:val="24"/>
        </w:rPr>
        <w:t>positive change event</w:t>
      </w:r>
      <w:r>
        <w:rPr>
          <w:sz w:val="24"/>
        </w:rPr>
        <w:t>, the increase in costs in the provision of </w:t>
      </w:r>
      <w:r>
        <w:rPr>
          <w:i/>
          <w:sz w:val="24"/>
        </w:rPr>
        <w:t>direct control services </w:t>
      </w:r>
      <w:r>
        <w:rPr>
          <w:sz w:val="24"/>
        </w:rPr>
        <w:t>that, as a result of the </w:t>
      </w:r>
      <w:r>
        <w:rPr>
          <w:i/>
          <w:sz w:val="24"/>
        </w:rPr>
        <w:t>positive </w:t>
      </w:r>
      <w:r>
        <w:rPr>
          <w:i/>
          <w:sz w:val="24"/>
        </w:rPr>
        <w:t>change event</w:t>
      </w:r>
      <w:r>
        <w:rPr>
          <w:sz w:val="24"/>
        </w:rPr>
        <w:t>, the </w:t>
      </w:r>
      <w:r>
        <w:rPr>
          <w:i/>
          <w:sz w:val="24"/>
        </w:rPr>
        <w:t>Distribution Network Service Provider </w:t>
      </w:r>
      <w:r>
        <w:rPr>
          <w:sz w:val="24"/>
        </w:rPr>
        <w:t>has incurred and is likely to incur</w:t>
      </w:r>
      <w:r>
        <w:rPr>
          <w:spacing w:val="-1"/>
          <w:sz w:val="24"/>
        </w:rPr>
        <w:t> </w:t>
      </w:r>
      <w:r>
        <w:rPr>
          <w:sz w:val="24"/>
        </w:rPr>
        <w:t>until:</w:t>
      </w:r>
    </w:p>
    <w:p>
      <w:pPr>
        <w:pStyle w:val="ListParagraph"/>
        <w:numPr>
          <w:ilvl w:val="2"/>
          <w:numId w:val="401"/>
        </w:numPr>
        <w:tabs>
          <w:tab w:pos="3053" w:val="left" w:leader="none"/>
        </w:tabs>
        <w:spacing w:line="240" w:lineRule="auto" w:before="120" w:after="0"/>
        <w:ind w:left="3053" w:right="416" w:hanging="567"/>
        <w:jc w:val="both"/>
        <w:rPr>
          <w:sz w:val="24"/>
        </w:rPr>
      </w:pPr>
      <w:r>
        <w:rPr>
          <w:sz w:val="24"/>
        </w:rPr>
        <w:t>unless subparagraph(ii) applies – the end of the </w:t>
      </w:r>
      <w:r>
        <w:rPr>
          <w:i/>
          <w:sz w:val="24"/>
        </w:rPr>
        <w:t>regulatory </w:t>
      </w:r>
      <w:r>
        <w:rPr>
          <w:i/>
          <w:sz w:val="24"/>
        </w:rPr>
        <w:t>control period </w:t>
      </w:r>
      <w:r>
        <w:rPr>
          <w:sz w:val="24"/>
        </w:rPr>
        <w:t>in which the </w:t>
      </w:r>
      <w:r>
        <w:rPr>
          <w:i/>
          <w:sz w:val="24"/>
        </w:rPr>
        <w:t>positive change event </w:t>
      </w:r>
      <w:r>
        <w:rPr>
          <w:sz w:val="24"/>
        </w:rPr>
        <w:t>occurred;</w:t>
      </w:r>
      <w:r>
        <w:rPr>
          <w:spacing w:val="-3"/>
          <w:sz w:val="24"/>
        </w:rPr>
        <w:t> </w:t>
      </w:r>
      <w:r>
        <w:rPr>
          <w:sz w:val="24"/>
        </w:rPr>
        <w:t>or</w:t>
      </w:r>
    </w:p>
    <w:p>
      <w:pPr>
        <w:pStyle w:val="ListParagraph"/>
        <w:numPr>
          <w:ilvl w:val="2"/>
          <w:numId w:val="401"/>
        </w:numPr>
        <w:tabs>
          <w:tab w:pos="3054" w:val="left" w:leader="none"/>
        </w:tabs>
        <w:spacing w:line="240" w:lineRule="auto" w:before="120" w:after="0"/>
        <w:ind w:left="3053" w:right="415" w:hanging="567"/>
        <w:jc w:val="both"/>
        <w:rPr>
          <w:sz w:val="24"/>
        </w:rPr>
      </w:pPr>
      <w:r>
        <w:rPr>
          <w:sz w:val="24"/>
        </w:rPr>
        <w:t>if the distribution determination for the </w:t>
      </w:r>
      <w:r>
        <w:rPr>
          <w:i/>
          <w:sz w:val="24"/>
        </w:rPr>
        <w:t>regulatory control </w:t>
      </w:r>
      <w:r>
        <w:rPr>
          <w:i/>
          <w:sz w:val="24"/>
        </w:rPr>
        <w:t>period </w:t>
      </w:r>
      <w:r>
        <w:rPr>
          <w:sz w:val="24"/>
        </w:rPr>
        <w:t>following that in which the </w:t>
      </w:r>
      <w:r>
        <w:rPr>
          <w:i/>
          <w:sz w:val="24"/>
        </w:rPr>
        <w:t>positive change event </w:t>
      </w:r>
      <w:r>
        <w:rPr>
          <w:sz w:val="24"/>
        </w:rPr>
        <w:t>occurred does not make any allowance for the recovery of that increase in costs – the end of the </w:t>
      </w:r>
      <w:r>
        <w:rPr>
          <w:i/>
          <w:sz w:val="24"/>
        </w:rPr>
        <w:t>regulatory control period </w:t>
      </w:r>
      <w:r>
        <w:rPr>
          <w:sz w:val="24"/>
        </w:rPr>
        <w:t>following that in which the </w:t>
      </w:r>
      <w:r>
        <w:rPr>
          <w:i/>
          <w:sz w:val="24"/>
        </w:rPr>
        <w:t>positive change event</w:t>
      </w:r>
      <w:r>
        <w:rPr>
          <w:i/>
          <w:spacing w:val="-6"/>
          <w:sz w:val="24"/>
        </w:rPr>
        <w:t> </w:t>
      </w:r>
      <w:r>
        <w:rPr>
          <w:sz w:val="24"/>
        </w:rPr>
        <w:t>occurred;</w:t>
      </w:r>
    </w:p>
    <w:p>
      <w:pPr>
        <w:spacing w:before="120"/>
        <w:ind w:left="2486" w:right="415" w:hanging="567"/>
        <w:jc w:val="both"/>
        <w:rPr>
          <w:sz w:val="24"/>
        </w:rPr>
      </w:pPr>
      <w:r>
        <w:rPr>
          <w:sz w:val="24"/>
        </w:rPr>
        <w:t>(2A) in the case of a </w:t>
      </w:r>
      <w:r>
        <w:rPr>
          <w:i/>
          <w:sz w:val="24"/>
        </w:rPr>
        <w:t>negative change event</w:t>
      </w:r>
      <w:r>
        <w:rPr>
          <w:sz w:val="24"/>
        </w:rPr>
        <w:t>, the costs in the provision </w:t>
      </w:r>
      <w:r>
        <w:rPr>
          <w:spacing w:val="-6"/>
          <w:sz w:val="24"/>
        </w:rPr>
        <w:t>of </w:t>
      </w:r>
      <w:r>
        <w:rPr>
          <w:i/>
          <w:sz w:val="24"/>
        </w:rPr>
        <w:t>direct control services </w:t>
      </w:r>
      <w:r>
        <w:rPr>
          <w:sz w:val="24"/>
        </w:rPr>
        <w:t>that, as a result of the </w:t>
      </w:r>
      <w:r>
        <w:rPr>
          <w:i/>
          <w:sz w:val="24"/>
        </w:rPr>
        <w:t>negative change event</w:t>
      </w:r>
      <w:r>
        <w:rPr>
          <w:sz w:val="24"/>
        </w:rPr>
        <w:t>, the </w:t>
      </w:r>
      <w:r>
        <w:rPr>
          <w:i/>
          <w:sz w:val="24"/>
        </w:rPr>
        <w:t>Distribution Network Service Provider </w:t>
      </w:r>
      <w:r>
        <w:rPr>
          <w:sz w:val="24"/>
        </w:rPr>
        <w:t>has saved and is likely to save</w:t>
      </w:r>
      <w:r>
        <w:rPr>
          <w:spacing w:val="-2"/>
          <w:sz w:val="24"/>
        </w:rPr>
        <w:t> </w:t>
      </w:r>
      <w:r>
        <w:rPr>
          <w:sz w:val="24"/>
        </w:rPr>
        <w:t>until:</w:t>
      </w:r>
    </w:p>
    <w:p>
      <w:pPr>
        <w:pStyle w:val="ListParagraph"/>
        <w:numPr>
          <w:ilvl w:val="0"/>
          <w:numId w:val="405"/>
        </w:numPr>
        <w:tabs>
          <w:tab w:pos="3053" w:val="left" w:leader="none"/>
        </w:tabs>
        <w:spacing w:line="240" w:lineRule="auto" w:before="120" w:after="0"/>
        <w:ind w:left="3053" w:right="416" w:hanging="567"/>
        <w:jc w:val="both"/>
        <w:rPr>
          <w:sz w:val="24"/>
        </w:rPr>
      </w:pPr>
      <w:r>
        <w:rPr>
          <w:sz w:val="24"/>
        </w:rPr>
        <w:t>unless subparagraph(ii) applies – the end of the </w:t>
      </w:r>
      <w:r>
        <w:rPr>
          <w:i/>
          <w:sz w:val="24"/>
        </w:rPr>
        <w:t>regulatory </w:t>
      </w:r>
      <w:r>
        <w:rPr>
          <w:i/>
          <w:sz w:val="24"/>
        </w:rPr>
        <w:t>control period </w:t>
      </w:r>
      <w:r>
        <w:rPr>
          <w:sz w:val="24"/>
        </w:rPr>
        <w:t>in which the </w:t>
      </w:r>
      <w:r>
        <w:rPr>
          <w:i/>
          <w:sz w:val="24"/>
        </w:rPr>
        <w:t>negative change event </w:t>
      </w:r>
      <w:r>
        <w:rPr>
          <w:sz w:val="24"/>
        </w:rPr>
        <w:t>occurred;</w:t>
      </w:r>
      <w:r>
        <w:rPr>
          <w:spacing w:val="-4"/>
          <w:sz w:val="24"/>
        </w:rPr>
        <w:t> </w:t>
      </w:r>
      <w:r>
        <w:rPr>
          <w:sz w:val="24"/>
        </w:rPr>
        <w:t>or</w:t>
      </w:r>
    </w:p>
    <w:p>
      <w:pPr>
        <w:pStyle w:val="ListParagraph"/>
        <w:numPr>
          <w:ilvl w:val="0"/>
          <w:numId w:val="405"/>
        </w:numPr>
        <w:tabs>
          <w:tab w:pos="3054" w:val="left" w:leader="none"/>
        </w:tabs>
        <w:spacing w:line="240" w:lineRule="auto" w:before="120" w:after="0"/>
        <w:ind w:left="3053" w:right="415" w:hanging="567"/>
        <w:jc w:val="both"/>
        <w:rPr>
          <w:sz w:val="24"/>
        </w:rPr>
      </w:pPr>
      <w:r>
        <w:rPr>
          <w:sz w:val="24"/>
        </w:rPr>
        <w:t>if the distribution determination for the </w:t>
      </w:r>
      <w:r>
        <w:rPr>
          <w:i/>
          <w:sz w:val="24"/>
        </w:rPr>
        <w:t>regulatory control </w:t>
      </w:r>
      <w:r>
        <w:rPr>
          <w:i/>
          <w:sz w:val="24"/>
        </w:rPr>
        <w:t>period </w:t>
      </w:r>
      <w:r>
        <w:rPr>
          <w:sz w:val="24"/>
        </w:rPr>
        <w:t>following that in which the </w:t>
      </w:r>
      <w:r>
        <w:rPr>
          <w:i/>
          <w:sz w:val="24"/>
        </w:rPr>
        <w:t>negative change event </w:t>
      </w:r>
      <w:r>
        <w:rPr>
          <w:sz w:val="24"/>
        </w:rPr>
        <w:t>occurred does not make any allowance for the pass through of those cost savings to </w:t>
      </w:r>
      <w:r>
        <w:rPr>
          <w:i/>
          <w:sz w:val="24"/>
        </w:rPr>
        <w:t>Distribution Network Users </w:t>
      </w:r>
      <w:r>
        <w:rPr>
          <w:sz w:val="24"/>
        </w:rPr>
        <w:t>– the end of the </w:t>
      </w:r>
      <w:r>
        <w:rPr>
          <w:i/>
          <w:sz w:val="24"/>
        </w:rPr>
        <w:t>regulatory control period </w:t>
      </w:r>
      <w:r>
        <w:rPr>
          <w:sz w:val="24"/>
        </w:rPr>
        <w:t>following that in which the </w:t>
      </w:r>
      <w:r>
        <w:rPr>
          <w:i/>
          <w:sz w:val="24"/>
        </w:rPr>
        <w:t>negative change event</w:t>
      </w:r>
      <w:r>
        <w:rPr>
          <w:i/>
          <w:spacing w:val="-1"/>
          <w:sz w:val="24"/>
        </w:rPr>
        <w:t> </w:t>
      </w:r>
      <w:r>
        <w:rPr>
          <w:sz w:val="24"/>
        </w:rPr>
        <w:t>occurred;</w:t>
      </w:r>
    </w:p>
    <w:p>
      <w:pPr>
        <w:pStyle w:val="ListParagraph"/>
        <w:numPr>
          <w:ilvl w:val="1"/>
          <w:numId w:val="401"/>
        </w:numPr>
        <w:tabs>
          <w:tab w:pos="2486" w:val="left" w:leader="none"/>
        </w:tabs>
        <w:spacing w:line="240" w:lineRule="auto" w:before="120" w:after="0"/>
        <w:ind w:left="2486" w:right="414" w:hanging="567"/>
        <w:jc w:val="both"/>
        <w:rPr>
          <w:sz w:val="24"/>
        </w:rPr>
      </w:pPr>
      <w:r>
        <w:rPr>
          <w:sz w:val="24"/>
        </w:rPr>
        <w:t>in the case of a </w:t>
      </w:r>
      <w:r>
        <w:rPr>
          <w:i/>
          <w:sz w:val="24"/>
        </w:rPr>
        <w:t>positive change event</w:t>
      </w:r>
      <w:r>
        <w:rPr>
          <w:sz w:val="24"/>
        </w:rPr>
        <w:t>, the efficiency of the </w:t>
      </w:r>
      <w:r>
        <w:rPr>
          <w:i/>
          <w:sz w:val="24"/>
        </w:rPr>
        <w:t>Distribution Network Service Provider's </w:t>
      </w:r>
      <w:r>
        <w:rPr>
          <w:sz w:val="24"/>
        </w:rPr>
        <w:t>decisions and actions in relation to the risk of the </w:t>
      </w:r>
      <w:r>
        <w:rPr>
          <w:i/>
          <w:sz w:val="24"/>
        </w:rPr>
        <w:t>positive change event</w:t>
      </w:r>
      <w:r>
        <w:rPr>
          <w:sz w:val="24"/>
        </w:rPr>
        <w:t>, including whether the </w:t>
      </w:r>
      <w:r>
        <w:rPr>
          <w:i/>
          <w:sz w:val="24"/>
        </w:rPr>
        <w:t>Distribution Network Service Provider </w:t>
      </w:r>
      <w:r>
        <w:rPr>
          <w:sz w:val="24"/>
        </w:rPr>
        <w:t>has failed to take any action that could reasonably be taken to reduce the magnitude of the </w:t>
      </w:r>
      <w:r>
        <w:rPr>
          <w:i/>
          <w:sz w:val="24"/>
        </w:rPr>
        <w:t>eligible </w:t>
      </w:r>
      <w:r>
        <w:rPr>
          <w:i/>
          <w:sz w:val="24"/>
        </w:rPr>
        <w:t>pass through amount </w:t>
      </w:r>
      <w:r>
        <w:rPr>
          <w:sz w:val="24"/>
        </w:rPr>
        <w:t>in respect of that </w:t>
      </w:r>
      <w:r>
        <w:rPr>
          <w:i/>
          <w:sz w:val="24"/>
        </w:rPr>
        <w:t>positive change event</w:t>
      </w:r>
      <w:r>
        <w:rPr>
          <w:i/>
          <w:spacing w:val="28"/>
          <w:sz w:val="24"/>
        </w:rPr>
        <w:t> </w:t>
      </w:r>
      <w:r>
        <w:rPr>
          <w:sz w:val="24"/>
        </w:rPr>
        <w:t>and whether the </w:t>
      </w:r>
      <w:r>
        <w:rPr>
          <w:i/>
          <w:sz w:val="24"/>
        </w:rPr>
        <w:t>Distribution Network Service Provider </w:t>
      </w:r>
      <w:r>
        <w:rPr>
          <w:sz w:val="24"/>
        </w:rPr>
        <w:t>has taken or omitted to take any action where such action or omission has increased the magnitude of the amount in respect of that </w:t>
      </w:r>
      <w:r>
        <w:rPr>
          <w:i/>
          <w:sz w:val="24"/>
        </w:rPr>
        <w:t>positive </w:t>
      </w:r>
      <w:r>
        <w:rPr>
          <w:i/>
          <w:sz w:val="24"/>
        </w:rPr>
        <w:t>change</w:t>
      </w:r>
      <w:r>
        <w:rPr>
          <w:i/>
          <w:spacing w:val="-1"/>
          <w:sz w:val="24"/>
        </w:rPr>
        <w:t> </w:t>
      </w:r>
      <w:r>
        <w:rPr>
          <w:i/>
          <w:sz w:val="24"/>
        </w:rPr>
        <w:t>event</w:t>
      </w:r>
      <w:r>
        <w:rPr>
          <w:sz w:val="24"/>
        </w:rPr>
        <w:t>;</w:t>
      </w:r>
    </w:p>
    <w:p>
      <w:pPr>
        <w:pStyle w:val="ListParagraph"/>
        <w:numPr>
          <w:ilvl w:val="1"/>
          <w:numId w:val="401"/>
        </w:numPr>
        <w:tabs>
          <w:tab w:pos="2486" w:val="left" w:leader="none"/>
        </w:tabs>
        <w:spacing w:line="240" w:lineRule="auto" w:before="120" w:after="0"/>
        <w:ind w:left="2486" w:right="415" w:hanging="567"/>
        <w:jc w:val="both"/>
        <w:rPr>
          <w:sz w:val="24"/>
        </w:rPr>
      </w:pPr>
      <w:r>
        <w:rPr>
          <w:sz w:val="24"/>
        </w:rPr>
        <w:t>the time cost of money based on the </w:t>
      </w:r>
      <w:r>
        <w:rPr>
          <w:i/>
          <w:sz w:val="24"/>
        </w:rPr>
        <w:t>allowed rate of return </w:t>
      </w:r>
      <w:r>
        <w:rPr>
          <w:sz w:val="24"/>
        </w:rPr>
        <w:t>for the </w:t>
      </w:r>
      <w:r>
        <w:rPr>
          <w:i/>
          <w:sz w:val="24"/>
        </w:rPr>
        <w:t>Distribution Network Service Provider </w:t>
      </w:r>
      <w:r>
        <w:rPr>
          <w:sz w:val="24"/>
        </w:rPr>
        <w:t>for the </w:t>
      </w:r>
      <w:r>
        <w:rPr>
          <w:i/>
          <w:sz w:val="24"/>
        </w:rPr>
        <w:t>regulatory control </w:t>
      </w:r>
      <w:r>
        <w:rPr>
          <w:i/>
          <w:sz w:val="24"/>
        </w:rPr>
        <w:t>period </w:t>
      </w:r>
      <w:r>
        <w:rPr>
          <w:sz w:val="24"/>
        </w:rPr>
        <w:t>in which the </w:t>
      </w:r>
      <w:r>
        <w:rPr>
          <w:i/>
          <w:sz w:val="24"/>
        </w:rPr>
        <w:t>pass through event</w:t>
      </w:r>
      <w:r>
        <w:rPr>
          <w:i/>
          <w:spacing w:val="-2"/>
          <w:sz w:val="24"/>
        </w:rPr>
        <w:t> </w:t>
      </w:r>
      <w:r>
        <w:rPr>
          <w:sz w:val="24"/>
        </w:rPr>
        <w:t>occurred;</w:t>
      </w:r>
    </w:p>
    <w:p>
      <w:pPr>
        <w:pStyle w:val="ListParagraph"/>
        <w:numPr>
          <w:ilvl w:val="1"/>
          <w:numId w:val="401"/>
        </w:numPr>
        <w:tabs>
          <w:tab w:pos="2486" w:val="left" w:leader="none"/>
        </w:tabs>
        <w:spacing w:line="240" w:lineRule="auto" w:before="120" w:after="0"/>
        <w:ind w:left="2486" w:right="415" w:hanging="567"/>
        <w:jc w:val="both"/>
        <w:rPr>
          <w:sz w:val="24"/>
        </w:rPr>
      </w:pPr>
      <w:r>
        <w:rPr>
          <w:sz w:val="24"/>
        </w:rPr>
        <w:t>the need to ensure that the </w:t>
      </w:r>
      <w:r>
        <w:rPr>
          <w:i/>
          <w:sz w:val="24"/>
        </w:rPr>
        <w:t>Distribution Network Service Provider </w:t>
      </w:r>
      <w:r>
        <w:rPr>
          <w:sz w:val="24"/>
        </w:rPr>
        <w:t>only recovers</w:t>
      </w:r>
      <w:r>
        <w:rPr>
          <w:spacing w:val="23"/>
          <w:sz w:val="24"/>
        </w:rPr>
        <w:t> </w:t>
      </w:r>
      <w:r>
        <w:rPr>
          <w:sz w:val="24"/>
        </w:rPr>
        <w:t>any</w:t>
      </w:r>
      <w:r>
        <w:rPr>
          <w:spacing w:val="24"/>
          <w:sz w:val="24"/>
        </w:rPr>
        <w:t> </w:t>
      </w:r>
      <w:r>
        <w:rPr>
          <w:sz w:val="24"/>
        </w:rPr>
        <w:t>actual</w:t>
      </w:r>
      <w:r>
        <w:rPr>
          <w:spacing w:val="24"/>
          <w:sz w:val="24"/>
        </w:rPr>
        <w:t> </w:t>
      </w:r>
      <w:r>
        <w:rPr>
          <w:sz w:val="24"/>
        </w:rPr>
        <w:t>or</w:t>
      </w:r>
      <w:r>
        <w:rPr>
          <w:spacing w:val="23"/>
          <w:sz w:val="24"/>
        </w:rPr>
        <w:t> </w:t>
      </w:r>
      <w:r>
        <w:rPr>
          <w:sz w:val="24"/>
        </w:rPr>
        <w:t>likely</w:t>
      </w:r>
      <w:r>
        <w:rPr>
          <w:spacing w:val="24"/>
          <w:sz w:val="24"/>
        </w:rPr>
        <w:t> </w:t>
      </w:r>
      <w:r>
        <w:rPr>
          <w:sz w:val="24"/>
        </w:rPr>
        <w:t>increment</w:t>
      </w:r>
      <w:r>
        <w:rPr>
          <w:spacing w:val="24"/>
          <w:sz w:val="24"/>
        </w:rPr>
        <w:t> </w:t>
      </w:r>
      <w:r>
        <w:rPr>
          <w:sz w:val="24"/>
        </w:rPr>
        <w:t>in</w:t>
      </w:r>
      <w:r>
        <w:rPr>
          <w:spacing w:val="23"/>
          <w:sz w:val="24"/>
        </w:rPr>
        <w:t> </w:t>
      </w:r>
      <w:r>
        <w:rPr>
          <w:sz w:val="24"/>
        </w:rPr>
        <w:t>costs</w:t>
      </w:r>
      <w:r>
        <w:rPr>
          <w:spacing w:val="24"/>
          <w:sz w:val="24"/>
        </w:rPr>
        <w:t> </w:t>
      </w:r>
      <w:r>
        <w:rPr>
          <w:sz w:val="24"/>
        </w:rPr>
        <w:t>under</w:t>
      </w:r>
      <w:r>
        <w:rPr>
          <w:spacing w:val="24"/>
          <w:sz w:val="24"/>
        </w:rPr>
        <w:t> </w:t>
      </w:r>
      <w:r>
        <w:rPr>
          <w:sz w:val="24"/>
        </w:rPr>
        <w:t>this</w:t>
      </w:r>
      <w:r>
        <w:rPr>
          <w:spacing w:val="24"/>
          <w:sz w:val="24"/>
        </w:rPr>
        <w:t> </w:t>
      </w:r>
      <w:r>
        <w:rPr>
          <w:sz w:val="24"/>
        </w:rPr>
        <w:t>paragraph</w:t>
      </w:r>
    </w:p>
    <w:p>
      <w:pPr>
        <w:pStyle w:val="ListParagraph"/>
        <w:numPr>
          <w:ilvl w:val="0"/>
          <w:numId w:val="406"/>
        </w:numPr>
        <w:tabs>
          <w:tab w:pos="2804" w:val="left" w:leader="none"/>
        </w:tabs>
        <w:spacing w:line="240" w:lineRule="auto" w:before="0" w:after="0"/>
        <w:ind w:left="2803" w:right="0" w:hanging="318"/>
        <w:jc w:val="both"/>
        <w:rPr>
          <w:sz w:val="24"/>
        </w:rPr>
      </w:pPr>
      <w:r>
        <w:rPr>
          <w:sz w:val="24"/>
        </w:rPr>
        <w:t>to</w:t>
      </w:r>
      <w:r>
        <w:rPr>
          <w:spacing w:val="29"/>
          <w:sz w:val="24"/>
        </w:rPr>
        <w:t> </w:t>
      </w:r>
      <w:r>
        <w:rPr>
          <w:sz w:val="24"/>
        </w:rPr>
        <w:t>the</w:t>
      </w:r>
      <w:r>
        <w:rPr>
          <w:spacing w:val="29"/>
          <w:sz w:val="24"/>
        </w:rPr>
        <w:t> </w:t>
      </w:r>
      <w:r>
        <w:rPr>
          <w:sz w:val="24"/>
        </w:rPr>
        <w:t>extent</w:t>
      </w:r>
      <w:r>
        <w:rPr>
          <w:spacing w:val="29"/>
          <w:sz w:val="24"/>
        </w:rPr>
        <w:t> </w:t>
      </w:r>
      <w:r>
        <w:rPr>
          <w:sz w:val="24"/>
        </w:rPr>
        <w:t>that</w:t>
      </w:r>
      <w:r>
        <w:rPr>
          <w:spacing w:val="30"/>
          <w:sz w:val="24"/>
        </w:rPr>
        <w:t> </w:t>
      </w:r>
      <w:r>
        <w:rPr>
          <w:sz w:val="24"/>
        </w:rPr>
        <w:t>such</w:t>
      </w:r>
      <w:r>
        <w:rPr>
          <w:spacing w:val="29"/>
          <w:sz w:val="24"/>
        </w:rPr>
        <w:t> </w:t>
      </w:r>
      <w:r>
        <w:rPr>
          <w:sz w:val="24"/>
        </w:rPr>
        <w:t>increment</w:t>
      </w:r>
      <w:r>
        <w:rPr>
          <w:spacing w:val="29"/>
          <w:sz w:val="24"/>
        </w:rPr>
        <w:t> </w:t>
      </w:r>
      <w:r>
        <w:rPr>
          <w:sz w:val="24"/>
        </w:rPr>
        <w:t>is</w:t>
      </w:r>
      <w:r>
        <w:rPr>
          <w:spacing w:val="30"/>
          <w:sz w:val="24"/>
        </w:rPr>
        <w:t> </w:t>
      </w:r>
      <w:r>
        <w:rPr>
          <w:sz w:val="24"/>
        </w:rPr>
        <w:t>solely</w:t>
      </w:r>
      <w:r>
        <w:rPr>
          <w:spacing w:val="29"/>
          <w:sz w:val="24"/>
        </w:rPr>
        <w:t> </w:t>
      </w:r>
      <w:r>
        <w:rPr>
          <w:sz w:val="24"/>
        </w:rPr>
        <w:t>as</w:t>
      </w:r>
      <w:r>
        <w:rPr>
          <w:spacing w:val="29"/>
          <w:sz w:val="24"/>
        </w:rPr>
        <w:t> </w:t>
      </w:r>
      <w:r>
        <w:rPr>
          <w:sz w:val="24"/>
        </w:rPr>
        <w:t>a</w:t>
      </w:r>
      <w:r>
        <w:rPr>
          <w:spacing w:val="29"/>
          <w:sz w:val="24"/>
        </w:rPr>
        <w:t> </w:t>
      </w:r>
      <w:r>
        <w:rPr>
          <w:sz w:val="24"/>
        </w:rPr>
        <w:t>consequence</w:t>
      </w:r>
      <w:r>
        <w:rPr>
          <w:spacing w:val="30"/>
          <w:sz w:val="24"/>
        </w:rPr>
        <w:t> </w:t>
      </w:r>
      <w:r>
        <w:rPr>
          <w:sz w:val="24"/>
        </w:rPr>
        <w:t>of</w:t>
      </w:r>
      <w:r>
        <w:rPr>
          <w:spacing w:val="29"/>
          <w:sz w:val="24"/>
        </w:rPr>
        <w:t> </w:t>
      </w:r>
      <w:r>
        <w:rPr>
          <w:sz w:val="24"/>
        </w:rPr>
        <w:t>a</w:t>
      </w:r>
    </w:p>
    <w:p>
      <w:pPr>
        <w:spacing w:before="0"/>
        <w:ind w:left="2486" w:right="0" w:firstLine="0"/>
        <w:jc w:val="both"/>
        <w:rPr>
          <w:sz w:val="24"/>
        </w:rPr>
      </w:pPr>
      <w:r>
        <w:rPr>
          <w:i/>
          <w:sz w:val="24"/>
        </w:rPr>
        <w:t>pass through event</w:t>
      </w:r>
      <w:r>
        <w:rPr>
          <w:sz w:val="24"/>
        </w:rPr>
        <w:t>;</w:t>
      </w:r>
    </w:p>
    <w:p>
      <w:pPr>
        <w:spacing w:after="0"/>
        <w:jc w:val="both"/>
        <w:rPr>
          <w:sz w:val="24"/>
        </w:rPr>
        <w:sectPr>
          <w:pgSz w:w="11910" w:h="16840"/>
          <w:pgMar w:header="686" w:footer="637" w:top="1320" w:bottom="820" w:left="1200" w:right="1000"/>
        </w:sectPr>
      </w:pPr>
    </w:p>
    <w:p>
      <w:pPr>
        <w:pStyle w:val="ListParagraph"/>
        <w:numPr>
          <w:ilvl w:val="1"/>
          <w:numId w:val="401"/>
        </w:numPr>
        <w:tabs>
          <w:tab w:pos="2486" w:val="left" w:leader="none"/>
        </w:tabs>
        <w:spacing w:line="240" w:lineRule="auto" w:before="83" w:after="0"/>
        <w:ind w:left="2486" w:right="414" w:hanging="567"/>
        <w:jc w:val="both"/>
        <w:rPr>
          <w:sz w:val="24"/>
        </w:rPr>
      </w:pPr>
      <w:r>
        <w:rPr>
          <w:sz w:val="24"/>
        </w:rPr>
        <w:t>in the case of a </w:t>
      </w:r>
      <w:r>
        <w:rPr>
          <w:i/>
          <w:sz w:val="24"/>
        </w:rPr>
        <w:t>tax change event</w:t>
      </w:r>
      <w:r>
        <w:rPr>
          <w:sz w:val="24"/>
        </w:rPr>
        <w:t>, any change in the way another </w:t>
      </w:r>
      <w:r>
        <w:rPr>
          <w:i/>
          <w:sz w:val="24"/>
        </w:rPr>
        <w:t>tax </w:t>
      </w:r>
      <w:r>
        <w:rPr>
          <w:sz w:val="24"/>
        </w:rPr>
        <w:t>is calculated, or the removal or imposition of another </w:t>
      </w:r>
      <w:r>
        <w:rPr>
          <w:i/>
          <w:sz w:val="24"/>
        </w:rPr>
        <w:t>tax</w:t>
      </w:r>
      <w:r>
        <w:rPr>
          <w:sz w:val="24"/>
        </w:rPr>
        <w:t>, which, in the </w:t>
      </w:r>
      <w:r>
        <w:rPr>
          <w:i/>
          <w:sz w:val="24"/>
        </w:rPr>
        <w:t>AER's </w:t>
      </w:r>
      <w:r>
        <w:rPr>
          <w:sz w:val="24"/>
        </w:rPr>
        <w:t>opinion, is complementary to the </w:t>
      </w:r>
      <w:r>
        <w:rPr>
          <w:i/>
          <w:sz w:val="24"/>
        </w:rPr>
        <w:t>tax change event</w:t>
      </w:r>
      <w:r>
        <w:rPr>
          <w:i/>
          <w:spacing w:val="-4"/>
          <w:sz w:val="24"/>
        </w:rPr>
        <w:t> </w:t>
      </w:r>
      <w:r>
        <w:rPr>
          <w:sz w:val="24"/>
        </w:rPr>
        <w:t>concerned;</w:t>
      </w:r>
    </w:p>
    <w:p>
      <w:pPr>
        <w:pStyle w:val="ListParagraph"/>
        <w:numPr>
          <w:ilvl w:val="1"/>
          <w:numId w:val="401"/>
        </w:numPr>
        <w:tabs>
          <w:tab w:pos="2486" w:val="left" w:leader="none"/>
        </w:tabs>
        <w:spacing w:line="240" w:lineRule="auto" w:before="120" w:after="0"/>
        <w:ind w:left="2486" w:right="415" w:hanging="567"/>
        <w:jc w:val="both"/>
        <w:rPr>
          <w:sz w:val="24"/>
        </w:rPr>
      </w:pPr>
      <w:r>
        <w:rPr>
          <w:sz w:val="24"/>
        </w:rPr>
        <w:t>whether the costs of the </w:t>
      </w:r>
      <w:r>
        <w:rPr>
          <w:i/>
          <w:sz w:val="24"/>
        </w:rPr>
        <w:t>pass through event </w:t>
      </w:r>
      <w:r>
        <w:rPr>
          <w:sz w:val="24"/>
        </w:rPr>
        <w:t>have already been factored into the calculation of the </w:t>
      </w:r>
      <w:r>
        <w:rPr>
          <w:i/>
          <w:sz w:val="24"/>
        </w:rPr>
        <w:t>Distribution Network Service Provider's </w:t>
      </w:r>
      <w:r>
        <w:rPr>
          <w:i/>
          <w:sz w:val="24"/>
        </w:rPr>
        <w:t>annual revenue requirement </w:t>
      </w:r>
      <w:r>
        <w:rPr>
          <w:sz w:val="24"/>
        </w:rPr>
        <w:t>for the </w:t>
      </w:r>
      <w:r>
        <w:rPr>
          <w:i/>
          <w:sz w:val="24"/>
        </w:rPr>
        <w:t>regulatory control period </w:t>
      </w:r>
      <w:r>
        <w:rPr>
          <w:sz w:val="24"/>
        </w:rPr>
        <w:t>in which the </w:t>
      </w:r>
      <w:r>
        <w:rPr>
          <w:i/>
          <w:sz w:val="24"/>
        </w:rPr>
        <w:t>pass through event </w:t>
      </w:r>
      <w:r>
        <w:rPr>
          <w:sz w:val="24"/>
        </w:rPr>
        <w:t>occurred or will be factored into the calculation of the </w:t>
      </w:r>
      <w:r>
        <w:rPr>
          <w:i/>
          <w:sz w:val="24"/>
        </w:rPr>
        <w:t>Distribution Network Service Provider's annual </w:t>
      </w:r>
      <w:r>
        <w:rPr>
          <w:i/>
          <w:sz w:val="24"/>
        </w:rPr>
        <w:t>revenue requirement </w:t>
      </w:r>
      <w:r>
        <w:rPr>
          <w:sz w:val="24"/>
        </w:rPr>
        <w:t>for a subsequent </w:t>
      </w:r>
      <w:r>
        <w:rPr>
          <w:i/>
          <w:sz w:val="24"/>
        </w:rPr>
        <w:t>regulatory control</w:t>
      </w:r>
      <w:r>
        <w:rPr>
          <w:i/>
          <w:spacing w:val="-16"/>
          <w:sz w:val="24"/>
        </w:rPr>
        <w:t> </w:t>
      </w:r>
      <w:r>
        <w:rPr>
          <w:i/>
          <w:sz w:val="24"/>
        </w:rPr>
        <w:t>period</w:t>
      </w:r>
      <w:r>
        <w:rPr>
          <w:sz w:val="24"/>
        </w:rPr>
        <w:t>;</w:t>
      </w:r>
    </w:p>
    <w:p>
      <w:pPr>
        <w:pStyle w:val="BodyText"/>
        <w:ind w:left="2486" w:right="415"/>
      </w:pPr>
      <w:r>
        <w:rPr/>
        <w:t>(7A) the extent to which the costs that the </w:t>
      </w:r>
      <w:r>
        <w:rPr>
          <w:i/>
        </w:rPr>
        <w:t>Distribution Network Service </w:t>
      </w:r>
      <w:r>
        <w:rPr>
          <w:i/>
        </w:rPr>
        <w:t>Provider </w:t>
      </w:r>
      <w:r>
        <w:rPr/>
        <w:t>has incurred and is likely to incur are the subject of a previous determination made by the </w:t>
      </w:r>
      <w:r>
        <w:rPr>
          <w:i/>
        </w:rPr>
        <w:t>AER </w:t>
      </w:r>
      <w:r>
        <w:rPr/>
        <w:t>under this clause 6.6.1 or clause 6.6.1AB; and</w:t>
      </w:r>
    </w:p>
    <w:p>
      <w:pPr>
        <w:spacing w:before="120"/>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The modification to this paragraph (7A) expires on 1 July 2024.</w:t>
      </w:r>
    </w:p>
    <w:p>
      <w:pPr>
        <w:pStyle w:val="ListParagraph"/>
        <w:numPr>
          <w:ilvl w:val="1"/>
          <w:numId w:val="401"/>
        </w:numPr>
        <w:tabs>
          <w:tab w:pos="2486" w:val="left" w:leader="none"/>
        </w:tabs>
        <w:spacing w:line="240" w:lineRule="auto" w:before="120" w:after="0"/>
        <w:ind w:left="2485" w:right="0" w:hanging="567"/>
        <w:jc w:val="both"/>
        <w:rPr>
          <w:sz w:val="24"/>
        </w:rPr>
      </w:pPr>
      <w:r>
        <w:rPr>
          <w:sz w:val="24"/>
        </w:rPr>
        <w:t>any other factors that the </w:t>
      </w:r>
      <w:r>
        <w:rPr>
          <w:i/>
          <w:sz w:val="24"/>
        </w:rPr>
        <w:t>AER </w:t>
      </w:r>
      <w:r>
        <w:rPr>
          <w:sz w:val="24"/>
        </w:rPr>
        <w:t>considers</w:t>
      </w:r>
      <w:r>
        <w:rPr>
          <w:spacing w:val="-2"/>
          <w:sz w:val="24"/>
        </w:rPr>
        <w:t> </w:t>
      </w:r>
      <w:r>
        <w:rPr>
          <w:sz w:val="24"/>
        </w:rPr>
        <w:t>relevant.</w:t>
      </w:r>
    </w:p>
    <w:p>
      <w:pPr>
        <w:spacing w:before="220"/>
        <w:ind w:left="1356" w:right="0" w:firstLine="0"/>
        <w:jc w:val="both"/>
        <w:rPr>
          <w:rFonts w:ascii="Arial"/>
          <w:b/>
          <w:sz w:val="22"/>
        </w:rPr>
      </w:pPr>
      <w:r>
        <w:rPr>
          <w:rFonts w:ascii="Arial"/>
          <w:b/>
          <w:sz w:val="22"/>
        </w:rPr>
        <w:t>Extension of time limits</w:t>
      </w:r>
    </w:p>
    <w:p>
      <w:pPr>
        <w:pStyle w:val="ListParagraph"/>
        <w:numPr>
          <w:ilvl w:val="0"/>
          <w:numId w:val="406"/>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by written notice to a </w:t>
      </w:r>
      <w:r>
        <w:rPr>
          <w:i/>
          <w:sz w:val="24"/>
        </w:rPr>
        <w:t>Distribution Network Service </w:t>
      </w:r>
      <w:r>
        <w:rPr>
          <w:i/>
          <w:sz w:val="24"/>
        </w:rPr>
        <w:t>Provider</w:t>
      </w:r>
      <w:r>
        <w:rPr>
          <w:sz w:val="24"/>
        </w:rPr>
        <w:t>, extend a time limit fixed in paragraph (c) or (f) if the </w:t>
      </w:r>
      <w:r>
        <w:rPr>
          <w:i/>
          <w:sz w:val="24"/>
        </w:rPr>
        <w:t>AER </w:t>
      </w:r>
      <w:r>
        <w:rPr>
          <w:sz w:val="24"/>
        </w:rPr>
        <w:t>is satisfied that the difficulty of assessing or quantifying the effect of the relevant </w:t>
      </w:r>
      <w:r>
        <w:rPr>
          <w:i/>
          <w:sz w:val="24"/>
        </w:rPr>
        <w:t>pass through event </w:t>
      </w:r>
      <w:r>
        <w:rPr>
          <w:sz w:val="24"/>
        </w:rPr>
        <w:t>justifies the</w:t>
      </w:r>
      <w:r>
        <w:rPr>
          <w:spacing w:val="-1"/>
          <w:sz w:val="24"/>
        </w:rPr>
        <w:t> </w:t>
      </w:r>
      <w:r>
        <w:rPr>
          <w:sz w:val="24"/>
        </w:rPr>
        <w:t>extension.</w:t>
      </w:r>
    </w:p>
    <w:p>
      <w:pPr>
        <w:pStyle w:val="BodyText"/>
        <w:ind w:left="1352" w:firstLine="0"/>
      </w:pPr>
      <w:r>
        <w:rPr/>
        <w:t>(k1) </w:t>
      </w:r>
      <w:r>
        <w:rPr>
          <w:spacing w:val="45"/>
        </w:rPr>
        <w:t> </w:t>
      </w:r>
      <w:r>
        <w:rPr/>
        <w:t>If</w:t>
      </w:r>
      <w:r>
        <w:rPr>
          <w:spacing w:val="22"/>
        </w:rPr>
        <w:t> </w:t>
      </w:r>
      <w:r>
        <w:rPr/>
        <w:t>the</w:t>
      </w:r>
      <w:r>
        <w:rPr>
          <w:spacing w:val="22"/>
        </w:rPr>
        <w:t> </w:t>
      </w:r>
      <w:r>
        <w:rPr>
          <w:i/>
        </w:rPr>
        <w:t>AER</w:t>
      </w:r>
      <w:r>
        <w:rPr>
          <w:i/>
          <w:spacing w:val="23"/>
        </w:rPr>
        <w:t> </w:t>
      </w:r>
      <w:r>
        <w:rPr/>
        <w:t>is</w:t>
      </w:r>
      <w:r>
        <w:rPr>
          <w:spacing w:val="22"/>
        </w:rPr>
        <w:t> </w:t>
      </w:r>
      <w:r>
        <w:rPr/>
        <w:t>satisfied</w:t>
      </w:r>
      <w:r>
        <w:rPr>
          <w:spacing w:val="22"/>
        </w:rPr>
        <w:t> </w:t>
      </w:r>
      <w:r>
        <w:rPr/>
        <w:t>that</w:t>
      </w:r>
      <w:r>
        <w:rPr>
          <w:spacing w:val="22"/>
        </w:rPr>
        <w:t> </w:t>
      </w:r>
      <w:r>
        <w:rPr/>
        <w:t>the</w:t>
      </w:r>
      <w:r>
        <w:rPr>
          <w:spacing w:val="22"/>
        </w:rPr>
        <w:t> </w:t>
      </w:r>
      <w:r>
        <w:rPr/>
        <w:t>making</w:t>
      </w:r>
      <w:r>
        <w:rPr>
          <w:spacing w:val="23"/>
        </w:rPr>
        <w:t> </w:t>
      </w:r>
      <w:r>
        <w:rPr/>
        <w:t>of</w:t>
      </w:r>
      <w:r>
        <w:rPr>
          <w:spacing w:val="22"/>
        </w:rPr>
        <w:t> </w:t>
      </w:r>
      <w:r>
        <w:rPr/>
        <w:t>a</w:t>
      </w:r>
      <w:r>
        <w:rPr>
          <w:spacing w:val="22"/>
        </w:rPr>
        <w:t> </w:t>
      </w:r>
      <w:r>
        <w:rPr/>
        <w:t>determination</w:t>
      </w:r>
      <w:r>
        <w:rPr>
          <w:spacing w:val="22"/>
        </w:rPr>
        <w:t> </w:t>
      </w:r>
      <w:r>
        <w:rPr/>
        <w:t>under</w:t>
      </w:r>
      <w:r>
        <w:rPr>
          <w:spacing w:val="23"/>
        </w:rPr>
        <w:t> </w:t>
      </w:r>
      <w:r>
        <w:rPr/>
        <w:t>paragraph</w:t>
      </w:r>
    </w:p>
    <w:p>
      <w:pPr>
        <w:pStyle w:val="BodyText"/>
        <w:spacing w:before="0"/>
        <w:ind w:left="1919" w:right="415" w:firstLine="0"/>
      </w:pPr>
      <w:r>
        <w:rPr/>
        <w:t>(d) or (g) involves issues of such complexity or difficulty that the time limit fixed in paragraph (e) or (g1) should be extended, the </w:t>
      </w:r>
      <w:r>
        <w:rPr>
          <w:i/>
        </w:rPr>
        <w:t>AER </w:t>
      </w:r>
      <w:r>
        <w:rPr/>
        <w:t>may extend </w:t>
      </w:r>
      <w:r>
        <w:rPr>
          <w:spacing w:val="-3"/>
        </w:rPr>
        <w:t>that </w:t>
      </w:r>
      <w:r>
        <w:rPr/>
        <w:t>time limit by a further period of up to 60 </w:t>
      </w:r>
      <w:r>
        <w:rPr>
          <w:i/>
        </w:rPr>
        <w:t>business days</w:t>
      </w:r>
      <w:r>
        <w:rPr/>
        <w:t>, provided that it gives written notice to the </w:t>
      </w:r>
      <w:r>
        <w:rPr>
          <w:i/>
        </w:rPr>
        <w:t>Distribution Network Service Provider </w:t>
      </w:r>
      <w:r>
        <w:rPr/>
        <w:t>of that extension not later than 10 </w:t>
      </w:r>
      <w:r>
        <w:rPr>
          <w:i/>
        </w:rPr>
        <w:t>business days </w:t>
      </w:r>
      <w:r>
        <w:rPr/>
        <w:t>before the expiry of that time</w:t>
      </w:r>
      <w:r>
        <w:rPr>
          <w:spacing w:val="-6"/>
        </w:rPr>
        <w:t> </w:t>
      </w:r>
      <w:r>
        <w:rPr/>
        <w:t>limit.</w:t>
      </w:r>
    </w:p>
    <w:p>
      <w:pPr>
        <w:pStyle w:val="BodyText"/>
        <w:ind w:left="1919" w:right="415"/>
      </w:pPr>
      <w:r>
        <w:rPr/>
        <w:t>(k2) If the </w:t>
      </w:r>
      <w:r>
        <w:rPr>
          <w:i/>
        </w:rPr>
        <w:t>AER </w:t>
      </w:r>
      <w:r>
        <w:rPr/>
        <w:t>extends a time limit under paragraph (k1), it must make available on its website a notice of that extension as soon as is reasonably practicable.</w:t>
      </w:r>
    </w:p>
    <w:p>
      <w:pPr>
        <w:spacing w:before="120"/>
        <w:ind w:left="1919" w:right="415" w:hanging="567"/>
        <w:jc w:val="both"/>
        <w:rPr>
          <w:sz w:val="24"/>
        </w:rPr>
      </w:pPr>
      <w:r>
        <w:rPr>
          <w:sz w:val="24"/>
        </w:rPr>
        <w:t>(k3) Subject to paragraph (k6), if the </w:t>
      </w:r>
      <w:r>
        <w:rPr>
          <w:i/>
          <w:sz w:val="24"/>
        </w:rPr>
        <w:t>AER </w:t>
      </w:r>
      <w:r>
        <w:rPr>
          <w:sz w:val="24"/>
        </w:rPr>
        <w:t>gives a written notice to the </w:t>
      </w:r>
      <w:r>
        <w:rPr>
          <w:i/>
          <w:sz w:val="24"/>
        </w:rPr>
        <w:t>Distribution Network Service Provider </w:t>
      </w:r>
      <w:r>
        <w:rPr>
          <w:sz w:val="24"/>
        </w:rPr>
        <w:t>stating that it requires information from an </w:t>
      </w:r>
      <w:r>
        <w:rPr>
          <w:i/>
          <w:sz w:val="24"/>
        </w:rPr>
        <w:t>Authority </w:t>
      </w:r>
      <w:r>
        <w:rPr>
          <w:sz w:val="24"/>
        </w:rPr>
        <w:t>in order to make a determination under paragraph (d)</w:t>
      </w:r>
      <w:r>
        <w:rPr>
          <w:spacing w:val="34"/>
          <w:sz w:val="24"/>
        </w:rPr>
        <w:t> </w:t>
      </w:r>
      <w:r>
        <w:rPr>
          <w:sz w:val="24"/>
        </w:rPr>
        <w:t>or</w:t>
      </w:r>
    </w:p>
    <w:p>
      <w:pPr>
        <w:spacing w:before="0"/>
        <w:ind w:left="1919" w:right="414" w:firstLine="0"/>
        <w:jc w:val="both"/>
        <w:rPr>
          <w:sz w:val="24"/>
        </w:rPr>
      </w:pPr>
      <w:r>
        <w:rPr>
          <w:sz w:val="24"/>
        </w:rPr>
        <w:t>(g) then, for the purpose of calculating elapsed time, the period between when the </w:t>
      </w:r>
      <w:r>
        <w:rPr>
          <w:i/>
          <w:sz w:val="24"/>
        </w:rPr>
        <w:t>AER </w:t>
      </w:r>
      <w:r>
        <w:rPr>
          <w:sz w:val="24"/>
        </w:rPr>
        <w:t>gives that notice to the </w:t>
      </w:r>
      <w:r>
        <w:rPr>
          <w:i/>
          <w:sz w:val="24"/>
        </w:rPr>
        <w:t>Distribution Network Service </w:t>
      </w:r>
      <w:r>
        <w:rPr>
          <w:i/>
          <w:sz w:val="24"/>
        </w:rPr>
        <w:t>Provider </w:t>
      </w:r>
      <w:r>
        <w:rPr>
          <w:sz w:val="24"/>
        </w:rPr>
        <w:t>and when the </w:t>
      </w:r>
      <w:r>
        <w:rPr>
          <w:i/>
          <w:sz w:val="24"/>
        </w:rPr>
        <w:t>AER </w:t>
      </w:r>
      <w:r>
        <w:rPr>
          <w:sz w:val="24"/>
        </w:rPr>
        <w:t>receives that information from that </w:t>
      </w:r>
      <w:r>
        <w:rPr>
          <w:i/>
          <w:sz w:val="24"/>
        </w:rPr>
        <w:t>Authority </w:t>
      </w:r>
      <w:r>
        <w:rPr>
          <w:sz w:val="24"/>
        </w:rPr>
        <w:t>is to be</w:t>
      </w:r>
      <w:r>
        <w:rPr>
          <w:spacing w:val="-1"/>
          <w:sz w:val="24"/>
        </w:rPr>
        <w:t> </w:t>
      </w:r>
      <w:r>
        <w:rPr>
          <w:sz w:val="24"/>
        </w:rPr>
        <w:t>disregarded.</w:t>
      </w:r>
    </w:p>
    <w:p>
      <w:pPr>
        <w:pStyle w:val="BodyText"/>
        <w:ind w:left="1919" w:right="415"/>
      </w:pPr>
      <w:r>
        <w:rPr/>
        <w:t>(k4) Subject to paragraph (k6), if the </w:t>
      </w:r>
      <w:r>
        <w:rPr>
          <w:i/>
        </w:rPr>
        <w:t>AER </w:t>
      </w:r>
      <w:r>
        <w:rPr/>
        <w:t>gives a written notice to the </w:t>
      </w:r>
      <w:r>
        <w:rPr>
          <w:i/>
        </w:rPr>
        <w:t>Distribution Network Service Provider </w:t>
      </w:r>
      <w:r>
        <w:rPr/>
        <w:t>stating that, in order to make a determination under paragraph (d) or (g), it requires information that</w:t>
      </w:r>
      <w:r>
        <w:rPr>
          <w:spacing w:val="28"/>
        </w:rPr>
        <w:t> </w:t>
      </w:r>
      <w:r>
        <w:rPr/>
        <w:t>it anticipates will be made publicly available by a judicial body or royal commission then, for the purpose of calculating elapsed time, the period between when the </w:t>
      </w:r>
      <w:r>
        <w:rPr>
          <w:i/>
        </w:rPr>
        <w:t>AER </w:t>
      </w:r>
      <w:r>
        <w:rPr/>
        <w:t>gives that notice to the </w:t>
      </w:r>
      <w:r>
        <w:rPr>
          <w:i/>
        </w:rPr>
        <w:t>Distribution Network Service </w:t>
      </w:r>
      <w:r>
        <w:rPr>
          <w:i/>
        </w:rPr>
        <w:t>Provider </w:t>
      </w:r>
      <w:r>
        <w:rPr/>
        <w:t>and when that information is made publicly available is to be disregarded.</w:t>
      </w:r>
    </w:p>
    <w:p>
      <w:pPr>
        <w:spacing w:after="0"/>
        <w:sectPr>
          <w:pgSz w:w="11910" w:h="16840"/>
          <w:pgMar w:header="686" w:footer="637" w:top="1320" w:bottom="820" w:left="1200" w:right="1000"/>
        </w:sectPr>
      </w:pPr>
    </w:p>
    <w:p>
      <w:pPr>
        <w:spacing w:before="83"/>
        <w:ind w:left="1352" w:right="0" w:firstLine="0"/>
        <w:jc w:val="both"/>
        <w:rPr>
          <w:i/>
          <w:sz w:val="24"/>
        </w:rPr>
      </w:pPr>
      <w:r>
        <w:rPr>
          <w:sz w:val="24"/>
        </w:rPr>
        <w:t>(k5) Where the </w:t>
      </w:r>
      <w:r>
        <w:rPr>
          <w:i/>
          <w:sz w:val="24"/>
        </w:rPr>
        <w:t>AER </w:t>
      </w:r>
      <w:r>
        <w:rPr>
          <w:sz w:val="24"/>
        </w:rPr>
        <w:t>gives a notice to the </w:t>
      </w:r>
      <w:r>
        <w:rPr>
          <w:i/>
          <w:sz w:val="24"/>
        </w:rPr>
        <w:t>Distribution Network Service Provider</w:t>
      </w:r>
    </w:p>
    <w:p>
      <w:pPr>
        <w:pStyle w:val="BodyText"/>
        <w:spacing w:before="0"/>
        <w:ind w:left="1919" w:firstLine="0"/>
      </w:pPr>
      <w:r>
        <w:rPr/>
        <w:t>under paragraph (k3) or (k4), it must:</w:t>
      </w:r>
    </w:p>
    <w:p>
      <w:pPr>
        <w:pStyle w:val="ListParagraph"/>
        <w:numPr>
          <w:ilvl w:val="0"/>
          <w:numId w:val="407"/>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(k3) or (k4), as the case may be, has</w:t>
      </w:r>
      <w:r>
        <w:rPr>
          <w:spacing w:val="-2"/>
          <w:sz w:val="24"/>
        </w:rPr>
        <w:t> </w:t>
      </w:r>
      <w:r>
        <w:rPr>
          <w:sz w:val="24"/>
        </w:rPr>
        <w:t>commenced;</w:t>
      </w:r>
    </w:p>
    <w:p>
      <w:pPr>
        <w:pStyle w:val="ListParagraph"/>
        <w:numPr>
          <w:ilvl w:val="0"/>
          <w:numId w:val="407"/>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(k3) or (k4), as the case may be, has ended;</w:t>
      </w:r>
      <w:r>
        <w:rPr>
          <w:spacing w:val="-3"/>
          <w:sz w:val="24"/>
        </w:rPr>
        <w:t> </w:t>
      </w:r>
      <w:r>
        <w:rPr>
          <w:sz w:val="24"/>
        </w:rPr>
        <w:t>and</w:t>
      </w:r>
    </w:p>
    <w:p>
      <w:pPr>
        <w:pStyle w:val="ListParagraph"/>
        <w:numPr>
          <w:ilvl w:val="0"/>
          <w:numId w:val="407"/>
        </w:numPr>
        <w:tabs>
          <w:tab w:pos="2486" w:val="left" w:leader="none"/>
        </w:tabs>
        <w:spacing w:line="240" w:lineRule="auto" w:before="120" w:after="0"/>
        <w:ind w:left="2486" w:right="415" w:hanging="567"/>
        <w:jc w:val="both"/>
        <w:rPr>
          <w:sz w:val="24"/>
        </w:rPr>
      </w:pPr>
      <w:r>
        <w:rPr>
          <w:sz w:val="24"/>
        </w:rPr>
        <w:t>if the information specified in that notice is required from an </w:t>
      </w:r>
      <w:r>
        <w:rPr>
          <w:i/>
          <w:sz w:val="24"/>
        </w:rPr>
        <w:t>Authority</w:t>
      </w:r>
      <w:r>
        <w:rPr>
          <w:sz w:val="24"/>
        </w:rPr>
        <w:t>, promptly request that information from the relevant </w:t>
      </w:r>
      <w:r>
        <w:rPr>
          <w:i/>
          <w:sz w:val="24"/>
        </w:rPr>
        <w:t>Authority</w:t>
      </w:r>
      <w:r>
        <w:rPr>
          <w:sz w:val="24"/>
        </w:rPr>
        <w:t>.</w:t>
      </w:r>
    </w:p>
    <w:p>
      <w:pPr>
        <w:spacing w:before="120"/>
        <w:ind w:left="1919" w:right="415" w:hanging="567"/>
        <w:jc w:val="both"/>
        <w:rPr>
          <w:sz w:val="24"/>
        </w:rPr>
      </w:pPr>
      <w:r>
        <w:rPr>
          <w:sz w:val="24"/>
        </w:rPr>
        <w:t>(k6) Paragraphs (k3) and (k4) do not apply if the </w:t>
      </w:r>
      <w:r>
        <w:rPr>
          <w:i/>
          <w:sz w:val="24"/>
        </w:rPr>
        <w:t>AER </w:t>
      </w:r>
      <w:r>
        <w:rPr>
          <w:sz w:val="24"/>
        </w:rPr>
        <w:t>gives the notice specified  in those paragraphs to the </w:t>
      </w:r>
      <w:r>
        <w:rPr>
          <w:i/>
          <w:sz w:val="24"/>
        </w:rPr>
        <w:t>Distribution Network Service Provider </w:t>
      </w:r>
      <w:r>
        <w:rPr>
          <w:sz w:val="24"/>
        </w:rPr>
        <w:t>later than 10 </w:t>
      </w:r>
      <w:r>
        <w:rPr>
          <w:i/>
          <w:sz w:val="24"/>
        </w:rPr>
        <w:t>business days </w:t>
      </w:r>
      <w:r>
        <w:rPr>
          <w:sz w:val="24"/>
        </w:rPr>
        <w:t>before the expiry of the time limit fixed in paragraphs (e) or (g1).</w:t>
      </w:r>
    </w:p>
    <w:p>
      <w:pPr>
        <w:spacing w:before="220"/>
        <w:ind w:left="1356" w:right="0" w:firstLine="0"/>
        <w:jc w:val="both"/>
        <w:rPr>
          <w:rFonts w:ascii="Arial"/>
          <w:b/>
          <w:sz w:val="22"/>
        </w:rPr>
      </w:pPr>
      <w:r>
        <w:rPr>
          <w:rFonts w:ascii="Arial"/>
          <w:b/>
          <w:sz w:val="22"/>
        </w:rPr>
        <w:t>Retailer insolvency event</w:t>
      </w:r>
    </w:p>
    <w:p>
      <w:pPr>
        <w:pStyle w:val="ListParagraph"/>
        <w:numPr>
          <w:ilvl w:val="0"/>
          <w:numId w:val="406"/>
        </w:numPr>
        <w:tabs>
          <w:tab w:pos="1919" w:val="left" w:leader="none"/>
        </w:tabs>
        <w:spacing w:line="240" w:lineRule="auto" w:before="120" w:after="0"/>
        <w:ind w:left="1919" w:right="415" w:hanging="567"/>
        <w:jc w:val="both"/>
        <w:rPr>
          <w:sz w:val="24"/>
        </w:rPr>
      </w:pPr>
      <w:r>
        <w:rPr>
          <w:sz w:val="24"/>
        </w:rPr>
        <w:t>For the purposes of calculating the </w:t>
      </w:r>
      <w:r>
        <w:rPr>
          <w:i/>
          <w:sz w:val="24"/>
        </w:rPr>
        <w:t>eligible pass through amount </w:t>
      </w:r>
      <w:r>
        <w:rPr>
          <w:sz w:val="24"/>
        </w:rPr>
        <w:t>in relation to a </w:t>
      </w:r>
      <w:r>
        <w:rPr>
          <w:i/>
          <w:sz w:val="24"/>
        </w:rPr>
        <w:t>positive change event </w:t>
      </w:r>
      <w:r>
        <w:rPr>
          <w:sz w:val="24"/>
        </w:rPr>
        <w:t>which is a </w:t>
      </w:r>
      <w:r>
        <w:rPr>
          <w:i/>
          <w:sz w:val="24"/>
        </w:rPr>
        <w:t>retailer insolvency event</w:t>
      </w:r>
      <w:r>
        <w:rPr>
          <w:sz w:val="24"/>
        </w:rPr>
        <w:t>, the increase in costs is the </w:t>
      </w:r>
      <w:r>
        <w:rPr>
          <w:i/>
          <w:sz w:val="24"/>
        </w:rPr>
        <w:t>retailer insolvency costs</w:t>
      </w:r>
      <w:r>
        <w:rPr>
          <w:i/>
          <w:spacing w:val="-1"/>
          <w:sz w:val="24"/>
        </w:rPr>
        <w:t> </w:t>
      </w:r>
      <w:r>
        <w:rPr>
          <w:sz w:val="24"/>
        </w:rPr>
        <w:t>excluding:</w:t>
      </w:r>
    </w:p>
    <w:p>
      <w:pPr>
        <w:pStyle w:val="ListParagraph"/>
        <w:numPr>
          <w:ilvl w:val="1"/>
          <w:numId w:val="406"/>
        </w:numPr>
        <w:tabs>
          <w:tab w:pos="2485" w:val="left" w:leader="none"/>
          <w:tab w:pos="2486" w:val="left" w:leader="none"/>
        </w:tabs>
        <w:spacing w:line="240" w:lineRule="auto" w:before="120" w:after="0"/>
        <w:ind w:left="2486" w:right="415" w:hanging="567"/>
        <w:jc w:val="left"/>
        <w:rPr>
          <w:sz w:val="24"/>
        </w:rPr>
      </w:pPr>
      <w:r>
        <w:rPr>
          <w:sz w:val="24"/>
        </w:rPr>
        <w:t>any amount recovered or recoverable from a </w:t>
      </w:r>
      <w:r>
        <w:rPr>
          <w:i/>
          <w:sz w:val="24"/>
        </w:rPr>
        <w:t>retailer </w:t>
      </w:r>
      <w:r>
        <w:rPr>
          <w:sz w:val="24"/>
        </w:rPr>
        <w:t>or a guarantor of a </w:t>
      </w:r>
      <w:r>
        <w:rPr>
          <w:i/>
          <w:sz w:val="24"/>
        </w:rPr>
        <w:t>retailer </w:t>
      </w:r>
      <w:r>
        <w:rPr>
          <w:sz w:val="24"/>
        </w:rPr>
        <w:t>under any relevant </w:t>
      </w:r>
      <w:r>
        <w:rPr>
          <w:i/>
          <w:sz w:val="24"/>
        </w:rPr>
        <w:t>credit support</w:t>
      </w:r>
      <w:r>
        <w:rPr>
          <w:sz w:val="24"/>
        </w:rPr>
        <w:t>;</w:t>
      </w:r>
      <w:r>
        <w:rPr>
          <w:spacing w:val="-3"/>
          <w:sz w:val="24"/>
        </w:rPr>
        <w:t> </w:t>
      </w:r>
      <w:r>
        <w:rPr>
          <w:sz w:val="24"/>
        </w:rPr>
        <w:t>and</w:t>
      </w:r>
    </w:p>
    <w:p>
      <w:pPr>
        <w:pStyle w:val="ListParagraph"/>
        <w:numPr>
          <w:ilvl w:val="1"/>
          <w:numId w:val="406"/>
        </w:numPr>
        <w:tabs>
          <w:tab w:pos="2485" w:val="left" w:leader="none"/>
          <w:tab w:pos="2487" w:val="left" w:leader="none"/>
        </w:tabs>
        <w:spacing w:line="240" w:lineRule="auto" w:before="120" w:after="0"/>
        <w:ind w:left="2486" w:right="416" w:hanging="567"/>
        <w:jc w:val="left"/>
        <w:rPr>
          <w:sz w:val="24"/>
        </w:rPr>
      </w:pPr>
      <w:r>
        <w:rPr>
          <w:sz w:val="24"/>
        </w:rPr>
        <w:t>amounts that the </w:t>
      </w:r>
      <w:r>
        <w:rPr>
          <w:i/>
          <w:sz w:val="24"/>
        </w:rPr>
        <w:t>Distribution Network Service </w:t>
      </w:r>
      <w:r>
        <w:rPr>
          <w:sz w:val="24"/>
        </w:rPr>
        <w:t>Provider is likely to receive on a winding-up of the </w:t>
      </w:r>
      <w:r>
        <w:rPr>
          <w:i/>
          <w:sz w:val="24"/>
        </w:rPr>
        <w:t>retailer</w:t>
      </w:r>
      <w:r>
        <w:rPr>
          <w:sz w:val="24"/>
        </w:rPr>
        <w:t>;</w:t>
      </w:r>
      <w:r>
        <w:rPr>
          <w:spacing w:val="-3"/>
          <w:sz w:val="24"/>
        </w:rPr>
        <w:t> </w:t>
      </w:r>
      <w:r>
        <w:rPr>
          <w:sz w:val="24"/>
        </w:rPr>
        <w:t>and</w:t>
      </w:r>
    </w:p>
    <w:p>
      <w:pPr>
        <w:pStyle w:val="ListParagraph"/>
        <w:numPr>
          <w:ilvl w:val="1"/>
          <w:numId w:val="406"/>
        </w:numPr>
        <w:tabs>
          <w:tab w:pos="2485" w:val="left" w:leader="none"/>
          <w:tab w:pos="2486" w:val="left" w:leader="none"/>
        </w:tabs>
        <w:spacing w:line="240" w:lineRule="auto" w:before="120" w:after="0"/>
        <w:ind w:left="2486" w:right="415" w:hanging="567"/>
        <w:jc w:val="left"/>
        <w:rPr>
          <w:sz w:val="24"/>
        </w:rPr>
      </w:pPr>
      <w:r>
        <w:rPr>
          <w:sz w:val="24"/>
        </w:rPr>
        <w:t>any costs that are recoverable under a </w:t>
      </w:r>
      <w:r>
        <w:rPr>
          <w:i/>
          <w:sz w:val="24"/>
        </w:rPr>
        <w:t>RoLR cost recovery scheme </w:t>
      </w:r>
      <w:r>
        <w:rPr>
          <w:i/>
          <w:sz w:val="24"/>
        </w:rPr>
        <w:t>distributor payment determination</w:t>
      </w:r>
      <w:r>
        <w:rPr>
          <w:i/>
          <w:spacing w:val="-1"/>
          <w:sz w:val="24"/>
        </w:rPr>
        <w:t> </w:t>
      </w:r>
      <w:r>
        <w:rPr>
          <w:sz w:val="24"/>
        </w:rPr>
        <w:t>.</w:t>
      </w:r>
    </w:p>
    <w:p>
      <w:pPr>
        <w:pStyle w:val="ListParagraph"/>
        <w:numPr>
          <w:ilvl w:val="0"/>
          <w:numId w:val="406"/>
        </w:numPr>
        <w:tabs>
          <w:tab w:pos="1919" w:val="left" w:leader="none"/>
        </w:tabs>
        <w:spacing w:line="240" w:lineRule="auto" w:before="120" w:after="0"/>
        <w:ind w:left="1919" w:right="415" w:hanging="567"/>
        <w:jc w:val="both"/>
        <w:rPr>
          <w:sz w:val="24"/>
        </w:rPr>
      </w:pPr>
      <w:r>
        <w:rPr>
          <w:sz w:val="24"/>
        </w:rPr>
        <w:t>The amount the </w:t>
      </w:r>
      <w:r>
        <w:rPr>
          <w:i/>
          <w:sz w:val="24"/>
        </w:rPr>
        <w:t>AER </w:t>
      </w:r>
      <w:r>
        <w:rPr>
          <w:sz w:val="24"/>
        </w:rPr>
        <w:t>determines should be passed through to </w:t>
      </w:r>
      <w:r>
        <w:rPr>
          <w:i/>
          <w:sz w:val="24"/>
        </w:rPr>
        <w:t>Distribution </w:t>
      </w:r>
      <w:r>
        <w:rPr>
          <w:i/>
          <w:sz w:val="24"/>
        </w:rPr>
        <w:t>Network Users </w:t>
      </w:r>
      <w:r>
        <w:rPr>
          <w:sz w:val="24"/>
        </w:rPr>
        <w:t>in respect of a </w:t>
      </w:r>
      <w:r>
        <w:rPr>
          <w:i/>
          <w:sz w:val="24"/>
        </w:rPr>
        <w:t>retailer insolvency event </w:t>
      </w:r>
      <w:r>
        <w:rPr>
          <w:sz w:val="24"/>
        </w:rPr>
        <w:t>must be taken to be a cost that can be passed through and not a revenue impact of the</w:t>
      </w:r>
      <w:r>
        <w:rPr>
          <w:spacing w:val="-4"/>
          <w:sz w:val="24"/>
        </w:rPr>
        <w:t> </w:t>
      </w:r>
      <w:r>
        <w:rPr>
          <w:sz w:val="24"/>
        </w:rPr>
        <w:t>event.</w:t>
      </w:r>
    </w:p>
    <w:p>
      <w:pPr>
        <w:pStyle w:val="BodyText"/>
        <w:spacing w:before="10"/>
        <w:ind w:firstLine="0"/>
        <w:jc w:val="left"/>
        <w:rPr>
          <w:sz w:val="20"/>
        </w:rPr>
      </w:pPr>
    </w:p>
    <w:p>
      <w:pPr>
        <w:pStyle w:val="Heading4"/>
        <w:numPr>
          <w:ilvl w:val="2"/>
          <w:numId w:val="408"/>
        </w:numPr>
        <w:tabs>
          <w:tab w:pos="753" w:val="left" w:leader="none"/>
          <w:tab w:pos="1351" w:val="left" w:leader="none"/>
        </w:tabs>
        <w:spacing w:line="240" w:lineRule="auto" w:before="0" w:after="0"/>
        <w:ind w:left="752" w:right="0" w:hanging="535"/>
        <w:jc w:val="left"/>
      </w:pPr>
      <w:bookmarkStart w:name="6.6.1AA Cost pass through – deemed deter" w:id="1367"/>
      <w:bookmarkEnd w:id="1367"/>
      <w:r>
        <w:rPr>
          <w:b w:val="0"/>
        </w:rPr>
      </w:r>
      <w:bookmarkStart w:name="_bookmark555" w:id="1368"/>
      <w:bookmarkEnd w:id="1368"/>
      <w:r>
        <w:rPr>
          <w:b w:val="0"/>
        </w:rPr>
      </w:r>
      <w:bookmarkStart w:name="_bookmark555" w:id="1369"/>
      <w:bookmarkEnd w:id="1369"/>
      <w:r>
        <w:rPr/>
        <w:t>A</w:t>
      </w:r>
      <w:r>
        <w:rPr/>
        <w:t>A</w:t>
        <w:tab/>
        <w:t>Cost pass through – deemed</w:t>
      </w:r>
      <w:r>
        <w:rPr>
          <w:spacing w:val="-5"/>
        </w:rPr>
        <w:t> </w:t>
      </w:r>
      <w:r>
        <w:rPr/>
        <w:t>determinations</w:t>
      </w:r>
    </w:p>
    <w:p>
      <w:pPr>
        <w:pStyle w:val="ListParagraph"/>
        <w:numPr>
          <w:ilvl w:val="3"/>
          <w:numId w:val="408"/>
        </w:numPr>
        <w:tabs>
          <w:tab w:pos="1919" w:val="left" w:leader="none"/>
        </w:tabs>
        <w:spacing w:line="240" w:lineRule="auto" w:before="120" w:after="0"/>
        <w:ind w:left="1918" w:right="0" w:hanging="567"/>
        <w:jc w:val="both"/>
        <w:rPr>
          <w:sz w:val="24"/>
        </w:rPr>
      </w:pPr>
      <w:r>
        <w:rPr>
          <w:sz w:val="24"/>
        </w:rPr>
        <w:t>On and from 1 July 2019, an amount</w:t>
      </w:r>
      <w:r>
        <w:rPr>
          <w:spacing w:val="-3"/>
          <w:sz w:val="24"/>
        </w:rPr>
        <w:t> </w:t>
      </w:r>
      <w:r>
        <w:rPr>
          <w:sz w:val="24"/>
        </w:rPr>
        <w:t>that:</w:t>
      </w:r>
    </w:p>
    <w:p>
      <w:pPr>
        <w:pStyle w:val="ListParagraph"/>
        <w:numPr>
          <w:ilvl w:val="4"/>
          <w:numId w:val="408"/>
        </w:numPr>
        <w:tabs>
          <w:tab w:pos="2486" w:val="left" w:leader="none"/>
        </w:tabs>
        <w:spacing w:line="240" w:lineRule="auto" w:before="120" w:after="0"/>
        <w:ind w:left="2486" w:right="415" w:hanging="567"/>
        <w:jc w:val="both"/>
        <w:rPr>
          <w:sz w:val="24"/>
        </w:rPr>
      </w:pPr>
      <w:r>
        <w:rPr>
          <w:sz w:val="24"/>
        </w:rPr>
        <w:t>under clause 3.1.3(a)(ii) of Part B of the </w:t>
      </w:r>
      <w:r>
        <w:rPr>
          <w:i/>
          <w:sz w:val="24"/>
        </w:rPr>
        <w:t>2014 NT Network Price </w:t>
      </w:r>
      <w:r>
        <w:rPr>
          <w:i/>
          <w:sz w:val="24"/>
        </w:rPr>
        <w:t>Determination</w:t>
      </w:r>
      <w:r>
        <w:rPr>
          <w:sz w:val="24"/>
        </w:rPr>
        <w:t>, the </w:t>
      </w:r>
      <w:r>
        <w:rPr>
          <w:i/>
          <w:sz w:val="24"/>
        </w:rPr>
        <w:t>AER </w:t>
      </w:r>
      <w:r>
        <w:rPr>
          <w:sz w:val="24"/>
        </w:rPr>
        <w:t>had determined, on or after 1 July</w:t>
      </w:r>
      <w:r>
        <w:rPr>
          <w:spacing w:val="23"/>
          <w:sz w:val="24"/>
        </w:rPr>
        <w:t> </w:t>
      </w:r>
      <w:r>
        <w:rPr>
          <w:sz w:val="24"/>
        </w:rPr>
        <w:t>2018,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w:t>
      </w:r>
      <w:r>
        <w:rPr>
          <w:i/>
          <w:sz w:val="24"/>
        </w:rPr>
        <w:t>period</w:t>
      </w:r>
      <w:r>
        <w:rPr>
          <w:sz w:val="24"/>
        </w:rPr>
        <w:t>; or</w:t>
      </w:r>
    </w:p>
    <w:p>
      <w:pPr>
        <w:pStyle w:val="ListParagraph"/>
        <w:numPr>
          <w:ilvl w:val="4"/>
          <w:numId w:val="408"/>
        </w:numPr>
        <w:tabs>
          <w:tab w:pos="2486" w:val="left" w:leader="none"/>
        </w:tabs>
        <w:spacing w:line="240" w:lineRule="auto" w:before="120" w:after="0"/>
        <w:ind w:left="2486" w:right="415" w:hanging="567"/>
        <w:jc w:val="both"/>
        <w:rPr>
          <w:sz w:val="24"/>
        </w:rPr>
      </w:pPr>
      <w:r>
        <w:rPr>
          <w:sz w:val="24"/>
        </w:rPr>
        <w:t>under clause 3.1.3(d)(ii) of Part B of the </w:t>
      </w:r>
      <w:r>
        <w:rPr>
          <w:i/>
          <w:sz w:val="24"/>
        </w:rPr>
        <w:t>2014 NT Network Price </w:t>
      </w:r>
      <w:r>
        <w:rPr>
          <w:i/>
          <w:sz w:val="24"/>
        </w:rPr>
        <w:t>Determination</w:t>
      </w:r>
      <w:r>
        <w:rPr>
          <w:sz w:val="24"/>
        </w:rPr>
        <w:t>,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period </w:t>
      </w:r>
      <w:r>
        <w:rPr>
          <w:sz w:val="24"/>
        </w:rPr>
        <w:t>as a result of the </w:t>
      </w:r>
      <w:r>
        <w:rPr>
          <w:i/>
          <w:sz w:val="24"/>
        </w:rPr>
        <w:t>AER</w:t>
      </w:r>
      <w:r>
        <w:rPr>
          <w:sz w:val="24"/>
        </w:rPr>
        <w:t>, on or after 1 July 2018, failing to make a determination within the prescribed</w:t>
      </w:r>
      <w:r>
        <w:rPr>
          <w:spacing w:val="-7"/>
          <w:sz w:val="24"/>
        </w:rPr>
        <w:t> </w:t>
      </w:r>
      <w:r>
        <w:rPr>
          <w:sz w:val="24"/>
        </w:rPr>
        <w:t>period,</w:t>
      </w:r>
    </w:p>
    <w:p>
      <w:pPr>
        <w:pStyle w:val="BodyText"/>
        <w:ind w:left="1919" w:firstLine="0"/>
      </w:pPr>
      <w:r>
        <w:rPr/>
        <w:t>is taken to be an amount determined under clause 6.6.1(d)(2).</w:t>
      </w:r>
    </w:p>
    <w:p>
      <w:pPr>
        <w:pStyle w:val="ListParagraph"/>
        <w:numPr>
          <w:ilvl w:val="3"/>
          <w:numId w:val="408"/>
        </w:numPr>
        <w:tabs>
          <w:tab w:pos="1919" w:val="left" w:leader="none"/>
        </w:tabs>
        <w:spacing w:line="240" w:lineRule="auto" w:before="120" w:after="0"/>
        <w:ind w:left="1919" w:right="415" w:hanging="567"/>
        <w:jc w:val="both"/>
        <w:rPr>
          <w:sz w:val="24"/>
        </w:rPr>
      </w:pPr>
      <w:r>
        <w:rPr>
          <w:sz w:val="24"/>
        </w:rPr>
        <w:t>On and from 1 July 2019, an amount that, under clause 3.1.5(a)(ii)(B) of Part</w:t>
      </w:r>
      <w:r>
        <w:rPr>
          <w:spacing w:val="31"/>
          <w:sz w:val="24"/>
        </w:rPr>
        <w:t> </w:t>
      </w:r>
      <w:r>
        <w:rPr>
          <w:sz w:val="24"/>
        </w:rPr>
        <w:t>B</w:t>
      </w:r>
      <w:r>
        <w:rPr>
          <w:spacing w:val="32"/>
          <w:sz w:val="24"/>
        </w:rPr>
        <w:t> </w:t>
      </w:r>
      <w:r>
        <w:rPr>
          <w:sz w:val="24"/>
        </w:rPr>
        <w:t>of</w:t>
      </w:r>
      <w:r>
        <w:rPr>
          <w:spacing w:val="31"/>
          <w:sz w:val="24"/>
        </w:rPr>
        <w:t> </w:t>
      </w:r>
      <w:r>
        <w:rPr>
          <w:sz w:val="24"/>
        </w:rPr>
        <w:t>the</w:t>
      </w:r>
      <w:r>
        <w:rPr>
          <w:spacing w:val="32"/>
          <w:sz w:val="24"/>
        </w:rPr>
        <w:t> </w:t>
      </w:r>
      <w:r>
        <w:rPr>
          <w:i/>
          <w:sz w:val="24"/>
        </w:rPr>
        <w:t>2014</w:t>
      </w:r>
      <w:r>
        <w:rPr>
          <w:i/>
          <w:spacing w:val="31"/>
          <w:sz w:val="24"/>
        </w:rPr>
        <w:t> </w:t>
      </w:r>
      <w:r>
        <w:rPr>
          <w:i/>
          <w:sz w:val="24"/>
        </w:rPr>
        <w:t>NT</w:t>
      </w:r>
      <w:r>
        <w:rPr>
          <w:i/>
          <w:spacing w:val="32"/>
          <w:sz w:val="24"/>
        </w:rPr>
        <w:t> </w:t>
      </w:r>
      <w:r>
        <w:rPr>
          <w:i/>
          <w:sz w:val="24"/>
        </w:rPr>
        <w:t>Network</w:t>
      </w:r>
      <w:r>
        <w:rPr>
          <w:i/>
          <w:spacing w:val="31"/>
          <w:sz w:val="24"/>
        </w:rPr>
        <w:t> </w:t>
      </w:r>
      <w:r>
        <w:rPr>
          <w:i/>
          <w:sz w:val="24"/>
        </w:rPr>
        <w:t>Price</w:t>
      </w:r>
      <w:r>
        <w:rPr>
          <w:i/>
          <w:spacing w:val="32"/>
          <w:sz w:val="24"/>
        </w:rPr>
        <w:t> </w:t>
      </w:r>
      <w:r>
        <w:rPr>
          <w:i/>
          <w:sz w:val="24"/>
        </w:rPr>
        <w:t>Determination</w:t>
      </w:r>
      <w:r>
        <w:rPr>
          <w:sz w:val="24"/>
        </w:rPr>
        <w:t>,</w:t>
      </w:r>
      <w:r>
        <w:rPr>
          <w:spacing w:val="32"/>
          <w:sz w:val="24"/>
        </w:rPr>
        <w:t> </w:t>
      </w:r>
      <w:r>
        <w:rPr>
          <w:sz w:val="24"/>
        </w:rPr>
        <w:t>the</w:t>
      </w:r>
      <w:r>
        <w:rPr>
          <w:spacing w:val="31"/>
          <w:sz w:val="24"/>
        </w:rPr>
        <w:t> </w:t>
      </w:r>
      <w:r>
        <w:rPr>
          <w:i/>
          <w:sz w:val="24"/>
        </w:rPr>
        <w:t>AER</w:t>
      </w:r>
      <w:r>
        <w:rPr>
          <w:i/>
          <w:spacing w:val="31"/>
          <w:sz w:val="24"/>
        </w:rPr>
        <w:t> </w:t>
      </w:r>
      <w:r>
        <w:rPr>
          <w:sz w:val="24"/>
        </w:rPr>
        <w:t>had</w:t>
      </w:r>
    </w:p>
    <w:p>
      <w:pPr>
        <w:spacing w:after="0" w:line="240" w:lineRule="auto"/>
        <w:jc w:val="both"/>
        <w:rPr>
          <w:sz w:val="24"/>
        </w:rPr>
        <w:sectPr>
          <w:pgSz w:w="11910" w:h="16840"/>
          <w:pgMar w:header="686" w:footer="637" w:top="1320" w:bottom="820" w:left="1200" w:right="1000"/>
        </w:sectPr>
      </w:pPr>
    </w:p>
    <w:p>
      <w:pPr>
        <w:spacing w:before="83"/>
        <w:ind w:left="1919" w:right="416" w:firstLine="0"/>
        <w:jc w:val="both"/>
        <w:rPr>
          <w:sz w:val="24"/>
        </w:rPr>
      </w:pPr>
      <w:r>
        <w:rPr>
          <w:sz w:val="24"/>
        </w:rPr>
        <w:t>determined, on or after 1 July 2018,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period </w:t>
      </w:r>
      <w:r>
        <w:rPr>
          <w:sz w:val="24"/>
        </w:rPr>
        <w:t>is taken to be an amount determined under clause 6.6.1(g)(2)(ii).</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This clause expires on 1 July 2024.</w:t>
      </w:r>
    </w:p>
    <w:p>
      <w:pPr>
        <w:pStyle w:val="BodyText"/>
        <w:spacing w:before="10"/>
        <w:ind w:firstLine="0"/>
        <w:jc w:val="left"/>
        <w:rPr>
          <w:sz w:val="20"/>
        </w:rPr>
      </w:pPr>
    </w:p>
    <w:p>
      <w:pPr>
        <w:pStyle w:val="Heading4"/>
        <w:numPr>
          <w:ilvl w:val="2"/>
          <w:numId w:val="409"/>
        </w:numPr>
        <w:tabs>
          <w:tab w:pos="753" w:val="left" w:leader="none"/>
          <w:tab w:pos="1133" w:val="left" w:leader="none"/>
        </w:tabs>
        <w:spacing w:line="240" w:lineRule="auto" w:before="0" w:after="0"/>
        <w:ind w:left="752" w:right="4601" w:hanging="753"/>
        <w:jc w:val="left"/>
      </w:pPr>
      <w:bookmarkStart w:name="6.6.1AB Cost pass through – NT events" w:id="1370"/>
      <w:bookmarkEnd w:id="1370"/>
      <w:r>
        <w:rPr>
          <w:b w:val="0"/>
        </w:rPr>
      </w:r>
      <w:bookmarkStart w:name="_bookmark556" w:id="1371"/>
      <w:bookmarkEnd w:id="1371"/>
      <w:r>
        <w:rPr>
          <w:b w:val="0"/>
        </w:rPr>
      </w:r>
      <w:bookmarkStart w:name="_bookmark556" w:id="1372"/>
      <w:bookmarkEnd w:id="1372"/>
      <w:r>
        <w:rPr/>
        <w:t>A</w:t>
      </w:r>
      <w:r>
        <w:rPr/>
        <w:t>B</w:t>
        <w:tab/>
        <w:t>Cost pass through – NT</w:t>
      </w:r>
      <w:r>
        <w:rPr>
          <w:spacing w:val="-6"/>
        </w:rPr>
        <w:t> </w:t>
      </w:r>
      <w:r>
        <w:rPr/>
        <w:t>events</w:t>
      </w:r>
    </w:p>
    <w:p>
      <w:pPr>
        <w:pStyle w:val="ListParagraph"/>
        <w:numPr>
          <w:ilvl w:val="3"/>
          <w:numId w:val="409"/>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may seek the approval of the </w:t>
      </w:r>
      <w:r>
        <w:rPr>
          <w:i/>
          <w:sz w:val="24"/>
        </w:rPr>
        <w:t>AER </w:t>
      </w:r>
      <w:r>
        <w:rPr>
          <w:sz w:val="24"/>
        </w:rPr>
        <w:t>to pass through to </w:t>
      </w:r>
      <w:r>
        <w:rPr>
          <w:i/>
          <w:sz w:val="24"/>
        </w:rPr>
        <w:t>Distribution Network Users </w:t>
      </w:r>
      <w:r>
        <w:rPr>
          <w:sz w:val="24"/>
        </w:rPr>
        <w:t>a </w:t>
      </w:r>
      <w:r>
        <w:rPr>
          <w:i/>
          <w:sz w:val="24"/>
        </w:rPr>
        <w:t>positive pass through </w:t>
      </w:r>
      <w:r>
        <w:rPr>
          <w:i/>
          <w:sz w:val="24"/>
        </w:rPr>
        <w:t>amount </w:t>
      </w:r>
      <w:r>
        <w:rPr>
          <w:sz w:val="24"/>
        </w:rPr>
        <w:t>in relation to an </w:t>
      </w:r>
      <w:r>
        <w:rPr>
          <w:i/>
          <w:sz w:val="24"/>
        </w:rPr>
        <w:t>NT positive change</w:t>
      </w:r>
      <w:r>
        <w:rPr>
          <w:i/>
          <w:spacing w:val="-1"/>
          <w:sz w:val="24"/>
        </w:rPr>
        <w:t> </w:t>
      </w:r>
      <w:r>
        <w:rPr>
          <w:i/>
          <w:sz w:val="24"/>
        </w:rPr>
        <w:t>event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See Part 3 of the </w:t>
      </w:r>
      <w:r>
        <w:rPr>
          <w:i/>
          <w:sz w:val="20"/>
        </w:rPr>
        <w:t>National Electricity (Northern Territory) (National Uniform Legislation) </w:t>
      </w:r>
      <w:r>
        <w:rPr>
          <w:i/>
          <w:sz w:val="20"/>
        </w:rPr>
        <w:t>(Modification) Regulations </w:t>
      </w:r>
      <w:r>
        <w:rPr>
          <w:sz w:val="20"/>
        </w:rPr>
        <w:t>for modifications to the operation of this clause 6.6.1AB in relation to certain </w:t>
      </w:r>
      <w:r>
        <w:rPr>
          <w:i/>
          <w:sz w:val="20"/>
        </w:rPr>
        <w:t>NT positive change events</w:t>
      </w:r>
      <w:r>
        <w:rPr>
          <w:sz w:val="20"/>
        </w:rPr>
        <w:t>.</w:t>
      </w:r>
    </w:p>
    <w:p>
      <w:pPr>
        <w:pStyle w:val="ListParagraph"/>
        <w:numPr>
          <w:ilvl w:val="3"/>
          <w:numId w:val="409"/>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require a </w:t>
      </w:r>
      <w:r>
        <w:rPr>
          <w:i/>
          <w:sz w:val="24"/>
        </w:rPr>
        <w:t>Distribution Network Service Provider </w:t>
      </w:r>
      <w:r>
        <w:rPr>
          <w:sz w:val="24"/>
        </w:rPr>
        <w:t>to pass through to </w:t>
      </w:r>
      <w:r>
        <w:rPr>
          <w:i/>
          <w:sz w:val="24"/>
        </w:rPr>
        <w:t>Distribution Network Users </w:t>
      </w:r>
      <w:r>
        <w:rPr>
          <w:sz w:val="24"/>
        </w:rPr>
        <w:t>a </w:t>
      </w:r>
      <w:r>
        <w:rPr>
          <w:i/>
          <w:sz w:val="24"/>
        </w:rPr>
        <w:t>negative pass through amount </w:t>
      </w:r>
      <w:r>
        <w:rPr>
          <w:sz w:val="24"/>
        </w:rPr>
        <w:t>in relation to an </w:t>
      </w:r>
      <w:r>
        <w:rPr>
          <w:i/>
          <w:sz w:val="24"/>
        </w:rPr>
        <w:t>NT negative change event </w:t>
      </w:r>
      <w:r>
        <w:rPr>
          <w:sz w:val="24"/>
        </w:rPr>
        <w:t>as determined by the </w:t>
      </w:r>
      <w:r>
        <w:rPr>
          <w:i/>
          <w:sz w:val="24"/>
        </w:rPr>
        <w:t>AER </w:t>
      </w:r>
      <w:r>
        <w:rPr>
          <w:spacing w:val="-3"/>
          <w:sz w:val="24"/>
        </w:rPr>
        <w:t>under </w:t>
      </w:r>
      <w:r>
        <w:rPr>
          <w:sz w:val="24"/>
        </w:rPr>
        <w:t>paragraph (g).</w:t>
      </w:r>
    </w:p>
    <w:p>
      <w:pPr>
        <w:spacing w:before="220"/>
        <w:ind w:left="538" w:right="5232" w:firstLine="0"/>
        <w:jc w:val="center"/>
        <w:rPr>
          <w:rFonts w:ascii="Arial"/>
          <w:b/>
          <w:sz w:val="22"/>
        </w:rPr>
      </w:pPr>
      <w:r>
        <w:rPr>
          <w:rFonts w:ascii="Arial"/>
          <w:b/>
          <w:sz w:val="22"/>
        </w:rPr>
        <w:t>Positive pass through</w:t>
      </w:r>
    </w:p>
    <w:p>
      <w:pPr>
        <w:pStyle w:val="ListParagraph"/>
        <w:numPr>
          <w:ilvl w:val="3"/>
          <w:numId w:val="409"/>
        </w:numPr>
        <w:tabs>
          <w:tab w:pos="1919" w:val="left" w:leader="none"/>
        </w:tabs>
        <w:spacing w:line="240" w:lineRule="auto" w:before="120" w:after="0"/>
        <w:ind w:left="1919" w:right="414" w:hanging="567"/>
        <w:jc w:val="both"/>
        <w:rPr>
          <w:sz w:val="24"/>
        </w:rPr>
      </w:pPr>
      <w:r>
        <w:rPr>
          <w:sz w:val="24"/>
        </w:rPr>
        <w:t>To seek the approval of the </w:t>
      </w:r>
      <w:r>
        <w:rPr>
          <w:i/>
          <w:sz w:val="24"/>
        </w:rPr>
        <w:t>AER </w:t>
      </w:r>
      <w:r>
        <w:rPr>
          <w:sz w:val="24"/>
        </w:rPr>
        <w:t>to pass through a </w:t>
      </w:r>
      <w:r>
        <w:rPr>
          <w:i/>
          <w:sz w:val="24"/>
        </w:rPr>
        <w:t>positive pass through </w:t>
      </w:r>
      <w:r>
        <w:rPr>
          <w:i/>
          <w:sz w:val="24"/>
        </w:rPr>
        <w:t>amount </w:t>
      </w:r>
      <w:r>
        <w:rPr>
          <w:sz w:val="24"/>
        </w:rPr>
        <w:t>in relation to an </w:t>
      </w:r>
      <w:r>
        <w:rPr>
          <w:i/>
          <w:sz w:val="24"/>
        </w:rPr>
        <w:t>NT positive change event</w:t>
      </w:r>
      <w:r>
        <w:rPr>
          <w:sz w:val="24"/>
        </w:rPr>
        <w:t>, a </w:t>
      </w:r>
      <w:r>
        <w:rPr>
          <w:i/>
          <w:sz w:val="24"/>
        </w:rPr>
        <w:t>Distribution Network </w:t>
      </w:r>
      <w:r>
        <w:rPr>
          <w:i/>
          <w:sz w:val="24"/>
        </w:rPr>
        <w:t>Service Provider </w:t>
      </w:r>
      <w:r>
        <w:rPr>
          <w:sz w:val="24"/>
        </w:rPr>
        <w:t>must submit to the </w:t>
      </w:r>
      <w:r>
        <w:rPr>
          <w:i/>
          <w:sz w:val="24"/>
        </w:rPr>
        <w:t>AER</w:t>
      </w:r>
      <w:r>
        <w:rPr>
          <w:sz w:val="24"/>
        </w:rPr>
        <w:t>, within 90 </w:t>
      </w:r>
      <w:r>
        <w:rPr>
          <w:i/>
          <w:sz w:val="24"/>
        </w:rPr>
        <w:t>business days </w:t>
      </w:r>
      <w:r>
        <w:rPr>
          <w:sz w:val="24"/>
        </w:rPr>
        <w:t>after the commencement of the </w:t>
      </w:r>
      <w:r>
        <w:rPr>
          <w:i/>
          <w:sz w:val="24"/>
        </w:rPr>
        <w:t>1st regulatory control period</w:t>
      </w:r>
      <w:r>
        <w:rPr>
          <w:sz w:val="24"/>
        </w:rPr>
        <w:t>, a written statement that specifies:</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details of the </w:t>
      </w:r>
      <w:r>
        <w:rPr>
          <w:i/>
          <w:sz w:val="24"/>
        </w:rPr>
        <w:t>NT positive change</w:t>
      </w:r>
      <w:r>
        <w:rPr>
          <w:i/>
          <w:spacing w:val="-2"/>
          <w:sz w:val="24"/>
        </w:rPr>
        <w:t> </w:t>
      </w:r>
      <w:r>
        <w:rPr>
          <w:i/>
          <w:sz w:val="24"/>
        </w:rPr>
        <w:t>event</w:t>
      </w:r>
      <w:r>
        <w:rPr>
          <w:sz w:val="24"/>
        </w:rPr>
        <w:t>;</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date on which the </w:t>
      </w:r>
      <w:r>
        <w:rPr>
          <w:i/>
          <w:sz w:val="24"/>
        </w:rPr>
        <w:t>NT positive change event</w:t>
      </w:r>
      <w:r>
        <w:rPr>
          <w:i/>
          <w:spacing w:val="-4"/>
          <w:sz w:val="24"/>
        </w:rPr>
        <w:t> </w:t>
      </w:r>
      <w:r>
        <w:rPr>
          <w:sz w:val="24"/>
        </w:rPr>
        <w:t>occurred;</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the </w:t>
      </w:r>
      <w:r>
        <w:rPr>
          <w:i/>
          <w:sz w:val="24"/>
        </w:rPr>
        <w:t>eligible pass through amount </w:t>
      </w:r>
      <w:r>
        <w:rPr>
          <w:sz w:val="24"/>
        </w:rPr>
        <w:t>in respect of that </w:t>
      </w:r>
      <w:r>
        <w:rPr>
          <w:i/>
          <w:sz w:val="24"/>
        </w:rPr>
        <w:t>NT positive change </w:t>
      </w:r>
      <w:r>
        <w:rPr>
          <w:i/>
          <w:sz w:val="24"/>
        </w:rPr>
        <w:t>event</w:t>
      </w:r>
      <w:r>
        <w:rPr>
          <w:sz w:val="24"/>
        </w:rPr>
        <w:t>;</w:t>
      </w:r>
    </w:p>
    <w:p>
      <w:pPr>
        <w:pStyle w:val="ListParagraph"/>
        <w:numPr>
          <w:ilvl w:val="4"/>
          <w:numId w:val="409"/>
        </w:numPr>
        <w:tabs>
          <w:tab w:pos="2486" w:val="left" w:leader="none"/>
        </w:tabs>
        <w:spacing w:line="240" w:lineRule="auto" w:before="120" w:after="0"/>
        <w:ind w:left="2486" w:right="416" w:hanging="567"/>
        <w:jc w:val="both"/>
        <w:rPr>
          <w:sz w:val="24"/>
        </w:rPr>
      </w:pPr>
      <w:r>
        <w:rPr>
          <w:sz w:val="24"/>
        </w:rPr>
        <w:t>the </w:t>
      </w:r>
      <w:r>
        <w:rPr>
          <w:i/>
          <w:sz w:val="24"/>
        </w:rPr>
        <w:t>positive pass through amount </w:t>
      </w:r>
      <w:r>
        <w:rPr>
          <w:sz w:val="24"/>
        </w:rPr>
        <w:t>the </w:t>
      </w:r>
      <w:r>
        <w:rPr>
          <w:i/>
          <w:sz w:val="24"/>
        </w:rPr>
        <w:t>Distribution Network Service </w:t>
      </w:r>
      <w:r>
        <w:rPr>
          <w:i/>
          <w:sz w:val="24"/>
        </w:rPr>
        <w:t>Provider </w:t>
      </w:r>
      <w:r>
        <w:rPr>
          <w:sz w:val="24"/>
        </w:rPr>
        <w:t>proposes in relation to the </w:t>
      </w:r>
      <w:r>
        <w:rPr>
          <w:i/>
          <w:sz w:val="24"/>
        </w:rPr>
        <w:t>NT positive change</w:t>
      </w:r>
      <w:r>
        <w:rPr>
          <w:i/>
          <w:spacing w:val="-2"/>
          <w:sz w:val="24"/>
        </w:rPr>
        <w:t> </w:t>
      </w:r>
      <w:r>
        <w:rPr>
          <w:i/>
          <w:sz w:val="24"/>
        </w:rPr>
        <w:t>event</w:t>
      </w:r>
      <w:r>
        <w:rPr>
          <w:sz w:val="24"/>
        </w:rPr>
        <w:t>;</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the amount of the </w:t>
      </w:r>
      <w:r>
        <w:rPr>
          <w:i/>
          <w:sz w:val="24"/>
        </w:rPr>
        <w:t>positive pass through amount </w:t>
      </w:r>
      <w:r>
        <w:rPr>
          <w:sz w:val="24"/>
        </w:rPr>
        <w:t>that the </w:t>
      </w:r>
      <w:r>
        <w:rPr>
          <w:i/>
          <w:sz w:val="24"/>
        </w:rPr>
        <w:t>Distribution </w:t>
      </w:r>
      <w:r>
        <w:rPr>
          <w:i/>
          <w:sz w:val="24"/>
        </w:rPr>
        <w:t>Network Service Provider </w:t>
      </w:r>
      <w:r>
        <w:rPr>
          <w:sz w:val="24"/>
        </w:rPr>
        <w:t>proposes should be passed through to </w:t>
      </w:r>
      <w:r>
        <w:rPr>
          <w:i/>
          <w:sz w:val="24"/>
        </w:rPr>
        <w:t>Distribution Network Users </w:t>
      </w:r>
      <w:r>
        <w:rPr>
          <w:sz w:val="24"/>
        </w:rPr>
        <w:t>in each </w:t>
      </w:r>
      <w:r>
        <w:rPr>
          <w:i/>
          <w:sz w:val="24"/>
        </w:rPr>
        <w:t>regulatory year </w:t>
      </w:r>
      <w:r>
        <w:rPr>
          <w:sz w:val="24"/>
        </w:rPr>
        <w:t>after the </w:t>
      </w:r>
      <w:r>
        <w:rPr>
          <w:i/>
          <w:sz w:val="24"/>
        </w:rPr>
        <w:t>NT </w:t>
      </w:r>
      <w:r>
        <w:rPr>
          <w:i/>
          <w:sz w:val="24"/>
        </w:rPr>
        <w:t>positive change event</w:t>
      </w:r>
      <w:r>
        <w:rPr>
          <w:i/>
          <w:spacing w:val="-2"/>
          <w:sz w:val="24"/>
        </w:rPr>
        <w:t> </w:t>
      </w:r>
      <w:r>
        <w:rPr>
          <w:sz w:val="24"/>
        </w:rPr>
        <w:t>occurred;</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evidence:</w:t>
      </w:r>
    </w:p>
    <w:p>
      <w:pPr>
        <w:pStyle w:val="ListParagraph"/>
        <w:numPr>
          <w:ilvl w:val="5"/>
          <w:numId w:val="409"/>
        </w:numPr>
        <w:tabs>
          <w:tab w:pos="3053" w:val="left" w:leader="none"/>
        </w:tabs>
        <w:spacing w:line="240" w:lineRule="auto" w:before="120" w:after="0"/>
        <w:ind w:left="3053" w:right="414" w:hanging="567"/>
        <w:jc w:val="both"/>
        <w:rPr>
          <w:sz w:val="24"/>
        </w:rPr>
      </w:pPr>
      <w:r>
        <w:rPr>
          <w:sz w:val="24"/>
        </w:rPr>
        <w:t>of the actual and likely increase in costs referred to in subparagraph</w:t>
      </w:r>
      <w:r>
        <w:rPr>
          <w:spacing w:val="-2"/>
          <w:sz w:val="24"/>
        </w:rPr>
        <w:t> </w:t>
      </w:r>
      <w:r>
        <w:rPr>
          <w:sz w:val="24"/>
        </w:rPr>
        <w:t>(3);</w:t>
      </w:r>
    </w:p>
    <w:p>
      <w:pPr>
        <w:pStyle w:val="ListParagraph"/>
        <w:numPr>
          <w:ilvl w:val="5"/>
          <w:numId w:val="409"/>
        </w:numPr>
        <w:tabs>
          <w:tab w:pos="3054" w:val="left" w:leader="none"/>
        </w:tabs>
        <w:spacing w:line="240" w:lineRule="auto" w:before="120" w:after="0"/>
        <w:ind w:left="3053" w:right="416" w:hanging="567"/>
        <w:jc w:val="both"/>
        <w:rPr>
          <w:sz w:val="24"/>
        </w:rPr>
      </w:pPr>
      <w:r>
        <w:rPr>
          <w:sz w:val="24"/>
        </w:rPr>
        <w:t>that such costs occur solely as a consequence of the </w:t>
      </w:r>
      <w:r>
        <w:rPr>
          <w:i/>
          <w:sz w:val="24"/>
        </w:rPr>
        <w:t>NT positive </w:t>
      </w:r>
      <w:r>
        <w:rPr>
          <w:i/>
          <w:sz w:val="24"/>
        </w:rPr>
        <w:t>change event</w:t>
      </w:r>
      <w:r>
        <w:rPr>
          <w:sz w:val="24"/>
        </w:rPr>
        <w:t>;</w:t>
      </w:r>
      <w:r>
        <w:rPr>
          <w:spacing w:val="-1"/>
          <w:sz w:val="24"/>
        </w:rPr>
        <w:t> </w:t>
      </w:r>
      <w:r>
        <w:rPr>
          <w:sz w:val="24"/>
        </w:rPr>
        <w:t>and</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such</w:t>
      </w:r>
      <w:r>
        <w:rPr>
          <w:spacing w:val="37"/>
          <w:sz w:val="24"/>
        </w:rPr>
        <w:t> </w:t>
      </w:r>
      <w:r>
        <w:rPr>
          <w:sz w:val="24"/>
        </w:rPr>
        <w:t>other</w:t>
      </w:r>
      <w:r>
        <w:rPr>
          <w:spacing w:val="39"/>
          <w:sz w:val="24"/>
        </w:rPr>
        <w:t> </w:t>
      </w:r>
      <w:r>
        <w:rPr>
          <w:sz w:val="24"/>
        </w:rPr>
        <w:t>information</w:t>
      </w:r>
      <w:r>
        <w:rPr>
          <w:spacing w:val="38"/>
          <w:sz w:val="24"/>
        </w:rPr>
        <w:t> </w:t>
      </w:r>
      <w:r>
        <w:rPr>
          <w:sz w:val="24"/>
        </w:rPr>
        <w:t>as</w:t>
      </w:r>
      <w:r>
        <w:rPr>
          <w:spacing w:val="39"/>
          <w:sz w:val="24"/>
        </w:rPr>
        <w:t> </w:t>
      </w:r>
      <w:r>
        <w:rPr>
          <w:sz w:val="24"/>
        </w:rPr>
        <w:t>may</w:t>
      </w:r>
      <w:r>
        <w:rPr>
          <w:spacing w:val="39"/>
          <w:sz w:val="24"/>
        </w:rPr>
        <w:t> </w:t>
      </w:r>
      <w:r>
        <w:rPr>
          <w:sz w:val="24"/>
        </w:rPr>
        <w:t>be</w:t>
      </w:r>
      <w:r>
        <w:rPr>
          <w:spacing w:val="38"/>
          <w:sz w:val="24"/>
        </w:rPr>
        <w:t> </w:t>
      </w:r>
      <w:r>
        <w:rPr>
          <w:sz w:val="24"/>
        </w:rPr>
        <w:t>required</w:t>
      </w:r>
      <w:r>
        <w:rPr>
          <w:spacing w:val="39"/>
          <w:sz w:val="24"/>
        </w:rPr>
        <w:t> </w:t>
      </w:r>
      <w:r>
        <w:rPr>
          <w:sz w:val="24"/>
        </w:rPr>
        <w:t>under</w:t>
      </w:r>
      <w:r>
        <w:rPr>
          <w:spacing w:val="39"/>
          <w:sz w:val="24"/>
        </w:rPr>
        <w:t> </w:t>
      </w:r>
      <w:r>
        <w:rPr>
          <w:sz w:val="24"/>
        </w:rPr>
        <w:t>any</w:t>
      </w:r>
      <w:r>
        <w:rPr>
          <w:spacing w:val="38"/>
          <w:sz w:val="24"/>
        </w:rPr>
        <w:t> </w:t>
      </w:r>
      <w:r>
        <w:rPr>
          <w:sz w:val="24"/>
        </w:rPr>
        <w:t>relevant</w:t>
      </w:r>
    </w:p>
    <w:p>
      <w:pPr>
        <w:spacing w:before="0"/>
        <w:ind w:left="2486" w:right="0" w:firstLine="0"/>
        <w:jc w:val="both"/>
        <w:rPr>
          <w:sz w:val="24"/>
        </w:rPr>
      </w:pPr>
      <w:r>
        <w:rPr>
          <w:i/>
          <w:sz w:val="24"/>
        </w:rPr>
        <w:t>regulatory information instrument</w:t>
      </w:r>
      <w:r>
        <w:rPr>
          <w:sz w:val="24"/>
        </w:rPr>
        <w:t>.</w:t>
      </w:r>
    </w:p>
    <w:p>
      <w:pPr>
        <w:spacing w:after="0"/>
        <w:jc w:val="both"/>
        <w:rPr>
          <w:sz w:val="24"/>
        </w:rPr>
        <w:sectPr>
          <w:pgSz w:w="11910" w:h="16840"/>
          <w:pgMar w:header="686" w:footer="637" w:top="1320" w:bottom="820" w:left="1200" w:right="1000"/>
        </w:sectPr>
      </w:pPr>
    </w:p>
    <w:p>
      <w:pPr>
        <w:pStyle w:val="ListParagraph"/>
        <w:numPr>
          <w:ilvl w:val="3"/>
          <w:numId w:val="409"/>
        </w:numPr>
        <w:tabs>
          <w:tab w:pos="1919" w:val="left" w:leader="none"/>
        </w:tabs>
        <w:spacing w:line="240" w:lineRule="auto" w:before="83" w:after="0"/>
        <w:ind w:left="1919" w:right="415" w:hanging="567"/>
        <w:jc w:val="both"/>
        <w:rPr>
          <w:sz w:val="24"/>
        </w:rPr>
      </w:pPr>
      <w:r>
        <w:rPr>
          <w:sz w:val="24"/>
        </w:rPr>
        <w:t>If the </w:t>
      </w:r>
      <w:r>
        <w:rPr>
          <w:i/>
          <w:sz w:val="24"/>
        </w:rPr>
        <w:t>AER </w:t>
      </w:r>
      <w:r>
        <w:rPr>
          <w:sz w:val="24"/>
        </w:rPr>
        <w:t>determines that an </w:t>
      </w:r>
      <w:r>
        <w:rPr>
          <w:i/>
          <w:sz w:val="24"/>
        </w:rPr>
        <w:t>NT positive change event </w:t>
      </w:r>
      <w:r>
        <w:rPr>
          <w:sz w:val="24"/>
        </w:rPr>
        <w:t>has occurred in respect of a statement under paragraph (c), the </w:t>
      </w:r>
      <w:r>
        <w:rPr>
          <w:i/>
          <w:sz w:val="24"/>
        </w:rPr>
        <w:t>AER </w:t>
      </w:r>
      <w:r>
        <w:rPr>
          <w:sz w:val="24"/>
        </w:rPr>
        <w:t>must</w:t>
      </w:r>
      <w:r>
        <w:rPr>
          <w:spacing w:val="-4"/>
          <w:sz w:val="24"/>
        </w:rPr>
        <w:t> </w:t>
      </w:r>
      <w:r>
        <w:rPr>
          <w:sz w:val="24"/>
        </w:rPr>
        <w:t>determine:</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w:t>
      </w:r>
      <w:r>
        <w:rPr>
          <w:i/>
          <w:sz w:val="24"/>
        </w:rPr>
        <w:t>approved pass through amount</w:t>
      </w:r>
      <w:r>
        <w:rPr>
          <w:sz w:val="24"/>
        </w:rPr>
        <w:t>;</w:t>
      </w:r>
      <w:r>
        <w:rPr>
          <w:spacing w:val="-1"/>
          <w:sz w:val="24"/>
        </w:rPr>
        <w:t> </w:t>
      </w:r>
      <w:r>
        <w:rPr>
          <w:sz w:val="24"/>
        </w:rPr>
        <w:t>and</w:t>
      </w:r>
    </w:p>
    <w:p>
      <w:pPr>
        <w:pStyle w:val="ListParagraph"/>
        <w:numPr>
          <w:ilvl w:val="4"/>
          <w:numId w:val="409"/>
        </w:numPr>
        <w:tabs>
          <w:tab w:pos="2486" w:val="left" w:leader="none"/>
        </w:tabs>
        <w:spacing w:line="240" w:lineRule="auto" w:before="120" w:after="0"/>
        <w:ind w:left="2486" w:right="415" w:hanging="567"/>
        <w:jc w:val="both"/>
        <w:rPr>
          <w:sz w:val="24"/>
        </w:rPr>
      </w:pPr>
      <w:r>
        <w:rPr>
          <w:sz w:val="24"/>
        </w:rPr>
        <w:t>the amount of that </w:t>
      </w:r>
      <w:r>
        <w:rPr>
          <w:i/>
          <w:sz w:val="24"/>
        </w:rPr>
        <w:t>approved pass through amount </w:t>
      </w:r>
      <w:r>
        <w:rPr>
          <w:sz w:val="24"/>
        </w:rPr>
        <w:t>that should</w:t>
      </w:r>
      <w:r>
        <w:rPr>
          <w:spacing w:val="42"/>
          <w:sz w:val="24"/>
        </w:rPr>
        <w:t> </w:t>
      </w:r>
      <w:r>
        <w:rPr>
          <w:sz w:val="24"/>
        </w:rPr>
        <w:t>be passed through to </w:t>
      </w:r>
      <w:r>
        <w:rPr>
          <w:i/>
          <w:sz w:val="24"/>
        </w:rPr>
        <w:t>Distribution Network Users </w:t>
      </w:r>
      <w:r>
        <w:rPr>
          <w:sz w:val="24"/>
        </w:rPr>
        <w:t>in each </w:t>
      </w:r>
      <w:r>
        <w:rPr>
          <w:i/>
          <w:sz w:val="24"/>
        </w:rPr>
        <w:t>regulatory year </w:t>
      </w:r>
      <w:r>
        <w:rPr>
          <w:sz w:val="24"/>
        </w:rPr>
        <w:t>after the </w:t>
      </w:r>
      <w:r>
        <w:rPr>
          <w:i/>
          <w:sz w:val="24"/>
        </w:rPr>
        <w:t>NT positive change event</w:t>
      </w:r>
      <w:r>
        <w:rPr>
          <w:i/>
          <w:spacing w:val="-2"/>
          <w:sz w:val="24"/>
        </w:rPr>
        <w:t> </w:t>
      </w:r>
      <w:r>
        <w:rPr>
          <w:sz w:val="24"/>
        </w:rPr>
        <w:t>occurred,</w:t>
      </w:r>
    </w:p>
    <w:p>
      <w:pPr>
        <w:pStyle w:val="BodyText"/>
        <w:ind w:left="1919" w:firstLine="0"/>
      </w:pPr>
      <w:r>
        <w:rPr/>
        <w:t>taking into account the matters referred to in paragraph (j).</w:t>
      </w:r>
    </w:p>
    <w:p>
      <w:pPr>
        <w:pStyle w:val="ListParagraph"/>
        <w:numPr>
          <w:ilvl w:val="3"/>
          <w:numId w:val="409"/>
        </w:numPr>
        <w:tabs>
          <w:tab w:pos="1919" w:val="left" w:leader="none"/>
        </w:tabs>
        <w:spacing w:line="240" w:lineRule="auto" w:before="120" w:after="0"/>
        <w:ind w:left="1919" w:right="415" w:hanging="567"/>
        <w:jc w:val="both"/>
        <w:rPr>
          <w:sz w:val="24"/>
        </w:rPr>
      </w:pPr>
      <w:r>
        <w:rPr>
          <w:sz w:val="24"/>
        </w:rPr>
        <w:t>Subject to paragraph (k1), if the </w:t>
      </w:r>
      <w:r>
        <w:rPr>
          <w:i/>
          <w:sz w:val="24"/>
        </w:rPr>
        <w:t>AER </w:t>
      </w:r>
      <w:r>
        <w:rPr>
          <w:sz w:val="24"/>
        </w:rPr>
        <w:t>does not make the determinations referred to in paragraph (d) within 40 </w:t>
      </w:r>
      <w:r>
        <w:rPr>
          <w:i/>
          <w:sz w:val="24"/>
        </w:rPr>
        <w:t>business days </w:t>
      </w:r>
      <w:r>
        <w:rPr>
          <w:sz w:val="24"/>
        </w:rPr>
        <w:t>from the later of </w:t>
      </w:r>
      <w:r>
        <w:rPr>
          <w:spacing w:val="-4"/>
          <w:sz w:val="24"/>
        </w:rPr>
        <w:t>the </w:t>
      </w:r>
      <w:r>
        <w:rPr>
          <w:sz w:val="24"/>
        </w:rPr>
        <w:t>date it receives the </w:t>
      </w:r>
      <w:r>
        <w:rPr>
          <w:i/>
          <w:sz w:val="24"/>
        </w:rPr>
        <w:t>Distribution Network Service Provider's </w:t>
      </w:r>
      <w:r>
        <w:rPr>
          <w:sz w:val="24"/>
        </w:rPr>
        <w:t>statement and accompanying evidence under paragraph (c), and the date it receives any additional information required under paragraph (e1), then, on the expiry of that period, the AER is taken to have determined</w:t>
      </w:r>
      <w:r>
        <w:rPr>
          <w:spacing w:val="-3"/>
          <w:sz w:val="24"/>
        </w:rPr>
        <w:t> </w:t>
      </w:r>
      <w:r>
        <w:rPr>
          <w:sz w:val="24"/>
        </w:rPr>
        <w:t>that:</w:t>
      </w:r>
    </w:p>
    <w:p>
      <w:pPr>
        <w:pStyle w:val="ListParagraph"/>
        <w:numPr>
          <w:ilvl w:val="4"/>
          <w:numId w:val="409"/>
        </w:numPr>
        <w:tabs>
          <w:tab w:pos="2486" w:val="left" w:leader="none"/>
        </w:tabs>
        <w:spacing w:line="240" w:lineRule="auto" w:before="120" w:after="0"/>
        <w:ind w:left="2486" w:right="415" w:hanging="567"/>
        <w:jc w:val="both"/>
        <w:rPr>
          <w:sz w:val="24"/>
        </w:rPr>
      </w:pPr>
      <w:r>
        <w:rPr>
          <w:sz w:val="24"/>
        </w:rPr>
        <w:t>the </w:t>
      </w:r>
      <w:r>
        <w:rPr>
          <w:i/>
          <w:sz w:val="24"/>
        </w:rPr>
        <w:t>positive pass through amount </w:t>
      </w:r>
      <w:r>
        <w:rPr>
          <w:sz w:val="24"/>
        </w:rPr>
        <w:t>as proposed in the </w:t>
      </w:r>
      <w:r>
        <w:rPr>
          <w:i/>
          <w:sz w:val="24"/>
        </w:rPr>
        <w:t>Distribution </w:t>
      </w:r>
      <w:r>
        <w:rPr>
          <w:i/>
          <w:sz w:val="24"/>
        </w:rPr>
        <w:t>Network Service Provider's </w:t>
      </w:r>
      <w:r>
        <w:rPr>
          <w:sz w:val="24"/>
        </w:rPr>
        <w:t>statement under paragraph (c) is the </w:t>
      </w:r>
      <w:r>
        <w:rPr>
          <w:i/>
          <w:sz w:val="24"/>
        </w:rPr>
        <w:t>approved pass through amount </w:t>
      </w:r>
      <w:r>
        <w:rPr>
          <w:sz w:val="24"/>
        </w:rPr>
        <w:t>in respect of that </w:t>
      </w:r>
      <w:r>
        <w:rPr>
          <w:i/>
          <w:sz w:val="24"/>
        </w:rPr>
        <w:t>NT positive </w:t>
      </w:r>
      <w:r>
        <w:rPr>
          <w:i/>
          <w:spacing w:val="-4"/>
          <w:sz w:val="24"/>
        </w:rPr>
        <w:t>change </w:t>
      </w:r>
      <w:r>
        <w:rPr>
          <w:i/>
          <w:sz w:val="24"/>
        </w:rPr>
        <w:t>event</w:t>
      </w:r>
      <w:r>
        <w:rPr>
          <w:sz w:val="24"/>
        </w:rPr>
        <w:t>;</w:t>
      </w:r>
      <w:r>
        <w:rPr>
          <w:spacing w:val="-1"/>
          <w:sz w:val="24"/>
        </w:rPr>
        <w:t> </w:t>
      </w:r>
      <w:r>
        <w:rPr>
          <w:sz w:val="24"/>
        </w:rPr>
        <w:t>and</w:t>
      </w:r>
    </w:p>
    <w:p>
      <w:pPr>
        <w:pStyle w:val="ListParagraph"/>
        <w:numPr>
          <w:ilvl w:val="4"/>
          <w:numId w:val="409"/>
        </w:numPr>
        <w:tabs>
          <w:tab w:pos="2486" w:val="left" w:leader="none"/>
        </w:tabs>
        <w:spacing w:line="240" w:lineRule="auto" w:before="120" w:after="0"/>
        <w:ind w:left="2486" w:right="416" w:hanging="567"/>
        <w:jc w:val="both"/>
        <w:rPr>
          <w:sz w:val="24"/>
        </w:rPr>
      </w:pPr>
      <w:r>
        <w:rPr>
          <w:sz w:val="24"/>
        </w:rPr>
        <w:t>the amount of that </w:t>
      </w:r>
      <w:r>
        <w:rPr>
          <w:i/>
          <w:sz w:val="24"/>
        </w:rPr>
        <w:t>positive pass through amount </w:t>
      </w:r>
      <w:r>
        <w:rPr>
          <w:sz w:val="24"/>
        </w:rPr>
        <w:t>that the </w:t>
      </w:r>
      <w:r>
        <w:rPr>
          <w:i/>
          <w:sz w:val="24"/>
        </w:rPr>
        <w:t>Distribution </w:t>
      </w:r>
      <w:r>
        <w:rPr>
          <w:i/>
          <w:sz w:val="24"/>
        </w:rPr>
        <w:t>Network</w:t>
      </w:r>
      <w:r>
        <w:rPr>
          <w:i/>
          <w:spacing w:val="30"/>
          <w:sz w:val="24"/>
        </w:rPr>
        <w:t> </w:t>
      </w:r>
      <w:r>
        <w:rPr>
          <w:i/>
          <w:sz w:val="24"/>
        </w:rPr>
        <w:t>Service</w:t>
      </w:r>
      <w:r>
        <w:rPr>
          <w:i/>
          <w:spacing w:val="31"/>
          <w:sz w:val="24"/>
        </w:rPr>
        <w:t> </w:t>
      </w:r>
      <w:r>
        <w:rPr>
          <w:i/>
          <w:sz w:val="24"/>
        </w:rPr>
        <w:t>Provider</w:t>
      </w:r>
      <w:r>
        <w:rPr>
          <w:i/>
          <w:spacing w:val="31"/>
          <w:sz w:val="24"/>
        </w:rPr>
        <w:t> </w:t>
      </w:r>
      <w:r>
        <w:rPr>
          <w:sz w:val="24"/>
        </w:rPr>
        <w:t>proposes</w:t>
      </w:r>
      <w:r>
        <w:rPr>
          <w:spacing w:val="31"/>
          <w:sz w:val="24"/>
        </w:rPr>
        <w:t> </w:t>
      </w:r>
      <w:r>
        <w:rPr>
          <w:sz w:val="24"/>
        </w:rPr>
        <w:t>in</w:t>
      </w:r>
      <w:r>
        <w:rPr>
          <w:spacing w:val="30"/>
          <w:sz w:val="24"/>
        </w:rPr>
        <w:t> </w:t>
      </w:r>
      <w:r>
        <w:rPr>
          <w:sz w:val="24"/>
        </w:rPr>
        <w:t>its</w:t>
      </w:r>
      <w:r>
        <w:rPr>
          <w:spacing w:val="31"/>
          <w:sz w:val="24"/>
        </w:rPr>
        <w:t> </w:t>
      </w:r>
      <w:r>
        <w:rPr>
          <w:sz w:val="24"/>
        </w:rPr>
        <w:t>statement</w:t>
      </w:r>
      <w:r>
        <w:rPr>
          <w:spacing w:val="31"/>
          <w:sz w:val="24"/>
        </w:rPr>
        <w:t> </w:t>
      </w:r>
      <w:r>
        <w:rPr>
          <w:sz w:val="24"/>
        </w:rPr>
        <w:t>under</w:t>
      </w:r>
      <w:r>
        <w:rPr>
          <w:spacing w:val="31"/>
          <w:sz w:val="24"/>
        </w:rPr>
        <w:t> </w:t>
      </w:r>
      <w:r>
        <w:rPr>
          <w:sz w:val="24"/>
        </w:rPr>
        <w:t>paragraph</w:t>
      </w:r>
    </w:p>
    <w:p>
      <w:pPr>
        <w:spacing w:before="0"/>
        <w:ind w:left="2486" w:right="415" w:firstLine="0"/>
        <w:jc w:val="both"/>
        <w:rPr>
          <w:sz w:val="24"/>
        </w:rPr>
      </w:pPr>
      <w:r>
        <w:rPr>
          <w:sz w:val="24"/>
        </w:rPr>
        <w:t>(c) should be passed through to </w:t>
      </w:r>
      <w:r>
        <w:rPr>
          <w:i/>
          <w:sz w:val="24"/>
        </w:rPr>
        <w:t>Distribution Network Users </w:t>
      </w:r>
      <w:r>
        <w:rPr>
          <w:sz w:val="24"/>
        </w:rPr>
        <w:t>in each </w:t>
      </w:r>
      <w:r>
        <w:rPr>
          <w:i/>
          <w:sz w:val="24"/>
        </w:rPr>
        <w:t>regulatory year </w:t>
      </w:r>
      <w:r>
        <w:rPr>
          <w:sz w:val="24"/>
        </w:rPr>
        <w:t>after the </w:t>
      </w:r>
      <w:r>
        <w:rPr>
          <w:i/>
          <w:sz w:val="24"/>
        </w:rPr>
        <w:t>NT positive change event </w:t>
      </w:r>
      <w:r>
        <w:rPr>
          <w:sz w:val="24"/>
        </w:rPr>
        <w:t>occurred, is the amount that should be so passed through in each such </w:t>
      </w:r>
      <w:r>
        <w:rPr>
          <w:i/>
          <w:sz w:val="24"/>
        </w:rPr>
        <w:t>regulatory year</w:t>
      </w:r>
      <w:r>
        <w:rPr>
          <w:sz w:val="24"/>
        </w:rPr>
        <w:t>.</w:t>
      </w:r>
    </w:p>
    <w:p>
      <w:pPr>
        <w:spacing w:before="120"/>
        <w:ind w:left="1919" w:right="415" w:hanging="567"/>
        <w:jc w:val="both"/>
        <w:rPr>
          <w:sz w:val="24"/>
        </w:rPr>
      </w:pPr>
      <w:r>
        <w:rPr>
          <w:sz w:val="24"/>
        </w:rPr>
        <w:t>(e1) A </w:t>
      </w:r>
      <w:r>
        <w:rPr>
          <w:i/>
          <w:sz w:val="24"/>
        </w:rPr>
        <w:t>Distribution Network Service Provider </w:t>
      </w:r>
      <w:r>
        <w:rPr>
          <w:sz w:val="24"/>
        </w:rPr>
        <w:t>must provide the </w:t>
      </w:r>
      <w:r>
        <w:rPr>
          <w:i/>
          <w:sz w:val="24"/>
        </w:rPr>
        <w:t>AER </w:t>
      </w:r>
      <w:r>
        <w:rPr>
          <w:sz w:val="24"/>
        </w:rPr>
        <w:t>with such additional information as the </w:t>
      </w:r>
      <w:r>
        <w:rPr>
          <w:i/>
          <w:sz w:val="24"/>
        </w:rPr>
        <w:t>AER </w:t>
      </w:r>
      <w:r>
        <w:rPr>
          <w:sz w:val="24"/>
        </w:rPr>
        <w:t>requires for the purpose of making a determination under paragraph (d)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before="220"/>
        <w:ind w:left="1356" w:right="0" w:firstLine="0"/>
        <w:jc w:val="left"/>
        <w:rPr>
          <w:rFonts w:ascii="Arial"/>
          <w:b/>
          <w:sz w:val="22"/>
        </w:rPr>
      </w:pPr>
      <w:r>
        <w:rPr>
          <w:rFonts w:ascii="Arial"/>
          <w:b/>
          <w:sz w:val="22"/>
        </w:rPr>
        <w:t>Negative pass through</w:t>
      </w:r>
    </w:p>
    <w:p>
      <w:pPr>
        <w:pStyle w:val="ListParagraph"/>
        <w:numPr>
          <w:ilvl w:val="3"/>
          <w:numId w:val="409"/>
        </w:numPr>
        <w:tabs>
          <w:tab w:pos="1920"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must submit to the </w:t>
      </w:r>
      <w:r>
        <w:rPr>
          <w:i/>
          <w:sz w:val="24"/>
        </w:rPr>
        <w:t>AER</w:t>
      </w:r>
      <w:r>
        <w:rPr>
          <w:sz w:val="24"/>
        </w:rPr>
        <w:t>, within 90 </w:t>
      </w:r>
      <w:r>
        <w:rPr>
          <w:i/>
          <w:sz w:val="24"/>
        </w:rPr>
        <w:t>business days </w:t>
      </w:r>
      <w:r>
        <w:rPr>
          <w:sz w:val="24"/>
        </w:rPr>
        <w:t>after the later of the commencement of the </w:t>
      </w:r>
      <w:r>
        <w:rPr>
          <w:i/>
          <w:sz w:val="24"/>
        </w:rPr>
        <w:t>1st regulatory </w:t>
      </w:r>
      <w:r>
        <w:rPr>
          <w:i/>
          <w:sz w:val="24"/>
        </w:rPr>
        <w:t>control period </w:t>
      </w:r>
      <w:r>
        <w:rPr>
          <w:sz w:val="24"/>
        </w:rPr>
        <w:t>and the date on which the provider becomes aware of the occurrence of an </w:t>
      </w:r>
      <w:r>
        <w:rPr>
          <w:i/>
          <w:sz w:val="24"/>
        </w:rPr>
        <w:t>NT negative change event </w:t>
      </w:r>
      <w:r>
        <w:rPr>
          <w:sz w:val="24"/>
        </w:rPr>
        <w:t>for the provider, a written statement that</w:t>
      </w:r>
      <w:r>
        <w:rPr>
          <w:spacing w:val="-2"/>
          <w:sz w:val="24"/>
        </w:rPr>
        <w:t> </w:t>
      </w:r>
      <w:r>
        <w:rPr>
          <w:sz w:val="24"/>
        </w:rPr>
        <w:t>specifies:</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details of the </w:t>
      </w:r>
      <w:r>
        <w:rPr>
          <w:i/>
          <w:sz w:val="24"/>
        </w:rPr>
        <w:t>NT negative change</w:t>
      </w:r>
      <w:r>
        <w:rPr>
          <w:i/>
          <w:spacing w:val="-2"/>
          <w:sz w:val="24"/>
        </w:rPr>
        <w:t> </w:t>
      </w:r>
      <w:r>
        <w:rPr>
          <w:i/>
          <w:sz w:val="24"/>
        </w:rPr>
        <w:t>event</w:t>
      </w:r>
      <w:r>
        <w:rPr>
          <w:sz w:val="24"/>
        </w:rPr>
        <w:t>;</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date on which the </w:t>
      </w:r>
      <w:r>
        <w:rPr>
          <w:i/>
          <w:sz w:val="24"/>
        </w:rPr>
        <w:t>NT negative change event</w:t>
      </w:r>
      <w:r>
        <w:rPr>
          <w:i/>
          <w:spacing w:val="-4"/>
          <w:sz w:val="24"/>
        </w:rPr>
        <w:t> </w:t>
      </w:r>
      <w:r>
        <w:rPr>
          <w:sz w:val="24"/>
        </w:rPr>
        <w:t>occurred;</w:t>
      </w:r>
    </w:p>
    <w:p>
      <w:pPr>
        <w:pStyle w:val="ListParagraph"/>
        <w:numPr>
          <w:ilvl w:val="4"/>
          <w:numId w:val="409"/>
        </w:numPr>
        <w:tabs>
          <w:tab w:pos="2486" w:val="left" w:leader="none"/>
        </w:tabs>
        <w:spacing w:line="240" w:lineRule="auto" w:before="120" w:after="0"/>
        <w:ind w:left="2486" w:right="415" w:hanging="567"/>
        <w:jc w:val="both"/>
        <w:rPr>
          <w:sz w:val="24"/>
        </w:rPr>
      </w:pPr>
      <w:r>
        <w:rPr>
          <w:sz w:val="24"/>
        </w:rPr>
        <w:t>the costs in the provision of </w:t>
      </w:r>
      <w:r>
        <w:rPr>
          <w:i/>
          <w:sz w:val="24"/>
        </w:rPr>
        <w:t>direct control services </w:t>
      </w:r>
      <w:r>
        <w:rPr>
          <w:sz w:val="24"/>
        </w:rPr>
        <w:t>and </w:t>
      </w:r>
      <w:r>
        <w:rPr>
          <w:i/>
          <w:sz w:val="24"/>
        </w:rPr>
        <w:t>NT equivalent </w:t>
      </w:r>
      <w:r>
        <w:rPr>
          <w:i/>
          <w:sz w:val="24"/>
        </w:rPr>
        <w:t>services </w:t>
      </w:r>
      <w:r>
        <w:rPr>
          <w:sz w:val="24"/>
        </w:rPr>
        <w:t>that the </w:t>
      </w:r>
      <w:r>
        <w:rPr>
          <w:i/>
          <w:sz w:val="24"/>
        </w:rPr>
        <w:t>Distribution Network Service Provider </w:t>
      </w:r>
      <w:r>
        <w:rPr>
          <w:sz w:val="24"/>
        </w:rPr>
        <w:t>has saved and is likely to save as a result of the </w:t>
      </w:r>
      <w:r>
        <w:rPr>
          <w:i/>
          <w:sz w:val="24"/>
        </w:rPr>
        <w:t>negative change event </w:t>
      </w:r>
      <w:r>
        <w:rPr>
          <w:sz w:val="24"/>
        </w:rPr>
        <w:t>until the end of the </w:t>
      </w:r>
      <w:r>
        <w:rPr>
          <w:i/>
          <w:sz w:val="24"/>
        </w:rPr>
        <w:t>1st regulatory control</w:t>
      </w:r>
      <w:r>
        <w:rPr>
          <w:i/>
          <w:spacing w:val="-1"/>
          <w:sz w:val="24"/>
        </w:rPr>
        <w:t> </w:t>
      </w:r>
      <w:r>
        <w:rPr>
          <w:i/>
          <w:sz w:val="24"/>
        </w:rPr>
        <w:t>period</w:t>
      </w:r>
      <w:r>
        <w:rPr>
          <w:sz w:val="24"/>
        </w:rPr>
        <w:t>;</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the aggregate amount of those saved costs that the </w:t>
      </w:r>
      <w:r>
        <w:rPr>
          <w:i/>
          <w:sz w:val="24"/>
        </w:rPr>
        <w:t>Distribution </w:t>
      </w:r>
      <w:r>
        <w:rPr>
          <w:i/>
          <w:sz w:val="24"/>
        </w:rPr>
        <w:t>Network Service Provider </w:t>
      </w:r>
      <w:r>
        <w:rPr>
          <w:sz w:val="24"/>
        </w:rPr>
        <w:t>proposes should be passed through to </w:t>
      </w:r>
      <w:r>
        <w:rPr>
          <w:i/>
          <w:sz w:val="24"/>
        </w:rPr>
        <w:t>Distribution Network</w:t>
      </w:r>
      <w:r>
        <w:rPr>
          <w:i/>
          <w:spacing w:val="-2"/>
          <w:sz w:val="24"/>
        </w:rPr>
        <w:t> </w:t>
      </w:r>
      <w:r>
        <w:rPr>
          <w:i/>
          <w:sz w:val="24"/>
        </w:rPr>
        <w:t>Users</w:t>
      </w:r>
      <w:r>
        <w:rPr>
          <w:sz w:val="24"/>
        </w:rPr>
        <w:t>;</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amount of the costs referred to in subparagraph (4)</w:t>
      </w:r>
      <w:r>
        <w:rPr>
          <w:spacing w:val="3"/>
          <w:sz w:val="24"/>
        </w:rPr>
        <w:t> </w:t>
      </w:r>
      <w:r>
        <w:rPr>
          <w:sz w:val="24"/>
        </w:rPr>
        <w:t>the</w:t>
      </w:r>
    </w:p>
    <w:p>
      <w:pPr>
        <w:spacing w:before="0"/>
        <w:ind w:left="2486" w:right="0" w:firstLine="0"/>
        <w:jc w:val="both"/>
        <w:rPr>
          <w:sz w:val="24"/>
        </w:rPr>
      </w:pPr>
      <w:r>
        <w:rPr>
          <w:i/>
          <w:sz w:val="24"/>
        </w:rPr>
        <w:t>Distribution Network Service Provider </w:t>
      </w:r>
      <w:r>
        <w:rPr>
          <w:sz w:val="24"/>
        </w:rPr>
        <w:t>proposes should be passed</w:t>
      </w:r>
    </w:p>
    <w:p>
      <w:pPr>
        <w:spacing w:after="0"/>
        <w:jc w:val="both"/>
        <w:rPr>
          <w:sz w:val="24"/>
        </w:rPr>
        <w:sectPr>
          <w:pgSz w:w="11910" w:h="16840"/>
          <w:pgMar w:header="686" w:footer="637" w:top="1320" w:bottom="820" w:left="1200" w:right="1000"/>
        </w:sectPr>
      </w:pPr>
    </w:p>
    <w:p>
      <w:pPr>
        <w:spacing w:before="83"/>
        <w:ind w:left="2486" w:right="415" w:firstLine="0"/>
        <w:jc w:val="both"/>
        <w:rPr>
          <w:sz w:val="24"/>
        </w:rPr>
      </w:pPr>
      <w:r>
        <w:rPr>
          <w:sz w:val="24"/>
        </w:rPr>
        <w:t>through to </w:t>
      </w:r>
      <w:r>
        <w:rPr>
          <w:i/>
          <w:sz w:val="24"/>
        </w:rPr>
        <w:t>Distribution Network Users </w:t>
      </w:r>
      <w:r>
        <w:rPr>
          <w:sz w:val="24"/>
        </w:rPr>
        <w:t>in each </w:t>
      </w:r>
      <w:r>
        <w:rPr>
          <w:i/>
          <w:sz w:val="24"/>
        </w:rPr>
        <w:t>regulatory year </w:t>
      </w:r>
      <w:r>
        <w:rPr>
          <w:sz w:val="24"/>
        </w:rPr>
        <w:t>after the </w:t>
      </w:r>
      <w:r>
        <w:rPr>
          <w:i/>
          <w:sz w:val="24"/>
        </w:rPr>
        <w:t>NT negative change event </w:t>
      </w:r>
      <w:r>
        <w:rPr>
          <w:sz w:val="24"/>
        </w:rPr>
        <w:t>occurred; and</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such</w:t>
      </w:r>
      <w:r>
        <w:rPr>
          <w:spacing w:val="37"/>
          <w:sz w:val="24"/>
        </w:rPr>
        <w:t> </w:t>
      </w:r>
      <w:r>
        <w:rPr>
          <w:sz w:val="24"/>
        </w:rPr>
        <w:t>other</w:t>
      </w:r>
      <w:r>
        <w:rPr>
          <w:spacing w:val="39"/>
          <w:sz w:val="24"/>
        </w:rPr>
        <w:t> </w:t>
      </w:r>
      <w:r>
        <w:rPr>
          <w:sz w:val="24"/>
        </w:rPr>
        <w:t>information</w:t>
      </w:r>
      <w:r>
        <w:rPr>
          <w:spacing w:val="38"/>
          <w:sz w:val="24"/>
        </w:rPr>
        <w:t> </w:t>
      </w:r>
      <w:r>
        <w:rPr>
          <w:sz w:val="24"/>
        </w:rPr>
        <w:t>as</w:t>
      </w:r>
      <w:r>
        <w:rPr>
          <w:spacing w:val="39"/>
          <w:sz w:val="24"/>
        </w:rPr>
        <w:t> </w:t>
      </w:r>
      <w:r>
        <w:rPr>
          <w:sz w:val="24"/>
        </w:rPr>
        <w:t>may</w:t>
      </w:r>
      <w:r>
        <w:rPr>
          <w:spacing w:val="39"/>
          <w:sz w:val="24"/>
        </w:rPr>
        <w:t> </w:t>
      </w:r>
      <w:r>
        <w:rPr>
          <w:sz w:val="24"/>
        </w:rPr>
        <w:t>be</w:t>
      </w:r>
      <w:r>
        <w:rPr>
          <w:spacing w:val="38"/>
          <w:sz w:val="24"/>
        </w:rPr>
        <w:t> </w:t>
      </w:r>
      <w:r>
        <w:rPr>
          <w:sz w:val="24"/>
        </w:rPr>
        <w:t>required</w:t>
      </w:r>
      <w:r>
        <w:rPr>
          <w:spacing w:val="39"/>
          <w:sz w:val="24"/>
        </w:rPr>
        <w:t> </w:t>
      </w:r>
      <w:r>
        <w:rPr>
          <w:sz w:val="24"/>
        </w:rPr>
        <w:t>under</w:t>
      </w:r>
      <w:r>
        <w:rPr>
          <w:spacing w:val="39"/>
          <w:sz w:val="24"/>
        </w:rPr>
        <w:t> </w:t>
      </w:r>
      <w:r>
        <w:rPr>
          <w:sz w:val="24"/>
        </w:rPr>
        <w:t>any</w:t>
      </w:r>
      <w:r>
        <w:rPr>
          <w:spacing w:val="38"/>
          <w:sz w:val="24"/>
        </w:rPr>
        <w:t> </w:t>
      </w:r>
      <w:r>
        <w:rPr>
          <w:sz w:val="24"/>
        </w:rPr>
        <w:t>relevant</w:t>
      </w:r>
    </w:p>
    <w:p>
      <w:pPr>
        <w:spacing w:before="0"/>
        <w:ind w:left="2486" w:right="0" w:firstLine="0"/>
        <w:jc w:val="both"/>
        <w:rPr>
          <w:sz w:val="24"/>
        </w:rPr>
      </w:pPr>
      <w:r>
        <w:rPr>
          <w:i/>
          <w:sz w:val="24"/>
        </w:rPr>
        <w:t>regulatory information instrument</w:t>
      </w:r>
      <w:r>
        <w:rPr>
          <w:sz w:val="24"/>
        </w:rPr>
        <w:t>.</w:t>
      </w:r>
    </w:p>
    <w:p>
      <w:pPr>
        <w:spacing w:before="120"/>
        <w:ind w:left="1919" w:right="414" w:hanging="567"/>
        <w:jc w:val="both"/>
        <w:rPr>
          <w:sz w:val="24"/>
        </w:rPr>
      </w:pPr>
      <w:r>
        <w:rPr>
          <w:sz w:val="24"/>
        </w:rPr>
        <w:t>(f1) If the occurrence of the </w:t>
      </w:r>
      <w:r>
        <w:rPr>
          <w:i/>
          <w:sz w:val="24"/>
        </w:rPr>
        <w:t>NT negative change event </w:t>
      </w:r>
      <w:r>
        <w:rPr>
          <w:sz w:val="24"/>
        </w:rPr>
        <w:t>is not notified by the </w:t>
      </w:r>
      <w:r>
        <w:rPr>
          <w:i/>
          <w:sz w:val="24"/>
        </w:rPr>
        <w:t>Distribution Network Service Provider </w:t>
      </w:r>
      <w:r>
        <w:rPr>
          <w:sz w:val="24"/>
        </w:rPr>
        <w:t>to the </w:t>
      </w:r>
      <w:r>
        <w:rPr>
          <w:i/>
          <w:sz w:val="24"/>
        </w:rPr>
        <w:t>AER </w:t>
      </w:r>
      <w:r>
        <w:rPr>
          <w:sz w:val="24"/>
        </w:rPr>
        <w:t>under paragraph (f) then, as soon as is reasonably practicable and before making a determination referred to in paragraph (g), the </w:t>
      </w:r>
      <w:r>
        <w:rPr>
          <w:i/>
          <w:sz w:val="24"/>
        </w:rPr>
        <w:t>AER </w:t>
      </w:r>
      <w:r>
        <w:rPr>
          <w:sz w:val="24"/>
        </w:rPr>
        <w:t>must notify the </w:t>
      </w:r>
      <w:r>
        <w:rPr>
          <w:i/>
          <w:sz w:val="24"/>
        </w:rPr>
        <w:t>Distribution Network </w:t>
      </w:r>
      <w:r>
        <w:rPr>
          <w:i/>
          <w:sz w:val="24"/>
        </w:rPr>
        <w:t>Service Provider </w:t>
      </w:r>
      <w:r>
        <w:rPr>
          <w:sz w:val="24"/>
        </w:rPr>
        <w:t>of the occurrence of that </w:t>
      </w:r>
      <w:r>
        <w:rPr>
          <w:i/>
          <w:sz w:val="24"/>
        </w:rPr>
        <w:t>NT negative change event</w:t>
      </w:r>
      <w:r>
        <w:rPr>
          <w:sz w:val="24"/>
        </w:rPr>
        <w:t>.</w:t>
      </w:r>
    </w:p>
    <w:p>
      <w:pPr>
        <w:pStyle w:val="ListParagraph"/>
        <w:numPr>
          <w:ilvl w:val="3"/>
          <w:numId w:val="409"/>
        </w:numPr>
        <w:tabs>
          <w:tab w:pos="1919" w:val="left" w:leader="none"/>
        </w:tabs>
        <w:spacing w:line="240" w:lineRule="auto" w:before="120" w:after="0"/>
        <w:ind w:left="1919" w:right="415" w:hanging="567"/>
        <w:jc w:val="both"/>
        <w:rPr>
          <w:sz w:val="24"/>
        </w:rPr>
      </w:pPr>
      <w:r>
        <w:rPr>
          <w:sz w:val="24"/>
        </w:rPr>
        <w:t>If an </w:t>
      </w:r>
      <w:r>
        <w:rPr>
          <w:i/>
          <w:sz w:val="24"/>
        </w:rPr>
        <w:t>NT negative change event </w:t>
      </w:r>
      <w:r>
        <w:rPr>
          <w:sz w:val="24"/>
        </w:rPr>
        <w:t>occurs (whether or not the occurrence of that </w:t>
      </w:r>
      <w:r>
        <w:rPr>
          <w:i/>
          <w:sz w:val="24"/>
        </w:rPr>
        <w:t>NT negative change event </w:t>
      </w:r>
      <w:r>
        <w:rPr>
          <w:sz w:val="24"/>
        </w:rPr>
        <w:t>is notified by the </w:t>
      </w:r>
      <w:r>
        <w:rPr>
          <w:i/>
          <w:sz w:val="24"/>
        </w:rPr>
        <w:t>Distribution Network Service </w:t>
      </w:r>
      <w:r>
        <w:rPr>
          <w:i/>
          <w:sz w:val="24"/>
        </w:rPr>
        <w:t>Provider </w:t>
      </w:r>
      <w:r>
        <w:rPr>
          <w:sz w:val="24"/>
        </w:rPr>
        <w:t>to the </w:t>
      </w:r>
      <w:r>
        <w:rPr>
          <w:i/>
          <w:sz w:val="24"/>
        </w:rPr>
        <w:t>AER </w:t>
      </w:r>
      <w:r>
        <w:rPr>
          <w:sz w:val="24"/>
        </w:rPr>
        <w:t>under paragraph (f)) and the </w:t>
      </w:r>
      <w:r>
        <w:rPr>
          <w:i/>
          <w:sz w:val="24"/>
        </w:rPr>
        <w:t>AER </w:t>
      </w:r>
      <w:r>
        <w:rPr>
          <w:sz w:val="24"/>
        </w:rPr>
        <w:t>determines to impose a requirement on the provider in relation to that </w:t>
      </w:r>
      <w:r>
        <w:rPr>
          <w:i/>
          <w:sz w:val="24"/>
        </w:rPr>
        <w:t>NT negative change event </w:t>
      </w:r>
      <w:r>
        <w:rPr>
          <w:sz w:val="24"/>
        </w:rPr>
        <w:t>as described in paragraph (b), the </w:t>
      </w:r>
      <w:r>
        <w:rPr>
          <w:i/>
          <w:sz w:val="24"/>
        </w:rPr>
        <w:t>AER </w:t>
      </w:r>
      <w:r>
        <w:rPr>
          <w:sz w:val="24"/>
        </w:rPr>
        <w:t>must</w:t>
      </w:r>
      <w:r>
        <w:rPr>
          <w:spacing w:val="-1"/>
          <w:sz w:val="24"/>
        </w:rPr>
        <w:t> </w:t>
      </w:r>
      <w:r>
        <w:rPr>
          <w:sz w:val="24"/>
        </w:rPr>
        <w:t>determine:</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the </w:t>
      </w:r>
      <w:r>
        <w:rPr>
          <w:i/>
          <w:sz w:val="24"/>
        </w:rPr>
        <w:t>required pass through amount</w:t>
      </w:r>
      <w:r>
        <w:rPr>
          <w:sz w:val="24"/>
        </w:rPr>
        <w:t>;</w:t>
      </w:r>
      <w:r>
        <w:rPr>
          <w:spacing w:val="-2"/>
          <w:sz w:val="24"/>
        </w:rPr>
        <w:t> </w:t>
      </w:r>
      <w:r>
        <w:rPr>
          <w:sz w:val="24"/>
        </w:rPr>
        <w:t>and</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taking into account the matters referred to in paragraph</w:t>
      </w:r>
      <w:r>
        <w:rPr>
          <w:spacing w:val="-1"/>
          <w:sz w:val="24"/>
        </w:rPr>
        <w:t> </w:t>
      </w:r>
      <w:r>
        <w:rPr>
          <w:sz w:val="24"/>
        </w:rPr>
        <w:t>(j):</w:t>
      </w:r>
    </w:p>
    <w:p>
      <w:pPr>
        <w:pStyle w:val="ListParagraph"/>
        <w:numPr>
          <w:ilvl w:val="5"/>
          <w:numId w:val="409"/>
        </w:numPr>
        <w:tabs>
          <w:tab w:pos="3053" w:val="left" w:leader="none"/>
        </w:tabs>
        <w:spacing w:line="240" w:lineRule="auto" w:before="120" w:after="0"/>
        <w:ind w:left="3053" w:right="415" w:hanging="567"/>
        <w:jc w:val="both"/>
        <w:rPr>
          <w:sz w:val="24"/>
        </w:rPr>
      </w:pPr>
      <w:r>
        <w:rPr>
          <w:sz w:val="24"/>
        </w:rPr>
        <w:t>how much of that </w:t>
      </w:r>
      <w:r>
        <w:rPr>
          <w:i/>
          <w:sz w:val="24"/>
        </w:rPr>
        <w:t>required pass through amount </w:t>
      </w:r>
      <w:r>
        <w:rPr>
          <w:sz w:val="24"/>
        </w:rPr>
        <w:t>should be passed through to </w:t>
      </w:r>
      <w:r>
        <w:rPr>
          <w:i/>
          <w:sz w:val="24"/>
        </w:rPr>
        <w:t>Distribution Network Users </w:t>
      </w:r>
      <w:r>
        <w:rPr>
          <w:sz w:val="24"/>
        </w:rPr>
        <w:t>(the</w:t>
      </w:r>
      <w:r>
        <w:rPr>
          <w:spacing w:val="39"/>
          <w:sz w:val="24"/>
        </w:rPr>
        <w:t> </w:t>
      </w:r>
      <w:r>
        <w:rPr>
          <w:sz w:val="24"/>
        </w:rPr>
        <w:t>"</w:t>
      </w:r>
      <w:r>
        <w:rPr>
          <w:i/>
          <w:sz w:val="24"/>
        </w:rPr>
        <w:t>negative </w:t>
      </w:r>
      <w:r>
        <w:rPr>
          <w:i/>
          <w:sz w:val="24"/>
        </w:rPr>
        <w:t>pass through amount</w:t>
      </w:r>
      <w:r>
        <w:rPr>
          <w:sz w:val="24"/>
        </w:rPr>
        <w:t>");</w:t>
      </w:r>
      <w:r>
        <w:rPr>
          <w:spacing w:val="-2"/>
          <w:sz w:val="24"/>
        </w:rPr>
        <w:t> </w:t>
      </w:r>
      <w:r>
        <w:rPr>
          <w:sz w:val="24"/>
        </w:rPr>
        <w:t>and</w:t>
      </w:r>
    </w:p>
    <w:p>
      <w:pPr>
        <w:pStyle w:val="ListParagraph"/>
        <w:numPr>
          <w:ilvl w:val="5"/>
          <w:numId w:val="409"/>
        </w:numPr>
        <w:tabs>
          <w:tab w:pos="3054" w:val="left" w:leader="none"/>
        </w:tabs>
        <w:spacing w:line="240" w:lineRule="auto" w:before="120" w:after="0"/>
        <w:ind w:left="3053" w:right="416" w:hanging="567"/>
        <w:jc w:val="both"/>
        <w:rPr>
          <w:sz w:val="24"/>
        </w:rPr>
      </w:pPr>
      <w:r>
        <w:rPr>
          <w:sz w:val="24"/>
        </w:rPr>
        <w:t>the amount of that </w:t>
      </w:r>
      <w:r>
        <w:rPr>
          <w:i/>
          <w:sz w:val="24"/>
        </w:rPr>
        <w:t>negative pass through amount </w:t>
      </w:r>
      <w:r>
        <w:rPr>
          <w:sz w:val="24"/>
        </w:rPr>
        <w:t>that should be passed through to </w:t>
      </w:r>
      <w:r>
        <w:rPr>
          <w:i/>
          <w:sz w:val="24"/>
        </w:rPr>
        <w:t>Distribution Network Users </w:t>
      </w:r>
      <w:r>
        <w:rPr>
          <w:sz w:val="24"/>
        </w:rPr>
        <w:t>in each  </w:t>
      </w:r>
      <w:r>
        <w:rPr>
          <w:i/>
          <w:sz w:val="24"/>
        </w:rPr>
        <w:t>regulatory year </w:t>
      </w:r>
      <w:r>
        <w:rPr>
          <w:sz w:val="24"/>
        </w:rPr>
        <w:t>after the </w:t>
      </w:r>
      <w:r>
        <w:rPr>
          <w:i/>
          <w:sz w:val="24"/>
        </w:rPr>
        <w:t>NT negative change event</w:t>
      </w:r>
      <w:r>
        <w:rPr>
          <w:i/>
          <w:spacing w:val="-8"/>
          <w:sz w:val="24"/>
        </w:rPr>
        <w:t> </w:t>
      </w:r>
      <w:r>
        <w:rPr>
          <w:sz w:val="24"/>
        </w:rPr>
        <w:t>occurred.</w:t>
      </w:r>
    </w:p>
    <w:p>
      <w:pPr>
        <w:pStyle w:val="BodyText"/>
        <w:ind w:left="1919" w:right="416"/>
      </w:pPr>
      <w:r>
        <w:rPr/>
        <w:t>(g1) Subject to paragraph (k1), if the </w:t>
      </w:r>
      <w:r>
        <w:rPr>
          <w:i/>
        </w:rPr>
        <w:t>AER </w:t>
      </w:r>
      <w:r>
        <w:rPr/>
        <w:t>does not make the determinations referred to in paragraph (g) within 40 </w:t>
      </w:r>
      <w:r>
        <w:rPr>
          <w:i/>
        </w:rPr>
        <w:t>business days </w:t>
      </w:r>
      <w:r>
        <w:rPr/>
        <w:t>from:</w:t>
      </w:r>
    </w:p>
    <w:p>
      <w:pPr>
        <w:pStyle w:val="ListParagraph"/>
        <w:numPr>
          <w:ilvl w:val="0"/>
          <w:numId w:val="410"/>
        </w:numPr>
        <w:tabs>
          <w:tab w:pos="2486" w:val="left" w:leader="none"/>
        </w:tabs>
        <w:spacing w:line="240" w:lineRule="auto" w:before="120" w:after="0"/>
        <w:ind w:left="2486" w:right="415" w:hanging="567"/>
        <w:jc w:val="both"/>
        <w:rPr>
          <w:sz w:val="24"/>
        </w:rPr>
      </w:pPr>
      <w:r>
        <w:rPr>
          <w:sz w:val="24"/>
        </w:rPr>
        <w:t>where the </w:t>
      </w:r>
      <w:r>
        <w:rPr>
          <w:i/>
          <w:sz w:val="24"/>
        </w:rPr>
        <w:t>Distribution Network Service Provider </w:t>
      </w:r>
      <w:r>
        <w:rPr>
          <w:sz w:val="24"/>
        </w:rPr>
        <w:t>notifies the </w:t>
      </w:r>
      <w:r>
        <w:rPr>
          <w:i/>
          <w:sz w:val="24"/>
        </w:rPr>
        <w:t>AER </w:t>
      </w:r>
      <w:r>
        <w:rPr>
          <w:sz w:val="24"/>
        </w:rPr>
        <w:t>of the occurrence of the </w:t>
      </w:r>
      <w:r>
        <w:rPr>
          <w:i/>
          <w:sz w:val="24"/>
        </w:rPr>
        <w:t>NT negative change event </w:t>
      </w:r>
      <w:r>
        <w:rPr>
          <w:sz w:val="24"/>
        </w:rPr>
        <w:t>under paragraph (f) </w:t>
      </w:r>
      <w:r>
        <w:rPr>
          <w:spacing w:val="-14"/>
          <w:sz w:val="24"/>
        </w:rPr>
        <w:t>– </w:t>
      </w:r>
      <w:r>
        <w:rPr>
          <w:sz w:val="24"/>
        </w:rPr>
        <w:t>the later of the date the </w:t>
      </w:r>
      <w:r>
        <w:rPr>
          <w:i/>
          <w:sz w:val="24"/>
        </w:rPr>
        <w:t>AER </w:t>
      </w:r>
      <w:r>
        <w:rPr>
          <w:sz w:val="24"/>
        </w:rPr>
        <w:t>receives the </w:t>
      </w:r>
      <w:r>
        <w:rPr>
          <w:i/>
          <w:sz w:val="24"/>
        </w:rPr>
        <w:t>Distribution Network Service </w:t>
      </w:r>
      <w:r>
        <w:rPr>
          <w:i/>
          <w:sz w:val="24"/>
        </w:rPr>
        <w:t>Provider's </w:t>
      </w:r>
      <w:r>
        <w:rPr>
          <w:sz w:val="24"/>
        </w:rPr>
        <w:t>statement under paragraph (f) and the date the </w:t>
      </w:r>
      <w:r>
        <w:rPr>
          <w:i/>
          <w:sz w:val="24"/>
        </w:rPr>
        <w:t>AER </w:t>
      </w:r>
      <w:r>
        <w:rPr>
          <w:sz w:val="24"/>
        </w:rPr>
        <w:t>receives any information required by the </w:t>
      </w:r>
      <w:r>
        <w:rPr>
          <w:i/>
          <w:sz w:val="24"/>
        </w:rPr>
        <w:t>AER </w:t>
      </w:r>
      <w:r>
        <w:rPr>
          <w:sz w:val="24"/>
        </w:rPr>
        <w:t>under paragraph (h);</w:t>
      </w:r>
      <w:r>
        <w:rPr>
          <w:spacing w:val="-4"/>
          <w:sz w:val="24"/>
        </w:rPr>
        <w:t> </w:t>
      </w:r>
      <w:r>
        <w:rPr>
          <w:sz w:val="24"/>
        </w:rPr>
        <w:t>or</w:t>
      </w:r>
    </w:p>
    <w:p>
      <w:pPr>
        <w:pStyle w:val="ListParagraph"/>
        <w:numPr>
          <w:ilvl w:val="0"/>
          <w:numId w:val="410"/>
        </w:numPr>
        <w:tabs>
          <w:tab w:pos="2486" w:val="left" w:leader="none"/>
        </w:tabs>
        <w:spacing w:line="240" w:lineRule="auto" w:before="120" w:after="0"/>
        <w:ind w:left="2486" w:right="416" w:hanging="567"/>
        <w:jc w:val="both"/>
        <w:rPr>
          <w:sz w:val="24"/>
        </w:rPr>
      </w:pPr>
      <w:r>
        <w:rPr>
          <w:sz w:val="24"/>
        </w:rPr>
        <w:t>where the </w:t>
      </w:r>
      <w:r>
        <w:rPr>
          <w:i/>
          <w:sz w:val="24"/>
        </w:rPr>
        <w:t>Distribution Network Service Provider </w:t>
      </w:r>
      <w:r>
        <w:rPr>
          <w:sz w:val="24"/>
        </w:rPr>
        <w:t>does not notify the </w:t>
      </w:r>
      <w:r>
        <w:rPr>
          <w:i/>
          <w:sz w:val="24"/>
        </w:rPr>
        <w:t>AER </w:t>
      </w:r>
      <w:r>
        <w:rPr>
          <w:sz w:val="24"/>
        </w:rPr>
        <w:t>of the occurrence of the </w:t>
      </w:r>
      <w:r>
        <w:rPr>
          <w:i/>
          <w:sz w:val="24"/>
        </w:rPr>
        <w:t>NT negative change event </w:t>
      </w:r>
      <w:r>
        <w:rPr>
          <w:spacing w:val="-4"/>
          <w:sz w:val="24"/>
        </w:rPr>
        <w:t>under </w:t>
      </w:r>
      <w:r>
        <w:rPr>
          <w:sz w:val="24"/>
        </w:rPr>
        <w:t>paragraph (f) – the later of the date the </w:t>
      </w:r>
      <w:r>
        <w:rPr>
          <w:i/>
          <w:sz w:val="24"/>
        </w:rPr>
        <w:t>AER </w:t>
      </w:r>
      <w:r>
        <w:rPr>
          <w:sz w:val="24"/>
        </w:rPr>
        <w:t>notifies the </w:t>
      </w:r>
      <w:r>
        <w:rPr>
          <w:i/>
          <w:sz w:val="24"/>
        </w:rPr>
        <w:t>Distribution </w:t>
      </w:r>
      <w:r>
        <w:rPr>
          <w:i/>
          <w:sz w:val="24"/>
        </w:rPr>
        <w:t>Network Service Provider </w:t>
      </w:r>
      <w:r>
        <w:rPr>
          <w:sz w:val="24"/>
        </w:rPr>
        <w:t>under paragraph (f1) and the date the </w:t>
      </w:r>
      <w:r>
        <w:rPr>
          <w:i/>
          <w:spacing w:val="-5"/>
          <w:sz w:val="24"/>
        </w:rPr>
        <w:t>AER </w:t>
      </w:r>
      <w:r>
        <w:rPr>
          <w:sz w:val="24"/>
        </w:rPr>
        <w:t>receives any information required by the </w:t>
      </w:r>
      <w:r>
        <w:rPr>
          <w:i/>
          <w:sz w:val="24"/>
        </w:rPr>
        <w:t>AER </w:t>
      </w:r>
      <w:r>
        <w:rPr>
          <w:sz w:val="24"/>
        </w:rPr>
        <w:t>under paragraph</w:t>
      </w:r>
      <w:r>
        <w:rPr>
          <w:spacing w:val="-2"/>
          <w:sz w:val="24"/>
        </w:rPr>
        <w:t> </w:t>
      </w:r>
      <w:r>
        <w:rPr>
          <w:sz w:val="24"/>
        </w:rPr>
        <w:t>(h),</w:t>
      </w:r>
    </w:p>
    <w:p>
      <w:pPr>
        <w:spacing w:before="120"/>
        <w:ind w:left="1919" w:right="414" w:firstLine="0"/>
        <w:jc w:val="both"/>
        <w:rPr>
          <w:sz w:val="24"/>
        </w:rPr>
      </w:pPr>
      <w:r>
        <w:rPr>
          <w:sz w:val="24"/>
        </w:rPr>
        <w:t>then the </w:t>
      </w:r>
      <w:r>
        <w:rPr>
          <w:i/>
          <w:sz w:val="24"/>
        </w:rPr>
        <w:t>AER </w:t>
      </w:r>
      <w:r>
        <w:rPr>
          <w:sz w:val="24"/>
        </w:rPr>
        <w:t>is taken to have determined that the </w:t>
      </w:r>
      <w:r>
        <w:rPr>
          <w:i/>
          <w:sz w:val="24"/>
        </w:rPr>
        <w:t>required pass through </w:t>
      </w:r>
      <w:r>
        <w:rPr>
          <w:i/>
          <w:sz w:val="24"/>
        </w:rPr>
        <w:t>amount </w:t>
      </w:r>
      <w:r>
        <w:rPr>
          <w:sz w:val="24"/>
        </w:rPr>
        <w:t>is zero.</w:t>
      </w:r>
    </w:p>
    <w:p>
      <w:pPr>
        <w:pStyle w:val="ListParagraph"/>
        <w:numPr>
          <w:ilvl w:val="3"/>
          <w:numId w:val="409"/>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provide the </w:t>
      </w:r>
      <w:r>
        <w:rPr>
          <w:i/>
          <w:sz w:val="24"/>
        </w:rPr>
        <w:t>AER </w:t>
      </w:r>
      <w:r>
        <w:rPr>
          <w:sz w:val="24"/>
        </w:rPr>
        <w:t>with such information as the </w:t>
      </w:r>
      <w:r>
        <w:rPr>
          <w:i/>
          <w:sz w:val="24"/>
        </w:rPr>
        <w:t>AER </w:t>
      </w:r>
      <w:r>
        <w:rPr>
          <w:sz w:val="24"/>
        </w:rPr>
        <w:t>requires for the purpose of making a determination under paragraph (g)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before="220"/>
        <w:ind w:left="1356" w:right="0" w:firstLine="0"/>
        <w:jc w:val="left"/>
        <w:rPr>
          <w:rFonts w:ascii="Arial"/>
          <w:b/>
          <w:sz w:val="22"/>
        </w:rPr>
      </w:pPr>
      <w:r>
        <w:rPr>
          <w:rFonts w:ascii="Arial"/>
          <w:b/>
          <w:sz w:val="22"/>
        </w:rPr>
        <w:t>Consultation</w:t>
      </w:r>
    </w:p>
    <w:p>
      <w:pPr>
        <w:pStyle w:val="ListParagraph"/>
        <w:numPr>
          <w:ilvl w:val="3"/>
          <w:numId w:val="409"/>
        </w:numPr>
        <w:tabs>
          <w:tab w:pos="1919" w:val="left" w:leader="none"/>
        </w:tabs>
        <w:spacing w:line="240" w:lineRule="auto" w:before="120" w:after="0"/>
        <w:ind w:left="1919" w:right="415" w:hanging="567"/>
        <w:jc w:val="both"/>
        <w:rPr>
          <w:sz w:val="24"/>
        </w:rPr>
      </w:pPr>
      <w:r>
        <w:rPr>
          <w:sz w:val="24"/>
        </w:rPr>
        <w:t>Before making a determination under paragraph (d) or (g), the </w:t>
      </w:r>
      <w:r>
        <w:rPr>
          <w:i/>
          <w:sz w:val="24"/>
        </w:rPr>
        <w:t>AER </w:t>
      </w:r>
      <w:r>
        <w:rPr>
          <w:sz w:val="24"/>
        </w:rPr>
        <w:t>may consult</w:t>
      </w:r>
      <w:r>
        <w:rPr>
          <w:spacing w:val="31"/>
          <w:sz w:val="24"/>
        </w:rPr>
        <w:t> </w:t>
      </w:r>
      <w:r>
        <w:rPr>
          <w:sz w:val="24"/>
        </w:rPr>
        <w:t>with</w:t>
      </w:r>
      <w:r>
        <w:rPr>
          <w:spacing w:val="32"/>
          <w:sz w:val="24"/>
        </w:rPr>
        <w:t> </w:t>
      </w:r>
      <w:r>
        <w:rPr>
          <w:sz w:val="24"/>
        </w:rPr>
        <w:t>the</w:t>
      </w:r>
      <w:r>
        <w:rPr>
          <w:spacing w:val="32"/>
          <w:sz w:val="24"/>
        </w:rPr>
        <w:t> </w:t>
      </w:r>
      <w:r>
        <w:rPr>
          <w:sz w:val="24"/>
        </w:rPr>
        <w:t>relevant</w:t>
      </w:r>
      <w:r>
        <w:rPr>
          <w:spacing w:val="32"/>
          <w:sz w:val="24"/>
        </w:rPr>
        <w:t> </w:t>
      </w:r>
      <w:r>
        <w:rPr>
          <w:i/>
          <w:sz w:val="24"/>
        </w:rPr>
        <w:t>Distribution</w:t>
      </w:r>
      <w:r>
        <w:rPr>
          <w:i/>
          <w:spacing w:val="32"/>
          <w:sz w:val="24"/>
        </w:rPr>
        <w:t> </w:t>
      </w:r>
      <w:r>
        <w:rPr>
          <w:i/>
          <w:sz w:val="24"/>
        </w:rPr>
        <w:t>Network</w:t>
      </w:r>
      <w:r>
        <w:rPr>
          <w:i/>
          <w:spacing w:val="32"/>
          <w:sz w:val="24"/>
        </w:rPr>
        <w:t> </w:t>
      </w:r>
      <w:r>
        <w:rPr>
          <w:i/>
          <w:sz w:val="24"/>
        </w:rPr>
        <w:t>Service</w:t>
      </w:r>
      <w:r>
        <w:rPr>
          <w:i/>
          <w:spacing w:val="31"/>
          <w:sz w:val="24"/>
        </w:rPr>
        <w:t> </w:t>
      </w:r>
      <w:r>
        <w:rPr>
          <w:i/>
          <w:sz w:val="24"/>
        </w:rPr>
        <w:t>Provider</w:t>
      </w:r>
      <w:r>
        <w:rPr>
          <w:i/>
          <w:spacing w:val="32"/>
          <w:sz w:val="24"/>
        </w:rPr>
        <w:t> </w:t>
      </w:r>
      <w:r>
        <w:rPr>
          <w:sz w:val="24"/>
        </w:rPr>
        <w:t>and</w:t>
      </w:r>
      <w:r>
        <w:rPr>
          <w:spacing w:val="32"/>
          <w:sz w:val="24"/>
        </w:rPr>
        <w:t> </w:t>
      </w:r>
      <w:r>
        <w:rPr>
          <w:sz w:val="24"/>
        </w:rPr>
        <w:t>such</w:t>
      </w:r>
    </w:p>
    <w:p>
      <w:pPr>
        <w:spacing w:after="0" w:line="240" w:lineRule="auto"/>
        <w:jc w:val="both"/>
        <w:rPr>
          <w:sz w:val="24"/>
        </w:rPr>
        <w:sectPr>
          <w:pgSz w:w="11910" w:h="16840"/>
          <w:pgMar w:header="686" w:footer="637" w:top="1320" w:bottom="820" w:left="1200" w:right="1000"/>
        </w:sectPr>
      </w:pPr>
    </w:p>
    <w:p>
      <w:pPr>
        <w:spacing w:before="83"/>
        <w:ind w:left="1919" w:right="413" w:firstLine="0"/>
        <w:jc w:val="both"/>
        <w:rPr>
          <w:sz w:val="24"/>
        </w:rPr>
      </w:pPr>
      <w:r>
        <w:rPr>
          <w:sz w:val="24"/>
        </w:rPr>
        <w:t>other persons as the </w:t>
      </w:r>
      <w:r>
        <w:rPr>
          <w:i/>
          <w:sz w:val="24"/>
        </w:rPr>
        <w:t>AER </w:t>
      </w:r>
      <w:r>
        <w:rPr>
          <w:sz w:val="24"/>
        </w:rPr>
        <w:t>considers appropriate, on any matters arising out of the relevant </w:t>
      </w:r>
      <w:r>
        <w:rPr>
          <w:i/>
          <w:sz w:val="24"/>
        </w:rPr>
        <w:t>NT positive change event </w:t>
      </w:r>
      <w:r>
        <w:rPr>
          <w:sz w:val="24"/>
        </w:rPr>
        <w:t>or </w:t>
      </w:r>
      <w:r>
        <w:rPr>
          <w:i/>
          <w:sz w:val="24"/>
        </w:rPr>
        <w:t>NT negative change event </w:t>
      </w:r>
      <w:r>
        <w:rPr>
          <w:sz w:val="24"/>
        </w:rPr>
        <w:t>the </w:t>
      </w:r>
      <w:r>
        <w:rPr>
          <w:i/>
          <w:sz w:val="24"/>
        </w:rPr>
        <w:t>AER </w:t>
      </w:r>
      <w:r>
        <w:rPr>
          <w:sz w:val="24"/>
        </w:rPr>
        <w:t>considers</w:t>
      </w:r>
      <w:r>
        <w:rPr>
          <w:spacing w:val="-1"/>
          <w:sz w:val="24"/>
        </w:rPr>
        <w:t> </w:t>
      </w:r>
      <w:r>
        <w:rPr>
          <w:sz w:val="24"/>
        </w:rPr>
        <w:t>appropriate.</w:t>
      </w:r>
    </w:p>
    <w:p>
      <w:pPr>
        <w:spacing w:before="220"/>
        <w:ind w:left="1356" w:right="0" w:firstLine="0"/>
        <w:jc w:val="left"/>
        <w:rPr>
          <w:rFonts w:ascii="Arial"/>
          <w:b/>
          <w:sz w:val="22"/>
        </w:rPr>
      </w:pPr>
      <w:r>
        <w:rPr>
          <w:rFonts w:ascii="Arial"/>
          <w:b/>
          <w:sz w:val="22"/>
        </w:rPr>
        <w:t>Relevant factors</w:t>
      </w:r>
    </w:p>
    <w:p>
      <w:pPr>
        <w:pStyle w:val="ListParagraph"/>
        <w:numPr>
          <w:ilvl w:val="3"/>
          <w:numId w:val="409"/>
        </w:numPr>
        <w:tabs>
          <w:tab w:pos="1919" w:val="left" w:leader="none"/>
        </w:tabs>
        <w:spacing w:line="240" w:lineRule="auto" w:before="120" w:after="0"/>
        <w:ind w:left="1918" w:right="0" w:hanging="567"/>
        <w:jc w:val="both"/>
        <w:rPr>
          <w:sz w:val="24"/>
        </w:rPr>
      </w:pPr>
      <w:r>
        <w:rPr>
          <w:sz w:val="24"/>
        </w:rPr>
        <w:t>In</w:t>
      </w:r>
      <w:r>
        <w:rPr>
          <w:spacing w:val="10"/>
          <w:sz w:val="24"/>
        </w:rPr>
        <w:t> </w:t>
      </w:r>
      <w:r>
        <w:rPr>
          <w:sz w:val="24"/>
        </w:rPr>
        <w:t>making</w:t>
      </w:r>
      <w:r>
        <w:rPr>
          <w:spacing w:val="11"/>
          <w:sz w:val="24"/>
        </w:rPr>
        <w:t> </w:t>
      </w:r>
      <w:r>
        <w:rPr>
          <w:sz w:val="24"/>
        </w:rPr>
        <w:t>a</w:t>
      </w:r>
      <w:r>
        <w:rPr>
          <w:spacing w:val="11"/>
          <w:sz w:val="24"/>
        </w:rPr>
        <w:t> </w:t>
      </w:r>
      <w:r>
        <w:rPr>
          <w:sz w:val="24"/>
        </w:rPr>
        <w:t>determination</w:t>
      </w:r>
      <w:r>
        <w:rPr>
          <w:spacing w:val="11"/>
          <w:sz w:val="24"/>
        </w:rPr>
        <w:t> </w:t>
      </w:r>
      <w:r>
        <w:rPr>
          <w:sz w:val="24"/>
        </w:rPr>
        <w:t>under</w:t>
      </w:r>
      <w:r>
        <w:rPr>
          <w:spacing w:val="11"/>
          <w:sz w:val="24"/>
        </w:rPr>
        <w:t> </w:t>
      </w:r>
      <w:r>
        <w:rPr>
          <w:sz w:val="24"/>
        </w:rPr>
        <w:t>paragraph</w:t>
      </w:r>
      <w:r>
        <w:rPr>
          <w:spacing w:val="10"/>
          <w:sz w:val="24"/>
        </w:rPr>
        <w:t> </w:t>
      </w:r>
      <w:r>
        <w:rPr>
          <w:sz w:val="24"/>
        </w:rPr>
        <w:t>(d)</w:t>
      </w:r>
      <w:r>
        <w:rPr>
          <w:spacing w:val="11"/>
          <w:sz w:val="24"/>
        </w:rPr>
        <w:t> </w:t>
      </w:r>
      <w:r>
        <w:rPr>
          <w:sz w:val="24"/>
        </w:rPr>
        <w:t>or</w:t>
      </w:r>
      <w:r>
        <w:rPr>
          <w:spacing w:val="11"/>
          <w:sz w:val="24"/>
        </w:rPr>
        <w:t> </w:t>
      </w:r>
      <w:r>
        <w:rPr>
          <w:sz w:val="24"/>
        </w:rPr>
        <w:t>(g)</w:t>
      </w:r>
      <w:r>
        <w:rPr>
          <w:spacing w:val="11"/>
          <w:sz w:val="24"/>
        </w:rPr>
        <w:t> </w:t>
      </w:r>
      <w:r>
        <w:rPr>
          <w:sz w:val="24"/>
        </w:rPr>
        <w:t>in</w:t>
      </w:r>
      <w:r>
        <w:rPr>
          <w:spacing w:val="11"/>
          <w:sz w:val="24"/>
        </w:rPr>
        <w:t> </w:t>
      </w:r>
      <w:r>
        <w:rPr>
          <w:sz w:val="24"/>
        </w:rPr>
        <w:t>respect</w:t>
      </w:r>
      <w:r>
        <w:rPr>
          <w:spacing w:val="9"/>
          <w:sz w:val="24"/>
        </w:rPr>
        <w:t> </w:t>
      </w:r>
      <w:r>
        <w:rPr>
          <w:sz w:val="24"/>
        </w:rPr>
        <w:t>of</w:t>
      </w:r>
      <w:r>
        <w:rPr>
          <w:spacing w:val="11"/>
          <w:sz w:val="24"/>
        </w:rPr>
        <w:t> </w:t>
      </w:r>
      <w:r>
        <w:rPr>
          <w:sz w:val="24"/>
        </w:rPr>
        <w:t>a</w:t>
      </w:r>
    </w:p>
    <w:p>
      <w:pPr>
        <w:spacing w:before="0"/>
        <w:ind w:left="1919" w:right="0" w:firstLine="0"/>
        <w:jc w:val="both"/>
        <w:rPr>
          <w:sz w:val="24"/>
        </w:rPr>
      </w:pPr>
      <w:r>
        <w:rPr>
          <w:i/>
          <w:sz w:val="24"/>
        </w:rPr>
        <w:t>Distribution Network Service Provider</w:t>
      </w:r>
      <w:r>
        <w:rPr>
          <w:sz w:val="24"/>
        </w:rPr>
        <w:t>, the </w:t>
      </w:r>
      <w:r>
        <w:rPr>
          <w:i/>
          <w:sz w:val="24"/>
        </w:rPr>
        <w:t>AER </w:t>
      </w:r>
      <w:r>
        <w:rPr>
          <w:sz w:val="24"/>
        </w:rPr>
        <w:t>must take into account:</w:t>
      </w:r>
    </w:p>
    <w:p>
      <w:pPr>
        <w:pStyle w:val="ListParagraph"/>
        <w:numPr>
          <w:ilvl w:val="4"/>
          <w:numId w:val="409"/>
        </w:numPr>
        <w:tabs>
          <w:tab w:pos="2486" w:val="left" w:leader="none"/>
        </w:tabs>
        <w:spacing w:line="240" w:lineRule="auto" w:before="120" w:after="0"/>
        <w:ind w:left="2486" w:right="416" w:hanging="567"/>
        <w:jc w:val="both"/>
        <w:rPr>
          <w:sz w:val="24"/>
        </w:rPr>
      </w:pPr>
      <w:r>
        <w:rPr>
          <w:sz w:val="24"/>
        </w:rPr>
        <w:t>the matters and proposals set out in any statement given to the </w:t>
      </w:r>
      <w:r>
        <w:rPr>
          <w:i/>
          <w:sz w:val="24"/>
        </w:rPr>
        <w:t>AER </w:t>
      </w:r>
      <w:r>
        <w:rPr>
          <w:sz w:val="24"/>
        </w:rPr>
        <w:t>by the </w:t>
      </w:r>
      <w:r>
        <w:rPr>
          <w:i/>
          <w:sz w:val="24"/>
        </w:rPr>
        <w:t>Distribution Network Service Provider </w:t>
      </w:r>
      <w:r>
        <w:rPr>
          <w:sz w:val="24"/>
        </w:rPr>
        <w:t>under paragraph (c) or (f); and</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in the case of an </w:t>
      </w:r>
      <w:r>
        <w:rPr>
          <w:i/>
          <w:sz w:val="24"/>
        </w:rPr>
        <w:t>NT positive change event</w:t>
      </w:r>
      <w:r>
        <w:rPr>
          <w:sz w:val="24"/>
        </w:rPr>
        <w:t>, the increase in costs in the provision of </w:t>
      </w:r>
      <w:r>
        <w:rPr>
          <w:i/>
          <w:sz w:val="24"/>
        </w:rPr>
        <w:t>direct control services </w:t>
      </w:r>
      <w:r>
        <w:rPr>
          <w:sz w:val="24"/>
        </w:rPr>
        <w:t>or </w:t>
      </w:r>
      <w:r>
        <w:rPr>
          <w:i/>
          <w:sz w:val="24"/>
        </w:rPr>
        <w:t>NT equivalent services </w:t>
      </w:r>
      <w:r>
        <w:rPr>
          <w:sz w:val="24"/>
        </w:rPr>
        <w:t>that, as a result of the </w:t>
      </w:r>
      <w:r>
        <w:rPr>
          <w:i/>
          <w:sz w:val="24"/>
        </w:rPr>
        <w:t>NT positive change event</w:t>
      </w:r>
      <w:r>
        <w:rPr>
          <w:sz w:val="24"/>
        </w:rPr>
        <w:t>, the </w:t>
      </w:r>
      <w:r>
        <w:rPr>
          <w:i/>
          <w:sz w:val="24"/>
        </w:rPr>
        <w:t>Distribution Network </w:t>
      </w:r>
      <w:r>
        <w:rPr>
          <w:i/>
          <w:sz w:val="24"/>
        </w:rPr>
        <w:t>Service Provider </w:t>
      </w:r>
      <w:r>
        <w:rPr>
          <w:sz w:val="24"/>
        </w:rPr>
        <w:t>has incurred and is likely to incur until the end of the </w:t>
      </w:r>
      <w:r>
        <w:rPr>
          <w:i/>
          <w:sz w:val="24"/>
        </w:rPr>
        <w:t>1st regulatory control</w:t>
      </w:r>
      <w:r>
        <w:rPr>
          <w:i/>
          <w:spacing w:val="-3"/>
          <w:sz w:val="24"/>
        </w:rPr>
        <w:t> </w:t>
      </w:r>
      <w:r>
        <w:rPr>
          <w:i/>
          <w:sz w:val="24"/>
        </w:rPr>
        <w:t>period</w:t>
      </w:r>
      <w:r>
        <w:rPr>
          <w:sz w:val="24"/>
        </w:rPr>
        <w:t>;</w:t>
      </w:r>
    </w:p>
    <w:p>
      <w:pPr>
        <w:spacing w:before="120"/>
        <w:ind w:left="2486" w:right="415" w:hanging="567"/>
        <w:jc w:val="both"/>
        <w:rPr>
          <w:sz w:val="24"/>
        </w:rPr>
      </w:pPr>
      <w:r>
        <w:rPr>
          <w:sz w:val="24"/>
        </w:rPr>
        <w:t>(2A) in the case of a </w:t>
      </w:r>
      <w:r>
        <w:rPr>
          <w:i/>
          <w:sz w:val="24"/>
        </w:rPr>
        <w:t>NT negative change event</w:t>
      </w:r>
      <w:r>
        <w:rPr>
          <w:sz w:val="24"/>
        </w:rPr>
        <w:t>, the costs in the provision of </w:t>
      </w:r>
      <w:r>
        <w:rPr>
          <w:i/>
          <w:sz w:val="24"/>
        </w:rPr>
        <w:t>direct control services </w:t>
      </w:r>
      <w:r>
        <w:rPr>
          <w:sz w:val="24"/>
        </w:rPr>
        <w:t>or </w:t>
      </w:r>
      <w:r>
        <w:rPr>
          <w:i/>
          <w:sz w:val="24"/>
        </w:rPr>
        <w:t>NT equivalent services </w:t>
      </w:r>
      <w:r>
        <w:rPr>
          <w:sz w:val="24"/>
        </w:rPr>
        <w:t>that, as a result of the </w:t>
      </w:r>
      <w:r>
        <w:rPr>
          <w:i/>
          <w:sz w:val="24"/>
        </w:rPr>
        <w:t>NT negative change event</w:t>
      </w:r>
      <w:r>
        <w:rPr>
          <w:sz w:val="24"/>
        </w:rPr>
        <w:t>, the </w:t>
      </w:r>
      <w:r>
        <w:rPr>
          <w:i/>
          <w:sz w:val="24"/>
        </w:rPr>
        <w:t>Distribution Network Service Provider </w:t>
      </w:r>
      <w:r>
        <w:rPr>
          <w:sz w:val="24"/>
        </w:rPr>
        <w:t>has saved and is likely to save until the end of the </w:t>
      </w:r>
      <w:r>
        <w:rPr>
          <w:i/>
          <w:sz w:val="24"/>
        </w:rPr>
        <w:t>1st regulatory </w:t>
      </w:r>
      <w:r>
        <w:rPr>
          <w:i/>
          <w:sz w:val="24"/>
        </w:rPr>
        <w:t>control period</w:t>
      </w:r>
      <w:r>
        <w:rPr>
          <w:sz w:val="24"/>
        </w:rPr>
        <w:t>;</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in the case of an </w:t>
      </w:r>
      <w:r>
        <w:rPr>
          <w:i/>
          <w:sz w:val="24"/>
        </w:rPr>
        <w:t>NT positive change event</w:t>
      </w:r>
      <w:r>
        <w:rPr>
          <w:sz w:val="24"/>
        </w:rPr>
        <w:t>, the efficiency of the </w:t>
      </w:r>
      <w:r>
        <w:rPr>
          <w:i/>
          <w:sz w:val="24"/>
        </w:rPr>
        <w:t>Distribution Network Service Provider's </w:t>
      </w:r>
      <w:r>
        <w:rPr>
          <w:sz w:val="24"/>
        </w:rPr>
        <w:t>decisions and actions in relation to the risk of the </w:t>
      </w:r>
      <w:r>
        <w:rPr>
          <w:i/>
          <w:sz w:val="24"/>
        </w:rPr>
        <w:t>NT positive change event</w:t>
      </w:r>
      <w:r>
        <w:rPr>
          <w:sz w:val="24"/>
        </w:rPr>
        <w:t>, including whether the </w:t>
      </w:r>
      <w:r>
        <w:rPr>
          <w:i/>
          <w:sz w:val="24"/>
        </w:rPr>
        <w:t>Distribution Network Service Provider </w:t>
      </w:r>
      <w:r>
        <w:rPr>
          <w:sz w:val="24"/>
        </w:rPr>
        <w:t>has failed to take any action that could reasonably be taken to reduce the magnitude of the </w:t>
      </w:r>
      <w:r>
        <w:rPr>
          <w:i/>
          <w:sz w:val="24"/>
        </w:rPr>
        <w:t>eligible pass through amount </w:t>
      </w:r>
      <w:r>
        <w:rPr>
          <w:sz w:val="24"/>
        </w:rPr>
        <w:t>in respect of that </w:t>
      </w:r>
      <w:r>
        <w:rPr>
          <w:i/>
          <w:sz w:val="24"/>
        </w:rPr>
        <w:t>NT positive change </w:t>
      </w:r>
      <w:r>
        <w:rPr>
          <w:i/>
          <w:sz w:val="24"/>
        </w:rPr>
        <w:t>event </w:t>
      </w:r>
      <w:r>
        <w:rPr>
          <w:sz w:val="24"/>
        </w:rPr>
        <w:t>and whether the </w:t>
      </w:r>
      <w:r>
        <w:rPr>
          <w:i/>
          <w:sz w:val="24"/>
        </w:rPr>
        <w:t>Distribution Network Service Provider </w:t>
      </w:r>
      <w:r>
        <w:rPr>
          <w:sz w:val="24"/>
        </w:rPr>
        <w:t>has taken or omitted to take any action where such action or omission has increased the magnitude of the amount in respect of that </w:t>
      </w:r>
      <w:r>
        <w:rPr>
          <w:i/>
          <w:sz w:val="24"/>
        </w:rPr>
        <w:t>NT positive </w:t>
      </w:r>
      <w:r>
        <w:rPr>
          <w:i/>
          <w:sz w:val="24"/>
        </w:rPr>
        <w:t>change</w:t>
      </w:r>
      <w:r>
        <w:rPr>
          <w:i/>
          <w:spacing w:val="-1"/>
          <w:sz w:val="24"/>
        </w:rPr>
        <w:t> </w:t>
      </w:r>
      <w:r>
        <w:rPr>
          <w:i/>
          <w:sz w:val="24"/>
        </w:rPr>
        <w:t>event</w:t>
      </w:r>
      <w:r>
        <w:rPr>
          <w:sz w:val="24"/>
        </w:rPr>
        <w:t>;</w:t>
      </w:r>
    </w:p>
    <w:p>
      <w:pPr>
        <w:pStyle w:val="ListParagraph"/>
        <w:numPr>
          <w:ilvl w:val="4"/>
          <w:numId w:val="409"/>
        </w:numPr>
        <w:tabs>
          <w:tab w:pos="2486" w:val="left" w:leader="none"/>
        </w:tabs>
        <w:spacing w:line="240" w:lineRule="auto" w:before="120" w:after="0"/>
        <w:ind w:left="2486" w:right="415" w:hanging="567"/>
        <w:jc w:val="both"/>
        <w:rPr>
          <w:sz w:val="24"/>
        </w:rPr>
      </w:pPr>
      <w:r>
        <w:rPr>
          <w:sz w:val="24"/>
        </w:rPr>
        <w:t>the time cost of money based on the </w:t>
      </w:r>
      <w:r>
        <w:rPr>
          <w:i/>
          <w:sz w:val="24"/>
        </w:rPr>
        <w:t>allowed rate of return </w:t>
      </w:r>
      <w:r>
        <w:rPr>
          <w:sz w:val="24"/>
        </w:rPr>
        <w:t>for the </w:t>
      </w:r>
      <w:r>
        <w:rPr>
          <w:i/>
          <w:sz w:val="24"/>
        </w:rPr>
        <w:t>Distribution Network Service Provider </w:t>
      </w:r>
      <w:r>
        <w:rPr>
          <w:sz w:val="24"/>
        </w:rPr>
        <w:t>for the </w:t>
      </w:r>
      <w:r>
        <w:rPr>
          <w:i/>
          <w:sz w:val="24"/>
        </w:rPr>
        <w:t>1st regulatory control </w:t>
      </w:r>
      <w:r>
        <w:rPr>
          <w:i/>
          <w:sz w:val="24"/>
        </w:rPr>
        <w:t>period</w:t>
      </w:r>
      <w:r>
        <w:rPr>
          <w:sz w:val="24"/>
        </w:rPr>
        <w:t>;</w:t>
      </w:r>
    </w:p>
    <w:p>
      <w:pPr>
        <w:pStyle w:val="ListParagraph"/>
        <w:numPr>
          <w:ilvl w:val="4"/>
          <w:numId w:val="409"/>
        </w:numPr>
        <w:tabs>
          <w:tab w:pos="2486" w:val="left" w:leader="none"/>
        </w:tabs>
        <w:spacing w:line="240" w:lineRule="auto" w:before="120" w:after="0"/>
        <w:ind w:left="2486" w:right="415" w:hanging="567"/>
        <w:jc w:val="both"/>
        <w:rPr>
          <w:sz w:val="24"/>
        </w:rPr>
      </w:pPr>
      <w:r>
        <w:rPr>
          <w:sz w:val="24"/>
        </w:rPr>
        <w:t>the need to ensure that the </w:t>
      </w:r>
      <w:r>
        <w:rPr>
          <w:i/>
          <w:sz w:val="24"/>
        </w:rPr>
        <w:t>Distribution Network Service Provider </w:t>
      </w:r>
      <w:r>
        <w:rPr>
          <w:sz w:val="24"/>
        </w:rPr>
        <w:t>only recovers</w:t>
      </w:r>
      <w:r>
        <w:rPr>
          <w:spacing w:val="23"/>
          <w:sz w:val="24"/>
        </w:rPr>
        <w:t> </w:t>
      </w:r>
      <w:r>
        <w:rPr>
          <w:sz w:val="24"/>
        </w:rPr>
        <w:t>any</w:t>
      </w:r>
      <w:r>
        <w:rPr>
          <w:spacing w:val="24"/>
          <w:sz w:val="24"/>
        </w:rPr>
        <w:t> </w:t>
      </w:r>
      <w:r>
        <w:rPr>
          <w:sz w:val="24"/>
        </w:rPr>
        <w:t>actual</w:t>
      </w:r>
      <w:r>
        <w:rPr>
          <w:spacing w:val="24"/>
          <w:sz w:val="24"/>
        </w:rPr>
        <w:t> </w:t>
      </w:r>
      <w:r>
        <w:rPr>
          <w:sz w:val="24"/>
        </w:rPr>
        <w:t>or</w:t>
      </w:r>
      <w:r>
        <w:rPr>
          <w:spacing w:val="23"/>
          <w:sz w:val="24"/>
        </w:rPr>
        <w:t> </w:t>
      </w:r>
      <w:r>
        <w:rPr>
          <w:sz w:val="24"/>
        </w:rPr>
        <w:t>likely</w:t>
      </w:r>
      <w:r>
        <w:rPr>
          <w:spacing w:val="24"/>
          <w:sz w:val="24"/>
        </w:rPr>
        <w:t> </w:t>
      </w:r>
      <w:r>
        <w:rPr>
          <w:sz w:val="24"/>
        </w:rPr>
        <w:t>increment</w:t>
      </w:r>
      <w:r>
        <w:rPr>
          <w:spacing w:val="24"/>
          <w:sz w:val="24"/>
        </w:rPr>
        <w:t> </w:t>
      </w:r>
      <w:r>
        <w:rPr>
          <w:sz w:val="24"/>
        </w:rPr>
        <w:t>in</w:t>
      </w:r>
      <w:r>
        <w:rPr>
          <w:spacing w:val="23"/>
          <w:sz w:val="24"/>
        </w:rPr>
        <w:t> </w:t>
      </w:r>
      <w:r>
        <w:rPr>
          <w:sz w:val="24"/>
        </w:rPr>
        <w:t>costs</w:t>
      </w:r>
      <w:r>
        <w:rPr>
          <w:spacing w:val="24"/>
          <w:sz w:val="24"/>
        </w:rPr>
        <w:t> </w:t>
      </w:r>
      <w:r>
        <w:rPr>
          <w:sz w:val="24"/>
        </w:rPr>
        <w:t>under</w:t>
      </w:r>
      <w:r>
        <w:rPr>
          <w:spacing w:val="24"/>
          <w:sz w:val="24"/>
        </w:rPr>
        <w:t> </w:t>
      </w:r>
      <w:r>
        <w:rPr>
          <w:sz w:val="24"/>
        </w:rPr>
        <w:t>this</w:t>
      </w:r>
      <w:r>
        <w:rPr>
          <w:spacing w:val="24"/>
          <w:sz w:val="24"/>
        </w:rPr>
        <w:t> </w:t>
      </w:r>
      <w:r>
        <w:rPr>
          <w:sz w:val="24"/>
        </w:rPr>
        <w:t>paragraph</w:t>
      </w:r>
    </w:p>
    <w:p>
      <w:pPr>
        <w:pStyle w:val="ListParagraph"/>
        <w:numPr>
          <w:ilvl w:val="0"/>
          <w:numId w:val="411"/>
        </w:numPr>
        <w:tabs>
          <w:tab w:pos="2794" w:val="left" w:leader="none"/>
        </w:tabs>
        <w:spacing w:line="240" w:lineRule="auto" w:before="0" w:after="0"/>
        <w:ind w:left="2793" w:right="0" w:hanging="308"/>
        <w:jc w:val="both"/>
        <w:rPr>
          <w:sz w:val="24"/>
        </w:rPr>
      </w:pPr>
      <w:r>
        <w:rPr>
          <w:sz w:val="24"/>
        </w:rPr>
        <w:t>to</w:t>
      </w:r>
      <w:r>
        <w:rPr>
          <w:spacing w:val="20"/>
          <w:sz w:val="24"/>
        </w:rPr>
        <w:t> </w:t>
      </w:r>
      <w:r>
        <w:rPr>
          <w:sz w:val="24"/>
        </w:rPr>
        <w:t>the</w:t>
      </w:r>
      <w:r>
        <w:rPr>
          <w:spacing w:val="20"/>
          <w:sz w:val="24"/>
        </w:rPr>
        <w:t> </w:t>
      </w:r>
      <w:r>
        <w:rPr>
          <w:sz w:val="24"/>
        </w:rPr>
        <w:t>extent</w:t>
      </w:r>
      <w:r>
        <w:rPr>
          <w:spacing w:val="21"/>
          <w:sz w:val="24"/>
        </w:rPr>
        <w:t> </w:t>
      </w:r>
      <w:r>
        <w:rPr>
          <w:sz w:val="24"/>
        </w:rPr>
        <w:t>that</w:t>
      </w:r>
      <w:r>
        <w:rPr>
          <w:spacing w:val="20"/>
          <w:sz w:val="24"/>
        </w:rPr>
        <w:t> </w:t>
      </w:r>
      <w:r>
        <w:rPr>
          <w:sz w:val="24"/>
        </w:rPr>
        <w:t>such</w:t>
      </w:r>
      <w:r>
        <w:rPr>
          <w:spacing w:val="21"/>
          <w:sz w:val="24"/>
        </w:rPr>
        <w:t> </w:t>
      </w:r>
      <w:r>
        <w:rPr>
          <w:sz w:val="24"/>
        </w:rPr>
        <w:t>increment</w:t>
      </w:r>
      <w:r>
        <w:rPr>
          <w:spacing w:val="20"/>
          <w:sz w:val="24"/>
        </w:rPr>
        <w:t> </w:t>
      </w:r>
      <w:r>
        <w:rPr>
          <w:sz w:val="24"/>
        </w:rPr>
        <w:t>is</w:t>
      </w:r>
      <w:r>
        <w:rPr>
          <w:spacing w:val="20"/>
          <w:sz w:val="24"/>
        </w:rPr>
        <w:t> </w:t>
      </w:r>
      <w:r>
        <w:rPr>
          <w:sz w:val="24"/>
        </w:rPr>
        <w:t>solely</w:t>
      </w:r>
      <w:r>
        <w:rPr>
          <w:spacing w:val="21"/>
          <w:sz w:val="24"/>
        </w:rPr>
        <w:t> </w:t>
      </w:r>
      <w:r>
        <w:rPr>
          <w:sz w:val="24"/>
        </w:rPr>
        <w:t>as</w:t>
      </w:r>
      <w:r>
        <w:rPr>
          <w:spacing w:val="20"/>
          <w:sz w:val="24"/>
        </w:rPr>
        <w:t> </w:t>
      </w:r>
      <w:r>
        <w:rPr>
          <w:sz w:val="24"/>
        </w:rPr>
        <w:t>a</w:t>
      </w:r>
      <w:r>
        <w:rPr>
          <w:spacing w:val="21"/>
          <w:sz w:val="24"/>
        </w:rPr>
        <w:t> </w:t>
      </w:r>
      <w:r>
        <w:rPr>
          <w:sz w:val="24"/>
        </w:rPr>
        <w:t>consequence</w:t>
      </w:r>
      <w:r>
        <w:rPr>
          <w:spacing w:val="20"/>
          <w:sz w:val="24"/>
        </w:rPr>
        <w:t> </w:t>
      </w:r>
      <w:r>
        <w:rPr>
          <w:sz w:val="24"/>
        </w:rPr>
        <w:t>of</w:t>
      </w:r>
      <w:r>
        <w:rPr>
          <w:spacing w:val="21"/>
          <w:sz w:val="24"/>
        </w:rPr>
        <w:t> </w:t>
      </w:r>
      <w:r>
        <w:rPr>
          <w:sz w:val="24"/>
        </w:rPr>
        <w:t>an</w:t>
      </w:r>
    </w:p>
    <w:p>
      <w:pPr>
        <w:spacing w:before="0"/>
        <w:ind w:left="2486" w:right="0" w:firstLine="0"/>
        <w:jc w:val="both"/>
        <w:rPr>
          <w:sz w:val="24"/>
        </w:rPr>
      </w:pPr>
      <w:r>
        <w:rPr>
          <w:i/>
          <w:sz w:val="24"/>
        </w:rPr>
        <w:t>NT positive change event </w:t>
      </w:r>
      <w:r>
        <w:rPr>
          <w:sz w:val="24"/>
        </w:rPr>
        <w:t>or </w:t>
      </w:r>
      <w:r>
        <w:rPr>
          <w:i/>
          <w:sz w:val="24"/>
        </w:rPr>
        <w:t>NT negative change event</w:t>
      </w:r>
      <w:r>
        <w:rPr>
          <w:sz w:val="24"/>
        </w:rPr>
        <w:t>;</w:t>
      </w:r>
    </w:p>
    <w:p>
      <w:pPr>
        <w:pStyle w:val="ListParagraph"/>
        <w:numPr>
          <w:ilvl w:val="4"/>
          <w:numId w:val="409"/>
        </w:numPr>
        <w:tabs>
          <w:tab w:pos="2486" w:val="left" w:leader="none"/>
        </w:tabs>
        <w:spacing w:line="240" w:lineRule="auto" w:before="120" w:after="0"/>
        <w:ind w:left="2486" w:right="414" w:hanging="567"/>
        <w:jc w:val="both"/>
        <w:rPr>
          <w:sz w:val="24"/>
        </w:rPr>
      </w:pPr>
      <w:r>
        <w:rPr>
          <w:sz w:val="24"/>
        </w:rPr>
        <w:t>in the case of a tax change event (as defined in Part B of the </w:t>
      </w:r>
      <w:r>
        <w:rPr>
          <w:i/>
          <w:sz w:val="24"/>
        </w:rPr>
        <w:t>2014 NT </w:t>
      </w:r>
      <w:r>
        <w:rPr>
          <w:i/>
          <w:sz w:val="24"/>
        </w:rPr>
        <w:t>Network Price Determination</w:t>
      </w:r>
      <w:r>
        <w:rPr>
          <w:sz w:val="24"/>
        </w:rPr>
        <w:t>), any change in the way another </w:t>
      </w:r>
      <w:r>
        <w:rPr>
          <w:i/>
          <w:sz w:val="24"/>
        </w:rPr>
        <w:t>tax </w:t>
      </w:r>
      <w:r>
        <w:rPr>
          <w:sz w:val="24"/>
        </w:rPr>
        <w:t>is calculated, or the removal or imposition of another </w:t>
      </w:r>
      <w:r>
        <w:rPr>
          <w:i/>
          <w:sz w:val="24"/>
        </w:rPr>
        <w:t>tax</w:t>
      </w:r>
      <w:r>
        <w:rPr>
          <w:sz w:val="24"/>
        </w:rPr>
        <w:t>, which, in the </w:t>
      </w:r>
      <w:r>
        <w:rPr>
          <w:i/>
          <w:sz w:val="24"/>
        </w:rPr>
        <w:t>AER's </w:t>
      </w:r>
      <w:r>
        <w:rPr>
          <w:sz w:val="24"/>
        </w:rPr>
        <w:t>opinion, is complementary to the tax change event</w:t>
      </w:r>
      <w:r>
        <w:rPr>
          <w:spacing w:val="-4"/>
          <w:sz w:val="24"/>
        </w:rPr>
        <w:t> </w:t>
      </w:r>
      <w:r>
        <w:rPr>
          <w:sz w:val="24"/>
        </w:rPr>
        <w:t>concerned;</w:t>
      </w:r>
    </w:p>
    <w:p>
      <w:pPr>
        <w:pStyle w:val="ListParagraph"/>
        <w:numPr>
          <w:ilvl w:val="4"/>
          <w:numId w:val="409"/>
        </w:numPr>
        <w:tabs>
          <w:tab w:pos="2486" w:val="left" w:leader="none"/>
        </w:tabs>
        <w:spacing w:line="240" w:lineRule="auto" w:before="120" w:after="0"/>
        <w:ind w:left="2486" w:right="416" w:hanging="567"/>
        <w:jc w:val="both"/>
        <w:rPr>
          <w:sz w:val="24"/>
        </w:rPr>
      </w:pPr>
      <w:r>
        <w:rPr>
          <w:sz w:val="24"/>
        </w:rPr>
        <w:t>whether the costs of the </w:t>
      </w:r>
      <w:r>
        <w:rPr>
          <w:i/>
          <w:sz w:val="24"/>
        </w:rPr>
        <w:t>NT positive change event </w:t>
      </w:r>
      <w:r>
        <w:rPr>
          <w:sz w:val="24"/>
        </w:rPr>
        <w:t>or </w:t>
      </w:r>
      <w:r>
        <w:rPr>
          <w:i/>
          <w:sz w:val="24"/>
        </w:rPr>
        <w:t>NT negative </w:t>
      </w:r>
      <w:r>
        <w:rPr>
          <w:i/>
          <w:sz w:val="24"/>
        </w:rPr>
        <w:t>change event </w:t>
      </w:r>
      <w:r>
        <w:rPr>
          <w:sz w:val="24"/>
        </w:rPr>
        <w:t>have already been factored into the calculation of </w:t>
      </w:r>
      <w:r>
        <w:rPr>
          <w:spacing w:val="-4"/>
          <w:sz w:val="24"/>
        </w:rPr>
        <w:t>the </w:t>
      </w:r>
      <w:r>
        <w:rPr>
          <w:i/>
          <w:sz w:val="24"/>
        </w:rPr>
        <w:t>Distribution Network Service Provider's annual revenue requirement </w:t>
      </w:r>
      <w:r>
        <w:rPr>
          <w:sz w:val="24"/>
        </w:rPr>
        <w:t>for the </w:t>
      </w:r>
      <w:r>
        <w:rPr>
          <w:i/>
          <w:sz w:val="24"/>
        </w:rPr>
        <w:t>1st regulatory control period </w:t>
      </w:r>
      <w:r>
        <w:rPr>
          <w:sz w:val="24"/>
        </w:rPr>
        <w:t>or will be factored into the calculation of the </w:t>
      </w:r>
      <w:r>
        <w:rPr>
          <w:i/>
          <w:sz w:val="24"/>
        </w:rPr>
        <w:t>Distribution Network Service Provider's annual </w:t>
      </w:r>
      <w:r>
        <w:rPr>
          <w:i/>
          <w:sz w:val="24"/>
        </w:rPr>
        <w:t>revenue requirement </w:t>
      </w:r>
      <w:r>
        <w:rPr>
          <w:sz w:val="24"/>
        </w:rPr>
        <w:t>for a subsequent </w:t>
      </w:r>
      <w:r>
        <w:rPr>
          <w:i/>
          <w:sz w:val="24"/>
        </w:rPr>
        <w:t>regulatory control</w:t>
      </w:r>
      <w:r>
        <w:rPr>
          <w:i/>
          <w:spacing w:val="-16"/>
          <w:sz w:val="24"/>
        </w:rPr>
        <w:t> </w:t>
      </w:r>
      <w:r>
        <w:rPr>
          <w:i/>
          <w:sz w:val="24"/>
        </w:rPr>
        <w:t>period</w:t>
      </w:r>
      <w:r>
        <w:rPr>
          <w:sz w:val="24"/>
        </w:rPr>
        <w:t>;</w:t>
      </w:r>
    </w:p>
    <w:p>
      <w:pPr>
        <w:spacing w:after="0" w:line="240" w:lineRule="auto"/>
        <w:jc w:val="both"/>
        <w:rPr>
          <w:sz w:val="24"/>
        </w:rPr>
        <w:sectPr>
          <w:pgSz w:w="11910" w:h="16840"/>
          <w:pgMar w:header="686" w:footer="637" w:top="1320" w:bottom="820" w:left="1200" w:right="1000"/>
        </w:sectPr>
      </w:pPr>
    </w:p>
    <w:p>
      <w:pPr>
        <w:pStyle w:val="BodyText"/>
        <w:spacing w:before="83"/>
        <w:ind w:left="2486" w:right="414"/>
      </w:pPr>
      <w:r>
        <w:rPr/>
        <w:t>(7A) the extent to which the costs that the </w:t>
      </w:r>
      <w:r>
        <w:rPr>
          <w:i/>
        </w:rPr>
        <w:t>Distribution Network Service </w:t>
      </w:r>
      <w:r>
        <w:rPr>
          <w:i/>
        </w:rPr>
        <w:t>Provider </w:t>
      </w:r>
      <w:r>
        <w:rPr/>
        <w:t>has incurred and is likely to incur are the subject of a previous determination made by the </w:t>
      </w:r>
      <w:r>
        <w:rPr>
          <w:i/>
        </w:rPr>
        <w:t>AER </w:t>
      </w:r>
      <w:r>
        <w:rPr/>
        <w:t>under this clause or clause 6.6.1; and</w:t>
      </w:r>
    </w:p>
    <w:p>
      <w:pPr>
        <w:pStyle w:val="ListParagraph"/>
        <w:numPr>
          <w:ilvl w:val="4"/>
          <w:numId w:val="409"/>
        </w:numPr>
        <w:tabs>
          <w:tab w:pos="2486" w:val="left" w:leader="none"/>
        </w:tabs>
        <w:spacing w:line="240" w:lineRule="auto" w:before="120" w:after="0"/>
        <w:ind w:left="2485" w:right="0" w:hanging="567"/>
        <w:jc w:val="both"/>
        <w:rPr>
          <w:sz w:val="24"/>
        </w:rPr>
      </w:pPr>
      <w:r>
        <w:rPr>
          <w:sz w:val="24"/>
        </w:rPr>
        <w:t>any other factors that the </w:t>
      </w:r>
      <w:r>
        <w:rPr>
          <w:i/>
          <w:sz w:val="24"/>
        </w:rPr>
        <w:t>AER </w:t>
      </w:r>
      <w:r>
        <w:rPr>
          <w:sz w:val="24"/>
        </w:rPr>
        <w:t>considers</w:t>
      </w:r>
      <w:r>
        <w:rPr>
          <w:spacing w:val="-2"/>
          <w:sz w:val="24"/>
        </w:rPr>
        <w:t> </w:t>
      </w:r>
      <w:r>
        <w:rPr>
          <w:sz w:val="24"/>
        </w:rPr>
        <w:t>relevant.</w:t>
      </w:r>
    </w:p>
    <w:p>
      <w:pPr>
        <w:spacing w:before="220"/>
        <w:ind w:left="1356" w:right="0" w:firstLine="0"/>
        <w:jc w:val="both"/>
        <w:rPr>
          <w:rFonts w:ascii="Arial"/>
          <w:b/>
          <w:sz w:val="22"/>
        </w:rPr>
      </w:pPr>
      <w:r>
        <w:rPr>
          <w:rFonts w:ascii="Arial"/>
          <w:b/>
          <w:sz w:val="22"/>
        </w:rPr>
        <w:t>Extension of time limits</w:t>
      </w:r>
    </w:p>
    <w:p>
      <w:pPr>
        <w:pStyle w:val="ListParagraph"/>
        <w:numPr>
          <w:ilvl w:val="0"/>
          <w:numId w:val="41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by written notice to a </w:t>
      </w:r>
      <w:r>
        <w:rPr>
          <w:i/>
          <w:sz w:val="24"/>
        </w:rPr>
        <w:t>Distribution Network Service </w:t>
      </w:r>
      <w:r>
        <w:rPr>
          <w:i/>
          <w:sz w:val="24"/>
        </w:rPr>
        <w:t>Provider</w:t>
      </w:r>
      <w:r>
        <w:rPr>
          <w:sz w:val="24"/>
        </w:rPr>
        <w:t>, extend a time limit fixed in paragraph (c) or (f) if the </w:t>
      </w:r>
      <w:r>
        <w:rPr>
          <w:i/>
          <w:sz w:val="24"/>
        </w:rPr>
        <w:t>AER </w:t>
      </w:r>
      <w:r>
        <w:rPr>
          <w:sz w:val="24"/>
        </w:rPr>
        <w:t>is satisfied that the difficulty of assessing or quantifying the effect of the relevant </w:t>
      </w:r>
      <w:r>
        <w:rPr>
          <w:i/>
          <w:sz w:val="24"/>
        </w:rPr>
        <w:t>NT positive change event </w:t>
      </w:r>
      <w:r>
        <w:rPr>
          <w:sz w:val="24"/>
        </w:rPr>
        <w:t>or </w:t>
      </w:r>
      <w:r>
        <w:rPr>
          <w:i/>
          <w:sz w:val="24"/>
        </w:rPr>
        <w:t>NT negative change event </w:t>
      </w:r>
      <w:r>
        <w:rPr>
          <w:sz w:val="24"/>
        </w:rPr>
        <w:t>justifies the extension</w:t>
      </w:r>
    </w:p>
    <w:p>
      <w:pPr>
        <w:pStyle w:val="BodyText"/>
        <w:ind w:left="1352" w:firstLine="0"/>
      </w:pPr>
      <w:r>
        <w:rPr/>
        <w:t>(k1) </w:t>
      </w:r>
      <w:r>
        <w:rPr>
          <w:spacing w:val="45"/>
        </w:rPr>
        <w:t> </w:t>
      </w:r>
      <w:r>
        <w:rPr/>
        <w:t>If</w:t>
      </w:r>
      <w:r>
        <w:rPr>
          <w:spacing w:val="22"/>
        </w:rPr>
        <w:t> </w:t>
      </w:r>
      <w:r>
        <w:rPr/>
        <w:t>the</w:t>
      </w:r>
      <w:r>
        <w:rPr>
          <w:spacing w:val="22"/>
        </w:rPr>
        <w:t> </w:t>
      </w:r>
      <w:r>
        <w:rPr>
          <w:i/>
        </w:rPr>
        <w:t>AER</w:t>
      </w:r>
      <w:r>
        <w:rPr>
          <w:i/>
          <w:spacing w:val="23"/>
        </w:rPr>
        <w:t> </w:t>
      </w:r>
      <w:r>
        <w:rPr/>
        <w:t>is</w:t>
      </w:r>
      <w:r>
        <w:rPr>
          <w:spacing w:val="22"/>
        </w:rPr>
        <w:t> </w:t>
      </w:r>
      <w:r>
        <w:rPr/>
        <w:t>satisfied</w:t>
      </w:r>
      <w:r>
        <w:rPr>
          <w:spacing w:val="22"/>
        </w:rPr>
        <w:t> </w:t>
      </w:r>
      <w:r>
        <w:rPr/>
        <w:t>that</w:t>
      </w:r>
      <w:r>
        <w:rPr>
          <w:spacing w:val="22"/>
        </w:rPr>
        <w:t> </w:t>
      </w:r>
      <w:r>
        <w:rPr/>
        <w:t>the</w:t>
      </w:r>
      <w:r>
        <w:rPr>
          <w:spacing w:val="22"/>
        </w:rPr>
        <w:t> </w:t>
      </w:r>
      <w:r>
        <w:rPr/>
        <w:t>making</w:t>
      </w:r>
      <w:r>
        <w:rPr>
          <w:spacing w:val="23"/>
        </w:rPr>
        <w:t> </w:t>
      </w:r>
      <w:r>
        <w:rPr/>
        <w:t>of</w:t>
      </w:r>
      <w:r>
        <w:rPr>
          <w:spacing w:val="22"/>
        </w:rPr>
        <w:t> </w:t>
      </w:r>
      <w:r>
        <w:rPr/>
        <w:t>a</w:t>
      </w:r>
      <w:r>
        <w:rPr>
          <w:spacing w:val="22"/>
        </w:rPr>
        <w:t> </w:t>
      </w:r>
      <w:r>
        <w:rPr/>
        <w:t>determination</w:t>
      </w:r>
      <w:r>
        <w:rPr>
          <w:spacing w:val="22"/>
        </w:rPr>
        <w:t> </w:t>
      </w:r>
      <w:r>
        <w:rPr/>
        <w:t>under</w:t>
      </w:r>
      <w:r>
        <w:rPr>
          <w:spacing w:val="23"/>
        </w:rPr>
        <w:t> </w:t>
      </w:r>
      <w:r>
        <w:rPr/>
        <w:t>paragraph</w:t>
      </w:r>
    </w:p>
    <w:p>
      <w:pPr>
        <w:pStyle w:val="BodyText"/>
        <w:spacing w:before="0"/>
        <w:ind w:left="1919" w:right="415" w:firstLine="0"/>
      </w:pPr>
      <w:r>
        <w:rPr/>
        <w:t>(d) or (g) involves issues of such complexity or difficulty that the time limit fixed in paragraph (e) or (g1) should be extended, the </w:t>
      </w:r>
      <w:r>
        <w:rPr>
          <w:i/>
        </w:rPr>
        <w:t>AER </w:t>
      </w:r>
      <w:r>
        <w:rPr/>
        <w:t>may extend </w:t>
      </w:r>
      <w:r>
        <w:rPr>
          <w:spacing w:val="-3"/>
        </w:rPr>
        <w:t>that </w:t>
      </w:r>
      <w:r>
        <w:rPr/>
        <w:t>time limit by a further period of up to 60 </w:t>
      </w:r>
      <w:r>
        <w:rPr>
          <w:i/>
        </w:rPr>
        <w:t>business days</w:t>
      </w:r>
      <w:r>
        <w:rPr/>
        <w:t>, provided that it gives written notice to the </w:t>
      </w:r>
      <w:r>
        <w:rPr>
          <w:i/>
        </w:rPr>
        <w:t>Distribution Network Service Provider </w:t>
      </w:r>
      <w:r>
        <w:rPr/>
        <w:t>of that extension not later than 10 </w:t>
      </w:r>
      <w:r>
        <w:rPr>
          <w:i/>
        </w:rPr>
        <w:t>business days </w:t>
      </w:r>
      <w:r>
        <w:rPr/>
        <w:t>before the expiry of that time</w:t>
      </w:r>
      <w:r>
        <w:rPr>
          <w:spacing w:val="-6"/>
        </w:rPr>
        <w:t> </w:t>
      </w:r>
      <w:r>
        <w:rPr/>
        <w:t>limit.</w:t>
      </w:r>
    </w:p>
    <w:p>
      <w:pPr>
        <w:pStyle w:val="BodyText"/>
        <w:ind w:left="1919" w:right="415"/>
      </w:pPr>
      <w:r>
        <w:rPr/>
        <w:t>(k2) If the </w:t>
      </w:r>
      <w:r>
        <w:rPr>
          <w:i/>
        </w:rPr>
        <w:t>AER </w:t>
      </w:r>
      <w:r>
        <w:rPr/>
        <w:t>extends a time limit under paragraph (k1), it must make available on its website a notice of that extension as soon as is reasonably practicable.</w:t>
      </w:r>
    </w:p>
    <w:p>
      <w:pPr>
        <w:spacing w:before="120"/>
        <w:ind w:left="1919" w:right="415" w:hanging="567"/>
        <w:jc w:val="both"/>
        <w:rPr>
          <w:sz w:val="24"/>
        </w:rPr>
      </w:pPr>
      <w:r>
        <w:rPr>
          <w:sz w:val="24"/>
        </w:rPr>
        <w:t>(k3) Subject to paragraph (k6), if the </w:t>
      </w:r>
      <w:r>
        <w:rPr>
          <w:i/>
          <w:sz w:val="24"/>
        </w:rPr>
        <w:t>AER </w:t>
      </w:r>
      <w:r>
        <w:rPr>
          <w:sz w:val="24"/>
        </w:rPr>
        <w:t>gives a written notice to the </w:t>
      </w:r>
      <w:r>
        <w:rPr>
          <w:i/>
          <w:sz w:val="24"/>
        </w:rPr>
        <w:t>Distribution Network Service Provider </w:t>
      </w:r>
      <w:r>
        <w:rPr>
          <w:sz w:val="24"/>
        </w:rPr>
        <w:t>stating that it requires information from an </w:t>
      </w:r>
      <w:r>
        <w:rPr>
          <w:i/>
          <w:sz w:val="24"/>
        </w:rPr>
        <w:t>Authority </w:t>
      </w:r>
      <w:r>
        <w:rPr>
          <w:sz w:val="24"/>
        </w:rPr>
        <w:t>in order to make a determination under paragraph (d)</w:t>
      </w:r>
      <w:r>
        <w:rPr>
          <w:spacing w:val="34"/>
          <w:sz w:val="24"/>
        </w:rPr>
        <w:t> </w:t>
      </w:r>
      <w:r>
        <w:rPr>
          <w:sz w:val="24"/>
        </w:rPr>
        <w:t>or</w:t>
      </w:r>
    </w:p>
    <w:p>
      <w:pPr>
        <w:spacing w:before="0"/>
        <w:ind w:left="1919" w:right="414" w:firstLine="0"/>
        <w:jc w:val="both"/>
        <w:rPr>
          <w:sz w:val="24"/>
        </w:rPr>
      </w:pPr>
      <w:r>
        <w:rPr>
          <w:sz w:val="24"/>
        </w:rPr>
        <w:t>(g) then, for the purpose of calculating elapsed time, the period between when the </w:t>
      </w:r>
      <w:r>
        <w:rPr>
          <w:i/>
          <w:sz w:val="24"/>
        </w:rPr>
        <w:t>AER </w:t>
      </w:r>
      <w:r>
        <w:rPr>
          <w:sz w:val="24"/>
        </w:rPr>
        <w:t>gives that notice to the </w:t>
      </w:r>
      <w:r>
        <w:rPr>
          <w:i/>
          <w:sz w:val="24"/>
        </w:rPr>
        <w:t>Distribution Network Service </w:t>
      </w:r>
      <w:r>
        <w:rPr>
          <w:i/>
          <w:sz w:val="24"/>
        </w:rPr>
        <w:t>Provider </w:t>
      </w:r>
      <w:r>
        <w:rPr>
          <w:sz w:val="24"/>
        </w:rPr>
        <w:t>and when the </w:t>
      </w:r>
      <w:r>
        <w:rPr>
          <w:i/>
          <w:sz w:val="24"/>
        </w:rPr>
        <w:t>AER </w:t>
      </w:r>
      <w:r>
        <w:rPr>
          <w:sz w:val="24"/>
        </w:rPr>
        <w:t>receives that information from that </w:t>
      </w:r>
      <w:r>
        <w:rPr>
          <w:i/>
          <w:sz w:val="24"/>
        </w:rPr>
        <w:t>Authority </w:t>
      </w:r>
      <w:r>
        <w:rPr>
          <w:sz w:val="24"/>
        </w:rPr>
        <w:t>is to be</w:t>
      </w:r>
      <w:r>
        <w:rPr>
          <w:spacing w:val="-1"/>
          <w:sz w:val="24"/>
        </w:rPr>
        <w:t> </w:t>
      </w:r>
      <w:r>
        <w:rPr>
          <w:sz w:val="24"/>
        </w:rPr>
        <w:t>disregarded.</w:t>
      </w:r>
    </w:p>
    <w:p>
      <w:pPr>
        <w:pStyle w:val="BodyText"/>
        <w:ind w:left="1919" w:right="415"/>
      </w:pPr>
      <w:r>
        <w:rPr/>
        <w:t>(k4) Subject to paragraph (k6), if the </w:t>
      </w:r>
      <w:r>
        <w:rPr>
          <w:i/>
        </w:rPr>
        <w:t>AER </w:t>
      </w:r>
      <w:r>
        <w:rPr/>
        <w:t>gives a written notice to the </w:t>
      </w:r>
      <w:r>
        <w:rPr>
          <w:i/>
        </w:rPr>
        <w:t>Distribution Network Service Provider </w:t>
      </w:r>
      <w:r>
        <w:rPr/>
        <w:t>stating that, in order to make a determination under paragraph (d) or (g), it requires information that</w:t>
      </w:r>
      <w:r>
        <w:rPr>
          <w:spacing w:val="28"/>
        </w:rPr>
        <w:t> </w:t>
      </w:r>
      <w:r>
        <w:rPr/>
        <w:t>it anticipates will be made publicly available by a judicial body or royal commission then, for the purpose of calculating elapsed time, the period between when the </w:t>
      </w:r>
      <w:r>
        <w:rPr>
          <w:i/>
        </w:rPr>
        <w:t>AER </w:t>
      </w:r>
      <w:r>
        <w:rPr/>
        <w:t>gives that notice to the </w:t>
      </w:r>
      <w:r>
        <w:rPr>
          <w:i/>
        </w:rPr>
        <w:t>Distribution Network Service </w:t>
      </w:r>
      <w:r>
        <w:rPr>
          <w:i/>
        </w:rPr>
        <w:t>Provider </w:t>
      </w:r>
      <w:r>
        <w:rPr/>
        <w:t>and when that information is made publicly available is to be disregarded.</w:t>
      </w:r>
    </w:p>
    <w:p>
      <w:pPr>
        <w:spacing w:before="120"/>
        <w:ind w:left="1352" w:right="0" w:firstLine="0"/>
        <w:jc w:val="both"/>
        <w:rPr>
          <w:i/>
          <w:sz w:val="24"/>
        </w:rPr>
      </w:pPr>
      <w:r>
        <w:rPr>
          <w:sz w:val="24"/>
        </w:rPr>
        <w:t>(k5) Where the </w:t>
      </w:r>
      <w:r>
        <w:rPr>
          <w:i/>
          <w:sz w:val="24"/>
        </w:rPr>
        <w:t>AER </w:t>
      </w:r>
      <w:r>
        <w:rPr>
          <w:sz w:val="24"/>
        </w:rPr>
        <w:t>gives a notice to the </w:t>
      </w:r>
      <w:r>
        <w:rPr>
          <w:i/>
          <w:sz w:val="24"/>
        </w:rPr>
        <w:t>Distribution Network Service Provider</w:t>
      </w:r>
    </w:p>
    <w:p>
      <w:pPr>
        <w:pStyle w:val="BodyText"/>
        <w:spacing w:before="0"/>
        <w:ind w:left="1919" w:firstLine="0"/>
      </w:pPr>
      <w:r>
        <w:rPr/>
        <w:t>under paragraph (k3) or (k4), it must:</w:t>
      </w:r>
    </w:p>
    <w:p>
      <w:pPr>
        <w:pStyle w:val="ListParagraph"/>
        <w:numPr>
          <w:ilvl w:val="0"/>
          <w:numId w:val="412"/>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(k3) or (k4), as the case may be, has</w:t>
      </w:r>
      <w:r>
        <w:rPr>
          <w:spacing w:val="-2"/>
          <w:sz w:val="24"/>
        </w:rPr>
        <w:t> </w:t>
      </w:r>
      <w:r>
        <w:rPr>
          <w:sz w:val="24"/>
        </w:rPr>
        <w:t>commenced;</w:t>
      </w:r>
    </w:p>
    <w:p>
      <w:pPr>
        <w:pStyle w:val="ListParagraph"/>
        <w:numPr>
          <w:ilvl w:val="0"/>
          <w:numId w:val="412"/>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(k3) or (k4), as the case may be, has ended;</w:t>
      </w:r>
      <w:r>
        <w:rPr>
          <w:spacing w:val="-3"/>
          <w:sz w:val="24"/>
        </w:rPr>
        <w:t> </w:t>
      </w:r>
      <w:r>
        <w:rPr>
          <w:sz w:val="24"/>
        </w:rPr>
        <w:t>and</w:t>
      </w:r>
    </w:p>
    <w:p>
      <w:pPr>
        <w:pStyle w:val="ListParagraph"/>
        <w:numPr>
          <w:ilvl w:val="0"/>
          <w:numId w:val="412"/>
        </w:numPr>
        <w:tabs>
          <w:tab w:pos="2486" w:val="left" w:leader="none"/>
        </w:tabs>
        <w:spacing w:line="240" w:lineRule="auto" w:before="120" w:after="0"/>
        <w:ind w:left="2486" w:right="415" w:hanging="567"/>
        <w:jc w:val="both"/>
        <w:rPr>
          <w:sz w:val="24"/>
        </w:rPr>
      </w:pPr>
      <w:r>
        <w:rPr>
          <w:sz w:val="24"/>
        </w:rPr>
        <w:t>if the information specified in that notice is required from an </w:t>
      </w:r>
      <w:r>
        <w:rPr>
          <w:i/>
          <w:sz w:val="24"/>
        </w:rPr>
        <w:t>Authority</w:t>
      </w:r>
      <w:r>
        <w:rPr>
          <w:sz w:val="24"/>
        </w:rPr>
        <w:t>, promptly request that information from the relevant </w:t>
      </w:r>
      <w:r>
        <w:rPr>
          <w:i/>
          <w:sz w:val="24"/>
        </w:rPr>
        <w:t>Authority</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415" w:hanging="567"/>
        <w:jc w:val="both"/>
        <w:rPr>
          <w:sz w:val="24"/>
        </w:rPr>
      </w:pPr>
      <w:r>
        <w:rPr>
          <w:sz w:val="24"/>
        </w:rPr>
        <w:t>(k6) Paragraphs (k3) and (k4) do not apply if the </w:t>
      </w:r>
      <w:r>
        <w:rPr>
          <w:i/>
          <w:sz w:val="24"/>
        </w:rPr>
        <w:t>AER </w:t>
      </w:r>
      <w:r>
        <w:rPr>
          <w:sz w:val="24"/>
        </w:rPr>
        <w:t>gives the notice specified  in those paragraphs to the </w:t>
      </w:r>
      <w:r>
        <w:rPr>
          <w:i/>
          <w:sz w:val="24"/>
        </w:rPr>
        <w:t>Distribution Network Service Provider </w:t>
      </w:r>
      <w:r>
        <w:rPr>
          <w:sz w:val="24"/>
        </w:rPr>
        <w:t>later than 10 </w:t>
      </w:r>
      <w:r>
        <w:rPr>
          <w:i/>
          <w:sz w:val="24"/>
        </w:rPr>
        <w:t>business days </w:t>
      </w:r>
      <w:r>
        <w:rPr>
          <w:sz w:val="24"/>
        </w:rPr>
        <w:t>before the expiry of the time limit fixed in paragraphs (e) or (g1).</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This clause expires on 1 July 2024.</w:t>
      </w:r>
    </w:p>
    <w:p>
      <w:pPr>
        <w:pStyle w:val="BodyText"/>
        <w:spacing w:before="10"/>
        <w:ind w:firstLine="0"/>
        <w:jc w:val="left"/>
        <w:rPr>
          <w:sz w:val="20"/>
        </w:rPr>
      </w:pPr>
    </w:p>
    <w:p>
      <w:pPr>
        <w:pStyle w:val="Heading4"/>
        <w:numPr>
          <w:ilvl w:val="2"/>
          <w:numId w:val="413"/>
        </w:numPr>
        <w:tabs>
          <w:tab w:pos="753" w:val="left" w:leader="none"/>
          <w:tab w:pos="1351" w:val="left" w:leader="none"/>
        </w:tabs>
        <w:spacing w:line="240" w:lineRule="auto" w:before="0" w:after="0"/>
        <w:ind w:left="752" w:right="0" w:hanging="535"/>
        <w:jc w:val="left"/>
      </w:pPr>
      <w:bookmarkStart w:name="6.6.1A Reporting on jurisdictional schem" w:id="1373"/>
      <w:bookmarkEnd w:id="1373"/>
      <w:r>
        <w:rPr>
          <w:b w:val="0"/>
        </w:rPr>
      </w:r>
      <w:bookmarkStart w:name="_bookmark557" w:id="1374"/>
      <w:bookmarkEnd w:id="1374"/>
      <w:r>
        <w:rPr>
          <w:b w:val="0"/>
        </w:rPr>
      </w:r>
      <w:bookmarkStart w:name="_bookmark557" w:id="1375"/>
      <w:bookmarkEnd w:id="1375"/>
      <w:r>
        <w:rPr/>
        <w:t>A</w:t>
      </w:r>
      <w:r>
        <w:rPr/>
        <w:tab/>
        <w:t>Reporting on jurisdictional</w:t>
      </w:r>
      <w:r>
        <w:rPr>
          <w:spacing w:val="-2"/>
        </w:rPr>
        <w:t> </w:t>
      </w:r>
      <w:r>
        <w:rPr/>
        <w:t>schemes</w:t>
      </w:r>
    </w:p>
    <w:p>
      <w:pPr>
        <w:pStyle w:val="ListParagraph"/>
        <w:numPr>
          <w:ilvl w:val="3"/>
          <w:numId w:val="413"/>
        </w:numPr>
        <w:tabs>
          <w:tab w:pos="1919" w:val="left" w:leader="none"/>
        </w:tabs>
        <w:spacing w:line="240" w:lineRule="auto" w:before="120" w:after="0"/>
        <w:ind w:left="1918" w:right="0" w:hanging="567"/>
        <w:jc w:val="both"/>
        <w:rPr>
          <w:sz w:val="24"/>
        </w:rPr>
      </w:pPr>
      <w:r>
        <w:rPr>
          <w:sz w:val="24"/>
        </w:rPr>
        <w:t>If during a </w:t>
      </w:r>
      <w:r>
        <w:rPr>
          <w:i/>
          <w:sz w:val="24"/>
        </w:rPr>
        <w:t>regulatory control</w:t>
      </w:r>
      <w:r>
        <w:rPr>
          <w:i/>
          <w:spacing w:val="-2"/>
          <w:sz w:val="24"/>
        </w:rPr>
        <w:t> </w:t>
      </w:r>
      <w:r>
        <w:rPr>
          <w:i/>
          <w:sz w:val="24"/>
        </w:rPr>
        <w:t>period</w:t>
      </w:r>
      <w:r>
        <w:rPr>
          <w:sz w:val="24"/>
        </w:rPr>
        <w:t>:</w:t>
      </w:r>
    </w:p>
    <w:p>
      <w:pPr>
        <w:pStyle w:val="ListParagraph"/>
        <w:numPr>
          <w:ilvl w:val="4"/>
          <w:numId w:val="413"/>
        </w:numPr>
        <w:tabs>
          <w:tab w:pos="2486" w:val="left" w:leader="none"/>
        </w:tabs>
        <w:spacing w:line="240" w:lineRule="auto" w:before="120" w:after="0"/>
        <w:ind w:left="2485" w:right="0" w:hanging="567"/>
        <w:jc w:val="both"/>
        <w:rPr>
          <w:sz w:val="24"/>
        </w:rPr>
      </w:pPr>
      <w:r>
        <w:rPr>
          <w:sz w:val="24"/>
        </w:rPr>
        <w:t>a scheme becomes a </w:t>
      </w:r>
      <w:r>
        <w:rPr>
          <w:i/>
          <w:sz w:val="24"/>
        </w:rPr>
        <w:t>jurisdictional scheme</w:t>
      </w:r>
      <w:r>
        <w:rPr>
          <w:sz w:val="24"/>
        </w:rPr>
        <w:t>;</w:t>
      </w:r>
      <w:r>
        <w:rPr>
          <w:spacing w:val="-3"/>
          <w:sz w:val="24"/>
        </w:rPr>
        <w:t> </w:t>
      </w:r>
      <w:r>
        <w:rPr>
          <w:sz w:val="24"/>
        </w:rPr>
        <w:t>or</w:t>
      </w:r>
    </w:p>
    <w:p>
      <w:pPr>
        <w:pStyle w:val="ListParagraph"/>
        <w:numPr>
          <w:ilvl w:val="4"/>
          <w:numId w:val="413"/>
        </w:numPr>
        <w:tabs>
          <w:tab w:pos="2486" w:val="left" w:leader="none"/>
        </w:tabs>
        <w:spacing w:line="240" w:lineRule="auto" w:before="120" w:after="0"/>
        <w:ind w:left="2485" w:right="0" w:hanging="567"/>
        <w:jc w:val="both"/>
        <w:rPr>
          <w:sz w:val="24"/>
        </w:rPr>
      </w:pPr>
      <w:r>
        <w:rPr>
          <w:sz w:val="24"/>
        </w:rPr>
        <w:t>a</w:t>
      </w:r>
      <w:r>
        <w:rPr>
          <w:spacing w:val="10"/>
          <w:sz w:val="24"/>
        </w:rPr>
        <w:t> </w:t>
      </w:r>
      <w:r>
        <w:rPr>
          <w:i/>
          <w:sz w:val="24"/>
        </w:rPr>
        <w:t>Distribution</w:t>
      </w:r>
      <w:r>
        <w:rPr>
          <w:i/>
          <w:spacing w:val="10"/>
          <w:sz w:val="24"/>
        </w:rPr>
        <w:t> </w:t>
      </w:r>
      <w:r>
        <w:rPr>
          <w:i/>
          <w:sz w:val="24"/>
        </w:rPr>
        <w:t>Network</w:t>
      </w:r>
      <w:r>
        <w:rPr>
          <w:i/>
          <w:spacing w:val="10"/>
          <w:sz w:val="24"/>
        </w:rPr>
        <w:t> </w:t>
      </w:r>
      <w:r>
        <w:rPr>
          <w:i/>
          <w:sz w:val="24"/>
        </w:rPr>
        <w:t>Service</w:t>
      </w:r>
      <w:r>
        <w:rPr>
          <w:i/>
          <w:spacing w:val="11"/>
          <w:sz w:val="24"/>
        </w:rPr>
        <w:t> </w:t>
      </w:r>
      <w:r>
        <w:rPr>
          <w:i/>
          <w:sz w:val="24"/>
        </w:rPr>
        <w:t>Provider</w:t>
      </w:r>
      <w:r>
        <w:rPr>
          <w:i/>
          <w:spacing w:val="10"/>
          <w:sz w:val="24"/>
        </w:rPr>
        <w:t> </w:t>
      </w:r>
      <w:r>
        <w:rPr>
          <w:sz w:val="24"/>
        </w:rPr>
        <w:t>first</w:t>
      </w:r>
      <w:r>
        <w:rPr>
          <w:spacing w:val="10"/>
          <w:sz w:val="24"/>
        </w:rPr>
        <w:t> </w:t>
      </w:r>
      <w:r>
        <w:rPr>
          <w:sz w:val="24"/>
        </w:rPr>
        <w:t>becomes</w:t>
      </w:r>
      <w:r>
        <w:rPr>
          <w:spacing w:val="11"/>
          <w:sz w:val="24"/>
        </w:rPr>
        <w:t> </w:t>
      </w:r>
      <w:r>
        <w:rPr>
          <w:sz w:val="24"/>
        </w:rPr>
        <w:t>subject</w:t>
      </w:r>
      <w:r>
        <w:rPr>
          <w:spacing w:val="9"/>
          <w:sz w:val="24"/>
        </w:rPr>
        <w:t> </w:t>
      </w:r>
      <w:r>
        <w:rPr>
          <w:sz w:val="24"/>
        </w:rPr>
        <w:t>to</w:t>
      </w:r>
    </w:p>
    <w:p>
      <w:pPr>
        <w:spacing w:before="0"/>
        <w:ind w:left="2486" w:right="0" w:firstLine="0"/>
        <w:jc w:val="both"/>
        <w:rPr>
          <w:sz w:val="24"/>
        </w:rPr>
      </w:pPr>
      <w:r>
        <w:rPr>
          <w:i/>
          <w:sz w:val="24"/>
        </w:rPr>
        <w:t>jurisdictional scheme obligations </w:t>
      </w:r>
      <w:r>
        <w:rPr>
          <w:sz w:val="24"/>
        </w:rPr>
        <w:t>under a </w:t>
      </w:r>
      <w:r>
        <w:rPr>
          <w:i/>
          <w:sz w:val="24"/>
        </w:rPr>
        <w:t>jurisdictional scheme</w:t>
      </w:r>
      <w:r>
        <w:rPr>
          <w:sz w:val="24"/>
        </w:rPr>
        <w:t>; and</w:t>
      </w:r>
    </w:p>
    <w:p>
      <w:pPr>
        <w:pStyle w:val="ListParagraph"/>
        <w:numPr>
          <w:ilvl w:val="4"/>
          <w:numId w:val="413"/>
        </w:numPr>
        <w:tabs>
          <w:tab w:pos="2486" w:val="left" w:leader="none"/>
        </w:tabs>
        <w:spacing w:line="240" w:lineRule="auto" w:before="120" w:after="0"/>
        <w:ind w:left="2486" w:right="415" w:hanging="567"/>
        <w:jc w:val="both"/>
        <w:rPr>
          <w:sz w:val="24"/>
        </w:rPr>
      </w:pPr>
      <w:r>
        <w:rPr>
          <w:sz w:val="24"/>
        </w:rPr>
        <w:t>the relevant </w:t>
      </w:r>
      <w:r>
        <w:rPr>
          <w:i/>
          <w:sz w:val="24"/>
        </w:rPr>
        <w:t>jurisdictional scheme </w:t>
      </w:r>
      <w:r>
        <w:rPr>
          <w:sz w:val="24"/>
        </w:rPr>
        <w:t>is not an </w:t>
      </w:r>
      <w:r>
        <w:rPr>
          <w:i/>
          <w:sz w:val="24"/>
        </w:rPr>
        <w:t>approved jurisdictional </w:t>
      </w:r>
      <w:r>
        <w:rPr>
          <w:i/>
          <w:sz w:val="24"/>
        </w:rPr>
        <w:t>scheme</w:t>
      </w:r>
      <w:r>
        <w:rPr>
          <w:sz w:val="24"/>
        </w:rPr>
        <w:t>,</w:t>
      </w:r>
    </w:p>
    <w:p>
      <w:pPr>
        <w:spacing w:before="120"/>
        <w:ind w:left="1919" w:right="415" w:firstLine="0"/>
        <w:jc w:val="both"/>
        <w:rPr>
          <w:sz w:val="24"/>
        </w:rPr>
      </w:pPr>
      <w:r>
        <w:rPr>
          <w:sz w:val="24"/>
        </w:rPr>
        <w:t>then a </w:t>
      </w:r>
      <w:r>
        <w:rPr>
          <w:i/>
          <w:sz w:val="24"/>
        </w:rPr>
        <w:t>Distribution Network Service Provider </w:t>
      </w:r>
      <w:r>
        <w:rPr>
          <w:sz w:val="24"/>
        </w:rPr>
        <w:t>may request the </w:t>
      </w:r>
      <w:r>
        <w:rPr>
          <w:i/>
          <w:sz w:val="24"/>
        </w:rPr>
        <w:t>AER </w:t>
      </w:r>
      <w:r>
        <w:rPr>
          <w:sz w:val="24"/>
        </w:rPr>
        <w:t>to determine how the </w:t>
      </w:r>
      <w:r>
        <w:rPr>
          <w:i/>
          <w:sz w:val="24"/>
        </w:rPr>
        <w:t>Distribution Network Service Provider </w:t>
      </w:r>
      <w:r>
        <w:rPr>
          <w:sz w:val="24"/>
        </w:rPr>
        <w:t>is to report to the </w:t>
      </w:r>
      <w:r>
        <w:rPr>
          <w:i/>
          <w:sz w:val="24"/>
        </w:rPr>
        <w:t>AER </w:t>
      </w:r>
      <w:r>
        <w:rPr>
          <w:sz w:val="24"/>
        </w:rPr>
        <w:t>on its recovery of </w:t>
      </w:r>
      <w:r>
        <w:rPr>
          <w:i/>
          <w:sz w:val="24"/>
        </w:rPr>
        <w:t>jurisdictional scheme amounts </w:t>
      </w:r>
      <w:r>
        <w:rPr>
          <w:sz w:val="24"/>
        </w:rPr>
        <w:t>in respect of that scheme for each </w:t>
      </w:r>
      <w:r>
        <w:rPr>
          <w:i/>
          <w:sz w:val="24"/>
        </w:rPr>
        <w:t>regulatory year </w:t>
      </w:r>
      <w:r>
        <w:rPr>
          <w:sz w:val="24"/>
        </w:rPr>
        <w:t>of the </w:t>
      </w:r>
      <w:r>
        <w:rPr>
          <w:i/>
          <w:sz w:val="24"/>
        </w:rPr>
        <w:t>regulatory control period </w:t>
      </w:r>
      <w:r>
        <w:rPr>
          <w:sz w:val="24"/>
        </w:rPr>
        <w:t>and on the adjustments to be made to subsequent </w:t>
      </w:r>
      <w:r>
        <w:rPr>
          <w:i/>
          <w:sz w:val="24"/>
        </w:rPr>
        <w:t>pricing proposals </w:t>
      </w:r>
      <w:r>
        <w:rPr>
          <w:sz w:val="24"/>
        </w:rPr>
        <w:t>to account for over or under recovery of those amounts.</w:t>
      </w:r>
    </w:p>
    <w:p>
      <w:pPr>
        <w:pStyle w:val="ListParagraph"/>
        <w:numPr>
          <w:ilvl w:val="3"/>
          <w:numId w:val="413"/>
        </w:numPr>
        <w:tabs>
          <w:tab w:pos="1919" w:val="left" w:leader="none"/>
        </w:tabs>
        <w:spacing w:line="240" w:lineRule="auto" w:before="120" w:after="0"/>
        <w:ind w:left="1919" w:right="415" w:hanging="567"/>
        <w:jc w:val="both"/>
        <w:rPr>
          <w:sz w:val="24"/>
        </w:rPr>
      </w:pPr>
      <w:r>
        <w:rPr>
          <w:sz w:val="24"/>
        </w:rPr>
        <w:t>To make a request under paragraph (a), a </w:t>
      </w:r>
      <w:r>
        <w:rPr>
          <w:i/>
          <w:sz w:val="24"/>
        </w:rPr>
        <w:t>Distribution Network Service </w:t>
      </w:r>
      <w:r>
        <w:rPr>
          <w:i/>
          <w:sz w:val="24"/>
        </w:rPr>
        <w:t>Provider </w:t>
      </w:r>
      <w:r>
        <w:rPr>
          <w:sz w:val="24"/>
        </w:rPr>
        <w:t>must submit to the </w:t>
      </w:r>
      <w:r>
        <w:rPr>
          <w:i/>
          <w:sz w:val="24"/>
        </w:rPr>
        <w:t>AER</w:t>
      </w:r>
      <w:r>
        <w:rPr>
          <w:sz w:val="24"/>
        </w:rPr>
        <w:t>, as soon as practicable after the event referred to in subparagraph (a)(1) or (2), a written statement which  specifies:</w:t>
      </w:r>
    </w:p>
    <w:p>
      <w:pPr>
        <w:pStyle w:val="ListParagraph"/>
        <w:numPr>
          <w:ilvl w:val="4"/>
          <w:numId w:val="413"/>
        </w:numPr>
        <w:tabs>
          <w:tab w:pos="2485" w:val="left" w:leader="none"/>
          <w:tab w:pos="2486" w:val="left" w:leader="none"/>
        </w:tabs>
        <w:spacing w:line="240" w:lineRule="auto" w:before="120" w:after="0"/>
        <w:ind w:left="2485" w:right="0" w:hanging="567"/>
        <w:jc w:val="left"/>
        <w:rPr>
          <w:sz w:val="24"/>
        </w:rPr>
      </w:pPr>
      <w:r>
        <w:rPr>
          <w:sz w:val="24"/>
        </w:rPr>
        <w:t>the name of the relevant </w:t>
      </w:r>
      <w:r>
        <w:rPr>
          <w:i/>
          <w:sz w:val="24"/>
        </w:rPr>
        <w:t>jurisdictional</w:t>
      </w:r>
      <w:r>
        <w:rPr>
          <w:i/>
          <w:spacing w:val="-2"/>
          <w:sz w:val="24"/>
        </w:rPr>
        <w:t> </w:t>
      </w:r>
      <w:r>
        <w:rPr>
          <w:i/>
          <w:sz w:val="24"/>
        </w:rPr>
        <w:t>scheme</w:t>
      </w:r>
      <w:r>
        <w:rPr>
          <w:sz w:val="24"/>
        </w:rPr>
        <w:t>;</w:t>
      </w:r>
    </w:p>
    <w:p>
      <w:pPr>
        <w:pStyle w:val="ListParagraph"/>
        <w:numPr>
          <w:ilvl w:val="4"/>
          <w:numId w:val="413"/>
        </w:numPr>
        <w:tabs>
          <w:tab w:pos="2485" w:val="left" w:leader="none"/>
          <w:tab w:pos="2486" w:val="left" w:leader="none"/>
        </w:tabs>
        <w:spacing w:line="240" w:lineRule="auto" w:before="120" w:after="0"/>
        <w:ind w:left="2485" w:right="0" w:hanging="567"/>
        <w:jc w:val="left"/>
        <w:rPr>
          <w:sz w:val="24"/>
        </w:rPr>
      </w:pPr>
      <w:r>
        <w:rPr>
          <w:sz w:val="24"/>
        </w:rPr>
        <w:t>the date of the event referred to in subparagraph (a)(1) or</w:t>
      </w:r>
      <w:r>
        <w:rPr>
          <w:spacing w:val="-6"/>
          <w:sz w:val="24"/>
        </w:rPr>
        <w:t> </w:t>
      </w:r>
      <w:r>
        <w:rPr>
          <w:sz w:val="24"/>
        </w:rPr>
        <w:t>(2);</w:t>
      </w:r>
    </w:p>
    <w:p>
      <w:pPr>
        <w:pStyle w:val="ListParagraph"/>
        <w:numPr>
          <w:ilvl w:val="4"/>
          <w:numId w:val="413"/>
        </w:numPr>
        <w:tabs>
          <w:tab w:pos="2485" w:val="left" w:leader="none"/>
          <w:tab w:pos="2486" w:val="left" w:leader="none"/>
        </w:tabs>
        <w:spacing w:line="240" w:lineRule="auto" w:before="120" w:after="0"/>
        <w:ind w:left="2485" w:right="0" w:hanging="567"/>
        <w:jc w:val="left"/>
        <w:rPr>
          <w:sz w:val="24"/>
        </w:rPr>
      </w:pPr>
      <w:r>
        <w:rPr>
          <w:sz w:val="24"/>
        </w:rPr>
        <w:t>details of how the </w:t>
      </w:r>
      <w:r>
        <w:rPr>
          <w:i/>
          <w:sz w:val="24"/>
        </w:rPr>
        <w:t>Distribution Network Service Provider </w:t>
      </w:r>
      <w:r>
        <w:rPr>
          <w:sz w:val="24"/>
        </w:rPr>
        <w:t>proposes</w:t>
      </w:r>
      <w:r>
        <w:rPr>
          <w:spacing w:val="-6"/>
          <w:sz w:val="24"/>
        </w:rPr>
        <w:t> </w:t>
      </w:r>
      <w:r>
        <w:rPr>
          <w:sz w:val="24"/>
        </w:rPr>
        <w:t>to:</w:t>
      </w:r>
    </w:p>
    <w:p>
      <w:pPr>
        <w:pStyle w:val="ListParagraph"/>
        <w:numPr>
          <w:ilvl w:val="5"/>
          <w:numId w:val="413"/>
        </w:numPr>
        <w:tabs>
          <w:tab w:pos="2635" w:val="left" w:leader="none"/>
          <w:tab w:pos="3053" w:val="left" w:leader="none"/>
        </w:tabs>
        <w:spacing w:line="240" w:lineRule="auto" w:before="120" w:after="0"/>
        <w:ind w:left="3052" w:right="0" w:hanging="985"/>
        <w:jc w:val="left"/>
        <w:rPr>
          <w:sz w:val="24"/>
        </w:rPr>
      </w:pPr>
      <w:r>
        <w:rPr>
          <w:sz w:val="24"/>
        </w:rPr>
        <w:t>estimate</w:t>
      </w:r>
      <w:r>
        <w:rPr>
          <w:spacing w:val="19"/>
          <w:sz w:val="24"/>
        </w:rPr>
        <w:t> </w:t>
      </w:r>
      <w:r>
        <w:rPr>
          <w:sz w:val="24"/>
        </w:rPr>
        <w:t>the</w:t>
      </w:r>
      <w:r>
        <w:rPr>
          <w:spacing w:val="19"/>
          <w:sz w:val="24"/>
        </w:rPr>
        <w:t> </w:t>
      </w:r>
      <w:r>
        <w:rPr>
          <w:i/>
          <w:sz w:val="24"/>
        </w:rPr>
        <w:t>jurisdictional</w:t>
      </w:r>
      <w:r>
        <w:rPr>
          <w:i/>
          <w:spacing w:val="19"/>
          <w:sz w:val="24"/>
        </w:rPr>
        <w:t> </w:t>
      </w:r>
      <w:r>
        <w:rPr>
          <w:i/>
          <w:sz w:val="24"/>
        </w:rPr>
        <w:t>scheme</w:t>
      </w:r>
      <w:r>
        <w:rPr>
          <w:i/>
          <w:spacing w:val="20"/>
          <w:sz w:val="24"/>
        </w:rPr>
        <w:t> </w:t>
      </w:r>
      <w:r>
        <w:rPr>
          <w:i/>
          <w:sz w:val="24"/>
        </w:rPr>
        <w:t>amounts</w:t>
      </w:r>
      <w:r>
        <w:rPr>
          <w:i/>
          <w:spacing w:val="19"/>
          <w:sz w:val="24"/>
        </w:rPr>
        <w:t> </w:t>
      </w:r>
      <w:r>
        <w:rPr>
          <w:sz w:val="24"/>
        </w:rPr>
        <w:t>for</w:t>
      </w:r>
      <w:r>
        <w:rPr>
          <w:spacing w:val="19"/>
          <w:sz w:val="24"/>
        </w:rPr>
        <w:t> </w:t>
      </w:r>
      <w:r>
        <w:rPr>
          <w:sz w:val="24"/>
        </w:rPr>
        <w:t>the</w:t>
      </w:r>
      <w:r>
        <w:rPr>
          <w:spacing w:val="20"/>
          <w:sz w:val="24"/>
        </w:rPr>
        <w:t> </w:t>
      </w:r>
      <w:r>
        <w:rPr>
          <w:sz w:val="24"/>
        </w:rPr>
        <w:t>relevant</w:t>
      </w:r>
    </w:p>
    <w:p>
      <w:pPr>
        <w:spacing w:before="0"/>
        <w:ind w:left="2467" w:right="302" w:firstLine="0"/>
        <w:jc w:val="center"/>
        <w:rPr>
          <w:sz w:val="24"/>
        </w:rPr>
      </w:pPr>
      <w:r>
        <w:rPr>
          <w:i/>
          <w:sz w:val="24"/>
        </w:rPr>
        <w:t>jurisdictional scheme </w:t>
      </w:r>
      <w:r>
        <w:rPr>
          <w:sz w:val="24"/>
        </w:rPr>
        <w:t>for the purposes of clause 6.18.7A(b);</w:t>
      </w:r>
    </w:p>
    <w:p>
      <w:pPr>
        <w:pStyle w:val="ListParagraph"/>
        <w:numPr>
          <w:ilvl w:val="5"/>
          <w:numId w:val="413"/>
        </w:numPr>
        <w:tabs>
          <w:tab w:pos="3054" w:val="left" w:leader="none"/>
        </w:tabs>
        <w:spacing w:line="240" w:lineRule="auto" w:before="120" w:after="0"/>
        <w:ind w:left="3053" w:right="414" w:hanging="567"/>
        <w:jc w:val="both"/>
        <w:rPr>
          <w:sz w:val="24"/>
        </w:rPr>
      </w:pPr>
      <w:r>
        <w:rPr>
          <w:sz w:val="24"/>
        </w:rPr>
        <w:t>carry out any adjustments to </w:t>
      </w:r>
      <w:r>
        <w:rPr>
          <w:i/>
          <w:sz w:val="24"/>
        </w:rPr>
        <w:t>jurisdictional scheme amounts </w:t>
      </w:r>
      <w:r>
        <w:rPr>
          <w:sz w:val="24"/>
        </w:rPr>
        <w:t>for the relevant </w:t>
      </w:r>
      <w:r>
        <w:rPr>
          <w:i/>
          <w:sz w:val="24"/>
        </w:rPr>
        <w:t>jurisdictional scheme </w:t>
      </w:r>
      <w:r>
        <w:rPr>
          <w:sz w:val="24"/>
        </w:rPr>
        <w:t>for the purposes of</w:t>
      </w:r>
      <w:r>
        <w:rPr>
          <w:spacing w:val="34"/>
          <w:sz w:val="24"/>
        </w:rPr>
        <w:t> </w:t>
      </w:r>
      <w:r>
        <w:rPr>
          <w:sz w:val="24"/>
        </w:rPr>
        <w:t>clause 6.18.7A(b); and</w:t>
      </w:r>
    </w:p>
    <w:p>
      <w:pPr>
        <w:pStyle w:val="ListParagraph"/>
        <w:numPr>
          <w:ilvl w:val="5"/>
          <w:numId w:val="413"/>
        </w:numPr>
        <w:tabs>
          <w:tab w:pos="3053" w:val="left" w:leader="none"/>
        </w:tabs>
        <w:spacing w:line="240" w:lineRule="auto" w:before="120" w:after="0"/>
        <w:ind w:left="3052" w:right="0" w:hanging="567"/>
        <w:jc w:val="both"/>
        <w:rPr>
          <w:sz w:val="24"/>
        </w:rPr>
      </w:pPr>
      <w:r>
        <w:rPr>
          <w:sz w:val="24"/>
        </w:rPr>
        <w:t>report</w:t>
      </w:r>
      <w:r>
        <w:rPr>
          <w:spacing w:val="12"/>
          <w:sz w:val="24"/>
        </w:rPr>
        <w:t> </w:t>
      </w:r>
      <w:r>
        <w:rPr>
          <w:sz w:val="24"/>
        </w:rPr>
        <w:t>to</w:t>
      </w:r>
      <w:r>
        <w:rPr>
          <w:spacing w:val="13"/>
          <w:sz w:val="24"/>
        </w:rPr>
        <w:t> </w:t>
      </w:r>
      <w:r>
        <w:rPr>
          <w:sz w:val="24"/>
        </w:rPr>
        <w:t>the</w:t>
      </w:r>
      <w:r>
        <w:rPr>
          <w:spacing w:val="13"/>
          <w:sz w:val="24"/>
        </w:rPr>
        <w:t> </w:t>
      </w:r>
      <w:r>
        <w:rPr>
          <w:i/>
          <w:sz w:val="24"/>
        </w:rPr>
        <w:t>AER</w:t>
      </w:r>
      <w:r>
        <w:rPr>
          <w:i/>
          <w:spacing w:val="13"/>
          <w:sz w:val="24"/>
        </w:rPr>
        <w:t> </w:t>
      </w:r>
      <w:r>
        <w:rPr>
          <w:sz w:val="24"/>
        </w:rPr>
        <w:t>on</w:t>
      </w:r>
      <w:r>
        <w:rPr>
          <w:spacing w:val="13"/>
          <w:sz w:val="24"/>
        </w:rPr>
        <w:t> </w:t>
      </w:r>
      <w:r>
        <w:rPr>
          <w:sz w:val="24"/>
        </w:rPr>
        <w:t>the</w:t>
      </w:r>
      <w:r>
        <w:rPr>
          <w:spacing w:val="12"/>
          <w:sz w:val="24"/>
        </w:rPr>
        <w:t> </w:t>
      </w:r>
      <w:r>
        <w:rPr>
          <w:sz w:val="24"/>
        </w:rPr>
        <w:t>recovery</w:t>
      </w:r>
      <w:r>
        <w:rPr>
          <w:spacing w:val="13"/>
          <w:sz w:val="24"/>
        </w:rPr>
        <w:t> </w:t>
      </w:r>
      <w:r>
        <w:rPr>
          <w:sz w:val="24"/>
        </w:rPr>
        <w:t>process</w:t>
      </w:r>
      <w:r>
        <w:rPr>
          <w:spacing w:val="12"/>
          <w:sz w:val="24"/>
        </w:rPr>
        <w:t> </w:t>
      </w:r>
      <w:r>
        <w:rPr>
          <w:sz w:val="24"/>
        </w:rPr>
        <w:t>under</w:t>
      </w:r>
      <w:r>
        <w:rPr>
          <w:spacing w:val="13"/>
          <w:sz w:val="24"/>
        </w:rPr>
        <w:t> </w:t>
      </w:r>
      <w:r>
        <w:rPr>
          <w:sz w:val="24"/>
        </w:rPr>
        <w:t>clause</w:t>
      </w:r>
      <w:r>
        <w:rPr>
          <w:spacing w:val="13"/>
          <w:sz w:val="24"/>
        </w:rPr>
        <w:t> </w:t>
      </w:r>
      <w:r>
        <w:rPr>
          <w:sz w:val="24"/>
        </w:rPr>
        <w:t>6.18.7A</w:t>
      </w:r>
    </w:p>
    <w:p>
      <w:pPr>
        <w:pStyle w:val="ListParagraph"/>
        <w:numPr>
          <w:ilvl w:val="6"/>
          <w:numId w:val="413"/>
        </w:numPr>
        <w:tabs>
          <w:tab w:pos="3380" w:val="left" w:leader="none"/>
        </w:tabs>
        <w:spacing w:line="240" w:lineRule="auto" w:before="0" w:after="0"/>
        <w:ind w:left="3379" w:right="0" w:hanging="327"/>
        <w:jc w:val="both"/>
        <w:rPr>
          <w:sz w:val="24"/>
        </w:rPr>
      </w:pPr>
      <w:r>
        <w:rPr>
          <w:sz w:val="24"/>
        </w:rPr>
        <w:t>to (c).</w:t>
      </w:r>
    </w:p>
    <w:p>
      <w:pPr>
        <w:pStyle w:val="ListParagraph"/>
        <w:numPr>
          <w:ilvl w:val="3"/>
          <w:numId w:val="413"/>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as soon as practicable after receiving a statement under paragraph (b), </w:t>
      </w:r>
      <w:r>
        <w:rPr>
          <w:i/>
          <w:sz w:val="24"/>
        </w:rPr>
        <w:t>publish </w:t>
      </w:r>
      <w:r>
        <w:rPr>
          <w:sz w:val="24"/>
        </w:rPr>
        <w:t>the</w:t>
      </w:r>
      <w:r>
        <w:rPr>
          <w:spacing w:val="-1"/>
          <w:sz w:val="24"/>
        </w:rPr>
        <w:t> </w:t>
      </w:r>
      <w:r>
        <w:rPr>
          <w:sz w:val="24"/>
        </w:rPr>
        <w:t>statement.</w:t>
      </w:r>
    </w:p>
    <w:p>
      <w:pPr>
        <w:pStyle w:val="ListParagraph"/>
        <w:numPr>
          <w:ilvl w:val="3"/>
          <w:numId w:val="413"/>
        </w:numPr>
        <w:tabs>
          <w:tab w:pos="1919" w:val="left" w:leader="none"/>
        </w:tabs>
        <w:spacing w:line="240" w:lineRule="auto" w:before="120" w:after="0"/>
        <w:ind w:left="1919" w:right="414" w:hanging="567"/>
        <w:jc w:val="both"/>
        <w:rPr>
          <w:sz w:val="24"/>
        </w:rPr>
      </w:pPr>
      <w:r>
        <w:rPr>
          <w:sz w:val="24"/>
        </w:rPr>
        <w:t>Before making a determination under paragraph (e), the </w:t>
      </w:r>
      <w:r>
        <w:rPr>
          <w:i/>
          <w:sz w:val="24"/>
        </w:rPr>
        <w:t>AER </w:t>
      </w:r>
      <w:r>
        <w:rPr>
          <w:sz w:val="24"/>
        </w:rPr>
        <w:t>may consult with the relevant </w:t>
      </w:r>
      <w:r>
        <w:rPr>
          <w:i/>
          <w:sz w:val="24"/>
        </w:rPr>
        <w:t>Distribution Network Service Provider </w:t>
      </w:r>
      <w:r>
        <w:rPr>
          <w:sz w:val="24"/>
        </w:rPr>
        <w:t>and such other persons as the </w:t>
      </w:r>
      <w:r>
        <w:rPr>
          <w:i/>
          <w:sz w:val="24"/>
        </w:rPr>
        <w:t>AER </w:t>
      </w:r>
      <w:r>
        <w:rPr>
          <w:sz w:val="24"/>
        </w:rPr>
        <w:t>considers appropriate, on any matters arising out of the statement the </w:t>
      </w:r>
      <w:r>
        <w:rPr>
          <w:i/>
          <w:sz w:val="24"/>
        </w:rPr>
        <w:t>AER </w:t>
      </w:r>
      <w:r>
        <w:rPr>
          <w:sz w:val="24"/>
        </w:rPr>
        <w:t>considers</w:t>
      </w:r>
      <w:r>
        <w:rPr>
          <w:spacing w:val="-1"/>
          <w:sz w:val="24"/>
        </w:rPr>
        <w:t> </w:t>
      </w:r>
      <w:r>
        <w:rPr>
          <w:sz w:val="24"/>
        </w:rPr>
        <w:t>appropriate.</w:t>
      </w:r>
    </w:p>
    <w:p>
      <w:pPr>
        <w:pStyle w:val="ListParagraph"/>
        <w:numPr>
          <w:ilvl w:val="3"/>
          <w:numId w:val="413"/>
        </w:numPr>
        <w:tabs>
          <w:tab w:pos="1919" w:val="left" w:leader="none"/>
        </w:tabs>
        <w:spacing w:line="240" w:lineRule="auto" w:before="120" w:after="0"/>
        <w:ind w:left="1919" w:right="415" w:hanging="567"/>
        <w:jc w:val="both"/>
        <w:rPr>
          <w:i/>
          <w:sz w:val="24"/>
        </w:rPr>
      </w:pPr>
      <w:r>
        <w:rPr>
          <w:sz w:val="24"/>
        </w:rPr>
        <w:t>Within 60 </w:t>
      </w:r>
      <w:r>
        <w:rPr>
          <w:i/>
          <w:sz w:val="24"/>
        </w:rPr>
        <w:t>business days </w:t>
      </w:r>
      <w:r>
        <w:rPr>
          <w:sz w:val="24"/>
        </w:rPr>
        <w:t>of receiving the statement under paragraph (b), the </w:t>
      </w:r>
      <w:r>
        <w:rPr>
          <w:i/>
          <w:sz w:val="24"/>
        </w:rPr>
        <w:t>AER </w:t>
      </w:r>
      <w:r>
        <w:rPr>
          <w:sz w:val="24"/>
        </w:rPr>
        <w:t>must make a determination on how the </w:t>
      </w:r>
      <w:r>
        <w:rPr>
          <w:i/>
          <w:sz w:val="24"/>
        </w:rPr>
        <w:t>Distribution Network Service </w:t>
      </w:r>
      <w:r>
        <w:rPr>
          <w:i/>
          <w:sz w:val="24"/>
        </w:rPr>
        <w:t>Provider</w:t>
      </w:r>
      <w:r>
        <w:rPr>
          <w:i/>
          <w:spacing w:val="36"/>
          <w:sz w:val="24"/>
        </w:rPr>
        <w:t> </w:t>
      </w:r>
      <w:r>
        <w:rPr>
          <w:sz w:val="24"/>
        </w:rPr>
        <w:t>is</w:t>
      </w:r>
      <w:r>
        <w:rPr>
          <w:spacing w:val="36"/>
          <w:sz w:val="24"/>
        </w:rPr>
        <w:t> </w:t>
      </w:r>
      <w:r>
        <w:rPr>
          <w:sz w:val="24"/>
        </w:rPr>
        <w:t>to</w:t>
      </w:r>
      <w:r>
        <w:rPr>
          <w:spacing w:val="37"/>
          <w:sz w:val="24"/>
        </w:rPr>
        <w:t> </w:t>
      </w:r>
      <w:r>
        <w:rPr>
          <w:sz w:val="24"/>
        </w:rPr>
        <w:t>report</w:t>
      </w:r>
      <w:r>
        <w:rPr>
          <w:spacing w:val="36"/>
          <w:sz w:val="24"/>
        </w:rPr>
        <w:t> </w:t>
      </w:r>
      <w:r>
        <w:rPr>
          <w:sz w:val="24"/>
        </w:rPr>
        <w:t>to</w:t>
      </w:r>
      <w:r>
        <w:rPr>
          <w:spacing w:val="36"/>
          <w:sz w:val="24"/>
        </w:rPr>
        <w:t> </w:t>
      </w:r>
      <w:r>
        <w:rPr>
          <w:sz w:val="24"/>
        </w:rPr>
        <w:t>the</w:t>
      </w:r>
      <w:r>
        <w:rPr>
          <w:spacing w:val="37"/>
          <w:sz w:val="24"/>
        </w:rPr>
        <w:t> </w:t>
      </w:r>
      <w:r>
        <w:rPr>
          <w:i/>
          <w:sz w:val="24"/>
        </w:rPr>
        <w:t>AER</w:t>
      </w:r>
      <w:r>
        <w:rPr>
          <w:i/>
          <w:spacing w:val="36"/>
          <w:sz w:val="24"/>
        </w:rPr>
        <w:t> </w:t>
      </w:r>
      <w:r>
        <w:rPr>
          <w:sz w:val="24"/>
        </w:rPr>
        <w:t>on</w:t>
      </w:r>
      <w:r>
        <w:rPr>
          <w:spacing w:val="36"/>
          <w:sz w:val="24"/>
        </w:rPr>
        <w:t> </w:t>
      </w:r>
      <w:r>
        <w:rPr>
          <w:sz w:val="24"/>
        </w:rPr>
        <w:t>its</w:t>
      </w:r>
      <w:r>
        <w:rPr>
          <w:spacing w:val="37"/>
          <w:sz w:val="24"/>
        </w:rPr>
        <w:t> </w:t>
      </w:r>
      <w:r>
        <w:rPr>
          <w:sz w:val="24"/>
        </w:rPr>
        <w:t>recovery</w:t>
      </w:r>
      <w:r>
        <w:rPr>
          <w:spacing w:val="36"/>
          <w:sz w:val="24"/>
        </w:rPr>
        <w:t> </w:t>
      </w:r>
      <w:r>
        <w:rPr>
          <w:sz w:val="24"/>
        </w:rPr>
        <w:t>of</w:t>
      </w:r>
      <w:r>
        <w:rPr>
          <w:spacing w:val="36"/>
          <w:sz w:val="24"/>
        </w:rPr>
        <w:t> </w:t>
      </w:r>
      <w:r>
        <w:rPr>
          <w:i/>
          <w:sz w:val="24"/>
        </w:rPr>
        <w:t>jurisdictional</w:t>
      </w:r>
      <w:r>
        <w:rPr>
          <w:i/>
          <w:spacing w:val="37"/>
          <w:sz w:val="24"/>
        </w:rPr>
        <w:t> </w:t>
      </w:r>
      <w:r>
        <w:rPr>
          <w:i/>
          <w:sz w:val="24"/>
        </w:rPr>
        <w:t>scheme</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i/>
          <w:sz w:val="24"/>
        </w:rPr>
        <w:t>amounts </w:t>
      </w:r>
      <w:r>
        <w:rPr>
          <w:sz w:val="24"/>
        </w:rPr>
        <w:t>for the relevant </w:t>
      </w:r>
      <w:r>
        <w:rPr>
          <w:i/>
          <w:sz w:val="24"/>
        </w:rPr>
        <w:t>jurisdictional scheme </w:t>
      </w:r>
      <w:r>
        <w:rPr>
          <w:sz w:val="24"/>
        </w:rPr>
        <w:t>for each </w:t>
      </w:r>
      <w:r>
        <w:rPr>
          <w:i/>
          <w:sz w:val="24"/>
        </w:rPr>
        <w:t>regulatory year </w:t>
      </w:r>
      <w:r>
        <w:rPr>
          <w:sz w:val="24"/>
        </w:rPr>
        <w:t>of the </w:t>
      </w:r>
      <w:r>
        <w:rPr>
          <w:i/>
          <w:sz w:val="24"/>
        </w:rPr>
        <w:t>regulatory control period </w:t>
      </w:r>
      <w:r>
        <w:rPr>
          <w:sz w:val="24"/>
        </w:rPr>
        <w:t>and on the adjustments to be made to subsequent </w:t>
      </w:r>
      <w:r>
        <w:rPr>
          <w:i/>
          <w:sz w:val="24"/>
        </w:rPr>
        <w:t>pricing proposals </w:t>
      </w:r>
      <w:r>
        <w:rPr>
          <w:sz w:val="24"/>
        </w:rPr>
        <w:t>to account for over or under recovery of those amounts.</w:t>
      </w:r>
    </w:p>
    <w:p>
      <w:pPr>
        <w:pStyle w:val="ListParagraph"/>
        <w:numPr>
          <w:ilvl w:val="3"/>
          <w:numId w:val="413"/>
        </w:numPr>
        <w:tabs>
          <w:tab w:pos="1920" w:val="left" w:leader="none"/>
        </w:tabs>
        <w:spacing w:line="240" w:lineRule="auto" w:before="120" w:after="0"/>
        <w:ind w:left="1919" w:right="414" w:hanging="567"/>
        <w:jc w:val="both"/>
        <w:rPr>
          <w:sz w:val="24"/>
        </w:rPr>
      </w:pPr>
      <w:r>
        <w:rPr>
          <w:sz w:val="24"/>
        </w:rPr>
        <w:t>If the </w:t>
      </w:r>
      <w:r>
        <w:rPr>
          <w:i/>
          <w:sz w:val="24"/>
        </w:rPr>
        <w:t>AER </w:t>
      </w:r>
      <w:r>
        <w:rPr>
          <w:sz w:val="24"/>
        </w:rPr>
        <w:t>does not make the determination referred to in paragraph (e) within 60 </w:t>
      </w:r>
      <w:r>
        <w:rPr>
          <w:i/>
          <w:sz w:val="24"/>
        </w:rPr>
        <w:t>business days </w:t>
      </w:r>
      <w:r>
        <w:rPr>
          <w:sz w:val="24"/>
        </w:rPr>
        <w:t>of receiving the statement under paragraph (b) then, on expiry of that period, the </w:t>
      </w:r>
      <w:r>
        <w:rPr>
          <w:i/>
          <w:sz w:val="24"/>
        </w:rPr>
        <w:t>AER </w:t>
      </w:r>
      <w:r>
        <w:rPr>
          <w:sz w:val="24"/>
        </w:rPr>
        <w:t>is taken to have approved the process proposed in the </w:t>
      </w:r>
      <w:r>
        <w:rPr>
          <w:i/>
          <w:sz w:val="24"/>
        </w:rPr>
        <w:t>Distribution Network Service Provider's</w:t>
      </w:r>
      <w:r>
        <w:rPr>
          <w:i/>
          <w:spacing w:val="-4"/>
          <w:sz w:val="24"/>
        </w:rPr>
        <w:t> </w:t>
      </w:r>
      <w:r>
        <w:rPr>
          <w:sz w:val="24"/>
        </w:rPr>
        <w:t>statement.</w:t>
      </w:r>
    </w:p>
    <w:p>
      <w:pPr>
        <w:pStyle w:val="BodyText"/>
        <w:spacing w:before="10"/>
        <w:ind w:firstLine="0"/>
        <w:jc w:val="left"/>
        <w:rPr>
          <w:sz w:val="20"/>
        </w:rPr>
      </w:pPr>
    </w:p>
    <w:p>
      <w:pPr>
        <w:pStyle w:val="Heading4"/>
        <w:numPr>
          <w:ilvl w:val="2"/>
          <w:numId w:val="413"/>
        </w:numPr>
        <w:tabs>
          <w:tab w:pos="1351" w:val="left" w:leader="none"/>
          <w:tab w:pos="1352" w:val="left" w:leader="none"/>
        </w:tabs>
        <w:spacing w:line="240" w:lineRule="auto" w:before="0" w:after="0"/>
        <w:ind w:left="1351" w:right="0" w:hanging="1134"/>
        <w:jc w:val="left"/>
      </w:pPr>
      <w:bookmarkStart w:name="6.6.2 Service target performance incenti" w:id="1376"/>
      <w:bookmarkEnd w:id="1376"/>
      <w:r>
        <w:rPr>
          <w:b w:val="0"/>
        </w:rPr>
      </w:r>
      <w:bookmarkStart w:name="_bookmark558" w:id="1377"/>
      <w:bookmarkEnd w:id="1377"/>
      <w:r>
        <w:rPr>
          <w:b w:val="0"/>
        </w:rPr>
      </w:r>
      <w:bookmarkStart w:name="_bookmark558" w:id="1378"/>
      <w:bookmarkEnd w:id="1378"/>
      <w:r>
        <w:rPr/>
        <w:t>Service</w:t>
      </w:r>
      <w:r>
        <w:rPr/>
        <w:t> target performance incentive</w:t>
      </w:r>
      <w:r>
        <w:rPr>
          <w:spacing w:val="-4"/>
        </w:rPr>
        <w:t> </w:t>
      </w:r>
      <w:r>
        <w:rPr/>
        <w:t>scheme</w:t>
      </w:r>
    </w:p>
    <w:p>
      <w:pPr>
        <w:pStyle w:val="ListParagraph"/>
        <w:numPr>
          <w:ilvl w:val="3"/>
          <w:numId w:val="413"/>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develop and </w:t>
      </w:r>
      <w:r>
        <w:rPr>
          <w:i/>
          <w:sz w:val="24"/>
        </w:rPr>
        <w:t>publish </w:t>
      </w:r>
      <w:r>
        <w:rPr>
          <w:sz w:val="24"/>
        </w:rPr>
        <w:t>an incentive scheme or schemes (</w:t>
      </w:r>
      <w:r>
        <w:rPr>
          <w:i/>
          <w:sz w:val="24"/>
        </w:rPr>
        <w:t>service target </w:t>
      </w:r>
      <w:r>
        <w:rPr>
          <w:i/>
          <w:sz w:val="24"/>
        </w:rPr>
        <w:t>performance incentive scheme</w:t>
      </w:r>
      <w:r>
        <w:rPr>
          <w:sz w:val="24"/>
        </w:rPr>
        <w:t>) to provide incentives (which may include targets) for </w:t>
      </w:r>
      <w:r>
        <w:rPr>
          <w:i/>
          <w:sz w:val="24"/>
        </w:rPr>
        <w:t>Distribution Network Service Providers </w:t>
      </w:r>
      <w:r>
        <w:rPr>
          <w:sz w:val="24"/>
        </w:rPr>
        <w:t>to maintain and improve performance.</w:t>
      </w:r>
    </w:p>
    <w:p>
      <w:pPr>
        <w:pStyle w:val="ListParagraph"/>
        <w:numPr>
          <w:ilvl w:val="3"/>
          <w:numId w:val="413"/>
        </w:numPr>
        <w:tabs>
          <w:tab w:pos="1919" w:val="left" w:leader="none"/>
        </w:tabs>
        <w:spacing w:line="240" w:lineRule="auto" w:before="120" w:after="0"/>
        <w:ind w:left="1919" w:right="416" w:hanging="567"/>
        <w:jc w:val="both"/>
        <w:rPr>
          <w:sz w:val="24"/>
        </w:rPr>
      </w:pPr>
      <w:r>
        <w:rPr>
          <w:sz w:val="24"/>
        </w:rPr>
        <w:t>In developing and implementing a </w:t>
      </w:r>
      <w:r>
        <w:rPr>
          <w:i/>
          <w:sz w:val="24"/>
        </w:rPr>
        <w:t>service target performance incentive </w:t>
      </w:r>
      <w:r>
        <w:rPr>
          <w:i/>
          <w:sz w:val="24"/>
        </w:rPr>
        <w:t>scheme</w:t>
      </w:r>
      <w:r>
        <w:rPr>
          <w:sz w:val="24"/>
        </w:rPr>
        <w:t>, the</w:t>
      </w:r>
      <w:r>
        <w:rPr>
          <w:spacing w:val="-2"/>
          <w:sz w:val="24"/>
        </w:rPr>
        <w:t> </w:t>
      </w:r>
      <w:r>
        <w:rPr>
          <w:i/>
          <w:sz w:val="24"/>
        </w:rPr>
        <w:t>AER</w:t>
      </w:r>
      <w:r>
        <w:rPr>
          <w:sz w:val="24"/>
        </w:rPr>
        <w:t>:</w:t>
      </w:r>
    </w:p>
    <w:p>
      <w:pPr>
        <w:pStyle w:val="ListParagraph"/>
        <w:numPr>
          <w:ilvl w:val="4"/>
          <w:numId w:val="413"/>
        </w:numPr>
        <w:tabs>
          <w:tab w:pos="2486" w:val="left" w:leader="none"/>
        </w:tabs>
        <w:spacing w:line="240" w:lineRule="auto" w:before="120" w:after="0"/>
        <w:ind w:left="2486" w:right="415" w:hanging="567"/>
        <w:jc w:val="both"/>
        <w:rPr>
          <w:sz w:val="24"/>
        </w:rPr>
      </w:pPr>
      <w:r>
        <w:rPr>
          <w:sz w:val="24"/>
        </w:rPr>
        <w:t>must consult with the authorities responsible for the administration of relevant </w:t>
      </w:r>
      <w:r>
        <w:rPr>
          <w:i/>
          <w:sz w:val="24"/>
        </w:rPr>
        <w:t>jurisdictional electricity legislation</w:t>
      </w:r>
      <w:r>
        <w:rPr>
          <w:sz w:val="24"/>
        </w:rPr>
        <w:t>;</w:t>
      </w:r>
      <w:r>
        <w:rPr>
          <w:spacing w:val="-2"/>
          <w:sz w:val="24"/>
        </w:rPr>
        <w:t> </w:t>
      </w:r>
      <w:r>
        <w:rPr>
          <w:sz w:val="24"/>
        </w:rPr>
        <w:t>and</w:t>
      </w:r>
    </w:p>
    <w:p>
      <w:pPr>
        <w:pStyle w:val="ListParagraph"/>
        <w:numPr>
          <w:ilvl w:val="4"/>
          <w:numId w:val="413"/>
        </w:numPr>
        <w:tabs>
          <w:tab w:pos="2486" w:val="left" w:leader="none"/>
        </w:tabs>
        <w:spacing w:line="240" w:lineRule="auto" w:before="120" w:after="0"/>
        <w:ind w:left="2486" w:right="416" w:hanging="567"/>
        <w:jc w:val="both"/>
        <w:rPr>
          <w:sz w:val="24"/>
        </w:rPr>
      </w:pPr>
      <w:r>
        <w:rPr>
          <w:sz w:val="24"/>
        </w:rPr>
        <w:t>must ensure that service standards and service targets (including guaranteed service levels) set by the scheme do not put at risk the </w:t>
      </w:r>
      <w:r>
        <w:rPr>
          <w:i/>
          <w:sz w:val="24"/>
        </w:rPr>
        <w:t>Distribution Network Service Provider's </w:t>
      </w:r>
      <w:r>
        <w:rPr>
          <w:sz w:val="24"/>
        </w:rPr>
        <w:t>ability to comply with relevant service standards and service targets (including guaranteed service levels) as specified in </w:t>
      </w:r>
      <w:r>
        <w:rPr>
          <w:i/>
          <w:sz w:val="24"/>
        </w:rPr>
        <w:t>jurisdictional electricity legislation</w:t>
      </w:r>
      <w:r>
        <w:rPr>
          <w:sz w:val="24"/>
        </w:rPr>
        <w:t>;</w:t>
      </w:r>
      <w:r>
        <w:rPr>
          <w:spacing w:val="-17"/>
          <w:sz w:val="24"/>
        </w:rPr>
        <w:t> </w:t>
      </w:r>
      <w:r>
        <w:rPr>
          <w:sz w:val="24"/>
        </w:rPr>
        <w:t>and</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A </w:t>
      </w:r>
      <w:r>
        <w:rPr>
          <w:i/>
          <w:sz w:val="20"/>
        </w:rPr>
        <w:t>service target performance incentive scheme </w:t>
      </w:r>
      <w:r>
        <w:rPr>
          <w:sz w:val="20"/>
        </w:rPr>
        <w:t>operates concurrently with any average or minimum service standards and guaranteed service level schemes that apply to the </w:t>
      </w:r>
      <w:r>
        <w:rPr>
          <w:i/>
          <w:sz w:val="20"/>
        </w:rPr>
        <w:t>Distribution Network Service Provider </w:t>
      </w:r>
      <w:r>
        <w:rPr>
          <w:sz w:val="20"/>
        </w:rPr>
        <w:t>under </w:t>
      </w:r>
      <w:r>
        <w:rPr>
          <w:i/>
          <w:sz w:val="20"/>
        </w:rPr>
        <w:t>jurisdictional electricity legislation</w:t>
      </w:r>
      <w:r>
        <w:rPr>
          <w:sz w:val="20"/>
        </w:rPr>
        <w:t>.</w:t>
      </w:r>
    </w:p>
    <w:p>
      <w:pPr>
        <w:pStyle w:val="ListParagraph"/>
        <w:numPr>
          <w:ilvl w:val="4"/>
          <w:numId w:val="413"/>
        </w:numPr>
        <w:tabs>
          <w:tab w:pos="2486" w:val="left" w:leader="none"/>
        </w:tabs>
        <w:spacing w:line="240" w:lineRule="auto" w:before="120" w:after="0"/>
        <w:ind w:left="2485" w:right="0" w:hanging="567"/>
        <w:jc w:val="both"/>
        <w:rPr>
          <w:sz w:val="24"/>
        </w:rPr>
      </w:pPr>
      <w:r>
        <w:rPr>
          <w:sz w:val="24"/>
        </w:rPr>
        <w:t>must take into</w:t>
      </w:r>
      <w:r>
        <w:rPr>
          <w:spacing w:val="-1"/>
          <w:sz w:val="24"/>
        </w:rPr>
        <w:t> </w:t>
      </w:r>
      <w:r>
        <w:rPr>
          <w:sz w:val="24"/>
        </w:rPr>
        <w:t>account:</w:t>
      </w:r>
    </w:p>
    <w:p>
      <w:pPr>
        <w:pStyle w:val="ListParagraph"/>
        <w:numPr>
          <w:ilvl w:val="5"/>
          <w:numId w:val="413"/>
        </w:numPr>
        <w:tabs>
          <w:tab w:pos="3053" w:val="left" w:leader="none"/>
        </w:tabs>
        <w:spacing w:line="240" w:lineRule="auto" w:before="120" w:after="0"/>
        <w:ind w:left="3053" w:right="415" w:hanging="567"/>
        <w:jc w:val="both"/>
        <w:rPr>
          <w:sz w:val="24"/>
        </w:rPr>
      </w:pPr>
      <w:r>
        <w:rPr>
          <w:sz w:val="24"/>
        </w:rPr>
        <w:t>the need to ensure that benefits to electricity consumers likely to result from the scheme are sufficient to warrant any reward or penalty under the scheme for </w:t>
      </w:r>
      <w:r>
        <w:rPr>
          <w:i/>
          <w:sz w:val="24"/>
        </w:rPr>
        <w:t>Distribution Network Service </w:t>
      </w:r>
      <w:r>
        <w:rPr>
          <w:i/>
          <w:sz w:val="24"/>
        </w:rPr>
        <w:t>Providers</w:t>
      </w:r>
      <w:r>
        <w:rPr>
          <w:sz w:val="24"/>
        </w:rPr>
        <w:t>; and</w:t>
      </w:r>
    </w:p>
    <w:p>
      <w:pPr>
        <w:pStyle w:val="ListParagraph"/>
        <w:numPr>
          <w:ilvl w:val="5"/>
          <w:numId w:val="413"/>
        </w:numPr>
        <w:tabs>
          <w:tab w:pos="3054" w:val="left" w:leader="none"/>
        </w:tabs>
        <w:spacing w:line="240" w:lineRule="auto" w:before="120" w:after="0"/>
        <w:ind w:left="3053" w:right="0" w:hanging="568"/>
        <w:jc w:val="both"/>
        <w:rPr>
          <w:sz w:val="24"/>
        </w:rPr>
      </w:pPr>
      <w:r>
        <w:rPr>
          <w:sz w:val="24"/>
        </w:rPr>
        <w:t>any</w:t>
      </w:r>
      <w:r>
        <w:rPr>
          <w:spacing w:val="22"/>
          <w:sz w:val="24"/>
        </w:rPr>
        <w:t> </w:t>
      </w:r>
      <w:r>
        <w:rPr>
          <w:i/>
          <w:sz w:val="24"/>
        </w:rPr>
        <w:t>regulatory</w:t>
      </w:r>
      <w:r>
        <w:rPr>
          <w:i/>
          <w:spacing w:val="23"/>
          <w:sz w:val="24"/>
        </w:rPr>
        <w:t> </w:t>
      </w:r>
      <w:r>
        <w:rPr>
          <w:i/>
          <w:sz w:val="24"/>
        </w:rPr>
        <w:t>obligation</w:t>
      </w:r>
      <w:r>
        <w:rPr>
          <w:i/>
          <w:spacing w:val="23"/>
          <w:sz w:val="24"/>
        </w:rPr>
        <w:t> </w:t>
      </w:r>
      <w:r>
        <w:rPr>
          <w:i/>
          <w:sz w:val="24"/>
        </w:rPr>
        <w:t>or</w:t>
      </w:r>
      <w:r>
        <w:rPr>
          <w:i/>
          <w:spacing w:val="23"/>
          <w:sz w:val="24"/>
        </w:rPr>
        <w:t> </w:t>
      </w:r>
      <w:r>
        <w:rPr>
          <w:i/>
          <w:sz w:val="24"/>
        </w:rPr>
        <w:t>requirement</w:t>
      </w:r>
      <w:r>
        <w:rPr>
          <w:i/>
          <w:spacing w:val="23"/>
          <w:sz w:val="24"/>
        </w:rPr>
        <w:t> </w:t>
      </w:r>
      <w:r>
        <w:rPr>
          <w:sz w:val="24"/>
        </w:rPr>
        <w:t>to</w:t>
      </w:r>
      <w:r>
        <w:rPr>
          <w:spacing w:val="22"/>
          <w:sz w:val="24"/>
        </w:rPr>
        <w:t> </w:t>
      </w:r>
      <w:r>
        <w:rPr>
          <w:sz w:val="24"/>
        </w:rPr>
        <w:t>which</w:t>
      </w:r>
      <w:r>
        <w:rPr>
          <w:spacing w:val="23"/>
          <w:sz w:val="24"/>
        </w:rPr>
        <w:t> </w:t>
      </w:r>
      <w:r>
        <w:rPr>
          <w:sz w:val="24"/>
        </w:rPr>
        <w:t>the</w:t>
      </w:r>
    </w:p>
    <w:p>
      <w:pPr>
        <w:spacing w:before="0"/>
        <w:ind w:left="3053" w:right="0" w:firstLine="0"/>
        <w:jc w:val="both"/>
        <w:rPr>
          <w:sz w:val="24"/>
        </w:rPr>
      </w:pPr>
      <w:r>
        <w:rPr>
          <w:i/>
          <w:sz w:val="24"/>
        </w:rPr>
        <w:t>Distribution Network Service Provider </w:t>
      </w:r>
      <w:r>
        <w:rPr>
          <w:sz w:val="24"/>
        </w:rPr>
        <w:t>is subject; and</w:t>
      </w:r>
    </w:p>
    <w:p>
      <w:pPr>
        <w:pStyle w:val="ListParagraph"/>
        <w:numPr>
          <w:ilvl w:val="5"/>
          <w:numId w:val="413"/>
        </w:numPr>
        <w:tabs>
          <w:tab w:pos="3053" w:val="left" w:leader="none"/>
        </w:tabs>
        <w:spacing w:line="240" w:lineRule="auto" w:before="120" w:after="0"/>
        <w:ind w:left="3052" w:right="0" w:hanging="567"/>
        <w:jc w:val="both"/>
        <w:rPr>
          <w:sz w:val="24"/>
        </w:rPr>
      </w:pPr>
      <w:r>
        <w:rPr>
          <w:sz w:val="24"/>
        </w:rPr>
        <w:t>the past performance of the </w:t>
      </w:r>
      <w:r>
        <w:rPr>
          <w:i/>
          <w:sz w:val="24"/>
        </w:rPr>
        <w:t>distribution network</w:t>
      </w:r>
      <w:r>
        <w:rPr>
          <w:sz w:val="24"/>
        </w:rPr>
        <w:t>;</w:t>
      </w:r>
      <w:r>
        <w:rPr>
          <w:spacing w:val="-1"/>
          <w:sz w:val="24"/>
        </w:rPr>
        <w:t> </w:t>
      </w:r>
      <w:r>
        <w:rPr>
          <w:sz w:val="24"/>
        </w:rPr>
        <w:t>and</w:t>
      </w:r>
    </w:p>
    <w:p>
      <w:pPr>
        <w:pStyle w:val="ListParagraph"/>
        <w:numPr>
          <w:ilvl w:val="5"/>
          <w:numId w:val="413"/>
        </w:numPr>
        <w:tabs>
          <w:tab w:pos="3054" w:val="left" w:leader="none"/>
        </w:tabs>
        <w:spacing w:line="240" w:lineRule="auto" w:before="120" w:after="0"/>
        <w:ind w:left="3053" w:right="416" w:hanging="567"/>
        <w:jc w:val="both"/>
        <w:rPr>
          <w:sz w:val="24"/>
        </w:rPr>
      </w:pPr>
      <w:r>
        <w:rPr>
          <w:sz w:val="24"/>
        </w:rPr>
        <w:t>any other incentives available to the </w:t>
      </w:r>
      <w:r>
        <w:rPr>
          <w:i/>
          <w:sz w:val="24"/>
        </w:rPr>
        <w:t>Distribution Network </w:t>
      </w:r>
      <w:r>
        <w:rPr>
          <w:i/>
          <w:sz w:val="24"/>
        </w:rPr>
        <w:t>Service Provider </w:t>
      </w:r>
      <w:r>
        <w:rPr>
          <w:sz w:val="24"/>
        </w:rPr>
        <w:t>under the </w:t>
      </w:r>
      <w:r>
        <w:rPr>
          <w:i/>
          <w:sz w:val="24"/>
        </w:rPr>
        <w:t>Rules </w:t>
      </w:r>
      <w:r>
        <w:rPr>
          <w:sz w:val="24"/>
        </w:rPr>
        <w:t>or a relevant distribution determination;</w:t>
      </w:r>
      <w:r>
        <w:rPr>
          <w:spacing w:val="-1"/>
          <w:sz w:val="24"/>
        </w:rPr>
        <w:t> </w:t>
      </w:r>
      <w:r>
        <w:rPr>
          <w:sz w:val="24"/>
        </w:rPr>
        <w:t>and</w:t>
      </w:r>
    </w:p>
    <w:p>
      <w:pPr>
        <w:pStyle w:val="ListParagraph"/>
        <w:numPr>
          <w:ilvl w:val="5"/>
          <w:numId w:val="413"/>
        </w:numPr>
        <w:tabs>
          <w:tab w:pos="3053" w:val="left" w:leader="none"/>
        </w:tabs>
        <w:spacing w:line="240" w:lineRule="auto" w:before="120" w:after="0"/>
        <w:ind w:left="3053" w:right="415" w:hanging="567"/>
        <w:jc w:val="both"/>
        <w:rPr>
          <w:sz w:val="24"/>
        </w:rPr>
      </w:pPr>
      <w:r>
        <w:rPr>
          <w:sz w:val="24"/>
        </w:rPr>
        <w:t>the need to ensure that the incentives are sufficient to offset </w:t>
      </w:r>
      <w:r>
        <w:rPr>
          <w:spacing w:val="-4"/>
          <w:sz w:val="24"/>
        </w:rPr>
        <w:t>any </w:t>
      </w:r>
      <w:r>
        <w:rPr>
          <w:sz w:val="24"/>
        </w:rPr>
        <w:t>financial incentives the </w:t>
      </w:r>
      <w:r>
        <w:rPr>
          <w:i/>
          <w:sz w:val="24"/>
        </w:rPr>
        <w:t>Distribution Network Service Provider </w:t>
      </w:r>
      <w:r>
        <w:rPr>
          <w:sz w:val="24"/>
        </w:rPr>
        <w:t>may have to reduce costs at the expense of service levels;</w:t>
      </w:r>
      <w:r>
        <w:rPr>
          <w:spacing w:val="-7"/>
          <w:sz w:val="24"/>
        </w:rPr>
        <w:t> </w:t>
      </w:r>
      <w:r>
        <w:rPr>
          <w:sz w:val="24"/>
        </w:rPr>
        <w:t>and</w:t>
      </w:r>
    </w:p>
    <w:p>
      <w:pPr>
        <w:pStyle w:val="ListParagraph"/>
        <w:numPr>
          <w:ilvl w:val="5"/>
          <w:numId w:val="413"/>
        </w:numPr>
        <w:tabs>
          <w:tab w:pos="3053" w:val="left" w:leader="none"/>
        </w:tabs>
        <w:spacing w:line="240" w:lineRule="auto" w:before="120" w:after="0"/>
        <w:ind w:left="3053" w:right="416" w:hanging="567"/>
        <w:jc w:val="both"/>
        <w:rPr>
          <w:sz w:val="24"/>
        </w:rPr>
      </w:pPr>
      <w:r>
        <w:rPr>
          <w:sz w:val="24"/>
        </w:rPr>
        <w:t>the willingness of the customer or end user to pay for improved performance in the delivery of services;</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5"/>
          <w:numId w:val="413"/>
        </w:numPr>
        <w:tabs>
          <w:tab w:pos="3053" w:val="left" w:leader="none"/>
        </w:tabs>
        <w:spacing w:line="240" w:lineRule="auto" w:before="83" w:after="0"/>
        <w:ind w:left="3053" w:right="415" w:hanging="567"/>
        <w:jc w:val="both"/>
        <w:rPr>
          <w:sz w:val="24"/>
        </w:rPr>
      </w:pPr>
      <w:r>
        <w:rPr>
          <w:sz w:val="24"/>
        </w:rPr>
        <w:t>the possible effects of the scheme on incentives for the implementation of </w:t>
      </w:r>
      <w:r>
        <w:rPr>
          <w:i/>
          <w:sz w:val="24"/>
        </w:rPr>
        <w:t>non-network options</w:t>
      </w:r>
      <w:r>
        <w:rPr>
          <w:sz w:val="24"/>
        </w:rPr>
        <w:t>;</w:t>
      </w:r>
      <w:r>
        <w:rPr>
          <w:spacing w:val="-1"/>
          <w:sz w:val="24"/>
        </w:rPr>
        <w:t> </w:t>
      </w:r>
      <w:r>
        <w:rPr>
          <w:sz w:val="24"/>
        </w:rPr>
        <w:t>and</w:t>
      </w:r>
    </w:p>
    <w:p>
      <w:pPr>
        <w:pStyle w:val="ListParagraph"/>
        <w:numPr>
          <w:ilvl w:val="4"/>
          <w:numId w:val="413"/>
        </w:numPr>
        <w:tabs>
          <w:tab w:pos="2486" w:val="left" w:leader="none"/>
        </w:tabs>
        <w:spacing w:line="240" w:lineRule="auto" w:before="120" w:after="0"/>
        <w:ind w:left="2485" w:right="0" w:hanging="567"/>
        <w:jc w:val="both"/>
        <w:rPr>
          <w:sz w:val="24"/>
        </w:rPr>
      </w:pPr>
      <w:r>
        <w:rPr>
          <w:sz w:val="24"/>
        </w:rPr>
        <w:t>must have regard to the </w:t>
      </w:r>
      <w:r>
        <w:rPr>
          <w:i/>
          <w:sz w:val="24"/>
        </w:rPr>
        <w:t>Distribution Reliability Measures</w:t>
      </w:r>
      <w:r>
        <w:rPr>
          <w:i/>
          <w:spacing w:val="-11"/>
          <w:sz w:val="24"/>
        </w:rPr>
        <w:t> </w:t>
      </w:r>
      <w:r>
        <w:rPr>
          <w:i/>
          <w:sz w:val="24"/>
        </w:rPr>
        <w:t>Guidelines</w:t>
      </w:r>
      <w:r>
        <w:rPr>
          <w:sz w:val="24"/>
        </w:rPr>
        <w:t>.</w:t>
      </w:r>
    </w:p>
    <w:p>
      <w:pPr>
        <w:pStyle w:val="ListParagraph"/>
        <w:numPr>
          <w:ilvl w:val="3"/>
          <w:numId w:val="413"/>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from time to time and in accordance with the </w:t>
      </w:r>
      <w:r>
        <w:rPr>
          <w:i/>
          <w:sz w:val="24"/>
        </w:rPr>
        <w:t>distribution </w:t>
      </w:r>
      <w:r>
        <w:rPr>
          <w:i/>
          <w:sz w:val="24"/>
        </w:rPr>
        <w:t>consultation procedures</w:t>
      </w:r>
      <w:r>
        <w:rPr>
          <w:sz w:val="24"/>
        </w:rPr>
        <w:t>, amend or replace any scheme that is developed and </w:t>
      </w:r>
      <w:r>
        <w:rPr>
          <w:i/>
          <w:sz w:val="24"/>
        </w:rPr>
        <w:t>published </w:t>
      </w:r>
      <w:r>
        <w:rPr>
          <w:sz w:val="24"/>
        </w:rPr>
        <w:t>under this</w:t>
      </w:r>
      <w:r>
        <w:rPr>
          <w:spacing w:val="-2"/>
          <w:sz w:val="24"/>
        </w:rPr>
        <w:t> </w:t>
      </w:r>
      <w:r>
        <w:rPr>
          <w:sz w:val="24"/>
        </w:rPr>
        <w:t>clause.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A </w:t>
      </w:r>
      <w:r>
        <w:rPr>
          <w:i/>
          <w:sz w:val="20"/>
        </w:rPr>
        <w:t>Distribution Network Service Provider </w:t>
      </w:r>
      <w:r>
        <w:rPr>
          <w:sz w:val="20"/>
        </w:rPr>
        <w:t>is not precluded from entering into a contract  with a third party (such as a network support service provider) under which the benefits of a </w:t>
      </w:r>
      <w:r>
        <w:rPr>
          <w:i/>
          <w:sz w:val="20"/>
        </w:rPr>
        <w:t>service target performance incentive scheme </w:t>
      </w:r>
      <w:r>
        <w:rPr>
          <w:sz w:val="20"/>
        </w:rPr>
        <w:t>are passed on to the third party, or the third party is required to indemnify the provider for penalties to which the provider becomes liable under the</w:t>
      </w:r>
      <w:r>
        <w:rPr>
          <w:spacing w:val="-1"/>
          <w:sz w:val="20"/>
        </w:rPr>
        <w:t> </w:t>
      </w:r>
      <w:r>
        <w:rPr>
          <w:sz w:val="20"/>
        </w:rPr>
        <w:t>scheme.</w:t>
      </w:r>
    </w:p>
    <w:p>
      <w:pPr>
        <w:pStyle w:val="BodyText"/>
        <w:ind w:left="1352" w:firstLine="0"/>
      </w:pPr>
      <w:r>
        <w:rPr/>
        <w:t>(ca) For the application of these </w:t>
      </w:r>
      <w:r>
        <w:rPr>
          <w:i/>
        </w:rPr>
        <w:t>Rules </w:t>
      </w:r>
      <w:r>
        <w:rPr/>
        <w:t>in this jurisdiction:</w:t>
      </w:r>
    </w:p>
    <w:p>
      <w:pPr>
        <w:pStyle w:val="ListParagraph"/>
        <w:numPr>
          <w:ilvl w:val="4"/>
          <w:numId w:val="413"/>
        </w:numPr>
        <w:tabs>
          <w:tab w:pos="2486" w:val="left" w:leader="none"/>
        </w:tabs>
        <w:spacing w:line="240" w:lineRule="auto" w:before="120" w:after="0"/>
        <w:ind w:left="2486" w:right="416" w:hanging="567"/>
        <w:jc w:val="both"/>
        <w:rPr>
          <w:sz w:val="24"/>
        </w:rPr>
      </w:pPr>
      <w:r>
        <w:rPr>
          <w:sz w:val="24"/>
        </w:rPr>
        <w:t>the </w:t>
      </w:r>
      <w:r>
        <w:rPr>
          <w:i/>
          <w:sz w:val="24"/>
        </w:rPr>
        <w:t>service target performance incentive scheme </w:t>
      </w:r>
      <w:r>
        <w:rPr>
          <w:sz w:val="24"/>
        </w:rPr>
        <w:t>that is in force in the other </w:t>
      </w:r>
      <w:r>
        <w:rPr>
          <w:i/>
          <w:sz w:val="24"/>
        </w:rPr>
        <w:t>participating jurisdictions </w:t>
      </w:r>
      <w:r>
        <w:rPr>
          <w:sz w:val="24"/>
        </w:rPr>
        <w:t>on 1 July 2016 is</w:t>
      </w:r>
      <w:r>
        <w:rPr>
          <w:spacing w:val="-3"/>
          <w:sz w:val="24"/>
        </w:rPr>
        <w:t> </w:t>
      </w:r>
      <w:r>
        <w:rPr>
          <w:sz w:val="24"/>
        </w:rPr>
        <w:t>taken:</w:t>
      </w:r>
    </w:p>
    <w:p>
      <w:pPr>
        <w:pStyle w:val="ListParagraph"/>
        <w:numPr>
          <w:ilvl w:val="5"/>
          <w:numId w:val="413"/>
        </w:numPr>
        <w:tabs>
          <w:tab w:pos="3053" w:val="left" w:leader="none"/>
        </w:tabs>
        <w:spacing w:line="240" w:lineRule="auto" w:before="120" w:after="0"/>
        <w:ind w:left="3053" w:right="415" w:hanging="567"/>
        <w:jc w:val="both"/>
        <w:rPr>
          <w:sz w:val="24"/>
        </w:rPr>
      </w:pPr>
      <w:r>
        <w:rPr>
          <w:sz w:val="24"/>
        </w:rPr>
        <w:t>to be the </w:t>
      </w:r>
      <w:r>
        <w:rPr>
          <w:i/>
          <w:sz w:val="24"/>
        </w:rPr>
        <w:t>service target performance incentive scheme </w:t>
      </w:r>
      <w:r>
        <w:rPr>
          <w:sz w:val="24"/>
        </w:rPr>
        <w:t>in force in this jurisdiction (subject to any amendment or replacement under these </w:t>
      </w:r>
      <w:r>
        <w:rPr>
          <w:i/>
          <w:sz w:val="24"/>
        </w:rPr>
        <w:t>Rules</w:t>
      </w:r>
      <w:r>
        <w:rPr>
          <w:sz w:val="24"/>
        </w:rPr>
        <w:t>);</w:t>
      </w:r>
      <w:r>
        <w:rPr>
          <w:spacing w:val="-1"/>
          <w:sz w:val="24"/>
        </w:rPr>
        <w:t> </w:t>
      </w:r>
      <w:r>
        <w:rPr>
          <w:sz w:val="24"/>
        </w:rPr>
        <w:t>and</w:t>
      </w:r>
    </w:p>
    <w:p>
      <w:pPr>
        <w:pStyle w:val="ListParagraph"/>
        <w:numPr>
          <w:ilvl w:val="5"/>
          <w:numId w:val="413"/>
        </w:numPr>
        <w:tabs>
          <w:tab w:pos="3054" w:val="left" w:leader="none"/>
        </w:tabs>
        <w:spacing w:line="240" w:lineRule="auto" w:before="120" w:after="0"/>
        <w:ind w:left="3053" w:right="416" w:hanging="567"/>
        <w:jc w:val="both"/>
        <w:rPr>
          <w:sz w:val="24"/>
        </w:rPr>
      </w:pPr>
      <w:r>
        <w:rPr>
          <w:sz w:val="24"/>
        </w:rPr>
        <w:t>to have been developed and </w:t>
      </w:r>
      <w:r>
        <w:rPr>
          <w:i/>
          <w:sz w:val="24"/>
        </w:rPr>
        <w:t>published </w:t>
      </w:r>
      <w:r>
        <w:rPr>
          <w:sz w:val="24"/>
        </w:rPr>
        <w:t>by the </w:t>
      </w:r>
      <w:r>
        <w:rPr>
          <w:i/>
          <w:sz w:val="24"/>
        </w:rPr>
        <w:t>AER </w:t>
      </w:r>
      <w:r>
        <w:rPr>
          <w:sz w:val="24"/>
        </w:rPr>
        <w:t>on 1 July 2016; and</w:t>
      </w:r>
    </w:p>
    <w:p>
      <w:pPr>
        <w:pStyle w:val="ListParagraph"/>
        <w:numPr>
          <w:ilvl w:val="4"/>
          <w:numId w:val="413"/>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(a) and (b) in developing and </w:t>
      </w:r>
      <w:r>
        <w:rPr>
          <w:i/>
          <w:sz w:val="24"/>
        </w:rPr>
        <w:t>publishing </w:t>
      </w:r>
      <w:r>
        <w:rPr>
          <w:sz w:val="24"/>
        </w:rPr>
        <w:t>the </w:t>
      </w:r>
      <w:r>
        <w:rPr>
          <w:i/>
          <w:sz w:val="24"/>
        </w:rPr>
        <w:t>service target </w:t>
      </w:r>
      <w:r>
        <w:rPr>
          <w:i/>
          <w:sz w:val="24"/>
        </w:rPr>
        <w:t>performance incentive</w:t>
      </w:r>
      <w:r>
        <w:rPr>
          <w:i/>
          <w:spacing w:val="-1"/>
          <w:sz w:val="24"/>
        </w:rPr>
        <w:t> </w:t>
      </w:r>
      <w:r>
        <w:rPr>
          <w:i/>
          <w:sz w:val="24"/>
        </w:rPr>
        <w:t>scheme</w:t>
      </w:r>
      <w:r>
        <w:rPr>
          <w:sz w:val="24"/>
        </w:rPr>
        <w:t>.</w:t>
      </w:r>
    </w:p>
    <w:p>
      <w:pPr>
        <w:pStyle w:val="BodyText"/>
        <w:spacing w:before="10"/>
        <w:ind w:firstLine="0"/>
        <w:jc w:val="left"/>
        <w:rPr>
          <w:sz w:val="20"/>
        </w:rPr>
      </w:pPr>
    </w:p>
    <w:p>
      <w:pPr>
        <w:pStyle w:val="Heading4"/>
        <w:numPr>
          <w:ilvl w:val="2"/>
          <w:numId w:val="413"/>
        </w:numPr>
        <w:tabs>
          <w:tab w:pos="1351" w:val="left" w:leader="none"/>
          <w:tab w:pos="1352" w:val="left" w:leader="none"/>
        </w:tabs>
        <w:spacing w:line="240" w:lineRule="auto" w:before="0" w:after="0"/>
        <w:ind w:left="1351" w:right="0" w:hanging="1134"/>
        <w:jc w:val="left"/>
      </w:pPr>
      <w:bookmarkStart w:name="6.6.3 Demand management incentive scheme" w:id="1379"/>
      <w:bookmarkEnd w:id="1379"/>
      <w:r>
        <w:rPr>
          <w:b w:val="0"/>
        </w:rPr>
      </w:r>
      <w:bookmarkStart w:name="_bookmark559" w:id="1380"/>
      <w:bookmarkEnd w:id="1380"/>
      <w:r>
        <w:rPr>
          <w:b w:val="0"/>
        </w:rPr>
      </w:r>
      <w:bookmarkStart w:name="_bookmark559" w:id="1381"/>
      <w:bookmarkEnd w:id="1381"/>
      <w:r>
        <w:rPr/>
        <w:t>Dem</w:t>
      </w:r>
      <w:r>
        <w:rPr/>
        <w:t>and management incentive</w:t>
      </w:r>
      <w:r>
        <w:rPr>
          <w:spacing w:val="-2"/>
        </w:rPr>
        <w:t> </w:t>
      </w:r>
      <w:r>
        <w:rPr/>
        <w:t>scheme</w:t>
      </w:r>
    </w:p>
    <w:p>
      <w:pPr>
        <w:pStyle w:val="ListParagraph"/>
        <w:numPr>
          <w:ilvl w:val="3"/>
          <w:numId w:val="413"/>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 </w:t>
      </w:r>
      <w:r>
        <w:rPr>
          <w:i/>
          <w:sz w:val="24"/>
        </w:rPr>
        <w:t>demand management incentive scheme </w:t>
      </w:r>
      <w:r>
        <w:rPr>
          <w:sz w:val="24"/>
        </w:rPr>
        <w:t>consistent with the </w:t>
      </w:r>
      <w:r>
        <w:rPr>
          <w:i/>
          <w:sz w:val="24"/>
        </w:rPr>
        <w:t>demand management incentive scheme</w:t>
      </w:r>
      <w:r>
        <w:rPr>
          <w:i/>
          <w:spacing w:val="-6"/>
          <w:sz w:val="24"/>
        </w:rPr>
        <w:t> </w:t>
      </w:r>
      <w:r>
        <w:rPr>
          <w:i/>
          <w:sz w:val="24"/>
        </w:rPr>
        <w:t>objective</w:t>
      </w:r>
      <w:r>
        <w:rPr>
          <w:sz w:val="24"/>
        </w:rPr>
        <w:t>.</w:t>
      </w:r>
    </w:p>
    <w:p>
      <w:pPr>
        <w:pStyle w:val="ListParagraph"/>
        <w:numPr>
          <w:ilvl w:val="3"/>
          <w:numId w:val="413"/>
        </w:numPr>
        <w:tabs>
          <w:tab w:pos="1919" w:val="left" w:leader="none"/>
        </w:tabs>
        <w:spacing w:line="240" w:lineRule="auto" w:before="120" w:after="0"/>
        <w:ind w:left="1919" w:right="415" w:hanging="567"/>
        <w:jc w:val="both"/>
        <w:rPr>
          <w:sz w:val="24"/>
        </w:rPr>
      </w:pPr>
      <w:r>
        <w:rPr>
          <w:sz w:val="24"/>
        </w:rPr>
        <w:t>The objective of the </w:t>
      </w:r>
      <w:r>
        <w:rPr>
          <w:i/>
          <w:sz w:val="24"/>
        </w:rPr>
        <w:t>demand management incentive scheme </w:t>
      </w:r>
      <w:r>
        <w:rPr>
          <w:sz w:val="24"/>
        </w:rPr>
        <w:t>is to provide </w:t>
      </w:r>
      <w:r>
        <w:rPr>
          <w:i/>
          <w:sz w:val="24"/>
        </w:rPr>
        <w:t>Distribution Network Service Providers </w:t>
      </w:r>
      <w:r>
        <w:rPr>
          <w:sz w:val="24"/>
        </w:rPr>
        <w:t>with an incentive to undertake efficient expenditure on relevant </w:t>
      </w:r>
      <w:r>
        <w:rPr>
          <w:i/>
          <w:sz w:val="24"/>
        </w:rPr>
        <w:t>non-network options </w:t>
      </w:r>
      <w:r>
        <w:rPr>
          <w:sz w:val="24"/>
        </w:rPr>
        <w:t>relating to demand management (the </w:t>
      </w:r>
      <w:r>
        <w:rPr>
          <w:i/>
          <w:sz w:val="24"/>
        </w:rPr>
        <w:t>demand management incentive scheme</w:t>
      </w:r>
      <w:r>
        <w:rPr>
          <w:i/>
          <w:spacing w:val="-8"/>
          <w:sz w:val="24"/>
        </w:rPr>
        <w:t> </w:t>
      </w:r>
      <w:r>
        <w:rPr>
          <w:i/>
          <w:sz w:val="24"/>
        </w:rPr>
        <w:t>objective</w:t>
      </w:r>
      <w:r>
        <w:rPr>
          <w:sz w:val="24"/>
        </w:rPr>
        <w:t>).</w:t>
      </w:r>
    </w:p>
    <w:p>
      <w:pPr>
        <w:pStyle w:val="ListParagraph"/>
        <w:numPr>
          <w:ilvl w:val="3"/>
          <w:numId w:val="413"/>
        </w:numPr>
        <w:tabs>
          <w:tab w:pos="1919" w:val="left" w:leader="none"/>
        </w:tabs>
        <w:spacing w:line="240" w:lineRule="auto" w:before="120" w:after="0"/>
        <w:ind w:left="1919" w:right="416" w:hanging="567"/>
        <w:jc w:val="both"/>
        <w:rPr>
          <w:sz w:val="24"/>
        </w:rPr>
      </w:pPr>
      <w:r>
        <w:rPr>
          <w:sz w:val="24"/>
        </w:rPr>
        <w:t>In developing, and applying, any </w:t>
      </w:r>
      <w:r>
        <w:rPr>
          <w:i/>
          <w:sz w:val="24"/>
        </w:rPr>
        <w:t>demand management incentive scheme</w:t>
      </w:r>
      <w:r>
        <w:rPr>
          <w:sz w:val="24"/>
        </w:rPr>
        <w:t>,  the </w:t>
      </w:r>
      <w:r>
        <w:rPr>
          <w:i/>
          <w:sz w:val="24"/>
        </w:rPr>
        <w:t>AER </w:t>
      </w:r>
      <w:r>
        <w:rPr>
          <w:sz w:val="24"/>
        </w:rPr>
        <w:t>must take into account the</w:t>
      </w:r>
      <w:r>
        <w:rPr>
          <w:spacing w:val="-2"/>
          <w:sz w:val="24"/>
        </w:rPr>
        <w:t> </w:t>
      </w:r>
      <w:r>
        <w:rPr>
          <w:sz w:val="24"/>
        </w:rPr>
        <w:t>following:</w:t>
      </w:r>
    </w:p>
    <w:p>
      <w:pPr>
        <w:pStyle w:val="ListParagraph"/>
        <w:numPr>
          <w:ilvl w:val="4"/>
          <w:numId w:val="413"/>
        </w:numPr>
        <w:tabs>
          <w:tab w:pos="2486" w:val="left" w:leader="none"/>
        </w:tabs>
        <w:spacing w:line="240" w:lineRule="auto" w:before="120" w:after="0"/>
        <w:ind w:left="2486" w:right="414" w:hanging="567"/>
        <w:jc w:val="both"/>
        <w:rPr>
          <w:sz w:val="24"/>
        </w:rPr>
      </w:pPr>
      <w:r>
        <w:rPr>
          <w:sz w:val="24"/>
        </w:rPr>
        <w:t>the scheme should be applied in a manner that contributes to</w:t>
      </w:r>
      <w:r>
        <w:rPr>
          <w:spacing w:val="21"/>
          <w:sz w:val="24"/>
        </w:rPr>
        <w:t> </w:t>
      </w:r>
      <w:r>
        <w:rPr>
          <w:sz w:val="24"/>
        </w:rPr>
        <w:t>the achievement of the </w:t>
      </w:r>
      <w:r>
        <w:rPr>
          <w:i/>
          <w:sz w:val="24"/>
        </w:rPr>
        <w:t>demand management incentive scheme</w:t>
      </w:r>
      <w:r>
        <w:rPr>
          <w:i/>
          <w:spacing w:val="-9"/>
          <w:sz w:val="24"/>
        </w:rPr>
        <w:t> </w:t>
      </w:r>
      <w:r>
        <w:rPr>
          <w:i/>
          <w:sz w:val="24"/>
        </w:rPr>
        <w:t>objective</w:t>
      </w:r>
      <w:r>
        <w:rPr>
          <w:sz w:val="24"/>
        </w:rPr>
        <w:t>;</w:t>
      </w:r>
    </w:p>
    <w:p>
      <w:pPr>
        <w:pStyle w:val="ListParagraph"/>
        <w:numPr>
          <w:ilvl w:val="4"/>
          <w:numId w:val="413"/>
        </w:numPr>
        <w:tabs>
          <w:tab w:pos="2486" w:val="left" w:leader="none"/>
        </w:tabs>
        <w:spacing w:line="240" w:lineRule="auto" w:before="120" w:after="0"/>
        <w:ind w:left="2486" w:right="415" w:hanging="567"/>
        <w:jc w:val="both"/>
        <w:rPr>
          <w:sz w:val="24"/>
        </w:rPr>
      </w:pPr>
      <w:r>
        <w:rPr>
          <w:sz w:val="24"/>
        </w:rPr>
        <w:t>the scheme should reward </w:t>
      </w:r>
      <w:r>
        <w:rPr>
          <w:i/>
          <w:sz w:val="24"/>
        </w:rPr>
        <w:t>Distribution Network Service Providers </w:t>
      </w:r>
      <w:r>
        <w:rPr>
          <w:sz w:val="24"/>
        </w:rPr>
        <w:t>for implementing relevant </w:t>
      </w:r>
      <w:r>
        <w:rPr>
          <w:i/>
          <w:sz w:val="24"/>
        </w:rPr>
        <w:t>non-network options </w:t>
      </w:r>
      <w:r>
        <w:rPr>
          <w:sz w:val="24"/>
        </w:rPr>
        <w:t>that deliver net cost savings to </w:t>
      </w:r>
      <w:r>
        <w:rPr>
          <w:i/>
          <w:sz w:val="24"/>
        </w:rPr>
        <w:t>retail</w:t>
      </w:r>
      <w:r>
        <w:rPr>
          <w:i/>
          <w:spacing w:val="-3"/>
          <w:sz w:val="24"/>
        </w:rPr>
        <w:t> </w:t>
      </w:r>
      <w:r>
        <w:rPr>
          <w:i/>
          <w:sz w:val="24"/>
        </w:rPr>
        <w:t>customers</w:t>
      </w:r>
      <w:r>
        <w:rPr>
          <w:sz w:val="24"/>
        </w:rPr>
        <w:t>;</w:t>
      </w:r>
    </w:p>
    <w:p>
      <w:pPr>
        <w:pStyle w:val="ListParagraph"/>
        <w:numPr>
          <w:ilvl w:val="4"/>
          <w:numId w:val="413"/>
        </w:numPr>
        <w:tabs>
          <w:tab w:pos="2486" w:val="left" w:leader="none"/>
        </w:tabs>
        <w:spacing w:line="240" w:lineRule="auto" w:before="120" w:after="0"/>
        <w:ind w:left="2486" w:right="414" w:hanging="567"/>
        <w:jc w:val="both"/>
        <w:rPr>
          <w:sz w:val="24"/>
        </w:rPr>
      </w:pPr>
      <w:r>
        <w:rPr>
          <w:sz w:val="24"/>
        </w:rPr>
        <w:t>the scheme should balance the incentives between expenditure on </w:t>
      </w:r>
      <w:r>
        <w:rPr>
          <w:i/>
          <w:sz w:val="24"/>
        </w:rPr>
        <w:t>network options </w:t>
      </w:r>
      <w:r>
        <w:rPr>
          <w:sz w:val="24"/>
        </w:rPr>
        <w:t>and </w:t>
      </w:r>
      <w:r>
        <w:rPr>
          <w:i/>
          <w:sz w:val="24"/>
        </w:rPr>
        <w:t>non-network options </w:t>
      </w:r>
      <w:r>
        <w:rPr>
          <w:sz w:val="24"/>
        </w:rPr>
        <w:t>relating to demand management. In doing so, the </w:t>
      </w:r>
      <w:r>
        <w:rPr>
          <w:i/>
          <w:sz w:val="24"/>
        </w:rPr>
        <w:t>AER </w:t>
      </w:r>
      <w:r>
        <w:rPr>
          <w:sz w:val="24"/>
        </w:rPr>
        <w:t>may take into account the </w:t>
      </w:r>
      <w:r>
        <w:rPr>
          <w:spacing w:val="-4"/>
          <w:sz w:val="24"/>
        </w:rPr>
        <w:t>net </w:t>
      </w:r>
      <w:r>
        <w:rPr>
          <w:sz w:val="24"/>
        </w:rPr>
        <w:t>economic benefits delivered to all those who produce, consume and transport electricity via a </w:t>
      </w:r>
      <w:r>
        <w:rPr>
          <w:i/>
          <w:sz w:val="24"/>
        </w:rPr>
        <w:t>transmission or distribution system </w:t>
      </w:r>
      <w:r>
        <w:rPr>
          <w:sz w:val="24"/>
        </w:rPr>
        <w:t>in this jurisdiction associated with implementing relevant </w:t>
      </w:r>
      <w:r>
        <w:rPr>
          <w:i/>
          <w:sz w:val="24"/>
        </w:rPr>
        <w:t>non-network </w:t>
      </w:r>
      <w:r>
        <w:rPr>
          <w:i/>
          <w:sz w:val="24"/>
        </w:rPr>
        <w:t>options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413"/>
        </w:numPr>
        <w:tabs>
          <w:tab w:pos="2486" w:val="left" w:leader="none"/>
        </w:tabs>
        <w:spacing w:line="240" w:lineRule="auto" w:before="83" w:after="0"/>
        <w:ind w:left="2485" w:right="0" w:hanging="567"/>
        <w:jc w:val="both"/>
        <w:rPr>
          <w:sz w:val="24"/>
        </w:rPr>
      </w:pPr>
      <w:r>
        <w:rPr>
          <w:sz w:val="24"/>
        </w:rPr>
        <w:t>the level of the</w:t>
      </w:r>
      <w:r>
        <w:rPr>
          <w:spacing w:val="-2"/>
          <w:sz w:val="24"/>
        </w:rPr>
        <w:t> </w:t>
      </w:r>
      <w:r>
        <w:rPr>
          <w:sz w:val="24"/>
        </w:rPr>
        <w:t>incentive:</w:t>
      </w:r>
    </w:p>
    <w:p>
      <w:pPr>
        <w:pStyle w:val="ListParagraph"/>
        <w:numPr>
          <w:ilvl w:val="5"/>
          <w:numId w:val="413"/>
        </w:numPr>
        <w:tabs>
          <w:tab w:pos="3053" w:val="left" w:leader="none"/>
        </w:tabs>
        <w:spacing w:line="240" w:lineRule="auto" w:before="120" w:after="0"/>
        <w:ind w:left="3053" w:right="415" w:hanging="567"/>
        <w:jc w:val="both"/>
        <w:rPr>
          <w:sz w:val="24"/>
        </w:rPr>
      </w:pPr>
      <w:r>
        <w:rPr>
          <w:sz w:val="24"/>
        </w:rPr>
        <w:t>should be reasonable, considering the long term benefit to </w:t>
      </w:r>
      <w:r>
        <w:rPr>
          <w:i/>
          <w:sz w:val="24"/>
        </w:rPr>
        <w:t>retail </w:t>
      </w:r>
      <w:r>
        <w:rPr>
          <w:i/>
          <w:sz w:val="24"/>
        </w:rPr>
        <w:t>customers</w:t>
      </w:r>
      <w:r>
        <w:rPr>
          <w:sz w:val="24"/>
        </w:rPr>
        <w:t>;</w:t>
      </w:r>
    </w:p>
    <w:p>
      <w:pPr>
        <w:pStyle w:val="ListParagraph"/>
        <w:numPr>
          <w:ilvl w:val="5"/>
          <w:numId w:val="413"/>
        </w:numPr>
        <w:tabs>
          <w:tab w:pos="3054" w:val="left" w:leader="none"/>
        </w:tabs>
        <w:spacing w:line="240" w:lineRule="auto" w:before="120" w:after="0"/>
        <w:ind w:left="3053" w:right="415" w:hanging="567"/>
        <w:jc w:val="both"/>
        <w:rPr>
          <w:sz w:val="24"/>
        </w:rPr>
      </w:pPr>
      <w:r>
        <w:rPr>
          <w:sz w:val="24"/>
        </w:rPr>
        <w:t>should not include costs that are otherwise recoverable from any another source, including under a relevant distribution determination;</w:t>
      </w:r>
      <w:r>
        <w:rPr>
          <w:spacing w:val="-1"/>
          <w:sz w:val="24"/>
        </w:rPr>
        <w:t> </w:t>
      </w:r>
      <w:r>
        <w:rPr>
          <w:sz w:val="24"/>
        </w:rPr>
        <w:t>and</w:t>
      </w:r>
    </w:p>
    <w:p>
      <w:pPr>
        <w:pStyle w:val="ListParagraph"/>
        <w:numPr>
          <w:ilvl w:val="5"/>
          <w:numId w:val="413"/>
        </w:numPr>
        <w:tabs>
          <w:tab w:pos="3053" w:val="left" w:leader="none"/>
        </w:tabs>
        <w:spacing w:line="240" w:lineRule="auto" w:before="120" w:after="0"/>
        <w:ind w:left="3053" w:right="416" w:hanging="567"/>
        <w:jc w:val="both"/>
        <w:rPr>
          <w:sz w:val="24"/>
        </w:rPr>
      </w:pPr>
      <w:r>
        <w:rPr>
          <w:sz w:val="24"/>
        </w:rPr>
        <w:t>may vary by </w:t>
      </w:r>
      <w:r>
        <w:rPr>
          <w:i/>
          <w:sz w:val="24"/>
        </w:rPr>
        <w:t>Distribution Network Service Provider </w:t>
      </w:r>
      <w:r>
        <w:rPr>
          <w:sz w:val="24"/>
        </w:rPr>
        <w:t>and over time;</w:t>
      </w:r>
    </w:p>
    <w:p>
      <w:pPr>
        <w:pStyle w:val="ListParagraph"/>
        <w:numPr>
          <w:ilvl w:val="4"/>
          <w:numId w:val="413"/>
        </w:numPr>
        <w:tabs>
          <w:tab w:pos="2486" w:val="left" w:leader="none"/>
        </w:tabs>
        <w:spacing w:line="240" w:lineRule="auto" w:before="120" w:after="0"/>
        <w:ind w:left="2486" w:right="417" w:hanging="567"/>
        <w:jc w:val="both"/>
        <w:rPr>
          <w:sz w:val="24"/>
        </w:rPr>
      </w:pPr>
      <w:r>
        <w:rPr>
          <w:sz w:val="24"/>
        </w:rPr>
        <w:t>penalties should not be imposed on </w:t>
      </w:r>
      <w:r>
        <w:rPr>
          <w:i/>
          <w:sz w:val="24"/>
        </w:rPr>
        <w:t>Distribution Network Service </w:t>
      </w:r>
      <w:r>
        <w:rPr>
          <w:i/>
          <w:sz w:val="24"/>
        </w:rPr>
        <w:t>Providers </w:t>
      </w:r>
      <w:r>
        <w:rPr>
          <w:sz w:val="24"/>
        </w:rPr>
        <w:t>under any</w:t>
      </w:r>
      <w:r>
        <w:rPr>
          <w:spacing w:val="-1"/>
          <w:sz w:val="24"/>
        </w:rPr>
        <w:t> </w:t>
      </w:r>
      <w:r>
        <w:rPr>
          <w:sz w:val="24"/>
        </w:rPr>
        <w:t>scheme;</w:t>
      </w:r>
    </w:p>
    <w:p>
      <w:pPr>
        <w:pStyle w:val="ListParagraph"/>
        <w:numPr>
          <w:ilvl w:val="4"/>
          <w:numId w:val="413"/>
        </w:numPr>
        <w:tabs>
          <w:tab w:pos="2486" w:val="left" w:leader="none"/>
        </w:tabs>
        <w:spacing w:line="240" w:lineRule="auto" w:before="120" w:after="0"/>
        <w:ind w:left="2486" w:right="415" w:hanging="567"/>
        <w:jc w:val="both"/>
        <w:rPr>
          <w:sz w:val="24"/>
        </w:rPr>
      </w:pPr>
      <w:r>
        <w:rPr>
          <w:sz w:val="24"/>
        </w:rPr>
        <w:t>the incentives should not be limited by the length of a </w:t>
      </w:r>
      <w:r>
        <w:rPr>
          <w:i/>
          <w:sz w:val="24"/>
        </w:rPr>
        <w:t>regulatory </w:t>
      </w:r>
      <w:r>
        <w:rPr>
          <w:i/>
          <w:sz w:val="24"/>
        </w:rPr>
        <w:t>control period</w:t>
      </w:r>
      <w:r>
        <w:rPr>
          <w:sz w:val="24"/>
        </w:rPr>
        <w:t>, if such limitations would not contribute to the achievement of the </w:t>
      </w:r>
      <w:r>
        <w:rPr>
          <w:i/>
          <w:sz w:val="24"/>
        </w:rPr>
        <w:t>demand management incentive scheme objective</w:t>
      </w:r>
      <w:r>
        <w:rPr>
          <w:sz w:val="24"/>
        </w:rPr>
        <w:t>; and</w:t>
      </w:r>
    </w:p>
    <w:p>
      <w:pPr>
        <w:pStyle w:val="ListParagraph"/>
        <w:numPr>
          <w:ilvl w:val="4"/>
          <w:numId w:val="413"/>
        </w:numPr>
        <w:tabs>
          <w:tab w:pos="2486" w:val="left" w:leader="none"/>
        </w:tabs>
        <w:spacing w:line="240" w:lineRule="auto" w:before="120" w:after="0"/>
        <w:ind w:left="2485" w:right="0" w:hanging="567"/>
        <w:jc w:val="both"/>
        <w:rPr>
          <w:sz w:val="24"/>
        </w:rPr>
      </w:pPr>
      <w:r>
        <w:rPr>
          <w:sz w:val="24"/>
        </w:rPr>
        <w:t>the possible interaction between the scheme</w:t>
      </w:r>
      <w:r>
        <w:rPr>
          <w:spacing w:val="-2"/>
          <w:sz w:val="24"/>
        </w:rPr>
        <w:t> </w:t>
      </w:r>
      <w:r>
        <w:rPr>
          <w:sz w:val="24"/>
        </w:rPr>
        <w:t>and:</w:t>
      </w:r>
    </w:p>
    <w:p>
      <w:pPr>
        <w:pStyle w:val="ListParagraph"/>
        <w:numPr>
          <w:ilvl w:val="5"/>
          <w:numId w:val="413"/>
        </w:numPr>
        <w:tabs>
          <w:tab w:pos="3053" w:val="left" w:leader="none"/>
        </w:tabs>
        <w:spacing w:line="240" w:lineRule="auto" w:before="120" w:after="0"/>
        <w:ind w:left="3053" w:right="415" w:hanging="567"/>
        <w:jc w:val="both"/>
        <w:rPr>
          <w:sz w:val="24"/>
        </w:rPr>
      </w:pPr>
      <w:r>
        <w:rPr>
          <w:sz w:val="24"/>
        </w:rPr>
        <w:t>any other incentives available to the </w:t>
      </w:r>
      <w:r>
        <w:rPr>
          <w:i/>
          <w:sz w:val="24"/>
        </w:rPr>
        <w:t>Distribution Network </w:t>
      </w:r>
      <w:r>
        <w:rPr>
          <w:i/>
          <w:sz w:val="24"/>
        </w:rPr>
        <w:t>Service Provider </w:t>
      </w:r>
      <w:r>
        <w:rPr>
          <w:sz w:val="24"/>
        </w:rPr>
        <w:t>in relation to undertaking efficient </w:t>
      </w:r>
      <w:r>
        <w:rPr>
          <w:spacing w:val="-3"/>
          <w:sz w:val="24"/>
        </w:rPr>
        <w:t>expenditure </w:t>
      </w:r>
      <w:r>
        <w:rPr>
          <w:sz w:val="24"/>
        </w:rPr>
        <w:t>on, or implementation of, relevant </w:t>
      </w:r>
      <w:r>
        <w:rPr>
          <w:i/>
          <w:sz w:val="24"/>
        </w:rPr>
        <w:t>non-network</w:t>
      </w:r>
      <w:r>
        <w:rPr>
          <w:i/>
          <w:spacing w:val="-1"/>
          <w:sz w:val="24"/>
        </w:rPr>
        <w:t> </w:t>
      </w:r>
      <w:r>
        <w:rPr>
          <w:i/>
          <w:sz w:val="24"/>
        </w:rPr>
        <w:t>options</w:t>
      </w:r>
      <w:r>
        <w:rPr>
          <w:sz w:val="24"/>
        </w:rPr>
        <w:t>;</w:t>
      </w:r>
    </w:p>
    <w:p>
      <w:pPr>
        <w:pStyle w:val="ListParagraph"/>
        <w:numPr>
          <w:ilvl w:val="5"/>
          <w:numId w:val="413"/>
        </w:numPr>
        <w:tabs>
          <w:tab w:pos="3054" w:val="left" w:leader="none"/>
        </w:tabs>
        <w:spacing w:line="240" w:lineRule="auto" w:before="120" w:after="0"/>
        <w:ind w:left="3053" w:right="414" w:hanging="567"/>
        <w:jc w:val="both"/>
        <w:rPr>
          <w:sz w:val="24"/>
        </w:rPr>
      </w:pPr>
      <w:r>
        <w:rPr>
          <w:sz w:val="24"/>
        </w:rPr>
        <w:t>particular control mechanisms and their effect on a </w:t>
      </w:r>
      <w:r>
        <w:rPr>
          <w:i/>
          <w:sz w:val="24"/>
        </w:rPr>
        <w:t>Distribution </w:t>
      </w:r>
      <w:r>
        <w:rPr>
          <w:i/>
          <w:sz w:val="24"/>
        </w:rPr>
        <w:t>Network Service Provider's </w:t>
      </w:r>
      <w:r>
        <w:rPr>
          <w:sz w:val="24"/>
        </w:rPr>
        <w:t>available incentives referred to in sub-paragraph (i);</w:t>
      </w:r>
      <w:r>
        <w:rPr>
          <w:spacing w:val="-3"/>
          <w:sz w:val="24"/>
        </w:rPr>
        <w:t> </w:t>
      </w:r>
      <w:r>
        <w:rPr>
          <w:sz w:val="24"/>
        </w:rPr>
        <w:t>and</w:t>
      </w:r>
    </w:p>
    <w:p>
      <w:pPr>
        <w:pStyle w:val="ListParagraph"/>
        <w:numPr>
          <w:ilvl w:val="5"/>
          <w:numId w:val="413"/>
        </w:numPr>
        <w:tabs>
          <w:tab w:pos="3053" w:val="left" w:leader="none"/>
        </w:tabs>
        <w:spacing w:line="240" w:lineRule="auto" w:before="120" w:after="0"/>
        <w:ind w:left="3052" w:right="0" w:hanging="567"/>
        <w:jc w:val="both"/>
        <w:rPr>
          <w:sz w:val="24"/>
        </w:rPr>
      </w:pPr>
      <w:r>
        <w:rPr>
          <w:sz w:val="24"/>
        </w:rPr>
        <w:t>meeting any </w:t>
      </w:r>
      <w:r>
        <w:rPr>
          <w:i/>
          <w:sz w:val="24"/>
        </w:rPr>
        <w:t>regulatory obligation or</w:t>
      </w:r>
      <w:r>
        <w:rPr>
          <w:i/>
          <w:spacing w:val="-3"/>
          <w:sz w:val="24"/>
        </w:rPr>
        <w:t> </w:t>
      </w:r>
      <w:r>
        <w:rPr>
          <w:i/>
          <w:sz w:val="24"/>
        </w:rPr>
        <w:t>requirement</w:t>
      </w:r>
      <w:r>
        <w:rPr>
          <w:sz w:val="24"/>
        </w:rPr>
        <w:t>.</w:t>
      </w:r>
    </w:p>
    <w:p>
      <w:pPr>
        <w:pStyle w:val="ListParagraph"/>
        <w:numPr>
          <w:ilvl w:val="3"/>
          <w:numId w:val="413"/>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w:t>
      </w:r>
      <w:r>
        <w:rPr>
          <w:sz w:val="24"/>
        </w:rPr>
        <w:t>:</w:t>
      </w:r>
    </w:p>
    <w:p>
      <w:pPr>
        <w:pStyle w:val="ListParagraph"/>
        <w:numPr>
          <w:ilvl w:val="4"/>
          <w:numId w:val="413"/>
        </w:numPr>
        <w:tabs>
          <w:tab w:pos="2485" w:val="left" w:leader="none"/>
          <w:tab w:pos="2486" w:val="left" w:leader="none"/>
        </w:tabs>
        <w:spacing w:line="240" w:lineRule="auto" w:before="120" w:after="0"/>
        <w:ind w:left="2485" w:right="0" w:hanging="567"/>
        <w:jc w:val="left"/>
        <w:rPr>
          <w:sz w:val="24"/>
        </w:rPr>
      </w:pPr>
      <w:r>
        <w:rPr>
          <w:sz w:val="24"/>
        </w:rPr>
        <w:t>must develop and </w:t>
      </w:r>
      <w:r>
        <w:rPr>
          <w:i/>
          <w:sz w:val="24"/>
        </w:rPr>
        <w:t>publish </w:t>
      </w:r>
      <w:r>
        <w:rPr>
          <w:sz w:val="24"/>
        </w:rPr>
        <w:t>the scheme;</w:t>
      </w:r>
      <w:r>
        <w:rPr>
          <w:spacing w:val="-2"/>
          <w:sz w:val="24"/>
        </w:rPr>
        <w:t> </w:t>
      </w:r>
      <w:r>
        <w:rPr>
          <w:sz w:val="24"/>
        </w:rPr>
        <w:t>and</w:t>
      </w:r>
    </w:p>
    <w:p>
      <w:pPr>
        <w:pStyle w:val="ListParagraph"/>
        <w:numPr>
          <w:ilvl w:val="4"/>
          <w:numId w:val="413"/>
        </w:numPr>
        <w:tabs>
          <w:tab w:pos="2485" w:val="left" w:leader="none"/>
          <w:tab w:pos="2486" w:val="left" w:leader="none"/>
        </w:tabs>
        <w:spacing w:line="240" w:lineRule="auto" w:before="120" w:after="0"/>
        <w:ind w:left="2485" w:right="0" w:hanging="567"/>
        <w:jc w:val="left"/>
        <w:rPr>
          <w:sz w:val="24"/>
        </w:rPr>
      </w:pPr>
      <w:r>
        <w:rPr>
          <w:sz w:val="24"/>
        </w:rPr>
        <w:t>may,</w:t>
      </w:r>
      <w:r>
        <w:rPr>
          <w:spacing w:val="19"/>
          <w:sz w:val="24"/>
        </w:rPr>
        <w:t> </w:t>
      </w:r>
      <w:r>
        <w:rPr>
          <w:sz w:val="24"/>
        </w:rPr>
        <w:t>from</w:t>
      </w:r>
      <w:r>
        <w:rPr>
          <w:spacing w:val="19"/>
          <w:sz w:val="24"/>
        </w:rPr>
        <w:t> </w:t>
      </w:r>
      <w:r>
        <w:rPr>
          <w:sz w:val="24"/>
        </w:rPr>
        <w:t>time</w:t>
      </w:r>
      <w:r>
        <w:rPr>
          <w:spacing w:val="19"/>
          <w:sz w:val="24"/>
        </w:rPr>
        <w:t> </w:t>
      </w:r>
      <w:r>
        <w:rPr>
          <w:sz w:val="24"/>
        </w:rPr>
        <w:t>to</w:t>
      </w:r>
      <w:r>
        <w:rPr>
          <w:spacing w:val="20"/>
          <w:sz w:val="24"/>
        </w:rPr>
        <w:t> </w:t>
      </w:r>
      <w:r>
        <w:rPr>
          <w:sz w:val="24"/>
        </w:rPr>
        <w:t>time,</w:t>
      </w:r>
      <w:r>
        <w:rPr>
          <w:spacing w:val="19"/>
          <w:sz w:val="24"/>
        </w:rPr>
        <w:t> </w:t>
      </w:r>
      <w:r>
        <w:rPr>
          <w:sz w:val="24"/>
        </w:rPr>
        <w:t>amend</w:t>
      </w:r>
      <w:r>
        <w:rPr>
          <w:spacing w:val="19"/>
          <w:sz w:val="24"/>
        </w:rPr>
        <w:t> </w:t>
      </w:r>
      <w:r>
        <w:rPr>
          <w:sz w:val="24"/>
        </w:rPr>
        <w:t>or</w:t>
      </w:r>
      <w:r>
        <w:rPr>
          <w:spacing w:val="19"/>
          <w:sz w:val="24"/>
        </w:rPr>
        <w:t> </w:t>
      </w:r>
      <w:r>
        <w:rPr>
          <w:sz w:val="24"/>
        </w:rPr>
        <w:t>replace</w:t>
      </w:r>
      <w:r>
        <w:rPr>
          <w:spacing w:val="20"/>
          <w:sz w:val="24"/>
        </w:rPr>
        <w:t> </w:t>
      </w:r>
      <w:r>
        <w:rPr>
          <w:sz w:val="24"/>
        </w:rPr>
        <w:t>the</w:t>
      </w:r>
      <w:r>
        <w:rPr>
          <w:spacing w:val="19"/>
          <w:sz w:val="24"/>
        </w:rPr>
        <w:t> </w:t>
      </w:r>
      <w:r>
        <w:rPr>
          <w:sz w:val="24"/>
        </w:rPr>
        <w:t>scheme</w:t>
      </w:r>
      <w:r>
        <w:rPr>
          <w:spacing w:val="19"/>
          <w:sz w:val="24"/>
        </w:rPr>
        <w:t> </w:t>
      </w:r>
      <w:r>
        <w:rPr>
          <w:sz w:val="24"/>
        </w:rPr>
        <w:t>developed</w:t>
      </w:r>
      <w:r>
        <w:rPr>
          <w:spacing w:val="20"/>
          <w:sz w:val="24"/>
        </w:rPr>
        <w:t> </w:t>
      </w:r>
      <w:r>
        <w:rPr>
          <w:sz w:val="24"/>
        </w:rPr>
        <w:t>and</w:t>
      </w:r>
    </w:p>
    <w:p>
      <w:pPr>
        <w:spacing w:before="0"/>
        <w:ind w:left="2486" w:right="0" w:firstLine="0"/>
        <w:jc w:val="left"/>
        <w:rPr>
          <w:sz w:val="24"/>
        </w:rPr>
      </w:pPr>
      <w:r>
        <w:rPr>
          <w:i/>
          <w:sz w:val="24"/>
        </w:rPr>
        <w:t>published </w:t>
      </w:r>
      <w:r>
        <w:rPr>
          <w:sz w:val="24"/>
        </w:rPr>
        <w:t>under this clause,</w:t>
      </w:r>
    </w:p>
    <w:p>
      <w:pPr>
        <w:spacing w:before="120"/>
        <w:ind w:left="1919" w:right="0" w:firstLine="0"/>
        <w:jc w:val="left"/>
        <w:rPr>
          <w:sz w:val="24"/>
        </w:rPr>
      </w:pPr>
      <w:r>
        <w:rPr>
          <w:sz w:val="24"/>
        </w:rPr>
        <w:t>in accordance with the </w:t>
      </w:r>
      <w:r>
        <w:rPr>
          <w:i/>
          <w:sz w:val="24"/>
        </w:rPr>
        <w:t>distribution consultation procedures</w:t>
      </w:r>
      <w:r>
        <w:rPr>
          <w:sz w:val="24"/>
        </w:rPr>
        <w:t>.</w:t>
      </w:r>
    </w:p>
    <w:p>
      <w:pPr>
        <w:pStyle w:val="BodyText"/>
        <w:spacing w:before="10"/>
        <w:ind w:firstLine="0"/>
        <w:jc w:val="left"/>
        <w:rPr>
          <w:sz w:val="20"/>
        </w:rPr>
      </w:pPr>
    </w:p>
    <w:p>
      <w:pPr>
        <w:pStyle w:val="Heading4"/>
        <w:numPr>
          <w:ilvl w:val="2"/>
          <w:numId w:val="414"/>
        </w:numPr>
        <w:tabs>
          <w:tab w:pos="753" w:val="left" w:leader="none"/>
          <w:tab w:pos="1351" w:val="left" w:leader="none"/>
        </w:tabs>
        <w:spacing w:line="240" w:lineRule="auto" w:before="0" w:after="0"/>
        <w:ind w:left="752" w:right="0" w:hanging="535"/>
        <w:jc w:val="left"/>
      </w:pPr>
      <w:bookmarkStart w:name="6.6.3A Demand management innovation allo" w:id="1382"/>
      <w:bookmarkEnd w:id="1382"/>
      <w:r>
        <w:rPr>
          <w:b w:val="0"/>
        </w:rPr>
      </w:r>
      <w:bookmarkStart w:name="_bookmark560" w:id="1383"/>
      <w:bookmarkEnd w:id="1383"/>
      <w:r>
        <w:rPr>
          <w:b w:val="0"/>
        </w:rPr>
      </w:r>
      <w:bookmarkStart w:name="_bookmark560" w:id="1384"/>
      <w:bookmarkEnd w:id="1384"/>
      <w:r>
        <w:rPr/>
        <w:t>A</w:t>
      </w:r>
      <w:r>
        <w:rPr/>
        <w:tab/>
        <w:t>Demand management innovation allowance</w:t>
      </w:r>
      <w:r>
        <w:rPr>
          <w:spacing w:val="-5"/>
        </w:rPr>
        <w:t> </w:t>
      </w:r>
      <w:r>
        <w:rPr/>
        <w:t>mechanism</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 </w:t>
      </w:r>
      <w:r>
        <w:rPr>
          <w:i/>
          <w:sz w:val="24"/>
        </w:rPr>
        <w:t>demand management innovation allowance </w:t>
      </w:r>
      <w:r>
        <w:rPr>
          <w:i/>
          <w:sz w:val="24"/>
        </w:rPr>
        <w:t>mechanism </w:t>
      </w:r>
      <w:r>
        <w:rPr>
          <w:sz w:val="24"/>
        </w:rPr>
        <w:t>consistent with the </w:t>
      </w:r>
      <w:r>
        <w:rPr>
          <w:i/>
          <w:sz w:val="24"/>
        </w:rPr>
        <w:t>demand management innovation allowance </w:t>
      </w:r>
      <w:r>
        <w:rPr>
          <w:i/>
          <w:sz w:val="24"/>
        </w:rPr>
        <w:t>objective</w:t>
      </w:r>
      <w:r>
        <w:rPr>
          <w:sz w:val="24"/>
        </w:rPr>
        <w:t>.</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The objective of the </w:t>
      </w:r>
      <w:r>
        <w:rPr>
          <w:i/>
          <w:sz w:val="24"/>
        </w:rPr>
        <w:t>demand management innovation allowance mechanism </w:t>
      </w:r>
      <w:r>
        <w:rPr>
          <w:sz w:val="24"/>
        </w:rPr>
        <w:t>is to provide </w:t>
      </w:r>
      <w:r>
        <w:rPr>
          <w:i/>
          <w:sz w:val="24"/>
        </w:rPr>
        <w:t>Distribution Network Service Providers </w:t>
      </w:r>
      <w:r>
        <w:rPr>
          <w:sz w:val="24"/>
        </w:rPr>
        <w:t>with funding for research and development in demand management projects that have </w:t>
      </w:r>
      <w:r>
        <w:rPr>
          <w:spacing w:val="-4"/>
          <w:sz w:val="24"/>
        </w:rPr>
        <w:t>the </w:t>
      </w:r>
      <w:r>
        <w:rPr>
          <w:sz w:val="24"/>
        </w:rPr>
        <w:t>potential to reduce long term </w:t>
      </w:r>
      <w:r>
        <w:rPr>
          <w:i/>
          <w:sz w:val="24"/>
        </w:rPr>
        <w:t>network </w:t>
      </w:r>
      <w:r>
        <w:rPr>
          <w:sz w:val="24"/>
        </w:rPr>
        <w:t>costs (the </w:t>
      </w:r>
      <w:r>
        <w:rPr>
          <w:i/>
          <w:sz w:val="24"/>
        </w:rPr>
        <w:t>demand management </w:t>
      </w:r>
      <w:r>
        <w:rPr>
          <w:i/>
          <w:sz w:val="24"/>
        </w:rPr>
        <w:t>innovation allowance</w:t>
      </w:r>
      <w:r>
        <w:rPr>
          <w:i/>
          <w:spacing w:val="-1"/>
          <w:sz w:val="24"/>
        </w:rPr>
        <w:t> </w:t>
      </w:r>
      <w:r>
        <w:rPr>
          <w:i/>
          <w:sz w:val="24"/>
        </w:rPr>
        <w:t>objective</w:t>
      </w:r>
      <w:r>
        <w:rPr>
          <w:sz w:val="24"/>
        </w:rPr>
        <w:t>).</w:t>
      </w:r>
    </w:p>
    <w:p>
      <w:pPr>
        <w:pStyle w:val="ListParagraph"/>
        <w:numPr>
          <w:ilvl w:val="3"/>
          <w:numId w:val="414"/>
        </w:numPr>
        <w:tabs>
          <w:tab w:pos="1919" w:val="left" w:leader="none"/>
        </w:tabs>
        <w:spacing w:line="240" w:lineRule="auto" w:before="120" w:after="0"/>
        <w:ind w:left="1919" w:right="416" w:hanging="567"/>
        <w:jc w:val="both"/>
        <w:rPr>
          <w:sz w:val="24"/>
        </w:rPr>
      </w:pPr>
      <w:r>
        <w:rPr>
          <w:sz w:val="24"/>
        </w:rPr>
        <w:t>In developing and applying any </w:t>
      </w:r>
      <w:r>
        <w:rPr>
          <w:i/>
          <w:sz w:val="24"/>
        </w:rPr>
        <w:t>demand management innovation allowance </w:t>
      </w:r>
      <w:r>
        <w:rPr>
          <w:i/>
          <w:sz w:val="24"/>
        </w:rPr>
        <w:t>mechanism</w:t>
      </w:r>
      <w:r>
        <w:rPr>
          <w:sz w:val="24"/>
        </w:rPr>
        <w:t>, the </w:t>
      </w:r>
      <w:r>
        <w:rPr>
          <w:i/>
          <w:sz w:val="24"/>
        </w:rPr>
        <w:t>AER </w:t>
      </w:r>
      <w:r>
        <w:rPr>
          <w:sz w:val="24"/>
        </w:rPr>
        <w:t>must take into account the</w:t>
      </w:r>
      <w:r>
        <w:rPr>
          <w:spacing w:val="-3"/>
          <w:sz w:val="24"/>
        </w:rPr>
        <w:t> </w:t>
      </w:r>
      <w:r>
        <w:rPr>
          <w:sz w:val="24"/>
        </w:rPr>
        <w:t>following:</w:t>
      </w:r>
    </w:p>
    <w:p>
      <w:pPr>
        <w:pStyle w:val="ListParagraph"/>
        <w:numPr>
          <w:ilvl w:val="4"/>
          <w:numId w:val="414"/>
        </w:numPr>
        <w:tabs>
          <w:tab w:pos="2486" w:val="left" w:leader="none"/>
        </w:tabs>
        <w:spacing w:line="240" w:lineRule="auto" w:before="120" w:after="0"/>
        <w:ind w:left="2486" w:right="414" w:hanging="567"/>
        <w:jc w:val="both"/>
        <w:rPr>
          <w:sz w:val="24"/>
        </w:rPr>
      </w:pPr>
      <w:r>
        <w:rPr>
          <w:sz w:val="24"/>
        </w:rPr>
        <w:t>the mechanism should be applied in a manner that contributes to the achievement of the </w:t>
      </w:r>
      <w:r>
        <w:rPr>
          <w:i/>
          <w:sz w:val="24"/>
        </w:rPr>
        <w:t>demand management innovation allowance </w:t>
      </w:r>
      <w:r>
        <w:rPr>
          <w:i/>
          <w:sz w:val="24"/>
        </w:rPr>
        <w:t>objective</w:t>
      </w:r>
      <w:r>
        <w:rPr>
          <w:sz w:val="24"/>
        </w:rPr>
        <w:t>;</w:t>
      </w:r>
    </w:p>
    <w:p>
      <w:pPr>
        <w:pStyle w:val="ListParagraph"/>
        <w:numPr>
          <w:ilvl w:val="4"/>
          <w:numId w:val="414"/>
        </w:numPr>
        <w:tabs>
          <w:tab w:pos="2486" w:val="left" w:leader="none"/>
        </w:tabs>
        <w:spacing w:line="240" w:lineRule="auto" w:before="120" w:after="0"/>
        <w:ind w:left="2485" w:right="0" w:hanging="567"/>
        <w:jc w:val="both"/>
        <w:rPr>
          <w:sz w:val="24"/>
        </w:rPr>
      </w:pPr>
      <w:r>
        <w:rPr>
          <w:sz w:val="24"/>
        </w:rPr>
        <w:t>demand management projects, the subject of the allowance,</w:t>
      </w:r>
      <w:r>
        <w:rPr>
          <w:spacing w:val="-6"/>
          <w:sz w:val="24"/>
        </w:rPr>
        <w:t> </w:t>
      </w:r>
      <w:r>
        <w:rPr>
          <w:sz w:val="24"/>
        </w:rPr>
        <w:t>should:</w:t>
      </w:r>
    </w:p>
    <w:p>
      <w:pPr>
        <w:spacing w:after="0" w:line="240" w:lineRule="auto"/>
        <w:jc w:val="both"/>
        <w:rPr>
          <w:sz w:val="24"/>
        </w:rPr>
        <w:sectPr>
          <w:pgSz w:w="11910" w:h="16840"/>
          <w:pgMar w:header="686" w:footer="637" w:top="1320" w:bottom="820" w:left="1200" w:right="1000"/>
        </w:sectPr>
      </w:pPr>
    </w:p>
    <w:p>
      <w:pPr>
        <w:pStyle w:val="ListParagraph"/>
        <w:numPr>
          <w:ilvl w:val="5"/>
          <w:numId w:val="414"/>
        </w:numPr>
        <w:tabs>
          <w:tab w:pos="3053" w:val="left" w:leader="none"/>
        </w:tabs>
        <w:spacing w:line="240" w:lineRule="auto" w:before="83" w:after="0"/>
        <w:ind w:left="3053" w:right="416" w:hanging="567"/>
        <w:jc w:val="both"/>
        <w:rPr>
          <w:sz w:val="24"/>
        </w:rPr>
      </w:pPr>
      <w:r>
        <w:rPr>
          <w:sz w:val="24"/>
        </w:rPr>
        <w:t>have the potential to deliver ongoing reductions in demand </w:t>
      </w:r>
      <w:r>
        <w:rPr>
          <w:spacing w:val="-7"/>
          <w:sz w:val="24"/>
        </w:rPr>
        <w:t>or </w:t>
      </w:r>
      <w:r>
        <w:rPr>
          <w:sz w:val="24"/>
        </w:rPr>
        <w:t>peak demand;</w:t>
      </w:r>
      <w:r>
        <w:rPr>
          <w:spacing w:val="-1"/>
          <w:sz w:val="24"/>
        </w:rPr>
        <w:t> </w:t>
      </w:r>
      <w:r>
        <w:rPr>
          <w:sz w:val="24"/>
        </w:rPr>
        <w:t>and</w:t>
      </w:r>
    </w:p>
    <w:p>
      <w:pPr>
        <w:pStyle w:val="ListParagraph"/>
        <w:numPr>
          <w:ilvl w:val="5"/>
          <w:numId w:val="414"/>
        </w:numPr>
        <w:tabs>
          <w:tab w:pos="3054" w:val="left" w:leader="none"/>
        </w:tabs>
        <w:spacing w:line="240" w:lineRule="auto" w:before="120" w:after="0"/>
        <w:ind w:left="3053" w:right="415" w:hanging="567"/>
        <w:jc w:val="both"/>
        <w:rPr>
          <w:sz w:val="24"/>
        </w:rPr>
      </w:pPr>
      <w:r>
        <w:rPr>
          <w:sz w:val="24"/>
        </w:rPr>
        <w:t>be innovative and not be otherwise efficient and prudent </w:t>
      </w:r>
      <w:r>
        <w:rPr>
          <w:i/>
          <w:spacing w:val="-3"/>
          <w:sz w:val="24"/>
        </w:rPr>
        <w:t>non- </w:t>
      </w:r>
      <w:r>
        <w:rPr>
          <w:i/>
          <w:sz w:val="24"/>
        </w:rPr>
        <w:t>network options </w:t>
      </w:r>
      <w:r>
        <w:rPr>
          <w:sz w:val="24"/>
        </w:rPr>
        <w:t>that a </w:t>
      </w:r>
      <w:r>
        <w:rPr>
          <w:i/>
          <w:sz w:val="24"/>
        </w:rPr>
        <w:t>Distribution Network Service Providers </w:t>
      </w:r>
      <w:r>
        <w:rPr>
          <w:sz w:val="24"/>
        </w:rPr>
        <w:t>should have provided for in its </w:t>
      </w:r>
      <w:r>
        <w:rPr>
          <w:i/>
          <w:sz w:val="24"/>
        </w:rPr>
        <w:t>regulatory</w:t>
      </w:r>
      <w:r>
        <w:rPr>
          <w:i/>
          <w:spacing w:val="-6"/>
          <w:sz w:val="24"/>
        </w:rPr>
        <w:t> </w:t>
      </w:r>
      <w:r>
        <w:rPr>
          <w:i/>
          <w:sz w:val="24"/>
        </w:rPr>
        <w:t>proposal</w:t>
      </w:r>
      <w:r>
        <w:rPr>
          <w:sz w:val="24"/>
        </w:rPr>
        <w:t>;</w:t>
      </w:r>
    </w:p>
    <w:p>
      <w:pPr>
        <w:pStyle w:val="ListParagraph"/>
        <w:numPr>
          <w:ilvl w:val="4"/>
          <w:numId w:val="414"/>
        </w:numPr>
        <w:tabs>
          <w:tab w:pos="2486" w:val="left" w:leader="none"/>
        </w:tabs>
        <w:spacing w:line="240" w:lineRule="auto" w:before="120" w:after="0"/>
        <w:ind w:left="2485" w:right="0" w:hanging="567"/>
        <w:jc w:val="both"/>
        <w:rPr>
          <w:sz w:val="24"/>
        </w:rPr>
      </w:pPr>
      <w:r>
        <w:rPr>
          <w:sz w:val="24"/>
        </w:rPr>
        <w:t>the level of the</w:t>
      </w:r>
      <w:r>
        <w:rPr>
          <w:spacing w:val="-2"/>
          <w:sz w:val="24"/>
        </w:rPr>
        <w:t> </w:t>
      </w:r>
      <w:r>
        <w:rPr>
          <w:sz w:val="24"/>
        </w:rPr>
        <w:t>allowance:</w:t>
      </w:r>
    </w:p>
    <w:p>
      <w:pPr>
        <w:pStyle w:val="ListParagraph"/>
        <w:numPr>
          <w:ilvl w:val="5"/>
          <w:numId w:val="414"/>
        </w:numPr>
        <w:tabs>
          <w:tab w:pos="3053" w:val="left" w:leader="none"/>
        </w:tabs>
        <w:spacing w:line="240" w:lineRule="auto" w:before="120" w:after="0"/>
        <w:ind w:left="3053" w:right="415" w:hanging="567"/>
        <w:jc w:val="both"/>
        <w:rPr>
          <w:sz w:val="24"/>
        </w:rPr>
      </w:pPr>
      <w:r>
        <w:rPr>
          <w:sz w:val="24"/>
        </w:rPr>
        <w:t>should be reasonable, considering the long term benefit to </w:t>
      </w:r>
      <w:r>
        <w:rPr>
          <w:i/>
          <w:sz w:val="24"/>
        </w:rPr>
        <w:t>retail </w:t>
      </w:r>
      <w:r>
        <w:rPr>
          <w:i/>
          <w:sz w:val="24"/>
        </w:rPr>
        <w:t>customers</w:t>
      </w:r>
      <w:r>
        <w:rPr>
          <w:sz w:val="24"/>
        </w:rPr>
        <w:t>;</w:t>
      </w:r>
    </w:p>
    <w:p>
      <w:pPr>
        <w:pStyle w:val="ListParagraph"/>
        <w:numPr>
          <w:ilvl w:val="5"/>
          <w:numId w:val="414"/>
        </w:numPr>
        <w:tabs>
          <w:tab w:pos="3054" w:val="left" w:leader="none"/>
        </w:tabs>
        <w:spacing w:line="240" w:lineRule="auto" w:before="120" w:after="0"/>
        <w:ind w:left="3053" w:right="415" w:hanging="567"/>
        <w:jc w:val="both"/>
        <w:rPr>
          <w:sz w:val="24"/>
        </w:rPr>
      </w:pPr>
      <w:r>
        <w:rPr>
          <w:sz w:val="24"/>
        </w:rPr>
        <w:t>should only provide funding that is not available from any another source, including under a relevant distribution determination;</w:t>
      </w:r>
      <w:r>
        <w:rPr>
          <w:spacing w:val="-1"/>
          <w:sz w:val="24"/>
        </w:rPr>
        <w:t> </w:t>
      </w:r>
      <w:r>
        <w:rPr>
          <w:sz w:val="24"/>
        </w:rPr>
        <w:t>and</w:t>
      </w:r>
    </w:p>
    <w:p>
      <w:pPr>
        <w:pStyle w:val="ListParagraph"/>
        <w:numPr>
          <w:ilvl w:val="5"/>
          <w:numId w:val="414"/>
        </w:numPr>
        <w:tabs>
          <w:tab w:pos="3053" w:val="left" w:leader="none"/>
        </w:tabs>
        <w:spacing w:line="240" w:lineRule="auto" w:before="120" w:after="0"/>
        <w:ind w:left="3053" w:right="416" w:hanging="567"/>
        <w:jc w:val="both"/>
        <w:rPr>
          <w:sz w:val="24"/>
        </w:rPr>
      </w:pPr>
      <w:r>
        <w:rPr>
          <w:sz w:val="24"/>
        </w:rPr>
        <w:t>may vary by </w:t>
      </w:r>
      <w:r>
        <w:rPr>
          <w:i/>
          <w:sz w:val="24"/>
        </w:rPr>
        <w:t>Distribution Network Service Provider </w:t>
      </w:r>
      <w:r>
        <w:rPr>
          <w:sz w:val="24"/>
        </w:rPr>
        <w:t>and over time;</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allowance may fund demand management projects which occur over a period longer than a </w:t>
      </w:r>
      <w:r>
        <w:rPr>
          <w:i/>
          <w:sz w:val="24"/>
        </w:rPr>
        <w:t>regulatory control</w:t>
      </w:r>
      <w:r>
        <w:rPr>
          <w:i/>
          <w:spacing w:val="-2"/>
          <w:sz w:val="24"/>
        </w:rPr>
        <w:t> </w:t>
      </w:r>
      <w:r>
        <w:rPr>
          <w:i/>
          <w:sz w:val="24"/>
        </w:rPr>
        <w:t>period</w:t>
      </w:r>
      <w:r>
        <w:rPr>
          <w:sz w:val="24"/>
        </w:rPr>
        <w:t>.</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Any mechanism developed and applied by the </w:t>
      </w:r>
      <w:r>
        <w:rPr>
          <w:i/>
          <w:sz w:val="24"/>
        </w:rPr>
        <w:t>AER </w:t>
      </w:r>
      <w:r>
        <w:rPr>
          <w:sz w:val="24"/>
        </w:rPr>
        <w:t>must require </w:t>
      </w:r>
      <w:r>
        <w:rPr>
          <w:i/>
          <w:sz w:val="24"/>
        </w:rPr>
        <w:t>Distribution Network Service Providers </w:t>
      </w:r>
      <w:r>
        <w:rPr>
          <w:sz w:val="24"/>
        </w:rPr>
        <w:t>to </w:t>
      </w:r>
      <w:r>
        <w:rPr>
          <w:i/>
          <w:sz w:val="24"/>
        </w:rPr>
        <w:t>publish </w:t>
      </w:r>
      <w:r>
        <w:rPr>
          <w:sz w:val="24"/>
        </w:rPr>
        <w:t>reports on the nature and results of demand management projects the subject of the</w:t>
      </w:r>
      <w:r>
        <w:rPr>
          <w:spacing w:val="-3"/>
          <w:sz w:val="24"/>
        </w:rPr>
        <w:t> </w:t>
      </w:r>
      <w:r>
        <w:rPr>
          <w:sz w:val="24"/>
        </w:rPr>
        <w:t>allowance.</w:t>
      </w:r>
    </w:p>
    <w:p>
      <w:pPr>
        <w:pStyle w:val="ListParagraph"/>
        <w:numPr>
          <w:ilvl w:val="3"/>
          <w:numId w:val="41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w:t>
      </w:r>
      <w:r>
        <w:rPr>
          <w:sz w:val="24"/>
        </w:rPr>
        <w:t>:</w:t>
      </w:r>
    </w:p>
    <w:p>
      <w:pPr>
        <w:pStyle w:val="ListParagraph"/>
        <w:numPr>
          <w:ilvl w:val="4"/>
          <w:numId w:val="414"/>
        </w:numPr>
        <w:tabs>
          <w:tab w:pos="2485" w:val="left" w:leader="none"/>
          <w:tab w:pos="2486" w:val="left" w:leader="none"/>
        </w:tabs>
        <w:spacing w:line="240" w:lineRule="auto" w:before="120" w:after="0"/>
        <w:ind w:left="2485" w:right="0" w:hanging="567"/>
        <w:jc w:val="left"/>
        <w:rPr>
          <w:sz w:val="24"/>
        </w:rPr>
      </w:pPr>
      <w:r>
        <w:rPr>
          <w:sz w:val="24"/>
        </w:rPr>
        <w:t>must develop and </w:t>
      </w:r>
      <w:r>
        <w:rPr>
          <w:i/>
          <w:sz w:val="24"/>
        </w:rPr>
        <w:t>publish </w:t>
      </w:r>
      <w:r>
        <w:rPr>
          <w:sz w:val="24"/>
        </w:rPr>
        <w:t>the mechanism;</w:t>
      </w:r>
      <w:r>
        <w:rPr>
          <w:spacing w:val="-1"/>
          <w:sz w:val="24"/>
        </w:rPr>
        <w:t> </w:t>
      </w:r>
      <w:r>
        <w:rPr>
          <w:sz w:val="24"/>
        </w:rPr>
        <w:t>and</w:t>
      </w:r>
    </w:p>
    <w:p>
      <w:pPr>
        <w:pStyle w:val="ListParagraph"/>
        <w:numPr>
          <w:ilvl w:val="4"/>
          <w:numId w:val="414"/>
        </w:numPr>
        <w:tabs>
          <w:tab w:pos="2485" w:val="left" w:leader="none"/>
          <w:tab w:pos="2486" w:val="left" w:leader="none"/>
        </w:tabs>
        <w:spacing w:line="240" w:lineRule="auto" w:before="120" w:after="0"/>
        <w:ind w:left="2486" w:right="414" w:hanging="567"/>
        <w:jc w:val="left"/>
        <w:rPr>
          <w:sz w:val="24"/>
        </w:rPr>
      </w:pPr>
      <w:r>
        <w:rPr>
          <w:sz w:val="24"/>
        </w:rPr>
        <w:t>may, from time to time, amend or replace any mechanism developed and </w:t>
      </w:r>
      <w:r>
        <w:rPr>
          <w:i/>
          <w:sz w:val="24"/>
        </w:rPr>
        <w:t>published </w:t>
      </w:r>
      <w:r>
        <w:rPr>
          <w:sz w:val="24"/>
        </w:rPr>
        <w:t>under this</w:t>
      </w:r>
      <w:r>
        <w:rPr>
          <w:spacing w:val="-2"/>
          <w:sz w:val="24"/>
        </w:rPr>
        <w:t> </w:t>
      </w:r>
      <w:r>
        <w:rPr>
          <w:sz w:val="24"/>
        </w:rPr>
        <w:t>clause,</w:t>
      </w:r>
    </w:p>
    <w:p>
      <w:pPr>
        <w:spacing w:before="120"/>
        <w:ind w:left="1919" w:right="0" w:firstLine="0"/>
        <w:jc w:val="left"/>
        <w:rPr>
          <w:sz w:val="24"/>
        </w:rPr>
      </w:pPr>
      <w:r>
        <w:rPr>
          <w:sz w:val="24"/>
        </w:rPr>
        <w:t>in accordance with the </w:t>
      </w:r>
      <w:r>
        <w:rPr>
          <w:i/>
          <w:sz w:val="24"/>
        </w:rPr>
        <w:t>distribution consultation procedures</w:t>
      </w:r>
      <w:r>
        <w:rPr>
          <w:sz w:val="24"/>
        </w:rPr>
        <w:t>.</w:t>
      </w:r>
    </w:p>
    <w:p>
      <w:pPr>
        <w:pStyle w:val="BodyText"/>
        <w:spacing w:before="10"/>
        <w:ind w:firstLine="0"/>
        <w:jc w:val="left"/>
        <w:rPr>
          <w:sz w:val="20"/>
        </w:rPr>
      </w:pPr>
    </w:p>
    <w:p>
      <w:pPr>
        <w:pStyle w:val="Heading4"/>
        <w:numPr>
          <w:ilvl w:val="2"/>
          <w:numId w:val="414"/>
        </w:numPr>
        <w:tabs>
          <w:tab w:pos="1351" w:val="left" w:leader="none"/>
          <w:tab w:pos="1352" w:val="left" w:leader="none"/>
        </w:tabs>
        <w:spacing w:line="240" w:lineRule="auto" w:before="0" w:after="0"/>
        <w:ind w:left="1351" w:right="0" w:hanging="1134"/>
        <w:jc w:val="left"/>
      </w:pPr>
      <w:bookmarkStart w:name="6.6.4 Small-scale incentive scheme" w:id="1385"/>
      <w:bookmarkEnd w:id="1385"/>
      <w:r>
        <w:rPr>
          <w:b w:val="0"/>
        </w:rPr>
      </w:r>
      <w:bookmarkStart w:name="_bookmark561" w:id="1386"/>
      <w:bookmarkEnd w:id="1386"/>
      <w:r>
        <w:rPr>
          <w:b w:val="0"/>
        </w:rPr>
      </w:r>
      <w:bookmarkStart w:name="_bookmark561" w:id="1387"/>
      <w:bookmarkEnd w:id="1387"/>
      <w:r>
        <w:rPr/>
        <w:t>Small-scale</w:t>
      </w:r>
      <w:r>
        <w:rPr/>
        <w:t> incentive</w:t>
      </w:r>
      <w:r>
        <w:rPr>
          <w:spacing w:val="-1"/>
        </w:rPr>
        <w:t> </w:t>
      </w:r>
      <w:r>
        <w:rPr/>
        <w:t>scheme</w:t>
      </w:r>
    </w:p>
    <w:p>
      <w:pPr>
        <w:pStyle w:val="ListParagraph"/>
        <w:numPr>
          <w:ilvl w:val="3"/>
          <w:numId w:val="41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in accordance with the </w:t>
      </w:r>
      <w:r>
        <w:rPr>
          <w:i/>
          <w:sz w:val="24"/>
        </w:rPr>
        <w:t>distribution consultation procedures</w:t>
      </w:r>
      <w:r>
        <w:rPr>
          <w:sz w:val="24"/>
        </w:rPr>
        <w:t>, develop and </w:t>
      </w:r>
      <w:r>
        <w:rPr>
          <w:i/>
          <w:sz w:val="24"/>
        </w:rPr>
        <w:t>publish </w:t>
      </w:r>
      <w:r>
        <w:rPr>
          <w:sz w:val="24"/>
        </w:rPr>
        <w:t>an incentive scheme or schemes (</w:t>
      </w:r>
      <w:r>
        <w:rPr>
          <w:i/>
          <w:sz w:val="24"/>
        </w:rPr>
        <w:t>small-scale incentive </w:t>
      </w:r>
      <w:r>
        <w:rPr>
          <w:i/>
          <w:sz w:val="24"/>
        </w:rPr>
        <w:t>scheme</w:t>
      </w:r>
      <w:r>
        <w:rPr>
          <w:sz w:val="24"/>
        </w:rPr>
        <w:t>) that provides </w:t>
      </w:r>
      <w:r>
        <w:rPr>
          <w:i/>
          <w:sz w:val="24"/>
        </w:rPr>
        <w:t>Distribution Network Service Providers </w:t>
      </w:r>
      <w:r>
        <w:rPr>
          <w:sz w:val="24"/>
        </w:rPr>
        <w:t>with incentives to provide </w:t>
      </w:r>
      <w:r>
        <w:rPr>
          <w:i/>
          <w:sz w:val="24"/>
        </w:rPr>
        <w:t>standard control services </w:t>
      </w:r>
      <w:r>
        <w:rPr>
          <w:sz w:val="24"/>
        </w:rPr>
        <w:t>in a manner that contributes to the achievement of the </w:t>
      </w:r>
      <w:r>
        <w:rPr>
          <w:i/>
          <w:sz w:val="24"/>
        </w:rPr>
        <w:t>national electricity</w:t>
      </w:r>
      <w:r>
        <w:rPr>
          <w:i/>
          <w:spacing w:val="-2"/>
          <w:sz w:val="24"/>
        </w:rPr>
        <w:t> </w:t>
      </w:r>
      <w:r>
        <w:rPr>
          <w:i/>
          <w:sz w:val="24"/>
        </w:rPr>
        <w:t>objective</w:t>
      </w:r>
      <w:r>
        <w:rPr>
          <w:sz w:val="24"/>
        </w:rPr>
        <w:t>.</w:t>
      </w:r>
    </w:p>
    <w:p>
      <w:pPr>
        <w:pStyle w:val="BodyText"/>
        <w:ind w:left="1919" w:right="415"/>
      </w:pPr>
      <w:r>
        <w:rPr/>
        <w:t>(ab) For the purposes of paragraph (a), the </w:t>
      </w:r>
      <w:r>
        <w:rPr>
          <w:i/>
        </w:rPr>
        <w:t>AER </w:t>
      </w:r>
      <w:r>
        <w:rPr/>
        <w:t>must regard the reference to "the national electricity system" in the national electricity objective stated in section 7 of the Law as including a reference to one or more, or all, of the local electricity systems, as the case requires.</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In developing and applying a </w:t>
      </w:r>
      <w:r>
        <w:rPr>
          <w:i/>
          <w:sz w:val="24"/>
        </w:rPr>
        <w:t>small-scale incentive scheme</w:t>
      </w:r>
      <w:r>
        <w:rPr>
          <w:sz w:val="24"/>
        </w:rPr>
        <w:t>, the </w:t>
      </w:r>
      <w:r>
        <w:rPr>
          <w:i/>
          <w:sz w:val="24"/>
        </w:rPr>
        <w:t>AER </w:t>
      </w:r>
      <w:r>
        <w:rPr>
          <w:sz w:val="24"/>
        </w:rPr>
        <w:t>must have regard to the following</w:t>
      </w:r>
      <w:r>
        <w:rPr>
          <w:spacing w:val="-1"/>
          <w:sz w:val="24"/>
        </w:rPr>
        <w:t> </w:t>
      </w:r>
      <w:r>
        <w:rPr>
          <w:sz w:val="24"/>
        </w:rPr>
        <w:t>matters:</w:t>
      </w:r>
    </w:p>
    <w:p>
      <w:pPr>
        <w:pStyle w:val="ListParagraph"/>
        <w:numPr>
          <w:ilvl w:val="4"/>
          <w:numId w:val="414"/>
        </w:numPr>
        <w:tabs>
          <w:tab w:pos="2486" w:val="left" w:leader="none"/>
        </w:tabs>
        <w:spacing w:line="240" w:lineRule="auto" w:before="120" w:after="0"/>
        <w:ind w:left="2486" w:right="416" w:hanging="567"/>
        <w:jc w:val="both"/>
        <w:rPr>
          <w:sz w:val="24"/>
        </w:rPr>
      </w:pPr>
      <w:r>
        <w:rPr>
          <w:i/>
          <w:sz w:val="24"/>
        </w:rPr>
        <w:t>Distribution Network Service Providers </w:t>
      </w:r>
      <w:r>
        <w:rPr>
          <w:sz w:val="24"/>
        </w:rPr>
        <w:t>should be rewarded or penalised for efficiency gains or losses in respect of their </w:t>
      </w:r>
      <w:r>
        <w:rPr>
          <w:i/>
          <w:sz w:val="24"/>
        </w:rPr>
        <w:t>distribution </w:t>
      </w:r>
      <w:r>
        <w:rPr>
          <w:i/>
          <w:sz w:val="24"/>
        </w:rPr>
        <w:t>systems</w:t>
      </w:r>
      <w:r>
        <w:rPr>
          <w:sz w:val="24"/>
        </w:rPr>
        <w:t>;</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rewards and penalties should be commensurate with the efficiency gains or efficiency losses in respect of a </w:t>
      </w:r>
      <w:r>
        <w:rPr>
          <w:i/>
          <w:sz w:val="24"/>
        </w:rPr>
        <w:t>distribution system</w:t>
      </w:r>
      <w:r>
        <w:rPr>
          <w:sz w:val="24"/>
        </w:rPr>
        <w:t>, but a reward for efficiency gains need not correspond in amount to a  penalty for efficiency</w:t>
      </w:r>
      <w:r>
        <w:rPr>
          <w:spacing w:val="-1"/>
          <w:sz w:val="24"/>
        </w:rPr>
        <w:t> </w:t>
      </w:r>
      <w:r>
        <w:rPr>
          <w:sz w:val="24"/>
        </w:rPr>
        <w:t>losses;</w:t>
      </w:r>
    </w:p>
    <w:p>
      <w:pPr>
        <w:spacing w:after="0" w:line="240" w:lineRule="auto"/>
        <w:jc w:val="both"/>
        <w:rPr>
          <w:sz w:val="24"/>
        </w:rPr>
        <w:sectPr>
          <w:pgSz w:w="11910" w:h="16840"/>
          <w:pgMar w:header="686" w:footer="637" w:top="1320" w:bottom="820" w:left="1200" w:right="1000"/>
        </w:sectPr>
      </w:pPr>
    </w:p>
    <w:p>
      <w:pPr>
        <w:pStyle w:val="ListParagraph"/>
        <w:numPr>
          <w:ilvl w:val="4"/>
          <w:numId w:val="414"/>
        </w:numPr>
        <w:tabs>
          <w:tab w:pos="2486" w:val="left" w:leader="none"/>
        </w:tabs>
        <w:spacing w:line="240" w:lineRule="auto" w:before="83" w:after="0"/>
        <w:ind w:left="2486" w:right="414" w:hanging="567"/>
        <w:jc w:val="both"/>
        <w:rPr>
          <w:sz w:val="24"/>
        </w:rPr>
      </w:pPr>
      <w:r>
        <w:rPr>
          <w:sz w:val="24"/>
        </w:rPr>
        <w:t>the benefits to electricity consumers that are likely to result </w:t>
      </w:r>
      <w:r>
        <w:rPr>
          <w:spacing w:val="-3"/>
          <w:sz w:val="24"/>
        </w:rPr>
        <w:t>from </w:t>
      </w:r>
      <w:r>
        <w:rPr>
          <w:sz w:val="24"/>
        </w:rPr>
        <w:t>efficiency gains in respect of a </w:t>
      </w:r>
      <w:r>
        <w:rPr>
          <w:i/>
          <w:sz w:val="24"/>
        </w:rPr>
        <w:t>distribution system </w:t>
      </w:r>
      <w:r>
        <w:rPr>
          <w:sz w:val="24"/>
        </w:rPr>
        <w:t>should warrant the rewards provided under the scheme, and the detriments to electricity consumers that are likely to result from efficiency losses in respect </w:t>
      </w:r>
      <w:r>
        <w:rPr>
          <w:spacing w:val="-6"/>
          <w:sz w:val="24"/>
        </w:rPr>
        <w:t>of </w:t>
      </w:r>
      <w:r>
        <w:rPr>
          <w:sz w:val="24"/>
        </w:rPr>
        <w:t>a </w:t>
      </w:r>
      <w:r>
        <w:rPr>
          <w:i/>
          <w:sz w:val="24"/>
        </w:rPr>
        <w:t>distribution system </w:t>
      </w:r>
      <w:r>
        <w:rPr>
          <w:sz w:val="24"/>
        </w:rPr>
        <w:t>should warrant the penalties provided under the scheme;</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interaction of the scheme with other incentives that </w:t>
      </w:r>
      <w:r>
        <w:rPr>
          <w:i/>
          <w:sz w:val="24"/>
        </w:rPr>
        <w:t>Distribution </w:t>
      </w:r>
      <w:r>
        <w:rPr>
          <w:i/>
          <w:sz w:val="24"/>
        </w:rPr>
        <w:t>Network Service Providers </w:t>
      </w:r>
      <w:r>
        <w:rPr>
          <w:sz w:val="24"/>
        </w:rPr>
        <w:t>may have under the </w:t>
      </w:r>
      <w:r>
        <w:rPr>
          <w:i/>
          <w:sz w:val="24"/>
        </w:rPr>
        <w:t>Rules</w:t>
      </w:r>
      <w:r>
        <w:rPr>
          <w:sz w:val="24"/>
        </w:rPr>
        <w:t>;</w:t>
      </w:r>
      <w:r>
        <w:rPr>
          <w:spacing w:val="-1"/>
          <w:sz w:val="24"/>
        </w:rPr>
        <w:t> </w:t>
      </w:r>
      <w:r>
        <w:rPr>
          <w:sz w:val="24"/>
        </w:rPr>
        <w:t>and</w:t>
      </w:r>
    </w:p>
    <w:p>
      <w:pPr>
        <w:pStyle w:val="ListParagraph"/>
        <w:numPr>
          <w:ilvl w:val="4"/>
          <w:numId w:val="414"/>
        </w:numPr>
        <w:tabs>
          <w:tab w:pos="2486" w:val="left" w:leader="none"/>
        </w:tabs>
        <w:spacing w:line="240" w:lineRule="auto" w:before="120" w:after="0"/>
        <w:ind w:left="2486" w:right="414" w:hanging="567"/>
        <w:jc w:val="both"/>
        <w:rPr>
          <w:sz w:val="24"/>
        </w:rPr>
      </w:pPr>
      <w:r>
        <w:rPr>
          <w:sz w:val="24"/>
        </w:rPr>
        <w:t>the </w:t>
      </w:r>
      <w:r>
        <w:rPr>
          <w:i/>
          <w:sz w:val="24"/>
        </w:rPr>
        <w:t>capital expenditure objectives </w:t>
      </w:r>
      <w:r>
        <w:rPr>
          <w:sz w:val="24"/>
        </w:rPr>
        <w:t>and the </w:t>
      </w:r>
      <w:r>
        <w:rPr>
          <w:i/>
          <w:sz w:val="24"/>
        </w:rPr>
        <w:t>operating expenditure </w:t>
      </w:r>
      <w:r>
        <w:rPr>
          <w:i/>
          <w:sz w:val="24"/>
        </w:rPr>
        <w:t>objectives</w:t>
      </w:r>
      <w:r>
        <w:rPr>
          <w:sz w:val="24"/>
        </w:rPr>
        <w:t>.</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from time to time and in accordance with the </w:t>
      </w:r>
      <w:r>
        <w:rPr>
          <w:i/>
          <w:sz w:val="24"/>
        </w:rPr>
        <w:t>distribution </w:t>
      </w:r>
      <w:r>
        <w:rPr>
          <w:i/>
          <w:sz w:val="24"/>
        </w:rPr>
        <w:t>consultation procedures</w:t>
      </w:r>
      <w:r>
        <w:rPr>
          <w:sz w:val="24"/>
        </w:rPr>
        <w:t>, amend or replace any </w:t>
      </w:r>
      <w:r>
        <w:rPr>
          <w:i/>
          <w:sz w:val="24"/>
        </w:rPr>
        <w:t>small-scale incentive </w:t>
      </w:r>
      <w:r>
        <w:rPr>
          <w:i/>
          <w:sz w:val="24"/>
        </w:rPr>
        <w:t>scheme</w:t>
      </w:r>
      <w:r>
        <w:rPr>
          <w:sz w:val="24"/>
        </w:rPr>
        <w:t>.</w:t>
      </w:r>
    </w:p>
    <w:p>
      <w:pPr>
        <w:pStyle w:val="ListParagraph"/>
        <w:numPr>
          <w:ilvl w:val="3"/>
          <w:numId w:val="414"/>
        </w:numPr>
        <w:tabs>
          <w:tab w:pos="1919" w:val="left" w:leader="none"/>
        </w:tabs>
        <w:spacing w:line="240" w:lineRule="auto" w:before="120" w:after="0"/>
        <w:ind w:left="1919" w:right="416" w:hanging="567"/>
        <w:jc w:val="both"/>
        <w:rPr>
          <w:sz w:val="24"/>
        </w:rPr>
      </w:pPr>
      <w:r>
        <w:rPr>
          <w:sz w:val="24"/>
        </w:rPr>
        <w:t>Where the </w:t>
      </w:r>
      <w:r>
        <w:rPr>
          <w:i/>
          <w:sz w:val="24"/>
        </w:rPr>
        <w:t>AER </w:t>
      </w:r>
      <w:r>
        <w:rPr>
          <w:sz w:val="24"/>
        </w:rPr>
        <w:t>applies a </w:t>
      </w:r>
      <w:r>
        <w:rPr>
          <w:i/>
          <w:sz w:val="24"/>
        </w:rPr>
        <w:t>small-scale incentive scheme </w:t>
      </w:r>
      <w:r>
        <w:rPr>
          <w:sz w:val="24"/>
        </w:rPr>
        <w:t>to a </w:t>
      </w:r>
      <w:r>
        <w:rPr>
          <w:i/>
          <w:sz w:val="24"/>
        </w:rPr>
        <w:t>Distribution </w:t>
      </w:r>
      <w:r>
        <w:rPr>
          <w:i/>
          <w:sz w:val="24"/>
        </w:rPr>
        <w:t>Network Service Provider </w:t>
      </w:r>
      <w:r>
        <w:rPr>
          <w:sz w:val="24"/>
        </w:rPr>
        <w:t>for a </w:t>
      </w:r>
      <w:r>
        <w:rPr>
          <w:i/>
          <w:sz w:val="24"/>
        </w:rPr>
        <w:t>regulatory control</w:t>
      </w:r>
      <w:r>
        <w:rPr>
          <w:i/>
          <w:spacing w:val="-2"/>
          <w:sz w:val="24"/>
        </w:rPr>
        <w:t> </w:t>
      </w:r>
      <w:r>
        <w:rPr>
          <w:i/>
          <w:sz w:val="24"/>
        </w:rPr>
        <w:t>period</w:t>
      </w:r>
      <w:r>
        <w:rPr>
          <w:sz w:val="24"/>
        </w:rPr>
        <w:t>:</w:t>
      </w:r>
    </w:p>
    <w:p>
      <w:pPr>
        <w:pStyle w:val="ListParagraph"/>
        <w:numPr>
          <w:ilvl w:val="4"/>
          <w:numId w:val="414"/>
        </w:numPr>
        <w:tabs>
          <w:tab w:pos="2486" w:val="left" w:leader="none"/>
        </w:tabs>
        <w:spacing w:line="240" w:lineRule="auto" w:before="120" w:after="0"/>
        <w:ind w:left="2486" w:right="414" w:hanging="567"/>
        <w:jc w:val="both"/>
        <w:rPr>
          <w:sz w:val="24"/>
        </w:rPr>
      </w:pPr>
      <w:r>
        <w:rPr>
          <w:sz w:val="24"/>
        </w:rPr>
        <w:t>the aggregate rewards or penalties for a </w:t>
      </w:r>
      <w:r>
        <w:rPr>
          <w:i/>
          <w:sz w:val="24"/>
        </w:rPr>
        <w:t>regulatory year </w:t>
      </w:r>
      <w:r>
        <w:rPr>
          <w:sz w:val="24"/>
        </w:rPr>
        <w:t>in </w:t>
      </w:r>
      <w:r>
        <w:rPr>
          <w:spacing w:val="-4"/>
          <w:sz w:val="24"/>
        </w:rPr>
        <w:t>that </w:t>
      </w:r>
      <w:r>
        <w:rPr>
          <w:i/>
          <w:sz w:val="24"/>
        </w:rPr>
        <w:t>regulatory control period </w:t>
      </w:r>
      <w:r>
        <w:rPr>
          <w:sz w:val="24"/>
        </w:rPr>
        <w:t>that are provided or imposed under that scheme and any other </w:t>
      </w:r>
      <w:r>
        <w:rPr>
          <w:i/>
          <w:sz w:val="24"/>
        </w:rPr>
        <w:t>small-scale incentive schemes </w:t>
      </w:r>
      <w:r>
        <w:rPr>
          <w:sz w:val="24"/>
        </w:rPr>
        <w:t>that apply to that </w:t>
      </w:r>
      <w:r>
        <w:rPr>
          <w:i/>
          <w:sz w:val="24"/>
        </w:rPr>
        <w:t>Distribution Network Service Provider </w:t>
      </w:r>
      <w:r>
        <w:rPr>
          <w:sz w:val="24"/>
        </w:rPr>
        <w:t>must not exceed 0.5% of the </w:t>
      </w:r>
      <w:r>
        <w:rPr>
          <w:i/>
          <w:sz w:val="24"/>
        </w:rPr>
        <w:t>annual revenue requirement </w:t>
      </w:r>
      <w:r>
        <w:rPr>
          <w:sz w:val="24"/>
        </w:rPr>
        <w:t>for the </w:t>
      </w:r>
      <w:r>
        <w:rPr>
          <w:i/>
          <w:sz w:val="24"/>
        </w:rPr>
        <w:t>Distribution Network Service </w:t>
      </w:r>
      <w:r>
        <w:rPr>
          <w:i/>
          <w:sz w:val="24"/>
        </w:rPr>
        <w:t>Provider </w:t>
      </w:r>
      <w:r>
        <w:rPr>
          <w:sz w:val="24"/>
        </w:rPr>
        <w:t>for that </w:t>
      </w:r>
      <w:r>
        <w:rPr>
          <w:i/>
          <w:sz w:val="24"/>
        </w:rPr>
        <w:t>regulatory year </w:t>
      </w:r>
      <w:r>
        <w:rPr>
          <w:sz w:val="24"/>
        </w:rPr>
        <w:t>unless the </w:t>
      </w:r>
      <w:r>
        <w:rPr>
          <w:i/>
          <w:sz w:val="24"/>
        </w:rPr>
        <w:t>Distribution Network </w:t>
      </w:r>
      <w:r>
        <w:rPr>
          <w:i/>
          <w:sz w:val="24"/>
        </w:rPr>
        <w:t>Service Provider </w:t>
      </w:r>
      <w:r>
        <w:rPr>
          <w:sz w:val="24"/>
        </w:rPr>
        <w:t>consents to the contrary, in which case that  aggregate must not exceed 1% of the </w:t>
      </w:r>
      <w:r>
        <w:rPr>
          <w:i/>
          <w:sz w:val="24"/>
        </w:rPr>
        <w:t>annual revenue requirement </w:t>
      </w:r>
      <w:r>
        <w:rPr>
          <w:sz w:val="24"/>
        </w:rPr>
        <w:t>for the </w:t>
      </w:r>
      <w:r>
        <w:rPr>
          <w:i/>
          <w:sz w:val="24"/>
        </w:rPr>
        <w:t>Distribution Network Service Provider </w:t>
      </w:r>
      <w:r>
        <w:rPr>
          <w:sz w:val="24"/>
        </w:rPr>
        <w:t>for that </w:t>
      </w:r>
      <w:r>
        <w:rPr>
          <w:i/>
          <w:sz w:val="24"/>
        </w:rPr>
        <w:t>regulatory year</w:t>
      </w:r>
      <w:r>
        <w:rPr>
          <w:sz w:val="24"/>
        </w:rPr>
        <w:t>; and</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w:t>
      </w:r>
      <w:r>
        <w:rPr>
          <w:i/>
          <w:sz w:val="24"/>
        </w:rPr>
        <w:t>small-scale incentive scheme </w:t>
      </w:r>
      <w:r>
        <w:rPr>
          <w:sz w:val="24"/>
        </w:rPr>
        <w:t>must cease to provide rewards or impose penalties in respect of a </w:t>
      </w:r>
      <w:r>
        <w:rPr>
          <w:i/>
          <w:sz w:val="24"/>
        </w:rPr>
        <w:t>regulatory year </w:t>
      </w:r>
      <w:r>
        <w:rPr>
          <w:sz w:val="24"/>
        </w:rPr>
        <w:t>after the expiry of such a period as is determined by the </w:t>
      </w:r>
      <w:r>
        <w:rPr>
          <w:i/>
          <w:sz w:val="24"/>
        </w:rPr>
        <w:t>AER</w:t>
      </w:r>
      <w:r>
        <w:rPr>
          <w:sz w:val="24"/>
        </w:rPr>
        <w:t>, being a period that is not more than two </w:t>
      </w:r>
      <w:r>
        <w:rPr>
          <w:i/>
          <w:sz w:val="24"/>
        </w:rPr>
        <w:t>regulatory control periods </w:t>
      </w:r>
      <w:r>
        <w:rPr>
          <w:sz w:val="24"/>
        </w:rPr>
        <w:t>after the commencement of that</w:t>
      </w:r>
      <w:r>
        <w:rPr>
          <w:spacing w:val="-1"/>
          <w:sz w:val="24"/>
        </w:rPr>
        <w:t> </w:t>
      </w:r>
      <w:r>
        <w:rPr>
          <w:sz w:val="24"/>
        </w:rPr>
        <w:t>scheme.</w:t>
      </w:r>
    </w:p>
    <w:p>
      <w:pPr>
        <w:pStyle w:val="ListParagraph"/>
        <w:numPr>
          <w:ilvl w:val="3"/>
          <w:numId w:val="414"/>
        </w:numPr>
        <w:tabs>
          <w:tab w:pos="1919" w:val="left" w:leader="none"/>
        </w:tabs>
        <w:spacing w:line="240" w:lineRule="auto" w:before="120" w:after="0"/>
        <w:ind w:left="1919" w:right="413" w:hanging="567"/>
        <w:jc w:val="both"/>
        <w:rPr>
          <w:sz w:val="24"/>
        </w:rPr>
      </w:pPr>
      <w:r>
        <w:rPr>
          <w:sz w:val="24"/>
        </w:rPr>
        <w:t>Notwithstanding anything else contained in this clause, the </w:t>
      </w:r>
      <w:r>
        <w:rPr>
          <w:i/>
          <w:sz w:val="24"/>
        </w:rPr>
        <w:t>AER </w:t>
      </w:r>
      <w:r>
        <w:rPr>
          <w:sz w:val="24"/>
        </w:rPr>
        <w:t>may require a </w:t>
      </w:r>
      <w:r>
        <w:rPr>
          <w:i/>
          <w:sz w:val="24"/>
        </w:rPr>
        <w:t>Distribution Network Service Provider </w:t>
      </w:r>
      <w:r>
        <w:rPr>
          <w:sz w:val="24"/>
        </w:rPr>
        <w:t>to participate in a trial of a </w:t>
      </w:r>
      <w:r>
        <w:rPr>
          <w:i/>
          <w:sz w:val="24"/>
        </w:rPr>
        <w:t>small- </w:t>
      </w:r>
      <w:r>
        <w:rPr>
          <w:i/>
          <w:sz w:val="24"/>
        </w:rPr>
        <w:t>scale incentive scheme </w:t>
      </w:r>
      <w:r>
        <w:rPr>
          <w:sz w:val="24"/>
        </w:rPr>
        <w:t>under which, for the duration of that trial, the </w:t>
      </w:r>
      <w:r>
        <w:rPr>
          <w:i/>
          <w:sz w:val="24"/>
        </w:rPr>
        <w:t>Distribution Network Service Provider </w:t>
      </w:r>
      <w:r>
        <w:rPr>
          <w:sz w:val="24"/>
        </w:rPr>
        <w:t>is not required to bear any penalty and is not entitled to earn any</w:t>
      </w:r>
      <w:r>
        <w:rPr>
          <w:spacing w:val="-1"/>
          <w:sz w:val="24"/>
        </w:rPr>
        <w:t> </w:t>
      </w:r>
      <w:r>
        <w:rPr>
          <w:sz w:val="24"/>
        </w:rPr>
        <w:t>reward.</w:t>
      </w:r>
    </w:p>
    <w:p>
      <w:pPr>
        <w:pStyle w:val="BodyText"/>
        <w:spacing w:before="10"/>
        <w:ind w:firstLine="0"/>
        <w:jc w:val="left"/>
        <w:rPr>
          <w:sz w:val="20"/>
        </w:rPr>
      </w:pPr>
    </w:p>
    <w:p>
      <w:pPr>
        <w:pStyle w:val="Heading4"/>
        <w:numPr>
          <w:ilvl w:val="2"/>
          <w:numId w:val="414"/>
        </w:numPr>
        <w:tabs>
          <w:tab w:pos="1351" w:val="left" w:leader="none"/>
          <w:tab w:pos="1352" w:val="left" w:leader="none"/>
        </w:tabs>
        <w:spacing w:line="240" w:lineRule="auto" w:before="0" w:after="0"/>
        <w:ind w:left="1351" w:right="0" w:hanging="1134"/>
        <w:jc w:val="left"/>
      </w:pPr>
      <w:bookmarkStart w:name="6.6.5 Reopening of distribution determin" w:id="1388"/>
      <w:bookmarkEnd w:id="1388"/>
      <w:r>
        <w:rPr>
          <w:b w:val="0"/>
        </w:rPr>
      </w:r>
      <w:bookmarkStart w:name="_bookmark562" w:id="1389"/>
      <w:bookmarkEnd w:id="1389"/>
      <w:r>
        <w:rPr>
          <w:b w:val="0"/>
        </w:rPr>
      </w:r>
      <w:bookmarkStart w:name="_bookmark562" w:id="1390"/>
      <w:bookmarkEnd w:id="1390"/>
      <w:r>
        <w:rPr/>
        <w:t>Reopenin</w:t>
      </w:r>
      <w:r>
        <w:rPr/>
        <w:t>g of distribution determination for capital</w:t>
      </w:r>
      <w:r>
        <w:rPr>
          <w:spacing w:val="-7"/>
        </w:rPr>
        <w:t> </w:t>
      </w:r>
      <w:r>
        <w:rPr/>
        <w:t>expenditure</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Subject to paragraph (b), a </w:t>
      </w:r>
      <w:r>
        <w:rPr>
          <w:i/>
          <w:sz w:val="24"/>
        </w:rPr>
        <w:t>Distribution Network Service Provider </w:t>
      </w:r>
      <w:r>
        <w:rPr>
          <w:sz w:val="24"/>
        </w:rPr>
        <w:t>may, during a </w:t>
      </w:r>
      <w:r>
        <w:rPr>
          <w:i/>
          <w:sz w:val="24"/>
        </w:rPr>
        <w:t>regulatory control period</w:t>
      </w:r>
      <w:r>
        <w:rPr>
          <w:sz w:val="24"/>
        </w:rPr>
        <w:t>, apply to the </w:t>
      </w:r>
      <w:r>
        <w:rPr>
          <w:i/>
          <w:sz w:val="24"/>
        </w:rPr>
        <w:t>AER </w:t>
      </w:r>
      <w:r>
        <w:rPr>
          <w:sz w:val="24"/>
        </w:rPr>
        <w:t>to revoke and substitute a distribution determination that applies to it</w:t>
      </w:r>
      <w:r>
        <w:rPr>
          <w:spacing w:val="-6"/>
          <w:sz w:val="24"/>
        </w:rPr>
        <w:t> </w:t>
      </w:r>
      <w:r>
        <w:rPr>
          <w:sz w:val="24"/>
        </w:rPr>
        <w:t>where:</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an event that is beyond the reasonable control of the </w:t>
      </w:r>
      <w:r>
        <w:rPr>
          <w:i/>
          <w:sz w:val="24"/>
        </w:rPr>
        <w:t>Distribution </w:t>
      </w:r>
      <w:r>
        <w:rPr>
          <w:i/>
          <w:sz w:val="24"/>
        </w:rPr>
        <w:t>Network Service Provider </w:t>
      </w:r>
      <w:r>
        <w:rPr>
          <w:sz w:val="24"/>
        </w:rPr>
        <w:t>has occurred during that </w:t>
      </w:r>
      <w:r>
        <w:rPr>
          <w:i/>
          <w:sz w:val="24"/>
        </w:rPr>
        <w:t>regulatory control </w:t>
      </w:r>
      <w:r>
        <w:rPr>
          <w:i/>
          <w:sz w:val="24"/>
        </w:rPr>
        <w:t>period </w:t>
      </w:r>
      <w:r>
        <w:rPr>
          <w:sz w:val="24"/>
        </w:rPr>
        <w:t>and the occurrence of that event during that period (or of an event of a similar kind) could not reasonably have been foreseen by the </w:t>
      </w:r>
      <w:r>
        <w:rPr>
          <w:i/>
          <w:sz w:val="24"/>
        </w:rPr>
        <w:t>Distribution Network Service Provider </w:t>
      </w:r>
      <w:r>
        <w:rPr>
          <w:sz w:val="24"/>
        </w:rPr>
        <w:t>at the time of the making  of the distribution determination ('</w:t>
      </w:r>
      <w:r>
        <w:rPr>
          <w:b/>
          <w:sz w:val="24"/>
        </w:rPr>
        <w:t>the</w:t>
      </w:r>
      <w:r>
        <w:rPr>
          <w:b/>
          <w:spacing w:val="-1"/>
          <w:sz w:val="24"/>
        </w:rPr>
        <w:t> </w:t>
      </w:r>
      <w:r>
        <w:rPr>
          <w:b/>
          <w:sz w:val="24"/>
        </w:rPr>
        <w:t>event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414"/>
        </w:numPr>
        <w:tabs>
          <w:tab w:pos="2486" w:val="left" w:leader="none"/>
        </w:tabs>
        <w:spacing w:line="240" w:lineRule="auto" w:before="83" w:after="0"/>
        <w:ind w:left="2486" w:right="414" w:hanging="567"/>
        <w:jc w:val="both"/>
        <w:rPr>
          <w:sz w:val="24"/>
        </w:rPr>
      </w:pPr>
      <w:r>
        <w:rPr>
          <w:sz w:val="24"/>
        </w:rPr>
        <w:t>no forecast capital expenditure was accepted or substituted by the </w:t>
      </w:r>
      <w:r>
        <w:rPr>
          <w:i/>
          <w:sz w:val="24"/>
        </w:rPr>
        <w:t>AER </w:t>
      </w:r>
      <w:r>
        <w:rPr>
          <w:sz w:val="24"/>
        </w:rPr>
        <w:t>for that period under clauses 6.5.7(c) or 6.12.1(3)(ii) (as the case </w:t>
      </w:r>
      <w:r>
        <w:rPr>
          <w:spacing w:val="-4"/>
          <w:sz w:val="24"/>
        </w:rPr>
        <w:t>may</w:t>
      </w:r>
      <w:r>
        <w:rPr>
          <w:spacing w:val="52"/>
          <w:sz w:val="24"/>
        </w:rPr>
        <w:t> </w:t>
      </w:r>
      <w:r>
        <w:rPr>
          <w:sz w:val="24"/>
        </w:rPr>
        <w:t>be) in relation to the event that has</w:t>
      </w:r>
      <w:r>
        <w:rPr>
          <w:spacing w:val="-2"/>
          <w:sz w:val="24"/>
        </w:rPr>
        <w:t> </w:t>
      </w:r>
      <w:r>
        <w:rPr>
          <w:sz w:val="24"/>
        </w:rPr>
        <w:t>occurred;</w:t>
      </w:r>
    </w:p>
    <w:p>
      <w:pPr>
        <w:pStyle w:val="ListParagraph"/>
        <w:numPr>
          <w:ilvl w:val="4"/>
          <w:numId w:val="414"/>
        </w:numPr>
        <w:tabs>
          <w:tab w:pos="2486" w:val="left" w:leader="none"/>
        </w:tabs>
        <w:spacing w:line="240" w:lineRule="auto" w:before="120" w:after="0"/>
        <w:ind w:left="2486" w:right="416" w:hanging="567"/>
        <w:jc w:val="both"/>
        <w:rPr>
          <w:sz w:val="24"/>
        </w:rPr>
      </w:pPr>
      <w:r>
        <w:rPr>
          <w:sz w:val="24"/>
        </w:rPr>
        <w:t>the </w:t>
      </w:r>
      <w:r>
        <w:rPr>
          <w:i/>
          <w:sz w:val="24"/>
        </w:rPr>
        <w:t>Distribution Network Service Provider </w:t>
      </w:r>
      <w:r>
        <w:rPr>
          <w:sz w:val="24"/>
        </w:rPr>
        <w:t>proposes to undertake capital expenditure to rectify the adverse consequences of the</w:t>
      </w:r>
      <w:r>
        <w:rPr>
          <w:spacing w:val="-3"/>
          <w:sz w:val="24"/>
        </w:rPr>
        <w:t> </w:t>
      </w:r>
      <w:r>
        <w:rPr>
          <w:sz w:val="24"/>
        </w:rPr>
        <w:t>event;</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total of the capital expenditure required during the </w:t>
      </w:r>
      <w:r>
        <w:rPr>
          <w:i/>
          <w:sz w:val="24"/>
        </w:rPr>
        <w:t>regulatory </w:t>
      </w:r>
      <w:r>
        <w:rPr>
          <w:i/>
          <w:sz w:val="24"/>
        </w:rPr>
        <w:t>control period </w:t>
      </w:r>
      <w:r>
        <w:rPr>
          <w:sz w:val="24"/>
        </w:rPr>
        <w:t>to rectify the adverse consequences of the</w:t>
      </w:r>
      <w:r>
        <w:rPr>
          <w:spacing w:val="-2"/>
          <w:sz w:val="24"/>
        </w:rPr>
        <w:t> </w:t>
      </w:r>
      <w:r>
        <w:rPr>
          <w:sz w:val="24"/>
        </w:rPr>
        <w:t>event:</w:t>
      </w:r>
    </w:p>
    <w:p>
      <w:pPr>
        <w:pStyle w:val="ListParagraph"/>
        <w:numPr>
          <w:ilvl w:val="5"/>
          <w:numId w:val="414"/>
        </w:numPr>
        <w:tabs>
          <w:tab w:pos="3053" w:val="left" w:leader="none"/>
        </w:tabs>
        <w:spacing w:line="240" w:lineRule="auto" w:before="120" w:after="0"/>
        <w:ind w:left="3053" w:right="415" w:hanging="567"/>
        <w:jc w:val="both"/>
        <w:rPr>
          <w:sz w:val="24"/>
        </w:rPr>
      </w:pPr>
      <w:r>
        <w:rPr>
          <w:sz w:val="24"/>
        </w:rPr>
        <w:t>exceeds 5% of the value of the regulatory asset base for the relevant </w:t>
      </w:r>
      <w:r>
        <w:rPr>
          <w:i/>
          <w:sz w:val="24"/>
        </w:rPr>
        <w:t>Distribution Network Service Provider </w:t>
      </w:r>
      <w:r>
        <w:rPr>
          <w:sz w:val="24"/>
        </w:rPr>
        <w:t>for the first year of the relevant </w:t>
      </w:r>
      <w:r>
        <w:rPr>
          <w:i/>
          <w:sz w:val="24"/>
        </w:rPr>
        <w:t>regulatory control</w:t>
      </w:r>
      <w:r>
        <w:rPr>
          <w:i/>
          <w:spacing w:val="-3"/>
          <w:sz w:val="24"/>
        </w:rPr>
        <w:t> </w:t>
      </w:r>
      <w:r>
        <w:rPr>
          <w:i/>
          <w:sz w:val="24"/>
        </w:rPr>
        <w:t>period</w:t>
      </w:r>
      <w:r>
        <w:rPr>
          <w:sz w:val="24"/>
        </w:rPr>
        <w:t>;</w:t>
      </w:r>
    </w:p>
    <w:p>
      <w:pPr>
        <w:pStyle w:val="ListParagraph"/>
        <w:numPr>
          <w:ilvl w:val="5"/>
          <w:numId w:val="414"/>
        </w:numPr>
        <w:tabs>
          <w:tab w:pos="3054" w:val="left" w:leader="none"/>
        </w:tabs>
        <w:spacing w:line="240" w:lineRule="auto" w:before="120" w:after="0"/>
        <w:ind w:left="3053" w:right="415" w:hanging="567"/>
        <w:jc w:val="both"/>
        <w:rPr>
          <w:sz w:val="24"/>
        </w:rPr>
      </w:pPr>
      <w:r>
        <w:rPr>
          <w:sz w:val="24"/>
        </w:rPr>
        <w:t>is such that, if undertaken, it is reasonably likely (in the absence of any other reduction in capital expenditure) to result in </w:t>
      </w:r>
      <w:r>
        <w:rPr>
          <w:spacing w:val="-4"/>
          <w:sz w:val="24"/>
        </w:rPr>
        <w:t>the </w:t>
      </w:r>
      <w:r>
        <w:rPr>
          <w:sz w:val="24"/>
        </w:rPr>
        <w:t>total actual capital expenditure for that </w:t>
      </w:r>
      <w:r>
        <w:rPr>
          <w:i/>
          <w:sz w:val="24"/>
        </w:rPr>
        <w:t>regulatory control period </w:t>
      </w:r>
      <w:r>
        <w:rPr>
          <w:sz w:val="24"/>
        </w:rPr>
        <w:t>exceeding the total of the forecast capital expenditure for that </w:t>
      </w:r>
      <w:r>
        <w:rPr>
          <w:i/>
          <w:sz w:val="24"/>
        </w:rPr>
        <w:t>regulatory control period </w:t>
      </w:r>
      <w:r>
        <w:rPr>
          <w:sz w:val="24"/>
        </w:rPr>
        <w:t>as accepted or substituted by the </w:t>
      </w:r>
      <w:r>
        <w:rPr>
          <w:i/>
          <w:sz w:val="24"/>
        </w:rPr>
        <w:t>AER </w:t>
      </w:r>
      <w:r>
        <w:rPr>
          <w:sz w:val="24"/>
        </w:rPr>
        <w:t>in accordance with clauses 6.5.7(c) or 6.12.1(3)(ii) (as the case may be);</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 </w:t>
      </w:r>
      <w:r>
        <w:rPr>
          <w:sz w:val="24"/>
        </w:rPr>
        <w:t>can demonstrate that it is not able to reduce capital expenditure in other areas to avoid </w:t>
      </w:r>
      <w:r>
        <w:rPr>
          <w:spacing w:val="-4"/>
          <w:sz w:val="24"/>
        </w:rPr>
        <w:t>the </w:t>
      </w:r>
      <w:r>
        <w:rPr>
          <w:sz w:val="24"/>
        </w:rPr>
        <w:t>consequence referred to in subparagraph (a)(4)(ii) without materially adversely affecting the </w:t>
      </w:r>
      <w:r>
        <w:rPr>
          <w:i/>
          <w:sz w:val="24"/>
        </w:rPr>
        <w:t>reliability </w:t>
      </w:r>
      <w:r>
        <w:rPr>
          <w:sz w:val="24"/>
        </w:rPr>
        <w:t>and security of the relevant </w:t>
      </w:r>
      <w:r>
        <w:rPr>
          <w:i/>
          <w:sz w:val="24"/>
        </w:rPr>
        <w:t>distribution</w:t>
      </w:r>
      <w:r>
        <w:rPr>
          <w:i/>
          <w:spacing w:val="-1"/>
          <w:sz w:val="24"/>
        </w:rPr>
        <w:t> </w:t>
      </w:r>
      <w:r>
        <w:rPr>
          <w:i/>
          <w:sz w:val="24"/>
        </w:rPr>
        <w:t>system</w:t>
      </w:r>
      <w:r>
        <w:rPr>
          <w:sz w:val="24"/>
        </w:rPr>
        <w:t>;</w:t>
      </w:r>
    </w:p>
    <w:p>
      <w:pPr>
        <w:pStyle w:val="ListParagraph"/>
        <w:numPr>
          <w:ilvl w:val="4"/>
          <w:numId w:val="414"/>
        </w:numPr>
        <w:tabs>
          <w:tab w:pos="2486" w:val="left" w:leader="none"/>
        </w:tabs>
        <w:spacing w:line="240" w:lineRule="auto" w:before="120" w:after="0"/>
        <w:ind w:left="2486" w:right="414" w:hanging="567"/>
        <w:jc w:val="both"/>
        <w:rPr>
          <w:sz w:val="24"/>
        </w:rPr>
      </w:pPr>
      <w:r>
        <w:rPr>
          <w:sz w:val="24"/>
        </w:rPr>
        <w:t>a failure to rectify the adverse consequences of the event would be likely to materially adversely affect the </w:t>
      </w:r>
      <w:r>
        <w:rPr>
          <w:i/>
          <w:sz w:val="24"/>
        </w:rPr>
        <w:t>reliability </w:t>
      </w:r>
      <w:r>
        <w:rPr>
          <w:sz w:val="24"/>
        </w:rPr>
        <w:t>and security of the relevant </w:t>
      </w:r>
      <w:r>
        <w:rPr>
          <w:i/>
          <w:sz w:val="24"/>
        </w:rPr>
        <w:t>distribution system</w:t>
      </w:r>
      <w:r>
        <w:rPr>
          <w:sz w:val="24"/>
        </w:rPr>
        <w:t>;</w:t>
      </w:r>
      <w:r>
        <w:rPr>
          <w:spacing w:val="-1"/>
          <w:sz w:val="24"/>
        </w:rPr>
        <w:t> </w:t>
      </w:r>
      <w:r>
        <w:rPr>
          <w:sz w:val="24"/>
        </w:rPr>
        <w:t>and</w:t>
      </w:r>
    </w:p>
    <w:p>
      <w:pPr>
        <w:pStyle w:val="ListParagraph"/>
        <w:numPr>
          <w:ilvl w:val="4"/>
          <w:numId w:val="414"/>
        </w:numPr>
        <w:tabs>
          <w:tab w:pos="2486" w:val="left" w:leader="none"/>
        </w:tabs>
        <w:spacing w:line="240" w:lineRule="auto" w:before="120" w:after="0"/>
        <w:ind w:left="2485" w:right="0" w:hanging="567"/>
        <w:jc w:val="both"/>
        <w:rPr>
          <w:sz w:val="24"/>
        </w:rPr>
      </w:pPr>
      <w:r>
        <w:rPr>
          <w:sz w:val="24"/>
        </w:rPr>
        <w:t>the event is not a </w:t>
      </w:r>
      <w:r>
        <w:rPr>
          <w:i/>
          <w:sz w:val="24"/>
        </w:rPr>
        <w:t>pass through event </w:t>
      </w:r>
      <w:r>
        <w:rPr>
          <w:sz w:val="24"/>
        </w:rPr>
        <w:t>or a </w:t>
      </w:r>
      <w:r>
        <w:rPr>
          <w:i/>
          <w:sz w:val="24"/>
        </w:rPr>
        <w:t>contingent</w:t>
      </w:r>
      <w:r>
        <w:rPr>
          <w:i/>
          <w:spacing w:val="-3"/>
          <w:sz w:val="24"/>
        </w:rPr>
        <w:t> </w:t>
      </w:r>
      <w:r>
        <w:rPr>
          <w:i/>
          <w:sz w:val="24"/>
        </w:rPr>
        <w:t>project</w:t>
      </w:r>
      <w:r>
        <w:rPr>
          <w:sz w:val="24"/>
        </w:rPr>
        <w:t>.</w:t>
      </w:r>
    </w:p>
    <w:p>
      <w:pPr>
        <w:pStyle w:val="BodyText"/>
        <w:ind w:left="1919" w:right="415" w:firstLine="0"/>
      </w:pPr>
      <w:r>
        <w:rPr/>
        <w:t>In this paragraph (a), a reference to an event includes a series of events or a state of affairs, which may include a greater than anticipated increase in demand.</w:t>
      </w:r>
    </w:p>
    <w:p>
      <w:pPr>
        <w:pStyle w:val="ListParagraph"/>
        <w:numPr>
          <w:ilvl w:val="3"/>
          <w:numId w:val="414"/>
        </w:numPr>
        <w:tabs>
          <w:tab w:pos="1919" w:val="left" w:leader="none"/>
        </w:tabs>
        <w:spacing w:line="240" w:lineRule="auto" w:before="120" w:after="0"/>
        <w:ind w:left="1918" w:right="0" w:hanging="567"/>
        <w:jc w:val="both"/>
        <w:rPr>
          <w:sz w:val="24"/>
        </w:rPr>
      </w:pPr>
      <w:r>
        <w:rPr>
          <w:sz w:val="24"/>
        </w:rPr>
        <w:t>An</w:t>
      </w:r>
      <w:r>
        <w:rPr>
          <w:spacing w:val="45"/>
          <w:sz w:val="24"/>
        </w:rPr>
        <w:t> </w:t>
      </w:r>
      <w:r>
        <w:rPr>
          <w:sz w:val="24"/>
        </w:rPr>
        <w:t>application</w:t>
      </w:r>
      <w:r>
        <w:rPr>
          <w:spacing w:val="46"/>
          <w:sz w:val="24"/>
        </w:rPr>
        <w:t> </w:t>
      </w:r>
      <w:r>
        <w:rPr>
          <w:sz w:val="24"/>
        </w:rPr>
        <w:t>referred</w:t>
      </w:r>
      <w:r>
        <w:rPr>
          <w:spacing w:val="45"/>
          <w:sz w:val="24"/>
        </w:rPr>
        <w:t> </w:t>
      </w:r>
      <w:r>
        <w:rPr>
          <w:sz w:val="24"/>
        </w:rPr>
        <w:t>to</w:t>
      </w:r>
      <w:r>
        <w:rPr>
          <w:spacing w:val="46"/>
          <w:sz w:val="24"/>
        </w:rPr>
        <w:t> </w:t>
      </w:r>
      <w:r>
        <w:rPr>
          <w:sz w:val="24"/>
        </w:rPr>
        <w:t>in</w:t>
      </w:r>
      <w:r>
        <w:rPr>
          <w:spacing w:val="45"/>
          <w:sz w:val="24"/>
        </w:rPr>
        <w:t> </w:t>
      </w:r>
      <w:r>
        <w:rPr>
          <w:sz w:val="24"/>
        </w:rPr>
        <w:t>paragraph</w:t>
      </w:r>
      <w:r>
        <w:rPr>
          <w:spacing w:val="46"/>
          <w:sz w:val="24"/>
        </w:rPr>
        <w:t> </w:t>
      </w:r>
      <w:r>
        <w:rPr>
          <w:sz w:val="24"/>
        </w:rPr>
        <w:t>(a)</w:t>
      </w:r>
      <w:r>
        <w:rPr>
          <w:spacing w:val="45"/>
          <w:sz w:val="24"/>
        </w:rPr>
        <w:t> </w:t>
      </w:r>
      <w:r>
        <w:rPr>
          <w:sz w:val="24"/>
        </w:rPr>
        <w:t>must</w:t>
      </w:r>
      <w:r>
        <w:rPr>
          <w:spacing w:val="46"/>
          <w:sz w:val="24"/>
        </w:rPr>
        <w:t> </w:t>
      </w:r>
      <w:r>
        <w:rPr>
          <w:sz w:val="24"/>
        </w:rPr>
        <w:t>not</w:t>
      </w:r>
      <w:r>
        <w:rPr>
          <w:spacing w:val="46"/>
          <w:sz w:val="24"/>
        </w:rPr>
        <w:t> </w:t>
      </w:r>
      <w:r>
        <w:rPr>
          <w:sz w:val="24"/>
        </w:rPr>
        <w:t>be</w:t>
      </w:r>
      <w:r>
        <w:rPr>
          <w:spacing w:val="45"/>
          <w:sz w:val="24"/>
        </w:rPr>
        <w:t> </w:t>
      </w:r>
      <w:r>
        <w:rPr>
          <w:sz w:val="24"/>
        </w:rPr>
        <w:t>made</w:t>
      </w:r>
      <w:r>
        <w:rPr>
          <w:spacing w:val="46"/>
          <w:sz w:val="24"/>
        </w:rPr>
        <w:t> </w:t>
      </w:r>
      <w:r>
        <w:rPr>
          <w:sz w:val="24"/>
        </w:rPr>
        <w:t>within</w:t>
      </w:r>
      <w:r>
        <w:rPr>
          <w:spacing w:val="45"/>
          <w:sz w:val="24"/>
        </w:rPr>
        <w:t> </w:t>
      </w:r>
      <w:r>
        <w:rPr>
          <w:sz w:val="24"/>
        </w:rPr>
        <w:t>90</w:t>
      </w:r>
    </w:p>
    <w:p>
      <w:pPr>
        <w:spacing w:before="0"/>
        <w:ind w:left="1919" w:right="0" w:firstLine="0"/>
        <w:jc w:val="both"/>
        <w:rPr>
          <w:sz w:val="24"/>
        </w:rPr>
      </w:pPr>
      <w:r>
        <w:rPr>
          <w:i/>
          <w:sz w:val="24"/>
        </w:rPr>
        <w:t>business days </w:t>
      </w:r>
      <w:r>
        <w:rPr>
          <w:sz w:val="24"/>
        </w:rPr>
        <w:t>prior to the end of a </w:t>
      </w:r>
      <w:r>
        <w:rPr>
          <w:i/>
          <w:sz w:val="24"/>
        </w:rPr>
        <w:t>regulatory year</w:t>
      </w:r>
      <w:r>
        <w:rPr>
          <w:sz w:val="24"/>
        </w:rPr>
        <w:t>.</w:t>
      </w:r>
    </w:p>
    <w:p>
      <w:pPr>
        <w:spacing w:before="120"/>
        <w:ind w:left="1919" w:right="414" w:hanging="567"/>
        <w:jc w:val="both"/>
        <w:rPr>
          <w:sz w:val="24"/>
        </w:rPr>
      </w:pPr>
      <w:r>
        <w:rPr>
          <w:sz w:val="24"/>
        </w:rPr>
        <w:t>(b1) The capital expenditure that the </w:t>
      </w:r>
      <w:r>
        <w:rPr>
          <w:i/>
          <w:sz w:val="24"/>
        </w:rPr>
        <w:t>Distribution Network Service Provider </w:t>
      </w:r>
      <w:r>
        <w:rPr>
          <w:sz w:val="24"/>
        </w:rPr>
        <w:t>proposes to undertake for the purposes of subparagraph (a)(3) must not include </w:t>
      </w:r>
      <w:r>
        <w:rPr>
          <w:i/>
          <w:sz w:val="24"/>
        </w:rPr>
        <w:t>expenditure for a restricted asset</w:t>
      </w:r>
      <w:r>
        <w:rPr>
          <w:sz w:val="24"/>
        </w:rPr>
        <w:t>, unless that </w:t>
      </w:r>
      <w:r>
        <w:rPr>
          <w:i/>
          <w:sz w:val="24"/>
        </w:rPr>
        <w:t>Distribution Network </w:t>
      </w:r>
      <w:r>
        <w:rPr>
          <w:i/>
          <w:sz w:val="24"/>
        </w:rPr>
        <w:t>Service Provider </w:t>
      </w:r>
      <w:r>
        <w:rPr>
          <w:sz w:val="24"/>
        </w:rPr>
        <w:t>has submitted an </w:t>
      </w:r>
      <w:r>
        <w:rPr>
          <w:i/>
          <w:sz w:val="24"/>
        </w:rPr>
        <w:t>exemption application </w:t>
      </w:r>
      <w:r>
        <w:rPr>
          <w:sz w:val="24"/>
        </w:rPr>
        <w:t>with the application referred to in paragraph (a), which requests an </w:t>
      </w:r>
      <w:r>
        <w:rPr>
          <w:i/>
          <w:sz w:val="24"/>
        </w:rPr>
        <w:t>asset exemption </w:t>
      </w:r>
      <w:r>
        <w:rPr>
          <w:sz w:val="24"/>
        </w:rPr>
        <w:t>under clause 6.4B.1(a)(4) for the </w:t>
      </w:r>
      <w:r>
        <w:rPr>
          <w:i/>
          <w:sz w:val="24"/>
        </w:rPr>
        <w:t>regulatory control period </w:t>
      </w:r>
      <w:r>
        <w:rPr>
          <w:sz w:val="24"/>
        </w:rPr>
        <w:t>in respect of that asset or class of asset.</w:t>
      </w:r>
    </w:p>
    <w:p>
      <w:pPr>
        <w:pStyle w:val="ListParagraph"/>
        <w:numPr>
          <w:ilvl w:val="3"/>
          <w:numId w:val="414"/>
        </w:numPr>
        <w:tabs>
          <w:tab w:pos="1919" w:val="left" w:leader="none"/>
        </w:tabs>
        <w:spacing w:line="240" w:lineRule="auto" w:before="120" w:after="0"/>
        <w:ind w:left="1918" w:right="0" w:hanging="567"/>
        <w:jc w:val="both"/>
        <w:rPr>
          <w:sz w:val="24"/>
        </w:rPr>
      </w:pPr>
      <w:r>
        <w:rPr>
          <w:sz w:val="24"/>
        </w:rPr>
        <w:t>Following</w:t>
      </w:r>
      <w:r>
        <w:rPr>
          <w:spacing w:val="13"/>
          <w:sz w:val="24"/>
        </w:rPr>
        <w:t> </w:t>
      </w:r>
      <w:r>
        <w:rPr>
          <w:sz w:val="24"/>
        </w:rPr>
        <w:t>its</w:t>
      </w:r>
      <w:r>
        <w:rPr>
          <w:spacing w:val="14"/>
          <w:sz w:val="24"/>
        </w:rPr>
        <w:t> </w:t>
      </w:r>
      <w:r>
        <w:rPr>
          <w:sz w:val="24"/>
        </w:rPr>
        <w:t>receipt</w:t>
      </w:r>
      <w:r>
        <w:rPr>
          <w:spacing w:val="13"/>
          <w:sz w:val="24"/>
        </w:rPr>
        <w:t> </w:t>
      </w:r>
      <w:r>
        <w:rPr>
          <w:sz w:val="24"/>
        </w:rPr>
        <w:t>of</w:t>
      </w:r>
      <w:r>
        <w:rPr>
          <w:spacing w:val="13"/>
          <w:sz w:val="24"/>
        </w:rPr>
        <w:t> </w:t>
      </w:r>
      <w:r>
        <w:rPr>
          <w:sz w:val="24"/>
        </w:rPr>
        <w:t>an</w:t>
      </w:r>
      <w:r>
        <w:rPr>
          <w:spacing w:val="14"/>
          <w:sz w:val="24"/>
        </w:rPr>
        <w:t> </w:t>
      </w:r>
      <w:r>
        <w:rPr>
          <w:sz w:val="24"/>
        </w:rPr>
        <w:t>application</w:t>
      </w:r>
      <w:r>
        <w:rPr>
          <w:spacing w:val="13"/>
          <w:sz w:val="24"/>
        </w:rPr>
        <w:t> </w:t>
      </w:r>
      <w:r>
        <w:rPr>
          <w:sz w:val="24"/>
        </w:rPr>
        <w:t>made</w:t>
      </w:r>
      <w:r>
        <w:rPr>
          <w:spacing w:val="14"/>
          <w:sz w:val="24"/>
        </w:rPr>
        <w:t> </w:t>
      </w:r>
      <w:r>
        <w:rPr>
          <w:sz w:val="24"/>
        </w:rPr>
        <w:t>in</w:t>
      </w:r>
      <w:r>
        <w:rPr>
          <w:spacing w:val="13"/>
          <w:sz w:val="24"/>
        </w:rPr>
        <w:t> </w:t>
      </w:r>
      <w:r>
        <w:rPr>
          <w:sz w:val="24"/>
        </w:rPr>
        <w:t>accordance</w:t>
      </w:r>
      <w:r>
        <w:rPr>
          <w:spacing w:val="14"/>
          <w:sz w:val="24"/>
        </w:rPr>
        <w:t> </w:t>
      </w:r>
      <w:r>
        <w:rPr>
          <w:sz w:val="24"/>
        </w:rPr>
        <w:t>with</w:t>
      </w:r>
      <w:r>
        <w:rPr>
          <w:spacing w:val="13"/>
          <w:sz w:val="24"/>
        </w:rPr>
        <w:t> </w:t>
      </w:r>
      <w:r>
        <w:rPr>
          <w:sz w:val="24"/>
        </w:rPr>
        <w:t>paragraphs</w:t>
      </w:r>
    </w:p>
    <w:p>
      <w:pPr>
        <w:spacing w:before="0"/>
        <w:ind w:left="1919" w:right="415" w:firstLine="0"/>
        <w:jc w:val="both"/>
        <w:rPr>
          <w:sz w:val="24"/>
        </w:rPr>
      </w:pPr>
      <w:r>
        <w:rPr>
          <w:sz w:val="24"/>
        </w:rPr>
        <w:t>(a) and (b) and an </w:t>
      </w:r>
      <w:r>
        <w:rPr>
          <w:i/>
          <w:sz w:val="24"/>
        </w:rPr>
        <w:t>exemption application </w:t>
      </w:r>
      <w:r>
        <w:rPr>
          <w:sz w:val="24"/>
        </w:rPr>
        <w:t>(if any) made in accordance with paragraph (b1),, the </w:t>
      </w:r>
      <w:r>
        <w:rPr>
          <w:i/>
          <w:sz w:val="24"/>
        </w:rPr>
        <w:t>AER </w:t>
      </w:r>
      <w:r>
        <w:rPr>
          <w:sz w:val="24"/>
        </w:rPr>
        <w:t>must:</w:t>
      </w:r>
    </w:p>
    <w:p>
      <w:pPr>
        <w:pStyle w:val="ListParagraph"/>
        <w:numPr>
          <w:ilvl w:val="0"/>
          <w:numId w:val="415"/>
        </w:numPr>
        <w:tabs>
          <w:tab w:pos="2486" w:val="left" w:leader="none"/>
        </w:tabs>
        <w:spacing w:line="240" w:lineRule="auto" w:before="120" w:after="0"/>
        <w:ind w:left="2486" w:right="416" w:hanging="567"/>
        <w:jc w:val="both"/>
        <w:rPr>
          <w:sz w:val="24"/>
        </w:rPr>
      </w:pPr>
      <w:r>
        <w:rPr>
          <w:sz w:val="24"/>
        </w:rPr>
        <w:t>consult with the </w:t>
      </w:r>
      <w:r>
        <w:rPr>
          <w:i/>
          <w:sz w:val="24"/>
        </w:rPr>
        <w:t>Distribution Network Service Provider </w:t>
      </w:r>
      <w:r>
        <w:rPr>
          <w:sz w:val="24"/>
        </w:rPr>
        <w:t>and such other persons as it considers appropriate in relation to the applications;</w:t>
      </w:r>
      <w:r>
        <w:rPr>
          <w:spacing w:val="-4"/>
          <w:sz w:val="24"/>
        </w:rPr>
        <w:t> </w:t>
      </w:r>
      <w:r>
        <w:rPr>
          <w:sz w:val="24"/>
        </w:rPr>
        <w:t>and</w:t>
      </w:r>
    </w:p>
    <w:p>
      <w:pPr>
        <w:pStyle w:val="ListParagraph"/>
        <w:numPr>
          <w:ilvl w:val="0"/>
          <w:numId w:val="415"/>
        </w:numPr>
        <w:tabs>
          <w:tab w:pos="2486" w:val="left" w:leader="none"/>
        </w:tabs>
        <w:spacing w:line="240" w:lineRule="auto" w:before="120" w:after="0"/>
        <w:ind w:left="2486" w:right="415" w:hanging="567"/>
        <w:jc w:val="both"/>
        <w:rPr>
          <w:sz w:val="24"/>
        </w:rPr>
      </w:pPr>
      <w:r>
        <w:rPr>
          <w:sz w:val="24"/>
        </w:rPr>
        <w:t>make its decision on the application made in accordance with paragraphs</w:t>
      </w:r>
      <w:r>
        <w:rPr>
          <w:spacing w:val="27"/>
          <w:sz w:val="24"/>
        </w:rPr>
        <w:t> </w:t>
      </w:r>
      <w:r>
        <w:rPr>
          <w:sz w:val="24"/>
        </w:rPr>
        <w:t>(a)</w:t>
      </w:r>
      <w:r>
        <w:rPr>
          <w:spacing w:val="27"/>
          <w:sz w:val="24"/>
        </w:rPr>
        <w:t> </w:t>
      </w:r>
      <w:r>
        <w:rPr>
          <w:sz w:val="24"/>
        </w:rPr>
        <w:t>and</w:t>
      </w:r>
      <w:r>
        <w:rPr>
          <w:spacing w:val="27"/>
          <w:sz w:val="24"/>
        </w:rPr>
        <w:t> </w:t>
      </w:r>
      <w:r>
        <w:rPr>
          <w:sz w:val="24"/>
        </w:rPr>
        <w:t>(b)</w:t>
      </w:r>
      <w:r>
        <w:rPr>
          <w:spacing w:val="28"/>
          <w:sz w:val="24"/>
        </w:rPr>
        <w:t> </w:t>
      </w:r>
      <w:r>
        <w:rPr>
          <w:sz w:val="24"/>
        </w:rPr>
        <w:t>and</w:t>
      </w:r>
      <w:r>
        <w:rPr>
          <w:spacing w:val="27"/>
          <w:sz w:val="24"/>
        </w:rPr>
        <w:t> </w:t>
      </w:r>
      <w:r>
        <w:rPr>
          <w:sz w:val="24"/>
        </w:rPr>
        <w:t>the</w:t>
      </w:r>
      <w:r>
        <w:rPr>
          <w:spacing w:val="27"/>
          <w:sz w:val="24"/>
        </w:rPr>
        <w:t> </w:t>
      </w:r>
      <w:r>
        <w:rPr>
          <w:i/>
          <w:sz w:val="24"/>
        </w:rPr>
        <w:t>exemption</w:t>
      </w:r>
      <w:r>
        <w:rPr>
          <w:i/>
          <w:spacing w:val="28"/>
          <w:sz w:val="24"/>
        </w:rPr>
        <w:t> </w:t>
      </w:r>
      <w:r>
        <w:rPr>
          <w:i/>
          <w:sz w:val="24"/>
        </w:rPr>
        <w:t>application</w:t>
      </w:r>
      <w:r>
        <w:rPr>
          <w:i/>
          <w:spacing w:val="27"/>
          <w:sz w:val="24"/>
        </w:rPr>
        <w:t> </w:t>
      </w:r>
      <w:r>
        <w:rPr>
          <w:sz w:val="24"/>
        </w:rPr>
        <w:t>(if</w:t>
      </w:r>
      <w:r>
        <w:rPr>
          <w:spacing w:val="27"/>
          <w:sz w:val="24"/>
        </w:rPr>
        <w:t> </w:t>
      </w:r>
      <w:r>
        <w:rPr>
          <w:sz w:val="24"/>
        </w:rPr>
        <w:t>any)</w:t>
      </w:r>
      <w:r>
        <w:rPr>
          <w:spacing w:val="27"/>
          <w:sz w:val="24"/>
        </w:rPr>
        <w:t> </w:t>
      </w:r>
      <w:r>
        <w:rPr>
          <w:spacing w:val="-3"/>
          <w:sz w:val="24"/>
        </w:rPr>
        <w:t>within</w:t>
      </w:r>
    </w:p>
    <w:p>
      <w:pPr>
        <w:spacing w:after="0" w:line="240" w:lineRule="auto"/>
        <w:jc w:val="both"/>
        <w:rPr>
          <w:sz w:val="24"/>
        </w:rPr>
        <w:sectPr>
          <w:pgSz w:w="11910" w:h="16840"/>
          <w:pgMar w:header="686" w:footer="637" w:top="1320" w:bottom="820" w:left="1200" w:right="1000"/>
        </w:sectPr>
      </w:pPr>
    </w:p>
    <w:p>
      <w:pPr>
        <w:pStyle w:val="BodyText"/>
        <w:spacing w:before="83"/>
        <w:ind w:left="2486" w:right="414" w:firstLine="0"/>
      </w:pPr>
      <w:r>
        <w:rPr/>
        <w:t>40 </w:t>
      </w:r>
      <w:r>
        <w:rPr>
          <w:i/>
        </w:rPr>
        <w:t>business days </w:t>
      </w:r>
      <w:r>
        <w:rPr/>
        <w:t>from the later of the date the </w:t>
      </w:r>
      <w:r>
        <w:rPr>
          <w:i/>
        </w:rPr>
        <w:t>AER </w:t>
      </w:r>
      <w:r>
        <w:rPr/>
        <w:t>receives</w:t>
      </w:r>
      <w:r>
        <w:rPr>
          <w:spacing w:val="32"/>
        </w:rPr>
        <w:t> </w:t>
      </w:r>
      <w:r>
        <w:rPr/>
        <w:t>the applications and the date the </w:t>
      </w:r>
      <w:r>
        <w:rPr>
          <w:i/>
        </w:rPr>
        <w:t>AER </w:t>
      </w:r>
      <w:r>
        <w:rPr/>
        <w:t>receives any information required by the </w:t>
      </w:r>
      <w:r>
        <w:rPr>
          <w:i/>
        </w:rPr>
        <w:t>AER </w:t>
      </w:r>
      <w:r>
        <w:rPr/>
        <w:t>under paragraph</w:t>
      </w:r>
      <w:r>
        <w:rPr>
          <w:spacing w:val="-1"/>
        </w:rPr>
        <w:t> </w:t>
      </w:r>
      <w:r>
        <w:rPr/>
        <w:t>(g).</w:t>
      </w:r>
    </w:p>
    <w:p>
      <w:pPr>
        <w:spacing w:before="120"/>
        <w:ind w:left="1352" w:right="0" w:firstLine="0"/>
        <w:jc w:val="both"/>
        <w:rPr>
          <w:sz w:val="24"/>
        </w:rPr>
      </w:pPr>
      <w:r>
        <w:rPr>
          <w:sz w:val="24"/>
        </w:rPr>
        <w:t>(c1) The </w:t>
      </w:r>
      <w:r>
        <w:rPr>
          <w:i/>
          <w:sz w:val="24"/>
        </w:rPr>
        <w:t>AER </w:t>
      </w:r>
      <w:r>
        <w:rPr>
          <w:sz w:val="24"/>
        </w:rPr>
        <w:t>must </w:t>
      </w:r>
      <w:r>
        <w:rPr>
          <w:i/>
          <w:sz w:val="24"/>
        </w:rPr>
        <w:t>publish</w:t>
      </w:r>
      <w:r>
        <w:rPr>
          <w:sz w:val="24"/>
        </w:rPr>
        <w:t>:</w:t>
      </w:r>
    </w:p>
    <w:p>
      <w:pPr>
        <w:pStyle w:val="ListParagraph"/>
        <w:numPr>
          <w:ilvl w:val="0"/>
          <w:numId w:val="416"/>
        </w:numPr>
        <w:tabs>
          <w:tab w:pos="2485" w:val="left" w:leader="none"/>
          <w:tab w:pos="2486" w:val="left" w:leader="none"/>
        </w:tabs>
        <w:spacing w:line="240" w:lineRule="auto" w:before="120" w:after="0"/>
        <w:ind w:left="2486" w:right="414" w:hanging="567"/>
        <w:jc w:val="left"/>
        <w:rPr>
          <w:sz w:val="24"/>
        </w:rPr>
      </w:pPr>
      <w:r>
        <w:rPr>
          <w:sz w:val="24"/>
        </w:rPr>
        <w:t>the reasons for its decision on the </w:t>
      </w:r>
      <w:r>
        <w:rPr>
          <w:i/>
          <w:sz w:val="24"/>
        </w:rPr>
        <w:t>exemption application </w:t>
      </w:r>
      <w:r>
        <w:rPr>
          <w:spacing w:val="-3"/>
          <w:sz w:val="24"/>
        </w:rPr>
        <w:t>under </w:t>
      </w:r>
      <w:r>
        <w:rPr>
          <w:sz w:val="24"/>
        </w:rPr>
        <w:t>subparagraph (c)(2);</w:t>
      </w:r>
      <w:r>
        <w:rPr>
          <w:spacing w:val="-3"/>
          <w:sz w:val="24"/>
        </w:rPr>
        <w:t> </w:t>
      </w:r>
      <w:r>
        <w:rPr>
          <w:sz w:val="24"/>
        </w:rPr>
        <w:t>and</w:t>
      </w:r>
    </w:p>
    <w:p>
      <w:pPr>
        <w:pStyle w:val="ListParagraph"/>
        <w:numPr>
          <w:ilvl w:val="0"/>
          <w:numId w:val="416"/>
        </w:numPr>
        <w:tabs>
          <w:tab w:pos="2485" w:val="left" w:leader="none"/>
          <w:tab w:pos="2486" w:val="left" w:leader="none"/>
        </w:tabs>
        <w:spacing w:line="240" w:lineRule="auto" w:before="120" w:after="0"/>
        <w:ind w:left="2485" w:right="0" w:hanging="567"/>
        <w:jc w:val="left"/>
        <w:rPr>
          <w:sz w:val="24"/>
        </w:rPr>
      </w:pPr>
      <w:r>
        <w:rPr>
          <w:sz w:val="24"/>
        </w:rPr>
        <w:t>any content required under clause</w:t>
      </w:r>
      <w:r>
        <w:rPr>
          <w:spacing w:val="-1"/>
          <w:sz w:val="24"/>
        </w:rPr>
        <w:t> </w:t>
      </w:r>
      <w:r>
        <w:rPr>
          <w:sz w:val="24"/>
        </w:rPr>
        <w:t>6.2.8(c)(2),</w:t>
      </w:r>
    </w:p>
    <w:p>
      <w:pPr>
        <w:pStyle w:val="BodyText"/>
        <w:ind w:left="1919" w:right="415" w:firstLine="0"/>
        <w:jc w:val="left"/>
      </w:pPr>
      <w:r>
        <w:rPr/>
        <w:t>at the same time as making its decision on the application made under paragraph (a).</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and must only, revoke a distribution determination  following an application made in accordance with paragraphs (a) and (b) if the </w:t>
      </w:r>
      <w:r>
        <w:rPr>
          <w:i/>
          <w:sz w:val="24"/>
        </w:rPr>
        <w:t>AER </w:t>
      </w:r>
      <w:r>
        <w:rPr>
          <w:sz w:val="24"/>
        </w:rPr>
        <w:t>is satisfied of each of the matters referred to in paragraph</w:t>
      </w:r>
      <w:r>
        <w:rPr>
          <w:spacing w:val="-8"/>
          <w:sz w:val="24"/>
        </w:rPr>
        <w:t> </w:t>
      </w:r>
      <w:r>
        <w:rPr>
          <w:sz w:val="24"/>
        </w:rPr>
        <w:t>(a).</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revokes a distribution determination under paragraph (d), the </w:t>
      </w:r>
      <w:r>
        <w:rPr>
          <w:i/>
          <w:sz w:val="24"/>
        </w:rPr>
        <w:t>AER </w:t>
      </w:r>
      <w:r>
        <w:rPr>
          <w:sz w:val="24"/>
        </w:rPr>
        <w:t>must make a new distribution determination in substitution for the revoked determination to apply for the remainder of the </w:t>
      </w:r>
      <w:r>
        <w:rPr>
          <w:i/>
          <w:sz w:val="24"/>
        </w:rPr>
        <w:t>regulatory control </w:t>
      </w:r>
      <w:r>
        <w:rPr>
          <w:i/>
          <w:sz w:val="24"/>
        </w:rPr>
        <w:t>period </w:t>
      </w:r>
      <w:r>
        <w:rPr>
          <w:sz w:val="24"/>
        </w:rPr>
        <w:t>for which the revoked determination was to</w:t>
      </w:r>
      <w:r>
        <w:rPr>
          <w:spacing w:val="-4"/>
          <w:sz w:val="24"/>
        </w:rPr>
        <w:t> </w:t>
      </w:r>
      <w:r>
        <w:rPr>
          <w:sz w:val="24"/>
        </w:rPr>
        <w:t>apply.</w:t>
      </w:r>
    </w:p>
    <w:p>
      <w:pPr>
        <w:pStyle w:val="ListParagraph"/>
        <w:numPr>
          <w:ilvl w:val="3"/>
          <w:numId w:val="414"/>
        </w:numPr>
        <w:tabs>
          <w:tab w:pos="1920" w:val="left" w:leader="none"/>
        </w:tabs>
        <w:spacing w:line="240" w:lineRule="auto" w:before="120" w:after="0"/>
        <w:ind w:left="1919" w:right="415" w:hanging="567"/>
        <w:jc w:val="both"/>
        <w:rPr>
          <w:sz w:val="24"/>
        </w:rPr>
      </w:pPr>
      <w:r>
        <w:rPr>
          <w:sz w:val="24"/>
        </w:rPr>
        <w:t>The substituted distribution determination must only vary from the revoked distribution determination to the extent</w:t>
      </w:r>
      <w:r>
        <w:rPr>
          <w:spacing w:val="-1"/>
          <w:sz w:val="24"/>
        </w:rPr>
        <w:t> </w:t>
      </w:r>
      <w:r>
        <w:rPr>
          <w:sz w:val="24"/>
        </w:rPr>
        <w:t>necessary:</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to adjust the forecast capital expenditure for that </w:t>
      </w:r>
      <w:r>
        <w:rPr>
          <w:i/>
          <w:sz w:val="24"/>
        </w:rPr>
        <w:t>regulatory control </w:t>
      </w:r>
      <w:r>
        <w:rPr>
          <w:i/>
          <w:sz w:val="24"/>
        </w:rPr>
        <w:t>period </w:t>
      </w:r>
      <w:r>
        <w:rPr>
          <w:sz w:val="24"/>
        </w:rPr>
        <w:t>to accommodate the amount of such additional capital expenditure as the </w:t>
      </w:r>
      <w:r>
        <w:rPr>
          <w:i/>
          <w:sz w:val="24"/>
        </w:rPr>
        <w:t>AER </w:t>
      </w:r>
      <w:r>
        <w:rPr>
          <w:sz w:val="24"/>
        </w:rPr>
        <w:t>determines is appropriate (in which case the amount of that adjustment will be taken to be accepted by the </w:t>
      </w:r>
      <w:r>
        <w:rPr>
          <w:i/>
          <w:sz w:val="24"/>
        </w:rPr>
        <w:t>AER </w:t>
      </w:r>
      <w:r>
        <w:rPr>
          <w:sz w:val="24"/>
        </w:rPr>
        <w:t>under clause 6.5.7(c));</w:t>
      </w:r>
      <w:r>
        <w:rPr>
          <w:spacing w:val="-2"/>
          <w:sz w:val="24"/>
        </w:rPr>
        <w:t> </w:t>
      </w:r>
      <w:r>
        <w:rPr>
          <w:sz w:val="24"/>
        </w:rPr>
        <w:t>and</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to reflect the effect of any resultant increase in forecast capital expenditure</w:t>
      </w:r>
      <w:r>
        <w:rPr>
          <w:spacing w:val="-1"/>
          <w:sz w:val="24"/>
        </w:rPr>
        <w:t> </w:t>
      </w:r>
      <w:r>
        <w:rPr>
          <w:sz w:val="24"/>
        </w:rPr>
        <w:t>on:</w:t>
      </w:r>
    </w:p>
    <w:p>
      <w:pPr>
        <w:pStyle w:val="ListParagraph"/>
        <w:numPr>
          <w:ilvl w:val="5"/>
          <w:numId w:val="414"/>
        </w:numPr>
        <w:tabs>
          <w:tab w:pos="3053" w:val="left" w:leader="none"/>
        </w:tabs>
        <w:spacing w:line="240" w:lineRule="auto" w:before="120" w:after="0"/>
        <w:ind w:left="3052" w:right="0" w:hanging="567"/>
        <w:jc w:val="both"/>
        <w:rPr>
          <w:sz w:val="24"/>
        </w:rPr>
      </w:pPr>
      <w:r>
        <w:rPr>
          <w:sz w:val="24"/>
        </w:rPr>
        <w:t>the</w:t>
      </w:r>
      <w:r>
        <w:rPr>
          <w:spacing w:val="17"/>
          <w:sz w:val="24"/>
        </w:rPr>
        <w:t> </w:t>
      </w:r>
      <w:r>
        <w:rPr>
          <w:sz w:val="24"/>
        </w:rPr>
        <w:t>forecast</w:t>
      </w:r>
      <w:r>
        <w:rPr>
          <w:spacing w:val="18"/>
          <w:sz w:val="24"/>
        </w:rPr>
        <w:t> </w:t>
      </w:r>
      <w:r>
        <w:rPr>
          <w:sz w:val="24"/>
        </w:rPr>
        <w:t>operating</w:t>
      </w:r>
      <w:r>
        <w:rPr>
          <w:spacing w:val="17"/>
          <w:sz w:val="24"/>
        </w:rPr>
        <w:t> </w:t>
      </w:r>
      <w:r>
        <w:rPr>
          <w:sz w:val="24"/>
        </w:rPr>
        <w:t>expenditure</w:t>
      </w:r>
      <w:r>
        <w:rPr>
          <w:spacing w:val="18"/>
          <w:sz w:val="24"/>
        </w:rPr>
        <w:t> </w:t>
      </w:r>
      <w:r>
        <w:rPr>
          <w:sz w:val="24"/>
        </w:rPr>
        <w:t>for</w:t>
      </w:r>
      <w:r>
        <w:rPr>
          <w:spacing w:val="18"/>
          <w:sz w:val="24"/>
        </w:rPr>
        <w:t> </w:t>
      </w:r>
      <w:r>
        <w:rPr>
          <w:sz w:val="24"/>
        </w:rPr>
        <w:t>the</w:t>
      </w:r>
      <w:r>
        <w:rPr>
          <w:spacing w:val="17"/>
          <w:sz w:val="24"/>
        </w:rPr>
        <w:t> </w:t>
      </w:r>
      <w:r>
        <w:rPr>
          <w:sz w:val="24"/>
        </w:rPr>
        <w:t>remainder</w:t>
      </w:r>
      <w:r>
        <w:rPr>
          <w:spacing w:val="18"/>
          <w:sz w:val="24"/>
        </w:rPr>
        <w:t> </w:t>
      </w:r>
      <w:r>
        <w:rPr>
          <w:sz w:val="24"/>
        </w:rPr>
        <w:t>of</w:t>
      </w:r>
      <w:r>
        <w:rPr>
          <w:spacing w:val="18"/>
          <w:sz w:val="24"/>
        </w:rPr>
        <w:t> </w:t>
      </w:r>
      <w:r>
        <w:rPr>
          <w:sz w:val="24"/>
        </w:rPr>
        <w:t>the</w:t>
      </w:r>
    </w:p>
    <w:p>
      <w:pPr>
        <w:spacing w:before="0"/>
        <w:ind w:left="3053" w:right="0" w:firstLine="0"/>
        <w:jc w:val="both"/>
        <w:rPr>
          <w:sz w:val="24"/>
        </w:rPr>
      </w:pPr>
      <w:r>
        <w:rPr>
          <w:i/>
          <w:sz w:val="24"/>
        </w:rPr>
        <w:t>regulatory control period</w:t>
      </w:r>
      <w:r>
        <w:rPr>
          <w:sz w:val="24"/>
        </w:rPr>
        <w:t>;</w:t>
      </w:r>
    </w:p>
    <w:p>
      <w:pPr>
        <w:pStyle w:val="ListParagraph"/>
        <w:numPr>
          <w:ilvl w:val="5"/>
          <w:numId w:val="414"/>
        </w:numPr>
        <w:tabs>
          <w:tab w:pos="3054" w:val="left" w:leader="none"/>
        </w:tabs>
        <w:spacing w:line="240" w:lineRule="auto" w:before="120" w:after="0"/>
        <w:ind w:left="3053" w:right="417" w:hanging="567"/>
        <w:jc w:val="both"/>
        <w:rPr>
          <w:sz w:val="24"/>
        </w:rPr>
      </w:pPr>
      <w:r>
        <w:rPr>
          <w:sz w:val="24"/>
        </w:rPr>
        <w:t>the </w:t>
      </w:r>
      <w:r>
        <w:rPr>
          <w:i/>
          <w:sz w:val="24"/>
        </w:rPr>
        <w:t>annual revenue requirement </w:t>
      </w:r>
      <w:r>
        <w:rPr>
          <w:sz w:val="24"/>
        </w:rPr>
        <w:t>for each </w:t>
      </w:r>
      <w:r>
        <w:rPr>
          <w:i/>
          <w:sz w:val="24"/>
        </w:rPr>
        <w:t>regulatory year </w:t>
      </w:r>
      <w:r>
        <w:rPr>
          <w:sz w:val="24"/>
        </w:rPr>
        <w:t>in the remainder of the </w:t>
      </w:r>
      <w:r>
        <w:rPr>
          <w:i/>
          <w:sz w:val="24"/>
        </w:rPr>
        <w:t>regulatory control period</w:t>
      </w:r>
      <w:r>
        <w:rPr>
          <w:sz w:val="24"/>
        </w:rPr>
        <w:t>;</w:t>
      </w:r>
      <w:r>
        <w:rPr>
          <w:spacing w:val="-3"/>
          <w:sz w:val="24"/>
        </w:rPr>
        <w:t> </w:t>
      </w:r>
      <w:r>
        <w:rPr>
          <w:sz w:val="24"/>
        </w:rPr>
        <w:t>and</w:t>
      </w:r>
    </w:p>
    <w:p>
      <w:pPr>
        <w:pStyle w:val="ListParagraph"/>
        <w:numPr>
          <w:ilvl w:val="5"/>
          <w:numId w:val="414"/>
        </w:numPr>
        <w:tabs>
          <w:tab w:pos="3053" w:val="left" w:leader="none"/>
        </w:tabs>
        <w:spacing w:line="240" w:lineRule="auto" w:before="120" w:after="0"/>
        <w:ind w:left="3052" w:right="0" w:hanging="567"/>
        <w:jc w:val="both"/>
        <w:rPr>
          <w:sz w:val="24"/>
        </w:rPr>
      </w:pPr>
      <w:r>
        <w:rPr>
          <w:sz w:val="24"/>
        </w:rPr>
        <w:t>the</w:t>
      </w:r>
      <w:r>
        <w:rPr>
          <w:spacing w:val="29"/>
          <w:sz w:val="24"/>
        </w:rPr>
        <w:t> </w:t>
      </w:r>
      <w:r>
        <w:rPr>
          <w:sz w:val="24"/>
        </w:rPr>
        <w:t>X</w:t>
      </w:r>
      <w:r>
        <w:rPr>
          <w:spacing w:val="29"/>
          <w:sz w:val="24"/>
        </w:rPr>
        <w:t> </w:t>
      </w:r>
      <w:r>
        <w:rPr>
          <w:sz w:val="24"/>
        </w:rPr>
        <w:t>factor</w:t>
      </w:r>
      <w:r>
        <w:rPr>
          <w:spacing w:val="29"/>
          <w:sz w:val="24"/>
        </w:rPr>
        <w:t> </w:t>
      </w:r>
      <w:r>
        <w:rPr>
          <w:sz w:val="24"/>
        </w:rPr>
        <w:t>for</w:t>
      </w:r>
      <w:r>
        <w:rPr>
          <w:spacing w:val="29"/>
          <w:sz w:val="24"/>
        </w:rPr>
        <w:t> </w:t>
      </w:r>
      <w:r>
        <w:rPr>
          <w:sz w:val="24"/>
        </w:rPr>
        <w:t>each</w:t>
      </w:r>
      <w:r>
        <w:rPr>
          <w:spacing w:val="30"/>
          <w:sz w:val="24"/>
        </w:rPr>
        <w:t> </w:t>
      </w:r>
      <w:r>
        <w:rPr>
          <w:sz w:val="24"/>
        </w:rPr>
        <w:t>of</w:t>
      </w:r>
      <w:r>
        <w:rPr>
          <w:spacing w:val="29"/>
          <w:sz w:val="24"/>
        </w:rPr>
        <w:t> </w:t>
      </w:r>
      <w:r>
        <w:rPr>
          <w:sz w:val="24"/>
        </w:rPr>
        <w:t>the</w:t>
      </w:r>
      <w:r>
        <w:rPr>
          <w:spacing w:val="29"/>
          <w:sz w:val="24"/>
        </w:rPr>
        <w:t> </w:t>
      </w:r>
      <w:r>
        <w:rPr>
          <w:sz w:val="24"/>
        </w:rPr>
        <w:t>remaining</w:t>
      </w:r>
      <w:r>
        <w:rPr>
          <w:spacing w:val="29"/>
          <w:sz w:val="24"/>
        </w:rPr>
        <w:t> </w:t>
      </w:r>
      <w:r>
        <w:rPr>
          <w:i/>
          <w:sz w:val="24"/>
        </w:rPr>
        <w:t>regulatory</w:t>
      </w:r>
      <w:r>
        <w:rPr>
          <w:i/>
          <w:spacing w:val="30"/>
          <w:sz w:val="24"/>
        </w:rPr>
        <w:t> </w:t>
      </w:r>
      <w:r>
        <w:rPr>
          <w:i/>
          <w:sz w:val="24"/>
        </w:rPr>
        <w:t>years</w:t>
      </w:r>
      <w:r>
        <w:rPr>
          <w:i/>
          <w:spacing w:val="29"/>
          <w:sz w:val="24"/>
        </w:rPr>
        <w:t> </w:t>
      </w:r>
      <w:r>
        <w:rPr>
          <w:sz w:val="24"/>
        </w:rPr>
        <w:t>of</w:t>
      </w:r>
      <w:r>
        <w:rPr>
          <w:spacing w:val="29"/>
          <w:sz w:val="24"/>
        </w:rPr>
        <w:t> </w:t>
      </w:r>
      <w:r>
        <w:rPr>
          <w:sz w:val="24"/>
        </w:rPr>
        <w:t>the</w:t>
      </w:r>
    </w:p>
    <w:p>
      <w:pPr>
        <w:spacing w:before="0"/>
        <w:ind w:left="3053" w:right="0" w:firstLine="0"/>
        <w:jc w:val="both"/>
        <w:rPr>
          <w:sz w:val="24"/>
        </w:rPr>
      </w:pPr>
      <w:r>
        <w:rPr>
          <w:i/>
          <w:sz w:val="24"/>
        </w:rPr>
        <w:t>regulatory control period</w:t>
      </w:r>
      <w:r>
        <w:rPr>
          <w:sz w:val="24"/>
        </w:rPr>
        <w:t>.</w:t>
      </w:r>
    </w:p>
    <w:p>
      <w:pPr>
        <w:spacing w:before="120"/>
        <w:ind w:left="1919" w:right="414" w:hanging="567"/>
        <w:jc w:val="both"/>
        <w:rPr>
          <w:sz w:val="24"/>
        </w:rPr>
      </w:pPr>
      <w:r>
        <w:rPr>
          <w:sz w:val="24"/>
        </w:rPr>
        <w:t>(f1) The </w:t>
      </w:r>
      <w:r>
        <w:rPr>
          <w:i/>
          <w:sz w:val="24"/>
        </w:rPr>
        <w:t>AER </w:t>
      </w:r>
      <w:r>
        <w:rPr>
          <w:sz w:val="24"/>
        </w:rPr>
        <w:t>must not include an adjustment for additional expenditure under subparagraph (f)(1) that includes </w:t>
      </w:r>
      <w:r>
        <w:rPr>
          <w:i/>
          <w:sz w:val="24"/>
        </w:rPr>
        <w:t>expenditure for a restricted asset</w:t>
      </w:r>
      <w:r>
        <w:rPr>
          <w:sz w:val="24"/>
        </w:rPr>
        <w:t>, unless:</w:t>
      </w:r>
    </w:p>
    <w:p>
      <w:pPr>
        <w:pStyle w:val="ListParagraph"/>
        <w:numPr>
          <w:ilvl w:val="0"/>
          <w:numId w:val="417"/>
        </w:numPr>
        <w:tabs>
          <w:tab w:pos="2486" w:val="left" w:leader="none"/>
        </w:tabs>
        <w:spacing w:line="240" w:lineRule="auto" w:before="120" w:after="0"/>
        <w:ind w:left="2486" w:right="416" w:hanging="567"/>
        <w:jc w:val="both"/>
        <w:rPr>
          <w:sz w:val="24"/>
        </w:rPr>
      </w:pPr>
      <w:r>
        <w:rPr>
          <w:sz w:val="24"/>
        </w:rPr>
        <w:t>the </w:t>
      </w:r>
      <w:r>
        <w:rPr>
          <w:i/>
          <w:sz w:val="24"/>
        </w:rPr>
        <w:t>Distribution Network Service Provider </w:t>
      </w:r>
      <w:r>
        <w:rPr>
          <w:sz w:val="24"/>
        </w:rPr>
        <w:t>has requested an </w:t>
      </w:r>
      <w:r>
        <w:rPr>
          <w:i/>
          <w:sz w:val="24"/>
        </w:rPr>
        <w:t>asset </w:t>
      </w:r>
      <w:r>
        <w:rPr>
          <w:i/>
          <w:sz w:val="24"/>
        </w:rPr>
        <w:t>exemption </w:t>
      </w:r>
      <w:r>
        <w:rPr>
          <w:sz w:val="24"/>
        </w:rPr>
        <w:t>under paragraph (b1) for the </w:t>
      </w:r>
      <w:r>
        <w:rPr>
          <w:i/>
          <w:sz w:val="24"/>
        </w:rPr>
        <w:t>regulatory control period </w:t>
      </w:r>
      <w:r>
        <w:rPr>
          <w:sz w:val="24"/>
        </w:rPr>
        <w:t>in respect of that asset or that class of asset;</w:t>
      </w:r>
      <w:r>
        <w:rPr>
          <w:spacing w:val="-2"/>
          <w:sz w:val="24"/>
        </w:rPr>
        <w:t> </w:t>
      </w:r>
      <w:r>
        <w:rPr>
          <w:sz w:val="24"/>
        </w:rPr>
        <w:t>and</w:t>
      </w:r>
    </w:p>
    <w:p>
      <w:pPr>
        <w:pStyle w:val="ListParagraph"/>
        <w:numPr>
          <w:ilvl w:val="0"/>
          <w:numId w:val="417"/>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granted that </w:t>
      </w:r>
      <w:r>
        <w:rPr>
          <w:i/>
          <w:sz w:val="24"/>
        </w:rPr>
        <w:t>asset exemption </w:t>
      </w:r>
      <w:r>
        <w:rPr>
          <w:sz w:val="24"/>
        </w:rPr>
        <w:t>under paragraph</w:t>
      </w:r>
      <w:r>
        <w:rPr>
          <w:spacing w:val="-1"/>
          <w:sz w:val="24"/>
        </w:rPr>
        <w:t> </w:t>
      </w:r>
      <w:r>
        <w:rPr>
          <w:sz w:val="24"/>
        </w:rPr>
        <w:t>(c).</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provide the </w:t>
      </w:r>
      <w:r>
        <w:rPr>
          <w:i/>
          <w:sz w:val="24"/>
        </w:rPr>
        <w:t>AER </w:t>
      </w:r>
      <w:r>
        <w:rPr>
          <w:sz w:val="24"/>
        </w:rPr>
        <w:t>with such additional information as the </w:t>
      </w:r>
      <w:r>
        <w:rPr>
          <w:i/>
          <w:sz w:val="24"/>
        </w:rPr>
        <w:t>AER </w:t>
      </w:r>
      <w:r>
        <w:rPr>
          <w:sz w:val="24"/>
        </w:rPr>
        <w:t>requires for the purpose of making a decision on an application made by that </w:t>
      </w:r>
      <w:r>
        <w:rPr>
          <w:i/>
          <w:sz w:val="24"/>
        </w:rPr>
        <w:t>Distribution Network Service </w:t>
      </w:r>
      <w:r>
        <w:rPr>
          <w:i/>
          <w:sz w:val="24"/>
        </w:rPr>
        <w:t>Provider </w:t>
      </w:r>
      <w:r>
        <w:rPr>
          <w:sz w:val="24"/>
        </w:rPr>
        <w:t>under paragraph (a)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Extension of time limit</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is satisfied that the revocation and substitution of a distribution determination under paragraphs (d) and (e) involves issues of such complexity or difficulty that the time limit fixed in subparagraph (c)(2) should be extended, the </w:t>
      </w:r>
      <w:r>
        <w:rPr>
          <w:i/>
          <w:sz w:val="24"/>
        </w:rPr>
        <w:t>AER </w:t>
      </w:r>
      <w:r>
        <w:rPr>
          <w:sz w:val="24"/>
        </w:rPr>
        <w:t>may extend that time limit by a further period of up to 60 </w:t>
      </w:r>
      <w:r>
        <w:rPr>
          <w:i/>
          <w:sz w:val="24"/>
        </w:rPr>
        <w:t>business days</w:t>
      </w:r>
      <w:r>
        <w:rPr>
          <w:sz w:val="24"/>
        </w:rPr>
        <w:t>, provided that it gives written notice to the </w:t>
      </w:r>
      <w:r>
        <w:rPr>
          <w:i/>
          <w:sz w:val="24"/>
        </w:rPr>
        <w:t>Distribution Network Service Provider </w:t>
      </w:r>
      <w:r>
        <w:rPr>
          <w:sz w:val="24"/>
        </w:rPr>
        <w:t>of that extension not later than 10 </w:t>
      </w:r>
      <w:r>
        <w:rPr>
          <w:i/>
          <w:sz w:val="24"/>
        </w:rPr>
        <w:t>business days </w:t>
      </w:r>
      <w:r>
        <w:rPr>
          <w:sz w:val="24"/>
        </w:rPr>
        <w:t>before the expiry of that time</w:t>
      </w:r>
      <w:r>
        <w:rPr>
          <w:spacing w:val="-1"/>
          <w:sz w:val="24"/>
        </w:rPr>
        <w:t> </w:t>
      </w:r>
      <w:r>
        <w:rPr>
          <w:sz w:val="24"/>
        </w:rPr>
        <w:t>limit.</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extends the time limit under paragraph (h), it must make available on its website a notice of that extension as soon as is reasonably practicable.</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Subject to paragraph (l1), if the </w:t>
      </w:r>
      <w:r>
        <w:rPr>
          <w:i/>
          <w:sz w:val="24"/>
        </w:rPr>
        <w:t>AER </w:t>
      </w:r>
      <w:r>
        <w:rPr>
          <w:sz w:val="24"/>
        </w:rPr>
        <w:t>gives a written notice to the </w:t>
      </w:r>
      <w:r>
        <w:rPr>
          <w:i/>
          <w:sz w:val="24"/>
        </w:rPr>
        <w:t>Distribution Network Service Provider </w:t>
      </w:r>
      <w:r>
        <w:rPr>
          <w:sz w:val="24"/>
        </w:rPr>
        <w:t>stating that it requires information from an </w:t>
      </w:r>
      <w:r>
        <w:rPr>
          <w:i/>
          <w:sz w:val="24"/>
        </w:rPr>
        <w:t>Authority </w:t>
      </w:r>
      <w:r>
        <w:rPr>
          <w:sz w:val="24"/>
        </w:rPr>
        <w:t>in order to make a decision on an application made by the </w:t>
      </w:r>
      <w:r>
        <w:rPr>
          <w:i/>
          <w:sz w:val="24"/>
        </w:rPr>
        <w:t>Distribution Network Service Provider </w:t>
      </w:r>
      <w:r>
        <w:rPr>
          <w:sz w:val="24"/>
        </w:rPr>
        <w:t>under paragraph (a) then, for the purpose of calculating elapsed time, the period between when the </w:t>
      </w:r>
      <w:r>
        <w:rPr>
          <w:i/>
          <w:sz w:val="24"/>
        </w:rPr>
        <w:t>AER </w:t>
      </w:r>
      <w:r>
        <w:rPr>
          <w:sz w:val="24"/>
        </w:rPr>
        <w:t>gives that notice to the </w:t>
      </w:r>
      <w:r>
        <w:rPr>
          <w:i/>
          <w:sz w:val="24"/>
        </w:rPr>
        <w:t>Distribution Network Service Provider </w:t>
      </w:r>
      <w:r>
        <w:rPr>
          <w:sz w:val="24"/>
        </w:rPr>
        <w:t>and when the </w:t>
      </w:r>
      <w:r>
        <w:rPr>
          <w:i/>
          <w:sz w:val="24"/>
        </w:rPr>
        <w:t>AER </w:t>
      </w:r>
      <w:r>
        <w:rPr>
          <w:sz w:val="24"/>
        </w:rPr>
        <w:t>receives that information from that </w:t>
      </w:r>
      <w:r>
        <w:rPr>
          <w:i/>
          <w:sz w:val="24"/>
        </w:rPr>
        <w:t>Authority </w:t>
      </w:r>
      <w:r>
        <w:rPr>
          <w:sz w:val="24"/>
        </w:rPr>
        <w:t>is to be</w:t>
      </w:r>
      <w:r>
        <w:rPr>
          <w:spacing w:val="-3"/>
          <w:sz w:val="24"/>
        </w:rPr>
        <w:t> </w:t>
      </w:r>
      <w:r>
        <w:rPr>
          <w:sz w:val="24"/>
        </w:rPr>
        <w:t>disregarded.</w:t>
      </w:r>
    </w:p>
    <w:p>
      <w:pPr>
        <w:pStyle w:val="ListParagraph"/>
        <w:numPr>
          <w:ilvl w:val="3"/>
          <w:numId w:val="414"/>
        </w:numPr>
        <w:tabs>
          <w:tab w:pos="1919" w:val="left" w:leader="none"/>
        </w:tabs>
        <w:spacing w:line="240" w:lineRule="auto" w:before="120" w:after="0"/>
        <w:ind w:left="1919" w:right="415" w:hanging="567"/>
        <w:jc w:val="both"/>
        <w:rPr>
          <w:sz w:val="24"/>
        </w:rPr>
      </w:pPr>
      <w:r>
        <w:rPr>
          <w:sz w:val="24"/>
        </w:rPr>
        <w:t>Subject to paragraph (l1), if the </w:t>
      </w:r>
      <w:r>
        <w:rPr>
          <w:i/>
          <w:sz w:val="24"/>
        </w:rPr>
        <w:t>AER </w:t>
      </w:r>
      <w:r>
        <w:rPr>
          <w:sz w:val="24"/>
        </w:rPr>
        <w:t>gives a written notice to the </w:t>
      </w:r>
      <w:r>
        <w:rPr>
          <w:i/>
          <w:sz w:val="24"/>
        </w:rPr>
        <w:t>Distribution Network Service Provider </w:t>
      </w:r>
      <w:r>
        <w:rPr>
          <w:sz w:val="24"/>
        </w:rPr>
        <w:t>stating that, in order to make a decision on an application made by the </w:t>
      </w:r>
      <w:r>
        <w:rPr>
          <w:i/>
          <w:sz w:val="24"/>
        </w:rPr>
        <w:t>Distribution Network Service </w:t>
      </w:r>
      <w:r>
        <w:rPr>
          <w:i/>
          <w:sz w:val="24"/>
        </w:rPr>
        <w:t>Provider </w:t>
      </w:r>
      <w:r>
        <w:rPr>
          <w:sz w:val="24"/>
        </w:rPr>
        <w:t>under paragraph (a), it requires information that it anticipates will be made publicly available by a judicial body or royal commission then, </w:t>
      </w:r>
      <w:r>
        <w:rPr>
          <w:spacing w:val="-4"/>
          <w:sz w:val="24"/>
        </w:rPr>
        <w:t>for </w:t>
      </w:r>
      <w:r>
        <w:rPr>
          <w:sz w:val="24"/>
        </w:rPr>
        <w:t>the purpose of calculating elapsed time, the period between when the </w:t>
      </w:r>
      <w:r>
        <w:rPr>
          <w:i/>
          <w:sz w:val="24"/>
        </w:rPr>
        <w:t>AER </w:t>
      </w:r>
      <w:r>
        <w:rPr>
          <w:sz w:val="24"/>
        </w:rPr>
        <w:t>gives that notice to the </w:t>
      </w:r>
      <w:r>
        <w:rPr>
          <w:i/>
          <w:sz w:val="24"/>
        </w:rPr>
        <w:t>Distribution Network Service Provider </w:t>
      </w:r>
      <w:r>
        <w:rPr>
          <w:sz w:val="24"/>
        </w:rPr>
        <w:t>and when that information is made publicly available is to be</w:t>
      </w:r>
      <w:r>
        <w:rPr>
          <w:spacing w:val="-2"/>
          <w:sz w:val="24"/>
        </w:rPr>
        <w:t> </w:t>
      </w:r>
      <w:r>
        <w:rPr>
          <w:sz w:val="24"/>
        </w:rPr>
        <w:t>disregarded.</w:t>
      </w:r>
    </w:p>
    <w:p>
      <w:pPr>
        <w:pStyle w:val="ListParagraph"/>
        <w:numPr>
          <w:ilvl w:val="3"/>
          <w:numId w:val="414"/>
        </w:numPr>
        <w:tabs>
          <w:tab w:pos="1919" w:val="left" w:leader="none"/>
        </w:tabs>
        <w:spacing w:line="240" w:lineRule="auto" w:before="120" w:after="0"/>
        <w:ind w:left="1918" w:right="0" w:hanging="567"/>
        <w:jc w:val="both"/>
        <w:rPr>
          <w:i/>
          <w:sz w:val="24"/>
        </w:rPr>
      </w:pPr>
      <w:r>
        <w:rPr>
          <w:sz w:val="24"/>
        </w:rPr>
        <w:t>Where</w:t>
      </w:r>
      <w:r>
        <w:rPr>
          <w:spacing w:val="9"/>
          <w:sz w:val="24"/>
        </w:rPr>
        <w:t> </w:t>
      </w:r>
      <w:r>
        <w:rPr>
          <w:sz w:val="24"/>
        </w:rPr>
        <w:t>the</w:t>
      </w:r>
      <w:r>
        <w:rPr>
          <w:spacing w:val="9"/>
          <w:sz w:val="24"/>
        </w:rPr>
        <w:t> </w:t>
      </w:r>
      <w:r>
        <w:rPr>
          <w:i/>
          <w:sz w:val="24"/>
        </w:rPr>
        <w:t>AER</w:t>
      </w:r>
      <w:r>
        <w:rPr>
          <w:i/>
          <w:spacing w:val="9"/>
          <w:sz w:val="24"/>
        </w:rPr>
        <w:t> </w:t>
      </w:r>
      <w:r>
        <w:rPr>
          <w:sz w:val="24"/>
        </w:rPr>
        <w:t>gives</w:t>
      </w:r>
      <w:r>
        <w:rPr>
          <w:spacing w:val="9"/>
          <w:sz w:val="24"/>
        </w:rPr>
        <w:t> </w:t>
      </w:r>
      <w:r>
        <w:rPr>
          <w:sz w:val="24"/>
        </w:rPr>
        <w:t>a</w:t>
      </w:r>
      <w:r>
        <w:rPr>
          <w:spacing w:val="9"/>
          <w:sz w:val="24"/>
        </w:rPr>
        <w:t> </w:t>
      </w:r>
      <w:r>
        <w:rPr>
          <w:sz w:val="24"/>
        </w:rPr>
        <w:t>notice</w:t>
      </w:r>
      <w:r>
        <w:rPr>
          <w:spacing w:val="10"/>
          <w:sz w:val="24"/>
        </w:rPr>
        <w:t> </w:t>
      </w:r>
      <w:r>
        <w:rPr>
          <w:sz w:val="24"/>
        </w:rPr>
        <w:t>to</w:t>
      </w:r>
      <w:r>
        <w:rPr>
          <w:spacing w:val="9"/>
          <w:sz w:val="24"/>
        </w:rPr>
        <w:t> </w:t>
      </w:r>
      <w:r>
        <w:rPr>
          <w:sz w:val="24"/>
        </w:rPr>
        <w:t>the</w:t>
      </w:r>
      <w:r>
        <w:rPr>
          <w:spacing w:val="9"/>
          <w:sz w:val="24"/>
        </w:rPr>
        <w:t> </w:t>
      </w:r>
      <w:r>
        <w:rPr>
          <w:i/>
          <w:sz w:val="24"/>
        </w:rPr>
        <w:t>Distribution</w:t>
      </w:r>
      <w:r>
        <w:rPr>
          <w:i/>
          <w:spacing w:val="9"/>
          <w:sz w:val="24"/>
        </w:rPr>
        <w:t> </w:t>
      </w:r>
      <w:r>
        <w:rPr>
          <w:i/>
          <w:sz w:val="24"/>
        </w:rPr>
        <w:t>Network</w:t>
      </w:r>
      <w:r>
        <w:rPr>
          <w:i/>
          <w:spacing w:val="9"/>
          <w:sz w:val="24"/>
        </w:rPr>
        <w:t> </w:t>
      </w:r>
      <w:r>
        <w:rPr>
          <w:i/>
          <w:sz w:val="24"/>
        </w:rPr>
        <w:t>Service</w:t>
      </w:r>
      <w:r>
        <w:rPr>
          <w:i/>
          <w:spacing w:val="10"/>
          <w:sz w:val="24"/>
        </w:rPr>
        <w:t> </w:t>
      </w:r>
      <w:r>
        <w:rPr>
          <w:i/>
          <w:sz w:val="24"/>
        </w:rPr>
        <w:t>Provider</w:t>
      </w:r>
    </w:p>
    <w:p>
      <w:pPr>
        <w:pStyle w:val="BodyText"/>
        <w:spacing w:before="0"/>
        <w:ind w:left="1919" w:firstLine="0"/>
      </w:pPr>
      <w:r>
        <w:rPr/>
        <w:t>under paragraph (j) or (k), it must:</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(j) or (k), as the case may be, has</w:t>
      </w:r>
      <w:r>
        <w:rPr>
          <w:spacing w:val="-1"/>
          <w:sz w:val="24"/>
        </w:rPr>
        <w:t> </w:t>
      </w:r>
      <w:r>
        <w:rPr>
          <w:sz w:val="24"/>
        </w:rPr>
        <w:t>commenced;</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(j) or (k), as the case may be, has ended;</w:t>
      </w:r>
      <w:r>
        <w:rPr>
          <w:spacing w:val="-1"/>
          <w:sz w:val="24"/>
        </w:rPr>
        <w:t> </w:t>
      </w:r>
      <w:r>
        <w:rPr>
          <w:sz w:val="24"/>
        </w:rPr>
        <w:t>and</w:t>
      </w:r>
    </w:p>
    <w:p>
      <w:pPr>
        <w:pStyle w:val="ListParagraph"/>
        <w:numPr>
          <w:ilvl w:val="4"/>
          <w:numId w:val="414"/>
        </w:numPr>
        <w:tabs>
          <w:tab w:pos="2486" w:val="left" w:leader="none"/>
        </w:tabs>
        <w:spacing w:line="240" w:lineRule="auto" w:before="120" w:after="0"/>
        <w:ind w:left="2486" w:right="415" w:hanging="567"/>
        <w:jc w:val="both"/>
        <w:rPr>
          <w:sz w:val="24"/>
        </w:rPr>
      </w:pPr>
      <w:r>
        <w:rPr>
          <w:sz w:val="24"/>
        </w:rPr>
        <w:t>if the information specified in that notice is required from an </w:t>
      </w:r>
      <w:r>
        <w:rPr>
          <w:i/>
          <w:sz w:val="24"/>
        </w:rPr>
        <w:t>Authority</w:t>
      </w:r>
      <w:r>
        <w:rPr>
          <w:sz w:val="24"/>
        </w:rPr>
        <w:t>, promptly request that information from the relevant </w:t>
      </w:r>
      <w:r>
        <w:rPr>
          <w:i/>
          <w:sz w:val="24"/>
        </w:rPr>
        <w:t>Authority</w:t>
      </w:r>
      <w:r>
        <w:rPr>
          <w:sz w:val="24"/>
        </w:rPr>
        <w:t>.</w:t>
      </w:r>
    </w:p>
    <w:p>
      <w:pPr>
        <w:spacing w:before="120"/>
        <w:ind w:left="1919" w:right="415" w:hanging="567"/>
        <w:jc w:val="both"/>
        <w:rPr>
          <w:sz w:val="24"/>
        </w:rPr>
      </w:pPr>
      <w:r>
        <w:rPr>
          <w:sz w:val="24"/>
        </w:rPr>
        <w:t>(l1) Paragraphs (j) and (k) do not apply if the </w:t>
      </w:r>
      <w:r>
        <w:rPr>
          <w:i/>
          <w:sz w:val="24"/>
        </w:rPr>
        <w:t>AER </w:t>
      </w:r>
      <w:r>
        <w:rPr>
          <w:sz w:val="24"/>
        </w:rPr>
        <w:t>gives the notice specified in those paragraphs to the </w:t>
      </w:r>
      <w:r>
        <w:rPr>
          <w:i/>
          <w:sz w:val="24"/>
        </w:rPr>
        <w:t>Distribution Network Service Provider </w:t>
      </w:r>
      <w:r>
        <w:rPr>
          <w:sz w:val="24"/>
        </w:rPr>
        <w:t>later than 10 </w:t>
      </w:r>
      <w:r>
        <w:rPr>
          <w:i/>
          <w:sz w:val="24"/>
        </w:rPr>
        <w:t>business days </w:t>
      </w:r>
      <w:r>
        <w:rPr>
          <w:sz w:val="24"/>
        </w:rPr>
        <w:t>before the expiry of the time limit fixed in subparagraph (c)(2).</w:t>
      </w:r>
    </w:p>
    <w:p>
      <w:pPr>
        <w:spacing w:before="220"/>
        <w:ind w:left="1356" w:right="0" w:firstLine="0"/>
        <w:jc w:val="left"/>
        <w:rPr>
          <w:rFonts w:ascii="Arial"/>
          <w:b/>
          <w:sz w:val="22"/>
        </w:rPr>
      </w:pPr>
      <w:r>
        <w:rPr>
          <w:rFonts w:ascii="Arial"/>
          <w:b/>
          <w:sz w:val="22"/>
        </w:rPr>
        <w:t>Revocation and substitution of distribution determination</w:t>
      </w:r>
    </w:p>
    <w:p>
      <w:pPr>
        <w:pStyle w:val="ListParagraph"/>
        <w:numPr>
          <w:ilvl w:val="3"/>
          <w:numId w:val="414"/>
        </w:numPr>
        <w:tabs>
          <w:tab w:pos="1919" w:val="left" w:leader="none"/>
        </w:tabs>
        <w:spacing w:line="240" w:lineRule="auto" w:before="120" w:after="0"/>
        <w:ind w:left="1919" w:right="416" w:hanging="567"/>
        <w:jc w:val="both"/>
        <w:rPr>
          <w:sz w:val="24"/>
        </w:rPr>
      </w:pPr>
      <w:r>
        <w:rPr>
          <w:sz w:val="24"/>
        </w:rPr>
        <w:t>If the </w:t>
      </w:r>
      <w:r>
        <w:rPr>
          <w:i/>
          <w:sz w:val="24"/>
        </w:rPr>
        <w:t>AER </w:t>
      </w:r>
      <w:r>
        <w:rPr>
          <w:sz w:val="24"/>
        </w:rPr>
        <w:t>revokes and substitutes a distribution determination under paragraph (e), that revocation and substitution must take effect from the commencement of the next </w:t>
      </w:r>
      <w:r>
        <w:rPr>
          <w:i/>
          <w:sz w:val="24"/>
        </w:rPr>
        <w:t>regulatory</w:t>
      </w:r>
      <w:r>
        <w:rPr>
          <w:i/>
          <w:spacing w:val="-3"/>
          <w:sz w:val="24"/>
        </w:rPr>
        <w:t> </w:t>
      </w:r>
      <w:r>
        <w:rPr>
          <w:i/>
          <w:sz w:val="24"/>
        </w:rPr>
        <w:t>year</w:t>
      </w:r>
      <w:r>
        <w:rPr>
          <w:sz w:val="24"/>
        </w:rPr>
        <w:t>.</w:t>
      </w:r>
    </w:p>
    <w:p>
      <w:pPr>
        <w:spacing w:after="0" w:line="240" w:lineRule="auto"/>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6.6A Contingent Projects" w:id="1391"/>
      <w:bookmarkEnd w:id="1391"/>
      <w:r>
        <w:rPr>
          <w:b w:val="0"/>
        </w:rPr>
      </w:r>
      <w:bookmarkStart w:name="_bookmark563" w:id="1392"/>
      <w:bookmarkEnd w:id="1392"/>
      <w:r>
        <w:rPr>
          <w:b w:val="0"/>
        </w:rPr>
      </w:r>
      <w:r>
        <w:rPr/>
        <w:t>6.6A</w:t>
        <w:tab/>
        <w:t>Contingent</w:t>
      </w:r>
      <w:r>
        <w:rPr>
          <w:spacing w:val="-1"/>
        </w:rPr>
        <w:t> </w:t>
      </w:r>
      <w:r>
        <w:rPr/>
        <w:t>Projects</w:t>
      </w:r>
    </w:p>
    <w:p>
      <w:pPr>
        <w:pStyle w:val="Heading4"/>
        <w:numPr>
          <w:ilvl w:val="1"/>
          <w:numId w:val="418"/>
        </w:numPr>
        <w:tabs>
          <w:tab w:pos="553" w:val="left" w:leader="none"/>
          <w:tab w:pos="1351" w:val="left" w:leader="none"/>
        </w:tabs>
        <w:spacing w:line="240" w:lineRule="auto" w:before="240" w:after="0"/>
        <w:ind w:left="552" w:right="0" w:hanging="335"/>
        <w:jc w:val="left"/>
      </w:pPr>
      <w:bookmarkStart w:name="6.6A.1 Acceptance of a contingent projec" w:id="1393"/>
      <w:bookmarkEnd w:id="1393"/>
      <w:r>
        <w:rPr>
          <w:b w:val="0"/>
        </w:rPr>
      </w:r>
      <w:bookmarkStart w:name="_bookmark564" w:id="1394"/>
      <w:bookmarkEnd w:id="1394"/>
      <w:r>
        <w:rPr>
          <w:b w:val="0"/>
        </w:rPr>
      </w:r>
      <w:bookmarkStart w:name="_bookmark564" w:id="1395"/>
      <w:bookmarkEnd w:id="1395"/>
      <w:r>
        <w:rPr/>
        <w:t>A.</w:t>
      </w:r>
      <w:r>
        <w:rPr/>
        <w:t>1</w:t>
        <w:tab/>
        <w:t>Acceptance of a contingent project in a distribution</w:t>
      </w:r>
      <w:r>
        <w:rPr>
          <w:spacing w:val="-11"/>
        </w:rPr>
        <w:t> </w:t>
      </w:r>
      <w:r>
        <w:rPr/>
        <w:t>determination</w:t>
      </w:r>
    </w:p>
    <w:p>
      <w:pPr>
        <w:pStyle w:val="ListParagraph"/>
        <w:numPr>
          <w:ilvl w:val="2"/>
          <w:numId w:val="418"/>
        </w:numPr>
        <w:tabs>
          <w:tab w:pos="1919" w:val="left" w:leader="none"/>
        </w:tabs>
        <w:spacing w:line="240" w:lineRule="auto" w:before="120" w:after="0"/>
        <w:ind w:left="1919" w:right="415" w:hanging="567"/>
        <w:jc w:val="both"/>
        <w:rPr>
          <w:sz w:val="24"/>
        </w:rPr>
      </w:pPr>
      <w:r>
        <w:rPr>
          <w:sz w:val="24"/>
        </w:rPr>
        <w:t>Subject to paragraph (a1), a </w:t>
      </w:r>
      <w:r>
        <w:rPr>
          <w:i/>
          <w:sz w:val="24"/>
        </w:rPr>
        <w:t>regulatory proposal </w:t>
      </w:r>
      <w:r>
        <w:rPr>
          <w:sz w:val="24"/>
        </w:rPr>
        <w:t>may include</w:t>
      </w:r>
      <w:r>
        <w:rPr>
          <w:spacing w:val="35"/>
          <w:sz w:val="24"/>
        </w:rPr>
        <w:t> </w:t>
      </w:r>
      <w:r>
        <w:rPr>
          <w:i/>
          <w:sz w:val="24"/>
        </w:rPr>
        <w:t>proposed </w:t>
      </w:r>
      <w:r>
        <w:rPr>
          <w:i/>
          <w:sz w:val="24"/>
        </w:rPr>
        <w:t>contingent capital expenditure</w:t>
      </w:r>
      <w:r>
        <w:rPr>
          <w:sz w:val="24"/>
        </w:rPr>
        <w:t>, which the </w:t>
      </w:r>
      <w:r>
        <w:rPr>
          <w:i/>
          <w:sz w:val="24"/>
        </w:rPr>
        <w:t>Distribution Network Service </w:t>
      </w:r>
      <w:r>
        <w:rPr>
          <w:i/>
          <w:sz w:val="24"/>
        </w:rPr>
        <w:t>Provider </w:t>
      </w:r>
      <w:r>
        <w:rPr>
          <w:sz w:val="24"/>
        </w:rPr>
        <w:t>considers is reasonably required for the purpose of undertaking a </w:t>
      </w:r>
      <w:r>
        <w:rPr>
          <w:i/>
          <w:sz w:val="24"/>
        </w:rPr>
        <w:t>proposed contingent</w:t>
      </w:r>
      <w:r>
        <w:rPr>
          <w:i/>
          <w:spacing w:val="-1"/>
          <w:sz w:val="24"/>
        </w:rPr>
        <w:t> </w:t>
      </w:r>
      <w:r>
        <w:rPr>
          <w:i/>
          <w:sz w:val="24"/>
        </w:rPr>
        <w:t>project</w:t>
      </w:r>
      <w:r>
        <w:rPr>
          <w:sz w:val="24"/>
        </w:rPr>
        <w:t>.</w:t>
      </w:r>
    </w:p>
    <w:p>
      <w:pPr>
        <w:spacing w:before="120"/>
        <w:ind w:left="1919" w:right="415" w:hanging="567"/>
        <w:jc w:val="both"/>
        <w:rPr>
          <w:sz w:val="24"/>
        </w:rPr>
      </w:pPr>
      <w:r>
        <w:rPr>
          <w:sz w:val="24"/>
        </w:rPr>
        <w:t>(a1) </w:t>
      </w:r>
      <w:r>
        <w:rPr>
          <w:i/>
          <w:sz w:val="24"/>
        </w:rPr>
        <w:t>Proposed contingent capital expenditure </w:t>
      </w:r>
      <w:r>
        <w:rPr>
          <w:sz w:val="24"/>
        </w:rPr>
        <w:t>that is included in a </w:t>
      </w:r>
      <w:r>
        <w:rPr>
          <w:i/>
          <w:sz w:val="24"/>
        </w:rPr>
        <w:t>regulatory </w:t>
      </w:r>
      <w:r>
        <w:rPr>
          <w:i/>
          <w:sz w:val="24"/>
        </w:rPr>
        <w:t>proposal </w:t>
      </w:r>
      <w:r>
        <w:rPr>
          <w:sz w:val="24"/>
        </w:rPr>
        <w:t>of a </w:t>
      </w:r>
      <w:r>
        <w:rPr>
          <w:i/>
          <w:sz w:val="24"/>
        </w:rPr>
        <w:t>Distribution Network Service Provider </w:t>
      </w:r>
      <w:r>
        <w:rPr>
          <w:sz w:val="24"/>
        </w:rPr>
        <w:t>must not include </w:t>
      </w:r>
      <w:r>
        <w:rPr>
          <w:i/>
          <w:sz w:val="24"/>
        </w:rPr>
        <w:t>expenditure for a restricted asset</w:t>
      </w:r>
      <w:r>
        <w:rPr>
          <w:sz w:val="24"/>
        </w:rPr>
        <w:t>, unless that </w:t>
      </w:r>
      <w:r>
        <w:rPr>
          <w:i/>
          <w:sz w:val="24"/>
        </w:rPr>
        <w:t>Distribution Network Service </w:t>
      </w:r>
      <w:r>
        <w:rPr>
          <w:i/>
          <w:sz w:val="24"/>
        </w:rPr>
        <w:t>Provider </w:t>
      </w:r>
      <w:r>
        <w:rPr>
          <w:sz w:val="24"/>
        </w:rPr>
        <w:t>has submitted an </w:t>
      </w:r>
      <w:r>
        <w:rPr>
          <w:i/>
          <w:sz w:val="24"/>
        </w:rPr>
        <w:t>exemption application </w:t>
      </w:r>
      <w:r>
        <w:rPr>
          <w:sz w:val="24"/>
        </w:rPr>
        <w:t>with the </w:t>
      </w:r>
      <w:r>
        <w:rPr>
          <w:i/>
          <w:sz w:val="24"/>
        </w:rPr>
        <w:t>regulatory </w:t>
      </w:r>
      <w:r>
        <w:rPr>
          <w:i/>
          <w:sz w:val="24"/>
        </w:rPr>
        <w:t>proposal</w:t>
      </w:r>
      <w:r>
        <w:rPr>
          <w:sz w:val="24"/>
        </w:rPr>
        <w:t>, which requests an </w:t>
      </w:r>
      <w:r>
        <w:rPr>
          <w:i/>
          <w:sz w:val="24"/>
        </w:rPr>
        <w:t>asset exemption </w:t>
      </w:r>
      <w:r>
        <w:rPr>
          <w:sz w:val="24"/>
        </w:rPr>
        <w:t>under clause 6.4B.1(a)(2) in respect of that asset or class of asset for the </w:t>
      </w:r>
      <w:r>
        <w:rPr>
          <w:i/>
          <w:sz w:val="24"/>
        </w:rPr>
        <w:t>contingent</w:t>
      </w:r>
      <w:r>
        <w:rPr>
          <w:i/>
          <w:spacing w:val="-4"/>
          <w:sz w:val="24"/>
        </w:rPr>
        <w:t> </w:t>
      </w:r>
      <w:r>
        <w:rPr>
          <w:i/>
          <w:sz w:val="24"/>
        </w:rPr>
        <w:t>project</w:t>
      </w:r>
      <w:r>
        <w:rPr>
          <w:sz w:val="24"/>
        </w:rPr>
        <w:t>.</w:t>
      </w:r>
    </w:p>
    <w:p>
      <w:pPr>
        <w:pStyle w:val="ListParagraph"/>
        <w:numPr>
          <w:ilvl w:val="2"/>
          <w:numId w:val="418"/>
        </w:numPr>
        <w:tabs>
          <w:tab w:pos="1919" w:val="left" w:leader="none"/>
        </w:tabs>
        <w:spacing w:line="240" w:lineRule="auto" w:before="120" w:after="0"/>
        <w:ind w:left="1919" w:right="415" w:hanging="567"/>
        <w:jc w:val="both"/>
        <w:rPr>
          <w:sz w:val="24"/>
        </w:rPr>
      </w:pPr>
      <w:r>
        <w:rPr>
          <w:sz w:val="24"/>
        </w:rPr>
        <w:t>Subject to paragraph (b1), the </w:t>
      </w:r>
      <w:r>
        <w:rPr>
          <w:i/>
          <w:sz w:val="24"/>
        </w:rPr>
        <w:t>AER </w:t>
      </w:r>
      <w:r>
        <w:rPr>
          <w:sz w:val="24"/>
        </w:rPr>
        <w:t>must determine that a </w:t>
      </w:r>
      <w:r>
        <w:rPr>
          <w:i/>
          <w:sz w:val="24"/>
        </w:rPr>
        <w:t>proposed </w:t>
      </w:r>
      <w:r>
        <w:rPr>
          <w:i/>
          <w:sz w:val="24"/>
        </w:rPr>
        <w:t>contingent project </w:t>
      </w:r>
      <w:r>
        <w:rPr>
          <w:sz w:val="24"/>
        </w:rPr>
        <w:t>is a </w:t>
      </w:r>
      <w:r>
        <w:rPr>
          <w:i/>
          <w:sz w:val="24"/>
        </w:rPr>
        <w:t>contingent project </w:t>
      </w:r>
      <w:r>
        <w:rPr>
          <w:sz w:val="24"/>
        </w:rPr>
        <w:t>if the </w:t>
      </w:r>
      <w:r>
        <w:rPr>
          <w:i/>
          <w:sz w:val="24"/>
        </w:rPr>
        <w:t>AER </w:t>
      </w:r>
      <w:r>
        <w:rPr>
          <w:sz w:val="24"/>
        </w:rPr>
        <w:t>is satisfied</w:t>
      </w:r>
      <w:r>
        <w:rPr>
          <w:spacing w:val="-8"/>
          <w:sz w:val="24"/>
        </w:rPr>
        <w:t> </w:t>
      </w:r>
      <w:r>
        <w:rPr>
          <w:sz w:val="24"/>
        </w:rPr>
        <w:t>that:</w:t>
      </w:r>
    </w:p>
    <w:p>
      <w:pPr>
        <w:pStyle w:val="ListParagraph"/>
        <w:numPr>
          <w:ilvl w:val="3"/>
          <w:numId w:val="418"/>
        </w:numPr>
        <w:tabs>
          <w:tab w:pos="2486" w:val="left" w:leader="none"/>
        </w:tabs>
        <w:spacing w:line="240" w:lineRule="auto" w:before="120" w:after="0"/>
        <w:ind w:left="2486" w:right="414" w:hanging="567"/>
        <w:jc w:val="both"/>
        <w:rPr>
          <w:sz w:val="24"/>
        </w:rPr>
      </w:pPr>
      <w:r>
        <w:rPr>
          <w:sz w:val="24"/>
        </w:rPr>
        <w:t>the </w:t>
      </w:r>
      <w:r>
        <w:rPr>
          <w:i/>
          <w:sz w:val="24"/>
        </w:rPr>
        <w:t>proposed contingent project </w:t>
      </w:r>
      <w:r>
        <w:rPr>
          <w:sz w:val="24"/>
        </w:rPr>
        <w:t>is reasonably required to be undertaken in order to achieve any of the </w:t>
      </w:r>
      <w:r>
        <w:rPr>
          <w:i/>
          <w:sz w:val="24"/>
        </w:rPr>
        <w:t>capital expenditure </w:t>
      </w:r>
      <w:r>
        <w:rPr>
          <w:i/>
          <w:sz w:val="24"/>
        </w:rPr>
        <w:t>objectives</w:t>
      </w:r>
      <w:r>
        <w:rPr>
          <w:sz w:val="24"/>
        </w:rPr>
        <w:t>;</w:t>
      </w:r>
    </w:p>
    <w:p>
      <w:pPr>
        <w:pStyle w:val="ListParagraph"/>
        <w:numPr>
          <w:ilvl w:val="3"/>
          <w:numId w:val="418"/>
        </w:numPr>
        <w:tabs>
          <w:tab w:pos="2486" w:val="left" w:leader="none"/>
        </w:tabs>
        <w:spacing w:line="240" w:lineRule="auto" w:before="120" w:after="0"/>
        <w:ind w:left="2485" w:right="0" w:hanging="567"/>
        <w:jc w:val="both"/>
        <w:rPr>
          <w:sz w:val="24"/>
        </w:rPr>
      </w:pPr>
      <w:r>
        <w:rPr>
          <w:sz w:val="24"/>
        </w:rPr>
        <w:t>the </w:t>
      </w:r>
      <w:r>
        <w:rPr>
          <w:i/>
          <w:sz w:val="24"/>
        </w:rPr>
        <w:t>proposed contingent capital</w:t>
      </w:r>
      <w:r>
        <w:rPr>
          <w:i/>
          <w:spacing w:val="-1"/>
          <w:sz w:val="24"/>
        </w:rPr>
        <w:t> </w:t>
      </w:r>
      <w:r>
        <w:rPr>
          <w:i/>
          <w:sz w:val="24"/>
        </w:rPr>
        <w:t>expenditure</w:t>
      </w:r>
      <w:r>
        <w:rPr>
          <w:sz w:val="24"/>
        </w:rPr>
        <w:t>:</w:t>
      </w:r>
    </w:p>
    <w:p>
      <w:pPr>
        <w:pStyle w:val="ListParagraph"/>
        <w:numPr>
          <w:ilvl w:val="4"/>
          <w:numId w:val="418"/>
        </w:numPr>
        <w:tabs>
          <w:tab w:pos="3053" w:val="left" w:leader="none"/>
        </w:tabs>
        <w:spacing w:line="240" w:lineRule="auto" w:before="120" w:after="0"/>
        <w:ind w:left="3053" w:right="415" w:hanging="567"/>
        <w:jc w:val="both"/>
        <w:rPr>
          <w:sz w:val="24"/>
        </w:rPr>
      </w:pPr>
      <w:r>
        <w:rPr>
          <w:sz w:val="24"/>
        </w:rPr>
        <w:t>is not otherwise provided for (either in part or in whole) in the total of the forecast capital expenditure for the relevant </w:t>
      </w:r>
      <w:r>
        <w:rPr>
          <w:i/>
          <w:sz w:val="24"/>
        </w:rPr>
        <w:t>regulatory control period </w:t>
      </w:r>
      <w:r>
        <w:rPr>
          <w:sz w:val="24"/>
        </w:rPr>
        <w:t>which is accepted in accordance with clause 6.5.7(c) or substituted in accordance with clause 6.12.1(3)(ii) (as the case may</w:t>
      </w:r>
      <w:r>
        <w:rPr>
          <w:spacing w:val="-1"/>
          <w:sz w:val="24"/>
        </w:rPr>
        <w:t> </w:t>
      </w:r>
      <w:r>
        <w:rPr>
          <w:sz w:val="24"/>
        </w:rPr>
        <w:t>be);</w:t>
      </w:r>
    </w:p>
    <w:p>
      <w:pPr>
        <w:pStyle w:val="ListParagraph"/>
        <w:numPr>
          <w:ilvl w:val="4"/>
          <w:numId w:val="418"/>
        </w:numPr>
        <w:tabs>
          <w:tab w:pos="3054" w:val="left" w:leader="none"/>
        </w:tabs>
        <w:spacing w:line="240" w:lineRule="auto" w:before="120" w:after="0"/>
        <w:ind w:left="3053" w:right="414" w:hanging="567"/>
        <w:jc w:val="both"/>
        <w:rPr>
          <w:sz w:val="24"/>
        </w:rPr>
      </w:pPr>
      <w:r>
        <w:rPr>
          <w:sz w:val="24"/>
        </w:rPr>
        <w:t>reasonably reflects the </w:t>
      </w:r>
      <w:r>
        <w:rPr>
          <w:i/>
          <w:sz w:val="24"/>
        </w:rPr>
        <w:t>capital expenditure criteria</w:t>
      </w:r>
      <w:r>
        <w:rPr>
          <w:sz w:val="24"/>
        </w:rPr>
        <w:t>, taking into account the </w:t>
      </w:r>
      <w:r>
        <w:rPr>
          <w:i/>
          <w:sz w:val="24"/>
        </w:rPr>
        <w:t>capital expenditure factors</w:t>
      </w:r>
      <w:r>
        <w:rPr>
          <w:sz w:val="24"/>
        </w:rPr>
        <w:t>, in the context of the </w:t>
      </w:r>
      <w:r>
        <w:rPr>
          <w:i/>
          <w:sz w:val="24"/>
        </w:rPr>
        <w:t>proposed contingent project </w:t>
      </w:r>
      <w:r>
        <w:rPr>
          <w:sz w:val="24"/>
        </w:rPr>
        <w:t>as described in the </w:t>
      </w:r>
      <w:r>
        <w:rPr>
          <w:i/>
          <w:sz w:val="24"/>
        </w:rPr>
        <w:t>regulatory </w:t>
      </w:r>
      <w:r>
        <w:rPr>
          <w:i/>
          <w:sz w:val="24"/>
        </w:rPr>
        <w:t>proposal</w:t>
      </w:r>
      <w:r>
        <w:rPr>
          <w:sz w:val="24"/>
        </w:rPr>
        <w:t>; and</w:t>
      </w:r>
    </w:p>
    <w:p>
      <w:pPr>
        <w:pStyle w:val="ListParagraph"/>
        <w:numPr>
          <w:ilvl w:val="4"/>
          <w:numId w:val="418"/>
        </w:numPr>
        <w:tabs>
          <w:tab w:pos="3053" w:val="left" w:leader="none"/>
        </w:tabs>
        <w:spacing w:line="240" w:lineRule="auto" w:before="120" w:after="0"/>
        <w:ind w:left="3053" w:right="415" w:hanging="567"/>
        <w:jc w:val="both"/>
        <w:rPr>
          <w:sz w:val="24"/>
        </w:rPr>
      </w:pPr>
      <w:r>
        <w:rPr>
          <w:sz w:val="24"/>
        </w:rPr>
        <w:t>exceeds either $15 million or 5% of the value of the </w:t>
      </w:r>
      <w:r>
        <w:rPr>
          <w:i/>
          <w:sz w:val="24"/>
        </w:rPr>
        <w:t>annual </w:t>
      </w:r>
      <w:r>
        <w:rPr>
          <w:i/>
          <w:sz w:val="24"/>
        </w:rPr>
        <w:t>revenue requirement </w:t>
      </w:r>
      <w:r>
        <w:rPr>
          <w:sz w:val="24"/>
        </w:rPr>
        <w:t>for the relevant </w:t>
      </w:r>
      <w:r>
        <w:rPr>
          <w:i/>
          <w:sz w:val="24"/>
        </w:rPr>
        <w:t>Distribution Network </w:t>
      </w:r>
      <w:r>
        <w:rPr>
          <w:i/>
          <w:sz w:val="24"/>
        </w:rPr>
        <w:t>Service Provider </w:t>
      </w:r>
      <w:r>
        <w:rPr>
          <w:sz w:val="24"/>
        </w:rPr>
        <w:t>for the first year of the relevant </w:t>
      </w:r>
      <w:r>
        <w:rPr>
          <w:i/>
          <w:sz w:val="24"/>
        </w:rPr>
        <w:t>regulatory </w:t>
      </w:r>
      <w:r>
        <w:rPr>
          <w:i/>
          <w:sz w:val="24"/>
        </w:rPr>
        <w:t>control period</w:t>
      </w:r>
      <w:r>
        <w:rPr>
          <w:sz w:val="24"/>
        </w:rPr>
        <w:t>, whichever is the larger</w:t>
      </w:r>
      <w:r>
        <w:rPr>
          <w:spacing w:val="-1"/>
          <w:sz w:val="24"/>
        </w:rPr>
        <w:t> </w:t>
      </w:r>
      <w:r>
        <w:rPr>
          <w:sz w:val="24"/>
        </w:rPr>
        <w:t>amount;</w:t>
      </w:r>
    </w:p>
    <w:p>
      <w:pPr>
        <w:pStyle w:val="ListParagraph"/>
        <w:numPr>
          <w:ilvl w:val="3"/>
          <w:numId w:val="418"/>
        </w:numPr>
        <w:tabs>
          <w:tab w:pos="2486" w:val="left" w:leader="none"/>
        </w:tabs>
        <w:spacing w:line="240" w:lineRule="auto" w:before="120" w:after="0"/>
        <w:ind w:left="2486" w:right="414" w:hanging="567"/>
        <w:jc w:val="both"/>
        <w:rPr>
          <w:sz w:val="24"/>
        </w:rPr>
      </w:pPr>
      <w:r>
        <w:rPr>
          <w:sz w:val="24"/>
        </w:rPr>
        <w:t>the </w:t>
      </w:r>
      <w:r>
        <w:rPr>
          <w:i/>
          <w:sz w:val="24"/>
        </w:rPr>
        <w:t>proposed contingent project </w:t>
      </w:r>
      <w:r>
        <w:rPr>
          <w:sz w:val="24"/>
        </w:rPr>
        <w:t>and the </w:t>
      </w:r>
      <w:r>
        <w:rPr>
          <w:i/>
          <w:sz w:val="24"/>
        </w:rPr>
        <w:t>proposed contingent capital </w:t>
      </w:r>
      <w:r>
        <w:rPr>
          <w:i/>
          <w:sz w:val="24"/>
        </w:rPr>
        <w:t>expenditure</w:t>
      </w:r>
      <w:r>
        <w:rPr>
          <w:sz w:val="24"/>
        </w:rPr>
        <w:t>, as described or set out in the </w:t>
      </w:r>
      <w:r>
        <w:rPr>
          <w:i/>
          <w:sz w:val="24"/>
        </w:rPr>
        <w:t>regulatory proposal</w:t>
      </w:r>
      <w:r>
        <w:rPr>
          <w:sz w:val="24"/>
        </w:rPr>
        <w:t>, and the information provided in relation to these matters, complies with the relevant requirements of any relevant </w:t>
      </w:r>
      <w:r>
        <w:rPr>
          <w:i/>
          <w:sz w:val="24"/>
        </w:rPr>
        <w:t>regulatory information </w:t>
      </w:r>
      <w:r>
        <w:rPr>
          <w:i/>
          <w:sz w:val="24"/>
        </w:rPr>
        <w:t>instrument</w:t>
      </w:r>
      <w:r>
        <w:rPr>
          <w:sz w:val="24"/>
        </w:rPr>
        <w:t>; and</w:t>
      </w:r>
    </w:p>
    <w:p>
      <w:pPr>
        <w:pStyle w:val="ListParagraph"/>
        <w:numPr>
          <w:ilvl w:val="3"/>
          <w:numId w:val="418"/>
        </w:numPr>
        <w:tabs>
          <w:tab w:pos="2486" w:val="left" w:leader="none"/>
        </w:tabs>
        <w:spacing w:line="240" w:lineRule="auto" w:before="120" w:after="0"/>
        <w:ind w:left="2486" w:right="414" w:hanging="567"/>
        <w:jc w:val="both"/>
        <w:rPr>
          <w:sz w:val="24"/>
        </w:rPr>
      </w:pPr>
      <w:r>
        <w:rPr>
          <w:sz w:val="24"/>
        </w:rPr>
        <w:t>the </w:t>
      </w:r>
      <w:r>
        <w:rPr>
          <w:i/>
          <w:sz w:val="24"/>
        </w:rPr>
        <w:t>trigger events </w:t>
      </w:r>
      <w:r>
        <w:rPr>
          <w:sz w:val="24"/>
        </w:rPr>
        <w:t>in relation to the </w:t>
      </w:r>
      <w:r>
        <w:rPr>
          <w:i/>
          <w:sz w:val="24"/>
        </w:rPr>
        <w:t>proposed contingent project </w:t>
      </w:r>
      <w:r>
        <w:rPr>
          <w:sz w:val="24"/>
        </w:rPr>
        <w:t>which are proposed by the </w:t>
      </w:r>
      <w:r>
        <w:rPr>
          <w:i/>
          <w:sz w:val="24"/>
        </w:rPr>
        <w:t>Distribution Network Service Provider </w:t>
      </w:r>
      <w:r>
        <w:rPr>
          <w:sz w:val="24"/>
        </w:rPr>
        <w:t>in its </w:t>
      </w:r>
      <w:r>
        <w:rPr>
          <w:i/>
          <w:sz w:val="24"/>
        </w:rPr>
        <w:t>regulatory proposal </w:t>
      </w:r>
      <w:r>
        <w:rPr>
          <w:sz w:val="24"/>
        </w:rPr>
        <w:t>are</w:t>
      </w:r>
      <w:r>
        <w:rPr>
          <w:spacing w:val="-2"/>
          <w:sz w:val="24"/>
        </w:rPr>
        <w:t> </w:t>
      </w:r>
      <w:r>
        <w:rPr>
          <w:sz w:val="24"/>
        </w:rPr>
        <w:t>appropriate.</w:t>
      </w:r>
    </w:p>
    <w:p>
      <w:pPr>
        <w:spacing w:before="120"/>
        <w:ind w:left="1919" w:right="415" w:hanging="567"/>
        <w:jc w:val="both"/>
        <w:rPr>
          <w:sz w:val="24"/>
        </w:rPr>
      </w:pPr>
      <w:r>
        <w:rPr>
          <w:sz w:val="24"/>
        </w:rPr>
        <w:t>(b1) The </w:t>
      </w:r>
      <w:r>
        <w:rPr>
          <w:i/>
          <w:sz w:val="24"/>
        </w:rPr>
        <w:t>AER </w:t>
      </w:r>
      <w:r>
        <w:rPr>
          <w:sz w:val="24"/>
        </w:rPr>
        <w:t>must not determine that a </w:t>
      </w:r>
      <w:r>
        <w:rPr>
          <w:i/>
          <w:sz w:val="24"/>
        </w:rPr>
        <w:t>proposed contingent project </w:t>
      </w:r>
      <w:r>
        <w:rPr>
          <w:sz w:val="24"/>
        </w:rPr>
        <w:t>is a </w:t>
      </w:r>
      <w:r>
        <w:rPr>
          <w:i/>
          <w:sz w:val="24"/>
        </w:rPr>
        <w:t>contingent project </w:t>
      </w:r>
      <w:r>
        <w:rPr>
          <w:sz w:val="24"/>
        </w:rPr>
        <w:t>if the </w:t>
      </w:r>
      <w:r>
        <w:rPr>
          <w:i/>
          <w:sz w:val="24"/>
        </w:rPr>
        <w:t>proposed contingent capital expenditure </w:t>
      </w:r>
      <w:r>
        <w:rPr>
          <w:sz w:val="24"/>
        </w:rPr>
        <w:t>for that </w:t>
      </w:r>
      <w:r>
        <w:rPr>
          <w:i/>
          <w:sz w:val="24"/>
        </w:rPr>
        <w:t>proposed contingent project </w:t>
      </w:r>
      <w:r>
        <w:rPr>
          <w:sz w:val="24"/>
        </w:rPr>
        <w:t>includes </w:t>
      </w:r>
      <w:r>
        <w:rPr>
          <w:i/>
          <w:sz w:val="24"/>
        </w:rPr>
        <w:t>expenditure for a restricted asset</w:t>
      </w:r>
      <w:r>
        <w:rPr>
          <w:sz w:val="24"/>
        </w:rPr>
        <w:t>, unless:</w:t>
      </w:r>
    </w:p>
    <w:p>
      <w:pPr>
        <w:spacing w:after="0"/>
        <w:jc w:val="both"/>
        <w:rPr>
          <w:sz w:val="24"/>
        </w:rPr>
        <w:sectPr>
          <w:pgSz w:w="11910" w:h="16840"/>
          <w:pgMar w:header="686" w:footer="637" w:top="1320" w:bottom="820" w:left="1200" w:right="1000"/>
        </w:sectPr>
      </w:pPr>
    </w:p>
    <w:p>
      <w:pPr>
        <w:pStyle w:val="ListParagraph"/>
        <w:numPr>
          <w:ilvl w:val="0"/>
          <w:numId w:val="419"/>
        </w:numPr>
        <w:tabs>
          <w:tab w:pos="2486" w:val="left" w:leader="none"/>
        </w:tabs>
        <w:spacing w:line="240" w:lineRule="auto" w:before="83" w:after="0"/>
        <w:ind w:left="2486" w:right="415" w:hanging="567"/>
        <w:jc w:val="both"/>
        <w:rPr>
          <w:sz w:val="24"/>
        </w:rPr>
      </w:pPr>
      <w:r>
        <w:rPr>
          <w:sz w:val="24"/>
        </w:rPr>
        <w:t>the relevant </w:t>
      </w:r>
      <w:r>
        <w:rPr>
          <w:i/>
          <w:sz w:val="24"/>
        </w:rPr>
        <w:t>Distribution Network Service Provider </w:t>
      </w:r>
      <w:r>
        <w:rPr>
          <w:sz w:val="24"/>
        </w:rPr>
        <w:t>has requested an </w:t>
      </w:r>
      <w:r>
        <w:rPr>
          <w:i/>
          <w:sz w:val="24"/>
        </w:rPr>
        <w:t>asset exemption </w:t>
      </w:r>
      <w:r>
        <w:rPr>
          <w:sz w:val="24"/>
        </w:rPr>
        <w:t>under paragraph (a1) in respect of that asset or </w:t>
      </w:r>
      <w:r>
        <w:rPr>
          <w:spacing w:val="-5"/>
          <w:sz w:val="24"/>
        </w:rPr>
        <w:t>that </w:t>
      </w:r>
      <w:r>
        <w:rPr>
          <w:sz w:val="24"/>
        </w:rPr>
        <w:t>class of asset;</w:t>
      </w:r>
      <w:r>
        <w:rPr>
          <w:spacing w:val="-1"/>
          <w:sz w:val="24"/>
        </w:rPr>
        <w:t> </w:t>
      </w:r>
      <w:r>
        <w:rPr>
          <w:sz w:val="24"/>
        </w:rPr>
        <w:t>and</w:t>
      </w:r>
    </w:p>
    <w:p>
      <w:pPr>
        <w:pStyle w:val="ListParagraph"/>
        <w:numPr>
          <w:ilvl w:val="0"/>
          <w:numId w:val="419"/>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granted that </w:t>
      </w:r>
      <w:r>
        <w:rPr>
          <w:i/>
          <w:sz w:val="24"/>
        </w:rPr>
        <w:t>asset</w:t>
      </w:r>
      <w:r>
        <w:rPr>
          <w:i/>
          <w:spacing w:val="-1"/>
          <w:sz w:val="24"/>
        </w:rPr>
        <w:t> </w:t>
      </w:r>
      <w:r>
        <w:rPr>
          <w:i/>
          <w:sz w:val="24"/>
        </w:rPr>
        <w:t>exemption</w:t>
      </w:r>
      <w:r>
        <w:rPr>
          <w:sz w:val="24"/>
        </w:rPr>
        <w:t>.</w:t>
      </w:r>
    </w:p>
    <w:p>
      <w:pPr>
        <w:pStyle w:val="ListParagraph"/>
        <w:numPr>
          <w:ilvl w:val="2"/>
          <w:numId w:val="418"/>
        </w:numPr>
        <w:tabs>
          <w:tab w:pos="1919" w:val="left" w:leader="none"/>
        </w:tabs>
        <w:spacing w:line="240" w:lineRule="auto" w:before="120" w:after="0"/>
        <w:ind w:left="1919" w:right="415" w:hanging="567"/>
        <w:jc w:val="both"/>
        <w:rPr>
          <w:sz w:val="24"/>
        </w:rPr>
      </w:pPr>
      <w:r>
        <w:rPr>
          <w:sz w:val="24"/>
        </w:rPr>
        <w:t>In determining whether a </w:t>
      </w:r>
      <w:r>
        <w:rPr>
          <w:i/>
          <w:sz w:val="24"/>
        </w:rPr>
        <w:t>trigger event </w:t>
      </w:r>
      <w:r>
        <w:rPr>
          <w:sz w:val="24"/>
        </w:rPr>
        <w:t>in relation to a </w:t>
      </w:r>
      <w:r>
        <w:rPr>
          <w:i/>
          <w:sz w:val="24"/>
        </w:rPr>
        <w:t>proposed contingent </w:t>
      </w:r>
      <w:r>
        <w:rPr>
          <w:i/>
          <w:sz w:val="24"/>
        </w:rPr>
        <w:t>project </w:t>
      </w:r>
      <w:r>
        <w:rPr>
          <w:sz w:val="24"/>
        </w:rPr>
        <w:t>is appropriate for the purposes of subparagraph (b)(4), the </w:t>
      </w:r>
      <w:r>
        <w:rPr>
          <w:i/>
          <w:sz w:val="24"/>
        </w:rPr>
        <w:t>AER </w:t>
      </w:r>
      <w:r>
        <w:rPr>
          <w:sz w:val="24"/>
        </w:rPr>
        <w:t>must have regard to the need for a </w:t>
      </w:r>
      <w:r>
        <w:rPr>
          <w:i/>
          <w:sz w:val="24"/>
        </w:rPr>
        <w:t>trigger</w:t>
      </w:r>
      <w:r>
        <w:rPr>
          <w:i/>
          <w:spacing w:val="-2"/>
          <w:sz w:val="24"/>
        </w:rPr>
        <w:t> </w:t>
      </w:r>
      <w:r>
        <w:rPr>
          <w:i/>
          <w:sz w:val="24"/>
        </w:rPr>
        <w:t>event</w:t>
      </w:r>
      <w:r>
        <w:rPr>
          <w:sz w:val="24"/>
        </w:rPr>
        <w:t>:</w:t>
      </w:r>
    </w:p>
    <w:p>
      <w:pPr>
        <w:pStyle w:val="ListParagraph"/>
        <w:numPr>
          <w:ilvl w:val="3"/>
          <w:numId w:val="418"/>
        </w:numPr>
        <w:tabs>
          <w:tab w:pos="2486" w:val="left" w:leader="none"/>
        </w:tabs>
        <w:spacing w:line="240" w:lineRule="auto" w:before="120" w:after="0"/>
        <w:ind w:left="2485" w:right="0" w:hanging="567"/>
        <w:jc w:val="both"/>
        <w:rPr>
          <w:sz w:val="24"/>
        </w:rPr>
      </w:pPr>
      <w:r>
        <w:rPr>
          <w:sz w:val="24"/>
        </w:rPr>
        <w:t>to be reasonably specific and capable of objective</w:t>
      </w:r>
      <w:r>
        <w:rPr>
          <w:spacing w:val="-3"/>
          <w:sz w:val="24"/>
        </w:rPr>
        <w:t> </w:t>
      </w:r>
      <w:r>
        <w:rPr>
          <w:sz w:val="24"/>
        </w:rPr>
        <w:t>verification;</w:t>
      </w:r>
    </w:p>
    <w:p>
      <w:pPr>
        <w:pStyle w:val="ListParagraph"/>
        <w:numPr>
          <w:ilvl w:val="3"/>
          <w:numId w:val="418"/>
        </w:numPr>
        <w:tabs>
          <w:tab w:pos="2486" w:val="left" w:leader="none"/>
        </w:tabs>
        <w:spacing w:line="240" w:lineRule="auto" w:before="120" w:after="0"/>
        <w:ind w:left="2486" w:right="414" w:hanging="567"/>
        <w:jc w:val="both"/>
        <w:rPr>
          <w:sz w:val="24"/>
        </w:rPr>
      </w:pPr>
      <w:r>
        <w:rPr>
          <w:sz w:val="24"/>
        </w:rPr>
        <w:t>to be a condition or event, which, if it occurs, makes the undertaking of the </w:t>
      </w:r>
      <w:r>
        <w:rPr>
          <w:i/>
          <w:sz w:val="24"/>
        </w:rPr>
        <w:t>proposed contingent project </w:t>
      </w:r>
      <w:r>
        <w:rPr>
          <w:sz w:val="24"/>
        </w:rPr>
        <w:t>reasonably necessary in order to achieve any of the </w:t>
      </w:r>
      <w:r>
        <w:rPr>
          <w:i/>
          <w:sz w:val="24"/>
        </w:rPr>
        <w:t>capital expenditure</w:t>
      </w:r>
      <w:r>
        <w:rPr>
          <w:i/>
          <w:spacing w:val="-1"/>
          <w:sz w:val="24"/>
        </w:rPr>
        <w:t> </w:t>
      </w:r>
      <w:r>
        <w:rPr>
          <w:i/>
          <w:sz w:val="24"/>
        </w:rPr>
        <w:t>objectives</w:t>
      </w:r>
      <w:r>
        <w:rPr>
          <w:sz w:val="24"/>
        </w:rPr>
        <w:t>;</w:t>
      </w:r>
    </w:p>
    <w:p>
      <w:pPr>
        <w:pStyle w:val="ListParagraph"/>
        <w:numPr>
          <w:ilvl w:val="3"/>
          <w:numId w:val="418"/>
        </w:numPr>
        <w:tabs>
          <w:tab w:pos="2486" w:val="left" w:leader="none"/>
        </w:tabs>
        <w:spacing w:line="240" w:lineRule="auto" w:before="120" w:after="0"/>
        <w:ind w:left="2486" w:right="414" w:hanging="567"/>
        <w:jc w:val="both"/>
        <w:rPr>
          <w:sz w:val="24"/>
        </w:rPr>
      </w:pPr>
      <w:r>
        <w:rPr>
          <w:sz w:val="24"/>
        </w:rPr>
        <w:t>to be a condition or event that generates increased costs or categories of costs that relate to a specific location rather than a condition or event that affects the </w:t>
      </w:r>
      <w:r>
        <w:rPr>
          <w:i/>
          <w:sz w:val="24"/>
        </w:rPr>
        <w:t>distribution network </w:t>
      </w:r>
      <w:r>
        <w:rPr>
          <w:sz w:val="24"/>
        </w:rPr>
        <w:t>as a</w:t>
      </w:r>
      <w:r>
        <w:rPr>
          <w:spacing w:val="-4"/>
          <w:sz w:val="24"/>
        </w:rPr>
        <w:t> </w:t>
      </w:r>
      <w:r>
        <w:rPr>
          <w:sz w:val="24"/>
        </w:rPr>
        <w:t>whole;</w:t>
      </w:r>
    </w:p>
    <w:p>
      <w:pPr>
        <w:pStyle w:val="ListParagraph"/>
        <w:numPr>
          <w:ilvl w:val="3"/>
          <w:numId w:val="418"/>
        </w:numPr>
        <w:tabs>
          <w:tab w:pos="2486" w:val="left" w:leader="none"/>
        </w:tabs>
        <w:spacing w:line="240" w:lineRule="auto" w:before="120" w:after="0"/>
        <w:ind w:left="2486" w:right="415" w:hanging="567"/>
        <w:jc w:val="both"/>
        <w:rPr>
          <w:sz w:val="24"/>
        </w:rPr>
      </w:pPr>
      <w:r>
        <w:rPr>
          <w:sz w:val="24"/>
        </w:rPr>
        <w:t>to be described in such terms that the occurrence of that event or condition is all that is required for the distribution determination to be amended under clause 6.6A.2;</w:t>
      </w:r>
      <w:r>
        <w:rPr>
          <w:spacing w:val="-1"/>
          <w:sz w:val="24"/>
        </w:rPr>
        <w:t> </w:t>
      </w:r>
      <w:r>
        <w:rPr>
          <w:sz w:val="24"/>
        </w:rPr>
        <w:t>and</w:t>
      </w:r>
    </w:p>
    <w:p>
      <w:pPr>
        <w:pStyle w:val="ListParagraph"/>
        <w:numPr>
          <w:ilvl w:val="3"/>
          <w:numId w:val="418"/>
        </w:numPr>
        <w:tabs>
          <w:tab w:pos="2486" w:val="left" w:leader="none"/>
        </w:tabs>
        <w:spacing w:line="240" w:lineRule="auto" w:before="120" w:after="0"/>
        <w:ind w:left="2486" w:right="415" w:hanging="567"/>
        <w:jc w:val="both"/>
        <w:rPr>
          <w:sz w:val="24"/>
        </w:rPr>
      </w:pPr>
      <w:r>
        <w:rPr>
          <w:sz w:val="24"/>
        </w:rPr>
        <w:t>to be an event or condition, the occurrence of which is  probable during the </w:t>
      </w:r>
      <w:r>
        <w:rPr>
          <w:i/>
          <w:sz w:val="24"/>
        </w:rPr>
        <w:t>regulatory control period</w:t>
      </w:r>
      <w:r>
        <w:rPr>
          <w:sz w:val="24"/>
        </w:rPr>
        <w:t>, but the inclusion of capital expenditure in relation to it under clause 6.5.7 is not appropriate because:</w:t>
      </w:r>
    </w:p>
    <w:p>
      <w:pPr>
        <w:pStyle w:val="ListParagraph"/>
        <w:numPr>
          <w:ilvl w:val="4"/>
          <w:numId w:val="418"/>
        </w:numPr>
        <w:tabs>
          <w:tab w:pos="3053" w:val="left" w:leader="none"/>
        </w:tabs>
        <w:spacing w:line="240" w:lineRule="auto" w:before="120" w:after="0"/>
        <w:ind w:left="3053" w:right="415" w:hanging="567"/>
        <w:jc w:val="both"/>
        <w:rPr>
          <w:sz w:val="24"/>
        </w:rPr>
      </w:pPr>
      <w:r>
        <w:rPr>
          <w:sz w:val="24"/>
        </w:rPr>
        <w:t>it is not sufficiently certain that the event or condition will occur during the </w:t>
      </w:r>
      <w:r>
        <w:rPr>
          <w:i/>
          <w:sz w:val="24"/>
        </w:rPr>
        <w:t>regulatory control period </w:t>
      </w:r>
      <w:r>
        <w:rPr>
          <w:sz w:val="24"/>
        </w:rPr>
        <w:t>or if it may occur after that </w:t>
      </w:r>
      <w:r>
        <w:rPr>
          <w:i/>
          <w:sz w:val="24"/>
        </w:rPr>
        <w:t>regulatory control period </w:t>
      </w:r>
      <w:r>
        <w:rPr>
          <w:sz w:val="24"/>
        </w:rPr>
        <w:t>or not at all;</w:t>
      </w:r>
      <w:r>
        <w:rPr>
          <w:spacing w:val="-4"/>
          <w:sz w:val="24"/>
        </w:rPr>
        <w:t> </w:t>
      </w:r>
      <w:r>
        <w:rPr>
          <w:sz w:val="24"/>
        </w:rPr>
        <w:t>or</w:t>
      </w:r>
    </w:p>
    <w:p>
      <w:pPr>
        <w:pStyle w:val="ListParagraph"/>
        <w:numPr>
          <w:ilvl w:val="4"/>
          <w:numId w:val="418"/>
        </w:numPr>
        <w:tabs>
          <w:tab w:pos="3054" w:val="left" w:leader="none"/>
        </w:tabs>
        <w:spacing w:line="240" w:lineRule="auto" w:before="120" w:after="0"/>
        <w:ind w:left="3053" w:right="415" w:hanging="567"/>
        <w:jc w:val="both"/>
        <w:rPr>
          <w:sz w:val="24"/>
        </w:rPr>
      </w:pPr>
      <w:r>
        <w:rPr>
          <w:sz w:val="24"/>
        </w:rPr>
        <w:t>subject to the requirement to satisfy subparagraph (b)(2)(iii), the costs associated with the event or condition are not sufficiently certain.</w:t>
      </w:r>
    </w:p>
    <w:p>
      <w:pPr>
        <w:pStyle w:val="BodyText"/>
        <w:spacing w:before="10"/>
        <w:ind w:firstLine="0"/>
        <w:jc w:val="left"/>
        <w:rPr>
          <w:sz w:val="20"/>
        </w:rPr>
      </w:pPr>
    </w:p>
    <w:p>
      <w:pPr>
        <w:pStyle w:val="Heading4"/>
        <w:numPr>
          <w:ilvl w:val="1"/>
          <w:numId w:val="420"/>
        </w:numPr>
        <w:tabs>
          <w:tab w:pos="553" w:val="left" w:leader="none"/>
          <w:tab w:pos="1351" w:val="left" w:leader="none"/>
        </w:tabs>
        <w:spacing w:line="240" w:lineRule="auto" w:before="0" w:after="0"/>
        <w:ind w:left="552" w:right="0" w:hanging="335"/>
        <w:jc w:val="left"/>
        <w:rPr>
          <w:sz w:val="22"/>
        </w:rPr>
      </w:pPr>
      <w:bookmarkStart w:name="6.6A.2 Amendment of distribution determi" w:id="1396"/>
      <w:bookmarkEnd w:id="1396"/>
      <w:r>
        <w:rPr>
          <w:b w:val="0"/>
        </w:rPr>
      </w:r>
      <w:bookmarkStart w:name="_bookmark565" w:id="1397"/>
      <w:bookmarkEnd w:id="1397"/>
      <w:r>
        <w:rPr>
          <w:b w:val="0"/>
        </w:rPr>
      </w:r>
      <w:bookmarkStart w:name="_bookmark565" w:id="1398"/>
      <w:bookmarkEnd w:id="1398"/>
      <w:r>
        <w:rPr/>
        <w:t>A.</w:t>
      </w:r>
      <w:r>
        <w:rPr/>
        <w:t>2</w:t>
        <w:tab/>
        <w:t>Amendment of distribution determination for contingent</w:t>
      </w:r>
      <w:r>
        <w:rPr>
          <w:spacing w:val="-8"/>
        </w:rPr>
        <w:t> </w:t>
      </w:r>
      <w:r>
        <w:rPr/>
        <w:t>project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Subject to paragraph (a1), a </w:t>
      </w:r>
      <w:r>
        <w:rPr>
          <w:i/>
          <w:sz w:val="24"/>
        </w:rPr>
        <w:t>Distribution Network Service Provider </w:t>
      </w:r>
      <w:r>
        <w:rPr>
          <w:sz w:val="24"/>
        </w:rPr>
        <w:t>may, during a </w:t>
      </w:r>
      <w:r>
        <w:rPr>
          <w:i/>
          <w:sz w:val="24"/>
        </w:rPr>
        <w:t>regulatory control period</w:t>
      </w:r>
      <w:r>
        <w:rPr>
          <w:sz w:val="24"/>
        </w:rPr>
        <w:t>, apply to the </w:t>
      </w:r>
      <w:r>
        <w:rPr>
          <w:i/>
          <w:sz w:val="24"/>
        </w:rPr>
        <w:t>AER </w:t>
      </w:r>
      <w:r>
        <w:rPr>
          <w:sz w:val="24"/>
        </w:rPr>
        <w:t>to amend a distribution determination that applies to that </w:t>
      </w:r>
      <w:r>
        <w:rPr>
          <w:i/>
          <w:sz w:val="24"/>
        </w:rPr>
        <w:t>Distribution Network Service Provider </w:t>
      </w:r>
      <w:r>
        <w:rPr>
          <w:sz w:val="24"/>
        </w:rPr>
        <w:t>where a </w:t>
      </w:r>
      <w:r>
        <w:rPr>
          <w:i/>
          <w:sz w:val="24"/>
        </w:rPr>
        <w:t>trigger event </w:t>
      </w:r>
      <w:r>
        <w:rPr>
          <w:sz w:val="24"/>
        </w:rPr>
        <w:t>for a </w:t>
      </w:r>
      <w:r>
        <w:rPr>
          <w:i/>
          <w:sz w:val="24"/>
        </w:rPr>
        <w:t>contingent project </w:t>
      </w:r>
      <w:r>
        <w:rPr>
          <w:sz w:val="24"/>
        </w:rPr>
        <w:t>in relation to that distribution determination has</w:t>
      </w:r>
      <w:r>
        <w:rPr>
          <w:spacing w:val="-1"/>
          <w:sz w:val="24"/>
        </w:rPr>
        <w:t> </w:t>
      </w:r>
      <w:r>
        <w:rPr>
          <w:sz w:val="24"/>
        </w:rPr>
        <w:t>occurred.</w:t>
      </w:r>
    </w:p>
    <w:p>
      <w:pPr>
        <w:pStyle w:val="BodyText"/>
        <w:ind w:left="1919" w:right="416"/>
      </w:pPr>
      <w:r>
        <w:rPr/>
        <w:t>(a1)   An  application  referred  to  in  paragraph  (a)  must  be  made  as  soon     as practicable after the occurrence of the </w:t>
      </w:r>
      <w:r>
        <w:rPr>
          <w:i/>
        </w:rPr>
        <w:t>trigger event</w:t>
      </w:r>
      <w:r>
        <w:rPr/>
        <w:t>, but cannot be</w:t>
      </w:r>
      <w:r>
        <w:rPr>
          <w:spacing w:val="-5"/>
        </w:rPr>
        <w:t> </w:t>
      </w:r>
      <w:r>
        <w:rPr/>
        <w:t>made:</w:t>
      </w:r>
    </w:p>
    <w:p>
      <w:pPr>
        <w:pStyle w:val="ListParagraph"/>
        <w:numPr>
          <w:ilvl w:val="3"/>
          <w:numId w:val="420"/>
        </w:numPr>
        <w:tabs>
          <w:tab w:pos="2486" w:val="left" w:leader="none"/>
        </w:tabs>
        <w:spacing w:line="240" w:lineRule="auto" w:before="120" w:after="0"/>
        <w:ind w:left="2486" w:right="416" w:hanging="567"/>
        <w:jc w:val="both"/>
        <w:rPr>
          <w:sz w:val="24"/>
        </w:rPr>
      </w:pPr>
      <w:r>
        <w:rPr>
          <w:sz w:val="24"/>
        </w:rPr>
        <w:t>within 90 </w:t>
      </w:r>
      <w:r>
        <w:rPr>
          <w:i/>
          <w:sz w:val="24"/>
        </w:rPr>
        <w:t>business days </w:t>
      </w:r>
      <w:r>
        <w:rPr>
          <w:sz w:val="24"/>
        </w:rPr>
        <w:t>prior to the end of the penultimate </w:t>
      </w:r>
      <w:r>
        <w:rPr>
          <w:i/>
          <w:sz w:val="24"/>
        </w:rPr>
        <w:t>regulatory </w:t>
      </w:r>
      <w:r>
        <w:rPr>
          <w:i/>
          <w:sz w:val="24"/>
        </w:rPr>
        <w:t>year </w:t>
      </w:r>
      <w:r>
        <w:rPr>
          <w:sz w:val="24"/>
        </w:rPr>
        <w:t>of the </w:t>
      </w:r>
      <w:r>
        <w:rPr>
          <w:i/>
          <w:sz w:val="24"/>
        </w:rPr>
        <w:t>regulatory control period</w:t>
      </w:r>
      <w:r>
        <w:rPr>
          <w:sz w:val="24"/>
        </w:rPr>
        <w:t>;</w:t>
      </w:r>
      <w:r>
        <w:rPr>
          <w:spacing w:val="-1"/>
          <w:sz w:val="24"/>
        </w:rPr>
        <w:t> </w:t>
      </w:r>
      <w:r>
        <w:rPr>
          <w:sz w:val="24"/>
        </w:rPr>
        <w:t>and</w:t>
      </w:r>
    </w:p>
    <w:p>
      <w:pPr>
        <w:pStyle w:val="ListParagraph"/>
        <w:numPr>
          <w:ilvl w:val="3"/>
          <w:numId w:val="420"/>
        </w:numPr>
        <w:tabs>
          <w:tab w:pos="2486" w:val="left" w:leader="none"/>
        </w:tabs>
        <w:spacing w:line="240" w:lineRule="auto" w:before="120" w:after="0"/>
        <w:ind w:left="2486" w:right="416" w:hanging="567"/>
        <w:jc w:val="both"/>
        <w:rPr>
          <w:sz w:val="24"/>
        </w:rPr>
      </w:pPr>
      <w:r>
        <w:rPr>
          <w:sz w:val="24"/>
        </w:rPr>
        <w:t>at any time in the final </w:t>
      </w:r>
      <w:r>
        <w:rPr>
          <w:i/>
          <w:sz w:val="24"/>
        </w:rPr>
        <w:t>regulatory year </w:t>
      </w:r>
      <w:r>
        <w:rPr>
          <w:sz w:val="24"/>
        </w:rPr>
        <w:t>of the </w:t>
      </w:r>
      <w:r>
        <w:rPr>
          <w:i/>
          <w:sz w:val="24"/>
        </w:rPr>
        <w:t>regulatory control </w:t>
      </w:r>
      <w:r>
        <w:rPr>
          <w:i/>
          <w:sz w:val="24"/>
        </w:rPr>
        <w:t>period</w:t>
      </w:r>
      <w:r>
        <w:rPr>
          <w:sz w:val="24"/>
        </w:rPr>
        <w: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Subject to paragraph (b1), an application made under paragraph (a) must contain the following</w:t>
      </w:r>
      <w:r>
        <w:rPr>
          <w:spacing w:val="-1"/>
          <w:sz w:val="24"/>
        </w:rPr>
        <w:t> </w:t>
      </w:r>
      <w:r>
        <w:rPr>
          <w:sz w:val="24"/>
        </w:rPr>
        <w:t>information:</w:t>
      </w:r>
    </w:p>
    <w:p>
      <w:pPr>
        <w:pStyle w:val="ListParagraph"/>
        <w:numPr>
          <w:ilvl w:val="3"/>
          <w:numId w:val="420"/>
        </w:numPr>
        <w:tabs>
          <w:tab w:pos="2486" w:val="left" w:leader="none"/>
        </w:tabs>
        <w:spacing w:line="240" w:lineRule="auto" w:before="120" w:after="0"/>
        <w:ind w:left="2485" w:right="0" w:hanging="567"/>
        <w:jc w:val="both"/>
        <w:rPr>
          <w:sz w:val="24"/>
        </w:rPr>
      </w:pPr>
      <w:r>
        <w:rPr>
          <w:sz w:val="24"/>
        </w:rPr>
        <w:t>an explanation that substantiates the occurrence of the </w:t>
      </w:r>
      <w:r>
        <w:rPr>
          <w:i/>
          <w:sz w:val="24"/>
        </w:rPr>
        <w:t>trigger</w:t>
      </w:r>
      <w:r>
        <w:rPr>
          <w:i/>
          <w:spacing w:val="-6"/>
          <w:sz w:val="24"/>
        </w:rPr>
        <w:t> </w:t>
      </w:r>
      <w:r>
        <w:rPr>
          <w:i/>
          <w:sz w:val="24"/>
        </w:rPr>
        <w:t>event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420"/>
        </w:numPr>
        <w:tabs>
          <w:tab w:pos="2486" w:val="left" w:leader="none"/>
        </w:tabs>
        <w:spacing w:line="240" w:lineRule="auto" w:before="83" w:after="0"/>
        <w:ind w:left="2485" w:right="0" w:hanging="567"/>
        <w:jc w:val="both"/>
        <w:rPr>
          <w:sz w:val="24"/>
        </w:rPr>
      </w:pPr>
      <w:r>
        <w:rPr>
          <w:sz w:val="24"/>
        </w:rPr>
        <w:t>a forecast of the total capital expenditure for the </w:t>
      </w:r>
      <w:r>
        <w:rPr>
          <w:i/>
          <w:sz w:val="24"/>
        </w:rPr>
        <w:t>contingent</w:t>
      </w:r>
      <w:r>
        <w:rPr>
          <w:i/>
          <w:spacing w:val="-3"/>
          <w:sz w:val="24"/>
        </w:rPr>
        <w:t> </w:t>
      </w:r>
      <w:r>
        <w:rPr>
          <w:i/>
          <w:sz w:val="24"/>
        </w:rPr>
        <w:t>project</w:t>
      </w:r>
      <w:r>
        <w:rPr>
          <w:sz w:val="24"/>
        </w:rPr>
        <w:t>;</w:t>
      </w:r>
    </w:p>
    <w:p>
      <w:pPr>
        <w:pStyle w:val="ListParagraph"/>
        <w:numPr>
          <w:ilvl w:val="3"/>
          <w:numId w:val="420"/>
        </w:numPr>
        <w:tabs>
          <w:tab w:pos="2486" w:val="left" w:leader="none"/>
        </w:tabs>
        <w:spacing w:line="240" w:lineRule="auto" w:before="120" w:after="0"/>
        <w:ind w:left="2486" w:right="414" w:hanging="567"/>
        <w:jc w:val="both"/>
        <w:rPr>
          <w:sz w:val="24"/>
        </w:rPr>
      </w:pPr>
      <w:r>
        <w:rPr>
          <w:sz w:val="24"/>
        </w:rPr>
        <w:t>a forecast of the capital and incremental operating expenditure, for each remaining </w:t>
      </w:r>
      <w:r>
        <w:rPr>
          <w:i/>
          <w:sz w:val="24"/>
        </w:rPr>
        <w:t>regulatory year </w:t>
      </w:r>
      <w:r>
        <w:rPr>
          <w:sz w:val="24"/>
        </w:rPr>
        <w:t>which the </w:t>
      </w:r>
      <w:r>
        <w:rPr>
          <w:i/>
          <w:sz w:val="24"/>
        </w:rPr>
        <w:t>Distribution Network </w:t>
      </w:r>
      <w:r>
        <w:rPr>
          <w:i/>
          <w:sz w:val="24"/>
        </w:rPr>
        <w:t>Service Provider </w:t>
      </w:r>
      <w:r>
        <w:rPr>
          <w:sz w:val="24"/>
        </w:rPr>
        <w:t>considers is reasonably required for the purpose </w:t>
      </w:r>
      <w:r>
        <w:rPr>
          <w:spacing w:val="-6"/>
          <w:sz w:val="24"/>
        </w:rPr>
        <w:t>of </w:t>
      </w:r>
      <w:r>
        <w:rPr>
          <w:sz w:val="24"/>
        </w:rPr>
        <w:t>undertaking the </w:t>
      </w:r>
      <w:r>
        <w:rPr>
          <w:i/>
          <w:sz w:val="24"/>
        </w:rPr>
        <w:t>contingent</w:t>
      </w:r>
      <w:r>
        <w:rPr>
          <w:i/>
          <w:spacing w:val="-1"/>
          <w:sz w:val="24"/>
        </w:rPr>
        <w:t> </w:t>
      </w:r>
      <w:r>
        <w:rPr>
          <w:i/>
          <w:sz w:val="24"/>
        </w:rPr>
        <w:t>project</w:t>
      </w:r>
      <w:r>
        <w:rPr>
          <w:sz w:val="24"/>
        </w:rPr>
        <w: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how the forecast of the total capital expenditure for the </w:t>
      </w:r>
      <w:r>
        <w:rPr>
          <w:i/>
          <w:sz w:val="24"/>
        </w:rPr>
        <w:t>contingent </w:t>
      </w:r>
      <w:r>
        <w:rPr>
          <w:i/>
          <w:sz w:val="24"/>
        </w:rPr>
        <w:t>project </w:t>
      </w:r>
      <w:r>
        <w:rPr>
          <w:sz w:val="24"/>
        </w:rPr>
        <w:t>meets the threshold as referred to in clause</w:t>
      </w:r>
      <w:r>
        <w:rPr>
          <w:spacing w:val="-4"/>
          <w:sz w:val="24"/>
        </w:rPr>
        <w:t> </w:t>
      </w:r>
      <w:r>
        <w:rPr>
          <w:sz w:val="24"/>
        </w:rPr>
        <w:t>6.6A.1(b)(2)(iii);</w:t>
      </w:r>
    </w:p>
    <w:p>
      <w:pPr>
        <w:pStyle w:val="ListParagraph"/>
        <w:numPr>
          <w:ilvl w:val="3"/>
          <w:numId w:val="420"/>
        </w:numPr>
        <w:tabs>
          <w:tab w:pos="2486" w:val="left" w:leader="none"/>
        </w:tabs>
        <w:spacing w:line="240" w:lineRule="auto" w:before="120" w:after="0"/>
        <w:ind w:left="2486" w:right="414" w:hanging="567"/>
        <w:jc w:val="both"/>
        <w:rPr>
          <w:sz w:val="24"/>
        </w:rPr>
      </w:pPr>
      <w:r>
        <w:rPr>
          <w:sz w:val="24"/>
        </w:rPr>
        <w:t>the intended date for commencing the </w:t>
      </w:r>
      <w:r>
        <w:rPr>
          <w:i/>
          <w:sz w:val="24"/>
        </w:rPr>
        <w:t>contingent project </w:t>
      </w:r>
      <w:r>
        <w:rPr>
          <w:sz w:val="24"/>
        </w:rPr>
        <w:t>(which must be during the </w:t>
      </w:r>
      <w:r>
        <w:rPr>
          <w:i/>
          <w:sz w:val="24"/>
        </w:rPr>
        <w:t>regulatory control</w:t>
      </w:r>
      <w:r>
        <w:rPr>
          <w:i/>
          <w:spacing w:val="-2"/>
          <w:sz w:val="24"/>
        </w:rPr>
        <w:t> </w:t>
      </w:r>
      <w:r>
        <w:rPr>
          <w:i/>
          <w:sz w:val="24"/>
        </w:rPr>
        <w:t>period</w:t>
      </w:r>
      <w:r>
        <w:rPr>
          <w:sz w:val="24"/>
        </w:rPr>
        <w: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the anticipated date for completing the </w:t>
      </w:r>
      <w:r>
        <w:rPr>
          <w:i/>
          <w:sz w:val="24"/>
        </w:rPr>
        <w:t>contingent project </w:t>
      </w:r>
      <w:r>
        <w:rPr>
          <w:sz w:val="24"/>
        </w:rPr>
        <w:t>(which may be after the end of the </w:t>
      </w:r>
      <w:r>
        <w:rPr>
          <w:i/>
          <w:sz w:val="24"/>
        </w:rPr>
        <w:t>regulatory control period</w:t>
      </w:r>
      <w:r>
        <w:rPr>
          <w:sz w:val="24"/>
        </w:rPr>
        <w:t>);</w:t>
      </w:r>
      <w:r>
        <w:rPr>
          <w:spacing w:val="-2"/>
          <w:sz w:val="24"/>
        </w:rPr>
        <w:t> </w:t>
      </w:r>
      <w:r>
        <w:rPr>
          <w:sz w:val="24"/>
        </w:rPr>
        <w:t>and</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an   estimate   of   the   incremental   revenue   which  </w:t>
      </w:r>
      <w:r>
        <w:rPr>
          <w:spacing w:val="40"/>
          <w:sz w:val="24"/>
        </w:rPr>
        <w:t> </w:t>
      </w:r>
      <w:r>
        <w:rPr>
          <w:sz w:val="24"/>
        </w:rPr>
        <w:t>the </w:t>
      </w:r>
      <w:r>
        <w:rPr>
          <w:i/>
          <w:sz w:val="24"/>
        </w:rPr>
        <w:t>Distribution Network Service Provider </w:t>
      </w:r>
      <w:r>
        <w:rPr>
          <w:sz w:val="24"/>
        </w:rPr>
        <w:t>considers is likely to be required to be earned in each remaining </w:t>
      </w:r>
      <w:r>
        <w:rPr>
          <w:i/>
          <w:sz w:val="24"/>
        </w:rPr>
        <w:t>regulatory year </w:t>
      </w:r>
      <w:r>
        <w:rPr>
          <w:sz w:val="24"/>
        </w:rPr>
        <w:t>of the </w:t>
      </w:r>
      <w:r>
        <w:rPr>
          <w:i/>
          <w:sz w:val="24"/>
        </w:rPr>
        <w:t>regulatory control period </w:t>
      </w:r>
      <w:r>
        <w:rPr>
          <w:sz w:val="24"/>
        </w:rPr>
        <w:t>as  a  result  of  the  </w:t>
      </w:r>
      <w:r>
        <w:rPr>
          <w:i/>
          <w:sz w:val="24"/>
        </w:rPr>
        <w:t>contingent  project </w:t>
      </w:r>
      <w:r>
        <w:rPr>
          <w:sz w:val="24"/>
        </w:rPr>
        <w:t>being undertaken  as  described  in  subparagraph  (3),  which  must  be</w:t>
      </w:r>
      <w:r>
        <w:rPr>
          <w:spacing w:val="-1"/>
          <w:sz w:val="24"/>
        </w:rPr>
        <w:t> </w:t>
      </w:r>
      <w:r>
        <w:rPr>
          <w:sz w:val="24"/>
        </w:rPr>
        <w:t>calculated:</w:t>
      </w:r>
    </w:p>
    <w:p>
      <w:pPr>
        <w:pStyle w:val="ListParagraph"/>
        <w:numPr>
          <w:ilvl w:val="4"/>
          <w:numId w:val="420"/>
        </w:numPr>
        <w:tabs>
          <w:tab w:pos="3053" w:val="left" w:leader="none"/>
        </w:tabs>
        <w:spacing w:line="240" w:lineRule="auto" w:before="120" w:after="0"/>
        <w:ind w:left="3053" w:right="416" w:hanging="567"/>
        <w:jc w:val="both"/>
        <w:rPr>
          <w:sz w:val="24"/>
        </w:rPr>
      </w:pPr>
      <w:r>
        <w:rPr>
          <w:sz w:val="24"/>
        </w:rPr>
        <w:t>in accordance with the requirements of the </w:t>
      </w:r>
      <w:r>
        <w:rPr>
          <w:i/>
          <w:sz w:val="24"/>
        </w:rPr>
        <w:t>post-tax revenue </w:t>
      </w:r>
      <w:r>
        <w:rPr>
          <w:i/>
          <w:sz w:val="24"/>
        </w:rPr>
        <w:t>model </w:t>
      </w:r>
      <w:r>
        <w:rPr>
          <w:sz w:val="24"/>
        </w:rPr>
        <w:t>referred to in clause</w:t>
      </w:r>
      <w:r>
        <w:rPr>
          <w:spacing w:val="-2"/>
          <w:sz w:val="24"/>
        </w:rPr>
        <w:t> </w:t>
      </w:r>
      <w:r>
        <w:rPr>
          <w:sz w:val="24"/>
        </w:rPr>
        <w:t>6.4.1;</w:t>
      </w:r>
    </w:p>
    <w:p>
      <w:pPr>
        <w:pStyle w:val="ListParagraph"/>
        <w:numPr>
          <w:ilvl w:val="4"/>
          <w:numId w:val="420"/>
        </w:numPr>
        <w:tabs>
          <w:tab w:pos="3054" w:val="left" w:leader="none"/>
        </w:tabs>
        <w:spacing w:line="240" w:lineRule="auto" w:before="120" w:after="0"/>
        <w:ind w:left="3053" w:right="0" w:hanging="568"/>
        <w:jc w:val="both"/>
        <w:rPr>
          <w:i/>
          <w:sz w:val="24"/>
        </w:rPr>
      </w:pPr>
      <w:r>
        <w:rPr>
          <w:sz w:val="24"/>
        </w:rPr>
        <w:t>in</w:t>
      </w:r>
      <w:r>
        <w:rPr>
          <w:spacing w:val="31"/>
          <w:sz w:val="24"/>
        </w:rPr>
        <w:t> </w:t>
      </w:r>
      <w:r>
        <w:rPr>
          <w:sz w:val="24"/>
        </w:rPr>
        <w:t>accordance</w:t>
      </w:r>
      <w:r>
        <w:rPr>
          <w:spacing w:val="31"/>
          <w:sz w:val="24"/>
        </w:rPr>
        <w:t> </w:t>
      </w:r>
      <w:r>
        <w:rPr>
          <w:sz w:val="24"/>
        </w:rPr>
        <w:t>with</w:t>
      </w:r>
      <w:r>
        <w:rPr>
          <w:spacing w:val="32"/>
          <w:sz w:val="24"/>
        </w:rPr>
        <w:t> </w:t>
      </w:r>
      <w:r>
        <w:rPr>
          <w:sz w:val="24"/>
        </w:rPr>
        <w:t>the</w:t>
      </w:r>
      <w:r>
        <w:rPr>
          <w:spacing w:val="31"/>
          <w:sz w:val="24"/>
        </w:rPr>
        <w:t> </w:t>
      </w:r>
      <w:r>
        <w:rPr>
          <w:sz w:val="24"/>
        </w:rPr>
        <w:t>requirements</w:t>
      </w:r>
      <w:r>
        <w:rPr>
          <w:spacing w:val="32"/>
          <w:sz w:val="24"/>
        </w:rPr>
        <w:t> </w:t>
      </w:r>
      <w:r>
        <w:rPr>
          <w:sz w:val="24"/>
        </w:rPr>
        <w:t>of</w:t>
      </w:r>
      <w:r>
        <w:rPr>
          <w:spacing w:val="31"/>
          <w:sz w:val="24"/>
        </w:rPr>
        <w:t> </w:t>
      </w:r>
      <w:r>
        <w:rPr>
          <w:sz w:val="24"/>
        </w:rPr>
        <w:t>the</w:t>
      </w:r>
      <w:r>
        <w:rPr>
          <w:spacing w:val="32"/>
          <w:sz w:val="24"/>
        </w:rPr>
        <w:t> </w:t>
      </w:r>
      <w:r>
        <w:rPr>
          <w:i/>
          <w:sz w:val="24"/>
        </w:rPr>
        <w:t>roll</w:t>
      </w:r>
      <w:r>
        <w:rPr>
          <w:i/>
          <w:spacing w:val="31"/>
          <w:sz w:val="24"/>
        </w:rPr>
        <w:t> </w:t>
      </w:r>
      <w:r>
        <w:rPr>
          <w:i/>
          <w:sz w:val="24"/>
        </w:rPr>
        <w:t>forward model</w:t>
      </w:r>
    </w:p>
    <w:p>
      <w:pPr>
        <w:pStyle w:val="BodyText"/>
        <w:spacing w:before="0"/>
        <w:ind w:left="3053" w:firstLine="0"/>
      </w:pPr>
      <w:r>
        <w:rPr/>
        <w:t>referred to in clause 6.5.1(b);</w:t>
      </w:r>
    </w:p>
    <w:p>
      <w:pPr>
        <w:pStyle w:val="ListParagraph"/>
        <w:numPr>
          <w:ilvl w:val="4"/>
          <w:numId w:val="420"/>
        </w:numPr>
        <w:tabs>
          <w:tab w:pos="3053" w:val="left" w:leader="none"/>
        </w:tabs>
        <w:spacing w:line="240" w:lineRule="auto" w:before="120" w:after="0"/>
        <w:ind w:left="3053" w:right="416" w:hanging="567"/>
        <w:jc w:val="both"/>
        <w:rPr>
          <w:sz w:val="24"/>
        </w:rPr>
      </w:pPr>
      <w:r>
        <w:rPr>
          <w:sz w:val="24"/>
        </w:rPr>
        <w:t>using the </w:t>
      </w:r>
      <w:r>
        <w:rPr>
          <w:i/>
          <w:sz w:val="24"/>
        </w:rPr>
        <w:t>allowed rate of return </w:t>
      </w:r>
      <w:r>
        <w:rPr>
          <w:sz w:val="24"/>
        </w:rPr>
        <w:t>for that </w:t>
      </w:r>
      <w:r>
        <w:rPr>
          <w:i/>
          <w:sz w:val="24"/>
        </w:rPr>
        <w:t>Distribution Network </w:t>
      </w:r>
      <w:r>
        <w:rPr>
          <w:i/>
          <w:sz w:val="24"/>
        </w:rPr>
        <w:t>Service Provider </w:t>
      </w:r>
      <w:r>
        <w:rPr>
          <w:sz w:val="24"/>
        </w:rPr>
        <w:t>for the </w:t>
      </w:r>
      <w:r>
        <w:rPr>
          <w:i/>
          <w:sz w:val="24"/>
        </w:rPr>
        <w:t>regulatory control period </w:t>
      </w:r>
      <w:r>
        <w:rPr>
          <w:sz w:val="24"/>
        </w:rPr>
        <w:t>as determined in accordance with clause</w:t>
      </w:r>
      <w:r>
        <w:rPr>
          <w:spacing w:val="-2"/>
          <w:sz w:val="24"/>
        </w:rPr>
        <w:t> </w:t>
      </w:r>
      <w:r>
        <w:rPr>
          <w:sz w:val="24"/>
        </w:rPr>
        <w:t>6.5.2;</w:t>
      </w:r>
    </w:p>
    <w:p>
      <w:pPr>
        <w:pStyle w:val="ListParagraph"/>
        <w:numPr>
          <w:ilvl w:val="4"/>
          <w:numId w:val="420"/>
        </w:numPr>
        <w:tabs>
          <w:tab w:pos="3054" w:val="left" w:leader="none"/>
        </w:tabs>
        <w:spacing w:line="240" w:lineRule="auto" w:before="120" w:after="0"/>
        <w:ind w:left="3053" w:right="416" w:hanging="567"/>
        <w:jc w:val="both"/>
        <w:rPr>
          <w:sz w:val="24"/>
        </w:rPr>
      </w:pPr>
      <w:r>
        <w:rPr>
          <w:sz w:val="24"/>
        </w:rPr>
        <w:t>in accordance with the requirements for depreciation referred to in clause 6.5.5;</w:t>
      </w:r>
      <w:r>
        <w:rPr>
          <w:spacing w:val="-2"/>
          <w:sz w:val="24"/>
        </w:rPr>
        <w:t> </w:t>
      </w:r>
      <w:r>
        <w:rPr>
          <w:sz w:val="24"/>
        </w:rPr>
        <w:t>and</w:t>
      </w:r>
    </w:p>
    <w:p>
      <w:pPr>
        <w:pStyle w:val="ListParagraph"/>
        <w:numPr>
          <w:ilvl w:val="4"/>
          <w:numId w:val="420"/>
        </w:numPr>
        <w:tabs>
          <w:tab w:pos="3053" w:val="left" w:leader="none"/>
        </w:tabs>
        <w:spacing w:line="240" w:lineRule="auto" w:before="120" w:after="0"/>
        <w:ind w:left="3053" w:right="415" w:hanging="567"/>
        <w:jc w:val="both"/>
        <w:rPr>
          <w:sz w:val="24"/>
        </w:rPr>
      </w:pPr>
      <w:r>
        <w:rPr>
          <w:sz w:val="24"/>
        </w:rPr>
        <w:t>on the basis of the capital expenditure and incremental operating expenditure referred to in subparagraph</w:t>
      </w:r>
      <w:r>
        <w:rPr>
          <w:spacing w:val="-1"/>
          <w:sz w:val="24"/>
        </w:rPr>
        <w:t> </w:t>
      </w:r>
      <w:r>
        <w:rPr>
          <w:sz w:val="24"/>
        </w:rPr>
        <w:t>(b)(3).</w:t>
      </w:r>
    </w:p>
    <w:p>
      <w:pPr>
        <w:spacing w:before="120"/>
        <w:ind w:left="1919" w:right="415" w:hanging="567"/>
        <w:jc w:val="both"/>
        <w:rPr>
          <w:sz w:val="24"/>
        </w:rPr>
      </w:pPr>
      <w:r>
        <w:rPr>
          <w:sz w:val="24"/>
        </w:rPr>
        <w:t>(b1) The forecast total capital expenditure referred to in paragraph (b) must not include </w:t>
      </w:r>
      <w:r>
        <w:rPr>
          <w:i/>
          <w:sz w:val="24"/>
        </w:rPr>
        <w:t>expenditure for a restricted asset</w:t>
      </w:r>
      <w:r>
        <w:rPr>
          <w:sz w:val="24"/>
        </w:rPr>
        <w:t>, unless:</w:t>
      </w:r>
    </w:p>
    <w:p>
      <w:pPr>
        <w:pStyle w:val="ListParagraph"/>
        <w:numPr>
          <w:ilvl w:val="0"/>
          <w:numId w:val="421"/>
        </w:numPr>
        <w:tabs>
          <w:tab w:pos="2486" w:val="left" w:leader="none"/>
        </w:tabs>
        <w:spacing w:line="240" w:lineRule="auto" w:before="120" w:after="0"/>
        <w:ind w:left="2486" w:right="414" w:hanging="567"/>
        <w:jc w:val="both"/>
        <w:rPr>
          <w:sz w:val="24"/>
        </w:rPr>
      </w:pPr>
      <w:r>
        <w:rPr>
          <w:sz w:val="24"/>
        </w:rPr>
        <w:t>the relevant </w:t>
      </w:r>
      <w:r>
        <w:rPr>
          <w:i/>
          <w:sz w:val="24"/>
        </w:rPr>
        <w:t>Distribution Network Service Provider </w:t>
      </w:r>
      <w:r>
        <w:rPr>
          <w:sz w:val="24"/>
        </w:rPr>
        <w:t>has requested an </w:t>
      </w:r>
      <w:r>
        <w:rPr>
          <w:i/>
          <w:sz w:val="24"/>
        </w:rPr>
        <w:t>asset exemption </w:t>
      </w:r>
      <w:r>
        <w:rPr>
          <w:sz w:val="24"/>
        </w:rPr>
        <w:t>under clause 6.6A.1(a1) for that asset or class of asset in respect of the </w:t>
      </w:r>
      <w:r>
        <w:rPr>
          <w:i/>
          <w:sz w:val="24"/>
        </w:rPr>
        <w:t>contingent project</w:t>
      </w:r>
      <w:r>
        <w:rPr>
          <w:sz w:val="24"/>
        </w:rPr>
        <w:t>;</w:t>
      </w:r>
      <w:r>
        <w:rPr>
          <w:spacing w:val="-2"/>
          <w:sz w:val="24"/>
        </w:rPr>
        <w:t> </w:t>
      </w:r>
      <w:r>
        <w:rPr>
          <w:sz w:val="24"/>
        </w:rPr>
        <w:t>and</w:t>
      </w:r>
    </w:p>
    <w:p>
      <w:pPr>
        <w:pStyle w:val="ListParagraph"/>
        <w:numPr>
          <w:ilvl w:val="0"/>
          <w:numId w:val="421"/>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granted that </w:t>
      </w:r>
      <w:r>
        <w:rPr>
          <w:i/>
          <w:sz w:val="24"/>
        </w:rPr>
        <w:t>asset</w:t>
      </w:r>
      <w:r>
        <w:rPr>
          <w:i/>
          <w:spacing w:val="-1"/>
          <w:sz w:val="24"/>
        </w:rPr>
        <w:t> </w:t>
      </w:r>
      <w:r>
        <w:rPr>
          <w:i/>
          <w:sz w:val="24"/>
        </w:rPr>
        <w:t>exemption</w:t>
      </w:r>
      <w:r>
        <w:rPr>
          <w:sz w:val="24"/>
        </w:rPr>
        <w: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As soon as practicable after its receipt of an application made in accordance with paragraphs (a), (a1) and (b), the </w:t>
      </w:r>
      <w:r>
        <w:rPr>
          <w:i/>
          <w:sz w:val="24"/>
        </w:rPr>
        <w:t>AER </w:t>
      </w:r>
      <w:r>
        <w:rPr>
          <w:sz w:val="24"/>
        </w:rPr>
        <w:t>must </w:t>
      </w:r>
      <w:r>
        <w:rPr>
          <w:i/>
          <w:sz w:val="24"/>
        </w:rPr>
        <w:t>publish </w:t>
      </w:r>
      <w:r>
        <w:rPr>
          <w:sz w:val="24"/>
        </w:rPr>
        <w:t>the application, together with an invitation for written submissions on the</w:t>
      </w:r>
      <w:r>
        <w:rPr>
          <w:spacing w:val="-7"/>
          <w:sz w:val="24"/>
        </w:rPr>
        <w:t> </w:t>
      </w:r>
      <w:r>
        <w:rPr>
          <w:sz w:val="24"/>
        </w:rPr>
        <w:t>application.</w:t>
      </w:r>
    </w:p>
    <w:p>
      <w:pPr>
        <w:pStyle w:val="ListParagraph"/>
        <w:numPr>
          <w:ilvl w:val="2"/>
          <w:numId w:val="42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consider any written submissions made under paragraph (c) and must make its decision on the application within 40 </w:t>
      </w:r>
      <w:r>
        <w:rPr>
          <w:i/>
          <w:sz w:val="24"/>
        </w:rPr>
        <w:t>business days </w:t>
      </w:r>
      <w:r>
        <w:rPr>
          <w:sz w:val="24"/>
        </w:rPr>
        <w:t>from the later of the date the </w:t>
      </w:r>
      <w:r>
        <w:rPr>
          <w:i/>
          <w:sz w:val="24"/>
        </w:rPr>
        <w:t>AER </w:t>
      </w:r>
      <w:r>
        <w:rPr>
          <w:sz w:val="24"/>
        </w:rPr>
        <w:t>receives the application and the date the </w:t>
      </w:r>
      <w:r>
        <w:rPr>
          <w:i/>
          <w:sz w:val="24"/>
        </w:rPr>
        <w:t>AER </w:t>
      </w:r>
      <w:r>
        <w:rPr>
          <w:sz w:val="24"/>
        </w:rPr>
        <w:t>receives any information required by the </w:t>
      </w:r>
      <w:r>
        <w:rPr>
          <w:i/>
          <w:sz w:val="24"/>
        </w:rPr>
        <w:t>AER </w:t>
      </w:r>
      <w:r>
        <w:rPr>
          <w:sz w:val="24"/>
        </w:rPr>
        <w:t>under paragraph (i). In </w:t>
      </w:r>
      <w:r>
        <w:rPr>
          <w:spacing w:val="-3"/>
          <w:sz w:val="24"/>
        </w:rPr>
        <w:t>doing </w:t>
      </w:r>
      <w:r>
        <w:rPr>
          <w:sz w:val="24"/>
        </w:rPr>
        <w:t>so the </w:t>
      </w:r>
      <w:r>
        <w:rPr>
          <w:i/>
          <w:sz w:val="24"/>
        </w:rPr>
        <w:t>AER </w:t>
      </w:r>
      <w:r>
        <w:rPr>
          <w:sz w:val="24"/>
        </w:rPr>
        <w:t>may also take into account such other information as it considers appropriate, including any analysis (such as benchmarking) that is undertaken by it for that</w:t>
      </w:r>
      <w:r>
        <w:rPr>
          <w:spacing w:val="-1"/>
          <w:sz w:val="24"/>
        </w:rPr>
        <w:t> </w:t>
      </w:r>
      <w:r>
        <w:rPr>
          <w:sz w:val="24"/>
        </w:rPr>
        <w:t>purpose.</w:t>
      </w:r>
    </w:p>
    <w:p>
      <w:pPr>
        <w:spacing w:after="0" w:line="240" w:lineRule="auto"/>
        <w:jc w:val="both"/>
        <w:rPr>
          <w:sz w:val="24"/>
        </w:rPr>
        <w:sectPr>
          <w:pgSz w:w="11910" w:h="16840"/>
          <w:pgMar w:header="686" w:footer="637" w:top="1320" w:bottom="820" w:left="1200" w:right="1000"/>
        </w:sectPr>
      </w:pPr>
    </w:p>
    <w:p>
      <w:pPr>
        <w:pStyle w:val="ListParagraph"/>
        <w:numPr>
          <w:ilvl w:val="2"/>
          <w:numId w:val="420"/>
        </w:numPr>
        <w:tabs>
          <w:tab w:pos="1919" w:val="left" w:leader="none"/>
        </w:tabs>
        <w:spacing w:line="240" w:lineRule="auto" w:before="83" w:after="0"/>
        <w:ind w:left="1919" w:right="414" w:hanging="567"/>
        <w:jc w:val="both"/>
        <w:rPr>
          <w:sz w:val="24"/>
        </w:rPr>
      </w:pPr>
      <w:r>
        <w:rPr>
          <w:sz w:val="24"/>
        </w:rPr>
        <w:t>Subject to paragraph (e1), if the </w:t>
      </w:r>
      <w:r>
        <w:rPr>
          <w:i/>
          <w:sz w:val="24"/>
        </w:rPr>
        <w:t>AER </w:t>
      </w:r>
      <w:r>
        <w:rPr>
          <w:sz w:val="24"/>
        </w:rPr>
        <w:t>is satisfied that the </w:t>
      </w:r>
      <w:r>
        <w:rPr>
          <w:i/>
          <w:sz w:val="24"/>
        </w:rPr>
        <w:t>trigger event </w:t>
      </w:r>
      <w:r>
        <w:rPr>
          <w:sz w:val="24"/>
        </w:rPr>
        <w:t>has occurred, and that the forecast of the total capital expenditure for the </w:t>
      </w:r>
      <w:r>
        <w:rPr>
          <w:i/>
          <w:sz w:val="24"/>
        </w:rPr>
        <w:t>contingent project </w:t>
      </w:r>
      <w:r>
        <w:rPr>
          <w:sz w:val="24"/>
        </w:rPr>
        <w:t>meets the threshold as referred to in </w:t>
      </w:r>
      <w:r>
        <w:rPr>
          <w:spacing w:val="-3"/>
          <w:sz w:val="24"/>
        </w:rPr>
        <w:t>clause</w:t>
      </w:r>
      <w:r>
        <w:rPr>
          <w:spacing w:val="54"/>
          <w:sz w:val="24"/>
        </w:rPr>
        <w:t> </w:t>
      </w:r>
      <w:r>
        <w:rPr>
          <w:sz w:val="24"/>
        </w:rPr>
        <w:t>6.6A.1(b)(2)(iii), it</w:t>
      </w:r>
      <w:r>
        <w:rPr>
          <w:spacing w:val="-1"/>
          <w:sz w:val="24"/>
        </w:rPr>
        <w:t> </w:t>
      </w:r>
      <w:r>
        <w:rPr>
          <w:sz w:val="24"/>
        </w:rPr>
        <w:t>must:</w:t>
      </w:r>
    </w:p>
    <w:p>
      <w:pPr>
        <w:pStyle w:val="ListParagraph"/>
        <w:numPr>
          <w:ilvl w:val="3"/>
          <w:numId w:val="420"/>
        </w:numPr>
        <w:tabs>
          <w:tab w:pos="2486" w:val="left" w:leader="none"/>
        </w:tabs>
        <w:spacing w:line="240" w:lineRule="auto" w:before="120" w:after="0"/>
        <w:ind w:left="2485" w:right="0" w:hanging="567"/>
        <w:jc w:val="both"/>
        <w:rPr>
          <w:sz w:val="24"/>
        </w:rPr>
      </w:pPr>
      <w:r>
        <w:rPr>
          <w:sz w:val="24"/>
        </w:rPr>
        <w:t>determine:</w:t>
      </w:r>
    </w:p>
    <w:p>
      <w:pPr>
        <w:pStyle w:val="ListParagraph"/>
        <w:numPr>
          <w:ilvl w:val="4"/>
          <w:numId w:val="420"/>
        </w:numPr>
        <w:tabs>
          <w:tab w:pos="3053" w:val="left" w:leader="none"/>
        </w:tabs>
        <w:spacing w:line="240" w:lineRule="auto" w:before="120" w:after="0"/>
        <w:ind w:left="3053" w:right="415" w:hanging="567"/>
        <w:jc w:val="both"/>
        <w:rPr>
          <w:sz w:val="24"/>
        </w:rPr>
      </w:pPr>
      <w:r>
        <w:rPr>
          <w:sz w:val="24"/>
        </w:rPr>
        <w:t>the amount of capital and incremental operating expenditure, for each remaining </w:t>
      </w:r>
      <w:r>
        <w:rPr>
          <w:i/>
          <w:sz w:val="24"/>
        </w:rPr>
        <w:t>regulatory year</w:t>
      </w:r>
      <w:r>
        <w:rPr>
          <w:sz w:val="24"/>
        </w:rPr>
        <w:t>, which the </w:t>
      </w:r>
      <w:r>
        <w:rPr>
          <w:i/>
          <w:sz w:val="24"/>
        </w:rPr>
        <w:t>AER </w:t>
      </w:r>
      <w:r>
        <w:rPr>
          <w:sz w:val="24"/>
        </w:rPr>
        <w:t>considers</w:t>
      </w:r>
      <w:r>
        <w:rPr>
          <w:spacing w:val="27"/>
          <w:sz w:val="24"/>
        </w:rPr>
        <w:t> </w:t>
      </w:r>
      <w:r>
        <w:rPr>
          <w:sz w:val="24"/>
        </w:rPr>
        <w:t>is reasonably required for the purpose of undertaking </w:t>
      </w:r>
      <w:r>
        <w:rPr>
          <w:spacing w:val="-5"/>
          <w:sz w:val="24"/>
        </w:rPr>
        <w:t>the </w:t>
      </w:r>
      <w:r>
        <w:rPr>
          <w:i/>
          <w:sz w:val="24"/>
        </w:rPr>
        <w:t>contingent</w:t>
      </w:r>
      <w:r>
        <w:rPr>
          <w:i/>
          <w:spacing w:val="-1"/>
          <w:sz w:val="24"/>
        </w:rPr>
        <w:t> </w:t>
      </w:r>
      <w:r>
        <w:rPr>
          <w:i/>
          <w:sz w:val="24"/>
        </w:rPr>
        <w:t>project</w:t>
      </w:r>
      <w:r>
        <w:rPr>
          <w:sz w:val="24"/>
        </w:rPr>
        <w:t>;</w:t>
      </w:r>
    </w:p>
    <w:p>
      <w:pPr>
        <w:pStyle w:val="ListParagraph"/>
        <w:numPr>
          <w:ilvl w:val="4"/>
          <w:numId w:val="420"/>
        </w:numPr>
        <w:tabs>
          <w:tab w:pos="3054" w:val="left" w:leader="none"/>
        </w:tabs>
        <w:spacing w:line="240" w:lineRule="auto" w:before="120" w:after="0"/>
        <w:ind w:left="3053" w:right="415" w:hanging="567"/>
        <w:jc w:val="both"/>
        <w:rPr>
          <w:sz w:val="24"/>
        </w:rPr>
      </w:pPr>
      <w:r>
        <w:rPr>
          <w:sz w:val="24"/>
        </w:rPr>
        <w:t>the total capital expenditure which the </w:t>
      </w:r>
      <w:r>
        <w:rPr>
          <w:i/>
          <w:sz w:val="24"/>
        </w:rPr>
        <w:t>AER </w:t>
      </w:r>
      <w:r>
        <w:rPr>
          <w:sz w:val="24"/>
        </w:rPr>
        <w:t>considers is reasonably required for the purpose of undertaking </w:t>
      </w:r>
      <w:r>
        <w:rPr>
          <w:spacing w:val="-5"/>
          <w:sz w:val="24"/>
        </w:rPr>
        <w:t>the </w:t>
      </w:r>
      <w:r>
        <w:rPr>
          <w:i/>
          <w:sz w:val="24"/>
        </w:rPr>
        <w:t>contingent</w:t>
      </w:r>
      <w:r>
        <w:rPr>
          <w:i/>
          <w:spacing w:val="-1"/>
          <w:sz w:val="24"/>
        </w:rPr>
        <w:t> </w:t>
      </w:r>
      <w:r>
        <w:rPr>
          <w:i/>
          <w:sz w:val="24"/>
        </w:rPr>
        <w:t>project</w:t>
      </w:r>
      <w:r>
        <w:rPr>
          <w:sz w:val="24"/>
        </w:rPr>
        <w:t>;</w:t>
      </w:r>
    </w:p>
    <w:p>
      <w:pPr>
        <w:pStyle w:val="ListParagraph"/>
        <w:numPr>
          <w:ilvl w:val="4"/>
          <w:numId w:val="420"/>
        </w:numPr>
        <w:tabs>
          <w:tab w:pos="3053" w:val="left" w:leader="none"/>
        </w:tabs>
        <w:spacing w:line="240" w:lineRule="auto" w:before="120" w:after="0"/>
        <w:ind w:left="3052" w:right="0" w:hanging="567"/>
        <w:jc w:val="both"/>
        <w:rPr>
          <w:sz w:val="24"/>
        </w:rPr>
      </w:pPr>
      <w:r>
        <w:rPr>
          <w:sz w:val="24"/>
        </w:rPr>
        <w:t>the</w:t>
      </w:r>
      <w:r>
        <w:rPr>
          <w:spacing w:val="16"/>
          <w:sz w:val="24"/>
        </w:rPr>
        <w:t> </w:t>
      </w:r>
      <w:r>
        <w:rPr>
          <w:sz w:val="24"/>
        </w:rPr>
        <w:t>likely</w:t>
      </w:r>
      <w:r>
        <w:rPr>
          <w:spacing w:val="17"/>
          <w:sz w:val="24"/>
        </w:rPr>
        <w:t> </w:t>
      </w:r>
      <w:r>
        <w:rPr>
          <w:sz w:val="24"/>
        </w:rPr>
        <w:t>commencement</w:t>
      </w:r>
      <w:r>
        <w:rPr>
          <w:spacing w:val="17"/>
          <w:sz w:val="24"/>
        </w:rPr>
        <w:t> </w:t>
      </w:r>
      <w:r>
        <w:rPr>
          <w:sz w:val="24"/>
        </w:rPr>
        <w:t>and</w:t>
      </w:r>
      <w:r>
        <w:rPr>
          <w:spacing w:val="16"/>
          <w:sz w:val="24"/>
        </w:rPr>
        <w:t> </w:t>
      </w:r>
      <w:r>
        <w:rPr>
          <w:sz w:val="24"/>
        </w:rPr>
        <w:t>completion</w:t>
      </w:r>
      <w:r>
        <w:rPr>
          <w:spacing w:val="17"/>
          <w:sz w:val="24"/>
        </w:rPr>
        <w:t> </w:t>
      </w:r>
      <w:r>
        <w:rPr>
          <w:sz w:val="24"/>
        </w:rPr>
        <w:t>dates</w:t>
      </w:r>
      <w:r>
        <w:rPr>
          <w:spacing w:val="17"/>
          <w:sz w:val="24"/>
        </w:rPr>
        <w:t> </w:t>
      </w:r>
      <w:r>
        <w:rPr>
          <w:sz w:val="24"/>
        </w:rPr>
        <w:t>for</w:t>
      </w:r>
      <w:r>
        <w:rPr>
          <w:spacing w:val="16"/>
          <w:sz w:val="24"/>
        </w:rPr>
        <w:t> </w:t>
      </w:r>
      <w:r>
        <w:rPr>
          <w:sz w:val="24"/>
        </w:rPr>
        <w:t>the</w:t>
      </w:r>
    </w:p>
    <w:p>
      <w:pPr>
        <w:spacing w:before="0"/>
        <w:ind w:left="3053" w:right="0" w:firstLine="0"/>
        <w:jc w:val="both"/>
        <w:rPr>
          <w:sz w:val="24"/>
        </w:rPr>
      </w:pPr>
      <w:r>
        <w:rPr>
          <w:i/>
          <w:sz w:val="24"/>
        </w:rPr>
        <w:t>contingent project</w:t>
      </w:r>
      <w:r>
        <w:rPr>
          <w:sz w:val="24"/>
        </w:rPr>
        <w:t>; and</w:t>
      </w:r>
    </w:p>
    <w:p>
      <w:pPr>
        <w:pStyle w:val="ListParagraph"/>
        <w:numPr>
          <w:ilvl w:val="4"/>
          <w:numId w:val="420"/>
        </w:numPr>
        <w:tabs>
          <w:tab w:pos="3054" w:val="left" w:leader="none"/>
        </w:tabs>
        <w:spacing w:line="240" w:lineRule="auto" w:before="120" w:after="0"/>
        <w:ind w:left="3053" w:right="416" w:hanging="567"/>
        <w:jc w:val="both"/>
        <w:rPr>
          <w:sz w:val="24"/>
        </w:rPr>
      </w:pPr>
      <w:r>
        <w:rPr>
          <w:sz w:val="24"/>
        </w:rPr>
        <w:t>the incremental revenue which is likely to be required by the </w:t>
      </w:r>
      <w:r>
        <w:rPr>
          <w:i/>
          <w:sz w:val="24"/>
        </w:rPr>
        <w:t>Distribution Network Service Provider </w:t>
      </w:r>
      <w:r>
        <w:rPr>
          <w:sz w:val="24"/>
        </w:rPr>
        <w:t>in each remaining </w:t>
      </w:r>
      <w:r>
        <w:rPr>
          <w:i/>
          <w:sz w:val="24"/>
        </w:rPr>
        <w:t>regulatory year </w:t>
      </w:r>
      <w:r>
        <w:rPr>
          <w:sz w:val="24"/>
        </w:rPr>
        <w:t>as a result of the </w:t>
      </w:r>
      <w:r>
        <w:rPr>
          <w:i/>
          <w:sz w:val="24"/>
        </w:rPr>
        <w:t>contingent project </w:t>
      </w:r>
      <w:r>
        <w:rPr>
          <w:sz w:val="24"/>
        </w:rPr>
        <w:t>being undertaken as described in subparagraphs (i) and (ii), such estimate being calculated in accordance with subparagraph</w:t>
      </w:r>
      <w:r>
        <w:rPr>
          <w:spacing w:val="-15"/>
          <w:sz w:val="24"/>
        </w:rPr>
        <w:t> </w:t>
      </w:r>
      <w:r>
        <w:rPr>
          <w:sz w:val="24"/>
        </w:rPr>
        <w:t>(2);</w:t>
      </w:r>
    </w:p>
    <w:p>
      <w:pPr>
        <w:pStyle w:val="ListParagraph"/>
        <w:numPr>
          <w:ilvl w:val="3"/>
          <w:numId w:val="420"/>
        </w:numPr>
        <w:tabs>
          <w:tab w:pos="2486" w:val="left" w:leader="none"/>
        </w:tabs>
        <w:spacing w:line="240" w:lineRule="auto" w:before="120" w:after="0"/>
        <w:ind w:left="2485" w:right="0" w:hanging="567"/>
        <w:jc w:val="both"/>
        <w:rPr>
          <w:sz w:val="24"/>
        </w:rPr>
      </w:pPr>
      <w:r>
        <w:rPr>
          <w:sz w:val="24"/>
        </w:rPr>
        <w:t>calculate the estimate referred to in subparagraph</w:t>
      </w:r>
      <w:r>
        <w:rPr>
          <w:spacing w:val="-4"/>
          <w:sz w:val="24"/>
        </w:rPr>
        <w:t> </w:t>
      </w:r>
      <w:r>
        <w:rPr>
          <w:sz w:val="24"/>
        </w:rPr>
        <w:t>(1)(iv):</w:t>
      </w:r>
    </w:p>
    <w:p>
      <w:pPr>
        <w:pStyle w:val="ListParagraph"/>
        <w:numPr>
          <w:ilvl w:val="4"/>
          <w:numId w:val="420"/>
        </w:numPr>
        <w:tabs>
          <w:tab w:pos="3053" w:val="left" w:leader="none"/>
        </w:tabs>
        <w:spacing w:line="240" w:lineRule="auto" w:before="120" w:after="0"/>
        <w:ind w:left="3053" w:right="415" w:hanging="567"/>
        <w:jc w:val="both"/>
        <w:rPr>
          <w:sz w:val="24"/>
        </w:rPr>
      </w:pPr>
      <w:r>
        <w:rPr>
          <w:sz w:val="24"/>
        </w:rPr>
        <w:t>on the basis of the capital expenditure and incremental operating expenditure referred to in subparagraph (1)(i);</w:t>
      </w:r>
      <w:r>
        <w:rPr>
          <w:spacing w:val="-1"/>
          <w:sz w:val="24"/>
        </w:rPr>
        <w:t> </w:t>
      </w:r>
      <w:r>
        <w:rPr>
          <w:sz w:val="24"/>
        </w:rPr>
        <w:t>and</w:t>
      </w:r>
    </w:p>
    <w:p>
      <w:pPr>
        <w:pStyle w:val="ListParagraph"/>
        <w:numPr>
          <w:ilvl w:val="4"/>
          <w:numId w:val="420"/>
        </w:numPr>
        <w:tabs>
          <w:tab w:pos="3054" w:val="left" w:leader="none"/>
        </w:tabs>
        <w:spacing w:line="240" w:lineRule="auto" w:before="120" w:after="0"/>
        <w:ind w:left="3053" w:right="0" w:hanging="568"/>
        <w:jc w:val="both"/>
        <w:rPr>
          <w:sz w:val="24"/>
        </w:rPr>
      </w:pPr>
      <w:r>
        <w:rPr>
          <w:sz w:val="24"/>
        </w:rPr>
        <w:t>otherwise in accordance with subparagraph (b)(7);</w:t>
      </w:r>
      <w:r>
        <w:rPr>
          <w:spacing w:val="-7"/>
          <w:sz w:val="24"/>
        </w:rPr>
        <w:t> </w:t>
      </w:r>
      <w:r>
        <w:rPr>
          <w:sz w:val="24"/>
        </w:rPr>
        <w:t>and</w:t>
      </w:r>
    </w:p>
    <w:p>
      <w:pPr>
        <w:pStyle w:val="ListParagraph"/>
        <w:numPr>
          <w:ilvl w:val="3"/>
          <w:numId w:val="420"/>
        </w:numPr>
        <w:tabs>
          <w:tab w:pos="2486" w:val="left" w:leader="none"/>
        </w:tabs>
        <w:spacing w:line="240" w:lineRule="auto" w:before="120" w:after="0"/>
        <w:ind w:left="2486" w:right="416" w:hanging="567"/>
        <w:jc w:val="both"/>
        <w:rPr>
          <w:sz w:val="24"/>
        </w:rPr>
      </w:pPr>
      <w:r>
        <w:rPr>
          <w:sz w:val="24"/>
        </w:rPr>
        <w:t>amend the distribution determination in accordance with paragraph (h).</w:t>
      </w:r>
    </w:p>
    <w:p>
      <w:pPr>
        <w:pStyle w:val="BodyText"/>
        <w:ind w:left="1352" w:firstLine="0"/>
      </w:pPr>
      <w:r>
        <w:rPr/>
        <w:t>(e1)</w:t>
      </w:r>
      <w:r>
        <w:rPr>
          <w:spacing w:val="58"/>
        </w:rPr>
        <w:t> </w:t>
      </w:r>
      <w:r>
        <w:rPr/>
        <w:t>The capital expenditure referred to in subparagraph (e)(1) must not include</w:t>
      </w:r>
    </w:p>
    <w:p>
      <w:pPr>
        <w:spacing w:before="0"/>
        <w:ind w:left="1919" w:right="0" w:firstLine="0"/>
        <w:jc w:val="both"/>
        <w:rPr>
          <w:sz w:val="24"/>
        </w:rPr>
      </w:pPr>
      <w:r>
        <w:rPr>
          <w:i/>
          <w:sz w:val="24"/>
        </w:rPr>
        <w:t>expenditure for a restricted asset</w:t>
      </w:r>
      <w:r>
        <w:rPr>
          <w:sz w:val="24"/>
        </w:rPr>
        <w:t>, unless:</w:t>
      </w:r>
    </w:p>
    <w:p>
      <w:pPr>
        <w:pStyle w:val="ListParagraph"/>
        <w:numPr>
          <w:ilvl w:val="0"/>
          <w:numId w:val="422"/>
        </w:numPr>
        <w:tabs>
          <w:tab w:pos="2486" w:val="left" w:leader="none"/>
        </w:tabs>
        <w:spacing w:line="240" w:lineRule="auto" w:before="120" w:after="0"/>
        <w:ind w:left="2486" w:right="414" w:hanging="567"/>
        <w:jc w:val="both"/>
        <w:rPr>
          <w:sz w:val="24"/>
        </w:rPr>
      </w:pPr>
      <w:r>
        <w:rPr>
          <w:sz w:val="24"/>
        </w:rPr>
        <w:t>the relevant </w:t>
      </w:r>
      <w:r>
        <w:rPr>
          <w:i/>
          <w:sz w:val="24"/>
        </w:rPr>
        <w:t>Distribution Network Service Provider </w:t>
      </w:r>
      <w:r>
        <w:rPr>
          <w:sz w:val="24"/>
        </w:rPr>
        <w:t>requested an </w:t>
      </w:r>
      <w:r>
        <w:rPr>
          <w:i/>
          <w:sz w:val="24"/>
        </w:rPr>
        <w:t>asset </w:t>
      </w:r>
      <w:r>
        <w:rPr>
          <w:i/>
          <w:sz w:val="24"/>
        </w:rPr>
        <w:t>exemption </w:t>
      </w:r>
      <w:r>
        <w:rPr>
          <w:sz w:val="24"/>
        </w:rPr>
        <w:t>under clause 6.6A.1(a1) for that asset or class of asset in respect of the </w:t>
      </w:r>
      <w:r>
        <w:rPr>
          <w:i/>
          <w:sz w:val="24"/>
        </w:rPr>
        <w:t>contingent project</w:t>
      </w:r>
      <w:r>
        <w:rPr>
          <w:sz w:val="24"/>
        </w:rPr>
        <w:t>;</w:t>
      </w:r>
      <w:r>
        <w:rPr>
          <w:spacing w:val="-2"/>
          <w:sz w:val="24"/>
        </w:rPr>
        <w:t> </w:t>
      </w:r>
      <w:r>
        <w:rPr>
          <w:sz w:val="24"/>
        </w:rPr>
        <w:t>and</w:t>
      </w:r>
    </w:p>
    <w:p>
      <w:pPr>
        <w:pStyle w:val="ListParagraph"/>
        <w:numPr>
          <w:ilvl w:val="0"/>
          <w:numId w:val="422"/>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granted that </w:t>
      </w:r>
      <w:r>
        <w:rPr>
          <w:i/>
          <w:sz w:val="24"/>
        </w:rPr>
        <w:t>asset</w:t>
      </w:r>
      <w:r>
        <w:rPr>
          <w:i/>
          <w:spacing w:val="-1"/>
          <w:sz w:val="24"/>
        </w:rPr>
        <w:t> </w:t>
      </w:r>
      <w:r>
        <w:rPr>
          <w:i/>
          <w:sz w:val="24"/>
        </w:rPr>
        <w:t>exemption</w:t>
      </w:r>
      <w:r>
        <w:rPr>
          <w:sz w:val="24"/>
        </w:rPr>
        <w:t>.</w:t>
      </w:r>
    </w:p>
    <w:p>
      <w:pPr>
        <w:pStyle w:val="ListParagraph"/>
        <w:numPr>
          <w:ilvl w:val="2"/>
          <w:numId w:val="420"/>
        </w:numPr>
        <w:tabs>
          <w:tab w:pos="1920" w:val="left" w:leader="none"/>
        </w:tabs>
        <w:spacing w:line="240" w:lineRule="auto" w:before="120" w:after="0"/>
        <w:ind w:left="1919" w:right="416" w:hanging="567"/>
        <w:jc w:val="both"/>
        <w:rPr>
          <w:sz w:val="24"/>
        </w:rPr>
      </w:pPr>
      <w:r>
        <w:rPr>
          <w:sz w:val="24"/>
        </w:rPr>
        <w:t>In making the determinations referred to in subparagraph (e)(1), the </w:t>
      </w:r>
      <w:r>
        <w:rPr>
          <w:i/>
          <w:sz w:val="24"/>
        </w:rPr>
        <w:t>AER </w:t>
      </w:r>
      <w:r>
        <w:rPr>
          <w:sz w:val="24"/>
        </w:rPr>
        <w:t>must accept the relevant amounts and dates, contained in the </w:t>
      </w:r>
      <w:r>
        <w:rPr>
          <w:i/>
          <w:sz w:val="24"/>
        </w:rPr>
        <w:t>Distribution </w:t>
      </w:r>
      <w:r>
        <w:rPr>
          <w:i/>
          <w:sz w:val="24"/>
        </w:rPr>
        <w:t>Network Service Provider's </w:t>
      </w:r>
      <w:r>
        <w:rPr>
          <w:sz w:val="24"/>
        </w:rPr>
        <w:t>application, as referred to in subparagraph (b)(2) to (b)(7), if the </w:t>
      </w:r>
      <w:r>
        <w:rPr>
          <w:i/>
          <w:sz w:val="24"/>
        </w:rPr>
        <w:t>AER </w:t>
      </w:r>
      <w:r>
        <w:rPr>
          <w:sz w:val="24"/>
        </w:rPr>
        <w:t>is satisfied</w:t>
      </w:r>
      <w:r>
        <w:rPr>
          <w:spacing w:val="-1"/>
          <w:sz w:val="24"/>
        </w:rPr>
        <w:t> </w:t>
      </w:r>
      <w:r>
        <w:rPr>
          <w:sz w:val="24"/>
        </w:rPr>
        <w:t>that: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the forecast of the total capital expenditure for the </w:t>
      </w:r>
      <w:r>
        <w:rPr>
          <w:i/>
          <w:sz w:val="24"/>
        </w:rPr>
        <w:t>contingent </w:t>
      </w:r>
      <w:r>
        <w:rPr>
          <w:i/>
          <w:spacing w:val="-3"/>
          <w:sz w:val="24"/>
        </w:rPr>
        <w:t>project </w:t>
      </w:r>
      <w:r>
        <w:rPr>
          <w:sz w:val="24"/>
        </w:rPr>
        <w:t>meets the threshold as referred to in clause 6.6A.1(b)(2)(iii) and complies with paragraph</w:t>
      </w:r>
      <w:r>
        <w:rPr>
          <w:spacing w:val="-1"/>
          <w:sz w:val="24"/>
        </w:rPr>
        <w:t> </w:t>
      </w:r>
      <w:r>
        <w:rPr>
          <w:sz w:val="24"/>
        </w:rPr>
        <w:t>(b1);</w:t>
      </w:r>
    </w:p>
    <w:p>
      <w:pPr>
        <w:pStyle w:val="ListParagraph"/>
        <w:numPr>
          <w:ilvl w:val="3"/>
          <w:numId w:val="420"/>
        </w:numPr>
        <w:tabs>
          <w:tab w:pos="2486" w:val="left" w:leader="none"/>
        </w:tabs>
        <w:spacing w:line="240" w:lineRule="auto" w:before="120" w:after="0"/>
        <w:ind w:left="2486" w:right="414" w:hanging="567"/>
        <w:jc w:val="both"/>
        <w:rPr>
          <w:sz w:val="24"/>
        </w:rPr>
      </w:pPr>
      <w:r>
        <w:rPr>
          <w:sz w:val="24"/>
        </w:rPr>
        <w:t>the amounts of forecast capital expenditure and incremental operating expenditure reasonably reflect the </w:t>
      </w:r>
      <w:r>
        <w:rPr>
          <w:i/>
          <w:sz w:val="24"/>
        </w:rPr>
        <w:t>capital expenditure criteria </w:t>
      </w:r>
      <w:r>
        <w:rPr>
          <w:sz w:val="24"/>
        </w:rPr>
        <w:t>and the </w:t>
      </w:r>
      <w:r>
        <w:rPr>
          <w:i/>
          <w:sz w:val="24"/>
        </w:rPr>
        <w:t>operating expenditure criteria</w:t>
      </w:r>
      <w:r>
        <w:rPr>
          <w:sz w:val="24"/>
        </w:rPr>
        <w:t>, taking into account the </w:t>
      </w:r>
      <w:r>
        <w:rPr>
          <w:i/>
          <w:sz w:val="24"/>
        </w:rPr>
        <w:t>capital </w:t>
      </w:r>
      <w:r>
        <w:rPr>
          <w:i/>
          <w:sz w:val="24"/>
        </w:rPr>
        <w:t>expenditure factors </w:t>
      </w:r>
      <w:r>
        <w:rPr>
          <w:sz w:val="24"/>
        </w:rPr>
        <w:t>and the </w:t>
      </w:r>
      <w:r>
        <w:rPr>
          <w:i/>
          <w:sz w:val="24"/>
        </w:rPr>
        <w:t>operating expenditure factors </w:t>
      </w:r>
      <w:r>
        <w:rPr>
          <w:sz w:val="24"/>
        </w:rPr>
        <w:t>respectively, in the context of the </w:t>
      </w:r>
      <w:r>
        <w:rPr>
          <w:i/>
          <w:sz w:val="24"/>
        </w:rPr>
        <w:t>contingent</w:t>
      </w:r>
      <w:r>
        <w:rPr>
          <w:i/>
          <w:spacing w:val="-1"/>
          <w:sz w:val="24"/>
        </w:rPr>
        <w:t> </w:t>
      </w:r>
      <w:r>
        <w:rPr>
          <w:i/>
          <w:sz w:val="24"/>
        </w:rPr>
        <w:t>project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420"/>
        </w:numPr>
        <w:tabs>
          <w:tab w:pos="2485" w:val="left" w:leader="none"/>
          <w:tab w:pos="2486" w:val="left" w:leader="none"/>
        </w:tabs>
        <w:spacing w:line="240" w:lineRule="auto" w:before="83" w:after="0"/>
        <w:ind w:left="2485" w:right="0" w:hanging="567"/>
        <w:jc w:val="left"/>
        <w:rPr>
          <w:sz w:val="24"/>
        </w:rPr>
      </w:pPr>
      <w:r>
        <w:rPr>
          <w:sz w:val="24"/>
        </w:rPr>
        <w:t>the estimates of incremental revenue are reasonable;</w:t>
      </w:r>
      <w:r>
        <w:rPr>
          <w:spacing w:val="-2"/>
          <w:sz w:val="24"/>
        </w:rPr>
        <w:t> </w:t>
      </w:r>
      <w:r>
        <w:rPr>
          <w:sz w:val="24"/>
        </w:rPr>
        <w:t>and</w:t>
      </w:r>
    </w:p>
    <w:p>
      <w:pPr>
        <w:pStyle w:val="ListParagraph"/>
        <w:numPr>
          <w:ilvl w:val="3"/>
          <w:numId w:val="420"/>
        </w:numPr>
        <w:tabs>
          <w:tab w:pos="2485" w:val="left" w:leader="none"/>
          <w:tab w:pos="2486" w:val="left" w:leader="none"/>
        </w:tabs>
        <w:spacing w:line="240" w:lineRule="auto" w:before="120" w:after="0"/>
        <w:ind w:left="2485" w:right="0" w:hanging="567"/>
        <w:jc w:val="left"/>
        <w:rPr>
          <w:sz w:val="24"/>
        </w:rPr>
      </w:pPr>
      <w:r>
        <w:rPr>
          <w:sz w:val="24"/>
        </w:rPr>
        <w:t>the dates are</w:t>
      </w:r>
      <w:r>
        <w:rPr>
          <w:spacing w:val="-2"/>
          <w:sz w:val="24"/>
        </w:rPr>
        <w:t> </w:t>
      </w:r>
      <w:r>
        <w:rPr>
          <w:sz w:val="24"/>
        </w:rPr>
        <w:t>reasonable.</w:t>
      </w:r>
    </w:p>
    <w:p>
      <w:pPr>
        <w:pStyle w:val="ListParagraph"/>
        <w:numPr>
          <w:ilvl w:val="2"/>
          <w:numId w:val="420"/>
        </w:numPr>
        <w:tabs>
          <w:tab w:pos="1918" w:val="left" w:leader="none"/>
          <w:tab w:pos="1919" w:val="left" w:leader="none"/>
        </w:tabs>
        <w:spacing w:line="240" w:lineRule="auto" w:before="120" w:after="0"/>
        <w:ind w:left="1919" w:right="416" w:hanging="567"/>
        <w:jc w:val="left"/>
        <w:rPr>
          <w:sz w:val="24"/>
        </w:rPr>
      </w:pPr>
      <w:r>
        <w:rPr>
          <w:sz w:val="24"/>
        </w:rPr>
        <w:t>In making the determinations referred to in subparagraph (e)(1) and paragraph (f), the </w:t>
      </w:r>
      <w:r>
        <w:rPr>
          <w:i/>
          <w:sz w:val="24"/>
        </w:rPr>
        <w:t>AER </w:t>
      </w:r>
      <w:r>
        <w:rPr>
          <w:sz w:val="24"/>
        </w:rPr>
        <w:t>must have regard</w:t>
      </w:r>
      <w:r>
        <w:rPr>
          <w:spacing w:val="-1"/>
          <w:sz w:val="24"/>
        </w:rPr>
        <w:t> </w:t>
      </w:r>
      <w:r>
        <w:rPr>
          <w:sz w:val="24"/>
        </w:rPr>
        <w:t>to:</w:t>
      </w:r>
    </w:p>
    <w:p>
      <w:pPr>
        <w:pStyle w:val="ListParagraph"/>
        <w:numPr>
          <w:ilvl w:val="3"/>
          <w:numId w:val="420"/>
        </w:numPr>
        <w:tabs>
          <w:tab w:pos="2485" w:val="left" w:leader="none"/>
          <w:tab w:pos="2486" w:val="left" w:leader="none"/>
        </w:tabs>
        <w:spacing w:line="240" w:lineRule="auto" w:before="120" w:after="0"/>
        <w:ind w:left="2485" w:right="0" w:hanging="567"/>
        <w:jc w:val="left"/>
        <w:rPr>
          <w:sz w:val="24"/>
        </w:rPr>
      </w:pPr>
      <w:r>
        <w:rPr>
          <w:sz w:val="24"/>
        </w:rPr>
        <w:t>the information included in or accompanying the</w:t>
      </w:r>
      <w:r>
        <w:rPr>
          <w:spacing w:val="-1"/>
          <w:sz w:val="24"/>
        </w:rPr>
        <w:t> </w:t>
      </w:r>
      <w:r>
        <w:rPr>
          <w:sz w:val="24"/>
        </w:rPr>
        <w:t>application;</w:t>
      </w:r>
    </w:p>
    <w:p>
      <w:pPr>
        <w:pStyle w:val="ListParagraph"/>
        <w:numPr>
          <w:ilvl w:val="3"/>
          <w:numId w:val="420"/>
        </w:numPr>
        <w:tabs>
          <w:tab w:pos="2485" w:val="left" w:leader="none"/>
          <w:tab w:pos="2486" w:val="left" w:leader="none"/>
        </w:tabs>
        <w:spacing w:line="240" w:lineRule="auto" w:before="120" w:after="0"/>
        <w:ind w:left="2485" w:right="0" w:hanging="567"/>
        <w:jc w:val="left"/>
        <w:rPr>
          <w:sz w:val="24"/>
        </w:rPr>
      </w:pPr>
      <w:r>
        <w:rPr>
          <w:sz w:val="24"/>
        </w:rPr>
        <w:t>submissions received in the course of consulting on the</w:t>
      </w:r>
      <w:r>
        <w:rPr>
          <w:spacing w:val="-4"/>
          <w:sz w:val="24"/>
        </w:rPr>
        <w:t> </w:t>
      </w:r>
      <w:r>
        <w:rPr>
          <w:sz w:val="24"/>
        </w:rPr>
        <w:t>application;</w:t>
      </w:r>
    </w:p>
    <w:p>
      <w:pPr>
        <w:pStyle w:val="ListParagraph"/>
        <w:numPr>
          <w:ilvl w:val="3"/>
          <w:numId w:val="420"/>
        </w:numPr>
        <w:tabs>
          <w:tab w:pos="2485" w:val="left" w:leader="none"/>
          <w:tab w:pos="2486" w:val="left" w:leader="none"/>
        </w:tabs>
        <w:spacing w:line="240" w:lineRule="auto" w:before="120" w:after="0"/>
        <w:ind w:left="2485" w:right="0" w:hanging="567"/>
        <w:jc w:val="left"/>
        <w:rPr>
          <w:sz w:val="24"/>
        </w:rPr>
      </w:pPr>
      <w:r>
        <w:rPr>
          <w:sz w:val="24"/>
        </w:rPr>
        <w:t>such analysis as is undertaken by or for the</w:t>
      </w:r>
      <w:r>
        <w:rPr>
          <w:spacing w:val="-1"/>
          <w:sz w:val="24"/>
        </w:rPr>
        <w:t> </w:t>
      </w:r>
      <w:r>
        <w:rPr>
          <w:i/>
          <w:sz w:val="24"/>
        </w:rPr>
        <w:t>AER</w:t>
      </w:r>
      <w:r>
        <w:rPr>
          <w:sz w:val="24"/>
        </w:rPr>
        <w: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the expenditure that would be incurred in respect of a </w:t>
      </w:r>
      <w:r>
        <w:rPr>
          <w:i/>
          <w:sz w:val="24"/>
        </w:rPr>
        <w:t>contingent </w:t>
      </w:r>
      <w:r>
        <w:rPr>
          <w:i/>
          <w:sz w:val="24"/>
        </w:rPr>
        <w:t>project </w:t>
      </w:r>
      <w:r>
        <w:rPr>
          <w:sz w:val="24"/>
        </w:rPr>
        <w:t>by an efficient and prudent </w:t>
      </w:r>
      <w:r>
        <w:rPr>
          <w:i/>
          <w:sz w:val="24"/>
        </w:rPr>
        <w:t>Distribution Network Service </w:t>
      </w:r>
      <w:r>
        <w:rPr>
          <w:i/>
          <w:sz w:val="24"/>
        </w:rPr>
        <w:t>Provider </w:t>
      </w:r>
      <w:r>
        <w:rPr>
          <w:sz w:val="24"/>
        </w:rPr>
        <w:t>in the circumstances of the </w:t>
      </w:r>
      <w:r>
        <w:rPr>
          <w:i/>
          <w:sz w:val="24"/>
        </w:rPr>
        <w:t>Distribution Network Service </w:t>
      </w:r>
      <w:r>
        <w:rPr>
          <w:i/>
          <w:sz w:val="24"/>
        </w:rPr>
        <w:t>Provider</w:t>
      </w:r>
      <w:r>
        <w:rPr>
          <w:sz w:val="24"/>
        </w:rPr>
        <w: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the actual and expected capital expenditure of the </w:t>
      </w:r>
      <w:r>
        <w:rPr>
          <w:i/>
          <w:sz w:val="24"/>
        </w:rPr>
        <w:t>Distribution </w:t>
      </w:r>
      <w:r>
        <w:rPr>
          <w:i/>
          <w:sz w:val="24"/>
        </w:rPr>
        <w:t>Network Service Provider </w:t>
      </w:r>
      <w:r>
        <w:rPr>
          <w:sz w:val="24"/>
        </w:rPr>
        <w:t>for </w:t>
      </w:r>
      <w:r>
        <w:rPr>
          <w:i/>
          <w:sz w:val="24"/>
        </w:rPr>
        <w:t>contingent projects </w:t>
      </w:r>
      <w:r>
        <w:rPr>
          <w:sz w:val="24"/>
        </w:rPr>
        <w:t>during any preceding </w:t>
      </w:r>
      <w:r>
        <w:rPr>
          <w:i/>
          <w:sz w:val="24"/>
        </w:rPr>
        <w:t>regulatory control</w:t>
      </w:r>
      <w:r>
        <w:rPr>
          <w:i/>
          <w:spacing w:val="-1"/>
          <w:sz w:val="24"/>
        </w:rPr>
        <w:t> </w:t>
      </w:r>
      <w:r>
        <w:rPr>
          <w:i/>
          <w:sz w:val="24"/>
        </w:rPr>
        <w:t>periods</w:t>
      </w:r>
      <w:r>
        <w:rPr>
          <w:sz w:val="24"/>
        </w:rPr>
        <w: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the extent to which the forecast capital expenditure for the </w:t>
      </w:r>
      <w:r>
        <w:rPr>
          <w:i/>
          <w:sz w:val="24"/>
        </w:rPr>
        <w:t>contingent </w:t>
      </w:r>
      <w:r>
        <w:rPr>
          <w:i/>
          <w:sz w:val="24"/>
        </w:rPr>
        <w:t>project </w:t>
      </w:r>
      <w:r>
        <w:rPr>
          <w:sz w:val="24"/>
        </w:rPr>
        <w:t>is referable to arrangements with a person other than the </w:t>
      </w:r>
      <w:r>
        <w:rPr>
          <w:i/>
          <w:sz w:val="24"/>
        </w:rPr>
        <w:t>Distribution Network Service Provider </w:t>
      </w:r>
      <w:r>
        <w:rPr>
          <w:sz w:val="24"/>
        </w:rPr>
        <w:t>that, in the opinion of the </w:t>
      </w:r>
      <w:r>
        <w:rPr>
          <w:i/>
          <w:sz w:val="24"/>
        </w:rPr>
        <w:t>AER</w:t>
      </w:r>
      <w:r>
        <w:rPr>
          <w:sz w:val="24"/>
        </w:rPr>
        <w:t>, do not reflect arm's length</w:t>
      </w:r>
      <w:r>
        <w:rPr>
          <w:spacing w:val="-1"/>
          <w:sz w:val="24"/>
        </w:rPr>
        <w:t> </w:t>
      </w:r>
      <w:r>
        <w:rPr>
          <w:sz w:val="24"/>
        </w:rPr>
        <w:t>terms;</w:t>
      </w:r>
    </w:p>
    <w:p>
      <w:pPr>
        <w:pStyle w:val="ListParagraph"/>
        <w:numPr>
          <w:ilvl w:val="3"/>
          <w:numId w:val="420"/>
        </w:numPr>
        <w:tabs>
          <w:tab w:pos="2486" w:val="left" w:leader="none"/>
        </w:tabs>
        <w:spacing w:line="240" w:lineRule="auto" w:before="120" w:after="0"/>
        <w:ind w:left="2485" w:right="0" w:hanging="567"/>
        <w:jc w:val="both"/>
        <w:rPr>
          <w:sz w:val="24"/>
        </w:rPr>
      </w:pPr>
      <w:r>
        <w:rPr>
          <w:sz w:val="24"/>
        </w:rPr>
        <w:t>the</w:t>
      </w:r>
      <w:r>
        <w:rPr>
          <w:spacing w:val="42"/>
          <w:sz w:val="24"/>
        </w:rPr>
        <w:t> </w:t>
      </w:r>
      <w:r>
        <w:rPr>
          <w:sz w:val="24"/>
        </w:rPr>
        <w:t>relative</w:t>
      </w:r>
      <w:r>
        <w:rPr>
          <w:spacing w:val="43"/>
          <w:sz w:val="24"/>
        </w:rPr>
        <w:t> </w:t>
      </w:r>
      <w:r>
        <w:rPr>
          <w:sz w:val="24"/>
        </w:rPr>
        <w:t>prices</w:t>
      </w:r>
      <w:r>
        <w:rPr>
          <w:spacing w:val="42"/>
          <w:sz w:val="24"/>
        </w:rPr>
        <w:t> </w:t>
      </w:r>
      <w:r>
        <w:rPr>
          <w:sz w:val="24"/>
        </w:rPr>
        <w:t>of</w:t>
      </w:r>
      <w:r>
        <w:rPr>
          <w:spacing w:val="43"/>
          <w:sz w:val="24"/>
        </w:rPr>
        <w:t> </w:t>
      </w:r>
      <w:r>
        <w:rPr>
          <w:sz w:val="24"/>
        </w:rPr>
        <w:t>operating</w:t>
      </w:r>
      <w:r>
        <w:rPr>
          <w:spacing w:val="43"/>
          <w:sz w:val="24"/>
        </w:rPr>
        <w:t> </w:t>
      </w:r>
      <w:r>
        <w:rPr>
          <w:sz w:val="24"/>
        </w:rPr>
        <w:t>and</w:t>
      </w:r>
      <w:r>
        <w:rPr>
          <w:spacing w:val="42"/>
          <w:sz w:val="24"/>
        </w:rPr>
        <w:t> </w:t>
      </w:r>
      <w:r>
        <w:rPr>
          <w:sz w:val="24"/>
        </w:rPr>
        <w:t>capital</w:t>
      </w:r>
      <w:r>
        <w:rPr>
          <w:spacing w:val="43"/>
          <w:sz w:val="24"/>
        </w:rPr>
        <w:t> </w:t>
      </w:r>
      <w:r>
        <w:rPr>
          <w:sz w:val="24"/>
        </w:rPr>
        <w:t>inputs</w:t>
      </w:r>
      <w:r>
        <w:rPr>
          <w:spacing w:val="42"/>
          <w:sz w:val="24"/>
        </w:rPr>
        <w:t> </w:t>
      </w:r>
      <w:r>
        <w:rPr>
          <w:sz w:val="24"/>
        </w:rPr>
        <w:t>in</w:t>
      </w:r>
      <w:r>
        <w:rPr>
          <w:spacing w:val="43"/>
          <w:sz w:val="24"/>
        </w:rPr>
        <w:t> </w:t>
      </w:r>
      <w:r>
        <w:rPr>
          <w:sz w:val="24"/>
        </w:rPr>
        <w:t>relation</w:t>
      </w:r>
      <w:r>
        <w:rPr>
          <w:spacing w:val="43"/>
          <w:sz w:val="24"/>
        </w:rPr>
        <w:t> </w:t>
      </w:r>
      <w:r>
        <w:rPr>
          <w:sz w:val="24"/>
        </w:rPr>
        <w:t>to</w:t>
      </w:r>
      <w:r>
        <w:rPr>
          <w:spacing w:val="42"/>
          <w:sz w:val="24"/>
        </w:rPr>
        <w:t> </w:t>
      </w:r>
      <w:r>
        <w:rPr>
          <w:sz w:val="24"/>
        </w:rPr>
        <w:t>the</w:t>
      </w:r>
    </w:p>
    <w:p>
      <w:pPr>
        <w:spacing w:before="0"/>
        <w:ind w:left="2486" w:right="0" w:firstLine="0"/>
        <w:jc w:val="both"/>
        <w:rPr>
          <w:sz w:val="24"/>
        </w:rPr>
      </w:pPr>
      <w:r>
        <w:rPr>
          <w:i/>
          <w:sz w:val="24"/>
        </w:rPr>
        <w:t>contingent project</w:t>
      </w:r>
      <w:r>
        <w:rPr>
          <w:sz w:val="24"/>
        </w:rPr>
        <w:t>;</w:t>
      </w:r>
    </w:p>
    <w:p>
      <w:pPr>
        <w:pStyle w:val="ListParagraph"/>
        <w:numPr>
          <w:ilvl w:val="3"/>
          <w:numId w:val="420"/>
        </w:numPr>
        <w:tabs>
          <w:tab w:pos="2486" w:val="left" w:leader="none"/>
        </w:tabs>
        <w:spacing w:line="240" w:lineRule="auto" w:before="120" w:after="0"/>
        <w:ind w:left="2486" w:right="416" w:hanging="567"/>
        <w:jc w:val="both"/>
        <w:rPr>
          <w:sz w:val="24"/>
        </w:rPr>
      </w:pPr>
      <w:r>
        <w:rPr>
          <w:sz w:val="24"/>
        </w:rPr>
        <w:t>the substitution possibilities between operating and capital  expenditure in relation to the </w:t>
      </w:r>
      <w:r>
        <w:rPr>
          <w:i/>
          <w:sz w:val="24"/>
        </w:rPr>
        <w:t>contingent project</w:t>
      </w:r>
      <w:r>
        <w:rPr>
          <w:sz w:val="24"/>
        </w:rPr>
        <w:t>;</w:t>
      </w:r>
      <w:r>
        <w:rPr>
          <w:spacing w:val="-1"/>
          <w:sz w:val="24"/>
        </w:rPr>
        <w:t> </w:t>
      </w:r>
      <w:r>
        <w:rPr>
          <w:sz w:val="24"/>
        </w:rPr>
        <w:t>and</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whether the capital and operating expenditure forecasts for the </w:t>
      </w:r>
      <w:r>
        <w:rPr>
          <w:i/>
          <w:sz w:val="24"/>
        </w:rPr>
        <w:t>contingent project </w:t>
      </w:r>
      <w:r>
        <w:rPr>
          <w:sz w:val="24"/>
        </w:rPr>
        <w:t>are consistent with any incentive scheme or schemes that apply to the </w:t>
      </w:r>
      <w:r>
        <w:rPr>
          <w:i/>
          <w:sz w:val="24"/>
        </w:rPr>
        <w:t>Distribution Network Service Provider </w:t>
      </w:r>
      <w:r>
        <w:rPr>
          <w:sz w:val="24"/>
        </w:rPr>
        <w:t>under clauses 6.5.8, 6.5.8A or 6.6.2 to</w:t>
      </w:r>
      <w:r>
        <w:rPr>
          <w:spacing w:val="-2"/>
          <w:sz w:val="24"/>
        </w:rPr>
        <w:t> </w:t>
      </w:r>
      <w:r>
        <w:rPr>
          <w:sz w:val="24"/>
        </w:rPr>
        <w:t>6.6.4.</w:t>
      </w:r>
    </w:p>
    <w:p>
      <w:pPr>
        <w:pStyle w:val="ListParagraph"/>
        <w:numPr>
          <w:ilvl w:val="2"/>
          <w:numId w:val="420"/>
        </w:numPr>
        <w:tabs>
          <w:tab w:pos="1919" w:val="left" w:leader="none"/>
        </w:tabs>
        <w:spacing w:line="240" w:lineRule="auto" w:before="120" w:after="0"/>
        <w:ind w:left="1919" w:right="416" w:hanging="567"/>
        <w:jc w:val="both"/>
        <w:rPr>
          <w:sz w:val="24"/>
        </w:rPr>
      </w:pPr>
      <w:r>
        <w:rPr>
          <w:sz w:val="24"/>
        </w:rPr>
        <w:t>Amendments to a distribution determination referred to in subparagraph (e)(3) must only vary the determination to the extent</w:t>
      </w:r>
      <w:r>
        <w:rPr>
          <w:spacing w:val="-2"/>
          <w:sz w:val="24"/>
        </w:rPr>
        <w:t> </w:t>
      </w:r>
      <w:r>
        <w:rPr>
          <w:sz w:val="24"/>
        </w:rPr>
        <w:t>necessary:</w:t>
      </w:r>
    </w:p>
    <w:p>
      <w:pPr>
        <w:pStyle w:val="ListParagraph"/>
        <w:numPr>
          <w:ilvl w:val="3"/>
          <w:numId w:val="420"/>
        </w:numPr>
        <w:tabs>
          <w:tab w:pos="2486" w:val="left" w:leader="none"/>
        </w:tabs>
        <w:spacing w:line="240" w:lineRule="auto" w:before="120" w:after="0"/>
        <w:ind w:left="2486" w:right="414" w:hanging="567"/>
        <w:jc w:val="both"/>
        <w:rPr>
          <w:sz w:val="24"/>
        </w:rPr>
      </w:pPr>
      <w:r>
        <w:rPr>
          <w:sz w:val="24"/>
        </w:rPr>
        <w:t>to adjust the forecast capital expenditure for that </w:t>
      </w:r>
      <w:r>
        <w:rPr>
          <w:i/>
          <w:sz w:val="24"/>
        </w:rPr>
        <w:t>regulatory control </w:t>
      </w:r>
      <w:r>
        <w:rPr>
          <w:i/>
          <w:sz w:val="24"/>
        </w:rPr>
        <w:t>period </w:t>
      </w:r>
      <w:r>
        <w:rPr>
          <w:sz w:val="24"/>
        </w:rPr>
        <w:t>to accommodate the amount of capital expenditure determined under subparagraph (e)(1)(i) (in which case the amount of that adjustment will be taken to be accepted by the </w:t>
      </w:r>
      <w:r>
        <w:rPr>
          <w:i/>
          <w:sz w:val="24"/>
        </w:rPr>
        <w:t>AER </w:t>
      </w:r>
      <w:r>
        <w:rPr>
          <w:sz w:val="24"/>
        </w:rPr>
        <w:t>under clause 6.5.7(c));</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to adjust the forecast operating expenditure for that </w:t>
      </w:r>
      <w:r>
        <w:rPr>
          <w:i/>
          <w:sz w:val="24"/>
        </w:rPr>
        <w:t>regulatory control </w:t>
      </w:r>
      <w:r>
        <w:rPr>
          <w:i/>
          <w:sz w:val="24"/>
        </w:rPr>
        <w:t>period </w:t>
      </w:r>
      <w:r>
        <w:rPr>
          <w:sz w:val="24"/>
        </w:rPr>
        <w:t>to accommodate the amount of incremental operating expenditure determined under subparagraph (e)(1)(i) (in which case the amount of that adjustment will be taken to be accepted by the </w:t>
      </w:r>
      <w:r>
        <w:rPr>
          <w:i/>
          <w:sz w:val="24"/>
        </w:rPr>
        <w:t>AER </w:t>
      </w:r>
      <w:r>
        <w:rPr>
          <w:sz w:val="24"/>
        </w:rPr>
        <w:t>under clause</w:t>
      </w:r>
      <w:r>
        <w:rPr>
          <w:spacing w:val="-2"/>
          <w:sz w:val="24"/>
        </w:rPr>
        <w:t> </w:t>
      </w:r>
      <w:r>
        <w:rPr>
          <w:sz w:val="24"/>
        </w:rPr>
        <w:t>6.5.6(c));</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to reflect the effect of any resultant increase in forecast capital and operating expenditure</w:t>
      </w:r>
      <w:r>
        <w:rPr>
          <w:spacing w:val="-1"/>
          <w:sz w:val="24"/>
        </w:rPr>
        <w:t> </w:t>
      </w:r>
      <w:r>
        <w:rPr>
          <w:sz w:val="24"/>
        </w:rPr>
        <w:t>on:</w:t>
      </w:r>
    </w:p>
    <w:p>
      <w:pPr>
        <w:pStyle w:val="ListParagraph"/>
        <w:numPr>
          <w:ilvl w:val="4"/>
          <w:numId w:val="420"/>
        </w:numPr>
        <w:tabs>
          <w:tab w:pos="3053" w:val="left" w:leader="none"/>
        </w:tabs>
        <w:spacing w:line="240" w:lineRule="auto" w:before="120" w:after="0"/>
        <w:ind w:left="3053" w:right="417" w:hanging="567"/>
        <w:jc w:val="both"/>
        <w:rPr>
          <w:sz w:val="24"/>
        </w:rPr>
      </w:pPr>
      <w:r>
        <w:rPr>
          <w:sz w:val="24"/>
        </w:rPr>
        <w:t>the </w:t>
      </w:r>
      <w:r>
        <w:rPr>
          <w:i/>
          <w:sz w:val="24"/>
        </w:rPr>
        <w:t>annual revenue requirement </w:t>
      </w:r>
      <w:r>
        <w:rPr>
          <w:sz w:val="24"/>
        </w:rPr>
        <w:t>for each </w:t>
      </w:r>
      <w:r>
        <w:rPr>
          <w:i/>
          <w:sz w:val="24"/>
        </w:rPr>
        <w:t>regulatory year </w:t>
      </w:r>
      <w:r>
        <w:rPr>
          <w:sz w:val="24"/>
        </w:rPr>
        <w:t>in the remainder of the </w:t>
      </w:r>
      <w:r>
        <w:rPr>
          <w:i/>
          <w:sz w:val="24"/>
        </w:rPr>
        <w:t>regulatory control period</w:t>
      </w:r>
      <w:r>
        <w:rPr>
          <w:sz w:val="24"/>
        </w:rPr>
        <w:t>;</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420"/>
        </w:numPr>
        <w:tabs>
          <w:tab w:pos="3054" w:val="left" w:leader="none"/>
        </w:tabs>
        <w:spacing w:line="240" w:lineRule="auto" w:before="83" w:after="0"/>
        <w:ind w:left="3053" w:right="0" w:hanging="568"/>
        <w:jc w:val="both"/>
        <w:rPr>
          <w:sz w:val="24"/>
        </w:rPr>
      </w:pPr>
      <w:r>
        <w:rPr>
          <w:sz w:val="24"/>
        </w:rPr>
        <w:t>the</w:t>
      </w:r>
      <w:r>
        <w:rPr>
          <w:spacing w:val="39"/>
          <w:sz w:val="24"/>
        </w:rPr>
        <w:t> </w:t>
      </w:r>
      <w:r>
        <w:rPr>
          <w:sz w:val="24"/>
        </w:rPr>
        <w:t>X</w:t>
      </w:r>
      <w:r>
        <w:rPr>
          <w:spacing w:val="40"/>
          <w:sz w:val="24"/>
        </w:rPr>
        <w:t> </w:t>
      </w:r>
      <w:r>
        <w:rPr>
          <w:sz w:val="24"/>
        </w:rPr>
        <w:t>factor</w:t>
      </w:r>
      <w:r>
        <w:rPr>
          <w:spacing w:val="40"/>
          <w:sz w:val="24"/>
        </w:rPr>
        <w:t> </w:t>
      </w:r>
      <w:r>
        <w:rPr>
          <w:sz w:val="24"/>
        </w:rPr>
        <w:t>for</w:t>
      </w:r>
      <w:r>
        <w:rPr>
          <w:spacing w:val="39"/>
          <w:sz w:val="24"/>
        </w:rPr>
        <w:t> </w:t>
      </w:r>
      <w:r>
        <w:rPr>
          <w:sz w:val="24"/>
        </w:rPr>
        <w:t>each</w:t>
      </w:r>
      <w:r>
        <w:rPr>
          <w:spacing w:val="40"/>
          <w:sz w:val="24"/>
        </w:rPr>
        <w:t> </w:t>
      </w:r>
      <w:r>
        <w:rPr>
          <w:i/>
          <w:sz w:val="24"/>
        </w:rPr>
        <w:t>regulatory</w:t>
      </w:r>
      <w:r>
        <w:rPr>
          <w:i/>
          <w:spacing w:val="40"/>
          <w:sz w:val="24"/>
        </w:rPr>
        <w:t> </w:t>
      </w:r>
      <w:r>
        <w:rPr>
          <w:i/>
          <w:sz w:val="24"/>
        </w:rPr>
        <w:t>year</w:t>
      </w:r>
      <w:r>
        <w:rPr>
          <w:i/>
          <w:spacing w:val="39"/>
          <w:sz w:val="24"/>
        </w:rPr>
        <w:t> </w:t>
      </w:r>
      <w:r>
        <w:rPr>
          <w:sz w:val="24"/>
        </w:rPr>
        <w:t>in</w:t>
      </w:r>
      <w:r>
        <w:rPr>
          <w:spacing w:val="40"/>
          <w:sz w:val="24"/>
        </w:rPr>
        <w:t> </w:t>
      </w:r>
      <w:r>
        <w:rPr>
          <w:sz w:val="24"/>
        </w:rPr>
        <w:t>the</w:t>
      </w:r>
      <w:r>
        <w:rPr>
          <w:spacing w:val="40"/>
          <w:sz w:val="24"/>
        </w:rPr>
        <w:t> </w:t>
      </w:r>
      <w:r>
        <w:rPr>
          <w:sz w:val="24"/>
        </w:rPr>
        <w:t>remainder</w:t>
      </w:r>
      <w:r>
        <w:rPr>
          <w:spacing w:val="39"/>
          <w:sz w:val="24"/>
        </w:rPr>
        <w:t> </w:t>
      </w:r>
      <w:r>
        <w:rPr>
          <w:sz w:val="24"/>
        </w:rPr>
        <w:t>of</w:t>
      </w:r>
      <w:r>
        <w:rPr>
          <w:spacing w:val="40"/>
          <w:sz w:val="24"/>
        </w:rPr>
        <w:t> </w:t>
      </w:r>
      <w:r>
        <w:rPr>
          <w:sz w:val="24"/>
        </w:rPr>
        <w:t>the</w:t>
      </w:r>
    </w:p>
    <w:p>
      <w:pPr>
        <w:spacing w:before="0"/>
        <w:ind w:left="3053" w:right="0" w:firstLine="0"/>
        <w:jc w:val="both"/>
        <w:rPr>
          <w:sz w:val="24"/>
        </w:rPr>
      </w:pPr>
      <w:r>
        <w:rPr>
          <w:i/>
          <w:sz w:val="24"/>
        </w:rPr>
        <w:t>regulatory control period</w:t>
      </w:r>
      <w:r>
        <w:rPr>
          <w:sz w:val="24"/>
        </w:rPr>
        <w: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provide the </w:t>
      </w:r>
      <w:r>
        <w:rPr>
          <w:i/>
          <w:sz w:val="24"/>
        </w:rPr>
        <w:t>AER </w:t>
      </w:r>
      <w:r>
        <w:rPr>
          <w:sz w:val="24"/>
        </w:rPr>
        <w:t>with such additional information as the </w:t>
      </w:r>
      <w:r>
        <w:rPr>
          <w:i/>
          <w:sz w:val="24"/>
        </w:rPr>
        <w:t>AER </w:t>
      </w:r>
      <w:r>
        <w:rPr>
          <w:sz w:val="24"/>
        </w:rPr>
        <w:t>requires for the purpose of making a decision on an application made by that </w:t>
      </w:r>
      <w:r>
        <w:rPr>
          <w:i/>
          <w:sz w:val="24"/>
        </w:rPr>
        <w:t>Distribution Network Service </w:t>
      </w:r>
      <w:r>
        <w:rPr>
          <w:i/>
          <w:sz w:val="24"/>
        </w:rPr>
        <w:t>Provider </w:t>
      </w:r>
      <w:r>
        <w:rPr>
          <w:sz w:val="24"/>
        </w:rPr>
        <w:t>under paragraph (a) within the time specified by the </w:t>
      </w:r>
      <w:r>
        <w:rPr>
          <w:i/>
          <w:sz w:val="24"/>
        </w:rPr>
        <w:t>AER </w:t>
      </w:r>
      <w:r>
        <w:rPr>
          <w:sz w:val="24"/>
        </w:rPr>
        <w:t>in a notice provided to the </w:t>
      </w:r>
      <w:r>
        <w:rPr>
          <w:i/>
          <w:sz w:val="24"/>
        </w:rPr>
        <w:t>Distribution Network Service Provider </w:t>
      </w:r>
      <w:r>
        <w:rPr>
          <w:sz w:val="24"/>
        </w:rPr>
        <w:t>by the </w:t>
      </w:r>
      <w:r>
        <w:rPr>
          <w:i/>
          <w:sz w:val="24"/>
        </w:rPr>
        <w:t>AER </w:t>
      </w:r>
      <w:r>
        <w:rPr>
          <w:sz w:val="24"/>
        </w:rPr>
        <w:t>for that purpose.</w:t>
      </w:r>
    </w:p>
    <w:p>
      <w:pPr>
        <w:spacing w:before="220"/>
        <w:ind w:left="1356" w:right="0" w:firstLine="0"/>
        <w:jc w:val="left"/>
        <w:rPr>
          <w:rFonts w:ascii="Arial"/>
          <w:b/>
          <w:sz w:val="22"/>
        </w:rPr>
      </w:pPr>
      <w:r>
        <w:rPr>
          <w:rFonts w:ascii="Arial"/>
          <w:b/>
          <w:sz w:val="22"/>
        </w:rPr>
        <w:t>Extension of time limit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is satisfied that amending a distribution determination under subparagraph (e)(3) and paragraph (h) involves issues of such complexity or difficulty that the time limit fixed in paragraph (d) should be extended, the </w:t>
      </w:r>
      <w:r>
        <w:rPr>
          <w:i/>
          <w:sz w:val="24"/>
        </w:rPr>
        <w:t>AER </w:t>
      </w:r>
      <w:r>
        <w:rPr>
          <w:sz w:val="24"/>
        </w:rPr>
        <w:t>may extend that time limit by a further period of up to 60 </w:t>
      </w:r>
      <w:r>
        <w:rPr>
          <w:i/>
          <w:sz w:val="24"/>
        </w:rPr>
        <w:t>business </w:t>
      </w:r>
      <w:r>
        <w:rPr>
          <w:i/>
          <w:sz w:val="24"/>
        </w:rPr>
        <w:t>days</w:t>
      </w:r>
      <w:r>
        <w:rPr>
          <w:sz w:val="24"/>
        </w:rPr>
        <w:t>, provided that it gives written notice to the </w:t>
      </w:r>
      <w:r>
        <w:rPr>
          <w:i/>
          <w:sz w:val="24"/>
        </w:rPr>
        <w:t>Distribution Network </w:t>
      </w:r>
      <w:r>
        <w:rPr>
          <w:i/>
          <w:sz w:val="24"/>
        </w:rPr>
        <w:t>Service Provider </w:t>
      </w:r>
      <w:r>
        <w:rPr>
          <w:sz w:val="24"/>
        </w:rPr>
        <w:t>of that extension no later than 10 </w:t>
      </w:r>
      <w:r>
        <w:rPr>
          <w:i/>
          <w:sz w:val="24"/>
        </w:rPr>
        <w:t>business days </w:t>
      </w:r>
      <w:r>
        <w:rPr>
          <w:sz w:val="24"/>
        </w:rPr>
        <w:t>before the expiry of that time</w:t>
      </w:r>
      <w:r>
        <w:rPr>
          <w:spacing w:val="-1"/>
          <w:sz w:val="24"/>
        </w:rPr>
        <w:t> </w:t>
      </w:r>
      <w:r>
        <w:rPr>
          <w:sz w:val="24"/>
        </w:rPr>
        <w:t>limit.</w:t>
      </w:r>
    </w:p>
    <w:p>
      <w:pPr>
        <w:pStyle w:val="ListParagraph"/>
        <w:numPr>
          <w:ilvl w:val="2"/>
          <w:numId w:val="420"/>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extends the time limit under paragraph (j), it must make available on its website a notice of that extension as soon as is reasonably</w:t>
      </w:r>
      <w:r>
        <w:rPr>
          <w:spacing w:val="-14"/>
          <w:sz w:val="24"/>
        </w:rPr>
        <w:t> </w:t>
      </w:r>
      <w:r>
        <w:rPr>
          <w:sz w:val="24"/>
        </w:rPr>
        <w:t>practicable.</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Subject to paragraph (n1), if the </w:t>
      </w:r>
      <w:r>
        <w:rPr>
          <w:i/>
          <w:sz w:val="24"/>
        </w:rPr>
        <w:t>AER </w:t>
      </w:r>
      <w:r>
        <w:rPr>
          <w:sz w:val="24"/>
        </w:rPr>
        <w:t>gives a written notice to the </w:t>
      </w:r>
      <w:r>
        <w:rPr>
          <w:i/>
          <w:sz w:val="24"/>
        </w:rPr>
        <w:t>Distribution Network Service Provider </w:t>
      </w:r>
      <w:r>
        <w:rPr>
          <w:sz w:val="24"/>
        </w:rPr>
        <w:t>stating that it requires information from an </w:t>
      </w:r>
      <w:r>
        <w:rPr>
          <w:i/>
          <w:sz w:val="24"/>
        </w:rPr>
        <w:t>Authority </w:t>
      </w:r>
      <w:r>
        <w:rPr>
          <w:sz w:val="24"/>
        </w:rPr>
        <w:t>in order to make a decision on an application made by the </w:t>
      </w:r>
      <w:r>
        <w:rPr>
          <w:i/>
          <w:sz w:val="24"/>
        </w:rPr>
        <w:t>Distribution Network Service Provider </w:t>
      </w:r>
      <w:r>
        <w:rPr>
          <w:sz w:val="24"/>
        </w:rPr>
        <w:t>under paragraph (a) then, for the purpose of calculating elapsed time, the period between when the </w:t>
      </w:r>
      <w:r>
        <w:rPr>
          <w:i/>
          <w:sz w:val="24"/>
        </w:rPr>
        <w:t>AER </w:t>
      </w:r>
      <w:r>
        <w:rPr>
          <w:sz w:val="24"/>
        </w:rPr>
        <w:t>gives that notice to the </w:t>
      </w:r>
      <w:r>
        <w:rPr>
          <w:i/>
          <w:sz w:val="24"/>
        </w:rPr>
        <w:t>Distribution Network Service Provider </w:t>
      </w:r>
      <w:r>
        <w:rPr>
          <w:sz w:val="24"/>
        </w:rPr>
        <w:t>and when the </w:t>
      </w:r>
      <w:r>
        <w:rPr>
          <w:i/>
          <w:sz w:val="24"/>
        </w:rPr>
        <w:t>AER </w:t>
      </w:r>
      <w:r>
        <w:rPr>
          <w:sz w:val="24"/>
        </w:rPr>
        <w:t>receives that information from that </w:t>
      </w:r>
      <w:r>
        <w:rPr>
          <w:i/>
          <w:sz w:val="24"/>
        </w:rPr>
        <w:t>Authority </w:t>
      </w:r>
      <w:r>
        <w:rPr>
          <w:sz w:val="24"/>
        </w:rPr>
        <w:t>is to be</w:t>
      </w:r>
      <w:r>
        <w:rPr>
          <w:spacing w:val="-3"/>
          <w:sz w:val="24"/>
        </w:rPr>
        <w:t> </w:t>
      </w:r>
      <w:r>
        <w:rPr>
          <w:sz w:val="24"/>
        </w:rPr>
        <w:t>disregarded.</w:t>
      </w:r>
    </w:p>
    <w:p>
      <w:pPr>
        <w:pStyle w:val="ListParagraph"/>
        <w:numPr>
          <w:ilvl w:val="2"/>
          <w:numId w:val="420"/>
        </w:numPr>
        <w:tabs>
          <w:tab w:pos="1919" w:val="left" w:leader="none"/>
        </w:tabs>
        <w:spacing w:line="240" w:lineRule="auto" w:before="120" w:after="0"/>
        <w:ind w:left="1919" w:right="414" w:hanging="567"/>
        <w:jc w:val="both"/>
        <w:rPr>
          <w:sz w:val="24"/>
        </w:rPr>
      </w:pPr>
      <w:r>
        <w:rPr>
          <w:sz w:val="24"/>
        </w:rPr>
        <w:t>Subject to paragraph (n1), if the </w:t>
      </w:r>
      <w:r>
        <w:rPr>
          <w:i/>
          <w:sz w:val="24"/>
        </w:rPr>
        <w:t>AER </w:t>
      </w:r>
      <w:r>
        <w:rPr>
          <w:sz w:val="24"/>
        </w:rPr>
        <w:t>gives a written notice to the </w:t>
      </w:r>
      <w:r>
        <w:rPr>
          <w:i/>
          <w:sz w:val="24"/>
        </w:rPr>
        <w:t>Distribution Network Service Provider </w:t>
      </w:r>
      <w:r>
        <w:rPr>
          <w:sz w:val="24"/>
        </w:rPr>
        <w:t>stating that, in order to make a decision on an application made by the </w:t>
      </w:r>
      <w:r>
        <w:rPr>
          <w:i/>
          <w:sz w:val="24"/>
        </w:rPr>
        <w:t>Distribution Network Service </w:t>
      </w:r>
      <w:r>
        <w:rPr>
          <w:i/>
          <w:sz w:val="24"/>
        </w:rPr>
        <w:t>Provider </w:t>
      </w:r>
      <w:r>
        <w:rPr>
          <w:sz w:val="24"/>
        </w:rPr>
        <w:t>under paragraph (a), it requires information from a judicial body or royal commission then, for the purpose of calculating elapsed time, the period between when the </w:t>
      </w:r>
      <w:r>
        <w:rPr>
          <w:i/>
          <w:sz w:val="24"/>
        </w:rPr>
        <w:t>AER </w:t>
      </w:r>
      <w:r>
        <w:rPr>
          <w:sz w:val="24"/>
        </w:rPr>
        <w:t>gives that notice to the </w:t>
      </w:r>
      <w:r>
        <w:rPr>
          <w:i/>
          <w:sz w:val="24"/>
        </w:rPr>
        <w:t>Distribution Network </w:t>
      </w:r>
      <w:r>
        <w:rPr>
          <w:i/>
          <w:sz w:val="24"/>
        </w:rPr>
        <w:t>Service Provider </w:t>
      </w:r>
      <w:r>
        <w:rPr>
          <w:sz w:val="24"/>
        </w:rPr>
        <w:t>and when that information is made publicly available is to be</w:t>
      </w:r>
      <w:r>
        <w:rPr>
          <w:spacing w:val="-1"/>
          <w:sz w:val="24"/>
        </w:rPr>
        <w:t> </w:t>
      </w:r>
      <w:r>
        <w:rPr>
          <w:sz w:val="24"/>
        </w:rPr>
        <w:t>disregarded.</w:t>
      </w:r>
    </w:p>
    <w:p>
      <w:pPr>
        <w:pStyle w:val="ListParagraph"/>
        <w:numPr>
          <w:ilvl w:val="2"/>
          <w:numId w:val="420"/>
        </w:numPr>
        <w:tabs>
          <w:tab w:pos="1919" w:val="left" w:leader="none"/>
        </w:tabs>
        <w:spacing w:line="240" w:lineRule="auto" w:before="120" w:after="0"/>
        <w:ind w:left="1918" w:right="0" w:hanging="567"/>
        <w:jc w:val="both"/>
        <w:rPr>
          <w:i/>
          <w:sz w:val="24"/>
        </w:rPr>
      </w:pPr>
      <w:r>
        <w:rPr>
          <w:sz w:val="24"/>
        </w:rPr>
        <w:t>Where</w:t>
      </w:r>
      <w:r>
        <w:rPr>
          <w:spacing w:val="9"/>
          <w:sz w:val="24"/>
        </w:rPr>
        <w:t> </w:t>
      </w:r>
      <w:r>
        <w:rPr>
          <w:sz w:val="24"/>
        </w:rPr>
        <w:t>the</w:t>
      </w:r>
      <w:r>
        <w:rPr>
          <w:spacing w:val="9"/>
          <w:sz w:val="24"/>
        </w:rPr>
        <w:t> </w:t>
      </w:r>
      <w:r>
        <w:rPr>
          <w:i/>
          <w:sz w:val="24"/>
        </w:rPr>
        <w:t>AER</w:t>
      </w:r>
      <w:r>
        <w:rPr>
          <w:i/>
          <w:spacing w:val="9"/>
          <w:sz w:val="24"/>
        </w:rPr>
        <w:t> </w:t>
      </w:r>
      <w:r>
        <w:rPr>
          <w:sz w:val="24"/>
        </w:rPr>
        <w:t>gives</w:t>
      </w:r>
      <w:r>
        <w:rPr>
          <w:spacing w:val="9"/>
          <w:sz w:val="24"/>
        </w:rPr>
        <w:t> </w:t>
      </w:r>
      <w:r>
        <w:rPr>
          <w:sz w:val="24"/>
        </w:rPr>
        <w:t>a</w:t>
      </w:r>
      <w:r>
        <w:rPr>
          <w:spacing w:val="9"/>
          <w:sz w:val="24"/>
        </w:rPr>
        <w:t> </w:t>
      </w:r>
      <w:r>
        <w:rPr>
          <w:sz w:val="24"/>
        </w:rPr>
        <w:t>notice</w:t>
      </w:r>
      <w:r>
        <w:rPr>
          <w:spacing w:val="10"/>
          <w:sz w:val="24"/>
        </w:rPr>
        <w:t> </w:t>
      </w:r>
      <w:r>
        <w:rPr>
          <w:sz w:val="24"/>
        </w:rPr>
        <w:t>to</w:t>
      </w:r>
      <w:r>
        <w:rPr>
          <w:spacing w:val="9"/>
          <w:sz w:val="24"/>
        </w:rPr>
        <w:t> </w:t>
      </w:r>
      <w:r>
        <w:rPr>
          <w:sz w:val="24"/>
        </w:rPr>
        <w:t>the</w:t>
      </w:r>
      <w:r>
        <w:rPr>
          <w:spacing w:val="9"/>
          <w:sz w:val="24"/>
        </w:rPr>
        <w:t> </w:t>
      </w:r>
      <w:r>
        <w:rPr>
          <w:i/>
          <w:sz w:val="24"/>
        </w:rPr>
        <w:t>Distribution</w:t>
      </w:r>
      <w:r>
        <w:rPr>
          <w:i/>
          <w:spacing w:val="9"/>
          <w:sz w:val="24"/>
        </w:rPr>
        <w:t> </w:t>
      </w:r>
      <w:r>
        <w:rPr>
          <w:i/>
          <w:sz w:val="24"/>
        </w:rPr>
        <w:t>Network</w:t>
      </w:r>
      <w:r>
        <w:rPr>
          <w:i/>
          <w:spacing w:val="9"/>
          <w:sz w:val="24"/>
        </w:rPr>
        <w:t> </w:t>
      </w:r>
      <w:r>
        <w:rPr>
          <w:i/>
          <w:sz w:val="24"/>
        </w:rPr>
        <w:t>Service</w:t>
      </w:r>
      <w:r>
        <w:rPr>
          <w:i/>
          <w:spacing w:val="10"/>
          <w:sz w:val="24"/>
        </w:rPr>
        <w:t> </w:t>
      </w:r>
      <w:r>
        <w:rPr>
          <w:i/>
          <w:sz w:val="24"/>
        </w:rPr>
        <w:t>Provider</w:t>
      </w:r>
    </w:p>
    <w:p>
      <w:pPr>
        <w:pStyle w:val="BodyText"/>
        <w:spacing w:before="0"/>
        <w:ind w:left="1919" w:firstLine="0"/>
      </w:pPr>
      <w:r>
        <w:rPr/>
        <w:t>under paragraph (l) or (m), it must:</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(l) or (m), as the case may be, has</w:t>
      </w:r>
      <w:r>
        <w:rPr>
          <w:spacing w:val="-2"/>
          <w:sz w:val="24"/>
        </w:rPr>
        <w:t> </w:t>
      </w:r>
      <w:r>
        <w:rPr>
          <w:sz w:val="24"/>
        </w:rPr>
        <w:t>commenced;</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as soon as is reasonably practicable make available on its website a notice stating when the period referred to in paragraph (l) or (m), as the case may be, has ended;</w:t>
      </w:r>
      <w:r>
        <w:rPr>
          <w:spacing w:val="-3"/>
          <w:sz w:val="24"/>
        </w:rPr>
        <w:t> </w:t>
      </w:r>
      <w:r>
        <w:rPr>
          <w:sz w:val="24"/>
        </w:rPr>
        <w:t>and</w:t>
      </w:r>
    </w:p>
    <w:p>
      <w:pPr>
        <w:pStyle w:val="ListParagraph"/>
        <w:numPr>
          <w:ilvl w:val="3"/>
          <w:numId w:val="420"/>
        </w:numPr>
        <w:tabs>
          <w:tab w:pos="2486" w:val="left" w:leader="none"/>
        </w:tabs>
        <w:spacing w:line="240" w:lineRule="auto" w:before="120" w:after="0"/>
        <w:ind w:left="2486" w:right="415" w:hanging="567"/>
        <w:jc w:val="both"/>
        <w:rPr>
          <w:sz w:val="24"/>
        </w:rPr>
      </w:pPr>
      <w:r>
        <w:rPr>
          <w:sz w:val="24"/>
        </w:rPr>
        <w:t>if the information specified in that notice is required from an </w:t>
      </w:r>
      <w:r>
        <w:rPr>
          <w:i/>
          <w:sz w:val="24"/>
        </w:rPr>
        <w:t>Authority</w:t>
      </w:r>
      <w:r>
        <w:rPr>
          <w:sz w:val="24"/>
        </w:rPr>
        <w:t>, promptly request that information from the relevant </w:t>
      </w:r>
      <w:r>
        <w:rPr>
          <w:i/>
          <w:sz w:val="24"/>
        </w:rPr>
        <w:t>Authority</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415" w:hanging="567"/>
        <w:jc w:val="both"/>
        <w:rPr>
          <w:sz w:val="24"/>
        </w:rPr>
      </w:pPr>
      <w:r>
        <w:rPr>
          <w:sz w:val="24"/>
        </w:rPr>
        <w:t>(n1) Paragraphs (l) and (m) do not apply if the </w:t>
      </w:r>
      <w:r>
        <w:rPr>
          <w:i/>
          <w:sz w:val="24"/>
        </w:rPr>
        <w:t>AER </w:t>
      </w:r>
      <w:r>
        <w:rPr>
          <w:sz w:val="24"/>
        </w:rPr>
        <w:t>gives the notice specified in those paragraphs to the </w:t>
      </w:r>
      <w:r>
        <w:rPr>
          <w:i/>
          <w:sz w:val="24"/>
        </w:rPr>
        <w:t>Distribution Network Service Provider </w:t>
      </w:r>
      <w:r>
        <w:rPr>
          <w:sz w:val="24"/>
        </w:rPr>
        <w:t>later than 10 </w:t>
      </w:r>
      <w:r>
        <w:rPr>
          <w:i/>
          <w:sz w:val="24"/>
        </w:rPr>
        <w:t>business days </w:t>
      </w:r>
      <w:r>
        <w:rPr>
          <w:sz w:val="24"/>
        </w:rPr>
        <w:t>before the expiry of the time limit fixed in paragraph (d).</w:t>
      </w:r>
    </w:p>
    <w:p>
      <w:pPr>
        <w:spacing w:before="220"/>
        <w:ind w:left="1356" w:right="0" w:firstLine="0"/>
        <w:jc w:val="both"/>
        <w:rPr>
          <w:rFonts w:ascii="Arial"/>
          <w:b/>
          <w:sz w:val="22"/>
        </w:rPr>
      </w:pPr>
      <w:r>
        <w:rPr>
          <w:rFonts w:ascii="Arial"/>
          <w:b/>
          <w:sz w:val="22"/>
        </w:rPr>
        <w:t>Amendment of distribution determination</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Except where paragraph (p) applies, if the </w:t>
      </w:r>
      <w:r>
        <w:rPr>
          <w:i/>
          <w:sz w:val="24"/>
        </w:rPr>
        <w:t>AER </w:t>
      </w:r>
      <w:r>
        <w:rPr>
          <w:sz w:val="24"/>
        </w:rPr>
        <w:t>amends a distribution determination under paragraph (h), that amendment must take effect from the commencement of the next </w:t>
      </w:r>
      <w:r>
        <w:rPr>
          <w:i/>
          <w:sz w:val="24"/>
        </w:rPr>
        <w:t>regulatory</w:t>
      </w:r>
      <w:r>
        <w:rPr>
          <w:i/>
          <w:spacing w:val="-1"/>
          <w:sz w:val="24"/>
        </w:rPr>
        <w:t> </w:t>
      </w:r>
      <w:r>
        <w:rPr>
          <w:i/>
          <w:sz w:val="24"/>
        </w:rPr>
        <w:t>year</w:t>
      </w:r>
      <w:r>
        <w:rPr>
          <w:sz w:val="24"/>
        </w:rPr>
        <w:t>.</w:t>
      </w:r>
    </w:p>
    <w:p>
      <w:pPr>
        <w:pStyle w:val="ListParagraph"/>
        <w:numPr>
          <w:ilvl w:val="2"/>
          <w:numId w:val="420"/>
        </w:numPr>
        <w:tabs>
          <w:tab w:pos="1919" w:val="left" w:leader="none"/>
        </w:tabs>
        <w:spacing w:line="240" w:lineRule="auto" w:before="120" w:after="0"/>
        <w:ind w:left="1919" w:right="415" w:hanging="567"/>
        <w:jc w:val="both"/>
        <w:rPr>
          <w:sz w:val="24"/>
        </w:rPr>
      </w:pPr>
      <w:r>
        <w:rPr>
          <w:sz w:val="24"/>
        </w:rPr>
        <w:t>If a </w:t>
      </w:r>
      <w:r>
        <w:rPr>
          <w:i/>
          <w:sz w:val="24"/>
        </w:rPr>
        <w:t>Distribution Network Service Provider </w:t>
      </w:r>
      <w:r>
        <w:rPr>
          <w:sz w:val="24"/>
        </w:rPr>
        <w:t>submits an application under paragraph (a) within 90 </w:t>
      </w:r>
      <w:r>
        <w:rPr>
          <w:i/>
          <w:sz w:val="24"/>
        </w:rPr>
        <w:t>business days </w:t>
      </w:r>
      <w:r>
        <w:rPr>
          <w:sz w:val="24"/>
        </w:rPr>
        <w:t>of the end of a </w:t>
      </w:r>
      <w:r>
        <w:rPr>
          <w:i/>
          <w:sz w:val="24"/>
        </w:rPr>
        <w:t>regulatory year </w:t>
      </w:r>
      <w:r>
        <w:rPr>
          <w:sz w:val="24"/>
        </w:rPr>
        <w:t>(where this is permitted in accordance with paragraph (a1)), an amendment to the distribution determination must take effect from the second </w:t>
      </w:r>
      <w:r>
        <w:rPr>
          <w:i/>
          <w:sz w:val="24"/>
        </w:rPr>
        <w:t>regulatory year </w:t>
      </w:r>
      <w:r>
        <w:rPr>
          <w:sz w:val="24"/>
        </w:rPr>
        <w:t>that commences after the application is</w:t>
      </w:r>
      <w:r>
        <w:rPr>
          <w:spacing w:val="-2"/>
          <w:sz w:val="24"/>
        </w:rPr>
        <w:t> </w:t>
      </w:r>
      <w:r>
        <w:rPr>
          <w:sz w:val="24"/>
        </w:rPr>
        <w:t>submitted.</w:t>
      </w:r>
    </w:p>
    <w:p>
      <w:pPr>
        <w:pStyle w:val="BodyText"/>
        <w:spacing w:before="10"/>
        <w:ind w:firstLine="0"/>
        <w:jc w:val="left"/>
        <w:rPr>
          <w:sz w:val="20"/>
        </w:rPr>
      </w:pPr>
    </w:p>
    <w:p>
      <w:pPr>
        <w:pStyle w:val="Heading2"/>
        <w:tabs>
          <w:tab w:pos="1352" w:val="left" w:leader="none"/>
          <w:tab w:pos="9317" w:val="left" w:leader="none"/>
        </w:tabs>
      </w:pPr>
      <w:bookmarkStart w:name="Part D Negotiated distribution services" w:id="1399"/>
      <w:bookmarkEnd w:id="1399"/>
      <w:r>
        <w:rPr>
          <w:b w:val="0"/>
        </w:rPr>
      </w:r>
      <w:bookmarkStart w:name="_bookmark566" w:id="1400"/>
      <w:bookmarkEnd w:id="1400"/>
      <w:r>
        <w:rPr>
          <w:b w:val="0"/>
        </w:rPr>
      </w:r>
      <w:r>
        <w:rPr>
          <w:shd w:fill="D9D9D9" w:color="auto" w:val="clear"/>
        </w:rPr>
        <w:t>Part D</w:t>
        <w:tab/>
        <w:t>Negotiated distribution</w:t>
      </w:r>
      <w:r>
        <w:rPr>
          <w:spacing w:val="-18"/>
          <w:shd w:fill="D9D9D9" w:color="auto" w:val="clear"/>
        </w:rPr>
        <w:t> </w:t>
      </w:r>
      <w:r>
        <w:rPr>
          <w:shd w:fill="D9D9D9" w:color="auto" w:val="clear"/>
        </w:rPr>
        <w:t>services</w:t>
        <w:tab/>
      </w:r>
    </w:p>
    <w:p>
      <w:pPr>
        <w:pStyle w:val="Heading3"/>
        <w:numPr>
          <w:ilvl w:val="1"/>
          <w:numId w:val="420"/>
        </w:numPr>
        <w:tabs>
          <w:tab w:pos="1351" w:val="left" w:leader="none"/>
          <w:tab w:pos="1353" w:val="left" w:leader="none"/>
        </w:tabs>
        <w:spacing w:line="240" w:lineRule="auto" w:before="240" w:after="0"/>
        <w:ind w:left="1352" w:right="0" w:hanging="1135"/>
        <w:jc w:val="left"/>
      </w:pPr>
      <w:bookmarkStart w:name="6.7 Negotiated distribution services" w:id="1401"/>
      <w:bookmarkEnd w:id="1401"/>
      <w:r>
        <w:rPr>
          <w:b w:val="0"/>
        </w:rPr>
      </w:r>
      <w:bookmarkStart w:name="_bookmark567" w:id="1402"/>
      <w:bookmarkEnd w:id="1402"/>
      <w:r>
        <w:rPr>
          <w:b w:val="0"/>
        </w:rPr>
      </w:r>
      <w:bookmarkStart w:name="_bookmark567" w:id="1403"/>
      <w:bookmarkEnd w:id="1403"/>
      <w:r>
        <w:rPr/>
        <w:t>Negoti</w:t>
      </w:r>
      <w:r>
        <w:rPr/>
        <w:t>ated distribution</w:t>
      </w:r>
      <w:r>
        <w:rPr>
          <w:spacing w:val="-3"/>
        </w:rPr>
        <w:t> </w:t>
      </w:r>
      <w:r>
        <w:rPr/>
        <w:t>services</w:t>
      </w:r>
    </w:p>
    <w:p>
      <w:pPr>
        <w:pStyle w:val="Heading4"/>
        <w:numPr>
          <w:ilvl w:val="2"/>
          <w:numId w:val="423"/>
        </w:numPr>
        <w:tabs>
          <w:tab w:pos="1351" w:val="left" w:leader="none"/>
          <w:tab w:pos="1352" w:val="left" w:leader="none"/>
        </w:tabs>
        <w:spacing w:line="240" w:lineRule="auto" w:before="240" w:after="0"/>
        <w:ind w:left="1351" w:right="0" w:hanging="1134"/>
        <w:jc w:val="left"/>
      </w:pPr>
      <w:bookmarkStart w:name="6.7.1 Principles relating to access to n" w:id="1404"/>
      <w:bookmarkEnd w:id="1404"/>
      <w:r>
        <w:rPr>
          <w:b w:val="0"/>
        </w:rPr>
      </w:r>
      <w:bookmarkStart w:name="_bookmark568" w:id="1405"/>
      <w:bookmarkEnd w:id="1405"/>
      <w:r>
        <w:rPr>
          <w:b w:val="0"/>
        </w:rPr>
      </w:r>
      <w:bookmarkStart w:name="_bookmark568" w:id="1406"/>
      <w:bookmarkEnd w:id="1406"/>
      <w:r>
        <w:rPr/>
        <w:t>Princip</w:t>
      </w:r>
      <w:r>
        <w:rPr/>
        <w:t>les relating to access to negotiated distribution</w:t>
      </w:r>
      <w:r>
        <w:rPr>
          <w:spacing w:val="-10"/>
        </w:rPr>
        <w:t> </w:t>
      </w:r>
      <w:r>
        <w:rPr/>
        <w:t>services</w:t>
      </w:r>
    </w:p>
    <w:p>
      <w:pPr>
        <w:spacing w:before="120"/>
        <w:ind w:left="1352" w:right="415" w:firstLine="0"/>
        <w:jc w:val="both"/>
        <w:rPr>
          <w:sz w:val="24"/>
        </w:rPr>
      </w:pPr>
      <w:r>
        <w:rPr>
          <w:sz w:val="24"/>
        </w:rPr>
        <w:t>The following principles constitute the </w:t>
      </w:r>
      <w:r>
        <w:rPr>
          <w:i/>
          <w:sz w:val="24"/>
        </w:rPr>
        <w:t>Negotiated Distribution Service </w:t>
      </w:r>
      <w:r>
        <w:rPr>
          <w:i/>
          <w:sz w:val="24"/>
        </w:rPr>
        <w:t>Principles</w:t>
      </w:r>
      <w:r>
        <w:rPr>
          <w:sz w:val="24"/>
        </w:rPr>
        <w:t>:</w:t>
      </w:r>
    </w:p>
    <w:p>
      <w:pPr>
        <w:pStyle w:val="ListParagraph"/>
        <w:numPr>
          <w:ilvl w:val="3"/>
          <w:numId w:val="423"/>
        </w:numPr>
        <w:tabs>
          <w:tab w:pos="1919" w:val="left" w:leader="none"/>
        </w:tabs>
        <w:spacing w:line="240" w:lineRule="auto" w:before="120" w:after="0"/>
        <w:ind w:left="1919" w:right="415" w:hanging="567"/>
        <w:jc w:val="both"/>
        <w:rPr>
          <w:sz w:val="24"/>
        </w:rPr>
      </w:pPr>
      <w:r>
        <w:rPr>
          <w:sz w:val="24"/>
        </w:rPr>
        <w:t>the price for a </w:t>
      </w:r>
      <w:r>
        <w:rPr>
          <w:i/>
          <w:sz w:val="24"/>
        </w:rPr>
        <w:t>negotiated distribution service </w:t>
      </w:r>
      <w:r>
        <w:rPr>
          <w:sz w:val="24"/>
        </w:rPr>
        <w:t>should be based on the costs incurred in providing that service, determined in accordance with the principles and policies set out in the </w:t>
      </w:r>
      <w:r>
        <w:rPr>
          <w:i/>
          <w:sz w:val="24"/>
        </w:rPr>
        <w:t>Cost Allocation Method </w:t>
      </w:r>
      <w:r>
        <w:rPr>
          <w:sz w:val="24"/>
        </w:rPr>
        <w:t>for the relevant </w:t>
      </w:r>
      <w:r>
        <w:rPr>
          <w:i/>
          <w:sz w:val="24"/>
        </w:rPr>
        <w:t>Distribution Network Service</w:t>
      </w:r>
      <w:r>
        <w:rPr>
          <w:i/>
          <w:spacing w:val="-2"/>
          <w:sz w:val="24"/>
        </w:rPr>
        <w:t> </w:t>
      </w:r>
      <w:r>
        <w:rPr>
          <w:i/>
          <w:sz w:val="24"/>
        </w:rPr>
        <w:t>Provider</w:t>
      </w:r>
      <w:r>
        <w:rPr>
          <w:sz w:val="24"/>
        </w:rPr>
        <w:t>;</w:t>
      </w:r>
    </w:p>
    <w:p>
      <w:pPr>
        <w:pStyle w:val="ListParagraph"/>
        <w:numPr>
          <w:ilvl w:val="3"/>
          <w:numId w:val="423"/>
        </w:numPr>
        <w:tabs>
          <w:tab w:pos="1919" w:val="left" w:leader="none"/>
        </w:tabs>
        <w:spacing w:line="240" w:lineRule="auto" w:before="120" w:after="0"/>
        <w:ind w:left="1919" w:right="416" w:hanging="567"/>
        <w:jc w:val="both"/>
        <w:rPr>
          <w:sz w:val="24"/>
        </w:rPr>
      </w:pPr>
      <w:r>
        <w:rPr>
          <w:sz w:val="24"/>
        </w:rPr>
        <w:t>subject to subparagraphs (3) and (4), the price for a </w:t>
      </w:r>
      <w:r>
        <w:rPr>
          <w:i/>
          <w:sz w:val="24"/>
        </w:rPr>
        <w:t>negotiated distribution </w:t>
      </w:r>
      <w:r>
        <w:rPr>
          <w:i/>
          <w:sz w:val="24"/>
        </w:rPr>
        <w:t>service </w:t>
      </w:r>
      <w:r>
        <w:rPr>
          <w:sz w:val="24"/>
        </w:rPr>
        <w:t>should be at least equal to the cost that would be avoided by not providing the service but no more than the cost of providing it on a stand alone</w:t>
      </w:r>
      <w:r>
        <w:rPr>
          <w:spacing w:val="-1"/>
          <w:sz w:val="24"/>
        </w:rPr>
        <w:t> </w:t>
      </w:r>
      <w:r>
        <w:rPr>
          <w:sz w:val="24"/>
        </w:rPr>
        <w:t>basis;</w:t>
      </w:r>
    </w:p>
    <w:p>
      <w:pPr>
        <w:pStyle w:val="ListParagraph"/>
        <w:numPr>
          <w:ilvl w:val="3"/>
          <w:numId w:val="423"/>
        </w:numPr>
        <w:tabs>
          <w:tab w:pos="1919" w:val="left" w:leader="none"/>
        </w:tabs>
        <w:spacing w:line="240" w:lineRule="auto" w:before="120" w:after="0"/>
        <w:ind w:left="1919" w:right="416" w:hanging="567"/>
        <w:jc w:val="both"/>
        <w:rPr>
          <w:sz w:val="24"/>
        </w:rPr>
      </w:pPr>
      <w:r>
        <w:rPr>
          <w:sz w:val="24"/>
        </w:rPr>
        <w:t>if the negotiated distribution service is the provision of a shared distribution service that exceeds the network performance requirements (if any) which that shared distribution service is required to meet under any jurisdictional electricity legislation, then the differential between the price for that service and the price for the shared distribution service which meets (but does not exceed) the network performance requirements under any jurisdictional electricity legislation should reflect the increase in the Distribution Network Service Provider’s incremental cost of providing that</w:t>
      </w:r>
      <w:r>
        <w:rPr>
          <w:spacing w:val="-6"/>
          <w:sz w:val="24"/>
        </w:rPr>
        <w:t> </w:t>
      </w:r>
      <w:r>
        <w:rPr>
          <w:sz w:val="24"/>
        </w:rPr>
        <w:t>service;</w:t>
      </w:r>
    </w:p>
    <w:p>
      <w:pPr>
        <w:pStyle w:val="ListParagraph"/>
        <w:numPr>
          <w:ilvl w:val="3"/>
          <w:numId w:val="423"/>
        </w:numPr>
        <w:tabs>
          <w:tab w:pos="1919" w:val="left" w:leader="none"/>
        </w:tabs>
        <w:spacing w:line="240" w:lineRule="auto" w:before="120" w:after="0"/>
        <w:ind w:left="1919" w:right="415" w:hanging="567"/>
        <w:jc w:val="both"/>
        <w:rPr>
          <w:sz w:val="24"/>
        </w:rPr>
      </w:pPr>
      <w:r>
        <w:rPr>
          <w:sz w:val="24"/>
        </w:rPr>
        <w:t>if the </w:t>
      </w:r>
      <w:r>
        <w:rPr>
          <w:i/>
          <w:sz w:val="24"/>
        </w:rPr>
        <w:t>negotiated distribution service </w:t>
      </w:r>
      <w:r>
        <w:rPr>
          <w:sz w:val="24"/>
        </w:rPr>
        <w:t>is the provision of a </w:t>
      </w:r>
      <w:r>
        <w:rPr>
          <w:i/>
          <w:sz w:val="24"/>
        </w:rPr>
        <w:t>shared distribution </w:t>
      </w:r>
      <w:r>
        <w:rPr>
          <w:i/>
          <w:sz w:val="24"/>
        </w:rPr>
        <w:t>service </w:t>
      </w:r>
      <w:r>
        <w:rPr>
          <w:sz w:val="24"/>
        </w:rPr>
        <w:t>that does not meet (and does not exceed) the </w:t>
      </w:r>
      <w:r>
        <w:rPr>
          <w:i/>
          <w:sz w:val="24"/>
        </w:rPr>
        <w:t>network </w:t>
      </w:r>
      <w:r>
        <w:rPr>
          <w:sz w:val="24"/>
        </w:rPr>
        <w:t>performance requirements set out in </w:t>
      </w:r>
      <w:r>
        <w:rPr>
          <w:i/>
          <w:sz w:val="24"/>
        </w:rPr>
        <w:t>jurisdictional electricity legislation</w:t>
      </w:r>
      <w:r>
        <w:rPr>
          <w:sz w:val="24"/>
        </w:rPr>
        <w:t>, the differential between the price for that service and the price for the </w:t>
      </w:r>
      <w:r>
        <w:rPr>
          <w:i/>
          <w:sz w:val="24"/>
        </w:rPr>
        <w:t>shared distribution </w:t>
      </w:r>
      <w:r>
        <w:rPr>
          <w:i/>
          <w:sz w:val="24"/>
        </w:rPr>
        <w:t>service </w:t>
      </w:r>
      <w:r>
        <w:rPr>
          <w:sz w:val="24"/>
        </w:rPr>
        <w:t>which meets (but does not exceed) the </w:t>
      </w:r>
      <w:r>
        <w:rPr>
          <w:i/>
          <w:sz w:val="24"/>
        </w:rPr>
        <w:t>network </w:t>
      </w:r>
      <w:r>
        <w:rPr>
          <w:sz w:val="24"/>
        </w:rPr>
        <w:t>performance requirements set out in schedules 5.1a and 5.1 should reflect the cost the </w:t>
      </w:r>
      <w:r>
        <w:rPr>
          <w:i/>
          <w:sz w:val="24"/>
        </w:rPr>
        <w:t>Distribution Network Service Provider </w:t>
      </w:r>
      <w:r>
        <w:rPr>
          <w:sz w:val="24"/>
        </w:rPr>
        <w:t>would avoid by not providing that service;</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performance requirements in </w:t>
      </w:r>
      <w:r>
        <w:rPr>
          <w:i/>
          <w:sz w:val="20"/>
        </w:rPr>
        <w:t>jurisdiction electricity legislation </w:t>
      </w:r>
      <w:r>
        <w:rPr>
          <w:sz w:val="20"/>
        </w:rPr>
        <w:t>will be performance requirements that correspond to matters set out in schedules 5.1a and 5.1 of the </w:t>
      </w:r>
      <w:r>
        <w:rPr>
          <w:i/>
          <w:sz w:val="20"/>
        </w:rPr>
        <w:t>Rules </w:t>
      </w:r>
      <w:r>
        <w:rPr>
          <w:sz w:val="20"/>
        </w:rPr>
        <w:t>applying in other </w:t>
      </w:r>
      <w:r>
        <w:rPr>
          <w:i/>
          <w:sz w:val="20"/>
        </w:rPr>
        <w:t>participating jurisdictions</w:t>
      </w:r>
      <w:r>
        <w:rPr>
          <w:sz w:val="20"/>
        </w:rPr>
        <w:t>.</w:t>
      </w:r>
    </w:p>
    <w:p>
      <w:pPr>
        <w:pStyle w:val="ListParagraph"/>
        <w:numPr>
          <w:ilvl w:val="3"/>
          <w:numId w:val="423"/>
        </w:numPr>
        <w:tabs>
          <w:tab w:pos="1919" w:val="left" w:leader="none"/>
        </w:tabs>
        <w:spacing w:line="240" w:lineRule="auto" w:before="120" w:after="0"/>
        <w:ind w:left="1919" w:right="416" w:hanging="567"/>
        <w:jc w:val="both"/>
        <w:rPr>
          <w:sz w:val="24"/>
        </w:rPr>
      </w:pPr>
      <w:r>
        <w:rPr>
          <w:sz w:val="24"/>
        </w:rPr>
        <w:t>the price for a </w:t>
      </w:r>
      <w:r>
        <w:rPr>
          <w:i/>
          <w:sz w:val="24"/>
        </w:rPr>
        <w:t>negotiated distribution service </w:t>
      </w:r>
      <w:r>
        <w:rPr>
          <w:sz w:val="24"/>
        </w:rPr>
        <w:t>must be the same for all </w:t>
      </w:r>
      <w:r>
        <w:rPr>
          <w:i/>
          <w:sz w:val="24"/>
        </w:rPr>
        <w:t>Distribution Network Users </w:t>
      </w:r>
      <w:r>
        <w:rPr>
          <w:sz w:val="24"/>
        </w:rPr>
        <w:t>unless there is a material difference in the costs of providing the </w:t>
      </w:r>
      <w:r>
        <w:rPr>
          <w:i/>
          <w:sz w:val="24"/>
        </w:rPr>
        <w:t>negotiated distribution service </w:t>
      </w:r>
      <w:r>
        <w:rPr>
          <w:sz w:val="24"/>
        </w:rPr>
        <w:t>to different </w:t>
      </w:r>
      <w:r>
        <w:rPr>
          <w:i/>
          <w:sz w:val="24"/>
        </w:rPr>
        <w:t>Distribution </w:t>
      </w:r>
      <w:r>
        <w:rPr>
          <w:i/>
          <w:sz w:val="24"/>
        </w:rPr>
        <w:t>Network Users </w:t>
      </w:r>
      <w:r>
        <w:rPr>
          <w:sz w:val="24"/>
        </w:rPr>
        <w:t>or classes of </w:t>
      </w:r>
      <w:r>
        <w:rPr>
          <w:i/>
          <w:sz w:val="24"/>
        </w:rPr>
        <w:t>Distribution Network</w:t>
      </w:r>
      <w:r>
        <w:rPr>
          <w:i/>
          <w:spacing w:val="-6"/>
          <w:sz w:val="24"/>
        </w:rPr>
        <w:t> </w:t>
      </w:r>
      <w:r>
        <w:rPr>
          <w:i/>
          <w:sz w:val="24"/>
        </w:rPr>
        <w:t>Users</w:t>
      </w:r>
      <w:r>
        <w:rPr>
          <w:sz w:val="24"/>
        </w:rPr>
        <w:t>;</w:t>
      </w:r>
    </w:p>
    <w:p>
      <w:pPr>
        <w:pStyle w:val="ListParagraph"/>
        <w:numPr>
          <w:ilvl w:val="3"/>
          <w:numId w:val="423"/>
        </w:numPr>
        <w:tabs>
          <w:tab w:pos="1919" w:val="left" w:leader="none"/>
        </w:tabs>
        <w:spacing w:line="240" w:lineRule="auto" w:before="120" w:after="0"/>
        <w:ind w:left="1919" w:right="414" w:hanging="567"/>
        <w:jc w:val="both"/>
        <w:rPr>
          <w:sz w:val="24"/>
        </w:rPr>
      </w:pPr>
      <w:r>
        <w:rPr>
          <w:sz w:val="24"/>
        </w:rPr>
        <w:t>the price for a </w:t>
      </w:r>
      <w:r>
        <w:rPr>
          <w:i/>
          <w:sz w:val="24"/>
        </w:rPr>
        <w:t>negotiated distribution service </w:t>
      </w:r>
      <w:r>
        <w:rPr>
          <w:sz w:val="24"/>
        </w:rPr>
        <w:t>should be subject to adjustment over time to the extent that the assets used to provide that service are subsequently used to provide services to another person, in which case the adjustment should reflect the extent to which the costs of that asset are being recovered through charges to that other</w:t>
      </w:r>
      <w:r>
        <w:rPr>
          <w:spacing w:val="-1"/>
          <w:sz w:val="24"/>
        </w:rPr>
        <w:t> </w:t>
      </w:r>
      <w:r>
        <w:rPr>
          <w:sz w:val="24"/>
        </w:rPr>
        <w:t>person;</w:t>
      </w:r>
    </w:p>
    <w:p>
      <w:pPr>
        <w:pStyle w:val="ListParagraph"/>
        <w:numPr>
          <w:ilvl w:val="3"/>
          <w:numId w:val="423"/>
        </w:numPr>
        <w:tabs>
          <w:tab w:pos="1919" w:val="left" w:leader="none"/>
        </w:tabs>
        <w:spacing w:line="240" w:lineRule="auto" w:before="120" w:after="0"/>
        <w:ind w:left="1919" w:right="416" w:hanging="567"/>
        <w:jc w:val="both"/>
        <w:rPr>
          <w:sz w:val="24"/>
        </w:rPr>
      </w:pPr>
      <w:r>
        <w:rPr>
          <w:sz w:val="24"/>
        </w:rPr>
        <w:t>the price for a </w:t>
      </w:r>
      <w:r>
        <w:rPr>
          <w:i/>
          <w:sz w:val="24"/>
        </w:rPr>
        <w:t>negotiated distribution service </w:t>
      </w:r>
      <w:r>
        <w:rPr>
          <w:sz w:val="24"/>
        </w:rPr>
        <w:t>should be such as to enable the </w:t>
      </w:r>
      <w:r>
        <w:rPr>
          <w:i/>
          <w:sz w:val="24"/>
        </w:rPr>
        <w:t>Distribution Network Service Provider </w:t>
      </w:r>
      <w:r>
        <w:rPr>
          <w:sz w:val="24"/>
        </w:rPr>
        <w:t>to recover the efficient costs of complying with all </w:t>
      </w:r>
      <w:r>
        <w:rPr>
          <w:i/>
          <w:sz w:val="24"/>
        </w:rPr>
        <w:t>regulatory obligations or requirements </w:t>
      </w:r>
      <w:r>
        <w:rPr>
          <w:sz w:val="24"/>
        </w:rPr>
        <w:t>associated with the provision of the </w:t>
      </w:r>
      <w:r>
        <w:rPr>
          <w:i/>
          <w:sz w:val="24"/>
        </w:rPr>
        <w:t>negotiated distribution</w:t>
      </w:r>
      <w:r>
        <w:rPr>
          <w:i/>
          <w:spacing w:val="-2"/>
          <w:sz w:val="24"/>
        </w:rPr>
        <w:t> </w:t>
      </w:r>
      <w:r>
        <w:rPr>
          <w:i/>
          <w:sz w:val="24"/>
        </w:rPr>
        <w:t>service</w:t>
      </w:r>
      <w:r>
        <w:rPr>
          <w:sz w:val="24"/>
        </w:rPr>
        <w:t>;</w:t>
      </w:r>
    </w:p>
    <w:p>
      <w:pPr>
        <w:pStyle w:val="ListParagraph"/>
        <w:numPr>
          <w:ilvl w:val="3"/>
          <w:numId w:val="423"/>
        </w:numPr>
        <w:tabs>
          <w:tab w:pos="1919" w:val="left" w:leader="none"/>
        </w:tabs>
        <w:spacing w:line="240" w:lineRule="auto" w:before="120" w:after="0"/>
        <w:ind w:left="1918" w:right="0" w:hanging="567"/>
        <w:jc w:val="both"/>
        <w:rPr>
          <w:sz w:val="24"/>
        </w:rPr>
      </w:pPr>
      <w:r>
        <w:rPr>
          <w:sz w:val="24"/>
        </w:rPr>
        <w:t>any </w:t>
      </w:r>
      <w:r>
        <w:rPr>
          <w:i/>
          <w:sz w:val="24"/>
        </w:rPr>
        <w:t>access charges</w:t>
      </w:r>
      <w:r>
        <w:rPr>
          <w:sz w:val="24"/>
        </w:rPr>
        <w:t>:</w:t>
      </w:r>
    </w:p>
    <w:p>
      <w:pPr>
        <w:pStyle w:val="ListParagraph"/>
        <w:numPr>
          <w:ilvl w:val="4"/>
          <w:numId w:val="423"/>
        </w:numPr>
        <w:tabs>
          <w:tab w:pos="2486" w:val="left" w:leader="none"/>
        </w:tabs>
        <w:spacing w:line="240" w:lineRule="auto" w:before="120" w:after="0"/>
        <w:ind w:left="2486" w:right="414" w:hanging="567"/>
        <w:jc w:val="both"/>
        <w:rPr>
          <w:sz w:val="24"/>
        </w:rPr>
      </w:pPr>
      <w:r>
        <w:rPr>
          <w:sz w:val="24"/>
        </w:rPr>
        <w:t>in respect of providing </w:t>
      </w:r>
      <w:r>
        <w:rPr>
          <w:i/>
          <w:sz w:val="24"/>
        </w:rPr>
        <w:t>distribution network user access </w:t>
      </w:r>
      <w:r>
        <w:rPr>
          <w:sz w:val="24"/>
        </w:rPr>
        <w:t>to </w:t>
      </w:r>
      <w:r>
        <w:rPr>
          <w:i/>
          <w:sz w:val="24"/>
        </w:rPr>
        <w:t>distribution </w:t>
      </w:r>
      <w:r>
        <w:rPr>
          <w:i/>
          <w:sz w:val="24"/>
        </w:rPr>
        <w:t>services </w:t>
      </w:r>
      <w:r>
        <w:rPr>
          <w:sz w:val="24"/>
        </w:rPr>
        <w:t>should be based on the costs reasonably incurred by the </w:t>
      </w:r>
      <w:r>
        <w:rPr>
          <w:i/>
          <w:sz w:val="24"/>
        </w:rPr>
        <w:t>Distribution Network Service Provider </w:t>
      </w:r>
      <w:r>
        <w:rPr>
          <w:sz w:val="24"/>
        </w:rPr>
        <w:t>in providing that access and, in the case of compensation referred to in clauses 5.3AA(f)(4)(ii) and (iii), on the revenue that is likely to be foregone and the costs that are likely to be incurred by a person referred to in those provisions where an event referred to in those provisions occurs;</w:t>
      </w:r>
      <w:r>
        <w:rPr>
          <w:spacing w:val="-3"/>
          <w:sz w:val="24"/>
        </w:rPr>
        <w:t> </w:t>
      </w:r>
      <w:r>
        <w:rPr>
          <w:sz w:val="24"/>
        </w:rPr>
        <w:t>and</w:t>
      </w:r>
    </w:p>
    <w:p>
      <w:pPr>
        <w:pStyle w:val="ListParagraph"/>
        <w:numPr>
          <w:ilvl w:val="4"/>
          <w:numId w:val="423"/>
        </w:numPr>
        <w:tabs>
          <w:tab w:pos="2487" w:val="left" w:leader="none"/>
        </w:tabs>
        <w:spacing w:line="240" w:lineRule="auto" w:before="120" w:after="0"/>
        <w:ind w:left="2486" w:right="414" w:hanging="567"/>
        <w:jc w:val="both"/>
        <w:rPr>
          <w:sz w:val="24"/>
        </w:rPr>
      </w:pPr>
      <w:r>
        <w:rPr>
          <w:sz w:val="24"/>
        </w:rPr>
        <w:t>for the </w:t>
      </w:r>
      <w:r>
        <w:rPr>
          <w:i/>
          <w:sz w:val="24"/>
        </w:rPr>
        <w:t>declared transmission system </w:t>
      </w:r>
      <w:r>
        <w:rPr>
          <w:sz w:val="24"/>
        </w:rPr>
        <w:t>of an </w:t>
      </w:r>
      <w:r>
        <w:rPr>
          <w:i/>
          <w:sz w:val="24"/>
        </w:rPr>
        <w:t>adoptive jurisdiction</w:t>
      </w:r>
      <w:r>
        <w:rPr>
          <w:sz w:val="24"/>
        </w:rPr>
        <w:t>, in respect of providing </w:t>
      </w:r>
      <w:r>
        <w:rPr>
          <w:i/>
          <w:sz w:val="24"/>
        </w:rPr>
        <w:t>transmission network user access </w:t>
      </w:r>
      <w:r>
        <w:rPr>
          <w:sz w:val="24"/>
        </w:rPr>
        <w:t>to </w:t>
      </w:r>
      <w:r>
        <w:rPr>
          <w:i/>
          <w:sz w:val="24"/>
        </w:rPr>
        <w:t>negotiated </w:t>
      </w:r>
      <w:r>
        <w:rPr>
          <w:i/>
          <w:sz w:val="24"/>
        </w:rPr>
        <w:t>distribution services </w:t>
      </w:r>
      <w:r>
        <w:rPr>
          <w:sz w:val="24"/>
        </w:rPr>
        <w:t>which would have been treated as</w:t>
      </w:r>
      <w:r>
        <w:rPr>
          <w:spacing w:val="33"/>
          <w:sz w:val="24"/>
        </w:rPr>
        <w:t> </w:t>
      </w:r>
      <w:r>
        <w:rPr>
          <w:i/>
          <w:sz w:val="24"/>
        </w:rPr>
        <w:t>negotiated </w:t>
      </w:r>
      <w:r>
        <w:rPr>
          <w:i/>
          <w:sz w:val="24"/>
        </w:rPr>
        <w:t>transmission services </w:t>
      </w:r>
      <w:r>
        <w:rPr>
          <w:sz w:val="24"/>
        </w:rPr>
        <w:t>were it not for the operation of clause 6.24.2(c), should be based on the costs reasonably incurred by the </w:t>
      </w:r>
      <w:r>
        <w:rPr>
          <w:i/>
          <w:sz w:val="24"/>
        </w:rPr>
        <w:t>Distribution </w:t>
      </w:r>
      <w:r>
        <w:rPr>
          <w:i/>
          <w:sz w:val="24"/>
        </w:rPr>
        <w:t>Network Service Provider </w:t>
      </w:r>
      <w:r>
        <w:rPr>
          <w:sz w:val="24"/>
        </w:rPr>
        <w:t>in providing that access and, in the case of compensation referred to in clauses 5.4A(h) - (j) (as preserved under clause 11.98.8(a)(2)), on the revenue that is likely to be foregone and the costs that are likely to be incurred by a person referred to in those provisions where an event referred to in those provisions</w:t>
      </w:r>
      <w:r>
        <w:rPr>
          <w:spacing w:val="-4"/>
          <w:sz w:val="24"/>
        </w:rPr>
        <w:t> </w:t>
      </w:r>
      <w:r>
        <w:rPr>
          <w:sz w:val="24"/>
        </w:rPr>
        <w:t>occurs;</w:t>
      </w:r>
    </w:p>
    <w:p>
      <w:pPr>
        <w:pStyle w:val="ListParagraph"/>
        <w:numPr>
          <w:ilvl w:val="3"/>
          <w:numId w:val="423"/>
        </w:numPr>
        <w:tabs>
          <w:tab w:pos="1919" w:val="left" w:leader="none"/>
        </w:tabs>
        <w:spacing w:line="240" w:lineRule="auto" w:before="120" w:after="0"/>
        <w:ind w:left="1919" w:right="415" w:hanging="567"/>
        <w:jc w:val="both"/>
        <w:rPr>
          <w:sz w:val="24"/>
        </w:rPr>
      </w:pPr>
      <w:r>
        <w:rPr>
          <w:sz w:val="24"/>
        </w:rPr>
        <w:t>the </w:t>
      </w:r>
      <w:r>
        <w:rPr>
          <w:i/>
          <w:sz w:val="24"/>
        </w:rPr>
        <w:t>terms and conditions of access </w:t>
      </w:r>
      <w:r>
        <w:rPr>
          <w:sz w:val="24"/>
        </w:rPr>
        <w:t>for a </w:t>
      </w:r>
      <w:r>
        <w:rPr>
          <w:i/>
          <w:sz w:val="24"/>
        </w:rPr>
        <w:t>negotiated distribution service </w:t>
      </w:r>
      <w:r>
        <w:rPr>
          <w:sz w:val="24"/>
        </w:rPr>
        <w:t>should be fair and reasonable and consistent with the safe and reliable operation of the </w:t>
      </w:r>
      <w:r>
        <w:rPr>
          <w:i/>
          <w:sz w:val="24"/>
        </w:rPr>
        <w:t>power system </w:t>
      </w:r>
      <w:r>
        <w:rPr>
          <w:sz w:val="24"/>
        </w:rPr>
        <w:t>in accordance with the </w:t>
      </w:r>
      <w:r>
        <w:rPr>
          <w:i/>
          <w:sz w:val="24"/>
        </w:rPr>
        <w:t>Rules </w:t>
      </w:r>
      <w:r>
        <w:rPr>
          <w:sz w:val="24"/>
        </w:rPr>
        <w:t>(for these purposes, the price for a </w:t>
      </w:r>
      <w:r>
        <w:rPr>
          <w:i/>
          <w:sz w:val="24"/>
        </w:rPr>
        <w:t>negotiated distribution service </w:t>
      </w:r>
      <w:r>
        <w:rPr>
          <w:sz w:val="24"/>
        </w:rPr>
        <w:t>is to be treated as being fair and reasonable if it complies with principles (1) to (7) of this clause);</w:t>
      </w:r>
    </w:p>
    <w:p>
      <w:pPr>
        <w:pStyle w:val="ListParagraph"/>
        <w:numPr>
          <w:ilvl w:val="3"/>
          <w:numId w:val="423"/>
        </w:numPr>
        <w:tabs>
          <w:tab w:pos="1919" w:val="left" w:leader="none"/>
        </w:tabs>
        <w:spacing w:line="240" w:lineRule="auto" w:before="120" w:after="0"/>
        <w:ind w:left="1919" w:right="414" w:hanging="567"/>
        <w:jc w:val="both"/>
        <w:rPr>
          <w:sz w:val="24"/>
        </w:rPr>
      </w:pPr>
      <w:r>
        <w:rPr>
          <w:sz w:val="24"/>
        </w:rPr>
        <w:t>the </w:t>
      </w:r>
      <w:r>
        <w:rPr>
          <w:i/>
          <w:sz w:val="24"/>
        </w:rPr>
        <w:t>terms and conditions of access </w:t>
      </w:r>
      <w:r>
        <w:rPr>
          <w:sz w:val="24"/>
        </w:rPr>
        <w:t>for a </w:t>
      </w:r>
      <w:r>
        <w:rPr>
          <w:i/>
          <w:sz w:val="24"/>
        </w:rPr>
        <w:t>negotiated distribution service </w:t>
      </w:r>
      <w:r>
        <w:rPr>
          <w:sz w:val="24"/>
        </w:rPr>
        <w:t>(including, in particular, any exclusions and limitations of liability and indemnities) must not be unreasonably onerous taking into account the allocation of risk between the </w:t>
      </w:r>
      <w:r>
        <w:rPr>
          <w:i/>
          <w:sz w:val="24"/>
        </w:rPr>
        <w:t>Distribution Network Service Provider </w:t>
      </w:r>
      <w:r>
        <w:rPr>
          <w:sz w:val="24"/>
        </w:rPr>
        <w:t>and the other party, the price for the </w:t>
      </w:r>
      <w:r>
        <w:rPr>
          <w:i/>
          <w:sz w:val="24"/>
        </w:rPr>
        <w:t>negotiated distribution service </w:t>
      </w:r>
      <w:r>
        <w:rPr>
          <w:sz w:val="24"/>
        </w:rPr>
        <w:t>and the</w:t>
      </w:r>
      <w:r>
        <w:rPr>
          <w:spacing w:val="10"/>
          <w:sz w:val="24"/>
        </w:rPr>
        <w:t> </w:t>
      </w:r>
      <w:r>
        <w:rPr>
          <w:sz w:val="24"/>
        </w:rPr>
        <w:t>costs</w:t>
      </w:r>
    </w:p>
    <w:p>
      <w:pPr>
        <w:spacing w:after="0" w:line="240" w:lineRule="auto"/>
        <w:jc w:val="both"/>
        <w:rPr>
          <w:sz w:val="24"/>
        </w:rPr>
        <w:sectPr>
          <w:pgSz w:w="11910" w:h="16840"/>
          <w:pgMar w:header="686" w:footer="637" w:top="1320" w:bottom="820" w:left="1200" w:right="1000"/>
        </w:sectPr>
      </w:pPr>
    </w:p>
    <w:p>
      <w:pPr>
        <w:spacing w:before="83"/>
        <w:ind w:left="1919" w:right="417" w:firstLine="0"/>
        <w:jc w:val="both"/>
        <w:rPr>
          <w:sz w:val="24"/>
        </w:rPr>
      </w:pPr>
      <w:r>
        <w:rPr>
          <w:sz w:val="24"/>
        </w:rPr>
        <w:t>to the </w:t>
      </w:r>
      <w:r>
        <w:rPr>
          <w:i/>
          <w:sz w:val="24"/>
        </w:rPr>
        <w:t>Distribution Network Service Provider </w:t>
      </w:r>
      <w:r>
        <w:rPr>
          <w:sz w:val="24"/>
        </w:rPr>
        <w:t>of providing the </w:t>
      </w:r>
      <w:r>
        <w:rPr>
          <w:i/>
          <w:sz w:val="24"/>
        </w:rPr>
        <w:t>negotiated </w:t>
      </w:r>
      <w:r>
        <w:rPr>
          <w:i/>
          <w:sz w:val="24"/>
        </w:rPr>
        <w:t>distribution service</w:t>
      </w:r>
      <w:r>
        <w:rPr>
          <w:sz w:val="24"/>
        </w:rPr>
        <w:t>;</w:t>
      </w:r>
    </w:p>
    <w:p>
      <w:pPr>
        <w:pStyle w:val="ListParagraph"/>
        <w:numPr>
          <w:ilvl w:val="3"/>
          <w:numId w:val="423"/>
        </w:numPr>
        <w:tabs>
          <w:tab w:pos="1919" w:val="left" w:leader="none"/>
        </w:tabs>
        <w:spacing w:line="240" w:lineRule="auto" w:before="120" w:after="0"/>
        <w:ind w:left="1919" w:right="415" w:hanging="567"/>
        <w:jc w:val="both"/>
        <w:rPr>
          <w:sz w:val="24"/>
        </w:rPr>
      </w:pPr>
      <w:r>
        <w:rPr>
          <w:sz w:val="24"/>
        </w:rPr>
        <w:t>the </w:t>
      </w:r>
      <w:r>
        <w:rPr>
          <w:i/>
          <w:sz w:val="24"/>
        </w:rPr>
        <w:t>terms and conditions of access </w:t>
      </w:r>
      <w:r>
        <w:rPr>
          <w:sz w:val="24"/>
        </w:rPr>
        <w:t>for a </w:t>
      </w:r>
      <w:r>
        <w:rPr>
          <w:i/>
          <w:sz w:val="24"/>
        </w:rPr>
        <w:t>negotiated distribution service </w:t>
      </w:r>
      <w:r>
        <w:rPr>
          <w:sz w:val="24"/>
        </w:rPr>
        <w:t>should take into account the need for the service to be provided in a manner that does not adversely affect the safe and reliable operation of the </w:t>
      </w:r>
      <w:r>
        <w:rPr>
          <w:i/>
          <w:sz w:val="24"/>
        </w:rPr>
        <w:t>power </w:t>
      </w:r>
      <w:r>
        <w:rPr>
          <w:i/>
          <w:sz w:val="24"/>
        </w:rPr>
        <w:t>system </w:t>
      </w:r>
      <w:r>
        <w:rPr>
          <w:sz w:val="24"/>
        </w:rPr>
        <w:t>in accordance with the</w:t>
      </w:r>
      <w:r>
        <w:rPr>
          <w:spacing w:val="-4"/>
          <w:sz w:val="24"/>
        </w:rPr>
        <w:t> </w:t>
      </w:r>
      <w:r>
        <w:rPr>
          <w:i/>
          <w:sz w:val="24"/>
        </w:rPr>
        <w:t>Rules</w:t>
      </w:r>
      <w:r>
        <w:rPr>
          <w:sz w:val="24"/>
        </w:rPr>
        <w:t>.</w:t>
      </w:r>
    </w:p>
    <w:p>
      <w:pPr>
        <w:pStyle w:val="ListParagraph"/>
        <w:numPr>
          <w:ilvl w:val="3"/>
          <w:numId w:val="423"/>
        </w:numPr>
        <w:tabs>
          <w:tab w:pos="1919" w:val="left" w:leader="none"/>
        </w:tabs>
        <w:spacing w:line="240" w:lineRule="auto" w:before="120" w:after="0"/>
        <w:ind w:left="1918" w:right="0" w:hanging="567"/>
        <w:jc w:val="both"/>
        <w:rPr>
          <w:sz w:val="24"/>
        </w:rPr>
      </w:pPr>
      <w:r>
        <w:rPr>
          <w:sz w:val="24"/>
        </w:rPr>
        <w:t>in relation to </w:t>
      </w:r>
      <w:r>
        <w:rPr>
          <w:i/>
          <w:sz w:val="24"/>
        </w:rPr>
        <w:t>negotiated transmission services </w:t>
      </w:r>
      <w:r>
        <w:rPr>
          <w:sz w:val="24"/>
        </w:rPr>
        <w:t>that are taken to</w:t>
      </w:r>
      <w:r>
        <w:rPr>
          <w:spacing w:val="27"/>
          <w:sz w:val="24"/>
        </w:rPr>
        <w:t> </w:t>
      </w:r>
      <w:r>
        <w:rPr>
          <w:sz w:val="24"/>
        </w:rPr>
        <w:t>be</w:t>
      </w:r>
    </w:p>
    <w:p>
      <w:pPr>
        <w:spacing w:before="0"/>
        <w:ind w:left="1919" w:right="0" w:firstLine="0"/>
        <w:jc w:val="both"/>
        <w:rPr>
          <w:sz w:val="24"/>
        </w:rPr>
      </w:pPr>
      <w:r>
        <w:rPr>
          <w:i/>
          <w:sz w:val="24"/>
        </w:rPr>
        <w:t>negotiated distribution services</w:t>
      </w:r>
      <w:r>
        <w:rPr>
          <w:sz w:val="24"/>
        </w:rPr>
        <w:t>, principles (11), (12) and (13) in schedule</w:t>
      </w:r>
    </w:p>
    <w:p>
      <w:pPr>
        <w:pStyle w:val="BodyText"/>
        <w:spacing w:before="0"/>
        <w:ind w:left="1919" w:firstLine="0"/>
      </w:pPr>
      <w:r>
        <w:rPr/>
        <w:t>5.11 that apply for the purposes of this Chapter.</w:t>
      </w:r>
    </w:p>
    <w:p>
      <w:pPr>
        <w:pStyle w:val="BodyText"/>
        <w:spacing w:before="10"/>
        <w:ind w:firstLine="0"/>
        <w:jc w:val="left"/>
        <w:rPr>
          <w:sz w:val="20"/>
        </w:rPr>
      </w:pPr>
    </w:p>
    <w:p>
      <w:pPr>
        <w:pStyle w:val="Heading4"/>
        <w:numPr>
          <w:ilvl w:val="2"/>
          <w:numId w:val="424"/>
        </w:numPr>
        <w:tabs>
          <w:tab w:pos="1351" w:val="left" w:leader="none"/>
          <w:tab w:pos="1352" w:val="left" w:leader="none"/>
        </w:tabs>
        <w:spacing w:line="240" w:lineRule="auto" w:before="0" w:after="0"/>
        <w:ind w:left="1352" w:right="1125" w:hanging="1134"/>
        <w:jc w:val="left"/>
      </w:pPr>
      <w:bookmarkStart w:name="6.7.2 Determination of terms and conditi" w:id="1407"/>
      <w:bookmarkEnd w:id="1407"/>
      <w:r>
        <w:rPr>
          <w:b w:val="0"/>
        </w:rPr>
      </w:r>
      <w:bookmarkStart w:name="_bookmark569" w:id="1408"/>
      <w:bookmarkEnd w:id="1408"/>
      <w:r>
        <w:rPr>
          <w:b w:val="0"/>
        </w:rPr>
      </w:r>
      <w:bookmarkStart w:name="_bookmark569" w:id="1409"/>
      <w:bookmarkEnd w:id="1409"/>
      <w:r>
        <w:rPr/>
        <w:t>Dete</w:t>
      </w:r>
      <w:r>
        <w:rPr/>
        <w:t>rmination of terms and conditions of access for negotiated distribution</w:t>
      </w:r>
      <w:r>
        <w:rPr>
          <w:spacing w:val="-1"/>
        </w:rPr>
        <w:t> </w:t>
      </w:r>
      <w:r>
        <w:rPr/>
        <w:t>services</w:t>
      </w:r>
    </w:p>
    <w:p>
      <w:pPr>
        <w:pStyle w:val="ListParagraph"/>
        <w:numPr>
          <w:ilvl w:val="3"/>
          <w:numId w:val="424"/>
        </w:numPr>
        <w:tabs>
          <w:tab w:pos="1918" w:val="left" w:leader="none"/>
          <w:tab w:pos="1919" w:val="left" w:leader="none"/>
        </w:tabs>
        <w:spacing w:line="240" w:lineRule="auto" w:before="120" w:after="0"/>
        <w:ind w:left="1918" w:right="0" w:hanging="567"/>
        <w:jc w:val="left"/>
        <w:rPr>
          <w:sz w:val="24"/>
        </w:rPr>
      </w:pPr>
      <w:r>
        <w:rPr>
          <w:sz w:val="24"/>
        </w:rPr>
        <w:t>A </w:t>
      </w:r>
      <w:r>
        <w:rPr>
          <w:i/>
          <w:sz w:val="24"/>
        </w:rPr>
        <w:t>Distribution Network Service Provider </w:t>
      </w:r>
      <w:r>
        <w:rPr>
          <w:sz w:val="24"/>
        </w:rPr>
        <w:t>must comply</w:t>
      </w:r>
      <w:r>
        <w:rPr>
          <w:spacing w:val="-3"/>
          <w:sz w:val="24"/>
        </w:rPr>
        <w:t> </w:t>
      </w:r>
      <w:r>
        <w:rPr>
          <w:sz w:val="24"/>
        </w:rPr>
        <w:t>with:</w:t>
      </w:r>
    </w:p>
    <w:p>
      <w:pPr>
        <w:pStyle w:val="ListParagraph"/>
        <w:numPr>
          <w:ilvl w:val="4"/>
          <w:numId w:val="424"/>
        </w:numPr>
        <w:tabs>
          <w:tab w:pos="2485" w:val="left" w:leader="none"/>
          <w:tab w:pos="2486" w:val="left" w:leader="none"/>
        </w:tabs>
        <w:spacing w:line="240" w:lineRule="auto" w:before="120" w:after="0"/>
        <w:ind w:left="2485" w:right="0" w:hanging="567"/>
        <w:jc w:val="left"/>
        <w:rPr>
          <w:sz w:val="24"/>
        </w:rPr>
      </w:pPr>
      <w:r>
        <w:rPr>
          <w:sz w:val="24"/>
        </w:rPr>
        <w:t>the provider's </w:t>
      </w:r>
      <w:r>
        <w:rPr>
          <w:i/>
          <w:sz w:val="24"/>
        </w:rPr>
        <w:t>negotiating framework</w:t>
      </w:r>
      <w:r>
        <w:rPr>
          <w:sz w:val="24"/>
        </w:rPr>
        <w:t>;</w:t>
      </w:r>
      <w:r>
        <w:rPr>
          <w:spacing w:val="-1"/>
          <w:sz w:val="24"/>
        </w:rPr>
        <w:t> </w:t>
      </w:r>
      <w:r>
        <w:rPr>
          <w:sz w:val="24"/>
        </w:rPr>
        <w:t>and</w:t>
      </w:r>
    </w:p>
    <w:p>
      <w:pPr>
        <w:pStyle w:val="ListParagraph"/>
        <w:numPr>
          <w:ilvl w:val="4"/>
          <w:numId w:val="424"/>
        </w:numPr>
        <w:tabs>
          <w:tab w:pos="2485" w:val="left" w:leader="none"/>
          <w:tab w:pos="2486" w:val="left" w:leader="none"/>
        </w:tabs>
        <w:spacing w:line="240" w:lineRule="auto" w:before="120" w:after="0"/>
        <w:ind w:left="2485" w:right="0" w:hanging="567"/>
        <w:jc w:val="left"/>
        <w:rPr>
          <w:sz w:val="24"/>
        </w:rPr>
      </w:pPr>
      <w:r>
        <w:rPr>
          <w:sz w:val="24"/>
        </w:rPr>
        <w:t>the provider's </w:t>
      </w:r>
      <w:r>
        <w:rPr>
          <w:i/>
          <w:sz w:val="24"/>
        </w:rPr>
        <w:t>Negotiated Distribution Service</w:t>
      </w:r>
      <w:r>
        <w:rPr>
          <w:i/>
          <w:spacing w:val="-4"/>
          <w:sz w:val="24"/>
        </w:rPr>
        <w:t> </w:t>
      </w:r>
      <w:r>
        <w:rPr>
          <w:i/>
          <w:sz w:val="24"/>
        </w:rPr>
        <w:t>Criteria</w:t>
      </w:r>
      <w:r>
        <w:rPr>
          <w:sz w:val="24"/>
        </w:rPr>
        <w:t>,</w:t>
      </w:r>
    </w:p>
    <w:p>
      <w:pPr>
        <w:spacing w:before="120"/>
        <w:ind w:left="1919" w:right="0" w:firstLine="0"/>
        <w:jc w:val="left"/>
        <w:rPr>
          <w:sz w:val="24"/>
        </w:rPr>
      </w:pPr>
      <w:r>
        <w:rPr>
          <w:sz w:val="24"/>
        </w:rPr>
        <w:t>when the provider is negotiating the </w:t>
      </w:r>
      <w:r>
        <w:rPr>
          <w:i/>
          <w:sz w:val="24"/>
        </w:rPr>
        <w:t>terms and conditions of access </w:t>
      </w:r>
      <w:r>
        <w:rPr>
          <w:sz w:val="24"/>
        </w:rPr>
        <w:t>to</w:t>
      </w:r>
    </w:p>
    <w:p>
      <w:pPr>
        <w:spacing w:before="0"/>
        <w:ind w:left="1919" w:right="0" w:firstLine="0"/>
        <w:jc w:val="left"/>
        <w:rPr>
          <w:sz w:val="24"/>
        </w:rPr>
      </w:pPr>
      <w:r>
        <w:rPr>
          <w:i/>
          <w:sz w:val="24"/>
        </w:rPr>
        <w:t>negotiated distribution services</w:t>
      </w:r>
      <w:r>
        <w:rPr>
          <w:sz w:val="24"/>
        </w:rPr>
        <w:t>.</w:t>
      </w:r>
    </w:p>
    <w:p>
      <w:pPr>
        <w:pStyle w:val="ListParagraph"/>
        <w:numPr>
          <w:ilvl w:val="3"/>
          <w:numId w:val="424"/>
        </w:numPr>
        <w:tabs>
          <w:tab w:pos="1918" w:val="left" w:leader="none"/>
          <w:tab w:pos="1919" w:val="left" w:leader="none"/>
        </w:tabs>
        <w:spacing w:line="240" w:lineRule="auto" w:before="120" w:after="0"/>
        <w:ind w:left="1919" w:right="416" w:hanging="567"/>
        <w:jc w:val="left"/>
        <w:rPr>
          <w:sz w:val="24"/>
        </w:rPr>
      </w:pPr>
      <w:r>
        <w:rPr>
          <w:sz w:val="24"/>
        </w:rPr>
        <w:t>The </w:t>
      </w:r>
      <w:r>
        <w:rPr>
          <w:i/>
          <w:sz w:val="24"/>
        </w:rPr>
        <w:t>Distribution Network Service Provider </w:t>
      </w:r>
      <w:r>
        <w:rPr>
          <w:sz w:val="24"/>
        </w:rPr>
        <w:t>must also comply with any other applicable requirements of the </w:t>
      </w:r>
      <w:r>
        <w:rPr>
          <w:i/>
          <w:sz w:val="24"/>
        </w:rPr>
        <w:t>Rules</w:t>
      </w:r>
      <w:r>
        <w:rPr>
          <w:sz w:val="24"/>
        </w:rPr>
        <w:t>, including the requirements</w:t>
      </w:r>
      <w:r>
        <w:rPr>
          <w:spacing w:val="-3"/>
          <w:sz w:val="24"/>
        </w:rPr>
        <w:t> </w:t>
      </w:r>
      <w:r>
        <w:rPr>
          <w:sz w:val="24"/>
        </w:rPr>
        <w:t>of:</w:t>
      </w:r>
    </w:p>
    <w:p>
      <w:pPr>
        <w:pStyle w:val="ListParagraph"/>
        <w:numPr>
          <w:ilvl w:val="4"/>
          <w:numId w:val="424"/>
        </w:numPr>
        <w:tabs>
          <w:tab w:pos="2486" w:val="left" w:leader="none"/>
        </w:tabs>
        <w:spacing w:line="240" w:lineRule="auto" w:before="120" w:after="0"/>
        <w:ind w:left="2486" w:right="414" w:hanging="567"/>
        <w:jc w:val="both"/>
        <w:rPr>
          <w:sz w:val="24"/>
        </w:rPr>
      </w:pPr>
      <w:r>
        <w:rPr>
          <w:sz w:val="24"/>
        </w:rPr>
        <w:t>rules 5.3, 5.3A and 5.3AA, when negotiating for the provision of </w:t>
      </w:r>
      <w:r>
        <w:rPr>
          <w:i/>
          <w:sz w:val="24"/>
        </w:rPr>
        <w:t>connection services </w:t>
      </w:r>
      <w:r>
        <w:rPr>
          <w:sz w:val="24"/>
        </w:rPr>
        <w:t>and the associated </w:t>
      </w:r>
      <w:r>
        <w:rPr>
          <w:i/>
          <w:sz w:val="24"/>
        </w:rPr>
        <w:t>connection service </w:t>
      </w:r>
      <w:r>
        <w:rPr>
          <w:sz w:val="24"/>
        </w:rPr>
        <w:t>charges in respect of the provision of </w:t>
      </w:r>
      <w:r>
        <w:rPr>
          <w:i/>
          <w:sz w:val="24"/>
        </w:rPr>
        <w:t>negotiated distribution</w:t>
      </w:r>
      <w:r>
        <w:rPr>
          <w:i/>
          <w:spacing w:val="-3"/>
          <w:sz w:val="24"/>
        </w:rPr>
        <w:t> </w:t>
      </w:r>
      <w:r>
        <w:rPr>
          <w:i/>
          <w:sz w:val="24"/>
        </w:rPr>
        <w:t>services</w:t>
      </w:r>
      <w:r>
        <w:rPr>
          <w:sz w:val="24"/>
        </w:rPr>
        <w:t>;</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rules 5.3 and 5.3A, when negotiating for the provision of </w:t>
      </w:r>
      <w:r>
        <w:rPr>
          <w:i/>
          <w:sz w:val="24"/>
        </w:rPr>
        <w:t>connection </w:t>
      </w:r>
      <w:r>
        <w:rPr>
          <w:sz w:val="24"/>
        </w:rPr>
        <w:t>services and the associated </w:t>
      </w:r>
      <w:r>
        <w:rPr>
          <w:i/>
          <w:sz w:val="24"/>
        </w:rPr>
        <w:t>connection service </w:t>
      </w:r>
      <w:r>
        <w:rPr>
          <w:sz w:val="24"/>
        </w:rPr>
        <w:t>charges in respect of the provision of </w:t>
      </w:r>
      <w:r>
        <w:rPr>
          <w:i/>
          <w:sz w:val="24"/>
        </w:rPr>
        <w:t>negotiated transmission services </w:t>
      </w:r>
      <w:r>
        <w:rPr>
          <w:sz w:val="24"/>
        </w:rPr>
        <w:t>that are taken to be </w:t>
      </w:r>
      <w:r>
        <w:rPr>
          <w:i/>
          <w:sz w:val="24"/>
        </w:rPr>
        <w:t>negotiated distribution</w:t>
      </w:r>
      <w:r>
        <w:rPr>
          <w:i/>
          <w:spacing w:val="-1"/>
          <w:sz w:val="24"/>
        </w:rPr>
        <w:t> </w:t>
      </w:r>
      <w:r>
        <w:rPr>
          <w:i/>
          <w:sz w:val="24"/>
        </w:rPr>
        <w:t>services</w:t>
      </w:r>
      <w:r>
        <w:rPr>
          <w:sz w:val="24"/>
        </w:rPr>
        <w:t>;</w:t>
      </w:r>
    </w:p>
    <w:p>
      <w:pPr>
        <w:pStyle w:val="ListParagraph"/>
        <w:numPr>
          <w:ilvl w:val="4"/>
          <w:numId w:val="424"/>
        </w:numPr>
        <w:tabs>
          <w:tab w:pos="2486" w:val="left" w:leader="none"/>
        </w:tabs>
        <w:spacing w:line="240" w:lineRule="auto" w:before="120" w:after="0"/>
        <w:ind w:left="2486" w:right="418" w:hanging="567"/>
        <w:jc w:val="both"/>
        <w:rPr>
          <w:sz w:val="24"/>
        </w:rPr>
      </w:pPr>
      <w:r>
        <w:rPr>
          <w:sz w:val="24"/>
        </w:rPr>
        <w:t>rule 5.3AA, when negotiating the </w:t>
      </w:r>
      <w:r>
        <w:rPr>
          <w:i/>
          <w:sz w:val="24"/>
        </w:rPr>
        <w:t>use of system services charges </w:t>
      </w:r>
      <w:r>
        <w:rPr>
          <w:sz w:val="24"/>
        </w:rPr>
        <w:t>and </w:t>
      </w:r>
      <w:r>
        <w:rPr>
          <w:i/>
          <w:sz w:val="24"/>
        </w:rPr>
        <w:t>access charges </w:t>
      </w:r>
      <w:r>
        <w:rPr>
          <w:sz w:val="24"/>
        </w:rPr>
        <w:t>to be paid to or by a </w:t>
      </w:r>
      <w:r>
        <w:rPr>
          <w:i/>
          <w:sz w:val="24"/>
        </w:rPr>
        <w:t>Distribution Network User </w:t>
      </w:r>
      <w:r>
        <w:rPr>
          <w:sz w:val="24"/>
        </w:rPr>
        <w:t>in respect of the provision of </w:t>
      </w:r>
      <w:r>
        <w:rPr>
          <w:i/>
          <w:sz w:val="24"/>
        </w:rPr>
        <w:t>negotiated distribution services</w:t>
      </w:r>
      <w:r>
        <w:rPr>
          <w:sz w:val="24"/>
        </w:rPr>
        <w:t>;</w:t>
      </w:r>
      <w:r>
        <w:rPr>
          <w:spacing w:val="-4"/>
          <w:sz w:val="24"/>
        </w:rPr>
        <w:t> </w:t>
      </w:r>
      <w:r>
        <w:rPr>
          <w:sz w:val="24"/>
        </w:rPr>
        <w:t>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for the </w:t>
      </w:r>
      <w:r>
        <w:rPr>
          <w:i/>
          <w:sz w:val="24"/>
        </w:rPr>
        <w:t>declared transmission system </w:t>
      </w:r>
      <w:r>
        <w:rPr>
          <w:sz w:val="24"/>
        </w:rPr>
        <w:t>of an </w:t>
      </w:r>
      <w:r>
        <w:rPr>
          <w:i/>
          <w:sz w:val="24"/>
        </w:rPr>
        <w:t>adoptive jurisdiction</w:t>
      </w:r>
      <w:r>
        <w:rPr>
          <w:sz w:val="24"/>
        </w:rPr>
        <w:t>, rule 5.4A (as preserved under clause 11.98.8(a)(2)), when negotiating </w:t>
      </w:r>
      <w:r>
        <w:rPr>
          <w:spacing w:val="-4"/>
          <w:sz w:val="24"/>
        </w:rPr>
        <w:t>the </w:t>
      </w:r>
      <w:r>
        <w:rPr>
          <w:i/>
          <w:sz w:val="24"/>
        </w:rPr>
        <w:t>use of system services charges </w:t>
      </w:r>
      <w:r>
        <w:rPr>
          <w:sz w:val="24"/>
        </w:rPr>
        <w:t>and </w:t>
      </w:r>
      <w:r>
        <w:rPr>
          <w:i/>
          <w:sz w:val="24"/>
        </w:rPr>
        <w:t>access charges </w:t>
      </w:r>
      <w:r>
        <w:rPr>
          <w:sz w:val="24"/>
        </w:rPr>
        <w:t>to be paid to or by a </w:t>
      </w:r>
      <w:r>
        <w:rPr>
          <w:i/>
          <w:sz w:val="24"/>
        </w:rPr>
        <w:t>Distribution Network User </w:t>
      </w:r>
      <w:r>
        <w:rPr>
          <w:sz w:val="24"/>
        </w:rPr>
        <w:t>in respect of the provision of </w:t>
      </w:r>
      <w:r>
        <w:rPr>
          <w:i/>
          <w:sz w:val="24"/>
        </w:rPr>
        <w:t>negotiated </w:t>
      </w:r>
      <w:r>
        <w:rPr>
          <w:i/>
          <w:sz w:val="24"/>
        </w:rPr>
        <w:t>distribution services </w:t>
      </w:r>
      <w:r>
        <w:rPr>
          <w:sz w:val="24"/>
        </w:rPr>
        <w:t>which would have been treated as</w:t>
      </w:r>
      <w:r>
        <w:rPr>
          <w:spacing w:val="33"/>
          <w:sz w:val="24"/>
        </w:rPr>
        <w:t> </w:t>
      </w:r>
      <w:r>
        <w:rPr>
          <w:i/>
          <w:sz w:val="24"/>
        </w:rPr>
        <w:t>negotiated </w:t>
      </w:r>
      <w:r>
        <w:rPr>
          <w:i/>
          <w:sz w:val="24"/>
        </w:rPr>
        <w:t>transmission services </w:t>
      </w:r>
      <w:r>
        <w:rPr>
          <w:sz w:val="24"/>
        </w:rPr>
        <w:t>were it not for the operation of clause</w:t>
      </w:r>
      <w:r>
        <w:rPr>
          <w:spacing w:val="-8"/>
          <w:sz w:val="24"/>
        </w:rPr>
        <w:t> </w:t>
      </w:r>
      <w:r>
        <w:rPr>
          <w:sz w:val="24"/>
        </w:rPr>
        <w:t>6.24.2(c).</w:t>
      </w:r>
    </w:p>
    <w:p>
      <w:pPr>
        <w:pStyle w:val="BodyText"/>
        <w:spacing w:before="10"/>
        <w:ind w:firstLine="0"/>
        <w:jc w:val="left"/>
        <w:rPr>
          <w:sz w:val="20"/>
        </w:rPr>
      </w:pPr>
    </w:p>
    <w:p>
      <w:pPr>
        <w:pStyle w:val="Heading4"/>
        <w:numPr>
          <w:ilvl w:val="2"/>
          <w:numId w:val="424"/>
        </w:numPr>
        <w:tabs>
          <w:tab w:pos="1351" w:val="left" w:leader="none"/>
          <w:tab w:pos="1352" w:val="left" w:leader="none"/>
        </w:tabs>
        <w:spacing w:line="240" w:lineRule="auto" w:before="0" w:after="0"/>
        <w:ind w:left="1351" w:right="0" w:hanging="1134"/>
        <w:jc w:val="left"/>
      </w:pPr>
      <w:bookmarkStart w:name="6.7.3 Negotiating framework determinatio" w:id="1410"/>
      <w:bookmarkEnd w:id="1410"/>
      <w:r>
        <w:rPr>
          <w:b w:val="0"/>
        </w:rPr>
      </w:r>
      <w:bookmarkStart w:name="_bookmark570" w:id="1411"/>
      <w:bookmarkEnd w:id="1411"/>
      <w:r>
        <w:rPr>
          <w:b w:val="0"/>
        </w:rPr>
      </w:r>
      <w:bookmarkStart w:name="_bookmark570" w:id="1412"/>
      <w:bookmarkEnd w:id="1412"/>
      <w:r>
        <w:rPr/>
        <w:t>Negotiatin</w:t>
      </w:r>
      <w:r>
        <w:rPr/>
        <w:t>g framework</w:t>
      </w:r>
      <w:r>
        <w:rPr>
          <w:spacing w:val="-3"/>
        </w:rPr>
        <w:t> </w:t>
      </w:r>
      <w:r>
        <w:rPr/>
        <w:t>determination</w:t>
      </w:r>
    </w:p>
    <w:p>
      <w:pPr>
        <w:spacing w:before="120"/>
        <w:ind w:left="1352" w:right="415" w:firstLine="0"/>
        <w:jc w:val="both"/>
        <w:rPr>
          <w:sz w:val="24"/>
        </w:rPr>
      </w:pPr>
      <w:r>
        <w:rPr>
          <w:sz w:val="24"/>
        </w:rPr>
        <w:t>The determination specifying requirements relating to the </w:t>
      </w:r>
      <w:r>
        <w:rPr>
          <w:i/>
          <w:sz w:val="24"/>
        </w:rPr>
        <w:t>negotiating framework </w:t>
      </w:r>
      <w:r>
        <w:rPr>
          <w:sz w:val="24"/>
        </w:rPr>
        <w:t>forming part of a distribution determination for a </w:t>
      </w:r>
      <w:r>
        <w:rPr>
          <w:i/>
          <w:sz w:val="24"/>
        </w:rPr>
        <w:t>Distribution Network Service </w:t>
      </w:r>
      <w:r>
        <w:rPr>
          <w:i/>
          <w:sz w:val="24"/>
        </w:rPr>
        <w:t>Provider </w:t>
      </w:r>
      <w:r>
        <w:rPr>
          <w:sz w:val="24"/>
        </w:rPr>
        <w:t>is to set out requirements that are to be complied with in respect of the preparation, replacement, application or operation of its </w:t>
      </w:r>
      <w:r>
        <w:rPr>
          <w:i/>
          <w:sz w:val="24"/>
        </w:rPr>
        <w:t>negotiating framework</w:t>
      </w:r>
      <w:r>
        <w:rPr>
          <w:sz w:val="24"/>
        </w:rPr>
        <w:t>.</w:t>
      </w:r>
    </w:p>
    <w:p>
      <w:pPr>
        <w:pStyle w:val="BodyText"/>
        <w:spacing w:before="10"/>
        <w:ind w:firstLine="0"/>
        <w:jc w:val="left"/>
        <w:rPr>
          <w:sz w:val="20"/>
        </w:rPr>
      </w:pPr>
    </w:p>
    <w:p>
      <w:pPr>
        <w:pStyle w:val="Heading4"/>
        <w:numPr>
          <w:ilvl w:val="2"/>
          <w:numId w:val="424"/>
        </w:numPr>
        <w:tabs>
          <w:tab w:pos="1351" w:val="left" w:leader="none"/>
          <w:tab w:pos="1352" w:val="left" w:leader="none"/>
        </w:tabs>
        <w:spacing w:line="240" w:lineRule="auto" w:before="0" w:after="0"/>
        <w:ind w:left="1351" w:right="0" w:hanging="1134"/>
        <w:jc w:val="left"/>
      </w:pPr>
      <w:bookmarkStart w:name="6.7.4 Negotiated Distribution Service Cr" w:id="1413"/>
      <w:bookmarkEnd w:id="1413"/>
      <w:r>
        <w:rPr>
          <w:b w:val="0"/>
        </w:rPr>
      </w:r>
      <w:bookmarkStart w:name="_bookmark571" w:id="1414"/>
      <w:bookmarkEnd w:id="1414"/>
      <w:r>
        <w:rPr>
          <w:b w:val="0"/>
        </w:rPr>
      </w:r>
      <w:bookmarkStart w:name="_bookmark571" w:id="1415"/>
      <w:bookmarkEnd w:id="1415"/>
      <w:r>
        <w:rPr/>
        <w:t>Negotiate</w:t>
      </w:r>
      <w:r>
        <w:rPr/>
        <w:t>d Distribution Service Criteria</w:t>
      </w:r>
      <w:r>
        <w:rPr>
          <w:spacing w:val="-5"/>
        </w:rPr>
        <w:t> </w:t>
      </w:r>
      <w:r>
        <w:rPr/>
        <w:t>determination</w:t>
      </w:r>
    </w:p>
    <w:p>
      <w:pPr>
        <w:pStyle w:val="ListParagraph"/>
        <w:numPr>
          <w:ilvl w:val="3"/>
          <w:numId w:val="424"/>
        </w:numPr>
        <w:tabs>
          <w:tab w:pos="1918" w:val="left" w:leader="none"/>
          <w:tab w:pos="1919" w:val="left" w:leader="none"/>
        </w:tabs>
        <w:spacing w:line="240" w:lineRule="auto" w:before="120" w:after="0"/>
        <w:ind w:left="1919" w:right="416" w:hanging="567"/>
        <w:jc w:val="left"/>
        <w:rPr>
          <w:sz w:val="24"/>
        </w:rPr>
      </w:pPr>
      <w:r>
        <w:rPr>
          <w:sz w:val="24"/>
        </w:rPr>
        <w:t>The determination by the </w:t>
      </w:r>
      <w:r>
        <w:rPr>
          <w:i/>
          <w:sz w:val="24"/>
        </w:rPr>
        <w:t>AER </w:t>
      </w:r>
      <w:r>
        <w:rPr>
          <w:sz w:val="24"/>
        </w:rPr>
        <w:t>specifying the </w:t>
      </w:r>
      <w:r>
        <w:rPr>
          <w:i/>
          <w:sz w:val="24"/>
        </w:rPr>
        <w:t>Negotiated Distribution </w:t>
      </w:r>
      <w:r>
        <w:rPr>
          <w:i/>
          <w:sz w:val="24"/>
        </w:rPr>
        <w:t>Service Criteria </w:t>
      </w:r>
      <w:r>
        <w:rPr>
          <w:sz w:val="24"/>
        </w:rPr>
        <w:t>forming part of a distribution determination for</w:t>
      </w:r>
      <w:r>
        <w:rPr>
          <w:spacing w:val="47"/>
          <w:sz w:val="24"/>
        </w:rPr>
        <w:t> </w:t>
      </w:r>
      <w:r>
        <w:rPr>
          <w:spacing w:val="-14"/>
          <w:sz w:val="24"/>
        </w:rPr>
        <w:t>a</w:t>
      </w:r>
    </w:p>
    <w:p>
      <w:pPr>
        <w:spacing w:after="0" w:line="240" w:lineRule="auto"/>
        <w:jc w:val="left"/>
        <w:rPr>
          <w:sz w:val="24"/>
        </w:rPr>
        <w:sectPr>
          <w:pgSz w:w="11910" w:h="16840"/>
          <w:pgMar w:header="686" w:footer="637" w:top="1320" w:bottom="820" w:left="1200" w:right="1000"/>
        </w:sectPr>
      </w:pPr>
    </w:p>
    <w:p>
      <w:pPr>
        <w:spacing w:before="83"/>
        <w:ind w:left="1919" w:right="0" w:firstLine="0"/>
        <w:jc w:val="left"/>
        <w:rPr>
          <w:sz w:val="24"/>
        </w:rPr>
      </w:pPr>
      <w:r>
        <w:rPr>
          <w:i/>
          <w:sz w:val="24"/>
        </w:rPr>
        <w:t>Distribution Network Service Provider </w:t>
      </w:r>
      <w:r>
        <w:rPr>
          <w:sz w:val="24"/>
        </w:rPr>
        <w:t>is to set out the criteria that are to be applied:</w:t>
      </w:r>
    </w:p>
    <w:p>
      <w:pPr>
        <w:pStyle w:val="ListParagraph"/>
        <w:numPr>
          <w:ilvl w:val="4"/>
          <w:numId w:val="424"/>
        </w:numPr>
        <w:tabs>
          <w:tab w:pos="2485" w:val="left" w:leader="none"/>
          <w:tab w:pos="2486" w:val="left" w:leader="none"/>
        </w:tabs>
        <w:spacing w:line="240" w:lineRule="auto" w:before="120" w:after="0"/>
        <w:ind w:left="2485" w:right="0" w:hanging="567"/>
        <w:jc w:val="left"/>
        <w:rPr>
          <w:i/>
          <w:sz w:val="24"/>
        </w:rPr>
      </w:pPr>
      <w:r>
        <w:rPr>
          <w:sz w:val="24"/>
        </w:rPr>
        <w:t>by</w:t>
      </w:r>
      <w:r>
        <w:rPr>
          <w:spacing w:val="44"/>
          <w:sz w:val="24"/>
        </w:rPr>
        <w:t> </w:t>
      </w:r>
      <w:r>
        <w:rPr>
          <w:sz w:val="24"/>
        </w:rPr>
        <w:t>the</w:t>
      </w:r>
      <w:r>
        <w:rPr>
          <w:spacing w:val="44"/>
          <w:sz w:val="24"/>
        </w:rPr>
        <w:t> </w:t>
      </w:r>
      <w:r>
        <w:rPr>
          <w:sz w:val="24"/>
        </w:rPr>
        <w:t>provider</w:t>
      </w:r>
      <w:r>
        <w:rPr>
          <w:spacing w:val="43"/>
          <w:sz w:val="24"/>
        </w:rPr>
        <w:t> </w:t>
      </w:r>
      <w:r>
        <w:rPr>
          <w:sz w:val="24"/>
        </w:rPr>
        <w:t>in</w:t>
      </w:r>
      <w:r>
        <w:rPr>
          <w:spacing w:val="44"/>
          <w:sz w:val="24"/>
        </w:rPr>
        <w:t> </w:t>
      </w:r>
      <w:r>
        <w:rPr>
          <w:sz w:val="24"/>
        </w:rPr>
        <w:t>negotiating</w:t>
      </w:r>
      <w:r>
        <w:rPr>
          <w:spacing w:val="43"/>
          <w:sz w:val="24"/>
        </w:rPr>
        <w:t> </w:t>
      </w:r>
      <w:r>
        <w:rPr>
          <w:i/>
          <w:sz w:val="24"/>
        </w:rPr>
        <w:t>terms</w:t>
      </w:r>
      <w:r>
        <w:rPr>
          <w:i/>
          <w:spacing w:val="44"/>
          <w:sz w:val="24"/>
        </w:rPr>
        <w:t> </w:t>
      </w:r>
      <w:r>
        <w:rPr>
          <w:i/>
          <w:sz w:val="24"/>
        </w:rPr>
        <w:t>and</w:t>
      </w:r>
      <w:r>
        <w:rPr>
          <w:i/>
          <w:spacing w:val="44"/>
          <w:sz w:val="24"/>
        </w:rPr>
        <w:t> </w:t>
      </w:r>
      <w:r>
        <w:rPr>
          <w:i/>
          <w:sz w:val="24"/>
        </w:rPr>
        <w:t>conditions</w:t>
      </w:r>
      <w:r>
        <w:rPr>
          <w:i/>
          <w:spacing w:val="43"/>
          <w:sz w:val="24"/>
        </w:rPr>
        <w:t> </w:t>
      </w:r>
      <w:r>
        <w:rPr>
          <w:i/>
          <w:sz w:val="24"/>
        </w:rPr>
        <w:t>of</w:t>
      </w:r>
      <w:r>
        <w:rPr>
          <w:i/>
          <w:spacing w:val="44"/>
          <w:sz w:val="24"/>
        </w:rPr>
        <w:t> </w:t>
      </w:r>
      <w:r>
        <w:rPr>
          <w:i/>
          <w:sz w:val="24"/>
        </w:rPr>
        <w:t>access</w:t>
      </w:r>
    </w:p>
    <w:p>
      <w:pPr>
        <w:pStyle w:val="BodyText"/>
        <w:spacing w:before="0"/>
        <w:ind w:left="2486" w:firstLine="0"/>
        <w:jc w:val="left"/>
      </w:pPr>
      <w:r>
        <w:rPr/>
        <w:t>including:</w:t>
      </w:r>
    </w:p>
    <w:p>
      <w:pPr>
        <w:pStyle w:val="ListParagraph"/>
        <w:numPr>
          <w:ilvl w:val="5"/>
          <w:numId w:val="424"/>
        </w:numPr>
        <w:tabs>
          <w:tab w:pos="3053" w:val="left" w:leader="none"/>
        </w:tabs>
        <w:spacing w:line="240" w:lineRule="auto" w:before="120" w:after="0"/>
        <w:ind w:left="3053" w:right="415" w:hanging="567"/>
        <w:jc w:val="both"/>
        <w:rPr>
          <w:sz w:val="24"/>
        </w:rPr>
      </w:pPr>
      <w:r>
        <w:rPr>
          <w:sz w:val="24"/>
        </w:rPr>
        <w:t>the prices that are to be charged for the provision of </w:t>
      </w:r>
      <w:r>
        <w:rPr>
          <w:i/>
          <w:sz w:val="24"/>
        </w:rPr>
        <w:t>negotiated </w:t>
      </w:r>
      <w:r>
        <w:rPr>
          <w:i/>
          <w:sz w:val="24"/>
        </w:rPr>
        <w:t>distribution services </w:t>
      </w:r>
      <w:r>
        <w:rPr>
          <w:sz w:val="24"/>
        </w:rPr>
        <w:t>by the provider for the relevant </w:t>
      </w:r>
      <w:r>
        <w:rPr>
          <w:i/>
          <w:sz w:val="24"/>
        </w:rPr>
        <w:t>regulatory </w:t>
      </w:r>
      <w:r>
        <w:rPr>
          <w:i/>
          <w:sz w:val="24"/>
        </w:rPr>
        <w:t>control period</w:t>
      </w:r>
      <w:r>
        <w:rPr>
          <w:sz w:val="24"/>
        </w:rPr>
        <w:t>;</w:t>
      </w:r>
      <w:r>
        <w:rPr>
          <w:spacing w:val="-1"/>
          <w:sz w:val="24"/>
        </w:rPr>
        <w:t> </w:t>
      </w:r>
      <w:r>
        <w:rPr>
          <w:sz w:val="24"/>
        </w:rPr>
        <w:t>or</w:t>
      </w:r>
    </w:p>
    <w:p>
      <w:pPr>
        <w:pStyle w:val="ListParagraph"/>
        <w:numPr>
          <w:ilvl w:val="5"/>
          <w:numId w:val="424"/>
        </w:numPr>
        <w:tabs>
          <w:tab w:pos="3054" w:val="left" w:leader="none"/>
        </w:tabs>
        <w:spacing w:line="240" w:lineRule="auto" w:before="120" w:after="0"/>
        <w:ind w:left="3053" w:right="416" w:hanging="567"/>
        <w:jc w:val="both"/>
        <w:rPr>
          <w:sz w:val="24"/>
        </w:rPr>
      </w:pPr>
      <w:r>
        <w:rPr>
          <w:sz w:val="24"/>
        </w:rPr>
        <w:t>any </w:t>
      </w:r>
      <w:r>
        <w:rPr>
          <w:i/>
          <w:sz w:val="24"/>
        </w:rPr>
        <w:t>access charges </w:t>
      </w:r>
      <w:r>
        <w:rPr>
          <w:sz w:val="24"/>
        </w:rPr>
        <w:t>which are negotiated by the provider during that </w:t>
      </w:r>
      <w:r>
        <w:rPr>
          <w:i/>
          <w:sz w:val="24"/>
        </w:rPr>
        <w:t>regulatory control period</w:t>
      </w:r>
      <w:r>
        <w:rPr>
          <w:sz w:val="24"/>
        </w:rPr>
        <w:t>;</w:t>
      </w:r>
      <w:r>
        <w:rPr>
          <w:spacing w:val="-1"/>
          <w:sz w:val="24"/>
        </w:rPr>
        <w:t> </w:t>
      </w:r>
      <w:r>
        <w:rPr>
          <w:sz w:val="24"/>
        </w:rPr>
        <w:t>and</w:t>
      </w:r>
    </w:p>
    <w:p>
      <w:pPr>
        <w:pStyle w:val="ListParagraph"/>
        <w:numPr>
          <w:ilvl w:val="4"/>
          <w:numId w:val="424"/>
        </w:numPr>
        <w:tabs>
          <w:tab w:pos="2486" w:val="left" w:leader="none"/>
        </w:tabs>
        <w:spacing w:line="240" w:lineRule="auto" w:before="120" w:after="0"/>
        <w:ind w:left="2486" w:right="414" w:hanging="567"/>
        <w:jc w:val="both"/>
        <w:rPr>
          <w:sz w:val="24"/>
        </w:rPr>
      </w:pPr>
      <w:r>
        <w:rPr>
          <w:sz w:val="24"/>
        </w:rPr>
        <w:t>by the </w:t>
      </w:r>
      <w:r>
        <w:rPr>
          <w:i/>
          <w:sz w:val="24"/>
        </w:rPr>
        <w:t>AER </w:t>
      </w:r>
      <w:r>
        <w:rPr>
          <w:sz w:val="24"/>
        </w:rPr>
        <w:t>in resolving an access dispute about </w:t>
      </w:r>
      <w:r>
        <w:rPr>
          <w:i/>
          <w:sz w:val="24"/>
        </w:rPr>
        <w:t>terms and conditions </w:t>
      </w:r>
      <w:r>
        <w:rPr>
          <w:i/>
          <w:sz w:val="24"/>
        </w:rPr>
        <w:t>of access</w:t>
      </w:r>
      <w:r>
        <w:rPr>
          <w:i/>
          <w:spacing w:val="-2"/>
          <w:sz w:val="24"/>
        </w:rPr>
        <w:t> </w:t>
      </w:r>
      <w:r>
        <w:rPr>
          <w:sz w:val="24"/>
        </w:rPr>
        <w:t>including:</w:t>
      </w:r>
    </w:p>
    <w:p>
      <w:pPr>
        <w:pStyle w:val="ListParagraph"/>
        <w:numPr>
          <w:ilvl w:val="5"/>
          <w:numId w:val="424"/>
        </w:numPr>
        <w:tabs>
          <w:tab w:pos="3053" w:val="left" w:leader="none"/>
        </w:tabs>
        <w:spacing w:line="240" w:lineRule="auto" w:before="120" w:after="0"/>
        <w:ind w:left="3053" w:right="415" w:hanging="567"/>
        <w:jc w:val="both"/>
        <w:rPr>
          <w:sz w:val="24"/>
        </w:rPr>
      </w:pPr>
      <w:r>
        <w:rPr>
          <w:sz w:val="24"/>
        </w:rPr>
        <w:t>the price that is to be charged for the provision of a </w:t>
      </w:r>
      <w:r>
        <w:rPr>
          <w:i/>
          <w:sz w:val="24"/>
        </w:rPr>
        <w:t>negotiated </w:t>
      </w:r>
      <w:r>
        <w:rPr>
          <w:i/>
          <w:sz w:val="24"/>
        </w:rPr>
        <w:t>distribution service </w:t>
      </w:r>
      <w:r>
        <w:rPr>
          <w:sz w:val="24"/>
        </w:rPr>
        <w:t>by the provider;</w:t>
      </w:r>
      <w:r>
        <w:rPr>
          <w:spacing w:val="-1"/>
          <w:sz w:val="24"/>
        </w:rPr>
        <w:t> </w:t>
      </w:r>
      <w:r>
        <w:rPr>
          <w:sz w:val="24"/>
        </w:rPr>
        <w:t>or</w:t>
      </w:r>
    </w:p>
    <w:p>
      <w:pPr>
        <w:pStyle w:val="ListParagraph"/>
        <w:numPr>
          <w:ilvl w:val="5"/>
          <w:numId w:val="424"/>
        </w:numPr>
        <w:tabs>
          <w:tab w:pos="3054" w:val="left" w:leader="none"/>
        </w:tabs>
        <w:spacing w:line="240" w:lineRule="auto" w:before="120" w:after="0"/>
        <w:ind w:left="3053" w:right="0" w:hanging="568"/>
        <w:jc w:val="both"/>
        <w:rPr>
          <w:sz w:val="24"/>
        </w:rPr>
      </w:pPr>
      <w:r>
        <w:rPr>
          <w:sz w:val="24"/>
        </w:rPr>
        <w:t>any </w:t>
      </w:r>
      <w:r>
        <w:rPr>
          <w:i/>
          <w:sz w:val="24"/>
        </w:rPr>
        <w:t>access charges </w:t>
      </w:r>
      <w:r>
        <w:rPr>
          <w:sz w:val="24"/>
        </w:rPr>
        <w:t>that are to be paid to or by the</w:t>
      </w:r>
      <w:r>
        <w:rPr>
          <w:spacing w:val="-2"/>
          <w:sz w:val="24"/>
        </w:rPr>
        <w:t> </w:t>
      </w:r>
      <w:r>
        <w:rPr>
          <w:sz w:val="24"/>
        </w:rPr>
        <w:t>provider.</w:t>
      </w:r>
    </w:p>
    <w:p>
      <w:pPr>
        <w:pStyle w:val="ListParagraph"/>
        <w:numPr>
          <w:ilvl w:val="3"/>
          <w:numId w:val="424"/>
        </w:numPr>
        <w:tabs>
          <w:tab w:pos="1919" w:val="left" w:leader="none"/>
        </w:tabs>
        <w:spacing w:line="240" w:lineRule="auto" w:before="120" w:after="0"/>
        <w:ind w:left="1919" w:right="416" w:hanging="567"/>
        <w:jc w:val="both"/>
        <w:rPr>
          <w:sz w:val="24"/>
        </w:rPr>
      </w:pPr>
      <w:r>
        <w:rPr>
          <w:sz w:val="24"/>
        </w:rPr>
        <w:t>The </w:t>
      </w:r>
      <w:r>
        <w:rPr>
          <w:i/>
          <w:sz w:val="24"/>
        </w:rPr>
        <w:t>Negotiated Distribution Service Criteria </w:t>
      </w:r>
      <w:r>
        <w:rPr>
          <w:sz w:val="24"/>
        </w:rPr>
        <w:t>must give effect to and be consistent with the </w:t>
      </w:r>
      <w:r>
        <w:rPr>
          <w:i/>
          <w:sz w:val="24"/>
        </w:rPr>
        <w:t>Negotiated Distribution Service Principles </w:t>
      </w:r>
      <w:r>
        <w:rPr>
          <w:sz w:val="24"/>
        </w:rPr>
        <w:t>set out in clause 6.7.1.</w:t>
      </w:r>
    </w:p>
    <w:p>
      <w:pPr>
        <w:pStyle w:val="BodyText"/>
        <w:spacing w:before="10"/>
        <w:ind w:firstLine="0"/>
        <w:jc w:val="left"/>
        <w:rPr>
          <w:sz w:val="20"/>
        </w:rPr>
      </w:pPr>
    </w:p>
    <w:p>
      <w:pPr>
        <w:pStyle w:val="Heading4"/>
        <w:numPr>
          <w:ilvl w:val="2"/>
          <w:numId w:val="424"/>
        </w:numPr>
        <w:tabs>
          <w:tab w:pos="1351" w:val="left" w:leader="none"/>
          <w:tab w:pos="1352" w:val="left" w:leader="none"/>
        </w:tabs>
        <w:spacing w:line="240" w:lineRule="auto" w:before="0" w:after="0"/>
        <w:ind w:left="1352" w:right="1231" w:hanging="1134"/>
        <w:jc w:val="left"/>
      </w:pPr>
      <w:bookmarkStart w:name="6.7.5 Preparation of and requirements fo" w:id="1416"/>
      <w:bookmarkEnd w:id="1416"/>
      <w:r>
        <w:rPr>
          <w:b w:val="0"/>
        </w:rPr>
      </w:r>
      <w:bookmarkStart w:name="_bookmark572" w:id="1417"/>
      <w:bookmarkEnd w:id="1417"/>
      <w:r>
        <w:rPr>
          <w:b w:val="0"/>
        </w:rPr>
      </w:r>
      <w:bookmarkStart w:name="_bookmark572" w:id="1418"/>
      <w:bookmarkEnd w:id="1418"/>
      <w:r>
        <w:rPr/>
        <w:t>Preparat</w:t>
      </w:r>
      <w:r>
        <w:rPr/>
        <w:t>ion of and requirements for negotiating framework for negotiated distribution</w:t>
      </w:r>
      <w:r>
        <w:rPr>
          <w:spacing w:val="-2"/>
        </w:rPr>
        <w:t> </w:t>
      </w:r>
      <w:r>
        <w:rPr/>
        <w:t>services</w:t>
      </w:r>
    </w:p>
    <w:p>
      <w:pPr>
        <w:pStyle w:val="ListParagraph"/>
        <w:numPr>
          <w:ilvl w:val="3"/>
          <w:numId w:val="424"/>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prepare a document (the </w:t>
      </w:r>
      <w:r>
        <w:rPr>
          <w:i/>
          <w:sz w:val="24"/>
        </w:rPr>
        <w:t>negotiating framework</w:t>
      </w:r>
      <w:r>
        <w:rPr>
          <w:sz w:val="24"/>
        </w:rPr>
        <w:t>) setting out the procedure to be followed</w:t>
      </w:r>
      <w:r>
        <w:rPr>
          <w:spacing w:val="32"/>
          <w:sz w:val="24"/>
        </w:rPr>
        <w:t> </w:t>
      </w:r>
      <w:r>
        <w:rPr>
          <w:sz w:val="24"/>
        </w:rPr>
        <w:t>during negotiations between that provider and any person (the </w:t>
      </w:r>
      <w:r>
        <w:rPr>
          <w:i/>
          <w:sz w:val="24"/>
        </w:rPr>
        <w:t>Service Applicant </w:t>
      </w:r>
      <w:r>
        <w:rPr>
          <w:sz w:val="24"/>
        </w:rPr>
        <w:t>or applicant) who wishes to receive a </w:t>
      </w:r>
      <w:r>
        <w:rPr>
          <w:i/>
          <w:sz w:val="24"/>
        </w:rPr>
        <w:t>negotiated distribution service </w:t>
      </w:r>
      <w:r>
        <w:rPr>
          <w:sz w:val="24"/>
        </w:rPr>
        <w:t>from the provider, as to the </w:t>
      </w:r>
      <w:r>
        <w:rPr>
          <w:i/>
          <w:sz w:val="24"/>
        </w:rPr>
        <w:t>terms and conditions of access </w:t>
      </w:r>
      <w:r>
        <w:rPr>
          <w:sz w:val="24"/>
        </w:rPr>
        <w:t>for the provision of the service.</w:t>
      </w:r>
    </w:p>
    <w:p>
      <w:pPr>
        <w:pStyle w:val="ListParagraph"/>
        <w:numPr>
          <w:ilvl w:val="3"/>
          <w:numId w:val="424"/>
        </w:numPr>
        <w:tabs>
          <w:tab w:pos="1919" w:val="left" w:leader="none"/>
        </w:tabs>
        <w:spacing w:line="240" w:lineRule="auto" w:before="120" w:after="0"/>
        <w:ind w:left="1918" w:right="0" w:hanging="567"/>
        <w:jc w:val="both"/>
        <w:rPr>
          <w:i/>
          <w:sz w:val="24"/>
        </w:rPr>
      </w:pPr>
      <w:r>
        <w:rPr>
          <w:sz w:val="24"/>
        </w:rPr>
        <w:t>The </w:t>
      </w:r>
      <w:r>
        <w:rPr>
          <w:i/>
          <w:sz w:val="24"/>
        </w:rPr>
        <w:t>negotiating framework </w:t>
      </w:r>
      <w:r>
        <w:rPr>
          <w:sz w:val="24"/>
        </w:rPr>
        <w:t>for a </w:t>
      </w:r>
      <w:r>
        <w:rPr>
          <w:i/>
          <w:sz w:val="24"/>
        </w:rPr>
        <w:t>Distribution Network Service</w:t>
      </w:r>
      <w:r>
        <w:rPr>
          <w:i/>
          <w:spacing w:val="17"/>
          <w:sz w:val="24"/>
        </w:rPr>
        <w:t> </w:t>
      </w:r>
      <w:r>
        <w:rPr>
          <w:i/>
          <w:sz w:val="24"/>
        </w:rPr>
        <w:t>Provider</w:t>
      </w:r>
    </w:p>
    <w:p>
      <w:pPr>
        <w:pStyle w:val="BodyText"/>
        <w:spacing w:before="0"/>
        <w:ind w:left="1919" w:firstLine="0"/>
      </w:pPr>
      <w:r>
        <w:rPr/>
        <w:t>must comply with and be consistent with:</w:t>
      </w:r>
    </w:p>
    <w:p>
      <w:pPr>
        <w:pStyle w:val="ListParagraph"/>
        <w:numPr>
          <w:ilvl w:val="4"/>
          <w:numId w:val="424"/>
        </w:numPr>
        <w:tabs>
          <w:tab w:pos="2486" w:val="left" w:leader="none"/>
        </w:tabs>
        <w:spacing w:line="240" w:lineRule="auto" w:before="120" w:after="0"/>
        <w:ind w:left="2486" w:right="416" w:hanging="567"/>
        <w:jc w:val="both"/>
        <w:rPr>
          <w:sz w:val="24"/>
        </w:rPr>
      </w:pPr>
      <w:r>
        <w:rPr>
          <w:sz w:val="24"/>
        </w:rPr>
        <w:t>the applicable requirements of the relevant distribution determination; and</w:t>
      </w:r>
    </w:p>
    <w:p>
      <w:pPr>
        <w:spacing w:before="120"/>
        <w:ind w:left="2486" w:right="0" w:firstLine="0"/>
        <w:jc w:val="left"/>
        <w:rPr>
          <w:rFonts w:ascii="Arial"/>
          <w:b/>
          <w:sz w:val="20"/>
        </w:rPr>
      </w:pPr>
      <w:r>
        <w:rPr>
          <w:rFonts w:ascii="Arial"/>
          <w:b/>
          <w:sz w:val="20"/>
        </w:rPr>
        <w:t>Note:</w:t>
      </w:r>
    </w:p>
    <w:p>
      <w:pPr>
        <w:spacing w:before="120"/>
        <w:ind w:left="2486" w:right="0" w:firstLine="0"/>
        <w:jc w:val="both"/>
        <w:rPr>
          <w:sz w:val="20"/>
        </w:rPr>
      </w:pPr>
      <w:r>
        <w:rPr>
          <w:sz w:val="20"/>
        </w:rPr>
        <w:t>See clause 6.7.3.</w:t>
      </w:r>
    </w:p>
    <w:p>
      <w:pPr>
        <w:pStyle w:val="ListParagraph"/>
        <w:numPr>
          <w:ilvl w:val="4"/>
          <w:numId w:val="424"/>
        </w:numPr>
        <w:tabs>
          <w:tab w:pos="2486" w:val="left" w:leader="none"/>
        </w:tabs>
        <w:spacing w:line="240" w:lineRule="auto" w:before="120" w:after="0"/>
        <w:ind w:left="2485" w:right="0" w:hanging="567"/>
        <w:jc w:val="both"/>
        <w:rPr>
          <w:sz w:val="24"/>
        </w:rPr>
      </w:pPr>
      <w:r>
        <w:rPr>
          <w:sz w:val="24"/>
        </w:rPr>
        <w:t>paragraph</w:t>
      </w:r>
      <w:r>
        <w:rPr>
          <w:spacing w:val="34"/>
          <w:sz w:val="24"/>
        </w:rPr>
        <w:t> </w:t>
      </w:r>
      <w:r>
        <w:rPr>
          <w:sz w:val="24"/>
        </w:rPr>
        <w:t>(c),</w:t>
      </w:r>
      <w:r>
        <w:rPr>
          <w:spacing w:val="34"/>
          <w:sz w:val="24"/>
        </w:rPr>
        <w:t> </w:t>
      </w:r>
      <w:r>
        <w:rPr>
          <w:sz w:val="24"/>
        </w:rPr>
        <w:t>which</w:t>
      </w:r>
      <w:r>
        <w:rPr>
          <w:spacing w:val="35"/>
          <w:sz w:val="24"/>
        </w:rPr>
        <w:t> </w:t>
      </w:r>
      <w:r>
        <w:rPr>
          <w:sz w:val="24"/>
        </w:rPr>
        <w:t>sets</w:t>
      </w:r>
      <w:r>
        <w:rPr>
          <w:spacing w:val="34"/>
          <w:sz w:val="24"/>
        </w:rPr>
        <w:t> </w:t>
      </w:r>
      <w:r>
        <w:rPr>
          <w:sz w:val="24"/>
        </w:rPr>
        <w:t>out</w:t>
      </w:r>
      <w:r>
        <w:rPr>
          <w:spacing w:val="35"/>
          <w:sz w:val="24"/>
        </w:rPr>
        <w:t> </w:t>
      </w:r>
      <w:r>
        <w:rPr>
          <w:sz w:val="24"/>
        </w:rPr>
        <w:t>the</w:t>
      </w:r>
      <w:r>
        <w:rPr>
          <w:spacing w:val="34"/>
          <w:sz w:val="24"/>
        </w:rPr>
        <w:t> </w:t>
      </w:r>
      <w:r>
        <w:rPr>
          <w:sz w:val="24"/>
        </w:rPr>
        <w:t>minimum</w:t>
      </w:r>
      <w:r>
        <w:rPr>
          <w:spacing w:val="35"/>
          <w:sz w:val="24"/>
        </w:rPr>
        <w:t> </w:t>
      </w:r>
      <w:r>
        <w:rPr>
          <w:sz w:val="24"/>
        </w:rPr>
        <w:t>requirements</w:t>
      </w:r>
      <w:r>
        <w:rPr>
          <w:spacing w:val="34"/>
          <w:sz w:val="24"/>
        </w:rPr>
        <w:t> </w:t>
      </w:r>
      <w:r>
        <w:rPr>
          <w:sz w:val="24"/>
        </w:rPr>
        <w:t>for</w:t>
      </w:r>
      <w:r>
        <w:rPr>
          <w:spacing w:val="35"/>
          <w:sz w:val="24"/>
        </w:rPr>
        <w:t> </w:t>
      </w:r>
      <w:r>
        <w:rPr>
          <w:sz w:val="24"/>
        </w:rPr>
        <w:t>a</w:t>
      </w:r>
    </w:p>
    <w:p>
      <w:pPr>
        <w:spacing w:before="0"/>
        <w:ind w:left="2486" w:right="0" w:firstLine="0"/>
        <w:jc w:val="both"/>
        <w:rPr>
          <w:sz w:val="24"/>
        </w:rPr>
      </w:pPr>
      <w:r>
        <w:rPr>
          <w:i/>
          <w:sz w:val="24"/>
        </w:rPr>
        <w:t>negotiating framework</w:t>
      </w:r>
      <w:r>
        <w:rPr>
          <w:sz w:val="24"/>
        </w:rPr>
        <w:t>.</w:t>
      </w:r>
    </w:p>
    <w:p>
      <w:pPr>
        <w:pStyle w:val="ListParagraph"/>
        <w:numPr>
          <w:ilvl w:val="3"/>
          <w:numId w:val="424"/>
        </w:numPr>
        <w:tabs>
          <w:tab w:pos="1919" w:val="left" w:leader="none"/>
        </w:tabs>
        <w:spacing w:line="240" w:lineRule="auto" w:before="120" w:after="0"/>
        <w:ind w:left="1918" w:right="0" w:hanging="567"/>
        <w:jc w:val="both"/>
        <w:rPr>
          <w:i/>
          <w:sz w:val="24"/>
        </w:rPr>
      </w:pPr>
      <w:r>
        <w:rPr>
          <w:sz w:val="24"/>
        </w:rPr>
        <w:t>The </w:t>
      </w:r>
      <w:r>
        <w:rPr>
          <w:i/>
          <w:sz w:val="24"/>
        </w:rPr>
        <w:t>negotiating framework </w:t>
      </w:r>
      <w:r>
        <w:rPr>
          <w:sz w:val="24"/>
        </w:rPr>
        <w:t>for a </w:t>
      </w:r>
      <w:r>
        <w:rPr>
          <w:i/>
          <w:sz w:val="24"/>
        </w:rPr>
        <w:t>Distribution Network Service</w:t>
      </w:r>
      <w:r>
        <w:rPr>
          <w:i/>
          <w:spacing w:val="17"/>
          <w:sz w:val="24"/>
        </w:rPr>
        <w:t> </w:t>
      </w:r>
      <w:r>
        <w:rPr>
          <w:i/>
          <w:sz w:val="24"/>
        </w:rPr>
        <w:t>Provider</w:t>
      </w:r>
    </w:p>
    <w:p>
      <w:pPr>
        <w:pStyle w:val="BodyText"/>
        <w:spacing w:before="0"/>
        <w:ind w:left="1919" w:firstLine="0"/>
      </w:pPr>
      <w:r>
        <w:rPr/>
        <w:t>must specify:</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a requirement for the provider and a </w:t>
      </w:r>
      <w:r>
        <w:rPr>
          <w:i/>
          <w:sz w:val="24"/>
        </w:rPr>
        <w:t>Service Applicant </w:t>
      </w:r>
      <w:r>
        <w:rPr>
          <w:sz w:val="24"/>
        </w:rPr>
        <w:t>to negotiate </w:t>
      </w:r>
      <w:r>
        <w:rPr>
          <w:spacing w:val="-6"/>
          <w:sz w:val="24"/>
        </w:rPr>
        <w:t>in </w:t>
      </w:r>
      <w:r>
        <w:rPr>
          <w:sz w:val="24"/>
        </w:rPr>
        <w:t>good faith the </w:t>
      </w:r>
      <w:r>
        <w:rPr>
          <w:i/>
          <w:sz w:val="24"/>
        </w:rPr>
        <w:t>terms and conditions of access </w:t>
      </w:r>
      <w:r>
        <w:rPr>
          <w:sz w:val="24"/>
        </w:rPr>
        <w:t>to a </w:t>
      </w:r>
      <w:r>
        <w:rPr>
          <w:i/>
          <w:sz w:val="24"/>
        </w:rPr>
        <w:t>negotiated </w:t>
      </w:r>
      <w:r>
        <w:rPr>
          <w:i/>
          <w:sz w:val="24"/>
        </w:rPr>
        <w:t>distribution service</w:t>
      </w:r>
      <w:r>
        <w:rPr>
          <w:sz w:val="24"/>
        </w:rPr>
        <w:t>;</w:t>
      </w:r>
      <w:r>
        <w:rPr>
          <w:spacing w:val="-1"/>
          <w:sz w:val="24"/>
        </w:rPr>
        <w:t> </w:t>
      </w:r>
      <w:r>
        <w:rPr>
          <w:sz w:val="24"/>
        </w:rPr>
        <w:t>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a requirement for the provider to provide all such commercial information a </w:t>
      </w:r>
      <w:r>
        <w:rPr>
          <w:i/>
          <w:sz w:val="24"/>
        </w:rPr>
        <w:t>Service Applicant </w:t>
      </w:r>
      <w:r>
        <w:rPr>
          <w:sz w:val="24"/>
        </w:rPr>
        <w:t>may reasonably require to enable that applicant to engage in effective negotiation with the provider for the provision of the </w:t>
      </w:r>
      <w:r>
        <w:rPr>
          <w:i/>
          <w:sz w:val="24"/>
        </w:rPr>
        <w:t>negotiated distribution service</w:t>
      </w:r>
      <w:r>
        <w:rPr>
          <w:sz w:val="24"/>
        </w:rPr>
        <w:t>, including the</w:t>
      </w:r>
      <w:r>
        <w:rPr>
          <w:spacing w:val="30"/>
          <w:sz w:val="24"/>
        </w:rPr>
        <w:t> </w:t>
      </w:r>
      <w:r>
        <w:rPr>
          <w:sz w:val="24"/>
        </w:rPr>
        <w:t>cost information described in subparagraph (3);</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424"/>
        </w:numPr>
        <w:tabs>
          <w:tab w:pos="2486" w:val="left" w:leader="none"/>
        </w:tabs>
        <w:spacing w:line="240" w:lineRule="auto" w:before="83" w:after="0"/>
        <w:ind w:left="2485" w:right="0" w:hanging="567"/>
        <w:jc w:val="both"/>
        <w:rPr>
          <w:sz w:val="24"/>
        </w:rPr>
      </w:pPr>
      <w:r>
        <w:rPr>
          <w:sz w:val="24"/>
        </w:rPr>
        <w:t>a requirement for the</w:t>
      </w:r>
      <w:r>
        <w:rPr>
          <w:spacing w:val="-1"/>
          <w:sz w:val="24"/>
        </w:rPr>
        <w:t> </w:t>
      </w:r>
      <w:r>
        <w:rPr>
          <w:sz w:val="24"/>
        </w:rPr>
        <w:t>provider:</w:t>
      </w:r>
    </w:p>
    <w:p>
      <w:pPr>
        <w:pStyle w:val="ListParagraph"/>
        <w:numPr>
          <w:ilvl w:val="5"/>
          <w:numId w:val="424"/>
        </w:numPr>
        <w:tabs>
          <w:tab w:pos="3053" w:val="left" w:leader="none"/>
        </w:tabs>
        <w:spacing w:line="240" w:lineRule="auto" w:before="120" w:after="0"/>
        <w:ind w:left="3053" w:right="414" w:hanging="567"/>
        <w:jc w:val="both"/>
        <w:rPr>
          <w:sz w:val="24"/>
        </w:rPr>
      </w:pPr>
      <w:r>
        <w:rPr>
          <w:sz w:val="24"/>
        </w:rPr>
        <w:t>to identify and inform a </w:t>
      </w:r>
      <w:r>
        <w:rPr>
          <w:i/>
          <w:sz w:val="24"/>
        </w:rPr>
        <w:t>Service Applicant </w:t>
      </w:r>
      <w:r>
        <w:rPr>
          <w:sz w:val="24"/>
        </w:rPr>
        <w:t>of the reasonable costs and/or the increase or decrease in costs (as appropriate) of providing the </w:t>
      </w:r>
      <w:r>
        <w:rPr>
          <w:i/>
          <w:sz w:val="24"/>
        </w:rPr>
        <w:t>negotiated distribution service</w:t>
      </w:r>
      <w:r>
        <w:rPr>
          <w:sz w:val="24"/>
        </w:rPr>
        <w:t>;</w:t>
      </w:r>
      <w:r>
        <w:rPr>
          <w:spacing w:val="-5"/>
          <w:sz w:val="24"/>
        </w:rPr>
        <w:t> </w:t>
      </w:r>
      <w:r>
        <w:rPr>
          <w:sz w:val="24"/>
        </w:rPr>
        <w:t>and</w:t>
      </w:r>
    </w:p>
    <w:p>
      <w:pPr>
        <w:pStyle w:val="ListParagraph"/>
        <w:numPr>
          <w:ilvl w:val="5"/>
          <w:numId w:val="424"/>
        </w:numPr>
        <w:tabs>
          <w:tab w:pos="3054" w:val="left" w:leader="none"/>
        </w:tabs>
        <w:spacing w:line="240" w:lineRule="auto" w:before="120" w:after="0"/>
        <w:ind w:left="3053" w:right="415" w:hanging="567"/>
        <w:jc w:val="both"/>
        <w:rPr>
          <w:sz w:val="24"/>
        </w:rPr>
      </w:pPr>
      <w:r>
        <w:rPr>
          <w:sz w:val="24"/>
        </w:rPr>
        <w:t>to demonstrate to a </w:t>
      </w:r>
      <w:r>
        <w:rPr>
          <w:i/>
          <w:sz w:val="24"/>
        </w:rPr>
        <w:t>Service Applicant </w:t>
      </w:r>
      <w:r>
        <w:rPr>
          <w:sz w:val="24"/>
        </w:rPr>
        <w:t>that the charges for providing the </w:t>
      </w:r>
      <w:r>
        <w:rPr>
          <w:i/>
          <w:sz w:val="24"/>
        </w:rPr>
        <w:t>negotiated distribution service </w:t>
      </w:r>
      <w:r>
        <w:rPr>
          <w:sz w:val="24"/>
        </w:rPr>
        <w:t>reflect those costs and/or the cost increment or decrement (as appropriate);</w:t>
      </w:r>
      <w:r>
        <w:rPr>
          <w:spacing w:val="-3"/>
          <w:sz w:val="24"/>
        </w:rPr>
        <w:t> </w:t>
      </w:r>
      <w:r>
        <w:rPr>
          <w:sz w:val="24"/>
        </w:rPr>
        <w:t>and</w:t>
      </w:r>
    </w:p>
    <w:p>
      <w:pPr>
        <w:pStyle w:val="ListParagraph"/>
        <w:numPr>
          <w:ilvl w:val="5"/>
          <w:numId w:val="424"/>
        </w:numPr>
        <w:tabs>
          <w:tab w:pos="3053" w:val="left" w:leader="none"/>
        </w:tabs>
        <w:spacing w:line="240" w:lineRule="auto" w:before="120" w:after="0"/>
        <w:ind w:left="3053" w:right="415" w:hanging="567"/>
        <w:jc w:val="both"/>
        <w:rPr>
          <w:sz w:val="24"/>
        </w:rPr>
      </w:pPr>
      <w:r>
        <w:rPr>
          <w:sz w:val="24"/>
        </w:rPr>
        <w:t>to have appropriate arrangements for assessment and review </w:t>
      </w:r>
      <w:r>
        <w:rPr>
          <w:spacing w:val="-6"/>
          <w:sz w:val="24"/>
        </w:rPr>
        <w:t>of </w:t>
      </w:r>
      <w:r>
        <w:rPr>
          <w:sz w:val="24"/>
        </w:rPr>
        <w:t>the charges and the basis on which they are made;</w:t>
      </w:r>
      <w:r>
        <w:rPr>
          <w:spacing w:val="-5"/>
          <w:sz w:val="24"/>
        </w:rPr>
        <w:t> </w:t>
      </w:r>
      <w:r>
        <w:rPr>
          <w:sz w:val="24"/>
        </w:rPr>
        <w:t>and</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If (for example) a charge, or an element of a charge, is based on a customer's actual or assumed </w:t>
      </w:r>
      <w:r>
        <w:rPr>
          <w:i/>
          <w:sz w:val="20"/>
        </w:rPr>
        <w:t>maximum demand</w:t>
      </w:r>
      <w:r>
        <w:rPr>
          <w:sz w:val="20"/>
        </w:rPr>
        <w:t>, the assessment and review arrangements should allow for a change to the basis of the charge so that it more closely reflects the customer's </w:t>
      </w:r>
      <w:r>
        <w:rPr>
          <w:i/>
          <w:sz w:val="20"/>
        </w:rPr>
        <w:t>load </w:t>
      </w:r>
      <w:r>
        <w:rPr>
          <w:sz w:val="20"/>
        </w:rPr>
        <w:t>profile where a reduction or increase in </w:t>
      </w:r>
      <w:r>
        <w:rPr>
          <w:i/>
          <w:sz w:val="20"/>
        </w:rPr>
        <w:t>maximum demand </w:t>
      </w:r>
      <w:r>
        <w:rPr>
          <w:sz w:val="20"/>
        </w:rPr>
        <w:t>has been demonstrated.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a requirement for a </w:t>
      </w:r>
      <w:r>
        <w:rPr>
          <w:i/>
          <w:sz w:val="24"/>
        </w:rPr>
        <w:t>Service Applicant </w:t>
      </w:r>
      <w:r>
        <w:rPr>
          <w:sz w:val="24"/>
        </w:rPr>
        <w:t>to provide all commercial information the provider may reasonably require to enable the provider to engage in effective negotiation with that applicant for the provision of the </w:t>
      </w:r>
      <w:r>
        <w:rPr>
          <w:i/>
          <w:sz w:val="24"/>
        </w:rPr>
        <w:t>negotiated distribution service</w:t>
      </w:r>
      <w:r>
        <w:rPr>
          <w:sz w:val="24"/>
        </w:rPr>
        <w:t>;</w:t>
      </w:r>
      <w:r>
        <w:rPr>
          <w:spacing w:val="-2"/>
          <w:sz w:val="24"/>
        </w:rPr>
        <w:t> </w:t>
      </w:r>
      <w:r>
        <w:rPr>
          <w:sz w:val="24"/>
        </w:rPr>
        <w:t>and</w:t>
      </w:r>
    </w:p>
    <w:p>
      <w:pPr>
        <w:pStyle w:val="ListParagraph"/>
        <w:numPr>
          <w:ilvl w:val="4"/>
          <w:numId w:val="424"/>
        </w:numPr>
        <w:tabs>
          <w:tab w:pos="2486" w:val="left" w:leader="none"/>
        </w:tabs>
        <w:spacing w:line="240" w:lineRule="auto" w:before="120" w:after="0"/>
        <w:ind w:left="2486" w:right="414" w:hanging="567"/>
        <w:jc w:val="both"/>
        <w:rPr>
          <w:sz w:val="24"/>
        </w:rPr>
      </w:pPr>
      <w:r>
        <w:rPr>
          <w:sz w:val="24"/>
        </w:rPr>
        <w:t>a requirement that negotiations with a </w:t>
      </w:r>
      <w:r>
        <w:rPr>
          <w:i/>
          <w:sz w:val="24"/>
        </w:rPr>
        <w:t>Service Applicant </w:t>
      </w:r>
      <w:r>
        <w:rPr>
          <w:sz w:val="24"/>
        </w:rPr>
        <w:t>for the provision of the </w:t>
      </w:r>
      <w:r>
        <w:rPr>
          <w:i/>
          <w:sz w:val="24"/>
        </w:rPr>
        <w:t>negotiated distribution service </w:t>
      </w:r>
      <w:r>
        <w:rPr>
          <w:sz w:val="24"/>
        </w:rPr>
        <w:t>be commenced and finalised within specified periods and a requirement that each party to the negotiations must make reasonable endeavours to adhere to the specified time limits;</w:t>
      </w:r>
      <w:r>
        <w:rPr>
          <w:spacing w:val="-1"/>
          <w:sz w:val="24"/>
        </w:rPr>
        <w:t> </w:t>
      </w:r>
      <w:r>
        <w:rPr>
          <w:sz w:val="24"/>
        </w:rPr>
        <w:t>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a process for dispute resolution which provides that all disputes as to the </w:t>
      </w:r>
      <w:r>
        <w:rPr>
          <w:i/>
          <w:sz w:val="24"/>
        </w:rPr>
        <w:t>terms and conditions of access </w:t>
      </w:r>
      <w:r>
        <w:rPr>
          <w:sz w:val="24"/>
        </w:rPr>
        <w:t>for the provision of </w:t>
      </w:r>
      <w:r>
        <w:rPr>
          <w:i/>
          <w:spacing w:val="-3"/>
          <w:sz w:val="24"/>
        </w:rPr>
        <w:t>negotiated </w:t>
      </w:r>
      <w:r>
        <w:rPr>
          <w:i/>
          <w:sz w:val="24"/>
        </w:rPr>
        <w:t>distribution services </w:t>
      </w:r>
      <w:r>
        <w:rPr>
          <w:sz w:val="24"/>
        </w:rPr>
        <w:t>are to be dealt with in accordance with the relevant provisions of the Law and the </w:t>
      </w:r>
      <w:r>
        <w:rPr>
          <w:i/>
          <w:sz w:val="24"/>
        </w:rPr>
        <w:t>Rules </w:t>
      </w:r>
      <w:r>
        <w:rPr>
          <w:sz w:val="24"/>
        </w:rPr>
        <w:t>for dispute resolution; 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the arrangements for payment by a </w:t>
      </w:r>
      <w:r>
        <w:rPr>
          <w:i/>
          <w:sz w:val="24"/>
        </w:rPr>
        <w:t>Service Applicant </w:t>
      </w:r>
      <w:r>
        <w:rPr>
          <w:sz w:val="24"/>
        </w:rPr>
        <w:t>of the provider's reasonable direct expenses incurred in processing the application to provide the </w:t>
      </w:r>
      <w:r>
        <w:rPr>
          <w:i/>
          <w:sz w:val="24"/>
        </w:rPr>
        <w:t>negotiated distribution service</w:t>
      </w:r>
      <w:r>
        <w:rPr>
          <w:sz w:val="24"/>
        </w:rPr>
        <w:t>;</w:t>
      </w:r>
      <w:r>
        <w:rPr>
          <w:spacing w:val="-5"/>
          <w:sz w:val="24"/>
        </w:rPr>
        <w:t> </w:t>
      </w:r>
      <w:r>
        <w:rPr>
          <w:sz w:val="24"/>
        </w:rPr>
        <w:t>and</w:t>
      </w:r>
    </w:p>
    <w:p>
      <w:pPr>
        <w:pStyle w:val="ListParagraph"/>
        <w:numPr>
          <w:ilvl w:val="4"/>
          <w:numId w:val="424"/>
        </w:numPr>
        <w:tabs>
          <w:tab w:pos="2486" w:val="left" w:leader="none"/>
        </w:tabs>
        <w:spacing w:line="240" w:lineRule="auto" w:before="120" w:after="0"/>
        <w:ind w:left="2486" w:right="416" w:hanging="567"/>
        <w:jc w:val="both"/>
        <w:rPr>
          <w:sz w:val="24"/>
        </w:rPr>
      </w:pPr>
      <w:r>
        <w:rPr>
          <w:sz w:val="24"/>
        </w:rPr>
        <w:t>a requirement that the </w:t>
      </w:r>
      <w:r>
        <w:rPr>
          <w:i/>
          <w:sz w:val="24"/>
        </w:rPr>
        <w:t>Distribution Network Service Provider </w:t>
      </w:r>
      <w:r>
        <w:rPr>
          <w:sz w:val="24"/>
        </w:rPr>
        <w:t>determine the potential impact on other </w:t>
      </w:r>
      <w:r>
        <w:rPr>
          <w:i/>
          <w:sz w:val="24"/>
        </w:rPr>
        <w:t>Distribution Network Users </w:t>
      </w:r>
      <w:r>
        <w:rPr>
          <w:sz w:val="24"/>
        </w:rPr>
        <w:t>of the provision of the </w:t>
      </w:r>
      <w:r>
        <w:rPr>
          <w:i/>
          <w:sz w:val="24"/>
        </w:rPr>
        <w:t>negotiated distribution service</w:t>
      </w:r>
      <w:r>
        <w:rPr>
          <w:sz w:val="24"/>
        </w:rPr>
        <w:t>;</w:t>
      </w:r>
      <w:r>
        <w:rPr>
          <w:spacing w:val="-3"/>
          <w:sz w:val="24"/>
        </w:rPr>
        <w:t> </w:t>
      </w:r>
      <w:r>
        <w:rPr>
          <w:sz w:val="24"/>
        </w:rPr>
        <w:t>and</w:t>
      </w:r>
    </w:p>
    <w:p>
      <w:pPr>
        <w:pStyle w:val="ListParagraph"/>
        <w:numPr>
          <w:ilvl w:val="4"/>
          <w:numId w:val="424"/>
        </w:numPr>
        <w:tabs>
          <w:tab w:pos="2486" w:val="left" w:leader="none"/>
        </w:tabs>
        <w:spacing w:line="240" w:lineRule="auto" w:before="120" w:after="0"/>
        <w:ind w:left="2486" w:right="416" w:hanging="567"/>
        <w:jc w:val="both"/>
        <w:rPr>
          <w:sz w:val="24"/>
        </w:rPr>
      </w:pPr>
      <w:r>
        <w:rPr>
          <w:sz w:val="24"/>
        </w:rPr>
        <w:t>a requirement that the </w:t>
      </w:r>
      <w:r>
        <w:rPr>
          <w:i/>
          <w:sz w:val="24"/>
        </w:rPr>
        <w:t>Distribution Network Service Provider </w:t>
      </w:r>
      <w:r>
        <w:rPr>
          <w:sz w:val="24"/>
        </w:rPr>
        <w:t>must notify and consult with any affected </w:t>
      </w:r>
      <w:r>
        <w:rPr>
          <w:i/>
          <w:sz w:val="24"/>
        </w:rPr>
        <w:t>Distribution Network Users </w:t>
      </w:r>
      <w:r>
        <w:rPr>
          <w:sz w:val="24"/>
        </w:rPr>
        <w:t>and ensure that the provision of </w:t>
      </w:r>
      <w:r>
        <w:rPr>
          <w:i/>
          <w:sz w:val="24"/>
        </w:rPr>
        <w:t>negotiated distribution services </w:t>
      </w:r>
      <w:r>
        <w:rPr>
          <w:sz w:val="24"/>
        </w:rPr>
        <w:t>does not result in non-compliance with obligations in relation to other </w:t>
      </w:r>
      <w:r>
        <w:rPr>
          <w:i/>
          <w:sz w:val="24"/>
        </w:rPr>
        <w:t>Distribution Network Users </w:t>
      </w:r>
      <w:r>
        <w:rPr>
          <w:sz w:val="24"/>
        </w:rPr>
        <w:t>under the </w:t>
      </w:r>
      <w:r>
        <w:rPr>
          <w:i/>
          <w:sz w:val="24"/>
        </w:rPr>
        <w:t>Rules</w:t>
      </w:r>
      <w:r>
        <w:rPr>
          <w:sz w:val="24"/>
        </w:rPr>
        <w:t>;</w:t>
      </w:r>
      <w:r>
        <w:rPr>
          <w:spacing w:val="-6"/>
          <w:sz w:val="24"/>
        </w:rPr>
        <w:t> </w:t>
      </w:r>
      <w:r>
        <w:rPr>
          <w:sz w:val="24"/>
        </w:rPr>
        <w:t>and</w:t>
      </w:r>
    </w:p>
    <w:p>
      <w:pPr>
        <w:pStyle w:val="ListParagraph"/>
        <w:numPr>
          <w:ilvl w:val="4"/>
          <w:numId w:val="424"/>
        </w:numPr>
        <w:tabs>
          <w:tab w:pos="2486" w:val="left" w:leader="none"/>
        </w:tabs>
        <w:spacing w:line="240" w:lineRule="auto" w:before="120" w:after="0"/>
        <w:ind w:left="2485" w:right="0" w:hanging="567"/>
        <w:jc w:val="both"/>
        <w:rPr>
          <w:i/>
          <w:sz w:val="24"/>
        </w:rPr>
      </w:pPr>
      <w:r>
        <w:rPr>
          <w:sz w:val="24"/>
        </w:rPr>
        <w:t>a</w:t>
      </w:r>
      <w:r>
        <w:rPr>
          <w:spacing w:val="17"/>
          <w:sz w:val="24"/>
        </w:rPr>
        <w:t> </w:t>
      </w:r>
      <w:r>
        <w:rPr>
          <w:sz w:val="24"/>
        </w:rPr>
        <w:t>requirement</w:t>
      </w:r>
      <w:r>
        <w:rPr>
          <w:spacing w:val="18"/>
          <w:sz w:val="24"/>
        </w:rPr>
        <w:t> </w:t>
      </w:r>
      <w:r>
        <w:rPr>
          <w:sz w:val="24"/>
        </w:rPr>
        <w:t>that</w:t>
      </w:r>
      <w:r>
        <w:rPr>
          <w:spacing w:val="18"/>
          <w:sz w:val="24"/>
        </w:rPr>
        <w:t> </w:t>
      </w:r>
      <w:r>
        <w:rPr>
          <w:sz w:val="24"/>
        </w:rPr>
        <w:t>the</w:t>
      </w:r>
      <w:r>
        <w:rPr>
          <w:spacing w:val="17"/>
          <w:sz w:val="24"/>
        </w:rPr>
        <w:t> </w:t>
      </w:r>
      <w:r>
        <w:rPr>
          <w:i/>
          <w:sz w:val="24"/>
        </w:rPr>
        <w:t>Distribution</w:t>
      </w:r>
      <w:r>
        <w:rPr>
          <w:i/>
          <w:spacing w:val="17"/>
          <w:sz w:val="24"/>
        </w:rPr>
        <w:t> </w:t>
      </w:r>
      <w:r>
        <w:rPr>
          <w:i/>
          <w:sz w:val="24"/>
        </w:rPr>
        <w:t>Network</w:t>
      </w:r>
      <w:r>
        <w:rPr>
          <w:i/>
          <w:spacing w:val="18"/>
          <w:sz w:val="24"/>
        </w:rPr>
        <w:t> </w:t>
      </w:r>
      <w:r>
        <w:rPr>
          <w:i/>
          <w:sz w:val="24"/>
        </w:rPr>
        <w:t>Service</w:t>
      </w:r>
      <w:r>
        <w:rPr>
          <w:i/>
          <w:spacing w:val="18"/>
          <w:sz w:val="24"/>
        </w:rPr>
        <w:t> </w:t>
      </w:r>
      <w:r>
        <w:rPr>
          <w:i/>
          <w:sz w:val="24"/>
        </w:rPr>
        <w:t>Provider</w:t>
      </w:r>
      <w:r>
        <w:rPr>
          <w:i/>
          <w:spacing w:val="17"/>
          <w:sz w:val="24"/>
        </w:rPr>
        <w:t> </w:t>
      </w:r>
      <w:r>
        <w:rPr>
          <w:i/>
          <w:sz w:val="24"/>
        </w:rPr>
        <w:t>publish</w:t>
      </w:r>
    </w:p>
    <w:p>
      <w:pPr>
        <w:pStyle w:val="BodyText"/>
        <w:spacing w:before="0"/>
        <w:ind w:left="2486" w:firstLine="0"/>
      </w:pPr>
      <w:r>
        <w:rPr/>
        <w:t>the results of negotiations on its website.</w:t>
      </w:r>
    </w:p>
    <w:p>
      <w:pPr>
        <w:pStyle w:val="ListParagraph"/>
        <w:numPr>
          <w:ilvl w:val="3"/>
          <w:numId w:val="424"/>
        </w:numPr>
        <w:tabs>
          <w:tab w:pos="1919" w:val="left" w:leader="none"/>
        </w:tabs>
        <w:spacing w:line="240" w:lineRule="auto" w:before="120" w:after="0"/>
        <w:ind w:left="1919" w:right="415" w:hanging="567"/>
        <w:jc w:val="both"/>
        <w:rPr>
          <w:sz w:val="24"/>
        </w:rPr>
      </w:pPr>
      <w:r>
        <w:rPr>
          <w:sz w:val="24"/>
        </w:rPr>
        <w:t>Notwithstanding the foregoing, the </w:t>
      </w:r>
      <w:r>
        <w:rPr>
          <w:i/>
          <w:sz w:val="24"/>
        </w:rPr>
        <w:t>negotiating framework </w:t>
      </w:r>
      <w:r>
        <w:rPr>
          <w:sz w:val="24"/>
        </w:rPr>
        <w:t>must not </w:t>
      </w:r>
      <w:r>
        <w:rPr>
          <w:spacing w:val="-6"/>
          <w:sz w:val="24"/>
        </w:rPr>
        <w:t>be </w:t>
      </w:r>
      <w:r>
        <w:rPr>
          <w:sz w:val="24"/>
        </w:rPr>
        <w:t>inconsistent with any of the requirements</w:t>
      </w:r>
      <w:r>
        <w:rPr>
          <w:spacing w:val="-2"/>
          <w:sz w:val="24"/>
        </w:rPr>
        <w:t> </w:t>
      </w:r>
      <w:r>
        <w:rPr>
          <w:sz w:val="24"/>
        </w:rPr>
        <w:t>of:</w:t>
      </w:r>
    </w:p>
    <w:p>
      <w:pPr>
        <w:pStyle w:val="ListParagraph"/>
        <w:numPr>
          <w:ilvl w:val="4"/>
          <w:numId w:val="424"/>
        </w:numPr>
        <w:tabs>
          <w:tab w:pos="2486" w:val="left" w:leader="none"/>
        </w:tabs>
        <w:spacing w:line="240" w:lineRule="auto" w:before="120" w:after="0"/>
        <w:ind w:left="2485" w:right="0" w:hanging="567"/>
        <w:jc w:val="both"/>
        <w:rPr>
          <w:i/>
          <w:sz w:val="24"/>
        </w:rPr>
      </w:pPr>
      <w:r>
        <w:rPr>
          <w:sz w:val="24"/>
        </w:rPr>
        <w:t>rules</w:t>
      </w:r>
      <w:r>
        <w:rPr>
          <w:spacing w:val="14"/>
          <w:sz w:val="24"/>
        </w:rPr>
        <w:t> </w:t>
      </w:r>
      <w:r>
        <w:rPr>
          <w:sz w:val="24"/>
        </w:rPr>
        <w:t>5.3,</w:t>
      </w:r>
      <w:r>
        <w:rPr>
          <w:spacing w:val="15"/>
          <w:sz w:val="24"/>
        </w:rPr>
        <w:t> </w:t>
      </w:r>
      <w:r>
        <w:rPr>
          <w:sz w:val="24"/>
        </w:rPr>
        <w:t>5.3A</w:t>
      </w:r>
      <w:r>
        <w:rPr>
          <w:spacing w:val="15"/>
          <w:sz w:val="24"/>
        </w:rPr>
        <w:t> </w:t>
      </w:r>
      <w:r>
        <w:rPr>
          <w:sz w:val="24"/>
        </w:rPr>
        <w:t>and</w:t>
      </w:r>
      <w:r>
        <w:rPr>
          <w:spacing w:val="15"/>
          <w:sz w:val="24"/>
        </w:rPr>
        <w:t> </w:t>
      </w:r>
      <w:r>
        <w:rPr>
          <w:sz w:val="24"/>
        </w:rPr>
        <w:t>5.3AA</w:t>
      </w:r>
      <w:r>
        <w:rPr>
          <w:spacing w:val="14"/>
          <w:sz w:val="24"/>
        </w:rPr>
        <w:t> </w:t>
      </w:r>
      <w:r>
        <w:rPr>
          <w:sz w:val="24"/>
        </w:rPr>
        <w:t>insofar</w:t>
      </w:r>
      <w:r>
        <w:rPr>
          <w:spacing w:val="15"/>
          <w:sz w:val="24"/>
        </w:rPr>
        <w:t> </w:t>
      </w:r>
      <w:r>
        <w:rPr>
          <w:sz w:val="24"/>
        </w:rPr>
        <w:t>as</w:t>
      </w:r>
      <w:r>
        <w:rPr>
          <w:spacing w:val="15"/>
          <w:sz w:val="24"/>
        </w:rPr>
        <w:t> </w:t>
      </w:r>
      <w:r>
        <w:rPr>
          <w:sz w:val="24"/>
        </w:rPr>
        <w:t>the</w:t>
      </w:r>
      <w:r>
        <w:rPr>
          <w:spacing w:val="15"/>
          <w:sz w:val="24"/>
        </w:rPr>
        <w:t> </w:t>
      </w:r>
      <w:r>
        <w:rPr>
          <w:i/>
          <w:sz w:val="24"/>
        </w:rPr>
        <w:t>negotiating</w:t>
      </w:r>
      <w:r>
        <w:rPr>
          <w:i/>
          <w:spacing w:val="14"/>
          <w:sz w:val="24"/>
        </w:rPr>
        <w:t> </w:t>
      </w:r>
      <w:r>
        <w:rPr>
          <w:i/>
          <w:sz w:val="24"/>
        </w:rPr>
        <w:t>framework</w:t>
      </w:r>
    </w:p>
    <w:p>
      <w:pPr>
        <w:spacing w:before="0"/>
        <w:ind w:left="2486" w:right="0" w:firstLine="0"/>
        <w:jc w:val="both"/>
        <w:rPr>
          <w:sz w:val="24"/>
        </w:rPr>
      </w:pPr>
      <w:r>
        <w:rPr>
          <w:sz w:val="24"/>
        </w:rPr>
        <w:t>applies to </w:t>
      </w:r>
      <w:r>
        <w:rPr>
          <w:i/>
          <w:sz w:val="24"/>
        </w:rPr>
        <w:t>negotiated distribution services</w:t>
      </w:r>
      <w:r>
        <w:rPr>
          <w:sz w:val="24"/>
        </w:rPr>
        <w:t>; and</w:t>
      </w:r>
    </w:p>
    <w:p>
      <w:pPr>
        <w:spacing w:after="0"/>
        <w:jc w:val="both"/>
        <w:rPr>
          <w:sz w:val="24"/>
        </w:rPr>
        <w:sectPr>
          <w:pgSz w:w="11910" w:h="16840"/>
          <w:pgMar w:header="686" w:footer="637" w:top="1320" w:bottom="820" w:left="1200" w:right="1000"/>
        </w:sectPr>
      </w:pPr>
    </w:p>
    <w:p>
      <w:pPr>
        <w:pStyle w:val="ListParagraph"/>
        <w:numPr>
          <w:ilvl w:val="4"/>
          <w:numId w:val="424"/>
        </w:numPr>
        <w:tabs>
          <w:tab w:pos="2486" w:val="left" w:leader="none"/>
        </w:tabs>
        <w:spacing w:line="240" w:lineRule="auto" w:before="83" w:after="0"/>
        <w:ind w:left="2486" w:right="415" w:hanging="567"/>
        <w:jc w:val="both"/>
        <w:rPr>
          <w:sz w:val="24"/>
        </w:rPr>
      </w:pPr>
      <w:r>
        <w:rPr>
          <w:sz w:val="24"/>
        </w:rPr>
        <w:t>rules 5.3 and 5.3A, insofar as the </w:t>
      </w:r>
      <w:r>
        <w:rPr>
          <w:i/>
          <w:sz w:val="24"/>
        </w:rPr>
        <w:t>negotiating framework </w:t>
      </w:r>
      <w:r>
        <w:rPr>
          <w:sz w:val="24"/>
        </w:rPr>
        <w:t>applies to </w:t>
      </w:r>
      <w:r>
        <w:rPr>
          <w:i/>
          <w:sz w:val="24"/>
        </w:rPr>
        <w:t>negotiated transmission services </w:t>
      </w:r>
      <w:r>
        <w:rPr>
          <w:sz w:val="24"/>
        </w:rPr>
        <w:t>that are taken to be </w:t>
      </w:r>
      <w:r>
        <w:rPr>
          <w:i/>
          <w:sz w:val="24"/>
        </w:rPr>
        <w:t>negotiated </w:t>
      </w:r>
      <w:r>
        <w:rPr>
          <w:i/>
          <w:sz w:val="24"/>
        </w:rPr>
        <w:t>distribution</w:t>
      </w:r>
      <w:r>
        <w:rPr>
          <w:i/>
          <w:spacing w:val="-1"/>
          <w:sz w:val="24"/>
        </w:rPr>
        <w:t> </w:t>
      </w:r>
      <w:r>
        <w:rPr>
          <w:i/>
          <w:sz w:val="24"/>
        </w:rPr>
        <w:t>services</w:t>
      </w:r>
      <w:r>
        <w:rPr>
          <w:sz w:val="24"/>
        </w:rPr>
        <w:t>,</w:t>
      </w:r>
    </w:p>
    <w:p>
      <w:pPr>
        <w:pStyle w:val="BodyText"/>
        <w:ind w:left="1919" w:right="414" w:firstLine="0"/>
      </w:pPr>
      <w:r>
        <w:rPr/>
        <w:t>and any other relevant provisions of this Chapter 6 and, in the event of any inconsistency, those requirements prevail.</w:t>
      </w:r>
    </w:p>
    <w:p>
      <w:pPr>
        <w:pStyle w:val="ListParagraph"/>
        <w:numPr>
          <w:ilvl w:val="3"/>
          <w:numId w:val="424"/>
        </w:numPr>
        <w:tabs>
          <w:tab w:pos="1919" w:val="left" w:leader="none"/>
        </w:tabs>
        <w:spacing w:line="240" w:lineRule="auto" w:before="120" w:after="0"/>
        <w:ind w:left="1919" w:right="415" w:hanging="567"/>
        <w:jc w:val="both"/>
        <w:rPr>
          <w:sz w:val="24"/>
        </w:rPr>
      </w:pPr>
      <w:r>
        <w:rPr>
          <w:sz w:val="24"/>
        </w:rPr>
        <w:t>Each </w:t>
      </w:r>
      <w:r>
        <w:rPr>
          <w:i/>
          <w:sz w:val="24"/>
        </w:rPr>
        <w:t>Distribution Network Service Provider </w:t>
      </w:r>
      <w:r>
        <w:rPr>
          <w:sz w:val="24"/>
        </w:rPr>
        <w:t>and </w:t>
      </w:r>
      <w:r>
        <w:rPr>
          <w:i/>
          <w:sz w:val="24"/>
        </w:rPr>
        <w:t>Service Applicant </w:t>
      </w:r>
      <w:r>
        <w:rPr>
          <w:sz w:val="24"/>
        </w:rPr>
        <w:t>who is negotiating for the provision of a </w:t>
      </w:r>
      <w:r>
        <w:rPr>
          <w:i/>
          <w:sz w:val="24"/>
        </w:rPr>
        <w:t>negotiated distribution service </w:t>
      </w:r>
      <w:r>
        <w:rPr>
          <w:sz w:val="24"/>
        </w:rPr>
        <w:t>by the provider must comply with the requirements of the </w:t>
      </w:r>
      <w:r>
        <w:rPr>
          <w:i/>
          <w:sz w:val="24"/>
        </w:rPr>
        <w:t>negotiating framework </w:t>
      </w:r>
      <w:r>
        <w:rPr>
          <w:sz w:val="24"/>
        </w:rPr>
        <w:t>in accordance with its</w:t>
      </w:r>
      <w:r>
        <w:rPr>
          <w:spacing w:val="-2"/>
          <w:sz w:val="24"/>
        </w:rPr>
        <w:t> </w:t>
      </w:r>
      <w:r>
        <w:rPr>
          <w:sz w:val="24"/>
        </w:rPr>
        <w:t>terms.</w:t>
      </w:r>
    </w:p>
    <w:p>
      <w:pPr>
        <w:pStyle w:val="BodyText"/>
        <w:spacing w:before="10"/>
        <w:ind w:firstLine="0"/>
        <w:jc w:val="left"/>
        <w:rPr>
          <w:sz w:val="20"/>
        </w:rPr>
      </w:pPr>
    </w:p>
    <w:p>
      <w:pPr>
        <w:pStyle w:val="Heading4"/>
        <w:numPr>
          <w:ilvl w:val="2"/>
          <w:numId w:val="424"/>
        </w:numPr>
        <w:tabs>
          <w:tab w:pos="1351" w:val="left" w:leader="none"/>
          <w:tab w:pos="1352" w:val="left" w:leader="none"/>
        </w:tabs>
        <w:spacing w:line="240" w:lineRule="auto" w:before="0" w:after="0"/>
        <w:ind w:left="1351" w:right="0" w:hanging="1134"/>
        <w:jc w:val="left"/>
      </w:pPr>
      <w:bookmarkStart w:name="6.7.6 Confidential information" w:id="1419"/>
      <w:bookmarkEnd w:id="1419"/>
      <w:r>
        <w:rPr>
          <w:b w:val="0"/>
        </w:rPr>
      </w:r>
      <w:bookmarkStart w:name="_bookmark573" w:id="1420"/>
      <w:bookmarkEnd w:id="1420"/>
      <w:r>
        <w:rPr>
          <w:b w:val="0"/>
        </w:rPr>
      </w:r>
      <w:bookmarkStart w:name="_bookmark573" w:id="1421"/>
      <w:bookmarkEnd w:id="1421"/>
      <w:r>
        <w:rPr/>
        <w:t>Confidenti</w:t>
      </w:r>
      <w:r>
        <w:rPr/>
        <w:t>al</w:t>
      </w:r>
      <w:r>
        <w:rPr>
          <w:spacing w:val="-2"/>
        </w:rPr>
        <w:t> </w:t>
      </w:r>
      <w:r>
        <w:rPr/>
        <w:t>information</w:t>
      </w:r>
    </w:p>
    <w:p>
      <w:pPr>
        <w:pStyle w:val="ListParagraph"/>
        <w:numPr>
          <w:ilvl w:val="3"/>
          <w:numId w:val="424"/>
        </w:numPr>
        <w:tabs>
          <w:tab w:pos="1919" w:val="left" w:leader="none"/>
        </w:tabs>
        <w:spacing w:line="240" w:lineRule="auto" w:before="120" w:after="0"/>
        <w:ind w:left="1919" w:right="416" w:hanging="567"/>
        <w:jc w:val="both"/>
        <w:rPr>
          <w:sz w:val="24"/>
        </w:rPr>
      </w:pPr>
      <w:r>
        <w:rPr>
          <w:sz w:val="24"/>
        </w:rPr>
        <w:t>Commercial information to be provided to a </w:t>
      </w:r>
      <w:r>
        <w:rPr>
          <w:i/>
          <w:sz w:val="24"/>
        </w:rPr>
        <w:t>Service Applicant  </w:t>
      </w:r>
      <w:r>
        <w:rPr>
          <w:spacing w:val="-7"/>
          <w:sz w:val="24"/>
        </w:rPr>
        <w:t>in </w:t>
      </w:r>
      <w:r>
        <w:rPr>
          <w:sz w:val="24"/>
        </w:rPr>
        <w:t>accordance with clause</w:t>
      </w:r>
      <w:r>
        <w:rPr>
          <w:spacing w:val="-3"/>
          <w:sz w:val="24"/>
        </w:rPr>
        <w:t> </w:t>
      </w:r>
      <w:r>
        <w:rPr>
          <w:sz w:val="24"/>
        </w:rPr>
        <w:t>6.7.5(c)(2):</w:t>
      </w:r>
    </w:p>
    <w:p>
      <w:pPr>
        <w:pStyle w:val="ListParagraph"/>
        <w:numPr>
          <w:ilvl w:val="4"/>
          <w:numId w:val="424"/>
        </w:numPr>
        <w:tabs>
          <w:tab w:pos="2486" w:val="left" w:leader="none"/>
        </w:tabs>
        <w:spacing w:line="240" w:lineRule="auto" w:before="120" w:after="0"/>
        <w:ind w:left="2486" w:right="416" w:hanging="567"/>
        <w:jc w:val="both"/>
        <w:rPr>
          <w:sz w:val="24"/>
        </w:rPr>
      </w:pPr>
      <w:r>
        <w:rPr>
          <w:sz w:val="24"/>
        </w:rPr>
        <w:t>does not include </w:t>
      </w:r>
      <w:r>
        <w:rPr>
          <w:i/>
          <w:sz w:val="24"/>
        </w:rPr>
        <w:t>confidential information </w:t>
      </w:r>
      <w:r>
        <w:rPr>
          <w:sz w:val="24"/>
        </w:rPr>
        <w:t>provided to the </w:t>
      </w:r>
      <w:r>
        <w:rPr>
          <w:i/>
          <w:sz w:val="24"/>
        </w:rPr>
        <w:t>Distribution </w:t>
      </w:r>
      <w:r>
        <w:rPr>
          <w:i/>
          <w:sz w:val="24"/>
        </w:rPr>
        <w:t>Network Service Provider </w:t>
      </w:r>
      <w:r>
        <w:rPr>
          <w:sz w:val="24"/>
        </w:rPr>
        <w:t>by another person;</w:t>
      </w:r>
      <w:r>
        <w:rPr>
          <w:spacing w:val="-1"/>
          <w:sz w:val="24"/>
        </w:rPr>
        <w:t> </w:t>
      </w:r>
      <w:r>
        <w:rPr>
          <w:sz w:val="24"/>
        </w:rPr>
        <w:t>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may be provided subject to a condition that the </w:t>
      </w:r>
      <w:r>
        <w:rPr>
          <w:i/>
          <w:sz w:val="24"/>
        </w:rPr>
        <w:t>Service Applicant </w:t>
      </w:r>
      <w:r>
        <w:rPr>
          <w:sz w:val="24"/>
        </w:rPr>
        <w:t>must not provide any part of that commercial information to any </w:t>
      </w:r>
      <w:r>
        <w:rPr>
          <w:spacing w:val="-3"/>
          <w:sz w:val="24"/>
        </w:rPr>
        <w:t>other </w:t>
      </w:r>
      <w:r>
        <w:rPr>
          <w:sz w:val="24"/>
        </w:rPr>
        <w:t>person without the consent of the </w:t>
      </w:r>
      <w:r>
        <w:rPr>
          <w:i/>
          <w:sz w:val="24"/>
        </w:rPr>
        <w:t>Distribution Network Service </w:t>
      </w:r>
      <w:r>
        <w:rPr>
          <w:i/>
          <w:sz w:val="24"/>
        </w:rPr>
        <w:t>Provider</w:t>
      </w:r>
      <w:r>
        <w:rPr>
          <w:sz w:val="24"/>
        </w:rPr>
        <w:t>.</w:t>
      </w:r>
    </w:p>
    <w:p>
      <w:pPr>
        <w:pStyle w:val="ListParagraph"/>
        <w:numPr>
          <w:ilvl w:val="3"/>
          <w:numId w:val="424"/>
        </w:numPr>
        <w:tabs>
          <w:tab w:pos="1919" w:val="left" w:leader="none"/>
        </w:tabs>
        <w:spacing w:line="240" w:lineRule="auto" w:before="120" w:after="0"/>
        <w:ind w:left="1919" w:right="416" w:hanging="567"/>
        <w:jc w:val="both"/>
        <w:rPr>
          <w:sz w:val="24"/>
        </w:rPr>
      </w:pPr>
      <w:r>
        <w:rPr>
          <w:sz w:val="24"/>
        </w:rPr>
        <w:t>Commercial information to be provided to a </w:t>
      </w:r>
      <w:r>
        <w:rPr>
          <w:i/>
          <w:sz w:val="24"/>
        </w:rPr>
        <w:t>Distribution Network Service </w:t>
      </w:r>
      <w:r>
        <w:rPr>
          <w:i/>
          <w:sz w:val="24"/>
        </w:rPr>
        <w:t>Provider </w:t>
      </w:r>
      <w:r>
        <w:rPr>
          <w:sz w:val="24"/>
        </w:rPr>
        <w:t>in accordance with clause</w:t>
      </w:r>
      <w:r>
        <w:rPr>
          <w:spacing w:val="-1"/>
          <w:sz w:val="24"/>
        </w:rPr>
        <w:t> </w:t>
      </w:r>
      <w:r>
        <w:rPr>
          <w:sz w:val="24"/>
        </w:rPr>
        <w:t>6.7.5(c)(4):</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does not include </w:t>
      </w:r>
      <w:r>
        <w:rPr>
          <w:i/>
          <w:sz w:val="24"/>
        </w:rPr>
        <w:t>confidential information </w:t>
      </w:r>
      <w:r>
        <w:rPr>
          <w:sz w:val="24"/>
        </w:rPr>
        <w:t>provided to a </w:t>
      </w:r>
      <w:r>
        <w:rPr>
          <w:i/>
          <w:spacing w:val="-3"/>
          <w:sz w:val="24"/>
        </w:rPr>
        <w:t>Service </w:t>
      </w:r>
      <w:r>
        <w:rPr>
          <w:i/>
          <w:sz w:val="24"/>
        </w:rPr>
        <w:t>Applicant </w:t>
      </w:r>
      <w:r>
        <w:rPr>
          <w:sz w:val="24"/>
        </w:rPr>
        <w:t>by another person;</w:t>
      </w:r>
      <w:r>
        <w:rPr>
          <w:spacing w:val="-1"/>
          <w:sz w:val="24"/>
        </w:rPr>
        <w:t> </w:t>
      </w:r>
      <w:r>
        <w:rPr>
          <w:sz w:val="24"/>
        </w:rPr>
        <w:t>and</w:t>
      </w:r>
    </w:p>
    <w:p>
      <w:pPr>
        <w:pStyle w:val="ListParagraph"/>
        <w:numPr>
          <w:ilvl w:val="4"/>
          <w:numId w:val="424"/>
        </w:numPr>
        <w:tabs>
          <w:tab w:pos="2486" w:val="left" w:leader="none"/>
        </w:tabs>
        <w:spacing w:line="240" w:lineRule="auto" w:before="120" w:after="0"/>
        <w:ind w:left="2486" w:right="415" w:hanging="567"/>
        <w:jc w:val="both"/>
        <w:rPr>
          <w:sz w:val="24"/>
        </w:rPr>
      </w:pPr>
      <w:r>
        <w:rPr>
          <w:sz w:val="24"/>
        </w:rPr>
        <w:t>may be provided subject to a condition that the provider must not provide any part of that commercial information to any other person without the consent of the </w:t>
      </w:r>
      <w:r>
        <w:rPr>
          <w:i/>
          <w:sz w:val="24"/>
        </w:rPr>
        <w:t>Service</w:t>
      </w:r>
      <w:r>
        <w:rPr>
          <w:i/>
          <w:spacing w:val="-3"/>
          <w:sz w:val="24"/>
        </w:rPr>
        <w:t> </w:t>
      </w:r>
      <w:r>
        <w:rPr>
          <w:i/>
          <w:sz w:val="24"/>
        </w:rPr>
        <w:t>Applicant</w:t>
      </w:r>
      <w:r>
        <w:rPr>
          <w:sz w:val="24"/>
        </w:rPr>
        <w:t>.</w:t>
      </w:r>
    </w:p>
    <w:p>
      <w:pPr>
        <w:pStyle w:val="BodyText"/>
        <w:spacing w:before="10"/>
        <w:ind w:firstLine="0"/>
        <w:jc w:val="left"/>
        <w:rPr>
          <w:sz w:val="20"/>
        </w:rPr>
      </w:pPr>
    </w:p>
    <w:p>
      <w:pPr>
        <w:pStyle w:val="Heading2"/>
        <w:tabs>
          <w:tab w:pos="9317" w:val="left" w:leader="none"/>
        </w:tabs>
      </w:pPr>
      <w:bookmarkStart w:name="Part DA Connection policies" w:id="1422"/>
      <w:bookmarkEnd w:id="1422"/>
      <w:r>
        <w:rPr>
          <w:b w:val="0"/>
        </w:rPr>
      </w:r>
      <w:bookmarkStart w:name="_bookmark574" w:id="1423"/>
      <w:bookmarkEnd w:id="1423"/>
      <w:r>
        <w:rPr>
          <w:b w:val="0"/>
        </w:rPr>
      </w:r>
      <w:r>
        <w:rPr>
          <w:shd w:fill="D9D9D9" w:color="auto" w:val="clear"/>
        </w:rPr>
        <w:t>Part DA Connection</w:t>
      </w:r>
      <w:r>
        <w:rPr>
          <w:spacing w:val="18"/>
          <w:shd w:fill="D9D9D9" w:color="auto" w:val="clear"/>
        </w:rPr>
        <w:t> </w:t>
      </w:r>
      <w:r>
        <w:rPr>
          <w:shd w:fill="D9D9D9" w:color="auto" w:val="clear"/>
        </w:rPr>
        <w:t>policies</w:t>
        <w:tab/>
      </w:r>
    </w:p>
    <w:p>
      <w:pPr>
        <w:pStyle w:val="Heading3"/>
        <w:tabs>
          <w:tab w:pos="1351" w:val="left" w:leader="none"/>
        </w:tabs>
        <w:spacing w:before="240"/>
        <w:ind w:left="218" w:firstLine="0"/>
      </w:pPr>
      <w:bookmarkStart w:name="6.7A Connection policy requirements" w:id="1424"/>
      <w:bookmarkEnd w:id="1424"/>
      <w:r>
        <w:rPr>
          <w:b w:val="0"/>
        </w:rPr>
      </w:r>
      <w:bookmarkStart w:name="_bookmark575" w:id="1425"/>
      <w:bookmarkEnd w:id="1425"/>
      <w:r>
        <w:rPr>
          <w:b w:val="0"/>
        </w:rPr>
      </w:r>
      <w:r>
        <w:rPr/>
        <w:t>6.7A</w:t>
        <w:tab/>
        <w:t>Connection policy</w:t>
      </w:r>
      <w:r>
        <w:rPr>
          <w:spacing w:val="-1"/>
        </w:rPr>
        <w:t> </w:t>
      </w:r>
      <w:r>
        <w:rPr/>
        <w:t>requirements</w:t>
      </w:r>
    </w:p>
    <w:p>
      <w:pPr>
        <w:pStyle w:val="BodyText"/>
        <w:ind w:left="1352" w:firstLine="0"/>
        <w:jc w:val="left"/>
      </w:pPr>
      <w:r>
        <w:rPr/>
        <w:t>This </w:t>
      </w:r>
      <w:r>
        <w:rPr>
          <w:i/>
        </w:rPr>
        <w:t>Rule </w:t>
      </w:r>
      <w:r>
        <w:rPr/>
        <w:t>deals with the preparation of, requirements for and approval of</w:t>
      </w:r>
    </w:p>
    <w:p>
      <w:pPr>
        <w:spacing w:before="0"/>
        <w:ind w:left="1352" w:right="0" w:firstLine="0"/>
        <w:jc w:val="left"/>
        <w:rPr>
          <w:sz w:val="24"/>
        </w:rPr>
      </w:pPr>
      <w:r>
        <w:rPr>
          <w:i/>
          <w:sz w:val="24"/>
        </w:rPr>
        <w:t>connection policies</w:t>
      </w:r>
      <w:r>
        <w:rPr>
          <w:sz w:val="24"/>
        </w:rPr>
        <w:t>.</w:t>
      </w:r>
    </w:p>
    <w:p>
      <w:pPr>
        <w:pStyle w:val="BodyText"/>
        <w:spacing w:before="10"/>
        <w:ind w:firstLine="0"/>
        <w:jc w:val="left"/>
        <w:rPr>
          <w:sz w:val="20"/>
        </w:rPr>
      </w:pPr>
    </w:p>
    <w:p>
      <w:pPr>
        <w:pStyle w:val="Heading4"/>
        <w:numPr>
          <w:ilvl w:val="1"/>
          <w:numId w:val="425"/>
        </w:numPr>
        <w:tabs>
          <w:tab w:pos="553" w:val="left" w:leader="none"/>
          <w:tab w:pos="1351" w:val="left" w:leader="none"/>
        </w:tabs>
        <w:spacing w:line="240" w:lineRule="auto" w:before="0" w:after="0"/>
        <w:ind w:left="552" w:right="0" w:hanging="335"/>
        <w:jc w:val="left"/>
        <w:rPr>
          <w:sz w:val="22"/>
        </w:rPr>
      </w:pPr>
      <w:bookmarkStart w:name="6.7A.1 Preparation of, and requirements " w:id="1426"/>
      <w:bookmarkEnd w:id="1426"/>
      <w:r>
        <w:rPr>
          <w:b w:val="0"/>
        </w:rPr>
      </w:r>
      <w:bookmarkStart w:name="_bookmark576" w:id="1427"/>
      <w:bookmarkEnd w:id="1427"/>
      <w:r>
        <w:rPr>
          <w:b w:val="0"/>
        </w:rPr>
      </w:r>
      <w:bookmarkStart w:name="_bookmark576" w:id="1428"/>
      <w:bookmarkEnd w:id="1428"/>
      <w:r>
        <w:rPr/>
        <w:t>A.</w:t>
      </w:r>
      <w:r>
        <w:rPr/>
        <w:t>1</w:t>
        <w:tab/>
        <w:t>Preparation of, and requirements for, connection</w:t>
      </w:r>
      <w:r>
        <w:rPr>
          <w:spacing w:val="-5"/>
        </w:rPr>
        <w:t> </w:t>
      </w:r>
      <w:r>
        <w:rPr/>
        <w:t>policy</w:t>
      </w:r>
    </w:p>
    <w:p>
      <w:pPr>
        <w:pStyle w:val="ListParagraph"/>
        <w:numPr>
          <w:ilvl w:val="2"/>
          <w:numId w:val="425"/>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prepare a document (its proposed </w:t>
      </w:r>
      <w:r>
        <w:rPr>
          <w:i/>
          <w:sz w:val="24"/>
        </w:rPr>
        <w:t>connection policy</w:t>
      </w:r>
      <w:r>
        <w:rPr>
          <w:sz w:val="24"/>
        </w:rPr>
        <w:t>) setting out the circumstances in which it may require a </w:t>
      </w:r>
      <w:r>
        <w:rPr>
          <w:i/>
          <w:sz w:val="24"/>
        </w:rPr>
        <w:t>retail customer </w:t>
      </w:r>
      <w:r>
        <w:rPr>
          <w:sz w:val="24"/>
        </w:rPr>
        <w:t>or </w:t>
      </w:r>
      <w:r>
        <w:rPr>
          <w:i/>
          <w:sz w:val="24"/>
        </w:rPr>
        <w:t>real estate developer </w:t>
      </w:r>
      <w:r>
        <w:rPr>
          <w:sz w:val="24"/>
        </w:rPr>
        <w:t>to pay a </w:t>
      </w:r>
      <w:r>
        <w:rPr>
          <w:i/>
          <w:sz w:val="24"/>
        </w:rPr>
        <w:t>connection </w:t>
      </w:r>
      <w:r>
        <w:rPr>
          <w:i/>
          <w:sz w:val="24"/>
        </w:rPr>
        <w:t>charge</w:t>
      </w:r>
      <w:r>
        <w:rPr>
          <w:sz w:val="24"/>
        </w:rPr>
        <w:t>, for the provision of a </w:t>
      </w:r>
      <w:r>
        <w:rPr>
          <w:i/>
          <w:sz w:val="24"/>
        </w:rPr>
        <w:t>connection service </w:t>
      </w:r>
      <w:r>
        <w:rPr>
          <w:sz w:val="24"/>
        </w:rPr>
        <w:t>under Chapter</w:t>
      </w:r>
      <w:r>
        <w:rPr>
          <w:spacing w:val="-8"/>
          <w:sz w:val="24"/>
        </w:rPr>
        <w:t> </w:t>
      </w:r>
      <w:r>
        <w:rPr>
          <w:sz w:val="24"/>
        </w:rPr>
        <w:t>5A.</w:t>
      </w:r>
    </w:p>
    <w:p>
      <w:pPr>
        <w:pStyle w:val="ListParagraph"/>
        <w:numPr>
          <w:ilvl w:val="2"/>
          <w:numId w:val="425"/>
        </w:numPr>
        <w:tabs>
          <w:tab w:pos="1919" w:val="left" w:leader="none"/>
        </w:tabs>
        <w:spacing w:line="240" w:lineRule="auto" w:before="120" w:after="0"/>
        <w:ind w:left="1918" w:right="0" w:hanging="567"/>
        <w:jc w:val="both"/>
        <w:rPr>
          <w:sz w:val="24"/>
        </w:rPr>
      </w:pPr>
      <w:r>
        <w:rPr>
          <w:sz w:val="24"/>
        </w:rPr>
        <w:t>The proposed </w:t>
      </w:r>
      <w:r>
        <w:rPr>
          <w:i/>
          <w:sz w:val="24"/>
        </w:rPr>
        <w:t>connection</w:t>
      </w:r>
      <w:r>
        <w:rPr>
          <w:i/>
          <w:spacing w:val="-1"/>
          <w:sz w:val="24"/>
        </w:rPr>
        <w:t> </w:t>
      </w:r>
      <w:r>
        <w:rPr>
          <w:i/>
          <w:sz w:val="24"/>
        </w:rPr>
        <w:t>policy</w:t>
      </w:r>
      <w:r>
        <w:rPr>
          <w:sz w:val="24"/>
        </w:rPr>
        <w:t>:</w:t>
      </w:r>
    </w:p>
    <w:p>
      <w:pPr>
        <w:pStyle w:val="ListParagraph"/>
        <w:numPr>
          <w:ilvl w:val="3"/>
          <w:numId w:val="425"/>
        </w:numPr>
        <w:tabs>
          <w:tab w:pos="2486" w:val="left" w:leader="none"/>
        </w:tabs>
        <w:spacing w:line="240" w:lineRule="auto" w:before="120" w:after="0"/>
        <w:ind w:left="2485" w:right="0" w:hanging="567"/>
        <w:jc w:val="both"/>
        <w:rPr>
          <w:sz w:val="24"/>
        </w:rPr>
      </w:pPr>
      <w:r>
        <w:rPr>
          <w:sz w:val="24"/>
        </w:rPr>
        <w:t>must be consistent</w:t>
      </w:r>
      <w:r>
        <w:rPr>
          <w:spacing w:val="-1"/>
          <w:sz w:val="24"/>
        </w:rPr>
        <w:t> </w:t>
      </w:r>
      <w:r>
        <w:rPr>
          <w:sz w:val="24"/>
        </w:rPr>
        <w:t>with:</w:t>
      </w:r>
    </w:p>
    <w:p>
      <w:pPr>
        <w:pStyle w:val="ListParagraph"/>
        <w:numPr>
          <w:ilvl w:val="4"/>
          <w:numId w:val="425"/>
        </w:numPr>
        <w:tabs>
          <w:tab w:pos="3053" w:val="left" w:leader="none"/>
        </w:tabs>
        <w:spacing w:line="240" w:lineRule="auto" w:before="120" w:after="0"/>
        <w:ind w:left="3052" w:right="0" w:hanging="567"/>
        <w:jc w:val="both"/>
        <w:rPr>
          <w:sz w:val="24"/>
        </w:rPr>
      </w:pPr>
      <w:r>
        <w:rPr>
          <w:sz w:val="24"/>
        </w:rPr>
        <w:t>the </w:t>
      </w:r>
      <w:r>
        <w:rPr>
          <w:i/>
          <w:sz w:val="24"/>
        </w:rPr>
        <w:t>connection charge principles</w:t>
      </w:r>
      <w:r>
        <w:rPr>
          <w:sz w:val="24"/>
        </w:rPr>
        <w:t>;</w:t>
      </w:r>
      <w:r>
        <w:rPr>
          <w:spacing w:val="-2"/>
          <w:sz w:val="24"/>
        </w:rPr>
        <w:t> </w:t>
      </w:r>
      <w:r>
        <w:rPr>
          <w:sz w:val="24"/>
        </w:rPr>
        <w:t>and</w:t>
      </w:r>
    </w:p>
    <w:p>
      <w:pPr>
        <w:pStyle w:val="ListParagraph"/>
        <w:numPr>
          <w:ilvl w:val="4"/>
          <w:numId w:val="425"/>
        </w:numPr>
        <w:tabs>
          <w:tab w:pos="3054" w:val="left" w:leader="none"/>
        </w:tabs>
        <w:spacing w:line="240" w:lineRule="auto" w:before="120" w:after="0"/>
        <w:ind w:left="3053" w:right="0" w:hanging="568"/>
        <w:jc w:val="both"/>
        <w:rPr>
          <w:sz w:val="24"/>
        </w:rPr>
      </w:pPr>
      <w:r>
        <w:rPr>
          <w:sz w:val="24"/>
        </w:rPr>
        <w:t>the </w:t>
      </w:r>
      <w:r>
        <w:rPr>
          <w:i/>
          <w:sz w:val="24"/>
        </w:rPr>
        <w:t>connection charge guidelines</w:t>
      </w:r>
      <w:r>
        <w:rPr>
          <w:sz w:val="24"/>
        </w:rPr>
        <w:t>;</w:t>
      </w:r>
      <w:r>
        <w:rPr>
          <w:spacing w:val="-4"/>
          <w:sz w:val="24"/>
        </w:rPr>
        <w:t> </w:t>
      </w:r>
      <w:r>
        <w:rPr>
          <w:sz w:val="24"/>
        </w:rPr>
        <w:t>and</w:t>
      </w:r>
    </w:p>
    <w:p>
      <w:pPr>
        <w:pStyle w:val="ListParagraph"/>
        <w:numPr>
          <w:ilvl w:val="3"/>
          <w:numId w:val="425"/>
        </w:numPr>
        <w:tabs>
          <w:tab w:pos="2486" w:val="left" w:leader="none"/>
        </w:tabs>
        <w:spacing w:line="240" w:lineRule="auto" w:before="120" w:after="0"/>
        <w:ind w:left="2485" w:right="0" w:hanging="567"/>
        <w:jc w:val="both"/>
        <w:rPr>
          <w:sz w:val="24"/>
        </w:rPr>
      </w:pPr>
      <w:r>
        <w:rPr>
          <w:sz w:val="24"/>
        </w:rPr>
        <w:t>must</w:t>
      </w:r>
      <w:r>
        <w:rPr>
          <w:spacing w:val="-1"/>
          <w:sz w:val="24"/>
        </w:rPr>
        <w:t> </w:t>
      </w:r>
      <w:r>
        <w:rPr>
          <w:sz w:val="24"/>
        </w:rPr>
        <w:t>specify:</w:t>
      </w:r>
    </w:p>
    <w:p>
      <w:pPr>
        <w:spacing w:after="0" w:line="240" w:lineRule="auto"/>
        <w:jc w:val="both"/>
        <w:rPr>
          <w:sz w:val="24"/>
        </w:rPr>
        <w:sectPr>
          <w:pgSz w:w="11910" w:h="16840"/>
          <w:pgMar w:header="686" w:footer="637" w:top="1320" w:bottom="820" w:left="1200" w:right="1000"/>
        </w:sectPr>
      </w:pPr>
    </w:p>
    <w:p>
      <w:pPr>
        <w:pStyle w:val="ListParagraph"/>
        <w:numPr>
          <w:ilvl w:val="4"/>
          <w:numId w:val="425"/>
        </w:numPr>
        <w:tabs>
          <w:tab w:pos="3053" w:val="left" w:leader="none"/>
        </w:tabs>
        <w:spacing w:line="240" w:lineRule="auto" w:before="83" w:after="0"/>
        <w:ind w:left="3053" w:right="415" w:hanging="567"/>
        <w:jc w:val="both"/>
        <w:rPr>
          <w:sz w:val="24"/>
        </w:rPr>
      </w:pPr>
      <w:r>
        <w:rPr>
          <w:sz w:val="24"/>
        </w:rPr>
        <w:t>the categories of persons that may be required to pay a </w:t>
      </w:r>
      <w:r>
        <w:rPr>
          <w:i/>
          <w:sz w:val="24"/>
        </w:rPr>
        <w:t>connection charge </w:t>
      </w:r>
      <w:r>
        <w:rPr>
          <w:sz w:val="24"/>
        </w:rPr>
        <w:t>and the circumstances in which such a requirement may be imposed;</w:t>
      </w:r>
      <w:r>
        <w:rPr>
          <w:spacing w:val="-1"/>
          <w:sz w:val="24"/>
        </w:rPr>
        <w:t> </w:t>
      </w:r>
      <w:r>
        <w:rPr>
          <w:sz w:val="24"/>
        </w:rPr>
        <w:t>and</w:t>
      </w:r>
    </w:p>
    <w:p>
      <w:pPr>
        <w:pStyle w:val="ListParagraph"/>
        <w:numPr>
          <w:ilvl w:val="4"/>
          <w:numId w:val="425"/>
        </w:numPr>
        <w:tabs>
          <w:tab w:pos="3054" w:val="left" w:leader="none"/>
        </w:tabs>
        <w:spacing w:line="240" w:lineRule="auto" w:before="120" w:after="0"/>
        <w:ind w:left="3053" w:right="415" w:hanging="567"/>
        <w:jc w:val="both"/>
        <w:rPr>
          <w:sz w:val="24"/>
        </w:rPr>
      </w:pPr>
      <w:r>
        <w:rPr>
          <w:sz w:val="24"/>
        </w:rPr>
        <w:t>the aspects of a </w:t>
      </w:r>
      <w:r>
        <w:rPr>
          <w:i/>
          <w:sz w:val="24"/>
        </w:rPr>
        <w:t>connection service </w:t>
      </w:r>
      <w:r>
        <w:rPr>
          <w:sz w:val="24"/>
        </w:rPr>
        <w:t>for which a </w:t>
      </w:r>
      <w:r>
        <w:rPr>
          <w:i/>
          <w:sz w:val="24"/>
        </w:rPr>
        <w:t>connection </w:t>
      </w:r>
      <w:r>
        <w:rPr>
          <w:i/>
          <w:sz w:val="24"/>
        </w:rPr>
        <w:t>charge </w:t>
      </w:r>
      <w:r>
        <w:rPr>
          <w:sz w:val="24"/>
        </w:rPr>
        <w:t>may be made;</w:t>
      </w:r>
      <w:r>
        <w:rPr>
          <w:spacing w:val="-1"/>
          <w:sz w:val="24"/>
        </w:rPr>
        <w:t> </w:t>
      </w:r>
      <w:r>
        <w:rPr>
          <w:sz w:val="24"/>
        </w:rPr>
        <w:t>and</w:t>
      </w:r>
    </w:p>
    <w:p>
      <w:pPr>
        <w:spacing w:before="120"/>
        <w:ind w:left="3053" w:right="0" w:firstLine="0"/>
        <w:jc w:val="left"/>
        <w:rPr>
          <w:rFonts w:ascii="Arial"/>
          <w:b/>
          <w:sz w:val="20"/>
        </w:rPr>
      </w:pPr>
      <w:r>
        <w:rPr>
          <w:rFonts w:ascii="Arial"/>
          <w:b/>
          <w:sz w:val="20"/>
        </w:rPr>
        <w:t>Example</w:t>
      </w:r>
    </w:p>
    <w:p>
      <w:pPr>
        <w:spacing w:before="120"/>
        <w:ind w:left="3053" w:right="415" w:firstLine="0"/>
        <w:jc w:val="both"/>
        <w:rPr>
          <w:sz w:val="20"/>
        </w:rPr>
      </w:pPr>
      <w:r>
        <w:rPr>
          <w:sz w:val="20"/>
        </w:rPr>
        <w:t>The </w:t>
      </w:r>
      <w:r>
        <w:rPr>
          <w:i/>
          <w:sz w:val="20"/>
        </w:rPr>
        <w:t>Distribution Network Service Provider </w:t>
      </w:r>
      <w:r>
        <w:rPr>
          <w:sz w:val="20"/>
        </w:rPr>
        <w:t>might (for example) make separate </w:t>
      </w:r>
      <w:r>
        <w:rPr>
          <w:i/>
          <w:sz w:val="20"/>
        </w:rPr>
        <w:t>connection charges </w:t>
      </w:r>
      <w:r>
        <w:rPr>
          <w:sz w:val="20"/>
        </w:rPr>
        <w:t>for the provision of a </w:t>
      </w:r>
      <w:r>
        <w:rPr>
          <w:i/>
          <w:sz w:val="20"/>
        </w:rPr>
        <w:t>distribution connection </w:t>
      </w:r>
      <w:r>
        <w:rPr>
          <w:i/>
          <w:sz w:val="20"/>
        </w:rPr>
        <w:t>asset </w:t>
      </w:r>
      <w:r>
        <w:rPr>
          <w:sz w:val="20"/>
        </w:rPr>
        <w:t>and for making a necessary </w:t>
      </w:r>
      <w:r>
        <w:rPr>
          <w:i/>
          <w:sz w:val="20"/>
        </w:rPr>
        <w:t>extension </w:t>
      </w:r>
      <w:r>
        <w:rPr>
          <w:sz w:val="20"/>
        </w:rPr>
        <w:t>to, or other </w:t>
      </w:r>
      <w:r>
        <w:rPr>
          <w:i/>
          <w:sz w:val="20"/>
        </w:rPr>
        <w:t>augmentation </w:t>
      </w:r>
      <w:r>
        <w:rPr>
          <w:sz w:val="20"/>
        </w:rPr>
        <w:t>of, the </w:t>
      </w:r>
      <w:r>
        <w:rPr>
          <w:i/>
          <w:sz w:val="20"/>
        </w:rPr>
        <w:t>distribution network</w:t>
      </w:r>
      <w:r>
        <w:rPr>
          <w:sz w:val="20"/>
        </w:rPr>
        <w:t>.</w:t>
      </w:r>
    </w:p>
    <w:p>
      <w:pPr>
        <w:pStyle w:val="ListParagraph"/>
        <w:numPr>
          <w:ilvl w:val="4"/>
          <w:numId w:val="425"/>
        </w:numPr>
        <w:tabs>
          <w:tab w:pos="3053" w:val="left" w:leader="none"/>
        </w:tabs>
        <w:spacing w:line="240" w:lineRule="auto" w:before="120" w:after="0"/>
        <w:ind w:left="3052" w:right="0" w:hanging="567"/>
        <w:jc w:val="both"/>
        <w:rPr>
          <w:sz w:val="24"/>
        </w:rPr>
      </w:pPr>
      <w:r>
        <w:rPr>
          <w:sz w:val="24"/>
        </w:rPr>
        <w:t>the basis on which </w:t>
      </w:r>
      <w:r>
        <w:rPr>
          <w:i/>
          <w:sz w:val="24"/>
        </w:rPr>
        <w:t>connection charges </w:t>
      </w:r>
      <w:r>
        <w:rPr>
          <w:sz w:val="24"/>
        </w:rPr>
        <w:t>are determined;</w:t>
      </w:r>
      <w:r>
        <w:rPr>
          <w:spacing w:val="-3"/>
          <w:sz w:val="24"/>
        </w:rPr>
        <w:t> </w:t>
      </w:r>
      <w:r>
        <w:rPr>
          <w:sz w:val="24"/>
        </w:rPr>
        <w:t>and</w:t>
      </w:r>
    </w:p>
    <w:p>
      <w:pPr>
        <w:pStyle w:val="ListParagraph"/>
        <w:numPr>
          <w:ilvl w:val="4"/>
          <w:numId w:val="425"/>
        </w:numPr>
        <w:tabs>
          <w:tab w:pos="3054" w:val="left" w:leader="none"/>
        </w:tabs>
        <w:spacing w:line="240" w:lineRule="auto" w:before="120" w:after="0"/>
        <w:ind w:left="3053" w:right="415" w:hanging="567"/>
        <w:jc w:val="both"/>
        <w:rPr>
          <w:sz w:val="24"/>
        </w:rPr>
      </w:pPr>
      <w:r>
        <w:rPr>
          <w:sz w:val="24"/>
        </w:rPr>
        <w:t>the manner in which </w:t>
      </w:r>
      <w:r>
        <w:rPr>
          <w:i/>
          <w:sz w:val="24"/>
        </w:rPr>
        <w:t>connection charges </w:t>
      </w:r>
      <w:r>
        <w:rPr>
          <w:sz w:val="24"/>
        </w:rPr>
        <w:t>are to be paid (or equivalent consideration is to be given);</w:t>
      </w:r>
      <w:r>
        <w:rPr>
          <w:spacing w:val="-2"/>
          <w:sz w:val="24"/>
        </w:rPr>
        <w:t> </w:t>
      </w:r>
      <w:r>
        <w:rPr>
          <w:sz w:val="24"/>
        </w:rPr>
        <w:t>and</w:t>
      </w:r>
    </w:p>
    <w:p>
      <w:pPr>
        <w:spacing w:before="120"/>
        <w:ind w:left="3053" w:right="0" w:firstLine="0"/>
        <w:jc w:val="left"/>
        <w:rPr>
          <w:rFonts w:ascii="Arial"/>
          <w:b/>
          <w:sz w:val="20"/>
        </w:rPr>
      </w:pPr>
      <w:r>
        <w:rPr>
          <w:rFonts w:ascii="Arial"/>
          <w:b/>
          <w:sz w:val="20"/>
        </w:rPr>
        <w:t>Examples</w:t>
      </w:r>
    </w:p>
    <w:p>
      <w:pPr>
        <w:spacing w:before="120"/>
        <w:ind w:left="3053" w:right="415" w:firstLine="0"/>
        <w:jc w:val="both"/>
        <w:rPr>
          <w:sz w:val="20"/>
        </w:rPr>
      </w:pPr>
      <w:r>
        <w:rPr>
          <w:sz w:val="20"/>
        </w:rPr>
        <w:t>The payment (or equivalent consideration) might take the form of a capital contribution, prepayment or financial guarantee.</w:t>
      </w:r>
    </w:p>
    <w:p>
      <w:pPr>
        <w:pStyle w:val="ListParagraph"/>
        <w:numPr>
          <w:ilvl w:val="4"/>
          <w:numId w:val="425"/>
        </w:numPr>
        <w:tabs>
          <w:tab w:pos="3053" w:val="left" w:leader="none"/>
        </w:tabs>
        <w:spacing w:line="240" w:lineRule="auto" w:before="120" w:after="0"/>
        <w:ind w:left="3053" w:right="415" w:hanging="567"/>
        <w:jc w:val="both"/>
        <w:rPr>
          <w:sz w:val="24"/>
        </w:rPr>
      </w:pPr>
      <w:r>
        <w:rPr>
          <w:sz w:val="24"/>
        </w:rPr>
        <w:t>a threshold (based on capacity or any other measure identified in the </w:t>
      </w:r>
      <w:r>
        <w:rPr>
          <w:i/>
          <w:sz w:val="24"/>
        </w:rPr>
        <w:t>connection charge guidelines</w:t>
      </w:r>
      <w:r>
        <w:rPr>
          <w:sz w:val="24"/>
        </w:rPr>
        <w:t>) below which a </w:t>
      </w:r>
      <w:r>
        <w:rPr>
          <w:i/>
          <w:sz w:val="24"/>
        </w:rPr>
        <w:t>retail  </w:t>
      </w:r>
      <w:r>
        <w:rPr>
          <w:i/>
          <w:sz w:val="24"/>
        </w:rPr>
        <w:t>customer </w:t>
      </w:r>
      <w:r>
        <w:rPr>
          <w:sz w:val="24"/>
        </w:rPr>
        <w:t>(not being a non-registered </w:t>
      </w:r>
      <w:r>
        <w:rPr>
          <w:i/>
          <w:sz w:val="24"/>
        </w:rPr>
        <w:t>embedded generator </w:t>
      </w:r>
      <w:r>
        <w:rPr>
          <w:sz w:val="24"/>
        </w:rPr>
        <w:t>or a </w:t>
      </w:r>
      <w:r>
        <w:rPr>
          <w:i/>
          <w:sz w:val="24"/>
        </w:rPr>
        <w:t>real estate developer</w:t>
      </w:r>
      <w:r>
        <w:rPr>
          <w:sz w:val="24"/>
        </w:rPr>
        <w:t>) will not be liable for a </w:t>
      </w:r>
      <w:r>
        <w:rPr>
          <w:i/>
          <w:sz w:val="24"/>
        </w:rPr>
        <w:t>connection charge </w:t>
      </w:r>
      <w:r>
        <w:rPr>
          <w:sz w:val="24"/>
        </w:rPr>
        <w:t>for an </w:t>
      </w:r>
      <w:r>
        <w:rPr>
          <w:i/>
          <w:sz w:val="24"/>
        </w:rPr>
        <w:t>augmentation </w:t>
      </w:r>
      <w:r>
        <w:rPr>
          <w:sz w:val="24"/>
        </w:rPr>
        <w:t>other than an</w:t>
      </w:r>
      <w:r>
        <w:rPr>
          <w:spacing w:val="-1"/>
          <w:sz w:val="24"/>
        </w:rPr>
        <w:t> </w:t>
      </w:r>
      <w:r>
        <w:rPr>
          <w:i/>
          <w:sz w:val="24"/>
        </w:rPr>
        <w:t>extension</w:t>
      </w:r>
      <w:r>
        <w:rPr>
          <w:sz w:val="24"/>
        </w:rPr>
        <w:t>.</w:t>
      </w:r>
    </w:p>
    <w:p>
      <w:pPr>
        <w:pStyle w:val="BodyText"/>
        <w:spacing w:before="9"/>
        <w:ind w:firstLine="0"/>
        <w:jc w:val="left"/>
        <w:rPr>
          <w:sz w:val="18"/>
        </w:rPr>
      </w:pPr>
      <w:r>
        <w:rPr/>
        <w:pict>
          <v:shape style="position:absolute;margin-left:69.450005pt;margin-top:12.024779pt;width:456.45pt;height:32.2pt;mso-position-horizontal-relative:page;mso-position-vertical-relative:paragraph;z-index:-251621376;mso-wrap-distance-left:0;mso-wrap-distance-right:0" type="#_x0000_t202" filled="true" fillcolor="#d9d9d9" stroked="false">
            <v:textbox inset="0,0,0,0">
              <w:txbxContent>
                <w:p>
                  <w:pPr>
                    <w:tabs>
                      <w:tab w:pos="1163" w:val="left" w:leader="none"/>
                    </w:tabs>
                    <w:spacing w:before="0"/>
                    <w:ind w:left="1163" w:right="1321" w:hanging="1134"/>
                    <w:jc w:val="left"/>
                    <w:rPr>
                      <w:rFonts w:ascii="Arial"/>
                      <w:b/>
                      <w:sz w:val="28"/>
                    </w:rPr>
                  </w:pPr>
                  <w:bookmarkStart w:name="Part E Regulatory proposal and proposed " w:id="1429"/>
                  <w:bookmarkEnd w:id="1429"/>
                  <w:r>
                    <w:rPr/>
                  </w:r>
                  <w:bookmarkStart w:name="_bookmark577" w:id="1430"/>
                  <w:bookmarkEnd w:id="1430"/>
                  <w:r>
                    <w:rPr/>
                  </w:r>
                  <w:r>
                    <w:rPr>
                      <w:rFonts w:ascii="Arial"/>
                      <w:b/>
                      <w:sz w:val="28"/>
                    </w:rPr>
                    <w:t>Part E</w:t>
                    <w:tab/>
                    <w:t>Regulatory proposal and proposed tariff</w:t>
                  </w:r>
                  <w:r>
                    <w:rPr>
                      <w:rFonts w:ascii="Arial"/>
                      <w:b/>
                      <w:spacing w:val="-20"/>
                      <w:sz w:val="28"/>
                    </w:rPr>
                    <w:t> </w:t>
                  </w:r>
                  <w:r>
                    <w:rPr>
                      <w:rFonts w:ascii="Arial"/>
                      <w:b/>
                      <w:sz w:val="28"/>
                    </w:rPr>
                    <w:t>structure statement</w:t>
                  </w:r>
                </w:p>
              </w:txbxContent>
            </v:textbox>
            <v:fill type="solid"/>
            <w10:wrap type="topAndBottom"/>
          </v:shape>
        </w:pict>
      </w:r>
    </w:p>
    <w:p>
      <w:pPr>
        <w:pStyle w:val="BodyText"/>
        <w:spacing w:before="7"/>
        <w:ind w:firstLine="0"/>
        <w:jc w:val="left"/>
        <w:rPr>
          <w:sz w:val="11"/>
        </w:rPr>
      </w:pPr>
    </w:p>
    <w:p>
      <w:pPr>
        <w:pStyle w:val="Heading3"/>
        <w:numPr>
          <w:ilvl w:val="1"/>
          <w:numId w:val="425"/>
        </w:numPr>
        <w:tabs>
          <w:tab w:pos="1351" w:val="left" w:leader="none"/>
          <w:tab w:pos="1353" w:val="left" w:leader="none"/>
        </w:tabs>
        <w:spacing w:line="240" w:lineRule="auto" w:before="91" w:after="0"/>
        <w:ind w:left="1352" w:right="0" w:hanging="1135"/>
        <w:jc w:val="left"/>
      </w:pPr>
      <w:bookmarkStart w:name="6.8 Regulatory proposal and proposed tar" w:id="1431"/>
      <w:bookmarkEnd w:id="1431"/>
      <w:r>
        <w:rPr>
          <w:b w:val="0"/>
        </w:rPr>
      </w:r>
      <w:bookmarkStart w:name="_bookmark578" w:id="1432"/>
      <w:bookmarkEnd w:id="1432"/>
      <w:r>
        <w:rPr>
          <w:b w:val="0"/>
        </w:rPr>
      </w:r>
      <w:bookmarkStart w:name="_bookmark578" w:id="1433"/>
      <w:bookmarkEnd w:id="1433"/>
      <w:r>
        <w:rPr/>
        <w:t>Regul</w:t>
      </w:r>
      <w:r>
        <w:rPr/>
        <w:t>atory proposal and proposed tariff structure</w:t>
      </w:r>
      <w:r>
        <w:rPr>
          <w:spacing w:val="-12"/>
        </w:rPr>
        <w:t> </w:t>
      </w:r>
      <w:r>
        <w:rPr/>
        <w:t>statement</w:t>
      </w:r>
    </w:p>
    <w:p>
      <w:pPr>
        <w:pStyle w:val="Heading4"/>
        <w:numPr>
          <w:ilvl w:val="2"/>
          <w:numId w:val="426"/>
        </w:numPr>
        <w:tabs>
          <w:tab w:pos="1351" w:val="left" w:leader="none"/>
          <w:tab w:pos="1352" w:val="left" w:leader="none"/>
        </w:tabs>
        <w:spacing w:line="240" w:lineRule="auto" w:before="240" w:after="0"/>
        <w:ind w:left="1351" w:right="0" w:hanging="1134"/>
        <w:jc w:val="left"/>
      </w:pPr>
      <w:bookmarkStart w:name="6.8.1 AER's framework and approach paper" w:id="1434"/>
      <w:bookmarkEnd w:id="1434"/>
      <w:r>
        <w:rPr>
          <w:b w:val="0"/>
        </w:rPr>
      </w:r>
      <w:bookmarkStart w:name="_bookmark579" w:id="1435"/>
      <w:bookmarkEnd w:id="1435"/>
      <w:r>
        <w:rPr>
          <w:b w:val="0"/>
        </w:rPr>
      </w:r>
      <w:bookmarkStart w:name="_bookmark579" w:id="1436"/>
      <w:bookmarkEnd w:id="1436"/>
      <w:r>
        <w:rPr/>
        <w:t>AER'</w:t>
      </w:r>
      <w:r>
        <w:rPr/>
        <w:t>s framework and approach</w:t>
      </w:r>
      <w:r>
        <w:rPr>
          <w:spacing w:val="-4"/>
        </w:rPr>
        <w:t> </w:t>
      </w:r>
      <w:r>
        <w:rPr/>
        <w:t>paper</w:t>
      </w:r>
    </w:p>
    <w:p>
      <w:pPr>
        <w:pStyle w:val="ListParagraph"/>
        <w:numPr>
          <w:ilvl w:val="3"/>
          <w:numId w:val="426"/>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make and </w:t>
      </w:r>
      <w:r>
        <w:rPr>
          <w:i/>
          <w:sz w:val="24"/>
        </w:rPr>
        <w:t>publish </w:t>
      </w:r>
      <w:r>
        <w:rPr>
          <w:sz w:val="24"/>
        </w:rPr>
        <w:t>a document (a </w:t>
      </w:r>
      <w:r>
        <w:rPr>
          <w:i/>
          <w:sz w:val="24"/>
        </w:rPr>
        <w:t>framework and approach </w:t>
      </w:r>
      <w:r>
        <w:rPr>
          <w:i/>
          <w:sz w:val="24"/>
        </w:rPr>
        <w:t>paper</w:t>
      </w:r>
      <w:r>
        <w:rPr>
          <w:sz w:val="24"/>
        </w:rPr>
        <w:t>) that applies in respect of a distribution determination for a matter listed in paragraph (b) in accordance with this clause</w:t>
      </w:r>
      <w:r>
        <w:rPr>
          <w:spacing w:val="-3"/>
          <w:sz w:val="24"/>
        </w:rPr>
        <w:t> </w:t>
      </w:r>
      <w:r>
        <w:rPr>
          <w:sz w:val="24"/>
        </w:rPr>
        <w:t>if:</w:t>
      </w:r>
    </w:p>
    <w:p>
      <w:pPr>
        <w:pStyle w:val="ListParagraph"/>
        <w:numPr>
          <w:ilvl w:val="4"/>
          <w:numId w:val="426"/>
        </w:numPr>
        <w:tabs>
          <w:tab w:pos="2486" w:val="left" w:leader="none"/>
        </w:tabs>
        <w:spacing w:line="240" w:lineRule="auto" w:before="120" w:after="0"/>
        <w:ind w:left="2486" w:right="414" w:hanging="567"/>
        <w:jc w:val="both"/>
        <w:rPr>
          <w:sz w:val="24"/>
        </w:rPr>
      </w:pPr>
      <w:r>
        <w:rPr>
          <w:sz w:val="24"/>
        </w:rPr>
        <w:t>there is no </w:t>
      </w:r>
      <w:r>
        <w:rPr>
          <w:i/>
          <w:sz w:val="24"/>
        </w:rPr>
        <w:t>framework and approach paper </w:t>
      </w:r>
      <w:r>
        <w:rPr>
          <w:sz w:val="24"/>
        </w:rPr>
        <w:t>that applies in respect of that distribution determination for that matter;</w:t>
      </w:r>
      <w:r>
        <w:rPr>
          <w:spacing w:val="-3"/>
          <w:sz w:val="24"/>
        </w:rPr>
        <w:t> </w:t>
      </w:r>
      <w:r>
        <w:rPr>
          <w:sz w:val="24"/>
        </w:rPr>
        <w:t>or</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there is a </w:t>
      </w:r>
      <w:r>
        <w:rPr>
          <w:i/>
          <w:sz w:val="24"/>
        </w:rPr>
        <w:t>framework and approach paper </w:t>
      </w:r>
      <w:r>
        <w:rPr>
          <w:sz w:val="24"/>
        </w:rPr>
        <w:t>that would apply in respect of that distribution determination for that matter, but the </w:t>
      </w:r>
      <w:r>
        <w:rPr>
          <w:i/>
          <w:sz w:val="24"/>
        </w:rPr>
        <w:t>AER </w:t>
      </w:r>
      <w:r>
        <w:rPr>
          <w:spacing w:val="-5"/>
          <w:sz w:val="24"/>
        </w:rPr>
        <w:t>has </w:t>
      </w:r>
      <w:r>
        <w:rPr>
          <w:i/>
          <w:sz w:val="24"/>
        </w:rPr>
        <w:t>published </w:t>
      </w:r>
      <w:r>
        <w:rPr>
          <w:sz w:val="24"/>
        </w:rPr>
        <w:t>a notice under paragraph (c)(3) stating that it will make an amended or replacement </w:t>
      </w:r>
      <w:r>
        <w:rPr>
          <w:i/>
          <w:sz w:val="24"/>
        </w:rPr>
        <w:t>framework and approach paper </w:t>
      </w:r>
      <w:r>
        <w:rPr>
          <w:sz w:val="24"/>
        </w:rPr>
        <w:t>with respect to that</w:t>
      </w:r>
      <w:r>
        <w:rPr>
          <w:spacing w:val="-1"/>
          <w:sz w:val="24"/>
        </w:rPr>
        <w:t> </w:t>
      </w:r>
      <w:r>
        <w:rPr>
          <w:sz w:val="24"/>
        </w:rPr>
        <w:t>matter.</w:t>
      </w:r>
    </w:p>
    <w:p>
      <w:pPr>
        <w:pStyle w:val="ListParagraph"/>
        <w:numPr>
          <w:ilvl w:val="3"/>
          <w:numId w:val="426"/>
        </w:numPr>
        <w:tabs>
          <w:tab w:pos="1919" w:val="left" w:leader="none"/>
        </w:tabs>
        <w:spacing w:line="240" w:lineRule="auto" w:before="120" w:after="0"/>
        <w:ind w:left="1919" w:right="415" w:hanging="567"/>
        <w:jc w:val="both"/>
        <w:rPr>
          <w:sz w:val="24"/>
        </w:rPr>
      </w:pPr>
      <w:r>
        <w:rPr>
          <w:sz w:val="24"/>
        </w:rPr>
        <w:t>A </w:t>
      </w:r>
      <w:r>
        <w:rPr>
          <w:i/>
          <w:sz w:val="24"/>
        </w:rPr>
        <w:t>framework and approach paper </w:t>
      </w:r>
      <w:r>
        <w:rPr>
          <w:sz w:val="24"/>
        </w:rPr>
        <w:t>that applies in respect of a distribution determination must set</w:t>
      </w:r>
      <w:r>
        <w:rPr>
          <w:spacing w:val="-2"/>
          <w:sz w:val="24"/>
        </w:rPr>
        <w:t> </w:t>
      </w:r>
      <w:r>
        <w:rPr>
          <w:sz w:val="24"/>
        </w:rPr>
        <w:t>out:</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the </w:t>
      </w:r>
      <w:r>
        <w:rPr>
          <w:i/>
          <w:sz w:val="24"/>
        </w:rPr>
        <w:t>AER's </w:t>
      </w:r>
      <w:r>
        <w:rPr>
          <w:sz w:val="24"/>
        </w:rPr>
        <w:t>decision (together with its reasons for the decision), for the purposes of the forthcoming distribution determination, on the following</w:t>
      </w:r>
      <w:r>
        <w:rPr>
          <w:spacing w:val="-1"/>
          <w:sz w:val="24"/>
        </w:rPr>
        <w:t> </w:t>
      </w:r>
      <w:r>
        <w:rPr>
          <w:sz w:val="24"/>
        </w:rPr>
        <w:t>matters:</w:t>
      </w:r>
    </w:p>
    <w:p>
      <w:pPr>
        <w:pStyle w:val="ListParagraph"/>
        <w:numPr>
          <w:ilvl w:val="5"/>
          <w:numId w:val="426"/>
        </w:numPr>
        <w:tabs>
          <w:tab w:pos="3053" w:val="left" w:leader="none"/>
        </w:tabs>
        <w:spacing w:line="240" w:lineRule="auto" w:before="120" w:after="0"/>
        <w:ind w:left="3052" w:right="0" w:hanging="567"/>
        <w:jc w:val="both"/>
        <w:rPr>
          <w:sz w:val="24"/>
        </w:rPr>
      </w:pPr>
      <w:r>
        <w:rPr>
          <w:sz w:val="24"/>
        </w:rPr>
        <w:t>the form (or forms) of the control mechanisms;</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5"/>
          <w:numId w:val="426"/>
        </w:numPr>
        <w:tabs>
          <w:tab w:pos="3054" w:val="left" w:leader="none"/>
        </w:tabs>
        <w:spacing w:line="240" w:lineRule="auto" w:before="83" w:after="0"/>
        <w:ind w:left="3053" w:right="414" w:hanging="567"/>
        <w:jc w:val="both"/>
        <w:rPr>
          <w:sz w:val="24"/>
        </w:rPr>
      </w:pPr>
      <w:r>
        <w:rPr>
          <w:sz w:val="24"/>
        </w:rPr>
        <w:t>as to whether or not Part J of Chapter 6A is to be applied to determine the pricing of </w:t>
      </w:r>
      <w:r>
        <w:rPr>
          <w:i/>
          <w:sz w:val="24"/>
        </w:rPr>
        <w:t>transmission standard control services </w:t>
      </w:r>
      <w:r>
        <w:rPr>
          <w:sz w:val="24"/>
        </w:rPr>
        <w:t>provided by any </w:t>
      </w:r>
      <w:r>
        <w:rPr>
          <w:i/>
          <w:sz w:val="24"/>
        </w:rPr>
        <w:t>dual function assets </w:t>
      </w:r>
      <w:r>
        <w:rPr>
          <w:sz w:val="24"/>
        </w:rPr>
        <w:t>owned, controlled </w:t>
      </w:r>
      <w:r>
        <w:rPr>
          <w:spacing w:val="-6"/>
          <w:sz w:val="24"/>
        </w:rPr>
        <w:t>or </w:t>
      </w:r>
      <w:r>
        <w:rPr>
          <w:sz w:val="24"/>
        </w:rPr>
        <w:t>operated by the </w:t>
      </w:r>
      <w:r>
        <w:rPr>
          <w:i/>
          <w:sz w:val="24"/>
        </w:rPr>
        <w:t>Distribution Network Service Provider</w:t>
      </w:r>
      <w:r>
        <w:rPr>
          <w:sz w:val="24"/>
        </w:rPr>
        <w:t>;</w:t>
      </w:r>
      <w:r>
        <w:rPr>
          <w:spacing w:val="-9"/>
          <w:sz w:val="24"/>
        </w:rPr>
        <w:t> </w:t>
      </w:r>
      <w:r>
        <w:rPr>
          <w:sz w:val="24"/>
        </w:rPr>
        <w:t>and</w:t>
      </w:r>
    </w:p>
    <w:p>
      <w:pPr>
        <w:spacing w:before="120"/>
        <w:ind w:left="3053" w:right="0" w:firstLine="0"/>
        <w:jc w:val="left"/>
        <w:rPr>
          <w:rFonts w:ascii="Arial"/>
          <w:b/>
          <w:sz w:val="20"/>
        </w:rPr>
      </w:pPr>
      <w:r>
        <w:rPr>
          <w:rFonts w:ascii="Arial"/>
          <w:b/>
          <w:sz w:val="20"/>
        </w:rPr>
        <w:t>Note:</w:t>
      </w:r>
    </w:p>
    <w:p>
      <w:pPr>
        <w:spacing w:before="120"/>
        <w:ind w:left="3053" w:right="0" w:firstLine="0"/>
        <w:jc w:val="both"/>
        <w:rPr>
          <w:sz w:val="20"/>
        </w:rPr>
      </w:pPr>
      <w:r>
        <w:rPr>
          <w:sz w:val="20"/>
        </w:rPr>
        <w:t>See clause 6.25(b).</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the </w:t>
      </w:r>
      <w:r>
        <w:rPr>
          <w:i/>
          <w:sz w:val="24"/>
        </w:rPr>
        <w:t>AER's </w:t>
      </w:r>
      <w:r>
        <w:rPr>
          <w:sz w:val="24"/>
        </w:rPr>
        <w:t>proposed approach (together with its reasons for the proposed approach), in the forthcoming distribution determination, to the following</w:t>
      </w:r>
      <w:r>
        <w:rPr>
          <w:spacing w:val="-1"/>
          <w:sz w:val="24"/>
        </w:rPr>
        <w:t> </w:t>
      </w:r>
      <w:r>
        <w:rPr>
          <w:sz w:val="24"/>
        </w:rPr>
        <w:t>matters:</w:t>
      </w:r>
    </w:p>
    <w:p>
      <w:pPr>
        <w:pStyle w:val="ListParagraph"/>
        <w:numPr>
          <w:ilvl w:val="5"/>
          <w:numId w:val="426"/>
        </w:numPr>
        <w:tabs>
          <w:tab w:pos="3053" w:val="left" w:leader="none"/>
        </w:tabs>
        <w:spacing w:line="240" w:lineRule="auto" w:before="120" w:after="0"/>
        <w:ind w:left="3052" w:right="0" w:hanging="567"/>
        <w:jc w:val="both"/>
        <w:rPr>
          <w:sz w:val="24"/>
        </w:rPr>
      </w:pPr>
      <w:r>
        <w:rPr>
          <w:sz w:val="24"/>
        </w:rPr>
        <w:t>the classification of </w:t>
      </w:r>
      <w:r>
        <w:rPr>
          <w:i/>
          <w:sz w:val="24"/>
        </w:rPr>
        <w:t>distribution services </w:t>
      </w:r>
      <w:r>
        <w:rPr>
          <w:sz w:val="24"/>
        </w:rPr>
        <w:t>under this</w:t>
      </w:r>
      <w:r>
        <w:rPr>
          <w:spacing w:val="-3"/>
          <w:sz w:val="24"/>
        </w:rPr>
        <w:t> </w:t>
      </w:r>
      <w:r>
        <w:rPr>
          <w:sz w:val="24"/>
        </w:rPr>
        <w:t>Chapter;</w:t>
      </w:r>
    </w:p>
    <w:p>
      <w:pPr>
        <w:pStyle w:val="ListParagraph"/>
        <w:numPr>
          <w:ilvl w:val="5"/>
          <w:numId w:val="426"/>
        </w:numPr>
        <w:tabs>
          <w:tab w:pos="3054" w:val="left" w:leader="none"/>
        </w:tabs>
        <w:spacing w:line="240" w:lineRule="auto" w:before="120" w:after="0"/>
        <w:ind w:left="3053" w:right="415" w:hanging="567"/>
        <w:jc w:val="both"/>
        <w:rPr>
          <w:sz w:val="24"/>
        </w:rPr>
      </w:pPr>
      <w:r>
        <w:rPr>
          <w:sz w:val="24"/>
        </w:rPr>
        <w:t>the formulae that give effect to the control mechanisms referred to in subparagraph</w:t>
      </w:r>
      <w:r>
        <w:rPr>
          <w:spacing w:val="-1"/>
          <w:sz w:val="24"/>
        </w:rPr>
        <w:t> </w:t>
      </w:r>
      <w:r>
        <w:rPr>
          <w:sz w:val="24"/>
        </w:rPr>
        <w:t>(1)(i);</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the application to the </w:t>
      </w:r>
      <w:r>
        <w:rPr>
          <w:i/>
          <w:sz w:val="24"/>
        </w:rPr>
        <w:t>Distribution Network Service Provider </w:t>
      </w:r>
      <w:r>
        <w:rPr>
          <w:sz w:val="24"/>
        </w:rPr>
        <w:t>of any </w:t>
      </w:r>
      <w:r>
        <w:rPr>
          <w:i/>
          <w:sz w:val="24"/>
        </w:rPr>
        <w:t>service target performance incentive</w:t>
      </w:r>
      <w:r>
        <w:rPr>
          <w:i/>
          <w:spacing w:val="-4"/>
          <w:sz w:val="24"/>
        </w:rPr>
        <w:t> </w:t>
      </w:r>
      <w:r>
        <w:rPr>
          <w:i/>
          <w:sz w:val="24"/>
        </w:rPr>
        <w:t>scheme</w:t>
      </w:r>
      <w:r>
        <w:rPr>
          <w:sz w:val="24"/>
        </w:rPr>
        <w:t>;</w:t>
      </w:r>
    </w:p>
    <w:p>
      <w:pPr>
        <w:pStyle w:val="ListParagraph"/>
        <w:numPr>
          <w:ilvl w:val="5"/>
          <w:numId w:val="426"/>
        </w:numPr>
        <w:tabs>
          <w:tab w:pos="3054" w:val="left" w:leader="none"/>
        </w:tabs>
        <w:spacing w:line="240" w:lineRule="auto" w:before="120" w:after="0"/>
        <w:ind w:left="3053" w:right="415" w:hanging="567"/>
        <w:jc w:val="both"/>
        <w:rPr>
          <w:sz w:val="24"/>
        </w:rPr>
      </w:pPr>
      <w:r>
        <w:rPr>
          <w:sz w:val="24"/>
        </w:rPr>
        <w:t>the application to the </w:t>
      </w:r>
      <w:r>
        <w:rPr>
          <w:i/>
          <w:sz w:val="24"/>
        </w:rPr>
        <w:t>Distribution Network Service Provider </w:t>
      </w:r>
      <w:r>
        <w:rPr>
          <w:sz w:val="24"/>
        </w:rPr>
        <w:t>of any </w:t>
      </w:r>
      <w:r>
        <w:rPr>
          <w:i/>
          <w:sz w:val="24"/>
        </w:rPr>
        <w:t>efficiency benefit sharing</w:t>
      </w:r>
      <w:r>
        <w:rPr>
          <w:i/>
          <w:spacing w:val="-4"/>
          <w:sz w:val="24"/>
        </w:rPr>
        <w:t> </w:t>
      </w:r>
      <w:r>
        <w:rPr>
          <w:i/>
          <w:sz w:val="24"/>
        </w:rPr>
        <w:t>scheme</w:t>
      </w:r>
      <w:r>
        <w:rPr>
          <w:sz w:val="24"/>
        </w:rPr>
        <w:t>;</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the application to the </w:t>
      </w:r>
      <w:r>
        <w:rPr>
          <w:i/>
          <w:sz w:val="24"/>
        </w:rPr>
        <w:t>Distribution Network Service Provider </w:t>
      </w:r>
      <w:r>
        <w:rPr>
          <w:sz w:val="24"/>
        </w:rPr>
        <w:t>of any </w:t>
      </w:r>
      <w:r>
        <w:rPr>
          <w:i/>
          <w:sz w:val="24"/>
        </w:rPr>
        <w:t>capital expenditure sharing</w:t>
      </w:r>
      <w:r>
        <w:rPr>
          <w:i/>
          <w:spacing w:val="-2"/>
          <w:sz w:val="24"/>
        </w:rPr>
        <w:t> </w:t>
      </w:r>
      <w:r>
        <w:rPr>
          <w:i/>
          <w:sz w:val="24"/>
        </w:rPr>
        <w:t>scheme</w:t>
      </w:r>
      <w:r>
        <w:rPr>
          <w:sz w:val="24"/>
        </w:rPr>
        <w:t>;</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the application to the </w:t>
      </w:r>
      <w:r>
        <w:rPr>
          <w:i/>
          <w:sz w:val="24"/>
        </w:rPr>
        <w:t>Distribution Network Service Provider </w:t>
      </w:r>
      <w:r>
        <w:rPr>
          <w:sz w:val="24"/>
        </w:rPr>
        <w:t>of any </w:t>
      </w:r>
      <w:r>
        <w:rPr>
          <w:i/>
          <w:sz w:val="24"/>
        </w:rPr>
        <w:t>demand management incentive scheme </w:t>
      </w:r>
      <w:r>
        <w:rPr>
          <w:sz w:val="24"/>
        </w:rPr>
        <w:t>or </w:t>
      </w:r>
      <w:r>
        <w:rPr>
          <w:i/>
          <w:sz w:val="24"/>
        </w:rPr>
        <w:t>demand </w:t>
      </w:r>
      <w:r>
        <w:rPr>
          <w:i/>
          <w:sz w:val="24"/>
        </w:rPr>
        <w:t>management innovation allowance</w:t>
      </w:r>
      <w:r>
        <w:rPr>
          <w:i/>
          <w:spacing w:val="-4"/>
          <w:sz w:val="24"/>
        </w:rPr>
        <w:t> </w:t>
      </w:r>
      <w:r>
        <w:rPr>
          <w:i/>
          <w:sz w:val="24"/>
        </w:rPr>
        <w:t>mechanism</w:t>
      </w:r>
      <w:r>
        <w:rPr>
          <w:sz w:val="24"/>
        </w:rPr>
        <w:t>;</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the application to the </w:t>
      </w:r>
      <w:r>
        <w:rPr>
          <w:i/>
          <w:sz w:val="24"/>
        </w:rPr>
        <w:t>Distribution Network Service Provider </w:t>
      </w:r>
      <w:r>
        <w:rPr>
          <w:sz w:val="24"/>
        </w:rPr>
        <w:t>of any </w:t>
      </w:r>
      <w:r>
        <w:rPr>
          <w:i/>
          <w:sz w:val="24"/>
        </w:rPr>
        <w:t>small-scale incentive</w:t>
      </w:r>
      <w:r>
        <w:rPr>
          <w:i/>
          <w:spacing w:val="-3"/>
          <w:sz w:val="24"/>
        </w:rPr>
        <w:t> </w:t>
      </w:r>
      <w:r>
        <w:rPr>
          <w:i/>
          <w:sz w:val="24"/>
        </w:rPr>
        <w:t>scheme</w:t>
      </w:r>
      <w:r>
        <w:rPr>
          <w:sz w:val="24"/>
        </w:rPr>
        <w:t>;</w:t>
      </w:r>
    </w:p>
    <w:p>
      <w:pPr>
        <w:pStyle w:val="ListParagraph"/>
        <w:numPr>
          <w:ilvl w:val="5"/>
          <w:numId w:val="426"/>
        </w:numPr>
        <w:tabs>
          <w:tab w:pos="3113" w:val="left" w:leader="none"/>
        </w:tabs>
        <w:spacing w:line="240" w:lineRule="auto" w:before="120" w:after="0"/>
        <w:ind w:left="3053" w:right="415" w:hanging="567"/>
        <w:jc w:val="both"/>
        <w:rPr>
          <w:sz w:val="24"/>
        </w:rPr>
      </w:pPr>
      <w:r>
        <w:rPr/>
        <w:tab/>
      </w:r>
      <w:r>
        <w:rPr>
          <w:sz w:val="24"/>
        </w:rPr>
        <w:t>the application to the </w:t>
      </w:r>
      <w:r>
        <w:rPr>
          <w:i/>
          <w:sz w:val="24"/>
        </w:rPr>
        <w:t>Distribution Network Service Provider </w:t>
      </w:r>
      <w:r>
        <w:rPr>
          <w:sz w:val="24"/>
        </w:rPr>
        <w:t>of the </w:t>
      </w:r>
      <w:r>
        <w:rPr>
          <w:i/>
          <w:sz w:val="24"/>
        </w:rPr>
        <w:t>Expenditure Forecast Assessment</w:t>
      </w:r>
      <w:r>
        <w:rPr>
          <w:i/>
          <w:spacing w:val="-2"/>
          <w:sz w:val="24"/>
        </w:rPr>
        <w:t> </w:t>
      </w:r>
      <w:r>
        <w:rPr>
          <w:i/>
          <w:sz w:val="24"/>
        </w:rPr>
        <w:t>Guidelines</w:t>
      </w:r>
      <w:r>
        <w:rPr>
          <w:sz w:val="24"/>
        </w:rPr>
        <w:t>;</w:t>
      </w:r>
    </w:p>
    <w:p>
      <w:pPr>
        <w:pStyle w:val="ListParagraph"/>
        <w:numPr>
          <w:ilvl w:val="5"/>
          <w:numId w:val="426"/>
        </w:numPr>
        <w:tabs>
          <w:tab w:pos="3054" w:val="left" w:leader="none"/>
        </w:tabs>
        <w:spacing w:line="240" w:lineRule="auto" w:before="120" w:after="0"/>
        <w:ind w:left="3053" w:right="415" w:hanging="567"/>
        <w:jc w:val="both"/>
        <w:rPr>
          <w:sz w:val="24"/>
        </w:rPr>
      </w:pPr>
      <w:r>
        <w:rPr>
          <w:sz w:val="24"/>
        </w:rPr>
        <w:t>whether depreciation for establishing the regulatory asset base for the relevant </w:t>
      </w:r>
      <w:r>
        <w:rPr>
          <w:i/>
          <w:sz w:val="24"/>
        </w:rPr>
        <w:t>distribution system </w:t>
      </w:r>
      <w:r>
        <w:rPr>
          <w:sz w:val="24"/>
        </w:rPr>
        <w:t>as at the commencement of the following </w:t>
      </w:r>
      <w:r>
        <w:rPr>
          <w:i/>
          <w:sz w:val="24"/>
        </w:rPr>
        <w:t>regulatory control period </w:t>
      </w:r>
      <w:r>
        <w:rPr>
          <w:sz w:val="24"/>
        </w:rPr>
        <w:t>is to be based on actual or forecast capital expenditure in accordance with clause S6.2.2B;</w:t>
      </w:r>
      <w:r>
        <w:rPr>
          <w:spacing w:val="-2"/>
          <w:sz w:val="24"/>
        </w:rPr>
        <w:t> </w:t>
      </w:r>
      <w:r>
        <w:rPr>
          <w:sz w:val="24"/>
        </w:rPr>
        <w:t>and</w:t>
      </w:r>
    </w:p>
    <w:p>
      <w:pPr>
        <w:pStyle w:val="ListParagraph"/>
        <w:numPr>
          <w:ilvl w:val="4"/>
          <w:numId w:val="426"/>
        </w:numPr>
        <w:tabs>
          <w:tab w:pos="2486" w:val="left" w:leader="none"/>
        </w:tabs>
        <w:spacing w:line="240" w:lineRule="auto" w:before="120" w:after="0"/>
        <w:ind w:left="2485" w:right="0" w:hanging="567"/>
        <w:jc w:val="both"/>
        <w:rPr>
          <w:sz w:val="24"/>
        </w:rPr>
      </w:pPr>
      <w:r>
        <w:rPr>
          <w:sz w:val="24"/>
        </w:rPr>
        <w:t>any content required under clause</w:t>
      </w:r>
      <w:r>
        <w:rPr>
          <w:spacing w:val="-1"/>
          <w:sz w:val="24"/>
        </w:rPr>
        <w:t> </w:t>
      </w:r>
      <w:r>
        <w:rPr>
          <w:sz w:val="24"/>
        </w:rPr>
        <w:t>6.2.8(c)(3).</w:t>
      </w:r>
    </w:p>
    <w:p>
      <w:pPr>
        <w:pStyle w:val="ListParagraph"/>
        <w:numPr>
          <w:ilvl w:val="3"/>
          <w:numId w:val="426"/>
        </w:numPr>
        <w:tabs>
          <w:tab w:pos="1919" w:val="left" w:leader="none"/>
        </w:tabs>
        <w:spacing w:line="240" w:lineRule="auto" w:before="120" w:after="0"/>
        <w:ind w:left="1919" w:right="415" w:hanging="567"/>
        <w:jc w:val="both"/>
        <w:rPr>
          <w:sz w:val="24"/>
        </w:rPr>
      </w:pPr>
      <w:r>
        <w:rPr>
          <w:sz w:val="24"/>
        </w:rPr>
        <w:t>If there is a </w:t>
      </w:r>
      <w:r>
        <w:rPr>
          <w:i/>
          <w:sz w:val="24"/>
        </w:rPr>
        <w:t>framework and approach paper </w:t>
      </w:r>
      <w:r>
        <w:rPr>
          <w:sz w:val="24"/>
        </w:rPr>
        <w:t>that would apply in respect of the distribution determination for a matter listed in paragraph (b)</w:t>
      </w:r>
      <w:r>
        <w:rPr>
          <w:spacing w:val="-4"/>
          <w:sz w:val="24"/>
        </w:rPr>
        <w:t> </w:t>
      </w:r>
      <w:r>
        <w:rPr>
          <w:sz w:val="24"/>
        </w:rPr>
        <w:t>then:</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no later than 32 months before the end of the </w:t>
      </w:r>
      <w:r>
        <w:rPr>
          <w:i/>
          <w:sz w:val="24"/>
        </w:rPr>
        <w:t>regulatory control </w:t>
      </w:r>
      <w:r>
        <w:rPr>
          <w:i/>
          <w:sz w:val="24"/>
        </w:rPr>
        <w:t>period </w:t>
      </w:r>
      <w:r>
        <w:rPr>
          <w:sz w:val="24"/>
        </w:rPr>
        <w:t>that precedes that for which the distribution determination is to be made, the </w:t>
      </w:r>
      <w:r>
        <w:rPr>
          <w:i/>
          <w:sz w:val="24"/>
        </w:rPr>
        <w:t>Distribution Network Service Provider </w:t>
      </w:r>
      <w:r>
        <w:rPr>
          <w:sz w:val="24"/>
        </w:rPr>
        <w:t>may request the </w:t>
      </w:r>
      <w:r>
        <w:rPr>
          <w:i/>
          <w:sz w:val="24"/>
        </w:rPr>
        <w:t>AER </w:t>
      </w:r>
      <w:r>
        <w:rPr>
          <w:sz w:val="24"/>
        </w:rPr>
        <w:t>in writing to make an amended or replacement </w:t>
      </w:r>
      <w:r>
        <w:rPr>
          <w:i/>
          <w:sz w:val="24"/>
        </w:rPr>
        <w:t>framework and </w:t>
      </w:r>
      <w:r>
        <w:rPr>
          <w:i/>
          <w:sz w:val="24"/>
        </w:rPr>
        <w:t>approach paper </w:t>
      </w:r>
      <w:r>
        <w:rPr>
          <w:sz w:val="24"/>
        </w:rPr>
        <w:t>in respect of a matter. The request must specify the </w:t>
      </w:r>
      <w:r>
        <w:rPr>
          <w:i/>
          <w:sz w:val="24"/>
        </w:rPr>
        <w:t>Distribution Network Service Provider's </w:t>
      </w:r>
      <w:r>
        <w:rPr>
          <w:sz w:val="24"/>
        </w:rPr>
        <w:t>reasons for making that request;</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no later than 31 months before the end of the </w:t>
      </w:r>
      <w:r>
        <w:rPr>
          <w:i/>
          <w:sz w:val="24"/>
        </w:rPr>
        <w:t>regulatory control </w:t>
      </w:r>
      <w:r>
        <w:rPr>
          <w:i/>
          <w:sz w:val="24"/>
        </w:rPr>
        <w:t>period </w:t>
      </w:r>
      <w:r>
        <w:rPr>
          <w:sz w:val="24"/>
        </w:rPr>
        <w:t>that precedes that for which the distribution determination is to be made, the </w:t>
      </w:r>
      <w:r>
        <w:rPr>
          <w:i/>
          <w:sz w:val="24"/>
        </w:rPr>
        <w:t>AER </w:t>
      </w:r>
      <w:r>
        <w:rPr>
          <w:sz w:val="24"/>
        </w:rPr>
        <w:t>must </w:t>
      </w:r>
      <w:r>
        <w:rPr>
          <w:i/>
          <w:sz w:val="24"/>
        </w:rPr>
        <w:t>publish </w:t>
      </w:r>
      <w:r>
        <w:rPr>
          <w:sz w:val="24"/>
        </w:rPr>
        <w:t>a notice inviting submissions on whether</w:t>
      </w:r>
      <w:r>
        <w:rPr>
          <w:spacing w:val="43"/>
          <w:sz w:val="24"/>
        </w:rPr>
        <w:t> </w:t>
      </w:r>
      <w:r>
        <w:rPr>
          <w:sz w:val="24"/>
        </w:rPr>
        <w:t>it</w:t>
      </w:r>
      <w:r>
        <w:rPr>
          <w:spacing w:val="44"/>
          <w:sz w:val="24"/>
        </w:rPr>
        <w:t> </w:t>
      </w:r>
      <w:r>
        <w:rPr>
          <w:sz w:val="24"/>
        </w:rPr>
        <w:t>is</w:t>
      </w:r>
      <w:r>
        <w:rPr>
          <w:spacing w:val="45"/>
          <w:sz w:val="24"/>
        </w:rPr>
        <w:t> </w:t>
      </w:r>
      <w:r>
        <w:rPr>
          <w:sz w:val="24"/>
        </w:rPr>
        <w:t>necessary</w:t>
      </w:r>
      <w:r>
        <w:rPr>
          <w:spacing w:val="44"/>
          <w:sz w:val="24"/>
        </w:rPr>
        <w:t> </w:t>
      </w:r>
      <w:r>
        <w:rPr>
          <w:sz w:val="24"/>
        </w:rPr>
        <w:t>or</w:t>
      </w:r>
      <w:r>
        <w:rPr>
          <w:spacing w:val="44"/>
          <w:sz w:val="24"/>
        </w:rPr>
        <w:t> </w:t>
      </w:r>
      <w:r>
        <w:rPr>
          <w:sz w:val="24"/>
        </w:rPr>
        <w:t>desirable</w:t>
      </w:r>
      <w:r>
        <w:rPr>
          <w:spacing w:val="44"/>
          <w:sz w:val="24"/>
        </w:rPr>
        <w:t> </w:t>
      </w:r>
      <w:r>
        <w:rPr>
          <w:sz w:val="24"/>
        </w:rPr>
        <w:t>to</w:t>
      </w:r>
      <w:r>
        <w:rPr>
          <w:spacing w:val="44"/>
          <w:sz w:val="24"/>
        </w:rPr>
        <w:t> </w:t>
      </w:r>
      <w:r>
        <w:rPr>
          <w:sz w:val="24"/>
        </w:rPr>
        <w:t>amend</w:t>
      </w:r>
      <w:r>
        <w:rPr>
          <w:spacing w:val="44"/>
          <w:sz w:val="24"/>
        </w:rPr>
        <w:t> </w:t>
      </w:r>
      <w:r>
        <w:rPr>
          <w:sz w:val="24"/>
        </w:rPr>
        <w:t>or</w:t>
      </w:r>
      <w:r>
        <w:rPr>
          <w:spacing w:val="44"/>
          <w:sz w:val="24"/>
        </w:rPr>
        <w:t> </w:t>
      </w:r>
      <w:r>
        <w:rPr>
          <w:sz w:val="24"/>
        </w:rPr>
        <w:t>replace</w:t>
      </w:r>
      <w:r>
        <w:rPr>
          <w:spacing w:val="44"/>
          <w:sz w:val="24"/>
        </w:rPr>
        <w:t> </w:t>
      </w:r>
      <w:r>
        <w:rPr>
          <w:sz w:val="24"/>
        </w:rPr>
        <w:t>that</w:t>
      </w:r>
    </w:p>
    <w:p>
      <w:pPr>
        <w:spacing w:after="0" w:line="240" w:lineRule="auto"/>
        <w:jc w:val="both"/>
        <w:rPr>
          <w:sz w:val="24"/>
        </w:rPr>
        <w:sectPr>
          <w:pgSz w:w="11910" w:h="16840"/>
          <w:pgMar w:header="686" w:footer="637" w:top="1320" w:bottom="820" w:left="1200" w:right="1000"/>
        </w:sectPr>
      </w:pPr>
    </w:p>
    <w:p>
      <w:pPr>
        <w:spacing w:before="83"/>
        <w:ind w:left="2486" w:right="414" w:firstLine="0"/>
        <w:jc w:val="both"/>
        <w:rPr>
          <w:sz w:val="24"/>
        </w:rPr>
      </w:pPr>
      <w:r>
        <w:rPr>
          <w:i/>
          <w:sz w:val="24"/>
        </w:rPr>
        <w:t>framework and approach paper </w:t>
      </w:r>
      <w:r>
        <w:rPr>
          <w:sz w:val="24"/>
        </w:rPr>
        <w:t>in so far as it relates to a matter (other than any matter specified in a request from the </w:t>
      </w:r>
      <w:r>
        <w:rPr>
          <w:i/>
          <w:sz w:val="24"/>
        </w:rPr>
        <w:t>Distribution Network </w:t>
      </w:r>
      <w:r>
        <w:rPr>
          <w:i/>
          <w:sz w:val="24"/>
        </w:rPr>
        <w:t>Service Provider </w:t>
      </w:r>
      <w:r>
        <w:rPr>
          <w:sz w:val="24"/>
        </w:rPr>
        <w:t>under subparagraph (1)); and</w:t>
      </w:r>
    </w:p>
    <w:p>
      <w:pPr>
        <w:pStyle w:val="ListParagraph"/>
        <w:numPr>
          <w:ilvl w:val="4"/>
          <w:numId w:val="426"/>
        </w:numPr>
        <w:tabs>
          <w:tab w:pos="2486" w:val="left" w:leader="none"/>
        </w:tabs>
        <w:spacing w:line="240" w:lineRule="auto" w:before="120" w:after="0"/>
        <w:ind w:left="2486" w:right="415" w:hanging="567"/>
        <w:jc w:val="both"/>
        <w:rPr>
          <w:sz w:val="24"/>
        </w:rPr>
      </w:pPr>
      <w:r>
        <w:rPr>
          <w:sz w:val="24"/>
        </w:rPr>
        <w:t>no later than 30 months before the end of the </w:t>
      </w:r>
      <w:r>
        <w:rPr>
          <w:i/>
          <w:sz w:val="24"/>
        </w:rPr>
        <w:t>regulatory control </w:t>
      </w:r>
      <w:r>
        <w:rPr>
          <w:i/>
          <w:sz w:val="24"/>
        </w:rPr>
        <w:t>period </w:t>
      </w:r>
      <w:r>
        <w:rPr>
          <w:sz w:val="24"/>
        </w:rPr>
        <w:t>that precedes that for which the distribution determination is to be made, the </w:t>
      </w:r>
      <w:r>
        <w:rPr>
          <w:i/>
          <w:sz w:val="24"/>
        </w:rPr>
        <w:t>AER </w:t>
      </w:r>
      <w:r>
        <w:rPr>
          <w:sz w:val="24"/>
        </w:rPr>
        <w:t>must make and </w:t>
      </w:r>
      <w:r>
        <w:rPr>
          <w:i/>
          <w:sz w:val="24"/>
        </w:rPr>
        <w:t>publish </w:t>
      </w:r>
      <w:r>
        <w:rPr>
          <w:sz w:val="24"/>
        </w:rPr>
        <w:t>a notice</w:t>
      </w:r>
      <w:r>
        <w:rPr>
          <w:spacing w:val="-2"/>
          <w:sz w:val="24"/>
        </w:rPr>
        <w:t> </w:t>
      </w:r>
      <w:r>
        <w:rPr>
          <w:sz w:val="24"/>
        </w:rPr>
        <w:t>that:</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states that it will make an amended or replacement </w:t>
      </w:r>
      <w:r>
        <w:rPr>
          <w:i/>
          <w:sz w:val="24"/>
        </w:rPr>
        <w:t>framework </w:t>
      </w:r>
      <w:r>
        <w:rPr>
          <w:i/>
          <w:sz w:val="24"/>
        </w:rPr>
        <w:t>and approach paper </w:t>
      </w:r>
      <w:r>
        <w:rPr>
          <w:sz w:val="24"/>
        </w:rPr>
        <w:t>in respect of the matters specified in a request from the </w:t>
      </w:r>
      <w:r>
        <w:rPr>
          <w:i/>
          <w:sz w:val="24"/>
        </w:rPr>
        <w:t>Distribution Network Service Provider </w:t>
      </w:r>
      <w:r>
        <w:rPr>
          <w:sz w:val="24"/>
        </w:rPr>
        <w:t>under subparagraph (1) (if</w:t>
      </w:r>
      <w:r>
        <w:rPr>
          <w:spacing w:val="-2"/>
          <w:sz w:val="24"/>
        </w:rPr>
        <w:t> </w:t>
      </w:r>
      <w:r>
        <w:rPr>
          <w:sz w:val="24"/>
        </w:rPr>
        <w:t>any);</w:t>
      </w:r>
    </w:p>
    <w:p>
      <w:pPr>
        <w:pStyle w:val="ListParagraph"/>
        <w:numPr>
          <w:ilvl w:val="5"/>
          <w:numId w:val="426"/>
        </w:numPr>
        <w:tabs>
          <w:tab w:pos="3054" w:val="left" w:leader="none"/>
        </w:tabs>
        <w:spacing w:line="240" w:lineRule="auto" w:before="120" w:after="0"/>
        <w:ind w:left="3053" w:right="416" w:hanging="567"/>
        <w:jc w:val="both"/>
        <w:rPr>
          <w:sz w:val="24"/>
        </w:rPr>
      </w:pPr>
      <w:r>
        <w:rPr>
          <w:sz w:val="24"/>
        </w:rPr>
        <w:t>if subparagraph (i) applies, is accompanied by a copy of the request from the </w:t>
      </w:r>
      <w:r>
        <w:rPr>
          <w:i/>
          <w:sz w:val="24"/>
        </w:rPr>
        <w:t>Distribution Network Service Provider </w:t>
      </w:r>
      <w:r>
        <w:rPr>
          <w:sz w:val="24"/>
        </w:rPr>
        <w:t>under subparagraph (1);</w:t>
      </w:r>
      <w:r>
        <w:rPr>
          <w:spacing w:val="-2"/>
          <w:sz w:val="24"/>
        </w:rPr>
        <w:t> </w:t>
      </w:r>
      <w:r>
        <w:rPr>
          <w:sz w:val="24"/>
        </w:rPr>
        <w:t>and</w:t>
      </w:r>
    </w:p>
    <w:p>
      <w:pPr>
        <w:pStyle w:val="ListParagraph"/>
        <w:numPr>
          <w:ilvl w:val="5"/>
          <w:numId w:val="426"/>
        </w:numPr>
        <w:tabs>
          <w:tab w:pos="3053" w:val="left" w:leader="none"/>
        </w:tabs>
        <w:spacing w:line="240" w:lineRule="auto" w:before="120" w:after="0"/>
        <w:ind w:left="3053" w:right="415" w:hanging="567"/>
        <w:jc w:val="both"/>
        <w:rPr>
          <w:sz w:val="24"/>
        </w:rPr>
      </w:pPr>
      <w:r>
        <w:rPr>
          <w:sz w:val="24"/>
        </w:rPr>
        <w:t>states whether it will make an amended or replacement </w:t>
      </w:r>
      <w:r>
        <w:rPr>
          <w:i/>
          <w:sz w:val="24"/>
        </w:rPr>
        <w:t>framework and approach paper </w:t>
      </w:r>
      <w:r>
        <w:rPr>
          <w:sz w:val="24"/>
        </w:rPr>
        <w:t>in respect of any matter </w:t>
      </w:r>
      <w:r>
        <w:rPr>
          <w:spacing w:val="-3"/>
          <w:sz w:val="24"/>
        </w:rPr>
        <w:t>other </w:t>
      </w:r>
      <w:r>
        <w:rPr>
          <w:sz w:val="24"/>
        </w:rPr>
        <w:t>than any matters referred to in subparagraph (i) above and, if so, the reasons why it considers that it is necessary or desirable to make an amended or replacement </w:t>
      </w:r>
      <w:r>
        <w:rPr>
          <w:i/>
          <w:sz w:val="24"/>
        </w:rPr>
        <w:t>framework and approach </w:t>
      </w:r>
      <w:r>
        <w:rPr>
          <w:i/>
          <w:sz w:val="24"/>
        </w:rPr>
        <w:t>paper </w:t>
      </w:r>
      <w:r>
        <w:rPr>
          <w:sz w:val="24"/>
        </w:rPr>
        <w:t>in respect of that</w:t>
      </w:r>
      <w:r>
        <w:rPr>
          <w:spacing w:val="-2"/>
          <w:sz w:val="24"/>
        </w:rPr>
        <w:t> </w:t>
      </w:r>
      <w:r>
        <w:rPr>
          <w:sz w:val="24"/>
        </w:rPr>
        <w:t>matter.</w:t>
      </w:r>
    </w:p>
    <w:p>
      <w:pPr>
        <w:pStyle w:val="ListParagraph"/>
        <w:numPr>
          <w:ilvl w:val="3"/>
          <w:numId w:val="426"/>
        </w:numPr>
        <w:tabs>
          <w:tab w:pos="1919" w:val="left" w:leader="none"/>
        </w:tabs>
        <w:spacing w:line="240" w:lineRule="auto" w:before="120" w:after="0"/>
        <w:ind w:left="1919" w:right="415" w:hanging="567"/>
        <w:jc w:val="both"/>
        <w:rPr>
          <w:sz w:val="24"/>
        </w:rPr>
      </w:pPr>
      <w:r>
        <w:rPr>
          <w:sz w:val="24"/>
        </w:rPr>
        <w:t>In making the decision referred to in paragraph (c)(3)(iii), the </w:t>
      </w:r>
      <w:r>
        <w:rPr>
          <w:i/>
          <w:sz w:val="24"/>
        </w:rPr>
        <w:t>AER </w:t>
      </w:r>
      <w:r>
        <w:rPr>
          <w:sz w:val="24"/>
        </w:rPr>
        <w:t>must have regard to any submissions made in response to the invitation under paragraph</w:t>
      </w:r>
      <w:r>
        <w:rPr>
          <w:spacing w:val="-1"/>
          <w:sz w:val="24"/>
        </w:rPr>
        <w:t> </w:t>
      </w:r>
      <w:r>
        <w:rPr>
          <w:sz w:val="24"/>
        </w:rPr>
        <w:t>(c)(2).</w:t>
      </w:r>
    </w:p>
    <w:p>
      <w:pPr>
        <w:pStyle w:val="ListParagraph"/>
        <w:numPr>
          <w:ilvl w:val="3"/>
          <w:numId w:val="426"/>
        </w:numPr>
        <w:tabs>
          <w:tab w:pos="1919" w:val="left" w:leader="none"/>
        </w:tabs>
        <w:spacing w:line="240" w:lineRule="auto" w:before="120" w:after="0"/>
        <w:ind w:left="1919" w:right="414" w:hanging="567"/>
        <w:jc w:val="both"/>
        <w:rPr>
          <w:sz w:val="24"/>
        </w:rPr>
      </w:pPr>
      <w:r>
        <w:rPr>
          <w:sz w:val="24"/>
        </w:rPr>
        <w:t>Where paragraph (a) applies then, at least 23 months before the end of the current </w:t>
      </w:r>
      <w:r>
        <w:rPr>
          <w:i/>
          <w:sz w:val="24"/>
        </w:rPr>
        <w:t>regulatory control period</w:t>
      </w:r>
      <w:r>
        <w:rPr>
          <w:sz w:val="24"/>
        </w:rPr>
        <w:t>, the </w:t>
      </w:r>
      <w:r>
        <w:rPr>
          <w:i/>
          <w:sz w:val="24"/>
        </w:rPr>
        <w:t>AER </w:t>
      </w:r>
      <w:r>
        <w:rPr>
          <w:sz w:val="24"/>
        </w:rPr>
        <w:t>must, after consulting with the relevant </w:t>
      </w:r>
      <w:r>
        <w:rPr>
          <w:i/>
          <w:sz w:val="24"/>
        </w:rPr>
        <w:t>Distribution Network Service Provider </w:t>
      </w:r>
      <w:r>
        <w:rPr>
          <w:sz w:val="24"/>
        </w:rPr>
        <w:t>and other persons as the </w:t>
      </w:r>
      <w:r>
        <w:rPr>
          <w:i/>
          <w:sz w:val="24"/>
        </w:rPr>
        <w:t>AER </w:t>
      </w:r>
      <w:r>
        <w:rPr>
          <w:sz w:val="24"/>
        </w:rPr>
        <w:t>considers appropriate, make, amend or replace the </w:t>
      </w:r>
      <w:r>
        <w:rPr>
          <w:i/>
          <w:sz w:val="24"/>
        </w:rPr>
        <w:t>framework</w:t>
      </w:r>
      <w:r>
        <w:rPr>
          <w:i/>
          <w:spacing w:val="38"/>
          <w:sz w:val="24"/>
        </w:rPr>
        <w:t> </w:t>
      </w:r>
      <w:r>
        <w:rPr>
          <w:i/>
          <w:sz w:val="24"/>
        </w:rPr>
        <w:t>and </w:t>
      </w:r>
      <w:r>
        <w:rPr>
          <w:i/>
          <w:sz w:val="24"/>
        </w:rPr>
        <w:t>approach paper</w:t>
      </w:r>
      <w:r>
        <w:rPr>
          <w:sz w:val="24"/>
        </w:rPr>
        <w:t>, as the case may be,</w:t>
      </w:r>
      <w:r>
        <w:rPr>
          <w:spacing w:val="-2"/>
          <w:sz w:val="24"/>
        </w:rPr>
        <w:t> </w:t>
      </w:r>
      <w:r>
        <w:rPr>
          <w:sz w:val="24"/>
        </w:rPr>
        <w:t>and:</w:t>
      </w:r>
    </w:p>
    <w:p>
      <w:pPr>
        <w:pStyle w:val="ListParagraph"/>
        <w:numPr>
          <w:ilvl w:val="4"/>
          <w:numId w:val="426"/>
        </w:numPr>
        <w:tabs>
          <w:tab w:pos="2485" w:val="left" w:leader="none"/>
          <w:tab w:pos="2486" w:val="left" w:leader="none"/>
        </w:tabs>
        <w:spacing w:line="240" w:lineRule="auto" w:before="120" w:after="0"/>
        <w:ind w:left="2486" w:right="415" w:hanging="567"/>
        <w:jc w:val="left"/>
        <w:rPr>
          <w:sz w:val="24"/>
        </w:rPr>
      </w:pPr>
      <w:r>
        <w:rPr>
          <w:sz w:val="24"/>
        </w:rPr>
        <w:t>give a copy of it to the relevant </w:t>
      </w:r>
      <w:r>
        <w:rPr>
          <w:i/>
          <w:sz w:val="24"/>
        </w:rPr>
        <w:t>Distribution Network Service </w:t>
      </w:r>
      <w:r>
        <w:rPr>
          <w:i/>
          <w:sz w:val="24"/>
        </w:rPr>
        <w:t>Provider</w:t>
      </w:r>
      <w:r>
        <w:rPr>
          <w:sz w:val="24"/>
        </w:rPr>
        <w:t>;</w:t>
      </w:r>
      <w:r>
        <w:rPr>
          <w:spacing w:val="-1"/>
          <w:sz w:val="24"/>
        </w:rPr>
        <w:t> </w:t>
      </w:r>
      <w:r>
        <w:rPr>
          <w:sz w:val="24"/>
        </w:rPr>
        <w:t>and</w:t>
      </w:r>
    </w:p>
    <w:p>
      <w:pPr>
        <w:pStyle w:val="ListParagraph"/>
        <w:numPr>
          <w:ilvl w:val="4"/>
          <w:numId w:val="426"/>
        </w:numPr>
        <w:tabs>
          <w:tab w:pos="2485" w:val="left" w:leader="none"/>
          <w:tab w:pos="2486" w:val="left" w:leader="none"/>
        </w:tabs>
        <w:spacing w:line="240" w:lineRule="auto" w:before="120" w:after="0"/>
        <w:ind w:left="2485" w:right="0" w:hanging="567"/>
        <w:jc w:val="left"/>
        <w:rPr>
          <w:sz w:val="24"/>
        </w:rPr>
      </w:pPr>
      <w:r>
        <w:rPr>
          <w:i/>
          <w:sz w:val="24"/>
        </w:rPr>
        <w:t>publish </w:t>
      </w:r>
      <w:r>
        <w:rPr>
          <w:sz w:val="24"/>
        </w:rPr>
        <w:t>it,</w:t>
      </w:r>
    </w:p>
    <w:p>
      <w:pPr>
        <w:pStyle w:val="BodyText"/>
        <w:ind w:left="1919" w:firstLine="0"/>
        <w:jc w:val="left"/>
      </w:pPr>
      <w:r>
        <w:rPr/>
        <w:t>as soon as is reasonably practicable.</w:t>
      </w:r>
    </w:p>
    <w:p>
      <w:pPr>
        <w:pStyle w:val="ListParagraph"/>
        <w:numPr>
          <w:ilvl w:val="3"/>
          <w:numId w:val="426"/>
        </w:numPr>
        <w:tabs>
          <w:tab w:pos="1920" w:val="left" w:leader="none"/>
        </w:tabs>
        <w:spacing w:line="240" w:lineRule="auto" w:before="120" w:after="0"/>
        <w:ind w:left="1919" w:right="414" w:hanging="567"/>
        <w:jc w:val="both"/>
        <w:rPr>
          <w:sz w:val="24"/>
        </w:rPr>
      </w:pPr>
      <w:r>
        <w:rPr>
          <w:sz w:val="24"/>
        </w:rPr>
        <w:t>Subject to clauses 6.12.3 and 6.25(d), a </w:t>
      </w:r>
      <w:r>
        <w:rPr>
          <w:i/>
          <w:sz w:val="24"/>
        </w:rPr>
        <w:t>framework and approach paper </w:t>
      </w:r>
      <w:r>
        <w:rPr>
          <w:sz w:val="24"/>
        </w:rPr>
        <w:t>is not binding on the </w:t>
      </w:r>
      <w:r>
        <w:rPr>
          <w:i/>
          <w:sz w:val="24"/>
        </w:rPr>
        <w:t>AER </w:t>
      </w:r>
      <w:r>
        <w:rPr>
          <w:sz w:val="24"/>
        </w:rPr>
        <w:t>or a </w:t>
      </w:r>
      <w:r>
        <w:rPr>
          <w:i/>
          <w:sz w:val="24"/>
        </w:rPr>
        <w:t>Distribution Network Service</w:t>
      </w:r>
      <w:r>
        <w:rPr>
          <w:i/>
          <w:spacing w:val="-4"/>
          <w:sz w:val="24"/>
        </w:rPr>
        <w:t> </w:t>
      </w:r>
      <w:r>
        <w:rPr>
          <w:i/>
          <w:sz w:val="24"/>
        </w:rPr>
        <w:t>Provider</w:t>
      </w:r>
      <w:r>
        <w:rPr>
          <w:sz w:val="24"/>
        </w:rPr>
        <w:t>.</w:t>
      </w:r>
    </w:p>
    <w:p>
      <w:pPr>
        <w:pStyle w:val="ListParagraph"/>
        <w:numPr>
          <w:ilvl w:val="3"/>
          <w:numId w:val="426"/>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make and </w:t>
      </w:r>
      <w:r>
        <w:rPr>
          <w:i/>
          <w:sz w:val="24"/>
        </w:rPr>
        <w:t>publish </w:t>
      </w:r>
      <w:r>
        <w:rPr>
          <w:sz w:val="24"/>
        </w:rPr>
        <w:t>a </w:t>
      </w:r>
      <w:r>
        <w:rPr>
          <w:i/>
          <w:sz w:val="24"/>
        </w:rPr>
        <w:t>framework and approach paper </w:t>
      </w:r>
      <w:r>
        <w:rPr>
          <w:spacing w:val="-4"/>
          <w:sz w:val="24"/>
        </w:rPr>
        <w:t>that </w:t>
      </w:r>
      <w:r>
        <w:rPr>
          <w:sz w:val="24"/>
        </w:rPr>
        <w:t>applies in respect of a distribution determination for a matter that is not listed in paragraph (b) and, if it does so, this clause 6.8.1 applies as if that matter were listed in paragraph</w:t>
      </w:r>
      <w:r>
        <w:rPr>
          <w:spacing w:val="-3"/>
          <w:sz w:val="24"/>
        </w:rPr>
        <w:t> </w:t>
      </w:r>
      <w:r>
        <w:rPr>
          <w:sz w:val="24"/>
        </w:rPr>
        <w:t>(b).</w:t>
      </w:r>
    </w:p>
    <w:p>
      <w:pPr>
        <w:pStyle w:val="BodyText"/>
        <w:spacing w:before="10"/>
        <w:ind w:firstLine="0"/>
        <w:jc w:val="left"/>
        <w:rPr>
          <w:sz w:val="20"/>
        </w:rPr>
      </w:pPr>
    </w:p>
    <w:p>
      <w:pPr>
        <w:pStyle w:val="Heading4"/>
        <w:numPr>
          <w:ilvl w:val="2"/>
          <w:numId w:val="427"/>
        </w:numPr>
        <w:tabs>
          <w:tab w:pos="753" w:val="left" w:leader="none"/>
          <w:tab w:pos="1351" w:val="left" w:leader="none"/>
        </w:tabs>
        <w:spacing w:line="240" w:lineRule="auto" w:before="0" w:after="0"/>
        <w:ind w:left="752" w:right="0" w:hanging="535"/>
        <w:jc w:val="left"/>
      </w:pPr>
      <w:bookmarkStart w:name="6.8.1A Notification of approach to forec" w:id="1437"/>
      <w:bookmarkEnd w:id="1437"/>
      <w:r>
        <w:rPr>
          <w:b w:val="0"/>
        </w:rPr>
      </w:r>
      <w:bookmarkStart w:name="_bookmark580" w:id="1438"/>
      <w:bookmarkEnd w:id="1438"/>
      <w:r>
        <w:rPr>
          <w:b w:val="0"/>
        </w:rPr>
      </w:r>
      <w:bookmarkStart w:name="_bookmark580" w:id="1439"/>
      <w:bookmarkEnd w:id="1439"/>
      <w:r>
        <w:rPr/>
        <w:t>A</w:t>
      </w:r>
      <w:r>
        <w:rPr/>
        <w:tab/>
        <w:t>Notification of approach to forecasting</w:t>
      </w:r>
      <w:r>
        <w:rPr>
          <w:spacing w:val="-7"/>
        </w:rPr>
        <w:t> </w:t>
      </w:r>
      <w:r>
        <w:rPr/>
        <w:t>expenditure</w:t>
      </w:r>
    </w:p>
    <w:p>
      <w:pPr>
        <w:pStyle w:val="ListParagraph"/>
        <w:numPr>
          <w:ilvl w:val="3"/>
          <w:numId w:val="427"/>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inform the </w:t>
      </w:r>
      <w:r>
        <w:rPr>
          <w:i/>
          <w:sz w:val="24"/>
        </w:rPr>
        <w:t>AER </w:t>
      </w:r>
      <w:r>
        <w:rPr>
          <w:sz w:val="24"/>
        </w:rPr>
        <w:t>of the methodology it proposes to use to prepare the forecasts of </w:t>
      </w:r>
      <w:r>
        <w:rPr>
          <w:spacing w:val="-3"/>
          <w:sz w:val="24"/>
        </w:rPr>
        <w:t>operating </w:t>
      </w:r>
      <w:r>
        <w:rPr>
          <w:sz w:val="24"/>
        </w:rPr>
        <w:t>expenditure and capital expenditure that form part of its </w:t>
      </w:r>
      <w:r>
        <w:rPr>
          <w:i/>
          <w:sz w:val="24"/>
        </w:rPr>
        <w:t>regulatory </w:t>
      </w:r>
      <w:r>
        <w:rPr>
          <w:i/>
          <w:sz w:val="24"/>
        </w:rPr>
        <w:t>proposal</w:t>
      </w:r>
      <w:r>
        <w:rPr>
          <w:sz w:val="24"/>
        </w:rPr>
        <w:t>.</w:t>
      </w:r>
    </w:p>
    <w:p>
      <w:pPr>
        <w:pStyle w:val="ListParagraph"/>
        <w:numPr>
          <w:ilvl w:val="3"/>
          <w:numId w:val="42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submit the information referred to in paragraph</w:t>
      </w:r>
      <w:r>
        <w:rPr>
          <w:spacing w:val="-1"/>
          <w:sz w:val="24"/>
        </w:rPr>
        <w:t> </w:t>
      </w:r>
      <w:r>
        <w:rPr>
          <w:sz w:val="24"/>
        </w:rPr>
        <w:t>(a):</w:t>
      </w:r>
    </w:p>
    <w:p>
      <w:pPr>
        <w:spacing w:after="0" w:line="240" w:lineRule="auto"/>
        <w:jc w:val="both"/>
        <w:rPr>
          <w:sz w:val="24"/>
        </w:rPr>
        <w:sectPr>
          <w:pgSz w:w="11910" w:h="16840"/>
          <w:pgMar w:header="686" w:footer="637" w:top="1320" w:bottom="820" w:left="1200" w:right="1000"/>
        </w:sectPr>
      </w:pPr>
    </w:p>
    <w:p>
      <w:pPr>
        <w:pStyle w:val="ListParagraph"/>
        <w:numPr>
          <w:ilvl w:val="4"/>
          <w:numId w:val="427"/>
        </w:numPr>
        <w:tabs>
          <w:tab w:pos="2486" w:val="left" w:leader="none"/>
        </w:tabs>
        <w:spacing w:line="240" w:lineRule="auto" w:before="83" w:after="0"/>
        <w:ind w:left="2486" w:right="415" w:hanging="567"/>
        <w:jc w:val="both"/>
        <w:rPr>
          <w:sz w:val="24"/>
        </w:rPr>
      </w:pPr>
      <w:r>
        <w:rPr>
          <w:sz w:val="24"/>
        </w:rPr>
        <w:t>at least 24 months before the expiry of a distribution determination that applies to the </w:t>
      </w:r>
      <w:r>
        <w:rPr>
          <w:i/>
          <w:sz w:val="24"/>
        </w:rPr>
        <w:t>Distribution Network Service Provider</w:t>
      </w:r>
      <w:r>
        <w:rPr>
          <w:sz w:val="24"/>
        </w:rPr>
        <w:t>;</w:t>
      </w:r>
      <w:r>
        <w:rPr>
          <w:spacing w:val="-3"/>
          <w:sz w:val="24"/>
        </w:rPr>
        <w:t> </w:t>
      </w:r>
      <w:r>
        <w:rPr>
          <w:sz w:val="24"/>
        </w:rPr>
        <w:t>or</w:t>
      </w:r>
    </w:p>
    <w:p>
      <w:pPr>
        <w:pStyle w:val="ListParagraph"/>
        <w:numPr>
          <w:ilvl w:val="4"/>
          <w:numId w:val="427"/>
        </w:numPr>
        <w:tabs>
          <w:tab w:pos="2486" w:val="left" w:leader="none"/>
        </w:tabs>
        <w:spacing w:line="240" w:lineRule="auto" w:before="120" w:after="0"/>
        <w:ind w:left="2486" w:right="416" w:hanging="567"/>
        <w:jc w:val="both"/>
        <w:rPr>
          <w:sz w:val="24"/>
        </w:rPr>
      </w:pPr>
      <w:r>
        <w:rPr>
          <w:sz w:val="24"/>
        </w:rPr>
        <w:t>if no distribution determination applies to the </w:t>
      </w:r>
      <w:r>
        <w:rPr>
          <w:i/>
          <w:sz w:val="24"/>
        </w:rPr>
        <w:t>Distribution Network </w:t>
      </w:r>
      <w:r>
        <w:rPr>
          <w:i/>
          <w:sz w:val="24"/>
        </w:rPr>
        <w:t>Service Provider</w:t>
      </w:r>
      <w:r>
        <w:rPr>
          <w:sz w:val="24"/>
        </w:rPr>
        <w:t>, within 3 months after being required to do so by the </w:t>
      </w:r>
      <w:r>
        <w:rPr>
          <w:i/>
          <w:sz w:val="24"/>
        </w:rPr>
        <w:t>AER</w:t>
      </w:r>
      <w:r>
        <w:rPr>
          <w:sz w:val="24"/>
        </w:rPr>
        <w:t>.</w:t>
      </w:r>
    </w:p>
    <w:p>
      <w:pPr>
        <w:pStyle w:val="BodyText"/>
        <w:spacing w:before="10"/>
        <w:ind w:firstLine="0"/>
        <w:jc w:val="left"/>
        <w:rPr>
          <w:sz w:val="20"/>
        </w:rPr>
      </w:pPr>
    </w:p>
    <w:p>
      <w:pPr>
        <w:pStyle w:val="Heading4"/>
        <w:numPr>
          <w:ilvl w:val="2"/>
          <w:numId w:val="427"/>
        </w:numPr>
        <w:tabs>
          <w:tab w:pos="1351" w:val="left" w:leader="none"/>
          <w:tab w:pos="1352" w:val="left" w:leader="none"/>
        </w:tabs>
        <w:spacing w:line="240" w:lineRule="auto" w:before="0" w:after="0"/>
        <w:ind w:left="1352" w:right="912" w:hanging="1134"/>
        <w:jc w:val="left"/>
      </w:pPr>
      <w:bookmarkStart w:name="6.8.2 Submission of regulatory proposal," w:id="1440"/>
      <w:bookmarkEnd w:id="1440"/>
      <w:r>
        <w:rPr>
          <w:b w:val="0"/>
        </w:rPr>
      </w:r>
      <w:bookmarkStart w:name="_bookmark581" w:id="1441"/>
      <w:bookmarkEnd w:id="1441"/>
      <w:r>
        <w:rPr>
          <w:b w:val="0"/>
        </w:rPr>
      </w:r>
      <w:bookmarkStart w:name="_bookmark581" w:id="1442"/>
      <w:bookmarkEnd w:id="1442"/>
      <w:r>
        <w:rPr/>
        <w:t>Submission</w:t>
      </w:r>
      <w:r>
        <w:rPr/>
        <w:t> of regulatory proposal, tariff structure statement and exemption</w:t>
      </w:r>
      <w:r>
        <w:rPr>
          <w:spacing w:val="-1"/>
        </w:rPr>
        <w:t> </w:t>
      </w:r>
      <w:r>
        <w:rPr/>
        <w:t>application</w:t>
      </w:r>
    </w:p>
    <w:p>
      <w:pPr>
        <w:pStyle w:val="ListParagraph"/>
        <w:numPr>
          <w:ilvl w:val="3"/>
          <w:numId w:val="427"/>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whenever required to do so under paragraph (b), submit to the </w:t>
      </w:r>
      <w:r>
        <w:rPr>
          <w:i/>
          <w:sz w:val="24"/>
        </w:rPr>
        <w:t>AER </w:t>
      </w:r>
      <w:r>
        <w:rPr>
          <w:sz w:val="24"/>
        </w:rPr>
        <w:t>a </w:t>
      </w:r>
      <w:r>
        <w:rPr>
          <w:i/>
          <w:sz w:val="24"/>
        </w:rPr>
        <w:t>regulatory proposal </w:t>
      </w:r>
      <w:r>
        <w:rPr>
          <w:sz w:val="24"/>
        </w:rPr>
        <w:t>and a proposed </w:t>
      </w:r>
      <w:r>
        <w:rPr>
          <w:i/>
          <w:sz w:val="24"/>
        </w:rPr>
        <w:t>tariff structure statement </w:t>
      </w:r>
      <w:r>
        <w:rPr>
          <w:sz w:val="24"/>
        </w:rPr>
        <w:t>related to the </w:t>
      </w:r>
      <w:r>
        <w:rPr>
          <w:i/>
          <w:sz w:val="24"/>
        </w:rPr>
        <w:t>distribution services </w:t>
      </w:r>
      <w:r>
        <w:rPr>
          <w:sz w:val="24"/>
        </w:rPr>
        <w:t>provided by means of, or in connection with, the </w:t>
      </w:r>
      <w:r>
        <w:rPr>
          <w:i/>
          <w:sz w:val="24"/>
        </w:rPr>
        <w:t>Distribution</w:t>
      </w:r>
      <w:r>
        <w:rPr>
          <w:i/>
          <w:spacing w:val="34"/>
          <w:sz w:val="24"/>
        </w:rPr>
        <w:t> </w:t>
      </w:r>
      <w:r>
        <w:rPr>
          <w:i/>
          <w:sz w:val="24"/>
        </w:rPr>
        <w:t>Network </w:t>
      </w:r>
      <w:r>
        <w:rPr>
          <w:i/>
          <w:sz w:val="24"/>
        </w:rPr>
        <w:t>Service Provider's distribution</w:t>
      </w:r>
      <w:r>
        <w:rPr>
          <w:i/>
          <w:spacing w:val="-2"/>
          <w:sz w:val="24"/>
        </w:rPr>
        <w:t> </w:t>
      </w:r>
      <w:r>
        <w:rPr>
          <w:i/>
          <w:sz w:val="24"/>
        </w:rPr>
        <w:t>system</w:t>
      </w:r>
      <w:r>
        <w:rPr>
          <w:sz w:val="24"/>
        </w:rPr>
        <w:t>.</w:t>
      </w:r>
    </w:p>
    <w:p>
      <w:pPr>
        <w:spacing w:before="120"/>
        <w:ind w:left="1919" w:right="415" w:hanging="567"/>
        <w:jc w:val="both"/>
        <w:rPr>
          <w:sz w:val="24"/>
        </w:rPr>
      </w:pPr>
      <w:r>
        <w:rPr>
          <w:sz w:val="24"/>
        </w:rPr>
        <w:t>(a1) A </w:t>
      </w:r>
      <w:r>
        <w:rPr>
          <w:i/>
          <w:sz w:val="24"/>
        </w:rPr>
        <w:t>Distribution Network Service Provider </w:t>
      </w:r>
      <w:r>
        <w:rPr>
          <w:sz w:val="24"/>
        </w:rPr>
        <w:t>must submit to the </w:t>
      </w:r>
      <w:r>
        <w:rPr>
          <w:i/>
          <w:sz w:val="24"/>
        </w:rPr>
        <w:t>AER </w:t>
      </w:r>
      <w:r>
        <w:rPr>
          <w:sz w:val="24"/>
        </w:rPr>
        <w:t>any </w:t>
      </w:r>
      <w:r>
        <w:rPr>
          <w:i/>
          <w:sz w:val="24"/>
        </w:rPr>
        <w:t>exemption application </w:t>
      </w:r>
      <w:r>
        <w:rPr>
          <w:sz w:val="24"/>
        </w:rPr>
        <w:t>for an </w:t>
      </w:r>
      <w:r>
        <w:rPr>
          <w:i/>
          <w:sz w:val="24"/>
        </w:rPr>
        <w:t>asset exemption </w:t>
      </w:r>
      <w:r>
        <w:rPr>
          <w:sz w:val="24"/>
        </w:rPr>
        <w:t>under clause 6.4B.1(a)(1) or 6.4B.1(a)(2) for the </w:t>
      </w:r>
      <w:r>
        <w:rPr>
          <w:i/>
          <w:sz w:val="24"/>
        </w:rPr>
        <w:t>regulatory control period </w:t>
      </w:r>
      <w:r>
        <w:rPr>
          <w:sz w:val="24"/>
        </w:rPr>
        <w:t>at the same time as submitting the relevant </w:t>
      </w:r>
      <w:r>
        <w:rPr>
          <w:i/>
          <w:sz w:val="24"/>
        </w:rPr>
        <w:t>regulatory proposal </w:t>
      </w:r>
      <w:r>
        <w:rPr>
          <w:sz w:val="24"/>
        </w:rPr>
        <w:t>under paragraph (a).</w:t>
      </w:r>
    </w:p>
    <w:p>
      <w:pPr>
        <w:pStyle w:val="ListParagraph"/>
        <w:numPr>
          <w:ilvl w:val="3"/>
          <w:numId w:val="427"/>
        </w:numPr>
        <w:tabs>
          <w:tab w:pos="1919" w:val="left" w:leader="none"/>
        </w:tabs>
        <w:spacing w:line="240" w:lineRule="auto" w:before="120" w:after="0"/>
        <w:ind w:left="1919" w:right="416" w:hanging="567"/>
        <w:jc w:val="both"/>
        <w:rPr>
          <w:sz w:val="24"/>
        </w:rPr>
      </w:pPr>
      <w:r>
        <w:rPr>
          <w:sz w:val="24"/>
        </w:rPr>
        <w:t>A </w:t>
      </w:r>
      <w:r>
        <w:rPr>
          <w:i/>
          <w:sz w:val="24"/>
        </w:rPr>
        <w:t>regulatory proposal</w:t>
      </w:r>
      <w:r>
        <w:rPr>
          <w:sz w:val="24"/>
        </w:rPr>
        <w:t>, a proposed </w:t>
      </w:r>
      <w:r>
        <w:rPr>
          <w:i/>
          <w:sz w:val="24"/>
        </w:rPr>
        <w:t>tariff structure statement </w:t>
      </w:r>
      <w:r>
        <w:rPr>
          <w:sz w:val="24"/>
        </w:rPr>
        <w:t>and, if required under paragraph (a1), an </w:t>
      </w:r>
      <w:r>
        <w:rPr>
          <w:i/>
          <w:sz w:val="24"/>
        </w:rPr>
        <w:t>exemption application </w:t>
      </w:r>
      <w:r>
        <w:rPr>
          <w:sz w:val="24"/>
        </w:rPr>
        <w:t>must be</w:t>
      </w:r>
      <w:r>
        <w:rPr>
          <w:spacing w:val="-6"/>
          <w:sz w:val="24"/>
        </w:rPr>
        <w:t> </w:t>
      </w:r>
      <w:r>
        <w:rPr>
          <w:sz w:val="24"/>
        </w:rPr>
        <w:t>submitted:</w:t>
      </w:r>
    </w:p>
    <w:p>
      <w:pPr>
        <w:pStyle w:val="ListParagraph"/>
        <w:numPr>
          <w:ilvl w:val="4"/>
          <w:numId w:val="427"/>
        </w:numPr>
        <w:tabs>
          <w:tab w:pos="2486" w:val="left" w:leader="none"/>
        </w:tabs>
        <w:spacing w:line="240" w:lineRule="auto" w:before="120" w:after="0"/>
        <w:ind w:left="2486" w:right="415" w:hanging="567"/>
        <w:jc w:val="both"/>
        <w:rPr>
          <w:sz w:val="24"/>
        </w:rPr>
      </w:pPr>
      <w:r>
        <w:rPr>
          <w:sz w:val="24"/>
        </w:rPr>
        <w:t>at least 17 months before the expiry of a distribution determination that applies to the </w:t>
      </w:r>
      <w:r>
        <w:rPr>
          <w:i/>
          <w:sz w:val="24"/>
        </w:rPr>
        <w:t>Distribution Network Service Provider</w:t>
      </w:r>
      <w:r>
        <w:rPr>
          <w:sz w:val="24"/>
        </w:rPr>
        <w:t>;</w:t>
      </w:r>
      <w:r>
        <w:rPr>
          <w:spacing w:val="-3"/>
          <w:sz w:val="24"/>
        </w:rPr>
        <w:t> </w:t>
      </w:r>
      <w:r>
        <w:rPr>
          <w:sz w:val="24"/>
        </w:rPr>
        <w:t>or</w:t>
      </w:r>
    </w:p>
    <w:p>
      <w:pPr>
        <w:pStyle w:val="ListParagraph"/>
        <w:numPr>
          <w:ilvl w:val="4"/>
          <w:numId w:val="427"/>
        </w:numPr>
        <w:tabs>
          <w:tab w:pos="2486" w:val="left" w:leader="none"/>
        </w:tabs>
        <w:spacing w:line="240" w:lineRule="auto" w:before="120" w:after="0"/>
        <w:ind w:left="2486" w:right="416" w:hanging="567"/>
        <w:jc w:val="both"/>
        <w:rPr>
          <w:sz w:val="24"/>
        </w:rPr>
      </w:pPr>
      <w:r>
        <w:rPr>
          <w:sz w:val="24"/>
        </w:rPr>
        <w:t>if no distribution determination applies to the </w:t>
      </w:r>
      <w:r>
        <w:rPr>
          <w:i/>
          <w:sz w:val="24"/>
        </w:rPr>
        <w:t>Distribution Network </w:t>
      </w:r>
      <w:r>
        <w:rPr>
          <w:i/>
          <w:sz w:val="24"/>
        </w:rPr>
        <w:t>Service Provider</w:t>
      </w:r>
      <w:r>
        <w:rPr>
          <w:sz w:val="24"/>
        </w:rPr>
        <w:t>, within 3 months after being required to do so by the </w:t>
      </w:r>
      <w:r>
        <w:rPr>
          <w:i/>
          <w:sz w:val="24"/>
        </w:rPr>
        <w:t>AER</w:t>
      </w:r>
      <w:r>
        <w:rPr>
          <w:sz w:val="24"/>
        </w:rPr>
        <w:t>.</w:t>
      </w:r>
    </w:p>
    <w:p>
      <w:pPr>
        <w:pStyle w:val="ListParagraph"/>
        <w:numPr>
          <w:ilvl w:val="3"/>
          <w:numId w:val="427"/>
        </w:numPr>
        <w:tabs>
          <w:tab w:pos="1919" w:val="left" w:leader="none"/>
        </w:tabs>
        <w:spacing w:line="240" w:lineRule="auto" w:before="120" w:after="0"/>
        <w:ind w:left="1919" w:right="415" w:hanging="567"/>
        <w:jc w:val="both"/>
        <w:rPr>
          <w:sz w:val="24"/>
        </w:rPr>
      </w:pPr>
      <w:r>
        <w:rPr>
          <w:sz w:val="24"/>
        </w:rPr>
        <w:t>A </w:t>
      </w:r>
      <w:r>
        <w:rPr>
          <w:i/>
          <w:sz w:val="24"/>
        </w:rPr>
        <w:t>regulatory proposal </w:t>
      </w:r>
      <w:r>
        <w:rPr>
          <w:sz w:val="24"/>
        </w:rPr>
        <w:t>must include (but need not be limited to) the following</w:t>
      </w:r>
      <w:r>
        <w:rPr>
          <w:spacing w:val="-1"/>
          <w:sz w:val="24"/>
        </w:rPr>
        <w:t> </w:t>
      </w:r>
      <w:r>
        <w:rPr>
          <w:sz w:val="24"/>
        </w:rPr>
        <w:t>elements:</w:t>
      </w:r>
    </w:p>
    <w:p>
      <w:pPr>
        <w:pStyle w:val="ListParagraph"/>
        <w:numPr>
          <w:ilvl w:val="4"/>
          <w:numId w:val="427"/>
        </w:numPr>
        <w:tabs>
          <w:tab w:pos="2486" w:val="left" w:leader="none"/>
        </w:tabs>
        <w:spacing w:line="240" w:lineRule="auto" w:before="120" w:after="0"/>
        <w:ind w:left="2485" w:right="0" w:hanging="567"/>
        <w:jc w:val="both"/>
        <w:rPr>
          <w:sz w:val="24"/>
        </w:rPr>
      </w:pPr>
      <w:r>
        <w:rPr>
          <w:sz w:val="24"/>
        </w:rPr>
        <w:t>a classification</w:t>
      </w:r>
      <w:r>
        <w:rPr>
          <w:spacing w:val="-1"/>
          <w:sz w:val="24"/>
        </w:rPr>
        <w:t> </w:t>
      </w:r>
      <w:r>
        <w:rPr>
          <w:sz w:val="24"/>
        </w:rPr>
        <w:t>proposal:</w:t>
      </w:r>
    </w:p>
    <w:p>
      <w:pPr>
        <w:pStyle w:val="ListParagraph"/>
        <w:numPr>
          <w:ilvl w:val="5"/>
          <w:numId w:val="427"/>
        </w:numPr>
        <w:tabs>
          <w:tab w:pos="3053" w:val="left" w:leader="none"/>
        </w:tabs>
        <w:spacing w:line="240" w:lineRule="auto" w:before="120" w:after="0"/>
        <w:ind w:left="3053" w:right="416" w:hanging="567"/>
        <w:jc w:val="both"/>
        <w:rPr>
          <w:sz w:val="24"/>
        </w:rPr>
      </w:pPr>
      <w:r>
        <w:rPr>
          <w:sz w:val="24"/>
        </w:rPr>
        <w:t>showing how the </w:t>
      </w:r>
      <w:r>
        <w:rPr>
          <w:i/>
          <w:sz w:val="24"/>
        </w:rPr>
        <w:t>distribution services </w:t>
      </w:r>
      <w:r>
        <w:rPr>
          <w:sz w:val="24"/>
        </w:rPr>
        <w:t>to be provided by the </w:t>
      </w:r>
      <w:r>
        <w:rPr>
          <w:i/>
          <w:sz w:val="24"/>
        </w:rPr>
        <w:t>Distribution Network Service Provider </w:t>
      </w:r>
      <w:r>
        <w:rPr>
          <w:sz w:val="24"/>
        </w:rPr>
        <w:t>should, in the </w:t>
      </w:r>
      <w:r>
        <w:rPr>
          <w:i/>
          <w:sz w:val="24"/>
        </w:rPr>
        <w:t>Distribution Network Service Provider's </w:t>
      </w:r>
      <w:r>
        <w:rPr>
          <w:sz w:val="24"/>
        </w:rPr>
        <w:t>opinion, be classified under this Chapter;</w:t>
      </w:r>
      <w:r>
        <w:rPr>
          <w:spacing w:val="-1"/>
          <w:sz w:val="24"/>
        </w:rPr>
        <w:t> </w:t>
      </w:r>
      <w:r>
        <w:rPr>
          <w:sz w:val="24"/>
        </w:rPr>
        <w:t>and</w:t>
      </w:r>
    </w:p>
    <w:p>
      <w:pPr>
        <w:pStyle w:val="ListParagraph"/>
        <w:numPr>
          <w:ilvl w:val="5"/>
          <w:numId w:val="427"/>
        </w:numPr>
        <w:tabs>
          <w:tab w:pos="3054" w:val="left" w:leader="none"/>
        </w:tabs>
        <w:spacing w:line="240" w:lineRule="auto" w:before="120" w:after="0"/>
        <w:ind w:left="3053" w:right="415" w:hanging="567"/>
        <w:jc w:val="both"/>
        <w:rPr>
          <w:sz w:val="24"/>
        </w:rPr>
      </w:pPr>
      <w:r>
        <w:rPr>
          <w:sz w:val="24"/>
        </w:rPr>
        <w:t>if the proposed classification differs from the classification suggested in the relevant </w:t>
      </w:r>
      <w:r>
        <w:rPr>
          <w:i/>
          <w:sz w:val="24"/>
        </w:rPr>
        <w:t>framework and approach paper </w:t>
      </w:r>
      <w:r>
        <w:rPr>
          <w:sz w:val="24"/>
        </w:rPr>
        <w:t>– including the reasons for the</w:t>
      </w:r>
      <w:r>
        <w:rPr>
          <w:spacing w:val="-1"/>
          <w:sz w:val="24"/>
        </w:rPr>
        <w:t> </w:t>
      </w:r>
      <w:r>
        <w:rPr>
          <w:sz w:val="24"/>
        </w:rPr>
        <w:t>difference;</w:t>
      </w:r>
    </w:p>
    <w:p>
      <w:pPr>
        <w:pStyle w:val="ListParagraph"/>
        <w:numPr>
          <w:ilvl w:val="4"/>
          <w:numId w:val="427"/>
        </w:numPr>
        <w:tabs>
          <w:tab w:pos="2486" w:val="left" w:leader="none"/>
        </w:tabs>
        <w:spacing w:line="240" w:lineRule="auto" w:before="120" w:after="0"/>
        <w:ind w:left="2486" w:right="416" w:hanging="567"/>
        <w:jc w:val="both"/>
        <w:rPr>
          <w:sz w:val="24"/>
        </w:rPr>
      </w:pPr>
      <w:r>
        <w:rPr>
          <w:sz w:val="24"/>
        </w:rPr>
        <w:t>for </w:t>
      </w:r>
      <w:r>
        <w:rPr>
          <w:i/>
          <w:sz w:val="24"/>
        </w:rPr>
        <w:t>direct control services </w:t>
      </w:r>
      <w:r>
        <w:rPr>
          <w:sz w:val="24"/>
        </w:rPr>
        <w:t>classified under the proposal as </w:t>
      </w:r>
      <w:r>
        <w:rPr>
          <w:i/>
          <w:sz w:val="24"/>
        </w:rPr>
        <w:t>standard </w:t>
      </w:r>
      <w:r>
        <w:rPr>
          <w:i/>
          <w:sz w:val="24"/>
        </w:rPr>
        <w:t>control services </w:t>
      </w:r>
      <w:r>
        <w:rPr>
          <w:sz w:val="24"/>
        </w:rPr>
        <w:t>– a </w:t>
      </w:r>
      <w:r>
        <w:rPr>
          <w:i/>
          <w:sz w:val="24"/>
        </w:rPr>
        <w:t>building block</w:t>
      </w:r>
      <w:r>
        <w:rPr>
          <w:i/>
          <w:spacing w:val="-1"/>
          <w:sz w:val="24"/>
        </w:rPr>
        <w:t> </w:t>
      </w:r>
      <w:r>
        <w:rPr>
          <w:i/>
          <w:sz w:val="24"/>
        </w:rPr>
        <w:t>proposal</w:t>
      </w:r>
      <w:r>
        <w:rPr>
          <w:sz w:val="24"/>
        </w:rPr>
        <w:t>;</w:t>
      </w:r>
    </w:p>
    <w:p>
      <w:pPr>
        <w:pStyle w:val="ListParagraph"/>
        <w:numPr>
          <w:ilvl w:val="4"/>
          <w:numId w:val="427"/>
        </w:numPr>
        <w:tabs>
          <w:tab w:pos="2486" w:val="left" w:leader="none"/>
        </w:tabs>
        <w:spacing w:line="240" w:lineRule="auto" w:before="120" w:after="0"/>
        <w:ind w:left="2486" w:right="414" w:hanging="567"/>
        <w:jc w:val="both"/>
        <w:rPr>
          <w:sz w:val="24"/>
        </w:rPr>
      </w:pPr>
      <w:r>
        <w:rPr>
          <w:sz w:val="24"/>
        </w:rPr>
        <w:t>for </w:t>
      </w:r>
      <w:r>
        <w:rPr>
          <w:i/>
          <w:sz w:val="24"/>
        </w:rPr>
        <w:t>direct control services </w:t>
      </w:r>
      <w:r>
        <w:rPr>
          <w:sz w:val="24"/>
        </w:rPr>
        <w:t>classified under the proposal as </w:t>
      </w:r>
      <w:r>
        <w:rPr>
          <w:i/>
          <w:sz w:val="24"/>
        </w:rPr>
        <w:t>alternative </w:t>
      </w:r>
      <w:r>
        <w:rPr>
          <w:i/>
          <w:sz w:val="24"/>
        </w:rPr>
        <w:t>control services </w:t>
      </w:r>
      <w:r>
        <w:rPr>
          <w:sz w:val="24"/>
        </w:rPr>
        <w:t>– a demonstration of the application of the control mechanism, as set out in the </w:t>
      </w:r>
      <w:r>
        <w:rPr>
          <w:i/>
          <w:sz w:val="24"/>
        </w:rPr>
        <w:t>framework and approach paper</w:t>
      </w:r>
      <w:r>
        <w:rPr>
          <w:sz w:val="24"/>
        </w:rPr>
        <w:t>, and the necessary supporting</w:t>
      </w:r>
      <w:r>
        <w:rPr>
          <w:spacing w:val="-2"/>
          <w:sz w:val="24"/>
        </w:rPr>
        <w:t> </w:t>
      </w:r>
      <w:r>
        <w:rPr>
          <w:sz w:val="24"/>
        </w:rPr>
        <w:t>information;</w:t>
      </w:r>
    </w:p>
    <w:p>
      <w:pPr>
        <w:pStyle w:val="Heading4"/>
        <w:numPr>
          <w:ilvl w:val="4"/>
          <w:numId w:val="427"/>
        </w:numPr>
        <w:tabs>
          <w:tab w:pos="2486" w:val="left" w:leader="none"/>
        </w:tabs>
        <w:spacing w:line="240" w:lineRule="auto" w:before="120" w:after="0"/>
        <w:ind w:left="2485" w:right="0" w:hanging="567"/>
        <w:jc w:val="both"/>
        <w:rPr>
          <w:rFonts w:ascii="Times New Roman"/>
          <w:b w:val="0"/>
        </w:rPr>
      </w:pPr>
      <w:r>
        <w:rPr>
          <w:rFonts w:ascii="Times New Roman"/>
        </w:rPr>
        <w:t>[Deleted]</w:t>
      </w:r>
      <w:r>
        <w:rPr>
          <w:rFonts w:ascii="Times New Roman"/>
          <w:b w:val="0"/>
        </w:rPr>
        <w:t>.</w:t>
      </w:r>
    </w:p>
    <w:p>
      <w:pPr>
        <w:pStyle w:val="ListParagraph"/>
        <w:numPr>
          <w:ilvl w:val="4"/>
          <w:numId w:val="427"/>
        </w:numPr>
        <w:tabs>
          <w:tab w:pos="2486" w:val="left" w:leader="none"/>
        </w:tabs>
        <w:spacing w:line="240" w:lineRule="auto" w:before="120" w:after="0"/>
        <w:ind w:left="2486" w:right="416" w:hanging="567"/>
        <w:jc w:val="both"/>
        <w:rPr>
          <w:sz w:val="24"/>
        </w:rPr>
      </w:pPr>
      <w:r>
        <w:rPr>
          <w:sz w:val="24"/>
        </w:rPr>
        <w:t>for services classified under the proposal as </w:t>
      </w:r>
      <w:r>
        <w:rPr>
          <w:i/>
          <w:sz w:val="24"/>
        </w:rPr>
        <w:t>negotiated distribution </w:t>
      </w:r>
      <w:r>
        <w:rPr>
          <w:i/>
          <w:sz w:val="24"/>
        </w:rPr>
        <w:t>services </w:t>
      </w:r>
      <w:r>
        <w:rPr>
          <w:sz w:val="24"/>
        </w:rPr>
        <w:t>– the proposed </w:t>
      </w:r>
      <w:r>
        <w:rPr>
          <w:i/>
          <w:sz w:val="24"/>
        </w:rPr>
        <w:t>negotiating</w:t>
      </w:r>
      <w:r>
        <w:rPr>
          <w:i/>
          <w:spacing w:val="-3"/>
          <w:sz w:val="24"/>
        </w:rPr>
        <w:t> </w:t>
      </w:r>
      <w:r>
        <w:rPr>
          <w:i/>
          <w:sz w:val="24"/>
        </w:rPr>
        <w:t>framework</w:t>
      </w:r>
      <w:r>
        <w:rPr>
          <w:sz w:val="24"/>
        </w:rPr>
        <w:t>;</w:t>
      </w:r>
    </w:p>
    <w:p>
      <w:pPr>
        <w:spacing w:before="120"/>
        <w:ind w:left="1919" w:right="0" w:firstLine="0"/>
        <w:jc w:val="both"/>
        <w:rPr>
          <w:sz w:val="24"/>
        </w:rPr>
      </w:pPr>
      <w:r>
        <w:rPr>
          <w:sz w:val="24"/>
        </w:rPr>
        <w:t>(5A) the proposed </w:t>
      </w:r>
      <w:r>
        <w:rPr>
          <w:i/>
          <w:sz w:val="24"/>
        </w:rPr>
        <w:t>connection policy</w:t>
      </w:r>
      <w:r>
        <w:rPr>
          <w:sz w:val="24"/>
        </w:rPr>
        <w:t>;</w:t>
      </w:r>
    </w:p>
    <w:p>
      <w:pPr>
        <w:spacing w:after="0"/>
        <w:jc w:val="both"/>
        <w:rPr>
          <w:sz w:val="24"/>
        </w:rPr>
        <w:sectPr>
          <w:pgSz w:w="11910" w:h="16840"/>
          <w:pgMar w:header="686" w:footer="637" w:top="1320" w:bottom="820" w:left="1200" w:right="1000"/>
        </w:sectPr>
      </w:pPr>
    </w:p>
    <w:p>
      <w:pPr>
        <w:pStyle w:val="ListParagraph"/>
        <w:numPr>
          <w:ilvl w:val="4"/>
          <w:numId w:val="427"/>
        </w:numPr>
        <w:tabs>
          <w:tab w:pos="2486" w:val="left" w:leader="none"/>
        </w:tabs>
        <w:spacing w:line="240" w:lineRule="auto" w:before="83" w:after="0"/>
        <w:ind w:left="2486" w:right="416" w:hanging="567"/>
        <w:jc w:val="both"/>
        <w:rPr>
          <w:sz w:val="24"/>
        </w:rPr>
      </w:pPr>
      <w:r>
        <w:rPr>
          <w:sz w:val="24"/>
        </w:rPr>
        <w:t>an identification of any parts of the </w:t>
      </w:r>
      <w:r>
        <w:rPr>
          <w:i/>
          <w:sz w:val="24"/>
        </w:rPr>
        <w:t>regulatory proposal </w:t>
      </w:r>
      <w:r>
        <w:rPr>
          <w:sz w:val="24"/>
        </w:rPr>
        <w:t>the </w:t>
      </w:r>
      <w:r>
        <w:rPr>
          <w:i/>
          <w:sz w:val="24"/>
        </w:rPr>
        <w:t>Distribution Network Service Provider </w:t>
      </w:r>
      <w:r>
        <w:rPr>
          <w:sz w:val="24"/>
        </w:rPr>
        <w:t>claims to be confidential and wants suppressed from publication on that ground in accordance with the </w:t>
      </w:r>
      <w:r>
        <w:rPr>
          <w:i/>
          <w:sz w:val="24"/>
        </w:rPr>
        <w:t>Distribution Confidentiality Guidelines</w:t>
      </w:r>
      <w:r>
        <w:rPr>
          <w:sz w:val="24"/>
        </w:rPr>
        <w:t>;</w:t>
      </w:r>
      <w:r>
        <w:rPr>
          <w:spacing w:val="-2"/>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6" w:firstLine="0"/>
        <w:jc w:val="both"/>
        <w:rPr>
          <w:sz w:val="20"/>
        </w:rPr>
      </w:pPr>
      <w:r>
        <w:rPr>
          <w:sz w:val="20"/>
        </w:rPr>
        <w:t>Additional information that must be included in a </w:t>
      </w:r>
      <w:r>
        <w:rPr>
          <w:i/>
          <w:sz w:val="20"/>
        </w:rPr>
        <w:t>regulatory proposal </w:t>
      </w:r>
      <w:r>
        <w:rPr>
          <w:sz w:val="20"/>
        </w:rPr>
        <w:t>is referred to in clause 6.3.1(c) and Schedule 6.1.</w:t>
      </w:r>
    </w:p>
    <w:p>
      <w:pPr>
        <w:pStyle w:val="ListParagraph"/>
        <w:numPr>
          <w:ilvl w:val="4"/>
          <w:numId w:val="427"/>
        </w:numPr>
        <w:tabs>
          <w:tab w:pos="2486" w:val="left" w:leader="none"/>
        </w:tabs>
        <w:spacing w:line="240" w:lineRule="auto" w:before="120" w:after="0"/>
        <w:ind w:left="2486" w:right="416" w:hanging="567"/>
        <w:jc w:val="both"/>
        <w:rPr>
          <w:sz w:val="24"/>
        </w:rPr>
      </w:pPr>
      <w:r>
        <w:rPr>
          <w:sz w:val="24"/>
        </w:rPr>
        <w:t>a description (with supporting materials) of how the proposed </w:t>
      </w:r>
      <w:r>
        <w:rPr>
          <w:i/>
          <w:sz w:val="24"/>
        </w:rPr>
        <w:t>tariff </w:t>
      </w:r>
      <w:r>
        <w:rPr>
          <w:i/>
          <w:sz w:val="24"/>
        </w:rPr>
        <w:t>structure statement </w:t>
      </w:r>
      <w:r>
        <w:rPr>
          <w:sz w:val="24"/>
        </w:rPr>
        <w:t>complies with the </w:t>
      </w:r>
      <w:r>
        <w:rPr>
          <w:i/>
          <w:sz w:val="24"/>
        </w:rPr>
        <w:t>pricing principles for direct </w:t>
      </w:r>
      <w:r>
        <w:rPr>
          <w:i/>
          <w:sz w:val="24"/>
        </w:rPr>
        <w:t>control services</w:t>
      </w:r>
      <w:r>
        <w:rPr>
          <w:i/>
          <w:spacing w:val="-1"/>
          <w:sz w:val="24"/>
        </w:rPr>
        <w:t> </w:t>
      </w:r>
      <w:r>
        <w:rPr>
          <w:sz w:val="24"/>
        </w:rPr>
        <w:t>including:</w:t>
      </w:r>
    </w:p>
    <w:p>
      <w:pPr>
        <w:pStyle w:val="ListParagraph"/>
        <w:numPr>
          <w:ilvl w:val="5"/>
          <w:numId w:val="427"/>
        </w:numPr>
        <w:tabs>
          <w:tab w:pos="3053" w:val="left" w:leader="none"/>
        </w:tabs>
        <w:spacing w:line="240" w:lineRule="auto" w:before="120" w:after="0"/>
        <w:ind w:left="3053" w:right="416" w:hanging="567"/>
        <w:jc w:val="both"/>
        <w:rPr>
          <w:sz w:val="24"/>
        </w:rPr>
      </w:pPr>
      <w:r>
        <w:rPr>
          <w:sz w:val="24"/>
        </w:rPr>
        <w:t>a description of where there has been any departure from </w:t>
      </w:r>
      <w:r>
        <w:rPr>
          <w:spacing w:val="-6"/>
          <w:sz w:val="24"/>
        </w:rPr>
        <w:t>the </w:t>
      </w:r>
      <w:r>
        <w:rPr>
          <w:sz w:val="24"/>
        </w:rPr>
        <w:t>pricing principles set out in paragraphs 6.18.5(e) to (g);</w:t>
      </w:r>
      <w:r>
        <w:rPr>
          <w:spacing w:val="-4"/>
          <w:sz w:val="24"/>
        </w:rPr>
        <w:t> </w:t>
      </w:r>
      <w:r>
        <w:rPr>
          <w:sz w:val="24"/>
        </w:rPr>
        <w:t>and</w:t>
      </w:r>
    </w:p>
    <w:p>
      <w:pPr>
        <w:pStyle w:val="ListParagraph"/>
        <w:numPr>
          <w:ilvl w:val="5"/>
          <w:numId w:val="427"/>
        </w:numPr>
        <w:tabs>
          <w:tab w:pos="3054" w:val="left" w:leader="none"/>
        </w:tabs>
        <w:spacing w:line="240" w:lineRule="auto" w:before="120" w:after="0"/>
        <w:ind w:left="3053" w:right="416" w:hanging="567"/>
        <w:jc w:val="both"/>
        <w:rPr>
          <w:sz w:val="24"/>
        </w:rPr>
      </w:pPr>
      <w:r>
        <w:rPr>
          <w:sz w:val="24"/>
        </w:rPr>
        <w:t>an explanation of how that departure complies with clause 6.18.5(c).</w:t>
      </w:r>
    </w:p>
    <w:p>
      <w:pPr>
        <w:pStyle w:val="BodyText"/>
        <w:ind w:left="1919" w:right="416"/>
      </w:pPr>
      <w:r>
        <w:rPr/>
        <w:t>(c1) The </w:t>
      </w:r>
      <w:r>
        <w:rPr>
          <w:i/>
        </w:rPr>
        <w:t>regulatory proposal </w:t>
      </w:r>
      <w:r>
        <w:rPr/>
        <w:t>must be accompanied by an overview paper which includes each of the following matters:</w:t>
      </w:r>
    </w:p>
    <w:p>
      <w:pPr>
        <w:pStyle w:val="ListParagraph"/>
        <w:numPr>
          <w:ilvl w:val="0"/>
          <w:numId w:val="428"/>
        </w:numPr>
        <w:tabs>
          <w:tab w:pos="2486" w:val="left" w:leader="none"/>
        </w:tabs>
        <w:spacing w:line="240" w:lineRule="auto" w:before="120" w:after="0"/>
        <w:ind w:left="2486" w:right="416" w:hanging="567"/>
        <w:jc w:val="both"/>
        <w:rPr>
          <w:sz w:val="24"/>
        </w:rPr>
      </w:pPr>
      <w:r>
        <w:rPr>
          <w:sz w:val="24"/>
        </w:rPr>
        <w:t>a summary of the </w:t>
      </w:r>
      <w:r>
        <w:rPr>
          <w:i/>
          <w:sz w:val="24"/>
        </w:rPr>
        <w:t>regulatory proposal </w:t>
      </w:r>
      <w:r>
        <w:rPr>
          <w:sz w:val="24"/>
        </w:rPr>
        <w:t>the purpose of which is to explain the </w:t>
      </w:r>
      <w:r>
        <w:rPr>
          <w:i/>
          <w:sz w:val="24"/>
        </w:rPr>
        <w:t>regulatory proposal </w:t>
      </w:r>
      <w:r>
        <w:rPr>
          <w:sz w:val="24"/>
        </w:rPr>
        <w:t>in reasonably plain language to electricity</w:t>
      </w:r>
      <w:r>
        <w:rPr>
          <w:spacing w:val="-1"/>
          <w:sz w:val="24"/>
        </w:rPr>
        <w:t> </w:t>
      </w:r>
      <w:r>
        <w:rPr>
          <w:sz w:val="24"/>
        </w:rPr>
        <w:t>consumers;</w:t>
      </w:r>
    </w:p>
    <w:p>
      <w:pPr>
        <w:pStyle w:val="ListParagraph"/>
        <w:numPr>
          <w:ilvl w:val="0"/>
          <w:numId w:val="428"/>
        </w:numPr>
        <w:tabs>
          <w:tab w:pos="2486" w:val="left" w:leader="none"/>
        </w:tabs>
        <w:spacing w:line="240" w:lineRule="auto" w:before="120" w:after="0"/>
        <w:ind w:left="2486" w:right="415" w:hanging="567"/>
        <w:jc w:val="both"/>
        <w:rPr>
          <w:sz w:val="24"/>
        </w:rPr>
      </w:pPr>
      <w:r>
        <w:rPr>
          <w:sz w:val="24"/>
        </w:rPr>
        <w:t>a description of how the </w:t>
      </w:r>
      <w:r>
        <w:rPr>
          <w:i/>
          <w:sz w:val="24"/>
        </w:rPr>
        <w:t>Distribution Network Service Provider </w:t>
      </w:r>
      <w:r>
        <w:rPr>
          <w:spacing w:val="-4"/>
          <w:sz w:val="24"/>
        </w:rPr>
        <w:t>has</w:t>
      </w:r>
      <w:r>
        <w:rPr>
          <w:spacing w:val="52"/>
          <w:sz w:val="24"/>
        </w:rPr>
        <w:t> </w:t>
      </w:r>
      <w:r>
        <w:rPr>
          <w:sz w:val="24"/>
        </w:rPr>
        <w:t>engaged with electricity consumers in developing the </w:t>
      </w:r>
      <w:r>
        <w:rPr>
          <w:i/>
          <w:sz w:val="24"/>
        </w:rPr>
        <w:t>regulatory </w:t>
      </w:r>
      <w:r>
        <w:rPr>
          <w:i/>
          <w:sz w:val="24"/>
        </w:rPr>
        <w:t>proposal </w:t>
      </w:r>
      <w:r>
        <w:rPr>
          <w:sz w:val="24"/>
        </w:rPr>
        <w:t>and has sought to address any relevant concerns identified as a result of that</w:t>
      </w:r>
      <w:r>
        <w:rPr>
          <w:spacing w:val="-1"/>
          <w:sz w:val="24"/>
        </w:rPr>
        <w:t> </w:t>
      </w:r>
      <w:r>
        <w:rPr>
          <w:sz w:val="24"/>
        </w:rPr>
        <w:t>engagement;</w:t>
      </w:r>
    </w:p>
    <w:p>
      <w:pPr>
        <w:pStyle w:val="ListParagraph"/>
        <w:numPr>
          <w:ilvl w:val="0"/>
          <w:numId w:val="428"/>
        </w:numPr>
        <w:tabs>
          <w:tab w:pos="2486" w:val="left" w:leader="none"/>
        </w:tabs>
        <w:spacing w:line="240" w:lineRule="auto" w:before="120" w:after="0"/>
        <w:ind w:left="2485" w:right="0" w:hanging="567"/>
        <w:jc w:val="both"/>
        <w:rPr>
          <w:i/>
          <w:sz w:val="24"/>
        </w:rPr>
      </w:pPr>
      <w:r>
        <w:rPr>
          <w:sz w:val="24"/>
        </w:rPr>
        <w:t>a</w:t>
      </w:r>
      <w:r>
        <w:rPr>
          <w:spacing w:val="18"/>
          <w:sz w:val="24"/>
        </w:rPr>
        <w:t> </w:t>
      </w:r>
      <w:r>
        <w:rPr>
          <w:sz w:val="24"/>
        </w:rPr>
        <w:t>description</w:t>
      </w:r>
      <w:r>
        <w:rPr>
          <w:spacing w:val="19"/>
          <w:sz w:val="24"/>
        </w:rPr>
        <w:t> </w:t>
      </w:r>
      <w:r>
        <w:rPr>
          <w:sz w:val="24"/>
        </w:rPr>
        <w:t>of</w:t>
      </w:r>
      <w:r>
        <w:rPr>
          <w:spacing w:val="18"/>
          <w:sz w:val="24"/>
        </w:rPr>
        <w:t> </w:t>
      </w:r>
      <w:r>
        <w:rPr>
          <w:sz w:val="24"/>
        </w:rPr>
        <w:t>the</w:t>
      </w:r>
      <w:r>
        <w:rPr>
          <w:spacing w:val="19"/>
          <w:sz w:val="24"/>
        </w:rPr>
        <w:t> </w:t>
      </w:r>
      <w:r>
        <w:rPr>
          <w:sz w:val="24"/>
        </w:rPr>
        <w:t>key</w:t>
      </w:r>
      <w:r>
        <w:rPr>
          <w:spacing w:val="19"/>
          <w:sz w:val="24"/>
        </w:rPr>
        <w:t> </w:t>
      </w:r>
      <w:r>
        <w:rPr>
          <w:sz w:val="24"/>
        </w:rPr>
        <w:t>risks</w:t>
      </w:r>
      <w:r>
        <w:rPr>
          <w:spacing w:val="19"/>
          <w:sz w:val="24"/>
        </w:rPr>
        <w:t> </w:t>
      </w:r>
      <w:r>
        <w:rPr>
          <w:sz w:val="24"/>
        </w:rPr>
        <w:t>and</w:t>
      </w:r>
      <w:r>
        <w:rPr>
          <w:spacing w:val="19"/>
          <w:sz w:val="24"/>
        </w:rPr>
        <w:t> </w:t>
      </w:r>
      <w:r>
        <w:rPr>
          <w:sz w:val="24"/>
        </w:rPr>
        <w:t>benefits</w:t>
      </w:r>
      <w:r>
        <w:rPr>
          <w:spacing w:val="19"/>
          <w:sz w:val="24"/>
        </w:rPr>
        <w:t> </w:t>
      </w:r>
      <w:r>
        <w:rPr>
          <w:sz w:val="24"/>
        </w:rPr>
        <w:t>of</w:t>
      </w:r>
      <w:r>
        <w:rPr>
          <w:spacing w:val="18"/>
          <w:sz w:val="24"/>
        </w:rPr>
        <w:t> </w:t>
      </w:r>
      <w:r>
        <w:rPr>
          <w:sz w:val="24"/>
        </w:rPr>
        <w:t>the</w:t>
      </w:r>
      <w:r>
        <w:rPr>
          <w:spacing w:val="19"/>
          <w:sz w:val="24"/>
        </w:rPr>
        <w:t> </w:t>
      </w:r>
      <w:r>
        <w:rPr>
          <w:i/>
          <w:sz w:val="24"/>
        </w:rPr>
        <w:t>regulatory</w:t>
      </w:r>
      <w:r>
        <w:rPr>
          <w:i/>
          <w:spacing w:val="19"/>
          <w:sz w:val="24"/>
        </w:rPr>
        <w:t> </w:t>
      </w:r>
      <w:r>
        <w:rPr>
          <w:i/>
          <w:sz w:val="24"/>
        </w:rPr>
        <w:t>proposal</w:t>
      </w:r>
    </w:p>
    <w:p>
      <w:pPr>
        <w:pStyle w:val="BodyText"/>
        <w:spacing w:before="0"/>
        <w:ind w:left="2486" w:firstLine="0"/>
      </w:pPr>
      <w:r>
        <w:rPr/>
        <w:t>for electricity consumers; and</w:t>
      </w:r>
    </w:p>
    <w:p>
      <w:pPr>
        <w:pStyle w:val="ListParagraph"/>
        <w:numPr>
          <w:ilvl w:val="0"/>
          <w:numId w:val="428"/>
        </w:numPr>
        <w:tabs>
          <w:tab w:pos="2486" w:val="left" w:leader="none"/>
        </w:tabs>
        <w:spacing w:line="240" w:lineRule="auto" w:before="120" w:after="0"/>
        <w:ind w:left="2486" w:right="415" w:hanging="567"/>
        <w:jc w:val="both"/>
        <w:rPr>
          <w:sz w:val="24"/>
        </w:rPr>
      </w:pPr>
      <w:r>
        <w:rPr>
          <w:sz w:val="24"/>
        </w:rPr>
        <w:t>a comparison of the </w:t>
      </w:r>
      <w:r>
        <w:rPr>
          <w:i/>
          <w:sz w:val="24"/>
        </w:rPr>
        <w:t>Distribution Network Service Provider's </w:t>
      </w:r>
      <w:r>
        <w:rPr>
          <w:sz w:val="24"/>
        </w:rPr>
        <w:t>proposed </w:t>
      </w:r>
      <w:r>
        <w:rPr>
          <w:i/>
          <w:sz w:val="24"/>
        </w:rPr>
        <w:t>total revenue requirement </w:t>
      </w:r>
      <w:r>
        <w:rPr>
          <w:sz w:val="24"/>
        </w:rPr>
        <w:t>with its </w:t>
      </w:r>
      <w:r>
        <w:rPr>
          <w:i/>
          <w:sz w:val="24"/>
        </w:rPr>
        <w:t>total revenue requirement </w:t>
      </w:r>
      <w:r>
        <w:rPr>
          <w:sz w:val="24"/>
        </w:rPr>
        <w:t>for the current </w:t>
      </w:r>
      <w:r>
        <w:rPr>
          <w:i/>
          <w:sz w:val="24"/>
        </w:rPr>
        <w:t>regulatory control period </w:t>
      </w:r>
      <w:r>
        <w:rPr>
          <w:sz w:val="24"/>
        </w:rPr>
        <w:t>and an explanation for any material differences between the two</w:t>
      </w:r>
      <w:r>
        <w:rPr>
          <w:spacing w:val="-1"/>
          <w:sz w:val="24"/>
        </w:rPr>
        <w:t> </w:t>
      </w:r>
      <w:r>
        <w:rPr>
          <w:sz w:val="24"/>
        </w:rPr>
        <w:t>amounts;</w:t>
      </w:r>
    </w:p>
    <w:p>
      <w:pPr>
        <w:spacing w:before="120"/>
        <w:ind w:left="1919" w:right="415" w:hanging="567"/>
        <w:jc w:val="both"/>
        <w:rPr>
          <w:sz w:val="24"/>
        </w:rPr>
      </w:pPr>
      <w:r>
        <w:rPr>
          <w:sz w:val="24"/>
        </w:rPr>
        <w:t>(c1a) The overview paper must also include a description of how the </w:t>
      </w:r>
      <w:r>
        <w:rPr>
          <w:i/>
          <w:sz w:val="24"/>
        </w:rPr>
        <w:t>Distribution </w:t>
      </w:r>
      <w:r>
        <w:rPr>
          <w:i/>
          <w:sz w:val="24"/>
        </w:rPr>
        <w:t>Network Service Provider </w:t>
      </w:r>
      <w:r>
        <w:rPr>
          <w:sz w:val="24"/>
        </w:rPr>
        <w:t>has engaged with </w:t>
      </w:r>
      <w:r>
        <w:rPr>
          <w:i/>
          <w:sz w:val="24"/>
        </w:rPr>
        <w:t>retail customers </w:t>
      </w:r>
      <w:r>
        <w:rPr>
          <w:sz w:val="24"/>
        </w:rPr>
        <w:t>and </w:t>
      </w:r>
      <w:r>
        <w:rPr>
          <w:i/>
          <w:sz w:val="24"/>
        </w:rPr>
        <w:t>retailers </w:t>
      </w:r>
      <w:r>
        <w:rPr>
          <w:sz w:val="24"/>
        </w:rPr>
        <w:t>in developing the proposed </w:t>
      </w:r>
      <w:r>
        <w:rPr>
          <w:i/>
          <w:sz w:val="24"/>
        </w:rPr>
        <w:t>tariff structure statement </w:t>
      </w:r>
      <w:r>
        <w:rPr>
          <w:sz w:val="24"/>
        </w:rPr>
        <w:t>and has sought to address any relevant concerns identified as a result of that engagement.</w:t>
      </w:r>
    </w:p>
    <w:p>
      <w:pPr>
        <w:spacing w:before="120"/>
        <w:ind w:left="1919" w:right="414" w:hanging="567"/>
        <w:jc w:val="both"/>
        <w:rPr>
          <w:sz w:val="24"/>
        </w:rPr>
      </w:pPr>
      <w:r>
        <w:rPr>
          <w:sz w:val="24"/>
        </w:rPr>
        <w:t>(c2) The </w:t>
      </w:r>
      <w:r>
        <w:rPr>
          <w:i/>
          <w:sz w:val="24"/>
        </w:rPr>
        <w:t>regulatory proposal </w:t>
      </w:r>
      <w:r>
        <w:rPr>
          <w:sz w:val="24"/>
        </w:rPr>
        <w:t>must be accompanied by information required by the </w:t>
      </w:r>
      <w:r>
        <w:rPr>
          <w:i/>
          <w:sz w:val="24"/>
        </w:rPr>
        <w:t>Expenditure Forecast Assessment Guidelines </w:t>
      </w:r>
      <w:r>
        <w:rPr>
          <w:sz w:val="24"/>
        </w:rPr>
        <w:t>as set out in the </w:t>
      </w:r>
      <w:r>
        <w:rPr>
          <w:i/>
          <w:sz w:val="24"/>
        </w:rPr>
        <w:t>framework </w:t>
      </w:r>
      <w:r>
        <w:rPr>
          <w:i/>
          <w:sz w:val="24"/>
        </w:rPr>
        <w:t>and approach paper</w:t>
      </w:r>
      <w:r>
        <w:rPr>
          <w:sz w:val="24"/>
        </w:rPr>
        <w:t>.</w:t>
      </w:r>
    </w:p>
    <w:p>
      <w:pPr>
        <w:pStyle w:val="ListParagraph"/>
        <w:numPr>
          <w:ilvl w:val="3"/>
          <w:numId w:val="427"/>
        </w:numPr>
        <w:tabs>
          <w:tab w:pos="1919" w:val="left" w:leader="none"/>
        </w:tabs>
        <w:spacing w:line="240" w:lineRule="auto" w:before="120" w:after="0"/>
        <w:ind w:left="1919" w:right="415" w:hanging="567"/>
        <w:jc w:val="both"/>
        <w:rPr>
          <w:sz w:val="24"/>
        </w:rPr>
      </w:pPr>
      <w:r>
        <w:rPr>
          <w:sz w:val="24"/>
        </w:rPr>
        <w:t>The </w:t>
      </w:r>
      <w:r>
        <w:rPr>
          <w:i/>
          <w:sz w:val="24"/>
        </w:rPr>
        <w:t>regulatory proposal </w:t>
      </w:r>
      <w:r>
        <w:rPr>
          <w:sz w:val="24"/>
        </w:rPr>
        <w:t>must comply with the requirements of, and must contain or be accompanied by the information required by any relevant </w:t>
      </w:r>
      <w:r>
        <w:rPr>
          <w:i/>
          <w:sz w:val="24"/>
        </w:rPr>
        <w:t>regulatory information</w:t>
      </w:r>
      <w:r>
        <w:rPr>
          <w:i/>
          <w:spacing w:val="-2"/>
          <w:sz w:val="24"/>
        </w:rPr>
        <w:t> </w:t>
      </w:r>
      <w:r>
        <w:rPr>
          <w:i/>
          <w:sz w:val="24"/>
        </w:rPr>
        <w:t>instrument</w:t>
      </w:r>
      <w:r>
        <w:rPr>
          <w:sz w:val="24"/>
        </w:rPr>
        <w:t>.</w:t>
      </w:r>
    </w:p>
    <w:p>
      <w:pPr>
        <w:spacing w:before="120"/>
        <w:ind w:left="1352" w:right="0" w:firstLine="0"/>
        <w:jc w:val="both"/>
        <w:rPr>
          <w:sz w:val="24"/>
        </w:rPr>
      </w:pPr>
      <w:r>
        <w:rPr>
          <w:sz w:val="24"/>
        </w:rPr>
        <w:t>(d1) The proposed </w:t>
      </w:r>
      <w:r>
        <w:rPr>
          <w:i/>
          <w:sz w:val="24"/>
        </w:rPr>
        <w:t>tariff structure statement </w:t>
      </w:r>
      <w:r>
        <w:rPr>
          <w:sz w:val="24"/>
        </w:rPr>
        <w:t>must be accompanied by an</w:t>
      </w:r>
    </w:p>
    <w:p>
      <w:pPr>
        <w:spacing w:before="0"/>
        <w:ind w:left="1919" w:right="0" w:firstLine="0"/>
        <w:jc w:val="both"/>
        <w:rPr>
          <w:sz w:val="24"/>
        </w:rPr>
      </w:pPr>
      <w:r>
        <w:rPr>
          <w:i/>
          <w:sz w:val="24"/>
        </w:rPr>
        <w:t>indicative pricing schedule</w:t>
      </w:r>
      <w:r>
        <w:rPr>
          <w:sz w:val="24"/>
        </w:rPr>
        <w:t>.</w:t>
      </w:r>
    </w:p>
    <w:p>
      <w:pPr>
        <w:spacing w:before="120"/>
        <w:ind w:left="1919" w:right="415" w:hanging="567"/>
        <w:jc w:val="both"/>
        <w:rPr>
          <w:sz w:val="24"/>
        </w:rPr>
      </w:pPr>
      <w:r>
        <w:rPr>
          <w:sz w:val="24"/>
        </w:rPr>
        <w:t>(d2) The proposed </w:t>
      </w:r>
      <w:r>
        <w:rPr>
          <w:i/>
          <w:sz w:val="24"/>
        </w:rPr>
        <w:t>tariff structure statement </w:t>
      </w:r>
      <w:r>
        <w:rPr>
          <w:sz w:val="24"/>
        </w:rPr>
        <w:t>must comply with the </w:t>
      </w:r>
      <w:r>
        <w:rPr>
          <w:i/>
          <w:sz w:val="24"/>
        </w:rPr>
        <w:t>pricing </w:t>
      </w:r>
      <w:r>
        <w:rPr>
          <w:i/>
          <w:sz w:val="24"/>
        </w:rPr>
        <w:t>principles for direct control services</w:t>
      </w:r>
      <w:r>
        <w:rPr>
          <w:sz w:val="24"/>
        </w:rPr>
        <w:t>.</w:t>
      </w:r>
    </w:p>
    <w:p>
      <w:pPr>
        <w:spacing w:after="0"/>
        <w:jc w:val="both"/>
        <w:rPr>
          <w:sz w:val="24"/>
        </w:rPr>
        <w:sectPr>
          <w:pgSz w:w="11910" w:h="16840"/>
          <w:pgMar w:header="686" w:footer="637" w:top="1320" w:bottom="820" w:left="1200" w:right="1000"/>
        </w:sectPr>
      </w:pPr>
    </w:p>
    <w:p>
      <w:pPr>
        <w:pStyle w:val="ListParagraph"/>
        <w:numPr>
          <w:ilvl w:val="3"/>
          <w:numId w:val="427"/>
        </w:numPr>
        <w:tabs>
          <w:tab w:pos="1919" w:val="left" w:leader="none"/>
        </w:tabs>
        <w:spacing w:line="240" w:lineRule="auto" w:before="83" w:after="0"/>
        <w:ind w:left="1919" w:right="415" w:hanging="567"/>
        <w:jc w:val="both"/>
        <w:rPr>
          <w:sz w:val="24"/>
        </w:rPr>
      </w:pPr>
      <w:r>
        <w:rPr>
          <w:sz w:val="24"/>
        </w:rPr>
        <w:t>If more than one </w:t>
      </w:r>
      <w:r>
        <w:rPr>
          <w:i/>
          <w:sz w:val="24"/>
        </w:rPr>
        <w:t>distribution system </w:t>
      </w:r>
      <w:r>
        <w:rPr>
          <w:sz w:val="24"/>
        </w:rPr>
        <w:t>is owned, controlled or operated by a </w:t>
      </w:r>
      <w:r>
        <w:rPr>
          <w:i/>
          <w:sz w:val="24"/>
        </w:rPr>
        <w:t>Distribution Network Service Provider</w:t>
      </w:r>
      <w:r>
        <w:rPr>
          <w:sz w:val="24"/>
        </w:rPr>
        <w:t>, then, unless the </w:t>
      </w:r>
      <w:r>
        <w:rPr>
          <w:i/>
          <w:sz w:val="24"/>
        </w:rPr>
        <w:t>AER </w:t>
      </w:r>
      <w:r>
        <w:rPr>
          <w:sz w:val="24"/>
        </w:rPr>
        <w:t>otherwise determines, a separate </w:t>
      </w:r>
      <w:r>
        <w:rPr>
          <w:i/>
          <w:sz w:val="24"/>
        </w:rPr>
        <w:t>regulatory proposal </w:t>
      </w:r>
      <w:r>
        <w:rPr>
          <w:sz w:val="24"/>
        </w:rPr>
        <w:t>and a separate </w:t>
      </w:r>
      <w:r>
        <w:rPr>
          <w:i/>
          <w:sz w:val="24"/>
        </w:rPr>
        <w:t>tariff structure </w:t>
      </w:r>
      <w:r>
        <w:rPr>
          <w:i/>
          <w:sz w:val="24"/>
        </w:rPr>
        <w:t>statement </w:t>
      </w:r>
      <w:r>
        <w:rPr>
          <w:sz w:val="24"/>
        </w:rPr>
        <w:t>are to be submitted for each </w:t>
      </w:r>
      <w:r>
        <w:rPr>
          <w:i/>
          <w:sz w:val="24"/>
        </w:rPr>
        <w:t>distribution</w:t>
      </w:r>
      <w:r>
        <w:rPr>
          <w:i/>
          <w:spacing w:val="-6"/>
          <w:sz w:val="24"/>
        </w:rPr>
        <w:t> </w:t>
      </w:r>
      <w:r>
        <w:rPr>
          <w:i/>
          <w:sz w:val="24"/>
        </w:rPr>
        <w:t>system</w:t>
      </w:r>
      <w:r>
        <w:rPr>
          <w:sz w:val="24"/>
        </w:rPr>
        <w:t>.</w:t>
      </w:r>
    </w:p>
    <w:p>
      <w:pPr>
        <w:pStyle w:val="ListParagraph"/>
        <w:numPr>
          <w:ilvl w:val="3"/>
          <w:numId w:val="427"/>
        </w:numPr>
        <w:tabs>
          <w:tab w:pos="1920" w:val="left" w:leader="none"/>
        </w:tabs>
        <w:spacing w:line="240" w:lineRule="auto" w:before="120" w:after="0"/>
        <w:ind w:left="1919" w:right="416" w:hanging="567"/>
        <w:jc w:val="both"/>
        <w:rPr>
          <w:sz w:val="24"/>
        </w:rPr>
      </w:pPr>
      <w:r>
        <w:rPr>
          <w:sz w:val="24"/>
        </w:rPr>
        <w:t>If, at the commencement of this Chapter, different parts of the </w:t>
      </w:r>
      <w:r>
        <w:rPr>
          <w:spacing w:val="-4"/>
          <w:sz w:val="24"/>
        </w:rPr>
        <w:t>same </w:t>
      </w:r>
      <w:r>
        <w:rPr>
          <w:i/>
          <w:sz w:val="24"/>
        </w:rPr>
        <w:t>distribution system </w:t>
      </w:r>
      <w:r>
        <w:rPr>
          <w:sz w:val="24"/>
        </w:rPr>
        <w:t>were separately regulated, then, unless the </w:t>
      </w:r>
      <w:r>
        <w:rPr>
          <w:i/>
          <w:sz w:val="24"/>
        </w:rPr>
        <w:t>AER </w:t>
      </w:r>
      <w:r>
        <w:rPr>
          <w:sz w:val="24"/>
        </w:rPr>
        <w:t>otherwise determines, a separate </w:t>
      </w:r>
      <w:r>
        <w:rPr>
          <w:i/>
          <w:sz w:val="24"/>
        </w:rPr>
        <w:t>regulatory proposal </w:t>
      </w:r>
      <w:r>
        <w:rPr>
          <w:sz w:val="24"/>
        </w:rPr>
        <w:t>and a separate </w:t>
      </w:r>
      <w:r>
        <w:rPr>
          <w:i/>
          <w:sz w:val="24"/>
        </w:rPr>
        <w:t>tariff </w:t>
      </w:r>
      <w:r>
        <w:rPr>
          <w:i/>
          <w:sz w:val="24"/>
        </w:rPr>
        <w:t>structure statement </w:t>
      </w:r>
      <w:r>
        <w:rPr>
          <w:sz w:val="24"/>
        </w:rPr>
        <w:t>are to be submitted for each part as if it were a separate </w:t>
      </w:r>
      <w:r>
        <w:rPr>
          <w:i/>
          <w:sz w:val="24"/>
        </w:rPr>
        <w:t>distribution</w:t>
      </w:r>
      <w:r>
        <w:rPr>
          <w:i/>
          <w:spacing w:val="-1"/>
          <w:sz w:val="24"/>
        </w:rPr>
        <w:t> </w:t>
      </w:r>
      <w:r>
        <w:rPr>
          <w:i/>
          <w:sz w:val="24"/>
        </w:rPr>
        <w:t>system</w:t>
      </w:r>
      <w:r>
        <w:rPr>
          <w:sz w:val="24"/>
        </w:rPr>
        <w:t>.</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0" w:hanging="1135"/>
        <w:jc w:val="left"/>
      </w:pPr>
      <w:bookmarkStart w:name="6.9 Preliminary examination and consulta" w:id="1443"/>
      <w:bookmarkEnd w:id="1443"/>
      <w:r>
        <w:rPr>
          <w:b w:val="0"/>
        </w:rPr>
      </w:r>
      <w:bookmarkStart w:name="_bookmark582" w:id="1444"/>
      <w:bookmarkEnd w:id="1444"/>
      <w:r>
        <w:rPr>
          <w:b w:val="0"/>
        </w:rPr>
      </w:r>
      <w:bookmarkStart w:name="_bookmark582" w:id="1445"/>
      <w:bookmarkEnd w:id="1445"/>
      <w:r>
        <w:rPr/>
        <w:t>Prelim</w:t>
      </w:r>
      <w:r>
        <w:rPr/>
        <w:t>inary examination and</w:t>
      </w:r>
      <w:r>
        <w:rPr>
          <w:spacing w:val="-4"/>
        </w:rPr>
        <w:t> </w:t>
      </w:r>
      <w:r>
        <w:rPr/>
        <w:t>consultation</w:t>
      </w:r>
    </w:p>
    <w:p>
      <w:pPr>
        <w:pStyle w:val="Heading4"/>
        <w:numPr>
          <w:ilvl w:val="2"/>
          <w:numId w:val="429"/>
        </w:numPr>
        <w:tabs>
          <w:tab w:pos="1351" w:val="left" w:leader="none"/>
          <w:tab w:pos="1352" w:val="left" w:leader="none"/>
        </w:tabs>
        <w:spacing w:line="240" w:lineRule="auto" w:before="240" w:after="0"/>
        <w:ind w:left="1351" w:right="0" w:hanging="1134"/>
        <w:jc w:val="left"/>
      </w:pPr>
      <w:bookmarkStart w:name="6.9.1 Preliminary examination" w:id="1446"/>
      <w:bookmarkEnd w:id="1446"/>
      <w:r>
        <w:rPr>
          <w:b w:val="0"/>
        </w:rPr>
      </w:r>
      <w:bookmarkStart w:name="_bookmark583" w:id="1447"/>
      <w:bookmarkEnd w:id="1447"/>
      <w:r>
        <w:rPr>
          <w:b w:val="0"/>
        </w:rPr>
      </w:r>
      <w:bookmarkStart w:name="_bookmark583" w:id="1448"/>
      <w:bookmarkEnd w:id="1448"/>
      <w:r>
        <w:rPr/>
        <w:t>Preliminary</w:t>
      </w:r>
      <w:r>
        <w:rPr>
          <w:spacing w:val="-1"/>
        </w:rPr>
        <w:t> </w:t>
      </w:r>
      <w:r>
        <w:rPr/>
        <w:t>examination</w:t>
      </w:r>
    </w:p>
    <w:p>
      <w:pPr>
        <w:pStyle w:val="ListParagraph"/>
        <w:numPr>
          <w:ilvl w:val="3"/>
          <w:numId w:val="429"/>
        </w:numPr>
        <w:tabs>
          <w:tab w:pos="1918" w:val="left" w:leader="none"/>
          <w:tab w:pos="1919" w:val="left" w:leader="none"/>
        </w:tabs>
        <w:spacing w:line="240" w:lineRule="auto" w:before="120" w:after="0"/>
        <w:ind w:left="1918" w:right="0" w:hanging="567"/>
        <w:jc w:val="left"/>
        <w:rPr>
          <w:sz w:val="24"/>
        </w:rPr>
      </w:pPr>
      <w:r>
        <w:rPr>
          <w:sz w:val="24"/>
        </w:rPr>
        <w:t>If the </w:t>
      </w:r>
      <w:r>
        <w:rPr>
          <w:i/>
          <w:sz w:val="24"/>
        </w:rPr>
        <w:t>AER </w:t>
      </w:r>
      <w:r>
        <w:rPr>
          <w:sz w:val="24"/>
        </w:rPr>
        <w:t>considers</w:t>
      </w:r>
      <w:r>
        <w:rPr>
          <w:spacing w:val="-1"/>
          <w:sz w:val="24"/>
        </w:rPr>
        <w:t> </w:t>
      </w:r>
      <w:r>
        <w:rPr>
          <w:sz w:val="24"/>
        </w:rPr>
        <w:t>that:</w:t>
      </w:r>
    </w:p>
    <w:p>
      <w:pPr>
        <w:pStyle w:val="ListParagraph"/>
        <w:numPr>
          <w:ilvl w:val="4"/>
          <w:numId w:val="429"/>
        </w:numPr>
        <w:tabs>
          <w:tab w:pos="2485" w:val="left" w:leader="none"/>
          <w:tab w:pos="2486" w:val="left" w:leader="none"/>
        </w:tabs>
        <w:spacing w:line="240" w:lineRule="auto" w:before="120" w:after="0"/>
        <w:ind w:left="2486" w:right="418" w:hanging="567"/>
        <w:jc w:val="left"/>
        <w:rPr>
          <w:sz w:val="24"/>
        </w:rPr>
      </w:pPr>
      <w:r>
        <w:rPr>
          <w:sz w:val="24"/>
        </w:rPr>
        <w:t>a </w:t>
      </w:r>
      <w:r>
        <w:rPr>
          <w:i/>
          <w:sz w:val="24"/>
        </w:rPr>
        <w:t>regulatory proposal </w:t>
      </w:r>
      <w:r>
        <w:rPr>
          <w:sz w:val="24"/>
        </w:rPr>
        <w:t>submitted by a </w:t>
      </w:r>
      <w:r>
        <w:rPr>
          <w:i/>
          <w:sz w:val="24"/>
        </w:rPr>
        <w:t>Distribution Network Service </w:t>
      </w:r>
      <w:r>
        <w:rPr>
          <w:i/>
          <w:sz w:val="24"/>
        </w:rPr>
        <w:t>Provider</w:t>
      </w:r>
      <w:r>
        <w:rPr>
          <w:sz w:val="24"/>
        </w:rPr>
        <w:t>;</w:t>
      </w:r>
    </w:p>
    <w:p>
      <w:pPr>
        <w:pStyle w:val="ListParagraph"/>
        <w:numPr>
          <w:ilvl w:val="4"/>
          <w:numId w:val="429"/>
        </w:numPr>
        <w:tabs>
          <w:tab w:pos="2485" w:val="left" w:leader="none"/>
          <w:tab w:pos="2486" w:val="left" w:leader="none"/>
        </w:tabs>
        <w:spacing w:line="240" w:lineRule="auto" w:before="120" w:after="0"/>
        <w:ind w:left="2486" w:right="417" w:hanging="567"/>
        <w:jc w:val="left"/>
        <w:rPr>
          <w:sz w:val="24"/>
        </w:rPr>
      </w:pPr>
      <w:r>
        <w:rPr>
          <w:sz w:val="24"/>
        </w:rPr>
        <w:t>a proposed </w:t>
      </w:r>
      <w:r>
        <w:rPr>
          <w:i/>
          <w:sz w:val="24"/>
        </w:rPr>
        <w:t>tariff structure statement </w:t>
      </w:r>
      <w:r>
        <w:rPr>
          <w:sz w:val="24"/>
        </w:rPr>
        <w:t>submitted by a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4"/>
          <w:numId w:val="429"/>
        </w:numPr>
        <w:tabs>
          <w:tab w:pos="2485" w:val="left" w:leader="none"/>
          <w:tab w:pos="2486" w:val="left" w:leader="none"/>
        </w:tabs>
        <w:spacing w:line="240" w:lineRule="auto" w:before="120" w:after="0"/>
        <w:ind w:left="2485" w:right="0" w:hanging="567"/>
        <w:jc w:val="left"/>
        <w:rPr>
          <w:sz w:val="24"/>
        </w:rPr>
      </w:pPr>
      <w:r>
        <w:rPr>
          <w:sz w:val="24"/>
        </w:rPr>
        <w:t>any </w:t>
      </w:r>
      <w:r>
        <w:rPr>
          <w:i/>
          <w:sz w:val="24"/>
        </w:rPr>
        <w:t>exemption application </w:t>
      </w:r>
      <w:r>
        <w:rPr>
          <w:sz w:val="24"/>
        </w:rPr>
        <w:t>submitted with the </w:t>
      </w:r>
      <w:r>
        <w:rPr>
          <w:i/>
          <w:sz w:val="24"/>
        </w:rPr>
        <w:t>regulatory proposal</w:t>
      </w:r>
      <w:r>
        <w:rPr>
          <w:sz w:val="24"/>
        </w:rPr>
        <w:t>;</w:t>
      </w:r>
      <w:r>
        <w:rPr>
          <w:spacing w:val="-11"/>
          <w:sz w:val="24"/>
        </w:rPr>
        <w:t> </w:t>
      </w:r>
      <w:r>
        <w:rPr>
          <w:sz w:val="24"/>
        </w:rPr>
        <w:t>or</w:t>
      </w:r>
    </w:p>
    <w:p>
      <w:pPr>
        <w:pStyle w:val="ListParagraph"/>
        <w:numPr>
          <w:ilvl w:val="4"/>
          <w:numId w:val="429"/>
        </w:numPr>
        <w:tabs>
          <w:tab w:pos="2485" w:val="left" w:leader="none"/>
          <w:tab w:pos="2486" w:val="left" w:leader="none"/>
        </w:tabs>
        <w:spacing w:line="240" w:lineRule="auto" w:before="120" w:after="0"/>
        <w:ind w:left="2485" w:right="0" w:hanging="567"/>
        <w:jc w:val="left"/>
        <w:rPr>
          <w:sz w:val="24"/>
        </w:rPr>
      </w:pPr>
      <w:r>
        <w:rPr>
          <w:sz w:val="24"/>
        </w:rPr>
        <w:t>any</w:t>
      </w:r>
      <w:r>
        <w:rPr>
          <w:spacing w:val="20"/>
          <w:sz w:val="24"/>
        </w:rPr>
        <w:t> </w:t>
      </w:r>
      <w:r>
        <w:rPr>
          <w:sz w:val="24"/>
        </w:rPr>
        <w:t>information</w:t>
      </w:r>
      <w:r>
        <w:rPr>
          <w:spacing w:val="20"/>
          <w:sz w:val="24"/>
        </w:rPr>
        <w:t> </w:t>
      </w:r>
      <w:r>
        <w:rPr>
          <w:sz w:val="24"/>
        </w:rPr>
        <w:t>accompanying</w:t>
      </w:r>
      <w:r>
        <w:rPr>
          <w:spacing w:val="20"/>
          <w:sz w:val="24"/>
        </w:rPr>
        <w:t> </w:t>
      </w:r>
      <w:r>
        <w:rPr>
          <w:sz w:val="24"/>
        </w:rPr>
        <w:t>such</w:t>
      </w:r>
      <w:r>
        <w:rPr>
          <w:spacing w:val="20"/>
          <w:sz w:val="24"/>
        </w:rPr>
        <w:t> </w:t>
      </w:r>
      <w:r>
        <w:rPr>
          <w:sz w:val="24"/>
        </w:rPr>
        <w:t>a</w:t>
      </w:r>
      <w:r>
        <w:rPr>
          <w:spacing w:val="20"/>
          <w:sz w:val="24"/>
        </w:rPr>
        <w:t> </w:t>
      </w:r>
      <w:r>
        <w:rPr>
          <w:i/>
          <w:sz w:val="24"/>
        </w:rPr>
        <w:t>regulatory</w:t>
      </w:r>
      <w:r>
        <w:rPr>
          <w:i/>
          <w:spacing w:val="21"/>
          <w:sz w:val="24"/>
        </w:rPr>
        <w:t> </w:t>
      </w:r>
      <w:r>
        <w:rPr>
          <w:i/>
          <w:sz w:val="24"/>
        </w:rPr>
        <w:t>proposal</w:t>
      </w:r>
      <w:r>
        <w:rPr>
          <w:sz w:val="24"/>
        </w:rPr>
        <w:t>,</w:t>
      </w:r>
      <w:r>
        <w:rPr>
          <w:spacing w:val="20"/>
          <w:sz w:val="24"/>
        </w:rPr>
        <w:t> </w:t>
      </w:r>
      <w:r>
        <w:rPr>
          <w:sz w:val="24"/>
        </w:rPr>
        <w:t>proposed</w:t>
      </w:r>
    </w:p>
    <w:p>
      <w:pPr>
        <w:spacing w:before="0"/>
        <w:ind w:left="2486" w:right="0" w:firstLine="0"/>
        <w:jc w:val="left"/>
        <w:rPr>
          <w:sz w:val="24"/>
        </w:rPr>
      </w:pPr>
      <w:r>
        <w:rPr>
          <w:i/>
          <w:sz w:val="24"/>
        </w:rPr>
        <w:t>tariff structure statement </w:t>
      </w:r>
      <w:r>
        <w:rPr>
          <w:sz w:val="24"/>
        </w:rPr>
        <w:t>or </w:t>
      </w:r>
      <w:r>
        <w:rPr>
          <w:i/>
          <w:sz w:val="24"/>
        </w:rPr>
        <w:t>exemption application</w:t>
      </w:r>
      <w:r>
        <w:rPr>
          <w:sz w:val="24"/>
        </w:rPr>
        <w:t>,</w:t>
      </w:r>
    </w:p>
    <w:p>
      <w:pPr>
        <w:spacing w:before="120"/>
        <w:ind w:left="1919" w:right="415" w:firstLine="0"/>
        <w:jc w:val="both"/>
        <w:rPr>
          <w:sz w:val="24"/>
        </w:rPr>
      </w:pPr>
      <w:r>
        <w:rPr>
          <w:sz w:val="24"/>
        </w:rPr>
        <w:t>does not comply, in any respect, with a requirement of the Law or the </w:t>
      </w:r>
      <w:r>
        <w:rPr>
          <w:i/>
          <w:sz w:val="24"/>
        </w:rPr>
        <w:t>Rules</w:t>
      </w:r>
      <w:r>
        <w:rPr>
          <w:sz w:val="24"/>
        </w:rPr>
        <w:t>, the </w:t>
      </w:r>
      <w:r>
        <w:rPr>
          <w:i/>
          <w:sz w:val="24"/>
        </w:rPr>
        <w:t>AER </w:t>
      </w:r>
      <w:r>
        <w:rPr>
          <w:sz w:val="24"/>
        </w:rPr>
        <w:t>may notify the </w:t>
      </w:r>
      <w:r>
        <w:rPr>
          <w:i/>
          <w:sz w:val="24"/>
        </w:rPr>
        <w:t>Distribution Network Service Provider </w:t>
      </w:r>
      <w:r>
        <w:rPr>
          <w:sz w:val="24"/>
        </w:rPr>
        <w:t>that it requires resubmission of the relevant </w:t>
      </w:r>
      <w:r>
        <w:rPr>
          <w:i/>
          <w:sz w:val="24"/>
        </w:rPr>
        <w:t>regulatory proposal</w:t>
      </w:r>
      <w:r>
        <w:rPr>
          <w:sz w:val="24"/>
        </w:rPr>
        <w:t>, proposed </w:t>
      </w:r>
      <w:r>
        <w:rPr>
          <w:i/>
          <w:sz w:val="24"/>
        </w:rPr>
        <w:t>tariff </w:t>
      </w:r>
      <w:r>
        <w:rPr>
          <w:i/>
          <w:sz w:val="24"/>
        </w:rPr>
        <w:t>structure statement</w:t>
      </w:r>
      <w:r>
        <w:rPr>
          <w:sz w:val="24"/>
        </w:rPr>
        <w:t>, </w:t>
      </w:r>
      <w:r>
        <w:rPr>
          <w:i/>
          <w:sz w:val="24"/>
        </w:rPr>
        <w:t>exemption application </w:t>
      </w:r>
      <w:r>
        <w:rPr>
          <w:sz w:val="24"/>
        </w:rPr>
        <w:t>or accompanying information.</w:t>
      </w:r>
    </w:p>
    <w:p>
      <w:pPr>
        <w:pStyle w:val="ListParagraph"/>
        <w:numPr>
          <w:ilvl w:val="3"/>
          <w:numId w:val="429"/>
        </w:numPr>
        <w:tabs>
          <w:tab w:pos="1919" w:val="left" w:leader="none"/>
        </w:tabs>
        <w:spacing w:line="240" w:lineRule="auto" w:before="120" w:after="0"/>
        <w:ind w:left="1919" w:right="417" w:hanging="567"/>
        <w:jc w:val="both"/>
        <w:rPr>
          <w:sz w:val="24"/>
        </w:rPr>
      </w:pPr>
      <w:r>
        <w:rPr>
          <w:sz w:val="24"/>
        </w:rPr>
        <w:t>The notice must be given as soon as practicable and must state why, and in what respects, the </w:t>
      </w:r>
      <w:r>
        <w:rPr>
          <w:i/>
          <w:sz w:val="24"/>
        </w:rPr>
        <w:t>AER </w:t>
      </w:r>
      <w:r>
        <w:rPr>
          <w:sz w:val="24"/>
        </w:rPr>
        <w:t>considers the </w:t>
      </w:r>
      <w:r>
        <w:rPr>
          <w:i/>
          <w:sz w:val="24"/>
        </w:rPr>
        <w:t>regulatory proposal</w:t>
      </w:r>
      <w:r>
        <w:rPr>
          <w:sz w:val="24"/>
        </w:rPr>
        <w:t>, proposed </w:t>
      </w:r>
      <w:r>
        <w:rPr>
          <w:i/>
          <w:sz w:val="24"/>
        </w:rPr>
        <w:t>tariff </w:t>
      </w:r>
      <w:r>
        <w:rPr>
          <w:i/>
          <w:sz w:val="24"/>
        </w:rPr>
        <w:t>structure statement</w:t>
      </w:r>
      <w:r>
        <w:rPr>
          <w:sz w:val="24"/>
        </w:rPr>
        <w:t>, </w:t>
      </w:r>
      <w:r>
        <w:rPr>
          <w:i/>
          <w:sz w:val="24"/>
        </w:rPr>
        <w:t>exemption application </w:t>
      </w:r>
      <w:r>
        <w:rPr>
          <w:sz w:val="24"/>
        </w:rPr>
        <w:t>or the accompanying  information (as the case may be) to be</w:t>
      </w:r>
      <w:r>
        <w:rPr>
          <w:spacing w:val="-2"/>
          <w:sz w:val="24"/>
        </w:rPr>
        <w:t> </w:t>
      </w:r>
      <w:r>
        <w:rPr>
          <w:sz w:val="24"/>
        </w:rPr>
        <w:t>non-compliant.</w:t>
      </w:r>
    </w:p>
    <w:p>
      <w:pPr>
        <w:pStyle w:val="BodyText"/>
        <w:spacing w:before="10"/>
        <w:ind w:firstLine="0"/>
        <w:jc w:val="left"/>
        <w:rPr>
          <w:sz w:val="20"/>
        </w:rPr>
      </w:pPr>
    </w:p>
    <w:p>
      <w:pPr>
        <w:pStyle w:val="Heading4"/>
        <w:numPr>
          <w:ilvl w:val="2"/>
          <w:numId w:val="429"/>
        </w:numPr>
        <w:tabs>
          <w:tab w:pos="1351" w:val="left" w:leader="none"/>
          <w:tab w:pos="1352" w:val="left" w:leader="none"/>
        </w:tabs>
        <w:spacing w:line="240" w:lineRule="auto" w:before="0" w:after="0"/>
        <w:ind w:left="1351" w:right="0" w:hanging="1134"/>
        <w:jc w:val="left"/>
      </w:pPr>
      <w:bookmarkStart w:name="6.9.2 Resubmission of proposal" w:id="1449"/>
      <w:bookmarkEnd w:id="1449"/>
      <w:r>
        <w:rPr>
          <w:b w:val="0"/>
        </w:rPr>
      </w:r>
      <w:bookmarkStart w:name="_bookmark584" w:id="1450"/>
      <w:bookmarkEnd w:id="1450"/>
      <w:r>
        <w:rPr>
          <w:b w:val="0"/>
        </w:rPr>
      </w:r>
      <w:bookmarkStart w:name="_bookmark584" w:id="1451"/>
      <w:bookmarkEnd w:id="1451"/>
      <w:r>
        <w:rPr/>
        <w:t>Resubmissio</w:t>
      </w:r>
      <w:r>
        <w:rPr/>
        <w:t>n of</w:t>
      </w:r>
      <w:r>
        <w:rPr>
          <w:spacing w:val="-2"/>
        </w:rPr>
        <w:t> </w:t>
      </w:r>
      <w:r>
        <w:rPr/>
        <w:t>proposal</w:t>
      </w:r>
    </w:p>
    <w:p>
      <w:pPr>
        <w:pStyle w:val="ListParagraph"/>
        <w:numPr>
          <w:ilvl w:val="3"/>
          <w:numId w:val="429"/>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within 20 </w:t>
      </w:r>
      <w:r>
        <w:rPr>
          <w:i/>
          <w:sz w:val="24"/>
        </w:rPr>
        <w:t>business days </w:t>
      </w:r>
      <w:r>
        <w:rPr>
          <w:sz w:val="24"/>
        </w:rPr>
        <w:t>after receiving a notice under clause 6.9.1, resubmit its </w:t>
      </w:r>
      <w:r>
        <w:rPr>
          <w:i/>
          <w:sz w:val="24"/>
        </w:rPr>
        <w:t>regulatory proposal</w:t>
      </w:r>
      <w:r>
        <w:rPr>
          <w:sz w:val="24"/>
        </w:rPr>
        <w:t>, proposed </w:t>
      </w:r>
      <w:r>
        <w:rPr>
          <w:i/>
          <w:sz w:val="24"/>
        </w:rPr>
        <w:t>tariff structure statement</w:t>
      </w:r>
      <w:r>
        <w:rPr>
          <w:sz w:val="24"/>
        </w:rPr>
        <w:t>, </w:t>
      </w:r>
      <w:r>
        <w:rPr>
          <w:i/>
          <w:sz w:val="24"/>
        </w:rPr>
        <w:t>exemption application </w:t>
      </w:r>
      <w:r>
        <w:rPr>
          <w:sz w:val="24"/>
        </w:rPr>
        <w:t>or the accompanying information (as the case may be) in an amended form that complies with the relevant requirements set out in the</w:t>
      </w:r>
      <w:r>
        <w:rPr>
          <w:spacing w:val="-4"/>
          <w:sz w:val="24"/>
        </w:rPr>
        <w:t> </w:t>
      </w:r>
      <w:r>
        <w:rPr>
          <w:sz w:val="24"/>
        </w:rPr>
        <w:t>notice.</w:t>
      </w:r>
    </w:p>
    <w:p>
      <w:pPr>
        <w:pStyle w:val="ListParagraph"/>
        <w:numPr>
          <w:ilvl w:val="3"/>
          <w:numId w:val="429"/>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only make changes to its </w:t>
      </w:r>
      <w:r>
        <w:rPr>
          <w:i/>
          <w:sz w:val="24"/>
        </w:rPr>
        <w:t>regulatory proposal</w:t>
      </w:r>
      <w:r>
        <w:rPr>
          <w:sz w:val="24"/>
        </w:rPr>
        <w:t>, proposed </w:t>
      </w:r>
      <w:r>
        <w:rPr>
          <w:i/>
          <w:sz w:val="24"/>
        </w:rPr>
        <w:t>tariff structure statement</w:t>
      </w:r>
      <w:r>
        <w:rPr>
          <w:sz w:val="24"/>
        </w:rPr>
        <w:t>, </w:t>
      </w:r>
      <w:r>
        <w:rPr>
          <w:i/>
          <w:sz w:val="24"/>
        </w:rPr>
        <w:t>exemption </w:t>
      </w:r>
      <w:r>
        <w:rPr>
          <w:i/>
          <w:sz w:val="24"/>
        </w:rPr>
        <w:t>application </w:t>
      </w:r>
      <w:r>
        <w:rPr>
          <w:sz w:val="24"/>
        </w:rPr>
        <w:t>or the accompanying information (as the case may be) to address the deficiencies identified in the</w:t>
      </w:r>
      <w:r>
        <w:rPr>
          <w:spacing w:val="-1"/>
          <w:sz w:val="24"/>
        </w:rPr>
        <w:t> </w:t>
      </w:r>
      <w:r>
        <w:rPr>
          <w:sz w:val="24"/>
        </w:rPr>
        <w:t>notice.</w:t>
      </w:r>
    </w:p>
    <w:p>
      <w:pPr>
        <w:pStyle w:val="BodyText"/>
        <w:spacing w:before="10"/>
        <w:ind w:firstLine="0"/>
        <w:jc w:val="left"/>
        <w:rPr>
          <w:sz w:val="20"/>
        </w:rPr>
      </w:pPr>
    </w:p>
    <w:p>
      <w:pPr>
        <w:pStyle w:val="Heading4"/>
        <w:numPr>
          <w:ilvl w:val="2"/>
          <w:numId w:val="430"/>
        </w:numPr>
        <w:tabs>
          <w:tab w:pos="753" w:val="left" w:leader="none"/>
          <w:tab w:pos="1351" w:val="left" w:leader="none"/>
        </w:tabs>
        <w:spacing w:line="240" w:lineRule="auto" w:before="0" w:after="0"/>
        <w:ind w:left="752" w:right="0" w:hanging="535"/>
        <w:jc w:val="left"/>
      </w:pPr>
      <w:bookmarkStart w:name="6.9.2A Confidential information" w:id="1452"/>
      <w:bookmarkEnd w:id="1452"/>
      <w:r>
        <w:rPr>
          <w:b w:val="0"/>
        </w:rPr>
      </w:r>
      <w:bookmarkStart w:name="_bookmark585" w:id="1453"/>
      <w:bookmarkEnd w:id="1453"/>
      <w:r>
        <w:rPr>
          <w:b w:val="0"/>
        </w:rPr>
      </w:r>
      <w:bookmarkStart w:name="_bookmark585" w:id="1454"/>
      <w:bookmarkEnd w:id="1454"/>
      <w:r>
        <w:rPr/>
        <w:t>A</w:t>
      </w:r>
      <w:r>
        <w:rPr/>
        <w:tab/>
        <w:t>Confidential</w:t>
      </w:r>
      <w:r>
        <w:rPr>
          <w:spacing w:val="-2"/>
        </w:rPr>
        <w:t> </w:t>
      </w:r>
      <w:r>
        <w:rPr/>
        <w:t>information</w:t>
      </w:r>
    </w:p>
    <w:p>
      <w:pPr>
        <w:spacing w:before="120"/>
        <w:ind w:left="1352" w:right="416" w:firstLine="0"/>
        <w:jc w:val="both"/>
        <w:rPr>
          <w:sz w:val="24"/>
        </w:rPr>
      </w:pPr>
      <w:r>
        <w:rPr>
          <w:sz w:val="24"/>
        </w:rPr>
        <w:t>If the </w:t>
      </w:r>
      <w:r>
        <w:rPr>
          <w:i/>
          <w:sz w:val="24"/>
        </w:rPr>
        <w:t>Distribution Network Service Provider </w:t>
      </w:r>
      <w:r>
        <w:rPr>
          <w:sz w:val="24"/>
        </w:rPr>
        <w:t>has identified any part of the </w:t>
      </w:r>
      <w:r>
        <w:rPr>
          <w:i/>
          <w:sz w:val="24"/>
        </w:rPr>
        <w:t>regulatory proposal </w:t>
      </w:r>
      <w:r>
        <w:rPr>
          <w:sz w:val="24"/>
        </w:rPr>
        <w:t>as submitted or resubmitted to the </w:t>
      </w:r>
      <w:r>
        <w:rPr>
          <w:i/>
          <w:sz w:val="24"/>
        </w:rPr>
        <w:t>AER </w:t>
      </w:r>
      <w:r>
        <w:rPr>
          <w:sz w:val="24"/>
        </w:rPr>
        <w:t>(as the case may be) under this Part to be confidential, the </w:t>
      </w:r>
      <w:r>
        <w:rPr>
          <w:i/>
          <w:sz w:val="24"/>
        </w:rPr>
        <w:t>AER </w:t>
      </w:r>
      <w:r>
        <w:rPr>
          <w:sz w:val="24"/>
        </w:rPr>
        <w:t>must, as soon as is reasonably practicable, include on its website a notice that sets out:</w:t>
      </w:r>
    </w:p>
    <w:p>
      <w:pPr>
        <w:spacing w:after="0"/>
        <w:jc w:val="both"/>
        <w:rPr>
          <w:sz w:val="24"/>
        </w:rPr>
        <w:sectPr>
          <w:pgSz w:w="11910" w:h="16840"/>
          <w:pgMar w:header="686" w:footer="637" w:top="1320" w:bottom="820" w:left="1200" w:right="1000"/>
        </w:sectPr>
      </w:pPr>
    </w:p>
    <w:p>
      <w:pPr>
        <w:pStyle w:val="ListParagraph"/>
        <w:numPr>
          <w:ilvl w:val="3"/>
          <w:numId w:val="430"/>
        </w:numPr>
        <w:tabs>
          <w:tab w:pos="1919" w:val="left" w:leader="none"/>
        </w:tabs>
        <w:spacing w:line="240" w:lineRule="auto" w:before="83" w:after="0"/>
        <w:ind w:left="1919" w:right="416" w:hanging="567"/>
        <w:jc w:val="both"/>
        <w:rPr>
          <w:sz w:val="24"/>
        </w:rPr>
      </w:pPr>
      <w:r>
        <w:rPr>
          <w:sz w:val="24"/>
        </w:rPr>
        <w:t>the fact that the </w:t>
      </w:r>
      <w:r>
        <w:rPr>
          <w:i/>
          <w:sz w:val="24"/>
        </w:rPr>
        <w:t>regulatory proposal </w:t>
      </w:r>
      <w:r>
        <w:rPr>
          <w:sz w:val="24"/>
        </w:rPr>
        <w:t>contains information over which a claim of confidentiality has been</w:t>
      </w:r>
      <w:r>
        <w:rPr>
          <w:spacing w:val="-1"/>
          <w:sz w:val="24"/>
        </w:rPr>
        <w:t> </w:t>
      </w:r>
      <w:r>
        <w:rPr>
          <w:sz w:val="24"/>
        </w:rPr>
        <w:t>made;</w:t>
      </w:r>
    </w:p>
    <w:p>
      <w:pPr>
        <w:pStyle w:val="ListParagraph"/>
        <w:numPr>
          <w:ilvl w:val="3"/>
          <w:numId w:val="430"/>
        </w:numPr>
        <w:tabs>
          <w:tab w:pos="1919" w:val="left" w:leader="none"/>
        </w:tabs>
        <w:spacing w:line="240" w:lineRule="auto" w:before="120" w:after="0"/>
        <w:ind w:left="1919" w:right="415" w:hanging="567"/>
        <w:jc w:val="both"/>
        <w:rPr>
          <w:sz w:val="24"/>
        </w:rPr>
      </w:pPr>
      <w:r>
        <w:rPr>
          <w:sz w:val="24"/>
        </w:rPr>
        <w:t>the proportion of material in the </w:t>
      </w:r>
      <w:r>
        <w:rPr>
          <w:i/>
          <w:sz w:val="24"/>
        </w:rPr>
        <w:t>regulatory proposal </w:t>
      </w:r>
      <w:r>
        <w:rPr>
          <w:sz w:val="24"/>
        </w:rPr>
        <w:t>that is subject to any claim of confidentiality compared to that which is not subject to any such claim; and</w:t>
      </w:r>
    </w:p>
    <w:p>
      <w:pPr>
        <w:pStyle w:val="ListParagraph"/>
        <w:numPr>
          <w:ilvl w:val="3"/>
          <w:numId w:val="430"/>
        </w:numPr>
        <w:tabs>
          <w:tab w:pos="1919" w:val="left" w:leader="none"/>
        </w:tabs>
        <w:spacing w:line="240" w:lineRule="auto" w:before="120" w:after="0"/>
        <w:ind w:left="1919" w:right="416" w:hanging="567"/>
        <w:jc w:val="both"/>
        <w:rPr>
          <w:sz w:val="24"/>
        </w:rPr>
      </w:pPr>
      <w:r>
        <w:rPr>
          <w:sz w:val="24"/>
        </w:rPr>
        <w:t>the comparative proportion of material in the </w:t>
      </w:r>
      <w:r>
        <w:rPr>
          <w:i/>
          <w:sz w:val="24"/>
        </w:rPr>
        <w:t>regulatory proposal </w:t>
      </w:r>
      <w:r>
        <w:rPr>
          <w:sz w:val="24"/>
        </w:rPr>
        <w:t>that is subject to any claim of confidentiality compared to that which is subject to claims of confidentiality in the </w:t>
      </w:r>
      <w:r>
        <w:rPr>
          <w:i/>
          <w:sz w:val="24"/>
        </w:rPr>
        <w:t>regulatory proposals </w:t>
      </w:r>
      <w:r>
        <w:rPr>
          <w:sz w:val="24"/>
        </w:rPr>
        <w:t>of other </w:t>
      </w:r>
      <w:r>
        <w:rPr>
          <w:i/>
          <w:sz w:val="24"/>
        </w:rPr>
        <w:t>Distribution </w:t>
      </w:r>
      <w:r>
        <w:rPr>
          <w:i/>
          <w:sz w:val="24"/>
        </w:rPr>
        <w:t>Network Service</w:t>
      </w:r>
      <w:r>
        <w:rPr>
          <w:i/>
          <w:spacing w:val="-1"/>
          <w:sz w:val="24"/>
        </w:rPr>
        <w:t> </w:t>
      </w:r>
      <w:r>
        <w:rPr>
          <w:i/>
          <w:sz w:val="24"/>
        </w:rPr>
        <w:t>Providers</w:t>
      </w:r>
      <w:r>
        <w:rPr>
          <w:sz w:val="24"/>
        </w:rPr>
        <w:t>.</w:t>
      </w:r>
    </w:p>
    <w:p>
      <w:pPr>
        <w:pStyle w:val="BodyText"/>
        <w:spacing w:before="10"/>
        <w:ind w:firstLine="0"/>
        <w:jc w:val="left"/>
        <w:rPr>
          <w:sz w:val="20"/>
        </w:rPr>
      </w:pPr>
    </w:p>
    <w:p>
      <w:pPr>
        <w:pStyle w:val="Heading4"/>
        <w:numPr>
          <w:ilvl w:val="2"/>
          <w:numId w:val="430"/>
        </w:numPr>
        <w:tabs>
          <w:tab w:pos="1351" w:val="left" w:leader="none"/>
          <w:tab w:pos="1352" w:val="left" w:leader="none"/>
        </w:tabs>
        <w:spacing w:line="240" w:lineRule="auto" w:before="0" w:after="0"/>
        <w:ind w:left="1351" w:right="0" w:hanging="1134"/>
        <w:jc w:val="left"/>
      </w:pPr>
      <w:bookmarkStart w:name="6.9.3 Consultation" w:id="1455"/>
      <w:bookmarkEnd w:id="1455"/>
      <w:r>
        <w:rPr>
          <w:b w:val="0"/>
        </w:rPr>
      </w:r>
      <w:bookmarkStart w:name="_bookmark586" w:id="1456"/>
      <w:bookmarkEnd w:id="1456"/>
      <w:r>
        <w:rPr>
          <w:b w:val="0"/>
        </w:rPr>
      </w:r>
      <w:bookmarkStart w:name="_bookmark586" w:id="1457"/>
      <w:bookmarkEnd w:id="1457"/>
      <w:r>
        <w:rPr/>
        <w:t>Consultation</w:t>
      </w:r>
    </w:p>
    <w:p>
      <w:pPr>
        <w:pStyle w:val="ListParagraph"/>
        <w:numPr>
          <w:ilvl w:val="3"/>
          <w:numId w:val="430"/>
        </w:numPr>
        <w:tabs>
          <w:tab w:pos="1918" w:val="left" w:leader="none"/>
          <w:tab w:pos="1919" w:val="left" w:leader="none"/>
        </w:tabs>
        <w:spacing w:line="240" w:lineRule="auto" w:before="120" w:after="0"/>
        <w:ind w:left="1918" w:right="0" w:hanging="567"/>
        <w:jc w:val="left"/>
        <w:rPr>
          <w:sz w:val="24"/>
        </w:rPr>
      </w:pPr>
      <w:r>
        <w:rPr>
          <w:sz w:val="24"/>
        </w:rPr>
        <w:t>Subject</w:t>
      </w:r>
      <w:r>
        <w:rPr>
          <w:spacing w:val="22"/>
          <w:sz w:val="24"/>
        </w:rPr>
        <w:t> </w:t>
      </w:r>
      <w:r>
        <w:rPr>
          <w:sz w:val="24"/>
        </w:rPr>
        <w:t>to</w:t>
      </w:r>
      <w:r>
        <w:rPr>
          <w:spacing w:val="23"/>
          <w:sz w:val="24"/>
        </w:rPr>
        <w:t> </w:t>
      </w:r>
      <w:r>
        <w:rPr>
          <w:sz w:val="24"/>
        </w:rPr>
        <w:t>the</w:t>
      </w:r>
      <w:r>
        <w:rPr>
          <w:spacing w:val="22"/>
          <w:sz w:val="24"/>
        </w:rPr>
        <w:t> </w:t>
      </w:r>
      <w:r>
        <w:rPr>
          <w:sz w:val="24"/>
        </w:rPr>
        <w:t>provisions</w:t>
      </w:r>
      <w:r>
        <w:rPr>
          <w:spacing w:val="22"/>
          <w:sz w:val="24"/>
        </w:rPr>
        <w:t> </w:t>
      </w:r>
      <w:r>
        <w:rPr>
          <w:sz w:val="24"/>
        </w:rPr>
        <w:t>of</w:t>
      </w:r>
      <w:r>
        <w:rPr>
          <w:spacing w:val="22"/>
          <w:sz w:val="24"/>
        </w:rPr>
        <w:t> </w:t>
      </w:r>
      <w:r>
        <w:rPr>
          <w:sz w:val="24"/>
        </w:rPr>
        <w:t>the</w:t>
      </w:r>
      <w:r>
        <w:rPr>
          <w:spacing w:val="23"/>
          <w:sz w:val="24"/>
        </w:rPr>
        <w:t> </w:t>
      </w:r>
      <w:r>
        <w:rPr>
          <w:sz w:val="24"/>
        </w:rPr>
        <w:t>Law</w:t>
      </w:r>
      <w:r>
        <w:rPr>
          <w:spacing w:val="22"/>
          <w:sz w:val="24"/>
        </w:rPr>
        <w:t> </w:t>
      </w:r>
      <w:r>
        <w:rPr>
          <w:sz w:val="24"/>
        </w:rPr>
        <w:t>and</w:t>
      </w:r>
      <w:r>
        <w:rPr>
          <w:spacing w:val="22"/>
          <w:sz w:val="24"/>
        </w:rPr>
        <w:t> </w:t>
      </w:r>
      <w:r>
        <w:rPr>
          <w:sz w:val="24"/>
        </w:rPr>
        <w:t>the</w:t>
      </w:r>
      <w:r>
        <w:rPr>
          <w:spacing w:val="23"/>
          <w:sz w:val="24"/>
        </w:rPr>
        <w:t> </w:t>
      </w:r>
      <w:r>
        <w:rPr>
          <w:i/>
          <w:sz w:val="24"/>
        </w:rPr>
        <w:t>Rules</w:t>
      </w:r>
      <w:r>
        <w:rPr>
          <w:i/>
          <w:spacing w:val="23"/>
          <w:sz w:val="24"/>
        </w:rPr>
        <w:t> </w:t>
      </w:r>
      <w:r>
        <w:rPr>
          <w:sz w:val="24"/>
        </w:rPr>
        <w:t>about</w:t>
      </w:r>
      <w:r>
        <w:rPr>
          <w:spacing w:val="21"/>
          <w:sz w:val="24"/>
        </w:rPr>
        <w:t> </w:t>
      </w:r>
      <w:r>
        <w:rPr>
          <w:sz w:val="24"/>
        </w:rPr>
        <w:t>the</w:t>
      </w:r>
      <w:r>
        <w:rPr>
          <w:spacing w:val="22"/>
          <w:sz w:val="24"/>
        </w:rPr>
        <w:t> </w:t>
      </w:r>
      <w:r>
        <w:rPr>
          <w:sz w:val="24"/>
        </w:rPr>
        <w:t>disclosure</w:t>
      </w:r>
      <w:r>
        <w:rPr>
          <w:spacing w:val="23"/>
          <w:sz w:val="24"/>
        </w:rPr>
        <w:t> </w:t>
      </w:r>
      <w:r>
        <w:rPr>
          <w:sz w:val="24"/>
        </w:rPr>
        <w:t>of</w:t>
      </w:r>
    </w:p>
    <w:p>
      <w:pPr>
        <w:spacing w:before="0"/>
        <w:ind w:left="1919" w:right="0" w:firstLine="0"/>
        <w:jc w:val="left"/>
        <w:rPr>
          <w:sz w:val="24"/>
        </w:rPr>
      </w:pPr>
      <w:r>
        <w:rPr>
          <w:i/>
          <w:sz w:val="24"/>
        </w:rPr>
        <w:t>confidential information</w:t>
      </w:r>
      <w:r>
        <w:rPr>
          <w:sz w:val="24"/>
        </w:rPr>
        <w:t>, the </w:t>
      </w:r>
      <w:r>
        <w:rPr>
          <w:i/>
          <w:sz w:val="24"/>
        </w:rPr>
        <w:t>AER </w:t>
      </w:r>
      <w:r>
        <w:rPr>
          <w:sz w:val="24"/>
        </w:rPr>
        <w:t>must </w:t>
      </w:r>
      <w:r>
        <w:rPr>
          <w:i/>
          <w:sz w:val="24"/>
        </w:rPr>
        <w:t>publish</w:t>
      </w:r>
      <w:r>
        <w:rPr>
          <w:sz w:val="24"/>
        </w:rPr>
        <w:t>:</w:t>
      </w:r>
    </w:p>
    <w:p>
      <w:pPr>
        <w:pStyle w:val="ListParagraph"/>
        <w:numPr>
          <w:ilvl w:val="4"/>
          <w:numId w:val="430"/>
        </w:numPr>
        <w:tabs>
          <w:tab w:pos="2485" w:val="left" w:leader="none"/>
          <w:tab w:pos="2486" w:val="left" w:leader="none"/>
        </w:tabs>
        <w:spacing w:line="240" w:lineRule="auto" w:before="120" w:after="0"/>
        <w:ind w:left="2485" w:right="0" w:hanging="567"/>
        <w:jc w:val="left"/>
        <w:rPr>
          <w:sz w:val="24"/>
        </w:rPr>
      </w:pPr>
      <w:r>
        <w:rPr>
          <w:sz w:val="24"/>
        </w:rPr>
        <w:t>a </w:t>
      </w:r>
      <w:r>
        <w:rPr>
          <w:i/>
          <w:sz w:val="24"/>
        </w:rPr>
        <w:t>regulatory</w:t>
      </w:r>
      <w:r>
        <w:rPr>
          <w:i/>
          <w:spacing w:val="-2"/>
          <w:sz w:val="24"/>
        </w:rPr>
        <w:t> </w:t>
      </w:r>
      <w:r>
        <w:rPr>
          <w:i/>
          <w:sz w:val="24"/>
        </w:rPr>
        <w:t>proposal</w:t>
      </w:r>
      <w:r>
        <w:rPr>
          <w:sz w:val="24"/>
        </w:rPr>
        <w:t>;</w:t>
      </w:r>
    </w:p>
    <w:p>
      <w:pPr>
        <w:pStyle w:val="ListParagraph"/>
        <w:numPr>
          <w:ilvl w:val="4"/>
          <w:numId w:val="430"/>
        </w:numPr>
        <w:tabs>
          <w:tab w:pos="2485" w:val="left" w:leader="none"/>
          <w:tab w:pos="2486" w:val="left" w:leader="none"/>
        </w:tabs>
        <w:spacing w:line="240" w:lineRule="auto" w:before="120" w:after="0"/>
        <w:ind w:left="2485" w:right="0" w:hanging="567"/>
        <w:jc w:val="left"/>
        <w:rPr>
          <w:sz w:val="24"/>
        </w:rPr>
      </w:pPr>
      <w:r>
        <w:rPr>
          <w:sz w:val="24"/>
        </w:rPr>
        <w:t>a proposed </w:t>
      </w:r>
      <w:r>
        <w:rPr>
          <w:i/>
          <w:sz w:val="24"/>
        </w:rPr>
        <w:t>tariff structure</w:t>
      </w:r>
      <w:r>
        <w:rPr>
          <w:i/>
          <w:spacing w:val="-2"/>
          <w:sz w:val="24"/>
        </w:rPr>
        <w:t> </w:t>
      </w:r>
      <w:r>
        <w:rPr>
          <w:i/>
          <w:sz w:val="24"/>
        </w:rPr>
        <w:t>statement</w:t>
      </w:r>
      <w:r>
        <w:rPr>
          <w:sz w:val="24"/>
        </w:rPr>
        <w:t>;</w:t>
      </w:r>
    </w:p>
    <w:p>
      <w:pPr>
        <w:pStyle w:val="ListParagraph"/>
        <w:numPr>
          <w:ilvl w:val="4"/>
          <w:numId w:val="430"/>
        </w:numPr>
        <w:tabs>
          <w:tab w:pos="2485" w:val="left" w:leader="none"/>
          <w:tab w:pos="2486" w:val="left" w:leader="none"/>
        </w:tabs>
        <w:spacing w:line="240" w:lineRule="auto" w:before="120" w:after="0"/>
        <w:ind w:left="2485" w:right="0" w:hanging="567"/>
        <w:jc w:val="left"/>
        <w:rPr>
          <w:sz w:val="24"/>
        </w:rPr>
      </w:pPr>
      <w:r>
        <w:rPr>
          <w:sz w:val="24"/>
        </w:rPr>
        <w:t>an </w:t>
      </w:r>
      <w:r>
        <w:rPr>
          <w:i/>
          <w:sz w:val="24"/>
        </w:rPr>
        <w:t>exemption application </w:t>
      </w:r>
      <w:r>
        <w:rPr>
          <w:sz w:val="24"/>
        </w:rPr>
        <w:t>(if any);</w:t>
      </w:r>
      <w:r>
        <w:rPr>
          <w:spacing w:val="-2"/>
          <w:sz w:val="24"/>
        </w:rPr>
        <w:t> </w:t>
      </w:r>
      <w:r>
        <w:rPr>
          <w:sz w:val="24"/>
        </w:rPr>
        <w:t>and</w:t>
      </w:r>
    </w:p>
    <w:p>
      <w:pPr>
        <w:pStyle w:val="ListParagraph"/>
        <w:numPr>
          <w:ilvl w:val="4"/>
          <w:numId w:val="430"/>
        </w:numPr>
        <w:tabs>
          <w:tab w:pos="2485" w:val="left" w:leader="none"/>
          <w:tab w:pos="2486" w:val="left" w:leader="none"/>
        </w:tabs>
        <w:spacing w:line="240" w:lineRule="auto" w:before="120" w:after="0"/>
        <w:ind w:left="2486" w:right="416" w:hanging="567"/>
        <w:jc w:val="left"/>
        <w:rPr>
          <w:sz w:val="24"/>
        </w:rPr>
      </w:pPr>
      <w:r>
        <w:rPr>
          <w:sz w:val="24"/>
        </w:rPr>
        <w:t>any information accompanying such a </w:t>
      </w:r>
      <w:r>
        <w:rPr>
          <w:i/>
          <w:sz w:val="24"/>
        </w:rPr>
        <w:t>regulatory proposal</w:t>
      </w:r>
      <w:r>
        <w:rPr>
          <w:sz w:val="24"/>
        </w:rPr>
        <w:t>, </w:t>
      </w:r>
      <w:r>
        <w:rPr>
          <w:i/>
          <w:sz w:val="24"/>
        </w:rPr>
        <w:t>proposed </w:t>
      </w:r>
      <w:r>
        <w:rPr>
          <w:i/>
          <w:sz w:val="24"/>
        </w:rPr>
        <w:t>tariff structure statement </w:t>
      </w:r>
      <w:r>
        <w:rPr>
          <w:sz w:val="24"/>
        </w:rPr>
        <w:t>or </w:t>
      </w:r>
      <w:r>
        <w:rPr>
          <w:i/>
          <w:sz w:val="24"/>
        </w:rPr>
        <w:t>exemption</w:t>
      </w:r>
      <w:r>
        <w:rPr>
          <w:i/>
          <w:spacing w:val="-3"/>
          <w:sz w:val="24"/>
        </w:rPr>
        <w:t> </w:t>
      </w:r>
      <w:r>
        <w:rPr>
          <w:i/>
          <w:sz w:val="24"/>
        </w:rPr>
        <w:t>application</w:t>
      </w:r>
      <w:r>
        <w:rPr>
          <w:sz w:val="24"/>
        </w:rPr>
        <w:t>,</w:t>
      </w:r>
    </w:p>
    <w:p>
      <w:pPr>
        <w:spacing w:before="120"/>
        <w:ind w:left="1919" w:right="415" w:firstLine="0"/>
        <w:jc w:val="left"/>
        <w:rPr>
          <w:sz w:val="24"/>
        </w:rPr>
      </w:pPr>
      <w:r>
        <w:rPr>
          <w:sz w:val="24"/>
        </w:rPr>
        <w:t>submitted or resubmitted to it (as the case may be) by the </w:t>
      </w:r>
      <w:r>
        <w:rPr>
          <w:i/>
          <w:sz w:val="24"/>
        </w:rPr>
        <w:t>Distribution </w:t>
      </w:r>
      <w:r>
        <w:rPr>
          <w:i/>
          <w:sz w:val="24"/>
        </w:rPr>
        <w:t>Network Service Provider </w:t>
      </w:r>
      <w:r>
        <w:rPr>
          <w:sz w:val="24"/>
        </w:rPr>
        <w:t>under clause 6.8.2 or 6.9.2, together with:</w:t>
      </w:r>
    </w:p>
    <w:p>
      <w:pPr>
        <w:pStyle w:val="ListParagraph"/>
        <w:numPr>
          <w:ilvl w:val="4"/>
          <w:numId w:val="430"/>
        </w:numPr>
        <w:tabs>
          <w:tab w:pos="2485" w:val="left" w:leader="none"/>
          <w:tab w:pos="2486" w:val="left" w:leader="none"/>
        </w:tabs>
        <w:spacing w:line="240" w:lineRule="auto" w:before="120" w:after="0"/>
        <w:ind w:left="2485" w:right="0" w:hanging="567"/>
        <w:jc w:val="left"/>
        <w:rPr>
          <w:sz w:val="24"/>
        </w:rPr>
      </w:pPr>
      <w:r>
        <w:rPr>
          <w:sz w:val="24"/>
        </w:rPr>
        <w:t>the</w:t>
      </w:r>
      <w:r>
        <w:rPr>
          <w:spacing w:val="33"/>
          <w:sz w:val="24"/>
        </w:rPr>
        <w:t> </w:t>
      </w:r>
      <w:r>
        <w:rPr>
          <w:i/>
          <w:sz w:val="24"/>
        </w:rPr>
        <w:t>AER's</w:t>
      </w:r>
      <w:r>
        <w:rPr>
          <w:i/>
          <w:spacing w:val="34"/>
          <w:sz w:val="24"/>
        </w:rPr>
        <w:t> </w:t>
      </w:r>
      <w:r>
        <w:rPr>
          <w:sz w:val="24"/>
        </w:rPr>
        <w:t>proposed</w:t>
      </w:r>
      <w:r>
        <w:rPr>
          <w:spacing w:val="34"/>
          <w:sz w:val="24"/>
        </w:rPr>
        <w:t> </w:t>
      </w:r>
      <w:r>
        <w:rPr>
          <w:i/>
          <w:sz w:val="24"/>
        </w:rPr>
        <w:t>Negotiated</w:t>
      </w:r>
      <w:r>
        <w:rPr>
          <w:i/>
          <w:spacing w:val="34"/>
          <w:sz w:val="24"/>
        </w:rPr>
        <w:t> </w:t>
      </w:r>
      <w:r>
        <w:rPr>
          <w:i/>
          <w:sz w:val="24"/>
        </w:rPr>
        <w:t>Distribution</w:t>
      </w:r>
      <w:r>
        <w:rPr>
          <w:i/>
          <w:spacing w:val="34"/>
          <w:sz w:val="24"/>
        </w:rPr>
        <w:t> </w:t>
      </w:r>
      <w:r>
        <w:rPr>
          <w:i/>
          <w:sz w:val="24"/>
        </w:rPr>
        <w:t>Service</w:t>
      </w:r>
      <w:r>
        <w:rPr>
          <w:i/>
          <w:spacing w:val="33"/>
          <w:sz w:val="24"/>
        </w:rPr>
        <w:t> </w:t>
      </w:r>
      <w:r>
        <w:rPr>
          <w:i/>
          <w:sz w:val="24"/>
        </w:rPr>
        <w:t>Criteria</w:t>
      </w:r>
      <w:r>
        <w:rPr>
          <w:i/>
          <w:spacing w:val="34"/>
          <w:sz w:val="24"/>
        </w:rPr>
        <w:t> </w:t>
      </w:r>
      <w:r>
        <w:rPr>
          <w:sz w:val="24"/>
        </w:rPr>
        <w:t>for</w:t>
      </w:r>
      <w:r>
        <w:rPr>
          <w:spacing w:val="34"/>
          <w:sz w:val="24"/>
        </w:rPr>
        <w:t> </w:t>
      </w:r>
      <w:r>
        <w:rPr>
          <w:sz w:val="24"/>
        </w:rPr>
        <w:t>the</w:t>
      </w:r>
    </w:p>
    <w:p>
      <w:pPr>
        <w:spacing w:before="0"/>
        <w:ind w:left="2486" w:right="0" w:firstLine="0"/>
        <w:jc w:val="left"/>
        <w:rPr>
          <w:sz w:val="24"/>
        </w:rPr>
      </w:pPr>
      <w:r>
        <w:rPr>
          <w:i/>
          <w:sz w:val="24"/>
        </w:rPr>
        <w:t>Distribution Network Service Provider</w:t>
      </w:r>
      <w:r>
        <w:rPr>
          <w:sz w:val="24"/>
        </w:rPr>
        <w:t>; and</w:t>
      </w:r>
    </w:p>
    <w:p>
      <w:pPr>
        <w:pStyle w:val="ListParagraph"/>
        <w:numPr>
          <w:ilvl w:val="4"/>
          <w:numId w:val="430"/>
        </w:numPr>
        <w:tabs>
          <w:tab w:pos="2485" w:val="left" w:leader="none"/>
          <w:tab w:pos="2486" w:val="left" w:leader="none"/>
          <w:tab w:pos="2913" w:val="left" w:leader="none"/>
          <w:tab w:pos="4033" w:val="left" w:leader="none"/>
          <w:tab w:pos="4513" w:val="left" w:leader="none"/>
          <w:tab w:pos="5393" w:val="left" w:leader="none"/>
          <w:tab w:pos="6766" w:val="left" w:leader="none"/>
          <w:tab w:pos="7206" w:val="left" w:leader="none"/>
          <w:tab w:pos="7700" w:val="left" w:leader="none"/>
          <w:tab w:pos="8940" w:val="left" w:leader="none"/>
        </w:tabs>
        <w:spacing w:line="240" w:lineRule="auto" w:before="120" w:after="0"/>
        <w:ind w:left="2486" w:right="417" w:hanging="567"/>
        <w:jc w:val="left"/>
        <w:rPr>
          <w:sz w:val="24"/>
        </w:rPr>
      </w:pPr>
      <w:r>
        <w:rPr>
          <w:sz w:val="24"/>
        </w:rPr>
        <w:t>an</w:t>
        <w:tab/>
        <w:t>invitation</w:t>
        <w:tab/>
        <w:t>for</w:t>
        <w:tab/>
        <w:t>written</w:t>
        <w:tab/>
        <w:t>submissions</w:t>
        <w:tab/>
        <w:t>on</w:t>
        <w:tab/>
        <w:t>the</w:t>
        <w:tab/>
        <w:t>documents</w:t>
        <w:tab/>
      </w:r>
      <w:r>
        <w:rPr>
          <w:spacing w:val="-6"/>
          <w:sz w:val="24"/>
        </w:rPr>
        <w:t>and </w:t>
      </w:r>
      <w:r>
        <w:rPr>
          <w:sz w:val="24"/>
        </w:rPr>
        <w:t>information referred to in sub-paragraphs (1) to</w:t>
      </w:r>
      <w:r>
        <w:rPr>
          <w:spacing w:val="-1"/>
          <w:sz w:val="24"/>
        </w:rPr>
        <w:t> </w:t>
      </w:r>
      <w:r>
        <w:rPr>
          <w:sz w:val="24"/>
        </w:rPr>
        <w:t>(5),</w:t>
      </w:r>
    </w:p>
    <w:p>
      <w:pPr>
        <w:spacing w:before="120"/>
        <w:ind w:left="1919" w:right="414" w:firstLine="0"/>
        <w:jc w:val="both"/>
        <w:rPr>
          <w:sz w:val="24"/>
        </w:rPr>
      </w:pPr>
      <w:r>
        <w:rPr>
          <w:sz w:val="24"/>
        </w:rPr>
        <w:t>after the </w:t>
      </w:r>
      <w:r>
        <w:rPr>
          <w:i/>
          <w:sz w:val="24"/>
        </w:rPr>
        <w:t>AER </w:t>
      </w:r>
      <w:r>
        <w:rPr>
          <w:sz w:val="24"/>
        </w:rPr>
        <w:t>decides that the </w:t>
      </w:r>
      <w:r>
        <w:rPr>
          <w:i/>
          <w:sz w:val="24"/>
        </w:rPr>
        <w:t>regulatory proposal</w:t>
      </w:r>
      <w:r>
        <w:rPr>
          <w:sz w:val="24"/>
        </w:rPr>
        <w:t>, proposed </w:t>
      </w:r>
      <w:r>
        <w:rPr>
          <w:i/>
          <w:sz w:val="24"/>
        </w:rPr>
        <w:t>tariff structure </w:t>
      </w:r>
      <w:r>
        <w:rPr>
          <w:i/>
          <w:sz w:val="24"/>
        </w:rPr>
        <w:t>statement</w:t>
      </w:r>
      <w:r>
        <w:rPr>
          <w:sz w:val="24"/>
        </w:rPr>
        <w:t>, </w:t>
      </w:r>
      <w:r>
        <w:rPr>
          <w:i/>
          <w:sz w:val="24"/>
        </w:rPr>
        <w:t>exemption application </w:t>
      </w:r>
      <w:r>
        <w:rPr>
          <w:sz w:val="24"/>
        </w:rPr>
        <w:t>(if any) and accompanying information comply (or that there is sufficient compliance) with the requirements of the Law and the </w:t>
      </w:r>
      <w:r>
        <w:rPr>
          <w:i/>
          <w:sz w:val="24"/>
        </w:rPr>
        <w:t>Rules</w:t>
      </w:r>
      <w:r>
        <w:rPr>
          <w:sz w:val="24"/>
        </w:rPr>
        <w:t>.</w:t>
      </w:r>
    </w:p>
    <w:p>
      <w:pPr>
        <w:pStyle w:val="ListParagraph"/>
        <w:numPr>
          <w:ilvl w:val="3"/>
          <w:numId w:val="430"/>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w:t>
      </w:r>
      <w:r>
        <w:rPr>
          <w:spacing w:val="-1"/>
          <w:sz w:val="24"/>
        </w:rPr>
        <w:t> </w:t>
      </w:r>
      <w:r>
        <w:rPr>
          <w:i/>
          <w:sz w:val="24"/>
        </w:rPr>
        <w:t>publish</w:t>
      </w:r>
      <w:r>
        <w:rPr>
          <w:sz w:val="24"/>
        </w:rPr>
        <w:t>:</w:t>
      </w:r>
    </w:p>
    <w:p>
      <w:pPr>
        <w:pStyle w:val="ListParagraph"/>
        <w:numPr>
          <w:ilvl w:val="4"/>
          <w:numId w:val="430"/>
        </w:numPr>
        <w:tabs>
          <w:tab w:pos="2486" w:val="left" w:leader="none"/>
        </w:tabs>
        <w:spacing w:line="240" w:lineRule="auto" w:before="120" w:after="0"/>
        <w:ind w:left="2486" w:right="415" w:hanging="567"/>
        <w:jc w:val="both"/>
        <w:rPr>
          <w:sz w:val="24"/>
        </w:rPr>
      </w:pPr>
      <w:r>
        <w:rPr>
          <w:sz w:val="24"/>
        </w:rPr>
        <w:t>an issues paper not more than 40 </w:t>
      </w:r>
      <w:r>
        <w:rPr>
          <w:i/>
          <w:sz w:val="24"/>
        </w:rPr>
        <w:t>business days </w:t>
      </w:r>
      <w:r>
        <w:rPr>
          <w:sz w:val="24"/>
        </w:rPr>
        <w:t>after the submission, under clause 6.8.2, of the documents and information, but not any resubmitted documents or information, referred to in sub-paragraphs (a)(1) to (a)(4);</w:t>
      </w:r>
    </w:p>
    <w:p>
      <w:pPr>
        <w:pStyle w:val="ListParagraph"/>
        <w:numPr>
          <w:ilvl w:val="4"/>
          <w:numId w:val="430"/>
        </w:numPr>
        <w:tabs>
          <w:tab w:pos="2486" w:val="left" w:leader="none"/>
        </w:tabs>
        <w:spacing w:line="240" w:lineRule="auto" w:before="120" w:after="0"/>
        <w:ind w:left="2485" w:right="0" w:hanging="567"/>
        <w:jc w:val="both"/>
        <w:rPr>
          <w:sz w:val="24"/>
        </w:rPr>
      </w:pPr>
      <w:r>
        <w:rPr>
          <w:sz w:val="24"/>
        </w:rPr>
        <w:t>an invitation for written submissions on the issues paper;</w:t>
      </w:r>
      <w:r>
        <w:rPr>
          <w:spacing w:val="-8"/>
          <w:sz w:val="24"/>
        </w:rPr>
        <w:t> </w:t>
      </w:r>
      <w:r>
        <w:rPr>
          <w:sz w:val="24"/>
        </w:rPr>
        <w:t>and</w:t>
      </w:r>
    </w:p>
    <w:p>
      <w:pPr>
        <w:pStyle w:val="ListParagraph"/>
        <w:numPr>
          <w:ilvl w:val="4"/>
          <w:numId w:val="430"/>
        </w:numPr>
        <w:tabs>
          <w:tab w:pos="2486" w:val="left" w:leader="none"/>
        </w:tabs>
        <w:spacing w:line="240" w:lineRule="auto" w:before="120" w:after="0"/>
        <w:ind w:left="2485" w:right="0" w:hanging="567"/>
        <w:jc w:val="both"/>
        <w:rPr>
          <w:sz w:val="24"/>
        </w:rPr>
      </w:pPr>
      <w:r>
        <w:rPr>
          <w:sz w:val="24"/>
        </w:rPr>
        <w:t>an invitation to attend a public forum on the issues</w:t>
      </w:r>
      <w:r>
        <w:rPr>
          <w:spacing w:val="-2"/>
          <w:sz w:val="24"/>
        </w:rPr>
        <w:t> </w:t>
      </w:r>
      <w:r>
        <w:rPr>
          <w:sz w:val="24"/>
        </w:rPr>
        <w:t>paper.</w:t>
      </w:r>
    </w:p>
    <w:p>
      <w:pPr>
        <w:pStyle w:val="BodyText"/>
        <w:ind w:left="1919" w:right="414"/>
      </w:pPr>
      <w:r>
        <w:rPr/>
        <w:t>(b1) The issues paper referred to in paragraph (b) must identify  preliminary issues, whether or not arising out of the documents and information referred to in sub-paragraphs (a)(1) to (a)(4), that the </w:t>
      </w:r>
      <w:r>
        <w:rPr>
          <w:i/>
        </w:rPr>
        <w:t>AER </w:t>
      </w:r>
      <w:r>
        <w:rPr/>
        <w:t>considers are likely to be relevant to its assessment of those documents or that information (however, nothing in this clause is to be taken as precluding the </w:t>
      </w:r>
      <w:r>
        <w:rPr>
          <w:i/>
        </w:rPr>
        <w:t>AER </w:t>
      </w:r>
      <w:r>
        <w:rPr/>
        <w:t>from considering other issues in making a distribution determination for the </w:t>
      </w:r>
      <w:r>
        <w:rPr>
          <w:i/>
        </w:rPr>
        <w:t>Distribution </w:t>
      </w:r>
      <w:r>
        <w:rPr>
          <w:i/>
        </w:rPr>
        <w:t>Network Service</w:t>
      </w:r>
      <w:r>
        <w:rPr>
          <w:i/>
          <w:spacing w:val="-1"/>
        </w:rPr>
        <w:t> </w:t>
      </w:r>
      <w:r>
        <w:rPr>
          <w:i/>
        </w:rPr>
        <w:t>Provider</w:t>
      </w:r>
      <w:r>
        <w:rPr/>
        <w:t>).</w:t>
      </w:r>
    </w:p>
    <w:p>
      <w:pPr>
        <w:spacing w:after="0"/>
        <w:sectPr>
          <w:pgSz w:w="11910" w:h="16840"/>
          <w:pgMar w:header="686" w:footer="637" w:top="1320" w:bottom="820" w:left="1200" w:right="1000"/>
        </w:sectPr>
      </w:pPr>
    </w:p>
    <w:p>
      <w:pPr>
        <w:pStyle w:val="BodyText"/>
        <w:spacing w:before="83"/>
        <w:ind w:left="1352" w:firstLine="0"/>
      </w:pPr>
      <w:r>
        <w:rPr/>
        <w:t>(b2) The </w:t>
      </w:r>
      <w:r>
        <w:rPr>
          <w:i/>
        </w:rPr>
        <w:t>AER </w:t>
      </w:r>
      <w:r>
        <w:rPr/>
        <w:t>must hold a public forum on the issues paper not more than 10</w:t>
      </w:r>
    </w:p>
    <w:p>
      <w:pPr>
        <w:spacing w:before="0"/>
        <w:ind w:left="1919" w:right="0" w:firstLine="0"/>
        <w:jc w:val="both"/>
        <w:rPr>
          <w:sz w:val="24"/>
        </w:rPr>
      </w:pPr>
      <w:r>
        <w:rPr>
          <w:i/>
          <w:sz w:val="24"/>
        </w:rPr>
        <w:t>business days </w:t>
      </w:r>
      <w:r>
        <w:rPr>
          <w:sz w:val="24"/>
        </w:rPr>
        <w:t>after the </w:t>
      </w:r>
      <w:r>
        <w:rPr>
          <w:i/>
          <w:sz w:val="24"/>
        </w:rPr>
        <w:t>publication </w:t>
      </w:r>
      <w:r>
        <w:rPr>
          <w:sz w:val="24"/>
        </w:rPr>
        <w:t>of the issues paper.</w:t>
      </w:r>
    </w:p>
    <w:p>
      <w:pPr>
        <w:pStyle w:val="ListParagraph"/>
        <w:numPr>
          <w:ilvl w:val="3"/>
          <w:numId w:val="430"/>
        </w:numPr>
        <w:tabs>
          <w:tab w:pos="1919" w:val="left" w:leader="none"/>
        </w:tabs>
        <w:spacing w:line="240" w:lineRule="auto" w:before="120" w:after="0"/>
        <w:ind w:left="1919" w:right="415" w:hanging="567"/>
        <w:jc w:val="both"/>
        <w:rPr>
          <w:sz w:val="24"/>
        </w:rPr>
      </w:pPr>
      <w:r>
        <w:rPr>
          <w:sz w:val="24"/>
        </w:rPr>
        <w:t>Any person may make a written submission to the </w:t>
      </w:r>
      <w:r>
        <w:rPr>
          <w:i/>
          <w:sz w:val="24"/>
        </w:rPr>
        <w:t>AER </w:t>
      </w:r>
      <w:r>
        <w:rPr>
          <w:sz w:val="24"/>
        </w:rPr>
        <w:t>on the documents and information referred to in sub-paragraphs (a)(1) to (a)(5) or the issues paper within the time specified in the invitations referred to in paragraphs (a)(6) and (b), which in each case must be not earlier than 30 </w:t>
      </w:r>
      <w:r>
        <w:rPr>
          <w:i/>
          <w:sz w:val="24"/>
        </w:rPr>
        <w:t>business days </w:t>
      </w:r>
      <w:r>
        <w:rPr>
          <w:sz w:val="24"/>
        </w:rPr>
        <w:t>after the </w:t>
      </w:r>
      <w:r>
        <w:rPr>
          <w:i/>
          <w:sz w:val="24"/>
        </w:rPr>
        <w:t>publication </w:t>
      </w:r>
      <w:r>
        <w:rPr>
          <w:sz w:val="24"/>
        </w:rPr>
        <w:t>of the issues</w:t>
      </w:r>
      <w:r>
        <w:rPr>
          <w:spacing w:val="-1"/>
          <w:sz w:val="24"/>
        </w:rPr>
        <w:t> </w:t>
      </w:r>
      <w:r>
        <w:rPr>
          <w:sz w:val="24"/>
        </w:rPr>
        <w:t>paper.</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0" w:hanging="1135"/>
        <w:jc w:val="left"/>
      </w:pPr>
      <w:bookmarkStart w:name="6.10 Draft distribution determination an" w:id="1458"/>
      <w:bookmarkEnd w:id="1458"/>
      <w:r>
        <w:rPr>
          <w:b w:val="0"/>
        </w:rPr>
      </w:r>
      <w:bookmarkStart w:name="_bookmark587" w:id="1459"/>
      <w:bookmarkEnd w:id="1459"/>
      <w:r>
        <w:rPr>
          <w:b w:val="0"/>
        </w:rPr>
      </w:r>
      <w:bookmarkStart w:name="_bookmark587" w:id="1460"/>
      <w:bookmarkEnd w:id="1460"/>
      <w:r>
        <w:rPr/>
        <w:t>Draf</w:t>
      </w:r>
      <w:r>
        <w:rPr/>
        <w:t>t distribution determination and further</w:t>
      </w:r>
      <w:r>
        <w:rPr>
          <w:spacing w:val="-6"/>
        </w:rPr>
        <w:t> </w:t>
      </w:r>
      <w:r>
        <w:rPr/>
        <w:t>consultation</w:t>
      </w:r>
    </w:p>
    <w:p>
      <w:pPr>
        <w:pStyle w:val="Heading4"/>
        <w:numPr>
          <w:ilvl w:val="2"/>
          <w:numId w:val="431"/>
        </w:numPr>
        <w:tabs>
          <w:tab w:pos="1351" w:val="left" w:leader="none"/>
          <w:tab w:pos="1352" w:val="left" w:leader="none"/>
        </w:tabs>
        <w:spacing w:line="240" w:lineRule="auto" w:before="240" w:after="0"/>
        <w:ind w:left="1351" w:right="0" w:hanging="1134"/>
        <w:jc w:val="left"/>
      </w:pPr>
      <w:bookmarkStart w:name="6.10.1 Making of draft distribution dete" w:id="1461"/>
      <w:bookmarkEnd w:id="1461"/>
      <w:r>
        <w:rPr>
          <w:b w:val="0"/>
        </w:rPr>
      </w:r>
      <w:bookmarkStart w:name="_bookmark588" w:id="1462"/>
      <w:bookmarkEnd w:id="1462"/>
      <w:r>
        <w:rPr>
          <w:b w:val="0"/>
        </w:rPr>
      </w:r>
      <w:bookmarkStart w:name="_bookmark588" w:id="1463"/>
      <w:bookmarkEnd w:id="1463"/>
      <w:r>
        <w:rPr/>
        <w:t>Making</w:t>
      </w:r>
      <w:r>
        <w:rPr/>
        <w:t> of draft distribution</w:t>
      </w:r>
      <w:r>
        <w:rPr>
          <w:spacing w:val="-3"/>
        </w:rPr>
        <w:t> </w:t>
      </w:r>
      <w:r>
        <w:rPr/>
        <w:t>determination</w:t>
      </w:r>
    </w:p>
    <w:p>
      <w:pPr>
        <w:pStyle w:val="ListParagraph"/>
        <w:numPr>
          <w:ilvl w:val="3"/>
          <w:numId w:val="431"/>
        </w:numPr>
        <w:tabs>
          <w:tab w:pos="1919" w:val="left" w:leader="none"/>
        </w:tabs>
        <w:spacing w:line="240" w:lineRule="auto" w:before="120" w:after="0"/>
        <w:ind w:left="1918" w:right="0" w:hanging="567"/>
        <w:jc w:val="both"/>
        <w:rPr>
          <w:sz w:val="24"/>
        </w:rPr>
      </w:pPr>
      <w:r>
        <w:rPr>
          <w:sz w:val="24"/>
        </w:rPr>
        <w:t>The</w:t>
      </w:r>
      <w:r>
        <w:rPr>
          <w:spacing w:val="45"/>
          <w:sz w:val="24"/>
        </w:rPr>
        <w:t> </w:t>
      </w:r>
      <w:r>
        <w:rPr>
          <w:i/>
          <w:sz w:val="24"/>
        </w:rPr>
        <w:t>AER</w:t>
      </w:r>
      <w:r>
        <w:rPr>
          <w:i/>
          <w:spacing w:val="46"/>
          <w:sz w:val="24"/>
        </w:rPr>
        <w:t> </w:t>
      </w:r>
      <w:r>
        <w:rPr>
          <w:sz w:val="24"/>
        </w:rPr>
        <w:t>must</w:t>
      </w:r>
      <w:r>
        <w:rPr>
          <w:spacing w:val="46"/>
          <w:sz w:val="24"/>
        </w:rPr>
        <w:t> </w:t>
      </w:r>
      <w:r>
        <w:rPr>
          <w:sz w:val="24"/>
        </w:rPr>
        <w:t>make</w:t>
      </w:r>
      <w:r>
        <w:rPr>
          <w:spacing w:val="45"/>
          <w:sz w:val="24"/>
        </w:rPr>
        <w:t> </w:t>
      </w:r>
      <w:r>
        <w:rPr>
          <w:sz w:val="24"/>
        </w:rPr>
        <w:t>a</w:t>
      </w:r>
      <w:r>
        <w:rPr>
          <w:spacing w:val="46"/>
          <w:sz w:val="24"/>
        </w:rPr>
        <w:t> </w:t>
      </w:r>
      <w:r>
        <w:rPr>
          <w:sz w:val="24"/>
        </w:rPr>
        <w:t>draft</w:t>
      </w:r>
      <w:r>
        <w:rPr>
          <w:spacing w:val="46"/>
          <w:sz w:val="24"/>
        </w:rPr>
        <w:t> </w:t>
      </w:r>
      <w:r>
        <w:rPr>
          <w:sz w:val="24"/>
        </w:rPr>
        <w:t>distribution</w:t>
      </w:r>
      <w:r>
        <w:rPr>
          <w:spacing w:val="46"/>
          <w:sz w:val="24"/>
        </w:rPr>
        <w:t> </w:t>
      </w:r>
      <w:r>
        <w:rPr>
          <w:sz w:val="24"/>
        </w:rPr>
        <w:t>determination</w:t>
      </w:r>
      <w:r>
        <w:rPr>
          <w:spacing w:val="45"/>
          <w:sz w:val="24"/>
        </w:rPr>
        <w:t> </w:t>
      </w:r>
      <w:r>
        <w:rPr>
          <w:sz w:val="24"/>
        </w:rPr>
        <w:t>in</w:t>
      </w:r>
      <w:r>
        <w:rPr>
          <w:spacing w:val="46"/>
          <w:sz w:val="24"/>
        </w:rPr>
        <w:t> </w:t>
      </w:r>
      <w:r>
        <w:rPr>
          <w:sz w:val="24"/>
        </w:rPr>
        <w:t>relation</w:t>
      </w:r>
      <w:r>
        <w:rPr>
          <w:spacing w:val="46"/>
          <w:sz w:val="24"/>
        </w:rPr>
        <w:t> </w:t>
      </w:r>
      <w:r>
        <w:rPr>
          <w:sz w:val="24"/>
        </w:rPr>
        <w:t>to</w:t>
      </w:r>
      <w:r>
        <w:rPr>
          <w:spacing w:val="46"/>
          <w:sz w:val="24"/>
        </w:rPr>
        <w:t> </w:t>
      </w:r>
      <w:r>
        <w:rPr>
          <w:sz w:val="24"/>
        </w:rPr>
        <w:t>the</w:t>
      </w:r>
    </w:p>
    <w:p>
      <w:pPr>
        <w:spacing w:before="0"/>
        <w:ind w:left="1919" w:right="0" w:firstLine="0"/>
        <w:jc w:val="both"/>
        <w:rPr>
          <w:sz w:val="24"/>
        </w:rPr>
      </w:pPr>
      <w:r>
        <w:rPr>
          <w:i/>
          <w:sz w:val="24"/>
        </w:rPr>
        <w:t>Distribution Network Service Provider</w:t>
      </w:r>
      <w:r>
        <w:rPr>
          <w:sz w:val="24"/>
        </w:rPr>
        <w:t>.</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In making a draft distribution determination in relation to the </w:t>
      </w:r>
      <w:r>
        <w:rPr>
          <w:i/>
          <w:sz w:val="24"/>
        </w:rPr>
        <w:t>Distribution </w:t>
      </w:r>
      <w:r>
        <w:rPr>
          <w:i/>
          <w:sz w:val="24"/>
        </w:rPr>
        <w:t>Network Service Provider</w:t>
      </w:r>
      <w:r>
        <w:rPr>
          <w:sz w:val="24"/>
        </w:rPr>
        <w:t>, and subject to clause 6.14, the </w:t>
      </w:r>
      <w:r>
        <w:rPr>
          <w:i/>
          <w:sz w:val="24"/>
        </w:rPr>
        <w:t>AER </w:t>
      </w:r>
      <w:r>
        <w:rPr>
          <w:sz w:val="24"/>
        </w:rPr>
        <w:t>must have regard to each of the</w:t>
      </w:r>
      <w:r>
        <w:rPr>
          <w:spacing w:val="-1"/>
          <w:sz w:val="24"/>
        </w:rPr>
        <w:t> </w:t>
      </w:r>
      <w:r>
        <w:rPr>
          <w:sz w:val="24"/>
        </w:rPr>
        <w:t>following:</w:t>
      </w:r>
    </w:p>
    <w:p>
      <w:pPr>
        <w:pStyle w:val="ListParagraph"/>
        <w:numPr>
          <w:ilvl w:val="4"/>
          <w:numId w:val="431"/>
        </w:numPr>
        <w:tabs>
          <w:tab w:pos="2486" w:val="left" w:leader="none"/>
        </w:tabs>
        <w:spacing w:line="240" w:lineRule="auto" w:before="120" w:after="0"/>
        <w:ind w:left="2486" w:right="415" w:hanging="567"/>
        <w:jc w:val="both"/>
        <w:rPr>
          <w:sz w:val="24"/>
        </w:rPr>
      </w:pPr>
      <w:r>
        <w:rPr>
          <w:sz w:val="24"/>
        </w:rPr>
        <w:t>the information included in or accompanying the </w:t>
      </w:r>
      <w:r>
        <w:rPr>
          <w:i/>
          <w:sz w:val="24"/>
        </w:rPr>
        <w:t>regulatory proposal</w:t>
      </w:r>
      <w:r>
        <w:rPr>
          <w:sz w:val="24"/>
        </w:rPr>
        <w:t>, the proposed </w:t>
      </w:r>
      <w:r>
        <w:rPr>
          <w:i/>
          <w:sz w:val="24"/>
        </w:rPr>
        <w:t>tariff structure statement </w:t>
      </w:r>
      <w:r>
        <w:rPr>
          <w:sz w:val="24"/>
        </w:rPr>
        <w:t>and the </w:t>
      </w:r>
      <w:r>
        <w:rPr>
          <w:i/>
          <w:sz w:val="24"/>
        </w:rPr>
        <w:t>exemption</w:t>
      </w:r>
      <w:r>
        <w:rPr>
          <w:i/>
          <w:spacing w:val="-19"/>
          <w:sz w:val="24"/>
        </w:rPr>
        <w:t> </w:t>
      </w:r>
      <w:r>
        <w:rPr>
          <w:i/>
          <w:sz w:val="24"/>
        </w:rPr>
        <w:t>application</w:t>
      </w:r>
      <w:r>
        <w:rPr>
          <w:sz w:val="24"/>
        </w:rPr>
        <w:t>;</w:t>
      </w:r>
    </w:p>
    <w:p>
      <w:pPr>
        <w:pStyle w:val="ListParagraph"/>
        <w:numPr>
          <w:ilvl w:val="4"/>
          <w:numId w:val="431"/>
        </w:numPr>
        <w:tabs>
          <w:tab w:pos="2486" w:val="left" w:leader="none"/>
        </w:tabs>
        <w:spacing w:line="240" w:lineRule="auto" w:before="120" w:after="0"/>
        <w:ind w:left="2486" w:right="415" w:hanging="567"/>
        <w:jc w:val="both"/>
        <w:rPr>
          <w:sz w:val="24"/>
        </w:rPr>
      </w:pPr>
      <w:r>
        <w:rPr>
          <w:sz w:val="24"/>
        </w:rPr>
        <w:t>written submissions on the issues paper received under clause 6.9.3 and on the documents and information referred to in sub-paragraphs 6.9.3(a)(1) to 6.9.3(a)(5);</w:t>
      </w:r>
      <w:r>
        <w:rPr>
          <w:spacing w:val="-1"/>
          <w:sz w:val="24"/>
        </w:rPr>
        <w:t> </w:t>
      </w:r>
      <w:r>
        <w:rPr>
          <w:sz w:val="24"/>
        </w:rPr>
        <w:t>and</w:t>
      </w:r>
    </w:p>
    <w:p>
      <w:pPr>
        <w:pStyle w:val="ListParagraph"/>
        <w:numPr>
          <w:ilvl w:val="4"/>
          <w:numId w:val="431"/>
        </w:numPr>
        <w:tabs>
          <w:tab w:pos="2486" w:val="left" w:leader="none"/>
        </w:tabs>
        <w:spacing w:line="240" w:lineRule="auto" w:before="120" w:after="0"/>
        <w:ind w:left="2486" w:right="415" w:hanging="567"/>
        <w:jc w:val="both"/>
        <w:rPr>
          <w:sz w:val="24"/>
        </w:rPr>
      </w:pPr>
      <w:r>
        <w:rPr>
          <w:sz w:val="24"/>
        </w:rPr>
        <w:t>any analysis undertaken by or for the </w:t>
      </w:r>
      <w:r>
        <w:rPr>
          <w:i/>
          <w:sz w:val="24"/>
        </w:rPr>
        <w:t>AER </w:t>
      </w:r>
      <w:r>
        <w:rPr>
          <w:sz w:val="24"/>
        </w:rPr>
        <w:t>that is </w:t>
      </w:r>
      <w:r>
        <w:rPr>
          <w:i/>
          <w:sz w:val="24"/>
        </w:rPr>
        <w:t>published </w:t>
      </w:r>
      <w:r>
        <w:rPr>
          <w:sz w:val="24"/>
        </w:rPr>
        <w:t>prior to the making of the draft distribution determination or as part of the draft distribution</w:t>
      </w:r>
      <w:r>
        <w:rPr>
          <w:spacing w:val="-1"/>
          <w:sz w:val="24"/>
        </w:rPr>
        <w:t> </w:t>
      </w:r>
      <w:r>
        <w:rPr>
          <w:sz w:val="24"/>
        </w:rPr>
        <w:t>determination.</w:t>
      </w:r>
    </w:p>
    <w:p>
      <w:pPr>
        <w:spacing w:before="120"/>
        <w:ind w:left="1919" w:right="415" w:hanging="567"/>
        <w:jc w:val="both"/>
        <w:rPr>
          <w:sz w:val="24"/>
        </w:rPr>
      </w:pPr>
      <w:r>
        <w:rPr>
          <w:sz w:val="24"/>
        </w:rPr>
        <w:t>(ba) In addition, if the draft distribution determination will apply to a </w:t>
      </w:r>
      <w:r>
        <w:rPr>
          <w:i/>
          <w:sz w:val="24"/>
        </w:rPr>
        <w:t>distribution </w:t>
      </w:r>
      <w:r>
        <w:rPr>
          <w:i/>
          <w:sz w:val="24"/>
        </w:rPr>
        <w:t>system </w:t>
      </w:r>
      <w:r>
        <w:rPr>
          <w:sz w:val="24"/>
        </w:rPr>
        <w:t>in this jurisdiction during the </w:t>
      </w:r>
      <w:r>
        <w:rPr>
          <w:i/>
          <w:sz w:val="24"/>
        </w:rPr>
        <w:t>1st regulatory control period</w:t>
      </w:r>
      <w:r>
        <w:rPr>
          <w:sz w:val="24"/>
        </w:rPr>
        <w:t>, the </w:t>
      </w:r>
      <w:r>
        <w:rPr>
          <w:i/>
          <w:sz w:val="24"/>
        </w:rPr>
        <w:t>AER </w:t>
      </w:r>
      <w:r>
        <w:rPr>
          <w:sz w:val="24"/>
        </w:rPr>
        <w:t>must have regard to:</w:t>
      </w:r>
    </w:p>
    <w:p>
      <w:pPr>
        <w:pStyle w:val="ListParagraph"/>
        <w:numPr>
          <w:ilvl w:val="0"/>
          <w:numId w:val="432"/>
        </w:numPr>
        <w:tabs>
          <w:tab w:pos="2486" w:val="left" w:leader="none"/>
        </w:tabs>
        <w:spacing w:line="240" w:lineRule="auto" w:before="120" w:after="0"/>
        <w:ind w:left="2486" w:right="415" w:hanging="567"/>
        <w:jc w:val="both"/>
        <w:rPr>
          <w:sz w:val="24"/>
        </w:rPr>
      </w:pPr>
      <w:r>
        <w:rPr>
          <w:sz w:val="24"/>
        </w:rPr>
        <w:t>any amount that, under clause 3.1.3(a)(ii) or 3.1.5(a)(ii)(B) of Part B of the </w:t>
      </w:r>
      <w:r>
        <w:rPr>
          <w:i/>
          <w:sz w:val="24"/>
        </w:rPr>
        <w:t>2014 NT Network Price Determination</w:t>
      </w:r>
      <w:r>
        <w:rPr>
          <w:sz w:val="24"/>
        </w:rPr>
        <w:t>, the </w:t>
      </w:r>
      <w:r>
        <w:rPr>
          <w:i/>
          <w:sz w:val="24"/>
        </w:rPr>
        <w:t>AER </w:t>
      </w:r>
      <w:r>
        <w:rPr>
          <w:sz w:val="24"/>
        </w:rPr>
        <w:t>determined, before 1 July 2018,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period</w:t>
      </w:r>
      <w:r>
        <w:rPr>
          <w:sz w:val="24"/>
        </w:rPr>
        <w:t>;</w:t>
      </w:r>
      <w:r>
        <w:rPr>
          <w:spacing w:val="-3"/>
          <w:sz w:val="24"/>
        </w:rPr>
        <w:t> </w:t>
      </w:r>
      <w:r>
        <w:rPr>
          <w:sz w:val="24"/>
        </w:rPr>
        <w:t>and</w:t>
      </w:r>
    </w:p>
    <w:p>
      <w:pPr>
        <w:pStyle w:val="ListParagraph"/>
        <w:numPr>
          <w:ilvl w:val="0"/>
          <w:numId w:val="432"/>
        </w:numPr>
        <w:tabs>
          <w:tab w:pos="2486" w:val="left" w:leader="none"/>
        </w:tabs>
        <w:spacing w:line="240" w:lineRule="auto" w:before="120" w:after="0"/>
        <w:ind w:left="2486" w:right="416" w:hanging="567"/>
        <w:jc w:val="both"/>
        <w:rPr>
          <w:sz w:val="24"/>
        </w:rPr>
      </w:pPr>
      <w:r>
        <w:rPr>
          <w:sz w:val="24"/>
        </w:rPr>
        <w:t>any amount that, under clause 3.1.3(d)(ii) of Part B of the </w:t>
      </w:r>
      <w:r>
        <w:rPr>
          <w:i/>
          <w:sz w:val="24"/>
        </w:rPr>
        <w:t>2014 NT </w:t>
      </w:r>
      <w:r>
        <w:rPr>
          <w:i/>
          <w:sz w:val="24"/>
        </w:rPr>
        <w:t>Network Price Determination</w:t>
      </w:r>
      <w:r>
        <w:rPr>
          <w:sz w:val="24"/>
        </w:rPr>
        <w:t>,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period </w:t>
      </w:r>
      <w:r>
        <w:rPr>
          <w:sz w:val="24"/>
        </w:rPr>
        <w:t>as a result of the </w:t>
      </w:r>
      <w:r>
        <w:rPr>
          <w:i/>
          <w:sz w:val="24"/>
        </w:rPr>
        <w:t>AER </w:t>
      </w:r>
      <w:r>
        <w:rPr>
          <w:sz w:val="24"/>
        </w:rPr>
        <w:t>failing, before 1 July 2018, to make a determination within the prescribed period.</w:t>
      </w:r>
    </w:p>
    <w:p>
      <w:pPr>
        <w:spacing w:before="120"/>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This paragraph expires on 1 July 2024.</w:t>
      </w:r>
    </w:p>
    <w:p>
      <w:pPr>
        <w:pStyle w:val="BodyText"/>
        <w:spacing w:before="10"/>
        <w:ind w:firstLine="0"/>
        <w:jc w:val="left"/>
        <w:rPr>
          <w:sz w:val="20"/>
        </w:rPr>
      </w:pPr>
    </w:p>
    <w:p>
      <w:pPr>
        <w:pStyle w:val="Heading4"/>
        <w:numPr>
          <w:ilvl w:val="2"/>
          <w:numId w:val="431"/>
        </w:numPr>
        <w:tabs>
          <w:tab w:pos="1351" w:val="left" w:leader="none"/>
          <w:tab w:pos="1352" w:val="left" w:leader="none"/>
        </w:tabs>
        <w:spacing w:line="240" w:lineRule="auto" w:before="0" w:after="0"/>
        <w:ind w:left="1351" w:right="0" w:hanging="1134"/>
        <w:jc w:val="left"/>
      </w:pPr>
      <w:bookmarkStart w:name="6.10.2 Publication of draft determinatio" w:id="1464"/>
      <w:bookmarkEnd w:id="1464"/>
      <w:r>
        <w:rPr>
          <w:b w:val="0"/>
        </w:rPr>
      </w:r>
      <w:bookmarkStart w:name="_bookmark589" w:id="1465"/>
      <w:bookmarkEnd w:id="1465"/>
      <w:r>
        <w:rPr>
          <w:b w:val="0"/>
        </w:rPr>
      </w:r>
      <w:bookmarkStart w:name="_bookmark589" w:id="1466"/>
      <w:bookmarkEnd w:id="1466"/>
      <w:r>
        <w:rPr/>
        <w:t>Publ</w:t>
      </w:r>
      <w:r>
        <w:rPr/>
        <w:t>ication of draft determination and</w:t>
      </w:r>
      <w:r>
        <w:rPr>
          <w:spacing w:val="-4"/>
        </w:rPr>
        <w:t> </w:t>
      </w:r>
      <w:r>
        <w:rPr/>
        <w:t>consultation</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as soon as practicable after the relevant date referred to in clause 6.8.2(b),</w:t>
      </w:r>
      <w:r>
        <w:rPr>
          <w:spacing w:val="-1"/>
          <w:sz w:val="24"/>
        </w:rPr>
        <w:t> </w:t>
      </w:r>
      <w:r>
        <w:rPr>
          <w:i/>
          <w:sz w:val="24"/>
        </w:rPr>
        <w:t>publish</w:t>
      </w:r>
      <w:r>
        <w:rPr>
          <w:sz w:val="24"/>
        </w:rPr>
        <w:t>:</w:t>
      </w:r>
    </w:p>
    <w:p>
      <w:pPr>
        <w:pStyle w:val="ListParagraph"/>
        <w:numPr>
          <w:ilvl w:val="4"/>
          <w:numId w:val="431"/>
        </w:numPr>
        <w:tabs>
          <w:tab w:pos="2485" w:val="left" w:leader="none"/>
          <w:tab w:pos="2486" w:val="left" w:leader="none"/>
        </w:tabs>
        <w:spacing w:line="240" w:lineRule="auto" w:before="120" w:after="0"/>
        <w:ind w:left="2485" w:right="0" w:hanging="567"/>
        <w:jc w:val="left"/>
        <w:rPr>
          <w:sz w:val="24"/>
        </w:rPr>
      </w:pPr>
      <w:r>
        <w:rPr>
          <w:sz w:val="24"/>
        </w:rPr>
        <w:t>the draft distribution</w:t>
      </w:r>
      <w:r>
        <w:rPr>
          <w:spacing w:val="-1"/>
          <w:sz w:val="24"/>
        </w:rPr>
        <w:t> </w:t>
      </w:r>
      <w:r>
        <w:rPr>
          <w:sz w:val="24"/>
        </w:rPr>
        <w:t>determination;</w:t>
      </w:r>
    </w:p>
    <w:p>
      <w:pPr>
        <w:spacing w:after="0" w:line="240" w:lineRule="auto"/>
        <w:jc w:val="left"/>
        <w:rPr>
          <w:sz w:val="24"/>
        </w:rPr>
        <w:sectPr>
          <w:pgSz w:w="11910" w:h="16840"/>
          <w:pgMar w:header="686" w:footer="637" w:top="1320" w:bottom="820" w:left="1200" w:right="1000"/>
        </w:sectPr>
      </w:pPr>
    </w:p>
    <w:p>
      <w:pPr>
        <w:pStyle w:val="ListParagraph"/>
        <w:numPr>
          <w:ilvl w:val="4"/>
          <w:numId w:val="431"/>
        </w:numPr>
        <w:tabs>
          <w:tab w:pos="2486" w:val="left" w:leader="none"/>
        </w:tabs>
        <w:spacing w:line="240" w:lineRule="auto" w:before="83" w:after="0"/>
        <w:ind w:left="2485" w:right="0" w:hanging="567"/>
        <w:jc w:val="both"/>
        <w:rPr>
          <w:sz w:val="24"/>
        </w:rPr>
      </w:pPr>
      <w:r>
        <w:rPr>
          <w:sz w:val="24"/>
        </w:rPr>
        <w:t>notice of the making of the draft distribution</w:t>
      </w:r>
      <w:r>
        <w:rPr>
          <w:spacing w:val="-3"/>
          <w:sz w:val="24"/>
        </w:rPr>
        <w:t> </w:t>
      </w:r>
      <w:r>
        <w:rPr>
          <w:sz w:val="24"/>
        </w:rPr>
        <w:t>determination;</w:t>
      </w:r>
    </w:p>
    <w:p>
      <w:pPr>
        <w:pStyle w:val="ListParagraph"/>
        <w:numPr>
          <w:ilvl w:val="4"/>
          <w:numId w:val="431"/>
        </w:numPr>
        <w:tabs>
          <w:tab w:pos="2486" w:val="left" w:leader="none"/>
        </w:tabs>
        <w:spacing w:line="240" w:lineRule="auto" w:before="120" w:after="0"/>
        <w:ind w:left="2486" w:right="415" w:hanging="567"/>
        <w:jc w:val="both"/>
        <w:rPr>
          <w:sz w:val="24"/>
        </w:rPr>
      </w:pPr>
      <w:r>
        <w:rPr>
          <w:sz w:val="24"/>
        </w:rPr>
        <w:t>the </w:t>
      </w:r>
      <w:r>
        <w:rPr>
          <w:i/>
          <w:sz w:val="24"/>
        </w:rPr>
        <w:t>AER's </w:t>
      </w:r>
      <w:r>
        <w:rPr>
          <w:sz w:val="24"/>
        </w:rPr>
        <w:t>reasons for suggesting that the distribution determination should</w:t>
      </w:r>
      <w:r>
        <w:rPr>
          <w:spacing w:val="20"/>
          <w:sz w:val="24"/>
        </w:rPr>
        <w:t> </w:t>
      </w:r>
      <w:r>
        <w:rPr>
          <w:sz w:val="24"/>
        </w:rPr>
        <w:t>be</w:t>
      </w:r>
      <w:r>
        <w:rPr>
          <w:spacing w:val="20"/>
          <w:sz w:val="24"/>
        </w:rPr>
        <w:t> </w:t>
      </w:r>
      <w:r>
        <w:rPr>
          <w:sz w:val="24"/>
        </w:rPr>
        <w:t>made</w:t>
      </w:r>
      <w:r>
        <w:rPr>
          <w:spacing w:val="20"/>
          <w:sz w:val="24"/>
        </w:rPr>
        <w:t> </w:t>
      </w:r>
      <w:r>
        <w:rPr>
          <w:sz w:val="24"/>
        </w:rPr>
        <w:t>as</w:t>
      </w:r>
      <w:r>
        <w:rPr>
          <w:spacing w:val="20"/>
          <w:sz w:val="24"/>
        </w:rPr>
        <w:t> </w:t>
      </w:r>
      <w:r>
        <w:rPr>
          <w:sz w:val="24"/>
        </w:rPr>
        <w:t>proposed</w:t>
      </w:r>
      <w:r>
        <w:rPr>
          <w:spacing w:val="21"/>
          <w:sz w:val="24"/>
        </w:rPr>
        <w:t> </w:t>
      </w:r>
      <w:r>
        <w:rPr>
          <w:sz w:val="24"/>
        </w:rPr>
        <w:t>including</w:t>
      </w:r>
      <w:r>
        <w:rPr>
          <w:spacing w:val="21"/>
          <w:sz w:val="24"/>
        </w:rPr>
        <w:t> </w:t>
      </w:r>
      <w:r>
        <w:rPr>
          <w:sz w:val="24"/>
        </w:rPr>
        <w:t>the</w:t>
      </w:r>
      <w:r>
        <w:rPr>
          <w:spacing w:val="21"/>
          <w:sz w:val="24"/>
        </w:rPr>
        <w:t> </w:t>
      </w:r>
      <w:r>
        <w:rPr>
          <w:sz w:val="24"/>
        </w:rPr>
        <w:t>draft</w:t>
      </w:r>
      <w:r>
        <w:rPr>
          <w:spacing w:val="20"/>
          <w:sz w:val="24"/>
        </w:rPr>
        <w:t> </w:t>
      </w:r>
      <w:r>
        <w:rPr>
          <w:sz w:val="24"/>
        </w:rPr>
        <w:t>constituent</w:t>
      </w:r>
      <w:r>
        <w:rPr>
          <w:spacing w:val="21"/>
          <w:sz w:val="24"/>
        </w:rPr>
        <w:t> </w:t>
      </w:r>
      <w:r>
        <w:rPr>
          <w:sz w:val="24"/>
        </w:rPr>
        <w:t>decisions</w:t>
      </w:r>
    </w:p>
    <w:p>
      <w:pPr>
        <w:pStyle w:val="BodyText"/>
        <w:spacing w:before="0"/>
        <w:ind w:left="2486" w:right="415" w:firstLine="0"/>
      </w:pPr>
      <w:r>
        <w:rPr/>
        <w:t>i.e. the decisions made in accordance with rule 6.12 on which the draft distribution determination is predicated;</w:t>
      </w:r>
    </w:p>
    <w:p>
      <w:pPr>
        <w:pStyle w:val="ListParagraph"/>
        <w:numPr>
          <w:ilvl w:val="4"/>
          <w:numId w:val="431"/>
        </w:numPr>
        <w:tabs>
          <w:tab w:pos="2486" w:val="left" w:leader="none"/>
        </w:tabs>
        <w:spacing w:line="240" w:lineRule="auto" w:before="120" w:after="0"/>
        <w:ind w:left="2485" w:right="0" w:hanging="567"/>
        <w:jc w:val="both"/>
        <w:rPr>
          <w:sz w:val="24"/>
        </w:rPr>
      </w:pPr>
      <w:r>
        <w:rPr>
          <w:sz w:val="24"/>
        </w:rPr>
        <w:t>notice of a predetermination conference;</w:t>
      </w:r>
      <w:r>
        <w:rPr>
          <w:spacing w:val="-2"/>
          <w:sz w:val="24"/>
        </w:rPr>
        <w:t> </w:t>
      </w:r>
      <w:r>
        <w:rPr>
          <w:sz w:val="24"/>
        </w:rPr>
        <w:t>and</w:t>
      </w:r>
    </w:p>
    <w:p>
      <w:pPr>
        <w:pStyle w:val="ListParagraph"/>
        <w:numPr>
          <w:ilvl w:val="4"/>
          <w:numId w:val="431"/>
        </w:numPr>
        <w:tabs>
          <w:tab w:pos="2486" w:val="left" w:leader="none"/>
        </w:tabs>
        <w:spacing w:line="240" w:lineRule="auto" w:before="120" w:after="0"/>
        <w:ind w:left="2486" w:right="417" w:hanging="567"/>
        <w:jc w:val="both"/>
        <w:rPr>
          <w:sz w:val="24"/>
        </w:rPr>
      </w:pPr>
      <w:r>
        <w:rPr>
          <w:sz w:val="24"/>
        </w:rPr>
        <w:t>an invitation for written submissions on its draft distribution determination.</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hold the predetermination conference at the time, date </w:t>
      </w:r>
      <w:r>
        <w:rPr>
          <w:spacing w:val="-4"/>
          <w:sz w:val="24"/>
        </w:rPr>
        <w:t>and</w:t>
      </w:r>
      <w:r>
        <w:rPr>
          <w:spacing w:val="52"/>
          <w:sz w:val="24"/>
        </w:rPr>
        <w:t> </w:t>
      </w:r>
      <w:r>
        <w:rPr>
          <w:sz w:val="24"/>
        </w:rPr>
        <w:t>place specified in the notice under subparagraph (a)(4) for the purpose of explaining the draft distribution</w:t>
      </w:r>
      <w:r>
        <w:rPr>
          <w:spacing w:val="-3"/>
          <w:sz w:val="24"/>
        </w:rPr>
        <w:t> </w:t>
      </w:r>
      <w:r>
        <w:rPr>
          <w:sz w:val="24"/>
        </w:rPr>
        <w:t>determination.</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Any person may make a written submission to the </w:t>
      </w:r>
      <w:r>
        <w:rPr>
          <w:i/>
          <w:sz w:val="24"/>
        </w:rPr>
        <w:t>AER </w:t>
      </w:r>
      <w:r>
        <w:rPr>
          <w:sz w:val="24"/>
        </w:rPr>
        <w:t>on the draft distribution determination within the time specified in the invitation referred to in paragraph (a)(5), which must be not earlier than 45 </w:t>
      </w:r>
      <w:r>
        <w:rPr>
          <w:i/>
          <w:sz w:val="24"/>
        </w:rPr>
        <w:t>business days </w:t>
      </w:r>
      <w:r>
        <w:rPr>
          <w:sz w:val="24"/>
        </w:rPr>
        <w:t>after the making of the draft</w:t>
      </w:r>
      <w:r>
        <w:rPr>
          <w:spacing w:val="-2"/>
          <w:sz w:val="24"/>
        </w:rPr>
        <w:t> </w:t>
      </w:r>
      <w:r>
        <w:rPr>
          <w:sz w:val="24"/>
        </w:rPr>
        <w:t>determination.</w:t>
      </w:r>
    </w:p>
    <w:p>
      <w:pPr>
        <w:pStyle w:val="BodyText"/>
        <w:spacing w:before="10"/>
        <w:ind w:firstLine="0"/>
        <w:jc w:val="left"/>
        <w:rPr>
          <w:sz w:val="20"/>
        </w:rPr>
      </w:pPr>
    </w:p>
    <w:p>
      <w:pPr>
        <w:pStyle w:val="Heading4"/>
        <w:numPr>
          <w:ilvl w:val="2"/>
          <w:numId w:val="431"/>
        </w:numPr>
        <w:tabs>
          <w:tab w:pos="1351" w:val="left" w:leader="none"/>
          <w:tab w:pos="1352" w:val="left" w:leader="none"/>
        </w:tabs>
        <w:spacing w:line="240" w:lineRule="auto" w:before="0" w:after="0"/>
        <w:ind w:left="1351" w:right="0" w:hanging="1134"/>
        <w:jc w:val="left"/>
      </w:pPr>
      <w:bookmarkStart w:name="6.10.3 Submission of revised proposal" w:id="1467"/>
      <w:bookmarkEnd w:id="1467"/>
      <w:r>
        <w:rPr>
          <w:b w:val="0"/>
        </w:rPr>
      </w:r>
      <w:bookmarkStart w:name="_bookmark590" w:id="1468"/>
      <w:bookmarkEnd w:id="1468"/>
      <w:r>
        <w:rPr>
          <w:b w:val="0"/>
        </w:rPr>
      </w:r>
      <w:bookmarkStart w:name="_bookmark590" w:id="1469"/>
      <w:bookmarkEnd w:id="1469"/>
      <w:r>
        <w:rPr/>
        <w:t>Submission</w:t>
      </w:r>
      <w:r>
        <w:rPr/>
        <w:t> of revised</w:t>
      </w:r>
      <w:r>
        <w:rPr>
          <w:spacing w:val="-3"/>
        </w:rPr>
        <w:t> </w:t>
      </w:r>
      <w:r>
        <w:rPr/>
        <w:t>proposal</w:t>
      </w:r>
    </w:p>
    <w:p>
      <w:pPr>
        <w:pStyle w:val="ListParagraph"/>
        <w:numPr>
          <w:ilvl w:val="3"/>
          <w:numId w:val="431"/>
        </w:numPr>
        <w:tabs>
          <w:tab w:pos="1919" w:val="left" w:leader="none"/>
        </w:tabs>
        <w:spacing w:line="240" w:lineRule="auto" w:before="120" w:after="0"/>
        <w:ind w:left="1919" w:right="414" w:hanging="567"/>
        <w:jc w:val="both"/>
        <w:rPr>
          <w:sz w:val="24"/>
        </w:rPr>
      </w:pPr>
      <w:r>
        <w:rPr>
          <w:sz w:val="24"/>
        </w:rPr>
        <w:t>In addition to making written submissions, the </w:t>
      </w:r>
      <w:r>
        <w:rPr>
          <w:i/>
          <w:sz w:val="24"/>
        </w:rPr>
        <w:t>Distribution Network Service </w:t>
      </w:r>
      <w:r>
        <w:rPr>
          <w:i/>
          <w:sz w:val="24"/>
        </w:rPr>
        <w:t>Provider </w:t>
      </w:r>
      <w:r>
        <w:rPr>
          <w:sz w:val="24"/>
        </w:rPr>
        <w:t>may, not more than 45</w:t>
      </w:r>
      <w:r>
        <w:rPr>
          <w:i/>
          <w:sz w:val="24"/>
        </w:rPr>
        <w:t>business days </w:t>
      </w:r>
      <w:r>
        <w:rPr>
          <w:sz w:val="24"/>
        </w:rPr>
        <w:t>after the publication of the draft distribution determination, submit a revised </w:t>
      </w:r>
      <w:r>
        <w:rPr>
          <w:i/>
          <w:sz w:val="24"/>
        </w:rPr>
        <w:t>regulatory proposal </w:t>
      </w:r>
      <w:r>
        <w:rPr>
          <w:sz w:val="24"/>
        </w:rPr>
        <w:t>or a revised proposed </w:t>
      </w:r>
      <w:r>
        <w:rPr>
          <w:i/>
          <w:sz w:val="24"/>
        </w:rPr>
        <w:t>tariff structure statement </w:t>
      </w:r>
      <w:r>
        <w:rPr>
          <w:sz w:val="24"/>
        </w:rPr>
        <w:t>to the</w:t>
      </w:r>
      <w:r>
        <w:rPr>
          <w:spacing w:val="-6"/>
          <w:sz w:val="24"/>
        </w:rPr>
        <w:t> </w:t>
      </w:r>
      <w:r>
        <w:rPr>
          <w:i/>
          <w:sz w:val="24"/>
        </w:rPr>
        <w:t>AER</w:t>
      </w:r>
      <w:r>
        <w:rPr>
          <w:sz w:val="24"/>
        </w:rPr>
        <w:t>.</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only make the revisions referred to in paragraph (a) so as to incorporate the substance of any changes required to address matters raised by the draft distribution determination or the </w:t>
      </w:r>
      <w:r>
        <w:rPr>
          <w:i/>
          <w:sz w:val="24"/>
        </w:rPr>
        <w:t>AER's </w:t>
      </w:r>
      <w:r>
        <w:rPr>
          <w:sz w:val="24"/>
        </w:rPr>
        <w:t>reasons for</w:t>
      </w:r>
      <w:r>
        <w:rPr>
          <w:spacing w:val="-2"/>
          <w:sz w:val="24"/>
        </w:rPr>
        <w:t> </w:t>
      </w:r>
      <w:r>
        <w:rPr>
          <w:sz w:val="24"/>
        </w:rPr>
        <w:t>it.</w:t>
      </w:r>
    </w:p>
    <w:p>
      <w:pPr>
        <w:spacing w:before="120"/>
        <w:ind w:left="1919" w:right="415" w:hanging="567"/>
        <w:jc w:val="both"/>
        <w:rPr>
          <w:sz w:val="24"/>
        </w:rPr>
      </w:pPr>
      <w:r>
        <w:rPr>
          <w:sz w:val="24"/>
        </w:rPr>
        <w:t>(b1) A revised proposed </w:t>
      </w:r>
      <w:r>
        <w:rPr>
          <w:i/>
          <w:sz w:val="24"/>
        </w:rPr>
        <w:t>tariff structure statement </w:t>
      </w:r>
      <w:r>
        <w:rPr>
          <w:sz w:val="24"/>
        </w:rPr>
        <w:t>must comply with the </w:t>
      </w:r>
      <w:r>
        <w:rPr>
          <w:i/>
          <w:sz w:val="24"/>
        </w:rPr>
        <w:t>pricing </w:t>
      </w:r>
      <w:r>
        <w:rPr>
          <w:i/>
          <w:sz w:val="24"/>
        </w:rPr>
        <w:t>principles for direct control services </w:t>
      </w:r>
      <w:r>
        <w:rPr>
          <w:sz w:val="24"/>
        </w:rPr>
        <w:t>and must be accompanied by a revised </w:t>
      </w:r>
      <w:r>
        <w:rPr>
          <w:i/>
          <w:sz w:val="24"/>
        </w:rPr>
        <w:t>indicative pricing schedule</w:t>
      </w:r>
      <w:r>
        <w:rPr>
          <w:sz w:val="24"/>
        </w:rPr>
        <w:t>.</w:t>
      </w:r>
    </w:p>
    <w:p>
      <w:pPr>
        <w:pStyle w:val="ListParagraph"/>
        <w:numPr>
          <w:ilvl w:val="3"/>
          <w:numId w:val="431"/>
        </w:numPr>
        <w:tabs>
          <w:tab w:pos="1919" w:val="left" w:leader="none"/>
        </w:tabs>
        <w:spacing w:line="240" w:lineRule="auto" w:before="120" w:after="0"/>
        <w:ind w:left="1919" w:right="415" w:hanging="567"/>
        <w:jc w:val="both"/>
        <w:rPr>
          <w:sz w:val="24"/>
        </w:rPr>
      </w:pPr>
      <w:r>
        <w:rPr>
          <w:sz w:val="24"/>
        </w:rPr>
        <w:t>A revised </w:t>
      </w:r>
      <w:r>
        <w:rPr>
          <w:i/>
          <w:sz w:val="24"/>
        </w:rPr>
        <w:t>regulatory proposal </w:t>
      </w:r>
      <w:r>
        <w:rPr>
          <w:sz w:val="24"/>
        </w:rPr>
        <w:t>must comply with the requirements of, and must contain or be accompanied by the information required by, </w:t>
      </w:r>
      <w:r>
        <w:rPr>
          <w:spacing w:val="-4"/>
          <w:sz w:val="24"/>
        </w:rPr>
        <w:t>any </w:t>
      </w:r>
      <w:r>
        <w:rPr>
          <w:sz w:val="24"/>
        </w:rPr>
        <w:t>relevant </w:t>
      </w:r>
      <w:r>
        <w:rPr>
          <w:i/>
          <w:sz w:val="24"/>
        </w:rPr>
        <w:t>regulatory information instrument </w:t>
      </w:r>
      <w:r>
        <w:rPr>
          <w:sz w:val="24"/>
        </w:rPr>
        <w:t>or the</w:t>
      </w:r>
      <w:r>
        <w:rPr>
          <w:spacing w:val="-4"/>
          <w:sz w:val="24"/>
        </w:rPr>
        <w:t> </w:t>
      </w:r>
      <w:r>
        <w:rPr>
          <w:i/>
          <w:sz w:val="24"/>
        </w:rPr>
        <w:t>Rules</w:t>
      </w:r>
      <w:r>
        <w:rPr>
          <w:sz w:val="24"/>
        </w:rPr>
        <w:t>.</w:t>
      </w:r>
    </w:p>
    <w:p>
      <w:pPr>
        <w:spacing w:before="120"/>
        <w:ind w:left="1919" w:right="415" w:hanging="567"/>
        <w:jc w:val="both"/>
        <w:rPr>
          <w:sz w:val="24"/>
        </w:rPr>
      </w:pPr>
      <w:r>
        <w:rPr>
          <w:sz w:val="24"/>
        </w:rPr>
        <w:t>(c1) If the </w:t>
      </w:r>
      <w:r>
        <w:rPr>
          <w:i/>
          <w:sz w:val="24"/>
        </w:rPr>
        <w:t>Distribution Network Service Provider </w:t>
      </w:r>
      <w:r>
        <w:rPr>
          <w:sz w:val="24"/>
        </w:rPr>
        <w:t>has identified any part of the revised </w:t>
      </w:r>
      <w:r>
        <w:rPr>
          <w:i/>
          <w:sz w:val="24"/>
        </w:rPr>
        <w:t>regulatory proposal </w:t>
      </w:r>
      <w:r>
        <w:rPr>
          <w:sz w:val="24"/>
        </w:rPr>
        <w:t>to the </w:t>
      </w:r>
      <w:r>
        <w:rPr>
          <w:i/>
          <w:sz w:val="24"/>
        </w:rPr>
        <w:t>AER </w:t>
      </w:r>
      <w:r>
        <w:rPr>
          <w:sz w:val="24"/>
        </w:rPr>
        <w:t>under this Part to be confidential, the </w:t>
      </w:r>
      <w:r>
        <w:rPr>
          <w:i/>
          <w:sz w:val="24"/>
        </w:rPr>
        <w:t>AER </w:t>
      </w:r>
      <w:r>
        <w:rPr>
          <w:sz w:val="24"/>
        </w:rPr>
        <w:t>must, as soon as is reasonably practicable, make available on its website a notice that sets</w:t>
      </w:r>
      <w:r>
        <w:rPr>
          <w:spacing w:val="-4"/>
          <w:sz w:val="24"/>
        </w:rPr>
        <w:t> </w:t>
      </w:r>
      <w:r>
        <w:rPr>
          <w:sz w:val="24"/>
        </w:rPr>
        <w:t>out:</w:t>
      </w:r>
    </w:p>
    <w:p>
      <w:pPr>
        <w:pStyle w:val="ListParagraph"/>
        <w:numPr>
          <w:ilvl w:val="4"/>
          <w:numId w:val="431"/>
        </w:numPr>
        <w:tabs>
          <w:tab w:pos="2486" w:val="left" w:leader="none"/>
        </w:tabs>
        <w:spacing w:line="240" w:lineRule="auto" w:before="120" w:after="0"/>
        <w:ind w:left="2486" w:right="414" w:hanging="567"/>
        <w:jc w:val="both"/>
        <w:rPr>
          <w:sz w:val="24"/>
        </w:rPr>
      </w:pPr>
      <w:r>
        <w:rPr>
          <w:sz w:val="24"/>
        </w:rPr>
        <w:t>the fact that the revised </w:t>
      </w:r>
      <w:r>
        <w:rPr>
          <w:i/>
          <w:sz w:val="24"/>
        </w:rPr>
        <w:t>regulatory proposal </w:t>
      </w:r>
      <w:r>
        <w:rPr>
          <w:sz w:val="24"/>
        </w:rPr>
        <w:t>contains information </w:t>
      </w:r>
      <w:r>
        <w:rPr>
          <w:spacing w:val="-3"/>
          <w:sz w:val="24"/>
        </w:rPr>
        <w:t>over </w:t>
      </w:r>
      <w:r>
        <w:rPr>
          <w:sz w:val="24"/>
        </w:rPr>
        <w:t>which a claim of confidentiality has been</w:t>
      </w:r>
      <w:r>
        <w:rPr>
          <w:spacing w:val="-3"/>
          <w:sz w:val="24"/>
        </w:rPr>
        <w:t> </w:t>
      </w:r>
      <w:r>
        <w:rPr>
          <w:sz w:val="24"/>
        </w:rPr>
        <w:t>made;</w:t>
      </w:r>
    </w:p>
    <w:p>
      <w:pPr>
        <w:pStyle w:val="ListParagraph"/>
        <w:numPr>
          <w:ilvl w:val="4"/>
          <w:numId w:val="431"/>
        </w:numPr>
        <w:tabs>
          <w:tab w:pos="2486" w:val="left" w:leader="none"/>
        </w:tabs>
        <w:spacing w:line="240" w:lineRule="auto" w:before="120" w:after="0"/>
        <w:ind w:left="2486" w:right="416" w:hanging="567"/>
        <w:jc w:val="both"/>
        <w:rPr>
          <w:sz w:val="24"/>
        </w:rPr>
      </w:pPr>
      <w:r>
        <w:rPr>
          <w:sz w:val="24"/>
        </w:rPr>
        <w:t>the proportion of material in the revised </w:t>
      </w:r>
      <w:r>
        <w:rPr>
          <w:i/>
          <w:sz w:val="24"/>
        </w:rPr>
        <w:t>regulatory proposal </w:t>
      </w:r>
      <w:r>
        <w:rPr>
          <w:sz w:val="24"/>
        </w:rPr>
        <w:t>that is subject to any claim of confidentiality compared to that which is not subject to any such claim;</w:t>
      </w:r>
      <w:r>
        <w:rPr>
          <w:spacing w:val="-3"/>
          <w:sz w:val="24"/>
        </w:rPr>
        <w:t> </w:t>
      </w:r>
      <w:r>
        <w:rPr>
          <w:sz w:val="24"/>
        </w:rPr>
        <w:t>and</w:t>
      </w:r>
    </w:p>
    <w:p>
      <w:pPr>
        <w:pStyle w:val="ListParagraph"/>
        <w:numPr>
          <w:ilvl w:val="4"/>
          <w:numId w:val="431"/>
        </w:numPr>
        <w:tabs>
          <w:tab w:pos="2486" w:val="left" w:leader="none"/>
        </w:tabs>
        <w:spacing w:line="240" w:lineRule="auto" w:before="120" w:after="0"/>
        <w:ind w:left="2486" w:right="414" w:hanging="567"/>
        <w:jc w:val="both"/>
        <w:rPr>
          <w:sz w:val="24"/>
        </w:rPr>
      </w:pPr>
      <w:r>
        <w:rPr>
          <w:sz w:val="24"/>
        </w:rPr>
        <w:t>the comparative proportion of material in the revised </w:t>
      </w:r>
      <w:r>
        <w:rPr>
          <w:i/>
          <w:sz w:val="24"/>
        </w:rPr>
        <w:t>regulatory </w:t>
      </w:r>
      <w:r>
        <w:rPr>
          <w:i/>
          <w:sz w:val="24"/>
        </w:rPr>
        <w:t>proposal </w:t>
      </w:r>
      <w:r>
        <w:rPr>
          <w:sz w:val="24"/>
        </w:rPr>
        <w:t>that is subject to any claim of confidentiality compared </w:t>
      </w:r>
      <w:r>
        <w:rPr>
          <w:spacing w:val="-6"/>
          <w:sz w:val="24"/>
        </w:rPr>
        <w:t>to </w:t>
      </w:r>
      <w:r>
        <w:rPr>
          <w:sz w:val="24"/>
        </w:rPr>
        <w:t>that which is subject to claims of confidentiality in the revised </w:t>
      </w:r>
      <w:r>
        <w:rPr>
          <w:i/>
          <w:sz w:val="24"/>
        </w:rPr>
        <w:t>regulatory proposals </w:t>
      </w:r>
      <w:r>
        <w:rPr>
          <w:sz w:val="24"/>
        </w:rPr>
        <w:t>of other </w:t>
      </w:r>
      <w:r>
        <w:rPr>
          <w:i/>
          <w:sz w:val="24"/>
        </w:rPr>
        <w:t>Distribution Network Service</w:t>
      </w:r>
      <w:r>
        <w:rPr>
          <w:i/>
          <w:spacing w:val="-18"/>
          <w:sz w:val="24"/>
        </w:rPr>
        <w:t> </w:t>
      </w:r>
      <w:r>
        <w:rPr>
          <w:i/>
          <w:sz w:val="24"/>
        </w:rPr>
        <w:t>Providers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431"/>
        </w:numPr>
        <w:tabs>
          <w:tab w:pos="1919" w:val="left" w:leader="none"/>
        </w:tabs>
        <w:spacing w:line="240" w:lineRule="auto" w:before="83" w:after="0"/>
        <w:ind w:left="1919" w:right="414" w:hanging="567"/>
        <w:jc w:val="both"/>
        <w:rPr>
          <w:sz w:val="24"/>
        </w:rPr>
      </w:pPr>
      <w:r>
        <w:rPr>
          <w:sz w:val="24"/>
        </w:rPr>
        <w:t>Subject to the provisions of the Law and the </w:t>
      </w:r>
      <w:r>
        <w:rPr>
          <w:i/>
          <w:sz w:val="24"/>
        </w:rPr>
        <w:t>Rules </w:t>
      </w:r>
      <w:r>
        <w:rPr>
          <w:sz w:val="24"/>
        </w:rPr>
        <w:t>about the disclosure of </w:t>
      </w:r>
      <w:r>
        <w:rPr>
          <w:i/>
          <w:sz w:val="24"/>
        </w:rPr>
        <w:t>confidential information</w:t>
      </w:r>
      <w:r>
        <w:rPr>
          <w:sz w:val="24"/>
        </w:rPr>
        <w:t>, the </w:t>
      </w:r>
      <w:r>
        <w:rPr>
          <w:i/>
          <w:sz w:val="24"/>
        </w:rPr>
        <w:t>AER </w:t>
      </w:r>
      <w:r>
        <w:rPr>
          <w:sz w:val="24"/>
        </w:rPr>
        <w:t>must </w:t>
      </w:r>
      <w:r>
        <w:rPr>
          <w:i/>
          <w:sz w:val="24"/>
        </w:rPr>
        <w:t>publish </w:t>
      </w:r>
      <w:r>
        <w:rPr>
          <w:sz w:val="24"/>
        </w:rPr>
        <w:t>a revised </w:t>
      </w:r>
      <w:r>
        <w:rPr>
          <w:i/>
          <w:sz w:val="24"/>
        </w:rPr>
        <w:t>regulatory </w:t>
      </w:r>
      <w:r>
        <w:rPr>
          <w:i/>
          <w:sz w:val="24"/>
        </w:rPr>
        <w:t>proposal </w:t>
      </w:r>
      <w:r>
        <w:rPr>
          <w:sz w:val="24"/>
        </w:rPr>
        <w:t>or a revised proposed </w:t>
      </w:r>
      <w:r>
        <w:rPr>
          <w:i/>
          <w:sz w:val="24"/>
        </w:rPr>
        <w:t>tariff structure statement </w:t>
      </w:r>
      <w:r>
        <w:rPr>
          <w:sz w:val="24"/>
        </w:rPr>
        <w:t>submitted by the </w:t>
      </w:r>
      <w:r>
        <w:rPr>
          <w:i/>
          <w:sz w:val="24"/>
        </w:rPr>
        <w:t>Distribution Network Service Provider </w:t>
      </w:r>
      <w:r>
        <w:rPr>
          <w:sz w:val="24"/>
        </w:rPr>
        <w:t>under paragraph (a), together with the accompanying information, as soon as practicable after receipt by the </w:t>
      </w:r>
      <w:r>
        <w:rPr>
          <w:i/>
          <w:sz w:val="24"/>
        </w:rPr>
        <w:t>AER</w:t>
      </w:r>
      <w:r>
        <w:rPr>
          <w:sz w:val="24"/>
        </w:rPr>
        <w:t>.</w:t>
      </w:r>
    </w:p>
    <w:p>
      <w:pPr>
        <w:pStyle w:val="ListParagraph"/>
        <w:numPr>
          <w:ilvl w:val="3"/>
          <w:numId w:val="431"/>
        </w:numPr>
        <w:tabs>
          <w:tab w:pos="1919" w:val="left" w:leader="none"/>
        </w:tabs>
        <w:spacing w:line="240" w:lineRule="auto" w:before="120" w:after="0"/>
        <w:ind w:left="1918" w:right="0" w:hanging="567"/>
        <w:jc w:val="both"/>
        <w:rPr>
          <w:i/>
          <w:sz w:val="24"/>
        </w:rPr>
      </w:pPr>
      <w:r>
        <w:rPr>
          <w:sz w:val="24"/>
        </w:rPr>
        <w:t>The </w:t>
      </w:r>
      <w:r>
        <w:rPr>
          <w:i/>
          <w:sz w:val="24"/>
        </w:rPr>
        <w:t>AER </w:t>
      </w:r>
      <w:r>
        <w:rPr>
          <w:sz w:val="24"/>
        </w:rPr>
        <w:t>may invite written submissions on the revised </w:t>
      </w:r>
      <w:r>
        <w:rPr>
          <w:i/>
          <w:sz w:val="24"/>
        </w:rPr>
        <w:t>regulatory</w:t>
      </w:r>
      <w:r>
        <w:rPr>
          <w:i/>
          <w:spacing w:val="34"/>
          <w:sz w:val="24"/>
        </w:rPr>
        <w:t> </w:t>
      </w:r>
      <w:r>
        <w:rPr>
          <w:i/>
          <w:sz w:val="24"/>
        </w:rPr>
        <w:t>proposal</w:t>
      </w:r>
    </w:p>
    <w:p>
      <w:pPr>
        <w:spacing w:before="0"/>
        <w:ind w:left="1919" w:right="0" w:firstLine="0"/>
        <w:jc w:val="both"/>
        <w:rPr>
          <w:sz w:val="24"/>
        </w:rPr>
      </w:pPr>
      <w:r>
        <w:rPr>
          <w:sz w:val="24"/>
        </w:rPr>
        <w:t>or the revised proposed </w:t>
      </w:r>
      <w:r>
        <w:rPr>
          <w:i/>
          <w:sz w:val="24"/>
        </w:rPr>
        <w:t>tariff structure statement</w:t>
      </w:r>
      <w:r>
        <w:rPr>
          <w:sz w:val="24"/>
        </w:rPr>
        <w:t>.</w:t>
      </w:r>
    </w:p>
    <w:p>
      <w:pPr>
        <w:pStyle w:val="BodyText"/>
        <w:spacing w:before="10"/>
        <w:ind w:firstLine="0"/>
        <w:jc w:val="left"/>
        <w:rPr>
          <w:sz w:val="20"/>
        </w:rPr>
      </w:pPr>
    </w:p>
    <w:p>
      <w:pPr>
        <w:pStyle w:val="Heading4"/>
        <w:numPr>
          <w:ilvl w:val="2"/>
          <w:numId w:val="431"/>
        </w:numPr>
        <w:tabs>
          <w:tab w:pos="1351" w:val="left" w:leader="none"/>
          <w:tab w:pos="1352" w:val="left" w:leader="none"/>
        </w:tabs>
        <w:spacing w:line="240" w:lineRule="auto" w:before="0" w:after="0"/>
        <w:ind w:left="1351" w:right="0" w:hanging="1134"/>
        <w:jc w:val="left"/>
      </w:pPr>
      <w:bookmarkStart w:name="6.10.4 Submissions on specified matters" w:id="1470"/>
      <w:bookmarkEnd w:id="1470"/>
      <w:r>
        <w:rPr>
          <w:b w:val="0"/>
        </w:rPr>
      </w:r>
      <w:bookmarkStart w:name="_bookmark591" w:id="1471"/>
      <w:bookmarkEnd w:id="1471"/>
      <w:r>
        <w:rPr>
          <w:b w:val="0"/>
        </w:rPr>
      </w:r>
      <w:bookmarkStart w:name="_bookmark591" w:id="1472"/>
      <w:bookmarkEnd w:id="1472"/>
      <w:r>
        <w:rPr/>
        <w:t>Submissio</w:t>
      </w:r>
      <w:r>
        <w:rPr/>
        <w:t>ns on specified</w:t>
      </w:r>
      <w:r>
        <w:rPr>
          <w:spacing w:val="-2"/>
        </w:rPr>
        <w:t> </w:t>
      </w:r>
      <w:r>
        <w:rPr/>
        <w:t>matters</w:t>
      </w:r>
    </w:p>
    <w:p>
      <w:pPr>
        <w:spacing w:before="120"/>
        <w:ind w:left="1352" w:right="416" w:firstLine="0"/>
        <w:jc w:val="both"/>
        <w:rPr>
          <w:sz w:val="24"/>
        </w:rPr>
      </w:pPr>
      <w:r>
        <w:rPr>
          <w:sz w:val="24"/>
        </w:rPr>
        <w:t>If the </w:t>
      </w:r>
      <w:r>
        <w:rPr>
          <w:i/>
          <w:sz w:val="24"/>
        </w:rPr>
        <w:t>AER </w:t>
      </w:r>
      <w:r>
        <w:rPr>
          <w:sz w:val="24"/>
        </w:rPr>
        <w:t>invites submissions on a revised </w:t>
      </w:r>
      <w:r>
        <w:rPr>
          <w:i/>
          <w:sz w:val="24"/>
        </w:rPr>
        <w:t>regulatory proposal </w:t>
      </w:r>
      <w:r>
        <w:rPr>
          <w:sz w:val="24"/>
        </w:rPr>
        <w:t>or a revised proposed </w:t>
      </w:r>
      <w:r>
        <w:rPr>
          <w:i/>
          <w:sz w:val="24"/>
        </w:rPr>
        <w:t>tariff structure statement </w:t>
      </w:r>
      <w:r>
        <w:rPr>
          <w:sz w:val="24"/>
        </w:rPr>
        <w:t>under clause 6.10.3(e), the </w:t>
      </w:r>
      <w:r>
        <w:rPr>
          <w:i/>
          <w:sz w:val="24"/>
        </w:rPr>
        <w:t>AER </w:t>
      </w:r>
      <w:r>
        <w:rPr>
          <w:sz w:val="24"/>
        </w:rPr>
        <w:t>may invite further written submissions on the submissions received under clause 6.10.2(c) or 6.10.3(e) by </w:t>
      </w:r>
      <w:r>
        <w:rPr>
          <w:i/>
          <w:sz w:val="24"/>
        </w:rPr>
        <w:t>publishing </w:t>
      </w:r>
      <w:r>
        <w:rPr>
          <w:sz w:val="24"/>
        </w:rPr>
        <w:t>an invitation which specifies:</w:t>
      </w:r>
    </w:p>
    <w:p>
      <w:pPr>
        <w:pStyle w:val="ListParagraph"/>
        <w:numPr>
          <w:ilvl w:val="3"/>
          <w:numId w:val="431"/>
        </w:numPr>
        <w:tabs>
          <w:tab w:pos="1919" w:val="left" w:leader="none"/>
        </w:tabs>
        <w:spacing w:line="240" w:lineRule="auto" w:before="120" w:after="0"/>
        <w:ind w:left="1918" w:right="0" w:hanging="567"/>
        <w:jc w:val="both"/>
        <w:rPr>
          <w:sz w:val="24"/>
        </w:rPr>
      </w:pPr>
      <w:r>
        <w:rPr>
          <w:sz w:val="24"/>
        </w:rPr>
        <w:t>the matters in respect of which submissions are invited;</w:t>
      </w:r>
      <w:r>
        <w:rPr>
          <w:spacing w:val="-6"/>
          <w:sz w:val="24"/>
        </w:rPr>
        <w:t> </w:t>
      </w:r>
      <w:r>
        <w:rPr>
          <w:sz w:val="24"/>
        </w:rPr>
        <w:t>and</w:t>
      </w:r>
    </w:p>
    <w:p>
      <w:pPr>
        <w:pStyle w:val="ListParagraph"/>
        <w:numPr>
          <w:ilvl w:val="3"/>
          <w:numId w:val="431"/>
        </w:numPr>
        <w:tabs>
          <w:tab w:pos="1919" w:val="left" w:leader="none"/>
        </w:tabs>
        <w:spacing w:line="240" w:lineRule="auto" w:before="120" w:after="0"/>
        <w:ind w:left="1919" w:right="416" w:hanging="567"/>
        <w:jc w:val="both"/>
        <w:rPr>
          <w:sz w:val="24"/>
        </w:rPr>
      </w:pPr>
      <w:r>
        <w:rPr>
          <w:sz w:val="24"/>
        </w:rPr>
        <w:t>the time for making submissions, which must not be earlier than 15 </w:t>
      </w:r>
      <w:r>
        <w:rPr>
          <w:i/>
          <w:sz w:val="24"/>
        </w:rPr>
        <w:t>business </w:t>
      </w:r>
      <w:r>
        <w:rPr>
          <w:i/>
          <w:sz w:val="24"/>
        </w:rPr>
        <w:t>days </w:t>
      </w:r>
      <w:r>
        <w:rPr>
          <w:sz w:val="24"/>
        </w:rPr>
        <w:t>after the date on which the invitation was</w:t>
      </w:r>
      <w:r>
        <w:rPr>
          <w:spacing w:val="-5"/>
          <w:sz w:val="24"/>
        </w:rPr>
        <w:t> </w:t>
      </w:r>
      <w:r>
        <w:rPr>
          <w:i/>
          <w:sz w:val="24"/>
        </w:rPr>
        <w:t>published</w:t>
      </w:r>
      <w:r>
        <w:rPr>
          <w:sz w:val="24"/>
        </w:rPr>
        <w:t>.</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0" w:hanging="1135"/>
        <w:jc w:val="left"/>
      </w:pPr>
      <w:bookmarkStart w:name="6.11 Distribution determination" w:id="1473"/>
      <w:bookmarkEnd w:id="1473"/>
      <w:r>
        <w:rPr>
          <w:b w:val="0"/>
        </w:rPr>
      </w:r>
      <w:bookmarkStart w:name="_bookmark592" w:id="1474"/>
      <w:bookmarkEnd w:id="1474"/>
      <w:r>
        <w:rPr>
          <w:b w:val="0"/>
        </w:rPr>
      </w:r>
      <w:bookmarkStart w:name="_bookmark592" w:id="1475"/>
      <w:bookmarkEnd w:id="1475"/>
      <w:r>
        <w:rPr/>
        <w:t>Distribu</w:t>
      </w:r>
      <w:r>
        <w:rPr/>
        <w:t>tion</w:t>
      </w:r>
      <w:r>
        <w:rPr>
          <w:spacing w:val="-1"/>
        </w:rPr>
        <w:t> </w:t>
      </w:r>
      <w:r>
        <w:rPr/>
        <w:t>determination</w:t>
      </w:r>
    </w:p>
    <w:p>
      <w:pPr>
        <w:pStyle w:val="Heading4"/>
        <w:numPr>
          <w:ilvl w:val="2"/>
          <w:numId w:val="433"/>
        </w:numPr>
        <w:tabs>
          <w:tab w:pos="1351" w:val="left" w:leader="none"/>
          <w:tab w:pos="1352" w:val="left" w:leader="none"/>
        </w:tabs>
        <w:spacing w:line="240" w:lineRule="auto" w:before="240" w:after="0"/>
        <w:ind w:left="1351" w:right="0" w:hanging="1134"/>
        <w:jc w:val="left"/>
      </w:pPr>
      <w:bookmarkStart w:name="6.11.1 Making of distribution determinat" w:id="1476"/>
      <w:bookmarkEnd w:id="1476"/>
      <w:r>
        <w:rPr>
          <w:b w:val="0"/>
        </w:rPr>
      </w:r>
      <w:bookmarkStart w:name="_bookmark593" w:id="1477"/>
      <w:bookmarkEnd w:id="1477"/>
      <w:r>
        <w:rPr>
          <w:b w:val="0"/>
        </w:rPr>
      </w:r>
      <w:bookmarkStart w:name="_bookmark593" w:id="1478"/>
      <w:bookmarkEnd w:id="1478"/>
      <w:r>
        <w:rPr/>
        <w:t>Making</w:t>
      </w:r>
      <w:r>
        <w:rPr/>
        <w:t> of distribution</w:t>
      </w:r>
      <w:r>
        <w:rPr>
          <w:spacing w:val="-3"/>
        </w:rPr>
        <w:t> </w:t>
      </w:r>
      <w:r>
        <w:rPr/>
        <w:t>determination</w:t>
      </w:r>
    </w:p>
    <w:p>
      <w:pPr>
        <w:pStyle w:val="ListParagraph"/>
        <w:numPr>
          <w:ilvl w:val="3"/>
          <w:numId w:val="433"/>
        </w:numPr>
        <w:tabs>
          <w:tab w:pos="1919" w:val="left" w:leader="none"/>
        </w:tabs>
        <w:spacing w:line="240" w:lineRule="auto" w:before="120" w:after="0"/>
        <w:ind w:left="1918" w:right="0" w:hanging="567"/>
        <w:jc w:val="both"/>
        <w:rPr>
          <w:sz w:val="24"/>
        </w:rPr>
      </w:pPr>
      <w:r>
        <w:rPr>
          <w:sz w:val="24"/>
        </w:rPr>
        <w:t>The</w:t>
      </w:r>
      <w:r>
        <w:rPr>
          <w:spacing w:val="41"/>
          <w:sz w:val="24"/>
        </w:rPr>
        <w:t> </w:t>
      </w:r>
      <w:r>
        <w:rPr>
          <w:i/>
          <w:sz w:val="24"/>
        </w:rPr>
        <w:t>AER</w:t>
      </w:r>
      <w:r>
        <w:rPr>
          <w:i/>
          <w:spacing w:val="42"/>
          <w:sz w:val="24"/>
        </w:rPr>
        <w:t> </w:t>
      </w:r>
      <w:r>
        <w:rPr>
          <w:sz w:val="24"/>
        </w:rPr>
        <w:t>must</w:t>
      </w:r>
      <w:r>
        <w:rPr>
          <w:spacing w:val="41"/>
          <w:sz w:val="24"/>
        </w:rPr>
        <w:t> </w:t>
      </w:r>
      <w:r>
        <w:rPr>
          <w:sz w:val="24"/>
        </w:rPr>
        <w:t>make</w:t>
      </w:r>
      <w:r>
        <w:rPr>
          <w:spacing w:val="42"/>
          <w:sz w:val="24"/>
        </w:rPr>
        <w:t> </w:t>
      </w:r>
      <w:r>
        <w:rPr>
          <w:sz w:val="24"/>
        </w:rPr>
        <w:t>a</w:t>
      </w:r>
      <w:r>
        <w:rPr>
          <w:spacing w:val="42"/>
          <w:sz w:val="24"/>
        </w:rPr>
        <w:t> </w:t>
      </w:r>
      <w:r>
        <w:rPr>
          <w:sz w:val="24"/>
        </w:rPr>
        <w:t>distribution</w:t>
      </w:r>
      <w:r>
        <w:rPr>
          <w:spacing w:val="41"/>
          <w:sz w:val="24"/>
        </w:rPr>
        <w:t> </w:t>
      </w:r>
      <w:r>
        <w:rPr>
          <w:sz w:val="24"/>
        </w:rPr>
        <w:t>determination</w:t>
      </w:r>
      <w:r>
        <w:rPr>
          <w:spacing w:val="42"/>
          <w:sz w:val="24"/>
        </w:rPr>
        <w:t> </w:t>
      </w:r>
      <w:r>
        <w:rPr>
          <w:sz w:val="24"/>
        </w:rPr>
        <w:t>in</w:t>
      </w:r>
      <w:r>
        <w:rPr>
          <w:spacing w:val="41"/>
          <w:sz w:val="24"/>
        </w:rPr>
        <w:t> </w:t>
      </w:r>
      <w:r>
        <w:rPr>
          <w:sz w:val="24"/>
        </w:rPr>
        <w:t>relation</w:t>
      </w:r>
      <w:r>
        <w:rPr>
          <w:spacing w:val="42"/>
          <w:sz w:val="24"/>
        </w:rPr>
        <w:t> </w:t>
      </w:r>
      <w:r>
        <w:rPr>
          <w:sz w:val="24"/>
        </w:rPr>
        <w:t>to</w:t>
      </w:r>
      <w:r>
        <w:rPr>
          <w:spacing w:val="42"/>
          <w:sz w:val="24"/>
        </w:rPr>
        <w:t> </w:t>
      </w:r>
      <w:r>
        <w:rPr>
          <w:sz w:val="24"/>
        </w:rPr>
        <w:t>the</w:t>
      </w:r>
    </w:p>
    <w:p>
      <w:pPr>
        <w:spacing w:before="0"/>
        <w:ind w:left="1919" w:right="0" w:firstLine="0"/>
        <w:jc w:val="both"/>
        <w:rPr>
          <w:sz w:val="24"/>
        </w:rPr>
      </w:pPr>
      <w:r>
        <w:rPr>
          <w:i/>
          <w:sz w:val="24"/>
        </w:rPr>
        <w:t>Distribution Network Service Provider</w:t>
      </w:r>
      <w:r>
        <w:rPr>
          <w:sz w:val="24"/>
        </w:rPr>
        <w:t>.</w:t>
      </w:r>
    </w:p>
    <w:p>
      <w:pPr>
        <w:pStyle w:val="ListParagraph"/>
        <w:numPr>
          <w:ilvl w:val="3"/>
          <w:numId w:val="433"/>
        </w:numPr>
        <w:tabs>
          <w:tab w:pos="1919" w:val="left" w:leader="none"/>
        </w:tabs>
        <w:spacing w:line="240" w:lineRule="auto" w:before="120" w:after="0"/>
        <w:ind w:left="1919" w:right="415" w:hanging="567"/>
        <w:jc w:val="both"/>
        <w:rPr>
          <w:sz w:val="24"/>
        </w:rPr>
      </w:pPr>
      <w:r>
        <w:rPr>
          <w:sz w:val="24"/>
        </w:rPr>
        <w:t>In making a distribution determination in relation to the </w:t>
      </w:r>
      <w:r>
        <w:rPr>
          <w:i/>
          <w:sz w:val="24"/>
        </w:rPr>
        <w:t>Distribution </w:t>
      </w:r>
      <w:r>
        <w:rPr>
          <w:i/>
          <w:sz w:val="24"/>
        </w:rPr>
        <w:t>Network Service Provider</w:t>
      </w:r>
      <w:r>
        <w:rPr>
          <w:sz w:val="24"/>
        </w:rPr>
        <w:t>, and subject to rule 6.14, the </w:t>
      </w:r>
      <w:r>
        <w:rPr>
          <w:i/>
          <w:sz w:val="24"/>
        </w:rPr>
        <w:t>AER </w:t>
      </w:r>
      <w:r>
        <w:rPr>
          <w:sz w:val="24"/>
        </w:rPr>
        <w:t>must have regard to each of the</w:t>
      </w:r>
      <w:r>
        <w:rPr>
          <w:spacing w:val="-1"/>
          <w:sz w:val="24"/>
        </w:rPr>
        <w:t> </w:t>
      </w:r>
      <w:r>
        <w:rPr>
          <w:sz w:val="24"/>
        </w:rPr>
        <w:t>following:</w:t>
      </w:r>
    </w:p>
    <w:p>
      <w:pPr>
        <w:pStyle w:val="ListParagraph"/>
        <w:numPr>
          <w:ilvl w:val="4"/>
          <w:numId w:val="433"/>
        </w:numPr>
        <w:tabs>
          <w:tab w:pos="2486" w:val="left" w:leader="none"/>
        </w:tabs>
        <w:spacing w:line="240" w:lineRule="auto" w:before="120" w:after="0"/>
        <w:ind w:left="2486" w:right="415" w:hanging="567"/>
        <w:jc w:val="both"/>
        <w:rPr>
          <w:sz w:val="24"/>
        </w:rPr>
      </w:pPr>
      <w:r>
        <w:rPr>
          <w:sz w:val="24"/>
        </w:rPr>
        <w:t>the information included in or accompanying the </w:t>
      </w:r>
      <w:r>
        <w:rPr>
          <w:i/>
          <w:sz w:val="24"/>
        </w:rPr>
        <w:t>regulatory proposal</w:t>
      </w:r>
      <w:r>
        <w:rPr>
          <w:sz w:val="24"/>
        </w:rPr>
        <w:t>, the proposed </w:t>
      </w:r>
      <w:r>
        <w:rPr>
          <w:i/>
          <w:sz w:val="24"/>
        </w:rPr>
        <w:t>tariff structure statement </w:t>
      </w:r>
      <w:r>
        <w:rPr>
          <w:sz w:val="24"/>
        </w:rPr>
        <w:t>and the </w:t>
      </w:r>
      <w:r>
        <w:rPr>
          <w:i/>
          <w:sz w:val="24"/>
        </w:rPr>
        <w:t>exemption application </w:t>
      </w:r>
      <w:r>
        <w:rPr>
          <w:sz w:val="24"/>
        </w:rPr>
        <w:t>(if any);</w:t>
      </w:r>
    </w:p>
    <w:p>
      <w:pPr>
        <w:pStyle w:val="ListParagraph"/>
        <w:numPr>
          <w:ilvl w:val="4"/>
          <w:numId w:val="433"/>
        </w:numPr>
        <w:tabs>
          <w:tab w:pos="2486" w:val="left" w:leader="none"/>
        </w:tabs>
        <w:spacing w:line="240" w:lineRule="auto" w:before="120" w:after="0"/>
        <w:ind w:left="2485" w:right="0" w:hanging="567"/>
        <w:jc w:val="both"/>
        <w:rPr>
          <w:sz w:val="24"/>
        </w:rPr>
      </w:pPr>
      <w:r>
        <w:rPr>
          <w:sz w:val="24"/>
        </w:rPr>
        <w:t>written submissions received under this Part E;</w:t>
      </w:r>
      <w:r>
        <w:rPr>
          <w:spacing w:val="-5"/>
          <w:sz w:val="24"/>
        </w:rPr>
        <w:t> </w:t>
      </w:r>
      <w:r>
        <w:rPr>
          <w:sz w:val="24"/>
        </w:rPr>
        <w:t>and</w:t>
      </w:r>
    </w:p>
    <w:p>
      <w:pPr>
        <w:pStyle w:val="ListParagraph"/>
        <w:numPr>
          <w:ilvl w:val="4"/>
          <w:numId w:val="433"/>
        </w:numPr>
        <w:tabs>
          <w:tab w:pos="2486" w:val="left" w:leader="none"/>
        </w:tabs>
        <w:spacing w:line="240" w:lineRule="auto" w:before="120" w:after="0"/>
        <w:ind w:left="2486" w:right="415" w:hanging="567"/>
        <w:jc w:val="both"/>
        <w:rPr>
          <w:sz w:val="24"/>
        </w:rPr>
      </w:pPr>
      <w:r>
        <w:rPr>
          <w:sz w:val="24"/>
        </w:rPr>
        <w:t>any analysis undertaken by or for the </w:t>
      </w:r>
      <w:r>
        <w:rPr>
          <w:i/>
          <w:sz w:val="24"/>
        </w:rPr>
        <w:t>AER </w:t>
      </w:r>
      <w:r>
        <w:rPr>
          <w:sz w:val="24"/>
        </w:rPr>
        <w:t>that is </w:t>
      </w:r>
      <w:r>
        <w:rPr>
          <w:i/>
          <w:sz w:val="24"/>
        </w:rPr>
        <w:t>published </w:t>
      </w:r>
      <w:r>
        <w:rPr>
          <w:sz w:val="24"/>
        </w:rPr>
        <w:t>prior to the making of the distribution determination or as part of </w:t>
      </w:r>
      <w:r>
        <w:rPr>
          <w:spacing w:val="-4"/>
          <w:sz w:val="24"/>
        </w:rPr>
        <w:t>the </w:t>
      </w:r>
      <w:r>
        <w:rPr>
          <w:sz w:val="24"/>
        </w:rPr>
        <w:t>distribution</w:t>
      </w:r>
      <w:r>
        <w:rPr>
          <w:spacing w:val="-1"/>
          <w:sz w:val="24"/>
        </w:rPr>
        <w:t> </w:t>
      </w:r>
      <w:r>
        <w:rPr>
          <w:sz w:val="24"/>
        </w:rPr>
        <w:t>determination.</w:t>
      </w:r>
    </w:p>
    <w:p>
      <w:pPr>
        <w:spacing w:before="120"/>
        <w:ind w:left="1919" w:right="415" w:hanging="567"/>
        <w:jc w:val="both"/>
        <w:rPr>
          <w:sz w:val="24"/>
        </w:rPr>
      </w:pPr>
      <w:r>
        <w:rPr>
          <w:sz w:val="24"/>
        </w:rPr>
        <w:t>(ba) In addition, if the distribution determination will apply to a </w:t>
      </w:r>
      <w:r>
        <w:rPr>
          <w:i/>
          <w:sz w:val="24"/>
        </w:rPr>
        <w:t>distribution </w:t>
      </w:r>
      <w:r>
        <w:rPr>
          <w:i/>
          <w:sz w:val="24"/>
        </w:rPr>
        <w:t>system </w:t>
      </w:r>
      <w:r>
        <w:rPr>
          <w:sz w:val="24"/>
        </w:rPr>
        <w:t>in this jurisdiction during the </w:t>
      </w:r>
      <w:r>
        <w:rPr>
          <w:i/>
          <w:sz w:val="24"/>
        </w:rPr>
        <w:t>1st regulatory control period</w:t>
      </w:r>
      <w:r>
        <w:rPr>
          <w:sz w:val="24"/>
        </w:rPr>
        <w:t>, the </w:t>
      </w:r>
      <w:r>
        <w:rPr>
          <w:i/>
          <w:sz w:val="24"/>
        </w:rPr>
        <w:t>AER </w:t>
      </w:r>
      <w:r>
        <w:rPr>
          <w:sz w:val="24"/>
        </w:rPr>
        <w:t>must have regard</w:t>
      </w:r>
      <w:r>
        <w:rPr>
          <w:spacing w:val="-1"/>
          <w:sz w:val="24"/>
        </w:rPr>
        <w:t> </w:t>
      </w:r>
      <w:r>
        <w:rPr>
          <w:sz w:val="24"/>
        </w:rPr>
        <w:t>to:</w:t>
      </w:r>
    </w:p>
    <w:p>
      <w:pPr>
        <w:pStyle w:val="ListParagraph"/>
        <w:numPr>
          <w:ilvl w:val="0"/>
          <w:numId w:val="434"/>
        </w:numPr>
        <w:tabs>
          <w:tab w:pos="2486" w:val="left" w:leader="none"/>
        </w:tabs>
        <w:spacing w:line="240" w:lineRule="auto" w:before="120" w:after="0"/>
        <w:ind w:left="2486" w:right="415" w:hanging="567"/>
        <w:jc w:val="both"/>
        <w:rPr>
          <w:sz w:val="24"/>
        </w:rPr>
      </w:pPr>
      <w:r>
        <w:rPr>
          <w:sz w:val="24"/>
        </w:rPr>
        <w:t>any amount that, under clause 3.1.3(a)(ii) or 3.1.5(a)(ii)(B) of Part B of the </w:t>
      </w:r>
      <w:r>
        <w:rPr>
          <w:i/>
          <w:sz w:val="24"/>
        </w:rPr>
        <w:t>2014 NT Network Price Determination</w:t>
      </w:r>
      <w:r>
        <w:rPr>
          <w:sz w:val="24"/>
        </w:rPr>
        <w:t>, the </w:t>
      </w:r>
      <w:r>
        <w:rPr>
          <w:i/>
          <w:sz w:val="24"/>
        </w:rPr>
        <w:t>AER </w:t>
      </w:r>
      <w:r>
        <w:rPr>
          <w:sz w:val="24"/>
        </w:rPr>
        <w:t>determined, before 1 July 2018, should be passed through to network users in a </w:t>
      </w:r>
      <w:r>
        <w:rPr>
          <w:i/>
          <w:sz w:val="24"/>
        </w:rPr>
        <w:t>regulatory year </w:t>
      </w:r>
      <w:r>
        <w:rPr>
          <w:sz w:val="24"/>
        </w:rPr>
        <w:t>of the </w:t>
      </w:r>
      <w:r>
        <w:rPr>
          <w:i/>
          <w:sz w:val="24"/>
        </w:rPr>
        <w:t>1st regulatory control period </w:t>
      </w:r>
      <w:r>
        <w:rPr>
          <w:sz w:val="24"/>
        </w:rPr>
        <w:t>or a subsequent </w:t>
      </w:r>
      <w:r>
        <w:rPr>
          <w:i/>
          <w:sz w:val="24"/>
        </w:rPr>
        <w:t>regulatory control period</w:t>
      </w:r>
      <w:r>
        <w:rPr>
          <w:sz w:val="24"/>
        </w:rPr>
        <w:t>;</w:t>
      </w:r>
      <w:r>
        <w:rPr>
          <w:spacing w:val="-3"/>
          <w:sz w:val="24"/>
        </w:rPr>
        <w:t> </w:t>
      </w:r>
      <w:r>
        <w:rPr>
          <w:sz w:val="24"/>
        </w:rPr>
        <w:t>and</w:t>
      </w:r>
    </w:p>
    <w:p>
      <w:pPr>
        <w:pStyle w:val="ListParagraph"/>
        <w:numPr>
          <w:ilvl w:val="0"/>
          <w:numId w:val="434"/>
        </w:numPr>
        <w:tabs>
          <w:tab w:pos="2486" w:val="left" w:leader="none"/>
        </w:tabs>
        <w:spacing w:line="240" w:lineRule="auto" w:before="120" w:after="0"/>
        <w:ind w:left="2486" w:right="416" w:hanging="567"/>
        <w:jc w:val="both"/>
        <w:rPr>
          <w:sz w:val="24"/>
        </w:rPr>
      </w:pPr>
      <w:r>
        <w:rPr>
          <w:sz w:val="24"/>
        </w:rPr>
        <w:t>any amount that, under clause 3.1.3(d)(ii) of Part B of the </w:t>
      </w:r>
      <w:r>
        <w:rPr>
          <w:i/>
          <w:sz w:val="24"/>
        </w:rPr>
        <w:t>2014 NT </w:t>
      </w:r>
      <w:r>
        <w:rPr>
          <w:i/>
          <w:sz w:val="24"/>
        </w:rPr>
        <w:t>Network Price Determination</w:t>
      </w:r>
      <w:r>
        <w:rPr>
          <w:sz w:val="24"/>
        </w:rPr>
        <w:t>, should be passed through to network users in a </w:t>
      </w:r>
      <w:r>
        <w:rPr>
          <w:i/>
          <w:sz w:val="24"/>
        </w:rPr>
        <w:t>regulatory year </w:t>
      </w:r>
      <w:r>
        <w:rPr>
          <w:sz w:val="24"/>
        </w:rPr>
        <w:t>of the </w:t>
      </w:r>
      <w:r>
        <w:rPr>
          <w:i/>
          <w:sz w:val="24"/>
        </w:rPr>
        <w:t>1st regulatory control period </w:t>
      </w:r>
      <w:r>
        <w:rPr>
          <w:sz w:val="24"/>
        </w:rPr>
        <w:t>or a subsequent</w:t>
      </w:r>
      <w:r>
        <w:rPr>
          <w:spacing w:val="32"/>
          <w:sz w:val="24"/>
        </w:rPr>
        <w:t> </w:t>
      </w:r>
      <w:r>
        <w:rPr>
          <w:i/>
          <w:sz w:val="24"/>
        </w:rPr>
        <w:t>regulatory</w:t>
      </w:r>
      <w:r>
        <w:rPr>
          <w:i/>
          <w:spacing w:val="32"/>
          <w:sz w:val="24"/>
        </w:rPr>
        <w:t> </w:t>
      </w:r>
      <w:r>
        <w:rPr>
          <w:i/>
          <w:sz w:val="24"/>
        </w:rPr>
        <w:t>control</w:t>
      </w:r>
      <w:r>
        <w:rPr>
          <w:i/>
          <w:spacing w:val="32"/>
          <w:sz w:val="24"/>
        </w:rPr>
        <w:t> </w:t>
      </w:r>
      <w:r>
        <w:rPr>
          <w:i/>
          <w:sz w:val="24"/>
        </w:rPr>
        <w:t>period</w:t>
      </w:r>
      <w:r>
        <w:rPr>
          <w:i/>
          <w:spacing w:val="32"/>
          <w:sz w:val="24"/>
        </w:rPr>
        <w:t> </w:t>
      </w:r>
      <w:r>
        <w:rPr>
          <w:sz w:val="24"/>
        </w:rPr>
        <w:t>as</w:t>
      </w:r>
      <w:r>
        <w:rPr>
          <w:spacing w:val="32"/>
          <w:sz w:val="24"/>
        </w:rPr>
        <w:t> </w:t>
      </w:r>
      <w:r>
        <w:rPr>
          <w:sz w:val="24"/>
        </w:rPr>
        <w:t>a</w:t>
      </w:r>
      <w:r>
        <w:rPr>
          <w:spacing w:val="32"/>
          <w:sz w:val="24"/>
        </w:rPr>
        <w:t> </w:t>
      </w:r>
      <w:r>
        <w:rPr>
          <w:sz w:val="24"/>
        </w:rPr>
        <w:t>result</w:t>
      </w:r>
      <w:r>
        <w:rPr>
          <w:spacing w:val="33"/>
          <w:sz w:val="24"/>
        </w:rPr>
        <w:t> </w:t>
      </w:r>
      <w:r>
        <w:rPr>
          <w:sz w:val="24"/>
        </w:rPr>
        <w:t>of</w:t>
      </w:r>
      <w:r>
        <w:rPr>
          <w:spacing w:val="32"/>
          <w:sz w:val="24"/>
        </w:rPr>
        <w:t> </w:t>
      </w:r>
      <w:r>
        <w:rPr>
          <w:sz w:val="24"/>
        </w:rPr>
        <w:t>the</w:t>
      </w:r>
      <w:r>
        <w:rPr>
          <w:spacing w:val="32"/>
          <w:sz w:val="24"/>
        </w:rPr>
        <w:t> </w:t>
      </w:r>
      <w:r>
        <w:rPr>
          <w:i/>
          <w:sz w:val="24"/>
        </w:rPr>
        <w:t>AER</w:t>
      </w:r>
      <w:r>
        <w:rPr>
          <w:i/>
          <w:spacing w:val="32"/>
          <w:sz w:val="24"/>
        </w:rPr>
        <w:t> </w:t>
      </w:r>
      <w:r>
        <w:rPr>
          <w:sz w:val="24"/>
        </w:rPr>
        <w:t>failing,</w:t>
      </w:r>
    </w:p>
    <w:p>
      <w:pPr>
        <w:spacing w:after="0" w:line="240" w:lineRule="auto"/>
        <w:jc w:val="both"/>
        <w:rPr>
          <w:sz w:val="24"/>
        </w:rPr>
        <w:sectPr>
          <w:pgSz w:w="11910" w:h="16840"/>
          <w:pgMar w:header="686" w:footer="637" w:top="1320" w:bottom="820" w:left="1200" w:right="1000"/>
        </w:sectPr>
      </w:pPr>
    </w:p>
    <w:p>
      <w:pPr>
        <w:pStyle w:val="BodyText"/>
        <w:spacing w:before="83"/>
        <w:ind w:left="2486" w:right="416" w:firstLine="0"/>
      </w:pPr>
      <w:r>
        <w:rPr/>
        <w:t>before 1 July 2018, to make a determination within the prescribed period.</w:t>
      </w:r>
    </w:p>
    <w:p>
      <w:pPr>
        <w:spacing w:before="120"/>
        <w:ind w:left="2486" w:right="0" w:firstLine="0"/>
        <w:jc w:val="left"/>
        <w:rPr>
          <w:rFonts w:ascii="Arial"/>
          <w:b/>
          <w:sz w:val="20"/>
        </w:rPr>
      </w:pPr>
      <w:r>
        <w:rPr>
          <w:rFonts w:ascii="Arial"/>
          <w:b/>
          <w:sz w:val="20"/>
        </w:rPr>
        <w:t>Note:</w:t>
      </w:r>
    </w:p>
    <w:p>
      <w:pPr>
        <w:spacing w:before="120"/>
        <w:ind w:left="2486" w:right="0" w:firstLine="0"/>
        <w:jc w:val="both"/>
        <w:rPr>
          <w:sz w:val="20"/>
        </w:rPr>
      </w:pPr>
      <w:r>
        <w:rPr>
          <w:sz w:val="20"/>
        </w:rPr>
        <w:t>This paragraph (ba) expires on 1 July 2024.</w:t>
      </w:r>
    </w:p>
    <w:p>
      <w:pPr>
        <w:pStyle w:val="ListParagraph"/>
        <w:numPr>
          <w:ilvl w:val="3"/>
          <w:numId w:val="433"/>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use its best endeavours to </w:t>
      </w:r>
      <w:r>
        <w:rPr>
          <w:i/>
          <w:sz w:val="24"/>
        </w:rPr>
        <w:t>publish</w:t>
      </w:r>
      <w:r>
        <w:rPr>
          <w:sz w:val="24"/>
        </w:rPr>
        <w:t>, a reasonable time prior </w:t>
      </w:r>
      <w:r>
        <w:rPr>
          <w:spacing w:val="-6"/>
          <w:sz w:val="24"/>
        </w:rPr>
        <w:t>to </w:t>
      </w:r>
      <w:r>
        <w:rPr>
          <w:sz w:val="24"/>
        </w:rPr>
        <w:t>the making of the distribution determination, any analysis undertaken by or for it on which it proposes to rely, or to which it proposes to refer, for the purposes of the distribution</w:t>
      </w:r>
      <w:r>
        <w:rPr>
          <w:spacing w:val="-1"/>
          <w:sz w:val="24"/>
        </w:rPr>
        <w:t> </w:t>
      </w:r>
      <w:r>
        <w:rPr>
          <w:sz w:val="24"/>
        </w:rPr>
        <w:t>determination.</w:t>
      </w:r>
    </w:p>
    <w:p>
      <w:pPr>
        <w:pStyle w:val="BodyText"/>
        <w:spacing w:before="10"/>
        <w:ind w:firstLine="0"/>
        <w:jc w:val="left"/>
        <w:rPr>
          <w:sz w:val="20"/>
        </w:rPr>
      </w:pPr>
    </w:p>
    <w:p>
      <w:pPr>
        <w:pStyle w:val="Heading4"/>
        <w:numPr>
          <w:ilvl w:val="2"/>
          <w:numId w:val="435"/>
        </w:numPr>
        <w:tabs>
          <w:tab w:pos="887" w:val="left" w:leader="none"/>
          <w:tab w:pos="1351" w:val="left" w:leader="none"/>
        </w:tabs>
        <w:spacing w:line="240" w:lineRule="auto" w:before="0" w:after="0"/>
        <w:ind w:left="886" w:right="0" w:hanging="669"/>
        <w:jc w:val="left"/>
      </w:pPr>
      <w:bookmarkStart w:name="6.11.1A Out of scope revised regulatory " w:id="1479"/>
      <w:bookmarkEnd w:id="1479"/>
      <w:r>
        <w:rPr>
          <w:b w:val="0"/>
        </w:rPr>
      </w:r>
      <w:bookmarkStart w:name="_bookmark594" w:id="1480"/>
      <w:bookmarkEnd w:id="1480"/>
      <w:r>
        <w:rPr>
          <w:b w:val="0"/>
        </w:rPr>
      </w:r>
      <w:bookmarkStart w:name="_bookmark594" w:id="1481"/>
      <w:bookmarkEnd w:id="1481"/>
      <w:r>
        <w:rPr/>
        <w:t>A</w:t>
      </w:r>
      <w:r>
        <w:rPr/>
        <w:tab/>
        <w:t>Out of scope revised regulatory proposal or late</w:t>
      </w:r>
      <w:r>
        <w:rPr>
          <w:spacing w:val="-9"/>
        </w:rPr>
        <w:t> </w:t>
      </w:r>
      <w:r>
        <w:rPr/>
        <w:t>submissions</w:t>
      </w:r>
    </w:p>
    <w:p>
      <w:pPr>
        <w:pStyle w:val="BodyText"/>
        <w:ind w:left="1352" w:right="414" w:firstLine="0"/>
      </w:pPr>
      <w:r>
        <w:rPr/>
        <w:t>On or before making a distribution determination, the </w:t>
      </w:r>
      <w:r>
        <w:rPr>
          <w:i/>
        </w:rPr>
        <w:t>AER </w:t>
      </w:r>
      <w:r>
        <w:rPr/>
        <w:t>must make available on its</w:t>
      </w:r>
      <w:r>
        <w:rPr>
          <w:spacing w:val="-1"/>
        </w:rPr>
        <w:t> </w:t>
      </w:r>
      <w:r>
        <w:rPr/>
        <w:t>website:</w:t>
      </w:r>
    </w:p>
    <w:p>
      <w:pPr>
        <w:pStyle w:val="ListParagraph"/>
        <w:numPr>
          <w:ilvl w:val="3"/>
          <w:numId w:val="435"/>
        </w:numPr>
        <w:tabs>
          <w:tab w:pos="1919" w:val="left" w:leader="none"/>
        </w:tabs>
        <w:spacing w:line="240" w:lineRule="auto" w:before="120" w:after="0"/>
        <w:ind w:left="1919" w:right="415" w:hanging="567"/>
        <w:jc w:val="both"/>
        <w:rPr>
          <w:sz w:val="24"/>
        </w:rPr>
      </w:pPr>
      <w:r>
        <w:rPr>
          <w:sz w:val="24"/>
        </w:rPr>
        <w:t>a summary of any revisions to the relevant </w:t>
      </w:r>
      <w:r>
        <w:rPr>
          <w:i/>
          <w:sz w:val="24"/>
        </w:rPr>
        <w:t>regulatory proposal </w:t>
      </w:r>
      <w:r>
        <w:rPr>
          <w:sz w:val="24"/>
        </w:rPr>
        <w:t>or proposed </w:t>
      </w:r>
      <w:r>
        <w:rPr>
          <w:i/>
          <w:sz w:val="24"/>
        </w:rPr>
        <w:t>tariff structure statement </w:t>
      </w:r>
      <w:r>
        <w:rPr>
          <w:sz w:val="24"/>
        </w:rPr>
        <w:t>that have been made in a revised </w:t>
      </w:r>
      <w:r>
        <w:rPr>
          <w:i/>
          <w:sz w:val="24"/>
        </w:rPr>
        <w:t>regulatory </w:t>
      </w:r>
      <w:r>
        <w:rPr>
          <w:i/>
          <w:sz w:val="24"/>
        </w:rPr>
        <w:t>proposal </w:t>
      </w:r>
      <w:r>
        <w:rPr>
          <w:sz w:val="24"/>
        </w:rPr>
        <w:t>or revised proposed </w:t>
      </w:r>
      <w:r>
        <w:rPr>
          <w:i/>
          <w:sz w:val="24"/>
        </w:rPr>
        <w:t>tariff structure statement </w:t>
      </w:r>
      <w:r>
        <w:rPr>
          <w:sz w:val="24"/>
        </w:rPr>
        <w:t>that do not comply with clause 6.10.3(b), together with an indication of the amount of that information;</w:t>
      </w:r>
    </w:p>
    <w:p>
      <w:pPr>
        <w:pStyle w:val="ListParagraph"/>
        <w:numPr>
          <w:ilvl w:val="3"/>
          <w:numId w:val="435"/>
        </w:numPr>
        <w:tabs>
          <w:tab w:pos="1919" w:val="left" w:leader="none"/>
        </w:tabs>
        <w:spacing w:line="240" w:lineRule="auto" w:before="120" w:after="0"/>
        <w:ind w:left="1919" w:right="415" w:hanging="567"/>
        <w:jc w:val="both"/>
        <w:rPr>
          <w:sz w:val="24"/>
        </w:rPr>
      </w:pPr>
      <w:r>
        <w:rPr>
          <w:sz w:val="24"/>
        </w:rPr>
        <w:t>a summary of any submissions on the draft distribution determination, revised </w:t>
      </w:r>
      <w:r>
        <w:rPr>
          <w:i/>
          <w:sz w:val="24"/>
        </w:rPr>
        <w:t>regulatory proposal </w:t>
      </w:r>
      <w:r>
        <w:rPr>
          <w:sz w:val="24"/>
        </w:rPr>
        <w:t>or revised proposed </w:t>
      </w:r>
      <w:r>
        <w:rPr>
          <w:i/>
          <w:sz w:val="24"/>
        </w:rPr>
        <w:t>tariff structure statement </w:t>
      </w:r>
      <w:r>
        <w:rPr>
          <w:sz w:val="24"/>
        </w:rPr>
        <w:t>that were made by the </w:t>
      </w:r>
      <w:r>
        <w:rPr>
          <w:i/>
          <w:sz w:val="24"/>
        </w:rPr>
        <w:t>Distribution Network Service Provider </w:t>
      </w:r>
      <w:r>
        <w:rPr>
          <w:sz w:val="24"/>
        </w:rPr>
        <w:t>and that contain information that the </w:t>
      </w:r>
      <w:r>
        <w:rPr>
          <w:i/>
          <w:sz w:val="24"/>
        </w:rPr>
        <w:t>Distribution Network Service Provider </w:t>
      </w:r>
      <w:r>
        <w:rPr>
          <w:sz w:val="24"/>
        </w:rPr>
        <w:t>was entitled to incorporate in the revised </w:t>
      </w:r>
      <w:r>
        <w:rPr>
          <w:i/>
          <w:sz w:val="24"/>
        </w:rPr>
        <w:t>regulatory proposal </w:t>
      </w:r>
      <w:r>
        <w:rPr>
          <w:sz w:val="24"/>
        </w:rPr>
        <w:t>or the revised proposed </w:t>
      </w:r>
      <w:r>
        <w:rPr>
          <w:i/>
          <w:sz w:val="24"/>
        </w:rPr>
        <w:t>tariff structure statement </w:t>
      </w:r>
      <w:r>
        <w:rPr>
          <w:sz w:val="24"/>
        </w:rPr>
        <w:t>under clause 6.10.3(b), together with an indication of the amount of that</w:t>
      </w:r>
      <w:r>
        <w:rPr>
          <w:spacing w:val="-1"/>
          <w:sz w:val="24"/>
        </w:rPr>
        <w:t> </w:t>
      </w:r>
      <w:r>
        <w:rPr>
          <w:sz w:val="24"/>
        </w:rPr>
        <w:t>information;</w:t>
      </w:r>
    </w:p>
    <w:p>
      <w:pPr>
        <w:pStyle w:val="ListParagraph"/>
        <w:numPr>
          <w:ilvl w:val="3"/>
          <w:numId w:val="435"/>
        </w:numPr>
        <w:tabs>
          <w:tab w:pos="1919" w:val="left" w:leader="none"/>
        </w:tabs>
        <w:spacing w:line="240" w:lineRule="auto" w:before="120" w:after="0"/>
        <w:ind w:left="1919" w:right="415" w:hanging="567"/>
        <w:jc w:val="both"/>
        <w:rPr>
          <w:sz w:val="24"/>
        </w:rPr>
      </w:pPr>
      <w:r>
        <w:rPr>
          <w:sz w:val="24"/>
        </w:rPr>
        <w:t>a summary of any submissions that purport to be made by the </w:t>
      </w:r>
      <w:r>
        <w:rPr>
          <w:i/>
          <w:sz w:val="24"/>
        </w:rPr>
        <w:t>Distribution </w:t>
      </w:r>
      <w:r>
        <w:rPr>
          <w:i/>
          <w:sz w:val="24"/>
        </w:rPr>
        <w:t>Network Service Provider </w:t>
      </w:r>
      <w:r>
        <w:rPr>
          <w:sz w:val="24"/>
        </w:rPr>
        <w:t>under clause 6.10.4 but are in respect of matters other than those specified by the </w:t>
      </w:r>
      <w:r>
        <w:rPr>
          <w:i/>
          <w:sz w:val="24"/>
        </w:rPr>
        <w:t>AER </w:t>
      </w:r>
      <w:r>
        <w:rPr>
          <w:sz w:val="24"/>
        </w:rPr>
        <w:t>under that clause, together with an indication of the length of those submissions;</w:t>
      </w:r>
      <w:r>
        <w:rPr>
          <w:spacing w:val="-3"/>
          <w:sz w:val="24"/>
        </w:rPr>
        <w:t> </w:t>
      </w:r>
      <w:r>
        <w:rPr>
          <w:sz w:val="24"/>
        </w:rPr>
        <w:t>and</w:t>
      </w:r>
    </w:p>
    <w:p>
      <w:pPr>
        <w:pStyle w:val="ListParagraph"/>
        <w:numPr>
          <w:ilvl w:val="3"/>
          <w:numId w:val="435"/>
        </w:numPr>
        <w:tabs>
          <w:tab w:pos="1919" w:val="left" w:leader="none"/>
        </w:tabs>
        <w:spacing w:line="240" w:lineRule="auto" w:before="120" w:after="0"/>
        <w:ind w:left="1919" w:right="416" w:hanging="567"/>
        <w:jc w:val="both"/>
        <w:rPr>
          <w:sz w:val="24"/>
        </w:rPr>
      </w:pPr>
      <w:r>
        <w:rPr>
          <w:sz w:val="24"/>
        </w:rPr>
        <w:t>a summary of any submissions on the draft determination, revised </w:t>
      </w:r>
      <w:r>
        <w:rPr>
          <w:i/>
          <w:sz w:val="24"/>
        </w:rPr>
        <w:t>regulatory proposal </w:t>
      </w:r>
      <w:r>
        <w:rPr>
          <w:sz w:val="24"/>
        </w:rPr>
        <w:t>or revised proposed </w:t>
      </w:r>
      <w:r>
        <w:rPr>
          <w:i/>
          <w:sz w:val="24"/>
        </w:rPr>
        <w:t>tariff structure statement </w:t>
      </w:r>
      <w:r>
        <w:rPr>
          <w:sz w:val="24"/>
        </w:rPr>
        <w:t>that were made by the </w:t>
      </w:r>
      <w:r>
        <w:rPr>
          <w:i/>
          <w:sz w:val="24"/>
        </w:rPr>
        <w:t>Distribution Network Service Provider </w:t>
      </w:r>
      <w:r>
        <w:rPr>
          <w:sz w:val="24"/>
        </w:rPr>
        <w:t>after the time for making the submissions has expired, together with an indication of</w:t>
      </w:r>
      <w:r>
        <w:rPr>
          <w:spacing w:val="33"/>
          <w:sz w:val="24"/>
        </w:rPr>
        <w:t> </w:t>
      </w:r>
      <w:r>
        <w:rPr>
          <w:sz w:val="24"/>
        </w:rPr>
        <w:t>the length of those</w:t>
      </w:r>
      <w:r>
        <w:rPr>
          <w:spacing w:val="-1"/>
          <w:sz w:val="24"/>
        </w:rPr>
        <w:t> </w:t>
      </w:r>
      <w:r>
        <w:rPr>
          <w:sz w:val="24"/>
        </w:rPr>
        <w:t>submissions.</w:t>
      </w:r>
    </w:p>
    <w:p>
      <w:pPr>
        <w:spacing w:before="120"/>
        <w:ind w:left="1352" w:right="416" w:firstLine="0"/>
        <w:jc w:val="both"/>
        <w:rPr>
          <w:sz w:val="24"/>
        </w:rPr>
      </w:pPr>
      <w:r>
        <w:rPr>
          <w:sz w:val="24"/>
        </w:rPr>
        <w:t>For the purpose of this clause 6.11.1A, revisions or submissions may be summarised by cross-referencing to the relevant </w:t>
      </w:r>
      <w:r>
        <w:rPr>
          <w:i/>
          <w:sz w:val="24"/>
        </w:rPr>
        <w:t>regulatory proposal</w:t>
      </w:r>
      <w:r>
        <w:rPr>
          <w:sz w:val="24"/>
        </w:rPr>
        <w:t>, proposed </w:t>
      </w:r>
      <w:r>
        <w:rPr>
          <w:i/>
          <w:sz w:val="24"/>
        </w:rPr>
        <w:t>tariff structure statement </w:t>
      </w:r>
      <w:r>
        <w:rPr>
          <w:sz w:val="24"/>
        </w:rPr>
        <w:t>or submissions.</w:t>
      </w:r>
    </w:p>
    <w:p>
      <w:pPr>
        <w:pStyle w:val="BodyText"/>
        <w:spacing w:before="10"/>
        <w:ind w:firstLine="0"/>
        <w:jc w:val="left"/>
        <w:rPr>
          <w:sz w:val="20"/>
        </w:rPr>
      </w:pPr>
    </w:p>
    <w:p>
      <w:pPr>
        <w:pStyle w:val="Heading4"/>
        <w:numPr>
          <w:ilvl w:val="2"/>
          <w:numId w:val="435"/>
        </w:numPr>
        <w:tabs>
          <w:tab w:pos="1351" w:val="left" w:leader="none"/>
          <w:tab w:pos="1352" w:val="left" w:leader="none"/>
        </w:tabs>
        <w:spacing w:line="240" w:lineRule="auto" w:before="0" w:after="0"/>
        <w:ind w:left="1351" w:right="0" w:hanging="1134"/>
        <w:jc w:val="left"/>
      </w:pPr>
      <w:bookmarkStart w:name="6.11.2 Notice of distribution determinat" w:id="1482"/>
      <w:bookmarkEnd w:id="1482"/>
      <w:r>
        <w:rPr>
          <w:b w:val="0"/>
        </w:rPr>
      </w:r>
      <w:bookmarkStart w:name="_bookmark595" w:id="1483"/>
      <w:bookmarkEnd w:id="1483"/>
      <w:r>
        <w:rPr>
          <w:b w:val="0"/>
        </w:rPr>
      </w:r>
      <w:bookmarkStart w:name="_bookmark595" w:id="1484"/>
      <w:bookmarkEnd w:id="1484"/>
      <w:r>
        <w:rPr/>
        <w:t>Notic</w:t>
      </w:r>
      <w:r>
        <w:rPr/>
        <w:t>e of distribution</w:t>
      </w:r>
      <w:r>
        <w:rPr>
          <w:spacing w:val="-2"/>
        </w:rPr>
        <w:t> </w:t>
      </w:r>
      <w:r>
        <w:rPr/>
        <w:t>determination</w:t>
      </w:r>
    </w:p>
    <w:p>
      <w:pPr>
        <w:spacing w:before="120"/>
        <w:ind w:left="1352" w:right="0" w:firstLine="0"/>
        <w:jc w:val="left"/>
        <w:rPr>
          <w:sz w:val="24"/>
        </w:rPr>
      </w:pPr>
      <w:r>
        <w:rPr>
          <w:sz w:val="24"/>
        </w:rPr>
        <w:t>The </w:t>
      </w:r>
      <w:r>
        <w:rPr>
          <w:i/>
          <w:sz w:val="24"/>
        </w:rPr>
        <w:t>AER </w:t>
      </w:r>
      <w:r>
        <w:rPr>
          <w:sz w:val="24"/>
        </w:rPr>
        <w:t>must as soon as practicable, but not later than 2 months before the commencement of the relevant </w:t>
      </w:r>
      <w:r>
        <w:rPr>
          <w:i/>
          <w:sz w:val="24"/>
        </w:rPr>
        <w:t>regulatory control period</w:t>
      </w:r>
      <w:r>
        <w:rPr>
          <w:sz w:val="24"/>
        </w:rPr>
        <w:t>, </w:t>
      </w:r>
      <w:r>
        <w:rPr>
          <w:i/>
          <w:sz w:val="24"/>
        </w:rPr>
        <w:t>publish</w:t>
      </w:r>
      <w:r>
        <w:rPr>
          <w:sz w:val="24"/>
        </w:rPr>
        <w:t>:</w:t>
      </w:r>
    </w:p>
    <w:p>
      <w:pPr>
        <w:pStyle w:val="ListParagraph"/>
        <w:numPr>
          <w:ilvl w:val="0"/>
          <w:numId w:val="436"/>
        </w:numPr>
        <w:tabs>
          <w:tab w:pos="1918" w:val="left" w:leader="none"/>
          <w:tab w:pos="1919" w:val="left" w:leader="none"/>
        </w:tabs>
        <w:spacing w:line="240" w:lineRule="auto" w:before="120" w:after="0"/>
        <w:ind w:left="1918" w:right="0" w:hanging="567"/>
        <w:jc w:val="left"/>
        <w:rPr>
          <w:sz w:val="24"/>
        </w:rPr>
      </w:pPr>
      <w:r>
        <w:rPr>
          <w:sz w:val="24"/>
        </w:rPr>
        <w:t>notice of the making of the distribution</w:t>
      </w:r>
      <w:r>
        <w:rPr>
          <w:spacing w:val="-2"/>
          <w:sz w:val="24"/>
        </w:rPr>
        <w:t> </w:t>
      </w:r>
      <w:r>
        <w:rPr>
          <w:sz w:val="24"/>
        </w:rPr>
        <w:t>determination;</w:t>
      </w:r>
    </w:p>
    <w:p>
      <w:pPr>
        <w:pStyle w:val="ListParagraph"/>
        <w:numPr>
          <w:ilvl w:val="0"/>
          <w:numId w:val="436"/>
        </w:numPr>
        <w:tabs>
          <w:tab w:pos="1918" w:val="left" w:leader="none"/>
          <w:tab w:pos="1919" w:val="left" w:leader="none"/>
        </w:tabs>
        <w:spacing w:line="240" w:lineRule="auto" w:before="120" w:after="0"/>
        <w:ind w:left="1918" w:right="0" w:hanging="567"/>
        <w:jc w:val="left"/>
        <w:rPr>
          <w:sz w:val="24"/>
        </w:rPr>
      </w:pPr>
      <w:r>
        <w:rPr>
          <w:sz w:val="24"/>
        </w:rPr>
        <w:t>the distribution determination itself;</w:t>
      </w:r>
      <w:r>
        <w:rPr>
          <w:spacing w:val="-1"/>
          <w:sz w:val="24"/>
        </w:rPr>
        <w:t> </w:t>
      </w:r>
      <w:r>
        <w:rPr>
          <w:sz w:val="24"/>
        </w:rPr>
        <w:t>and</w:t>
      </w:r>
    </w:p>
    <w:p>
      <w:pPr>
        <w:pStyle w:val="ListParagraph"/>
        <w:numPr>
          <w:ilvl w:val="0"/>
          <w:numId w:val="436"/>
        </w:numPr>
        <w:tabs>
          <w:tab w:pos="1919" w:val="left" w:leader="none"/>
        </w:tabs>
        <w:spacing w:line="240" w:lineRule="auto" w:before="120" w:after="0"/>
        <w:ind w:left="1919" w:right="414" w:hanging="567"/>
        <w:jc w:val="both"/>
        <w:rPr>
          <w:sz w:val="24"/>
        </w:rPr>
      </w:pPr>
      <w:r>
        <w:rPr>
          <w:sz w:val="24"/>
        </w:rPr>
        <w:t>the </w:t>
      </w:r>
      <w:r>
        <w:rPr>
          <w:i/>
          <w:sz w:val="24"/>
        </w:rPr>
        <w:t>AER's </w:t>
      </w:r>
      <w:r>
        <w:rPr>
          <w:sz w:val="24"/>
        </w:rPr>
        <w:t>reasons for making the distribution determination in its final form including the constituent decisions i.e. the decisions made in accordance with rule 6.12 on which the distribution determination is</w:t>
      </w:r>
      <w:r>
        <w:rPr>
          <w:spacing w:val="-5"/>
          <w:sz w:val="24"/>
        </w:rPr>
        <w:t> </w:t>
      </w:r>
      <w:r>
        <w:rPr>
          <w:sz w:val="24"/>
        </w:rPr>
        <w:t>predicated.</w:t>
      </w:r>
    </w:p>
    <w:p>
      <w:pPr>
        <w:spacing w:after="0" w:line="240" w:lineRule="auto"/>
        <w:jc w:val="both"/>
        <w:rPr>
          <w:sz w:val="24"/>
        </w:rPr>
        <w:sectPr>
          <w:pgSz w:w="11910" w:h="16840"/>
          <w:pgMar w:header="686" w:footer="637" w:top="1320" w:bottom="820" w:left="1200" w:right="1000"/>
        </w:sectPr>
      </w:pPr>
    </w:p>
    <w:p>
      <w:pPr>
        <w:pStyle w:val="Heading4"/>
        <w:numPr>
          <w:ilvl w:val="2"/>
          <w:numId w:val="435"/>
        </w:numPr>
        <w:tabs>
          <w:tab w:pos="1351" w:val="left" w:leader="none"/>
          <w:tab w:pos="1352" w:val="left" w:leader="none"/>
        </w:tabs>
        <w:spacing w:line="240" w:lineRule="auto" w:before="83" w:after="0"/>
        <w:ind w:left="1351" w:right="0" w:hanging="1134"/>
        <w:jc w:val="left"/>
      </w:pPr>
      <w:bookmarkStart w:name="6.11.3 Commencement of distribution dete" w:id="1485"/>
      <w:bookmarkEnd w:id="1485"/>
      <w:r>
        <w:rPr>
          <w:b w:val="0"/>
        </w:rPr>
      </w:r>
      <w:bookmarkStart w:name="_bookmark596" w:id="1486"/>
      <w:bookmarkEnd w:id="1486"/>
      <w:r>
        <w:rPr>
          <w:b w:val="0"/>
        </w:rPr>
      </w:r>
      <w:bookmarkStart w:name="_bookmark596" w:id="1487"/>
      <w:bookmarkEnd w:id="1487"/>
      <w:r>
        <w:rPr/>
        <w:t>Commenc</w:t>
      </w:r>
      <w:r>
        <w:rPr/>
        <w:t>ement of distribution</w:t>
      </w:r>
      <w:r>
        <w:rPr>
          <w:spacing w:val="-2"/>
        </w:rPr>
        <w:t> </w:t>
      </w:r>
      <w:r>
        <w:rPr/>
        <w:t>determination</w:t>
      </w:r>
    </w:p>
    <w:p>
      <w:pPr>
        <w:pStyle w:val="ListParagraph"/>
        <w:numPr>
          <w:ilvl w:val="3"/>
          <w:numId w:val="435"/>
        </w:numPr>
        <w:tabs>
          <w:tab w:pos="1919" w:val="left" w:leader="none"/>
        </w:tabs>
        <w:spacing w:line="240" w:lineRule="auto" w:before="120" w:after="0"/>
        <w:ind w:left="1918" w:right="0" w:hanging="567"/>
        <w:jc w:val="both"/>
        <w:rPr>
          <w:sz w:val="24"/>
        </w:rPr>
      </w:pPr>
      <w:r>
        <w:rPr>
          <w:sz w:val="24"/>
        </w:rPr>
        <w:t>A</w:t>
      </w:r>
      <w:r>
        <w:rPr>
          <w:spacing w:val="16"/>
          <w:sz w:val="24"/>
        </w:rPr>
        <w:t> </w:t>
      </w:r>
      <w:r>
        <w:rPr>
          <w:sz w:val="24"/>
        </w:rPr>
        <w:t>distribution</w:t>
      </w:r>
      <w:r>
        <w:rPr>
          <w:spacing w:val="17"/>
          <w:sz w:val="24"/>
        </w:rPr>
        <w:t> </w:t>
      </w:r>
      <w:r>
        <w:rPr>
          <w:sz w:val="24"/>
        </w:rPr>
        <w:t>determination</w:t>
      </w:r>
      <w:r>
        <w:rPr>
          <w:spacing w:val="17"/>
          <w:sz w:val="24"/>
        </w:rPr>
        <w:t> </w:t>
      </w:r>
      <w:r>
        <w:rPr>
          <w:sz w:val="24"/>
        </w:rPr>
        <w:t>takes</w:t>
      </w:r>
      <w:r>
        <w:rPr>
          <w:spacing w:val="17"/>
          <w:sz w:val="24"/>
        </w:rPr>
        <w:t> </w:t>
      </w:r>
      <w:r>
        <w:rPr>
          <w:sz w:val="24"/>
        </w:rPr>
        <w:t>effect</w:t>
      </w:r>
      <w:r>
        <w:rPr>
          <w:spacing w:val="16"/>
          <w:sz w:val="24"/>
        </w:rPr>
        <w:t> </w:t>
      </w:r>
      <w:r>
        <w:rPr>
          <w:sz w:val="24"/>
        </w:rPr>
        <w:t>at</w:t>
      </w:r>
      <w:r>
        <w:rPr>
          <w:spacing w:val="17"/>
          <w:sz w:val="24"/>
        </w:rPr>
        <w:t> </w:t>
      </w:r>
      <w:r>
        <w:rPr>
          <w:sz w:val="24"/>
        </w:rPr>
        <w:t>the</w:t>
      </w:r>
      <w:r>
        <w:rPr>
          <w:spacing w:val="17"/>
          <w:sz w:val="24"/>
        </w:rPr>
        <w:t> </w:t>
      </w:r>
      <w:r>
        <w:rPr>
          <w:sz w:val="24"/>
        </w:rPr>
        <w:t>commencement</w:t>
      </w:r>
      <w:r>
        <w:rPr>
          <w:spacing w:val="17"/>
          <w:sz w:val="24"/>
        </w:rPr>
        <w:t> </w:t>
      </w:r>
      <w:r>
        <w:rPr>
          <w:sz w:val="24"/>
        </w:rPr>
        <w:t>of</w:t>
      </w:r>
      <w:r>
        <w:rPr>
          <w:spacing w:val="16"/>
          <w:sz w:val="24"/>
        </w:rPr>
        <w:t> </w:t>
      </w:r>
      <w:r>
        <w:rPr>
          <w:sz w:val="24"/>
        </w:rPr>
        <w:t>the</w:t>
      </w:r>
    </w:p>
    <w:p>
      <w:pPr>
        <w:spacing w:before="0"/>
        <w:ind w:left="1919" w:right="0" w:firstLine="0"/>
        <w:jc w:val="both"/>
        <w:rPr>
          <w:sz w:val="24"/>
        </w:rPr>
      </w:pPr>
      <w:r>
        <w:rPr>
          <w:i/>
          <w:sz w:val="24"/>
        </w:rPr>
        <w:t>regulatory control period </w:t>
      </w:r>
      <w:r>
        <w:rPr>
          <w:sz w:val="24"/>
        </w:rPr>
        <w:t>to which it relates.</w:t>
      </w:r>
    </w:p>
    <w:p>
      <w:pPr>
        <w:pStyle w:val="ListParagraph"/>
        <w:numPr>
          <w:ilvl w:val="3"/>
          <w:numId w:val="435"/>
        </w:numPr>
        <w:tabs>
          <w:tab w:pos="1919" w:val="left" w:leader="none"/>
        </w:tabs>
        <w:spacing w:line="240" w:lineRule="auto" w:before="120" w:after="0"/>
        <w:ind w:left="1919" w:right="414" w:hanging="567"/>
        <w:jc w:val="both"/>
        <w:rPr>
          <w:sz w:val="24"/>
        </w:rPr>
      </w:pPr>
      <w:r>
        <w:rPr>
          <w:sz w:val="24"/>
        </w:rPr>
        <w:t>If a period intervenes between the end of one </w:t>
      </w:r>
      <w:r>
        <w:rPr>
          <w:i/>
          <w:sz w:val="24"/>
        </w:rPr>
        <w:t>regulatory control period </w:t>
      </w:r>
      <w:r>
        <w:rPr>
          <w:sz w:val="24"/>
        </w:rPr>
        <w:t>and the commencement of a new distribution determination providing for the next </w:t>
      </w:r>
      <w:r>
        <w:rPr>
          <w:i/>
          <w:sz w:val="24"/>
        </w:rPr>
        <w:t>regulatory control</w:t>
      </w:r>
      <w:r>
        <w:rPr>
          <w:i/>
          <w:spacing w:val="-1"/>
          <w:sz w:val="24"/>
        </w:rPr>
        <w:t> </w:t>
      </w:r>
      <w:r>
        <w:rPr>
          <w:i/>
          <w:sz w:val="24"/>
        </w:rPr>
        <w:t>period</w:t>
      </w:r>
      <w:r>
        <w:rPr>
          <w:sz w:val="24"/>
        </w:rPr>
        <w:t>:</w:t>
      </w:r>
    </w:p>
    <w:p>
      <w:pPr>
        <w:pStyle w:val="ListParagraph"/>
        <w:numPr>
          <w:ilvl w:val="4"/>
          <w:numId w:val="435"/>
        </w:numPr>
        <w:tabs>
          <w:tab w:pos="2486" w:val="left" w:leader="none"/>
        </w:tabs>
        <w:spacing w:line="240" w:lineRule="auto" w:before="120" w:after="0"/>
        <w:ind w:left="2486" w:right="415" w:hanging="567"/>
        <w:jc w:val="both"/>
        <w:rPr>
          <w:sz w:val="24"/>
        </w:rPr>
      </w:pPr>
      <w:r>
        <w:rPr>
          <w:sz w:val="24"/>
        </w:rPr>
        <w:t>the previous distribution determination continues in force during the intervening</w:t>
      </w:r>
      <w:r>
        <w:rPr>
          <w:spacing w:val="-1"/>
          <w:sz w:val="24"/>
        </w:rPr>
        <w:t> </w:t>
      </w:r>
      <w:r>
        <w:rPr>
          <w:sz w:val="24"/>
        </w:rPr>
        <w:t>period;</w:t>
      </w:r>
    </w:p>
    <w:p>
      <w:pPr>
        <w:pStyle w:val="ListParagraph"/>
        <w:numPr>
          <w:ilvl w:val="4"/>
          <w:numId w:val="435"/>
        </w:numPr>
        <w:tabs>
          <w:tab w:pos="2486" w:val="left" w:leader="none"/>
        </w:tabs>
        <w:spacing w:line="240" w:lineRule="auto" w:before="120" w:after="0"/>
        <w:ind w:left="2486" w:right="415" w:hanging="567"/>
        <w:jc w:val="both"/>
        <w:rPr>
          <w:sz w:val="24"/>
        </w:rPr>
      </w:pPr>
      <w:r>
        <w:rPr>
          <w:sz w:val="24"/>
        </w:rPr>
        <w:t>the previous </w:t>
      </w:r>
      <w:r>
        <w:rPr>
          <w:i/>
          <w:sz w:val="24"/>
        </w:rPr>
        <w:t>approved pricing proposal </w:t>
      </w:r>
      <w:r>
        <w:rPr>
          <w:sz w:val="24"/>
        </w:rPr>
        <w:t>continues in force (despite any contrary provision of these </w:t>
      </w:r>
      <w:r>
        <w:rPr>
          <w:i/>
          <w:sz w:val="24"/>
        </w:rPr>
        <w:t>Rules</w:t>
      </w:r>
      <w:r>
        <w:rPr>
          <w:sz w:val="24"/>
        </w:rPr>
        <w:t>) during the intervening period and the first </w:t>
      </w:r>
      <w:r>
        <w:rPr>
          <w:i/>
          <w:sz w:val="24"/>
        </w:rPr>
        <w:t>regulatory year </w:t>
      </w:r>
      <w:r>
        <w:rPr>
          <w:sz w:val="24"/>
        </w:rPr>
        <w:t>of the later </w:t>
      </w:r>
      <w:r>
        <w:rPr>
          <w:i/>
          <w:sz w:val="24"/>
        </w:rPr>
        <w:t>regulatory control period</w:t>
      </w:r>
      <w:r>
        <w:rPr>
          <w:sz w:val="24"/>
        </w:rPr>
        <w:t>;</w:t>
      </w:r>
      <w:r>
        <w:rPr>
          <w:spacing w:val="-23"/>
          <w:sz w:val="24"/>
        </w:rPr>
        <w:t> </w:t>
      </w:r>
      <w:r>
        <w:rPr>
          <w:sz w:val="24"/>
        </w:rPr>
        <w:t>and</w:t>
      </w:r>
    </w:p>
    <w:p>
      <w:pPr>
        <w:pStyle w:val="ListParagraph"/>
        <w:numPr>
          <w:ilvl w:val="4"/>
          <w:numId w:val="435"/>
        </w:numPr>
        <w:tabs>
          <w:tab w:pos="2486" w:val="left" w:leader="none"/>
        </w:tabs>
        <w:spacing w:line="240" w:lineRule="auto" w:before="120" w:after="0"/>
        <w:ind w:left="2486" w:right="415" w:hanging="567"/>
        <w:jc w:val="both"/>
        <w:rPr>
          <w:sz w:val="24"/>
        </w:rPr>
      </w:pPr>
      <w:r>
        <w:rPr>
          <w:sz w:val="24"/>
        </w:rPr>
        <w:t>the later distribution determination is to make provision for appropriate adjustments to the </w:t>
      </w:r>
      <w:r>
        <w:rPr>
          <w:i/>
          <w:sz w:val="24"/>
        </w:rPr>
        <w:t>approved pricing proposals </w:t>
      </w:r>
      <w:r>
        <w:rPr>
          <w:sz w:val="24"/>
        </w:rPr>
        <w:t>for subsequent </w:t>
      </w:r>
      <w:r>
        <w:rPr>
          <w:i/>
          <w:sz w:val="24"/>
        </w:rPr>
        <w:t>regulatory years </w:t>
      </w:r>
      <w:r>
        <w:rPr>
          <w:sz w:val="24"/>
        </w:rPr>
        <w:t>of the </w:t>
      </w:r>
      <w:r>
        <w:rPr>
          <w:i/>
          <w:sz w:val="24"/>
        </w:rPr>
        <w:t>regulatory control</w:t>
      </w:r>
      <w:r>
        <w:rPr>
          <w:i/>
          <w:spacing w:val="-13"/>
          <w:sz w:val="24"/>
        </w:rPr>
        <w:t> </w:t>
      </w:r>
      <w:r>
        <w:rPr>
          <w:i/>
          <w:sz w:val="24"/>
        </w:rPr>
        <w:t>period</w:t>
      </w:r>
      <w:r>
        <w:rPr>
          <w:sz w:val="24"/>
        </w:rPr>
        <w:t>.</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1998" w:hanging="1134"/>
        <w:jc w:val="left"/>
      </w:pPr>
      <w:bookmarkStart w:name="6.12 Requirements relating to draft and " w:id="1488"/>
      <w:bookmarkEnd w:id="1488"/>
      <w:r>
        <w:rPr>
          <w:b w:val="0"/>
        </w:rPr>
      </w:r>
      <w:bookmarkStart w:name="_bookmark597" w:id="1489"/>
      <w:bookmarkEnd w:id="1489"/>
      <w:r>
        <w:rPr>
          <w:b w:val="0"/>
        </w:rPr>
      </w:r>
      <w:bookmarkStart w:name="_bookmark597" w:id="1490"/>
      <w:bookmarkEnd w:id="1490"/>
      <w:r>
        <w:rPr/>
        <w:t>Requi</w:t>
      </w:r>
      <w:r>
        <w:rPr/>
        <w:t>rements relating to draft and final distribution determinations</w:t>
      </w:r>
    </w:p>
    <w:p>
      <w:pPr>
        <w:pStyle w:val="Heading4"/>
        <w:numPr>
          <w:ilvl w:val="2"/>
          <w:numId w:val="437"/>
        </w:numPr>
        <w:tabs>
          <w:tab w:pos="1351" w:val="left" w:leader="none"/>
          <w:tab w:pos="1352" w:val="left" w:leader="none"/>
        </w:tabs>
        <w:spacing w:line="240" w:lineRule="auto" w:before="240" w:after="0"/>
        <w:ind w:left="1351" w:right="0" w:hanging="1134"/>
        <w:jc w:val="left"/>
      </w:pPr>
      <w:bookmarkStart w:name="6.12.1 Constituent decisions" w:id="1491"/>
      <w:bookmarkEnd w:id="1491"/>
      <w:r>
        <w:rPr>
          <w:b w:val="0"/>
        </w:rPr>
      </w:r>
      <w:bookmarkStart w:name="_bookmark598" w:id="1492"/>
      <w:bookmarkEnd w:id="1492"/>
      <w:r>
        <w:rPr>
          <w:b w:val="0"/>
        </w:rPr>
      </w:r>
      <w:bookmarkStart w:name="_bookmark598" w:id="1493"/>
      <w:bookmarkEnd w:id="1493"/>
      <w:r>
        <w:rPr/>
        <w:t>Constituen</w:t>
      </w:r>
      <w:r>
        <w:rPr/>
        <w:t>t</w:t>
      </w:r>
      <w:r>
        <w:rPr>
          <w:spacing w:val="-2"/>
        </w:rPr>
        <w:t> </w:t>
      </w:r>
      <w:r>
        <w:rPr/>
        <w:t>decisions</w:t>
      </w:r>
    </w:p>
    <w:p>
      <w:pPr>
        <w:pStyle w:val="BodyText"/>
        <w:ind w:left="1352" w:firstLine="0"/>
        <w:rPr>
          <w:i/>
        </w:rPr>
      </w:pPr>
      <w:r>
        <w:rPr/>
        <w:t>A distribution determination is predicated on the following decisions by the </w:t>
      </w:r>
      <w:r>
        <w:rPr>
          <w:i/>
        </w:rPr>
        <w:t>AER</w:t>
      </w:r>
    </w:p>
    <w:p>
      <w:pPr>
        <w:pStyle w:val="Heading4"/>
        <w:ind w:left="1352" w:firstLine="0"/>
        <w:jc w:val="both"/>
        <w:rPr>
          <w:rFonts w:ascii="Times New Roman"/>
          <w:b w:val="0"/>
        </w:rPr>
      </w:pPr>
      <w:r>
        <w:rPr>
          <w:rFonts w:ascii="Times New Roman"/>
          <w:b w:val="0"/>
        </w:rPr>
        <w:t>(</w:t>
      </w:r>
      <w:r>
        <w:rPr>
          <w:rFonts w:ascii="Times New Roman"/>
        </w:rPr>
        <w:t>constituent decisions</w:t>
      </w:r>
      <w:r>
        <w:rPr>
          <w:rFonts w:ascii="Times New Roman"/>
          <w:b w:val="0"/>
        </w:rPr>
        <w:t>):</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the classification of the services to be provided by the </w:t>
      </w:r>
      <w:r>
        <w:rPr>
          <w:i/>
          <w:sz w:val="24"/>
        </w:rPr>
        <w:t>Distribution Network Service Provider </w:t>
      </w:r>
      <w:r>
        <w:rPr>
          <w:sz w:val="24"/>
        </w:rPr>
        <w:t>during the course of the </w:t>
      </w:r>
      <w:r>
        <w:rPr>
          <w:i/>
          <w:sz w:val="24"/>
        </w:rPr>
        <w:t>regulatory </w:t>
      </w:r>
      <w:r>
        <w:rPr>
          <w:i/>
          <w:sz w:val="24"/>
        </w:rPr>
        <w:t>control period</w:t>
      </w:r>
      <w:r>
        <w:rPr>
          <w:sz w:val="24"/>
        </w:rPr>
        <w:t>;</w:t>
      </w:r>
    </w:p>
    <w:p>
      <w:pPr>
        <w:pStyle w:val="ListParagraph"/>
        <w:numPr>
          <w:ilvl w:val="3"/>
          <w:numId w:val="437"/>
        </w:numPr>
        <w:tabs>
          <w:tab w:pos="1919" w:val="left" w:leader="none"/>
        </w:tabs>
        <w:spacing w:line="240" w:lineRule="auto" w:before="120" w:after="0"/>
        <w:ind w:left="1919" w:right="416" w:hanging="567"/>
        <w:jc w:val="both"/>
        <w:rPr>
          <w:sz w:val="24"/>
        </w:rPr>
      </w:pPr>
      <w:r>
        <w:rPr>
          <w:sz w:val="24"/>
        </w:rPr>
        <w:t>a decision on the </w:t>
      </w:r>
      <w:r>
        <w:rPr>
          <w:i/>
          <w:sz w:val="24"/>
        </w:rPr>
        <w:t>Distribution Network Service Provider's </w:t>
      </w:r>
      <w:r>
        <w:rPr>
          <w:sz w:val="24"/>
        </w:rPr>
        <w:t>current </w:t>
      </w:r>
      <w:r>
        <w:rPr>
          <w:i/>
          <w:sz w:val="24"/>
        </w:rPr>
        <w:t>building </w:t>
      </w:r>
      <w:r>
        <w:rPr>
          <w:i/>
          <w:sz w:val="24"/>
        </w:rPr>
        <w:t>block proposal </w:t>
      </w:r>
      <w:r>
        <w:rPr>
          <w:sz w:val="24"/>
        </w:rPr>
        <w:t>in which the </w:t>
      </w:r>
      <w:r>
        <w:rPr>
          <w:i/>
          <w:sz w:val="24"/>
        </w:rPr>
        <w:t>AER </w:t>
      </w:r>
      <w:r>
        <w:rPr>
          <w:sz w:val="24"/>
        </w:rPr>
        <w:t>either approves or refuses to</w:t>
      </w:r>
      <w:r>
        <w:rPr>
          <w:spacing w:val="-4"/>
          <w:sz w:val="24"/>
        </w:rPr>
        <w:t> </w:t>
      </w:r>
      <w:r>
        <w:rPr>
          <w:sz w:val="24"/>
        </w:rPr>
        <w:t>approve:</w:t>
      </w:r>
    </w:p>
    <w:p>
      <w:pPr>
        <w:pStyle w:val="ListParagraph"/>
        <w:numPr>
          <w:ilvl w:val="4"/>
          <w:numId w:val="437"/>
        </w:numPr>
        <w:tabs>
          <w:tab w:pos="2486" w:val="left" w:leader="none"/>
        </w:tabs>
        <w:spacing w:line="240" w:lineRule="auto" w:before="120" w:after="0"/>
        <w:ind w:left="2486" w:right="416" w:hanging="567"/>
        <w:jc w:val="both"/>
        <w:rPr>
          <w:sz w:val="24"/>
        </w:rPr>
      </w:pPr>
      <w:r>
        <w:rPr>
          <w:sz w:val="24"/>
        </w:rPr>
        <w:t>the </w:t>
      </w:r>
      <w:r>
        <w:rPr>
          <w:i/>
          <w:sz w:val="24"/>
        </w:rPr>
        <w:t>annual revenue requirement </w:t>
      </w:r>
      <w:r>
        <w:rPr>
          <w:sz w:val="24"/>
        </w:rPr>
        <w:t>for the </w:t>
      </w:r>
      <w:r>
        <w:rPr>
          <w:i/>
          <w:sz w:val="24"/>
        </w:rPr>
        <w:t>Distribution Network Service </w:t>
      </w:r>
      <w:r>
        <w:rPr>
          <w:i/>
          <w:sz w:val="24"/>
        </w:rPr>
        <w:t>Provider</w:t>
      </w:r>
      <w:r>
        <w:rPr>
          <w:sz w:val="24"/>
        </w:rPr>
        <w:t>, as set out in the </w:t>
      </w:r>
      <w:r>
        <w:rPr>
          <w:i/>
          <w:sz w:val="24"/>
        </w:rPr>
        <w:t>building block proposal</w:t>
      </w:r>
      <w:r>
        <w:rPr>
          <w:sz w:val="24"/>
        </w:rPr>
        <w:t>, for each </w:t>
      </w:r>
      <w:r>
        <w:rPr>
          <w:i/>
          <w:sz w:val="24"/>
        </w:rPr>
        <w:t>regulatory </w:t>
      </w:r>
      <w:r>
        <w:rPr>
          <w:i/>
          <w:sz w:val="24"/>
        </w:rPr>
        <w:t>year </w:t>
      </w:r>
      <w:r>
        <w:rPr>
          <w:sz w:val="24"/>
        </w:rPr>
        <w:t>of the </w:t>
      </w:r>
      <w:r>
        <w:rPr>
          <w:i/>
          <w:sz w:val="24"/>
        </w:rPr>
        <w:t>regulatory control period</w:t>
      </w:r>
      <w:r>
        <w:rPr>
          <w:sz w:val="24"/>
        </w:rPr>
        <w:t>;</w:t>
      </w:r>
      <w:r>
        <w:rPr>
          <w:spacing w:val="-1"/>
          <w:sz w:val="24"/>
        </w:rPr>
        <w:t> </w:t>
      </w:r>
      <w:r>
        <w:rPr>
          <w:sz w:val="24"/>
        </w:rPr>
        <w:t>and</w:t>
      </w:r>
    </w:p>
    <w:p>
      <w:pPr>
        <w:pStyle w:val="ListParagraph"/>
        <w:numPr>
          <w:ilvl w:val="4"/>
          <w:numId w:val="437"/>
        </w:numPr>
        <w:tabs>
          <w:tab w:pos="2487" w:val="left" w:leader="none"/>
        </w:tabs>
        <w:spacing w:line="240" w:lineRule="auto" w:before="120" w:after="0"/>
        <w:ind w:left="2486" w:right="415" w:hanging="567"/>
        <w:jc w:val="both"/>
        <w:rPr>
          <w:sz w:val="24"/>
        </w:rPr>
      </w:pPr>
      <w:r>
        <w:rPr>
          <w:sz w:val="24"/>
        </w:rPr>
        <w:t>the commencement and length of the </w:t>
      </w:r>
      <w:r>
        <w:rPr>
          <w:i/>
          <w:sz w:val="24"/>
        </w:rPr>
        <w:t>regulatory control period </w:t>
      </w:r>
      <w:r>
        <w:rPr>
          <w:sz w:val="24"/>
        </w:rPr>
        <w:t>as proposed in the </w:t>
      </w:r>
      <w:r>
        <w:rPr>
          <w:i/>
          <w:sz w:val="24"/>
        </w:rPr>
        <w:t>building block</w:t>
      </w:r>
      <w:r>
        <w:rPr>
          <w:i/>
          <w:spacing w:val="-1"/>
          <w:sz w:val="24"/>
        </w:rPr>
        <w:t> </w:t>
      </w:r>
      <w:r>
        <w:rPr>
          <w:i/>
          <w:sz w:val="24"/>
        </w:rPr>
        <w:t>proposal</w:t>
      </w:r>
      <w:r>
        <w:rPr>
          <w:sz w:val="24"/>
        </w:rPr>
        <w:t>;</w:t>
      </w:r>
    </w:p>
    <w:p>
      <w:pPr>
        <w:spacing w:before="120"/>
        <w:ind w:left="1919" w:right="415" w:hanging="567"/>
        <w:jc w:val="both"/>
        <w:rPr>
          <w:sz w:val="24"/>
        </w:rPr>
      </w:pPr>
      <w:r>
        <w:rPr>
          <w:sz w:val="24"/>
        </w:rPr>
        <w:t>(2A) a decision in which the </w:t>
      </w:r>
      <w:r>
        <w:rPr>
          <w:i/>
          <w:sz w:val="24"/>
        </w:rPr>
        <w:t>AER </w:t>
      </w:r>
      <w:r>
        <w:rPr>
          <w:sz w:val="24"/>
        </w:rPr>
        <w:t>determines to either grant or reject a request for an </w:t>
      </w:r>
      <w:r>
        <w:rPr>
          <w:i/>
          <w:sz w:val="24"/>
        </w:rPr>
        <w:t>asset exemption </w:t>
      </w:r>
      <w:r>
        <w:rPr>
          <w:sz w:val="24"/>
        </w:rPr>
        <w:t>under clause 6.4B.1(a)(1) in respect of a </w:t>
      </w:r>
      <w:r>
        <w:rPr>
          <w:i/>
          <w:sz w:val="24"/>
        </w:rPr>
        <w:t>building block </w:t>
      </w:r>
      <w:r>
        <w:rPr>
          <w:i/>
          <w:sz w:val="24"/>
        </w:rPr>
        <w:t>proposal </w:t>
      </w:r>
      <w:r>
        <w:rPr>
          <w:sz w:val="24"/>
        </w:rPr>
        <w:t>for the </w:t>
      </w:r>
      <w:r>
        <w:rPr>
          <w:i/>
          <w:sz w:val="24"/>
        </w:rPr>
        <w:t>regulatory control period</w:t>
      </w:r>
      <w:r>
        <w:rPr>
          <w:sz w:val="24"/>
        </w:rPr>
        <w:t>;</w:t>
      </w:r>
    </w:p>
    <w:p>
      <w:pPr>
        <w:pStyle w:val="ListParagraph"/>
        <w:numPr>
          <w:ilvl w:val="3"/>
          <w:numId w:val="437"/>
        </w:numPr>
        <w:tabs>
          <w:tab w:pos="1919" w:val="left" w:leader="none"/>
        </w:tabs>
        <w:spacing w:line="240" w:lineRule="auto" w:before="120" w:after="0"/>
        <w:ind w:left="1918" w:right="0" w:hanging="567"/>
        <w:jc w:val="both"/>
        <w:rPr>
          <w:sz w:val="24"/>
        </w:rPr>
      </w:pPr>
      <w:r>
        <w:rPr>
          <w:sz w:val="24"/>
        </w:rPr>
        <w:t>a decision in which the </w:t>
      </w:r>
      <w:r>
        <w:rPr>
          <w:i/>
          <w:sz w:val="24"/>
        </w:rPr>
        <w:t>AER</w:t>
      </w:r>
      <w:r>
        <w:rPr>
          <w:i/>
          <w:spacing w:val="-2"/>
          <w:sz w:val="24"/>
        </w:rPr>
        <w:t> </w:t>
      </w:r>
      <w:r>
        <w:rPr>
          <w:sz w:val="24"/>
        </w:rPr>
        <w:t>either:</w:t>
      </w:r>
    </w:p>
    <w:p>
      <w:pPr>
        <w:pStyle w:val="ListParagraph"/>
        <w:numPr>
          <w:ilvl w:val="4"/>
          <w:numId w:val="437"/>
        </w:numPr>
        <w:tabs>
          <w:tab w:pos="2486" w:val="left" w:leader="none"/>
        </w:tabs>
        <w:spacing w:line="240" w:lineRule="auto" w:before="120" w:after="0"/>
        <w:ind w:left="2486" w:right="415" w:hanging="567"/>
        <w:jc w:val="both"/>
        <w:rPr>
          <w:sz w:val="24"/>
        </w:rPr>
      </w:pPr>
      <w:r>
        <w:rPr>
          <w:sz w:val="24"/>
        </w:rPr>
        <w:t>acting in accordance with clause 6.5.7(c), accepts the total of the forecast capital expenditure for the </w:t>
      </w:r>
      <w:r>
        <w:rPr>
          <w:i/>
          <w:sz w:val="24"/>
        </w:rPr>
        <w:t>regulatory control period </w:t>
      </w:r>
      <w:r>
        <w:rPr>
          <w:sz w:val="24"/>
        </w:rPr>
        <w:t>that is included in the current </w:t>
      </w:r>
      <w:r>
        <w:rPr>
          <w:i/>
          <w:sz w:val="24"/>
        </w:rPr>
        <w:t>building block proposal</w:t>
      </w:r>
      <w:r>
        <w:rPr>
          <w:sz w:val="24"/>
        </w:rPr>
        <w:t>;</w:t>
      </w:r>
      <w:r>
        <w:rPr>
          <w:spacing w:val="-4"/>
          <w:sz w:val="24"/>
        </w:rPr>
        <w:t> </w:t>
      </w:r>
      <w:r>
        <w:rPr>
          <w:sz w:val="24"/>
        </w:rPr>
        <w:t>or</w:t>
      </w:r>
    </w:p>
    <w:p>
      <w:pPr>
        <w:pStyle w:val="ListParagraph"/>
        <w:numPr>
          <w:ilvl w:val="4"/>
          <w:numId w:val="437"/>
        </w:numPr>
        <w:tabs>
          <w:tab w:pos="2487" w:val="left" w:leader="none"/>
        </w:tabs>
        <w:spacing w:line="240" w:lineRule="auto" w:before="120" w:after="0"/>
        <w:ind w:left="2486" w:right="414" w:hanging="567"/>
        <w:jc w:val="both"/>
        <w:rPr>
          <w:sz w:val="24"/>
        </w:rPr>
      </w:pPr>
      <w:r>
        <w:rPr>
          <w:sz w:val="24"/>
        </w:rPr>
        <w:t>acting in accordance with clause 6.5.7(c)(2) or 6.5.7(d), does not accept the total of the forecast capital expenditure for the </w:t>
      </w:r>
      <w:r>
        <w:rPr>
          <w:i/>
          <w:sz w:val="24"/>
        </w:rPr>
        <w:t>regulatory </w:t>
      </w:r>
      <w:r>
        <w:rPr>
          <w:i/>
          <w:sz w:val="24"/>
        </w:rPr>
        <w:t>control period </w:t>
      </w:r>
      <w:r>
        <w:rPr>
          <w:sz w:val="24"/>
        </w:rPr>
        <w:t>that is included in the current </w:t>
      </w:r>
      <w:r>
        <w:rPr>
          <w:i/>
          <w:sz w:val="24"/>
        </w:rPr>
        <w:t>building block proposal</w:t>
      </w:r>
      <w:r>
        <w:rPr>
          <w:sz w:val="24"/>
        </w:rPr>
        <w:t>, in which case the </w:t>
      </w:r>
      <w:r>
        <w:rPr>
          <w:i/>
          <w:sz w:val="24"/>
        </w:rPr>
        <w:t>AER </w:t>
      </w:r>
      <w:r>
        <w:rPr>
          <w:sz w:val="24"/>
        </w:rPr>
        <w:t>must set out its reasons for that decision and an estimate of the total of the </w:t>
      </w:r>
      <w:r>
        <w:rPr>
          <w:i/>
          <w:sz w:val="24"/>
        </w:rPr>
        <w:t>Distribution Network Service Provider's </w:t>
      </w:r>
      <w:r>
        <w:rPr>
          <w:sz w:val="24"/>
        </w:rPr>
        <w:t>required</w:t>
      </w:r>
      <w:r>
        <w:rPr>
          <w:spacing w:val="13"/>
          <w:sz w:val="24"/>
        </w:rPr>
        <w:t> </w:t>
      </w:r>
      <w:r>
        <w:rPr>
          <w:sz w:val="24"/>
        </w:rPr>
        <w:t>capital</w:t>
      </w:r>
      <w:r>
        <w:rPr>
          <w:spacing w:val="14"/>
          <w:sz w:val="24"/>
        </w:rPr>
        <w:t> </w:t>
      </w:r>
      <w:r>
        <w:rPr>
          <w:sz w:val="24"/>
        </w:rPr>
        <w:t>expenditure</w:t>
      </w:r>
      <w:r>
        <w:rPr>
          <w:spacing w:val="13"/>
          <w:sz w:val="24"/>
        </w:rPr>
        <w:t> </w:t>
      </w:r>
      <w:r>
        <w:rPr>
          <w:sz w:val="24"/>
        </w:rPr>
        <w:t>for</w:t>
      </w:r>
      <w:r>
        <w:rPr>
          <w:spacing w:val="14"/>
          <w:sz w:val="24"/>
        </w:rPr>
        <w:t> </w:t>
      </w:r>
      <w:r>
        <w:rPr>
          <w:sz w:val="24"/>
        </w:rPr>
        <w:t>the</w:t>
      </w:r>
      <w:r>
        <w:rPr>
          <w:spacing w:val="13"/>
          <w:sz w:val="24"/>
        </w:rPr>
        <w:t> </w:t>
      </w:r>
      <w:r>
        <w:rPr>
          <w:i/>
          <w:sz w:val="24"/>
        </w:rPr>
        <w:t>regulatory</w:t>
      </w:r>
      <w:r>
        <w:rPr>
          <w:i/>
          <w:spacing w:val="14"/>
          <w:sz w:val="24"/>
        </w:rPr>
        <w:t> </w:t>
      </w:r>
      <w:r>
        <w:rPr>
          <w:i/>
          <w:sz w:val="24"/>
        </w:rPr>
        <w:t>control</w:t>
      </w:r>
      <w:r>
        <w:rPr>
          <w:i/>
          <w:spacing w:val="13"/>
          <w:sz w:val="24"/>
        </w:rPr>
        <w:t> </w:t>
      </w:r>
      <w:r>
        <w:rPr>
          <w:i/>
          <w:sz w:val="24"/>
        </w:rPr>
        <w:t>period</w:t>
      </w:r>
      <w:r>
        <w:rPr>
          <w:i/>
          <w:spacing w:val="14"/>
          <w:sz w:val="24"/>
        </w:rPr>
        <w:t> </w:t>
      </w:r>
      <w:r>
        <w:rPr>
          <w:sz w:val="24"/>
        </w:rPr>
        <w:t>that</w:t>
      </w:r>
      <w:r>
        <w:rPr>
          <w:spacing w:val="14"/>
          <w:sz w:val="24"/>
        </w:rPr>
        <w:t> </w:t>
      </w:r>
      <w:r>
        <w:rPr>
          <w:sz w:val="24"/>
        </w:rPr>
        <w:t>the</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i/>
          <w:sz w:val="24"/>
        </w:rPr>
        <w:t>AER </w:t>
      </w:r>
      <w:r>
        <w:rPr>
          <w:sz w:val="24"/>
        </w:rPr>
        <w:t>is satisfied reasonably reflects the </w:t>
      </w:r>
      <w:r>
        <w:rPr>
          <w:i/>
          <w:sz w:val="24"/>
        </w:rPr>
        <w:t>capital expenditure criteria</w:t>
      </w:r>
      <w:r>
        <w:rPr>
          <w:sz w:val="24"/>
        </w:rPr>
        <w:t>, taking into account the </w:t>
      </w:r>
      <w:r>
        <w:rPr>
          <w:i/>
          <w:sz w:val="24"/>
        </w:rPr>
        <w:t>capital expenditure factors</w:t>
      </w:r>
      <w:r>
        <w:rPr>
          <w:sz w:val="24"/>
        </w:rPr>
        <w:t>;</w:t>
      </w:r>
    </w:p>
    <w:p>
      <w:pPr>
        <w:spacing w:before="120"/>
        <w:ind w:left="1919" w:right="415" w:hanging="567"/>
        <w:jc w:val="both"/>
        <w:rPr>
          <w:sz w:val="24"/>
        </w:rPr>
      </w:pPr>
      <w:r>
        <w:rPr>
          <w:sz w:val="24"/>
        </w:rPr>
        <w:t>(3A) the </w:t>
      </w:r>
      <w:r>
        <w:rPr>
          <w:i/>
          <w:sz w:val="24"/>
        </w:rPr>
        <w:t>AER</w:t>
      </w:r>
      <w:r>
        <w:rPr>
          <w:sz w:val="24"/>
        </w:rPr>
        <w:t>'s estimate of the total of the </w:t>
      </w:r>
      <w:r>
        <w:rPr>
          <w:i/>
          <w:sz w:val="24"/>
        </w:rPr>
        <w:t>Distribution Network Service  </w:t>
      </w:r>
      <w:r>
        <w:rPr>
          <w:i/>
          <w:sz w:val="24"/>
        </w:rPr>
        <w:t>Provider</w:t>
      </w:r>
      <w:r>
        <w:rPr>
          <w:sz w:val="24"/>
        </w:rPr>
        <w:t>'s required capital expenditure referred to in subparagraph (3)(ii) must not include </w:t>
      </w:r>
      <w:r>
        <w:rPr>
          <w:i/>
          <w:sz w:val="24"/>
        </w:rPr>
        <w:t>expenditure for a restricted asset</w:t>
      </w:r>
      <w:r>
        <w:rPr>
          <w:sz w:val="24"/>
        </w:rPr>
        <w:t>,</w:t>
      </w:r>
      <w:r>
        <w:rPr>
          <w:spacing w:val="-4"/>
          <w:sz w:val="24"/>
        </w:rPr>
        <w:t> </w:t>
      </w:r>
      <w:r>
        <w:rPr>
          <w:sz w:val="24"/>
        </w:rPr>
        <w:t>unless:</w:t>
      </w:r>
    </w:p>
    <w:p>
      <w:pPr>
        <w:pStyle w:val="ListParagraph"/>
        <w:numPr>
          <w:ilvl w:val="0"/>
          <w:numId w:val="438"/>
        </w:numPr>
        <w:tabs>
          <w:tab w:pos="2486" w:val="left" w:leader="none"/>
        </w:tabs>
        <w:spacing w:line="240" w:lineRule="auto" w:before="120" w:after="0"/>
        <w:ind w:left="2485" w:right="0" w:hanging="567"/>
        <w:jc w:val="both"/>
        <w:rPr>
          <w:sz w:val="24"/>
        </w:rPr>
      </w:pPr>
      <w:r>
        <w:rPr>
          <w:sz w:val="24"/>
        </w:rPr>
        <w:t>the</w:t>
      </w:r>
      <w:r>
        <w:rPr>
          <w:spacing w:val="29"/>
          <w:sz w:val="24"/>
        </w:rPr>
        <w:t> </w:t>
      </w:r>
      <w:r>
        <w:rPr>
          <w:sz w:val="24"/>
        </w:rPr>
        <w:t>relevant</w:t>
      </w:r>
      <w:r>
        <w:rPr>
          <w:spacing w:val="29"/>
          <w:sz w:val="24"/>
        </w:rPr>
        <w:t> </w:t>
      </w:r>
      <w:r>
        <w:rPr>
          <w:i/>
          <w:sz w:val="24"/>
        </w:rPr>
        <w:t>Distribution</w:t>
      </w:r>
      <w:r>
        <w:rPr>
          <w:i/>
          <w:spacing w:val="30"/>
          <w:sz w:val="24"/>
        </w:rPr>
        <w:t> </w:t>
      </w:r>
      <w:r>
        <w:rPr>
          <w:i/>
          <w:sz w:val="24"/>
        </w:rPr>
        <w:t>Network</w:t>
      </w:r>
      <w:r>
        <w:rPr>
          <w:i/>
          <w:spacing w:val="29"/>
          <w:sz w:val="24"/>
        </w:rPr>
        <w:t> </w:t>
      </w:r>
      <w:r>
        <w:rPr>
          <w:i/>
          <w:sz w:val="24"/>
        </w:rPr>
        <w:t>Service</w:t>
      </w:r>
      <w:r>
        <w:rPr>
          <w:i/>
          <w:spacing w:val="30"/>
          <w:sz w:val="24"/>
        </w:rPr>
        <w:t> </w:t>
      </w:r>
      <w:r>
        <w:rPr>
          <w:i/>
          <w:sz w:val="24"/>
        </w:rPr>
        <w:t>Provider</w:t>
      </w:r>
      <w:r>
        <w:rPr>
          <w:i/>
          <w:spacing w:val="29"/>
          <w:sz w:val="24"/>
        </w:rPr>
        <w:t> </w:t>
      </w:r>
      <w:r>
        <w:rPr>
          <w:sz w:val="24"/>
        </w:rPr>
        <w:t>has</w:t>
      </w:r>
      <w:r>
        <w:rPr>
          <w:spacing w:val="30"/>
          <w:sz w:val="24"/>
        </w:rPr>
        <w:t> </w:t>
      </w:r>
      <w:r>
        <w:rPr>
          <w:sz w:val="24"/>
        </w:rPr>
        <w:t>requested</w:t>
      </w:r>
      <w:r>
        <w:rPr>
          <w:spacing w:val="29"/>
          <w:sz w:val="24"/>
        </w:rPr>
        <w:t> </w:t>
      </w:r>
      <w:r>
        <w:rPr>
          <w:sz w:val="24"/>
        </w:rPr>
        <w:t>an</w:t>
      </w:r>
    </w:p>
    <w:p>
      <w:pPr>
        <w:spacing w:before="0"/>
        <w:ind w:left="2486" w:right="0" w:firstLine="0"/>
        <w:jc w:val="both"/>
        <w:rPr>
          <w:sz w:val="24"/>
        </w:rPr>
      </w:pPr>
      <w:r>
        <w:rPr>
          <w:i/>
          <w:sz w:val="24"/>
        </w:rPr>
        <w:t>asset exemption </w:t>
      </w:r>
      <w:r>
        <w:rPr>
          <w:sz w:val="24"/>
        </w:rPr>
        <w:t>under:</w:t>
      </w:r>
    </w:p>
    <w:p>
      <w:pPr>
        <w:pStyle w:val="ListParagraph"/>
        <w:numPr>
          <w:ilvl w:val="1"/>
          <w:numId w:val="438"/>
        </w:numPr>
        <w:tabs>
          <w:tab w:pos="3053" w:val="left" w:leader="none"/>
        </w:tabs>
        <w:spacing w:line="240" w:lineRule="auto" w:before="120" w:after="0"/>
        <w:ind w:left="3053" w:right="414" w:hanging="567"/>
        <w:jc w:val="both"/>
        <w:rPr>
          <w:sz w:val="24"/>
        </w:rPr>
      </w:pPr>
      <w:r>
        <w:rPr>
          <w:sz w:val="24"/>
        </w:rPr>
        <w:t>clause 6.4B.1(a)(2) for the previous </w:t>
      </w:r>
      <w:r>
        <w:rPr>
          <w:i/>
          <w:sz w:val="24"/>
        </w:rPr>
        <w:t>regulatory control period</w:t>
      </w:r>
      <w:r>
        <w:rPr>
          <w:sz w:val="24"/>
        </w:rPr>
        <w:t>, to the extent any of the </w:t>
      </w:r>
      <w:r>
        <w:rPr>
          <w:i/>
          <w:sz w:val="24"/>
        </w:rPr>
        <w:t>AER's </w:t>
      </w:r>
      <w:r>
        <w:rPr>
          <w:sz w:val="24"/>
        </w:rPr>
        <w:t>estimate relates to the </w:t>
      </w:r>
      <w:r>
        <w:rPr>
          <w:i/>
          <w:sz w:val="24"/>
        </w:rPr>
        <w:t>Distribution </w:t>
      </w:r>
      <w:r>
        <w:rPr>
          <w:i/>
          <w:sz w:val="24"/>
        </w:rPr>
        <w:t>Network Service Provider</w:t>
      </w:r>
      <w:r>
        <w:rPr>
          <w:sz w:val="24"/>
        </w:rPr>
        <w:t>'s forecast for unspent capital expenditure under clause 6.5.7(g) for a </w:t>
      </w:r>
      <w:r>
        <w:rPr>
          <w:i/>
          <w:sz w:val="24"/>
        </w:rPr>
        <w:t>contingent project </w:t>
      </w:r>
      <w:r>
        <w:rPr>
          <w:sz w:val="24"/>
        </w:rPr>
        <w:t>that commenced in the previous </w:t>
      </w:r>
      <w:r>
        <w:rPr>
          <w:i/>
          <w:sz w:val="24"/>
        </w:rPr>
        <w:t>regulatory control period </w:t>
      </w:r>
      <w:r>
        <w:rPr>
          <w:sz w:val="24"/>
        </w:rPr>
        <w:t>and that unspent capital was in respect of </w:t>
      </w:r>
      <w:r>
        <w:rPr>
          <w:i/>
          <w:sz w:val="24"/>
        </w:rPr>
        <w:t>expenditure for a restricted </w:t>
      </w:r>
      <w:r>
        <w:rPr>
          <w:i/>
          <w:sz w:val="24"/>
        </w:rPr>
        <w:t>asset</w:t>
      </w:r>
      <w:r>
        <w:rPr>
          <w:sz w:val="24"/>
        </w:rPr>
        <w:t>;</w:t>
      </w:r>
    </w:p>
    <w:p>
      <w:pPr>
        <w:pStyle w:val="ListParagraph"/>
        <w:numPr>
          <w:ilvl w:val="1"/>
          <w:numId w:val="438"/>
        </w:numPr>
        <w:tabs>
          <w:tab w:pos="3054" w:val="left" w:leader="none"/>
        </w:tabs>
        <w:spacing w:line="240" w:lineRule="auto" w:before="120" w:after="0"/>
        <w:ind w:left="3053" w:right="415" w:hanging="567"/>
        <w:jc w:val="both"/>
        <w:rPr>
          <w:sz w:val="24"/>
        </w:rPr>
      </w:pPr>
      <w:r>
        <w:rPr>
          <w:sz w:val="24"/>
        </w:rPr>
        <w:t>clause 6.4B.1(a)(3) for the previous </w:t>
      </w:r>
      <w:r>
        <w:rPr>
          <w:i/>
          <w:sz w:val="24"/>
        </w:rPr>
        <w:t>regulatory control period</w:t>
      </w:r>
      <w:r>
        <w:rPr>
          <w:sz w:val="24"/>
        </w:rPr>
        <w:t>, to the extent any of the </w:t>
      </w:r>
      <w:r>
        <w:rPr>
          <w:i/>
          <w:sz w:val="24"/>
        </w:rPr>
        <w:t>AER's </w:t>
      </w:r>
      <w:r>
        <w:rPr>
          <w:sz w:val="24"/>
        </w:rPr>
        <w:t>estimate relates to an </w:t>
      </w:r>
      <w:r>
        <w:rPr>
          <w:i/>
          <w:sz w:val="24"/>
        </w:rPr>
        <w:t>approved </w:t>
      </w:r>
      <w:r>
        <w:rPr>
          <w:i/>
          <w:sz w:val="24"/>
        </w:rPr>
        <w:t>pass through amount </w:t>
      </w:r>
      <w:r>
        <w:rPr>
          <w:sz w:val="24"/>
        </w:rPr>
        <w:t>for the </w:t>
      </w:r>
      <w:r>
        <w:rPr>
          <w:i/>
          <w:sz w:val="24"/>
        </w:rPr>
        <w:t>Distribution Network Service </w:t>
      </w:r>
      <w:r>
        <w:rPr>
          <w:i/>
          <w:sz w:val="24"/>
        </w:rPr>
        <w:t>Provider </w:t>
      </w:r>
      <w:r>
        <w:rPr>
          <w:sz w:val="24"/>
        </w:rPr>
        <w:t>for the </w:t>
      </w:r>
      <w:r>
        <w:rPr>
          <w:i/>
          <w:sz w:val="24"/>
        </w:rPr>
        <w:t>regulatory control period </w:t>
      </w:r>
      <w:r>
        <w:rPr>
          <w:sz w:val="24"/>
        </w:rPr>
        <w:t>and that </w:t>
      </w:r>
      <w:r>
        <w:rPr>
          <w:i/>
          <w:sz w:val="24"/>
        </w:rPr>
        <w:t>approved </w:t>
      </w:r>
      <w:r>
        <w:rPr>
          <w:i/>
          <w:sz w:val="24"/>
        </w:rPr>
        <w:t>pass through amount </w:t>
      </w:r>
      <w:r>
        <w:rPr>
          <w:sz w:val="24"/>
        </w:rPr>
        <w:t>is in respect of </w:t>
      </w:r>
      <w:r>
        <w:rPr>
          <w:i/>
          <w:sz w:val="24"/>
        </w:rPr>
        <w:t>expenditure for a restricted </w:t>
      </w:r>
      <w:r>
        <w:rPr>
          <w:i/>
          <w:sz w:val="24"/>
        </w:rPr>
        <w:t>asset</w:t>
      </w:r>
      <w:r>
        <w:rPr>
          <w:sz w:val="24"/>
        </w:rPr>
        <w:t>; or</w:t>
      </w:r>
    </w:p>
    <w:p>
      <w:pPr>
        <w:pStyle w:val="ListParagraph"/>
        <w:numPr>
          <w:ilvl w:val="1"/>
          <w:numId w:val="438"/>
        </w:numPr>
        <w:tabs>
          <w:tab w:pos="3054" w:val="left" w:leader="none"/>
        </w:tabs>
        <w:spacing w:line="240" w:lineRule="auto" w:before="120" w:after="0"/>
        <w:ind w:left="3053" w:right="415" w:hanging="567"/>
        <w:jc w:val="both"/>
        <w:rPr>
          <w:sz w:val="24"/>
        </w:rPr>
      </w:pPr>
      <w:r>
        <w:rPr>
          <w:sz w:val="24"/>
        </w:rPr>
        <w:t>clause 6.4B.1(a)(1) for the </w:t>
      </w:r>
      <w:r>
        <w:rPr>
          <w:i/>
          <w:sz w:val="24"/>
        </w:rPr>
        <w:t>regulatory control period</w:t>
      </w:r>
      <w:r>
        <w:rPr>
          <w:sz w:val="24"/>
        </w:rPr>
        <w:t>, to the extent any of the </w:t>
      </w:r>
      <w:r>
        <w:rPr>
          <w:i/>
          <w:sz w:val="24"/>
        </w:rPr>
        <w:t>AER</w:t>
      </w:r>
      <w:r>
        <w:rPr>
          <w:sz w:val="24"/>
        </w:rPr>
        <w:t>'s estimate otherwise relates to the </w:t>
      </w:r>
      <w:r>
        <w:rPr>
          <w:i/>
          <w:sz w:val="24"/>
        </w:rPr>
        <w:t>Distribution Network Service Provider</w:t>
      </w:r>
      <w:r>
        <w:rPr>
          <w:sz w:val="24"/>
        </w:rPr>
        <w:t>'s required capital expenditure for the </w:t>
      </w:r>
      <w:r>
        <w:rPr>
          <w:i/>
          <w:sz w:val="24"/>
        </w:rPr>
        <w:t>regulatory control period </w:t>
      </w:r>
      <w:r>
        <w:rPr>
          <w:sz w:val="24"/>
        </w:rPr>
        <w:t>and that </w:t>
      </w:r>
      <w:r>
        <w:rPr>
          <w:spacing w:val="-3"/>
          <w:sz w:val="24"/>
        </w:rPr>
        <w:t>capital</w:t>
      </w:r>
      <w:r>
        <w:rPr>
          <w:spacing w:val="54"/>
          <w:sz w:val="24"/>
        </w:rPr>
        <w:t> </w:t>
      </w:r>
      <w:r>
        <w:rPr>
          <w:sz w:val="24"/>
        </w:rPr>
        <w:t>expenditure is in respect of </w:t>
      </w:r>
      <w:r>
        <w:rPr>
          <w:i/>
          <w:sz w:val="24"/>
        </w:rPr>
        <w:t>expenditure for a restricted</w:t>
      </w:r>
      <w:r>
        <w:rPr>
          <w:i/>
          <w:spacing w:val="-9"/>
          <w:sz w:val="24"/>
        </w:rPr>
        <w:t> </w:t>
      </w:r>
      <w:r>
        <w:rPr>
          <w:i/>
          <w:sz w:val="24"/>
        </w:rPr>
        <w:t>asset</w:t>
      </w:r>
      <w:r>
        <w:rPr>
          <w:sz w:val="24"/>
        </w:rPr>
        <w:t>,</w:t>
      </w:r>
    </w:p>
    <w:p>
      <w:pPr>
        <w:pStyle w:val="BodyText"/>
        <w:ind w:left="2486" w:firstLine="0"/>
      </w:pPr>
      <w:r>
        <w:rPr/>
        <w:t>for that asset or class of asset; and</w:t>
      </w:r>
    </w:p>
    <w:p>
      <w:pPr>
        <w:pStyle w:val="ListParagraph"/>
        <w:numPr>
          <w:ilvl w:val="0"/>
          <w:numId w:val="438"/>
        </w:numPr>
        <w:tabs>
          <w:tab w:pos="2487" w:val="left" w:leader="none"/>
        </w:tabs>
        <w:spacing w:line="240" w:lineRule="auto" w:before="120" w:after="0"/>
        <w:ind w:left="2486" w:right="0" w:hanging="568"/>
        <w:jc w:val="both"/>
        <w:rPr>
          <w:sz w:val="24"/>
        </w:rPr>
      </w:pPr>
      <w:r>
        <w:rPr>
          <w:sz w:val="24"/>
        </w:rPr>
        <w:t>the </w:t>
      </w:r>
      <w:r>
        <w:rPr>
          <w:i/>
          <w:sz w:val="24"/>
        </w:rPr>
        <w:t>AER </w:t>
      </w:r>
      <w:r>
        <w:rPr>
          <w:sz w:val="24"/>
        </w:rPr>
        <w:t>has granted the </w:t>
      </w:r>
      <w:r>
        <w:rPr>
          <w:i/>
          <w:sz w:val="24"/>
        </w:rPr>
        <w:t>asset</w:t>
      </w:r>
      <w:r>
        <w:rPr>
          <w:i/>
          <w:spacing w:val="-1"/>
          <w:sz w:val="24"/>
        </w:rPr>
        <w:t> </w:t>
      </w:r>
      <w:r>
        <w:rPr>
          <w:i/>
          <w:sz w:val="24"/>
        </w:rPr>
        <w:t>exemption</w:t>
      </w:r>
      <w:r>
        <w:rPr>
          <w:sz w:val="24"/>
        </w:rPr>
        <w:t>.</w:t>
      </w:r>
    </w:p>
    <w:p>
      <w:pPr>
        <w:pStyle w:val="ListParagraph"/>
        <w:numPr>
          <w:ilvl w:val="3"/>
          <w:numId w:val="437"/>
        </w:numPr>
        <w:tabs>
          <w:tab w:pos="1919" w:val="left" w:leader="none"/>
        </w:tabs>
        <w:spacing w:line="240" w:lineRule="auto" w:before="120" w:after="0"/>
        <w:ind w:left="1918" w:right="0" w:hanging="567"/>
        <w:jc w:val="both"/>
        <w:rPr>
          <w:sz w:val="24"/>
        </w:rPr>
      </w:pPr>
      <w:r>
        <w:rPr>
          <w:sz w:val="24"/>
        </w:rPr>
        <w:t>a decision in which the </w:t>
      </w:r>
      <w:r>
        <w:rPr>
          <w:i/>
          <w:sz w:val="24"/>
        </w:rPr>
        <w:t>AER</w:t>
      </w:r>
      <w:r>
        <w:rPr>
          <w:i/>
          <w:spacing w:val="-2"/>
          <w:sz w:val="24"/>
        </w:rPr>
        <w:t> </w:t>
      </w:r>
      <w:r>
        <w:rPr>
          <w:sz w:val="24"/>
        </w:rPr>
        <w:t>either:</w:t>
      </w:r>
    </w:p>
    <w:p>
      <w:pPr>
        <w:pStyle w:val="ListParagraph"/>
        <w:numPr>
          <w:ilvl w:val="4"/>
          <w:numId w:val="437"/>
        </w:numPr>
        <w:tabs>
          <w:tab w:pos="2486" w:val="left" w:leader="none"/>
        </w:tabs>
        <w:spacing w:line="240" w:lineRule="auto" w:before="120" w:after="0"/>
        <w:ind w:left="2486" w:right="415" w:hanging="567"/>
        <w:jc w:val="both"/>
        <w:rPr>
          <w:sz w:val="24"/>
        </w:rPr>
      </w:pPr>
      <w:r>
        <w:rPr>
          <w:sz w:val="24"/>
        </w:rPr>
        <w:t>acting in accordance with clause 6.5.6(c), accepts the total of the forecast operating expenditure for the </w:t>
      </w:r>
      <w:r>
        <w:rPr>
          <w:i/>
          <w:sz w:val="24"/>
        </w:rPr>
        <w:t>regulatory control period </w:t>
      </w:r>
      <w:r>
        <w:rPr>
          <w:sz w:val="24"/>
        </w:rPr>
        <w:t>that is included in the current </w:t>
      </w:r>
      <w:r>
        <w:rPr>
          <w:i/>
          <w:sz w:val="24"/>
        </w:rPr>
        <w:t>building block proposal</w:t>
      </w:r>
      <w:r>
        <w:rPr>
          <w:sz w:val="24"/>
        </w:rPr>
        <w:t>;</w:t>
      </w:r>
      <w:r>
        <w:rPr>
          <w:spacing w:val="-4"/>
          <w:sz w:val="24"/>
        </w:rPr>
        <w:t> </w:t>
      </w:r>
      <w:r>
        <w:rPr>
          <w:sz w:val="24"/>
        </w:rPr>
        <w:t>or</w:t>
      </w:r>
    </w:p>
    <w:p>
      <w:pPr>
        <w:pStyle w:val="ListParagraph"/>
        <w:numPr>
          <w:ilvl w:val="4"/>
          <w:numId w:val="437"/>
        </w:numPr>
        <w:tabs>
          <w:tab w:pos="2487" w:val="left" w:leader="none"/>
        </w:tabs>
        <w:spacing w:line="240" w:lineRule="auto" w:before="120" w:after="0"/>
        <w:ind w:left="2486" w:right="414" w:hanging="567"/>
        <w:jc w:val="both"/>
        <w:rPr>
          <w:sz w:val="24"/>
        </w:rPr>
      </w:pPr>
      <w:r>
        <w:rPr>
          <w:sz w:val="24"/>
        </w:rPr>
        <w:t>acting in accordance with clause 6.5.6(d), does not accept the total of the forecast operating expenditure for the </w:t>
      </w:r>
      <w:r>
        <w:rPr>
          <w:i/>
          <w:sz w:val="24"/>
        </w:rPr>
        <w:t>regulatory control period </w:t>
      </w:r>
      <w:r>
        <w:rPr>
          <w:sz w:val="24"/>
        </w:rPr>
        <w:t>that is included in the current </w:t>
      </w:r>
      <w:r>
        <w:rPr>
          <w:i/>
          <w:sz w:val="24"/>
        </w:rPr>
        <w:t>building block proposal</w:t>
      </w:r>
      <w:r>
        <w:rPr>
          <w:sz w:val="24"/>
        </w:rPr>
        <w:t>, in which case the </w:t>
      </w:r>
      <w:r>
        <w:rPr>
          <w:i/>
          <w:sz w:val="24"/>
        </w:rPr>
        <w:t>AER </w:t>
      </w:r>
      <w:r>
        <w:rPr>
          <w:sz w:val="24"/>
        </w:rPr>
        <w:t>must set out its reasons for that decision and an estimate of the total of the </w:t>
      </w:r>
      <w:r>
        <w:rPr>
          <w:i/>
          <w:sz w:val="24"/>
        </w:rPr>
        <w:t>Distribution Network Service Provider's </w:t>
      </w:r>
      <w:r>
        <w:rPr>
          <w:sz w:val="24"/>
        </w:rPr>
        <w:t>required operating expenditure for the </w:t>
      </w:r>
      <w:r>
        <w:rPr>
          <w:i/>
          <w:sz w:val="24"/>
        </w:rPr>
        <w:t>regulatory control period </w:t>
      </w:r>
      <w:r>
        <w:rPr>
          <w:sz w:val="24"/>
        </w:rPr>
        <w:t>that the </w:t>
      </w:r>
      <w:r>
        <w:rPr>
          <w:i/>
          <w:sz w:val="24"/>
        </w:rPr>
        <w:t>AER </w:t>
      </w:r>
      <w:r>
        <w:rPr>
          <w:sz w:val="24"/>
        </w:rPr>
        <w:t>is satisfied reasonably reflects the </w:t>
      </w:r>
      <w:r>
        <w:rPr>
          <w:i/>
          <w:sz w:val="24"/>
        </w:rPr>
        <w:t>operating expenditure criteria</w:t>
      </w:r>
      <w:r>
        <w:rPr>
          <w:sz w:val="24"/>
        </w:rPr>
        <w:t>, taking into account the </w:t>
      </w:r>
      <w:r>
        <w:rPr>
          <w:i/>
          <w:sz w:val="24"/>
        </w:rPr>
        <w:t>operating expenditure</w:t>
      </w:r>
      <w:r>
        <w:rPr>
          <w:i/>
          <w:spacing w:val="-1"/>
          <w:sz w:val="24"/>
        </w:rPr>
        <w:t> </w:t>
      </w:r>
      <w:r>
        <w:rPr>
          <w:i/>
          <w:sz w:val="24"/>
        </w:rPr>
        <w:t>factors</w:t>
      </w:r>
      <w:r>
        <w:rPr>
          <w:sz w:val="24"/>
        </w:rPr>
        <w:t>;</w:t>
      </w:r>
    </w:p>
    <w:p>
      <w:pPr>
        <w:pStyle w:val="BodyText"/>
        <w:ind w:left="1352" w:firstLine="0"/>
      </w:pPr>
      <w:r>
        <w:rPr/>
        <w:t>(4A) a decision in which the </w:t>
      </w:r>
      <w:r>
        <w:rPr>
          <w:i/>
        </w:rPr>
        <w:t>AER </w:t>
      </w:r>
      <w:r>
        <w:rPr/>
        <w:t>determines:</w:t>
      </w:r>
    </w:p>
    <w:p>
      <w:pPr>
        <w:pStyle w:val="ListParagraph"/>
        <w:numPr>
          <w:ilvl w:val="0"/>
          <w:numId w:val="439"/>
        </w:numPr>
        <w:tabs>
          <w:tab w:pos="2486" w:val="left" w:leader="none"/>
        </w:tabs>
        <w:spacing w:line="240" w:lineRule="auto" w:before="120" w:after="0"/>
        <w:ind w:left="2486" w:right="415" w:hanging="567"/>
        <w:jc w:val="both"/>
        <w:rPr>
          <w:sz w:val="24"/>
        </w:rPr>
      </w:pPr>
      <w:r>
        <w:rPr>
          <w:sz w:val="24"/>
        </w:rPr>
        <w:t>whether each of the </w:t>
      </w:r>
      <w:r>
        <w:rPr>
          <w:i/>
          <w:sz w:val="24"/>
        </w:rPr>
        <w:t>proposed contingent projects </w:t>
      </w:r>
      <w:r>
        <w:rPr>
          <w:sz w:val="24"/>
        </w:rPr>
        <w:t>(if any) described in the current </w:t>
      </w:r>
      <w:r>
        <w:rPr>
          <w:i/>
          <w:sz w:val="24"/>
        </w:rPr>
        <w:t>regulatory proposal </w:t>
      </w:r>
      <w:r>
        <w:rPr>
          <w:sz w:val="24"/>
        </w:rPr>
        <w:t>are </w:t>
      </w:r>
      <w:r>
        <w:rPr>
          <w:i/>
          <w:sz w:val="24"/>
        </w:rPr>
        <w:t>contingent projects </w:t>
      </w:r>
      <w:r>
        <w:rPr>
          <w:sz w:val="24"/>
        </w:rPr>
        <w:t>for the purposes of the distribution determination in which case the decision must clearly identify each of those </w:t>
      </w:r>
      <w:r>
        <w:rPr>
          <w:i/>
          <w:sz w:val="24"/>
        </w:rPr>
        <w:t>contingent</w:t>
      </w:r>
      <w:r>
        <w:rPr>
          <w:i/>
          <w:spacing w:val="-1"/>
          <w:sz w:val="24"/>
        </w:rPr>
        <w:t> </w:t>
      </w:r>
      <w:r>
        <w:rPr>
          <w:i/>
          <w:sz w:val="24"/>
        </w:rPr>
        <w:t>projects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439"/>
        </w:numPr>
        <w:tabs>
          <w:tab w:pos="2487" w:val="left" w:leader="none"/>
        </w:tabs>
        <w:spacing w:line="240" w:lineRule="auto" w:before="83" w:after="0"/>
        <w:ind w:left="2486" w:right="414" w:hanging="567"/>
        <w:jc w:val="both"/>
        <w:rPr>
          <w:sz w:val="24"/>
        </w:rPr>
      </w:pPr>
      <w:r>
        <w:rPr>
          <w:sz w:val="24"/>
        </w:rPr>
        <w:t>the capital expenditure that it is satisfied reasonably reflects the </w:t>
      </w:r>
      <w:r>
        <w:rPr>
          <w:i/>
          <w:sz w:val="24"/>
        </w:rPr>
        <w:t>capital expenditure criteria</w:t>
      </w:r>
      <w:r>
        <w:rPr>
          <w:sz w:val="24"/>
        </w:rPr>
        <w:t>, taking into account the </w:t>
      </w:r>
      <w:r>
        <w:rPr>
          <w:i/>
          <w:sz w:val="24"/>
        </w:rPr>
        <w:t>capital </w:t>
      </w:r>
      <w:r>
        <w:rPr>
          <w:i/>
          <w:sz w:val="24"/>
        </w:rPr>
        <w:t>expenditure factors</w:t>
      </w:r>
      <w:r>
        <w:rPr>
          <w:sz w:val="24"/>
        </w:rPr>
        <w:t>, in the context of each </w:t>
      </w:r>
      <w:r>
        <w:rPr>
          <w:i/>
          <w:sz w:val="24"/>
        </w:rPr>
        <w:t>contingent project </w:t>
      </w:r>
      <w:r>
        <w:rPr>
          <w:spacing w:val="-6"/>
          <w:sz w:val="24"/>
        </w:rPr>
        <w:t>as </w:t>
      </w:r>
      <w:r>
        <w:rPr>
          <w:sz w:val="24"/>
        </w:rPr>
        <w:t>described in the current </w:t>
      </w:r>
      <w:r>
        <w:rPr>
          <w:i/>
          <w:sz w:val="24"/>
        </w:rPr>
        <w:t>regulatory</w:t>
      </w:r>
      <w:r>
        <w:rPr>
          <w:i/>
          <w:spacing w:val="-1"/>
          <w:sz w:val="24"/>
        </w:rPr>
        <w:t> </w:t>
      </w:r>
      <w:r>
        <w:rPr>
          <w:i/>
          <w:sz w:val="24"/>
        </w:rPr>
        <w:t>proposal</w:t>
      </w:r>
      <w:r>
        <w:rPr>
          <w:sz w:val="24"/>
        </w:rPr>
        <w:t>;</w:t>
      </w:r>
    </w:p>
    <w:p>
      <w:pPr>
        <w:pStyle w:val="ListParagraph"/>
        <w:numPr>
          <w:ilvl w:val="0"/>
          <w:numId w:val="439"/>
        </w:numPr>
        <w:tabs>
          <w:tab w:pos="2486" w:val="left" w:leader="none"/>
        </w:tabs>
        <w:spacing w:line="240" w:lineRule="auto" w:before="120" w:after="0"/>
        <w:ind w:left="2486" w:right="415" w:hanging="567"/>
        <w:jc w:val="both"/>
        <w:rPr>
          <w:sz w:val="24"/>
        </w:rPr>
      </w:pPr>
      <w:r>
        <w:rPr>
          <w:sz w:val="24"/>
        </w:rPr>
        <w:t>the </w:t>
      </w:r>
      <w:r>
        <w:rPr>
          <w:i/>
          <w:sz w:val="24"/>
        </w:rPr>
        <w:t>trigger events </w:t>
      </w:r>
      <w:r>
        <w:rPr>
          <w:sz w:val="24"/>
        </w:rPr>
        <w:t>in relation to each </w:t>
      </w:r>
      <w:r>
        <w:rPr>
          <w:i/>
          <w:sz w:val="24"/>
        </w:rPr>
        <w:t>contingent project </w:t>
      </w:r>
      <w:r>
        <w:rPr>
          <w:sz w:val="24"/>
        </w:rPr>
        <w:t>(in which case the decision must clearly specify those </w:t>
      </w:r>
      <w:r>
        <w:rPr>
          <w:i/>
          <w:sz w:val="24"/>
        </w:rPr>
        <w:t>trigger</w:t>
      </w:r>
      <w:r>
        <w:rPr>
          <w:i/>
          <w:spacing w:val="-4"/>
          <w:sz w:val="24"/>
        </w:rPr>
        <w:t> </w:t>
      </w:r>
      <w:r>
        <w:rPr>
          <w:i/>
          <w:sz w:val="24"/>
        </w:rPr>
        <w:t>events</w:t>
      </w:r>
      <w:r>
        <w:rPr>
          <w:sz w:val="24"/>
        </w:rPr>
        <w:t>);</w:t>
      </w:r>
    </w:p>
    <w:p>
      <w:pPr>
        <w:pStyle w:val="ListParagraph"/>
        <w:numPr>
          <w:ilvl w:val="0"/>
          <w:numId w:val="439"/>
        </w:numPr>
        <w:tabs>
          <w:tab w:pos="2487" w:val="left" w:leader="none"/>
        </w:tabs>
        <w:spacing w:line="240" w:lineRule="auto" w:before="120" w:after="0"/>
        <w:ind w:left="2486" w:right="415" w:hanging="567"/>
        <w:jc w:val="both"/>
        <w:rPr>
          <w:sz w:val="24"/>
        </w:rPr>
      </w:pPr>
      <w:r>
        <w:rPr>
          <w:sz w:val="24"/>
        </w:rPr>
        <w:t>if the </w:t>
      </w:r>
      <w:r>
        <w:rPr>
          <w:i/>
          <w:sz w:val="24"/>
        </w:rPr>
        <w:t>AER </w:t>
      </w:r>
      <w:r>
        <w:rPr>
          <w:sz w:val="24"/>
        </w:rPr>
        <w:t>determines that such a </w:t>
      </w:r>
      <w:r>
        <w:rPr>
          <w:i/>
          <w:sz w:val="24"/>
        </w:rPr>
        <w:t>proposed contingent project </w:t>
      </w:r>
      <w:r>
        <w:rPr>
          <w:sz w:val="24"/>
        </w:rPr>
        <w:t>is not a </w:t>
      </w:r>
      <w:r>
        <w:rPr>
          <w:i/>
          <w:sz w:val="24"/>
        </w:rPr>
        <w:t>contingent project </w:t>
      </w:r>
      <w:r>
        <w:rPr>
          <w:sz w:val="24"/>
        </w:rPr>
        <w:t>for the purposes of the distribution determination, its reasons for that conclusion, having regard to the requirements of clause 6.6A.1(b);</w:t>
      </w:r>
      <w:r>
        <w:rPr>
          <w:spacing w:val="-1"/>
          <w:sz w:val="24"/>
        </w:rPr>
        <w:t> </w:t>
      </w:r>
      <w:r>
        <w:rPr>
          <w:sz w:val="24"/>
        </w:rPr>
        <w:t>and</w:t>
      </w:r>
    </w:p>
    <w:p>
      <w:pPr>
        <w:pStyle w:val="ListParagraph"/>
        <w:numPr>
          <w:ilvl w:val="0"/>
          <w:numId w:val="439"/>
        </w:numPr>
        <w:tabs>
          <w:tab w:pos="2486" w:val="left" w:leader="none"/>
        </w:tabs>
        <w:spacing w:line="240" w:lineRule="auto" w:before="120" w:after="0"/>
        <w:ind w:left="2486" w:right="415" w:hanging="567"/>
        <w:jc w:val="both"/>
        <w:rPr>
          <w:sz w:val="24"/>
        </w:rPr>
      </w:pPr>
      <w:r>
        <w:rPr>
          <w:sz w:val="24"/>
        </w:rPr>
        <w:t>to grant or reject a request for an </w:t>
      </w:r>
      <w:r>
        <w:rPr>
          <w:i/>
          <w:sz w:val="24"/>
        </w:rPr>
        <w:t>asset exemption </w:t>
      </w:r>
      <w:r>
        <w:rPr>
          <w:sz w:val="24"/>
        </w:rPr>
        <w:t>under clause 6.4B.1(a)(2) in respect of a </w:t>
      </w:r>
      <w:r>
        <w:rPr>
          <w:i/>
          <w:sz w:val="24"/>
        </w:rPr>
        <w:t>proposed contingent</w:t>
      </w:r>
      <w:r>
        <w:rPr>
          <w:i/>
          <w:spacing w:val="-2"/>
          <w:sz w:val="24"/>
        </w:rPr>
        <w:t> </w:t>
      </w:r>
      <w:r>
        <w:rPr>
          <w:i/>
          <w:sz w:val="24"/>
        </w:rPr>
        <w:t>project</w:t>
      </w:r>
      <w:r>
        <w:rPr>
          <w:sz w:val="24"/>
        </w:rPr>
        <w:t>;</w:t>
      </w:r>
    </w:p>
    <w:p>
      <w:pPr>
        <w:pStyle w:val="ListParagraph"/>
        <w:numPr>
          <w:ilvl w:val="3"/>
          <w:numId w:val="437"/>
        </w:numPr>
        <w:tabs>
          <w:tab w:pos="1919" w:val="left" w:leader="none"/>
        </w:tabs>
        <w:spacing w:line="240" w:lineRule="auto" w:before="120" w:after="0"/>
        <w:ind w:left="1918" w:right="0" w:hanging="567"/>
        <w:jc w:val="both"/>
        <w:rPr>
          <w:sz w:val="24"/>
        </w:rPr>
      </w:pPr>
      <w:r>
        <w:rPr>
          <w:sz w:val="24"/>
        </w:rPr>
        <w:t>a</w:t>
      </w:r>
      <w:r>
        <w:rPr>
          <w:spacing w:val="42"/>
          <w:sz w:val="24"/>
        </w:rPr>
        <w:t> </w:t>
      </w:r>
      <w:r>
        <w:rPr>
          <w:sz w:val="24"/>
        </w:rPr>
        <w:t>decision</w:t>
      </w:r>
      <w:r>
        <w:rPr>
          <w:spacing w:val="42"/>
          <w:sz w:val="24"/>
        </w:rPr>
        <w:t> </w:t>
      </w:r>
      <w:r>
        <w:rPr>
          <w:sz w:val="24"/>
        </w:rPr>
        <w:t>on</w:t>
      </w:r>
      <w:r>
        <w:rPr>
          <w:spacing w:val="42"/>
          <w:sz w:val="24"/>
        </w:rPr>
        <w:t> </w:t>
      </w:r>
      <w:r>
        <w:rPr>
          <w:sz w:val="24"/>
        </w:rPr>
        <w:t>the</w:t>
      </w:r>
      <w:r>
        <w:rPr>
          <w:spacing w:val="42"/>
          <w:sz w:val="24"/>
        </w:rPr>
        <w:t> </w:t>
      </w:r>
      <w:r>
        <w:rPr>
          <w:i/>
          <w:sz w:val="24"/>
        </w:rPr>
        <w:t>allowed</w:t>
      </w:r>
      <w:r>
        <w:rPr>
          <w:i/>
          <w:spacing w:val="42"/>
          <w:sz w:val="24"/>
        </w:rPr>
        <w:t> </w:t>
      </w:r>
      <w:r>
        <w:rPr>
          <w:i/>
          <w:sz w:val="24"/>
        </w:rPr>
        <w:t>rate</w:t>
      </w:r>
      <w:r>
        <w:rPr>
          <w:i/>
          <w:spacing w:val="42"/>
          <w:sz w:val="24"/>
        </w:rPr>
        <w:t> </w:t>
      </w:r>
      <w:r>
        <w:rPr>
          <w:i/>
          <w:sz w:val="24"/>
        </w:rPr>
        <w:t>of</w:t>
      </w:r>
      <w:r>
        <w:rPr>
          <w:i/>
          <w:spacing w:val="42"/>
          <w:sz w:val="24"/>
        </w:rPr>
        <w:t> </w:t>
      </w:r>
      <w:r>
        <w:rPr>
          <w:i/>
          <w:sz w:val="24"/>
        </w:rPr>
        <w:t>return</w:t>
      </w:r>
      <w:r>
        <w:rPr>
          <w:i/>
          <w:spacing w:val="42"/>
          <w:sz w:val="24"/>
        </w:rPr>
        <w:t> </w:t>
      </w:r>
      <w:r>
        <w:rPr>
          <w:sz w:val="24"/>
        </w:rPr>
        <w:t>for</w:t>
      </w:r>
      <w:r>
        <w:rPr>
          <w:spacing w:val="42"/>
          <w:sz w:val="24"/>
        </w:rPr>
        <w:t> </w:t>
      </w:r>
      <w:r>
        <w:rPr>
          <w:sz w:val="24"/>
        </w:rPr>
        <w:t>each</w:t>
      </w:r>
      <w:r>
        <w:rPr>
          <w:spacing w:val="42"/>
          <w:sz w:val="24"/>
        </w:rPr>
        <w:t> </w:t>
      </w:r>
      <w:r>
        <w:rPr>
          <w:i/>
          <w:sz w:val="24"/>
        </w:rPr>
        <w:t>regulatory</w:t>
      </w:r>
      <w:r>
        <w:rPr>
          <w:i/>
          <w:spacing w:val="42"/>
          <w:sz w:val="24"/>
        </w:rPr>
        <w:t> </w:t>
      </w:r>
      <w:r>
        <w:rPr>
          <w:i/>
          <w:sz w:val="24"/>
        </w:rPr>
        <w:t>year</w:t>
      </w:r>
      <w:r>
        <w:rPr>
          <w:i/>
          <w:spacing w:val="42"/>
          <w:sz w:val="24"/>
        </w:rPr>
        <w:t> </w:t>
      </w:r>
      <w:r>
        <w:rPr>
          <w:sz w:val="24"/>
        </w:rPr>
        <w:t>of</w:t>
      </w:r>
      <w:r>
        <w:rPr>
          <w:spacing w:val="42"/>
          <w:sz w:val="24"/>
        </w:rPr>
        <w:t> </w:t>
      </w:r>
      <w:r>
        <w:rPr>
          <w:sz w:val="24"/>
        </w:rPr>
        <w:t>the</w:t>
      </w:r>
    </w:p>
    <w:p>
      <w:pPr>
        <w:spacing w:before="0"/>
        <w:ind w:left="1919" w:right="0" w:firstLine="0"/>
        <w:jc w:val="both"/>
        <w:rPr>
          <w:sz w:val="24"/>
        </w:rPr>
      </w:pPr>
      <w:r>
        <w:rPr>
          <w:i/>
          <w:sz w:val="24"/>
        </w:rPr>
        <w:t>regulatory control period</w:t>
      </w:r>
      <w:r>
        <w:rPr>
          <w:sz w:val="24"/>
        </w:rPr>
        <w:t>;</w:t>
      </w:r>
    </w:p>
    <w:p>
      <w:pPr>
        <w:spacing w:before="120"/>
        <w:ind w:left="1352" w:right="0" w:firstLine="0"/>
        <w:jc w:val="both"/>
        <w:rPr>
          <w:sz w:val="24"/>
        </w:rPr>
      </w:pPr>
      <w:r>
        <w:rPr>
          <w:sz w:val="24"/>
        </w:rPr>
        <w:t>(5A) a decision on the </w:t>
      </w:r>
      <w:r>
        <w:rPr>
          <w:i/>
          <w:sz w:val="24"/>
        </w:rPr>
        <w:t>allowed imputation credits </w:t>
      </w:r>
      <w:r>
        <w:rPr>
          <w:sz w:val="24"/>
        </w:rPr>
        <w:t>for each </w:t>
      </w:r>
      <w:r>
        <w:rPr>
          <w:i/>
          <w:sz w:val="24"/>
        </w:rPr>
        <w:t>regulatory year </w:t>
      </w:r>
      <w:r>
        <w:rPr>
          <w:sz w:val="24"/>
        </w:rPr>
        <w:t>of the</w:t>
      </w:r>
    </w:p>
    <w:p>
      <w:pPr>
        <w:spacing w:before="0"/>
        <w:ind w:left="1919" w:right="0" w:firstLine="0"/>
        <w:jc w:val="both"/>
        <w:rPr>
          <w:sz w:val="24"/>
        </w:rPr>
      </w:pPr>
      <w:r>
        <w:rPr>
          <w:i/>
          <w:sz w:val="24"/>
        </w:rPr>
        <w:t>regulatory control period</w:t>
      </w:r>
      <w:r>
        <w:rPr>
          <w:sz w:val="24"/>
        </w:rPr>
        <w:t>;</w:t>
      </w:r>
    </w:p>
    <w:p>
      <w:pPr>
        <w:pStyle w:val="ListParagraph"/>
        <w:numPr>
          <w:ilvl w:val="3"/>
          <w:numId w:val="437"/>
        </w:numPr>
        <w:tabs>
          <w:tab w:pos="1919" w:val="left" w:leader="none"/>
        </w:tabs>
        <w:spacing w:line="240" w:lineRule="auto" w:before="120" w:after="0"/>
        <w:ind w:left="1918" w:right="0" w:hanging="567"/>
        <w:jc w:val="both"/>
        <w:rPr>
          <w:sz w:val="24"/>
        </w:rPr>
      </w:pPr>
      <w:r>
        <w:rPr>
          <w:sz w:val="24"/>
        </w:rPr>
        <w:t>a decision on the regulatory asset base as at the commencement of</w:t>
      </w:r>
      <w:r>
        <w:rPr>
          <w:spacing w:val="-16"/>
          <w:sz w:val="24"/>
        </w:rPr>
        <w:t> </w:t>
      </w:r>
      <w:r>
        <w:rPr>
          <w:sz w:val="24"/>
        </w:rPr>
        <w:t>the</w:t>
      </w:r>
    </w:p>
    <w:p>
      <w:pPr>
        <w:spacing w:before="0"/>
        <w:ind w:left="1919" w:right="0" w:firstLine="0"/>
        <w:jc w:val="both"/>
        <w:rPr>
          <w:sz w:val="24"/>
        </w:rPr>
      </w:pPr>
      <w:r>
        <w:rPr>
          <w:i/>
          <w:sz w:val="24"/>
        </w:rPr>
        <w:t>regulatory control period </w:t>
      </w:r>
      <w:r>
        <w:rPr>
          <w:sz w:val="24"/>
        </w:rPr>
        <w:t>in accordance with clause 6.5.1 and schedule 6.2;</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the estimated cost of corporate income tax to the </w:t>
      </w:r>
      <w:r>
        <w:rPr>
          <w:i/>
          <w:sz w:val="24"/>
        </w:rPr>
        <w:t>Distribution </w:t>
      </w:r>
      <w:r>
        <w:rPr>
          <w:i/>
          <w:sz w:val="24"/>
        </w:rPr>
        <w:t>Network Service Provider </w:t>
      </w:r>
      <w:r>
        <w:rPr>
          <w:sz w:val="24"/>
        </w:rPr>
        <w:t>for each </w:t>
      </w:r>
      <w:r>
        <w:rPr>
          <w:i/>
          <w:sz w:val="24"/>
        </w:rPr>
        <w:t>regulatory year </w:t>
      </w:r>
      <w:r>
        <w:rPr>
          <w:sz w:val="24"/>
        </w:rPr>
        <w:t>of the </w:t>
      </w:r>
      <w:r>
        <w:rPr>
          <w:i/>
          <w:sz w:val="24"/>
        </w:rPr>
        <w:t>regulatory control </w:t>
      </w:r>
      <w:r>
        <w:rPr>
          <w:i/>
          <w:sz w:val="24"/>
        </w:rPr>
        <w:t>period </w:t>
      </w:r>
      <w:r>
        <w:rPr>
          <w:sz w:val="24"/>
        </w:rPr>
        <w:t>in accordance with clause</w:t>
      </w:r>
      <w:r>
        <w:rPr>
          <w:spacing w:val="-2"/>
          <w:sz w:val="24"/>
        </w:rPr>
        <w:t> </w:t>
      </w:r>
      <w:r>
        <w:rPr>
          <w:sz w:val="24"/>
        </w:rPr>
        <w:t>6.5.3;</w:t>
      </w:r>
    </w:p>
    <w:p>
      <w:pPr>
        <w:pStyle w:val="ListParagraph"/>
        <w:numPr>
          <w:ilvl w:val="3"/>
          <w:numId w:val="437"/>
        </w:numPr>
        <w:tabs>
          <w:tab w:pos="1919" w:val="left" w:leader="none"/>
        </w:tabs>
        <w:spacing w:line="240" w:lineRule="auto" w:before="120" w:after="0"/>
        <w:ind w:left="1919" w:right="416" w:hanging="567"/>
        <w:jc w:val="both"/>
        <w:rPr>
          <w:sz w:val="24"/>
        </w:rPr>
      </w:pPr>
      <w:r>
        <w:rPr>
          <w:sz w:val="24"/>
        </w:rPr>
        <w:t>a decision on whether or not to approve the depreciation schedules submitted by the </w:t>
      </w:r>
      <w:r>
        <w:rPr>
          <w:i/>
          <w:sz w:val="24"/>
        </w:rPr>
        <w:t>Distribution Network Service Provider </w:t>
      </w:r>
      <w:r>
        <w:rPr>
          <w:sz w:val="24"/>
        </w:rPr>
        <w:t>and, if the </w:t>
      </w:r>
      <w:r>
        <w:rPr>
          <w:i/>
          <w:sz w:val="24"/>
        </w:rPr>
        <w:t>AER </w:t>
      </w:r>
      <w:r>
        <w:rPr>
          <w:sz w:val="24"/>
        </w:rPr>
        <w:t>decides against approving them, a decision determining </w:t>
      </w:r>
      <w:r>
        <w:rPr>
          <w:spacing w:val="-3"/>
          <w:sz w:val="24"/>
        </w:rPr>
        <w:t>depreciation</w:t>
      </w:r>
      <w:r>
        <w:rPr>
          <w:spacing w:val="54"/>
          <w:sz w:val="24"/>
        </w:rPr>
        <w:t> </w:t>
      </w:r>
      <w:r>
        <w:rPr>
          <w:sz w:val="24"/>
        </w:rPr>
        <w:t>schedules in accordance with clause</w:t>
      </w:r>
      <w:r>
        <w:rPr>
          <w:spacing w:val="-3"/>
          <w:sz w:val="24"/>
        </w:rPr>
        <w:t> </w:t>
      </w:r>
      <w:r>
        <w:rPr>
          <w:sz w:val="24"/>
        </w:rPr>
        <w:t>6.5.5(b);</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how any applicable </w:t>
      </w:r>
      <w:r>
        <w:rPr>
          <w:i/>
          <w:sz w:val="24"/>
        </w:rPr>
        <w:t>efficiency benefit sharing scheme</w:t>
      </w:r>
      <w:r>
        <w:rPr>
          <w:sz w:val="24"/>
        </w:rPr>
        <w:t>, </w:t>
      </w:r>
      <w:r>
        <w:rPr>
          <w:i/>
          <w:sz w:val="24"/>
        </w:rPr>
        <w:t>capital </w:t>
      </w:r>
      <w:r>
        <w:rPr>
          <w:i/>
          <w:sz w:val="24"/>
        </w:rPr>
        <w:t>expenditure sharing scheme</w:t>
      </w:r>
      <w:r>
        <w:rPr>
          <w:sz w:val="24"/>
        </w:rPr>
        <w:t>, </w:t>
      </w:r>
      <w:r>
        <w:rPr>
          <w:i/>
          <w:sz w:val="24"/>
        </w:rPr>
        <w:t>service target performance incentive scheme</w:t>
      </w:r>
      <w:r>
        <w:rPr>
          <w:sz w:val="24"/>
        </w:rPr>
        <w:t>, </w:t>
      </w:r>
      <w:r>
        <w:rPr>
          <w:i/>
          <w:sz w:val="24"/>
        </w:rPr>
        <w:t>demand management incentive scheme</w:t>
      </w:r>
      <w:r>
        <w:rPr>
          <w:sz w:val="24"/>
        </w:rPr>
        <w:t>, </w:t>
      </w:r>
      <w:r>
        <w:rPr>
          <w:i/>
          <w:sz w:val="24"/>
        </w:rPr>
        <w:t>demand management innovation </w:t>
      </w:r>
      <w:r>
        <w:rPr>
          <w:i/>
          <w:sz w:val="24"/>
        </w:rPr>
        <w:t>allowance mechanism </w:t>
      </w:r>
      <w:r>
        <w:rPr>
          <w:sz w:val="24"/>
        </w:rPr>
        <w:t>or </w:t>
      </w:r>
      <w:r>
        <w:rPr>
          <w:i/>
          <w:sz w:val="24"/>
        </w:rPr>
        <w:t>small-scale incentive scheme </w:t>
      </w:r>
      <w:r>
        <w:rPr>
          <w:sz w:val="24"/>
        </w:rPr>
        <w:t>is to apply to the </w:t>
      </w:r>
      <w:r>
        <w:rPr>
          <w:i/>
          <w:sz w:val="24"/>
        </w:rPr>
        <w:t>Distribution Network Service</w:t>
      </w:r>
      <w:r>
        <w:rPr>
          <w:i/>
          <w:spacing w:val="-2"/>
          <w:sz w:val="24"/>
        </w:rPr>
        <w:t> </w:t>
      </w:r>
      <w:r>
        <w:rPr>
          <w:i/>
          <w:sz w:val="24"/>
        </w:rPr>
        <w:t>Provider</w:t>
      </w:r>
      <w:r>
        <w:rPr>
          <w:sz w:val="24"/>
        </w:rPr>
        <w:t>;</w:t>
      </w:r>
    </w:p>
    <w:p>
      <w:pPr>
        <w:pStyle w:val="ListParagraph"/>
        <w:numPr>
          <w:ilvl w:val="3"/>
          <w:numId w:val="437"/>
        </w:numPr>
        <w:tabs>
          <w:tab w:pos="1919" w:val="left" w:leader="none"/>
        </w:tabs>
        <w:spacing w:line="240" w:lineRule="auto" w:before="120" w:after="0"/>
        <w:ind w:left="1919" w:right="416" w:hanging="567"/>
        <w:jc w:val="both"/>
        <w:rPr>
          <w:sz w:val="24"/>
        </w:rPr>
      </w:pPr>
      <w:r>
        <w:rPr>
          <w:sz w:val="24"/>
        </w:rPr>
        <w:t>a decision in which the </w:t>
      </w:r>
      <w:r>
        <w:rPr>
          <w:i/>
          <w:sz w:val="24"/>
        </w:rPr>
        <w:t>AER </w:t>
      </w:r>
      <w:r>
        <w:rPr>
          <w:sz w:val="24"/>
        </w:rPr>
        <w:t>decides other appropriate amounts, values or inputs;</w:t>
      </w:r>
    </w:p>
    <w:p>
      <w:pPr>
        <w:pStyle w:val="ListParagraph"/>
        <w:numPr>
          <w:ilvl w:val="3"/>
          <w:numId w:val="437"/>
        </w:numPr>
        <w:tabs>
          <w:tab w:pos="1919" w:val="left" w:leader="none"/>
        </w:tabs>
        <w:spacing w:line="240" w:lineRule="auto" w:before="120" w:after="0"/>
        <w:ind w:left="1919" w:right="416" w:hanging="567"/>
        <w:jc w:val="both"/>
        <w:rPr>
          <w:sz w:val="24"/>
        </w:rPr>
      </w:pPr>
      <w:r>
        <w:rPr>
          <w:sz w:val="24"/>
        </w:rPr>
        <w:t>a decision on the form of the control mechanisms (including the X factor) for </w:t>
      </w:r>
      <w:r>
        <w:rPr>
          <w:i/>
          <w:sz w:val="24"/>
        </w:rPr>
        <w:t>standard control services </w:t>
      </w:r>
      <w:r>
        <w:rPr>
          <w:sz w:val="24"/>
        </w:rPr>
        <w:t>(to be in accordance with the relevant </w:t>
      </w:r>
      <w:r>
        <w:rPr>
          <w:i/>
          <w:sz w:val="24"/>
        </w:rPr>
        <w:t>framework and approach paper</w:t>
      </w:r>
      <w:r>
        <w:rPr>
          <w:sz w:val="24"/>
        </w:rPr>
        <w:t>) and on the formulae that give effect </w:t>
      </w:r>
      <w:r>
        <w:rPr>
          <w:spacing w:val="-8"/>
          <w:sz w:val="24"/>
        </w:rPr>
        <w:t>to </w:t>
      </w:r>
      <w:r>
        <w:rPr>
          <w:sz w:val="24"/>
        </w:rPr>
        <w:t>those control</w:t>
      </w:r>
      <w:r>
        <w:rPr>
          <w:spacing w:val="-1"/>
          <w:sz w:val="24"/>
        </w:rPr>
        <w:t> </w:t>
      </w:r>
      <w:r>
        <w:rPr>
          <w:sz w:val="24"/>
        </w:rPr>
        <w:t>mechanisms;</w:t>
      </w:r>
    </w:p>
    <w:p>
      <w:pPr>
        <w:pStyle w:val="ListParagraph"/>
        <w:numPr>
          <w:ilvl w:val="3"/>
          <w:numId w:val="437"/>
        </w:numPr>
        <w:tabs>
          <w:tab w:pos="1919" w:val="left" w:leader="none"/>
        </w:tabs>
        <w:spacing w:line="240" w:lineRule="auto" w:before="120" w:after="0"/>
        <w:ind w:left="1919" w:right="414" w:hanging="567"/>
        <w:jc w:val="both"/>
        <w:rPr>
          <w:sz w:val="24"/>
        </w:rPr>
      </w:pPr>
      <w:r>
        <w:rPr>
          <w:sz w:val="24"/>
        </w:rPr>
        <w:t>a decision on the form of the control mechanisms for </w:t>
      </w:r>
      <w:r>
        <w:rPr>
          <w:i/>
          <w:sz w:val="24"/>
        </w:rPr>
        <w:t>alternative control </w:t>
      </w:r>
      <w:r>
        <w:rPr>
          <w:i/>
          <w:sz w:val="24"/>
        </w:rPr>
        <w:t>services </w:t>
      </w:r>
      <w:r>
        <w:rPr>
          <w:sz w:val="24"/>
        </w:rPr>
        <w:t>(to be in accordance with the relevant </w:t>
      </w:r>
      <w:r>
        <w:rPr>
          <w:i/>
          <w:sz w:val="24"/>
        </w:rPr>
        <w:t>framework and approach </w:t>
      </w:r>
      <w:r>
        <w:rPr>
          <w:i/>
          <w:sz w:val="24"/>
        </w:rPr>
        <w:t>paper</w:t>
      </w:r>
      <w:r>
        <w:rPr>
          <w:sz w:val="24"/>
        </w:rPr>
        <w:t>) and on the formulae that give effect to those control</w:t>
      </w:r>
      <w:r>
        <w:rPr>
          <w:spacing w:val="-5"/>
          <w:sz w:val="24"/>
        </w:rPr>
        <w:t> </w:t>
      </w:r>
      <w:r>
        <w:rPr>
          <w:sz w:val="24"/>
        </w:rPr>
        <w:t>mechanisms;</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how compliance with a relevant control mechanism is to be demonstrated;</w:t>
      </w:r>
    </w:p>
    <w:p>
      <w:pPr>
        <w:pStyle w:val="ListParagraph"/>
        <w:numPr>
          <w:ilvl w:val="3"/>
          <w:numId w:val="437"/>
        </w:numPr>
        <w:tabs>
          <w:tab w:pos="1919" w:val="left" w:leader="none"/>
        </w:tabs>
        <w:spacing w:line="240" w:lineRule="auto" w:before="120" w:after="0"/>
        <w:ind w:left="1918" w:right="0" w:hanging="567"/>
        <w:jc w:val="both"/>
        <w:rPr>
          <w:sz w:val="24"/>
        </w:rPr>
      </w:pPr>
      <w:r>
        <w:rPr>
          <w:sz w:val="24"/>
        </w:rPr>
        <w:t>a</w:t>
      </w:r>
      <w:r>
        <w:rPr>
          <w:spacing w:val="34"/>
          <w:sz w:val="24"/>
        </w:rPr>
        <w:t> </w:t>
      </w:r>
      <w:r>
        <w:rPr>
          <w:sz w:val="24"/>
        </w:rPr>
        <w:t>decision</w:t>
      </w:r>
      <w:r>
        <w:rPr>
          <w:spacing w:val="35"/>
          <w:sz w:val="24"/>
        </w:rPr>
        <w:t> </w:t>
      </w:r>
      <w:r>
        <w:rPr>
          <w:sz w:val="24"/>
        </w:rPr>
        <w:t>on</w:t>
      </w:r>
      <w:r>
        <w:rPr>
          <w:spacing w:val="35"/>
          <w:sz w:val="24"/>
        </w:rPr>
        <w:t> </w:t>
      </w:r>
      <w:r>
        <w:rPr>
          <w:sz w:val="24"/>
        </w:rPr>
        <w:t>the</w:t>
      </w:r>
      <w:r>
        <w:rPr>
          <w:spacing w:val="35"/>
          <w:sz w:val="24"/>
        </w:rPr>
        <w:t> </w:t>
      </w:r>
      <w:r>
        <w:rPr>
          <w:sz w:val="24"/>
        </w:rPr>
        <w:t>additional</w:t>
      </w:r>
      <w:r>
        <w:rPr>
          <w:spacing w:val="34"/>
          <w:sz w:val="24"/>
        </w:rPr>
        <w:t> </w:t>
      </w:r>
      <w:r>
        <w:rPr>
          <w:i/>
          <w:sz w:val="24"/>
        </w:rPr>
        <w:t>pass</w:t>
      </w:r>
      <w:r>
        <w:rPr>
          <w:i/>
          <w:spacing w:val="35"/>
          <w:sz w:val="24"/>
        </w:rPr>
        <w:t> </w:t>
      </w:r>
      <w:r>
        <w:rPr>
          <w:i/>
          <w:sz w:val="24"/>
        </w:rPr>
        <w:t>through</w:t>
      </w:r>
      <w:r>
        <w:rPr>
          <w:i/>
          <w:spacing w:val="35"/>
          <w:sz w:val="24"/>
        </w:rPr>
        <w:t> </w:t>
      </w:r>
      <w:r>
        <w:rPr>
          <w:i/>
          <w:sz w:val="24"/>
        </w:rPr>
        <w:t>events</w:t>
      </w:r>
      <w:r>
        <w:rPr>
          <w:i/>
          <w:spacing w:val="35"/>
          <w:sz w:val="24"/>
        </w:rPr>
        <w:t> </w:t>
      </w:r>
      <w:r>
        <w:rPr>
          <w:sz w:val="24"/>
        </w:rPr>
        <w:t>that</w:t>
      </w:r>
      <w:r>
        <w:rPr>
          <w:spacing w:val="34"/>
          <w:sz w:val="24"/>
        </w:rPr>
        <w:t> </w:t>
      </w:r>
      <w:r>
        <w:rPr>
          <w:sz w:val="24"/>
        </w:rPr>
        <w:t>are</w:t>
      </w:r>
      <w:r>
        <w:rPr>
          <w:spacing w:val="35"/>
          <w:sz w:val="24"/>
        </w:rPr>
        <w:t> </w:t>
      </w:r>
      <w:r>
        <w:rPr>
          <w:sz w:val="24"/>
        </w:rPr>
        <w:t>to</w:t>
      </w:r>
      <w:r>
        <w:rPr>
          <w:spacing w:val="35"/>
          <w:sz w:val="24"/>
        </w:rPr>
        <w:t> </w:t>
      </w:r>
      <w:r>
        <w:rPr>
          <w:sz w:val="24"/>
        </w:rPr>
        <w:t>apply</w:t>
      </w:r>
      <w:r>
        <w:rPr>
          <w:spacing w:val="35"/>
          <w:sz w:val="24"/>
        </w:rPr>
        <w:t> </w:t>
      </w:r>
      <w:r>
        <w:rPr>
          <w:sz w:val="24"/>
        </w:rPr>
        <w:t>for</w:t>
      </w:r>
      <w:r>
        <w:rPr>
          <w:spacing w:val="35"/>
          <w:sz w:val="24"/>
        </w:rPr>
        <w:t> </w:t>
      </w:r>
      <w:r>
        <w:rPr>
          <w:sz w:val="24"/>
        </w:rPr>
        <w:t>the</w:t>
      </w:r>
    </w:p>
    <w:p>
      <w:pPr>
        <w:spacing w:before="0"/>
        <w:ind w:left="1919" w:right="0" w:firstLine="0"/>
        <w:jc w:val="both"/>
        <w:rPr>
          <w:sz w:val="24"/>
        </w:rPr>
      </w:pPr>
      <w:r>
        <w:rPr>
          <w:i/>
          <w:sz w:val="24"/>
        </w:rPr>
        <w:t>regulatory control period </w:t>
      </w:r>
      <w:r>
        <w:rPr>
          <w:sz w:val="24"/>
        </w:rPr>
        <w:t>in accordance with clause 6.5.10;</w:t>
      </w:r>
    </w:p>
    <w:p>
      <w:pPr>
        <w:spacing w:after="0"/>
        <w:jc w:val="both"/>
        <w:rPr>
          <w:sz w:val="24"/>
        </w:rPr>
        <w:sectPr>
          <w:pgSz w:w="11910" w:h="16840"/>
          <w:pgMar w:header="686" w:footer="637" w:top="1320" w:bottom="820" w:left="1200" w:right="1000"/>
        </w:sectPr>
      </w:pPr>
    </w:p>
    <w:p>
      <w:pPr>
        <w:spacing w:before="83"/>
        <w:ind w:left="1919" w:right="415" w:hanging="567"/>
        <w:jc w:val="both"/>
        <w:rPr>
          <w:sz w:val="24"/>
        </w:rPr>
      </w:pPr>
      <w:r>
        <w:rPr>
          <w:sz w:val="24"/>
        </w:rPr>
        <w:t>(14A)   a decision on the </w:t>
      </w:r>
      <w:r>
        <w:rPr>
          <w:i/>
          <w:sz w:val="24"/>
        </w:rPr>
        <w:t>Distribution Network Service Provider's </w:t>
      </w:r>
      <w:r>
        <w:rPr>
          <w:sz w:val="24"/>
        </w:rPr>
        <w:t>proposed    </w:t>
      </w:r>
      <w:r>
        <w:rPr>
          <w:i/>
          <w:sz w:val="24"/>
        </w:rPr>
        <w:t>tariff structure statement</w:t>
      </w:r>
      <w:r>
        <w:rPr>
          <w:sz w:val="24"/>
        </w:rPr>
        <w:t>, in which the </w:t>
      </w:r>
      <w:r>
        <w:rPr>
          <w:i/>
          <w:sz w:val="24"/>
        </w:rPr>
        <w:t>AER </w:t>
      </w:r>
      <w:r>
        <w:rPr>
          <w:sz w:val="24"/>
        </w:rPr>
        <w:t>either approves or refuses to approve that</w:t>
      </w:r>
      <w:r>
        <w:rPr>
          <w:spacing w:val="-1"/>
          <w:sz w:val="24"/>
        </w:rPr>
        <w:t> </w:t>
      </w:r>
      <w:r>
        <w:rPr>
          <w:sz w:val="24"/>
        </w:rPr>
        <w:t>statement;</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the </w:t>
      </w:r>
      <w:r>
        <w:rPr>
          <w:i/>
          <w:sz w:val="24"/>
        </w:rPr>
        <w:t>negotiating framework </w:t>
      </w:r>
      <w:r>
        <w:rPr>
          <w:sz w:val="24"/>
        </w:rPr>
        <w:t>that is to apply to the </w:t>
      </w:r>
      <w:r>
        <w:rPr>
          <w:i/>
          <w:sz w:val="24"/>
        </w:rPr>
        <w:t>Distribution </w:t>
      </w:r>
      <w:r>
        <w:rPr>
          <w:i/>
          <w:sz w:val="24"/>
        </w:rPr>
        <w:t>Network Service Provider </w:t>
      </w:r>
      <w:r>
        <w:rPr>
          <w:sz w:val="24"/>
        </w:rPr>
        <w:t>for the </w:t>
      </w:r>
      <w:r>
        <w:rPr>
          <w:i/>
          <w:sz w:val="24"/>
        </w:rPr>
        <w:t>regulatory control period </w:t>
      </w:r>
      <w:r>
        <w:rPr>
          <w:sz w:val="24"/>
        </w:rPr>
        <w:t>(which may be the </w:t>
      </w:r>
      <w:r>
        <w:rPr>
          <w:i/>
          <w:sz w:val="24"/>
        </w:rPr>
        <w:t>negotiating framework </w:t>
      </w:r>
      <w:r>
        <w:rPr>
          <w:sz w:val="24"/>
        </w:rPr>
        <w:t>as proposed by the </w:t>
      </w:r>
      <w:r>
        <w:rPr>
          <w:i/>
          <w:sz w:val="24"/>
        </w:rPr>
        <w:t>Distribution Network Service </w:t>
      </w:r>
      <w:r>
        <w:rPr>
          <w:i/>
          <w:sz w:val="24"/>
        </w:rPr>
        <w:t>Provider</w:t>
      </w:r>
      <w:r>
        <w:rPr>
          <w:sz w:val="24"/>
        </w:rPr>
        <w:t>, some variant of it, or a framework substituted by the</w:t>
      </w:r>
      <w:r>
        <w:rPr>
          <w:spacing w:val="-11"/>
          <w:sz w:val="24"/>
        </w:rPr>
        <w:t> </w:t>
      </w:r>
      <w:r>
        <w:rPr>
          <w:i/>
          <w:sz w:val="24"/>
        </w:rPr>
        <w:t>AER</w:t>
      </w:r>
      <w:r>
        <w:rPr>
          <w:sz w:val="24"/>
        </w:rPr>
        <w:t>);</w:t>
      </w:r>
    </w:p>
    <w:p>
      <w:pPr>
        <w:pStyle w:val="ListParagraph"/>
        <w:numPr>
          <w:ilvl w:val="3"/>
          <w:numId w:val="437"/>
        </w:numPr>
        <w:tabs>
          <w:tab w:pos="1919" w:val="left" w:leader="none"/>
        </w:tabs>
        <w:spacing w:line="240" w:lineRule="auto" w:before="120" w:after="0"/>
        <w:ind w:left="1919" w:right="416" w:hanging="567"/>
        <w:jc w:val="both"/>
        <w:rPr>
          <w:sz w:val="24"/>
        </w:rPr>
      </w:pPr>
      <w:r>
        <w:rPr>
          <w:sz w:val="24"/>
        </w:rPr>
        <w:t>a decision in which the </w:t>
      </w:r>
      <w:r>
        <w:rPr>
          <w:i/>
          <w:sz w:val="24"/>
        </w:rPr>
        <w:t>AER </w:t>
      </w:r>
      <w:r>
        <w:rPr>
          <w:sz w:val="24"/>
        </w:rPr>
        <w:t>decides the </w:t>
      </w:r>
      <w:r>
        <w:rPr>
          <w:i/>
          <w:sz w:val="24"/>
        </w:rPr>
        <w:t>Negotiated Distribution Service </w:t>
      </w:r>
      <w:r>
        <w:rPr>
          <w:i/>
          <w:sz w:val="24"/>
        </w:rPr>
        <w:t>Criteria </w:t>
      </w:r>
      <w:r>
        <w:rPr>
          <w:sz w:val="24"/>
        </w:rPr>
        <w:t>for the </w:t>
      </w:r>
      <w:r>
        <w:rPr>
          <w:i/>
          <w:sz w:val="24"/>
        </w:rPr>
        <w:t>Distribution Network Service</w:t>
      </w:r>
      <w:r>
        <w:rPr>
          <w:i/>
          <w:spacing w:val="-3"/>
          <w:sz w:val="24"/>
        </w:rPr>
        <w:t> </w:t>
      </w:r>
      <w:r>
        <w:rPr>
          <w:i/>
          <w:sz w:val="24"/>
        </w:rPr>
        <w:t>Provider</w:t>
      </w:r>
      <w:r>
        <w:rPr>
          <w:sz w:val="24"/>
        </w:rPr>
        <w:t>;</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the policies and procedures for assigning </w:t>
      </w:r>
      <w:r>
        <w:rPr>
          <w:i/>
          <w:sz w:val="24"/>
        </w:rPr>
        <w:t>retail customers </w:t>
      </w:r>
      <w:r>
        <w:rPr>
          <w:sz w:val="24"/>
        </w:rPr>
        <w:t>to </w:t>
      </w:r>
      <w:r>
        <w:rPr>
          <w:i/>
          <w:sz w:val="24"/>
        </w:rPr>
        <w:t>tariff classes</w:t>
      </w:r>
      <w:r>
        <w:rPr>
          <w:sz w:val="24"/>
        </w:rPr>
        <w:t>, or reassigning </w:t>
      </w:r>
      <w:r>
        <w:rPr>
          <w:i/>
          <w:sz w:val="24"/>
        </w:rPr>
        <w:t>retail customers </w:t>
      </w:r>
      <w:r>
        <w:rPr>
          <w:sz w:val="24"/>
        </w:rPr>
        <w:t>from one </w:t>
      </w:r>
      <w:r>
        <w:rPr>
          <w:i/>
          <w:sz w:val="24"/>
        </w:rPr>
        <w:t>tariff class </w:t>
      </w:r>
      <w:r>
        <w:rPr>
          <w:sz w:val="24"/>
        </w:rPr>
        <w:t>to another (including any applicable</w:t>
      </w:r>
      <w:r>
        <w:rPr>
          <w:spacing w:val="-1"/>
          <w:sz w:val="24"/>
        </w:rPr>
        <w:t> </w:t>
      </w:r>
      <w:r>
        <w:rPr>
          <w:sz w:val="24"/>
        </w:rPr>
        <w:t>restrictions);</w:t>
      </w:r>
    </w:p>
    <w:p>
      <w:pPr>
        <w:spacing w:before="120"/>
        <w:ind w:left="1352" w:right="0" w:firstLine="0"/>
        <w:jc w:val="both"/>
        <w:rPr>
          <w:sz w:val="24"/>
        </w:rPr>
      </w:pPr>
      <w:r>
        <w:rPr>
          <w:sz w:val="24"/>
        </w:rPr>
        <w:t>(17A) a decision on the approval of the proposed </w:t>
      </w:r>
      <w:r>
        <w:rPr>
          <w:i/>
          <w:sz w:val="24"/>
        </w:rPr>
        <w:t>pricing methodology </w:t>
      </w:r>
      <w:r>
        <w:rPr>
          <w:sz w:val="24"/>
        </w:rPr>
        <w:t>for</w:t>
      </w:r>
    </w:p>
    <w:p>
      <w:pPr>
        <w:spacing w:before="0"/>
        <w:ind w:left="1919" w:right="0" w:firstLine="0"/>
        <w:jc w:val="both"/>
        <w:rPr>
          <w:sz w:val="24"/>
        </w:rPr>
      </w:pPr>
      <w:r>
        <w:rPr>
          <w:i/>
          <w:sz w:val="24"/>
        </w:rPr>
        <w:t>transmission standard control services </w:t>
      </w:r>
      <w:r>
        <w:rPr>
          <w:sz w:val="24"/>
        </w:rPr>
        <w:t>(if rule 6.26 applies);</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whether depreciation for establishing the regulatory asset base as at the commencement of the following </w:t>
      </w:r>
      <w:r>
        <w:rPr>
          <w:i/>
          <w:sz w:val="24"/>
        </w:rPr>
        <w:t>regulatory control period </w:t>
      </w:r>
      <w:r>
        <w:rPr>
          <w:sz w:val="24"/>
        </w:rPr>
        <w:t>is to be based on actual or forecast capital</w:t>
      </w:r>
      <w:r>
        <w:rPr>
          <w:spacing w:val="-1"/>
          <w:sz w:val="24"/>
        </w:rPr>
        <w:t> </w:t>
      </w:r>
      <w:r>
        <w:rPr>
          <w:sz w:val="24"/>
        </w:rPr>
        <w:t>expenditure;</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See clause S6.2.2B.</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how the </w:t>
      </w:r>
      <w:r>
        <w:rPr>
          <w:i/>
          <w:sz w:val="24"/>
        </w:rPr>
        <w:t>Distribution Network Service Provider </w:t>
      </w:r>
      <w:r>
        <w:rPr>
          <w:sz w:val="24"/>
        </w:rPr>
        <w:t>is to report to the </w:t>
      </w:r>
      <w:r>
        <w:rPr>
          <w:i/>
          <w:sz w:val="24"/>
        </w:rPr>
        <w:t>AER </w:t>
      </w:r>
      <w:r>
        <w:rPr>
          <w:sz w:val="24"/>
        </w:rPr>
        <w:t>on its recovery of </w:t>
      </w:r>
      <w:r>
        <w:rPr>
          <w:i/>
          <w:sz w:val="24"/>
        </w:rPr>
        <w:t>designated pricing proposal charges </w:t>
      </w:r>
      <w:r>
        <w:rPr>
          <w:sz w:val="24"/>
        </w:rPr>
        <w:t>for each </w:t>
      </w:r>
      <w:r>
        <w:rPr>
          <w:i/>
          <w:sz w:val="24"/>
        </w:rPr>
        <w:t>regulatory year </w:t>
      </w:r>
      <w:r>
        <w:rPr>
          <w:sz w:val="24"/>
        </w:rPr>
        <w:t>of the </w:t>
      </w:r>
      <w:r>
        <w:rPr>
          <w:i/>
          <w:sz w:val="24"/>
        </w:rPr>
        <w:t>regulatory control period </w:t>
      </w:r>
      <w:r>
        <w:rPr>
          <w:sz w:val="24"/>
        </w:rPr>
        <w:t>and on the adjustments to be made to subsequent </w:t>
      </w:r>
      <w:r>
        <w:rPr>
          <w:i/>
          <w:sz w:val="24"/>
        </w:rPr>
        <w:t>pricing proposals </w:t>
      </w:r>
      <w:r>
        <w:rPr>
          <w:sz w:val="24"/>
        </w:rPr>
        <w:t>to account for over or under recovery of those</w:t>
      </w:r>
      <w:r>
        <w:rPr>
          <w:spacing w:val="-2"/>
          <w:sz w:val="24"/>
        </w:rPr>
        <w:t> </w:t>
      </w:r>
      <w:r>
        <w:rPr>
          <w:sz w:val="24"/>
        </w:rPr>
        <w:t>charges;</w:t>
      </w:r>
    </w:p>
    <w:p>
      <w:pPr>
        <w:pStyle w:val="ListParagraph"/>
        <w:numPr>
          <w:ilvl w:val="3"/>
          <w:numId w:val="437"/>
        </w:numPr>
        <w:tabs>
          <w:tab w:pos="1919" w:val="left" w:leader="none"/>
        </w:tabs>
        <w:spacing w:line="240" w:lineRule="auto" w:before="120" w:after="0"/>
        <w:ind w:left="1919" w:right="415" w:hanging="567"/>
        <w:jc w:val="both"/>
        <w:rPr>
          <w:sz w:val="24"/>
        </w:rPr>
      </w:pPr>
      <w:r>
        <w:rPr>
          <w:sz w:val="24"/>
        </w:rPr>
        <w:t>a decision on how the </w:t>
      </w:r>
      <w:r>
        <w:rPr>
          <w:i/>
          <w:sz w:val="24"/>
        </w:rPr>
        <w:t>Distribution Network Service Provider </w:t>
      </w:r>
      <w:r>
        <w:rPr>
          <w:sz w:val="24"/>
        </w:rPr>
        <w:t>is to report to the </w:t>
      </w:r>
      <w:r>
        <w:rPr>
          <w:i/>
          <w:sz w:val="24"/>
        </w:rPr>
        <w:t>AER </w:t>
      </w:r>
      <w:r>
        <w:rPr>
          <w:sz w:val="24"/>
        </w:rPr>
        <w:t>on its recovery of </w:t>
      </w:r>
      <w:r>
        <w:rPr>
          <w:i/>
          <w:sz w:val="24"/>
        </w:rPr>
        <w:t>jurisdictional scheme amounts </w:t>
      </w:r>
      <w:r>
        <w:rPr>
          <w:sz w:val="24"/>
        </w:rPr>
        <w:t>for each </w:t>
      </w:r>
      <w:r>
        <w:rPr>
          <w:i/>
          <w:sz w:val="24"/>
        </w:rPr>
        <w:t>regulatory year </w:t>
      </w:r>
      <w:r>
        <w:rPr>
          <w:sz w:val="24"/>
        </w:rPr>
        <w:t>of the </w:t>
      </w:r>
      <w:r>
        <w:rPr>
          <w:i/>
          <w:sz w:val="24"/>
        </w:rPr>
        <w:t>regulatory control period </w:t>
      </w:r>
      <w:r>
        <w:rPr>
          <w:sz w:val="24"/>
        </w:rPr>
        <w:t>and on the adjustments to be made to subsequent </w:t>
      </w:r>
      <w:r>
        <w:rPr>
          <w:i/>
          <w:sz w:val="24"/>
        </w:rPr>
        <w:t>pricing proposals </w:t>
      </w:r>
      <w:r>
        <w:rPr>
          <w:sz w:val="24"/>
        </w:rPr>
        <w:t>to account for over or under recovery of those amounts. A decision under this subparagraph (20) must be made in relation to each </w:t>
      </w:r>
      <w:r>
        <w:rPr>
          <w:i/>
          <w:sz w:val="24"/>
        </w:rPr>
        <w:t>jurisdictional scheme </w:t>
      </w:r>
      <w:r>
        <w:rPr>
          <w:sz w:val="24"/>
        </w:rPr>
        <w:t>under which the </w:t>
      </w:r>
      <w:r>
        <w:rPr>
          <w:i/>
          <w:sz w:val="24"/>
        </w:rPr>
        <w:t>Distribution </w:t>
      </w:r>
      <w:r>
        <w:rPr>
          <w:i/>
          <w:sz w:val="24"/>
        </w:rPr>
        <w:t>Network Service Provider </w:t>
      </w:r>
      <w:r>
        <w:rPr>
          <w:sz w:val="24"/>
        </w:rPr>
        <w:t>has </w:t>
      </w:r>
      <w:r>
        <w:rPr>
          <w:i/>
          <w:sz w:val="24"/>
        </w:rPr>
        <w:t>jurisdictional scheme obligations </w:t>
      </w:r>
      <w:r>
        <w:rPr>
          <w:sz w:val="24"/>
        </w:rPr>
        <w:t>at the time the decision is made;</w:t>
      </w:r>
      <w:r>
        <w:rPr>
          <w:spacing w:val="-1"/>
          <w:sz w:val="24"/>
        </w:rPr>
        <w:t> </w:t>
      </w:r>
      <w:r>
        <w:rPr>
          <w:sz w:val="24"/>
        </w:rPr>
        <w:t>and</w:t>
      </w:r>
    </w:p>
    <w:p>
      <w:pPr>
        <w:pStyle w:val="ListParagraph"/>
        <w:numPr>
          <w:ilvl w:val="3"/>
          <w:numId w:val="437"/>
        </w:numPr>
        <w:tabs>
          <w:tab w:pos="1919" w:val="left" w:leader="none"/>
        </w:tabs>
        <w:spacing w:line="240" w:lineRule="auto" w:before="120" w:after="0"/>
        <w:ind w:left="1919" w:right="414" w:hanging="567"/>
        <w:jc w:val="both"/>
        <w:rPr>
          <w:sz w:val="24"/>
        </w:rPr>
      </w:pPr>
      <w:r>
        <w:rPr>
          <w:sz w:val="24"/>
        </w:rPr>
        <w:t>a decision on the </w:t>
      </w:r>
      <w:r>
        <w:rPr>
          <w:i/>
          <w:sz w:val="24"/>
        </w:rPr>
        <w:t>connection policy </w:t>
      </w:r>
      <w:r>
        <w:rPr>
          <w:sz w:val="24"/>
        </w:rPr>
        <w:t>that is to apply to the </w:t>
      </w:r>
      <w:r>
        <w:rPr>
          <w:i/>
          <w:sz w:val="24"/>
        </w:rPr>
        <w:t>Distribution </w:t>
      </w:r>
      <w:r>
        <w:rPr>
          <w:i/>
          <w:sz w:val="24"/>
        </w:rPr>
        <w:t>Network Service Provider </w:t>
      </w:r>
      <w:r>
        <w:rPr>
          <w:sz w:val="24"/>
        </w:rPr>
        <w:t>for the </w:t>
      </w:r>
      <w:r>
        <w:rPr>
          <w:i/>
          <w:sz w:val="24"/>
        </w:rPr>
        <w:t>regulatory control period </w:t>
      </w:r>
      <w:r>
        <w:rPr>
          <w:sz w:val="24"/>
        </w:rPr>
        <w:t>(which may be the </w:t>
      </w:r>
      <w:r>
        <w:rPr>
          <w:i/>
          <w:sz w:val="24"/>
        </w:rPr>
        <w:t>connection policy </w:t>
      </w:r>
      <w:r>
        <w:rPr>
          <w:sz w:val="24"/>
        </w:rPr>
        <w:t>as proposed by the </w:t>
      </w:r>
      <w:r>
        <w:rPr>
          <w:i/>
          <w:sz w:val="24"/>
        </w:rPr>
        <w:t>Distribution Network Service </w:t>
      </w:r>
      <w:r>
        <w:rPr>
          <w:i/>
          <w:sz w:val="24"/>
        </w:rPr>
        <w:t>Provider</w:t>
      </w:r>
      <w:r>
        <w:rPr>
          <w:sz w:val="24"/>
        </w:rPr>
        <w:t>, some variant of it, or a policy substituted by the</w:t>
      </w:r>
      <w:r>
        <w:rPr>
          <w:spacing w:val="-8"/>
          <w:sz w:val="24"/>
        </w:rPr>
        <w:t> </w:t>
      </w:r>
      <w:r>
        <w:rPr>
          <w:i/>
          <w:sz w:val="24"/>
        </w:rPr>
        <w:t>AER</w:t>
      </w:r>
      <w:r>
        <w:rPr>
          <w:sz w:val="24"/>
        </w:rPr>
        <w:t>).</w:t>
      </w:r>
    </w:p>
    <w:p>
      <w:pPr>
        <w:pStyle w:val="BodyText"/>
        <w:spacing w:before="10"/>
        <w:ind w:firstLine="0"/>
        <w:jc w:val="left"/>
        <w:rPr>
          <w:sz w:val="20"/>
        </w:rPr>
      </w:pPr>
    </w:p>
    <w:p>
      <w:pPr>
        <w:pStyle w:val="Heading4"/>
        <w:numPr>
          <w:ilvl w:val="2"/>
          <w:numId w:val="437"/>
        </w:numPr>
        <w:tabs>
          <w:tab w:pos="1351" w:val="left" w:leader="none"/>
          <w:tab w:pos="1352" w:val="left" w:leader="none"/>
        </w:tabs>
        <w:spacing w:line="240" w:lineRule="auto" w:before="0" w:after="0"/>
        <w:ind w:left="1351" w:right="0" w:hanging="1134"/>
        <w:jc w:val="left"/>
      </w:pPr>
      <w:bookmarkStart w:name="6.12.2 Reasons for decisions" w:id="1494"/>
      <w:bookmarkEnd w:id="1494"/>
      <w:r>
        <w:rPr>
          <w:b w:val="0"/>
        </w:rPr>
      </w:r>
      <w:bookmarkStart w:name="_bookmark599" w:id="1495"/>
      <w:bookmarkEnd w:id="1495"/>
      <w:r>
        <w:rPr>
          <w:b w:val="0"/>
        </w:rPr>
      </w:r>
      <w:bookmarkStart w:name="_bookmark599" w:id="1496"/>
      <w:bookmarkEnd w:id="1496"/>
      <w:r>
        <w:rPr/>
        <w:t>Rea</w:t>
      </w:r>
      <w:r>
        <w:rPr/>
        <w:t>sons for</w:t>
      </w:r>
      <w:r>
        <w:rPr>
          <w:spacing w:val="-1"/>
        </w:rPr>
        <w:t> </w:t>
      </w:r>
      <w:r>
        <w:rPr/>
        <w:t>decisions</w:t>
      </w:r>
    </w:p>
    <w:p>
      <w:pPr>
        <w:pStyle w:val="ListParagraph"/>
        <w:numPr>
          <w:ilvl w:val="0"/>
          <w:numId w:val="440"/>
        </w:numPr>
        <w:tabs>
          <w:tab w:pos="1919" w:val="left" w:leader="none"/>
        </w:tabs>
        <w:spacing w:line="240" w:lineRule="auto" w:before="120" w:after="0"/>
        <w:ind w:left="1919" w:right="416" w:hanging="567"/>
        <w:jc w:val="both"/>
        <w:rPr>
          <w:sz w:val="24"/>
        </w:rPr>
      </w:pPr>
      <w:r>
        <w:rPr>
          <w:sz w:val="24"/>
        </w:rPr>
        <w:t>The reasons given by the </w:t>
      </w:r>
      <w:r>
        <w:rPr>
          <w:i/>
          <w:sz w:val="24"/>
        </w:rPr>
        <w:t>AER </w:t>
      </w:r>
      <w:r>
        <w:rPr>
          <w:sz w:val="24"/>
        </w:rPr>
        <w:t>for a draft distribution determination under rule 6.10 or a final distribution determination under rule 6.11 must set </w:t>
      </w:r>
      <w:r>
        <w:rPr>
          <w:spacing w:val="-4"/>
          <w:sz w:val="24"/>
        </w:rPr>
        <w:t>out</w:t>
      </w:r>
      <w:r>
        <w:rPr>
          <w:spacing w:val="52"/>
          <w:sz w:val="24"/>
        </w:rPr>
        <w:t> </w:t>
      </w:r>
      <w:r>
        <w:rPr>
          <w:sz w:val="24"/>
        </w:rPr>
        <w:t>the basis and rationale of the determination,</w:t>
      </w:r>
      <w:r>
        <w:rPr>
          <w:spacing w:val="-2"/>
          <w:sz w:val="24"/>
        </w:rPr>
        <w:t> </w:t>
      </w:r>
      <w:r>
        <w:rPr>
          <w:sz w:val="24"/>
        </w:rPr>
        <w:t>including:</w:t>
      </w:r>
    </w:p>
    <w:p>
      <w:pPr>
        <w:pStyle w:val="ListParagraph"/>
        <w:numPr>
          <w:ilvl w:val="1"/>
          <w:numId w:val="440"/>
        </w:numPr>
        <w:tabs>
          <w:tab w:pos="2486" w:val="left" w:leader="none"/>
        </w:tabs>
        <w:spacing w:line="240" w:lineRule="auto" w:before="120" w:after="0"/>
        <w:ind w:left="2486" w:right="415" w:hanging="567"/>
        <w:jc w:val="both"/>
        <w:rPr>
          <w:sz w:val="24"/>
        </w:rPr>
      </w:pPr>
      <w:r>
        <w:rPr>
          <w:sz w:val="24"/>
        </w:rPr>
        <w:t>details of the qualitative and quantitative methods applied in any calculations and formulae made or used by the</w:t>
      </w:r>
      <w:r>
        <w:rPr>
          <w:spacing w:val="-1"/>
          <w:sz w:val="24"/>
        </w:rPr>
        <w:t> </w:t>
      </w:r>
      <w:r>
        <w:rPr>
          <w:i/>
          <w:sz w:val="24"/>
        </w:rPr>
        <w:t>AER</w:t>
      </w:r>
      <w:r>
        <w:rPr>
          <w:sz w:val="24"/>
        </w:rPr>
        <w:t>;</w:t>
      </w:r>
    </w:p>
    <w:p>
      <w:pPr>
        <w:pStyle w:val="ListParagraph"/>
        <w:numPr>
          <w:ilvl w:val="1"/>
          <w:numId w:val="440"/>
        </w:numPr>
        <w:tabs>
          <w:tab w:pos="2486" w:val="left" w:leader="none"/>
        </w:tabs>
        <w:spacing w:line="240" w:lineRule="auto" w:before="120" w:after="0"/>
        <w:ind w:left="2486" w:right="414" w:hanging="567"/>
        <w:jc w:val="both"/>
        <w:rPr>
          <w:sz w:val="24"/>
        </w:rPr>
      </w:pPr>
      <w:r>
        <w:rPr>
          <w:sz w:val="24"/>
        </w:rPr>
        <w:t>the values adopted by the </w:t>
      </w:r>
      <w:r>
        <w:rPr>
          <w:i/>
          <w:sz w:val="24"/>
        </w:rPr>
        <w:t>AER </w:t>
      </w:r>
      <w:r>
        <w:rPr>
          <w:sz w:val="24"/>
        </w:rPr>
        <w:t>for each of the input variables in any calculations and formulae,</w:t>
      </w:r>
      <w:r>
        <w:rPr>
          <w:spacing w:val="-1"/>
          <w:sz w:val="24"/>
        </w:rPr>
        <w:t> </w:t>
      </w:r>
      <w:r>
        <w:rPr>
          <w:sz w:val="24"/>
        </w:rPr>
        <w:t>including:</w:t>
      </w:r>
    </w:p>
    <w:p>
      <w:pPr>
        <w:spacing w:after="0" w:line="240" w:lineRule="auto"/>
        <w:jc w:val="both"/>
        <w:rPr>
          <w:sz w:val="24"/>
        </w:rPr>
        <w:sectPr>
          <w:pgSz w:w="11910" w:h="16840"/>
          <w:pgMar w:header="686" w:footer="637" w:top="1320" w:bottom="820" w:left="1200" w:right="1000"/>
        </w:sectPr>
      </w:pPr>
    </w:p>
    <w:p>
      <w:pPr>
        <w:pStyle w:val="ListParagraph"/>
        <w:numPr>
          <w:ilvl w:val="2"/>
          <w:numId w:val="440"/>
        </w:numPr>
        <w:tabs>
          <w:tab w:pos="3053" w:val="left" w:leader="none"/>
        </w:tabs>
        <w:spacing w:line="240" w:lineRule="auto" w:before="83" w:after="0"/>
        <w:ind w:left="3053" w:right="415" w:hanging="567"/>
        <w:jc w:val="both"/>
        <w:rPr>
          <w:sz w:val="24"/>
        </w:rPr>
      </w:pPr>
      <w:r>
        <w:rPr>
          <w:sz w:val="24"/>
        </w:rPr>
        <w:t>whether those values have been taken or derived from the </w:t>
      </w:r>
      <w:r>
        <w:rPr>
          <w:i/>
          <w:sz w:val="24"/>
        </w:rPr>
        <w:t>Distribution Network Service Provider's </w:t>
      </w:r>
      <w:r>
        <w:rPr>
          <w:sz w:val="24"/>
        </w:rPr>
        <w:t>current building block proposal; and</w:t>
      </w:r>
    </w:p>
    <w:p>
      <w:pPr>
        <w:pStyle w:val="ListParagraph"/>
        <w:numPr>
          <w:ilvl w:val="2"/>
          <w:numId w:val="440"/>
        </w:numPr>
        <w:tabs>
          <w:tab w:pos="3054" w:val="left" w:leader="none"/>
        </w:tabs>
        <w:spacing w:line="240" w:lineRule="auto" w:before="120" w:after="0"/>
        <w:ind w:left="3053" w:right="0" w:hanging="568"/>
        <w:jc w:val="both"/>
        <w:rPr>
          <w:sz w:val="24"/>
        </w:rPr>
      </w:pPr>
      <w:r>
        <w:rPr>
          <w:sz w:val="24"/>
        </w:rPr>
        <w:t>if not, the rationale for the adoption of those</w:t>
      </w:r>
      <w:r>
        <w:rPr>
          <w:spacing w:val="-1"/>
          <w:sz w:val="24"/>
        </w:rPr>
        <w:t> </w:t>
      </w:r>
      <w:r>
        <w:rPr>
          <w:sz w:val="24"/>
        </w:rPr>
        <w:t>values;</w:t>
      </w:r>
    </w:p>
    <w:p>
      <w:pPr>
        <w:pStyle w:val="ListParagraph"/>
        <w:numPr>
          <w:ilvl w:val="1"/>
          <w:numId w:val="440"/>
        </w:numPr>
        <w:tabs>
          <w:tab w:pos="2486" w:val="left" w:leader="none"/>
        </w:tabs>
        <w:spacing w:line="240" w:lineRule="auto" w:before="120" w:after="0"/>
        <w:ind w:left="2486" w:right="415" w:hanging="567"/>
        <w:jc w:val="both"/>
        <w:rPr>
          <w:sz w:val="24"/>
        </w:rPr>
      </w:pPr>
      <w:r>
        <w:rPr>
          <w:sz w:val="24"/>
        </w:rPr>
        <w:t>details of any assumptions made by the </w:t>
      </w:r>
      <w:r>
        <w:rPr>
          <w:i/>
          <w:sz w:val="24"/>
        </w:rPr>
        <w:t>AER </w:t>
      </w:r>
      <w:r>
        <w:rPr>
          <w:sz w:val="24"/>
        </w:rPr>
        <w:t>in undertaking </w:t>
      </w:r>
      <w:r>
        <w:rPr>
          <w:spacing w:val="-4"/>
          <w:sz w:val="24"/>
        </w:rPr>
        <w:t>any </w:t>
      </w:r>
      <w:r>
        <w:rPr>
          <w:sz w:val="24"/>
        </w:rPr>
        <w:t>material qualitative and quantitative analyses;</w:t>
      </w:r>
      <w:r>
        <w:rPr>
          <w:spacing w:val="-1"/>
          <w:sz w:val="24"/>
        </w:rPr>
        <w:t> </w:t>
      </w:r>
      <w:r>
        <w:rPr>
          <w:sz w:val="24"/>
        </w:rPr>
        <w:t>and</w:t>
      </w:r>
    </w:p>
    <w:p>
      <w:pPr>
        <w:pStyle w:val="ListParagraph"/>
        <w:numPr>
          <w:ilvl w:val="1"/>
          <w:numId w:val="440"/>
        </w:numPr>
        <w:tabs>
          <w:tab w:pos="2486" w:val="left" w:leader="none"/>
        </w:tabs>
        <w:spacing w:line="240" w:lineRule="auto" w:before="120" w:after="0"/>
        <w:ind w:left="2486" w:right="414" w:hanging="567"/>
        <w:jc w:val="both"/>
        <w:rPr>
          <w:sz w:val="24"/>
        </w:rPr>
      </w:pPr>
      <w:r>
        <w:rPr>
          <w:sz w:val="24"/>
        </w:rPr>
        <w:t>reasons for the making of any decisions, the giving or withholding of any approvals, and the exercise of any discretions as referred to in this Chapter 6, for the purposes of the determination, such reasons being expressed by reference to the requirements relating to such decisions, approvals or discretions as are contained in this</w:t>
      </w:r>
      <w:r>
        <w:rPr>
          <w:spacing w:val="-2"/>
          <w:sz w:val="24"/>
        </w:rPr>
        <w:t> </w:t>
      </w:r>
      <w:r>
        <w:rPr>
          <w:sz w:val="24"/>
        </w:rPr>
        <w:t>Chapter.</w:t>
      </w:r>
    </w:p>
    <w:p>
      <w:pPr>
        <w:pStyle w:val="ListParagraph"/>
        <w:numPr>
          <w:ilvl w:val="0"/>
          <w:numId w:val="44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include in its reasons for a draft distribution determination under rule 6.10 or a final distribution determination under rule 6.11 a statement, with supporting reasons, as to the extent to which the roll forward of the regulatory asset base as determined under clause 6.12.1(6) contributes to the achievement of the </w:t>
      </w:r>
      <w:r>
        <w:rPr>
          <w:i/>
          <w:sz w:val="24"/>
        </w:rPr>
        <w:t>capital expenditure incentive</w:t>
      </w:r>
      <w:r>
        <w:rPr>
          <w:i/>
          <w:spacing w:val="-4"/>
          <w:sz w:val="24"/>
        </w:rPr>
        <w:t> </w:t>
      </w:r>
      <w:r>
        <w:rPr>
          <w:i/>
          <w:sz w:val="24"/>
        </w:rPr>
        <w:t>objective</w:t>
      </w:r>
      <w:r>
        <w:rPr>
          <w:sz w:val="24"/>
        </w:rPr>
        <w:t>.</w:t>
      </w:r>
    </w:p>
    <w:p>
      <w:pPr>
        <w:pStyle w:val="BodyText"/>
        <w:spacing w:before="10"/>
        <w:ind w:firstLine="0"/>
        <w:jc w:val="left"/>
        <w:rPr>
          <w:sz w:val="20"/>
        </w:rPr>
      </w:pPr>
    </w:p>
    <w:p>
      <w:pPr>
        <w:pStyle w:val="Heading4"/>
        <w:numPr>
          <w:ilvl w:val="2"/>
          <w:numId w:val="437"/>
        </w:numPr>
        <w:tabs>
          <w:tab w:pos="1351" w:val="left" w:leader="none"/>
          <w:tab w:pos="1352" w:val="left" w:leader="none"/>
        </w:tabs>
        <w:spacing w:line="240" w:lineRule="auto" w:before="0" w:after="0"/>
        <w:ind w:left="1351" w:right="0" w:hanging="1134"/>
        <w:jc w:val="left"/>
      </w:pPr>
      <w:bookmarkStart w:name="6.12.3 Extent of AER's discretion in mak" w:id="1497"/>
      <w:bookmarkEnd w:id="1497"/>
      <w:r>
        <w:rPr>
          <w:b w:val="0"/>
        </w:rPr>
      </w:r>
      <w:bookmarkStart w:name="_bookmark600" w:id="1498"/>
      <w:bookmarkEnd w:id="1498"/>
      <w:r>
        <w:rPr>
          <w:b w:val="0"/>
        </w:rPr>
      </w:r>
      <w:bookmarkStart w:name="_bookmark600" w:id="1499"/>
      <w:bookmarkEnd w:id="1499"/>
      <w:r>
        <w:rPr/>
        <w:t>Extent</w:t>
      </w:r>
      <w:r>
        <w:rPr/>
        <w:t> of AER's discretion in making distribution</w:t>
      </w:r>
      <w:r>
        <w:rPr>
          <w:spacing w:val="-10"/>
        </w:rPr>
        <w:t> </w:t>
      </w:r>
      <w:r>
        <w:rPr/>
        <w:t>determinations</w:t>
      </w:r>
    </w:p>
    <w:p>
      <w:pPr>
        <w:pStyle w:val="ListParagraph"/>
        <w:numPr>
          <w:ilvl w:val="0"/>
          <w:numId w:val="441"/>
        </w:numPr>
        <w:tabs>
          <w:tab w:pos="1919" w:val="left" w:leader="none"/>
        </w:tabs>
        <w:spacing w:line="240" w:lineRule="auto" w:before="120" w:after="0"/>
        <w:ind w:left="1919" w:right="414" w:hanging="567"/>
        <w:jc w:val="both"/>
        <w:rPr>
          <w:sz w:val="24"/>
        </w:rPr>
      </w:pPr>
      <w:r>
        <w:rPr>
          <w:sz w:val="24"/>
        </w:rPr>
        <w:t>Subject to this clause and other provisions of this Chapter 6 explicitly negating or limiting the </w:t>
      </w:r>
      <w:r>
        <w:rPr>
          <w:i/>
          <w:sz w:val="24"/>
        </w:rPr>
        <w:t>AER</w:t>
      </w:r>
      <w:r>
        <w:rPr>
          <w:sz w:val="24"/>
        </w:rPr>
        <w:t>'s discretion, the </w:t>
      </w:r>
      <w:r>
        <w:rPr>
          <w:i/>
          <w:sz w:val="24"/>
        </w:rPr>
        <w:t>AER </w:t>
      </w:r>
      <w:r>
        <w:rPr>
          <w:sz w:val="24"/>
        </w:rPr>
        <w:t>has a discretion to accept or approve, or to refuse to accept or approve, any element</w:t>
      </w:r>
      <w:r>
        <w:rPr>
          <w:spacing w:val="-3"/>
          <w:sz w:val="24"/>
        </w:rPr>
        <w:t> </w:t>
      </w:r>
      <w:r>
        <w:rPr>
          <w:sz w:val="24"/>
        </w:rPr>
        <w:t>of:</w:t>
      </w:r>
    </w:p>
    <w:p>
      <w:pPr>
        <w:pStyle w:val="ListParagraph"/>
        <w:numPr>
          <w:ilvl w:val="1"/>
          <w:numId w:val="441"/>
        </w:numPr>
        <w:tabs>
          <w:tab w:pos="2546" w:val="left" w:leader="none"/>
          <w:tab w:pos="2547" w:val="left" w:leader="none"/>
        </w:tabs>
        <w:spacing w:line="240" w:lineRule="auto" w:before="120" w:after="0"/>
        <w:ind w:left="2546" w:right="0" w:hanging="628"/>
        <w:jc w:val="left"/>
        <w:rPr>
          <w:sz w:val="24"/>
        </w:rPr>
      </w:pPr>
      <w:r>
        <w:rPr>
          <w:sz w:val="24"/>
        </w:rPr>
        <w:t>a </w:t>
      </w:r>
      <w:r>
        <w:rPr>
          <w:i/>
          <w:sz w:val="24"/>
        </w:rPr>
        <w:t>regulatory</w:t>
      </w:r>
      <w:r>
        <w:rPr>
          <w:i/>
          <w:spacing w:val="-3"/>
          <w:sz w:val="24"/>
        </w:rPr>
        <w:t> </w:t>
      </w:r>
      <w:r>
        <w:rPr>
          <w:i/>
          <w:sz w:val="24"/>
        </w:rPr>
        <w:t>proposal</w:t>
      </w:r>
      <w:r>
        <w:rPr>
          <w:sz w:val="24"/>
        </w:rPr>
        <w:t>;</w:t>
      </w:r>
    </w:p>
    <w:p>
      <w:pPr>
        <w:pStyle w:val="ListParagraph"/>
        <w:numPr>
          <w:ilvl w:val="1"/>
          <w:numId w:val="441"/>
        </w:numPr>
        <w:tabs>
          <w:tab w:pos="2485" w:val="left" w:leader="none"/>
          <w:tab w:pos="2486" w:val="left" w:leader="none"/>
        </w:tabs>
        <w:spacing w:line="240" w:lineRule="auto" w:before="120" w:after="0"/>
        <w:ind w:left="2485" w:right="0" w:hanging="567"/>
        <w:jc w:val="left"/>
        <w:rPr>
          <w:sz w:val="24"/>
        </w:rPr>
      </w:pPr>
      <w:r>
        <w:rPr>
          <w:sz w:val="24"/>
        </w:rPr>
        <w:t>proposed </w:t>
      </w:r>
      <w:r>
        <w:rPr>
          <w:i/>
          <w:sz w:val="24"/>
        </w:rPr>
        <w:t>tariff structure statement</w:t>
      </w:r>
      <w:r>
        <w:rPr>
          <w:sz w:val="24"/>
        </w:rPr>
        <w:t>;</w:t>
      </w:r>
      <w:r>
        <w:rPr>
          <w:spacing w:val="-3"/>
          <w:sz w:val="24"/>
        </w:rPr>
        <w:t> </w:t>
      </w:r>
      <w:r>
        <w:rPr>
          <w:sz w:val="24"/>
        </w:rPr>
        <w:t>or</w:t>
      </w:r>
    </w:p>
    <w:p>
      <w:pPr>
        <w:pStyle w:val="ListParagraph"/>
        <w:numPr>
          <w:ilvl w:val="1"/>
          <w:numId w:val="441"/>
        </w:numPr>
        <w:tabs>
          <w:tab w:pos="2485" w:val="left" w:leader="none"/>
          <w:tab w:pos="2486" w:val="left" w:leader="none"/>
        </w:tabs>
        <w:spacing w:line="240" w:lineRule="auto" w:before="120" w:after="0"/>
        <w:ind w:left="2485" w:right="0" w:hanging="567"/>
        <w:jc w:val="left"/>
        <w:rPr>
          <w:sz w:val="24"/>
        </w:rPr>
      </w:pPr>
      <w:r>
        <w:rPr>
          <w:i/>
          <w:sz w:val="24"/>
        </w:rPr>
        <w:t>exemption application </w:t>
      </w:r>
      <w:r>
        <w:rPr>
          <w:sz w:val="24"/>
        </w:rPr>
        <w:t>(if</w:t>
      </w:r>
      <w:r>
        <w:rPr>
          <w:spacing w:val="-1"/>
          <w:sz w:val="24"/>
        </w:rPr>
        <w:t> </w:t>
      </w:r>
      <w:r>
        <w:rPr>
          <w:sz w:val="24"/>
        </w:rPr>
        <w:t>any).</w:t>
      </w:r>
    </w:p>
    <w:p>
      <w:pPr>
        <w:pStyle w:val="ListParagraph"/>
        <w:numPr>
          <w:ilvl w:val="0"/>
          <w:numId w:val="441"/>
        </w:numPr>
        <w:tabs>
          <w:tab w:pos="1919" w:val="left" w:leader="none"/>
        </w:tabs>
        <w:spacing w:line="240" w:lineRule="auto" w:before="120" w:after="0"/>
        <w:ind w:left="1919" w:right="414" w:hanging="567"/>
        <w:jc w:val="both"/>
        <w:rPr>
          <w:sz w:val="24"/>
        </w:rPr>
      </w:pPr>
      <w:r>
        <w:rPr>
          <w:sz w:val="24"/>
        </w:rPr>
        <w:t>The classification of </w:t>
      </w:r>
      <w:r>
        <w:rPr>
          <w:i/>
          <w:sz w:val="24"/>
        </w:rPr>
        <w:t>distribution services </w:t>
      </w:r>
      <w:r>
        <w:rPr>
          <w:sz w:val="24"/>
        </w:rPr>
        <w:t>must be as set out in the relevant </w:t>
      </w:r>
      <w:r>
        <w:rPr>
          <w:i/>
          <w:sz w:val="24"/>
        </w:rPr>
        <w:t>framework and approach paper </w:t>
      </w:r>
      <w:r>
        <w:rPr>
          <w:sz w:val="24"/>
        </w:rPr>
        <w:t>unless the </w:t>
      </w:r>
      <w:r>
        <w:rPr>
          <w:i/>
          <w:sz w:val="24"/>
        </w:rPr>
        <w:t>AER </w:t>
      </w:r>
      <w:r>
        <w:rPr>
          <w:sz w:val="24"/>
        </w:rPr>
        <w:t>considers that a material change in circumstances justify departing from the classification as set out in that</w:t>
      </w:r>
      <w:r>
        <w:rPr>
          <w:spacing w:val="-1"/>
          <w:sz w:val="24"/>
        </w:rPr>
        <w:t> </w:t>
      </w:r>
      <w:r>
        <w:rPr>
          <w:sz w:val="24"/>
        </w:rPr>
        <w:t>paper.</w:t>
      </w:r>
    </w:p>
    <w:p>
      <w:pPr>
        <w:pStyle w:val="ListParagraph"/>
        <w:numPr>
          <w:ilvl w:val="0"/>
          <w:numId w:val="441"/>
        </w:numPr>
        <w:tabs>
          <w:tab w:pos="1919" w:val="left" w:leader="none"/>
        </w:tabs>
        <w:spacing w:line="240" w:lineRule="auto" w:before="120" w:after="0"/>
        <w:ind w:left="1918" w:right="0" w:hanging="567"/>
        <w:jc w:val="both"/>
        <w:rPr>
          <w:sz w:val="24"/>
        </w:rPr>
      </w:pPr>
      <w:r>
        <w:rPr>
          <w:sz w:val="24"/>
        </w:rPr>
        <w:t>The form of the control mechanism must be as set out in the</w:t>
      </w:r>
      <w:r>
        <w:rPr>
          <w:spacing w:val="32"/>
          <w:sz w:val="24"/>
        </w:rPr>
        <w:t> </w:t>
      </w:r>
      <w:r>
        <w:rPr>
          <w:sz w:val="24"/>
        </w:rPr>
        <w:t>relevant</w:t>
      </w:r>
    </w:p>
    <w:p>
      <w:pPr>
        <w:spacing w:before="0"/>
        <w:ind w:left="1919" w:right="0" w:firstLine="0"/>
        <w:jc w:val="both"/>
        <w:rPr>
          <w:sz w:val="24"/>
        </w:rPr>
      </w:pPr>
      <w:r>
        <w:rPr>
          <w:i/>
          <w:sz w:val="24"/>
        </w:rPr>
        <w:t>framework and approach paper </w:t>
      </w:r>
      <w:r>
        <w:rPr>
          <w:sz w:val="24"/>
        </w:rPr>
        <w:t>unless the </w:t>
      </w:r>
      <w:r>
        <w:rPr>
          <w:i/>
          <w:sz w:val="24"/>
        </w:rPr>
        <w:t>AER</w:t>
      </w:r>
      <w:r>
        <w:rPr>
          <w:sz w:val="24"/>
        </w:rPr>
        <w:t>:</w:t>
      </w:r>
    </w:p>
    <w:p>
      <w:pPr>
        <w:pStyle w:val="ListParagraph"/>
        <w:numPr>
          <w:ilvl w:val="1"/>
          <w:numId w:val="441"/>
        </w:numPr>
        <w:tabs>
          <w:tab w:pos="2486" w:val="left" w:leader="none"/>
        </w:tabs>
        <w:spacing w:line="240" w:lineRule="auto" w:before="120" w:after="0"/>
        <w:ind w:left="2486" w:right="416" w:hanging="567"/>
        <w:jc w:val="both"/>
        <w:rPr>
          <w:sz w:val="24"/>
        </w:rPr>
      </w:pPr>
      <w:r>
        <w:rPr>
          <w:sz w:val="24"/>
        </w:rPr>
        <w:t>has departed from the classification of a </w:t>
      </w:r>
      <w:r>
        <w:rPr>
          <w:i/>
          <w:sz w:val="24"/>
        </w:rPr>
        <w:t>distribution service </w:t>
      </w:r>
      <w:r>
        <w:rPr>
          <w:sz w:val="24"/>
        </w:rPr>
        <w:t>as set out in that paper in accordance with paragraph (b);</w:t>
      </w:r>
      <w:r>
        <w:rPr>
          <w:spacing w:val="-3"/>
          <w:sz w:val="24"/>
        </w:rPr>
        <w:t> </w:t>
      </w:r>
      <w:r>
        <w:rPr>
          <w:sz w:val="24"/>
        </w:rPr>
        <w:t>and</w:t>
      </w:r>
    </w:p>
    <w:p>
      <w:pPr>
        <w:pStyle w:val="ListParagraph"/>
        <w:numPr>
          <w:ilvl w:val="1"/>
          <w:numId w:val="441"/>
        </w:numPr>
        <w:tabs>
          <w:tab w:pos="2486" w:val="left" w:leader="none"/>
        </w:tabs>
        <w:spacing w:line="240" w:lineRule="auto" w:before="120" w:after="0"/>
        <w:ind w:left="2486" w:right="415" w:hanging="567"/>
        <w:jc w:val="both"/>
        <w:rPr>
          <w:sz w:val="24"/>
        </w:rPr>
      </w:pPr>
      <w:r>
        <w:rPr>
          <w:sz w:val="24"/>
        </w:rPr>
        <w:t>considers that no form of control mechanism set out in that paper should apply to that </w:t>
      </w:r>
      <w:r>
        <w:rPr>
          <w:i/>
          <w:sz w:val="24"/>
        </w:rPr>
        <w:t>distribution</w:t>
      </w:r>
      <w:r>
        <w:rPr>
          <w:i/>
          <w:spacing w:val="-3"/>
          <w:sz w:val="24"/>
        </w:rPr>
        <w:t> </w:t>
      </w:r>
      <w:r>
        <w:rPr>
          <w:i/>
          <w:sz w:val="24"/>
        </w:rPr>
        <w:t>service</w:t>
      </w:r>
      <w:r>
        <w:rPr>
          <w:sz w:val="24"/>
        </w:rPr>
        <w:t>.</w:t>
      </w:r>
    </w:p>
    <w:p>
      <w:pPr>
        <w:pStyle w:val="BodyText"/>
        <w:ind w:left="1919" w:right="414"/>
      </w:pPr>
      <w:r>
        <w:rPr/>
        <w:t>(c1) The formulae that give effect to the control mechanisms set out in</w:t>
      </w:r>
      <w:r>
        <w:rPr>
          <w:spacing w:val="20"/>
        </w:rPr>
        <w:t> </w:t>
      </w:r>
      <w:r>
        <w:rPr/>
        <w:t>the relevant </w:t>
      </w:r>
      <w:r>
        <w:rPr>
          <w:i/>
        </w:rPr>
        <w:t>framework and approach paper </w:t>
      </w:r>
      <w:r>
        <w:rPr/>
        <w:t>must be as set out in that paper unless the </w:t>
      </w:r>
      <w:r>
        <w:rPr>
          <w:i/>
        </w:rPr>
        <w:t>AER </w:t>
      </w:r>
      <w:r>
        <w:rPr/>
        <w:t>considers that a material change in circumstances justify departing from the formulae as set out in that</w:t>
      </w:r>
      <w:r>
        <w:rPr>
          <w:spacing w:val="-2"/>
        </w:rPr>
        <w:t> </w:t>
      </w:r>
      <w:r>
        <w:rPr/>
        <w:t>paper.</w:t>
      </w:r>
    </w:p>
    <w:p>
      <w:pPr>
        <w:pStyle w:val="ListParagraph"/>
        <w:numPr>
          <w:ilvl w:val="0"/>
          <w:numId w:val="44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approve the </w:t>
      </w:r>
      <w:r>
        <w:rPr>
          <w:i/>
          <w:sz w:val="24"/>
        </w:rPr>
        <w:t>total revenue requirement </w:t>
      </w:r>
      <w:r>
        <w:rPr>
          <w:sz w:val="24"/>
        </w:rPr>
        <w:t>for a </w:t>
      </w:r>
      <w:r>
        <w:rPr>
          <w:i/>
          <w:sz w:val="24"/>
        </w:rPr>
        <w:t>Distribution </w:t>
      </w:r>
      <w:r>
        <w:rPr>
          <w:i/>
          <w:sz w:val="24"/>
        </w:rPr>
        <w:t>Network Service Provider </w:t>
      </w:r>
      <w:r>
        <w:rPr>
          <w:sz w:val="24"/>
        </w:rPr>
        <w:t>for a </w:t>
      </w:r>
      <w:r>
        <w:rPr>
          <w:i/>
          <w:sz w:val="24"/>
        </w:rPr>
        <w:t>regulatory control period</w:t>
      </w:r>
      <w:r>
        <w:rPr>
          <w:sz w:val="24"/>
        </w:rPr>
        <w:t>, and the </w:t>
      </w:r>
      <w:r>
        <w:rPr>
          <w:i/>
          <w:sz w:val="24"/>
        </w:rPr>
        <w:t>annual </w:t>
      </w:r>
      <w:r>
        <w:rPr>
          <w:i/>
          <w:sz w:val="24"/>
        </w:rPr>
        <w:t>revenue requirement </w:t>
      </w:r>
      <w:r>
        <w:rPr>
          <w:sz w:val="24"/>
        </w:rPr>
        <w:t>for each </w:t>
      </w:r>
      <w:r>
        <w:rPr>
          <w:i/>
          <w:sz w:val="24"/>
        </w:rPr>
        <w:t>regulatory year </w:t>
      </w:r>
      <w:r>
        <w:rPr>
          <w:sz w:val="24"/>
        </w:rPr>
        <w:t>of the </w:t>
      </w:r>
      <w:r>
        <w:rPr>
          <w:i/>
          <w:sz w:val="24"/>
        </w:rPr>
        <w:t>regulatory control </w:t>
      </w:r>
      <w:r>
        <w:rPr>
          <w:i/>
          <w:sz w:val="24"/>
        </w:rPr>
        <w:t>period</w:t>
      </w:r>
      <w:r>
        <w:rPr>
          <w:sz w:val="24"/>
        </w:rPr>
        <w:t>, as set out in the </w:t>
      </w:r>
      <w:r>
        <w:rPr>
          <w:i/>
          <w:sz w:val="24"/>
        </w:rPr>
        <w:t>Distribution Network Service Provider's </w:t>
      </w:r>
      <w:r>
        <w:rPr>
          <w:sz w:val="24"/>
        </w:rPr>
        <w:t>current </w:t>
      </w:r>
      <w:r>
        <w:rPr>
          <w:i/>
          <w:sz w:val="24"/>
        </w:rPr>
        <w:t>building block proposal</w:t>
      </w:r>
      <w:r>
        <w:rPr>
          <w:sz w:val="24"/>
        </w:rPr>
        <w:t>, if the </w:t>
      </w:r>
      <w:r>
        <w:rPr>
          <w:i/>
          <w:sz w:val="24"/>
        </w:rPr>
        <w:t>AER </w:t>
      </w:r>
      <w:r>
        <w:rPr>
          <w:sz w:val="24"/>
        </w:rPr>
        <w:t>is satisfied that those amounts have been</w:t>
      </w:r>
      <w:r>
        <w:rPr>
          <w:spacing w:val="28"/>
          <w:sz w:val="24"/>
        </w:rPr>
        <w:t> </w:t>
      </w:r>
      <w:r>
        <w:rPr>
          <w:sz w:val="24"/>
        </w:rPr>
        <w:t>properly</w:t>
      </w:r>
      <w:r>
        <w:rPr>
          <w:spacing w:val="29"/>
          <w:sz w:val="24"/>
        </w:rPr>
        <w:t> </w:t>
      </w:r>
      <w:r>
        <w:rPr>
          <w:sz w:val="24"/>
        </w:rPr>
        <w:t>calculated</w:t>
      </w:r>
      <w:r>
        <w:rPr>
          <w:spacing w:val="28"/>
          <w:sz w:val="24"/>
        </w:rPr>
        <w:t> </w:t>
      </w:r>
      <w:r>
        <w:rPr>
          <w:sz w:val="24"/>
        </w:rPr>
        <w:t>using</w:t>
      </w:r>
      <w:r>
        <w:rPr>
          <w:spacing w:val="29"/>
          <w:sz w:val="24"/>
        </w:rPr>
        <w:t> </w:t>
      </w:r>
      <w:r>
        <w:rPr>
          <w:sz w:val="24"/>
        </w:rPr>
        <w:t>the</w:t>
      </w:r>
      <w:r>
        <w:rPr>
          <w:spacing w:val="29"/>
          <w:sz w:val="24"/>
        </w:rPr>
        <w:t> </w:t>
      </w:r>
      <w:r>
        <w:rPr>
          <w:i/>
          <w:sz w:val="24"/>
        </w:rPr>
        <w:t>post-tax</w:t>
      </w:r>
      <w:r>
        <w:rPr>
          <w:i/>
          <w:spacing w:val="28"/>
          <w:sz w:val="24"/>
        </w:rPr>
        <w:t> </w:t>
      </w:r>
      <w:r>
        <w:rPr>
          <w:i/>
          <w:sz w:val="24"/>
        </w:rPr>
        <w:t>revenue</w:t>
      </w:r>
      <w:r>
        <w:rPr>
          <w:i/>
          <w:spacing w:val="29"/>
          <w:sz w:val="24"/>
        </w:rPr>
        <w:t> </w:t>
      </w:r>
      <w:r>
        <w:rPr>
          <w:i/>
          <w:sz w:val="24"/>
        </w:rPr>
        <w:t>model</w:t>
      </w:r>
      <w:r>
        <w:rPr>
          <w:i/>
          <w:spacing w:val="29"/>
          <w:sz w:val="24"/>
        </w:rPr>
        <w:t> </w:t>
      </w:r>
      <w:r>
        <w:rPr>
          <w:sz w:val="24"/>
        </w:rPr>
        <w:t>on</w:t>
      </w:r>
      <w:r>
        <w:rPr>
          <w:spacing w:val="28"/>
          <w:sz w:val="24"/>
        </w:rPr>
        <w:t> </w:t>
      </w:r>
      <w:r>
        <w:rPr>
          <w:sz w:val="24"/>
        </w:rPr>
        <w:t>the</w:t>
      </w:r>
      <w:r>
        <w:rPr>
          <w:spacing w:val="29"/>
          <w:sz w:val="24"/>
        </w:rPr>
        <w:t> </w:t>
      </w:r>
      <w:r>
        <w:rPr>
          <w:sz w:val="24"/>
        </w:rPr>
        <w:t>basis</w:t>
      </w:r>
      <w:r>
        <w:rPr>
          <w:spacing w:val="29"/>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amounts calculated, determined or forecast in accordance with the requirements of Part C of this Chapter 6.</w:t>
      </w:r>
    </w:p>
    <w:p>
      <w:pPr>
        <w:pStyle w:val="ListParagraph"/>
        <w:numPr>
          <w:ilvl w:val="0"/>
          <w:numId w:val="441"/>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approve a proposed </w:t>
      </w:r>
      <w:r>
        <w:rPr>
          <w:i/>
          <w:sz w:val="24"/>
        </w:rPr>
        <w:t>regulatory control period </w:t>
      </w:r>
      <w:r>
        <w:rPr>
          <w:sz w:val="24"/>
        </w:rPr>
        <w:t>if the proposed period consists of 5 </w:t>
      </w:r>
      <w:r>
        <w:rPr>
          <w:i/>
          <w:sz w:val="24"/>
        </w:rPr>
        <w:t>regulatory</w:t>
      </w:r>
      <w:r>
        <w:rPr>
          <w:i/>
          <w:spacing w:val="-1"/>
          <w:sz w:val="24"/>
        </w:rPr>
        <w:t> </w:t>
      </w:r>
      <w:r>
        <w:rPr>
          <w:i/>
          <w:sz w:val="24"/>
        </w:rPr>
        <w:t>years</w:t>
      </w:r>
      <w:r>
        <w:rPr>
          <w:sz w:val="24"/>
        </w:rPr>
        <w:t>.</w:t>
      </w:r>
    </w:p>
    <w:p>
      <w:pPr>
        <w:pStyle w:val="Heading4"/>
        <w:numPr>
          <w:ilvl w:val="0"/>
          <w:numId w:val="441"/>
        </w:numPr>
        <w:tabs>
          <w:tab w:pos="1920" w:val="left" w:leader="none"/>
        </w:tabs>
        <w:spacing w:line="240" w:lineRule="auto" w:before="120" w:after="0"/>
        <w:ind w:left="1919" w:right="0" w:hanging="568"/>
        <w:jc w:val="both"/>
        <w:rPr>
          <w:rFonts w:ascii="Times New Roman"/>
        </w:rPr>
      </w:pPr>
      <w:r>
        <w:rPr>
          <w:rFonts w:ascii="Times New Roman"/>
        </w:rPr>
        <w:t>[Deleted]</w:t>
      </w:r>
    </w:p>
    <w:p>
      <w:pPr>
        <w:pStyle w:val="ListParagraph"/>
        <w:numPr>
          <w:ilvl w:val="0"/>
          <w:numId w:val="441"/>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approve a proposed </w:t>
      </w:r>
      <w:r>
        <w:rPr>
          <w:i/>
          <w:sz w:val="24"/>
        </w:rPr>
        <w:t>negotiating framework </w:t>
      </w:r>
      <w:r>
        <w:rPr>
          <w:sz w:val="24"/>
        </w:rPr>
        <w:t>if the </w:t>
      </w:r>
      <w:r>
        <w:rPr>
          <w:i/>
          <w:sz w:val="24"/>
        </w:rPr>
        <w:t>AER </w:t>
      </w:r>
      <w:r>
        <w:rPr>
          <w:sz w:val="24"/>
        </w:rPr>
        <w:t>is satisfied that it adequately complies with the requirements of Part</w:t>
      </w:r>
      <w:r>
        <w:rPr>
          <w:spacing w:val="-12"/>
          <w:sz w:val="24"/>
        </w:rPr>
        <w:t> </w:t>
      </w:r>
      <w:r>
        <w:rPr>
          <w:sz w:val="24"/>
        </w:rPr>
        <w:t>D.</w:t>
      </w:r>
    </w:p>
    <w:p>
      <w:pPr>
        <w:pStyle w:val="ListParagraph"/>
        <w:numPr>
          <w:ilvl w:val="0"/>
          <w:numId w:val="441"/>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refuses to approve the proposed </w:t>
      </w:r>
      <w:r>
        <w:rPr>
          <w:i/>
          <w:sz w:val="24"/>
        </w:rPr>
        <w:t>negotiating framework</w:t>
      </w:r>
      <w:r>
        <w:rPr>
          <w:sz w:val="24"/>
        </w:rPr>
        <w:t>,</w:t>
      </w:r>
      <w:r>
        <w:rPr>
          <w:spacing w:val="27"/>
          <w:sz w:val="24"/>
        </w:rPr>
        <w:t> </w:t>
      </w:r>
      <w:r>
        <w:rPr>
          <w:sz w:val="24"/>
        </w:rPr>
        <w:t>the approved amended </w:t>
      </w:r>
      <w:r>
        <w:rPr>
          <w:i/>
          <w:sz w:val="24"/>
        </w:rPr>
        <w:t>negotiating framework </w:t>
      </w:r>
      <w:r>
        <w:rPr>
          <w:sz w:val="24"/>
        </w:rPr>
        <w:t>must</w:t>
      </w:r>
      <w:r>
        <w:rPr>
          <w:spacing w:val="-1"/>
          <w:sz w:val="24"/>
        </w:rPr>
        <w:t> </w:t>
      </w:r>
      <w:r>
        <w:rPr>
          <w:sz w:val="24"/>
        </w:rPr>
        <w:t>be:</w:t>
      </w:r>
    </w:p>
    <w:p>
      <w:pPr>
        <w:pStyle w:val="ListParagraph"/>
        <w:numPr>
          <w:ilvl w:val="1"/>
          <w:numId w:val="441"/>
        </w:numPr>
        <w:tabs>
          <w:tab w:pos="2486" w:val="left" w:leader="none"/>
        </w:tabs>
        <w:spacing w:line="240" w:lineRule="auto" w:before="120" w:after="0"/>
        <w:ind w:left="2486" w:right="416" w:hanging="567"/>
        <w:jc w:val="both"/>
        <w:rPr>
          <w:sz w:val="24"/>
        </w:rPr>
      </w:pPr>
      <w:r>
        <w:rPr>
          <w:sz w:val="24"/>
        </w:rPr>
        <w:t>determined on the basis of the current proposed </w:t>
      </w:r>
      <w:r>
        <w:rPr>
          <w:i/>
          <w:spacing w:val="-3"/>
          <w:sz w:val="24"/>
        </w:rPr>
        <w:t>negotiating </w:t>
      </w:r>
      <w:r>
        <w:rPr>
          <w:i/>
          <w:sz w:val="24"/>
        </w:rPr>
        <w:t>framework</w:t>
      </w:r>
      <w:r>
        <w:rPr>
          <w:sz w:val="24"/>
        </w:rPr>
        <w:t>; and</w:t>
      </w:r>
    </w:p>
    <w:p>
      <w:pPr>
        <w:pStyle w:val="ListParagraph"/>
        <w:numPr>
          <w:ilvl w:val="1"/>
          <w:numId w:val="441"/>
        </w:numPr>
        <w:tabs>
          <w:tab w:pos="2486" w:val="left" w:leader="none"/>
        </w:tabs>
        <w:spacing w:line="240" w:lineRule="auto" w:before="120" w:after="0"/>
        <w:ind w:left="2486" w:right="414" w:hanging="567"/>
        <w:jc w:val="both"/>
        <w:rPr>
          <w:sz w:val="24"/>
        </w:rPr>
      </w:pPr>
      <w:r>
        <w:rPr>
          <w:sz w:val="24"/>
        </w:rPr>
        <w:t>amended from that basis only to the extent necessary to enable it to be approved in accordance with the</w:t>
      </w:r>
      <w:r>
        <w:rPr>
          <w:spacing w:val="-1"/>
          <w:sz w:val="24"/>
        </w:rPr>
        <w:t> </w:t>
      </w:r>
      <w:r>
        <w:rPr>
          <w:i/>
          <w:sz w:val="24"/>
        </w:rPr>
        <w:t>Rules</w:t>
      </w:r>
      <w:r>
        <w:rPr>
          <w:sz w:val="24"/>
        </w:rPr>
        <w:t>.</w:t>
      </w:r>
    </w:p>
    <w:p>
      <w:pPr>
        <w:pStyle w:val="ListParagraph"/>
        <w:numPr>
          <w:ilvl w:val="0"/>
          <w:numId w:val="44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approve the proposed </w:t>
      </w:r>
      <w:r>
        <w:rPr>
          <w:i/>
          <w:sz w:val="24"/>
        </w:rPr>
        <w:t>connection policy </w:t>
      </w:r>
      <w:r>
        <w:rPr>
          <w:sz w:val="24"/>
        </w:rPr>
        <w:t>if the </w:t>
      </w:r>
      <w:r>
        <w:rPr>
          <w:i/>
          <w:sz w:val="24"/>
        </w:rPr>
        <w:t>AER </w:t>
      </w:r>
      <w:r>
        <w:rPr>
          <w:spacing w:val="-6"/>
          <w:sz w:val="24"/>
        </w:rPr>
        <w:t>is </w:t>
      </w:r>
      <w:r>
        <w:rPr>
          <w:sz w:val="24"/>
        </w:rPr>
        <w:t>satisfied that it adequately complies with the requirements of Part</w:t>
      </w:r>
      <w:r>
        <w:rPr>
          <w:spacing w:val="-14"/>
          <w:sz w:val="24"/>
        </w:rPr>
        <w:t> </w:t>
      </w:r>
      <w:r>
        <w:rPr>
          <w:sz w:val="24"/>
        </w:rPr>
        <w:t>DA.</w:t>
      </w:r>
    </w:p>
    <w:p>
      <w:pPr>
        <w:pStyle w:val="ListParagraph"/>
        <w:numPr>
          <w:ilvl w:val="0"/>
          <w:numId w:val="441"/>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refuses to approve the proposed </w:t>
      </w:r>
      <w:r>
        <w:rPr>
          <w:i/>
          <w:sz w:val="24"/>
        </w:rPr>
        <w:t>connection policy</w:t>
      </w:r>
      <w:r>
        <w:rPr>
          <w:sz w:val="24"/>
        </w:rPr>
        <w:t>, the approved amended </w:t>
      </w:r>
      <w:r>
        <w:rPr>
          <w:i/>
          <w:sz w:val="24"/>
        </w:rPr>
        <w:t>connection policy </w:t>
      </w:r>
      <w:r>
        <w:rPr>
          <w:sz w:val="24"/>
        </w:rPr>
        <w:t>must</w:t>
      </w:r>
      <w:r>
        <w:rPr>
          <w:spacing w:val="-2"/>
          <w:sz w:val="24"/>
        </w:rPr>
        <w:t> </w:t>
      </w:r>
      <w:r>
        <w:rPr>
          <w:sz w:val="24"/>
        </w:rPr>
        <w:t>be:</w:t>
      </w:r>
    </w:p>
    <w:p>
      <w:pPr>
        <w:pStyle w:val="ListParagraph"/>
        <w:numPr>
          <w:ilvl w:val="1"/>
          <w:numId w:val="441"/>
        </w:numPr>
        <w:tabs>
          <w:tab w:pos="2486" w:val="left" w:leader="none"/>
        </w:tabs>
        <w:spacing w:line="240" w:lineRule="auto" w:before="120" w:after="0"/>
        <w:ind w:left="2485" w:right="0" w:hanging="567"/>
        <w:jc w:val="both"/>
        <w:rPr>
          <w:sz w:val="24"/>
        </w:rPr>
      </w:pPr>
      <w:r>
        <w:rPr>
          <w:sz w:val="24"/>
        </w:rPr>
        <w:t>determined on the basis of the current proposed </w:t>
      </w:r>
      <w:r>
        <w:rPr>
          <w:i/>
          <w:sz w:val="24"/>
        </w:rPr>
        <w:t>connection policy</w:t>
      </w:r>
      <w:r>
        <w:rPr>
          <w:sz w:val="24"/>
        </w:rPr>
        <w:t>;</w:t>
      </w:r>
      <w:r>
        <w:rPr>
          <w:spacing w:val="-3"/>
          <w:sz w:val="24"/>
        </w:rPr>
        <w:t> </w:t>
      </w:r>
      <w:r>
        <w:rPr>
          <w:sz w:val="24"/>
        </w:rPr>
        <w:t>and</w:t>
      </w:r>
    </w:p>
    <w:p>
      <w:pPr>
        <w:pStyle w:val="ListParagraph"/>
        <w:numPr>
          <w:ilvl w:val="1"/>
          <w:numId w:val="441"/>
        </w:numPr>
        <w:tabs>
          <w:tab w:pos="2486" w:val="left" w:leader="none"/>
        </w:tabs>
        <w:spacing w:line="240" w:lineRule="auto" w:before="120" w:after="0"/>
        <w:ind w:left="2486" w:right="414" w:hanging="567"/>
        <w:jc w:val="both"/>
        <w:rPr>
          <w:sz w:val="24"/>
        </w:rPr>
      </w:pPr>
      <w:r>
        <w:rPr>
          <w:sz w:val="24"/>
        </w:rPr>
        <w:t>amended from that basis only to the extent necessary to enable it to be approved in accordance with the</w:t>
      </w:r>
      <w:r>
        <w:rPr>
          <w:spacing w:val="-1"/>
          <w:sz w:val="24"/>
        </w:rPr>
        <w:t> </w:t>
      </w:r>
      <w:r>
        <w:rPr>
          <w:i/>
          <w:sz w:val="24"/>
        </w:rPr>
        <w:t>Rules</w:t>
      </w:r>
      <w:r>
        <w:rPr>
          <w:sz w:val="24"/>
        </w:rPr>
        <w:t>.</w:t>
      </w:r>
    </w:p>
    <w:p>
      <w:pPr>
        <w:pStyle w:val="ListParagraph"/>
        <w:numPr>
          <w:ilvl w:val="0"/>
          <w:numId w:val="441"/>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approve a </w:t>
      </w:r>
      <w:r>
        <w:rPr>
          <w:i/>
          <w:sz w:val="24"/>
        </w:rPr>
        <w:t>Distribution Network Service Provider's </w:t>
      </w:r>
      <w:r>
        <w:rPr>
          <w:sz w:val="24"/>
        </w:rPr>
        <w:t>proposed </w:t>
      </w:r>
      <w:r>
        <w:rPr>
          <w:i/>
          <w:sz w:val="24"/>
        </w:rPr>
        <w:t>tariff structure statement </w:t>
      </w:r>
      <w:r>
        <w:rPr>
          <w:sz w:val="24"/>
        </w:rPr>
        <w:t>unless the </w:t>
      </w:r>
      <w:r>
        <w:rPr>
          <w:i/>
          <w:sz w:val="24"/>
        </w:rPr>
        <w:t>AER </w:t>
      </w:r>
      <w:r>
        <w:rPr>
          <w:sz w:val="24"/>
        </w:rPr>
        <w:t>is reasonably satisfied that the proposed </w:t>
      </w:r>
      <w:r>
        <w:rPr>
          <w:i/>
          <w:sz w:val="24"/>
        </w:rPr>
        <w:t>tariff structure statement </w:t>
      </w:r>
      <w:r>
        <w:rPr>
          <w:sz w:val="24"/>
        </w:rPr>
        <w:t>does not comply with the </w:t>
      </w:r>
      <w:r>
        <w:rPr>
          <w:i/>
          <w:sz w:val="24"/>
        </w:rPr>
        <w:t>pricing </w:t>
      </w:r>
      <w:r>
        <w:rPr>
          <w:i/>
          <w:sz w:val="24"/>
        </w:rPr>
        <w:t>principles for direct control services </w:t>
      </w:r>
      <w:r>
        <w:rPr>
          <w:sz w:val="24"/>
        </w:rPr>
        <w:t>or other applicable requirements of the </w:t>
      </w:r>
      <w:r>
        <w:rPr>
          <w:i/>
          <w:sz w:val="24"/>
        </w:rPr>
        <w:t>Rules</w:t>
      </w:r>
      <w:r>
        <w:rPr>
          <w:sz w:val="24"/>
        </w:rPr>
        <w:t>.</w:t>
      </w:r>
    </w:p>
    <w:p>
      <w:pPr>
        <w:pStyle w:val="ListParagraph"/>
        <w:numPr>
          <w:ilvl w:val="0"/>
          <w:numId w:val="441"/>
        </w:numPr>
        <w:tabs>
          <w:tab w:pos="1919" w:val="left" w:leader="none"/>
        </w:tabs>
        <w:spacing w:line="240" w:lineRule="auto" w:before="120" w:after="0"/>
        <w:ind w:left="1919" w:right="415" w:hanging="567"/>
        <w:jc w:val="both"/>
        <w:rPr>
          <w:sz w:val="24"/>
        </w:rPr>
      </w:pPr>
      <w:r>
        <w:rPr>
          <w:sz w:val="24"/>
        </w:rPr>
        <w:t>If, in making a distribution determination in relation to a </w:t>
      </w:r>
      <w:r>
        <w:rPr>
          <w:i/>
          <w:sz w:val="24"/>
        </w:rPr>
        <w:t>Distribution </w:t>
      </w:r>
      <w:r>
        <w:rPr>
          <w:i/>
          <w:sz w:val="24"/>
        </w:rPr>
        <w:t>Network Service Provider</w:t>
      </w:r>
      <w:r>
        <w:rPr>
          <w:sz w:val="24"/>
        </w:rPr>
        <w:t>, the </w:t>
      </w:r>
      <w:r>
        <w:rPr>
          <w:i/>
          <w:sz w:val="24"/>
        </w:rPr>
        <w:t>AER </w:t>
      </w:r>
      <w:r>
        <w:rPr>
          <w:sz w:val="24"/>
        </w:rPr>
        <w:t>refuses to approve the </w:t>
      </w:r>
      <w:r>
        <w:rPr>
          <w:i/>
          <w:sz w:val="24"/>
        </w:rPr>
        <w:t>Distribution </w:t>
      </w:r>
      <w:r>
        <w:rPr>
          <w:i/>
          <w:sz w:val="24"/>
        </w:rPr>
        <w:t>Network Service Provider's </w:t>
      </w:r>
      <w:r>
        <w:rPr>
          <w:sz w:val="24"/>
        </w:rPr>
        <w:t>proposed </w:t>
      </w:r>
      <w:r>
        <w:rPr>
          <w:i/>
          <w:sz w:val="24"/>
        </w:rPr>
        <w:t>tariff structure statement</w:t>
      </w:r>
      <w:r>
        <w:rPr>
          <w:sz w:val="24"/>
        </w:rPr>
        <w:t>, the </w:t>
      </w:r>
      <w:r>
        <w:rPr>
          <w:i/>
          <w:sz w:val="24"/>
        </w:rPr>
        <w:t>AER </w:t>
      </w:r>
      <w:r>
        <w:rPr>
          <w:sz w:val="24"/>
        </w:rPr>
        <w:t>must include in that distribution determination an amended </w:t>
      </w:r>
      <w:r>
        <w:rPr>
          <w:i/>
          <w:sz w:val="24"/>
        </w:rPr>
        <w:t>tariff structure </w:t>
      </w:r>
      <w:r>
        <w:rPr>
          <w:i/>
          <w:sz w:val="24"/>
        </w:rPr>
        <w:t>statement </w:t>
      </w:r>
      <w:r>
        <w:rPr>
          <w:sz w:val="24"/>
        </w:rPr>
        <w:t>which</w:t>
      </w:r>
      <w:r>
        <w:rPr>
          <w:spacing w:val="-2"/>
          <w:sz w:val="24"/>
        </w:rPr>
        <w:t> </w:t>
      </w:r>
      <w:r>
        <w:rPr>
          <w:sz w:val="24"/>
        </w:rPr>
        <w:t>is:</w:t>
      </w:r>
    </w:p>
    <w:p>
      <w:pPr>
        <w:pStyle w:val="ListParagraph"/>
        <w:numPr>
          <w:ilvl w:val="1"/>
          <w:numId w:val="441"/>
        </w:numPr>
        <w:tabs>
          <w:tab w:pos="2486" w:val="left" w:leader="none"/>
        </w:tabs>
        <w:spacing w:line="240" w:lineRule="auto" w:before="120" w:after="0"/>
        <w:ind w:left="2486" w:right="417" w:hanging="567"/>
        <w:jc w:val="both"/>
        <w:rPr>
          <w:sz w:val="24"/>
        </w:rPr>
      </w:pPr>
      <w:r>
        <w:rPr>
          <w:sz w:val="24"/>
        </w:rPr>
        <w:t>determined on the basis of the </w:t>
      </w:r>
      <w:r>
        <w:rPr>
          <w:i/>
          <w:sz w:val="24"/>
        </w:rPr>
        <w:t>Distribution Network Service </w:t>
      </w:r>
      <w:r>
        <w:rPr>
          <w:i/>
          <w:sz w:val="24"/>
        </w:rPr>
        <w:t>Provider's </w:t>
      </w:r>
      <w:r>
        <w:rPr>
          <w:sz w:val="24"/>
        </w:rPr>
        <w:t>proposed </w:t>
      </w:r>
      <w:r>
        <w:rPr>
          <w:i/>
          <w:sz w:val="24"/>
        </w:rPr>
        <w:t>tariff structure statement</w:t>
      </w:r>
      <w:r>
        <w:rPr>
          <w:sz w:val="24"/>
        </w:rPr>
        <w:t>;</w:t>
      </w:r>
      <w:r>
        <w:rPr>
          <w:spacing w:val="-5"/>
          <w:sz w:val="24"/>
        </w:rPr>
        <w:t> </w:t>
      </w:r>
      <w:r>
        <w:rPr>
          <w:sz w:val="24"/>
        </w:rPr>
        <w:t>and</w:t>
      </w:r>
    </w:p>
    <w:p>
      <w:pPr>
        <w:pStyle w:val="ListParagraph"/>
        <w:numPr>
          <w:ilvl w:val="1"/>
          <w:numId w:val="441"/>
        </w:numPr>
        <w:tabs>
          <w:tab w:pos="2486" w:val="left" w:leader="none"/>
        </w:tabs>
        <w:spacing w:line="240" w:lineRule="auto" w:before="120" w:after="0"/>
        <w:ind w:left="2486" w:right="414" w:hanging="567"/>
        <w:jc w:val="both"/>
        <w:rPr>
          <w:sz w:val="24"/>
        </w:rPr>
      </w:pPr>
      <w:r>
        <w:rPr>
          <w:sz w:val="24"/>
        </w:rPr>
        <w:t>amended from that basis only to the extent necessary to enable it to be approved in accordance with the</w:t>
      </w:r>
      <w:r>
        <w:rPr>
          <w:spacing w:val="-1"/>
          <w:sz w:val="24"/>
        </w:rPr>
        <w:t> </w:t>
      </w:r>
      <w:r>
        <w:rPr>
          <w:i/>
          <w:sz w:val="24"/>
        </w:rPr>
        <w:t>Rules</w:t>
      </w:r>
      <w:r>
        <w:rPr>
          <w:sz w:val="24"/>
        </w:rPr>
        <w:t>.</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828" w:hanging="1134"/>
        <w:jc w:val="left"/>
      </w:pPr>
      <w:bookmarkStart w:name="6.13 Revocation and substitution of dist" w:id="1500"/>
      <w:bookmarkEnd w:id="1500"/>
      <w:r>
        <w:rPr>
          <w:b w:val="0"/>
        </w:rPr>
      </w:r>
      <w:bookmarkStart w:name="_bookmark601" w:id="1501"/>
      <w:bookmarkEnd w:id="1501"/>
      <w:r>
        <w:rPr>
          <w:b w:val="0"/>
        </w:rPr>
      </w:r>
      <w:bookmarkStart w:name="_bookmark601" w:id="1502"/>
      <w:bookmarkEnd w:id="1502"/>
      <w:r>
        <w:rPr/>
        <w:t>Revocatio</w:t>
      </w:r>
      <w:r>
        <w:rPr/>
        <w:t>n and substitution of distribution determination for wrong information or</w:t>
      </w:r>
      <w:r>
        <w:rPr>
          <w:spacing w:val="-2"/>
        </w:rPr>
        <w:t> </w:t>
      </w:r>
      <w:r>
        <w:rPr/>
        <w:t>error</w:t>
      </w:r>
    </w:p>
    <w:p>
      <w:pPr>
        <w:pStyle w:val="ListParagraph"/>
        <w:numPr>
          <w:ilvl w:val="2"/>
          <w:numId w:val="425"/>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(but is not required to) revoke a distribution determination during a </w:t>
      </w:r>
      <w:r>
        <w:rPr>
          <w:i/>
          <w:sz w:val="24"/>
        </w:rPr>
        <w:t>regulatory control period </w:t>
      </w:r>
      <w:r>
        <w:rPr>
          <w:sz w:val="24"/>
        </w:rPr>
        <w:t>if it appears to the </w:t>
      </w:r>
      <w:r>
        <w:rPr>
          <w:i/>
          <w:sz w:val="24"/>
        </w:rPr>
        <w:t>AER </w:t>
      </w:r>
      <w:r>
        <w:rPr>
          <w:sz w:val="24"/>
        </w:rPr>
        <w:t>that the distribution determination is affected by a material error or deficiency of one or more of the following</w:t>
      </w:r>
      <w:r>
        <w:rPr>
          <w:spacing w:val="-1"/>
          <w:sz w:val="24"/>
        </w:rPr>
        <w:t> </w:t>
      </w:r>
      <w:r>
        <w:rPr>
          <w:sz w:val="24"/>
        </w:rPr>
        <w:t>kinds:</w:t>
      </w:r>
    </w:p>
    <w:p>
      <w:pPr>
        <w:pStyle w:val="ListParagraph"/>
        <w:numPr>
          <w:ilvl w:val="3"/>
          <w:numId w:val="425"/>
        </w:numPr>
        <w:tabs>
          <w:tab w:pos="2486" w:val="left" w:leader="none"/>
        </w:tabs>
        <w:spacing w:line="240" w:lineRule="auto" w:before="120" w:after="0"/>
        <w:ind w:left="2485" w:right="0" w:hanging="567"/>
        <w:jc w:val="both"/>
        <w:rPr>
          <w:sz w:val="24"/>
        </w:rPr>
      </w:pPr>
      <w:r>
        <w:rPr>
          <w:sz w:val="24"/>
        </w:rPr>
        <w:t>a clerical mistake or an accidental slip or</w:t>
      </w:r>
      <w:r>
        <w:rPr>
          <w:spacing w:val="-3"/>
          <w:sz w:val="24"/>
        </w:rPr>
        <w:t> </w:t>
      </w:r>
      <w:r>
        <w:rPr>
          <w:sz w:val="24"/>
        </w:rPr>
        <w:t>omission;</w:t>
      </w:r>
    </w:p>
    <w:p>
      <w:pPr>
        <w:pStyle w:val="ListParagraph"/>
        <w:numPr>
          <w:ilvl w:val="3"/>
          <w:numId w:val="425"/>
        </w:numPr>
        <w:tabs>
          <w:tab w:pos="2486" w:val="left" w:leader="none"/>
        </w:tabs>
        <w:spacing w:line="240" w:lineRule="auto" w:before="120" w:after="0"/>
        <w:ind w:left="2485" w:right="0" w:hanging="567"/>
        <w:jc w:val="both"/>
        <w:rPr>
          <w:sz w:val="24"/>
        </w:rPr>
      </w:pPr>
      <w:r>
        <w:rPr>
          <w:sz w:val="24"/>
        </w:rPr>
        <w:t>a miscalculation or</w:t>
      </w:r>
      <w:r>
        <w:rPr>
          <w:spacing w:val="-1"/>
          <w:sz w:val="24"/>
        </w:rPr>
        <w:t> </w:t>
      </w:r>
      <w:r>
        <w:rPr>
          <w:sz w:val="24"/>
        </w:rPr>
        <w:t>misdescription;</w:t>
      </w:r>
    </w:p>
    <w:p>
      <w:pPr>
        <w:spacing w:after="0" w:line="240" w:lineRule="auto"/>
        <w:jc w:val="both"/>
        <w:rPr>
          <w:sz w:val="24"/>
        </w:rPr>
        <w:sectPr>
          <w:pgSz w:w="11910" w:h="16840"/>
          <w:pgMar w:header="686" w:footer="637" w:top="1320" w:bottom="820" w:left="1200" w:right="1000"/>
        </w:sectPr>
      </w:pPr>
    </w:p>
    <w:p>
      <w:pPr>
        <w:pStyle w:val="ListParagraph"/>
        <w:numPr>
          <w:ilvl w:val="3"/>
          <w:numId w:val="425"/>
        </w:numPr>
        <w:tabs>
          <w:tab w:pos="2486" w:val="left" w:leader="none"/>
        </w:tabs>
        <w:spacing w:line="240" w:lineRule="auto" w:before="83" w:after="0"/>
        <w:ind w:left="2485" w:right="0" w:hanging="567"/>
        <w:jc w:val="both"/>
        <w:rPr>
          <w:sz w:val="24"/>
        </w:rPr>
      </w:pPr>
      <w:r>
        <w:rPr>
          <w:sz w:val="24"/>
        </w:rPr>
        <w:t>a defect in form;</w:t>
      </w:r>
      <w:r>
        <w:rPr>
          <w:spacing w:val="-1"/>
          <w:sz w:val="24"/>
        </w:rPr>
        <w:t> </w:t>
      </w:r>
      <w:r>
        <w:rPr>
          <w:sz w:val="24"/>
        </w:rPr>
        <w:t>or</w:t>
      </w:r>
    </w:p>
    <w:p>
      <w:pPr>
        <w:pStyle w:val="ListParagraph"/>
        <w:numPr>
          <w:ilvl w:val="3"/>
          <w:numId w:val="425"/>
        </w:numPr>
        <w:tabs>
          <w:tab w:pos="2486" w:val="left" w:leader="none"/>
        </w:tabs>
        <w:spacing w:line="240" w:lineRule="auto" w:before="120" w:after="0"/>
        <w:ind w:left="2486" w:right="416" w:hanging="567"/>
        <w:jc w:val="both"/>
        <w:rPr>
          <w:sz w:val="24"/>
        </w:rPr>
      </w:pPr>
      <w:r>
        <w:rPr>
          <w:sz w:val="24"/>
        </w:rPr>
        <w:t>a deficiency resulting from the provision of false or materially misleading information to the</w:t>
      </w:r>
      <w:r>
        <w:rPr>
          <w:spacing w:val="-1"/>
          <w:sz w:val="24"/>
        </w:rPr>
        <w:t> </w:t>
      </w:r>
      <w:r>
        <w:rPr>
          <w:i/>
          <w:sz w:val="24"/>
        </w:rPr>
        <w:t>AER</w:t>
      </w:r>
      <w:r>
        <w:rPr>
          <w:sz w:val="24"/>
        </w:rPr>
        <w:t>.</w:t>
      </w:r>
    </w:p>
    <w:p>
      <w:pPr>
        <w:pStyle w:val="ListParagraph"/>
        <w:numPr>
          <w:ilvl w:val="2"/>
          <w:numId w:val="425"/>
        </w:numPr>
        <w:tabs>
          <w:tab w:pos="1919" w:val="left" w:leader="none"/>
        </w:tabs>
        <w:spacing w:line="240" w:lineRule="auto" w:before="120" w:after="0"/>
        <w:ind w:left="1919" w:right="416" w:hanging="567"/>
        <w:jc w:val="both"/>
        <w:rPr>
          <w:sz w:val="24"/>
        </w:rPr>
      </w:pPr>
      <w:r>
        <w:rPr>
          <w:sz w:val="24"/>
        </w:rPr>
        <w:t>If the </w:t>
      </w:r>
      <w:r>
        <w:rPr>
          <w:i/>
          <w:sz w:val="24"/>
        </w:rPr>
        <w:t>AER </w:t>
      </w:r>
      <w:r>
        <w:rPr>
          <w:sz w:val="24"/>
        </w:rPr>
        <w:t>revokes a distribution determination under paragraph (a), the </w:t>
      </w:r>
      <w:r>
        <w:rPr>
          <w:i/>
          <w:sz w:val="24"/>
        </w:rPr>
        <w:t>AER </w:t>
      </w:r>
      <w:r>
        <w:rPr>
          <w:sz w:val="24"/>
        </w:rPr>
        <w:t>must make a new distribution determination in substitution for the revoked distribution determination to apply for the remainder of </w:t>
      </w:r>
      <w:r>
        <w:rPr>
          <w:spacing w:val="-5"/>
          <w:sz w:val="24"/>
        </w:rPr>
        <w:t>the </w:t>
      </w:r>
      <w:r>
        <w:rPr>
          <w:i/>
          <w:sz w:val="24"/>
        </w:rPr>
        <w:t>regulatory control period </w:t>
      </w:r>
      <w:r>
        <w:rPr>
          <w:sz w:val="24"/>
        </w:rPr>
        <w:t>for which the revoked distribution determination was to</w:t>
      </w:r>
      <w:r>
        <w:rPr>
          <w:spacing w:val="-2"/>
          <w:sz w:val="24"/>
        </w:rPr>
        <w:t> </w:t>
      </w:r>
      <w:r>
        <w:rPr>
          <w:sz w:val="24"/>
        </w:rPr>
        <w:t>apply.</w:t>
      </w:r>
    </w:p>
    <w:p>
      <w:pPr>
        <w:pStyle w:val="ListParagraph"/>
        <w:numPr>
          <w:ilvl w:val="2"/>
          <w:numId w:val="425"/>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revokes and substitutes a distribution determination under paragraphs (a) and (b), the substituted distribution determination must only vary from the revoked distribution determination to the extent necessary to correct the relevant error or</w:t>
      </w:r>
      <w:r>
        <w:rPr>
          <w:spacing w:val="-2"/>
          <w:sz w:val="24"/>
        </w:rPr>
        <w:t> </w:t>
      </w:r>
      <w:r>
        <w:rPr>
          <w:sz w:val="24"/>
        </w:rPr>
        <w:t>deficiency.</w:t>
      </w:r>
    </w:p>
    <w:p>
      <w:pPr>
        <w:pStyle w:val="ListParagraph"/>
        <w:numPr>
          <w:ilvl w:val="2"/>
          <w:numId w:val="425"/>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only revoke and substitute a distribution determination under this rule 6.13, if it has first consulted with the relevant </w:t>
      </w:r>
      <w:r>
        <w:rPr>
          <w:i/>
          <w:sz w:val="24"/>
        </w:rPr>
        <w:t>Distribution Network </w:t>
      </w:r>
      <w:r>
        <w:rPr>
          <w:i/>
          <w:sz w:val="24"/>
        </w:rPr>
        <w:t>Service Provider </w:t>
      </w:r>
      <w:r>
        <w:rPr>
          <w:sz w:val="24"/>
        </w:rPr>
        <w:t>and such other persons as it considers</w:t>
      </w:r>
      <w:r>
        <w:rPr>
          <w:spacing w:val="-5"/>
          <w:sz w:val="24"/>
        </w:rPr>
        <w:t> </w:t>
      </w:r>
      <w:r>
        <w:rPr>
          <w:sz w:val="24"/>
        </w:rPr>
        <w:t>appropriate.</w:t>
      </w:r>
    </w:p>
    <w:p>
      <w:pPr>
        <w:pStyle w:val="BodyText"/>
        <w:spacing w:before="10"/>
        <w:ind w:firstLine="0"/>
        <w:jc w:val="left"/>
        <w:rPr>
          <w:sz w:val="20"/>
        </w:rPr>
      </w:pPr>
    </w:p>
    <w:p>
      <w:pPr>
        <w:pStyle w:val="Heading3"/>
        <w:numPr>
          <w:ilvl w:val="1"/>
          <w:numId w:val="425"/>
        </w:numPr>
        <w:tabs>
          <w:tab w:pos="1351" w:val="left" w:leader="none"/>
          <w:tab w:pos="1353" w:val="left" w:leader="none"/>
        </w:tabs>
        <w:spacing w:line="240" w:lineRule="auto" w:before="0" w:after="0"/>
        <w:ind w:left="1352" w:right="0" w:hanging="1135"/>
        <w:jc w:val="left"/>
      </w:pPr>
      <w:bookmarkStart w:name="6.14 Miscellaneous" w:id="1503"/>
      <w:bookmarkEnd w:id="1503"/>
      <w:r>
        <w:rPr>
          <w:b w:val="0"/>
        </w:rPr>
      </w:r>
      <w:bookmarkStart w:name="_bookmark602" w:id="1504"/>
      <w:bookmarkEnd w:id="1504"/>
      <w:r>
        <w:rPr>
          <w:b w:val="0"/>
        </w:rPr>
      </w:r>
      <w:bookmarkStart w:name="_bookmark602" w:id="1505"/>
      <w:bookmarkEnd w:id="1505"/>
      <w:r>
        <w:rPr/>
        <w:t>M</w:t>
      </w:r>
      <w:r>
        <w:rPr/>
        <w:t>iscellaneous</w:t>
      </w:r>
    </w:p>
    <w:p>
      <w:pPr>
        <w:pStyle w:val="ListParagraph"/>
        <w:numPr>
          <w:ilvl w:val="2"/>
          <w:numId w:val="42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but is not required to, consider any submission made pursuant to an invitation for submissions after the time for making</w:t>
      </w:r>
      <w:r>
        <w:rPr>
          <w:spacing w:val="24"/>
          <w:sz w:val="24"/>
        </w:rPr>
        <w:t> </w:t>
      </w:r>
      <w:r>
        <w:rPr>
          <w:sz w:val="24"/>
        </w:rPr>
        <w:t>the submission has</w:t>
      </w:r>
      <w:r>
        <w:rPr>
          <w:spacing w:val="-2"/>
          <w:sz w:val="24"/>
        </w:rPr>
        <w:t> </w:t>
      </w:r>
      <w:r>
        <w:rPr>
          <w:sz w:val="24"/>
        </w:rPr>
        <w:t>expired.</w:t>
      </w:r>
    </w:p>
    <w:p>
      <w:pPr>
        <w:pStyle w:val="ListParagraph"/>
        <w:numPr>
          <w:ilvl w:val="2"/>
          <w:numId w:val="425"/>
        </w:numPr>
        <w:tabs>
          <w:tab w:pos="1919" w:val="left" w:leader="none"/>
        </w:tabs>
        <w:spacing w:line="240" w:lineRule="auto" w:before="120" w:after="0"/>
        <w:ind w:left="1919" w:right="414" w:hanging="567"/>
        <w:jc w:val="both"/>
        <w:rPr>
          <w:sz w:val="24"/>
        </w:rPr>
      </w:pPr>
      <w:r>
        <w:rPr>
          <w:sz w:val="24"/>
        </w:rPr>
        <w:t>Nothing in this Part E is to be construed as precluding the </w:t>
      </w:r>
      <w:r>
        <w:rPr>
          <w:i/>
          <w:sz w:val="24"/>
        </w:rPr>
        <w:t>AER </w:t>
      </w:r>
      <w:r>
        <w:rPr>
          <w:sz w:val="24"/>
        </w:rPr>
        <w:t>from </w:t>
      </w:r>
      <w:r>
        <w:rPr>
          <w:i/>
          <w:sz w:val="24"/>
        </w:rPr>
        <w:t>publishing </w:t>
      </w:r>
      <w:r>
        <w:rPr>
          <w:sz w:val="24"/>
        </w:rPr>
        <w:t>any issues, consultation and discussion papers, or holding any conferences and information sessions, that the </w:t>
      </w:r>
      <w:r>
        <w:rPr>
          <w:i/>
          <w:sz w:val="24"/>
        </w:rPr>
        <w:t>AER </w:t>
      </w:r>
      <w:r>
        <w:rPr>
          <w:sz w:val="24"/>
        </w:rPr>
        <w:t>considers</w:t>
      </w:r>
      <w:r>
        <w:rPr>
          <w:spacing w:val="-9"/>
          <w:sz w:val="24"/>
        </w:rPr>
        <w:t> </w:t>
      </w:r>
      <w:r>
        <w:rPr>
          <w:sz w:val="24"/>
        </w:rPr>
        <w:t>appropriate.</w:t>
      </w:r>
    </w:p>
    <w:p>
      <w:pPr>
        <w:pStyle w:val="ListParagraph"/>
        <w:numPr>
          <w:ilvl w:val="2"/>
          <w:numId w:val="425"/>
        </w:numPr>
        <w:tabs>
          <w:tab w:pos="1919" w:val="left" w:leader="none"/>
        </w:tabs>
        <w:spacing w:line="240" w:lineRule="auto" w:before="120" w:after="0"/>
        <w:ind w:left="1919" w:right="415" w:hanging="567"/>
        <w:jc w:val="both"/>
        <w:rPr>
          <w:sz w:val="24"/>
        </w:rPr>
      </w:pPr>
      <w:r>
        <w:rPr>
          <w:sz w:val="24"/>
        </w:rPr>
        <w:t>Subject to paragraph (d), as soon as practicable after the </w:t>
      </w:r>
      <w:r>
        <w:rPr>
          <w:i/>
          <w:sz w:val="24"/>
        </w:rPr>
        <w:t>AER </w:t>
      </w:r>
      <w:r>
        <w:rPr>
          <w:sz w:val="24"/>
        </w:rPr>
        <w:t>receives a submission in response to an invitation for submissions that is made under this Chapter (whether or not the submission was made before the time for making it has expired), the </w:t>
      </w:r>
      <w:r>
        <w:rPr>
          <w:i/>
          <w:sz w:val="24"/>
        </w:rPr>
        <w:t>AER </w:t>
      </w:r>
      <w:r>
        <w:rPr>
          <w:sz w:val="24"/>
        </w:rPr>
        <w:t>must </w:t>
      </w:r>
      <w:r>
        <w:rPr>
          <w:i/>
          <w:sz w:val="24"/>
        </w:rPr>
        <w:t>publish </w:t>
      </w:r>
      <w:r>
        <w:rPr>
          <w:sz w:val="24"/>
        </w:rPr>
        <w:t>that</w:t>
      </w:r>
      <w:r>
        <w:rPr>
          <w:spacing w:val="-5"/>
          <w:sz w:val="24"/>
        </w:rPr>
        <w:t> </w:t>
      </w:r>
      <w:r>
        <w:rPr>
          <w:sz w:val="24"/>
        </w:rPr>
        <w:t>submission.</w:t>
      </w:r>
    </w:p>
    <w:p>
      <w:pPr>
        <w:pStyle w:val="ListParagraph"/>
        <w:numPr>
          <w:ilvl w:val="2"/>
          <w:numId w:val="42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not </w:t>
      </w:r>
      <w:r>
        <w:rPr>
          <w:i/>
          <w:sz w:val="24"/>
        </w:rPr>
        <w:t>publish </w:t>
      </w:r>
      <w:r>
        <w:rPr>
          <w:sz w:val="24"/>
        </w:rPr>
        <w:t>a submission referred to in paragraph (c) to the extent it contains information which has been clearly identified as confidential by the person making the</w:t>
      </w:r>
      <w:r>
        <w:rPr>
          <w:spacing w:val="-2"/>
          <w:sz w:val="24"/>
        </w:rPr>
        <w:t> </w:t>
      </w:r>
      <w:r>
        <w:rPr>
          <w:sz w:val="24"/>
        </w:rPr>
        <w:t>submission.</w:t>
      </w:r>
    </w:p>
    <w:p>
      <w:pPr>
        <w:pStyle w:val="ListParagraph"/>
        <w:numPr>
          <w:ilvl w:val="2"/>
          <w:numId w:val="425"/>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give such weight to </w:t>
      </w:r>
      <w:r>
        <w:rPr>
          <w:i/>
          <w:sz w:val="24"/>
        </w:rPr>
        <w:t>confidential information </w:t>
      </w:r>
      <w:r>
        <w:rPr>
          <w:sz w:val="24"/>
        </w:rPr>
        <w:t>identified in accordance with paragraph (d) in a submission as it considers appropriate, having regard to the fact that such information has not been made publicly available.</w:t>
      </w:r>
    </w:p>
    <w:p>
      <w:pPr>
        <w:pStyle w:val="ListParagraph"/>
        <w:numPr>
          <w:ilvl w:val="2"/>
          <w:numId w:val="425"/>
        </w:numPr>
        <w:tabs>
          <w:tab w:pos="1920" w:val="left" w:leader="none"/>
        </w:tabs>
        <w:spacing w:line="240" w:lineRule="auto" w:before="120" w:after="0"/>
        <w:ind w:left="1919" w:right="414" w:hanging="567"/>
        <w:jc w:val="both"/>
        <w:rPr>
          <w:sz w:val="24"/>
        </w:rPr>
      </w:pPr>
      <w:r>
        <w:rPr>
          <w:sz w:val="24"/>
        </w:rPr>
        <w:t>Paragraph (d) does not apply to the extent that any other provision of the Law or the </w:t>
      </w:r>
      <w:r>
        <w:rPr>
          <w:i/>
          <w:sz w:val="24"/>
        </w:rPr>
        <w:t>Rules </w:t>
      </w:r>
      <w:r>
        <w:rPr>
          <w:sz w:val="24"/>
        </w:rPr>
        <w:t>permits or requires such information to be publicly released by the</w:t>
      </w:r>
      <w:r>
        <w:rPr>
          <w:spacing w:val="-1"/>
          <w:sz w:val="24"/>
        </w:rPr>
        <w:t> </w:t>
      </w:r>
      <w:r>
        <w:rPr>
          <w:i/>
          <w:sz w:val="24"/>
        </w:rPr>
        <w:t>AER</w:t>
      </w:r>
      <w:r>
        <w:rPr>
          <w:sz w:val="24"/>
        </w:rPr>
        <w:t>.</w:t>
      </w:r>
    </w:p>
    <w:p>
      <w:pPr>
        <w:pStyle w:val="BodyText"/>
        <w:spacing w:before="10"/>
        <w:ind w:firstLine="0"/>
        <w:jc w:val="left"/>
        <w:rPr>
          <w:sz w:val="20"/>
        </w:rPr>
      </w:pPr>
    </w:p>
    <w:p>
      <w:pPr>
        <w:pStyle w:val="Heading3"/>
        <w:numPr>
          <w:ilvl w:val="1"/>
          <w:numId w:val="442"/>
        </w:numPr>
        <w:tabs>
          <w:tab w:pos="725" w:val="left" w:leader="none"/>
          <w:tab w:pos="1351" w:val="left" w:leader="none"/>
        </w:tabs>
        <w:spacing w:line="240" w:lineRule="auto" w:before="0" w:after="0"/>
        <w:ind w:left="724" w:right="0" w:hanging="507"/>
        <w:jc w:val="left"/>
        <w:rPr>
          <w:sz w:val="24"/>
        </w:rPr>
      </w:pPr>
      <w:bookmarkStart w:name="6.14A Distribution Confidentiality Guide" w:id="1506"/>
      <w:bookmarkEnd w:id="1506"/>
      <w:r>
        <w:rPr>
          <w:b w:val="0"/>
        </w:rPr>
      </w:r>
      <w:bookmarkStart w:name="_bookmark603" w:id="1507"/>
      <w:bookmarkEnd w:id="1507"/>
      <w:r>
        <w:rPr>
          <w:b w:val="0"/>
        </w:rPr>
      </w:r>
      <w:bookmarkStart w:name="_bookmark603" w:id="1508"/>
      <w:bookmarkEnd w:id="1508"/>
      <w:r>
        <w:rPr/>
        <w:t>A</w:t>
      </w:r>
      <w:r>
        <w:rPr/>
        <w:tab/>
        <w:t>Distribution Confidentiality</w:t>
      </w:r>
      <w:r>
        <w:rPr>
          <w:spacing w:val="-1"/>
        </w:rPr>
        <w:t> </w:t>
      </w:r>
      <w:r>
        <w:rPr/>
        <w:t>Guidelines</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make and </w:t>
      </w:r>
      <w:r>
        <w:rPr>
          <w:i/>
          <w:sz w:val="24"/>
        </w:rPr>
        <w:t>publish </w:t>
      </w:r>
      <w:r>
        <w:rPr>
          <w:sz w:val="24"/>
        </w:rPr>
        <w:t>guidelines (</w:t>
      </w:r>
      <w:r>
        <w:rPr>
          <w:i/>
          <w:sz w:val="24"/>
        </w:rPr>
        <w:t>Distribution Confidentiality</w:t>
      </w:r>
      <w:r>
        <w:rPr>
          <w:i/>
          <w:spacing w:val="-6"/>
          <w:sz w:val="24"/>
        </w:rPr>
        <w:t> </w:t>
      </w:r>
      <w:r>
        <w:rPr>
          <w:i/>
          <w:sz w:val="24"/>
        </w:rPr>
        <w:t>Guidelines</w:t>
      </w:r>
      <w:r>
        <w:rPr>
          <w:sz w:val="24"/>
        </w:rPr>
        <w:t>).</w:t>
      </w:r>
    </w:p>
    <w:p>
      <w:pPr>
        <w:pStyle w:val="ListParagraph"/>
        <w:numPr>
          <w:ilvl w:val="2"/>
          <w:numId w:val="442"/>
        </w:numPr>
        <w:tabs>
          <w:tab w:pos="1919" w:val="left" w:leader="none"/>
        </w:tabs>
        <w:spacing w:line="240" w:lineRule="auto" w:before="120" w:after="0"/>
        <w:ind w:left="1919" w:right="415" w:hanging="567"/>
        <w:jc w:val="both"/>
        <w:rPr>
          <w:i/>
          <w:sz w:val="24"/>
        </w:rPr>
      </w:pPr>
      <w:r>
        <w:rPr>
          <w:sz w:val="24"/>
        </w:rPr>
        <w:t>The </w:t>
      </w:r>
      <w:r>
        <w:rPr>
          <w:i/>
          <w:sz w:val="24"/>
        </w:rPr>
        <w:t>Distribution Confidentiality Guidelines </w:t>
      </w:r>
      <w:r>
        <w:rPr>
          <w:sz w:val="24"/>
        </w:rPr>
        <w:t>must specify the manner in which the </w:t>
      </w:r>
      <w:r>
        <w:rPr>
          <w:i/>
          <w:sz w:val="24"/>
        </w:rPr>
        <w:t>Distribution Network Service Provider </w:t>
      </w:r>
      <w:r>
        <w:rPr>
          <w:sz w:val="24"/>
        </w:rPr>
        <w:t>may make confidentiality claims in its </w:t>
      </w:r>
      <w:r>
        <w:rPr>
          <w:i/>
          <w:sz w:val="24"/>
        </w:rPr>
        <w:t>regulatory proposal</w:t>
      </w:r>
      <w:r>
        <w:rPr>
          <w:sz w:val="24"/>
        </w:rPr>
        <w:t>, which may include categories of confidential information by reference to which </w:t>
      </w:r>
      <w:r>
        <w:rPr>
          <w:i/>
          <w:sz w:val="24"/>
        </w:rPr>
        <w:t>Distribution Network</w:t>
      </w:r>
      <w:r>
        <w:rPr>
          <w:i/>
          <w:spacing w:val="1"/>
          <w:sz w:val="24"/>
        </w:rPr>
        <w:t> </w:t>
      </w:r>
      <w:r>
        <w:rPr>
          <w:i/>
          <w:sz w:val="24"/>
        </w:rPr>
        <w:t>Service</w:t>
      </w:r>
    </w:p>
    <w:p>
      <w:pPr>
        <w:spacing w:after="0" w:line="240" w:lineRule="auto"/>
        <w:jc w:val="both"/>
        <w:rPr>
          <w:sz w:val="24"/>
        </w:rPr>
        <w:sectPr>
          <w:pgSz w:w="11910" w:h="16840"/>
          <w:pgMar w:header="686" w:footer="637" w:top="1320" w:bottom="820" w:left="1200" w:right="1000"/>
        </w:sectPr>
      </w:pPr>
    </w:p>
    <w:p>
      <w:pPr>
        <w:spacing w:before="83"/>
        <w:ind w:left="1919" w:right="414" w:firstLine="0"/>
        <w:jc w:val="both"/>
        <w:rPr>
          <w:sz w:val="24"/>
        </w:rPr>
      </w:pPr>
      <w:r>
        <w:rPr>
          <w:i/>
          <w:sz w:val="24"/>
        </w:rPr>
        <w:t>Providers </w:t>
      </w:r>
      <w:r>
        <w:rPr>
          <w:sz w:val="24"/>
        </w:rPr>
        <w:t>must classify any claims of confidentiality in their </w:t>
      </w:r>
      <w:r>
        <w:rPr>
          <w:i/>
          <w:sz w:val="24"/>
        </w:rPr>
        <w:t>regulatory </w:t>
      </w:r>
      <w:r>
        <w:rPr>
          <w:i/>
          <w:sz w:val="24"/>
        </w:rPr>
        <w:t>proposals</w:t>
      </w:r>
      <w:r>
        <w:rPr>
          <w:sz w:val="24"/>
        </w:rPr>
        <w:t>.</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There must be </w:t>
      </w:r>
      <w:r>
        <w:rPr>
          <w:i/>
          <w:sz w:val="24"/>
        </w:rPr>
        <w:t>Distribution Confidentiality Guidelines </w:t>
      </w:r>
      <w:r>
        <w:rPr>
          <w:sz w:val="24"/>
        </w:rPr>
        <w:t>in force at all times after the date on which the </w:t>
      </w:r>
      <w:r>
        <w:rPr>
          <w:i/>
          <w:sz w:val="24"/>
        </w:rPr>
        <w:t>AER </w:t>
      </w:r>
      <w:r>
        <w:rPr>
          <w:sz w:val="24"/>
        </w:rPr>
        <w:t>first </w:t>
      </w:r>
      <w:r>
        <w:rPr>
          <w:i/>
          <w:sz w:val="24"/>
        </w:rPr>
        <w:t>publishes </w:t>
      </w:r>
      <w:r>
        <w:rPr>
          <w:sz w:val="24"/>
        </w:rPr>
        <w:t>the </w:t>
      </w:r>
      <w:r>
        <w:rPr>
          <w:i/>
          <w:sz w:val="24"/>
        </w:rPr>
        <w:t>Distribution </w:t>
      </w:r>
      <w:r>
        <w:rPr>
          <w:i/>
          <w:sz w:val="24"/>
        </w:rPr>
        <w:t>Confidentiality Guidelines </w:t>
      </w:r>
      <w:r>
        <w:rPr>
          <w:sz w:val="24"/>
        </w:rPr>
        <w:t>under these</w:t>
      </w:r>
      <w:r>
        <w:rPr>
          <w:spacing w:val="-1"/>
          <w:sz w:val="24"/>
        </w:rPr>
        <w:t> </w:t>
      </w:r>
      <w:r>
        <w:rPr>
          <w:i/>
          <w:sz w:val="24"/>
        </w:rPr>
        <w:t>Rules</w:t>
      </w:r>
      <w:r>
        <w:rPr>
          <w:sz w:val="24"/>
        </w:rPr>
        <w:t>.</w:t>
      </w:r>
    </w:p>
    <w:p>
      <w:pPr>
        <w:pStyle w:val="ListParagraph"/>
        <w:numPr>
          <w:ilvl w:val="2"/>
          <w:numId w:val="442"/>
        </w:numPr>
        <w:tabs>
          <w:tab w:pos="1919" w:val="left" w:leader="none"/>
        </w:tabs>
        <w:spacing w:line="240" w:lineRule="auto" w:before="120" w:after="0"/>
        <w:ind w:left="1919" w:right="417" w:hanging="567"/>
        <w:jc w:val="both"/>
        <w:rPr>
          <w:sz w:val="24"/>
        </w:rPr>
      </w:pPr>
      <w:r>
        <w:rPr>
          <w:sz w:val="24"/>
        </w:rPr>
        <w:t>The </w:t>
      </w:r>
      <w:r>
        <w:rPr>
          <w:i/>
          <w:sz w:val="24"/>
        </w:rPr>
        <w:t>Distribution Confidentiality Guidelines </w:t>
      </w:r>
      <w:r>
        <w:rPr>
          <w:sz w:val="24"/>
        </w:rPr>
        <w:t>are binding on the </w:t>
      </w:r>
      <w:r>
        <w:rPr>
          <w:i/>
          <w:sz w:val="24"/>
        </w:rPr>
        <w:t>AER </w:t>
      </w:r>
      <w:r>
        <w:rPr>
          <w:sz w:val="24"/>
        </w:rPr>
        <w:t>and each </w:t>
      </w:r>
      <w:r>
        <w:rPr>
          <w:i/>
          <w:sz w:val="24"/>
        </w:rPr>
        <w:t>Distribution Network Service Provider </w:t>
      </w:r>
      <w:r>
        <w:rPr>
          <w:sz w:val="24"/>
        </w:rPr>
        <w:t>to which they</w:t>
      </w:r>
      <w:r>
        <w:rPr>
          <w:spacing w:val="-6"/>
          <w:sz w:val="24"/>
        </w:rPr>
        <w:t> </w:t>
      </w:r>
      <w:r>
        <w:rPr>
          <w:sz w:val="24"/>
        </w:rPr>
        <w:t>apply.</w:t>
      </w:r>
    </w:p>
    <w:p>
      <w:pPr>
        <w:pStyle w:val="BodyText"/>
        <w:ind w:left="1352" w:firstLine="0"/>
      </w:pPr>
      <w:r>
        <w:rPr/>
        <w:t>(da) For the application of these </w:t>
      </w:r>
      <w:r>
        <w:rPr>
          <w:i/>
        </w:rPr>
        <w:t>Rules </w:t>
      </w:r>
      <w:r>
        <w:rPr/>
        <w:t>in this jurisdiction:</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the </w:t>
      </w:r>
      <w:r>
        <w:rPr>
          <w:i/>
          <w:sz w:val="24"/>
        </w:rPr>
        <w:t>Distribution Confidentiality Guidelines </w:t>
      </w:r>
      <w:r>
        <w:rPr>
          <w:sz w:val="24"/>
        </w:rPr>
        <w:t>that are in force in the other </w:t>
      </w:r>
      <w:r>
        <w:rPr>
          <w:i/>
          <w:sz w:val="24"/>
        </w:rPr>
        <w:t>participating jurisdictions </w:t>
      </w:r>
      <w:r>
        <w:rPr>
          <w:sz w:val="24"/>
        </w:rPr>
        <w:t>on 1 July 2016 are</w:t>
      </w:r>
      <w:r>
        <w:rPr>
          <w:spacing w:val="-3"/>
          <w:sz w:val="24"/>
        </w:rPr>
        <w:t> </w:t>
      </w:r>
      <w:r>
        <w:rPr>
          <w:sz w:val="24"/>
        </w:rPr>
        <w:t>taken:</w:t>
      </w:r>
    </w:p>
    <w:p>
      <w:pPr>
        <w:pStyle w:val="ListParagraph"/>
        <w:numPr>
          <w:ilvl w:val="4"/>
          <w:numId w:val="442"/>
        </w:numPr>
        <w:tabs>
          <w:tab w:pos="3053" w:val="left" w:leader="none"/>
        </w:tabs>
        <w:spacing w:line="240" w:lineRule="auto" w:before="120" w:after="0"/>
        <w:ind w:left="3053" w:right="415" w:hanging="567"/>
        <w:jc w:val="both"/>
        <w:rPr>
          <w:sz w:val="24"/>
        </w:rPr>
      </w:pPr>
      <w:r>
        <w:rPr>
          <w:sz w:val="24"/>
        </w:rPr>
        <w:t>to be the </w:t>
      </w:r>
      <w:r>
        <w:rPr>
          <w:i/>
          <w:sz w:val="24"/>
        </w:rPr>
        <w:t>Distribution Confidentiality Guidelines </w:t>
      </w:r>
      <w:r>
        <w:rPr>
          <w:sz w:val="24"/>
        </w:rPr>
        <w:t>in force in this jurisdiction (subject to any amendment or replacement </w:t>
      </w:r>
      <w:r>
        <w:rPr>
          <w:spacing w:val="-3"/>
          <w:sz w:val="24"/>
        </w:rPr>
        <w:t>under </w:t>
      </w:r>
      <w:r>
        <w:rPr>
          <w:sz w:val="24"/>
        </w:rPr>
        <w:t>these </w:t>
      </w:r>
      <w:r>
        <w:rPr>
          <w:i/>
          <w:sz w:val="24"/>
        </w:rPr>
        <w:t>Rules</w:t>
      </w:r>
      <w:r>
        <w:rPr>
          <w:sz w:val="24"/>
        </w:rPr>
        <w:t>);</w:t>
      </w:r>
      <w:r>
        <w:rPr>
          <w:spacing w:val="-1"/>
          <w:sz w:val="24"/>
        </w:rPr>
        <w:t> </w:t>
      </w:r>
      <w:r>
        <w:rPr>
          <w:sz w:val="24"/>
        </w:rPr>
        <w:t>and</w:t>
      </w:r>
    </w:p>
    <w:p>
      <w:pPr>
        <w:pStyle w:val="ListParagraph"/>
        <w:numPr>
          <w:ilvl w:val="4"/>
          <w:numId w:val="442"/>
        </w:numPr>
        <w:tabs>
          <w:tab w:pos="3054" w:val="left" w:leader="none"/>
        </w:tabs>
        <w:spacing w:line="240" w:lineRule="auto" w:before="120" w:after="0"/>
        <w:ind w:left="3053" w:right="416" w:hanging="567"/>
        <w:jc w:val="both"/>
        <w:rPr>
          <w:sz w:val="24"/>
        </w:rPr>
      </w:pPr>
      <w:r>
        <w:rPr>
          <w:sz w:val="24"/>
        </w:rPr>
        <w:t>to have been made and </w:t>
      </w:r>
      <w:r>
        <w:rPr>
          <w:i/>
          <w:sz w:val="24"/>
        </w:rPr>
        <w:t>published </w:t>
      </w:r>
      <w:r>
        <w:rPr>
          <w:sz w:val="24"/>
        </w:rPr>
        <w:t>by the </w:t>
      </w:r>
      <w:r>
        <w:rPr>
          <w:i/>
          <w:sz w:val="24"/>
        </w:rPr>
        <w:t>AER </w:t>
      </w:r>
      <w:r>
        <w:rPr>
          <w:sz w:val="24"/>
        </w:rPr>
        <w:t>on 1 July 2016; 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(a) and (b) in making and </w:t>
      </w:r>
      <w:r>
        <w:rPr>
          <w:i/>
          <w:sz w:val="24"/>
        </w:rPr>
        <w:t>publishing </w:t>
      </w:r>
      <w:r>
        <w:rPr>
          <w:sz w:val="24"/>
        </w:rPr>
        <w:t>the </w:t>
      </w:r>
      <w:r>
        <w:rPr>
          <w:i/>
          <w:sz w:val="24"/>
        </w:rPr>
        <w:t>Distribution </w:t>
      </w:r>
      <w:r>
        <w:rPr>
          <w:i/>
          <w:sz w:val="24"/>
        </w:rPr>
        <w:t>Confidentiality</w:t>
      </w:r>
      <w:r>
        <w:rPr>
          <w:i/>
          <w:spacing w:val="-1"/>
          <w:sz w:val="24"/>
        </w:rPr>
        <w:t> </w:t>
      </w:r>
      <w:r>
        <w:rPr>
          <w:i/>
          <w:sz w:val="24"/>
        </w:rPr>
        <w:t>Guidelines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F Cost Allocation" w:id="1509"/>
      <w:bookmarkEnd w:id="1509"/>
      <w:r>
        <w:rPr>
          <w:b w:val="0"/>
        </w:rPr>
      </w:r>
      <w:bookmarkStart w:name="_bookmark604" w:id="1510"/>
      <w:bookmarkEnd w:id="1510"/>
      <w:r>
        <w:rPr>
          <w:b w:val="0"/>
        </w:rPr>
      </w:r>
      <w:r>
        <w:rPr>
          <w:shd w:fill="D9D9D9" w:color="auto" w:val="clear"/>
        </w:rPr>
        <w:t>Part F</w:t>
        <w:tab/>
        <w:t>Cost</w:t>
      </w:r>
      <w:r>
        <w:rPr>
          <w:spacing w:val="-13"/>
          <w:shd w:fill="D9D9D9" w:color="auto" w:val="clear"/>
        </w:rPr>
        <w:t> </w:t>
      </w:r>
      <w:r>
        <w:rPr>
          <w:shd w:fill="D9D9D9" w:color="auto" w:val="clear"/>
        </w:rPr>
        <w:t>Allocation</w:t>
        <w:tab/>
      </w:r>
    </w:p>
    <w:p>
      <w:pPr>
        <w:pStyle w:val="Heading3"/>
        <w:numPr>
          <w:ilvl w:val="1"/>
          <w:numId w:val="442"/>
        </w:numPr>
        <w:tabs>
          <w:tab w:pos="1351" w:val="left" w:leader="none"/>
          <w:tab w:pos="1353" w:val="left" w:leader="none"/>
        </w:tabs>
        <w:spacing w:line="240" w:lineRule="auto" w:before="240" w:after="0"/>
        <w:ind w:left="1352" w:right="0" w:hanging="1135"/>
        <w:jc w:val="left"/>
      </w:pPr>
      <w:bookmarkStart w:name="6.15 Cost allocation" w:id="1511"/>
      <w:bookmarkEnd w:id="1511"/>
      <w:r>
        <w:rPr>
          <w:b w:val="0"/>
        </w:rPr>
      </w:r>
      <w:bookmarkStart w:name="_bookmark605" w:id="1512"/>
      <w:bookmarkEnd w:id="1512"/>
      <w:r>
        <w:rPr>
          <w:b w:val="0"/>
        </w:rPr>
      </w:r>
      <w:bookmarkStart w:name="_bookmark605" w:id="1513"/>
      <w:bookmarkEnd w:id="1513"/>
      <w:r>
        <w:rPr/>
        <w:t>Cos</w:t>
      </w:r>
      <w:r>
        <w:rPr/>
        <w:t>t</w:t>
      </w:r>
      <w:r>
        <w:rPr>
          <w:spacing w:val="-2"/>
        </w:rPr>
        <w:t> </w:t>
      </w:r>
      <w:r>
        <w:rPr/>
        <w:t>allocation</w:t>
      </w:r>
    </w:p>
    <w:p>
      <w:pPr>
        <w:pStyle w:val="Heading4"/>
        <w:numPr>
          <w:ilvl w:val="2"/>
          <w:numId w:val="443"/>
        </w:numPr>
        <w:tabs>
          <w:tab w:pos="1351" w:val="left" w:leader="none"/>
          <w:tab w:pos="1352" w:val="left" w:leader="none"/>
        </w:tabs>
        <w:spacing w:line="240" w:lineRule="auto" w:before="240" w:after="0"/>
        <w:ind w:left="1351" w:right="0" w:hanging="1134"/>
        <w:jc w:val="left"/>
      </w:pPr>
      <w:bookmarkStart w:name="6.15.1 Duty to comply with Cost Allocati" w:id="1514"/>
      <w:bookmarkEnd w:id="1514"/>
      <w:r>
        <w:rPr>
          <w:b w:val="0"/>
        </w:rPr>
      </w:r>
      <w:bookmarkStart w:name="_bookmark606" w:id="1515"/>
      <w:bookmarkEnd w:id="1515"/>
      <w:r>
        <w:rPr>
          <w:b w:val="0"/>
        </w:rPr>
      </w:r>
      <w:bookmarkStart w:name="_bookmark606" w:id="1516"/>
      <w:bookmarkEnd w:id="1516"/>
      <w:r>
        <w:rPr/>
        <w:t>Dut</w:t>
      </w:r>
      <w:r>
        <w:rPr/>
        <w:t>y to comply with Cost Allocation</w:t>
      </w:r>
      <w:r>
        <w:rPr>
          <w:spacing w:val="-5"/>
        </w:rPr>
        <w:t> </w:t>
      </w:r>
      <w:r>
        <w:rPr/>
        <w:t>Method</w:t>
      </w:r>
    </w:p>
    <w:p>
      <w:pPr>
        <w:spacing w:before="120"/>
        <w:ind w:left="1352" w:right="415" w:firstLine="0"/>
        <w:jc w:val="both"/>
        <w:rPr>
          <w:sz w:val="24"/>
        </w:rPr>
      </w:pPr>
      <w:r>
        <w:rPr>
          <w:sz w:val="24"/>
        </w:rPr>
        <w:t>A </w:t>
      </w:r>
      <w:r>
        <w:rPr>
          <w:i/>
          <w:sz w:val="24"/>
        </w:rPr>
        <w:t>Distribution Network Service Provider </w:t>
      </w:r>
      <w:r>
        <w:rPr>
          <w:sz w:val="24"/>
        </w:rPr>
        <w:t>must comply with the </w:t>
      </w:r>
      <w:r>
        <w:rPr>
          <w:i/>
          <w:sz w:val="24"/>
        </w:rPr>
        <w:t>Cost Allocation </w:t>
      </w:r>
      <w:r>
        <w:rPr>
          <w:i/>
          <w:sz w:val="24"/>
        </w:rPr>
        <w:t>Method </w:t>
      </w:r>
      <w:r>
        <w:rPr>
          <w:sz w:val="24"/>
        </w:rPr>
        <w:t>that has been approved in respect of that provider from time to time by  the </w:t>
      </w:r>
      <w:r>
        <w:rPr>
          <w:i/>
          <w:sz w:val="24"/>
        </w:rPr>
        <w:t>AER </w:t>
      </w:r>
      <w:r>
        <w:rPr>
          <w:sz w:val="24"/>
        </w:rPr>
        <w:t>under this rule</w:t>
      </w:r>
      <w:r>
        <w:rPr>
          <w:spacing w:val="-2"/>
          <w:sz w:val="24"/>
        </w:rPr>
        <w:t> </w:t>
      </w:r>
      <w:r>
        <w:rPr>
          <w:sz w:val="24"/>
        </w:rPr>
        <w:t>6.15.</w:t>
      </w:r>
    </w:p>
    <w:p>
      <w:pPr>
        <w:pStyle w:val="BodyText"/>
        <w:spacing w:before="10"/>
        <w:ind w:firstLine="0"/>
        <w:jc w:val="left"/>
        <w:rPr>
          <w:sz w:val="20"/>
        </w:rPr>
      </w:pPr>
    </w:p>
    <w:p>
      <w:pPr>
        <w:pStyle w:val="Heading4"/>
        <w:numPr>
          <w:ilvl w:val="2"/>
          <w:numId w:val="443"/>
        </w:numPr>
        <w:tabs>
          <w:tab w:pos="1351" w:val="left" w:leader="none"/>
          <w:tab w:pos="1352" w:val="left" w:leader="none"/>
        </w:tabs>
        <w:spacing w:line="240" w:lineRule="auto" w:before="0" w:after="0"/>
        <w:ind w:left="1351" w:right="0" w:hanging="1134"/>
        <w:jc w:val="left"/>
      </w:pPr>
      <w:bookmarkStart w:name="6.15.2 Cost Allocation Principles" w:id="1517"/>
      <w:bookmarkEnd w:id="1517"/>
      <w:r>
        <w:rPr>
          <w:b w:val="0"/>
        </w:rPr>
      </w:r>
      <w:bookmarkStart w:name="_bookmark607" w:id="1518"/>
      <w:bookmarkEnd w:id="1518"/>
      <w:r>
        <w:rPr>
          <w:b w:val="0"/>
        </w:rPr>
      </w:r>
      <w:bookmarkStart w:name="_bookmark607" w:id="1519"/>
      <w:bookmarkEnd w:id="1519"/>
      <w:r>
        <w:rPr/>
        <w:t>Cos</w:t>
      </w:r>
      <w:r>
        <w:rPr/>
        <w:t>t Allocation</w:t>
      </w:r>
      <w:r>
        <w:rPr>
          <w:spacing w:val="-3"/>
        </w:rPr>
        <w:t> </w:t>
      </w:r>
      <w:r>
        <w:rPr/>
        <w:t>Principles</w:t>
      </w:r>
    </w:p>
    <w:p>
      <w:pPr>
        <w:spacing w:before="120"/>
        <w:ind w:left="1352" w:right="0" w:firstLine="0"/>
        <w:jc w:val="both"/>
        <w:rPr>
          <w:sz w:val="24"/>
        </w:rPr>
      </w:pPr>
      <w:r>
        <w:rPr>
          <w:sz w:val="24"/>
        </w:rPr>
        <w:t>The following principles constitute the </w:t>
      </w:r>
      <w:r>
        <w:rPr>
          <w:i/>
          <w:sz w:val="24"/>
        </w:rPr>
        <w:t>Cost Allocation Principles</w:t>
      </w:r>
      <w:r>
        <w:rPr>
          <w:sz w:val="24"/>
        </w:rPr>
        <w:t>:</w:t>
      </w:r>
    </w:p>
    <w:p>
      <w:pPr>
        <w:pStyle w:val="ListParagraph"/>
        <w:numPr>
          <w:ilvl w:val="3"/>
          <w:numId w:val="443"/>
        </w:numPr>
        <w:tabs>
          <w:tab w:pos="1919" w:val="left" w:leader="none"/>
        </w:tabs>
        <w:spacing w:line="240" w:lineRule="auto" w:before="120" w:after="0"/>
        <w:ind w:left="1919" w:right="415" w:hanging="567"/>
        <w:jc w:val="both"/>
        <w:rPr>
          <w:sz w:val="24"/>
        </w:rPr>
      </w:pPr>
      <w:r>
        <w:rPr>
          <w:sz w:val="24"/>
        </w:rPr>
        <w:t>the detailed principles and policies used by a </w:t>
      </w:r>
      <w:r>
        <w:rPr>
          <w:i/>
          <w:sz w:val="24"/>
        </w:rPr>
        <w:t>Distribution Network Service </w:t>
      </w:r>
      <w:r>
        <w:rPr>
          <w:i/>
          <w:sz w:val="24"/>
        </w:rPr>
        <w:t>Provider </w:t>
      </w:r>
      <w:r>
        <w:rPr>
          <w:sz w:val="24"/>
        </w:rPr>
        <w:t>to allocate costs between different categories of </w:t>
      </w:r>
      <w:r>
        <w:rPr>
          <w:i/>
          <w:sz w:val="24"/>
        </w:rPr>
        <w:t>distribution </w:t>
      </w:r>
      <w:r>
        <w:rPr>
          <w:i/>
          <w:sz w:val="24"/>
        </w:rPr>
        <w:t>services </w:t>
      </w:r>
      <w:r>
        <w:rPr>
          <w:sz w:val="24"/>
        </w:rPr>
        <w:t>must be described in sufficient detail to enable the </w:t>
      </w:r>
      <w:r>
        <w:rPr>
          <w:i/>
          <w:sz w:val="24"/>
        </w:rPr>
        <w:t>AER </w:t>
      </w:r>
      <w:r>
        <w:rPr>
          <w:sz w:val="24"/>
        </w:rPr>
        <w:t>to replicate reported outcomes through the application of those principles and</w:t>
      </w:r>
      <w:r>
        <w:rPr>
          <w:spacing w:val="-4"/>
          <w:sz w:val="24"/>
        </w:rPr>
        <w:t> </w:t>
      </w:r>
      <w:r>
        <w:rPr>
          <w:sz w:val="24"/>
        </w:rPr>
        <w:t>policies;</w:t>
      </w:r>
    </w:p>
    <w:p>
      <w:pPr>
        <w:pStyle w:val="ListParagraph"/>
        <w:numPr>
          <w:ilvl w:val="3"/>
          <w:numId w:val="443"/>
        </w:numPr>
        <w:tabs>
          <w:tab w:pos="1919" w:val="left" w:leader="none"/>
        </w:tabs>
        <w:spacing w:line="240" w:lineRule="auto" w:before="120" w:after="0"/>
        <w:ind w:left="1919" w:right="415" w:hanging="567"/>
        <w:jc w:val="both"/>
        <w:rPr>
          <w:sz w:val="24"/>
        </w:rPr>
      </w:pPr>
      <w:r>
        <w:rPr>
          <w:sz w:val="24"/>
        </w:rPr>
        <w:t>the allocation of costs must be determined according to the substance of a transaction or event rather than its legal</w:t>
      </w:r>
      <w:r>
        <w:rPr>
          <w:spacing w:val="-1"/>
          <w:sz w:val="24"/>
        </w:rPr>
        <w:t> </w:t>
      </w:r>
      <w:r>
        <w:rPr>
          <w:sz w:val="24"/>
        </w:rPr>
        <w:t>form;</w:t>
      </w:r>
    </w:p>
    <w:p>
      <w:pPr>
        <w:pStyle w:val="ListParagraph"/>
        <w:numPr>
          <w:ilvl w:val="3"/>
          <w:numId w:val="443"/>
        </w:numPr>
        <w:tabs>
          <w:tab w:pos="1919" w:val="left" w:leader="none"/>
        </w:tabs>
        <w:spacing w:line="240" w:lineRule="auto" w:before="120" w:after="0"/>
        <w:ind w:left="1918" w:right="0" w:hanging="567"/>
        <w:jc w:val="both"/>
        <w:rPr>
          <w:sz w:val="24"/>
        </w:rPr>
      </w:pPr>
      <w:r>
        <w:rPr>
          <w:sz w:val="24"/>
        </w:rPr>
        <w:t>only</w:t>
      </w:r>
      <w:r>
        <w:rPr>
          <w:spacing w:val="14"/>
          <w:sz w:val="24"/>
        </w:rPr>
        <w:t> </w:t>
      </w:r>
      <w:r>
        <w:rPr>
          <w:sz w:val="24"/>
        </w:rPr>
        <w:t>the</w:t>
      </w:r>
      <w:r>
        <w:rPr>
          <w:spacing w:val="15"/>
          <w:sz w:val="24"/>
        </w:rPr>
        <w:t> </w:t>
      </w:r>
      <w:r>
        <w:rPr>
          <w:sz w:val="24"/>
        </w:rPr>
        <w:t>following</w:t>
      </w:r>
      <w:r>
        <w:rPr>
          <w:spacing w:val="15"/>
          <w:sz w:val="24"/>
        </w:rPr>
        <w:t> </w:t>
      </w:r>
      <w:r>
        <w:rPr>
          <w:sz w:val="24"/>
        </w:rPr>
        <w:t>costs</w:t>
      </w:r>
      <w:r>
        <w:rPr>
          <w:spacing w:val="15"/>
          <w:sz w:val="24"/>
        </w:rPr>
        <w:t> </w:t>
      </w:r>
      <w:r>
        <w:rPr>
          <w:sz w:val="24"/>
        </w:rPr>
        <w:t>may</w:t>
      </w:r>
      <w:r>
        <w:rPr>
          <w:spacing w:val="15"/>
          <w:sz w:val="24"/>
        </w:rPr>
        <w:t> </w:t>
      </w:r>
      <w:r>
        <w:rPr>
          <w:sz w:val="24"/>
        </w:rPr>
        <w:t>be</w:t>
      </w:r>
      <w:r>
        <w:rPr>
          <w:spacing w:val="15"/>
          <w:sz w:val="24"/>
        </w:rPr>
        <w:t> </w:t>
      </w:r>
      <w:r>
        <w:rPr>
          <w:sz w:val="24"/>
        </w:rPr>
        <w:t>allocated</w:t>
      </w:r>
      <w:r>
        <w:rPr>
          <w:spacing w:val="15"/>
          <w:sz w:val="24"/>
        </w:rPr>
        <w:t> </w:t>
      </w:r>
      <w:r>
        <w:rPr>
          <w:sz w:val="24"/>
        </w:rPr>
        <w:t>to</w:t>
      </w:r>
      <w:r>
        <w:rPr>
          <w:spacing w:val="14"/>
          <w:sz w:val="24"/>
        </w:rPr>
        <w:t> </w:t>
      </w:r>
      <w:r>
        <w:rPr>
          <w:sz w:val="24"/>
        </w:rPr>
        <w:t>a</w:t>
      </w:r>
      <w:r>
        <w:rPr>
          <w:spacing w:val="15"/>
          <w:sz w:val="24"/>
        </w:rPr>
        <w:t> </w:t>
      </w:r>
      <w:r>
        <w:rPr>
          <w:sz w:val="24"/>
        </w:rPr>
        <w:t>particular</w:t>
      </w:r>
      <w:r>
        <w:rPr>
          <w:spacing w:val="15"/>
          <w:sz w:val="24"/>
        </w:rPr>
        <w:t> </w:t>
      </w:r>
      <w:r>
        <w:rPr>
          <w:sz w:val="24"/>
        </w:rPr>
        <w:t>category</w:t>
      </w:r>
      <w:r>
        <w:rPr>
          <w:spacing w:val="15"/>
          <w:sz w:val="24"/>
        </w:rPr>
        <w:t> </w:t>
      </w:r>
      <w:r>
        <w:rPr>
          <w:sz w:val="24"/>
        </w:rPr>
        <w:t>of</w:t>
      </w:r>
    </w:p>
    <w:p>
      <w:pPr>
        <w:spacing w:before="0"/>
        <w:ind w:left="1919" w:right="0" w:firstLine="0"/>
        <w:jc w:val="both"/>
        <w:rPr>
          <w:sz w:val="24"/>
        </w:rPr>
      </w:pPr>
      <w:r>
        <w:rPr>
          <w:i/>
          <w:sz w:val="24"/>
        </w:rPr>
        <w:t>distribution services</w:t>
      </w:r>
      <w:r>
        <w:rPr>
          <w:sz w:val="24"/>
        </w:rPr>
        <w:t>:</w:t>
      </w:r>
    </w:p>
    <w:p>
      <w:pPr>
        <w:pStyle w:val="ListParagraph"/>
        <w:numPr>
          <w:ilvl w:val="4"/>
          <w:numId w:val="443"/>
        </w:numPr>
        <w:tabs>
          <w:tab w:pos="2486" w:val="left" w:leader="none"/>
        </w:tabs>
        <w:spacing w:line="240" w:lineRule="auto" w:before="120" w:after="0"/>
        <w:ind w:left="2485" w:right="0" w:hanging="567"/>
        <w:jc w:val="both"/>
        <w:rPr>
          <w:sz w:val="24"/>
        </w:rPr>
      </w:pPr>
      <w:r>
        <w:rPr>
          <w:sz w:val="24"/>
        </w:rPr>
        <w:t>costs which are directly attributable to the provision of those</w:t>
      </w:r>
      <w:r>
        <w:rPr>
          <w:spacing w:val="-10"/>
          <w:sz w:val="24"/>
        </w:rPr>
        <w:t> </w:t>
      </w:r>
      <w:r>
        <w:rPr>
          <w:sz w:val="24"/>
        </w:rPr>
        <w:t>services;</w:t>
      </w:r>
    </w:p>
    <w:p>
      <w:pPr>
        <w:pStyle w:val="ListParagraph"/>
        <w:numPr>
          <w:ilvl w:val="4"/>
          <w:numId w:val="443"/>
        </w:numPr>
        <w:tabs>
          <w:tab w:pos="2487" w:val="left" w:leader="none"/>
        </w:tabs>
        <w:spacing w:line="240" w:lineRule="auto" w:before="120" w:after="0"/>
        <w:ind w:left="2486" w:right="415" w:hanging="567"/>
        <w:jc w:val="both"/>
        <w:rPr>
          <w:sz w:val="24"/>
        </w:rPr>
      </w:pPr>
      <w:r>
        <w:rPr>
          <w:sz w:val="24"/>
        </w:rPr>
        <w:t>costs which are not directly attributable to the provision of those services but which are incurred in providing those services, in which case such costs must be allocated to the provision of those services using an appropriate allocator which</w:t>
      </w:r>
      <w:r>
        <w:rPr>
          <w:spacing w:val="-3"/>
          <w:sz w:val="24"/>
        </w:rPr>
        <w:t> </w:t>
      </w:r>
      <w:r>
        <w:rPr>
          <w:sz w:val="24"/>
        </w:rPr>
        <w:t>should:</w:t>
      </w:r>
    </w:p>
    <w:p>
      <w:pPr>
        <w:spacing w:after="0" w:line="240" w:lineRule="auto"/>
        <w:jc w:val="both"/>
        <w:rPr>
          <w:sz w:val="24"/>
        </w:rPr>
        <w:sectPr>
          <w:pgSz w:w="11910" w:h="16840"/>
          <w:pgMar w:header="686" w:footer="637" w:top="1320" w:bottom="820" w:left="1200" w:right="1000"/>
        </w:sectPr>
      </w:pPr>
    </w:p>
    <w:p>
      <w:pPr>
        <w:pStyle w:val="ListParagraph"/>
        <w:numPr>
          <w:ilvl w:val="5"/>
          <w:numId w:val="443"/>
        </w:numPr>
        <w:tabs>
          <w:tab w:pos="3053" w:val="left" w:leader="none"/>
        </w:tabs>
        <w:spacing w:line="240" w:lineRule="auto" w:before="83" w:after="0"/>
        <w:ind w:left="3053" w:right="413" w:hanging="567"/>
        <w:jc w:val="both"/>
        <w:rPr>
          <w:sz w:val="24"/>
        </w:rPr>
      </w:pPr>
      <w:r>
        <w:rPr>
          <w:sz w:val="24"/>
        </w:rPr>
        <w:t>except to the extent the cost is immaterial or a causal based method of allocation cannot be established without undue cost and effort, be causation based;</w:t>
      </w:r>
      <w:r>
        <w:rPr>
          <w:spacing w:val="-2"/>
          <w:sz w:val="24"/>
        </w:rPr>
        <w:t> </w:t>
      </w:r>
      <w:r>
        <w:rPr>
          <w:sz w:val="24"/>
        </w:rPr>
        <w:t>and</w:t>
      </w:r>
    </w:p>
    <w:p>
      <w:pPr>
        <w:pStyle w:val="ListParagraph"/>
        <w:numPr>
          <w:ilvl w:val="5"/>
          <w:numId w:val="443"/>
        </w:numPr>
        <w:tabs>
          <w:tab w:pos="3054" w:val="left" w:leader="none"/>
        </w:tabs>
        <w:spacing w:line="240" w:lineRule="auto" w:before="120" w:after="0"/>
        <w:ind w:left="3053" w:right="414" w:hanging="567"/>
        <w:jc w:val="both"/>
        <w:rPr>
          <w:sz w:val="24"/>
        </w:rPr>
      </w:pPr>
      <w:r>
        <w:rPr>
          <w:sz w:val="24"/>
        </w:rPr>
        <w:t>to the extent the cost is immaterial or a causal based method of allocation cannot be established without undue cost and effort, be an allocator that accords with a well accepted cost allocation method;</w:t>
      </w:r>
    </w:p>
    <w:p>
      <w:pPr>
        <w:pStyle w:val="ListParagraph"/>
        <w:numPr>
          <w:ilvl w:val="3"/>
          <w:numId w:val="443"/>
        </w:numPr>
        <w:tabs>
          <w:tab w:pos="1919" w:val="left" w:leader="none"/>
        </w:tabs>
        <w:spacing w:line="240" w:lineRule="auto" w:before="120" w:after="0"/>
        <w:ind w:left="1919" w:right="415" w:hanging="567"/>
        <w:jc w:val="both"/>
        <w:rPr>
          <w:sz w:val="24"/>
        </w:rPr>
      </w:pPr>
      <w:r>
        <w:rPr>
          <w:sz w:val="24"/>
        </w:rPr>
        <w:t>any cost allocation method which is used, the reasons for using that method and the numeric quantity (if any) of the chosen allocator must be clearly described;</w:t>
      </w:r>
    </w:p>
    <w:p>
      <w:pPr>
        <w:pStyle w:val="ListParagraph"/>
        <w:numPr>
          <w:ilvl w:val="3"/>
          <w:numId w:val="443"/>
        </w:numPr>
        <w:tabs>
          <w:tab w:pos="1919" w:val="left" w:leader="none"/>
        </w:tabs>
        <w:spacing w:line="240" w:lineRule="auto" w:before="120" w:after="0"/>
        <w:ind w:left="1918" w:right="0" w:hanging="567"/>
        <w:jc w:val="both"/>
        <w:rPr>
          <w:sz w:val="24"/>
        </w:rPr>
      </w:pPr>
      <w:r>
        <w:rPr>
          <w:sz w:val="24"/>
        </w:rPr>
        <w:t>the same cost must not be allocated more than</w:t>
      </w:r>
      <w:r>
        <w:rPr>
          <w:spacing w:val="-3"/>
          <w:sz w:val="24"/>
        </w:rPr>
        <w:t> </w:t>
      </w:r>
      <w:r>
        <w:rPr>
          <w:sz w:val="24"/>
        </w:rPr>
        <w:t>once;</w:t>
      </w:r>
    </w:p>
    <w:p>
      <w:pPr>
        <w:pStyle w:val="ListParagraph"/>
        <w:numPr>
          <w:ilvl w:val="3"/>
          <w:numId w:val="443"/>
        </w:numPr>
        <w:tabs>
          <w:tab w:pos="1919" w:val="left" w:leader="none"/>
        </w:tabs>
        <w:spacing w:line="240" w:lineRule="auto" w:before="120" w:after="0"/>
        <w:ind w:left="1919" w:right="413" w:hanging="567"/>
        <w:jc w:val="both"/>
        <w:rPr>
          <w:sz w:val="24"/>
        </w:rPr>
      </w:pPr>
      <w:r>
        <w:rPr>
          <w:sz w:val="24"/>
        </w:rPr>
        <w:t>the principles, policies and approach used to allocate costs must be consistent with the </w:t>
      </w:r>
      <w:r>
        <w:rPr>
          <w:i/>
          <w:sz w:val="24"/>
        </w:rPr>
        <w:t>Distribution Ring-Fencing</w:t>
      </w:r>
      <w:r>
        <w:rPr>
          <w:i/>
          <w:spacing w:val="-4"/>
          <w:sz w:val="24"/>
        </w:rPr>
        <w:t> </w:t>
      </w:r>
      <w:r>
        <w:rPr>
          <w:i/>
          <w:sz w:val="24"/>
        </w:rPr>
        <w:t>Guidelines</w:t>
      </w:r>
      <w:r>
        <w:rPr>
          <w:sz w:val="24"/>
        </w:rPr>
        <w:t>;</w:t>
      </w:r>
    </w:p>
    <w:p>
      <w:pPr>
        <w:pStyle w:val="ListParagraph"/>
        <w:numPr>
          <w:ilvl w:val="3"/>
          <w:numId w:val="443"/>
        </w:numPr>
        <w:tabs>
          <w:tab w:pos="1919" w:val="left" w:leader="none"/>
        </w:tabs>
        <w:spacing w:line="240" w:lineRule="auto" w:before="120" w:after="0"/>
        <w:ind w:left="1919" w:right="417" w:hanging="567"/>
        <w:jc w:val="both"/>
        <w:rPr>
          <w:sz w:val="24"/>
        </w:rPr>
      </w:pPr>
      <w:r>
        <w:rPr>
          <w:sz w:val="24"/>
        </w:rPr>
        <w:t>costs which have been allocated to a particular service cannot be reallocated to another service during the course of a </w:t>
      </w:r>
      <w:r>
        <w:rPr>
          <w:i/>
          <w:sz w:val="24"/>
        </w:rPr>
        <w:t>regulatory control</w:t>
      </w:r>
      <w:r>
        <w:rPr>
          <w:i/>
          <w:spacing w:val="-11"/>
          <w:sz w:val="24"/>
        </w:rPr>
        <w:t> </w:t>
      </w:r>
      <w:r>
        <w:rPr>
          <w:i/>
          <w:sz w:val="24"/>
        </w:rPr>
        <w:t>period</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w:t>
      </w:r>
      <w:r>
        <w:rPr>
          <w:i/>
          <w:sz w:val="20"/>
        </w:rPr>
        <w:t>Cost Allocation Guidelines </w:t>
      </w:r>
      <w:r>
        <w:rPr>
          <w:sz w:val="20"/>
        </w:rPr>
        <w:t>are required by clause 6.15.3 to give effect to and be consistent with, the </w:t>
      </w:r>
      <w:r>
        <w:rPr>
          <w:i/>
          <w:sz w:val="20"/>
        </w:rPr>
        <w:t>Cost Allocation Principles</w:t>
      </w:r>
      <w:r>
        <w:rPr>
          <w:sz w:val="20"/>
        </w:rPr>
        <w:t>.</w:t>
      </w:r>
    </w:p>
    <w:p>
      <w:pPr>
        <w:pStyle w:val="BodyText"/>
        <w:spacing w:before="10"/>
        <w:ind w:firstLine="0"/>
        <w:jc w:val="left"/>
        <w:rPr>
          <w:sz w:val="20"/>
        </w:rPr>
      </w:pPr>
    </w:p>
    <w:p>
      <w:pPr>
        <w:pStyle w:val="Heading4"/>
        <w:numPr>
          <w:ilvl w:val="2"/>
          <w:numId w:val="443"/>
        </w:numPr>
        <w:tabs>
          <w:tab w:pos="1351" w:val="left" w:leader="none"/>
          <w:tab w:pos="1352" w:val="left" w:leader="none"/>
        </w:tabs>
        <w:spacing w:line="240" w:lineRule="auto" w:before="0" w:after="0"/>
        <w:ind w:left="1351" w:right="0" w:hanging="1134"/>
        <w:jc w:val="left"/>
      </w:pPr>
      <w:bookmarkStart w:name="6.15.3 Cost Allocation Guidelines" w:id="1520"/>
      <w:bookmarkEnd w:id="1520"/>
      <w:r>
        <w:rPr>
          <w:b w:val="0"/>
        </w:rPr>
      </w:r>
      <w:bookmarkStart w:name="_bookmark608" w:id="1521"/>
      <w:bookmarkEnd w:id="1521"/>
      <w:r>
        <w:rPr>
          <w:b w:val="0"/>
        </w:rPr>
      </w:r>
      <w:bookmarkStart w:name="_bookmark608" w:id="1522"/>
      <w:bookmarkEnd w:id="1522"/>
      <w:r>
        <w:rPr/>
        <w:t>Cos</w:t>
      </w:r>
      <w:r>
        <w:rPr/>
        <w:t>t Allocation</w:t>
      </w:r>
      <w:r>
        <w:rPr>
          <w:spacing w:val="-3"/>
        </w:rPr>
        <w:t> </w:t>
      </w:r>
      <w:r>
        <w:rPr/>
        <w:t>Guidelines</w:t>
      </w:r>
    </w:p>
    <w:p>
      <w:pPr>
        <w:pStyle w:val="ListParagraph"/>
        <w:numPr>
          <w:ilvl w:val="0"/>
          <w:numId w:val="44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in accordance with the </w:t>
      </w:r>
      <w:r>
        <w:rPr>
          <w:i/>
          <w:sz w:val="24"/>
        </w:rPr>
        <w:t>distribution consultation procedures</w:t>
      </w:r>
      <w:r>
        <w:rPr>
          <w:sz w:val="24"/>
        </w:rPr>
        <w:t>, make and </w:t>
      </w:r>
      <w:r>
        <w:rPr>
          <w:i/>
          <w:sz w:val="24"/>
        </w:rPr>
        <w:t>publish </w:t>
      </w:r>
      <w:r>
        <w:rPr>
          <w:sz w:val="24"/>
        </w:rPr>
        <w:t>guidelines (the </w:t>
      </w:r>
      <w:r>
        <w:rPr>
          <w:i/>
          <w:sz w:val="24"/>
        </w:rPr>
        <w:t>Cost Allocation Guidelines</w:t>
      </w:r>
      <w:r>
        <w:rPr>
          <w:sz w:val="24"/>
        </w:rPr>
        <w:t>) relating to the preparation by a </w:t>
      </w:r>
      <w:r>
        <w:rPr>
          <w:i/>
          <w:sz w:val="24"/>
        </w:rPr>
        <w:t>Distribution Network Service Provider </w:t>
      </w:r>
      <w:r>
        <w:rPr>
          <w:sz w:val="24"/>
        </w:rPr>
        <w:t>of its </w:t>
      </w:r>
      <w:r>
        <w:rPr>
          <w:i/>
          <w:sz w:val="24"/>
        </w:rPr>
        <w:t>Cost </w:t>
      </w:r>
      <w:r>
        <w:rPr>
          <w:i/>
          <w:sz w:val="24"/>
        </w:rPr>
        <w:t>Allocation</w:t>
      </w:r>
      <w:r>
        <w:rPr>
          <w:i/>
          <w:spacing w:val="-1"/>
          <w:sz w:val="24"/>
        </w:rPr>
        <w:t> </w:t>
      </w:r>
      <w:r>
        <w:rPr>
          <w:i/>
          <w:sz w:val="24"/>
        </w:rPr>
        <w:t>Method</w:t>
      </w:r>
      <w:r>
        <w:rPr>
          <w:sz w:val="24"/>
        </w:rPr>
        <w:t>.</w:t>
      </w:r>
    </w:p>
    <w:p>
      <w:pPr>
        <w:pStyle w:val="ListParagraph"/>
        <w:numPr>
          <w:ilvl w:val="0"/>
          <w:numId w:val="444"/>
        </w:numPr>
        <w:tabs>
          <w:tab w:pos="1919" w:val="left" w:leader="none"/>
        </w:tabs>
        <w:spacing w:line="240" w:lineRule="auto" w:before="120" w:after="0"/>
        <w:ind w:left="1919" w:right="415" w:hanging="567"/>
        <w:jc w:val="both"/>
        <w:rPr>
          <w:sz w:val="24"/>
        </w:rPr>
      </w:pPr>
      <w:r>
        <w:rPr>
          <w:sz w:val="24"/>
        </w:rPr>
        <w:t>The </w:t>
      </w:r>
      <w:r>
        <w:rPr>
          <w:i/>
          <w:sz w:val="24"/>
        </w:rPr>
        <w:t>Cost Allocation Guidelines </w:t>
      </w:r>
      <w:r>
        <w:rPr>
          <w:sz w:val="24"/>
        </w:rPr>
        <w:t>must give effect to and be consistent with the </w:t>
      </w:r>
      <w:r>
        <w:rPr>
          <w:i/>
          <w:sz w:val="24"/>
        </w:rPr>
        <w:t>Cost Allocation</w:t>
      </w:r>
      <w:r>
        <w:rPr>
          <w:i/>
          <w:spacing w:val="-1"/>
          <w:sz w:val="24"/>
        </w:rPr>
        <w:t> </w:t>
      </w:r>
      <w:r>
        <w:rPr>
          <w:i/>
          <w:sz w:val="24"/>
        </w:rPr>
        <w:t>Principles</w:t>
      </w:r>
      <w:r>
        <w:rPr>
          <w:sz w:val="24"/>
        </w:rPr>
        <w:t>.</w:t>
      </w:r>
    </w:p>
    <w:p>
      <w:pPr>
        <w:pStyle w:val="ListParagraph"/>
        <w:numPr>
          <w:ilvl w:val="0"/>
          <w:numId w:val="444"/>
        </w:numPr>
        <w:tabs>
          <w:tab w:pos="1919" w:val="left" w:leader="none"/>
        </w:tabs>
        <w:spacing w:line="240" w:lineRule="auto" w:before="120" w:after="0"/>
        <w:ind w:left="1919" w:right="415" w:hanging="567"/>
        <w:jc w:val="both"/>
        <w:rPr>
          <w:sz w:val="24"/>
        </w:rPr>
      </w:pPr>
      <w:r>
        <w:rPr>
          <w:sz w:val="24"/>
        </w:rPr>
        <w:t>Without limiting the generality of paragraph (b), the </w:t>
      </w:r>
      <w:r>
        <w:rPr>
          <w:i/>
          <w:sz w:val="24"/>
        </w:rPr>
        <w:t>Cost Allocation </w:t>
      </w:r>
      <w:r>
        <w:rPr>
          <w:i/>
          <w:sz w:val="24"/>
        </w:rPr>
        <w:t>Guidelines </w:t>
      </w:r>
      <w:r>
        <w:rPr>
          <w:sz w:val="24"/>
        </w:rPr>
        <w:t>may</w:t>
      </w:r>
      <w:r>
        <w:rPr>
          <w:spacing w:val="-1"/>
          <w:sz w:val="24"/>
        </w:rPr>
        <w:t> </w:t>
      </w:r>
      <w:r>
        <w:rPr>
          <w:sz w:val="24"/>
        </w:rPr>
        <w:t>specify:</w:t>
      </w:r>
    </w:p>
    <w:p>
      <w:pPr>
        <w:pStyle w:val="ListParagraph"/>
        <w:numPr>
          <w:ilvl w:val="1"/>
          <w:numId w:val="444"/>
        </w:numPr>
        <w:tabs>
          <w:tab w:pos="2486" w:val="left" w:leader="none"/>
        </w:tabs>
        <w:spacing w:line="240" w:lineRule="auto" w:before="120" w:after="0"/>
        <w:ind w:left="2485" w:right="0" w:hanging="567"/>
        <w:jc w:val="both"/>
        <w:rPr>
          <w:sz w:val="24"/>
        </w:rPr>
      </w:pPr>
      <w:r>
        <w:rPr>
          <w:sz w:val="24"/>
        </w:rPr>
        <w:t>the format of a </w:t>
      </w:r>
      <w:r>
        <w:rPr>
          <w:i/>
          <w:sz w:val="24"/>
        </w:rPr>
        <w:t>Cost Allocation</w:t>
      </w:r>
      <w:r>
        <w:rPr>
          <w:i/>
          <w:spacing w:val="-3"/>
          <w:sz w:val="24"/>
        </w:rPr>
        <w:t> </w:t>
      </w:r>
      <w:r>
        <w:rPr>
          <w:i/>
          <w:sz w:val="24"/>
        </w:rPr>
        <w:t>Method</w:t>
      </w:r>
      <w:r>
        <w:rPr>
          <w:sz w:val="24"/>
        </w:rPr>
        <w:t>;</w:t>
      </w:r>
    </w:p>
    <w:p>
      <w:pPr>
        <w:pStyle w:val="ListParagraph"/>
        <w:numPr>
          <w:ilvl w:val="1"/>
          <w:numId w:val="444"/>
        </w:numPr>
        <w:tabs>
          <w:tab w:pos="2486" w:val="left" w:leader="none"/>
        </w:tabs>
        <w:spacing w:line="240" w:lineRule="auto" w:before="120" w:after="0"/>
        <w:ind w:left="2486" w:right="414" w:hanging="567"/>
        <w:jc w:val="both"/>
        <w:rPr>
          <w:sz w:val="24"/>
        </w:rPr>
      </w:pPr>
      <w:r>
        <w:rPr>
          <w:sz w:val="24"/>
        </w:rPr>
        <w:t>the detailed information that is to be included in a </w:t>
      </w:r>
      <w:r>
        <w:rPr>
          <w:i/>
          <w:sz w:val="24"/>
        </w:rPr>
        <w:t>Cost Allocation </w:t>
      </w:r>
      <w:r>
        <w:rPr>
          <w:i/>
          <w:sz w:val="24"/>
        </w:rPr>
        <w:t>Method</w:t>
      </w:r>
      <w:r>
        <w:rPr>
          <w:sz w:val="24"/>
        </w:rPr>
        <w:t>;</w:t>
      </w:r>
    </w:p>
    <w:p>
      <w:pPr>
        <w:pStyle w:val="ListParagraph"/>
        <w:numPr>
          <w:ilvl w:val="1"/>
          <w:numId w:val="444"/>
        </w:numPr>
        <w:tabs>
          <w:tab w:pos="2486" w:val="left" w:leader="none"/>
        </w:tabs>
        <w:spacing w:line="240" w:lineRule="auto" w:before="120" w:after="0"/>
        <w:ind w:left="2486" w:right="415" w:hanging="567"/>
        <w:jc w:val="both"/>
        <w:rPr>
          <w:sz w:val="24"/>
        </w:rPr>
      </w:pPr>
      <w:r>
        <w:rPr>
          <w:sz w:val="24"/>
        </w:rPr>
        <w:t>the categories of </w:t>
      </w:r>
      <w:r>
        <w:rPr>
          <w:i/>
          <w:sz w:val="24"/>
        </w:rPr>
        <w:t>distribution services </w:t>
      </w:r>
      <w:r>
        <w:rPr>
          <w:sz w:val="24"/>
        </w:rPr>
        <w:t>which are to be separately addressed in a </w:t>
      </w:r>
      <w:r>
        <w:rPr>
          <w:i/>
          <w:sz w:val="24"/>
        </w:rPr>
        <w:t>Cost Allocation Method</w:t>
      </w:r>
      <w:r>
        <w:rPr>
          <w:sz w:val="24"/>
        </w:rPr>
        <w:t>, such categories </w:t>
      </w:r>
      <w:r>
        <w:rPr>
          <w:spacing w:val="-3"/>
          <w:sz w:val="24"/>
        </w:rPr>
        <w:t>being </w:t>
      </w:r>
      <w:r>
        <w:rPr>
          <w:sz w:val="24"/>
        </w:rPr>
        <w:t>determined by reference to the nature of those services, the persons to whom those services are provided or such other factors as the </w:t>
      </w:r>
      <w:r>
        <w:rPr>
          <w:i/>
          <w:sz w:val="24"/>
        </w:rPr>
        <w:t>AER </w:t>
      </w:r>
      <w:r>
        <w:rPr>
          <w:sz w:val="24"/>
        </w:rPr>
        <w:t>considers appropriate;</w:t>
      </w:r>
      <w:r>
        <w:rPr>
          <w:spacing w:val="-1"/>
          <w:sz w:val="24"/>
        </w:rPr>
        <w:t> </w:t>
      </w:r>
      <w:r>
        <w:rPr>
          <w:sz w:val="24"/>
        </w:rPr>
        <w:t>and</w:t>
      </w:r>
    </w:p>
    <w:p>
      <w:pPr>
        <w:pStyle w:val="ListParagraph"/>
        <w:numPr>
          <w:ilvl w:val="1"/>
          <w:numId w:val="444"/>
        </w:numPr>
        <w:tabs>
          <w:tab w:pos="2486" w:val="left" w:leader="none"/>
        </w:tabs>
        <w:spacing w:line="240" w:lineRule="auto" w:before="120" w:after="0"/>
        <w:ind w:left="2486" w:right="414" w:hanging="567"/>
        <w:jc w:val="both"/>
        <w:rPr>
          <w:sz w:val="24"/>
        </w:rPr>
      </w:pPr>
      <w:r>
        <w:rPr>
          <w:sz w:val="24"/>
        </w:rPr>
        <w:t>the allocation methods which are acceptable and the supporting information that is to be included in relation to such methodologies in a </w:t>
      </w:r>
      <w:r>
        <w:rPr>
          <w:i/>
          <w:sz w:val="24"/>
        </w:rPr>
        <w:t>Cost Allocation</w:t>
      </w:r>
      <w:r>
        <w:rPr>
          <w:i/>
          <w:spacing w:val="-1"/>
          <w:sz w:val="24"/>
        </w:rPr>
        <w:t> </w:t>
      </w:r>
      <w:r>
        <w:rPr>
          <w:i/>
          <w:sz w:val="24"/>
        </w:rPr>
        <w:t>Method</w:t>
      </w:r>
      <w:r>
        <w:rPr>
          <w:sz w:val="24"/>
        </w:rPr>
        <w:t>.</w:t>
      </w:r>
    </w:p>
    <w:p>
      <w:pPr>
        <w:pStyle w:val="ListParagraph"/>
        <w:numPr>
          <w:ilvl w:val="0"/>
          <w:numId w:val="444"/>
        </w:numPr>
        <w:tabs>
          <w:tab w:pos="1919" w:val="left" w:leader="none"/>
        </w:tabs>
        <w:spacing w:line="240" w:lineRule="auto" w:before="120" w:after="0"/>
        <w:ind w:left="1918" w:right="0" w:hanging="567"/>
        <w:jc w:val="both"/>
        <w:rPr>
          <w:sz w:val="24"/>
        </w:rPr>
      </w:pPr>
      <w:r>
        <w:rPr>
          <w:sz w:val="24"/>
        </w:rPr>
        <w:t>The </w:t>
      </w:r>
      <w:r>
        <w:rPr>
          <w:i/>
          <w:sz w:val="24"/>
        </w:rPr>
        <w:t>Cost Allocation Guidelines </w:t>
      </w:r>
      <w:r>
        <w:rPr>
          <w:sz w:val="24"/>
        </w:rPr>
        <w:t>are binding on the </w:t>
      </w:r>
      <w:r>
        <w:rPr>
          <w:i/>
          <w:sz w:val="24"/>
        </w:rPr>
        <w:t>AER </w:t>
      </w:r>
      <w:r>
        <w:rPr>
          <w:sz w:val="24"/>
        </w:rPr>
        <w:t>and</w:t>
      </w:r>
      <w:r>
        <w:rPr>
          <w:spacing w:val="42"/>
          <w:sz w:val="24"/>
        </w:rPr>
        <w:t> </w:t>
      </w:r>
      <w:r>
        <w:rPr>
          <w:sz w:val="24"/>
        </w:rPr>
        <w:t>each</w:t>
      </w:r>
    </w:p>
    <w:p>
      <w:pPr>
        <w:spacing w:before="0"/>
        <w:ind w:left="1919" w:right="0" w:firstLine="0"/>
        <w:jc w:val="both"/>
        <w:rPr>
          <w:sz w:val="24"/>
        </w:rPr>
      </w:pPr>
      <w:r>
        <w:rPr>
          <w:i/>
          <w:sz w:val="24"/>
        </w:rPr>
        <w:t>Distribution Network Service Provider </w:t>
      </w:r>
      <w:r>
        <w:rPr>
          <w:sz w:val="24"/>
        </w:rPr>
        <w:t>to which they apply.</w:t>
      </w:r>
    </w:p>
    <w:p>
      <w:pPr>
        <w:pStyle w:val="ListParagraph"/>
        <w:numPr>
          <w:ilvl w:val="0"/>
          <w:numId w:val="44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w:t>
      </w:r>
      <w:r>
        <w:rPr>
          <w:i/>
          <w:sz w:val="24"/>
        </w:rPr>
        <w:t>publish </w:t>
      </w:r>
      <w:r>
        <w:rPr>
          <w:sz w:val="24"/>
        </w:rPr>
        <w:t>the first </w:t>
      </w:r>
      <w:r>
        <w:rPr>
          <w:i/>
          <w:sz w:val="24"/>
        </w:rPr>
        <w:t>Cost Allocation Guidelines </w:t>
      </w:r>
      <w:r>
        <w:rPr>
          <w:sz w:val="24"/>
        </w:rPr>
        <w:t>within 6 months after the commencement of these </w:t>
      </w:r>
      <w:r>
        <w:rPr>
          <w:i/>
          <w:sz w:val="24"/>
        </w:rPr>
        <w:t>Rules </w:t>
      </w:r>
      <w:r>
        <w:rPr>
          <w:sz w:val="24"/>
        </w:rPr>
        <w:t>and there must be </w:t>
      </w:r>
      <w:r>
        <w:rPr>
          <w:i/>
          <w:sz w:val="24"/>
        </w:rPr>
        <w:t>Cost Allocation </w:t>
      </w:r>
      <w:r>
        <w:rPr>
          <w:i/>
          <w:sz w:val="24"/>
        </w:rPr>
        <w:t>Guidelines </w:t>
      </w:r>
      <w:r>
        <w:rPr>
          <w:sz w:val="24"/>
        </w:rPr>
        <w:t>in force at all times after that</w:t>
      </w:r>
      <w:r>
        <w:rPr>
          <w:spacing w:val="-2"/>
          <w:sz w:val="24"/>
        </w:rPr>
        <w:t> </w:t>
      </w:r>
      <w:r>
        <w:rPr>
          <w:sz w:val="24"/>
        </w:rPr>
        <w:t>date.</w:t>
      </w:r>
    </w:p>
    <w:p>
      <w:pPr>
        <w:spacing w:after="0" w:line="240" w:lineRule="auto"/>
        <w:jc w:val="both"/>
        <w:rPr>
          <w:sz w:val="24"/>
        </w:rPr>
        <w:sectPr>
          <w:pgSz w:w="11910" w:h="16840"/>
          <w:pgMar w:header="686" w:footer="637" w:top="1320" w:bottom="820" w:left="1200" w:right="1000"/>
        </w:sectPr>
      </w:pPr>
    </w:p>
    <w:p>
      <w:pPr>
        <w:pStyle w:val="BodyText"/>
        <w:spacing w:before="83"/>
        <w:ind w:left="1352" w:firstLine="0"/>
      </w:pPr>
      <w:r>
        <w:rPr/>
        <w:t>(ea) For the application of these </w:t>
      </w:r>
      <w:r>
        <w:rPr>
          <w:i/>
        </w:rPr>
        <w:t>Rules </w:t>
      </w:r>
      <w:r>
        <w:rPr/>
        <w:t>in this jurisdiction:</w:t>
      </w:r>
    </w:p>
    <w:p>
      <w:pPr>
        <w:pStyle w:val="ListParagraph"/>
        <w:numPr>
          <w:ilvl w:val="1"/>
          <w:numId w:val="444"/>
        </w:numPr>
        <w:tabs>
          <w:tab w:pos="2486" w:val="left" w:leader="none"/>
        </w:tabs>
        <w:spacing w:line="240" w:lineRule="auto" w:before="120" w:after="0"/>
        <w:ind w:left="2485" w:right="0" w:hanging="567"/>
        <w:jc w:val="both"/>
        <w:rPr>
          <w:sz w:val="24"/>
        </w:rPr>
      </w:pPr>
      <w:r>
        <w:rPr>
          <w:sz w:val="24"/>
        </w:rPr>
        <w:t>the </w:t>
      </w:r>
      <w:r>
        <w:rPr>
          <w:i/>
          <w:sz w:val="24"/>
        </w:rPr>
        <w:t>Cost Allocation Guidelines </w:t>
      </w:r>
      <w:r>
        <w:rPr>
          <w:sz w:val="24"/>
        </w:rPr>
        <w:t>that are in force in the</w:t>
      </w:r>
      <w:r>
        <w:rPr>
          <w:spacing w:val="33"/>
          <w:sz w:val="24"/>
        </w:rPr>
        <w:t> </w:t>
      </w:r>
      <w:r>
        <w:rPr>
          <w:sz w:val="24"/>
        </w:rPr>
        <w:t>other</w:t>
      </w:r>
    </w:p>
    <w:p>
      <w:pPr>
        <w:spacing w:before="0"/>
        <w:ind w:left="2486" w:right="0" w:firstLine="0"/>
        <w:jc w:val="both"/>
        <w:rPr>
          <w:sz w:val="24"/>
        </w:rPr>
      </w:pPr>
      <w:r>
        <w:rPr>
          <w:i/>
          <w:sz w:val="24"/>
        </w:rPr>
        <w:t>participating jurisdictions </w:t>
      </w:r>
      <w:r>
        <w:rPr>
          <w:sz w:val="24"/>
        </w:rPr>
        <w:t>on 1 July 2016 are taken:</w:t>
      </w:r>
    </w:p>
    <w:p>
      <w:pPr>
        <w:pStyle w:val="ListParagraph"/>
        <w:numPr>
          <w:ilvl w:val="2"/>
          <w:numId w:val="444"/>
        </w:numPr>
        <w:tabs>
          <w:tab w:pos="3053" w:val="left" w:leader="none"/>
        </w:tabs>
        <w:spacing w:line="240" w:lineRule="auto" w:before="120" w:after="0"/>
        <w:ind w:left="3053" w:right="415" w:hanging="567"/>
        <w:jc w:val="both"/>
        <w:rPr>
          <w:sz w:val="24"/>
        </w:rPr>
      </w:pPr>
      <w:r>
        <w:rPr>
          <w:sz w:val="24"/>
        </w:rPr>
        <w:t>to be the </w:t>
      </w:r>
      <w:r>
        <w:rPr>
          <w:i/>
          <w:sz w:val="24"/>
        </w:rPr>
        <w:t>Cost Allocation Guidelines </w:t>
      </w:r>
      <w:r>
        <w:rPr>
          <w:sz w:val="24"/>
        </w:rPr>
        <w:t>in force in this jurisdiction (subject to any amendment or replacement under these </w:t>
      </w:r>
      <w:r>
        <w:rPr>
          <w:i/>
          <w:sz w:val="24"/>
        </w:rPr>
        <w:t>Rules</w:t>
      </w:r>
      <w:r>
        <w:rPr>
          <w:sz w:val="24"/>
        </w:rPr>
        <w:t>); and</w:t>
      </w:r>
    </w:p>
    <w:p>
      <w:pPr>
        <w:pStyle w:val="ListParagraph"/>
        <w:numPr>
          <w:ilvl w:val="2"/>
          <w:numId w:val="444"/>
        </w:numPr>
        <w:tabs>
          <w:tab w:pos="3054" w:val="left" w:leader="none"/>
        </w:tabs>
        <w:spacing w:line="240" w:lineRule="auto" w:before="120" w:after="0"/>
        <w:ind w:left="3053" w:right="416" w:hanging="567"/>
        <w:jc w:val="both"/>
        <w:rPr>
          <w:sz w:val="24"/>
        </w:rPr>
      </w:pPr>
      <w:r>
        <w:rPr>
          <w:sz w:val="24"/>
        </w:rPr>
        <w:t>to have been made and </w:t>
      </w:r>
      <w:r>
        <w:rPr>
          <w:i/>
          <w:sz w:val="24"/>
        </w:rPr>
        <w:t>published </w:t>
      </w:r>
      <w:r>
        <w:rPr>
          <w:sz w:val="24"/>
        </w:rPr>
        <w:t>by the </w:t>
      </w:r>
      <w:r>
        <w:rPr>
          <w:i/>
          <w:sz w:val="24"/>
        </w:rPr>
        <w:t>AER </w:t>
      </w:r>
      <w:r>
        <w:rPr>
          <w:sz w:val="24"/>
        </w:rPr>
        <w:t>on 1 July 2016; and</w:t>
      </w:r>
    </w:p>
    <w:p>
      <w:pPr>
        <w:pStyle w:val="ListParagraph"/>
        <w:numPr>
          <w:ilvl w:val="1"/>
          <w:numId w:val="444"/>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taken to have complied with the requirements of paragraphs (a), (b) and (e) in making and </w:t>
      </w:r>
      <w:r>
        <w:rPr>
          <w:i/>
          <w:sz w:val="24"/>
        </w:rPr>
        <w:t>publishing </w:t>
      </w:r>
      <w:r>
        <w:rPr>
          <w:sz w:val="24"/>
        </w:rPr>
        <w:t>the </w:t>
      </w:r>
      <w:r>
        <w:rPr>
          <w:i/>
          <w:spacing w:val="-4"/>
          <w:sz w:val="24"/>
        </w:rPr>
        <w:t>Cost</w:t>
      </w:r>
      <w:r>
        <w:rPr>
          <w:i/>
          <w:spacing w:val="52"/>
          <w:sz w:val="24"/>
        </w:rPr>
        <w:t> </w:t>
      </w:r>
      <w:r>
        <w:rPr>
          <w:i/>
          <w:sz w:val="24"/>
        </w:rPr>
        <w:t>Allocation</w:t>
      </w:r>
      <w:r>
        <w:rPr>
          <w:i/>
          <w:spacing w:val="-1"/>
          <w:sz w:val="24"/>
        </w:rPr>
        <w:t> </w:t>
      </w:r>
      <w:r>
        <w:rPr>
          <w:i/>
          <w:sz w:val="24"/>
        </w:rPr>
        <w:t>Guidelines</w:t>
      </w:r>
      <w:r>
        <w:rPr>
          <w:sz w:val="24"/>
        </w:rPr>
        <w:t>.</w:t>
      </w:r>
    </w:p>
    <w:p>
      <w:pPr>
        <w:pStyle w:val="BodyText"/>
        <w:spacing w:before="10"/>
        <w:ind w:firstLine="0"/>
        <w:jc w:val="left"/>
        <w:rPr>
          <w:sz w:val="20"/>
        </w:rPr>
      </w:pPr>
    </w:p>
    <w:p>
      <w:pPr>
        <w:pStyle w:val="Heading4"/>
        <w:numPr>
          <w:ilvl w:val="2"/>
          <w:numId w:val="443"/>
        </w:numPr>
        <w:tabs>
          <w:tab w:pos="1351" w:val="left" w:leader="none"/>
          <w:tab w:pos="1352" w:val="left" w:leader="none"/>
        </w:tabs>
        <w:spacing w:line="240" w:lineRule="auto" w:before="0" w:after="0"/>
        <w:ind w:left="1351" w:right="0" w:hanging="1134"/>
        <w:jc w:val="left"/>
      </w:pPr>
      <w:bookmarkStart w:name="6.15.4 Cost Allocation Method" w:id="1523"/>
      <w:bookmarkEnd w:id="1523"/>
      <w:r>
        <w:rPr>
          <w:b w:val="0"/>
        </w:rPr>
      </w:r>
      <w:bookmarkStart w:name="_bookmark609" w:id="1524"/>
      <w:bookmarkEnd w:id="1524"/>
      <w:r>
        <w:rPr>
          <w:b w:val="0"/>
        </w:rPr>
      </w:r>
      <w:bookmarkStart w:name="_bookmark609" w:id="1525"/>
      <w:bookmarkEnd w:id="1525"/>
      <w:r>
        <w:rPr/>
        <w:t>Cos</w:t>
      </w:r>
      <w:r>
        <w:rPr/>
        <w:t>t Allocation</w:t>
      </w:r>
      <w:r>
        <w:rPr>
          <w:spacing w:val="-3"/>
        </w:rPr>
        <w:t> </w:t>
      </w:r>
      <w:r>
        <w:rPr/>
        <w:t>Method</w:t>
      </w:r>
    </w:p>
    <w:p>
      <w:pPr>
        <w:pStyle w:val="ListParagraph"/>
        <w:numPr>
          <w:ilvl w:val="0"/>
          <w:numId w:val="445"/>
        </w:numPr>
        <w:tabs>
          <w:tab w:pos="1919" w:val="left" w:leader="none"/>
        </w:tabs>
        <w:spacing w:line="240" w:lineRule="auto" w:before="120" w:after="0"/>
        <w:ind w:left="1919" w:right="416" w:hanging="567"/>
        <w:jc w:val="both"/>
        <w:rPr>
          <w:sz w:val="24"/>
        </w:rPr>
      </w:pPr>
      <w:r>
        <w:rPr>
          <w:sz w:val="24"/>
        </w:rPr>
        <w:t>Each </w:t>
      </w:r>
      <w:r>
        <w:rPr>
          <w:i/>
          <w:sz w:val="24"/>
        </w:rPr>
        <w:t>Distribution Network Service Provider </w:t>
      </w:r>
      <w:r>
        <w:rPr>
          <w:sz w:val="24"/>
        </w:rPr>
        <w:t>in this jurisdiction must submit to the </w:t>
      </w:r>
      <w:r>
        <w:rPr>
          <w:i/>
          <w:sz w:val="24"/>
        </w:rPr>
        <w:t>AER </w:t>
      </w:r>
      <w:r>
        <w:rPr>
          <w:sz w:val="24"/>
        </w:rPr>
        <w:t>for its approval a document setting out its proposed </w:t>
      </w:r>
      <w:r>
        <w:rPr>
          <w:i/>
          <w:sz w:val="24"/>
        </w:rPr>
        <w:t>Cost </w:t>
      </w:r>
      <w:r>
        <w:rPr>
          <w:i/>
          <w:sz w:val="24"/>
        </w:rPr>
        <w:t>Allocation Method </w:t>
      </w:r>
      <w:r>
        <w:rPr>
          <w:sz w:val="24"/>
        </w:rPr>
        <w:t>within 6 months of being required to do so by the</w:t>
      </w:r>
      <w:r>
        <w:rPr>
          <w:spacing w:val="-6"/>
          <w:sz w:val="24"/>
        </w:rPr>
        <w:t> </w:t>
      </w:r>
      <w:r>
        <w:rPr>
          <w:i/>
          <w:sz w:val="24"/>
        </w:rPr>
        <w:t>AER</w:t>
      </w:r>
      <w:r>
        <w:rPr>
          <w:sz w:val="24"/>
        </w:rPr>
        <w:t>.</w:t>
      </w:r>
    </w:p>
    <w:p>
      <w:pPr>
        <w:pStyle w:val="ListParagraph"/>
        <w:numPr>
          <w:ilvl w:val="0"/>
          <w:numId w:val="445"/>
        </w:numPr>
        <w:tabs>
          <w:tab w:pos="1919" w:val="left" w:leader="none"/>
        </w:tabs>
        <w:spacing w:line="240" w:lineRule="auto" w:before="120" w:after="0"/>
        <w:ind w:left="1919" w:right="415" w:hanging="567"/>
        <w:jc w:val="both"/>
        <w:rPr>
          <w:sz w:val="24"/>
        </w:rPr>
      </w:pPr>
      <w:r>
        <w:rPr>
          <w:sz w:val="24"/>
        </w:rPr>
        <w:t>The </w:t>
      </w:r>
      <w:r>
        <w:rPr>
          <w:i/>
          <w:sz w:val="24"/>
        </w:rPr>
        <w:t>Cost Allocation Method </w:t>
      </w:r>
      <w:r>
        <w:rPr>
          <w:sz w:val="24"/>
        </w:rPr>
        <w:t>proposed by a </w:t>
      </w:r>
      <w:r>
        <w:rPr>
          <w:i/>
          <w:sz w:val="24"/>
        </w:rPr>
        <w:t>Distribution Network Service </w:t>
      </w:r>
      <w:r>
        <w:rPr>
          <w:i/>
          <w:sz w:val="24"/>
        </w:rPr>
        <w:t>Provider </w:t>
      </w:r>
      <w:r>
        <w:rPr>
          <w:sz w:val="24"/>
        </w:rPr>
        <w:t>must give effect to and be consistent with the </w:t>
      </w:r>
      <w:r>
        <w:rPr>
          <w:i/>
          <w:sz w:val="24"/>
        </w:rPr>
        <w:t>Cost Allocation </w:t>
      </w:r>
      <w:r>
        <w:rPr>
          <w:i/>
          <w:sz w:val="24"/>
        </w:rPr>
        <w:t>Guidelines</w:t>
      </w:r>
      <w:r>
        <w:rPr>
          <w:sz w:val="24"/>
        </w:rPr>
        <w:t>.</w:t>
      </w:r>
    </w:p>
    <w:p>
      <w:pPr>
        <w:pStyle w:val="ListParagraph"/>
        <w:numPr>
          <w:ilvl w:val="0"/>
          <w:numId w:val="445"/>
        </w:numPr>
        <w:tabs>
          <w:tab w:pos="1919" w:val="left" w:leader="none"/>
        </w:tabs>
        <w:spacing w:line="240" w:lineRule="auto" w:before="120" w:after="0"/>
        <w:ind w:left="1918" w:right="0" w:hanging="567"/>
        <w:jc w:val="both"/>
        <w:rPr>
          <w:i/>
          <w:sz w:val="24"/>
        </w:rPr>
      </w:pPr>
      <w:r>
        <w:rPr>
          <w:sz w:val="24"/>
        </w:rPr>
        <w:t>The </w:t>
      </w:r>
      <w:r>
        <w:rPr>
          <w:i/>
          <w:sz w:val="24"/>
        </w:rPr>
        <w:t>AER </w:t>
      </w:r>
      <w:r>
        <w:rPr>
          <w:sz w:val="24"/>
        </w:rPr>
        <w:t>may approve or refuse to approve a </w:t>
      </w:r>
      <w:r>
        <w:rPr>
          <w:i/>
          <w:sz w:val="24"/>
        </w:rPr>
        <w:t>Cost Allocation</w:t>
      </w:r>
      <w:r>
        <w:rPr>
          <w:i/>
          <w:spacing w:val="19"/>
          <w:sz w:val="24"/>
        </w:rPr>
        <w:t> </w:t>
      </w:r>
      <w:r>
        <w:rPr>
          <w:i/>
          <w:sz w:val="24"/>
        </w:rPr>
        <w:t>Method</w:t>
      </w:r>
    </w:p>
    <w:p>
      <w:pPr>
        <w:pStyle w:val="BodyText"/>
        <w:spacing w:before="0"/>
        <w:ind w:left="1919" w:firstLine="0"/>
      </w:pPr>
      <w:r>
        <w:rPr/>
        <w:t>submitted under paragraph (a).</w:t>
      </w:r>
    </w:p>
    <w:p>
      <w:pPr>
        <w:pStyle w:val="ListParagraph"/>
        <w:numPr>
          <w:ilvl w:val="0"/>
          <w:numId w:val="445"/>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notify the relevant </w:t>
      </w:r>
      <w:r>
        <w:rPr>
          <w:i/>
          <w:sz w:val="24"/>
        </w:rPr>
        <w:t>Distribution Network Service Provider </w:t>
      </w:r>
      <w:r>
        <w:rPr>
          <w:sz w:val="24"/>
        </w:rPr>
        <w:t>of its decision to approve or refuse to approve the </w:t>
      </w:r>
      <w:r>
        <w:rPr>
          <w:i/>
          <w:sz w:val="24"/>
        </w:rPr>
        <w:t>Cost Allocation Method </w:t>
      </w:r>
      <w:r>
        <w:rPr>
          <w:sz w:val="24"/>
        </w:rPr>
        <w:t>submitted to it under paragraph (a) within 6 months of its submission, failing which the </w:t>
      </w:r>
      <w:r>
        <w:rPr>
          <w:i/>
          <w:sz w:val="24"/>
        </w:rPr>
        <w:t>AER </w:t>
      </w:r>
      <w:r>
        <w:rPr>
          <w:sz w:val="24"/>
        </w:rPr>
        <w:t>will be taken to have approved</w:t>
      </w:r>
      <w:r>
        <w:rPr>
          <w:spacing w:val="-3"/>
          <w:sz w:val="24"/>
        </w:rPr>
        <w:t> </w:t>
      </w:r>
      <w:r>
        <w:rPr>
          <w:sz w:val="24"/>
        </w:rPr>
        <w:t>it.</w:t>
      </w:r>
    </w:p>
    <w:p>
      <w:pPr>
        <w:pStyle w:val="ListParagraph"/>
        <w:numPr>
          <w:ilvl w:val="0"/>
          <w:numId w:val="445"/>
        </w:numPr>
        <w:tabs>
          <w:tab w:pos="1919" w:val="left" w:leader="none"/>
        </w:tabs>
        <w:spacing w:line="240" w:lineRule="auto" w:before="120" w:after="0"/>
        <w:ind w:left="1919" w:right="415" w:hanging="567"/>
        <w:jc w:val="both"/>
        <w:rPr>
          <w:sz w:val="24"/>
        </w:rPr>
      </w:pPr>
      <w:r>
        <w:rPr>
          <w:sz w:val="24"/>
        </w:rPr>
        <w:t>As part of giving any approval referred to in paragraph (c), the </w:t>
      </w:r>
      <w:r>
        <w:rPr>
          <w:i/>
          <w:sz w:val="24"/>
        </w:rPr>
        <w:t>AER </w:t>
      </w:r>
      <w:r>
        <w:rPr>
          <w:sz w:val="24"/>
        </w:rPr>
        <w:t>may, after consulting with the relevant </w:t>
      </w:r>
      <w:r>
        <w:rPr>
          <w:i/>
          <w:sz w:val="24"/>
        </w:rPr>
        <w:t>Distribution Network Service Provider</w:t>
      </w:r>
      <w:r>
        <w:rPr>
          <w:sz w:val="24"/>
        </w:rPr>
        <w:t>, amend the </w:t>
      </w:r>
      <w:r>
        <w:rPr>
          <w:i/>
          <w:sz w:val="24"/>
        </w:rPr>
        <w:t>Cost Allocation Method </w:t>
      </w:r>
      <w:r>
        <w:rPr>
          <w:sz w:val="24"/>
        </w:rPr>
        <w:t>submitted to it, in which case the </w:t>
      </w:r>
      <w:r>
        <w:rPr>
          <w:i/>
          <w:sz w:val="24"/>
        </w:rPr>
        <w:t>Cost </w:t>
      </w:r>
      <w:r>
        <w:rPr>
          <w:i/>
          <w:sz w:val="24"/>
        </w:rPr>
        <w:t>Allocation Method </w:t>
      </w:r>
      <w:r>
        <w:rPr>
          <w:sz w:val="24"/>
        </w:rPr>
        <w:t>as so amended will be taken to be approved by the</w:t>
      </w:r>
      <w:r>
        <w:rPr>
          <w:spacing w:val="-9"/>
          <w:sz w:val="24"/>
        </w:rPr>
        <w:t> </w:t>
      </w:r>
      <w:r>
        <w:rPr>
          <w:i/>
          <w:sz w:val="24"/>
        </w:rPr>
        <w:t>AER</w:t>
      </w:r>
      <w:r>
        <w:rPr>
          <w:sz w:val="24"/>
        </w:rPr>
        <w:t>.</w:t>
      </w:r>
    </w:p>
    <w:p>
      <w:pPr>
        <w:pStyle w:val="ListParagraph"/>
        <w:numPr>
          <w:ilvl w:val="0"/>
          <w:numId w:val="445"/>
        </w:numPr>
        <w:tabs>
          <w:tab w:pos="1920"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may, with the </w:t>
      </w:r>
      <w:r>
        <w:rPr>
          <w:i/>
          <w:sz w:val="24"/>
        </w:rPr>
        <w:t>AER's </w:t>
      </w:r>
      <w:r>
        <w:rPr>
          <w:sz w:val="24"/>
        </w:rPr>
        <w:t>approval, amend its </w:t>
      </w:r>
      <w:r>
        <w:rPr>
          <w:i/>
          <w:sz w:val="24"/>
        </w:rPr>
        <w:t>Cost Allocation Method </w:t>
      </w:r>
      <w:r>
        <w:rPr>
          <w:sz w:val="24"/>
        </w:rPr>
        <w:t>from time to time</w:t>
      </w:r>
      <w:r>
        <w:rPr>
          <w:spacing w:val="-1"/>
          <w:sz w:val="24"/>
        </w:rPr>
        <w:t> </w:t>
      </w:r>
      <w:r>
        <w:rPr>
          <w:sz w:val="24"/>
        </w:rPr>
        <w:t>but:</w:t>
      </w:r>
    </w:p>
    <w:p>
      <w:pPr>
        <w:pStyle w:val="ListParagraph"/>
        <w:numPr>
          <w:ilvl w:val="1"/>
          <w:numId w:val="445"/>
        </w:numPr>
        <w:tabs>
          <w:tab w:pos="2486" w:val="left" w:leader="none"/>
        </w:tabs>
        <w:spacing w:line="240" w:lineRule="auto" w:before="120" w:after="0"/>
        <w:ind w:left="2485" w:right="0" w:hanging="567"/>
        <w:jc w:val="both"/>
        <w:rPr>
          <w:sz w:val="24"/>
        </w:rPr>
      </w:pPr>
      <w:r>
        <w:rPr>
          <w:sz w:val="24"/>
        </w:rPr>
        <w:t>the</w:t>
      </w:r>
      <w:r>
        <w:rPr>
          <w:spacing w:val="-1"/>
          <w:sz w:val="24"/>
        </w:rPr>
        <w:t> </w:t>
      </w:r>
      <w:r>
        <w:rPr>
          <w:sz w:val="24"/>
        </w:rPr>
        <w:t>amendment:</w:t>
      </w:r>
    </w:p>
    <w:p>
      <w:pPr>
        <w:pStyle w:val="ListParagraph"/>
        <w:numPr>
          <w:ilvl w:val="2"/>
          <w:numId w:val="445"/>
        </w:numPr>
        <w:tabs>
          <w:tab w:pos="3053" w:val="left" w:leader="none"/>
        </w:tabs>
        <w:spacing w:line="240" w:lineRule="auto" w:before="120" w:after="0"/>
        <w:ind w:left="3053" w:right="414" w:hanging="567"/>
        <w:jc w:val="both"/>
        <w:rPr>
          <w:sz w:val="24"/>
        </w:rPr>
      </w:pPr>
      <w:r>
        <w:rPr>
          <w:sz w:val="24"/>
        </w:rPr>
        <w:t>may be approved on condition that the </w:t>
      </w:r>
      <w:r>
        <w:rPr>
          <w:i/>
          <w:sz w:val="24"/>
        </w:rPr>
        <w:t>Distribution Network </w:t>
      </w:r>
      <w:r>
        <w:rPr>
          <w:i/>
          <w:sz w:val="24"/>
        </w:rPr>
        <w:t>Service Provider </w:t>
      </w:r>
      <w:r>
        <w:rPr>
          <w:sz w:val="24"/>
        </w:rPr>
        <w:t>agree to incorporate into the amendment specified additional changes to the </w:t>
      </w:r>
      <w:r>
        <w:rPr>
          <w:i/>
          <w:sz w:val="24"/>
        </w:rPr>
        <w:t>Cost Allocation Method </w:t>
      </w:r>
      <w:r>
        <w:rPr>
          <w:sz w:val="24"/>
        </w:rPr>
        <w:t>the </w:t>
      </w:r>
      <w:r>
        <w:rPr>
          <w:i/>
          <w:sz w:val="24"/>
        </w:rPr>
        <w:t>AER </w:t>
      </w:r>
      <w:r>
        <w:rPr>
          <w:sz w:val="24"/>
        </w:rPr>
        <w:t>reasonably considers necessary or desirable as a result </w:t>
      </w:r>
      <w:r>
        <w:rPr>
          <w:spacing w:val="-6"/>
          <w:sz w:val="24"/>
        </w:rPr>
        <w:t>of </w:t>
      </w:r>
      <w:r>
        <w:rPr>
          <w:sz w:val="24"/>
        </w:rPr>
        <w:t>the amendment as submitted;</w:t>
      </w:r>
      <w:r>
        <w:rPr>
          <w:spacing w:val="-1"/>
          <w:sz w:val="24"/>
        </w:rPr>
        <w:t> </w:t>
      </w:r>
      <w:r>
        <w:rPr>
          <w:sz w:val="24"/>
        </w:rPr>
        <w:t>and</w:t>
      </w:r>
    </w:p>
    <w:p>
      <w:pPr>
        <w:pStyle w:val="ListParagraph"/>
        <w:numPr>
          <w:ilvl w:val="2"/>
          <w:numId w:val="445"/>
        </w:numPr>
        <w:tabs>
          <w:tab w:pos="3054" w:val="left" w:leader="none"/>
        </w:tabs>
        <w:spacing w:line="240" w:lineRule="auto" w:before="120" w:after="0"/>
        <w:ind w:left="3053" w:right="415" w:hanging="567"/>
        <w:jc w:val="both"/>
        <w:rPr>
          <w:sz w:val="24"/>
        </w:rPr>
      </w:pPr>
      <w:r>
        <w:rPr>
          <w:sz w:val="24"/>
        </w:rPr>
        <w:t>if approved on such a condition, does not take effect unless and until the </w:t>
      </w:r>
      <w:r>
        <w:rPr>
          <w:i/>
          <w:sz w:val="24"/>
        </w:rPr>
        <w:t>Distribution Network Service Provider </w:t>
      </w:r>
      <w:r>
        <w:rPr>
          <w:sz w:val="24"/>
        </w:rPr>
        <w:t>notifies the </w:t>
      </w:r>
      <w:r>
        <w:rPr>
          <w:i/>
          <w:sz w:val="24"/>
        </w:rPr>
        <w:t>AER </w:t>
      </w:r>
      <w:r>
        <w:rPr>
          <w:sz w:val="24"/>
        </w:rPr>
        <w:t>of its agreement;</w:t>
      </w:r>
      <w:r>
        <w:rPr>
          <w:spacing w:val="-1"/>
          <w:sz w:val="24"/>
        </w:rPr>
        <w:t> </w:t>
      </w:r>
      <w:r>
        <w:rPr>
          <w:sz w:val="24"/>
        </w:rPr>
        <w:t>and</w:t>
      </w:r>
    </w:p>
    <w:p>
      <w:pPr>
        <w:pStyle w:val="ListParagraph"/>
        <w:numPr>
          <w:ilvl w:val="1"/>
          <w:numId w:val="445"/>
        </w:numPr>
        <w:tabs>
          <w:tab w:pos="2486" w:val="left" w:leader="none"/>
        </w:tabs>
        <w:spacing w:line="240" w:lineRule="auto" w:before="120" w:after="0"/>
        <w:ind w:left="2486" w:right="415" w:hanging="567"/>
        <w:jc w:val="both"/>
        <w:rPr>
          <w:sz w:val="24"/>
        </w:rPr>
      </w:pPr>
      <w:r>
        <w:rPr>
          <w:sz w:val="24"/>
        </w:rPr>
        <w:t>if 6 months elapse from the date of the submission of the amendment and the </w:t>
      </w:r>
      <w:r>
        <w:rPr>
          <w:i/>
          <w:sz w:val="24"/>
        </w:rPr>
        <w:t>AER </w:t>
      </w:r>
      <w:r>
        <w:rPr>
          <w:sz w:val="24"/>
        </w:rPr>
        <w:t>has not notified the </w:t>
      </w:r>
      <w:r>
        <w:rPr>
          <w:i/>
          <w:sz w:val="24"/>
        </w:rPr>
        <w:t>Distribution Network Service </w:t>
      </w:r>
      <w:r>
        <w:rPr>
          <w:i/>
          <w:sz w:val="24"/>
        </w:rPr>
        <w:t>Provider</w:t>
      </w:r>
      <w:r>
        <w:rPr>
          <w:i/>
          <w:spacing w:val="29"/>
          <w:sz w:val="24"/>
        </w:rPr>
        <w:t> </w:t>
      </w:r>
      <w:r>
        <w:rPr>
          <w:sz w:val="24"/>
        </w:rPr>
        <w:t>within</w:t>
      </w:r>
      <w:r>
        <w:rPr>
          <w:spacing w:val="29"/>
          <w:sz w:val="24"/>
        </w:rPr>
        <w:t> </w:t>
      </w:r>
      <w:r>
        <w:rPr>
          <w:sz w:val="24"/>
        </w:rPr>
        <w:t>that</w:t>
      </w:r>
      <w:r>
        <w:rPr>
          <w:spacing w:val="29"/>
          <w:sz w:val="24"/>
        </w:rPr>
        <w:t> </w:t>
      </w:r>
      <w:r>
        <w:rPr>
          <w:sz w:val="24"/>
        </w:rPr>
        <w:t>period</w:t>
      </w:r>
      <w:r>
        <w:rPr>
          <w:spacing w:val="30"/>
          <w:sz w:val="24"/>
        </w:rPr>
        <w:t> </w:t>
      </w:r>
      <w:r>
        <w:rPr>
          <w:sz w:val="24"/>
        </w:rPr>
        <w:t>of</w:t>
      </w:r>
      <w:r>
        <w:rPr>
          <w:spacing w:val="29"/>
          <w:sz w:val="24"/>
        </w:rPr>
        <w:t> </w:t>
      </w:r>
      <w:r>
        <w:rPr>
          <w:sz w:val="24"/>
        </w:rPr>
        <w:t>its</w:t>
      </w:r>
      <w:r>
        <w:rPr>
          <w:spacing w:val="30"/>
          <w:sz w:val="24"/>
        </w:rPr>
        <w:t> </w:t>
      </w:r>
      <w:r>
        <w:rPr>
          <w:sz w:val="24"/>
        </w:rPr>
        <w:t>approval</w:t>
      </w:r>
      <w:r>
        <w:rPr>
          <w:spacing w:val="29"/>
          <w:sz w:val="24"/>
        </w:rPr>
        <w:t> </w:t>
      </w:r>
      <w:r>
        <w:rPr>
          <w:sz w:val="24"/>
        </w:rPr>
        <w:t>or</w:t>
      </w:r>
      <w:r>
        <w:rPr>
          <w:spacing w:val="30"/>
          <w:sz w:val="24"/>
        </w:rPr>
        <w:t> </w:t>
      </w:r>
      <w:r>
        <w:rPr>
          <w:sz w:val="24"/>
        </w:rPr>
        <w:t>refusal</w:t>
      </w:r>
      <w:r>
        <w:rPr>
          <w:spacing w:val="29"/>
          <w:sz w:val="24"/>
        </w:rPr>
        <w:t> </w:t>
      </w:r>
      <w:r>
        <w:rPr>
          <w:sz w:val="24"/>
        </w:rPr>
        <w:t>to</w:t>
      </w:r>
      <w:r>
        <w:rPr>
          <w:spacing w:val="30"/>
          <w:sz w:val="24"/>
        </w:rPr>
        <w:t> </w:t>
      </w:r>
      <w:r>
        <w:rPr>
          <w:sz w:val="24"/>
        </w:rPr>
        <w:t>approve</w:t>
      </w:r>
      <w:r>
        <w:rPr>
          <w:spacing w:val="30"/>
          <w:sz w:val="24"/>
        </w:rPr>
        <w:t> </w:t>
      </w:r>
      <w:r>
        <w:rPr>
          <w:sz w:val="24"/>
        </w:rPr>
        <w:t>the</w:t>
      </w:r>
    </w:p>
    <w:p>
      <w:pPr>
        <w:spacing w:after="0" w:line="240" w:lineRule="auto"/>
        <w:jc w:val="both"/>
        <w:rPr>
          <w:sz w:val="24"/>
        </w:rPr>
        <w:sectPr>
          <w:pgSz w:w="11910" w:h="16840"/>
          <w:pgMar w:header="686" w:footer="637" w:top="1320" w:bottom="820" w:left="1200" w:right="1000"/>
        </w:sectPr>
      </w:pPr>
    </w:p>
    <w:p>
      <w:pPr>
        <w:pStyle w:val="BodyText"/>
        <w:spacing w:before="83"/>
        <w:ind w:left="2486" w:right="414" w:firstLine="0"/>
      </w:pPr>
      <w:r>
        <w:rPr/>
        <w:t>amendment, the amendment is, at the end of that period, conclusively presumed to have been unconditionally approved.</w:t>
      </w:r>
    </w:p>
    <w:p>
      <w:pPr>
        <w:pStyle w:val="ListParagraph"/>
        <w:numPr>
          <w:ilvl w:val="0"/>
          <w:numId w:val="445"/>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amend its </w:t>
      </w:r>
      <w:r>
        <w:rPr>
          <w:i/>
          <w:sz w:val="24"/>
        </w:rPr>
        <w:t>Cost Allocation </w:t>
      </w:r>
      <w:r>
        <w:rPr>
          <w:i/>
          <w:sz w:val="24"/>
        </w:rPr>
        <w:t>Method </w:t>
      </w:r>
      <w:r>
        <w:rPr>
          <w:sz w:val="24"/>
        </w:rPr>
        <w:t>where the amendment is required by the </w:t>
      </w:r>
      <w:r>
        <w:rPr>
          <w:i/>
          <w:sz w:val="24"/>
        </w:rPr>
        <w:t>AER </w:t>
      </w:r>
      <w:r>
        <w:rPr>
          <w:sz w:val="24"/>
        </w:rPr>
        <w:t>to take into account any change to the </w:t>
      </w:r>
      <w:r>
        <w:rPr>
          <w:i/>
          <w:sz w:val="24"/>
        </w:rPr>
        <w:t>Cost Allocation Guidelines</w:t>
      </w:r>
      <w:r>
        <w:rPr>
          <w:sz w:val="24"/>
        </w:rPr>
        <w:t>, but the amendment</w:t>
      </w:r>
      <w:r>
        <w:rPr>
          <w:spacing w:val="21"/>
          <w:sz w:val="24"/>
        </w:rPr>
        <w:t> </w:t>
      </w:r>
      <w:r>
        <w:rPr>
          <w:sz w:val="24"/>
        </w:rPr>
        <w:t>only comes into</w:t>
      </w:r>
      <w:r>
        <w:rPr>
          <w:spacing w:val="-1"/>
          <w:sz w:val="24"/>
        </w:rPr>
        <w:t> </w:t>
      </w:r>
      <w:r>
        <w:rPr>
          <w:sz w:val="24"/>
        </w:rPr>
        <w:t>effect:</w:t>
      </w:r>
    </w:p>
    <w:p>
      <w:pPr>
        <w:pStyle w:val="ListParagraph"/>
        <w:numPr>
          <w:ilvl w:val="1"/>
          <w:numId w:val="445"/>
        </w:numPr>
        <w:tabs>
          <w:tab w:pos="2486" w:val="left" w:leader="none"/>
        </w:tabs>
        <w:spacing w:line="240" w:lineRule="auto" w:before="120" w:after="0"/>
        <w:ind w:left="2486" w:right="415" w:hanging="567"/>
        <w:jc w:val="both"/>
        <w:rPr>
          <w:sz w:val="24"/>
        </w:rPr>
      </w:pPr>
      <w:r>
        <w:rPr>
          <w:sz w:val="24"/>
        </w:rPr>
        <w:t>on the date that the </w:t>
      </w:r>
      <w:r>
        <w:rPr>
          <w:i/>
          <w:sz w:val="24"/>
        </w:rPr>
        <w:t>AER </w:t>
      </w:r>
      <w:r>
        <w:rPr>
          <w:sz w:val="24"/>
        </w:rPr>
        <w:t>approves that amendment, or 3 months after the submission of the amendment, whichever is the earlier;</w:t>
      </w:r>
      <w:r>
        <w:rPr>
          <w:spacing w:val="-6"/>
          <w:sz w:val="24"/>
        </w:rPr>
        <w:t> </w:t>
      </w:r>
      <w:r>
        <w:rPr>
          <w:sz w:val="24"/>
        </w:rPr>
        <w:t>and</w:t>
      </w:r>
    </w:p>
    <w:p>
      <w:pPr>
        <w:pStyle w:val="ListParagraph"/>
        <w:numPr>
          <w:ilvl w:val="1"/>
          <w:numId w:val="445"/>
        </w:numPr>
        <w:tabs>
          <w:tab w:pos="2486" w:val="left" w:leader="none"/>
        </w:tabs>
        <w:spacing w:line="240" w:lineRule="auto" w:before="120" w:after="0"/>
        <w:ind w:left="2486" w:right="414" w:hanging="567"/>
        <w:jc w:val="both"/>
        <w:rPr>
          <w:sz w:val="24"/>
        </w:rPr>
      </w:pPr>
      <w:r>
        <w:rPr>
          <w:sz w:val="24"/>
        </w:rPr>
        <w:t>subject to additional changes to the </w:t>
      </w:r>
      <w:r>
        <w:rPr>
          <w:i/>
          <w:sz w:val="24"/>
        </w:rPr>
        <w:t>Cost Allocation Method </w:t>
      </w:r>
      <w:r>
        <w:rPr>
          <w:sz w:val="24"/>
        </w:rPr>
        <w:t>(if any) the </w:t>
      </w:r>
      <w:r>
        <w:rPr>
          <w:i/>
          <w:sz w:val="24"/>
        </w:rPr>
        <w:t>AER </w:t>
      </w:r>
      <w:r>
        <w:rPr>
          <w:sz w:val="24"/>
        </w:rPr>
        <w:t>reasonably considers necessary or desirable as a result of the amendment and notifies to the </w:t>
      </w:r>
      <w:r>
        <w:rPr>
          <w:i/>
          <w:sz w:val="24"/>
        </w:rPr>
        <w:t>Distribution Network Service Provider </w:t>
      </w:r>
      <w:r>
        <w:rPr>
          <w:sz w:val="24"/>
        </w:rPr>
        <w:t>before the amendment takes</w:t>
      </w:r>
      <w:r>
        <w:rPr>
          <w:spacing w:val="-3"/>
          <w:sz w:val="24"/>
        </w:rPr>
        <w:t> </w:t>
      </w:r>
      <w:r>
        <w:rPr>
          <w:sz w:val="24"/>
        </w:rPr>
        <w:t>effect.</w:t>
      </w:r>
    </w:p>
    <w:p>
      <w:pPr>
        <w:pStyle w:val="ListParagraph"/>
        <w:numPr>
          <w:ilvl w:val="0"/>
          <w:numId w:val="445"/>
        </w:numPr>
        <w:tabs>
          <w:tab w:pos="1919" w:val="left" w:leader="none"/>
        </w:tabs>
        <w:spacing w:line="240" w:lineRule="auto" w:before="120" w:after="0"/>
        <w:ind w:left="1918" w:right="0" w:hanging="567"/>
        <w:jc w:val="both"/>
        <w:rPr>
          <w:sz w:val="24"/>
        </w:rPr>
      </w:pPr>
      <w:r>
        <w:rPr>
          <w:sz w:val="24"/>
        </w:rPr>
        <w:t>A </w:t>
      </w:r>
      <w:r>
        <w:rPr>
          <w:i/>
          <w:sz w:val="24"/>
        </w:rPr>
        <w:t>Distribution Network Service Provider </w:t>
      </w:r>
      <w:r>
        <w:rPr>
          <w:sz w:val="24"/>
        </w:rPr>
        <w:t>must maintain a current copy of</w:t>
      </w:r>
      <w:r>
        <w:rPr>
          <w:spacing w:val="-4"/>
          <w:sz w:val="24"/>
        </w:rPr>
        <w:t> </w:t>
      </w:r>
      <w:r>
        <w:rPr>
          <w:sz w:val="24"/>
        </w:rPr>
        <w:t>its</w:t>
      </w:r>
    </w:p>
    <w:p>
      <w:pPr>
        <w:spacing w:before="0"/>
        <w:ind w:left="1919" w:right="0" w:firstLine="0"/>
        <w:jc w:val="both"/>
        <w:rPr>
          <w:sz w:val="24"/>
        </w:rPr>
      </w:pPr>
      <w:r>
        <w:rPr>
          <w:i/>
          <w:sz w:val="24"/>
        </w:rPr>
        <w:t>Cost Allocation Method </w:t>
      </w:r>
      <w:r>
        <w:rPr>
          <w:sz w:val="24"/>
        </w:rPr>
        <w:t>on its website.</w:t>
      </w:r>
    </w:p>
    <w:p>
      <w:pPr>
        <w:pStyle w:val="BodyText"/>
        <w:spacing w:before="10"/>
        <w:ind w:firstLine="0"/>
        <w:jc w:val="left"/>
        <w:rPr>
          <w:sz w:val="20"/>
        </w:rPr>
      </w:pPr>
    </w:p>
    <w:p>
      <w:pPr>
        <w:pStyle w:val="Heading2"/>
        <w:tabs>
          <w:tab w:pos="1352" w:val="left" w:leader="none"/>
          <w:tab w:pos="9317" w:val="left" w:leader="none"/>
        </w:tabs>
      </w:pPr>
      <w:bookmarkStart w:name="Part G Distribution consultation procedu" w:id="1526"/>
      <w:bookmarkEnd w:id="1526"/>
      <w:r>
        <w:rPr>
          <w:b w:val="0"/>
        </w:rPr>
      </w:r>
      <w:bookmarkStart w:name="_bookmark610" w:id="1527"/>
      <w:bookmarkEnd w:id="1527"/>
      <w:r>
        <w:rPr>
          <w:b w:val="0"/>
        </w:rPr>
      </w:r>
      <w:r>
        <w:rPr>
          <w:shd w:fill="D9D9D9" w:color="auto" w:val="clear"/>
        </w:rPr>
        <w:t>Part G</w:t>
        <w:tab/>
        <w:t>Distribution consultation</w:t>
      </w:r>
      <w:r>
        <w:rPr>
          <w:spacing w:val="-25"/>
          <w:shd w:fill="D9D9D9" w:color="auto" w:val="clear"/>
        </w:rPr>
        <w:t> </w:t>
      </w:r>
      <w:r>
        <w:rPr>
          <w:shd w:fill="D9D9D9" w:color="auto" w:val="clear"/>
        </w:rPr>
        <w:t>procedures</w:t>
        <w:tab/>
      </w:r>
    </w:p>
    <w:p>
      <w:pPr>
        <w:pStyle w:val="Heading3"/>
        <w:numPr>
          <w:ilvl w:val="1"/>
          <w:numId w:val="442"/>
        </w:numPr>
        <w:tabs>
          <w:tab w:pos="1351" w:val="left" w:leader="none"/>
          <w:tab w:pos="1353" w:val="left" w:leader="none"/>
        </w:tabs>
        <w:spacing w:line="240" w:lineRule="auto" w:before="240" w:after="0"/>
        <w:ind w:left="1352" w:right="0" w:hanging="1135"/>
        <w:jc w:val="left"/>
      </w:pPr>
      <w:bookmarkStart w:name="6.16 Distribution consultation procedure" w:id="1528"/>
      <w:bookmarkEnd w:id="1528"/>
      <w:r>
        <w:rPr>
          <w:b w:val="0"/>
        </w:rPr>
      </w:r>
      <w:bookmarkStart w:name="_bookmark611" w:id="1529"/>
      <w:bookmarkEnd w:id="1529"/>
      <w:r>
        <w:rPr>
          <w:b w:val="0"/>
        </w:rPr>
      </w:r>
      <w:bookmarkStart w:name="_bookmark611" w:id="1530"/>
      <w:bookmarkEnd w:id="1530"/>
      <w:r>
        <w:rPr/>
        <w:t>Distribu</w:t>
      </w:r>
      <w:r>
        <w:rPr/>
        <w:t>tion consultation</w:t>
      </w:r>
      <w:r>
        <w:rPr>
          <w:spacing w:val="-1"/>
        </w:rPr>
        <w:t> </w:t>
      </w:r>
      <w:r>
        <w:rPr/>
        <w:t>procedures</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This rule 6.16 applies wherever the </w:t>
      </w:r>
      <w:r>
        <w:rPr>
          <w:i/>
          <w:sz w:val="24"/>
        </w:rPr>
        <w:t>AER </w:t>
      </w:r>
      <w:r>
        <w:rPr>
          <w:sz w:val="24"/>
        </w:rPr>
        <w:t>is required to comply with the </w:t>
      </w:r>
      <w:r>
        <w:rPr>
          <w:i/>
          <w:sz w:val="24"/>
        </w:rPr>
        <w:t>distribution consultation procedures</w:t>
      </w:r>
      <w:r>
        <w:rPr>
          <w:sz w:val="24"/>
        </w:rPr>
        <w:t>. For the avoidance of doubt, the </w:t>
      </w:r>
      <w:r>
        <w:rPr>
          <w:i/>
          <w:sz w:val="24"/>
        </w:rPr>
        <w:t>distribution consultation procedures </w:t>
      </w:r>
      <w:r>
        <w:rPr>
          <w:sz w:val="24"/>
        </w:rPr>
        <w:t>are separate from, and (where they </w:t>
      </w:r>
      <w:r>
        <w:rPr>
          <w:spacing w:val="-4"/>
          <w:sz w:val="24"/>
        </w:rPr>
        <w:t>are</w:t>
      </w:r>
      <w:r>
        <w:rPr>
          <w:spacing w:val="52"/>
          <w:sz w:val="24"/>
        </w:rPr>
        <w:t> </w:t>
      </w:r>
      <w:r>
        <w:rPr>
          <w:sz w:val="24"/>
        </w:rPr>
        <w:t>required to be complied with) apply to the exclusion of, the </w:t>
      </w:r>
      <w:r>
        <w:rPr>
          <w:i/>
          <w:sz w:val="24"/>
        </w:rPr>
        <w:t>Rules </w:t>
      </w:r>
      <w:r>
        <w:rPr>
          <w:i/>
          <w:sz w:val="24"/>
        </w:rPr>
        <w:t>consultation procedures </w:t>
      </w:r>
      <w:r>
        <w:rPr>
          <w:sz w:val="24"/>
        </w:rPr>
        <w:t>under rule</w:t>
      </w:r>
      <w:r>
        <w:rPr>
          <w:spacing w:val="-1"/>
          <w:sz w:val="24"/>
        </w:rPr>
        <w:t> </w:t>
      </w:r>
      <w:r>
        <w:rPr>
          <w:sz w:val="24"/>
        </w:rPr>
        <w:t>8.9.</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is required to comply with the </w:t>
      </w:r>
      <w:r>
        <w:rPr>
          <w:i/>
          <w:sz w:val="24"/>
        </w:rPr>
        <w:t>distribution consultation </w:t>
      </w:r>
      <w:r>
        <w:rPr>
          <w:i/>
          <w:sz w:val="24"/>
        </w:rPr>
        <w:t>procedures </w:t>
      </w:r>
      <w:r>
        <w:rPr>
          <w:sz w:val="24"/>
        </w:rPr>
        <w:t>in preparing, making, developing, reviewing, amending </w:t>
      </w:r>
      <w:r>
        <w:rPr>
          <w:spacing w:val="-6"/>
          <w:sz w:val="24"/>
        </w:rPr>
        <w:t>or </w:t>
      </w:r>
      <w:r>
        <w:rPr>
          <w:sz w:val="24"/>
        </w:rPr>
        <w:t>replacing any guidelines, methodologies, models, schemes, or tests, it must </w:t>
      </w:r>
      <w:r>
        <w:rPr>
          <w:i/>
          <w:sz w:val="24"/>
        </w:rPr>
        <w:t>publish</w:t>
      </w:r>
      <w:r>
        <w:rPr>
          <w:sz w:val="24"/>
        </w:rPr>
        <w:t>:</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the proposed guideline, methodology, model, scheme, test or amendment;</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an explanatory statement that sets out the provision of the </w:t>
      </w:r>
      <w:r>
        <w:rPr>
          <w:i/>
          <w:sz w:val="24"/>
        </w:rPr>
        <w:t>Rules </w:t>
      </w:r>
      <w:r>
        <w:rPr>
          <w:sz w:val="24"/>
        </w:rPr>
        <w:t>under or for the purposes of which the guideline, methodology, model, scheme, test or amendment is proposed to be prepared, made or developed or is required to be reviewed, and the reasons for the proposed guideline, methodology, model, scheme, test or amendment; 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an invitation for written submissions on the proposed guideline, methodology, model, scheme, test or amendment, or the review, (as the case may</w:t>
      </w:r>
      <w:r>
        <w:rPr>
          <w:spacing w:val="-2"/>
          <w:sz w:val="24"/>
        </w:rPr>
        <w:t> </w:t>
      </w:r>
      <w:r>
        <w:rPr>
          <w:sz w:val="24"/>
        </w:rPr>
        <w:t>be).</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The invitation must allow no less than 30 </w:t>
      </w:r>
      <w:r>
        <w:rPr>
          <w:i/>
          <w:sz w:val="24"/>
        </w:rPr>
        <w:t>business days </w:t>
      </w:r>
      <w:r>
        <w:rPr>
          <w:sz w:val="24"/>
        </w:rPr>
        <w:t>for the making of submissions, and the </w:t>
      </w:r>
      <w:r>
        <w:rPr>
          <w:i/>
          <w:sz w:val="24"/>
        </w:rPr>
        <w:t>AER </w:t>
      </w:r>
      <w:r>
        <w:rPr>
          <w:sz w:val="24"/>
        </w:rPr>
        <w:t>is not required to consider any submission made pursuant to that invitation after this time period has</w:t>
      </w:r>
      <w:r>
        <w:rPr>
          <w:spacing w:val="-2"/>
          <w:sz w:val="24"/>
        </w:rPr>
        <w:t> </w:t>
      </w:r>
      <w:r>
        <w:rPr>
          <w:sz w:val="24"/>
        </w:rPr>
        <w:t>expired.</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w:t>
      </w:r>
      <w:r>
        <w:rPr>
          <w:i/>
          <w:sz w:val="24"/>
        </w:rPr>
        <w:t>publish </w:t>
      </w:r>
      <w:r>
        <w:rPr>
          <w:sz w:val="24"/>
        </w:rPr>
        <w:t>such issues, consultation and discussion papers, and hold such conferences and information sessions, in relation to the proposed guideline, methodology, model, scheme, test or amendment, or the review, as it considers</w:t>
      </w:r>
      <w:r>
        <w:rPr>
          <w:spacing w:val="-1"/>
          <w:sz w:val="24"/>
        </w:rPr>
        <w:t> </w:t>
      </w:r>
      <w:r>
        <w:rPr>
          <w:sz w:val="24"/>
        </w:rPr>
        <w:t>appropriate.</w:t>
      </w:r>
    </w:p>
    <w:p>
      <w:pPr>
        <w:spacing w:after="0" w:line="240" w:lineRule="auto"/>
        <w:jc w:val="both"/>
        <w:rPr>
          <w:sz w:val="24"/>
        </w:rPr>
        <w:sectPr>
          <w:pgSz w:w="11910" w:h="16840"/>
          <w:pgMar w:header="686" w:footer="637" w:top="1320" w:bottom="820" w:left="1200" w:right="1000"/>
        </w:sectPr>
      </w:pPr>
    </w:p>
    <w:p>
      <w:pPr>
        <w:pStyle w:val="ListParagraph"/>
        <w:numPr>
          <w:ilvl w:val="2"/>
          <w:numId w:val="442"/>
        </w:numPr>
        <w:tabs>
          <w:tab w:pos="1919" w:val="left" w:leader="none"/>
        </w:tabs>
        <w:spacing w:line="240" w:lineRule="auto" w:before="83" w:after="0"/>
        <w:ind w:left="1919" w:right="415" w:hanging="567"/>
        <w:jc w:val="both"/>
        <w:rPr>
          <w:sz w:val="24"/>
        </w:rPr>
      </w:pPr>
      <w:r>
        <w:rPr>
          <w:sz w:val="24"/>
        </w:rPr>
        <w:t>Within 80 </w:t>
      </w:r>
      <w:r>
        <w:rPr>
          <w:i/>
          <w:sz w:val="24"/>
        </w:rPr>
        <w:t>business days </w:t>
      </w:r>
      <w:r>
        <w:rPr>
          <w:sz w:val="24"/>
        </w:rPr>
        <w:t>of </w:t>
      </w:r>
      <w:r>
        <w:rPr>
          <w:i/>
          <w:sz w:val="24"/>
        </w:rPr>
        <w:t>publishing </w:t>
      </w:r>
      <w:r>
        <w:rPr>
          <w:sz w:val="24"/>
        </w:rPr>
        <w:t>the documents referred to </w:t>
      </w:r>
      <w:r>
        <w:rPr>
          <w:spacing w:val="-7"/>
          <w:sz w:val="24"/>
        </w:rPr>
        <w:t>in </w:t>
      </w:r>
      <w:r>
        <w:rPr>
          <w:sz w:val="24"/>
        </w:rPr>
        <w:t>paragraph (b), the </w:t>
      </w:r>
      <w:r>
        <w:rPr>
          <w:i/>
          <w:sz w:val="24"/>
        </w:rPr>
        <w:t>AER </w:t>
      </w:r>
      <w:r>
        <w:rPr>
          <w:sz w:val="24"/>
        </w:rPr>
        <w:t>must</w:t>
      </w:r>
      <w:r>
        <w:rPr>
          <w:spacing w:val="-1"/>
          <w:sz w:val="24"/>
        </w:rPr>
        <w:t> </w:t>
      </w:r>
      <w:r>
        <w:rPr>
          <w:i/>
          <w:sz w:val="24"/>
        </w:rPr>
        <w:t>publish</w:t>
      </w:r>
      <w:r>
        <w:rPr>
          <w:sz w:val="24"/>
        </w:rPr>
        <w:t>:</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its final decision on the guideline, methodology, model, scheme, test, amendment or review that sets</w:t>
      </w:r>
      <w:r>
        <w:rPr>
          <w:spacing w:val="-2"/>
          <w:sz w:val="24"/>
        </w:rPr>
        <w:t> </w:t>
      </w:r>
      <w:r>
        <w:rPr>
          <w:sz w:val="24"/>
        </w:rPr>
        <w:t>out:</w:t>
      </w:r>
    </w:p>
    <w:p>
      <w:pPr>
        <w:pStyle w:val="ListParagraph"/>
        <w:numPr>
          <w:ilvl w:val="4"/>
          <w:numId w:val="442"/>
        </w:numPr>
        <w:tabs>
          <w:tab w:pos="3053" w:val="left" w:leader="none"/>
        </w:tabs>
        <w:spacing w:line="240" w:lineRule="auto" w:before="120" w:after="0"/>
        <w:ind w:left="3053" w:right="415" w:hanging="567"/>
        <w:jc w:val="both"/>
        <w:rPr>
          <w:sz w:val="24"/>
        </w:rPr>
      </w:pPr>
      <w:r>
        <w:rPr>
          <w:sz w:val="24"/>
        </w:rPr>
        <w:t>the guideline, methodology, model, scheme, test or amendment (if any);</w:t>
      </w:r>
    </w:p>
    <w:p>
      <w:pPr>
        <w:pStyle w:val="ListParagraph"/>
        <w:numPr>
          <w:ilvl w:val="4"/>
          <w:numId w:val="442"/>
        </w:numPr>
        <w:tabs>
          <w:tab w:pos="3054" w:val="left" w:leader="none"/>
        </w:tabs>
        <w:spacing w:line="240" w:lineRule="auto" w:before="120" w:after="0"/>
        <w:ind w:left="3053" w:right="415" w:hanging="567"/>
        <w:jc w:val="both"/>
        <w:rPr>
          <w:sz w:val="24"/>
        </w:rPr>
      </w:pPr>
      <w:r>
        <w:rPr>
          <w:sz w:val="24"/>
        </w:rPr>
        <w:t>the provision of the </w:t>
      </w:r>
      <w:r>
        <w:rPr>
          <w:i/>
          <w:sz w:val="24"/>
        </w:rPr>
        <w:t>Rules </w:t>
      </w:r>
      <w:r>
        <w:rPr>
          <w:sz w:val="24"/>
        </w:rPr>
        <w:t>under which or for the purposes of which the guideline, methodology, model, scheme, test or amendment is being prepared, made or developed or is being reviewed;</w:t>
      </w:r>
    </w:p>
    <w:p>
      <w:pPr>
        <w:pStyle w:val="ListParagraph"/>
        <w:numPr>
          <w:ilvl w:val="4"/>
          <w:numId w:val="442"/>
        </w:numPr>
        <w:tabs>
          <w:tab w:pos="3053" w:val="left" w:leader="none"/>
        </w:tabs>
        <w:spacing w:line="240" w:lineRule="auto" w:before="120" w:after="0"/>
        <w:ind w:left="3053" w:right="416" w:hanging="567"/>
        <w:jc w:val="both"/>
        <w:rPr>
          <w:sz w:val="24"/>
        </w:rPr>
      </w:pPr>
      <w:r>
        <w:rPr>
          <w:sz w:val="24"/>
        </w:rPr>
        <w:t>the reasons for the guideline, methodology, model, scheme, test or amendment;</w:t>
      </w:r>
      <w:r>
        <w:rPr>
          <w:spacing w:val="-1"/>
          <w:sz w:val="24"/>
        </w:rPr>
        <w:t> </w:t>
      </w:r>
      <w:r>
        <w:rPr>
          <w:sz w:val="24"/>
        </w:rPr>
        <w:t>and</w:t>
      </w:r>
    </w:p>
    <w:p>
      <w:pPr>
        <w:pStyle w:val="ListParagraph"/>
        <w:numPr>
          <w:ilvl w:val="4"/>
          <w:numId w:val="442"/>
        </w:numPr>
        <w:tabs>
          <w:tab w:pos="3054" w:val="left" w:leader="none"/>
        </w:tabs>
        <w:spacing w:line="240" w:lineRule="auto" w:before="120" w:after="0"/>
        <w:ind w:left="3053" w:right="0" w:hanging="568"/>
        <w:jc w:val="both"/>
        <w:rPr>
          <w:sz w:val="24"/>
        </w:rPr>
      </w:pPr>
      <w:r>
        <w:rPr>
          <w:sz w:val="24"/>
        </w:rPr>
        <w:t>the reasons for the outcome of any review;</w:t>
      </w:r>
      <w:r>
        <w:rPr>
          <w:spacing w:val="-2"/>
          <w:sz w:val="24"/>
        </w:rPr>
        <w:t> </w:t>
      </w:r>
      <w:r>
        <w:rPr>
          <w:sz w:val="24"/>
        </w:rPr>
        <w:t>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notice of the making of the final decision on the </w:t>
      </w:r>
      <w:r>
        <w:rPr>
          <w:spacing w:val="-3"/>
          <w:sz w:val="24"/>
        </w:rPr>
        <w:t>guideline, </w:t>
      </w:r>
      <w:r>
        <w:rPr>
          <w:sz w:val="24"/>
        </w:rPr>
        <w:t>methodology, model, scheme, test, amendment or</w:t>
      </w:r>
      <w:r>
        <w:rPr>
          <w:spacing w:val="-2"/>
          <w:sz w:val="24"/>
        </w:rPr>
        <w:t> </w:t>
      </w:r>
      <w:r>
        <w:rPr>
          <w:sz w:val="24"/>
        </w:rPr>
        <w:t>review.</w:t>
      </w:r>
    </w:p>
    <w:p>
      <w:pPr>
        <w:pStyle w:val="ListParagraph"/>
        <w:numPr>
          <w:ilvl w:val="2"/>
          <w:numId w:val="442"/>
        </w:numPr>
        <w:tabs>
          <w:tab w:pos="1920" w:val="left" w:leader="none"/>
        </w:tabs>
        <w:spacing w:line="240" w:lineRule="auto" w:before="120" w:after="0"/>
        <w:ind w:left="1919" w:right="415" w:hanging="567"/>
        <w:jc w:val="both"/>
        <w:rPr>
          <w:sz w:val="24"/>
        </w:rPr>
      </w:pPr>
      <w:r>
        <w:rPr>
          <w:sz w:val="24"/>
        </w:rPr>
        <w:t>Subject to paragraph (c), the </w:t>
      </w:r>
      <w:r>
        <w:rPr>
          <w:i/>
          <w:sz w:val="24"/>
        </w:rPr>
        <w:t>AER </w:t>
      </w:r>
      <w:r>
        <w:rPr>
          <w:sz w:val="24"/>
        </w:rPr>
        <w:t>must, in making its final decision referred to in paragraph (e)(1), consider any submissions made pursuant to the invitation for submissions referred to in paragraph (b)(3), and the reasons referred to in paragraph (e)(1)(iii) or (iv) must</w:t>
      </w:r>
      <w:r>
        <w:rPr>
          <w:spacing w:val="-1"/>
          <w:sz w:val="24"/>
        </w:rPr>
        <w:t> </w:t>
      </w:r>
      <w:r>
        <w:rPr>
          <w:sz w:val="24"/>
        </w:rPr>
        <w:t>include:</w:t>
      </w:r>
    </w:p>
    <w:p>
      <w:pPr>
        <w:pStyle w:val="ListParagraph"/>
        <w:numPr>
          <w:ilvl w:val="3"/>
          <w:numId w:val="442"/>
        </w:numPr>
        <w:tabs>
          <w:tab w:pos="2486" w:val="left" w:leader="none"/>
        </w:tabs>
        <w:spacing w:line="240" w:lineRule="auto" w:before="120" w:after="0"/>
        <w:ind w:left="2485" w:right="0" w:hanging="567"/>
        <w:jc w:val="both"/>
        <w:rPr>
          <w:i/>
          <w:sz w:val="24"/>
        </w:rPr>
      </w:pPr>
      <w:r>
        <w:rPr>
          <w:sz w:val="24"/>
        </w:rPr>
        <w:t>a</w:t>
      </w:r>
      <w:r>
        <w:rPr>
          <w:spacing w:val="42"/>
          <w:sz w:val="24"/>
        </w:rPr>
        <w:t> </w:t>
      </w:r>
      <w:r>
        <w:rPr>
          <w:sz w:val="24"/>
        </w:rPr>
        <w:t>summary</w:t>
      </w:r>
      <w:r>
        <w:rPr>
          <w:spacing w:val="43"/>
          <w:sz w:val="24"/>
        </w:rPr>
        <w:t> </w:t>
      </w:r>
      <w:r>
        <w:rPr>
          <w:sz w:val="24"/>
        </w:rPr>
        <w:t>of</w:t>
      </w:r>
      <w:r>
        <w:rPr>
          <w:spacing w:val="43"/>
          <w:sz w:val="24"/>
        </w:rPr>
        <w:t> </w:t>
      </w:r>
      <w:r>
        <w:rPr>
          <w:sz w:val="24"/>
        </w:rPr>
        <w:t>each</w:t>
      </w:r>
      <w:r>
        <w:rPr>
          <w:spacing w:val="43"/>
          <w:sz w:val="24"/>
        </w:rPr>
        <w:t> </w:t>
      </w:r>
      <w:r>
        <w:rPr>
          <w:sz w:val="24"/>
        </w:rPr>
        <w:t>issue</w:t>
      </w:r>
      <w:r>
        <w:rPr>
          <w:spacing w:val="43"/>
          <w:sz w:val="24"/>
        </w:rPr>
        <w:t> </w:t>
      </w:r>
      <w:r>
        <w:rPr>
          <w:sz w:val="24"/>
        </w:rPr>
        <w:t>raised</w:t>
      </w:r>
      <w:r>
        <w:rPr>
          <w:spacing w:val="43"/>
          <w:sz w:val="24"/>
        </w:rPr>
        <w:t> </w:t>
      </w:r>
      <w:r>
        <w:rPr>
          <w:sz w:val="24"/>
        </w:rPr>
        <w:t>in</w:t>
      </w:r>
      <w:r>
        <w:rPr>
          <w:spacing w:val="43"/>
          <w:sz w:val="24"/>
        </w:rPr>
        <w:t> </w:t>
      </w:r>
      <w:r>
        <w:rPr>
          <w:sz w:val="24"/>
        </w:rPr>
        <w:t>those</w:t>
      </w:r>
      <w:r>
        <w:rPr>
          <w:spacing w:val="43"/>
          <w:sz w:val="24"/>
        </w:rPr>
        <w:t> </w:t>
      </w:r>
      <w:r>
        <w:rPr>
          <w:sz w:val="24"/>
        </w:rPr>
        <w:t>submissions</w:t>
      </w:r>
      <w:r>
        <w:rPr>
          <w:spacing w:val="43"/>
          <w:sz w:val="24"/>
        </w:rPr>
        <w:t> </w:t>
      </w:r>
      <w:r>
        <w:rPr>
          <w:sz w:val="24"/>
        </w:rPr>
        <w:t>that</w:t>
      </w:r>
      <w:r>
        <w:rPr>
          <w:spacing w:val="42"/>
          <w:sz w:val="24"/>
        </w:rPr>
        <w:t> </w:t>
      </w:r>
      <w:r>
        <w:rPr>
          <w:sz w:val="24"/>
        </w:rPr>
        <w:t>the</w:t>
      </w:r>
      <w:r>
        <w:rPr>
          <w:spacing w:val="43"/>
          <w:sz w:val="24"/>
        </w:rPr>
        <w:t> </w:t>
      </w:r>
      <w:r>
        <w:rPr>
          <w:i/>
          <w:sz w:val="24"/>
        </w:rPr>
        <w:t>AER</w:t>
      </w:r>
    </w:p>
    <w:p>
      <w:pPr>
        <w:pStyle w:val="BodyText"/>
        <w:spacing w:before="0"/>
        <w:ind w:left="2486" w:firstLine="0"/>
      </w:pPr>
      <w:r>
        <w:rPr/>
        <w:t>reasonably considers to be material; and</w:t>
      </w:r>
    </w:p>
    <w:p>
      <w:pPr>
        <w:pStyle w:val="ListParagraph"/>
        <w:numPr>
          <w:ilvl w:val="3"/>
          <w:numId w:val="442"/>
        </w:numPr>
        <w:tabs>
          <w:tab w:pos="2486" w:val="left" w:leader="none"/>
        </w:tabs>
        <w:spacing w:line="240" w:lineRule="auto" w:before="120" w:after="0"/>
        <w:ind w:left="2485" w:right="0" w:hanging="567"/>
        <w:jc w:val="both"/>
        <w:rPr>
          <w:sz w:val="24"/>
        </w:rPr>
      </w:pPr>
      <w:r>
        <w:rPr>
          <w:sz w:val="24"/>
        </w:rPr>
        <w:t>the </w:t>
      </w:r>
      <w:r>
        <w:rPr>
          <w:i/>
          <w:sz w:val="24"/>
        </w:rPr>
        <w:t>AER's </w:t>
      </w:r>
      <w:r>
        <w:rPr>
          <w:sz w:val="24"/>
        </w:rPr>
        <w:t>response to each such</w:t>
      </w:r>
      <w:r>
        <w:rPr>
          <w:spacing w:val="-2"/>
          <w:sz w:val="24"/>
        </w:rPr>
        <w:t> </w:t>
      </w:r>
      <w:r>
        <w:rPr>
          <w:sz w:val="24"/>
        </w:rPr>
        <w:t>issue.</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extend the time within which it is required to publish its final decision if:</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the consultation involves issues of unusual complexity or difficulty; 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the extension of time has become necessary because of circumstances beyond the </w:t>
      </w:r>
      <w:r>
        <w:rPr>
          <w:i/>
          <w:sz w:val="24"/>
        </w:rPr>
        <w:t>AER's</w:t>
      </w:r>
      <w:r>
        <w:rPr>
          <w:i/>
          <w:spacing w:val="-1"/>
          <w:sz w:val="24"/>
        </w:rPr>
        <w:t> </w:t>
      </w:r>
      <w:r>
        <w:rPr>
          <w:sz w:val="24"/>
        </w:rPr>
        <w:t>control.</w:t>
      </w:r>
    </w:p>
    <w:p>
      <w:pPr>
        <w:pStyle w:val="BodyText"/>
        <w:spacing w:before="9"/>
        <w:ind w:firstLine="0"/>
        <w:jc w:val="left"/>
        <w:rPr>
          <w:sz w:val="18"/>
        </w:rPr>
      </w:pPr>
      <w:r>
        <w:rPr/>
        <w:pict>
          <v:shape style="position:absolute;margin-left:69.450005pt;margin-top:12.027556pt;width:456.45pt;height:32.2pt;mso-position-horizontal-relative:page;mso-position-vertical-relative:paragraph;z-index:-251620352;mso-wrap-distance-left:0;mso-wrap-distance-right:0" type="#_x0000_t202" filled="true" fillcolor="#d9d9d9" stroked="false">
            <v:textbox inset="0,0,0,0">
              <w:txbxContent>
                <w:p>
                  <w:pPr>
                    <w:tabs>
                      <w:tab w:pos="1163" w:val="left" w:leader="none"/>
                    </w:tabs>
                    <w:spacing w:before="0"/>
                    <w:ind w:left="1163" w:right="919" w:hanging="1134"/>
                    <w:jc w:val="left"/>
                    <w:rPr>
                      <w:rFonts w:ascii="Arial"/>
                      <w:b/>
                      <w:sz w:val="28"/>
                    </w:rPr>
                  </w:pPr>
                  <w:bookmarkStart w:name="Part H Ring-Fencing Arrangements for Dis" w:id="1531"/>
                  <w:bookmarkEnd w:id="1531"/>
                  <w:r>
                    <w:rPr/>
                  </w:r>
                  <w:bookmarkStart w:name="_bookmark612" w:id="1532"/>
                  <w:bookmarkEnd w:id="1532"/>
                  <w:r>
                    <w:rPr/>
                  </w:r>
                  <w:r>
                    <w:rPr>
                      <w:rFonts w:ascii="Arial"/>
                      <w:b/>
                      <w:sz w:val="28"/>
                    </w:rPr>
                    <w:t>Part H</w:t>
                    <w:tab/>
                    <w:t>Ring-Fencing Arrangements for Distribution</w:t>
                  </w:r>
                  <w:r>
                    <w:rPr>
                      <w:rFonts w:ascii="Arial"/>
                      <w:b/>
                      <w:spacing w:val="-33"/>
                      <w:sz w:val="28"/>
                    </w:rPr>
                    <w:t> </w:t>
                  </w:r>
                  <w:r>
                    <w:rPr>
                      <w:rFonts w:ascii="Arial"/>
                      <w:b/>
                      <w:sz w:val="28"/>
                    </w:rPr>
                    <w:t>Network Service</w:t>
                  </w:r>
                  <w:r>
                    <w:rPr>
                      <w:rFonts w:ascii="Arial"/>
                      <w:b/>
                      <w:spacing w:val="-1"/>
                      <w:sz w:val="28"/>
                    </w:rPr>
                    <w:t> </w:t>
                  </w:r>
                  <w:r>
                    <w:rPr>
                      <w:rFonts w:ascii="Arial"/>
                      <w:b/>
                      <w:sz w:val="28"/>
                    </w:rPr>
                    <w:t>Providers</w:t>
                  </w:r>
                </w:p>
              </w:txbxContent>
            </v:textbox>
            <v:fill type="solid"/>
            <w10:wrap type="topAndBottom"/>
          </v:shape>
        </w:pict>
      </w:r>
    </w:p>
    <w:p>
      <w:pPr>
        <w:pStyle w:val="BodyText"/>
        <w:spacing w:before="7"/>
        <w:ind w:firstLine="0"/>
        <w:jc w:val="left"/>
        <w:rPr>
          <w:sz w:val="11"/>
        </w:rPr>
      </w:pPr>
    </w:p>
    <w:p>
      <w:pPr>
        <w:pStyle w:val="Heading3"/>
        <w:numPr>
          <w:ilvl w:val="1"/>
          <w:numId w:val="442"/>
        </w:numPr>
        <w:tabs>
          <w:tab w:pos="1351" w:val="left" w:leader="none"/>
          <w:tab w:pos="1353" w:val="left" w:leader="none"/>
        </w:tabs>
        <w:spacing w:line="240" w:lineRule="auto" w:before="91" w:after="0"/>
        <w:ind w:left="1352" w:right="0" w:hanging="1135"/>
        <w:jc w:val="left"/>
      </w:pPr>
      <w:bookmarkStart w:name="6.17 Distribution Ring-Fencing Guideline" w:id="1533"/>
      <w:bookmarkEnd w:id="1533"/>
      <w:r>
        <w:rPr>
          <w:b w:val="0"/>
        </w:rPr>
      </w:r>
      <w:bookmarkStart w:name="_bookmark613" w:id="1534"/>
      <w:bookmarkEnd w:id="1534"/>
      <w:r>
        <w:rPr>
          <w:b w:val="0"/>
        </w:rPr>
      </w:r>
      <w:bookmarkStart w:name="_bookmark613" w:id="1535"/>
      <w:bookmarkEnd w:id="1535"/>
      <w:r>
        <w:rPr/>
        <w:t>Distribu</w:t>
      </w:r>
      <w:r>
        <w:rPr/>
        <w:t>tion Ring-Fencing</w:t>
      </w:r>
      <w:r>
        <w:rPr>
          <w:spacing w:val="-1"/>
        </w:rPr>
        <w:t> </w:t>
      </w:r>
      <w:r>
        <w:rPr/>
        <w:t>Guidelines</w:t>
      </w:r>
    </w:p>
    <w:p>
      <w:pPr>
        <w:pStyle w:val="Heading4"/>
        <w:tabs>
          <w:tab w:pos="1351" w:val="left" w:leader="none"/>
        </w:tabs>
        <w:spacing w:before="240"/>
        <w:ind w:left="218" w:firstLine="0"/>
      </w:pPr>
      <w:bookmarkStart w:name="6.17.1 Compliance with Distribution Ring" w:id="1536"/>
      <w:bookmarkEnd w:id="1536"/>
      <w:r>
        <w:rPr>
          <w:b w:val="0"/>
        </w:rPr>
      </w:r>
      <w:bookmarkStart w:name="_bookmark614" w:id="1537"/>
      <w:bookmarkEnd w:id="1537"/>
      <w:r>
        <w:rPr>
          <w:b w:val="0"/>
        </w:rPr>
      </w:r>
      <w:r>
        <w:rPr/>
        <w:t>6.17.1</w:t>
        <w:tab/>
        <w:t>Compliance with Distribution Ring-Fencing</w:t>
      </w:r>
      <w:r>
        <w:rPr>
          <w:spacing w:val="-7"/>
        </w:rPr>
        <w:t> </w:t>
      </w:r>
      <w:r>
        <w:rPr/>
        <w:t>Guidelines</w:t>
      </w:r>
    </w:p>
    <w:p>
      <w:pPr>
        <w:spacing w:before="120"/>
        <w:ind w:left="1352" w:right="416" w:firstLine="0"/>
        <w:jc w:val="left"/>
        <w:rPr>
          <w:sz w:val="24"/>
        </w:rPr>
      </w:pPr>
      <w:r>
        <w:rPr>
          <w:sz w:val="24"/>
        </w:rPr>
        <w:t>All </w:t>
      </w:r>
      <w:r>
        <w:rPr>
          <w:i/>
          <w:sz w:val="24"/>
        </w:rPr>
        <w:t>Distribution Network Service Providers </w:t>
      </w:r>
      <w:r>
        <w:rPr>
          <w:sz w:val="24"/>
        </w:rPr>
        <w:t>must comply with the </w:t>
      </w:r>
      <w:r>
        <w:rPr>
          <w:i/>
          <w:sz w:val="24"/>
        </w:rPr>
        <w:t>Distribution </w:t>
      </w:r>
      <w:r>
        <w:rPr>
          <w:i/>
          <w:sz w:val="24"/>
        </w:rPr>
        <w:t>Ring-Fencing Guidelines </w:t>
      </w:r>
      <w:r>
        <w:rPr>
          <w:sz w:val="24"/>
        </w:rPr>
        <w:t>prepared in accordance with clause 6.17.2.</w:t>
      </w:r>
    </w:p>
    <w:p>
      <w:pPr>
        <w:pStyle w:val="BodyText"/>
        <w:spacing w:before="10"/>
        <w:ind w:firstLine="0"/>
        <w:jc w:val="left"/>
        <w:rPr>
          <w:sz w:val="20"/>
        </w:rPr>
      </w:pPr>
    </w:p>
    <w:p>
      <w:pPr>
        <w:pStyle w:val="Heading4"/>
        <w:numPr>
          <w:ilvl w:val="2"/>
          <w:numId w:val="446"/>
        </w:numPr>
        <w:tabs>
          <w:tab w:pos="887" w:val="left" w:leader="none"/>
          <w:tab w:pos="1351" w:val="left" w:leader="none"/>
        </w:tabs>
        <w:spacing w:line="240" w:lineRule="auto" w:before="0" w:after="0"/>
        <w:ind w:left="1352" w:right="1675" w:hanging="1134"/>
        <w:jc w:val="left"/>
      </w:pPr>
      <w:bookmarkStart w:name="6.17.1B Application of Distribution Ring" w:id="1538"/>
      <w:bookmarkEnd w:id="1538"/>
      <w:r>
        <w:rPr>
          <w:b w:val="0"/>
        </w:rPr>
      </w:r>
      <w:bookmarkStart w:name="_bookmark615" w:id="1539"/>
      <w:bookmarkEnd w:id="1539"/>
      <w:r>
        <w:rPr>
          <w:b w:val="0"/>
        </w:rPr>
      </w:r>
      <w:bookmarkStart w:name="_bookmark615" w:id="1540"/>
      <w:bookmarkEnd w:id="1540"/>
      <w:r>
        <w:rPr/>
        <w:t>B</w:t>
      </w:r>
      <w:r>
        <w:rPr/>
        <w:tab/>
        <w:t>Application of Distribution Ring-Fencing Guidelines in this jurisdiction</w:t>
      </w:r>
    </w:p>
    <w:p>
      <w:pPr>
        <w:pStyle w:val="BodyText"/>
        <w:ind w:left="1352" w:firstLine="0"/>
        <w:jc w:val="left"/>
      </w:pPr>
      <w:r>
        <w:rPr/>
        <w:t>Despite clause 6.17.1, in this jurisdiction:</w:t>
      </w:r>
    </w:p>
    <w:p>
      <w:pPr>
        <w:pStyle w:val="ListParagraph"/>
        <w:numPr>
          <w:ilvl w:val="3"/>
          <w:numId w:val="446"/>
        </w:numPr>
        <w:tabs>
          <w:tab w:pos="1918" w:val="left" w:leader="none"/>
          <w:tab w:pos="1919" w:val="left" w:leader="none"/>
        </w:tabs>
        <w:spacing w:line="240" w:lineRule="auto" w:before="120" w:after="0"/>
        <w:ind w:left="1919" w:right="416" w:hanging="567"/>
        <w:jc w:val="left"/>
        <w:rPr>
          <w:sz w:val="24"/>
        </w:rPr>
      </w:pPr>
      <w:r>
        <w:rPr>
          <w:sz w:val="24"/>
        </w:rPr>
        <w:t>the following provisions of the </w:t>
      </w:r>
      <w:r>
        <w:rPr>
          <w:i/>
          <w:sz w:val="24"/>
        </w:rPr>
        <w:t>Distribution Ring-Fencing Guidelines </w:t>
      </w:r>
      <w:r>
        <w:rPr>
          <w:sz w:val="24"/>
        </w:rPr>
        <w:t>have no effect:</w:t>
      </w:r>
    </w:p>
    <w:p>
      <w:pPr>
        <w:spacing w:after="0" w:line="240" w:lineRule="auto"/>
        <w:jc w:val="left"/>
        <w:rPr>
          <w:sz w:val="24"/>
        </w:rPr>
        <w:sectPr>
          <w:pgSz w:w="11910" w:h="16840"/>
          <w:pgMar w:header="686" w:footer="637" w:top="1320" w:bottom="820" w:left="1200" w:right="1000"/>
        </w:sectPr>
      </w:pPr>
    </w:p>
    <w:p>
      <w:pPr>
        <w:pStyle w:val="ListParagraph"/>
        <w:numPr>
          <w:ilvl w:val="4"/>
          <w:numId w:val="446"/>
        </w:numPr>
        <w:tabs>
          <w:tab w:pos="2485" w:val="left" w:leader="none"/>
          <w:tab w:pos="2486" w:val="left" w:leader="none"/>
        </w:tabs>
        <w:spacing w:line="240" w:lineRule="auto" w:before="83" w:after="0"/>
        <w:ind w:left="2485" w:right="0" w:hanging="567"/>
        <w:jc w:val="left"/>
        <w:rPr>
          <w:sz w:val="24"/>
        </w:rPr>
      </w:pPr>
      <w:r>
        <w:rPr>
          <w:sz w:val="24"/>
        </w:rPr>
        <w:t>clause 1.1.1, all words from "For the avoidance" to</w:t>
      </w:r>
      <w:r>
        <w:rPr>
          <w:spacing w:val="-5"/>
          <w:sz w:val="24"/>
        </w:rPr>
        <w:t> </w:t>
      </w:r>
      <w:r>
        <w:rPr>
          <w:sz w:val="24"/>
        </w:rPr>
        <w:t>"</w:t>
      </w:r>
      <w:r>
        <w:rPr>
          <w:b/>
          <w:sz w:val="24"/>
        </w:rPr>
        <w:t>DNSP</w:t>
      </w:r>
      <w:r>
        <w:rPr>
          <w:sz w:val="24"/>
        </w:rPr>
        <w:t>s.";</w:t>
      </w:r>
    </w:p>
    <w:p>
      <w:pPr>
        <w:pStyle w:val="ListParagraph"/>
        <w:numPr>
          <w:ilvl w:val="4"/>
          <w:numId w:val="446"/>
        </w:numPr>
        <w:tabs>
          <w:tab w:pos="2485" w:val="left" w:leader="none"/>
          <w:tab w:pos="2486" w:val="left" w:leader="none"/>
        </w:tabs>
        <w:spacing w:line="343" w:lineRule="auto" w:before="120" w:after="0"/>
        <w:ind w:left="1919" w:right="1792" w:firstLine="0"/>
        <w:jc w:val="left"/>
        <w:rPr>
          <w:sz w:val="24"/>
        </w:rPr>
      </w:pPr>
      <w:r>
        <w:rPr>
          <w:sz w:val="24"/>
        </w:rPr>
        <w:t>clause 1.4, definition </w:t>
      </w:r>
      <w:r>
        <w:rPr>
          <w:b/>
          <w:sz w:val="24"/>
        </w:rPr>
        <w:t>non-distribution services</w:t>
      </w:r>
      <w:r>
        <w:rPr>
          <w:sz w:val="24"/>
        </w:rPr>
        <w:t>; and (3) clauses 3.1, 4.2.1, 4.2.2 and 4.2.3;</w:t>
      </w:r>
      <w:r>
        <w:rPr>
          <w:spacing w:val="-1"/>
          <w:sz w:val="24"/>
        </w:rPr>
        <w:t> </w:t>
      </w:r>
      <w:r>
        <w:rPr>
          <w:sz w:val="24"/>
        </w:rPr>
        <w:t>and</w:t>
      </w:r>
    </w:p>
    <w:p>
      <w:pPr>
        <w:pStyle w:val="ListParagraph"/>
        <w:numPr>
          <w:ilvl w:val="3"/>
          <w:numId w:val="446"/>
        </w:numPr>
        <w:tabs>
          <w:tab w:pos="1919" w:val="left" w:leader="none"/>
        </w:tabs>
        <w:spacing w:line="240" w:lineRule="auto" w:before="3" w:after="0"/>
        <w:ind w:left="1919" w:right="416" w:hanging="567"/>
        <w:jc w:val="both"/>
        <w:rPr>
          <w:sz w:val="24"/>
        </w:rPr>
      </w:pPr>
      <w:r>
        <w:rPr>
          <w:sz w:val="24"/>
        </w:rPr>
        <w:t>a reference in the </w:t>
      </w:r>
      <w:r>
        <w:rPr>
          <w:i/>
          <w:sz w:val="24"/>
        </w:rPr>
        <w:t>Distribution Ring-Fencing Guidelines </w:t>
      </w:r>
      <w:r>
        <w:rPr>
          <w:sz w:val="24"/>
        </w:rPr>
        <w:t>to "</w:t>
      </w:r>
      <w:r>
        <w:rPr>
          <w:b/>
          <w:sz w:val="24"/>
        </w:rPr>
        <w:t>non- distribution services</w:t>
      </w:r>
      <w:r>
        <w:rPr>
          <w:sz w:val="24"/>
        </w:rPr>
        <w:t>" must be regarded as a reference to "</w:t>
      </w:r>
      <w:r>
        <w:rPr>
          <w:b/>
          <w:sz w:val="24"/>
        </w:rPr>
        <w:t>other services</w:t>
      </w:r>
      <w:r>
        <w:rPr>
          <w:sz w:val="24"/>
        </w:rPr>
        <w:t>"; and</w:t>
      </w:r>
    </w:p>
    <w:p>
      <w:pPr>
        <w:pStyle w:val="ListParagraph"/>
        <w:numPr>
          <w:ilvl w:val="3"/>
          <w:numId w:val="446"/>
        </w:numPr>
        <w:tabs>
          <w:tab w:pos="1919" w:val="left" w:leader="none"/>
        </w:tabs>
        <w:spacing w:line="240" w:lineRule="auto" w:before="120" w:after="0"/>
        <w:ind w:left="1919" w:right="414" w:hanging="567"/>
        <w:jc w:val="both"/>
        <w:rPr>
          <w:sz w:val="24"/>
        </w:rPr>
      </w:pPr>
      <w:r>
        <w:rPr>
          <w:sz w:val="24"/>
        </w:rPr>
        <w:t>a reference in clause 3.2.1(a) of the </w:t>
      </w:r>
      <w:r>
        <w:rPr>
          <w:i/>
          <w:sz w:val="24"/>
        </w:rPr>
        <w:t>Distribution Ring-Fencing Guidelines </w:t>
      </w:r>
      <w:r>
        <w:rPr>
          <w:sz w:val="24"/>
        </w:rPr>
        <w:t>and the note to that paragraph to "</w:t>
      </w:r>
      <w:r>
        <w:rPr>
          <w:b/>
          <w:sz w:val="24"/>
        </w:rPr>
        <w:t>affiliated entities</w:t>
      </w:r>
      <w:r>
        <w:rPr>
          <w:sz w:val="24"/>
        </w:rPr>
        <w:t>" must be regarded as </w:t>
      </w:r>
      <w:r>
        <w:rPr>
          <w:spacing w:val="-11"/>
          <w:sz w:val="24"/>
        </w:rPr>
        <w:t>a </w:t>
      </w:r>
      <w:r>
        <w:rPr>
          <w:sz w:val="24"/>
        </w:rPr>
        <w:t>reference to "</w:t>
      </w:r>
      <w:r>
        <w:rPr>
          <w:b/>
          <w:sz w:val="24"/>
        </w:rPr>
        <w:t>related electricity service providers</w:t>
      </w:r>
      <w:r>
        <w:rPr>
          <w:sz w:val="24"/>
        </w:rPr>
        <w:t>";</w:t>
      </w:r>
      <w:r>
        <w:rPr>
          <w:spacing w:val="-4"/>
          <w:sz w:val="24"/>
        </w:rPr>
        <w:t> </w:t>
      </w:r>
      <w:r>
        <w:rPr>
          <w:sz w:val="24"/>
        </w:rPr>
        <w:t>and</w:t>
      </w:r>
    </w:p>
    <w:p>
      <w:pPr>
        <w:pStyle w:val="ListParagraph"/>
        <w:numPr>
          <w:ilvl w:val="3"/>
          <w:numId w:val="446"/>
        </w:numPr>
        <w:tabs>
          <w:tab w:pos="1919" w:val="left" w:leader="none"/>
        </w:tabs>
        <w:spacing w:line="240" w:lineRule="auto" w:before="120" w:after="0"/>
        <w:ind w:left="1919" w:right="416" w:hanging="567"/>
        <w:jc w:val="both"/>
        <w:rPr>
          <w:sz w:val="24"/>
        </w:rPr>
      </w:pPr>
      <w:r>
        <w:rPr>
          <w:sz w:val="24"/>
        </w:rPr>
        <w:t>a reference in clause 6.2.1(b)(iv) of the </w:t>
      </w:r>
      <w:r>
        <w:rPr>
          <w:i/>
          <w:sz w:val="24"/>
        </w:rPr>
        <w:t>Distribution Ring-Fencing </w:t>
      </w:r>
      <w:r>
        <w:rPr>
          <w:i/>
          <w:sz w:val="24"/>
        </w:rPr>
        <w:t>Guidelines </w:t>
      </w:r>
      <w:r>
        <w:rPr>
          <w:sz w:val="24"/>
        </w:rPr>
        <w:t>to "</w:t>
      </w:r>
      <w:r>
        <w:rPr>
          <w:b/>
          <w:sz w:val="24"/>
        </w:rPr>
        <w:t>affiliated entity</w:t>
      </w:r>
      <w:r>
        <w:rPr>
          <w:sz w:val="24"/>
        </w:rPr>
        <w:t>" must be regarded as a reference to "r</w:t>
      </w:r>
      <w:r>
        <w:rPr>
          <w:b/>
          <w:sz w:val="24"/>
        </w:rPr>
        <w:t>elated electricity service</w:t>
      </w:r>
      <w:r>
        <w:rPr>
          <w:b/>
          <w:spacing w:val="-1"/>
          <w:sz w:val="24"/>
        </w:rPr>
        <w:t> </w:t>
      </w:r>
      <w:r>
        <w:rPr>
          <w:b/>
          <w:sz w:val="24"/>
        </w:rPr>
        <w:t>provider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and the operation of the </w:t>
      </w:r>
      <w:r>
        <w:rPr>
          <w:i/>
          <w:sz w:val="20"/>
        </w:rPr>
        <w:t>Distribution Ring-Fencing Guidelines </w:t>
      </w:r>
      <w:r>
        <w:rPr>
          <w:sz w:val="20"/>
        </w:rPr>
        <w:t>in this jurisdiction, will be revisited in the event of the introduction of contestable services (including contestable metering services) in this jurisdiction.</w:t>
      </w:r>
    </w:p>
    <w:p>
      <w:pPr>
        <w:pStyle w:val="BodyText"/>
        <w:spacing w:before="10"/>
        <w:ind w:firstLine="0"/>
        <w:jc w:val="left"/>
        <w:rPr>
          <w:sz w:val="20"/>
        </w:rPr>
      </w:pPr>
    </w:p>
    <w:p>
      <w:pPr>
        <w:pStyle w:val="Heading4"/>
        <w:numPr>
          <w:ilvl w:val="2"/>
          <w:numId w:val="446"/>
        </w:numPr>
        <w:tabs>
          <w:tab w:pos="1351" w:val="left" w:leader="none"/>
          <w:tab w:pos="1352" w:val="left" w:leader="none"/>
        </w:tabs>
        <w:spacing w:line="240" w:lineRule="auto" w:before="0" w:after="0"/>
        <w:ind w:left="1351" w:right="0" w:hanging="1134"/>
        <w:jc w:val="left"/>
      </w:pPr>
      <w:bookmarkStart w:name="6.17.2 Development of Distribution Ring-" w:id="1541"/>
      <w:bookmarkEnd w:id="1541"/>
      <w:r>
        <w:rPr>
          <w:b w:val="0"/>
        </w:rPr>
      </w:r>
      <w:bookmarkStart w:name="_bookmark616" w:id="1542"/>
      <w:bookmarkEnd w:id="1542"/>
      <w:r>
        <w:rPr>
          <w:b w:val="0"/>
        </w:rPr>
      </w:r>
      <w:bookmarkStart w:name="_bookmark616" w:id="1543"/>
      <w:bookmarkEnd w:id="1543"/>
      <w:r>
        <w:rPr/>
        <w:t>Dev</w:t>
      </w:r>
      <w:r>
        <w:rPr/>
        <w:t>elopment of Distribution Ring-Fencing</w:t>
      </w:r>
      <w:r>
        <w:rPr>
          <w:spacing w:val="-4"/>
        </w:rPr>
        <w:t> </w:t>
      </w:r>
      <w:r>
        <w:rPr/>
        <w:t>Guidelines</w:t>
      </w:r>
    </w:p>
    <w:p>
      <w:pPr>
        <w:pStyle w:val="ListParagraph"/>
        <w:numPr>
          <w:ilvl w:val="3"/>
          <w:numId w:val="446"/>
        </w:numPr>
        <w:tabs>
          <w:tab w:pos="1919" w:val="left" w:leader="none"/>
        </w:tabs>
        <w:spacing w:line="240" w:lineRule="auto" w:before="120" w:after="0"/>
        <w:ind w:left="1919" w:right="415" w:hanging="567"/>
        <w:jc w:val="both"/>
        <w:rPr>
          <w:sz w:val="24"/>
        </w:rPr>
      </w:pPr>
      <w:r>
        <w:rPr>
          <w:sz w:val="24"/>
        </w:rPr>
        <w:t>Guidelines must be developed by the </w:t>
      </w:r>
      <w:r>
        <w:rPr>
          <w:i/>
          <w:sz w:val="24"/>
        </w:rPr>
        <w:t>AER </w:t>
      </w:r>
      <w:r>
        <w:rPr>
          <w:sz w:val="24"/>
        </w:rPr>
        <w:t>for the accounting and functional separation of the provision of </w:t>
      </w:r>
      <w:r>
        <w:rPr>
          <w:i/>
          <w:sz w:val="24"/>
        </w:rPr>
        <w:t>direct control services </w:t>
      </w:r>
      <w:r>
        <w:rPr>
          <w:sz w:val="24"/>
        </w:rPr>
        <w:t>by </w:t>
      </w:r>
      <w:r>
        <w:rPr>
          <w:i/>
          <w:sz w:val="24"/>
        </w:rPr>
        <w:t>Distribution </w:t>
      </w:r>
      <w:r>
        <w:rPr>
          <w:i/>
          <w:sz w:val="24"/>
        </w:rPr>
        <w:t>Network Service Providers </w:t>
      </w:r>
      <w:r>
        <w:rPr>
          <w:sz w:val="24"/>
        </w:rPr>
        <w:t>from the provision of other services by </w:t>
      </w:r>
      <w:r>
        <w:rPr>
          <w:i/>
          <w:sz w:val="24"/>
        </w:rPr>
        <w:t>Distribution Network Service Providers </w:t>
      </w:r>
      <w:r>
        <w:rPr>
          <w:sz w:val="24"/>
        </w:rPr>
        <w:t>(the </w:t>
      </w:r>
      <w:r>
        <w:rPr>
          <w:i/>
          <w:sz w:val="24"/>
        </w:rPr>
        <w:t>Distribution Ring-Fencing </w:t>
      </w:r>
      <w:r>
        <w:rPr>
          <w:i/>
          <w:sz w:val="24"/>
        </w:rPr>
        <w:t>Guidelines</w:t>
      </w:r>
      <w:r>
        <w:rPr>
          <w:sz w:val="24"/>
        </w:rPr>
        <w:t>). The guidelines may vary in application as between different </w:t>
      </w:r>
      <w:r>
        <w:rPr>
          <w:i/>
          <w:sz w:val="24"/>
        </w:rPr>
        <w:t>participating</w:t>
      </w:r>
      <w:r>
        <w:rPr>
          <w:i/>
          <w:spacing w:val="-1"/>
          <w:sz w:val="24"/>
        </w:rPr>
        <w:t> </w:t>
      </w:r>
      <w:r>
        <w:rPr>
          <w:i/>
          <w:sz w:val="24"/>
        </w:rPr>
        <w:t>jurisdictions</w:t>
      </w:r>
      <w:r>
        <w:rPr>
          <w:sz w:val="24"/>
        </w:rPr>
        <w:t>.</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Clause 11.14.5 will have a bearing on the application of these guidelines in certain cases.</w:t>
      </w:r>
    </w:p>
    <w:p>
      <w:pPr>
        <w:pStyle w:val="ListParagraph"/>
        <w:numPr>
          <w:ilvl w:val="3"/>
          <w:numId w:val="446"/>
        </w:numPr>
        <w:tabs>
          <w:tab w:pos="1919" w:val="left" w:leader="none"/>
        </w:tabs>
        <w:spacing w:line="240" w:lineRule="auto" w:before="120" w:after="0"/>
        <w:ind w:left="1919" w:right="416" w:hanging="567"/>
        <w:jc w:val="both"/>
        <w:rPr>
          <w:sz w:val="24"/>
        </w:rPr>
      </w:pPr>
      <w:r>
        <w:rPr>
          <w:sz w:val="24"/>
        </w:rPr>
        <w:t>The </w:t>
      </w:r>
      <w:r>
        <w:rPr>
          <w:i/>
          <w:sz w:val="24"/>
        </w:rPr>
        <w:t>Distribution Ring-Fencing Guidelines </w:t>
      </w:r>
      <w:r>
        <w:rPr>
          <w:sz w:val="24"/>
        </w:rPr>
        <w:t>may include, but are not limited to:</w:t>
      </w:r>
    </w:p>
    <w:p>
      <w:pPr>
        <w:pStyle w:val="ListParagraph"/>
        <w:numPr>
          <w:ilvl w:val="4"/>
          <w:numId w:val="446"/>
        </w:numPr>
        <w:tabs>
          <w:tab w:pos="2486" w:val="left" w:leader="none"/>
        </w:tabs>
        <w:spacing w:line="240" w:lineRule="auto" w:before="120" w:after="0"/>
        <w:ind w:left="2485" w:right="0" w:hanging="567"/>
        <w:jc w:val="both"/>
        <w:rPr>
          <w:sz w:val="24"/>
        </w:rPr>
      </w:pPr>
      <w:r>
        <w:rPr>
          <w:sz w:val="24"/>
        </w:rPr>
        <w:t>provisions defining the need for and extent</w:t>
      </w:r>
      <w:r>
        <w:rPr>
          <w:spacing w:val="-2"/>
          <w:sz w:val="24"/>
        </w:rPr>
        <w:t> </w:t>
      </w:r>
      <w:r>
        <w:rPr>
          <w:sz w:val="24"/>
        </w:rPr>
        <w:t>of:</w:t>
      </w:r>
    </w:p>
    <w:p>
      <w:pPr>
        <w:pStyle w:val="ListParagraph"/>
        <w:numPr>
          <w:ilvl w:val="5"/>
          <w:numId w:val="446"/>
        </w:numPr>
        <w:tabs>
          <w:tab w:pos="3053" w:val="left" w:leader="none"/>
        </w:tabs>
        <w:spacing w:line="240" w:lineRule="auto" w:before="120" w:after="0"/>
        <w:ind w:left="3053" w:right="415" w:hanging="567"/>
        <w:jc w:val="both"/>
        <w:rPr>
          <w:sz w:val="24"/>
        </w:rPr>
      </w:pPr>
      <w:r>
        <w:rPr>
          <w:sz w:val="24"/>
        </w:rPr>
        <w:t>legal separation of the entity through which a </w:t>
      </w:r>
      <w:r>
        <w:rPr>
          <w:i/>
          <w:sz w:val="24"/>
        </w:rPr>
        <w:t>Distribution </w:t>
      </w:r>
      <w:r>
        <w:rPr>
          <w:i/>
          <w:sz w:val="24"/>
        </w:rPr>
        <w:t>Network Service Provider </w:t>
      </w:r>
      <w:r>
        <w:rPr>
          <w:sz w:val="24"/>
        </w:rPr>
        <w:t>provides </w:t>
      </w:r>
      <w:r>
        <w:rPr>
          <w:i/>
          <w:sz w:val="24"/>
        </w:rPr>
        <w:t>network services </w:t>
      </w:r>
      <w:r>
        <w:rPr>
          <w:sz w:val="24"/>
        </w:rPr>
        <w:t>from any other entity through which it conducts business;</w:t>
      </w:r>
      <w:r>
        <w:rPr>
          <w:spacing w:val="-4"/>
          <w:sz w:val="24"/>
        </w:rPr>
        <w:t> </w:t>
      </w:r>
      <w:r>
        <w:rPr>
          <w:sz w:val="24"/>
        </w:rPr>
        <w:t>and</w:t>
      </w:r>
    </w:p>
    <w:p>
      <w:pPr>
        <w:pStyle w:val="ListParagraph"/>
        <w:numPr>
          <w:ilvl w:val="5"/>
          <w:numId w:val="446"/>
        </w:numPr>
        <w:tabs>
          <w:tab w:pos="3054" w:val="left" w:leader="none"/>
        </w:tabs>
        <w:spacing w:line="240" w:lineRule="auto" w:before="120" w:after="0"/>
        <w:ind w:left="3053" w:right="416" w:hanging="567"/>
        <w:jc w:val="both"/>
        <w:rPr>
          <w:sz w:val="24"/>
        </w:rPr>
      </w:pPr>
      <w:r>
        <w:rPr>
          <w:sz w:val="24"/>
        </w:rPr>
        <w:t>the establishment and maintenance of consolidated and separate accounts for </w:t>
      </w:r>
      <w:r>
        <w:rPr>
          <w:i/>
          <w:sz w:val="24"/>
        </w:rPr>
        <w:t>standard control services</w:t>
      </w:r>
      <w:r>
        <w:rPr>
          <w:sz w:val="24"/>
        </w:rPr>
        <w:t>, </w:t>
      </w:r>
      <w:r>
        <w:rPr>
          <w:i/>
          <w:sz w:val="24"/>
        </w:rPr>
        <w:t>alternative control </w:t>
      </w:r>
      <w:r>
        <w:rPr>
          <w:i/>
          <w:sz w:val="24"/>
        </w:rPr>
        <w:t>services </w:t>
      </w:r>
      <w:r>
        <w:rPr>
          <w:sz w:val="24"/>
        </w:rPr>
        <w:t>and other services provided by the  </w:t>
      </w:r>
      <w:r>
        <w:rPr>
          <w:i/>
          <w:sz w:val="24"/>
        </w:rPr>
        <w:t>Distribution </w:t>
      </w:r>
      <w:r>
        <w:rPr>
          <w:i/>
          <w:sz w:val="24"/>
        </w:rPr>
        <w:t>Network Service Provider</w:t>
      </w:r>
      <w:r>
        <w:rPr>
          <w:sz w:val="24"/>
        </w:rPr>
        <w:t>;</w:t>
      </w:r>
      <w:r>
        <w:rPr>
          <w:spacing w:val="-1"/>
          <w:sz w:val="24"/>
        </w:rPr>
        <w:t> </w:t>
      </w:r>
      <w:r>
        <w:rPr>
          <w:sz w:val="24"/>
        </w:rPr>
        <w:t>and</w:t>
      </w:r>
    </w:p>
    <w:p>
      <w:pPr>
        <w:pStyle w:val="ListParagraph"/>
        <w:numPr>
          <w:ilvl w:val="5"/>
          <w:numId w:val="446"/>
        </w:numPr>
        <w:tabs>
          <w:tab w:pos="3053" w:val="left" w:leader="none"/>
        </w:tabs>
        <w:spacing w:line="240" w:lineRule="auto" w:before="120" w:after="0"/>
        <w:ind w:left="3053" w:right="416" w:hanging="567"/>
        <w:jc w:val="both"/>
        <w:rPr>
          <w:sz w:val="24"/>
        </w:rPr>
      </w:pPr>
      <w:r>
        <w:rPr>
          <w:sz w:val="24"/>
        </w:rPr>
        <w:t>allocation of costs between </w:t>
      </w:r>
      <w:r>
        <w:rPr>
          <w:i/>
          <w:sz w:val="24"/>
        </w:rPr>
        <w:t>standard control services</w:t>
      </w:r>
      <w:r>
        <w:rPr>
          <w:sz w:val="24"/>
        </w:rPr>
        <w:t>, </w:t>
      </w:r>
      <w:r>
        <w:rPr>
          <w:i/>
          <w:sz w:val="24"/>
        </w:rPr>
        <w:t>alternative control services </w:t>
      </w:r>
      <w:r>
        <w:rPr>
          <w:sz w:val="24"/>
        </w:rPr>
        <w:t>and other services provided by the </w:t>
      </w:r>
      <w:r>
        <w:rPr>
          <w:i/>
          <w:sz w:val="24"/>
        </w:rPr>
        <w:t>Distribution Network Service Provider</w:t>
      </w:r>
      <w:r>
        <w:rPr>
          <w:sz w:val="24"/>
        </w:rPr>
        <w:t>;</w:t>
      </w:r>
      <w:r>
        <w:rPr>
          <w:spacing w:val="-3"/>
          <w:sz w:val="24"/>
        </w:rPr>
        <w:t> </w:t>
      </w:r>
      <w:r>
        <w:rPr>
          <w:sz w:val="24"/>
        </w:rPr>
        <w:t>and</w:t>
      </w:r>
    </w:p>
    <w:p>
      <w:pPr>
        <w:pStyle w:val="ListParagraph"/>
        <w:numPr>
          <w:ilvl w:val="5"/>
          <w:numId w:val="446"/>
        </w:numPr>
        <w:tabs>
          <w:tab w:pos="3054" w:val="left" w:leader="none"/>
        </w:tabs>
        <w:spacing w:line="240" w:lineRule="auto" w:before="120" w:after="0"/>
        <w:ind w:left="3053" w:right="415" w:hanging="567"/>
        <w:jc w:val="both"/>
        <w:rPr>
          <w:sz w:val="24"/>
        </w:rPr>
      </w:pPr>
      <w:r>
        <w:rPr>
          <w:sz w:val="24"/>
        </w:rPr>
        <w:t>limitations on the flow of information between the </w:t>
      </w:r>
      <w:r>
        <w:rPr>
          <w:i/>
          <w:sz w:val="24"/>
        </w:rPr>
        <w:t>Distribution </w:t>
      </w:r>
      <w:r>
        <w:rPr>
          <w:i/>
          <w:sz w:val="24"/>
        </w:rPr>
        <w:t>Network Service Provider </w:t>
      </w:r>
      <w:r>
        <w:rPr>
          <w:sz w:val="24"/>
        </w:rPr>
        <w:t>and any other person;</w:t>
      </w:r>
      <w:r>
        <w:rPr>
          <w:spacing w:val="-1"/>
          <w:sz w:val="24"/>
        </w:rPr>
        <w:t> </w:t>
      </w:r>
      <w:r>
        <w:rPr>
          <w:sz w:val="24"/>
        </w:rPr>
        <w:t>and</w:t>
      </w:r>
    </w:p>
    <w:p>
      <w:pPr>
        <w:pStyle w:val="ListParagraph"/>
        <w:numPr>
          <w:ilvl w:val="5"/>
          <w:numId w:val="446"/>
        </w:numPr>
        <w:tabs>
          <w:tab w:pos="3053" w:val="left" w:leader="none"/>
        </w:tabs>
        <w:spacing w:line="240" w:lineRule="auto" w:before="120" w:after="0"/>
        <w:ind w:left="3053" w:right="415" w:hanging="567"/>
        <w:jc w:val="both"/>
        <w:rPr>
          <w:sz w:val="24"/>
        </w:rPr>
      </w:pPr>
      <w:r>
        <w:rPr>
          <w:sz w:val="24"/>
        </w:rPr>
        <w:t>limitations on the flow of information where there is the potential for a competitive disadvantage between those parts of the</w:t>
      </w:r>
      <w:r>
        <w:rPr>
          <w:spacing w:val="18"/>
          <w:sz w:val="24"/>
        </w:rPr>
        <w:t> </w:t>
      </w:r>
      <w:r>
        <w:rPr>
          <w:i/>
          <w:sz w:val="24"/>
        </w:rPr>
        <w:t>Distribution</w:t>
      </w:r>
      <w:r>
        <w:rPr>
          <w:i/>
          <w:spacing w:val="19"/>
          <w:sz w:val="24"/>
        </w:rPr>
        <w:t> </w:t>
      </w:r>
      <w:r>
        <w:rPr>
          <w:i/>
          <w:sz w:val="24"/>
        </w:rPr>
        <w:t>Network</w:t>
      </w:r>
      <w:r>
        <w:rPr>
          <w:i/>
          <w:spacing w:val="19"/>
          <w:sz w:val="24"/>
        </w:rPr>
        <w:t> </w:t>
      </w:r>
      <w:r>
        <w:rPr>
          <w:i/>
          <w:sz w:val="24"/>
        </w:rPr>
        <w:t>Service</w:t>
      </w:r>
      <w:r>
        <w:rPr>
          <w:i/>
          <w:spacing w:val="19"/>
          <w:sz w:val="24"/>
        </w:rPr>
        <w:t> </w:t>
      </w:r>
      <w:r>
        <w:rPr>
          <w:i/>
          <w:sz w:val="24"/>
        </w:rPr>
        <w:t>Provider's</w:t>
      </w:r>
      <w:r>
        <w:rPr>
          <w:i/>
          <w:spacing w:val="18"/>
          <w:sz w:val="24"/>
        </w:rPr>
        <w:t> </w:t>
      </w:r>
      <w:r>
        <w:rPr>
          <w:sz w:val="24"/>
        </w:rPr>
        <w:t>business</w:t>
      </w:r>
      <w:r>
        <w:rPr>
          <w:spacing w:val="19"/>
          <w:sz w:val="24"/>
        </w:rPr>
        <w:t> </w:t>
      </w:r>
      <w:r>
        <w:rPr>
          <w:sz w:val="24"/>
        </w:rPr>
        <w:t>which</w:t>
      </w:r>
    </w:p>
    <w:p>
      <w:pPr>
        <w:spacing w:after="0" w:line="240" w:lineRule="auto"/>
        <w:jc w:val="both"/>
        <w:rPr>
          <w:sz w:val="24"/>
        </w:rPr>
        <w:sectPr>
          <w:pgSz w:w="11910" w:h="16840"/>
          <w:pgMar w:header="686" w:footer="637" w:top="1320" w:bottom="820" w:left="1200" w:right="1000"/>
        </w:sectPr>
      </w:pPr>
    </w:p>
    <w:p>
      <w:pPr>
        <w:spacing w:before="83"/>
        <w:ind w:left="3053" w:right="415" w:firstLine="0"/>
        <w:jc w:val="both"/>
        <w:rPr>
          <w:sz w:val="24"/>
        </w:rPr>
      </w:pPr>
      <w:r>
        <w:rPr>
          <w:sz w:val="24"/>
        </w:rPr>
        <w:t>provide </w:t>
      </w:r>
      <w:r>
        <w:rPr>
          <w:i/>
          <w:sz w:val="24"/>
        </w:rPr>
        <w:t>direct control services </w:t>
      </w:r>
      <w:r>
        <w:rPr>
          <w:sz w:val="24"/>
        </w:rPr>
        <w:t>and parts of the provider's business which provide any other services; and</w:t>
      </w:r>
    </w:p>
    <w:p>
      <w:pPr>
        <w:pStyle w:val="ListParagraph"/>
        <w:numPr>
          <w:ilvl w:val="4"/>
          <w:numId w:val="446"/>
        </w:numPr>
        <w:tabs>
          <w:tab w:pos="2486" w:val="left" w:leader="none"/>
        </w:tabs>
        <w:spacing w:line="240" w:lineRule="auto" w:before="120" w:after="0"/>
        <w:ind w:left="2486" w:right="416" w:hanging="567"/>
        <w:jc w:val="both"/>
        <w:rPr>
          <w:sz w:val="24"/>
        </w:rPr>
      </w:pPr>
      <w:r>
        <w:rPr>
          <w:sz w:val="24"/>
        </w:rPr>
        <w:t>provisions allowing the </w:t>
      </w:r>
      <w:r>
        <w:rPr>
          <w:i/>
          <w:sz w:val="24"/>
        </w:rPr>
        <w:t>AER </w:t>
      </w:r>
      <w:r>
        <w:rPr>
          <w:sz w:val="24"/>
        </w:rPr>
        <w:t>to add to or to waive a </w:t>
      </w:r>
      <w:r>
        <w:rPr>
          <w:i/>
          <w:sz w:val="24"/>
        </w:rPr>
        <w:t>Distribution </w:t>
      </w:r>
      <w:r>
        <w:rPr>
          <w:i/>
          <w:sz w:val="24"/>
        </w:rPr>
        <w:t>Network Service Provider</w:t>
      </w:r>
      <w:r>
        <w:rPr>
          <w:sz w:val="24"/>
        </w:rPr>
        <w:t>'s obligations under the </w:t>
      </w:r>
      <w:r>
        <w:rPr>
          <w:i/>
          <w:sz w:val="24"/>
        </w:rPr>
        <w:t>Distribution Ring- </w:t>
      </w:r>
      <w:r>
        <w:rPr>
          <w:i/>
          <w:sz w:val="24"/>
        </w:rPr>
        <w:t>Fencing</w:t>
      </w:r>
      <w:r>
        <w:rPr>
          <w:i/>
          <w:spacing w:val="-1"/>
          <w:sz w:val="24"/>
        </w:rPr>
        <w:t> </w:t>
      </w:r>
      <w:r>
        <w:rPr>
          <w:i/>
          <w:sz w:val="24"/>
        </w:rPr>
        <w:t>Guidelines</w:t>
      </w:r>
      <w:r>
        <w:rPr>
          <w:sz w:val="24"/>
        </w:rPr>
        <w:t>.</w:t>
      </w:r>
    </w:p>
    <w:p>
      <w:pPr>
        <w:pStyle w:val="ListParagraph"/>
        <w:numPr>
          <w:ilvl w:val="3"/>
          <w:numId w:val="446"/>
        </w:numPr>
        <w:tabs>
          <w:tab w:pos="1919" w:val="left" w:leader="none"/>
        </w:tabs>
        <w:spacing w:line="240" w:lineRule="auto" w:before="120" w:after="0"/>
        <w:ind w:left="1919" w:right="415" w:hanging="567"/>
        <w:jc w:val="both"/>
        <w:rPr>
          <w:sz w:val="24"/>
        </w:rPr>
      </w:pPr>
      <w:r>
        <w:rPr>
          <w:sz w:val="24"/>
        </w:rPr>
        <w:t>In developing or amending the </w:t>
      </w:r>
      <w:r>
        <w:rPr>
          <w:i/>
          <w:sz w:val="24"/>
        </w:rPr>
        <w:t>Distribution Ring-Fencing Guidelines </w:t>
      </w:r>
      <w:r>
        <w:rPr>
          <w:sz w:val="24"/>
        </w:rPr>
        <w:t>the </w:t>
      </w:r>
      <w:r>
        <w:rPr>
          <w:i/>
          <w:sz w:val="24"/>
        </w:rPr>
        <w:t>AER </w:t>
      </w:r>
      <w:r>
        <w:rPr>
          <w:sz w:val="24"/>
        </w:rPr>
        <w:t>must consider, without limitation, the need, so far as practicable, for consistency between the </w:t>
      </w:r>
      <w:r>
        <w:rPr>
          <w:i/>
          <w:sz w:val="24"/>
        </w:rPr>
        <w:t>Distribution Ring-Fencing Guidelines </w:t>
      </w:r>
      <w:r>
        <w:rPr>
          <w:sz w:val="24"/>
        </w:rPr>
        <w:t>and the </w:t>
      </w:r>
      <w:r>
        <w:rPr>
          <w:i/>
          <w:sz w:val="24"/>
        </w:rPr>
        <w:t>Transmission Ring-Fencing</w:t>
      </w:r>
      <w:r>
        <w:rPr>
          <w:i/>
          <w:spacing w:val="-2"/>
          <w:sz w:val="24"/>
        </w:rPr>
        <w:t> </w:t>
      </w:r>
      <w:r>
        <w:rPr>
          <w:i/>
          <w:sz w:val="24"/>
        </w:rPr>
        <w:t>Guidelines</w:t>
      </w:r>
      <w:r>
        <w:rPr>
          <w:sz w:val="24"/>
        </w:rPr>
        <w:t>.</w:t>
      </w:r>
    </w:p>
    <w:p>
      <w:pPr>
        <w:pStyle w:val="ListParagraph"/>
        <w:numPr>
          <w:ilvl w:val="3"/>
          <w:numId w:val="446"/>
        </w:numPr>
        <w:tabs>
          <w:tab w:pos="1919" w:val="left" w:leader="none"/>
        </w:tabs>
        <w:spacing w:line="240" w:lineRule="auto" w:before="120" w:after="0"/>
        <w:ind w:left="1919" w:right="414" w:hanging="567"/>
        <w:jc w:val="both"/>
        <w:rPr>
          <w:sz w:val="24"/>
        </w:rPr>
      </w:pPr>
      <w:r>
        <w:rPr>
          <w:sz w:val="24"/>
        </w:rPr>
        <w:t>In developing or amending the </w:t>
      </w:r>
      <w:r>
        <w:rPr>
          <w:i/>
          <w:sz w:val="24"/>
        </w:rPr>
        <w:t>Distribution Ring-Fencing Guidelines</w:t>
      </w:r>
      <w:r>
        <w:rPr>
          <w:sz w:val="24"/>
        </w:rPr>
        <w:t>, the </w:t>
      </w:r>
      <w:r>
        <w:rPr>
          <w:i/>
          <w:sz w:val="24"/>
        </w:rPr>
        <w:t>AER </w:t>
      </w:r>
      <w:r>
        <w:rPr>
          <w:sz w:val="24"/>
        </w:rPr>
        <w:t>must consult with </w:t>
      </w:r>
      <w:r>
        <w:rPr>
          <w:i/>
          <w:sz w:val="24"/>
        </w:rPr>
        <w:t>participating jurisdictions</w:t>
      </w:r>
      <w:r>
        <w:rPr>
          <w:sz w:val="24"/>
        </w:rPr>
        <w:t>, </w:t>
      </w:r>
      <w:r>
        <w:rPr>
          <w:i/>
          <w:sz w:val="24"/>
        </w:rPr>
        <w:t>Registered Participants</w:t>
      </w:r>
      <w:r>
        <w:rPr>
          <w:sz w:val="24"/>
        </w:rPr>
        <w:t>, </w:t>
      </w:r>
      <w:r>
        <w:rPr>
          <w:i/>
          <w:sz w:val="24"/>
        </w:rPr>
        <w:t>AEMO </w:t>
      </w:r>
      <w:r>
        <w:rPr>
          <w:sz w:val="24"/>
        </w:rPr>
        <w:t>and other </w:t>
      </w:r>
      <w:r>
        <w:rPr>
          <w:i/>
          <w:sz w:val="24"/>
        </w:rPr>
        <w:t>interested parties</w:t>
      </w:r>
      <w:r>
        <w:rPr>
          <w:sz w:val="24"/>
        </w:rPr>
        <w:t>, and such consultation must be otherwise in accordance with the </w:t>
      </w:r>
      <w:r>
        <w:rPr>
          <w:i/>
          <w:sz w:val="24"/>
        </w:rPr>
        <w:t>distribution consultation</w:t>
      </w:r>
      <w:r>
        <w:rPr>
          <w:i/>
          <w:spacing w:val="-3"/>
          <w:sz w:val="24"/>
        </w:rPr>
        <w:t> </w:t>
      </w:r>
      <w:r>
        <w:rPr>
          <w:i/>
          <w:sz w:val="24"/>
        </w:rPr>
        <w:t>procedures</w:t>
      </w:r>
      <w:r>
        <w:rPr>
          <w:sz w:val="24"/>
        </w:rPr>
        <w:t>.</w:t>
      </w:r>
    </w:p>
    <w:p>
      <w:pPr>
        <w:pStyle w:val="BodyText"/>
        <w:spacing w:before="9"/>
        <w:ind w:firstLine="0"/>
        <w:jc w:val="left"/>
        <w:rPr>
          <w:sz w:val="18"/>
        </w:rPr>
      </w:pPr>
      <w:r>
        <w:rPr/>
        <w:pict>
          <v:shape style="position:absolute;margin-left:69.450005pt;margin-top:12.024962pt;width:456.45pt;height:16.1pt;mso-position-horizontal-relative:page;mso-position-vertical-relative:paragraph;z-index:-251619328;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I Distribution Pricing Rules" w:id="1544"/>
                  <w:bookmarkEnd w:id="1544"/>
                  <w:r>
                    <w:rPr/>
                  </w:r>
                  <w:bookmarkStart w:name="_bookmark617" w:id="1545"/>
                  <w:bookmarkEnd w:id="1545"/>
                  <w:r>
                    <w:rPr/>
                  </w:r>
                  <w:r>
                    <w:rPr>
                      <w:rFonts w:ascii="Arial"/>
                      <w:b/>
                      <w:sz w:val="28"/>
                    </w:rPr>
                    <w:t>Part I</w:t>
                    <w:tab/>
                    <w:t>Distribution Pricing</w:t>
                  </w:r>
                  <w:r>
                    <w:rPr>
                      <w:rFonts w:ascii="Arial"/>
                      <w:b/>
                      <w:spacing w:val="-2"/>
                      <w:sz w:val="28"/>
                    </w:rPr>
                    <w:t> </w:t>
                  </w:r>
                  <w:r>
                    <w:rPr>
                      <w:rFonts w:ascii="Arial"/>
                      <w:b/>
                      <w:sz w:val="28"/>
                    </w:rPr>
                    <w:t>Rules</w:t>
                  </w:r>
                </w:p>
              </w:txbxContent>
            </v:textbox>
            <v:fill type="solid"/>
            <w10:wrap type="topAndBottom"/>
          </v:shape>
        </w:pict>
      </w:r>
    </w:p>
    <w:p>
      <w:pPr>
        <w:pStyle w:val="BodyText"/>
        <w:spacing w:before="7"/>
        <w:ind w:firstLine="0"/>
        <w:jc w:val="left"/>
        <w:rPr>
          <w:sz w:val="11"/>
        </w:rPr>
      </w:pPr>
    </w:p>
    <w:p>
      <w:pPr>
        <w:pStyle w:val="Heading3"/>
        <w:numPr>
          <w:ilvl w:val="1"/>
          <w:numId w:val="442"/>
        </w:numPr>
        <w:tabs>
          <w:tab w:pos="1351" w:val="left" w:leader="none"/>
          <w:tab w:pos="1353" w:val="left" w:leader="none"/>
        </w:tabs>
        <w:spacing w:line="240" w:lineRule="auto" w:before="91" w:after="0"/>
        <w:ind w:left="1352" w:right="0" w:hanging="1135"/>
        <w:jc w:val="left"/>
      </w:pPr>
      <w:bookmarkStart w:name="6.18 Distribution Pricing Rules" w:id="1546"/>
      <w:bookmarkEnd w:id="1546"/>
      <w:r>
        <w:rPr>
          <w:b w:val="0"/>
        </w:rPr>
      </w:r>
      <w:bookmarkStart w:name="_bookmark618" w:id="1547"/>
      <w:bookmarkEnd w:id="1547"/>
      <w:r>
        <w:rPr>
          <w:b w:val="0"/>
        </w:rPr>
      </w:r>
      <w:bookmarkStart w:name="_bookmark618" w:id="1548"/>
      <w:bookmarkEnd w:id="1548"/>
      <w:r>
        <w:rPr/>
        <w:t>Distribu</w:t>
      </w:r>
      <w:r>
        <w:rPr/>
        <w:t>tion Pricing</w:t>
      </w:r>
      <w:r>
        <w:rPr>
          <w:spacing w:val="-2"/>
        </w:rPr>
        <w:t> </w:t>
      </w:r>
      <w:r>
        <w:rPr/>
        <w:t>Rules</w:t>
      </w:r>
    </w:p>
    <w:p>
      <w:pPr>
        <w:pStyle w:val="Heading4"/>
        <w:tabs>
          <w:tab w:pos="1351" w:val="left" w:leader="none"/>
        </w:tabs>
        <w:spacing w:before="240"/>
        <w:ind w:left="218" w:firstLine="0"/>
      </w:pPr>
      <w:bookmarkStart w:name="6.18.1 Application of this Part" w:id="1549"/>
      <w:bookmarkEnd w:id="1549"/>
      <w:r>
        <w:rPr>
          <w:b w:val="0"/>
        </w:rPr>
      </w:r>
      <w:bookmarkStart w:name="_bookmark619" w:id="1550"/>
      <w:bookmarkEnd w:id="1550"/>
      <w:r>
        <w:rPr>
          <w:b w:val="0"/>
        </w:rPr>
      </w:r>
      <w:r>
        <w:rPr/>
        <w:t>6.18.1</w:t>
        <w:tab/>
        <w:t>Application of this</w:t>
      </w:r>
      <w:r>
        <w:rPr>
          <w:spacing w:val="-1"/>
        </w:rPr>
        <w:t> </w:t>
      </w:r>
      <w:r>
        <w:rPr/>
        <w:t>Part</w:t>
      </w:r>
    </w:p>
    <w:p>
      <w:pPr>
        <w:spacing w:before="120"/>
        <w:ind w:left="924" w:right="522" w:firstLine="0"/>
        <w:jc w:val="center"/>
        <w:rPr>
          <w:sz w:val="24"/>
        </w:rPr>
      </w:pPr>
      <w:r>
        <w:rPr>
          <w:sz w:val="24"/>
        </w:rPr>
        <w:t>This Part applies to tariffs and </w:t>
      </w:r>
      <w:r>
        <w:rPr>
          <w:i/>
          <w:sz w:val="24"/>
        </w:rPr>
        <w:t>tariff classes </w:t>
      </w:r>
      <w:r>
        <w:rPr>
          <w:sz w:val="24"/>
        </w:rPr>
        <w:t>related to </w:t>
      </w:r>
      <w:r>
        <w:rPr>
          <w:i/>
          <w:sz w:val="24"/>
        </w:rPr>
        <w:t>direct control services</w:t>
      </w:r>
      <w:r>
        <w:rPr>
          <w:sz w:val="24"/>
        </w:rPr>
        <w:t>.</w:t>
      </w:r>
    </w:p>
    <w:p>
      <w:pPr>
        <w:pStyle w:val="BodyText"/>
        <w:spacing w:before="10"/>
        <w:ind w:firstLine="0"/>
        <w:jc w:val="left"/>
        <w:rPr>
          <w:sz w:val="20"/>
        </w:rPr>
      </w:pPr>
    </w:p>
    <w:p>
      <w:pPr>
        <w:pStyle w:val="Heading4"/>
        <w:numPr>
          <w:ilvl w:val="2"/>
          <w:numId w:val="447"/>
        </w:numPr>
        <w:tabs>
          <w:tab w:pos="887" w:val="left" w:leader="none"/>
          <w:tab w:pos="1351" w:val="left" w:leader="none"/>
        </w:tabs>
        <w:spacing w:line="240" w:lineRule="auto" w:before="0" w:after="0"/>
        <w:ind w:left="886" w:right="0" w:hanging="669"/>
        <w:jc w:val="left"/>
      </w:pPr>
      <w:bookmarkStart w:name="6.18.1A Tariff structure statement" w:id="1551"/>
      <w:bookmarkEnd w:id="1551"/>
      <w:r>
        <w:rPr>
          <w:b w:val="0"/>
        </w:rPr>
      </w:r>
      <w:bookmarkStart w:name="_bookmark620" w:id="1552"/>
      <w:bookmarkEnd w:id="1552"/>
      <w:r>
        <w:rPr>
          <w:b w:val="0"/>
        </w:rPr>
      </w:r>
      <w:bookmarkStart w:name="_bookmark620" w:id="1553"/>
      <w:bookmarkEnd w:id="1553"/>
      <w:r>
        <w:rPr/>
        <w:t>A</w:t>
      </w:r>
      <w:r>
        <w:rPr/>
        <w:tab/>
        <w:t>Tariff structure</w:t>
      </w:r>
      <w:r>
        <w:rPr>
          <w:spacing w:val="-2"/>
        </w:rPr>
        <w:t> </w:t>
      </w:r>
      <w:r>
        <w:rPr/>
        <w:t>statement</w:t>
      </w:r>
    </w:p>
    <w:p>
      <w:pPr>
        <w:pStyle w:val="ListParagraph"/>
        <w:numPr>
          <w:ilvl w:val="3"/>
          <w:numId w:val="447"/>
        </w:numPr>
        <w:tabs>
          <w:tab w:pos="1919" w:val="left" w:leader="none"/>
        </w:tabs>
        <w:spacing w:line="240" w:lineRule="auto" w:before="120" w:after="0"/>
        <w:ind w:left="1919" w:right="416" w:hanging="567"/>
        <w:jc w:val="both"/>
        <w:rPr>
          <w:sz w:val="24"/>
        </w:rPr>
      </w:pPr>
      <w:r>
        <w:rPr>
          <w:sz w:val="24"/>
        </w:rPr>
        <w:t>A </w:t>
      </w:r>
      <w:r>
        <w:rPr>
          <w:i/>
          <w:sz w:val="24"/>
        </w:rPr>
        <w:t>tariff structure statement </w:t>
      </w:r>
      <w:r>
        <w:rPr>
          <w:sz w:val="24"/>
        </w:rPr>
        <w:t>of a </w:t>
      </w:r>
      <w:r>
        <w:rPr>
          <w:i/>
          <w:sz w:val="24"/>
        </w:rPr>
        <w:t>Distribution Network Service Provider </w:t>
      </w:r>
      <w:r>
        <w:rPr>
          <w:sz w:val="24"/>
        </w:rPr>
        <w:t>must include the following</w:t>
      </w:r>
      <w:r>
        <w:rPr>
          <w:spacing w:val="-2"/>
          <w:sz w:val="24"/>
        </w:rPr>
        <w:t> </w:t>
      </w:r>
      <w:r>
        <w:rPr>
          <w:sz w:val="24"/>
        </w:rPr>
        <w:t>elements:</w:t>
      </w:r>
    </w:p>
    <w:p>
      <w:pPr>
        <w:pStyle w:val="ListParagraph"/>
        <w:numPr>
          <w:ilvl w:val="4"/>
          <w:numId w:val="447"/>
        </w:numPr>
        <w:tabs>
          <w:tab w:pos="2486" w:val="left" w:leader="none"/>
        </w:tabs>
        <w:spacing w:line="240" w:lineRule="auto" w:before="120" w:after="0"/>
        <w:ind w:left="2486" w:right="415" w:hanging="567"/>
        <w:jc w:val="both"/>
        <w:rPr>
          <w:sz w:val="24"/>
        </w:rPr>
      </w:pPr>
      <w:r>
        <w:rPr>
          <w:sz w:val="24"/>
        </w:rPr>
        <w:t>the </w:t>
      </w:r>
      <w:r>
        <w:rPr>
          <w:i/>
          <w:sz w:val="24"/>
        </w:rPr>
        <w:t>tariff classes </w:t>
      </w:r>
      <w:r>
        <w:rPr>
          <w:sz w:val="24"/>
        </w:rPr>
        <w:t>into which </w:t>
      </w:r>
      <w:r>
        <w:rPr>
          <w:i/>
          <w:sz w:val="24"/>
        </w:rPr>
        <w:t>retail customers </w:t>
      </w:r>
      <w:r>
        <w:rPr>
          <w:sz w:val="24"/>
        </w:rPr>
        <w:t>for </w:t>
      </w:r>
      <w:r>
        <w:rPr>
          <w:i/>
          <w:sz w:val="24"/>
        </w:rPr>
        <w:t>direct control </w:t>
      </w:r>
      <w:r>
        <w:rPr>
          <w:i/>
          <w:sz w:val="24"/>
        </w:rPr>
        <w:t>services </w:t>
      </w:r>
      <w:r>
        <w:rPr>
          <w:sz w:val="24"/>
        </w:rPr>
        <w:t>will be divided during the relevant </w:t>
      </w:r>
      <w:r>
        <w:rPr>
          <w:i/>
          <w:sz w:val="24"/>
        </w:rPr>
        <w:t>regulatory control</w:t>
      </w:r>
      <w:r>
        <w:rPr>
          <w:i/>
          <w:spacing w:val="-13"/>
          <w:sz w:val="24"/>
        </w:rPr>
        <w:t> </w:t>
      </w:r>
      <w:r>
        <w:rPr>
          <w:i/>
          <w:sz w:val="24"/>
        </w:rPr>
        <w:t>period</w:t>
      </w:r>
      <w:r>
        <w:rPr>
          <w:sz w:val="24"/>
        </w:rPr>
        <w:t>;</w:t>
      </w:r>
    </w:p>
    <w:p>
      <w:pPr>
        <w:pStyle w:val="ListParagraph"/>
        <w:numPr>
          <w:ilvl w:val="4"/>
          <w:numId w:val="447"/>
        </w:numPr>
        <w:tabs>
          <w:tab w:pos="2486" w:val="left" w:leader="none"/>
        </w:tabs>
        <w:spacing w:line="240" w:lineRule="auto" w:before="120" w:after="0"/>
        <w:ind w:left="2486" w:right="415" w:hanging="567"/>
        <w:jc w:val="both"/>
        <w:rPr>
          <w:sz w:val="24"/>
        </w:rPr>
      </w:pPr>
      <w:r>
        <w:rPr>
          <w:sz w:val="24"/>
        </w:rPr>
        <w:t>the policies and procedures the </w:t>
      </w:r>
      <w:r>
        <w:rPr>
          <w:i/>
          <w:sz w:val="24"/>
        </w:rPr>
        <w:t>Distribution Network Service Provider </w:t>
      </w:r>
      <w:r>
        <w:rPr>
          <w:sz w:val="24"/>
        </w:rPr>
        <w:t>will apply for assigning </w:t>
      </w:r>
      <w:r>
        <w:rPr>
          <w:i/>
          <w:sz w:val="24"/>
        </w:rPr>
        <w:t>retail customers </w:t>
      </w:r>
      <w:r>
        <w:rPr>
          <w:sz w:val="24"/>
        </w:rPr>
        <w:t>to tariffs or reassigning </w:t>
      </w:r>
      <w:r>
        <w:rPr>
          <w:i/>
          <w:sz w:val="24"/>
        </w:rPr>
        <w:t>retail </w:t>
      </w:r>
      <w:r>
        <w:rPr>
          <w:i/>
          <w:sz w:val="24"/>
        </w:rPr>
        <w:t>customers </w:t>
      </w:r>
      <w:r>
        <w:rPr>
          <w:sz w:val="24"/>
        </w:rPr>
        <w:t>from one tariff to another (including any applicable restrictions);</w:t>
      </w:r>
    </w:p>
    <w:p>
      <w:pPr>
        <w:pStyle w:val="ListParagraph"/>
        <w:numPr>
          <w:ilvl w:val="4"/>
          <w:numId w:val="447"/>
        </w:numPr>
        <w:tabs>
          <w:tab w:pos="2486" w:val="left" w:leader="none"/>
        </w:tabs>
        <w:spacing w:line="240" w:lineRule="auto" w:before="120" w:after="0"/>
        <w:ind w:left="2485" w:right="0" w:hanging="567"/>
        <w:jc w:val="both"/>
        <w:rPr>
          <w:sz w:val="24"/>
        </w:rPr>
      </w:pPr>
      <w:r>
        <w:rPr>
          <w:sz w:val="24"/>
        </w:rPr>
        <w:t>the structures for each proposed</w:t>
      </w:r>
      <w:r>
        <w:rPr>
          <w:spacing w:val="-2"/>
          <w:sz w:val="24"/>
        </w:rPr>
        <w:t> </w:t>
      </w:r>
      <w:r>
        <w:rPr>
          <w:sz w:val="24"/>
        </w:rPr>
        <w:t>tariff;</w:t>
      </w:r>
    </w:p>
    <w:p>
      <w:pPr>
        <w:pStyle w:val="ListParagraph"/>
        <w:numPr>
          <w:ilvl w:val="4"/>
          <w:numId w:val="447"/>
        </w:numPr>
        <w:tabs>
          <w:tab w:pos="2486" w:val="left" w:leader="none"/>
        </w:tabs>
        <w:spacing w:line="240" w:lineRule="auto" w:before="120" w:after="0"/>
        <w:ind w:left="2485" w:right="0" w:hanging="567"/>
        <w:jc w:val="both"/>
        <w:rPr>
          <w:sz w:val="24"/>
        </w:rPr>
      </w:pPr>
      <w:r>
        <w:rPr>
          <w:sz w:val="24"/>
        </w:rPr>
        <w:t>the </w:t>
      </w:r>
      <w:r>
        <w:rPr>
          <w:i/>
          <w:sz w:val="24"/>
        </w:rPr>
        <w:t>charging parameters </w:t>
      </w:r>
      <w:r>
        <w:rPr>
          <w:sz w:val="24"/>
        </w:rPr>
        <w:t>for each proposed tariff;</w:t>
      </w:r>
      <w:r>
        <w:rPr>
          <w:spacing w:val="-1"/>
          <w:sz w:val="24"/>
        </w:rPr>
        <w:t> </w:t>
      </w:r>
      <w:r>
        <w:rPr>
          <w:sz w:val="24"/>
        </w:rPr>
        <w:t>and</w:t>
      </w:r>
    </w:p>
    <w:p>
      <w:pPr>
        <w:pStyle w:val="ListParagraph"/>
        <w:numPr>
          <w:ilvl w:val="4"/>
          <w:numId w:val="447"/>
        </w:numPr>
        <w:tabs>
          <w:tab w:pos="2486" w:val="left" w:leader="none"/>
        </w:tabs>
        <w:spacing w:line="240" w:lineRule="auto" w:before="120" w:after="0"/>
        <w:ind w:left="2486" w:right="415" w:hanging="567"/>
        <w:jc w:val="both"/>
        <w:rPr>
          <w:sz w:val="24"/>
        </w:rPr>
      </w:pPr>
      <w:r>
        <w:rPr>
          <w:sz w:val="24"/>
        </w:rPr>
        <w:t>a description of the approach that the </w:t>
      </w:r>
      <w:r>
        <w:rPr>
          <w:i/>
          <w:sz w:val="24"/>
        </w:rPr>
        <w:t>Distribution Network </w:t>
      </w:r>
      <w:r>
        <w:rPr>
          <w:i/>
          <w:spacing w:val="-3"/>
          <w:sz w:val="24"/>
        </w:rPr>
        <w:t>Service</w:t>
      </w:r>
      <w:r>
        <w:rPr>
          <w:i/>
          <w:spacing w:val="54"/>
          <w:sz w:val="24"/>
        </w:rPr>
        <w:t> </w:t>
      </w:r>
      <w:r>
        <w:rPr>
          <w:i/>
          <w:sz w:val="24"/>
        </w:rPr>
        <w:t>Provider </w:t>
      </w:r>
      <w:r>
        <w:rPr>
          <w:sz w:val="24"/>
        </w:rPr>
        <w:t>will take in setting each tariff in each </w:t>
      </w:r>
      <w:r>
        <w:rPr>
          <w:i/>
          <w:sz w:val="24"/>
        </w:rPr>
        <w:t>pricing proposal </w:t>
      </w:r>
      <w:r>
        <w:rPr>
          <w:sz w:val="24"/>
        </w:rPr>
        <w:t>of the </w:t>
      </w:r>
      <w:r>
        <w:rPr>
          <w:i/>
          <w:sz w:val="24"/>
        </w:rPr>
        <w:t>Distribution Network Service Provider </w:t>
      </w:r>
      <w:r>
        <w:rPr>
          <w:sz w:val="24"/>
        </w:rPr>
        <w:t>during the relevant </w:t>
      </w:r>
      <w:r>
        <w:rPr>
          <w:i/>
          <w:sz w:val="24"/>
        </w:rPr>
        <w:t>regulatory </w:t>
      </w:r>
      <w:r>
        <w:rPr>
          <w:i/>
          <w:sz w:val="24"/>
        </w:rPr>
        <w:t>control period </w:t>
      </w:r>
      <w:r>
        <w:rPr>
          <w:sz w:val="24"/>
        </w:rPr>
        <w:t>in accordance with clause</w:t>
      </w:r>
      <w:r>
        <w:rPr>
          <w:spacing w:val="-2"/>
          <w:sz w:val="24"/>
        </w:rPr>
        <w:t> </w:t>
      </w:r>
      <w:r>
        <w:rPr>
          <w:sz w:val="24"/>
        </w:rPr>
        <w:t>6.18.5.</w:t>
      </w:r>
    </w:p>
    <w:p>
      <w:pPr>
        <w:pStyle w:val="ListParagraph"/>
        <w:numPr>
          <w:ilvl w:val="3"/>
          <w:numId w:val="447"/>
        </w:numPr>
        <w:tabs>
          <w:tab w:pos="1919" w:val="left" w:leader="none"/>
        </w:tabs>
        <w:spacing w:line="240" w:lineRule="auto" w:before="120" w:after="0"/>
        <w:ind w:left="1919" w:right="416" w:hanging="567"/>
        <w:jc w:val="both"/>
        <w:rPr>
          <w:sz w:val="24"/>
        </w:rPr>
      </w:pPr>
      <w:r>
        <w:rPr>
          <w:sz w:val="24"/>
        </w:rPr>
        <w:t>A </w:t>
      </w:r>
      <w:r>
        <w:rPr>
          <w:i/>
          <w:sz w:val="24"/>
        </w:rPr>
        <w:t>tariff structure statement </w:t>
      </w:r>
      <w:r>
        <w:rPr>
          <w:sz w:val="24"/>
        </w:rPr>
        <w:t>must comply with the </w:t>
      </w:r>
      <w:r>
        <w:rPr>
          <w:i/>
          <w:sz w:val="24"/>
        </w:rPr>
        <w:t>pricing principles for </w:t>
      </w:r>
      <w:r>
        <w:rPr>
          <w:i/>
          <w:sz w:val="24"/>
        </w:rPr>
        <w:t>direct control</w:t>
      </w:r>
      <w:r>
        <w:rPr>
          <w:i/>
          <w:spacing w:val="-1"/>
          <w:sz w:val="24"/>
        </w:rPr>
        <w:t> </w:t>
      </w:r>
      <w:r>
        <w:rPr>
          <w:i/>
          <w:sz w:val="24"/>
        </w:rPr>
        <w:t>services</w:t>
      </w:r>
      <w:r>
        <w:rPr>
          <w:sz w:val="24"/>
        </w:rPr>
        <w:t>.</w:t>
      </w:r>
    </w:p>
    <w:p>
      <w:pPr>
        <w:pStyle w:val="ListParagraph"/>
        <w:numPr>
          <w:ilvl w:val="3"/>
          <w:numId w:val="447"/>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comply with the </w:t>
      </w:r>
      <w:r>
        <w:rPr>
          <w:i/>
          <w:sz w:val="24"/>
        </w:rPr>
        <w:t>tariff </w:t>
      </w:r>
      <w:r>
        <w:rPr>
          <w:i/>
          <w:sz w:val="24"/>
        </w:rPr>
        <w:t>structure statement </w:t>
      </w:r>
      <w:r>
        <w:rPr>
          <w:sz w:val="24"/>
        </w:rPr>
        <w:t>approved by the </w:t>
      </w:r>
      <w:r>
        <w:rPr>
          <w:i/>
          <w:sz w:val="24"/>
        </w:rPr>
        <w:t>AER </w:t>
      </w:r>
      <w:r>
        <w:rPr>
          <w:sz w:val="24"/>
        </w:rPr>
        <w:t>and any other applicable requirements in the </w:t>
      </w:r>
      <w:r>
        <w:rPr>
          <w:i/>
          <w:sz w:val="24"/>
        </w:rPr>
        <w:t>Rules</w:t>
      </w:r>
      <w:r>
        <w:rPr>
          <w:sz w:val="24"/>
        </w:rPr>
        <w:t>, when the provider is setting the prices that may be charged for </w:t>
      </w:r>
      <w:r>
        <w:rPr>
          <w:i/>
          <w:sz w:val="24"/>
        </w:rPr>
        <w:t>direct control</w:t>
      </w:r>
      <w:r>
        <w:rPr>
          <w:i/>
          <w:spacing w:val="-1"/>
          <w:sz w:val="24"/>
        </w:rPr>
        <w:t> </w:t>
      </w:r>
      <w:r>
        <w:rPr>
          <w:i/>
          <w:sz w:val="24"/>
        </w:rPr>
        <w:t>services</w:t>
      </w:r>
      <w:r>
        <w:rPr>
          <w:sz w:val="24"/>
        </w:rPr>
        <w:t>.</w:t>
      </w:r>
    </w:p>
    <w:p>
      <w:pPr>
        <w:pStyle w:val="ListParagraph"/>
        <w:numPr>
          <w:ilvl w:val="3"/>
          <w:numId w:val="447"/>
        </w:numPr>
        <w:tabs>
          <w:tab w:pos="1919" w:val="left" w:leader="none"/>
        </w:tabs>
        <w:spacing w:line="240" w:lineRule="auto" w:before="120" w:after="0"/>
        <w:ind w:left="1919" w:right="415" w:hanging="567"/>
        <w:jc w:val="both"/>
        <w:rPr>
          <w:sz w:val="24"/>
        </w:rPr>
      </w:pPr>
      <w:r>
        <w:rPr>
          <w:sz w:val="24"/>
        </w:rPr>
        <w:t>Subject to clause 6.18.1B, a </w:t>
      </w:r>
      <w:r>
        <w:rPr>
          <w:i/>
          <w:sz w:val="24"/>
        </w:rPr>
        <w:t>tariff structure statement </w:t>
      </w:r>
      <w:r>
        <w:rPr>
          <w:sz w:val="24"/>
        </w:rPr>
        <w:t>may not be amended during a </w:t>
      </w:r>
      <w:r>
        <w:rPr>
          <w:i/>
          <w:sz w:val="24"/>
        </w:rPr>
        <w:t>regulatory control</w:t>
      </w:r>
      <w:r>
        <w:rPr>
          <w:i/>
          <w:spacing w:val="-1"/>
          <w:sz w:val="24"/>
        </w:rPr>
        <w:t> </w:t>
      </w:r>
      <w:r>
        <w:rPr>
          <w:i/>
          <w:sz w:val="24"/>
        </w:rPr>
        <w:t>period</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Rule 6.13 still applies in relation to a </w:t>
      </w:r>
      <w:r>
        <w:rPr>
          <w:i/>
          <w:sz w:val="20"/>
        </w:rPr>
        <w:t>tariff structure statement </w:t>
      </w:r>
      <w:r>
        <w:rPr>
          <w:sz w:val="20"/>
        </w:rPr>
        <w:t>because that rule deals with the revocation and substitution of a distribution determination (which includes a </w:t>
      </w:r>
      <w:r>
        <w:rPr>
          <w:i/>
          <w:sz w:val="20"/>
        </w:rPr>
        <w:t>tariff </w:t>
      </w:r>
      <w:r>
        <w:rPr>
          <w:i/>
          <w:sz w:val="20"/>
        </w:rPr>
        <w:t>structure statement</w:t>
      </w:r>
      <w:r>
        <w:rPr>
          <w:sz w:val="20"/>
        </w:rPr>
        <w:t>) as opposed to its amendment.</w:t>
      </w:r>
    </w:p>
    <w:p>
      <w:pPr>
        <w:pStyle w:val="ListParagraph"/>
        <w:numPr>
          <w:ilvl w:val="3"/>
          <w:numId w:val="447"/>
        </w:numPr>
        <w:tabs>
          <w:tab w:pos="1919" w:val="left" w:leader="none"/>
        </w:tabs>
        <w:spacing w:line="240" w:lineRule="auto" w:before="120" w:after="0"/>
        <w:ind w:left="1919" w:right="416" w:hanging="567"/>
        <w:jc w:val="both"/>
        <w:rPr>
          <w:sz w:val="24"/>
        </w:rPr>
      </w:pPr>
      <w:r>
        <w:rPr>
          <w:sz w:val="24"/>
        </w:rPr>
        <w:t>A </w:t>
      </w:r>
      <w:r>
        <w:rPr>
          <w:i/>
          <w:sz w:val="24"/>
        </w:rPr>
        <w:t>tariff structure statement </w:t>
      </w:r>
      <w:r>
        <w:rPr>
          <w:sz w:val="24"/>
        </w:rPr>
        <w:t>must be accompanied by an </w:t>
      </w:r>
      <w:r>
        <w:rPr>
          <w:i/>
          <w:sz w:val="24"/>
        </w:rPr>
        <w:t>indicative pricing </w:t>
      </w:r>
      <w:r>
        <w:rPr>
          <w:i/>
          <w:sz w:val="24"/>
        </w:rPr>
        <w:t>schedule </w:t>
      </w:r>
      <w:r>
        <w:rPr>
          <w:sz w:val="24"/>
        </w:rPr>
        <w:t>which sets out, for each tariff for each </w:t>
      </w:r>
      <w:r>
        <w:rPr>
          <w:i/>
          <w:sz w:val="24"/>
        </w:rPr>
        <w:t>regulatory year </w:t>
      </w:r>
      <w:r>
        <w:rPr>
          <w:sz w:val="24"/>
        </w:rPr>
        <w:t>of the </w:t>
      </w:r>
      <w:r>
        <w:rPr>
          <w:i/>
          <w:sz w:val="24"/>
        </w:rPr>
        <w:t>regulatory control period</w:t>
      </w:r>
      <w:r>
        <w:rPr>
          <w:sz w:val="24"/>
        </w:rPr>
        <w:t>, the indicative price levels determined</w:t>
      </w:r>
      <w:r>
        <w:rPr>
          <w:spacing w:val="36"/>
          <w:sz w:val="24"/>
        </w:rPr>
        <w:t> </w:t>
      </w:r>
      <w:r>
        <w:rPr>
          <w:sz w:val="24"/>
        </w:rPr>
        <w:t>in accordance with the </w:t>
      </w:r>
      <w:r>
        <w:rPr>
          <w:i/>
          <w:sz w:val="24"/>
        </w:rPr>
        <w:t>tariff structure</w:t>
      </w:r>
      <w:r>
        <w:rPr>
          <w:i/>
          <w:spacing w:val="-5"/>
          <w:sz w:val="24"/>
        </w:rPr>
        <w:t> </w:t>
      </w:r>
      <w:r>
        <w:rPr>
          <w:i/>
          <w:sz w:val="24"/>
        </w:rPr>
        <w:t>statement</w:t>
      </w:r>
      <w:r>
        <w:rPr>
          <w:sz w:val="24"/>
        </w:rPr>
        <w:t>.</w:t>
      </w:r>
    </w:p>
    <w:p>
      <w:pPr>
        <w:pStyle w:val="BodyText"/>
        <w:spacing w:before="10"/>
        <w:ind w:firstLine="0"/>
        <w:jc w:val="left"/>
        <w:rPr>
          <w:sz w:val="20"/>
        </w:rPr>
      </w:pPr>
    </w:p>
    <w:p>
      <w:pPr>
        <w:pStyle w:val="Heading4"/>
        <w:numPr>
          <w:ilvl w:val="2"/>
          <w:numId w:val="448"/>
        </w:numPr>
        <w:tabs>
          <w:tab w:pos="887" w:val="left" w:leader="none"/>
          <w:tab w:pos="1351" w:val="left" w:leader="none"/>
        </w:tabs>
        <w:spacing w:line="240" w:lineRule="auto" w:before="0" w:after="0"/>
        <w:ind w:left="886" w:right="0" w:hanging="669"/>
        <w:jc w:val="left"/>
      </w:pPr>
      <w:bookmarkStart w:name="6.18.1B Amending a tariff structure stat" w:id="1554"/>
      <w:bookmarkEnd w:id="1554"/>
      <w:r>
        <w:rPr>
          <w:b w:val="0"/>
        </w:rPr>
      </w:r>
      <w:bookmarkStart w:name="_bookmark621" w:id="1555"/>
      <w:bookmarkEnd w:id="1555"/>
      <w:r>
        <w:rPr>
          <w:b w:val="0"/>
        </w:rPr>
      </w:r>
      <w:bookmarkStart w:name="_bookmark621" w:id="1556"/>
      <w:bookmarkEnd w:id="1556"/>
      <w:r>
        <w:rPr/>
        <w:t>B</w:t>
      </w:r>
      <w:r>
        <w:rPr/>
        <w:tab/>
        <w:t>Amending a tariff structure statement with the AER's</w:t>
      </w:r>
      <w:r>
        <w:rPr>
          <w:spacing w:val="-12"/>
        </w:rPr>
        <w:t> </w:t>
      </w:r>
      <w:r>
        <w:rPr/>
        <w:t>approval</w:t>
      </w:r>
    </w:p>
    <w:p>
      <w:pPr>
        <w:pStyle w:val="ListParagraph"/>
        <w:numPr>
          <w:ilvl w:val="3"/>
          <w:numId w:val="448"/>
        </w:numPr>
        <w:tabs>
          <w:tab w:pos="1919" w:val="left" w:leader="none"/>
        </w:tabs>
        <w:spacing w:line="240" w:lineRule="auto" w:before="120" w:after="0"/>
        <w:ind w:left="1919" w:right="416" w:hanging="567"/>
        <w:jc w:val="both"/>
        <w:rPr>
          <w:sz w:val="24"/>
        </w:rPr>
      </w:pPr>
      <w:r>
        <w:rPr>
          <w:sz w:val="24"/>
        </w:rPr>
        <w:t>No later than nine months before the start of a </w:t>
      </w:r>
      <w:r>
        <w:rPr>
          <w:i/>
          <w:sz w:val="24"/>
        </w:rPr>
        <w:t>regulatory year </w:t>
      </w:r>
      <w:r>
        <w:rPr>
          <w:sz w:val="24"/>
        </w:rPr>
        <w:t>(other than the first </w:t>
      </w:r>
      <w:r>
        <w:rPr>
          <w:i/>
          <w:sz w:val="24"/>
        </w:rPr>
        <w:t>regulatory year </w:t>
      </w:r>
      <w:r>
        <w:rPr>
          <w:sz w:val="24"/>
        </w:rPr>
        <w:t>of a </w:t>
      </w:r>
      <w:r>
        <w:rPr>
          <w:i/>
          <w:sz w:val="24"/>
        </w:rPr>
        <w:t>regulatory control period</w:t>
      </w:r>
      <w:r>
        <w:rPr>
          <w:sz w:val="24"/>
        </w:rPr>
        <w:t>)</w:t>
      </w:r>
      <w:r>
        <w:rPr>
          <w:spacing w:val="33"/>
          <w:sz w:val="24"/>
        </w:rPr>
        <w:t> </w:t>
      </w:r>
      <w:r>
        <w:rPr>
          <w:sz w:val="24"/>
        </w:rPr>
        <w:t>(</w:t>
      </w:r>
      <w:r>
        <w:rPr>
          <w:b/>
          <w:sz w:val="24"/>
        </w:rPr>
        <w:t>relevant regulatory year</w:t>
      </w:r>
      <w:r>
        <w:rPr>
          <w:sz w:val="24"/>
        </w:rPr>
        <w:t>), a </w:t>
      </w:r>
      <w:r>
        <w:rPr>
          <w:i/>
          <w:sz w:val="24"/>
        </w:rPr>
        <w:t>Distribution Network Service Provider </w:t>
      </w:r>
      <w:r>
        <w:rPr>
          <w:sz w:val="24"/>
        </w:rPr>
        <w:t>may request the </w:t>
      </w:r>
      <w:r>
        <w:rPr>
          <w:i/>
          <w:sz w:val="24"/>
        </w:rPr>
        <w:t>AER </w:t>
      </w:r>
      <w:r>
        <w:rPr>
          <w:sz w:val="24"/>
        </w:rPr>
        <w:t>to approve an amendment to its current </w:t>
      </w:r>
      <w:r>
        <w:rPr>
          <w:i/>
          <w:sz w:val="24"/>
        </w:rPr>
        <w:t>tariff structure</w:t>
      </w:r>
      <w:r>
        <w:rPr>
          <w:i/>
          <w:spacing w:val="-6"/>
          <w:sz w:val="24"/>
        </w:rPr>
        <w:t> </w:t>
      </w:r>
      <w:r>
        <w:rPr>
          <w:i/>
          <w:sz w:val="24"/>
        </w:rPr>
        <w:t>statement</w:t>
      </w:r>
      <w:r>
        <w:rPr>
          <w:sz w:val="24"/>
        </w:rPr>
        <w:t>.</w:t>
      </w:r>
    </w:p>
    <w:p>
      <w:pPr>
        <w:pStyle w:val="ListParagraph"/>
        <w:numPr>
          <w:ilvl w:val="3"/>
          <w:numId w:val="448"/>
        </w:numPr>
        <w:tabs>
          <w:tab w:pos="1919" w:val="left" w:leader="none"/>
        </w:tabs>
        <w:spacing w:line="240" w:lineRule="auto" w:before="120" w:after="0"/>
        <w:ind w:left="1918" w:right="0" w:hanging="567"/>
        <w:jc w:val="both"/>
        <w:rPr>
          <w:sz w:val="24"/>
        </w:rPr>
      </w:pPr>
      <w:r>
        <w:rPr>
          <w:sz w:val="24"/>
        </w:rPr>
        <w:t>A</w:t>
      </w:r>
      <w:r>
        <w:rPr>
          <w:spacing w:val="12"/>
          <w:sz w:val="24"/>
        </w:rPr>
        <w:t> </w:t>
      </w:r>
      <w:r>
        <w:rPr>
          <w:sz w:val="24"/>
        </w:rPr>
        <w:t>request</w:t>
      </w:r>
      <w:r>
        <w:rPr>
          <w:spacing w:val="12"/>
          <w:sz w:val="24"/>
        </w:rPr>
        <w:t> </w:t>
      </w:r>
      <w:r>
        <w:rPr>
          <w:sz w:val="24"/>
        </w:rPr>
        <w:t>for</w:t>
      </w:r>
      <w:r>
        <w:rPr>
          <w:spacing w:val="13"/>
          <w:sz w:val="24"/>
        </w:rPr>
        <w:t> </w:t>
      </w:r>
      <w:r>
        <w:rPr>
          <w:sz w:val="24"/>
        </w:rPr>
        <w:t>an</w:t>
      </w:r>
      <w:r>
        <w:rPr>
          <w:spacing w:val="12"/>
          <w:sz w:val="24"/>
        </w:rPr>
        <w:t> </w:t>
      </w:r>
      <w:r>
        <w:rPr>
          <w:sz w:val="24"/>
        </w:rPr>
        <w:t>amendment</w:t>
      </w:r>
      <w:r>
        <w:rPr>
          <w:spacing w:val="13"/>
          <w:sz w:val="24"/>
        </w:rPr>
        <w:t> </w:t>
      </w:r>
      <w:r>
        <w:rPr>
          <w:sz w:val="24"/>
        </w:rPr>
        <w:t>to</w:t>
      </w:r>
      <w:r>
        <w:rPr>
          <w:spacing w:val="12"/>
          <w:sz w:val="24"/>
        </w:rPr>
        <w:t> </w:t>
      </w:r>
      <w:r>
        <w:rPr>
          <w:sz w:val="24"/>
        </w:rPr>
        <w:t>a</w:t>
      </w:r>
      <w:r>
        <w:rPr>
          <w:spacing w:val="13"/>
          <w:sz w:val="24"/>
        </w:rPr>
        <w:t> </w:t>
      </w:r>
      <w:r>
        <w:rPr>
          <w:i/>
          <w:sz w:val="24"/>
        </w:rPr>
        <w:t>tariff</w:t>
      </w:r>
      <w:r>
        <w:rPr>
          <w:i/>
          <w:spacing w:val="13"/>
          <w:sz w:val="24"/>
        </w:rPr>
        <w:t> </w:t>
      </w:r>
      <w:r>
        <w:rPr>
          <w:i/>
          <w:sz w:val="24"/>
        </w:rPr>
        <w:t>structure</w:t>
      </w:r>
      <w:r>
        <w:rPr>
          <w:i/>
          <w:spacing w:val="12"/>
          <w:sz w:val="24"/>
        </w:rPr>
        <w:t> </w:t>
      </w:r>
      <w:r>
        <w:rPr>
          <w:i/>
          <w:sz w:val="24"/>
        </w:rPr>
        <w:t>statement</w:t>
      </w:r>
      <w:r>
        <w:rPr>
          <w:i/>
          <w:spacing w:val="13"/>
          <w:sz w:val="24"/>
        </w:rPr>
        <w:t> </w:t>
      </w:r>
      <w:r>
        <w:rPr>
          <w:sz w:val="24"/>
        </w:rPr>
        <w:t>under</w:t>
      </w:r>
      <w:r>
        <w:rPr>
          <w:spacing w:val="12"/>
          <w:sz w:val="24"/>
        </w:rPr>
        <w:t> </w:t>
      </w:r>
      <w:r>
        <w:rPr>
          <w:sz w:val="24"/>
        </w:rPr>
        <w:t>paragraph</w:t>
      </w:r>
    </w:p>
    <w:p>
      <w:pPr>
        <w:pStyle w:val="ListParagraph"/>
        <w:numPr>
          <w:ilvl w:val="4"/>
          <w:numId w:val="448"/>
        </w:numPr>
        <w:tabs>
          <w:tab w:pos="2246" w:val="left" w:leader="none"/>
        </w:tabs>
        <w:spacing w:line="240" w:lineRule="auto" w:before="0" w:after="0"/>
        <w:ind w:left="2245" w:right="0" w:hanging="327"/>
        <w:jc w:val="both"/>
        <w:rPr>
          <w:sz w:val="24"/>
        </w:rPr>
      </w:pPr>
      <w:r>
        <w:rPr>
          <w:sz w:val="24"/>
        </w:rPr>
        <w:t>must include:</w:t>
      </w:r>
    </w:p>
    <w:p>
      <w:pPr>
        <w:pStyle w:val="ListParagraph"/>
        <w:numPr>
          <w:ilvl w:val="0"/>
          <w:numId w:val="449"/>
        </w:numPr>
        <w:tabs>
          <w:tab w:pos="2486" w:val="left" w:leader="none"/>
        </w:tabs>
        <w:spacing w:line="240" w:lineRule="auto" w:before="120" w:after="0"/>
        <w:ind w:left="2485" w:right="0" w:hanging="567"/>
        <w:jc w:val="both"/>
        <w:rPr>
          <w:sz w:val="24"/>
        </w:rPr>
      </w:pPr>
      <w:r>
        <w:rPr>
          <w:sz w:val="24"/>
        </w:rPr>
        <w:t>the proposed amended </w:t>
      </w:r>
      <w:r>
        <w:rPr>
          <w:i/>
          <w:sz w:val="24"/>
        </w:rPr>
        <w:t>tariff structure</w:t>
      </w:r>
      <w:r>
        <w:rPr>
          <w:i/>
          <w:spacing w:val="-4"/>
          <w:sz w:val="24"/>
        </w:rPr>
        <w:t> </w:t>
      </w:r>
      <w:r>
        <w:rPr>
          <w:i/>
          <w:sz w:val="24"/>
        </w:rPr>
        <w:t>statement</w:t>
      </w:r>
      <w:r>
        <w:rPr>
          <w:sz w:val="24"/>
        </w:rPr>
        <w:t>;</w:t>
      </w:r>
    </w:p>
    <w:p>
      <w:pPr>
        <w:pStyle w:val="ListParagraph"/>
        <w:numPr>
          <w:ilvl w:val="0"/>
          <w:numId w:val="449"/>
        </w:numPr>
        <w:tabs>
          <w:tab w:pos="2486" w:val="left" w:leader="none"/>
        </w:tabs>
        <w:spacing w:line="240" w:lineRule="auto" w:before="120" w:after="0"/>
        <w:ind w:left="2486" w:right="414" w:hanging="567"/>
        <w:jc w:val="both"/>
        <w:rPr>
          <w:sz w:val="24"/>
        </w:rPr>
      </w:pPr>
      <w:r>
        <w:rPr>
          <w:sz w:val="24"/>
        </w:rPr>
        <w:t>a description of the event that has occurred to cause the </w:t>
      </w:r>
      <w:r>
        <w:rPr>
          <w:i/>
          <w:sz w:val="24"/>
        </w:rPr>
        <w:t>Distribution </w:t>
      </w:r>
      <w:r>
        <w:rPr>
          <w:i/>
          <w:sz w:val="24"/>
        </w:rPr>
        <w:t>Network Service Provider </w:t>
      </w:r>
      <w:r>
        <w:rPr>
          <w:sz w:val="24"/>
        </w:rPr>
        <w:t>to seek an amendment to its current </w:t>
      </w:r>
      <w:r>
        <w:rPr>
          <w:i/>
          <w:sz w:val="24"/>
        </w:rPr>
        <w:t>tariff </w:t>
      </w:r>
      <w:r>
        <w:rPr>
          <w:i/>
          <w:sz w:val="24"/>
        </w:rPr>
        <w:t>structure statement </w:t>
      </w:r>
      <w:r>
        <w:rPr>
          <w:sz w:val="24"/>
        </w:rPr>
        <w:t>and why the</w:t>
      </w:r>
      <w:r>
        <w:rPr>
          <w:spacing w:val="-5"/>
          <w:sz w:val="24"/>
        </w:rPr>
        <w:t> </w:t>
      </w:r>
      <w:r>
        <w:rPr>
          <w:sz w:val="24"/>
        </w:rPr>
        <w:t>event:</w:t>
      </w:r>
    </w:p>
    <w:p>
      <w:pPr>
        <w:pStyle w:val="ListParagraph"/>
        <w:numPr>
          <w:ilvl w:val="1"/>
          <w:numId w:val="449"/>
        </w:numPr>
        <w:tabs>
          <w:tab w:pos="3053" w:val="left" w:leader="none"/>
        </w:tabs>
        <w:spacing w:line="240" w:lineRule="auto" w:before="120" w:after="0"/>
        <w:ind w:left="3053" w:right="415" w:hanging="567"/>
        <w:jc w:val="both"/>
        <w:rPr>
          <w:sz w:val="24"/>
        </w:rPr>
      </w:pPr>
      <w:r>
        <w:rPr>
          <w:sz w:val="24"/>
        </w:rPr>
        <w:t>was beyond the reasonable control of the </w:t>
      </w:r>
      <w:r>
        <w:rPr>
          <w:i/>
          <w:sz w:val="24"/>
        </w:rPr>
        <w:t>Distribution Network </w:t>
      </w:r>
      <w:r>
        <w:rPr>
          <w:i/>
          <w:sz w:val="24"/>
        </w:rPr>
        <w:t>Service Provider</w:t>
      </w:r>
      <w:r>
        <w:rPr>
          <w:sz w:val="24"/>
        </w:rPr>
        <w:t>;</w:t>
      </w:r>
      <w:r>
        <w:rPr>
          <w:spacing w:val="-1"/>
          <w:sz w:val="24"/>
        </w:rPr>
        <w:t> </w:t>
      </w:r>
      <w:r>
        <w:rPr>
          <w:sz w:val="24"/>
        </w:rPr>
        <w:t>and</w:t>
      </w:r>
    </w:p>
    <w:p>
      <w:pPr>
        <w:pStyle w:val="ListParagraph"/>
        <w:numPr>
          <w:ilvl w:val="1"/>
          <w:numId w:val="449"/>
        </w:numPr>
        <w:tabs>
          <w:tab w:pos="3054" w:val="left" w:leader="none"/>
        </w:tabs>
        <w:spacing w:line="240" w:lineRule="auto" w:before="120" w:after="0"/>
        <w:ind w:left="3053" w:right="415" w:hanging="567"/>
        <w:jc w:val="both"/>
        <w:rPr>
          <w:sz w:val="24"/>
        </w:rPr>
      </w:pPr>
      <w:r>
        <w:rPr>
          <w:sz w:val="24"/>
        </w:rPr>
        <w:t>could not reasonably have been foreseen by the </w:t>
      </w:r>
      <w:r>
        <w:rPr>
          <w:i/>
          <w:sz w:val="24"/>
        </w:rPr>
        <w:t>Distribution </w:t>
      </w:r>
      <w:r>
        <w:rPr>
          <w:i/>
          <w:sz w:val="24"/>
        </w:rPr>
        <w:t>Network Service Provider </w:t>
      </w:r>
      <w:r>
        <w:rPr>
          <w:sz w:val="24"/>
        </w:rPr>
        <w:t>at the time its current </w:t>
      </w:r>
      <w:r>
        <w:rPr>
          <w:i/>
          <w:sz w:val="24"/>
        </w:rPr>
        <w:t>tariff structure </w:t>
      </w:r>
      <w:r>
        <w:rPr>
          <w:i/>
          <w:sz w:val="24"/>
        </w:rPr>
        <w:t>statement </w:t>
      </w:r>
      <w:r>
        <w:rPr>
          <w:sz w:val="24"/>
        </w:rPr>
        <w:t>was approved by the</w:t>
      </w:r>
      <w:r>
        <w:rPr>
          <w:spacing w:val="-4"/>
          <w:sz w:val="24"/>
        </w:rPr>
        <w:t> </w:t>
      </w:r>
      <w:r>
        <w:rPr>
          <w:i/>
          <w:sz w:val="24"/>
        </w:rPr>
        <w:t>AER</w:t>
      </w:r>
      <w:r>
        <w:rPr>
          <w:sz w:val="24"/>
        </w:rPr>
        <w:t>.</w:t>
      </w:r>
    </w:p>
    <w:p>
      <w:pPr>
        <w:pStyle w:val="ListParagraph"/>
        <w:numPr>
          <w:ilvl w:val="0"/>
          <w:numId w:val="449"/>
        </w:numPr>
        <w:tabs>
          <w:tab w:pos="2486" w:val="left" w:leader="none"/>
        </w:tabs>
        <w:spacing w:line="240" w:lineRule="auto" w:before="120" w:after="0"/>
        <w:ind w:left="2486" w:right="415" w:hanging="567"/>
        <w:jc w:val="both"/>
        <w:rPr>
          <w:sz w:val="24"/>
        </w:rPr>
      </w:pPr>
      <w:r>
        <w:rPr>
          <w:sz w:val="24"/>
        </w:rPr>
        <w:t>a description and justification of the differences between the proposed amended </w:t>
      </w:r>
      <w:r>
        <w:rPr>
          <w:i/>
          <w:sz w:val="24"/>
        </w:rPr>
        <w:t>tariff structure statement </w:t>
      </w:r>
      <w:r>
        <w:rPr>
          <w:sz w:val="24"/>
        </w:rPr>
        <w:t>and the </w:t>
      </w:r>
      <w:r>
        <w:rPr>
          <w:i/>
          <w:sz w:val="24"/>
        </w:rPr>
        <w:t>Distribution Network </w:t>
      </w:r>
      <w:r>
        <w:rPr>
          <w:i/>
          <w:sz w:val="24"/>
        </w:rPr>
        <w:t>Service Provider's </w:t>
      </w:r>
      <w:r>
        <w:rPr>
          <w:sz w:val="24"/>
        </w:rPr>
        <w:t>current </w:t>
      </w:r>
      <w:r>
        <w:rPr>
          <w:i/>
          <w:sz w:val="24"/>
        </w:rPr>
        <w:t>tariff structure</w:t>
      </w:r>
      <w:r>
        <w:rPr>
          <w:i/>
          <w:spacing w:val="-5"/>
          <w:sz w:val="24"/>
        </w:rPr>
        <w:t> </w:t>
      </w:r>
      <w:r>
        <w:rPr>
          <w:i/>
          <w:sz w:val="24"/>
        </w:rPr>
        <w:t>statement</w:t>
      </w:r>
      <w:r>
        <w:rPr>
          <w:sz w:val="24"/>
        </w:rPr>
        <w:t>;</w:t>
      </w:r>
    </w:p>
    <w:p>
      <w:pPr>
        <w:pStyle w:val="ListParagraph"/>
        <w:numPr>
          <w:ilvl w:val="0"/>
          <w:numId w:val="449"/>
        </w:numPr>
        <w:tabs>
          <w:tab w:pos="2486" w:val="left" w:leader="none"/>
        </w:tabs>
        <w:spacing w:line="240" w:lineRule="auto" w:before="120" w:after="0"/>
        <w:ind w:left="2486" w:right="416" w:hanging="567"/>
        <w:jc w:val="both"/>
        <w:rPr>
          <w:sz w:val="24"/>
        </w:rPr>
      </w:pPr>
      <w:r>
        <w:rPr>
          <w:sz w:val="24"/>
        </w:rPr>
        <w:t>a description of how the differences referred to in sub-paragraph (3) would impact the other elements of the </w:t>
      </w:r>
      <w:r>
        <w:rPr>
          <w:i/>
          <w:sz w:val="24"/>
        </w:rPr>
        <w:t>tariff structure</w:t>
      </w:r>
      <w:r>
        <w:rPr>
          <w:i/>
          <w:spacing w:val="-12"/>
          <w:sz w:val="24"/>
        </w:rPr>
        <w:t> </w:t>
      </w:r>
      <w:r>
        <w:rPr>
          <w:i/>
          <w:sz w:val="24"/>
        </w:rPr>
        <w:t>statement</w:t>
      </w:r>
      <w:r>
        <w:rPr>
          <w:sz w:val="24"/>
        </w:rPr>
        <w:t>;</w:t>
      </w:r>
    </w:p>
    <w:p>
      <w:pPr>
        <w:pStyle w:val="ListParagraph"/>
        <w:numPr>
          <w:ilvl w:val="0"/>
          <w:numId w:val="449"/>
        </w:numPr>
        <w:tabs>
          <w:tab w:pos="2486" w:val="left" w:leader="none"/>
        </w:tabs>
        <w:spacing w:line="240" w:lineRule="auto" w:before="120" w:after="0"/>
        <w:ind w:left="2486" w:right="415" w:hanging="567"/>
        <w:jc w:val="both"/>
        <w:rPr>
          <w:sz w:val="24"/>
        </w:rPr>
      </w:pPr>
      <w:r>
        <w:rPr>
          <w:sz w:val="24"/>
        </w:rPr>
        <w:t>a description of how the proposed amended </w:t>
      </w:r>
      <w:r>
        <w:rPr>
          <w:i/>
          <w:sz w:val="24"/>
        </w:rPr>
        <w:t>tariff structure statement </w:t>
      </w:r>
      <w:r>
        <w:rPr>
          <w:sz w:val="24"/>
        </w:rPr>
        <w:t>would better comply with the </w:t>
      </w:r>
      <w:r>
        <w:rPr>
          <w:i/>
          <w:sz w:val="24"/>
        </w:rPr>
        <w:t>pricing principles for direct control </w:t>
      </w:r>
      <w:r>
        <w:rPr>
          <w:i/>
          <w:sz w:val="24"/>
        </w:rPr>
        <w:t>services </w:t>
      </w:r>
      <w:r>
        <w:rPr>
          <w:sz w:val="24"/>
        </w:rPr>
        <w:t>than the current </w:t>
      </w:r>
      <w:r>
        <w:rPr>
          <w:i/>
          <w:sz w:val="24"/>
        </w:rPr>
        <w:t>tariff structure statement</w:t>
      </w:r>
      <w:r>
        <w:rPr>
          <w:sz w:val="24"/>
        </w:rPr>
        <w:t>;</w:t>
      </w:r>
      <w:r>
        <w:rPr>
          <w:spacing w:val="-8"/>
          <w:sz w:val="24"/>
        </w:rPr>
        <w:t> </w:t>
      </w:r>
      <w:r>
        <w:rPr>
          <w:sz w:val="24"/>
        </w:rPr>
        <w:t>and</w:t>
      </w:r>
    </w:p>
    <w:p>
      <w:pPr>
        <w:pStyle w:val="ListParagraph"/>
        <w:numPr>
          <w:ilvl w:val="0"/>
          <w:numId w:val="449"/>
        </w:numPr>
        <w:tabs>
          <w:tab w:pos="2486" w:val="left" w:leader="none"/>
        </w:tabs>
        <w:spacing w:line="240" w:lineRule="auto" w:before="120" w:after="0"/>
        <w:ind w:left="2486" w:right="416" w:hanging="567"/>
        <w:jc w:val="both"/>
        <w:rPr>
          <w:sz w:val="24"/>
        </w:rPr>
      </w:pPr>
      <w:r>
        <w:rPr>
          <w:sz w:val="24"/>
        </w:rPr>
        <w:t>a description of how the </w:t>
      </w:r>
      <w:r>
        <w:rPr>
          <w:i/>
          <w:sz w:val="24"/>
        </w:rPr>
        <w:t>Distribution Network Service Provider </w:t>
      </w:r>
      <w:r>
        <w:rPr>
          <w:spacing w:val="-4"/>
          <w:sz w:val="24"/>
        </w:rPr>
        <w:t>has</w:t>
      </w:r>
      <w:r>
        <w:rPr>
          <w:spacing w:val="52"/>
          <w:sz w:val="24"/>
        </w:rPr>
        <w:t> </w:t>
      </w:r>
      <w:r>
        <w:rPr>
          <w:sz w:val="24"/>
        </w:rPr>
        <w:t>engaged with </w:t>
      </w:r>
      <w:r>
        <w:rPr>
          <w:i/>
          <w:sz w:val="24"/>
        </w:rPr>
        <w:t>retail customers </w:t>
      </w:r>
      <w:r>
        <w:rPr>
          <w:sz w:val="24"/>
        </w:rPr>
        <w:t>and </w:t>
      </w:r>
      <w:r>
        <w:rPr>
          <w:i/>
          <w:sz w:val="24"/>
        </w:rPr>
        <w:t>retailers </w:t>
      </w:r>
      <w:r>
        <w:rPr>
          <w:sz w:val="24"/>
        </w:rPr>
        <w:t>in developing the proposed amended </w:t>
      </w:r>
      <w:r>
        <w:rPr>
          <w:i/>
          <w:sz w:val="24"/>
        </w:rPr>
        <w:t>tariff structure statement </w:t>
      </w:r>
      <w:r>
        <w:rPr>
          <w:sz w:val="24"/>
        </w:rPr>
        <w:t>and has sought to address any relevant concerns identified as a result of that</w:t>
      </w:r>
      <w:r>
        <w:rPr>
          <w:spacing w:val="-3"/>
          <w:sz w:val="24"/>
        </w:rPr>
        <w:t> </w:t>
      </w:r>
      <w:r>
        <w:rPr>
          <w:sz w:val="24"/>
        </w:rPr>
        <w:t>engagement.</w:t>
      </w:r>
    </w:p>
    <w:p>
      <w:pPr>
        <w:pStyle w:val="ListParagraph"/>
        <w:numPr>
          <w:ilvl w:val="3"/>
          <w:numId w:val="448"/>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on receipt of a </w:t>
      </w:r>
      <w:r>
        <w:rPr>
          <w:i/>
          <w:sz w:val="24"/>
        </w:rPr>
        <w:t>Distribution Network Service Provider's </w:t>
      </w:r>
      <w:r>
        <w:rPr>
          <w:sz w:val="24"/>
        </w:rPr>
        <w:t>request for an amendment to its </w:t>
      </w:r>
      <w:r>
        <w:rPr>
          <w:i/>
          <w:sz w:val="24"/>
        </w:rPr>
        <w:t>tariff structure statement</w:t>
      </w:r>
      <w:r>
        <w:rPr>
          <w:sz w:val="24"/>
        </w:rPr>
        <w:t>, </w:t>
      </w:r>
      <w:r>
        <w:rPr>
          <w:i/>
          <w:sz w:val="24"/>
        </w:rPr>
        <w:t>publish </w:t>
      </w:r>
      <w:r>
        <w:rPr>
          <w:sz w:val="24"/>
        </w:rPr>
        <w:t>the request.</w:t>
      </w:r>
    </w:p>
    <w:p>
      <w:pPr>
        <w:pStyle w:val="ListParagraph"/>
        <w:numPr>
          <w:ilvl w:val="3"/>
          <w:numId w:val="448"/>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approve the request for an amendment to a </w:t>
      </w:r>
      <w:r>
        <w:rPr>
          <w:i/>
          <w:sz w:val="24"/>
        </w:rPr>
        <w:t>tariff structure </w:t>
      </w:r>
      <w:r>
        <w:rPr>
          <w:i/>
          <w:sz w:val="24"/>
        </w:rPr>
        <w:t>statement </w:t>
      </w:r>
      <w:r>
        <w:rPr>
          <w:sz w:val="24"/>
        </w:rPr>
        <w:t>under paragraph (a) if the </w:t>
      </w:r>
      <w:r>
        <w:rPr>
          <w:i/>
          <w:sz w:val="24"/>
        </w:rPr>
        <w:t>Distribution Network Service Provider </w:t>
      </w:r>
      <w:r>
        <w:rPr>
          <w:sz w:val="24"/>
        </w:rPr>
        <w:t>demonstrates to the reasonable satisfaction of the </w:t>
      </w:r>
      <w:r>
        <w:rPr>
          <w:i/>
          <w:sz w:val="24"/>
        </w:rPr>
        <w:t>AER</w:t>
      </w:r>
      <w:r>
        <w:rPr>
          <w:i/>
          <w:spacing w:val="-3"/>
          <w:sz w:val="24"/>
        </w:rPr>
        <w:t> </w:t>
      </w:r>
      <w:r>
        <w:rPr>
          <w:sz w:val="24"/>
        </w:rPr>
        <w:t>that:</w:t>
      </w:r>
    </w:p>
    <w:p>
      <w:pPr>
        <w:pStyle w:val="ListParagraph"/>
        <w:numPr>
          <w:ilvl w:val="0"/>
          <w:numId w:val="450"/>
        </w:numPr>
        <w:tabs>
          <w:tab w:pos="2486" w:val="left" w:leader="none"/>
        </w:tabs>
        <w:spacing w:line="240" w:lineRule="auto" w:before="120" w:after="0"/>
        <w:ind w:left="2485" w:right="0" w:hanging="567"/>
        <w:jc w:val="both"/>
        <w:rPr>
          <w:sz w:val="24"/>
        </w:rPr>
      </w:pPr>
      <w:r>
        <w:rPr>
          <w:sz w:val="24"/>
        </w:rPr>
        <w:t>an event has occurred</w:t>
      </w:r>
      <w:r>
        <w:rPr>
          <w:spacing w:val="-1"/>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1"/>
          <w:numId w:val="450"/>
        </w:numPr>
        <w:tabs>
          <w:tab w:pos="3053" w:val="left" w:leader="none"/>
        </w:tabs>
        <w:spacing w:line="240" w:lineRule="auto" w:before="83" w:after="0"/>
        <w:ind w:left="3053" w:right="415" w:hanging="567"/>
        <w:jc w:val="both"/>
        <w:rPr>
          <w:sz w:val="24"/>
        </w:rPr>
      </w:pPr>
      <w:r>
        <w:rPr>
          <w:sz w:val="24"/>
        </w:rPr>
        <w:t>was beyond the reasonable control of the </w:t>
      </w:r>
      <w:r>
        <w:rPr>
          <w:i/>
          <w:sz w:val="24"/>
        </w:rPr>
        <w:t>Distribution Network </w:t>
      </w:r>
      <w:r>
        <w:rPr>
          <w:i/>
          <w:sz w:val="24"/>
        </w:rPr>
        <w:t>Service Provider</w:t>
      </w:r>
      <w:r>
        <w:rPr>
          <w:sz w:val="24"/>
        </w:rPr>
        <w:t>;</w:t>
      </w:r>
      <w:r>
        <w:rPr>
          <w:spacing w:val="-1"/>
          <w:sz w:val="24"/>
        </w:rPr>
        <w:t> </w:t>
      </w:r>
      <w:r>
        <w:rPr>
          <w:sz w:val="24"/>
        </w:rPr>
        <w:t>and</w:t>
      </w:r>
    </w:p>
    <w:p>
      <w:pPr>
        <w:pStyle w:val="ListParagraph"/>
        <w:numPr>
          <w:ilvl w:val="1"/>
          <w:numId w:val="450"/>
        </w:numPr>
        <w:tabs>
          <w:tab w:pos="3054" w:val="left" w:leader="none"/>
        </w:tabs>
        <w:spacing w:line="240" w:lineRule="auto" w:before="120" w:after="0"/>
        <w:ind w:left="3053" w:right="415" w:hanging="567"/>
        <w:jc w:val="both"/>
        <w:rPr>
          <w:sz w:val="24"/>
        </w:rPr>
      </w:pPr>
      <w:r>
        <w:rPr>
          <w:sz w:val="24"/>
        </w:rPr>
        <w:t>could not reasonably have been foreseen by the </w:t>
      </w:r>
      <w:r>
        <w:rPr>
          <w:i/>
          <w:sz w:val="24"/>
        </w:rPr>
        <w:t>Distribution </w:t>
      </w:r>
      <w:r>
        <w:rPr>
          <w:i/>
          <w:sz w:val="24"/>
        </w:rPr>
        <w:t>Network Service Provider </w:t>
      </w:r>
      <w:r>
        <w:rPr>
          <w:sz w:val="24"/>
        </w:rPr>
        <w:t>at the time its current </w:t>
      </w:r>
      <w:r>
        <w:rPr>
          <w:i/>
          <w:sz w:val="24"/>
        </w:rPr>
        <w:t>tariff structure </w:t>
      </w:r>
      <w:r>
        <w:rPr>
          <w:i/>
          <w:sz w:val="24"/>
        </w:rPr>
        <w:t>statement </w:t>
      </w:r>
      <w:r>
        <w:rPr>
          <w:sz w:val="24"/>
        </w:rPr>
        <w:t>was approved by the </w:t>
      </w:r>
      <w:r>
        <w:rPr>
          <w:i/>
          <w:sz w:val="24"/>
        </w:rPr>
        <w:t>AER</w:t>
      </w:r>
      <w:r>
        <w:rPr>
          <w:sz w:val="24"/>
        </w:rPr>
        <w:t>;</w:t>
      </w:r>
      <w:r>
        <w:rPr>
          <w:spacing w:val="-4"/>
          <w:sz w:val="24"/>
        </w:rPr>
        <w:t> </w:t>
      </w:r>
      <w:r>
        <w:rPr>
          <w:sz w:val="24"/>
        </w:rPr>
        <w:t>and</w:t>
      </w:r>
    </w:p>
    <w:p>
      <w:pPr>
        <w:pStyle w:val="ListParagraph"/>
        <w:numPr>
          <w:ilvl w:val="0"/>
          <w:numId w:val="450"/>
        </w:numPr>
        <w:tabs>
          <w:tab w:pos="2486" w:val="left" w:leader="none"/>
        </w:tabs>
        <w:spacing w:line="240" w:lineRule="auto" w:before="120" w:after="0"/>
        <w:ind w:left="2486" w:right="415" w:hanging="567"/>
        <w:jc w:val="both"/>
        <w:rPr>
          <w:sz w:val="24"/>
        </w:rPr>
      </w:pPr>
      <w:r>
        <w:rPr>
          <w:sz w:val="24"/>
        </w:rPr>
        <w:t>as a result of the event referred to in sub-paragraph (1), the proposed amended </w:t>
      </w:r>
      <w:r>
        <w:rPr>
          <w:i/>
          <w:sz w:val="24"/>
        </w:rPr>
        <w:t>tariff structure statement </w:t>
      </w:r>
      <w:r>
        <w:rPr>
          <w:sz w:val="24"/>
        </w:rPr>
        <w:t>would, or would be likely to, materially better comply with the </w:t>
      </w:r>
      <w:r>
        <w:rPr>
          <w:i/>
          <w:sz w:val="24"/>
        </w:rPr>
        <w:t>pricing principles for direct control </w:t>
      </w:r>
      <w:r>
        <w:rPr>
          <w:i/>
          <w:sz w:val="24"/>
        </w:rPr>
        <w:t>services </w:t>
      </w:r>
      <w:r>
        <w:rPr>
          <w:sz w:val="24"/>
        </w:rPr>
        <w:t>than the </w:t>
      </w:r>
      <w:r>
        <w:rPr>
          <w:i/>
          <w:sz w:val="24"/>
        </w:rPr>
        <w:t>Distribution Network Service Provider's </w:t>
      </w:r>
      <w:r>
        <w:rPr>
          <w:sz w:val="24"/>
        </w:rPr>
        <w:t>current </w:t>
      </w:r>
      <w:r>
        <w:rPr>
          <w:i/>
          <w:sz w:val="24"/>
        </w:rPr>
        <w:t>tariff structure</w:t>
      </w:r>
      <w:r>
        <w:rPr>
          <w:i/>
          <w:spacing w:val="-1"/>
          <w:sz w:val="24"/>
        </w:rPr>
        <w:t> </w:t>
      </w:r>
      <w:r>
        <w:rPr>
          <w:i/>
          <w:sz w:val="24"/>
        </w:rPr>
        <w:t>statement</w:t>
      </w:r>
      <w:r>
        <w:rPr>
          <w:sz w:val="24"/>
        </w:rPr>
        <w:t>.</w:t>
      </w:r>
    </w:p>
    <w:p>
      <w:pPr>
        <w:pStyle w:val="ListParagraph"/>
        <w:numPr>
          <w:ilvl w:val="3"/>
          <w:numId w:val="448"/>
        </w:numPr>
        <w:tabs>
          <w:tab w:pos="1919" w:val="left" w:leader="none"/>
        </w:tabs>
        <w:spacing w:line="240" w:lineRule="auto" w:before="120" w:after="0"/>
        <w:ind w:left="1919" w:right="414" w:hanging="567"/>
        <w:jc w:val="both"/>
        <w:rPr>
          <w:sz w:val="24"/>
        </w:rPr>
      </w:pPr>
      <w:r>
        <w:rPr>
          <w:sz w:val="24"/>
        </w:rPr>
        <w:t>No later than four months before the start of the relevant </w:t>
      </w:r>
      <w:r>
        <w:rPr>
          <w:i/>
          <w:sz w:val="24"/>
        </w:rPr>
        <w:t>regulatory year</w:t>
      </w:r>
      <w:r>
        <w:rPr>
          <w:sz w:val="24"/>
        </w:rPr>
        <w:t>, the </w:t>
      </w:r>
      <w:r>
        <w:rPr>
          <w:i/>
          <w:sz w:val="24"/>
        </w:rPr>
        <w:t>AER </w:t>
      </w:r>
      <w:r>
        <w:rPr>
          <w:sz w:val="24"/>
        </w:rPr>
        <w:t>must either approve or refuse to approve the request for an amendment to a </w:t>
      </w:r>
      <w:r>
        <w:rPr>
          <w:i/>
          <w:sz w:val="24"/>
        </w:rPr>
        <w:t>tariff structure statement </w:t>
      </w:r>
      <w:r>
        <w:rPr>
          <w:sz w:val="24"/>
        </w:rPr>
        <w:t>under paragraph (a) and set out reasons for its</w:t>
      </w:r>
      <w:r>
        <w:rPr>
          <w:spacing w:val="-1"/>
          <w:sz w:val="24"/>
        </w:rPr>
        <w:t> </w:t>
      </w:r>
      <w:r>
        <w:rPr>
          <w:sz w:val="24"/>
        </w:rPr>
        <w:t>decision.</w:t>
      </w:r>
    </w:p>
    <w:p>
      <w:pPr>
        <w:pStyle w:val="ListParagraph"/>
        <w:numPr>
          <w:ilvl w:val="3"/>
          <w:numId w:val="448"/>
        </w:numPr>
        <w:tabs>
          <w:tab w:pos="1920" w:val="left" w:leader="none"/>
        </w:tabs>
        <w:spacing w:line="240" w:lineRule="auto" w:before="120" w:after="0"/>
        <w:ind w:left="1919" w:right="415" w:hanging="567"/>
        <w:jc w:val="both"/>
        <w:rPr>
          <w:sz w:val="24"/>
        </w:rPr>
      </w:pPr>
      <w:r>
        <w:rPr>
          <w:sz w:val="24"/>
        </w:rPr>
        <w:t>If the </w:t>
      </w:r>
      <w:r>
        <w:rPr>
          <w:i/>
          <w:sz w:val="24"/>
        </w:rPr>
        <w:t>AER </w:t>
      </w:r>
      <w:r>
        <w:rPr>
          <w:sz w:val="24"/>
        </w:rPr>
        <w:t>refuses to approve the request for an amendment to a </w:t>
      </w:r>
      <w:r>
        <w:rPr>
          <w:i/>
          <w:sz w:val="24"/>
        </w:rPr>
        <w:t>tariff </w:t>
      </w:r>
      <w:r>
        <w:rPr>
          <w:i/>
          <w:sz w:val="24"/>
        </w:rPr>
        <w:t>structure statement </w:t>
      </w:r>
      <w:r>
        <w:rPr>
          <w:sz w:val="24"/>
        </w:rPr>
        <w:t>under paragraph (a), the current </w:t>
      </w:r>
      <w:r>
        <w:rPr>
          <w:i/>
          <w:sz w:val="24"/>
        </w:rPr>
        <w:t>tariff structure </w:t>
      </w:r>
      <w:r>
        <w:rPr>
          <w:i/>
          <w:sz w:val="24"/>
        </w:rPr>
        <w:t>statement </w:t>
      </w:r>
      <w:r>
        <w:rPr>
          <w:sz w:val="24"/>
        </w:rPr>
        <w:t>will apply for the relevant </w:t>
      </w:r>
      <w:r>
        <w:rPr>
          <w:i/>
          <w:sz w:val="24"/>
        </w:rPr>
        <w:t>regulatory year </w:t>
      </w:r>
      <w:r>
        <w:rPr>
          <w:sz w:val="24"/>
        </w:rPr>
        <w:t>and, subject to any subsequent amendment approved under this clause 6.18.1B, the remainder of the </w:t>
      </w:r>
      <w:r>
        <w:rPr>
          <w:i/>
          <w:sz w:val="24"/>
        </w:rPr>
        <w:t>regulatory control</w:t>
      </w:r>
      <w:r>
        <w:rPr>
          <w:i/>
          <w:spacing w:val="-1"/>
          <w:sz w:val="24"/>
        </w:rPr>
        <w:t> </w:t>
      </w:r>
      <w:r>
        <w:rPr>
          <w:i/>
          <w:sz w:val="24"/>
        </w:rPr>
        <w:t>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Rule 6.13 still applies in relation to a </w:t>
      </w:r>
      <w:r>
        <w:rPr>
          <w:i/>
          <w:sz w:val="20"/>
        </w:rPr>
        <w:t>tariff structure statement </w:t>
      </w:r>
      <w:r>
        <w:rPr>
          <w:sz w:val="20"/>
        </w:rPr>
        <w:t>because that rule deals with the revocation and substitution of a distribution determination (which includes a </w:t>
      </w:r>
      <w:r>
        <w:rPr>
          <w:i/>
          <w:sz w:val="20"/>
        </w:rPr>
        <w:t>tariff </w:t>
      </w:r>
      <w:r>
        <w:rPr>
          <w:i/>
          <w:sz w:val="20"/>
        </w:rPr>
        <w:t>structure statement</w:t>
      </w:r>
      <w:r>
        <w:rPr>
          <w:sz w:val="20"/>
        </w:rPr>
        <w:t>) as opposed to its amendment.</w:t>
      </w:r>
    </w:p>
    <w:p>
      <w:pPr>
        <w:pStyle w:val="BodyText"/>
        <w:spacing w:before="10"/>
        <w:ind w:firstLine="0"/>
        <w:jc w:val="left"/>
        <w:rPr>
          <w:sz w:val="20"/>
        </w:rPr>
      </w:pPr>
    </w:p>
    <w:p>
      <w:pPr>
        <w:pStyle w:val="Heading4"/>
        <w:numPr>
          <w:ilvl w:val="2"/>
          <w:numId w:val="451"/>
        </w:numPr>
        <w:tabs>
          <w:tab w:pos="887" w:val="left" w:leader="none"/>
          <w:tab w:pos="1351" w:val="left" w:leader="none"/>
        </w:tabs>
        <w:spacing w:line="240" w:lineRule="auto" w:before="0" w:after="0"/>
        <w:ind w:left="886" w:right="0" w:hanging="669"/>
        <w:jc w:val="left"/>
      </w:pPr>
      <w:bookmarkStart w:name="6.18.1C Sub-threshold tariffs" w:id="1557"/>
      <w:bookmarkEnd w:id="1557"/>
      <w:r>
        <w:rPr>
          <w:b w:val="0"/>
        </w:rPr>
      </w:r>
      <w:bookmarkStart w:name="_bookmark622" w:id="1558"/>
      <w:bookmarkEnd w:id="1558"/>
      <w:r>
        <w:rPr>
          <w:b w:val="0"/>
        </w:rPr>
      </w:r>
      <w:bookmarkStart w:name="_bookmark622" w:id="1559"/>
      <w:bookmarkEnd w:id="1559"/>
      <w:r>
        <w:rPr/>
        <w:t>C</w:t>
      </w:r>
      <w:r>
        <w:rPr/>
        <w:tab/>
        <w:t>Sub-threshold</w:t>
      </w:r>
      <w:r>
        <w:rPr>
          <w:spacing w:val="-1"/>
        </w:rPr>
        <w:t> </w:t>
      </w:r>
      <w:r>
        <w:rPr/>
        <w:t>tariffs</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No later than four months before the start of a </w:t>
      </w:r>
      <w:r>
        <w:rPr>
          <w:i/>
          <w:sz w:val="24"/>
        </w:rPr>
        <w:t>regulatory year </w:t>
      </w:r>
      <w:r>
        <w:rPr>
          <w:sz w:val="24"/>
        </w:rPr>
        <w:t>(other than the first </w:t>
      </w:r>
      <w:r>
        <w:rPr>
          <w:i/>
          <w:sz w:val="24"/>
        </w:rPr>
        <w:t>regulatory year </w:t>
      </w:r>
      <w:r>
        <w:rPr>
          <w:sz w:val="24"/>
        </w:rPr>
        <w:t>of a </w:t>
      </w:r>
      <w:r>
        <w:rPr>
          <w:i/>
          <w:sz w:val="24"/>
        </w:rPr>
        <w:t>regulatory control period</w:t>
      </w:r>
      <w:r>
        <w:rPr>
          <w:sz w:val="24"/>
        </w:rPr>
        <w:t>), a </w:t>
      </w:r>
      <w:r>
        <w:rPr>
          <w:i/>
          <w:sz w:val="24"/>
        </w:rPr>
        <w:t>Distribution </w:t>
      </w:r>
      <w:r>
        <w:rPr>
          <w:i/>
          <w:sz w:val="24"/>
        </w:rPr>
        <w:t>Network Service Provider </w:t>
      </w:r>
      <w:r>
        <w:rPr>
          <w:sz w:val="24"/>
        </w:rPr>
        <w:t>may notify the </w:t>
      </w:r>
      <w:r>
        <w:rPr>
          <w:i/>
          <w:sz w:val="24"/>
        </w:rPr>
        <w:t>AER</w:t>
      </w:r>
      <w:r>
        <w:rPr>
          <w:sz w:val="24"/>
        </w:rPr>
        <w:t>, affected </w:t>
      </w:r>
      <w:r>
        <w:rPr>
          <w:i/>
          <w:sz w:val="24"/>
        </w:rPr>
        <w:t>retailers </w:t>
      </w:r>
      <w:r>
        <w:rPr>
          <w:sz w:val="24"/>
        </w:rPr>
        <w:t>and affected </w:t>
      </w:r>
      <w:r>
        <w:rPr>
          <w:i/>
          <w:sz w:val="24"/>
        </w:rPr>
        <w:t>retail customers </w:t>
      </w:r>
      <w:r>
        <w:rPr>
          <w:sz w:val="24"/>
        </w:rPr>
        <w:t>of a new proposed tariff (a </w:t>
      </w:r>
      <w:r>
        <w:rPr>
          <w:b/>
          <w:sz w:val="24"/>
        </w:rPr>
        <w:t>relevant tariff</w:t>
      </w:r>
      <w:r>
        <w:rPr>
          <w:sz w:val="24"/>
        </w:rPr>
        <w:t>) that is determined otherwise than in accordance with the </w:t>
      </w:r>
      <w:r>
        <w:rPr>
          <w:i/>
          <w:sz w:val="24"/>
        </w:rPr>
        <w:t>Distribution Network </w:t>
      </w:r>
      <w:r>
        <w:rPr>
          <w:i/>
          <w:sz w:val="24"/>
        </w:rPr>
        <w:t>Service Provider's </w:t>
      </w:r>
      <w:r>
        <w:rPr>
          <w:sz w:val="24"/>
        </w:rPr>
        <w:t>current </w:t>
      </w:r>
      <w:r>
        <w:rPr>
          <w:i/>
          <w:sz w:val="24"/>
        </w:rPr>
        <w:t>tariff structure statement</w:t>
      </w:r>
      <w:r>
        <w:rPr>
          <w:sz w:val="24"/>
        </w:rPr>
        <w:t>, if both of the following are</w:t>
      </w:r>
      <w:r>
        <w:rPr>
          <w:spacing w:val="-1"/>
          <w:sz w:val="24"/>
        </w:rPr>
        <w:t> </w:t>
      </w:r>
      <w:r>
        <w:rPr>
          <w:sz w:val="24"/>
        </w:rPr>
        <w:t>satisfied: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Provider's </w:t>
      </w:r>
      <w:r>
        <w:rPr>
          <w:sz w:val="24"/>
        </w:rPr>
        <w:t>forecast revenue from the relevant tariff during each </w:t>
      </w:r>
      <w:r>
        <w:rPr>
          <w:i/>
          <w:sz w:val="24"/>
        </w:rPr>
        <w:t>regulatory year </w:t>
      </w:r>
      <w:r>
        <w:rPr>
          <w:sz w:val="24"/>
        </w:rPr>
        <w:t>in which the tariff is to apply is no greater than 0.5 per cent of the </w:t>
      </w:r>
      <w:r>
        <w:rPr>
          <w:i/>
          <w:sz w:val="24"/>
        </w:rPr>
        <w:t>Distribution</w:t>
      </w:r>
      <w:r>
        <w:rPr>
          <w:i/>
          <w:spacing w:val="25"/>
          <w:sz w:val="24"/>
        </w:rPr>
        <w:t> </w:t>
      </w:r>
      <w:r>
        <w:rPr>
          <w:i/>
          <w:sz w:val="24"/>
        </w:rPr>
        <w:t>Network </w:t>
      </w:r>
      <w:r>
        <w:rPr>
          <w:i/>
          <w:sz w:val="24"/>
        </w:rPr>
        <w:t>Service Provider's annual revenue requirement </w:t>
      </w:r>
      <w:r>
        <w:rPr>
          <w:sz w:val="24"/>
        </w:rPr>
        <w:t>for that </w:t>
      </w:r>
      <w:r>
        <w:rPr>
          <w:i/>
          <w:sz w:val="24"/>
        </w:rPr>
        <w:t>regulatory </w:t>
      </w:r>
      <w:r>
        <w:rPr>
          <w:i/>
          <w:sz w:val="24"/>
        </w:rPr>
        <w:t>year </w:t>
      </w:r>
      <w:r>
        <w:rPr>
          <w:sz w:val="24"/>
        </w:rPr>
        <w:t>(the </w:t>
      </w:r>
      <w:r>
        <w:rPr>
          <w:b/>
          <w:sz w:val="24"/>
        </w:rPr>
        <w:t>individual threshold</w:t>
      </w:r>
      <w:r>
        <w:rPr>
          <w:sz w:val="24"/>
        </w:rPr>
        <w:t>);</w:t>
      </w:r>
      <w:r>
        <w:rPr>
          <w:spacing w:val="-3"/>
          <w:sz w:val="24"/>
        </w:rPr>
        <w:t> </w:t>
      </w:r>
      <w:r>
        <w:rPr>
          <w:sz w:val="24"/>
        </w:rPr>
        <w:t>and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w:t>
      </w:r>
      <w:r>
        <w:rPr>
          <w:i/>
          <w:sz w:val="24"/>
        </w:rPr>
        <w:t>Distribution Network Service Provider's </w:t>
      </w:r>
      <w:r>
        <w:rPr>
          <w:sz w:val="24"/>
        </w:rPr>
        <w:t>forecast revenue from the relevant tariff, as well as from all other relevant tariffs, during each </w:t>
      </w:r>
      <w:r>
        <w:rPr>
          <w:i/>
          <w:sz w:val="24"/>
        </w:rPr>
        <w:t>regulatory year </w:t>
      </w:r>
      <w:r>
        <w:rPr>
          <w:sz w:val="24"/>
        </w:rPr>
        <w:t>in which those tariffs are to apply is no greater than one per cent of the </w:t>
      </w:r>
      <w:r>
        <w:rPr>
          <w:i/>
          <w:sz w:val="24"/>
        </w:rPr>
        <w:t>Distribution Network Service Provider's annual </w:t>
      </w:r>
      <w:r>
        <w:rPr>
          <w:i/>
          <w:sz w:val="24"/>
        </w:rPr>
        <w:t>revenue requirement </w:t>
      </w:r>
      <w:r>
        <w:rPr>
          <w:sz w:val="24"/>
        </w:rPr>
        <w:t>for that </w:t>
      </w:r>
      <w:r>
        <w:rPr>
          <w:i/>
          <w:sz w:val="24"/>
        </w:rPr>
        <w:t>regulatory year </w:t>
      </w:r>
      <w:r>
        <w:rPr>
          <w:sz w:val="24"/>
        </w:rPr>
        <w:t>(the </w:t>
      </w:r>
      <w:r>
        <w:rPr>
          <w:b/>
          <w:sz w:val="24"/>
        </w:rPr>
        <w:t>cumulative threshold</w:t>
      </w:r>
      <w:r>
        <w:rPr>
          <w:sz w:val="24"/>
        </w:rPr>
        <w:t>).</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Notwithstanding any other provision in the </w:t>
      </w:r>
      <w:r>
        <w:rPr>
          <w:i/>
          <w:sz w:val="24"/>
        </w:rPr>
        <w:t>Rules </w:t>
      </w:r>
      <w:r>
        <w:rPr>
          <w:sz w:val="24"/>
        </w:rPr>
        <w:t>to the contrary, a relevant tariff notified by the </w:t>
      </w:r>
      <w:r>
        <w:rPr>
          <w:i/>
          <w:sz w:val="24"/>
        </w:rPr>
        <w:t>Distribution Network Service Provider </w:t>
      </w:r>
      <w:r>
        <w:rPr>
          <w:sz w:val="24"/>
        </w:rPr>
        <w:t>in accordance with paragraph (a) is, for the remainder of the </w:t>
      </w:r>
      <w:r>
        <w:rPr>
          <w:i/>
          <w:sz w:val="24"/>
        </w:rPr>
        <w:t>regulatory control period </w:t>
      </w:r>
      <w:r>
        <w:rPr>
          <w:sz w:val="24"/>
        </w:rPr>
        <w:t>in which the notification is</w:t>
      </w:r>
      <w:r>
        <w:rPr>
          <w:spacing w:val="-3"/>
          <w:sz w:val="24"/>
        </w:rPr>
        <w:t> </w:t>
      </w:r>
      <w:r>
        <w:rPr>
          <w:sz w:val="24"/>
        </w:rPr>
        <w:t>given:</w:t>
      </w:r>
    </w:p>
    <w:p>
      <w:pPr>
        <w:spacing w:after="0" w:line="240" w:lineRule="auto"/>
        <w:jc w:val="both"/>
        <w:rPr>
          <w:sz w:val="24"/>
        </w:rPr>
        <w:sectPr>
          <w:pgSz w:w="11910" w:h="16840"/>
          <w:pgMar w:header="686" w:footer="637" w:top="1320" w:bottom="820" w:left="1200" w:right="1000"/>
        </w:sectPr>
      </w:pPr>
    </w:p>
    <w:p>
      <w:pPr>
        <w:pStyle w:val="ListParagraph"/>
        <w:numPr>
          <w:ilvl w:val="4"/>
          <w:numId w:val="451"/>
        </w:numPr>
        <w:tabs>
          <w:tab w:pos="2486" w:val="left" w:leader="none"/>
        </w:tabs>
        <w:spacing w:line="240" w:lineRule="auto" w:before="83" w:after="0"/>
        <w:ind w:left="2486" w:right="415" w:hanging="567"/>
        <w:jc w:val="both"/>
        <w:rPr>
          <w:sz w:val="24"/>
        </w:rPr>
      </w:pPr>
      <w:r>
        <w:rPr>
          <w:sz w:val="24"/>
        </w:rPr>
        <w:t>not required to comply with the </w:t>
      </w:r>
      <w:r>
        <w:rPr>
          <w:i/>
          <w:sz w:val="24"/>
        </w:rPr>
        <w:t>pricing principles for direct control </w:t>
      </w:r>
      <w:r>
        <w:rPr>
          <w:i/>
          <w:sz w:val="24"/>
        </w:rPr>
        <w:t>services</w:t>
      </w:r>
      <w:r>
        <w:rPr>
          <w:sz w:val="24"/>
        </w:rPr>
        <w:t>;</w:t>
      </w:r>
      <w:r>
        <w:rPr>
          <w:spacing w:val="-1"/>
          <w:sz w:val="24"/>
        </w:rPr>
        <w:t> </w:t>
      </w:r>
      <w:r>
        <w:rPr>
          <w:sz w:val="24"/>
        </w:rPr>
        <w:t>and</w:t>
      </w:r>
    </w:p>
    <w:p>
      <w:pPr>
        <w:pStyle w:val="ListParagraph"/>
        <w:numPr>
          <w:ilvl w:val="4"/>
          <w:numId w:val="451"/>
        </w:numPr>
        <w:tabs>
          <w:tab w:pos="2486" w:val="left" w:leader="none"/>
        </w:tabs>
        <w:spacing w:line="240" w:lineRule="auto" w:before="120" w:after="0"/>
        <w:ind w:left="2486" w:right="416" w:hanging="567"/>
        <w:jc w:val="both"/>
        <w:rPr>
          <w:sz w:val="24"/>
        </w:rPr>
      </w:pPr>
      <w:r>
        <w:rPr>
          <w:sz w:val="24"/>
        </w:rPr>
        <w:t>for the purposes of the submission and approval of a </w:t>
      </w:r>
      <w:r>
        <w:rPr>
          <w:i/>
          <w:sz w:val="24"/>
        </w:rPr>
        <w:t>pricing proposal</w:t>
      </w:r>
      <w:r>
        <w:rPr>
          <w:sz w:val="24"/>
        </w:rPr>
        <w:t>, deemed to comply with the </w:t>
      </w:r>
      <w:r>
        <w:rPr>
          <w:i/>
          <w:sz w:val="24"/>
        </w:rPr>
        <w:t>Distribution Network Service Provider's </w:t>
      </w:r>
      <w:r>
        <w:rPr>
          <w:sz w:val="24"/>
        </w:rPr>
        <w:t>current </w:t>
      </w:r>
      <w:r>
        <w:rPr>
          <w:i/>
          <w:sz w:val="24"/>
        </w:rPr>
        <w:t>tariff structure</w:t>
      </w:r>
      <w:r>
        <w:rPr>
          <w:i/>
          <w:spacing w:val="-2"/>
          <w:sz w:val="24"/>
        </w:rPr>
        <w:t> </w:t>
      </w:r>
      <w:r>
        <w:rPr>
          <w:i/>
          <w:sz w:val="24"/>
        </w:rPr>
        <w:t>statement</w:t>
      </w:r>
      <w:r>
        <w:rPr>
          <w:sz w:val="24"/>
        </w:rPr>
        <w:t>,</w:t>
      </w:r>
    </w:p>
    <w:p>
      <w:pPr>
        <w:pStyle w:val="BodyText"/>
        <w:ind w:left="1919" w:right="414" w:firstLine="0"/>
      </w:pPr>
      <w:r>
        <w:rPr/>
        <w:t>unless, at any point in time after the notification of the relevant tariff is given under paragraph (a) (the </w:t>
      </w:r>
      <w:r>
        <w:rPr>
          <w:b/>
        </w:rPr>
        <w:t>post-notification point</w:t>
      </w:r>
      <w:r>
        <w:rPr/>
        <w:t>), either the individual threshold or the cumulative threshold (in each case calculated using actual rather than forecast revenue) are exceeded by virtue of the amount of revenue that is attributable to the relevant tariff, in which case sub-paragraphs (1) and (2) cease to apply to the relevant tariff in relation to the </w:t>
      </w:r>
      <w:r>
        <w:rPr>
          <w:i/>
        </w:rPr>
        <w:t>regulatory years </w:t>
      </w:r>
      <w:r>
        <w:rPr/>
        <w:t>that commence after the post-notification</w:t>
      </w:r>
      <w:r>
        <w:rPr>
          <w:spacing w:val="-4"/>
        </w:rPr>
        <w:t> </w:t>
      </w:r>
      <w:r>
        <w:rPr/>
        <w:t>point.</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Where sub-paragraphs (b)(1) and (2) cease to apply to a relevant tariff in accordance with paragraph (b), then sub-paragraphs (b)(1) and (2) will be taken to continue to apply to other relevant tariffs that were notified before the post-notification point, but only to the extent that those sub-paragraphs would apply if the first-mentioned relevant tariff were not a relevant</w:t>
      </w:r>
      <w:r>
        <w:rPr>
          <w:spacing w:val="-12"/>
          <w:sz w:val="24"/>
        </w:rPr>
        <w:t> </w:t>
      </w:r>
      <w:r>
        <w:rPr>
          <w:sz w:val="24"/>
        </w:rPr>
        <w:t>tariff.</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1" w:right="0" w:hanging="1134"/>
        <w:jc w:val="left"/>
      </w:pPr>
      <w:bookmarkStart w:name="6.18.2 Pricing proposals" w:id="1560"/>
      <w:bookmarkEnd w:id="1560"/>
      <w:r>
        <w:rPr>
          <w:b w:val="0"/>
        </w:rPr>
      </w:r>
      <w:bookmarkStart w:name="_bookmark623" w:id="1561"/>
      <w:bookmarkEnd w:id="1561"/>
      <w:r>
        <w:rPr>
          <w:b w:val="0"/>
        </w:rPr>
      </w:r>
      <w:bookmarkStart w:name="_bookmark623" w:id="1562"/>
      <w:bookmarkEnd w:id="1562"/>
      <w:r>
        <w:rPr/>
        <w:t>Pricing</w:t>
      </w:r>
      <w:r>
        <w:rPr>
          <w:spacing w:val="-1"/>
        </w:rPr>
        <w:t> </w:t>
      </w:r>
      <w:r>
        <w:rPr/>
        <w:t>proposals</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A </w:t>
      </w:r>
      <w:r>
        <w:rPr>
          <w:i/>
          <w:sz w:val="24"/>
        </w:rPr>
        <w:t>Distribution Network Service Provider</w:t>
      </w:r>
      <w:r>
        <w:rPr>
          <w:i/>
          <w:spacing w:val="-2"/>
          <w:sz w:val="24"/>
        </w:rPr>
        <w:t> </w:t>
      </w:r>
      <w:r>
        <w:rPr>
          <w:sz w:val="24"/>
        </w:rPr>
        <w:t>must:</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submit to the </w:t>
      </w:r>
      <w:r>
        <w:rPr>
          <w:i/>
          <w:sz w:val="24"/>
        </w:rPr>
        <w:t>AER</w:t>
      </w:r>
      <w:r>
        <w:rPr>
          <w:sz w:val="24"/>
        </w:rPr>
        <w:t>, as soon as practicable, and in any case within 15 </w:t>
      </w:r>
      <w:r>
        <w:rPr>
          <w:i/>
          <w:sz w:val="24"/>
        </w:rPr>
        <w:t>business days</w:t>
      </w:r>
      <w:r>
        <w:rPr>
          <w:sz w:val="24"/>
        </w:rPr>
        <w:t>, after </w:t>
      </w:r>
      <w:r>
        <w:rPr>
          <w:i/>
          <w:sz w:val="24"/>
        </w:rPr>
        <w:t>publication </w:t>
      </w:r>
      <w:r>
        <w:rPr>
          <w:sz w:val="24"/>
        </w:rPr>
        <w:t>of the distribution determination, a </w:t>
      </w:r>
      <w:r>
        <w:rPr>
          <w:i/>
          <w:sz w:val="24"/>
        </w:rPr>
        <w:t>pricing proposal </w:t>
      </w:r>
      <w:r>
        <w:rPr>
          <w:sz w:val="24"/>
        </w:rPr>
        <w:t>(the </w:t>
      </w:r>
      <w:r>
        <w:rPr>
          <w:b/>
          <w:sz w:val="24"/>
        </w:rPr>
        <w:t>initial </w:t>
      </w:r>
      <w:r>
        <w:rPr>
          <w:b/>
          <w:i/>
          <w:sz w:val="24"/>
        </w:rPr>
        <w:t>pricing proposal</w:t>
      </w:r>
      <w:r>
        <w:rPr>
          <w:sz w:val="24"/>
        </w:rPr>
        <w:t>) for the first </w:t>
      </w:r>
      <w:r>
        <w:rPr>
          <w:i/>
          <w:sz w:val="24"/>
        </w:rPr>
        <w:t>regulatory </w:t>
      </w:r>
      <w:r>
        <w:rPr>
          <w:i/>
          <w:sz w:val="24"/>
        </w:rPr>
        <w:t>year </w:t>
      </w:r>
      <w:r>
        <w:rPr>
          <w:sz w:val="24"/>
        </w:rPr>
        <w:t>of the </w:t>
      </w:r>
      <w:r>
        <w:rPr>
          <w:i/>
          <w:sz w:val="24"/>
        </w:rPr>
        <w:t>regulatory control period</w:t>
      </w:r>
      <w:r>
        <w:rPr>
          <w:sz w:val="24"/>
        </w:rPr>
        <w:t>;</w:t>
      </w:r>
      <w:r>
        <w:rPr>
          <w:spacing w:val="-1"/>
          <w:sz w:val="24"/>
        </w:rPr>
        <w:t> </w:t>
      </w:r>
      <w:r>
        <w:rPr>
          <w:sz w:val="24"/>
        </w:rPr>
        <w:t>and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submit to the </w:t>
      </w:r>
      <w:r>
        <w:rPr>
          <w:i/>
          <w:sz w:val="24"/>
        </w:rPr>
        <w:t>AER</w:t>
      </w:r>
      <w:r>
        <w:rPr>
          <w:sz w:val="24"/>
        </w:rPr>
        <w:t>, at least 3 months before the commencement of the second and each subsequent </w:t>
      </w:r>
      <w:r>
        <w:rPr>
          <w:i/>
          <w:sz w:val="24"/>
        </w:rPr>
        <w:t>regulatory year </w:t>
      </w:r>
      <w:r>
        <w:rPr>
          <w:sz w:val="24"/>
        </w:rPr>
        <w:t>of the </w:t>
      </w:r>
      <w:r>
        <w:rPr>
          <w:i/>
          <w:sz w:val="24"/>
        </w:rPr>
        <w:t>regulatory control </w:t>
      </w:r>
      <w:r>
        <w:rPr>
          <w:i/>
          <w:sz w:val="24"/>
        </w:rPr>
        <w:t>period</w:t>
      </w:r>
      <w:r>
        <w:rPr>
          <w:sz w:val="24"/>
        </w:rPr>
        <w:t>, a further </w:t>
      </w:r>
      <w:r>
        <w:rPr>
          <w:i/>
          <w:sz w:val="24"/>
        </w:rPr>
        <w:t>pricing proposal </w:t>
      </w:r>
      <w:r>
        <w:rPr>
          <w:sz w:val="24"/>
        </w:rPr>
        <w:t>(an </w:t>
      </w:r>
      <w:r>
        <w:rPr>
          <w:b/>
          <w:sz w:val="24"/>
        </w:rPr>
        <w:t>annual </w:t>
      </w:r>
      <w:r>
        <w:rPr>
          <w:b/>
          <w:i/>
          <w:sz w:val="24"/>
        </w:rPr>
        <w:t>pricing proposal</w:t>
      </w:r>
      <w:r>
        <w:rPr>
          <w:sz w:val="24"/>
        </w:rPr>
        <w:t>) </w:t>
      </w:r>
      <w:r>
        <w:rPr>
          <w:spacing w:val="-5"/>
          <w:sz w:val="24"/>
        </w:rPr>
        <w:t>for  </w:t>
      </w:r>
      <w:r>
        <w:rPr>
          <w:sz w:val="24"/>
        </w:rPr>
        <w:t>the relevant </w:t>
      </w:r>
      <w:r>
        <w:rPr>
          <w:i/>
          <w:sz w:val="24"/>
        </w:rPr>
        <w:t>regulatory</w:t>
      </w:r>
      <w:r>
        <w:rPr>
          <w:i/>
          <w:spacing w:val="-2"/>
          <w:sz w:val="24"/>
        </w:rPr>
        <w:t> </w:t>
      </w:r>
      <w:r>
        <w:rPr>
          <w:i/>
          <w:sz w:val="24"/>
        </w:rPr>
        <w:t>year</w:t>
      </w:r>
      <w:r>
        <w:rPr>
          <w:sz w:val="24"/>
        </w:rPr>
        <w:t>.</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A </w:t>
      </w:r>
      <w:r>
        <w:rPr>
          <w:i/>
          <w:sz w:val="24"/>
        </w:rPr>
        <w:t>pricing proposal</w:t>
      </w:r>
      <w:r>
        <w:rPr>
          <w:i/>
          <w:spacing w:val="-1"/>
          <w:sz w:val="24"/>
        </w:rPr>
        <w:t> </w:t>
      </w:r>
      <w:r>
        <w:rPr>
          <w:sz w:val="24"/>
        </w:rPr>
        <w:t>must:</w:t>
      </w:r>
    </w:p>
    <w:p>
      <w:pPr>
        <w:pStyle w:val="Heading4"/>
        <w:numPr>
          <w:ilvl w:val="4"/>
          <w:numId w:val="451"/>
        </w:numPr>
        <w:tabs>
          <w:tab w:pos="2486" w:val="left" w:leader="none"/>
        </w:tabs>
        <w:spacing w:line="240" w:lineRule="auto" w:before="120" w:after="0"/>
        <w:ind w:left="2485" w:right="0" w:hanging="567"/>
        <w:jc w:val="both"/>
        <w:rPr>
          <w:rFonts w:ascii="Times New Roman"/>
          <w:b w:val="0"/>
        </w:rPr>
      </w:pPr>
      <w:r>
        <w:rPr>
          <w:rFonts w:ascii="Times New Roman"/>
        </w:rPr>
        <w:t>[Deleted]</w:t>
      </w:r>
      <w:r>
        <w:rPr>
          <w:rFonts w:ascii="Times New Roman"/>
          <w:b w:val="0"/>
        </w:rPr>
        <w:t>;</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set out the proposed tariffs for each </w:t>
      </w:r>
      <w:r>
        <w:rPr>
          <w:i/>
          <w:sz w:val="24"/>
        </w:rPr>
        <w:t>tariff class </w:t>
      </w:r>
      <w:r>
        <w:rPr>
          <w:sz w:val="24"/>
        </w:rPr>
        <w:t>that is specified in </w:t>
      </w:r>
      <w:r>
        <w:rPr>
          <w:spacing w:val="-5"/>
          <w:sz w:val="24"/>
        </w:rPr>
        <w:t>the </w:t>
      </w:r>
      <w:r>
        <w:rPr>
          <w:i/>
          <w:sz w:val="24"/>
        </w:rPr>
        <w:t>Distribution Network Service Provider's tariff structure statement </w:t>
      </w:r>
      <w:r>
        <w:rPr>
          <w:sz w:val="24"/>
        </w:rPr>
        <w:t>for the relevant </w:t>
      </w:r>
      <w:r>
        <w:rPr>
          <w:i/>
          <w:sz w:val="24"/>
        </w:rPr>
        <w:t>regulatory control</w:t>
      </w:r>
      <w:r>
        <w:rPr>
          <w:i/>
          <w:spacing w:val="-2"/>
          <w:sz w:val="24"/>
        </w:rPr>
        <w:t> </w:t>
      </w:r>
      <w:r>
        <w:rPr>
          <w:i/>
          <w:sz w:val="24"/>
        </w:rPr>
        <w:t>period</w:t>
      </w:r>
      <w:r>
        <w:rPr>
          <w:sz w:val="24"/>
        </w:rPr>
        <w:t>;</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set out, for each proposed tariff, the </w:t>
      </w:r>
      <w:r>
        <w:rPr>
          <w:i/>
          <w:sz w:val="24"/>
        </w:rPr>
        <w:t>charging parameters </w:t>
      </w:r>
      <w:r>
        <w:rPr>
          <w:sz w:val="24"/>
        </w:rPr>
        <w:t>and the elements of service to which each </w:t>
      </w:r>
      <w:r>
        <w:rPr>
          <w:i/>
          <w:sz w:val="24"/>
        </w:rPr>
        <w:t>charging parameter</w:t>
      </w:r>
      <w:r>
        <w:rPr>
          <w:i/>
          <w:spacing w:val="-6"/>
          <w:sz w:val="24"/>
        </w:rPr>
        <w:t> </w:t>
      </w:r>
      <w:r>
        <w:rPr>
          <w:sz w:val="24"/>
        </w:rPr>
        <w:t>relates;</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set out, for each </w:t>
      </w:r>
      <w:r>
        <w:rPr>
          <w:i/>
          <w:sz w:val="24"/>
        </w:rPr>
        <w:t>tariff class </w:t>
      </w:r>
      <w:r>
        <w:rPr>
          <w:sz w:val="24"/>
        </w:rPr>
        <w:t>related to </w:t>
      </w:r>
      <w:r>
        <w:rPr>
          <w:i/>
          <w:sz w:val="24"/>
        </w:rPr>
        <w:t>standard control services</w:t>
      </w:r>
      <w:r>
        <w:rPr>
          <w:sz w:val="24"/>
        </w:rPr>
        <w:t>, the expected weighted average revenue for the relevant </w:t>
      </w:r>
      <w:r>
        <w:rPr>
          <w:i/>
          <w:sz w:val="24"/>
        </w:rPr>
        <w:t>regulatory year </w:t>
      </w:r>
      <w:r>
        <w:rPr>
          <w:sz w:val="24"/>
        </w:rPr>
        <w:t>and also for the current </w:t>
      </w:r>
      <w:r>
        <w:rPr>
          <w:i/>
          <w:sz w:val="24"/>
        </w:rPr>
        <w:t>regulatory</w:t>
      </w:r>
      <w:r>
        <w:rPr>
          <w:i/>
          <w:spacing w:val="-3"/>
          <w:sz w:val="24"/>
        </w:rPr>
        <w:t> </w:t>
      </w:r>
      <w:r>
        <w:rPr>
          <w:i/>
          <w:sz w:val="24"/>
        </w:rPr>
        <w:t>year</w:t>
      </w:r>
      <w:r>
        <w:rPr>
          <w:sz w:val="24"/>
        </w:rPr>
        <w:t>;</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set out the nature of any variation or adjustment to the tariff that could occur during the course of the </w:t>
      </w:r>
      <w:r>
        <w:rPr>
          <w:i/>
          <w:sz w:val="24"/>
        </w:rPr>
        <w:t>regulatory year </w:t>
      </w:r>
      <w:r>
        <w:rPr>
          <w:sz w:val="24"/>
        </w:rPr>
        <w:t>and the basis on which it could</w:t>
      </w:r>
      <w:r>
        <w:rPr>
          <w:spacing w:val="-1"/>
          <w:sz w:val="24"/>
        </w:rPr>
        <w:t> </w:t>
      </w:r>
      <w:r>
        <w:rPr>
          <w:sz w:val="24"/>
        </w:rPr>
        <w:t>occur;</w:t>
      </w:r>
    </w:p>
    <w:p>
      <w:pPr>
        <w:pStyle w:val="ListParagraph"/>
        <w:numPr>
          <w:ilvl w:val="4"/>
          <w:numId w:val="451"/>
        </w:numPr>
        <w:tabs>
          <w:tab w:pos="2486" w:val="left" w:leader="none"/>
        </w:tabs>
        <w:spacing w:line="240" w:lineRule="auto" w:before="120" w:after="0"/>
        <w:ind w:left="2486" w:right="416" w:hanging="567"/>
        <w:jc w:val="both"/>
        <w:rPr>
          <w:sz w:val="24"/>
        </w:rPr>
      </w:pPr>
      <w:r>
        <w:rPr>
          <w:sz w:val="24"/>
        </w:rPr>
        <w:t>set out how </w:t>
      </w:r>
      <w:r>
        <w:rPr>
          <w:i/>
          <w:sz w:val="24"/>
        </w:rPr>
        <w:t>designated pricing proposal charges </w:t>
      </w:r>
      <w:r>
        <w:rPr>
          <w:sz w:val="24"/>
        </w:rPr>
        <w:t>are to be passed </w:t>
      </w:r>
      <w:r>
        <w:rPr>
          <w:spacing w:val="-6"/>
          <w:sz w:val="24"/>
        </w:rPr>
        <w:t>on  </w:t>
      </w:r>
      <w:r>
        <w:rPr>
          <w:sz w:val="24"/>
        </w:rPr>
        <w:t>to customers and any adjustments to tariffs resulting from over </w:t>
      </w:r>
      <w:r>
        <w:rPr>
          <w:spacing w:val="-7"/>
          <w:sz w:val="24"/>
        </w:rPr>
        <w:t>or </w:t>
      </w:r>
      <w:r>
        <w:rPr>
          <w:sz w:val="24"/>
        </w:rPr>
        <w:t>under recovery of those charges in the previous </w:t>
      </w:r>
      <w:r>
        <w:rPr>
          <w:i/>
          <w:sz w:val="24"/>
        </w:rPr>
        <w:t>regulatory</w:t>
      </w:r>
      <w:r>
        <w:rPr>
          <w:i/>
          <w:spacing w:val="-8"/>
          <w:sz w:val="24"/>
        </w:rPr>
        <w:t> </w:t>
      </w:r>
      <w:r>
        <w:rPr>
          <w:i/>
          <w:sz w:val="24"/>
        </w:rPr>
        <w:t>year</w:t>
      </w:r>
      <w:r>
        <w:rPr>
          <w:sz w:val="24"/>
        </w:rPr>
        <w:t>;</w:t>
      </w:r>
    </w:p>
    <w:p>
      <w:pPr>
        <w:spacing w:after="0" w:line="240" w:lineRule="auto"/>
        <w:jc w:val="both"/>
        <w:rPr>
          <w:sz w:val="24"/>
        </w:rPr>
        <w:sectPr>
          <w:pgSz w:w="11910" w:h="16840"/>
          <w:pgMar w:header="686" w:footer="637" w:top="1320" w:bottom="820" w:left="1200" w:right="1000"/>
        </w:sectPr>
      </w:pPr>
    </w:p>
    <w:p>
      <w:pPr>
        <w:spacing w:before="83"/>
        <w:ind w:left="2486" w:right="414" w:hanging="567"/>
        <w:jc w:val="both"/>
        <w:rPr>
          <w:sz w:val="24"/>
        </w:rPr>
      </w:pPr>
      <w:r>
        <w:rPr>
          <w:sz w:val="24"/>
        </w:rPr>
        <w:t>(6A) set out how </w:t>
      </w:r>
      <w:r>
        <w:rPr>
          <w:i/>
          <w:sz w:val="24"/>
        </w:rPr>
        <w:t>jurisdictional scheme amounts </w:t>
      </w:r>
      <w:r>
        <w:rPr>
          <w:sz w:val="24"/>
        </w:rPr>
        <w:t>for each </w:t>
      </w:r>
      <w:r>
        <w:rPr>
          <w:i/>
          <w:sz w:val="24"/>
        </w:rPr>
        <w:t>approved </w:t>
      </w:r>
      <w:r>
        <w:rPr>
          <w:i/>
          <w:sz w:val="24"/>
        </w:rPr>
        <w:t>jurisdictional scheme </w:t>
      </w:r>
      <w:r>
        <w:rPr>
          <w:sz w:val="24"/>
        </w:rPr>
        <w:t>are to be passed on to customers and any adjustments to tariffs resulting from over or under recovery of those amounts;</w:t>
      </w:r>
    </w:p>
    <w:p>
      <w:pPr>
        <w:spacing w:before="120"/>
        <w:ind w:left="2486" w:right="415" w:hanging="567"/>
        <w:jc w:val="both"/>
        <w:rPr>
          <w:sz w:val="24"/>
        </w:rPr>
      </w:pPr>
      <w:r>
        <w:rPr>
          <w:sz w:val="24"/>
        </w:rPr>
        <w:t>(6B) describe how each </w:t>
      </w:r>
      <w:r>
        <w:rPr>
          <w:i/>
          <w:sz w:val="24"/>
        </w:rPr>
        <w:t>approved jurisdictional scheme </w:t>
      </w:r>
      <w:r>
        <w:rPr>
          <w:sz w:val="24"/>
        </w:rPr>
        <w:t>that has been amended since the </w:t>
      </w:r>
      <w:r>
        <w:rPr>
          <w:i/>
          <w:sz w:val="24"/>
        </w:rPr>
        <w:t>last jurisdictional scheme approval date </w:t>
      </w:r>
      <w:r>
        <w:rPr>
          <w:sz w:val="24"/>
        </w:rPr>
        <w:t>meets the </w:t>
      </w:r>
      <w:r>
        <w:rPr>
          <w:i/>
          <w:sz w:val="24"/>
        </w:rPr>
        <w:t>jurisdictional scheme eligibility criteria</w:t>
      </w:r>
      <w:r>
        <w:rPr>
          <w:sz w:val="24"/>
        </w:rPr>
        <w:t>;</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demonstrate compliance with the </w:t>
      </w:r>
      <w:r>
        <w:rPr>
          <w:i/>
          <w:sz w:val="24"/>
        </w:rPr>
        <w:t>Rules </w:t>
      </w:r>
      <w:r>
        <w:rPr>
          <w:sz w:val="24"/>
        </w:rPr>
        <w:t>and any applicable distribution determination, including the </w:t>
      </w:r>
      <w:r>
        <w:rPr>
          <w:i/>
          <w:sz w:val="24"/>
        </w:rPr>
        <w:t>Distribution Network Service Provider's </w:t>
      </w:r>
      <w:r>
        <w:rPr>
          <w:i/>
          <w:sz w:val="24"/>
        </w:rPr>
        <w:t>tariff structure statement </w:t>
      </w:r>
      <w:r>
        <w:rPr>
          <w:sz w:val="24"/>
        </w:rPr>
        <w:t>for the relevant </w:t>
      </w:r>
      <w:r>
        <w:rPr>
          <w:i/>
          <w:sz w:val="24"/>
        </w:rPr>
        <w:t>regulatory control</w:t>
      </w:r>
      <w:r>
        <w:rPr>
          <w:i/>
          <w:spacing w:val="-14"/>
          <w:sz w:val="24"/>
        </w:rPr>
        <w:t> </w:t>
      </w:r>
      <w:r>
        <w:rPr>
          <w:i/>
          <w:sz w:val="24"/>
        </w:rPr>
        <w:t>period</w:t>
      </w:r>
      <w:r>
        <w:rPr>
          <w:sz w:val="24"/>
        </w:rPr>
        <w:t>;</w:t>
      </w:r>
    </w:p>
    <w:p>
      <w:pPr>
        <w:pStyle w:val="BodyText"/>
        <w:ind w:left="2486" w:right="415"/>
      </w:pPr>
      <w:r>
        <w:rPr/>
        <w:t>(7A) demonstrate how each proposed tariff is consistent with </w:t>
      </w:r>
      <w:r>
        <w:rPr>
          <w:spacing w:val="-4"/>
        </w:rPr>
        <w:t>the</w:t>
      </w:r>
      <w:r>
        <w:rPr>
          <w:spacing w:val="52"/>
        </w:rPr>
        <w:t> </w:t>
      </w:r>
      <w:r>
        <w:rPr/>
        <w:t>corresponding indicative pricing levels for the relevant </w:t>
      </w:r>
      <w:r>
        <w:rPr>
          <w:i/>
        </w:rPr>
        <w:t>regulatory </w:t>
      </w:r>
      <w:r>
        <w:rPr>
          <w:i/>
        </w:rPr>
        <w:t>year </w:t>
      </w:r>
      <w:r>
        <w:rPr/>
        <w:t>as set out in the relevant </w:t>
      </w:r>
      <w:r>
        <w:rPr>
          <w:i/>
        </w:rPr>
        <w:t>indicative pricing schedule</w:t>
      </w:r>
      <w:r>
        <w:rPr/>
        <w:t>, or explain any material differences between them;</w:t>
      </w:r>
      <w:r>
        <w:rPr>
          <w:spacing w:val="-1"/>
        </w:rPr>
        <w:t> </w:t>
      </w:r>
      <w:r>
        <w:rPr/>
        <w:t>and</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describe the nature and extent of change from the previous </w:t>
      </w:r>
      <w:r>
        <w:rPr>
          <w:i/>
          <w:sz w:val="24"/>
        </w:rPr>
        <w:t>regulatory </w:t>
      </w:r>
      <w:r>
        <w:rPr>
          <w:i/>
          <w:sz w:val="24"/>
        </w:rPr>
        <w:t>year </w:t>
      </w:r>
      <w:r>
        <w:rPr>
          <w:sz w:val="24"/>
        </w:rPr>
        <w:t>and demonstrate that the changes comply with the </w:t>
      </w:r>
      <w:r>
        <w:rPr>
          <w:i/>
          <w:sz w:val="24"/>
        </w:rPr>
        <w:t>Rules </w:t>
      </w:r>
      <w:r>
        <w:rPr>
          <w:sz w:val="24"/>
        </w:rPr>
        <w:t>and any applicable distribution</w:t>
      </w:r>
      <w:r>
        <w:rPr>
          <w:spacing w:val="-1"/>
          <w:sz w:val="24"/>
        </w:rPr>
        <w:t> </w:t>
      </w:r>
      <w:r>
        <w:rPr>
          <w:sz w:val="24"/>
        </w:rPr>
        <w:t>determination.</w:t>
      </w:r>
    </w:p>
    <w:p>
      <w:pPr>
        <w:pStyle w:val="ListParagraph"/>
        <w:numPr>
          <w:ilvl w:val="3"/>
          <w:numId w:val="451"/>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on receipt of a </w:t>
      </w:r>
      <w:r>
        <w:rPr>
          <w:i/>
          <w:sz w:val="24"/>
        </w:rPr>
        <w:t>pricing proposal </w:t>
      </w:r>
      <w:r>
        <w:rPr>
          <w:sz w:val="24"/>
        </w:rPr>
        <w:t>from a </w:t>
      </w:r>
      <w:r>
        <w:rPr>
          <w:i/>
          <w:sz w:val="24"/>
        </w:rPr>
        <w:t>Distribution Network </w:t>
      </w:r>
      <w:r>
        <w:rPr>
          <w:i/>
          <w:sz w:val="24"/>
        </w:rPr>
        <w:t>Service Provider publish </w:t>
      </w:r>
      <w:r>
        <w:rPr>
          <w:sz w:val="24"/>
        </w:rPr>
        <w:t>the</w:t>
      </w:r>
      <w:r>
        <w:rPr>
          <w:spacing w:val="-2"/>
          <w:sz w:val="24"/>
        </w:rPr>
        <w:t> </w:t>
      </w:r>
      <w:r>
        <w:rPr>
          <w:sz w:val="24"/>
        </w:rPr>
        <w:t>proposal.</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At the same time as a </w:t>
      </w:r>
      <w:r>
        <w:rPr>
          <w:i/>
          <w:sz w:val="24"/>
        </w:rPr>
        <w:t>Distribution Network Service Provider </w:t>
      </w:r>
      <w:r>
        <w:rPr>
          <w:sz w:val="24"/>
        </w:rPr>
        <w:t>submits a </w:t>
      </w:r>
      <w:r>
        <w:rPr>
          <w:i/>
          <w:sz w:val="24"/>
        </w:rPr>
        <w:t>pricing proposal </w:t>
      </w:r>
      <w:r>
        <w:rPr>
          <w:sz w:val="24"/>
        </w:rPr>
        <w:t>under paragraph (a), the </w:t>
      </w:r>
      <w:r>
        <w:rPr>
          <w:i/>
          <w:sz w:val="24"/>
        </w:rPr>
        <w:t>Distribution Network Service </w:t>
      </w:r>
      <w:r>
        <w:rPr>
          <w:i/>
          <w:sz w:val="24"/>
        </w:rPr>
        <w:t>Provider </w:t>
      </w:r>
      <w:r>
        <w:rPr>
          <w:sz w:val="24"/>
        </w:rPr>
        <w:t>must submit to the </w:t>
      </w:r>
      <w:r>
        <w:rPr>
          <w:i/>
          <w:sz w:val="24"/>
        </w:rPr>
        <w:t>AER </w:t>
      </w:r>
      <w:r>
        <w:rPr>
          <w:sz w:val="24"/>
        </w:rPr>
        <w:t>a revised </w:t>
      </w:r>
      <w:r>
        <w:rPr>
          <w:i/>
          <w:sz w:val="24"/>
        </w:rPr>
        <w:t>indicative pricing schedule </w:t>
      </w:r>
      <w:r>
        <w:rPr>
          <w:sz w:val="24"/>
        </w:rPr>
        <w:t>which sets out, for each tariff and for each of the remaining </w:t>
      </w:r>
      <w:r>
        <w:rPr>
          <w:i/>
          <w:sz w:val="24"/>
        </w:rPr>
        <w:t>regulatory years </w:t>
      </w:r>
      <w:r>
        <w:rPr>
          <w:sz w:val="24"/>
        </w:rPr>
        <w:t>of the </w:t>
      </w:r>
      <w:r>
        <w:rPr>
          <w:i/>
          <w:sz w:val="24"/>
        </w:rPr>
        <w:t>regulatory control period</w:t>
      </w:r>
      <w:r>
        <w:rPr>
          <w:sz w:val="24"/>
        </w:rPr>
        <w:t>, the indicative price levels determined in accordance with the </w:t>
      </w:r>
      <w:r>
        <w:rPr>
          <w:i/>
          <w:sz w:val="24"/>
        </w:rPr>
        <w:t>Distribution Network Service Provider's tariff structure </w:t>
      </w:r>
      <w:r>
        <w:rPr>
          <w:i/>
          <w:sz w:val="24"/>
        </w:rPr>
        <w:t>statement </w:t>
      </w:r>
      <w:r>
        <w:rPr>
          <w:sz w:val="24"/>
        </w:rPr>
        <w:t>for that </w:t>
      </w:r>
      <w:r>
        <w:rPr>
          <w:i/>
          <w:sz w:val="24"/>
        </w:rPr>
        <w:t>regulatory control period </w:t>
      </w:r>
      <w:r>
        <w:rPr>
          <w:sz w:val="24"/>
        </w:rPr>
        <w:t>and updated so as to take into account that </w:t>
      </w:r>
      <w:r>
        <w:rPr>
          <w:i/>
          <w:sz w:val="24"/>
        </w:rPr>
        <w:t>pricing</w:t>
      </w:r>
      <w:r>
        <w:rPr>
          <w:i/>
          <w:spacing w:val="-1"/>
          <w:sz w:val="24"/>
        </w:rPr>
        <w:t> </w:t>
      </w:r>
      <w:r>
        <w:rPr>
          <w:i/>
          <w:sz w:val="24"/>
        </w:rPr>
        <w:t>proposal</w:t>
      </w:r>
      <w:r>
        <w:rPr>
          <w:sz w:val="24"/>
        </w:rPr>
        <w:t>.</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Where the </w:t>
      </w:r>
      <w:r>
        <w:rPr>
          <w:i/>
          <w:sz w:val="24"/>
        </w:rPr>
        <w:t>Distribution Network Service Provide</w:t>
      </w:r>
      <w:r>
        <w:rPr>
          <w:sz w:val="24"/>
        </w:rPr>
        <w:t>r submits an annual </w:t>
      </w:r>
      <w:r>
        <w:rPr>
          <w:i/>
          <w:sz w:val="24"/>
        </w:rPr>
        <w:t>pricing </w:t>
      </w:r>
      <w:r>
        <w:rPr>
          <w:i/>
          <w:sz w:val="24"/>
        </w:rPr>
        <w:t>proposal</w:t>
      </w:r>
      <w:r>
        <w:rPr>
          <w:sz w:val="24"/>
        </w:rPr>
        <w:t>, the revised </w:t>
      </w:r>
      <w:r>
        <w:rPr>
          <w:i/>
          <w:sz w:val="24"/>
        </w:rPr>
        <w:t>indicative pricing schedule </w:t>
      </w:r>
      <w:r>
        <w:rPr>
          <w:sz w:val="24"/>
        </w:rPr>
        <w:t>referred to in paragraph (d) must also set out, for each relevant tariff under clause 6.18.1C, </w:t>
      </w:r>
      <w:r>
        <w:rPr>
          <w:spacing w:val="-4"/>
          <w:sz w:val="24"/>
        </w:rPr>
        <w:t>the</w:t>
      </w:r>
      <w:r>
        <w:rPr>
          <w:spacing w:val="52"/>
          <w:sz w:val="24"/>
        </w:rPr>
        <w:t> </w:t>
      </w:r>
      <w:r>
        <w:rPr>
          <w:sz w:val="24"/>
        </w:rPr>
        <w:t>indicative price levels for that relevant tariff for each of the</w:t>
      </w:r>
      <w:r>
        <w:rPr>
          <w:spacing w:val="31"/>
          <w:sz w:val="24"/>
        </w:rPr>
        <w:t> </w:t>
      </w:r>
      <w:r>
        <w:rPr>
          <w:sz w:val="24"/>
        </w:rPr>
        <w:t>remaining </w:t>
      </w:r>
      <w:r>
        <w:rPr>
          <w:i/>
          <w:sz w:val="24"/>
        </w:rPr>
        <w:t>regulatory years </w:t>
      </w:r>
      <w:r>
        <w:rPr>
          <w:sz w:val="24"/>
        </w:rPr>
        <w:t>of the </w:t>
      </w:r>
      <w:r>
        <w:rPr>
          <w:i/>
          <w:sz w:val="24"/>
        </w:rPr>
        <w:t>regulatory control period</w:t>
      </w:r>
      <w:r>
        <w:rPr>
          <w:sz w:val="24"/>
        </w:rPr>
        <w:t>, updated so as to take into account that </w:t>
      </w:r>
      <w:r>
        <w:rPr>
          <w:i/>
          <w:sz w:val="24"/>
        </w:rPr>
        <w:t>pricing</w:t>
      </w:r>
      <w:r>
        <w:rPr>
          <w:i/>
          <w:spacing w:val="-1"/>
          <w:sz w:val="24"/>
        </w:rPr>
        <w:t> </w:t>
      </w:r>
      <w:r>
        <w:rPr>
          <w:i/>
          <w:sz w:val="24"/>
        </w:rPr>
        <w:t>proposal</w:t>
      </w:r>
      <w:r>
        <w:rPr>
          <w:sz w:val="24"/>
        </w:rPr>
        <w:t>.</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1" w:right="0" w:hanging="1134"/>
        <w:jc w:val="left"/>
      </w:pPr>
      <w:bookmarkStart w:name="6.18.3 Tariff classes" w:id="1563"/>
      <w:bookmarkEnd w:id="1563"/>
      <w:r>
        <w:rPr>
          <w:b w:val="0"/>
        </w:rPr>
      </w:r>
      <w:bookmarkStart w:name="_bookmark624" w:id="1564"/>
      <w:bookmarkEnd w:id="1564"/>
      <w:r>
        <w:rPr>
          <w:b w:val="0"/>
        </w:rPr>
      </w:r>
      <w:bookmarkStart w:name="_bookmark624" w:id="1565"/>
      <w:bookmarkEnd w:id="1565"/>
      <w:r>
        <w:rPr/>
        <w:t>Tariff</w:t>
      </w:r>
      <w:r>
        <w:rPr>
          <w:spacing w:val="-1"/>
        </w:rPr>
        <w:t> </w:t>
      </w:r>
      <w:r>
        <w:rPr/>
        <w:t>classes</w:t>
      </w:r>
    </w:p>
    <w:p>
      <w:pPr>
        <w:pStyle w:val="ListParagraph"/>
        <w:numPr>
          <w:ilvl w:val="3"/>
          <w:numId w:val="451"/>
        </w:numPr>
        <w:tabs>
          <w:tab w:pos="1919" w:val="left" w:leader="none"/>
        </w:tabs>
        <w:spacing w:line="240" w:lineRule="auto" w:before="120" w:after="0"/>
        <w:ind w:left="1918" w:right="0" w:hanging="567"/>
        <w:jc w:val="both"/>
        <w:rPr>
          <w:sz w:val="24"/>
        </w:rPr>
      </w:pPr>
      <w:r>
        <w:rPr>
          <w:b/>
          <w:sz w:val="24"/>
        </w:rPr>
        <w:t>[Deleted]</w:t>
      </w:r>
      <w:r>
        <w:rPr>
          <w:sz w:val="24"/>
        </w:rPr>
        <w:t>.</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Each </w:t>
      </w:r>
      <w:r>
        <w:rPr>
          <w:i/>
          <w:sz w:val="24"/>
        </w:rPr>
        <w:t>retail customer </w:t>
      </w:r>
      <w:r>
        <w:rPr>
          <w:sz w:val="24"/>
        </w:rPr>
        <w:t>for </w:t>
      </w:r>
      <w:r>
        <w:rPr>
          <w:i/>
          <w:sz w:val="24"/>
        </w:rPr>
        <w:t>direct control services </w:t>
      </w:r>
      <w:r>
        <w:rPr>
          <w:sz w:val="24"/>
        </w:rPr>
        <w:t>must be a member of 1 or more </w:t>
      </w:r>
      <w:r>
        <w:rPr>
          <w:i/>
          <w:sz w:val="24"/>
        </w:rPr>
        <w:t>tariff</w:t>
      </w:r>
      <w:r>
        <w:rPr>
          <w:i/>
          <w:spacing w:val="-1"/>
          <w:sz w:val="24"/>
        </w:rPr>
        <w:t> </w:t>
      </w:r>
      <w:r>
        <w:rPr>
          <w:i/>
          <w:sz w:val="24"/>
        </w:rPr>
        <w:t>classes</w:t>
      </w:r>
      <w:r>
        <w:rPr>
          <w:sz w:val="24"/>
        </w:rPr>
        <w:t>.</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Separate </w:t>
      </w:r>
      <w:r>
        <w:rPr>
          <w:i/>
          <w:sz w:val="24"/>
        </w:rPr>
        <w:t>tariff classes </w:t>
      </w:r>
      <w:r>
        <w:rPr>
          <w:sz w:val="24"/>
        </w:rPr>
        <w:t>must be constituted for </w:t>
      </w:r>
      <w:r>
        <w:rPr>
          <w:i/>
          <w:sz w:val="24"/>
        </w:rPr>
        <w:t>retail customers </w:t>
      </w:r>
      <w:r>
        <w:rPr>
          <w:sz w:val="24"/>
        </w:rPr>
        <w:t>to whom </w:t>
      </w:r>
      <w:r>
        <w:rPr>
          <w:i/>
          <w:sz w:val="24"/>
        </w:rPr>
        <w:t>standard control services </w:t>
      </w:r>
      <w:r>
        <w:rPr>
          <w:sz w:val="24"/>
        </w:rPr>
        <w:t>are supplied and </w:t>
      </w:r>
      <w:r>
        <w:rPr>
          <w:i/>
          <w:sz w:val="24"/>
        </w:rPr>
        <w:t>retail customers </w:t>
      </w:r>
      <w:r>
        <w:rPr>
          <w:sz w:val="24"/>
        </w:rPr>
        <w:t>to whom </w:t>
      </w:r>
      <w:r>
        <w:rPr>
          <w:i/>
          <w:sz w:val="24"/>
        </w:rPr>
        <w:t>alternative control services </w:t>
      </w:r>
      <w:r>
        <w:rPr>
          <w:sz w:val="24"/>
        </w:rPr>
        <w:t>are supplied (but a </w:t>
      </w:r>
      <w:r>
        <w:rPr>
          <w:i/>
          <w:sz w:val="24"/>
        </w:rPr>
        <w:t>retail customer </w:t>
      </w:r>
      <w:r>
        <w:rPr>
          <w:sz w:val="24"/>
        </w:rPr>
        <w:t>for both </w:t>
      </w:r>
      <w:r>
        <w:rPr>
          <w:i/>
          <w:sz w:val="24"/>
        </w:rPr>
        <w:t>standard control services </w:t>
      </w:r>
      <w:r>
        <w:rPr>
          <w:sz w:val="24"/>
        </w:rPr>
        <w:t>and </w:t>
      </w:r>
      <w:r>
        <w:rPr>
          <w:i/>
          <w:sz w:val="24"/>
        </w:rPr>
        <w:t>alternative control services </w:t>
      </w:r>
      <w:r>
        <w:rPr>
          <w:sz w:val="24"/>
        </w:rPr>
        <w:t>may be a member of 2 or more </w:t>
      </w:r>
      <w:r>
        <w:rPr>
          <w:i/>
          <w:sz w:val="24"/>
        </w:rPr>
        <w:t>tariff</w:t>
      </w:r>
      <w:r>
        <w:rPr>
          <w:i/>
          <w:spacing w:val="-1"/>
          <w:sz w:val="24"/>
        </w:rPr>
        <w:t> </w:t>
      </w:r>
      <w:r>
        <w:rPr>
          <w:i/>
          <w:sz w:val="24"/>
        </w:rPr>
        <w:t>classes</w:t>
      </w:r>
      <w:r>
        <w:rPr>
          <w:sz w:val="24"/>
        </w:rPr>
        <w:t>).</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A </w:t>
      </w:r>
      <w:r>
        <w:rPr>
          <w:i/>
          <w:sz w:val="24"/>
        </w:rPr>
        <w:t>tariff class </w:t>
      </w:r>
      <w:r>
        <w:rPr>
          <w:sz w:val="24"/>
        </w:rPr>
        <w:t>must be constituted with regard</w:t>
      </w:r>
      <w:r>
        <w:rPr>
          <w:spacing w:val="-2"/>
          <w:sz w:val="24"/>
        </w:rPr>
        <w:t> </w:t>
      </w:r>
      <w:r>
        <w:rPr>
          <w:sz w:val="24"/>
        </w:rPr>
        <w:t>to:</w:t>
      </w:r>
    </w:p>
    <w:p>
      <w:pPr>
        <w:spacing w:after="0" w:line="240" w:lineRule="auto"/>
        <w:jc w:val="both"/>
        <w:rPr>
          <w:sz w:val="24"/>
        </w:rPr>
        <w:sectPr>
          <w:pgSz w:w="11910" w:h="16840"/>
          <w:pgMar w:header="686" w:footer="637" w:top="1320" w:bottom="820" w:left="1200" w:right="1000"/>
        </w:sectPr>
      </w:pPr>
    </w:p>
    <w:p>
      <w:pPr>
        <w:pStyle w:val="ListParagraph"/>
        <w:numPr>
          <w:ilvl w:val="4"/>
          <w:numId w:val="451"/>
        </w:numPr>
        <w:tabs>
          <w:tab w:pos="2486" w:val="left" w:leader="none"/>
        </w:tabs>
        <w:spacing w:line="240" w:lineRule="auto" w:before="83" w:after="0"/>
        <w:ind w:left="2486" w:right="414" w:hanging="567"/>
        <w:jc w:val="both"/>
        <w:rPr>
          <w:sz w:val="24"/>
        </w:rPr>
      </w:pPr>
      <w:r>
        <w:rPr>
          <w:sz w:val="24"/>
        </w:rPr>
        <w:t>the need to group </w:t>
      </w:r>
      <w:r>
        <w:rPr>
          <w:i/>
          <w:sz w:val="24"/>
        </w:rPr>
        <w:t>retail customers </w:t>
      </w:r>
      <w:r>
        <w:rPr>
          <w:sz w:val="24"/>
        </w:rPr>
        <w:t>together on an economically efficient basis;</w:t>
      </w:r>
      <w:r>
        <w:rPr>
          <w:spacing w:val="-1"/>
          <w:sz w:val="24"/>
        </w:rPr>
        <w:t> </w:t>
      </w:r>
      <w:r>
        <w:rPr>
          <w:sz w:val="24"/>
        </w:rPr>
        <w:t>and</w:t>
      </w:r>
    </w:p>
    <w:p>
      <w:pPr>
        <w:pStyle w:val="ListParagraph"/>
        <w:numPr>
          <w:ilvl w:val="4"/>
          <w:numId w:val="451"/>
        </w:numPr>
        <w:tabs>
          <w:tab w:pos="2485" w:val="left" w:leader="none"/>
          <w:tab w:pos="2486" w:val="left" w:leader="none"/>
        </w:tabs>
        <w:spacing w:line="240" w:lineRule="auto" w:before="120" w:after="0"/>
        <w:ind w:left="2485" w:right="0" w:hanging="567"/>
        <w:jc w:val="left"/>
        <w:rPr>
          <w:sz w:val="24"/>
        </w:rPr>
      </w:pPr>
      <w:r>
        <w:rPr>
          <w:sz w:val="24"/>
        </w:rPr>
        <w:t>the need to avoid unnecessary transaction</w:t>
      </w:r>
      <w:r>
        <w:rPr>
          <w:spacing w:val="-1"/>
          <w:sz w:val="24"/>
        </w:rPr>
        <w:t> </w:t>
      </w:r>
      <w:r>
        <w:rPr>
          <w:sz w:val="24"/>
        </w:rPr>
        <w:t>costs.</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2" w:right="803" w:hanging="1134"/>
        <w:jc w:val="left"/>
      </w:pPr>
      <w:bookmarkStart w:name="6.18.4 Principles governing assignment o" w:id="1566"/>
      <w:bookmarkEnd w:id="1566"/>
      <w:r>
        <w:rPr>
          <w:b w:val="0"/>
        </w:rPr>
      </w:r>
      <w:bookmarkStart w:name="_bookmark625" w:id="1567"/>
      <w:bookmarkEnd w:id="1567"/>
      <w:r>
        <w:rPr>
          <w:b w:val="0"/>
        </w:rPr>
      </w:r>
      <w:bookmarkStart w:name="_bookmark625" w:id="1568"/>
      <w:bookmarkEnd w:id="1568"/>
      <w:r>
        <w:rPr/>
        <w:t>Princip</w:t>
      </w:r>
      <w:r>
        <w:rPr/>
        <w:t>les governing assignment or re-assignment of retail customers to tariff classes and assessment and review of basis of charging</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In formulating provisions of a distribution determination governing the assignment of </w:t>
      </w:r>
      <w:r>
        <w:rPr>
          <w:i/>
          <w:sz w:val="24"/>
        </w:rPr>
        <w:t>retail customers </w:t>
      </w:r>
      <w:r>
        <w:rPr>
          <w:sz w:val="24"/>
        </w:rPr>
        <w:t>to </w:t>
      </w:r>
      <w:r>
        <w:rPr>
          <w:i/>
          <w:sz w:val="24"/>
        </w:rPr>
        <w:t>tariff classes </w:t>
      </w:r>
      <w:r>
        <w:rPr>
          <w:sz w:val="24"/>
        </w:rPr>
        <w:t>or the re-assignment of </w:t>
      </w:r>
      <w:r>
        <w:rPr>
          <w:i/>
          <w:sz w:val="24"/>
        </w:rPr>
        <w:t>retail </w:t>
      </w:r>
      <w:r>
        <w:rPr>
          <w:i/>
          <w:sz w:val="24"/>
        </w:rPr>
        <w:t>customers </w:t>
      </w:r>
      <w:r>
        <w:rPr>
          <w:sz w:val="24"/>
        </w:rPr>
        <w:t>from one </w:t>
      </w:r>
      <w:r>
        <w:rPr>
          <w:i/>
          <w:sz w:val="24"/>
        </w:rPr>
        <w:t>tariff class </w:t>
      </w:r>
      <w:r>
        <w:rPr>
          <w:sz w:val="24"/>
        </w:rPr>
        <w:t>to another, the </w:t>
      </w:r>
      <w:r>
        <w:rPr>
          <w:i/>
          <w:sz w:val="24"/>
        </w:rPr>
        <w:t>AER </w:t>
      </w:r>
      <w:r>
        <w:rPr>
          <w:sz w:val="24"/>
        </w:rPr>
        <w:t>must have regard to </w:t>
      </w:r>
      <w:r>
        <w:rPr>
          <w:spacing w:val="-5"/>
          <w:sz w:val="24"/>
        </w:rPr>
        <w:t>the </w:t>
      </w:r>
      <w:r>
        <w:rPr>
          <w:sz w:val="24"/>
        </w:rPr>
        <w:t>following</w:t>
      </w:r>
      <w:r>
        <w:rPr>
          <w:spacing w:val="-1"/>
          <w:sz w:val="24"/>
        </w:rPr>
        <w:t> </w:t>
      </w:r>
      <w:r>
        <w:rPr>
          <w:sz w:val="24"/>
        </w:rPr>
        <w:t>principles:</w:t>
      </w:r>
    </w:p>
    <w:p>
      <w:pPr>
        <w:pStyle w:val="ListParagraph"/>
        <w:numPr>
          <w:ilvl w:val="4"/>
          <w:numId w:val="451"/>
        </w:numPr>
        <w:tabs>
          <w:tab w:pos="2486" w:val="left" w:leader="none"/>
        </w:tabs>
        <w:spacing w:line="240" w:lineRule="auto" w:before="120" w:after="0"/>
        <w:ind w:left="2486" w:right="414" w:hanging="567"/>
        <w:jc w:val="both"/>
        <w:rPr>
          <w:sz w:val="24"/>
        </w:rPr>
      </w:pPr>
      <w:r>
        <w:rPr>
          <w:i/>
          <w:sz w:val="24"/>
        </w:rPr>
        <w:t>retail customers </w:t>
      </w:r>
      <w:r>
        <w:rPr>
          <w:sz w:val="24"/>
        </w:rPr>
        <w:t>should be assigned to </w:t>
      </w:r>
      <w:r>
        <w:rPr>
          <w:i/>
          <w:sz w:val="24"/>
        </w:rPr>
        <w:t>tariff classes </w:t>
      </w:r>
      <w:r>
        <w:rPr>
          <w:sz w:val="24"/>
        </w:rPr>
        <w:t>on the basis of one or more of the following</w:t>
      </w:r>
      <w:r>
        <w:rPr>
          <w:spacing w:val="-2"/>
          <w:sz w:val="24"/>
        </w:rPr>
        <w:t> </w:t>
      </w:r>
      <w:r>
        <w:rPr>
          <w:sz w:val="24"/>
        </w:rPr>
        <w:t>factors:</w:t>
      </w:r>
    </w:p>
    <w:p>
      <w:pPr>
        <w:pStyle w:val="ListParagraph"/>
        <w:numPr>
          <w:ilvl w:val="5"/>
          <w:numId w:val="451"/>
        </w:numPr>
        <w:tabs>
          <w:tab w:pos="3053" w:val="left" w:leader="none"/>
        </w:tabs>
        <w:spacing w:line="240" w:lineRule="auto" w:before="120" w:after="0"/>
        <w:ind w:left="3052" w:right="0" w:hanging="567"/>
        <w:jc w:val="both"/>
        <w:rPr>
          <w:sz w:val="24"/>
        </w:rPr>
      </w:pPr>
      <w:r>
        <w:rPr>
          <w:sz w:val="24"/>
        </w:rPr>
        <w:t>the nature and extent of their</w:t>
      </w:r>
      <w:r>
        <w:rPr>
          <w:spacing w:val="-2"/>
          <w:sz w:val="24"/>
        </w:rPr>
        <w:t> </w:t>
      </w:r>
      <w:r>
        <w:rPr>
          <w:sz w:val="24"/>
        </w:rPr>
        <w:t>usage;</w:t>
      </w:r>
    </w:p>
    <w:p>
      <w:pPr>
        <w:pStyle w:val="ListParagraph"/>
        <w:numPr>
          <w:ilvl w:val="5"/>
          <w:numId w:val="451"/>
        </w:numPr>
        <w:tabs>
          <w:tab w:pos="3054" w:val="left" w:leader="none"/>
        </w:tabs>
        <w:spacing w:line="240" w:lineRule="auto" w:before="120" w:after="0"/>
        <w:ind w:left="3053" w:right="0" w:hanging="568"/>
        <w:jc w:val="both"/>
        <w:rPr>
          <w:sz w:val="24"/>
        </w:rPr>
      </w:pPr>
      <w:r>
        <w:rPr>
          <w:sz w:val="24"/>
        </w:rPr>
        <w:t>the nature of their </w:t>
      </w:r>
      <w:r>
        <w:rPr>
          <w:i/>
          <w:sz w:val="24"/>
        </w:rPr>
        <w:t>connection </w:t>
      </w:r>
      <w:r>
        <w:rPr>
          <w:sz w:val="24"/>
        </w:rPr>
        <w:t>to the</w:t>
      </w:r>
      <w:r>
        <w:rPr>
          <w:spacing w:val="-1"/>
          <w:sz w:val="24"/>
        </w:rPr>
        <w:t> </w:t>
      </w:r>
      <w:r>
        <w:rPr>
          <w:i/>
          <w:sz w:val="24"/>
        </w:rPr>
        <w:t>network</w:t>
      </w:r>
      <w:r>
        <w:rPr>
          <w:sz w:val="24"/>
        </w:rPr>
        <w:t>;</w:t>
      </w:r>
    </w:p>
    <w:p>
      <w:pPr>
        <w:pStyle w:val="ListParagraph"/>
        <w:numPr>
          <w:ilvl w:val="5"/>
          <w:numId w:val="451"/>
        </w:numPr>
        <w:tabs>
          <w:tab w:pos="3053" w:val="left" w:leader="none"/>
        </w:tabs>
        <w:spacing w:line="240" w:lineRule="auto" w:before="120" w:after="0"/>
        <w:ind w:left="3053" w:right="415" w:hanging="567"/>
        <w:jc w:val="both"/>
        <w:rPr>
          <w:sz w:val="24"/>
        </w:rPr>
      </w:pPr>
      <w:r>
        <w:rPr>
          <w:sz w:val="24"/>
        </w:rPr>
        <w:t>whether remotely-read interval metering or other similar metering technology has been installed at the </w:t>
      </w:r>
      <w:r>
        <w:rPr>
          <w:i/>
          <w:sz w:val="24"/>
        </w:rPr>
        <w:t>retail customer's </w:t>
      </w:r>
      <w:r>
        <w:rPr>
          <w:sz w:val="24"/>
        </w:rPr>
        <w:t>premises as a result of a </w:t>
      </w:r>
      <w:r>
        <w:rPr>
          <w:i/>
          <w:sz w:val="24"/>
        </w:rPr>
        <w:t>regulatory obligation or</w:t>
      </w:r>
      <w:r>
        <w:rPr>
          <w:i/>
          <w:spacing w:val="-18"/>
          <w:sz w:val="24"/>
        </w:rPr>
        <w:t> </w:t>
      </w:r>
      <w:r>
        <w:rPr>
          <w:i/>
          <w:sz w:val="24"/>
        </w:rPr>
        <w:t>requirement</w:t>
      </w:r>
      <w:r>
        <w:rPr>
          <w:sz w:val="24"/>
        </w:rPr>
        <w:t>;</w:t>
      </w:r>
    </w:p>
    <w:p>
      <w:pPr>
        <w:pStyle w:val="ListParagraph"/>
        <w:numPr>
          <w:ilvl w:val="4"/>
          <w:numId w:val="451"/>
        </w:numPr>
        <w:tabs>
          <w:tab w:pos="2486" w:val="left" w:leader="none"/>
        </w:tabs>
        <w:spacing w:line="240" w:lineRule="auto" w:before="120" w:after="0"/>
        <w:ind w:left="2486" w:right="416" w:hanging="567"/>
        <w:jc w:val="both"/>
        <w:rPr>
          <w:sz w:val="24"/>
        </w:rPr>
      </w:pPr>
      <w:r>
        <w:rPr>
          <w:i/>
          <w:sz w:val="24"/>
        </w:rPr>
        <w:t>retail customers </w:t>
      </w:r>
      <w:r>
        <w:rPr>
          <w:sz w:val="24"/>
        </w:rPr>
        <w:t>with a similar </w:t>
      </w:r>
      <w:r>
        <w:rPr>
          <w:i/>
          <w:sz w:val="24"/>
        </w:rPr>
        <w:t>connection </w:t>
      </w:r>
      <w:r>
        <w:rPr>
          <w:sz w:val="24"/>
        </w:rPr>
        <w:t>and usage profile should be treated on an equal</w:t>
      </w:r>
      <w:r>
        <w:rPr>
          <w:spacing w:val="-1"/>
          <w:sz w:val="24"/>
        </w:rPr>
        <w:t> </w:t>
      </w:r>
      <w:r>
        <w:rPr>
          <w:sz w:val="24"/>
        </w:rPr>
        <w:t>basis;</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however, </w:t>
      </w:r>
      <w:r>
        <w:rPr>
          <w:i/>
          <w:sz w:val="24"/>
        </w:rPr>
        <w:t>retail customers </w:t>
      </w:r>
      <w:r>
        <w:rPr>
          <w:sz w:val="24"/>
        </w:rPr>
        <w:t>with micro-generation facilities should be treated no less favourably than </w:t>
      </w:r>
      <w:r>
        <w:rPr>
          <w:i/>
          <w:sz w:val="24"/>
        </w:rPr>
        <w:t>retail customers </w:t>
      </w:r>
      <w:r>
        <w:rPr>
          <w:sz w:val="24"/>
        </w:rPr>
        <w:t>without such facilities but with a similar load</w:t>
      </w:r>
      <w:r>
        <w:rPr>
          <w:spacing w:val="-2"/>
          <w:sz w:val="24"/>
        </w:rPr>
        <w:t> </w:t>
      </w:r>
      <w:r>
        <w:rPr>
          <w:sz w:val="24"/>
        </w:rPr>
        <w:t>profile;</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a </w:t>
      </w:r>
      <w:r>
        <w:rPr>
          <w:i/>
          <w:sz w:val="24"/>
        </w:rPr>
        <w:t>Distribution Network Service Provider's </w:t>
      </w:r>
      <w:r>
        <w:rPr>
          <w:sz w:val="24"/>
        </w:rPr>
        <w:t>decision to assign a customer to a particular </w:t>
      </w:r>
      <w:r>
        <w:rPr>
          <w:i/>
          <w:sz w:val="24"/>
        </w:rPr>
        <w:t>tariff class</w:t>
      </w:r>
      <w:r>
        <w:rPr>
          <w:sz w:val="24"/>
        </w:rPr>
        <w:t>, or to re-assign a customer from one </w:t>
      </w:r>
      <w:r>
        <w:rPr>
          <w:i/>
          <w:sz w:val="24"/>
        </w:rPr>
        <w:t>tariff class </w:t>
      </w:r>
      <w:r>
        <w:rPr>
          <w:sz w:val="24"/>
        </w:rPr>
        <w:t>to another should be subject to an effective system of assessment and</w:t>
      </w:r>
      <w:r>
        <w:rPr>
          <w:spacing w:val="-1"/>
          <w:sz w:val="24"/>
        </w:rPr>
        <w:t> </w:t>
      </w:r>
      <w:r>
        <w:rPr>
          <w:sz w:val="24"/>
        </w:rPr>
        <w:t>review.</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If (for example) a customer is assigned (or reassigned) to a </w:t>
      </w:r>
      <w:r>
        <w:rPr>
          <w:i/>
          <w:sz w:val="20"/>
        </w:rPr>
        <w:t>tariff class </w:t>
      </w:r>
      <w:r>
        <w:rPr>
          <w:sz w:val="20"/>
        </w:rPr>
        <w:t>on the basis of </w:t>
      </w:r>
      <w:r>
        <w:rPr>
          <w:spacing w:val="-4"/>
          <w:sz w:val="20"/>
        </w:rPr>
        <w:t>the </w:t>
      </w:r>
      <w:r>
        <w:rPr>
          <w:sz w:val="20"/>
        </w:rPr>
        <w:t>customer's actual or assumed </w:t>
      </w:r>
      <w:r>
        <w:rPr>
          <w:i/>
          <w:sz w:val="20"/>
        </w:rPr>
        <w:t>maximum demand</w:t>
      </w:r>
      <w:r>
        <w:rPr>
          <w:sz w:val="20"/>
        </w:rPr>
        <w:t>, the system of assessment and review should allow for the reassignment of a customer who demonstrates a reduction or increase in </w:t>
      </w:r>
      <w:r>
        <w:rPr>
          <w:i/>
          <w:sz w:val="20"/>
        </w:rPr>
        <w:t>maximum demand </w:t>
      </w:r>
      <w:r>
        <w:rPr>
          <w:sz w:val="20"/>
        </w:rPr>
        <w:t>to a </w:t>
      </w:r>
      <w:r>
        <w:rPr>
          <w:i/>
          <w:sz w:val="20"/>
        </w:rPr>
        <w:t>tariff class </w:t>
      </w:r>
      <w:r>
        <w:rPr>
          <w:sz w:val="20"/>
        </w:rPr>
        <w:t>that is more appropriate to the customer's </w:t>
      </w:r>
      <w:r>
        <w:rPr>
          <w:i/>
          <w:sz w:val="20"/>
        </w:rPr>
        <w:t>load</w:t>
      </w:r>
      <w:r>
        <w:rPr>
          <w:i/>
          <w:spacing w:val="-12"/>
          <w:sz w:val="20"/>
        </w:rPr>
        <w:t> </w:t>
      </w:r>
      <w:r>
        <w:rPr>
          <w:sz w:val="20"/>
        </w:rPr>
        <w:t>profile.</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If the </w:t>
      </w:r>
      <w:r>
        <w:rPr>
          <w:i/>
          <w:sz w:val="24"/>
        </w:rPr>
        <w:t>charging parameters </w:t>
      </w:r>
      <w:r>
        <w:rPr>
          <w:sz w:val="24"/>
        </w:rPr>
        <w:t>for a particular tariff result in a basis of charge that varies according to the usage or load profile of the customer, a distribution determination must contain provisions for an effective system of assessment and review of the basis on which a customer is</w:t>
      </w:r>
      <w:r>
        <w:rPr>
          <w:spacing w:val="-4"/>
          <w:sz w:val="24"/>
        </w:rPr>
        <w:t> </w:t>
      </w:r>
      <w:r>
        <w:rPr>
          <w:sz w:val="24"/>
        </w:rPr>
        <w:t>charged.</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1" w:right="0" w:hanging="1134"/>
        <w:jc w:val="left"/>
      </w:pPr>
      <w:bookmarkStart w:name="6.18.5 Pricing principles" w:id="1569"/>
      <w:bookmarkEnd w:id="1569"/>
      <w:r>
        <w:rPr>
          <w:b w:val="0"/>
        </w:rPr>
      </w:r>
      <w:bookmarkStart w:name="_bookmark626" w:id="1570"/>
      <w:bookmarkEnd w:id="1570"/>
      <w:r>
        <w:rPr>
          <w:b w:val="0"/>
        </w:rPr>
      </w:r>
      <w:bookmarkStart w:name="_bookmark626" w:id="1571"/>
      <w:bookmarkEnd w:id="1571"/>
      <w:r>
        <w:rPr/>
        <w:t>Pricing</w:t>
      </w:r>
      <w:r>
        <w:rPr>
          <w:spacing w:val="-1"/>
        </w:rPr>
        <w:t> </w:t>
      </w:r>
      <w:r>
        <w:rPr/>
        <w:t>principles</w:t>
      </w:r>
    </w:p>
    <w:p>
      <w:pPr>
        <w:spacing w:before="120"/>
        <w:ind w:left="1352" w:right="0" w:firstLine="0"/>
        <w:jc w:val="both"/>
        <w:rPr>
          <w:b/>
          <w:sz w:val="24"/>
        </w:rPr>
      </w:pPr>
      <w:r>
        <w:rPr>
          <w:b/>
          <w:sz w:val="24"/>
        </w:rPr>
        <w:t>Network pricing objective</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The </w:t>
      </w:r>
      <w:r>
        <w:rPr>
          <w:i/>
          <w:sz w:val="24"/>
        </w:rPr>
        <w:t>network pricing objective </w:t>
      </w:r>
      <w:r>
        <w:rPr>
          <w:sz w:val="24"/>
        </w:rPr>
        <w:t>is that the tariffs that a </w:t>
      </w:r>
      <w:r>
        <w:rPr>
          <w:i/>
          <w:sz w:val="24"/>
        </w:rPr>
        <w:t>Distribution Network </w:t>
      </w:r>
      <w:r>
        <w:rPr>
          <w:i/>
          <w:sz w:val="24"/>
        </w:rPr>
        <w:t>Service Provider </w:t>
      </w:r>
      <w:r>
        <w:rPr>
          <w:sz w:val="24"/>
        </w:rPr>
        <w:t>charges in respect of its provision of </w:t>
      </w:r>
      <w:r>
        <w:rPr>
          <w:i/>
          <w:sz w:val="24"/>
        </w:rPr>
        <w:t>direct control </w:t>
      </w:r>
      <w:r>
        <w:rPr>
          <w:i/>
          <w:sz w:val="24"/>
        </w:rPr>
        <w:t>services </w:t>
      </w:r>
      <w:r>
        <w:rPr>
          <w:sz w:val="24"/>
        </w:rPr>
        <w:t>to a </w:t>
      </w:r>
      <w:r>
        <w:rPr>
          <w:i/>
          <w:sz w:val="24"/>
        </w:rPr>
        <w:t>retail customer </w:t>
      </w:r>
      <w:r>
        <w:rPr>
          <w:sz w:val="24"/>
        </w:rPr>
        <w:t>should reflect the </w:t>
      </w:r>
      <w:r>
        <w:rPr>
          <w:i/>
          <w:sz w:val="24"/>
        </w:rPr>
        <w:t>Distribution Network Service </w:t>
      </w:r>
      <w:r>
        <w:rPr>
          <w:i/>
          <w:sz w:val="24"/>
        </w:rPr>
        <w:t>Provider's </w:t>
      </w:r>
      <w:r>
        <w:rPr>
          <w:sz w:val="24"/>
        </w:rPr>
        <w:t>efficient costs of providing those services to the </w:t>
      </w:r>
      <w:r>
        <w:rPr>
          <w:i/>
          <w:sz w:val="24"/>
        </w:rPr>
        <w:t>retail</w:t>
      </w:r>
      <w:r>
        <w:rPr>
          <w:i/>
          <w:spacing w:val="-10"/>
          <w:sz w:val="24"/>
        </w:rPr>
        <w:t> </w:t>
      </w:r>
      <w:r>
        <w:rPr>
          <w:i/>
          <w:sz w:val="24"/>
        </w:rPr>
        <w:t>customer</w:t>
      </w:r>
      <w:r>
        <w:rPr>
          <w:sz w:val="24"/>
        </w:rPr>
        <w:t>.</w:t>
      </w:r>
    </w:p>
    <w:p>
      <w:pPr>
        <w:pStyle w:val="Heading4"/>
        <w:spacing w:before="120"/>
        <w:ind w:left="1352" w:firstLine="0"/>
        <w:jc w:val="both"/>
        <w:rPr>
          <w:rFonts w:ascii="Times New Roman"/>
        </w:rPr>
      </w:pPr>
      <w:r>
        <w:rPr>
          <w:rFonts w:ascii="Times New Roman"/>
        </w:rPr>
        <w:t>Application of the pricing principles</w:t>
      </w:r>
    </w:p>
    <w:p>
      <w:pPr>
        <w:spacing w:after="0"/>
        <w:jc w:val="both"/>
        <w:rPr>
          <w:rFonts w:ascii="Times New Roman"/>
        </w:rPr>
        <w:sectPr>
          <w:pgSz w:w="11910" w:h="16840"/>
          <w:pgMar w:header="686" w:footer="637" w:top="1320" w:bottom="820" w:left="1200" w:right="1000"/>
        </w:sectPr>
      </w:pPr>
    </w:p>
    <w:p>
      <w:pPr>
        <w:pStyle w:val="ListParagraph"/>
        <w:numPr>
          <w:ilvl w:val="3"/>
          <w:numId w:val="451"/>
        </w:numPr>
        <w:tabs>
          <w:tab w:pos="1919" w:val="left" w:leader="none"/>
        </w:tabs>
        <w:spacing w:line="240" w:lineRule="auto" w:before="83" w:after="0"/>
        <w:ind w:left="1919" w:right="415" w:hanging="567"/>
        <w:jc w:val="both"/>
        <w:rPr>
          <w:sz w:val="24"/>
        </w:rPr>
      </w:pPr>
      <w:r>
        <w:rPr>
          <w:sz w:val="24"/>
        </w:rPr>
        <w:t>Subject to paragraph (c), a </w:t>
      </w:r>
      <w:r>
        <w:rPr>
          <w:i/>
          <w:sz w:val="24"/>
        </w:rPr>
        <w:t>Distribution Network Service Provider's </w:t>
      </w:r>
      <w:r>
        <w:rPr>
          <w:sz w:val="24"/>
        </w:rPr>
        <w:t>tariffs must comply with the pricing principles set out in paragraphs (e) to</w:t>
      </w:r>
      <w:r>
        <w:rPr>
          <w:spacing w:val="-6"/>
          <w:sz w:val="24"/>
        </w:rPr>
        <w:t> </w:t>
      </w:r>
      <w:r>
        <w:rPr>
          <w:sz w:val="24"/>
        </w:rPr>
        <w:t>(j).</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Provider's </w:t>
      </w:r>
      <w:r>
        <w:rPr>
          <w:sz w:val="24"/>
        </w:rPr>
        <w:t>tariffs may vary from tariffs which would result from complying with the pricing principles set out in paragraphs (e) to (g)</w:t>
      </w:r>
      <w:r>
        <w:rPr>
          <w:spacing w:val="-1"/>
          <w:sz w:val="24"/>
        </w:rPr>
        <w:t> </w:t>
      </w:r>
      <w:r>
        <w:rPr>
          <w:sz w:val="24"/>
        </w:rPr>
        <w:t>only:</w:t>
      </w:r>
    </w:p>
    <w:p>
      <w:pPr>
        <w:pStyle w:val="ListParagraph"/>
        <w:numPr>
          <w:ilvl w:val="4"/>
          <w:numId w:val="451"/>
        </w:numPr>
        <w:tabs>
          <w:tab w:pos="2486" w:val="left" w:leader="none"/>
        </w:tabs>
        <w:spacing w:line="240" w:lineRule="auto" w:before="120" w:after="0"/>
        <w:ind w:left="2485" w:right="0" w:hanging="567"/>
        <w:jc w:val="both"/>
        <w:rPr>
          <w:sz w:val="24"/>
        </w:rPr>
      </w:pPr>
      <w:r>
        <w:rPr>
          <w:sz w:val="24"/>
        </w:rPr>
        <w:t>to the extent permitted under paragraph (h);</w:t>
      </w:r>
      <w:r>
        <w:rPr>
          <w:spacing w:val="-2"/>
          <w:sz w:val="24"/>
        </w:rPr>
        <w:t> </w:t>
      </w:r>
      <w:r>
        <w:rPr>
          <w:sz w:val="24"/>
        </w:rPr>
        <w:t>and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to the extent necessary to give effect to the pricing principles set out in paragraphs (i) to</w:t>
      </w:r>
      <w:r>
        <w:rPr>
          <w:spacing w:val="-1"/>
          <w:sz w:val="24"/>
        </w:rPr>
        <w:t> </w:t>
      </w:r>
      <w:r>
        <w:rPr>
          <w:sz w:val="24"/>
        </w:rPr>
        <w:t>(j).</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comply with paragraph (b) in a manner that will contribute to the achievement of the </w:t>
      </w:r>
      <w:r>
        <w:rPr>
          <w:i/>
          <w:sz w:val="24"/>
        </w:rPr>
        <w:t>network pricing </w:t>
      </w:r>
      <w:r>
        <w:rPr>
          <w:i/>
          <w:sz w:val="24"/>
        </w:rPr>
        <w:t>objective</w:t>
      </w:r>
      <w:r>
        <w:rPr>
          <w:sz w:val="24"/>
        </w:rPr>
        <w:t>.</w:t>
      </w:r>
    </w:p>
    <w:p>
      <w:pPr>
        <w:pStyle w:val="Heading4"/>
        <w:spacing w:before="120"/>
        <w:ind w:left="1352" w:firstLine="0"/>
        <w:jc w:val="both"/>
        <w:rPr>
          <w:rFonts w:ascii="Times New Roman"/>
        </w:rPr>
      </w:pPr>
      <w:r>
        <w:rPr>
          <w:rFonts w:ascii="Times New Roman"/>
        </w:rPr>
        <w:t>Pricing principles</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For each </w:t>
      </w:r>
      <w:r>
        <w:rPr>
          <w:i/>
          <w:sz w:val="24"/>
        </w:rPr>
        <w:t>tariff class</w:t>
      </w:r>
      <w:r>
        <w:rPr>
          <w:sz w:val="24"/>
        </w:rPr>
        <w:t>, the revenue expected to be recovered must lie on or between:</w:t>
      </w:r>
    </w:p>
    <w:p>
      <w:pPr>
        <w:pStyle w:val="ListParagraph"/>
        <w:numPr>
          <w:ilvl w:val="4"/>
          <w:numId w:val="451"/>
        </w:numPr>
        <w:tabs>
          <w:tab w:pos="2486" w:val="left" w:leader="none"/>
        </w:tabs>
        <w:spacing w:line="240" w:lineRule="auto" w:before="120" w:after="0"/>
        <w:ind w:left="2486" w:right="416" w:hanging="567"/>
        <w:jc w:val="both"/>
        <w:rPr>
          <w:sz w:val="24"/>
        </w:rPr>
      </w:pPr>
      <w:r>
        <w:rPr>
          <w:sz w:val="24"/>
        </w:rPr>
        <w:t>an upper bound representing the stand alone cost of serving the </w:t>
      </w:r>
      <w:r>
        <w:rPr>
          <w:i/>
          <w:sz w:val="24"/>
        </w:rPr>
        <w:t>retail </w:t>
      </w:r>
      <w:r>
        <w:rPr>
          <w:i/>
          <w:sz w:val="24"/>
        </w:rPr>
        <w:t>customers </w:t>
      </w:r>
      <w:r>
        <w:rPr>
          <w:sz w:val="24"/>
        </w:rPr>
        <w:t>who belong to that class;</w:t>
      </w:r>
      <w:r>
        <w:rPr>
          <w:spacing w:val="-3"/>
          <w:sz w:val="24"/>
        </w:rPr>
        <w:t> </w:t>
      </w:r>
      <w:r>
        <w:rPr>
          <w:sz w:val="24"/>
        </w:rPr>
        <w:t>and</w:t>
      </w:r>
    </w:p>
    <w:p>
      <w:pPr>
        <w:pStyle w:val="ListParagraph"/>
        <w:numPr>
          <w:ilvl w:val="4"/>
          <w:numId w:val="451"/>
        </w:numPr>
        <w:tabs>
          <w:tab w:pos="2486" w:val="left" w:leader="none"/>
        </w:tabs>
        <w:spacing w:line="240" w:lineRule="auto" w:before="120" w:after="0"/>
        <w:ind w:left="2485" w:right="0" w:hanging="567"/>
        <w:jc w:val="both"/>
        <w:rPr>
          <w:sz w:val="24"/>
        </w:rPr>
      </w:pPr>
      <w:r>
        <w:rPr>
          <w:sz w:val="24"/>
        </w:rPr>
        <w:t>a</w:t>
      </w:r>
      <w:r>
        <w:rPr>
          <w:spacing w:val="42"/>
          <w:sz w:val="24"/>
        </w:rPr>
        <w:t> </w:t>
      </w:r>
      <w:r>
        <w:rPr>
          <w:sz w:val="24"/>
        </w:rPr>
        <w:t>lower</w:t>
      </w:r>
      <w:r>
        <w:rPr>
          <w:spacing w:val="42"/>
          <w:sz w:val="24"/>
        </w:rPr>
        <w:t> </w:t>
      </w:r>
      <w:r>
        <w:rPr>
          <w:sz w:val="24"/>
        </w:rPr>
        <w:t>bound</w:t>
      </w:r>
      <w:r>
        <w:rPr>
          <w:spacing w:val="42"/>
          <w:sz w:val="24"/>
        </w:rPr>
        <w:t> </w:t>
      </w:r>
      <w:r>
        <w:rPr>
          <w:sz w:val="24"/>
        </w:rPr>
        <w:t>representing</w:t>
      </w:r>
      <w:r>
        <w:rPr>
          <w:spacing w:val="42"/>
          <w:sz w:val="24"/>
        </w:rPr>
        <w:t> </w:t>
      </w:r>
      <w:r>
        <w:rPr>
          <w:sz w:val="24"/>
        </w:rPr>
        <w:t>the</w:t>
      </w:r>
      <w:r>
        <w:rPr>
          <w:spacing w:val="43"/>
          <w:sz w:val="24"/>
        </w:rPr>
        <w:t> </w:t>
      </w:r>
      <w:r>
        <w:rPr>
          <w:sz w:val="24"/>
        </w:rPr>
        <w:t>avoidable</w:t>
      </w:r>
      <w:r>
        <w:rPr>
          <w:spacing w:val="42"/>
          <w:sz w:val="24"/>
        </w:rPr>
        <w:t> </w:t>
      </w:r>
      <w:r>
        <w:rPr>
          <w:sz w:val="24"/>
        </w:rPr>
        <w:t>cost</w:t>
      </w:r>
      <w:r>
        <w:rPr>
          <w:spacing w:val="43"/>
          <w:sz w:val="24"/>
        </w:rPr>
        <w:t> </w:t>
      </w:r>
      <w:r>
        <w:rPr>
          <w:sz w:val="24"/>
        </w:rPr>
        <w:t>of</w:t>
      </w:r>
      <w:r>
        <w:rPr>
          <w:spacing w:val="42"/>
          <w:sz w:val="24"/>
        </w:rPr>
        <w:t> </w:t>
      </w:r>
      <w:r>
        <w:rPr>
          <w:sz w:val="24"/>
        </w:rPr>
        <w:t>not</w:t>
      </w:r>
      <w:r>
        <w:rPr>
          <w:spacing w:val="42"/>
          <w:sz w:val="24"/>
        </w:rPr>
        <w:t> </w:t>
      </w:r>
      <w:r>
        <w:rPr>
          <w:sz w:val="24"/>
        </w:rPr>
        <w:t>serving</w:t>
      </w:r>
      <w:r>
        <w:rPr>
          <w:spacing w:val="42"/>
          <w:sz w:val="24"/>
        </w:rPr>
        <w:t> </w:t>
      </w:r>
      <w:r>
        <w:rPr>
          <w:sz w:val="24"/>
        </w:rPr>
        <w:t>those</w:t>
      </w:r>
    </w:p>
    <w:p>
      <w:pPr>
        <w:spacing w:before="0"/>
        <w:ind w:left="2486" w:right="0" w:firstLine="0"/>
        <w:jc w:val="both"/>
        <w:rPr>
          <w:sz w:val="24"/>
        </w:rPr>
      </w:pPr>
      <w:r>
        <w:rPr>
          <w:i/>
          <w:sz w:val="24"/>
        </w:rPr>
        <w:t>retail customers</w:t>
      </w:r>
      <w:r>
        <w:rPr>
          <w:sz w:val="24"/>
        </w:rPr>
        <w:t>.</w:t>
      </w:r>
    </w:p>
    <w:p>
      <w:pPr>
        <w:pStyle w:val="ListParagraph"/>
        <w:numPr>
          <w:ilvl w:val="3"/>
          <w:numId w:val="451"/>
        </w:numPr>
        <w:tabs>
          <w:tab w:pos="1920" w:val="left" w:leader="none"/>
        </w:tabs>
        <w:spacing w:line="240" w:lineRule="auto" w:before="120" w:after="0"/>
        <w:ind w:left="1919" w:right="414" w:hanging="567"/>
        <w:jc w:val="both"/>
        <w:rPr>
          <w:sz w:val="24"/>
        </w:rPr>
      </w:pPr>
      <w:r>
        <w:rPr>
          <w:sz w:val="24"/>
        </w:rPr>
        <w:t>Each tariff must be based on the </w:t>
      </w:r>
      <w:r>
        <w:rPr>
          <w:i/>
          <w:sz w:val="24"/>
        </w:rPr>
        <w:t>long run marginal cost </w:t>
      </w:r>
      <w:r>
        <w:rPr>
          <w:sz w:val="24"/>
        </w:rPr>
        <w:t>of providing the service to which it relates to the </w:t>
      </w:r>
      <w:r>
        <w:rPr>
          <w:i/>
          <w:sz w:val="24"/>
        </w:rPr>
        <w:t>retail customers </w:t>
      </w:r>
      <w:r>
        <w:rPr>
          <w:sz w:val="24"/>
        </w:rPr>
        <w:t>assigned to that tariff with the method of calculating such cost and the manner in which that method is applied to be determined having regard</w:t>
      </w:r>
      <w:r>
        <w:rPr>
          <w:spacing w:val="-1"/>
          <w:sz w:val="24"/>
        </w:rPr>
        <w:t> </w:t>
      </w:r>
      <w:r>
        <w:rPr>
          <w:sz w:val="24"/>
        </w:rPr>
        <w:t>to:</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costs and benefits associated with calculating, implementing and applying that method as</w:t>
      </w:r>
      <w:r>
        <w:rPr>
          <w:spacing w:val="-2"/>
          <w:sz w:val="24"/>
        </w:rPr>
        <w:t> </w:t>
      </w:r>
      <w:r>
        <w:rPr>
          <w:sz w:val="24"/>
        </w:rPr>
        <w:t>proposed;</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the additional costs likely to be associated with meeting demand from </w:t>
      </w:r>
      <w:r>
        <w:rPr>
          <w:i/>
          <w:sz w:val="24"/>
        </w:rPr>
        <w:t>retail customers </w:t>
      </w:r>
      <w:r>
        <w:rPr>
          <w:sz w:val="24"/>
        </w:rPr>
        <w:t>that are assigned to that tariff at times of greatest utilisation of the relevant part of the </w:t>
      </w:r>
      <w:r>
        <w:rPr>
          <w:i/>
          <w:sz w:val="24"/>
        </w:rPr>
        <w:t>distribution network</w:t>
      </w:r>
      <w:r>
        <w:rPr>
          <w:sz w:val="24"/>
        </w:rPr>
        <w:t>;</w:t>
      </w:r>
      <w:r>
        <w:rPr>
          <w:spacing w:val="-2"/>
          <w:sz w:val="24"/>
        </w:rPr>
        <w:t> </w:t>
      </w:r>
      <w:r>
        <w:rPr>
          <w:sz w:val="24"/>
        </w:rPr>
        <w:t>and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location of </w:t>
      </w:r>
      <w:r>
        <w:rPr>
          <w:i/>
          <w:sz w:val="24"/>
        </w:rPr>
        <w:t>retail customers </w:t>
      </w:r>
      <w:r>
        <w:rPr>
          <w:sz w:val="24"/>
        </w:rPr>
        <w:t>that are assigned to that tariff and the extent to which costs vary between different locations in the </w:t>
      </w:r>
      <w:r>
        <w:rPr>
          <w:i/>
          <w:sz w:val="24"/>
        </w:rPr>
        <w:t>distribution</w:t>
      </w:r>
      <w:r>
        <w:rPr>
          <w:i/>
          <w:spacing w:val="-1"/>
          <w:sz w:val="24"/>
        </w:rPr>
        <w:t> </w:t>
      </w:r>
      <w:r>
        <w:rPr>
          <w:i/>
          <w:sz w:val="24"/>
        </w:rPr>
        <w:t>network</w:t>
      </w:r>
      <w:r>
        <w:rPr>
          <w:sz w:val="24"/>
        </w:rPr>
        <w:t>.</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The revenue expected to be recovered from each tariff</w:t>
      </w:r>
      <w:r>
        <w:rPr>
          <w:spacing w:val="-1"/>
          <w:sz w:val="24"/>
        </w:rPr>
        <w:t> </w:t>
      </w:r>
      <w:r>
        <w:rPr>
          <w:sz w:val="24"/>
        </w:rPr>
        <w:t>must:</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reflect the </w:t>
      </w:r>
      <w:r>
        <w:rPr>
          <w:i/>
          <w:sz w:val="24"/>
        </w:rPr>
        <w:t>Distribution Network Service Provider's </w:t>
      </w:r>
      <w:r>
        <w:rPr>
          <w:sz w:val="24"/>
        </w:rPr>
        <w:t>total efficient costs of serving the </w:t>
      </w:r>
      <w:r>
        <w:rPr>
          <w:i/>
          <w:sz w:val="24"/>
        </w:rPr>
        <w:t>retail customers </w:t>
      </w:r>
      <w:r>
        <w:rPr>
          <w:sz w:val="24"/>
        </w:rPr>
        <w:t>that are assigned to that</w:t>
      </w:r>
      <w:r>
        <w:rPr>
          <w:spacing w:val="-7"/>
          <w:sz w:val="24"/>
        </w:rPr>
        <w:t> </w:t>
      </w:r>
      <w:r>
        <w:rPr>
          <w:sz w:val="24"/>
        </w:rPr>
        <w:t>tariff;</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when summed with the revenue expected to be received from all other tariffs, permit the </w:t>
      </w:r>
      <w:r>
        <w:rPr>
          <w:i/>
          <w:sz w:val="24"/>
        </w:rPr>
        <w:t>Distribution Network Service Provider </w:t>
      </w:r>
      <w:r>
        <w:rPr>
          <w:sz w:val="24"/>
        </w:rPr>
        <w:t>to recover the expected revenue for the relevant services in accordance with the applicable distribution determination for the </w:t>
      </w:r>
      <w:r>
        <w:rPr>
          <w:i/>
          <w:sz w:val="24"/>
        </w:rPr>
        <w:t>Distribution Network </w:t>
      </w:r>
      <w:r>
        <w:rPr>
          <w:i/>
          <w:sz w:val="24"/>
        </w:rPr>
        <w:t>Service Provider</w:t>
      </w:r>
      <w:r>
        <w:rPr>
          <w:sz w:val="24"/>
        </w:rPr>
        <w:t>;</w:t>
      </w:r>
      <w:r>
        <w:rPr>
          <w:spacing w:val="-1"/>
          <w:sz w:val="24"/>
        </w:rPr>
        <w:t> </w:t>
      </w:r>
      <w:r>
        <w:rPr>
          <w:sz w:val="24"/>
        </w:rPr>
        <w:t>and</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comply with sub-paragraphs (1) and (2) in a way that minimises distortions to the price signals for efficient usage that would result from tariffs that comply with the pricing principle set out in paragraph (f).</w:t>
      </w:r>
    </w:p>
    <w:p>
      <w:pPr>
        <w:spacing w:after="0" w:line="240" w:lineRule="auto"/>
        <w:jc w:val="both"/>
        <w:rPr>
          <w:sz w:val="24"/>
        </w:rPr>
        <w:sectPr>
          <w:pgSz w:w="11910" w:h="16840"/>
          <w:pgMar w:header="686" w:footer="637" w:top="1320" w:bottom="820" w:left="1200" w:right="1000"/>
        </w:sectPr>
      </w:pPr>
    </w:p>
    <w:p>
      <w:pPr>
        <w:pStyle w:val="ListParagraph"/>
        <w:numPr>
          <w:ilvl w:val="3"/>
          <w:numId w:val="451"/>
        </w:numPr>
        <w:tabs>
          <w:tab w:pos="1919" w:val="left" w:leader="none"/>
        </w:tabs>
        <w:spacing w:line="240" w:lineRule="auto" w:before="83" w:after="0"/>
        <w:ind w:left="1919" w:right="415" w:hanging="567"/>
        <w:jc w:val="both"/>
        <w:rPr>
          <w:sz w:val="24"/>
        </w:rPr>
      </w:pPr>
      <w:r>
        <w:rPr>
          <w:sz w:val="24"/>
        </w:rPr>
        <w:t>A </w:t>
      </w:r>
      <w:r>
        <w:rPr>
          <w:i/>
          <w:sz w:val="24"/>
        </w:rPr>
        <w:t>Distribution Network Service Provider </w:t>
      </w:r>
      <w:r>
        <w:rPr>
          <w:sz w:val="24"/>
        </w:rPr>
        <w:t>must consider the impact on </w:t>
      </w:r>
      <w:r>
        <w:rPr>
          <w:i/>
          <w:sz w:val="24"/>
        </w:rPr>
        <w:t>retail </w:t>
      </w:r>
      <w:r>
        <w:rPr>
          <w:i/>
          <w:sz w:val="24"/>
        </w:rPr>
        <w:t>customers </w:t>
      </w:r>
      <w:r>
        <w:rPr>
          <w:sz w:val="24"/>
        </w:rPr>
        <w:t>of changes in tariffs from the previous </w:t>
      </w:r>
      <w:r>
        <w:rPr>
          <w:i/>
          <w:sz w:val="24"/>
        </w:rPr>
        <w:t>regulatory year </w:t>
      </w:r>
      <w:r>
        <w:rPr>
          <w:sz w:val="24"/>
        </w:rPr>
        <w:t>and may vary tariffs from those that comply with paragraphs (e) to (g) to the extent the </w:t>
      </w:r>
      <w:r>
        <w:rPr>
          <w:i/>
          <w:sz w:val="24"/>
        </w:rPr>
        <w:t>Distribution Network Service Provider </w:t>
      </w:r>
      <w:r>
        <w:rPr>
          <w:sz w:val="24"/>
        </w:rPr>
        <w:t>considers reasonably necessary having regard</w:t>
      </w:r>
      <w:r>
        <w:rPr>
          <w:spacing w:val="-1"/>
          <w:sz w:val="24"/>
        </w:rPr>
        <w:t> </w:t>
      </w:r>
      <w:r>
        <w:rPr>
          <w:sz w:val="24"/>
        </w:rPr>
        <w:t>to:</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desirability for tariffs to comply with the pricing principles referred to in paragraphs (f) and (g), albeit after a reasonable period of transition (which may extend over more than one </w:t>
      </w:r>
      <w:r>
        <w:rPr>
          <w:i/>
          <w:sz w:val="24"/>
        </w:rPr>
        <w:t>regulatory control </w:t>
      </w:r>
      <w:r>
        <w:rPr>
          <w:i/>
          <w:sz w:val="24"/>
        </w:rPr>
        <w:t>period</w:t>
      </w:r>
      <w:r>
        <w:rPr>
          <w:sz w:val="24"/>
        </w:rPr>
        <w:t>);</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extent to which </w:t>
      </w:r>
      <w:r>
        <w:rPr>
          <w:i/>
          <w:sz w:val="24"/>
        </w:rPr>
        <w:t>retail customers </w:t>
      </w:r>
      <w:r>
        <w:rPr>
          <w:sz w:val="24"/>
        </w:rPr>
        <w:t>can choose the tariff to which they are assigned;</w:t>
      </w:r>
      <w:r>
        <w:rPr>
          <w:spacing w:val="-2"/>
          <w:sz w:val="24"/>
        </w:rPr>
        <w:t> </w:t>
      </w:r>
      <w:r>
        <w:rPr>
          <w:sz w:val="24"/>
        </w:rPr>
        <w:t>and</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the extent to which </w:t>
      </w:r>
      <w:r>
        <w:rPr>
          <w:i/>
          <w:sz w:val="24"/>
        </w:rPr>
        <w:t>retail customers </w:t>
      </w:r>
      <w:r>
        <w:rPr>
          <w:sz w:val="24"/>
        </w:rPr>
        <w:t>are able to mitigate the impact of changes in tariffs through their usage</w:t>
      </w:r>
      <w:r>
        <w:rPr>
          <w:spacing w:val="-2"/>
          <w:sz w:val="24"/>
        </w:rPr>
        <w:t> </w:t>
      </w:r>
      <w:r>
        <w:rPr>
          <w:sz w:val="24"/>
        </w:rPr>
        <w:t>decisions.</w:t>
      </w:r>
    </w:p>
    <w:p>
      <w:pPr>
        <w:spacing w:before="120"/>
        <w:ind w:left="1919" w:right="415" w:hanging="567"/>
        <w:jc w:val="both"/>
        <w:rPr>
          <w:sz w:val="24"/>
        </w:rPr>
      </w:pPr>
      <w:r>
        <w:rPr>
          <w:sz w:val="24"/>
        </w:rPr>
        <w:t>(ha) However, for a distribution determination for a </w:t>
      </w:r>
      <w:r>
        <w:rPr>
          <w:i/>
          <w:sz w:val="24"/>
        </w:rPr>
        <w:t>Distribution  Network  </w:t>
      </w:r>
      <w:r>
        <w:rPr>
          <w:i/>
          <w:sz w:val="24"/>
        </w:rPr>
        <w:t>Service Provider </w:t>
      </w:r>
      <w:r>
        <w:rPr>
          <w:sz w:val="24"/>
        </w:rPr>
        <w:t>in this jurisdiction that will apply or applies during the </w:t>
      </w:r>
      <w:r>
        <w:rPr>
          <w:i/>
          <w:sz w:val="24"/>
        </w:rPr>
        <w:t>1st </w:t>
      </w:r>
      <w:r>
        <w:rPr>
          <w:i/>
          <w:sz w:val="24"/>
        </w:rPr>
        <w:t>regulatory control period</w:t>
      </w:r>
      <w:r>
        <w:rPr>
          <w:sz w:val="24"/>
        </w:rPr>
        <w:t>, the reference in paragraph (h) to "the previous </w:t>
      </w:r>
      <w:r>
        <w:rPr>
          <w:i/>
          <w:sz w:val="24"/>
        </w:rPr>
        <w:t>regulatory year</w:t>
      </w:r>
      <w:r>
        <w:rPr>
          <w:sz w:val="24"/>
        </w:rPr>
        <w:t>" must be regarded as a reference to "the year that precedes the relevant </w:t>
      </w:r>
      <w:r>
        <w:rPr>
          <w:i/>
          <w:sz w:val="24"/>
        </w:rPr>
        <w:t>regulatory year </w:t>
      </w:r>
      <w:r>
        <w:rPr>
          <w:sz w:val="24"/>
        </w:rPr>
        <w:t>of the </w:t>
      </w:r>
      <w:r>
        <w:rPr>
          <w:i/>
          <w:sz w:val="24"/>
        </w:rPr>
        <w:t>1st regulatory control period </w:t>
      </w:r>
      <w:r>
        <w:rPr>
          <w:sz w:val="24"/>
        </w:rPr>
        <w:t>(which may be the last year of the </w:t>
      </w:r>
      <w:r>
        <w:rPr>
          <w:i/>
          <w:sz w:val="24"/>
        </w:rPr>
        <w:t>2014-19 NT regulatory control</w:t>
      </w:r>
      <w:r>
        <w:rPr>
          <w:i/>
          <w:spacing w:val="-3"/>
          <w:sz w:val="24"/>
        </w:rPr>
        <w:t> </w:t>
      </w:r>
      <w:r>
        <w:rPr>
          <w:i/>
          <w:sz w:val="24"/>
        </w:rPr>
        <w:t>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This paragraph expires on 1 July 2024.</w:t>
      </w:r>
    </w:p>
    <w:p>
      <w:pPr>
        <w:pStyle w:val="ListParagraph"/>
        <w:numPr>
          <w:ilvl w:val="3"/>
          <w:numId w:val="451"/>
        </w:numPr>
        <w:tabs>
          <w:tab w:pos="1918" w:val="left" w:leader="none"/>
          <w:tab w:pos="1919" w:val="left" w:leader="none"/>
        </w:tabs>
        <w:spacing w:line="240" w:lineRule="auto" w:before="120" w:after="0"/>
        <w:ind w:left="1919" w:right="416" w:hanging="567"/>
        <w:jc w:val="left"/>
        <w:rPr>
          <w:sz w:val="24"/>
        </w:rPr>
      </w:pPr>
      <w:r>
        <w:rPr>
          <w:sz w:val="24"/>
        </w:rPr>
        <w:t>The structure of each tariff must be reasonably capable of being understood by </w:t>
      </w:r>
      <w:r>
        <w:rPr>
          <w:i/>
          <w:sz w:val="24"/>
        </w:rPr>
        <w:t>retail customers </w:t>
      </w:r>
      <w:r>
        <w:rPr>
          <w:sz w:val="24"/>
        </w:rPr>
        <w:t>that are assigned to that tariff, having regard</w:t>
      </w:r>
      <w:r>
        <w:rPr>
          <w:spacing w:val="-8"/>
          <w:sz w:val="24"/>
        </w:rPr>
        <w:t> </w:t>
      </w:r>
      <w:r>
        <w:rPr>
          <w:sz w:val="24"/>
        </w:rPr>
        <w:t>to:</w:t>
      </w:r>
    </w:p>
    <w:p>
      <w:pPr>
        <w:pStyle w:val="ListParagraph"/>
        <w:numPr>
          <w:ilvl w:val="4"/>
          <w:numId w:val="451"/>
        </w:numPr>
        <w:tabs>
          <w:tab w:pos="2485" w:val="left" w:leader="none"/>
          <w:tab w:pos="2486" w:val="left" w:leader="none"/>
        </w:tabs>
        <w:spacing w:line="240" w:lineRule="auto" w:before="120" w:after="0"/>
        <w:ind w:left="2485" w:right="0" w:hanging="567"/>
        <w:jc w:val="left"/>
        <w:rPr>
          <w:sz w:val="24"/>
        </w:rPr>
      </w:pPr>
      <w:r>
        <w:rPr>
          <w:sz w:val="24"/>
        </w:rPr>
        <w:t>the type and nature of those </w:t>
      </w:r>
      <w:r>
        <w:rPr>
          <w:i/>
          <w:sz w:val="24"/>
        </w:rPr>
        <w:t>retail customers</w:t>
      </w:r>
      <w:r>
        <w:rPr>
          <w:sz w:val="24"/>
        </w:rPr>
        <w:t>;</w:t>
      </w:r>
      <w:r>
        <w:rPr>
          <w:spacing w:val="-4"/>
          <w:sz w:val="24"/>
        </w:rPr>
        <w:t> </w:t>
      </w:r>
      <w:r>
        <w:rPr>
          <w:sz w:val="24"/>
        </w:rPr>
        <w:t>and</w:t>
      </w:r>
    </w:p>
    <w:p>
      <w:pPr>
        <w:pStyle w:val="ListParagraph"/>
        <w:numPr>
          <w:ilvl w:val="4"/>
          <w:numId w:val="451"/>
        </w:numPr>
        <w:tabs>
          <w:tab w:pos="2485" w:val="left" w:leader="none"/>
          <w:tab w:pos="2486" w:val="left" w:leader="none"/>
        </w:tabs>
        <w:spacing w:line="240" w:lineRule="auto" w:before="120" w:after="0"/>
        <w:ind w:left="2486" w:right="415" w:hanging="567"/>
        <w:jc w:val="left"/>
        <w:rPr>
          <w:sz w:val="24"/>
        </w:rPr>
      </w:pPr>
      <w:r>
        <w:rPr>
          <w:sz w:val="24"/>
        </w:rPr>
        <w:t>the information provided to, and the consultation undertaken with, those </w:t>
      </w:r>
      <w:r>
        <w:rPr>
          <w:i/>
          <w:sz w:val="24"/>
        </w:rPr>
        <w:t>retail</w:t>
      </w:r>
      <w:r>
        <w:rPr>
          <w:i/>
          <w:spacing w:val="-2"/>
          <w:sz w:val="24"/>
        </w:rPr>
        <w:t> </w:t>
      </w:r>
      <w:r>
        <w:rPr>
          <w:i/>
          <w:sz w:val="24"/>
        </w:rPr>
        <w:t>customers</w:t>
      </w:r>
      <w:r>
        <w:rPr>
          <w:sz w:val="24"/>
        </w:rPr>
        <w:t>.</w:t>
      </w:r>
    </w:p>
    <w:p>
      <w:pPr>
        <w:pStyle w:val="ListParagraph"/>
        <w:numPr>
          <w:ilvl w:val="3"/>
          <w:numId w:val="451"/>
        </w:numPr>
        <w:tabs>
          <w:tab w:pos="1918" w:val="left" w:leader="none"/>
          <w:tab w:pos="1919" w:val="left" w:leader="none"/>
        </w:tabs>
        <w:spacing w:line="240" w:lineRule="auto" w:before="120" w:after="0"/>
        <w:ind w:left="1919" w:right="416" w:hanging="567"/>
        <w:jc w:val="left"/>
        <w:rPr>
          <w:sz w:val="24"/>
        </w:rPr>
      </w:pPr>
      <w:r>
        <w:rPr>
          <w:sz w:val="24"/>
        </w:rPr>
        <w:t>A tariff must comply with the </w:t>
      </w:r>
      <w:r>
        <w:rPr>
          <w:i/>
          <w:sz w:val="24"/>
        </w:rPr>
        <w:t>Rules </w:t>
      </w:r>
      <w:r>
        <w:rPr>
          <w:sz w:val="24"/>
        </w:rPr>
        <w:t>and all </w:t>
      </w:r>
      <w:r>
        <w:rPr>
          <w:i/>
          <w:sz w:val="24"/>
        </w:rPr>
        <w:t>applicable regulatory </w:t>
      </w:r>
      <w:r>
        <w:rPr>
          <w:i/>
          <w:sz w:val="24"/>
        </w:rPr>
        <w:t>instruments</w:t>
      </w:r>
      <w:r>
        <w:rPr>
          <w:sz w:val="24"/>
        </w:rPr>
        <w:t>.</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1" w:right="0" w:hanging="1134"/>
        <w:jc w:val="left"/>
      </w:pPr>
      <w:bookmarkStart w:name="6.18.6 Side constraints on tariffs for s" w:id="1572"/>
      <w:bookmarkEnd w:id="1572"/>
      <w:r>
        <w:rPr>
          <w:b w:val="0"/>
        </w:rPr>
      </w:r>
      <w:bookmarkStart w:name="_bookmark627" w:id="1573"/>
      <w:bookmarkEnd w:id="1573"/>
      <w:r>
        <w:rPr>
          <w:b w:val="0"/>
        </w:rPr>
      </w:r>
      <w:bookmarkStart w:name="_bookmark627" w:id="1574"/>
      <w:bookmarkEnd w:id="1574"/>
      <w:r>
        <w:rPr/>
        <w:t>Side</w:t>
      </w:r>
      <w:r>
        <w:rPr/>
        <w:t> constraints on tariffs for standard control</w:t>
      </w:r>
      <w:r>
        <w:rPr>
          <w:spacing w:val="-8"/>
        </w:rPr>
        <w:t> </w:t>
      </w:r>
      <w:r>
        <w:rPr/>
        <w:t>services</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This clause applies only to </w:t>
      </w:r>
      <w:r>
        <w:rPr>
          <w:i/>
          <w:sz w:val="24"/>
        </w:rPr>
        <w:t>tariff classes </w:t>
      </w:r>
      <w:r>
        <w:rPr>
          <w:sz w:val="24"/>
        </w:rPr>
        <w:t>related to the provision of </w:t>
      </w:r>
      <w:r>
        <w:rPr>
          <w:i/>
          <w:sz w:val="24"/>
        </w:rPr>
        <w:t>standard </w:t>
      </w:r>
      <w:r>
        <w:rPr>
          <w:i/>
          <w:sz w:val="24"/>
        </w:rPr>
        <w:t>control</w:t>
      </w:r>
      <w:r>
        <w:rPr>
          <w:i/>
          <w:spacing w:val="-1"/>
          <w:sz w:val="24"/>
        </w:rPr>
        <w:t> </w:t>
      </w:r>
      <w:r>
        <w:rPr>
          <w:i/>
          <w:sz w:val="24"/>
        </w:rPr>
        <w:t>services</w:t>
      </w:r>
      <w:r>
        <w:rPr>
          <w:sz w:val="24"/>
        </w:rPr>
        <w:t>.</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The expected weighted average revenue to be raised from a </w:t>
      </w:r>
      <w:r>
        <w:rPr>
          <w:i/>
          <w:sz w:val="24"/>
        </w:rPr>
        <w:t>tariff class </w:t>
      </w:r>
      <w:r>
        <w:rPr>
          <w:sz w:val="24"/>
        </w:rPr>
        <w:t>for a particular </w:t>
      </w:r>
      <w:r>
        <w:rPr>
          <w:i/>
          <w:sz w:val="24"/>
        </w:rPr>
        <w:t>regulatory year </w:t>
      </w:r>
      <w:r>
        <w:rPr>
          <w:sz w:val="24"/>
        </w:rPr>
        <w:t>of a </w:t>
      </w:r>
      <w:r>
        <w:rPr>
          <w:i/>
          <w:sz w:val="24"/>
        </w:rPr>
        <w:t>regulatory control period </w:t>
      </w:r>
      <w:r>
        <w:rPr>
          <w:sz w:val="24"/>
        </w:rPr>
        <w:t>must not exceed the corresponding expected weighted average revenue for the</w:t>
      </w:r>
      <w:r>
        <w:rPr>
          <w:spacing w:val="37"/>
          <w:sz w:val="24"/>
        </w:rPr>
        <w:t> </w:t>
      </w:r>
      <w:r>
        <w:rPr>
          <w:sz w:val="24"/>
        </w:rPr>
        <w:t>preceding </w:t>
      </w:r>
      <w:r>
        <w:rPr>
          <w:i/>
          <w:sz w:val="24"/>
        </w:rPr>
        <w:t>regulatory year </w:t>
      </w:r>
      <w:r>
        <w:rPr>
          <w:sz w:val="24"/>
        </w:rPr>
        <w:t>in that </w:t>
      </w:r>
      <w:r>
        <w:rPr>
          <w:i/>
          <w:sz w:val="24"/>
        </w:rPr>
        <w:t>regulatory control period </w:t>
      </w:r>
      <w:r>
        <w:rPr>
          <w:sz w:val="24"/>
        </w:rPr>
        <w:t>by more than the permissible</w:t>
      </w:r>
      <w:r>
        <w:rPr>
          <w:spacing w:val="-2"/>
          <w:sz w:val="24"/>
        </w:rPr>
        <w:t> </w:t>
      </w:r>
      <w:r>
        <w:rPr>
          <w:sz w:val="24"/>
        </w:rPr>
        <w:t>percentage.</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The permissible percentage is the greater of the</w:t>
      </w:r>
      <w:r>
        <w:rPr>
          <w:spacing w:val="-1"/>
          <w:sz w:val="24"/>
        </w:rPr>
        <w:t> </w:t>
      </w:r>
      <w:r>
        <w:rPr>
          <w:sz w:val="24"/>
        </w:rPr>
        <w:t>following:</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the CPI-X limitation on any increase in the </w:t>
      </w:r>
      <w:r>
        <w:rPr>
          <w:i/>
          <w:sz w:val="24"/>
        </w:rPr>
        <w:t>Distribution Network </w:t>
      </w:r>
      <w:r>
        <w:rPr>
          <w:i/>
          <w:sz w:val="24"/>
        </w:rPr>
        <w:t>Service Provider's </w:t>
      </w:r>
      <w:r>
        <w:rPr>
          <w:sz w:val="24"/>
        </w:rPr>
        <w:t>expected weighted average revenue between the two </w:t>
      </w:r>
      <w:r>
        <w:rPr>
          <w:i/>
          <w:sz w:val="24"/>
        </w:rPr>
        <w:t>regulatory years </w:t>
      </w:r>
      <w:r>
        <w:rPr>
          <w:sz w:val="24"/>
        </w:rPr>
        <w:t>plus</w:t>
      </w:r>
      <w:r>
        <w:rPr>
          <w:spacing w:val="-3"/>
          <w:sz w:val="24"/>
        </w:rPr>
        <w:t> </w:t>
      </w:r>
      <w:r>
        <w:rPr>
          <w:sz w:val="24"/>
        </w:rPr>
        <w:t>2%;</w:t>
      </w:r>
    </w:p>
    <w:p>
      <w:pPr>
        <w:spacing w:before="120"/>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The calculation is of the form (1 + CPI)(1 – X)(1 + 2%)</w:t>
      </w:r>
    </w:p>
    <w:p>
      <w:pPr>
        <w:pStyle w:val="ListParagraph"/>
        <w:numPr>
          <w:ilvl w:val="4"/>
          <w:numId w:val="451"/>
        </w:numPr>
        <w:tabs>
          <w:tab w:pos="2485" w:val="left" w:leader="none"/>
          <w:tab w:pos="2486" w:val="left" w:leader="none"/>
        </w:tabs>
        <w:spacing w:line="240" w:lineRule="auto" w:before="120" w:after="0"/>
        <w:ind w:left="2485" w:right="0" w:hanging="567"/>
        <w:jc w:val="left"/>
        <w:rPr>
          <w:sz w:val="24"/>
        </w:rPr>
      </w:pPr>
      <w:r>
        <w:rPr>
          <w:sz w:val="24"/>
        </w:rPr>
        <w:t>CPI plus</w:t>
      </w:r>
      <w:r>
        <w:rPr>
          <w:spacing w:val="-1"/>
          <w:sz w:val="24"/>
        </w:rPr>
        <w:t> </w:t>
      </w:r>
      <w:r>
        <w:rPr>
          <w:sz w:val="24"/>
        </w:rPr>
        <w:t>2%.</w:t>
      </w:r>
    </w:p>
    <w:p>
      <w:pPr>
        <w:spacing w:after="0" w:line="240" w:lineRule="auto"/>
        <w:jc w:val="left"/>
        <w:rPr>
          <w:sz w:val="24"/>
        </w:rPr>
        <w:sectPr>
          <w:pgSz w:w="11910" w:h="16840"/>
          <w:pgMar w:header="686" w:footer="637" w:top="1320" w:bottom="820" w:left="1200" w:right="1000"/>
        </w:sectPr>
      </w:pPr>
    </w:p>
    <w:p>
      <w:pPr>
        <w:spacing w:before="83"/>
        <w:ind w:left="2486" w:right="0" w:firstLine="0"/>
        <w:jc w:val="left"/>
        <w:rPr>
          <w:rFonts w:ascii="Arial"/>
          <w:b/>
          <w:sz w:val="20"/>
        </w:rPr>
      </w:pPr>
      <w:r>
        <w:rPr>
          <w:rFonts w:ascii="Arial"/>
          <w:b/>
          <w:sz w:val="20"/>
        </w:rPr>
        <w:t>Note:</w:t>
      </w:r>
    </w:p>
    <w:p>
      <w:pPr>
        <w:spacing w:before="120"/>
        <w:ind w:left="2486" w:right="0" w:firstLine="0"/>
        <w:jc w:val="left"/>
        <w:rPr>
          <w:sz w:val="20"/>
        </w:rPr>
      </w:pPr>
      <w:r>
        <w:rPr>
          <w:sz w:val="20"/>
        </w:rPr>
        <w:t>The calculation is of the form (1 + CPI)(1 + 2%)</w:t>
      </w:r>
    </w:p>
    <w:p>
      <w:pPr>
        <w:pStyle w:val="ListParagraph"/>
        <w:numPr>
          <w:ilvl w:val="3"/>
          <w:numId w:val="451"/>
        </w:numPr>
        <w:tabs>
          <w:tab w:pos="1918" w:val="left" w:leader="none"/>
          <w:tab w:pos="1919" w:val="left" w:leader="none"/>
        </w:tabs>
        <w:spacing w:line="240" w:lineRule="auto" w:before="120" w:after="0"/>
        <w:ind w:left="1919" w:right="416" w:hanging="567"/>
        <w:jc w:val="left"/>
        <w:rPr>
          <w:sz w:val="24"/>
        </w:rPr>
      </w:pPr>
      <w:r>
        <w:rPr>
          <w:sz w:val="24"/>
        </w:rPr>
        <w:t>In deciding whether the permissible percentage has been exceeded in</w:t>
      </w:r>
      <w:r>
        <w:rPr>
          <w:spacing w:val="27"/>
          <w:sz w:val="24"/>
        </w:rPr>
        <w:t> </w:t>
      </w:r>
      <w:r>
        <w:rPr>
          <w:spacing w:val="-11"/>
          <w:sz w:val="24"/>
        </w:rPr>
        <w:t>a </w:t>
      </w:r>
      <w:r>
        <w:rPr>
          <w:sz w:val="24"/>
        </w:rPr>
        <w:t>particular </w:t>
      </w:r>
      <w:r>
        <w:rPr>
          <w:i/>
          <w:sz w:val="24"/>
        </w:rPr>
        <w:t>regulatory year</w:t>
      </w:r>
      <w:r>
        <w:rPr>
          <w:sz w:val="24"/>
        </w:rPr>
        <w:t>, the following are to be</w:t>
      </w:r>
      <w:r>
        <w:rPr>
          <w:spacing w:val="-5"/>
          <w:sz w:val="24"/>
        </w:rPr>
        <w:t> </w:t>
      </w:r>
      <w:r>
        <w:rPr>
          <w:sz w:val="24"/>
        </w:rPr>
        <w:t>disregarded:</w:t>
      </w:r>
    </w:p>
    <w:p>
      <w:pPr>
        <w:pStyle w:val="ListParagraph"/>
        <w:numPr>
          <w:ilvl w:val="4"/>
          <w:numId w:val="451"/>
        </w:numPr>
        <w:tabs>
          <w:tab w:pos="2485" w:val="left" w:leader="none"/>
          <w:tab w:pos="2486" w:val="left" w:leader="none"/>
        </w:tabs>
        <w:spacing w:line="240" w:lineRule="auto" w:before="120" w:after="0"/>
        <w:ind w:left="2486" w:right="415" w:hanging="567"/>
        <w:jc w:val="left"/>
        <w:rPr>
          <w:sz w:val="24"/>
        </w:rPr>
      </w:pPr>
      <w:r>
        <w:rPr>
          <w:sz w:val="24"/>
        </w:rPr>
        <w:t>the recovery of revenue to accommodate a variation to the distribution determination under rule 6.6 or</w:t>
      </w:r>
      <w:r>
        <w:rPr>
          <w:spacing w:val="-1"/>
          <w:sz w:val="24"/>
        </w:rPr>
        <w:t> </w:t>
      </w:r>
      <w:r>
        <w:rPr>
          <w:sz w:val="24"/>
        </w:rPr>
        <w:t>6.13;</w:t>
      </w:r>
    </w:p>
    <w:p>
      <w:pPr>
        <w:pStyle w:val="ListParagraph"/>
        <w:numPr>
          <w:ilvl w:val="4"/>
          <w:numId w:val="451"/>
        </w:numPr>
        <w:tabs>
          <w:tab w:pos="2485" w:val="left" w:leader="none"/>
          <w:tab w:pos="2486" w:val="left" w:leader="none"/>
        </w:tabs>
        <w:spacing w:line="240" w:lineRule="auto" w:before="120" w:after="0"/>
        <w:ind w:left="2486" w:right="415" w:hanging="567"/>
        <w:jc w:val="left"/>
        <w:rPr>
          <w:sz w:val="24"/>
        </w:rPr>
      </w:pPr>
      <w:r>
        <w:rPr>
          <w:sz w:val="24"/>
        </w:rPr>
        <w:t>the recovery of revenue to accommodate pass through of </w:t>
      </w:r>
      <w:r>
        <w:rPr>
          <w:i/>
          <w:sz w:val="24"/>
        </w:rPr>
        <w:t>designated </w:t>
      </w:r>
      <w:r>
        <w:rPr>
          <w:i/>
          <w:sz w:val="24"/>
        </w:rPr>
        <w:t>pricing proposal charges </w:t>
      </w:r>
      <w:r>
        <w:rPr>
          <w:sz w:val="24"/>
        </w:rPr>
        <w:t>to </w:t>
      </w:r>
      <w:r>
        <w:rPr>
          <w:i/>
          <w:sz w:val="24"/>
        </w:rPr>
        <w:t>retail</w:t>
      </w:r>
      <w:r>
        <w:rPr>
          <w:i/>
          <w:spacing w:val="-1"/>
          <w:sz w:val="24"/>
        </w:rPr>
        <w:t> </w:t>
      </w:r>
      <w:r>
        <w:rPr>
          <w:i/>
          <w:sz w:val="24"/>
        </w:rPr>
        <w:t>customers</w:t>
      </w:r>
      <w:r>
        <w:rPr>
          <w:sz w:val="24"/>
        </w:rPr>
        <w:t>;</w:t>
      </w:r>
    </w:p>
    <w:p>
      <w:pPr>
        <w:pStyle w:val="ListParagraph"/>
        <w:numPr>
          <w:ilvl w:val="4"/>
          <w:numId w:val="451"/>
        </w:numPr>
        <w:tabs>
          <w:tab w:pos="2485" w:val="left" w:leader="none"/>
          <w:tab w:pos="2486" w:val="left" w:leader="none"/>
          <w:tab w:pos="3008" w:val="left" w:leader="none"/>
          <w:tab w:pos="4076" w:val="left" w:leader="none"/>
          <w:tab w:pos="4505" w:val="left" w:leader="none"/>
          <w:tab w:pos="5493" w:val="left" w:leader="none"/>
          <w:tab w:pos="5909" w:val="left" w:leader="none"/>
          <w:tab w:pos="7471" w:val="left" w:leader="none"/>
          <w:tab w:pos="8113" w:val="left" w:leader="none"/>
          <w:tab w:pos="9089" w:val="left" w:leader="none"/>
        </w:tabs>
        <w:spacing w:line="240" w:lineRule="auto" w:before="120" w:after="0"/>
        <w:ind w:left="2485" w:right="0" w:hanging="567"/>
        <w:jc w:val="left"/>
        <w:rPr>
          <w:sz w:val="24"/>
        </w:rPr>
      </w:pPr>
      <w:r>
        <w:rPr>
          <w:sz w:val="24"/>
        </w:rPr>
        <w:t>the</w:t>
        <w:tab/>
        <w:t>recovery</w:t>
        <w:tab/>
        <w:t>of</w:t>
        <w:tab/>
        <w:t>revenue</w:t>
        <w:tab/>
        <w:t>to</w:t>
        <w:tab/>
        <w:t>accommodate</w:t>
        <w:tab/>
        <w:t>pass</w:t>
        <w:tab/>
        <w:t>through</w:t>
        <w:tab/>
        <w:t>of</w:t>
      </w:r>
    </w:p>
    <w:p>
      <w:pPr>
        <w:spacing w:before="0"/>
        <w:ind w:left="2486" w:right="0" w:firstLine="0"/>
        <w:jc w:val="left"/>
        <w:rPr>
          <w:i/>
          <w:sz w:val="24"/>
        </w:rPr>
      </w:pPr>
      <w:r>
        <w:rPr>
          <w:i/>
          <w:sz w:val="24"/>
        </w:rPr>
        <w:t>jurisdictional scheme amounts </w:t>
      </w:r>
      <w:r>
        <w:rPr>
          <w:sz w:val="24"/>
        </w:rPr>
        <w:t>for </w:t>
      </w:r>
      <w:r>
        <w:rPr>
          <w:i/>
          <w:sz w:val="24"/>
        </w:rPr>
        <w:t>approved jurisdictional schemes.</w:t>
      </w:r>
    </w:p>
    <w:p>
      <w:pPr>
        <w:pStyle w:val="Heading4"/>
        <w:numPr>
          <w:ilvl w:val="3"/>
          <w:numId w:val="451"/>
        </w:numPr>
        <w:tabs>
          <w:tab w:pos="1918" w:val="left" w:leader="none"/>
          <w:tab w:pos="1919" w:val="left" w:leader="none"/>
        </w:tabs>
        <w:spacing w:line="240" w:lineRule="auto" w:before="120" w:after="0"/>
        <w:ind w:left="1918" w:right="0" w:hanging="567"/>
        <w:jc w:val="left"/>
        <w:rPr>
          <w:rFonts w:ascii="Times New Roman"/>
          <w:b w:val="0"/>
        </w:rPr>
      </w:pPr>
      <w:r>
        <w:rPr>
          <w:rFonts w:ascii="Times New Roman"/>
        </w:rPr>
        <w:t>[Deleted]</w:t>
      </w:r>
      <w:r>
        <w:rPr>
          <w:rFonts w:ascii="Times New Roman"/>
          <w:b w:val="0"/>
        </w:rPr>
        <w:t>.</w:t>
      </w:r>
    </w:p>
    <w:p>
      <w:pPr>
        <w:pStyle w:val="BodyText"/>
        <w:spacing w:before="10"/>
        <w:ind w:firstLine="0"/>
        <w:jc w:val="left"/>
        <w:rPr>
          <w:sz w:val="20"/>
        </w:rPr>
      </w:pPr>
    </w:p>
    <w:p>
      <w:pPr>
        <w:pStyle w:val="Heading4"/>
        <w:numPr>
          <w:ilvl w:val="2"/>
          <w:numId w:val="451"/>
        </w:numPr>
        <w:tabs>
          <w:tab w:pos="1351" w:val="left" w:leader="none"/>
          <w:tab w:pos="1352" w:val="left" w:leader="none"/>
        </w:tabs>
        <w:spacing w:line="240" w:lineRule="auto" w:before="0" w:after="0"/>
        <w:ind w:left="1351" w:right="0" w:hanging="1134"/>
        <w:jc w:val="left"/>
      </w:pPr>
      <w:bookmarkStart w:name="6.18.7 Recovery of designated pricing pr" w:id="1575"/>
      <w:bookmarkEnd w:id="1575"/>
      <w:r>
        <w:rPr>
          <w:b w:val="0"/>
        </w:rPr>
      </w:r>
      <w:bookmarkStart w:name="_bookmark628" w:id="1576"/>
      <w:bookmarkEnd w:id="1576"/>
      <w:r>
        <w:rPr>
          <w:b w:val="0"/>
        </w:rPr>
      </w:r>
      <w:bookmarkStart w:name="_bookmark628" w:id="1577"/>
      <w:bookmarkEnd w:id="1577"/>
      <w:r>
        <w:rPr/>
        <w:t>Recov</w:t>
      </w:r>
      <w:r>
        <w:rPr/>
        <w:t>ery of designated pricing proposal</w:t>
      </w:r>
      <w:r>
        <w:rPr>
          <w:spacing w:val="-5"/>
        </w:rPr>
        <w:t> </w:t>
      </w:r>
      <w:r>
        <w:rPr/>
        <w:t>charges</w:t>
      </w:r>
    </w:p>
    <w:p>
      <w:pPr>
        <w:pStyle w:val="ListParagraph"/>
        <w:numPr>
          <w:ilvl w:val="3"/>
          <w:numId w:val="451"/>
        </w:numPr>
        <w:tabs>
          <w:tab w:pos="1919" w:val="left" w:leader="none"/>
        </w:tabs>
        <w:spacing w:line="240" w:lineRule="auto" w:before="120" w:after="0"/>
        <w:ind w:left="1919" w:right="415" w:hanging="567"/>
        <w:jc w:val="both"/>
        <w:rPr>
          <w:sz w:val="24"/>
        </w:rPr>
      </w:pPr>
      <w:r>
        <w:rPr>
          <w:sz w:val="24"/>
        </w:rPr>
        <w:t>A </w:t>
      </w:r>
      <w:r>
        <w:rPr>
          <w:i/>
          <w:sz w:val="24"/>
        </w:rPr>
        <w:t>pricing proposal </w:t>
      </w:r>
      <w:r>
        <w:rPr>
          <w:sz w:val="24"/>
        </w:rPr>
        <w:t>must provide for tariffs designed to pass on to </w:t>
      </w:r>
      <w:r>
        <w:rPr>
          <w:i/>
          <w:sz w:val="24"/>
        </w:rPr>
        <w:t>retail </w:t>
      </w:r>
      <w:r>
        <w:rPr>
          <w:i/>
          <w:sz w:val="24"/>
        </w:rPr>
        <w:t>customers </w:t>
      </w:r>
      <w:r>
        <w:rPr>
          <w:sz w:val="24"/>
        </w:rPr>
        <w:t>the </w:t>
      </w:r>
      <w:r>
        <w:rPr>
          <w:i/>
          <w:sz w:val="24"/>
        </w:rPr>
        <w:t>designated pricing proposal charges </w:t>
      </w:r>
      <w:r>
        <w:rPr>
          <w:sz w:val="24"/>
        </w:rPr>
        <w:t>to be incurred by </w:t>
      </w:r>
      <w:r>
        <w:rPr>
          <w:spacing w:val="-5"/>
          <w:sz w:val="24"/>
        </w:rPr>
        <w:t>the </w:t>
      </w:r>
      <w:r>
        <w:rPr>
          <w:i/>
          <w:sz w:val="24"/>
        </w:rPr>
        <w:t>Distribution Network Service</w:t>
      </w:r>
      <w:r>
        <w:rPr>
          <w:i/>
          <w:spacing w:val="-2"/>
          <w:sz w:val="24"/>
        </w:rPr>
        <w:t> </w:t>
      </w:r>
      <w:r>
        <w:rPr>
          <w:i/>
          <w:sz w:val="24"/>
        </w:rPr>
        <w:t>Provider</w:t>
      </w:r>
      <w:r>
        <w:rPr>
          <w:sz w:val="24"/>
        </w:rPr>
        <w:t>.</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The amount to be passed on to </w:t>
      </w:r>
      <w:r>
        <w:rPr>
          <w:i/>
          <w:sz w:val="24"/>
        </w:rPr>
        <w:t>retail customers </w:t>
      </w:r>
      <w:r>
        <w:rPr>
          <w:sz w:val="24"/>
        </w:rPr>
        <w:t>for a particular </w:t>
      </w:r>
      <w:r>
        <w:rPr>
          <w:i/>
          <w:sz w:val="24"/>
        </w:rPr>
        <w:t>regulatory </w:t>
      </w:r>
      <w:r>
        <w:rPr>
          <w:i/>
          <w:sz w:val="24"/>
        </w:rPr>
        <w:t>year </w:t>
      </w:r>
      <w:r>
        <w:rPr>
          <w:sz w:val="24"/>
        </w:rPr>
        <w:t>must not exceed the estimated amount of the </w:t>
      </w:r>
      <w:r>
        <w:rPr>
          <w:i/>
          <w:sz w:val="24"/>
        </w:rPr>
        <w:t>designated pricing </w:t>
      </w:r>
      <w:r>
        <w:rPr>
          <w:i/>
          <w:sz w:val="24"/>
        </w:rPr>
        <w:t>proposal charges </w:t>
      </w:r>
      <w:r>
        <w:rPr>
          <w:sz w:val="24"/>
        </w:rPr>
        <w:t>adjusted for over or under recovery in accordance </w:t>
      </w:r>
      <w:r>
        <w:rPr>
          <w:spacing w:val="-4"/>
          <w:sz w:val="24"/>
        </w:rPr>
        <w:t>with </w:t>
      </w:r>
      <w:r>
        <w:rPr>
          <w:sz w:val="24"/>
        </w:rPr>
        <w:t>paragraph (c).</w:t>
      </w:r>
    </w:p>
    <w:p>
      <w:pPr>
        <w:pStyle w:val="ListParagraph"/>
        <w:numPr>
          <w:ilvl w:val="3"/>
          <w:numId w:val="451"/>
        </w:numPr>
        <w:tabs>
          <w:tab w:pos="1919" w:val="left" w:leader="none"/>
        </w:tabs>
        <w:spacing w:line="240" w:lineRule="auto" w:before="120" w:after="0"/>
        <w:ind w:left="1918" w:right="0" w:hanging="567"/>
        <w:jc w:val="both"/>
        <w:rPr>
          <w:sz w:val="24"/>
        </w:rPr>
      </w:pPr>
      <w:r>
        <w:rPr>
          <w:sz w:val="24"/>
        </w:rPr>
        <w:t>The over and under recovery amount must be calculated in a way</w:t>
      </w:r>
      <w:r>
        <w:rPr>
          <w:spacing w:val="-5"/>
          <w:sz w:val="24"/>
        </w:rPr>
        <w:t> </w:t>
      </w:r>
      <w:r>
        <w:rPr>
          <w:sz w:val="24"/>
        </w:rPr>
        <w:t>that:</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subject to subparagraphs (2) and (3) below, is consistent with the method determined by the </w:t>
      </w:r>
      <w:r>
        <w:rPr>
          <w:i/>
          <w:sz w:val="24"/>
        </w:rPr>
        <w:t>AER </w:t>
      </w:r>
      <w:r>
        <w:rPr>
          <w:sz w:val="24"/>
        </w:rPr>
        <w:t>in the relevant distribution determination for the </w:t>
      </w:r>
      <w:r>
        <w:rPr>
          <w:i/>
          <w:sz w:val="24"/>
        </w:rPr>
        <w:t>Distribution Network Service</w:t>
      </w:r>
      <w:r>
        <w:rPr>
          <w:i/>
          <w:spacing w:val="-3"/>
          <w:sz w:val="24"/>
        </w:rPr>
        <w:t> </w:t>
      </w:r>
      <w:r>
        <w:rPr>
          <w:i/>
          <w:sz w:val="24"/>
        </w:rPr>
        <w:t>Provider</w:t>
      </w:r>
      <w:r>
        <w:rPr>
          <w:sz w:val="24"/>
        </w:rPr>
        <w:t>;</w:t>
      </w:r>
    </w:p>
    <w:p>
      <w:pPr>
        <w:pStyle w:val="ListParagraph"/>
        <w:numPr>
          <w:ilvl w:val="4"/>
          <w:numId w:val="451"/>
        </w:numPr>
        <w:tabs>
          <w:tab w:pos="2486" w:val="left" w:leader="none"/>
        </w:tabs>
        <w:spacing w:line="240" w:lineRule="auto" w:before="120" w:after="0"/>
        <w:ind w:left="2486" w:right="415" w:hanging="567"/>
        <w:jc w:val="both"/>
        <w:rPr>
          <w:sz w:val="24"/>
        </w:rPr>
      </w:pPr>
      <w:r>
        <w:rPr>
          <w:sz w:val="24"/>
        </w:rPr>
        <w:t>ensures a </w:t>
      </w:r>
      <w:r>
        <w:rPr>
          <w:i/>
          <w:sz w:val="24"/>
        </w:rPr>
        <w:t>Distribution Network Service Provider </w:t>
      </w:r>
      <w:r>
        <w:rPr>
          <w:sz w:val="24"/>
        </w:rPr>
        <w:t>is able to recover from </w:t>
      </w:r>
      <w:r>
        <w:rPr>
          <w:i/>
          <w:sz w:val="24"/>
        </w:rPr>
        <w:t>retail customers </w:t>
      </w:r>
      <w:r>
        <w:rPr>
          <w:sz w:val="24"/>
        </w:rPr>
        <w:t>no more and no less than the </w:t>
      </w:r>
      <w:r>
        <w:rPr>
          <w:i/>
          <w:sz w:val="24"/>
        </w:rPr>
        <w:t>designated pricing </w:t>
      </w:r>
      <w:r>
        <w:rPr>
          <w:i/>
          <w:sz w:val="24"/>
        </w:rPr>
        <w:t>proposal charges </w:t>
      </w:r>
      <w:r>
        <w:rPr>
          <w:sz w:val="24"/>
        </w:rPr>
        <w:t>it incurs;</w:t>
      </w:r>
      <w:r>
        <w:rPr>
          <w:spacing w:val="-1"/>
          <w:sz w:val="24"/>
        </w:rPr>
        <w:t> </w:t>
      </w:r>
      <w:r>
        <w:rPr>
          <w:sz w:val="24"/>
        </w:rPr>
        <w:t>and</w:t>
      </w:r>
    </w:p>
    <w:p>
      <w:pPr>
        <w:pStyle w:val="ListParagraph"/>
        <w:numPr>
          <w:ilvl w:val="4"/>
          <w:numId w:val="451"/>
        </w:numPr>
        <w:tabs>
          <w:tab w:pos="2486" w:val="left" w:leader="none"/>
        </w:tabs>
        <w:spacing w:line="240" w:lineRule="auto" w:before="120" w:after="0"/>
        <w:ind w:left="2486" w:right="414" w:hanging="567"/>
        <w:jc w:val="both"/>
        <w:rPr>
          <w:sz w:val="24"/>
        </w:rPr>
      </w:pPr>
      <w:r>
        <w:rPr>
          <w:sz w:val="24"/>
        </w:rPr>
        <w:t>adjusts for an appropriate cost of capital that is consistent with </w:t>
      </w:r>
      <w:r>
        <w:rPr>
          <w:spacing w:val="-4"/>
          <w:sz w:val="24"/>
        </w:rPr>
        <w:t>the </w:t>
      </w:r>
      <w:r>
        <w:rPr>
          <w:i/>
          <w:sz w:val="24"/>
        </w:rPr>
        <w:t>allowed rate of return </w:t>
      </w:r>
      <w:r>
        <w:rPr>
          <w:sz w:val="24"/>
        </w:rPr>
        <w:t>used in the relevant distribution determination for the relevant </w:t>
      </w:r>
      <w:r>
        <w:rPr>
          <w:i/>
          <w:sz w:val="24"/>
        </w:rPr>
        <w:t>regulatory</w:t>
      </w:r>
      <w:r>
        <w:rPr>
          <w:i/>
          <w:spacing w:val="-2"/>
          <w:sz w:val="24"/>
        </w:rPr>
        <w:t> </w:t>
      </w:r>
      <w:r>
        <w:rPr>
          <w:i/>
          <w:sz w:val="24"/>
        </w:rPr>
        <w:t>year</w:t>
      </w:r>
      <w:r>
        <w:rPr>
          <w:sz w:val="24"/>
        </w:rPr>
        <w:t>.</w:t>
      </w:r>
    </w:p>
    <w:p>
      <w:pPr>
        <w:pStyle w:val="ListParagraph"/>
        <w:numPr>
          <w:ilvl w:val="3"/>
          <w:numId w:val="451"/>
        </w:numPr>
        <w:tabs>
          <w:tab w:pos="1919" w:val="left" w:leader="none"/>
        </w:tabs>
        <w:spacing w:line="240" w:lineRule="auto" w:before="120" w:after="0"/>
        <w:ind w:left="1919" w:right="414" w:hanging="567"/>
        <w:jc w:val="both"/>
        <w:rPr>
          <w:sz w:val="24"/>
        </w:rPr>
      </w:pPr>
      <w:r>
        <w:rPr>
          <w:sz w:val="24"/>
        </w:rPr>
        <w:t>Notwithstanding anything else in this clause 6.18.7, a </w:t>
      </w:r>
      <w:r>
        <w:rPr>
          <w:i/>
          <w:sz w:val="24"/>
        </w:rPr>
        <w:t>Distribution Network </w:t>
      </w:r>
      <w:r>
        <w:rPr>
          <w:i/>
          <w:sz w:val="24"/>
        </w:rPr>
        <w:t>Service Provider </w:t>
      </w:r>
      <w:r>
        <w:rPr>
          <w:sz w:val="24"/>
        </w:rPr>
        <w:t>may not recover charges under this clause to the extent these are:</w:t>
      </w:r>
    </w:p>
    <w:p>
      <w:pPr>
        <w:pStyle w:val="ListParagraph"/>
        <w:numPr>
          <w:ilvl w:val="4"/>
          <w:numId w:val="451"/>
        </w:numPr>
        <w:tabs>
          <w:tab w:pos="2485" w:val="left" w:leader="none"/>
          <w:tab w:pos="2486" w:val="left" w:leader="none"/>
        </w:tabs>
        <w:spacing w:line="240" w:lineRule="auto" w:before="120" w:after="0"/>
        <w:ind w:left="2486" w:right="416" w:hanging="567"/>
        <w:jc w:val="left"/>
        <w:rPr>
          <w:sz w:val="24"/>
        </w:rPr>
      </w:pPr>
      <w:r>
        <w:rPr>
          <w:sz w:val="24"/>
        </w:rPr>
        <w:t>recovered through the </w:t>
      </w:r>
      <w:r>
        <w:rPr>
          <w:i/>
          <w:sz w:val="24"/>
        </w:rPr>
        <w:t>Distribution Network Service Provider's annual </w:t>
      </w:r>
      <w:r>
        <w:rPr>
          <w:i/>
          <w:sz w:val="24"/>
        </w:rPr>
        <w:t>revenue</w:t>
      </w:r>
      <w:r>
        <w:rPr>
          <w:i/>
          <w:spacing w:val="-2"/>
          <w:sz w:val="24"/>
        </w:rPr>
        <w:t> </w:t>
      </w:r>
      <w:r>
        <w:rPr>
          <w:i/>
          <w:sz w:val="24"/>
        </w:rPr>
        <w:t>requirement</w:t>
      </w:r>
      <w:r>
        <w:rPr>
          <w:sz w:val="24"/>
        </w:rPr>
        <w:t>;</w:t>
      </w:r>
    </w:p>
    <w:p>
      <w:pPr>
        <w:pStyle w:val="ListParagraph"/>
        <w:numPr>
          <w:ilvl w:val="4"/>
          <w:numId w:val="451"/>
        </w:numPr>
        <w:tabs>
          <w:tab w:pos="2485" w:val="left" w:leader="none"/>
          <w:tab w:pos="2486" w:val="left" w:leader="none"/>
        </w:tabs>
        <w:spacing w:line="240" w:lineRule="auto" w:before="120" w:after="0"/>
        <w:ind w:left="2485" w:right="0" w:hanging="567"/>
        <w:jc w:val="left"/>
        <w:rPr>
          <w:sz w:val="24"/>
        </w:rPr>
      </w:pPr>
      <w:r>
        <w:rPr>
          <w:sz w:val="24"/>
        </w:rPr>
        <w:t>recovered under clause 6.18.7A;</w:t>
      </w:r>
      <w:r>
        <w:rPr>
          <w:spacing w:val="-1"/>
          <w:sz w:val="24"/>
        </w:rPr>
        <w:t> </w:t>
      </w:r>
      <w:r>
        <w:rPr>
          <w:sz w:val="24"/>
        </w:rPr>
        <w:t>or</w:t>
      </w:r>
    </w:p>
    <w:p>
      <w:pPr>
        <w:pStyle w:val="ListParagraph"/>
        <w:numPr>
          <w:ilvl w:val="4"/>
          <w:numId w:val="451"/>
        </w:numPr>
        <w:tabs>
          <w:tab w:pos="2485" w:val="left" w:leader="none"/>
          <w:tab w:pos="2486" w:val="left" w:leader="none"/>
        </w:tabs>
        <w:spacing w:line="240" w:lineRule="auto" w:before="120" w:after="0"/>
        <w:ind w:left="2485" w:right="0" w:hanging="567"/>
        <w:jc w:val="left"/>
        <w:rPr>
          <w:sz w:val="24"/>
        </w:rPr>
      </w:pPr>
      <w:r>
        <w:rPr>
          <w:sz w:val="24"/>
        </w:rPr>
        <w:t>recovered from another </w:t>
      </w:r>
      <w:r>
        <w:rPr>
          <w:i/>
          <w:sz w:val="24"/>
        </w:rPr>
        <w:t>Distribution Network Service</w:t>
      </w:r>
      <w:r>
        <w:rPr>
          <w:i/>
          <w:spacing w:val="-5"/>
          <w:sz w:val="24"/>
        </w:rPr>
        <w:t> </w:t>
      </w:r>
      <w:r>
        <w:rPr>
          <w:i/>
          <w:sz w:val="24"/>
        </w:rPr>
        <w:t>Provider</w:t>
      </w:r>
      <w:r>
        <w:rPr>
          <w:sz w:val="24"/>
        </w:rPr>
        <w:t>.</w:t>
      </w:r>
    </w:p>
    <w:p>
      <w:pPr>
        <w:pStyle w:val="BodyText"/>
        <w:spacing w:before="10"/>
        <w:ind w:firstLine="0"/>
        <w:jc w:val="left"/>
        <w:rPr>
          <w:sz w:val="20"/>
        </w:rPr>
      </w:pPr>
    </w:p>
    <w:p>
      <w:pPr>
        <w:pStyle w:val="Heading4"/>
        <w:numPr>
          <w:ilvl w:val="2"/>
          <w:numId w:val="452"/>
        </w:numPr>
        <w:tabs>
          <w:tab w:pos="887" w:val="left" w:leader="none"/>
          <w:tab w:pos="1351" w:val="left" w:leader="none"/>
        </w:tabs>
        <w:spacing w:line="240" w:lineRule="auto" w:before="0" w:after="0"/>
        <w:ind w:left="886" w:right="0" w:hanging="669"/>
        <w:jc w:val="left"/>
      </w:pPr>
      <w:bookmarkStart w:name="6.18.7A Recovery of jurisdictional schem" w:id="1578"/>
      <w:bookmarkEnd w:id="1578"/>
      <w:r>
        <w:rPr>
          <w:b w:val="0"/>
        </w:rPr>
      </w:r>
      <w:bookmarkStart w:name="_bookmark629" w:id="1579"/>
      <w:bookmarkEnd w:id="1579"/>
      <w:r>
        <w:rPr>
          <w:b w:val="0"/>
        </w:rPr>
      </w:r>
      <w:bookmarkStart w:name="_bookmark629" w:id="1580"/>
      <w:bookmarkEnd w:id="1580"/>
      <w:r>
        <w:rPr/>
        <w:t>A</w:t>
      </w:r>
      <w:r>
        <w:rPr/>
        <w:tab/>
        <w:t>Recovery of jurisdictional scheme</w:t>
      </w:r>
      <w:r>
        <w:rPr>
          <w:spacing w:val="-6"/>
        </w:rPr>
        <w:t> </w:t>
      </w:r>
      <w:r>
        <w:rPr/>
        <w:t>amounts</w:t>
      </w:r>
    </w:p>
    <w:p>
      <w:pPr>
        <w:spacing w:before="120"/>
        <w:ind w:left="1352" w:right="0" w:firstLine="0"/>
        <w:jc w:val="both"/>
        <w:rPr>
          <w:b/>
          <w:sz w:val="24"/>
        </w:rPr>
      </w:pPr>
      <w:r>
        <w:rPr>
          <w:b/>
          <w:sz w:val="24"/>
        </w:rPr>
        <w:t>Pricing Proposal</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A </w:t>
      </w:r>
      <w:r>
        <w:rPr>
          <w:i/>
          <w:sz w:val="24"/>
        </w:rPr>
        <w:t>pricing proposal </w:t>
      </w:r>
      <w:r>
        <w:rPr>
          <w:sz w:val="24"/>
        </w:rPr>
        <w:t>must provide for tariffs designed to pass on to customers a </w:t>
      </w:r>
      <w:r>
        <w:rPr>
          <w:i/>
          <w:sz w:val="24"/>
        </w:rPr>
        <w:t>Distribution Network Service Provider's jurisdictional scheme amounts  </w:t>
      </w:r>
      <w:r>
        <w:rPr>
          <w:sz w:val="24"/>
        </w:rPr>
        <w:t>for </w:t>
      </w:r>
      <w:r>
        <w:rPr>
          <w:i/>
          <w:sz w:val="24"/>
        </w:rPr>
        <w:t>approved jurisdictional</w:t>
      </w:r>
      <w:r>
        <w:rPr>
          <w:i/>
          <w:spacing w:val="-1"/>
          <w:sz w:val="24"/>
        </w:rPr>
        <w:t> </w:t>
      </w:r>
      <w:r>
        <w:rPr>
          <w:i/>
          <w:sz w:val="24"/>
        </w:rPr>
        <w:t>schemes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452"/>
        </w:numPr>
        <w:tabs>
          <w:tab w:pos="1919" w:val="left" w:leader="none"/>
        </w:tabs>
        <w:spacing w:line="240" w:lineRule="auto" w:before="83" w:after="0"/>
        <w:ind w:left="1919" w:right="415" w:hanging="567"/>
        <w:jc w:val="both"/>
        <w:rPr>
          <w:sz w:val="24"/>
        </w:rPr>
      </w:pPr>
      <w:r>
        <w:rPr>
          <w:sz w:val="24"/>
        </w:rPr>
        <w:t>The amount to be passed on to customers for a particular </w:t>
      </w:r>
      <w:r>
        <w:rPr>
          <w:i/>
          <w:sz w:val="24"/>
        </w:rPr>
        <w:t>regulatory year </w:t>
      </w:r>
      <w:r>
        <w:rPr>
          <w:sz w:val="24"/>
        </w:rPr>
        <w:t>must not exceed the estimated amount of </w:t>
      </w:r>
      <w:r>
        <w:rPr>
          <w:i/>
          <w:sz w:val="24"/>
        </w:rPr>
        <w:t>jurisdictional scheme amounts </w:t>
      </w:r>
      <w:r>
        <w:rPr>
          <w:sz w:val="24"/>
        </w:rPr>
        <w:t>for a </w:t>
      </w:r>
      <w:r>
        <w:rPr>
          <w:i/>
          <w:sz w:val="24"/>
        </w:rPr>
        <w:t>Distribution Network Service Provider's approved jurisdictional schemes </w:t>
      </w:r>
      <w:r>
        <w:rPr>
          <w:sz w:val="24"/>
        </w:rPr>
        <w:t>adjusted for over or under recovery in accordance with paragraph</w:t>
      </w:r>
      <w:r>
        <w:rPr>
          <w:spacing w:val="-3"/>
          <w:sz w:val="24"/>
        </w:rPr>
        <w:t> </w:t>
      </w:r>
      <w:r>
        <w:rPr>
          <w:sz w:val="24"/>
        </w:rPr>
        <w:t>(c).</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The over and under recovery amount must be calculated in a way</w:t>
      </w:r>
      <w:r>
        <w:rPr>
          <w:spacing w:val="-5"/>
          <w:sz w:val="24"/>
        </w:rPr>
        <w:t> </w:t>
      </w:r>
      <w:r>
        <w:rPr>
          <w:sz w:val="24"/>
        </w:rPr>
        <w:t>that:</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subject to subparagraphs (2) and (3) below, is consistent with the method determined by the </w:t>
      </w:r>
      <w:r>
        <w:rPr>
          <w:i/>
          <w:sz w:val="24"/>
        </w:rPr>
        <w:t>AER </w:t>
      </w:r>
      <w:r>
        <w:rPr>
          <w:sz w:val="24"/>
        </w:rPr>
        <w:t>for </w:t>
      </w:r>
      <w:r>
        <w:rPr>
          <w:i/>
          <w:sz w:val="24"/>
        </w:rPr>
        <w:t>jurisdictional scheme amounts </w:t>
      </w:r>
      <w:r>
        <w:rPr>
          <w:sz w:val="24"/>
        </w:rPr>
        <w:t>in the relevant distribution determination for the </w:t>
      </w:r>
      <w:r>
        <w:rPr>
          <w:i/>
          <w:sz w:val="24"/>
        </w:rPr>
        <w:t>Distribution Network </w:t>
      </w:r>
      <w:r>
        <w:rPr>
          <w:i/>
          <w:sz w:val="24"/>
        </w:rPr>
        <w:t>Service Provider</w:t>
      </w:r>
      <w:r>
        <w:rPr>
          <w:sz w:val="24"/>
        </w:rPr>
        <w:t>, or where no such method has been determined, with the method determined by the </w:t>
      </w:r>
      <w:r>
        <w:rPr>
          <w:i/>
          <w:sz w:val="24"/>
        </w:rPr>
        <w:t>AER </w:t>
      </w:r>
      <w:r>
        <w:rPr>
          <w:sz w:val="24"/>
        </w:rPr>
        <w:t>in the relevant distribution determination in respect of </w:t>
      </w:r>
      <w:r>
        <w:rPr>
          <w:i/>
          <w:sz w:val="24"/>
        </w:rPr>
        <w:t>designated pricing proposal</w:t>
      </w:r>
      <w:r>
        <w:rPr>
          <w:i/>
          <w:spacing w:val="-3"/>
          <w:sz w:val="24"/>
        </w:rPr>
        <w:t> </w:t>
      </w:r>
      <w:r>
        <w:rPr>
          <w:i/>
          <w:sz w:val="24"/>
        </w:rPr>
        <w:t>charges</w:t>
      </w:r>
      <w:r>
        <w:rPr>
          <w:sz w:val="24"/>
        </w:rPr>
        <w:t>;</w:t>
      </w:r>
    </w:p>
    <w:p>
      <w:pPr>
        <w:pStyle w:val="ListParagraph"/>
        <w:numPr>
          <w:ilvl w:val="4"/>
          <w:numId w:val="452"/>
        </w:numPr>
        <w:tabs>
          <w:tab w:pos="2486" w:val="left" w:leader="none"/>
        </w:tabs>
        <w:spacing w:line="240" w:lineRule="auto" w:before="120" w:after="0"/>
        <w:ind w:left="2486" w:right="413" w:hanging="567"/>
        <w:jc w:val="both"/>
        <w:rPr>
          <w:sz w:val="24"/>
        </w:rPr>
      </w:pPr>
      <w:r>
        <w:rPr>
          <w:sz w:val="24"/>
        </w:rPr>
        <w:t>ensures a </w:t>
      </w:r>
      <w:r>
        <w:rPr>
          <w:i/>
          <w:sz w:val="24"/>
        </w:rPr>
        <w:t>Distribution Network Service Provider </w:t>
      </w:r>
      <w:r>
        <w:rPr>
          <w:sz w:val="24"/>
        </w:rPr>
        <w:t>is able to recover from customers no more and no less than the </w:t>
      </w:r>
      <w:r>
        <w:rPr>
          <w:i/>
          <w:sz w:val="24"/>
        </w:rPr>
        <w:t>jurisdictional scheme </w:t>
      </w:r>
      <w:r>
        <w:rPr>
          <w:i/>
          <w:sz w:val="24"/>
        </w:rPr>
        <w:t>amounts </w:t>
      </w:r>
      <w:r>
        <w:rPr>
          <w:sz w:val="24"/>
        </w:rPr>
        <w:t>it incurs;</w:t>
      </w:r>
      <w:r>
        <w:rPr>
          <w:spacing w:val="-1"/>
          <w:sz w:val="24"/>
        </w:rPr>
        <w:t> </w:t>
      </w:r>
      <w:r>
        <w:rPr>
          <w:sz w:val="24"/>
        </w:rPr>
        <w:t>and</w:t>
      </w:r>
    </w:p>
    <w:p>
      <w:pPr>
        <w:pStyle w:val="ListParagraph"/>
        <w:numPr>
          <w:ilvl w:val="4"/>
          <w:numId w:val="452"/>
        </w:numPr>
        <w:tabs>
          <w:tab w:pos="2486" w:val="left" w:leader="none"/>
        </w:tabs>
        <w:spacing w:line="240" w:lineRule="auto" w:before="120" w:after="0"/>
        <w:ind w:left="2486" w:right="414" w:hanging="567"/>
        <w:jc w:val="both"/>
        <w:rPr>
          <w:sz w:val="24"/>
        </w:rPr>
      </w:pPr>
      <w:r>
        <w:rPr>
          <w:sz w:val="24"/>
        </w:rPr>
        <w:t>adjusts for an appropriate cost of capital that is consistent with </w:t>
      </w:r>
      <w:r>
        <w:rPr>
          <w:spacing w:val="-4"/>
          <w:sz w:val="24"/>
        </w:rPr>
        <w:t>the </w:t>
      </w:r>
      <w:r>
        <w:rPr>
          <w:i/>
          <w:sz w:val="24"/>
        </w:rPr>
        <w:t>allowed rate of return </w:t>
      </w:r>
      <w:r>
        <w:rPr>
          <w:sz w:val="24"/>
        </w:rPr>
        <w:t>used in the relevant distribution determination for the relevant </w:t>
      </w:r>
      <w:r>
        <w:rPr>
          <w:i/>
          <w:sz w:val="24"/>
        </w:rPr>
        <w:t>regulatory</w:t>
      </w:r>
      <w:r>
        <w:rPr>
          <w:i/>
          <w:spacing w:val="-2"/>
          <w:sz w:val="24"/>
        </w:rPr>
        <w:t> </w:t>
      </w:r>
      <w:r>
        <w:rPr>
          <w:i/>
          <w:sz w:val="24"/>
        </w:rPr>
        <w:t>year</w:t>
      </w:r>
      <w:r>
        <w:rPr>
          <w:sz w:val="24"/>
        </w:rPr>
        <w:t>.</w:t>
      </w:r>
    </w:p>
    <w:p>
      <w:pPr>
        <w:pStyle w:val="Heading4"/>
        <w:spacing w:before="120"/>
        <w:ind w:left="1352" w:firstLine="0"/>
        <w:jc w:val="both"/>
        <w:rPr>
          <w:rFonts w:ascii="Times New Roman"/>
        </w:rPr>
      </w:pPr>
      <w:r>
        <w:rPr>
          <w:rFonts w:ascii="Times New Roman"/>
        </w:rPr>
        <w:t>Jurisdictional schemes</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A scheme is a </w:t>
      </w:r>
      <w:r>
        <w:rPr>
          <w:i/>
          <w:sz w:val="24"/>
        </w:rPr>
        <w:t>jurisdictional scheme</w:t>
      </w:r>
      <w:r>
        <w:rPr>
          <w:i/>
          <w:spacing w:val="-2"/>
          <w:sz w:val="24"/>
        </w:rPr>
        <w:t> </w:t>
      </w:r>
      <w:r>
        <w:rPr>
          <w:sz w:val="24"/>
        </w:rPr>
        <w:t>if:</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the scheme is specified in paragraph (e);</w:t>
      </w:r>
      <w:r>
        <w:rPr>
          <w:spacing w:val="-3"/>
          <w:sz w:val="24"/>
        </w:rPr>
        <w:t> </w:t>
      </w:r>
      <w:r>
        <w:rPr>
          <w:sz w:val="24"/>
        </w:rPr>
        <w:t>or</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has  determined  under  paragraph  (l)  that  the  scheme  is</w:t>
      </w:r>
      <w:r>
        <w:rPr>
          <w:spacing w:val="33"/>
          <w:sz w:val="24"/>
        </w:rPr>
        <w:t> </w:t>
      </w:r>
      <w:r>
        <w:rPr>
          <w:sz w:val="24"/>
        </w:rPr>
        <w:t>a</w:t>
      </w:r>
    </w:p>
    <w:p>
      <w:pPr>
        <w:spacing w:before="0"/>
        <w:ind w:left="2486" w:right="0" w:firstLine="0"/>
        <w:jc w:val="both"/>
        <w:rPr>
          <w:sz w:val="24"/>
        </w:rPr>
      </w:pPr>
      <w:r>
        <w:rPr>
          <w:i/>
          <w:sz w:val="24"/>
        </w:rPr>
        <w:t>jurisdictional</w:t>
      </w:r>
      <w:r>
        <w:rPr>
          <w:i/>
          <w:spacing w:val="-7"/>
          <w:sz w:val="24"/>
        </w:rPr>
        <w:t> </w:t>
      </w:r>
      <w:r>
        <w:rPr>
          <w:i/>
          <w:sz w:val="24"/>
        </w:rPr>
        <w:t>scheme</w:t>
      </w:r>
      <w:r>
        <w:rPr>
          <w:sz w:val="24"/>
        </w:rPr>
        <w:t>,</w:t>
      </w:r>
    </w:p>
    <w:p>
      <w:pPr>
        <w:spacing w:before="120"/>
        <w:ind w:left="1919" w:right="415" w:firstLine="0"/>
        <w:jc w:val="both"/>
        <w:rPr>
          <w:sz w:val="24"/>
        </w:rPr>
      </w:pPr>
      <w:r>
        <w:rPr>
          <w:sz w:val="24"/>
        </w:rPr>
        <w:t>and the </w:t>
      </w:r>
      <w:r>
        <w:rPr>
          <w:i/>
          <w:sz w:val="24"/>
        </w:rPr>
        <w:t>AER </w:t>
      </w:r>
      <w:r>
        <w:rPr>
          <w:sz w:val="24"/>
        </w:rPr>
        <w:t>has not determined under paragraph (u) that the scheme has ceased to be a </w:t>
      </w:r>
      <w:r>
        <w:rPr>
          <w:i/>
          <w:sz w:val="24"/>
        </w:rPr>
        <w:t>jurisdictional scheme</w:t>
      </w:r>
      <w:r>
        <w:rPr>
          <w:sz w:val="24"/>
        </w:rPr>
        <w:t>.</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For</w:t>
      </w:r>
      <w:r>
        <w:rPr>
          <w:spacing w:val="16"/>
          <w:sz w:val="24"/>
        </w:rPr>
        <w:t> </w:t>
      </w:r>
      <w:r>
        <w:rPr>
          <w:sz w:val="24"/>
        </w:rPr>
        <w:t>the</w:t>
      </w:r>
      <w:r>
        <w:rPr>
          <w:spacing w:val="16"/>
          <w:sz w:val="24"/>
        </w:rPr>
        <w:t> </w:t>
      </w:r>
      <w:r>
        <w:rPr>
          <w:sz w:val="24"/>
        </w:rPr>
        <w:t>purposes</w:t>
      </w:r>
      <w:r>
        <w:rPr>
          <w:spacing w:val="16"/>
          <w:sz w:val="24"/>
        </w:rPr>
        <w:t> </w:t>
      </w:r>
      <w:r>
        <w:rPr>
          <w:sz w:val="24"/>
        </w:rPr>
        <w:t>of</w:t>
      </w:r>
      <w:r>
        <w:rPr>
          <w:spacing w:val="17"/>
          <w:sz w:val="24"/>
        </w:rPr>
        <w:t> </w:t>
      </w:r>
      <w:r>
        <w:rPr>
          <w:sz w:val="24"/>
        </w:rPr>
        <w:t>paragraph</w:t>
      </w:r>
      <w:r>
        <w:rPr>
          <w:spacing w:val="16"/>
          <w:sz w:val="24"/>
        </w:rPr>
        <w:t> </w:t>
      </w:r>
      <w:r>
        <w:rPr>
          <w:sz w:val="24"/>
        </w:rPr>
        <w:t>(d)(1),</w:t>
      </w:r>
      <w:r>
        <w:rPr>
          <w:spacing w:val="16"/>
          <w:sz w:val="24"/>
        </w:rPr>
        <w:t> </w:t>
      </w:r>
      <w:r>
        <w:rPr>
          <w:sz w:val="24"/>
        </w:rPr>
        <w:t>the</w:t>
      </w:r>
      <w:r>
        <w:rPr>
          <w:spacing w:val="17"/>
          <w:sz w:val="24"/>
        </w:rPr>
        <w:t> </w:t>
      </w:r>
      <w:r>
        <w:rPr>
          <w:sz w:val="24"/>
        </w:rPr>
        <w:t>following</w:t>
      </w:r>
      <w:r>
        <w:rPr>
          <w:spacing w:val="16"/>
          <w:sz w:val="24"/>
        </w:rPr>
        <w:t> </w:t>
      </w:r>
      <w:r>
        <w:rPr>
          <w:sz w:val="24"/>
        </w:rPr>
        <w:t>schemes</w:t>
      </w:r>
      <w:r>
        <w:rPr>
          <w:spacing w:val="16"/>
          <w:sz w:val="24"/>
        </w:rPr>
        <w:t> </w:t>
      </w:r>
      <w:r>
        <w:rPr>
          <w:sz w:val="24"/>
        </w:rPr>
        <w:t>are</w:t>
      </w:r>
    </w:p>
    <w:p>
      <w:pPr>
        <w:spacing w:before="0"/>
        <w:ind w:left="1919" w:right="0" w:firstLine="0"/>
        <w:jc w:val="both"/>
        <w:rPr>
          <w:sz w:val="24"/>
        </w:rPr>
      </w:pPr>
      <w:r>
        <w:rPr>
          <w:i/>
          <w:sz w:val="24"/>
        </w:rPr>
        <w:t>jurisdictional schemes</w:t>
      </w:r>
      <w:r>
        <w:rPr>
          <w:sz w:val="24"/>
        </w:rPr>
        <w:t>:</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schemes established under the following laws of participating jurisdictions:</w:t>
      </w:r>
    </w:p>
    <w:p>
      <w:pPr>
        <w:pStyle w:val="ListParagraph"/>
        <w:numPr>
          <w:ilvl w:val="5"/>
          <w:numId w:val="452"/>
        </w:numPr>
        <w:tabs>
          <w:tab w:pos="3053" w:val="left" w:leader="none"/>
        </w:tabs>
        <w:spacing w:line="240" w:lineRule="auto" w:before="120" w:after="0"/>
        <w:ind w:left="3053" w:right="416" w:hanging="567"/>
        <w:jc w:val="both"/>
        <w:rPr>
          <w:sz w:val="24"/>
        </w:rPr>
      </w:pPr>
      <w:r>
        <w:rPr>
          <w:sz w:val="24"/>
        </w:rPr>
        <w:t>Electricity Feed-in (Renewable Energy Premium) Act 2008 (ACT);</w:t>
      </w:r>
    </w:p>
    <w:p>
      <w:pPr>
        <w:pStyle w:val="ListParagraph"/>
        <w:numPr>
          <w:ilvl w:val="5"/>
          <w:numId w:val="452"/>
        </w:numPr>
        <w:tabs>
          <w:tab w:pos="3052" w:val="left" w:leader="none"/>
          <w:tab w:pos="3054" w:val="left" w:leader="none"/>
        </w:tabs>
        <w:spacing w:line="240" w:lineRule="auto" w:before="120" w:after="0"/>
        <w:ind w:left="3053" w:right="0" w:hanging="568"/>
        <w:jc w:val="left"/>
        <w:rPr>
          <w:sz w:val="24"/>
        </w:rPr>
      </w:pPr>
      <w:r>
        <w:rPr>
          <w:sz w:val="24"/>
        </w:rPr>
        <w:t>Division 3AB of the Electricity Act 1996</w:t>
      </w:r>
      <w:r>
        <w:rPr>
          <w:spacing w:val="-4"/>
          <w:sz w:val="24"/>
        </w:rPr>
        <w:t> </w:t>
      </w:r>
      <w:r>
        <w:rPr>
          <w:sz w:val="24"/>
        </w:rPr>
        <w:t>(SA);</w:t>
      </w:r>
    </w:p>
    <w:p>
      <w:pPr>
        <w:pStyle w:val="ListParagraph"/>
        <w:numPr>
          <w:ilvl w:val="5"/>
          <w:numId w:val="452"/>
        </w:numPr>
        <w:tabs>
          <w:tab w:pos="3052" w:val="left" w:leader="none"/>
          <w:tab w:pos="3053" w:val="left" w:leader="none"/>
        </w:tabs>
        <w:spacing w:line="240" w:lineRule="auto" w:before="120" w:after="0"/>
        <w:ind w:left="3052" w:right="0" w:hanging="567"/>
        <w:jc w:val="left"/>
        <w:rPr>
          <w:sz w:val="24"/>
        </w:rPr>
      </w:pPr>
      <w:r>
        <w:rPr>
          <w:sz w:val="24"/>
        </w:rPr>
        <w:t>Section 44A of the Electricity Act 1994</w:t>
      </w:r>
      <w:r>
        <w:rPr>
          <w:spacing w:val="-1"/>
          <w:sz w:val="24"/>
        </w:rPr>
        <w:t> </w:t>
      </w:r>
      <w:r>
        <w:rPr>
          <w:sz w:val="24"/>
        </w:rPr>
        <w:t>(Qld);</w:t>
      </w:r>
    </w:p>
    <w:p>
      <w:pPr>
        <w:pStyle w:val="ListParagraph"/>
        <w:numPr>
          <w:ilvl w:val="5"/>
          <w:numId w:val="452"/>
        </w:numPr>
        <w:tabs>
          <w:tab w:pos="3052" w:val="left" w:leader="none"/>
          <w:tab w:pos="3054" w:val="left" w:leader="none"/>
        </w:tabs>
        <w:spacing w:line="240" w:lineRule="auto" w:before="120" w:after="0"/>
        <w:ind w:left="3053" w:right="417" w:hanging="567"/>
        <w:jc w:val="left"/>
        <w:rPr>
          <w:sz w:val="24"/>
        </w:rPr>
      </w:pPr>
      <w:r>
        <w:rPr>
          <w:sz w:val="24"/>
        </w:rPr>
        <w:t>Electricity Industry Amendment (Premium Solar Feed-in Tariff) Act 2009</w:t>
      </w:r>
      <w:r>
        <w:rPr>
          <w:spacing w:val="-2"/>
          <w:sz w:val="24"/>
        </w:rPr>
        <w:t> </w:t>
      </w:r>
      <w:r>
        <w:rPr>
          <w:sz w:val="24"/>
        </w:rPr>
        <w:t>(Vic);</w:t>
      </w:r>
    </w:p>
    <w:p>
      <w:pPr>
        <w:pStyle w:val="ListParagraph"/>
        <w:numPr>
          <w:ilvl w:val="4"/>
          <w:numId w:val="452"/>
        </w:numPr>
        <w:tabs>
          <w:tab w:pos="2485" w:val="left" w:leader="none"/>
          <w:tab w:pos="2486" w:val="left" w:leader="none"/>
        </w:tabs>
        <w:spacing w:line="240" w:lineRule="auto" w:before="120" w:after="0"/>
        <w:ind w:left="2486" w:right="417" w:hanging="567"/>
        <w:jc w:val="left"/>
        <w:rPr>
          <w:sz w:val="24"/>
        </w:rPr>
      </w:pPr>
      <w:r>
        <w:rPr>
          <w:sz w:val="24"/>
        </w:rPr>
        <w:t>the Solar Bonus Scheme established under the Electricity Supply Act 1995 (NSW); and</w:t>
      </w:r>
    </w:p>
    <w:p>
      <w:pPr>
        <w:pStyle w:val="ListParagraph"/>
        <w:numPr>
          <w:ilvl w:val="4"/>
          <w:numId w:val="452"/>
        </w:numPr>
        <w:tabs>
          <w:tab w:pos="2485" w:val="left" w:leader="none"/>
          <w:tab w:pos="2486" w:val="left" w:leader="none"/>
        </w:tabs>
        <w:spacing w:line="240" w:lineRule="auto" w:before="120" w:after="0"/>
        <w:ind w:left="2486" w:right="416" w:hanging="567"/>
        <w:jc w:val="left"/>
        <w:rPr>
          <w:sz w:val="24"/>
        </w:rPr>
      </w:pPr>
      <w:r>
        <w:rPr>
          <w:sz w:val="24"/>
        </w:rPr>
        <w:t>the Climate Change Fund established under the Energy and Utilities Administration Act 1987</w:t>
      </w:r>
      <w:r>
        <w:rPr>
          <w:spacing w:val="-2"/>
          <w:sz w:val="24"/>
        </w:rPr>
        <w:t> </w:t>
      </w:r>
      <w:r>
        <w:rPr>
          <w:sz w:val="24"/>
        </w:rPr>
        <w:t>(NSW).</w:t>
      </w:r>
    </w:p>
    <w:p>
      <w:pPr>
        <w:pStyle w:val="Heading4"/>
        <w:spacing w:before="120"/>
        <w:ind w:left="1352" w:firstLine="0"/>
        <w:rPr>
          <w:rFonts w:ascii="Times New Roman"/>
        </w:rPr>
      </w:pPr>
      <w:r>
        <w:rPr>
          <w:rFonts w:ascii="Times New Roman"/>
        </w:rPr>
        <w:t>AER Requested to determine that scheme is a jurisdictional scheme</w:t>
      </w:r>
    </w:p>
    <w:p>
      <w:pPr>
        <w:pStyle w:val="ListParagraph"/>
        <w:numPr>
          <w:ilvl w:val="3"/>
          <w:numId w:val="452"/>
        </w:numPr>
        <w:tabs>
          <w:tab w:pos="1919" w:val="left" w:leader="none"/>
          <w:tab w:pos="1920" w:val="left" w:leader="none"/>
        </w:tabs>
        <w:spacing w:line="240" w:lineRule="auto" w:before="120" w:after="0"/>
        <w:ind w:left="1919" w:right="0" w:hanging="568"/>
        <w:jc w:val="left"/>
        <w:rPr>
          <w:sz w:val="24"/>
        </w:rPr>
      </w:pPr>
      <w:r>
        <w:rPr>
          <w:sz w:val="24"/>
        </w:rPr>
        <w:t>Any person may request the </w:t>
      </w:r>
      <w:r>
        <w:rPr>
          <w:i/>
          <w:sz w:val="24"/>
        </w:rPr>
        <w:t>AER </w:t>
      </w:r>
      <w:r>
        <w:rPr>
          <w:sz w:val="24"/>
        </w:rPr>
        <w:t>to determine whether a scheme is</w:t>
      </w:r>
      <w:r>
        <w:rPr>
          <w:spacing w:val="8"/>
          <w:sz w:val="24"/>
        </w:rPr>
        <w:t> </w:t>
      </w:r>
      <w:r>
        <w:rPr>
          <w:sz w:val="24"/>
        </w:rPr>
        <w:t>a</w:t>
      </w:r>
    </w:p>
    <w:p>
      <w:pPr>
        <w:spacing w:before="0"/>
        <w:ind w:left="1919" w:right="0" w:firstLine="0"/>
        <w:jc w:val="left"/>
        <w:rPr>
          <w:sz w:val="24"/>
        </w:rPr>
      </w:pPr>
      <w:r>
        <w:rPr>
          <w:i/>
          <w:sz w:val="24"/>
        </w:rPr>
        <w:t>jurisdictional scheme</w:t>
      </w:r>
      <w:r>
        <w:rPr>
          <w:sz w:val="24"/>
        </w:rPr>
        <w:t>.</w:t>
      </w:r>
    </w:p>
    <w:p>
      <w:pPr>
        <w:pStyle w:val="ListParagraph"/>
        <w:numPr>
          <w:ilvl w:val="3"/>
          <w:numId w:val="452"/>
        </w:numPr>
        <w:tabs>
          <w:tab w:pos="1918" w:val="left" w:leader="none"/>
          <w:tab w:pos="1919" w:val="left" w:leader="none"/>
        </w:tabs>
        <w:spacing w:line="240" w:lineRule="auto" w:before="120" w:after="0"/>
        <w:ind w:left="1918" w:right="0" w:hanging="567"/>
        <w:jc w:val="left"/>
        <w:rPr>
          <w:sz w:val="24"/>
        </w:rPr>
      </w:pPr>
      <w:r>
        <w:rPr>
          <w:sz w:val="24"/>
        </w:rPr>
        <w:t>A request made under paragraph (f) must contain the following</w:t>
      </w:r>
      <w:r>
        <w:rPr>
          <w:spacing w:val="-4"/>
          <w:sz w:val="24"/>
        </w:rPr>
        <w:t> </w:t>
      </w:r>
      <w:r>
        <w:rPr>
          <w:sz w:val="24"/>
        </w:rPr>
        <w:t>information:</w:t>
      </w:r>
    </w:p>
    <w:p>
      <w:pPr>
        <w:spacing w:after="0" w:line="240" w:lineRule="auto"/>
        <w:jc w:val="left"/>
        <w:rPr>
          <w:sz w:val="24"/>
        </w:rPr>
        <w:sectPr>
          <w:pgSz w:w="11910" w:h="16840"/>
          <w:pgMar w:header="686" w:footer="637" w:top="1320" w:bottom="820" w:left="1200" w:right="1000"/>
        </w:sectPr>
      </w:pPr>
    </w:p>
    <w:p>
      <w:pPr>
        <w:pStyle w:val="ListParagraph"/>
        <w:numPr>
          <w:ilvl w:val="4"/>
          <w:numId w:val="452"/>
        </w:numPr>
        <w:tabs>
          <w:tab w:pos="2485" w:val="left" w:leader="none"/>
          <w:tab w:pos="2486" w:val="left" w:leader="none"/>
        </w:tabs>
        <w:spacing w:line="240" w:lineRule="auto" w:before="83" w:after="0"/>
        <w:ind w:left="2485" w:right="0" w:hanging="567"/>
        <w:jc w:val="left"/>
        <w:rPr>
          <w:sz w:val="24"/>
        </w:rPr>
      </w:pPr>
      <w:r>
        <w:rPr>
          <w:sz w:val="24"/>
        </w:rPr>
        <w:t>the name and address of the person making the</w:t>
      </w:r>
      <w:r>
        <w:rPr>
          <w:spacing w:val="-2"/>
          <w:sz w:val="24"/>
        </w:rPr>
        <w:t> </w:t>
      </w:r>
      <w:r>
        <w:rPr>
          <w:sz w:val="24"/>
        </w:rPr>
        <w:t>request;</w:t>
      </w:r>
    </w:p>
    <w:p>
      <w:pPr>
        <w:pStyle w:val="ListParagraph"/>
        <w:numPr>
          <w:ilvl w:val="4"/>
          <w:numId w:val="452"/>
        </w:numPr>
        <w:tabs>
          <w:tab w:pos="2485" w:val="left" w:leader="none"/>
          <w:tab w:pos="2486" w:val="left" w:leader="none"/>
        </w:tabs>
        <w:spacing w:line="240" w:lineRule="auto" w:before="120" w:after="0"/>
        <w:ind w:left="2486" w:right="415" w:hanging="567"/>
        <w:jc w:val="left"/>
        <w:rPr>
          <w:sz w:val="24"/>
        </w:rPr>
      </w:pPr>
      <w:r>
        <w:rPr>
          <w:sz w:val="24"/>
        </w:rPr>
        <w:t>details of the law of a </w:t>
      </w:r>
      <w:r>
        <w:rPr>
          <w:i/>
          <w:sz w:val="24"/>
        </w:rPr>
        <w:t>participating jurisdiction </w:t>
      </w:r>
      <w:r>
        <w:rPr>
          <w:sz w:val="24"/>
        </w:rPr>
        <w:t>under which the relevant scheme is</w:t>
      </w:r>
      <w:r>
        <w:rPr>
          <w:spacing w:val="-2"/>
          <w:sz w:val="24"/>
        </w:rPr>
        <w:t> </w:t>
      </w:r>
      <w:r>
        <w:rPr>
          <w:sz w:val="24"/>
        </w:rPr>
        <w:t>established;</w:t>
      </w:r>
    </w:p>
    <w:p>
      <w:pPr>
        <w:pStyle w:val="ListParagraph"/>
        <w:numPr>
          <w:ilvl w:val="4"/>
          <w:numId w:val="452"/>
        </w:numPr>
        <w:tabs>
          <w:tab w:pos="2485" w:val="left" w:leader="none"/>
          <w:tab w:pos="2486" w:val="left" w:leader="none"/>
        </w:tabs>
        <w:spacing w:line="240" w:lineRule="auto" w:before="120" w:after="0"/>
        <w:ind w:left="2485" w:right="0" w:hanging="567"/>
        <w:jc w:val="left"/>
        <w:rPr>
          <w:sz w:val="24"/>
        </w:rPr>
      </w:pPr>
      <w:r>
        <w:rPr>
          <w:sz w:val="24"/>
        </w:rPr>
        <w:t>the commencement date of the relevant scheme;</w:t>
      </w:r>
      <w:r>
        <w:rPr>
          <w:spacing w:val="-3"/>
          <w:sz w:val="24"/>
        </w:rPr>
        <w:t> </w:t>
      </w:r>
      <w:r>
        <w:rPr>
          <w:sz w:val="24"/>
        </w:rPr>
        <w:t>and</w:t>
      </w:r>
    </w:p>
    <w:p>
      <w:pPr>
        <w:pStyle w:val="ListParagraph"/>
        <w:numPr>
          <w:ilvl w:val="4"/>
          <w:numId w:val="452"/>
        </w:numPr>
        <w:tabs>
          <w:tab w:pos="2485" w:val="left" w:leader="none"/>
          <w:tab w:pos="2486" w:val="left" w:leader="none"/>
        </w:tabs>
        <w:spacing w:line="240" w:lineRule="auto" w:before="120" w:after="0"/>
        <w:ind w:left="2486" w:right="415" w:hanging="567"/>
        <w:jc w:val="left"/>
        <w:rPr>
          <w:sz w:val="24"/>
        </w:rPr>
      </w:pPr>
      <w:r>
        <w:rPr>
          <w:sz w:val="24"/>
        </w:rPr>
        <w:t>an explanation of how the relevant scheme meets the </w:t>
      </w:r>
      <w:r>
        <w:rPr>
          <w:i/>
          <w:sz w:val="24"/>
        </w:rPr>
        <w:t>jurisdictional </w:t>
      </w:r>
      <w:r>
        <w:rPr>
          <w:i/>
          <w:sz w:val="24"/>
        </w:rPr>
        <w:t>scheme eligibility</w:t>
      </w:r>
      <w:r>
        <w:rPr>
          <w:i/>
          <w:spacing w:val="-3"/>
          <w:sz w:val="24"/>
        </w:rPr>
        <w:t> </w:t>
      </w:r>
      <w:r>
        <w:rPr>
          <w:i/>
          <w:sz w:val="24"/>
        </w:rPr>
        <w:t>criteria</w:t>
      </w:r>
      <w:r>
        <w:rPr>
          <w:sz w:val="24"/>
        </w:rPr>
        <w:t>.</w:t>
      </w:r>
    </w:p>
    <w:p>
      <w:pPr>
        <w:pStyle w:val="ListParagraph"/>
        <w:numPr>
          <w:ilvl w:val="3"/>
          <w:numId w:val="452"/>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as soon as practicable after receiving the request under paragraph (f) </w:t>
      </w:r>
      <w:r>
        <w:rPr>
          <w:i/>
          <w:sz w:val="24"/>
        </w:rPr>
        <w:t>publish </w:t>
      </w:r>
      <w:r>
        <w:rPr>
          <w:sz w:val="24"/>
        </w:rPr>
        <w:t>the</w:t>
      </w:r>
      <w:r>
        <w:rPr>
          <w:spacing w:val="-1"/>
          <w:sz w:val="24"/>
        </w:rPr>
        <w:t> </w:t>
      </w:r>
      <w:r>
        <w:rPr>
          <w:sz w:val="24"/>
        </w:rPr>
        <w:t>request.</w:t>
      </w:r>
    </w:p>
    <w:p>
      <w:pPr>
        <w:pStyle w:val="Heading4"/>
        <w:spacing w:before="120"/>
        <w:ind w:left="1352" w:firstLine="0"/>
        <w:rPr>
          <w:rFonts w:ascii="Times New Roman"/>
        </w:rPr>
      </w:pPr>
      <w:r>
        <w:rPr>
          <w:rFonts w:ascii="Times New Roman"/>
        </w:rPr>
        <w:t>AER may assess whether a scheme is a jurisdictional scheme</w:t>
      </w:r>
    </w:p>
    <w:p>
      <w:pPr>
        <w:pStyle w:val="ListParagraph"/>
        <w:numPr>
          <w:ilvl w:val="3"/>
          <w:numId w:val="452"/>
        </w:numPr>
        <w:tabs>
          <w:tab w:pos="1918" w:val="left" w:leader="none"/>
          <w:tab w:pos="1919" w:val="left" w:leader="none"/>
        </w:tabs>
        <w:spacing w:line="240" w:lineRule="auto" w:before="120" w:after="0"/>
        <w:ind w:left="1918" w:right="0" w:hanging="567"/>
        <w:jc w:val="left"/>
        <w:rPr>
          <w:sz w:val="24"/>
        </w:rPr>
      </w:pPr>
      <w:r>
        <w:rPr>
          <w:sz w:val="24"/>
        </w:rPr>
        <w:t>The</w:t>
      </w:r>
      <w:r>
        <w:rPr>
          <w:spacing w:val="22"/>
          <w:sz w:val="24"/>
        </w:rPr>
        <w:t> </w:t>
      </w:r>
      <w:r>
        <w:rPr>
          <w:i/>
          <w:sz w:val="24"/>
        </w:rPr>
        <w:t>AER</w:t>
      </w:r>
      <w:r>
        <w:rPr>
          <w:i/>
          <w:spacing w:val="22"/>
          <w:sz w:val="24"/>
        </w:rPr>
        <w:t> </w:t>
      </w:r>
      <w:r>
        <w:rPr>
          <w:sz w:val="24"/>
        </w:rPr>
        <w:t>may</w:t>
      </w:r>
      <w:r>
        <w:rPr>
          <w:spacing w:val="22"/>
          <w:sz w:val="24"/>
        </w:rPr>
        <w:t> </w:t>
      </w:r>
      <w:r>
        <w:rPr>
          <w:sz w:val="24"/>
        </w:rPr>
        <w:t>at</w:t>
      </w:r>
      <w:r>
        <w:rPr>
          <w:spacing w:val="23"/>
          <w:sz w:val="24"/>
        </w:rPr>
        <w:t> </w:t>
      </w:r>
      <w:r>
        <w:rPr>
          <w:sz w:val="24"/>
        </w:rPr>
        <w:t>any</w:t>
      </w:r>
      <w:r>
        <w:rPr>
          <w:spacing w:val="22"/>
          <w:sz w:val="24"/>
        </w:rPr>
        <w:t> </w:t>
      </w:r>
      <w:r>
        <w:rPr>
          <w:sz w:val="24"/>
        </w:rPr>
        <w:t>time</w:t>
      </w:r>
      <w:r>
        <w:rPr>
          <w:spacing w:val="22"/>
          <w:sz w:val="24"/>
        </w:rPr>
        <w:t> </w:t>
      </w:r>
      <w:r>
        <w:rPr>
          <w:sz w:val="24"/>
        </w:rPr>
        <w:t>initiate</w:t>
      </w:r>
      <w:r>
        <w:rPr>
          <w:spacing w:val="22"/>
          <w:sz w:val="24"/>
        </w:rPr>
        <w:t> </w:t>
      </w:r>
      <w:r>
        <w:rPr>
          <w:sz w:val="24"/>
        </w:rPr>
        <w:t>an</w:t>
      </w:r>
      <w:r>
        <w:rPr>
          <w:spacing w:val="23"/>
          <w:sz w:val="24"/>
        </w:rPr>
        <w:t> </w:t>
      </w:r>
      <w:r>
        <w:rPr>
          <w:sz w:val="24"/>
        </w:rPr>
        <w:t>assessment</w:t>
      </w:r>
      <w:r>
        <w:rPr>
          <w:spacing w:val="22"/>
          <w:sz w:val="24"/>
        </w:rPr>
        <w:t> </w:t>
      </w:r>
      <w:r>
        <w:rPr>
          <w:sz w:val="24"/>
        </w:rPr>
        <w:t>of</w:t>
      </w:r>
      <w:r>
        <w:rPr>
          <w:spacing w:val="22"/>
          <w:sz w:val="24"/>
        </w:rPr>
        <w:t> </w:t>
      </w:r>
      <w:r>
        <w:rPr>
          <w:sz w:val="24"/>
        </w:rPr>
        <w:t>whether</w:t>
      </w:r>
      <w:r>
        <w:rPr>
          <w:spacing w:val="23"/>
          <w:sz w:val="24"/>
        </w:rPr>
        <w:t> </w:t>
      </w:r>
      <w:r>
        <w:rPr>
          <w:sz w:val="24"/>
        </w:rPr>
        <w:t>a</w:t>
      </w:r>
      <w:r>
        <w:rPr>
          <w:spacing w:val="22"/>
          <w:sz w:val="24"/>
        </w:rPr>
        <w:t> </w:t>
      </w:r>
      <w:r>
        <w:rPr>
          <w:sz w:val="24"/>
        </w:rPr>
        <w:t>scheme</w:t>
      </w:r>
      <w:r>
        <w:rPr>
          <w:spacing w:val="22"/>
          <w:sz w:val="24"/>
        </w:rPr>
        <w:t> </w:t>
      </w:r>
      <w:r>
        <w:rPr>
          <w:sz w:val="24"/>
        </w:rPr>
        <w:t>is</w:t>
      </w:r>
      <w:r>
        <w:rPr>
          <w:spacing w:val="22"/>
          <w:sz w:val="24"/>
        </w:rPr>
        <w:t> </w:t>
      </w:r>
      <w:r>
        <w:rPr>
          <w:sz w:val="24"/>
        </w:rPr>
        <w:t>a</w:t>
      </w:r>
    </w:p>
    <w:p>
      <w:pPr>
        <w:spacing w:before="0"/>
        <w:ind w:left="1919" w:right="0" w:firstLine="0"/>
        <w:jc w:val="left"/>
        <w:rPr>
          <w:sz w:val="24"/>
        </w:rPr>
      </w:pPr>
      <w:r>
        <w:rPr>
          <w:i/>
          <w:sz w:val="24"/>
        </w:rPr>
        <w:t>jurisdictional scheme</w:t>
      </w:r>
      <w:r>
        <w:rPr>
          <w:sz w:val="24"/>
        </w:rPr>
        <w:t>.</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decides to initiate an assessment under paragraph (i) it must </w:t>
      </w:r>
      <w:r>
        <w:rPr>
          <w:i/>
          <w:sz w:val="24"/>
        </w:rPr>
        <w:t>publish </w:t>
      </w:r>
      <w:r>
        <w:rPr>
          <w:sz w:val="24"/>
        </w:rPr>
        <w:t>details of the scheme it is considering and the reasons for initiating the assessment.</w:t>
      </w:r>
    </w:p>
    <w:p>
      <w:pPr>
        <w:pStyle w:val="Heading4"/>
        <w:spacing w:before="120"/>
        <w:ind w:left="1352" w:firstLine="0"/>
        <w:jc w:val="both"/>
        <w:rPr>
          <w:rFonts w:ascii="Times New Roman"/>
        </w:rPr>
      </w:pPr>
      <w:r>
        <w:rPr>
          <w:rFonts w:ascii="Times New Roman"/>
        </w:rPr>
        <w:t>AER to determine whether a scheme is a jurisdictional scheme</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Before making a determination under paragraph (l), the </w:t>
      </w:r>
      <w:r>
        <w:rPr>
          <w:i/>
          <w:sz w:val="24"/>
        </w:rPr>
        <w:t>AER </w:t>
      </w:r>
      <w:r>
        <w:rPr>
          <w:sz w:val="24"/>
        </w:rPr>
        <w:t>may consult with the relevant </w:t>
      </w:r>
      <w:r>
        <w:rPr>
          <w:i/>
          <w:sz w:val="24"/>
        </w:rPr>
        <w:t>Distribution Network Service Provider </w:t>
      </w:r>
      <w:r>
        <w:rPr>
          <w:sz w:val="24"/>
        </w:rPr>
        <w:t>and such other persons as the </w:t>
      </w:r>
      <w:r>
        <w:rPr>
          <w:i/>
          <w:sz w:val="24"/>
        </w:rPr>
        <w:t>AER </w:t>
      </w:r>
      <w:r>
        <w:rPr>
          <w:sz w:val="24"/>
        </w:rPr>
        <w:t>considers appropriate, on any matters arising out of the request or the assessment the </w:t>
      </w:r>
      <w:r>
        <w:rPr>
          <w:i/>
          <w:sz w:val="24"/>
        </w:rPr>
        <w:t>AER </w:t>
      </w:r>
      <w:r>
        <w:rPr>
          <w:sz w:val="24"/>
        </w:rPr>
        <w:t>considers</w:t>
      </w:r>
      <w:r>
        <w:rPr>
          <w:spacing w:val="-3"/>
          <w:sz w:val="24"/>
        </w:rPr>
        <w:t> </w:t>
      </w:r>
      <w:r>
        <w:rPr>
          <w:sz w:val="24"/>
        </w:rPr>
        <w:t>appropriate.</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within 20 </w:t>
      </w:r>
      <w:r>
        <w:rPr>
          <w:i/>
          <w:sz w:val="24"/>
        </w:rPr>
        <w:t>business days</w:t>
      </w:r>
      <w:r>
        <w:rPr>
          <w:i/>
          <w:spacing w:val="-1"/>
          <w:sz w:val="24"/>
        </w:rPr>
        <w:t> </w:t>
      </w:r>
      <w:r>
        <w:rPr>
          <w:sz w:val="24"/>
        </w:rPr>
        <w:t>of:</w:t>
      </w:r>
    </w:p>
    <w:p>
      <w:pPr>
        <w:pStyle w:val="ListParagraph"/>
        <w:numPr>
          <w:ilvl w:val="4"/>
          <w:numId w:val="452"/>
        </w:numPr>
        <w:tabs>
          <w:tab w:pos="2485" w:val="left" w:leader="none"/>
          <w:tab w:pos="2486" w:val="left" w:leader="none"/>
        </w:tabs>
        <w:spacing w:line="240" w:lineRule="auto" w:before="120" w:after="0"/>
        <w:ind w:left="2485" w:right="0" w:hanging="567"/>
        <w:jc w:val="left"/>
        <w:rPr>
          <w:sz w:val="24"/>
        </w:rPr>
      </w:pPr>
      <w:r>
        <w:rPr>
          <w:sz w:val="24"/>
        </w:rPr>
        <w:t>receiving a request under paragraph (f);</w:t>
      </w:r>
      <w:r>
        <w:rPr>
          <w:spacing w:val="-2"/>
          <w:sz w:val="24"/>
        </w:rPr>
        <w:t> </w:t>
      </w:r>
      <w:r>
        <w:rPr>
          <w:sz w:val="24"/>
        </w:rPr>
        <w:t>and</w:t>
      </w:r>
    </w:p>
    <w:p>
      <w:pPr>
        <w:pStyle w:val="ListParagraph"/>
        <w:numPr>
          <w:ilvl w:val="4"/>
          <w:numId w:val="452"/>
        </w:numPr>
        <w:tabs>
          <w:tab w:pos="2485" w:val="left" w:leader="none"/>
          <w:tab w:pos="2486" w:val="left" w:leader="none"/>
        </w:tabs>
        <w:spacing w:line="240" w:lineRule="auto" w:before="120" w:after="0"/>
        <w:ind w:left="2485" w:right="0" w:hanging="567"/>
        <w:jc w:val="left"/>
        <w:rPr>
          <w:sz w:val="24"/>
        </w:rPr>
      </w:pPr>
      <w:r>
        <w:rPr>
          <w:i/>
          <w:sz w:val="24"/>
        </w:rPr>
        <w:t>publishing </w:t>
      </w:r>
      <w:r>
        <w:rPr>
          <w:sz w:val="24"/>
        </w:rPr>
        <w:t>details of an assessment under paragraph</w:t>
      </w:r>
      <w:r>
        <w:rPr>
          <w:spacing w:val="-2"/>
          <w:sz w:val="24"/>
        </w:rPr>
        <w:t> </w:t>
      </w:r>
      <w:r>
        <w:rPr>
          <w:sz w:val="24"/>
        </w:rPr>
        <w:t>(j),</w:t>
      </w:r>
    </w:p>
    <w:p>
      <w:pPr>
        <w:pStyle w:val="BodyText"/>
        <w:ind w:left="1919" w:firstLine="0"/>
        <w:jc w:val="left"/>
      </w:pPr>
      <w:r>
        <w:rPr/>
        <w:t>determine in accordance with paragraph (n) if the relevant scheme is a</w:t>
      </w:r>
    </w:p>
    <w:p>
      <w:pPr>
        <w:spacing w:before="0"/>
        <w:ind w:left="1919" w:right="0" w:firstLine="0"/>
        <w:jc w:val="left"/>
        <w:rPr>
          <w:sz w:val="24"/>
        </w:rPr>
      </w:pPr>
      <w:r>
        <w:rPr>
          <w:i/>
          <w:sz w:val="24"/>
        </w:rPr>
        <w:t>jurisdictional scheme </w:t>
      </w:r>
      <w:r>
        <w:rPr>
          <w:sz w:val="24"/>
        </w:rPr>
        <w:t>and </w:t>
      </w:r>
      <w:r>
        <w:rPr>
          <w:i/>
          <w:sz w:val="24"/>
        </w:rPr>
        <w:t>publish </w:t>
      </w:r>
      <w:r>
        <w:rPr>
          <w:sz w:val="24"/>
        </w:rPr>
        <w:t>its decision (including the reasons).</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extend the time limit fixed in paragraph (l) if it considers that the difficulty of assessing whether a scheme is a </w:t>
      </w:r>
      <w:r>
        <w:rPr>
          <w:i/>
          <w:sz w:val="24"/>
        </w:rPr>
        <w:t>jurisdictional scheme</w:t>
      </w:r>
      <w:r>
        <w:rPr>
          <w:sz w:val="24"/>
        </w:rPr>
        <w:t>, or the complexity of the issues raised during any consultation under paragraph (k), justifies the</w:t>
      </w:r>
      <w:r>
        <w:rPr>
          <w:spacing w:val="-1"/>
          <w:sz w:val="24"/>
        </w:rPr>
        <w:t> </w:t>
      </w:r>
      <w:r>
        <w:rPr>
          <w:sz w:val="24"/>
        </w:rPr>
        <w:t>extension.</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only determine that a scheme is a </w:t>
      </w:r>
      <w:r>
        <w:rPr>
          <w:i/>
          <w:sz w:val="24"/>
        </w:rPr>
        <w:t>jurisdictional scheme </w:t>
      </w:r>
      <w:r>
        <w:rPr>
          <w:sz w:val="24"/>
        </w:rPr>
        <w:t>under paragraph (l) if it considers that the scheme meets the </w:t>
      </w:r>
      <w:r>
        <w:rPr>
          <w:i/>
          <w:sz w:val="24"/>
        </w:rPr>
        <w:t>jurisdictional </w:t>
      </w:r>
      <w:r>
        <w:rPr>
          <w:i/>
          <w:sz w:val="24"/>
        </w:rPr>
        <w:t>scheme eligibility</w:t>
      </w:r>
      <w:r>
        <w:rPr>
          <w:i/>
          <w:spacing w:val="-3"/>
          <w:sz w:val="24"/>
        </w:rPr>
        <w:t> </w:t>
      </w:r>
      <w:r>
        <w:rPr>
          <w:i/>
          <w:sz w:val="24"/>
        </w:rPr>
        <w:t>criteria</w:t>
      </w:r>
      <w:r>
        <w:rPr>
          <w:sz w:val="24"/>
        </w:rPr>
        <w:t>.</w:t>
      </w:r>
    </w:p>
    <w:p>
      <w:pPr>
        <w:pStyle w:val="Heading4"/>
        <w:spacing w:before="120"/>
        <w:ind w:left="1352" w:right="417" w:firstLine="0"/>
        <w:jc w:val="both"/>
        <w:rPr>
          <w:rFonts w:ascii="Times New Roman"/>
        </w:rPr>
      </w:pPr>
      <w:r>
        <w:rPr>
          <w:rFonts w:ascii="Times New Roman"/>
        </w:rPr>
        <w:t>AER requested to determine that scheme should cease to be a jurisdictional scheme</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Any</w:t>
      </w:r>
      <w:r>
        <w:rPr>
          <w:spacing w:val="12"/>
          <w:sz w:val="24"/>
        </w:rPr>
        <w:t> </w:t>
      </w:r>
      <w:r>
        <w:rPr>
          <w:sz w:val="24"/>
        </w:rPr>
        <w:t>person</w:t>
      </w:r>
      <w:r>
        <w:rPr>
          <w:spacing w:val="13"/>
          <w:sz w:val="24"/>
        </w:rPr>
        <w:t> </w:t>
      </w:r>
      <w:r>
        <w:rPr>
          <w:sz w:val="24"/>
        </w:rPr>
        <w:t>may</w:t>
      </w:r>
      <w:r>
        <w:rPr>
          <w:spacing w:val="12"/>
          <w:sz w:val="24"/>
        </w:rPr>
        <w:t> </w:t>
      </w:r>
      <w:r>
        <w:rPr>
          <w:sz w:val="24"/>
        </w:rPr>
        <w:t>request</w:t>
      </w:r>
      <w:r>
        <w:rPr>
          <w:spacing w:val="13"/>
          <w:sz w:val="24"/>
        </w:rPr>
        <w:t> </w:t>
      </w:r>
      <w:r>
        <w:rPr>
          <w:sz w:val="24"/>
        </w:rPr>
        <w:t>the</w:t>
      </w:r>
      <w:r>
        <w:rPr>
          <w:spacing w:val="12"/>
          <w:sz w:val="24"/>
        </w:rPr>
        <w:t> </w:t>
      </w:r>
      <w:r>
        <w:rPr>
          <w:i/>
          <w:sz w:val="24"/>
        </w:rPr>
        <w:t>AER</w:t>
      </w:r>
      <w:r>
        <w:rPr>
          <w:i/>
          <w:spacing w:val="13"/>
          <w:sz w:val="24"/>
        </w:rPr>
        <w:t> </w:t>
      </w:r>
      <w:r>
        <w:rPr>
          <w:sz w:val="24"/>
        </w:rPr>
        <w:t>to</w:t>
      </w:r>
      <w:r>
        <w:rPr>
          <w:spacing w:val="12"/>
          <w:sz w:val="24"/>
        </w:rPr>
        <w:t> </w:t>
      </w:r>
      <w:r>
        <w:rPr>
          <w:sz w:val="24"/>
        </w:rPr>
        <w:t>determine</w:t>
      </w:r>
      <w:r>
        <w:rPr>
          <w:spacing w:val="13"/>
          <w:sz w:val="24"/>
        </w:rPr>
        <w:t> </w:t>
      </w:r>
      <w:r>
        <w:rPr>
          <w:sz w:val="24"/>
        </w:rPr>
        <w:t>that</w:t>
      </w:r>
      <w:r>
        <w:rPr>
          <w:spacing w:val="12"/>
          <w:sz w:val="24"/>
        </w:rPr>
        <w:t> </w:t>
      </w:r>
      <w:r>
        <w:rPr>
          <w:sz w:val="24"/>
        </w:rPr>
        <w:t>a</w:t>
      </w:r>
      <w:r>
        <w:rPr>
          <w:spacing w:val="13"/>
          <w:sz w:val="24"/>
        </w:rPr>
        <w:t> </w:t>
      </w:r>
      <w:r>
        <w:rPr>
          <w:sz w:val="24"/>
        </w:rPr>
        <w:t>scheme</w:t>
      </w:r>
      <w:r>
        <w:rPr>
          <w:spacing w:val="12"/>
          <w:sz w:val="24"/>
        </w:rPr>
        <w:t> </w:t>
      </w:r>
      <w:r>
        <w:rPr>
          <w:sz w:val="24"/>
        </w:rPr>
        <w:t>is</w:t>
      </w:r>
      <w:r>
        <w:rPr>
          <w:spacing w:val="13"/>
          <w:sz w:val="24"/>
        </w:rPr>
        <w:t> </w:t>
      </w:r>
      <w:r>
        <w:rPr>
          <w:sz w:val="24"/>
        </w:rPr>
        <w:t>no</w:t>
      </w:r>
      <w:r>
        <w:rPr>
          <w:spacing w:val="12"/>
          <w:sz w:val="24"/>
        </w:rPr>
        <w:t> </w:t>
      </w:r>
      <w:r>
        <w:rPr>
          <w:sz w:val="24"/>
        </w:rPr>
        <w:t>longer</w:t>
      </w:r>
      <w:r>
        <w:rPr>
          <w:spacing w:val="13"/>
          <w:sz w:val="24"/>
        </w:rPr>
        <w:t> </w:t>
      </w:r>
      <w:r>
        <w:rPr>
          <w:sz w:val="24"/>
        </w:rPr>
        <w:t>a</w:t>
      </w:r>
    </w:p>
    <w:p>
      <w:pPr>
        <w:spacing w:before="0"/>
        <w:ind w:left="1919" w:right="0" w:firstLine="0"/>
        <w:jc w:val="both"/>
        <w:rPr>
          <w:sz w:val="24"/>
        </w:rPr>
      </w:pPr>
      <w:r>
        <w:rPr>
          <w:i/>
          <w:sz w:val="24"/>
        </w:rPr>
        <w:t>jurisdictional</w:t>
      </w:r>
      <w:r>
        <w:rPr>
          <w:i/>
          <w:spacing w:val="-7"/>
          <w:sz w:val="24"/>
        </w:rPr>
        <w:t> </w:t>
      </w:r>
      <w:r>
        <w:rPr>
          <w:i/>
          <w:sz w:val="24"/>
        </w:rPr>
        <w:t>scheme</w:t>
      </w:r>
      <w:r>
        <w:rPr>
          <w:sz w:val="24"/>
        </w:rPr>
        <w:t>.</w:t>
      </w:r>
    </w:p>
    <w:p>
      <w:pPr>
        <w:pStyle w:val="ListParagraph"/>
        <w:numPr>
          <w:ilvl w:val="3"/>
          <w:numId w:val="452"/>
        </w:numPr>
        <w:tabs>
          <w:tab w:pos="1919" w:val="left" w:leader="none"/>
        </w:tabs>
        <w:spacing w:line="240" w:lineRule="auto" w:before="120" w:after="0"/>
        <w:ind w:left="1919" w:right="415" w:hanging="567"/>
        <w:jc w:val="both"/>
        <w:rPr>
          <w:sz w:val="24"/>
        </w:rPr>
      </w:pPr>
      <w:r>
        <w:rPr>
          <w:sz w:val="24"/>
        </w:rPr>
        <w:t>A request made under paragraph (o) must contain the  following information:</w:t>
      </w:r>
    </w:p>
    <w:p>
      <w:pPr>
        <w:pStyle w:val="ListParagraph"/>
        <w:numPr>
          <w:ilvl w:val="4"/>
          <w:numId w:val="452"/>
        </w:numPr>
        <w:tabs>
          <w:tab w:pos="2485" w:val="left" w:leader="none"/>
          <w:tab w:pos="2486" w:val="left" w:leader="none"/>
        </w:tabs>
        <w:spacing w:line="240" w:lineRule="auto" w:before="120" w:after="0"/>
        <w:ind w:left="2485" w:right="0" w:hanging="567"/>
        <w:jc w:val="left"/>
        <w:rPr>
          <w:sz w:val="24"/>
        </w:rPr>
      </w:pPr>
      <w:r>
        <w:rPr>
          <w:sz w:val="24"/>
        </w:rPr>
        <w:t>the name and address of the person making the</w:t>
      </w:r>
      <w:r>
        <w:rPr>
          <w:spacing w:val="-2"/>
          <w:sz w:val="24"/>
        </w:rPr>
        <w:t> </w:t>
      </w:r>
      <w:r>
        <w:rPr>
          <w:sz w:val="24"/>
        </w:rPr>
        <w:t>request;</w:t>
      </w:r>
    </w:p>
    <w:p>
      <w:pPr>
        <w:pStyle w:val="ListParagraph"/>
        <w:numPr>
          <w:ilvl w:val="4"/>
          <w:numId w:val="452"/>
        </w:numPr>
        <w:tabs>
          <w:tab w:pos="2485" w:val="left" w:leader="none"/>
          <w:tab w:pos="2486" w:val="left" w:leader="none"/>
        </w:tabs>
        <w:spacing w:line="240" w:lineRule="auto" w:before="120" w:after="0"/>
        <w:ind w:left="2486" w:right="415" w:hanging="567"/>
        <w:jc w:val="left"/>
        <w:rPr>
          <w:sz w:val="24"/>
        </w:rPr>
      </w:pPr>
      <w:r>
        <w:rPr>
          <w:sz w:val="24"/>
        </w:rPr>
        <w:t>the law of a </w:t>
      </w:r>
      <w:r>
        <w:rPr>
          <w:i/>
          <w:sz w:val="24"/>
        </w:rPr>
        <w:t>participating jurisdiction </w:t>
      </w:r>
      <w:r>
        <w:rPr>
          <w:sz w:val="24"/>
        </w:rPr>
        <w:t>under which the relevant scheme is</w:t>
      </w:r>
      <w:r>
        <w:rPr>
          <w:spacing w:val="-2"/>
          <w:sz w:val="24"/>
        </w:rPr>
        <w:t> </w:t>
      </w:r>
      <w:r>
        <w:rPr>
          <w:sz w:val="24"/>
        </w:rPr>
        <w:t>established;</w:t>
      </w:r>
    </w:p>
    <w:p>
      <w:pPr>
        <w:pStyle w:val="ListParagraph"/>
        <w:numPr>
          <w:ilvl w:val="4"/>
          <w:numId w:val="452"/>
        </w:numPr>
        <w:tabs>
          <w:tab w:pos="2485" w:val="left" w:leader="none"/>
          <w:tab w:pos="2486" w:val="left" w:leader="none"/>
        </w:tabs>
        <w:spacing w:line="240" w:lineRule="auto" w:before="120" w:after="0"/>
        <w:ind w:left="2485" w:right="0" w:hanging="567"/>
        <w:jc w:val="left"/>
        <w:rPr>
          <w:sz w:val="24"/>
        </w:rPr>
      </w:pPr>
      <w:r>
        <w:rPr>
          <w:sz w:val="24"/>
        </w:rPr>
        <w:t>the commencement date of the relevant scheme;</w:t>
      </w:r>
      <w:r>
        <w:rPr>
          <w:spacing w:val="-3"/>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4"/>
          <w:numId w:val="452"/>
        </w:numPr>
        <w:tabs>
          <w:tab w:pos="2485" w:val="left" w:leader="none"/>
          <w:tab w:pos="2486" w:val="left" w:leader="none"/>
        </w:tabs>
        <w:spacing w:line="240" w:lineRule="auto" w:before="83" w:after="0"/>
        <w:ind w:left="2486" w:right="414" w:hanging="567"/>
        <w:jc w:val="left"/>
        <w:rPr>
          <w:sz w:val="24"/>
        </w:rPr>
      </w:pPr>
      <w:r>
        <w:rPr>
          <w:sz w:val="24"/>
        </w:rPr>
        <w:t>an explanation of why the scheme no longer meets the </w:t>
      </w:r>
      <w:r>
        <w:rPr>
          <w:i/>
          <w:sz w:val="24"/>
        </w:rPr>
        <w:t>jurisdictional </w:t>
      </w:r>
      <w:r>
        <w:rPr>
          <w:i/>
          <w:sz w:val="24"/>
        </w:rPr>
        <w:t>scheme eligibility</w:t>
      </w:r>
      <w:r>
        <w:rPr>
          <w:i/>
          <w:spacing w:val="-3"/>
          <w:sz w:val="24"/>
        </w:rPr>
        <w:t> </w:t>
      </w:r>
      <w:r>
        <w:rPr>
          <w:i/>
          <w:sz w:val="24"/>
        </w:rPr>
        <w:t>criteria</w:t>
      </w:r>
      <w:r>
        <w:rPr>
          <w:sz w:val="24"/>
        </w:rPr>
        <w:t>.</w:t>
      </w:r>
    </w:p>
    <w:p>
      <w:pPr>
        <w:pStyle w:val="ListParagraph"/>
        <w:numPr>
          <w:ilvl w:val="3"/>
          <w:numId w:val="452"/>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as soon as practicable after receiving the request under paragraph (o) </w:t>
      </w:r>
      <w:r>
        <w:rPr>
          <w:i/>
          <w:sz w:val="24"/>
        </w:rPr>
        <w:t>publish </w:t>
      </w:r>
      <w:r>
        <w:rPr>
          <w:sz w:val="24"/>
        </w:rPr>
        <w:t>the</w:t>
      </w:r>
      <w:r>
        <w:rPr>
          <w:spacing w:val="-1"/>
          <w:sz w:val="24"/>
        </w:rPr>
        <w:t> </w:t>
      </w:r>
      <w:r>
        <w:rPr>
          <w:sz w:val="24"/>
        </w:rPr>
        <w:t>request.</w:t>
      </w:r>
    </w:p>
    <w:p>
      <w:pPr>
        <w:pStyle w:val="Heading4"/>
        <w:spacing w:before="120"/>
        <w:ind w:left="1352" w:firstLine="0"/>
        <w:rPr>
          <w:rFonts w:ascii="Times New Roman"/>
        </w:rPr>
      </w:pPr>
      <w:r>
        <w:rPr>
          <w:rFonts w:ascii="Times New Roman"/>
        </w:rPr>
        <w:t>AER may assess whether a scheme should cease to a jurisdictional scheme</w:t>
      </w:r>
    </w:p>
    <w:p>
      <w:pPr>
        <w:pStyle w:val="ListParagraph"/>
        <w:numPr>
          <w:ilvl w:val="3"/>
          <w:numId w:val="452"/>
        </w:numPr>
        <w:tabs>
          <w:tab w:pos="1919" w:val="left" w:leader="none"/>
          <w:tab w:pos="1920" w:val="left" w:leader="none"/>
        </w:tabs>
        <w:spacing w:line="240" w:lineRule="auto" w:before="120" w:after="0"/>
        <w:ind w:left="1919" w:right="0" w:hanging="568"/>
        <w:jc w:val="left"/>
        <w:rPr>
          <w:sz w:val="24"/>
        </w:rPr>
      </w:pPr>
      <w:r>
        <w:rPr>
          <w:sz w:val="24"/>
        </w:rPr>
        <w:t>The</w:t>
      </w:r>
      <w:r>
        <w:rPr>
          <w:spacing w:val="17"/>
          <w:sz w:val="24"/>
        </w:rPr>
        <w:t> </w:t>
      </w:r>
      <w:r>
        <w:rPr>
          <w:i/>
          <w:sz w:val="24"/>
        </w:rPr>
        <w:t>AER</w:t>
      </w:r>
      <w:r>
        <w:rPr>
          <w:i/>
          <w:spacing w:val="18"/>
          <w:sz w:val="24"/>
        </w:rPr>
        <w:t> </w:t>
      </w:r>
      <w:r>
        <w:rPr>
          <w:sz w:val="24"/>
        </w:rPr>
        <w:t>may</w:t>
      </w:r>
      <w:r>
        <w:rPr>
          <w:spacing w:val="18"/>
          <w:sz w:val="24"/>
        </w:rPr>
        <w:t> </w:t>
      </w:r>
      <w:r>
        <w:rPr>
          <w:sz w:val="24"/>
        </w:rPr>
        <w:t>at</w:t>
      </w:r>
      <w:r>
        <w:rPr>
          <w:spacing w:val="18"/>
          <w:sz w:val="24"/>
        </w:rPr>
        <w:t> </w:t>
      </w:r>
      <w:r>
        <w:rPr>
          <w:sz w:val="24"/>
        </w:rPr>
        <w:t>any</w:t>
      </w:r>
      <w:r>
        <w:rPr>
          <w:spacing w:val="19"/>
          <w:sz w:val="24"/>
        </w:rPr>
        <w:t> </w:t>
      </w:r>
      <w:r>
        <w:rPr>
          <w:sz w:val="24"/>
        </w:rPr>
        <w:t>time</w:t>
      </w:r>
      <w:r>
        <w:rPr>
          <w:spacing w:val="18"/>
          <w:sz w:val="24"/>
        </w:rPr>
        <w:t> </w:t>
      </w:r>
      <w:r>
        <w:rPr>
          <w:sz w:val="24"/>
        </w:rPr>
        <w:t>consider</w:t>
      </w:r>
      <w:r>
        <w:rPr>
          <w:spacing w:val="18"/>
          <w:sz w:val="24"/>
        </w:rPr>
        <w:t> </w:t>
      </w:r>
      <w:r>
        <w:rPr>
          <w:sz w:val="24"/>
        </w:rPr>
        <w:t>whether</w:t>
      </w:r>
      <w:r>
        <w:rPr>
          <w:spacing w:val="17"/>
          <w:sz w:val="24"/>
        </w:rPr>
        <w:t> </w:t>
      </w:r>
      <w:r>
        <w:rPr>
          <w:sz w:val="24"/>
        </w:rPr>
        <w:t>a</w:t>
      </w:r>
      <w:r>
        <w:rPr>
          <w:spacing w:val="19"/>
          <w:sz w:val="24"/>
        </w:rPr>
        <w:t> </w:t>
      </w:r>
      <w:r>
        <w:rPr>
          <w:sz w:val="24"/>
        </w:rPr>
        <w:t>scheme</w:t>
      </w:r>
      <w:r>
        <w:rPr>
          <w:spacing w:val="17"/>
          <w:sz w:val="24"/>
        </w:rPr>
        <w:t> </w:t>
      </w:r>
      <w:r>
        <w:rPr>
          <w:sz w:val="24"/>
        </w:rPr>
        <w:t>should</w:t>
      </w:r>
      <w:r>
        <w:rPr>
          <w:spacing w:val="18"/>
          <w:sz w:val="24"/>
        </w:rPr>
        <w:t> </w:t>
      </w:r>
      <w:r>
        <w:rPr>
          <w:sz w:val="24"/>
        </w:rPr>
        <w:t>cease</w:t>
      </w:r>
      <w:r>
        <w:rPr>
          <w:spacing w:val="18"/>
          <w:sz w:val="24"/>
        </w:rPr>
        <w:t> </w:t>
      </w:r>
      <w:r>
        <w:rPr>
          <w:sz w:val="24"/>
        </w:rPr>
        <w:t>to</w:t>
      </w:r>
      <w:r>
        <w:rPr>
          <w:spacing w:val="19"/>
          <w:sz w:val="24"/>
        </w:rPr>
        <w:t> </w:t>
      </w:r>
      <w:r>
        <w:rPr>
          <w:sz w:val="24"/>
        </w:rPr>
        <w:t>be</w:t>
      </w:r>
      <w:r>
        <w:rPr>
          <w:spacing w:val="17"/>
          <w:sz w:val="24"/>
        </w:rPr>
        <w:t> </w:t>
      </w:r>
      <w:r>
        <w:rPr>
          <w:sz w:val="24"/>
        </w:rPr>
        <w:t>a</w:t>
      </w:r>
    </w:p>
    <w:p>
      <w:pPr>
        <w:spacing w:before="0"/>
        <w:ind w:left="1919" w:right="0" w:firstLine="0"/>
        <w:jc w:val="left"/>
        <w:rPr>
          <w:sz w:val="24"/>
        </w:rPr>
      </w:pPr>
      <w:r>
        <w:rPr>
          <w:i/>
          <w:sz w:val="24"/>
        </w:rPr>
        <w:t>jurisdictional scheme</w:t>
      </w:r>
      <w:r>
        <w:rPr>
          <w:sz w:val="24"/>
        </w:rPr>
        <w:t>.</w:t>
      </w:r>
    </w:p>
    <w:p>
      <w:pPr>
        <w:pStyle w:val="ListParagraph"/>
        <w:numPr>
          <w:ilvl w:val="3"/>
          <w:numId w:val="452"/>
        </w:numPr>
        <w:tabs>
          <w:tab w:pos="1920" w:val="left" w:leader="none"/>
        </w:tabs>
        <w:spacing w:line="240" w:lineRule="auto" w:before="120" w:after="0"/>
        <w:ind w:left="1919" w:right="415" w:hanging="567"/>
        <w:jc w:val="both"/>
        <w:rPr>
          <w:sz w:val="24"/>
        </w:rPr>
      </w:pPr>
      <w:r>
        <w:rPr>
          <w:sz w:val="24"/>
        </w:rPr>
        <w:t>If the </w:t>
      </w:r>
      <w:r>
        <w:rPr>
          <w:i/>
          <w:sz w:val="24"/>
        </w:rPr>
        <w:t>AER </w:t>
      </w:r>
      <w:r>
        <w:rPr>
          <w:sz w:val="24"/>
        </w:rPr>
        <w:t>decides to initiate an assessment of whether a scheme should cease to be </w:t>
      </w:r>
      <w:r>
        <w:rPr>
          <w:i/>
          <w:sz w:val="24"/>
        </w:rPr>
        <w:t>jurisdictional scheme </w:t>
      </w:r>
      <w:r>
        <w:rPr>
          <w:sz w:val="24"/>
        </w:rPr>
        <w:t>under paragraph (r) it must </w:t>
      </w:r>
      <w:r>
        <w:rPr>
          <w:i/>
          <w:sz w:val="24"/>
        </w:rPr>
        <w:t>publish </w:t>
      </w:r>
      <w:r>
        <w:rPr>
          <w:sz w:val="24"/>
        </w:rPr>
        <w:t>details of the scheme it is considering and the reasons for initiating the</w:t>
      </w:r>
      <w:r>
        <w:rPr>
          <w:spacing w:val="-11"/>
          <w:sz w:val="24"/>
        </w:rPr>
        <w:t> </w:t>
      </w:r>
      <w:r>
        <w:rPr>
          <w:sz w:val="24"/>
        </w:rPr>
        <w:t>assessment.</w:t>
      </w:r>
    </w:p>
    <w:p>
      <w:pPr>
        <w:pStyle w:val="Heading4"/>
        <w:spacing w:before="120"/>
        <w:ind w:left="1352" w:right="417" w:firstLine="0"/>
        <w:jc w:val="both"/>
        <w:rPr>
          <w:rFonts w:ascii="Times New Roman"/>
        </w:rPr>
      </w:pPr>
      <w:r>
        <w:rPr>
          <w:rFonts w:ascii="Times New Roman"/>
        </w:rPr>
        <w:t>AER to determine whether a scheme should cease to be a jurisdictional scheme</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Before making a determination under paragraph (u), the </w:t>
      </w:r>
      <w:r>
        <w:rPr>
          <w:i/>
          <w:sz w:val="24"/>
        </w:rPr>
        <w:t>AER </w:t>
      </w:r>
      <w:r>
        <w:rPr>
          <w:sz w:val="24"/>
        </w:rPr>
        <w:t>may consult with the relevant </w:t>
      </w:r>
      <w:r>
        <w:rPr>
          <w:i/>
          <w:sz w:val="24"/>
        </w:rPr>
        <w:t>Distribution Network Service Provider </w:t>
      </w:r>
      <w:r>
        <w:rPr>
          <w:sz w:val="24"/>
        </w:rPr>
        <w:t>and such other persons as the </w:t>
      </w:r>
      <w:r>
        <w:rPr>
          <w:i/>
          <w:sz w:val="24"/>
        </w:rPr>
        <w:t>AER </w:t>
      </w:r>
      <w:r>
        <w:rPr>
          <w:sz w:val="24"/>
        </w:rPr>
        <w:t>considers appropriate, on any matters arising out of the request or the assessment the </w:t>
      </w:r>
      <w:r>
        <w:rPr>
          <w:i/>
          <w:sz w:val="24"/>
        </w:rPr>
        <w:t>AER </w:t>
      </w:r>
      <w:r>
        <w:rPr>
          <w:sz w:val="24"/>
        </w:rPr>
        <w:t>considers</w:t>
      </w:r>
      <w:r>
        <w:rPr>
          <w:spacing w:val="-3"/>
          <w:sz w:val="24"/>
        </w:rPr>
        <w:t> </w:t>
      </w:r>
      <w:r>
        <w:rPr>
          <w:sz w:val="24"/>
        </w:rPr>
        <w:t>appropriate.</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within 20 </w:t>
      </w:r>
      <w:r>
        <w:rPr>
          <w:i/>
          <w:sz w:val="24"/>
        </w:rPr>
        <w:t>business days</w:t>
      </w:r>
      <w:r>
        <w:rPr>
          <w:i/>
          <w:spacing w:val="-1"/>
          <w:sz w:val="24"/>
        </w:rPr>
        <w:t> </w:t>
      </w:r>
      <w:r>
        <w:rPr>
          <w:sz w:val="24"/>
        </w:rPr>
        <w:t>of:</w:t>
      </w:r>
    </w:p>
    <w:p>
      <w:pPr>
        <w:pStyle w:val="ListParagraph"/>
        <w:numPr>
          <w:ilvl w:val="0"/>
          <w:numId w:val="453"/>
        </w:numPr>
        <w:tabs>
          <w:tab w:pos="2486" w:val="left" w:leader="none"/>
        </w:tabs>
        <w:spacing w:line="240" w:lineRule="auto" w:before="120" w:after="0"/>
        <w:ind w:left="2485" w:right="0" w:hanging="567"/>
        <w:jc w:val="both"/>
        <w:rPr>
          <w:sz w:val="24"/>
        </w:rPr>
      </w:pPr>
      <w:r>
        <w:rPr>
          <w:sz w:val="24"/>
        </w:rPr>
        <w:t>receiving a request under paragraph (o);</w:t>
      </w:r>
      <w:r>
        <w:rPr>
          <w:spacing w:val="-2"/>
          <w:sz w:val="24"/>
        </w:rPr>
        <w:t> </w:t>
      </w:r>
      <w:r>
        <w:rPr>
          <w:sz w:val="24"/>
        </w:rPr>
        <w:t>or</w:t>
      </w:r>
    </w:p>
    <w:p>
      <w:pPr>
        <w:pStyle w:val="ListParagraph"/>
        <w:numPr>
          <w:ilvl w:val="0"/>
          <w:numId w:val="453"/>
        </w:numPr>
        <w:tabs>
          <w:tab w:pos="2487" w:val="left" w:leader="none"/>
        </w:tabs>
        <w:spacing w:line="240" w:lineRule="auto" w:before="120" w:after="0"/>
        <w:ind w:left="2486" w:right="0" w:hanging="568"/>
        <w:jc w:val="both"/>
        <w:rPr>
          <w:sz w:val="24"/>
        </w:rPr>
      </w:pPr>
      <w:r>
        <w:rPr>
          <w:i/>
          <w:sz w:val="24"/>
        </w:rPr>
        <w:t>publishing </w:t>
      </w:r>
      <w:r>
        <w:rPr>
          <w:sz w:val="24"/>
        </w:rPr>
        <w:t>details of an assessment under paragraph</w:t>
      </w:r>
      <w:r>
        <w:rPr>
          <w:spacing w:val="-2"/>
          <w:sz w:val="24"/>
        </w:rPr>
        <w:t> </w:t>
      </w:r>
      <w:r>
        <w:rPr>
          <w:sz w:val="24"/>
        </w:rPr>
        <w:t>(s),</w:t>
      </w:r>
    </w:p>
    <w:p>
      <w:pPr>
        <w:pStyle w:val="BodyText"/>
        <w:ind w:left="1919" w:right="415" w:firstLine="0"/>
      </w:pPr>
      <w:r>
        <w:rPr/>
        <w:t>determine in accordance with paragraph (w) if the relevant scheme should cease to be a </w:t>
      </w:r>
      <w:r>
        <w:rPr>
          <w:i/>
        </w:rPr>
        <w:t>jurisdictional scheme </w:t>
      </w:r>
      <w:r>
        <w:rPr/>
        <w:t>and </w:t>
      </w:r>
      <w:r>
        <w:rPr>
          <w:i/>
        </w:rPr>
        <w:t>publish </w:t>
      </w:r>
      <w:r>
        <w:rPr/>
        <w:t>its decision (including the reasons).</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extend the time limit fixed in paragraph (u) if it considers that the difficulty of assessing whether a scheme should cease to be a </w:t>
      </w:r>
      <w:r>
        <w:rPr>
          <w:i/>
          <w:sz w:val="24"/>
        </w:rPr>
        <w:t>jurisdictional scheme</w:t>
      </w:r>
      <w:r>
        <w:rPr>
          <w:sz w:val="24"/>
        </w:rPr>
        <w:t>, or the complexity of the issues raised during any consultation under paragraph (t), justifies the</w:t>
      </w:r>
      <w:r>
        <w:rPr>
          <w:spacing w:val="-1"/>
          <w:sz w:val="24"/>
        </w:rPr>
        <w:t> </w:t>
      </w:r>
      <w:r>
        <w:rPr>
          <w:sz w:val="24"/>
        </w:rPr>
        <w:t>extension.</w:t>
      </w:r>
    </w:p>
    <w:p>
      <w:pPr>
        <w:pStyle w:val="ListParagraph"/>
        <w:numPr>
          <w:ilvl w:val="3"/>
          <w:numId w:val="45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only determine that a scheme has ceased to be a </w:t>
      </w:r>
      <w:r>
        <w:rPr>
          <w:i/>
          <w:sz w:val="24"/>
        </w:rPr>
        <w:t>jurisdictional scheme </w:t>
      </w:r>
      <w:r>
        <w:rPr>
          <w:sz w:val="24"/>
        </w:rPr>
        <w:t>under paragraph (u) if it considers that the scheme no longer meets the </w:t>
      </w:r>
      <w:r>
        <w:rPr>
          <w:i/>
          <w:sz w:val="24"/>
        </w:rPr>
        <w:t>jurisdictional scheme eligibility</w:t>
      </w:r>
      <w:r>
        <w:rPr>
          <w:i/>
          <w:spacing w:val="-4"/>
          <w:sz w:val="24"/>
        </w:rPr>
        <w:t> </w:t>
      </w:r>
      <w:r>
        <w:rPr>
          <w:i/>
          <w:sz w:val="24"/>
        </w:rPr>
        <w:t>criteria</w:t>
      </w:r>
      <w:r>
        <w:rPr>
          <w:sz w:val="24"/>
        </w:rPr>
        <w:t>.</w:t>
      </w:r>
    </w:p>
    <w:p>
      <w:pPr>
        <w:pStyle w:val="Heading4"/>
        <w:spacing w:before="120"/>
        <w:ind w:left="1352" w:firstLine="0"/>
        <w:jc w:val="both"/>
        <w:rPr>
          <w:rFonts w:ascii="Times New Roman"/>
        </w:rPr>
      </w:pPr>
      <w:r>
        <w:rPr>
          <w:rFonts w:ascii="Times New Roman"/>
        </w:rPr>
        <w:t>Jurisdictional scheme eligibility criteria</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The following are the </w:t>
      </w:r>
      <w:r>
        <w:rPr>
          <w:i/>
          <w:sz w:val="24"/>
        </w:rPr>
        <w:t>jurisdictional scheme eligibility</w:t>
      </w:r>
      <w:r>
        <w:rPr>
          <w:i/>
          <w:spacing w:val="-4"/>
          <w:sz w:val="24"/>
        </w:rPr>
        <w:t> </w:t>
      </w:r>
      <w:r>
        <w:rPr>
          <w:i/>
          <w:sz w:val="24"/>
        </w:rPr>
        <w:t>criteria</w:t>
      </w:r>
      <w:r>
        <w:rPr>
          <w:sz w:val="24"/>
        </w:rPr>
        <w:t>:</w:t>
      </w:r>
    </w:p>
    <w:p>
      <w:pPr>
        <w:pStyle w:val="ListParagraph"/>
        <w:numPr>
          <w:ilvl w:val="4"/>
          <w:numId w:val="452"/>
        </w:numPr>
        <w:tabs>
          <w:tab w:pos="2486" w:val="left" w:leader="none"/>
        </w:tabs>
        <w:spacing w:line="240" w:lineRule="auto" w:before="120" w:after="0"/>
        <w:ind w:left="2486" w:right="416" w:hanging="567"/>
        <w:jc w:val="both"/>
        <w:rPr>
          <w:sz w:val="24"/>
        </w:rPr>
      </w:pPr>
      <w:r>
        <w:rPr>
          <w:sz w:val="24"/>
        </w:rPr>
        <w:t>the </w:t>
      </w:r>
      <w:r>
        <w:rPr>
          <w:i/>
          <w:sz w:val="24"/>
        </w:rPr>
        <w:t>jurisdictional scheme obligations </w:t>
      </w:r>
      <w:r>
        <w:rPr>
          <w:sz w:val="24"/>
        </w:rPr>
        <w:t>require a </w:t>
      </w:r>
      <w:r>
        <w:rPr>
          <w:i/>
          <w:sz w:val="24"/>
        </w:rPr>
        <w:t>Distribution Network </w:t>
      </w:r>
      <w:r>
        <w:rPr>
          <w:i/>
          <w:sz w:val="24"/>
        </w:rPr>
        <w:t>Service Provider</w:t>
      </w:r>
      <w:r>
        <w:rPr>
          <w:i/>
          <w:spacing w:val="-1"/>
          <w:sz w:val="24"/>
        </w:rPr>
        <w:t> </w:t>
      </w:r>
      <w:r>
        <w:rPr>
          <w:sz w:val="24"/>
        </w:rPr>
        <w:t>to:</w:t>
      </w:r>
    </w:p>
    <w:p>
      <w:pPr>
        <w:pStyle w:val="ListParagraph"/>
        <w:numPr>
          <w:ilvl w:val="5"/>
          <w:numId w:val="452"/>
        </w:numPr>
        <w:tabs>
          <w:tab w:pos="3052" w:val="left" w:leader="none"/>
          <w:tab w:pos="3053" w:val="left" w:leader="none"/>
        </w:tabs>
        <w:spacing w:line="240" w:lineRule="auto" w:before="120" w:after="0"/>
        <w:ind w:left="3052" w:right="0" w:hanging="567"/>
        <w:jc w:val="left"/>
        <w:rPr>
          <w:sz w:val="24"/>
        </w:rPr>
      </w:pPr>
      <w:r>
        <w:rPr>
          <w:sz w:val="24"/>
        </w:rPr>
        <w:t>pay a</w:t>
      </w:r>
      <w:r>
        <w:rPr>
          <w:spacing w:val="-1"/>
          <w:sz w:val="24"/>
        </w:rPr>
        <w:t> </w:t>
      </w:r>
      <w:r>
        <w:rPr>
          <w:sz w:val="24"/>
        </w:rPr>
        <w:t>person;</w:t>
      </w:r>
    </w:p>
    <w:p>
      <w:pPr>
        <w:pStyle w:val="ListParagraph"/>
        <w:numPr>
          <w:ilvl w:val="5"/>
          <w:numId w:val="452"/>
        </w:numPr>
        <w:tabs>
          <w:tab w:pos="3052" w:val="left" w:leader="none"/>
          <w:tab w:pos="3054" w:val="left" w:leader="none"/>
        </w:tabs>
        <w:spacing w:line="240" w:lineRule="auto" w:before="120" w:after="0"/>
        <w:ind w:left="3053" w:right="414" w:hanging="567"/>
        <w:jc w:val="left"/>
        <w:rPr>
          <w:sz w:val="24"/>
        </w:rPr>
      </w:pPr>
      <w:r>
        <w:rPr>
          <w:sz w:val="24"/>
        </w:rPr>
        <w:t>pay into a fund established under an Act of a </w:t>
      </w:r>
      <w:r>
        <w:rPr>
          <w:i/>
          <w:sz w:val="24"/>
        </w:rPr>
        <w:t>participating </w:t>
      </w:r>
      <w:r>
        <w:rPr>
          <w:i/>
          <w:sz w:val="24"/>
        </w:rPr>
        <w:t>jurisdiction</w:t>
      </w:r>
      <w:r>
        <w:rPr>
          <w:sz w:val="24"/>
        </w:rPr>
        <w:t>;</w:t>
      </w:r>
    </w:p>
    <w:p>
      <w:pPr>
        <w:pStyle w:val="ListParagraph"/>
        <w:numPr>
          <w:ilvl w:val="5"/>
          <w:numId w:val="452"/>
        </w:numPr>
        <w:tabs>
          <w:tab w:pos="3052" w:val="left" w:leader="none"/>
          <w:tab w:pos="3053" w:val="left" w:leader="none"/>
        </w:tabs>
        <w:spacing w:line="240" w:lineRule="auto" w:before="120" w:after="0"/>
        <w:ind w:left="3052" w:right="0" w:hanging="567"/>
        <w:jc w:val="left"/>
        <w:rPr>
          <w:sz w:val="24"/>
        </w:rPr>
      </w:pPr>
      <w:r>
        <w:rPr>
          <w:sz w:val="24"/>
        </w:rPr>
        <w:t>credit against charges payable by a person;</w:t>
      </w:r>
      <w:r>
        <w:rPr>
          <w:spacing w:val="-3"/>
          <w:sz w:val="24"/>
        </w:rPr>
        <w:t> </w:t>
      </w:r>
      <w:r>
        <w:rPr>
          <w:sz w:val="24"/>
        </w:rPr>
        <w:t>or</w:t>
      </w:r>
    </w:p>
    <w:p>
      <w:pPr>
        <w:pStyle w:val="ListParagraph"/>
        <w:numPr>
          <w:ilvl w:val="5"/>
          <w:numId w:val="452"/>
        </w:numPr>
        <w:tabs>
          <w:tab w:pos="3052" w:val="left" w:leader="none"/>
          <w:tab w:pos="3054" w:val="left" w:leader="none"/>
        </w:tabs>
        <w:spacing w:line="240" w:lineRule="auto" w:before="120" w:after="0"/>
        <w:ind w:left="3053" w:right="0" w:hanging="568"/>
        <w:jc w:val="left"/>
        <w:rPr>
          <w:sz w:val="24"/>
        </w:rPr>
      </w:pPr>
      <w:r>
        <w:rPr>
          <w:sz w:val="24"/>
        </w:rPr>
        <w:t>reimburse a</w:t>
      </w:r>
      <w:r>
        <w:rPr>
          <w:spacing w:val="-1"/>
          <w:sz w:val="24"/>
        </w:rPr>
        <w:t> </w:t>
      </w:r>
      <w:r>
        <w:rPr>
          <w:sz w:val="24"/>
        </w:rPr>
        <w:t>person,</w:t>
      </w:r>
    </w:p>
    <w:p>
      <w:pPr>
        <w:pStyle w:val="BodyText"/>
        <w:ind w:left="2486" w:firstLine="0"/>
        <w:jc w:val="left"/>
      </w:pPr>
      <w:r>
        <w:rPr/>
        <w:t>an amount specified in, or determined in accordance with, the</w:t>
      </w:r>
    </w:p>
    <w:p>
      <w:pPr>
        <w:spacing w:before="0"/>
        <w:ind w:left="2486" w:right="0" w:firstLine="0"/>
        <w:jc w:val="left"/>
        <w:rPr>
          <w:sz w:val="24"/>
        </w:rPr>
      </w:pPr>
      <w:r>
        <w:rPr>
          <w:i/>
          <w:sz w:val="24"/>
        </w:rPr>
        <w:t>jurisdictional scheme obligations</w:t>
      </w:r>
      <w:r>
        <w:rPr>
          <w:sz w:val="24"/>
        </w:rPr>
        <w:t>;</w:t>
      </w:r>
    </w:p>
    <w:p>
      <w:pPr>
        <w:spacing w:after="0"/>
        <w:jc w:val="left"/>
        <w:rPr>
          <w:sz w:val="24"/>
        </w:rPr>
        <w:sectPr>
          <w:pgSz w:w="11910" w:h="16840"/>
          <w:pgMar w:header="686" w:footer="637" w:top="1320" w:bottom="820" w:left="1200" w:right="1000"/>
        </w:sectPr>
      </w:pPr>
    </w:p>
    <w:p>
      <w:pPr>
        <w:pStyle w:val="ListParagraph"/>
        <w:numPr>
          <w:ilvl w:val="4"/>
          <w:numId w:val="452"/>
        </w:numPr>
        <w:tabs>
          <w:tab w:pos="2486" w:val="left" w:leader="none"/>
        </w:tabs>
        <w:spacing w:line="240" w:lineRule="auto" w:before="83" w:after="0"/>
        <w:ind w:left="2486" w:right="414" w:hanging="567"/>
        <w:jc w:val="both"/>
        <w:rPr>
          <w:sz w:val="24"/>
        </w:rPr>
      </w:pPr>
      <w:r>
        <w:rPr>
          <w:sz w:val="24"/>
        </w:rPr>
        <w:t>the </w:t>
      </w:r>
      <w:r>
        <w:rPr>
          <w:i/>
          <w:sz w:val="24"/>
        </w:rPr>
        <w:t>jurisdictional scheme obligations </w:t>
      </w:r>
      <w:r>
        <w:rPr>
          <w:sz w:val="24"/>
        </w:rPr>
        <w:t>are imposed on a </w:t>
      </w:r>
      <w:r>
        <w:rPr>
          <w:i/>
          <w:sz w:val="24"/>
        </w:rPr>
        <w:t>Distribution </w:t>
      </w:r>
      <w:r>
        <w:rPr>
          <w:i/>
          <w:sz w:val="24"/>
        </w:rPr>
        <w:t>Network Service Provider </w:t>
      </w:r>
      <w:r>
        <w:rPr>
          <w:sz w:val="24"/>
        </w:rPr>
        <w:t>in its capacity as a </w:t>
      </w:r>
      <w:r>
        <w:rPr>
          <w:i/>
          <w:sz w:val="24"/>
        </w:rPr>
        <w:t>Distribution Network </w:t>
      </w:r>
      <w:r>
        <w:rPr>
          <w:i/>
          <w:sz w:val="24"/>
        </w:rPr>
        <w:t>Service</w:t>
      </w:r>
      <w:r>
        <w:rPr>
          <w:i/>
          <w:spacing w:val="-1"/>
          <w:sz w:val="24"/>
        </w:rPr>
        <w:t> </w:t>
      </w:r>
      <w:r>
        <w:rPr>
          <w:i/>
          <w:sz w:val="24"/>
        </w:rPr>
        <w:t>Provider</w:t>
      </w:r>
      <w:r>
        <w:rPr>
          <w:sz w:val="24"/>
        </w:rPr>
        <w:t>;</w:t>
      </w:r>
    </w:p>
    <w:p>
      <w:pPr>
        <w:pStyle w:val="ListParagraph"/>
        <w:numPr>
          <w:ilvl w:val="4"/>
          <w:numId w:val="452"/>
        </w:numPr>
        <w:tabs>
          <w:tab w:pos="2486" w:val="left" w:leader="none"/>
        </w:tabs>
        <w:spacing w:line="240" w:lineRule="auto" w:before="120" w:after="0"/>
        <w:ind w:left="2486" w:right="416" w:hanging="567"/>
        <w:jc w:val="both"/>
        <w:rPr>
          <w:sz w:val="24"/>
        </w:rPr>
      </w:pPr>
      <w:r>
        <w:rPr>
          <w:sz w:val="24"/>
        </w:rPr>
        <w:t>the amount referred to in subparagraph (1) is not in the nature of a fine, penalty or incentive payment for the </w:t>
      </w:r>
      <w:r>
        <w:rPr>
          <w:i/>
          <w:sz w:val="24"/>
        </w:rPr>
        <w:t>Distribution Network </w:t>
      </w:r>
      <w:r>
        <w:rPr>
          <w:i/>
          <w:sz w:val="24"/>
        </w:rPr>
        <w:t>Service Provider</w:t>
      </w:r>
      <w:r>
        <w:rPr>
          <w:sz w:val="24"/>
        </w:rPr>
        <w:t>;</w:t>
      </w:r>
      <w:r>
        <w:rPr>
          <w:spacing w:val="-1"/>
          <w:sz w:val="24"/>
        </w:rPr>
        <w:t> </w:t>
      </w:r>
      <w:r>
        <w:rPr>
          <w:sz w:val="24"/>
        </w:rPr>
        <w:t>and</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except as provided in these Rules, the </w:t>
      </w:r>
      <w:r>
        <w:rPr>
          <w:i/>
          <w:sz w:val="24"/>
        </w:rPr>
        <w:t>Distribution Network Service </w:t>
      </w:r>
      <w:r>
        <w:rPr>
          <w:i/>
          <w:sz w:val="24"/>
        </w:rPr>
        <w:t>Provider </w:t>
      </w:r>
      <w:r>
        <w:rPr>
          <w:sz w:val="24"/>
        </w:rPr>
        <w:t>has no right to recover the amount referred to in subparagraph (1) from any</w:t>
      </w:r>
      <w:r>
        <w:rPr>
          <w:spacing w:val="-2"/>
          <w:sz w:val="24"/>
        </w:rPr>
        <w:t> </w:t>
      </w:r>
      <w:r>
        <w:rPr>
          <w:sz w:val="24"/>
        </w:rPr>
        <w:t>person.</w:t>
      </w:r>
    </w:p>
    <w:p>
      <w:pPr>
        <w:pStyle w:val="BodyText"/>
        <w:spacing w:before="10"/>
        <w:ind w:firstLine="0"/>
        <w:jc w:val="left"/>
        <w:rPr>
          <w:sz w:val="20"/>
        </w:rPr>
      </w:pPr>
    </w:p>
    <w:p>
      <w:pPr>
        <w:pStyle w:val="Heading4"/>
        <w:numPr>
          <w:ilvl w:val="2"/>
          <w:numId w:val="452"/>
        </w:numPr>
        <w:tabs>
          <w:tab w:pos="1351" w:val="left" w:leader="none"/>
          <w:tab w:pos="1352" w:val="left" w:leader="none"/>
        </w:tabs>
        <w:spacing w:line="240" w:lineRule="auto" w:before="0" w:after="0"/>
        <w:ind w:left="1351" w:right="0" w:hanging="1134"/>
        <w:jc w:val="left"/>
      </w:pPr>
      <w:bookmarkStart w:name="6.18.8 Approval of pricing proposal" w:id="1581"/>
      <w:bookmarkEnd w:id="1581"/>
      <w:r>
        <w:rPr>
          <w:b w:val="0"/>
        </w:rPr>
      </w:r>
      <w:bookmarkStart w:name="_bookmark630" w:id="1582"/>
      <w:bookmarkEnd w:id="1582"/>
      <w:r>
        <w:rPr>
          <w:b w:val="0"/>
        </w:rPr>
      </w:r>
      <w:bookmarkStart w:name="_bookmark630" w:id="1583"/>
      <w:bookmarkEnd w:id="1583"/>
      <w:r>
        <w:rPr/>
        <w:t>Approva</w:t>
      </w:r>
      <w:r>
        <w:rPr/>
        <w:t>l of pricing</w:t>
      </w:r>
      <w:r>
        <w:rPr>
          <w:spacing w:val="-3"/>
        </w:rPr>
        <w:t> </w:t>
      </w:r>
      <w:r>
        <w:rPr/>
        <w:t>proposal</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approve a </w:t>
      </w:r>
      <w:r>
        <w:rPr>
          <w:i/>
          <w:sz w:val="24"/>
        </w:rPr>
        <w:t>pricing proposal </w:t>
      </w:r>
      <w:r>
        <w:rPr>
          <w:sz w:val="24"/>
        </w:rPr>
        <w:t>if the </w:t>
      </w:r>
      <w:r>
        <w:rPr>
          <w:i/>
          <w:sz w:val="24"/>
        </w:rPr>
        <w:t>AER </w:t>
      </w:r>
      <w:r>
        <w:rPr>
          <w:sz w:val="24"/>
        </w:rPr>
        <w:t>is satisfied</w:t>
      </w:r>
      <w:r>
        <w:rPr>
          <w:spacing w:val="-5"/>
          <w:sz w:val="24"/>
        </w:rPr>
        <w:t> </w:t>
      </w:r>
      <w:r>
        <w:rPr>
          <w:sz w:val="24"/>
        </w:rPr>
        <w:t>that:</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the</w:t>
      </w:r>
      <w:r>
        <w:rPr>
          <w:spacing w:val="22"/>
          <w:sz w:val="24"/>
        </w:rPr>
        <w:t> </w:t>
      </w:r>
      <w:r>
        <w:rPr>
          <w:sz w:val="24"/>
        </w:rPr>
        <w:t>proposal</w:t>
      </w:r>
      <w:r>
        <w:rPr>
          <w:spacing w:val="23"/>
          <w:sz w:val="24"/>
        </w:rPr>
        <w:t> </w:t>
      </w:r>
      <w:r>
        <w:rPr>
          <w:sz w:val="24"/>
        </w:rPr>
        <w:t>complies</w:t>
      </w:r>
      <w:r>
        <w:rPr>
          <w:spacing w:val="22"/>
          <w:sz w:val="24"/>
        </w:rPr>
        <w:t> </w:t>
      </w:r>
      <w:r>
        <w:rPr>
          <w:sz w:val="24"/>
        </w:rPr>
        <w:t>with</w:t>
      </w:r>
      <w:r>
        <w:rPr>
          <w:spacing w:val="23"/>
          <w:sz w:val="24"/>
        </w:rPr>
        <w:t> </w:t>
      </w:r>
      <w:r>
        <w:rPr>
          <w:sz w:val="24"/>
        </w:rPr>
        <w:t>this</w:t>
      </w:r>
      <w:r>
        <w:rPr>
          <w:spacing w:val="23"/>
          <w:sz w:val="24"/>
        </w:rPr>
        <w:t> </w:t>
      </w:r>
      <w:r>
        <w:rPr>
          <w:sz w:val="24"/>
        </w:rPr>
        <w:t>Part,</w:t>
      </w:r>
      <w:r>
        <w:rPr>
          <w:spacing w:val="22"/>
          <w:sz w:val="24"/>
        </w:rPr>
        <w:t> </w:t>
      </w:r>
      <w:r>
        <w:rPr>
          <w:sz w:val="24"/>
        </w:rPr>
        <w:t>any</w:t>
      </w:r>
      <w:r>
        <w:rPr>
          <w:spacing w:val="23"/>
          <w:sz w:val="24"/>
        </w:rPr>
        <w:t> </w:t>
      </w:r>
      <w:r>
        <w:rPr>
          <w:sz w:val="24"/>
        </w:rPr>
        <w:t>relevant</w:t>
      </w:r>
      <w:r>
        <w:rPr>
          <w:spacing w:val="22"/>
          <w:sz w:val="24"/>
        </w:rPr>
        <w:t> </w:t>
      </w:r>
      <w:r>
        <w:rPr>
          <w:sz w:val="24"/>
        </w:rPr>
        <w:t>clauses</w:t>
      </w:r>
      <w:r>
        <w:rPr>
          <w:spacing w:val="23"/>
          <w:sz w:val="24"/>
        </w:rPr>
        <w:t> </w:t>
      </w:r>
      <w:r>
        <w:rPr>
          <w:sz w:val="24"/>
        </w:rPr>
        <w:t>in</w:t>
      </w:r>
      <w:r>
        <w:rPr>
          <w:spacing w:val="23"/>
          <w:sz w:val="24"/>
        </w:rPr>
        <w:t> </w:t>
      </w:r>
      <w:r>
        <w:rPr>
          <w:sz w:val="24"/>
        </w:rPr>
        <w:t>Chapter</w:t>
      </w:r>
    </w:p>
    <w:p>
      <w:pPr>
        <w:spacing w:before="0"/>
        <w:ind w:left="2486" w:right="415" w:firstLine="0"/>
        <w:jc w:val="both"/>
        <w:rPr>
          <w:sz w:val="24"/>
        </w:rPr>
      </w:pPr>
      <w:r>
        <w:rPr>
          <w:sz w:val="24"/>
        </w:rPr>
        <w:t>11 and any applicable distribution determination including any applicable </w:t>
      </w:r>
      <w:r>
        <w:rPr>
          <w:i/>
          <w:sz w:val="24"/>
        </w:rPr>
        <w:t>tariff structure statement</w:t>
      </w:r>
      <w:r>
        <w:rPr>
          <w:sz w:val="24"/>
        </w:rPr>
        <w:t>;</w:t>
      </w:r>
    </w:p>
    <w:p>
      <w:pPr>
        <w:pStyle w:val="ListParagraph"/>
        <w:numPr>
          <w:ilvl w:val="4"/>
          <w:numId w:val="452"/>
        </w:numPr>
        <w:tabs>
          <w:tab w:pos="2486" w:val="left" w:leader="none"/>
        </w:tabs>
        <w:spacing w:line="240" w:lineRule="auto" w:before="120" w:after="0"/>
        <w:ind w:left="2486" w:right="414" w:hanging="567"/>
        <w:jc w:val="both"/>
        <w:rPr>
          <w:sz w:val="24"/>
        </w:rPr>
      </w:pPr>
      <w:r>
        <w:rPr>
          <w:sz w:val="24"/>
        </w:rPr>
        <w:t>each proposed tariff set out in the proposal is broadly consistent with the corresponding indicative pricing levels for that tariff for the relevant </w:t>
      </w:r>
      <w:r>
        <w:rPr>
          <w:i/>
          <w:sz w:val="24"/>
        </w:rPr>
        <w:t>regulatory year </w:t>
      </w:r>
      <w:r>
        <w:rPr>
          <w:sz w:val="24"/>
        </w:rPr>
        <w:t>as set out in any previously applicable </w:t>
      </w:r>
      <w:r>
        <w:rPr>
          <w:i/>
          <w:sz w:val="24"/>
        </w:rPr>
        <w:t>indicative pricing schedule</w:t>
      </w:r>
      <w:r>
        <w:rPr>
          <w:sz w:val="24"/>
        </w:rPr>
        <w:t>, or else any material differences between them have been explained by the </w:t>
      </w:r>
      <w:r>
        <w:rPr>
          <w:i/>
          <w:sz w:val="24"/>
        </w:rPr>
        <w:t>Distribution Network Service </w:t>
      </w:r>
      <w:r>
        <w:rPr>
          <w:i/>
          <w:sz w:val="24"/>
        </w:rPr>
        <w:t>Provider</w:t>
      </w:r>
      <w:r>
        <w:rPr>
          <w:sz w:val="24"/>
        </w:rPr>
        <w:t>;</w:t>
      </w:r>
      <w:r>
        <w:rPr>
          <w:spacing w:val="-1"/>
          <w:sz w:val="24"/>
        </w:rPr>
        <w:t> </w:t>
      </w:r>
      <w:r>
        <w:rPr>
          <w:sz w:val="24"/>
        </w:rPr>
        <w:t>and</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all forecasts associated with the proposal are</w:t>
      </w:r>
      <w:r>
        <w:rPr>
          <w:spacing w:val="-3"/>
          <w:sz w:val="24"/>
        </w:rPr>
        <w:t> </w:t>
      </w:r>
      <w:r>
        <w:rPr>
          <w:sz w:val="24"/>
        </w:rPr>
        <w:t>reasonable.</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If the </w:t>
      </w:r>
      <w:r>
        <w:rPr>
          <w:i/>
          <w:sz w:val="24"/>
        </w:rPr>
        <w:t>AER </w:t>
      </w:r>
      <w:r>
        <w:rPr>
          <w:sz w:val="24"/>
        </w:rPr>
        <w:t>determines that a </w:t>
      </w:r>
      <w:r>
        <w:rPr>
          <w:i/>
          <w:sz w:val="24"/>
        </w:rPr>
        <w:t>pricing proposal </w:t>
      </w:r>
      <w:r>
        <w:rPr>
          <w:sz w:val="24"/>
        </w:rPr>
        <w:t>is</w:t>
      </w:r>
      <w:r>
        <w:rPr>
          <w:spacing w:val="-2"/>
          <w:sz w:val="24"/>
        </w:rPr>
        <w:t> </w:t>
      </w:r>
      <w:r>
        <w:rPr>
          <w:sz w:val="24"/>
        </w:rPr>
        <w:t>deficient:</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may require the </w:t>
      </w:r>
      <w:r>
        <w:rPr>
          <w:i/>
          <w:sz w:val="24"/>
        </w:rPr>
        <w:t>Distribution Network Service Provider</w:t>
      </w:r>
      <w:r>
        <w:rPr>
          <w:sz w:val="24"/>
        </w:rPr>
        <w:t>, within 10 </w:t>
      </w:r>
      <w:r>
        <w:rPr>
          <w:i/>
          <w:sz w:val="24"/>
        </w:rPr>
        <w:t>business days </w:t>
      </w:r>
      <w:r>
        <w:rPr>
          <w:sz w:val="24"/>
        </w:rPr>
        <w:t>after receiving notice of the determination, to re-submit the proposal with the amendments necessary to correct the deficiencies identified in the determination and (unless the </w:t>
      </w:r>
      <w:r>
        <w:rPr>
          <w:i/>
          <w:sz w:val="24"/>
        </w:rPr>
        <w:t>AER </w:t>
      </w:r>
      <w:r>
        <w:rPr>
          <w:sz w:val="24"/>
        </w:rPr>
        <w:t>permits further amendment) no further amendment;</w:t>
      </w:r>
      <w:r>
        <w:rPr>
          <w:spacing w:val="-1"/>
          <w:sz w:val="24"/>
        </w:rPr>
        <w:t> </w:t>
      </w:r>
      <w:r>
        <w:rPr>
          <w:sz w:val="24"/>
        </w:rPr>
        <w:t>or</w:t>
      </w:r>
    </w:p>
    <w:p>
      <w:pPr>
        <w:pStyle w:val="ListParagraph"/>
        <w:numPr>
          <w:ilvl w:val="4"/>
          <w:numId w:val="452"/>
        </w:numPr>
        <w:tabs>
          <w:tab w:pos="2486" w:val="left" w:leader="none"/>
        </w:tabs>
        <w:spacing w:line="240" w:lineRule="auto" w:before="120" w:after="0"/>
        <w:ind w:left="2486" w:right="414" w:hanging="567"/>
        <w:jc w:val="both"/>
        <w:rPr>
          <w:sz w:val="24"/>
        </w:rPr>
      </w:pPr>
      <w:r>
        <w:rPr>
          <w:sz w:val="24"/>
        </w:rPr>
        <w:t>the </w:t>
      </w:r>
      <w:r>
        <w:rPr>
          <w:i/>
          <w:sz w:val="24"/>
        </w:rPr>
        <w:t>AER </w:t>
      </w:r>
      <w:r>
        <w:rPr>
          <w:sz w:val="24"/>
        </w:rPr>
        <w:t>may itself make the amendments necessary to correct </w:t>
      </w:r>
      <w:r>
        <w:rPr>
          <w:spacing w:val="-5"/>
          <w:sz w:val="24"/>
        </w:rPr>
        <w:t>the </w:t>
      </w:r>
      <w:r>
        <w:rPr>
          <w:sz w:val="24"/>
        </w:rPr>
        <w:t>deficiencies.</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If the </w:t>
      </w:r>
      <w:r>
        <w:rPr>
          <w:i/>
          <w:sz w:val="24"/>
        </w:rPr>
        <w:t>Distribution Network Service Provider </w:t>
      </w:r>
      <w:r>
        <w:rPr>
          <w:sz w:val="24"/>
        </w:rPr>
        <w:t>fails to comply with a requirement under paragraph (b), or the resubmitted proposal fails to correct the deficiencies in the former proposal, the </w:t>
      </w:r>
      <w:r>
        <w:rPr>
          <w:i/>
          <w:sz w:val="24"/>
        </w:rPr>
        <w:t>AER </w:t>
      </w:r>
      <w:r>
        <w:rPr>
          <w:sz w:val="24"/>
        </w:rPr>
        <w:t>may itself amend the proposal to bring it into conformity with the requirements of this Part, any applicable distribution determination and the </w:t>
      </w:r>
      <w:r>
        <w:rPr>
          <w:i/>
          <w:sz w:val="24"/>
        </w:rPr>
        <w:t>Distribution Network Service </w:t>
      </w:r>
      <w:r>
        <w:rPr>
          <w:i/>
          <w:sz w:val="24"/>
        </w:rPr>
        <w:t>Provider's tariff structure statement </w:t>
      </w:r>
      <w:r>
        <w:rPr>
          <w:sz w:val="24"/>
        </w:rPr>
        <w:t>for the relevant </w:t>
      </w:r>
      <w:r>
        <w:rPr>
          <w:i/>
          <w:sz w:val="24"/>
        </w:rPr>
        <w:t>regulatory control </w:t>
      </w:r>
      <w:r>
        <w:rPr>
          <w:i/>
          <w:sz w:val="24"/>
        </w:rPr>
        <w:t>period</w:t>
      </w:r>
      <w:r>
        <w:rPr>
          <w:sz w:val="24"/>
        </w:rPr>
        <w:t>.</w:t>
      </w:r>
    </w:p>
    <w:p>
      <w:pPr>
        <w:spacing w:before="120"/>
        <w:ind w:left="1919" w:right="415" w:hanging="567"/>
        <w:jc w:val="both"/>
        <w:rPr>
          <w:sz w:val="24"/>
        </w:rPr>
      </w:pPr>
      <w:r>
        <w:rPr>
          <w:sz w:val="24"/>
        </w:rPr>
        <w:t>(c1) For the purposes of amending a </w:t>
      </w:r>
      <w:r>
        <w:rPr>
          <w:i/>
          <w:sz w:val="24"/>
        </w:rPr>
        <w:t>pricing proposal </w:t>
      </w:r>
      <w:r>
        <w:rPr>
          <w:sz w:val="24"/>
        </w:rPr>
        <w:t>under sub-paragraph (b)(2) or paragraph (c), the </w:t>
      </w:r>
      <w:r>
        <w:rPr>
          <w:i/>
          <w:sz w:val="24"/>
        </w:rPr>
        <w:t>AER </w:t>
      </w:r>
      <w:r>
        <w:rPr>
          <w:sz w:val="24"/>
        </w:rPr>
        <w:t>may have regard to the corresponding indicative pricing levels for the relevant </w:t>
      </w:r>
      <w:r>
        <w:rPr>
          <w:i/>
          <w:sz w:val="24"/>
        </w:rPr>
        <w:t>regulatory year </w:t>
      </w:r>
      <w:r>
        <w:rPr>
          <w:sz w:val="24"/>
        </w:rPr>
        <w:t>as set out in any previously applicable </w:t>
      </w:r>
      <w:r>
        <w:rPr>
          <w:i/>
          <w:sz w:val="24"/>
        </w:rPr>
        <w:t>indicative pricing schedule</w:t>
      </w:r>
      <w:r>
        <w:rPr>
          <w:sz w:val="24"/>
        </w:rPr>
        <w:t>.</w:t>
      </w:r>
    </w:p>
    <w:p>
      <w:pPr>
        <w:spacing w:before="120"/>
        <w:ind w:left="1919" w:right="416" w:hanging="567"/>
        <w:jc w:val="both"/>
        <w:rPr>
          <w:sz w:val="24"/>
        </w:rPr>
      </w:pPr>
      <w:r>
        <w:rPr>
          <w:sz w:val="24"/>
        </w:rPr>
        <w:t>(c2) The </w:t>
      </w:r>
      <w:r>
        <w:rPr>
          <w:i/>
          <w:sz w:val="24"/>
        </w:rPr>
        <w:t>AER </w:t>
      </w:r>
      <w:r>
        <w:rPr>
          <w:sz w:val="24"/>
        </w:rPr>
        <w:t>must, as soon as practicable after a </w:t>
      </w:r>
      <w:r>
        <w:rPr>
          <w:i/>
          <w:sz w:val="24"/>
        </w:rPr>
        <w:t>Distribution Network Service </w:t>
      </w:r>
      <w:r>
        <w:rPr>
          <w:i/>
          <w:sz w:val="24"/>
        </w:rPr>
        <w:t>Provider </w:t>
      </w:r>
      <w:r>
        <w:rPr>
          <w:sz w:val="24"/>
        </w:rPr>
        <w:t>has submitted an initial </w:t>
      </w:r>
      <w:r>
        <w:rPr>
          <w:i/>
          <w:sz w:val="24"/>
        </w:rPr>
        <w:t>pricing proposal </w:t>
      </w:r>
      <w:r>
        <w:rPr>
          <w:sz w:val="24"/>
        </w:rPr>
        <w:t>under sub-paragraph 6.18.2(a)(1), </w:t>
      </w:r>
      <w:r>
        <w:rPr>
          <w:i/>
          <w:sz w:val="24"/>
        </w:rPr>
        <w:t>publish </w:t>
      </w:r>
      <w:r>
        <w:rPr>
          <w:sz w:val="24"/>
        </w:rPr>
        <w:t>an </w:t>
      </w:r>
      <w:r>
        <w:rPr>
          <w:i/>
          <w:sz w:val="24"/>
        </w:rPr>
        <w:t>approved pricing proposal </w:t>
      </w:r>
      <w:r>
        <w:rPr>
          <w:sz w:val="24"/>
        </w:rPr>
        <w:t>(including any</w:t>
      </w:r>
    </w:p>
    <w:p>
      <w:pPr>
        <w:spacing w:after="0"/>
        <w:jc w:val="both"/>
        <w:rPr>
          <w:sz w:val="24"/>
        </w:rPr>
        <w:sectPr>
          <w:pgSz w:w="11910" w:h="16840"/>
          <w:pgMar w:header="686" w:footer="637" w:top="1320" w:bottom="820" w:left="1200" w:right="1000"/>
        </w:sectPr>
      </w:pPr>
    </w:p>
    <w:p>
      <w:pPr>
        <w:spacing w:before="83"/>
        <w:ind w:left="1919" w:right="414" w:firstLine="0"/>
        <w:jc w:val="both"/>
        <w:rPr>
          <w:sz w:val="24"/>
        </w:rPr>
      </w:pPr>
      <w:r>
        <w:rPr>
          <w:sz w:val="24"/>
        </w:rPr>
        <w:t>amendments made by the </w:t>
      </w:r>
      <w:r>
        <w:rPr>
          <w:i/>
          <w:sz w:val="24"/>
        </w:rPr>
        <w:t>AER </w:t>
      </w:r>
      <w:r>
        <w:rPr>
          <w:sz w:val="24"/>
        </w:rPr>
        <w:t>under this clause 6.18.8) with respect to that initial </w:t>
      </w:r>
      <w:r>
        <w:rPr>
          <w:i/>
          <w:sz w:val="24"/>
        </w:rPr>
        <w:t>pricing proposal</w:t>
      </w:r>
      <w:r>
        <w:rPr>
          <w:sz w:val="24"/>
        </w:rPr>
        <w:t>.</w:t>
      </w:r>
    </w:p>
    <w:p>
      <w:pPr>
        <w:spacing w:before="120"/>
        <w:ind w:left="1919" w:right="415" w:hanging="567"/>
        <w:jc w:val="both"/>
        <w:rPr>
          <w:sz w:val="24"/>
        </w:rPr>
      </w:pPr>
      <w:r>
        <w:rPr>
          <w:sz w:val="24"/>
        </w:rPr>
        <w:t>(c3) The </w:t>
      </w:r>
      <w:r>
        <w:rPr>
          <w:i/>
          <w:sz w:val="24"/>
        </w:rPr>
        <w:t>AER </w:t>
      </w:r>
      <w:r>
        <w:rPr>
          <w:sz w:val="24"/>
        </w:rPr>
        <w:t>must, within 30 </w:t>
      </w:r>
      <w:r>
        <w:rPr>
          <w:i/>
          <w:sz w:val="24"/>
        </w:rPr>
        <w:t>business days </w:t>
      </w:r>
      <w:r>
        <w:rPr>
          <w:sz w:val="24"/>
        </w:rPr>
        <w:t>from the date of submission of an annual </w:t>
      </w:r>
      <w:r>
        <w:rPr>
          <w:i/>
          <w:sz w:val="24"/>
        </w:rPr>
        <w:t>pricing proposal </w:t>
      </w:r>
      <w:r>
        <w:rPr>
          <w:sz w:val="24"/>
        </w:rPr>
        <w:t>by a </w:t>
      </w:r>
      <w:r>
        <w:rPr>
          <w:i/>
          <w:sz w:val="24"/>
        </w:rPr>
        <w:t>Distribution Network Service Provider </w:t>
      </w:r>
      <w:r>
        <w:rPr>
          <w:sz w:val="24"/>
        </w:rPr>
        <w:t>under sub-paragraph 6.18.2(a)(2), </w:t>
      </w:r>
      <w:r>
        <w:rPr>
          <w:i/>
          <w:sz w:val="24"/>
        </w:rPr>
        <w:t>publish </w:t>
      </w:r>
      <w:r>
        <w:rPr>
          <w:sz w:val="24"/>
        </w:rPr>
        <w:t>an </w:t>
      </w:r>
      <w:r>
        <w:rPr>
          <w:i/>
          <w:sz w:val="24"/>
        </w:rPr>
        <w:t>approved pricing  proposal </w:t>
      </w:r>
      <w:r>
        <w:rPr>
          <w:sz w:val="24"/>
        </w:rPr>
        <w:t>(including any amendments made by the </w:t>
      </w:r>
      <w:r>
        <w:rPr>
          <w:i/>
          <w:sz w:val="24"/>
        </w:rPr>
        <w:t>AER </w:t>
      </w:r>
      <w:r>
        <w:rPr>
          <w:sz w:val="24"/>
        </w:rPr>
        <w:t>under this clause 6.18.8) with respect to that annual </w:t>
      </w:r>
      <w:r>
        <w:rPr>
          <w:i/>
          <w:sz w:val="24"/>
        </w:rPr>
        <w:t>pricing</w:t>
      </w:r>
      <w:r>
        <w:rPr>
          <w:i/>
          <w:spacing w:val="-2"/>
          <w:sz w:val="24"/>
        </w:rPr>
        <w:t> </w:t>
      </w:r>
      <w:r>
        <w:rPr>
          <w:i/>
          <w:sz w:val="24"/>
        </w:rPr>
        <w:t>proposal</w:t>
      </w:r>
      <w:r>
        <w:rPr>
          <w:sz w:val="24"/>
        </w:rPr>
        <w:t>.</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An </w:t>
      </w:r>
      <w:r>
        <w:rPr>
          <w:i/>
          <w:sz w:val="24"/>
        </w:rPr>
        <w:t>approved pricing proposal </w:t>
      </w:r>
      <w:r>
        <w:rPr>
          <w:sz w:val="24"/>
        </w:rPr>
        <w:t>takes</w:t>
      </w:r>
      <w:r>
        <w:rPr>
          <w:spacing w:val="-2"/>
          <w:sz w:val="24"/>
        </w:rPr>
        <w:t> </w:t>
      </w:r>
      <w:r>
        <w:rPr>
          <w:sz w:val="24"/>
        </w:rPr>
        <w:t>effect:</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in the case of an initial </w:t>
      </w:r>
      <w:r>
        <w:rPr>
          <w:i/>
          <w:sz w:val="24"/>
        </w:rPr>
        <w:t>pricing proposal </w:t>
      </w:r>
      <w:r>
        <w:rPr>
          <w:sz w:val="24"/>
        </w:rPr>
        <w:t>– at the commencement of  the first </w:t>
      </w:r>
      <w:r>
        <w:rPr>
          <w:i/>
          <w:sz w:val="24"/>
        </w:rPr>
        <w:t>regulatory year </w:t>
      </w:r>
      <w:r>
        <w:rPr>
          <w:sz w:val="24"/>
        </w:rPr>
        <w:t>of the </w:t>
      </w:r>
      <w:r>
        <w:rPr>
          <w:i/>
          <w:sz w:val="24"/>
        </w:rPr>
        <w:t>regulatory control period </w:t>
      </w:r>
      <w:r>
        <w:rPr>
          <w:sz w:val="24"/>
        </w:rPr>
        <w:t>for which the distribution determination is made;</w:t>
      </w:r>
      <w:r>
        <w:rPr>
          <w:spacing w:val="-2"/>
          <w:sz w:val="24"/>
        </w:rPr>
        <w:t> </w:t>
      </w:r>
      <w:r>
        <w:rPr>
          <w:sz w:val="24"/>
        </w:rPr>
        <w:t>and</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in the case of an annual </w:t>
      </w:r>
      <w:r>
        <w:rPr>
          <w:i/>
          <w:sz w:val="24"/>
        </w:rPr>
        <w:t>pricing proposal </w:t>
      </w:r>
      <w:r>
        <w:rPr>
          <w:sz w:val="24"/>
        </w:rPr>
        <w:t>– at the commencement of the </w:t>
      </w:r>
      <w:r>
        <w:rPr>
          <w:i/>
          <w:sz w:val="24"/>
        </w:rPr>
        <w:t>regulatory year </w:t>
      </w:r>
      <w:r>
        <w:rPr>
          <w:sz w:val="24"/>
        </w:rPr>
        <w:t>to which the proposal</w:t>
      </w:r>
      <w:r>
        <w:rPr>
          <w:spacing w:val="-4"/>
          <w:sz w:val="24"/>
        </w:rPr>
        <w:t> </w:t>
      </w:r>
      <w:r>
        <w:rPr>
          <w:sz w:val="24"/>
        </w:rPr>
        <w:t>relates.</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The operation of this paragraph may, in some instances, be displaced or modified by clause 6.11.3(b).</w:t>
      </w:r>
    </w:p>
    <w:p>
      <w:pPr>
        <w:pStyle w:val="BodyText"/>
        <w:spacing w:before="10"/>
        <w:ind w:firstLine="0"/>
        <w:jc w:val="left"/>
        <w:rPr>
          <w:sz w:val="20"/>
        </w:rPr>
      </w:pPr>
    </w:p>
    <w:p>
      <w:pPr>
        <w:pStyle w:val="Heading4"/>
        <w:numPr>
          <w:ilvl w:val="2"/>
          <w:numId w:val="452"/>
        </w:numPr>
        <w:tabs>
          <w:tab w:pos="1351" w:val="left" w:leader="none"/>
          <w:tab w:pos="1352" w:val="left" w:leader="none"/>
        </w:tabs>
        <w:spacing w:line="240" w:lineRule="auto" w:before="0" w:after="0"/>
        <w:ind w:left="1351" w:right="0" w:hanging="1134"/>
        <w:jc w:val="left"/>
      </w:pPr>
      <w:bookmarkStart w:name="6.18.9 Publication of information about " w:id="1584"/>
      <w:bookmarkEnd w:id="1584"/>
      <w:r>
        <w:rPr>
          <w:b w:val="0"/>
        </w:rPr>
      </w:r>
      <w:bookmarkStart w:name="_bookmark631" w:id="1585"/>
      <w:bookmarkEnd w:id="1585"/>
      <w:r>
        <w:rPr>
          <w:b w:val="0"/>
        </w:rPr>
      </w:r>
      <w:bookmarkStart w:name="_bookmark631" w:id="1586"/>
      <w:bookmarkEnd w:id="1586"/>
      <w:r>
        <w:rPr/>
        <w:t>Publ</w:t>
      </w:r>
      <w:r>
        <w:rPr/>
        <w:t>ication of information about tariffs and tariff</w:t>
      </w:r>
      <w:r>
        <w:rPr>
          <w:spacing w:val="-6"/>
        </w:rPr>
        <w:t> </w:t>
      </w:r>
      <w:r>
        <w:rPr/>
        <w:t>classes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6.18.9(a)(3) has no effect in this jurisdiction until 1 July 2019 (see regulation 5A of the </w:t>
      </w:r>
      <w:r>
        <w:rPr>
          <w:i/>
          <w:sz w:val="20"/>
        </w:rPr>
        <w:t>National Electricity (Northern Territory) (National Uniform Legislation) (Modification) </w:t>
      </w:r>
      <w:r>
        <w:rPr>
          <w:i/>
          <w:sz w:val="20"/>
        </w:rPr>
        <w:t>Regulations)</w:t>
      </w:r>
      <w:r>
        <w:rPr>
          <w:sz w:val="20"/>
        </w:rPr>
        <w:t>.</w:t>
      </w:r>
    </w:p>
    <w:p>
      <w:pPr>
        <w:pStyle w:val="ListParagraph"/>
        <w:numPr>
          <w:ilvl w:val="3"/>
          <w:numId w:val="452"/>
        </w:numPr>
        <w:tabs>
          <w:tab w:pos="1919" w:val="left" w:leader="none"/>
        </w:tabs>
        <w:spacing w:line="240" w:lineRule="auto" w:before="120" w:after="0"/>
        <w:ind w:left="1918" w:right="0" w:hanging="567"/>
        <w:jc w:val="both"/>
        <w:rPr>
          <w:sz w:val="24"/>
        </w:rPr>
      </w:pPr>
      <w:r>
        <w:rPr>
          <w:sz w:val="24"/>
        </w:rPr>
        <w:t>A </w:t>
      </w:r>
      <w:r>
        <w:rPr>
          <w:i/>
          <w:sz w:val="24"/>
        </w:rPr>
        <w:t>Distribution Network Service Provider </w:t>
      </w:r>
      <w:r>
        <w:rPr>
          <w:sz w:val="24"/>
        </w:rPr>
        <w:t>must maintain on its</w:t>
      </w:r>
      <w:r>
        <w:rPr>
          <w:spacing w:val="-8"/>
          <w:sz w:val="24"/>
        </w:rPr>
        <w:t> </w:t>
      </w:r>
      <w:r>
        <w:rPr>
          <w:sz w:val="24"/>
        </w:rPr>
        <w:t>website:</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its current </w:t>
      </w:r>
      <w:r>
        <w:rPr>
          <w:i/>
          <w:sz w:val="24"/>
        </w:rPr>
        <w:t>tariff structure</w:t>
      </w:r>
      <w:r>
        <w:rPr>
          <w:i/>
          <w:spacing w:val="-2"/>
          <w:sz w:val="24"/>
        </w:rPr>
        <w:t> </w:t>
      </w:r>
      <w:r>
        <w:rPr>
          <w:i/>
          <w:sz w:val="24"/>
        </w:rPr>
        <w:t>statement</w:t>
      </w:r>
      <w:r>
        <w:rPr>
          <w:sz w:val="24"/>
        </w:rPr>
        <w:t>;</w:t>
      </w:r>
    </w:p>
    <w:p>
      <w:pPr>
        <w:pStyle w:val="ListParagraph"/>
        <w:numPr>
          <w:ilvl w:val="4"/>
          <w:numId w:val="452"/>
        </w:numPr>
        <w:tabs>
          <w:tab w:pos="2486" w:val="left" w:leader="none"/>
        </w:tabs>
        <w:spacing w:line="240" w:lineRule="auto" w:before="120" w:after="0"/>
        <w:ind w:left="2485" w:right="0" w:hanging="567"/>
        <w:jc w:val="both"/>
        <w:rPr>
          <w:sz w:val="24"/>
        </w:rPr>
      </w:pPr>
      <w:r>
        <w:rPr>
          <w:sz w:val="24"/>
        </w:rPr>
        <w:t>its current </w:t>
      </w:r>
      <w:r>
        <w:rPr>
          <w:i/>
          <w:sz w:val="24"/>
        </w:rPr>
        <w:t>indicative pricing schedule</w:t>
      </w:r>
      <w:r>
        <w:rPr>
          <w:sz w:val="24"/>
        </w:rPr>
        <w:t>;</w:t>
      </w:r>
      <w:r>
        <w:rPr>
          <w:spacing w:val="-1"/>
          <w:sz w:val="24"/>
        </w:rPr>
        <w:t> </w:t>
      </w:r>
      <w:r>
        <w:rPr>
          <w:sz w:val="24"/>
        </w:rPr>
        <w:t>and</w:t>
      </w:r>
    </w:p>
    <w:p>
      <w:pPr>
        <w:pStyle w:val="ListParagraph"/>
        <w:numPr>
          <w:ilvl w:val="4"/>
          <w:numId w:val="452"/>
        </w:numPr>
        <w:tabs>
          <w:tab w:pos="2486" w:val="left" w:leader="none"/>
        </w:tabs>
        <w:spacing w:line="240" w:lineRule="auto" w:before="120" w:after="0"/>
        <w:ind w:left="2486" w:right="415" w:hanging="567"/>
        <w:jc w:val="both"/>
        <w:rPr>
          <w:sz w:val="24"/>
        </w:rPr>
      </w:pPr>
      <w:r>
        <w:rPr>
          <w:sz w:val="24"/>
        </w:rPr>
        <w:t>a statement of the provider's </w:t>
      </w:r>
      <w:r>
        <w:rPr>
          <w:i/>
          <w:sz w:val="24"/>
        </w:rPr>
        <w:t>tariff classes </w:t>
      </w:r>
      <w:r>
        <w:rPr>
          <w:sz w:val="24"/>
        </w:rPr>
        <w:t>and the tariffs applicable to each</w:t>
      </w:r>
      <w:r>
        <w:rPr>
          <w:spacing w:val="-1"/>
          <w:sz w:val="24"/>
        </w:rPr>
        <w:t> </w:t>
      </w:r>
      <w:r>
        <w:rPr>
          <w:sz w:val="24"/>
        </w:rPr>
        <w:t>class.</w:t>
      </w:r>
    </w:p>
    <w:p>
      <w:pPr>
        <w:pStyle w:val="ListParagraph"/>
        <w:numPr>
          <w:ilvl w:val="3"/>
          <w:numId w:val="452"/>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must, within 5 </w:t>
      </w:r>
      <w:r>
        <w:rPr>
          <w:i/>
          <w:sz w:val="24"/>
        </w:rPr>
        <w:t>business days </w:t>
      </w:r>
      <w:r>
        <w:rPr>
          <w:sz w:val="24"/>
        </w:rPr>
        <w:t>from the date the </w:t>
      </w:r>
      <w:r>
        <w:rPr>
          <w:i/>
          <w:sz w:val="24"/>
        </w:rPr>
        <w:t>AER publishes </w:t>
      </w:r>
      <w:r>
        <w:rPr>
          <w:sz w:val="24"/>
        </w:rPr>
        <w:t>a distribution determination under paragraph 6.11.2(2) for that </w:t>
      </w:r>
      <w:r>
        <w:rPr>
          <w:i/>
          <w:sz w:val="24"/>
        </w:rPr>
        <w:t>Distribution Network Service Provider</w:t>
      </w:r>
      <w:r>
        <w:rPr>
          <w:sz w:val="24"/>
        </w:rPr>
        <w:t>, publish on</w:t>
      </w:r>
      <w:r>
        <w:rPr>
          <w:spacing w:val="36"/>
          <w:sz w:val="24"/>
        </w:rPr>
        <w:t> </w:t>
      </w:r>
      <w:r>
        <w:rPr>
          <w:sz w:val="24"/>
        </w:rPr>
        <w:t>its website the </w:t>
      </w:r>
      <w:r>
        <w:rPr>
          <w:i/>
          <w:sz w:val="24"/>
        </w:rPr>
        <w:t>tariff structure statement </w:t>
      </w:r>
      <w:r>
        <w:rPr>
          <w:sz w:val="24"/>
        </w:rPr>
        <w:t>approved or contained in that distribution determination and the accompanying </w:t>
      </w:r>
      <w:r>
        <w:rPr>
          <w:i/>
          <w:sz w:val="24"/>
        </w:rPr>
        <w:t>indicative pricing </w:t>
      </w:r>
      <w:r>
        <w:rPr>
          <w:i/>
          <w:sz w:val="24"/>
        </w:rPr>
        <w:t>schedule</w:t>
      </w:r>
      <w:r>
        <w:rPr>
          <w:sz w:val="24"/>
        </w:rPr>
        <w:t>.</w:t>
      </w:r>
    </w:p>
    <w:p>
      <w:pPr>
        <w:pStyle w:val="ListParagraph"/>
        <w:numPr>
          <w:ilvl w:val="3"/>
          <w:numId w:val="452"/>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publish on its website the information referred to in paragraph (a) within 5 </w:t>
      </w:r>
      <w:r>
        <w:rPr>
          <w:i/>
          <w:sz w:val="24"/>
        </w:rPr>
        <w:t>business days </w:t>
      </w:r>
      <w:r>
        <w:rPr>
          <w:sz w:val="24"/>
        </w:rPr>
        <w:t>from the date the </w:t>
      </w:r>
      <w:r>
        <w:rPr>
          <w:i/>
          <w:sz w:val="24"/>
        </w:rPr>
        <w:t>AER publishes </w:t>
      </w:r>
      <w:r>
        <w:rPr>
          <w:sz w:val="24"/>
        </w:rPr>
        <w:t>an </w:t>
      </w:r>
      <w:r>
        <w:rPr>
          <w:i/>
          <w:sz w:val="24"/>
        </w:rPr>
        <w:t>approved pricing proposal </w:t>
      </w:r>
      <w:r>
        <w:rPr>
          <w:sz w:val="24"/>
        </w:rPr>
        <w:t>under paragraphs 6.18.8(c2) or 6.18.8(c3) (as applicable) for that </w:t>
      </w:r>
      <w:r>
        <w:rPr>
          <w:i/>
          <w:sz w:val="24"/>
        </w:rPr>
        <w:t>Distribution Network </w:t>
      </w:r>
      <w:r>
        <w:rPr>
          <w:i/>
          <w:sz w:val="24"/>
        </w:rPr>
        <w:t>Service</w:t>
      </w:r>
      <w:r>
        <w:rPr>
          <w:i/>
          <w:spacing w:val="-1"/>
          <w:sz w:val="24"/>
        </w:rPr>
        <w:t> </w:t>
      </w:r>
      <w:r>
        <w:rPr>
          <w:i/>
          <w:sz w:val="24"/>
        </w:rPr>
        <w:t>Provider</w:t>
      </w:r>
      <w:r>
        <w:rPr>
          <w:sz w:val="24"/>
        </w:rPr>
        <w:t>.</w:t>
      </w:r>
    </w:p>
    <w:p>
      <w:pPr>
        <w:spacing w:after="0" w:line="240" w:lineRule="auto"/>
        <w:jc w:val="both"/>
        <w:rPr>
          <w:sz w:val="24"/>
        </w:rPr>
        <w:sectPr>
          <w:pgSz w:w="11910" w:h="16840"/>
          <w:pgMar w:header="686" w:footer="637" w:top="1320" w:bottom="820" w:left="1200" w:right="1000"/>
        </w:sectPr>
      </w:pPr>
    </w:p>
    <w:p>
      <w:pPr>
        <w:pStyle w:val="Heading3"/>
        <w:numPr>
          <w:ilvl w:val="1"/>
          <w:numId w:val="442"/>
        </w:numPr>
        <w:tabs>
          <w:tab w:pos="1351" w:val="left" w:leader="none"/>
          <w:tab w:pos="1353" w:val="left" w:leader="none"/>
        </w:tabs>
        <w:spacing w:line="240" w:lineRule="auto" w:before="83" w:after="0"/>
        <w:ind w:left="1352" w:right="0" w:hanging="1135"/>
        <w:jc w:val="left"/>
      </w:pPr>
      <w:bookmarkStart w:name="6.19 Data Required for Distribution Serv" w:id="1587"/>
      <w:bookmarkEnd w:id="1587"/>
      <w:r>
        <w:rPr>
          <w:b w:val="0"/>
        </w:rPr>
      </w:r>
      <w:bookmarkStart w:name="_bookmark632" w:id="1588"/>
      <w:bookmarkEnd w:id="1588"/>
      <w:r>
        <w:rPr>
          <w:b w:val="0"/>
        </w:rPr>
      </w:r>
      <w:bookmarkStart w:name="_bookmark632" w:id="1589"/>
      <w:bookmarkEnd w:id="1589"/>
      <w:r>
        <w:rPr/>
        <w:t>Dat</w:t>
      </w:r>
      <w:r>
        <w:rPr/>
        <w:t>a Required for Distribution Service</w:t>
      </w:r>
      <w:r>
        <w:rPr>
          <w:spacing w:val="-5"/>
        </w:rPr>
        <w:t> </w:t>
      </w:r>
      <w:r>
        <w:rPr/>
        <w:t>Pricing</w:t>
      </w:r>
    </w:p>
    <w:p>
      <w:pPr>
        <w:pStyle w:val="Heading4"/>
        <w:numPr>
          <w:ilvl w:val="2"/>
          <w:numId w:val="454"/>
        </w:numPr>
        <w:tabs>
          <w:tab w:pos="1351" w:val="left" w:leader="none"/>
          <w:tab w:pos="1352" w:val="left" w:leader="none"/>
        </w:tabs>
        <w:spacing w:line="240" w:lineRule="auto" w:before="240" w:after="0"/>
        <w:ind w:left="1352" w:right="590" w:hanging="1134"/>
        <w:jc w:val="left"/>
      </w:pPr>
      <w:bookmarkStart w:name="6.19.1 Forecast use of networks by Distr" w:id="1590"/>
      <w:bookmarkEnd w:id="1590"/>
      <w:r>
        <w:rPr>
          <w:b w:val="0"/>
        </w:rPr>
      </w:r>
      <w:bookmarkStart w:name="_bookmark633" w:id="1591"/>
      <w:bookmarkEnd w:id="1591"/>
      <w:r>
        <w:rPr>
          <w:b w:val="0"/>
        </w:rPr>
      </w:r>
      <w:bookmarkStart w:name="_bookmark633" w:id="1592"/>
      <w:bookmarkEnd w:id="1592"/>
      <w:r>
        <w:rPr/>
        <w:t>Forecast</w:t>
      </w:r>
      <w:r>
        <w:rPr/>
        <w:t> use of networks by Distribution Customers and Embedded Generators</w:t>
      </w:r>
    </w:p>
    <w:p>
      <w:pPr>
        <w:spacing w:before="120"/>
        <w:ind w:left="1352" w:right="417" w:firstLine="0"/>
        <w:jc w:val="both"/>
        <w:rPr>
          <w:sz w:val="24"/>
        </w:rPr>
      </w:pPr>
      <w:r>
        <w:rPr>
          <w:sz w:val="24"/>
        </w:rPr>
        <w:t>Any information required by </w:t>
      </w:r>
      <w:r>
        <w:rPr>
          <w:i/>
          <w:sz w:val="24"/>
        </w:rPr>
        <w:t>Distribution Network Service Providers </w:t>
      </w:r>
      <w:r>
        <w:rPr>
          <w:sz w:val="24"/>
        </w:rPr>
        <w:t>must be provided by </w:t>
      </w:r>
      <w:r>
        <w:rPr>
          <w:i/>
          <w:sz w:val="24"/>
        </w:rPr>
        <w:t>Service Applicants </w:t>
      </w:r>
      <w:r>
        <w:rPr>
          <w:sz w:val="24"/>
        </w:rPr>
        <w:t>as part of the </w:t>
      </w:r>
      <w:r>
        <w:rPr>
          <w:i/>
          <w:sz w:val="24"/>
        </w:rPr>
        <w:t>connection </w:t>
      </w:r>
      <w:r>
        <w:rPr>
          <w:sz w:val="24"/>
        </w:rPr>
        <w:t>and access requirements set out in Chapter 5.</w:t>
      </w:r>
    </w:p>
    <w:p>
      <w:pPr>
        <w:pStyle w:val="BodyText"/>
        <w:spacing w:before="10"/>
        <w:ind w:firstLine="0"/>
        <w:jc w:val="left"/>
        <w:rPr>
          <w:sz w:val="20"/>
        </w:rPr>
      </w:pPr>
    </w:p>
    <w:p>
      <w:pPr>
        <w:pStyle w:val="Heading4"/>
        <w:numPr>
          <w:ilvl w:val="2"/>
          <w:numId w:val="454"/>
        </w:numPr>
        <w:tabs>
          <w:tab w:pos="1351" w:val="left" w:leader="none"/>
          <w:tab w:pos="1352" w:val="left" w:leader="none"/>
        </w:tabs>
        <w:spacing w:line="240" w:lineRule="auto" w:before="0" w:after="0"/>
        <w:ind w:left="1351" w:right="0" w:hanging="1134"/>
        <w:jc w:val="left"/>
      </w:pPr>
      <w:bookmarkStart w:name="6.19.2 Confidentiality of distribution n" w:id="1593"/>
      <w:bookmarkEnd w:id="1593"/>
      <w:r>
        <w:rPr>
          <w:b w:val="0"/>
        </w:rPr>
      </w:r>
      <w:bookmarkStart w:name="_bookmark634" w:id="1594"/>
      <w:bookmarkEnd w:id="1594"/>
      <w:r>
        <w:rPr>
          <w:b w:val="0"/>
        </w:rPr>
      </w:r>
      <w:bookmarkStart w:name="_bookmark634" w:id="1595"/>
      <w:bookmarkEnd w:id="1595"/>
      <w:r>
        <w:rPr/>
        <w:t>Confidenti</w:t>
      </w:r>
      <w:r>
        <w:rPr/>
        <w:t>ality of distribution network pricing</w:t>
      </w:r>
      <w:r>
        <w:rPr>
          <w:spacing w:val="-6"/>
        </w:rPr>
        <w:t> </w:t>
      </w:r>
      <w:r>
        <w:rPr/>
        <w:t>information</w:t>
      </w:r>
    </w:p>
    <w:p>
      <w:pPr>
        <w:pStyle w:val="ListParagraph"/>
        <w:numPr>
          <w:ilvl w:val="3"/>
          <w:numId w:val="454"/>
        </w:numPr>
        <w:tabs>
          <w:tab w:pos="1919" w:val="left" w:leader="none"/>
        </w:tabs>
        <w:spacing w:line="240" w:lineRule="auto" w:before="120" w:after="0"/>
        <w:ind w:left="1919" w:right="414" w:hanging="567"/>
        <w:jc w:val="both"/>
        <w:rPr>
          <w:sz w:val="24"/>
        </w:rPr>
      </w:pPr>
      <w:r>
        <w:rPr>
          <w:sz w:val="24"/>
        </w:rPr>
        <w:t>Subject to the Law and the </w:t>
      </w:r>
      <w:r>
        <w:rPr>
          <w:i/>
          <w:sz w:val="24"/>
        </w:rPr>
        <w:t>Rules</w:t>
      </w:r>
      <w:r>
        <w:rPr>
          <w:sz w:val="24"/>
        </w:rPr>
        <w:t>, all information about a </w:t>
      </w:r>
      <w:r>
        <w:rPr>
          <w:i/>
          <w:sz w:val="24"/>
        </w:rPr>
        <w:t>Service Applicant </w:t>
      </w:r>
      <w:r>
        <w:rPr>
          <w:sz w:val="24"/>
        </w:rPr>
        <w:t>or </w:t>
      </w:r>
      <w:r>
        <w:rPr>
          <w:i/>
          <w:sz w:val="24"/>
        </w:rPr>
        <w:t>Distribution Network User </w:t>
      </w:r>
      <w:r>
        <w:rPr>
          <w:sz w:val="24"/>
        </w:rPr>
        <w:t>used by </w:t>
      </w:r>
      <w:r>
        <w:rPr>
          <w:i/>
          <w:sz w:val="24"/>
        </w:rPr>
        <w:t>Distribution Network Service </w:t>
      </w:r>
      <w:r>
        <w:rPr>
          <w:i/>
          <w:sz w:val="24"/>
        </w:rPr>
        <w:t>Providers </w:t>
      </w:r>
      <w:r>
        <w:rPr>
          <w:sz w:val="24"/>
        </w:rPr>
        <w:t>for the purposes of </w:t>
      </w:r>
      <w:r>
        <w:rPr>
          <w:i/>
          <w:sz w:val="24"/>
        </w:rPr>
        <w:t>distribution service </w:t>
      </w:r>
      <w:r>
        <w:rPr>
          <w:sz w:val="24"/>
        </w:rPr>
        <w:t>pricing is confidential information.</w:t>
      </w:r>
    </w:p>
    <w:p>
      <w:pPr>
        <w:pStyle w:val="ListParagraph"/>
        <w:numPr>
          <w:ilvl w:val="3"/>
          <w:numId w:val="454"/>
        </w:numPr>
        <w:tabs>
          <w:tab w:pos="1919" w:val="left" w:leader="none"/>
        </w:tabs>
        <w:spacing w:line="240" w:lineRule="auto" w:before="120" w:after="0"/>
        <w:ind w:left="1919" w:right="415" w:hanging="567"/>
        <w:jc w:val="both"/>
        <w:rPr>
          <w:sz w:val="24"/>
        </w:rPr>
      </w:pPr>
      <w:r>
        <w:rPr>
          <w:sz w:val="24"/>
        </w:rPr>
        <w:t>No requirement in this Chapter 6 to publish information about a </w:t>
      </w:r>
      <w:r>
        <w:rPr>
          <w:i/>
          <w:sz w:val="24"/>
        </w:rPr>
        <w:t>tariff class </w:t>
      </w:r>
      <w:r>
        <w:rPr>
          <w:sz w:val="24"/>
        </w:rPr>
        <w:t>is to be construed as requiring publication of information about </w:t>
      </w:r>
      <w:r>
        <w:rPr>
          <w:spacing w:val="-7"/>
          <w:sz w:val="24"/>
        </w:rPr>
        <w:t>an</w:t>
      </w:r>
      <w:r>
        <w:rPr>
          <w:spacing w:val="46"/>
          <w:sz w:val="24"/>
        </w:rPr>
        <w:t> </w:t>
      </w:r>
      <w:r>
        <w:rPr>
          <w:sz w:val="24"/>
        </w:rPr>
        <w:t>individual </w:t>
      </w:r>
      <w:r>
        <w:rPr>
          <w:i/>
          <w:sz w:val="24"/>
        </w:rPr>
        <w:t>retail</w:t>
      </w:r>
      <w:r>
        <w:rPr>
          <w:i/>
          <w:spacing w:val="-2"/>
          <w:sz w:val="24"/>
        </w:rPr>
        <w:t> </w:t>
      </w:r>
      <w:r>
        <w:rPr>
          <w:i/>
          <w:sz w:val="24"/>
        </w:rPr>
        <w:t>customer</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J Billing and Settlements" w:id="1596"/>
      <w:bookmarkEnd w:id="1596"/>
      <w:r>
        <w:rPr>
          <w:b w:val="0"/>
        </w:rPr>
      </w:r>
      <w:bookmarkStart w:name="_bookmark635" w:id="1597"/>
      <w:bookmarkEnd w:id="1597"/>
      <w:r>
        <w:rPr>
          <w:b w:val="0"/>
        </w:rPr>
      </w:r>
      <w:r>
        <w:rPr>
          <w:shd w:fill="D9D9D9" w:color="auto" w:val="clear"/>
        </w:rPr>
        <w:t>Part J</w:t>
        <w:tab/>
        <w:t>Billing and</w:t>
      </w:r>
      <w:r>
        <w:rPr>
          <w:spacing w:val="-8"/>
          <w:shd w:fill="D9D9D9" w:color="auto" w:val="clear"/>
        </w:rPr>
        <w:t> </w:t>
      </w:r>
      <w:r>
        <w:rPr>
          <w:shd w:fill="D9D9D9" w:color="auto" w:val="clear"/>
        </w:rPr>
        <w:t>Settlements</w:t>
        <w:tab/>
      </w:r>
    </w:p>
    <w:p>
      <w:pPr>
        <w:pStyle w:val="Heading3"/>
        <w:numPr>
          <w:ilvl w:val="1"/>
          <w:numId w:val="442"/>
        </w:numPr>
        <w:tabs>
          <w:tab w:pos="1351" w:val="left" w:leader="none"/>
          <w:tab w:pos="1353" w:val="left" w:leader="none"/>
        </w:tabs>
        <w:spacing w:line="240" w:lineRule="auto" w:before="240" w:after="0"/>
        <w:ind w:left="1352" w:right="0" w:hanging="1135"/>
        <w:jc w:val="left"/>
      </w:pPr>
      <w:bookmarkStart w:name="6.20 Billing and Settlements Process" w:id="1598"/>
      <w:bookmarkEnd w:id="1598"/>
      <w:r>
        <w:rPr>
          <w:b w:val="0"/>
        </w:rPr>
      </w:r>
      <w:bookmarkStart w:name="_bookmark636" w:id="1599"/>
      <w:bookmarkEnd w:id="1599"/>
      <w:r>
        <w:rPr>
          <w:b w:val="0"/>
        </w:rPr>
      </w:r>
      <w:bookmarkStart w:name="_bookmark636" w:id="1600"/>
      <w:bookmarkEnd w:id="1600"/>
      <w:r>
        <w:rPr/>
        <w:t>Bil</w:t>
      </w:r>
      <w:r>
        <w:rPr/>
        <w:t>ling and Settlements</w:t>
      </w:r>
      <w:r>
        <w:rPr>
          <w:spacing w:val="-3"/>
        </w:rPr>
        <w:t> </w:t>
      </w:r>
      <w:r>
        <w:rPr/>
        <w:t>Process</w:t>
      </w:r>
    </w:p>
    <w:p>
      <w:pPr>
        <w:spacing w:before="120"/>
        <w:ind w:left="1352" w:right="415" w:firstLine="0"/>
        <w:jc w:val="both"/>
        <w:rPr>
          <w:sz w:val="24"/>
        </w:rPr>
      </w:pPr>
      <w:r>
        <w:rPr>
          <w:sz w:val="24"/>
        </w:rPr>
        <w:t>This clause describes the manner in which </w:t>
      </w:r>
      <w:r>
        <w:rPr>
          <w:i/>
          <w:sz w:val="24"/>
        </w:rPr>
        <w:t>Distribution Customers </w:t>
      </w:r>
      <w:r>
        <w:rPr>
          <w:sz w:val="24"/>
        </w:rPr>
        <w:t>and </w:t>
      </w:r>
      <w:r>
        <w:rPr>
          <w:i/>
          <w:sz w:val="24"/>
        </w:rPr>
        <w:t>Embedded </w:t>
      </w:r>
      <w:r>
        <w:rPr>
          <w:i/>
          <w:sz w:val="24"/>
        </w:rPr>
        <w:t>Generators </w:t>
      </w:r>
      <w:r>
        <w:rPr>
          <w:sz w:val="24"/>
        </w:rPr>
        <w:t>are billed by </w:t>
      </w:r>
      <w:r>
        <w:rPr>
          <w:i/>
          <w:sz w:val="24"/>
        </w:rPr>
        <w:t>Distribution Network Service Providers </w:t>
      </w:r>
      <w:r>
        <w:rPr>
          <w:sz w:val="24"/>
        </w:rPr>
        <w:t>for </w:t>
      </w:r>
      <w:r>
        <w:rPr>
          <w:i/>
          <w:sz w:val="24"/>
        </w:rPr>
        <w:t>distribution </w:t>
      </w:r>
      <w:r>
        <w:rPr>
          <w:i/>
          <w:sz w:val="24"/>
        </w:rPr>
        <w:t>services </w:t>
      </w:r>
      <w:r>
        <w:rPr>
          <w:sz w:val="24"/>
        </w:rPr>
        <w:t>and how payments for </w:t>
      </w:r>
      <w:r>
        <w:rPr>
          <w:i/>
          <w:sz w:val="24"/>
        </w:rPr>
        <w:t>distribution services </w:t>
      </w:r>
      <w:r>
        <w:rPr>
          <w:sz w:val="24"/>
        </w:rPr>
        <w:t>are settled.</w:t>
      </w:r>
    </w:p>
    <w:p>
      <w:pPr>
        <w:pStyle w:val="BodyText"/>
        <w:spacing w:before="10"/>
        <w:ind w:firstLine="0"/>
        <w:jc w:val="left"/>
        <w:rPr>
          <w:sz w:val="20"/>
        </w:rPr>
      </w:pPr>
    </w:p>
    <w:p>
      <w:pPr>
        <w:pStyle w:val="Heading4"/>
        <w:numPr>
          <w:ilvl w:val="2"/>
          <w:numId w:val="455"/>
        </w:numPr>
        <w:tabs>
          <w:tab w:pos="1351" w:val="left" w:leader="none"/>
          <w:tab w:pos="1352" w:val="left" w:leader="none"/>
        </w:tabs>
        <w:spacing w:line="240" w:lineRule="auto" w:before="0" w:after="0"/>
        <w:ind w:left="1351" w:right="0" w:hanging="1134"/>
        <w:jc w:val="left"/>
      </w:pPr>
      <w:bookmarkStart w:name="6.20.1 Billing for distribution services" w:id="1601"/>
      <w:bookmarkEnd w:id="1601"/>
      <w:r>
        <w:rPr>
          <w:b w:val="0"/>
        </w:rPr>
      </w:r>
      <w:bookmarkStart w:name="_bookmark637" w:id="1602"/>
      <w:bookmarkEnd w:id="1602"/>
      <w:r>
        <w:rPr>
          <w:b w:val="0"/>
        </w:rPr>
      </w:r>
      <w:bookmarkStart w:name="_bookmark637" w:id="1603"/>
      <w:bookmarkEnd w:id="1603"/>
      <w:r>
        <w:rPr/>
        <w:t>Billi</w:t>
      </w:r>
      <w:r>
        <w:rPr/>
        <w:t>ng for distribution</w:t>
      </w:r>
      <w:r>
        <w:rPr>
          <w:spacing w:val="-1"/>
        </w:rPr>
        <w:t> </w:t>
      </w:r>
      <w:r>
        <w:rPr/>
        <w:t>services</w:t>
      </w:r>
    </w:p>
    <w:p>
      <w:pPr>
        <w:pStyle w:val="ListParagraph"/>
        <w:numPr>
          <w:ilvl w:val="3"/>
          <w:numId w:val="455"/>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bill </w:t>
      </w:r>
      <w:r>
        <w:rPr>
          <w:i/>
          <w:sz w:val="24"/>
        </w:rPr>
        <w:t>Distribution Network </w:t>
      </w:r>
      <w:r>
        <w:rPr>
          <w:i/>
          <w:sz w:val="24"/>
        </w:rPr>
        <w:t>Users </w:t>
      </w:r>
      <w:r>
        <w:rPr>
          <w:sz w:val="24"/>
        </w:rPr>
        <w:t>for </w:t>
      </w:r>
      <w:r>
        <w:rPr>
          <w:i/>
          <w:sz w:val="24"/>
        </w:rPr>
        <w:t>distribution services </w:t>
      </w:r>
      <w:r>
        <w:rPr>
          <w:sz w:val="24"/>
        </w:rPr>
        <w:t>as</w:t>
      </w:r>
      <w:r>
        <w:rPr>
          <w:spacing w:val="-4"/>
          <w:sz w:val="24"/>
        </w:rPr>
        <w:t> </w:t>
      </w:r>
      <w:r>
        <w:rPr>
          <w:sz w:val="24"/>
        </w:rPr>
        <w:t>follows:</w:t>
      </w:r>
    </w:p>
    <w:p>
      <w:pPr>
        <w:pStyle w:val="ListParagraph"/>
        <w:numPr>
          <w:ilvl w:val="4"/>
          <w:numId w:val="455"/>
        </w:numPr>
        <w:tabs>
          <w:tab w:pos="2486" w:val="left" w:leader="none"/>
        </w:tabs>
        <w:spacing w:line="240" w:lineRule="auto" w:before="120" w:after="0"/>
        <w:ind w:left="2485" w:right="0" w:hanging="567"/>
        <w:jc w:val="both"/>
        <w:rPr>
          <w:sz w:val="24"/>
        </w:rPr>
      </w:pPr>
      <w:r>
        <w:rPr>
          <w:i/>
          <w:sz w:val="24"/>
        </w:rPr>
        <w:t>Embedded</w:t>
      </w:r>
      <w:r>
        <w:rPr>
          <w:i/>
          <w:spacing w:val="-1"/>
          <w:sz w:val="24"/>
        </w:rPr>
        <w:t> </w:t>
      </w:r>
      <w:r>
        <w:rPr>
          <w:i/>
          <w:sz w:val="24"/>
        </w:rPr>
        <w:t>Generators</w:t>
      </w:r>
      <w:r>
        <w:rPr>
          <w:sz w:val="24"/>
        </w:rPr>
        <w:t>:</w:t>
      </w:r>
    </w:p>
    <w:p>
      <w:pPr>
        <w:pStyle w:val="ListParagraph"/>
        <w:numPr>
          <w:ilvl w:val="5"/>
          <w:numId w:val="455"/>
        </w:numPr>
        <w:tabs>
          <w:tab w:pos="3053" w:val="left" w:leader="none"/>
        </w:tabs>
        <w:spacing w:line="240" w:lineRule="auto" w:before="120" w:after="0"/>
        <w:ind w:left="3052" w:right="0" w:hanging="567"/>
        <w:jc w:val="both"/>
        <w:rPr>
          <w:sz w:val="24"/>
        </w:rPr>
      </w:pPr>
      <w:r>
        <w:rPr>
          <w:sz w:val="24"/>
        </w:rPr>
        <w:t>by</w:t>
      </w:r>
      <w:r>
        <w:rPr>
          <w:spacing w:val="29"/>
          <w:sz w:val="24"/>
        </w:rPr>
        <w:t> </w:t>
      </w:r>
      <w:r>
        <w:rPr>
          <w:sz w:val="24"/>
        </w:rPr>
        <w:t>applying</w:t>
      </w:r>
      <w:r>
        <w:rPr>
          <w:spacing w:val="30"/>
          <w:sz w:val="24"/>
        </w:rPr>
        <w:t> </w:t>
      </w:r>
      <w:r>
        <w:rPr>
          <w:sz w:val="24"/>
        </w:rPr>
        <w:t>the</w:t>
      </w:r>
      <w:r>
        <w:rPr>
          <w:spacing w:val="30"/>
          <w:sz w:val="24"/>
        </w:rPr>
        <w:t> </w:t>
      </w:r>
      <w:r>
        <w:rPr>
          <w:i/>
          <w:sz w:val="24"/>
        </w:rPr>
        <w:t>entry</w:t>
      </w:r>
      <w:r>
        <w:rPr>
          <w:i/>
          <w:spacing w:val="29"/>
          <w:sz w:val="24"/>
        </w:rPr>
        <w:t> </w:t>
      </w:r>
      <w:r>
        <w:rPr>
          <w:i/>
          <w:sz w:val="24"/>
        </w:rPr>
        <w:t>charge</w:t>
      </w:r>
      <w:r>
        <w:rPr>
          <w:i/>
          <w:spacing w:val="30"/>
          <w:sz w:val="24"/>
        </w:rPr>
        <w:t> </w:t>
      </w:r>
      <w:r>
        <w:rPr>
          <w:sz w:val="24"/>
        </w:rPr>
        <w:t>as</w:t>
      </w:r>
      <w:r>
        <w:rPr>
          <w:spacing w:val="30"/>
          <w:sz w:val="24"/>
        </w:rPr>
        <w:t> </w:t>
      </w:r>
      <w:r>
        <w:rPr>
          <w:sz w:val="24"/>
        </w:rPr>
        <w:t>a</w:t>
      </w:r>
      <w:r>
        <w:rPr>
          <w:spacing w:val="30"/>
          <w:sz w:val="24"/>
        </w:rPr>
        <w:t> </w:t>
      </w:r>
      <w:r>
        <w:rPr>
          <w:sz w:val="24"/>
        </w:rPr>
        <w:t>fixed</w:t>
      </w:r>
      <w:r>
        <w:rPr>
          <w:spacing w:val="29"/>
          <w:sz w:val="24"/>
        </w:rPr>
        <w:t> </w:t>
      </w:r>
      <w:r>
        <w:rPr>
          <w:sz w:val="24"/>
        </w:rPr>
        <w:t>annual</w:t>
      </w:r>
      <w:r>
        <w:rPr>
          <w:spacing w:val="30"/>
          <w:sz w:val="24"/>
        </w:rPr>
        <w:t> </w:t>
      </w:r>
      <w:r>
        <w:rPr>
          <w:sz w:val="24"/>
        </w:rPr>
        <w:t>charge</w:t>
      </w:r>
      <w:r>
        <w:rPr>
          <w:spacing w:val="30"/>
          <w:sz w:val="24"/>
        </w:rPr>
        <w:t> </w:t>
      </w:r>
      <w:r>
        <w:rPr>
          <w:sz w:val="24"/>
        </w:rPr>
        <w:t>to</w:t>
      </w:r>
      <w:r>
        <w:rPr>
          <w:spacing w:val="30"/>
          <w:sz w:val="24"/>
        </w:rPr>
        <w:t> </w:t>
      </w:r>
      <w:r>
        <w:rPr>
          <w:sz w:val="24"/>
        </w:rPr>
        <w:t>each</w:t>
      </w:r>
    </w:p>
    <w:p>
      <w:pPr>
        <w:spacing w:before="0"/>
        <w:ind w:left="3053" w:right="0" w:firstLine="0"/>
        <w:jc w:val="both"/>
        <w:rPr>
          <w:sz w:val="24"/>
        </w:rPr>
      </w:pPr>
      <w:r>
        <w:rPr>
          <w:i/>
          <w:sz w:val="24"/>
        </w:rPr>
        <w:t>Embedded Generator</w:t>
      </w:r>
      <w:r>
        <w:rPr>
          <w:sz w:val="24"/>
        </w:rPr>
        <w:t>; and</w:t>
      </w:r>
    </w:p>
    <w:p>
      <w:pPr>
        <w:pStyle w:val="ListParagraph"/>
        <w:numPr>
          <w:ilvl w:val="5"/>
          <w:numId w:val="455"/>
        </w:numPr>
        <w:tabs>
          <w:tab w:pos="3054" w:val="left" w:leader="none"/>
        </w:tabs>
        <w:spacing w:line="240" w:lineRule="auto" w:before="120" w:after="0"/>
        <w:ind w:left="3053" w:right="414" w:hanging="567"/>
        <w:jc w:val="both"/>
        <w:rPr>
          <w:sz w:val="24"/>
        </w:rPr>
      </w:pPr>
      <w:r>
        <w:rPr>
          <w:sz w:val="24"/>
        </w:rPr>
        <w:t>by applying any other charge the </w:t>
      </w:r>
      <w:r>
        <w:rPr>
          <w:i/>
          <w:sz w:val="24"/>
        </w:rPr>
        <w:t>Distribution Network Service </w:t>
      </w:r>
      <w:r>
        <w:rPr>
          <w:i/>
          <w:sz w:val="24"/>
        </w:rPr>
        <w:t>Provider </w:t>
      </w:r>
      <w:r>
        <w:rPr>
          <w:sz w:val="24"/>
        </w:rPr>
        <w:t>makes consistently with these </w:t>
      </w:r>
      <w:r>
        <w:rPr>
          <w:i/>
          <w:sz w:val="24"/>
        </w:rPr>
        <w:t>Rules </w:t>
      </w:r>
      <w:r>
        <w:rPr>
          <w:sz w:val="24"/>
        </w:rPr>
        <w:t>and the applicable distribution</w:t>
      </w:r>
      <w:r>
        <w:rPr>
          <w:spacing w:val="-1"/>
          <w:sz w:val="24"/>
        </w:rPr>
        <w:t> </w:t>
      </w:r>
      <w:r>
        <w:rPr>
          <w:sz w:val="24"/>
        </w:rPr>
        <w:t>determination.</w:t>
      </w:r>
    </w:p>
    <w:p>
      <w:pPr>
        <w:pStyle w:val="ListParagraph"/>
        <w:numPr>
          <w:ilvl w:val="4"/>
          <w:numId w:val="455"/>
        </w:numPr>
        <w:tabs>
          <w:tab w:pos="2486" w:val="left" w:leader="none"/>
        </w:tabs>
        <w:spacing w:line="240" w:lineRule="auto" w:before="120" w:after="0"/>
        <w:ind w:left="2485" w:right="0" w:hanging="567"/>
        <w:jc w:val="both"/>
        <w:rPr>
          <w:sz w:val="24"/>
        </w:rPr>
      </w:pPr>
      <w:r>
        <w:rPr>
          <w:i/>
          <w:sz w:val="24"/>
        </w:rPr>
        <w:t>Distribution</w:t>
      </w:r>
      <w:r>
        <w:rPr>
          <w:i/>
          <w:spacing w:val="-1"/>
          <w:sz w:val="24"/>
        </w:rPr>
        <w:t> </w:t>
      </w:r>
      <w:r>
        <w:rPr>
          <w:i/>
          <w:sz w:val="24"/>
        </w:rPr>
        <w:t>Customers</w:t>
      </w:r>
      <w:r>
        <w:rPr>
          <w:sz w:val="24"/>
        </w:rPr>
        <w:t>:</w:t>
      </w:r>
    </w:p>
    <w:p>
      <w:pPr>
        <w:spacing w:before="120"/>
        <w:ind w:left="2486" w:right="415" w:firstLine="0"/>
        <w:jc w:val="both"/>
        <w:rPr>
          <w:sz w:val="24"/>
        </w:rPr>
      </w:pPr>
      <w:r>
        <w:rPr>
          <w:sz w:val="24"/>
        </w:rPr>
        <w:t>The charges to </w:t>
      </w:r>
      <w:r>
        <w:rPr>
          <w:i/>
          <w:sz w:val="24"/>
        </w:rPr>
        <w:t>Distribution Customers </w:t>
      </w:r>
      <w:r>
        <w:rPr>
          <w:sz w:val="24"/>
        </w:rPr>
        <w:t>must be determined according to use of the </w:t>
      </w:r>
      <w:r>
        <w:rPr>
          <w:i/>
          <w:sz w:val="24"/>
        </w:rPr>
        <w:t>distribution network </w:t>
      </w:r>
      <w:r>
        <w:rPr>
          <w:sz w:val="24"/>
        </w:rPr>
        <w:t>as determined in accordance with schedule 7A.7 or by agreement between the </w:t>
      </w:r>
      <w:r>
        <w:rPr>
          <w:i/>
          <w:sz w:val="24"/>
        </w:rPr>
        <w:t>Distribution Customer </w:t>
      </w:r>
      <w:r>
        <w:rPr>
          <w:sz w:val="24"/>
        </w:rPr>
        <w:t>and the </w:t>
      </w:r>
      <w:r>
        <w:rPr>
          <w:i/>
          <w:sz w:val="24"/>
        </w:rPr>
        <w:t>Distribution Network Service Provider </w:t>
      </w:r>
      <w:r>
        <w:rPr>
          <w:sz w:val="24"/>
        </w:rPr>
        <w:t>by applying one or more of the following</w:t>
      </w:r>
      <w:r>
        <w:rPr>
          <w:spacing w:val="-1"/>
          <w:sz w:val="24"/>
        </w:rPr>
        <w:t> </w:t>
      </w:r>
      <w:r>
        <w:rPr>
          <w:sz w:val="24"/>
        </w:rPr>
        <w:t>measures:</w:t>
      </w:r>
    </w:p>
    <w:p>
      <w:pPr>
        <w:pStyle w:val="ListParagraph"/>
        <w:numPr>
          <w:ilvl w:val="5"/>
          <w:numId w:val="455"/>
        </w:numPr>
        <w:tabs>
          <w:tab w:pos="3052" w:val="left" w:leader="none"/>
          <w:tab w:pos="3053" w:val="left" w:leader="none"/>
        </w:tabs>
        <w:spacing w:line="240" w:lineRule="auto" w:before="120" w:after="0"/>
        <w:ind w:left="3053" w:right="415" w:hanging="567"/>
        <w:jc w:val="left"/>
        <w:rPr>
          <w:sz w:val="24"/>
        </w:rPr>
      </w:pPr>
      <w:r>
        <w:rPr>
          <w:sz w:val="24"/>
        </w:rPr>
        <w:t>demand-based prices to the </w:t>
      </w:r>
      <w:r>
        <w:rPr>
          <w:i/>
          <w:sz w:val="24"/>
        </w:rPr>
        <w:t>Distribution Customer's </w:t>
      </w:r>
      <w:r>
        <w:rPr>
          <w:sz w:val="24"/>
        </w:rPr>
        <w:t>metered or agreed half-hourly</w:t>
      </w:r>
      <w:r>
        <w:rPr>
          <w:spacing w:val="-1"/>
          <w:sz w:val="24"/>
        </w:rPr>
        <w:t> </w:t>
      </w:r>
      <w:r>
        <w:rPr>
          <w:sz w:val="24"/>
        </w:rPr>
        <w:t>demand;</w:t>
      </w:r>
    </w:p>
    <w:p>
      <w:pPr>
        <w:pStyle w:val="ListParagraph"/>
        <w:numPr>
          <w:ilvl w:val="5"/>
          <w:numId w:val="455"/>
        </w:numPr>
        <w:tabs>
          <w:tab w:pos="3052" w:val="left" w:leader="none"/>
          <w:tab w:pos="3054" w:val="left" w:leader="none"/>
        </w:tabs>
        <w:spacing w:line="240" w:lineRule="auto" w:before="120" w:after="0"/>
        <w:ind w:left="3053" w:right="416" w:hanging="567"/>
        <w:jc w:val="left"/>
        <w:rPr>
          <w:sz w:val="24"/>
        </w:rPr>
      </w:pPr>
      <w:r>
        <w:rPr>
          <w:sz w:val="24"/>
        </w:rPr>
        <w:t>energy-based prices to the </w:t>
      </w:r>
      <w:r>
        <w:rPr>
          <w:i/>
          <w:sz w:val="24"/>
        </w:rPr>
        <w:t>Distribution Customer's </w:t>
      </w:r>
      <w:r>
        <w:rPr>
          <w:sz w:val="24"/>
        </w:rPr>
        <w:t>metered or agreed</w:t>
      </w:r>
      <w:r>
        <w:rPr>
          <w:spacing w:val="-1"/>
          <w:sz w:val="24"/>
        </w:rPr>
        <w:t> </w:t>
      </w:r>
      <w:r>
        <w:rPr>
          <w:sz w:val="24"/>
        </w:rPr>
        <w:t>energy;</w:t>
      </w:r>
    </w:p>
    <w:p>
      <w:pPr>
        <w:pStyle w:val="ListParagraph"/>
        <w:numPr>
          <w:ilvl w:val="5"/>
          <w:numId w:val="455"/>
        </w:numPr>
        <w:tabs>
          <w:tab w:pos="3052" w:val="left" w:leader="none"/>
          <w:tab w:pos="3053" w:val="left" w:leader="none"/>
        </w:tabs>
        <w:spacing w:line="240" w:lineRule="auto" w:before="120" w:after="0"/>
        <w:ind w:left="3053" w:right="415" w:hanging="567"/>
        <w:jc w:val="left"/>
        <w:rPr>
          <w:sz w:val="24"/>
        </w:rPr>
      </w:pPr>
      <w:r>
        <w:rPr>
          <w:sz w:val="24"/>
        </w:rPr>
        <w:t>the </w:t>
      </w:r>
      <w:r>
        <w:rPr>
          <w:i/>
          <w:sz w:val="24"/>
        </w:rPr>
        <w:t>Distribution Customer </w:t>
      </w:r>
      <w:r>
        <w:rPr>
          <w:sz w:val="24"/>
        </w:rPr>
        <w:t>charge determined under this clause as a fixed periodic charge to each </w:t>
      </w:r>
      <w:r>
        <w:rPr>
          <w:i/>
          <w:sz w:val="24"/>
        </w:rPr>
        <w:t>Distribution</w:t>
      </w:r>
      <w:r>
        <w:rPr>
          <w:i/>
          <w:spacing w:val="-7"/>
          <w:sz w:val="24"/>
        </w:rPr>
        <w:t> </w:t>
      </w:r>
      <w:r>
        <w:rPr>
          <w:i/>
          <w:sz w:val="24"/>
        </w:rPr>
        <w:t>Customer</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5"/>
          <w:numId w:val="455"/>
        </w:numPr>
        <w:tabs>
          <w:tab w:pos="3054" w:val="left" w:leader="none"/>
        </w:tabs>
        <w:spacing w:line="240" w:lineRule="auto" w:before="83" w:after="0"/>
        <w:ind w:left="3053" w:right="416" w:hanging="567"/>
        <w:jc w:val="both"/>
        <w:rPr>
          <w:sz w:val="24"/>
        </w:rPr>
      </w:pPr>
      <w:r>
        <w:rPr>
          <w:sz w:val="24"/>
        </w:rPr>
        <w:t>a fixed periodic charge, a prepayment or other charge determined by agreement with the </w:t>
      </w:r>
      <w:r>
        <w:rPr>
          <w:i/>
          <w:sz w:val="24"/>
        </w:rPr>
        <w:t>Distribution</w:t>
      </w:r>
      <w:r>
        <w:rPr>
          <w:i/>
          <w:spacing w:val="-6"/>
          <w:sz w:val="24"/>
        </w:rPr>
        <w:t> </w:t>
      </w:r>
      <w:r>
        <w:rPr>
          <w:i/>
          <w:sz w:val="24"/>
        </w:rPr>
        <w:t>Customer</w:t>
      </w:r>
      <w:r>
        <w:rPr>
          <w:sz w:val="24"/>
        </w:rPr>
        <w:t>;</w:t>
      </w:r>
    </w:p>
    <w:p>
      <w:pPr>
        <w:pStyle w:val="ListParagraph"/>
        <w:numPr>
          <w:ilvl w:val="5"/>
          <w:numId w:val="455"/>
        </w:numPr>
        <w:tabs>
          <w:tab w:pos="3053" w:val="left" w:leader="none"/>
        </w:tabs>
        <w:spacing w:line="240" w:lineRule="auto" w:before="120" w:after="0"/>
        <w:ind w:left="3053" w:right="415" w:hanging="567"/>
        <w:jc w:val="both"/>
        <w:rPr>
          <w:sz w:val="24"/>
        </w:rPr>
      </w:pPr>
      <w:r>
        <w:rPr>
          <w:sz w:val="24"/>
        </w:rPr>
        <w:t>any other measure the </w:t>
      </w:r>
      <w:r>
        <w:rPr>
          <w:i/>
          <w:sz w:val="24"/>
        </w:rPr>
        <w:t>Distribution Network Service Provider </w:t>
      </w:r>
      <w:r>
        <w:rPr>
          <w:sz w:val="24"/>
        </w:rPr>
        <w:t>is authorised to apply by the applicable distribution</w:t>
      </w:r>
      <w:r>
        <w:rPr>
          <w:spacing w:val="-5"/>
          <w:sz w:val="24"/>
        </w:rPr>
        <w:t> </w:t>
      </w:r>
      <w:r>
        <w:rPr>
          <w:sz w:val="24"/>
        </w:rPr>
        <w:t>determination.</w:t>
      </w:r>
    </w:p>
    <w:p>
      <w:pPr>
        <w:pStyle w:val="ListParagraph"/>
        <w:numPr>
          <w:ilvl w:val="3"/>
          <w:numId w:val="455"/>
        </w:numPr>
        <w:tabs>
          <w:tab w:pos="1919" w:val="left" w:leader="none"/>
        </w:tabs>
        <w:spacing w:line="240" w:lineRule="auto" w:before="120" w:after="0"/>
        <w:ind w:left="1919" w:right="416" w:hanging="567"/>
        <w:jc w:val="both"/>
        <w:rPr>
          <w:sz w:val="24"/>
        </w:rPr>
      </w:pPr>
      <w:r>
        <w:rPr>
          <w:sz w:val="24"/>
        </w:rPr>
        <w:t>Subject to paragraph (c), where a </w:t>
      </w:r>
      <w:r>
        <w:rPr>
          <w:i/>
          <w:sz w:val="24"/>
        </w:rPr>
        <w:t>Distribution Customer </w:t>
      </w:r>
      <w:r>
        <w:rPr>
          <w:sz w:val="24"/>
        </w:rPr>
        <w:t>(other than a </w:t>
      </w:r>
      <w:r>
        <w:rPr>
          <w:i/>
          <w:sz w:val="24"/>
        </w:rPr>
        <w:t>Distribution Customer </w:t>
      </w:r>
      <w:r>
        <w:rPr>
          <w:sz w:val="24"/>
        </w:rPr>
        <w:t>who is </w:t>
      </w:r>
      <w:r>
        <w:rPr>
          <w:i/>
          <w:sz w:val="24"/>
        </w:rPr>
        <w:t>financially responsible </w:t>
      </w:r>
      <w:r>
        <w:rPr>
          <w:sz w:val="24"/>
        </w:rPr>
        <w:t>for its own connection point) incurs </w:t>
      </w:r>
      <w:r>
        <w:rPr>
          <w:i/>
          <w:sz w:val="24"/>
        </w:rPr>
        <w:t>distribution service </w:t>
      </w:r>
      <w:r>
        <w:rPr>
          <w:sz w:val="24"/>
        </w:rPr>
        <w:t>charges, the </w:t>
      </w:r>
      <w:r>
        <w:rPr>
          <w:i/>
          <w:sz w:val="24"/>
        </w:rPr>
        <w:t>Distribution Network Service </w:t>
      </w:r>
      <w:r>
        <w:rPr>
          <w:i/>
          <w:sz w:val="24"/>
        </w:rPr>
        <w:t>Provider </w:t>
      </w:r>
      <w:r>
        <w:rPr>
          <w:sz w:val="24"/>
        </w:rPr>
        <w:t>must bill the </w:t>
      </w:r>
      <w:r>
        <w:rPr>
          <w:i/>
          <w:sz w:val="24"/>
        </w:rPr>
        <w:t>retailer </w:t>
      </w:r>
      <w:r>
        <w:rPr>
          <w:sz w:val="24"/>
        </w:rPr>
        <w:t>from whom the </w:t>
      </w:r>
      <w:r>
        <w:rPr>
          <w:i/>
          <w:sz w:val="24"/>
        </w:rPr>
        <w:t>Distribution Customer </w:t>
      </w:r>
      <w:r>
        <w:rPr>
          <w:sz w:val="24"/>
        </w:rPr>
        <w:t>purchases electricity directly or indirectly for such </w:t>
      </w:r>
      <w:r>
        <w:rPr>
          <w:i/>
          <w:sz w:val="24"/>
        </w:rPr>
        <w:t>distribution services </w:t>
      </w:r>
      <w:r>
        <w:rPr>
          <w:sz w:val="24"/>
        </w:rPr>
        <w:t>in accordance with paragraph</w:t>
      </w:r>
      <w:r>
        <w:rPr>
          <w:spacing w:val="-2"/>
          <w:sz w:val="24"/>
        </w:rPr>
        <w:t> </w:t>
      </w:r>
      <w:r>
        <w:rPr>
          <w:sz w:val="24"/>
        </w:rPr>
        <w:t>(a)(2).</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If a </w:t>
      </w:r>
      <w:r>
        <w:rPr>
          <w:i/>
          <w:sz w:val="24"/>
        </w:rPr>
        <w:t>Distribution Customer </w:t>
      </w:r>
      <w:r>
        <w:rPr>
          <w:sz w:val="24"/>
        </w:rPr>
        <w:t>and the </w:t>
      </w:r>
      <w:r>
        <w:rPr>
          <w:i/>
          <w:sz w:val="24"/>
        </w:rPr>
        <w:t>retailer </w:t>
      </w:r>
      <w:r>
        <w:rPr>
          <w:sz w:val="24"/>
        </w:rPr>
        <w:t>from whom it purchases electricity agree, the </w:t>
      </w:r>
      <w:r>
        <w:rPr>
          <w:i/>
          <w:sz w:val="24"/>
        </w:rPr>
        <w:t>Distribution Network Service Provider </w:t>
      </w:r>
      <w:r>
        <w:rPr>
          <w:sz w:val="24"/>
        </w:rPr>
        <w:t>may bill the </w:t>
      </w:r>
      <w:r>
        <w:rPr>
          <w:i/>
          <w:sz w:val="24"/>
        </w:rPr>
        <w:t>Distribution Customer </w:t>
      </w:r>
      <w:r>
        <w:rPr>
          <w:sz w:val="24"/>
        </w:rPr>
        <w:t>directly for </w:t>
      </w:r>
      <w:r>
        <w:rPr>
          <w:i/>
          <w:sz w:val="24"/>
        </w:rPr>
        <w:t>distribution services </w:t>
      </w:r>
      <w:r>
        <w:rPr>
          <w:sz w:val="24"/>
        </w:rPr>
        <w:t>used by that </w:t>
      </w:r>
      <w:r>
        <w:rPr>
          <w:i/>
          <w:sz w:val="24"/>
        </w:rPr>
        <w:t>Distribution Customer </w:t>
      </w:r>
      <w:r>
        <w:rPr>
          <w:sz w:val="24"/>
        </w:rPr>
        <w:t>in accordance with paragraph</w:t>
      </w:r>
      <w:r>
        <w:rPr>
          <w:spacing w:val="-5"/>
          <w:sz w:val="24"/>
        </w:rPr>
        <w:t> </w:t>
      </w:r>
      <w:r>
        <w:rPr>
          <w:sz w:val="24"/>
        </w:rPr>
        <w:t>(a)(2).</w:t>
      </w:r>
    </w:p>
    <w:p>
      <w:pPr>
        <w:pStyle w:val="ListParagraph"/>
        <w:numPr>
          <w:ilvl w:val="3"/>
          <w:numId w:val="455"/>
        </w:numPr>
        <w:tabs>
          <w:tab w:pos="1919" w:val="left" w:leader="none"/>
        </w:tabs>
        <w:spacing w:line="240" w:lineRule="auto" w:before="120" w:after="0"/>
        <w:ind w:left="1918" w:right="0" w:hanging="567"/>
        <w:jc w:val="both"/>
        <w:rPr>
          <w:sz w:val="24"/>
        </w:rPr>
      </w:pPr>
      <w:r>
        <w:rPr>
          <w:i/>
          <w:sz w:val="24"/>
        </w:rPr>
        <w:t>Distribution Network Service Providers</w:t>
      </w:r>
      <w:r>
        <w:rPr>
          <w:i/>
          <w:spacing w:val="-1"/>
          <w:sz w:val="24"/>
        </w:rPr>
        <w:t> </w:t>
      </w:r>
      <w:r>
        <w:rPr>
          <w:sz w:val="24"/>
        </w:rPr>
        <w:t>must:</w:t>
      </w:r>
    </w:p>
    <w:p>
      <w:pPr>
        <w:pStyle w:val="ListParagraph"/>
        <w:numPr>
          <w:ilvl w:val="4"/>
          <w:numId w:val="455"/>
        </w:numPr>
        <w:tabs>
          <w:tab w:pos="2486" w:val="left" w:leader="none"/>
        </w:tabs>
        <w:spacing w:line="240" w:lineRule="auto" w:before="120" w:after="0"/>
        <w:ind w:left="2486" w:right="415" w:hanging="567"/>
        <w:jc w:val="both"/>
        <w:rPr>
          <w:sz w:val="24"/>
        </w:rPr>
      </w:pPr>
      <w:r>
        <w:rPr>
          <w:sz w:val="24"/>
        </w:rPr>
        <w:t>calculate </w:t>
      </w:r>
      <w:r>
        <w:rPr>
          <w:i/>
          <w:sz w:val="24"/>
        </w:rPr>
        <w:t>transmission service </w:t>
      </w:r>
      <w:r>
        <w:rPr>
          <w:sz w:val="24"/>
        </w:rPr>
        <w:t>charges and </w:t>
      </w:r>
      <w:r>
        <w:rPr>
          <w:i/>
          <w:sz w:val="24"/>
        </w:rPr>
        <w:t>distribution service </w:t>
      </w:r>
      <w:r>
        <w:rPr>
          <w:sz w:val="24"/>
        </w:rPr>
        <w:t>charges for all </w:t>
      </w:r>
      <w:r>
        <w:rPr>
          <w:i/>
          <w:sz w:val="24"/>
        </w:rPr>
        <w:t>connection points </w:t>
      </w:r>
      <w:r>
        <w:rPr>
          <w:sz w:val="24"/>
        </w:rPr>
        <w:t>in their </w:t>
      </w:r>
      <w:r>
        <w:rPr>
          <w:i/>
          <w:sz w:val="24"/>
        </w:rPr>
        <w:t>distribution network</w:t>
      </w:r>
      <w:r>
        <w:rPr>
          <w:sz w:val="24"/>
        </w:rPr>
        <w:t>;</w:t>
      </w:r>
      <w:r>
        <w:rPr>
          <w:spacing w:val="-1"/>
          <w:sz w:val="24"/>
        </w:rPr>
        <w:t> </w:t>
      </w:r>
      <w:r>
        <w:rPr>
          <w:sz w:val="24"/>
        </w:rPr>
        <w:t>and</w:t>
      </w:r>
    </w:p>
    <w:p>
      <w:pPr>
        <w:pStyle w:val="ListParagraph"/>
        <w:numPr>
          <w:ilvl w:val="4"/>
          <w:numId w:val="455"/>
        </w:numPr>
        <w:tabs>
          <w:tab w:pos="2486" w:val="left" w:leader="none"/>
        </w:tabs>
        <w:spacing w:line="240" w:lineRule="auto" w:before="120" w:after="0"/>
        <w:ind w:left="2486" w:right="416" w:hanging="567"/>
        <w:jc w:val="both"/>
        <w:rPr>
          <w:sz w:val="24"/>
        </w:rPr>
      </w:pPr>
      <w:r>
        <w:rPr>
          <w:sz w:val="24"/>
        </w:rPr>
        <w:t>pay to </w:t>
      </w:r>
      <w:r>
        <w:rPr>
          <w:i/>
          <w:sz w:val="24"/>
        </w:rPr>
        <w:t>Transmission Network Service Providers </w:t>
      </w:r>
      <w:r>
        <w:rPr>
          <w:sz w:val="24"/>
        </w:rPr>
        <w:t>the </w:t>
      </w:r>
      <w:r>
        <w:rPr>
          <w:i/>
          <w:sz w:val="24"/>
        </w:rPr>
        <w:t>transmission </w:t>
      </w:r>
      <w:r>
        <w:rPr>
          <w:i/>
          <w:sz w:val="24"/>
        </w:rPr>
        <w:t>service </w:t>
      </w:r>
      <w:r>
        <w:rPr>
          <w:sz w:val="24"/>
        </w:rPr>
        <w:t>charges incurred in respect of use of a </w:t>
      </w:r>
      <w:r>
        <w:rPr>
          <w:i/>
          <w:sz w:val="24"/>
        </w:rPr>
        <w:t>transmission network </w:t>
      </w:r>
      <w:r>
        <w:rPr>
          <w:sz w:val="24"/>
        </w:rPr>
        <w:t>at each </w:t>
      </w:r>
      <w:r>
        <w:rPr>
          <w:i/>
          <w:sz w:val="24"/>
        </w:rPr>
        <w:t>connection point </w:t>
      </w:r>
      <w:r>
        <w:rPr>
          <w:sz w:val="24"/>
        </w:rPr>
        <w:t>on the relevant </w:t>
      </w:r>
      <w:r>
        <w:rPr>
          <w:i/>
          <w:sz w:val="24"/>
        </w:rPr>
        <w:t>transmission</w:t>
      </w:r>
      <w:r>
        <w:rPr>
          <w:i/>
          <w:spacing w:val="-4"/>
          <w:sz w:val="24"/>
        </w:rPr>
        <w:t> </w:t>
      </w:r>
      <w:r>
        <w:rPr>
          <w:i/>
          <w:sz w:val="24"/>
        </w:rPr>
        <w:t>network</w:t>
      </w:r>
      <w:r>
        <w:rPr>
          <w:sz w:val="24"/>
        </w:rPr>
        <w:t>.</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Charges for </w:t>
      </w:r>
      <w:r>
        <w:rPr>
          <w:i/>
          <w:sz w:val="24"/>
        </w:rPr>
        <w:t>distribution services </w:t>
      </w:r>
      <w:r>
        <w:rPr>
          <w:sz w:val="24"/>
        </w:rPr>
        <w:t>based on metered kW, kWh, kVA,</w:t>
      </w:r>
      <w:r>
        <w:rPr>
          <w:spacing w:val="45"/>
          <w:sz w:val="24"/>
        </w:rPr>
        <w:t> </w:t>
      </w:r>
      <w:r>
        <w:rPr>
          <w:sz w:val="24"/>
        </w:rPr>
        <w:t>or kVAh for:</w:t>
      </w:r>
    </w:p>
    <w:p>
      <w:pPr>
        <w:pStyle w:val="ListParagraph"/>
        <w:numPr>
          <w:ilvl w:val="4"/>
          <w:numId w:val="455"/>
        </w:numPr>
        <w:tabs>
          <w:tab w:pos="2486" w:val="left" w:leader="none"/>
        </w:tabs>
        <w:spacing w:line="240" w:lineRule="auto" w:before="120" w:after="0"/>
        <w:ind w:left="2486" w:right="415" w:hanging="567"/>
        <w:jc w:val="both"/>
        <w:rPr>
          <w:sz w:val="24"/>
        </w:rPr>
      </w:pPr>
      <w:r>
        <w:rPr>
          <w:i/>
          <w:sz w:val="24"/>
        </w:rPr>
        <w:t>Embedded Generators </w:t>
      </w:r>
      <w:r>
        <w:rPr>
          <w:sz w:val="24"/>
        </w:rPr>
        <w:t>other than </w:t>
      </w:r>
      <w:r>
        <w:rPr>
          <w:i/>
          <w:sz w:val="24"/>
        </w:rPr>
        <w:t>Embedded Generators </w:t>
      </w:r>
      <w:r>
        <w:rPr>
          <w:sz w:val="24"/>
        </w:rPr>
        <w:t>whose sent out generation is not purchased in its entirety by a </w:t>
      </w:r>
      <w:r>
        <w:rPr>
          <w:i/>
          <w:sz w:val="24"/>
        </w:rPr>
        <w:t>Retailer </w:t>
      </w:r>
      <w:r>
        <w:rPr>
          <w:sz w:val="24"/>
        </w:rPr>
        <w:t>or </w:t>
      </w:r>
      <w:r>
        <w:rPr>
          <w:i/>
          <w:sz w:val="24"/>
        </w:rPr>
        <w:t>Customer </w:t>
      </w:r>
      <w:r>
        <w:rPr>
          <w:sz w:val="24"/>
        </w:rPr>
        <w:t>located at the same connection point;</w:t>
      </w:r>
      <w:r>
        <w:rPr>
          <w:spacing w:val="-3"/>
          <w:sz w:val="24"/>
        </w:rPr>
        <w:t> </w:t>
      </w:r>
      <w:r>
        <w:rPr>
          <w:sz w:val="24"/>
        </w:rPr>
        <w:t>and</w:t>
      </w:r>
    </w:p>
    <w:p>
      <w:pPr>
        <w:pStyle w:val="ListParagraph"/>
        <w:numPr>
          <w:ilvl w:val="4"/>
          <w:numId w:val="455"/>
        </w:numPr>
        <w:tabs>
          <w:tab w:pos="2486" w:val="left" w:leader="none"/>
        </w:tabs>
        <w:spacing w:line="240" w:lineRule="auto" w:before="120" w:after="0"/>
        <w:ind w:left="2485" w:right="0" w:hanging="567"/>
        <w:jc w:val="both"/>
        <w:rPr>
          <w:sz w:val="24"/>
        </w:rPr>
      </w:pPr>
      <w:r>
        <w:rPr>
          <w:i/>
          <w:sz w:val="24"/>
        </w:rPr>
        <w:t>Retailer</w:t>
      </w:r>
      <w:r>
        <w:rPr>
          <w:sz w:val="24"/>
        </w:rPr>
        <w:t>; and</w:t>
      </w:r>
    </w:p>
    <w:p>
      <w:pPr>
        <w:pStyle w:val="ListParagraph"/>
        <w:numPr>
          <w:ilvl w:val="4"/>
          <w:numId w:val="455"/>
        </w:numPr>
        <w:tabs>
          <w:tab w:pos="2486" w:val="left" w:leader="none"/>
        </w:tabs>
        <w:spacing w:line="240" w:lineRule="auto" w:before="120" w:after="0"/>
        <w:ind w:left="2485" w:right="0" w:hanging="567"/>
        <w:jc w:val="both"/>
        <w:rPr>
          <w:sz w:val="24"/>
        </w:rPr>
      </w:pPr>
      <w:r>
        <w:rPr>
          <w:i/>
          <w:sz w:val="24"/>
        </w:rPr>
        <w:t>Second-Tier Customers</w:t>
      </w:r>
      <w:r>
        <w:rPr>
          <w:sz w:val="24"/>
        </w:rPr>
        <w:t>;</w:t>
      </w:r>
    </w:p>
    <w:p>
      <w:pPr>
        <w:spacing w:before="120"/>
        <w:ind w:left="1919" w:right="0" w:firstLine="0"/>
        <w:jc w:val="both"/>
        <w:rPr>
          <w:sz w:val="24"/>
        </w:rPr>
      </w:pPr>
      <w:r>
        <w:rPr>
          <w:sz w:val="24"/>
        </w:rPr>
        <w:t>must be calculated by the </w:t>
      </w:r>
      <w:r>
        <w:rPr>
          <w:i/>
          <w:sz w:val="24"/>
        </w:rPr>
        <w:t>Distribution Network Service Provider </w:t>
      </w:r>
      <w:r>
        <w:rPr>
          <w:sz w:val="24"/>
        </w:rPr>
        <w:t>from:</w:t>
      </w:r>
    </w:p>
    <w:p>
      <w:pPr>
        <w:pStyle w:val="ListParagraph"/>
        <w:numPr>
          <w:ilvl w:val="4"/>
          <w:numId w:val="455"/>
        </w:numPr>
        <w:tabs>
          <w:tab w:pos="2486" w:val="left" w:leader="none"/>
        </w:tabs>
        <w:spacing w:line="240" w:lineRule="auto" w:before="120" w:after="0"/>
        <w:ind w:left="2486" w:right="415" w:hanging="567"/>
        <w:jc w:val="both"/>
        <w:rPr>
          <w:sz w:val="24"/>
        </w:rPr>
      </w:pPr>
      <w:r>
        <w:rPr>
          <w:i/>
          <w:sz w:val="24"/>
        </w:rPr>
        <w:t>settlements ready data </w:t>
      </w:r>
      <w:r>
        <w:rPr>
          <w:sz w:val="24"/>
        </w:rPr>
        <w:t>obtained from </w:t>
      </w:r>
      <w:r>
        <w:rPr>
          <w:i/>
          <w:sz w:val="24"/>
        </w:rPr>
        <w:t>NTESMO's metering database</w:t>
      </w:r>
      <w:r>
        <w:rPr>
          <w:sz w:val="24"/>
        </w:rPr>
        <w:t>, for those </w:t>
      </w:r>
      <w:r>
        <w:rPr>
          <w:i/>
          <w:sz w:val="24"/>
        </w:rPr>
        <w:t>Embedded Generators</w:t>
      </w:r>
      <w:r>
        <w:rPr>
          <w:sz w:val="24"/>
        </w:rPr>
        <w:t>, </w:t>
      </w:r>
      <w:r>
        <w:rPr>
          <w:i/>
          <w:sz w:val="24"/>
        </w:rPr>
        <w:t>Market Loads</w:t>
      </w:r>
      <w:r>
        <w:rPr>
          <w:sz w:val="24"/>
        </w:rPr>
        <w:t>, </w:t>
      </w:r>
      <w:r>
        <w:rPr>
          <w:i/>
          <w:sz w:val="24"/>
        </w:rPr>
        <w:t>Retailers </w:t>
      </w:r>
      <w:r>
        <w:rPr>
          <w:sz w:val="24"/>
        </w:rPr>
        <w:t>and </w:t>
      </w:r>
      <w:r>
        <w:rPr>
          <w:i/>
          <w:sz w:val="24"/>
        </w:rPr>
        <w:t>Second- </w:t>
      </w:r>
      <w:r>
        <w:rPr>
          <w:i/>
          <w:sz w:val="24"/>
        </w:rPr>
        <w:t>Tier Customers </w:t>
      </w:r>
      <w:r>
        <w:rPr>
          <w:sz w:val="24"/>
        </w:rPr>
        <w:t>with </w:t>
      </w:r>
      <w:r>
        <w:rPr>
          <w:i/>
          <w:sz w:val="24"/>
        </w:rPr>
        <w:t>connection points </w:t>
      </w:r>
      <w:r>
        <w:rPr>
          <w:sz w:val="24"/>
        </w:rPr>
        <w:t>that have a type 1, 2, 3 or 4 </w:t>
      </w:r>
      <w:r>
        <w:rPr>
          <w:i/>
          <w:sz w:val="24"/>
        </w:rPr>
        <w:t>metering installation</w:t>
      </w:r>
      <w:r>
        <w:rPr>
          <w:sz w:val="24"/>
        </w:rPr>
        <w:t>;</w:t>
      </w:r>
      <w:r>
        <w:rPr>
          <w:spacing w:val="-2"/>
          <w:sz w:val="24"/>
        </w:rPr>
        <w:t> </w:t>
      </w:r>
      <w:r>
        <w:rPr>
          <w:sz w:val="24"/>
        </w:rPr>
        <w:t>and</w:t>
      </w:r>
    </w:p>
    <w:p>
      <w:pPr>
        <w:pStyle w:val="ListParagraph"/>
        <w:numPr>
          <w:ilvl w:val="4"/>
          <w:numId w:val="455"/>
        </w:numPr>
        <w:tabs>
          <w:tab w:pos="2486" w:val="left" w:leader="none"/>
        </w:tabs>
        <w:spacing w:line="240" w:lineRule="auto" w:before="120" w:after="0"/>
        <w:ind w:left="2486" w:right="415" w:hanging="567"/>
        <w:jc w:val="both"/>
        <w:rPr>
          <w:sz w:val="24"/>
        </w:rPr>
      </w:pPr>
      <w:r>
        <w:rPr>
          <w:i/>
          <w:sz w:val="24"/>
        </w:rPr>
        <w:t>metering data</w:t>
      </w:r>
      <w:r>
        <w:rPr>
          <w:sz w:val="24"/>
        </w:rPr>
        <w:t>, in accordance with schedule 7A.7 that allows the </w:t>
      </w:r>
      <w:r>
        <w:rPr>
          <w:i/>
          <w:sz w:val="24"/>
        </w:rPr>
        <w:t>Distribution Network Service Provider </w:t>
      </w:r>
      <w:r>
        <w:rPr>
          <w:sz w:val="24"/>
        </w:rPr>
        <w:t>to use </w:t>
      </w:r>
      <w:r>
        <w:rPr>
          <w:i/>
          <w:sz w:val="24"/>
        </w:rPr>
        <w:t>energy data </w:t>
      </w:r>
      <w:r>
        <w:rPr>
          <w:sz w:val="24"/>
        </w:rPr>
        <w:t>for this purpose, or otherwise </w:t>
      </w:r>
      <w:r>
        <w:rPr>
          <w:i/>
          <w:sz w:val="24"/>
        </w:rPr>
        <w:t>settlements ready data </w:t>
      </w:r>
      <w:r>
        <w:rPr>
          <w:sz w:val="24"/>
        </w:rPr>
        <w:t>obtained from </w:t>
      </w:r>
      <w:r>
        <w:rPr>
          <w:i/>
          <w:sz w:val="24"/>
        </w:rPr>
        <w:t>NTESMO's metering database</w:t>
      </w:r>
      <w:r>
        <w:rPr>
          <w:sz w:val="24"/>
        </w:rPr>
        <w:t>, for those </w:t>
      </w:r>
      <w:r>
        <w:rPr>
          <w:i/>
          <w:sz w:val="24"/>
        </w:rPr>
        <w:t>Embedded Generators</w:t>
      </w:r>
      <w:r>
        <w:rPr>
          <w:sz w:val="24"/>
        </w:rPr>
        <w:t>, </w:t>
      </w:r>
      <w:r>
        <w:rPr>
          <w:i/>
          <w:sz w:val="24"/>
        </w:rPr>
        <w:t>Market Loads</w:t>
      </w:r>
      <w:r>
        <w:rPr>
          <w:sz w:val="24"/>
        </w:rPr>
        <w:t>, </w:t>
      </w:r>
      <w:r>
        <w:rPr>
          <w:i/>
          <w:sz w:val="24"/>
        </w:rPr>
        <w:t>retailers </w:t>
      </w:r>
      <w:r>
        <w:rPr>
          <w:sz w:val="24"/>
        </w:rPr>
        <w:t>and </w:t>
      </w:r>
      <w:r>
        <w:rPr>
          <w:i/>
          <w:sz w:val="24"/>
        </w:rPr>
        <w:t>Second-Tier Customers </w:t>
      </w:r>
      <w:r>
        <w:rPr>
          <w:sz w:val="24"/>
        </w:rPr>
        <w:t>with </w:t>
      </w:r>
      <w:r>
        <w:rPr>
          <w:i/>
          <w:sz w:val="24"/>
        </w:rPr>
        <w:t>connection </w:t>
      </w:r>
      <w:r>
        <w:rPr>
          <w:i/>
          <w:sz w:val="24"/>
        </w:rPr>
        <w:t>points </w:t>
      </w:r>
      <w:r>
        <w:rPr>
          <w:sz w:val="24"/>
        </w:rPr>
        <w:t>that have a type 4A, 5, 6 or 7 </w:t>
      </w:r>
      <w:r>
        <w:rPr>
          <w:i/>
          <w:sz w:val="24"/>
        </w:rPr>
        <w:t>metering</w:t>
      </w:r>
      <w:r>
        <w:rPr>
          <w:i/>
          <w:spacing w:val="-4"/>
          <w:sz w:val="24"/>
        </w:rPr>
        <w:t> </w:t>
      </w:r>
      <w:r>
        <w:rPr>
          <w:i/>
          <w:sz w:val="24"/>
        </w:rPr>
        <w:t>installation</w:t>
      </w:r>
      <w:r>
        <w:rPr>
          <w:sz w:val="24"/>
        </w:rPr>
        <w:t>.</w:t>
      </w:r>
    </w:p>
    <w:p>
      <w:pPr>
        <w:pStyle w:val="ListParagraph"/>
        <w:numPr>
          <w:ilvl w:val="3"/>
          <w:numId w:val="455"/>
        </w:numPr>
        <w:tabs>
          <w:tab w:pos="1920" w:val="left" w:leader="none"/>
        </w:tabs>
        <w:spacing w:line="240" w:lineRule="auto" w:before="120" w:after="0"/>
        <w:ind w:left="1919" w:right="415" w:hanging="567"/>
        <w:jc w:val="both"/>
        <w:rPr>
          <w:sz w:val="24"/>
        </w:rPr>
      </w:pPr>
      <w:r>
        <w:rPr>
          <w:sz w:val="24"/>
        </w:rPr>
        <w:t>Charges for </w:t>
      </w:r>
      <w:r>
        <w:rPr>
          <w:i/>
          <w:sz w:val="24"/>
        </w:rPr>
        <w:t>distribution services </w:t>
      </w:r>
      <w:r>
        <w:rPr>
          <w:sz w:val="24"/>
        </w:rPr>
        <w:t>based on metered kW, kWh, kVA or kVAh for:</w:t>
      </w:r>
    </w:p>
    <w:p>
      <w:pPr>
        <w:pStyle w:val="ListParagraph"/>
        <w:numPr>
          <w:ilvl w:val="4"/>
          <w:numId w:val="455"/>
        </w:numPr>
        <w:tabs>
          <w:tab w:pos="2486" w:val="left" w:leader="none"/>
        </w:tabs>
        <w:spacing w:line="240" w:lineRule="auto" w:before="120" w:after="0"/>
        <w:ind w:left="2486" w:right="415" w:hanging="567"/>
        <w:jc w:val="both"/>
        <w:rPr>
          <w:sz w:val="24"/>
        </w:rPr>
      </w:pPr>
      <w:r>
        <w:rPr>
          <w:i/>
          <w:sz w:val="24"/>
        </w:rPr>
        <w:t>Embedded Generators </w:t>
      </w:r>
      <w:r>
        <w:rPr>
          <w:sz w:val="24"/>
        </w:rPr>
        <w:t>whose sent out generation is not purchased in its entirety by a </w:t>
      </w:r>
      <w:r>
        <w:rPr>
          <w:i/>
          <w:sz w:val="24"/>
        </w:rPr>
        <w:t>Retailer </w:t>
      </w:r>
      <w:r>
        <w:rPr>
          <w:sz w:val="24"/>
        </w:rPr>
        <w:t>or </w:t>
      </w:r>
      <w:r>
        <w:rPr>
          <w:i/>
          <w:sz w:val="24"/>
        </w:rPr>
        <w:t>Customer </w:t>
      </w:r>
      <w:r>
        <w:rPr>
          <w:sz w:val="24"/>
        </w:rPr>
        <w:t>located at the same connection point;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455"/>
        </w:numPr>
        <w:tabs>
          <w:tab w:pos="2486" w:val="left" w:leader="none"/>
        </w:tabs>
        <w:spacing w:line="240" w:lineRule="auto" w:before="83" w:after="0"/>
        <w:ind w:left="2485" w:right="0" w:hanging="567"/>
        <w:jc w:val="both"/>
        <w:rPr>
          <w:sz w:val="24"/>
        </w:rPr>
      </w:pPr>
      <w:r>
        <w:rPr>
          <w:i/>
          <w:sz w:val="24"/>
        </w:rPr>
        <w:t>Non-Registered Customers</w:t>
      </w:r>
      <w:r>
        <w:rPr>
          <w:sz w:val="24"/>
        </w:rPr>
        <w:t>;</w:t>
      </w:r>
      <w:r>
        <w:rPr>
          <w:spacing w:val="-1"/>
          <w:sz w:val="24"/>
        </w:rPr>
        <w:t> </w:t>
      </w:r>
      <w:r>
        <w:rPr>
          <w:sz w:val="24"/>
        </w:rPr>
        <w:t>and</w:t>
      </w:r>
    </w:p>
    <w:p>
      <w:pPr>
        <w:pStyle w:val="ListParagraph"/>
        <w:numPr>
          <w:ilvl w:val="4"/>
          <w:numId w:val="455"/>
        </w:numPr>
        <w:tabs>
          <w:tab w:pos="2486" w:val="left" w:leader="none"/>
        </w:tabs>
        <w:spacing w:line="240" w:lineRule="auto" w:before="120" w:after="0"/>
        <w:ind w:left="2485" w:right="0" w:hanging="567"/>
        <w:jc w:val="both"/>
        <w:rPr>
          <w:sz w:val="24"/>
        </w:rPr>
      </w:pPr>
      <w:r>
        <w:rPr>
          <w:i/>
          <w:sz w:val="24"/>
        </w:rPr>
        <w:t>franchise customers</w:t>
      </w:r>
      <w:r>
        <w:rPr>
          <w:sz w:val="24"/>
        </w:rPr>
        <w:t>,</w:t>
      </w:r>
    </w:p>
    <w:p>
      <w:pPr>
        <w:spacing w:before="120"/>
        <w:ind w:left="1919" w:right="415" w:firstLine="0"/>
        <w:jc w:val="both"/>
        <w:rPr>
          <w:sz w:val="24"/>
        </w:rPr>
      </w:pPr>
      <w:r>
        <w:rPr>
          <w:sz w:val="24"/>
        </w:rPr>
        <w:t>must be calculated by the </w:t>
      </w:r>
      <w:r>
        <w:rPr>
          <w:i/>
          <w:sz w:val="24"/>
        </w:rPr>
        <w:t>Distribution Network Service Provider </w:t>
      </w:r>
      <w:r>
        <w:rPr>
          <w:sz w:val="24"/>
        </w:rPr>
        <w:t>using data that is consistent with the </w:t>
      </w:r>
      <w:r>
        <w:rPr>
          <w:i/>
          <w:sz w:val="24"/>
        </w:rPr>
        <w:t>metering data </w:t>
      </w:r>
      <w:r>
        <w:rPr>
          <w:sz w:val="24"/>
        </w:rPr>
        <w:t>used by the relevant </w:t>
      </w:r>
      <w:r>
        <w:rPr>
          <w:i/>
          <w:sz w:val="24"/>
        </w:rPr>
        <w:t>Retailer </w:t>
      </w:r>
      <w:r>
        <w:rPr>
          <w:sz w:val="24"/>
        </w:rPr>
        <w:t>in determining </w:t>
      </w:r>
      <w:r>
        <w:rPr>
          <w:i/>
          <w:sz w:val="24"/>
        </w:rPr>
        <w:t>energy settlements</w:t>
      </w:r>
      <w:r>
        <w:rPr>
          <w:sz w:val="24"/>
        </w:rPr>
        <w:t>.</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 </w:t>
      </w:r>
      <w:r>
        <w:rPr>
          <w:sz w:val="24"/>
        </w:rPr>
        <w:t>may bill the relevant </w:t>
      </w:r>
      <w:r>
        <w:rPr>
          <w:i/>
          <w:sz w:val="24"/>
        </w:rPr>
        <w:t>Retailer  </w:t>
      </w:r>
      <w:r>
        <w:rPr>
          <w:sz w:val="24"/>
        </w:rPr>
        <w:t>for </w:t>
      </w:r>
      <w:r>
        <w:rPr>
          <w:i/>
          <w:sz w:val="24"/>
        </w:rPr>
        <w:t>distribution services </w:t>
      </w:r>
      <w:r>
        <w:rPr>
          <w:sz w:val="24"/>
        </w:rPr>
        <w:t>used by </w:t>
      </w:r>
      <w:r>
        <w:rPr>
          <w:i/>
          <w:sz w:val="24"/>
        </w:rPr>
        <w:t>Non-Registered Customers </w:t>
      </w:r>
      <w:r>
        <w:rPr>
          <w:sz w:val="24"/>
        </w:rPr>
        <w:t>and </w:t>
      </w:r>
      <w:r>
        <w:rPr>
          <w:i/>
          <w:sz w:val="24"/>
        </w:rPr>
        <w:t>franchise </w:t>
      </w:r>
      <w:r>
        <w:rPr>
          <w:i/>
          <w:sz w:val="24"/>
        </w:rPr>
        <w:t>customers</w:t>
      </w:r>
      <w:r>
        <w:rPr>
          <w:sz w:val="24"/>
        </w:rPr>
        <w:t>.</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Where the billing for a </w:t>
      </w:r>
      <w:r>
        <w:rPr>
          <w:i/>
          <w:sz w:val="24"/>
        </w:rPr>
        <w:t>Distribution Customer </w:t>
      </w:r>
      <w:r>
        <w:rPr>
          <w:sz w:val="24"/>
        </w:rPr>
        <w:t>for a particular </w:t>
      </w:r>
      <w:r>
        <w:rPr>
          <w:i/>
          <w:sz w:val="24"/>
        </w:rPr>
        <w:t>financial year </w:t>
      </w:r>
      <w:r>
        <w:rPr>
          <w:sz w:val="24"/>
        </w:rPr>
        <w:t>is based on quantities which are undefined until after the commencement of the </w:t>
      </w:r>
      <w:r>
        <w:rPr>
          <w:i/>
          <w:sz w:val="24"/>
        </w:rPr>
        <w:t>financial year</w:t>
      </w:r>
      <w:r>
        <w:rPr>
          <w:sz w:val="24"/>
        </w:rPr>
        <w:t>, charges must be estimated from the previous year's billing quantities with a reconciliation to be made when the actual billing quantities are</w:t>
      </w:r>
      <w:r>
        <w:rPr>
          <w:spacing w:val="-1"/>
          <w:sz w:val="24"/>
        </w:rPr>
        <w:t> </w:t>
      </w:r>
      <w:r>
        <w:rPr>
          <w:sz w:val="24"/>
        </w:rPr>
        <w:t>known.</w:t>
      </w:r>
    </w:p>
    <w:p>
      <w:pPr>
        <w:pStyle w:val="ListParagraph"/>
        <w:numPr>
          <w:ilvl w:val="3"/>
          <w:numId w:val="455"/>
        </w:numPr>
        <w:tabs>
          <w:tab w:pos="1919" w:val="left" w:leader="none"/>
        </w:tabs>
        <w:spacing w:line="240" w:lineRule="auto" w:before="120" w:after="0"/>
        <w:ind w:left="1919" w:right="416" w:hanging="567"/>
        <w:jc w:val="both"/>
        <w:rPr>
          <w:sz w:val="24"/>
        </w:rPr>
      </w:pPr>
      <w:r>
        <w:rPr>
          <w:sz w:val="24"/>
        </w:rPr>
        <w:t>Where the previous year's billing quantities are unavailable or no longer suitable, nominated quantities may be used as agreed between the</w:t>
      </w:r>
      <w:r>
        <w:rPr>
          <w:spacing w:val="-10"/>
          <w:sz w:val="24"/>
        </w:rPr>
        <w:t> </w:t>
      </w:r>
      <w:r>
        <w:rPr>
          <w:sz w:val="24"/>
        </w:rPr>
        <w:t>parties.</w:t>
      </w:r>
    </w:p>
    <w:p>
      <w:pPr>
        <w:pStyle w:val="BodyText"/>
        <w:spacing w:before="10"/>
        <w:ind w:firstLine="0"/>
        <w:jc w:val="left"/>
        <w:rPr>
          <w:sz w:val="20"/>
        </w:rPr>
      </w:pPr>
    </w:p>
    <w:p>
      <w:pPr>
        <w:pStyle w:val="Heading4"/>
        <w:numPr>
          <w:ilvl w:val="2"/>
          <w:numId w:val="455"/>
        </w:numPr>
        <w:tabs>
          <w:tab w:pos="1351" w:val="left" w:leader="none"/>
          <w:tab w:pos="1352" w:val="left" w:leader="none"/>
        </w:tabs>
        <w:spacing w:line="240" w:lineRule="auto" w:before="0" w:after="0"/>
        <w:ind w:left="1352" w:right="644" w:hanging="1134"/>
        <w:jc w:val="left"/>
      </w:pPr>
      <w:bookmarkStart w:name="6.20.2 Minimum information to be provide" w:id="1604"/>
      <w:bookmarkEnd w:id="1604"/>
      <w:r>
        <w:rPr>
          <w:b w:val="0"/>
        </w:rPr>
      </w:r>
      <w:bookmarkStart w:name="_bookmark638" w:id="1605"/>
      <w:bookmarkEnd w:id="1605"/>
      <w:r>
        <w:rPr>
          <w:b w:val="0"/>
        </w:rPr>
      </w:r>
      <w:bookmarkStart w:name="_bookmark638" w:id="1606"/>
      <w:bookmarkEnd w:id="1606"/>
      <w:r>
        <w:rPr/>
        <w:t>Minimum</w:t>
      </w:r>
      <w:r>
        <w:rPr/>
        <w:t> information to be provided in distribution network service bills</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The following is the minimum information that must be provided with a bill for a </w:t>
      </w:r>
      <w:r>
        <w:rPr>
          <w:i/>
          <w:sz w:val="24"/>
        </w:rPr>
        <w:t>network coupling point </w:t>
      </w:r>
      <w:r>
        <w:rPr>
          <w:sz w:val="24"/>
        </w:rPr>
        <w:t>issued by a </w:t>
      </w:r>
      <w:r>
        <w:rPr>
          <w:i/>
          <w:sz w:val="24"/>
        </w:rPr>
        <w:t>Distribution Network Service </w:t>
      </w:r>
      <w:r>
        <w:rPr>
          <w:i/>
          <w:sz w:val="24"/>
        </w:rPr>
        <w:t>Provider </w:t>
      </w:r>
      <w:r>
        <w:rPr>
          <w:sz w:val="24"/>
        </w:rPr>
        <w:t>directly to a </w:t>
      </w:r>
      <w:r>
        <w:rPr>
          <w:i/>
          <w:sz w:val="24"/>
        </w:rPr>
        <w:t>Registered</w:t>
      </w:r>
      <w:r>
        <w:rPr>
          <w:i/>
          <w:spacing w:val="-1"/>
          <w:sz w:val="24"/>
        </w:rPr>
        <w:t> </w:t>
      </w:r>
      <w:r>
        <w:rPr>
          <w:i/>
          <w:sz w:val="24"/>
        </w:rPr>
        <w:t>Participant</w:t>
      </w:r>
      <w:r>
        <w:rPr>
          <w:sz w:val="24"/>
        </w:rPr>
        <w:t>:</w:t>
      </w:r>
    </w:p>
    <w:p>
      <w:pPr>
        <w:pStyle w:val="ListParagraph"/>
        <w:numPr>
          <w:ilvl w:val="4"/>
          <w:numId w:val="455"/>
        </w:numPr>
        <w:tabs>
          <w:tab w:pos="2486" w:val="left" w:leader="none"/>
        </w:tabs>
        <w:spacing w:line="240" w:lineRule="auto" w:before="120" w:after="0"/>
        <w:ind w:left="2485" w:right="0" w:hanging="567"/>
        <w:jc w:val="both"/>
        <w:rPr>
          <w:sz w:val="24"/>
        </w:rPr>
      </w:pPr>
      <w:r>
        <w:rPr>
          <w:sz w:val="24"/>
        </w:rPr>
        <w:t>the </w:t>
      </w:r>
      <w:r>
        <w:rPr>
          <w:i/>
          <w:sz w:val="24"/>
        </w:rPr>
        <w:t>network coupling point </w:t>
      </w:r>
      <w:r>
        <w:rPr>
          <w:sz w:val="24"/>
        </w:rPr>
        <w:t>identifier;</w:t>
      </w:r>
      <w:r>
        <w:rPr>
          <w:spacing w:val="-1"/>
          <w:sz w:val="24"/>
        </w:rPr>
        <w:t> </w:t>
      </w:r>
      <w:r>
        <w:rPr>
          <w:sz w:val="24"/>
        </w:rPr>
        <w:t>and</w:t>
      </w:r>
    </w:p>
    <w:p>
      <w:pPr>
        <w:pStyle w:val="ListParagraph"/>
        <w:numPr>
          <w:ilvl w:val="4"/>
          <w:numId w:val="455"/>
        </w:numPr>
        <w:tabs>
          <w:tab w:pos="2486" w:val="left" w:leader="none"/>
        </w:tabs>
        <w:spacing w:line="240" w:lineRule="auto" w:before="120" w:after="0"/>
        <w:ind w:left="2485" w:right="0" w:hanging="567"/>
        <w:jc w:val="both"/>
        <w:rPr>
          <w:sz w:val="24"/>
        </w:rPr>
      </w:pPr>
      <w:r>
        <w:rPr>
          <w:sz w:val="24"/>
        </w:rPr>
        <w:t>the dates on which the billing period starts and ends;</w:t>
      </w:r>
      <w:r>
        <w:rPr>
          <w:spacing w:val="-5"/>
          <w:sz w:val="24"/>
        </w:rPr>
        <w:t> </w:t>
      </w:r>
      <w:r>
        <w:rPr>
          <w:sz w:val="24"/>
        </w:rPr>
        <w:t>and</w:t>
      </w:r>
    </w:p>
    <w:p>
      <w:pPr>
        <w:pStyle w:val="ListParagraph"/>
        <w:numPr>
          <w:ilvl w:val="4"/>
          <w:numId w:val="455"/>
        </w:numPr>
        <w:tabs>
          <w:tab w:pos="2486" w:val="left" w:leader="none"/>
        </w:tabs>
        <w:spacing w:line="240" w:lineRule="auto" w:before="120" w:after="0"/>
        <w:ind w:left="2486" w:right="416" w:hanging="567"/>
        <w:jc w:val="both"/>
        <w:rPr>
          <w:sz w:val="24"/>
        </w:rPr>
      </w:pPr>
      <w:r>
        <w:rPr>
          <w:sz w:val="24"/>
        </w:rPr>
        <w:t>the identifier of the </w:t>
      </w:r>
      <w:r>
        <w:rPr>
          <w:i/>
          <w:sz w:val="24"/>
        </w:rPr>
        <w:t>distribution service </w:t>
      </w:r>
      <w:r>
        <w:rPr>
          <w:sz w:val="24"/>
        </w:rPr>
        <w:t>price from which the </w:t>
      </w:r>
      <w:r>
        <w:rPr>
          <w:i/>
          <w:sz w:val="24"/>
        </w:rPr>
        <w:t>network </w:t>
      </w:r>
      <w:r>
        <w:rPr>
          <w:i/>
          <w:sz w:val="24"/>
        </w:rPr>
        <w:t>coupling point </w:t>
      </w:r>
      <w:r>
        <w:rPr>
          <w:sz w:val="24"/>
        </w:rPr>
        <w:t>charges are calculated;</w:t>
      </w:r>
      <w:r>
        <w:rPr>
          <w:spacing w:val="-1"/>
          <w:sz w:val="24"/>
        </w:rPr>
        <w:t> </w:t>
      </w:r>
      <w:r>
        <w:rPr>
          <w:sz w:val="24"/>
        </w:rPr>
        <w:t>and</w:t>
      </w:r>
    </w:p>
    <w:p>
      <w:pPr>
        <w:pStyle w:val="ListParagraph"/>
        <w:numPr>
          <w:ilvl w:val="4"/>
          <w:numId w:val="455"/>
        </w:numPr>
        <w:tabs>
          <w:tab w:pos="2486" w:val="left" w:leader="none"/>
        </w:tabs>
        <w:spacing w:line="240" w:lineRule="auto" w:before="120" w:after="0"/>
        <w:ind w:left="2486" w:right="414" w:hanging="567"/>
        <w:jc w:val="both"/>
        <w:rPr>
          <w:sz w:val="24"/>
        </w:rPr>
      </w:pPr>
      <w:r>
        <w:rPr>
          <w:sz w:val="24"/>
        </w:rPr>
        <w:t>measured quantities, billed quantities, prices and amounts charged </w:t>
      </w:r>
      <w:r>
        <w:rPr>
          <w:spacing w:val="-4"/>
          <w:sz w:val="24"/>
        </w:rPr>
        <w:t>for </w:t>
      </w:r>
      <w:r>
        <w:rPr>
          <w:sz w:val="24"/>
        </w:rPr>
        <w:t>each component of the total </w:t>
      </w:r>
      <w:r>
        <w:rPr>
          <w:i/>
          <w:sz w:val="24"/>
        </w:rPr>
        <w:t>distribution service</w:t>
      </w:r>
      <w:r>
        <w:rPr>
          <w:i/>
          <w:spacing w:val="-2"/>
          <w:sz w:val="24"/>
        </w:rPr>
        <w:t> </w:t>
      </w:r>
      <w:r>
        <w:rPr>
          <w:sz w:val="24"/>
        </w:rPr>
        <w:t>account.</w:t>
      </w:r>
    </w:p>
    <w:p>
      <w:pPr>
        <w:pStyle w:val="ListParagraph"/>
        <w:numPr>
          <w:ilvl w:val="3"/>
          <w:numId w:val="455"/>
        </w:numPr>
        <w:tabs>
          <w:tab w:pos="1919" w:val="left" w:leader="none"/>
        </w:tabs>
        <w:spacing w:line="240" w:lineRule="auto" w:before="120" w:after="0"/>
        <w:ind w:left="1919" w:right="415" w:hanging="567"/>
        <w:jc w:val="both"/>
        <w:rPr>
          <w:sz w:val="24"/>
        </w:rPr>
      </w:pPr>
      <w:r>
        <w:rPr>
          <w:sz w:val="24"/>
        </w:rPr>
        <w:t>In addition to the minimum information requirements in paragraph (a), a bill for a </w:t>
      </w:r>
      <w:r>
        <w:rPr>
          <w:i/>
          <w:sz w:val="24"/>
        </w:rPr>
        <w:t>network coupling point </w:t>
      </w:r>
      <w:r>
        <w:rPr>
          <w:sz w:val="24"/>
        </w:rPr>
        <w:t>issued by a </w:t>
      </w:r>
      <w:r>
        <w:rPr>
          <w:i/>
          <w:sz w:val="24"/>
        </w:rPr>
        <w:t>Distribution Network Service </w:t>
      </w:r>
      <w:r>
        <w:rPr>
          <w:i/>
          <w:sz w:val="24"/>
        </w:rPr>
        <w:t>Provider </w:t>
      </w:r>
      <w:r>
        <w:rPr>
          <w:sz w:val="24"/>
        </w:rPr>
        <w:t>directly to another </w:t>
      </w:r>
      <w:r>
        <w:rPr>
          <w:i/>
          <w:sz w:val="24"/>
        </w:rPr>
        <w:t>Distribution Network Service Provider </w:t>
      </w:r>
      <w:r>
        <w:rPr>
          <w:spacing w:val="-3"/>
          <w:sz w:val="24"/>
        </w:rPr>
        <w:t>must</w:t>
      </w:r>
      <w:r>
        <w:rPr>
          <w:spacing w:val="54"/>
          <w:sz w:val="24"/>
        </w:rPr>
        <w:t> </w:t>
      </w:r>
      <w:r>
        <w:rPr>
          <w:sz w:val="24"/>
        </w:rPr>
        <w:t>separately identify the component of </w:t>
      </w:r>
      <w:r>
        <w:rPr>
          <w:i/>
          <w:sz w:val="24"/>
        </w:rPr>
        <w:t>designated pricing proposal services</w:t>
      </w:r>
      <w:r>
        <w:rPr>
          <w:sz w:val="24"/>
        </w:rPr>
        <w:t>, if any, to which each amount charged in the bill</w:t>
      </w:r>
      <w:r>
        <w:rPr>
          <w:spacing w:val="-4"/>
          <w:sz w:val="24"/>
        </w:rPr>
        <w:t> </w:t>
      </w:r>
      <w:r>
        <w:rPr>
          <w:sz w:val="24"/>
        </w:rPr>
        <w:t>relates.</w:t>
      </w:r>
    </w:p>
    <w:p>
      <w:pPr>
        <w:pStyle w:val="BodyText"/>
        <w:spacing w:before="10"/>
        <w:ind w:firstLine="0"/>
        <w:jc w:val="left"/>
        <w:rPr>
          <w:sz w:val="20"/>
        </w:rPr>
      </w:pPr>
    </w:p>
    <w:p>
      <w:pPr>
        <w:pStyle w:val="Heading4"/>
        <w:numPr>
          <w:ilvl w:val="2"/>
          <w:numId w:val="455"/>
        </w:numPr>
        <w:tabs>
          <w:tab w:pos="1351" w:val="left" w:leader="none"/>
          <w:tab w:pos="1352" w:val="left" w:leader="none"/>
        </w:tabs>
        <w:spacing w:line="240" w:lineRule="auto" w:before="0" w:after="0"/>
        <w:ind w:left="1351" w:right="0" w:hanging="1134"/>
        <w:jc w:val="left"/>
      </w:pPr>
      <w:bookmarkStart w:name="6.20.3 Settlement between Distribution N" w:id="1607"/>
      <w:bookmarkEnd w:id="1607"/>
      <w:r>
        <w:rPr>
          <w:b w:val="0"/>
        </w:rPr>
      </w:r>
      <w:bookmarkStart w:name="_bookmark639" w:id="1608"/>
      <w:bookmarkEnd w:id="1608"/>
      <w:r>
        <w:rPr>
          <w:b w:val="0"/>
        </w:rPr>
      </w:r>
      <w:bookmarkStart w:name="_bookmark639" w:id="1609"/>
      <w:bookmarkEnd w:id="1609"/>
      <w:r>
        <w:rPr/>
        <w:t>Settlement</w:t>
      </w:r>
      <w:r>
        <w:rPr/>
        <w:t> between Distribution Network Service</w:t>
      </w:r>
      <w:r>
        <w:rPr>
          <w:spacing w:val="-6"/>
        </w:rPr>
        <w:t> </w:t>
      </w:r>
      <w:r>
        <w:rPr/>
        <w:t>Providers</w:t>
      </w:r>
    </w:p>
    <w:p>
      <w:pPr>
        <w:pStyle w:val="BodyText"/>
        <w:ind w:left="1352" w:firstLine="0"/>
      </w:pPr>
      <w:r>
        <w:rPr/>
        <w:t>The billing and settlement process specified in this clause must be applied to all</w:t>
      </w:r>
    </w:p>
    <w:p>
      <w:pPr>
        <w:spacing w:before="0"/>
        <w:ind w:left="1352" w:right="0" w:firstLine="0"/>
        <w:jc w:val="both"/>
        <w:rPr>
          <w:sz w:val="24"/>
        </w:rPr>
      </w:pPr>
      <w:r>
        <w:rPr>
          <w:i/>
          <w:sz w:val="24"/>
        </w:rPr>
        <w:t>Distribution Customers </w:t>
      </w:r>
      <w:r>
        <w:rPr>
          <w:sz w:val="24"/>
        </w:rPr>
        <w:t>including other </w:t>
      </w:r>
      <w:r>
        <w:rPr>
          <w:i/>
          <w:sz w:val="24"/>
        </w:rPr>
        <w:t>Distribution Network Service Providers</w:t>
      </w:r>
      <w:r>
        <w:rPr>
          <w:sz w:val="24"/>
        </w:rPr>
        <w:t>.</w:t>
      </w:r>
    </w:p>
    <w:p>
      <w:pPr>
        <w:pStyle w:val="BodyText"/>
        <w:spacing w:before="10"/>
        <w:ind w:firstLine="0"/>
        <w:jc w:val="left"/>
        <w:rPr>
          <w:sz w:val="20"/>
        </w:rPr>
      </w:pPr>
    </w:p>
    <w:p>
      <w:pPr>
        <w:pStyle w:val="Heading4"/>
        <w:numPr>
          <w:ilvl w:val="2"/>
          <w:numId w:val="455"/>
        </w:numPr>
        <w:tabs>
          <w:tab w:pos="1351" w:val="left" w:leader="none"/>
          <w:tab w:pos="1352" w:val="left" w:leader="none"/>
        </w:tabs>
        <w:spacing w:line="240" w:lineRule="auto" w:before="0" w:after="0"/>
        <w:ind w:left="1351" w:right="0" w:hanging="1134"/>
        <w:jc w:val="left"/>
      </w:pPr>
      <w:bookmarkStart w:name="6.20.4 Obligation to pay" w:id="1610"/>
      <w:bookmarkEnd w:id="1610"/>
      <w:r>
        <w:rPr>
          <w:b w:val="0"/>
        </w:rPr>
      </w:r>
      <w:bookmarkStart w:name="_bookmark640" w:id="1611"/>
      <w:bookmarkEnd w:id="1611"/>
      <w:r>
        <w:rPr>
          <w:b w:val="0"/>
        </w:rPr>
      </w:r>
      <w:bookmarkStart w:name="_bookmark640" w:id="1612"/>
      <w:bookmarkEnd w:id="1612"/>
      <w:r>
        <w:rPr/>
        <w:t>Obl</w:t>
      </w:r>
      <w:r>
        <w:rPr/>
        <w:t>igation to</w:t>
      </w:r>
      <w:r>
        <w:rPr>
          <w:spacing w:val="-2"/>
        </w:rPr>
        <w:t> </w:t>
      </w:r>
      <w:r>
        <w:rPr/>
        <w:t>pay</w:t>
      </w:r>
    </w:p>
    <w:p>
      <w:pPr>
        <w:spacing w:before="120"/>
        <w:ind w:left="1352" w:right="415" w:firstLine="0"/>
        <w:jc w:val="both"/>
        <w:rPr>
          <w:sz w:val="24"/>
        </w:rPr>
      </w:pPr>
      <w:r>
        <w:rPr>
          <w:sz w:val="24"/>
        </w:rPr>
        <w:t>A </w:t>
      </w:r>
      <w:r>
        <w:rPr>
          <w:i/>
          <w:sz w:val="24"/>
        </w:rPr>
        <w:t>Distribution Network User </w:t>
      </w:r>
      <w:r>
        <w:rPr>
          <w:sz w:val="24"/>
        </w:rPr>
        <w:t>must pay </w:t>
      </w:r>
      <w:r>
        <w:rPr>
          <w:i/>
          <w:sz w:val="24"/>
        </w:rPr>
        <w:t>distribution service </w:t>
      </w:r>
      <w:r>
        <w:rPr>
          <w:sz w:val="24"/>
        </w:rPr>
        <w:t>charges properly charged to it and billed in accordance with this clause by the due date specified in the bill.</w:t>
      </w:r>
    </w:p>
    <w:p>
      <w:pPr>
        <w:spacing w:after="0"/>
        <w:jc w:val="both"/>
        <w:rPr>
          <w:sz w:val="24"/>
        </w:rPr>
        <w:sectPr>
          <w:pgSz w:w="11910" w:h="16840"/>
          <w:pgMar w:header="686" w:footer="637" w:top="1320" w:bottom="820" w:left="1200" w:right="1000"/>
        </w:sectPr>
      </w:pPr>
    </w:p>
    <w:p>
      <w:pPr>
        <w:pStyle w:val="BodyText"/>
        <w:spacing w:before="2"/>
        <w:ind w:firstLine="0"/>
        <w:jc w:val="left"/>
        <w:rPr>
          <w:sz w:val="7"/>
        </w:rPr>
      </w:pPr>
    </w:p>
    <w:p>
      <w:pPr>
        <w:pStyle w:val="BodyText"/>
        <w:spacing w:before="0"/>
        <w:ind w:left="189" w:firstLine="0"/>
        <w:jc w:val="left"/>
        <w:rPr>
          <w:sz w:val="20"/>
        </w:rPr>
      </w:pPr>
      <w:r>
        <w:rPr>
          <w:sz w:val="20"/>
        </w:rPr>
        <w:pict>
          <v:shape style="width:456.45pt;height:32.2pt;mso-position-horizontal-relative:char;mso-position-vertical-relative:line" type="#_x0000_t202" filled="true" fillcolor="#d9d9d9" stroked="false">
            <w10:anchorlock/>
            <v:textbox inset="0,0,0,0">
              <w:txbxContent>
                <w:p>
                  <w:pPr>
                    <w:tabs>
                      <w:tab w:pos="1163" w:val="left" w:leader="none"/>
                    </w:tabs>
                    <w:spacing w:before="0"/>
                    <w:ind w:left="1163" w:right="1259" w:hanging="1134"/>
                    <w:jc w:val="left"/>
                    <w:rPr>
                      <w:rFonts w:ascii="Arial"/>
                      <w:b/>
                      <w:sz w:val="28"/>
                    </w:rPr>
                  </w:pPr>
                  <w:bookmarkStart w:name="Part K Prudential requirements, capital " w:id="1613"/>
                  <w:bookmarkEnd w:id="1613"/>
                  <w:r>
                    <w:rPr/>
                  </w:r>
                  <w:bookmarkStart w:name="_bookmark641" w:id="1614"/>
                  <w:bookmarkEnd w:id="1614"/>
                  <w:r>
                    <w:rPr/>
                  </w:r>
                  <w:r>
                    <w:rPr>
                      <w:rFonts w:ascii="Arial"/>
                      <w:b/>
                      <w:sz w:val="28"/>
                    </w:rPr>
                    <w:t>Part K</w:t>
                    <w:tab/>
                    <w:t>Prudential requirements, capital contributions</w:t>
                  </w:r>
                  <w:r>
                    <w:rPr>
                      <w:rFonts w:ascii="Arial"/>
                      <w:b/>
                      <w:spacing w:val="-22"/>
                      <w:sz w:val="28"/>
                    </w:rPr>
                    <w:t> </w:t>
                  </w:r>
                  <w:r>
                    <w:rPr>
                      <w:rFonts w:ascii="Arial"/>
                      <w:b/>
                      <w:sz w:val="28"/>
                    </w:rPr>
                    <w:t>and prepayments</w:t>
                  </w:r>
                </w:p>
              </w:txbxContent>
            </v:textbox>
            <v:fill type="solid"/>
          </v:shape>
        </w:pict>
      </w:r>
      <w:r>
        <w:rPr>
          <w:sz w:val="20"/>
        </w:rPr>
      </w:r>
    </w:p>
    <w:p>
      <w:pPr>
        <w:pStyle w:val="BodyText"/>
        <w:spacing w:before="6"/>
        <w:ind w:firstLine="0"/>
        <w:jc w:val="left"/>
        <w:rPr>
          <w:sz w:val="11"/>
        </w:rPr>
      </w:pPr>
    </w:p>
    <w:p>
      <w:pPr>
        <w:pStyle w:val="Heading3"/>
        <w:numPr>
          <w:ilvl w:val="1"/>
          <w:numId w:val="442"/>
        </w:numPr>
        <w:tabs>
          <w:tab w:pos="1351" w:val="left" w:leader="none"/>
          <w:tab w:pos="1353" w:val="left" w:leader="none"/>
        </w:tabs>
        <w:spacing w:line="240" w:lineRule="auto" w:before="92" w:after="0"/>
        <w:ind w:left="1352" w:right="0" w:hanging="1135"/>
        <w:jc w:val="left"/>
      </w:pPr>
      <w:bookmarkStart w:name="6.21 Distribution Network Service Provid" w:id="1615"/>
      <w:bookmarkEnd w:id="1615"/>
      <w:r>
        <w:rPr>
          <w:b w:val="0"/>
        </w:rPr>
      </w:r>
      <w:bookmarkStart w:name="_bookmark642" w:id="1616"/>
      <w:bookmarkEnd w:id="1616"/>
      <w:r>
        <w:rPr>
          <w:b w:val="0"/>
        </w:rPr>
      </w:r>
      <w:bookmarkStart w:name="_bookmark642" w:id="1617"/>
      <w:bookmarkEnd w:id="1617"/>
      <w:r>
        <w:rPr/>
        <w:t>Distribu</w:t>
      </w:r>
      <w:r>
        <w:rPr/>
        <w:t>tion Network Service Provider Prudential</w:t>
      </w:r>
      <w:r>
        <w:rPr>
          <w:spacing w:val="-13"/>
        </w:rPr>
        <w:t> </w:t>
      </w:r>
      <w:r>
        <w:rPr/>
        <w:t>Requirements</w:t>
      </w:r>
    </w:p>
    <w:p>
      <w:pPr>
        <w:spacing w:before="120"/>
        <w:ind w:left="1352" w:right="414" w:firstLine="0"/>
        <w:jc w:val="both"/>
        <w:rPr>
          <w:sz w:val="24"/>
        </w:rPr>
      </w:pPr>
      <w:r>
        <w:rPr>
          <w:sz w:val="24"/>
        </w:rPr>
        <w:t>This clause sets out the arrangements by which </w:t>
      </w:r>
      <w:r>
        <w:rPr>
          <w:i/>
          <w:sz w:val="24"/>
        </w:rPr>
        <w:t>Distribution Network Service </w:t>
      </w:r>
      <w:r>
        <w:rPr>
          <w:i/>
          <w:sz w:val="24"/>
        </w:rPr>
        <w:t>Providers </w:t>
      </w:r>
      <w:r>
        <w:rPr>
          <w:sz w:val="24"/>
        </w:rPr>
        <w:t>may minimise financial risks associated with investment in</w:t>
      </w:r>
      <w:r>
        <w:rPr>
          <w:i/>
          <w:sz w:val="24"/>
        </w:rPr>
        <w:t>network </w:t>
      </w:r>
      <w:r>
        <w:rPr>
          <w:sz w:val="24"/>
        </w:rPr>
        <w:t>assets and provides for adoption of cost-reflective payment options in conjunction with the use of average distribution prices. The clause also prevents </w:t>
      </w:r>
      <w:r>
        <w:rPr>
          <w:i/>
          <w:sz w:val="24"/>
        </w:rPr>
        <w:t>Distribution </w:t>
      </w:r>
      <w:r>
        <w:rPr>
          <w:i/>
          <w:sz w:val="24"/>
        </w:rPr>
        <w:t>Network Service Providers </w:t>
      </w:r>
      <w:r>
        <w:rPr>
          <w:sz w:val="24"/>
        </w:rPr>
        <w:t>from receiving income twice for the same assets through prudential requirements and </w:t>
      </w:r>
      <w:r>
        <w:rPr>
          <w:i/>
          <w:sz w:val="24"/>
        </w:rPr>
        <w:t>distribution service </w:t>
      </w:r>
      <w:r>
        <w:rPr>
          <w:sz w:val="24"/>
        </w:rPr>
        <w:t>prices.</w:t>
      </w:r>
    </w:p>
    <w:p>
      <w:pPr>
        <w:pStyle w:val="BodyText"/>
        <w:spacing w:before="10"/>
        <w:ind w:firstLine="0"/>
        <w:jc w:val="left"/>
        <w:rPr>
          <w:sz w:val="20"/>
        </w:rPr>
      </w:pPr>
    </w:p>
    <w:p>
      <w:pPr>
        <w:pStyle w:val="Heading4"/>
        <w:numPr>
          <w:ilvl w:val="2"/>
          <w:numId w:val="456"/>
        </w:numPr>
        <w:tabs>
          <w:tab w:pos="1351" w:val="left" w:leader="none"/>
          <w:tab w:pos="1352" w:val="left" w:leader="none"/>
        </w:tabs>
        <w:spacing w:line="240" w:lineRule="auto" w:before="0" w:after="0"/>
        <w:ind w:left="1351" w:right="0" w:hanging="1134"/>
        <w:jc w:val="left"/>
      </w:pPr>
      <w:bookmarkStart w:name="6.21.1 Prudential requirements for distr" w:id="1618"/>
      <w:bookmarkEnd w:id="1618"/>
      <w:r>
        <w:rPr>
          <w:b w:val="0"/>
        </w:rPr>
      </w:r>
      <w:bookmarkStart w:name="_bookmark643" w:id="1619"/>
      <w:bookmarkEnd w:id="1619"/>
      <w:r>
        <w:rPr>
          <w:b w:val="0"/>
        </w:rPr>
      </w:r>
      <w:bookmarkStart w:name="_bookmark643" w:id="1620"/>
      <w:bookmarkEnd w:id="1620"/>
      <w:r>
        <w:rPr/>
        <w:t>Prudential</w:t>
      </w:r>
      <w:r>
        <w:rPr/>
        <w:t> requirements for distribution network</w:t>
      </w:r>
      <w:r>
        <w:rPr>
          <w:spacing w:val="-5"/>
        </w:rPr>
        <w:t> </w:t>
      </w:r>
      <w:r>
        <w:rPr/>
        <w:t>service</w:t>
      </w:r>
    </w:p>
    <w:p>
      <w:pPr>
        <w:pStyle w:val="ListParagraph"/>
        <w:numPr>
          <w:ilvl w:val="3"/>
          <w:numId w:val="456"/>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require an </w:t>
      </w:r>
      <w:r>
        <w:rPr>
          <w:i/>
          <w:sz w:val="24"/>
        </w:rPr>
        <w:t>Embedded </w:t>
      </w:r>
      <w:r>
        <w:rPr>
          <w:i/>
          <w:sz w:val="24"/>
        </w:rPr>
        <w:t>Generator </w:t>
      </w:r>
      <w:r>
        <w:rPr>
          <w:sz w:val="24"/>
        </w:rPr>
        <w:t>or </w:t>
      </w:r>
      <w:r>
        <w:rPr>
          <w:i/>
          <w:sz w:val="24"/>
        </w:rPr>
        <w:t>Distribution Customer </w:t>
      </w:r>
      <w:r>
        <w:rPr>
          <w:sz w:val="24"/>
        </w:rPr>
        <w:t>that requires a new </w:t>
      </w:r>
      <w:r>
        <w:rPr>
          <w:i/>
          <w:sz w:val="24"/>
        </w:rPr>
        <w:t>connection </w:t>
      </w:r>
      <w:r>
        <w:rPr>
          <w:sz w:val="24"/>
        </w:rPr>
        <w:t>or a modification in service for an existing </w:t>
      </w:r>
      <w:r>
        <w:rPr>
          <w:i/>
          <w:sz w:val="24"/>
        </w:rPr>
        <w:t>connection </w:t>
      </w:r>
      <w:r>
        <w:rPr>
          <w:sz w:val="24"/>
        </w:rPr>
        <w:t>to establish prudential requirements for </w:t>
      </w:r>
      <w:r>
        <w:rPr>
          <w:i/>
          <w:sz w:val="24"/>
        </w:rPr>
        <w:t>connection service </w:t>
      </w:r>
      <w:r>
        <w:rPr>
          <w:sz w:val="24"/>
        </w:rPr>
        <w:t>and/or </w:t>
      </w:r>
      <w:r>
        <w:rPr>
          <w:i/>
          <w:sz w:val="24"/>
        </w:rPr>
        <w:t>distribution use of system </w:t>
      </w:r>
      <w:r>
        <w:rPr>
          <w:i/>
          <w:sz w:val="24"/>
        </w:rPr>
        <w:t>service</w:t>
      </w:r>
      <w:r>
        <w:rPr>
          <w:sz w:val="24"/>
        </w:rPr>
        <w:t>.</w:t>
      </w:r>
    </w:p>
    <w:p>
      <w:pPr>
        <w:pStyle w:val="ListParagraph"/>
        <w:numPr>
          <w:ilvl w:val="3"/>
          <w:numId w:val="456"/>
        </w:numPr>
        <w:tabs>
          <w:tab w:pos="1919" w:val="left" w:leader="none"/>
        </w:tabs>
        <w:spacing w:line="240" w:lineRule="auto" w:before="120" w:after="0"/>
        <w:ind w:left="1919" w:right="414" w:hanging="567"/>
        <w:jc w:val="both"/>
        <w:rPr>
          <w:sz w:val="24"/>
        </w:rPr>
      </w:pPr>
      <w:r>
        <w:rPr>
          <w:sz w:val="24"/>
        </w:rPr>
        <w:t>Prudential requirements for </w:t>
      </w:r>
      <w:r>
        <w:rPr>
          <w:i/>
          <w:sz w:val="24"/>
        </w:rPr>
        <w:t>connection service </w:t>
      </w:r>
      <w:r>
        <w:rPr>
          <w:sz w:val="24"/>
        </w:rPr>
        <w:t>and/or </w:t>
      </w:r>
      <w:r>
        <w:rPr>
          <w:i/>
          <w:sz w:val="24"/>
        </w:rPr>
        <w:t>distribution use of </w:t>
      </w:r>
      <w:r>
        <w:rPr>
          <w:i/>
          <w:sz w:val="24"/>
        </w:rPr>
        <w:t>system service </w:t>
      </w:r>
      <w:r>
        <w:rPr>
          <w:sz w:val="24"/>
        </w:rPr>
        <w:t>are a matter for negotiation between the </w:t>
      </w:r>
      <w:r>
        <w:rPr>
          <w:i/>
          <w:sz w:val="24"/>
        </w:rPr>
        <w:t>Distribution  </w:t>
      </w:r>
      <w:r>
        <w:rPr>
          <w:i/>
          <w:sz w:val="24"/>
        </w:rPr>
        <w:t>Network Service Provider </w:t>
      </w:r>
      <w:r>
        <w:rPr>
          <w:sz w:val="24"/>
        </w:rPr>
        <w:t>and the </w:t>
      </w:r>
      <w:r>
        <w:rPr>
          <w:i/>
          <w:sz w:val="24"/>
        </w:rPr>
        <w:t>Embedded Generator </w:t>
      </w:r>
      <w:r>
        <w:rPr>
          <w:sz w:val="24"/>
        </w:rPr>
        <w:t>or </w:t>
      </w:r>
      <w:r>
        <w:rPr>
          <w:i/>
          <w:sz w:val="24"/>
        </w:rPr>
        <w:t>Distribution </w:t>
      </w:r>
      <w:r>
        <w:rPr>
          <w:i/>
          <w:sz w:val="24"/>
        </w:rPr>
        <w:t>Customer </w:t>
      </w:r>
      <w:r>
        <w:rPr>
          <w:sz w:val="24"/>
        </w:rPr>
        <w:t>and the terms agreed must be set out in the </w:t>
      </w:r>
      <w:r>
        <w:rPr>
          <w:i/>
          <w:sz w:val="24"/>
        </w:rPr>
        <w:t>connection agreement </w:t>
      </w:r>
      <w:r>
        <w:rPr>
          <w:sz w:val="24"/>
        </w:rPr>
        <w:t>between the </w:t>
      </w:r>
      <w:r>
        <w:rPr>
          <w:i/>
          <w:sz w:val="24"/>
        </w:rPr>
        <w:t>Distribution Network Service Provider </w:t>
      </w:r>
      <w:r>
        <w:rPr>
          <w:sz w:val="24"/>
        </w:rPr>
        <w:t>and the </w:t>
      </w:r>
      <w:r>
        <w:rPr>
          <w:i/>
          <w:sz w:val="24"/>
        </w:rPr>
        <w:t>Embedded </w:t>
      </w:r>
      <w:r>
        <w:rPr>
          <w:i/>
          <w:sz w:val="24"/>
        </w:rPr>
        <w:t>Generator </w:t>
      </w:r>
      <w:r>
        <w:rPr>
          <w:sz w:val="24"/>
        </w:rPr>
        <w:t>or </w:t>
      </w:r>
      <w:r>
        <w:rPr>
          <w:i/>
          <w:sz w:val="24"/>
        </w:rPr>
        <w:t>Distribution</w:t>
      </w:r>
      <w:r>
        <w:rPr>
          <w:i/>
          <w:spacing w:val="-3"/>
          <w:sz w:val="24"/>
        </w:rPr>
        <w:t> </w:t>
      </w:r>
      <w:r>
        <w:rPr>
          <w:i/>
          <w:sz w:val="24"/>
        </w:rPr>
        <w:t>Customer</w:t>
      </w:r>
      <w:r>
        <w:rPr>
          <w:sz w:val="24"/>
        </w:rPr>
        <w:t>.</w:t>
      </w:r>
    </w:p>
    <w:p>
      <w:pPr>
        <w:pStyle w:val="ListParagraph"/>
        <w:numPr>
          <w:ilvl w:val="3"/>
          <w:numId w:val="456"/>
        </w:numPr>
        <w:tabs>
          <w:tab w:pos="1919" w:val="left" w:leader="none"/>
        </w:tabs>
        <w:spacing w:line="240" w:lineRule="auto" w:before="120" w:after="0"/>
        <w:ind w:left="1919" w:right="415" w:hanging="567"/>
        <w:jc w:val="both"/>
        <w:rPr>
          <w:sz w:val="24"/>
        </w:rPr>
      </w:pPr>
      <w:r>
        <w:rPr>
          <w:sz w:val="24"/>
        </w:rPr>
        <w:t>The </w:t>
      </w:r>
      <w:r>
        <w:rPr>
          <w:i/>
          <w:sz w:val="24"/>
        </w:rPr>
        <w:t>connection agreement </w:t>
      </w:r>
      <w:r>
        <w:rPr>
          <w:sz w:val="24"/>
        </w:rPr>
        <w:t>may include one or more of the following provisions:</w:t>
      </w:r>
    </w:p>
    <w:p>
      <w:pPr>
        <w:pStyle w:val="ListParagraph"/>
        <w:numPr>
          <w:ilvl w:val="4"/>
          <w:numId w:val="456"/>
        </w:numPr>
        <w:tabs>
          <w:tab w:pos="2486" w:val="left" w:leader="none"/>
        </w:tabs>
        <w:spacing w:line="240" w:lineRule="auto" w:before="120" w:after="0"/>
        <w:ind w:left="2486" w:right="416" w:hanging="567"/>
        <w:jc w:val="both"/>
        <w:rPr>
          <w:sz w:val="24"/>
        </w:rPr>
      </w:pPr>
      <w:r>
        <w:rPr>
          <w:sz w:val="24"/>
        </w:rPr>
        <w:t>the conditions under which and the time frame within which other </w:t>
      </w:r>
      <w:r>
        <w:rPr>
          <w:i/>
          <w:sz w:val="24"/>
        </w:rPr>
        <w:t>Distribution Network Users </w:t>
      </w:r>
      <w:r>
        <w:rPr>
          <w:sz w:val="24"/>
        </w:rPr>
        <w:t>who use that part of the </w:t>
      </w:r>
      <w:r>
        <w:rPr>
          <w:i/>
          <w:sz w:val="24"/>
        </w:rPr>
        <w:t>distribution </w:t>
      </w:r>
      <w:r>
        <w:rPr>
          <w:i/>
          <w:sz w:val="24"/>
        </w:rPr>
        <w:t>network </w:t>
      </w:r>
      <w:r>
        <w:rPr>
          <w:sz w:val="24"/>
        </w:rPr>
        <w:t>contribute to refunding all or part of the</w:t>
      </w:r>
      <w:r>
        <w:rPr>
          <w:spacing w:val="-2"/>
          <w:sz w:val="24"/>
        </w:rPr>
        <w:t> </w:t>
      </w:r>
      <w:r>
        <w:rPr>
          <w:sz w:val="24"/>
        </w:rPr>
        <w:t>payments;</w:t>
      </w:r>
    </w:p>
    <w:p>
      <w:pPr>
        <w:pStyle w:val="ListParagraph"/>
        <w:numPr>
          <w:ilvl w:val="4"/>
          <w:numId w:val="456"/>
        </w:numPr>
        <w:tabs>
          <w:tab w:pos="2486" w:val="left" w:leader="none"/>
        </w:tabs>
        <w:spacing w:line="240" w:lineRule="auto" w:before="120" w:after="0"/>
        <w:ind w:left="2486" w:right="415" w:hanging="567"/>
        <w:jc w:val="both"/>
        <w:rPr>
          <w:sz w:val="24"/>
        </w:rPr>
      </w:pPr>
      <w:r>
        <w:rPr>
          <w:sz w:val="24"/>
        </w:rPr>
        <w:t>the conditions under which financial arrangements may be terminated; and</w:t>
      </w:r>
    </w:p>
    <w:p>
      <w:pPr>
        <w:pStyle w:val="ListParagraph"/>
        <w:numPr>
          <w:ilvl w:val="4"/>
          <w:numId w:val="456"/>
        </w:numPr>
        <w:tabs>
          <w:tab w:pos="2486" w:val="left" w:leader="none"/>
        </w:tabs>
        <w:spacing w:line="240" w:lineRule="auto" w:before="120" w:after="0"/>
        <w:ind w:left="2486" w:right="414" w:hanging="567"/>
        <w:jc w:val="both"/>
        <w:rPr>
          <w:sz w:val="24"/>
        </w:rPr>
      </w:pPr>
      <w:r>
        <w:rPr>
          <w:sz w:val="24"/>
        </w:rPr>
        <w:t>the conditions applying in the event of default by the </w:t>
      </w:r>
      <w:r>
        <w:rPr>
          <w:i/>
          <w:sz w:val="24"/>
        </w:rPr>
        <w:t>Distribution </w:t>
      </w:r>
      <w:r>
        <w:rPr>
          <w:i/>
          <w:sz w:val="24"/>
        </w:rPr>
        <w:t>Customer </w:t>
      </w:r>
      <w:r>
        <w:rPr>
          <w:sz w:val="24"/>
        </w:rPr>
        <w:t>or </w:t>
      </w:r>
      <w:r>
        <w:rPr>
          <w:i/>
          <w:sz w:val="24"/>
        </w:rPr>
        <w:t>Embedded</w:t>
      </w:r>
      <w:r>
        <w:rPr>
          <w:i/>
          <w:spacing w:val="-1"/>
          <w:sz w:val="24"/>
        </w:rPr>
        <w:t> </w:t>
      </w:r>
      <w:r>
        <w:rPr>
          <w:i/>
          <w:sz w:val="24"/>
        </w:rPr>
        <w:t>Generator</w:t>
      </w:r>
      <w:r>
        <w:rPr>
          <w:sz w:val="24"/>
        </w:rPr>
        <w:t>.</w:t>
      </w:r>
    </w:p>
    <w:p>
      <w:pPr>
        <w:pStyle w:val="ListParagraph"/>
        <w:numPr>
          <w:ilvl w:val="3"/>
          <w:numId w:val="456"/>
        </w:numPr>
        <w:tabs>
          <w:tab w:pos="1919" w:val="left" w:leader="none"/>
        </w:tabs>
        <w:spacing w:line="240" w:lineRule="auto" w:before="120" w:after="0"/>
        <w:ind w:left="1919" w:right="415" w:hanging="567"/>
        <w:jc w:val="both"/>
        <w:rPr>
          <w:sz w:val="24"/>
        </w:rPr>
      </w:pPr>
      <w:r>
        <w:rPr>
          <w:sz w:val="24"/>
        </w:rPr>
        <w:t>The prudential requirements may incorporate, but are not limited to, one or more of the following</w:t>
      </w:r>
      <w:r>
        <w:rPr>
          <w:spacing w:val="-1"/>
          <w:sz w:val="24"/>
        </w:rPr>
        <w:t> </w:t>
      </w:r>
      <w:r>
        <w:rPr>
          <w:sz w:val="24"/>
        </w:rPr>
        <w:t>arrangements:</w:t>
      </w:r>
    </w:p>
    <w:p>
      <w:pPr>
        <w:pStyle w:val="ListParagraph"/>
        <w:numPr>
          <w:ilvl w:val="4"/>
          <w:numId w:val="456"/>
        </w:numPr>
        <w:tabs>
          <w:tab w:pos="2485" w:val="left" w:leader="none"/>
          <w:tab w:pos="2486" w:val="left" w:leader="none"/>
        </w:tabs>
        <w:spacing w:line="240" w:lineRule="auto" w:before="120" w:after="0"/>
        <w:ind w:left="2485" w:right="0" w:hanging="567"/>
        <w:jc w:val="left"/>
        <w:rPr>
          <w:sz w:val="24"/>
        </w:rPr>
      </w:pPr>
      <w:r>
        <w:rPr>
          <w:sz w:val="24"/>
        </w:rPr>
        <w:t>financial capital</w:t>
      </w:r>
      <w:r>
        <w:rPr>
          <w:spacing w:val="-1"/>
          <w:sz w:val="24"/>
        </w:rPr>
        <w:t> </w:t>
      </w:r>
      <w:r>
        <w:rPr>
          <w:sz w:val="24"/>
        </w:rPr>
        <w:t>contributions;</w:t>
      </w:r>
    </w:p>
    <w:p>
      <w:pPr>
        <w:pStyle w:val="ListParagraph"/>
        <w:numPr>
          <w:ilvl w:val="4"/>
          <w:numId w:val="456"/>
        </w:numPr>
        <w:tabs>
          <w:tab w:pos="2485" w:val="left" w:leader="none"/>
          <w:tab w:pos="2486" w:val="left" w:leader="none"/>
        </w:tabs>
        <w:spacing w:line="240" w:lineRule="auto" w:before="120" w:after="0"/>
        <w:ind w:left="2485" w:right="0" w:hanging="567"/>
        <w:jc w:val="left"/>
        <w:rPr>
          <w:sz w:val="24"/>
        </w:rPr>
      </w:pPr>
      <w:r>
        <w:rPr>
          <w:sz w:val="24"/>
        </w:rPr>
        <w:t>non-cash</w:t>
      </w:r>
      <w:r>
        <w:rPr>
          <w:spacing w:val="-1"/>
          <w:sz w:val="24"/>
        </w:rPr>
        <w:t> </w:t>
      </w:r>
      <w:r>
        <w:rPr>
          <w:sz w:val="24"/>
        </w:rPr>
        <w:t>contributions;</w:t>
      </w:r>
    </w:p>
    <w:p>
      <w:pPr>
        <w:pStyle w:val="ListParagraph"/>
        <w:numPr>
          <w:ilvl w:val="4"/>
          <w:numId w:val="456"/>
        </w:numPr>
        <w:tabs>
          <w:tab w:pos="2485" w:val="left" w:leader="none"/>
          <w:tab w:pos="2486" w:val="left" w:leader="none"/>
        </w:tabs>
        <w:spacing w:line="240" w:lineRule="auto" w:before="120" w:after="0"/>
        <w:ind w:left="2485" w:right="0" w:hanging="567"/>
        <w:jc w:val="left"/>
        <w:rPr>
          <w:sz w:val="24"/>
        </w:rPr>
      </w:pPr>
      <w:r>
        <w:rPr>
          <w:i/>
          <w:sz w:val="24"/>
        </w:rPr>
        <w:t>distribution service </w:t>
      </w:r>
      <w:r>
        <w:rPr>
          <w:sz w:val="24"/>
        </w:rPr>
        <w:t>charge</w:t>
      </w:r>
      <w:r>
        <w:rPr>
          <w:spacing w:val="-2"/>
          <w:sz w:val="24"/>
        </w:rPr>
        <w:t> </w:t>
      </w:r>
      <w:r>
        <w:rPr>
          <w:sz w:val="24"/>
        </w:rPr>
        <w:t>prepayments;</w:t>
      </w:r>
    </w:p>
    <w:p>
      <w:pPr>
        <w:pStyle w:val="ListParagraph"/>
        <w:numPr>
          <w:ilvl w:val="4"/>
          <w:numId w:val="456"/>
        </w:numPr>
        <w:tabs>
          <w:tab w:pos="2485" w:val="left" w:leader="none"/>
          <w:tab w:pos="2486" w:val="left" w:leader="none"/>
        </w:tabs>
        <w:spacing w:line="240" w:lineRule="auto" w:before="120" w:after="0"/>
        <w:ind w:left="2486" w:right="415" w:hanging="567"/>
        <w:jc w:val="left"/>
        <w:rPr>
          <w:sz w:val="24"/>
        </w:rPr>
      </w:pPr>
      <w:r>
        <w:rPr>
          <w:sz w:val="24"/>
        </w:rPr>
        <w:t>guaranteed minimum </w:t>
      </w:r>
      <w:r>
        <w:rPr>
          <w:i/>
          <w:sz w:val="24"/>
        </w:rPr>
        <w:t>distribution service </w:t>
      </w:r>
      <w:r>
        <w:rPr>
          <w:sz w:val="24"/>
        </w:rPr>
        <w:t>charges for an agreed period;</w:t>
      </w:r>
    </w:p>
    <w:p>
      <w:pPr>
        <w:pStyle w:val="ListParagraph"/>
        <w:numPr>
          <w:ilvl w:val="4"/>
          <w:numId w:val="456"/>
        </w:numPr>
        <w:tabs>
          <w:tab w:pos="2485" w:val="left" w:leader="none"/>
          <w:tab w:pos="2486" w:val="left" w:leader="none"/>
        </w:tabs>
        <w:spacing w:line="240" w:lineRule="auto" w:before="120" w:after="0"/>
        <w:ind w:left="2486" w:right="416" w:hanging="567"/>
        <w:jc w:val="left"/>
        <w:rPr>
          <w:sz w:val="24"/>
        </w:rPr>
      </w:pPr>
      <w:r>
        <w:rPr>
          <w:sz w:val="24"/>
        </w:rPr>
        <w:t>guaranteed minimum </w:t>
      </w:r>
      <w:r>
        <w:rPr>
          <w:i/>
          <w:sz w:val="24"/>
        </w:rPr>
        <w:t>distribution service </w:t>
      </w:r>
      <w:r>
        <w:rPr>
          <w:sz w:val="24"/>
        </w:rPr>
        <w:t>quantities for an agreed period;</w:t>
      </w:r>
    </w:p>
    <w:p>
      <w:pPr>
        <w:pStyle w:val="ListParagraph"/>
        <w:numPr>
          <w:ilvl w:val="4"/>
          <w:numId w:val="456"/>
        </w:numPr>
        <w:tabs>
          <w:tab w:pos="2485" w:val="left" w:leader="none"/>
          <w:tab w:pos="2486" w:val="left" w:leader="none"/>
        </w:tabs>
        <w:spacing w:line="240" w:lineRule="auto" w:before="120" w:after="0"/>
        <w:ind w:left="2485" w:right="0" w:hanging="567"/>
        <w:jc w:val="left"/>
        <w:rPr>
          <w:sz w:val="24"/>
        </w:rPr>
      </w:pPr>
      <w:r>
        <w:rPr>
          <w:sz w:val="24"/>
        </w:rPr>
        <w:t>provision for financial guarantees for </w:t>
      </w:r>
      <w:r>
        <w:rPr>
          <w:i/>
          <w:sz w:val="24"/>
        </w:rPr>
        <w:t>distribution service</w:t>
      </w:r>
      <w:r>
        <w:rPr>
          <w:i/>
          <w:spacing w:val="-6"/>
          <w:sz w:val="24"/>
        </w:rPr>
        <w:t> </w:t>
      </w:r>
      <w:r>
        <w:rPr>
          <w:sz w:val="24"/>
        </w:rPr>
        <w:t>charges.</w:t>
      </w:r>
    </w:p>
    <w:p>
      <w:pPr>
        <w:spacing w:after="0" w:line="240" w:lineRule="auto"/>
        <w:jc w:val="left"/>
        <w:rPr>
          <w:sz w:val="24"/>
        </w:rPr>
        <w:sectPr>
          <w:pgSz w:w="11910" w:h="16840"/>
          <w:pgMar w:header="686" w:footer="637" w:top="1320" w:bottom="820" w:left="1200" w:right="1000"/>
        </w:sectPr>
      </w:pPr>
    </w:p>
    <w:p>
      <w:pPr>
        <w:pStyle w:val="Heading4"/>
        <w:numPr>
          <w:ilvl w:val="2"/>
          <w:numId w:val="456"/>
        </w:numPr>
        <w:tabs>
          <w:tab w:pos="1351" w:val="left" w:leader="none"/>
          <w:tab w:pos="1352" w:val="left" w:leader="none"/>
        </w:tabs>
        <w:spacing w:line="240" w:lineRule="auto" w:before="83" w:after="0"/>
        <w:ind w:left="1351" w:right="0" w:hanging="1134"/>
        <w:jc w:val="left"/>
      </w:pPr>
      <w:bookmarkStart w:name="6.21.2 Capital contributions, prepayment" w:id="1621"/>
      <w:bookmarkEnd w:id="1621"/>
      <w:r>
        <w:rPr>
          <w:b w:val="0"/>
        </w:rPr>
      </w:r>
      <w:bookmarkStart w:name="_bookmark644" w:id="1622"/>
      <w:bookmarkEnd w:id="1622"/>
      <w:r>
        <w:rPr>
          <w:b w:val="0"/>
        </w:rPr>
      </w:r>
      <w:bookmarkStart w:name="_bookmark644" w:id="1623"/>
      <w:bookmarkEnd w:id="1623"/>
      <w:r>
        <w:rPr/>
        <w:t>Capita</w:t>
      </w:r>
      <w:r>
        <w:rPr/>
        <w:t>l contributions, prepayments and financial</w:t>
      </w:r>
      <w:r>
        <w:rPr>
          <w:spacing w:val="-7"/>
        </w:rPr>
        <w:t> </w:t>
      </w:r>
      <w:r>
        <w:rPr/>
        <w:t>guarantees</w:t>
      </w:r>
    </w:p>
    <w:p>
      <w:pPr>
        <w:pStyle w:val="BodyText"/>
        <w:ind w:left="1352" w:right="415" w:firstLine="0"/>
      </w:pPr>
      <w:r>
        <w:rPr/>
        <w:t>Despite any other provision in this Chapter, in relation to capital contributions, prepayments and financial guarantees:</w:t>
      </w:r>
    </w:p>
    <w:p>
      <w:pPr>
        <w:pStyle w:val="ListParagraph"/>
        <w:numPr>
          <w:ilvl w:val="0"/>
          <w:numId w:val="457"/>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 </w:t>
      </w:r>
      <w:r>
        <w:rPr>
          <w:sz w:val="24"/>
        </w:rPr>
        <w:t>is not entitled to recover, under a mechanism for the economic regulation of </w:t>
      </w:r>
      <w:r>
        <w:rPr>
          <w:i/>
          <w:sz w:val="24"/>
        </w:rPr>
        <w:t>direct control services</w:t>
      </w:r>
      <w:r>
        <w:rPr>
          <w:sz w:val="24"/>
        </w:rPr>
        <w:t>, any component representing asset related costs for assets provided </w:t>
      </w:r>
      <w:r>
        <w:rPr>
          <w:spacing w:val="-7"/>
          <w:sz w:val="24"/>
        </w:rPr>
        <w:t>by </w:t>
      </w:r>
      <w:r>
        <w:rPr>
          <w:i/>
          <w:sz w:val="24"/>
        </w:rPr>
        <w:t>Distribution Network Users</w:t>
      </w:r>
      <w:r>
        <w:rPr>
          <w:sz w:val="24"/>
        </w:rPr>
        <w:t>;</w:t>
      </w:r>
      <w:r>
        <w:rPr>
          <w:spacing w:val="-2"/>
          <w:sz w:val="24"/>
        </w:rPr>
        <w:t> </w:t>
      </w:r>
      <w:r>
        <w:rPr>
          <w:sz w:val="24"/>
        </w:rPr>
        <w:t>and</w:t>
      </w:r>
    </w:p>
    <w:p>
      <w:pPr>
        <w:pStyle w:val="ListParagraph"/>
        <w:numPr>
          <w:ilvl w:val="0"/>
          <w:numId w:val="457"/>
        </w:numPr>
        <w:tabs>
          <w:tab w:pos="1919" w:val="left" w:leader="none"/>
        </w:tabs>
        <w:spacing w:line="240" w:lineRule="auto" w:before="120" w:after="0"/>
        <w:ind w:left="1919" w:right="414" w:hanging="567"/>
        <w:jc w:val="both"/>
        <w:rPr>
          <w:sz w:val="24"/>
        </w:rPr>
      </w:pPr>
      <w:r>
        <w:rPr>
          <w:sz w:val="24"/>
        </w:rPr>
        <w:t>the </w:t>
      </w:r>
      <w:r>
        <w:rPr>
          <w:i/>
          <w:sz w:val="24"/>
        </w:rPr>
        <w:t>Distribution Network Service Provider </w:t>
      </w:r>
      <w:r>
        <w:rPr>
          <w:sz w:val="24"/>
        </w:rPr>
        <w:t>may receive a capital contribution, prepayment and/or financial guarantee up to the</w:t>
      </w:r>
      <w:r>
        <w:rPr>
          <w:spacing w:val="42"/>
          <w:sz w:val="24"/>
        </w:rPr>
        <w:t> </w:t>
      </w:r>
      <w:r>
        <w:rPr>
          <w:sz w:val="24"/>
        </w:rPr>
        <w:t>provider's future revenue related to the provision of </w:t>
      </w:r>
      <w:r>
        <w:rPr>
          <w:i/>
          <w:sz w:val="24"/>
        </w:rPr>
        <w:t>direct control services </w:t>
      </w:r>
      <w:r>
        <w:rPr>
          <w:sz w:val="24"/>
        </w:rPr>
        <w:t>for any new assets installed as part of a new </w:t>
      </w:r>
      <w:r>
        <w:rPr>
          <w:i/>
          <w:sz w:val="24"/>
        </w:rPr>
        <w:t>connection </w:t>
      </w:r>
      <w:r>
        <w:rPr>
          <w:sz w:val="24"/>
        </w:rPr>
        <w:t>or modification to an existing </w:t>
      </w:r>
      <w:r>
        <w:rPr>
          <w:i/>
          <w:sz w:val="24"/>
        </w:rPr>
        <w:t>connection</w:t>
      </w:r>
      <w:r>
        <w:rPr>
          <w:sz w:val="24"/>
        </w:rPr>
        <w:t>, including any </w:t>
      </w:r>
      <w:r>
        <w:rPr>
          <w:i/>
          <w:sz w:val="24"/>
        </w:rPr>
        <w:t>augmentation </w:t>
      </w:r>
      <w:r>
        <w:rPr>
          <w:sz w:val="24"/>
        </w:rPr>
        <w:t>to the </w:t>
      </w:r>
      <w:r>
        <w:rPr>
          <w:i/>
          <w:sz w:val="24"/>
        </w:rPr>
        <w:t>distribution network</w:t>
      </w:r>
      <w:r>
        <w:rPr>
          <w:sz w:val="24"/>
        </w:rPr>
        <w:t>;</w:t>
      </w:r>
      <w:r>
        <w:rPr>
          <w:spacing w:val="-4"/>
          <w:sz w:val="24"/>
        </w:rPr>
        <w:t> </w:t>
      </w:r>
      <w:r>
        <w:rPr>
          <w:sz w:val="24"/>
        </w:rPr>
        <w:t>and</w:t>
      </w:r>
    </w:p>
    <w:p>
      <w:pPr>
        <w:pStyle w:val="ListParagraph"/>
        <w:numPr>
          <w:ilvl w:val="0"/>
          <w:numId w:val="457"/>
        </w:numPr>
        <w:tabs>
          <w:tab w:pos="1919" w:val="left" w:leader="none"/>
        </w:tabs>
        <w:spacing w:line="240" w:lineRule="auto" w:before="120" w:after="0"/>
        <w:ind w:left="1919" w:right="416" w:hanging="567"/>
        <w:jc w:val="both"/>
        <w:rPr>
          <w:sz w:val="24"/>
        </w:rPr>
      </w:pPr>
      <w:r>
        <w:rPr>
          <w:sz w:val="24"/>
        </w:rPr>
        <w:t>where assets have been the subject of a contribution or prepayment, the </w:t>
      </w:r>
      <w:r>
        <w:rPr>
          <w:i/>
          <w:sz w:val="24"/>
        </w:rPr>
        <w:t>Distribution Network Service Provider </w:t>
      </w:r>
      <w:r>
        <w:rPr>
          <w:sz w:val="24"/>
        </w:rPr>
        <w:t>must amend the provider's revenue related to the provision of </w:t>
      </w:r>
      <w:r>
        <w:rPr>
          <w:i/>
          <w:sz w:val="24"/>
        </w:rPr>
        <w:t>direct control</w:t>
      </w:r>
      <w:r>
        <w:rPr>
          <w:i/>
          <w:spacing w:val="-2"/>
          <w:sz w:val="24"/>
        </w:rPr>
        <w:t> </w:t>
      </w:r>
      <w:r>
        <w:rPr>
          <w:i/>
          <w:sz w:val="24"/>
        </w:rPr>
        <w:t>services</w:t>
      </w:r>
      <w:r>
        <w:rPr>
          <w:sz w:val="24"/>
        </w:rPr>
        <w:t>.</w:t>
      </w:r>
    </w:p>
    <w:p>
      <w:pPr>
        <w:pStyle w:val="BodyText"/>
        <w:spacing w:before="10"/>
        <w:ind w:firstLine="0"/>
        <w:jc w:val="left"/>
        <w:rPr>
          <w:sz w:val="20"/>
        </w:rPr>
      </w:pPr>
    </w:p>
    <w:p>
      <w:pPr>
        <w:pStyle w:val="Heading4"/>
        <w:numPr>
          <w:ilvl w:val="2"/>
          <w:numId w:val="456"/>
        </w:numPr>
        <w:tabs>
          <w:tab w:pos="1351" w:val="left" w:leader="none"/>
          <w:tab w:pos="1352" w:val="left" w:leader="none"/>
        </w:tabs>
        <w:spacing w:line="240" w:lineRule="auto" w:before="0" w:after="0"/>
        <w:ind w:left="1351" w:right="0" w:hanging="1134"/>
        <w:jc w:val="left"/>
      </w:pPr>
      <w:bookmarkStart w:name="6.21.3 Treatment of past prepayments and" w:id="1624"/>
      <w:bookmarkEnd w:id="1624"/>
      <w:r>
        <w:rPr>
          <w:b w:val="0"/>
        </w:rPr>
      </w:r>
      <w:bookmarkStart w:name="_bookmark645" w:id="1625"/>
      <w:bookmarkEnd w:id="1625"/>
      <w:r>
        <w:rPr>
          <w:b w:val="0"/>
        </w:rPr>
      </w:r>
      <w:bookmarkStart w:name="_bookmark645" w:id="1626"/>
      <w:bookmarkEnd w:id="1626"/>
      <w:r>
        <w:rPr/>
        <w:t>Treatme</w:t>
      </w:r>
      <w:r>
        <w:rPr/>
        <w:t>nt of past prepayments and capital</w:t>
      </w:r>
      <w:r>
        <w:rPr>
          <w:spacing w:val="-4"/>
        </w:rPr>
        <w:t> </w:t>
      </w:r>
      <w:r>
        <w:rPr/>
        <w:t>contributions</w:t>
      </w:r>
    </w:p>
    <w:p>
      <w:pPr>
        <w:pStyle w:val="ListParagraph"/>
        <w:numPr>
          <w:ilvl w:val="3"/>
          <w:numId w:val="456"/>
        </w:numPr>
        <w:tabs>
          <w:tab w:pos="1919" w:val="left" w:leader="none"/>
        </w:tabs>
        <w:spacing w:line="240" w:lineRule="auto" w:before="120" w:after="0"/>
        <w:ind w:left="1919" w:right="416" w:hanging="567"/>
        <w:jc w:val="both"/>
        <w:rPr>
          <w:sz w:val="24"/>
        </w:rPr>
      </w:pPr>
      <w:r>
        <w:rPr>
          <w:sz w:val="24"/>
        </w:rPr>
        <w:t>Payments made by </w:t>
      </w:r>
      <w:r>
        <w:rPr>
          <w:i/>
          <w:sz w:val="24"/>
        </w:rPr>
        <w:t>Distribution Customers </w:t>
      </w:r>
      <w:r>
        <w:rPr>
          <w:sz w:val="24"/>
        </w:rPr>
        <w:t>and </w:t>
      </w:r>
      <w:r>
        <w:rPr>
          <w:i/>
          <w:sz w:val="24"/>
        </w:rPr>
        <w:t>Embedded Generators </w:t>
      </w:r>
      <w:r>
        <w:rPr>
          <w:sz w:val="24"/>
        </w:rPr>
        <w:t>for </w:t>
      </w:r>
      <w:r>
        <w:rPr>
          <w:i/>
          <w:sz w:val="24"/>
        </w:rPr>
        <w:t>distribution service </w:t>
      </w:r>
      <w:r>
        <w:rPr>
          <w:sz w:val="24"/>
        </w:rPr>
        <w:t>prior to 1 July 2019 must be made in accordance with any contractual arrangements with the relevant </w:t>
      </w:r>
      <w:r>
        <w:rPr>
          <w:i/>
          <w:sz w:val="24"/>
        </w:rPr>
        <w:t>Distribution Network  </w:t>
      </w:r>
      <w:r>
        <w:rPr>
          <w:i/>
          <w:sz w:val="24"/>
        </w:rPr>
        <w:t>Service Providers </w:t>
      </w:r>
      <w:r>
        <w:rPr>
          <w:sz w:val="24"/>
        </w:rPr>
        <w:t>applicable at that</w:t>
      </w:r>
      <w:r>
        <w:rPr>
          <w:spacing w:val="-3"/>
          <w:sz w:val="24"/>
        </w:rPr>
        <w:t> </w:t>
      </w:r>
      <w:r>
        <w:rPr>
          <w:sz w:val="24"/>
        </w:rPr>
        <w:t>time.</w:t>
      </w:r>
    </w:p>
    <w:p>
      <w:pPr>
        <w:pStyle w:val="ListParagraph"/>
        <w:numPr>
          <w:ilvl w:val="3"/>
          <w:numId w:val="456"/>
        </w:numPr>
        <w:tabs>
          <w:tab w:pos="1919" w:val="left" w:leader="none"/>
        </w:tabs>
        <w:spacing w:line="240" w:lineRule="auto" w:before="120" w:after="0"/>
        <w:ind w:left="1919" w:right="415" w:hanging="567"/>
        <w:jc w:val="both"/>
        <w:rPr>
          <w:sz w:val="24"/>
        </w:rPr>
      </w:pPr>
      <w:r>
        <w:rPr>
          <w:sz w:val="24"/>
        </w:rPr>
        <w:t>Where contractual arrangements referred to in paragraph (a) are not in </w:t>
      </w:r>
      <w:r>
        <w:rPr>
          <w:spacing w:val="-4"/>
          <w:sz w:val="24"/>
        </w:rPr>
        <w:t>place, </w:t>
      </w:r>
      <w:r>
        <w:rPr>
          <w:sz w:val="24"/>
        </w:rPr>
        <w:t>past </w:t>
      </w:r>
      <w:r>
        <w:rPr>
          <w:i/>
          <w:sz w:val="24"/>
        </w:rPr>
        <w:t>distribution service </w:t>
      </w:r>
      <w:r>
        <w:rPr>
          <w:sz w:val="24"/>
        </w:rPr>
        <w:t>prepayments or capital contributions may be incorporated in the capital structure of the </w:t>
      </w:r>
      <w:r>
        <w:rPr>
          <w:i/>
          <w:sz w:val="24"/>
        </w:rPr>
        <w:t>Distribution Network Service </w:t>
      </w:r>
      <w:r>
        <w:rPr>
          <w:i/>
          <w:sz w:val="24"/>
        </w:rPr>
        <w:t>Provider's </w:t>
      </w:r>
      <w:r>
        <w:rPr>
          <w:sz w:val="24"/>
        </w:rPr>
        <w:t>business.</w:t>
      </w:r>
    </w:p>
    <w:p>
      <w:pPr>
        <w:pStyle w:val="ListParagraph"/>
        <w:numPr>
          <w:ilvl w:val="3"/>
          <w:numId w:val="456"/>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intervene in and resolve any dispute under this clause which cannot be resolved between the relevant </w:t>
      </w:r>
      <w:r>
        <w:rPr>
          <w:i/>
          <w:sz w:val="24"/>
        </w:rPr>
        <w:t>Distribution Network Service </w:t>
      </w:r>
      <w:r>
        <w:rPr>
          <w:i/>
          <w:sz w:val="24"/>
        </w:rPr>
        <w:t>Provider </w:t>
      </w:r>
      <w:r>
        <w:rPr>
          <w:sz w:val="24"/>
        </w:rPr>
        <w:t>and </w:t>
      </w:r>
      <w:r>
        <w:rPr>
          <w:i/>
          <w:sz w:val="24"/>
        </w:rPr>
        <w:t>Distribution Customer </w:t>
      </w:r>
      <w:r>
        <w:rPr>
          <w:sz w:val="24"/>
        </w:rPr>
        <w:t>or </w:t>
      </w:r>
      <w:r>
        <w:rPr>
          <w:i/>
          <w:sz w:val="24"/>
        </w:rPr>
        <w:t>Embedded</w:t>
      </w:r>
      <w:r>
        <w:rPr>
          <w:i/>
          <w:spacing w:val="-3"/>
          <w:sz w:val="24"/>
        </w:rPr>
        <w:t> </w:t>
      </w:r>
      <w:r>
        <w:rPr>
          <w:i/>
          <w:sz w:val="24"/>
        </w:rPr>
        <w:t>Generator</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L Dispute resolution" w:id="1627"/>
      <w:bookmarkEnd w:id="1627"/>
      <w:r>
        <w:rPr>
          <w:b w:val="0"/>
        </w:rPr>
      </w:r>
      <w:bookmarkStart w:name="_bookmark646" w:id="1628"/>
      <w:bookmarkEnd w:id="1628"/>
      <w:r>
        <w:rPr>
          <w:b w:val="0"/>
        </w:rPr>
      </w:r>
      <w:r>
        <w:rPr>
          <w:shd w:fill="D9D9D9" w:color="auto" w:val="clear"/>
        </w:rPr>
        <w:t>Part L</w:t>
        <w:tab/>
        <w:t>Dispute</w:t>
      </w:r>
      <w:r>
        <w:rPr>
          <w:spacing w:val="-16"/>
          <w:shd w:fill="D9D9D9" w:color="auto" w:val="clear"/>
        </w:rPr>
        <w:t> </w:t>
      </w:r>
      <w:r>
        <w:rPr>
          <w:shd w:fill="D9D9D9" w:color="auto" w:val="clear"/>
        </w:rPr>
        <w:t>resolution</w:t>
        <w:tab/>
      </w:r>
    </w:p>
    <w:p>
      <w:pPr>
        <w:pStyle w:val="Heading3"/>
        <w:numPr>
          <w:ilvl w:val="1"/>
          <w:numId w:val="442"/>
        </w:numPr>
        <w:tabs>
          <w:tab w:pos="1351" w:val="left" w:leader="none"/>
          <w:tab w:pos="1353" w:val="left" w:leader="none"/>
        </w:tabs>
        <w:spacing w:line="240" w:lineRule="auto" w:before="240" w:after="0"/>
        <w:ind w:left="1352" w:right="0" w:hanging="1135"/>
        <w:jc w:val="left"/>
      </w:pPr>
      <w:bookmarkStart w:name="6.22 Dispute Resolution" w:id="1629"/>
      <w:bookmarkEnd w:id="1629"/>
      <w:r>
        <w:rPr>
          <w:b w:val="0"/>
        </w:rPr>
      </w:r>
      <w:bookmarkStart w:name="_bookmark647" w:id="1630"/>
      <w:bookmarkEnd w:id="1630"/>
      <w:r>
        <w:rPr>
          <w:b w:val="0"/>
        </w:rPr>
      </w:r>
      <w:bookmarkStart w:name="_bookmark647" w:id="1631"/>
      <w:bookmarkEnd w:id="1631"/>
      <w:r>
        <w:rPr/>
        <w:t>Dispu</w:t>
      </w:r>
      <w:r>
        <w:rPr/>
        <w:t>te</w:t>
      </w:r>
      <w:r>
        <w:rPr>
          <w:spacing w:val="-1"/>
        </w:rPr>
        <w:t> </w:t>
      </w:r>
      <w:r>
        <w:rPr/>
        <w:t>Resolution</w:t>
      </w:r>
    </w:p>
    <w:p>
      <w:pPr>
        <w:pStyle w:val="Heading4"/>
        <w:numPr>
          <w:ilvl w:val="2"/>
          <w:numId w:val="458"/>
        </w:numPr>
        <w:tabs>
          <w:tab w:pos="1351" w:val="left" w:leader="none"/>
          <w:tab w:pos="1352" w:val="left" w:leader="none"/>
        </w:tabs>
        <w:spacing w:line="240" w:lineRule="auto" w:before="240" w:after="0"/>
        <w:ind w:left="1351" w:right="0" w:hanging="1134"/>
        <w:jc w:val="left"/>
      </w:pPr>
      <w:bookmarkStart w:name="6.22.1 Dispute Resolution by the AER" w:id="1632"/>
      <w:bookmarkEnd w:id="1632"/>
      <w:r>
        <w:rPr>
          <w:b w:val="0"/>
        </w:rPr>
      </w:r>
      <w:bookmarkStart w:name="_bookmark648" w:id="1633"/>
      <w:bookmarkEnd w:id="1633"/>
      <w:r>
        <w:rPr>
          <w:b w:val="0"/>
        </w:rPr>
      </w:r>
      <w:bookmarkStart w:name="_bookmark648" w:id="1634"/>
      <w:bookmarkEnd w:id="1634"/>
      <w:r>
        <w:rPr/>
        <w:t>Disput</w:t>
      </w:r>
      <w:r>
        <w:rPr/>
        <w:t>e Resolution by the</w:t>
      </w:r>
      <w:r>
        <w:rPr>
          <w:spacing w:val="-2"/>
        </w:rPr>
        <w:t> </w:t>
      </w:r>
      <w:r>
        <w:rPr/>
        <w:t>AER</w:t>
      </w:r>
    </w:p>
    <w:p>
      <w:pPr>
        <w:pStyle w:val="ListParagraph"/>
        <w:numPr>
          <w:ilvl w:val="3"/>
          <w:numId w:val="458"/>
        </w:numPr>
        <w:tabs>
          <w:tab w:pos="1919" w:val="left" w:leader="none"/>
        </w:tabs>
        <w:spacing w:line="240" w:lineRule="auto" w:before="120" w:after="0"/>
        <w:ind w:left="1919" w:right="414" w:hanging="567"/>
        <w:jc w:val="both"/>
        <w:rPr>
          <w:sz w:val="24"/>
        </w:rPr>
      </w:pPr>
      <w:r>
        <w:rPr>
          <w:sz w:val="24"/>
        </w:rPr>
        <w:t>A dispute between a </w:t>
      </w:r>
      <w:r>
        <w:rPr>
          <w:i/>
          <w:sz w:val="24"/>
        </w:rPr>
        <w:t>Distribution Network Service Provider </w:t>
      </w:r>
      <w:r>
        <w:rPr>
          <w:sz w:val="24"/>
        </w:rPr>
        <w:t>and a </w:t>
      </w:r>
      <w:r>
        <w:rPr>
          <w:i/>
          <w:sz w:val="24"/>
        </w:rPr>
        <w:t>Service </w:t>
      </w:r>
      <w:r>
        <w:rPr>
          <w:i/>
          <w:sz w:val="24"/>
        </w:rPr>
        <w:t>Applicant </w:t>
      </w:r>
      <w:r>
        <w:rPr>
          <w:sz w:val="24"/>
        </w:rPr>
        <w:t>as to the </w:t>
      </w:r>
      <w:r>
        <w:rPr>
          <w:i/>
          <w:sz w:val="24"/>
        </w:rPr>
        <w:t>terms and conditions of access </w:t>
      </w:r>
      <w:r>
        <w:rPr>
          <w:sz w:val="24"/>
        </w:rPr>
        <w:t>to a </w:t>
      </w:r>
      <w:r>
        <w:rPr>
          <w:i/>
          <w:sz w:val="24"/>
        </w:rPr>
        <w:t>direct control service </w:t>
      </w:r>
      <w:r>
        <w:rPr>
          <w:sz w:val="24"/>
        </w:rPr>
        <w:t>or to a </w:t>
      </w:r>
      <w:r>
        <w:rPr>
          <w:i/>
          <w:sz w:val="24"/>
        </w:rPr>
        <w:t>negotiated distribution service </w:t>
      </w:r>
      <w:r>
        <w:rPr>
          <w:sz w:val="24"/>
        </w:rPr>
        <w:t>is an access dispute for the purposes of Part 10 of the</w:t>
      </w:r>
      <w:r>
        <w:rPr>
          <w:spacing w:val="-2"/>
          <w:sz w:val="24"/>
        </w:rPr>
        <w:t> </w:t>
      </w:r>
      <w:r>
        <w:rPr>
          <w:sz w:val="24"/>
        </w:rPr>
        <w:t>Law.</w:t>
      </w:r>
    </w:p>
    <w:p>
      <w:pPr>
        <w:pStyle w:val="ListParagraph"/>
        <w:numPr>
          <w:ilvl w:val="3"/>
          <w:numId w:val="458"/>
        </w:numPr>
        <w:tabs>
          <w:tab w:pos="1919" w:val="left" w:leader="none"/>
        </w:tabs>
        <w:spacing w:line="240" w:lineRule="auto" w:before="120" w:after="0"/>
        <w:ind w:left="1919" w:right="415" w:hanging="567"/>
        <w:jc w:val="both"/>
        <w:rPr>
          <w:sz w:val="24"/>
        </w:rPr>
      </w:pPr>
      <w:r>
        <w:rPr>
          <w:sz w:val="24"/>
        </w:rPr>
        <w:t>A dispute between a </w:t>
      </w:r>
      <w:r>
        <w:rPr>
          <w:i/>
          <w:sz w:val="24"/>
        </w:rPr>
        <w:t>Distribution Network Service Provider </w:t>
      </w:r>
      <w:r>
        <w:rPr>
          <w:sz w:val="24"/>
        </w:rPr>
        <w:t>and a </w:t>
      </w:r>
      <w:r>
        <w:rPr>
          <w:i/>
          <w:sz w:val="24"/>
        </w:rPr>
        <w:t>Service </w:t>
      </w:r>
      <w:r>
        <w:rPr>
          <w:i/>
          <w:sz w:val="24"/>
        </w:rPr>
        <w:t>Applicant </w:t>
      </w:r>
      <w:r>
        <w:rPr>
          <w:sz w:val="24"/>
        </w:rPr>
        <w:t>about </w:t>
      </w:r>
      <w:r>
        <w:rPr>
          <w:i/>
          <w:sz w:val="24"/>
        </w:rPr>
        <w:t>access charges </w:t>
      </w:r>
      <w:r>
        <w:rPr>
          <w:sz w:val="24"/>
        </w:rPr>
        <w:t>is an access dispute for the purposes of Part 10 of the</w:t>
      </w:r>
      <w:r>
        <w:rPr>
          <w:spacing w:val="-1"/>
          <w:sz w:val="24"/>
        </w:rPr>
        <w:t> </w:t>
      </w:r>
      <w:r>
        <w:rPr>
          <w:sz w:val="24"/>
        </w:rPr>
        <w:t>Law.</w:t>
      </w:r>
    </w:p>
    <w:p>
      <w:pPr>
        <w:pStyle w:val="ListParagraph"/>
        <w:numPr>
          <w:ilvl w:val="3"/>
          <w:numId w:val="458"/>
        </w:numPr>
        <w:tabs>
          <w:tab w:pos="1919" w:val="left" w:leader="none"/>
        </w:tabs>
        <w:spacing w:line="240" w:lineRule="auto" w:before="120" w:after="0"/>
        <w:ind w:left="1919" w:right="415" w:hanging="567"/>
        <w:jc w:val="both"/>
        <w:rPr>
          <w:sz w:val="24"/>
        </w:rPr>
      </w:pPr>
      <w:r>
        <w:rPr>
          <w:sz w:val="24"/>
        </w:rPr>
        <w:t>A dispute between a </w:t>
      </w:r>
      <w:r>
        <w:rPr>
          <w:i/>
          <w:sz w:val="24"/>
        </w:rPr>
        <w:t>Distribution Network Service Provider </w:t>
      </w:r>
      <w:r>
        <w:rPr>
          <w:sz w:val="24"/>
        </w:rPr>
        <w:t>and a </w:t>
      </w:r>
      <w:r>
        <w:rPr>
          <w:i/>
          <w:sz w:val="24"/>
        </w:rPr>
        <w:t>Connection Applicant </w:t>
      </w:r>
      <w:r>
        <w:rPr>
          <w:sz w:val="24"/>
        </w:rPr>
        <w:t>about matters referred to in clause 5.3AA(f) or clause 5.3AA(h) is an access dispute for the purposes of Part 10 of the</w:t>
      </w:r>
      <w:r>
        <w:rPr>
          <w:spacing w:val="-2"/>
          <w:sz w:val="24"/>
        </w:rPr>
        <w:t> </w:t>
      </w:r>
      <w:r>
        <w:rPr>
          <w:sz w:val="24"/>
        </w:rPr>
        <w:t>Law.</w:t>
      </w:r>
    </w:p>
    <w:p>
      <w:pPr>
        <w:spacing w:after="0" w:line="240" w:lineRule="auto"/>
        <w:jc w:val="both"/>
        <w:rPr>
          <w:sz w:val="24"/>
        </w:rPr>
        <w:sectPr>
          <w:pgSz w:w="11910" w:h="16840"/>
          <w:pgMar w:header="686" w:footer="637" w:top="1320" w:bottom="820" w:left="1200" w:right="1000"/>
        </w:sectPr>
      </w:pPr>
    </w:p>
    <w:p>
      <w:pPr>
        <w:pStyle w:val="Heading4"/>
        <w:numPr>
          <w:ilvl w:val="2"/>
          <w:numId w:val="458"/>
        </w:numPr>
        <w:tabs>
          <w:tab w:pos="1351" w:val="left" w:leader="none"/>
          <w:tab w:pos="1352" w:val="left" w:leader="none"/>
        </w:tabs>
        <w:spacing w:line="240" w:lineRule="auto" w:before="83" w:after="0"/>
        <w:ind w:left="1351" w:right="0" w:hanging="1134"/>
        <w:jc w:val="left"/>
      </w:pPr>
      <w:bookmarkStart w:name="6.22.2 Determination of dispute" w:id="1635"/>
      <w:bookmarkEnd w:id="1635"/>
      <w:r>
        <w:rPr>
          <w:b w:val="0"/>
        </w:rPr>
      </w:r>
      <w:bookmarkStart w:name="_bookmark649" w:id="1636"/>
      <w:bookmarkEnd w:id="1636"/>
      <w:r>
        <w:rPr>
          <w:b w:val="0"/>
        </w:rPr>
      </w:r>
      <w:bookmarkStart w:name="_bookmark649" w:id="1637"/>
      <w:bookmarkEnd w:id="1637"/>
      <w:r>
        <w:rPr/>
        <w:t>Dete</w:t>
      </w:r>
      <w:r>
        <w:rPr/>
        <w:t>rmination of</w:t>
      </w:r>
      <w:r>
        <w:rPr>
          <w:spacing w:val="-1"/>
        </w:rPr>
        <w:t> </w:t>
      </w:r>
      <w:r>
        <w:rPr/>
        <w:t>dispute</w:t>
      </w:r>
    </w:p>
    <w:p>
      <w:pPr>
        <w:pStyle w:val="ListParagraph"/>
        <w:numPr>
          <w:ilvl w:val="3"/>
          <w:numId w:val="458"/>
        </w:numPr>
        <w:tabs>
          <w:tab w:pos="1919" w:val="left" w:leader="none"/>
        </w:tabs>
        <w:spacing w:line="240" w:lineRule="auto" w:before="120" w:after="0"/>
        <w:ind w:left="1918" w:right="0" w:hanging="567"/>
        <w:jc w:val="both"/>
        <w:rPr>
          <w:sz w:val="24"/>
        </w:rPr>
      </w:pPr>
      <w:r>
        <w:rPr>
          <w:sz w:val="24"/>
        </w:rPr>
        <w:t>In</w:t>
      </w:r>
      <w:r>
        <w:rPr>
          <w:spacing w:val="17"/>
          <w:sz w:val="24"/>
        </w:rPr>
        <w:t> </w:t>
      </w:r>
      <w:r>
        <w:rPr>
          <w:sz w:val="24"/>
        </w:rPr>
        <w:t>determining</w:t>
      </w:r>
      <w:r>
        <w:rPr>
          <w:spacing w:val="18"/>
          <w:sz w:val="24"/>
        </w:rPr>
        <w:t> </w:t>
      </w:r>
      <w:r>
        <w:rPr>
          <w:sz w:val="24"/>
        </w:rPr>
        <w:t>an</w:t>
      </w:r>
      <w:r>
        <w:rPr>
          <w:spacing w:val="18"/>
          <w:sz w:val="24"/>
        </w:rPr>
        <w:t> </w:t>
      </w:r>
      <w:r>
        <w:rPr>
          <w:sz w:val="24"/>
        </w:rPr>
        <w:t>access</w:t>
      </w:r>
      <w:r>
        <w:rPr>
          <w:spacing w:val="18"/>
          <w:sz w:val="24"/>
        </w:rPr>
        <w:t> </w:t>
      </w:r>
      <w:r>
        <w:rPr>
          <w:sz w:val="24"/>
        </w:rPr>
        <w:t>dispute</w:t>
      </w:r>
      <w:r>
        <w:rPr>
          <w:spacing w:val="17"/>
          <w:sz w:val="24"/>
        </w:rPr>
        <w:t> </w:t>
      </w:r>
      <w:r>
        <w:rPr>
          <w:sz w:val="24"/>
        </w:rPr>
        <w:t>about</w:t>
      </w:r>
      <w:r>
        <w:rPr>
          <w:spacing w:val="18"/>
          <w:sz w:val="24"/>
        </w:rPr>
        <w:t> </w:t>
      </w:r>
      <w:r>
        <w:rPr>
          <w:i/>
          <w:sz w:val="24"/>
        </w:rPr>
        <w:t>terms</w:t>
      </w:r>
      <w:r>
        <w:rPr>
          <w:i/>
          <w:spacing w:val="18"/>
          <w:sz w:val="24"/>
        </w:rPr>
        <w:t> </w:t>
      </w:r>
      <w:r>
        <w:rPr>
          <w:i/>
          <w:sz w:val="24"/>
        </w:rPr>
        <w:t>and</w:t>
      </w:r>
      <w:r>
        <w:rPr>
          <w:i/>
          <w:spacing w:val="18"/>
          <w:sz w:val="24"/>
        </w:rPr>
        <w:t> </w:t>
      </w:r>
      <w:r>
        <w:rPr>
          <w:i/>
          <w:sz w:val="24"/>
        </w:rPr>
        <w:t>conditions</w:t>
      </w:r>
      <w:r>
        <w:rPr>
          <w:i/>
          <w:spacing w:val="17"/>
          <w:sz w:val="24"/>
        </w:rPr>
        <w:t> </w:t>
      </w:r>
      <w:r>
        <w:rPr>
          <w:i/>
          <w:sz w:val="24"/>
        </w:rPr>
        <w:t>of</w:t>
      </w:r>
      <w:r>
        <w:rPr>
          <w:i/>
          <w:spacing w:val="18"/>
          <w:sz w:val="24"/>
        </w:rPr>
        <w:t> </w:t>
      </w:r>
      <w:r>
        <w:rPr>
          <w:i/>
          <w:sz w:val="24"/>
        </w:rPr>
        <w:t>access</w:t>
      </w:r>
      <w:r>
        <w:rPr>
          <w:i/>
          <w:spacing w:val="19"/>
          <w:sz w:val="24"/>
        </w:rPr>
        <w:t> </w:t>
      </w:r>
      <w:r>
        <w:rPr>
          <w:sz w:val="24"/>
        </w:rPr>
        <w:t>to</w:t>
      </w:r>
      <w:r>
        <w:rPr>
          <w:spacing w:val="18"/>
          <w:sz w:val="24"/>
        </w:rPr>
        <w:t> </w:t>
      </w:r>
      <w:r>
        <w:rPr>
          <w:sz w:val="24"/>
        </w:rPr>
        <w:t>a</w:t>
      </w:r>
    </w:p>
    <w:p>
      <w:pPr>
        <w:spacing w:before="0"/>
        <w:ind w:left="1919" w:right="0" w:firstLine="0"/>
        <w:jc w:val="both"/>
        <w:rPr>
          <w:sz w:val="24"/>
        </w:rPr>
      </w:pPr>
      <w:r>
        <w:rPr>
          <w:i/>
          <w:sz w:val="24"/>
        </w:rPr>
        <w:t>direct control service</w:t>
      </w:r>
      <w:r>
        <w:rPr>
          <w:sz w:val="24"/>
        </w:rPr>
        <w:t>, the </w:t>
      </w:r>
      <w:r>
        <w:rPr>
          <w:i/>
          <w:sz w:val="24"/>
        </w:rPr>
        <w:t>AER </w:t>
      </w:r>
      <w:r>
        <w:rPr>
          <w:sz w:val="24"/>
        </w:rPr>
        <w:t>must apply:</w:t>
      </w:r>
    </w:p>
    <w:p>
      <w:pPr>
        <w:pStyle w:val="ListParagraph"/>
        <w:numPr>
          <w:ilvl w:val="4"/>
          <w:numId w:val="458"/>
        </w:numPr>
        <w:tabs>
          <w:tab w:pos="2486" w:val="left" w:leader="none"/>
        </w:tabs>
        <w:spacing w:line="240" w:lineRule="auto" w:before="120" w:after="0"/>
        <w:ind w:left="2486" w:right="415" w:hanging="567"/>
        <w:jc w:val="both"/>
        <w:rPr>
          <w:sz w:val="24"/>
        </w:rPr>
      </w:pPr>
      <w:r>
        <w:rPr>
          <w:sz w:val="24"/>
        </w:rPr>
        <w:t>in relation to price, the </w:t>
      </w:r>
      <w:r>
        <w:rPr>
          <w:i/>
          <w:sz w:val="24"/>
        </w:rPr>
        <w:t>Distribution Network Service Provider's </w:t>
      </w:r>
      <w:r>
        <w:rPr>
          <w:i/>
          <w:sz w:val="24"/>
        </w:rPr>
        <w:t>approved pricing proposal </w:t>
      </w:r>
      <w:r>
        <w:rPr>
          <w:sz w:val="24"/>
        </w:rPr>
        <w:t>and the </w:t>
      </w:r>
      <w:r>
        <w:rPr>
          <w:i/>
          <w:sz w:val="24"/>
        </w:rPr>
        <w:t>Distribution Network Service </w:t>
      </w:r>
      <w:r>
        <w:rPr>
          <w:i/>
          <w:sz w:val="24"/>
        </w:rPr>
        <w:t>Provider's tariff structure statement </w:t>
      </w:r>
      <w:r>
        <w:rPr>
          <w:sz w:val="24"/>
        </w:rPr>
        <w:t>or, in respect of the </w:t>
      </w:r>
      <w:r>
        <w:rPr>
          <w:i/>
          <w:sz w:val="24"/>
        </w:rPr>
        <w:t>Distribution </w:t>
      </w:r>
      <w:r>
        <w:rPr>
          <w:i/>
          <w:sz w:val="24"/>
        </w:rPr>
        <w:t>Network Service Provider's transmission standard control services </w:t>
      </w:r>
      <w:r>
        <w:rPr>
          <w:sz w:val="24"/>
        </w:rPr>
        <w:t>in respect of which the AER has made a determination under clause 6.25(b) that pricing in respect of those services should be regulated under Part J of Chapter 6A through the application of rule 6.26, the </w:t>
      </w:r>
      <w:r>
        <w:rPr>
          <w:i/>
          <w:sz w:val="24"/>
        </w:rPr>
        <w:t>Distribution Network Service Provider's </w:t>
      </w:r>
      <w:r>
        <w:rPr>
          <w:sz w:val="24"/>
        </w:rPr>
        <w:t>approved </w:t>
      </w:r>
      <w:r>
        <w:rPr>
          <w:i/>
          <w:sz w:val="24"/>
        </w:rPr>
        <w:t>pricing </w:t>
      </w:r>
      <w:r>
        <w:rPr>
          <w:i/>
          <w:sz w:val="24"/>
        </w:rPr>
        <w:t>methodology</w:t>
      </w:r>
      <w:r>
        <w:rPr>
          <w:sz w:val="24"/>
        </w:rPr>
        <w:t>;</w:t>
      </w:r>
    </w:p>
    <w:p>
      <w:pPr>
        <w:pStyle w:val="ListParagraph"/>
        <w:numPr>
          <w:ilvl w:val="4"/>
          <w:numId w:val="458"/>
        </w:numPr>
        <w:tabs>
          <w:tab w:pos="2486" w:val="left" w:leader="none"/>
        </w:tabs>
        <w:spacing w:line="240" w:lineRule="auto" w:before="120" w:after="0"/>
        <w:ind w:left="2486" w:right="415" w:hanging="567"/>
        <w:jc w:val="both"/>
        <w:rPr>
          <w:sz w:val="24"/>
        </w:rPr>
      </w:pPr>
      <w:r>
        <w:rPr>
          <w:sz w:val="24"/>
        </w:rPr>
        <w:t>in relation to other terms and conditions, Chapter 5, this Chapter </w:t>
      </w:r>
      <w:r>
        <w:rPr>
          <w:spacing w:val="-7"/>
          <w:sz w:val="24"/>
        </w:rPr>
        <w:t>6, </w:t>
      </w:r>
      <w:r>
        <w:rPr>
          <w:sz w:val="24"/>
        </w:rPr>
        <w:t>Chapter 7A and any other </w:t>
      </w:r>
      <w:r>
        <w:rPr>
          <w:i/>
          <w:sz w:val="24"/>
        </w:rPr>
        <w:t>applicable regulatory instrument </w:t>
      </w:r>
      <w:r>
        <w:rPr>
          <w:sz w:val="24"/>
        </w:rPr>
        <w:t>including but not limited to </w:t>
      </w:r>
      <w:r>
        <w:rPr>
          <w:i/>
          <w:sz w:val="24"/>
        </w:rPr>
        <w:t>jurisdictional electricity legislation</w:t>
      </w:r>
      <w:r>
        <w:rPr>
          <w:sz w:val="24"/>
        </w:rPr>
        <w:t>;</w:t>
      </w:r>
      <w:r>
        <w:rPr>
          <w:spacing w:val="-2"/>
          <w:sz w:val="24"/>
        </w:rPr>
        <w:t> </w:t>
      </w:r>
      <w:r>
        <w:rPr>
          <w:sz w:val="24"/>
        </w:rPr>
        <w:t>and</w:t>
      </w:r>
    </w:p>
    <w:p>
      <w:pPr>
        <w:pStyle w:val="ListParagraph"/>
        <w:numPr>
          <w:ilvl w:val="4"/>
          <w:numId w:val="458"/>
        </w:numPr>
        <w:tabs>
          <w:tab w:pos="2486" w:val="left" w:leader="none"/>
        </w:tabs>
        <w:spacing w:line="240" w:lineRule="auto" w:before="120" w:after="0"/>
        <w:ind w:left="2486" w:right="414" w:hanging="567"/>
        <w:jc w:val="both"/>
        <w:rPr>
          <w:sz w:val="24"/>
        </w:rPr>
      </w:pPr>
      <w:r>
        <w:rPr>
          <w:sz w:val="24"/>
        </w:rPr>
        <w:t>in relation to all </w:t>
      </w:r>
      <w:r>
        <w:rPr>
          <w:i/>
          <w:sz w:val="24"/>
        </w:rPr>
        <w:t>terms and conditions of access </w:t>
      </w:r>
      <w:r>
        <w:rPr>
          <w:sz w:val="24"/>
        </w:rPr>
        <w:t>(including price) the decisions of the </w:t>
      </w:r>
      <w:r>
        <w:rPr>
          <w:i/>
          <w:sz w:val="24"/>
        </w:rPr>
        <w:t>AER </w:t>
      </w:r>
      <w:r>
        <w:rPr>
          <w:sz w:val="24"/>
        </w:rPr>
        <w:t>where those decisions relate to those terms and conditions under Chapter 5, this Chapter 6, Chapter 7A </w:t>
      </w:r>
      <w:r>
        <w:rPr>
          <w:spacing w:val="-4"/>
          <w:sz w:val="24"/>
        </w:rPr>
        <w:t>and </w:t>
      </w:r>
      <w:r>
        <w:rPr>
          <w:i/>
          <w:sz w:val="24"/>
        </w:rPr>
        <w:t>jurisdictional electricity legislation </w:t>
      </w:r>
      <w:r>
        <w:rPr>
          <w:sz w:val="24"/>
        </w:rPr>
        <w:t>and are made under Chapter 5, this Chapter 6 and Chapter</w:t>
      </w:r>
      <w:r>
        <w:rPr>
          <w:spacing w:val="-1"/>
          <w:sz w:val="24"/>
        </w:rPr>
        <w:t> </w:t>
      </w:r>
      <w:r>
        <w:rPr>
          <w:sz w:val="24"/>
        </w:rPr>
        <w:t>7A.</w:t>
      </w:r>
    </w:p>
    <w:p>
      <w:pPr>
        <w:pStyle w:val="ListParagraph"/>
        <w:numPr>
          <w:ilvl w:val="3"/>
          <w:numId w:val="458"/>
        </w:numPr>
        <w:tabs>
          <w:tab w:pos="1919" w:val="left" w:leader="none"/>
        </w:tabs>
        <w:spacing w:line="240" w:lineRule="auto" w:before="120" w:after="0"/>
        <w:ind w:left="1919" w:right="414" w:hanging="567"/>
        <w:jc w:val="both"/>
        <w:rPr>
          <w:sz w:val="24"/>
        </w:rPr>
      </w:pPr>
      <w:r>
        <w:rPr>
          <w:sz w:val="24"/>
        </w:rPr>
        <w:t>In determining an access dispute about the </w:t>
      </w:r>
      <w:r>
        <w:rPr>
          <w:i/>
          <w:sz w:val="24"/>
        </w:rPr>
        <w:t>terms and conditions of access </w:t>
      </w:r>
      <w:r>
        <w:rPr>
          <w:spacing w:val="-6"/>
          <w:sz w:val="24"/>
        </w:rPr>
        <w:t>to </w:t>
      </w:r>
      <w:r>
        <w:rPr>
          <w:sz w:val="24"/>
        </w:rPr>
        <w:t>a </w:t>
      </w:r>
      <w:r>
        <w:rPr>
          <w:i/>
          <w:sz w:val="24"/>
        </w:rPr>
        <w:t>direct control service</w:t>
      </w:r>
      <w:r>
        <w:rPr>
          <w:sz w:val="24"/>
        </w:rPr>
        <w:t>, the </w:t>
      </w:r>
      <w:r>
        <w:rPr>
          <w:i/>
          <w:sz w:val="24"/>
        </w:rPr>
        <w:t>AER</w:t>
      </w:r>
      <w:r>
        <w:rPr>
          <w:i/>
          <w:spacing w:val="-2"/>
          <w:sz w:val="24"/>
        </w:rPr>
        <w:t> </w:t>
      </w:r>
      <w:r>
        <w:rPr>
          <w:sz w:val="24"/>
        </w:rPr>
        <w:t>may:</w:t>
      </w:r>
    </w:p>
    <w:p>
      <w:pPr>
        <w:pStyle w:val="ListParagraph"/>
        <w:numPr>
          <w:ilvl w:val="4"/>
          <w:numId w:val="458"/>
        </w:numPr>
        <w:tabs>
          <w:tab w:pos="2486" w:val="left" w:leader="none"/>
        </w:tabs>
        <w:spacing w:line="240" w:lineRule="auto" w:before="120" w:after="0"/>
        <w:ind w:left="2485" w:right="0" w:hanging="567"/>
        <w:jc w:val="both"/>
        <w:rPr>
          <w:sz w:val="24"/>
        </w:rPr>
      </w:pPr>
      <w:r>
        <w:rPr>
          <w:sz w:val="24"/>
        </w:rPr>
        <w:t>have regard to other matters the </w:t>
      </w:r>
      <w:r>
        <w:rPr>
          <w:i/>
          <w:sz w:val="24"/>
        </w:rPr>
        <w:t>AER </w:t>
      </w:r>
      <w:r>
        <w:rPr>
          <w:sz w:val="24"/>
        </w:rPr>
        <w:t>considers relevant;</w:t>
      </w:r>
      <w:r>
        <w:rPr>
          <w:spacing w:val="-2"/>
          <w:sz w:val="24"/>
        </w:rPr>
        <w:t> </w:t>
      </w:r>
      <w:r>
        <w:rPr>
          <w:sz w:val="24"/>
        </w:rPr>
        <w:t>and</w:t>
      </w:r>
    </w:p>
    <w:p>
      <w:pPr>
        <w:pStyle w:val="ListParagraph"/>
        <w:numPr>
          <w:ilvl w:val="4"/>
          <w:numId w:val="458"/>
        </w:numPr>
        <w:tabs>
          <w:tab w:pos="2486" w:val="left" w:leader="none"/>
        </w:tabs>
        <w:spacing w:line="240" w:lineRule="auto" w:before="120" w:after="0"/>
        <w:ind w:left="2486" w:right="417" w:hanging="567"/>
        <w:jc w:val="both"/>
        <w:rPr>
          <w:sz w:val="24"/>
        </w:rPr>
      </w:pPr>
      <w:r>
        <w:rPr>
          <w:sz w:val="24"/>
        </w:rPr>
        <w:t>hear evidence or receive submissions from NTESMO about </w:t>
      </w:r>
      <w:r>
        <w:rPr>
          <w:i/>
          <w:sz w:val="24"/>
        </w:rPr>
        <w:t>power </w:t>
      </w:r>
      <w:r>
        <w:rPr>
          <w:i/>
          <w:sz w:val="24"/>
        </w:rPr>
        <w:t>system security </w:t>
      </w:r>
      <w:r>
        <w:rPr>
          <w:sz w:val="24"/>
        </w:rPr>
        <w:t>and from </w:t>
      </w:r>
      <w:r>
        <w:rPr>
          <w:i/>
          <w:sz w:val="24"/>
        </w:rPr>
        <w:t>Distribution Network Users </w:t>
      </w:r>
      <w:r>
        <w:rPr>
          <w:sz w:val="24"/>
        </w:rPr>
        <w:t>who may be adversely</w:t>
      </w:r>
      <w:r>
        <w:rPr>
          <w:spacing w:val="-1"/>
          <w:sz w:val="24"/>
        </w:rPr>
        <w:t> </w:t>
      </w:r>
      <w:r>
        <w:rPr>
          <w:sz w:val="24"/>
        </w:rPr>
        <w:t>affected.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Section 130 of the Law requires the </w:t>
      </w:r>
      <w:r>
        <w:rPr>
          <w:i/>
          <w:sz w:val="20"/>
        </w:rPr>
        <w:t>AER</w:t>
      </w:r>
      <w:r>
        <w:rPr>
          <w:sz w:val="20"/>
        </w:rPr>
        <w:t>, in making an access determination, to give effect to a network revenue or pricing determination applicable to the services that are the subject of the dispute even though the determination may not have been in force when the dispute arose.</w:t>
      </w:r>
    </w:p>
    <w:p>
      <w:pPr>
        <w:pStyle w:val="ListParagraph"/>
        <w:numPr>
          <w:ilvl w:val="3"/>
          <w:numId w:val="458"/>
        </w:numPr>
        <w:tabs>
          <w:tab w:pos="1919" w:val="left" w:leader="none"/>
        </w:tabs>
        <w:spacing w:line="240" w:lineRule="auto" w:before="120" w:after="0"/>
        <w:ind w:left="1918" w:right="0" w:hanging="567"/>
        <w:jc w:val="both"/>
        <w:rPr>
          <w:sz w:val="24"/>
        </w:rPr>
      </w:pPr>
      <w:r>
        <w:rPr>
          <w:sz w:val="24"/>
        </w:rPr>
        <w:t>In</w:t>
      </w:r>
      <w:r>
        <w:rPr>
          <w:spacing w:val="17"/>
          <w:sz w:val="24"/>
        </w:rPr>
        <w:t> </w:t>
      </w:r>
      <w:r>
        <w:rPr>
          <w:sz w:val="24"/>
        </w:rPr>
        <w:t>determining</w:t>
      </w:r>
      <w:r>
        <w:rPr>
          <w:spacing w:val="18"/>
          <w:sz w:val="24"/>
        </w:rPr>
        <w:t> </w:t>
      </w:r>
      <w:r>
        <w:rPr>
          <w:sz w:val="24"/>
        </w:rPr>
        <w:t>an</w:t>
      </w:r>
      <w:r>
        <w:rPr>
          <w:spacing w:val="18"/>
          <w:sz w:val="24"/>
        </w:rPr>
        <w:t> </w:t>
      </w:r>
      <w:r>
        <w:rPr>
          <w:sz w:val="24"/>
        </w:rPr>
        <w:t>access</w:t>
      </w:r>
      <w:r>
        <w:rPr>
          <w:spacing w:val="18"/>
          <w:sz w:val="24"/>
        </w:rPr>
        <w:t> </w:t>
      </w:r>
      <w:r>
        <w:rPr>
          <w:sz w:val="24"/>
        </w:rPr>
        <w:t>dispute</w:t>
      </w:r>
      <w:r>
        <w:rPr>
          <w:spacing w:val="17"/>
          <w:sz w:val="24"/>
        </w:rPr>
        <w:t> </w:t>
      </w:r>
      <w:r>
        <w:rPr>
          <w:sz w:val="24"/>
        </w:rPr>
        <w:t>about</w:t>
      </w:r>
      <w:r>
        <w:rPr>
          <w:spacing w:val="18"/>
          <w:sz w:val="24"/>
        </w:rPr>
        <w:t> </w:t>
      </w:r>
      <w:r>
        <w:rPr>
          <w:i/>
          <w:sz w:val="24"/>
        </w:rPr>
        <w:t>terms</w:t>
      </w:r>
      <w:r>
        <w:rPr>
          <w:i/>
          <w:spacing w:val="18"/>
          <w:sz w:val="24"/>
        </w:rPr>
        <w:t> </w:t>
      </w:r>
      <w:r>
        <w:rPr>
          <w:i/>
          <w:sz w:val="24"/>
        </w:rPr>
        <w:t>and</w:t>
      </w:r>
      <w:r>
        <w:rPr>
          <w:i/>
          <w:spacing w:val="18"/>
          <w:sz w:val="24"/>
        </w:rPr>
        <w:t> </w:t>
      </w:r>
      <w:r>
        <w:rPr>
          <w:i/>
          <w:sz w:val="24"/>
        </w:rPr>
        <w:t>conditions</w:t>
      </w:r>
      <w:r>
        <w:rPr>
          <w:i/>
          <w:spacing w:val="17"/>
          <w:sz w:val="24"/>
        </w:rPr>
        <w:t> </w:t>
      </w:r>
      <w:r>
        <w:rPr>
          <w:i/>
          <w:sz w:val="24"/>
        </w:rPr>
        <w:t>of</w:t>
      </w:r>
      <w:r>
        <w:rPr>
          <w:i/>
          <w:spacing w:val="18"/>
          <w:sz w:val="24"/>
        </w:rPr>
        <w:t> </w:t>
      </w:r>
      <w:r>
        <w:rPr>
          <w:i/>
          <w:sz w:val="24"/>
        </w:rPr>
        <w:t>access</w:t>
      </w:r>
      <w:r>
        <w:rPr>
          <w:i/>
          <w:spacing w:val="19"/>
          <w:sz w:val="24"/>
        </w:rPr>
        <w:t> </w:t>
      </w:r>
      <w:r>
        <w:rPr>
          <w:sz w:val="24"/>
        </w:rPr>
        <w:t>to</w:t>
      </w:r>
      <w:r>
        <w:rPr>
          <w:spacing w:val="18"/>
          <w:sz w:val="24"/>
        </w:rPr>
        <w:t> </w:t>
      </w:r>
      <w:r>
        <w:rPr>
          <w:sz w:val="24"/>
        </w:rPr>
        <w:t>a</w:t>
      </w:r>
    </w:p>
    <w:p>
      <w:pPr>
        <w:spacing w:before="0"/>
        <w:ind w:left="1919" w:right="0" w:firstLine="0"/>
        <w:jc w:val="both"/>
        <w:rPr>
          <w:sz w:val="24"/>
        </w:rPr>
      </w:pPr>
      <w:r>
        <w:rPr>
          <w:i/>
          <w:sz w:val="24"/>
        </w:rPr>
        <w:t>negotiated distribution service</w:t>
      </w:r>
      <w:r>
        <w:rPr>
          <w:sz w:val="24"/>
        </w:rPr>
        <w:t>, the </w:t>
      </w:r>
      <w:r>
        <w:rPr>
          <w:i/>
          <w:sz w:val="24"/>
        </w:rPr>
        <w:t>AER </w:t>
      </w:r>
      <w:r>
        <w:rPr>
          <w:sz w:val="24"/>
        </w:rPr>
        <w:t>must apply:</w:t>
      </w:r>
    </w:p>
    <w:p>
      <w:pPr>
        <w:pStyle w:val="ListParagraph"/>
        <w:numPr>
          <w:ilvl w:val="4"/>
          <w:numId w:val="458"/>
        </w:numPr>
        <w:tabs>
          <w:tab w:pos="2486" w:val="left" w:leader="none"/>
        </w:tabs>
        <w:spacing w:line="240" w:lineRule="auto" w:before="120" w:after="0"/>
        <w:ind w:left="2486" w:right="415" w:hanging="567"/>
        <w:jc w:val="both"/>
        <w:rPr>
          <w:sz w:val="24"/>
        </w:rPr>
      </w:pPr>
      <w:r>
        <w:rPr>
          <w:sz w:val="24"/>
        </w:rPr>
        <w:t>in relation to price (including </w:t>
      </w:r>
      <w:r>
        <w:rPr>
          <w:i/>
          <w:sz w:val="24"/>
        </w:rPr>
        <w:t>access charges</w:t>
      </w:r>
      <w:r>
        <w:rPr>
          <w:sz w:val="24"/>
        </w:rPr>
        <w:t>), the </w:t>
      </w:r>
      <w:r>
        <w:rPr>
          <w:i/>
          <w:sz w:val="24"/>
        </w:rPr>
        <w:t>Negotiated </w:t>
      </w:r>
      <w:r>
        <w:rPr>
          <w:i/>
          <w:sz w:val="24"/>
        </w:rPr>
        <w:t>Distribution Service Criteria </w:t>
      </w:r>
      <w:r>
        <w:rPr>
          <w:sz w:val="24"/>
        </w:rPr>
        <w:t>that are applicable to the dispute in accordance with the relevant distribution determination;</w:t>
      </w:r>
      <w:r>
        <w:rPr>
          <w:spacing w:val="-3"/>
          <w:sz w:val="24"/>
        </w:rPr>
        <w:t> </w:t>
      </w:r>
      <w:r>
        <w:rPr>
          <w:sz w:val="24"/>
        </w:rPr>
        <w:t>and</w:t>
      </w:r>
    </w:p>
    <w:p>
      <w:pPr>
        <w:pStyle w:val="ListParagraph"/>
        <w:numPr>
          <w:ilvl w:val="4"/>
          <w:numId w:val="458"/>
        </w:numPr>
        <w:tabs>
          <w:tab w:pos="2486" w:val="left" w:leader="none"/>
        </w:tabs>
        <w:spacing w:line="240" w:lineRule="auto" w:before="120" w:after="0"/>
        <w:ind w:left="2486" w:right="415" w:hanging="567"/>
        <w:jc w:val="both"/>
        <w:rPr>
          <w:sz w:val="24"/>
        </w:rPr>
      </w:pPr>
      <w:r>
        <w:rPr>
          <w:sz w:val="24"/>
        </w:rPr>
        <w:t>in relation to other terms and conditions, the </w:t>
      </w:r>
      <w:r>
        <w:rPr>
          <w:i/>
          <w:sz w:val="24"/>
        </w:rPr>
        <w:t>Negotiated Distribution </w:t>
      </w:r>
      <w:r>
        <w:rPr>
          <w:i/>
          <w:sz w:val="24"/>
        </w:rPr>
        <w:t>Service Criteria </w:t>
      </w:r>
      <w:r>
        <w:rPr>
          <w:sz w:val="24"/>
        </w:rPr>
        <w:t>that are applicable to the dispute and Chapter 5, this Chapter 6, Chapter 7A and </w:t>
      </w:r>
      <w:r>
        <w:rPr>
          <w:i/>
          <w:sz w:val="24"/>
        </w:rPr>
        <w:t>jurisdictional electricity legislation</w:t>
      </w:r>
      <w:r>
        <w:rPr>
          <w:sz w:val="24"/>
        </w:rPr>
        <w:t>;</w:t>
      </w:r>
      <w:r>
        <w:rPr>
          <w:spacing w:val="-4"/>
          <w:sz w:val="24"/>
        </w:rPr>
        <w:t> </w:t>
      </w:r>
      <w:r>
        <w:rPr>
          <w:sz w:val="24"/>
        </w:rPr>
        <w:t>and</w:t>
      </w:r>
    </w:p>
    <w:p>
      <w:pPr>
        <w:pStyle w:val="ListParagraph"/>
        <w:numPr>
          <w:ilvl w:val="4"/>
          <w:numId w:val="458"/>
        </w:numPr>
        <w:tabs>
          <w:tab w:pos="2486" w:val="left" w:leader="none"/>
        </w:tabs>
        <w:spacing w:line="240" w:lineRule="auto" w:before="120" w:after="0"/>
        <w:ind w:left="2486" w:right="414" w:hanging="567"/>
        <w:jc w:val="both"/>
        <w:rPr>
          <w:sz w:val="24"/>
        </w:rPr>
      </w:pPr>
      <w:r>
        <w:rPr>
          <w:sz w:val="24"/>
        </w:rPr>
        <w:t>in relation to all </w:t>
      </w:r>
      <w:r>
        <w:rPr>
          <w:i/>
          <w:sz w:val="24"/>
        </w:rPr>
        <w:t>terms and conditions of access </w:t>
      </w:r>
      <w:r>
        <w:rPr>
          <w:sz w:val="24"/>
        </w:rPr>
        <w:t>(including price) the decisions of the </w:t>
      </w:r>
      <w:r>
        <w:rPr>
          <w:i/>
          <w:sz w:val="24"/>
        </w:rPr>
        <w:t>AER </w:t>
      </w:r>
      <w:r>
        <w:rPr>
          <w:sz w:val="24"/>
        </w:rPr>
        <w:t>where those decisions relate to those terms and conditions under Chapter 5, this Chapter 6, Chapter 7A </w:t>
      </w:r>
      <w:r>
        <w:rPr>
          <w:spacing w:val="-4"/>
          <w:sz w:val="24"/>
        </w:rPr>
        <w:t>and </w:t>
      </w:r>
      <w:r>
        <w:rPr>
          <w:i/>
          <w:sz w:val="24"/>
        </w:rPr>
        <w:t>jurisdictional electricity legislation </w:t>
      </w:r>
      <w:r>
        <w:rPr>
          <w:sz w:val="24"/>
        </w:rPr>
        <w:t>and are made under Chapter 5, this Chapter 6 and Chapter</w:t>
      </w:r>
      <w:r>
        <w:rPr>
          <w:spacing w:val="-1"/>
          <w:sz w:val="24"/>
        </w:rPr>
        <w:t> </w:t>
      </w:r>
      <w:r>
        <w:rPr>
          <w:sz w:val="24"/>
        </w:rPr>
        <w:t>7;</w:t>
      </w:r>
    </w:p>
    <w:p>
      <w:pPr>
        <w:pStyle w:val="BodyText"/>
        <w:ind w:left="1919" w:firstLine="0"/>
      </w:pPr>
      <w:r>
        <w:rPr/>
        <w:t>and must have regard:</w:t>
      </w:r>
    </w:p>
    <w:p>
      <w:pPr>
        <w:spacing w:after="0"/>
        <w:sectPr>
          <w:pgSz w:w="11910" w:h="16840"/>
          <w:pgMar w:header="686" w:footer="637" w:top="1320" w:bottom="820" w:left="1200" w:right="1000"/>
        </w:sectPr>
      </w:pPr>
    </w:p>
    <w:p>
      <w:pPr>
        <w:pStyle w:val="ListParagraph"/>
        <w:numPr>
          <w:ilvl w:val="4"/>
          <w:numId w:val="458"/>
        </w:numPr>
        <w:tabs>
          <w:tab w:pos="2486" w:val="left" w:leader="none"/>
        </w:tabs>
        <w:spacing w:line="240" w:lineRule="auto" w:before="83" w:after="0"/>
        <w:ind w:left="2486" w:right="416" w:hanging="567"/>
        <w:jc w:val="both"/>
        <w:rPr>
          <w:sz w:val="24"/>
        </w:rPr>
      </w:pPr>
      <w:r>
        <w:rPr>
          <w:sz w:val="24"/>
        </w:rPr>
        <w:t>to the relevant </w:t>
      </w:r>
      <w:r>
        <w:rPr>
          <w:i/>
          <w:sz w:val="24"/>
        </w:rPr>
        <w:t>negotiating framework </w:t>
      </w:r>
      <w:r>
        <w:rPr>
          <w:sz w:val="24"/>
        </w:rPr>
        <w:t>prepared by the </w:t>
      </w:r>
      <w:r>
        <w:rPr>
          <w:i/>
          <w:sz w:val="24"/>
        </w:rPr>
        <w:t>Distribution </w:t>
      </w:r>
      <w:r>
        <w:rPr>
          <w:i/>
          <w:sz w:val="24"/>
        </w:rPr>
        <w:t>Network Service Provider </w:t>
      </w:r>
      <w:r>
        <w:rPr>
          <w:sz w:val="24"/>
        </w:rPr>
        <w:t>and approved by the</w:t>
      </w:r>
      <w:r>
        <w:rPr>
          <w:spacing w:val="-1"/>
          <w:sz w:val="24"/>
        </w:rPr>
        <w:t> </w:t>
      </w:r>
      <w:r>
        <w:rPr>
          <w:i/>
          <w:sz w:val="24"/>
        </w:rPr>
        <w:t>AER</w:t>
      </w:r>
      <w:r>
        <w:rPr>
          <w:sz w:val="24"/>
        </w:rPr>
        <w:t>.</w:t>
      </w:r>
    </w:p>
    <w:p>
      <w:pPr>
        <w:pStyle w:val="ListParagraph"/>
        <w:numPr>
          <w:ilvl w:val="3"/>
          <w:numId w:val="458"/>
        </w:numPr>
        <w:tabs>
          <w:tab w:pos="1919" w:val="left" w:leader="none"/>
        </w:tabs>
        <w:spacing w:line="240" w:lineRule="auto" w:before="120" w:after="0"/>
        <w:ind w:left="1919" w:right="414" w:hanging="567"/>
        <w:jc w:val="both"/>
        <w:rPr>
          <w:sz w:val="24"/>
        </w:rPr>
      </w:pPr>
      <w:r>
        <w:rPr>
          <w:sz w:val="24"/>
        </w:rPr>
        <w:t>In determining an access dispute about the </w:t>
      </w:r>
      <w:r>
        <w:rPr>
          <w:i/>
          <w:sz w:val="24"/>
        </w:rPr>
        <w:t>terms and conditions of access </w:t>
      </w:r>
      <w:r>
        <w:rPr>
          <w:spacing w:val="-6"/>
          <w:sz w:val="24"/>
        </w:rPr>
        <w:t>to </w:t>
      </w:r>
      <w:r>
        <w:rPr>
          <w:sz w:val="24"/>
        </w:rPr>
        <w:t>a </w:t>
      </w:r>
      <w:r>
        <w:rPr>
          <w:i/>
          <w:sz w:val="24"/>
        </w:rPr>
        <w:t>negotiated distribution service</w:t>
      </w:r>
      <w:r>
        <w:rPr>
          <w:sz w:val="24"/>
        </w:rPr>
        <w:t>, the </w:t>
      </w:r>
      <w:r>
        <w:rPr>
          <w:i/>
          <w:sz w:val="24"/>
        </w:rPr>
        <w:t>AER</w:t>
      </w:r>
      <w:r>
        <w:rPr>
          <w:i/>
          <w:spacing w:val="-1"/>
          <w:sz w:val="24"/>
        </w:rPr>
        <w:t> </w:t>
      </w:r>
      <w:r>
        <w:rPr>
          <w:sz w:val="24"/>
        </w:rPr>
        <w:t>may:</w:t>
      </w:r>
    </w:p>
    <w:p>
      <w:pPr>
        <w:pStyle w:val="ListParagraph"/>
        <w:numPr>
          <w:ilvl w:val="4"/>
          <w:numId w:val="458"/>
        </w:numPr>
        <w:tabs>
          <w:tab w:pos="2486" w:val="left" w:leader="none"/>
        </w:tabs>
        <w:spacing w:line="240" w:lineRule="auto" w:before="120" w:after="0"/>
        <w:ind w:left="2485" w:right="0" w:hanging="567"/>
        <w:jc w:val="both"/>
        <w:rPr>
          <w:sz w:val="24"/>
        </w:rPr>
      </w:pPr>
      <w:r>
        <w:rPr>
          <w:sz w:val="24"/>
        </w:rPr>
        <w:t>have regard to other matters the </w:t>
      </w:r>
      <w:r>
        <w:rPr>
          <w:i/>
          <w:sz w:val="24"/>
        </w:rPr>
        <w:t>AER </w:t>
      </w:r>
      <w:r>
        <w:rPr>
          <w:sz w:val="24"/>
        </w:rPr>
        <w:t>considers relevant;</w:t>
      </w:r>
      <w:r>
        <w:rPr>
          <w:spacing w:val="-2"/>
          <w:sz w:val="24"/>
        </w:rPr>
        <w:t> </w:t>
      </w:r>
      <w:r>
        <w:rPr>
          <w:sz w:val="24"/>
        </w:rPr>
        <w:t>and</w:t>
      </w:r>
    </w:p>
    <w:p>
      <w:pPr>
        <w:pStyle w:val="ListParagraph"/>
        <w:numPr>
          <w:ilvl w:val="4"/>
          <w:numId w:val="458"/>
        </w:numPr>
        <w:tabs>
          <w:tab w:pos="2486" w:val="left" w:leader="none"/>
        </w:tabs>
        <w:spacing w:line="240" w:lineRule="auto" w:before="120" w:after="0"/>
        <w:ind w:left="2486" w:right="416" w:hanging="567"/>
        <w:jc w:val="both"/>
        <w:rPr>
          <w:sz w:val="24"/>
        </w:rPr>
      </w:pPr>
      <w:r>
        <w:rPr>
          <w:sz w:val="24"/>
        </w:rPr>
        <w:t>hear evidence or receive submissions from </w:t>
      </w:r>
      <w:r>
        <w:rPr>
          <w:i/>
          <w:sz w:val="24"/>
        </w:rPr>
        <w:t>NTESMO </w:t>
      </w:r>
      <w:r>
        <w:rPr>
          <w:sz w:val="24"/>
        </w:rPr>
        <w:t>and </w:t>
      </w:r>
      <w:r>
        <w:rPr>
          <w:i/>
          <w:sz w:val="24"/>
        </w:rPr>
        <w:t>Distribution </w:t>
      </w:r>
      <w:r>
        <w:rPr>
          <w:i/>
          <w:sz w:val="24"/>
        </w:rPr>
        <w:t>Network Users </w:t>
      </w:r>
      <w:r>
        <w:rPr>
          <w:sz w:val="24"/>
        </w:rPr>
        <w:t>notified and consulted under the </w:t>
      </w:r>
      <w:r>
        <w:rPr>
          <w:i/>
          <w:sz w:val="24"/>
        </w:rPr>
        <w:t>Distribution Network </w:t>
      </w:r>
      <w:r>
        <w:rPr>
          <w:i/>
          <w:sz w:val="24"/>
        </w:rPr>
        <w:t>Service Provider's negotiating</w:t>
      </w:r>
      <w:r>
        <w:rPr>
          <w:i/>
          <w:spacing w:val="-2"/>
          <w:sz w:val="24"/>
        </w:rPr>
        <w:t> </w:t>
      </w:r>
      <w:r>
        <w:rPr>
          <w:i/>
          <w:sz w:val="24"/>
        </w:rPr>
        <w:t>framework</w:t>
      </w:r>
      <w:r>
        <w:rPr>
          <w:sz w:val="24"/>
        </w:rPr>
        <w:t>.</w:t>
      </w:r>
    </w:p>
    <w:p>
      <w:pPr>
        <w:pStyle w:val="ListParagraph"/>
        <w:numPr>
          <w:ilvl w:val="3"/>
          <w:numId w:val="458"/>
        </w:numPr>
        <w:tabs>
          <w:tab w:pos="1919" w:val="left" w:leader="none"/>
        </w:tabs>
        <w:spacing w:line="240" w:lineRule="auto" w:before="120" w:after="0"/>
        <w:ind w:left="1919" w:right="414" w:hanging="567"/>
        <w:jc w:val="both"/>
        <w:rPr>
          <w:sz w:val="24"/>
        </w:rPr>
      </w:pPr>
      <w:r>
        <w:rPr>
          <w:sz w:val="24"/>
        </w:rPr>
        <w:t>In determining an access dispute about </w:t>
      </w:r>
      <w:r>
        <w:rPr>
          <w:i/>
          <w:sz w:val="24"/>
        </w:rPr>
        <w:t>access charges</w:t>
      </w:r>
      <w:r>
        <w:rPr>
          <w:sz w:val="24"/>
        </w:rPr>
        <w:t>, or involving </w:t>
      </w:r>
      <w:r>
        <w:rPr>
          <w:i/>
          <w:sz w:val="24"/>
        </w:rPr>
        <w:t>access </w:t>
      </w:r>
      <w:r>
        <w:rPr>
          <w:i/>
          <w:sz w:val="24"/>
        </w:rPr>
        <w:t>charges</w:t>
      </w:r>
      <w:r>
        <w:rPr>
          <w:sz w:val="24"/>
        </w:rPr>
        <w:t>, the </w:t>
      </w:r>
      <w:r>
        <w:rPr>
          <w:i/>
          <w:sz w:val="24"/>
        </w:rPr>
        <w:t>AER </w:t>
      </w:r>
      <w:r>
        <w:rPr>
          <w:sz w:val="24"/>
        </w:rPr>
        <w:t>must give effect to the following</w:t>
      </w:r>
      <w:r>
        <w:rPr>
          <w:spacing w:val="-2"/>
          <w:sz w:val="24"/>
        </w:rPr>
        <w:t> </w:t>
      </w:r>
      <w:r>
        <w:rPr>
          <w:sz w:val="24"/>
        </w:rPr>
        <w:t>principle:</w:t>
      </w:r>
    </w:p>
    <w:p>
      <w:pPr>
        <w:pStyle w:val="BodyText"/>
        <w:ind w:left="1919" w:right="415" w:firstLine="0"/>
      </w:pPr>
      <w:r>
        <w:rPr>
          <w:i/>
        </w:rPr>
        <w:t>Access charges </w:t>
      </w:r>
      <w:r>
        <w:rPr/>
        <w:t>should be based on the costs reasonably incurred by the </w:t>
      </w:r>
      <w:r>
        <w:rPr>
          <w:i/>
        </w:rPr>
        <w:t>Distribution Network Service Provider </w:t>
      </w:r>
      <w:r>
        <w:rPr/>
        <w:t>in providing </w:t>
      </w:r>
      <w:r>
        <w:rPr>
          <w:i/>
        </w:rPr>
        <w:t>distribution network </w:t>
      </w:r>
      <w:r>
        <w:rPr>
          <w:i/>
        </w:rPr>
        <w:t>user access </w:t>
      </w:r>
      <w:r>
        <w:rPr/>
        <w:t>and, where they consist of compensation referred to in clause 5.5(f)(4)(ii) and (iii), on the revenue that is likely to be foregone and the costs that are likely to be incurred by a person referred to in those provisions where an event referred to in those provisions occurs.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terms and conditions of access in </w:t>
      </w:r>
      <w:r>
        <w:rPr>
          <w:i/>
          <w:sz w:val="20"/>
        </w:rPr>
        <w:t>jurisdiction electricity legislation </w:t>
      </w:r>
      <w:r>
        <w:rPr>
          <w:sz w:val="20"/>
        </w:rPr>
        <w:t>referred to in paragraphs (a)(2) and (3) and (c)(2) and (3) will be terms and conditions that correspond to matters set out in Chapter 4 of the </w:t>
      </w:r>
      <w:r>
        <w:rPr>
          <w:i/>
          <w:sz w:val="20"/>
        </w:rPr>
        <w:t>Rules </w:t>
      </w:r>
      <w:r>
        <w:rPr>
          <w:sz w:val="20"/>
        </w:rPr>
        <w:t>applying in other </w:t>
      </w:r>
      <w:r>
        <w:rPr>
          <w:i/>
          <w:sz w:val="20"/>
        </w:rPr>
        <w:t>participating jurisdictions</w:t>
      </w:r>
      <w:r>
        <w:rPr>
          <w:sz w:val="20"/>
        </w:rPr>
        <w:t>. The application of those paragraphs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numPr>
          <w:ilvl w:val="2"/>
          <w:numId w:val="458"/>
        </w:numPr>
        <w:tabs>
          <w:tab w:pos="1351" w:val="left" w:leader="none"/>
          <w:tab w:pos="1352" w:val="left" w:leader="none"/>
        </w:tabs>
        <w:spacing w:line="240" w:lineRule="auto" w:before="0" w:after="0"/>
        <w:ind w:left="1351" w:right="0" w:hanging="1134"/>
        <w:jc w:val="left"/>
      </w:pPr>
      <w:bookmarkStart w:name="6.22.3 Termination of access dispute wit" w:id="1638"/>
      <w:bookmarkEnd w:id="1638"/>
      <w:r>
        <w:rPr>
          <w:b w:val="0"/>
        </w:rPr>
      </w:r>
      <w:bookmarkStart w:name="_bookmark650" w:id="1639"/>
      <w:bookmarkEnd w:id="1639"/>
      <w:r>
        <w:rPr>
          <w:b w:val="0"/>
        </w:rPr>
      </w:r>
      <w:bookmarkStart w:name="_bookmark650" w:id="1640"/>
      <w:bookmarkEnd w:id="1640"/>
      <w:r>
        <w:rPr/>
        <w:t>Termination</w:t>
      </w:r>
      <w:r>
        <w:rPr/>
        <w:t> of access dispute without access</w:t>
      </w:r>
      <w:r>
        <w:rPr>
          <w:spacing w:val="-6"/>
        </w:rPr>
        <w:t> </w:t>
      </w:r>
      <w:r>
        <w:rPr/>
        <w:t>determination</w:t>
      </w:r>
    </w:p>
    <w:p>
      <w:pPr>
        <w:pStyle w:val="ListParagraph"/>
        <w:numPr>
          <w:ilvl w:val="3"/>
          <w:numId w:val="458"/>
        </w:numPr>
        <w:tabs>
          <w:tab w:pos="1919" w:val="left" w:leader="none"/>
        </w:tabs>
        <w:spacing w:line="240" w:lineRule="auto" w:before="120" w:after="0"/>
        <w:ind w:left="1919" w:right="414" w:hanging="567"/>
        <w:jc w:val="both"/>
        <w:rPr>
          <w:sz w:val="24"/>
        </w:rPr>
      </w:pPr>
      <w:r>
        <w:rPr>
          <w:sz w:val="24"/>
        </w:rPr>
        <w:t>If the </w:t>
      </w:r>
      <w:r>
        <w:rPr>
          <w:i/>
          <w:sz w:val="24"/>
        </w:rPr>
        <w:t>AER </w:t>
      </w:r>
      <w:r>
        <w:rPr>
          <w:sz w:val="24"/>
        </w:rPr>
        <w:t>considers that an access dispute could be effectively resolved by some means other than an access determination, the </w:t>
      </w:r>
      <w:r>
        <w:rPr>
          <w:i/>
          <w:sz w:val="24"/>
        </w:rPr>
        <w:t>AER </w:t>
      </w:r>
      <w:r>
        <w:rPr>
          <w:sz w:val="24"/>
        </w:rPr>
        <w:t>may give the parties to the dispute notice of the alternative means of resolving the dispute.</w:t>
      </w:r>
    </w:p>
    <w:p>
      <w:pPr>
        <w:pStyle w:val="ListParagraph"/>
        <w:numPr>
          <w:ilvl w:val="3"/>
          <w:numId w:val="458"/>
        </w:numPr>
        <w:tabs>
          <w:tab w:pos="1919" w:val="left" w:leader="none"/>
        </w:tabs>
        <w:spacing w:line="240" w:lineRule="auto" w:before="120" w:after="0"/>
        <w:ind w:left="1919" w:right="415" w:hanging="567"/>
        <w:jc w:val="both"/>
        <w:rPr>
          <w:sz w:val="24"/>
        </w:rPr>
      </w:pPr>
      <w:r>
        <w:rPr>
          <w:sz w:val="24"/>
        </w:rPr>
        <w:t>The giving of such a notice is a specified dispute termination circumstance for the purposes of section 131(3) of the</w:t>
      </w:r>
      <w:r>
        <w:rPr>
          <w:spacing w:val="-1"/>
          <w:sz w:val="24"/>
        </w:rPr>
        <w:t> </w:t>
      </w:r>
      <w:r>
        <w:rPr>
          <w:sz w:val="24"/>
        </w:rPr>
        <w:t>Law.</w:t>
      </w:r>
    </w:p>
    <w:p>
      <w:pPr>
        <w:spacing w:before="120"/>
        <w:ind w:left="1919" w:right="0" w:firstLine="0"/>
        <w:jc w:val="left"/>
        <w:rPr>
          <w:rFonts w:ascii="Arial"/>
          <w:b/>
          <w:sz w:val="20"/>
        </w:rPr>
      </w:pPr>
      <w:r>
        <w:rPr>
          <w:rFonts w:ascii="Arial"/>
          <w:b/>
          <w:sz w:val="20"/>
        </w:rPr>
        <w:t>Note:</w:t>
      </w:r>
    </w:p>
    <w:p>
      <w:pPr>
        <w:spacing w:before="120"/>
        <w:ind w:left="1919" w:right="415" w:firstLine="0"/>
        <w:jc w:val="left"/>
        <w:rPr>
          <w:sz w:val="20"/>
        </w:rPr>
      </w:pPr>
      <w:r>
        <w:rPr>
          <w:sz w:val="20"/>
        </w:rPr>
        <w:t>It follows that the </w:t>
      </w:r>
      <w:r>
        <w:rPr>
          <w:i/>
          <w:sz w:val="20"/>
        </w:rPr>
        <w:t>AER </w:t>
      </w:r>
      <w:r>
        <w:rPr>
          <w:sz w:val="20"/>
        </w:rPr>
        <w:t>may exercise its power to terminate the dispute without making an access determination (See section 131(1)(d) of the Law).</w:t>
      </w:r>
    </w:p>
    <w:p>
      <w:pPr>
        <w:pStyle w:val="BodyText"/>
        <w:spacing w:before="9"/>
        <w:ind w:firstLine="0"/>
        <w:jc w:val="left"/>
        <w:rPr>
          <w:sz w:val="18"/>
        </w:rPr>
      </w:pPr>
      <w:r>
        <w:rPr/>
        <w:pict>
          <v:shape style="position:absolute;margin-left:69.450005pt;margin-top:12.027465pt;width:456.45pt;height:32.2pt;mso-position-horizontal-relative:page;mso-position-vertical-relative:paragraph;z-index:-251617280;mso-wrap-distance-left:0;mso-wrap-distance-right:0" type="#_x0000_t202" filled="true" fillcolor="#d9d9d9" stroked="false">
            <v:textbox inset="0,0,0,0">
              <w:txbxContent>
                <w:p>
                  <w:pPr>
                    <w:tabs>
                      <w:tab w:pos="1163" w:val="left" w:leader="none"/>
                    </w:tabs>
                    <w:spacing w:before="0"/>
                    <w:ind w:left="1163" w:right="945" w:hanging="1134"/>
                    <w:jc w:val="left"/>
                    <w:rPr>
                      <w:rFonts w:ascii="Arial"/>
                      <w:b/>
                      <w:sz w:val="28"/>
                    </w:rPr>
                  </w:pPr>
                  <w:bookmarkStart w:name="Part M Separate disclosure of transmissi" w:id="1641"/>
                  <w:bookmarkEnd w:id="1641"/>
                  <w:r>
                    <w:rPr/>
                  </w:r>
                  <w:bookmarkStart w:name="_bookmark651" w:id="1642"/>
                  <w:bookmarkEnd w:id="1642"/>
                  <w:r>
                    <w:rPr/>
                  </w:r>
                  <w:r>
                    <w:rPr>
                      <w:rFonts w:ascii="Arial"/>
                      <w:b/>
                      <w:sz w:val="28"/>
                    </w:rPr>
                    <w:t>Part M</w:t>
                    <w:tab/>
                    <w:t>Separate disclosure of transmission and distribution charges</w:t>
                  </w:r>
                </w:p>
              </w:txbxContent>
            </v:textbox>
            <v:fill type="solid"/>
            <w10:wrap type="topAndBottom"/>
          </v:shape>
        </w:pict>
      </w:r>
    </w:p>
    <w:p>
      <w:pPr>
        <w:spacing w:before="105"/>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Part has no effect in this jurisdiction. The application of this Part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3"/>
        <w:numPr>
          <w:ilvl w:val="1"/>
          <w:numId w:val="442"/>
        </w:numPr>
        <w:tabs>
          <w:tab w:pos="1351" w:val="left" w:leader="none"/>
          <w:tab w:pos="1353" w:val="left" w:leader="none"/>
        </w:tabs>
        <w:spacing w:line="240" w:lineRule="auto" w:before="0" w:after="0"/>
        <w:ind w:left="1352" w:right="0" w:hanging="1135"/>
        <w:jc w:val="left"/>
      </w:pPr>
      <w:bookmarkStart w:name="6.23 Separate disclosure of transmission" w:id="1643"/>
      <w:bookmarkEnd w:id="1643"/>
      <w:r>
        <w:rPr>
          <w:b w:val="0"/>
        </w:rPr>
      </w:r>
      <w:bookmarkStart w:name="_bookmark652" w:id="1644"/>
      <w:bookmarkEnd w:id="1644"/>
      <w:r>
        <w:rPr>
          <w:b w:val="0"/>
        </w:rPr>
      </w:r>
      <w:bookmarkStart w:name="_bookmark652" w:id="1645"/>
      <w:bookmarkEnd w:id="1645"/>
      <w:r>
        <w:rPr/>
        <w:t>Separate</w:t>
      </w:r>
      <w:r>
        <w:rPr/>
        <w:t> disclosure of transmission and distribution</w:t>
      </w:r>
      <w:r>
        <w:rPr>
          <w:spacing w:val="-9"/>
        </w:rPr>
        <w:t> </w:t>
      </w:r>
      <w:r>
        <w:rPr/>
        <w:t>charges</w:t>
      </w:r>
    </w:p>
    <w:p>
      <w:pPr>
        <w:pStyle w:val="ListParagraph"/>
        <w:numPr>
          <w:ilvl w:val="2"/>
          <w:numId w:val="442"/>
        </w:numPr>
        <w:tabs>
          <w:tab w:pos="1918" w:val="left" w:leader="none"/>
          <w:tab w:pos="1919" w:val="left" w:leader="none"/>
        </w:tabs>
        <w:spacing w:line="240" w:lineRule="auto" w:before="120" w:after="0"/>
        <w:ind w:left="1918" w:right="0" w:hanging="567"/>
        <w:jc w:val="left"/>
        <w:rPr>
          <w:sz w:val="24"/>
        </w:rPr>
      </w:pPr>
      <w:r>
        <w:rPr>
          <w:sz w:val="24"/>
        </w:rPr>
        <w:t>A </w:t>
      </w:r>
      <w:r>
        <w:rPr>
          <w:i/>
          <w:sz w:val="24"/>
        </w:rPr>
        <w:t>Distribution</w:t>
      </w:r>
      <w:r>
        <w:rPr>
          <w:i/>
          <w:spacing w:val="-1"/>
          <w:sz w:val="24"/>
        </w:rPr>
        <w:t> </w:t>
      </w:r>
      <w:r>
        <w:rPr>
          <w:i/>
          <w:sz w:val="24"/>
        </w:rPr>
        <w:t>Customer</w:t>
      </w:r>
      <w:r>
        <w:rPr>
          <w:sz w:val="24"/>
        </w:rPr>
        <w:t>:</w:t>
      </w:r>
    </w:p>
    <w:p>
      <w:pPr>
        <w:pStyle w:val="ListParagraph"/>
        <w:numPr>
          <w:ilvl w:val="3"/>
          <w:numId w:val="442"/>
        </w:numPr>
        <w:tabs>
          <w:tab w:pos="2485" w:val="left" w:leader="none"/>
          <w:tab w:pos="2486" w:val="left" w:leader="none"/>
        </w:tabs>
        <w:spacing w:line="240" w:lineRule="auto" w:before="120" w:after="0"/>
        <w:ind w:left="2485" w:right="0" w:hanging="567"/>
        <w:jc w:val="left"/>
        <w:rPr>
          <w:sz w:val="24"/>
        </w:rPr>
      </w:pPr>
      <w:r>
        <w:rPr>
          <w:sz w:val="24"/>
        </w:rPr>
        <w:t>with a </w:t>
      </w:r>
      <w:r>
        <w:rPr>
          <w:i/>
          <w:sz w:val="24"/>
        </w:rPr>
        <w:t>load </w:t>
      </w:r>
      <w:r>
        <w:rPr>
          <w:sz w:val="24"/>
        </w:rPr>
        <w:t>greater than 10MW or 40GWh per annum;</w:t>
      </w:r>
      <w:r>
        <w:rPr>
          <w:spacing w:val="-2"/>
          <w:sz w:val="24"/>
        </w:rPr>
        <w:t> </w:t>
      </w:r>
      <w:r>
        <w:rPr>
          <w:sz w:val="24"/>
        </w:rPr>
        <w:t>or</w:t>
      </w:r>
    </w:p>
    <w:p>
      <w:pPr>
        <w:pStyle w:val="ListParagraph"/>
        <w:numPr>
          <w:ilvl w:val="3"/>
          <w:numId w:val="442"/>
        </w:numPr>
        <w:tabs>
          <w:tab w:pos="2485" w:val="left" w:leader="none"/>
          <w:tab w:pos="2486" w:val="left" w:leader="none"/>
        </w:tabs>
        <w:spacing w:line="240" w:lineRule="auto" w:before="120" w:after="0"/>
        <w:ind w:left="2485" w:right="0" w:hanging="567"/>
        <w:jc w:val="left"/>
        <w:rPr>
          <w:i/>
          <w:sz w:val="24"/>
        </w:rPr>
      </w:pPr>
      <w:r>
        <w:rPr>
          <w:sz w:val="24"/>
        </w:rPr>
        <w:t>with</w:t>
      </w:r>
      <w:r>
        <w:rPr>
          <w:spacing w:val="34"/>
          <w:sz w:val="24"/>
        </w:rPr>
        <w:t> </w:t>
      </w:r>
      <w:r>
        <w:rPr>
          <w:i/>
          <w:sz w:val="24"/>
        </w:rPr>
        <w:t>metering</w:t>
      </w:r>
      <w:r>
        <w:rPr>
          <w:i/>
          <w:spacing w:val="33"/>
          <w:sz w:val="24"/>
        </w:rPr>
        <w:t> </w:t>
      </w:r>
      <w:r>
        <w:rPr>
          <w:sz w:val="24"/>
        </w:rPr>
        <w:t>equipment</w:t>
      </w:r>
      <w:r>
        <w:rPr>
          <w:spacing w:val="35"/>
          <w:sz w:val="24"/>
        </w:rPr>
        <w:t> </w:t>
      </w:r>
      <w:r>
        <w:rPr>
          <w:sz w:val="24"/>
        </w:rPr>
        <w:t>capable</w:t>
      </w:r>
      <w:r>
        <w:rPr>
          <w:spacing w:val="33"/>
          <w:sz w:val="24"/>
        </w:rPr>
        <w:t> </w:t>
      </w:r>
      <w:r>
        <w:rPr>
          <w:sz w:val="24"/>
        </w:rPr>
        <w:t>of</w:t>
      </w:r>
      <w:r>
        <w:rPr>
          <w:spacing w:val="34"/>
          <w:sz w:val="24"/>
        </w:rPr>
        <w:t> </w:t>
      </w:r>
      <w:r>
        <w:rPr>
          <w:sz w:val="24"/>
        </w:rPr>
        <w:t>capturing</w:t>
      </w:r>
      <w:r>
        <w:rPr>
          <w:spacing w:val="35"/>
          <w:sz w:val="24"/>
        </w:rPr>
        <w:t> </w:t>
      </w:r>
      <w:r>
        <w:rPr>
          <w:sz w:val="24"/>
        </w:rPr>
        <w:t>relevant</w:t>
      </w:r>
      <w:r>
        <w:rPr>
          <w:spacing w:val="33"/>
          <w:sz w:val="24"/>
        </w:rPr>
        <w:t> </w:t>
      </w:r>
      <w:r>
        <w:rPr>
          <w:i/>
          <w:sz w:val="24"/>
        </w:rPr>
        <w:t>transmission</w:t>
      </w:r>
    </w:p>
    <w:p>
      <w:pPr>
        <w:spacing w:before="0"/>
        <w:ind w:left="2486" w:right="0" w:firstLine="0"/>
        <w:jc w:val="left"/>
        <w:rPr>
          <w:sz w:val="24"/>
        </w:rPr>
      </w:pPr>
      <w:r>
        <w:rPr>
          <w:sz w:val="24"/>
        </w:rPr>
        <w:t>and </w:t>
      </w:r>
      <w:r>
        <w:rPr>
          <w:i/>
          <w:sz w:val="24"/>
        </w:rPr>
        <w:t>distribution system </w:t>
      </w:r>
      <w:r>
        <w:rPr>
          <w:sz w:val="24"/>
        </w:rPr>
        <w:t>usage data,</w:t>
      </w:r>
    </w:p>
    <w:p>
      <w:pPr>
        <w:spacing w:after="0"/>
        <w:jc w:val="left"/>
        <w:rPr>
          <w:sz w:val="24"/>
        </w:rPr>
        <w:sectPr>
          <w:pgSz w:w="11910" w:h="16840"/>
          <w:pgMar w:header="686" w:footer="637" w:top="1320" w:bottom="820" w:left="1200" w:right="1000"/>
        </w:sectPr>
      </w:pPr>
    </w:p>
    <w:p>
      <w:pPr>
        <w:spacing w:before="83"/>
        <w:ind w:left="1919" w:right="414" w:firstLine="0"/>
        <w:jc w:val="both"/>
        <w:rPr>
          <w:sz w:val="24"/>
        </w:rPr>
      </w:pPr>
      <w:r>
        <w:rPr>
          <w:sz w:val="24"/>
        </w:rPr>
        <w:t>may make a request (a </w:t>
      </w:r>
      <w:r>
        <w:rPr>
          <w:b/>
          <w:sz w:val="24"/>
        </w:rPr>
        <w:t>TUOS/DUOS disclosure request</w:t>
      </w:r>
      <w:r>
        <w:rPr>
          <w:sz w:val="24"/>
        </w:rPr>
        <w:t>) to a </w:t>
      </w:r>
      <w:r>
        <w:rPr>
          <w:i/>
          <w:sz w:val="24"/>
        </w:rPr>
        <w:t>Distribution </w:t>
      </w:r>
      <w:r>
        <w:rPr>
          <w:i/>
          <w:sz w:val="24"/>
        </w:rPr>
        <w:t>Network Service Provider </w:t>
      </w:r>
      <w:r>
        <w:rPr>
          <w:sz w:val="24"/>
        </w:rPr>
        <w:t>to provide the </w:t>
      </w:r>
      <w:r>
        <w:rPr>
          <w:i/>
          <w:sz w:val="24"/>
        </w:rPr>
        <w:t>Distribution Customer </w:t>
      </w:r>
      <w:r>
        <w:rPr>
          <w:sz w:val="24"/>
        </w:rPr>
        <w:t>with a statement (a </w:t>
      </w:r>
      <w:r>
        <w:rPr>
          <w:b/>
          <w:sz w:val="24"/>
        </w:rPr>
        <w:t>TUOS/DUOS disclosure statement</w:t>
      </w:r>
      <w:r>
        <w:rPr>
          <w:sz w:val="24"/>
        </w:rPr>
        <w:t>) identifying the separate components of the </w:t>
      </w:r>
      <w:r>
        <w:rPr>
          <w:i/>
          <w:sz w:val="24"/>
        </w:rPr>
        <w:t>designated pricing proposal charges </w:t>
      </w:r>
      <w:r>
        <w:rPr>
          <w:sz w:val="24"/>
        </w:rPr>
        <w:t>and </w:t>
      </w:r>
      <w:r>
        <w:rPr>
          <w:i/>
          <w:sz w:val="24"/>
        </w:rPr>
        <w:t>distribution use </w:t>
      </w:r>
      <w:r>
        <w:rPr>
          <w:i/>
          <w:sz w:val="24"/>
        </w:rPr>
        <w:t>of system </w:t>
      </w:r>
      <w:r>
        <w:rPr>
          <w:sz w:val="24"/>
        </w:rPr>
        <w:t>charges comprised in the charges for electricity supplied to the </w:t>
      </w:r>
      <w:r>
        <w:rPr>
          <w:i/>
          <w:sz w:val="24"/>
        </w:rPr>
        <w:t>Distribution Customer's connection points</w:t>
      </w:r>
      <w:r>
        <w:rPr>
          <w:sz w:val="24"/>
        </w:rPr>
        <w:t>.</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Within 10 </w:t>
      </w:r>
      <w:r>
        <w:rPr>
          <w:i/>
          <w:sz w:val="24"/>
        </w:rPr>
        <w:t>business days </w:t>
      </w:r>
      <w:r>
        <w:rPr>
          <w:sz w:val="24"/>
        </w:rPr>
        <w:t>of receipt of a TUOS/DUOS disclosure request, </w:t>
      </w:r>
      <w:r>
        <w:rPr>
          <w:spacing w:val="-11"/>
          <w:sz w:val="24"/>
        </w:rPr>
        <w:t>a </w:t>
      </w:r>
      <w:r>
        <w:rPr>
          <w:i/>
          <w:sz w:val="24"/>
        </w:rPr>
        <w:t>Distribution Network Service Provider </w:t>
      </w:r>
      <w:r>
        <w:rPr>
          <w:sz w:val="24"/>
        </w:rPr>
        <w:t>must notify the </w:t>
      </w:r>
      <w:r>
        <w:rPr>
          <w:i/>
          <w:sz w:val="24"/>
        </w:rPr>
        <w:t>Distribution </w:t>
      </w:r>
      <w:r>
        <w:rPr>
          <w:i/>
          <w:sz w:val="24"/>
        </w:rPr>
        <w:t>Customer </w:t>
      </w:r>
      <w:r>
        <w:rPr>
          <w:sz w:val="24"/>
        </w:rPr>
        <w:t>of the estimated charge (including details of how the charge is calculated) for providing the TUOS/DUOS disclosure statement. The charge must be no greater than the reasonable costs directly incurred by the </w:t>
      </w:r>
      <w:r>
        <w:rPr>
          <w:i/>
          <w:sz w:val="24"/>
        </w:rPr>
        <w:t>Distribution Network Service Provider </w:t>
      </w:r>
      <w:r>
        <w:rPr>
          <w:sz w:val="24"/>
        </w:rPr>
        <w:t>in preparing the statement for the </w:t>
      </w:r>
      <w:r>
        <w:rPr>
          <w:i/>
          <w:sz w:val="24"/>
        </w:rPr>
        <w:t>Distribution</w:t>
      </w:r>
      <w:r>
        <w:rPr>
          <w:i/>
          <w:spacing w:val="-2"/>
          <w:sz w:val="24"/>
        </w:rPr>
        <w:t> </w:t>
      </w:r>
      <w:r>
        <w:rPr>
          <w:i/>
          <w:sz w:val="24"/>
        </w:rPr>
        <w:t>Customer</w:t>
      </w:r>
      <w:r>
        <w:rPr>
          <w:sz w:val="24"/>
        </w:rPr>
        <w:t>.</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If the </w:t>
      </w:r>
      <w:r>
        <w:rPr>
          <w:i/>
          <w:sz w:val="24"/>
        </w:rPr>
        <w:t>Distribution Customer </w:t>
      </w:r>
      <w:r>
        <w:rPr>
          <w:sz w:val="24"/>
        </w:rPr>
        <w:t>advises the </w:t>
      </w:r>
      <w:r>
        <w:rPr>
          <w:i/>
          <w:sz w:val="24"/>
        </w:rPr>
        <w:t>Distribution Network Service </w:t>
      </w:r>
      <w:r>
        <w:rPr>
          <w:i/>
          <w:sz w:val="24"/>
        </w:rPr>
        <w:t>Provider </w:t>
      </w:r>
      <w:r>
        <w:rPr>
          <w:sz w:val="24"/>
        </w:rPr>
        <w:t>within 20 </w:t>
      </w:r>
      <w:r>
        <w:rPr>
          <w:i/>
          <w:sz w:val="24"/>
        </w:rPr>
        <w:t>business days </w:t>
      </w:r>
      <w:r>
        <w:rPr>
          <w:sz w:val="24"/>
        </w:rPr>
        <w:t>of receipt of the notice referred to in paragraph (b) that it still requires the requested TUOS/DUOS disclosure statement, the </w:t>
      </w:r>
      <w:r>
        <w:rPr>
          <w:i/>
          <w:sz w:val="24"/>
        </w:rPr>
        <w:t>Distribution Network Service Provider </w:t>
      </w:r>
      <w:r>
        <w:rPr>
          <w:sz w:val="24"/>
        </w:rPr>
        <w:t>must prepare the statement and provide it to the </w:t>
      </w:r>
      <w:r>
        <w:rPr>
          <w:i/>
          <w:sz w:val="24"/>
        </w:rPr>
        <w:t>Distribution Customer </w:t>
      </w:r>
      <w:r>
        <w:rPr>
          <w:sz w:val="24"/>
        </w:rPr>
        <w:t>within 20 </w:t>
      </w:r>
      <w:r>
        <w:rPr>
          <w:i/>
          <w:sz w:val="24"/>
        </w:rPr>
        <w:t>business </w:t>
      </w:r>
      <w:r>
        <w:rPr>
          <w:i/>
          <w:sz w:val="24"/>
        </w:rPr>
        <w:t>days </w:t>
      </w:r>
      <w:r>
        <w:rPr>
          <w:sz w:val="24"/>
        </w:rPr>
        <w:t>of being so advised. The TUOS/DUOS disclosure statement must include detailed information on the method used to determine the </w:t>
      </w:r>
      <w:r>
        <w:rPr>
          <w:i/>
          <w:sz w:val="24"/>
        </w:rPr>
        <w:t>distribution use of system </w:t>
      </w:r>
      <w:r>
        <w:rPr>
          <w:sz w:val="24"/>
        </w:rPr>
        <w:t>charges and the allocation of the </w:t>
      </w:r>
      <w:r>
        <w:rPr>
          <w:i/>
          <w:sz w:val="24"/>
        </w:rPr>
        <w:t>designated </w:t>
      </w:r>
      <w:r>
        <w:rPr>
          <w:i/>
          <w:sz w:val="24"/>
        </w:rPr>
        <w:t>pricing proposal charges </w:t>
      </w:r>
      <w:r>
        <w:rPr>
          <w:sz w:val="24"/>
        </w:rPr>
        <w:t>to the </w:t>
      </w:r>
      <w:r>
        <w:rPr>
          <w:i/>
          <w:sz w:val="24"/>
        </w:rPr>
        <w:t>Distribution Customer </w:t>
      </w:r>
      <w:r>
        <w:rPr>
          <w:sz w:val="24"/>
        </w:rPr>
        <w:t>for electricity supplied to its </w:t>
      </w:r>
      <w:r>
        <w:rPr>
          <w:i/>
          <w:sz w:val="24"/>
        </w:rPr>
        <w:t>connection points</w:t>
      </w:r>
      <w:r>
        <w:rPr>
          <w:sz w:val="24"/>
        </w:rPr>
        <w:t>. The information must be sufficient to allow the </w:t>
      </w:r>
      <w:r>
        <w:rPr>
          <w:i/>
          <w:sz w:val="24"/>
        </w:rPr>
        <w:t>Distribution Customer </w:t>
      </w:r>
      <w:r>
        <w:rPr>
          <w:sz w:val="24"/>
        </w:rPr>
        <w:t>to assess the impact on its </w:t>
      </w:r>
      <w:r>
        <w:rPr>
          <w:i/>
          <w:sz w:val="24"/>
        </w:rPr>
        <w:t>network </w:t>
      </w:r>
      <w:r>
        <w:rPr>
          <w:sz w:val="24"/>
        </w:rPr>
        <w:t>charges of a change in its </w:t>
      </w:r>
      <w:r>
        <w:rPr>
          <w:i/>
          <w:sz w:val="24"/>
        </w:rPr>
        <w:t>network</w:t>
      </w:r>
      <w:r>
        <w:rPr>
          <w:i/>
          <w:spacing w:val="-1"/>
          <w:sz w:val="24"/>
        </w:rPr>
        <w:t> </w:t>
      </w:r>
      <w:r>
        <w:rPr>
          <w:sz w:val="24"/>
        </w:rPr>
        <w:t>use.</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TUOS/DUOS disclosure statement must also separately identify the amounts that have been allocated to the </w:t>
      </w:r>
      <w:r>
        <w:rPr>
          <w:i/>
          <w:sz w:val="24"/>
        </w:rPr>
        <w:t>Distribution Customer's connection </w:t>
      </w:r>
      <w:r>
        <w:rPr>
          <w:i/>
          <w:sz w:val="24"/>
        </w:rPr>
        <w:t>points </w:t>
      </w:r>
      <w:r>
        <w:rPr>
          <w:sz w:val="24"/>
        </w:rPr>
        <w:t>under Part J of Chapter 6A in respect of each of the </w:t>
      </w:r>
      <w:r>
        <w:rPr>
          <w:i/>
          <w:sz w:val="24"/>
        </w:rPr>
        <w:t>categories of </w:t>
      </w:r>
      <w:r>
        <w:rPr>
          <w:i/>
          <w:sz w:val="24"/>
        </w:rPr>
        <w:t>prescribed transmission services</w:t>
      </w:r>
      <w:r>
        <w:rPr>
          <w:sz w:val="24"/>
        </w:rPr>
        <w:t>, where the </w:t>
      </w:r>
      <w:r>
        <w:rPr>
          <w:i/>
          <w:sz w:val="24"/>
        </w:rPr>
        <w:t>Distribution Customer </w:t>
      </w:r>
      <w:r>
        <w:rPr>
          <w:sz w:val="24"/>
        </w:rPr>
        <w:t>requests this</w:t>
      </w:r>
      <w:r>
        <w:rPr>
          <w:spacing w:val="-1"/>
          <w:sz w:val="24"/>
        </w:rPr>
        <w:t> </w:t>
      </w:r>
      <w:r>
        <w:rPr>
          <w:sz w:val="24"/>
        </w:rPr>
        <w:t>information.</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Where the </w:t>
      </w:r>
      <w:r>
        <w:rPr>
          <w:i/>
          <w:sz w:val="24"/>
        </w:rPr>
        <w:t>Distribution Customer </w:t>
      </w:r>
      <w:r>
        <w:rPr>
          <w:sz w:val="24"/>
        </w:rPr>
        <w:t>requests the information referred to in paragraph (d), the </w:t>
      </w:r>
      <w:r>
        <w:rPr>
          <w:i/>
          <w:sz w:val="24"/>
        </w:rPr>
        <w:t>Distribution Network Service Provider </w:t>
      </w:r>
      <w:r>
        <w:rPr>
          <w:sz w:val="24"/>
        </w:rPr>
        <w:t>must separately identify the component of the charge notified under paragraph (b) that relates to the provision of the additional</w:t>
      </w:r>
      <w:r>
        <w:rPr>
          <w:spacing w:val="-3"/>
          <w:sz w:val="24"/>
        </w:rPr>
        <w:t> </w:t>
      </w:r>
      <w:r>
        <w:rPr>
          <w:sz w:val="24"/>
        </w:rPr>
        <w:t>information.</w:t>
      </w:r>
    </w:p>
    <w:p>
      <w:pPr>
        <w:pStyle w:val="ListParagraph"/>
        <w:numPr>
          <w:ilvl w:val="2"/>
          <w:numId w:val="442"/>
        </w:numPr>
        <w:tabs>
          <w:tab w:pos="1920" w:val="left" w:leader="none"/>
        </w:tabs>
        <w:spacing w:line="240" w:lineRule="auto" w:before="120" w:after="0"/>
        <w:ind w:left="1919" w:right="415" w:hanging="567"/>
        <w:jc w:val="both"/>
        <w:rPr>
          <w:sz w:val="24"/>
        </w:rPr>
      </w:pPr>
      <w:r>
        <w:rPr>
          <w:sz w:val="24"/>
        </w:rPr>
        <w:t>Each </w:t>
      </w:r>
      <w:r>
        <w:rPr>
          <w:i/>
          <w:sz w:val="24"/>
        </w:rPr>
        <w:t>Distribution Network Service Provider </w:t>
      </w:r>
      <w:r>
        <w:rPr>
          <w:sz w:val="24"/>
        </w:rPr>
        <w:t>must publish information annually disclosing the </w:t>
      </w:r>
      <w:r>
        <w:rPr>
          <w:i/>
          <w:sz w:val="24"/>
        </w:rPr>
        <w:t>designated pricing proposal charges </w:t>
      </w:r>
      <w:r>
        <w:rPr>
          <w:spacing w:val="-4"/>
          <w:sz w:val="24"/>
        </w:rPr>
        <w:t>and</w:t>
      </w:r>
      <w:r>
        <w:rPr>
          <w:spacing w:val="52"/>
          <w:sz w:val="24"/>
        </w:rPr>
        <w:t> </w:t>
      </w:r>
      <w:r>
        <w:rPr>
          <w:i/>
          <w:sz w:val="24"/>
        </w:rPr>
        <w:t>distribution use of system </w:t>
      </w:r>
      <w:r>
        <w:rPr>
          <w:sz w:val="24"/>
        </w:rPr>
        <w:t>charges for each of the classes of </w:t>
      </w:r>
      <w:r>
        <w:rPr>
          <w:i/>
          <w:sz w:val="24"/>
        </w:rPr>
        <w:t>Distribution </w:t>
      </w:r>
      <w:r>
        <w:rPr>
          <w:i/>
          <w:sz w:val="24"/>
        </w:rPr>
        <w:t>Customers </w:t>
      </w:r>
      <w:r>
        <w:rPr>
          <w:sz w:val="24"/>
        </w:rPr>
        <w:t>identified for this purpose by the </w:t>
      </w:r>
      <w:r>
        <w:rPr>
          <w:i/>
          <w:sz w:val="24"/>
        </w:rPr>
        <w:t>Distribution Network Service </w:t>
      </w:r>
      <w:r>
        <w:rPr>
          <w:i/>
          <w:sz w:val="24"/>
        </w:rPr>
        <w:t>Provider</w:t>
      </w:r>
      <w:r>
        <w:rPr>
          <w:sz w:val="24"/>
        </w:rPr>
        <w:t>, or as required by the</w:t>
      </w:r>
      <w:r>
        <w:rPr>
          <w:spacing w:val="-1"/>
          <w:sz w:val="24"/>
        </w:rPr>
        <w:t> </w:t>
      </w:r>
      <w:r>
        <w:rPr>
          <w:i/>
          <w:sz w:val="24"/>
        </w:rPr>
        <w:t>AER</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N Dual Function Assets" w:id="1646"/>
      <w:bookmarkEnd w:id="1646"/>
      <w:r>
        <w:rPr>
          <w:b w:val="0"/>
        </w:rPr>
      </w:r>
      <w:bookmarkStart w:name="_bookmark653" w:id="1647"/>
      <w:bookmarkEnd w:id="1647"/>
      <w:r>
        <w:rPr>
          <w:b w:val="0"/>
        </w:rPr>
      </w:r>
      <w:r>
        <w:rPr>
          <w:shd w:fill="D9D9D9" w:color="auto" w:val="clear"/>
        </w:rPr>
        <w:t>Part N</w:t>
        <w:tab/>
        <w:t>Dual Function</w:t>
      </w:r>
      <w:r>
        <w:rPr>
          <w:spacing w:val="-9"/>
          <w:shd w:fill="D9D9D9" w:color="auto" w:val="clear"/>
        </w:rPr>
        <w:t> </w:t>
      </w:r>
      <w:r>
        <w:rPr>
          <w:shd w:fill="D9D9D9" w:color="auto" w:val="clear"/>
        </w:rPr>
        <w:t>Assets</w:t>
        <w:tab/>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Part has no effect in this jurisdiction. The application of this Part will be revisited as part of the phased implementation of the </w:t>
      </w:r>
      <w:r>
        <w:rPr>
          <w:i/>
          <w:sz w:val="20"/>
        </w:rPr>
        <w:t>Rules </w:t>
      </w:r>
      <w:r>
        <w:rPr>
          <w:sz w:val="20"/>
        </w:rPr>
        <w:t>in this jurisdiction.</w:t>
      </w:r>
    </w:p>
    <w:p>
      <w:pPr>
        <w:spacing w:after="0"/>
        <w:jc w:val="left"/>
        <w:rPr>
          <w:sz w:val="20"/>
        </w:rPr>
        <w:sectPr>
          <w:pgSz w:w="11910" w:h="16840"/>
          <w:pgMar w:header="686" w:footer="637" w:top="1320" w:bottom="820" w:left="1200" w:right="1000"/>
        </w:sectPr>
      </w:pPr>
    </w:p>
    <w:p>
      <w:pPr>
        <w:pStyle w:val="Heading3"/>
        <w:numPr>
          <w:ilvl w:val="1"/>
          <w:numId w:val="442"/>
        </w:numPr>
        <w:tabs>
          <w:tab w:pos="1351" w:val="left" w:leader="none"/>
          <w:tab w:pos="1353" w:val="left" w:leader="none"/>
        </w:tabs>
        <w:spacing w:line="240" w:lineRule="auto" w:before="83" w:after="0"/>
        <w:ind w:left="1352" w:right="0" w:hanging="1135"/>
        <w:jc w:val="left"/>
      </w:pPr>
      <w:bookmarkStart w:name="6.24 Dual Function Assets" w:id="1648"/>
      <w:bookmarkEnd w:id="1648"/>
      <w:r>
        <w:rPr>
          <w:b w:val="0"/>
        </w:rPr>
      </w:r>
      <w:bookmarkStart w:name="_bookmark654" w:id="1649"/>
      <w:bookmarkEnd w:id="1649"/>
      <w:r>
        <w:rPr>
          <w:b w:val="0"/>
        </w:rPr>
      </w:r>
      <w:bookmarkStart w:name="_bookmark654" w:id="1650"/>
      <w:bookmarkEnd w:id="1650"/>
      <w:r>
        <w:rPr/>
        <w:t>Dua</w:t>
      </w:r>
      <w:r>
        <w:rPr/>
        <w:t>l Function</w:t>
      </w:r>
      <w:r>
        <w:rPr>
          <w:spacing w:val="-10"/>
        </w:rPr>
        <w:t> </w:t>
      </w:r>
      <w:r>
        <w:rPr/>
        <w:t>Assets</w:t>
      </w:r>
    </w:p>
    <w:p>
      <w:pPr>
        <w:pStyle w:val="Heading4"/>
        <w:numPr>
          <w:ilvl w:val="2"/>
          <w:numId w:val="459"/>
        </w:numPr>
        <w:tabs>
          <w:tab w:pos="1351" w:val="left" w:leader="none"/>
          <w:tab w:pos="1352" w:val="left" w:leader="none"/>
        </w:tabs>
        <w:spacing w:line="240" w:lineRule="auto" w:before="240" w:after="0"/>
        <w:ind w:left="1351" w:right="0" w:hanging="1134"/>
        <w:jc w:val="left"/>
      </w:pPr>
      <w:bookmarkStart w:name="6.24.1 Application of this Part" w:id="1651"/>
      <w:bookmarkEnd w:id="1651"/>
      <w:r>
        <w:rPr>
          <w:b w:val="0"/>
        </w:rPr>
      </w:r>
      <w:bookmarkStart w:name="_bookmark655" w:id="1652"/>
      <w:bookmarkEnd w:id="1652"/>
      <w:r>
        <w:rPr>
          <w:b w:val="0"/>
        </w:rPr>
      </w:r>
      <w:bookmarkStart w:name="_bookmark655" w:id="1653"/>
      <w:bookmarkEnd w:id="1653"/>
      <w:r>
        <w:rPr/>
        <w:t>Applicatio</w:t>
      </w:r>
      <w:r>
        <w:rPr/>
        <w:t>n of this</w:t>
      </w:r>
      <w:r>
        <w:rPr>
          <w:spacing w:val="-13"/>
        </w:rPr>
        <w:t> </w:t>
      </w:r>
      <w:r>
        <w:rPr/>
        <w:t>Part</w:t>
      </w:r>
    </w:p>
    <w:p>
      <w:pPr>
        <w:spacing w:before="120"/>
        <w:ind w:left="1352" w:right="417" w:firstLine="0"/>
        <w:jc w:val="both"/>
        <w:rPr>
          <w:sz w:val="24"/>
        </w:rPr>
      </w:pPr>
      <w:r>
        <w:rPr>
          <w:sz w:val="24"/>
        </w:rPr>
        <w:t>This Part applies to </w:t>
      </w:r>
      <w:r>
        <w:rPr>
          <w:i/>
          <w:sz w:val="24"/>
        </w:rPr>
        <w:t>Distribution Network Service Providers </w:t>
      </w:r>
      <w:r>
        <w:rPr>
          <w:sz w:val="24"/>
        </w:rPr>
        <w:t>which own, control or operate both a </w:t>
      </w:r>
      <w:r>
        <w:rPr>
          <w:i/>
          <w:sz w:val="24"/>
        </w:rPr>
        <w:t>distribution system </w:t>
      </w:r>
      <w:r>
        <w:rPr>
          <w:sz w:val="24"/>
        </w:rPr>
        <w:t>and a </w:t>
      </w:r>
      <w:r>
        <w:rPr>
          <w:i/>
          <w:sz w:val="24"/>
        </w:rPr>
        <w:t>dual function asset</w:t>
      </w:r>
      <w:r>
        <w:rPr>
          <w:sz w:val="24"/>
        </w:rPr>
        <w:t>.</w:t>
      </w:r>
    </w:p>
    <w:p>
      <w:pPr>
        <w:pStyle w:val="BodyText"/>
        <w:spacing w:before="10"/>
        <w:ind w:firstLine="0"/>
        <w:jc w:val="left"/>
        <w:rPr>
          <w:sz w:val="20"/>
        </w:rPr>
      </w:pPr>
    </w:p>
    <w:p>
      <w:pPr>
        <w:pStyle w:val="Heading4"/>
        <w:numPr>
          <w:ilvl w:val="2"/>
          <w:numId w:val="459"/>
        </w:numPr>
        <w:tabs>
          <w:tab w:pos="1351" w:val="left" w:leader="none"/>
          <w:tab w:pos="1352" w:val="left" w:leader="none"/>
        </w:tabs>
        <w:spacing w:line="240" w:lineRule="auto" w:before="0" w:after="0"/>
        <w:ind w:left="1351" w:right="0" w:hanging="1134"/>
        <w:jc w:val="left"/>
      </w:pPr>
      <w:bookmarkStart w:name="6.24.2 Dual Function Assets" w:id="1654"/>
      <w:bookmarkEnd w:id="1654"/>
      <w:r>
        <w:rPr>
          <w:b w:val="0"/>
        </w:rPr>
      </w:r>
      <w:bookmarkStart w:name="_bookmark656" w:id="1655"/>
      <w:bookmarkEnd w:id="1655"/>
      <w:r>
        <w:rPr>
          <w:b w:val="0"/>
        </w:rPr>
      </w:r>
      <w:bookmarkStart w:name="_bookmark656" w:id="1656"/>
      <w:bookmarkEnd w:id="1656"/>
      <w:r>
        <w:rPr/>
        <w:t>Dua</w:t>
      </w:r>
      <w:r>
        <w:rPr/>
        <w:t>l Function</w:t>
      </w:r>
      <w:r>
        <w:rPr>
          <w:spacing w:val="-2"/>
        </w:rPr>
        <w:t> </w:t>
      </w:r>
      <w:r>
        <w:rPr/>
        <w:t>Assets</w:t>
      </w:r>
    </w:p>
    <w:p>
      <w:pPr>
        <w:pStyle w:val="BodyText"/>
        <w:ind w:left="1352" w:firstLine="0"/>
      </w:pPr>
      <w:r>
        <w:rPr/>
        <w:t>Subject to rule 6.26, for the purposes of Chapters 6 and 6A:</w:t>
      </w:r>
    </w:p>
    <w:p>
      <w:pPr>
        <w:pStyle w:val="ListParagraph"/>
        <w:numPr>
          <w:ilvl w:val="3"/>
          <w:numId w:val="459"/>
        </w:numPr>
        <w:tabs>
          <w:tab w:pos="1919" w:val="left" w:leader="none"/>
        </w:tabs>
        <w:spacing w:line="240" w:lineRule="auto" w:before="120" w:after="0"/>
        <w:ind w:left="1919" w:right="416" w:hanging="567"/>
        <w:jc w:val="both"/>
        <w:rPr>
          <w:sz w:val="24"/>
        </w:rPr>
      </w:pPr>
      <w:r>
        <w:rPr>
          <w:sz w:val="24"/>
        </w:rPr>
        <w:t>any part of a </w:t>
      </w:r>
      <w:r>
        <w:rPr>
          <w:i/>
          <w:sz w:val="24"/>
        </w:rPr>
        <w:t>network </w:t>
      </w:r>
      <w:r>
        <w:rPr>
          <w:sz w:val="24"/>
        </w:rPr>
        <w:t>owned, operated or controlled by a </w:t>
      </w:r>
      <w:r>
        <w:rPr>
          <w:i/>
          <w:sz w:val="24"/>
        </w:rPr>
        <w:t>Distribution </w:t>
      </w:r>
      <w:r>
        <w:rPr>
          <w:i/>
          <w:sz w:val="24"/>
        </w:rPr>
        <w:t>Network Service Provider </w:t>
      </w:r>
      <w:r>
        <w:rPr>
          <w:sz w:val="24"/>
        </w:rPr>
        <w:t>which operates between 66 kV and 220 kV and which operates in parallel, and provides support, to the higher voltage </w:t>
      </w:r>
      <w:r>
        <w:rPr>
          <w:i/>
          <w:sz w:val="24"/>
        </w:rPr>
        <w:t>transmission network </w:t>
      </w:r>
      <w:r>
        <w:rPr>
          <w:sz w:val="24"/>
        </w:rPr>
        <w:t>is deemed to be a </w:t>
      </w:r>
      <w:r>
        <w:rPr>
          <w:i/>
          <w:sz w:val="24"/>
        </w:rPr>
        <w:t>dual function</w:t>
      </w:r>
      <w:r>
        <w:rPr>
          <w:i/>
          <w:spacing w:val="-1"/>
          <w:sz w:val="24"/>
        </w:rPr>
        <w:t> </w:t>
      </w:r>
      <w:r>
        <w:rPr>
          <w:i/>
          <w:sz w:val="24"/>
        </w:rPr>
        <w:t>asset</w:t>
      </w:r>
      <w:r>
        <w:rPr>
          <w:sz w:val="24"/>
        </w:rPr>
        <w:t>;</w:t>
      </w:r>
    </w:p>
    <w:p>
      <w:pPr>
        <w:pStyle w:val="ListParagraph"/>
        <w:numPr>
          <w:ilvl w:val="3"/>
          <w:numId w:val="459"/>
        </w:numPr>
        <w:tabs>
          <w:tab w:pos="1919" w:val="left" w:leader="none"/>
        </w:tabs>
        <w:spacing w:line="240" w:lineRule="auto" w:before="120" w:after="0"/>
        <w:ind w:left="1919" w:right="415" w:hanging="567"/>
        <w:jc w:val="both"/>
        <w:rPr>
          <w:sz w:val="24"/>
        </w:rPr>
      </w:pPr>
      <w:r>
        <w:rPr>
          <w:sz w:val="24"/>
        </w:rPr>
        <w:t>any service that is provided by a </w:t>
      </w:r>
      <w:r>
        <w:rPr>
          <w:i/>
          <w:sz w:val="24"/>
        </w:rPr>
        <w:t>Distribution Network Service Provider </w:t>
      </w:r>
      <w:r>
        <w:rPr>
          <w:sz w:val="24"/>
        </w:rPr>
        <w:t>by means of, or in connection with, the </w:t>
      </w:r>
      <w:r>
        <w:rPr>
          <w:i/>
          <w:sz w:val="24"/>
        </w:rPr>
        <w:t>Distribution Network Service </w:t>
      </w:r>
      <w:r>
        <w:rPr>
          <w:i/>
          <w:sz w:val="24"/>
        </w:rPr>
        <w:t>Provider's dual function assets </w:t>
      </w:r>
      <w:r>
        <w:rPr>
          <w:sz w:val="24"/>
        </w:rPr>
        <w:t>that, but for this Part, would be a </w:t>
      </w:r>
      <w:r>
        <w:rPr>
          <w:i/>
          <w:sz w:val="24"/>
        </w:rPr>
        <w:t>prescribed </w:t>
      </w:r>
      <w:r>
        <w:rPr>
          <w:i/>
          <w:sz w:val="24"/>
        </w:rPr>
        <w:t>transmission service </w:t>
      </w:r>
      <w:r>
        <w:rPr>
          <w:sz w:val="24"/>
        </w:rPr>
        <w:t>for the purposes of Chapter 6A is deemed to be a </w:t>
      </w:r>
      <w:r>
        <w:rPr>
          <w:i/>
          <w:sz w:val="24"/>
        </w:rPr>
        <w:t>standard control</w:t>
      </w:r>
      <w:r>
        <w:rPr>
          <w:i/>
          <w:spacing w:val="-2"/>
          <w:sz w:val="24"/>
        </w:rPr>
        <w:t> </w:t>
      </w:r>
      <w:r>
        <w:rPr>
          <w:i/>
          <w:sz w:val="24"/>
        </w:rPr>
        <w:t>service</w:t>
      </w:r>
      <w:r>
        <w:rPr>
          <w:sz w:val="24"/>
        </w:rPr>
        <w:t>;</w:t>
      </w:r>
    </w:p>
    <w:p>
      <w:pPr>
        <w:pStyle w:val="ListParagraph"/>
        <w:numPr>
          <w:ilvl w:val="3"/>
          <w:numId w:val="459"/>
        </w:numPr>
        <w:tabs>
          <w:tab w:pos="1919" w:val="left" w:leader="none"/>
        </w:tabs>
        <w:spacing w:line="240" w:lineRule="auto" w:before="120" w:after="0"/>
        <w:ind w:left="1919" w:right="415" w:hanging="567"/>
        <w:jc w:val="both"/>
        <w:rPr>
          <w:sz w:val="24"/>
        </w:rPr>
      </w:pPr>
      <w:r>
        <w:rPr>
          <w:sz w:val="24"/>
        </w:rPr>
        <w:t>any service that is provided by a </w:t>
      </w:r>
      <w:r>
        <w:rPr>
          <w:i/>
          <w:sz w:val="24"/>
        </w:rPr>
        <w:t>Distribution Network Service Provider </w:t>
      </w:r>
      <w:r>
        <w:rPr>
          <w:sz w:val="24"/>
        </w:rPr>
        <w:t>by means of, or in connection with, the </w:t>
      </w:r>
      <w:r>
        <w:rPr>
          <w:i/>
          <w:sz w:val="24"/>
        </w:rPr>
        <w:t>Distribution Network Service </w:t>
      </w:r>
      <w:r>
        <w:rPr>
          <w:i/>
          <w:sz w:val="24"/>
        </w:rPr>
        <w:t>Provider's dual function assets </w:t>
      </w:r>
      <w:r>
        <w:rPr>
          <w:sz w:val="24"/>
        </w:rPr>
        <w:t>that, but for this Part, would be a </w:t>
      </w:r>
      <w:r>
        <w:rPr>
          <w:i/>
          <w:sz w:val="24"/>
        </w:rPr>
        <w:t>negotiated </w:t>
      </w:r>
      <w:r>
        <w:rPr>
          <w:i/>
          <w:sz w:val="24"/>
        </w:rPr>
        <w:t>transmission service </w:t>
      </w:r>
      <w:r>
        <w:rPr>
          <w:sz w:val="24"/>
        </w:rPr>
        <w:t>under Chapter 6A is deemed to be a </w:t>
      </w:r>
      <w:r>
        <w:rPr>
          <w:i/>
          <w:sz w:val="24"/>
        </w:rPr>
        <w:t>negotiated </w:t>
      </w:r>
      <w:r>
        <w:rPr>
          <w:i/>
          <w:sz w:val="24"/>
        </w:rPr>
        <w:t>distribution service</w:t>
      </w:r>
      <w:r>
        <w:rPr>
          <w:sz w:val="24"/>
        </w:rPr>
        <w:t>;</w:t>
      </w:r>
      <w:r>
        <w:rPr>
          <w:spacing w:val="-1"/>
          <w:sz w:val="24"/>
        </w:rPr>
        <w:t> </w:t>
      </w:r>
      <w:r>
        <w:rPr>
          <w:sz w:val="24"/>
        </w:rPr>
        <w:t>and</w:t>
      </w:r>
    </w:p>
    <w:p>
      <w:pPr>
        <w:pStyle w:val="ListParagraph"/>
        <w:numPr>
          <w:ilvl w:val="3"/>
          <w:numId w:val="459"/>
        </w:numPr>
        <w:tabs>
          <w:tab w:pos="1919" w:val="left" w:leader="none"/>
        </w:tabs>
        <w:spacing w:line="240" w:lineRule="auto" w:before="120" w:after="0"/>
        <w:ind w:left="1919" w:right="416" w:hanging="567"/>
        <w:jc w:val="both"/>
        <w:rPr>
          <w:sz w:val="24"/>
        </w:rPr>
      </w:pPr>
      <w:r>
        <w:rPr>
          <w:sz w:val="24"/>
        </w:rPr>
        <w:t>references to </w:t>
      </w:r>
      <w:r>
        <w:rPr>
          <w:i/>
          <w:sz w:val="24"/>
        </w:rPr>
        <w:t>prescribed transmission services </w:t>
      </w:r>
      <w:r>
        <w:rPr>
          <w:sz w:val="24"/>
        </w:rPr>
        <w:t>do not include a service provided by means of, or in connection with, a </w:t>
      </w:r>
      <w:r>
        <w:rPr>
          <w:i/>
          <w:sz w:val="24"/>
        </w:rPr>
        <w:t>dual function</w:t>
      </w:r>
      <w:r>
        <w:rPr>
          <w:i/>
          <w:spacing w:val="-2"/>
          <w:sz w:val="24"/>
        </w:rPr>
        <w:t> </w:t>
      </w:r>
      <w:r>
        <w:rPr>
          <w:i/>
          <w:sz w:val="24"/>
        </w:rPr>
        <w:t>asset</w:t>
      </w:r>
      <w:r>
        <w:rPr>
          <w:sz w:val="24"/>
        </w:rPr>
        <w:t>.</w:t>
      </w:r>
    </w:p>
    <w:p>
      <w:pPr>
        <w:pStyle w:val="BodyText"/>
        <w:spacing w:before="10"/>
        <w:ind w:firstLine="0"/>
        <w:jc w:val="left"/>
        <w:rPr>
          <w:sz w:val="20"/>
        </w:rPr>
      </w:pPr>
    </w:p>
    <w:p>
      <w:pPr>
        <w:pStyle w:val="Heading3"/>
        <w:numPr>
          <w:ilvl w:val="1"/>
          <w:numId w:val="442"/>
        </w:numPr>
        <w:tabs>
          <w:tab w:pos="1351" w:val="left" w:leader="none"/>
          <w:tab w:pos="1353" w:val="left" w:leader="none"/>
        </w:tabs>
        <w:spacing w:line="240" w:lineRule="auto" w:before="0" w:after="0"/>
        <w:ind w:left="1352" w:right="1433" w:hanging="1134"/>
        <w:jc w:val="left"/>
      </w:pPr>
      <w:bookmarkStart w:name="6.25 AER determination of applicable pri" w:id="1657"/>
      <w:bookmarkEnd w:id="1657"/>
      <w:r>
        <w:rPr>
          <w:b w:val="0"/>
        </w:rPr>
      </w:r>
      <w:bookmarkStart w:name="_bookmark657" w:id="1658"/>
      <w:bookmarkEnd w:id="1658"/>
      <w:r>
        <w:rPr>
          <w:b w:val="0"/>
        </w:rPr>
      </w:r>
      <w:bookmarkStart w:name="_bookmark657" w:id="1659"/>
      <w:bookmarkEnd w:id="1659"/>
      <w:r>
        <w:rPr/>
        <w:t>AE</w:t>
      </w:r>
      <w:r>
        <w:rPr/>
        <w:t>R determination of applicable pricing regime for Dual Function</w:t>
      </w:r>
      <w:r>
        <w:rPr>
          <w:spacing w:val="-1"/>
        </w:rPr>
        <w:t> </w:t>
      </w:r>
      <w:r>
        <w:rPr/>
        <w:t>Assets</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A </w:t>
      </w:r>
      <w:r>
        <w:rPr>
          <w:i/>
          <w:sz w:val="24"/>
        </w:rPr>
        <w:t>Distribution Network Service Provider </w:t>
      </w:r>
      <w:r>
        <w:rPr>
          <w:sz w:val="24"/>
        </w:rPr>
        <w:t>which owns, controls or operates </w:t>
      </w:r>
      <w:r>
        <w:rPr>
          <w:i/>
          <w:sz w:val="24"/>
        </w:rPr>
        <w:t>dual function assets </w:t>
      </w:r>
      <w:r>
        <w:rPr>
          <w:sz w:val="24"/>
        </w:rPr>
        <w:t>must advise the </w:t>
      </w:r>
      <w:r>
        <w:rPr>
          <w:i/>
          <w:sz w:val="24"/>
        </w:rPr>
        <w:t>AER </w:t>
      </w:r>
      <w:r>
        <w:rPr>
          <w:sz w:val="24"/>
        </w:rPr>
        <w:t>at least 32 months prior to the end of the current </w:t>
      </w:r>
      <w:r>
        <w:rPr>
          <w:i/>
          <w:sz w:val="24"/>
        </w:rPr>
        <w:t>regulatory control period </w:t>
      </w:r>
      <w:r>
        <w:rPr>
          <w:sz w:val="24"/>
        </w:rPr>
        <w:t>of the value of that </w:t>
      </w:r>
      <w:r>
        <w:rPr>
          <w:i/>
          <w:sz w:val="24"/>
        </w:rPr>
        <w:t>Distribution </w:t>
      </w:r>
      <w:r>
        <w:rPr>
          <w:i/>
          <w:sz w:val="24"/>
        </w:rPr>
        <w:t>Network Service Provider's dual function assets </w:t>
      </w:r>
      <w:r>
        <w:rPr>
          <w:sz w:val="24"/>
        </w:rPr>
        <w:t>which provide </w:t>
      </w:r>
      <w:r>
        <w:rPr>
          <w:i/>
          <w:sz w:val="24"/>
        </w:rPr>
        <w:t>standard </w:t>
      </w:r>
      <w:r>
        <w:rPr>
          <w:i/>
          <w:sz w:val="24"/>
        </w:rPr>
        <w:t>control services </w:t>
      </w:r>
      <w:r>
        <w:rPr>
          <w:sz w:val="24"/>
        </w:rPr>
        <w:t>that would be </w:t>
      </w:r>
      <w:r>
        <w:rPr>
          <w:i/>
          <w:sz w:val="24"/>
        </w:rPr>
        <w:t>prescribed transmission services </w:t>
      </w:r>
      <w:r>
        <w:rPr>
          <w:sz w:val="24"/>
        </w:rPr>
        <w:t>were it not for the operation of clause 6.24.2 (referred to as </w:t>
      </w:r>
      <w:r>
        <w:rPr>
          <w:i/>
          <w:sz w:val="24"/>
        </w:rPr>
        <w:t>transmission</w:t>
      </w:r>
      <w:r>
        <w:rPr>
          <w:i/>
          <w:spacing w:val="28"/>
          <w:sz w:val="24"/>
        </w:rPr>
        <w:t> </w:t>
      </w:r>
      <w:r>
        <w:rPr>
          <w:i/>
          <w:sz w:val="24"/>
        </w:rPr>
        <w:t>standard </w:t>
      </w:r>
      <w:r>
        <w:rPr>
          <w:i/>
          <w:sz w:val="24"/>
        </w:rPr>
        <w:t>control services</w:t>
      </w:r>
      <w:r>
        <w:rPr>
          <w:sz w:val="24"/>
        </w:rPr>
        <w:t>). The value to be advised is the value ascribed to the relevant </w:t>
      </w:r>
      <w:r>
        <w:rPr>
          <w:i/>
          <w:sz w:val="24"/>
        </w:rPr>
        <w:t>dual function assets </w:t>
      </w:r>
      <w:r>
        <w:rPr>
          <w:sz w:val="24"/>
        </w:rPr>
        <w:t>in the relevant </w:t>
      </w:r>
      <w:r>
        <w:rPr>
          <w:i/>
          <w:sz w:val="24"/>
        </w:rPr>
        <w:t>Distribution Network Service </w:t>
      </w:r>
      <w:r>
        <w:rPr>
          <w:i/>
          <w:sz w:val="24"/>
        </w:rPr>
        <w:t>Provider's </w:t>
      </w:r>
      <w:r>
        <w:rPr>
          <w:sz w:val="24"/>
        </w:rPr>
        <w:t>regulatory asset base as at the start of the </w:t>
      </w:r>
      <w:r>
        <w:rPr>
          <w:i/>
          <w:sz w:val="24"/>
        </w:rPr>
        <w:t>regulatory year </w:t>
      </w:r>
      <w:r>
        <w:rPr>
          <w:sz w:val="24"/>
        </w:rPr>
        <w:t>which commences 36 months prior to the end of the current </w:t>
      </w:r>
      <w:r>
        <w:rPr>
          <w:i/>
          <w:sz w:val="24"/>
        </w:rPr>
        <w:t>regulatory control </w:t>
      </w:r>
      <w:r>
        <w:rPr>
          <w:i/>
          <w:sz w:val="24"/>
        </w:rPr>
        <w:t>period</w:t>
      </w:r>
      <w:r>
        <w:rPr>
          <w:sz w:val="24"/>
        </w:rPr>
        <w:t>.</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review the information provided under paragraph (a) and determine, in accordance with clause 6.8.1, whether the value of that </w:t>
      </w:r>
      <w:r>
        <w:rPr>
          <w:i/>
          <w:sz w:val="24"/>
        </w:rPr>
        <w:t>Distribution Network Service Provider's dual function assets </w:t>
      </w:r>
      <w:r>
        <w:rPr>
          <w:sz w:val="24"/>
        </w:rPr>
        <w:t>which provide </w:t>
      </w:r>
      <w:r>
        <w:rPr>
          <w:i/>
          <w:sz w:val="24"/>
        </w:rPr>
        <w:t>transmission standard control services </w:t>
      </w:r>
      <w:r>
        <w:rPr>
          <w:sz w:val="24"/>
        </w:rPr>
        <w:t>comprise such a material proportion of that </w:t>
      </w:r>
      <w:r>
        <w:rPr>
          <w:i/>
          <w:sz w:val="24"/>
        </w:rPr>
        <w:t>Distribution Network Service Provider's </w:t>
      </w:r>
      <w:r>
        <w:rPr>
          <w:sz w:val="24"/>
        </w:rPr>
        <w:t>regulatory asset base that pricing in respect of those services should be regulated under Part J of Chapter 6A through the application of rule</w:t>
      </w:r>
      <w:r>
        <w:rPr>
          <w:spacing w:val="-1"/>
          <w:sz w:val="24"/>
        </w:rPr>
        <w:t> </w:t>
      </w:r>
      <w:r>
        <w:rPr>
          <w:sz w:val="24"/>
        </w:rPr>
        <w:t>6.26.</w:t>
      </w:r>
    </w:p>
    <w:p>
      <w:pPr>
        <w:pStyle w:val="ListParagraph"/>
        <w:numPr>
          <w:ilvl w:val="2"/>
          <w:numId w:val="442"/>
        </w:numPr>
        <w:tabs>
          <w:tab w:pos="1919" w:val="left" w:leader="none"/>
        </w:tabs>
        <w:spacing w:line="240" w:lineRule="auto" w:before="120" w:after="0"/>
        <w:ind w:left="1918" w:right="0" w:hanging="567"/>
        <w:jc w:val="both"/>
        <w:rPr>
          <w:sz w:val="24"/>
        </w:rPr>
      </w:pPr>
      <w:r>
        <w:rPr>
          <w:sz w:val="24"/>
        </w:rPr>
        <w:t>In making its determination under paragraph (b) the </w:t>
      </w:r>
      <w:r>
        <w:rPr>
          <w:i/>
          <w:sz w:val="24"/>
        </w:rPr>
        <w:t>AER </w:t>
      </w:r>
      <w:r>
        <w:rPr>
          <w:sz w:val="24"/>
        </w:rPr>
        <w:t>must</w:t>
      </w:r>
      <w:r>
        <w:rPr>
          <w:spacing w:val="-2"/>
          <w:sz w:val="24"/>
        </w:rPr>
        <w:t> </w:t>
      </w:r>
      <w:r>
        <w:rPr>
          <w:sz w:val="24"/>
        </w:rPr>
        <w:t>consider:</w:t>
      </w:r>
    </w:p>
    <w:p>
      <w:pPr>
        <w:spacing w:after="0" w:line="240" w:lineRule="auto"/>
        <w:jc w:val="both"/>
        <w:rPr>
          <w:sz w:val="24"/>
        </w:rPr>
        <w:sectPr>
          <w:pgSz w:w="11910" w:h="16840"/>
          <w:pgMar w:header="686" w:footer="637" w:top="1320" w:bottom="820" w:left="1200" w:right="1000"/>
        </w:sectPr>
      </w:pPr>
    </w:p>
    <w:p>
      <w:pPr>
        <w:pStyle w:val="ListParagraph"/>
        <w:numPr>
          <w:ilvl w:val="3"/>
          <w:numId w:val="442"/>
        </w:numPr>
        <w:tabs>
          <w:tab w:pos="2486" w:val="left" w:leader="none"/>
        </w:tabs>
        <w:spacing w:line="240" w:lineRule="auto" w:before="83" w:after="0"/>
        <w:ind w:left="2486" w:right="415" w:hanging="567"/>
        <w:jc w:val="both"/>
        <w:rPr>
          <w:sz w:val="24"/>
        </w:rPr>
      </w:pPr>
      <w:r>
        <w:rPr>
          <w:sz w:val="24"/>
        </w:rPr>
        <w:t>whether regulating the pricing of the </w:t>
      </w:r>
      <w:r>
        <w:rPr>
          <w:i/>
          <w:sz w:val="24"/>
        </w:rPr>
        <w:t>transmission standard control </w:t>
      </w:r>
      <w:r>
        <w:rPr>
          <w:i/>
          <w:sz w:val="24"/>
        </w:rPr>
        <w:t>services </w:t>
      </w:r>
      <w:r>
        <w:rPr>
          <w:sz w:val="24"/>
        </w:rPr>
        <w:t>provided by a </w:t>
      </w:r>
      <w:r>
        <w:rPr>
          <w:i/>
          <w:sz w:val="24"/>
        </w:rPr>
        <w:t>Distribution Network Service Provider's dual </w:t>
      </w:r>
      <w:r>
        <w:rPr>
          <w:i/>
          <w:sz w:val="24"/>
        </w:rPr>
        <w:t>function</w:t>
      </w:r>
      <w:r>
        <w:rPr>
          <w:i/>
          <w:spacing w:val="-1"/>
          <w:sz w:val="24"/>
        </w:rPr>
        <w:t> </w:t>
      </w:r>
      <w:r>
        <w:rPr>
          <w:i/>
          <w:sz w:val="24"/>
        </w:rPr>
        <w:t>assets</w:t>
      </w:r>
      <w:r>
        <w:rPr>
          <w:sz w:val="24"/>
        </w:rPr>
        <w:t>:</w:t>
      </w:r>
    </w:p>
    <w:p>
      <w:pPr>
        <w:pStyle w:val="ListParagraph"/>
        <w:numPr>
          <w:ilvl w:val="4"/>
          <w:numId w:val="442"/>
        </w:numPr>
        <w:tabs>
          <w:tab w:pos="3053" w:val="left" w:leader="none"/>
        </w:tabs>
        <w:spacing w:line="240" w:lineRule="auto" w:before="120" w:after="0"/>
        <w:ind w:left="3053" w:right="415" w:hanging="567"/>
        <w:jc w:val="both"/>
        <w:rPr>
          <w:sz w:val="24"/>
        </w:rPr>
      </w:pPr>
      <w:r>
        <w:rPr>
          <w:sz w:val="24"/>
        </w:rPr>
        <w:t>under Part I of Chapter 6 as though they were </w:t>
      </w:r>
      <w:r>
        <w:rPr>
          <w:i/>
          <w:sz w:val="24"/>
        </w:rPr>
        <w:t>prescribed </w:t>
      </w:r>
      <w:r>
        <w:rPr>
          <w:i/>
          <w:sz w:val="24"/>
        </w:rPr>
        <w:t>distribution services</w:t>
      </w:r>
      <w:r>
        <w:rPr>
          <w:sz w:val="24"/>
        </w:rPr>
        <w:t>; rather</w:t>
      </w:r>
      <w:r>
        <w:rPr>
          <w:spacing w:val="-1"/>
          <w:sz w:val="24"/>
        </w:rPr>
        <w:t> </w:t>
      </w:r>
      <w:r>
        <w:rPr>
          <w:sz w:val="24"/>
        </w:rPr>
        <w:t>than</w:t>
      </w:r>
    </w:p>
    <w:p>
      <w:pPr>
        <w:pStyle w:val="ListParagraph"/>
        <w:numPr>
          <w:ilvl w:val="4"/>
          <w:numId w:val="442"/>
        </w:numPr>
        <w:tabs>
          <w:tab w:pos="3054" w:val="left" w:leader="none"/>
        </w:tabs>
        <w:spacing w:line="240" w:lineRule="auto" w:before="120" w:after="0"/>
        <w:ind w:left="3053" w:right="415" w:hanging="567"/>
        <w:jc w:val="both"/>
        <w:rPr>
          <w:sz w:val="24"/>
        </w:rPr>
      </w:pPr>
      <w:r>
        <w:rPr>
          <w:sz w:val="24"/>
        </w:rPr>
        <w:t>under Part J of Chapter 6A as though they were</w:t>
      </w:r>
      <w:r>
        <w:rPr>
          <w:spacing w:val="34"/>
          <w:sz w:val="24"/>
        </w:rPr>
        <w:t> </w:t>
      </w:r>
      <w:r>
        <w:rPr>
          <w:i/>
          <w:sz w:val="24"/>
        </w:rPr>
        <w:t>prescribed </w:t>
      </w:r>
      <w:r>
        <w:rPr>
          <w:i/>
          <w:sz w:val="24"/>
        </w:rPr>
        <w:t>transmission</w:t>
      </w:r>
      <w:r>
        <w:rPr>
          <w:i/>
          <w:spacing w:val="-1"/>
          <w:sz w:val="24"/>
        </w:rPr>
        <w:t> </w:t>
      </w:r>
      <w:r>
        <w:rPr>
          <w:i/>
          <w:sz w:val="24"/>
        </w:rPr>
        <w:t>services</w:t>
      </w:r>
      <w:r>
        <w:rPr>
          <w:sz w:val="24"/>
        </w:rPr>
        <w:t>,</w:t>
      </w:r>
    </w:p>
    <w:p>
      <w:pPr>
        <w:spacing w:before="120"/>
        <w:ind w:left="2486" w:right="414" w:firstLine="0"/>
        <w:jc w:val="both"/>
        <w:rPr>
          <w:sz w:val="24"/>
        </w:rPr>
      </w:pPr>
      <w:r>
        <w:rPr>
          <w:sz w:val="24"/>
        </w:rPr>
        <w:t>will result in materially different prices for </w:t>
      </w:r>
      <w:r>
        <w:rPr>
          <w:i/>
          <w:sz w:val="24"/>
        </w:rPr>
        <w:t>Distribution Customers </w:t>
      </w:r>
      <w:r>
        <w:rPr>
          <w:sz w:val="24"/>
        </w:rPr>
        <w:t>(including those connected directly to the relevant </w:t>
      </w:r>
      <w:r>
        <w:rPr>
          <w:i/>
          <w:sz w:val="24"/>
        </w:rPr>
        <w:t>dual function assets </w:t>
      </w:r>
      <w:r>
        <w:rPr>
          <w:sz w:val="24"/>
        </w:rPr>
        <w:t>and those connected to other </w:t>
      </w:r>
      <w:r>
        <w:rPr>
          <w:i/>
          <w:sz w:val="24"/>
        </w:rPr>
        <w:t>distribution networks</w:t>
      </w:r>
      <w:r>
        <w:rPr>
          <w:sz w:val="24"/>
        </w:rPr>
        <w:t>);</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whether the materiality of the different prices is likely to impact on future consumption, production and investment decisions by actual </w:t>
      </w:r>
      <w:r>
        <w:rPr>
          <w:spacing w:val="-6"/>
          <w:sz w:val="24"/>
        </w:rPr>
        <w:t>or </w:t>
      </w:r>
      <w:r>
        <w:rPr>
          <w:sz w:val="24"/>
        </w:rPr>
        <w:t>potential </w:t>
      </w:r>
      <w:r>
        <w:rPr>
          <w:i/>
          <w:sz w:val="24"/>
        </w:rPr>
        <w:t>Network Users</w:t>
      </w:r>
      <w:r>
        <w:rPr>
          <w:sz w:val="24"/>
        </w:rPr>
        <w:t>;</w:t>
      </w:r>
      <w:r>
        <w:rPr>
          <w:spacing w:val="-1"/>
          <w:sz w:val="24"/>
        </w:rPr>
        <w:t> </w:t>
      </w:r>
      <w:r>
        <w:rPr>
          <w:sz w:val="24"/>
        </w:rPr>
        <w:t>and</w:t>
      </w:r>
    </w:p>
    <w:p>
      <w:pPr>
        <w:pStyle w:val="ListParagraph"/>
        <w:numPr>
          <w:ilvl w:val="3"/>
          <w:numId w:val="442"/>
        </w:numPr>
        <w:tabs>
          <w:tab w:pos="2486" w:val="left" w:leader="none"/>
        </w:tabs>
        <w:spacing w:line="240" w:lineRule="auto" w:before="120" w:after="0"/>
        <w:ind w:left="2485" w:right="0" w:hanging="567"/>
        <w:jc w:val="both"/>
        <w:rPr>
          <w:sz w:val="24"/>
        </w:rPr>
      </w:pPr>
      <w:r>
        <w:rPr>
          <w:sz w:val="24"/>
        </w:rPr>
        <w:t>any other matter that the </w:t>
      </w:r>
      <w:r>
        <w:rPr>
          <w:i/>
          <w:sz w:val="24"/>
        </w:rPr>
        <w:t>AER </w:t>
      </w:r>
      <w:r>
        <w:rPr>
          <w:sz w:val="24"/>
        </w:rPr>
        <w:t>considers</w:t>
      </w:r>
      <w:r>
        <w:rPr>
          <w:spacing w:val="-1"/>
          <w:sz w:val="24"/>
        </w:rPr>
        <w:t> </w:t>
      </w:r>
      <w:r>
        <w:rPr>
          <w:sz w:val="24"/>
        </w:rPr>
        <w:t>relevant.</w:t>
      </w:r>
    </w:p>
    <w:p>
      <w:pPr>
        <w:pStyle w:val="ListParagraph"/>
        <w:numPr>
          <w:ilvl w:val="2"/>
          <w:numId w:val="442"/>
        </w:numPr>
        <w:tabs>
          <w:tab w:pos="1919" w:val="left" w:leader="none"/>
        </w:tabs>
        <w:spacing w:line="240" w:lineRule="auto" w:before="120" w:after="0"/>
        <w:ind w:left="1919" w:right="414" w:hanging="567"/>
        <w:jc w:val="both"/>
        <w:rPr>
          <w:sz w:val="24"/>
        </w:rPr>
      </w:pPr>
      <w:r>
        <w:rPr>
          <w:sz w:val="24"/>
        </w:rPr>
        <w:t>The </w:t>
      </w:r>
      <w:r>
        <w:rPr>
          <w:i/>
          <w:sz w:val="24"/>
        </w:rPr>
        <w:t>AER's </w:t>
      </w:r>
      <w:r>
        <w:rPr>
          <w:sz w:val="24"/>
        </w:rPr>
        <w:t>determination under paragraph (b), which is binding, must be included in a </w:t>
      </w:r>
      <w:r>
        <w:rPr>
          <w:i/>
          <w:sz w:val="24"/>
        </w:rPr>
        <w:t>framework and approach paper </w:t>
      </w:r>
      <w:r>
        <w:rPr>
          <w:sz w:val="24"/>
        </w:rPr>
        <w:t>that applies in respect of the distribution determination for the next </w:t>
      </w:r>
      <w:r>
        <w:rPr>
          <w:i/>
          <w:sz w:val="24"/>
        </w:rPr>
        <w:t>regulatory control</w:t>
      </w:r>
      <w:r>
        <w:rPr>
          <w:i/>
          <w:spacing w:val="-2"/>
          <w:sz w:val="24"/>
        </w:rPr>
        <w:t> </w:t>
      </w:r>
      <w:r>
        <w:rPr>
          <w:i/>
          <w:sz w:val="24"/>
        </w:rPr>
        <w:t>period</w:t>
      </w:r>
      <w:r>
        <w:rPr>
          <w:sz w:val="24"/>
        </w:rPr>
        <w:t>.</w:t>
      </w:r>
    </w:p>
    <w:p>
      <w:pPr>
        <w:pStyle w:val="BodyText"/>
        <w:spacing w:before="10"/>
        <w:ind w:firstLine="0"/>
        <w:jc w:val="left"/>
        <w:rPr>
          <w:sz w:val="20"/>
        </w:rPr>
      </w:pPr>
    </w:p>
    <w:p>
      <w:pPr>
        <w:pStyle w:val="Heading3"/>
        <w:numPr>
          <w:ilvl w:val="1"/>
          <w:numId w:val="442"/>
        </w:numPr>
        <w:tabs>
          <w:tab w:pos="1351" w:val="left" w:leader="none"/>
          <w:tab w:pos="1353" w:val="left" w:leader="none"/>
        </w:tabs>
        <w:spacing w:line="240" w:lineRule="auto" w:before="0" w:after="0"/>
        <w:ind w:left="1352" w:right="0" w:hanging="1135"/>
        <w:jc w:val="left"/>
      </w:pPr>
      <w:bookmarkStart w:name="6.26 Division of Distribution Network Se" w:id="1660"/>
      <w:bookmarkEnd w:id="1660"/>
      <w:r>
        <w:rPr>
          <w:b w:val="0"/>
        </w:rPr>
      </w:r>
      <w:bookmarkStart w:name="_bookmark658" w:id="1661"/>
      <w:bookmarkEnd w:id="1661"/>
      <w:r>
        <w:rPr>
          <w:b w:val="0"/>
        </w:rPr>
      </w:r>
      <w:bookmarkStart w:name="_bookmark658" w:id="1662"/>
      <w:bookmarkEnd w:id="1662"/>
      <w:r>
        <w:rPr/>
        <w:t>Divisio</w:t>
      </w:r>
      <w:r>
        <w:rPr/>
        <w:t>n of Distribution Network Service Provider's</w:t>
      </w:r>
      <w:r>
        <w:rPr>
          <w:spacing w:val="-12"/>
        </w:rPr>
        <w:t> </w:t>
      </w:r>
      <w:r>
        <w:rPr/>
        <w:t>revenue</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This rule 6.26 applies if the </w:t>
      </w:r>
      <w:r>
        <w:rPr>
          <w:i/>
          <w:sz w:val="24"/>
        </w:rPr>
        <w:t>AER </w:t>
      </w:r>
      <w:r>
        <w:rPr>
          <w:sz w:val="24"/>
        </w:rPr>
        <w:t>has determined under rule 6.25(b) </w:t>
      </w:r>
      <w:r>
        <w:rPr>
          <w:spacing w:val="-3"/>
          <w:sz w:val="24"/>
        </w:rPr>
        <w:t>that </w:t>
      </w:r>
      <w:r>
        <w:rPr>
          <w:sz w:val="24"/>
        </w:rPr>
        <w:t>pricing in respect of </w:t>
      </w:r>
      <w:r>
        <w:rPr>
          <w:i/>
          <w:sz w:val="24"/>
        </w:rPr>
        <w:t>transmission standard control services </w:t>
      </w:r>
      <w:r>
        <w:rPr>
          <w:sz w:val="24"/>
        </w:rPr>
        <w:t>provided by a </w:t>
      </w:r>
      <w:r>
        <w:rPr>
          <w:i/>
          <w:sz w:val="24"/>
        </w:rPr>
        <w:t>Distribution Network Service Provider's dual function assets </w:t>
      </w:r>
      <w:r>
        <w:rPr>
          <w:sz w:val="24"/>
        </w:rPr>
        <w:t>should be regulated under Part J of Chapter</w:t>
      </w:r>
      <w:r>
        <w:rPr>
          <w:spacing w:val="-3"/>
          <w:sz w:val="24"/>
        </w:rPr>
        <w:t> </w:t>
      </w:r>
      <w:r>
        <w:rPr>
          <w:sz w:val="24"/>
        </w:rPr>
        <w:t>6A.</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for the purposes of the distribution determination for the relevant </w:t>
      </w:r>
      <w:r>
        <w:rPr>
          <w:i/>
          <w:sz w:val="24"/>
        </w:rPr>
        <w:t>Distribution Network Service Provider</w:t>
      </w:r>
      <w:r>
        <w:rPr>
          <w:sz w:val="24"/>
        </w:rPr>
        <w:t>, divide the revenue calculated under Part C of Chapter 6 into the following two</w:t>
      </w:r>
      <w:r>
        <w:rPr>
          <w:spacing w:val="-4"/>
          <w:sz w:val="24"/>
        </w:rPr>
        <w:t> </w:t>
      </w:r>
      <w:r>
        <w:rPr>
          <w:sz w:val="24"/>
        </w:rPr>
        <w:t>portions:</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a portion relevant to the </w:t>
      </w:r>
      <w:r>
        <w:rPr>
          <w:i/>
          <w:sz w:val="24"/>
        </w:rPr>
        <w:t>Distribution Network Service Provider's </w:t>
      </w:r>
      <w:r>
        <w:rPr>
          <w:i/>
          <w:sz w:val="24"/>
        </w:rPr>
        <w:t>transmission standard control services </w:t>
      </w:r>
      <w:r>
        <w:rPr>
          <w:sz w:val="24"/>
        </w:rPr>
        <w:t>provided by its </w:t>
      </w:r>
      <w:r>
        <w:rPr>
          <w:i/>
          <w:sz w:val="24"/>
        </w:rPr>
        <w:t>dual function </w:t>
      </w:r>
      <w:r>
        <w:rPr>
          <w:i/>
          <w:sz w:val="24"/>
        </w:rPr>
        <w:t>assets</w:t>
      </w:r>
      <w:r>
        <w:rPr>
          <w:sz w:val="24"/>
        </w:rPr>
        <w:t>. This portion is defined as its </w:t>
      </w:r>
      <w:r>
        <w:rPr>
          <w:i/>
          <w:sz w:val="24"/>
        </w:rPr>
        <w:t>transmission standard control </w:t>
      </w:r>
      <w:r>
        <w:rPr>
          <w:i/>
          <w:sz w:val="24"/>
        </w:rPr>
        <w:t>service revenue</w:t>
      </w:r>
      <w:r>
        <w:rPr>
          <w:sz w:val="24"/>
        </w:rPr>
        <w:t>;</w:t>
      </w:r>
      <w:r>
        <w:rPr>
          <w:spacing w:val="-2"/>
          <w:sz w:val="24"/>
        </w:rPr>
        <w:t> </w:t>
      </w:r>
      <w:r>
        <w:rPr>
          <w:sz w:val="24"/>
        </w:rPr>
        <w:t>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a portion relevant to the other </w:t>
      </w:r>
      <w:r>
        <w:rPr>
          <w:i/>
          <w:sz w:val="24"/>
        </w:rPr>
        <w:t>standard control services </w:t>
      </w:r>
      <w:r>
        <w:rPr>
          <w:sz w:val="24"/>
        </w:rPr>
        <w:t>provided by the </w:t>
      </w:r>
      <w:r>
        <w:rPr>
          <w:i/>
          <w:sz w:val="24"/>
        </w:rPr>
        <w:t>Distribution Network Service Provider</w:t>
      </w:r>
      <w:r>
        <w:rPr>
          <w:sz w:val="24"/>
        </w:rPr>
        <w:t>. This portion is defined as its </w:t>
      </w:r>
      <w:r>
        <w:rPr>
          <w:i/>
          <w:sz w:val="24"/>
        </w:rPr>
        <w:t>distribution standard control service</w:t>
      </w:r>
      <w:r>
        <w:rPr>
          <w:i/>
          <w:spacing w:val="-4"/>
          <w:sz w:val="24"/>
        </w:rPr>
        <w:t> </w:t>
      </w:r>
      <w:r>
        <w:rPr>
          <w:i/>
          <w:sz w:val="24"/>
        </w:rPr>
        <w:t>revenue</w:t>
      </w:r>
      <w:r>
        <w:rPr>
          <w:sz w:val="24"/>
        </w:rPr>
        <w:t>,</w:t>
      </w:r>
    </w:p>
    <w:p>
      <w:pPr>
        <w:spacing w:before="120"/>
        <w:ind w:left="1919" w:right="417" w:firstLine="0"/>
        <w:jc w:val="both"/>
        <w:rPr>
          <w:sz w:val="24"/>
        </w:rPr>
      </w:pPr>
      <w:r>
        <w:rPr>
          <w:sz w:val="24"/>
        </w:rPr>
        <w:t>based on the </w:t>
      </w:r>
      <w:r>
        <w:rPr>
          <w:i/>
          <w:sz w:val="24"/>
        </w:rPr>
        <w:t>Distribution Network Service Provider's </w:t>
      </w:r>
      <w:r>
        <w:rPr>
          <w:sz w:val="24"/>
        </w:rPr>
        <w:t>approved </w:t>
      </w:r>
      <w:r>
        <w:rPr>
          <w:i/>
          <w:sz w:val="24"/>
        </w:rPr>
        <w:t>Cost </w:t>
      </w:r>
      <w:r>
        <w:rPr>
          <w:i/>
          <w:sz w:val="24"/>
        </w:rPr>
        <w:t>Allocation Method</w:t>
      </w:r>
      <w:r>
        <w:rPr>
          <w:sz w:val="24"/>
        </w:rPr>
        <w:t>.</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relevant </w:t>
      </w:r>
      <w:r>
        <w:rPr>
          <w:i/>
          <w:sz w:val="24"/>
        </w:rPr>
        <w:t>Distribution Network Service Provider </w:t>
      </w:r>
      <w:r>
        <w:rPr>
          <w:sz w:val="24"/>
        </w:rPr>
        <w:t>must submit a proposed </w:t>
      </w:r>
      <w:r>
        <w:rPr>
          <w:i/>
          <w:sz w:val="24"/>
        </w:rPr>
        <w:t>pricing methodology </w:t>
      </w:r>
      <w:r>
        <w:rPr>
          <w:sz w:val="24"/>
        </w:rPr>
        <w:t>to the </w:t>
      </w:r>
      <w:r>
        <w:rPr>
          <w:i/>
          <w:sz w:val="24"/>
        </w:rPr>
        <w:t>AER </w:t>
      </w:r>
      <w:r>
        <w:rPr>
          <w:sz w:val="24"/>
        </w:rPr>
        <w:t>in respect of its </w:t>
      </w:r>
      <w:r>
        <w:rPr>
          <w:i/>
          <w:sz w:val="24"/>
        </w:rPr>
        <w:t>transmission standard </w:t>
      </w:r>
      <w:r>
        <w:rPr>
          <w:i/>
          <w:sz w:val="24"/>
        </w:rPr>
        <w:t>control service revenue </w:t>
      </w:r>
      <w:r>
        <w:rPr>
          <w:sz w:val="24"/>
        </w:rPr>
        <w:t>as if it were a </w:t>
      </w:r>
      <w:r>
        <w:rPr>
          <w:i/>
          <w:sz w:val="24"/>
        </w:rPr>
        <w:t>Transmission Network Service </w:t>
      </w:r>
      <w:r>
        <w:rPr>
          <w:i/>
          <w:sz w:val="24"/>
        </w:rPr>
        <w:t>Provider </w:t>
      </w:r>
      <w:r>
        <w:rPr>
          <w:sz w:val="24"/>
        </w:rPr>
        <w:t>as part of its regulatory proposal under Chapter 6, and Part E of Chapter 6A applies in respect of that </w:t>
      </w:r>
      <w:r>
        <w:rPr>
          <w:i/>
          <w:sz w:val="24"/>
        </w:rPr>
        <w:t>pricing methodology </w:t>
      </w:r>
      <w:r>
        <w:rPr>
          <w:sz w:val="24"/>
        </w:rPr>
        <w:t>(with the necessary</w:t>
      </w:r>
      <w:r>
        <w:rPr>
          <w:spacing w:val="-1"/>
          <w:sz w:val="24"/>
        </w:rPr>
        <w:t> </w:t>
      </w:r>
      <w:r>
        <w:rPr>
          <w:sz w:val="24"/>
        </w:rPr>
        <w:t>changes).</w:t>
      </w:r>
    </w:p>
    <w:p>
      <w:pPr>
        <w:pStyle w:val="ListParagraph"/>
        <w:numPr>
          <w:ilvl w:val="2"/>
          <w:numId w:val="442"/>
        </w:numPr>
        <w:tabs>
          <w:tab w:pos="1919" w:val="left" w:leader="none"/>
        </w:tabs>
        <w:spacing w:line="240" w:lineRule="auto" w:before="120" w:after="0"/>
        <w:ind w:left="1919" w:right="414" w:hanging="567"/>
        <w:jc w:val="both"/>
        <w:rPr>
          <w:i/>
          <w:sz w:val="24"/>
        </w:rPr>
      </w:pPr>
      <w:r>
        <w:rPr>
          <w:sz w:val="24"/>
        </w:rPr>
        <w:t>The </w:t>
      </w:r>
      <w:r>
        <w:rPr>
          <w:i/>
          <w:sz w:val="24"/>
        </w:rPr>
        <w:t>AER </w:t>
      </w:r>
      <w:r>
        <w:rPr>
          <w:sz w:val="24"/>
        </w:rPr>
        <w:t>and the relevant </w:t>
      </w:r>
      <w:r>
        <w:rPr>
          <w:i/>
          <w:sz w:val="24"/>
        </w:rPr>
        <w:t>Distribution Network Service Provider  </w:t>
      </w:r>
      <w:r>
        <w:rPr>
          <w:sz w:val="24"/>
        </w:rPr>
        <w:t>must apply and comply with all aspects of Part J of Chapter 6A instead of, and to the exclusion of, Parts I, J and K of Chapter 6 in respect of the </w:t>
      </w:r>
      <w:r>
        <w:rPr>
          <w:i/>
          <w:sz w:val="24"/>
        </w:rPr>
        <w:t>dual</w:t>
      </w:r>
      <w:r>
        <w:rPr>
          <w:i/>
          <w:spacing w:val="35"/>
          <w:sz w:val="24"/>
        </w:rPr>
        <w:t> </w:t>
      </w:r>
      <w:r>
        <w:rPr>
          <w:i/>
          <w:sz w:val="24"/>
        </w:rPr>
        <w:t>function</w:t>
      </w:r>
    </w:p>
    <w:p>
      <w:pPr>
        <w:spacing w:after="0" w:line="240" w:lineRule="auto"/>
        <w:jc w:val="both"/>
        <w:rPr>
          <w:sz w:val="24"/>
        </w:rPr>
        <w:sectPr>
          <w:pgSz w:w="11910" w:h="16840"/>
          <w:pgMar w:header="686" w:footer="637" w:top="1320" w:bottom="820" w:left="1200" w:right="1000"/>
        </w:sectPr>
      </w:pPr>
    </w:p>
    <w:p>
      <w:pPr>
        <w:spacing w:before="83"/>
        <w:ind w:left="1919" w:right="417" w:firstLine="0"/>
        <w:jc w:val="both"/>
        <w:rPr>
          <w:sz w:val="24"/>
        </w:rPr>
      </w:pPr>
      <w:r>
        <w:rPr>
          <w:i/>
          <w:sz w:val="24"/>
        </w:rPr>
        <w:t>assets </w:t>
      </w:r>
      <w:r>
        <w:rPr>
          <w:sz w:val="24"/>
        </w:rPr>
        <w:t>which provide </w:t>
      </w:r>
      <w:r>
        <w:rPr>
          <w:i/>
          <w:sz w:val="24"/>
        </w:rPr>
        <w:t>transmission standard control services</w:t>
      </w:r>
      <w:r>
        <w:rPr>
          <w:sz w:val="24"/>
        </w:rPr>
        <w:t>, subject to the following:</w:t>
      </w:r>
    </w:p>
    <w:p>
      <w:pPr>
        <w:pStyle w:val="ListParagraph"/>
        <w:numPr>
          <w:ilvl w:val="3"/>
          <w:numId w:val="442"/>
        </w:numPr>
        <w:tabs>
          <w:tab w:pos="2486" w:val="left" w:leader="none"/>
        </w:tabs>
        <w:spacing w:line="240" w:lineRule="auto" w:before="120" w:after="0"/>
        <w:ind w:left="2485" w:right="0" w:hanging="567"/>
        <w:jc w:val="both"/>
        <w:rPr>
          <w:sz w:val="24"/>
        </w:rPr>
      </w:pPr>
      <w:r>
        <w:rPr>
          <w:sz w:val="24"/>
        </w:rPr>
        <w:t>for the purposes of Part J of Chapter</w:t>
      </w:r>
      <w:r>
        <w:rPr>
          <w:spacing w:val="-3"/>
          <w:sz w:val="24"/>
        </w:rPr>
        <w:t> </w:t>
      </w:r>
      <w:r>
        <w:rPr>
          <w:sz w:val="24"/>
        </w:rPr>
        <w:t>6A:</w:t>
      </w:r>
    </w:p>
    <w:p>
      <w:pPr>
        <w:pStyle w:val="ListParagraph"/>
        <w:numPr>
          <w:ilvl w:val="4"/>
          <w:numId w:val="442"/>
        </w:numPr>
        <w:tabs>
          <w:tab w:pos="3053" w:val="left" w:leader="none"/>
        </w:tabs>
        <w:spacing w:line="240" w:lineRule="auto" w:before="120" w:after="0"/>
        <w:ind w:left="3053" w:right="414" w:hanging="567"/>
        <w:jc w:val="both"/>
        <w:rPr>
          <w:sz w:val="24"/>
        </w:rPr>
      </w:pPr>
      <w:r>
        <w:rPr>
          <w:sz w:val="24"/>
        </w:rPr>
        <w:t>the </w:t>
      </w:r>
      <w:r>
        <w:rPr>
          <w:i/>
          <w:sz w:val="24"/>
        </w:rPr>
        <w:t>dual function assets </w:t>
      </w:r>
      <w:r>
        <w:rPr>
          <w:sz w:val="24"/>
        </w:rPr>
        <w:t>are relevantly deemed to </w:t>
      </w:r>
      <w:r>
        <w:rPr>
          <w:spacing w:val="-6"/>
          <w:sz w:val="24"/>
        </w:rPr>
        <w:t>be  </w:t>
      </w:r>
      <w:r>
        <w:rPr>
          <w:i/>
          <w:sz w:val="24"/>
        </w:rPr>
        <w:t>transmission network </w:t>
      </w:r>
      <w:r>
        <w:rPr>
          <w:sz w:val="24"/>
        </w:rPr>
        <w:t>assets which provide </w:t>
      </w:r>
      <w:r>
        <w:rPr>
          <w:i/>
          <w:sz w:val="24"/>
        </w:rPr>
        <w:t>prescribed </w:t>
      </w:r>
      <w:r>
        <w:rPr>
          <w:i/>
          <w:sz w:val="24"/>
        </w:rPr>
        <w:t>transmission</w:t>
      </w:r>
      <w:r>
        <w:rPr>
          <w:i/>
          <w:spacing w:val="-1"/>
          <w:sz w:val="24"/>
        </w:rPr>
        <w:t> </w:t>
      </w:r>
      <w:r>
        <w:rPr>
          <w:i/>
          <w:sz w:val="24"/>
        </w:rPr>
        <w:t>services</w:t>
      </w:r>
      <w:r>
        <w:rPr>
          <w:sz w:val="24"/>
        </w:rPr>
        <w:t>;</w:t>
      </w:r>
    </w:p>
    <w:p>
      <w:pPr>
        <w:pStyle w:val="ListParagraph"/>
        <w:numPr>
          <w:ilvl w:val="4"/>
          <w:numId w:val="442"/>
        </w:numPr>
        <w:tabs>
          <w:tab w:pos="3054" w:val="left" w:leader="none"/>
        </w:tabs>
        <w:spacing w:line="240" w:lineRule="auto" w:before="120" w:after="0"/>
        <w:ind w:left="3053" w:right="415" w:hanging="567"/>
        <w:jc w:val="both"/>
        <w:rPr>
          <w:sz w:val="24"/>
        </w:rPr>
      </w:pPr>
      <w:r>
        <w:rPr>
          <w:sz w:val="24"/>
        </w:rPr>
        <w:t>the </w:t>
      </w:r>
      <w:r>
        <w:rPr>
          <w:i/>
          <w:sz w:val="24"/>
        </w:rPr>
        <w:t>Distribution Network Service Provider </w:t>
      </w:r>
      <w:r>
        <w:rPr>
          <w:sz w:val="24"/>
        </w:rPr>
        <w:t>which owns, controls or operates the relevant </w:t>
      </w:r>
      <w:r>
        <w:rPr>
          <w:i/>
          <w:sz w:val="24"/>
        </w:rPr>
        <w:t>dual function assets </w:t>
      </w:r>
      <w:r>
        <w:rPr>
          <w:sz w:val="24"/>
        </w:rPr>
        <w:t>is  </w:t>
      </w:r>
      <w:r>
        <w:rPr>
          <w:spacing w:val="-3"/>
          <w:sz w:val="24"/>
        </w:rPr>
        <w:t>relevantly </w:t>
      </w:r>
      <w:r>
        <w:rPr>
          <w:sz w:val="24"/>
        </w:rPr>
        <w:t>deemed to be a </w:t>
      </w:r>
      <w:r>
        <w:rPr>
          <w:i/>
          <w:sz w:val="24"/>
        </w:rPr>
        <w:t>Transmission Network Service</w:t>
      </w:r>
      <w:r>
        <w:rPr>
          <w:i/>
          <w:spacing w:val="-5"/>
          <w:sz w:val="24"/>
        </w:rPr>
        <w:t> </w:t>
      </w:r>
      <w:r>
        <w:rPr>
          <w:i/>
          <w:sz w:val="24"/>
        </w:rPr>
        <w:t>Provider</w:t>
      </w:r>
      <w:r>
        <w:rPr>
          <w:sz w:val="24"/>
        </w:rPr>
        <w:t>;</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the </w:t>
      </w:r>
      <w:r>
        <w:rPr>
          <w:i/>
          <w:sz w:val="24"/>
        </w:rPr>
        <w:t>maximum allowed revenue </w:t>
      </w:r>
      <w:r>
        <w:rPr>
          <w:sz w:val="24"/>
        </w:rPr>
        <w:t>referred to in clause 6A.22.1 is taken to be the </w:t>
      </w:r>
      <w:r>
        <w:rPr>
          <w:i/>
          <w:sz w:val="24"/>
        </w:rPr>
        <w:t>transmission standard control service</w:t>
      </w:r>
      <w:r>
        <w:rPr>
          <w:i/>
          <w:spacing w:val="-8"/>
          <w:sz w:val="24"/>
        </w:rPr>
        <w:t> </w:t>
      </w:r>
      <w:r>
        <w:rPr>
          <w:i/>
          <w:sz w:val="24"/>
        </w:rPr>
        <w:t>revenue</w:t>
      </w:r>
      <w:r>
        <w:rPr>
          <w:sz w:val="24"/>
        </w:rPr>
        <w:t>;</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the reference in clause 6A.22.1(1) to clause 6A.3.2 is taken to be a reference to rules 6.6 and</w:t>
      </w:r>
      <w:r>
        <w:rPr>
          <w:spacing w:val="-1"/>
          <w:sz w:val="24"/>
        </w:rPr>
        <w:t> </w:t>
      </w:r>
      <w:r>
        <w:rPr>
          <w:sz w:val="24"/>
        </w:rPr>
        <w:t>6.13;</w:t>
      </w:r>
    </w:p>
    <w:p>
      <w:pPr>
        <w:pStyle w:val="ListParagraph"/>
        <w:numPr>
          <w:ilvl w:val="3"/>
          <w:numId w:val="442"/>
        </w:numPr>
        <w:tabs>
          <w:tab w:pos="2486" w:val="left" w:leader="none"/>
        </w:tabs>
        <w:spacing w:line="240" w:lineRule="auto" w:before="120" w:after="0"/>
        <w:ind w:left="2486" w:right="414" w:hanging="567"/>
        <w:jc w:val="both"/>
        <w:rPr>
          <w:sz w:val="24"/>
        </w:rPr>
      </w:pPr>
      <w:r>
        <w:rPr>
          <w:sz w:val="24"/>
        </w:rPr>
        <w:t>references to "</w:t>
      </w:r>
      <w:r>
        <w:rPr>
          <w:i/>
          <w:sz w:val="24"/>
        </w:rPr>
        <w:t>transmission determination</w:t>
      </w:r>
      <w:r>
        <w:rPr>
          <w:sz w:val="24"/>
        </w:rPr>
        <w:t>" are to be read as references to the relevant "distribution determination", with the </w:t>
      </w:r>
      <w:r>
        <w:rPr>
          <w:i/>
          <w:sz w:val="24"/>
        </w:rPr>
        <w:t>AER </w:t>
      </w:r>
      <w:r>
        <w:rPr>
          <w:sz w:val="24"/>
        </w:rPr>
        <w:t>being required to include in the distribution determination a decision to approve a proposed </w:t>
      </w:r>
      <w:r>
        <w:rPr>
          <w:i/>
          <w:sz w:val="24"/>
        </w:rPr>
        <w:t>pricing methodology </w:t>
      </w:r>
      <w:r>
        <w:rPr>
          <w:sz w:val="24"/>
        </w:rPr>
        <w:t>in relation to the </w:t>
      </w:r>
      <w:r>
        <w:rPr>
          <w:i/>
          <w:sz w:val="24"/>
        </w:rPr>
        <w:t>transmission standard control services </w:t>
      </w:r>
      <w:r>
        <w:rPr>
          <w:sz w:val="24"/>
        </w:rPr>
        <w:t>provided by the relevant </w:t>
      </w:r>
      <w:r>
        <w:rPr>
          <w:i/>
          <w:sz w:val="24"/>
        </w:rPr>
        <w:t>dual </w:t>
      </w:r>
      <w:r>
        <w:rPr>
          <w:i/>
          <w:sz w:val="24"/>
        </w:rPr>
        <w:t>function assets</w:t>
      </w:r>
      <w:r>
        <w:rPr>
          <w:sz w:val="24"/>
        </w:rPr>
        <w:t>;</w:t>
      </w:r>
      <w:r>
        <w:rPr>
          <w:spacing w:val="-2"/>
          <w:sz w:val="24"/>
        </w:rPr>
        <w:t> </w:t>
      </w:r>
      <w:r>
        <w:rPr>
          <w:sz w:val="24"/>
        </w:rPr>
        <w:t>and</w:t>
      </w:r>
    </w:p>
    <w:p>
      <w:pPr>
        <w:pStyle w:val="ListParagraph"/>
        <w:numPr>
          <w:ilvl w:val="3"/>
          <w:numId w:val="442"/>
        </w:numPr>
        <w:tabs>
          <w:tab w:pos="2486" w:val="left" w:leader="none"/>
        </w:tabs>
        <w:spacing w:line="240" w:lineRule="auto" w:before="120" w:after="0"/>
        <w:ind w:left="2486" w:right="415" w:hanging="567"/>
        <w:jc w:val="both"/>
        <w:rPr>
          <w:sz w:val="24"/>
        </w:rPr>
      </w:pPr>
      <w:r>
        <w:rPr>
          <w:sz w:val="24"/>
        </w:rPr>
        <w:t>if there is no previous method to establish prices under clause 6A.24.3(b)(3), the relevant </w:t>
      </w:r>
      <w:r>
        <w:rPr>
          <w:i/>
          <w:sz w:val="24"/>
        </w:rPr>
        <w:t>Distribution Network Service Provider </w:t>
      </w:r>
      <w:r>
        <w:rPr>
          <w:sz w:val="24"/>
        </w:rPr>
        <w:t>must apply the </w:t>
      </w:r>
      <w:r>
        <w:rPr>
          <w:i/>
          <w:sz w:val="24"/>
        </w:rPr>
        <w:t>pricing methodology </w:t>
      </w:r>
      <w:r>
        <w:rPr>
          <w:sz w:val="24"/>
        </w:rPr>
        <w:t>of the largest </w:t>
      </w:r>
      <w:r>
        <w:rPr>
          <w:i/>
          <w:sz w:val="24"/>
        </w:rPr>
        <w:t>Transmission </w:t>
      </w:r>
      <w:r>
        <w:rPr>
          <w:i/>
          <w:sz w:val="24"/>
        </w:rPr>
        <w:t>Network Service Provider </w:t>
      </w:r>
      <w:r>
        <w:rPr>
          <w:sz w:val="24"/>
        </w:rPr>
        <w:t>operating in the </w:t>
      </w:r>
      <w:r>
        <w:rPr>
          <w:i/>
          <w:sz w:val="24"/>
        </w:rPr>
        <w:t>participating jurisdiction </w:t>
      </w:r>
      <w:r>
        <w:rPr>
          <w:spacing w:val="-7"/>
          <w:sz w:val="24"/>
        </w:rPr>
        <w:t>in </w:t>
      </w:r>
      <w:r>
        <w:rPr>
          <w:sz w:val="24"/>
        </w:rPr>
        <w:t>which that </w:t>
      </w:r>
      <w:r>
        <w:rPr>
          <w:i/>
          <w:sz w:val="24"/>
        </w:rPr>
        <w:t>Distribution Network Service Provider </w:t>
      </w:r>
      <w:r>
        <w:rPr>
          <w:sz w:val="24"/>
        </w:rPr>
        <w:t>operates the relevant </w:t>
      </w:r>
      <w:r>
        <w:rPr>
          <w:i/>
          <w:sz w:val="24"/>
        </w:rPr>
        <w:t>dual function</w:t>
      </w:r>
      <w:r>
        <w:rPr>
          <w:i/>
          <w:spacing w:val="-1"/>
          <w:sz w:val="24"/>
        </w:rPr>
        <w:t> </w:t>
      </w:r>
      <w:r>
        <w:rPr>
          <w:i/>
          <w:sz w:val="24"/>
        </w:rPr>
        <w:t>assets</w:t>
      </w:r>
      <w:r>
        <w:rPr>
          <w:sz w:val="24"/>
        </w:rPr>
        <w:t>.</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 pricing rules in Part I of Chapter 6 are to be applied to the </w:t>
      </w:r>
      <w:r>
        <w:rPr>
          <w:i/>
          <w:sz w:val="24"/>
        </w:rPr>
        <w:t>Distribution </w:t>
      </w:r>
      <w:r>
        <w:rPr>
          <w:i/>
          <w:sz w:val="24"/>
        </w:rPr>
        <w:t>Network Service Provider's distribution standard control service</w:t>
      </w:r>
      <w:r>
        <w:rPr>
          <w:i/>
          <w:spacing w:val="-14"/>
          <w:sz w:val="24"/>
        </w:rPr>
        <w:t> </w:t>
      </w:r>
      <w:r>
        <w:rPr>
          <w:i/>
          <w:sz w:val="24"/>
        </w:rPr>
        <w:t>revenue</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O Annual Benchmarking Report" w:id="1663"/>
      <w:bookmarkEnd w:id="1663"/>
      <w:r>
        <w:rPr>
          <w:b w:val="0"/>
        </w:rPr>
      </w:r>
      <w:bookmarkStart w:name="_bookmark659" w:id="1664"/>
      <w:bookmarkEnd w:id="1664"/>
      <w:r>
        <w:rPr>
          <w:b w:val="0"/>
        </w:rPr>
      </w:r>
      <w:r>
        <w:rPr>
          <w:shd w:fill="D9D9D9" w:color="auto" w:val="clear"/>
        </w:rPr>
        <w:t>Part O</w:t>
        <w:tab/>
        <w:t>Annual Benchmarking</w:t>
      </w:r>
      <w:r>
        <w:rPr>
          <w:spacing w:val="-23"/>
          <w:shd w:fill="D9D9D9" w:color="auto" w:val="clear"/>
        </w:rPr>
        <w:t> </w:t>
      </w:r>
      <w:r>
        <w:rPr>
          <w:shd w:fill="D9D9D9" w:color="auto" w:val="clear"/>
        </w:rPr>
        <w:t>Report</w:t>
        <w:tab/>
      </w:r>
    </w:p>
    <w:p>
      <w:pPr>
        <w:pStyle w:val="Heading3"/>
        <w:numPr>
          <w:ilvl w:val="1"/>
          <w:numId w:val="442"/>
        </w:numPr>
        <w:tabs>
          <w:tab w:pos="1351" w:val="left" w:leader="none"/>
          <w:tab w:pos="1353" w:val="left" w:leader="none"/>
        </w:tabs>
        <w:spacing w:line="240" w:lineRule="auto" w:before="240" w:after="0"/>
        <w:ind w:left="1352" w:right="0" w:hanging="1135"/>
        <w:jc w:val="left"/>
      </w:pPr>
      <w:bookmarkStart w:name="6.27 Annual Benchmarking Report" w:id="1665"/>
      <w:bookmarkEnd w:id="1665"/>
      <w:r>
        <w:rPr>
          <w:b w:val="0"/>
        </w:rPr>
      </w:r>
      <w:bookmarkStart w:name="_bookmark660" w:id="1666"/>
      <w:bookmarkEnd w:id="1666"/>
      <w:r>
        <w:rPr>
          <w:b w:val="0"/>
        </w:rPr>
      </w:r>
      <w:bookmarkStart w:name="_bookmark660" w:id="1667"/>
      <w:bookmarkEnd w:id="1667"/>
      <w:r>
        <w:rPr/>
        <w:t>Ann</w:t>
      </w:r>
      <w:r>
        <w:rPr/>
        <w:t>ual Benchmarking</w:t>
      </w:r>
      <w:r>
        <w:rPr>
          <w:spacing w:val="-2"/>
        </w:rPr>
        <w:t> </w:t>
      </w:r>
      <w:r>
        <w:rPr/>
        <w:t>Report</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prepare and </w:t>
      </w:r>
      <w:r>
        <w:rPr>
          <w:i/>
          <w:sz w:val="24"/>
        </w:rPr>
        <w:t>publish </w:t>
      </w:r>
      <w:r>
        <w:rPr>
          <w:sz w:val="24"/>
        </w:rPr>
        <w:t>a </w:t>
      </w:r>
      <w:r>
        <w:rPr>
          <w:i/>
          <w:sz w:val="24"/>
        </w:rPr>
        <w:t>network service provider performance </w:t>
      </w:r>
      <w:r>
        <w:rPr>
          <w:i/>
          <w:sz w:val="24"/>
        </w:rPr>
        <w:t>report </w:t>
      </w:r>
      <w:r>
        <w:rPr>
          <w:sz w:val="24"/>
        </w:rPr>
        <w:t>(an </w:t>
      </w:r>
      <w:r>
        <w:rPr>
          <w:i/>
          <w:sz w:val="24"/>
        </w:rPr>
        <w:t>annual benchmarking report</w:t>
      </w:r>
      <w:r>
        <w:rPr>
          <w:sz w:val="24"/>
        </w:rPr>
        <w:t>) the purpose of which is to describe, in reasonably plain language, the relative efficiency of each </w:t>
      </w:r>
      <w:r>
        <w:rPr>
          <w:i/>
          <w:sz w:val="24"/>
        </w:rPr>
        <w:t>Distribution </w:t>
      </w:r>
      <w:r>
        <w:rPr>
          <w:i/>
          <w:sz w:val="24"/>
        </w:rPr>
        <w:t>Network Service Provider </w:t>
      </w:r>
      <w:r>
        <w:rPr>
          <w:sz w:val="24"/>
        </w:rPr>
        <w:t>in providing </w:t>
      </w:r>
      <w:r>
        <w:rPr>
          <w:i/>
          <w:sz w:val="24"/>
        </w:rPr>
        <w:t>direct control services </w:t>
      </w:r>
      <w:r>
        <w:rPr>
          <w:sz w:val="24"/>
        </w:rPr>
        <w:t>over a 12 month period.</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Clause 8.7.4 (excluding clause 8.7.4(a)) applies in respect of the preparation of an </w:t>
      </w:r>
      <w:r>
        <w:rPr>
          <w:i/>
          <w:sz w:val="24"/>
        </w:rPr>
        <w:t>annual benchmarking</w:t>
      </w:r>
      <w:r>
        <w:rPr>
          <w:i/>
          <w:spacing w:val="-1"/>
          <w:sz w:val="24"/>
        </w:rPr>
        <w:t> </w:t>
      </w:r>
      <w:r>
        <w:rPr>
          <w:i/>
          <w:sz w:val="24"/>
        </w:rPr>
        <w:t>report</w:t>
      </w:r>
      <w:r>
        <w:rPr>
          <w:sz w:val="24"/>
        </w:rPr>
        <w:t>.</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Subject to paragraphs (d) and (e), the </w:t>
      </w:r>
      <w:r>
        <w:rPr>
          <w:i/>
          <w:sz w:val="24"/>
        </w:rPr>
        <w:t>AER </w:t>
      </w:r>
      <w:r>
        <w:rPr>
          <w:sz w:val="24"/>
        </w:rPr>
        <w:t>must </w:t>
      </w:r>
      <w:r>
        <w:rPr>
          <w:i/>
          <w:sz w:val="24"/>
        </w:rPr>
        <w:t>publish </w:t>
      </w:r>
      <w:r>
        <w:rPr>
          <w:sz w:val="24"/>
        </w:rPr>
        <w:t>an </w:t>
      </w:r>
      <w:r>
        <w:rPr>
          <w:i/>
          <w:sz w:val="24"/>
        </w:rPr>
        <w:t>annual </w:t>
      </w:r>
      <w:r>
        <w:rPr>
          <w:i/>
          <w:sz w:val="24"/>
        </w:rPr>
        <w:t>benchmarking report </w:t>
      </w:r>
      <w:r>
        <w:rPr>
          <w:sz w:val="24"/>
        </w:rPr>
        <w:t>at least every 12</w:t>
      </w:r>
      <w:r>
        <w:rPr>
          <w:spacing w:val="-4"/>
          <w:sz w:val="24"/>
        </w:rPr>
        <w:t> </w:t>
      </w:r>
      <w:r>
        <w:rPr>
          <w:sz w:val="24"/>
        </w:rPr>
        <w:t>months.</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 first </w:t>
      </w:r>
      <w:r>
        <w:rPr>
          <w:i/>
          <w:sz w:val="24"/>
        </w:rPr>
        <w:t>annual benchmarking report </w:t>
      </w:r>
      <w:r>
        <w:rPr>
          <w:sz w:val="24"/>
        </w:rPr>
        <w:t>must be </w:t>
      </w:r>
      <w:r>
        <w:rPr>
          <w:i/>
          <w:sz w:val="24"/>
        </w:rPr>
        <w:t>published </w:t>
      </w:r>
      <w:r>
        <w:rPr>
          <w:sz w:val="24"/>
        </w:rPr>
        <w:t>by 30 September 2014.</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 second </w:t>
      </w:r>
      <w:r>
        <w:rPr>
          <w:i/>
          <w:sz w:val="24"/>
        </w:rPr>
        <w:t>annual benchmarking report </w:t>
      </w:r>
      <w:r>
        <w:rPr>
          <w:sz w:val="24"/>
        </w:rPr>
        <w:t>must be </w:t>
      </w:r>
      <w:r>
        <w:rPr>
          <w:i/>
          <w:sz w:val="24"/>
        </w:rPr>
        <w:t>published </w:t>
      </w:r>
      <w:r>
        <w:rPr>
          <w:sz w:val="24"/>
        </w:rPr>
        <w:t>by 30 November</w:t>
      </w:r>
      <w:r>
        <w:rPr>
          <w:spacing w:val="-2"/>
          <w:sz w:val="24"/>
        </w:rPr>
        <w:t> </w:t>
      </w:r>
      <w:r>
        <w:rPr>
          <w:sz w:val="24"/>
        </w:rPr>
        <w:t>2015.</w:t>
      </w:r>
    </w:p>
    <w:p>
      <w:pPr>
        <w:spacing w:after="0" w:line="240" w:lineRule="auto"/>
        <w:jc w:val="both"/>
        <w:rPr>
          <w:sz w:val="24"/>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P Distribution Reliability Measures" w:id="1668"/>
      <w:bookmarkEnd w:id="1668"/>
      <w:r>
        <w:rPr>
          <w:b w:val="0"/>
        </w:rPr>
      </w:r>
      <w:bookmarkStart w:name="_bookmark661" w:id="1669"/>
      <w:bookmarkEnd w:id="1669"/>
      <w:r>
        <w:rPr>
          <w:b w:val="0"/>
        </w:rPr>
      </w:r>
      <w:r>
        <w:rPr>
          <w:shd w:fill="D9D9D9" w:color="auto" w:val="clear"/>
        </w:rPr>
        <w:t>Part P</w:t>
        <w:tab/>
        <w:t>Distribution Reliability Measures</w:t>
      </w:r>
      <w:r>
        <w:rPr>
          <w:spacing w:val="-15"/>
          <w:shd w:fill="D9D9D9" w:color="auto" w:val="clear"/>
        </w:rPr>
        <w:t> </w:t>
      </w:r>
      <w:r>
        <w:rPr>
          <w:shd w:fill="D9D9D9" w:color="auto" w:val="clear"/>
        </w:rPr>
        <w:t>Guidelines</w:t>
        <w:tab/>
      </w:r>
    </w:p>
    <w:p>
      <w:pPr>
        <w:pStyle w:val="Heading4"/>
        <w:numPr>
          <w:ilvl w:val="1"/>
          <w:numId w:val="442"/>
        </w:numPr>
        <w:tabs>
          <w:tab w:pos="1351" w:val="left" w:leader="none"/>
          <w:tab w:pos="1352" w:val="left" w:leader="none"/>
        </w:tabs>
        <w:spacing w:line="240" w:lineRule="auto" w:before="240" w:after="0"/>
        <w:ind w:left="1351" w:right="0" w:hanging="1134"/>
        <w:jc w:val="left"/>
      </w:pPr>
      <w:bookmarkStart w:name=" " w:id="1670"/>
      <w:bookmarkEnd w:id="1670"/>
      <w:r>
        <w:rPr>
          <w:b w:val="0"/>
        </w:rPr>
      </w:r>
      <w:bookmarkStart w:name="6.28 Distribution Reliability Measures G" w:id="1671"/>
      <w:bookmarkEnd w:id="1671"/>
      <w:r>
        <w:rPr>
          <w:b w:val="0"/>
        </w:rPr>
      </w:r>
      <w:bookmarkStart w:name="_bookmark662" w:id="1672"/>
      <w:bookmarkEnd w:id="1672"/>
      <w:r>
        <w:rPr>
          <w:b w:val="0"/>
        </w:rPr>
      </w:r>
      <w:bookmarkStart w:name="_bookmark662" w:id="1673"/>
      <w:bookmarkEnd w:id="1673"/>
      <w:r>
        <w:rPr/>
        <w:t>Distributio</w:t>
      </w:r>
      <w:r>
        <w:rPr/>
        <w:t>n Reliability Measures</w:t>
      </w:r>
      <w:r>
        <w:rPr>
          <w:spacing w:val="-4"/>
        </w:rPr>
        <w:t> </w:t>
      </w:r>
      <w:r>
        <w:rPr/>
        <w:t>Guidelines</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in accordance with the </w:t>
      </w:r>
      <w:r>
        <w:rPr>
          <w:i/>
          <w:sz w:val="24"/>
        </w:rPr>
        <w:t>distribution consultation procedures </w:t>
      </w:r>
      <w:r>
        <w:rPr>
          <w:sz w:val="24"/>
        </w:rPr>
        <w:t>make and </w:t>
      </w:r>
      <w:r>
        <w:rPr>
          <w:i/>
          <w:sz w:val="24"/>
        </w:rPr>
        <w:t>publish </w:t>
      </w:r>
      <w:r>
        <w:rPr>
          <w:sz w:val="24"/>
        </w:rPr>
        <w:t>guidelines (the </w:t>
      </w:r>
      <w:r>
        <w:rPr>
          <w:i/>
          <w:sz w:val="24"/>
        </w:rPr>
        <w:t>Distribution Reliability Measures </w:t>
      </w:r>
      <w:r>
        <w:rPr>
          <w:i/>
          <w:sz w:val="24"/>
        </w:rPr>
        <w:t>Guidelines</w:t>
      </w:r>
      <w:r>
        <w:rPr>
          <w:sz w:val="24"/>
        </w:rPr>
        <w:t>) that describe a set of common definitions of reliability measures that can be used to assess and compare the reliability performance of </w:t>
      </w:r>
      <w:r>
        <w:rPr>
          <w:i/>
          <w:sz w:val="24"/>
        </w:rPr>
        <w:t>Distribution Network Service</w:t>
      </w:r>
      <w:r>
        <w:rPr>
          <w:i/>
          <w:spacing w:val="-2"/>
          <w:sz w:val="24"/>
        </w:rPr>
        <w:t> </w:t>
      </w:r>
      <w:r>
        <w:rPr>
          <w:i/>
          <w:sz w:val="24"/>
        </w:rPr>
        <w:t>Providers</w:t>
      </w:r>
      <w:r>
        <w:rPr>
          <w:sz w:val="24"/>
        </w:rPr>
        <w:t>.</w:t>
      </w:r>
    </w:p>
    <w:p>
      <w:pPr>
        <w:pStyle w:val="ListParagraph"/>
        <w:numPr>
          <w:ilvl w:val="2"/>
          <w:numId w:val="442"/>
        </w:numPr>
        <w:tabs>
          <w:tab w:pos="1919" w:val="left" w:leader="none"/>
        </w:tabs>
        <w:spacing w:line="240" w:lineRule="auto" w:before="120" w:after="0"/>
        <w:ind w:left="1919" w:right="415" w:hanging="567"/>
        <w:jc w:val="both"/>
        <w:rPr>
          <w:sz w:val="24"/>
        </w:rPr>
      </w:pPr>
      <w:r>
        <w:rPr>
          <w:sz w:val="24"/>
        </w:rPr>
        <w:t>There must be </w:t>
      </w:r>
      <w:r>
        <w:rPr>
          <w:i/>
          <w:sz w:val="24"/>
        </w:rPr>
        <w:t>Distribution Reliability Measures Guidelines </w:t>
      </w:r>
      <w:r>
        <w:rPr>
          <w:sz w:val="24"/>
        </w:rPr>
        <w:t>in force at all times after the date on which the </w:t>
      </w:r>
      <w:r>
        <w:rPr>
          <w:i/>
          <w:sz w:val="24"/>
        </w:rPr>
        <w:t>AER </w:t>
      </w:r>
      <w:r>
        <w:rPr>
          <w:sz w:val="24"/>
        </w:rPr>
        <w:t>first </w:t>
      </w:r>
      <w:r>
        <w:rPr>
          <w:i/>
          <w:sz w:val="24"/>
        </w:rPr>
        <w:t>publishes Distribution Reliability </w:t>
      </w:r>
      <w:r>
        <w:rPr>
          <w:i/>
          <w:sz w:val="24"/>
        </w:rPr>
        <w:t>Measures Guidelines </w:t>
      </w:r>
      <w:r>
        <w:rPr>
          <w:sz w:val="24"/>
        </w:rPr>
        <w:t>under these</w:t>
      </w:r>
      <w:r>
        <w:rPr>
          <w:spacing w:val="-3"/>
          <w:sz w:val="24"/>
        </w:rPr>
        <w:t> </w:t>
      </w:r>
      <w:r>
        <w:rPr>
          <w:i/>
          <w:sz w:val="24"/>
        </w:rPr>
        <w:t>Rules</w:t>
      </w:r>
      <w:r>
        <w:rPr>
          <w:sz w:val="24"/>
        </w:rPr>
        <w:t>.</w:t>
      </w:r>
    </w:p>
    <w:p>
      <w:pPr>
        <w:pStyle w:val="ListParagraph"/>
        <w:numPr>
          <w:ilvl w:val="2"/>
          <w:numId w:val="442"/>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review the </w:t>
      </w:r>
      <w:r>
        <w:rPr>
          <w:i/>
          <w:sz w:val="24"/>
        </w:rPr>
        <w:t>Distribution Reliability Measures Guidelines </w:t>
      </w:r>
      <w:r>
        <w:rPr>
          <w:sz w:val="24"/>
        </w:rPr>
        <w:t>at least every 5</w:t>
      </w:r>
      <w:r>
        <w:rPr>
          <w:spacing w:val="-1"/>
          <w:sz w:val="24"/>
        </w:rPr>
        <w:t> </w:t>
      </w:r>
      <w:r>
        <w:rPr>
          <w:sz w:val="24"/>
        </w:rPr>
        <w:t>years.</w:t>
      </w:r>
    </w:p>
    <w:p>
      <w:pPr>
        <w:pStyle w:val="BodyText"/>
        <w:spacing w:before="10"/>
        <w:ind w:firstLine="0"/>
        <w:jc w:val="left"/>
        <w:rPr>
          <w:sz w:val="20"/>
        </w:rPr>
      </w:pPr>
    </w:p>
    <w:p>
      <w:pPr>
        <w:pStyle w:val="Heading2"/>
        <w:tabs>
          <w:tab w:pos="2485" w:val="left" w:leader="none"/>
        </w:tabs>
      </w:pPr>
      <w:bookmarkStart w:name="Schedule 6.1 Contents of building block " w:id="1674"/>
      <w:bookmarkEnd w:id="1674"/>
      <w:r>
        <w:rPr>
          <w:b w:val="0"/>
        </w:rPr>
      </w:r>
      <w:bookmarkStart w:name="_bookmark663" w:id="1675"/>
      <w:bookmarkEnd w:id="1675"/>
      <w:r>
        <w:rPr>
          <w:b w:val="0"/>
        </w:rPr>
      </w:r>
      <w:r>
        <w:rPr/>
        <w:t>Schedule</w:t>
      </w:r>
      <w:r>
        <w:rPr>
          <w:spacing w:val="-1"/>
        </w:rPr>
        <w:t> </w:t>
      </w:r>
      <w:r>
        <w:rPr/>
        <w:t>6.1</w:t>
        <w:tab/>
        <w:t>Contents of building block</w:t>
      </w:r>
      <w:r>
        <w:rPr>
          <w:spacing w:val="-2"/>
        </w:rPr>
        <w:t> </w:t>
      </w:r>
      <w:r>
        <w:rPr/>
        <w:t>proposals</w:t>
      </w:r>
    </w:p>
    <w:p>
      <w:pPr>
        <w:pStyle w:val="Heading4"/>
        <w:tabs>
          <w:tab w:pos="1351" w:val="left" w:leader="none"/>
        </w:tabs>
        <w:spacing w:before="240"/>
        <w:ind w:left="218" w:firstLine="0"/>
      </w:pPr>
      <w:bookmarkStart w:name="S6.1.1 Information and matters relating " w:id="1676"/>
      <w:bookmarkEnd w:id="1676"/>
      <w:r>
        <w:rPr>
          <w:b w:val="0"/>
        </w:rPr>
      </w:r>
      <w:bookmarkStart w:name="_bookmark664" w:id="1677"/>
      <w:bookmarkEnd w:id="1677"/>
      <w:r>
        <w:rPr>
          <w:b w:val="0"/>
        </w:rPr>
      </w:r>
      <w:r>
        <w:rPr/>
        <w:t>S6.1.1</w:t>
        <w:tab/>
        <w:t>Information and matters relating to capital</w:t>
      </w:r>
      <w:r>
        <w:rPr>
          <w:spacing w:val="-10"/>
        </w:rPr>
        <w:t> </w:t>
      </w:r>
      <w:r>
        <w:rPr/>
        <w:t>expenditure</w:t>
      </w:r>
    </w:p>
    <w:p>
      <w:pPr>
        <w:spacing w:before="120"/>
        <w:ind w:left="1352" w:right="414" w:firstLine="0"/>
        <w:jc w:val="both"/>
        <w:rPr>
          <w:sz w:val="24"/>
        </w:rPr>
      </w:pPr>
      <w:r>
        <w:rPr>
          <w:sz w:val="24"/>
        </w:rPr>
        <w:t>A </w:t>
      </w:r>
      <w:r>
        <w:rPr>
          <w:i/>
          <w:sz w:val="24"/>
        </w:rPr>
        <w:t>building block proposal </w:t>
      </w:r>
      <w:r>
        <w:rPr>
          <w:sz w:val="24"/>
        </w:rPr>
        <w:t>must contain at least the following information and matters relating to capital expenditure:</w:t>
      </w:r>
    </w:p>
    <w:p>
      <w:pPr>
        <w:pStyle w:val="ListParagraph"/>
        <w:numPr>
          <w:ilvl w:val="3"/>
          <w:numId w:val="442"/>
        </w:numPr>
        <w:tabs>
          <w:tab w:pos="1919" w:val="left" w:leader="none"/>
        </w:tabs>
        <w:spacing w:line="240" w:lineRule="auto" w:before="120" w:after="0"/>
        <w:ind w:left="1919" w:right="415" w:hanging="567"/>
        <w:jc w:val="both"/>
        <w:rPr>
          <w:sz w:val="24"/>
        </w:rPr>
      </w:pPr>
      <w:r>
        <w:rPr>
          <w:sz w:val="24"/>
        </w:rPr>
        <w:t>a forecast of the required capital expenditure that complies with the requirements of clause 6.5.7 and identifies the forecast capital expenditure by reference to well accepted categories such</w:t>
      </w:r>
      <w:r>
        <w:rPr>
          <w:spacing w:val="-4"/>
          <w:sz w:val="24"/>
        </w:rPr>
        <w:t> </w:t>
      </w:r>
      <w:r>
        <w:rPr>
          <w:sz w:val="24"/>
        </w:rPr>
        <w:t>as:</w:t>
      </w:r>
    </w:p>
    <w:p>
      <w:pPr>
        <w:pStyle w:val="ListParagraph"/>
        <w:numPr>
          <w:ilvl w:val="4"/>
          <w:numId w:val="442"/>
        </w:numPr>
        <w:tabs>
          <w:tab w:pos="2485" w:val="left" w:leader="none"/>
          <w:tab w:pos="2486" w:val="left" w:leader="none"/>
        </w:tabs>
        <w:spacing w:line="240" w:lineRule="auto" w:before="120" w:after="0"/>
        <w:ind w:left="2485" w:right="0" w:hanging="567"/>
        <w:jc w:val="left"/>
        <w:rPr>
          <w:sz w:val="24"/>
        </w:rPr>
      </w:pPr>
      <w:r>
        <w:rPr>
          <w:sz w:val="24"/>
        </w:rPr>
        <w:t>asset class (eg. </w:t>
      </w:r>
      <w:r>
        <w:rPr>
          <w:i/>
          <w:sz w:val="24"/>
        </w:rPr>
        <w:t>distribution lines</w:t>
      </w:r>
      <w:r>
        <w:rPr>
          <w:sz w:val="24"/>
        </w:rPr>
        <w:t>, </w:t>
      </w:r>
      <w:r>
        <w:rPr>
          <w:i/>
          <w:sz w:val="24"/>
        </w:rPr>
        <w:t>substations </w:t>
      </w:r>
      <w:r>
        <w:rPr>
          <w:sz w:val="24"/>
        </w:rPr>
        <w:t>etc);</w:t>
      </w:r>
      <w:r>
        <w:rPr>
          <w:spacing w:val="-6"/>
          <w:sz w:val="24"/>
        </w:rPr>
        <w:t> </w:t>
      </w:r>
      <w:r>
        <w:rPr>
          <w:sz w:val="24"/>
        </w:rPr>
        <w:t>or</w:t>
      </w:r>
    </w:p>
    <w:p>
      <w:pPr>
        <w:pStyle w:val="ListParagraph"/>
        <w:numPr>
          <w:ilvl w:val="4"/>
          <w:numId w:val="442"/>
        </w:numPr>
        <w:tabs>
          <w:tab w:pos="2485" w:val="left" w:leader="none"/>
          <w:tab w:pos="2487" w:val="left" w:leader="none"/>
          <w:tab w:pos="3577" w:val="left" w:leader="none"/>
          <w:tab w:pos="4415" w:val="left" w:leader="none"/>
          <w:tab w:pos="5047" w:val="left" w:leader="none"/>
          <w:tab w:pos="6324" w:val="left" w:leader="none"/>
          <w:tab w:pos="7576" w:val="left" w:leader="none"/>
          <w:tab w:pos="8055" w:val="left" w:leader="none"/>
        </w:tabs>
        <w:spacing w:line="240" w:lineRule="auto" w:before="120" w:after="0"/>
        <w:ind w:left="2486" w:right="417" w:hanging="567"/>
        <w:jc w:val="left"/>
        <w:rPr>
          <w:sz w:val="24"/>
        </w:rPr>
      </w:pPr>
      <w:r>
        <w:rPr>
          <w:sz w:val="24"/>
        </w:rPr>
        <w:t>category</w:t>
        <w:tab/>
        <w:t>driver</w:t>
        <w:tab/>
        <w:t>(eg.</w:t>
        <w:tab/>
      </w:r>
      <w:r>
        <w:rPr>
          <w:i/>
          <w:sz w:val="24"/>
        </w:rPr>
        <w:t>regulatory</w:t>
        <w:tab/>
        <w:t>obligation</w:t>
        <w:tab/>
        <w:t>or</w:t>
        <w:tab/>
      </w:r>
      <w:r>
        <w:rPr>
          <w:i/>
          <w:spacing w:val="-1"/>
          <w:sz w:val="24"/>
        </w:rPr>
        <w:t>requirement</w:t>
      </w:r>
      <w:r>
        <w:rPr>
          <w:spacing w:val="-1"/>
          <w:sz w:val="24"/>
        </w:rPr>
        <w:t>, </w:t>
      </w:r>
      <w:r>
        <w:rPr>
          <w:sz w:val="24"/>
        </w:rPr>
        <w:t>replacement, </w:t>
      </w:r>
      <w:r>
        <w:rPr>
          <w:i/>
          <w:sz w:val="24"/>
        </w:rPr>
        <w:t>reliability</w:t>
      </w:r>
      <w:r>
        <w:rPr>
          <w:sz w:val="24"/>
        </w:rPr>
        <w:t>, net market benefit, business support</w:t>
      </w:r>
      <w:r>
        <w:rPr>
          <w:spacing w:val="-7"/>
          <w:sz w:val="24"/>
        </w:rPr>
        <w:t> </w:t>
      </w:r>
      <w:r>
        <w:rPr>
          <w:sz w:val="24"/>
        </w:rPr>
        <w:t>etc),</w:t>
      </w:r>
    </w:p>
    <w:p>
      <w:pPr>
        <w:pStyle w:val="BodyText"/>
        <w:ind w:left="1919" w:firstLine="0"/>
        <w:jc w:val="left"/>
      </w:pPr>
      <w:r>
        <w:rPr/>
        <w:t>and identifies, in respect of proposed material assets:</w:t>
      </w:r>
    </w:p>
    <w:p>
      <w:pPr>
        <w:pStyle w:val="ListParagraph"/>
        <w:numPr>
          <w:ilvl w:val="4"/>
          <w:numId w:val="442"/>
        </w:numPr>
        <w:tabs>
          <w:tab w:pos="2485" w:val="left" w:leader="none"/>
          <w:tab w:pos="2486" w:val="left" w:leader="none"/>
        </w:tabs>
        <w:spacing w:line="240" w:lineRule="auto" w:before="120" w:after="0"/>
        <w:ind w:left="2485" w:right="0" w:hanging="567"/>
        <w:jc w:val="left"/>
        <w:rPr>
          <w:sz w:val="24"/>
        </w:rPr>
      </w:pPr>
      <w:r>
        <w:rPr>
          <w:sz w:val="24"/>
        </w:rPr>
        <w:t>the location of the proposed</w:t>
      </w:r>
      <w:r>
        <w:rPr>
          <w:spacing w:val="-1"/>
          <w:sz w:val="24"/>
        </w:rPr>
        <w:t> </w:t>
      </w:r>
      <w:r>
        <w:rPr>
          <w:sz w:val="24"/>
        </w:rPr>
        <w:t>asset;</w:t>
      </w:r>
    </w:p>
    <w:p>
      <w:pPr>
        <w:pStyle w:val="ListParagraph"/>
        <w:numPr>
          <w:ilvl w:val="4"/>
          <w:numId w:val="442"/>
        </w:numPr>
        <w:tabs>
          <w:tab w:pos="2485" w:val="left" w:leader="none"/>
          <w:tab w:pos="2487" w:val="left" w:leader="none"/>
        </w:tabs>
        <w:spacing w:line="240" w:lineRule="auto" w:before="120" w:after="0"/>
        <w:ind w:left="2486" w:right="0" w:hanging="568"/>
        <w:jc w:val="left"/>
        <w:rPr>
          <w:sz w:val="24"/>
        </w:rPr>
      </w:pPr>
      <w:r>
        <w:rPr>
          <w:sz w:val="24"/>
        </w:rPr>
        <w:t>the anticipated or known cost of the proposed asset;</w:t>
      </w:r>
      <w:r>
        <w:rPr>
          <w:spacing w:val="-2"/>
          <w:sz w:val="24"/>
        </w:rPr>
        <w:t> </w:t>
      </w:r>
      <w:r>
        <w:rPr>
          <w:sz w:val="24"/>
        </w:rPr>
        <w:t>and</w:t>
      </w:r>
    </w:p>
    <w:p>
      <w:pPr>
        <w:pStyle w:val="ListParagraph"/>
        <w:numPr>
          <w:ilvl w:val="4"/>
          <w:numId w:val="442"/>
        </w:numPr>
        <w:tabs>
          <w:tab w:pos="2485" w:val="left" w:leader="none"/>
          <w:tab w:pos="2486" w:val="left" w:leader="none"/>
        </w:tabs>
        <w:spacing w:line="240" w:lineRule="auto" w:before="120" w:after="0"/>
        <w:ind w:left="2486" w:right="416" w:hanging="567"/>
        <w:jc w:val="left"/>
        <w:rPr>
          <w:sz w:val="24"/>
        </w:rPr>
      </w:pPr>
      <w:r>
        <w:rPr>
          <w:sz w:val="24"/>
        </w:rPr>
        <w:t>the categories of </w:t>
      </w:r>
      <w:r>
        <w:rPr>
          <w:i/>
          <w:sz w:val="24"/>
        </w:rPr>
        <w:t>distribution services </w:t>
      </w:r>
      <w:r>
        <w:rPr>
          <w:sz w:val="24"/>
        </w:rPr>
        <w:t>which are to be provided by the proposed asset;</w:t>
      </w:r>
    </w:p>
    <w:p>
      <w:pPr>
        <w:pStyle w:val="ListParagraph"/>
        <w:numPr>
          <w:ilvl w:val="3"/>
          <w:numId w:val="442"/>
        </w:numPr>
        <w:tabs>
          <w:tab w:pos="1919" w:val="left" w:leader="none"/>
        </w:tabs>
        <w:spacing w:line="240" w:lineRule="auto" w:before="120" w:after="0"/>
        <w:ind w:left="1918" w:right="0" w:hanging="567"/>
        <w:jc w:val="both"/>
        <w:rPr>
          <w:sz w:val="24"/>
        </w:rPr>
      </w:pPr>
      <w:r>
        <w:rPr>
          <w:sz w:val="24"/>
        </w:rPr>
        <w:t>the method used for developing the capital expenditure</w:t>
      </w:r>
      <w:r>
        <w:rPr>
          <w:spacing w:val="-2"/>
          <w:sz w:val="24"/>
        </w:rPr>
        <w:t> </w:t>
      </w:r>
      <w:r>
        <w:rPr>
          <w:sz w:val="24"/>
        </w:rPr>
        <w:t>forecast;</w:t>
      </w:r>
    </w:p>
    <w:p>
      <w:pPr>
        <w:pStyle w:val="ListParagraph"/>
        <w:numPr>
          <w:ilvl w:val="3"/>
          <w:numId w:val="442"/>
        </w:numPr>
        <w:tabs>
          <w:tab w:pos="1919" w:val="left" w:leader="none"/>
        </w:tabs>
        <w:spacing w:line="240" w:lineRule="auto" w:before="120" w:after="0"/>
        <w:ind w:left="1919" w:right="415" w:hanging="567"/>
        <w:jc w:val="both"/>
        <w:rPr>
          <w:sz w:val="24"/>
        </w:rPr>
      </w:pPr>
      <w:r>
        <w:rPr>
          <w:sz w:val="24"/>
        </w:rPr>
        <w:t>the forecasts of load growth relied upon to derive the capital expenditure forecasts and the method used for developing those forecasts of load growth;</w:t>
      </w:r>
    </w:p>
    <w:p>
      <w:pPr>
        <w:pStyle w:val="ListParagraph"/>
        <w:numPr>
          <w:ilvl w:val="3"/>
          <w:numId w:val="442"/>
        </w:numPr>
        <w:tabs>
          <w:tab w:pos="1919" w:val="left" w:leader="none"/>
        </w:tabs>
        <w:spacing w:line="240" w:lineRule="auto" w:before="120" w:after="0"/>
        <w:ind w:left="1918" w:right="0" w:hanging="567"/>
        <w:jc w:val="both"/>
        <w:rPr>
          <w:sz w:val="24"/>
        </w:rPr>
      </w:pPr>
      <w:r>
        <w:rPr>
          <w:sz w:val="24"/>
        </w:rPr>
        <w:t>the key assumptions that underlie the capital expenditure</w:t>
      </w:r>
      <w:r>
        <w:rPr>
          <w:spacing w:val="-3"/>
          <w:sz w:val="24"/>
        </w:rPr>
        <w:t> </w:t>
      </w:r>
      <w:r>
        <w:rPr>
          <w:sz w:val="24"/>
        </w:rPr>
        <w:t>forecast;</w:t>
      </w:r>
    </w:p>
    <w:p>
      <w:pPr>
        <w:pStyle w:val="ListParagraph"/>
        <w:numPr>
          <w:ilvl w:val="3"/>
          <w:numId w:val="442"/>
        </w:numPr>
        <w:tabs>
          <w:tab w:pos="1919" w:val="left" w:leader="none"/>
        </w:tabs>
        <w:spacing w:line="240" w:lineRule="auto" w:before="120" w:after="0"/>
        <w:ind w:left="1919" w:right="414" w:hanging="567"/>
        <w:jc w:val="both"/>
        <w:rPr>
          <w:sz w:val="24"/>
        </w:rPr>
      </w:pPr>
      <w:r>
        <w:rPr>
          <w:sz w:val="24"/>
        </w:rPr>
        <w:t>a certification of the reasonableness of the key assumptions by the directors of the </w:t>
      </w:r>
      <w:r>
        <w:rPr>
          <w:i/>
          <w:sz w:val="24"/>
        </w:rPr>
        <w:t>Distribution Network Service</w:t>
      </w:r>
      <w:r>
        <w:rPr>
          <w:i/>
          <w:spacing w:val="-2"/>
          <w:sz w:val="24"/>
        </w:rPr>
        <w:t> </w:t>
      </w:r>
      <w:r>
        <w:rPr>
          <w:i/>
          <w:sz w:val="24"/>
        </w:rPr>
        <w:t>Provider</w:t>
      </w:r>
      <w:r>
        <w:rPr>
          <w:sz w:val="24"/>
        </w:rPr>
        <w:t>;</w:t>
      </w:r>
    </w:p>
    <w:p>
      <w:pPr>
        <w:spacing w:before="120"/>
        <w:ind w:left="1919" w:right="416" w:hanging="567"/>
        <w:jc w:val="both"/>
        <w:rPr>
          <w:sz w:val="24"/>
        </w:rPr>
      </w:pPr>
      <w:r>
        <w:rPr>
          <w:sz w:val="24"/>
        </w:rPr>
        <w:t>(5A) in the case of a </w:t>
      </w:r>
      <w:r>
        <w:rPr>
          <w:i/>
          <w:sz w:val="24"/>
        </w:rPr>
        <w:t>building block proposal </w:t>
      </w:r>
      <w:r>
        <w:rPr>
          <w:sz w:val="24"/>
        </w:rPr>
        <w:t>for a distribution determination for a </w:t>
      </w:r>
      <w:r>
        <w:rPr>
          <w:i/>
          <w:sz w:val="24"/>
        </w:rPr>
        <w:t>Distribution Network Service Provider </w:t>
      </w:r>
      <w:r>
        <w:rPr>
          <w:sz w:val="24"/>
        </w:rPr>
        <w:t>in this jurisdiction that will apply during the </w:t>
      </w:r>
      <w:r>
        <w:rPr>
          <w:i/>
          <w:sz w:val="24"/>
        </w:rPr>
        <w:t>1st regulatory control period</w:t>
      </w:r>
      <w:r>
        <w:rPr>
          <w:sz w:val="24"/>
        </w:rPr>
        <w:t>:</w:t>
      </w:r>
    </w:p>
    <w:p>
      <w:pPr>
        <w:pStyle w:val="ListParagraph"/>
        <w:numPr>
          <w:ilvl w:val="4"/>
          <w:numId w:val="442"/>
        </w:numPr>
        <w:tabs>
          <w:tab w:pos="2486" w:val="left" w:leader="none"/>
        </w:tabs>
        <w:spacing w:line="240" w:lineRule="auto" w:before="120" w:after="0"/>
        <w:ind w:left="2486" w:right="414" w:hanging="567"/>
        <w:jc w:val="both"/>
        <w:rPr>
          <w:sz w:val="24"/>
        </w:rPr>
      </w:pPr>
      <w:r>
        <w:rPr>
          <w:sz w:val="24"/>
        </w:rPr>
        <w:t>capital expenditure for each of the past years of the </w:t>
      </w:r>
      <w:r>
        <w:rPr>
          <w:i/>
          <w:sz w:val="24"/>
        </w:rPr>
        <w:t>2009-14 NT </w:t>
      </w:r>
      <w:r>
        <w:rPr>
          <w:i/>
          <w:sz w:val="24"/>
        </w:rPr>
        <w:t>regulatory control period </w:t>
      </w:r>
      <w:r>
        <w:rPr>
          <w:sz w:val="24"/>
        </w:rPr>
        <w:t>and </w:t>
      </w:r>
      <w:r>
        <w:rPr>
          <w:i/>
          <w:sz w:val="24"/>
        </w:rPr>
        <w:t>2014-19 NT regulatory control period</w:t>
      </w:r>
      <w:r>
        <w:rPr>
          <w:sz w:val="24"/>
        </w:rPr>
        <w:t>, and</w:t>
      </w:r>
      <w:r>
        <w:rPr>
          <w:spacing w:val="16"/>
          <w:sz w:val="24"/>
        </w:rPr>
        <w:t> </w:t>
      </w:r>
      <w:r>
        <w:rPr>
          <w:sz w:val="24"/>
        </w:rPr>
        <w:t>the</w:t>
      </w:r>
      <w:r>
        <w:rPr>
          <w:spacing w:val="17"/>
          <w:sz w:val="24"/>
        </w:rPr>
        <w:t> </w:t>
      </w:r>
      <w:r>
        <w:rPr>
          <w:sz w:val="24"/>
        </w:rPr>
        <w:t>expected</w:t>
      </w:r>
      <w:r>
        <w:rPr>
          <w:spacing w:val="16"/>
          <w:sz w:val="24"/>
        </w:rPr>
        <w:t> </w:t>
      </w:r>
      <w:r>
        <w:rPr>
          <w:sz w:val="24"/>
        </w:rPr>
        <w:t>capital</w:t>
      </w:r>
      <w:r>
        <w:rPr>
          <w:spacing w:val="17"/>
          <w:sz w:val="24"/>
        </w:rPr>
        <w:t> </w:t>
      </w:r>
      <w:r>
        <w:rPr>
          <w:sz w:val="24"/>
        </w:rPr>
        <w:t>expenditure</w:t>
      </w:r>
      <w:r>
        <w:rPr>
          <w:spacing w:val="16"/>
          <w:sz w:val="24"/>
        </w:rPr>
        <w:t> </w:t>
      </w:r>
      <w:r>
        <w:rPr>
          <w:sz w:val="24"/>
        </w:rPr>
        <w:t>for</w:t>
      </w:r>
      <w:r>
        <w:rPr>
          <w:spacing w:val="17"/>
          <w:sz w:val="24"/>
        </w:rPr>
        <w:t> </w:t>
      </w:r>
      <w:r>
        <w:rPr>
          <w:sz w:val="24"/>
        </w:rPr>
        <w:t>each</w:t>
      </w:r>
      <w:r>
        <w:rPr>
          <w:spacing w:val="17"/>
          <w:sz w:val="24"/>
        </w:rPr>
        <w:t> </w:t>
      </w:r>
      <w:r>
        <w:rPr>
          <w:sz w:val="24"/>
        </w:rPr>
        <w:t>of</w:t>
      </w:r>
      <w:r>
        <w:rPr>
          <w:spacing w:val="16"/>
          <w:sz w:val="24"/>
        </w:rPr>
        <w:t> </w:t>
      </w:r>
      <w:r>
        <w:rPr>
          <w:sz w:val="24"/>
        </w:rPr>
        <w:t>the</w:t>
      </w:r>
      <w:r>
        <w:rPr>
          <w:spacing w:val="17"/>
          <w:sz w:val="24"/>
        </w:rPr>
        <w:t> </w:t>
      </w:r>
      <w:r>
        <w:rPr>
          <w:sz w:val="24"/>
        </w:rPr>
        <w:t>last</w:t>
      </w:r>
      <w:r>
        <w:rPr>
          <w:spacing w:val="16"/>
          <w:sz w:val="24"/>
        </w:rPr>
        <w:t> </w:t>
      </w:r>
      <w:r>
        <w:rPr>
          <w:sz w:val="24"/>
        </w:rPr>
        <w:t>two</w:t>
      </w:r>
      <w:r>
        <w:rPr>
          <w:spacing w:val="17"/>
          <w:sz w:val="24"/>
        </w:rPr>
        <w:t> </w:t>
      </w:r>
      <w:r>
        <w:rPr>
          <w:sz w:val="24"/>
        </w:rPr>
        <w:t>years</w:t>
      </w:r>
      <w:r>
        <w:rPr>
          <w:spacing w:val="17"/>
          <w:sz w:val="24"/>
        </w:rPr>
        <w:t> </w:t>
      </w:r>
      <w:r>
        <w:rPr>
          <w:sz w:val="24"/>
        </w:rPr>
        <w:t>of</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sz w:val="24"/>
        </w:rPr>
        <w:t>the </w:t>
      </w:r>
      <w:r>
        <w:rPr>
          <w:i/>
          <w:sz w:val="24"/>
        </w:rPr>
        <w:t>2014-19 NT regulatory control period</w:t>
      </w:r>
      <w:r>
        <w:rPr>
          <w:sz w:val="24"/>
        </w:rPr>
        <w:t>, categorised in the same way as for the capital expenditure forecast and separately identifying for each such</w:t>
      </w:r>
      <w:r>
        <w:rPr>
          <w:spacing w:val="-2"/>
          <w:sz w:val="24"/>
        </w:rPr>
        <w:t> </w:t>
      </w:r>
      <w:r>
        <w:rPr>
          <w:sz w:val="24"/>
        </w:rPr>
        <w:t>year:</w:t>
      </w:r>
    </w:p>
    <w:p>
      <w:pPr>
        <w:pStyle w:val="ListParagraph"/>
        <w:numPr>
          <w:ilvl w:val="5"/>
          <w:numId w:val="442"/>
        </w:numPr>
        <w:tabs>
          <w:tab w:pos="3053" w:val="left" w:leader="none"/>
        </w:tabs>
        <w:spacing w:line="240" w:lineRule="auto" w:before="120" w:after="0"/>
        <w:ind w:left="3053" w:right="415" w:hanging="567"/>
        <w:jc w:val="both"/>
        <w:rPr>
          <w:sz w:val="24"/>
        </w:rPr>
      </w:pPr>
      <w:r>
        <w:rPr>
          <w:sz w:val="24"/>
        </w:rPr>
        <w:t>margins paid or expected to be paid by the </w:t>
      </w:r>
      <w:r>
        <w:rPr>
          <w:i/>
          <w:sz w:val="24"/>
        </w:rPr>
        <w:t>Distribution Network </w:t>
      </w:r>
      <w:r>
        <w:rPr>
          <w:i/>
          <w:sz w:val="24"/>
        </w:rPr>
        <w:t>Service Provider </w:t>
      </w:r>
      <w:r>
        <w:rPr>
          <w:sz w:val="24"/>
        </w:rPr>
        <w:t>in circumstances where those margins are referable to arrangements that do not reflect arm's length terms; and</w:t>
      </w:r>
    </w:p>
    <w:p>
      <w:pPr>
        <w:pStyle w:val="ListParagraph"/>
        <w:numPr>
          <w:ilvl w:val="5"/>
          <w:numId w:val="442"/>
        </w:numPr>
        <w:tabs>
          <w:tab w:pos="3054" w:val="left" w:leader="none"/>
        </w:tabs>
        <w:spacing w:line="240" w:lineRule="auto" w:before="120" w:after="0"/>
        <w:ind w:left="3053" w:right="415" w:hanging="567"/>
        <w:jc w:val="both"/>
        <w:rPr>
          <w:sz w:val="24"/>
        </w:rPr>
      </w:pPr>
      <w:r>
        <w:rPr>
          <w:sz w:val="24"/>
        </w:rPr>
        <w:t>expenditure that should have been treated as operating expenditure in accordance with the policy submitted under paragraph (8) for that year;</w:t>
      </w:r>
      <w:r>
        <w:rPr>
          <w:spacing w:val="-1"/>
          <w:sz w:val="24"/>
        </w:rPr>
        <w:t> </w:t>
      </w:r>
      <w:r>
        <w:rPr>
          <w:sz w:val="24"/>
        </w:rPr>
        <w:t>and</w:t>
      </w:r>
    </w:p>
    <w:p>
      <w:pPr>
        <w:pStyle w:val="ListParagraph"/>
        <w:numPr>
          <w:ilvl w:val="4"/>
          <w:numId w:val="442"/>
        </w:numPr>
        <w:tabs>
          <w:tab w:pos="2487" w:val="left" w:leader="none"/>
        </w:tabs>
        <w:spacing w:line="240" w:lineRule="auto" w:before="120" w:after="0"/>
        <w:ind w:left="2486" w:right="416" w:hanging="567"/>
        <w:jc w:val="both"/>
        <w:rPr>
          <w:sz w:val="24"/>
        </w:rPr>
      </w:pPr>
      <w:r>
        <w:rPr>
          <w:sz w:val="24"/>
        </w:rPr>
        <w:t>an explanation of any significant variations in the forecast</w:t>
      </w:r>
      <w:r>
        <w:rPr>
          <w:spacing w:val="37"/>
          <w:sz w:val="24"/>
        </w:rPr>
        <w:t> </w:t>
      </w:r>
      <w:r>
        <w:rPr>
          <w:sz w:val="24"/>
        </w:rPr>
        <w:t>capital expenditure from capital expenditure in the </w:t>
      </w:r>
      <w:r>
        <w:rPr>
          <w:i/>
          <w:sz w:val="24"/>
        </w:rPr>
        <w:t>2009-14 NT regulatory </w:t>
      </w:r>
      <w:r>
        <w:rPr>
          <w:i/>
          <w:sz w:val="24"/>
        </w:rPr>
        <w:t>control period </w:t>
      </w:r>
      <w:r>
        <w:rPr>
          <w:sz w:val="24"/>
        </w:rPr>
        <w:t>and </w:t>
      </w:r>
      <w:r>
        <w:rPr>
          <w:i/>
          <w:sz w:val="24"/>
        </w:rPr>
        <w:t>2014-19 NT regulatory control</w:t>
      </w:r>
      <w:r>
        <w:rPr>
          <w:i/>
          <w:spacing w:val="-2"/>
          <w:sz w:val="24"/>
        </w:rPr>
        <w:t> </w:t>
      </w:r>
      <w:r>
        <w:rPr>
          <w:i/>
          <w:sz w:val="24"/>
        </w:rPr>
        <w:t>period</w:t>
      </w:r>
      <w:r>
        <w:rPr>
          <w:sz w:val="24"/>
        </w:rPr>
        <w:t>;</w:t>
      </w:r>
    </w:p>
    <w:p>
      <w:pPr>
        <w:spacing w:before="120"/>
        <w:ind w:left="1919" w:right="416" w:hanging="567"/>
        <w:jc w:val="both"/>
        <w:rPr>
          <w:sz w:val="24"/>
        </w:rPr>
      </w:pPr>
      <w:r>
        <w:rPr>
          <w:sz w:val="24"/>
        </w:rPr>
        <w:t>(5B) in the case of a </w:t>
      </w:r>
      <w:r>
        <w:rPr>
          <w:i/>
          <w:sz w:val="24"/>
        </w:rPr>
        <w:t>building block proposal </w:t>
      </w:r>
      <w:r>
        <w:rPr>
          <w:sz w:val="24"/>
        </w:rPr>
        <w:t>for a distribution determination for a </w:t>
      </w:r>
      <w:r>
        <w:rPr>
          <w:i/>
          <w:sz w:val="24"/>
        </w:rPr>
        <w:t>Distribution Network Service Provider </w:t>
      </w:r>
      <w:r>
        <w:rPr>
          <w:sz w:val="24"/>
        </w:rPr>
        <w:t>in this jurisdiction that will apply during the </w:t>
      </w:r>
      <w:r>
        <w:rPr>
          <w:i/>
          <w:sz w:val="24"/>
        </w:rPr>
        <w:t>2nd regulatory control period</w:t>
      </w:r>
      <w:r>
        <w:rPr>
          <w:sz w:val="24"/>
        </w:rPr>
        <w:t>:</w:t>
      </w:r>
    </w:p>
    <w:p>
      <w:pPr>
        <w:pStyle w:val="ListParagraph"/>
        <w:numPr>
          <w:ilvl w:val="0"/>
          <w:numId w:val="460"/>
        </w:numPr>
        <w:tabs>
          <w:tab w:pos="2486" w:val="left" w:leader="none"/>
        </w:tabs>
        <w:spacing w:line="240" w:lineRule="auto" w:before="120" w:after="0"/>
        <w:ind w:left="2486" w:right="414" w:hanging="567"/>
        <w:jc w:val="both"/>
        <w:rPr>
          <w:sz w:val="24"/>
        </w:rPr>
      </w:pPr>
      <w:r>
        <w:rPr>
          <w:sz w:val="24"/>
        </w:rPr>
        <w:t>capital expenditure for each of the past years of the </w:t>
      </w:r>
      <w:r>
        <w:rPr>
          <w:i/>
          <w:sz w:val="24"/>
        </w:rPr>
        <w:t>2014-19 NT </w:t>
      </w:r>
      <w:r>
        <w:rPr>
          <w:i/>
          <w:sz w:val="24"/>
        </w:rPr>
        <w:t>regulatory control period </w:t>
      </w:r>
      <w:r>
        <w:rPr>
          <w:sz w:val="24"/>
        </w:rPr>
        <w:t>and each of the past regulatory years of the </w:t>
      </w:r>
      <w:r>
        <w:rPr>
          <w:i/>
          <w:sz w:val="24"/>
        </w:rPr>
        <w:t>1st regulatory control period</w:t>
      </w:r>
      <w:r>
        <w:rPr>
          <w:sz w:val="24"/>
        </w:rPr>
        <w:t>, and the expected capital expenditure for each of the last two </w:t>
      </w:r>
      <w:r>
        <w:rPr>
          <w:i/>
          <w:sz w:val="24"/>
        </w:rPr>
        <w:t>regulatory years </w:t>
      </w:r>
      <w:r>
        <w:rPr>
          <w:sz w:val="24"/>
        </w:rPr>
        <w:t>of the </w:t>
      </w:r>
      <w:r>
        <w:rPr>
          <w:i/>
          <w:sz w:val="24"/>
        </w:rPr>
        <w:t>1st regulatory control </w:t>
      </w:r>
      <w:r>
        <w:rPr>
          <w:i/>
          <w:sz w:val="24"/>
        </w:rPr>
        <w:t>period</w:t>
      </w:r>
      <w:r>
        <w:rPr>
          <w:sz w:val="24"/>
        </w:rPr>
        <w:t>, categorised in the same way as for the capital expenditure forecast and separately identifying for each such</w:t>
      </w:r>
      <w:r>
        <w:rPr>
          <w:spacing w:val="-2"/>
          <w:sz w:val="24"/>
        </w:rPr>
        <w:t> </w:t>
      </w:r>
      <w:r>
        <w:rPr>
          <w:sz w:val="24"/>
        </w:rPr>
        <w:t>year:</w:t>
      </w:r>
    </w:p>
    <w:p>
      <w:pPr>
        <w:pStyle w:val="ListParagraph"/>
        <w:numPr>
          <w:ilvl w:val="1"/>
          <w:numId w:val="460"/>
        </w:numPr>
        <w:tabs>
          <w:tab w:pos="3053" w:val="left" w:leader="none"/>
        </w:tabs>
        <w:spacing w:line="240" w:lineRule="auto" w:before="120" w:after="0"/>
        <w:ind w:left="3053" w:right="415" w:hanging="567"/>
        <w:jc w:val="both"/>
        <w:rPr>
          <w:sz w:val="24"/>
        </w:rPr>
      </w:pPr>
      <w:r>
        <w:rPr>
          <w:sz w:val="24"/>
        </w:rPr>
        <w:t>margins paid or expected to be paid by the </w:t>
      </w:r>
      <w:r>
        <w:rPr>
          <w:i/>
          <w:sz w:val="24"/>
        </w:rPr>
        <w:t>Distribution Network </w:t>
      </w:r>
      <w:r>
        <w:rPr>
          <w:i/>
          <w:sz w:val="24"/>
        </w:rPr>
        <w:t>Service Provider </w:t>
      </w:r>
      <w:r>
        <w:rPr>
          <w:sz w:val="24"/>
        </w:rPr>
        <w:t>in circumstances where those margins are referable to arrangements that do not reflect arm's length terms; and</w:t>
      </w:r>
    </w:p>
    <w:p>
      <w:pPr>
        <w:pStyle w:val="ListParagraph"/>
        <w:numPr>
          <w:ilvl w:val="1"/>
          <w:numId w:val="460"/>
        </w:numPr>
        <w:tabs>
          <w:tab w:pos="3054" w:val="left" w:leader="none"/>
        </w:tabs>
        <w:spacing w:line="240" w:lineRule="auto" w:before="120" w:after="0"/>
        <w:ind w:left="3053" w:right="415" w:hanging="567"/>
        <w:jc w:val="both"/>
        <w:rPr>
          <w:sz w:val="24"/>
        </w:rPr>
      </w:pPr>
      <w:r>
        <w:rPr>
          <w:sz w:val="24"/>
        </w:rPr>
        <w:t>expenditure that should have been treated as operating expenditure in accordance with the policy submitted under paragraph (8) for that year;</w:t>
      </w:r>
      <w:r>
        <w:rPr>
          <w:spacing w:val="-1"/>
          <w:sz w:val="24"/>
        </w:rPr>
        <w:t> </w:t>
      </w:r>
      <w:r>
        <w:rPr>
          <w:sz w:val="24"/>
        </w:rPr>
        <w:t>and</w:t>
      </w:r>
    </w:p>
    <w:p>
      <w:pPr>
        <w:pStyle w:val="ListParagraph"/>
        <w:numPr>
          <w:ilvl w:val="0"/>
          <w:numId w:val="460"/>
        </w:numPr>
        <w:tabs>
          <w:tab w:pos="2487" w:val="left" w:leader="none"/>
        </w:tabs>
        <w:spacing w:line="240" w:lineRule="auto" w:before="120" w:after="0"/>
        <w:ind w:left="2486" w:right="416" w:hanging="567"/>
        <w:jc w:val="both"/>
        <w:rPr>
          <w:sz w:val="24"/>
        </w:rPr>
      </w:pPr>
      <w:r>
        <w:rPr>
          <w:sz w:val="24"/>
        </w:rPr>
        <w:t>an explanation of any significant variations in the forecast</w:t>
      </w:r>
      <w:r>
        <w:rPr>
          <w:spacing w:val="37"/>
          <w:sz w:val="24"/>
        </w:rPr>
        <w:t> </w:t>
      </w:r>
      <w:r>
        <w:rPr>
          <w:sz w:val="24"/>
        </w:rPr>
        <w:t>capital expenditure from capital expenditure in the </w:t>
      </w:r>
      <w:r>
        <w:rPr>
          <w:i/>
          <w:sz w:val="24"/>
        </w:rPr>
        <w:t>2014–19 NT regulatory </w:t>
      </w:r>
      <w:r>
        <w:rPr>
          <w:i/>
          <w:sz w:val="24"/>
        </w:rPr>
        <w:t>control period </w:t>
      </w:r>
      <w:r>
        <w:rPr>
          <w:sz w:val="24"/>
        </w:rPr>
        <w:t>and </w:t>
      </w:r>
      <w:r>
        <w:rPr>
          <w:i/>
          <w:sz w:val="24"/>
        </w:rPr>
        <w:t>1st regulatory control period</w:t>
      </w:r>
      <w:r>
        <w:rPr>
          <w:sz w:val="24"/>
        </w:rPr>
        <w:t>;</w:t>
      </w:r>
      <w:r>
        <w:rPr>
          <w:spacing w:val="-4"/>
          <w:sz w:val="24"/>
        </w:rPr>
        <w:t> </w:t>
      </w:r>
      <w:r>
        <w:rPr>
          <w:sz w:val="24"/>
        </w:rPr>
        <w:t>and</w:t>
      </w:r>
    </w:p>
    <w:p>
      <w:pPr>
        <w:pStyle w:val="ListParagraph"/>
        <w:numPr>
          <w:ilvl w:val="3"/>
          <w:numId w:val="442"/>
        </w:numPr>
        <w:tabs>
          <w:tab w:pos="1919" w:val="left" w:leader="none"/>
        </w:tabs>
        <w:spacing w:line="240" w:lineRule="auto" w:before="120" w:after="0"/>
        <w:ind w:left="1919" w:right="415" w:hanging="567"/>
        <w:jc w:val="both"/>
        <w:rPr>
          <w:sz w:val="24"/>
        </w:rPr>
      </w:pPr>
      <w:r>
        <w:rPr>
          <w:sz w:val="24"/>
        </w:rPr>
        <w:t>in the case of a </w:t>
      </w:r>
      <w:r>
        <w:rPr>
          <w:i/>
          <w:sz w:val="24"/>
        </w:rPr>
        <w:t>building block proposal </w:t>
      </w:r>
      <w:r>
        <w:rPr>
          <w:sz w:val="24"/>
        </w:rPr>
        <w:t>for a distribution determination for </w:t>
      </w:r>
      <w:r>
        <w:rPr>
          <w:spacing w:val="-11"/>
          <w:sz w:val="24"/>
        </w:rPr>
        <w:t>a </w:t>
      </w:r>
      <w:r>
        <w:rPr>
          <w:i/>
          <w:sz w:val="24"/>
        </w:rPr>
        <w:t>Distribution Network Service Provider </w:t>
      </w:r>
      <w:r>
        <w:rPr>
          <w:sz w:val="24"/>
        </w:rPr>
        <w:t>in this jurisdiction that will apply after the </w:t>
      </w:r>
      <w:r>
        <w:rPr>
          <w:i/>
          <w:sz w:val="24"/>
        </w:rPr>
        <w:t>2nd regulatory control period </w:t>
      </w:r>
      <w:r>
        <w:rPr>
          <w:sz w:val="24"/>
        </w:rPr>
        <w:t>– capital expenditure for each of the past </w:t>
      </w:r>
      <w:r>
        <w:rPr>
          <w:i/>
          <w:sz w:val="24"/>
        </w:rPr>
        <w:t>regulatory years </w:t>
      </w:r>
      <w:r>
        <w:rPr>
          <w:sz w:val="24"/>
        </w:rPr>
        <w:t>of the previous and current </w:t>
      </w:r>
      <w:r>
        <w:rPr>
          <w:i/>
          <w:sz w:val="24"/>
        </w:rPr>
        <w:t>regulatory control period</w:t>
      </w:r>
      <w:r>
        <w:rPr>
          <w:sz w:val="24"/>
        </w:rPr>
        <w:t>, and the expected capital expenditure for each of the last two </w:t>
      </w:r>
      <w:r>
        <w:rPr>
          <w:i/>
          <w:sz w:val="24"/>
        </w:rPr>
        <w:t>regulatory </w:t>
      </w:r>
      <w:r>
        <w:rPr>
          <w:i/>
          <w:sz w:val="24"/>
        </w:rPr>
        <w:t>years </w:t>
      </w:r>
      <w:r>
        <w:rPr>
          <w:sz w:val="24"/>
        </w:rPr>
        <w:t>of the current </w:t>
      </w:r>
      <w:r>
        <w:rPr>
          <w:i/>
          <w:sz w:val="24"/>
        </w:rPr>
        <w:t>regulatory control period</w:t>
      </w:r>
      <w:r>
        <w:rPr>
          <w:sz w:val="24"/>
        </w:rPr>
        <w:t>, categorised in the same way as for the capital expenditure forecast and separately identifying for each such </w:t>
      </w:r>
      <w:r>
        <w:rPr>
          <w:i/>
          <w:sz w:val="24"/>
        </w:rPr>
        <w:t>regulatory</w:t>
      </w:r>
      <w:r>
        <w:rPr>
          <w:i/>
          <w:spacing w:val="-3"/>
          <w:sz w:val="24"/>
        </w:rPr>
        <w:t> </w:t>
      </w:r>
      <w:r>
        <w:rPr>
          <w:i/>
          <w:sz w:val="24"/>
        </w:rPr>
        <w:t>year</w:t>
      </w:r>
      <w:r>
        <w:rPr>
          <w:sz w:val="24"/>
        </w:rPr>
        <w:t>:</w:t>
      </w:r>
    </w:p>
    <w:p>
      <w:pPr>
        <w:pStyle w:val="ListParagraph"/>
        <w:numPr>
          <w:ilvl w:val="4"/>
          <w:numId w:val="442"/>
        </w:numPr>
        <w:tabs>
          <w:tab w:pos="2486" w:val="left" w:leader="none"/>
        </w:tabs>
        <w:spacing w:line="240" w:lineRule="auto" w:before="120" w:after="0"/>
        <w:ind w:left="2486" w:right="416" w:hanging="567"/>
        <w:jc w:val="both"/>
        <w:rPr>
          <w:sz w:val="24"/>
        </w:rPr>
      </w:pPr>
      <w:r>
        <w:rPr>
          <w:sz w:val="24"/>
        </w:rPr>
        <w:t>margins paid or expected to be paid by the </w:t>
      </w:r>
      <w:r>
        <w:rPr>
          <w:i/>
          <w:sz w:val="24"/>
        </w:rPr>
        <w:t>Distribution Network </w:t>
      </w:r>
      <w:r>
        <w:rPr>
          <w:i/>
          <w:sz w:val="24"/>
        </w:rPr>
        <w:t>Service Provider </w:t>
      </w:r>
      <w:r>
        <w:rPr>
          <w:sz w:val="24"/>
        </w:rPr>
        <w:t>in circumstances where those margins are referable to arrangements that do not reflect arm's length terms;</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442"/>
        </w:numPr>
        <w:tabs>
          <w:tab w:pos="2487" w:val="left" w:leader="none"/>
        </w:tabs>
        <w:spacing w:line="240" w:lineRule="auto" w:before="83" w:after="0"/>
        <w:ind w:left="2486" w:right="416" w:hanging="567"/>
        <w:jc w:val="both"/>
        <w:rPr>
          <w:sz w:val="24"/>
        </w:rPr>
      </w:pPr>
      <w:r>
        <w:rPr>
          <w:sz w:val="24"/>
        </w:rPr>
        <w:t>expenditure that should have been treated as operating expenditure in accordance with the policy submitted under paragraph (8) for that </w:t>
      </w:r>
      <w:r>
        <w:rPr>
          <w:i/>
          <w:sz w:val="24"/>
        </w:rPr>
        <w:t>regulatory</w:t>
      </w:r>
      <w:r>
        <w:rPr>
          <w:i/>
          <w:spacing w:val="-2"/>
          <w:sz w:val="24"/>
        </w:rPr>
        <w:t> </w:t>
      </w:r>
      <w:r>
        <w:rPr>
          <w:i/>
          <w:sz w:val="24"/>
        </w:rPr>
        <w:t>year</w:t>
      </w:r>
      <w:r>
        <w:rPr>
          <w:sz w:val="24"/>
        </w:rPr>
        <w:t>;</w:t>
      </w:r>
    </w:p>
    <w:p>
      <w:pPr>
        <w:pStyle w:val="ListParagraph"/>
        <w:numPr>
          <w:ilvl w:val="3"/>
          <w:numId w:val="442"/>
        </w:numPr>
        <w:tabs>
          <w:tab w:pos="1919" w:val="left" w:leader="none"/>
        </w:tabs>
        <w:spacing w:line="240" w:lineRule="auto" w:before="120" w:after="0"/>
        <w:ind w:left="1919" w:right="416" w:hanging="567"/>
        <w:jc w:val="both"/>
        <w:rPr>
          <w:sz w:val="24"/>
        </w:rPr>
      </w:pPr>
      <w:r>
        <w:rPr>
          <w:sz w:val="24"/>
        </w:rPr>
        <w:t>in the case of a </w:t>
      </w:r>
      <w:r>
        <w:rPr>
          <w:i/>
          <w:sz w:val="24"/>
        </w:rPr>
        <w:t>building block proposal </w:t>
      </w:r>
      <w:r>
        <w:rPr>
          <w:sz w:val="24"/>
        </w:rPr>
        <w:t>for a distribution determination for </w:t>
      </w:r>
      <w:r>
        <w:rPr>
          <w:spacing w:val="-12"/>
          <w:sz w:val="24"/>
        </w:rPr>
        <w:t>a </w:t>
      </w:r>
      <w:r>
        <w:rPr>
          <w:i/>
          <w:sz w:val="24"/>
        </w:rPr>
        <w:t>Distribution Network Service Provider </w:t>
      </w:r>
      <w:r>
        <w:rPr>
          <w:sz w:val="24"/>
        </w:rPr>
        <w:t>in this jurisdiction that will apply after the </w:t>
      </w:r>
      <w:r>
        <w:rPr>
          <w:i/>
          <w:sz w:val="24"/>
        </w:rPr>
        <w:t>2nd regulatory control period </w:t>
      </w:r>
      <w:r>
        <w:rPr>
          <w:sz w:val="24"/>
        </w:rPr>
        <w:t>– an explanation of any significant variations in the forecast capital expenditure from historical capital expenditure;</w:t>
      </w:r>
      <w:r>
        <w:rPr>
          <w:spacing w:val="-1"/>
          <w:sz w:val="24"/>
        </w:rPr>
        <w:t> </w:t>
      </w:r>
      <w:r>
        <w:rPr>
          <w:sz w:val="24"/>
        </w:rPr>
        <w:t>and</w:t>
      </w:r>
    </w:p>
    <w:p>
      <w:pPr>
        <w:pStyle w:val="ListParagraph"/>
        <w:numPr>
          <w:ilvl w:val="3"/>
          <w:numId w:val="442"/>
        </w:numPr>
        <w:tabs>
          <w:tab w:pos="1919" w:val="left" w:leader="none"/>
        </w:tabs>
        <w:spacing w:line="240" w:lineRule="auto" w:before="120" w:after="0"/>
        <w:ind w:left="1919" w:right="415" w:hanging="567"/>
        <w:jc w:val="both"/>
        <w:rPr>
          <w:sz w:val="24"/>
        </w:rPr>
      </w:pPr>
      <w:r>
        <w:rPr>
          <w:sz w:val="24"/>
        </w:rPr>
        <w:t>the policy that the </w:t>
      </w:r>
      <w:r>
        <w:rPr>
          <w:i/>
          <w:sz w:val="24"/>
        </w:rPr>
        <w:t>Distribution Network Service Provider </w:t>
      </w:r>
      <w:r>
        <w:rPr>
          <w:sz w:val="24"/>
        </w:rPr>
        <w:t>applies in capitalising operating</w:t>
      </w:r>
      <w:r>
        <w:rPr>
          <w:spacing w:val="-1"/>
          <w:sz w:val="24"/>
        </w:rPr>
        <w:t> </w:t>
      </w:r>
      <w:r>
        <w:rPr>
          <w:sz w:val="24"/>
        </w:rPr>
        <w:t>expenditure.</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modifications to this clause expire on 1 July 2029.</w:t>
      </w:r>
    </w:p>
    <w:p>
      <w:pPr>
        <w:pStyle w:val="BodyText"/>
        <w:spacing w:before="10"/>
        <w:ind w:firstLine="0"/>
        <w:jc w:val="left"/>
        <w:rPr>
          <w:sz w:val="20"/>
        </w:rPr>
      </w:pPr>
    </w:p>
    <w:p>
      <w:pPr>
        <w:pStyle w:val="Heading4"/>
        <w:tabs>
          <w:tab w:pos="1351" w:val="left" w:leader="none"/>
        </w:tabs>
        <w:ind w:left="218" w:firstLine="0"/>
      </w:pPr>
      <w:bookmarkStart w:name="S6.1.2 Information and matters relating " w:id="1678"/>
      <w:bookmarkEnd w:id="1678"/>
      <w:r>
        <w:rPr>
          <w:b w:val="0"/>
        </w:rPr>
      </w:r>
      <w:bookmarkStart w:name="_bookmark665" w:id="1679"/>
      <w:bookmarkEnd w:id="1679"/>
      <w:r>
        <w:rPr>
          <w:b w:val="0"/>
        </w:rPr>
      </w:r>
      <w:r>
        <w:rPr/>
        <w:t>S6.1.2</w:t>
        <w:tab/>
        <w:t>Information and matters relating to operating</w:t>
      </w:r>
      <w:r>
        <w:rPr>
          <w:spacing w:val="-9"/>
        </w:rPr>
        <w:t> </w:t>
      </w:r>
      <w:r>
        <w:rPr/>
        <w:t>expenditure</w:t>
      </w:r>
    </w:p>
    <w:p>
      <w:pPr>
        <w:pStyle w:val="BodyText"/>
        <w:ind w:left="1352" w:right="414" w:firstLine="0"/>
      </w:pPr>
      <w:r>
        <w:rPr/>
        <w:t>A </w:t>
      </w:r>
      <w:r>
        <w:rPr>
          <w:i/>
        </w:rPr>
        <w:t>building block proposal </w:t>
      </w:r>
      <w:r>
        <w:rPr/>
        <w:t>must contain at least the following information and matters relating to operating expenditure:</w:t>
      </w:r>
    </w:p>
    <w:p>
      <w:pPr>
        <w:pStyle w:val="ListParagraph"/>
        <w:numPr>
          <w:ilvl w:val="0"/>
          <w:numId w:val="461"/>
        </w:numPr>
        <w:tabs>
          <w:tab w:pos="1919" w:val="left" w:leader="none"/>
        </w:tabs>
        <w:spacing w:line="240" w:lineRule="auto" w:before="120" w:after="0"/>
        <w:ind w:left="1919" w:right="414" w:hanging="567"/>
        <w:jc w:val="both"/>
        <w:rPr>
          <w:sz w:val="24"/>
        </w:rPr>
      </w:pPr>
      <w:r>
        <w:rPr>
          <w:sz w:val="24"/>
        </w:rPr>
        <w:t>a forecast of the required operating expenditure that complies with the requirements of clause 6.5.6 and identifies the forecast </w:t>
      </w:r>
      <w:r>
        <w:rPr>
          <w:spacing w:val="-3"/>
          <w:sz w:val="24"/>
        </w:rPr>
        <w:t>operating  </w:t>
      </w:r>
      <w:r>
        <w:rPr>
          <w:sz w:val="24"/>
        </w:rPr>
        <w:t>expenditure by reference to well accepted categories such</w:t>
      </w:r>
      <w:r>
        <w:rPr>
          <w:spacing w:val="-6"/>
          <w:sz w:val="24"/>
        </w:rPr>
        <w:t> </w:t>
      </w:r>
      <w:r>
        <w:rPr>
          <w:sz w:val="24"/>
        </w:rPr>
        <w:t>as:</w:t>
      </w:r>
    </w:p>
    <w:p>
      <w:pPr>
        <w:pStyle w:val="ListParagraph"/>
        <w:numPr>
          <w:ilvl w:val="1"/>
          <w:numId w:val="461"/>
        </w:numPr>
        <w:tabs>
          <w:tab w:pos="2485" w:val="left" w:leader="none"/>
          <w:tab w:pos="2486" w:val="left" w:leader="none"/>
        </w:tabs>
        <w:spacing w:line="240" w:lineRule="auto" w:before="120" w:after="0"/>
        <w:ind w:left="2485" w:right="0" w:hanging="567"/>
        <w:jc w:val="left"/>
        <w:rPr>
          <w:sz w:val="24"/>
        </w:rPr>
      </w:pPr>
      <w:r>
        <w:rPr>
          <w:sz w:val="24"/>
        </w:rPr>
        <w:t>particular programs;</w:t>
      </w:r>
      <w:r>
        <w:rPr>
          <w:spacing w:val="-1"/>
          <w:sz w:val="24"/>
        </w:rPr>
        <w:t> </w:t>
      </w:r>
      <w:r>
        <w:rPr>
          <w:sz w:val="24"/>
        </w:rPr>
        <w:t>or</w:t>
      </w:r>
    </w:p>
    <w:p>
      <w:pPr>
        <w:pStyle w:val="ListParagraph"/>
        <w:numPr>
          <w:ilvl w:val="1"/>
          <w:numId w:val="461"/>
        </w:numPr>
        <w:tabs>
          <w:tab w:pos="2485" w:val="left" w:leader="none"/>
          <w:tab w:pos="2487" w:val="left" w:leader="none"/>
        </w:tabs>
        <w:spacing w:line="240" w:lineRule="auto" w:before="120" w:after="0"/>
        <w:ind w:left="2486" w:right="415" w:hanging="567"/>
        <w:jc w:val="left"/>
        <w:rPr>
          <w:sz w:val="24"/>
        </w:rPr>
      </w:pPr>
      <w:r>
        <w:rPr>
          <w:sz w:val="24"/>
        </w:rPr>
        <w:t>types of operating expenditure (eg. maintenance, payroll, </w:t>
      </w:r>
      <w:r>
        <w:rPr>
          <w:spacing w:val="-3"/>
          <w:sz w:val="24"/>
        </w:rPr>
        <w:t>materials</w:t>
      </w:r>
      <w:r>
        <w:rPr>
          <w:spacing w:val="54"/>
          <w:sz w:val="24"/>
        </w:rPr>
        <w:t> </w:t>
      </w:r>
      <w:r>
        <w:rPr>
          <w:sz w:val="24"/>
        </w:rPr>
        <w:t>etc),</w:t>
      </w:r>
    </w:p>
    <w:p>
      <w:pPr>
        <w:pStyle w:val="BodyText"/>
        <w:ind w:left="1919" w:firstLine="0"/>
        <w:jc w:val="left"/>
      </w:pPr>
      <w:r>
        <w:rPr/>
        <w:t>and identifies in respect of each such category:</w:t>
      </w:r>
    </w:p>
    <w:p>
      <w:pPr>
        <w:pStyle w:val="ListParagraph"/>
        <w:numPr>
          <w:ilvl w:val="1"/>
          <w:numId w:val="461"/>
        </w:numPr>
        <w:tabs>
          <w:tab w:pos="2485" w:val="left" w:leader="none"/>
          <w:tab w:pos="2486" w:val="left" w:leader="none"/>
        </w:tabs>
        <w:spacing w:line="240" w:lineRule="auto" w:before="120" w:after="0"/>
        <w:ind w:left="2486" w:right="416" w:hanging="567"/>
        <w:jc w:val="left"/>
        <w:rPr>
          <w:sz w:val="24"/>
        </w:rPr>
      </w:pPr>
      <w:r>
        <w:rPr>
          <w:sz w:val="24"/>
        </w:rPr>
        <w:t>to what extent that forecast expenditure is on costs that are fixed and to what extent it is on costs that are variable;</w:t>
      </w:r>
      <w:r>
        <w:rPr>
          <w:spacing w:val="-3"/>
          <w:sz w:val="24"/>
        </w:rPr>
        <w:t> </w:t>
      </w:r>
      <w:r>
        <w:rPr>
          <w:sz w:val="24"/>
        </w:rPr>
        <w:t>and</w:t>
      </w:r>
    </w:p>
    <w:p>
      <w:pPr>
        <w:pStyle w:val="ListParagraph"/>
        <w:numPr>
          <w:ilvl w:val="1"/>
          <w:numId w:val="461"/>
        </w:numPr>
        <w:tabs>
          <w:tab w:pos="2485" w:val="left" w:leader="none"/>
          <w:tab w:pos="2487" w:val="left" w:leader="none"/>
        </w:tabs>
        <w:spacing w:line="240" w:lineRule="auto" w:before="120" w:after="0"/>
        <w:ind w:left="2486" w:right="416" w:hanging="567"/>
        <w:jc w:val="left"/>
        <w:rPr>
          <w:sz w:val="24"/>
        </w:rPr>
      </w:pPr>
      <w:r>
        <w:rPr>
          <w:sz w:val="24"/>
        </w:rPr>
        <w:t>the categories of </w:t>
      </w:r>
      <w:r>
        <w:rPr>
          <w:i/>
          <w:sz w:val="24"/>
        </w:rPr>
        <w:t>distribution services </w:t>
      </w:r>
      <w:r>
        <w:rPr>
          <w:sz w:val="24"/>
        </w:rPr>
        <w:t>to which that forecast expenditure</w:t>
      </w:r>
      <w:r>
        <w:rPr>
          <w:spacing w:val="-1"/>
          <w:sz w:val="24"/>
        </w:rPr>
        <w:t> </w:t>
      </w:r>
      <w:r>
        <w:rPr>
          <w:sz w:val="24"/>
        </w:rPr>
        <w:t>relates;</w:t>
      </w:r>
    </w:p>
    <w:p>
      <w:pPr>
        <w:pStyle w:val="ListParagraph"/>
        <w:numPr>
          <w:ilvl w:val="0"/>
          <w:numId w:val="461"/>
        </w:numPr>
        <w:tabs>
          <w:tab w:pos="1919" w:val="left" w:leader="none"/>
        </w:tabs>
        <w:spacing w:line="240" w:lineRule="auto" w:before="120" w:after="0"/>
        <w:ind w:left="1918" w:right="0" w:hanging="567"/>
        <w:jc w:val="both"/>
        <w:rPr>
          <w:sz w:val="24"/>
        </w:rPr>
      </w:pPr>
      <w:r>
        <w:rPr>
          <w:sz w:val="24"/>
        </w:rPr>
        <w:t>the method used for developing the operating expenditure</w:t>
      </w:r>
      <w:r>
        <w:rPr>
          <w:spacing w:val="-1"/>
          <w:sz w:val="24"/>
        </w:rPr>
        <w:t> </w:t>
      </w:r>
      <w:r>
        <w:rPr>
          <w:sz w:val="24"/>
        </w:rPr>
        <w:t>forecast;</w:t>
      </w:r>
    </w:p>
    <w:p>
      <w:pPr>
        <w:pStyle w:val="ListParagraph"/>
        <w:numPr>
          <w:ilvl w:val="0"/>
          <w:numId w:val="461"/>
        </w:numPr>
        <w:tabs>
          <w:tab w:pos="1919" w:val="left" w:leader="none"/>
        </w:tabs>
        <w:spacing w:line="240" w:lineRule="auto" w:before="120" w:after="0"/>
        <w:ind w:left="1919" w:right="414" w:hanging="567"/>
        <w:jc w:val="both"/>
        <w:rPr>
          <w:sz w:val="24"/>
        </w:rPr>
      </w:pPr>
      <w:r>
        <w:rPr>
          <w:sz w:val="24"/>
        </w:rPr>
        <w:t>the forecasts of key variables relied upon to derive the operating expenditure forecast and the method used for developing those forecasts of key variables;</w:t>
      </w:r>
    </w:p>
    <w:p>
      <w:pPr>
        <w:pStyle w:val="ListParagraph"/>
        <w:numPr>
          <w:ilvl w:val="0"/>
          <w:numId w:val="461"/>
        </w:numPr>
        <w:tabs>
          <w:tab w:pos="1919" w:val="left" w:leader="none"/>
        </w:tabs>
        <w:spacing w:line="240" w:lineRule="auto" w:before="120" w:after="0"/>
        <w:ind w:left="1919" w:right="415" w:hanging="567"/>
        <w:jc w:val="both"/>
        <w:rPr>
          <w:sz w:val="24"/>
        </w:rPr>
      </w:pPr>
      <w:r>
        <w:rPr>
          <w:sz w:val="24"/>
        </w:rPr>
        <w:t>the method used for determining the cost associated with planned maintenance programs designed to improve the performance of the </w:t>
      </w:r>
      <w:r>
        <w:rPr>
          <w:spacing w:val="-3"/>
          <w:sz w:val="24"/>
        </w:rPr>
        <w:t>relevant </w:t>
      </w:r>
      <w:r>
        <w:rPr>
          <w:i/>
          <w:sz w:val="24"/>
        </w:rPr>
        <w:t>distribution system </w:t>
      </w:r>
      <w:r>
        <w:rPr>
          <w:sz w:val="24"/>
        </w:rPr>
        <w:t>for the purposes of any </w:t>
      </w:r>
      <w:r>
        <w:rPr>
          <w:i/>
          <w:sz w:val="24"/>
        </w:rPr>
        <w:t>service target performance </w:t>
      </w:r>
      <w:r>
        <w:rPr>
          <w:i/>
          <w:sz w:val="24"/>
        </w:rPr>
        <w:t>incentive scheme </w:t>
      </w:r>
      <w:r>
        <w:rPr>
          <w:sz w:val="24"/>
        </w:rPr>
        <w:t>that is to apply to the </w:t>
      </w:r>
      <w:r>
        <w:rPr>
          <w:i/>
          <w:sz w:val="24"/>
        </w:rPr>
        <w:t>Distribution Network Service </w:t>
      </w:r>
      <w:r>
        <w:rPr>
          <w:i/>
          <w:sz w:val="24"/>
        </w:rPr>
        <w:t>Provider </w:t>
      </w:r>
      <w:r>
        <w:rPr>
          <w:sz w:val="24"/>
        </w:rPr>
        <w:t>in respect of the relevant </w:t>
      </w:r>
      <w:r>
        <w:rPr>
          <w:i/>
          <w:sz w:val="24"/>
        </w:rPr>
        <w:t>regulatory control</w:t>
      </w:r>
      <w:r>
        <w:rPr>
          <w:i/>
          <w:spacing w:val="-6"/>
          <w:sz w:val="24"/>
        </w:rPr>
        <w:t> </w:t>
      </w:r>
      <w:r>
        <w:rPr>
          <w:i/>
          <w:sz w:val="24"/>
        </w:rPr>
        <w:t>period</w:t>
      </w:r>
      <w:r>
        <w:rPr>
          <w:sz w:val="24"/>
        </w:rPr>
        <w:t>;</w:t>
      </w:r>
    </w:p>
    <w:p>
      <w:pPr>
        <w:pStyle w:val="ListParagraph"/>
        <w:numPr>
          <w:ilvl w:val="0"/>
          <w:numId w:val="461"/>
        </w:numPr>
        <w:tabs>
          <w:tab w:pos="1919" w:val="left" w:leader="none"/>
        </w:tabs>
        <w:spacing w:line="240" w:lineRule="auto" w:before="120" w:after="0"/>
        <w:ind w:left="1918" w:right="0" w:hanging="567"/>
        <w:jc w:val="both"/>
        <w:rPr>
          <w:sz w:val="24"/>
        </w:rPr>
      </w:pPr>
      <w:r>
        <w:rPr>
          <w:sz w:val="24"/>
        </w:rPr>
        <w:t>the key assumptions that underlie the operating expenditure</w:t>
      </w:r>
      <w:r>
        <w:rPr>
          <w:spacing w:val="-3"/>
          <w:sz w:val="24"/>
        </w:rPr>
        <w:t> </w:t>
      </w:r>
      <w:r>
        <w:rPr>
          <w:sz w:val="24"/>
        </w:rPr>
        <w:t>forecast;</w:t>
      </w:r>
    </w:p>
    <w:p>
      <w:pPr>
        <w:pStyle w:val="ListParagraph"/>
        <w:numPr>
          <w:ilvl w:val="0"/>
          <w:numId w:val="461"/>
        </w:numPr>
        <w:tabs>
          <w:tab w:pos="1919" w:val="left" w:leader="none"/>
        </w:tabs>
        <w:spacing w:line="240" w:lineRule="auto" w:before="120" w:after="0"/>
        <w:ind w:left="1919" w:right="414" w:hanging="567"/>
        <w:jc w:val="both"/>
        <w:rPr>
          <w:sz w:val="24"/>
        </w:rPr>
      </w:pPr>
      <w:r>
        <w:rPr>
          <w:sz w:val="24"/>
        </w:rPr>
        <w:t>a certification of the reasonableness of the key assumptions by the directors of the </w:t>
      </w:r>
      <w:r>
        <w:rPr>
          <w:i/>
          <w:sz w:val="24"/>
        </w:rPr>
        <w:t>Distribution Network Service</w:t>
      </w:r>
      <w:r>
        <w:rPr>
          <w:i/>
          <w:spacing w:val="-2"/>
          <w:sz w:val="24"/>
        </w:rPr>
        <w:t> </w:t>
      </w:r>
      <w:r>
        <w:rPr>
          <w:i/>
          <w:sz w:val="24"/>
        </w:rPr>
        <w:t>Provider</w:t>
      </w:r>
      <w:r>
        <w:rPr>
          <w:sz w:val="24"/>
        </w:rPr>
        <w:t>;</w:t>
      </w:r>
    </w:p>
    <w:p>
      <w:pPr>
        <w:spacing w:before="120"/>
        <w:ind w:left="1919" w:right="416" w:hanging="567"/>
        <w:jc w:val="both"/>
        <w:rPr>
          <w:sz w:val="24"/>
        </w:rPr>
      </w:pPr>
      <w:r>
        <w:rPr>
          <w:sz w:val="24"/>
        </w:rPr>
        <w:t>(6A) in the case of a </w:t>
      </w:r>
      <w:r>
        <w:rPr>
          <w:i/>
          <w:sz w:val="24"/>
        </w:rPr>
        <w:t>building block proposal </w:t>
      </w:r>
      <w:r>
        <w:rPr>
          <w:sz w:val="24"/>
        </w:rPr>
        <w:t>for a distribution determination for a </w:t>
      </w:r>
      <w:r>
        <w:rPr>
          <w:i/>
          <w:sz w:val="24"/>
        </w:rPr>
        <w:t>Distribution Network Service Provider </w:t>
      </w:r>
      <w:r>
        <w:rPr>
          <w:sz w:val="24"/>
        </w:rPr>
        <w:t>in this jurisdiction that will apply during the </w:t>
      </w:r>
      <w:r>
        <w:rPr>
          <w:i/>
          <w:sz w:val="24"/>
        </w:rPr>
        <w:t>1st regulatory control period</w:t>
      </w:r>
      <w:r>
        <w:rPr>
          <w:sz w:val="24"/>
        </w:rPr>
        <w:t>:</w:t>
      </w:r>
    </w:p>
    <w:p>
      <w:pPr>
        <w:spacing w:after="0"/>
        <w:jc w:val="both"/>
        <w:rPr>
          <w:sz w:val="24"/>
        </w:rPr>
        <w:sectPr>
          <w:pgSz w:w="11910" w:h="16840"/>
          <w:pgMar w:header="686" w:footer="637" w:top="1320" w:bottom="820" w:left="1200" w:right="1000"/>
        </w:sectPr>
      </w:pPr>
    </w:p>
    <w:p>
      <w:pPr>
        <w:pStyle w:val="ListParagraph"/>
        <w:numPr>
          <w:ilvl w:val="1"/>
          <w:numId w:val="461"/>
        </w:numPr>
        <w:tabs>
          <w:tab w:pos="2486" w:val="left" w:leader="none"/>
        </w:tabs>
        <w:spacing w:line="240" w:lineRule="auto" w:before="83" w:after="0"/>
        <w:ind w:left="2486" w:right="414" w:hanging="567"/>
        <w:jc w:val="both"/>
        <w:rPr>
          <w:sz w:val="24"/>
        </w:rPr>
      </w:pPr>
      <w:r>
        <w:rPr>
          <w:sz w:val="24"/>
        </w:rPr>
        <w:t>operating expenditure for each of the past years of the </w:t>
      </w:r>
      <w:r>
        <w:rPr>
          <w:i/>
          <w:sz w:val="24"/>
        </w:rPr>
        <w:t>2009-14 NT </w:t>
      </w:r>
      <w:r>
        <w:rPr>
          <w:i/>
          <w:sz w:val="24"/>
        </w:rPr>
        <w:t>regulatory control period </w:t>
      </w:r>
      <w:r>
        <w:rPr>
          <w:sz w:val="24"/>
        </w:rPr>
        <w:t>and </w:t>
      </w:r>
      <w:r>
        <w:rPr>
          <w:i/>
          <w:sz w:val="24"/>
        </w:rPr>
        <w:t>2014-19 NT regulatory control period</w:t>
      </w:r>
      <w:r>
        <w:rPr>
          <w:sz w:val="24"/>
        </w:rPr>
        <w:t>, and the expected operating expenditure for each of the last two </w:t>
      </w:r>
      <w:r>
        <w:rPr>
          <w:spacing w:val="-3"/>
          <w:sz w:val="24"/>
        </w:rPr>
        <w:t>years </w:t>
      </w:r>
      <w:r>
        <w:rPr>
          <w:sz w:val="24"/>
        </w:rPr>
        <w:t>of the </w:t>
      </w:r>
      <w:r>
        <w:rPr>
          <w:i/>
          <w:sz w:val="24"/>
        </w:rPr>
        <w:t>2014-19 NT regulatory control period</w:t>
      </w:r>
      <w:r>
        <w:rPr>
          <w:sz w:val="24"/>
        </w:rPr>
        <w:t>, categorised in the same way as for the operating expenditure forecast;</w:t>
      </w:r>
      <w:r>
        <w:rPr>
          <w:spacing w:val="-2"/>
          <w:sz w:val="24"/>
        </w:rPr>
        <w:t> </w:t>
      </w:r>
      <w:r>
        <w:rPr>
          <w:sz w:val="24"/>
        </w:rPr>
        <w:t>and</w:t>
      </w:r>
    </w:p>
    <w:p>
      <w:pPr>
        <w:pStyle w:val="ListParagraph"/>
        <w:numPr>
          <w:ilvl w:val="1"/>
          <w:numId w:val="461"/>
        </w:numPr>
        <w:tabs>
          <w:tab w:pos="2487" w:val="left" w:leader="none"/>
        </w:tabs>
        <w:spacing w:line="240" w:lineRule="auto" w:before="120" w:after="0"/>
        <w:ind w:left="2486" w:right="415" w:hanging="567"/>
        <w:jc w:val="both"/>
        <w:rPr>
          <w:sz w:val="24"/>
        </w:rPr>
      </w:pPr>
      <w:r>
        <w:rPr>
          <w:sz w:val="24"/>
        </w:rPr>
        <w:t>an explanation of any significant variations in the forecast operating expenditure from operating expenditure in the </w:t>
      </w:r>
      <w:r>
        <w:rPr>
          <w:i/>
          <w:sz w:val="24"/>
        </w:rPr>
        <w:t>2009-14 NT regulatory </w:t>
      </w:r>
      <w:r>
        <w:rPr>
          <w:i/>
          <w:sz w:val="24"/>
        </w:rPr>
        <w:t>control period </w:t>
      </w:r>
      <w:r>
        <w:rPr>
          <w:sz w:val="24"/>
        </w:rPr>
        <w:t>and </w:t>
      </w:r>
      <w:r>
        <w:rPr>
          <w:i/>
          <w:sz w:val="24"/>
        </w:rPr>
        <w:t>2014-19 NT regulatory control</w:t>
      </w:r>
      <w:r>
        <w:rPr>
          <w:i/>
          <w:spacing w:val="-2"/>
          <w:sz w:val="24"/>
        </w:rPr>
        <w:t> </w:t>
      </w:r>
      <w:r>
        <w:rPr>
          <w:i/>
          <w:sz w:val="24"/>
        </w:rPr>
        <w:t>period</w:t>
      </w:r>
      <w:r>
        <w:rPr>
          <w:sz w:val="24"/>
        </w:rPr>
        <w:t>;</w:t>
      </w:r>
    </w:p>
    <w:p>
      <w:pPr>
        <w:spacing w:before="120"/>
        <w:ind w:left="1919" w:right="416" w:hanging="567"/>
        <w:jc w:val="both"/>
        <w:rPr>
          <w:sz w:val="24"/>
        </w:rPr>
      </w:pPr>
      <w:r>
        <w:rPr>
          <w:sz w:val="24"/>
        </w:rPr>
        <w:t>(6B) in the case of a </w:t>
      </w:r>
      <w:r>
        <w:rPr>
          <w:i/>
          <w:sz w:val="24"/>
        </w:rPr>
        <w:t>building block proposal </w:t>
      </w:r>
      <w:r>
        <w:rPr>
          <w:sz w:val="24"/>
        </w:rPr>
        <w:t>for a distribution determination for a </w:t>
      </w:r>
      <w:r>
        <w:rPr>
          <w:i/>
          <w:sz w:val="24"/>
        </w:rPr>
        <w:t>Distribution Network Service Provider </w:t>
      </w:r>
      <w:r>
        <w:rPr>
          <w:sz w:val="24"/>
        </w:rPr>
        <w:t>in this jurisdiction that will apply during the </w:t>
      </w:r>
      <w:r>
        <w:rPr>
          <w:i/>
          <w:sz w:val="24"/>
        </w:rPr>
        <w:t>2nd regulatory control period</w:t>
      </w:r>
      <w:r>
        <w:rPr>
          <w:sz w:val="24"/>
        </w:rPr>
        <w:t>:</w:t>
      </w:r>
    </w:p>
    <w:p>
      <w:pPr>
        <w:pStyle w:val="ListParagraph"/>
        <w:numPr>
          <w:ilvl w:val="0"/>
          <w:numId w:val="462"/>
        </w:numPr>
        <w:tabs>
          <w:tab w:pos="2486" w:val="left" w:leader="none"/>
        </w:tabs>
        <w:spacing w:line="240" w:lineRule="auto" w:before="120" w:after="0"/>
        <w:ind w:left="2486" w:right="415" w:hanging="567"/>
        <w:jc w:val="both"/>
        <w:rPr>
          <w:sz w:val="24"/>
        </w:rPr>
      </w:pPr>
      <w:r>
        <w:rPr>
          <w:sz w:val="24"/>
        </w:rPr>
        <w:t>operating expenditure for each of the past years of the </w:t>
      </w:r>
      <w:r>
        <w:rPr>
          <w:i/>
          <w:sz w:val="24"/>
        </w:rPr>
        <w:t>2014-19 NT </w:t>
      </w:r>
      <w:r>
        <w:rPr>
          <w:i/>
          <w:sz w:val="24"/>
        </w:rPr>
        <w:t>regulatory control period </w:t>
      </w:r>
      <w:r>
        <w:rPr>
          <w:sz w:val="24"/>
        </w:rPr>
        <w:t>and each of the past </w:t>
      </w:r>
      <w:r>
        <w:rPr>
          <w:i/>
          <w:sz w:val="24"/>
        </w:rPr>
        <w:t>regulatory years </w:t>
      </w:r>
      <w:r>
        <w:rPr>
          <w:sz w:val="24"/>
        </w:rPr>
        <w:t>of the </w:t>
      </w:r>
      <w:r>
        <w:rPr>
          <w:i/>
          <w:sz w:val="24"/>
        </w:rPr>
        <w:t>1st regulatory control period</w:t>
      </w:r>
      <w:r>
        <w:rPr>
          <w:sz w:val="24"/>
        </w:rPr>
        <w:t>, and the expected operating expenditure for each of the last two </w:t>
      </w:r>
      <w:r>
        <w:rPr>
          <w:i/>
          <w:sz w:val="24"/>
        </w:rPr>
        <w:t>regulatory years </w:t>
      </w:r>
      <w:r>
        <w:rPr>
          <w:sz w:val="24"/>
        </w:rPr>
        <w:t>of the </w:t>
      </w:r>
      <w:r>
        <w:rPr>
          <w:i/>
          <w:sz w:val="24"/>
        </w:rPr>
        <w:t>1st regulatory control </w:t>
      </w:r>
      <w:r>
        <w:rPr>
          <w:i/>
          <w:sz w:val="24"/>
        </w:rPr>
        <w:t>period</w:t>
      </w:r>
      <w:r>
        <w:rPr>
          <w:sz w:val="24"/>
        </w:rPr>
        <w:t>, categorised in the same way as for the operating expenditure forecast;</w:t>
      </w:r>
      <w:r>
        <w:rPr>
          <w:spacing w:val="-1"/>
          <w:sz w:val="24"/>
        </w:rPr>
        <w:t> </w:t>
      </w:r>
      <w:r>
        <w:rPr>
          <w:sz w:val="24"/>
        </w:rPr>
        <w:t>and</w:t>
      </w:r>
    </w:p>
    <w:p>
      <w:pPr>
        <w:pStyle w:val="ListParagraph"/>
        <w:numPr>
          <w:ilvl w:val="0"/>
          <w:numId w:val="462"/>
        </w:numPr>
        <w:tabs>
          <w:tab w:pos="2487" w:val="left" w:leader="none"/>
        </w:tabs>
        <w:spacing w:line="240" w:lineRule="auto" w:before="120" w:after="0"/>
        <w:ind w:left="2486" w:right="415" w:hanging="567"/>
        <w:jc w:val="both"/>
        <w:rPr>
          <w:sz w:val="24"/>
        </w:rPr>
      </w:pPr>
      <w:r>
        <w:rPr>
          <w:sz w:val="24"/>
        </w:rPr>
        <w:t>an explanation of any significant variations in the forecast operating expenditure from operating expenditure in the </w:t>
      </w:r>
      <w:r>
        <w:rPr>
          <w:i/>
          <w:sz w:val="24"/>
        </w:rPr>
        <w:t>2014-19 NT regulatory </w:t>
      </w:r>
      <w:r>
        <w:rPr>
          <w:i/>
          <w:sz w:val="24"/>
        </w:rPr>
        <w:t>control period </w:t>
      </w:r>
      <w:r>
        <w:rPr>
          <w:sz w:val="24"/>
        </w:rPr>
        <w:t>and the </w:t>
      </w:r>
      <w:r>
        <w:rPr>
          <w:i/>
          <w:sz w:val="24"/>
        </w:rPr>
        <w:t>1st regulatory control</w:t>
      </w:r>
      <w:r>
        <w:rPr>
          <w:i/>
          <w:spacing w:val="-5"/>
          <w:sz w:val="24"/>
        </w:rPr>
        <w:t> </w:t>
      </w:r>
      <w:r>
        <w:rPr>
          <w:i/>
          <w:sz w:val="24"/>
        </w:rPr>
        <w:t>period</w:t>
      </w:r>
      <w:r>
        <w:rPr>
          <w:sz w:val="24"/>
        </w:rPr>
        <w:t>;</w:t>
      </w:r>
    </w:p>
    <w:p>
      <w:pPr>
        <w:pStyle w:val="ListParagraph"/>
        <w:numPr>
          <w:ilvl w:val="0"/>
          <w:numId w:val="461"/>
        </w:numPr>
        <w:tabs>
          <w:tab w:pos="1919" w:val="left" w:leader="none"/>
        </w:tabs>
        <w:spacing w:line="240" w:lineRule="auto" w:before="120" w:after="0"/>
        <w:ind w:left="1919" w:right="414" w:hanging="567"/>
        <w:jc w:val="both"/>
        <w:rPr>
          <w:sz w:val="24"/>
        </w:rPr>
      </w:pPr>
      <w:r>
        <w:rPr>
          <w:sz w:val="24"/>
        </w:rPr>
        <w:t>in the case of a </w:t>
      </w:r>
      <w:r>
        <w:rPr>
          <w:i/>
          <w:sz w:val="24"/>
        </w:rPr>
        <w:t>building block proposal </w:t>
      </w:r>
      <w:r>
        <w:rPr>
          <w:sz w:val="24"/>
        </w:rPr>
        <w:t>for a distribution determination for a </w:t>
      </w:r>
      <w:r>
        <w:rPr>
          <w:i/>
          <w:sz w:val="24"/>
        </w:rPr>
        <w:t>Distribution Network Service Provider </w:t>
      </w:r>
      <w:r>
        <w:rPr>
          <w:sz w:val="24"/>
        </w:rPr>
        <w:t>in this jurisdiction that will apply after the </w:t>
      </w:r>
      <w:r>
        <w:rPr>
          <w:i/>
          <w:sz w:val="24"/>
        </w:rPr>
        <w:t>2nd regulatory control period </w:t>
      </w:r>
      <w:r>
        <w:rPr>
          <w:sz w:val="24"/>
        </w:rPr>
        <w:t>– operating expenditure for each of the past </w:t>
      </w:r>
      <w:r>
        <w:rPr>
          <w:i/>
          <w:sz w:val="24"/>
        </w:rPr>
        <w:t>regulatory years </w:t>
      </w:r>
      <w:r>
        <w:rPr>
          <w:sz w:val="24"/>
        </w:rPr>
        <w:t>of the previous and current </w:t>
      </w:r>
      <w:r>
        <w:rPr>
          <w:i/>
          <w:sz w:val="24"/>
        </w:rPr>
        <w:t>regulatory control </w:t>
      </w:r>
      <w:r>
        <w:rPr>
          <w:i/>
          <w:sz w:val="24"/>
        </w:rPr>
        <w:t>period</w:t>
      </w:r>
      <w:r>
        <w:rPr>
          <w:sz w:val="24"/>
        </w:rPr>
        <w:t>, and the expected operating expenditure for each of the last two </w:t>
      </w:r>
      <w:r>
        <w:rPr>
          <w:i/>
          <w:sz w:val="24"/>
        </w:rPr>
        <w:t>regulatory years </w:t>
      </w:r>
      <w:r>
        <w:rPr>
          <w:sz w:val="24"/>
        </w:rPr>
        <w:t>of the current </w:t>
      </w:r>
      <w:r>
        <w:rPr>
          <w:i/>
          <w:sz w:val="24"/>
        </w:rPr>
        <w:t>regulatory control period</w:t>
      </w:r>
      <w:r>
        <w:rPr>
          <w:sz w:val="24"/>
        </w:rPr>
        <w:t>, categorised in the same way as for the operating expenditure</w:t>
      </w:r>
      <w:r>
        <w:rPr>
          <w:spacing w:val="-4"/>
          <w:sz w:val="24"/>
        </w:rPr>
        <w:t> </w:t>
      </w:r>
      <w:r>
        <w:rPr>
          <w:sz w:val="24"/>
        </w:rPr>
        <w:t>forecast;</w:t>
      </w:r>
    </w:p>
    <w:p>
      <w:pPr>
        <w:pStyle w:val="ListParagraph"/>
        <w:numPr>
          <w:ilvl w:val="0"/>
          <w:numId w:val="461"/>
        </w:numPr>
        <w:tabs>
          <w:tab w:pos="1919" w:val="left" w:leader="none"/>
        </w:tabs>
        <w:spacing w:line="240" w:lineRule="auto" w:before="120" w:after="0"/>
        <w:ind w:left="1919" w:right="415" w:hanging="567"/>
        <w:jc w:val="both"/>
        <w:rPr>
          <w:sz w:val="24"/>
        </w:rPr>
      </w:pPr>
      <w:r>
        <w:rPr>
          <w:sz w:val="24"/>
        </w:rPr>
        <w:t>in the case of a </w:t>
      </w:r>
      <w:r>
        <w:rPr>
          <w:i/>
          <w:sz w:val="24"/>
        </w:rPr>
        <w:t>building block proposal </w:t>
      </w:r>
      <w:r>
        <w:rPr>
          <w:sz w:val="24"/>
        </w:rPr>
        <w:t>for a distribution determination for </w:t>
      </w:r>
      <w:r>
        <w:rPr>
          <w:spacing w:val="-11"/>
          <w:sz w:val="24"/>
        </w:rPr>
        <w:t>a </w:t>
      </w:r>
      <w:r>
        <w:rPr>
          <w:i/>
          <w:sz w:val="24"/>
        </w:rPr>
        <w:t>Distribution Network Service Provider </w:t>
      </w:r>
      <w:r>
        <w:rPr>
          <w:sz w:val="24"/>
        </w:rPr>
        <w:t>in this jurisdiction that will apply after the </w:t>
      </w:r>
      <w:r>
        <w:rPr>
          <w:i/>
          <w:sz w:val="24"/>
        </w:rPr>
        <w:t>2nd regulatory control period </w:t>
      </w:r>
      <w:r>
        <w:rPr>
          <w:sz w:val="24"/>
        </w:rPr>
        <w:t>– an explanation of any significant variations in the forecast operating expenditure from historical operating expenditure.</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The modifications to this clause expire on 1 July 2029.</w:t>
      </w:r>
    </w:p>
    <w:p>
      <w:pPr>
        <w:pStyle w:val="BodyText"/>
        <w:spacing w:before="10"/>
        <w:ind w:firstLine="0"/>
        <w:jc w:val="left"/>
        <w:rPr>
          <w:sz w:val="20"/>
        </w:rPr>
      </w:pPr>
    </w:p>
    <w:p>
      <w:pPr>
        <w:pStyle w:val="Heading4"/>
        <w:tabs>
          <w:tab w:pos="1351" w:val="left" w:leader="none"/>
        </w:tabs>
        <w:ind w:left="218" w:firstLine="0"/>
      </w:pPr>
      <w:bookmarkStart w:name="S6.1.3 Additional information and matter" w:id="1680"/>
      <w:bookmarkEnd w:id="1680"/>
      <w:r>
        <w:rPr>
          <w:b w:val="0"/>
        </w:rPr>
      </w:r>
      <w:bookmarkStart w:name="_bookmark666" w:id="1681"/>
      <w:bookmarkEnd w:id="1681"/>
      <w:r>
        <w:rPr>
          <w:b w:val="0"/>
        </w:rPr>
      </w:r>
      <w:r>
        <w:rPr/>
        <w:t>S6.1.3</w:t>
        <w:tab/>
        <w:t>Additional information and</w:t>
      </w:r>
      <w:r>
        <w:rPr>
          <w:spacing w:val="-3"/>
        </w:rPr>
        <w:t> </w:t>
      </w:r>
      <w:r>
        <w:rPr/>
        <w:t>matters</w:t>
      </w:r>
    </w:p>
    <w:p>
      <w:pPr>
        <w:spacing w:before="120"/>
        <w:ind w:left="1352" w:right="415" w:firstLine="0"/>
        <w:jc w:val="both"/>
        <w:rPr>
          <w:sz w:val="24"/>
        </w:rPr>
      </w:pPr>
      <w:r>
        <w:rPr>
          <w:sz w:val="24"/>
        </w:rPr>
        <w:t>A </w:t>
      </w:r>
      <w:r>
        <w:rPr>
          <w:i/>
          <w:sz w:val="24"/>
        </w:rPr>
        <w:t>building block proposal </w:t>
      </w:r>
      <w:r>
        <w:rPr>
          <w:sz w:val="24"/>
        </w:rPr>
        <w:t>must contain at least the following additional information and matters:</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an identification and explanation of any significant interactions between the forecast capital expenditure and forecast operating expenditure</w:t>
      </w:r>
      <w:r>
        <w:rPr>
          <w:spacing w:val="-3"/>
          <w:sz w:val="24"/>
        </w:rPr>
        <w:t> </w:t>
      </w:r>
      <w:r>
        <w:rPr>
          <w:sz w:val="24"/>
        </w:rPr>
        <w:t>programs;</w:t>
      </w:r>
    </w:p>
    <w:p>
      <w:pPr>
        <w:pStyle w:val="Heading4"/>
        <w:numPr>
          <w:ilvl w:val="0"/>
          <w:numId w:val="463"/>
        </w:numPr>
        <w:tabs>
          <w:tab w:pos="1919" w:val="left" w:leader="none"/>
        </w:tabs>
        <w:spacing w:line="240" w:lineRule="auto" w:before="120" w:after="0"/>
        <w:ind w:left="1918" w:right="0" w:hanging="567"/>
        <w:jc w:val="both"/>
        <w:rPr>
          <w:rFonts w:ascii="Times New Roman"/>
        </w:rPr>
      </w:pPr>
      <w:r>
        <w:rPr>
          <w:rFonts w:ascii="Times New Roman"/>
        </w:rPr>
        <w:t>[Deleted]</w:t>
      </w:r>
    </w:p>
    <w:p>
      <w:pPr>
        <w:pStyle w:val="ListParagraph"/>
        <w:numPr>
          <w:ilvl w:val="0"/>
          <w:numId w:val="463"/>
        </w:numPr>
        <w:tabs>
          <w:tab w:pos="1919" w:val="left" w:leader="none"/>
        </w:tabs>
        <w:spacing w:line="240" w:lineRule="auto" w:before="120" w:after="0"/>
        <w:ind w:left="1919" w:right="415" w:hanging="567"/>
        <w:jc w:val="both"/>
        <w:rPr>
          <w:i/>
          <w:sz w:val="24"/>
        </w:rPr>
      </w:pPr>
      <w:r>
        <w:rPr>
          <w:sz w:val="24"/>
        </w:rPr>
        <w:t>a description, including relevant explanatory material, of how the </w:t>
      </w:r>
      <w:r>
        <w:rPr>
          <w:i/>
          <w:sz w:val="24"/>
        </w:rPr>
        <w:t>Distribution Network Service Provider </w:t>
      </w:r>
      <w:r>
        <w:rPr>
          <w:sz w:val="24"/>
        </w:rPr>
        <w:t>proposes any </w:t>
      </w:r>
      <w:r>
        <w:rPr>
          <w:i/>
          <w:sz w:val="24"/>
        </w:rPr>
        <w:t>efficiency benefit </w:t>
      </w:r>
      <w:r>
        <w:rPr>
          <w:i/>
          <w:sz w:val="24"/>
        </w:rPr>
        <w:t>sharing scheme </w:t>
      </w:r>
      <w:r>
        <w:rPr>
          <w:sz w:val="24"/>
        </w:rPr>
        <w:t>that has been specified in a </w:t>
      </w:r>
      <w:r>
        <w:rPr>
          <w:i/>
          <w:sz w:val="24"/>
        </w:rPr>
        <w:t>framework and approach</w:t>
      </w:r>
      <w:r>
        <w:rPr>
          <w:i/>
          <w:spacing w:val="8"/>
          <w:sz w:val="24"/>
        </w:rPr>
        <w:t> </w:t>
      </w:r>
      <w:r>
        <w:rPr>
          <w:i/>
          <w:sz w:val="24"/>
        </w:rPr>
        <w:t>paper</w:t>
      </w:r>
    </w:p>
    <w:p>
      <w:pPr>
        <w:spacing w:after="0" w:line="240" w:lineRule="auto"/>
        <w:jc w:val="both"/>
        <w:rPr>
          <w:sz w:val="24"/>
        </w:rPr>
        <w:sectPr>
          <w:pgSz w:w="11910" w:h="16840"/>
          <w:pgMar w:header="686" w:footer="637" w:top="1320" w:bottom="820" w:left="1200" w:right="1000"/>
        </w:sectPr>
      </w:pPr>
    </w:p>
    <w:p>
      <w:pPr>
        <w:pStyle w:val="BodyText"/>
        <w:spacing w:before="83"/>
        <w:ind w:left="1919" w:right="416" w:firstLine="0"/>
      </w:pPr>
      <w:r>
        <w:rPr/>
        <w:t>that applies in respect of the forthcoming distribution determination should apply to</w:t>
      </w:r>
      <w:r>
        <w:rPr>
          <w:spacing w:val="-1"/>
        </w:rPr>
        <w:t> </w:t>
      </w:r>
      <w:r>
        <w:rPr/>
        <w:t>it;</w:t>
      </w:r>
    </w:p>
    <w:p>
      <w:pPr>
        <w:spacing w:before="120"/>
        <w:ind w:left="1919" w:right="415" w:hanging="567"/>
        <w:jc w:val="both"/>
        <w:rPr>
          <w:sz w:val="24"/>
        </w:rPr>
      </w:pPr>
      <w:r>
        <w:rPr>
          <w:sz w:val="24"/>
        </w:rPr>
        <w:t>(3A) a description, including relevant explanatory material, of how the </w:t>
      </w:r>
      <w:r>
        <w:rPr>
          <w:i/>
          <w:sz w:val="24"/>
        </w:rPr>
        <w:t>Distribution Network Service Provider </w:t>
      </w:r>
      <w:r>
        <w:rPr>
          <w:sz w:val="24"/>
        </w:rPr>
        <w:t>proposes any </w:t>
      </w:r>
      <w:r>
        <w:rPr>
          <w:i/>
          <w:sz w:val="24"/>
        </w:rPr>
        <w:t>capital expenditure </w:t>
      </w:r>
      <w:r>
        <w:rPr>
          <w:i/>
          <w:sz w:val="24"/>
        </w:rPr>
        <w:t>sharing scheme </w:t>
      </w:r>
      <w:r>
        <w:rPr>
          <w:sz w:val="24"/>
        </w:rPr>
        <w:t>that has been specified in a </w:t>
      </w:r>
      <w:r>
        <w:rPr>
          <w:i/>
          <w:sz w:val="24"/>
        </w:rPr>
        <w:t>framework and approach paper </w:t>
      </w:r>
      <w:r>
        <w:rPr>
          <w:sz w:val="24"/>
        </w:rPr>
        <w:t>that applies in respect of the forthcoming distribution determination should apply to</w:t>
      </w:r>
      <w:r>
        <w:rPr>
          <w:spacing w:val="-1"/>
          <w:sz w:val="24"/>
        </w:rPr>
        <w:t> </w:t>
      </w:r>
      <w:r>
        <w:rPr>
          <w:sz w:val="24"/>
        </w:rPr>
        <w:t>it;</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a description, including relevant explanatory material, of how the </w:t>
      </w:r>
      <w:r>
        <w:rPr>
          <w:i/>
          <w:sz w:val="24"/>
        </w:rPr>
        <w:t>Distribution Network Service Provider </w:t>
      </w:r>
      <w:r>
        <w:rPr>
          <w:sz w:val="24"/>
        </w:rPr>
        <w:t>proposes any </w:t>
      </w:r>
      <w:r>
        <w:rPr>
          <w:i/>
          <w:sz w:val="24"/>
        </w:rPr>
        <w:t>service target </w:t>
      </w:r>
      <w:r>
        <w:rPr>
          <w:i/>
          <w:sz w:val="24"/>
        </w:rPr>
        <w:t>performance incentive scheme </w:t>
      </w:r>
      <w:r>
        <w:rPr>
          <w:sz w:val="24"/>
        </w:rPr>
        <w:t>that has been specified in a </w:t>
      </w:r>
      <w:r>
        <w:rPr>
          <w:i/>
          <w:sz w:val="24"/>
        </w:rPr>
        <w:t>framework and </w:t>
      </w:r>
      <w:r>
        <w:rPr>
          <w:i/>
          <w:sz w:val="24"/>
        </w:rPr>
        <w:t>approach paper </w:t>
      </w:r>
      <w:r>
        <w:rPr>
          <w:sz w:val="24"/>
        </w:rPr>
        <w:t>that applies in respect of the forthcoming distribution determination should apply to</w:t>
      </w:r>
      <w:r>
        <w:rPr>
          <w:spacing w:val="-2"/>
          <w:sz w:val="24"/>
        </w:rPr>
        <w:t> </w:t>
      </w:r>
      <w:r>
        <w:rPr>
          <w:sz w:val="24"/>
        </w:rPr>
        <w:t>it;</w:t>
      </w:r>
    </w:p>
    <w:p>
      <w:pPr>
        <w:pStyle w:val="ListParagraph"/>
        <w:numPr>
          <w:ilvl w:val="0"/>
          <w:numId w:val="463"/>
        </w:numPr>
        <w:tabs>
          <w:tab w:pos="1919" w:val="left" w:leader="none"/>
        </w:tabs>
        <w:spacing w:line="240" w:lineRule="auto" w:before="120" w:after="0"/>
        <w:ind w:left="1919" w:right="414" w:hanging="567"/>
        <w:jc w:val="both"/>
        <w:rPr>
          <w:sz w:val="24"/>
        </w:rPr>
      </w:pPr>
      <w:r>
        <w:rPr>
          <w:sz w:val="24"/>
        </w:rPr>
        <w:t>a description, including relevant explanatory material, of how the </w:t>
      </w:r>
      <w:r>
        <w:rPr>
          <w:i/>
          <w:sz w:val="24"/>
        </w:rPr>
        <w:t>Distribution Network Service Provider </w:t>
      </w:r>
      <w:r>
        <w:rPr>
          <w:sz w:val="24"/>
        </w:rPr>
        <w:t>proposes any </w:t>
      </w:r>
      <w:r>
        <w:rPr>
          <w:i/>
          <w:sz w:val="24"/>
        </w:rPr>
        <w:t>demand management </w:t>
      </w:r>
      <w:r>
        <w:rPr>
          <w:i/>
          <w:sz w:val="24"/>
        </w:rPr>
        <w:t>incentive scheme </w:t>
      </w:r>
      <w:r>
        <w:rPr>
          <w:sz w:val="24"/>
        </w:rPr>
        <w:t>or </w:t>
      </w:r>
      <w:r>
        <w:rPr>
          <w:i/>
          <w:sz w:val="24"/>
        </w:rPr>
        <w:t>demand management innovation allowance mechanism </w:t>
      </w:r>
      <w:r>
        <w:rPr>
          <w:sz w:val="24"/>
        </w:rPr>
        <w:t>that has been specified in a </w:t>
      </w:r>
      <w:r>
        <w:rPr>
          <w:i/>
          <w:sz w:val="24"/>
        </w:rPr>
        <w:t>framework and approach paper </w:t>
      </w:r>
      <w:r>
        <w:rPr>
          <w:sz w:val="24"/>
        </w:rPr>
        <w:t>that applies in respect of the forthcoming distribution determination should apply to</w:t>
      </w:r>
      <w:r>
        <w:rPr>
          <w:spacing w:val="-7"/>
          <w:sz w:val="24"/>
        </w:rPr>
        <w:t> </w:t>
      </w:r>
      <w:r>
        <w:rPr>
          <w:sz w:val="24"/>
        </w:rPr>
        <w:t>it;</w:t>
      </w:r>
    </w:p>
    <w:p>
      <w:pPr>
        <w:spacing w:before="120"/>
        <w:ind w:left="1919" w:right="415" w:hanging="567"/>
        <w:jc w:val="both"/>
        <w:rPr>
          <w:sz w:val="24"/>
        </w:rPr>
      </w:pPr>
      <w:r>
        <w:rPr>
          <w:sz w:val="24"/>
        </w:rPr>
        <w:t>(5A) a description, including relevant explanatory material, of how the </w:t>
      </w:r>
      <w:r>
        <w:rPr>
          <w:i/>
          <w:sz w:val="24"/>
        </w:rPr>
        <w:t>Distribution Network Service Provider </w:t>
      </w:r>
      <w:r>
        <w:rPr>
          <w:sz w:val="24"/>
        </w:rPr>
        <w:t>proposes any </w:t>
      </w:r>
      <w:r>
        <w:rPr>
          <w:i/>
          <w:sz w:val="24"/>
        </w:rPr>
        <w:t>small-scale incentive </w:t>
      </w:r>
      <w:r>
        <w:rPr>
          <w:i/>
          <w:sz w:val="24"/>
        </w:rPr>
        <w:t>scheme </w:t>
      </w:r>
      <w:r>
        <w:rPr>
          <w:sz w:val="24"/>
        </w:rPr>
        <w:t>that has been specified in a </w:t>
      </w:r>
      <w:r>
        <w:rPr>
          <w:i/>
          <w:sz w:val="24"/>
        </w:rPr>
        <w:t>framework and approach paper </w:t>
      </w:r>
      <w:r>
        <w:rPr>
          <w:sz w:val="24"/>
        </w:rPr>
        <w:t>that applies in respect of the forthcoming distribution determination should apply to</w:t>
      </w:r>
      <w:r>
        <w:rPr>
          <w:spacing w:val="-1"/>
          <w:sz w:val="24"/>
        </w:rPr>
        <w:t> </w:t>
      </w:r>
      <w:r>
        <w:rPr>
          <w:sz w:val="24"/>
        </w:rPr>
        <w:t>it;</w:t>
      </w:r>
    </w:p>
    <w:p>
      <w:pPr>
        <w:pStyle w:val="ListParagraph"/>
        <w:numPr>
          <w:ilvl w:val="0"/>
          <w:numId w:val="463"/>
        </w:numPr>
        <w:tabs>
          <w:tab w:pos="1919" w:val="left" w:leader="none"/>
        </w:tabs>
        <w:spacing w:line="240" w:lineRule="auto" w:before="120" w:after="0"/>
        <w:ind w:left="1919" w:right="414" w:hanging="567"/>
        <w:jc w:val="both"/>
        <w:rPr>
          <w:sz w:val="24"/>
        </w:rPr>
      </w:pPr>
      <w:r>
        <w:rPr>
          <w:sz w:val="24"/>
        </w:rPr>
        <w:t>the </w:t>
      </w:r>
      <w:r>
        <w:rPr>
          <w:i/>
          <w:sz w:val="24"/>
        </w:rPr>
        <w:t>Distribution Network Service Provider's </w:t>
      </w:r>
      <w:r>
        <w:rPr>
          <w:sz w:val="24"/>
        </w:rPr>
        <w:t>calculation of revenues or prices for the purposes of the control mechanism proposed by </w:t>
      </w:r>
      <w:r>
        <w:rPr>
          <w:spacing w:val="-4"/>
          <w:sz w:val="24"/>
        </w:rPr>
        <w:t>the </w:t>
      </w:r>
      <w:r>
        <w:rPr>
          <w:i/>
          <w:sz w:val="24"/>
        </w:rPr>
        <w:t>Distribution Network Service Provider </w:t>
      </w:r>
      <w:r>
        <w:rPr>
          <w:sz w:val="24"/>
        </w:rPr>
        <w:t>together</w:t>
      </w:r>
      <w:r>
        <w:rPr>
          <w:spacing w:val="-4"/>
          <w:sz w:val="24"/>
        </w:rPr>
        <w:t> </w:t>
      </w:r>
      <w:r>
        <w:rPr>
          <w:sz w:val="24"/>
        </w:rPr>
        <w:t>with:</w:t>
      </w:r>
    </w:p>
    <w:p>
      <w:pPr>
        <w:pStyle w:val="ListParagraph"/>
        <w:numPr>
          <w:ilvl w:val="1"/>
          <w:numId w:val="463"/>
        </w:numPr>
        <w:tabs>
          <w:tab w:pos="2486" w:val="left" w:leader="none"/>
        </w:tabs>
        <w:spacing w:line="240" w:lineRule="auto" w:before="120" w:after="0"/>
        <w:ind w:left="2486" w:right="414" w:hanging="567"/>
        <w:jc w:val="both"/>
        <w:rPr>
          <w:sz w:val="24"/>
        </w:rPr>
      </w:pPr>
      <w:r>
        <w:rPr>
          <w:sz w:val="24"/>
        </w:rPr>
        <w:t>details of all amounts, values and inputs (including X factors) relevant to the</w:t>
      </w:r>
      <w:r>
        <w:rPr>
          <w:spacing w:val="-1"/>
          <w:sz w:val="24"/>
        </w:rPr>
        <w:t> </w:t>
      </w:r>
      <w:r>
        <w:rPr>
          <w:sz w:val="24"/>
        </w:rPr>
        <w:t>calculation;</w:t>
      </w:r>
    </w:p>
    <w:p>
      <w:pPr>
        <w:pStyle w:val="ListParagraph"/>
        <w:numPr>
          <w:ilvl w:val="1"/>
          <w:numId w:val="463"/>
        </w:numPr>
        <w:tabs>
          <w:tab w:pos="2487" w:val="left" w:leader="none"/>
        </w:tabs>
        <w:spacing w:line="240" w:lineRule="auto" w:before="120" w:after="0"/>
        <w:ind w:left="2486" w:right="414" w:hanging="567"/>
        <w:jc w:val="both"/>
        <w:rPr>
          <w:sz w:val="24"/>
        </w:rPr>
      </w:pPr>
      <w:r>
        <w:rPr>
          <w:sz w:val="24"/>
        </w:rPr>
        <w:t>an explanation of the calculation and the amounts, values and inputs involved in the calculation;</w:t>
      </w:r>
      <w:r>
        <w:rPr>
          <w:spacing w:val="-1"/>
          <w:sz w:val="24"/>
        </w:rPr>
        <w:t> </w:t>
      </w:r>
      <w:r>
        <w:rPr>
          <w:sz w:val="24"/>
        </w:rPr>
        <w:t>and</w:t>
      </w:r>
    </w:p>
    <w:p>
      <w:pPr>
        <w:pStyle w:val="ListParagraph"/>
        <w:numPr>
          <w:ilvl w:val="1"/>
          <w:numId w:val="463"/>
        </w:numPr>
        <w:tabs>
          <w:tab w:pos="2486" w:val="left" w:leader="none"/>
        </w:tabs>
        <w:spacing w:line="240" w:lineRule="auto" w:before="120" w:after="0"/>
        <w:ind w:left="2486" w:right="415" w:hanging="567"/>
        <w:jc w:val="both"/>
        <w:rPr>
          <w:sz w:val="24"/>
        </w:rPr>
      </w:pPr>
      <w:r>
        <w:rPr>
          <w:sz w:val="24"/>
        </w:rPr>
        <w:t>a demonstration that the calculation and the amounts, values and inputs on which it is based comply with relevant requirements of the Law and the</w:t>
      </w:r>
      <w:r>
        <w:rPr>
          <w:spacing w:val="-1"/>
          <w:sz w:val="24"/>
        </w:rPr>
        <w:t> </w:t>
      </w:r>
      <w:r>
        <w:rPr>
          <w:i/>
          <w:sz w:val="24"/>
        </w:rPr>
        <w:t>Rules</w:t>
      </w:r>
      <w:r>
        <w:rPr>
          <w:sz w:val="24"/>
        </w:rPr>
        <w:t>;</w:t>
      </w:r>
    </w:p>
    <w:p>
      <w:pPr>
        <w:pStyle w:val="ListParagraph"/>
        <w:numPr>
          <w:ilvl w:val="0"/>
          <w:numId w:val="463"/>
        </w:numPr>
        <w:tabs>
          <w:tab w:pos="1919" w:val="left" w:leader="none"/>
        </w:tabs>
        <w:spacing w:line="240" w:lineRule="auto" w:before="120" w:after="0"/>
        <w:ind w:left="1919" w:right="416" w:hanging="567"/>
        <w:jc w:val="both"/>
        <w:rPr>
          <w:sz w:val="24"/>
        </w:rPr>
      </w:pPr>
      <w:r>
        <w:rPr>
          <w:sz w:val="24"/>
        </w:rPr>
        <w:t>the </w:t>
      </w:r>
      <w:r>
        <w:rPr>
          <w:i/>
          <w:sz w:val="24"/>
        </w:rPr>
        <w:t>Distribution Network Service Provider's </w:t>
      </w:r>
      <w:r>
        <w:rPr>
          <w:sz w:val="24"/>
        </w:rPr>
        <w:t>calculation of the regulatory asset base for the relevant </w:t>
      </w:r>
      <w:r>
        <w:rPr>
          <w:i/>
          <w:sz w:val="24"/>
        </w:rPr>
        <w:t>distribution system </w:t>
      </w:r>
      <w:r>
        <w:rPr>
          <w:sz w:val="24"/>
        </w:rPr>
        <w:t>for each </w:t>
      </w:r>
      <w:r>
        <w:rPr>
          <w:i/>
          <w:sz w:val="24"/>
        </w:rPr>
        <w:t>regulatory year </w:t>
      </w:r>
      <w:r>
        <w:rPr>
          <w:sz w:val="24"/>
        </w:rPr>
        <w:t>of  the relevant </w:t>
      </w:r>
      <w:r>
        <w:rPr>
          <w:i/>
          <w:sz w:val="24"/>
        </w:rPr>
        <w:t>regulatory control period </w:t>
      </w:r>
      <w:r>
        <w:rPr>
          <w:sz w:val="24"/>
        </w:rPr>
        <w:t>using the </w:t>
      </w:r>
      <w:r>
        <w:rPr>
          <w:i/>
          <w:sz w:val="24"/>
        </w:rPr>
        <w:t>roll forward model </w:t>
      </w:r>
      <w:r>
        <w:rPr>
          <w:sz w:val="24"/>
        </w:rPr>
        <w:t>referred to in clause 6.5.1, together</w:t>
      </w:r>
      <w:r>
        <w:rPr>
          <w:spacing w:val="-1"/>
          <w:sz w:val="24"/>
        </w:rPr>
        <w:t> </w:t>
      </w:r>
      <w:r>
        <w:rPr>
          <w:sz w:val="24"/>
        </w:rPr>
        <w:t>with:</w:t>
      </w:r>
    </w:p>
    <w:p>
      <w:pPr>
        <w:pStyle w:val="ListParagraph"/>
        <w:numPr>
          <w:ilvl w:val="1"/>
          <w:numId w:val="463"/>
        </w:numPr>
        <w:tabs>
          <w:tab w:pos="2486" w:val="left" w:leader="none"/>
        </w:tabs>
        <w:spacing w:line="240" w:lineRule="auto" w:before="120" w:after="0"/>
        <w:ind w:left="2486" w:right="416" w:hanging="567"/>
        <w:jc w:val="both"/>
        <w:rPr>
          <w:sz w:val="24"/>
        </w:rPr>
      </w:pPr>
      <w:r>
        <w:rPr>
          <w:sz w:val="24"/>
        </w:rPr>
        <w:t>details of all amounts, values and other inputs used by the </w:t>
      </w:r>
      <w:r>
        <w:rPr>
          <w:i/>
          <w:sz w:val="24"/>
        </w:rPr>
        <w:t>Distribution </w:t>
      </w:r>
      <w:r>
        <w:rPr>
          <w:i/>
          <w:sz w:val="24"/>
        </w:rPr>
        <w:t>Network Service Provider </w:t>
      </w:r>
      <w:r>
        <w:rPr>
          <w:sz w:val="24"/>
        </w:rPr>
        <w:t>for that</w:t>
      </w:r>
      <w:r>
        <w:rPr>
          <w:spacing w:val="-1"/>
          <w:sz w:val="24"/>
        </w:rPr>
        <w:t> </w:t>
      </w:r>
      <w:r>
        <w:rPr>
          <w:sz w:val="24"/>
        </w:rPr>
        <w:t>purpose;</w:t>
      </w:r>
    </w:p>
    <w:p>
      <w:pPr>
        <w:pStyle w:val="ListParagraph"/>
        <w:numPr>
          <w:ilvl w:val="1"/>
          <w:numId w:val="463"/>
        </w:numPr>
        <w:tabs>
          <w:tab w:pos="2487" w:val="left" w:leader="none"/>
        </w:tabs>
        <w:spacing w:line="240" w:lineRule="auto" w:before="120" w:after="0"/>
        <w:ind w:left="2486" w:right="414" w:hanging="567"/>
        <w:jc w:val="both"/>
        <w:rPr>
          <w:sz w:val="24"/>
        </w:rPr>
      </w:pPr>
      <w:r>
        <w:rPr>
          <w:sz w:val="24"/>
        </w:rPr>
        <w:t>a demonstration that any such amounts, values and other inputs comply with the relevant requirements of Part C of Chapter 6 ;</w:t>
      </w:r>
      <w:r>
        <w:rPr>
          <w:spacing w:val="-5"/>
          <w:sz w:val="24"/>
        </w:rPr>
        <w:t> </w:t>
      </w:r>
      <w:r>
        <w:rPr>
          <w:sz w:val="24"/>
        </w:rPr>
        <w:t>and</w:t>
      </w:r>
    </w:p>
    <w:p>
      <w:pPr>
        <w:pStyle w:val="ListParagraph"/>
        <w:numPr>
          <w:ilvl w:val="1"/>
          <w:numId w:val="463"/>
        </w:numPr>
        <w:tabs>
          <w:tab w:pos="2486" w:val="left" w:leader="none"/>
        </w:tabs>
        <w:spacing w:line="240" w:lineRule="auto" w:before="120" w:after="0"/>
        <w:ind w:left="2486" w:right="415" w:hanging="567"/>
        <w:jc w:val="both"/>
        <w:rPr>
          <w:sz w:val="24"/>
        </w:rPr>
      </w:pPr>
      <w:r>
        <w:rPr>
          <w:sz w:val="24"/>
        </w:rPr>
        <w:t>an explanation of the calculation of the regulatory asset base for each </w:t>
      </w:r>
      <w:r>
        <w:rPr>
          <w:i/>
          <w:sz w:val="24"/>
        </w:rPr>
        <w:t>regulatory year </w:t>
      </w:r>
      <w:r>
        <w:rPr>
          <w:sz w:val="24"/>
        </w:rPr>
        <w:t>of the relevant </w:t>
      </w:r>
      <w:r>
        <w:rPr>
          <w:i/>
          <w:sz w:val="24"/>
        </w:rPr>
        <w:t>regulatory control period </w:t>
      </w:r>
      <w:r>
        <w:rPr>
          <w:sz w:val="24"/>
        </w:rPr>
        <w:t>and of the amounts, values and inputs referred to in subparagraph</w:t>
      </w:r>
      <w:r>
        <w:rPr>
          <w:spacing w:val="-5"/>
          <w:sz w:val="24"/>
        </w:rPr>
        <w:t> </w:t>
      </w:r>
      <w:r>
        <w:rPr>
          <w:sz w:val="24"/>
        </w:rPr>
        <w:t>(i);</w:t>
      </w:r>
    </w:p>
    <w:p>
      <w:pPr>
        <w:pStyle w:val="Heading4"/>
        <w:numPr>
          <w:ilvl w:val="0"/>
          <w:numId w:val="463"/>
        </w:numPr>
        <w:tabs>
          <w:tab w:pos="1919" w:val="left" w:leader="none"/>
        </w:tabs>
        <w:spacing w:line="240" w:lineRule="auto" w:before="120" w:after="0"/>
        <w:ind w:left="1918" w:right="0" w:hanging="567"/>
        <w:jc w:val="both"/>
        <w:rPr>
          <w:rFonts w:ascii="Times New Roman"/>
          <w:b w:val="0"/>
        </w:rPr>
      </w:pPr>
      <w:r>
        <w:rPr>
          <w:rFonts w:ascii="Times New Roman"/>
        </w:rPr>
        <w:t>[Deleted]</w:t>
      </w:r>
      <w:r>
        <w:rPr>
          <w:rFonts w:ascii="Times New Roman"/>
          <w:b w:val="0"/>
        </w:rPr>
        <w:t>.</w:t>
      </w:r>
    </w:p>
    <w:p>
      <w:pPr>
        <w:spacing w:after="0" w:line="240" w:lineRule="auto"/>
        <w:jc w:val="both"/>
        <w:rPr>
          <w:rFonts w:ascii="Times New Roman"/>
        </w:rPr>
        <w:sectPr>
          <w:pgSz w:w="11910" w:h="16840"/>
          <w:pgMar w:header="686" w:footer="637" w:top="1320" w:bottom="820" w:left="1200" w:right="1000"/>
        </w:sectPr>
      </w:pPr>
    </w:p>
    <w:p>
      <w:pPr>
        <w:pStyle w:val="ListParagraph"/>
        <w:numPr>
          <w:ilvl w:val="0"/>
          <w:numId w:val="463"/>
        </w:numPr>
        <w:tabs>
          <w:tab w:pos="1919" w:val="left" w:leader="none"/>
        </w:tabs>
        <w:spacing w:line="240" w:lineRule="auto" w:before="83" w:after="0"/>
        <w:ind w:left="1919" w:right="416" w:hanging="567"/>
        <w:jc w:val="both"/>
        <w:rPr>
          <w:sz w:val="24"/>
        </w:rPr>
      </w:pPr>
      <w:r>
        <w:rPr>
          <w:sz w:val="24"/>
        </w:rPr>
        <w:t>the </w:t>
      </w:r>
      <w:r>
        <w:rPr>
          <w:i/>
          <w:sz w:val="24"/>
        </w:rPr>
        <w:t>Distribution Network Service Provider’s </w:t>
      </w:r>
      <w:r>
        <w:rPr>
          <w:sz w:val="24"/>
        </w:rPr>
        <w:t>calculation of the </w:t>
      </w:r>
      <w:r>
        <w:rPr>
          <w:i/>
          <w:sz w:val="24"/>
        </w:rPr>
        <w:t>allowed rate </w:t>
      </w:r>
      <w:r>
        <w:rPr>
          <w:i/>
          <w:sz w:val="24"/>
        </w:rPr>
        <w:t>of return </w:t>
      </w:r>
      <w:r>
        <w:rPr>
          <w:sz w:val="24"/>
        </w:rPr>
        <w:t>for each </w:t>
      </w:r>
      <w:r>
        <w:rPr>
          <w:i/>
          <w:sz w:val="24"/>
        </w:rPr>
        <w:t>regulatory year </w:t>
      </w:r>
      <w:r>
        <w:rPr>
          <w:sz w:val="24"/>
        </w:rPr>
        <w:t>of the relevant </w:t>
      </w:r>
      <w:r>
        <w:rPr>
          <w:i/>
          <w:sz w:val="24"/>
        </w:rPr>
        <w:t>regulatory control</w:t>
      </w:r>
      <w:r>
        <w:rPr>
          <w:i/>
          <w:spacing w:val="-17"/>
          <w:sz w:val="24"/>
        </w:rPr>
        <w:t> </w:t>
      </w:r>
      <w:r>
        <w:rPr>
          <w:i/>
          <w:sz w:val="24"/>
        </w:rPr>
        <w:t>period</w:t>
      </w:r>
      <w:r>
        <w:rPr>
          <w:sz w:val="24"/>
        </w:rPr>
        <w:t>;</w:t>
      </w:r>
    </w:p>
    <w:p>
      <w:pPr>
        <w:spacing w:before="120"/>
        <w:ind w:left="1919" w:right="416" w:hanging="567"/>
        <w:jc w:val="both"/>
        <w:rPr>
          <w:sz w:val="24"/>
        </w:rPr>
      </w:pPr>
      <w:r>
        <w:rPr>
          <w:sz w:val="24"/>
        </w:rPr>
        <w:t>(9A) the </w:t>
      </w:r>
      <w:r>
        <w:rPr>
          <w:i/>
          <w:sz w:val="24"/>
        </w:rPr>
        <w:t>Distribution Network Service Provider’s </w:t>
      </w:r>
      <w:r>
        <w:rPr>
          <w:sz w:val="24"/>
        </w:rPr>
        <w:t>calculation of the </w:t>
      </w:r>
      <w:r>
        <w:rPr>
          <w:i/>
          <w:sz w:val="24"/>
        </w:rPr>
        <w:t>allowed </w:t>
      </w:r>
      <w:r>
        <w:rPr>
          <w:i/>
          <w:sz w:val="24"/>
        </w:rPr>
        <w:t>imputation credits </w:t>
      </w:r>
      <w:r>
        <w:rPr>
          <w:sz w:val="24"/>
        </w:rPr>
        <w:t>for each </w:t>
      </w:r>
      <w:r>
        <w:rPr>
          <w:i/>
          <w:sz w:val="24"/>
        </w:rPr>
        <w:t>regulatory year </w:t>
      </w:r>
      <w:r>
        <w:rPr>
          <w:sz w:val="24"/>
        </w:rPr>
        <w:t>of the </w:t>
      </w:r>
      <w:r>
        <w:rPr>
          <w:i/>
          <w:sz w:val="24"/>
        </w:rPr>
        <w:t>regulatory control period</w:t>
      </w:r>
      <w:r>
        <w:rPr>
          <w:sz w:val="24"/>
        </w:rPr>
        <w:t>;</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the </w:t>
      </w:r>
      <w:r>
        <w:rPr>
          <w:i/>
          <w:sz w:val="24"/>
        </w:rPr>
        <w:t>post-tax revenue model </w:t>
      </w:r>
      <w:r>
        <w:rPr>
          <w:sz w:val="24"/>
        </w:rPr>
        <w:t>completed to show its application to the </w:t>
      </w:r>
      <w:r>
        <w:rPr>
          <w:i/>
          <w:sz w:val="24"/>
        </w:rPr>
        <w:t>Distribution Network Service Provider </w:t>
      </w:r>
      <w:r>
        <w:rPr>
          <w:sz w:val="24"/>
        </w:rPr>
        <w:t>and the completed </w:t>
      </w:r>
      <w:r>
        <w:rPr>
          <w:i/>
          <w:sz w:val="24"/>
        </w:rPr>
        <w:t>roll-forward </w:t>
      </w:r>
      <w:r>
        <w:rPr>
          <w:i/>
          <w:sz w:val="24"/>
        </w:rPr>
        <w:t>model</w:t>
      </w:r>
      <w:r>
        <w:rPr>
          <w:sz w:val="24"/>
        </w:rPr>
        <w:t>;</w:t>
      </w:r>
    </w:p>
    <w:p>
      <w:pPr>
        <w:pStyle w:val="ListParagraph"/>
        <w:numPr>
          <w:ilvl w:val="0"/>
          <w:numId w:val="463"/>
        </w:numPr>
        <w:tabs>
          <w:tab w:pos="1919" w:val="left" w:leader="none"/>
        </w:tabs>
        <w:spacing w:line="240" w:lineRule="auto" w:before="120" w:after="0"/>
        <w:ind w:left="1919" w:right="416" w:hanging="567"/>
        <w:jc w:val="both"/>
        <w:rPr>
          <w:sz w:val="24"/>
        </w:rPr>
      </w:pPr>
      <w:r>
        <w:rPr>
          <w:sz w:val="24"/>
        </w:rPr>
        <w:t>the </w:t>
      </w:r>
      <w:r>
        <w:rPr>
          <w:i/>
          <w:sz w:val="24"/>
        </w:rPr>
        <w:t>Distribution Network Service Provider's </w:t>
      </w:r>
      <w:r>
        <w:rPr>
          <w:sz w:val="24"/>
        </w:rPr>
        <w:t>estimate of the cost of corporate income tax for each </w:t>
      </w:r>
      <w:r>
        <w:rPr>
          <w:i/>
          <w:sz w:val="24"/>
        </w:rPr>
        <w:t>regulatory year </w:t>
      </w:r>
      <w:r>
        <w:rPr>
          <w:sz w:val="24"/>
        </w:rPr>
        <w:t>of the </w:t>
      </w:r>
      <w:r>
        <w:rPr>
          <w:i/>
          <w:sz w:val="24"/>
        </w:rPr>
        <w:t>regulatory control</w:t>
      </w:r>
      <w:r>
        <w:rPr>
          <w:i/>
          <w:spacing w:val="-8"/>
          <w:sz w:val="24"/>
        </w:rPr>
        <w:t> </w:t>
      </w:r>
      <w:r>
        <w:rPr>
          <w:i/>
          <w:sz w:val="24"/>
        </w:rPr>
        <w:t>period</w:t>
      </w:r>
      <w:r>
        <w:rPr>
          <w:sz w:val="24"/>
        </w:rPr>
        <w:t>;</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the depreciation schedules nominated by the </w:t>
      </w:r>
      <w:r>
        <w:rPr>
          <w:i/>
          <w:sz w:val="24"/>
        </w:rPr>
        <w:t>Distribution Network Service </w:t>
      </w:r>
      <w:r>
        <w:rPr>
          <w:i/>
          <w:sz w:val="24"/>
        </w:rPr>
        <w:t>Provider </w:t>
      </w:r>
      <w:r>
        <w:rPr>
          <w:sz w:val="24"/>
        </w:rPr>
        <w:t>for the purposes of clause 6.5.5 , which categorise the relevant assets for these purposes by reference to well accepted categories such</w:t>
      </w:r>
      <w:r>
        <w:rPr>
          <w:spacing w:val="-9"/>
          <w:sz w:val="24"/>
        </w:rPr>
        <w:t> </w:t>
      </w:r>
      <w:r>
        <w:rPr>
          <w:sz w:val="24"/>
        </w:rPr>
        <w:t>as:</w:t>
      </w:r>
    </w:p>
    <w:p>
      <w:pPr>
        <w:pStyle w:val="ListParagraph"/>
        <w:numPr>
          <w:ilvl w:val="1"/>
          <w:numId w:val="463"/>
        </w:numPr>
        <w:tabs>
          <w:tab w:pos="2485" w:val="left" w:leader="none"/>
          <w:tab w:pos="2486" w:val="left" w:leader="none"/>
        </w:tabs>
        <w:spacing w:line="240" w:lineRule="auto" w:before="120" w:after="0"/>
        <w:ind w:left="2485" w:right="0" w:hanging="567"/>
        <w:jc w:val="left"/>
        <w:rPr>
          <w:sz w:val="24"/>
        </w:rPr>
      </w:pPr>
      <w:r>
        <w:rPr>
          <w:sz w:val="24"/>
        </w:rPr>
        <w:t>asset class (eg </w:t>
      </w:r>
      <w:r>
        <w:rPr>
          <w:i/>
          <w:sz w:val="24"/>
        </w:rPr>
        <w:t>distribution lines </w:t>
      </w:r>
      <w:r>
        <w:rPr>
          <w:sz w:val="24"/>
        </w:rPr>
        <w:t>and </w:t>
      </w:r>
      <w:r>
        <w:rPr>
          <w:i/>
          <w:sz w:val="24"/>
        </w:rPr>
        <w:t>substations</w:t>
      </w:r>
      <w:r>
        <w:rPr>
          <w:sz w:val="24"/>
        </w:rPr>
        <w:t>);</w:t>
      </w:r>
      <w:r>
        <w:rPr>
          <w:spacing w:val="-4"/>
          <w:sz w:val="24"/>
        </w:rPr>
        <w:t> </w:t>
      </w:r>
      <w:r>
        <w:rPr>
          <w:sz w:val="24"/>
        </w:rPr>
        <w:t>or</w:t>
      </w:r>
    </w:p>
    <w:p>
      <w:pPr>
        <w:pStyle w:val="ListParagraph"/>
        <w:numPr>
          <w:ilvl w:val="1"/>
          <w:numId w:val="463"/>
        </w:numPr>
        <w:tabs>
          <w:tab w:pos="2485" w:val="left" w:leader="none"/>
          <w:tab w:pos="2487" w:val="left" w:leader="none"/>
          <w:tab w:pos="3587" w:val="left" w:leader="none"/>
          <w:tab w:pos="4435" w:val="left" w:leader="none"/>
          <w:tab w:pos="5017" w:val="left" w:leader="none"/>
          <w:tab w:pos="6304" w:val="left" w:leader="none"/>
          <w:tab w:pos="7566" w:val="left" w:leader="none"/>
          <w:tab w:pos="8055" w:val="left" w:leader="none"/>
        </w:tabs>
        <w:spacing w:line="240" w:lineRule="auto" w:before="120" w:after="0"/>
        <w:ind w:left="2486" w:right="417" w:hanging="567"/>
        <w:jc w:val="left"/>
        <w:rPr>
          <w:sz w:val="24"/>
        </w:rPr>
      </w:pPr>
      <w:r>
        <w:rPr>
          <w:sz w:val="24"/>
        </w:rPr>
        <w:t>category</w:t>
        <w:tab/>
        <w:t>driver</w:t>
        <w:tab/>
        <w:t>(eg</w:t>
        <w:tab/>
      </w:r>
      <w:r>
        <w:rPr>
          <w:i/>
          <w:sz w:val="24"/>
        </w:rPr>
        <w:t>regulatory</w:t>
        <w:tab/>
        <w:t>obligation</w:t>
        <w:tab/>
        <w:t>or</w:t>
        <w:tab/>
      </w:r>
      <w:r>
        <w:rPr>
          <w:i/>
          <w:spacing w:val="-1"/>
          <w:sz w:val="24"/>
        </w:rPr>
        <w:t>requirement</w:t>
      </w:r>
      <w:r>
        <w:rPr>
          <w:spacing w:val="-1"/>
          <w:sz w:val="24"/>
        </w:rPr>
        <w:t>, </w:t>
      </w:r>
      <w:r>
        <w:rPr>
          <w:sz w:val="24"/>
        </w:rPr>
        <w:t>replacement, </w:t>
      </w:r>
      <w:r>
        <w:rPr>
          <w:i/>
          <w:sz w:val="24"/>
        </w:rPr>
        <w:t>reliability</w:t>
      </w:r>
      <w:r>
        <w:rPr>
          <w:sz w:val="24"/>
        </w:rPr>
        <w:t>, net market benefit, and business</w:t>
      </w:r>
      <w:r>
        <w:rPr>
          <w:spacing w:val="-8"/>
          <w:sz w:val="24"/>
        </w:rPr>
        <w:t> </w:t>
      </w:r>
      <w:r>
        <w:rPr>
          <w:sz w:val="24"/>
        </w:rPr>
        <w:t>support),</w:t>
      </w:r>
    </w:p>
    <w:p>
      <w:pPr>
        <w:pStyle w:val="BodyText"/>
        <w:ind w:left="1919" w:firstLine="0"/>
        <w:jc w:val="left"/>
      </w:pPr>
      <w:r>
        <w:rPr/>
        <w:t>together with:</w:t>
      </w:r>
    </w:p>
    <w:p>
      <w:pPr>
        <w:pStyle w:val="ListParagraph"/>
        <w:numPr>
          <w:ilvl w:val="1"/>
          <w:numId w:val="463"/>
        </w:numPr>
        <w:tabs>
          <w:tab w:pos="2485" w:val="left" w:leader="none"/>
          <w:tab w:pos="2486" w:val="left" w:leader="none"/>
        </w:tabs>
        <w:spacing w:line="240" w:lineRule="auto" w:before="120" w:after="0"/>
        <w:ind w:left="2486" w:right="417" w:hanging="567"/>
        <w:jc w:val="left"/>
        <w:rPr>
          <w:sz w:val="24"/>
        </w:rPr>
      </w:pPr>
      <w:r>
        <w:rPr>
          <w:sz w:val="24"/>
        </w:rPr>
        <w:t>details of all amounts, values and other inputs used by the </w:t>
      </w:r>
      <w:r>
        <w:rPr>
          <w:i/>
          <w:sz w:val="24"/>
        </w:rPr>
        <w:t>Distribution </w:t>
      </w:r>
      <w:r>
        <w:rPr>
          <w:i/>
          <w:sz w:val="24"/>
        </w:rPr>
        <w:t>Network Service Provider </w:t>
      </w:r>
      <w:r>
        <w:rPr>
          <w:sz w:val="24"/>
        </w:rPr>
        <w:t>to compile those depreciation</w:t>
      </w:r>
      <w:r>
        <w:rPr>
          <w:spacing w:val="-3"/>
          <w:sz w:val="24"/>
        </w:rPr>
        <w:t> </w:t>
      </w:r>
      <w:r>
        <w:rPr>
          <w:sz w:val="24"/>
        </w:rPr>
        <w:t>schedules;</w:t>
      </w:r>
    </w:p>
    <w:p>
      <w:pPr>
        <w:pStyle w:val="ListParagraph"/>
        <w:numPr>
          <w:ilvl w:val="1"/>
          <w:numId w:val="463"/>
        </w:numPr>
        <w:tabs>
          <w:tab w:pos="2485" w:val="left" w:leader="none"/>
          <w:tab w:pos="2487" w:val="left" w:leader="none"/>
        </w:tabs>
        <w:spacing w:line="240" w:lineRule="auto" w:before="120" w:after="0"/>
        <w:ind w:left="2486" w:right="415" w:hanging="567"/>
        <w:jc w:val="left"/>
        <w:rPr>
          <w:sz w:val="24"/>
        </w:rPr>
      </w:pPr>
      <w:r>
        <w:rPr>
          <w:sz w:val="24"/>
        </w:rPr>
        <w:t>a demonstration that those depreciation schedules conform with the requirements set out in clause 6.5.5(b) ;</w:t>
      </w:r>
      <w:r>
        <w:rPr>
          <w:spacing w:val="-2"/>
          <w:sz w:val="24"/>
        </w:rPr>
        <w:t> </w:t>
      </w:r>
      <w:r>
        <w:rPr>
          <w:sz w:val="24"/>
        </w:rPr>
        <w:t>and</w:t>
      </w:r>
    </w:p>
    <w:p>
      <w:pPr>
        <w:pStyle w:val="ListParagraph"/>
        <w:numPr>
          <w:ilvl w:val="1"/>
          <w:numId w:val="463"/>
        </w:numPr>
        <w:tabs>
          <w:tab w:pos="2485" w:val="left" w:leader="none"/>
          <w:tab w:pos="2486" w:val="left" w:leader="none"/>
        </w:tabs>
        <w:spacing w:line="240" w:lineRule="auto" w:before="120" w:after="0"/>
        <w:ind w:left="2486" w:right="414" w:hanging="567"/>
        <w:jc w:val="left"/>
        <w:rPr>
          <w:sz w:val="24"/>
        </w:rPr>
      </w:pPr>
      <w:r>
        <w:rPr>
          <w:sz w:val="24"/>
        </w:rPr>
        <w:t>an explanation of the calculation of the amounts, values and inputs referred to in subparagraph</w:t>
      </w:r>
      <w:r>
        <w:rPr>
          <w:spacing w:val="-2"/>
          <w:sz w:val="24"/>
        </w:rPr>
        <w:t> </w:t>
      </w:r>
      <w:r>
        <w:rPr>
          <w:sz w:val="24"/>
        </w:rPr>
        <w:t>(iii);</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the commencement and length of the </w:t>
      </w:r>
      <w:r>
        <w:rPr>
          <w:i/>
          <w:sz w:val="24"/>
        </w:rPr>
        <w:t>regulatory control period </w:t>
      </w:r>
      <w:r>
        <w:rPr>
          <w:sz w:val="24"/>
        </w:rPr>
        <w:t>proposed by the </w:t>
      </w:r>
      <w:r>
        <w:rPr>
          <w:i/>
          <w:sz w:val="24"/>
        </w:rPr>
        <w:t>Distribution Network Service Provider</w:t>
      </w:r>
      <w:r>
        <w:rPr>
          <w:sz w:val="24"/>
        </w:rPr>
        <w:t>;</w:t>
      </w:r>
      <w:r>
        <w:rPr>
          <w:spacing w:val="-2"/>
          <w:sz w:val="24"/>
        </w:rPr>
        <w:t> </w:t>
      </w:r>
      <w:r>
        <w:rPr>
          <w:sz w:val="24"/>
        </w:rPr>
        <w:t>and</w:t>
      </w:r>
    </w:p>
    <w:p>
      <w:pPr>
        <w:pStyle w:val="ListParagraph"/>
        <w:numPr>
          <w:ilvl w:val="0"/>
          <w:numId w:val="463"/>
        </w:numPr>
        <w:tabs>
          <w:tab w:pos="1919" w:val="left" w:leader="none"/>
        </w:tabs>
        <w:spacing w:line="240" w:lineRule="auto" w:before="120" w:after="0"/>
        <w:ind w:left="1919" w:right="415" w:hanging="567"/>
        <w:jc w:val="both"/>
        <w:rPr>
          <w:sz w:val="24"/>
        </w:rPr>
      </w:pPr>
      <w:r>
        <w:rPr>
          <w:sz w:val="24"/>
        </w:rPr>
        <w:t>if the </w:t>
      </w:r>
      <w:r>
        <w:rPr>
          <w:i/>
          <w:sz w:val="24"/>
        </w:rPr>
        <w:t>Distribution Network Service Provider </w:t>
      </w:r>
      <w:r>
        <w:rPr>
          <w:sz w:val="24"/>
        </w:rPr>
        <w:t>is seeking a determination by the </w:t>
      </w:r>
      <w:r>
        <w:rPr>
          <w:i/>
          <w:sz w:val="24"/>
        </w:rPr>
        <w:t>AER </w:t>
      </w:r>
      <w:r>
        <w:rPr>
          <w:sz w:val="24"/>
        </w:rPr>
        <w:t>that a </w:t>
      </w:r>
      <w:r>
        <w:rPr>
          <w:i/>
          <w:sz w:val="24"/>
        </w:rPr>
        <w:t>proposed contingent project </w:t>
      </w:r>
      <w:r>
        <w:rPr>
          <w:sz w:val="24"/>
        </w:rPr>
        <w:t>is a </w:t>
      </w:r>
      <w:r>
        <w:rPr>
          <w:i/>
          <w:sz w:val="24"/>
        </w:rPr>
        <w:t>contingent project </w:t>
      </w:r>
      <w:r>
        <w:rPr>
          <w:sz w:val="24"/>
        </w:rPr>
        <w:t>for the purposes of the relevant distribution</w:t>
      </w:r>
      <w:r>
        <w:rPr>
          <w:spacing w:val="-1"/>
          <w:sz w:val="24"/>
        </w:rPr>
        <w:t> </w:t>
      </w:r>
      <w:r>
        <w:rPr>
          <w:sz w:val="24"/>
        </w:rPr>
        <w:t>determination:</w:t>
      </w:r>
    </w:p>
    <w:p>
      <w:pPr>
        <w:pStyle w:val="ListParagraph"/>
        <w:numPr>
          <w:ilvl w:val="1"/>
          <w:numId w:val="463"/>
        </w:numPr>
        <w:tabs>
          <w:tab w:pos="2486" w:val="left" w:leader="none"/>
        </w:tabs>
        <w:spacing w:line="240" w:lineRule="auto" w:before="120" w:after="0"/>
        <w:ind w:left="2486" w:right="415" w:hanging="567"/>
        <w:jc w:val="both"/>
        <w:rPr>
          <w:sz w:val="24"/>
        </w:rPr>
      </w:pPr>
      <w:r>
        <w:rPr>
          <w:sz w:val="24"/>
        </w:rPr>
        <w:t>a description of the </w:t>
      </w:r>
      <w:r>
        <w:rPr>
          <w:i/>
          <w:sz w:val="24"/>
        </w:rPr>
        <w:t>proposed contingent project</w:t>
      </w:r>
      <w:r>
        <w:rPr>
          <w:sz w:val="24"/>
        </w:rPr>
        <w:t>, including reasons why the </w:t>
      </w:r>
      <w:r>
        <w:rPr>
          <w:i/>
          <w:sz w:val="24"/>
        </w:rPr>
        <w:t>Distribution Network Service Provider </w:t>
      </w:r>
      <w:r>
        <w:rPr>
          <w:sz w:val="24"/>
        </w:rPr>
        <w:t>considers the project should be accepted as a </w:t>
      </w:r>
      <w:r>
        <w:rPr>
          <w:i/>
          <w:sz w:val="24"/>
        </w:rPr>
        <w:t>contingent project </w:t>
      </w:r>
      <w:r>
        <w:rPr>
          <w:sz w:val="24"/>
        </w:rPr>
        <w:t>for the </w:t>
      </w:r>
      <w:r>
        <w:rPr>
          <w:i/>
          <w:sz w:val="24"/>
        </w:rPr>
        <w:t>regulatory control </w:t>
      </w:r>
      <w:r>
        <w:rPr>
          <w:i/>
          <w:sz w:val="24"/>
        </w:rPr>
        <w:t>period</w:t>
      </w:r>
      <w:r>
        <w:rPr>
          <w:sz w:val="24"/>
        </w:rPr>
        <w:t>;</w:t>
      </w:r>
    </w:p>
    <w:p>
      <w:pPr>
        <w:pStyle w:val="ListParagraph"/>
        <w:numPr>
          <w:ilvl w:val="1"/>
          <w:numId w:val="463"/>
        </w:numPr>
        <w:tabs>
          <w:tab w:pos="2487" w:val="left" w:leader="none"/>
        </w:tabs>
        <w:spacing w:line="240" w:lineRule="auto" w:before="120" w:after="0"/>
        <w:ind w:left="2486" w:right="416" w:hanging="567"/>
        <w:jc w:val="both"/>
        <w:rPr>
          <w:sz w:val="24"/>
        </w:rPr>
      </w:pPr>
      <w:r>
        <w:rPr>
          <w:sz w:val="24"/>
        </w:rPr>
        <w:t>a forecast of the capital expenditure which the </w:t>
      </w:r>
      <w:r>
        <w:rPr>
          <w:i/>
          <w:sz w:val="24"/>
        </w:rPr>
        <w:t>Distribution Network </w:t>
      </w:r>
      <w:r>
        <w:rPr>
          <w:i/>
          <w:sz w:val="24"/>
        </w:rPr>
        <w:t>Service Provider </w:t>
      </w:r>
      <w:r>
        <w:rPr>
          <w:sz w:val="24"/>
        </w:rPr>
        <w:t>considers is reasonably required for the purpose </w:t>
      </w:r>
      <w:r>
        <w:rPr>
          <w:spacing w:val="-6"/>
          <w:sz w:val="24"/>
        </w:rPr>
        <w:t>of </w:t>
      </w:r>
      <w:r>
        <w:rPr>
          <w:sz w:val="24"/>
        </w:rPr>
        <w:t>undertaking the </w:t>
      </w:r>
      <w:r>
        <w:rPr>
          <w:i/>
          <w:sz w:val="24"/>
        </w:rPr>
        <w:t>proposed contingent</w:t>
      </w:r>
      <w:r>
        <w:rPr>
          <w:i/>
          <w:spacing w:val="-2"/>
          <w:sz w:val="24"/>
        </w:rPr>
        <w:t> </w:t>
      </w:r>
      <w:r>
        <w:rPr>
          <w:i/>
          <w:sz w:val="24"/>
        </w:rPr>
        <w:t>project</w:t>
      </w:r>
      <w:r>
        <w:rPr>
          <w:sz w:val="24"/>
        </w:rPr>
        <w:t>;</w:t>
      </w:r>
    </w:p>
    <w:p>
      <w:pPr>
        <w:pStyle w:val="ListParagraph"/>
        <w:numPr>
          <w:ilvl w:val="1"/>
          <w:numId w:val="463"/>
        </w:numPr>
        <w:tabs>
          <w:tab w:pos="2486" w:val="left" w:leader="none"/>
        </w:tabs>
        <w:spacing w:line="240" w:lineRule="auto" w:before="120" w:after="0"/>
        <w:ind w:left="2486" w:right="416" w:hanging="567"/>
        <w:jc w:val="both"/>
        <w:rPr>
          <w:sz w:val="24"/>
        </w:rPr>
      </w:pPr>
      <w:r>
        <w:rPr>
          <w:sz w:val="24"/>
        </w:rPr>
        <w:t>the methodology used for developing that forecast and the </w:t>
      </w:r>
      <w:r>
        <w:rPr>
          <w:spacing w:val="-5"/>
          <w:sz w:val="24"/>
        </w:rPr>
        <w:t>key </w:t>
      </w:r>
      <w:r>
        <w:rPr>
          <w:sz w:val="24"/>
        </w:rPr>
        <w:t>assumptions that underlie</w:t>
      </w:r>
      <w:r>
        <w:rPr>
          <w:spacing w:val="-2"/>
          <w:sz w:val="24"/>
        </w:rPr>
        <w:t> </w:t>
      </w:r>
      <w:r>
        <w:rPr>
          <w:sz w:val="24"/>
        </w:rPr>
        <w:t>it;</w:t>
      </w:r>
    </w:p>
    <w:p>
      <w:pPr>
        <w:pStyle w:val="ListParagraph"/>
        <w:numPr>
          <w:ilvl w:val="1"/>
          <w:numId w:val="463"/>
        </w:numPr>
        <w:tabs>
          <w:tab w:pos="2487" w:val="left" w:leader="none"/>
        </w:tabs>
        <w:spacing w:line="240" w:lineRule="auto" w:before="120" w:after="0"/>
        <w:ind w:left="2486" w:right="415" w:hanging="567"/>
        <w:jc w:val="both"/>
        <w:rPr>
          <w:sz w:val="24"/>
        </w:rPr>
      </w:pPr>
      <w:r>
        <w:rPr>
          <w:sz w:val="24"/>
        </w:rPr>
        <w:t>information that demonstrates that the undertaking of the </w:t>
      </w:r>
      <w:r>
        <w:rPr>
          <w:i/>
          <w:sz w:val="24"/>
        </w:rPr>
        <w:t>proposed </w:t>
      </w:r>
      <w:r>
        <w:rPr>
          <w:i/>
          <w:sz w:val="24"/>
        </w:rPr>
        <w:t>contingent project </w:t>
      </w:r>
      <w:r>
        <w:rPr>
          <w:sz w:val="24"/>
        </w:rPr>
        <w:t>is reasonably required in order to achieve one </w:t>
      </w:r>
      <w:r>
        <w:rPr>
          <w:spacing w:val="-6"/>
          <w:sz w:val="24"/>
        </w:rPr>
        <w:t>or </w:t>
      </w:r>
      <w:r>
        <w:rPr>
          <w:sz w:val="24"/>
        </w:rPr>
        <w:t>more of the </w:t>
      </w:r>
      <w:r>
        <w:rPr>
          <w:i/>
          <w:sz w:val="24"/>
        </w:rPr>
        <w:t>capital expenditure</w:t>
      </w:r>
      <w:r>
        <w:rPr>
          <w:i/>
          <w:spacing w:val="-1"/>
          <w:sz w:val="24"/>
        </w:rPr>
        <w:t> </w:t>
      </w:r>
      <w:r>
        <w:rPr>
          <w:i/>
          <w:sz w:val="24"/>
        </w:rPr>
        <w:t>objectives</w:t>
      </w:r>
      <w:r>
        <w:rPr>
          <w:sz w:val="24"/>
        </w:rPr>
        <w:t>;</w:t>
      </w:r>
    </w:p>
    <w:p>
      <w:pPr>
        <w:pStyle w:val="ListParagraph"/>
        <w:numPr>
          <w:ilvl w:val="1"/>
          <w:numId w:val="463"/>
        </w:numPr>
        <w:tabs>
          <w:tab w:pos="2486" w:val="left" w:leader="none"/>
        </w:tabs>
        <w:spacing w:line="240" w:lineRule="auto" w:before="120" w:after="0"/>
        <w:ind w:left="2486" w:right="414" w:hanging="567"/>
        <w:jc w:val="both"/>
        <w:rPr>
          <w:sz w:val="24"/>
        </w:rPr>
      </w:pPr>
      <w:r>
        <w:rPr>
          <w:sz w:val="24"/>
        </w:rPr>
        <w:t>information that demonstrates that the </w:t>
      </w:r>
      <w:r>
        <w:rPr>
          <w:i/>
          <w:sz w:val="24"/>
        </w:rPr>
        <w:t>proposed contingent capital </w:t>
      </w:r>
      <w:r>
        <w:rPr>
          <w:i/>
          <w:sz w:val="24"/>
        </w:rPr>
        <w:t>expenditure </w:t>
      </w:r>
      <w:r>
        <w:rPr>
          <w:sz w:val="24"/>
        </w:rPr>
        <w:t>for the </w:t>
      </w:r>
      <w:r>
        <w:rPr>
          <w:i/>
          <w:sz w:val="24"/>
        </w:rPr>
        <w:t>proposed contingent project </w:t>
      </w:r>
      <w:r>
        <w:rPr>
          <w:sz w:val="24"/>
        </w:rPr>
        <w:t>complies with the requirements set out in clause 6.6A.1(b)(2);</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463"/>
        </w:numPr>
        <w:tabs>
          <w:tab w:pos="2486" w:val="left" w:leader="none"/>
        </w:tabs>
        <w:spacing w:line="240" w:lineRule="auto" w:before="83" w:after="0"/>
        <w:ind w:left="2486" w:right="415" w:hanging="567"/>
        <w:jc w:val="both"/>
        <w:rPr>
          <w:sz w:val="24"/>
        </w:rPr>
      </w:pPr>
      <w:r>
        <w:rPr>
          <w:sz w:val="24"/>
        </w:rPr>
        <w:t>the </w:t>
      </w:r>
      <w:r>
        <w:rPr>
          <w:i/>
          <w:sz w:val="24"/>
        </w:rPr>
        <w:t>trigger events </w:t>
      </w:r>
      <w:r>
        <w:rPr>
          <w:sz w:val="24"/>
        </w:rPr>
        <w:t>which are proposed in relation to the</w:t>
      </w:r>
      <w:r>
        <w:rPr>
          <w:spacing w:val="37"/>
          <w:sz w:val="24"/>
        </w:rPr>
        <w:t> </w:t>
      </w:r>
      <w:r>
        <w:rPr>
          <w:i/>
          <w:sz w:val="24"/>
        </w:rPr>
        <w:t>proposed </w:t>
      </w:r>
      <w:r>
        <w:rPr>
          <w:i/>
          <w:sz w:val="24"/>
        </w:rPr>
        <w:t>contingent project </w:t>
      </w:r>
      <w:r>
        <w:rPr>
          <w:sz w:val="24"/>
        </w:rPr>
        <w:t>and an explanation of how each of those conditions or events addresses the matters referred to in clause</w:t>
      </w:r>
      <w:r>
        <w:rPr>
          <w:spacing w:val="-5"/>
          <w:sz w:val="24"/>
        </w:rPr>
        <w:t> </w:t>
      </w:r>
      <w:r>
        <w:rPr>
          <w:sz w:val="24"/>
        </w:rPr>
        <w:t>6.6A.1(c).</w:t>
      </w:r>
    </w:p>
    <w:p>
      <w:pPr>
        <w:pStyle w:val="BodyText"/>
        <w:spacing w:before="10"/>
        <w:ind w:firstLine="0"/>
        <w:jc w:val="left"/>
        <w:rPr>
          <w:sz w:val="20"/>
        </w:rPr>
      </w:pPr>
    </w:p>
    <w:p>
      <w:pPr>
        <w:pStyle w:val="Heading2"/>
        <w:tabs>
          <w:tab w:pos="2485" w:val="left" w:leader="none"/>
        </w:tabs>
      </w:pPr>
      <w:bookmarkStart w:name="Schedule 6.2 Regulatory Asset Base" w:id="1682"/>
      <w:bookmarkEnd w:id="1682"/>
      <w:r>
        <w:rPr>
          <w:b w:val="0"/>
        </w:rPr>
      </w:r>
      <w:bookmarkStart w:name="_bookmark667" w:id="1683"/>
      <w:bookmarkEnd w:id="1683"/>
      <w:r>
        <w:rPr>
          <w:b w:val="0"/>
        </w:rPr>
      </w:r>
      <w:r>
        <w:rPr/>
        <w:t>Schedule</w:t>
      </w:r>
      <w:r>
        <w:rPr>
          <w:spacing w:val="-1"/>
        </w:rPr>
        <w:t> </w:t>
      </w:r>
      <w:r>
        <w:rPr/>
        <w:t>6.2</w:t>
        <w:tab/>
        <w:t>Regulatory Asset</w:t>
      </w:r>
      <w:r>
        <w:rPr>
          <w:spacing w:val="-2"/>
        </w:rPr>
        <w:t> </w:t>
      </w:r>
      <w:r>
        <w:rPr/>
        <w:t>Base</w:t>
      </w:r>
    </w:p>
    <w:p>
      <w:pPr>
        <w:pStyle w:val="Heading4"/>
        <w:tabs>
          <w:tab w:pos="1351" w:val="left" w:leader="none"/>
        </w:tabs>
        <w:spacing w:before="240"/>
        <w:ind w:left="1352" w:right="1057"/>
      </w:pPr>
      <w:bookmarkStart w:name="S6.2.1 Establishment of opening regulato" w:id="1684"/>
      <w:bookmarkEnd w:id="1684"/>
      <w:r>
        <w:rPr>
          <w:b w:val="0"/>
        </w:rPr>
      </w:r>
      <w:bookmarkStart w:name="_bookmark668" w:id="1685"/>
      <w:bookmarkEnd w:id="1685"/>
      <w:r>
        <w:rPr>
          <w:b w:val="0"/>
        </w:rPr>
      </w:r>
      <w:r>
        <w:rPr/>
        <w:t>S6.2.1</w:t>
        <w:tab/>
        <w:t>Establishment of opening regulatory asset base for a regulatory control</w:t>
      </w:r>
      <w:r>
        <w:rPr>
          <w:spacing w:val="-2"/>
        </w:rPr>
        <w:t> </w:t>
      </w:r>
      <w:r>
        <w:rPr/>
        <w:t>period</w:t>
      </w:r>
    </w:p>
    <w:p>
      <w:pPr>
        <w:pStyle w:val="ListParagraph"/>
        <w:numPr>
          <w:ilvl w:val="0"/>
          <w:numId w:val="464"/>
        </w:numPr>
        <w:tabs>
          <w:tab w:pos="1919" w:val="left" w:leader="none"/>
        </w:tabs>
        <w:spacing w:line="240" w:lineRule="auto" w:before="120" w:after="0"/>
        <w:ind w:left="1918" w:right="0" w:hanging="567"/>
        <w:jc w:val="both"/>
        <w:rPr>
          <w:b/>
          <w:sz w:val="24"/>
        </w:rPr>
      </w:pPr>
      <w:r>
        <w:rPr>
          <w:b/>
          <w:sz w:val="24"/>
        </w:rPr>
        <w:t>Application of this</w:t>
      </w:r>
      <w:r>
        <w:rPr>
          <w:b/>
          <w:spacing w:val="-1"/>
          <w:sz w:val="24"/>
        </w:rPr>
        <w:t> </w:t>
      </w:r>
      <w:r>
        <w:rPr>
          <w:b/>
          <w:sz w:val="24"/>
        </w:rPr>
        <w:t>clause</w:t>
      </w:r>
    </w:p>
    <w:p>
      <w:pPr>
        <w:pStyle w:val="BodyText"/>
        <w:ind w:left="1919" w:firstLine="0"/>
      </w:pPr>
      <w:r>
        <w:rPr/>
        <w:t>This clause S6.2.1</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applies to the establishment of the value of the regulatory asset base for a </w:t>
      </w:r>
      <w:r>
        <w:rPr>
          <w:i/>
          <w:sz w:val="24"/>
        </w:rPr>
        <w:t>distribution system </w:t>
      </w:r>
      <w:r>
        <w:rPr>
          <w:sz w:val="24"/>
        </w:rPr>
        <w:t>as at the beginning of a </w:t>
      </w:r>
      <w:r>
        <w:rPr>
          <w:i/>
          <w:sz w:val="24"/>
        </w:rPr>
        <w:t>regulatory control </w:t>
      </w:r>
      <w:r>
        <w:rPr>
          <w:i/>
          <w:sz w:val="24"/>
        </w:rPr>
        <w:t>period </w:t>
      </w:r>
      <w:r>
        <w:rPr>
          <w:sz w:val="24"/>
        </w:rPr>
        <w:t>on the roll forward of the regulatory asset base to that </w:t>
      </w:r>
      <w:r>
        <w:rPr>
          <w:i/>
          <w:sz w:val="24"/>
        </w:rPr>
        <w:t>regulatory control period </w:t>
      </w:r>
      <w:r>
        <w:rPr>
          <w:sz w:val="24"/>
        </w:rPr>
        <w:t>from the previous </w:t>
      </w:r>
      <w:r>
        <w:rPr>
          <w:i/>
          <w:sz w:val="24"/>
        </w:rPr>
        <w:t>regulatory control period</w:t>
      </w:r>
      <w:r>
        <w:rPr>
          <w:sz w:val="24"/>
        </w:rPr>
        <w:t>; and</w:t>
      </w:r>
    </w:p>
    <w:p>
      <w:pPr>
        <w:pStyle w:val="ListParagraph"/>
        <w:numPr>
          <w:ilvl w:val="1"/>
          <w:numId w:val="464"/>
        </w:numPr>
        <w:tabs>
          <w:tab w:pos="2486" w:val="left" w:leader="none"/>
        </w:tabs>
        <w:spacing w:line="240" w:lineRule="auto" w:before="120" w:after="0"/>
        <w:ind w:left="2486" w:right="414" w:hanging="567"/>
        <w:jc w:val="both"/>
        <w:rPr>
          <w:sz w:val="24"/>
        </w:rPr>
      </w:pPr>
      <w:r>
        <w:rPr>
          <w:sz w:val="24"/>
        </w:rPr>
        <w:t>also applies to the establishment of the value of the regulatory asset base for a </w:t>
      </w:r>
      <w:r>
        <w:rPr>
          <w:i/>
          <w:sz w:val="24"/>
        </w:rPr>
        <w:t>distribution system </w:t>
      </w:r>
      <w:r>
        <w:rPr>
          <w:sz w:val="24"/>
        </w:rPr>
        <w:t>as at the beginning of a </w:t>
      </w:r>
      <w:r>
        <w:rPr>
          <w:i/>
          <w:sz w:val="24"/>
        </w:rPr>
        <w:t>regulatory </w:t>
      </w:r>
      <w:r>
        <w:rPr>
          <w:i/>
          <w:sz w:val="24"/>
        </w:rPr>
        <w:t>control period </w:t>
      </w:r>
      <w:r>
        <w:rPr>
          <w:sz w:val="24"/>
        </w:rPr>
        <w:t>where the </w:t>
      </w:r>
      <w:r>
        <w:rPr>
          <w:i/>
          <w:sz w:val="24"/>
        </w:rPr>
        <w:t>distribution system </w:t>
      </w:r>
      <w:r>
        <w:rPr>
          <w:sz w:val="24"/>
        </w:rPr>
        <w:t>was not immediately before that time the subject of a </w:t>
      </w:r>
      <w:r>
        <w:rPr>
          <w:i/>
          <w:sz w:val="24"/>
        </w:rPr>
        <w:t>building block</w:t>
      </w:r>
      <w:r>
        <w:rPr>
          <w:i/>
          <w:spacing w:val="-5"/>
          <w:sz w:val="24"/>
        </w:rPr>
        <w:t> </w:t>
      </w:r>
      <w:r>
        <w:rPr>
          <w:i/>
          <w:sz w:val="24"/>
        </w:rPr>
        <w:t>determination</w:t>
      </w:r>
      <w:r>
        <w:rPr>
          <w:sz w:val="24"/>
        </w:rPr>
        <w:t>.</w:t>
      </w:r>
    </w:p>
    <w:p>
      <w:pPr>
        <w:spacing w:before="120"/>
        <w:ind w:left="1919" w:right="415" w:firstLine="0"/>
        <w:jc w:val="both"/>
        <w:rPr>
          <w:sz w:val="24"/>
        </w:rPr>
      </w:pPr>
      <w:r>
        <w:rPr>
          <w:sz w:val="24"/>
        </w:rPr>
        <w:t>However, this clause S6.2.1 does not apply to the establishment of the value of the regulatory asset base for a </w:t>
      </w:r>
      <w:r>
        <w:rPr>
          <w:i/>
          <w:sz w:val="24"/>
        </w:rPr>
        <w:t>distribution system </w:t>
      </w:r>
      <w:r>
        <w:rPr>
          <w:sz w:val="24"/>
        </w:rPr>
        <w:t>in this jurisdiction as at the beginning of the </w:t>
      </w:r>
      <w:r>
        <w:rPr>
          <w:i/>
          <w:sz w:val="24"/>
        </w:rPr>
        <w:t>1st regulatory control 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See clause S6.2.3A for the establishment of the value of the regulatory asset base for a </w:t>
      </w:r>
      <w:r>
        <w:rPr>
          <w:i/>
          <w:sz w:val="20"/>
        </w:rPr>
        <w:t>distribution system </w:t>
      </w:r>
      <w:r>
        <w:rPr>
          <w:sz w:val="20"/>
        </w:rPr>
        <w:t>in this jurisdiction as at the beginning of the </w:t>
      </w:r>
      <w:r>
        <w:rPr>
          <w:i/>
          <w:sz w:val="20"/>
        </w:rPr>
        <w:t>1st regulatory control </w:t>
      </w:r>
      <w:r>
        <w:rPr>
          <w:i/>
          <w:sz w:val="20"/>
        </w:rPr>
        <w:t>period</w:t>
      </w:r>
      <w:r>
        <w:rPr>
          <w:sz w:val="20"/>
        </w:rPr>
        <w:t>. Also see rule 6.0(b)(2) for the treatment of </w:t>
      </w:r>
      <w:r>
        <w:rPr>
          <w:i/>
          <w:sz w:val="20"/>
        </w:rPr>
        <w:t>distribution systems </w:t>
      </w:r>
      <w:r>
        <w:rPr>
          <w:sz w:val="20"/>
        </w:rPr>
        <w:t>in this jurisdiction for the purposes of this schedule.</w:t>
      </w:r>
    </w:p>
    <w:p>
      <w:pPr>
        <w:pStyle w:val="Heading4"/>
        <w:numPr>
          <w:ilvl w:val="0"/>
          <w:numId w:val="464"/>
        </w:numPr>
        <w:tabs>
          <w:tab w:pos="1919" w:val="left" w:leader="none"/>
        </w:tabs>
        <w:spacing w:line="240" w:lineRule="auto" w:before="120" w:after="0"/>
        <w:ind w:left="1918" w:right="0" w:hanging="567"/>
        <w:jc w:val="both"/>
        <w:rPr>
          <w:rFonts w:ascii="Times New Roman"/>
        </w:rPr>
      </w:pPr>
      <w:r>
        <w:rPr>
          <w:rFonts w:ascii="Times New Roman"/>
        </w:rPr>
        <w:t>Roll forward model to comply with this</w:t>
      </w:r>
      <w:r>
        <w:rPr>
          <w:rFonts w:ascii="Times New Roman"/>
          <w:spacing w:val="-2"/>
        </w:rPr>
        <w:t> </w:t>
      </w:r>
      <w:r>
        <w:rPr>
          <w:rFonts w:ascii="Times New Roman"/>
        </w:rPr>
        <w:t>clause</w:t>
      </w:r>
    </w:p>
    <w:p>
      <w:pPr>
        <w:pStyle w:val="BodyText"/>
        <w:ind w:left="1919" w:right="415" w:firstLine="0"/>
      </w:pPr>
      <w:r>
        <w:rPr/>
        <w:t>The values to be used for completing the </w:t>
      </w:r>
      <w:r>
        <w:rPr>
          <w:i/>
        </w:rPr>
        <w:t>roll forward model </w:t>
      </w:r>
      <w:r>
        <w:rPr/>
        <w:t>must be established in accordance with this clause and clauses S6.2.3 and S6.2.3A.</w:t>
      </w:r>
    </w:p>
    <w:p>
      <w:pPr>
        <w:pStyle w:val="Heading4"/>
        <w:numPr>
          <w:ilvl w:val="0"/>
          <w:numId w:val="464"/>
        </w:numPr>
        <w:tabs>
          <w:tab w:pos="1919" w:val="left" w:leader="none"/>
        </w:tabs>
        <w:spacing w:line="240" w:lineRule="auto" w:before="120" w:after="0"/>
        <w:ind w:left="1918" w:right="0" w:hanging="567"/>
        <w:jc w:val="both"/>
        <w:rPr>
          <w:rFonts w:ascii="Times New Roman"/>
        </w:rPr>
      </w:pPr>
      <w:r>
        <w:rPr>
          <w:rFonts w:ascii="Times New Roman"/>
        </w:rPr>
        <w:t>Distribution systems of specific</w:t>
      </w:r>
      <w:r>
        <w:rPr>
          <w:rFonts w:ascii="Times New Roman"/>
          <w:spacing w:val="-4"/>
        </w:rPr>
        <w:t> </w:t>
      </w:r>
      <w:r>
        <w:rPr>
          <w:rFonts w:ascii="Times New Roman"/>
        </w:rPr>
        <w:t>providers</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In the case of a </w:t>
      </w:r>
      <w:r>
        <w:rPr>
          <w:i/>
          <w:sz w:val="24"/>
        </w:rPr>
        <w:t>distribution system </w:t>
      </w:r>
      <w:r>
        <w:rPr>
          <w:sz w:val="24"/>
        </w:rPr>
        <w:t>owned, controlled or operated by one of the following </w:t>
      </w:r>
      <w:r>
        <w:rPr>
          <w:i/>
          <w:sz w:val="24"/>
        </w:rPr>
        <w:t>Distribution Network Service Providers </w:t>
      </w:r>
      <w:r>
        <w:rPr>
          <w:sz w:val="24"/>
        </w:rPr>
        <w:t>as at the commencement of this schedule, the value of the regulatory asset base for that </w:t>
      </w:r>
      <w:r>
        <w:rPr>
          <w:i/>
          <w:sz w:val="24"/>
        </w:rPr>
        <w:t>distribution system </w:t>
      </w:r>
      <w:r>
        <w:rPr>
          <w:sz w:val="24"/>
        </w:rPr>
        <w:t>as at the beginning of that first </w:t>
      </w:r>
      <w:r>
        <w:rPr>
          <w:i/>
          <w:sz w:val="24"/>
        </w:rPr>
        <w:t>regulatory </w:t>
      </w:r>
      <w:r>
        <w:rPr>
          <w:i/>
          <w:sz w:val="24"/>
        </w:rPr>
        <w:t>year </w:t>
      </w:r>
      <w:r>
        <w:rPr>
          <w:sz w:val="24"/>
        </w:rPr>
        <w:t>must be determined by rolling forward the regulatory asset base for that </w:t>
      </w:r>
      <w:r>
        <w:rPr>
          <w:i/>
          <w:sz w:val="24"/>
        </w:rPr>
        <w:t>distribution system</w:t>
      </w:r>
      <w:r>
        <w:rPr>
          <w:sz w:val="24"/>
        </w:rPr>
        <w:t>, as set out in the table below, in accordance with this</w:t>
      </w:r>
      <w:r>
        <w:rPr>
          <w:spacing w:val="-2"/>
          <w:sz w:val="24"/>
        </w:rPr>
        <w:t> </w:t>
      </w:r>
      <w:r>
        <w:rPr>
          <w:sz w:val="24"/>
        </w:rPr>
        <w:t>schedule:</w:t>
      </w:r>
    </w:p>
    <w:p>
      <w:pPr>
        <w:pStyle w:val="BodyText"/>
        <w:spacing w:before="10"/>
        <w:ind w:firstLine="0"/>
        <w:jc w:val="left"/>
        <w:rPr>
          <w:sz w:val="2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3628"/>
        <w:gridCol w:w="3628"/>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Jurisdiction</w:t>
            </w:r>
          </w:p>
        </w:tc>
        <w:tc>
          <w:tcPr>
            <w:tcW w:w="3628" w:type="dxa"/>
            <w:tcBorders>
              <w:left w:val="single" w:sz="4" w:space="0" w:color="000000"/>
              <w:bottom w:val="single" w:sz="4" w:space="0" w:color="000000"/>
              <w:right w:val="single" w:sz="4" w:space="0" w:color="000000"/>
            </w:tcBorders>
            <w:shd w:val="clear" w:color="auto" w:fill="D9D9D9"/>
          </w:tcPr>
          <w:p>
            <w:pPr>
              <w:pStyle w:val="TableParagraph"/>
              <w:spacing w:line="276" w:lineRule="exact" w:before="124"/>
              <w:rPr>
                <w:rFonts w:ascii="Arial"/>
                <w:b/>
                <w:i/>
                <w:sz w:val="25"/>
              </w:rPr>
            </w:pPr>
            <w:r>
              <w:rPr>
                <w:rFonts w:ascii="Arial"/>
                <w:b/>
                <w:i/>
                <w:w w:val="95"/>
                <w:sz w:val="25"/>
              </w:rPr>
              <w:t>Distribution Network Service </w:t>
            </w:r>
            <w:r>
              <w:rPr>
                <w:rFonts w:ascii="Arial"/>
                <w:b/>
                <w:i/>
                <w:sz w:val="25"/>
              </w:rPr>
              <w:t>Provider</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Regulatory Asset Base ($m)</w:t>
            </w:r>
          </w:p>
        </w:tc>
      </w:tr>
      <w:tr>
        <w:trPr>
          <w:trHeight w:val="787" w:hRule="atLeast"/>
        </w:trPr>
        <w:tc>
          <w:tcPr>
            <w:tcW w:w="1815" w:type="dxa"/>
            <w:tcBorders>
              <w:top w:val="single" w:sz="4" w:space="0" w:color="000000"/>
              <w:bottom w:val="single" w:sz="4" w:space="0" w:color="000000"/>
              <w:right w:val="single" w:sz="4" w:space="0" w:color="000000"/>
            </w:tcBorders>
          </w:tcPr>
          <w:p>
            <w:pPr>
              <w:pStyle w:val="TableParagraph"/>
              <w:spacing w:before="116"/>
              <w:ind w:left="40" w:right="120"/>
              <w:rPr>
                <w:sz w:val="24"/>
              </w:rPr>
            </w:pPr>
            <w:r>
              <w:rPr>
                <w:sz w:val="24"/>
              </w:rPr>
              <w:t>Australian Capital Territory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6"/>
              <w:rPr>
                <w:sz w:val="24"/>
              </w:rPr>
            </w:pPr>
            <w:r>
              <w:rPr>
                <w:sz w:val="24"/>
              </w:rPr>
              <w:t>ActewAGL</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6"/>
              <w:ind w:left="44" w:right="434"/>
              <w:rPr>
                <w:sz w:val="24"/>
              </w:rPr>
            </w:pPr>
            <w:r>
              <w:rPr>
                <w:sz w:val="24"/>
              </w:rPr>
              <w:t>510.54 (as at 1 July 2004 in July 2004 dollars)</w:t>
            </w:r>
          </w:p>
        </w:tc>
      </w:tr>
      <w:tr>
        <w:trPr>
          <w:trHeight w:val="515" w:hRule="atLeast"/>
        </w:trPr>
        <w:tc>
          <w:tcPr>
            <w:tcW w:w="1815" w:type="dxa"/>
            <w:tcBorders>
              <w:top w:val="single" w:sz="4" w:space="0" w:color="000000"/>
              <w:bottom w:val="single" w:sz="4" w:space="0" w:color="000000"/>
              <w:right w:val="single" w:sz="4" w:space="0" w:color="000000"/>
            </w:tcBorders>
          </w:tcPr>
          <w:p>
            <w:pPr>
              <w:pStyle w:val="TableParagraph"/>
              <w:ind w:left="40"/>
              <w:rPr>
                <w:sz w:val="24"/>
              </w:rPr>
            </w:pPr>
            <w:r>
              <w:rPr>
                <w:sz w:val="24"/>
              </w:rPr>
              <w:t>New South Wales</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Country Energy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2,440 (as at 1 July 2004 in July 2004</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3628"/>
        <w:gridCol w:w="3628"/>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Jurisdiction</w:t>
            </w:r>
          </w:p>
        </w:tc>
        <w:tc>
          <w:tcPr>
            <w:tcW w:w="3628" w:type="dxa"/>
            <w:tcBorders>
              <w:left w:val="single" w:sz="4" w:space="0" w:color="000000"/>
              <w:bottom w:val="single" w:sz="4" w:space="0" w:color="000000"/>
              <w:right w:val="single" w:sz="4" w:space="0" w:color="000000"/>
            </w:tcBorders>
            <w:shd w:val="clear" w:color="auto" w:fill="D9D9D9"/>
          </w:tcPr>
          <w:p>
            <w:pPr>
              <w:pStyle w:val="TableParagraph"/>
              <w:spacing w:line="276" w:lineRule="exact" w:before="124"/>
              <w:rPr>
                <w:rFonts w:ascii="Arial"/>
                <w:b/>
                <w:i/>
                <w:sz w:val="25"/>
              </w:rPr>
            </w:pPr>
            <w:r>
              <w:rPr>
                <w:rFonts w:ascii="Arial"/>
                <w:b/>
                <w:i/>
                <w:w w:val="95"/>
                <w:sz w:val="25"/>
              </w:rPr>
              <w:t>Distribution Network Service </w:t>
            </w:r>
            <w:r>
              <w:rPr>
                <w:rFonts w:ascii="Arial"/>
                <w:b/>
                <w:i/>
                <w:sz w:val="25"/>
              </w:rPr>
              <w:t>Provider</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Regulatory Asset Base ($m)</w:t>
            </w:r>
          </w:p>
        </w:tc>
      </w:tr>
      <w:tr>
        <w:trPr>
          <w:trHeight w:val="3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0"/>
              <w:ind w:left="44"/>
              <w:rPr>
                <w:sz w:val="24"/>
              </w:rPr>
            </w:pPr>
            <w:r>
              <w:rPr>
                <w:sz w:val="24"/>
              </w:rPr>
              <w:t>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EnergyAustralia</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4,116 (as at 1 July 2004 in July 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Integral Energy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2,283 (as at 1 July 2004 in July 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ind w:left="40"/>
              <w:rPr>
                <w:sz w:val="24"/>
              </w:rPr>
            </w:pPr>
            <w:r>
              <w:rPr>
                <w:sz w:val="24"/>
              </w:rPr>
              <w:t>Queensland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ENERGEX</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4,308.1 (as at 1 July 2005 in July</w:t>
            </w:r>
          </w:p>
          <w:p>
            <w:pPr>
              <w:pStyle w:val="TableParagraph"/>
              <w:spacing w:before="0"/>
              <w:ind w:left="44"/>
              <w:rPr>
                <w:sz w:val="24"/>
              </w:rPr>
            </w:pPr>
            <w:r>
              <w:rPr>
                <w:sz w:val="24"/>
              </w:rPr>
              <w:t>2005 dollars)</w:t>
            </w:r>
          </w:p>
        </w:tc>
      </w:tr>
      <w:tr>
        <w:trPr>
          <w:trHeight w:val="1895"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Ergon Energy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68"/>
              <w:rPr>
                <w:sz w:val="24"/>
              </w:rPr>
            </w:pPr>
            <w:r>
              <w:rPr>
                <w:sz w:val="24"/>
              </w:rPr>
              <w:t>4,198.2 (as at 1 July 2005 in July 2005 dollars) but, if the Queensland Competition Authority nominates a different amount in writing to the </w:t>
            </w:r>
            <w:r>
              <w:rPr>
                <w:i/>
                <w:sz w:val="24"/>
              </w:rPr>
              <w:t>AER</w:t>
            </w:r>
            <w:r>
              <w:rPr>
                <w:sz w:val="24"/>
              </w:rPr>
              <w:t>, the regulatory asset base is the amount so nominated.</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ind w:left="40"/>
              <w:rPr>
                <w:sz w:val="24"/>
              </w:rPr>
            </w:pPr>
            <w:r>
              <w:rPr>
                <w:sz w:val="24"/>
              </w:rPr>
              <w:t>South Australia</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ETSA Utilities</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2,466 (as at 1 July 2005 in</w:t>
            </w:r>
          </w:p>
          <w:p>
            <w:pPr>
              <w:pStyle w:val="TableParagraph"/>
              <w:spacing w:before="0"/>
              <w:ind w:left="44"/>
              <w:rPr>
                <w:sz w:val="24"/>
              </w:rPr>
            </w:pPr>
            <w:r>
              <w:rPr>
                <w:sz w:val="24"/>
              </w:rPr>
              <w:t>December 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ind w:left="40"/>
              <w:rPr>
                <w:sz w:val="24"/>
              </w:rPr>
            </w:pPr>
            <w:r>
              <w:rPr>
                <w:sz w:val="24"/>
              </w:rPr>
              <w:t>Tasmania</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Aurora Energy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27"/>
              <w:rPr>
                <w:sz w:val="24"/>
              </w:rPr>
            </w:pPr>
            <w:r>
              <w:rPr>
                <w:sz w:val="24"/>
              </w:rPr>
              <w:t>981.108 (as at 1 January 2008 in July 2006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ind w:left="40"/>
              <w:rPr>
                <w:sz w:val="24"/>
              </w:rPr>
            </w:pPr>
            <w:r>
              <w:rPr>
                <w:sz w:val="24"/>
              </w:rPr>
              <w:t>Victoria</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AGL Electricity</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07"/>
              <w:rPr>
                <w:sz w:val="24"/>
              </w:rPr>
            </w:pPr>
            <w:r>
              <w:rPr>
                <w:sz w:val="24"/>
              </w:rPr>
              <w:t>578.4 (as at 1 January 2006 in July 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Citipower</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07"/>
              <w:rPr>
                <w:sz w:val="24"/>
              </w:rPr>
            </w:pPr>
            <w:r>
              <w:rPr>
                <w:sz w:val="24"/>
              </w:rPr>
              <w:t>990.9 (as at 1 January 2006 in July 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Powercor</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1,626.5 (as at 1 January 2006 in July</w:t>
            </w:r>
          </w:p>
          <w:p>
            <w:pPr>
              <w:pStyle w:val="TableParagraph"/>
              <w:spacing w:before="0"/>
              <w:ind w:left="44"/>
              <w:rPr>
                <w:sz w:val="24"/>
              </w:rPr>
            </w:pPr>
            <w:r>
              <w:rPr>
                <w:sz w:val="24"/>
              </w:rPr>
              <w:t>2004 dollars)</w:t>
            </w:r>
          </w:p>
        </w:tc>
      </w:tr>
      <w:tr>
        <w:trPr>
          <w:trHeight w:val="791"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SP AusNet</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1,307.2 (as at 1 January 2006 in July</w:t>
            </w:r>
          </w:p>
          <w:p>
            <w:pPr>
              <w:pStyle w:val="TableParagraph"/>
              <w:spacing w:before="0"/>
              <w:ind w:left="44"/>
              <w:rPr>
                <w:sz w:val="24"/>
              </w:rPr>
            </w:pPr>
            <w:r>
              <w:rPr>
                <w:sz w:val="24"/>
              </w:rPr>
              <w:t>2004 dollars)</w:t>
            </w:r>
          </w:p>
        </w:tc>
      </w:tr>
      <w:tr>
        <w:trPr>
          <w:trHeight w:val="791" w:hRule="atLeast"/>
        </w:trPr>
        <w:tc>
          <w:tcPr>
            <w:tcW w:w="1815" w:type="dxa"/>
            <w:tcBorders>
              <w:top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right w:val="single" w:sz="4" w:space="0" w:color="000000"/>
            </w:tcBorders>
          </w:tcPr>
          <w:p>
            <w:pPr>
              <w:pStyle w:val="TableParagraph"/>
              <w:rPr>
                <w:sz w:val="24"/>
              </w:rPr>
            </w:pPr>
            <w:r>
              <w:rPr>
                <w:sz w:val="24"/>
              </w:rPr>
              <w:t>United Energy</w:t>
            </w:r>
          </w:p>
        </w:tc>
        <w:tc>
          <w:tcPr>
            <w:tcW w:w="3628" w:type="dxa"/>
            <w:tcBorders>
              <w:top w:val="single" w:sz="4" w:space="0" w:color="000000"/>
              <w:left w:val="single" w:sz="4" w:space="0" w:color="000000"/>
              <w:right w:val="single" w:sz="4" w:space="0" w:color="000000"/>
            </w:tcBorders>
          </w:tcPr>
          <w:p>
            <w:pPr>
              <w:pStyle w:val="TableParagraph"/>
              <w:ind w:left="44"/>
              <w:rPr>
                <w:sz w:val="24"/>
              </w:rPr>
            </w:pPr>
            <w:r>
              <w:rPr>
                <w:sz w:val="24"/>
              </w:rPr>
              <w:t>1,220.3 (as at 1 January 2006 in July</w:t>
            </w:r>
          </w:p>
          <w:p>
            <w:pPr>
              <w:pStyle w:val="TableParagraph"/>
              <w:spacing w:before="0"/>
              <w:ind w:left="44"/>
              <w:rPr>
                <w:sz w:val="24"/>
              </w:rPr>
            </w:pPr>
            <w:r>
              <w:rPr>
                <w:sz w:val="24"/>
              </w:rPr>
              <w:t>2004 dollars)</w:t>
            </w:r>
          </w:p>
        </w:tc>
      </w:tr>
    </w:tbl>
    <w:p>
      <w:pPr>
        <w:pStyle w:val="BodyText"/>
        <w:spacing w:before="8"/>
        <w:ind w:firstLine="0"/>
        <w:jc w:val="left"/>
        <w:rPr>
          <w:sz w:val="26"/>
        </w:rPr>
      </w:pPr>
    </w:p>
    <w:p>
      <w:pPr>
        <w:pStyle w:val="ListParagraph"/>
        <w:numPr>
          <w:ilvl w:val="1"/>
          <w:numId w:val="464"/>
        </w:numPr>
        <w:tabs>
          <w:tab w:pos="2485" w:val="left" w:leader="none"/>
          <w:tab w:pos="2486" w:val="left" w:leader="none"/>
        </w:tabs>
        <w:spacing w:line="240" w:lineRule="auto" w:before="90" w:after="0"/>
        <w:ind w:left="2486" w:right="415" w:hanging="567"/>
        <w:jc w:val="left"/>
        <w:rPr>
          <w:sz w:val="24"/>
        </w:rPr>
      </w:pPr>
      <w:r>
        <w:rPr>
          <w:sz w:val="24"/>
        </w:rPr>
        <w:t>The values in the table above are to be adjusted for the difference between:</w:t>
      </w:r>
    </w:p>
    <w:p>
      <w:pPr>
        <w:pStyle w:val="ListParagraph"/>
        <w:numPr>
          <w:ilvl w:val="2"/>
          <w:numId w:val="464"/>
        </w:numPr>
        <w:tabs>
          <w:tab w:pos="3052" w:val="left" w:leader="none"/>
          <w:tab w:pos="3053" w:val="left" w:leader="none"/>
        </w:tabs>
        <w:spacing w:line="240" w:lineRule="auto" w:before="120" w:after="0"/>
        <w:ind w:left="3053" w:right="415" w:hanging="567"/>
        <w:jc w:val="left"/>
        <w:rPr>
          <w:sz w:val="24"/>
        </w:rPr>
      </w:pPr>
      <w:r>
        <w:rPr>
          <w:sz w:val="24"/>
        </w:rPr>
        <w:t>any estimated capital expenditure that is included in those values for any part of a previous </w:t>
      </w:r>
      <w:r>
        <w:rPr>
          <w:i/>
          <w:sz w:val="24"/>
        </w:rPr>
        <w:t>regulatory control period</w:t>
      </w:r>
      <w:r>
        <w:rPr>
          <w:sz w:val="24"/>
        </w:rPr>
        <w:t>;</w:t>
      </w:r>
      <w:r>
        <w:rPr>
          <w:spacing w:val="-7"/>
          <w:sz w:val="24"/>
        </w:rPr>
        <w:t> </w:t>
      </w:r>
      <w:r>
        <w:rPr>
          <w:sz w:val="24"/>
        </w:rPr>
        <w:t>and</w:t>
      </w:r>
    </w:p>
    <w:p>
      <w:pPr>
        <w:pStyle w:val="ListParagraph"/>
        <w:numPr>
          <w:ilvl w:val="2"/>
          <w:numId w:val="464"/>
        </w:numPr>
        <w:tabs>
          <w:tab w:pos="3052" w:val="left" w:leader="none"/>
          <w:tab w:pos="3054" w:val="left" w:leader="none"/>
        </w:tabs>
        <w:spacing w:line="240" w:lineRule="auto" w:before="120" w:after="0"/>
        <w:ind w:left="3053" w:right="0" w:hanging="568"/>
        <w:jc w:val="left"/>
        <w:rPr>
          <w:sz w:val="24"/>
        </w:rPr>
      </w:pPr>
      <w:r>
        <w:rPr>
          <w:sz w:val="24"/>
        </w:rPr>
        <w:t>the</w:t>
      </w:r>
      <w:r>
        <w:rPr>
          <w:spacing w:val="19"/>
          <w:sz w:val="24"/>
        </w:rPr>
        <w:t> </w:t>
      </w:r>
      <w:r>
        <w:rPr>
          <w:sz w:val="24"/>
        </w:rPr>
        <w:t>actual</w:t>
      </w:r>
      <w:r>
        <w:rPr>
          <w:spacing w:val="19"/>
          <w:sz w:val="24"/>
        </w:rPr>
        <w:t> </w:t>
      </w:r>
      <w:r>
        <w:rPr>
          <w:sz w:val="24"/>
        </w:rPr>
        <w:t>capital</w:t>
      </w:r>
      <w:r>
        <w:rPr>
          <w:spacing w:val="20"/>
          <w:sz w:val="24"/>
        </w:rPr>
        <w:t> </w:t>
      </w:r>
      <w:r>
        <w:rPr>
          <w:sz w:val="24"/>
        </w:rPr>
        <w:t>expenditure</w:t>
      </w:r>
      <w:r>
        <w:rPr>
          <w:spacing w:val="19"/>
          <w:sz w:val="24"/>
        </w:rPr>
        <w:t> </w:t>
      </w:r>
      <w:r>
        <w:rPr>
          <w:sz w:val="24"/>
        </w:rPr>
        <w:t>for</w:t>
      </w:r>
      <w:r>
        <w:rPr>
          <w:spacing w:val="20"/>
          <w:sz w:val="24"/>
        </w:rPr>
        <w:t> </w:t>
      </w:r>
      <w:r>
        <w:rPr>
          <w:sz w:val="24"/>
        </w:rPr>
        <w:t>that</w:t>
      </w:r>
      <w:r>
        <w:rPr>
          <w:spacing w:val="19"/>
          <w:sz w:val="24"/>
        </w:rPr>
        <w:t> </w:t>
      </w:r>
      <w:r>
        <w:rPr>
          <w:sz w:val="24"/>
        </w:rPr>
        <w:t>part</w:t>
      </w:r>
      <w:r>
        <w:rPr>
          <w:spacing w:val="19"/>
          <w:sz w:val="24"/>
        </w:rPr>
        <w:t> </w:t>
      </w:r>
      <w:r>
        <w:rPr>
          <w:sz w:val="24"/>
        </w:rPr>
        <w:t>of</w:t>
      </w:r>
      <w:r>
        <w:rPr>
          <w:spacing w:val="20"/>
          <w:sz w:val="24"/>
        </w:rPr>
        <w:t> </w:t>
      </w:r>
      <w:r>
        <w:rPr>
          <w:sz w:val="24"/>
        </w:rPr>
        <w:t>the</w:t>
      </w:r>
      <w:r>
        <w:rPr>
          <w:spacing w:val="19"/>
          <w:sz w:val="24"/>
        </w:rPr>
        <w:t> </w:t>
      </w:r>
      <w:r>
        <w:rPr>
          <w:sz w:val="24"/>
        </w:rPr>
        <w:t>previous</w:t>
      </w:r>
    </w:p>
    <w:p>
      <w:pPr>
        <w:spacing w:before="0"/>
        <w:ind w:left="3053" w:right="0" w:firstLine="0"/>
        <w:jc w:val="left"/>
        <w:rPr>
          <w:sz w:val="24"/>
        </w:rPr>
      </w:pPr>
      <w:r>
        <w:rPr>
          <w:i/>
          <w:sz w:val="24"/>
        </w:rPr>
        <w:t>regulatory control period</w:t>
      </w:r>
      <w:r>
        <w:rPr>
          <w:sz w:val="24"/>
        </w:rPr>
        <w:t>.</w:t>
      </w:r>
    </w:p>
    <w:p>
      <w:pPr>
        <w:spacing w:after="0"/>
        <w:jc w:val="left"/>
        <w:rPr>
          <w:sz w:val="24"/>
        </w:rPr>
        <w:sectPr>
          <w:pgSz w:w="11910" w:h="16840"/>
          <w:pgMar w:header="686" w:footer="637" w:top="1320" w:bottom="820" w:left="1200" w:right="1000"/>
        </w:sectPr>
      </w:pPr>
    </w:p>
    <w:p>
      <w:pPr>
        <w:pStyle w:val="BodyText"/>
        <w:spacing w:before="83"/>
        <w:ind w:left="2486" w:right="414" w:firstLine="0"/>
      </w:pPr>
      <w:r>
        <w:rPr/>
        <w:t>This adjustment must also remove any benefit or penalty associated with any difference between the estimated and actual capital expenditure.</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When rolling forward a regulatory asset base under subparagraph (1), the </w:t>
      </w:r>
      <w:r>
        <w:rPr>
          <w:i/>
          <w:sz w:val="24"/>
        </w:rPr>
        <w:t>AER </w:t>
      </w:r>
      <w:r>
        <w:rPr>
          <w:sz w:val="24"/>
        </w:rPr>
        <w:t>must take into account the derivation of the values in the above table from past regulatory decisions and the consequent fact that they relate only to the regulatory asset base identified in those decisions.</w:t>
      </w:r>
    </w:p>
    <w:p>
      <w:pPr>
        <w:pStyle w:val="Heading4"/>
        <w:numPr>
          <w:ilvl w:val="0"/>
          <w:numId w:val="464"/>
        </w:numPr>
        <w:tabs>
          <w:tab w:pos="1919" w:val="left" w:leader="none"/>
        </w:tabs>
        <w:spacing w:line="240" w:lineRule="auto" w:before="120" w:after="0"/>
        <w:ind w:left="1918" w:right="0" w:hanging="567"/>
        <w:jc w:val="both"/>
        <w:rPr>
          <w:rFonts w:ascii="Times New Roman"/>
        </w:rPr>
      </w:pPr>
      <w:r>
        <w:rPr>
          <w:rFonts w:ascii="Times New Roman"/>
        </w:rPr>
        <w:t>Other distribution</w:t>
      </w:r>
      <w:r>
        <w:rPr>
          <w:rFonts w:ascii="Times New Roman"/>
          <w:spacing w:val="-2"/>
        </w:rPr>
        <w:t> </w:t>
      </w:r>
      <w:r>
        <w:rPr>
          <w:rFonts w:ascii="Times New Roman"/>
        </w:rPr>
        <w:t>systems</w:t>
      </w:r>
    </w:p>
    <w:p>
      <w:pPr>
        <w:pStyle w:val="ListParagraph"/>
        <w:numPr>
          <w:ilvl w:val="1"/>
          <w:numId w:val="464"/>
        </w:numPr>
        <w:tabs>
          <w:tab w:pos="2486" w:val="left" w:leader="none"/>
        </w:tabs>
        <w:spacing w:line="240" w:lineRule="auto" w:before="120" w:after="0"/>
        <w:ind w:left="2486" w:right="414" w:hanging="567"/>
        <w:jc w:val="both"/>
        <w:rPr>
          <w:sz w:val="24"/>
        </w:rPr>
      </w:pPr>
      <w:r>
        <w:rPr>
          <w:sz w:val="24"/>
        </w:rPr>
        <w:t>This paragraph (d) applies to a </w:t>
      </w:r>
      <w:r>
        <w:rPr>
          <w:i/>
          <w:sz w:val="24"/>
        </w:rPr>
        <w:t>distribution system </w:t>
      </w:r>
      <w:r>
        <w:rPr>
          <w:sz w:val="24"/>
        </w:rPr>
        <w:t>not referred to in paragraphs (c) when </w:t>
      </w:r>
      <w:r>
        <w:rPr>
          <w:i/>
          <w:sz w:val="24"/>
        </w:rPr>
        <w:t>standard control services </w:t>
      </w:r>
      <w:r>
        <w:rPr>
          <w:sz w:val="24"/>
        </w:rPr>
        <w:t>that are provided by means of, or in connection with, that system are to be regulated under a </w:t>
      </w:r>
      <w:r>
        <w:rPr>
          <w:i/>
          <w:sz w:val="24"/>
        </w:rPr>
        <w:t>building block</w:t>
      </w:r>
      <w:r>
        <w:rPr>
          <w:i/>
          <w:spacing w:val="-1"/>
          <w:sz w:val="24"/>
        </w:rPr>
        <w:t> </w:t>
      </w:r>
      <w:r>
        <w:rPr>
          <w:i/>
          <w:sz w:val="24"/>
        </w:rPr>
        <w:t>determination</w:t>
      </w:r>
      <w:r>
        <w:rPr>
          <w:sz w:val="24"/>
        </w:rPr>
        <w:t>.</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The value of the regulatory asset base for that </w:t>
      </w:r>
      <w:r>
        <w:rPr>
          <w:i/>
          <w:sz w:val="24"/>
        </w:rPr>
        <w:t>distribution system </w:t>
      </w:r>
      <w:r>
        <w:rPr>
          <w:sz w:val="24"/>
        </w:rPr>
        <w:t>as at the beginning of the first </w:t>
      </w:r>
      <w:r>
        <w:rPr>
          <w:i/>
          <w:sz w:val="24"/>
        </w:rPr>
        <w:t>regulatory year </w:t>
      </w:r>
      <w:r>
        <w:rPr>
          <w:sz w:val="24"/>
        </w:rPr>
        <w:t>of the first </w:t>
      </w:r>
      <w:r>
        <w:rPr>
          <w:i/>
          <w:sz w:val="24"/>
        </w:rPr>
        <w:t>regulatory </w:t>
      </w:r>
      <w:r>
        <w:rPr>
          <w:i/>
          <w:sz w:val="24"/>
        </w:rPr>
        <w:t>control period </w:t>
      </w:r>
      <w:r>
        <w:rPr>
          <w:sz w:val="24"/>
        </w:rPr>
        <w:t>for the relevant </w:t>
      </w:r>
      <w:r>
        <w:rPr>
          <w:i/>
          <w:sz w:val="24"/>
        </w:rPr>
        <w:t>Distribution Network Service Provider </w:t>
      </w:r>
      <w:r>
        <w:rPr>
          <w:sz w:val="24"/>
        </w:rPr>
        <w:t>is the prudent and efficient value of the assets that are used by the provider to provide those </w:t>
      </w:r>
      <w:r>
        <w:rPr>
          <w:i/>
          <w:sz w:val="24"/>
        </w:rPr>
        <w:t>standard control services </w:t>
      </w:r>
      <w:r>
        <w:rPr>
          <w:sz w:val="24"/>
        </w:rPr>
        <w:t>(but only to the extent that they are used to provide such services), as determined by the </w:t>
      </w:r>
      <w:r>
        <w:rPr>
          <w:i/>
          <w:sz w:val="24"/>
        </w:rPr>
        <w:t>AER</w:t>
      </w:r>
      <w:r>
        <w:rPr>
          <w:sz w:val="24"/>
        </w:rPr>
        <w:t>. In determining this value, the </w:t>
      </w:r>
      <w:r>
        <w:rPr>
          <w:i/>
          <w:sz w:val="24"/>
        </w:rPr>
        <w:t>AER </w:t>
      </w:r>
      <w:r>
        <w:rPr>
          <w:sz w:val="24"/>
        </w:rPr>
        <w:t>must have regard to the matters referred to in clause</w:t>
      </w:r>
      <w:r>
        <w:rPr>
          <w:spacing w:val="-1"/>
          <w:sz w:val="24"/>
        </w:rPr>
        <w:t> </w:t>
      </w:r>
      <w:r>
        <w:rPr>
          <w:sz w:val="24"/>
        </w:rPr>
        <w:t>S6.2.2.</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The value of the regulatory asset base for that </w:t>
      </w:r>
      <w:r>
        <w:rPr>
          <w:i/>
          <w:sz w:val="24"/>
        </w:rPr>
        <w:t>distribution system </w:t>
      </w:r>
      <w:r>
        <w:rPr>
          <w:sz w:val="24"/>
        </w:rPr>
        <w:t>as at the beginning of the first </w:t>
      </w:r>
      <w:r>
        <w:rPr>
          <w:i/>
          <w:sz w:val="24"/>
        </w:rPr>
        <w:t>regulatory year </w:t>
      </w:r>
      <w:r>
        <w:rPr>
          <w:sz w:val="24"/>
        </w:rPr>
        <w:t>of any subsequent </w:t>
      </w:r>
      <w:r>
        <w:rPr>
          <w:i/>
          <w:sz w:val="24"/>
        </w:rPr>
        <w:t>regulatory </w:t>
      </w:r>
      <w:r>
        <w:rPr>
          <w:i/>
          <w:sz w:val="24"/>
        </w:rPr>
        <w:t>control period </w:t>
      </w:r>
      <w:r>
        <w:rPr>
          <w:sz w:val="24"/>
        </w:rPr>
        <w:t>must be determined by rolling forward the value of the regulatory asset base for that </w:t>
      </w:r>
      <w:r>
        <w:rPr>
          <w:i/>
          <w:sz w:val="24"/>
        </w:rPr>
        <w:t>distribution system </w:t>
      </w:r>
      <w:r>
        <w:rPr>
          <w:sz w:val="24"/>
        </w:rPr>
        <w:t>as at the beginning of the first </w:t>
      </w:r>
      <w:r>
        <w:rPr>
          <w:i/>
          <w:sz w:val="24"/>
        </w:rPr>
        <w:t>regulatory year </w:t>
      </w:r>
      <w:r>
        <w:rPr>
          <w:sz w:val="24"/>
        </w:rPr>
        <w:t>of the first </w:t>
      </w:r>
      <w:r>
        <w:rPr>
          <w:i/>
          <w:sz w:val="24"/>
        </w:rPr>
        <w:t>regulatory control period </w:t>
      </w:r>
      <w:r>
        <w:rPr>
          <w:sz w:val="24"/>
        </w:rPr>
        <w:t>in accordance with this</w:t>
      </w:r>
      <w:r>
        <w:rPr>
          <w:spacing w:val="-2"/>
          <w:sz w:val="24"/>
        </w:rPr>
        <w:t> </w:t>
      </w:r>
      <w:r>
        <w:rPr>
          <w:sz w:val="24"/>
        </w:rPr>
        <w:t>schedule.</w:t>
      </w:r>
    </w:p>
    <w:p>
      <w:pPr>
        <w:pStyle w:val="Heading4"/>
        <w:numPr>
          <w:ilvl w:val="0"/>
          <w:numId w:val="464"/>
        </w:numPr>
        <w:tabs>
          <w:tab w:pos="1919" w:val="left" w:leader="none"/>
        </w:tabs>
        <w:spacing w:line="240" w:lineRule="auto" w:before="120" w:after="0"/>
        <w:ind w:left="1918" w:right="0" w:hanging="567"/>
        <w:jc w:val="both"/>
        <w:rPr>
          <w:rFonts w:ascii="Times New Roman"/>
        </w:rPr>
      </w:pPr>
      <w:r>
        <w:rPr>
          <w:rFonts w:ascii="Times New Roman"/>
        </w:rPr>
        <w:t>Method of adjustment of value of regulatory asset</w:t>
      </w:r>
      <w:r>
        <w:rPr>
          <w:rFonts w:ascii="Times New Roman"/>
          <w:spacing w:val="-2"/>
        </w:rPr>
        <w:t> </w:t>
      </w:r>
      <w:r>
        <w:rPr>
          <w:rFonts w:ascii="Times New Roman"/>
        </w:rPr>
        <w:t>base</w:t>
      </w:r>
    </w:p>
    <w:p>
      <w:pPr>
        <w:spacing w:before="120"/>
        <w:ind w:left="1919" w:right="414" w:firstLine="0"/>
        <w:jc w:val="both"/>
        <w:rPr>
          <w:sz w:val="24"/>
        </w:rPr>
      </w:pPr>
      <w:r>
        <w:rPr>
          <w:sz w:val="24"/>
        </w:rPr>
        <w:t>Except as otherwise provided in paragraph (c) or (d) and subject to paragraph (g), the value of the regulatory asset base for a </w:t>
      </w:r>
      <w:r>
        <w:rPr>
          <w:i/>
          <w:sz w:val="24"/>
        </w:rPr>
        <w:t>distribution system </w:t>
      </w:r>
      <w:r>
        <w:rPr>
          <w:sz w:val="24"/>
        </w:rPr>
        <w:t>as at the beginning of the first </w:t>
      </w:r>
      <w:r>
        <w:rPr>
          <w:i/>
          <w:sz w:val="24"/>
        </w:rPr>
        <w:t>regulatory year </w:t>
      </w:r>
      <w:r>
        <w:rPr>
          <w:sz w:val="24"/>
        </w:rPr>
        <w:t>of a </w:t>
      </w:r>
      <w:r>
        <w:rPr>
          <w:i/>
          <w:sz w:val="24"/>
        </w:rPr>
        <w:t>regulatory control period </w:t>
      </w:r>
      <w:r>
        <w:rPr>
          <w:sz w:val="24"/>
        </w:rPr>
        <w:t>must be calculated by adjusting the value (the </w:t>
      </w:r>
      <w:r>
        <w:rPr>
          <w:b/>
          <w:sz w:val="24"/>
        </w:rPr>
        <w:t>previous value</w:t>
      </w:r>
      <w:r>
        <w:rPr>
          <w:sz w:val="24"/>
        </w:rPr>
        <w:t>) of the regulatory asset base for that </w:t>
      </w:r>
      <w:r>
        <w:rPr>
          <w:i/>
          <w:sz w:val="24"/>
        </w:rPr>
        <w:t>distribution system </w:t>
      </w:r>
      <w:r>
        <w:rPr>
          <w:sz w:val="24"/>
        </w:rPr>
        <w:t>as at the beginning of the first </w:t>
      </w:r>
      <w:r>
        <w:rPr>
          <w:i/>
          <w:sz w:val="24"/>
        </w:rPr>
        <w:t>regulatory year </w:t>
      </w:r>
      <w:r>
        <w:rPr>
          <w:sz w:val="24"/>
        </w:rPr>
        <w:t>of the immediately preceding </w:t>
      </w:r>
      <w:r>
        <w:rPr>
          <w:i/>
          <w:sz w:val="24"/>
        </w:rPr>
        <w:t>regulatory control period </w:t>
      </w:r>
      <w:r>
        <w:rPr>
          <w:sz w:val="24"/>
        </w:rPr>
        <w:t>(the </w:t>
      </w:r>
      <w:r>
        <w:rPr>
          <w:b/>
          <w:sz w:val="24"/>
        </w:rPr>
        <w:t>previous control period</w:t>
      </w:r>
      <w:r>
        <w:rPr>
          <w:sz w:val="24"/>
        </w:rPr>
        <w:t>) as follows:</w:t>
      </w:r>
    </w:p>
    <w:p>
      <w:pPr>
        <w:pStyle w:val="ListParagraph"/>
        <w:numPr>
          <w:ilvl w:val="1"/>
          <w:numId w:val="464"/>
        </w:numPr>
        <w:tabs>
          <w:tab w:pos="2486" w:val="left" w:leader="none"/>
        </w:tabs>
        <w:spacing w:line="240" w:lineRule="auto" w:before="120" w:after="0"/>
        <w:ind w:left="2486" w:right="416" w:hanging="567"/>
        <w:jc w:val="both"/>
        <w:rPr>
          <w:sz w:val="24"/>
        </w:rPr>
      </w:pPr>
      <w:r>
        <w:rPr>
          <w:sz w:val="24"/>
        </w:rPr>
        <w:t>Subject to subparagraph (e)(9), the previous value of the regulatory asset base must</w:t>
      </w:r>
      <w:r>
        <w:rPr>
          <w:spacing w:val="-1"/>
          <w:sz w:val="24"/>
        </w:rPr>
        <w:t> </w:t>
      </w:r>
      <w:r>
        <w:rPr>
          <w:sz w:val="24"/>
        </w:rPr>
        <w:t>be:</w:t>
      </w:r>
    </w:p>
    <w:p>
      <w:pPr>
        <w:pStyle w:val="ListParagraph"/>
        <w:numPr>
          <w:ilvl w:val="2"/>
          <w:numId w:val="464"/>
        </w:numPr>
        <w:tabs>
          <w:tab w:pos="3053" w:val="left" w:leader="none"/>
        </w:tabs>
        <w:spacing w:line="240" w:lineRule="auto" w:before="120" w:after="0"/>
        <w:ind w:left="3053" w:right="413" w:hanging="567"/>
        <w:jc w:val="both"/>
        <w:rPr>
          <w:sz w:val="24"/>
        </w:rPr>
      </w:pPr>
      <w:r>
        <w:rPr>
          <w:sz w:val="24"/>
        </w:rPr>
        <w:t>increased by the amount of all capital expenditure incurred during the previous control period, including any</w:t>
      </w:r>
      <w:r>
        <w:rPr>
          <w:spacing w:val="36"/>
          <w:sz w:val="24"/>
        </w:rPr>
        <w:t> </w:t>
      </w:r>
      <w:r>
        <w:rPr>
          <w:sz w:val="24"/>
        </w:rPr>
        <w:t>capital expenditure determined for that period under clause 6.6A.2(e)(1)(i) in relation to </w:t>
      </w:r>
      <w:r>
        <w:rPr>
          <w:i/>
          <w:sz w:val="24"/>
        </w:rPr>
        <w:t>contingent projects </w:t>
      </w:r>
      <w:r>
        <w:rPr>
          <w:sz w:val="24"/>
        </w:rPr>
        <w:t>where the distribution determination has been amended by the </w:t>
      </w:r>
      <w:r>
        <w:rPr>
          <w:i/>
          <w:sz w:val="24"/>
        </w:rPr>
        <w:t>AER </w:t>
      </w:r>
      <w:r>
        <w:rPr>
          <w:sz w:val="24"/>
        </w:rPr>
        <w:t>in accordance with clause 6.6A.2(h) (regardless of whether such capital expenditure is above or below the forecast capital expenditure for the period that is adopted for the purposes of the distribution determination (if any) for that period);</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2"/>
          <w:numId w:val="464"/>
        </w:numPr>
        <w:tabs>
          <w:tab w:pos="3054" w:val="left" w:leader="none"/>
        </w:tabs>
        <w:spacing w:line="240" w:lineRule="auto" w:before="83" w:after="0"/>
        <w:ind w:left="3053" w:right="414" w:hanging="567"/>
        <w:jc w:val="both"/>
        <w:rPr>
          <w:sz w:val="24"/>
        </w:rPr>
      </w:pPr>
      <w:r>
        <w:rPr>
          <w:sz w:val="24"/>
        </w:rPr>
        <w:t>reduced by the amount of any capital expenditure that has </w:t>
      </w:r>
      <w:r>
        <w:rPr>
          <w:spacing w:val="-3"/>
          <w:sz w:val="24"/>
        </w:rPr>
        <w:t>been </w:t>
      </w:r>
      <w:r>
        <w:rPr>
          <w:sz w:val="24"/>
        </w:rPr>
        <w:t>recovered by way of a pass through under clause 6.6.1 where the amount of that capital expenditure would otherwise have been included in the value of the regulatory asset</w:t>
      </w:r>
      <w:r>
        <w:rPr>
          <w:spacing w:val="-2"/>
          <w:sz w:val="24"/>
        </w:rPr>
        <w:t> </w:t>
      </w:r>
      <w:r>
        <w:rPr>
          <w:sz w:val="24"/>
        </w:rPr>
        <w:t>base.</w:t>
      </w:r>
    </w:p>
    <w:p>
      <w:pPr>
        <w:pStyle w:val="ListParagraph"/>
        <w:numPr>
          <w:ilvl w:val="1"/>
          <w:numId w:val="464"/>
        </w:numPr>
        <w:tabs>
          <w:tab w:pos="2486" w:val="left" w:leader="none"/>
        </w:tabs>
        <w:spacing w:line="240" w:lineRule="auto" w:before="120" w:after="0"/>
        <w:ind w:left="2486" w:right="413" w:hanging="567"/>
        <w:jc w:val="both"/>
        <w:rPr>
          <w:sz w:val="24"/>
        </w:rPr>
      </w:pPr>
      <w:r>
        <w:rPr>
          <w:sz w:val="24"/>
        </w:rPr>
        <w:t>The previous value of the regulatory asset base must be increased by the amount of the estimated capital expenditure approved by the </w:t>
      </w:r>
      <w:r>
        <w:rPr>
          <w:i/>
          <w:sz w:val="24"/>
        </w:rPr>
        <w:t>AER </w:t>
      </w:r>
      <w:r>
        <w:rPr>
          <w:sz w:val="24"/>
        </w:rPr>
        <w:t>for any part of the previous control period for which actual capital expenditure is not available, including any capital expenditure in relation to </w:t>
      </w:r>
      <w:r>
        <w:rPr>
          <w:i/>
          <w:sz w:val="24"/>
        </w:rPr>
        <w:t>contingent projects </w:t>
      </w:r>
      <w:r>
        <w:rPr>
          <w:sz w:val="24"/>
        </w:rPr>
        <w:t>where the </w:t>
      </w:r>
      <w:r>
        <w:rPr>
          <w:i/>
          <w:sz w:val="24"/>
        </w:rPr>
        <w:t>total revenue requirement </w:t>
      </w:r>
      <w:r>
        <w:rPr>
          <w:sz w:val="24"/>
        </w:rPr>
        <w:t>has been amended by the </w:t>
      </w:r>
      <w:r>
        <w:rPr>
          <w:i/>
          <w:sz w:val="24"/>
        </w:rPr>
        <w:t>AER </w:t>
      </w:r>
      <w:r>
        <w:rPr>
          <w:sz w:val="24"/>
        </w:rPr>
        <w:t>in accordance with clause</w:t>
      </w:r>
      <w:r>
        <w:rPr>
          <w:spacing w:val="-7"/>
          <w:sz w:val="24"/>
        </w:rPr>
        <w:t> </w:t>
      </w:r>
      <w:r>
        <w:rPr>
          <w:sz w:val="24"/>
        </w:rPr>
        <w:t>6.6A.2(h).</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The previous value of the regulatory asset base must be adjusted </w:t>
      </w:r>
      <w:r>
        <w:rPr>
          <w:spacing w:val="-5"/>
          <w:sz w:val="24"/>
        </w:rPr>
        <w:t>for </w:t>
      </w:r>
      <w:r>
        <w:rPr>
          <w:sz w:val="24"/>
        </w:rPr>
        <w:t>the difference</w:t>
      </w:r>
      <w:r>
        <w:rPr>
          <w:spacing w:val="-1"/>
          <w:sz w:val="24"/>
        </w:rPr>
        <w:t> </w:t>
      </w:r>
      <w:r>
        <w:rPr>
          <w:sz w:val="24"/>
        </w:rPr>
        <w:t>between:</w:t>
      </w:r>
    </w:p>
    <w:p>
      <w:pPr>
        <w:pStyle w:val="ListParagraph"/>
        <w:numPr>
          <w:ilvl w:val="2"/>
          <w:numId w:val="464"/>
        </w:numPr>
        <w:tabs>
          <w:tab w:pos="3053" w:val="left" w:leader="none"/>
        </w:tabs>
        <w:spacing w:line="240" w:lineRule="auto" w:before="120" w:after="0"/>
        <w:ind w:left="3053" w:right="415" w:hanging="567"/>
        <w:jc w:val="both"/>
        <w:rPr>
          <w:sz w:val="24"/>
        </w:rPr>
      </w:pPr>
      <w:r>
        <w:rPr>
          <w:sz w:val="24"/>
        </w:rPr>
        <w:t>the estimated capital expenditure for any part of a </w:t>
      </w:r>
      <w:r>
        <w:rPr>
          <w:spacing w:val="-3"/>
          <w:sz w:val="24"/>
        </w:rPr>
        <w:t>previous </w:t>
      </w:r>
      <w:r>
        <w:rPr>
          <w:i/>
          <w:sz w:val="24"/>
        </w:rPr>
        <w:t>regulatory control period </w:t>
      </w:r>
      <w:r>
        <w:rPr>
          <w:sz w:val="24"/>
        </w:rPr>
        <w:t>where that estimated capital expenditure has been included in that value;</w:t>
      </w:r>
      <w:r>
        <w:rPr>
          <w:spacing w:val="-1"/>
          <w:sz w:val="24"/>
        </w:rPr>
        <w:t> </w:t>
      </w:r>
      <w:r>
        <w:rPr>
          <w:sz w:val="24"/>
        </w:rPr>
        <w:t>and</w:t>
      </w:r>
    </w:p>
    <w:p>
      <w:pPr>
        <w:pStyle w:val="ListParagraph"/>
        <w:numPr>
          <w:ilvl w:val="2"/>
          <w:numId w:val="464"/>
        </w:numPr>
        <w:tabs>
          <w:tab w:pos="3054" w:val="left" w:leader="none"/>
        </w:tabs>
        <w:spacing w:line="240" w:lineRule="auto" w:before="120" w:after="0"/>
        <w:ind w:left="3053" w:right="0" w:hanging="568"/>
        <w:jc w:val="both"/>
        <w:rPr>
          <w:sz w:val="24"/>
        </w:rPr>
      </w:pPr>
      <w:r>
        <w:rPr>
          <w:sz w:val="24"/>
        </w:rPr>
        <w:t>the</w:t>
      </w:r>
      <w:r>
        <w:rPr>
          <w:spacing w:val="19"/>
          <w:sz w:val="24"/>
        </w:rPr>
        <w:t> </w:t>
      </w:r>
      <w:r>
        <w:rPr>
          <w:sz w:val="24"/>
        </w:rPr>
        <w:t>actual</w:t>
      </w:r>
      <w:r>
        <w:rPr>
          <w:spacing w:val="19"/>
          <w:sz w:val="24"/>
        </w:rPr>
        <w:t> </w:t>
      </w:r>
      <w:r>
        <w:rPr>
          <w:sz w:val="24"/>
        </w:rPr>
        <w:t>capital</w:t>
      </w:r>
      <w:r>
        <w:rPr>
          <w:spacing w:val="20"/>
          <w:sz w:val="24"/>
        </w:rPr>
        <w:t> </w:t>
      </w:r>
      <w:r>
        <w:rPr>
          <w:sz w:val="24"/>
        </w:rPr>
        <w:t>expenditure</w:t>
      </w:r>
      <w:r>
        <w:rPr>
          <w:spacing w:val="19"/>
          <w:sz w:val="24"/>
        </w:rPr>
        <w:t> </w:t>
      </w:r>
      <w:r>
        <w:rPr>
          <w:sz w:val="24"/>
        </w:rPr>
        <w:t>for</w:t>
      </w:r>
      <w:r>
        <w:rPr>
          <w:spacing w:val="20"/>
          <w:sz w:val="24"/>
        </w:rPr>
        <w:t> </w:t>
      </w:r>
      <w:r>
        <w:rPr>
          <w:sz w:val="24"/>
        </w:rPr>
        <w:t>that</w:t>
      </w:r>
      <w:r>
        <w:rPr>
          <w:spacing w:val="19"/>
          <w:sz w:val="24"/>
        </w:rPr>
        <w:t> </w:t>
      </w:r>
      <w:r>
        <w:rPr>
          <w:sz w:val="24"/>
        </w:rPr>
        <w:t>part</w:t>
      </w:r>
      <w:r>
        <w:rPr>
          <w:spacing w:val="19"/>
          <w:sz w:val="24"/>
        </w:rPr>
        <w:t> </w:t>
      </w:r>
      <w:r>
        <w:rPr>
          <w:sz w:val="24"/>
        </w:rPr>
        <w:t>of</w:t>
      </w:r>
      <w:r>
        <w:rPr>
          <w:spacing w:val="20"/>
          <w:sz w:val="24"/>
        </w:rPr>
        <w:t> </w:t>
      </w:r>
      <w:r>
        <w:rPr>
          <w:sz w:val="24"/>
        </w:rPr>
        <w:t>the</w:t>
      </w:r>
      <w:r>
        <w:rPr>
          <w:spacing w:val="19"/>
          <w:sz w:val="24"/>
        </w:rPr>
        <w:t> </w:t>
      </w:r>
      <w:r>
        <w:rPr>
          <w:sz w:val="24"/>
        </w:rPr>
        <w:t>previous</w:t>
      </w:r>
    </w:p>
    <w:p>
      <w:pPr>
        <w:spacing w:before="0"/>
        <w:ind w:left="3053" w:right="0" w:firstLine="0"/>
        <w:jc w:val="both"/>
        <w:rPr>
          <w:sz w:val="24"/>
        </w:rPr>
      </w:pPr>
      <w:r>
        <w:rPr>
          <w:i/>
          <w:sz w:val="24"/>
        </w:rPr>
        <w:t>regulatory control period</w:t>
      </w:r>
      <w:r>
        <w:rPr>
          <w:sz w:val="24"/>
        </w:rPr>
        <w:t>.</w:t>
      </w:r>
    </w:p>
    <w:p>
      <w:pPr>
        <w:pStyle w:val="BodyText"/>
        <w:ind w:left="2486" w:right="414" w:firstLine="0"/>
      </w:pPr>
      <w:r>
        <w:rPr/>
        <w:t>This adjustment must also remove any benefit or penalty associated with any difference between the estimated and actual capital expenditure.</w:t>
      </w:r>
    </w:p>
    <w:p>
      <w:pPr>
        <w:spacing w:before="120"/>
        <w:ind w:left="2486" w:right="415" w:hanging="567"/>
        <w:jc w:val="both"/>
        <w:rPr>
          <w:sz w:val="24"/>
        </w:rPr>
      </w:pPr>
      <w:r>
        <w:rPr>
          <w:sz w:val="24"/>
        </w:rPr>
        <w:t>(3A) However, in calculating the value of the regulatory asset base for a </w:t>
      </w:r>
      <w:r>
        <w:rPr>
          <w:i/>
          <w:sz w:val="24"/>
        </w:rPr>
        <w:t>distribution system </w:t>
      </w:r>
      <w:r>
        <w:rPr>
          <w:sz w:val="24"/>
        </w:rPr>
        <w:t>in this jurisdiction as at the beginning of the first </w:t>
      </w:r>
      <w:r>
        <w:rPr>
          <w:i/>
          <w:sz w:val="24"/>
        </w:rPr>
        <w:t>regulatory year </w:t>
      </w:r>
      <w:r>
        <w:rPr>
          <w:sz w:val="24"/>
        </w:rPr>
        <w:t>of the </w:t>
      </w:r>
      <w:r>
        <w:rPr>
          <w:i/>
          <w:sz w:val="24"/>
        </w:rPr>
        <w:t>2nd regulatory control period</w:t>
      </w:r>
      <w:r>
        <w:rPr>
          <w:sz w:val="24"/>
        </w:rPr>
        <w:t>, the previous value of the regulatory asset base must be adjusted for the difference between:</w:t>
      </w:r>
    </w:p>
    <w:p>
      <w:pPr>
        <w:pStyle w:val="ListParagraph"/>
        <w:numPr>
          <w:ilvl w:val="0"/>
          <w:numId w:val="465"/>
        </w:numPr>
        <w:tabs>
          <w:tab w:pos="3053" w:val="left" w:leader="none"/>
        </w:tabs>
        <w:spacing w:line="240" w:lineRule="auto" w:before="120" w:after="0"/>
        <w:ind w:left="3053" w:right="414" w:hanging="567"/>
        <w:jc w:val="both"/>
        <w:rPr>
          <w:sz w:val="24"/>
        </w:rPr>
      </w:pPr>
      <w:r>
        <w:rPr>
          <w:sz w:val="24"/>
        </w:rPr>
        <w:t>the estimated capital expenditure for any part of the </w:t>
      </w:r>
      <w:r>
        <w:rPr>
          <w:i/>
          <w:sz w:val="24"/>
        </w:rPr>
        <w:t>2014-19 NT </w:t>
      </w:r>
      <w:r>
        <w:rPr>
          <w:i/>
          <w:sz w:val="24"/>
        </w:rPr>
        <w:t>regulatory control period </w:t>
      </w:r>
      <w:r>
        <w:rPr>
          <w:sz w:val="24"/>
        </w:rPr>
        <w:t>or </w:t>
      </w:r>
      <w:r>
        <w:rPr>
          <w:i/>
          <w:sz w:val="24"/>
        </w:rPr>
        <w:t>1st regulatory control period </w:t>
      </w:r>
      <w:r>
        <w:rPr>
          <w:sz w:val="24"/>
        </w:rPr>
        <w:t>where that estimated capital expenditure has been included in that value;</w:t>
      </w:r>
      <w:r>
        <w:rPr>
          <w:spacing w:val="-1"/>
          <w:sz w:val="24"/>
        </w:rPr>
        <w:t> </w:t>
      </w:r>
      <w:r>
        <w:rPr>
          <w:sz w:val="24"/>
        </w:rPr>
        <w:t>and</w:t>
      </w:r>
    </w:p>
    <w:p>
      <w:pPr>
        <w:pStyle w:val="ListParagraph"/>
        <w:numPr>
          <w:ilvl w:val="0"/>
          <w:numId w:val="465"/>
        </w:numPr>
        <w:tabs>
          <w:tab w:pos="3054" w:val="left" w:leader="none"/>
        </w:tabs>
        <w:spacing w:line="240" w:lineRule="auto" w:before="120" w:after="0"/>
        <w:ind w:left="3053" w:right="416" w:hanging="567"/>
        <w:jc w:val="both"/>
        <w:rPr>
          <w:sz w:val="24"/>
        </w:rPr>
      </w:pPr>
      <w:r>
        <w:rPr>
          <w:sz w:val="24"/>
        </w:rPr>
        <w:t>the actual capital expenditure for that part of the </w:t>
      </w:r>
      <w:r>
        <w:rPr>
          <w:i/>
          <w:sz w:val="24"/>
        </w:rPr>
        <w:t>2014-19 NT </w:t>
      </w:r>
      <w:r>
        <w:rPr>
          <w:i/>
          <w:sz w:val="24"/>
        </w:rPr>
        <w:t>regulatory control period </w:t>
      </w:r>
      <w:r>
        <w:rPr>
          <w:sz w:val="24"/>
        </w:rPr>
        <w:t>or </w:t>
      </w:r>
      <w:r>
        <w:rPr>
          <w:i/>
          <w:sz w:val="24"/>
        </w:rPr>
        <w:t>1st regulatory control</w:t>
      </w:r>
      <w:r>
        <w:rPr>
          <w:i/>
          <w:spacing w:val="-12"/>
          <w:sz w:val="24"/>
        </w:rPr>
        <w:t> </w:t>
      </w:r>
      <w:r>
        <w:rPr>
          <w:i/>
          <w:sz w:val="24"/>
        </w:rPr>
        <w:t>period</w:t>
      </w:r>
      <w:r>
        <w:rPr>
          <w:sz w:val="24"/>
        </w:rPr>
        <w:t>.</w:t>
      </w:r>
    </w:p>
    <w:p>
      <w:pPr>
        <w:pStyle w:val="BodyText"/>
        <w:ind w:left="2486" w:right="414" w:firstLine="0"/>
      </w:pPr>
      <w:r>
        <w:rPr/>
        <w:t>This adjustment must also remove any benefit or penalty associated with any difference between the estimated and actual capital expenditure.</w:t>
      </w:r>
    </w:p>
    <w:p>
      <w:pPr>
        <w:spacing w:before="120"/>
        <w:ind w:left="2486" w:right="0" w:firstLine="0"/>
        <w:jc w:val="left"/>
        <w:rPr>
          <w:rFonts w:ascii="Arial"/>
          <w:b/>
          <w:sz w:val="20"/>
        </w:rPr>
      </w:pPr>
      <w:r>
        <w:rPr>
          <w:rFonts w:ascii="Arial"/>
          <w:b/>
          <w:sz w:val="20"/>
        </w:rPr>
        <w:t>Note:</w:t>
      </w:r>
    </w:p>
    <w:p>
      <w:pPr>
        <w:spacing w:before="120"/>
        <w:ind w:left="2486" w:right="0" w:firstLine="0"/>
        <w:jc w:val="both"/>
        <w:rPr>
          <w:sz w:val="20"/>
        </w:rPr>
      </w:pPr>
      <w:r>
        <w:rPr>
          <w:sz w:val="20"/>
        </w:rPr>
        <w:t>This subparagraph expires on 1 July 2029.</w:t>
      </w:r>
    </w:p>
    <w:p>
      <w:pPr>
        <w:pStyle w:val="ListParagraph"/>
        <w:numPr>
          <w:ilvl w:val="1"/>
          <w:numId w:val="464"/>
        </w:numPr>
        <w:tabs>
          <w:tab w:pos="2486" w:val="left" w:leader="none"/>
        </w:tabs>
        <w:spacing w:line="240" w:lineRule="auto" w:before="120" w:after="0"/>
        <w:ind w:left="2486" w:right="414" w:hanging="567"/>
        <w:jc w:val="both"/>
        <w:rPr>
          <w:sz w:val="24"/>
        </w:rPr>
      </w:pPr>
      <w:r>
        <w:rPr>
          <w:sz w:val="24"/>
        </w:rPr>
        <w:t>The previous value of the regulatory asset base must only be increased by actual or estimated capital expenditure to the extent that all such capital expenditure is properly allocated to the provision of </w:t>
      </w:r>
      <w:r>
        <w:rPr>
          <w:i/>
          <w:sz w:val="24"/>
        </w:rPr>
        <w:t>standard </w:t>
      </w:r>
      <w:r>
        <w:rPr>
          <w:i/>
          <w:sz w:val="24"/>
        </w:rPr>
        <w:t>control services </w:t>
      </w:r>
      <w:r>
        <w:rPr>
          <w:sz w:val="24"/>
        </w:rPr>
        <w:t>in accordance with the </w:t>
      </w:r>
      <w:r>
        <w:rPr>
          <w:i/>
          <w:sz w:val="24"/>
        </w:rPr>
        <w:t>Cost Allocation Method </w:t>
      </w:r>
      <w:r>
        <w:rPr>
          <w:sz w:val="24"/>
        </w:rPr>
        <w:t>for the relevant </w:t>
      </w:r>
      <w:r>
        <w:rPr>
          <w:i/>
          <w:sz w:val="24"/>
        </w:rPr>
        <w:t>Distribution Network Service</w:t>
      </w:r>
      <w:r>
        <w:rPr>
          <w:i/>
          <w:spacing w:val="-3"/>
          <w:sz w:val="24"/>
        </w:rPr>
        <w:t> </w:t>
      </w:r>
      <w:r>
        <w:rPr>
          <w:i/>
          <w:sz w:val="24"/>
        </w:rPr>
        <w:t>Provider</w:t>
      </w:r>
      <w:r>
        <w:rPr>
          <w:sz w:val="24"/>
        </w:rPr>
        <w:t>.</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The previous value of the regulatory asset base must be reduced by the amount of depreciation of the regulatory asset base during </w:t>
      </w:r>
      <w:r>
        <w:rPr>
          <w:spacing w:val="-6"/>
          <w:sz w:val="24"/>
        </w:rPr>
        <w:t>the  </w:t>
      </w:r>
      <w:r>
        <w:rPr>
          <w:sz w:val="24"/>
        </w:rPr>
        <w:t>previous </w:t>
      </w:r>
      <w:r>
        <w:rPr>
          <w:i/>
          <w:sz w:val="24"/>
        </w:rPr>
        <w:t>regulatory control period</w:t>
      </w:r>
      <w:r>
        <w:rPr>
          <w:sz w:val="24"/>
        </w:rPr>
        <w:t>, calculated in accordance with the distribution determination for that</w:t>
      </w:r>
      <w:r>
        <w:rPr>
          <w:spacing w:val="-1"/>
          <w:sz w:val="24"/>
        </w:rPr>
        <w:t> </w:t>
      </w:r>
      <w:r>
        <w:rPr>
          <w:sz w:val="24"/>
        </w:rPr>
        <w:t>period.</w:t>
      </w:r>
    </w:p>
    <w:p>
      <w:pPr>
        <w:spacing w:after="0" w:line="240" w:lineRule="auto"/>
        <w:jc w:val="both"/>
        <w:rPr>
          <w:sz w:val="24"/>
        </w:rPr>
        <w:sectPr>
          <w:pgSz w:w="11910" w:h="16840"/>
          <w:pgMar w:header="686" w:footer="637" w:top="1320" w:bottom="820" w:left="1200" w:right="1000"/>
        </w:sectPr>
      </w:pPr>
    </w:p>
    <w:p>
      <w:pPr>
        <w:pStyle w:val="ListParagraph"/>
        <w:numPr>
          <w:ilvl w:val="1"/>
          <w:numId w:val="464"/>
        </w:numPr>
        <w:tabs>
          <w:tab w:pos="2486" w:val="left" w:leader="none"/>
        </w:tabs>
        <w:spacing w:line="240" w:lineRule="auto" w:before="83" w:after="0"/>
        <w:ind w:left="2486" w:right="415" w:hanging="567"/>
        <w:jc w:val="both"/>
        <w:rPr>
          <w:sz w:val="24"/>
        </w:rPr>
      </w:pPr>
      <w:r>
        <w:rPr>
          <w:sz w:val="24"/>
        </w:rPr>
        <w:t>The previous value of the regulatory asset base must be reduced by the disposal value of any asset where that asset has been disposed of during the previous </w:t>
      </w:r>
      <w:r>
        <w:rPr>
          <w:i/>
          <w:sz w:val="24"/>
        </w:rPr>
        <w:t>regulatory control</w:t>
      </w:r>
      <w:r>
        <w:rPr>
          <w:i/>
          <w:spacing w:val="-3"/>
          <w:sz w:val="24"/>
        </w:rPr>
        <w:t> </w:t>
      </w:r>
      <w:r>
        <w:rPr>
          <w:i/>
          <w:sz w:val="24"/>
        </w:rPr>
        <w:t>period</w:t>
      </w:r>
      <w:r>
        <w:rPr>
          <w:sz w:val="24"/>
        </w:rPr>
        <w:t>.</w:t>
      </w:r>
    </w:p>
    <w:p>
      <w:pPr>
        <w:pStyle w:val="ListParagraph"/>
        <w:numPr>
          <w:ilvl w:val="1"/>
          <w:numId w:val="464"/>
        </w:numPr>
        <w:tabs>
          <w:tab w:pos="2486" w:val="left" w:leader="none"/>
        </w:tabs>
        <w:spacing w:line="240" w:lineRule="auto" w:before="120" w:after="0"/>
        <w:ind w:left="2486" w:right="416" w:hanging="567"/>
        <w:jc w:val="both"/>
        <w:rPr>
          <w:sz w:val="24"/>
        </w:rPr>
      </w:pPr>
      <w:r>
        <w:rPr>
          <w:sz w:val="24"/>
        </w:rPr>
        <w:t>The previous value of the regulatory asset base must be reduced by the value of an asset where the asset was previously used to</w:t>
      </w:r>
      <w:r>
        <w:rPr>
          <w:spacing w:val="24"/>
          <w:sz w:val="24"/>
        </w:rPr>
        <w:t> </w:t>
      </w:r>
      <w:r>
        <w:rPr>
          <w:sz w:val="24"/>
        </w:rPr>
        <w:t>provide </w:t>
      </w:r>
      <w:r>
        <w:rPr>
          <w:i/>
          <w:sz w:val="24"/>
        </w:rPr>
        <w:t>standard control services </w:t>
      </w:r>
      <w:r>
        <w:rPr>
          <w:sz w:val="24"/>
        </w:rPr>
        <w:t>(or their equivalent under the previous regulatory system) but, as a result of a change to the classification of a particular service under Part B, is not to be used for that purpose for the relevant </w:t>
      </w:r>
      <w:r>
        <w:rPr>
          <w:i/>
          <w:sz w:val="24"/>
        </w:rPr>
        <w:t>regulatory control</w:t>
      </w:r>
      <w:r>
        <w:rPr>
          <w:i/>
          <w:spacing w:val="-2"/>
          <w:sz w:val="24"/>
        </w:rPr>
        <w:t> </w:t>
      </w:r>
      <w:r>
        <w:rPr>
          <w:i/>
          <w:sz w:val="24"/>
        </w:rPr>
        <w:t>period</w:t>
      </w:r>
      <w:r>
        <w:rPr>
          <w:sz w:val="24"/>
        </w:rPr>
        <w:t>.</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Subject to subparagraph (e)(9), the previous value of the regulatory asset base may be increased by the value of an asset to which this subparagraph applies to the extent</w:t>
      </w:r>
      <w:r>
        <w:rPr>
          <w:spacing w:val="-3"/>
          <w:sz w:val="24"/>
        </w:rPr>
        <w:t> </w:t>
      </w:r>
      <w:r>
        <w:rPr>
          <w:sz w:val="24"/>
        </w:rPr>
        <w:t>that:</w:t>
      </w:r>
    </w:p>
    <w:p>
      <w:pPr>
        <w:pStyle w:val="ListParagraph"/>
        <w:numPr>
          <w:ilvl w:val="2"/>
          <w:numId w:val="464"/>
        </w:numPr>
        <w:tabs>
          <w:tab w:pos="3053" w:val="left" w:leader="none"/>
        </w:tabs>
        <w:spacing w:line="240" w:lineRule="auto" w:before="120" w:after="0"/>
        <w:ind w:left="3053" w:right="415" w:hanging="567"/>
        <w:jc w:val="both"/>
        <w:rPr>
          <w:sz w:val="24"/>
        </w:rPr>
      </w:pPr>
      <w:r>
        <w:rPr>
          <w:sz w:val="24"/>
        </w:rPr>
        <w:t>the </w:t>
      </w:r>
      <w:r>
        <w:rPr>
          <w:i/>
          <w:sz w:val="24"/>
        </w:rPr>
        <w:t>AER </w:t>
      </w:r>
      <w:r>
        <w:rPr>
          <w:sz w:val="24"/>
        </w:rPr>
        <w:t>considers the asset to be reasonably required to achieve one or more of the </w:t>
      </w:r>
      <w:r>
        <w:rPr>
          <w:i/>
          <w:sz w:val="24"/>
        </w:rPr>
        <w:t>capital expenditure objectives</w:t>
      </w:r>
      <w:r>
        <w:rPr>
          <w:sz w:val="24"/>
        </w:rPr>
        <w:t>;</w:t>
      </w:r>
      <w:r>
        <w:rPr>
          <w:spacing w:val="-2"/>
          <w:sz w:val="24"/>
        </w:rPr>
        <w:t> </w:t>
      </w:r>
      <w:r>
        <w:rPr>
          <w:sz w:val="24"/>
        </w:rPr>
        <w:t>and</w:t>
      </w:r>
    </w:p>
    <w:p>
      <w:pPr>
        <w:pStyle w:val="ListParagraph"/>
        <w:numPr>
          <w:ilvl w:val="2"/>
          <w:numId w:val="464"/>
        </w:numPr>
        <w:tabs>
          <w:tab w:pos="3054" w:val="left" w:leader="none"/>
        </w:tabs>
        <w:spacing w:line="343" w:lineRule="auto" w:before="120" w:after="0"/>
        <w:ind w:left="2486" w:right="1321" w:firstLine="0"/>
        <w:jc w:val="both"/>
        <w:rPr>
          <w:sz w:val="24"/>
        </w:rPr>
      </w:pPr>
      <w:r>
        <w:rPr>
          <w:sz w:val="24"/>
        </w:rPr>
        <w:t>the value of the asset has not been otherwise recovered. This subparagraph applies to an asset</w:t>
      </w:r>
      <w:r>
        <w:rPr>
          <w:spacing w:val="-4"/>
          <w:sz w:val="24"/>
        </w:rPr>
        <w:t> </w:t>
      </w:r>
      <w:r>
        <w:rPr>
          <w:sz w:val="24"/>
        </w:rPr>
        <w:t>that:</w:t>
      </w:r>
    </w:p>
    <w:p>
      <w:pPr>
        <w:pStyle w:val="ListParagraph"/>
        <w:numPr>
          <w:ilvl w:val="0"/>
          <w:numId w:val="466"/>
        </w:numPr>
        <w:tabs>
          <w:tab w:pos="3053" w:val="left" w:leader="none"/>
        </w:tabs>
        <w:spacing w:line="240" w:lineRule="auto" w:before="3" w:after="0"/>
        <w:ind w:left="3053" w:right="416" w:hanging="567"/>
        <w:jc w:val="both"/>
        <w:rPr>
          <w:sz w:val="24"/>
        </w:rPr>
      </w:pPr>
      <w:r>
        <w:rPr>
          <w:sz w:val="24"/>
        </w:rPr>
        <w:t>was not used to provide </w:t>
      </w:r>
      <w:r>
        <w:rPr>
          <w:i/>
          <w:sz w:val="24"/>
        </w:rPr>
        <w:t>standard control services </w:t>
      </w:r>
      <w:r>
        <w:rPr>
          <w:sz w:val="24"/>
        </w:rPr>
        <w:t>(or their equivalent under the previous regulatory system) in the previous </w:t>
      </w:r>
      <w:r>
        <w:rPr>
          <w:i/>
          <w:sz w:val="24"/>
        </w:rPr>
        <w:t>regulatory control period </w:t>
      </w:r>
      <w:r>
        <w:rPr>
          <w:sz w:val="24"/>
        </w:rPr>
        <w:t>but, as a result of a change to the classification of a particular service under Part B, is to be used for that purpose for the relevant </w:t>
      </w:r>
      <w:r>
        <w:rPr>
          <w:i/>
          <w:sz w:val="24"/>
        </w:rPr>
        <w:t>regulatory control period</w:t>
      </w:r>
      <w:r>
        <w:rPr>
          <w:sz w:val="24"/>
        </w:rPr>
        <w:t>;</w:t>
      </w:r>
      <w:r>
        <w:rPr>
          <w:spacing w:val="-5"/>
          <w:sz w:val="24"/>
        </w:rPr>
        <w:t> </w:t>
      </w:r>
      <w:r>
        <w:rPr>
          <w:sz w:val="24"/>
        </w:rPr>
        <w:t>or</w:t>
      </w:r>
    </w:p>
    <w:p>
      <w:pPr>
        <w:pStyle w:val="ListParagraph"/>
        <w:numPr>
          <w:ilvl w:val="0"/>
          <w:numId w:val="466"/>
        </w:numPr>
        <w:tabs>
          <w:tab w:pos="3054" w:val="left" w:leader="none"/>
        </w:tabs>
        <w:spacing w:line="240" w:lineRule="auto" w:before="120" w:after="0"/>
        <w:ind w:left="3053" w:right="415" w:hanging="567"/>
        <w:jc w:val="both"/>
        <w:rPr>
          <w:sz w:val="24"/>
        </w:rPr>
      </w:pPr>
      <w:r>
        <w:rPr>
          <w:sz w:val="24"/>
        </w:rPr>
        <w:t>was never previously used to provide </w:t>
      </w:r>
      <w:r>
        <w:rPr>
          <w:i/>
          <w:sz w:val="24"/>
        </w:rPr>
        <w:t>standard control services </w:t>
      </w:r>
      <w:r>
        <w:rPr>
          <w:sz w:val="24"/>
        </w:rPr>
        <w:t>(or their equivalent under the previous regulatory system) but is to be used for that purpose for the relevant </w:t>
      </w:r>
      <w:r>
        <w:rPr>
          <w:i/>
          <w:sz w:val="24"/>
        </w:rPr>
        <w:t>regulatory control </w:t>
      </w:r>
      <w:r>
        <w:rPr>
          <w:i/>
          <w:sz w:val="24"/>
        </w:rPr>
        <w:t>period</w:t>
      </w:r>
      <w:r>
        <w:rPr>
          <w:sz w:val="24"/>
        </w:rPr>
        <w:t>.</w:t>
      </w:r>
    </w:p>
    <w:p>
      <w:pPr>
        <w:pStyle w:val="ListParagraph"/>
        <w:numPr>
          <w:ilvl w:val="1"/>
          <w:numId w:val="464"/>
        </w:numPr>
        <w:tabs>
          <w:tab w:pos="2486" w:val="left" w:leader="none"/>
        </w:tabs>
        <w:spacing w:line="240" w:lineRule="auto" w:before="120" w:after="0"/>
        <w:ind w:left="2486" w:right="415" w:hanging="567"/>
        <w:jc w:val="both"/>
        <w:rPr>
          <w:sz w:val="24"/>
        </w:rPr>
      </w:pPr>
      <w:r>
        <w:rPr>
          <w:sz w:val="24"/>
        </w:rPr>
        <w:t>The previous value of the regulatory asset base must not be increased by the value of </w:t>
      </w:r>
      <w:r>
        <w:rPr>
          <w:i/>
          <w:sz w:val="24"/>
        </w:rPr>
        <w:t>expenditure for a restricted asset </w:t>
      </w:r>
      <w:r>
        <w:rPr>
          <w:sz w:val="24"/>
        </w:rPr>
        <w:t>incurred during the relevant </w:t>
      </w:r>
      <w:r>
        <w:rPr>
          <w:i/>
          <w:sz w:val="24"/>
        </w:rPr>
        <w:t>regulatory control period</w:t>
      </w:r>
      <w:r>
        <w:rPr>
          <w:sz w:val="24"/>
        </w:rPr>
        <w:t>, unless the capital expenditure </w:t>
      </w:r>
      <w:r>
        <w:rPr>
          <w:spacing w:val="-4"/>
          <w:sz w:val="24"/>
        </w:rPr>
        <w:t>for </w:t>
      </w:r>
      <w:r>
        <w:rPr>
          <w:sz w:val="24"/>
        </w:rPr>
        <w:t>that asset or that class of asset for that </w:t>
      </w:r>
      <w:r>
        <w:rPr>
          <w:i/>
          <w:sz w:val="24"/>
        </w:rPr>
        <w:t>regulatory control period </w:t>
      </w:r>
      <w:r>
        <w:rPr>
          <w:sz w:val="24"/>
        </w:rPr>
        <w:t>was the subject of an </w:t>
      </w:r>
      <w:r>
        <w:rPr>
          <w:i/>
          <w:sz w:val="24"/>
        </w:rPr>
        <w:t>asset exemption </w:t>
      </w:r>
      <w:r>
        <w:rPr>
          <w:sz w:val="24"/>
        </w:rPr>
        <w:t>granted by the </w:t>
      </w:r>
      <w:r>
        <w:rPr>
          <w:i/>
          <w:sz w:val="24"/>
        </w:rPr>
        <w:t>AER </w:t>
      </w:r>
      <w:r>
        <w:rPr>
          <w:sz w:val="24"/>
        </w:rPr>
        <w:t>under clause 6.4B.1(a).</w:t>
      </w:r>
    </w:p>
    <w:p>
      <w:pPr>
        <w:pStyle w:val="ListParagraph"/>
        <w:numPr>
          <w:ilvl w:val="0"/>
          <w:numId w:val="464"/>
        </w:numPr>
        <w:tabs>
          <w:tab w:pos="1920" w:val="left" w:leader="none"/>
        </w:tabs>
        <w:spacing w:line="240" w:lineRule="auto" w:before="120" w:after="0"/>
        <w:ind w:left="1919" w:right="415" w:hanging="567"/>
        <w:jc w:val="both"/>
        <w:rPr>
          <w:sz w:val="24"/>
        </w:rPr>
      </w:pPr>
      <w:r>
        <w:rPr>
          <w:sz w:val="24"/>
        </w:rPr>
        <w:t>An increase or reduction in the value of the regulatory asset base under subparagraph (7) or (8) of paragraph (e) is to be based on the portion of the value of the asset properly allocated, or formerly properly allocated,</w:t>
      </w:r>
      <w:r>
        <w:rPr>
          <w:spacing w:val="36"/>
          <w:sz w:val="24"/>
        </w:rPr>
        <w:t> </w:t>
      </w:r>
      <w:r>
        <w:rPr>
          <w:sz w:val="24"/>
        </w:rPr>
        <w:t>to </w:t>
      </w:r>
      <w:r>
        <w:rPr>
          <w:i/>
          <w:sz w:val="24"/>
        </w:rPr>
        <w:t>standard control services </w:t>
      </w:r>
      <w:r>
        <w:rPr>
          <w:sz w:val="24"/>
        </w:rPr>
        <w:t>in accordance with the principles and policies set out in the </w:t>
      </w:r>
      <w:r>
        <w:rPr>
          <w:i/>
          <w:sz w:val="24"/>
        </w:rPr>
        <w:t>Cost Allocation Method </w:t>
      </w:r>
      <w:r>
        <w:rPr>
          <w:sz w:val="24"/>
        </w:rPr>
        <w:t>for the relevant </w:t>
      </w:r>
      <w:r>
        <w:rPr>
          <w:i/>
          <w:sz w:val="24"/>
        </w:rPr>
        <w:t>Distribution Network </w:t>
      </w:r>
      <w:r>
        <w:rPr>
          <w:i/>
          <w:sz w:val="24"/>
        </w:rPr>
        <w:t>Service Provider</w:t>
      </w:r>
      <w:r>
        <w:rPr>
          <w:sz w:val="24"/>
        </w:rPr>
        <w:t>. The value of the relevant asset is taken to be its value as shown in independently audited and published</w:t>
      </w:r>
      <w:r>
        <w:rPr>
          <w:spacing w:val="-3"/>
          <w:sz w:val="24"/>
        </w:rPr>
        <w:t> </w:t>
      </w:r>
      <w:r>
        <w:rPr>
          <w:sz w:val="24"/>
        </w:rPr>
        <w:t>accounts.</w:t>
      </w:r>
    </w:p>
    <w:p>
      <w:pPr>
        <w:pStyle w:val="ListParagraph"/>
        <w:numPr>
          <w:ilvl w:val="0"/>
          <w:numId w:val="464"/>
        </w:numPr>
        <w:tabs>
          <w:tab w:pos="1919" w:val="left" w:leader="none"/>
        </w:tabs>
        <w:spacing w:line="240" w:lineRule="auto" w:before="120" w:after="0"/>
        <w:ind w:left="1919" w:right="415" w:hanging="567"/>
        <w:jc w:val="both"/>
        <w:rPr>
          <w:sz w:val="24"/>
        </w:rPr>
      </w:pPr>
      <w:r>
        <w:rPr>
          <w:sz w:val="24"/>
        </w:rPr>
        <w:t>The previous value of the regulatory asset base must be reduced by any amount determined by the </w:t>
      </w:r>
      <w:r>
        <w:rPr>
          <w:i/>
          <w:sz w:val="24"/>
        </w:rPr>
        <w:t>AER </w:t>
      </w:r>
      <w:r>
        <w:rPr>
          <w:sz w:val="24"/>
        </w:rPr>
        <w:t>in accordance with clause S6.2.2A(f), (i) or (j).</w:t>
      </w:r>
    </w:p>
    <w:p>
      <w:pPr>
        <w:pStyle w:val="BodyText"/>
        <w:spacing w:before="10"/>
        <w:ind w:firstLine="0"/>
        <w:jc w:val="left"/>
        <w:rPr>
          <w:sz w:val="20"/>
        </w:rPr>
      </w:pPr>
    </w:p>
    <w:p>
      <w:pPr>
        <w:pStyle w:val="Heading4"/>
        <w:tabs>
          <w:tab w:pos="1351" w:val="left" w:leader="none"/>
        </w:tabs>
        <w:ind w:left="218" w:firstLine="0"/>
      </w:pPr>
      <w:bookmarkStart w:name="S6.2.2 Prudency and efficiency of capita" w:id="1686"/>
      <w:bookmarkEnd w:id="1686"/>
      <w:r>
        <w:rPr>
          <w:b w:val="0"/>
        </w:rPr>
      </w:r>
      <w:bookmarkStart w:name="_bookmark669" w:id="1687"/>
      <w:bookmarkEnd w:id="1687"/>
      <w:r>
        <w:rPr>
          <w:b w:val="0"/>
        </w:rPr>
      </w:r>
      <w:r>
        <w:rPr/>
        <w:t>S6.2.2</w:t>
        <w:tab/>
        <w:t>Prudency and efficiency of capital</w:t>
      </w:r>
      <w:r>
        <w:rPr>
          <w:spacing w:val="-6"/>
        </w:rPr>
        <w:t> </w:t>
      </w:r>
      <w:r>
        <w:rPr/>
        <w:t>expenditure</w:t>
      </w:r>
    </w:p>
    <w:p>
      <w:pPr>
        <w:pStyle w:val="BodyText"/>
        <w:ind w:left="1352" w:firstLine="0"/>
        <w:jc w:val="left"/>
      </w:pPr>
      <w:r>
        <w:rPr/>
        <w:t>In determining the prudency or efficiency of capital expenditure under clause S6.2.1(d)(2), the </w:t>
      </w:r>
      <w:r>
        <w:rPr>
          <w:i/>
        </w:rPr>
        <w:t>AER </w:t>
      </w:r>
      <w:r>
        <w:rPr/>
        <w:t>must have regard to the following:</w:t>
      </w:r>
    </w:p>
    <w:p>
      <w:pPr>
        <w:spacing w:after="0"/>
        <w:jc w:val="left"/>
        <w:sectPr>
          <w:pgSz w:w="11910" w:h="16840"/>
          <w:pgMar w:header="686" w:footer="637" w:top="1320" w:bottom="820" w:left="1200" w:right="1000"/>
        </w:sectPr>
      </w:pPr>
    </w:p>
    <w:p>
      <w:pPr>
        <w:pStyle w:val="ListParagraph"/>
        <w:numPr>
          <w:ilvl w:val="1"/>
          <w:numId w:val="464"/>
        </w:numPr>
        <w:tabs>
          <w:tab w:pos="1919" w:val="left" w:leader="none"/>
        </w:tabs>
        <w:spacing w:line="240" w:lineRule="auto" w:before="83" w:after="0"/>
        <w:ind w:left="1919" w:right="415" w:hanging="567"/>
        <w:jc w:val="both"/>
        <w:rPr>
          <w:sz w:val="24"/>
        </w:rPr>
      </w:pPr>
      <w:r>
        <w:rPr>
          <w:sz w:val="24"/>
        </w:rPr>
        <w:t>the need to provide a reasonable opportunity for the relevant </w:t>
      </w:r>
      <w:r>
        <w:rPr>
          <w:i/>
          <w:sz w:val="24"/>
        </w:rPr>
        <w:t>Distribution </w:t>
      </w:r>
      <w:r>
        <w:rPr>
          <w:i/>
          <w:sz w:val="24"/>
        </w:rPr>
        <w:t>Network Service Provider </w:t>
      </w:r>
      <w:r>
        <w:rPr>
          <w:sz w:val="24"/>
        </w:rPr>
        <w:t>to recover the efficient costs of complying with all applicable </w:t>
      </w:r>
      <w:r>
        <w:rPr>
          <w:i/>
          <w:sz w:val="24"/>
        </w:rPr>
        <w:t>regulatory obligations or requirements </w:t>
      </w:r>
      <w:r>
        <w:rPr>
          <w:sz w:val="24"/>
        </w:rPr>
        <w:t>associated with the provision of </w:t>
      </w:r>
      <w:r>
        <w:rPr>
          <w:i/>
          <w:sz w:val="24"/>
        </w:rPr>
        <w:t>standard control</w:t>
      </w:r>
      <w:r>
        <w:rPr>
          <w:i/>
          <w:spacing w:val="-2"/>
          <w:sz w:val="24"/>
        </w:rPr>
        <w:t> </w:t>
      </w:r>
      <w:r>
        <w:rPr>
          <w:i/>
          <w:sz w:val="24"/>
        </w:rPr>
        <w:t>services</w:t>
      </w:r>
      <w:r>
        <w:rPr>
          <w:sz w:val="24"/>
        </w:rPr>
        <w:t>;</w:t>
      </w:r>
    </w:p>
    <w:p>
      <w:pPr>
        <w:pStyle w:val="ListParagraph"/>
        <w:numPr>
          <w:ilvl w:val="1"/>
          <w:numId w:val="464"/>
        </w:numPr>
        <w:tabs>
          <w:tab w:pos="1919" w:val="left" w:leader="none"/>
        </w:tabs>
        <w:spacing w:line="240" w:lineRule="auto" w:before="120" w:after="0"/>
        <w:ind w:left="1919" w:right="415" w:hanging="567"/>
        <w:jc w:val="both"/>
        <w:rPr>
          <w:sz w:val="24"/>
        </w:rPr>
      </w:pPr>
      <w:r>
        <w:rPr>
          <w:sz w:val="24"/>
        </w:rPr>
        <w:t>the need to provide effective incentives to the </w:t>
      </w:r>
      <w:r>
        <w:rPr>
          <w:i/>
          <w:sz w:val="24"/>
        </w:rPr>
        <w:t>Distribution Network Service </w:t>
      </w:r>
      <w:r>
        <w:rPr>
          <w:i/>
          <w:sz w:val="24"/>
        </w:rPr>
        <w:t>Provider </w:t>
      </w:r>
      <w:r>
        <w:rPr>
          <w:sz w:val="24"/>
        </w:rPr>
        <w:t>to promote economic efficiency in the provision of </w:t>
      </w:r>
      <w:r>
        <w:rPr>
          <w:i/>
          <w:sz w:val="24"/>
        </w:rPr>
        <w:t>standard </w:t>
      </w:r>
      <w:r>
        <w:rPr>
          <w:i/>
          <w:sz w:val="24"/>
        </w:rPr>
        <w:t>control</w:t>
      </w:r>
      <w:r>
        <w:rPr>
          <w:i/>
          <w:spacing w:val="-1"/>
          <w:sz w:val="24"/>
        </w:rPr>
        <w:t> </w:t>
      </w:r>
      <w:r>
        <w:rPr>
          <w:i/>
          <w:sz w:val="24"/>
        </w:rPr>
        <w:t>services</w:t>
      </w:r>
      <w:r>
        <w:rPr>
          <w:sz w:val="24"/>
        </w:rPr>
        <w:t>;</w:t>
      </w:r>
    </w:p>
    <w:p>
      <w:pPr>
        <w:pStyle w:val="ListParagraph"/>
        <w:numPr>
          <w:ilvl w:val="1"/>
          <w:numId w:val="464"/>
        </w:numPr>
        <w:tabs>
          <w:tab w:pos="1919" w:val="left" w:leader="none"/>
        </w:tabs>
        <w:spacing w:line="240" w:lineRule="auto" w:before="120" w:after="0"/>
        <w:ind w:left="1919" w:right="414" w:hanging="567"/>
        <w:jc w:val="both"/>
        <w:rPr>
          <w:sz w:val="24"/>
        </w:rPr>
      </w:pPr>
      <w:r>
        <w:rPr>
          <w:sz w:val="24"/>
        </w:rPr>
        <w:t>whether the relevant project in respect of which capital expenditure was made was evaluated against, and satisfied, the </w:t>
      </w:r>
      <w:r>
        <w:rPr>
          <w:i/>
          <w:sz w:val="24"/>
        </w:rPr>
        <w:t>regulatory investment test for </w:t>
      </w:r>
      <w:r>
        <w:rPr>
          <w:i/>
          <w:sz w:val="24"/>
        </w:rPr>
        <w:t>transmission </w:t>
      </w:r>
      <w:r>
        <w:rPr>
          <w:sz w:val="24"/>
        </w:rPr>
        <w:t>or the </w:t>
      </w:r>
      <w:r>
        <w:rPr>
          <w:i/>
          <w:sz w:val="24"/>
        </w:rPr>
        <w:t>regulatory investment test for distribution </w:t>
      </w:r>
      <w:r>
        <w:rPr>
          <w:sz w:val="24"/>
        </w:rPr>
        <w:t>(as the case may be);</w:t>
      </w:r>
    </w:p>
    <w:p>
      <w:pPr>
        <w:pStyle w:val="ListParagraph"/>
        <w:numPr>
          <w:ilvl w:val="1"/>
          <w:numId w:val="464"/>
        </w:numPr>
        <w:tabs>
          <w:tab w:pos="1919" w:val="left" w:leader="none"/>
        </w:tabs>
        <w:spacing w:line="240" w:lineRule="auto" w:before="120" w:after="0"/>
        <w:ind w:left="1919" w:right="415" w:hanging="567"/>
        <w:jc w:val="both"/>
        <w:rPr>
          <w:sz w:val="24"/>
        </w:rPr>
      </w:pPr>
      <w:r>
        <w:rPr>
          <w:sz w:val="24"/>
        </w:rPr>
        <w:t>whether the </w:t>
      </w:r>
      <w:r>
        <w:rPr>
          <w:i/>
          <w:sz w:val="24"/>
        </w:rPr>
        <w:t>Distribution Network Service Provider </w:t>
      </w:r>
      <w:r>
        <w:rPr>
          <w:sz w:val="24"/>
        </w:rPr>
        <w:t>undertook the capital expenditure in a manner consistent with good business practice and so as to practicably achieve the lowest sustainable cost of delivering the </w:t>
      </w:r>
      <w:r>
        <w:rPr>
          <w:i/>
          <w:sz w:val="24"/>
        </w:rPr>
        <w:t>standard </w:t>
      </w:r>
      <w:r>
        <w:rPr>
          <w:i/>
          <w:sz w:val="24"/>
        </w:rPr>
        <w:t>control services </w:t>
      </w:r>
      <w:r>
        <w:rPr>
          <w:sz w:val="24"/>
        </w:rPr>
        <w:t>to be provided as a consequence of that capital</w:t>
      </w:r>
      <w:r>
        <w:rPr>
          <w:spacing w:val="-10"/>
          <w:sz w:val="24"/>
        </w:rPr>
        <w:t> </w:t>
      </w:r>
      <w:r>
        <w:rPr>
          <w:sz w:val="24"/>
        </w:rPr>
        <w:t>expenditure;</w:t>
      </w:r>
    </w:p>
    <w:p>
      <w:pPr>
        <w:pStyle w:val="ListParagraph"/>
        <w:numPr>
          <w:ilvl w:val="1"/>
          <w:numId w:val="464"/>
        </w:numPr>
        <w:tabs>
          <w:tab w:pos="1919" w:val="left" w:leader="none"/>
        </w:tabs>
        <w:spacing w:line="240" w:lineRule="auto" w:before="120" w:after="0"/>
        <w:ind w:left="1919" w:right="416" w:hanging="567"/>
        <w:jc w:val="both"/>
        <w:rPr>
          <w:sz w:val="24"/>
        </w:rPr>
      </w:pPr>
      <w:r>
        <w:rPr>
          <w:sz w:val="24"/>
        </w:rPr>
        <w:t>the desirability of minimising investment uncertainty for the </w:t>
      </w:r>
      <w:r>
        <w:rPr>
          <w:i/>
          <w:sz w:val="24"/>
        </w:rPr>
        <w:t>Distribution </w:t>
      </w:r>
      <w:r>
        <w:rPr>
          <w:i/>
          <w:sz w:val="24"/>
        </w:rPr>
        <w:t>Network Service</w:t>
      </w:r>
      <w:r>
        <w:rPr>
          <w:i/>
          <w:spacing w:val="-1"/>
          <w:sz w:val="24"/>
        </w:rPr>
        <w:t> </w:t>
      </w:r>
      <w:r>
        <w:rPr>
          <w:i/>
          <w:sz w:val="24"/>
        </w:rPr>
        <w:t>Provider</w:t>
      </w:r>
      <w:r>
        <w:rPr>
          <w:sz w:val="24"/>
        </w:rPr>
        <w:t>;</w:t>
      </w:r>
    </w:p>
    <w:p>
      <w:pPr>
        <w:pStyle w:val="ListParagraph"/>
        <w:numPr>
          <w:ilvl w:val="1"/>
          <w:numId w:val="464"/>
        </w:numPr>
        <w:tabs>
          <w:tab w:pos="1919" w:val="left" w:leader="none"/>
        </w:tabs>
        <w:spacing w:line="240" w:lineRule="auto" w:before="120" w:after="0"/>
        <w:ind w:left="1918" w:right="0" w:hanging="567"/>
        <w:jc w:val="both"/>
        <w:rPr>
          <w:i/>
          <w:sz w:val="24"/>
        </w:rPr>
      </w:pPr>
      <w:r>
        <w:rPr>
          <w:sz w:val="24"/>
        </w:rPr>
        <w:t>the</w:t>
      </w:r>
      <w:r>
        <w:rPr>
          <w:spacing w:val="9"/>
          <w:sz w:val="24"/>
        </w:rPr>
        <w:t> </w:t>
      </w:r>
      <w:r>
        <w:rPr>
          <w:sz w:val="24"/>
        </w:rPr>
        <w:t>need</w:t>
      </w:r>
      <w:r>
        <w:rPr>
          <w:spacing w:val="9"/>
          <w:sz w:val="24"/>
        </w:rPr>
        <w:t> </w:t>
      </w:r>
      <w:r>
        <w:rPr>
          <w:sz w:val="24"/>
        </w:rPr>
        <w:t>to</w:t>
      </w:r>
      <w:r>
        <w:rPr>
          <w:spacing w:val="10"/>
          <w:sz w:val="24"/>
        </w:rPr>
        <w:t> </w:t>
      </w:r>
      <w:r>
        <w:rPr>
          <w:sz w:val="24"/>
        </w:rPr>
        <w:t>provide</w:t>
      </w:r>
      <w:r>
        <w:rPr>
          <w:spacing w:val="9"/>
          <w:sz w:val="24"/>
        </w:rPr>
        <w:t> </w:t>
      </w:r>
      <w:r>
        <w:rPr>
          <w:sz w:val="24"/>
        </w:rPr>
        <w:t>incentives</w:t>
      </w:r>
      <w:r>
        <w:rPr>
          <w:spacing w:val="9"/>
          <w:sz w:val="24"/>
        </w:rPr>
        <w:t> </w:t>
      </w:r>
      <w:r>
        <w:rPr>
          <w:sz w:val="24"/>
        </w:rPr>
        <w:t>to</w:t>
      </w:r>
      <w:r>
        <w:rPr>
          <w:spacing w:val="10"/>
          <w:sz w:val="24"/>
        </w:rPr>
        <w:t> </w:t>
      </w:r>
      <w:r>
        <w:rPr>
          <w:sz w:val="24"/>
        </w:rPr>
        <w:t>the</w:t>
      </w:r>
      <w:r>
        <w:rPr>
          <w:spacing w:val="9"/>
          <w:sz w:val="24"/>
        </w:rPr>
        <w:t> </w:t>
      </w:r>
      <w:r>
        <w:rPr>
          <w:i/>
          <w:sz w:val="24"/>
        </w:rPr>
        <w:t>Distribution</w:t>
      </w:r>
      <w:r>
        <w:rPr>
          <w:i/>
          <w:spacing w:val="10"/>
          <w:sz w:val="24"/>
        </w:rPr>
        <w:t> </w:t>
      </w:r>
      <w:r>
        <w:rPr>
          <w:i/>
          <w:sz w:val="24"/>
        </w:rPr>
        <w:t>Network</w:t>
      </w:r>
      <w:r>
        <w:rPr>
          <w:i/>
          <w:spacing w:val="9"/>
          <w:sz w:val="24"/>
        </w:rPr>
        <w:t> </w:t>
      </w:r>
      <w:r>
        <w:rPr>
          <w:i/>
          <w:sz w:val="24"/>
        </w:rPr>
        <w:t>Service</w:t>
      </w:r>
      <w:r>
        <w:rPr>
          <w:i/>
          <w:spacing w:val="9"/>
          <w:sz w:val="24"/>
        </w:rPr>
        <w:t> </w:t>
      </w:r>
      <w:r>
        <w:rPr>
          <w:i/>
          <w:sz w:val="24"/>
        </w:rPr>
        <w:t>Provider</w:t>
      </w:r>
    </w:p>
    <w:p>
      <w:pPr>
        <w:pStyle w:val="BodyText"/>
        <w:spacing w:before="0"/>
        <w:ind w:left="1919" w:firstLine="0"/>
      </w:pPr>
      <w:r>
        <w:rPr/>
        <w:t>to avoid undertaking inefficient capital expenditure;</w:t>
      </w:r>
    </w:p>
    <w:p>
      <w:pPr>
        <w:pStyle w:val="ListParagraph"/>
        <w:numPr>
          <w:ilvl w:val="1"/>
          <w:numId w:val="464"/>
        </w:numPr>
        <w:tabs>
          <w:tab w:pos="1919" w:val="left" w:leader="none"/>
        </w:tabs>
        <w:spacing w:line="240" w:lineRule="auto" w:before="120" w:after="0"/>
        <w:ind w:left="1919" w:right="415" w:hanging="567"/>
        <w:jc w:val="both"/>
        <w:rPr>
          <w:sz w:val="24"/>
        </w:rPr>
      </w:pPr>
      <w:r>
        <w:rPr>
          <w:sz w:val="24"/>
        </w:rPr>
        <w:t>the value of the relevant asset as shown in independently audited and published</w:t>
      </w:r>
      <w:r>
        <w:rPr>
          <w:spacing w:val="-1"/>
          <w:sz w:val="24"/>
        </w:rPr>
        <w:t> </w:t>
      </w:r>
      <w:r>
        <w:rPr>
          <w:sz w:val="24"/>
        </w:rPr>
        <w:t>accounts.</w:t>
      </w:r>
    </w:p>
    <w:p>
      <w:pPr>
        <w:pStyle w:val="BodyText"/>
        <w:ind w:left="1352" w:right="414" w:firstLine="0"/>
      </w:pPr>
      <w:r>
        <w:rPr/>
        <w:t>In determining the prudency or efficiency of capital expenditure the </w:t>
      </w:r>
      <w:r>
        <w:rPr>
          <w:i/>
        </w:rPr>
        <w:t>AER </w:t>
      </w:r>
      <w:r>
        <w:rPr/>
        <w:t>must only take into account information and analysis that the </w:t>
      </w:r>
      <w:r>
        <w:rPr>
          <w:i/>
        </w:rPr>
        <w:t>Distribution Network </w:t>
      </w:r>
      <w:r>
        <w:rPr>
          <w:i/>
        </w:rPr>
        <w:t>Service Provider </w:t>
      </w:r>
      <w:r>
        <w:rPr/>
        <w:t>could reasonably be expected to have considered or undertaken at the time that it undertook the relevant capital</w:t>
      </w:r>
      <w:r>
        <w:rPr>
          <w:spacing w:val="-3"/>
        </w:rPr>
        <w:t> </w:t>
      </w:r>
      <w:r>
        <w:rPr/>
        <w:t>expenditure.</w:t>
      </w:r>
    </w:p>
    <w:p>
      <w:pPr>
        <w:pStyle w:val="BodyText"/>
        <w:spacing w:before="10"/>
        <w:ind w:firstLine="0"/>
        <w:jc w:val="left"/>
        <w:rPr>
          <w:sz w:val="20"/>
        </w:rPr>
      </w:pPr>
    </w:p>
    <w:p>
      <w:pPr>
        <w:pStyle w:val="Heading4"/>
        <w:tabs>
          <w:tab w:pos="1351" w:val="left" w:leader="none"/>
        </w:tabs>
        <w:ind w:left="218" w:firstLine="0"/>
      </w:pPr>
      <w:bookmarkStart w:name="S6.2.2A Reduction for inefficient past c" w:id="1688"/>
      <w:bookmarkEnd w:id="1688"/>
      <w:r>
        <w:rPr>
          <w:b w:val="0"/>
        </w:rPr>
      </w:r>
      <w:bookmarkStart w:name="_bookmark670" w:id="1689"/>
      <w:bookmarkEnd w:id="1689"/>
      <w:r>
        <w:rPr>
          <w:b w:val="0"/>
        </w:rPr>
      </w:r>
      <w:r>
        <w:rPr/>
        <w:t>S6.2.2A</w:t>
        <w:tab/>
        <w:t>Reduction for inefficient past capital</w:t>
      </w:r>
      <w:r>
        <w:rPr>
          <w:spacing w:val="-6"/>
        </w:rPr>
        <w:t> </w:t>
      </w:r>
      <w:r>
        <w:rPr/>
        <w:t>expenditure</w:t>
      </w:r>
    </w:p>
    <w:p>
      <w:pPr>
        <w:pStyle w:val="ListParagraph"/>
        <w:numPr>
          <w:ilvl w:val="0"/>
          <w:numId w:val="467"/>
        </w:numPr>
        <w:tabs>
          <w:tab w:pos="1919" w:val="left" w:leader="none"/>
        </w:tabs>
        <w:spacing w:line="240" w:lineRule="auto" w:before="120" w:after="0"/>
        <w:ind w:left="1919" w:right="415" w:hanging="567"/>
        <w:jc w:val="both"/>
        <w:rPr>
          <w:sz w:val="24"/>
        </w:rPr>
      </w:pPr>
      <w:r>
        <w:rPr>
          <w:sz w:val="24"/>
        </w:rPr>
        <w:t>Prior to making a decision on the regulatory asset base for a </w:t>
      </w:r>
      <w:r>
        <w:rPr>
          <w:i/>
          <w:sz w:val="24"/>
        </w:rPr>
        <w:t>distribution </w:t>
      </w:r>
      <w:r>
        <w:rPr>
          <w:i/>
          <w:sz w:val="24"/>
        </w:rPr>
        <w:t>system </w:t>
      </w:r>
      <w:r>
        <w:rPr>
          <w:sz w:val="24"/>
        </w:rPr>
        <w:t>as required by clause 6.12.1(6), the </w:t>
      </w:r>
      <w:r>
        <w:rPr>
          <w:i/>
          <w:sz w:val="24"/>
        </w:rPr>
        <w:t>AER </w:t>
      </w:r>
      <w:r>
        <w:rPr>
          <w:sz w:val="24"/>
        </w:rPr>
        <w:t>may determine under this clause S6.2.2A that the amount of capital expenditure as a result of which the previous value of the regulatory asset base would otherwise be increased in accordance with clause S6.2.1(e) should be</w:t>
      </w:r>
      <w:r>
        <w:rPr>
          <w:spacing w:val="-6"/>
          <w:sz w:val="24"/>
        </w:rPr>
        <w:t> </w:t>
      </w:r>
      <w:r>
        <w:rPr>
          <w:sz w:val="24"/>
        </w:rPr>
        <w:t>reduced.</w:t>
      </w:r>
    </w:p>
    <w:p>
      <w:pPr>
        <w:pStyle w:val="BodyText"/>
        <w:ind w:left="1352" w:firstLine="0"/>
      </w:pPr>
      <w:r>
        <w:rPr/>
        <w:t>(a1) for the purposes of this clause S6.2.2A, "</w:t>
      </w:r>
      <w:r>
        <w:rPr>
          <w:b/>
        </w:rPr>
        <w:t>review period</w:t>
      </w:r>
      <w:r>
        <w:rPr/>
        <w:t>" means:</w:t>
      </w:r>
    </w:p>
    <w:p>
      <w:pPr>
        <w:pStyle w:val="ListParagraph"/>
        <w:numPr>
          <w:ilvl w:val="1"/>
          <w:numId w:val="467"/>
        </w:numPr>
        <w:tabs>
          <w:tab w:pos="2486" w:val="left" w:leader="none"/>
        </w:tabs>
        <w:spacing w:line="240" w:lineRule="auto" w:before="120" w:after="0"/>
        <w:ind w:left="2486" w:right="415" w:hanging="567"/>
        <w:jc w:val="both"/>
        <w:rPr>
          <w:sz w:val="24"/>
        </w:rPr>
      </w:pPr>
      <w:r>
        <w:rPr>
          <w:sz w:val="24"/>
        </w:rPr>
        <w:t>the previous control period (excluding the last two </w:t>
      </w:r>
      <w:r>
        <w:rPr>
          <w:i/>
          <w:sz w:val="24"/>
        </w:rPr>
        <w:t>regulatory years </w:t>
      </w:r>
      <w:r>
        <w:rPr>
          <w:sz w:val="24"/>
        </w:rPr>
        <w:t>of that previous control period);</w:t>
      </w:r>
      <w:r>
        <w:rPr>
          <w:spacing w:val="-2"/>
          <w:sz w:val="24"/>
        </w:rPr>
        <w:t> </w:t>
      </w:r>
      <w:r>
        <w:rPr>
          <w:sz w:val="24"/>
        </w:rPr>
        <w:t>and</w:t>
      </w:r>
    </w:p>
    <w:p>
      <w:pPr>
        <w:pStyle w:val="ListParagraph"/>
        <w:numPr>
          <w:ilvl w:val="1"/>
          <w:numId w:val="467"/>
        </w:numPr>
        <w:tabs>
          <w:tab w:pos="2486" w:val="left" w:leader="none"/>
        </w:tabs>
        <w:spacing w:line="240" w:lineRule="auto" w:before="120" w:after="0"/>
        <w:ind w:left="2485" w:right="0" w:hanging="567"/>
        <w:jc w:val="both"/>
        <w:rPr>
          <w:i/>
          <w:sz w:val="24"/>
        </w:rPr>
      </w:pPr>
      <w:r>
        <w:rPr>
          <w:sz w:val="24"/>
        </w:rPr>
        <w:t>the</w:t>
      </w:r>
      <w:r>
        <w:rPr>
          <w:spacing w:val="40"/>
          <w:sz w:val="24"/>
        </w:rPr>
        <w:t> </w:t>
      </w:r>
      <w:r>
        <w:rPr>
          <w:sz w:val="24"/>
        </w:rPr>
        <w:t>last</w:t>
      </w:r>
      <w:r>
        <w:rPr>
          <w:spacing w:val="39"/>
          <w:sz w:val="24"/>
        </w:rPr>
        <w:t> </w:t>
      </w:r>
      <w:r>
        <w:rPr>
          <w:sz w:val="24"/>
        </w:rPr>
        <w:t>two</w:t>
      </w:r>
      <w:r>
        <w:rPr>
          <w:spacing w:val="41"/>
          <w:sz w:val="24"/>
        </w:rPr>
        <w:t> </w:t>
      </w:r>
      <w:r>
        <w:rPr>
          <w:i/>
          <w:sz w:val="24"/>
        </w:rPr>
        <w:t>regulatory</w:t>
      </w:r>
      <w:r>
        <w:rPr>
          <w:i/>
          <w:spacing w:val="39"/>
          <w:sz w:val="24"/>
        </w:rPr>
        <w:t> </w:t>
      </w:r>
      <w:r>
        <w:rPr>
          <w:i/>
          <w:sz w:val="24"/>
        </w:rPr>
        <w:t>years</w:t>
      </w:r>
      <w:r>
        <w:rPr>
          <w:i/>
          <w:spacing w:val="40"/>
          <w:sz w:val="24"/>
        </w:rPr>
        <w:t> </w:t>
      </w:r>
      <w:r>
        <w:rPr>
          <w:sz w:val="24"/>
        </w:rPr>
        <w:t>of</w:t>
      </w:r>
      <w:r>
        <w:rPr>
          <w:spacing w:val="40"/>
          <w:sz w:val="24"/>
        </w:rPr>
        <w:t> </w:t>
      </w:r>
      <w:r>
        <w:rPr>
          <w:sz w:val="24"/>
        </w:rPr>
        <w:t>the</w:t>
      </w:r>
      <w:r>
        <w:rPr>
          <w:spacing w:val="40"/>
          <w:sz w:val="24"/>
        </w:rPr>
        <w:t> </w:t>
      </w:r>
      <w:r>
        <w:rPr>
          <w:i/>
          <w:sz w:val="24"/>
        </w:rPr>
        <w:t>regulatory</w:t>
      </w:r>
      <w:r>
        <w:rPr>
          <w:i/>
          <w:spacing w:val="40"/>
          <w:sz w:val="24"/>
        </w:rPr>
        <w:t> </w:t>
      </w:r>
      <w:r>
        <w:rPr>
          <w:i/>
          <w:sz w:val="24"/>
        </w:rPr>
        <w:t>control</w:t>
      </w:r>
      <w:r>
        <w:rPr>
          <w:i/>
          <w:spacing w:val="39"/>
          <w:sz w:val="24"/>
        </w:rPr>
        <w:t> </w:t>
      </w:r>
      <w:r>
        <w:rPr>
          <w:i/>
          <w:sz w:val="24"/>
        </w:rPr>
        <w:t>period</w:t>
      </w:r>
    </w:p>
    <w:p>
      <w:pPr>
        <w:pStyle w:val="BodyText"/>
        <w:spacing w:before="0"/>
        <w:ind w:left="2486" w:firstLine="0"/>
      </w:pPr>
      <w:r>
        <w:rPr/>
        <w:t>preceding the previous control period.</w:t>
      </w:r>
    </w:p>
    <w:p>
      <w:pPr>
        <w:spacing w:before="120"/>
        <w:ind w:left="1919" w:right="415" w:hanging="567"/>
        <w:jc w:val="both"/>
        <w:rPr>
          <w:sz w:val="24"/>
        </w:rPr>
      </w:pPr>
      <w:r>
        <w:rPr>
          <w:sz w:val="24"/>
        </w:rPr>
        <w:t>(a2) However, for a decision on the regulatory asset base for  a  </w:t>
      </w:r>
      <w:r>
        <w:rPr>
          <w:i/>
          <w:sz w:val="24"/>
        </w:rPr>
        <w:t>distribution </w:t>
      </w:r>
      <w:r>
        <w:rPr>
          <w:i/>
          <w:sz w:val="24"/>
        </w:rPr>
        <w:t>system </w:t>
      </w:r>
      <w:r>
        <w:rPr>
          <w:sz w:val="24"/>
        </w:rPr>
        <w:t>in this jurisdiction as at the commencement of the </w:t>
      </w:r>
      <w:r>
        <w:rPr>
          <w:i/>
          <w:sz w:val="24"/>
        </w:rPr>
        <w:t>2nd regulatory </w:t>
      </w:r>
      <w:r>
        <w:rPr>
          <w:i/>
          <w:sz w:val="24"/>
        </w:rPr>
        <w:t>control period</w:t>
      </w:r>
      <w:r>
        <w:rPr>
          <w:sz w:val="24"/>
        </w:rPr>
        <w:t>, "</w:t>
      </w:r>
      <w:r>
        <w:rPr>
          <w:b/>
          <w:sz w:val="24"/>
        </w:rPr>
        <w:t>review period</w:t>
      </w:r>
      <w:r>
        <w:rPr>
          <w:sz w:val="24"/>
        </w:rPr>
        <w:t>" means only the previous control period (excluding the last two </w:t>
      </w:r>
      <w:r>
        <w:rPr>
          <w:i/>
          <w:sz w:val="24"/>
        </w:rPr>
        <w:t>regulatory years </w:t>
      </w:r>
      <w:r>
        <w:rPr>
          <w:sz w:val="24"/>
        </w:rPr>
        <w:t>of that previous control</w:t>
      </w:r>
      <w:r>
        <w:rPr>
          <w:spacing w:val="-6"/>
          <w:sz w:val="24"/>
        </w:rPr>
        <w:t> </w:t>
      </w:r>
      <w:r>
        <w:rPr>
          <w:sz w:val="24"/>
        </w:rPr>
        <w:t>period).</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This paragraph expires on 1 July 2029.</w:t>
      </w:r>
    </w:p>
    <w:p>
      <w:pPr>
        <w:spacing w:after="0"/>
        <w:jc w:val="both"/>
        <w:rPr>
          <w:sz w:val="20"/>
        </w:rPr>
        <w:sectPr>
          <w:pgSz w:w="11910" w:h="16840"/>
          <w:pgMar w:header="686" w:footer="637" w:top="1320" w:bottom="820" w:left="1200" w:right="1000"/>
        </w:sectPr>
      </w:pPr>
    </w:p>
    <w:p>
      <w:pPr>
        <w:pStyle w:val="ListParagraph"/>
        <w:numPr>
          <w:ilvl w:val="0"/>
          <w:numId w:val="467"/>
        </w:numPr>
        <w:tabs>
          <w:tab w:pos="1919" w:val="left" w:leader="none"/>
        </w:tabs>
        <w:spacing w:line="240" w:lineRule="auto" w:before="83" w:after="0"/>
        <w:ind w:left="1919" w:right="415" w:hanging="567"/>
        <w:jc w:val="both"/>
        <w:rPr>
          <w:sz w:val="24"/>
        </w:rPr>
      </w:pPr>
      <w:r>
        <w:rPr>
          <w:sz w:val="24"/>
        </w:rPr>
        <w:t>The </w:t>
      </w:r>
      <w:r>
        <w:rPr>
          <w:i/>
          <w:sz w:val="24"/>
        </w:rPr>
        <w:t>AER </w:t>
      </w:r>
      <w:r>
        <w:rPr>
          <w:sz w:val="24"/>
        </w:rPr>
        <w:t>may only make a determination under paragraph (a) if any of the following requirements is</w:t>
      </w:r>
      <w:r>
        <w:rPr>
          <w:spacing w:val="-1"/>
          <w:sz w:val="24"/>
        </w:rPr>
        <w:t> </w:t>
      </w:r>
      <w:r>
        <w:rPr>
          <w:sz w:val="24"/>
        </w:rPr>
        <w:t>satisfied:</w:t>
      </w:r>
    </w:p>
    <w:p>
      <w:pPr>
        <w:pStyle w:val="ListParagraph"/>
        <w:numPr>
          <w:ilvl w:val="1"/>
          <w:numId w:val="467"/>
        </w:numPr>
        <w:tabs>
          <w:tab w:pos="2486" w:val="left" w:leader="none"/>
        </w:tabs>
        <w:spacing w:line="240" w:lineRule="auto" w:before="120" w:after="0"/>
        <w:ind w:left="2486" w:right="416" w:hanging="567"/>
        <w:jc w:val="both"/>
        <w:rPr>
          <w:sz w:val="24"/>
        </w:rPr>
      </w:pPr>
      <w:r>
        <w:rPr>
          <w:sz w:val="24"/>
        </w:rPr>
        <w:t>the requirement set out in paragraph (c) (the </w:t>
      </w:r>
      <w:r>
        <w:rPr>
          <w:i/>
          <w:sz w:val="24"/>
        </w:rPr>
        <w:t>overspending </w:t>
      </w:r>
      <w:r>
        <w:rPr>
          <w:i/>
          <w:sz w:val="24"/>
        </w:rPr>
        <w:t>requirement</w:t>
      </w:r>
      <w:r>
        <w:rPr>
          <w:sz w:val="24"/>
        </w:rPr>
        <w:t>);</w:t>
      </w:r>
    </w:p>
    <w:p>
      <w:pPr>
        <w:pStyle w:val="ListParagraph"/>
        <w:numPr>
          <w:ilvl w:val="1"/>
          <w:numId w:val="467"/>
        </w:numPr>
        <w:tabs>
          <w:tab w:pos="2486" w:val="left" w:leader="none"/>
        </w:tabs>
        <w:spacing w:line="240" w:lineRule="auto" w:before="120" w:after="0"/>
        <w:ind w:left="2485" w:right="0" w:hanging="567"/>
        <w:jc w:val="both"/>
        <w:rPr>
          <w:sz w:val="24"/>
        </w:rPr>
      </w:pPr>
      <w:r>
        <w:rPr>
          <w:sz w:val="24"/>
        </w:rPr>
        <w:t>the requirement set out in paragraph (d) (the </w:t>
      </w:r>
      <w:r>
        <w:rPr>
          <w:i/>
          <w:sz w:val="24"/>
        </w:rPr>
        <w:t>margin requirement</w:t>
      </w:r>
      <w:r>
        <w:rPr>
          <w:sz w:val="24"/>
        </w:rPr>
        <w:t>);</w:t>
      </w:r>
      <w:r>
        <w:rPr>
          <w:spacing w:val="-12"/>
          <w:sz w:val="24"/>
        </w:rPr>
        <w:t> </w:t>
      </w:r>
      <w:r>
        <w:rPr>
          <w:sz w:val="24"/>
        </w:rPr>
        <w:t>or</w:t>
      </w:r>
    </w:p>
    <w:p>
      <w:pPr>
        <w:pStyle w:val="ListParagraph"/>
        <w:numPr>
          <w:ilvl w:val="1"/>
          <w:numId w:val="467"/>
        </w:numPr>
        <w:tabs>
          <w:tab w:pos="2486" w:val="left" w:leader="none"/>
        </w:tabs>
        <w:spacing w:line="240" w:lineRule="auto" w:before="120" w:after="0"/>
        <w:ind w:left="2486" w:right="416" w:hanging="567"/>
        <w:jc w:val="both"/>
        <w:rPr>
          <w:sz w:val="24"/>
        </w:rPr>
      </w:pPr>
      <w:r>
        <w:rPr>
          <w:sz w:val="24"/>
        </w:rPr>
        <w:t>the requirement set out in paragraph (e) (the </w:t>
      </w:r>
      <w:r>
        <w:rPr>
          <w:i/>
          <w:sz w:val="24"/>
        </w:rPr>
        <w:t>capitalisation </w:t>
      </w:r>
      <w:r>
        <w:rPr>
          <w:i/>
          <w:sz w:val="24"/>
        </w:rPr>
        <w:t>requirement</w:t>
      </w:r>
      <w:r>
        <w:rPr>
          <w:sz w:val="24"/>
        </w:rPr>
        <w:t>).</w:t>
      </w:r>
    </w:p>
    <w:p>
      <w:pPr>
        <w:pStyle w:val="ListParagraph"/>
        <w:numPr>
          <w:ilvl w:val="0"/>
          <w:numId w:val="467"/>
        </w:numPr>
        <w:tabs>
          <w:tab w:pos="1919" w:val="left" w:leader="none"/>
        </w:tabs>
        <w:spacing w:line="240" w:lineRule="auto" w:before="120" w:after="0"/>
        <w:ind w:left="1919" w:right="417" w:hanging="567"/>
        <w:jc w:val="both"/>
        <w:rPr>
          <w:sz w:val="24"/>
        </w:rPr>
      </w:pPr>
      <w:r>
        <w:rPr>
          <w:sz w:val="24"/>
        </w:rPr>
        <w:t>The </w:t>
      </w:r>
      <w:r>
        <w:rPr>
          <w:i/>
          <w:sz w:val="24"/>
        </w:rPr>
        <w:t>overspending requirement </w:t>
      </w:r>
      <w:r>
        <w:rPr>
          <w:sz w:val="24"/>
        </w:rPr>
        <w:t>is satisfied where the sum of all capital expenditure incurred during the review period exceeds the sum</w:t>
      </w:r>
      <w:r>
        <w:rPr>
          <w:spacing w:val="-3"/>
          <w:sz w:val="24"/>
        </w:rPr>
        <w:t> </w:t>
      </w:r>
      <w:r>
        <w:rPr>
          <w:sz w:val="24"/>
        </w:rPr>
        <w:t>of:</w:t>
      </w:r>
    </w:p>
    <w:p>
      <w:pPr>
        <w:pStyle w:val="ListParagraph"/>
        <w:numPr>
          <w:ilvl w:val="1"/>
          <w:numId w:val="467"/>
        </w:numPr>
        <w:tabs>
          <w:tab w:pos="2486" w:val="left" w:leader="none"/>
        </w:tabs>
        <w:spacing w:line="240" w:lineRule="auto" w:before="120" w:after="0"/>
        <w:ind w:left="2486" w:right="415" w:hanging="567"/>
        <w:jc w:val="both"/>
        <w:rPr>
          <w:sz w:val="24"/>
        </w:rPr>
      </w:pPr>
      <w:r>
        <w:rPr>
          <w:sz w:val="24"/>
        </w:rPr>
        <w:t>the forecast capital expenditure accepted or substituted by the </w:t>
      </w:r>
      <w:r>
        <w:rPr>
          <w:i/>
          <w:sz w:val="24"/>
        </w:rPr>
        <w:t>AER </w:t>
      </w:r>
      <w:r>
        <w:rPr>
          <w:sz w:val="24"/>
        </w:rPr>
        <w:t>for the review period as such forecast capital expenditure has been adjusted in accordance with clauses 6.6.5(f) and 6.6A.2(h);</w:t>
      </w:r>
      <w:r>
        <w:rPr>
          <w:spacing w:val="-2"/>
          <w:sz w:val="24"/>
        </w:rPr>
        <w:t> </w:t>
      </w:r>
      <w:r>
        <w:rPr>
          <w:sz w:val="24"/>
        </w:rPr>
        <w:t>and</w:t>
      </w:r>
    </w:p>
    <w:p>
      <w:pPr>
        <w:pStyle w:val="ListParagraph"/>
        <w:numPr>
          <w:ilvl w:val="1"/>
          <w:numId w:val="467"/>
        </w:numPr>
        <w:tabs>
          <w:tab w:pos="2486" w:val="left" w:leader="none"/>
        </w:tabs>
        <w:spacing w:line="240" w:lineRule="auto" w:before="120" w:after="0"/>
        <w:ind w:left="2486" w:right="414" w:hanging="567"/>
        <w:jc w:val="both"/>
        <w:rPr>
          <w:sz w:val="24"/>
        </w:rPr>
      </w:pPr>
      <w:r>
        <w:rPr>
          <w:sz w:val="24"/>
        </w:rPr>
        <w:t>any capital expenditure that is recovered by way of such part of an </w:t>
      </w:r>
      <w:r>
        <w:rPr>
          <w:i/>
          <w:sz w:val="24"/>
        </w:rPr>
        <w:t>approved pass through amount </w:t>
      </w:r>
      <w:r>
        <w:rPr>
          <w:sz w:val="24"/>
        </w:rPr>
        <w:t>as is permitted to be passed through to </w:t>
      </w:r>
      <w:r>
        <w:rPr>
          <w:i/>
          <w:sz w:val="24"/>
        </w:rPr>
        <w:t>Distribution Network Users </w:t>
      </w:r>
      <w:r>
        <w:rPr>
          <w:sz w:val="24"/>
        </w:rPr>
        <w:t>during the review period less any capital expenditure that is included in a </w:t>
      </w:r>
      <w:r>
        <w:rPr>
          <w:i/>
          <w:sz w:val="24"/>
        </w:rPr>
        <w:t>negative pass through amount </w:t>
      </w:r>
      <w:r>
        <w:rPr>
          <w:sz w:val="24"/>
        </w:rPr>
        <w:t>that is required to be passed through to </w:t>
      </w:r>
      <w:r>
        <w:rPr>
          <w:i/>
          <w:sz w:val="24"/>
        </w:rPr>
        <w:t>Distribution Network Users </w:t>
      </w:r>
      <w:r>
        <w:rPr>
          <w:sz w:val="24"/>
        </w:rPr>
        <w:t>during the review</w:t>
      </w:r>
      <w:r>
        <w:rPr>
          <w:spacing w:val="-1"/>
          <w:sz w:val="24"/>
        </w:rPr>
        <w:t> </w:t>
      </w:r>
      <w:r>
        <w:rPr>
          <w:sz w:val="24"/>
        </w:rPr>
        <w:t>period.</w:t>
      </w:r>
    </w:p>
    <w:p>
      <w:pPr>
        <w:pStyle w:val="ListParagraph"/>
        <w:numPr>
          <w:ilvl w:val="0"/>
          <w:numId w:val="467"/>
        </w:numPr>
        <w:tabs>
          <w:tab w:pos="1919" w:val="left" w:leader="none"/>
        </w:tabs>
        <w:spacing w:line="240" w:lineRule="auto" w:before="120" w:after="0"/>
        <w:ind w:left="1919" w:right="414" w:hanging="567"/>
        <w:jc w:val="both"/>
        <w:rPr>
          <w:sz w:val="24"/>
        </w:rPr>
      </w:pPr>
      <w:r>
        <w:rPr>
          <w:sz w:val="24"/>
        </w:rPr>
        <w:t>The </w:t>
      </w:r>
      <w:r>
        <w:rPr>
          <w:i/>
          <w:sz w:val="24"/>
        </w:rPr>
        <w:t>margin requirement </w:t>
      </w:r>
      <w:r>
        <w:rPr>
          <w:sz w:val="24"/>
        </w:rPr>
        <w:t>is satisfied where the amount of the capital expenditure as a result of which the previous value of the regulatory asset base would otherwise be increased in accordance with clause S6.2.1(e) includes capital expenditure that represents a margin paid by the </w:t>
      </w:r>
      <w:r>
        <w:rPr>
          <w:i/>
          <w:sz w:val="24"/>
        </w:rPr>
        <w:t>Distribution Network Service Provider </w:t>
      </w:r>
      <w:r>
        <w:rPr>
          <w:sz w:val="24"/>
        </w:rPr>
        <w:t>in circumstances where the margin is referable to arrangements that, in the opinion of the </w:t>
      </w:r>
      <w:r>
        <w:rPr>
          <w:i/>
          <w:sz w:val="24"/>
        </w:rPr>
        <w:t>AER</w:t>
      </w:r>
      <w:r>
        <w:rPr>
          <w:sz w:val="24"/>
        </w:rPr>
        <w:t>, do not reflect arm's length</w:t>
      </w:r>
      <w:r>
        <w:rPr>
          <w:spacing w:val="-1"/>
          <w:sz w:val="24"/>
        </w:rPr>
        <w:t> </w:t>
      </w:r>
      <w:r>
        <w:rPr>
          <w:sz w:val="24"/>
        </w:rPr>
        <w:t>terms.</w:t>
      </w:r>
    </w:p>
    <w:p>
      <w:pPr>
        <w:pStyle w:val="ListParagraph"/>
        <w:numPr>
          <w:ilvl w:val="0"/>
          <w:numId w:val="467"/>
        </w:numPr>
        <w:tabs>
          <w:tab w:pos="1919" w:val="left" w:leader="none"/>
        </w:tabs>
        <w:spacing w:line="240" w:lineRule="auto" w:before="120" w:after="0"/>
        <w:ind w:left="1919" w:right="415" w:hanging="567"/>
        <w:jc w:val="both"/>
        <w:rPr>
          <w:sz w:val="24"/>
        </w:rPr>
      </w:pPr>
      <w:r>
        <w:rPr>
          <w:sz w:val="24"/>
        </w:rPr>
        <w:t>The </w:t>
      </w:r>
      <w:r>
        <w:rPr>
          <w:i/>
          <w:sz w:val="24"/>
        </w:rPr>
        <w:t>capitalisation requirement </w:t>
      </w:r>
      <w:r>
        <w:rPr>
          <w:sz w:val="24"/>
        </w:rPr>
        <w:t>is satisfied where the amount of the capital expenditure as a result of which the previous value of the regulatory asset base would otherwise be increased in accordance with clause S6.2.1(e) includes expenditure that, under the </w:t>
      </w:r>
      <w:r>
        <w:rPr>
          <w:i/>
          <w:sz w:val="24"/>
        </w:rPr>
        <w:t>Distribution Network Service Provider's </w:t>
      </w:r>
      <w:r>
        <w:rPr>
          <w:sz w:val="24"/>
        </w:rPr>
        <w:t>applicable capitalisation policy submitted to the </w:t>
      </w:r>
      <w:r>
        <w:rPr>
          <w:i/>
          <w:sz w:val="24"/>
        </w:rPr>
        <w:t>AER </w:t>
      </w:r>
      <w:r>
        <w:rPr>
          <w:sz w:val="24"/>
        </w:rPr>
        <w:t>as part of a </w:t>
      </w:r>
      <w:r>
        <w:rPr>
          <w:i/>
          <w:sz w:val="24"/>
        </w:rPr>
        <w:t>regulatory </w:t>
      </w:r>
      <w:r>
        <w:rPr>
          <w:i/>
          <w:sz w:val="24"/>
        </w:rPr>
        <w:t>proposal</w:t>
      </w:r>
      <w:r>
        <w:rPr>
          <w:sz w:val="24"/>
        </w:rPr>
        <w:t>, should have been treated as operating</w:t>
      </w:r>
      <w:r>
        <w:rPr>
          <w:spacing w:val="-4"/>
          <w:sz w:val="24"/>
        </w:rPr>
        <w:t> </w:t>
      </w:r>
      <w:r>
        <w:rPr>
          <w:sz w:val="24"/>
        </w:rPr>
        <w:t>expenditure.</w:t>
      </w:r>
    </w:p>
    <w:p>
      <w:pPr>
        <w:pStyle w:val="ListParagraph"/>
        <w:numPr>
          <w:ilvl w:val="0"/>
          <w:numId w:val="467"/>
        </w:numPr>
        <w:tabs>
          <w:tab w:pos="1920" w:val="left" w:leader="none"/>
        </w:tabs>
        <w:spacing w:line="240" w:lineRule="auto" w:before="120" w:after="0"/>
        <w:ind w:left="1919" w:right="0" w:hanging="568"/>
        <w:jc w:val="both"/>
        <w:rPr>
          <w:sz w:val="24"/>
        </w:rPr>
      </w:pPr>
      <w:r>
        <w:rPr>
          <w:sz w:val="24"/>
        </w:rPr>
        <w:t>Where</w:t>
      </w:r>
      <w:r>
        <w:rPr>
          <w:spacing w:val="14"/>
          <w:sz w:val="24"/>
        </w:rPr>
        <w:t> </w:t>
      </w:r>
      <w:r>
        <w:rPr>
          <w:sz w:val="24"/>
        </w:rPr>
        <w:t>the</w:t>
      </w:r>
      <w:r>
        <w:rPr>
          <w:spacing w:val="15"/>
          <w:sz w:val="24"/>
        </w:rPr>
        <w:t> </w:t>
      </w:r>
      <w:r>
        <w:rPr>
          <w:i/>
          <w:sz w:val="24"/>
        </w:rPr>
        <w:t>overspending</w:t>
      </w:r>
      <w:r>
        <w:rPr>
          <w:i/>
          <w:spacing w:val="15"/>
          <w:sz w:val="24"/>
        </w:rPr>
        <w:t> </w:t>
      </w:r>
      <w:r>
        <w:rPr>
          <w:i/>
          <w:sz w:val="24"/>
        </w:rPr>
        <w:t>requirement</w:t>
      </w:r>
      <w:r>
        <w:rPr>
          <w:i/>
          <w:spacing w:val="15"/>
          <w:sz w:val="24"/>
        </w:rPr>
        <w:t> </w:t>
      </w:r>
      <w:r>
        <w:rPr>
          <w:sz w:val="24"/>
        </w:rPr>
        <w:t>is</w:t>
      </w:r>
      <w:r>
        <w:rPr>
          <w:spacing w:val="15"/>
          <w:sz w:val="24"/>
        </w:rPr>
        <w:t> </w:t>
      </w:r>
      <w:r>
        <w:rPr>
          <w:sz w:val="24"/>
        </w:rPr>
        <w:t>satisfied,</w:t>
      </w:r>
      <w:r>
        <w:rPr>
          <w:spacing w:val="15"/>
          <w:sz w:val="24"/>
        </w:rPr>
        <w:t> </w:t>
      </w:r>
      <w:r>
        <w:rPr>
          <w:sz w:val="24"/>
        </w:rPr>
        <w:t>and</w:t>
      </w:r>
      <w:r>
        <w:rPr>
          <w:spacing w:val="15"/>
          <w:sz w:val="24"/>
        </w:rPr>
        <w:t> </w:t>
      </w:r>
      <w:r>
        <w:rPr>
          <w:sz w:val="24"/>
        </w:rPr>
        <w:t>subject</w:t>
      </w:r>
      <w:r>
        <w:rPr>
          <w:spacing w:val="15"/>
          <w:sz w:val="24"/>
        </w:rPr>
        <w:t> </w:t>
      </w:r>
      <w:r>
        <w:rPr>
          <w:sz w:val="24"/>
        </w:rPr>
        <w:t>to</w:t>
      </w:r>
      <w:r>
        <w:rPr>
          <w:spacing w:val="15"/>
          <w:sz w:val="24"/>
        </w:rPr>
        <w:t> </w:t>
      </w:r>
      <w:r>
        <w:rPr>
          <w:sz w:val="24"/>
        </w:rPr>
        <w:t>paragraphs</w:t>
      </w:r>
    </w:p>
    <w:p>
      <w:pPr>
        <w:pStyle w:val="ListParagraph"/>
        <w:numPr>
          <w:ilvl w:val="0"/>
          <w:numId w:val="467"/>
        </w:numPr>
        <w:tabs>
          <w:tab w:pos="2349" w:val="left" w:leader="none"/>
        </w:tabs>
        <w:spacing w:line="240" w:lineRule="auto" w:before="0" w:after="0"/>
        <w:ind w:left="1919" w:right="414" w:firstLine="0"/>
        <w:jc w:val="both"/>
        <w:rPr>
          <w:sz w:val="24"/>
        </w:rPr>
      </w:pPr>
      <w:r>
        <w:rPr>
          <w:sz w:val="24"/>
        </w:rPr>
        <w:t>and (h), the </w:t>
      </w:r>
      <w:r>
        <w:rPr>
          <w:i/>
          <w:sz w:val="24"/>
        </w:rPr>
        <w:t>AER </w:t>
      </w:r>
      <w:r>
        <w:rPr>
          <w:sz w:val="24"/>
        </w:rPr>
        <w:t>may determine that the amount of the capital expenditure as a result of which the previous value of the regulatory asset base would otherwise be increased in accordance with clause S6.2.1(e) should be reduced by such amount as the </w:t>
      </w:r>
      <w:r>
        <w:rPr>
          <w:i/>
          <w:sz w:val="24"/>
        </w:rPr>
        <w:t>AER </w:t>
      </w:r>
      <w:r>
        <w:rPr>
          <w:sz w:val="24"/>
        </w:rPr>
        <w:t>is satisfied corresponds to capital expenditure incurred during the review period that does not reasonably reflect the </w:t>
      </w:r>
      <w:r>
        <w:rPr>
          <w:i/>
          <w:sz w:val="24"/>
        </w:rPr>
        <w:t>capital expenditure</w:t>
      </w:r>
      <w:r>
        <w:rPr>
          <w:i/>
          <w:spacing w:val="-1"/>
          <w:sz w:val="24"/>
        </w:rPr>
        <w:t> </w:t>
      </w:r>
      <w:r>
        <w:rPr>
          <w:i/>
          <w:sz w:val="24"/>
        </w:rPr>
        <w:t>criteria</w:t>
      </w:r>
      <w:r>
        <w:rPr>
          <w:sz w:val="24"/>
        </w:rPr>
        <w:t>.</w:t>
      </w:r>
    </w:p>
    <w:p>
      <w:pPr>
        <w:pStyle w:val="ListParagraph"/>
        <w:numPr>
          <w:ilvl w:val="0"/>
          <w:numId w:val="468"/>
        </w:numPr>
        <w:tabs>
          <w:tab w:pos="1919" w:val="left" w:leader="none"/>
        </w:tabs>
        <w:spacing w:line="240" w:lineRule="auto" w:before="120" w:after="0"/>
        <w:ind w:left="1918" w:right="0" w:hanging="567"/>
        <w:jc w:val="both"/>
        <w:rPr>
          <w:sz w:val="24"/>
        </w:rPr>
      </w:pPr>
      <w:r>
        <w:rPr>
          <w:sz w:val="24"/>
        </w:rPr>
        <w:t>The amount determined by the </w:t>
      </w:r>
      <w:r>
        <w:rPr>
          <w:i/>
          <w:sz w:val="24"/>
        </w:rPr>
        <w:t>AER </w:t>
      </w:r>
      <w:r>
        <w:rPr>
          <w:sz w:val="24"/>
        </w:rPr>
        <w:t>under paragraph</w:t>
      </w:r>
      <w:r>
        <w:rPr>
          <w:spacing w:val="-2"/>
          <w:sz w:val="24"/>
        </w:rPr>
        <w:t> </w:t>
      </w:r>
      <w:r>
        <w:rPr>
          <w:sz w:val="24"/>
        </w:rPr>
        <w:t>(f):</w:t>
      </w:r>
    </w:p>
    <w:p>
      <w:pPr>
        <w:pStyle w:val="ListParagraph"/>
        <w:numPr>
          <w:ilvl w:val="1"/>
          <w:numId w:val="468"/>
        </w:numPr>
        <w:tabs>
          <w:tab w:pos="2485" w:val="left" w:leader="none"/>
          <w:tab w:pos="2486" w:val="left" w:leader="none"/>
        </w:tabs>
        <w:spacing w:line="240" w:lineRule="auto" w:before="120" w:after="0"/>
        <w:ind w:left="2486" w:right="415" w:hanging="567"/>
        <w:jc w:val="left"/>
        <w:rPr>
          <w:sz w:val="24"/>
        </w:rPr>
      </w:pPr>
      <w:r>
        <w:rPr>
          <w:sz w:val="24"/>
        </w:rPr>
        <w:t>must not be greater than the amount calculated in accordance with paragraph</w:t>
      </w:r>
      <w:r>
        <w:rPr>
          <w:spacing w:val="-1"/>
          <w:sz w:val="24"/>
        </w:rPr>
        <w:t> </w:t>
      </w:r>
      <w:r>
        <w:rPr>
          <w:sz w:val="24"/>
        </w:rPr>
        <w:t>(c);</w:t>
      </w:r>
    </w:p>
    <w:p>
      <w:pPr>
        <w:pStyle w:val="ListParagraph"/>
        <w:numPr>
          <w:ilvl w:val="1"/>
          <w:numId w:val="468"/>
        </w:numPr>
        <w:tabs>
          <w:tab w:pos="2485" w:val="left" w:leader="none"/>
          <w:tab w:pos="2486" w:val="left" w:leader="none"/>
        </w:tabs>
        <w:spacing w:line="240" w:lineRule="auto" w:before="120" w:after="0"/>
        <w:ind w:left="2486" w:right="414" w:hanging="567"/>
        <w:jc w:val="left"/>
        <w:rPr>
          <w:sz w:val="24"/>
        </w:rPr>
      </w:pPr>
      <w:r>
        <w:rPr>
          <w:sz w:val="24"/>
        </w:rPr>
        <w:t>must be determined in a manner that is consistent with the </w:t>
      </w:r>
      <w:r>
        <w:rPr>
          <w:i/>
          <w:sz w:val="24"/>
        </w:rPr>
        <w:t>capital </w:t>
      </w:r>
      <w:r>
        <w:rPr>
          <w:i/>
          <w:sz w:val="24"/>
        </w:rPr>
        <w:t>expenditure incentive objective</w:t>
      </w:r>
      <w:r>
        <w:rPr>
          <w:sz w:val="24"/>
        </w:rPr>
        <w:t>;</w:t>
      </w:r>
      <w:r>
        <w:rPr>
          <w:spacing w:val="-1"/>
          <w:sz w:val="24"/>
        </w:rPr>
        <w:t> </w:t>
      </w:r>
      <w:r>
        <w:rPr>
          <w:sz w:val="24"/>
        </w:rPr>
        <w:t>and</w:t>
      </w:r>
    </w:p>
    <w:p>
      <w:pPr>
        <w:pStyle w:val="ListParagraph"/>
        <w:numPr>
          <w:ilvl w:val="1"/>
          <w:numId w:val="468"/>
        </w:numPr>
        <w:tabs>
          <w:tab w:pos="2485" w:val="left" w:leader="none"/>
          <w:tab w:pos="2486" w:val="left" w:leader="none"/>
        </w:tabs>
        <w:spacing w:line="240" w:lineRule="auto" w:before="120" w:after="0"/>
        <w:ind w:left="2486" w:right="414" w:hanging="567"/>
        <w:jc w:val="left"/>
        <w:rPr>
          <w:sz w:val="24"/>
        </w:rPr>
      </w:pPr>
      <w:r>
        <w:rPr>
          <w:sz w:val="24"/>
        </w:rPr>
        <w:t>must be determined taking into account the </w:t>
      </w:r>
      <w:r>
        <w:rPr>
          <w:i/>
          <w:sz w:val="24"/>
        </w:rPr>
        <w:t>Capital Expenditure </w:t>
      </w:r>
      <w:r>
        <w:rPr>
          <w:i/>
          <w:sz w:val="24"/>
        </w:rPr>
        <w:t>Incentive</w:t>
      </w:r>
      <w:r>
        <w:rPr>
          <w:i/>
          <w:spacing w:val="-1"/>
          <w:sz w:val="24"/>
        </w:rPr>
        <w:t> </w:t>
      </w:r>
      <w:r>
        <w:rPr>
          <w:i/>
          <w:sz w:val="24"/>
        </w:rPr>
        <w:t>Guidelines</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0"/>
          <w:numId w:val="468"/>
        </w:numPr>
        <w:tabs>
          <w:tab w:pos="1919" w:val="left" w:leader="none"/>
        </w:tabs>
        <w:spacing w:line="240" w:lineRule="auto" w:before="83" w:after="0"/>
        <w:ind w:left="1918" w:right="0" w:hanging="567"/>
        <w:jc w:val="both"/>
        <w:rPr>
          <w:sz w:val="24"/>
        </w:rPr>
      </w:pPr>
      <w:r>
        <w:rPr>
          <w:sz w:val="24"/>
        </w:rPr>
        <w:t>In making a determination under paragraph (f), the </w:t>
      </w:r>
      <w:r>
        <w:rPr>
          <w:i/>
          <w:sz w:val="24"/>
        </w:rPr>
        <w:t>AER</w:t>
      </w:r>
      <w:r>
        <w:rPr>
          <w:i/>
          <w:spacing w:val="-1"/>
          <w:sz w:val="24"/>
        </w:rPr>
        <w:t> </w:t>
      </w:r>
      <w:r>
        <w:rPr>
          <w:sz w:val="24"/>
        </w:rPr>
        <w:t>must:</w:t>
      </w:r>
    </w:p>
    <w:p>
      <w:pPr>
        <w:pStyle w:val="ListParagraph"/>
        <w:numPr>
          <w:ilvl w:val="1"/>
          <w:numId w:val="468"/>
        </w:numPr>
        <w:tabs>
          <w:tab w:pos="2486" w:val="left" w:leader="none"/>
        </w:tabs>
        <w:spacing w:line="240" w:lineRule="auto" w:before="120" w:after="0"/>
        <w:ind w:left="2485" w:right="0" w:hanging="567"/>
        <w:jc w:val="both"/>
        <w:rPr>
          <w:sz w:val="24"/>
        </w:rPr>
      </w:pPr>
      <w:r>
        <w:rPr>
          <w:sz w:val="24"/>
        </w:rPr>
        <w:t>have regard to the </w:t>
      </w:r>
      <w:r>
        <w:rPr>
          <w:i/>
          <w:sz w:val="24"/>
        </w:rPr>
        <w:t>capital expenditure factors</w:t>
      </w:r>
      <w:r>
        <w:rPr>
          <w:sz w:val="24"/>
        </w:rPr>
        <w:t>;</w:t>
      </w:r>
      <w:r>
        <w:rPr>
          <w:spacing w:val="-2"/>
          <w:sz w:val="24"/>
        </w:rPr>
        <w:t> </w:t>
      </w:r>
      <w:r>
        <w:rPr>
          <w:sz w:val="24"/>
        </w:rPr>
        <w:t>and</w:t>
      </w:r>
    </w:p>
    <w:p>
      <w:pPr>
        <w:pStyle w:val="ListParagraph"/>
        <w:numPr>
          <w:ilvl w:val="1"/>
          <w:numId w:val="468"/>
        </w:numPr>
        <w:tabs>
          <w:tab w:pos="2486" w:val="left" w:leader="none"/>
        </w:tabs>
        <w:spacing w:line="240" w:lineRule="auto" w:before="120" w:after="0"/>
        <w:ind w:left="2486" w:right="414" w:hanging="567"/>
        <w:jc w:val="both"/>
        <w:rPr>
          <w:sz w:val="24"/>
        </w:rPr>
      </w:pPr>
      <w:r>
        <w:rPr>
          <w:sz w:val="24"/>
        </w:rPr>
        <w:t>only take into account information and analysis that the </w:t>
      </w:r>
      <w:r>
        <w:rPr>
          <w:i/>
          <w:sz w:val="24"/>
        </w:rPr>
        <w:t>Distribution </w:t>
      </w:r>
      <w:r>
        <w:rPr>
          <w:i/>
          <w:sz w:val="24"/>
        </w:rPr>
        <w:t>Network Service Provider </w:t>
      </w:r>
      <w:r>
        <w:rPr>
          <w:sz w:val="24"/>
        </w:rPr>
        <w:t>could reasonably be expected to </w:t>
      </w:r>
      <w:r>
        <w:rPr>
          <w:spacing w:val="-3"/>
          <w:sz w:val="24"/>
        </w:rPr>
        <w:t>have </w:t>
      </w:r>
      <w:r>
        <w:rPr>
          <w:sz w:val="24"/>
        </w:rPr>
        <w:t>considered or undertaken at the time that it undertook the </w:t>
      </w:r>
      <w:r>
        <w:rPr>
          <w:spacing w:val="-3"/>
          <w:sz w:val="24"/>
        </w:rPr>
        <w:t>relevant </w:t>
      </w:r>
      <w:r>
        <w:rPr>
          <w:sz w:val="24"/>
        </w:rPr>
        <w:t>capital</w:t>
      </w:r>
      <w:r>
        <w:rPr>
          <w:spacing w:val="-1"/>
          <w:sz w:val="24"/>
        </w:rPr>
        <w:t> </w:t>
      </w:r>
      <w:r>
        <w:rPr>
          <w:sz w:val="24"/>
        </w:rPr>
        <w:t>expenditure.</w:t>
      </w:r>
    </w:p>
    <w:p>
      <w:pPr>
        <w:pStyle w:val="ListParagraph"/>
        <w:numPr>
          <w:ilvl w:val="0"/>
          <w:numId w:val="469"/>
        </w:numPr>
        <w:tabs>
          <w:tab w:pos="1919" w:val="left" w:leader="none"/>
        </w:tabs>
        <w:spacing w:line="240" w:lineRule="auto" w:before="120" w:after="0"/>
        <w:ind w:left="1919" w:right="415" w:hanging="567"/>
        <w:jc w:val="both"/>
        <w:rPr>
          <w:sz w:val="24"/>
        </w:rPr>
      </w:pPr>
      <w:r>
        <w:rPr>
          <w:sz w:val="24"/>
        </w:rPr>
        <w:t>Where the </w:t>
      </w:r>
      <w:r>
        <w:rPr>
          <w:i/>
          <w:sz w:val="24"/>
        </w:rPr>
        <w:t>margin requirement </w:t>
      </w:r>
      <w:r>
        <w:rPr>
          <w:sz w:val="24"/>
        </w:rPr>
        <w:t>is satisfied, and subject to paragraph (k), the </w:t>
      </w:r>
      <w:r>
        <w:rPr>
          <w:i/>
          <w:sz w:val="24"/>
        </w:rPr>
        <w:t>AER </w:t>
      </w:r>
      <w:r>
        <w:rPr>
          <w:sz w:val="24"/>
        </w:rPr>
        <w:t>may determine that the amount of the capital expenditure as a result of which the previous value of the regulatory asset base would otherwise be increased in accordance with clause S6.2.1(e) should be reduced by such of the margin referred to in paragraph (d) as the </w:t>
      </w:r>
      <w:r>
        <w:rPr>
          <w:i/>
          <w:sz w:val="24"/>
        </w:rPr>
        <w:t>AER </w:t>
      </w:r>
      <w:r>
        <w:rPr>
          <w:sz w:val="24"/>
        </w:rPr>
        <w:t>is reasonably satisfied would not have been paid if the arrangements to which the margin is referable had been on arm's length</w:t>
      </w:r>
      <w:r>
        <w:rPr>
          <w:spacing w:val="-2"/>
          <w:sz w:val="24"/>
        </w:rPr>
        <w:t> </w:t>
      </w:r>
      <w:r>
        <w:rPr>
          <w:sz w:val="24"/>
        </w:rPr>
        <w:t>terms.</w:t>
      </w:r>
    </w:p>
    <w:p>
      <w:pPr>
        <w:pStyle w:val="ListParagraph"/>
        <w:numPr>
          <w:ilvl w:val="0"/>
          <w:numId w:val="469"/>
        </w:numPr>
        <w:tabs>
          <w:tab w:pos="1919" w:val="left" w:leader="none"/>
        </w:tabs>
        <w:spacing w:line="240" w:lineRule="auto" w:before="120" w:after="0"/>
        <w:ind w:left="1919" w:right="413" w:hanging="567"/>
        <w:jc w:val="both"/>
        <w:rPr>
          <w:sz w:val="24"/>
        </w:rPr>
      </w:pPr>
      <w:r>
        <w:rPr>
          <w:sz w:val="24"/>
        </w:rPr>
        <w:t>Where the </w:t>
      </w:r>
      <w:r>
        <w:rPr>
          <w:i/>
          <w:sz w:val="24"/>
        </w:rPr>
        <w:t>capitalisation requirement </w:t>
      </w:r>
      <w:r>
        <w:rPr>
          <w:sz w:val="24"/>
        </w:rPr>
        <w:t>is satisfied, and subject to paragraph (k), the </w:t>
      </w:r>
      <w:r>
        <w:rPr>
          <w:i/>
          <w:sz w:val="24"/>
        </w:rPr>
        <w:t>AER </w:t>
      </w:r>
      <w:r>
        <w:rPr>
          <w:sz w:val="24"/>
        </w:rPr>
        <w:t>may determine that the amount of the capital expenditure as a result of which the previous value of the regulatory asset base would otherwise be increased in accordance with clause S6.2.1(e) should be reduced</w:t>
      </w:r>
      <w:r>
        <w:rPr>
          <w:spacing w:val="11"/>
          <w:sz w:val="24"/>
        </w:rPr>
        <w:t> </w:t>
      </w:r>
      <w:r>
        <w:rPr>
          <w:sz w:val="24"/>
        </w:rPr>
        <w:t>by</w:t>
      </w:r>
      <w:r>
        <w:rPr>
          <w:spacing w:val="12"/>
          <w:sz w:val="24"/>
        </w:rPr>
        <w:t> </w:t>
      </w:r>
      <w:r>
        <w:rPr>
          <w:sz w:val="24"/>
        </w:rPr>
        <w:t>any</w:t>
      </w:r>
      <w:r>
        <w:rPr>
          <w:spacing w:val="12"/>
          <w:sz w:val="24"/>
        </w:rPr>
        <w:t> </w:t>
      </w:r>
      <w:r>
        <w:rPr>
          <w:sz w:val="24"/>
        </w:rPr>
        <w:t>or</w:t>
      </w:r>
      <w:r>
        <w:rPr>
          <w:spacing w:val="12"/>
          <w:sz w:val="24"/>
        </w:rPr>
        <w:t> </w:t>
      </w:r>
      <w:r>
        <w:rPr>
          <w:sz w:val="24"/>
        </w:rPr>
        <w:t>all</w:t>
      </w:r>
      <w:r>
        <w:rPr>
          <w:spacing w:val="11"/>
          <w:sz w:val="24"/>
        </w:rPr>
        <w:t> </w:t>
      </w:r>
      <w:r>
        <w:rPr>
          <w:sz w:val="24"/>
        </w:rPr>
        <w:t>of</w:t>
      </w:r>
      <w:r>
        <w:rPr>
          <w:spacing w:val="12"/>
          <w:sz w:val="24"/>
        </w:rPr>
        <w:t> </w:t>
      </w:r>
      <w:r>
        <w:rPr>
          <w:sz w:val="24"/>
        </w:rPr>
        <w:t>the</w:t>
      </w:r>
      <w:r>
        <w:rPr>
          <w:spacing w:val="12"/>
          <w:sz w:val="24"/>
        </w:rPr>
        <w:t> </w:t>
      </w:r>
      <w:r>
        <w:rPr>
          <w:sz w:val="24"/>
        </w:rPr>
        <w:t>amount</w:t>
      </w:r>
      <w:r>
        <w:rPr>
          <w:spacing w:val="12"/>
          <w:sz w:val="24"/>
        </w:rPr>
        <w:t> </w:t>
      </w:r>
      <w:r>
        <w:rPr>
          <w:sz w:val="24"/>
        </w:rPr>
        <w:t>of</w:t>
      </w:r>
      <w:r>
        <w:rPr>
          <w:spacing w:val="11"/>
          <w:sz w:val="24"/>
        </w:rPr>
        <w:t> </w:t>
      </w:r>
      <w:r>
        <w:rPr>
          <w:sz w:val="24"/>
        </w:rPr>
        <w:t>expenditure</w:t>
      </w:r>
      <w:r>
        <w:rPr>
          <w:spacing w:val="12"/>
          <w:sz w:val="24"/>
        </w:rPr>
        <w:t> </w:t>
      </w:r>
      <w:r>
        <w:rPr>
          <w:sz w:val="24"/>
        </w:rPr>
        <w:t>referred</w:t>
      </w:r>
      <w:r>
        <w:rPr>
          <w:spacing w:val="12"/>
          <w:sz w:val="24"/>
        </w:rPr>
        <w:t> </w:t>
      </w:r>
      <w:r>
        <w:rPr>
          <w:sz w:val="24"/>
        </w:rPr>
        <w:t>to</w:t>
      </w:r>
      <w:r>
        <w:rPr>
          <w:spacing w:val="12"/>
          <w:sz w:val="24"/>
        </w:rPr>
        <w:t> </w:t>
      </w:r>
      <w:r>
        <w:rPr>
          <w:sz w:val="24"/>
        </w:rPr>
        <w:t>in</w:t>
      </w:r>
      <w:r>
        <w:rPr>
          <w:spacing w:val="12"/>
          <w:sz w:val="24"/>
        </w:rPr>
        <w:t> </w:t>
      </w:r>
      <w:r>
        <w:rPr>
          <w:sz w:val="24"/>
        </w:rPr>
        <w:t>paragraph</w:t>
      </w:r>
    </w:p>
    <w:p>
      <w:pPr>
        <w:pStyle w:val="BodyText"/>
        <w:spacing w:before="0"/>
        <w:ind w:left="1919" w:firstLine="0"/>
      </w:pPr>
      <w:r>
        <w:rPr/>
        <w:t>(e) which should have been treated as operating expenditure .</w:t>
      </w:r>
    </w:p>
    <w:p>
      <w:pPr>
        <w:pStyle w:val="ListParagraph"/>
        <w:numPr>
          <w:ilvl w:val="0"/>
          <w:numId w:val="469"/>
        </w:numPr>
        <w:tabs>
          <w:tab w:pos="1919" w:val="left" w:leader="none"/>
        </w:tabs>
        <w:spacing w:line="240" w:lineRule="auto" w:before="120" w:after="0"/>
        <w:ind w:left="1919" w:right="414" w:hanging="567"/>
        <w:jc w:val="both"/>
        <w:rPr>
          <w:sz w:val="24"/>
        </w:rPr>
      </w:pPr>
      <w:r>
        <w:rPr>
          <w:sz w:val="24"/>
        </w:rPr>
        <w:t>A determination made under paragraph (i) or (j) must be consistent with the </w:t>
      </w:r>
      <w:r>
        <w:rPr>
          <w:i/>
          <w:sz w:val="24"/>
        </w:rPr>
        <w:t>capital expenditure incentive objective </w:t>
      </w:r>
      <w:r>
        <w:rPr>
          <w:sz w:val="24"/>
        </w:rPr>
        <w:t>and, in making such a determination, the </w:t>
      </w:r>
      <w:r>
        <w:rPr>
          <w:i/>
          <w:sz w:val="24"/>
        </w:rPr>
        <w:t>AER </w:t>
      </w:r>
      <w:r>
        <w:rPr>
          <w:sz w:val="24"/>
        </w:rPr>
        <w:t>must take into account the </w:t>
      </w:r>
      <w:r>
        <w:rPr>
          <w:i/>
          <w:sz w:val="24"/>
        </w:rPr>
        <w:t>Capital Expenditure Incentive </w:t>
      </w:r>
      <w:r>
        <w:rPr>
          <w:i/>
          <w:sz w:val="24"/>
        </w:rPr>
        <w:t>Guidelines</w:t>
      </w:r>
      <w:r>
        <w:rPr>
          <w:sz w:val="24"/>
        </w:rPr>
        <w:t>.</w:t>
      </w:r>
    </w:p>
    <w:p>
      <w:pPr>
        <w:pStyle w:val="ListParagraph"/>
        <w:numPr>
          <w:ilvl w:val="0"/>
          <w:numId w:val="469"/>
        </w:numPr>
        <w:tabs>
          <w:tab w:pos="1919" w:val="left" w:leader="none"/>
        </w:tabs>
        <w:spacing w:line="240" w:lineRule="auto" w:before="120" w:after="0"/>
        <w:ind w:left="1918" w:right="0" w:hanging="567"/>
        <w:jc w:val="both"/>
        <w:rPr>
          <w:sz w:val="24"/>
        </w:rPr>
      </w:pPr>
      <w:r>
        <w:rPr>
          <w:sz w:val="24"/>
        </w:rPr>
        <w:t>Nothing in this clause S6.2.2A is to be taken to preclude the </w:t>
      </w:r>
      <w:r>
        <w:rPr>
          <w:i/>
          <w:sz w:val="24"/>
        </w:rPr>
        <w:t>AER</w:t>
      </w:r>
      <w:r>
        <w:rPr>
          <w:i/>
          <w:spacing w:val="-7"/>
          <w:sz w:val="24"/>
        </w:rPr>
        <w:t> </w:t>
      </w:r>
      <w:r>
        <w:rPr>
          <w:sz w:val="24"/>
        </w:rPr>
        <w:t>from:</w:t>
      </w:r>
    </w:p>
    <w:p>
      <w:pPr>
        <w:pStyle w:val="ListParagraph"/>
        <w:numPr>
          <w:ilvl w:val="1"/>
          <w:numId w:val="469"/>
        </w:numPr>
        <w:tabs>
          <w:tab w:pos="2485" w:val="left" w:leader="none"/>
          <w:tab w:pos="2486" w:val="left" w:leader="none"/>
        </w:tabs>
        <w:spacing w:line="240" w:lineRule="auto" w:before="120" w:after="0"/>
        <w:ind w:left="2486" w:right="416" w:hanging="567"/>
        <w:jc w:val="left"/>
        <w:rPr>
          <w:sz w:val="24"/>
        </w:rPr>
      </w:pPr>
      <w:r>
        <w:rPr>
          <w:sz w:val="24"/>
        </w:rPr>
        <w:t>requiring a </w:t>
      </w:r>
      <w:r>
        <w:rPr>
          <w:i/>
          <w:sz w:val="24"/>
        </w:rPr>
        <w:t>Distribution Network Service Provider </w:t>
      </w:r>
      <w:r>
        <w:rPr>
          <w:sz w:val="24"/>
        </w:rPr>
        <w:t>to provide such information;</w:t>
      </w:r>
      <w:r>
        <w:rPr>
          <w:spacing w:val="-1"/>
          <w:sz w:val="24"/>
        </w:rPr>
        <w:t> </w:t>
      </w:r>
      <w:r>
        <w:rPr>
          <w:sz w:val="24"/>
        </w:rPr>
        <w:t>or</w:t>
      </w:r>
    </w:p>
    <w:p>
      <w:pPr>
        <w:pStyle w:val="ListParagraph"/>
        <w:numPr>
          <w:ilvl w:val="1"/>
          <w:numId w:val="469"/>
        </w:numPr>
        <w:tabs>
          <w:tab w:pos="2485" w:val="left" w:leader="none"/>
          <w:tab w:pos="2486" w:val="left" w:leader="none"/>
        </w:tabs>
        <w:spacing w:line="240" w:lineRule="auto" w:before="120" w:after="0"/>
        <w:ind w:left="2485" w:right="0" w:hanging="567"/>
        <w:jc w:val="left"/>
        <w:rPr>
          <w:sz w:val="24"/>
        </w:rPr>
      </w:pPr>
      <w:r>
        <w:rPr>
          <w:sz w:val="24"/>
        </w:rPr>
        <w:t>undertaking such</w:t>
      </w:r>
      <w:r>
        <w:rPr>
          <w:spacing w:val="-2"/>
          <w:sz w:val="24"/>
        </w:rPr>
        <w:t> </w:t>
      </w:r>
      <w:r>
        <w:rPr>
          <w:sz w:val="24"/>
        </w:rPr>
        <w:t>analysis,</w:t>
      </w:r>
    </w:p>
    <w:p>
      <w:pPr>
        <w:pStyle w:val="BodyText"/>
        <w:ind w:left="1919" w:firstLine="0"/>
        <w:jc w:val="left"/>
      </w:pPr>
      <w:r>
        <w:rPr/>
        <w:t>as the </w:t>
      </w:r>
      <w:r>
        <w:rPr>
          <w:i/>
        </w:rPr>
        <w:t>AER </w:t>
      </w:r>
      <w:r>
        <w:rPr/>
        <w:t>considers appropriate to enable it to make a statement, with supporting reasons, as referred to in clause 6.12.2(b).</w:t>
      </w:r>
    </w:p>
    <w:p>
      <w:pPr>
        <w:pStyle w:val="BodyText"/>
        <w:spacing w:before="10"/>
        <w:ind w:firstLine="0"/>
        <w:jc w:val="left"/>
        <w:rPr>
          <w:sz w:val="20"/>
        </w:rPr>
      </w:pPr>
    </w:p>
    <w:p>
      <w:pPr>
        <w:pStyle w:val="Heading4"/>
        <w:tabs>
          <w:tab w:pos="1351" w:val="left" w:leader="none"/>
        </w:tabs>
        <w:ind w:left="218" w:firstLine="0"/>
      </w:pPr>
      <w:bookmarkStart w:name="S6.2.2B Depreciation" w:id="1690"/>
      <w:bookmarkEnd w:id="1690"/>
      <w:r>
        <w:rPr>
          <w:b w:val="0"/>
        </w:rPr>
      </w:r>
      <w:bookmarkStart w:name="_bookmark671" w:id="1691"/>
      <w:bookmarkEnd w:id="1691"/>
      <w:r>
        <w:rPr>
          <w:b w:val="0"/>
        </w:rPr>
      </w:r>
      <w:r>
        <w:rPr/>
        <w:t>S6.2.2B</w:t>
        <w:tab/>
        <w:t>Depreciation</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Clause S6.2.2B(b) and (c) has no effect in this jurisdiction until 1 July 2019 (see regulation 5A of the </w:t>
      </w:r>
      <w:r>
        <w:rPr>
          <w:i/>
          <w:sz w:val="20"/>
        </w:rPr>
        <w:t>National Electricity (Northern Territory) (National Uniform Legislation) (Modification) </w:t>
      </w:r>
      <w:r>
        <w:rPr>
          <w:i/>
          <w:sz w:val="20"/>
        </w:rPr>
        <w:t>Regulations)</w:t>
      </w:r>
      <w:r>
        <w:rPr>
          <w:sz w:val="20"/>
        </w:rPr>
        <w:t>.</w:t>
      </w:r>
    </w:p>
    <w:p>
      <w:pPr>
        <w:pStyle w:val="ListParagraph"/>
        <w:numPr>
          <w:ilvl w:val="0"/>
          <w:numId w:val="470"/>
        </w:numPr>
        <w:tabs>
          <w:tab w:pos="1919" w:val="left" w:leader="none"/>
        </w:tabs>
        <w:spacing w:line="240" w:lineRule="auto" w:before="120" w:after="0"/>
        <w:ind w:left="1919" w:right="415" w:hanging="567"/>
        <w:jc w:val="both"/>
        <w:rPr>
          <w:sz w:val="24"/>
        </w:rPr>
      </w:pPr>
      <w:r>
        <w:rPr>
          <w:sz w:val="24"/>
        </w:rPr>
        <w:t>Pursuant to clause 6.12.1(18), the </w:t>
      </w:r>
      <w:r>
        <w:rPr>
          <w:i/>
          <w:sz w:val="24"/>
        </w:rPr>
        <w:t>AER </w:t>
      </w:r>
      <w:r>
        <w:rPr>
          <w:sz w:val="24"/>
        </w:rPr>
        <w:t>must decide, for a distribution determination, whether depreciation for establishing the regulatory asset base for a </w:t>
      </w:r>
      <w:r>
        <w:rPr>
          <w:i/>
          <w:sz w:val="24"/>
        </w:rPr>
        <w:t>distribution system </w:t>
      </w:r>
      <w:r>
        <w:rPr>
          <w:sz w:val="24"/>
        </w:rPr>
        <w:t>as at the commencement of the following </w:t>
      </w:r>
      <w:r>
        <w:rPr>
          <w:i/>
          <w:sz w:val="24"/>
        </w:rPr>
        <w:t>regulatory control period </w:t>
      </w:r>
      <w:r>
        <w:rPr>
          <w:sz w:val="24"/>
        </w:rPr>
        <w:t>is to be based on actual or forecast capital expenditure.</w:t>
      </w:r>
    </w:p>
    <w:p>
      <w:pPr>
        <w:pStyle w:val="ListParagraph"/>
        <w:numPr>
          <w:ilvl w:val="0"/>
          <w:numId w:val="470"/>
        </w:numPr>
        <w:tabs>
          <w:tab w:pos="1919" w:val="left" w:leader="none"/>
        </w:tabs>
        <w:spacing w:line="240" w:lineRule="auto" w:before="120" w:after="0"/>
        <w:ind w:left="1919" w:right="415" w:hanging="567"/>
        <w:jc w:val="both"/>
        <w:rPr>
          <w:sz w:val="24"/>
        </w:rPr>
      </w:pPr>
      <w:r>
        <w:rPr>
          <w:sz w:val="24"/>
        </w:rPr>
        <w:t>The decision referred to in paragraph (a) must be consistent with the </w:t>
      </w:r>
      <w:r>
        <w:rPr>
          <w:i/>
          <w:sz w:val="24"/>
        </w:rPr>
        <w:t>capital </w:t>
      </w:r>
      <w:r>
        <w:rPr>
          <w:i/>
          <w:sz w:val="24"/>
        </w:rPr>
        <w:t>expenditure incentive</w:t>
      </w:r>
      <w:r>
        <w:rPr>
          <w:i/>
          <w:spacing w:val="-1"/>
          <w:sz w:val="24"/>
        </w:rPr>
        <w:t> </w:t>
      </w:r>
      <w:r>
        <w:rPr>
          <w:i/>
          <w:sz w:val="24"/>
        </w:rPr>
        <w:t>objective</w:t>
      </w:r>
      <w:r>
        <w:rPr>
          <w:sz w:val="24"/>
        </w:rPr>
        <w:t>.</w:t>
      </w:r>
    </w:p>
    <w:p>
      <w:pPr>
        <w:pStyle w:val="ListParagraph"/>
        <w:numPr>
          <w:ilvl w:val="0"/>
          <w:numId w:val="470"/>
        </w:numPr>
        <w:tabs>
          <w:tab w:pos="1919" w:val="left" w:leader="none"/>
        </w:tabs>
        <w:spacing w:line="240" w:lineRule="auto" w:before="120" w:after="0"/>
        <w:ind w:left="1919" w:right="415" w:hanging="567"/>
        <w:jc w:val="both"/>
        <w:rPr>
          <w:sz w:val="24"/>
        </w:rPr>
      </w:pPr>
      <w:r>
        <w:rPr>
          <w:sz w:val="24"/>
        </w:rPr>
        <w:t>In making the decision referred to in paragraph (a), the </w:t>
      </w:r>
      <w:r>
        <w:rPr>
          <w:i/>
          <w:sz w:val="24"/>
        </w:rPr>
        <w:t>AER </w:t>
      </w:r>
      <w:r>
        <w:rPr>
          <w:sz w:val="24"/>
        </w:rPr>
        <w:t>must </w:t>
      </w:r>
      <w:r>
        <w:rPr>
          <w:spacing w:val="-4"/>
          <w:sz w:val="24"/>
        </w:rPr>
        <w:t>have </w:t>
      </w:r>
      <w:r>
        <w:rPr>
          <w:sz w:val="24"/>
        </w:rPr>
        <w:t>regard to:</w:t>
      </w:r>
    </w:p>
    <w:p>
      <w:pPr>
        <w:spacing w:after="0" w:line="240" w:lineRule="auto"/>
        <w:jc w:val="both"/>
        <w:rPr>
          <w:sz w:val="24"/>
        </w:rPr>
        <w:sectPr>
          <w:pgSz w:w="11910" w:h="16840"/>
          <w:pgMar w:header="686" w:footer="637" w:top="1320" w:bottom="820" w:left="1200" w:right="1000"/>
        </w:sectPr>
      </w:pPr>
    </w:p>
    <w:p>
      <w:pPr>
        <w:pStyle w:val="ListParagraph"/>
        <w:numPr>
          <w:ilvl w:val="1"/>
          <w:numId w:val="470"/>
        </w:numPr>
        <w:tabs>
          <w:tab w:pos="2486" w:val="left" w:leader="none"/>
        </w:tabs>
        <w:spacing w:line="240" w:lineRule="auto" w:before="83" w:after="0"/>
        <w:ind w:left="2486" w:right="414" w:hanging="567"/>
        <w:jc w:val="both"/>
        <w:rPr>
          <w:sz w:val="24"/>
        </w:rPr>
      </w:pPr>
      <w:r>
        <w:rPr>
          <w:sz w:val="24"/>
        </w:rPr>
        <w:t>the incentives that the </w:t>
      </w:r>
      <w:r>
        <w:rPr>
          <w:i/>
          <w:sz w:val="24"/>
        </w:rPr>
        <w:t>Distribution Network Service Provider </w:t>
      </w:r>
      <w:r>
        <w:rPr>
          <w:sz w:val="24"/>
        </w:rPr>
        <w:t>has in relation to undertaking efficient capital expenditure, including as a result of the application of any incentive scheme or any other incentives under the</w:t>
      </w:r>
      <w:r>
        <w:rPr>
          <w:spacing w:val="-1"/>
          <w:sz w:val="24"/>
        </w:rPr>
        <w:t> </w:t>
      </w:r>
      <w:r>
        <w:rPr>
          <w:i/>
          <w:sz w:val="24"/>
        </w:rPr>
        <w:t>Rules</w:t>
      </w:r>
      <w:r>
        <w:rPr>
          <w:sz w:val="24"/>
        </w:rPr>
        <w:t>;</w:t>
      </w:r>
    </w:p>
    <w:p>
      <w:pPr>
        <w:pStyle w:val="ListParagraph"/>
        <w:numPr>
          <w:ilvl w:val="1"/>
          <w:numId w:val="470"/>
        </w:numPr>
        <w:tabs>
          <w:tab w:pos="2486" w:val="left" w:leader="none"/>
        </w:tabs>
        <w:spacing w:line="240" w:lineRule="auto" w:before="120" w:after="0"/>
        <w:ind w:left="2486" w:right="414" w:hanging="567"/>
        <w:jc w:val="both"/>
        <w:rPr>
          <w:sz w:val="24"/>
        </w:rPr>
      </w:pPr>
      <w:r>
        <w:rPr>
          <w:sz w:val="24"/>
        </w:rPr>
        <w:t>the substitution possibilities between assets with relatively short economic lives and assets with relatively long economic lives and the relative benefits of such asset</w:t>
      </w:r>
      <w:r>
        <w:rPr>
          <w:spacing w:val="-3"/>
          <w:sz w:val="24"/>
        </w:rPr>
        <w:t> </w:t>
      </w:r>
      <w:r>
        <w:rPr>
          <w:sz w:val="24"/>
        </w:rPr>
        <w:t>types;</w:t>
      </w:r>
    </w:p>
    <w:p>
      <w:pPr>
        <w:pStyle w:val="ListParagraph"/>
        <w:numPr>
          <w:ilvl w:val="1"/>
          <w:numId w:val="470"/>
        </w:numPr>
        <w:tabs>
          <w:tab w:pos="2486" w:val="left" w:leader="none"/>
        </w:tabs>
        <w:spacing w:line="240" w:lineRule="auto" w:before="120" w:after="0"/>
        <w:ind w:left="2486" w:right="414" w:hanging="567"/>
        <w:jc w:val="both"/>
        <w:rPr>
          <w:sz w:val="24"/>
        </w:rPr>
      </w:pPr>
      <w:r>
        <w:rPr>
          <w:sz w:val="24"/>
        </w:rPr>
        <w:t>the extent to which any capital expenditure incurred by the </w:t>
      </w:r>
      <w:r>
        <w:rPr>
          <w:i/>
          <w:sz w:val="24"/>
        </w:rPr>
        <w:t>Distribution Network Service Provider </w:t>
      </w:r>
      <w:r>
        <w:rPr>
          <w:sz w:val="24"/>
        </w:rPr>
        <w:t>has exceeded the corresponding amount of forecast capital expenditure accepted </w:t>
      </w:r>
      <w:r>
        <w:rPr>
          <w:spacing w:val="-6"/>
          <w:sz w:val="24"/>
        </w:rPr>
        <w:t>or </w:t>
      </w:r>
      <w:r>
        <w:rPr>
          <w:sz w:val="24"/>
        </w:rPr>
        <w:t>substituted by the </w:t>
      </w:r>
      <w:r>
        <w:rPr>
          <w:i/>
          <w:sz w:val="24"/>
        </w:rPr>
        <w:t>AER </w:t>
      </w:r>
      <w:r>
        <w:rPr>
          <w:sz w:val="24"/>
        </w:rPr>
        <w:t>and the amount of that excess expenditure which is not</w:t>
      </w:r>
      <w:r>
        <w:rPr>
          <w:spacing w:val="-2"/>
          <w:sz w:val="24"/>
        </w:rPr>
        <w:t> </w:t>
      </w:r>
      <w:r>
        <w:rPr>
          <w:sz w:val="24"/>
        </w:rPr>
        <w:t>efficient;</w:t>
      </w:r>
    </w:p>
    <w:p>
      <w:pPr>
        <w:pStyle w:val="ListParagraph"/>
        <w:numPr>
          <w:ilvl w:val="1"/>
          <w:numId w:val="470"/>
        </w:numPr>
        <w:tabs>
          <w:tab w:pos="2486" w:val="left" w:leader="none"/>
        </w:tabs>
        <w:spacing w:line="240" w:lineRule="auto" w:before="120" w:after="0"/>
        <w:ind w:left="2485" w:right="0" w:hanging="567"/>
        <w:jc w:val="both"/>
        <w:rPr>
          <w:sz w:val="24"/>
        </w:rPr>
      </w:pPr>
      <w:r>
        <w:rPr>
          <w:sz w:val="24"/>
        </w:rPr>
        <w:t>the </w:t>
      </w:r>
      <w:r>
        <w:rPr>
          <w:i/>
          <w:sz w:val="24"/>
        </w:rPr>
        <w:t>Capital Expenditure Incentive Guidelines</w:t>
      </w:r>
      <w:r>
        <w:rPr>
          <w:sz w:val="24"/>
        </w:rPr>
        <w:t>;</w:t>
      </w:r>
      <w:r>
        <w:rPr>
          <w:spacing w:val="-1"/>
          <w:sz w:val="24"/>
        </w:rPr>
        <w:t> </w:t>
      </w:r>
      <w:r>
        <w:rPr>
          <w:sz w:val="24"/>
        </w:rPr>
        <w:t>and</w:t>
      </w:r>
    </w:p>
    <w:p>
      <w:pPr>
        <w:pStyle w:val="ListParagraph"/>
        <w:numPr>
          <w:ilvl w:val="1"/>
          <w:numId w:val="470"/>
        </w:numPr>
        <w:tabs>
          <w:tab w:pos="2486" w:val="left" w:leader="none"/>
        </w:tabs>
        <w:spacing w:line="240" w:lineRule="auto" w:before="120" w:after="0"/>
        <w:ind w:left="2485" w:right="0" w:hanging="567"/>
        <w:jc w:val="both"/>
        <w:rPr>
          <w:sz w:val="24"/>
        </w:rPr>
      </w:pPr>
      <w:r>
        <w:rPr>
          <w:sz w:val="24"/>
        </w:rPr>
        <w:t>the </w:t>
      </w:r>
      <w:r>
        <w:rPr>
          <w:i/>
          <w:sz w:val="24"/>
        </w:rPr>
        <w:t>capital expenditure</w:t>
      </w:r>
      <w:r>
        <w:rPr>
          <w:i/>
          <w:spacing w:val="-1"/>
          <w:sz w:val="24"/>
        </w:rPr>
        <w:t> </w:t>
      </w:r>
      <w:r>
        <w:rPr>
          <w:i/>
          <w:sz w:val="24"/>
        </w:rPr>
        <w:t>factors</w:t>
      </w:r>
      <w:r>
        <w:rPr>
          <w:sz w:val="24"/>
        </w:rPr>
        <w:t>.</w:t>
      </w:r>
    </w:p>
    <w:p>
      <w:pPr>
        <w:pStyle w:val="BodyText"/>
        <w:spacing w:before="10"/>
        <w:ind w:firstLine="0"/>
        <w:jc w:val="left"/>
        <w:rPr>
          <w:sz w:val="20"/>
        </w:rPr>
      </w:pPr>
    </w:p>
    <w:p>
      <w:pPr>
        <w:pStyle w:val="Heading4"/>
        <w:tabs>
          <w:tab w:pos="1351" w:val="left" w:leader="none"/>
        </w:tabs>
        <w:ind w:left="1352" w:right="1019"/>
      </w:pPr>
      <w:bookmarkStart w:name="S6.2.3 Roll forward of regulatory asset " w:id="1692"/>
      <w:bookmarkEnd w:id="1692"/>
      <w:r>
        <w:rPr>
          <w:b w:val="0"/>
        </w:rPr>
      </w:r>
      <w:bookmarkStart w:name="_bookmark672" w:id="1693"/>
      <w:bookmarkEnd w:id="1693"/>
      <w:r>
        <w:rPr>
          <w:b w:val="0"/>
        </w:rPr>
      </w:r>
      <w:r>
        <w:rPr/>
        <w:t>S6.2.3</w:t>
        <w:tab/>
        <w:t>Roll forward of regulatory asset base within the same regulatory control</w:t>
      </w:r>
      <w:r>
        <w:rPr>
          <w:spacing w:val="-2"/>
        </w:rPr>
        <w:t> </w:t>
      </w:r>
      <w:r>
        <w:rPr/>
        <w:t>period</w:t>
      </w:r>
    </w:p>
    <w:p>
      <w:pPr>
        <w:pStyle w:val="ListParagraph"/>
        <w:numPr>
          <w:ilvl w:val="0"/>
          <w:numId w:val="471"/>
        </w:numPr>
        <w:tabs>
          <w:tab w:pos="1919" w:val="left" w:leader="none"/>
        </w:tabs>
        <w:spacing w:line="240" w:lineRule="auto" w:before="120" w:after="0"/>
        <w:ind w:left="1918" w:right="0" w:hanging="567"/>
        <w:jc w:val="both"/>
        <w:rPr>
          <w:b/>
          <w:sz w:val="24"/>
        </w:rPr>
      </w:pPr>
      <w:r>
        <w:rPr>
          <w:b/>
          <w:sz w:val="24"/>
        </w:rPr>
        <w:t>Application of this</w:t>
      </w:r>
      <w:r>
        <w:rPr>
          <w:b/>
          <w:spacing w:val="-1"/>
          <w:sz w:val="24"/>
        </w:rPr>
        <w:t> </w:t>
      </w:r>
      <w:r>
        <w:rPr>
          <w:b/>
          <w:sz w:val="24"/>
        </w:rPr>
        <w:t>clause</w:t>
      </w:r>
    </w:p>
    <w:p>
      <w:pPr>
        <w:spacing w:before="120"/>
        <w:ind w:left="1919" w:right="414" w:firstLine="0"/>
        <w:jc w:val="both"/>
        <w:rPr>
          <w:sz w:val="24"/>
        </w:rPr>
      </w:pPr>
      <w:r>
        <w:rPr>
          <w:sz w:val="24"/>
        </w:rPr>
        <w:t>This clause applies to the establishment of the value of the regulatory asset base for a </w:t>
      </w:r>
      <w:r>
        <w:rPr>
          <w:i/>
          <w:sz w:val="24"/>
        </w:rPr>
        <w:t>distribution system </w:t>
      </w:r>
      <w:r>
        <w:rPr>
          <w:sz w:val="24"/>
        </w:rPr>
        <w:t>as at the beginning of one </w:t>
      </w:r>
      <w:r>
        <w:rPr>
          <w:i/>
          <w:sz w:val="24"/>
        </w:rPr>
        <w:t>regulatory year </w:t>
      </w:r>
      <w:r>
        <w:rPr>
          <w:sz w:val="24"/>
        </w:rPr>
        <w:t>in a </w:t>
      </w:r>
      <w:r>
        <w:rPr>
          <w:i/>
          <w:sz w:val="24"/>
        </w:rPr>
        <w:t>regulatory control period </w:t>
      </w:r>
      <w:r>
        <w:rPr>
          <w:sz w:val="24"/>
        </w:rPr>
        <w:t>on the roll forward of the regulatory asset base to that </w:t>
      </w:r>
      <w:r>
        <w:rPr>
          <w:i/>
          <w:sz w:val="24"/>
        </w:rPr>
        <w:t>regulatory year </w:t>
      </w:r>
      <w:r>
        <w:rPr>
          <w:sz w:val="24"/>
        </w:rPr>
        <w:t>from the immediately preceding </w:t>
      </w:r>
      <w:r>
        <w:rPr>
          <w:i/>
          <w:sz w:val="24"/>
        </w:rPr>
        <w:t>regulatory year </w:t>
      </w:r>
      <w:r>
        <w:rPr>
          <w:sz w:val="24"/>
        </w:rPr>
        <w:t>(if any) in that </w:t>
      </w:r>
      <w:r>
        <w:rPr>
          <w:i/>
          <w:sz w:val="24"/>
        </w:rPr>
        <w:t>regulatory control</w:t>
      </w:r>
      <w:r>
        <w:rPr>
          <w:i/>
          <w:spacing w:val="-2"/>
          <w:sz w:val="24"/>
        </w:rPr>
        <w:t> </w:t>
      </w:r>
      <w:r>
        <w:rPr>
          <w:i/>
          <w:sz w:val="24"/>
        </w:rPr>
        <w:t>period</w:t>
      </w:r>
      <w:r>
        <w:rPr>
          <w:sz w:val="24"/>
        </w:rPr>
        <w:t>.</w:t>
      </w:r>
    </w:p>
    <w:p>
      <w:pPr>
        <w:pStyle w:val="Heading4"/>
        <w:numPr>
          <w:ilvl w:val="0"/>
          <w:numId w:val="471"/>
        </w:numPr>
        <w:tabs>
          <w:tab w:pos="1919" w:val="left" w:leader="none"/>
        </w:tabs>
        <w:spacing w:line="240" w:lineRule="auto" w:before="120" w:after="0"/>
        <w:ind w:left="1918" w:right="0" w:hanging="567"/>
        <w:jc w:val="both"/>
        <w:rPr>
          <w:rFonts w:ascii="Times New Roman"/>
        </w:rPr>
      </w:pPr>
      <w:r>
        <w:rPr>
          <w:rFonts w:ascii="Times New Roman"/>
        </w:rPr>
        <w:t>Roll forward model to comply with this</w:t>
      </w:r>
      <w:r>
        <w:rPr>
          <w:rFonts w:ascii="Times New Roman"/>
          <w:spacing w:val="-2"/>
        </w:rPr>
        <w:t> </w:t>
      </w:r>
      <w:r>
        <w:rPr>
          <w:rFonts w:ascii="Times New Roman"/>
        </w:rPr>
        <w:t>clause</w:t>
      </w:r>
    </w:p>
    <w:p>
      <w:pPr>
        <w:pStyle w:val="BodyText"/>
        <w:ind w:left="1919" w:right="415" w:firstLine="0"/>
      </w:pPr>
      <w:r>
        <w:rPr/>
        <w:t>The </w:t>
      </w:r>
      <w:r>
        <w:rPr>
          <w:i/>
        </w:rPr>
        <w:t>roll forward model </w:t>
      </w:r>
      <w:r>
        <w:rPr/>
        <w:t>referred to in clause 6.5.1 must provide for that value to be established in accordance with the requirements of this</w:t>
      </w:r>
      <w:r>
        <w:rPr>
          <w:spacing w:val="-5"/>
        </w:rPr>
        <w:t> </w:t>
      </w:r>
      <w:r>
        <w:rPr/>
        <w:t>clause.</w:t>
      </w:r>
    </w:p>
    <w:p>
      <w:pPr>
        <w:pStyle w:val="Heading4"/>
        <w:numPr>
          <w:ilvl w:val="0"/>
          <w:numId w:val="471"/>
        </w:numPr>
        <w:tabs>
          <w:tab w:pos="1919" w:val="left" w:leader="none"/>
        </w:tabs>
        <w:spacing w:line="240" w:lineRule="auto" w:before="120" w:after="0"/>
        <w:ind w:left="1918" w:right="0" w:hanging="567"/>
        <w:jc w:val="both"/>
        <w:rPr>
          <w:rFonts w:ascii="Times New Roman"/>
        </w:rPr>
      </w:pPr>
      <w:r>
        <w:rPr>
          <w:rFonts w:ascii="Times New Roman"/>
        </w:rPr>
        <w:t>Method of adjustment of value of regulatory asset</w:t>
      </w:r>
      <w:r>
        <w:rPr>
          <w:rFonts w:ascii="Times New Roman"/>
          <w:spacing w:val="-2"/>
        </w:rPr>
        <w:t> </w:t>
      </w:r>
      <w:r>
        <w:rPr>
          <w:rFonts w:ascii="Times New Roman"/>
        </w:rPr>
        <w:t>base</w:t>
      </w:r>
    </w:p>
    <w:p>
      <w:pPr>
        <w:spacing w:before="120"/>
        <w:ind w:left="1919" w:right="415" w:firstLine="0"/>
        <w:jc w:val="both"/>
        <w:rPr>
          <w:sz w:val="24"/>
        </w:rPr>
      </w:pPr>
      <w:r>
        <w:rPr>
          <w:sz w:val="24"/>
        </w:rPr>
        <w:t>The value of the regulatory asset base for a </w:t>
      </w:r>
      <w:r>
        <w:rPr>
          <w:i/>
          <w:sz w:val="24"/>
        </w:rPr>
        <w:t>distribution system </w:t>
      </w:r>
      <w:r>
        <w:rPr>
          <w:sz w:val="24"/>
        </w:rPr>
        <w:t>as at the beginning of the second or a subsequent year (</w:t>
      </w:r>
      <w:r>
        <w:rPr>
          <w:b/>
          <w:sz w:val="24"/>
        </w:rPr>
        <w:t>the later year</w:t>
      </w:r>
      <w:r>
        <w:rPr>
          <w:sz w:val="24"/>
        </w:rPr>
        <w:t>) in a </w:t>
      </w:r>
      <w:r>
        <w:rPr>
          <w:i/>
          <w:sz w:val="24"/>
        </w:rPr>
        <w:t>regulatory control period </w:t>
      </w:r>
      <w:r>
        <w:rPr>
          <w:sz w:val="24"/>
        </w:rPr>
        <w:t>must be calculated by adjusting the value (</w:t>
      </w:r>
      <w:r>
        <w:rPr>
          <w:b/>
          <w:sz w:val="24"/>
        </w:rPr>
        <w:t>the previous value</w:t>
      </w:r>
      <w:r>
        <w:rPr>
          <w:sz w:val="24"/>
        </w:rPr>
        <w:t>) of the regulatory asset base for that </w:t>
      </w:r>
      <w:r>
        <w:rPr>
          <w:i/>
          <w:sz w:val="24"/>
        </w:rPr>
        <w:t>distribution system </w:t>
      </w:r>
      <w:r>
        <w:rPr>
          <w:sz w:val="24"/>
        </w:rPr>
        <w:t>as  at the beginning of the immediately preceding </w:t>
      </w:r>
      <w:r>
        <w:rPr>
          <w:i/>
          <w:sz w:val="24"/>
        </w:rPr>
        <w:t>regulatory year </w:t>
      </w:r>
      <w:r>
        <w:rPr>
          <w:sz w:val="24"/>
        </w:rPr>
        <w:t>(</w:t>
      </w:r>
      <w:r>
        <w:rPr>
          <w:b/>
          <w:sz w:val="24"/>
        </w:rPr>
        <w:t>the previous year</w:t>
      </w:r>
      <w:r>
        <w:rPr>
          <w:sz w:val="24"/>
        </w:rPr>
        <w:t>) in that </w:t>
      </w:r>
      <w:r>
        <w:rPr>
          <w:i/>
          <w:sz w:val="24"/>
        </w:rPr>
        <w:t>regulatory control period </w:t>
      </w:r>
      <w:r>
        <w:rPr>
          <w:sz w:val="24"/>
        </w:rPr>
        <w:t>as</w:t>
      </w:r>
      <w:r>
        <w:rPr>
          <w:spacing w:val="-8"/>
          <w:sz w:val="24"/>
        </w:rPr>
        <w:t> </w:t>
      </w:r>
      <w:r>
        <w:rPr>
          <w:sz w:val="24"/>
        </w:rPr>
        <w:t>follows:</w:t>
      </w:r>
    </w:p>
    <w:p>
      <w:pPr>
        <w:pStyle w:val="ListParagraph"/>
        <w:numPr>
          <w:ilvl w:val="1"/>
          <w:numId w:val="471"/>
        </w:numPr>
        <w:tabs>
          <w:tab w:pos="2486" w:val="left" w:leader="none"/>
        </w:tabs>
        <w:spacing w:line="240" w:lineRule="auto" w:before="120" w:after="0"/>
        <w:ind w:left="2486" w:right="414" w:hanging="567"/>
        <w:jc w:val="both"/>
        <w:rPr>
          <w:sz w:val="24"/>
        </w:rPr>
      </w:pPr>
      <w:r>
        <w:rPr>
          <w:sz w:val="24"/>
        </w:rPr>
        <w:t>The previous value of the regulatory asset base must be increased </w:t>
      </w:r>
      <w:r>
        <w:rPr>
          <w:spacing w:val="-6"/>
          <w:sz w:val="24"/>
        </w:rPr>
        <w:t>by </w:t>
      </w:r>
      <w:r>
        <w:rPr>
          <w:sz w:val="24"/>
        </w:rPr>
        <w:t>the amount of forecast capital expenditure accepted or substituted by the </w:t>
      </w:r>
      <w:r>
        <w:rPr>
          <w:i/>
          <w:sz w:val="24"/>
        </w:rPr>
        <w:t>AER </w:t>
      </w:r>
      <w:r>
        <w:rPr>
          <w:sz w:val="24"/>
        </w:rPr>
        <w:t>for the previous year in accordance with clause 6.5.7(c) or clause 6.12.1(3) and (3A) (as the case may</w:t>
      </w:r>
      <w:r>
        <w:rPr>
          <w:spacing w:val="-4"/>
          <w:sz w:val="24"/>
        </w:rPr>
        <w:t> </w:t>
      </w:r>
      <w:r>
        <w:rPr>
          <w:sz w:val="24"/>
        </w:rPr>
        <w:t>be).</w:t>
      </w:r>
    </w:p>
    <w:p>
      <w:pPr>
        <w:pStyle w:val="ListParagraph"/>
        <w:numPr>
          <w:ilvl w:val="1"/>
          <w:numId w:val="471"/>
        </w:numPr>
        <w:tabs>
          <w:tab w:pos="2486" w:val="left" w:leader="none"/>
        </w:tabs>
        <w:spacing w:line="240" w:lineRule="auto" w:before="120" w:after="0"/>
        <w:ind w:left="2486" w:right="416" w:hanging="567"/>
        <w:jc w:val="both"/>
        <w:rPr>
          <w:sz w:val="24"/>
        </w:rPr>
      </w:pPr>
      <w:r>
        <w:rPr>
          <w:sz w:val="24"/>
        </w:rPr>
        <w:t>The previous value of the regulatory asset base must be reduced by the amount of depreciation included in the </w:t>
      </w:r>
      <w:r>
        <w:rPr>
          <w:i/>
          <w:sz w:val="24"/>
        </w:rPr>
        <w:t>Distribution Network Service </w:t>
      </w:r>
      <w:r>
        <w:rPr>
          <w:i/>
          <w:sz w:val="24"/>
        </w:rPr>
        <w:t>Provider's annual revenue requirement </w:t>
      </w:r>
      <w:r>
        <w:rPr>
          <w:sz w:val="24"/>
        </w:rPr>
        <w:t>for the previous</w:t>
      </w:r>
      <w:r>
        <w:rPr>
          <w:spacing w:val="-7"/>
          <w:sz w:val="24"/>
        </w:rPr>
        <w:t> </w:t>
      </w:r>
      <w:r>
        <w:rPr>
          <w:sz w:val="24"/>
        </w:rPr>
        <w:t>year.</w:t>
      </w:r>
    </w:p>
    <w:p>
      <w:pPr>
        <w:pStyle w:val="ListParagraph"/>
        <w:numPr>
          <w:ilvl w:val="1"/>
          <w:numId w:val="471"/>
        </w:numPr>
        <w:tabs>
          <w:tab w:pos="2486" w:val="left" w:leader="none"/>
        </w:tabs>
        <w:spacing w:line="240" w:lineRule="auto" w:before="120" w:after="0"/>
        <w:ind w:left="2486" w:right="415" w:hanging="567"/>
        <w:jc w:val="both"/>
        <w:rPr>
          <w:sz w:val="24"/>
        </w:rPr>
      </w:pPr>
      <w:r>
        <w:rPr>
          <w:sz w:val="24"/>
        </w:rPr>
        <w:t>The previous value of the regulatory asset base must be reduced by the disposal value of any asset included in that value where the asset is forecast to be disposed of during the previous</w:t>
      </w:r>
      <w:r>
        <w:rPr>
          <w:spacing w:val="-1"/>
          <w:sz w:val="24"/>
        </w:rPr>
        <w:t> </w:t>
      </w:r>
      <w:r>
        <w:rPr>
          <w:sz w:val="24"/>
        </w:rPr>
        <w:t>year.</w:t>
      </w:r>
    </w:p>
    <w:p>
      <w:pPr>
        <w:spacing w:after="0" w:line="240" w:lineRule="auto"/>
        <w:jc w:val="both"/>
        <w:rPr>
          <w:sz w:val="24"/>
        </w:rPr>
        <w:sectPr>
          <w:pgSz w:w="11910" w:h="16840"/>
          <w:pgMar w:header="686" w:footer="637" w:top="1320" w:bottom="820" w:left="1200" w:right="1000"/>
        </w:sectPr>
      </w:pPr>
    </w:p>
    <w:p>
      <w:pPr>
        <w:pStyle w:val="ListParagraph"/>
        <w:numPr>
          <w:ilvl w:val="1"/>
          <w:numId w:val="471"/>
        </w:numPr>
        <w:tabs>
          <w:tab w:pos="2486" w:val="left" w:leader="none"/>
        </w:tabs>
        <w:spacing w:line="240" w:lineRule="auto" w:before="83" w:after="0"/>
        <w:ind w:left="2486" w:right="414" w:hanging="567"/>
        <w:jc w:val="both"/>
        <w:rPr>
          <w:sz w:val="24"/>
        </w:rPr>
      </w:pPr>
      <w:r>
        <w:rPr>
          <w:sz w:val="24"/>
        </w:rPr>
        <w:t>The previous value of the regulatory asset base must be increased </w:t>
      </w:r>
      <w:r>
        <w:rPr>
          <w:spacing w:val="-6"/>
          <w:sz w:val="24"/>
        </w:rPr>
        <w:t>by </w:t>
      </w:r>
      <w:r>
        <w:rPr>
          <w:sz w:val="24"/>
        </w:rPr>
        <w:t>an amount necessary to maintain the real value of the regulatory asset base as at the beginning of the later year by adjusting that value for inflation.</w:t>
      </w:r>
    </w:p>
    <w:p>
      <w:pPr>
        <w:pStyle w:val="Heading4"/>
        <w:numPr>
          <w:ilvl w:val="0"/>
          <w:numId w:val="471"/>
        </w:numPr>
        <w:tabs>
          <w:tab w:pos="1919" w:val="left" w:leader="none"/>
        </w:tabs>
        <w:spacing w:line="240" w:lineRule="auto" w:before="120" w:after="0"/>
        <w:ind w:left="1918" w:right="0" w:hanging="567"/>
        <w:jc w:val="both"/>
        <w:rPr>
          <w:rFonts w:ascii="Times New Roman"/>
        </w:rPr>
      </w:pPr>
      <w:r>
        <w:rPr>
          <w:rFonts w:ascii="Times New Roman"/>
        </w:rPr>
        <w:t>Allowance for working</w:t>
      </w:r>
      <w:r>
        <w:rPr>
          <w:rFonts w:ascii="Times New Roman"/>
          <w:spacing w:val="-3"/>
        </w:rPr>
        <w:t> </w:t>
      </w:r>
      <w:r>
        <w:rPr>
          <w:rFonts w:ascii="Times New Roman"/>
        </w:rPr>
        <w:t>capital</w:t>
      </w:r>
    </w:p>
    <w:p>
      <w:pPr>
        <w:pStyle w:val="BodyText"/>
        <w:ind w:left="1919" w:right="415" w:firstLine="0"/>
      </w:pPr>
      <w:r>
        <w:rPr/>
        <w:t>If the </w:t>
      </w:r>
      <w:r>
        <w:rPr>
          <w:i/>
        </w:rPr>
        <w:t>AER </w:t>
      </w:r>
      <w:r>
        <w:rPr/>
        <w:t>determines that it is appropriate to do so, it may include an allowance for working capital in the regulatory asset base for a </w:t>
      </w:r>
      <w:r>
        <w:rPr>
          <w:i/>
        </w:rPr>
        <w:t>distribution </w:t>
      </w:r>
      <w:r>
        <w:rPr>
          <w:i/>
        </w:rPr>
        <w:t>system </w:t>
      </w:r>
      <w:r>
        <w:rPr/>
        <w:t>which is rolled forward in accordance with this clause.</w:t>
      </w:r>
    </w:p>
    <w:p>
      <w:pPr>
        <w:pStyle w:val="BodyText"/>
        <w:spacing w:before="10"/>
        <w:ind w:firstLine="0"/>
        <w:jc w:val="left"/>
        <w:rPr>
          <w:sz w:val="20"/>
        </w:rPr>
      </w:pPr>
    </w:p>
    <w:p>
      <w:pPr>
        <w:pStyle w:val="Heading4"/>
        <w:tabs>
          <w:tab w:pos="1351" w:val="left" w:leader="none"/>
        </w:tabs>
        <w:ind w:left="1352" w:right="1111"/>
      </w:pPr>
      <w:bookmarkStart w:name="S6.2.3A Establishment of opening regulat" w:id="1694"/>
      <w:bookmarkEnd w:id="1694"/>
      <w:r>
        <w:rPr>
          <w:b w:val="0"/>
        </w:rPr>
      </w:r>
      <w:bookmarkStart w:name="_bookmark673" w:id="1695"/>
      <w:bookmarkEnd w:id="1695"/>
      <w:r>
        <w:rPr>
          <w:b w:val="0"/>
        </w:rPr>
      </w:r>
      <w:r>
        <w:rPr/>
        <w:t>S6.2.3A</w:t>
        <w:tab/>
        <w:t>Establishment of opening regulatory asset base for distribution system in this jurisdiction for 1st regulatory control</w:t>
      </w:r>
      <w:r>
        <w:rPr>
          <w:spacing w:val="-16"/>
        </w:rPr>
        <w:t> </w:t>
      </w:r>
      <w:r>
        <w:rPr/>
        <w:t>period</w:t>
      </w:r>
    </w:p>
    <w:p>
      <w:pPr>
        <w:pStyle w:val="ListParagraph"/>
        <w:numPr>
          <w:ilvl w:val="0"/>
          <w:numId w:val="472"/>
        </w:numPr>
        <w:tabs>
          <w:tab w:pos="1919" w:val="left" w:leader="none"/>
        </w:tabs>
        <w:spacing w:line="240" w:lineRule="auto" w:before="120" w:after="0"/>
        <w:ind w:left="1918" w:right="0" w:hanging="567"/>
        <w:jc w:val="both"/>
        <w:rPr>
          <w:b/>
          <w:sz w:val="24"/>
        </w:rPr>
      </w:pPr>
      <w:r>
        <w:rPr>
          <w:b/>
          <w:sz w:val="24"/>
        </w:rPr>
        <w:t>Application of this</w:t>
      </w:r>
      <w:r>
        <w:rPr>
          <w:b/>
          <w:spacing w:val="-1"/>
          <w:sz w:val="24"/>
        </w:rPr>
        <w:t> </w:t>
      </w:r>
      <w:r>
        <w:rPr>
          <w:b/>
          <w:sz w:val="24"/>
        </w:rPr>
        <w:t>clause</w:t>
      </w:r>
    </w:p>
    <w:p>
      <w:pPr>
        <w:spacing w:before="120"/>
        <w:ind w:left="1919" w:right="414" w:firstLine="0"/>
        <w:jc w:val="both"/>
        <w:rPr>
          <w:sz w:val="24"/>
        </w:rPr>
      </w:pPr>
      <w:r>
        <w:rPr>
          <w:sz w:val="24"/>
        </w:rPr>
        <w:t>This clause applies to the establishment of the value of the regulatory asset base for a </w:t>
      </w:r>
      <w:r>
        <w:rPr>
          <w:i/>
          <w:sz w:val="24"/>
        </w:rPr>
        <w:t>distribution system </w:t>
      </w:r>
      <w:r>
        <w:rPr>
          <w:sz w:val="24"/>
        </w:rPr>
        <w:t>in this jurisdiction as at the beginning of the </w:t>
      </w:r>
      <w:r>
        <w:rPr>
          <w:i/>
          <w:sz w:val="24"/>
        </w:rPr>
        <w:t>1st regulatory control period</w:t>
      </w:r>
      <w:r>
        <w:rPr>
          <w:sz w:val="24"/>
        </w:rPr>
        <w:t>.</w:t>
      </w:r>
    </w:p>
    <w:p>
      <w:pPr>
        <w:pStyle w:val="Heading4"/>
        <w:numPr>
          <w:ilvl w:val="0"/>
          <w:numId w:val="472"/>
        </w:numPr>
        <w:tabs>
          <w:tab w:pos="1919" w:val="left" w:leader="none"/>
        </w:tabs>
        <w:spacing w:line="240" w:lineRule="auto" w:before="120" w:after="0"/>
        <w:ind w:left="1918" w:right="0" w:hanging="567"/>
        <w:jc w:val="both"/>
        <w:rPr>
          <w:rFonts w:ascii="Times New Roman"/>
        </w:rPr>
      </w:pPr>
      <w:r>
        <w:rPr>
          <w:rFonts w:ascii="Times New Roman"/>
        </w:rPr>
        <w:t>Roll forward model to comply with this</w:t>
      </w:r>
      <w:r>
        <w:rPr>
          <w:rFonts w:ascii="Times New Roman"/>
          <w:spacing w:val="-2"/>
        </w:rPr>
        <w:t> </w:t>
      </w:r>
      <w:r>
        <w:rPr>
          <w:rFonts w:ascii="Times New Roman"/>
        </w:rPr>
        <w:t>clause</w:t>
      </w:r>
    </w:p>
    <w:p>
      <w:pPr>
        <w:pStyle w:val="BodyText"/>
        <w:ind w:left="1919" w:right="415" w:firstLine="0"/>
      </w:pPr>
      <w:r>
        <w:rPr/>
        <w:t>The values to be used for completing the </w:t>
      </w:r>
      <w:r>
        <w:rPr>
          <w:i/>
        </w:rPr>
        <w:t>roll forward model </w:t>
      </w:r>
      <w:r>
        <w:rPr/>
        <w:t>must be established in accordance with this clause.</w:t>
      </w:r>
    </w:p>
    <w:p>
      <w:pPr>
        <w:pStyle w:val="Heading4"/>
        <w:numPr>
          <w:ilvl w:val="0"/>
          <w:numId w:val="472"/>
        </w:numPr>
        <w:tabs>
          <w:tab w:pos="1919" w:val="left" w:leader="none"/>
        </w:tabs>
        <w:spacing w:line="240" w:lineRule="auto" w:before="120" w:after="0"/>
        <w:ind w:left="1919" w:right="416" w:hanging="567"/>
        <w:jc w:val="both"/>
        <w:rPr>
          <w:rFonts w:ascii="Times New Roman"/>
        </w:rPr>
      </w:pPr>
      <w:r>
        <w:rPr>
          <w:rFonts w:ascii="Times New Roman"/>
        </w:rPr>
        <w:t>Previous value of regulatory asset base for distribution system in this jurisdiction</w:t>
      </w:r>
    </w:p>
    <w:p>
      <w:pPr>
        <w:spacing w:before="120"/>
        <w:ind w:left="1919" w:right="415" w:firstLine="0"/>
        <w:jc w:val="both"/>
        <w:rPr>
          <w:sz w:val="24"/>
        </w:rPr>
      </w:pPr>
      <w:r>
        <w:rPr>
          <w:sz w:val="24"/>
        </w:rPr>
        <w:t>For paragraph (d), the previous value of the regulatory asset base for all </w:t>
      </w:r>
      <w:r>
        <w:rPr>
          <w:i/>
          <w:sz w:val="24"/>
        </w:rPr>
        <w:t>distribution systems </w:t>
      </w:r>
      <w:r>
        <w:rPr>
          <w:sz w:val="24"/>
        </w:rPr>
        <w:t>in this jurisdiction that are owned, controlled or operated by the </w:t>
      </w:r>
      <w:r>
        <w:rPr>
          <w:i/>
          <w:sz w:val="24"/>
        </w:rPr>
        <w:t>Distribution Network Service Provider </w:t>
      </w:r>
      <w:r>
        <w:rPr>
          <w:sz w:val="24"/>
        </w:rPr>
        <w:t>mentioned in the table below is as set out in the</w:t>
      </w:r>
      <w:r>
        <w:rPr>
          <w:spacing w:val="-3"/>
          <w:sz w:val="24"/>
        </w:rPr>
        <w:t> </w:t>
      </w:r>
      <w:r>
        <w:rPr>
          <w:sz w:val="24"/>
        </w:rPr>
        <w:t>table:</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56"/>
        <w:gridCol w:w="2457"/>
        <w:gridCol w:w="2457"/>
      </w:tblGrid>
      <w:tr>
        <w:trPr>
          <w:trHeight w:val="671" w:hRule="atLeast"/>
        </w:trPr>
        <w:tc>
          <w:tcPr>
            <w:tcW w:w="2456"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Jurisdiction</w:t>
            </w:r>
          </w:p>
        </w:tc>
        <w:tc>
          <w:tcPr>
            <w:tcW w:w="2457"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21"/>
              <w:rPr>
                <w:rFonts w:ascii="Arial"/>
                <w:b/>
                <w:sz w:val="24"/>
              </w:rPr>
            </w:pPr>
            <w:r>
              <w:rPr>
                <w:rFonts w:ascii="Arial"/>
                <w:b/>
                <w:sz w:val="24"/>
              </w:rPr>
              <w:t>Distribution Network Service Provider</w:t>
            </w:r>
          </w:p>
        </w:tc>
        <w:tc>
          <w:tcPr>
            <w:tcW w:w="2457"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4" w:right="409"/>
              <w:rPr>
                <w:rFonts w:ascii="Arial"/>
                <w:b/>
                <w:sz w:val="24"/>
              </w:rPr>
            </w:pPr>
            <w:r>
              <w:rPr>
                <w:rFonts w:ascii="Arial"/>
                <w:b/>
                <w:sz w:val="24"/>
              </w:rPr>
              <w:t>Regulatory Asset Base ($m)</w:t>
            </w:r>
          </w:p>
        </w:tc>
      </w:tr>
      <w:tr>
        <w:trPr>
          <w:trHeight w:val="1067" w:hRule="atLeast"/>
        </w:trPr>
        <w:tc>
          <w:tcPr>
            <w:tcW w:w="2456" w:type="dxa"/>
            <w:tcBorders>
              <w:top w:val="single" w:sz="4" w:space="0" w:color="000000"/>
              <w:right w:val="single" w:sz="4" w:space="0" w:color="000000"/>
            </w:tcBorders>
          </w:tcPr>
          <w:p>
            <w:pPr>
              <w:pStyle w:val="TableParagraph"/>
              <w:ind w:left="40"/>
              <w:rPr>
                <w:sz w:val="24"/>
              </w:rPr>
            </w:pPr>
            <w:r>
              <w:rPr>
                <w:sz w:val="24"/>
              </w:rPr>
              <w:t>Northern Territory</w:t>
            </w:r>
          </w:p>
        </w:tc>
        <w:tc>
          <w:tcPr>
            <w:tcW w:w="2457" w:type="dxa"/>
            <w:tcBorders>
              <w:top w:val="single" w:sz="4" w:space="0" w:color="000000"/>
              <w:left w:val="single" w:sz="4" w:space="0" w:color="000000"/>
              <w:right w:val="single" w:sz="4" w:space="0" w:color="000000"/>
            </w:tcBorders>
          </w:tcPr>
          <w:p>
            <w:pPr>
              <w:pStyle w:val="TableParagraph"/>
              <w:ind w:right="355"/>
              <w:rPr>
                <w:sz w:val="24"/>
              </w:rPr>
            </w:pPr>
            <w:r>
              <w:rPr>
                <w:sz w:val="24"/>
              </w:rPr>
              <w:t>Power and Water Corporation ABN 15</w:t>
            </w:r>
          </w:p>
          <w:p>
            <w:pPr>
              <w:pStyle w:val="TableParagraph"/>
              <w:spacing w:before="0"/>
              <w:rPr>
                <w:sz w:val="24"/>
              </w:rPr>
            </w:pPr>
            <w:r>
              <w:rPr>
                <w:sz w:val="24"/>
              </w:rPr>
              <w:t>947 352 360</w:t>
            </w:r>
          </w:p>
        </w:tc>
        <w:tc>
          <w:tcPr>
            <w:tcW w:w="2457" w:type="dxa"/>
            <w:tcBorders>
              <w:top w:val="single" w:sz="4" w:space="0" w:color="000000"/>
              <w:left w:val="single" w:sz="4" w:space="0" w:color="000000"/>
              <w:right w:val="single" w:sz="4" w:space="0" w:color="000000"/>
            </w:tcBorders>
          </w:tcPr>
          <w:p>
            <w:pPr>
              <w:pStyle w:val="TableParagraph"/>
              <w:ind w:left="44" w:right="509"/>
              <w:rPr>
                <w:sz w:val="24"/>
              </w:rPr>
            </w:pPr>
            <w:r>
              <w:rPr>
                <w:sz w:val="24"/>
              </w:rPr>
              <w:t>860.65 (as at 1 July 2014 in July 2014 dollars)</w:t>
            </w:r>
          </w:p>
        </w:tc>
      </w:tr>
    </w:tbl>
    <w:p>
      <w:pPr>
        <w:pStyle w:val="BodyText"/>
        <w:spacing w:before="5"/>
        <w:ind w:firstLine="0"/>
        <w:jc w:val="left"/>
        <w:rPr>
          <w:sz w:val="34"/>
        </w:rPr>
      </w:pPr>
    </w:p>
    <w:p>
      <w:pPr>
        <w:pStyle w:val="Heading4"/>
        <w:numPr>
          <w:ilvl w:val="0"/>
          <w:numId w:val="472"/>
        </w:numPr>
        <w:tabs>
          <w:tab w:pos="1919" w:val="left" w:leader="none"/>
        </w:tabs>
        <w:spacing w:line="240" w:lineRule="auto" w:before="0" w:after="0"/>
        <w:ind w:left="1918" w:right="0" w:hanging="567"/>
        <w:jc w:val="both"/>
        <w:rPr>
          <w:rFonts w:ascii="Times New Roman"/>
        </w:rPr>
      </w:pPr>
      <w:r>
        <w:rPr>
          <w:rFonts w:ascii="Times New Roman"/>
        </w:rPr>
        <w:t>Method of adjustment of value of regulatory asset</w:t>
      </w:r>
      <w:r>
        <w:rPr>
          <w:rFonts w:ascii="Times New Roman"/>
          <w:spacing w:val="-2"/>
        </w:rPr>
        <w:t> </w:t>
      </w:r>
      <w:r>
        <w:rPr>
          <w:rFonts w:ascii="Times New Roman"/>
        </w:rPr>
        <w:t>base</w:t>
      </w:r>
    </w:p>
    <w:p>
      <w:pPr>
        <w:spacing w:before="120"/>
        <w:ind w:left="1919" w:right="415" w:firstLine="0"/>
        <w:jc w:val="both"/>
        <w:rPr>
          <w:sz w:val="24"/>
        </w:rPr>
      </w:pPr>
      <w:r>
        <w:rPr>
          <w:sz w:val="24"/>
        </w:rPr>
        <w:t>The value of the regulatory asset base for the </w:t>
      </w:r>
      <w:r>
        <w:rPr>
          <w:i/>
          <w:sz w:val="24"/>
        </w:rPr>
        <w:t>distribution systems </w:t>
      </w:r>
      <w:r>
        <w:rPr>
          <w:sz w:val="24"/>
        </w:rPr>
        <w:t>mentioned in paragraph (c) as at the beginning of the first </w:t>
      </w:r>
      <w:r>
        <w:rPr>
          <w:i/>
          <w:sz w:val="24"/>
        </w:rPr>
        <w:t>regulatory year </w:t>
      </w:r>
      <w:r>
        <w:rPr>
          <w:sz w:val="24"/>
        </w:rPr>
        <w:t>of the </w:t>
      </w:r>
      <w:r>
        <w:rPr>
          <w:i/>
          <w:sz w:val="24"/>
        </w:rPr>
        <w:t>1st </w:t>
      </w:r>
      <w:r>
        <w:rPr>
          <w:i/>
          <w:sz w:val="24"/>
        </w:rPr>
        <w:t>regulatory control period </w:t>
      </w:r>
      <w:r>
        <w:rPr>
          <w:sz w:val="24"/>
        </w:rPr>
        <w:t>must be calculated by adjusting the previous value (the </w:t>
      </w:r>
      <w:r>
        <w:rPr>
          <w:b/>
          <w:sz w:val="24"/>
        </w:rPr>
        <w:t>previous value</w:t>
      </w:r>
      <w:r>
        <w:rPr>
          <w:sz w:val="24"/>
        </w:rPr>
        <w:t>) of the regulatory asset base for the </w:t>
      </w:r>
      <w:r>
        <w:rPr>
          <w:i/>
          <w:sz w:val="24"/>
        </w:rPr>
        <w:t>distribution systems </w:t>
      </w:r>
      <w:r>
        <w:rPr>
          <w:sz w:val="24"/>
        </w:rPr>
        <w:t>as specified in paragraph (c) as follows:</w:t>
      </w:r>
    </w:p>
    <w:p>
      <w:pPr>
        <w:pStyle w:val="ListParagraph"/>
        <w:numPr>
          <w:ilvl w:val="1"/>
          <w:numId w:val="472"/>
        </w:numPr>
        <w:tabs>
          <w:tab w:pos="2486" w:val="left" w:leader="none"/>
        </w:tabs>
        <w:spacing w:line="240" w:lineRule="auto" w:before="120" w:after="0"/>
        <w:ind w:left="2485" w:right="0" w:hanging="567"/>
        <w:jc w:val="both"/>
        <w:rPr>
          <w:sz w:val="24"/>
        </w:rPr>
      </w:pPr>
      <w:r>
        <w:rPr>
          <w:sz w:val="24"/>
        </w:rPr>
        <w:t>The previous value of the regulatory asset base must</w:t>
      </w:r>
      <w:r>
        <w:rPr>
          <w:spacing w:val="-3"/>
          <w:sz w:val="24"/>
        </w:rPr>
        <w:t> </w:t>
      </w:r>
      <w:r>
        <w:rPr>
          <w:sz w:val="24"/>
        </w:rPr>
        <w:t>be:</w:t>
      </w:r>
    </w:p>
    <w:p>
      <w:pPr>
        <w:pStyle w:val="ListParagraph"/>
        <w:numPr>
          <w:ilvl w:val="2"/>
          <w:numId w:val="472"/>
        </w:numPr>
        <w:tabs>
          <w:tab w:pos="3053" w:val="left" w:leader="none"/>
        </w:tabs>
        <w:spacing w:line="240" w:lineRule="auto" w:before="120" w:after="0"/>
        <w:ind w:left="3053" w:right="413" w:hanging="567"/>
        <w:jc w:val="both"/>
        <w:rPr>
          <w:sz w:val="24"/>
        </w:rPr>
      </w:pPr>
      <w:r>
        <w:rPr>
          <w:sz w:val="24"/>
        </w:rPr>
        <w:t>increased by the amount of all capital expenditure incurred during the </w:t>
      </w:r>
      <w:r>
        <w:rPr>
          <w:i/>
          <w:sz w:val="24"/>
        </w:rPr>
        <w:t>2014-19 NT regulatory control period </w:t>
      </w:r>
      <w:r>
        <w:rPr>
          <w:sz w:val="24"/>
        </w:rPr>
        <w:t>(the </w:t>
      </w:r>
      <w:r>
        <w:rPr>
          <w:b/>
          <w:i/>
          <w:sz w:val="24"/>
        </w:rPr>
        <w:t>previous </w:t>
      </w:r>
      <w:r>
        <w:rPr>
          <w:b/>
          <w:i/>
          <w:sz w:val="24"/>
        </w:rPr>
        <w:t>control period</w:t>
      </w:r>
      <w:r>
        <w:rPr>
          <w:sz w:val="24"/>
        </w:rPr>
        <w:t>), including any capital expenditure determined for that period under clause 3.2.4(d)(i)(A) of Part B of the </w:t>
      </w:r>
      <w:r>
        <w:rPr>
          <w:i/>
          <w:sz w:val="24"/>
        </w:rPr>
        <w:t>2014 </w:t>
      </w:r>
      <w:r>
        <w:rPr>
          <w:i/>
          <w:sz w:val="24"/>
        </w:rPr>
        <w:t>NT Network Price Determination </w:t>
      </w:r>
      <w:r>
        <w:rPr>
          <w:sz w:val="24"/>
        </w:rPr>
        <w:t>where the Determination has been amended under clause 3.2.4(d)(iii) of the</w:t>
      </w:r>
      <w:r>
        <w:rPr>
          <w:spacing w:val="-22"/>
          <w:sz w:val="24"/>
        </w:rPr>
        <w:t> </w:t>
      </w:r>
      <w:r>
        <w:rPr>
          <w:sz w:val="24"/>
        </w:rPr>
        <w:t>Determination</w:t>
      </w:r>
    </w:p>
    <w:p>
      <w:pPr>
        <w:spacing w:after="0" w:line="240" w:lineRule="auto"/>
        <w:jc w:val="both"/>
        <w:rPr>
          <w:sz w:val="24"/>
        </w:rPr>
        <w:sectPr>
          <w:pgSz w:w="11910" w:h="16840"/>
          <w:pgMar w:header="686" w:footer="637" w:top="1320" w:bottom="820" w:left="1200" w:right="1000"/>
        </w:sectPr>
      </w:pPr>
    </w:p>
    <w:p>
      <w:pPr>
        <w:pStyle w:val="BodyText"/>
        <w:spacing w:before="83"/>
        <w:ind w:left="3053" w:right="415" w:firstLine="0"/>
      </w:pPr>
      <w:r>
        <w:rPr/>
        <w:t>(regardless of whether such capital expenditure is above or below the forecast capital expenditure for the period that </w:t>
      </w:r>
      <w:r>
        <w:rPr>
          <w:spacing w:val="-6"/>
        </w:rPr>
        <w:t>is </w:t>
      </w:r>
      <w:r>
        <w:rPr/>
        <w:t>adopted for the purposes of the Determination (if any) for that period);</w:t>
      </w:r>
      <w:r>
        <w:rPr>
          <w:spacing w:val="-1"/>
        </w:rPr>
        <w:t> </w:t>
      </w:r>
      <w:r>
        <w:rPr/>
        <w:t>and</w:t>
      </w:r>
    </w:p>
    <w:p>
      <w:pPr>
        <w:pStyle w:val="ListParagraph"/>
        <w:numPr>
          <w:ilvl w:val="2"/>
          <w:numId w:val="472"/>
        </w:numPr>
        <w:tabs>
          <w:tab w:pos="3054" w:val="left" w:leader="none"/>
        </w:tabs>
        <w:spacing w:line="240" w:lineRule="auto" w:before="120" w:after="0"/>
        <w:ind w:left="3053" w:right="415" w:hanging="567"/>
        <w:jc w:val="both"/>
        <w:rPr>
          <w:sz w:val="24"/>
        </w:rPr>
      </w:pPr>
      <w:r>
        <w:rPr>
          <w:sz w:val="24"/>
        </w:rPr>
        <w:t>reduced by the amount of any capital expenditure that has </w:t>
      </w:r>
      <w:r>
        <w:rPr>
          <w:spacing w:val="-3"/>
          <w:sz w:val="24"/>
        </w:rPr>
        <w:t>been </w:t>
      </w:r>
      <w:r>
        <w:rPr>
          <w:sz w:val="24"/>
        </w:rPr>
        <w:t>recovered by way of a pass through under clause 3.1 of Part B of the </w:t>
      </w:r>
      <w:r>
        <w:rPr>
          <w:i/>
          <w:sz w:val="24"/>
        </w:rPr>
        <w:t>2014 NT Network Price Determination </w:t>
      </w:r>
      <w:r>
        <w:rPr>
          <w:sz w:val="24"/>
        </w:rPr>
        <w:t>where the amount of that capital expenditure would otherwise have been included in the value of the regulatory asset</w:t>
      </w:r>
      <w:r>
        <w:rPr>
          <w:spacing w:val="-1"/>
          <w:sz w:val="24"/>
        </w:rPr>
        <w:t> </w:t>
      </w:r>
      <w:r>
        <w:rPr>
          <w:sz w:val="24"/>
        </w:rPr>
        <w:t>base.</w:t>
      </w:r>
    </w:p>
    <w:p>
      <w:pPr>
        <w:pStyle w:val="ListParagraph"/>
        <w:numPr>
          <w:ilvl w:val="1"/>
          <w:numId w:val="472"/>
        </w:numPr>
        <w:tabs>
          <w:tab w:pos="2486" w:val="left" w:leader="none"/>
        </w:tabs>
        <w:spacing w:line="240" w:lineRule="auto" w:before="120" w:after="0"/>
        <w:ind w:left="2486" w:right="415" w:hanging="567"/>
        <w:jc w:val="both"/>
        <w:rPr>
          <w:sz w:val="24"/>
        </w:rPr>
      </w:pPr>
      <w:r>
        <w:rPr>
          <w:sz w:val="24"/>
        </w:rPr>
        <w:t>The previous value of the regulatory asset base must be increased </w:t>
      </w:r>
      <w:r>
        <w:rPr>
          <w:spacing w:val="-6"/>
          <w:sz w:val="24"/>
        </w:rPr>
        <w:t>by </w:t>
      </w:r>
      <w:r>
        <w:rPr>
          <w:sz w:val="24"/>
        </w:rPr>
        <w:t>the amount of the estimated capital expenditure approved by the </w:t>
      </w:r>
      <w:r>
        <w:rPr>
          <w:i/>
          <w:sz w:val="24"/>
        </w:rPr>
        <w:t>Utilities Commission </w:t>
      </w:r>
      <w:r>
        <w:rPr>
          <w:sz w:val="24"/>
        </w:rPr>
        <w:t>or </w:t>
      </w:r>
      <w:r>
        <w:rPr>
          <w:i/>
          <w:sz w:val="24"/>
        </w:rPr>
        <w:t>AER </w:t>
      </w:r>
      <w:r>
        <w:rPr>
          <w:sz w:val="24"/>
        </w:rPr>
        <w:t>for any part of the previous control period for which actual capital expenditure is not</w:t>
      </w:r>
      <w:r>
        <w:rPr>
          <w:spacing w:val="-4"/>
          <w:sz w:val="24"/>
        </w:rPr>
        <w:t> </w:t>
      </w:r>
      <w:r>
        <w:rPr>
          <w:sz w:val="24"/>
        </w:rPr>
        <w:t>available.</w:t>
      </w:r>
    </w:p>
    <w:p>
      <w:pPr>
        <w:pStyle w:val="ListParagraph"/>
        <w:numPr>
          <w:ilvl w:val="1"/>
          <w:numId w:val="472"/>
        </w:numPr>
        <w:tabs>
          <w:tab w:pos="2486" w:val="left" w:leader="none"/>
        </w:tabs>
        <w:spacing w:line="240" w:lineRule="auto" w:before="120" w:after="0"/>
        <w:ind w:left="2486" w:right="415" w:hanging="567"/>
        <w:jc w:val="both"/>
        <w:rPr>
          <w:sz w:val="24"/>
        </w:rPr>
      </w:pPr>
      <w:r>
        <w:rPr>
          <w:sz w:val="24"/>
        </w:rPr>
        <w:t>The previous value of the regulatory asset base must be adjusted </w:t>
      </w:r>
      <w:r>
        <w:rPr>
          <w:spacing w:val="-5"/>
          <w:sz w:val="24"/>
        </w:rPr>
        <w:t>for </w:t>
      </w:r>
      <w:r>
        <w:rPr>
          <w:sz w:val="24"/>
        </w:rPr>
        <w:t>the difference</w:t>
      </w:r>
      <w:r>
        <w:rPr>
          <w:spacing w:val="-1"/>
          <w:sz w:val="24"/>
        </w:rPr>
        <w:t> </w:t>
      </w:r>
      <w:r>
        <w:rPr>
          <w:sz w:val="24"/>
        </w:rPr>
        <w:t>between:</w:t>
      </w:r>
    </w:p>
    <w:p>
      <w:pPr>
        <w:pStyle w:val="ListParagraph"/>
        <w:numPr>
          <w:ilvl w:val="2"/>
          <w:numId w:val="472"/>
        </w:numPr>
        <w:tabs>
          <w:tab w:pos="3053" w:val="left" w:leader="none"/>
        </w:tabs>
        <w:spacing w:line="240" w:lineRule="auto" w:before="120" w:after="0"/>
        <w:ind w:left="3053" w:right="415" w:hanging="567"/>
        <w:jc w:val="both"/>
        <w:rPr>
          <w:sz w:val="24"/>
        </w:rPr>
      </w:pPr>
      <w:r>
        <w:rPr>
          <w:sz w:val="24"/>
        </w:rPr>
        <w:t>the estimated capital expenditure for any part of the </w:t>
      </w:r>
      <w:r>
        <w:rPr>
          <w:i/>
          <w:sz w:val="24"/>
        </w:rPr>
        <w:t>2009-14 NT </w:t>
      </w:r>
      <w:r>
        <w:rPr>
          <w:i/>
          <w:sz w:val="24"/>
        </w:rPr>
        <w:t>regulatory control period </w:t>
      </w:r>
      <w:r>
        <w:rPr>
          <w:sz w:val="24"/>
        </w:rPr>
        <w:t>or </w:t>
      </w:r>
      <w:r>
        <w:rPr>
          <w:i/>
          <w:sz w:val="24"/>
        </w:rPr>
        <w:t>2014-19 NT regulatory control </w:t>
      </w:r>
      <w:r>
        <w:rPr>
          <w:i/>
          <w:sz w:val="24"/>
        </w:rPr>
        <w:t>period </w:t>
      </w:r>
      <w:r>
        <w:rPr>
          <w:sz w:val="24"/>
        </w:rPr>
        <w:t>where that estimated capital expenditure has been included in that value;</w:t>
      </w:r>
      <w:r>
        <w:rPr>
          <w:spacing w:val="-1"/>
          <w:sz w:val="24"/>
        </w:rPr>
        <w:t> </w:t>
      </w:r>
      <w:r>
        <w:rPr>
          <w:sz w:val="24"/>
        </w:rPr>
        <w:t>and</w:t>
      </w:r>
    </w:p>
    <w:p>
      <w:pPr>
        <w:pStyle w:val="ListParagraph"/>
        <w:numPr>
          <w:ilvl w:val="2"/>
          <w:numId w:val="472"/>
        </w:numPr>
        <w:tabs>
          <w:tab w:pos="3054" w:val="left" w:leader="none"/>
        </w:tabs>
        <w:spacing w:line="240" w:lineRule="auto" w:before="120" w:after="0"/>
        <w:ind w:left="3053" w:right="416" w:hanging="567"/>
        <w:jc w:val="both"/>
        <w:rPr>
          <w:sz w:val="24"/>
        </w:rPr>
      </w:pPr>
      <w:r>
        <w:rPr>
          <w:sz w:val="24"/>
        </w:rPr>
        <w:t>the actual capital expenditure for that part of the </w:t>
      </w:r>
      <w:r>
        <w:rPr>
          <w:i/>
          <w:sz w:val="24"/>
        </w:rPr>
        <w:t>2009-14 NT </w:t>
      </w:r>
      <w:r>
        <w:rPr>
          <w:i/>
          <w:sz w:val="24"/>
        </w:rPr>
        <w:t>regulatory control period </w:t>
      </w:r>
      <w:r>
        <w:rPr>
          <w:sz w:val="24"/>
        </w:rPr>
        <w:t>or </w:t>
      </w:r>
      <w:r>
        <w:rPr>
          <w:i/>
          <w:sz w:val="24"/>
        </w:rPr>
        <w:t>2014-19 NT regulatory control </w:t>
      </w:r>
      <w:r>
        <w:rPr>
          <w:i/>
          <w:sz w:val="24"/>
        </w:rPr>
        <w:t>period</w:t>
      </w:r>
      <w:r>
        <w:rPr>
          <w:sz w:val="24"/>
        </w:rPr>
        <w:t>.</w:t>
      </w:r>
    </w:p>
    <w:p>
      <w:pPr>
        <w:pStyle w:val="BodyText"/>
        <w:ind w:left="2486" w:right="414" w:firstLine="0"/>
      </w:pPr>
      <w:r>
        <w:rPr/>
        <w:t>This adjustment must also remove any benefit or penalty associated with any difference between the estimated and actual capital expenditure.</w:t>
      </w:r>
    </w:p>
    <w:p>
      <w:pPr>
        <w:pStyle w:val="ListParagraph"/>
        <w:numPr>
          <w:ilvl w:val="1"/>
          <w:numId w:val="472"/>
        </w:numPr>
        <w:tabs>
          <w:tab w:pos="2486" w:val="left" w:leader="none"/>
        </w:tabs>
        <w:spacing w:line="240" w:lineRule="auto" w:before="120" w:after="0"/>
        <w:ind w:left="2486" w:right="414" w:hanging="567"/>
        <w:jc w:val="both"/>
        <w:rPr>
          <w:sz w:val="24"/>
        </w:rPr>
      </w:pPr>
      <w:r>
        <w:rPr>
          <w:sz w:val="24"/>
        </w:rPr>
        <w:t>The previous value of the regulatory asset base must only be increased by estimated or actual capital expenditure to the extent that all such capital expenditure is properly allocated to the provision of </w:t>
      </w:r>
      <w:r>
        <w:rPr>
          <w:i/>
          <w:sz w:val="24"/>
        </w:rPr>
        <w:t>NT </w:t>
      </w:r>
      <w:r>
        <w:rPr>
          <w:i/>
          <w:sz w:val="24"/>
        </w:rPr>
        <w:t>equivalent services </w:t>
      </w:r>
      <w:r>
        <w:rPr>
          <w:sz w:val="24"/>
        </w:rPr>
        <w:t>in accordance with the Cost Allocation Methodology (as amended, varied or substituted from time to time) that is the subject of the </w:t>
      </w:r>
      <w:r>
        <w:rPr>
          <w:i/>
          <w:sz w:val="24"/>
        </w:rPr>
        <w:t>Utilities Commission's </w:t>
      </w:r>
      <w:r>
        <w:rPr>
          <w:sz w:val="24"/>
        </w:rPr>
        <w:t>final decision referred to in Chapter 5 of Part A of the </w:t>
      </w:r>
      <w:r>
        <w:rPr>
          <w:i/>
          <w:sz w:val="24"/>
        </w:rPr>
        <w:t>2014 NT Network Price </w:t>
      </w:r>
      <w:r>
        <w:rPr>
          <w:i/>
          <w:sz w:val="24"/>
        </w:rPr>
        <w:t>Determination</w:t>
      </w:r>
      <w:r>
        <w:rPr>
          <w:sz w:val="24"/>
        </w:rPr>
        <w:t>.</w:t>
      </w:r>
    </w:p>
    <w:p>
      <w:pPr>
        <w:pStyle w:val="ListParagraph"/>
        <w:numPr>
          <w:ilvl w:val="1"/>
          <w:numId w:val="472"/>
        </w:numPr>
        <w:tabs>
          <w:tab w:pos="2486" w:val="left" w:leader="none"/>
        </w:tabs>
        <w:spacing w:line="240" w:lineRule="auto" w:before="120" w:after="0"/>
        <w:ind w:left="2486" w:right="415" w:hanging="567"/>
        <w:jc w:val="both"/>
        <w:rPr>
          <w:sz w:val="24"/>
        </w:rPr>
      </w:pPr>
      <w:r>
        <w:rPr>
          <w:sz w:val="24"/>
        </w:rPr>
        <w:t>The previous value of the regulatory asset base must be reduced by the amount of depreciation of the regulatory asset base during </w:t>
      </w:r>
      <w:r>
        <w:rPr>
          <w:spacing w:val="-6"/>
          <w:sz w:val="24"/>
        </w:rPr>
        <w:t>the  </w:t>
      </w:r>
      <w:r>
        <w:rPr>
          <w:sz w:val="24"/>
        </w:rPr>
        <w:t>previous control period, calculated in accordance with the </w:t>
      </w:r>
      <w:r>
        <w:rPr>
          <w:i/>
          <w:sz w:val="24"/>
        </w:rPr>
        <w:t>2014 NT </w:t>
      </w:r>
      <w:r>
        <w:rPr>
          <w:i/>
          <w:sz w:val="24"/>
        </w:rPr>
        <w:t>Network Price</w:t>
      </w:r>
      <w:r>
        <w:rPr>
          <w:i/>
          <w:spacing w:val="-1"/>
          <w:sz w:val="24"/>
        </w:rPr>
        <w:t> </w:t>
      </w:r>
      <w:r>
        <w:rPr>
          <w:i/>
          <w:sz w:val="24"/>
        </w:rPr>
        <w:t>Determination</w:t>
      </w:r>
      <w:r>
        <w:rPr>
          <w:sz w:val="24"/>
        </w:rPr>
        <w:t>.</w:t>
      </w:r>
    </w:p>
    <w:p>
      <w:pPr>
        <w:pStyle w:val="ListParagraph"/>
        <w:numPr>
          <w:ilvl w:val="1"/>
          <w:numId w:val="472"/>
        </w:numPr>
        <w:tabs>
          <w:tab w:pos="2486" w:val="left" w:leader="none"/>
        </w:tabs>
        <w:spacing w:line="240" w:lineRule="auto" w:before="120" w:after="0"/>
        <w:ind w:left="2486" w:right="415" w:hanging="567"/>
        <w:jc w:val="both"/>
        <w:rPr>
          <w:sz w:val="24"/>
        </w:rPr>
      </w:pPr>
      <w:r>
        <w:rPr>
          <w:sz w:val="24"/>
        </w:rPr>
        <w:t>The previous value of the regulatory asset base must be reduced by the disposal value of any asset where that asset has been disposed of during the previous control</w:t>
      </w:r>
      <w:r>
        <w:rPr>
          <w:spacing w:val="-1"/>
          <w:sz w:val="24"/>
        </w:rPr>
        <w:t> </w:t>
      </w:r>
      <w:r>
        <w:rPr>
          <w:sz w:val="24"/>
        </w:rPr>
        <w:t>period.</w:t>
      </w:r>
    </w:p>
    <w:p>
      <w:pPr>
        <w:pStyle w:val="ListParagraph"/>
        <w:numPr>
          <w:ilvl w:val="1"/>
          <w:numId w:val="472"/>
        </w:numPr>
        <w:tabs>
          <w:tab w:pos="2486" w:val="left" w:leader="none"/>
        </w:tabs>
        <w:spacing w:line="240" w:lineRule="auto" w:before="120" w:after="0"/>
        <w:ind w:left="2486" w:right="414" w:hanging="567"/>
        <w:jc w:val="both"/>
        <w:rPr>
          <w:sz w:val="24"/>
        </w:rPr>
      </w:pPr>
      <w:r>
        <w:rPr>
          <w:sz w:val="24"/>
        </w:rPr>
        <w:t>The previous value of the regulatory asset base must be reduced by the value of an asset where the asset was previously used to provide </w:t>
      </w:r>
      <w:r>
        <w:rPr>
          <w:i/>
          <w:sz w:val="24"/>
        </w:rPr>
        <w:t>NT </w:t>
      </w:r>
      <w:r>
        <w:rPr>
          <w:i/>
          <w:sz w:val="24"/>
        </w:rPr>
        <w:t>equivalent services </w:t>
      </w:r>
      <w:r>
        <w:rPr>
          <w:sz w:val="24"/>
        </w:rPr>
        <w:t>but, as a result of the classification of the asset under Part B, the asset is not to be used to provide </w:t>
      </w:r>
      <w:r>
        <w:rPr>
          <w:i/>
          <w:sz w:val="24"/>
        </w:rPr>
        <w:t>standard control </w:t>
      </w:r>
      <w:r>
        <w:rPr>
          <w:i/>
          <w:sz w:val="24"/>
        </w:rPr>
        <w:t>services </w:t>
      </w:r>
      <w:r>
        <w:rPr>
          <w:sz w:val="24"/>
        </w:rPr>
        <w:t>for the </w:t>
      </w:r>
      <w:r>
        <w:rPr>
          <w:i/>
          <w:sz w:val="24"/>
        </w:rPr>
        <w:t>1st regulatory control</w:t>
      </w:r>
      <w:r>
        <w:rPr>
          <w:i/>
          <w:spacing w:val="-5"/>
          <w:sz w:val="24"/>
        </w:rPr>
        <w:t> </w:t>
      </w:r>
      <w:r>
        <w:rPr>
          <w:i/>
          <w:sz w:val="24"/>
        </w:rPr>
        <w:t>period</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472"/>
        </w:numPr>
        <w:tabs>
          <w:tab w:pos="2486" w:val="left" w:leader="none"/>
        </w:tabs>
        <w:spacing w:line="240" w:lineRule="auto" w:before="83" w:after="0"/>
        <w:ind w:left="2486" w:right="415" w:hanging="567"/>
        <w:jc w:val="both"/>
        <w:rPr>
          <w:sz w:val="24"/>
        </w:rPr>
      </w:pPr>
      <w:r>
        <w:rPr>
          <w:sz w:val="24"/>
        </w:rPr>
        <w:t>The previous value of the regulatory asset base may be increased by the value of an asset to which this subparagraph applies to the extent that:</w:t>
      </w:r>
    </w:p>
    <w:p>
      <w:pPr>
        <w:pStyle w:val="ListParagraph"/>
        <w:numPr>
          <w:ilvl w:val="2"/>
          <w:numId w:val="472"/>
        </w:numPr>
        <w:tabs>
          <w:tab w:pos="3053" w:val="left" w:leader="none"/>
        </w:tabs>
        <w:spacing w:line="240" w:lineRule="auto" w:before="120" w:after="0"/>
        <w:ind w:left="3053" w:right="415" w:hanging="567"/>
        <w:jc w:val="both"/>
        <w:rPr>
          <w:sz w:val="24"/>
        </w:rPr>
      </w:pPr>
      <w:r>
        <w:rPr>
          <w:sz w:val="24"/>
        </w:rPr>
        <w:t>the </w:t>
      </w:r>
      <w:r>
        <w:rPr>
          <w:i/>
          <w:sz w:val="24"/>
        </w:rPr>
        <w:t>AER </w:t>
      </w:r>
      <w:r>
        <w:rPr>
          <w:sz w:val="24"/>
        </w:rPr>
        <w:t>considers the asset to be reasonably required to achieve one or more of the </w:t>
      </w:r>
      <w:r>
        <w:rPr>
          <w:i/>
          <w:sz w:val="24"/>
        </w:rPr>
        <w:t>capital expenditure objectives</w:t>
      </w:r>
      <w:r>
        <w:rPr>
          <w:sz w:val="24"/>
        </w:rPr>
        <w:t>;</w:t>
      </w:r>
      <w:r>
        <w:rPr>
          <w:spacing w:val="-2"/>
          <w:sz w:val="24"/>
        </w:rPr>
        <w:t> </w:t>
      </w:r>
      <w:r>
        <w:rPr>
          <w:sz w:val="24"/>
        </w:rPr>
        <w:t>and</w:t>
      </w:r>
    </w:p>
    <w:p>
      <w:pPr>
        <w:pStyle w:val="ListParagraph"/>
        <w:numPr>
          <w:ilvl w:val="2"/>
          <w:numId w:val="472"/>
        </w:numPr>
        <w:tabs>
          <w:tab w:pos="3054" w:val="left" w:leader="none"/>
        </w:tabs>
        <w:spacing w:line="343" w:lineRule="auto" w:before="120" w:after="0"/>
        <w:ind w:left="2486" w:right="1321" w:firstLine="0"/>
        <w:jc w:val="both"/>
        <w:rPr>
          <w:sz w:val="24"/>
        </w:rPr>
      </w:pPr>
      <w:r>
        <w:rPr>
          <w:sz w:val="24"/>
        </w:rPr>
        <w:t>the value of the asset has not been otherwise recovered. This subparagraph applies to an asset</w:t>
      </w:r>
      <w:r>
        <w:rPr>
          <w:spacing w:val="-4"/>
          <w:sz w:val="24"/>
        </w:rPr>
        <w:t> </w:t>
      </w:r>
      <w:r>
        <w:rPr>
          <w:sz w:val="24"/>
        </w:rPr>
        <w:t>that:</w:t>
      </w:r>
    </w:p>
    <w:p>
      <w:pPr>
        <w:pStyle w:val="ListParagraph"/>
        <w:numPr>
          <w:ilvl w:val="0"/>
          <w:numId w:val="473"/>
        </w:numPr>
        <w:tabs>
          <w:tab w:pos="3053" w:val="left" w:leader="none"/>
        </w:tabs>
        <w:spacing w:line="240" w:lineRule="auto" w:before="3" w:after="0"/>
        <w:ind w:left="3053" w:right="415" w:hanging="567"/>
        <w:jc w:val="both"/>
        <w:rPr>
          <w:sz w:val="24"/>
        </w:rPr>
      </w:pPr>
      <w:r>
        <w:rPr>
          <w:sz w:val="24"/>
        </w:rPr>
        <w:t>was not used to provide </w:t>
      </w:r>
      <w:r>
        <w:rPr>
          <w:i/>
          <w:sz w:val="24"/>
        </w:rPr>
        <w:t>NT equivalent services </w:t>
      </w:r>
      <w:r>
        <w:rPr>
          <w:sz w:val="24"/>
        </w:rPr>
        <w:t>in the previous control period but, as a result of a change to the classification of a particular service under Part B, is to be used to provide </w:t>
      </w:r>
      <w:r>
        <w:rPr>
          <w:i/>
          <w:sz w:val="24"/>
        </w:rPr>
        <w:t>standard control services </w:t>
      </w:r>
      <w:r>
        <w:rPr>
          <w:sz w:val="24"/>
        </w:rPr>
        <w:t>for the </w:t>
      </w:r>
      <w:r>
        <w:rPr>
          <w:i/>
          <w:sz w:val="24"/>
        </w:rPr>
        <w:t>1st regulatory control period</w:t>
      </w:r>
      <w:r>
        <w:rPr>
          <w:sz w:val="24"/>
        </w:rPr>
        <w:t>; or</w:t>
      </w:r>
    </w:p>
    <w:p>
      <w:pPr>
        <w:pStyle w:val="ListParagraph"/>
        <w:numPr>
          <w:ilvl w:val="0"/>
          <w:numId w:val="473"/>
        </w:numPr>
        <w:tabs>
          <w:tab w:pos="3054" w:val="left" w:leader="none"/>
        </w:tabs>
        <w:spacing w:line="240" w:lineRule="auto" w:before="120" w:after="0"/>
        <w:ind w:left="3053" w:right="416" w:hanging="567"/>
        <w:jc w:val="both"/>
        <w:rPr>
          <w:sz w:val="24"/>
        </w:rPr>
      </w:pPr>
      <w:r>
        <w:rPr>
          <w:sz w:val="24"/>
        </w:rPr>
        <w:t>was never previously used to provide </w:t>
      </w:r>
      <w:r>
        <w:rPr>
          <w:i/>
          <w:sz w:val="24"/>
        </w:rPr>
        <w:t>NT equivalent services </w:t>
      </w:r>
      <w:r>
        <w:rPr>
          <w:sz w:val="24"/>
        </w:rPr>
        <w:t>but is to be used to provide </w:t>
      </w:r>
      <w:r>
        <w:rPr>
          <w:i/>
          <w:sz w:val="24"/>
        </w:rPr>
        <w:t>standard control services for the 1st </w:t>
      </w:r>
      <w:r>
        <w:rPr>
          <w:i/>
          <w:sz w:val="24"/>
        </w:rPr>
        <w:t>regulatory control</w:t>
      </w:r>
      <w:r>
        <w:rPr>
          <w:i/>
          <w:spacing w:val="-3"/>
          <w:sz w:val="24"/>
        </w:rPr>
        <w:t> </w:t>
      </w:r>
      <w:r>
        <w:rPr>
          <w:i/>
          <w:sz w:val="24"/>
        </w:rPr>
        <w:t>period</w:t>
      </w:r>
      <w:r>
        <w:rPr>
          <w:sz w:val="24"/>
        </w:rPr>
        <w:t>.</w:t>
      </w:r>
    </w:p>
    <w:p>
      <w:pPr>
        <w:pStyle w:val="ListParagraph"/>
        <w:numPr>
          <w:ilvl w:val="0"/>
          <w:numId w:val="472"/>
        </w:numPr>
        <w:tabs>
          <w:tab w:pos="1919" w:val="left" w:leader="none"/>
        </w:tabs>
        <w:spacing w:line="240" w:lineRule="auto" w:before="120" w:after="0"/>
        <w:ind w:left="1919" w:right="415" w:hanging="567"/>
        <w:jc w:val="both"/>
        <w:rPr>
          <w:sz w:val="24"/>
        </w:rPr>
      </w:pPr>
      <w:r>
        <w:rPr>
          <w:sz w:val="24"/>
        </w:rPr>
        <w:t>An increase or reduction in the value of the regulatory asset base under paragraph (d)(7) or (8) is to be based on the portion of the value of the asset properly allocated, or formerly properly allocated, to </w:t>
      </w:r>
      <w:r>
        <w:rPr>
          <w:i/>
          <w:sz w:val="24"/>
        </w:rPr>
        <w:t>NT equivalent services </w:t>
      </w:r>
      <w:r>
        <w:rPr>
          <w:sz w:val="24"/>
        </w:rPr>
        <w:t>in accordance with the principles and policies set out in the Cost Allocation Methodology (as amended, varied or substituted from time to time) that is the subject of the </w:t>
      </w:r>
      <w:r>
        <w:rPr>
          <w:i/>
          <w:sz w:val="24"/>
        </w:rPr>
        <w:t>Utilities Commission's </w:t>
      </w:r>
      <w:r>
        <w:rPr>
          <w:sz w:val="24"/>
        </w:rPr>
        <w:t>final decision referred to in Chapter 5 of Part A of the </w:t>
      </w:r>
      <w:r>
        <w:rPr>
          <w:i/>
          <w:sz w:val="24"/>
        </w:rPr>
        <w:t>2014 NT Network Price Determination</w:t>
      </w:r>
      <w:r>
        <w:rPr>
          <w:sz w:val="24"/>
        </w:rPr>
        <w:t>. The value of the relevant asset is taken to be its value as shown in independently audited and published</w:t>
      </w:r>
      <w:r>
        <w:rPr>
          <w:spacing w:val="-1"/>
          <w:sz w:val="24"/>
        </w:rPr>
        <w:t> </w:t>
      </w:r>
      <w:r>
        <w:rPr>
          <w:sz w:val="24"/>
        </w:rPr>
        <w:t>accounts.</w:t>
      </w:r>
    </w:p>
    <w:p>
      <w:pPr>
        <w:spacing w:after="0" w:line="240" w:lineRule="auto"/>
        <w:jc w:val="both"/>
        <w:rPr>
          <w:sz w:val="24"/>
        </w:rPr>
        <w:sectPr>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80"/>
          <w:footerReference w:type="default" r:id="rId81"/>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6A</w:t>
                  </w:r>
                </w:p>
              </w:txbxContent>
            </v:textbox>
            <v:fill type="solid"/>
            <v:stroke dashstyle="solid"/>
          </v:shape>
        </w:pict>
      </w:r>
      <w:r>
        <w:rPr>
          <w:position w:val="0"/>
          <w:sz w:val="20"/>
        </w:rPr>
      </w:r>
    </w:p>
    <w:p>
      <w:pPr>
        <w:spacing w:after="0"/>
        <w:jc w:val="left"/>
        <w:rPr>
          <w:sz w:val="20"/>
        </w:rPr>
        <w:sectPr>
          <w:headerReference w:type="default" r:id="rId82"/>
          <w:footerReference w:type="default" r:id="rId83"/>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84"/>
          <w:footerReference w:type="default" r:id="rId85"/>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6A. Economic Regulation of Transmission " w:id="1696"/>
      <w:bookmarkEnd w:id="1696"/>
      <w:r>
        <w:rPr>
          <w:b w:val="0"/>
        </w:rPr>
      </w:r>
      <w:bookmarkStart w:name="_bookmark674" w:id="1697"/>
      <w:bookmarkEnd w:id="1697"/>
      <w:r>
        <w:rPr>
          <w:b w:val="0"/>
        </w:rPr>
      </w:r>
      <w:r>
        <w:rPr/>
        <w:t>6A.</w:t>
        <w:tab/>
        <w:t>Economic Regulation of Transmission</w:t>
      </w:r>
      <w:r>
        <w:rPr>
          <w:spacing w:val="-5"/>
        </w:rPr>
        <w:t> </w:t>
      </w:r>
      <w:r>
        <w:rPr/>
        <w:t>Services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86"/>
          <w:footerReference w:type="default" r:id="rId87"/>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88"/>
          <w:footerReference w:type="default" r:id="rId89"/>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6B</w:t>
                  </w:r>
                </w:p>
              </w:txbxContent>
            </v:textbox>
            <v:fill type="solid"/>
            <v:stroke dashstyle="solid"/>
          </v:shape>
        </w:pict>
      </w:r>
      <w:r>
        <w:rPr>
          <w:position w:val="0"/>
          <w:sz w:val="20"/>
        </w:rPr>
      </w:r>
    </w:p>
    <w:p>
      <w:pPr>
        <w:spacing w:after="0"/>
        <w:jc w:val="left"/>
        <w:rPr>
          <w:sz w:val="20"/>
        </w:rPr>
        <w:sectPr>
          <w:headerReference w:type="default" r:id="rId90"/>
          <w:footerReference w:type="default" r:id="rId91"/>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92"/>
          <w:footerReference w:type="default" r:id="rId93"/>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6B. Retail Markets" w:id="1698"/>
      <w:bookmarkEnd w:id="1698"/>
      <w:r>
        <w:rPr>
          <w:b w:val="0"/>
        </w:rPr>
      </w:r>
      <w:bookmarkStart w:name="_bookmark675" w:id="1699"/>
      <w:bookmarkEnd w:id="1699"/>
      <w:r>
        <w:rPr>
          <w:b w:val="0"/>
        </w:rPr>
      </w:r>
      <w:r>
        <w:rPr/>
        <w:t>6B.</w:t>
        <w:tab/>
        <w:t>Retail</w:t>
      </w:r>
      <w:r>
        <w:rPr>
          <w:spacing w:val="-2"/>
        </w:rPr>
        <w:t> </w:t>
      </w:r>
      <w:r>
        <w:rPr/>
        <w:t>Markets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Chapter has no effect in this jurisdiction (see regulation 5A of the </w:t>
      </w:r>
      <w:r>
        <w:rPr>
          <w:i/>
          <w:sz w:val="20"/>
        </w:rPr>
        <w:t>National Electricity </w:t>
      </w:r>
      <w:r>
        <w:rPr>
          <w:i/>
          <w:sz w:val="20"/>
        </w:rPr>
        <w:t>(Northern Territory) (National Uniform Legislation) (Modification) Regulations)</w:t>
      </w:r>
      <w:r>
        <w:rPr>
          <w:sz w:val="20"/>
        </w:rPr>
        <w:t>. The application of this Chapter will be revisited as part of the phased implementation of the </w:t>
      </w:r>
      <w:r>
        <w:rPr>
          <w:i/>
          <w:sz w:val="20"/>
        </w:rPr>
        <w:t>Rules </w:t>
      </w:r>
      <w:r>
        <w:rPr>
          <w:sz w:val="20"/>
        </w:rPr>
        <w:t>in this jurisdiction.</w:t>
      </w:r>
    </w:p>
    <w:p>
      <w:pPr>
        <w:spacing w:after="0"/>
        <w:jc w:val="both"/>
        <w:rPr>
          <w:sz w:val="20"/>
        </w:rPr>
        <w:sectPr>
          <w:headerReference w:type="default" r:id="rId94"/>
          <w:footerReference w:type="default" r:id="rId95"/>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96"/>
          <w:footerReference w:type="default" r:id="rId97"/>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7</w:t>
                  </w:r>
                </w:p>
              </w:txbxContent>
            </v:textbox>
            <v:fill type="solid"/>
            <v:stroke dashstyle="solid"/>
          </v:shape>
        </w:pict>
      </w:r>
      <w:r>
        <w:rPr>
          <w:position w:val="0"/>
          <w:sz w:val="20"/>
        </w:rPr>
      </w:r>
    </w:p>
    <w:p>
      <w:pPr>
        <w:spacing w:after="0"/>
        <w:jc w:val="left"/>
        <w:rPr>
          <w:sz w:val="20"/>
        </w:rPr>
        <w:sectPr>
          <w:headerReference w:type="default" r:id="rId98"/>
          <w:footerReference w:type="default" r:id="rId99"/>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00"/>
          <w:footerReference w:type="default" r:id="rId101"/>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7. Metering" w:id="1700"/>
      <w:bookmarkEnd w:id="1700"/>
      <w:r>
        <w:rPr>
          <w:b w:val="0"/>
        </w:rPr>
      </w:r>
      <w:bookmarkStart w:name="_bookmark676" w:id="1701"/>
      <w:bookmarkEnd w:id="1701"/>
      <w:r>
        <w:rPr>
          <w:b w:val="0"/>
        </w:rPr>
      </w:r>
      <w:bookmarkStart w:name="_bookmark676" w:id="1702"/>
      <w:bookmarkEnd w:id="1702"/>
      <w:r>
        <w:rPr/>
        <w:t>Metering</w:t>
      </w:r>
    </w:p>
    <w:p>
      <w:pPr>
        <w:spacing w:before="120"/>
        <w:ind w:left="1352" w:right="0" w:firstLine="0"/>
        <w:jc w:val="left"/>
        <w:rPr>
          <w:rFonts w:ascii="Arial"/>
          <w:b/>
          <w:sz w:val="20"/>
        </w:rPr>
      </w:pPr>
      <w:r>
        <w:rPr>
          <w:rFonts w:ascii="Arial"/>
          <w:b/>
          <w:sz w:val="20"/>
        </w:rPr>
        <w:t>Note:</w:t>
      </w:r>
    </w:p>
    <w:p>
      <w:pPr>
        <w:spacing w:before="120"/>
        <w:ind w:left="1352" w:right="401" w:firstLine="0"/>
        <w:jc w:val="left"/>
        <w:rPr>
          <w:sz w:val="20"/>
        </w:rPr>
      </w:pPr>
      <w:r>
        <w:rPr>
          <w:sz w:val="20"/>
        </w:rPr>
        <w:t>This Chapter has no effect in this jurisdiction but will take effect at a later date. Chapter 7A applies in this jurisdiction from 1 July 2019 in substitution for this Chapter.</w:t>
      </w:r>
    </w:p>
    <w:p>
      <w:pPr>
        <w:pStyle w:val="BodyText"/>
        <w:ind w:left="1352" w:firstLine="0"/>
        <w:jc w:val="left"/>
      </w:pPr>
      <w:r>
        <w:rPr/>
        <w:t>Criteria for assessing when the transition to this Chapter will take effect will be considered as part of the phased implementation of the </w:t>
      </w:r>
      <w:r>
        <w:rPr>
          <w:i/>
        </w:rPr>
        <w:t>Rules </w:t>
      </w:r>
      <w:r>
        <w:rPr/>
        <w:t>in this jurisdiction.</w:t>
      </w:r>
    </w:p>
    <w:p>
      <w:pPr>
        <w:spacing w:after="0"/>
        <w:jc w:val="left"/>
        <w:sectPr>
          <w:headerReference w:type="default" r:id="rId102"/>
          <w:footerReference w:type="default" r:id="rId103"/>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04"/>
          <w:footerReference w:type="default" r:id="rId105"/>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7A</w:t>
                  </w:r>
                </w:p>
              </w:txbxContent>
            </v:textbox>
            <v:fill type="solid"/>
            <v:stroke dashstyle="solid"/>
          </v:shape>
        </w:pict>
      </w:r>
      <w:r>
        <w:rPr>
          <w:position w:val="0"/>
          <w:sz w:val="20"/>
        </w:rPr>
      </w:r>
    </w:p>
    <w:p>
      <w:pPr>
        <w:spacing w:after="0"/>
        <w:jc w:val="left"/>
        <w:rPr>
          <w:sz w:val="20"/>
        </w:rPr>
        <w:sectPr>
          <w:headerReference w:type="default" r:id="rId106"/>
          <w:footerReference w:type="default" r:id="rId107"/>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08"/>
          <w:footerReference w:type="default" r:id="rId109"/>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7A. Metering" w:id="1703"/>
      <w:bookmarkEnd w:id="1703"/>
      <w:r>
        <w:rPr>
          <w:b w:val="0"/>
        </w:rPr>
      </w:r>
      <w:bookmarkStart w:name="_bookmark677" w:id="1704"/>
      <w:bookmarkEnd w:id="1704"/>
      <w:r>
        <w:rPr>
          <w:b w:val="0"/>
        </w:rPr>
      </w:r>
      <w:r>
        <w:rPr/>
        <w:t>7A.</w:t>
        <w:tab/>
        <w:t>Metering</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Chapter 7A applies in substitution for Chapter 7 (which establishes the metering framework that applies in the other </w:t>
      </w:r>
      <w:r>
        <w:rPr>
          <w:i/>
          <w:sz w:val="20"/>
        </w:rPr>
        <w:t>participating jurisdictions</w:t>
      </w:r>
      <w:r>
        <w:rPr>
          <w:sz w:val="20"/>
        </w:rPr>
        <w:t>). Chapter 7A operates as a transitional framework until Chapter 7 takes effect in this jurisdiction.</w:t>
      </w:r>
    </w:p>
    <w:p>
      <w:pPr>
        <w:spacing w:before="120"/>
        <w:ind w:left="1352" w:right="417" w:firstLine="0"/>
        <w:jc w:val="both"/>
        <w:rPr>
          <w:sz w:val="20"/>
        </w:rPr>
      </w:pPr>
      <w:r>
        <w:rPr>
          <w:sz w:val="20"/>
        </w:rPr>
        <w:t>Criteria for assessing when the transition to Chapter 7 will take effect will be considered as part of the phased implementation of the </w:t>
      </w:r>
      <w:r>
        <w:rPr>
          <w:i/>
          <w:sz w:val="20"/>
        </w:rPr>
        <w:t>Rules </w:t>
      </w:r>
      <w:r>
        <w:rPr>
          <w:sz w:val="20"/>
        </w:rPr>
        <w:t>in this jurisdiction.</w:t>
      </w:r>
    </w:p>
    <w:p>
      <w:pPr>
        <w:spacing w:before="120"/>
        <w:ind w:left="1352" w:right="414" w:firstLine="0"/>
        <w:jc w:val="both"/>
        <w:rPr>
          <w:sz w:val="20"/>
        </w:rPr>
      </w:pPr>
      <w:r>
        <w:rPr>
          <w:sz w:val="20"/>
        </w:rPr>
        <w:t>The application of requirements in Chapter 7A relating to market and institutional arrangements will also be considered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2"/>
        <w:tabs>
          <w:tab w:pos="1352" w:val="left" w:leader="none"/>
          <w:tab w:pos="9317" w:val="left" w:leader="none"/>
        </w:tabs>
      </w:pPr>
      <w:bookmarkStart w:name="Part A Introduction" w:id="1705"/>
      <w:bookmarkEnd w:id="1705"/>
      <w:r>
        <w:rPr>
          <w:b w:val="0"/>
        </w:rPr>
      </w:r>
      <w:bookmarkStart w:name="_bookmark678" w:id="1706"/>
      <w:bookmarkEnd w:id="1706"/>
      <w:r>
        <w:rPr>
          <w:b w:val="0"/>
        </w:rPr>
      </w:r>
      <w:r>
        <w:rPr>
          <w:shd w:fill="D9D9D9" w:color="auto" w:val="clear"/>
        </w:rPr>
        <w:t>Part A</w:t>
        <w:tab/>
        <w:t>Introduction</w:t>
        <w:tab/>
      </w:r>
    </w:p>
    <w:p>
      <w:pPr>
        <w:pStyle w:val="Heading3"/>
        <w:tabs>
          <w:tab w:pos="1351" w:val="left" w:leader="none"/>
        </w:tabs>
        <w:spacing w:before="240"/>
        <w:ind w:left="218" w:firstLine="0"/>
      </w:pPr>
      <w:bookmarkStart w:name="7A.1 Introduction to the Metering Chapte" w:id="1707"/>
      <w:bookmarkEnd w:id="1707"/>
      <w:r>
        <w:rPr>
          <w:b w:val="0"/>
        </w:rPr>
      </w:r>
      <w:bookmarkStart w:name="_bookmark679" w:id="1708"/>
      <w:bookmarkEnd w:id="1708"/>
      <w:r>
        <w:rPr>
          <w:b w:val="0"/>
        </w:rPr>
      </w:r>
      <w:r>
        <w:rPr/>
        <w:t>7A.1</w:t>
        <w:tab/>
        <w:t>Introduction to the Metering</w:t>
      </w:r>
      <w:r>
        <w:rPr>
          <w:spacing w:val="-2"/>
        </w:rPr>
        <w:t> </w:t>
      </w:r>
      <w:r>
        <w:rPr/>
        <w:t>Chapter</w:t>
      </w:r>
    </w:p>
    <w:p>
      <w:pPr>
        <w:pStyle w:val="Heading4"/>
        <w:tabs>
          <w:tab w:pos="1351" w:val="left" w:leader="none"/>
        </w:tabs>
        <w:spacing w:before="240"/>
        <w:ind w:left="218" w:firstLine="0"/>
      </w:pPr>
      <w:bookmarkStart w:name="7A.1.1 Purpose and application" w:id="1709"/>
      <w:bookmarkEnd w:id="1709"/>
      <w:r>
        <w:rPr>
          <w:b w:val="0"/>
        </w:rPr>
      </w:r>
      <w:bookmarkStart w:name="_bookmark680" w:id="1710"/>
      <w:bookmarkEnd w:id="1710"/>
      <w:r>
        <w:rPr>
          <w:b w:val="0"/>
        </w:rPr>
      </w:r>
      <w:r>
        <w:rPr/>
        <w:t>7A.1.1</w:t>
        <w:tab/>
        <w:t>Purpose and</w:t>
      </w:r>
      <w:r>
        <w:rPr>
          <w:spacing w:val="-2"/>
        </w:rPr>
        <w:t> </w:t>
      </w:r>
      <w:r>
        <w:rPr/>
        <w:t>application</w:t>
      </w:r>
    </w:p>
    <w:p>
      <w:pPr>
        <w:spacing w:before="120"/>
        <w:ind w:left="1352" w:right="415" w:firstLine="0"/>
        <w:jc w:val="both"/>
        <w:rPr>
          <w:sz w:val="24"/>
        </w:rPr>
      </w:pPr>
      <w:r>
        <w:rPr>
          <w:sz w:val="24"/>
        </w:rPr>
        <w:t>This Chapter provides the framework for </w:t>
      </w:r>
      <w:r>
        <w:rPr>
          <w:i/>
          <w:sz w:val="24"/>
        </w:rPr>
        <w:t>metering </w:t>
      </w:r>
      <w:r>
        <w:rPr>
          <w:sz w:val="24"/>
        </w:rPr>
        <w:t>for local electricity systems by establishing the requirements for </w:t>
      </w:r>
      <w:r>
        <w:rPr>
          <w:i/>
          <w:sz w:val="24"/>
        </w:rPr>
        <w:t>metering installations </w:t>
      </w:r>
      <w:r>
        <w:rPr>
          <w:sz w:val="24"/>
        </w:rPr>
        <w:t>at </w:t>
      </w:r>
      <w:r>
        <w:rPr>
          <w:i/>
          <w:sz w:val="24"/>
        </w:rPr>
        <w:t>connection points </w:t>
      </w:r>
      <w:r>
        <w:rPr>
          <w:sz w:val="24"/>
        </w:rPr>
        <w:t>on </w:t>
      </w:r>
      <w:r>
        <w:rPr>
          <w:i/>
          <w:sz w:val="24"/>
        </w:rPr>
        <w:t>transmission networks </w:t>
      </w:r>
      <w:r>
        <w:rPr>
          <w:sz w:val="24"/>
        </w:rPr>
        <w:t>or </w:t>
      </w:r>
      <w:r>
        <w:rPr>
          <w:i/>
          <w:sz w:val="24"/>
        </w:rPr>
        <w:t>distribution networks</w:t>
      </w:r>
      <w:r>
        <w:rPr>
          <w:sz w:val="24"/>
        </w:rPr>
        <w:t>.</w:t>
      </w:r>
    </w:p>
    <w:p>
      <w:pPr>
        <w:pStyle w:val="BodyText"/>
        <w:spacing w:before="10"/>
        <w:ind w:firstLine="0"/>
        <w:jc w:val="left"/>
        <w:rPr>
          <w:sz w:val="20"/>
        </w:rPr>
      </w:pPr>
    </w:p>
    <w:p>
      <w:pPr>
        <w:pStyle w:val="Heading4"/>
        <w:tabs>
          <w:tab w:pos="1351" w:val="left" w:leader="none"/>
        </w:tabs>
        <w:ind w:left="218" w:firstLine="0"/>
      </w:pPr>
      <w:bookmarkStart w:name="7A.1.2 Contents" w:id="1711"/>
      <w:bookmarkEnd w:id="1711"/>
      <w:r>
        <w:rPr>
          <w:b w:val="0"/>
        </w:rPr>
      </w:r>
      <w:bookmarkStart w:name="_bookmark681" w:id="1712"/>
      <w:bookmarkEnd w:id="1712"/>
      <w:r>
        <w:rPr>
          <w:b w:val="0"/>
        </w:rPr>
      </w:r>
      <w:r>
        <w:rPr/>
        <w:t>7A.1.2</w:t>
        <w:tab/>
        <w:t>Contents</w:t>
      </w:r>
    </w:p>
    <w:p>
      <w:pPr>
        <w:pStyle w:val="BodyText"/>
        <w:ind w:left="1352" w:firstLine="0"/>
        <w:jc w:val="left"/>
      </w:pPr>
      <w:r>
        <w:rPr/>
        <w:t>This Chapter sets out provisions relating to:</w:t>
      </w:r>
    </w:p>
    <w:p>
      <w:pPr>
        <w:pStyle w:val="ListParagraph"/>
        <w:numPr>
          <w:ilvl w:val="0"/>
          <w:numId w:val="474"/>
        </w:numPr>
        <w:tabs>
          <w:tab w:pos="1918" w:val="left" w:leader="none"/>
          <w:tab w:pos="1919" w:val="left" w:leader="none"/>
        </w:tabs>
        <w:spacing w:line="240" w:lineRule="auto" w:before="120" w:after="0"/>
        <w:ind w:left="1919" w:right="416" w:hanging="567"/>
        <w:jc w:val="left"/>
        <w:rPr>
          <w:sz w:val="24"/>
        </w:rPr>
      </w:pPr>
      <w:r>
        <w:rPr>
          <w:sz w:val="24"/>
        </w:rPr>
        <w:t>roles and responsibilities of financially responsible participants, </w:t>
      </w:r>
      <w:r>
        <w:rPr>
          <w:i/>
          <w:sz w:val="24"/>
        </w:rPr>
        <w:t>Metering </w:t>
      </w:r>
      <w:r>
        <w:rPr>
          <w:i/>
          <w:sz w:val="24"/>
        </w:rPr>
        <w:t>Coordinators</w:t>
      </w:r>
      <w:r>
        <w:rPr>
          <w:sz w:val="24"/>
        </w:rPr>
        <w:t>, </w:t>
      </w:r>
      <w:r>
        <w:rPr>
          <w:i/>
          <w:sz w:val="24"/>
        </w:rPr>
        <w:t>NTESMO </w:t>
      </w:r>
      <w:r>
        <w:rPr>
          <w:sz w:val="24"/>
        </w:rPr>
        <w:t>and the </w:t>
      </w:r>
      <w:r>
        <w:rPr>
          <w:i/>
          <w:sz w:val="24"/>
        </w:rPr>
        <w:t>Utilities Commission </w:t>
      </w:r>
      <w:r>
        <w:rPr>
          <w:sz w:val="24"/>
        </w:rPr>
        <w:t>relating to</w:t>
      </w:r>
      <w:r>
        <w:rPr>
          <w:spacing w:val="-4"/>
          <w:sz w:val="24"/>
        </w:rPr>
        <w:t> </w:t>
      </w:r>
      <w:r>
        <w:rPr>
          <w:sz w:val="24"/>
        </w:rPr>
        <w:t>metering;</w:t>
      </w:r>
    </w:p>
    <w:p>
      <w:pPr>
        <w:pStyle w:val="ListParagraph"/>
        <w:numPr>
          <w:ilvl w:val="0"/>
          <w:numId w:val="474"/>
        </w:numPr>
        <w:tabs>
          <w:tab w:pos="1918" w:val="left" w:leader="none"/>
          <w:tab w:pos="1919" w:val="left" w:leader="none"/>
        </w:tabs>
        <w:spacing w:line="240" w:lineRule="auto" w:before="120" w:after="0"/>
        <w:ind w:left="1918" w:right="0" w:hanging="567"/>
        <w:jc w:val="left"/>
        <w:rPr>
          <w:sz w:val="24"/>
        </w:rPr>
      </w:pPr>
      <w:r>
        <w:rPr>
          <w:sz w:val="24"/>
        </w:rPr>
        <w:t>the</w:t>
      </w:r>
      <w:r>
        <w:rPr>
          <w:spacing w:val="48"/>
          <w:sz w:val="24"/>
        </w:rPr>
        <w:t> </w:t>
      </w:r>
      <w:r>
        <w:rPr>
          <w:sz w:val="24"/>
        </w:rPr>
        <w:t>appointment</w:t>
      </w:r>
      <w:r>
        <w:rPr>
          <w:spacing w:val="49"/>
          <w:sz w:val="24"/>
        </w:rPr>
        <w:t> </w:t>
      </w:r>
      <w:r>
        <w:rPr>
          <w:sz w:val="24"/>
        </w:rPr>
        <w:t>of,</w:t>
      </w:r>
      <w:r>
        <w:rPr>
          <w:spacing w:val="49"/>
          <w:sz w:val="24"/>
        </w:rPr>
        <w:t> </w:t>
      </w:r>
      <w:r>
        <w:rPr>
          <w:sz w:val="24"/>
        </w:rPr>
        <w:t>and</w:t>
      </w:r>
      <w:r>
        <w:rPr>
          <w:spacing w:val="49"/>
          <w:sz w:val="24"/>
        </w:rPr>
        <w:t> </w:t>
      </w:r>
      <w:r>
        <w:rPr>
          <w:sz w:val="24"/>
        </w:rPr>
        <w:t>the</w:t>
      </w:r>
      <w:r>
        <w:rPr>
          <w:spacing w:val="48"/>
          <w:sz w:val="24"/>
        </w:rPr>
        <w:t> </w:t>
      </w:r>
      <w:r>
        <w:rPr>
          <w:sz w:val="24"/>
        </w:rPr>
        <w:t>qualifications</w:t>
      </w:r>
      <w:r>
        <w:rPr>
          <w:spacing w:val="49"/>
          <w:sz w:val="24"/>
        </w:rPr>
        <w:t> </w:t>
      </w:r>
      <w:r>
        <w:rPr>
          <w:sz w:val="24"/>
        </w:rPr>
        <w:t>and</w:t>
      </w:r>
      <w:r>
        <w:rPr>
          <w:spacing w:val="49"/>
          <w:sz w:val="24"/>
        </w:rPr>
        <w:t> </w:t>
      </w:r>
      <w:r>
        <w:rPr>
          <w:sz w:val="24"/>
        </w:rPr>
        <w:t>requirements</w:t>
      </w:r>
      <w:r>
        <w:rPr>
          <w:spacing w:val="49"/>
          <w:sz w:val="24"/>
        </w:rPr>
        <w:t> </w:t>
      </w:r>
      <w:r>
        <w:rPr>
          <w:sz w:val="24"/>
        </w:rPr>
        <w:t>applying</w:t>
      </w:r>
      <w:r>
        <w:rPr>
          <w:spacing w:val="48"/>
          <w:sz w:val="24"/>
        </w:rPr>
        <w:t> </w:t>
      </w:r>
      <w:r>
        <w:rPr>
          <w:sz w:val="24"/>
        </w:rPr>
        <w:t>to,</w:t>
      </w:r>
    </w:p>
    <w:p>
      <w:pPr>
        <w:spacing w:before="0"/>
        <w:ind w:left="1919" w:right="0" w:firstLine="0"/>
        <w:jc w:val="left"/>
        <w:rPr>
          <w:sz w:val="24"/>
        </w:rPr>
      </w:pPr>
      <w:r>
        <w:rPr>
          <w:i/>
          <w:sz w:val="24"/>
        </w:rPr>
        <w:t>Metering Providers </w:t>
      </w:r>
      <w:r>
        <w:rPr>
          <w:sz w:val="24"/>
        </w:rPr>
        <w:t>and </w:t>
      </w:r>
      <w:r>
        <w:rPr>
          <w:i/>
          <w:sz w:val="24"/>
        </w:rPr>
        <w:t>Metering Data Providers</w:t>
      </w:r>
      <w:r>
        <w:rPr>
          <w:sz w:val="24"/>
        </w:rPr>
        <w:t>;</w:t>
      </w:r>
    </w:p>
    <w:p>
      <w:pPr>
        <w:pStyle w:val="ListParagraph"/>
        <w:numPr>
          <w:ilvl w:val="0"/>
          <w:numId w:val="474"/>
        </w:numPr>
        <w:tabs>
          <w:tab w:pos="1918" w:val="left" w:leader="none"/>
          <w:tab w:pos="1919" w:val="left" w:leader="none"/>
        </w:tabs>
        <w:spacing w:line="240" w:lineRule="auto" w:before="120" w:after="0"/>
        <w:ind w:left="1918" w:right="0" w:hanging="567"/>
        <w:jc w:val="left"/>
        <w:rPr>
          <w:sz w:val="24"/>
        </w:rPr>
      </w:pPr>
      <w:r>
        <w:rPr>
          <w:sz w:val="24"/>
        </w:rPr>
        <w:t>the appointment of </w:t>
      </w:r>
      <w:r>
        <w:rPr>
          <w:i/>
          <w:sz w:val="24"/>
        </w:rPr>
        <w:t>Metering</w:t>
      </w:r>
      <w:r>
        <w:rPr>
          <w:i/>
          <w:spacing w:val="-1"/>
          <w:sz w:val="24"/>
        </w:rPr>
        <w:t> </w:t>
      </w:r>
      <w:r>
        <w:rPr>
          <w:i/>
          <w:sz w:val="24"/>
        </w:rPr>
        <w:t>Coordinators</w:t>
      </w:r>
      <w:r>
        <w:rPr>
          <w:sz w:val="24"/>
        </w:rPr>
        <w:t>;</w:t>
      </w:r>
    </w:p>
    <w:p>
      <w:pPr>
        <w:pStyle w:val="ListParagraph"/>
        <w:numPr>
          <w:ilvl w:val="0"/>
          <w:numId w:val="474"/>
        </w:numPr>
        <w:tabs>
          <w:tab w:pos="1918" w:val="left" w:leader="none"/>
          <w:tab w:pos="1919" w:val="left" w:leader="none"/>
        </w:tabs>
        <w:spacing w:line="240" w:lineRule="auto" w:before="120" w:after="0"/>
        <w:ind w:left="1918" w:right="0" w:hanging="567"/>
        <w:jc w:val="left"/>
        <w:rPr>
          <w:sz w:val="24"/>
        </w:rPr>
      </w:pPr>
      <w:r>
        <w:rPr>
          <w:i/>
          <w:sz w:val="24"/>
        </w:rPr>
        <w:t>metering installation</w:t>
      </w:r>
      <w:r>
        <w:rPr>
          <w:i/>
          <w:spacing w:val="-1"/>
          <w:sz w:val="24"/>
        </w:rPr>
        <w:t> </w:t>
      </w:r>
      <w:r>
        <w:rPr>
          <w:sz w:val="24"/>
        </w:rPr>
        <w:t>requirements;</w:t>
      </w:r>
    </w:p>
    <w:p>
      <w:pPr>
        <w:pStyle w:val="ListParagraph"/>
        <w:numPr>
          <w:ilvl w:val="0"/>
          <w:numId w:val="474"/>
        </w:numPr>
        <w:tabs>
          <w:tab w:pos="1918" w:val="left" w:leader="none"/>
          <w:tab w:pos="1919" w:val="left" w:leader="none"/>
        </w:tabs>
        <w:spacing w:line="240" w:lineRule="auto" w:before="120" w:after="0"/>
        <w:ind w:left="1918" w:right="0" w:hanging="567"/>
        <w:jc w:val="left"/>
        <w:rPr>
          <w:sz w:val="24"/>
        </w:rPr>
      </w:pPr>
      <w:r>
        <w:rPr>
          <w:i/>
          <w:sz w:val="24"/>
        </w:rPr>
        <w:t>metering data services </w:t>
      </w:r>
      <w:r>
        <w:rPr>
          <w:sz w:val="24"/>
        </w:rPr>
        <w:t>and the </w:t>
      </w:r>
      <w:r>
        <w:rPr>
          <w:i/>
          <w:sz w:val="24"/>
        </w:rPr>
        <w:t>metering</w:t>
      </w:r>
      <w:r>
        <w:rPr>
          <w:i/>
          <w:spacing w:val="-5"/>
          <w:sz w:val="24"/>
        </w:rPr>
        <w:t> </w:t>
      </w:r>
      <w:r>
        <w:rPr>
          <w:i/>
          <w:sz w:val="24"/>
        </w:rPr>
        <w:t>database</w:t>
      </w:r>
      <w:r>
        <w:rPr>
          <w:sz w:val="24"/>
        </w:rPr>
        <w:t>;</w:t>
      </w:r>
    </w:p>
    <w:p>
      <w:pPr>
        <w:pStyle w:val="ListParagraph"/>
        <w:numPr>
          <w:ilvl w:val="0"/>
          <w:numId w:val="474"/>
        </w:numPr>
        <w:tabs>
          <w:tab w:pos="1920" w:val="left" w:leader="none"/>
        </w:tabs>
        <w:spacing w:line="240" w:lineRule="auto" w:before="120" w:after="0"/>
        <w:ind w:left="1919" w:right="415" w:hanging="567"/>
        <w:jc w:val="both"/>
        <w:rPr>
          <w:sz w:val="24"/>
        </w:rPr>
      </w:pPr>
      <w:r>
        <w:rPr>
          <w:i/>
          <w:sz w:val="24"/>
        </w:rPr>
        <w:t>metering register </w:t>
      </w:r>
      <w:r>
        <w:rPr>
          <w:sz w:val="24"/>
        </w:rPr>
        <w:t>requirements, the disclosure of </w:t>
      </w:r>
      <w:r>
        <w:rPr>
          <w:i/>
          <w:sz w:val="24"/>
        </w:rPr>
        <w:t>NMI </w:t>
      </w:r>
      <w:r>
        <w:rPr>
          <w:sz w:val="24"/>
        </w:rPr>
        <w:t>information, and the provision of </w:t>
      </w:r>
      <w:r>
        <w:rPr>
          <w:i/>
          <w:sz w:val="24"/>
        </w:rPr>
        <w:t>metering data </w:t>
      </w:r>
      <w:r>
        <w:rPr>
          <w:sz w:val="24"/>
        </w:rPr>
        <w:t>to </w:t>
      </w:r>
      <w:r>
        <w:rPr>
          <w:i/>
          <w:sz w:val="24"/>
        </w:rPr>
        <w:t>retail</w:t>
      </w:r>
      <w:r>
        <w:rPr>
          <w:i/>
          <w:spacing w:val="-4"/>
          <w:sz w:val="24"/>
        </w:rPr>
        <w:t> </w:t>
      </w:r>
      <w:r>
        <w:rPr>
          <w:i/>
          <w:sz w:val="24"/>
        </w:rPr>
        <w:t>customers</w:t>
      </w:r>
      <w:r>
        <w:rPr>
          <w:sz w:val="24"/>
        </w:rPr>
        <w:t>;</w:t>
      </w:r>
    </w:p>
    <w:p>
      <w:pPr>
        <w:pStyle w:val="ListParagraph"/>
        <w:numPr>
          <w:ilvl w:val="0"/>
          <w:numId w:val="474"/>
        </w:numPr>
        <w:tabs>
          <w:tab w:pos="1919" w:val="left" w:leader="none"/>
        </w:tabs>
        <w:spacing w:line="240" w:lineRule="auto" w:before="120" w:after="0"/>
        <w:ind w:left="1919" w:right="416" w:hanging="567"/>
        <w:jc w:val="both"/>
        <w:rPr>
          <w:sz w:val="24"/>
        </w:rPr>
      </w:pPr>
      <w:r>
        <w:rPr>
          <w:sz w:val="24"/>
        </w:rPr>
        <w:t>security of, and rights to access, </w:t>
      </w:r>
      <w:r>
        <w:rPr>
          <w:i/>
          <w:sz w:val="24"/>
        </w:rPr>
        <w:t>metering installations</w:t>
      </w:r>
      <w:r>
        <w:rPr>
          <w:sz w:val="24"/>
        </w:rPr>
        <w:t>, services provided by </w:t>
      </w:r>
      <w:r>
        <w:rPr>
          <w:i/>
          <w:sz w:val="24"/>
        </w:rPr>
        <w:t>metering installations</w:t>
      </w:r>
      <w:r>
        <w:rPr>
          <w:sz w:val="24"/>
        </w:rPr>
        <w:t>, </w:t>
      </w:r>
      <w:r>
        <w:rPr>
          <w:i/>
          <w:sz w:val="24"/>
        </w:rPr>
        <w:t>energy data </w:t>
      </w:r>
      <w:r>
        <w:rPr>
          <w:sz w:val="24"/>
        </w:rPr>
        <w:t>held in </w:t>
      </w:r>
      <w:r>
        <w:rPr>
          <w:i/>
          <w:sz w:val="24"/>
        </w:rPr>
        <w:t>metering installations </w:t>
      </w:r>
      <w:r>
        <w:rPr>
          <w:sz w:val="24"/>
        </w:rPr>
        <w:t>and </w:t>
      </w:r>
      <w:r>
        <w:rPr>
          <w:i/>
          <w:sz w:val="24"/>
        </w:rPr>
        <w:t>metering data </w:t>
      </w:r>
      <w:r>
        <w:rPr>
          <w:sz w:val="24"/>
        </w:rPr>
        <w:t>from </w:t>
      </w:r>
      <w:r>
        <w:rPr>
          <w:i/>
          <w:sz w:val="24"/>
        </w:rPr>
        <w:t>metering installations</w:t>
      </w:r>
      <w:r>
        <w:rPr>
          <w:sz w:val="24"/>
        </w:rPr>
        <w:t>;</w:t>
      </w:r>
      <w:r>
        <w:rPr>
          <w:spacing w:val="-3"/>
          <w:sz w:val="24"/>
        </w:rPr>
        <w:t> </w:t>
      </w:r>
      <w:r>
        <w:rPr>
          <w:sz w:val="24"/>
        </w:rPr>
        <w:t>and</w:t>
      </w:r>
    </w:p>
    <w:p>
      <w:pPr>
        <w:pStyle w:val="ListParagraph"/>
        <w:numPr>
          <w:ilvl w:val="0"/>
          <w:numId w:val="474"/>
        </w:numPr>
        <w:tabs>
          <w:tab w:pos="1919" w:val="left" w:leader="none"/>
        </w:tabs>
        <w:spacing w:line="240" w:lineRule="auto" w:before="120" w:after="0"/>
        <w:ind w:left="1918" w:right="0" w:hanging="567"/>
        <w:jc w:val="both"/>
        <w:rPr>
          <w:sz w:val="24"/>
        </w:rPr>
      </w:pPr>
      <w:r>
        <w:rPr>
          <w:sz w:val="24"/>
        </w:rPr>
        <w:t>relevant </w:t>
      </w:r>
      <w:r>
        <w:rPr>
          <w:i/>
          <w:sz w:val="24"/>
        </w:rPr>
        <w:t>metering</w:t>
      </w:r>
      <w:r>
        <w:rPr>
          <w:i/>
          <w:spacing w:val="-1"/>
          <w:sz w:val="24"/>
        </w:rPr>
        <w:t> </w:t>
      </w:r>
      <w:r>
        <w:rPr>
          <w:sz w:val="24"/>
        </w:rPr>
        <w:t>procedures.</w:t>
      </w:r>
    </w:p>
    <w:p>
      <w:pPr>
        <w:pStyle w:val="BodyText"/>
        <w:spacing w:before="10"/>
        <w:ind w:firstLine="0"/>
        <w:jc w:val="left"/>
        <w:rPr>
          <w:sz w:val="20"/>
        </w:rPr>
      </w:pPr>
    </w:p>
    <w:p>
      <w:pPr>
        <w:pStyle w:val="Heading4"/>
        <w:tabs>
          <w:tab w:pos="1351" w:val="left" w:leader="none"/>
        </w:tabs>
        <w:ind w:left="218" w:firstLine="0"/>
      </w:pPr>
      <w:bookmarkStart w:name="7A.1.3 Definitions" w:id="1713"/>
      <w:bookmarkEnd w:id="1713"/>
      <w:r>
        <w:rPr>
          <w:b w:val="0"/>
        </w:rPr>
      </w:r>
      <w:bookmarkStart w:name="_bookmark682" w:id="1714"/>
      <w:bookmarkEnd w:id="1714"/>
      <w:r>
        <w:rPr>
          <w:b w:val="0"/>
        </w:rPr>
      </w:r>
      <w:r>
        <w:rPr/>
        <w:t>7A.1.3</w:t>
        <w:tab/>
        <w:t>Definitions</w:t>
      </w:r>
    </w:p>
    <w:p>
      <w:pPr>
        <w:pStyle w:val="BodyText"/>
        <w:ind w:left="1352" w:firstLine="0"/>
      </w:pPr>
      <w:r>
        <w:rPr/>
        <w:t>In this Chapter:</w:t>
      </w:r>
    </w:p>
    <w:p>
      <w:pPr>
        <w:pStyle w:val="BodyText"/>
        <w:ind w:left="1352" w:right="414" w:firstLine="0"/>
      </w:pPr>
      <w:r>
        <w:rPr>
          <w:b/>
        </w:rPr>
        <w:t>actual meter reading </w:t>
      </w:r>
      <w:r>
        <w:rPr/>
        <w:t>means the collection of energy data from a metering installation by local access or remote acquisition.</w:t>
      </w:r>
    </w:p>
    <w:p>
      <w:pPr>
        <w:pStyle w:val="BodyText"/>
        <w:ind w:left="1352" w:right="415" w:firstLine="0"/>
      </w:pPr>
      <w:r>
        <w:rPr>
          <w:b/>
        </w:rPr>
        <w:t>data stream </w:t>
      </w:r>
      <w:r>
        <w:rPr/>
        <w:t>means a stream of metering data associated with a </w:t>
      </w:r>
      <w:r>
        <w:rPr>
          <w:i/>
        </w:rPr>
        <w:t>connection point</w:t>
      </w:r>
      <w:r>
        <w:rPr/>
        <w:t>, as represented by a </w:t>
      </w:r>
      <w:r>
        <w:rPr>
          <w:i/>
        </w:rPr>
        <w:t>NMI</w:t>
      </w:r>
      <w:r>
        <w:rPr/>
        <w:t>. A </w:t>
      </w:r>
      <w:r>
        <w:rPr>
          <w:i/>
        </w:rPr>
        <w:t>NMI </w:t>
      </w:r>
      <w:r>
        <w:rPr/>
        <w:t>may have multiple data streams (for example, from one or more </w:t>
      </w:r>
      <w:r>
        <w:rPr>
          <w:i/>
        </w:rPr>
        <w:t>meters</w:t>
      </w:r>
      <w:r>
        <w:rPr/>
        <w:t>, or one or more channels or registers that comprise a</w:t>
      </w:r>
    </w:p>
    <w:p>
      <w:pPr>
        <w:spacing w:after="0"/>
        <w:sectPr>
          <w:headerReference w:type="default" r:id="rId110"/>
          <w:footerReference w:type="default" r:id="rId111"/>
          <w:pgSz w:w="11910" w:h="16840"/>
          <w:pgMar w:header="686" w:footer="637" w:top="1320" w:bottom="820" w:left="1200" w:right="1000"/>
          <w:pgNumType w:start="555"/>
        </w:sectPr>
      </w:pPr>
    </w:p>
    <w:p>
      <w:pPr>
        <w:pStyle w:val="BodyText"/>
        <w:spacing w:before="83"/>
        <w:ind w:left="1352" w:firstLine="0"/>
      </w:pPr>
      <w:r>
        <w:rPr/>
        <w:t>single </w:t>
      </w:r>
      <w:r>
        <w:rPr>
          <w:i/>
        </w:rPr>
        <w:t>meter</w:t>
      </w:r>
      <w:r>
        <w:rPr/>
        <w:t>). Each data stream is identified by a unique suffix associated with the</w:t>
      </w:r>
    </w:p>
    <w:p>
      <w:pPr>
        <w:pStyle w:val="BodyText"/>
        <w:spacing w:before="0"/>
        <w:ind w:left="1352" w:firstLine="0"/>
      </w:pPr>
      <w:r>
        <w:rPr>
          <w:i/>
        </w:rPr>
        <w:t>NMI </w:t>
      </w:r>
      <w:r>
        <w:rPr/>
        <w:t>to which it belongs.</w:t>
      </w:r>
    </w:p>
    <w:p>
      <w:pPr>
        <w:spacing w:before="120"/>
        <w:ind w:left="1352" w:right="415" w:firstLine="0"/>
        <w:jc w:val="both"/>
        <w:rPr>
          <w:sz w:val="24"/>
        </w:rPr>
      </w:pPr>
      <w:r>
        <w:rPr>
          <w:b/>
          <w:sz w:val="24"/>
        </w:rPr>
        <w:t>financially responsible participant </w:t>
      </w:r>
      <w:r>
        <w:rPr>
          <w:sz w:val="24"/>
        </w:rPr>
        <w:t>means a person who is </w:t>
      </w:r>
      <w:r>
        <w:rPr>
          <w:i/>
          <w:sz w:val="24"/>
        </w:rPr>
        <w:t>financially </w:t>
      </w:r>
      <w:r>
        <w:rPr>
          <w:i/>
          <w:sz w:val="24"/>
        </w:rPr>
        <w:t>responsible </w:t>
      </w:r>
      <w:r>
        <w:rPr>
          <w:sz w:val="24"/>
        </w:rPr>
        <w:t>for a </w:t>
      </w:r>
      <w:r>
        <w:rPr>
          <w:i/>
          <w:sz w:val="24"/>
        </w:rPr>
        <w:t>connection</w:t>
      </w:r>
      <w:r>
        <w:rPr>
          <w:i/>
          <w:spacing w:val="-2"/>
          <w:sz w:val="24"/>
        </w:rPr>
        <w:t> </w:t>
      </w:r>
      <w:r>
        <w:rPr>
          <w:i/>
          <w:sz w:val="24"/>
        </w:rPr>
        <w:t>point</w:t>
      </w:r>
      <w:r>
        <w:rPr>
          <w:sz w:val="24"/>
        </w:rPr>
        <w:t>.</w:t>
      </w:r>
    </w:p>
    <w:p>
      <w:pPr>
        <w:pStyle w:val="BodyText"/>
        <w:ind w:left="1352" w:right="417" w:firstLine="0"/>
      </w:pPr>
      <w:r>
        <w:rPr>
          <w:b/>
        </w:rPr>
        <w:t>MDFF Specification </w:t>
      </w:r>
      <w:r>
        <w:rPr/>
        <w:t>means the Metering Data File Format Specification NEM 12 and NEM 13, published by </w:t>
      </w:r>
      <w:r>
        <w:rPr>
          <w:i/>
        </w:rPr>
        <w:t>AEMO</w:t>
      </w:r>
      <w:r>
        <w:rPr/>
        <w:t>, with an effective date of 1 December 2017 (Version 1.06).</w:t>
      </w:r>
    </w:p>
    <w:p>
      <w:pPr>
        <w:spacing w:before="120"/>
        <w:ind w:left="1352" w:right="415" w:firstLine="0"/>
        <w:jc w:val="both"/>
        <w:rPr>
          <w:sz w:val="24"/>
        </w:rPr>
      </w:pPr>
      <w:r>
        <w:rPr>
          <w:b/>
          <w:sz w:val="24"/>
        </w:rPr>
        <w:t>Metering Data File Format </w:t>
      </w:r>
      <w:r>
        <w:rPr>
          <w:sz w:val="24"/>
        </w:rPr>
        <w:t>means </w:t>
      </w:r>
      <w:r>
        <w:rPr>
          <w:i/>
          <w:sz w:val="24"/>
        </w:rPr>
        <w:t>metering data </w:t>
      </w:r>
      <w:r>
        <w:rPr>
          <w:sz w:val="24"/>
        </w:rPr>
        <w:t>that is in a form that complies with the MDFF Specification.</w:t>
      </w:r>
    </w:p>
    <w:p>
      <w:pPr>
        <w:spacing w:before="120"/>
        <w:ind w:left="1352" w:right="0" w:firstLine="0"/>
        <w:jc w:val="both"/>
        <w:rPr>
          <w:sz w:val="24"/>
        </w:rPr>
      </w:pPr>
      <w:r>
        <w:rPr>
          <w:b/>
          <w:sz w:val="24"/>
        </w:rPr>
        <w:t>metering provision services </w:t>
      </w:r>
      <w:r>
        <w:rPr>
          <w:sz w:val="24"/>
        </w:rPr>
        <w:t>means the provision, installation and maintenance of</w:t>
      </w:r>
    </w:p>
    <w:p>
      <w:pPr>
        <w:spacing w:before="0"/>
        <w:ind w:left="1352" w:right="0" w:firstLine="0"/>
        <w:jc w:val="both"/>
        <w:rPr>
          <w:sz w:val="24"/>
        </w:rPr>
      </w:pPr>
      <w:r>
        <w:rPr>
          <w:i/>
          <w:sz w:val="24"/>
        </w:rPr>
        <w:t>metering installations</w:t>
      </w:r>
      <w:r>
        <w:rPr>
          <w:sz w:val="24"/>
        </w:rPr>
        <w:t>.</w:t>
      </w:r>
    </w:p>
    <w:p>
      <w:pPr>
        <w:spacing w:before="120"/>
        <w:ind w:left="1352" w:right="416" w:firstLine="0"/>
        <w:jc w:val="both"/>
        <w:rPr>
          <w:sz w:val="24"/>
        </w:rPr>
      </w:pPr>
      <w:r>
        <w:rPr>
          <w:b/>
          <w:sz w:val="24"/>
        </w:rPr>
        <w:t>prepayment device </w:t>
      </w:r>
      <w:r>
        <w:rPr>
          <w:sz w:val="24"/>
        </w:rPr>
        <w:t>means a </w:t>
      </w:r>
      <w:r>
        <w:rPr>
          <w:i/>
          <w:sz w:val="24"/>
        </w:rPr>
        <w:t>metering installation </w:t>
      </w:r>
      <w:r>
        <w:rPr>
          <w:sz w:val="24"/>
        </w:rPr>
        <w:t>that requires a prepayment for the supply of electricity prior to consumption.</w:t>
      </w:r>
    </w:p>
    <w:p>
      <w:pPr>
        <w:spacing w:before="120"/>
        <w:ind w:left="1352" w:right="416" w:firstLine="0"/>
        <w:jc w:val="both"/>
        <w:rPr>
          <w:sz w:val="24"/>
        </w:rPr>
      </w:pPr>
      <w:r>
        <w:rPr>
          <w:b/>
          <w:sz w:val="24"/>
        </w:rPr>
        <w:t>scheduled meter reading </w:t>
      </w:r>
      <w:r>
        <w:rPr>
          <w:sz w:val="24"/>
        </w:rPr>
        <w:t>means an actual meter reading performed in accordance with the usual reading cycle for the</w:t>
      </w:r>
      <w:r>
        <w:rPr>
          <w:spacing w:val="-4"/>
          <w:sz w:val="24"/>
        </w:rPr>
        <w:t> </w:t>
      </w:r>
      <w:r>
        <w:rPr>
          <w:i/>
          <w:sz w:val="24"/>
        </w:rPr>
        <w:t>meter</w:t>
      </w:r>
      <w:r>
        <w:rPr>
          <w:sz w:val="24"/>
        </w:rPr>
        <w:t>.</w:t>
      </w:r>
    </w:p>
    <w:p>
      <w:pPr>
        <w:spacing w:before="120"/>
        <w:ind w:left="1352" w:right="416" w:firstLine="0"/>
        <w:jc w:val="both"/>
        <w:rPr>
          <w:sz w:val="24"/>
        </w:rPr>
      </w:pPr>
      <w:r>
        <w:rPr>
          <w:b/>
          <w:sz w:val="24"/>
        </w:rPr>
        <w:t>special meter reading </w:t>
      </w:r>
      <w:r>
        <w:rPr>
          <w:sz w:val="24"/>
        </w:rPr>
        <w:t>means an actual meter reading performed outside of the usual reading cycle for the </w:t>
      </w:r>
      <w:r>
        <w:rPr>
          <w:i/>
          <w:sz w:val="24"/>
        </w:rPr>
        <w:t>meter</w:t>
      </w:r>
      <w:r>
        <w:rPr>
          <w:sz w:val="24"/>
        </w:rPr>
        <w:t>.</w:t>
      </w:r>
    </w:p>
    <w:p>
      <w:pPr>
        <w:pStyle w:val="BodyText"/>
        <w:ind w:left="1352" w:right="414" w:firstLine="0"/>
      </w:pPr>
      <w:r>
        <w:rPr>
          <w:b/>
        </w:rPr>
        <w:t>vending services </w:t>
      </w:r>
      <w:r>
        <w:rPr/>
        <w:t>means, for a </w:t>
      </w:r>
      <w:r>
        <w:rPr>
          <w:i/>
        </w:rPr>
        <w:t>metering installation </w:t>
      </w:r>
      <w:r>
        <w:rPr/>
        <w:t>at a </w:t>
      </w:r>
      <w:r>
        <w:rPr>
          <w:i/>
        </w:rPr>
        <w:t>connection point </w:t>
      </w:r>
      <w:r>
        <w:rPr/>
        <w:t>that is a prepayment device, services that allow the financially responsible participant to sell electricity that will flow through the prepayment device in the future for consumption, and to receive payment in advance for selling that electricity.</w:t>
      </w:r>
    </w:p>
    <w:p>
      <w:pPr>
        <w:spacing w:before="120"/>
        <w:ind w:left="31" w:right="6587" w:firstLine="0"/>
        <w:jc w:val="center"/>
        <w:rPr>
          <w:rFonts w:ascii="Arial"/>
          <w:b/>
          <w:sz w:val="20"/>
        </w:rPr>
      </w:pPr>
      <w:r>
        <w:rPr>
          <w:rFonts w:ascii="Arial"/>
          <w:b/>
          <w:sz w:val="20"/>
        </w:rPr>
        <w:t>Note</w:t>
      </w:r>
    </w:p>
    <w:p>
      <w:pPr>
        <w:spacing w:before="120"/>
        <w:ind w:left="1352" w:right="0" w:firstLine="0"/>
        <w:jc w:val="both"/>
        <w:rPr>
          <w:sz w:val="20"/>
        </w:rPr>
      </w:pPr>
      <w:r>
        <w:rPr>
          <w:sz w:val="20"/>
        </w:rPr>
        <w:t>The following are examples of vending services:</w:t>
      </w:r>
    </w:p>
    <w:p>
      <w:pPr>
        <w:pStyle w:val="ListParagraph"/>
        <w:numPr>
          <w:ilvl w:val="0"/>
          <w:numId w:val="475"/>
        </w:numPr>
        <w:tabs>
          <w:tab w:pos="1658" w:val="left" w:leader="none"/>
        </w:tabs>
        <w:spacing w:line="240" w:lineRule="auto" w:before="120" w:after="0"/>
        <w:ind w:left="1657" w:right="0" w:hanging="306"/>
        <w:jc w:val="both"/>
        <w:rPr>
          <w:sz w:val="20"/>
        </w:rPr>
      </w:pPr>
      <w:r>
        <w:rPr>
          <w:sz w:val="20"/>
        </w:rPr>
        <w:t>services for prepayments made by credit card through a website or app, or over the</w:t>
      </w:r>
      <w:r>
        <w:rPr>
          <w:spacing w:val="-13"/>
          <w:sz w:val="20"/>
        </w:rPr>
        <w:t> </w:t>
      </w:r>
      <w:r>
        <w:rPr>
          <w:sz w:val="20"/>
        </w:rPr>
        <w:t>telephone;</w:t>
      </w:r>
    </w:p>
    <w:p>
      <w:pPr>
        <w:pStyle w:val="ListParagraph"/>
        <w:numPr>
          <w:ilvl w:val="0"/>
          <w:numId w:val="475"/>
        </w:numPr>
        <w:tabs>
          <w:tab w:pos="1658" w:val="left" w:leader="none"/>
        </w:tabs>
        <w:spacing w:line="240" w:lineRule="auto" w:before="120" w:after="0"/>
        <w:ind w:left="1352" w:right="416" w:firstLine="0"/>
        <w:jc w:val="both"/>
        <w:rPr>
          <w:sz w:val="20"/>
        </w:rPr>
      </w:pPr>
      <w:r>
        <w:rPr>
          <w:sz w:val="20"/>
        </w:rPr>
        <w:t>services for prepayments made in person by cash or credit card to purchase a physical token or unique code that must be entered into a prepayment</w:t>
      </w:r>
      <w:r>
        <w:rPr>
          <w:spacing w:val="-3"/>
          <w:sz w:val="20"/>
        </w:rPr>
        <w:t> </w:t>
      </w:r>
      <w:r>
        <w:rPr>
          <w:sz w:val="20"/>
        </w:rPr>
        <w:t>device.</w:t>
      </w:r>
    </w:p>
    <w:p>
      <w:pPr>
        <w:pStyle w:val="BodyText"/>
        <w:spacing w:before="10"/>
        <w:ind w:firstLine="0"/>
        <w:jc w:val="left"/>
        <w:rPr>
          <w:sz w:val="20"/>
        </w:rPr>
      </w:pPr>
    </w:p>
    <w:p>
      <w:pPr>
        <w:pStyle w:val="Heading4"/>
        <w:tabs>
          <w:tab w:pos="1133" w:val="left" w:leader="none"/>
        </w:tabs>
        <w:ind w:left="0" w:right="6534" w:firstLine="0"/>
        <w:jc w:val="center"/>
      </w:pPr>
      <w:bookmarkStart w:name="7A.1.4 Inconsistency" w:id="1715"/>
      <w:bookmarkEnd w:id="1715"/>
      <w:r>
        <w:rPr>
          <w:b w:val="0"/>
        </w:rPr>
      </w:r>
      <w:bookmarkStart w:name="_bookmark683" w:id="1716"/>
      <w:bookmarkEnd w:id="1716"/>
      <w:r>
        <w:rPr>
          <w:b w:val="0"/>
        </w:rPr>
      </w:r>
      <w:r>
        <w:rPr/>
        <w:t>7A.1.4</w:t>
        <w:tab/>
        <w:t>Inconsistency</w:t>
      </w:r>
    </w:p>
    <w:p>
      <w:pPr>
        <w:pStyle w:val="ListParagraph"/>
        <w:numPr>
          <w:ilvl w:val="0"/>
          <w:numId w:val="476"/>
        </w:numPr>
        <w:tabs>
          <w:tab w:pos="1919" w:val="left" w:leader="none"/>
        </w:tabs>
        <w:spacing w:line="240" w:lineRule="auto" w:before="120" w:after="0"/>
        <w:ind w:left="1919" w:right="415" w:hanging="567"/>
        <w:jc w:val="both"/>
        <w:rPr>
          <w:sz w:val="24"/>
        </w:rPr>
      </w:pPr>
      <w:r>
        <w:rPr>
          <w:sz w:val="24"/>
        </w:rPr>
        <w:t>If there is an inconsistency between substantive Chapter 7A and the schedules to this Chapter, substantive Chapter 7A prevails to the extent of the</w:t>
      </w:r>
      <w:r>
        <w:rPr>
          <w:spacing w:val="-1"/>
          <w:sz w:val="24"/>
        </w:rPr>
        <w:t> </w:t>
      </w:r>
      <w:r>
        <w:rPr>
          <w:sz w:val="24"/>
        </w:rPr>
        <w:t>inconsistency.</w:t>
      </w:r>
    </w:p>
    <w:p>
      <w:pPr>
        <w:pStyle w:val="ListParagraph"/>
        <w:numPr>
          <w:ilvl w:val="0"/>
          <w:numId w:val="476"/>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clause:</w:t>
      </w:r>
    </w:p>
    <w:p>
      <w:pPr>
        <w:spacing w:before="120"/>
        <w:ind w:left="1919" w:right="416" w:firstLine="0"/>
        <w:jc w:val="both"/>
        <w:rPr>
          <w:sz w:val="24"/>
        </w:rPr>
      </w:pPr>
      <w:r>
        <w:rPr>
          <w:b/>
          <w:sz w:val="24"/>
        </w:rPr>
        <w:t>substantive Chapter 7A </w:t>
      </w:r>
      <w:r>
        <w:rPr>
          <w:sz w:val="24"/>
        </w:rPr>
        <w:t>means this Chapter other than the schedules to this Chapter.</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To the extent that there is an inconsistency between the </w:t>
      </w:r>
      <w:r>
        <w:rPr>
          <w:i/>
          <w:sz w:val="20"/>
        </w:rPr>
        <w:t>Rules </w:t>
      </w:r>
      <w:r>
        <w:rPr>
          <w:sz w:val="20"/>
        </w:rPr>
        <w:t>and the </w:t>
      </w:r>
      <w:r>
        <w:rPr>
          <w:i/>
          <w:sz w:val="20"/>
        </w:rPr>
        <w:t>National Measurement Act</w:t>
      </w:r>
      <w:r>
        <w:rPr>
          <w:sz w:val="20"/>
        </w:rPr>
        <w:t>, the Act prevails to the extent of the inconsistency: see Rule 1.7.1A.</w:t>
      </w:r>
    </w:p>
    <w:p>
      <w:pPr>
        <w:pStyle w:val="BodyText"/>
        <w:spacing w:before="10"/>
        <w:ind w:firstLine="0"/>
        <w:jc w:val="left"/>
        <w:rPr>
          <w:sz w:val="20"/>
        </w:rPr>
      </w:pPr>
    </w:p>
    <w:p>
      <w:pPr>
        <w:pStyle w:val="Heading2"/>
        <w:tabs>
          <w:tab w:pos="1352" w:val="left" w:leader="none"/>
          <w:tab w:pos="9317" w:val="left" w:leader="none"/>
        </w:tabs>
      </w:pPr>
      <w:bookmarkStart w:name="Part B Roles and Responsibilities" w:id="1717"/>
      <w:bookmarkEnd w:id="1717"/>
      <w:r>
        <w:rPr>
          <w:b w:val="0"/>
        </w:rPr>
      </w:r>
      <w:bookmarkStart w:name="_bookmark684" w:id="1718"/>
      <w:bookmarkEnd w:id="1718"/>
      <w:r>
        <w:rPr>
          <w:b w:val="0"/>
        </w:rPr>
      </w:r>
      <w:r>
        <w:rPr>
          <w:shd w:fill="D9D9D9" w:color="auto" w:val="clear"/>
        </w:rPr>
        <w:t>Part B</w:t>
        <w:tab/>
        <w:t>Roles and</w:t>
      </w:r>
      <w:r>
        <w:rPr>
          <w:spacing w:val="-18"/>
          <w:shd w:fill="D9D9D9" w:color="auto" w:val="clear"/>
        </w:rPr>
        <w:t> </w:t>
      </w:r>
      <w:r>
        <w:rPr>
          <w:shd w:fill="D9D9D9" w:color="auto" w:val="clear"/>
        </w:rPr>
        <w:t>Responsibilities</w:t>
        <w:tab/>
      </w:r>
    </w:p>
    <w:p>
      <w:pPr>
        <w:pStyle w:val="Heading3"/>
        <w:tabs>
          <w:tab w:pos="1351" w:val="left" w:leader="none"/>
        </w:tabs>
        <w:spacing w:before="240"/>
        <w:ind w:left="218" w:firstLine="0"/>
      </w:pPr>
      <w:bookmarkStart w:name="7A.2 Role and responsibility of financia" w:id="1719"/>
      <w:bookmarkEnd w:id="1719"/>
      <w:r>
        <w:rPr>
          <w:b w:val="0"/>
        </w:rPr>
      </w:r>
      <w:bookmarkStart w:name="_bookmark685" w:id="1720"/>
      <w:bookmarkEnd w:id="1720"/>
      <w:r>
        <w:rPr>
          <w:b w:val="0"/>
        </w:rPr>
      </w:r>
      <w:r>
        <w:rPr/>
        <w:t>7A.2</w:t>
        <w:tab/>
        <w:t>Role and responsibility of financially responsible</w:t>
      </w:r>
      <w:r>
        <w:rPr>
          <w:spacing w:val="-6"/>
        </w:rPr>
        <w:t> </w:t>
      </w:r>
      <w:r>
        <w:rPr/>
        <w:t>participant</w:t>
      </w:r>
    </w:p>
    <w:p>
      <w:pPr>
        <w:pStyle w:val="ListParagraph"/>
        <w:numPr>
          <w:ilvl w:val="0"/>
          <w:numId w:val="477"/>
        </w:numPr>
        <w:tabs>
          <w:tab w:pos="1918" w:val="left" w:leader="none"/>
          <w:tab w:pos="1919" w:val="left" w:leader="none"/>
        </w:tabs>
        <w:spacing w:line="240" w:lineRule="auto" w:before="120" w:after="0"/>
        <w:ind w:left="1919" w:right="415" w:hanging="567"/>
        <w:jc w:val="left"/>
        <w:rPr>
          <w:sz w:val="24"/>
        </w:rPr>
      </w:pPr>
      <w:r>
        <w:rPr>
          <w:sz w:val="24"/>
        </w:rPr>
        <w:t>Before participating in a </w:t>
      </w:r>
      <w:r>
        <w:rPr>
          <w:i/>
          <w:sz w:val="24"/>
        </w:rPr>
        <w:t>market </w:t>
      </w:r>
      <w:r>
        <w:rPr>
          <w:sz w:val="24"/>
        </w:rPr>
        <w:t>in respect of a </w:t>
      </w:r>
      <w:r>
        <w:rPr>
          <w:i/>
          <w:sz w:val="24"/>
        </w:rPr>
        <w:t>connection point</w:t>
      </w:r>
      <w:r>
        <w:rPr>
          <w:sz w:val="24"/>
        </w:rPr>
        <w:t>, and for so long</w:t>
      </w:r>
      <w:r>
        <w:rPr>
          <w:spacing w:val="28"/>
          <w:sz w:val="24"/>
        </w:rPr>
        <w:t> </w:t>
      </w:r>
      <w:r>
        <w:rPr>
          <w:sz w:val="24"/>
        </w:rPr>
        <w:t>as</w:t>
      </w:r>
      <w:r>
        <w:rPr>
          <w:spacing w:val="29"/>
          <w:sz w:val="24"/>
        </w:rPr>
        <w:t> </w:t>
      </w:r>
      <w:r>
        <w:rPr>
          <w:sz w:val="24"/>
        </w:rPr>
        <w:t>the</w:t>
      </w:r>
      <w:r>
        <w:rPr>
          <w:spacing w:val="28"/>
          <w:sz w:val="24"/>
        </w:rPr>
        <w:t> </w:t>
      </w:r>
      <w:r>
        <w:rPr>
          <w:sz w:val="24"/>
        </w:rPr>
        <w:t>financially</w:t>
      </w:r>
      <w:r>
        <w:rPr>
          <w:spacing w:val="29"/>
          <w:sz w:val="24"/>
        </w:rPr>
        <w:t> </w:t>
      </w:r>
      <w:r>
        <w:rPr>
          <w:sz w:val="24"/>
        </w:rPr>
        <w:t>responsible</w:t>
      </w:r>
      <w:r>
        <w:rPr>
          <w:spacing w:val="28"/>
          <w:sz w:val="24"/>
        </w:rPr>
        <w:t> </w:t>
      </w:r>
      <w:r>
        <w:rPr>
          <w:sz w:val="24"/>
        </w:rPr>
        <w:t>participant</w:t>
      </w:r>
      <w:r>
        <w:rPr>
          <w:spacing w:val="29"/>
          <w:sz w:val="24"/>
        </w:rPr>
        <w:t> </w:t>
      </w:r>
      <w:r>
        <w:rPr>
          <w:sz w:val="24"/>
        </w:rPr>
        <w:t>continues</w:t>
      </w:r>
      <w:r>
        <w:rPr>
          <w:spacing w:val="28"/>
          <w:sz w:val="24"/>
        </w:rPr>
        <w:t> </w:t>
      </w:r>
      <w:r>
        <w:rPr>
          <w:sz w:val="24"/>
        </w:rPr>
        <w:t>to</w:t>
      </w:r>
      <w:r>
        <w:rPr>
          <w:spacing w:val="29"/>
          <w:sz w:val="24"/>
        </w:rPr>
        <w:t> </w:t>
      </w:r>
      <w:r>
        <w:rPr>
          <w:sz w:val="24"/>
        </w:rPr>
        <w:t>participate</w:t>
      </w:r>
      <w:r>
        <w:rPr>
          <w:spacing w:val="28"/>
          <w:sz w:val="24"/>
        </w:rPr>
        <w:t> </w:t>
      </w:r>
      <w:r>
        <w:rPr>
          <w:sz w:val="24"/>
        </w:rPr>
        <w:t>in</w:t>
      </w:r>
      <w:r>
        <w:rPr>
          <w:spacing w:val="29"/>
          <w:sz w:val="24"/>
        </w:rPr>
        <w:t> </w:t>
      </w:r>
      <w:r>
        <w:rPr>
          <w:sz w:val="24"/>
        </w:rPr>
        <w:t>a</w:t>
      </w:r>
    </w:p>
    <w:p>
      <w:pPr>
        <w:spacing w:after="0" w:line="240" w:lineRule="auto"/>
        <w:jc w:val="left"/>
        <w:rPr>
          <w:sz w:val="24"/>
        </w:rPr>
        <w:sectPr>
          <w:pgSz w:w="11910" w:h="16840"/>
          <w:pgMar w:header="686" w:footer="637" w:top="1320" w:bottom="820" w:left="1200" w:right="1000"/>
        </w:sectPr>
      </w:pPr>
    </w:p>
    <w:p>
      <w:pPr>
        <w:spacing w:before="83"/>
        <w:ind w:left="1919" w:right="416" w:firstLine="0"/>
        <w:jc w:val="both"/>
        <w:rPr>
          <w:sz w:val="24"/>
        </w:rPr>
      </w:pPr>
      <w:r>
        <w:rPr>
          <w:i/>
          <w:sz w:val="24"/>
        </w:rPr>
        <w:t>market</w:t>
      </w:r>
      <w:r>
        <w:rPr>
          <w:sz w:val="24"/>
        </w:rPr>
        <w:t>, the financially responsible participant for a </w:t>
      </w:r>
      <w:r>
        <w:rPr>
          <w:i/>
          <w:sz w:val="24"/>
        </w:rPr>
        <w:t>connection point </w:t>
      </w:r>
      <w:r>
        <w:rPr>
          <w:sz w:val="24"/>
        </w:rPr>
        <w:t>must ensure that:</w:t>
      </w:r>
    </w:p>
    <w:p>
      <w:pPr>
        <w:pStyle w:val="ListParagraph"/>
        <w:numPr>
          <w:ilvl w:val="1"/>
          <w:numId w:val="477"/>
        </w:numPr>
        <w:tabs>
          <w:tab w:pos="2486" w:val="left" w:leader="none"/>
        </w:tabs>
        <w:spacing w:line="240" w:lineRule="auto" w:before="120" w:after="0"/>
        <w:ind w:left="2485" w:right="0" w:hanging="567"/>
        <w:jc w:val="both"/>
        <w:rPr>
          <w:i/>
          <w:sz w:val="24"/>
        </w:rPr>
      </w:pPr>
      <w:r>
        <w:rPr>
          <w:sz w:val="24"/>
        </w:rPr>
        <w:t>a </w:t>
      </w:r>
      <w:r>
        <w:rPr>
          <w:i/>
          <w:sz w:val="24"/>
        </w:rPr>
        <w:t>Metering Coordinator </w:t>
      </w:r>
      <w:r>
        <w:rPr>
          <w:sz w:val="24"/>
        </w:rPr>
        <w:t>is appointed in respect of the </w:t>
      </w:r>
      <w:r>
        <w:rPr>
          <w:i/>
          <w:sz w:val="24"/>
        </w:rPr>
        <w:t>connection</w:t>
      </w:r>
      <w:r>
        <w:rPr>
          <w:i/>
          <w:spacing w:val="-3"/>
          <w:sz w:val="24"/>
        </w:rPr>
        <w:t> </w:t>
      </w:r>
      <w:r>
        <w:rPr>
          <w:i/>
          <w:sz w:val="24"/>
        </w:rPr>
        <w:t>point</w:t>
      </w:r>
    </w:p>
    <w:p>
      <w:pPr>
        <w:pStyle w:val="BodyText"/>
        <w:spacing w:before="0"/>
        <w:ind w:left="2486" w:firstLine="0"/>
      </w:pPr>
      <w:r>
        <w:rPr/>
        <w:t>in accordance with Part C of this Chapter;</w:t>
      </w:r>
    </w:p>
    <w:p>
      <w:pPr>
        <w:pStyle w:val="ListParagraph"/>
        <w:numPr>
          <w:ilvl w:val="1"/>
          <w:numId w:val="477"/>
        </w:numPr>
        <w:tabs>
          <w:tab w:pos="2486" w:val="left" w:leader="none"/>
        </w:tabs>
        <w:spacing w:line="240" w:lineRule="auto" w:before="120" w:after="0"/>
        <w:ind w:left="2486" w:right="415" w:hanging="567"/>
        <w:jc w:val="both"/>
        <w:rPr>
          <w:sz w:val="24"/>
        </w:rPr>
      </w:pPr>
      <w:r>
        <w:rPr>
          <w:sz w:val="24"/>
        </w:rPr>
        <w:t>the </w:t>
      </w:r>
      <w:r>
        <w:rPr>
          <w:i/>
          <w:sz w:val="24"/>
        </w:rPr>
        <w:t>connection point </w:t>
      </w:r>
      <w:r>
        <w:rPr>
          <w:sz w:val="24"/>
        </w:rPr>
        <w:t>has a </w:t>
      </w:r>
      <w:r>
        <w:rPr>
          <w:i/>
          <w:sz w:val="24"/>
        </w:rPr>
        <w:t>metering installation </w:t>
      </w:r>
      <w:r>
        <w:rPr>
          <w:sz w:val="24"/>
        </w:rPr>
        <w:t>and information about the </w:t>
      </w:r>
      <w:r>
        <w:rPr>
          <w:i/>
          <w:sz w:val="24"/>
        </w:rPr>
        <w:t>metering installation </w:t>
      </w:r>
      <w:r>
        <w:rPr>
          <w:sz w:val="24"/>
        </w:rPr>
        <w:t>is provided to </w:t>
      </w:r>
      <w:r>
        <w:rPr>
          <w:i/>
          <w:sz w:val="24"/>
        </w:rPr>
        <w:t>NTESMO </w:t>
      </w:r>
      <w:r>
        <w:rPr>
          <w:sz w:val="24"/>
        </w:rPr>
        <w:t>for inclusion on the </w:t>
      </w:r>
      <w:r>
        <w:rPr>
          <w:i/>
          <w:sz w:val="24"/>
        </w:rPr>
        <w:t>metering register</w:t>
      </w:r>
      <w:r>
        <w:rPr>
          <w:sz w:val="24"/>
        </w:rPr>
        <w:t>, where this is required by clause</w:t>
      </w:r>
      <w:r>
        <w:rPr>
          <w:spacing w:val="-8"/>
          <w:sz w:val="24"/>
        </w:rPr>
        <w:t> </w:t>
      </w:r>
      <w:r>
        <w:rPr>
          <w:sz w:val="24"/>
        </w:rPr>
        <w:t>7A.10.1;</w:t>
      </w:r>
    </w:p>
    <w:p>
      <w:pPr>
        <w:pStyle w:val="ListParagraph"/>
        <w:numPr>
          <w:ilvl w:val="1"/>
          <w:numId w:val="477"/>
        </w:numPr>
        <w:tabs>
          <w:tab w:pos="2486" w:val="left" w:leader="none"/>
        </w:tabs>
        <w:spacing w:line="240" w:lineRule="auto" w:before="120" w:after="0"/>
        <w:ind w:left="2485" w:right="0" w:hanging="567"/>
        <w:jc w:val="both"/>
        <w:rPr>
          <w:sz w:val="24"/>
        </w:rPr>
      </w:pPr>
      <w:r>
        <w:rPr>
          <w:sz w:val="24"/>
        </w:rPr>
        <w:t>a </w:t>
      </w:r>
      <w:r>
        <w:rPr>
          <w:i/>
          <w:sz w:val="24"/>
        </w:rPr>
        <w:t>NMI </w:t>
      </w:r>
      <w:r>
        <w:rPr>
          <w:sz w:val="24"/>
        </w:rPr>
        <w:t>has been obtained with respect to the </w:t>
      </w:r>
      <w:r>
        <w:rPr>
          <w:i/>
          <w:sz w:val="24"/>
        </w:rPr>
        <w:t>connection point</w:t>
      </w:r>
      <w:r>
        <w:rPr>
          <w:sz w:val="24"/>
        </w:rPr>
        <w:t>;</w:t>
      </w:r>
      <w:r>
        <w:rPr>
          <w:spacing w:val="-4"/>
          <w:sz w:val="24"/>
        </w:rPr>
        <w:t> </w:t>
      </w:r>
      <w:r>
        <w:rPr>
          <w:sz w:val="24"/>
        </w:rPr>
        <w:t>and</w:t>
      </w:r>
    </w:p>
    <w:p>
      <w:pPr>
        <w:pStyle w:val="ListParagraph"/>
        <w:numPr>
          <w:ilvl w:val="1"/>
          <w:numId w:val="477"/>
        </w:numPr>
        <w:tabs>
          <w:tab w:pos="2486" w:val="left" w:leader="none"/>
        </w:tabs>
        <w:spacing w:line="240" w:lineRule="auto" w:before="120" w:after="0"/>
        <w:ind w:left="2486" w:right="414" w:hanging="567"/>
        <w:jc w:val="both"/>
        <w:rPr>
          <w:sz w:val="24"/>
        </w:rPr>
      </w:pPr>
      <w:r>
        <w:rPr>
          <w:sz w:val="24"/>
        </w:rPr>
        <w:t>if information about the </w:t>
      </w:r>
      <w:r>
        <w:rPr>
          <w:i/>
          <w:sz w:val="24"/>
        </w:rPr>
        <w:t>metering installation </w:t>
      </w:r>
      <w:r>
        <w:rPr>
          <w:sz w:val="24"/>
        </w:rPr>
        <w:t>is required to be provided to </w:t>
      </w:r>
      <w:r>
        <w:rPr>
          <w:i/>
          <w:sz w:val="24"/>
        </w:rPr>
        <w:t>NTESMO </w:t>
      </w:r>
      <w:r>
        <w:rPr>
          <w:sz w:val="24"/>
        </w:rPr>
        <w:t>for inclusion on the </w:t>
      </w:r>
      <w:r>
        <w:rPr>
          <w:i/>
          <w:sz w:val="24"/>
        </w:rPr>
        <w:t>metering register </w:t>
      </w:r>
      <w:r>
        <w:rPr>
          <w:sz w:val="24"/>
        </w:rPr>
        <w:t>by clause 7A.10.1, the </w:t>
      </w:r>
      <w:r>
        <w:rPr>
          <w:i/>
          <w:sz w:val="24"/>
        </w:rPr>
        <w:t>NMI </w:t>
      </w:r>
      <w:r>
        <w:rPr>
          <w:sz w:val="24"/>
        </w:rPr>
        <w:t>is obtained prior to that information being provided to </w:t>
      </w:r>
      <w:r>
        <w:rPr>
          <w:i/>
          <w:sz w:val="24"/>
        </w:rPr>
        <w:t>NTESMO</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77"/>
        </w:numPr>
        <w:tabs>
          <w:tab w:pos="1919" w:val="left" w:leader="none"/>
        </w:tabs>
        <w:spacing w:line="240" w:lineRule="auto" w:before="120" w:after="0"/>
        <w:ind w:left="1919" w:right="415" w:hanging="567"/>
        <w:jc w:val="both"/>
        <w:rPr>
          <w:sz w:val="24"/>
        </w:rPr>
      </w:pPr>
      <w:r>
        <w:rPr>
          <w:i/>
          <w:sz w:val="24"/>
        </w:rPr>
        <w:t>NTESMO </w:t>
      </w:r>
      <w:r>
        <w:rPr>
          <w:sz w:val="24"/>
        </w:rPr>
        <w:t>may refuse to permit a financially responsible participant to participate in a </w:t>
      </w:r>
      <w:r>
        <w:rPr>
          <w:i/>
          <w:sz w:val="24"/>
        </w:rPr>
        <w:t>market </w:t>
      </w:r>
      <w:r>
        <w:rPr>
          <w:sz w:val="24"/>
        </w:rPr>
        <w:t>in respect of a </w:t>
      </w:r>
      <w:r>
        <w:rPr>
          <w:i/>
          <w:sz w:val="24"/>
        </w:rPr>
        <w:t>connection point </w:t>
      </w:r>
      <w:r>
        <w:rPr>
          <w:sz w:val="24"/>
        </w:rPr>
        <w:t>used for the purposes of </w:t>
      </w:r>
      <w:r>
        <w:rPr>
          <w:i/>
          <w:sz w:val="24"/>
        </w:rPr>
        <w:t>settlements </w:t>
      </w:r>
      <w:r>
        <w:rPr>
          <w:sz w:val="24"/>
        </w:rPr>
        <w:t>if the financially responsible participant is not compliant with its obligation under paragraph (a) with respect to the </w:t>
      </w:r>
      <w:r>
        <w:rPr>
          <w:i/>
          <w:sz w:val="24"/>
        </w:rPr>
        <w:t>connection</w:t>
      </w:r>
      <w:r>
        <w:rPr>
          <w:i/>
          <w:spacing w:val="-5"/>
          <w:sz w:val="24"/>
        </w:rPr>
        <w:t> </w:t>
      </w:r>
      <w:r>
        <w:rPr>
          <w:i/>
          <w:sz w:val="24"/>
        </w:rPr>
        <w:t>point</w:t>
      </w:r>
      <w:r>
        <w:rPr>
          <w:sz w:val="24"/>
        </w:rPr>
        <w:t>.</w:t>
      </w:r>
    </w:p>
    <w:p>
      <w:pPr>
        <w:pStyle w:val="ListParagraph"/>
        <w:numPr>
          <w:ilvl w:val="0"/>
          <w:numId w:val="477"/>
        </w:numPr>
        <w:tabs>
          <w:tab w:pos="1919" w:val="left" w:leader="none"/>
        </w:tabs>
        <w:spacing w:line="240" w:lineRule="auto" w:before="120" w:after="0"/>
        <w:ind w:left="1919" w:right="415" w:hanging="567"/>
        <w:jc w:val="both"/>
        <w:rPr>
          <w:sz w:val="24"/>
        </w:rPr>
      </w:pPr>
      <w:r>
        <w:rPr>
          <w:sz w:val="24"/>
        </w:rPr>
        <w:t>Where, following a request made by a financially responsible participant in accordance with clause 7A.6.14, the </w:t>
      </w:r>
      <w:r>
        <w:rPr>
          <w:i/>
          <w:sz w:val="24"/>
        </w:rPr>
        <w:t>metering installation </w:t>
      </w:r>
      <w:r>
        <w:rPr>
          <w:sz w:val="24"/>
        </w:rPr>
        <w:t>at a </w:t>
      </w:r>
      <w:r>
        <w:rPr>
          <w:i/>
          <w:sz w:val="24"/>
        </w:rPr>
        <w:t>connection </w:t>
      </w:r>
      <w:r>
        <w:rPr>
          <w:i/>
          <w:sz w:val="24"/>
        </w:rPr>
        <w:t>point </w:t>
      </w:r>
      <w:r>
        <w:rPr>
          <w:sz w:val="24"/>
        </w:rPr>
        <w:t>is a prepayment device, the financially responsible participant is responsible for ensuring that an arrangement for vending services is in place.</w:t>
      </w:r>
    </w:p>
    <w:p>
      <w:pPr>
        <w:pStyle w:val="BodyText"/>
        <w:spacing w:before="10"/>
        <w:ind w:firstLine="0"/>
        <w:jc w:val="left"/>
        <w:rPr>
          <w:sz w:val="20"/>
        </w:rPr>
      </w:pPr>
    </w:p>
    <w:p>
      <w:pPr>
        <w:pStyle w:val="Heading3"/>
        <w:tabs>
          <w:tab w:pos="1351" w:val="left" w:leader="none"/>
        </w:tabs>
        <w:ind w:left="218" w:firstLine="0"/>
      </w:pPr>
      <w:bookmarkStart w:name="7A.3 Role and responsibility of Metering" w:id="1721"/>
      <w:bookmarkEnd w:id="1721"/>
      <w:r>
        <w:rPr>
          <w:b w:val="0"/>
        </w:rPr>
      </w:r>
      <w:bookmarkStart w:name="_bookmark686" w:id="1722"/>
      <w:bookmarkEnd w:id="1722"/>
      <w:r>
        <w:rPr>
          <w:b w:val="0"/>
        </w:rPr>
      </w:r>
      <w:r>
        <w:rPr/>
        <w:t>7A.3</w:t>
        <w:tab/>
        <w:t>Role and responsibility of Metering</w:t>
      </w:r>
      <w:r>
        <w:rPr>
          <w:spacing w:val="-3"/>
        </w:rPr>
        <w:t> </w:t>
      </w:r>
      <w:r>
        <w:rPr/>
        <w:t>Coordinator</w:t>
      </w:r>
    </w:p>
    <w:p>
      <w:pPr>
        <w:pStyle w:val="Heading4"/>
        <w:tabs>
          <w:tab w:pos="1351" w:val="left" w:leader="none"/>
        </w:tabs>
        <w:spacing w:before="240"/>
        <w:ind w:left="218" w:firstLine="0"/>
      </w:pPr>
      <w:bookmarkStart w:name="7A.3.1 Responsibility of the Metering Co" w:id="1723"/>
      <w:bookmarkEnd w:id="1723"/>
      <w:r>
        <w:rPr>
          <w:b w:val="0"/>
        </w:rPr>
      </w:r>
      <w:bookmarkStart w:name="_bookmark687" w:id="1724"/>
      <w:bookmarkEnd w:id="1724"/>
      <w:r>
        <w:rPr>
          <w:b w:val="0"/>
        </w:rPr>
      </w:r>
      <w:r>
        <w:rPr/>
        <w:t>7A.3.1</w:t>
        <w:tab/>
        <w:t>Responsibility of the Metering</w:t>
      </w:r>
      <w:r>
        <w:rPr>
          <w:spacing w:val="-2"/>
        </w:rPr>
        <w:t> </w:t>
      </w:r>
      <w:r>
        <w:rPr/>
        <w:t>Coordinator</w:t>
      </w:r>
    </w:p>
    <w:p>
      <w:pPr>
        <w:spacing w:before="120"/>
        <w:ind w:left="1352" w:right="415" w:firstLine="0"/>
        <w:jc w:val="both"/>
        <w:rPr>
          <w:sz w:val="24"/>
        </w:rPr>
      </w:pPr>
      <w:r>
        <w:rPr>
          <w:sz w:val="24"/>
        </w:rPr>
        <w:t>For the term of its appointment in respect of a </w:t>
      </w:r>
      <w:r>
        <w:rPr>
          <w:i/>
          <w:sz w:val="24"/>
        </w:rPr>
        <w:t>connection point</w:t>
      </w:r>
      <w:r>
        <w:rPr>
          <w:sz w:val="24"/>
        </w:rPr>
        <w:t>, the </w:t>
      </w:r>
      <w:r>
        <w:rPr>
          <w:i/>
          <w:sz w:val="24"/>
        </w:rPr>
        <w:t>Metering </w:t>
      </w:r>
      <w:r>
        <w:rPr>
          <w:i/>
          <w:sz w:val="24"/>
        </w:rPr>
        <w:t>Coordinator </w:t>
      </w:r>
      <w:r>
        <w:rPr>
          <w:sz w:val="24"/>
        </w:rPr>
        <w:t>is the person responsible for:</w:t>
      </w:r>
    </w:p>
    <w:p>
      <w:pPr>
        <w:pStyle w:val="ListParagraph"/>
        <w:numPr>
          <w:ilvl w:val="0"/>
          <w:numId w:val="478"/>
        </w:numPr>
        <w:tabs>
          <w:tab w:pos="1919" w:val="left" w:leader="none"/>
        </w:tabs>
        <w:spacing w:line="240" w:lineRule="auto" w:before="120" w:after="0"/>
        <w:ind w:left="1918" w:right="0" w:hanging="567"/>
        <w:jc w:val="both"/>
        <w:rPr>
          <w:sz w:val="24"/>
        </w:rPr>
      </w:pPr>
      <w:r>
        <w:rPr>
          <w:sz w:val="24"/>
        </w:rPr>
        <w:t>the</w:t>
      </w:r>
      <w:r>
        <w:rPr>
          <w:spacing w:val="15"/>
          <w:sz w:val="24"/>
        </w:rPr>
        <w:t> </w:t>
      </w:r>
      <w:r>
        <w:rPr>
          <w:sz w:val="24"/>
        </w:rPr>
        <w:t>provision,</w:t>
      </w:r>
      <w:r>
        <w:rPr>
          <w:spacing w:val="15"/>
          <w:sz w:val="24"/>
        </w:rPr>
        <w:t> </w:t>
      </w:r>
      <w:r>
        <w:rPr>
          <w:sz w:val="24"/>
        </w:rPr>
        <w:t>installation</w:t>
      </w:r>
      <w:r>
        <w:rPr>
          <w:spacing w:val="16"/>
          <w:sz w:val="24"/>
        </w:rPr>
        <w:t> </w:t>
      </w:r>
      <w:r>
        <w:rPr>
          <w:sz w:val="24"/>
        </w:rPr>
        <w:t>and</w:t>
      </w:r>
      <w:r>
        <w:rPr>
          <w:spacing w:val="15"/>
          <w:sz w:val="24"/>
        </w:rPr>
        <w:t> </w:t>
      </w:r>
      <w:r>
        <w:rPr>
          <w:sz w:val="24"/>
        </w:rPr>
        <w:t>maintenance</w:t>
      </w:r>
      <w:r>
        <w:rPr>
          <w:spacing w:val="15"/>
          <w:sz w:val="24"/>
        </w:rPr>
        <w:t> </w:t>
      </w:r>
      <w:r>
        <w:rPr>
          <w:sz w:val="24"/>
        </w:rPr>
        <w:t>of</w:t>
      </w:r>
      <w:r>
        <w:rPr>
          <w:spacing w:val="16"/>
          <w:sz w:val="24"/>
        </w:rPr>
        <w:t> </w:t>
      </w:r>
      <w:r>
        <w:rPr>
          <w:sz w:val="24"/>
        </w:rPr>
        <w:t>a</w:t>
      </w:r>
      <w:r>
        <w:rPr>
          <w:spacing w:val="15"/>
          <w:sz w:val="24"/>
        </w:rPr>
        <w:t> </w:t>
      </w:r>
      <w:r>
        <w:rPr>
          <w:i/>
          <w:sz w:val="24"/>
        </w:rPr>
        <w:t>metering</w:t>
      </w:r>
      <w:r>
        <w:rPr>
          <w:i/>
          <w:spacing w:val="15"/>
          <w:sz w:val="24"/>
        </w:rPr>
        <w:t> </w:t>
      </w:r>
      <w:r>
        <w:rPr>
          <w:i/>
          <w:sz w:val="24"/>
        </w:rPr>
        <w:t>installation</w:t>
      </w:r>
      <w:r>
        <w:rPr>
          <w:i/>
          <w:spacing w:val="16"/>
          <w:sz w:val="24"/>
        </w:rPr>
        <w:t> </w:t>
      </w:r>
      <w:r>
        <w:rPr>
          <w:sz w:val="24"/>
        </w:rPr>
        <w:t>at</w:t>
      </w:r>
      <w:r>
        <w:rPr>
          <w:spacing w:val="15"/>
          <w:sz w:val="24"/>
        </w:rPr>
        <w:t> </w:t>
      </w:r>
      <w:r>
        <w:rPr>
          <w:sz w:val="24"/>
        </w:rPr>
        <w:t>the</w:t>
      </w:r>
    </w:p>
    <w:p>
      <w:pPr>
        <w:spacing w:before="0"/>
        <w:ind w:left="1919" w:right="0" w:firstLine="0"/>
        <w:jc w:val="both"/>
        <w:rPr>
          <w:sz w:val="24"/>
        </w:rPr>
      </w:pPr>
      <w:r>
        <w:rPr>
          <w:i/>
          <w:sz w:val="24"/>
        </w:rPr>
        <w:t>connection point </w:t>
      </w:r>
      <w:r>
        <w:rPr>
          <w:sz w:val="24"/>
        </w:rPr>
        <w:t>in accordance with Part D of this Chapter;</w:t>
      </w:r>
    </w:p>
    <w:p>
      <w:pPr>
        <w:pStyle w:val="ListParagraph"/>
        <w:numPr>
          <w:ilvl w:val="0"/>
          <w:numId w:val="478"/>
        </w:numPr>
        <w:tabs>
          <w:tab w:pos="1919" w:val="left" w:leader="none"/>
        </w:tabs>
        <w:spacing w:line="240" w:lineRule="auto" w:before="120" w:after="0"/>
        <w:ind w:left="1919" w:right="416" w:hanging="567"/>
        <w:jc w:val="both"/>
        <w:rPr>
          <w:sz w:val="24"/>
        </w:rPr>
      </w:pPr>
      <w:r>
        <w:rPr>
          <w:sz w:val="24"/>
        </w:rPr>
        <w:t>the collection of </w:t>
      </w:r>
      <w:r>
        <w:rPr>
          <w:i/>
          <w:sz w:val="24"/>
        </w:rPr>
        <w:t>metering data </w:t>
      </w:r>
      <w:r>
        <w:rPr>
          <w:sz w:val="24"/>
        </w:rPr>
        <w:t>with respect to the </w:t>
      </w:r>
      <w:r>
        <w:rPr>
          <w:i/>
          <w:sz w:val="24"/>
        </w:rPr>
        <w:t>metering installation</w:t>
      </w:r>
      <w:r>
        <w:rPr>
          <w:sz w:val="24"/>
        </w:rPr>
        <w:t>, the processing of that data, the retention of that data in the </w:t>
      </w:r>
      <w:r>
        <w:rPr>
          <w:i/>
          <w:sz w:val="24"/>
        </w:rPr>
        <w:t>metering data </w:t>
      </w:r>
      <w:r>
        <w:rPr>
          <w:i/>
          <w:sz w:val="24"/>
        </w:rPr>
        <w:t>services database </w:t>
      </w:r>
      <w:r>
        <w:rPr>
          <w:sz w:val="24"/>
        </w:rPr>
        <w:t>and the delivery of that data to the </w:t>
      </w:r>
      <w:r>
        <w:rPr>
          <w:i/>
          <w:sz w:val="24"/>
        </w:rPr>
        <w:t>metering database </w:t>
      </w:r>
      <w:r>
        <w:rPr>
          <w:sz w:val="24"/>
        </w:rPr>
        <w:t>and other persons in accordance with Part E of this Chapter;</w:t>
      </w:r>
      <w:r>
        <w:rPr>
          <w:spacing w:val="-5"/>
          <w:sz w:val="24"/>
        </w:rPr>
        <w:t> </w:t>
      </w:r>
      <w:r>
        <w:rPr>
          <w:sz w:val="24"/>
        </w:rPr>
        <w:t>and</w:t>
      </w:r>
    </w:p>
    <w:p>
      <w:pPr>
        <w:pStyle w:val="ListParagraph"/>
        <w:numPr>
          <w:ilvl w:val="0"/>
          <w:numId w:val="478"/>
        </w:numPr>
        <w:tabs>
          <w:tab w:pos="1919" w:val="left" w:leader="none"/>
        </w:tabs>
        <w:spacing w:line="240" w:lineRule="auto" w:before="120" w:after="0"/>
        <w:ind w:left="1918" w:right="0" w:hanging="567"/>
        <w:jc w:val="both"/>
        <w:rPr>
          <w:sz w:val="24"/>
        </w:rPr>
      </w:pPr>
      <w:r>
        <w:rPr>
          <w:sz w:val="24"/>
        </w:rPr>
        <w:t>managing the security of and access</w:t>
      </w:r>
      <w:r>
        <w:rPr>
          <w:spacing w:val="-1"/>
          <w:sz w:val="24"/>
        </w:rPr>
        <w:t> </w:t>
      </w:r>
      <w:r>
        <w:rPr>
          <w:sz w:val="24"/>
        </w:rPr>
        <w:t>to:</w:t>
      </w:r>
    </w:p>
    <w:p>
      <w:pPr>
        <w:pStyle w:val="ListParagraph"/>
        <w:numPr>
          <w:ilvl w:val="1"/>
          <w:numId w:val="478"/>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metering</w:t>
      </w:r>
      <w:r>
        <w:rPr>
          <w:i/>
          <w:spacing w:val="-2"/>
          <w:sz w:val="24"/>
        </w:rPr>
        <w:t> </w:t>
      </w:r>
      <w:r>
        <w:rPr>
          <w:i/>
          <w:sz w:val="24"/>
        </w:rPr>
        <w:t>installation</w:t>
      </w:r>
      <w:r>
        <w:rPr>
          <w:sz w:val="24"/>
        </w:rPr>
        <w:t>;</w:t>
      </w:r>
    </w:p>
    <w:p>
      <w:pPr>
        <w:pStyle w:val="ListParagraph"/>
        <w:numPr>
          <w:ilvl w:val="1"/>
          <w:numId w:val="478"/>
        </w:numPr>
        <w:tabs>
          <w:tab w:pos="2485" w:val="left" w:leader="none"/>
          <w:tab w:pos="2486" w:val="left" w:leader="none"/>
        </w:tabs>
        <w:spacing w:line="240" w:lineRule="auto" w:before="120" w:after="0"/>
        <w:ind w:left="2485" w:right="0" w:hanging="567"/>
        <w:jc w:val="left"/>
        <w:rPr>
          <w:sz w:val="24"/>
        </w:rPr>
      </w:pPr>
      <w:r>
        <w:rPr>
          <w:sz w:val="24"/>
        </w:rPr>
        <w:t>services provided by the </w:t>
      </w:r>
      <w:r>
        <w:rPr>
          <w:i/>
          <w:sz w:val="24"/>
        </w:rPr>
        <w:t>metering</w:t>
      </w:r>
      <w:r>
        <w:rPr>
          <w:i/>
          <w:spacing w:val="-2"/>
          <w:sz w:val="24"/>
        </w:rPr>
        <w:t> </w:t>
      </w:r>
      <w:r>
        <w:rPr>
          <w:i/>
          <w:sz w:val="24"/>
        </w:rPr>
        <w:t>installation</w:t>
      </w:r>
      <w:r>
        <w:rPr>
          <w:sz w:val="24"/>
        </w:rPr>
        <w:t>;</w:t>
      </w:r>
    </w:p>
    <w:p>
      <w:pPr>
        <w:pStyle w:val="ListParagraph"/>
        <w:numPr>
          <w:ilvl w:val="1"/>
          <w:numId w:val="478"/>
        </w:numPr>
        <w:tabs>
          <w:tab w:pos="2485" w:val="left" w:leader="none"/>
          <w:tab w:pos="2486" w:val="left" w:leader="none"/>
        </w:tabs>
        <w:spacing w:line="240" w:lineRule="auto" w:before="120" w:after="0"/>
        <w:ind w:left="2485" w:right="0" w:hanging="567"/>
        <w:jc w:val="left"/>
        <w:rPr>
          <w:sz w:val="24"/>
        </w:rPr>
      </w:pPr>
      <w:r>
        <w:rPr>
          <w:i/>
          <w:sz w:val="24"/>
        </w:rPr>
        <w:t>energy data </w:t>
      </w:r>
      <w:r>
        <w:rPr>
          <w:sz w:val="24"/>
        </w:rPr>
        <w:t>held in the </w:t>
      </w:r>
      <w:r>
        <w:rPr>
          <w:i/>
          <w:sz w:val="24"/>
        </w:rPr>
        <w:t>metering installation</w:t>
      </w:r>
      <w:r>
        <w:rPr>
          <w:sz w:val="24"/>
        </w:rPr>
        <w:t>;</w:t>
      </w:r>
      <w:r>
        <w:rPr>
          <w:spacing w:val="-3"/>
          <w:sz w:val="24"/>
        </w:rPr>
        <w:t> </w:t>
      </w:r>
      <w:r>
        <w:rPr>
          <w:sz w:val="24"/>
        </w:rPr>
        <w:t>and</w:t>
      </w:r>
    </w:p>
    <w:p>
      <w:pPr>
        <w:pStyle w:val="ListParagraph"/>
        <w:numPr>
          <w:ilvl w:val="1"/>
          <w:numId w:val="478"/>
        </w:numPr>
        <w:tabs>
          <w:tab w:pos="2485" w:val="left" w:leader="none"/>
          <w:tab w:pos="2486" w:val="left" w:leader="none"/>
        </w:tabs>
        <w:spacing w:line="343" w:lineRule="auto" w:before="120" w:after="0"/>
        <w:ind w:left="1919" w:right="2872" w:firstLine="0"/>
        <w:jc w:val="left"/>
        <w:rPr>
          <w:sz w:val="24"/>
        </w:rPr>
      </w:pPr>
      <w:r>
        <w:rPr>
          <w:i/>
          <w:sz w:val="24"/>
        </w:rPr>
        <w:t>metering data </w:t>
      </w:r>
      <w:r>
        <w:rPr>
          <w:sz w:val="24"/>
        </w:rPr>
        <w:t>from the </w:t>
      </w:r>
      <w:r>
        <w:rPr>
          <w:i/>
          <w:sz w:val="24"/>
        </w:rPr>
        <w:t>metering installation</w:t>
      </w:r>
      <w:r>
        <w:rPr>
          <w:sz w:val="24"/>
        </w:rPr>
        <w:t>, in accordance with Part F of this</w:t>
      </w:r>
      <w:r>
        <w:rPr>
          <w:spacing w:val="-6"/>
          <w:sz w:val="24"/>
        </w:rPr>
        <w:t> </w:t>
      </w:r>
      <w:r>
        <w:rPr>
          <w:sz w:val="24"/>
        </w:rPr>
        <w:t>Chapter.</w:t>
      </w:r>
    </w:p>
    <w:p>
      <w:pPr>
        <w:spacing w:after="0" w:line="343" w:lineRule="auto"/>
        <w:jc w:val="left"/>
        <w:rPr>
          <w:sz w:val="24"/>
        </w:rPr>
        <w:sectPr>
          <w:pgSz w:w="11910" w:h="16840"/>
          <w:pgMar w:header="686" w:footer="637" w:top="1320" w:bottom="820" w:left="1200" w:right="1000"/>
        </w:sectPr>
      </w:pPr>
    </w:p>
    <w:p>
      <w:pPr>
        <w:pStyle w:val="Heading4"/>
        <w:tabs>
          <w:tab w:pos="1133" w:val="left" w:leader="none"/>
        </w:tabs>
        <w:spacing w:before="83"/>
        <w:ind w:left="0" w:right="4607" w:firstLine="0"/>
        <w:jc w:val="right"/>
      </w:pPr>
      <w:bookmarkStart w:name="7A.3.2 Role of the Metering Coordinator" w:id="1725"/>
      <w:bookmarkEnd w:id="1725"/>
      <w:r>
        <w:rPr>
          <w:b w:val="0"/>
        </w:rPr>
      </w:r>
      <w:bookmarkStart w:name="_bookmark688" w:id="1726"/>
      <w:bookmarkEnd w:id="1726"/>
      <w:r>
        <w:rPr>
          <w:b w:val="0"/>
        </w:rPr>
      </w:r>
      <w:r>
        <w:rPr/>
        <w:t>7A.3.2</w:t>
        <w:tab/>
        <w:t>Role of the Metering</w:t>
      </w:r>
      <w:r>
        <w:rPr>
          <w:spacing w:val="-20"/>
        </w:rPr>
        <w:t> </w:t>
      </w:r>
      <w:r>
        <w:rPr/>
        <w:t>Coordinator</w:t>
      </w:r>
    </w:p>
    <w:p>
      <w:pPr>
        <w:spacing w:before="220"/>
        <w:ind w:left="0" w:right="4609" w:firstLine="0"/>
        <w:jc w:val="right"/>
        <w:rPr>
          <w:rFonts w:ascii="Arial"/>
          <w:b/>
          <w:sz w:val="22"/>
        </w:rPr>
      </w:pPr>
      <w:r>
        <w:rPr>
          <w:rFonts w:ascii="Arial"/>
          <w:b/>
          <w:sz w:val="22"/>
        </w:rPr>
        <w:t>Appointment of a Metering</w:t>
      </w:r>
      <w:r>
        <w:rPr>
          <w:rFonts w:ascii="Arial"/>
          <w:b/>
          <w:spacing w:val="-10"/>
          <w:sz w:val="22"/>
        </w:rPr>
        <w:t> </w:t>
      </w:r>
      <w:r>
        <w:rPr>
          <w:rFonts w:ascii="Arial"/>
          <w:b/>
          <w:sz w:val="22"/>
        </w:rPr>
        <w:t>Provider</w:t>
      </w:r>
    </w:p>
    <w:p>
      <w:pPr>
        <w:pStyle w:val="ListParagraph"/>
        <w:numPr>
          <w:ilvl w:val="0"/>
          <w:numId w:val="479"/>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at a </w:t>
      </w:r>
      <w:r>
        <w:rPr>
          <w:i/>
          <w:sz w:val="24"/>
        </w:rPr>
        <w:t>connection point</w:t>
      </w:r>
      <w:r>
        <w:rPr>
          <w:sz w:val="24"/>
        </w:rPr>
        <w:t>, other than a </w:t>
      </w:r>
      <w:r>
        <w:rPr>
          <w:i/>
          <w:sz w:val="24"/>
        </w:rPr>
        <w:t>connection </w:t>
      </w:r>
      <w:r>
        <w:rPr>
          <w:i/>
          <w:sz w:val="24"/>
        </w:rPr>
        <w:t>point </w:t>
      </w:r>
      <w:r>
        <w:rPr>
          <w:sz w:val="24"/>
        </w:rPr>
        <w:t>with a type 7 </w:t>
      </w:r>
      <w:r>
        <w:rPr>
          <w:i/>
          <w:sz w:val="24"/>
        </w:rPr>
        <w:t>metering installation</w:t>
      </w:r>
      <w:r>
        <w:rPr>
          <w:sz w:val="24"/>
        </w:rPr>
        <w:t>, must appoint a person who is accredited to provide metering provision services in this jurisdiction to be the </w:t>
      </w:r>
      <w:r>
        <w:rPr>
          <w:i/>
          <w:sz w:val="24"/>
        </w:rPr>
        <w:t>Metering Provider </w:t>
      </w:r>
      <w:r>
        <w:rPr>
          <w:sz w:val="24"/>
        </w:rPr>
        <w:t>to provide metering provision services for the </w:t>
      </w:r>
      <w:r>
        <w:rPr>
          <w:i/>
          <w:sz w:val="24"/>
        </w:rPr>
        <w:t>connection</w:t>
      </w:r>
      <w:r>
        <w:rPr>
          <w:i/>
          <w:spacing w:val="-1"/>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2"/>
        <w:ind w:firstLine="0"/>
        <w:jc w:val="left"/>
        <w:rPr>
          <w:sz w:val="19"/>
        </w:rPr>
      </w:pPr>
    </w:p>
    <w:p>
      <w:pPr>
        <w:spacing w:before="0"/>
        <w:ind w:left="1356" w:right="0" w:firstLine="0"/>
        <w:jc w:val="left"/>
        <w:rPr>
          <w:rFonts w:ascii="Arial"/>
          <w:b/>
          <w:sz w:val="22"/>
        </w:rPr>
      </w:pPr>
      <w:r>
        <w:rPr>
          <w:rFonts w:ascii="Arial"/>
          <w:b/>
          <w:sz w:val="22"/>
        </w:rPr>
        <w:t>Appointment of a Metering Data Provider</w:t>
      </w:r>
    </w:p>
    <w:p>
      <w:pPr>
        <w:pStyle w:val="ListParagraph"/>
        <w:numPr>
          <w:ilvl w:val="0"/>
          <w:numId w:val="479"/>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at a </w:t>
      </w:r>
      <w:r>
        <w:rPr>
          <w:i/>
          <w:sz w:val="24"/>
        </w:rPr>
        <w:t>connection point </w:t>
      </w:r>
      <w:r>
        <w:rPr>
          <w:sz w:val="24"/>
        </w:rPr>
        <w:t>must appoint a person who is accredited to provide </w:t>
      </w:r>
      <w:r>
        <w:rPr>
          <w:i/>
          <w:sz w:val="24"/>
        </w:rPr>
        <w:t>metering data services </w:t>
      </w:r>
      <w:r>
        <w:rPr>
          <w:sz w:val="24"/>
        </w:rPr>
        <w:t>in this jurisdiction to be the </w:t>
      </w:r>
      <w:r>
        <w:rPr>
          <w:i/>
          <w:sz w:val="24"/>
        </w:rPr>
        <w:t>Metering Data Provider </w:t>
      </w:r>
      <w:r>
        <w:rPr>
          <w:sz w:val="24"/>
        </w:rPr>
        <w:t>to provide </w:t>
      </w:r>
      <w:r>
        <w:rPr>
          <w:i/>
          <w:sz w:val="24"/>
        </w:rPr>
        <w:t>metering data services </w:t>
      </w:r>
      <w:r>
        <w:rPr>
          <w:sz w:val="24"/>
        </w:rPr>
        <w:t>for</w:t>
      </w:r>
      <w:r>
        <w:rPr>
          <w:spacing w:val="31"/>
          <w:sz w:val="24"/>
        </w:rPr>
        <w:t> </w:t>
      </w:r>
      <w:r>
        <w:rPr>
          <w:sz w:val="24"/>
        </w:rPr>
        <w:t>the </w:t>
      </w:r>
      <w:r>
        <w:rPr>
          <w:i/>
          <w:sz w:val="24"/>
        </w:rPr>
        <w:t>connection</w:t>
      </w:r>
      <w:r>
        <w:rPr>
          <w:i/>
          <w:spacing w:val="-1"/>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
        <w:ind w:firstLine="0"/>
        <w:jc w:val="left"/>
        <w:rPr>
          <w:sz w:val="19"/>
        </w:rPr>
      </w:pPr>
    </w:p>
    <w:p>
      <w:pPr>
        <w:spacing w:before="0"/>
        <w:ind w:left="1356" w:right="0" w:firstLine="0"/>
        <w:jc w:val="left"/>
        <w:rPr>
          <w:rFonts w:ascii="Arial"/>
          <w:b/>
          <w:sz w:val="22"/>
        </w:rPr>
      </w:pPr>
      <w:r>
        <w:rPr>
          <w:rFonts w:ascii="Arial"/>
          <w:b/>
          <w:sz w:val="22"/>
        </w:rPr>
        <w:t>Metering installations</w:t>
      </w:r>
    </w:p>
    <w:p>
      <w:pPr>
        <w:pStyle w:val="ListParagraph"/>
        <w:numPr>
          <w:ilvl w:val="0"/>
          <w:numId w:val="479"/>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at a </w:t>
      </w:r>
      <w:r>
        <w:rPr>
          <w:i/>
          <w:sz w:val="24"/>
        </w:rPr>
        <w:t>connection point</w:t>
      </w:r>
      <w:r>
        <w:rPr>
          <w:sz w:val="24"/>
        </w:rPr>
        <w:t>, other than a </w:t>
      </w:r>
      <w:r>
        <w:rPr>
          <w:i/>
          <w:sz w:val="24"/>
        </w:rPr>
        <w:t>connection </w:t>
      </w:r>
      <w:r>
        <w:rPr>
          <w:i/>
          <w:sz w:val="24"/>
        </w:rPr>
        <w:t>point </w:t>
      </w:r>
      <w:r>
        <w:rPr>
          <w:sz w:val="24"/>
        </w:rPr>
        <w:t>with a type 7 </w:t>
      </w:r>
      <w:r>
        <w:rPr>
          <w:i/>
          <w:sz w:val="24"/>
        </w:rPr>
        <w:t>metering installation</w:t>
      </w:r>
      <w:r>
        <w:rPr>
          <w:sz w:val="24"/>
        </w:rPr>
        <w:t>, must ensure</w:t>
      </w:r>
      <w:r>
        <w:rPr>
          <w:spacing w:val="-6"/>
          <w:sz w:val="24"/>
        </w:rPr>
        <w:t> </w:t>
      </w:r>
      <w:r>
        <w:rPr>
          <w:sz w:val="24"/>
        </w:rPr>
        <w:t>that:</w:t>
      </w:r>
    </w:p>
    <w:p>
      <w:pPr>
        <w:pStyle w:val="ListParagraph"/>
        <w:numPr>
          <w:ilvl w:val="1"/>
          <w:numId w:val="479"/>
        </w:numPr>
        <w:tabs>
          <w:tab w:pos="2486" w:val="left" w:leader="none"/>
        </w:tabs>
        <w:spacing w:line="240" w:lineRule="auto" w:before="120" w:after="0"/>
        <w:ind w:left="2486" w:right="415" w:hanging="567"/>
        <w:jc w:val="both"/>
        <w:rPr>
          <w:sz w:val="24"/>
        </w:rPr>
      </w:pPr>
      <w:r>
        <w:rPr>
          <w:sz w:val="24"/>
        </w:rPr>
        <w:t>the </w:t>
      </w:r>
      <w:r>
        <w:rPr>
          <w:i/>
          <w:sz w:val="24"/>
        </w:rPr>
        <w:t>metering installation </w:t>
      </w:r>
      <w:r>
        <w:rPr>
          <w:sz w:val="24"/>
        </w:rPr>
        <w:t>is provided, installed and maintained in accordance with the</w:t>
      </w:r>
      <w:r>
        <w:rPr>
          <w:spacing w:val="-2"/>
          <w:sz w:val="24"/>
        </w:rPr>
        <w:t> </w:t>
      </w:r>
      <w:r>
        <w:rPr>
          <w:i/>
          <w:sz w:val="24"/>
        </w:rPr>
        <w:t>Rules</w:t>
      </w:r>
      <w:r>
        <w:rPr>
          <w:sz w:val="24"/>
        </w:rPr>
        <w:t>;</w:t>
      </w:r>
    </w:p>
    <w:p>
      <w:pPr>
        <w:pStyle w:val="ListParagraph"/>
        <w:numPr>
          <w:ilvl w:val="1"/>
          <w:numId w:val="479"/>
        </w:numPr>
        <w:tabs>
          <w:tab w:pos="2486" w:val="left" w:leader="none"/>
        </w:tabs>
        <w:spacing w:line="240" w:lineRule="auto" w:before="120" w:after="0"/>
        <w:ind w:left="2485" w:right="0" w:hanging="567"/>
        <w:jc w:val="both"/>
        <w:rPr>
          <w:i/>
          <w:sz w:val="24"/>
        </w:rPr>
      </w:pPr>
      <w:r>
        <w:rPr>
          <w:sz w:val="24"/>
        </w:rPr>
        <w:t>the components, accuracy and testing of the </w:t>
      </w:r>
      <w:r>
        <w:rPr>
          <w:i/>
          <w:sz w:val="24"/>
        </w:rPr>
        <w:t>metering</w:t>
      </w:r>
      <w:r>
        <w:rPr>
          <w:i/>
          <w:spacing w:val="43"/>
          <w:sz w:val="24"/>
        </w:rPr>
        <w:t> </w:t>
      </w:r>
      <w:r>
        <w:rPr>
          <w:i/>
          <w:sz w:val="24"/>
        </w:rPr>
        <w:t>installation</w:t>
      </w:r>
    </w:p>
    <w:p>
      <w:pPr>
        <w:pStyle w:val="BodyText"/>
        <w:spacing w:before="0"/>
        <w:ind w:left="2486" w:firstLine="0"/>
      </w:pPr>
      <w:r>
        <w:rPr/>
        <w:t>comply with the requirements of the </w:t>
      </w:r>
      <w:r>
        <w:rPr>
          <w:i/>
        </w:rPr>
        <w:t>Rules</w:t>
      </w:r>
      <w:r>
        <w:rPr/>
        <w:t>;</w:t>
      </w:r>
    </w:p>
    <w:p>
      <w:pPr>
        <w:pStyle w:val="ListParagraph"/>
        <w:numPr>
          <w:ilvl w:val="1"/>
          <w:numId w:val="479"/>
        </w:numPr>
        <w:tabs>
          <w:tab w:pos="2486" w:val="left" w:leader="none"/>
        </w:tabs>
        <w:spacing w:line="240" w:lineRule="auto" w:before="120" w:after="0"/>
        <w:ind w:left="2486" w:right="414" w:hanging="567"/>
        <w:jc w:val="both"/>
        <w:rPr>
          <w:sz w:val="24"/>
        </w:rPr>
      </w:pPr>
      <w:r>
        <w:rPr>
          <w:sz w:val="24"/>
        </w:rPr>
        <w:t>the security control of the </w:t>
      </w:r>
      <w:r>
        <w:rPr>
          <w:i/>
          <w:sz w:val="24"/>
        </w:rPr>
        <w:t>metering installation </w:t>
      </w:r>
      <w:r>
        <w:rPr>
          <w:sz w:val="24"/>
        </w:rPr>
        <w:t>is provided in accordance with rule</w:t>
      </w:r>
      <w:r>
        <w:rPr>
          <w:spacing w:val="-2"/>
          <w:sz w:val="24"/>
        </w:rPr>
        <w:t> </w:t>
      </w:r>
      <w:r>
        <w:rPr>
          <w:sz w:val="24"/>
        </w:rPr>
        <w:t>7A.13;</w:t>
      </w:r>
    </w:p>
    <w:p>
      <w:pPr>
        <w:pStyle w:val="ListParagraph"/>
        <w:numPr>
          <w:ilvl w:val="1"/>
          <w:numId w:val="479"/>
        </w:numPr>
        <w:tabs>
          <w:tab w:pos="2486" w:val="left" w:leader="none"/>
        </w:tabs>
        <w:spacing w:line="240" w:lineRule="auto" w:before="120" w:after="0"/>
        <w:ind w:left="2486" w:right="414" w:hanging="567"/>
        <w:jc w:val="both"/>
        <w:rPr>
          <w:sz w:val="24"/>
        </w:rPr>
      </w:pPr>
      <w:r>
        <w:rPr>
          <w:sz w:val="24"/>
        </w:rPr>
        <w:t>if </w:t>
      </w:r>
      <w:r>
        <w:rPr>
          <w:i/>
          <w:sz w:val="24"/>
        </w:rPr>
        <w:t>remote acquisition </w:t>
      </w:r>
      <w:r>
        <w:rPr>
          <w:sz w:val="24"/>
        </w:rPr>
        <w:t>is used or is to be used – a </w:t>
      </w:r>
      <w:r>
        <w:rPr>
          <w:i/>
          <w:sz w:val="24"/>
        </w:rPr>
        <w:t>communications </w:t>
      </w:r>
      <w:r>
        <w:rPr>
          <w:i/>
          <w:sz w:val="24"/>
        </w:rPr>
        <w:t>interface </w:t>
      </w:r>
      <w:r>
        <w:rPr>
          <w:sz w:val="24"/>
        </w:rPr>
        <w:t>is installed and maintained to facilitate connection to the </w:t>
      </w:r>
      <w:r>
        <w:rPr>
          <w:i/>
          <w:sz w:val="24"/>
        </w:rPr>
        <w:t>telecommunications</w:t>
      </w:r>
      <w:r>
        <w:rPr>
          <w:i/>
          <w:spacing w:val="-1"/>
          <w:sz w:val="24"/>
        </w:rPr>
        <w:t> </w:t>
      </w:r>
      <w:r>
        <w:rPr>
          <w:i/>
          <w:sz w:val="24"/>
        </w:rPr>
        <w:t>network</w:t>
      </w:r>
      <w:r>
        <w:rPr>
          <w:sz w:val="24"/>
        </w:rPr>
        <w:t>;</w:t>
      </w:r>
    </w:p>
    <w:p>
      <w:pPr>
        <w:pStyle w:val="ListParagraph"/>
        <w:numPr>
          <w:ilvl w:val="1"/>
          <w:numId w:val="479"/>
        </w:numPr>
        <w:tabs>
          <w:tab w:pos="2486" w:val="left" w:leader="none"/>
        </w:tabs>
        <w:spacing w:line="240" w:lineRule="auto" w:before="120" w:after="0"/>
        <w:ind w:left="2486" w:right="415" w:hanging="567"/>
        <w:jc w:val="both"/>
        <w:rPr>
          <w:sz w:val="24"/>
        </w:rPr>
      </w:pPr>
      <w:r>
        <w:rPr>
          <w:i/>
          <w:sz w:val="24"/>
        </w:rPr>
        <w:t>NTESMO </w:t>
      </w:r>
      <w:r>
        <w:rPr>
          <w:sz w:val="24"/>
        </w:rPr>
        <w:t>is provided (when requested) with any information required for the purposes of Schedule 7A.1 for any new or replacement </w:t>
      </w:r>
      <w:r>
        <w:rPr>
          <w:i/>
          <w:sz w:val="24"/>
        </w:rPr>
        <w:t>metering installation </w:t>
      </w:r>
      <w:r>
        <w:rPr>
          <w:sz w:val="24"/>
        </w:rPr>
        <w:t>or any altered </w:t>
      </w:r>
      <w:r>
        <w:rPr>
          <w:i/>
          <w:sz w:val="24"/>
        </w:rPr>
        <w:t>metering installation</w:t>
      </w:r>
      <w:r>
        <w:rPr>
          <w:sz w:val="24"/>
        </w:rPr>
        <w:t>;</w:t>
      </w:r>
      <w:r>
        <w:rPr>
          <w:spacing w:val="-9"/>
          <w:sz w:val="24"/>
        </w:rPr>
        <w:t> </w:t>
      </w:r>
      <w:r>
        <w:rPr>
          <w:sz w:val="24"/>
        </w:rPr>
        <w:t>and</w:t>
      </w:r>
    </w:p>
    <w:p>
      <w:pPr>
        <w:pStyle w:val="ListParagraph"/>
        <w:numPr>
          <w:ilvl w:val="1"/>
          <w:numId w:val="479"/>
        </w:numPr>
        <w:tabs>
          <w:tab w:pos="2486" w:val="left" w:leader="none"/>
        </w:tabs>
        <w:spacing w:line="240" w:lineRule="auto" w:before="120" w:after="0"/>
        <w:ind w:left="2486" w:right="414" w:hanging="567"/>
        <w:jc w:val="both"/>
        <w:rPr>
          <w:sz w:val="24"/>
        </w:rPr>
      </w:pPr>
      <w:r>
        <w:rPr>
          <w:sz w:val="24"/>
        </w:rPr>
        <w:t>the </w:t>
      </w:r>
      <w:r>
        <w:rPr>
          <w:i/>
          <w:sz w:val="24"/>
        </w:rPr>
        <w:t>Metering Provider </w:t>
      </w:r>
      <w:r>
        <w:rPr>
          <w:sz w:val="24"/>
        </w:rPr>
        <w:t>it appoints for the </w:t>
      </w:r>
      <w:r>
        <w:rPr>
          <w:i/>
          <w:sz w:val="24"/>
        </w:rPr>
        <w:t>connection point </w:t>
      </w:r>
      <w:r>
        <w:rPr>
          <w:sz w:val="24"/>
        </w:rPr>
        <w:t>complies with the obligations imposed on </w:t>
      </w:r>
      <w:r>
        <w:rPr>
          <w:i/>
          <w:sz w:val="24"/>
        </w:rPr>
        <w:t>Metering Providers </w:t>
      </w:r>
      <w:r>
        <w:rPr>
          <w:sz w:val="24"/>
        </w:rPr>
        <w:t>by this</w:t>
      </w:r>
      <w:r>
        <w:rPr>
          <w:spacing w:val="-7"/>
          <w:sz w:val="24"/>
        </w:rPr>
        <w:t> </w:t>
      </w:r>
      <w:r>
        <w:rPr>
          <w:sz w:val="24"/>
        </w:rPr>
        <w:t>Chapter.</w:t>
      </w:r>
    </w:p>
    <w:p>
      <w:pPr>
        <w:pStyle w:val="ListParagraph"/>
        <w:numPr>
          <w:ilvl w:val="0"/>
          <w:numId w:val="479"/>
        </w:numPr>
        <w:tabs>
          <w:tab w:pos="1919" w:val="left" w:leader="none"/>
        </w:tabs>
        <w:spacing w:line="240" w:lineRule="auto" w:before="120" w:after="0"/>
        <w:ind w:left="1919" w:right="416" w:hanging="567"/>
        <w:jc w:val="both"/>
        <w:rPr>
          <w:sz w:val="24"/>
        </w:rPr>
      </w:pPr>
      <w:r>
        <w:rPr>
          <w:sz w:val="24"/>
        </w:rPr>
        <w:t>A </w:t>
      </w:r>
      <w:r>
        <w:rPr>
          <w:i/>
          <w:sz w:val="24"/>
        </w:rPr>
        <w:t>Metering Coordinator </w:t>
      </w:r>
      <w:r>
        <w:rPr>
          <w:sz w:val="24"/>
        </w:rPr>
        <w:t>must not prevent, hinder or otherwise impede the </w:t>
      </w:r>
      <w:r>
        <w:rPr>
          <w:i/>
          <w:sz w:val="24"/>
        </w:rPr>
        <w:t>Local Network Service Provider </w:t>
      </w:r>
      <w:r>
        <w:rPr>
          <w:sz w:val="24"/>
        </w:rPr>
        <w:t>from locally accessing a </w:t>
      </w:r>
      <w:r>
        <w:rPr>
          <w:i/>
          <w:sz w:val="24"/>
        </w:rPr>
        <w:t>metering </w:t>
      </w:r>
      <w:r>
        <w:rPr>
          <w:i/>
          <w:sz w:val="24"/>
        </w:rPr>
        <w:t>installation </w:t>
      </w:r>
      <w:r>
        <w:rPr>
          <w:sz w:val="24"/>
        </w:rPr>
        <w:t>or </w:t>
      </w:r>
      <w:r>
        <w:rPr>
          <w:i/>
          <w:sz w:val="24"/>
        </w:rPr>
        <w:t>connection point </w:t>
      </w:r>
      <w:r>
        <w:rPr>
          <w:sz w:val="24"/>
        </w:rPr>
        <w:t>for the purposes of </w:t>
      </w:r>
      <w:r>
        <w:rPr>
          <w:i/>
          <w:sz w:val="24"/>
        </w:rPr>
        <w:t>reconnecting </w:t>
      </w:r>
      <w:r>
        <w:rPr>
          <w:sz w:val="24"/>
        </w:rPr>
        <w:t>or </w:t>
      </w:r>
      <w:r>
        <w:rPr>
          <w:i/>
          <w:sz w:val="24"/>
        </w:rPr>
        <w:t>disconnecting </w:t>
      </w:r>
      <w:r>
        <w:rPr>
          <w:sz w:val="24"/>
        </w:rPr>
        <w:t>the </w:t>
      </w:r>
      <w:r>
        <w:rPr>
          <w:i/>
          <w:sz w:val="24"/>
        </w:rPr>
        <w:t>connection</w:t>
      </w:r>
      <w:r>
        <w:rPr>
          <w:i/>
          <w:spacing w:val="-1"/>
          <w:sz w:val="24"/>
        </w:rPr>
        <w:t> </w:t>
      </w:r>
      <w:r>
        <w:rPr>
          <w:i/>
          <w:sz w:val="24"/>
        </w:rPr>
        <w:t>point</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
        <w:ind w:firstLine="0"/>
        <w:jc w:val="left"/>
        <w:rPr>
          <w:sz w:val="19"/>
        </w:rPr>
      </w:pPr>
    </w:p>
    <w:p>
      <w:pPr>
        <w:spacing w:before="1"/>
        <w:ind w:left="1356" w:right="0" w:firstLine="0"/>
        <w:jc w:val="left"/>
        <w:rPr>
          <w:rFonts w:ascii="Arial"/>
          <w:b/>
          <w:sz w:val="22"/>
        </w:rPr>
      </w:pPr>
      <w:r>
        <w:rPr>
          <w:rFonts w:ascii="Arial"/>
          <w:b/>
          <w:sz w:val="22"/>
        </w:rPr>
        <w:t>Metering data services</w:t>
      </w:r>
    </w:p>
    <w:p>
      <w:pPr>
        <w:pStyle w:val="ListParagraph"/>
        <w:numPr>
          <w:ilvl w:val="0"/>
          <w:numId w:val="479"/>
        </w:numPr>
        <w:tabs>
          <w:tab w:pos="1919" w:val="left" w:leader="none"/>
        </w:tabs>
        <w:spacing w:line="240" w:lineRule="auto" w:before="120" w:after="0"/>
        <w:ind w:left="1918" w:right="0" w:hanging="567"/>
        <w:jc w:val="both"/>
        <w:rPr>
          <w:sz w:val="24"/>
        </w:rPr>
      </w:pPr>
      <w:r>
        <w:rPr>
          <w:sz w:val="24"/>
        </w:rPr>
        <w:t>The </w:t>
      </w:r>
      <w:r>
        <w:rPr>
          <w:i/>
          <w:sz w:val="24"/>
        </w:rPr>
        <w:t>Metering Coordinator </w:t>
      </w:r>
      <w:r>
        <w:rPr>
          <w:sz w:val="24"/>
        </w:rPr>
        <w:t>at a </w:t>
      </w:r>
      <w:r>
        <w:rPr>
          <w:i/>
          <w:sz w:val="24"/>
        </w:rPr>
        <w:t>connection point</w:t>
      </w:r>
      <w:r>
        <w:rPr>
          <w:i/>
          <w:spacing w:val="-2"/>
          <w:sz w:val="24"/>
        </w:rPr>
        <w:t> </w:t>
      </w:r>
      <w:r>
        <w:rPr>
          <w:sz w:val="24"/>
        </w:rPr>
        <w:t>must:</w:t>
      </w:r>
    </w:p>
    <w:p>
      <w:pPr>
        <w:pStyle w:val="ListParagraph"/>
        <w:numPr>
          <w:ilvl w:val="1"/>
          <w:numId w:val="479"/>
        </w:numPr>
        <w:tabs>
          <w:tab w:pos="2486" w:val="left" w:leader="none"/>
        </w:tabs>
        <w:spacing w:line="240" w:lineRule="auto" w:before="120" w:after="0"/>
        <w:ind w:left="2486" w:right="415" w:hanging="567"/>
        <w:jc w:val="both"/>
        <w:rPr>
          <w:sz w:val="24"/>
        </w:rPr>
      </w:pPr>
      <w:r>
        <w:rPr>
          <w:sz w:val="24"/>
        </w:rPr>
        <w:t>ensure that the </w:t>
      </w:r>
      <w:r>
        <w:rPr>
          <w:i/>
          <w:sz w:val="24"/>
        </w:rPr>
        <w:t>Metering Data Provider </w:t>
      </w:r>
      <w:r>
        <w:rPr>
          <w:sz w:val="24"/>
        </w:rPr>
        <w:t>it appoints for the </w:t>
      </w:r>
      <w:r>
        <w:rPr>
          <w:i/>
          <w:sz w:val="24"/>
        </w:rPr>
        <w:t>connection </w:t>
      </w:r>
      <w:r>
        <w:rPr>
          <w:i/>
          <w:sz w:val="24"/>
        </w:rPr>
        <w:t>point </w:t>
      </w:r>
      <w:r>
        <w:rPr>
          <w:sz w:val="24"/>
        </w:rPr>
        <w:t>complies with the obligations imposed on </w:t>
      </w:r>
      <w:r>
        <w:rPr>
          <w:i/>
          <w:sz w:val="24"/>
        </w:rPr>
        <w:t>Metering </w:t>
      </w:r>
      <w:r>
        <w:rPr>
          <w:i/>
          <w:spacing w:val="-4"/>
          <w:sz w:val="24"/>
        </w:rPr>
        <w:t>Data</w:t>
      </w:r>
      <w:r>
        <w:rPr>
          <w:i/>
          <w:spacing w:val="52"/>
          <w:sz w:val="24"/>
        </w:rPr>
        <w:t> </w:t>
      </w:r>
      <w:r>
        <w:rPr>
          <w:i/>
          <w:sz w:val="24"/>
        </w:rPr>
        <w:t>Providers </w:t>
      </w:r>
      <w:r>
        <w:rPr>
          <w:sz w:val="24"/>
        </w:rPr>
        <w:t>by this</w:t>
      </w:r>
      <w:r>
        <w:rPr>
          <w:spacing w:val="-1"/>
          <w:sz w:val="24"/>
        </w:rPr>
        <w:t> </w:t>
      </w:r>
      <w:r>
        <w:rPr>
          <w:sz w:val="24"/>
        </w:rPr>
        <w:t>Chapter;</w:t>
      </w:r>
    </w:p>
    <w:p>
      <w:pPr>
        <w:pStyle w:val="ListParagraph"/>
        <w:numPr>
          <w:ilvl w:val="1"/>
          <w:numId w:val="479"/>
        </w:numPr>
        <w:tabs>
          <w:tab w:pos="2486" w:val="left" w:leader="none"/>
        </w:tabs>
        <w:spacing w:line="240" w:lineRule="auto" w:before="120" w:after="0"/>
        <w:ind w:left="2485" w:right="0" w:hanging="567"/>
        <w:jc w:val="both"/>
        <w:rPr>
          <w:sz w:val="24"/>
        </w:rPr>
      </w:pPr>
      <w:r>
        <w:rPr>
          <w:sz w:val="24"/>
        </w:rPr>
        <w:t>ensure that </w:t>
      </w:r>
      <w:r>
        <w:rPr>
          <w:i/>
          <w:sz w:val="24"/>
        </w:rPr>
        <w:t>metering data services </w:t>
      </w:r>
      <w:r>
        <w:rPr>
          <w:sz w:val="24"/>
        </w:rPr>
        <w:t>are provided in accordance with</w:t>
      </w:r>
      <w:r>
        <w:rPr>
          <w:spacing w:val="20"/>
          <w:sz w:val="24"/>
        </w:rPr>
        <w:t> </w:t>
      </w:r>
      <w:r>
        <w:rPr>
          <w:sz w:val="24"/>
        </w:rPr>
        <w:t>the</w:t>
      </w:r>
    </w:p>
    <w:p>
      <w:pPr>
        <w:spacing w:before="0"/>
        <w:ind w:left="2486" w:right="0" w:firstLine="0"/>
        <w:jc w:val="both"/>
        <w:rPr>
          <w:sz w:val="24"/>
        </w:rPr>
      </w:pPr>
      <w:r>
        <w:rPr>
          <w:i/>
          <w:sz w:val="24"/>
        </w:rPr>
        <w:t>Rules</w:t>
      </w:r>
      <w:r>
        <w:rPr>
          <w:sz w:val="24"/>
        </w:rPr>
        <w:t>; and</w:t>
      </w:r>
    </w:p>
    <w:p>
      <w:pPr>
        <w:pStyle w:val="ListParagraph"/>
        <w:numPr>
          <w:ilvl w:val="1"/>
          <w:numId w:val="479"/>
        </w:numPr>
        <w:tabs>
          <w:tab w:pos="2486" w:val="left" w:leader="none"/>
        </w:tabs>
        <w:spacing w:line="240" w:lineRule="auto" w:before="120" w:after="0"/>
        <w:ind w:left="2486" w:right="415" w:hanging="567"/>
        <w:jc w:val="both"/>
        <w:rPr>
          <w:sz w:val="24"/>
        </w:rPr>
      </w:pPr>
      <w:r>
        <w:rPr>
          <w:sz w:val="24"/>
        </w:rPr>
        <w:t>arrange for the provision of relevant </w:t>
      </w:r>
      <w:r>
        <w:rPr>
          <w:i/>
          <w:sz w:val="24"/>
        </w:rPr>
        <w:t>metering data </w:t>
      </w:r>
      <w:r>
        <w:rPr>
          <w:sz w:val="24"/>
        </w:rPr>
        <w:t>to the </w:t>
      </w:r>
      <w:r>
        <w:rPr>
          <w:i/>
          <w:sz w:val="24"/>
        </w:rPr>
        <w:t>Metering </w:t>
      </w:r>
      <w:r>
        <w:rPr>
          <w:i/>
          <w:sz w:val="24"/>
        </w:rPr>
        <w:t>Data Provider </w:t>
      </w:r>
      <w:r>
        <w:rPr>
          <w:sz w:val="24"/>
        </w:rPr>
        <w:t>if </w:t>
      </w:r>
      <w:r>
        <w:rPr>
          <w:i/>
          <w:sz w:val="24"/>
        </w:rPr>
        <w:t>remote acquisition</w:t>
      </w:r>
      <w:r>
        <w:rPr>
          <w:sz w:val="24"/>
        </w:rPr>
        <w:t>, if any, becomes</w:t>
      </w:r>
      <w:r>
        <w:rPr>
          <w:spacing w:val="-5"/>
          <w:sz w:val="24"/>
        </w:rPr>
        <w:t> </w:t>
      </w:r>
      <w:r>
        <w:rPr>
          <w:sz w:val="24"/>
        </w:rPr>
        <w:t>unavailable.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
        <w:ind w:firstLine="0"/>
        <w:jc w:val="left"/>
        <w:rPr>
          <w:sz w:val="19"/>
        </w:rPr>
      </w:pPr>
    </w:p>
    <w:p>
      <w:pPr>
        <w:spacing w:before="0"/>
        <w:ind w:left="1356" w:right="0" w:firstLine="0"/>
        <w:jc w:val="left"/>
        <w:rPr>
          <w:rFonts w:ascii="Arial"/>
          <w:b/>
          <w:sz w:val="22"/>
        </w:rPr>
      </w:pPr>
      <w:r>
        <w:rPr>
          <w:rFonts w:ascii="Arial"/>
          <w:b/>
          <w:sz w:val="22"/>
        </w:rPr>
        <w:t>Access to type 4 metering installations</w:t>
      </w:r>
    </w:p>
    <w:p>
      <w:pPr>
        <w:pStyle w:val="ListParagraph"/>
        <w:numPr>
          <w:ilvl w:val="0"/>
          <w:numId w:val="479"/>
        </w:numPr>
        <w:tabs>
          <w:tab w:pos="1920" w:val="left" w:leader="none"/>
        </w:tabs>
        <w:spacing w:line="240" w:lineRule="auto" w:before="120" w:after="0"/>
        <w:ind w:left="1919" w:right="416" w:hanging="567"/>
        <w:jc w:val="both"/>
        <w:rPr>
          <w:sz w:val="24"/>
        </w:rPr>
      </w:pPr>
      <w:r>
        <w:rPr>
          <w:sz w:val="24"/>
        </w:rPr>
        <w:t>The </w:t>
      </w:r>
      <w:r>
        <w:rPr>
          <w:i/>
          <w:sz w:val="24"/>
        </w:rPr>
        <w:t>Metering Coordinator </w:t>
      </w:r>
      <w:r>
        <w:rPr>
          <w:sz w:val="24"/>
        </w:rPr>
        <w:t>at a </w:t>
      </w:r>
      <w:r>
        <w:rPr>
          <w:i/>
          <w:sz w:val="24"/>
        </w:rPr>
        <w:t>connection point </w:t>
      </w:r>
      <w:r>
        <w:rPr>
          <w:sz w:val="24"/>
        </w:rPr>
        <w:t>with a type 4 </w:t>
      </w:r>
      <w:r>
        <w:rPr>
          <w:i/>
          <w:sz w:val="24"/>
        </w:rPr>
        <w:t>metering </w:t>
      </w:r>
      <w:r>
        <w:rPr>
          <w:i/>
          <w:sz w:val="24"/>
        </w:rPr>
        <w:t>installation</w:t>
      </w:r>
      <w:r>
        <w:rPr>
          <w:sz w:val="24"/>
        </w:rPr>
        <w:t>:</w:t>
      </w:r>
    </w:p>
    <w:p>
      <w:pPr>
        <w:pStyle w:val="ListParagraph"/>
        <w:numPr>
          <w:ilvl w:val="1"/>
          <w:numId w:val="479"/>
        </w:numPr>
        <w:tabs>
          <w:tab w:pos="2486" w:val="left" w:leader="none"/>
        </w:tabs>
        <w:spacing w:line="240" w:lineRule="auto" w:before="120" w:after="0"/>
        <w:ind w:left="2486" w:right="415" w:hanging="567"/>
        <w:jc w:val="both"/>
        <w:rPr>
          <w:sz w:val="24"/>
        </w:rPr>
      </w:pPr>
      <w:r>
        <w:rPr>
          <w:sz w:val="24"/>
        </w:rPr>
        <w:t>must ensure that access to the </w:t>
      </w:r>
      <w:r>
        <w:rPr>
          <w:i/>
          <w:sz w:val="24"/>
        </w:rPr>
        <w:t>metering installation</w:t>
      </w:r>
      <w:r>
        <w:rPr>
          <w:sz w:val="24"/>
        </w:rPr>
        <w:t>, the services provided by the </w:t>
      </w:r>
      <w:r>
        <w:rPr>
          <w:i/>
          <w:sz w:val="24"/>
        </w:rPr>
        <w:t>metering installation </w:t>
      </w:r>
      <w:r>
        <w:rPr>
          <w:sz w:val="24"/>
        </w:rPr>
        <w:t>and </w:t>
      </w:r>
      <w:r>
        <w:rPr>
          <w:i/>
          <w:sz w:val="24"/>
        </w:rPr>
        <w:t>energy data </w:t>
      </w:r>
      <w:r>
        <w:rPr>
          <w:sz w:val="24"/>
        </w:rPr>
        <w:t>held in the </w:t>
      </w:r>
      <w:r>
        <w:rPr>
          <w:i/>
          <w:sz w:val="24"/>
        </w:rPr>
        <w:t>metering installation </w:t>
      </w:r>
      <w:r>
        <w:rPr>
          <w:sz w:val="24"/>
        </w:rPr>
        <w:t>is only granted to persons entitled to access the </w:t>
      </w:r>
      <w:r>
        <w:rPr>
          <w:i/>
          <w:sz w:val="24"/>
        </w:rPr>
        <w:t>metering installation</w:t>
      </w:r>
      <w:r>
        <w:rPr>
          <w:sz w:val="24"/>
        </w:rPr>
        <w:t>, or the services provided by the </w:t>
      </w:r>
      <w:r>
        <w:rPr>
          <w:i/>
          <w:sz w:val="24"/>
        </w:rPr>
        <w:t>metering </w:t>
      </w:r>
      <w:r>
        <w:rPr>
          <w:i/>
          <w:sz w:val="24"/>
        </w:rPr>
        <w:t>installation </w:t>
      </w:r>
      <w:r>
        <w:rPr>
          <w:sz w:val="24"/>
        </w:rPr>
        <w:t>or </w:t>
      </w:r>
      <w:r>
        <w:rPr>
          <w:i/>
          <w:sz w:val="24"/>
        </w:rPr>
        <w:t>energy data </w:t>
      </w:r>
      <w:r>
        <w:rPr>
          <w:sz w:val="24"/>
        </w:rPr>
        <w:t>held in the </w:t>
      </w:r>
      <w:r>
        <w:rPr>
          <w:i/>
          <w:sz w:val="24"/>
        </w:rPr>
        <w:t>metering installation</w:t>
      </w:r>
      <w:r>
        <w:rPr>
          <w:sz w:val="24"/>
        </w:rPr>
        <w:t>, in accordance with this</w:t>
      </w:r>
      <w:r>
        <w:rPr>
          <w:spacing w:val="-2"/>
          <w:sz w:val="24"/>
        </w:rPr>
        <w:t> </w:t>
      </w:r>
      <w:r>
        <w:rPr>
          <w:sz w:val="24"/>
        </w:rPr>
        <w:t>Chapter;</w:t>
      </w:r>
    </w:p>
    <w:p>
      <w:pPr>
        <w:pStyle w:val="ListParagraph"/>
        <w:numPr>
          <w:ilvl w:val="1"/>
          <w:numId w:val="479"/>
        </w:numPr>
        <w:tabs>
          <w:tab w:pos="2486" w:val="left" w:leader="none"/>
        </w:tabs>
        <w:spacing w:line="240" w:lineRule="auto" w:before="120" w:after="0"/>
        <w:ind w:left="2485" w:right="0" w:hanging="567"/>
        <w:jc w:val="both"/>
        <w:rPr>
          <w:sz w:val="24"/>
        </w:rPr>
      </w:pPr>
      <w:r>
        <w:rPr>
          <w:sz w:val="24"/>
        </w:rPr>
        <w:t>must not arrange a </w:t>
      </w:r>
      <w:r>
        <w:rPr>
          <w:i/>
          <w:sz w:val="24"/>
        </w:rPr>
        <w:t>disconnection</w:t>
      </w:r>
      <w:r>
        <w:rPr>
          <w:i/>
          <w:spacing w:val="-1"/>
          <w:sz w:val="24"/>
        </w:rPr>
        <w:t> </w:t>
      </w:r>
      <w:r>
        <w:rPr>
          <w:sz w:val="24"/>
        </w:rPr>
        <w:t>except:</w:t>
      </w:r>
    </w:p>
    <w:p>
      <w:pPr>
        <w:pStyle w:val="ListParagraph"/>
        <w:numPr>
          <w:ilvl w:val="2"/>
          <w:numId w:val="479"/>
        </w:numPr>
        <w:tabs>
          <w:tab w:pos="3052" w:val="left" w:leader="none"/>
          <w:tab w:pos="3053" w:val="left" w:leader="none"/>
        </w:tabs>
        <w:spacing w:line="240" w:lineRule="auto" w:before="120" w:after="0"/>
        <w:ind w:left="3053" w:right="416" w:hanging="567"/>
        <w:jc w:val="left"/>
        <w:rPr>
          <w:sz w:val="24"/>
        </w:rPr>
      </w:pPr>
      <w:r>
        <w:rPr>
          <w:sz w:val="24"/>
        </w:rPr>
        <w:t>on the request of the financially responsible participant or </w:t>
      </w:r>
      <w:r>
        <w:rPr>
          <w:i/>
          <w:sz w:val="24"/>
        </w:rPr>
        <w:t>Local </w:t>
      </w:r>
      <w:r>
        <w:rPr>
          <w:i/>
          <w:sz w:val="24"/>
        </w:rPr>
        <w:t>Network Service</w:t>
      </w:r>
      <w:r>
        <w:rPr>
          <w:i/>
          <w:spacing w:val="-1"/>
          <w:sz w:val="24"/>
        </w:rPr>
        <w:t> </w:t>
      </w:r>
      <w:r>
        <w:rPr>
          <w:i/>
          <w:sz w:val="24"/>
        </w:rPr>
        <w:t>Provider</w:t>
      </w:r>
      <w:r>
        <w:rPr>
          <w:sz w:val="24"/>
        </w:rPr>
        <w:t>;</w:t>
      </w:r>
    </w:p>
    <w:p>
      <w:pPr>
        <w:pStyle w:val="ListParagraph"/>
        <w:numPr>
          <w:ilvl w:val="2"/>
          <w:numId w:val="479"/>
        </w:numPr>
        <w:tabs>
          <w:tab w:pos="3052" w:val="left" w:leader="none"/>
          <w:tab w:pos="3054" w:val="left" w:leader="none"/>
        </w:tabs>
        <w:spacing w:line="240" w:lineRule="auto" w:before="120" w:after="0"/>
        <w:ind w:left="3053" w:right="0" w:hanging="568"/>
        <w:jc w:val="left"/>
        <w:rPr>
          <w:sz w:val="24"/>
        </w:rPr>
      </w:pPr>
      <w:r>
        <w:rPr>
          <w:sz w:val="24"/>
        </w:rPr>
        <w:t>where the </w:t>
      </w:r>
      <w:r>
        <w:rPr>
          <w:i/>
          <w:sz w:val="24"/>
        </w:rPr>
        <w:t>disconnection </w:t>
      </w:r>
      <w:r>
        <w:rPr>
          <w:sz w:val="24"/>
        </w:rPr>
        <w:t>is effected via remote access;</w:t>
      </w:r>
      <w:r>
        <w:rPr>
          <w:spacing w:val="-4"/>
          <w:sz w:val="24"/>
        </w:rPr>
        <w:t> </w:t>
      </w:r>
      <w:r>
        <w:rPr>
          <w:sz w:val="24"/>
        </w:rPr>
        <w:t>and</w:t>
      </w:r>
    </w:p>
    <w:p>
      <w:pPr>
        <w:pStyle w:val="ListParagraph"/>
        <w:numPr>
          <w:ilvl w:val="2"/>
          <w:numId w:val="479"/>
        </w:numPr>
        <w:tabs>
          <w:tab w:pos="3052" w:val="left" w:leader="none"/>
          <w:tab w:pos="3053" w:val="left" w:leader="none"/>
        </w:tabs>
        <w:spacing w:line="240" w:lineRule="auto" w:before="120" w:after="0"/>
        <w:ind w:left="3052" w:right="0" w:hanging="567"/>
        <w:jc w:val="left"/>
        <w:rPr>
          <w:sz w:val="24"/>
        </w:rPr>
      </w:pPr>
      <w:r>
        <w:rPr>
          <w:sz w:val="24"/>
        </w:rPr>
        <w:t>in accordance with </w:t>
      </w:r>
      <w:r>
        <w:rPr>
          <w:i/>
          <w:sz w:val="24"/>
        </w:rPr>
        <w:t>jurisdictional electricity</w:t>
      </w:r>
      <w:r>
        <w:rPr>
          <w:i/>
          <w:spacing w:val="-3"/>
          <w:sz w:val="24"/>
        </w:rPr>
        <w:t> </w:t>
      </w:r>
      <w:r>
        <w:rPr>
          <w:i/>
          <w:sz w:val="24"/>
        </w:rPr>
        <w:t>legislation</w:t>
      </w:r>
      <w:r>
        <w:rPr>
          <w:sz w:val="24"/>
        </w:rPr>
        <w:t>;</w:t>
      </w:r>
    </w:p>
    <w:p>
      <w:pPr>
        <w:pStyle w:val="ListParagraph"/>
        <w:numPr>
          <w:ilvl w:val="1"/>
          <w:numId w:val="479"/>
        </w:numPr>
        <w:tabs>
          <w:tab w:pos="2485" w:val="left" w:leader="none"/>
          <w:tab w:pos="2486" w:val="left" w:leader="none"/>
        </w:tabs>
        <w:spacing w:line="240" w:lineRule="auto" w:before="120" w:after="0"/>
        <w:ind w:left="2485" w:right="0" w:hanging="567"/>
        <w:jc w:val="left"/>
        <w:rPr>
          <w:sz w:val="24"/>
        </w:rPr>
      </w:pPr>
      <w:r>
        <w:rPr>
          <w:sz w:val="24"/>
        </w:rPr>
        <w:t>must not arrange a </w:t>
      </w:r>
      <w:r>
        <w:rPr>
          <w:i/>
          <w:sz w:val="24"/>
        </w:rPr>
        <w:t>reconnection</w:t>
      </w:r>
      <w:r>
        <w:rPr>
          <w:i/>
          <w:spacing w:val="-1"/>
          <w:sz w:val="24"/>
        </w:rPr>
        <w:t> </w:t>
      </w:r>
      <w:r>
        <w:rPr>
          <w:sz w:val="24"/>
        </w:rPr>
        <w:t>except:</w:t>
      </w:r>
    </w:p>
    <w:p>
      <w:pPr>
        <w:pStyle w:val="ListParagraph"/>
        <w:numPr>
          <w:ilvl w:val="2"/>
          <w:numId w:val="479"/>
        </w:numPr>
        <w:tabs>
          <w:tab w:pos="3052" w:val="left" w:leader="none"/>
          <w:tab w:pos="3053" w:val="left" w:leader="none"/>
        </w:tabs>
        <w:spacing w:line="240" w:lineRule="auto" w:before="120" w:after="0"/>
        <w:ind w:left="3053" w:right="415" w:hanging="567"/>
        <w:jc w:val="left"/>
        <w:rPr>
          <w:sz w:val="24"/>
        </w:rPr>
      </w:pPr>
      <w:r>
        <w:rPr>
          <w:sz w:val="24"/>
        </w:rPr>
        <w:t>on the request of the financially responsible participant, </w:t>
      </w:r>
      <w:r>
        <w:rPr>
          <w:i/>
          <w:sz w:val="24"/>
        </w:rPr>
        <w:t>Local </w:t>
      </w:r>
      <w:r>
        <w:rPr>
          <w:i/>
          <w:sz w:val="24"/>
        </w:rPr>
        <w:t>Network Service Provider </w:t>
      </w:r>
      <w:r>
        <w:rPr>
          <w:sz w:val="24"/>
        </w:rPr>
        <w:t>or incoming</w:t>
      </w:r>
      <w:r>
        <w:rPr>
          <w:spacing w:val="-2"/>
          <w:sz w:val="24"/>
        </w:rPr>
        <w:t> </w:t>
      </w:r>
      <w:r>
        <w:rPr>
          <w:i/>
          <w:sz w:val="24"/>
        </w:rPr>
        <w:t>retailer</w:t>
      </w:r>
      <w:r>
        <w:rPr>
          <w:sz w:val="24"/>
        </w:rPr>
        <w:t>;</w:t>
      </w:r>
    </w:p>
    <w:p>
      <w:pPr>
        <w:pStyle w:val="ListParagraph"/>
        <w:numPr>
          <w:ilvl w:val="2"/>
          <w:numId w:val="479"/>
        </w:numPr>
        <w:tabs>
          <w:tab w:pos="3052" w:val="left" w:leader="none"/>
          <w:tab w:pos="3054" w:val="left" w:leader="none"/>
        </w:tabs>
        <w:spacing w:line="240" w:lineRule="auto" w:before="120" w:after="0"/>
        <w:ind w:left="3053" w:right="0" w:hanging="568"/>
        <w:jc w:val="left"/>
        <w:rPr>
          <w:sz w:val="24"/>
        </w:rPr>
      </w:pPr>
      <w:r>
        <w:rPr>
          <w:sz w:val="24"/>
        </w:rPr>
        <w:t>where the </w:t>
      </w:r>
      <w:r>
        <w:rPr>
          <w:i/>
          <w:sz w:val="24"/>
        </w:rPr>
        <w:t>reconnection </w:t>
      </w:r>
      <w:r>
        <w:rPr>
          <w:sz w:val="24"/>
        </w:rPr>
        <w:t>is effected via remote access;</w:t>
      </w:r>
      <w:r>
        <w:rPr>
          <w:spacing w:val="-7"/>
          <w:sz w:val="24"/>
        </w:rPr>
        <w:t> </w:t>
      </w:r>
      <w:r>
        <w:rPr>
          <w:sz w:val="24"/>
        </w:rPr>
        <w:t>and</w:t>
      </w:r>
    </w:p>
    <w:p>
      <w:pPr>
        <w:pStyle w:val="ListParagraph"/>
        <w:numPr>
          <w:ilvl w:val="2"/>
          <w:numId w:val="479"/>
        </w:numPr>
        <w:tabs>
          <w:tab w:pos="3052" w:val="left" w:leader="none"/>
          <w:tab w:pos="3053" w:val="left" w:leader="none"/>
        </w:tabs>
        <w:spacing w:line="240" w:lineRule="auto" w:before="120" w:after="0"/>
        <w:ind w:left="3052" w:right="0" w:hanging="567"/>
        <w:jc w:val="left"/>
        <w:rPr>
          <w:sz w:val="24"/>
        </w:rPr>
      </w:pPr>
      <w:r>
        <w:rPr>
          <w:sz w:val="24"/>
        </w:rPr>
        <w:t>in accordance with </w:t>
      </w:r>
      <w:r>
        <w:rPr>
          <w:i/>
          <w:sz w:val="24"/>
        </w:rPr>
        <w:t>jurisdictional electricity legislation</w:t>
      </w:r>
      <w:r>
        <w:rPr>
          <w:sz w:val="24"/>
        </w:rPr>
        <w:t>;</w:t>
      </w:r>
      <w:r>
        <w:rPr>
          <w:spacing w:val="-3"/>
          <w:sz w:val="24"/>
        </w:rPr>
        <w:t> </w:t>
      </w:r>
      <w:r>
        <w:rPr>
          <w:sz w:val="24"/>
        </w:rPr>
        <w:t>and</w:t>
      </w:r>
    </w:p>
    <w:p>
      <w:pPr>
        <w:pStyle w:val="ListParagraph"/>
        <w:numPr>
          <w:ilvl w:val="1"/>
          <w:numId w:val="479"/>
        </w:numPr>
        <w:tabs>
          <w:tab w:pos="2485" w:val="left" w:leader="none"/>
          <w:tab w:pos="2486" w:val="left" w:leader="none"/>
        </w:tabs>
        <w:spacing w:line="240" w:lineRule="auto" w:before="120" w:after="0"/>
        <w:ind w:left="2486" w:right="415" w:hanging="567"/>
        <w:jc w:val="left"/>
        <w:rPr>
          <w:sz w:val="24"/>
        </w:rPr>
      </w:pPr>
      <w:r>
        <w:rPr>
          <w:sz w:val="24"/>
        </w:rPr>
        <w:t>must not arrange a </w:t>
      </w:r>
      <w:r>
        <w:rPr>
          <w:i/>
          <w:sz w:val="24"/>
        </w:rPr>
        <w:t>retailer </w:t>
      </w:r>
      <w:r>
        <w:rPr>
          <w:sz w:val="24"/>
        </w:rPr>
        <w:t>planned interruption of the supply of electricity at the </w:t>
      </w:r>
      <w:r>
        <w:rPr>
          <w:i/>
          <w:sz w:val="24"/>
        </w:rPr>
        <w:t>metering installation</w:t>
      </w:r>
      <w:r>
        <w:rPr>
          <w:i/>
          <w:spacing w:val="-3"/>
          <w:sz w:val="24"/>
        </w:rPr>
        <w:t> </w:t>
      </w:r>
      <w:r>
        <w:rPr>
          <w:sz w:val="24"/>
        </w:rPr>
        <w:t>except:</w:t>
      </w:r>
    </w:p>
    <w:p>
      <w:pPr>
        <w:pStyle w:val="ListParagraph"/>
        <w:numPr>
          <w:ilvl w:val="2"/>
          <w:numId w:val="479"/>
        </w:numPr>
        <w:tabs>
          <w:tab w:pos="3052" w:val="left" w:leader="none"/>
          <w:tab w:pos="3053" w:val="left" w:leader="none"/>
        </w:tabs>
        <w:spacing w:line="240" w:lineRule="auto" w:before="120" w:after="0"/>
        <w:ind w:left="3052" w:right="0" w:hanging="567"/>
        <w:jc w:val="left"/>
        <w:rPr>
          <w:sz w:val="24"/>
        </w:rPr>
      </w:pPr>
      <w:r>
        <w:rPr>
          <w:sz w:val="24"/>
        </w:rPr>
        <w:t>on the request of the </w:t>
      </w:r>
      <w:r>
        <w:rPr>
          <w:i/>
          <w:sz w:val="24"/>
        </w:rPr>
        <w:t>retailer</w:t>
      </w:r>
      <w:r>
        <w:rPr>
          <w:sz w:val="24"/>
        </w:rPr>
        <w:t>;</w:t>
      </w:r>
      <w:r>
        <w:rPr>
          <w:spacing w:val="-2"/>
          <w:sz w:val="24"/>
        </w:rPr>
        <w:t> </w:t>
      </w:r>
      <w:r>
        <w:rPr>
          <w:sz w:val="24"/>
        </w:rPr>
        <w:t>and</w:t>
      </w:r>
    </w:p>
    <w:p>
      <w:pPr>
        <w:pStyle w:val="ListParagraph"/>
        <w:numPr>
          <w:ilvl w:val="2"/>
          <w:numId w:val="479"/>
        </w:numPr>
        <w:tabs>
          <w:tab w:pos="3052" w:val="left" w:leader="none"/>
          <w:tab w:pos="3054" w:val="left" w:leader="none"/>
        </w:tabs>
        <w:spacing w:line="240" w:lineRule="auto" w:before="120" w:after="0"/>
        <w:ind w:left="3053" w:right="0" w:hanging="568"/>
        <w:jc w:val="left"/>
        <w:rPr>
          <w:sz w:val="24"/>
        </w:rPr>
      </w:pPr>
      <w:r>
        <w:rPr>
          <w:sz w:val="24"/>
        </w:rPr>
        <w:t>in accordance with </w:t>
      </w:r>
      <w:r>
        <w:rPr>
          <w:i/>
          <w:sz w:val="24"/>
        </w:rPr>
        <w:t>jurisdictional electricity</w:t>
      </w:r>
      <w:r>
        <w:rPr>
          <w:i/>
          <w:spacing w:val="-3"/>
          <w:sz w:val="24"/>
        </w:rPr>
        <w:t> </w:t>
      </w:r>
      <w:r>
        <w:rPr>
          <w:i/>
          <w:sz w:val="24"/>
        </w:rPr>
        <w:t>legislation</w:t>
      </w:r>
      <w:r>
        <w:rPr>
          <w:sz w:val="24"/>
        </w:rPr>
        <w:t>.</w:t>
      </w:r>
    </w:p>
    <w:p>
      <w:pPr>
        <w:spacing w:after="0" w:line="240" w:lineRule="auto"/>
        <w:jc w:val="left"/>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3"/>
        <w:tabs>
          <w:tab w:pos="1351" w:val="left" w:leader="none"/>
        </w:tabs>
        <w:ind w:right="1244" w:hanging="1134"/>
      </w:pPr>
      <w:bookmarkStart w:name="7A.4 Qualification and requirements of M" w:id="1727"/>
      <w:bookmarkEnd w:id="1727"/>
      <w:r>
        <w:rPr>
          <w:b w:val="0"/>
        </w:rPr>
      </w:r>
      <w:bookmarkStart w:name="_bookmark689" w:id="1728"/>
      <w:bookmarkEnd w:id="1728"/>
      <w:r>
        <w:rPr>
          <w:b w:val="0"/>
        </w:rPr>
      </w:r>
      <w:r>
        <w:rPr/>
        <w:t>7A.4</w:t>
        <w:tab/>
        <w:t>Qualification and requirements of Metering Providers and Metering Data</w:t>
      </w:r>
      <w:r>
        <w:rPr>
          <w:spacing w:val="-2"/>
        </w:rPr>
        <w:t> </w:t>
      </w:r>
      <w:r>
        <w:rPr/>
        <w:t>Providers</w:t>
      </w:r>
    </w:p>
    <w:p>
      <w:pPr>
        <w:pStyle w:val="Heading4"/>
        <w:tabs>
          <w:tab w:pos="1351" w:val="left" w:leader="none"/>
        </w:tabs>
        <w:spacing w:before="240"/>
        <w:ind w:left="218" w:firstLine="0"/>
      </w:pPr>
      <w:bookmarkStart w:name="7A.4.1 Qualification and requirements of" w:id="1729"/>
      <w:bookmarkEnd w:id="1729"/>
      <w:r>
        <w:rPr>
          <w:b w:val="0"/>
        </w:rPr>
      </w:r>
      <w:bookmarkStart w:name="_bookmark690" w:id="1730"/>
      <w:bookmarkEnd w:id="1730"/>
      <w:r>
        <w:rPr>
          <w:b w:val="0"/>
        </w:rPr>
      </w:r>
      <w:r>
        <w:rPr/>
        <w:t>7A.4.1</w:t>
        <w:tab/>
        <w:t>Qualification and requirements of Metering</w:t>
      </w:r>
      <w:r>
        <w:rPr>
          <w:spacing w:val="-5"/>
        </w:rPr>
        <w:t> </w:t>
      </w:r>
      <w:r>
        <w:rPr/>
        <w:t>Providers</w:t>
      </w:r>
    </w:p>
    <w:p>
      <w:pPr>
        <w:pStyle w:val="ListParagraph"/>
        <w:numPr>
          <w:ilvl w:val="0"/>
          <w:numId w:val="480"/>
        </w:numPr>
        <w:tabs>
          <w:tab w:pos="1919" w:val="left" w:leader="none"/>
        </w:tabs>
        <w:spacing w:line="240" w:lineRule="auto" w:before="120" w:after="0"/>
        <w:ind w:left="1918" w:right="0" w:hanging="567"/>
        <w:jc w:val="both"/>
        <w:rPr>
          <w:sz w:val="24"/>
        </w:rPr>
      </w:pPr>
      <w:r>
        <w:rPr>
          <w:sz w:val="24"/>
        </w:rPr>
        <w:t>This clause applies in respect of the </w:t>
      </w:r>
      <w:r>
        <w:rPr>
          <w:i/>
          <w:sz w:val="24"/>
        </w:rPr>
        <w:t>1st regulatory control</w:t>
      </w:r>
      <w:r>
        <w:rPr>
          <w:i/>
          <w:spacing w:val="-3"/>
          <w:sz w:val="24"/>
        </w:rPr>
        <w:t> </w:t>
      </w:r>
      <w:r>
        <w:rPr>
          <w:i/>
          <w:sz w:val="24"/>
        </w:rPr>
        <w:t>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The application of this clause in respect of subsequent </w:t>
      </w:r>
      <w:r>
        <w:rPr>
          <w:i/>
          <w:sz w:val="20"/>
        </w:rPr>
        <w:t>regulatory control periods </w:t>
      </w:r>
      <w:r>
        <w:rPr>
          <w:sz w:val="20"/>
        </w:rPr>
        <w:t>will be considered as part of the phased implementation of the </w:t>
      </w:r>
      <w:r>
        <w:rPr>
          <w:i/>
          <w:sz w:val="20"/>
        </w:rPr>
        <w:t>Rules </w:t>
      </w:r>
      <w:r>
        <w:rPr>
          <w:sz w:val="20"/>
        </w:rPr>
        <w:t>in this jurisdiction.</w:t>
      </w:r>
    </w:p>
    <w:p>
      <w:pPr>
        <w:pStyle w:val="ListParagraph"/>
        <w:numPr>
          <w:ilvl w:val="0"/>
          <w:numId w:val="480"/>
        </w:numPr>
        <w:tabs>
          <w:tab w:pos="1919" w:val="left" w:leader="none"/>
        </w:tabs>
        <w:spacing w:line="240" w:lineRule="auto" w:before="120" w:after="0"/>
        <w:ind w:left="1918" w:right="0" w:hanging="567"/>
        <w:jc w:val="both"/>
        <w:rPr>
          <w:sz w:val="24"/>
        </w:rPr>
      </w:pPr>
      <w:r>
        <w:rPr>
          <w:sz w:val="24"/>
        </w:rPr>
        <w:t>A </w:t>
      </w:r>
      <w:r>
        <w:rPr>
          <w:i/>
          <w:sz w:val="24"/>
        </w:rPr>
        <w:t>Metering Provider </w:t>
      </w:r>
      <w:r>
        <w:rPr>
          <w:sz w:val="24"/>
        </w:rPr>
        <w:t>must have an ISO 9000 series quality system in</w:t>
      </w:r>
      <w:r>
        <w:rPr>
          <w:spacing w:val="-7"/>
          <w:sz w:val="24"/>
        </w:rPr>
        <w:t> </w:t>
      </w:r>
      <w:r>
        <w:rPr>
          <w:sz w:val="24"/>
        </w:rPr>
        <w:t>place.</w:t>
      </w:r>
    </w:p>
    <w:p>
      <w:pPr>
        <w:pStyle w:val="ListParagraph"/>
        <w:numPr>
          <w:ilvl w:val="0"/>
          <w:numId w:val="480"/>
        </w:numPr>
        <w:tabs>
          <w:tab w:pos="1919" w:val="left" w:leader="none"/>
        </w:tabs>
        <w:spacing w:line="240" w:lineRule="auto" w:before="120" w:after="0"/>
        <w:ind w:left="1919" w:right="416" w:hanging="567"/>
        <w:jc w:val="both"/>
        <w:rPr>
          <w:sz w:val="24"/>
        </w:rPr>
      </w:pPr>
      <w:r>
        <w:rPr>
          <w:sz w:val="24"/>
        </w:rPr>
        <w:t>For a </w:t>
      </w:r>
      <w:r>
        <w:rPr>
          <w:i/>
          <w:sz w:val="24"/>
        </w:rPr>
        <w:t>connection point </w:t>
      </w:r>
      <w:r>
        <w:rPr>
          <w:sz w:val="24"/>
        </w:rPr>
        <w:t>in respect of which a type 1, 2 or 3 </w:t>
      </w:r>
      <w:r>
        <w:rPr>
          <w:i/>
          <w:sz w:val="24"/>
        </w:rPr>
        <w:t>metering </w:t>
      </w:r>
      <w:r>
        <w:rPr>
          <w:i/>
          <w:sz w:val="24"/>
        </w:rPr>
        <w:t>installation </w:t>
      </w:r>
      <w:r>
        <w:rPr>
          <w:sz w:val="24"/>
        </w:rPr>
        <w:t>is installed, or is required to be installed under this</w:t>
      </w:r>
      <w:r>
        <w:rPr>
          <w:spacing w:val="-3"/>
          <w:sz w:val="24"/>
        </w:rPr>
        <w:t> </w:t>
      </w:r>
      <w:r>
        <w:rPr>
          <w:sz w:val="24"/>
        </w:rPr>
        <w:t>Chapter:</w:t>
      </w:r>
    </w:p>
    <w:p>
      <w:pPr>
        <w:pStyle w:val="ListParagraph"/>
        <w:numPr>
          <w:ilvl w:val="1"/>
          <w:numId w:val="480"/>
        </w:numPr>
        <w:tabs>
          <w:tab w:pos="2486" w:val="left" w:leader="none"/>
        </w:tabs>
        <w:spacing w:line="240" w:lineRule="auto" w:before="120" w:after="0"/>
        <w:ind w:left="2486" w:right="417" w:hanging="567"/>
        <w:jc w:val="both"/>
        <w:rPr>
          <w:sz w:val="24"/>
        </w:rPr>
      </w:pPr>
      <w:r>
        <w:rPr>
          <w:sz w:val="24"/>
        </w:rPr>
        <w:t>the </w:t>
      </w:r>
      <w:r>
        <w:rPr>
          <w:i/>
          <w:sz w:val="24"/>
        </w:rPr>
        <w:t>Local Network Service Provider </w:t>
      </w:r>
      <w:r>
        <w:rPr>
          <w:sz w:val="24"/>
        </w:rPr>
        <w:t>is taken to be accredited to provide metering provision services in this jurisdiction (including the services mentioned in the schedules in respect of which a </w:t>
      </w:r>
      <w:r>
        <w:rPr>
          <w:i/>
          <w:sz w:val="24"/>
        </w:rPr>
        <w:t>Metering </w:t>
      </w:r>
      <w:r>
        <w:rPr>
          <w:i/>
          <w:sz w:val="24"/>
        </w:rPr>
        <w:t>Provider </w:t>
      </w:r>
      <w:r>
        <w:rPr>
          <w:sz w:val="24"/>
        </w:rPr>
        <w:t>requires accreditation);</w:t>
      </w:r>
      <w:r>
        <w:rPr>
          <w:spacing w:val="-1"/>
          <w:sz w:val="24"/>
        </w:rPr>
        <w:t> </w:t>
      </w:r>
      <w:r>
        <w:rPr>
          <w:sz w:val="24"/>
        </w:rPr>
        <w:t>and</w:t>
      </w:r>
    </w:p>
    <w:p>
      <w:pPr>
        <w:pStyle w:val="ListParagraph"/>
        <w:numPr>
          <w:ilvl w:val="1"/>
          <w:numId w:val="480"/>
        </w:numPr>
        <w:tabs>
          <w:tab w:pos="2486" w:val="left" w:leader="none"/>
        </w:tabs>
        <w:spacing w:line="240" w:lineRule="auto" w:before="120" w:after="0"/>
        <w:ind w:left="2486" w:right="414" w:hanging="567"/>
        <w:jc w:val="both"/>
        <w:rPr>
          <w:sz w:val="24"/>
        </w:rPr>
      </w:pPr>
      <w:r>
        <w:rPr>
          <w:sz w:val="24"/>
        </w:rPr>
        <w:t>the </w:t>
      </w:r>
      <w:r>
        <w:rPr>
          <w:i/>
          <w:sz w:val="24"/>
        </w:rPr>
        <w:t>Metering Coordinator </w:t>
      </w:r>
      <w:r>
        <w:rPr>
          <w:sz w:val="24"/>
        </w:rPr>
        <w:t>at the </w:t>
      </w:r>
      <w:r>
        <w:rPr>
          <w:i/>
          <w:sz w:val="24"/>
        </w:rPr>
        <w:t>connection point </w:t>
      </w:r>
      <w:r>
        <w:rPr>
          <w:sz w:val="24"/>
        </w:rPr>
        <w:t>is taken to have appointed the </w:t>
      </w:r>
      <w:r>
        <w:rPr>
          <w:i/>
          <w:sz w:val="24"/>
        </w:rPr>
        <w:t>Local Network Service Provider </w:t>
      </w:r>
      <w:r>
        <w:rPr>
          <w:sz w:val="24"/>
        </w:rPr>
        <w:t>as the </w:t>
      </w:r>
      <w:r>
        <w:rPr>
          <w:i/>
          <w:sz w:val="24"/>
        </w:rPr>
        <w:t>Metering </w:t>
      </w:r>
      <w:r>
        <w:rPr>
          <w:i/>
          <w:sz w:val="24"/>
        </w:rPr>
        <w:t>Provider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0"/>
        </w:numPr>
        <w:tabs>
          <w:tab w:pos="1919" w:val="left" w:leader="none"/>
        </w:tabs>
        <w:spacing w:line="240" w:lineRule="auto" w:before="120" w:after="0"/>
        <w:ind w:left="1919" w:right="416" w:hanging="567"/>
        <w:jc w:val="both"/>
        <w:rPr>
          <w:sz w:val="24"/>
        </w:rPr>
      </w:pPr>
      <w:r>
        <w:rPr>
          <w:sz w:val="24"/>
        </w:rPr>
        <w:t>For a </w:t>
      </w:r>
      <w:r>
        <w:rPr>
          <w:i/>
          <w:sz w:val="24"/>
        </w:rPr>
        <w:t>connection point </w:t>
      </w:r>
      <w:r>
        <w:rPr>
          <w:sz w:val="24"/>
        </w:rPr>
        <w:t>in respect of which a type 4, 4A, 5 or 6 </w:t>
      </w:r>
      <w:r>
        <w:rPr>
          <w:i/>
          <w:sz w:val="24"/>
        </w:rPr>
        <w:t>metering </w:t>
      </w:r>
      <w:r>
        <w:rPr>
          <w:i/>
          <w:sz w:val="24"/>
        </w:rPr>
        <w:t>installation </w:t>
      </w:r>
      <w:r>
        <w:rPr>
          <w:sz w:val="24"/>
        </w:rPr>
        <w:t>is installed, or is required to be installed under this</w:t>
      </w:r>
      <w:r>
        <w:rPr>
          <w:spacing w:val="-3"/>
          <w:sz w:val="24"/>
        </w:rPr>
        <w:t> </w:t>
      </w:r>
      <w:r>
        <w:rPr>
          <w:sz w:val="24"/>
        </w:rPr>
        <w:t>Chapter:</w:t>
      </w:r>
    </w:p>
    <w:p>
      <w:pPr>
        <w:pStyle w:val="ListParagraph"/>
        <w:numPr>
          <w:ilvl w:val="1"/>
          <w:numId w:val="480"/>
        </w:numPr>
        <w:tabs>
          <w:tab w:pos="2486" w:val="left" w:leader="none"/>
        </w:tabs>
        <w:spacing w:line="240" w:lineRule="auto" w:before="120" w:after="0"/>
        <w:ind w:left="2486" w:right="417" w:hanging="567"/>
        <w:jc w:val="both"/>
        <w:rPr>
          <w:sz w:val="24"/>
        </w:rPr>
      </w:pPr>
      <w:r>
        <w:rPr>
          <w:sz w:val="24"/>
        </w:rPr>
        <w:t>the </w:t>
      </w:r>
      <w:r>
        <w:rPr>
          <w:i/>
          <w:sz w:val="24"/>
        </w:rPr>
        <w:t>Local Network Service Provider </w:t>
      </w:r>
      <w:r>
        <w:rPr>
          <w:sz w:val="24"/>
        </w:rPr>
        <w:t>is taken to be accredited to provide metering provision services in this jurisdiction (including the services mentioned in the schedules in respect of which a </w:t>
      </w:r>
      <w:r>
        <w:rPr>
          <w:i/>
          <w:sz w:val="24"/>
        </w:rPr>
        <w:t>Metering </w:t>
      </w:r>
      <w:r>
        <w:rPr>
          <w:i/>
          <w:sz w:val="24"/>
        </w:rPr>
        <w:t>Provider </w:t>
      </w:r>
      <w:r>
        <w:rPr>
          <w:sz w:val="24"/>
        </w:rPr>
        <w:t>requires accreditation);</w:t>
      </w:r>
      <w:r>
        <w:rPr>
          <w:spacing w:val="-1"/>
          <w:sz w:val="24"/>
        </w:rPr>
        <w:t> </w:t>
      </w:r>
      <w:r>
        <w:rPr>
          <w:sz w:val="24"/>
        </w:rPr>
        <w:t>and</w:t>
      </w:r>
    </w:p>
    <w:p>
      <w:pPr>
        <w:pStyle w:val="ListParagraph"/>
        <w:numPr>
          <w:ilvl w:val="1"/>
          <w:numId w:val="480"/>
        </w:numPr>
        <w:tabs>
          <w:tab w:pos="2486" w:val="left" w:leader="none"/>
        </w:tabs>
        <w:spacing w:line="240" w:lineRule="auto" w:before="120" w:after="0"/>
        <w:ind w:left="2486" w:right="414" w:hanging="567"/>
        <w:jc w:val="both"/>
        <w:rPr>
          <w:sz w:val="24"/>
        </w:rPr>
      </w:pPr>
      <w:r>
        <w:rPr>
          <w:sz w:val="24"/>
        </w:rPr>
        <w:t>the </w:t>
      </w:r>
      <w:r>
        <w:rPr>
          <w:i/>
          <w:sz w:val="24"/>
        </w:rPr>
        <w:t>Metering Coordinator </w:t>
      </w:r>
      <w:r>
        <w:rPr>
          <w:sz w:val="24"/>
        </w:rPr>
        <w:t>at the </w:t>
      </w:r>
      <w:r>
        <w:rPr>
          <w:i/>
          <w:sz w:val="24"/>
        </w:rPr>
        <w:t>connection point </w:t>
      </w:r>
      <w:r>
        <w:rPr>
          <w:sz w:val="24"/>
        </w:rPr>
        <w:t>is taken to have appointed the </w:t>
      </w:r>
      <w:r>
        <w:rPr>
          <w:i/>
          <w:sz w:val="24"/>
        </w:rPr>
        <w:t>Local Network Service Provider </w:t>
      </w:r>
      <w:r>
        <w:rPr>
          <w:sz w:val="24"/>
        </w:rPr>
        <w:t>as the </w:t>
      </w:r>
      <w:r>
        <w:rPr>
          <w:i/>
          <w:sz w:val="24"/>
        </w:rPr>
        <w:t>Metering </w:t>
      </w:r>
      <w:r>
        <w:rPr>
          <w:i/>
          <w:sz w:val="24"/>
        </w:rPr>
        <w:t>Provider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0"/>
        </w:numPr>
        <w:tabs>
          <w:tab w:pos="1919" w:val="left" w:leader="none"/>
        </w:tabs>
        <w:spacing w:line="240" w:lineRule="auto" w:before="120" w:after="0"/>
        <w:ind w:left="1919" w:right="415" w:hanging="567"/>
        <w:jc w:val="both"/>
        <w:rPr>
          <w:sz w:val="24"/>
        </w:rPr>
      </w:pPr>
      <w:r>
        <w:rPr>
          <w:sz w:val="24"/>
        </w:rPr>
        <w:t>A </w:t>
      </w:r>
      <w:r>
        <w:rPr>
          <w:i/>
          <w:sz w:val="24"/>
        </w:rPr>
        <w:t>Metering Provider </w:t>
      </w:r>
      <w:r>
        <w:rPr>
          <w:sz w:val="24"/>
        </w:rPr>
        <w:t>may, in providing metering provision services under this Chapter, contract with another person to assist it in the provision of those services, provided that person meets all relevant safety and technical requirements in any </w:t>
      </w:r>
      <w:r>
        <w:rPr>
          <w:i/>
          <w:sz w:val="24"/>
        </w:rPr>
        <w:t>applicable regulatory instruments </w:t>
      </w:r>
      <w:r>
        <w:rPr>
          <w:sz w:val="24"/>
        </w:rPr>
        <w:t>or other relevant</w:t>
      </w:r>
      <w:r>
        <w:rPr>
          <w:spacing w:val="-14"/>
          <w:sz w:val="24"/>
        </w:rPr>
        <w:t> </w:t>
      </w:r>
      <w:r>
        <w:rPr>
          <w:sz w:val="24"/>
        </w:rPr>
        <w:t>law.</w:t>
      </w:r>
    </w:p>
    <w:p>
      <w:pPr>
        <w:pStyle w:val="BodyText"/>
        <w:spacing w:before="10"/>
        <w:ind w:firstLine="0"/>
        <w:jc w:val="left"/>
        <w:rPr>
          <w:sz w:val="20"/>
        </w:rPr>
      </w:pPr>
    </w:p>
    <w:p>
      <w:pPr>
        <w:pStyle w:val="Heading4"/>
        <w:tabs>
          <w:tab w:pos="1351" w:val="left" w:leader="none"/>
        </w:tabs>
        <w:ind w:left="218" w:firstLine="0"/>
      </w:pPr>
      <w:bookmarkStart w:name="7A.4.2 Qualification and requirements of" w:id="1731"/>
      <w:bookmarkEnd w:id="1731"/>
      <w:r>
        <w:rPr>
          <w:b w:val="0"/>
        </w:rPr>
      </w:r>
      <w:bookmarkStart w:name="_bookmark691" w:id="1732"/>
      <w:bookmarkEnd w:id="1732"/>
      <w:r>
        <w:rPr>
          <w:b w:val="0"/>
        </w:rPr>
      </w:r>
      <w:r>
        <w:rPr/>
        <w:t>7A.4.2</w:t>
        <w:tab/>
        <w:t>Qualification and requirements of Metering Data</w:t>
      </w:r>
      <w:r>
        <w:rPr>
          <w:spacing w:val="-7"/>
        </w:rPr>
        <w:t> </w:t>
      </w:r>
      <w:r>
        <w:rPr/>
        <w:t>Providers</w:t>
      </w:r>
    </w:p>
    <w:p>
      <w:pPr>
        <w:pStyle w:val="ListParagraph"/>
        <w:numPr>
          <w:ilvl w:val="0"/>
          <w:numId w:val="481"/>
        </w:numPr>
        <w:tabs>
          <w:tab w:pos="1919" w:val="left" w:leader="none"/>
        </w:tabs>
        <w:spacing w:line="240" w:lineRule="auto" w:before="120" w:after="0"/>
        <w:ind w:left="1918" w:right="0" w:hanging="567"/>
        <w:jc w:val="both"/>
        <w:rPr>
          <w:sz w:val="24"/>
        </w:rPr>
      </w:pPr>
      <w:r>
        <w:rPr>
          <w:sz w:val="24"/>
        </w:rPr>
        <w:t>This clause applies in respect of the </w:t>
      </w:r>
      <w:r>
        <w:rPr>
          <w:i/>
          <w:sz w:val="24"/>
        </w:rPr>
        <w:t>1st regulatory control</w:t>
      </w:r>
      <w:r>
        <w:rPr>
          <w:i/>
          <w:spacing w:val="-3"/>
          <w:sz w:val="24"/>
        </w:rPr>
        <w:t> </w:t>
      </w:r>
      <w:r>
        <w:rPr>
          <w:i/>
          <w:sz w:val="24"/>
        </w:rPr>
        <w:t>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0" w:firstLine="0"/>
        <w:jc w:val="left"/>
        <w:rPr>
          <w:sz w:val="20"/>
        </w:rPr>
      </w:pPr>
      <w:r>
        <w:rPr>
          <w:sz w:val="20"/>
        </w:rPr>
        <w:t>The application of this clause in respect of subsequent </w:t>
      </w:r>
      <w:r>
        <w:rPr>
          <w:i/>
          <w:sz w:val="20"/>
        </w:rPr>
        <w:t>regulatory control periods </w:t>
      </w:r>
      <w:r>
        <w:rPr>
          <w:sz w:val="20"/>
        </w:rPr>
        <w:t>will be considered as part of the phased implementation of the </w:t>
      </w:r>
      <w:r>
        <w:rPr>
          <w:i/>
          <w:sz w:val="20"/>
        </w:rPr>
        <w:t>Rules </w:t>
      </w:r>
      <w:r>
        <w:rPr>
          <w:sz w:val="20"/>
        </w:rPr>
        <w:t>in this jurisdiction.</w:t>
      </w:r>
    </w:p>
    <w:p>
      <w:pPr>
        <w:pStyle w:val="ListParagraph"/>
        <w:numPr>
          <w:ilvl w:val="0"/>
          <w:numId w:val="481"/>
        </w:numPr>
        <w:tabs>
          <w:tab w:pos="1918" w:val="left" w:leader="none"/>
          <w:tab w:pos="1919" w:val="left" w:leader="none"/>
        </w:tabs>
        <w:spacing w:line="240" w:lineRule="auto" w:before="120" w:after="0"/>
        <w:ind w:left="1919" w:right="415" w:hanging="567"/>
        <w:jc w:val="left"/>
        <w:rPr>
          <w:sz w:val="24"/>
        </w:rPr>
      </w:pPr>
      <w:r>
        <w:rPr>
          <w:sz w:val="24"/>
        </w:rPr>
        <w:t>A </w:t>
      </w:r>
      <w:r>
        <w:rPr>
          <w:i/>
          <w:sz w:val="24"/>
        </w:rPr>
        <w:t>Metering Data Provider </w:t>
      </w:r>
      <w:r>
        <w:rPr>
          <w:sz w:val="24"/>
        </w:rPr>
        <w:t>must have an ISO 9000 series quality system in place.</w:t>
      </w:r>
    </w:p>
    <w:p>
      <w:pPr>
        <w:pStyle w:val="ListParagraph"/>
        <w:numPr>
          <w:ilvl w:val="0"/>
          <w:numId w:val="481"/>
        </w:numPr>
        <w:tabs>
          <w:tab w:pos="1918" w:val="left" w:leader="none"/>
          <w:tab w:pos="1919" w:val="left" w:leader="none"/>
        </w:tabs>
        <w:spacing w:line="240" w:lineRule="auto" w:before="120" w:after="0"/>
        <w:ind w:left="1919" w:right="416" w:hanging="567"/>
        <w:jc w:val="left"/>
        <w:rPr>
          <w:sz w:val="24"/>
        </w:rPr>
      </w:pPr>
      <w:r>
        <w:rPr>
          <w:sz w:val="24"/>
        </w:rPr>
        <w:t>For a </w:t>
      </w:r>
      <w:r>
        <w:rPr>
          <w:i/>
          <w:sz w:val="24"/>
        </w:rPr>
        <w:t>connection point </w:t>
      </w:r>
      <w:r>
        <w:rPr>
          <w:sz w:val="24"/>
        </w:rPr>
        <w:t>in respect of which a type 1, 2 or 3 </w:t>
      </w:r>
      <w:r>
        <w:rPr>
          <w:i/>
          <w:sz w:val="24"/>
        </w:rPr>
        <w:t>metering </w:t>
      </w:r>
      <w:r>
        <w:rPr>
          <w:i/>
          <w:sz w:val="24"/>
        </w:rPr>
        <w:t>installation </w:t>
      </w:r>
      <w:r>
        <w:rPr>
          <w:sz w:val="24"/>
        </w:rPr>
        <w:t>is installed, or is required to be installed under this</w:t>
      </w:r>
      <w:r>
        <w:rPr>
          <w:spacing w:val="-3"/>
          <w:sz w:val="24"/>
        </w:rPr>
        <w:t> </w:t>
      </w:r>
      <w:r>
        <w:rPr>
          <w:sz w:val="24"/>
        </w:rPr>
        <w:t>Chapter:</w:t>
      </w:r>
    </w:p>
    <w:p>
      <w:pPr>
        <w:spacing w:after="0" w:line="240" w:lineRule="auto"/>
        <w:jc w:val="left"/>
        <w:rPr>
          <w:sz w:val="24"/>
        </w:rPr>
        <w:sectPr>
          <w:pgSz w:w="11910" w:h="16840"/>
          <w:pgMar w:header="686" w:footer="637" w:top="1320" w:bottom="820" w:left="1200" w:right="1000"/>
        </w:sectPr>
      </w:pPr>
    </w:p>
    <w:p>
      <w:pPr>
        <w:pStyle w:val="ListParagraph"/>
        <w:numPr>
          <w:ilvl w:val="1"/>
          <w:numId w:val="481"/>
        </w:numPr>
        <w:tabs>
          <w:tab w:pos="2486" w:val="left" w:leader="none"/>
        </w:tabs>
        <w:spacing w:line="240" w:lineRule="auto" w:before="83" w:after="0"/>
        <w:ind w:left="2486" w:right="417" w:hanging="567"/>
        <w:jc w:val="both"/>
        <w:rPr>
          <w:sz w:val="24"/>
        </w:rPr>
      </w:pPr>
      <w:r>
        <w:rPr>
          <w:sz w:val="24"/>
        </w:rPr>
        <w:t>the </w:t>
      </w:r>
      <w:r>
        <w:rPr>
          <w:i/>
          <w:sz w:val="24"/>
        </w:rPr>
        <w:t>Local Network Service Provider </w:t>
      </w:r>
      <w:r>
        <w:rPr>
          <w:sz w:val="24"/>
        </w:rPr>
        <w:t>is taken to be accredited to provide </w:t>
      </w:r>
      <w:r>
        <w:rPr>
          <w:i/>
          <w:sz w:val="24"/>
        </w:rPr>
        <w:t>metering data services </w:t>
      </w:r>
      <w:r>
        <w:rPr>
          <w:sz w:val="24"/>
        </w:rPr>
        <w:t>in this jurisdiction (including the services mentioned in the schedules in respect of which a </w:t>
      </w:r>
      <w:r>
        <w:rPr>
          <w:i/>
          <w:sz w:val="24"/>
        </w:rPr>
        <w:t>Metering </w:t>
      </w:r>
      <w:r>
        <w:rPr>
          <w:i/>
          <w:sz w:val="24"/>
        </w:rPr>
        <w:t>Data Provider </w:t>
      </w:r>
      <w:r>
        <w:rPr>
          <w:sz w:val="24"/>
        </w:rPr>
        <w:t>requires accreditation);</w:t>
      </w:r>
      <w:r>
        <w:rPr>
          <w:spacing w:val="-2"/>
          <w:sz w:val="24"/>
        </w:rPr>
        <w:t> </w:t>
      </w:r>
      <w:r>
        <w:rPr>
          <w:sz w:val="24"/>
        </w:rPr>
        <w:t>and</w:t>
      </w:r>
    </w:p>
    <w:p>
      <w:pPr>
        <w:pStyle w:val="ListParagraph"/>
        <w:numPr>
          <w:ilvl w:val="1"/>
          <w:numId w:val="481"/>
        </w:numPr>
        <w:tabs>
          <w:tab w:pos="2486" w:val="left" w:leader="none"/>
        </w:tabs>
        <w:spacing w:line="240" w:lineRule="auto" w:before="120" w:after="0"/>
        <w:ind w:left="2486" w:right="414" w:hanging="567"/>
        <w:jc w:val="both"/>
        <w:rPr>
          <w:sz w:val="24"/>
        </w:rPr>
      </w:pPr>
      <w:r>
        <w:rPr>
          <w:sz w:val="24"/>
        </w:rPr>
        <w:t>the </w:t>
      </w:r>
      <w:r>
        <w:rPr>
          <w:i/>
          <w:sz w:val="24"/>
        </w:rPr>
        <w:t>Metering Coordinator </w:t>
      </w:r>
      <w:r>
        <w:rPr>
          <w:sz w:val="24"/>
        </w:rPr>
        <w:t>at the </w:t>
      </w:r>
      <w:r>
        <w:rPr>
          <w:i/>
          <w:sz w:val="24"/>
        </w:rPr>
        <w:t>connection point </w:t>
      </w:r>
      <w:r>
        <w:rPr>
          <w:sz w:val="24"/>
        </w:rPr>
        <w:t>is taken to have appointed the </w:t>
      </w:r>
      <w:r>
        <w:rPr>
          <w:i/>
          <w:sz w:val="24"/>
        </w:rPr>
        <w:t>Local Network Service Provider </w:t>
      </w:r>
      <w:r>
        <w:rPr>
          <w:sz w:val="24"/>
        </w:rPr>
        <w:t>as the </w:t>
      </w:r>
      <w:r>
        <w:rPr>
          <w:i/>
          <w:sz w:val="24"/>
        </w:rPr>
        <w:t>Metering Data </w:t>
      </w:r>
      <w:r>
        <w:rPr>
          <w:i/>
          <w:sz w:val="24"/>
        </w:rPr>
        <w:t>Provider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1"/>
        </w:numPr>
        <w:tabs>
          <w:tab w:pos="1919" w:val="left" w:leader="none"/>
        </w:tabs>
        <w:spacing w:line="240" w:lineRule="auto" w:before="120" w:after="0"/>
        <w:ind w:left="1919" w:right="416" w:hanging="567"/>
        <w:jc w:val="both"/>
        <w:rPr>
          <w:sz w:val="24"/>
        </w:rPr>
      </w:pPr>
      <w:r>
        <w:rPr>
          <w:sz w:val="24"/>
        </w:rPr>
        <w:t>For a </w:t>
      </w:r>
      <w:r>
        <w:rPr>
          <w:i/>
          <w:sz w:val="24"/>
        </w:rPr>
        <w:t>connection point </w:t>
      </w:r>
      <w:r>
        <w:rPr>
          <w:sz w:val="24"/>
        </w:rPr>
        <w:t>in respect of which a type 4, 4A, 5, 6 or 7 </w:t>
      </w:r>
      <w:r>
        <w:rPr>
          <w:i/>
          <w:sz w:val="24"/>
        </w:rPr>
        <w:t>metering </w:t>
      </w:r>
      <w:r>
        <w:rPr>
          <w:i/>
          <w:sz w:val="24"/>
        </w:rPr>
        <w:t>installation </w:t>
      </w:r>
      <w:r>
        <w:rPr>
          <w:sz w:val="24"/>
        </w:rPr>
        <w:t>is installed, or is required to be installed under this</w:t>
      </w:r>
      <w:r>
        <w:rPr>
          <w:spacing w:val="-3"/>
          <w:sz w:val="24"/>
        </w:rPr>
        <w:t> </w:t>
      </w:r>
      <w:r>
        <w:rPr>
          <w:sz w:val="24"/>
        </w:rPr>
        <w:t>Chapter:</w:t>
      </w:r>
    </w:p>
    <w:p>
      <w:pPr>
        <w:pStyle w:val="ListParagraph"/>
        <w:numPr>
          <w:ilvl w:val="1"/>
          <w:numId w:val="481"/>
        </w:numPr>
        <w:tabs>
          <w:tab w:pos="2486" w:val="left" w:leader="none"/>
        </w:tabs>
        <w:spacing w:line="240" w:lineRule="auto" w:before="120" w:after="0"/>
        <w:ind w:left="2486" w:right="417" w:hanging="567"/>
        <w:jc w:val="both"/>
        <w:rPr>
          <w:sz w:val="24"/>
        </w:rPr>
      </w:pPr>
      <w:r>
        <w:rPr>
          <w:sz w:val="24"/>
        </w:rPr>
        <w:t>the </w:t>
      </w:r>
      <w:r>
        <w:rPr>
          <w:i/>
          <w:sz w:val="24"/>
        </w:rPr>
        <w:t>Local Network Service Provider </w:t>
      </w:r>
      <w:r>
        <w:rPr>
          <w:sz w:val="24"/>
        </w:rPr>
        <w:t>is taken to be accredited to provide </w:t>
      </w:r>
      <w:r>
        <w:rPr>
          <w:i/>
          <w:sz w:val="24"/>
        </w:rPr>
        <w:t>metering data services </w:t>
      </w:r>
      <w:r>
        <w:rPr>
          <w:sz w:val="24"/>
        </w:rPr>
        <w:t>in this jurisdiction (including the services mentioned in the schedules in respect of which a </w:t>
      </w:r>
      <w:r>
        <w:rPr>
          <w:i/>
          <w:sz w:val="24"/>
        </w:rPr>
        <w:t>Metering </w:t>
      </w:r>
      <w:r>
        <w:rPr>
          <w:i/>
          <w:sz w:val="24"/>
        </w:rPr>
        <w:t>Data Provider </w:t>
      </w:r>
      <w:r>
        <w:rPr>
          <w:sz w:val="24"/>
        </w:rPr>
        <w:t>requires accreditation);</w:t>
      </w:r>
      <w:r>
        <w:rPr>
          <w:spacing w:val="-2"/>
          <w:sz w:val="24"/>
        </w:rPr>
        <w:t> </w:t>
      </w:r>
      <w:r>
        <w:rPr>
          <w:sz w:val="24"/>
        </w:rPr>
        <w:t>and</w:t>
      </w:r>
    </w:p>
    <w:p>
      <w:pPr>
        <w:pStyle w:val="ListParagraph"/>
        <w:numPr>
          <w:ilvl w:val="1"/>
          <w:numId w:val="481"/>
        </w:numPr>
        <w:tabs>
          <w:tab w:pos="2486" w:val="left" w:leader="none"/>
        </w:tabs>
        <w:spacing w:line="240" w:lineRule="auto" w:before="120" w:after="0"/>
        <w:ind w:left="2486" w:right="414" w:hanging="567"/>
        <w:jc w:val="both"/>
        <w:rPr>
          <w:sz w:val="24"/>
        </w:rPr>
      </w:pPr>
      <w:r>
        <w:rPr>
          <w:sz w:val="24"/>
        </w:rPr>
        <w:t>the </w:t>
      </w:r>
      <w:r>
        <w:rPr>
          <w:i/>
          <w:sz w:val="24"/>
        </w:rPr>
        <w:t>Metering Coordinator </w:t>
      </w:r>
      <w:r>
        <w:rPr>
          <w:sz w:val="24"/>
        </w:rPr>
        <w:t>at the </w:t>
      </w:r>
      <w:r>
        <w:rPr>
          <w:i/>
          <w:sz w:val="24"/>
        </w:rPr>
        <w:t>connection point </w:t>
      </w:r>
      <w:r>
        <w:rPr>
          <w:sz w:val="24"/>
        </w:rPr>
        <w:t>is taken to have appointed the </w:t>
      </w:r>
      <w:r>
        <w:rPr>
          <w:i/>
          <w:sz w:val="24"/>
        </w:rPr>
        <w:t>Local Network Service Provider </w:t>
      </w:r>
      <w:r>
        <w:rPr>
          <w:sz w:val="24"/>
        </w:rPr>
        <w:t>as the </w:t>
      </w:r>
      <w:r>
        <w:rPr>
          <w:i/>
          <w:sz w:val="24"/>
        </w:rPr>
        <w:t>Metering Data </w:t>
      </w:r>
      <w:r>
        <w:rPr>
          <w:i/>
          <w:sz w:val="24"/>
        </w:rPr>
        <w:t>Provider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1"/>
        </w:numPr>
        <w:tabs>
          <w:tab w:pos="1919" w:val="left" w:leader="none"/>
        </w:tabs>
        <w:spacing w:line="240" w:lineRule="auto" w:before="120" w:after="0"/>
        <w:ind w:left="1919" w:right="415" w:hanging="567"/>
        <w:jc w:val="both"/>
        <w:rPr>
          <w:sz w:val="24"/>
        </w:rPr>
      </w:pPr>
      <w:r>
        <w:rPr>
          <w:sz w:val="24"/>
        </w:rPr>
        <w:t>A </w:t>
      </w:r>
      <w:r>
        <w:rPr>
          <w:i/>
          <w:sz w:val="24"/>
        </w:rPr>
        <w:t>Metering Data Provider </w:t>
      </w:r>
      <w:r>
        <w:rPr>
          <w:sz w:val="24"/>
        </w:rPr>
        <w:t>may, in providing </w:t>
      </w:r>
      <w:r>
        <w:rPr>
          <w:i/>
          <w:sz w:val="24"/>
        </w:rPr>
        <w:t>metering data services </w:t>
      </w:r>
      <w:r>
        <w:rPr>
          <w:sz w:val="24"/>
        </w:rPr>
        <w:t>under this Chapter, contract with another person to assist it in the provision of those services, provided that person meets all relevant safety and technical requirements in any </w:t>
      </w:r>
      <w:r>
        <w:rPr>
          <w:i/>
          <w:sz w:val="24"/>
        </w:rPr>
        <w:t>applicable regulatory instrument </w:t>
      </w:r>
      <w:r>
        <w:rPr>
          <w:sz w:val="24"/>
        </w:rPr>
        <w:t>or other relevant</w:t>
      </w:r>
      <w:r>
        <w:rPr>
          <w:spacing w:val="-12"/>
          <w:sz w:val="24"/>
        </w:rPr>
        <w:t> </w:t>
      </w:r>
      <w:r>
        <w:rPr>
          <w:sz w:val="24"/>
        </w:rPr>
        <w:t>law.</w:t>
      </w:r>
    </w:p>
    <w:p>
      <w:pPr>
        <w:pStyle w:val="BodyText"/>
        <w:spacing w:before="10"/>
        <w:ind w:firstLine="0"/>
        <w:jc w:val="left"/>
        <w:rPr>
          <w:sz w:val="20"/>
        </w:rPr>
      </w:pPr>
    </w:p>
    <w:p>
      <w:pPr>
        <w:pStyle w:val="Heading2"/>
        <w:tabs>
          <w:tab w:pos="1352" w:val="left" w:leader="none"/>
          <w:tab w:pos="9317" w:val="left" w:leader="none"/>
        </w:tabs>
      </w:pPr>
      <w:bookmarkStart w:name="Part C Appointment of Metering Coordinat" w:id="1733"/>
      <w:bookmarkEnd w:id="1733"/>
      <w:r>
        <w:rPr>
          <w:b w:val="0"/>
        </w:rPr>
      </w:r>
      <w:bookmarkStart w:name="_bookmark692" w:id="1734"/>
      <w:bookmarkEnd w:id="1734"/>
      <w:r>
        <w:rPr>
          <w:b w:val="0"/>
        </w:rPr>
      </w:r>
      <w:r>
        <w:rPr>
          <w:shd w:fill="D9D9D9" w:color="auto" w:val="clear"/>
        </w:rPr>
        <w:t>Part C</w:t>
        <w:tab/>
        <w:t>Appointment of Metering</w:t>
      </w:r>
      <w:r>
        <w:rPr>
          <w:spacing w:val="-18"/>
          <w:shd w:fill="D9D9D9" w:color="auto" w:val="clear"/>
        </w:rPr>
        <w:t> </w:t>
      </w:r>
      <w:r>
        <w:rPr>
          <w:shd w:fill="D9D9D9" w:color="auto" w:val="clear"/>
        </w:rPr>
        <w:t>Coordinator</w:t>
        <w:tab/>
      </w:r>
    </w:p>
    <w:p>
      <w:pPr>
        <w:pStyle w:val="Heading3"/>
        <w:tabs>
          <w:tab w:pos="1351" w:val="left" w:leader="none"/>
        </w:tabs>
        <w:spacing w:before="240"/>
        <w:ind w:left="218" w:firstLine="0"/>
      </w:pPr>
      <w:bookmarkStart w:name="7A.5 Appointment of Metering Coordinator" w:id="1735"/>
      <w:bookmarkEnd w:id="1735"/>
      <w:r>
        <w:rPr>
          <w:b w:val="0"/>
        </w:rPr>
      </w:r>
      <w:bookmarkStart w:name="_bookmark693" w:id="1736"/>
      <w:bookmarkEnd w:id="1736"/>
      <w:r>
        <w:rPr>
          <w:b w:val="0"/>
        </w:rPr>
      </w:r>
      <w:r>
        <w:rPr/>
        <w:t>7A.5</w:t>
        <w:tab/>
        <w:t>Appointment of Metering</w:t>
      </w:r>
      <w:r>
        <w:rPr>
          <w:spacing w:val="-2"/>
        </w:rPr>
        <w:t> </w:t>
      </w:r>
      <w:r>
        <w:rPr/>
        <w:t>Coordinator</w:t>
      </w:r>
    </w:p>
    <w:p>
      <w:pPr>
        <w:pStyle w:val="ListParagraph"/>
        <w:numPr>
          <w:ilvl w:val="0"/>
          <w:numId w:val="482"/>
        </w:numPr>
        <w:tabs>
          <w:tab w:pos="566" w:val="left" w:leader="none"/>
          <w:tab w:pos="1919" w:val="left" w:leader="none"/>
        </w:tabs>
        <w:spacing w:line="240" w:lineRule="auto" w:before="120" w:after="0"/>
        <w:ind w:left="1918" w:right="321" w:hanging="1919"/>
        <w:jc w:val="left"/>
        <w:rPr>
          <w:sz w:val="24"/>
        </w:rPr>
      </w:pPr>
      <w:r>
        <w:rPr>
          <w:sz w:val="24"/>
        </w:rPr>
        <w:t>This rule applies in respect of the </w:t>
      </w:r>
      <w:r>
        <w:rPr>
          <w:i/>
          <w:sz w:val="24"/>
        </w:rPr>
        <w:t>1st regulatory control</w:t>
      </w:r>
      <w:r>
        <w:rPr>
          <w:i/>
          <w:spacing w:val="-3"/>
          <w:sz w:val="24"/>
        </w:rPr>
        <w:t> </w:t>
      </w:r>
      <w:r>
        <w:rPr>
          <w:i/>
          <w:sz w:val="24"/>
        </w:rPr>
        <w:t>period</w:t>
      </w:r>
      <w:r>
        <w:rPr>
          <w:sz w:val="24"/>
        </w:rPr>
        <w:t>.</w:t>
      </w:r>
    </w:p>
    <w:p>
      <w:pPr>
        <w:spacing w:before="120"/>
        <w:ind w:left="1919" w:right="0" w:firstLine="0"/>
        <w:jc w:val="left"/>
        <w:rPr>
          <w:rFonts w:ascii="Arial"/>
          <w:b/>
          <w:sz w:val="20"/>
        </w:rPr>
      </w:pPr>
      <w:r>
        <w:rPr>
          <w:rFonts w:ascii="Arial"/>
          <w:b/>
          <w:sz w:val="20"/>
        </w:rPr>
        <w:t>Note:</w:t>
      </w:r>
    </w:p>
    <w:p>
      <w:pPr>
        <w:spacing w:before="120"/>
        <w:ind w:left="1919" w:right="416" w:firstLine="0"/>
        <w:jc w:val="both"/>
        <w:rPr>
          <w:sz w:val="20"/>
        </w:rPr>
      </w:pPr>
      <w:r>
        <w:rPr>
          <w:sz w:val="20"/>
        </w:rPr>
        <w:t>The application of this rule in respect of subsequent </w:t>
      </w:r>
      <w:r>
        <w:rPr>
          <w:i/>
          <w:sz w:val="20"/>
        </w:rPr>
        <w:t>regulatory control periods </w:t>
      </w:r>
      <w:r>
        <w:rPr>
          <w:sz w:val="20"/>
        </w:rPr>
        <w:t>will be considered as part of the phased implementation of the </w:t>
      </w:r>
      <w:r>
        <w:rPr>
          <w:i/>
          <w:sz w:val="20"/>
        </w:rPr>
        <w:t>Rules </w:t>
      </w:r>
      <w:r>
        <w:rPr>
          <w:sz w:val="20"/>
        </w:rPr>
        <w:t>in this jurisdiction.</w:t>
      </w:r>
    </w:p>
    <w:p>
      <w:pPr>
        <w:pStyle w:val="ListParagraph"/>
        <w:numPr>
          <w:ilvl w:val="0"/>
          <w:numId w:val="482"/>
        </w:numPr>
        <w:tabs>
          <w:tab w:pos="1919" w:val="left" w:leader="none"/>
        </w:tabs>
        <w:spacing w:line="240" w:lineRule="auto" w:before="120" w:after="0"/>
        <w:ind w:left="1919" w:right="415" w:hanging="567"/>
        <w:jc w:val="both"/>
        <w:rPr>
          <w:sz w:val="24"/>
        </w:rPr>
      </w:pPr>
      <w:r>
        <w:rPr>
          <w:sz w:val="24"/>
        </w:rPr>
        <w:t>For a </w:t>
      </w:r>
      <w:r>
        <w:rPr>
          <w:i/>
          <w:sz w:val="24"/>
        </w:rPr>
        <w:t>connection point </w:t>
      </w:r>
      <w:r>
        <w:rPr>
          <w:sz w:val="24"/>
        </w:rPr>
        <w:t>in respect of which a type 1, 2 or 3 </w:t>
      </w:r>
      <w:r>
        <w:rPr>
          <w:i/>
          <w:sz w:val="24"/>
        </w:rPr>
        <w:t>metering </w:t>
      </w:r>
      <w:r>
        <w:rPr>
          <w:i/>
          <w:sz w:val="24"/>
        </w:rPr>
        <w:t>installation </w:t>
      </w:r>
      <w:r>
        <w:rPr>
          <w:sz w:val="24"/>
        </w:rPr>
        <w:t>is installed, or is required to be installed under this Chapter, the financially responsible participant for the </w:t>
      </w:r>
      <w:r>
        <w:rPr>
          <w:i/>
          <w:sz w:val="24"/>
        </w:rPr>
        <w:t>connection point </w:t>
      </w:r>
      <w:r>
        <w:rPr>
          <w:sz w:val="24"/>
        </w:rPr>
        <w:t>is taken to have appointed the </w:t>
      </w:r>
      <w:r>
        <w:rPr>
          <w:i/>
          <w:sz w:val="24"/>
        </w:rPr>
        <w:t>Local Network Service Provider </w:t>
      </w:r>
      <w:r>
        <w:rPr>
          <w:sz w:val="24"/>
        </w:rPr>
        <w:t>as the </w:t>
      </w:r>
      <w:r>
        <w:rPr>
          <w:i/>
          <w:sz w:val="24"/>
        </w:rPr>
        <w:t>Metering Coordinator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2"/>
        </w:numPr>
        <w:tabs>
          <w:tab w:pos="1919" w:val="left" w:leader="none"/>
        </w:tabs>
        <w:spacing w:line="240" w:lineRule="auto" w:before="120" w:after="0"/>
        <w:ind w:left="1919" w:right="415" w:hanging="567"/>
        <w:jc w:val="both"/>
        <w:rPr>
          <w:sz w:val="24"/>
        </w:rPr>
      </w:pPr>
      <w:r>
        <w:rPr>
          <w:sz w:val="24"/>
        </w:rPr>
        <w:t>For a </w:t>
      </w:r>
      <w:r>
        <w:rPr>
          <w:i/>
          <w:sz w:val="24"/>
        </w:rPr>
        <w:t>connection point </w:t>
      </w:r>
      <w:r>
        <w:rPr>
          <w:sz w:val="24"/>
        </w:rPr>
        <w:t>in respect of which a type 4, 4A, 5 or 6 </w:t>
      </w:r>
      <w:r>
        <w:rPr>
          <w:i/>
          <w:sz w:val="24"/>
        </w:rPr>
        <w:t>metering </w:t>
      </w:r>
      <w:r>
        <w:rPr>
          <w:i/>
          <w:sz w:val="24"/>
        </w:rPr>
        <w:t>installation </w:t>
      </w:r>
      <w:r>
        <w:rPr>
          <w:sz w:val="24"/>
        </w:rPr>
        <w:t>is installed, or is required to be installed under this Chapter, the financially responsible participant for the </w:t>
      </w:r>
      <w:r>
        <w:rPr>
          <w:i/>
          <w:sz w:val="24"/>
        </w:rPr>
        <w:t>connection point </w:t>
      </w:r>
      <w:r>
        <w:rPr>
          <w:sz w:val="24"/>
        </w:rPr>
        <w:t>is taken to have appointed the </w:t>
      </w:r>
      <w:r>
        <w:rPr>
          <w:i/>
          <w:sz w:val="24"/>
        </w:rPr>
        <w:t>Local Network Service Provider </w:t>
      </w:r>
      <w:r>
        <w:rPr>
          <w:sz w:val="24"/>
        </w:rPr>
        <w:t>as the </w:t>
      </w:r>
      <w:r>
        <w:rPr>
          <w:i/>
          <w:sz w:val="24"/>
        </w:rPr>
        <w:t>Metering Coordinator </w:t>
      </w:r>
      <w:r>
        <w:rPr>
          <w:sz w:val="24"/>
        </w:rPr>
        <w:t>for the </w:t>
      </w:r>
      <w:r>
        <w:rPr>
          <w:i/>
          <w:sz w:val="24"/>
        </w:rPr>
        <w:t>connection</w:t>
      </w:r>
      <w:r>
        <w:rPr>
          <w:i/>
          <w:spacing w:val="-1"/>
          <w:sz w:val="24"/>
        </w:rPr>
        <w:t> </w:t>
      </w:r>
      <w:r>
        <w:rPr>
          <w:i/>
          <w:sz w:val="24"/>
        </w:rPr>
        <w:t>point</w:t>
      </w:r>
      <w:r>
        <w:rPr>
          <w:sz w:val="24"/>
        </w:rPr>
        <w:t>.</w:t>
      </w:r>
    </w:p>
    <w:p>
      <w:pPr>
        <w:pStyle w:val="ListParagraph"/>
        <w:numPr>
          <w:ilvl w:val="0"/>
          <w:numId w:val="482"/>
        </w:numPr>
        <w:tabs>
          <w:tab w:pos="1919" w:val="left" w:leader="none"/>
        </w:tabs>
        <w:spacing w:line="240" w:lineRule="auto" w:before="120" w:after="0"/>
        <w:ind w:left="1919" w:right="415" w:hanging="567"/>
        <w:jc w:val="both"/>
        <w:rPr>
          <w:sz w:val="24"/>
        </w:rPr>
      </w:pPr>
      <w:r>
        <w:rPr>
          <w:sz w:val="24"/>
        </w:rPr>
        <w:t>For a </w:t>
      </w:r>
      <w:r>
        <w:rPr>
          <w:i/>
          <w:sz w:val="24"/>
        </w:rPr>
        <w:t>connection point </w:t>
      </w:r>
      <w:r>
        <w:rPr>
          <w:sz w:val="24"/>
        </w:rPr>
        <w:t>with a type 7 </w:t>
      </w:r>
      <w:r>
        <w:rPr>
          <w:i/>
          <w:sz w:val="24"/>
        </w:rPr>
        <w:t>metering installation</w:t>
      </w:r>
      <w:r>
        <w:rPr>
          <w:sz w:val="24"/>
        </w:rPr>
        <w:t>, the financially responsible participant for the </w:t>
      </w:r>
      <w:r>
        <w:rPr>
          <w:i/>
          <w:sz w:val="24"/>
        </w:rPr>
        <w:t>connection point </w:t>
      </w:r>
      <w:r>
        <w:rPr>
          <w:sz w:val="24"/>
        </w:rPr>
        <w:t>is taken to have appointed the </w:t>
      </w:r>
      <w:r>
        <w:rPr>
          <w:i/>
          <w:sz w:val="24"/>
        </w:rPr>
        <w:t>Local Network Service Provider </w:t>
      </w:r>
      <w:r>
        <w:rPr>
          <w:sz w:val="24"/>
        </w:rPr>
        <w:t>as the </w:t>
      </w:r>
      <w:r>
        <w:rPr>
          <w:i/>
          <w:sz w:val="24"/>
        </w:rPr>
        <w:t>Metering Coordinator </w:t>
      </w:r>
      <w:r>
        <w:rPr>
          <w:sz w:val="24"/>
        </w:rPr>
        <w:t>for the </w:t>
      </w:r>
      <w:r>
        <w:rPr>
          <w:i/>
          <w:sz w:val="24"/>
        </w:rPr>
        <w:t>connection</w:t>
      </w:r>
      <w:r>
        <w:rPr>
          <w:i/>
          <w:spacing w:val="-1"/>
          <w:sz w:val="24"/>
        </w:rPr>
        <w:t> </w:t>
      </w:r>
      <w:r>
        <w:rPr>
          <w:i/>
          <w:sz w:val="24"/>
        </w:rPr>
        <w:t>point</w:t>
      </w:r>
      <w:r>
        <w:rPr>
          <w:sz w:val="24"/>
        </w:rPr>
        <w:t>.</w:t>
      </w:r>
    </w:p>
    <w:p>
      <w:pPr>
        <w:spacing w:after="0" w:line="240" w:lineRule="auto"/>
        <w:jc w:val="both"/>
        <w:rPr>
          <w:sz w:val="24"/>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D Metering installation" w:id="1737"/>
      <w:bookmarkEnd w:id="1737"/>
      <w:r>
        <w:rPr>
          <w:b w:val="0"/>
        </w:rPr>
      </w:r>
      <w:bookmarkStart w:name="_bookmark694" w:id="1738"/>
      <w:bookmarkEnd w:id="1738"/>
      <w:r>
        <w:rPr>
          <w:b w:val="0"/>
        </w:rPr>
      </w:r>
      <w:r>
        <w:rPr>
          <w:shd w:fill="D9D9D9" w:color="auto" w:val="clear"/>
        </w:rPr>
        <w:t>Part D</w:t>
        <w:tab/>
        <w:t>Metering</w:t>
      </w:r>
      <w:r>
        <w:rPr>
          <w:spacing w:val="-1"/>
          <w:shd w:fill="D9D9D9" w:color="auto" w:val="clear"/>
        </w:rPr>
        <w:t> </w:t>
      </w:r>
      <w:r>
        <w:rPr>
          <w:shd w:fill="D9D9D9" w:color="auto" w:val="clear"/>
        </w:rPr>
        <w:t>installation</w:t>
        <w:tab/>
      </w:r>
    </w:p>
    <w:p>
      <w:pPr>
        <w:pStyle w:val="Heading3"/>
        <w:tabs>
          <w:tab w:pos="1351" w:val="left" w:leader="none"/>
        </w:tabs>
        <w:spacing w:before="240"/>
        <w:ind w:left="218" w:firstLine="0"/>
      </w:pPr>
      <w:bookmarkStart w:name="7A.6 Metering installation arrangement" w:id="1739"/>
      <w:bookmarkEnd w:id="1739"/>
      <w:r>
        <w:rPr>
          <w:b w:val="0"/>
        </w:rPr>
      </w:r>
      <w:bookmarkStart w:name="_bookmark695" w:id="1740"/>
      <w:bookmarkEnd w:id="1740"/>
      <w:r>
        <w:rPr>
          <w:b w:val="0"/>
        </w:rPr>
      </w:r>
      <w:r>
        <w:rPr/>
        <w:t>7A.6</w:t>
        <w:tab/>
        <w:t>Metering installation</w:t>
      </w:r>
      <w:r>
        <w:rPr>
          <w:spacing w:val="-2"/>
        </w:rPr>
        <w:t> </w:t>
      </w:r>
      <w:r>
        <w:rPr/>
        <w:t>arrangement</w:t>
      </w:r>
    </w:p>
    <w:p>
      <w:pPr>
        <w:pStyle w:val="Heading4"/>
        <w:tabs>
          <w:tab w:pos="1351" w:val="left" w:leader="none"/>
        </w:tabs>
        <w:spacing w:before="240"/>
        <w:ind w:left="218" w:firstLine="0"/>
      </w:pPr>
      <w:bookmarkStart w:name="7A.6.1 Metering installation requirement" w:id="1741"/>
      <w:bookmarkEnd w:id="1741"/>
      <w:r>
        <w:rPr>
          <w:b w:val="0"/>
        </w:rPr>
      </w:r>
      <w:bookmarkStart w:name="_bookmark696" w:id="1742"/>
      <w:bookmarkEnd w:id="1742"/>
      <w:r>
        <w:rPr>
          <w:b w:val="0"/>
        </w:rPr>
      </w:r>
      <w:r>
        <w:rPr/>
        <w:t>7A.6.1</w:t>
        <w:tab/>
        <w:t>Metering installation</w:t>
      </w:r>
      <w:r>
        <w:rPr>
          <w:spacing w:val="-1"/>
        </w:rPr>
        <w:t> </w:t>
      </w:r>
      <w:r>
        <w:rPr/>
        <w:t>requirements</w:t>
      </w:r>
    </w:p>
    <w:p>
      <w:pPr>
        <w:pStyle w:val="ListParagraph"/>
        <w:numPr>
          <w:ilvl w:val="0"/>
          <w:numId w:val="483"/>
        </w:numPr>
        <w:tabs>
          <w:tab w:pos="1918" w:val="left" w:leader="none"/>
          <w:tab w:pos="1919" w:val="left" w:leader="none"/>
        </w:tabs>
        <w:spacing w:line="240" w:lineRule="auto" w:before="120" w:after="0"/>
        <w:ind w:left="1918" w:right="0" w:hanging="567"/>
        <w:jc w:val="left"/>
        <w:rPr>
          <w:sz w:val="24"/>
        </w:rPr>
      </w:pPr>
      <w:r>
        <w:rPr>
          <w:sz w:val="24"/>
        </w:rPr>
        <w:t>The</w:t>
      </w:r>
      <w:r>
        <w:rPr>
          <w:spacing w:val="13"/>
          <w:sz w:val="24"/>
        </w:rPr>
        <w:t> </w:t>
      </w:r>
      <w:r>
        <w:rPr>
          <w:i/>
          <w:sz w:val="24"/>
        </w:rPr>
        <w:t>Metering</w:t>
      </w:r>
      <w:r>
        <w:rPr>
          <w:i/>
          <w:spacing w:val="14"/>
          <w:sz w:val="24"/>
        </w:rPr>
        <w:t> </w:t>
      </w:r>
      <w:r>
        <w:rPr>
          <w:i/>
          <w:sz w:val="24"/>
        </w:rPr>
        <w:t>Coordinator</w:t>
      </w:r>
      <w:r>
        <w:rPr>
          <w:i/>
          <w:spacing w:val="14"/>
          <w:sz w:val="24"/>
        </w:rPr>
        <w:t> </w:t>
      </w:r>
      <w:r>
        <w:rPr>
          <w:sz w:val="24"/>
        </w:rPr>
        <w:t>at</w:t>
      </w:r>
      <w:r>
        <w:rPr>
          <w:spacing w:val="14"/>
          <w:sz w:val="24"/>
        </w:rPr>
        <w:t> </w:t>
      </w:r>
      <w:r>
        <w:rPr>
          <w:sz w:val="24"/>
        </w:rPr>
        <w:t>a</w:t>
      </w:r>
      <w:r>
        <w:rPr>
          <w:spacing w:val="14"/>
          <w:sz w:val="24"/>
        </w:rPr>
        <w:t> </w:t>
      </w:r>
      <w:r>
        <w:rPr>
          <w:i/>
          <w:sz w:val="24"/>
        </w:rPr>
        <w:t>connection</w:t>
      </w:r>
      <w:r>
        <w:rPr>
          <w:i/>
          <w:spacing w:val="14"/>
          <w:sz w:val="24"/>
        </w:rPr>
        <w:t> </w:t>
      </w:r>
      <w:r>
        <w:rPr>
          <w:i/>
          <w:sz w:val="24"/>
        </w:rPr>
        <w:t>point</w:t>
      </w:r>
      <w:r>
        <w:rPr>
          <w:i/>
          <w:spacing w:val="14"/>
          <w:sz w:val="24"/>
        </w:rPr>
        <w:t> </w:t>
      </w:r>
      <w:r>
        <w:rPr>
          <w:sz w:val="24"/>
        </w:rPr>
        <w:t>must</w:t>
      </w:r>
      <w:r>
        <w:rPr>
          <w:spacing w:val="14"/>
          <w:sz w:val="24"/>
        </w:rPr>
        <w:t> </w:t>
      </w:r>
      <w:r>
        <w:rPr>
          <w:sz w:val="24"/>
        </w:rPr>
        <w:t>ensure</w:t>
      </w:r>
      <w:r>
        <w:rPr>
          <w:spacing w:val="13"/>
          <w:sz w:val="24"/>
        </w:rPr>
        <w:t> </w:t>
      </w:r>
      <w:r>
        <w:rPr>
          <w:sz w:val="24"/>
        </w:rPr>
        <w:t>that</w:t>
      </w:r>
      <w:r>
        <w:rPr>
          <w:spacing w:val="14"/>
          <w:sz w:val="24"/>
        </w:rPr>
        <w:t> </w:t>
      </w:r>
      <w:r>
        <w:rPr>
          <w:sz w:val="24"/>
        </w:rPr>
        <w:t>there</w:t>
      </w:r>
      <w:r>
        <w:rPr>
          <w:spacing w:val="14"/>
          <w:sz w:val="24"/>
        </w:rPr>
        <w:t> </w:t>
      </w:r>
      <w:r>
        <w:rPr>
          <w:sz w:val="24"/>
        </w:rPr>
        <w:t>is</w:t>
      </w:r>
      <w:r>
        <w:rPr>
          <w:spacing w:val="14"/>
          <w:sz w:val="24"/>
        </w:rPr>
        <w:t> </w:t>
      </w:r>
      <w:r>
        <w:rPr>
          <w:sz w:val="24"/>
        </w:rPr>
        <w:t>a</w:t>
      </w:r>
    </w:p>
    <w:p>
      <w:pPr>
        <w:spacing w:before="0"/>
        <w:ind w:left="1919" w:right="0" w:firstLine="0"/>
        <w:jc w:val="both"/>
        <w:rPr>
          <w:sz w:val="24"/>
        </w:rPr>
      </w:pPr>
      <w:r>
        <w:rPr>
          <w:i/>
          <w:sz w:val="24"/>
        </w:rPr>
        <w:t>metering installation </w:t>
      </w:r>
      <w:r>
        <w:rPr>
          <w:sz w:val="24"/>
        </w:rPr>
        <w:t>at that </w:t>
      </w:r>
      <w:r>
        <w:rPr>
          <w:i/>
          <w:sz w:val="24"/>
        </w:rPr>
        <w:t>connection 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3"/>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w:t>
      </w:r>
      <w:r>
        <w:rPr>
          <w:i/>
          <w:sz w:val="24"/>
        </w:rPr>
        <w:t>energy </w:t>
      </w:r>
      <w:r>
        <w:rPr>
          <w:i/>
          <w:sz w:val="24"/>
        </w:rPr>
        <w:t>data </w:t>
      </w:r>
      <w:r>
        <w:rPr>
          <w:sz w:val="24"/>
        </w:rPr>
        <w:t>held in the </w:t>
      </w:r>
      <w:r>
        <w:rPr>
          <w:i/>
          <w:sz w:val="24"/>
        </w:rPr>
        <w:t>metering installation </w:t>
      </w:r>
      <w:r>
        <w:rPr>
          <w:sz w:val="24"/>
        </w:rPr>
        <w:t>is based on units of watthour (</w:t>
      </w:r>
      <w:r>
        <w:rPr>
          <w:i/>
          <w:sz w:val="24"/>
        </w:rPr>
        <w:t>active </w:t>
      </w:r>
      <w:r>
        <w:rPr>
          <w:i/>
          <w:sz w:val="24"/>
        </w:rPr>
        <w:t>energy</w:t>
      </w:r>
      <w:r>
        <w:rPr>
          <w:sz w:val="24"/>
        </w:rPr>
        <w:t>) and where required varhour (</w:t>
      </w:r>
      <w:r>
        <w:rPr>
          <w:i/>
          <w:sz w:val="24"/>
        </w:rPr>
        <w:t>reactive</w:t>
      </w:r>
      <w:r>
        <w:rPr>
          <w:i/>
          <w:spacing w:val="-3"/>
          <w:sz w:val="24"/>
        </w:rPr>
        <w:t> </w:t>
      </w:r>
      <w:r>
        <w:rPr>
          <w:i/>
          <w:sz w:val="24"/>
        </w:rPr>
        <w:t>energy</w:t>
      </w:r>
      <w:r>
        <w:rPr>
          <w:sz w:val="24"/>
        </w:rPr>
        <w:t>).</w:t>
      </w:r>
    </w:p>
    <w:p>
      <w:pPr>
        <w:pStyle w:val="ListParagraph"/>
        <w:numPr>
          <w:ilvl w:val="0"/>
          <w:numId w:val="483"/>
        </w:numPr>
        <w:tabs>
          <w:tab w:pos="1919" w:val="left" w:leader="none"/>
        </w:tabs>
        <w:spacing w:line="240" w:lineRule="auto" w:before="120" w:after="0"/>
        <w:ind w:left="1919" w:right="415" w:hanging="567"/>
        <w:jc w:val="both"/>
        <w:rPr>
          <w:sz w:val="24"/>
        </w:rPr>
      </w:pPr>
      <w:r>
        <w:rPr>
          <w:sz w:val="24"/>
        </w:rPr>
        <w:t>Installation and maintenance of a </w:t>
      </w:r>
      <w:r>
        <w:rPr>
          <w:i/>
          <w:sz w:val="24"/>
        </w:rPr>
        <w:t>metering installation </w:t>
      </w:r>
      <w:r>
        <w:rPr>
          <w:sz w:val="24"/>
        </w:rPr>
        <w:t>must be carried out in a safe manner, and only by a </w:t>
      </w:r>
      <w:r>
        <w:rPr>
          <w:i/>
          <w:sz w:val="24"/>
        </w:rPr>
        <w:t>Metering Provider </w:t>
      </w:r>
      <w:r>
        <w:rPr>
          <w:sz w:val="24"/>
        </w:rPr>
        <w:t>appointed under clause 7A.3.2.</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133" w:val="left" w:leader="none"/>
        </w:tabs>
        <w:ind w:left="0" w:right="4308" w:firstLine="0"/>
        <w:jc w:val="center"/>
      </w:pPr>
      <w:bookmarkStart w:name="7A.6.2 Metering installation components" w:id="1743"/>
      <w:bookmarkEnd w:id="1743"/>
      <w:r>
        <w:rPr>
          <w:b w:val="0"/>
        </w:rPr>
      </w:r>
      <w:bookmarkStart w:name="_bookmark697" w:id="1744"/>
      <w:bookmarkEnd w:id="1744"/>
      <w:r>
        <w:rPr>
          <w:b w:val="0"/>
        </w:rPr>
      </w:r>
      <w:r>
        <w:rPr/>
        <w:t>7A.6.2</w:t>
        <w:tab/>
        <w:t>Metering installation</w:t>
      </w:r>
      <w:r>
        <w:rPr>
          <w:spacing w:val="-5"/>
        </w:rPr>
        <w:t> </w:t>
      </w:r>
      <w:r>
        <w:rPr/>
        <w:t>components</w:t>
      </w:r>
    </w:p>
    <w:p>
      <w:pPr>
        <w:pStyle w:val="ListParagraph"/>
        <w:numPr>
          <w:ilvl w:val="0"/>
          <w:numId w:val="484"/>
        </w:numPr>
        <w:tabs>
          <w:tab w:pos="1919" w:val="left" w:leader="none"/>
        </w:tabs>
        <w:spacing w:line="240" w:lineRule="auto" w:before="120" w:after="0"/>
        <w:ind w:left="1918" w:right="0" w:hanging="567"/>
        <w:jc w:val="both"/>
        <w:rPr>
          <w:sz w:val="24"/>
        </w:rPr>
      </w:pPr>
      <w:r>
        <w:rPr>
          <w:sz w:val="24"/>
        </w:rPr>
        <w:t>A </w:t>
      </w:r>
      <w:r>
        <w:rPr>
          <w:i/>
          <w:sz w:val="24"/>
        </w:rPr>
        <w:t>Metering Provider </w:t>
      </w:r>
      <w:r>
        <w:rPr>
          <w:sz w:val="24"/>
        </w:rPr>
        <w:t>must, in accordance with the </w:t>
      </w:r>
      <w:r>
        <w:rPr>
          <w:i/>
          <w:sz w:val="24"/>
        </w:rPr>
        <w:t>Rules</w:t>
      </w:r>
      <w:r>
        <w:rPr>
          <w:sz w:val="24"/>
        </w:rPr>
        <w:t>, ensure that</w:t>
      </w:r>
      <w:r>
        <w:rPr>
          <w:spacing w:val="-1"/>
          <w:sz w:val="24"/>
        </w:rPr>
        <w:t> </w:t>
      </w:r>
      <w:r>
        <w:rPr>
          <w:sz w:val="24"/>
        </w:rPr>
        <w:t>a</w:t>
      </w:r>
    </w:p>
    <w:p>
      <w:pPr>
        <w:spacing w:before="0"/>
        <w:ind w:left="1919" w:right="0" w:firstLine="0"/>
        <w:jc w:val="both"/>
        <w:rPr>
          <w:sz w:val="24"/>
        </w:rPr>
      </w:pPr>
      <w:r>
        <w:rPr>
          <w:i/>
          <w:sz w:val="24"/>
        </w:rPr>
        <w:t>metering installation</w:t>
      </w:r>
      <w:r>
        <w:rPr>
          <w:sz w:val="24"/>
        </w:rPr>
        <w:t>, other than a type 7 </w:t>
      </w:r>
      <w:r>
        <w:rPr>
          <w:i/>
          <w:sz w:val="24"/>
        </w:rPr>
        <w:t>metering</w:t>
      </w:r>
      <w:r>
        <w:rPr>
          <w:i/>
          <w:spacing w:val="-17"/>
          <w:sz w:val="24"/>
        </w:rPr>
        <w:t> </w:t>
      </w:r>
      <w:r>
        <w:rPr>
          <w:i/>
          <w:sz w:val="24"/>
        </w:rPr>
        <w:t>installation</w:t>
      </w:r>
      <w:r>
        <w:rPr>
          <w:sz w:val="24"/>
        </w:rPr>
        <w:t>:</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contains a device that has either a visible or an equivalently accessible display of the cumulative total </w:t>
      </w:r>
      <w:r>
        <w:rPr>
          <w:i/>
          <w:sz w:val="24"/>
        </w:rPr>
        <w:t>energy </w:t>
      </w:r>
      <w:r>
        <w:rPr>
          <w:sz w:val="24"/>
        </w:rPr>
        <w:t>measured by that </w:t>
      </w:r>
      <w:r>
        <w:rPr>
          <w:i/>
          <w:sz w:val="24"/>
        </w:rPr>
        <w:t>metering </w:t>
      </w:r>
      <w:r>
        <w:rPr>
          <w:i/>
          <w:sz w:val="24"/>
        </w:rPr>
        <w:t>installation</w:t>
      </w:r>
      <w:r>
        <w:rPr>
          <w:sz w:val="24"/>
        </w:rPr>
        <w:t>(at a</w:t>
      </w:r>
      <w:r>
        <w:rPr>
          <w:spacing w:val="-1"/>
          <w:sz w:val="24"/>
        </w:rPr>
        <w:t> </w:t>
      </w:r>
      <w:r>
        <w:rPr>
          <w:sz w:val="24"/>
        </w:rPr>
        <w:t>minimum);</w:t>
      </w:r>
    </w:p>
    <w:p>
      <w:pPr>
        <w:spacing w:before="120"/>
        <w:ind w:left="924" w:right="5212" w:firstLine="0"/>
        <w:jc w:val="center"/>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is accurate in accordance with clause</w:t>
      </w:r>
      <w:r>
        <w:rPr>
          <w:spacing w:val="-2"/>
          <w:sz w:val="24"/>
        </w:rPr>
        <w:t> </w:t>
      </w:r>
      <w:r>
        <w:rPr>
          <w:sz w:val="24"/>
        </w:rPr>
        <w:t>7A.6.6;</w:t>
      </w:r>
    </w:p>
    <w:p>
      <w:pPr>
        <w:spacing w:before="120"/>
        <w:ind w:left="924" w:right="5212" w:firstLine="0"/>
        <w:jc w:val="center"/>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4" w:hanging="567"/>
        <w:jc w:val="both"/>
        <w:rPr>
          <w:sz w:val="24"/>
        </w:rPr>
      </w:pPr>
      <w:r>
        <w:rPr>
          <w:sz w:val="24"/>
        </w:rPr>
        <w:t>in the case of a type 1, 2, 3 or 4 </w:t>
      </w:r>
      <w:r>
        <w:rPr>
          <w:i/>
          <w:sz w:val="24"/>
        </w:rPr>
        <w:t>metering installation</w:t>
      </w:r>
      <w:r>
        <w:rPr>
          <w:sz w:val="24"/>
        </w:rPr>
        <w:t>– has </w:t>
      </w:r>
      <w:r>
        <w:rPr>
          <w:i/>
          <w:sz w:val="24"/>
        </w:rPr>
        <w:t>electronic </w:t>
      </w:r>
      <w:r>
        <w:rPr>
          <w:i/>
          <w:sz w:val="24"/>
        </w:rPr>
        <w:t>data transfer </w:t>
      </w:r>
      <w:r>
        <w:rPr>
          <w:sz w:val="24"/>
        </w:rPr>
        <w:t>facilities from the </w:t>
      </w:r>
      <w:r>
        <w:rPr>
          <w:i/>
          <w:sz w:val="24"/>
        </w:rPr>
        <w:t>metering installation </w:t>
      </w:r>
      <w:r>
        <w:rPr>
          <w:sz w:val="24"/>
        </w:rPr>
        <w:t>to the </w:t>
      </w:r>
      <w:r>
        <w:rPr>
          <w:i/>
          <w:sz w:val="24"/>
        </w:rPr>
        <w:t>metering </w:t>
      </w:r>
      <w:r>
        <w:rPr>
          <w:i/>
          <w:sz w:val="24"/>
        </w:rPr>
        <w:t>data services</w:t>
      </w:r>
      <w:r>
        <w:rPr>
          <w:i/>
          <w:spacing w:val="-2"/>
          <w:sz w:val="24"/>
        </w:rPr>
        <w:t> </w:t>
      </w:r>
      <w:r>
        <w:rPr>
          <w:i/>
          <w:sz w:val="24"/>
        </w:rPr>
        <w:t>database</w:t>
      </w:r>
      <w:r>
        <w:rPr>
          <w:sz w:val="24"/>
        </w:rPr>
        <w:t>;</w:t>
      </w:r>
    </w:p>
    <w:p>
      <w:pPr>
        <w:spacing w:before="120"/>
        <w:ind w:left="924" w:right="5212" w:firstLine="0"/>
        <w:jc w:val="center"/>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4" w:hanging="567"/>
        <w:jc w:val="both"/>
        <w:rPr>
          <w:sz w:val="24"/>
        </w:rPr>
      </w:pPr>
      <w:r>
        <w:rPr>
          <w:sz w:val="24"/>
        </w:rPr>
        <w:t>includes a </w:t>
      </w:r>
      <w:r>
        <w:rPr>
          <w:i/>
          <w:sz w:val="24"/>
        </w:rPr>
        <w:t>communications interface </w:t>
      </w:r>
      <w:r>
        <w:rPr>
          <w:sz w:val="24"/>
        </w:rPr>
        <w:t>to meet the requirements of clause 7A.3.2(c)(4);</w:t>
      </w:r>
    </w:p>
    <w:p>
      <w:pPr>
        <w:spacing w:after="0" w:line="240" w:lineRule="auto"/>
        <w:jc w:val="both"/>
        <w:rPr>
          <w:sz w:val="24"/>
        </w:rPr>
        <w:sectPr>
          <w:pgSz w:w="11910" w:h="16840"/>
          <w:pgMar w:header="686" w:footer="637" w:top="1320" w:bottom="820" w:left="1200" w:right="1000"/>
        </w:sectPr>
      </w:pPr>
    </w:p>
    <w:p>
      <w:pPr>
        <w:spacing w:before="83"/>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is secure in accordance with rule</w:t>
      </w:r>
      <w:r>
        <w:rPr>
          <w:spacing w:val="-2"/>
          <w:sz w:val="24"/>
        </w:rPr>
        <w:t> </w:t>
      </w:r>
      <w:r>
        <w:rPr>
          <w:sz w:val="24"/>
        </w:rPr>
        <w:t>7A.9;</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records </w:t>
      </w:r>
      <w:r>
        <w:rPr>
          <w:i/>
          <w:sz w:val="24"/>
        </w:rPr>
        <w:t>energy data </w:t>
      </w:r>
      <w:r>
        <w:rPr>
          <w:sz w:val="24"/>
        </w:rPr>
        <w:t>in a manner that enables </w:t>
      </w:r>
      <w:r>
        <w:rPr>
          <w:i/>
          <w:sz w:val="24"/>
        </w:rPr>
        <w:t>metering data </w:t>
      </w:r>
      <w:r>
        <w:rPr>
          <w:sz w:val="24"/>
        </w:rPr>
        <w:t>to be collated in accordance with clause</w:t>
      </w:r>
      <w:r>
        <w:rPr>
          <w:spacing w:val="-2"/>
          <w:sz w:val="24"/>
        </w:rPr>
        <w:t> </w:t>
      </w:r>
      <w:r>
        <w:rPr>
          <w:sz w:val="24"/>
        </w:rPr>
        <w:t>7A.8.6;</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6" w:hanging="567"/>
        <w:jc w:val="both"/>
        <w:rPr>
          <w:sz w:val="24"/>
        </w:rPr>
      </w:pPr>
      <w:r>
        <w:rPr>
          <w:sz w:val="24"/>
        </w:rPr>
        <w:t>is capable of separately recording </w:t>
      </w:r>
      <w:r>
        <w:rPr>
          <w:i/>
          <w:sz w:val="24"/>
        </w:rPr>
        <w:t>energy data </w:t>
      </w:r>
      <w:r>
        <w:rPr>
          <w:sz w:val="24"/>
        </w:rPr>
        <w:t>for </w:t>
      </w:r>
      <w:r>
        <w:rPr>
          <w:i/>
          <w:sz w:val="24"/>
        </w:rPr>
        <w:t>energy </w:t>
      </w:r>
      <w:r>
        <w:rPr>
          <w:sz w:val="24"/>
        </w:rPr>
        <w:t>flows </w:t>
      </w:r>
      <w:r>
        <w:rPr>
          <w:spacing w:val="-6"/>
          <w:sz w:val="24"/>
        </w:rPr>
        <w:t>in  </w:t>
      </w:r>
      <w:r>
        <w:rPr>
          <w:sz w:val="24"/>
        </w:rPr>
        <w:t>each direction where bi-directional </w:t>
      </w:r>
      <w:r>
        <w:rPr>
          <w:i/>
          <w:sz w:val="24"/>
        </w:rPr>
        <w:t>active energy </w:t>
      </w:r>
      <w:r>
        <w:rPr>
          <w:sz w:val="24"/>
        </w:rPr>
        <w:t>flows occur or could occur;</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has a </w:t>
      </w:r>
      <w:r>
        <w:rPr>
          <w:i/>
          <w:sz w:val="24"/>
        </w:rPr>
        <w:t>measurement element </w:t>
      </w:r>
      <w:r>
        <w:rPr>
          <w:sz w:val="24"/>
        </w:rPr>
        <w:t>for </w:t>
      </w:r>
      <w:r>
        <w:rPr>
          <w:i/>
          <w:sz w:val="24"/>
        </w:rPr>
        <w:t>active energy </w:t>
      </w:r>
      <w:r>
        <w:rPr>
          <w:sz w:val="24"/>
        </w:rPr>
        <w:t>and, if required in accordance with schedule 7A.4, a </w:t>
      </w:r>
      <w:r>
        <w:rPr>
          <w:i/>
          <w:sz w:val="24"/>
        </w:rPr>
        <w:t>measurement element </w:t>
      </w:r>
      <w:r>
        <w:rPr>
          <w:sz w:val="24"/>
        </w:rPr>
        <w:t>for </w:t>
      </w:r>
      <w:r>
        <w:rPr>
          <w:i/>
          <w:sz w:val="24"/>
        </w:rPr>
        <w:t>reactive </w:t>
      </w:r>
      <w:r>
        <w:rPr>
          <w:i/>
          <w:sz w:val="24"/>
        </w:rPr>
        <w:t>energy</w:t>
      </w:r>
      <w:r>
        <w:rPr>
          <w:sz w:val="24"/>
        </w:rPr>
        <w:t>, with both measurements to be</w:t>
      </w:r>
      <w:r>
        <w:rPr>
          <w:spacing w:val="-1"/>
          <w:sz w:val="24"/>
        </w:rPr>
        <w:t> </w:t>
      </w:r>
      <w:r>
        <w:rPr>
          <w:sz w:val="24"/>
        </w:rPr>
        <w:t>recorded;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4" w:hanging="567"/>
        <w:jc w:val="both"/>
        <w:rPr>
          <w:sz w:val="24"/>
        </w:rPr>
      </w:pPr>
      <w:r>
        <w:rPr>
          <w:sz w:val="24"/>
        </w:rPr>
        <w:t>includes facilities for storing </w:t>
      </w:r>
      <w:r>
        <w:rPr>
          <w:i/>
          <w:sz w:val="24"/>
        </w:rPr>
        <w:t>interval energy data </w:t>
      </w:r>
      <w:r>
        <w:rPr>
          <w:sz w:val="24"/>
        </w:rPr>
        <w:t>for a period of at least 35 </w:t>
      </w:r>
      <w:r>
        <w:rPr>
          <w:i/>
          <w:sz w:val="24"/>
        </w:rPr>
        <w:t>days </w:t>
      </w:r>
      <w:r>
        <w:rPr>
          <w:sz w:val="24"/>
        </w:rPr>
        <w:t>if the </w:t>
      </w:r>
      <w:r>
        <w:rPr>
          <w:i/>
          <w:sz w:val="24"/>
        </w:rPr>
        <w:t>metering installation </w:t>
      </w:r>
      <w:r>
        <w:rPr>
          <w:sz w:val="24"/>
        </w:rPr>
        <w:t>is a type 1, 2, 3 or 4 </w:t>
      </w:r>
      <w:r>
        <w:rPr>
          <w:i/>
          <w:sz w:val="24"/>
        </w:rPr>
        <w:t>metering </w:t>
      </w:r>
      <w:r>
        <w:rPr>
          <w:i/>
          <w:sz w:val="24"/>
        </w:rPr>
        <w:t>installation</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6" w:hanging="567"/>
        <w:jc w:val="both"/>
        <w:rPr>
          <w:sz w:val="24"/>
        </w:rPr>
      </w:pPr>
      <w:r>
        <w:rPr>
          <w:sz w:val="24"/>
        </w:rPr>
        <w:t>includes facilities for storing </w:t>
      </w:r>
      <w:r>
        <w:rPr>
          <w:i/>
          <w:sz w:val="24"/>
        </w:rPr>
        <w:t>interval energy data </w:t>
      </w:r>
      <w:r>
        <w:rPr>
          <w:sz w:val="24"/>
        </w:rPr>
        <w:t>for a period of at least 200 </w:t>
      </w:r>
      <w:r>
        <w:rPr>
          <w:i/>
          <w:sz w:val="24"/>
        </w:rPr>
        <w:t>days </w:t>
      </w:r>
      <w:r>
        <w:rPr>
          <w:sz w:val="24"/>
        </w:rPr>
        <w:t>or such other period as specified in schedule 7A.7 if the </w:t>
      </w:r>
      <w:r>
        <w:rPr>
          <w:i/>
          <w:sz w:val="24"/>
        </w:rPr>
        <w:t>metering installation </w:t>
      </w:r>
      <w:r>
        <w:rPr>
          <w:sz w:val="24"/>
        </w:rPr>
        <w:t>is a type 4A or 5 </w:t>
      </w:r>
      <w:r>
        <w:rPr>
          <w:i/>
          <w:sz w:val="24"/>
        </w:rPr>
        <w:t>metering</w:t>
      </w:r>
      <w:r>
        <w:rPr>
          <w:i/>
          <w:spacing w:val="-7"/>
          <w:sz w:val="24"/>
        </w:rPr>
        <w:t> </w:t>
      </w:r>
      <w:r>
        <w:rPr>
          <w:i/>
          <w:sz w:val="24"/>
        </w:rPr>
        <w:t>installation</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in the case of a type 6 </w:t>
      </w:r>
      <w:r>
        <w:rPr>
          <w:i/>
          <w:sz w:val="24"/>
        </w:rPr>
        <w:t>metering installation</w:t>
      </w:r>
      <w:r>
        <w:rPr>
          <w:sz w:val="24"/>
        </w:rPr>
        <w:t>, includes facilities capable of</w:t>
      </w:r>
      <w:r>
        <w:rPr>
          <w:spacing w:val="27"/>
          <w:sz w:val="24"/>
        </w:rPr>
        <w:t> </w:t>
      </w:r>
      <w:r>
        <w:rPr>
          <w:sz w:val="24"/>
        </w:rPr>
        <w:t>continuously</w:t>
      </w:r>
      <w:r>
        <w:rPr>
          <w:spacing w:val="27"/>
          <w:sz w:val="24"/>
        </w:rPr>
        <w:t> </w:t>
      </w:r>
      <w:r>
        <w:rPr>
          <w:sz w:val="24"/>
        </w:rPr>
        <w:t>recording</w:t>
      </w:r>
      <w:r>
        <w:rPr>
          <w:spacing w:val="27"/>
          <w:sz w:val="24"/>
        </w:rPr>
        <w:t> </w:t>
      </w:r>
      <w:r>
        <w:rPr>
          <w:sz w:val="24"/>
        </w:rPr>
        <w:t>the</w:t>
      </w:r>
      <w:r>
        <w:rPr>
          <w:spacing w:val="28"/>
          <w:sz w:val="24"/>
        </w:rPr>
        <w:t> </w:t>
      </w:r>
      <w:r>
        <w:rPr>
          <w:sz w:val="24"/>
        </w:rPr>
        <w:t>total</w:t>
      </w:r>
      <w:r>
        <w:rPr>
          <w:spacing w:val="27"/>
          <w:sz w:val="24"/>
        </w:rPr>
        <w:t> </w:t>
      </w:r>
      <w:r>
        <w:rPr>
          <w:sz w:val="24"/>
        </w:rPr>
        <w:t>accumulated</w:t>
      </w:r>
      <w:r>
        <w:rPr>
          <w:spacing w:val="27"/>
          <w:sz w:val="24"/>
        </w:rPr>
        <w:t> </w:t>
      </w:r>
      <w:r>
        <w:rPr>
          <w:i/>
          <w:sz w:val="24"/>
        </w:rPr>
        <w:t>energy</w:t>
      </w:r>
      <w:r>
        <w:rPr>
          <w:i/>
          <w:spacing w:val="28"/>
          <w:sz w:val="24"/>
        </w:rPr>
        <w:t> </w:t>
      </w:r>
      <w:r>
        <w:rPr>
          <w:sz w:val="24"/>
        </w:rPr>
        <w:t>supplied</w:t>
      </w:r>
    </w:p>
    <w:p>
      <w:pPr>
        <w:spacing w:after="0" w:line="240" w:lineRule="auto"/>
        <w:jc w:val="both"/>
        <w:rPr>
          <w:sz w:val="24"/>
        </w:rPr>
        <w:sectPr>
          <w:pgSz w:w="11910" w:h="16840"/>
          <w:pgMar w:header="686" w:footer="637" w:top="1320" w:bottom="820" w:left="1200" w:right="1000"/>
        </w:sectPr>
      </w:pPr>
    </w:p>
    <w:p>
      <w:pPr>
        <w:pStyle w:val="BodyText"/>
        <w:spacing w:before="83"/>
        <w:ind w:left="2486" w:right="415" w:firstLine="0"/>
      </w:pPr>
      <w:r>
        <w:rPr/>
        <w:t>through it by a visible display in accordance with subparagraph (1), over a period of at least 12 months; 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4"/>
        </w:numPr>
        <w:tabs>
          <w:tab w:pos="2486" w:val="left" w:leader="none"/>
        </w:tabs>
        <w:spacing w:line="240" w:lineRule="auto" w:before="120" w:after="0"/>
        <w:ind w:left="2486" w:right="414" w:hanging="567"/>
        <w:jc w:val="both"/>
        <w:rPr>
          <w:sz w:val="24"/>
        </w:rPr>
      </w:pPr>
      <w:r>
        <w:rPr>
          <w:sz w:val="24"/>
        </w:rPr>
        <w:t>is suitable for the range of operating conditions to which it will be exposed (for example temperature or impulse levels) and </w:t>
      </w:r>
      <w:r>
        <w:rPr>
          <w:spacing w:val="-3"/>
          <w:sz w:val="24"/>
        </w:rPr>
        <w:t>operates </w:t>
      </w:r>
      <w:r>
        <w:rPr>
          <w:sz w:val="24"/>
        </w:rPr>
        <w:t>within the defined limits for its</w:t>
      </w:r>
      <w:r>
        <w:rPr>
          <w:spacing w:val="-2"/>
          <w:sz w:val="24"/>
        </w:rPr>
        <w:t> </w:t>
      </w:r>
      <w:r>
        <w:rPr>
          <w:sz w:val="24"/>
        </w:rPr>
        <w:t>components.</w:t>
      </w:r>
    </w:p>
    <w:p>
      <w:pPr>
        <w:pStyle w:val="ListParagraph"/>
        <w:numPr>
          <w:ilvl w:val="0"/>
          <w:numId w:val="484"/>
        </w:numPr>
        <w:tabs>
          <w:tab w:pos="1919" w:val="left" w:leader="none"/>
        </w:tabs>
        <w:spacing w:line="240" w:lineRule="auto" w:before="120" w:after="0"/>
        <w:ind w:left="1918" w:right="0" w:hanging="567"/>
        <w:jc w:val="both"/>
        <w:rPr>
          <w:sz w:val="24"/>
        </w:rPr>
      </w:pPr>
      <w:r>
        <w:rPr>
          <w:sz w:val="24"/>
        </w:rPr>
        <w:t>A </w:t>
      </w:r>
      <w:r>
        <w:rPr>
          <w:i/>
          <w:sz w:val="24"/>
        </w:rPr>
        <w:t>metering installation </w:t>
      </w:r>
      <w:r>
        <w:rPr>
          <w:sz w:val="24"/>
        </w:rPr>
        <w:t>may consist of combinations</w:t>
      </w:r>
      <w:r>
        <w:rPr>
          <w:spacing w:val="-2"/>
          <w:sz w:val="24"/>
        </w:rPr>
        <w:t> </w:t>
      </w:r>
      <w:r>
        <w:rPr>
          <w:sz w:val="24"/>
        </w:rPr>
        <w:t>of:</w:t>
      </w:r>
    </w:p>
    <w:p>
      <w:pPr>
        <w:pStyle w:val="ListParagraph"/>
        <w:numPr>
          <w:ilvl w:val="1"/>
          <w:numId w:val="484"/>
        </w:numPr>
        <w:tabs>
          <w:tab w:pos="2485" w:val="left" w:leader="none"/>
          <w:tab w:pos="2486" w:val="left" w:leader="none"/>
        </w:tabs>
        <w:spacing w:line="240" w:lineRule="auto" w:before="120" w:after="0"/>
        <w:ind w:left="2485" w:right="0" w:hanging="567"/>
        <w:jc w:val="left"/>
        <w:rPr>
          <w:sz w:val="24"/>
        </w:rPr>
      </w:pPr>
      <w:r>
        <w:rPr>
          <w:sz w:val="24"/>
        </w:rPr>
        <w:t>a </w:t>
      </w:r>
      <w:r>
        <w:rPr>
          <w:i/>
          <w:sz w:val="24"/>
        </w:rPr>
        <w:t>current</w:t>
      </w:r>
      <w:r>
        <w:rPr>
          <w:i/>
          <w:spacing w:val="-1"/>
          <w:sz w:val="24"/>
        </w:rPr>
        <w:t> </w:t>
      </w:r>
      <w:r>
        <w:rPr>
          <w:i/>
          <w:sz w:val="24"/>
        </w:rPr>
        <w:t>transformer</w:t>
      </w:r>
      <w:r>
        <w:rPr>
          <w:sz w:val="24"/>
        </w:rPr>
        <w:t>;</w:t>
      </w:r>
    </w:p>
    <w:p>
      <w:pPr>
        <w:pStyle w:val="ListParagraph"/>
        <w:numPr>
          <w:ilvl w:val="1"/>
          <w:numId w:val="484"/>
        </w:numPr>
        <w:tabs>
          <w:tab w:pos="2485" w:val="left" w:leader="none"/>
          <w:tab w:pos="2486" w:val="left" w:leader="none"/>
        </w:tabs>
        <w:spacing w:line="240" w:lineRule="auto" w:before="120" w:after="0"/>
        <w:ind w:left="2485" w:right="0" w:hanging="567"/>
        <w:jc w:val="left"/>
        <w:rPr>
          <w:sz w:val="24"/>
        </w:rPr>
      </w:pPr>
      <w:r>
        <w:rPr>
          <w:sz w:val="24"/>
        </w:rPr>
        <w:t>a </w:t>
      </w:r>
      <w:r>
        <w:rPr>
          <w:i/>
          <w:sz w:val="24"/>
        </w:rPr>
        <w:t>voltage</w:t>
      </w:r>
      <w:r>
        <w:rPr>
          <w:i/>
          <w:spacing w:val="-1"/>
          <w:sz w:val="24"/>
        </w:rPr>
        <w:t> </w:t>
      </w:r>
      <w:r>
        <w:rPr>
          <w:i/>
          <w:sz w:val="24"/>
        </w:rPr>
        <w:t>transformer</w:t>
      </w:r>
      <w:r>
        <w:rPr>
          <w:sz w:val="24"/>
        </w:rPr>
        <w:t>;</w:t>
      </w:r>
    </w:p>
    <w:p>
      <w:pPr>
        <w:pStyle w:val="ListParagraph"/>
        <w:numPr>
          <w:ilvl w:val="1"/>
          <w:numId w:val="484"/>
        </w:numPr>
        <w:tabs>
          <w:tab w:pos="2485" w:val="left" w:leader="none"/>
          <w:tab w:pos="2486" w:val="left" w:leader="none"/>
        </w:tabs>
        <w:spacing w:line="240" w:lineRule="auto" w:before="120" w:after="0"/>
        <w:ind w:left="2485" w:right="0" w:hanging="567"/>
        <w:jc w:val="left"/>
        <w:rPr>
          <w:sz w:val="24"/>
        </w:rPr>
      </w:pPr>
      <w:r>
        <w:rPr>
          <w:sz w:val="24"/>
        </w:rPr>
        <w:t>secure and protected wiring from the </w:t>
      </w:r>
      <w:r>
        <w:rPr>
          <w:i/>
          <w:sz w:val="24"/>
        </w:rPr>
        <w:t>current transformer </w:t>
      </w:r>
      <w:r>
        <w:rPr>
          <w:sz w:val="24"/>
        </w:rPr>
        <w:t>and</w:t>
      </w:r>
      <w:r>
        <w:rPr>
          <w:spacing w:val="45"/>
          <w:sz w:val="24"/>
        </w:rPr>
        <w:t> </w:t>
      </w:r>
      <w:r>
        <w:rPr>
          <w:sz w:val="24"/>
        </w:rPr>
        <w:t>the</w:t>
      </w:r>
    </w:p>
    <w:p>
      <w:pPr>
        <w:spacing w:before="0"/>
        <w:ind w:left="2486" w:right="0" w:firstLine="0"/>
        <w:jc w:val="left"/>
        <w:rPr>
          <w:sz w:val="24"/>
        </w:rPr>
      </w:pPr>
      <w:r>
        <w:rPr>
          <w:i/>
          <w:sz w:val="24"/>
        </w:rPr>
        <w:t>voltage transformer </w:t>
      </w:r>
      <w:r>
        <w:rPr>
          <w:sz w:val="24"/>
        </w:rPr>
        <w:t>to the </w:t>
      </w:r>
      <w:r>
        <w:rPr>
          <w:i/>
          <w:sz w:val="24"/>
        </w:rPr>
        <w:t>meter</w:t>
      </w:r>
      <w:r>
        <w:rPr>
          <w:sz w:val="24"/>
        </w:rPr>
        <w:t>;</w:t>
      </w:r>
    </w:p>
    <w:p>
      <w:pPr>
        <w:pStyle w:val="ListParagraph"/>
        <w:numPr>
          <w:ilvl w:val="1"/>
          <w:numId w:val="484"/>
        </w:numPr>
        <w:tabs>
          <w:tab w:pos="2486" w:val="left" w:leader="none"/>
        </w:tabs>
        <w:spacing w:line="240" w:lineRule="auto" w:before="120" w:after="0"/>
        <w:ind w:left="2486" w:right="415" w:hanging="567"/>
        <w:jc w:val="both"/>
        <w:rPr>
          <w:sz w:val="24"/>
        </w:rPr>
      </w:pPr>
      <w:r>
        <w:rPr>
          <w:i/>
          <w:sz w:val="24"/>
        </w:rPr>
        <w:t>communications interface </w:t>
      </w:r>
      <w:r>
        <w:rPr>
          <w:sz w:val="24"/>
        </w:rPr>
        <w:t>equipment such as a modem, isolation requirements, telephone service, radio transmitter and data link equipment;</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auxiliary electricity supply to the</w:t>
      </w:r>
      <w:r>
        <w:rPr>
          <w:spacing w:val="-12"/>
          <w:sz w:val="24"/>
        </w:rPr>
        <w:t> </w:t>
      </w:r>
      <w:r>
        <w:rPr>
          <w:i/>
          <w:sz w:val="24"/>
        </w:rPr>
        <w:t>meter</w:t>
      </w:r>
      <w:r>
        <w:rPr>
          <w:sz w:val="24"/>
        </w:rPr>
        <w:t>;</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an alarm circuit and monitoring</w:t>
      </w:r>
      <w:r>
        <w:rPr>
          <w:spacing w:val="-3"/>
          <w:sz w:val="24"/>
        </w:rPr>
        <w:t> </w:t>
      </w:r>
      <w:r>
        <w:rPr>
          <w:sz w:val="24"/>
        </w:rPr>
        <w:t>facility;</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a facility to keep the </w:t>
      </w:r>
      <w:r>
        <w:rPr>
          <w:i/>
          <w:sz w:val="24"/>
        </w:rPr>
        <w:t>metering installation </w:t>
      </w:r>
      <w:r>
        <w:rPr>
          <w:sz w:val="24"/>
        </w:rPr>
        <w:t>secure from</w:t>
      </w:r>
      <w:r>
        <w:rPr>
          <w:spacing w:val="-6"/>
          <w:sz w:val="24"/>
        </w:rPr>
        <w:t> </w:t>
      </w:r>
      <w:r>
        <w:rPr>
          <w:sz w:val="24"/>
        </w:rPr>
        <w:t>interference;</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test links and fusing;</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summation equipment;</w:t>
      </w:r>
      <w:r>
        <w:rPr>
          <w:spacing w:val="-1"/>
          <w:sz w:val="24"/>
        </w:rPr>
        <w:t> </w:t>
      </w:r>
      <w:r>
        <w:rPr>
          <w:sz w:val="24"/>
        </w:rPr>
        <w:t>and</w:t>
      </w:r>
    </w:p>
    <w:p>
      <w:pPr>
        <w:pStyle w:val="ListParagraph"/>
        <w:numPr>
          <w:ilvl w:val="1"/>
          <w:numId w:val="484"/>
        </w:numPr>
        <w:tabs>
          <w:tab w:pos="2486" w:val="left" w:leader="none"/>
        </w:tabs>
        <w:spacing w:line="240" w:lineRule="auto" w:before="120" w:after="0"/>
        <w:ind w:left="2486" w:right="416" w:hanging="567"/>
        <w:jc w:val="both"/>
        <w:rPr>
          <w:sz w:val="24"/>
        </w:rPr>
      </w:pPr>
      <w:r>
        <w:rPr>
          <w:sz w:val="24"/>
        </w:rPr>
        <w:t>several </w:t>
      </w:r>
      <w:r>
        <w:rPr>
          <w:i/>
          <w:sz w:val="24"/>
        </w:rPr>
        <w:t>metering points </w:t>
      </w:r>
      <w:r>
        <w:rPr>
          <w:sz w:val="24"/>
        </w:rPr>
        <w:t>to derive the </w:t>
      </w:r>
      <w:r>
        <w:rPr>
          <w:i/>
          <w:sz w:val="24"/>
        </w:rPr>
        <w:t>metering data </w:t>
      </w:r>
      <w:r>
        <w:rPr>
          <w:sz w:val="24"/>
        </w:rPr>
        <w:t>for a </w:t>
      </w:r>
      <w:r>
        <w:rPr>
          <w:i/>
          <w:sz w:val="24"/>
        </w:rPr>
        <w:t>connection </w:t>
      </w:r>
      <w:r>
        <w:rPr>
          <w:i/>
          <w:sz w:val="24"/>
        </w:rPr>
        <w:t>point</w:t>
      </w:r>
      <w:r>
        <w:rPr>
          <w:sz w:val="24"/>
        </w:rPr>
        <w:t>.</w:t>
      </w:r>
    </w:p>
    <w:p>
      <w:pPr>
        <w:pStyle w:val="ListParagraph"/>
        <w:numPr>
          <w:ilvl w:val="0"/>
          <w:numId w:val="484"/>
        </w:numPr>
        <w:tabs>
          <w:tab w:pos="1919" w:val="left" w:leader="none"/>
        </w:tabs>
        <w:spacing w:line="240" w:lineRule="auto" w:before="120" w:after="0"/>
        <w:ind w:left="1919" w:right="414" w:hanging="567"/>
        <w:jc w:val="both"/>
        <w:rPr>
          <w:sz w:val="24"/>
        </w:rPr>
      </w:pPr>
      <w:r>
        <w:rPr>
          <w:sz w:val="24"/>
        </w:rPr>
        <w:t>The </w:t>
      </w:r>
      <w:r>
        <w:rPr>
          <w:i/>
          <w:sz w:val="24"/>
        </w:rPr>
        <w:t>Local Network Service Provider </w:t>
      </w:r>
      <w:r>
        <w:rPr>
          <w:sz w:val="24"/>
        </w:rPr>
        <w:t>or financially responsible participant may, with the agreement of the </w:t>
      </w:r>
      <w:r>
        <w:rPr>
          <w:i/>
          <w:sz w:val="24"/>
        </w:rPr>
        <w:t>Metering Coordinator</w:t>
      </w:r>
      <w:r>
        <w:rPr>
          <w:sz w:val="24"/>
        </w:rPr>
        <w:t>(which</w:t>
      </w:r>
      <w:r>
        <w:rPr>
          <w:spacing w:val="31"/>
          <w:sz w:val="24"/>
        </w:rPr>
        <w:t> </w:t>
      </w:r>
      <w:r>
        <w:rPr>
          <w:sz w:val="24"/>
        </w:rPr>
        <w:t>agreement must not be unreasonably withheld), arrange for a </w:t>
      </w:r>
      <w:r>
        <w:rPr>
          <w:i/>
          <w:sz w:val="24"/>
        </w:rPr>
        <w:t>metering installation </w:t>
      </w:r>
      <w:r>
        <w:rPr>
          <w:sz w:val="24"/>
        </w:rPr>
        <w:t>to contain features which are in addition to, or which enhance, the features specified in paragraph</w:t>
      </w:r>
      <w:r>
        <w:rPr>
          <w:spacing w:val="-1"/>
          <w:sz w:val="24"/>
        </w:rPr>
        <w:t> </w:t>
      </w:r>
      <w:r>
        <w:rPr>
          <w:sz w:val="24"/>
        </w:rPr>
        <w:t>(b).</w:t>
      </w:r>
    </w:p>
    <w:p>
      <w:pPr>
        <w:pStyle w:val="ListParagraph"/>
        <w:numPr>
          <w:ilvl w:val="0"/>
          <w:numId w:val="484"/>
        </w:numPr>
        <w:tabs>
          <w:tab w:pos="1919" w:val="left" w:leader="none"/>
        </w:tabs>
        <w:spacing w:line="240" w:lineRule="auto" w:before="120" w:after="0"/>
        <w:ind w:left="1918" w:right="0" w:hanging="567"/>
        <w:jc w:val="both"/>
        <w:rPr>
          <w:sz w:val="24"/>
        </w:rPr>
      </w:pPr>
      <w:r>
        <w:rPr>
          <w:sz w:val="24"/>
        </w:rPr>
        <w:t>The financially responsible participant for a </w:t>
      </w:r>
      <w:r>
        <w:rPr>
          <w:i/>
          <w:sz w:val="24"/>
        </w:rPr>
        <w:t>connection point</w:t>
      </w:r>
      <w:r>
        <w:rPr>
          <w:i/>
          <w:spacing w:val="-2"/>
          <w:sz w:val="24"/>
        </w:rPr>
        <w:t> </w:t>
      </w:r>
      <w:r>
        <w:rPr>
          <w:sz w:val="24"/>
        </w:rPr>
        <w:t>must:</w:t>
      </w:r>
    </w:p>
    <w:p>
      <w:pPr>
        <w:pStyle w:val="ListParagraph"/>
        <w:numPr>
          <w:ilvl w:val="1"/>
          <w:numId w:val="484"/>
        </w:numPr>
        <w:tabs>
          <w:tab w:pos="2486" w:val="left" w:leader="none"/>
        </w:tabs>
        <w:spacing w:line="240" w:lineRule="auto" w:before="120" w:after="0"/>
        <w:ind w:left="2485" w:right="0" w:hanging="567"/>
        <w:jc w:val="both"/>
        <w:rPr>
          <w:sz w:val="24"/>
        </w:rPr>
      </w:pPr>
      <w:r>
        <w:rPr>
          <w:sz w:val="24"/>
        </w:rPr>
        <w:t>apply to the </w:t>
      </w:r>
      <w:r>
        <w:rPr>
          <w:i/>
          <w:sz w:val="24"/>
        </w:rPr>
        <w:t>Local Network Service Provider </w:t>
      </w:r>
      <w:r>
        <w:rPr>
          <w:sz w:val="24"/>
        </w:rPr>
        <w:t>for a </w:t>
      </w:r>
      <w:r>
        <w:rPr>
          <w:i/>
          <w:sz w:val="24"/>
        </w:rPr>
        <w:t>NMI</w:t>
      </w:r>
      <w:r>
        <w:rPr>
          <w:sz w:val="24"/>
        </w:rPr>
        <w:t>;</w:t>
      </w:r>
      <w:r>
        <w:rPr>
          <w:spacing w:val="-4"/>
          <w:sz w:val="24"/>
        </w:rPr>
        <w:t> </w:t>
      </w:r>
      <w:r>
        <w:rPr>
          <w:sz w:val="24"/>
        </w:rPr>
        <w:t>and</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provide the </w:t>
      </w:r>
      <w:r>
        <w:rPr>
          <w:i/>
          <w:sz w:val="24"/>
        </w:rPr>
        <w:t>Metering Coordinator </w:t>
      </w:r>
      <w:r>
        <w:rPr>
          <w:sz w:val="24"/>
        </w:rPr>
        <w:t>at the </w:t>
      </w:r>
      <w:r>
        <w:rPr>
          <w:i/>
          <w:sz w:val="24"/>
        </w:rPr>
        <w:t>connection point </w:t>
      </w:r>
      <w:r>
        <w:rPr>
          <w:sz w:val="24"/>
        </w:rPr>
        <w:t>with the </w:t>
      </w:r>
      <w:r>
        <w:rPr>
          <w:i/>
          <w:sz w:val="24"/>
        </w:rPr>
        <w:t>NMI </w:t>
      </w:r>
      <w:r>
        <w:rPr>
          <w:sz w:val="24"/>
        </w:rPr>
        <w:t>for the </w:t>
      </w:r>
      <w:r>
        <w:rPr>
          <w:i/>
          <w:sz w:val="24"/>
        </w:rPr>
        <w:t>metering installation </w:t>
      </w:r>
      <w:r>
        <w:rPr>
          <w:sz w:val="24"/>
        </w:rPr>
        <w:t>within 5 </w:t>
      </w:r>
      <w:r>
        <w:rPr>
          <w:i/>
          <w:sz w:val="24"/>
        </w:rPr>
        <w:t>business days </w:t>
      </w:r>
      <w:r>
        <w:rPr>
          <w:sz w:val="24"/>
        </w:rPr>
        <w:t>of receiving the </w:t>
      </w:r>
      <w:r>
        <w:rPr>
          <w:i/>
          <w:sz w:val="24"/>
        </w:rPr>
        <w:t>NMI </w:t>
      </w:r>
      <w:r>
        <w:rPr>
          <w:sz w:val="24"/>
        </w:rPr>
        <w:t>from the </w:t>
      </w:r>
      <w:r>
        <w:rPr>
          <w:i/>
          <w:sz w:val="24"/>
        </w:rPr>
        <w:t>Local Network Service</w:t>
      </w:r>
      <w:r>
        <w:rPr>
          <w:i/>
          <w:spacing w:val="-3"/>
          <w:sz w:val="24"/>
        </w:rPr>
        <w:t> </w:t>
      </w:r>
      <w:r>
        <w:rPr>
          <w:i/>
          <w:sz w:val="24"/>
        </w:rPr>
        <w:t>Provider</w:t>
      </w:r>
      <w:r>
        <w:rPr>
          <w:sz w:val="24"/>
        </w:rPr>
        <w:t>.</w:t>
      </w:r>
    </w:p>
    <w:p>
      <w:pPr>
        <w:pStyle w:val="ListParagraph"/>
        <w:numPr>
          <w:ilvl w:val="0"/>
          <w:numId w:val="484"/>
        </w:numPr>
        <w:tabs>
          <w:tab w:pos="1919" w:val="left" w:leader="none"/>
        </w:tabs>
        <w:spacing w:line="240" w:lineRule="auto" w:before="120" w:after="0"/>
        <w:ind w:left="1918" w:right="0" w:hanging="567"/>
        <w:jc w:val="both"/>
        <w:rPr>
          <w:sz w:val="24"/>
        </w:rPr>
      </w:pPr>
      <w:r>
        <w:rPr>
          <w:sz w:val="24"/>
        </w:rPr>
        <w:t>The </w:t>
      </w:r>
      <w:r>
        <w:rPr>
          <w:i/>
          <w:sz w:val="24"/>
        </w:rPr>
        <w:t>Local Network Service Provider</w:t>
      </w:r>
      <w:r>
        <w:rPr>
          <w:i/>
          <w:spacing w:val="-2"/>
          <w:sz w:val="24"/>
        </w:rPr>
        <w:t> </w:t>
      </w:r>
      <w:r>
        <w:rPr>
          <w:sz w:val="24"/>
        </w:rPr>
        <w:t>must:</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issue a unique </w:t>
      </w:r>
      <w:r>
        <w:rPr>
          <w:i/>
          <w:sz w:val="24"/>
        </w:rPr>
        <w:t>NMI </w:t>
      </w:r>
      <w:r>
        <w:rPr>
          <w:sz w:val="24"/>
        </w:rPr>
        <w:t>for each </w:t>
      </w:r>
      <w:r>
        <w:rPr>
          <w:i/>
          <w:sz w:val="24"/>
        </w:rPr>
        <w:t>metering installation </w:t>
      </w:r>
      <w:r>
        <w:rPr>
          <w:sz w:val="24"/>
        </w:rPr>
        <w:t>on its </w:t>
      </w:r>
      <w:r>
        <w:rPr>
          <w:i/>
          <w:sz w:val="24"/>
        </w:rPr>
        <w:t>network </w:t>
      </w:r>
      <w:r>
        <w:rPr>
          <w:sz w:val="24"/>
        </w:rPr>
        <w:t>to the financially responsible participant;</w:t>
      </w:r>
      <w:r>
        <w:rPr>
          <w:spacing w:val="-1"/>
          <w:sz w:val="24"/>
        </w:rPr>
        <w:t> </w:t>
      </w:r>
      <w:r>
        <w:rPr>
          <w:sz w:val="24"/>
        </w:rPr>
        <w:t>and</w:t>
      </w:r>
    </w:p>
    <w:p>
      <w:pPr>
        <w:pStyle w:val="ListParagraph"/>
        <w:numPr>
          <w:ilvl w:val="1"/>
          <w:numId w:val="484"/>
        </w:numPr>
        <w:tabs>
          <w:tab w:pos="2486" w:val="left" w:leader="none"/>
        </w:tabs>
        <w:spacing w:line="240" w:lineRule="auto" w:before="120" w:after="0"/>
        <w:ind w:left="2486" w:right="414" w:hanging="567"/>
        <w:jc w:val="both"/>
        <w:rPr>
          <w:sz w:val="24"/>
        </w:rPr>
      </w:pPr>
      <w:r>
        <w:rPr>
          <w:sz w:val="24"/>
        </w:rPr>
        <w:t>provide information about the </w:t>
      </w:r>
      <w:r>
        <w:rPr>
          <w:i/>
          <w:sz w:val="24"/>
        </w:rPr>
        <w:t>NMI </w:t>
      </w:r>
      <w:r>
        <w:rPr>
          <w:sz w:val="24"/>
        </w:rPr>
        <w:t>to </w:t>
      </w:r>
      <w:r>
        <w:rPr>
          <w:i/>
          <w:sz w:val="24"/>
        </w:rPr>
        <w:t>NTESMO</w:t>
      </w:r>
      <w:r>
        <w:rPr>
          <w:sz w:val="24"/>
        </w:rPr>
        <w:t>, where this is  required for the purposes of clause</w:t>
      </w:r>
      <w:r>
        <w:rPr>
          <w:spacing w:val="-1"/>
          <w:sz w:val="24"/>
        </w:rPr>
        <w:t> </w:t>
      </w:r>
      <w:r>
        <w:rPr>
          <w:sz w:val="24"/>
        </w:rPr>
        <w:t>7A.10.1.</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4"/>
        </w:numPr>
        <w:tabs>
          <w:tab w:pos="1920"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w:t>
      </w:r>
      <w:r>
        <w:rPr>
          <w:i/>
          <w:sz w:val="24"/>
        </w:rPr>
        <w:t>NTESMO </w:t>
      </w:r>
      <w:r>
        <w:rPr>
          <w:sz w:val="24"/>
        </w:rPr>
        <w:t>is provided with the relevant details of the </w:t>
      </w:r>
      <w:r>
        <w:rPr>
          <w:i/>
          <w:sz w:val="24"/>
        </w:rPr>
        <w:t>metering installation </w:t>
      </w:r>
      <w:r>
        <w:rPr>
          <w:sz w:val="24"/>
        </w:rPr>
        <w:t>as specified in Schedule 7A.1 within 10 </w:t>
      </w:r>
      <w:r>
        <w:rPr>
          <w:i/>
          <w:sz w:val="24"/>
        </w:rPr>
        <w:t>business days </w:t>
      </w:r>
      <w:r>
        <w:rPr>
          <w:sz w:val="24"/>
        </w:rPr>
        <w:t>of receiving the </w:t>
      </w:r>
      <w:r>
        <w:rPr>
          <w:i/>
          <w:sz w:val="24"/>
        </w:rPr>
        <w:t>NMI </w:t>
      </w:r>
      <w:r>
        <w:rPr>
          <w:sz w:val="24"/>
        </w:rPr>
        <w:t>under paragraph (d)(2), where this is required for the purposes of clause</w:t>
      </w:r>
      <w:r>
        <w:rPr>
          <w:spacing w:val="-1"/>
          <w:sz w:val="24"/>
        </w:rPr>
        <w:t> </w:t>
      </w:r>
      <w:r>
        <w:rPr>
          <w:sz w:val="24"/>
        </w:rPr>
        <w:t>7A.10.1.</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4"/>
        </w:numPr>
        <w:tabs>
          <w:tab w:pos="1919" w:val="left" w:leader="none"/>
        </w:tabs>
        <w:spacing w:line="240" w:lineRule="auto" w:before="120" w:after="0"/>
        <w:ind w:left="1919" w:right="415" w:hanging="567"/>
        <w:jc w:val="both"/>
        <w:rPr>
          <w:sz w:val="24"/>
        </w:rPr>
      </w:pPr>
      <w:r>
        <w:rPr>
          <w:sz w:val="24"/>
        </w:rPr>
        <w:t>Where a </w:t>
      </w:r>
      <w:r>
        <w:rPr>
          <w:i/>
          <w:sz w:val="24"/>
        </w:rPr>
        <w:t>metering installation </w:t>
      </w:r>
      <w:r>
        <w:rPr>
          <w:sz w:val="24"/>
        </w:rPr>
        <w:t>is used for operational purposes in addition to metrological purposes, the </w:t>
      </w:r>
      <w:r>
        <w:rPr>
          <w:i/>
          <w:sz w:val="24"/>
        </w:rPr>
        <w:t>Metering Coordinator</w:t>
      </w:r>
      <w:r>
        <w:rPr>
          <w:i/>
          <w:spacing w:val="-1"/>
          <w:sz w:val="24"/>
        </w:rPr>
        <w:t> </w:t>
      </w:r>
      <w:r>
        <w:rPr>
          <w:sz w:val="24"/>
        </w:rPr>
        <w:t>must:</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use reasonable endeavours to ensure that there will be no infringement of the requirements of the </w:t>
      </w:r>
      <w:r>
        <w:rPr>
          <w:i/>
          <w:sz w:val="24"/>
        </w:rPr>
        <w:t>Rules</w:t>
      </w:r>
      <w:r>
        <w:rPr>
          <w:sz w:val="24"/>
        </w:rPr>
        <w:t>;</w:t>
      </w:r>
      <w:r>
        <w:rPr>
          <w:spacing w:val="-1"/>
          <w:sz w:val="24"/>
        </w:rPr>
        <w:t> </w:t>
      </w:r>
      <w:r>
        <w:rPr>
          <w:sz w:val="24"/>
        </w:rPr>
        <w:t>and</w:t>
      </w:r>
    </w:p>
    <w:p>
      <w:pPr>
        <w:pStyle w:val="ListParagraph"/>
        <w:numPr>
          <w:ilvl w:val="1"/>
          <w:numId w:val="484"/>
        </w:numPr>
        <w:tabs>
          <w:tab w:pos="2486" w:val="left" w:leader="none"/>
        </w:tabs>
        <w:spacing w:line="240" w:lineRule="auto" w:before="120" w:after="0"/>
        <w:ind w:left="2486" w:right="415" w:hanging="567"/>
        <w:jc w:val="both"/>
        <w:rPr>
          <w:sz w:val="24"/>
        </w:rPr>
      </w:pPr>
      <w:r>
        <w:rPr>
          <w:sz w:val="24"/>
        </w:rPr>
        <w:t>co-ordinate with the persons who use the </w:t>
      </w:r>
      <w:r>
        <w:rPr>
          <w:i/>
          <w:sz w:val="24"/>
        </w:rPr>
        <w:t>metering installation </w:t>
      </w:r>
      <w:r>
        <w:rPr>
          <w:sz w:val="24"/>
        </w:rPr>
        <w:t>for such other</w:t>
      </w:r>
      <w:r>
        <w:rPr>
          <w:spacing w:val="-2"/>
          <w:sz w:val="24"/>
        </w:rPr>
        <w:t> </w:t>
      </w:r>
      <w:r>
        <w:rPr>
          <w:sz w:val="24"/>
        </w:rPr>
        <w:t>purposes.</w:t>
      </w:r>
    </w:p>
    <w:p>
      <w:pPr>
        <w:pStyle w:val="BodyText"/>
        <w:spacing w:before="10"/>
        <w:ind w:firstLine="0"/>
        <w:jc w:val="left"/>
        <w:rPr>
          <w:sz w:val="20"/>
        </w:rPr>
      </w:pPr>
    </w:p>
    <w:p>
      <w:pPr>
        <w:pStyle w:val="Heading4"/>
        <w:tabs>
          <w:tab w:pos="1351" w:val="left" w:leader="none"/>
        </w:tabs>
        <w:ind w:left="218" w:firstLine="0"/>
      </w:pPr>
      <w:bookmarkStart w:name="7A.6.3 Emergency management" w:id="1745"/>
      <w:bookmarkEnd w:id="1745"/>
      <w:r>
        <w:rPr>
          <w:b w:val="0"/>
        </w:rPr>
      </w:r>
      <w:bookmarkStart w:name="_bookmark698" w:id="1746"/>
      <w:bookmarkEnd w:id="1746"/>
      <w:r>
        <w:rPr>
          <w:b w:val="0"/>
        </w:rPr>
      </w:r>
      <w:r>
        <w:rPr/>
        <w:t>7A.6.3</w:t>
        <w:tab/>
        <w:t>Emergency</w:t>
      </w:r>
      <w:r>
        <w:rPr>
          <w:spacing w:val="-1"/>
        </w:rPr>
        <w:t> </w:t>
      </w:r>
      <w:r>
        <w:rPr/>
        <w:t>management</w:t>
      </w:r>
    </w:p>
    <w:p>
      <w:pPr>
        <w:spacing w:before="120"/>
        <w:ind w:left="31" w:right="6587" w:firstLine="0"/>
        <w:jc w:val="center"/>
        <w:rPr>
          <w:rFonts w:ascii="Arial"/>
          <w:b/>
          <w:sz w:val="20"/>
        </w:rPr>
      </w:pPr>
      <w:r>
        <w:rPr>
          <w:rFonts w:ascii="Arial"/>
          <w:b/>
          <w:sz w:val="20"/>
        </w:rPr>
        <w:t>Note</w:t>
      </w:r>
    </w:p>
    <w:p>
      <w:pPr>
        <w:spacing w:before="120"/>
        <w:ind w:left="1352" w:right="415" w:firstLine="0"/>
        <w:jc w:val="left"/>
        <w:rPr>
          <w:sz w:val="20"/>
        </w:rPr>
      </w:pPr>
      <w:r>
        <w:rPr>
          <w:sz w:val="20"/>
        </w:rPr>
        <w:t>Emergency management will be considered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351" w:val="left" w:leader="none"/>
        </w:tabs>
        <w:ind w:left="218" w:firstLine="0"/>
      </w:pPr>
      <w:bookmarkStart w:name="7A.6.4 Network devices" w:id="1747"/>
      <w:bookmarkEnd w:id="1747"/>
      <w:r>
        <w:rPr>
          <w:b w:val="0"/>
        </w:rPr>
      </w:r>
      <w:bookmarkStart w:name="_bookmark699" w:id="1748"/>
      <w:bookmarkEnd w:id="1748"/>
      <w:r>
        <w:rPr>
          <w:b w:val="0"/>
        </w:rPr>
      </w:r>
      <w:r>
        <w:rPr/>
        <w:t>7A.6.4</w:t>
        <w:tab/>
        <w:t>Network</w:t>
      </w:r>
      <w:r>
        <w:rPr>
          <w:spacing w:val="-2"/>
        </w:rPr>
        <w:t> </w:t>
      </w:r>
      <w:r>
        <w:rPr/>
        <w:t>devices</w:t>
      </w:r>
    </w:p>
    <w:p>
      <w:pPr>
        <w:spacing w:before="120"/>
        <w:ind w:left="31" w:right="6587" w:firstLine="0"/>
        <w:jc w:val="center"/>
        <w:rPr>
          <w:rFonts w:ascii="Arial"/>
          <w:b/>
          <w:sz w:val="20"/>
        </w:rPr>
      </w:pPr>
      <w:r>
        <w:rPr>
          <w:rFonts w:ascii="Arial"/>
          <w:b/>
          <w:sz w:val="20"/>
        </w:rPr>
        <w:t>Note</w:t>
      </w:r>
    </w:p>
    <w:p>
      <w:pPr>
        <w:spacing w:before="120"/>
        <w:ind w:left="1352" w:right="415" w:firstLine="0"/>
        <w:jc w:val="left"/>
        <w:rPr>
          <w:sz w:val="20"/>
        </w:rPr>
      </w:pPr>
      <w:r>
        <w:rPr>
          <w:sz w:val="20"/>
        </w:rPr>
        <w:t>Network devices will be considered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tabs>
          <w:tab w:pos="1133" w:val="left" w:leader="none"/>
        </w:tabs>
        <w:ind w:left="0" w:right="6482" w:firstLine="0"/>
        <w:jc w:val="center"/>
      </w:pPr>
      <w:bookmarkStart w:name="7A.6.5 Metering point" w:id="1749"/>
      <w:bookmarkEnd w:id="1749"/>
      <w:r>
        <w:rPr>
          <w:b w:val="0"/>
        </w:rPr>
      </w:r>
      <w:bookmarkStart w:name="_bookmark700" w:id="1750"/>
      <w:bookmarkEnd w:id="1750"/>
      <w:r>
        <w:rPr>
          <w:b w:val="0"/>
        </w:rPr>
      </w:r>
      <w:r>
        <w:rPr/>
        <w:t>7A.6.5</w:t>
        <w:tab/>
        <w:t>Metering</w:t>
      </w:r>
      <w:r>
        <w:rPr>
          <w:spacing w:val="-1"/>
        </w:rPr>
        <w:t> </w:t>
      </w:r>
      <w:r>
        <w:rPr/>
        <w:t>point</w:t>
      </w:r>
    </w:p>
    <w:p>
      <w:pPr>
        <w:pStyle w:val="ListParagraph"/>
        <w:numPr>
          <w:ilvl w:val="0"/>
          <w:numId w:val="485"/>
        </w:numPr>
        <w:tabs>
          <w:tab w:pos="1919" w:val="left" w:leader="none"/>
        </w:tabs>
        <w:spacing w:line="240" w:lineRule="auto" w:before="120" w:after="0"/>
        <w:ind w:left="1918" w:right="0" w:hanging="567"/>
        <w:jc w:val="both"/>
        <w:rPr>
          <w:sz w:val="24"/>
        </w:rPr>
      </w:pPr>
      <w:r>
        <w:rPr>
          <w:sz w:val="24"/>
        </w:rPr>
        <w:t>The </w:t>
      </w:r>
      <w:r>
        <w:rPr>
          <w:i/>
          <w:sz w:val="24"/>
        </w:rPr>
        <w:t>Metering Coordinator </w:t>
      </w:r>
      <w:r>
        <w:rPr>
          <w:sz w:val="24"/>
        </w:rPr>
        <w:t>at a </w:t>
      </w:r>
      <w:r>
        <w:rPr>
          <w:i/>
          <w:sz w:val="24"/>
        </w:rPr>
        <w:t>connection point </w:t>
      </w:r>
      <w:r>
        <w:rPr>
          <w:sz w:val="24"/>
        </w:rPr>
        <w:t>must ensure</w:t>
      </w:r>
      <w:r>
        <w:rPr>
          <w:spacing w:val="-2"/>
          <w:sz w:val="24"/>
        </w:rPr>
        <w:t> </w:t>
      </w:r>
      <w:r>
        <w:rPr>
          <w:sz w:val="24"/>
        </w:rPr>
        <w:t>that:</w:t>
      </w:r>
    </w:p>
    <w:p>
      <w:pPr>
        <w:pStyle w:val="ListParagraph"/>
        <w:numPr>
          <w:ilvl w:val="1"/>
          <w:numId w:val="485"/>
        </w:numPr>
        <w:tabs>
          <w:tab w:pos="3053" w:val="left" w:leader="none"/>
        </w:tabs>
        <w:spacing w:line="240" w:lineRule="auto" w:before="120" w:after="0"/>
        <w:ind w:left="3053" w:right="415" w:hanging="567"/>
        <w:jc w:val="both"/>
        <w:rPr>
          <w:sz w:val="24"/>
        </w:rPr>
      </w:pPr>
      <w:r>
        <w:rPr>
          <w:sz w:val="24"/>
        </w:rPr>
        <w:t>the </w:t>
      </w:r>
      <w:r>
        <w:rPr>
          <w:i/>
          <w:sz w:val="24"/>
        </w:rPr>
        <w:t>metering point </w:t>
      </w:r>
      <w:r>
        <w:rPr>
          <w:sz w:val="24"/>
        </w:rPr>
        <w:t>is located as close as practicable to the </w:t>
      </w:r>
      <w:r>
        <w:rPr>
          <w:i/>
          <w:sz w:val="24"/>
        </w:rPr>
        <w:t>connection point</w:t>
      </w:r>
      <w:r>
        <w:rPr>
          <w:sz w:val="24"/>
        </w:rPr>
        <w:t>, but is in a position that allows safe and unimpeded access to the </w:t>
      </w:r>
      <w:r>
        <w:rPr>
          <w:i/>
          <w:sz w:val="24"/>
        </w:rPr>
        <w:t>metering installation </w:t>
      </w:r>
      <w:r>
        <w:rPr>
          <w:sz w:val="24"/>
        </w:rPr>
        <w:t>by the </w:t>
      </w:r>
      <w:r>
        <w:rPr>
          <w:i/>
          <w:sz w:val="24"/>
        </w:rPr>
        <w:t>Metering </w:t>
      </w:r>
      <w:r>
        <w:rPr>
          <w:i/>
          <w:sz w:val="24"/>
        </w:rPr>
        <w:t>Provider</w:t>
      </w:r>
      <w:r>
        <w:rPr>
          <w:sz w:val="24"/>
        </w:rPr>
        <w:t>, </w:t>
      </w:r>
      <w:r>
        <w:rPr>
          <w:i/>
          <w:sz w:val="24"/>
        </w:rPr>
        <w:t>Metering Data Provider </w:t>
      </w:r>
      <w:r>
        <w:rPr>
          <w:sz w:val="24"/>
        </w:rPr>
        <w:t>and any other person required or permitted to have access to the </w:t>
      </w:r>
      <w:r>
        <w:rPr>
          <w:i/>
          <w:sz w:val="24"/>
        </w:rPr>
        <w:t>metering installation </w:t>
      </w:r>
      <w:r>
        <w:rPr>
          <w:sz w:val="24"/>
        </w:rPr>
        <w:t>under  the </w:t>
      </w:r>
      <w:r>
        <w:rPr>
          <w:i/>
          <w:sz w:val="24"/>
        </w:rPr>
        <w:t>Rules </w:t>
      </w:r>
      <w:r>
        <w:rPr>
          <w:sz w:val="24"/>
        </w:rPr>
        <w:t>or any other law;</w:t>
      </w:r>
      <w:r>
        <w:rPr>
          <w:spacing w:val="-2"/>
          <w:sz w:val="24"/>
        </w:rPr>
        <w:t> </w:t>
      </w:r>
      <w:r>
        <w:rPr>
          <w:sz w:val="24"/>
        </w:rPr>
        <w:t>and</w:t>
      </w:r>
    </w:p>
    <w:p>
      <w:pPr>
        <w:spacing w:before="120"/>
        <w:ind w:left="3053" w:right="0" w:firstLine="0"/>
        <w:jc w:val="left"/>
        <w:rPr>
          <w:rFonts w:ascii="Arial"/>
          <w:b/>
          <w:sz w:val="20"/>
        </w:rPr>
      </w:pPr>
      <w:r>
        <w:rPr>
          <w:rFonts w:ascii="Arial"/>
          <w:b/>
          <w:sz w:val="20"/>
        </w:rPr>
        <w:t>Note</w:t>
      </w:r>
    </w:p>
    <w:p>
      <w:pPr>
        <w:spacing w:before="120"/>
        <w:ind w:left="3053"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85"/>
        </w:numPr>
        <w:tabs>
          <w:tab w:pos="3053" w:val="left" w:leader="none"/>
        </w:tabs>
        <w:spacing w:line="240" w:lineRule="auto" w:before="120" w:after="0"/>
        <w:ind w:left="3053" w:right="415" w:hanging="567"/>
        <w:jc w:val="both"/>
        <w:rPr>
          <w:sz w:val="24"/>
        </w:rPr>
      </w:pPr>
      <w:r>
        <w:rPr>
          <w:sz w:val="24"/>
        </w:rPr>
        <w:t>any </w:t>
      </w:r>
      <w:r>
        <w:rPr>
          <w:i/>
          <w:sz w:val="24"/>
        </w:rPr>
        <w:t>instrument transformers </w:t>
      </w:r>
      <w:r>
        <w:rPr>
          <w:sz w:val="24"/>
        </w:rPr>
        <w:t>required for a </w:t>
      </w:r>
      <w:r>
        <w:rPr>
          <w:i/>
          <w:sz w:val="24"/>
        </w:rPr>
        <w:t>check metering </w:t>
      </w:r>
      <w:r>
        <w:rPr>
          <w:i/>
          <w:sz w:val="24"/>
        </w:rPr>
        <w:t>installation </w:t>
      </w:r>
      <w:r>
        <w:rPr>
          <w:sz w:val="24"/>
        </w:rPr>
        <w:t>are located in a position that achieves a mathematical correlation with the </w:t>
      </w:r>
      <w:r>
        <w:rPr>
          <w:i/>
          <w:sz w:val="24"/>
        </w:rPr>
        <w:t>metering</w:t>
      </w:r>
      <w:r>
        <w:rPr>
          <w:i/>
          <w:spacing w:val="-3"/>
          <w:sz w:val="24"/>
        </w:rPr>
        <w:t> </w:t>
      </w:r>
      <w:r>
        <w:rPr>
          <w:i/>
          <w:sz w:val="24"/>
        </w:rPr>
        <w:t>data</w:t>
      </w:r>
      <w:r>
        <w:rPr>
          <w:sz w:val="24"/>
        </w:rPr>
        <w:t>.</w:t>
      </w:r>
    </w:p>
    <w:p>
      <w:pPr>
        <w:spacing w:after="0" w:line="240" w:lineRule="auto"/>
        <w:jc w:val="both"/>
        <w:rPr>
          <w:sz w:val="24"/>
        </w:rPr>
        <w:sectPr>
          <w:pgSz w:w="11910" w:h="16840"/>
          <w:pgMar w:header="686" w:footer="637" w:top="1320" w:bottom="820" w:left="1200" w:right="1000"/>
        </w:sectPr>
      </w:pPr>
    </w:p>
    <w:p>
      <w:pPr>
        <w:spacing w:before="83"/>
        <w:ind w:left="3053" w:right="0" w:firstLine="0"/>
        <w:jc w:val="left"/>
        <w:rPr>
          <w:rFonts w:ascii="Arial"/>
          <w:b/>
          <w:sz w:val="20"/>
        </w:rPr>
      </w:pPr>
      <w:r>
        <w:rPr>
          <w:rFonts w:ascii="Arial"/>
          <w:b/>
          <w:sz w:val="20"/>
        </w:rPr>
        <w:t>Note</w:t>
      </w:r>
    </w:p>
    <w:p>
      <w:pPr>
        <w:spacing w:before="120"/>
        <w:ind w:left="3053"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5"/>
        </w:numPr>
        <w:tabs>
          <w:tab w:pos="1919" w:val="left" w:leader="none"/>
        </w:tabs>
        <w:spacing w:line="240" w:lineRule="auto" w:before="120" w:after="0"/>
        <w:ind w:left="1919" w:right="413" w:hanging="567"/>
        <w:jc w:val="both"/>
        <w:rPr>
          <w:sz w:val="24"/>
        </w:rPr>
      </w:pPr>
      <w:r>
        <w:rPr>
          <w:sz w:val="24"/>
        </w:rPr>
        <w:t>The financially responsible participant, the </w:t>
      </w:r>
      <w:r>
        <w:rPr>
          <w:i/>
          <w:sz w:val="24"/>
        </w:rPr>
        <w:t>Local Network Service Provider </w:t>
      </w:r>
      <w:r>
        <w:rPr>
          <w:sz w:val="24"/>
        </w:rPr>
        <w:t>and </w:t>
      </w:r>
      <w:r>
        <w:rPr>
          <w:i/>
          <w:sz w:val="24"/>
        </w:rPr>
        <w:t>NTESMO </w:t>
      </w:r>
      <w:r>
        <w:rPr>
          <w:sz w:val="24"/>
        </w:rPr>
        <w:t>must use their best endeavours to agree to adjust the </w:t>
      </w:r>
      <w:r>
        <w:rPr>
          <w:i/>
          <w:sz w:val="24"/>
        </w:rPr>
        <w:t>metering </w:t>
      </w:r>
      <w:r>
        <w:rPr>
          <w:i/>
          <w:sz w:val="24"/>
        </w:rPr>
        <w:t>data </w:t>
      </w:r>
      <w:r>
        <w:rPr>
          <w:sz w:val="24"/>
        </w:rPr>
        <w:t>which is recorded in the </w:t>
      </w:r>
      <w:r>
        <w:rPr>
          <w:i/>
          <w:sz w:val="24"/>
        </w:rPr>
        <w:t>metering database </w:t>
      </w:r>
      <w:r>
        <w:rPr>
          <w:sz w:val="24"/>
        </w:rPr>
        <w:t>to allow for physical losses between the </w:t>
      </w:r>
      <w:r>
        <w:rPr>
          <w:i/>
          <w:sz w:val="24"/>
        </w:rPr>
        <w:t>metering point </w:t>
      </w:r>
      <w:r>
        <w:rPr>
          <w:sz w:val="24"/>
        </w:rPr>
        <w:t>and the relevant </w:t>
      </w:r>
      <w:r>
        <w:rPr>
          <w:i/>
          <w:sz w:val="24"/>
        </w:rPr>
        <w:t>connection point </w:t>
      </w:r>
      <w:r>
        <w:rPr>
          <w:sz w:val="24"/>
        </w:rPr>
        <w:t>where a </w:t>
      </w:r>
      <w:r>
        <w:rPr>
          <w:i/>
          <w:sz w:val="24"/>
        </w:rPr>
        <w:t>meter </w:t>
      </w:r>
      <w:r>
        <w:rPr>
          <w:sz w:val="24"/>
        </w:rPr>
        <w:t>is used to measure the flow of electricity in a power</w:t>
      </w:r>
      <w:r>
        <w:rPr>
          <w:spacing w:val="-2"/>
          <w:sz w:val="24"/>
        </w:rPr>
        <w:t> </w:t>
      </w:r>
      <w:r>
        <w:rPr>
          <w:sz w:val="24"/>
        </w:rPr>
        <w:t>conductor.</w:t>
      </w:r>
    </w:p>
    <w:p>
      <w:pPr>
        <w:pStyle w:val="BodyText"/>
        <w:spacing w:before="10"/>
        <w:ind w:firstLine="0"/>
        <w:jc w:val="left"/>
        <w:rPr>
          <w:sz w:val="20"/>
        </w:rPr>
      </w:pPr>
    </w:p>
    <w:p>
      <w:pPr>
        <w:pStyle w:val="Heading4"/>
        <w:tabs>
          <w:tab w:pos="1351" w:val="left" w:leader="none"/>
        </w:tabs>
        <w:ind w:left="218" w:firstLine="0"/>
      </w:pPr>
      <w:bookmarkStart w:name="7A.6.6 Metering installation types and a" w:id="1751"/>
      <w:bookmarkEnd w:id="1751"/>
      <w:r>
        <w:rPr>
          <w:b w:val="0"/>
        </w:rPr>
      </w:r>
      <w:bookmarkStart w:name="_bookmark701" w:id="1752"/>
      <w:bookmarkEnd w:id="1752"/>
      <w:r>
        <w:rPr>
          <w:b w:val="0"/>
        </w:rPr>
      </w:r>
      <w:r>
        <w:rPr/>
        <w:t>7A.6.6</w:t>
        <w:tab/>
        <w:t>Metering installation types and</w:t>
      </w:r>
      <w:r>
        <w:rPr>
          <w:spacing w:val="-2"/>
        </w:rPr>
        <w:t> </w:t>
      </w:r>
      <w:r>
        <w:rPr/>
        <w:t>accuracy</w:t>
      </w:r>
    </w:p>
    <w:p>
      <w:pPr>
        <w:pStyle w:val="ListParagraph"/>
        <w:numPr>
          <w:ilvl w:val="0"/>
          <w:numId w:val="486"/>
        </w:numPr>
        <w:tabs>
          <w:tab w:pos="1919" w:val="left" w:leader="none"/>
        </w:tabs>
        <w:spacing w:line="240" w:lineRule="auto" w:before="120" w:after="0"/>
        <w:ind w:left="1919" w:right="415" w:hanging="567"/>
        <w:jc w:val="both"/>
        <w:rPr>
          <w:sz w:val="24"/>
        </w:rPr>
      </w:pPr>
      <w:r>
        <w:rPr>
          <w:sz w:val="24"/>
        </w:rPr>
        <w:t>The type of </w:t>
      </w:r>
      <w:r>
        <w:rPr>
          <w:i/>
          <w:sz w:val="24"/>
        </w:rPr>
        <w:t>metering installation </w:t>
      </w:r>
      <w:r>
        <w:rPr>
          <w:sz w:val="24"/>
        </w:rPr>
        <w:t>and the accuracy requirements for a </w:t>
      </w:r>
      <w:r>
        <w:rPr>
          <w:i/>
          <w:sz w:val="24"/>
        </w:rPr>
        <w:t>metering installation </w:t>
      </w:r>
      <w:r>
        <w:rPr>
          <w:sz w:val="24"/>
        </w:rPr>
        <w:t>are to be determined in accordance with schedule 7A.4.</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This Chapter 7A makes provision for type 7 </w:t>
      </w:r>
      <w:r>
        <w:rPr>
          <w:i/>
          <w:sz w:val="20"/>
        </w:rPr>
        <w:t>metering installations </w:t>
      </w:r>
      <w:r>
        <w:rPr>
          <w:sz w:val="20"/>
        </w:rPr>
        <w:t>and imposes requirements on type 7 </w:t>
      </w:r>
      <w:r>
        <w:rPr>
          <w:i/>
          <w:sz w:val="20"/>
        </w:rPr>
        <w:t>metering installations</w:t>
      </w:r>
      <w:r>
        <w:rPr>
          <w:sz w:val="20"/>
        </w:rPr>
        <w:t>, including obligations about calculating </w:t>
      </w:r>
      <w:r>
        <w:rPr>
          <w:i/>
          <w:sz w:val="20"/>
        </w:rPr>
        <w:t>metering data</w:t>
      </w:r>
      <w:r>
        <w:rPr>
          <w:sz w:val="20"/>
        </w:rPr>
        <w:t>. Those obligations will only apply in this jurisdiction in the event of a type 7 </w:t>
      </w:r>
      <w:r>
        <w:rPr>
          <w:i/>
          <w:sz w:val="20"/>
        </w:rPr>
        <w:t>metering installation </w:t>
      </w:r>
      <w:r>
        <w:rPr>
          <w:sz w:val="20"/>
        </w:rPr>
        <w:t>being available in this jurisdiction and after a 12 month transitional period allowing all participants to achieve compliance.</w:t>
      </w:r>
    </w:p>
    <w:p>
      <w:pPr>
        <w:pStyle w:val="ListParagraph"/>
        <w:numPr>
          <w:ilvl w:val="0"/>
          <w:numId w:val="486"/>
        </w:numPr>
        <w:tabs>
          <w:tab w:pos="1919" w:val="left" w:leader="none"/>
        </w:tabs>
        <w:spacing w:line="240" w:lineRule="auto" w:before="120" w:after="0"/>
        <w:ind w:left="1919" w:right="414" w:hanging="567"/>
        <w:jc w:val="both"/>
        <w:rPr>
          <w:sz w:val="24"/>
        </w:rPr>
      </w:pPr>
      <w:r>
        <w:rPr>
          <w:sz w:val="24"/>
        </w:rPr>
        <w:t>A </w:t>
      </w:r>
      <w:r>
        <w:rPr>
          <w:i/>
          <w:sz w:val="24"/>
        </w:rPr>
        <w:t>check metering installation </w:t>
      </w:r>
      <w:r>
        <w:rPr>
          <w:sz w:val="24"/>
        </w:rPr>
        <w:t>is not required to have the degree of accuracy required of a </w:t>
      </w:r>
      <w:r>
        <w:rPr>
          <w:i/>
          <w:sz w:val="24"/>
        </w:rPr>
        <w:t>metering installation </w:t>
      </w:r>
      <w:r>
        <w:rPr>
          <w:sz w:val="24"/>
        </w:rPr>
        <w:t>but the </w:t>
      </w:r>
      <w:r>
        <w:rPr>
          <w:i/>
          <w:sz w:val="24"/>
        </w:rPr>
        <w:t>Metering Coordinator </w:t>
      </w:r>
      <w:r>
        <w:rPr>
          <w:spacing w:val="-3"/>
          <w:sz w:val="24"/>
        </w:rPr>
        <w:t>must </w:t>
      </w:r>
      <w:r>
        <w:rPr>
          <w:sz w:val="24"/>
        </w:rPr>
        <w:t>ensure that it has mathematical correlation with the </w:t>
      </w:r>
      <w:r>
        <w:rPr>
          <w:i/>
          <w:sz w:val="24"/>
        </w:rPr>
        <w:t>metering installation </w:t>
      </w:r>
      <w:r>
        <w:rPr>
          <w:sz w:val="24"/>
        </w:rPr>
        <w:t>and complies with the requirements of schedule</w:t>
      </w:r>
      <w:r>
        <w:rPr>
          <w:spacing w:val="-4"/>
          <w:sz w:val="24"/>
        </w:rPr>
        <w:t> </w:t>
      </w:r>
      <w:r>
        <w:rPr>
          <w:sz w:val="24"/>
        </w:rPr>
        <w:t>7A.4.</w:t>
      </w:r>
    </w:p>
    <w:p>
      <w:pPr>
        <w:pStyle w:val="ListParagraph"/>
        <w:numPr>
          <w:ilvl w:val="0"/>
          <w:numId w:val="486"/>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the accuracy of a type 6 </w:t>
      </w:r>
      <w:r>
        <w:rPr>
          <w:i/>
          <w:sz w:val="24"/>
        </w:rPr>
        <w:t>metering installation </w:t>
      </w:r>
      <w:r>
        <w:rPr>
          <w:sz w:val="24"/>
        </w:rPr>
        <w:t>is in accordance with regulations issued under the </w:t>
      </w:r>
      <w:r>
        <w:rPr>
          <w:i/>
          <w:sz w:val="24"/>
        </w:rPr>
        <w:t>National Measurement Act </w:t>
      </w:r>
      <w:r>
        <w:rPr>
          <w:sz w:val="24"/>
        </w:rPr>
        <w:t>or, in the absence of any such regulations, with schedule</w:t>
      </w:r>
      <w:r>
        <w:rPr>
          <w:spacing w:val="-2"/>
          <w:sz w:val="24"/>
        </w:rPr>
        <w:t> </w:t>
      </w:r>
      <w:r>
        <w:rPr>
          <w:sz w:val="24"/>
        </w:rPr>
        <w:t>7A.7.</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1352" w:right="1819"/>
      </w:pPr>
      <w:bookmarkStart w:name="7A.6.7 Functionality requirements for ty" w:id="1753"/>
      <w:bookmarkEnd w:id="1753"/>
      <w:r>
        <w:rPr>
          <w:b w:val="0"/>
        </w:rPr>
      </w:r>
      <w:bookmarkStart w:name="_bookmark702" w:id="1754"/>
      <w:bookmarkEnd w:id="1754"/>
      <w:r>
        <w:rPr>
          <w:b w:val="0"/>
        </w:rPr>
      </w:r>
      <w:r>
        <w:rPr/>
        <w:t>7A.6.7</w:t>
        <w:tab/>
        <w:t>Functionality requirements for type 1, 2, 3 and 4 metering installations</w:t>
      </w:r>
    </w:p>
    <w:p>
      <w:pPr>
        <w:pStyle w:val="ListParagraph"/>
        <w:numPr>
          <w:ilvl w:val="0"/>
          <w:numId w:val="487"/>
        </w:numPr>
        <w:tabs>
          <w:tab w:pos="1919" w:val="left" w:leader="none"/>
        </w:tabs>
        <w:spacing w:line="240" w:lineRule="auto" w:before="120" w:after="0"/>
        <w:ind w:left="1918" w:right="0" w:hanging="567"/>
        <w:jc w:val="both"/>
        <w:rPr>
          <w:sz w:val="24"/>
        </w:rPr>
      </w:pPr>
      <w:r>
        <w:rPr>
          <w:sz w:val="24"/>
        </w:rPr>
        <w:t>This clause applies in respect of a type 1, 2, 3 or 4 </w:t>
      </w:r>
      <w:r>
        <w:rPr>
          <w:i/>
          <w:sz w:val="24"/>
        </w:rPr>
        <w:t>metering</w:t>
      </w:r>
      <w:r>
        <w:rPr>
          <w:i/>
          <w:spacing w:val="-6"/>
          <w:sz w:val="24"/>
        </w:rPr>
        <w:t> </w:t>
      </w:r>
      <w:r>
        <w:rPr>
          <w:i/>
          <w:sz w:val="24"/>
        </w:rPr>
        <w:t>installation</w:t>
      </w:r>
      <w:r>
        <w:rPr>
          <w:sz w:val="24"/>
        </w:rPr>
        <w:t>.</w:t>
      </w:r>
    </w:p>
    <w:p>
      <w:pPr>
        <w:pStyle w:val="ListParagraph"/>
        <w:numPr>
          <w:ilvl w:val="0"/>
          <w:numId w:val="487"/>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w:t>
      </w:r>
      <w:r>
        <w:rPr>
          <w:spacing w:val="-5"/>
          <w:sz w:val="24"/>
        </w:rPr>
        <w:t>the </w:t>
      </w:r>
      <w:r>
        <w:rPr>
          <w:i/>
          <w:sz w:val="24"/>
        </w:rPr>
        <w:t>metering installation </w:t>
      </w:r>
      <w:r>
        <w:rPr>
          <w:sz w:val="24"/>
        </w:rPr>
        <w:t>complies with the functionality requirements specified in schedule</w:t>
      </w:r>
      <w:r>
        <w:rPr>
          <w:spacing w:val="-2"/>
          <w:sz w:val="24"/>
        </w:rPr>
        <w:t> </w:t>
      </w:r>
      <w:r>
        <w:rPr>
          <w:sz w:val="24"/>
        </w:rPr>
        <w:t>7A.5.</w:t>
      </w:r>
    </w:p>
    <w:p>
      <w:pPr>
        <w:pStyle w:val="BodyText"/>
        <w:spacing w:before="10"/>
        <w:ind w:firstLine="0"/>
        <w:jc w:val="left"/>
        <w:rPr>
          <w:sz w:val="20"/>
        </w:rPr>
      </w:pPr>
    </w:p>
    <w:p>
      <w:pPr>
        <w:pStyle w:val="Heading4"/>
        <w:tabs>
          <w:tab w:pos="1351" w:val="left" w:leader="none"/>
        </w:tabs>
        <w:ind w:left="218" w:firstLine="0"/>
      </w:pPr>
      <w:bookmarkStart w:name="7A.6.8 Meter churn" w:id="1755"/>
      <w:bookmarkEnd w:id="1755"/>
      <w:r>
        <w:rPr>
          <w:b w:val="0"/>
        </w:rPr>
      </w:r>
      <w:bookmarkStart w:name="_bookmark703" w:id="1756"/>
      <w:bookmarkEnd w:id="1756"/>
      <w:r>
        <w:rPr>
          <w:b w:val="0"/>
        </w:rPr>
      </w:r>
      <w:r>
        <w:rPr/>
        <w:t>7A.6.8</w:t>
        <w:tab/>
        <w:t>Meter</w:t>
      </w:r>
      <w:r>
        <w:rPr>
          <w:spacing w:val="-1"/>
        </w:rPr>
        <w:t> </w:t>
      </w:r>
      <w:r>
        <w:rPr/>
        <w:t>churn</w:t>
      </w:r>
    </w:p>
    <w:p>
      <w:pPr>
        <w:pStyle w:val="ListParagraph"/>
        <w:numPr>
          <w:ilvl w:val="0"/>
          <w:numId w:val="488"/>
        </w:numPr>
        <w:tabs>
          <w:tab w:pos="1918" w:val="left" w:leader="none"/>
          <w:tab w:pos="1919" w:val="left" w:leader="none"/>
        </w:tabs>
        <w:spacing w:line="240" w:lineRule="auto" w:before="120" w:after="0"/>
        <w:ind w:left="1919" w:right="415" w:hanging="567"/>
        <w:jc w:val="left"/>
        <w:rPr>
          <w:sz w:val="24"/>
        </w:rPr>
      </w:pPr>
      <w:r>
        <w:rPr>
          <w:sz w:val="24"/>
        </w:rPr>
        <w:t>A </w:t>
      </w:r>
      <w:r>
        <w:rPr>
          <w:i/>
          <w:sz w:val="24"/>
        </w:rPr>
        <w:t>Metering Coordinator </w:t>
      </w:r>
      <w:r>
        <w:rPr>
          <w:sz w:val="24"/>
        </w:rPr>
        <w:t>may arrange to alter a type 5 or 6 </w:t>
      </w:r>
      <w:r>
        <w:rPr>
          <w:i/>
          <w:sz w:val="24"/>
        </w:rPr>
        <w:t>metering </w:t>
      </w:r>
      <w:r>
        <w:rPr>
          <w:i/>
          <w:sz w:val="24"/>
        </w:rPr>
        <w:t>installation </w:t>
      </w:r>
      <w:r>
        <w:rPr>
          <w:sz w:val="24"/>
        </w:rPr>
        <w:t>to make it capable of </w:t>
      </w:r>
      <w:r>
        <w:rPr>
          <w:i/>
          <w:sz w:val="24"/>
        </w:rPr>
        <w:t>remote acquisition</w:t>
      </w:r>
      <w:r>
        <w:rPr>
          <w:i/>
          <w:spacing w:val="-2"/>
          <w:sz w:val="24"/>
        </w:rPr>
        <w:t> </w:t>
      </w:r>
      <w:r>
        <w:rPr>
          <w:sz w:val="24"/>
        </w:rPr>
        <w:t>if:</w:t>
      </w:r>
    </w:p>
    <w:p>
      <w:pPr>
        <w:pStyle w:val="ListParagraph"/>
        <w:numPr>
          <w:ilvl w:val="1"/>
          <w:numId w:val="488"/>
        </w:numPr>
        <w:tabs>
          <w:tab w:pos="2485" w:val="left" w:leader="none"/>
          <w:tab w:pos="2486" w:val="left" w:leader="none"/>
        </w:tabs>
        <w:spacing w:line="240" w:lineRule="auto" w:before="120" w:after="0"/>
        <w:ind w:left="2486" w:right="414" w:hanging="567"/>
        <w:jc w:val="left"/>
        <w:rPr>
          <w:sz w:val="24"/>
        </w:rPr>
      </w:pPr>
      <w:r>
        <w:rPr>
          <w:sz w:val="24"/>
        </w:rPr>
        <w:t>the alteration is reasonably required to address operational difficulties; or</w:t>
      </w:r>
    </w:p>
    <w:p>
      <w:pPr>
        <w:pStyle w:val="ListParagraph"/>
        <w:numPr>
          <w:ilvl w:val="1"/>
          <w:numId w:val="488"/>
        </w:numPr>
        <w:tabs>
          <w:tab w:pos="2485" w:val="left" w:leader="none"/>
          <w:tab w:pos="2486" w:val="left" w:leader="none"/>
        </w:tabs>
        <w:spacing w:line="240" w:lineRule="auto" w:before="120" w:after="0"/>
        <w:ind w:left="2486" w:right="416" w:hanging="567"/>
        <w:jc w:val="left"/>
        <w:rPr>
          <w:i/>
          <w:sz w:val="24"/>
        </w:rPr>
      </w:pPr>
      <w:r>
        <w:rPr>
          <w:sz w:val="24"/>
        </w:rPr>
        <w:t>the </w:t>
      </w:r>
      <w:r>
        <w:rPr>
          <w:i/>
          <w:sz w:val="24"/>
        </w:rPr>
        <w:t>Metering Coordinator </w:t>
      </w:r>
      <w:r>
        <w:rPr>
          <w:sz w:val="24"/>
        </w:rPr>
        <w:t>is the </w:t>
      </w:r>
      <w:r>
        <w:rPr>
          <w:i/>
          <w:sz w:val="24"/>
        </w:rPr>
        <w:t>Local Network Service Provider </w:t>
      </w:r>
      <w:r>
        <w:rPr>
          <w:sz w:val="24"/>
        </w:rPr>
        <w:t>and the alteration is reasonably required to enable the </w:t>
      </w:r>
      <w:r>
        <w:rPr>
          <w:i/>
          <w:sz w:val="24"/>
        </w:rPr>
        <w:t>Local</w:t>
      </w:r>
      <w:r>
        <w:rPr>
          <w:i/>
          <w:spacing w:val="46"/>
          <w:sz w:val="24"/>
        </w:rPr>
        <w:t> </w:t>
      </w:r>
      <w:r>
        <w:rPr>
          <w:i/>
          <w:sz w:val="24"/>
        </w:rPr>
        <w:t>Network</w:t>
      </w:r>
    </w:p>
    <w:p>
      <w:pPr>
        <w:spacing w:after="0" w:line="240" w:lineRule="auto"/>
        <w:jc w:val="left"/>
        <w:rPr>
          <w:sz w:val="24"/>
        </w:rPr>
        <w:sectPr>
          <w:pgSz w:w="11910" w:h="16840"/>
          <w:pgMar w:header="686" w:footer="637" w:top="1320" w:bottom="820" w:left="1200" w:right="1000"/>
        </w:sectPr>
      </w:pPr>
    </w:p>
    <w:p>
      <w:pPr>
        <w:spacing w:before="83"/>
        <w:ind w:left="2486" w:right="416" w:firstLine="0"/>
        <w:jc w:val="both"/>
        <w:rPr>
          <w:sz w:val="24"/>
        </w:rPr>
      </w:pPr>
      <w:r>
        <w:rPr>
          <w:i/>
          <w:sz w:val="24"/>
        </w:rPr>
        <w:t>Service Provider </w:t>
      </w:r>
      <w:r>
        <w:rPr>
          <w:sz w:val="24"/>
        </w:rPr>
        <w:t>to meet its obligations to provide a safe, reliable and secure </w:t>
      </w:r>
      <w:r>
        <w:rPr>
          <w:i/>
          <w:sz w:val="24"/>
        </w:rPr>
        <w:t>network</w:t>
      </w:r>
      <w:r>
        <w:rPr>
          <w:sz w:val="24"/>
        </w:rPr>
        <w:t>.</w:t>
      </w:r>
    </w:p>
    <w:p>
      <w:pPr>
        <w:pStyle w:val="ListParagraph"/>
        <w:numPr>
          <w:ilvl w:val="0"/>
          <w:numId w:val="488"/>
        </w:numPr>
        <w:tabs>
          <w:tab w:pos="1919" w:val="left" w:leader="none"/>
        </w:tabs>
        <w:spacing w:line="240" w:lineRule="auto" w:before="120" w:after="0"/>
        <w:ind w:left="1919" w:right="415" w:hanging="567"/>
        <w:jc w:val="both"/>
        <w:rPr>
          <w:sz w:val="24"/>
        </w:rPr>
      </w:pPr>
      <w:r>
        <w:rPr>
          <w:sz w:val="24"/>
        </w:rPr>
        <w:t>An alteration of a </w:t>
      </w:r>
      <w:r>
        <w:rPr>
          <w:i/>
          <w:sz w:val="24"/>
        </w:rPr>
        <w:t>metering installation </w:t>
      </w:r>
      <w:r>
        <w:rPr>
          <w:sz w:val="24"/>
        </w:rPr>
        <w:t>by a </w:t>
      </w:r>
      <w:r>
        <w:rPr>
          <w:i/>
          <w:sz w:val="24"/>
        </w:rPr>
        <w:t>Metering Coordinator </w:t>
      </w:r>
      <w:r>
        <w:rPr>
          <w:sz w:val="24"/>
        </w:rPr>
        <w:t>in accordance with paragraph (a) does not alter the classification of that installation to a type 4 or 4A </w:t>
      </w:r>
      <w:r>
        <w:rPr>
          <w:i/>
          <w:sz w:val="24"/>
        </w:rPr>
        <w:t>metering</w:t>
      </w:r>
      <w:r>
        <w:rPr>
          <w:i/>
          <w:spacing w:val="-1"/>
          <w:sz w:val="24"/>
        </w:rPr>
        <w:t> </w:t>
      </w:r>
      <w:r>
        <w:rPr>
          <w:i/>
          <w:sz w:val="24"/>
        </w:rPr>
        <w:t>installation</w:t>
      </w:r>
      <w:r>
        <w:rPr>
          <w:sz w:val="24"/>
        </w:rPr>
        <w:t>.</w:t>
      </w:r>
    </w:p>
    <w:p>
      <w:pPr>
        <w:pStyle w:val="ListParagraph"/>
        <w:numPr>
          <w:ilvl w:val="0"/>
          <w:numId w:val="488"/>
        </w:numPr>
        <w:tabs>
          <w:tab w:pos="1919" w:val="left" w:leader="none"/>
        </w:tabs>
        <w:spacing w:line="240" w:lineRule="auto" w:before="120" w:after="0"/>
        <w:ind w:left="1919" w:right="416" w:hanging="567"/>
        <w:jc w:val="both"/>
        <w:rPr>
          <w:sz w:val="24"/>
        </w:rPr>
      </w:pPr>
      <w:r>
        <w:rPr>
          <w:sz w:val="24"/>
        </w:rPr>
        <w:t>For paragraph (a)(1), operational difficulties arise if the </w:t>
      </w:r>
      <w:r>
        <w:rPr>
          <w:i/>
          <w:sz w:val="24"/>
        </w:rPr>
        <w:t>metering </w:t>
      </w:r>
      <w:r>
        <w:rPr>
          <w:i/>
          <w:sz w:val="24"/>
        </w:rPr>
        <w:t>installation </w:t>
      </w:r>
      <w:r>
        <w:rPr>
          <w:sz w:val="24"/>
        </w:rPr>
        <w:t>is difficult or unsafe to access</w:t>
      </w:r>
      <w:r>
        <w:rPr>
          <w:spacing w:val="-3"/>
          <w:sz w:val="24"/>
        </w:rPr>
        <w:t> </w:t>
      </w:r>
      <w:r>
        <w:rPr>
          <w:sz w:val="24"/>
        </w:rPr>
        <w:t>because:</w:t>
      </w:r>
    </w:p>
    <w:p>
      <w:pPr>
        <w:pStyle w:val="ListParagraph"/>
        <w:numPr>
          <w:ilvl w:val="1"/>
          <w:numId w:val="488"/>
        </w:numPr>
        <w:tabs>
          <w:tab w:pos="2485" w:val="left" w:leader="none"/>
          <w:tab w:pos="2486" w:val="left" w:leader="none"/>
        </w:tabs>
        <w:spacing w:line="240" w:lineRule="auto" w:before="120" w:after="0"/>
        <w:ind w:left="2485" w:right="0" w:hanging="567"/>
        <w:jc w:val="left"/>
        <w:rPr>
          <w:sz w:val="24"/>
        </w:rPr>
      </w:pPr>
      <w:r>
        <w:rPr>
          <w:sz w:val="24"/>
        </w:rPr>
        <w:t>it is on a remote</w:t>
      </w:r>
      <w:r>
        <w:rPr>
          <w:spacing w:val="-1"/>
          <w:sz w:val="24"/>
        </w:rPr>
        <w:t> </w:t>
      </w:r>
      <w:r>
        <w:rPr>
          <w:sz w:val="24"/>
        </w:rPr>
        <w:t>property;</w:t>
      </w:r>
    </w:p>
    <w:p>
      <w:pPr>
        <w:pStyle w:val="ListParagraph"/>
        <w:numPr>
          <w:ilvl w:val="1"/>
          <w:numId w:val="488"/>
        </w:numPr>
        <w:tabs>
          <w:tab w:pos="2485" w:val="left" w:leader="none"/>
          <w:tab w:pos="2486" w:val="left" w:leader="none"/>
        </w:tabs>
        <w:spacing w:line="240" w:lineRule="auto" w:before="120" w:after="0"/>
        <w:ind w:left="2485" w:right="0" w:hanging="567"/>
        <w:jc w:val="left"/>
        <w:rPr>
          <w:sz w:val="24"/>
        </w:rPr>
      </w:pPr>
      <w:r>
        <w:rPr>
          <w:sz w:val="24"/>
        </w:rPr>
        <w:t>it is within a secure</w:t>
      </w:r>
      <w:r>
        <w:rPr>
          <w:spacing w:val="-3"/>
          <w:sz w:val="24"/>
        </w:rPr>
        <w:t> </w:t>
      </w:r>
      <w:r>
        <w:rPr>
          <w:sz w:val="24"/>
        </w:rPr>
        <w:t>facility;</w:t>
      </w:r>
    </w:p>
    <w:p>
      <w:pPr>
        <w:pStyle w:val="ListParagraph"/>
        <w:numPr>
          <w:ilvl w:val="1"/>
          <w:numId w:val="488"/>
        </w:numPr>
        <w:tabs>
          <w:tab w:pos="2485" w:val="left" w:leader="none"/>
          <w:tab w:pos="2486" w:val="left" w:leader="none"/>
        </w:tabs>
        <w:spacing w:line="240" w:lineRule="auto" w:before="120" w:after="0"/>
        <w:ind w:left="2485" w:right="0" w:hanging="567"/>
        <w:jc w:val="left"/>
        <w:rPr>
          <w:sz w:val="24"/>
        </w:rPr>
      </w:pPr>
      <w:r>
        <w:rPr>
          <w:sz w:val="24"/>
        </w:rPr>
        <w:t>it is in close proximity to hazardous materials;</w:t>
      </w:r>
      <w:r>
        <w:rPr>
          <w:spacing w:val="-2"/>
          <w:sz w:val="24"/>
        </w:rPr>
        <w:t> </w:t>
      </w:r>
      <w:r>
        <w:rPr>
          <w:sz w:val="24"/>
        </w:rPr>
        <w:t>or</w:t>
      </w:r>
    </w:p>
    <w:p>
      <w:pPr>
        <w:pStyle w:val="ListParagraph"/>
        <w:numPr>
          <w:ilvl w:val="1"/>
          <w:numId w:val="488"/>
        </w:numPr>
        <w:tabs>
          <w:tab w:pos="2485" w:val="left" w:leader="none"/>
          <w:tab w:pos="2486" w:val="left" w:leader="none"/>
        </w:tabs>
        <w:spacing w:line="240" w:lineRule="auto" w:before="120" w:after="0"/>
        <w:ind w:left="2486" w:right="415" w:hanging="567"/>
        <w:jc w:val="left"/>
        <w:rPr>
          <w:sz w:val="24"/>
        </w:rPr>
      </w:pPr>
      <w:r>
        <w:rPr>
          <w:sz w:val="24"/>
        </w:rPr>
        <w:t>accessing or arranging access to it otherwise poses a risk to the safety and security of persons or</w:t>
      </w:r>
      <w:r>
        <w:rPr>
          <w:spacing w:val="-1"/>
          <w:sz w:val="24"/>
        </w:rPr>
        <w:t> </w:t>
      </w:r>
      <w:r>
        <w:rPr>
          <w:sz w:val="24"/>
        </w:rPr>
        <w:t>property.</w:t>
      </w:r>
    </w:p>
    <w:p>
      <w:pPr>
        <w:pStyle w:val="BodyText"/>
        <w:spacing w:before="10"/>
        <w:ind w:firstLine="0"/>
        <w:jc w:val="left"/>
        <w:rPr>
          <w:sz w:val="20"/>
        </w:rPr>
      </w:pPr>
    </w:p>
    <w:p>
      <w:pPr>
        <w:pStyle w:val="Heading4"/>
        <w:tabs>
          <w:tab w:pos="1351" w:val="left" w:leader="none"/>
        </w:tabs>
        <w:ind w:left="218" w:firstLine="0"/>
      </w:pPr>
      <w:bookmarkStart w:name="7A.6.9 Metering installation malfunction" w:id="1757"/>
      <w:bookmarkEnd w:id="1757"/>
      <w:r>
        <w:rPr>
          <w:b w:val="0"/>
        </w:rPr>
      </w:r>
      <w:bookmarkStart w:name="_bookmark704" w:id="1758"/>
      <w:bookmarkEnd w:id="1758"/>
      <w:r>
        <w:rPr>
          <w:b w:val="0"/>
        </w:rPr>
      </w:r>
      <w:r>
        <w:rPr/>
        <w:t>7A.6.9</w:t>
        <w:tab/>
        <w:t>Metering installation</w:t>
      </w:r>
      <w:r>
        <w:rPr>
          <w:spacing w:val="-1"/>
        </w:rPr>
        <w:t> </w:t>
      </w:r>
      <w:r>
        <w:rPr/>
        <w:t>malfunctions</w:t>
      </w:r>
    </w:p>
    <w:p>
      <w:pPr>
        <w:pStyle w:val="ListParagraph"/>
        <w:numPr>
          <w:ilvl w:val="0"/>
          <w:numId w:val="489"/>
        </w:numPr>
        <w:tabs>
          <w:tab w:pos="1919" w:val="left" w:leader="none"/>
        </w:tabs>
        <w:spacing w:line="240" w:lineRule="auto" w:before="120" w:after="0"/>
        <w:ind w:left="1919" w:right="414" w:hanging="567"/>
        <w:jc w:val="both"/>
        <w:rPr>
          <w:sz w:val="24"/>
        </w:rPr>
      </w:pPr>
      <w:r>
        <w:rPr>
          <w:sz w:val="24"/>
        </w:rPr>
        <w:t>Unless an exemption is obtained by the </w:t>
      </w:r>
      <w:r>
        <w:rPr>
          <w:i/>
          <w:sz w:val="24"/>
        </w:rPr>
        <w:t>Metering Coordinator </w:t>
      </w:r>
      <w:r>
        <w:rPr>
          <w:sz w:val="24"/>
        </w:rPr>
        <w:t>from </w:t>
      </w:r>
      <w:r>
        <w:rPr>
          <w:i/>
          <w:sz w:val="24"/>
        </w:rPr>
        <w:t>NTESMO </w:t>
      </w:r>
      <w:r>
        <w:rPr>
          <w:sz w:val="24"/>
        </w:rPr>
        <w:t>under this clause 7A.6.9, the </w:t>
      </w:r>
      <w:r>
        <w:rPr>
          <w:i/>
          <w:sz w:val="24"/>
        </w:rPr>
        <w:t>Metering Coordinator </w:t>
      </w:r>
      <w:r>
        <w:rPr>
          <w:sz w:val="24"/>
        </w:rPr>
        <w:t>must, if a </w:t>
      </w:r>
      <w:r>
        <w:rPr>
          <w:i/>
          <w:sz w:val="24"/>
        </w:rPr>
        <w:t>metering installation malfunction </w:t>
      </w:r>
      <w:r>
        <w:rPr>
          <w:sz w:val="24"/>
        </w:rPr>
        <w:t>occurs in respect of a </w:t>
      </w:r>
      <w:r>
        <w:rPr>
          <w:i/>
          <w:sz w:val="24"/>
        </w:rPr>
        <w:t>connection point </w:t>
      </w:r>
      <w:r>
        <w:rPr>
          <w:sz w:val="24"/>
        </w:rPr>
        <w:t>with a type 1, 2 or 3 </w:t>
      </w:r>
      <w:r>
        <w:rPr>
          <w:i/>
          <w:sz w:val="24"/>
        </w:rPr>
        <w:t>metering installation</w:t>
      </w:r>
      <w:r>
        <w:rPr>
          <w:sz w:val="24"/>
        </w:rPr>
        <w:t>, cause repairs to be made to the </w:t>
      </w:r>
      <w:r>
        <w:rPr>
          <w:i/>
          <w:sz w:val="24"/>
        </w:rPr>
        <w:t>metering installation </w:t>
      </w:r>
      <w:r>
        <w:rPr>
          <w:sz w:val="24"/>
        </w:rPr>
        <w:t>as soon as practicable but no later than 2 </w:t>
      </w:r>
      <w:r>
        <w:rPr>
          <w:i/>
          <w:sz w:val="24"/>
        </w:rPr>
        <w:t>business days </w:t>
      </w:r>
      <w:r>
        <w:rPr>
          <w:sz w:val="24"/>
        </w:rPr>
        <w:t>after the </w:t>
      </w:r>
      <w:r>
        <w:rPr>
          <w:i/>
          <w:sz w:val="24"/>
        </w:rPr>
        <w:t>Metering Coordinator </w:t>
      </w:r>
      <w:r>
        <w:rPr>
          <w:sz w:val="24"/>
        </w:rPr>
        <w:t>had been notified of the </w:t>
      </w:r>
      <w:r>
        <w:rPr>
          <w:i/>
          <w:sz w:val="24"/>
        </w:rPr>
        <w:t>metering </w:t>
      </w:r>
      <w:r>
        <w:rPr>
          <w:i/>
          <w:sz w:val="24"/>
        </w:rPr>
        <w:t>installation</w:t>
      </w:r>
      <w:r>
        <w:rPr>
          <w:i/>
          <w:spacing w:val="-1"/>
          <w:sz w:val="24"/>
        </w:rPr>
        <w:t> </w:t>
      </w:r>
      <w:r>
        <w:rPr>
          <w:i/>
          <w:sz w:val="24"/>
        </w:rPr>
        <w:t>malfunction</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9"/>
        </w:numPr>
        <w:tabs>
          <w:tab w:pos="1919" w:val="left" w:leader="none"/>
        </w:tabs>
        <w:spacing w:line="240" w:lineRule="auto" w:before="120" w:after="0"/>
        <w:ind w:left="1919" w:right="415" w:hanging="567"/>
        <w:jc w:val="both"/>
        <w:rPr>
          <w:sz w:val="24"/>
        </w:rPr>
      </w:pPr>
      <w:r>
        <w:rPr>
          <w:sz w:val="24"/>
        </w:rPr>
        <w:t>Unless an exemption is obtained by the </w:t>
      </w:r>
      <w:r>
        <w:rPr>
          <w:i/>
          <w:sz w:val="24"/>
        </w:rPr>
        <w:t>Metering Coordinator </w:t>
      </w:r>
      <w:r>
        <w:rPr>
          <w:sz w:val="24"/>
        </w:rPr>
        <w:t>from </w:t>
      </w:r>
      <w:r>
        <w:rPr>
          <w:i/>
          <w:sz w:val="24"/>
        </w:rPr>
        <w:t>NTESMO </w:t>
      </w:r>
      <w:r>
        <w:rPr>
          <w:sz w:val="24"/>
        </w:rPr>
        <w:t>under this clause 7A.6.9, if a </w:t>
      </w:r>
      <w:r>
        <w:rPr>
          <w:i/>
          <w:sz w:val="24"/>
        </w:rPr>
        <w:t>metering installation malfunction </w:t>
      </w:r>
      <w:r>
        <w:rPr>
          <w:sz w:val="24"/>
        </w:rPr>
        <w:t>occurs, the </w:t>
      </w:r>
      <w:r>
        <w:rPr>
          <w:i/>
          <w:sz w:val="24"/>
        </w:rPr>
        <w:t>Metering Coordinator </w:t>
      </w:r>
      <w:r>
        <w:rPr>
          <w:sz w:val="24"/>
        </w:rPr>
        <w:t>must, in respect of a </w:t>
      </w:r>
      <w:r>
        <w:rPr>
          <w:i/>
          <w:sz w:val="24"/>
        </w:rPr>
        <w:t>connection </w:t>
      </w:r>
      <w:r>
        <w:rPr>
          <w:i/>
          <w:spacing w:val="-3"/>
          <w:sz w:val="24"/>
        </w:rPr>
        <w:t>point </w:t>
      </w:r>
      <w:r>
        <w:rPr>
          <w:sz w:val="24"/>
        </w:rPr>
        <w:t>with:</w:t>
      </w:r>
    </w:p>
    <w:p>
      <w:pPr>
        <w:pStyle w:val="ListParagraph"/>
        <w:numPr>
          <w:ilvl w:val="1"/>
          <w:numId w:val="489"/>
        </w:numPr>
        <w:tabs>
          <w:tab w:pos="2486" w:val="left" w:leader="none"/>
        </w:tabs>
        <w:spacing w:line="240" w:lineRule="auto" w:before="120" w:after="0"/>
        <w:ind w:left="2486" w:right="415" w:hanging="567"/>
        <w:jc w:val="both"/>
        <w:rPr>
          <w:sz w:val="24"/>
        </w:rPr>
      </w:pPr>
      <w:r>
        <w:rPr>
          <w:sz w:val="24"/>
        </w:rPr>
        <w:t>a type 4 </w:t>
      </w:r>
      <w:r>
        <w:rPr>
          <w:i/>
          <w:sz w:val="24"/>
        </w:rPr>
        <w:t>metering installation</w:t>
      </w:r>
      <w:r>
        <w:rPr>
          <w:sz w:val="24"/>
        </w:rPr>
        <w:t>– cause repairs to be made to the </w:t>
      </w:r>
      <w:r>
        <w:rPr>
          <w:i/>
          <w:sz w:val="24"/>
        </w:rPr>
        <w:t>metering installation </w:t>
      </w:r>
      <w:r>
        <w:rPr>
          <w:sz w:val="24"/>
        </w:rPr>
        <w:t>as soon as practicable but no later than 10 </w:t>
      </w:r>
      <w:r>
        <w:rPr>
          <w:i/>
          <w:sz w:val="24"/>
        </w:rPr>
        <w:t>business days </w:t>
      </w:r>
      <w:r>
        <w:rPr>
          <w:sz w:val="24"/>
        </w:rPr>
        <w:t>after the </w:t>
      </w:r>
      <w:r>
        <w:rPr>
          <w:i/>
          <w:sz w:val="24"/>
        </w:rPr>
        <w:t>Metering Coordinator </w:t>
      </w:r>
      <w:r>
        <w:rPr>
          <w:sz w:val="24"/>
        </w:rPr>
        <w:t>has been notified of the </w:t>
      </w:r>
      <w:r>
        <w:rPr>
          <w:i/>
          <w:sz w:val="24"/>
        </w:rPr>
        <w:t>metering installation malfunction</w:t>
      </w:r>
      <w:r>
        <w:rPr>
          <w:sz w:val="24"/>
        </w:rPr>
        <w:t>;</w:t>
      </w:r>
      <w:r>
        <w:rPr>
          <w:spacing w:val="-2"/>
          <w:sz w:val="24"/>
        </w:rPr>
        <w:t> </w:t>
      </w:r>
      <w:r>
        <w:rPr>
          <w:sz w:val="24"/>
        </w:rPr>
        <w:t>or</w:t>
      </w:r>
    </w:p>
    <w:p>
      <w:pPr>
        <w:pStyle w:val="ListParagraph"/>
        <w:numPr>
          <w:ilvl w:val="1"/>
          <w:numId w:val="489"/>
        </w:numPr>
        <w:tabs>
          <w:tab w:pos="2486" w:val="left" w:leader="none"/>
        </w:tabs>
        <w:spacing w:line="240" w:lineRule="auto" w:before="120" w:after="0"/>
        <w:ind w:left="2486" w:right="414" w:hanging="567"/>
        <w:jc w:val="both"/>
        <w:rPr>
          <w:sz w:val="24"/>
        </w:rPr>
      </w:pPr>
      <w:r>
        <w:rPr>
          <w:sz w:val="24"/>
        </w:rPr>
        <w:t>a </w:t>
      </w:r>
      <w:r>
        <w:rPr>
          <w:i/>
          <w:sz w:val="24"/>
        </w:rPr>
        <w:t>metering installation </w:t>
      </w:r>
      <w:r>
        <w:rPr>
          <w:sz w:val="24"/>
        </w:rPr>
        <w:t>other than the installations mentioned in paragraph (a) or subparagraph (1) – cause repairs to be made to the </w:t>
      </w:r>
      <w:r>
        <w:rPr>
          <w:i/>
          <w:sz w:val="24"/>
        </w:rPr>
        <w:t>metering installation </w:t>
      </w:r>
      <w:r>
        <w:rPr>
          <w:sz w:val="24"/>
        </w:rPr>
        <w:t>as soon as practicable but no later than 10 </w:t>
      </w:r>
      <w:r>
        <w:rPr>
          <w:i/>
          <w:sz w:val="24"/>
        </w:rPr>
        <w:t>business days </w:t>
      </w:r>
      <w:r>
        <w:rPr>
          <w:sz w:val="24"/>
        </w:rPr>
        <w:t>after the </w:t>
      </w:r>
      <w:r>
        <w:rPr>
          <w:i/>
          <w:sz w:val="24"/>
        </w:rPr>
        <w:t>Metering Coordinator </w:t>
      </w:r>
      <w:r>
        <w:rPr>
          <w:sz w:val="24"/>
        </w:rPr>
        <w:t>has been notified of the </w:t>
      </w:r>
      <w:r>
        <w:rPr>
          <w:i/>
          <w:sz w:val="24"/>
        </w:rPr>
        <w:t>metering installation</w:t>
      </w:r>
      <w:r>
        <w:rPr>
          <w:i/>
          <w:spacing w:val="-2"/>
          <w:sz w:val="24"/>
        </w:rPr>
        <w:t> </w:t>
      </w:r>
      <w:r>
        <w:rPr>
          <w:i/>
          <w:sz w:val="24"/>
        </w:rPr>
        <w:t>malfunction</w:t>
      </w:r>
      <w:r>
        <w:rPr>
          <w:sz w:val="24"/>
        </w:rPr>
        <w:t>.</w:t>
      </w:r>
    </w:p>
    <w:p>
      <w:pPr>
        <w:pStyle w:val="ListParagraph"/>
        <w:numPr>
          <w:ilvl w:val="0"/>
          <w:numId w:val="489"/>
        </w:numPr>
        <w:tabs>
          <w:tab w:pos="1919" w:val="left" w:leader="none"/>
        </w:tabs>
        <w:spacing w:line="240" w:lineRule="auto" w:before="120" w:after="0"/>
        <w:ind w:left="1919" w:right="414" w:hanging="567"/>
        <w:jc w:val="both"/>
        <w:rPr>
          <w:sz w:val="24"/>
        </w:rPr>
      </w:pPr>
      <w:r>
        <w:rPr>
          <w:i/>
          <w:sz w:val="24"/>
        </w:rPr>
        <w:t>NTESMO </w:t>
      </w:r>
      <w:r>
        <w:rPr>
          <w:sz w:val="24"/>
        </w:rPr>
        <w:t>must establish, maintain and </w:t>
      </w:r>
      <w:r>
        <w:rPr>
          <w:i/>
          <w:sz w:val="24"/>
        </w:rPr>
        <w:t>publish </w:t>
      </w:r>
      <w:r>
        <w:rPr>
          <w:sz w:val="24"/>
        </w:rPr>
        <w:t>a procedure applicable to the provision of exemptions for the purposes of paragraphs (a) and</w:t>
      </w:r>
      <w:r>
        <w:rPr>
          <w:spacing w:val="-1"/>
          <w:sz w:val="24"/>
        </w:rPr>
        <w:t> </w:t>
      </w:r>
      <w:r>
        <w:rPr>
          <w:sz w:val="24"/>
        </w:rPr>
        <w:t>(b).</w:t>
      </w:r>
    </w:p>
    <w:p>
      <w:pPr>
        <w:pStyle w:val="ListParagraph"/>
        <w:numPr>
          <w:ilvl w:val="0"/>
          <w:numId w:val="489"/>
        </w:numPr>
        <w:tabs>
          <w:tab w:pos="1919" w:val="left" w:leader="none"/>
        </w:tabs>
        <w:spacing w:line="240" w:lineRule="auto" w:before="120" w:after="0"/>
        <w:ind w:left="1919" w:right="414" w:hanging="567"/>
        <w:jc w:val="both"/>
        <w:rPr>
          <w:sz w:val="24"/>
        </w:rPr>
      </w:pPr>
      <w:r>
        <w:rPr>
          <w:sz w:val="24"/>
        </w:rPr>
        <w:t>If an exemption is provided by </w:t>
      </w:r>
      <w:r>
        <w:rPr>
          <w:i/>
          <w:sz w:val="24"/>
        </w:rPr>
        <w:t>NTESMO </w:t>
      </w:r>
      <w:r>
        <w:rPr>
          <w:sz w:val="24"/>
        </w:rPr>
        <w:t>under this clause 7A.6.9, then the </w:t>
      </w:r>
      <w:r>
        <w:rPr>
          <w:i/>
          <w:sz w:val="24"/>
        </w:rPr>
        <w:t>Metering Provider </w:t>
      </w:r>
      <w:r>
        <w:rPr>
          <w:sz w:val="24"/>
        </w:rPr>
        <w:t>must provide </w:t>
      </w:r>
      <w:r>
        <w:rPr>
          <w:i/>
          <w:sz w:val="24"/>
        </w:rPr>
        <w:t>NTESMO </w:t>
      </w:r>
      <w:r>
        <w:rPr>
          <w:sz w:val="24"/>
        </w:rPr>
        <w:t>with a plan for the rectification of the </w:t>
      </w:r>
      <w:r>
        <w:rPr>
          <w:i/>
          <w:sz w:val="24"/>
        </w:rPr>
        <w:t>metering</w:t>
      </w:r>
      <w:r>
        <w:rPr>
          <w:i/>
          <w:spacing w:val="-1"/>
          <w:sz w:val="24"/>
        </w:rPr>
        <w:t> </w:t>
      </w:r>
      <w:r>
        <w:rPr>
          <w:i/>
          <w:sz w:val="24"/>
        </w:rPr>
        <w:t>installation</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89"/>
        </w:numPr>
        <w:tabs>
          <w:tab w:pos="1919" w:val="left" w:leader="none"/>
        </w:tabs>
        <w:spacing w:line="240" w:lineRule="auto" w:before="120" w:after="0"/>
        <w:ind w:left="1919" w:right="415" w:hanging="567"/>
        <w:jc w:val="both"/>
        <w:rPr>
          <w:sz w:val="24"/>
        </w:rPr>
      </w:pPr>
      <w:r>
        <w:rPr>
          <w:sz w:val="24"/>
        </w:rPr>
        <w:t>A </w:t>
      </w:r>
      <w:r>
        <w:rPr>
          <w:i/>
          <w:sz w:val="24"/>
        </w:rPr>
        <w:t>Registered Participant</w:t>
      </w:r>
      <w:r>
        <w:rPr>
          <w:sz w:val="24"/>
        </w:rPr>
        <w:t>, </w:t>
      </w:r>
      <w:r>
        <w:rPr>
          <w:i/>
          <w:sz w:val="24"/>
        </w:rPr>
        <w:t>Metering Provider </w:t>
      </w:r>
      <w:r>
        <w:rPr>
          <w:sz w:val="24"/>
        </w:rPr>
        <w:t>or </w:t>
      </w:r>
      <w:r>
        <w:rPr>
          <w:i/>
          <w:sz w:val="24"/>
        </w:rPr>
        <w:t>Metering Data Provider </w:t>
      </w:r>
      <w:r>
        <w:rPr>
          <w:sz w:val="24"/>
        </w:rPr>
        <w:t>who becomes aware of a </w:t>
      </w:r>
      <w:r>
        <w:rPr>
          <w:i/>
          <w:sz w:val="24"/>
        </w:rPr>
        <w:t>metering installation malfunction </w:t>
      </w:r>
      <w:r>
        <w:rPr>
          <w:sz w:val="24"/>
        </w:rPr>
        <w:t>that cannot be rectified within the applicable timeframes as specified in paragraphs (a)</w:t>
      </w:r>
      <w:r>
        <w:rPr>
          <w:spacing w:val="7"/>
          <w:sz w:val="24"/>
        </w:rPr>
        <w:t> </w:t>
      </w:r>
      <w:r>
        <w:rPr>
          <w:sz w:val="24"/>
        </w:rPr>
        <w:t>and</w:t>
      </w:r>
    </w:p>
    <w:p>
      <w:pPr>
        <w:spacing w:before="0"/>
        <w:ind w:left="1919" w:right="416" w:firstLine="0"/>
        <w:jc w:val="both"/>
        <w:rPr>
          <w:sz w:val="24"/>
        </w:rPr>
      </w:pPr>
      <w:r>
        <w:rPr>
          <w:sz w:val="24"/>
        </w:rPr>
        <w:t>(b) must notify the </w:t>
      </w:r>
      <w:r>
        <w:rPr>
          <w:i/>
          <w:sz w:val="24"/>
        </w:rPr>
        <w:t>Metering Coordinator </w:t>
      </w:r>
      <w:r>
        <w:rPr>
          <w:sz w:val="24"/>
        </w:rPr>
        <w:t>of the </w:t>
      </w:r>
      <w:r>
        <w:rPr>
          <w:i/>
          <w:sz w:val="24"/>
        </w:rPr>
        <w:t>metering installation </w:t>
      </w:r>
      <w:r>
        <w:rPr>
          <w:i/>
          <w:sz w:val="24"/>
        </w:rPr>
        <w:t>malfunction </w:t>
      </w:r>
      <w:r>
        <w:rPr>
          <w:sz w:val="24"/>
        </w:rPr>
        <w:t>within 1 </w:t>
      </w:r>
      <w:r>
        <w:rPr>
          <w:i/>
          <w:sz w:val="24"/>
        </w:rPr>
        <w:t>business day</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218" w:firstLine="0"/>
      </w:pPr>
      <w:bookmarkStart w:name="7A.6.10 Timeframes for meters to be inst" w:id="1759"/>
      <w:bookmarkEnd w:id="1759"/>
      <w:r>
        <w:rPr>
          <w:b w:val="0"/>
        </w:rPr>
      </w:r>
      <w:bookmarkStart w:name="_bookmark705" w:id="1760"/>
      <w:bookmarkEnd w:id="1760"/>
      <w:r>
        <w:rPr>
          <w:b w:val="0"/>
        </w:rPr>
      </w:r>
      <w:r>
        <w:rPr/>
        <w:t>7A.6.10</w:t>
        <w:tab/>
        <w:t>Timeframes for meters to be installed – new</w:t>
      </w:r>
      <w:r>
        <w:rPr>
          <w:spacing w:val="-6"/>
        </w:rPr>
        <w:t> </w:t>
      </w:r>
      <w:r>
        <w:rPr/>
        <w:t>connection</w:t>
      </w:r>
    </w:p>
    <w:p>
      <w:pPr>
        <w:pStyle w:val="ListParagraph"/>
        <w:numPr>
          <w:ilvl w:val="0"/>
          <w:numId w:val="490"/>
        </w:numPr>
        <w:tabs>
          <w:tab w:pos="1919" w:val="left" w:leader="none"/>
        </w:tabs>
        <w:spacing w:line="240" w:lineRule="auto" w:before="120" w:after="0"/>
        <w:ind w:left="1919" w:right="415" w:hanging="567"/>
        <w:jc w:val="both"/>
        <w:rPr>
          <w:sz w:val="24"/>
        </w:rPr>
      </w:pPr>
      <w:r>
        <w:rPr>
          <w:sz w:val="24"/>
        </w:rPr>
        <w:t>Subject to paragraph (b), where a </w:t>
      </w:r>
      <w:r>
        <w:rPr>
          <w:i/>
          <w:sz w:val="24"/>
        </w:rPr>
        <w:t>new connection </w:t>
      </w:r>
      <w:r>
        <w:rPr>
          <w:sz w:val="24"/>
        </w:rPr>
        <w:t>is requested at a </w:t>
      </w:r>
      <w:r>
        <w:rPr>
          <w:i/>
          <w:sz w:val="24"/>
        </w:rPr>
        <w:t>retail </w:t>
      </w:r>
      <w:r>
        <w:rPr>
          <w:i/>
          <w:sz w:val="24"/>
        </w:rPr>
        <w:t>customer's </w:t>
      </w:r>
      <w:r>
        <w:rPr>
          <w:sz w:val="24"/>
        </w:rPr>
        <w:t>premises, the relevant </w:t>
      </w:r>
      <w:r>
        <w:rPr>
          <w:i/>
          <w:sz w:val="24"/>
        </w:rPr>
        <w:t>retailer </w:t>
      </w:r>
      <w:r>
        <w:rPr>
          <w:sz w:val="24"/>
        </w:rPr>
        <w:t>must arrange a </w:t>
      </w:r>
      <w:r>
        <w:rPr>
          <w:i/>
          <w:sz w:val="24"/>
        </w:rPr>
        <w:t>meter </w:t>
      </w:r>
      <w:r>
        <w:rPr>
          <w:sz w:val="24"/>
        </w:rPr>
        <w:t>to be installed:</w:t>
      </w:r>
    </w:p>
    <w:p>
      <w:pPr>
        <w:pStyle w:val="ListParagraph"/>
        <w:numPr>
          <w:ilvl w:val="1"/>
          <w:numId w:val="490"/>
        </w:numPr>
        <w:tabs>
          <w:tab w:pos="2486" w:val="left" w:leader="none"/>
        </w:tabs>
        <w:spacing w:line="240" w:lineRule="auto" w:before="120" w:after="0"/>
        <w:ind w:left="2485" w:right="0" w:hanging="567"/>
        <w:jc w:val="both"/>
        <w:rPr>
          <w:sz w:val="24"/>
        </w:rPr>
      </w:pPr>
      <w:r>
        <w:rPr>
          <w:sz w:val="24"/>
        </w:rPr>
        <w:t>by a date agreed with the </w:t>
      </w:r>
      <w:r>
        <w:rPr>
          <w:i/>
          <w:sz w:val="24"/>
        </w:rPr>
        <w:t>retail customer</w:t>
      </w:r>
      <w:r>
        <w:rPr>
          <w:sz w:val="24"/>
        </w:rPr>
        <w:t>;</w:t>
      </w:r>
      <w:r>
        <w:rPr>
          <w:spacing w:val="-2"/>
          <w:sz w:val="24"/>
        </w:rPr>
        <w:t> </w:t>
      </w:r>
      <w:r>
        <w:rPr>
          <w:sz w:val="24"/>
        </w:rPr>
        <w:t>or</w:t>
      </w:r>
    </w:p>
    <w:p>
      <w:pPr>
        <w:pStyle w:val="ListParagraph"/>
        <w:numPr>
          <w:ilvl w:val="1"/>
          <w:numId w:val="490"/>
        </w:numPr>
        <w:tabs>
          <w:tab w:pos="2486" w:val="left" w:leader="none"/>
        </w:tabs>
        <w:spacing w:line="240" w:lineRule="auto" w:before="120" w:after="0"/>
        <w:ind w:left="2486" w:right="415" w:hanging="567"/>
        <w:jc w:val="both"/>
        <w:rPr>
          <w:sz w:val="24"/>
        </w:rPr>
      </w:pPr>
      <w:r>
        <w:rPr>
          <w:sz w:val="24"/>
        </w:rPr>
        <w:t>failing agreement with the </w:t>
      </w:r>
      <w:r>
        <w:rPr>
          <w:i/>
          <w:sz w:val="24"/>
        </w:rPr>
        <w:t>retail customer</w:t>
      </w:r>
      <w:r>
        <w:rPr>
          <w:sz w:val="24"/>
        </w:rPr>
        <w:t>, on a date no later than 6 </w:t>
      </w:r>
      <w:r>
        <w:rPr>
          <w:i/>
          <w:sz w:val="24"/>
        </w:rPr>
        <w:t>business days </w:t>
      </w:r>
      <w:r>
        <w:rPr>
          <w:sz w:val="24"/>
        </w:rPr>
        <w:t>from the date the </w:t>
      </w:r>
      <w:r>
        <w:rPr>
          <w:i/>
          <w:sz w:val="24"/>
        </w:rPr>
        <w:t>retailer </w:t>
      </w:r>
      <w:r>
        <w:rPr>
          <w:sz w:val="24"/>
        </w:rPr>
        <w:t>is informed that the </w:t>
      </w:r>
      <w:r>
        <w:rPr>
          <w:i/>
          <w:sz w:val="24"/>
        </w:rPr>
        <w:t>connection service</w:t>
      </w:r>
      <w:r>
        <w:rPr>
          <w:sz w:val="24"/>
        </w:rPr>
        <w:t>(as defined in clause 5A.A.1) is</w:t>
      </w:r>
      <w:r>
        <w:rPr>
          <w:spacing w:val="-3"/>
          <w:sz w:val="24"/>
        </w:rPr>
        <w:t> </w:t>
      </w:r>
      <w:r>
        <w:rPr>
          <w:sz w:val="24"/>
        </w:rPr>
        <w:t>complete.</w:t>
      </w:r>
    </w:p>
    <w:p>
      <w:pPr>
        <w:pStyle w:val="ListParagraph"/>
        <w:numPr>
          <w:ilvl w:val="0"/>
          <w:numId w:val="490"/>
        </w:numPr>
        <w:tabs>
          <w:tab w:pos="1919" w:val="left" w:leader="none"/>
        </w:tabs>
        <w:spacing w:line="240" w:lineRule="auto" w:before="120" w:after="0"/>
        <w:ind w:left="1919" w:right="417" w:hanging="567"/>
        <w:jc w:val="both"/>
        <w:rPr>
          <w:sz w:val="24"/>
        </w:rPr>
      </w:pPr>
      <w:r>
        <w:rPr>
          <w:sz w:val="24"/>
        </w:rPr>
        <w:t>The timeframe under paragraph (a)(1) or (2) (as applicable) will not apply where:</w:t>
      </w:r>
    </w:p>
    <w:p>
      <w:pPr>
        <w:pStyle w:val="ListParagraph"/>
        <w:numPr>
          <w:ilvl w:val="1"/>
          <w:numId w:val="490"/>
        </w:numPr>
        <w:tabs>
          <w:tab w:pos="2486" w:val="left" w:leader="none"/>
        </w:tabs>
        <w:spacing w:line="240" w:lineRule="auto" w:before="120" w:after="0"/>
        <w:ind w:left="2485" w:right="0" w:hanging="567"/>
        <w:jc w:val="both"/>
        <w:rPr>
          <w:i/>
          <w:sz w:val="24"/>
        </w:rPr>
      </w:pPr>
      <w:r>
        <w:rPr>
          <w:sz w:val="24"/>
        </w:rPr>
        <w:t>the </w:t>
      </w:r>
      <w:r>
        <w:rPr>
          <w:i/>
          <w:sz w:val="24"/>
        </w:rPr>
        <w:t>retail customer </w:t>
      </w:r>
      <w:r>
        <w:rPr>
          <w:sz w:val="24"/>
        </w:rPr>
        <w:t>has not entered into an agreement with the </w:t>
      </w:r>
      <w:r>
        <w:rPr>
          <w:spacing w:val="5"/>
          <w:sz w:val="24"/>
        </w:rPr>
        <w:t> </w:t>
      </w:r>
      <w:r>
        <w:rPr>
          <w:i/>
          <w:sz w:val="24"/>
        </w:rPr>
        <w:t>retailer</w:t>
      </w:r>
    </w:p>
    <w:p>
      <w:pPr>
        <w:pStyle w:val="BodyText"/>
        <w:spacing w:before="0"/>
        <w:ind w:left="2486" w:firstLine="0"/>
      </w:pPr>
      <w:r>
        <w:rPr/>
        <w:t>for the meter to be installed;</w:t>
      </w:r>
    </w:p>
    <w:p>
      <w:pPr>
        <w:pStyle w:val="ListParagraph"/>
        <w:numPr>
          <w:ilvl w:val="1"/>
          <w:numId w:val="490"/>
        </w:numPr>
        <w:tabs>
          <w:tab w:pos="2486" w:val="left" w:leader="none"/>
        </w:tabs>
        <w:spacing w:line="240" w:lineRule="auto" w:before="120" w:after="0"/>
        <w:ind w:left="2486" w:right="415" w:hanging="567"/>
        <w:jc w:val="both"/>
        <w:rPr>
          <w:sz w:val="24"/>
        </w:rPr>
      </w:pPr>
      <w:r>
        <w:rPr>
          <w:sz w:val="24"/>
        </w:rPr>
        <w:t>the proposed site for the meter at the </w:t>
      </w:r>
      <w:r>
        <w:rPr>
          <w:i/>
          <w:sz w:val="24"/>
        </w:rPr>
        <w:t>retail customer's </w:t>
      </w:r>
      <w:r>
        <w:rPr>
          <w:sz w:val="24"/>
        </w:rPr>
        <w:t>premises is not accessible or safe or ready for the </w:t>
      </w:r>
      <w:r>
        <w:rPr>
          <w:i/>
          <w:sz w:val="24"/>
        </w:rPr>
        <w:t>meter </w:t>
      </w:r>
      <w:r>
        <w:rPr>
          <w:sz w:val="24"/>
        </w:rPr>
        <w:t>to be installed, or the </w:t>
      </w:r>
      <w:r>
        <w:rPr>
          <w:i/>
          <w:sz w:val="24"/>
        </w:rPr>
        <w:t>connection service </w:t>
      </w:r>
      <w:r>
        <w:rPr>
          <w:sz w:val="24"/>
        </w:rPr>
        <w:t>(as defined in clause 5A.A.1) has not been completed;</w:t>
      </w:r>
      <w:r>
        <w:rPr>
          <w:spacing w:val="-1"/>
          <w:sz w:val="24"/>
        </w:rPr>
        <w:t> </w:t>
      </w:r>
      <w:r>
        <w:rPr>
          <w:sz w:val="24"/>
        </w:rPr>
        <w:t>or</w:t>
      </w:r>
    </w:p>
    <w:p>
      <w:pPr>
        <w:pStyle w:val="ListParagraph"/>
        <w:numPr>
          <w:ilvl w:val="1"/>
          <w:numId w:val="490"/>
        </w:numPr>
        <w:tabs>
          <w:tab w:pos="2486" w:val="left" w:leader="none"/>
        </w:tabs>
        <w:spacing w:line="240" w:lineRule="auto" w:before="120" w:after="0"/>
        <w:ind w:left="2486" w:right="416" w:hanging="567"/>
        <w:jc w:val="both"/>
        <w:rPr>
          <w:sz w:val="24"/>
        </w:rPr>
      </w:pPr>
      <w:r>
        <w:rPr>
          <w:sz w:val="24"/>
        </w:rPr>
        <w:t>installing the </w:t>
      </w:r>
      <w:r>
        <w:rPr>
          <w:i/>
          <w:sz w:val="24"/>
        </w:rPr>
        <w:t>meter </w:t>
      </w:r>
      <w:r>
        <w:rPr>
          <w:sz w:val="24"/>
        </w:rPr>
        <w:t>requires interrupting supply to another </w:t>
      </w:r>
      <w:r>
        <w:rPr>
          <w:i/>
          <w:sz w:val="24"/>
        </w:rPr>
        <w:t>retail </w:t>
      </w:r>
      <w:r>
        <w:rPr>
          <w:i/>
          <w:sz w:val="24"/>
        </w:rPr>
        <w:t>customer</w:t>
      </w:r>
      <w:r>
        <w:rPr>
          <w:sz w:val="24"/>
        </w:rPr>
        <w:t>.</w:t>
      </w:r>
    </w:p>
    <w:p>
      <w:pPr>
        <w:pStyle w:val="ListParagraph"/>
        <w:numPr>
          <w:ilvl w:val="0"/>
          <w:numId w:val="490"/>
        </w:numPr>
        <w:tabs>
          <w:tab w:pos="1919" w:val="left" w:leader="none"/>
        </w:tabs>
        <w:spacing w:line="240" w:lineRule="auto" w:before="120" w:after="0"/>
        <w:ind w:left="1919" w:right="416" w:hanging="567"/>
        <w:jc w:val="both"/>
        <w:rPr>
          <w:sz w:val="24"/>
        </w:rPr>
      </w:pPr>
      <w:r>
        <w:rPr>
          <w:sz w:val="24"/>
        </w:rPr>
        <w:t>Subject to the reapplication of paragraph (b), on and from the date that an exception under paragraph (b) ceases to apply, the </w:t>
      </w:r>
      <w:r>
        <w:rPr>
          <w:i/>
          <w:sz w:val="24"/>
        </w:rPr>
        <w:t>retailer </w:t>
      </w:r>
      <w:r>
        <w:rPr>
          <w:sz w:val="24"/>
        </w:rPr>
        <w:t>must arrange for the </w:t>
      </w:r>
      <w:r>
        <w:rPr>
          <w:i/>
          <w:sz w:val="24"/>
        </w:rPr>
        <w:t>meter </w:t>
      </w:r>
      <w:r>
        <w:rPr>
          <w:sz w:val="24"/>
        </w:rPr>
        <w:t>to be</w:t>
      </w:r>
      <w:r>
        <w:rPr>
          <w:spacing w:val="-1"/>
          <w:sz w:val="24"/>
        </w:rPr>
        <w:t> </w:t>
      </w:r>
      <w:r>
        <w:rPr>
          <w:sz w:val="24"/>
        </w:rPr>
        <w:t>installed:</w:t>
      </w:r>
    </w:p>
    <w:p>
      <w:pPr>
        <w:pStyle w:val="ListParagraph"/>
        <w:numPr>
          <w:ilvl w:val="1"/>
          <w:numId w:val="490"/>
        </w:numPr>
        <w:tabs>
          <w:tab w:pos="2486" w:val="left" w:leader="none"/>
        </w:tabs>
        <w:spacing w:line="240" w:lineRule="auto" w:before="120" w:after="0"/>
        <w:ind w:left="2485" w:right="0" w:hanging="567"/>
        <w:jc w:val="both"/>
        <w:rPr>
          <w:sz w:val="24"/>
        </w:rPr>
      </w:pPr>
      <w:r>
        <w:rPr>
          <w:sz w:val="24"/>
        </w:rPr>
        <w:t>by a new date agreed with the </w:t>
      </w:r>
      <w:r>
        <w:rPr>
          <w:i/>
          <w:sz w:val="24"/>
        </w:rPr>
        <w:t>retail customer</w:t>
      </w:r>
      <w:r>
        <w:rPr>
          <w:sz w:val="24"/>
        </w:rPr>
        <w:t>;</w:t>
      </w:r>
      <w:r>
        <w:rPr>
          <w:spacing w:val="-3"/>
          <w:sz w:val="24"/>
        </w:rPr>
        <w:t> </w:t>
      </w:r>
      <w:r>
        <w:rPr>
          <w:sz w:val="24"/>
        </w:rPr>
        <w:t>or</w:t>
      </w:r>
    </w:p>
    <w:p>
      <w:pPr>
        <w:pStyle w:val="ListParagraph"/>
        <w:numPr>
          <w:ilvl w:val="1"/>
          <w:numId w:val="490"/>
        </w:numPr>
        <w:tabs>
          <w:tab w:pos="2486" w:val="left" w:leader="none"/>
        </w:tabs>
        <w:spacing w:line="240" w:lineRule="auto" w:before="120" w:after="0"/>
        <w:ind w:left="2486" w:right="415" w:hanging="567"/>
        <w:jc w:val="both"/>
        <w:rPr>
          <w:sz w:val="24"/>
        </w:rPr>
      </w:pPr>
      <w:r>
        <w:rPr>
          <w:sz w:val="24"/>
        </w:rPr>
        <w:t>failing agreement, on a date no later than 5 </w:t>
      </w:r>
      <w:r>
        <w:rPr>
          <w:i/>
          <w:sz w:val="24"/>
        </w:rPr>
        <w:t>business days </w:t>
      </w:r>
      <w:r>
        <w:rPr>
          <w:sz w:val="24"/>
        </w:rPr>
        <w:t>from the date that the exception ceases to</w:t>
      </w:r>
      <w:r>
        <w:rPr>
          <w:spacing w:val="-1"/>
          <w:sz w:val="24"/>
        </w:rPr>
        <w:t> </w:t>
      </w:r>
      <w:r>
        <w:rPr>
          <w:sz w:val="24"/>
        </w:rPr>
        <w:t>apply.</w:t>
      </w:r>
    </w:p>
    <w:p>
      <w:pPr>
        <w:pStyle w:val="ListParagraph"/>
        <w:numPr>
          <w:ilvl w:val="0"/>
          <w:numId w:val="490"/>
        </w:numPr>
        <w:tabs>
          <w:tab w:pos="1919" w:val="left" w:leader="none"/>
        </w:tabs>
        <w:spacing w:line="240" w:lineRule="auto" w:before="120" w:after="0"/>
        <w:ind w:left="1919" w:right="415" w:hanging="567"/>
        <w:jc w:val="both"/>
        <w:rPr>
          <w:sz w:val="24"/>
        </w:rPr>
      </w:pPr>
      <w:r>
        <w:rPr>
          <w:sz w:val="24"/>
        </w:rPr>
        <w:t>A </w:t>
      </w:r>
      <w:r>
        <w:rPr>
          <w:i/>
          <w:sz w:val="24"/>
        </w:rPr>
        <w:t>retailer </w:t>
      </w:r>
      <w:r>
        <w:rPr>
          <w:sz w:val="24"/>
        </w:rPr>
        <w:t>must inform its </w:t>
      </w:r>
      <w:r>
        <w:rPr>
          <w:i/>
          <w:sz w:val="24"/>
        </w:rPr>
        <w:t>retail customers </w:t>
      </w:r>
      <w:r>
        <w:rPr>
          <w:sz w:val="24"/>
        </w:rPr>
        <w:t>of its obligations under this clause.</w:t>
      </w:r>
    </w:p>
    <w:p>
      <w:pPr>
        <w:pStyle w:val="BodyText"/>
        <w:spacing w:before="10"/>
        <w:ind w:firstLine="0"/>
        <w:jc w:val="left"/>
        <w:rPr>
          <w:sz w:val="20"/>
        </w:rPr>
      </w:pPr>
    </w:p>
    <w:p>
      <w:pPr>
        <w:pStyle w:val="Heading4"/>
        <w:tabs>
          <w:tab w:pos="1351" w:val="left" w:leader="none"/>
        </w:tabs>
        <w:ind w:left="1352" w:right="416"/>
      </w:pPr>
      <w:bookmarkStart w:name="7A.6.11 Timeframes for meters to be inst" w:id="1761"/>
      <w:bookmarkEnd w:id="1761"/>
      <w:r>
        <w:rPr>
          <w:b w:val="0"/>
        </w:rPr>
      </w:r>
      <w:bookmarkStart w:name="_bookmark706" w:id="1762"/>
      <w:bookmarkEnd w:id="1762"/>
      <w:r>
        <w:rPr>
          <w:b w:val="0"/>
        </w:rPr>
      </w:r>
      <w:r>
        <w:rPr/>
        <w:t>7A.6.11</w:t>
        <w:tab/>
        <w:t>Timeframes for meters to be installed – where a connection service is not</w:t>
      </w:r>
      <w:r>
        <w:rPr>
          <w:spacing w:val="-1"/>
        </w:rPr>
        <w:t> </w:t>
      </w:r>
      <w:r>
        <w:rPr/>
        <w:t>required</w:t>
      </w:r>
    </w:p>
    <w:p>
      <w:pPr>
        <w:pStyle w:val="ListParagraph"/>
        <w:numPr>
          <w:ilvl w:val="0"/>
          <w:numId w:val="491"/>
        </w:numPr>
        <w:tabs>
          <w:tab w:pos="1919" w:val="left" w:leader="none"/>
        </w:tabs>
        <w:spacing w:line="240" w:lineRule="auto" w:before="120" w:after="0"/>
        <w:ind w:left="1919" w:right="415" w:hanging="567"/>
        <w:jc w:val="both"/>
        <w:rPr>
          <w:sz w:val="24"/>
        </w:rPr>
      </w:pPr>
      <w:r>
        <w:rPr>
          <w:sz w:val="24"/>
        </w:rPr>
        <w:t>Subject to paragraph (b), if a </w:t>
      </w:r>
      <w:r>
        <w:rPr>
          <w:i/>
          <w:sz w:val="24"/>
        </w:rPr>
        <w:t>retail customer </w:t>
      </w:r>
      <w:r>
        <w:rPr>
          <w:sz w:val="24"/>
        </w:rPr>
        <w:t>has requested the </w:t>
      </w:r>
      <w:r>
        <w:rPr>
          <w:i/>
          <w:sz w:val="24"/>
        </w:rPr>
        <w:t>retailer </w:t>
      </w:r>
      <w:r>
        <w:rPr>
          <w:sz w:val="24"/>
        </w:rPr>
        <w:t>to install</w:t>
      </w:r>
      <w:r>
        <w:rPr>
          <w:spacing w:val="10"/>
          <w:sz w:val="24"/>
        </w:rPr>
        <w:t> </w:t>
      </w:r>
      <w:r>
        <w:rPr>
          <w:sz w:val="24"/>
        </w:rPr>
        <w:t>a</w:t>
      </w:r>
      <w:r>
        <w:rPr>
          <w:spacing w:val="12"/>
          <w:sz w:val="24"/>
        </w:rPr>
        <w:t> </w:t>
      </w:r>
      <w:r>
        <w:rPr>
          <w:i/>
          <w:sz w:val="24"/>
        </w:rPr>
        <w:t>meter</w:t>
      </w:r>
      <w:r>
        <w:rPr>
          <w:i/>
          <w:spacing w:val="10"/>
          <w:sz w:val="24"/>
        </w:rPr>
        <w:t> </w:t>
      </w:r>
      <w:r>
        <w:rPr>
          <w:sz w:val="24"/>
        </w:rPr>
        <w:t>at</w:t>
      </w:r>
      <w:r>
        <w:rPr>
          <w:spacing w:val="12"/>
          <w:sz w:val="24"/>
        </w:rPr>
        <w:t> </w:t>
      </w:r>
      <w:r>
        <w:rPr>
          <w:sz w:val="24"/>
        </w:rPr>
        <w:t>the</w:t>
      </w:r>
      <w:r>
        <w:rPr>
          <w:spacing w:val="11"/>
          <w:sz w:val="24"/>
        </w:rPr>
        <w:t> </w:t>
      </w:r>
      <w:r>
        <w:rPr>
          <w:sz w:val="24"/>
        </w:rPr>
        <w:t>customer's</w:t>
      </w:r>
      <w:r>
        <w:rPr>
          <w:spacing w:val="11"/>
          <w:sz w:val="24"/>
        </w:rPr>
        <w:t> </w:t>
      </w:r>
      <w:r>
        <w:rPr>
          <w:sz w:val="24"/>
        </w:rPr>
        <w:t>premises</w:t>
      </w:r>
      <w:r>
        <w:rPr>
          <w:spacing w:val="12"/>
          <w:sz w:val="24"/>
        </w:rPr>
        <w:t> </w:t>
      </w:r>
      <w:r>
        <w:rPr>
          <w:sz w:val="24"/>
        </w:rPr>
        <w:t>and</w:t>
      </w:r>
      <w:r>
        <w:rPr>
          <w:spacing w:val="11"/>
          <w:sz w:val="24"/>
        </w:rPr>
        <w:t> </w:t>
      </w:r>
      <w:r>
        <w:rPr>
          <w:sz w:val="24"/>
        </w:rPr>
        <w:t>a</w:t>
      </w:r>
      <w:r>
        <w:rPr>
          <w:spacing w:val="11"/>
          <w:sz w:val="24"/>
        </w:rPr>
        <w:t> </w:t>
      </w:r>
      <w:r>
        <w:rPr>
          <w:i/>
          <w:sz w:val="24"/>
        </w:rPr>
        <w:t>connection</w:t>
      </w:r>
      <w:r>
        <w:rPr>
          <w:i/>
          <w:spacing w:val="11"/>
          <w:sz w:val="24"/>
        </w:rPr>
        <w:t> </w:t>
      </w:r>
      <w:r>
        <w:rPr>
          <w:i/>
          <w:sz w:val="24"/>
        </w:rPr>
        <w:t>service</w:t>
      </w:r>
      <w:r>
        <w:rPr>
          <w:sz w:val="24"/>
        </w:rPr>
        <w:t>(as</w:t>
      </w:r>
    </w:p>
    <w:p>
      <w:pPr>
        <w:spacing w:after="0" w:line="240" w:lineRule="auto"/>
        <w:jc w:val="both"/>
        <w:rPr>
          <w:sz w:val="24"/>
        </w:rPr>
        <w:sectPr>
          <w:pgSz w:w="11910" w:h="16840"/>
          <w:pgMar w:header="686" w:footer="637" w:top="1320" w:bottom="820" w:left="1200" w:right="1000"/>
        </w:sectPr>
      </w:pPr>
    </w:p>
    <w:p>
      <w:pPr>
        <w:pStyle w:val="BodyText"/>
        <w:spacing w:before="83"/>
        <w:ind w:left="1919" w:firstLine="0"/>
      </w:pPr>
      <w:r>
        <w:rPr/>
        <w:t>defined in clause 5A.A.1) is not required, the </w:t>
      </w:r>
      <w:r>
        <w:rPr>
          <w:i/>
        </w:rPr>
        <w:t>retailer </w:t>
      </w:r>
      <w:r>
        <w:rPr/>
        <w:t>must arrange for the</w:t>
      </w:r>
    </w:p>
    <w:p>
      <w:pPr>
        <w:spacing w:before="0"/>
        <w:ind w:left="1919" w:right="0" w:firstLine="0"/>
        <w:jc w:val="both"/>
        <w:rPr>
          <w:sz w:val="24"/>
        </w:rPr>
      </w:pPr>
      <w:r>
        <w:rPr>
          <w:i/>
          <w:sz w:val="24"/>
        </w:rPr>
        <w:t>meter </w:t>
      </w:r>
      <w:r>
        <w:rPr>
          <w:sz w:val="24"/>
        </w:rPr>
        <w:t>to be installed:</w:t>
      </w:r>
    </w:p>
    <w:p>
      <w:pPr>
        <w:pStyle w:val="ListParagraph"/>
        <w:numPr>
          <w:ilvl w:val="1"/>
          <w:numId w:val="491"/>
        </w:numPr>
        <w:tabs>
          <w:tab w:pos="2486" w:val="left" w:leader="none"/>
        </w:tabs>
        <w:spacing w:line="240" w:lineRule="auto" w:before="120" w:after="0"/>
        <w:ind w:left="2485" w:right="0" w:hanging="567"/>
        <w:jc w:val="both"/>
        <w:rPr>
          <w:sz w:val="24"/>
        </w:rPr>
      </w:pPr>
      <w:r>
        <w:rPr>
          <w:sz w:val="24"/>
        </w:rPr>
        <w:t>by a date agreed with the </w:t>
      </w:r>
      <w:r>
        <w:rPr>
          <w:i/>
          <w:sz w:val="24"/>
        </w:rPr>
        <w:t>retail customer</w:t>
      </w:r>
      <w:r>
        <w:rPr>
          <w:sz w:val="24"/>
        </w:rPr>
        <w:t>;</w:t>
      </w:r>
      <w:r>
        <w:rPr>
          <w:spacing w:val="-2"/>
          <w:sz w:val="24"/>
        </w:rPr>
        <w:t> </w:t>
      </w:r>
      <w:r>
        <w:rPr>
          <w:sz w:val="24"/>
        </w:rPr>
        <w:t>or</w:t>
      </w:r>
    </w:p>
    <w:p>
      <w:pPr>
        <w:pStyle w:val="ListParagraph"/>
        <w:numPr>
          <w:ilvl w:val="1"/>
          <w:numId w:val="491"/>
        </w:numPr>
        <w:tabs>
          <w:tab w:pos="2486" w:val="left" w:leader="none"/>
        </w:tabs>
        <w:spacing w:line="240" w:lineRule="auto" w:before="120" w:after="0"/>
        <w:ind w:left="2486" w:right="414" w:hanging="567"/>
        <w:jc w:val="both"/>
        <w:rPr>
          <w:sz w:val="24"/>
        </w:rPr>
      </w:pPr>
      <w:r>
        <w:rPr>
          <w:sz w:val="24"/>
        </w:rPr>
        <w:t>failing agreement with the </w:t>
      </w:r>
      <w:r>
        <w:rPr>
          <w:i/>
          <w:sz w:val="24"/>
        </w:rPr>
        <w:t>retail customer</w:t>
      </w:r>
      <w:r>
        <w:rPr>
          <w:sz w:val="24"/>
        </w:rPr>
        <w:t>, on a date no later than 15 </w:t>
      </w:r>
      <w:r>
        <w:rPr>
          <w:i/>
          <w:sz w:val="24"/>
        </w:rPr>
        <w:t>business days </w:t>
      </w:r>
      <w:r>
        <w:rPr>
          <w:sz w:val="24"/>
        </w:rPr>
        <w:t>after the </w:t>
      </w:r>
      <w:r>
        <w:rPr>
          <w:i/>
          <w:sz w:val="24"/>
        </w:rPr>
        <w:t>retailer </w:t>
      </w:r>
      <w:r>
        <w:rPr>
          <w:sz w:val="24"/>
        </w:rPr>
        <w:t>received the request from the </w:t>
      </w:r>
      <w:r>
        <w:rPr>
          <w:i/>
          <w:sz w:val="24"/>
        </w:rPr>
        <w:t>retail </w:t>
      </w:r>
      <w:r>
        <w:rPr>
          <w:i/>
          <w:sz w:val="24"/>
        </w:rPr>
        <w:t>customer </w:t>
      </w:r>
      <w:r>
        <w:rPr>
          <w:sz w:val="24"/>
        </w:rPr>
        <w:t>for the </w:t>
      </w:r>
      <w:r>
        <w:rPr>
          <w:i/>
          <w:sz w:val="24"/>
        </w:rPr>
        <w:t>meter </w:t>
      </w:r>
      <w:r>
        <w:rPr>
          <w:sz w:val="24"/>
        </w:rPr>
        <w:t>to be</w:t>
      </w:r>
      <w:r>
        <w:rPr>
          <w:spacing w:val="-2"/>
          <w:sz w:val="24"/>
        </w:rPr>
        <w:t> </w:t>
      </w:r>
      <w:r>
        <w:rPr>
          <w:sz w:val="24"/>
        </w:rPr>
        <w:t>installed.</w:t>
      </w:r>
    </w:p>
    <w:p>
      <w:pPr>
        <w:pStyle w:val="ListParagraph"/>
        <w:numPr>
          <w:ilvl w:val="0"/>
          <w:numId w:val="491"/>
        </w:numPr>
        <w:tabs>
          <w:tab w:pos="1919" w:val="left" w:leader="none"/>
        </w:tabs>
        <w:spacing w:line="240" w:lineRule="auto" w:before="120" w:after="0"/>
        <w:ind w:left="1919" w:right="417" w:hanging="567"/>
        <w:jc w:val="both"/>
        <w:rPr>
          <w:sz w:val="24"/>
        </w:rPr>
      </w:pPr>
      <w:r>
        <w:rPr>
          <w:sz w:val="24"/>
        </w:rPr>
        <w:t>The timeframe under paragraph (a)(1) or (2) (as applicable) will not apply where:</w:t>
      </w:r>
    </w:p>
    <w:p>
      <w:pPr>
        <w:pStyle w:val="ListParagraph"/>
        <w:numPr>
          <w:ilvl w:val="1"/>
          <w:numId w:val="491"/>
        </w:numPr>
        <w:tabs>
          <w:tab w:pos="2486" w:val="left" w:leader="none"/>
        </w:tabs>
        <w:spacing w:line="240" w:lineRule="auto" w:before="120" w:after="0"/>
        <w:ind w:left="2485" w:right="0" w:hanging="567"/>
        <w:jc w:val="both"/>
        <w:rPr>
          <w:i/>
          <w:sz w:val="24"/>
        </w:rPr>
      </w:pPr>
      <w:r>
        <w:rPr>
          <w:sz w:val="24"/>
        </w:rPr>
        <w:t>the </w:t>
      </w:r>
      <w:r>
        <w:rPr>
          <w:i/>
          <w:sz w:val="24"/>
        </w:rPr>
        <w:t>retail customer </w:t>
      </w:r>
      <w:r>
        <w:rPr>
          <w:sz w:val="24"/>
        </w:rPr>
        <w:t>has not entered into an agreement with the </w:t>
      </w:r>
      <w:r>
        <w:rPr>
          <w:spacing w:val="5"/>
          <w:sz w:val="24"/>
        </w:rPr>
        <w:t> </w:t>
      </w:r>
      <w:r>
        <w:rPr>
          <w:i/>
          <w:sz w:val="24"/>
        </w:rPr>
        <w:t>retailer</w:t>
      </w:r>
    </w:p>
    <w:p>
      <w:pPr>
        <w:pStyle w:val="BodyText"/>
        <w:spacing w:before="0"/>
        <w:ind w:left="2486" w:firstLine="0"/>
      </w:pPr>
      <w:r>
        <w:rPr/>
        <w:t>for the </w:t>
      </w:r>
      <w:r>
        <w:rPr>
          <w:i/>
        </w:rPr>
        <w:t>meter </w:t>
      </w:r>
      <w:r>
        <w:rPr/>
        <w:t>to be installed;</w:t>
      </w:r>
    </w:p>
    <w:p>
      <w:pPr>
        <w:pStyle w:val="ListParagraph"/>
        <w:numPr>
          <w:ilvl w:val="1"/>
          <w:numId w:val="491"/>
        </w:numPr>
        <w:tabs>
          <w:tab w:pos="2486" w:val="left" w:leader="none"/>
        </w:tabs>
        <w:spacing w:line="240" w:lineRule="auto" w:before="120" w:after="0"/>
        <w:ind w:left="2486" w:right="415" w:hanging="567"/>
        <w:jc w:val="both"/>
        <w:rPr>
          <w:sz w:val="24"/>
        </w:rPr>
      </w:pPr>
      <w:r>
        <w:rPr>
          <w:sz w:val="24"/>
        </w:rPr>
        <w:t>the proposed site for the meter at the </w:t>
      </w:r>
      <w:r>
        <w:rPr>
          <w:i/>
          <w:sz w:val="24"/>
        </w:rPr>
        <w:t>retail customer's </w:t>
      </w:r>
      <w:r>
        <w:rPr>
          <w:sz w:val="24"/>
        </w:rPr>
        <w:t>premises is not accessible, safe, or ready for the </w:t>
      </w:r>
      <w:r>
        <w:rPr>
          <w:i/>
          <w:sz w:val="24"/>
        </w:rPr>
        <w:t>meter </w:t>
      </w:r>
      <w:r>
        <w:rPr>
          <w:sz w:val="24"/>
        </w:rPr>
        <w:t>to be installed;</w:t>
      </w:r>
      <w:r>
        <w:rPr>
          <w:spacing w:val="-6"/>
          <w:sz w:val="24"/>
        </w:rPr>
        <w:t> </w:t>
      </w:r>
      <w:r>
        <w:rPr>
          <w:sz w:val="24"/>
        </w:rPr>
        <w:t>or</w:t>
      </w:r>
    </w:p>
    <w:p>
      <w:pPr>
        <w:pStyle w:val="ListParagraph"/>
        <w:numPr>
          <w:ilvl w:val="1"/>
          <w:numId w:val="491"/>
        </w:numPr>
        <w:tabs>
          <w:tab w:pos="2486" w:val="left" w:leader="none"/>
        </w:tabs>
        <w:spacing w:line="240" w:lineRule="auto" w:before="120" w:after="0"/>
        <w:ind w:left="2486" w:right="416" w:hanging="567"/>
        <w:jc w:val="both"/>
        <w:rPr>
          <w:sz w:val="24"/>
        </w:rPr>
      </w:pPr>
      <w:r>
        <w:rPr>
          <w:sz w:val="24"/>
        </w:rPr>
        <w:t>installing the </w:t>
      </w:r>
      <w:r>
        <w:rPr>
          <w:i/>
          <w:sz w:val="24"/>
        </w:rPr>
        <w:t>meter </w:t>
      </w:r>
      <w:r>
        <w:rPr>
          <w:sz w:val="24"/>
        </w:rPr>
        <w:t>requires interrupting supply to another </w:t>
      </w:r>
      <w:r>
        <w:rPr>
          <w:i/>
          <w:sz w:val="24"/>
        </w:rPr>
        <w:t>retail </w:t>
      </w:r>
      <w:r>
        <w:rPr>
          <w:i/>
          <w:sz w:val="24"/>
        </w:rPr>
        <w:t>customer</w:t>
      </w:r>
      <w:r>
        <w:rPr>
          <w:sz w:val="24"/>
        </w:rPr>
        <w:t>.</w:t>
      </w:r>
    </w:p>
    <w:p>
      <w:pPr>
        <w:pStyle w:val="ListParagraph"/>
        <w:numPr>
          <w:ilvl w:val="0"/>
          <w:numId w:val="491"/>
        </w:numPr>
        <w:tabs>
          <w:tab w:pos="1919" w:val="left" w:leader="none"/>
        </w:tabs>
        <w:spacing w:line="240" w:lineRule="auto" w:before="120" w:after="0"/>
        <w:ind w:left="1919" w:right="416" w:hanging="567"/>
        <w:jc w:val="both"/>
        <w:rPr>
          <w:sz w:val="24"/>
        </w:rPr>
      </w:pPr>
      <w:r>
        <w:rPr>
          <w:sz w:val="24"/>
        </w:rPr>
        <w:t>Subject to the reapplication of paragraph (b), on and from the date that an exception under paragraph (b) ceases to apply, the </w:t>
      </w:r>
      <w:r>
        <w:rPr>
          <w:i/>
          <w:sz w:val="24"/>
        </w:rPr>
        <w:t>retailer </w:t>
      </w:r>
      <w:r>
        <w:rPr>
          <w:sz w:val="24"/>
        </w:rPr>
        <w:t>must arrange for the </w:t>
      </w:r>
      <w:r>
        <w:rPr>
          <w:i/>
          <w:sz w:val="24"/>
        </w:rPr>
        <w:t>meter </w:t>
      </w:r>
      <w:r>
        <w:rPr>
          <w:sz w:val="24"/>
        </w:rPr>
        <w:t>to be</w:t>
      </w:r>
      <w:r>
        <w:rPr>
          <w:spacing w:val="-1"/>
          <w:sz w:val="24"/>
        </w:rPr>
        <w:t> </w:t>
      </w:r>
      <w:r>
        <w:rPr>
          <w:sz w:val="24"/>
        </w:rPr>
        <w:t>installed:</w:t>
      </w:r>
    </w:p>
    <w:p>
      <w:pPr>
        <w:pStyle w:val="ListParagraph"/>
        <w:numPr>
          <w:ilvl w:val="1"/>
          <w:numId w:val="491"/>
        </w:numPr>
        <w:tabs>
          <w:tab w:pos="2486" w:val="left" w:leader="none"/>
        </w:tabs>
        <w:spacing w:line="240" w:lineRule="auto" w:before="120" w:after="0"/>
        <w:ind w:left="2485" w:right="0" w:hanging="567"/>
        <w:jc w:val="both"/>
        <w:rPr>
          <w:sz w:val="24"/>
        </w:rPr>
      </w:pPr>
      <w:r>
        <w:rPr>
          <w:sz w:val="24"/>
        </w:rPr>
        <w:t>by a new date agreed with the </w:t>
      </w:r>
      <w:r>
        <w:rPr>
          <w:i/>
          <w:sz w:val="24"/>
        </w:rPr>
        <w:t>retail customer</w:t>
      </w:r>
      <w:r>
        <w:rPr>
          <w:sz w:val="24"/>
        </w:rPr>
        <w:t>;</w:t>
      </w:r>
      <w:r>
        <w:rPr>
          <w:spacing w:val="-3"/>
          <w:sz w:val="24"/>
        </w:rPr>
        <w:t> </w:t>
      </w:r>
      <w:r>
        <w:rPr>
          <w:sz w:val="24"/>
        </w:rPr>
        <w:t>or</w:t>
      </w:r>
    </w:p>
    <w:p>
      <w:pPr>
        <w:pStyle w:val="ListParagraph"/>
        <w:numPr>
          <w:ilvl w:val="1"/>
          <w:numId w:val="491"/>
        </w:numPr>
        <w:tabs>
          <w:tab w:pos="2486" w:val="left" w:leader="none"/>
        </w:tabs>
        <w:spacing w:line="240" w:lineRule="auto" w:before="120" w:after="0"/>
        <w:ind w:left="2486" w:right="415" w:hanging="567"/>
        <w:jc w:val="both"/>
        <w:rPr>
          <w:sz w:val="24"/>
        </w:rPr>
      </w:pPr>
      <w:r>
        <w:rPr>
          <w:sz w:val="24"/>
        </w:rPr>
        <w:t>failing agreement, on a date no later than 15 </w:t>
      </w:r>
      <w:r>
        <w:rPr>
          <w:i/>
          <w:sz w:val="24"/>
        </w:rPr>
        <w:t>business days </w:t>
      </w:r>
      <w:r>
        <w:rPr>
          <w:sz w:val="24"/>
        </w:rPr>
        <w:t>from the date that the exception ceases to</w:t>
      </w:r>
      <w:r>
        <w:rPr>
          <w:spacing w:val="-1"/>
          <w:sz w:val="24"/>
        </w:rPr>
        <w:t> </w:t>
      </w:r>
      <w:r>
        <w:rPr>
          <w:sz w:val="24"/>
        </w:rPr>
        <w:t>apply.</w:t>
      </w:r>
    </w:p>
    <w:p>
      <w:pPr>
        <w:pStyle w:val="ListParagraph"/>
        <w:numPr>
          <w:ilvl w:val="0"/>
          <w:numId w:val="491"/>
        </w:numPr>
        <w:tabs>
          <w:tab w:pos="1919" w:val="left" w:leader="none"/>
        </w:tabs>
        <w:spacing w:line="240" w:lineRule="auto" w:before="120" w:after="0"/>
        <w:ind w:left="1919" w:right="415" w:hanging="567"/>
        <w:jc w:val="both"/>
        <w:rPr>
          <w:sz w:val="24"/>
        </w:rPr>
      </w:pPr>
      <w:r>
        <w:rPr>
          <w:sz w:val="24"/>
        </w:rPr>
        <w:t>For the avoidance of doubt, the timeframes for </w:t>
      </w:r>
      <w:r>
        <w:rPr>
          <w:i/>
          <w:sz w:val="24"/>
        </w:rPr>
        <w:t>meters </w:t>
      </w:r>
      <w:r>
        <w:rPr>
          <w:sz w:val="24"/>
        </w:rPr>
        <w:t>to be installed under this rule 7A.6.11 do not apply for a </w:t>
      </w:r>
      <w:r>
        <w:rPr>
          <w:i/>
          <w:sz w:val="24"/>
        </w:rPr>
        <w:t>retailer </w:t>
      </w:r>
      <w:r>
        <w:rPr>
          <w:sz w:val="24"/>
        </w:rPr>
        <w:t>initiated installation of a </w:t>
      </w:r>
      <w:r>
        <w:rPr>
          <w:i/>
          <w:sz w:val="24"/>
        </w:rPr>
        <w:t>meter</w:t>
      </w:r>
      <w:r>
        <w:rPr>
          <w:sz w:val="24"/>
        </w:rPr>
        <w:t>, or for a </w:t>
      </w:r>
      <w:r>
        <w:rPr>
          <w:i/>
          <w:sz w:val="24"/>
        </w:rPr>
        <w:t>new</w:t>
      </w:r>
      <w:r>
        <w:rPr>
          <w:i/>
          <w:spacing w:val="-1"/>
          <w:sz w:val="24"/>
        </w:rPr>
        <w:t> </w:t>
      </w:r>
      <w:r>
        <w:rPr>
          <w:i/>
          <w:sz w:val="24"/>
        </w:rPr>
        <w:t>connection</w:t>
      </w:r>
      <w:r>
        <w:rPr>
          <w:sz w:val="24"/>
        </w:rPr>
        <w:t>.</w:t>
      </w:r>
    </w:p>
    <w:p>
      <w:pPr>
        <w:pStyle w:val="ListParagraph"/>
        <w:numPr>
          <w:ilvl w:val="0"/>
          <w:numId w:val="491"/>
        </w:numPr>
        <w:tabs>
          <w:tab w:pos="1919" w:val="left" w:leader="none"/>
        </w:tabs>
        <w:spacing w:line="240" w:lineRule="auto" w:before="120" w:after="0"/>
        <w:ind w:left="1919" w:right="415" w:hanging="567"/>
        <w:jc w:val="both"/>
        <w:rPr>
          <w:sz w:val="24"/>
        </w:rPr>
      </w:pPr>
      <w:r>
        <w:rPr>
          <w:sz w:val="24"/>
        </w:rPr>
        <w:t>A </w:t>
      </w:r>
      <w:r>
        <w:rPr>
          <w:i/>
          <w:sz w:val="24"/>
        </w:rPr>
        <w:t>retailer </w:t>
      </w:r>
      <w:r>
        <w:rPr>
          <w:sz w:val="24"/>
        </w:rPr>
        <w:t>must inform its </w:t>
      </w:r>
      <w:r>
        <w:rPr>
          <w:i/>
          <w:sz w:val="24"/>
        </w:rPr>
        <w:t>retail customers </w:t>
      </w:r>
      <w:r>
        <w:rPr>
          <w:sz w:val="24"/>
        </w:rPr>
        <w:t>of its obligations under this clause.</w:t>
      </w:r>
    </w:p>
    <w:p>
      <w:pPr>
        <w:pStyle w:val="BodyText"/>
        <w:spacing w:before="10"/>
        <w:ind w:firstLine="0"/>
        <w:jc w:val="left"/>
        <w:rPr>
          <w:sz w:val="20"/>
        </w:rPr>
      </w:pPr>
    </w:p>
    <w:p>
      <w:pPr>
        <w:pStyle w:val="Heading4"/>
        <w:tabs>
          <w:tab w:pos="1351" w:val="left" w:leader="none"/>
        </w:tabs>
        <w:ind w:left="1352" w:right="430"/>
      </w:pPr>
      <w:bookmarkStart w:name="7A.6.12 Timeframes for meters to be inst" w:id="1763"/>
      <w:bookmarkEnd w:id="1763"/>
      <w:r>
        <w:rPr>
          <w:b w:val="0"/>
        </w:rPr>
      </w:r>
      <w:bookmarkStart w:name="_bookmark707" w:id="1764"/>
      <w:bookmarkEnd w:id="1764"/>
      <w:r>
        <w:rPr>
          <w:b w:val="0"/>
        </w:rPr>
      </w:r>
      <w:r>
        <w:rPr/>
        <w:t>7A.6.12</w:t>
        <w:tab/>
        <w:t>Timeframes for meters to be installed – where a connection alteration is</w:t>
      </w:r>
      <w:r>
        <w:rPr>
          <w:spacing w:val="-1"/>
        </w:rPr>
        <w:t> </w:t>
      </w:r>
      <w:r>
        <w:rPr/>
        <w:t>required</w:t>
      </w:r>
    </w:p>
    <w:p>
      <w:pPr>
        <w:pStyle w:val="ListParagraph"/>
        <w:numPr>
          <w:ilvl w:val="0"/>
          <w:numId w:val="492"/>
        </w:numPr>
        <w:tabs>
          <w:tab w:pos="1919" w:val="left" w:leader="none"/>
        </w:tabs>
        <w:spacing w:line="240" w:lineRule="auto" w:before="120" w:after="0"/>
        <w:ind w:left="1919" w:right="414" w:hanging="567"/>
        <w:jc w:val="both"/>
        <w:rPr>
          <w:sz w:val="24"/>
        </w:rPr>
      </w:pPr>
      <w:r>
        <w:rPr>
          <w:sz w:val="24"/>
        </w:rPr>
        <w:t>Subject to paragraph (b), if a </w:t>
      </w:r>
      <w:r>
        <w:rPr>
          <w:i/>
          <w:sz w:val="24"/>
        </w:rPr>
        <w:t>retail customer </w:t>
      </w:r>
      <w:r>
        <w:rPr>
          <w:sz w:val="24"/>
        </w:rPr>
        <w:t>has requested a </w:t>
      </w:r>
      <w:r>
        <w:rPr>
          <w:i/>
          <w:sz w:val="24"/>
        </w:rPr>
        <w:t>meter </w:t>
      </w:r>
      <w:r>
        <w:rPr>
          <w:sz w:val="24"/>
        </w:rPr>
        <w:t>to be installed at the customer's premises and a </w:t>
      </w:r>
      <w:r>
        <w:rPr>
          <w:i/>
          <w:sz w:val="24"/>
        </w:rPr>
        <w:t>connection alteration </w:t>
      </w:r>
      <w:r>
        <w:rPr>
          <w:sz w:val="24"/>
        </w:rPr>
        <w:t>is also required:</w:t>
      </w:r>
    </w:p>
    <w:p>
      <w:pPr>
        <w:pStyle w:val="ListParagraph"/>
        <w:numPr>
          <w:ilvl w:val="1"/>
          <w:numId w:val="492"/>
        </w:numPr>
        <w:tabs>
          <w:tab w:pos="2486" w:val="left" w:leader="none"/>
        </w:tabs>
        <w:spacing w:line="240" w:lineRule="auto" w:before="120" w:after="0"/>
        <w:ind w:left="2485" w:right="0" w:hanging="567"/>
        <w:jc w:val="both"/>
        <w:rPr>
          <w:sz w:val="24"/>
        </w:rPr>
      </w:pPr>
      <w:r>
        <w:rPr>
          <w:sz w:val="24"/>
        </w:rPr>
        <w:t>the </w:t>
      </w:r>
      <w:r>
        <w:rPr>
          <w:i/>
          <w:sz w:val="24"/>
        </w:rPr>
        <w:t>retailer </w:t>
      </w:r>
      <w:r>
        <w:rPr>
          <w:sz w:val="24"/>
        </w:rPr>
        <w:t>must arrange for the </w:t>
      </w:r>
      <w:r>
        <w:rPr>
          <w:i/>
          <w:sz w:val="24"/>
        </w:rPr>
        <w:t>meter </w:t>
      </w:r>
      <w:r>
        <w:rPr>
          <w:sz w:val="24"/>
        </w:rPr>
        <w:t>to be</w:t>
      </w:r>
      <w:r>
        <w:rPr>
          <w:spacing w:val="-5"/>
          <w:sz w:val="24"/>
        </w:rPr>
        <w:t> </w:t>
      </w:r>
      <w:r>
        <w:rPr>
          <w:sz w:val="24"/>
        </w:rPr>
        <w:t>installed:</w:t>
      </w:r>
    </w:p>
    <w:p>
      <w:pPr>
        <w:pStyle w:val="ListParagraph"/>
        <w:numPr>
          <w:ilvl w:val="2"/>
          <w:numId w:val="492"/>
        </w:numPr>
        <w:tabs>
          <w:tab w:pos="3053" w:val="left" w:leader="none"/>
        </w:tabs>
        <w:spacing w:line="240" w:lineRule="auto" w:before="120" w:after="0"/>
        <w:ind w:left="3053" w:right="416" w:hanging="567"/>
        <w:jc w:val="both"/>
        <w:rPr>
          <w:sz w:val="24"/>
        </w:rPr>
      </w:pPr>
      <w:r>
        <w:rPr>
          <w:sz w:val="24"/>
        </w:rPr>
        <w:t>by a date agreed with the </w:t>
      </w:r>
      <w:r>
        <w:rPr>
          <w:i/>
          <w:sz w:val="24"/>
        </w:rPr>
        <w:t>retail customer </w:t>
      </w:r>
      <w:r>
        <w:rPr>
          <w:sz w:val="24"/>
        </w:rPr>
        <w:t>and the </w:t>
      </w:r>
      <w:r>
        <w:rPr>
          <w:i/>
          <w:sz w:val="24"/>
        </w:rPr>
        <w:t>Distribution </w:t>
      </w:r>
      <w:r>
        <w:rPr>
          <w:i/>
          <w:sz w:val="24"/>
        </w:rPr>
        <w:t>Network Service Provider </w:t>
      </w:r>
      <w:r>
        <w:rPr>
          <w:sz w:val="24"/>
        </w:rPr>
        <w:t>where the </w:t>
      </w:r>
      <w:r>
        <w:rPr>
          <w:i/>
          <w:sz w:val="24"/>
        </w:rPr>
        <w:t>Distribution Network </w:t>
      </w:r>
      <w:r>
        <w:rPr>
          <w:i/>
          <w:sz w:val="24"/>
        </w:rPr>
        <w:t>Service Provider </w:t>
      </w:r>
      <w:r>
        <w:rPr>
          <w:sz w:val="24"/>
        </w:rPr>
        <w:t>is providing the </w:t>
      </w:r>
      <w:r>
        <w:rPr>
          <w:i/>
          <w:sz w:val="24"/>
        </w:rPr>
        <w:t>connection alteration</w:t>
      </w:r>
      <w:r>
        <w:rPr>
          <w:sz w:val="24"/>
        </w:rPr>
        <w:t>;</w:t>
      </w:r>
      <w:r>
        <w:rPr>
          <w:spacing w:val="-3"/>
          <w:sz w:val="24"/>
        </w:rPr>
        <w:t> </w:t>
      </w:r>
      <w:r>
        <w:rPr>
          <w:sz w:val="24"/>
        </w:rPr>
        <w:t>or</w:t>
      </w:r>
    </w:p>
    <w:p>
      <w:pPr>
        <w:pStyle w:val="ListParagraph"/>
        <w:numPr>
          <w:ilvl w:val="2"/>
          <w:numId w:val="492"/>
        </w:numPr>
        <w:tabs>
          <w:tab w:pos="3054" w:val="left" w:leader="none"/>
        </w:tabs>
        <w:spacing w:line="240" w:lineRule="auto" w:before="120" w:after="0"/>
        <w:ind w:left="3053" w:right="415" w:hanging="567"/>
        <w:jc w:val="both"/>
        <w:rPr>
          <w:sz w:val="24"/>
        </w:rPr>
      </w:pPr>
      <w:r>
        <w:rPr>
          <w:sz w:val="24"/>
        </w:rPr>
        <w:t>failing agreement, on a date no later than 15 </w:t>
      </w:r>
      <w:r>
        <w:rPr>
          <w:i/>
          <w:sz w:val="24"/>
        </w:rPr>
        <w:t>business days </w:t>
      </w:r>
      <w:r>
        <w:rPr>
          <w:sz w:val="24"/>
        </w:rPr>
        <w:t>after the </w:t>
      </w:r>
      <w:r>
        <w:rPr>
          <w:i/>
          <w:sz w:val="24"/>
        </w:rPr>
        <w:t>retailer </w:t>
      </w:r>
      <w:r>
        <w:rPr>
          <w:sz w:val="24"/>
        </w:rPr>
        <w:t>received the request from the </w:t>
      </w:r>
      <w:r>
        <w:rPr>
          <w:i/>
          <w:sz w:val="24"/>
        </w:rPr>
        <w:t>retail customer </w:t>
      </w:r>
      <w:r>
        <w:rPr>
          <w:sz w:val="24"/>
        </w:rPr>
        <w:t>for the </w:t>
      </w:r>
      <w:r>
        <w:rPr>
          <w:i/>
          <w:sz w:val="24"/>
        </w:rPr>
        <w:t>meter </w:t>
      </w:r>
      <w:r>
        <w:rPr>
          <w:sz w:val="24"/>
        </w:rPr>
        <w:t>to be installed;</w:t>
      </w:r>
      <w:r>
        <w:rPr>
          <w:spacing w:val="-2"/>
          <w:sz w:val="24"/>
        </w:rPr>
        <w:t> </w:t>
      </w:r>
      <w:r>
        <w:rPr>
          <w:sz w:val="24"/>
        </w:rPr>
        <w:t>and</w:t>
      </w:r>
    </w:p>
    <w:p>
      <w:pPr>
        <w:pStyle w:val="ListParagraph"/>
        <w:numPr>
          <w:ilvl w:val="1"/>
          <w:numId w:val="492"/>
        </w:numPr>
        <w:tabs>
          <w:tab w:pos="2486" w:val="left" w:leader="none"/>
        </w:tabs>
        <w:spacing w:line="240" w:lineRule="auto" w:before="120" w:after="0"/>
        <w:ind w:left="2486" w:right="415" w:hanging="567"/>
        <w:jc w:val="both"/>
        <w:rPr>
          <w:sz w:val="24"/>
        </w:rPr>
      </w:pPr>
      <w:r>
        <w:rPr>
          <w:sz w:val="24"/>
        </w:rPr>
        <w:t>where a </w:t>
      </w:r>
      <w:r>
        <w:rPr>
          <w:i/>
          <w:sz w:val="24"/>
        </w:rPr>
        <w:t>Distribution Network Service Provider </w:t>
      </w:r>
      <w:r>
        <w:rPr>
          <w:sz w:val="24"/>
        </w:rPr>
        <w:t>is providing the </w:t>
      </w:r>
      <w:r>
        <w:rPr>
          <w:i/>
          <w:sz w:val="24"/>
        </w:rPr>
        <w:t>connection alteration</w:t>
      </w:r>
      <w:r>
        <w:rPr>
          <w:sz w:val="24"/>
        </w:rPr>
        <w:t>, the </w:t>
      </w:r>
      <w:r>
        <w:rPr>
          <w:i/>
          <w:sz w:val="24"/>
        </w:rPr>
        <w:t>Distribution Network Service Provider </w:t>
      </w:r>
      <w:r>
        <w:rPr>
          <w:sz w:val="24"/>
        </w:rPr>
        <w:t>must co-ordinate the </w:t>
      </w:r>
      <w:r>
        <w:rPr>
          <w:i/>
          <w:sz w:val="24"/>
        </w:rPr>
        <w:t>connection alteration</w:t>
      </w:r>
      <w:r>
        <w:rPr>
          <w:sz w:val="24"/>
        </w:rPr>
        <w:t>, </w:t>
      </w:r>
      <w:r>
        <w:rPr>
          <w:i/>
          <w:sz w:val="24"/>
        </w:rPr>
        <w:t>with </w:t>
      </w:r>
      <w:r>
        <w:rPr>
          <w:sz w:val="24"/>
        </w:rPr>
        <w:t>the </w:t>
      </w:r>
      <w:r>
        <w:rPr>
          <w:i/>
          <w:sz w:val="24"/>
        </w:rPr>
        <w:t>retailer </w:t>
      </w:r>
      <w:r>
        <w:rPr>
          <w:sz w:val="24"/>
        </w:rPr>
        <w:t>and other relevant parties, in order to allow the </w:t>
      </w:r>
      <w:r>
        <w:rPr>
          <w:i/>
          <w:sz w:val="24"/>
        </w:rPr>
        <w:t>retailer </w:t>
      </w:r>
      <w:r>
        <w:rPr>
          <w:sz w:val="24"/>
        </w:rPr>
        <w:t>to comply with its obligation under subparagraph</w:t>
      </w:r>
      <w:r>
        <w:rPr>
          <w:spacing w:val="-2"/>
          <w:sz w:val="24"/>
        </w:rPr>
        <w:t> </w:t>
      </w:r>
      <w:r>
        <w:rPr>
          <w:sz w:val="24"/>
        </w:rPr>
        <w:t>(1).</w:t>
      </w:r>
    </w:p>
    <w:p>
      <w:pPr>
        <w:spacing w:after="0" w:line="240" w:lineRule="auto"/>
        <w:jc w:val="both"/>
        <w:rPr>
          <w:sz w:val="24"/>
        </w:rPr>
        <w:sectPr>
          <w:pgSz w:w="11910" w:h="16840"/>
          <w:pgMar w:header="686" w:footer="637" w:top="1320" w:bottom="820" w:left="1200" w:right="1000"/>
        </w:sectPr>
      </w:pPr>
    </w:p>
    <w:p>
      <w:pPr>
        <w:pStyle w:val="ListParagraph"/>
        <w:numPr>
          <w:ilvl w:val="0"/>
          <w:numId w:val="492"/>
        </w:numPr>
        <w:tabs>
          <w:tab w:pos="1918" w:val="left" w:leader="none"/>
          <w:tab w:pos="1919" w:val="left" w:leader="none"/>
        </w:tabs>
        <w:spacing w:line="240" w:lineRule="auto" w:before="83" w:after="0"/>
        <w:ind w:left="1919" w:right="415" w:hanging="567"/>
        <w:jc w:val="left"/>
        <w:rPr>
          <w:sz w:val="24"/>
        </w:rPr>
      </w:pPr>
      <w:r>
        <w:rPr>
          <w:sz w:val="24"/>
        </w:rPr>
        <w:t>The timeframe under paragraph (a)(1) (i) or (ii) (as applicable) will not apply</w:t>
      </w:r>
      <w:r>
        <w:rPr>
          <w:spacing w:val="-1"/>
          <w:sz w:val="24"/>
        </w:rPr>
        <w:t> </w:t>
      </w:r>
      <w:r>
        <w:rPr>
          <w:sz w:val="24"/>
        </w:rPr>
        <w:t>where:</w:t>
      </w:r>
    </w:p>
    <w:p>
      <w:pPr>
        <w:pStyle w:val="ListParagraph"/>
        <w:numPr>
          <w:ilvl w:val="1"/>
          <w:numId w:val="492"/>
        </w:numPr>
        <w:tabs>
          <w:tab w:pos="2485" w:val="left" w:leader="none"/>
          <w:tab w:pos="2486" w:val="left" w:leader="none"/>
        </w:tabs>
        <w:spacing w:line="240" w:lineRule="auto" w:before="120" w:after="0"/>
        <w:ind w:left="2485" w:right="0" w:hanging="567"/>
        <w:jc w:val="left"/>
        <w:rPr>
          <w:i/>
          <w:sz w:val="24"/>
        </w:rPr>
      </w:pPr>
      <w:r>
        <w:rPr>
          <w:sz w:val="24"/>
        </w:rPr>
        <w:t>the </w:t>
      </w:r>
      <w:r>
        <w:rPr>
          <w:i/>
          <w:sz w:val="24"/>
        </w:rPr>
        <w:t>retail customer </w:t>
      </w:r>
      <w:r>
        <w:rPr>
          <w:sz w:val="24"/>
        </w:rPr>
        <w:t>has not entered into an agreement with the</w:t>
      </w:r>
      <w:r>
        <w:rPr>
          <w:spacing w:val="8"/>
          <w:sz w:val="24"/>
        </w:rPr>
        <w:t> </w:t>
      </w:r>
      <w:r>
        <w:rPr>
          <w:i/>
          <w:sz w:val="24"/>
        </w:rPr>
        <w:t>retailer</w:t>
      </w:r>
    </w:p>
    <w:p>
      <w:pPr>
        <w:pStyle w:val="BodyText"/>
        <w:spacing w:before="0"/>
        <w:ind w:left="2486" w:firstLine="0"/>
        <w:jc w:val="left"/>
      </w:pPr>
      <w:r>
        <w:rPr/>
        <w:t>for the </w:t>
      </w:r>
      <w:r>
        <w:rPr>
          <w:i/>
        </w:rPr>
        <w:t>meter </w:t>
      </w:r>
      <w:r>
        <w:rPr/>
        <w:t>to be installed;</w:t>
      </w:r>
    </w:p>
    <w:p>
      <w:pPr>
        <w:pStyle w:val="ListParagraph"/>
        <w:numPr>
          <w:ilvl w:val="1"/>
          <w:numId w:val="492"/>
        </w:numPr>
        <w:tabs>
          <w:tab w:pos="2485" w:val="left" w:leader="none"/>
          <w:tab w:pos="2486" w:val="left" w:leader="none"/>
        </w:tabs>
        <w:spacing w:line="240" w:lineRule="auto" w:before="120" w:after="0"/>
        <w:ind w:left="2486" w:right="415" w:hanging="567"/>
        <w:jc w:val="left"/>
        <w:rPr>
          <w:sz w:val="24"/>
        </w:rPr>
      </w:pPr>
      <w:r>
        <w:rPr>
          <w:sz w:val="24"/>
        </w:rPr>
        <w:t>the proposed site for the meter at the </w:t>
      </w:r>
      <w:r>
        <w:rPr>
          <w:i/>
          <w:sz w:val="24"/>
        </w:rPr>
        <w:t>retail customer's </w:t>
      </w:r>
      <w:r>
        <w:rPr>
          <w:sz w:val="24"/>
        </w:rPr>
        <w:t>premises is not accessible, safe, or ready for the </w:t>
      </w:r>
      <w:r>
        <w:rPr>
          <w:i/>
          <w:sz w:val="24"/>
        </w:rPr>
        <w:t>meter </w:t>
      </w:r>
      <w:r>
        <w:rPr>
          <w:sz w:val="24"/>
        </w:rPr>
        <w:t>to be</w:t>
      </w:r>
      <w:r>
        <w:rPr>
          <w:spacing w:val="-5"/>
          <w:sz w:val="24"/>
        </w:rPr>
        <w:t> </w:t>
      </w:r>
      <w:r>
        <w:rPr>
          <w:sz w:val="24"/>
        </w:rPr>
        <w:t>installed;</w:t>
      </w:r>
    </w:p>
    <w:p>
      <w:pPr>
        <w:pStyle w:val="ListParagraph"/>
        <w:numPr>
          <w:ilvl w:val="1"/>
          <w:numId w:val="492"/>
        </w:numPr>
        <w:tabs>
          <w:tab w:pos="2485" w:val="left" w:leader="none"/>
          <w:tab w:pos="2486" w:val="left" w:leader="none"/>
        </w:tabs>
        <w:spacing w:line="240" w:lineRule="auto" w:before="120" w:after="0"/>
        <w:ind w:left="2486" w:right="416" w:hanging="567"/>
        <w:jc w:val="left"/>
        <w:rPr>
          <w:sz w:val="24"/>
        </w:rPr>
      </w:pPr>
      <w:r>
        <w:rPr>
          <w:sz w:val="24"/>
        </w:rPr>
        <w:t>installing the </w:t>
      </w:r>
      <w:r>
        <w:rPr>
          <w:i/>
          <w:sz w:val="24"/>
        </w:rPr>
        <w:t>meter </w:t>
      </w:r>
      <w:r>
        <w:rPr>
          <w:sz w:val="24"/>
        </w:rPr>
        <w:t>requires interrupting supply to another </w:t>
      </w:r>
      <w:r>
        <w:rPr>
          <w:i/>
          <w:sz w:val="24"/>
        </w:rPr>
        <w:t>retail </w:t>
      </w:r>
      <w:r>
        <w:rPr>
          <w:i/>
          <w:sz w:val="24"/>
        </w:rPr>
        <w:t>customer</w:t>
      </w:r>
      <w:r>
        <w:rPr>
          <w:sz w:val="24"/>
        </w:rPr>
        <w:t>;</w:t>
      </w:r>
    </w:p>
    <w:p>
      <w:pPr>
        <w:pStyle w:val="ListParagraph"/>
        <w:numPr>
          <w:ilvl w:val="1"/>
          <w:numId w:val="492"/>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retail customer </w:t>
      </w:r>
      <w:r>
        <w:rPr>
          <w:sz w:val="24"/>
        </w:rPr>
        <w:t>has not met the conditions that it is required to comply with under its </w:t>
      </w:r>
      <w:r>
        <w:rPr>
          <w:i/>
          <w:sz w:val="24"/>
        </w:rPr>
        <w:t>connection contract</w:t>
      </w:r>
      <w:r>
        <w:rPr>
          <w:sz w:val="24"/>
        </w:rPr>
        <w:t>;</w:t>
      </w:r>
      <w:r>
        <w:rPr>
          <w:spacing w:val="-2"/>
          <w:sz w:val="24"/>
        </w:rPr>
        <w:t> </w:t>
      </w:r>
      <w:r>
        <w:rPr>
          <w:sz w:val="24"/>
        </w:rPr>
        <w:t>or</w:t>
      </w:r>
    </w:p>
    <w:p>
      <w:pPr>
        <w:pStyle w:val="ListParagraph"/>
        <w:numPr>
          <w:ilvl w:val="1"/>
          <w:numId w:val="492"/>
        </w:numPr>
        <w:tabs>
          <w:tab w:pos="2485" w:val="left" w:leader="none"/>
          <w:tab w:pos="2486" w:val="left" w:leader="none"/>
        </w:tabs>
        <w:spacing w:line="240" w:lineRule="auto" w:before="120" w:after="0"/>
        <w:ind w:left="2485" w:right="0" w:hanging="567"/>
        <w:jc w:val="left"/>
        <w:rPr>
          <w:i/>
          <w:sz w:val="24"/>
        </w:rPr>
      </w:pPr>
      <w:r>
        <w:rPr>
          <w:i/>
          <w:sz w:val="24"/>
        </w:rPr>
        <w:t>augmentation </w:t>
      </w:r>
      <w:r>
        <w:rPr>
          <w:sz w:val="24"/>
        </w:rPr>
        <w:t>is required for the purposes of the </w:t>
      </w:r>
      <w:r>
        <w:rPr>
          <w:i/>
          <w:sz w:val="24"/>
        </w:rPr>
        <w:t>connection alteration</w:t>
      </w:r>
    </w:p>
    <w:p>
      <w:pPr>
        <w:pStyle w:val="BodyText"/>
        <w:spacing w:before="0"/>
        <w:ind w:left="2486" w:firstLine="0"/>
        <w:jc w:val="left"/>
      </w:pPr>
      <w:r>
        <w:rPr/>
        <w:t>and has not yet been completed.</w:t>
      </w:r>
    </w:p>
    <w:p>
      <w:pPr>
        <w:pStyle w:val="ListParagraph"/>
        <w:numPr>
          <w:ilvl w:val="0"/>
          <w:numId w:val="492"/>
        </w:numPr>
        <w:tabs>
          <w:tab w:pos="1918" w:val="left" w:leader="none"/>
          <w:tab w:pos="1919" w:val="left" w:leader="none"/>
        </w:tabs>
        <w:spacing w:line="240" w:lineRule="auto" w:before="120" w:after="0"/>
        <w:ind w:left="1919" w:right="415" w:hanging="567"/>
        <w:jc w:val="left"/>
        <w:rPr>
          <w:sz w:val="24"/>
        </w:rPr>
      </w:pPr>
      <w:r>
        <w:rPr>
          <w:sz w:val="24"/>
        </w:rPr>
        <w:t>Subject to the reapplication of paragraph (b), on and from the date that an exception under paragraph (b) ceases to</w:t>
      </w:r>
      <w:r>
        <w:rPr>
          <w:spacing w:val="-1"/>
          <w:sz w:val="24"/>
        </w:rPr>
        <w:t> </w:t>
      </w:r>
      <w:r>
        <w:rPr>
          <w:sz w:val="24"/>
        </w:rPr>
        <w:t>apply:</w:t>
      </w:r>
    </w:p>
    <w:p>
      <w:pPr>
        <w:pStyle w:val="ListParagraph"/>
        <w:numPr>
          <w:ilvl w:val="1"/>
          <w:numId w:val="49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retailer </w:t>
      </w:r>
      <w:r>
        <w:rPr>
          <w:sz w:val="24"/>
        </w:rPr>
        <w:t>must arrange for the </w:t>
      </w:r>
      <w:r>
        <w:rPr>
          <w:i/>
          <w:sz w:val="24"/>
        </w:rPr>
        <w:t>meter </w:t>
      </w:r>
      <w:r>
        <w:rPr>
          <w:sz w:val="24"/>
        </w:rPr>
        <w:t>to be</w:t>
      </w:r>
      <w:r>
        <w:rPr>
          <w:spacing w:val="-5"/>
          <w:sz w:val="24"/>
        </w:rPr>
        <w:t> </w:t>
      </w:r>
      <w:r>
        <w:rPr>
          <w:sz w:val="24"/>
        </w:rPr>
        <w:t>installed:</w:t>
      </w:r>
    </w:p>
    <w:p>
      <w:pPr>
        <w:pStyle w:val="ListParagraph"/>
        <w:numPr>
          <w:ilvl w:val="2"/>
          <w:numId w:val="492"/>
        </w:numPr>
        <w:tabs>
          <w:tab w:pos="3053" w:val="left" w:leader="none"/>
        </w:tabs>
        <w:spacing w:line="240" w:lineRule="auto" w:before="120" w:after="0"/>
        <w:ind w:left="3053" w:right="415" w:hanging="567"/>
        <w:jc w:val="both"/>
        <w:rPr>
          <w:sz w:val="24"/>
        </w:rPr>
      </w:pPr>
      <w:r>
        <w:rPr>
          <w:sz w:val="24"/>
        </w:rPr>
        <w:t>by a new date agreed with the </w:t>
      </w:r>
      <w:r>
        <w:rPr>
          <w:i/>
          <w:sz w:val="24"/>
        </w:rPr>
        <w:t>retail customer </w:t>
      </w:r>
      <w:r>
        <w:rPr>
          <w:sz w:val="24"/>
        </w:rPr>
        <w:t>and the </w:t>
      </w:r>
      <w:r>
        <w:rPr>
          <w:i/>
          <w:sz w:val="24"/>
        </w:rPr>
        <w:t>Distribution Network Service Provider </w:t>
      </w:r>
      <w:r>
        <w:rPr>
          <w:sz w:val="24"/>
        </w:rPr>
        <w:t>where the </w:t>
      </w:r>
      <w:r>
        <w:rPr>
          <w:i/>
          <w:sz w:val="24"/>
        </w:rPr>
        <w:t>Distribution </w:t>
      </w:r>
      <w:r>
        <w:rPr>
          <w:i/>
          <w:sz w:val="24"/>
        </w:rPr>
        <w:t>Network Service Provider </w:t>
      </w:r>
      <w:r>
        <w:rPr>
          <w:sz w:val="24"/>
        </w:rPr>
        <w:t>is providing the  </w:t>
      </w:r>
      <w:r>
        <w:rPr>
          <w:i/>
          <w:spacing w:val="-3"/>
          <w:sz w:val="24"/>
        </w:rPr>
        <w:t>connection </w:t>
      </w:r>
      <w:r>
        <w:rPr>
          <w:i/>
          <w:sz w:val="24"/>
        </w:rPr>
        <w:t>alteration</w:t>
      </w:r>
      <w:r>
        <w:rPr>
          <w:sz w:val="24"/>
        </w:rPr>
        <w:t>;</w:t>
      </w:r>
      <w:r>
        <w:rPr>
          <w:spacing w:val="-1"/>
          <w:sz w:val="24"/>
        </w:rPr>
        <w:t> </w:t>
      </w:r>
      <w:r>
        <w:rPr>
          <w:sz w:val="24"/>
        </w:rPr>
        <w:t>or</w:t>
      </w:r>
    </w:p>
    <w:p>
      <w:pPr>
        <w:pStyle w:val="ListParagraph"/>
        <w:numPr>
          <w:ilvl w:val="2"/>
          <w:numId w:val="492"/>
        </w:numPr>
        <w:tabs>
          <w:tab w:pos="3054" w:val="left" w:leader="none"/>
        </w:tabs>
        <w:spacing w:line="240" w:lineRule="auto" w:before="120" w:after="0"/>
        <w:ind w:left="3053" w:right="415" w:hanging="567"/>
        <w:jc w:val="both"/>
        <w:rPr>
          <w:sz w:val="24"/>
        </w:rPr>
      </w:pPr>
      <w:r>
        <w:rPr>
          <w:sz w:val="24"/>
        </w:rPr>
        <w:t>failing agreement, on a date no later than 15 </w:t>
      </w:r>
      <w:r>
        <w:rPr>
          <w:i/>
          <w:sz w:val="24"/>
        </w:rPr>
        <w:t>business days </w:t>
      </w:r>
      <w:r>
        <w:rPr>
          <w:sz w:val="24"/>
        </w:rPr>
        <w:t>from the date that the exception ceases to apply;</w:t>
      </w:r>
      <w:r>
        <w:rPr>
          <w:spacing w:val="-1"/>
          <w:sz w:val="24"/>
        </w:rPr>
        <w:t> </w:t>
      </w:r>
      <w:r>
        <w:rPr>
          <w:sz w:val="24"/>
        </w:rPr>
        <w:t>and</w:t>
      </w:r>
    </w:p>
    <w:p>
      <w:pPr>
        <w:pStyle w:val="ListParagraph"/>
        <w:numPr>
          <w:ilvl w:val="1"/>
          <w:numId w:val="492"/>
        </w:numPr>
        <w:tabs>
          <w:tab w:pos="2486" w:val="left" w:leader="none"/>
        </w:tabs>
        <w:spacing w:line="240" w:lineRule="auto" w:before="120" w:after="0"/>
        <w:ind w:left="2486" w:right="414" w:hanging="567"/>
        <w:jc w:val="both"/>
        <w:rPr>
          <w:sz w:val="24"/>
        </w:rPr>
      </w:pPr>
      <w:r>
        <w:rPr>
          <w:sz w:val="24"/>
        </w:rPr>
        <w:t>where a </w:t>
      </w:r>
      <w:r>
        <w:rPr>
          <w:i/>
          <w:sz w:val="24"/>
        </w:rPr>
        <w:t>Distribution Network Service Provider </w:t>
      </w:r>
      <w:r>
        <w:rPr>
          <w:sz w:val="24"/>
        </w:rPr>
        <w:t>is providing the </w:t>
      </w:r>
      <w:r>
        <w:rPr>
          <w:i/>
          <w:sz w:val="24"/>
        </w:rPr>
        <w:t>connection </w:t>
      </w:r>
      <w:r>
        <w:rPr>
          <w:sz w:val="24"/>
        </w:rPr>
        <w:t>alteration, it must co-ordinate the </w:t>
      </w:r>
      <w:r>
        <w:rPr>
          <w:i/>
          <w:sz w:val="24"/>
        </w:rPr>
        <w:t>connection alteration</w:t>
      </w:r>
      <w:r>
        <w:rPr>
          <w:sz w:val="24"/>
        </w:rPr>
        <w:t>, </w:t>
      </w:r>
      <w:r>
        <w:rPr>
          <w:i/>
          <w:sz w:val="24"/>
        </w:rPr>
        <w:t>with </w:t>
      </w:r>
      <w:r>
        <w:rPr>
          <w:sz w:val="24"/>
        </w:rPr>
        <w:t>the </w:t>
      </w:r>
      <w:r>
        <w:rPr>
          <w:i/>
          <w:sz w:val="24"/>
        </w:rPr>
        <w:t>retailer </w:t>
      </w:r>
      <w:r>
        <w:rPr>
          <w:sz w:val="24"/>
        </w:rPr>
        <w:t>and other relevant parties, in order to allow the </w:t>
      </w:r>
      <w:r>
        <w:rPr>
          <w:i/>
          <w:sz w:val="24"/>
        </w:rPr>
        <w:t>retailer </w:t>
      </w:r>
      <w:r>
        <w:rPr>
          <w:sz w:val="24"/>
        </w:rPr>
        <w:t>to meet its obligation under subparagraph</w:t>
      </w:r>
      <w:r>
        <w:rPr>
          <w:spacing w:val="-4"/>
          <w:sz w:val="24"/>
        </w:rPr>
        <w:t> </w:t>
      </w:r>
      <w:r>
        <w:rPr>
          <w:sz w:val="24"/>
        </w:rPr>
        <w:t>(1).</w:t>
      </w:r>
    </w:p>
    <w:p>
      <w:pPr>
        <w:pStyle w:val="ListParagraph"/>
        <w:numPr>
          <w:ilvl w:val="0"/>
          <w:numId w:val="492"/>
        </w:numPr>
        <w:tabs>
          <w:tab w:pos="1919" w:val="left" w:leader="none"/>
        </w:tabs>
        <w:spacing w:line="240" w:lineRule="auto" w:before="120" w:after="0"/>
        <w:ind w:left="1919" w:right="414" w:hanging="567"/>
        <w:jc w:val="both"/>
        <w:rPr>
          <w:sz w:val="24"/>
        </w:rPr>
      </w:pPr>
      <w:r>
        <w:rPr>
          <w:sz w:val="24"/>
        </w:rPr>
        <w:t>If the </w:t>
      </w:r>
      <w:r>
        <w:rPr>
          <w:i/>
          <w:sz w:val="24"/>
        </w:rPr>
        <w:t>retailer </w:t>
      </w:r>
      <w:r>
        <w:rPr>
          <w:sz w:val="24"/>
        </w:rPr>
        <w:t>receives a request from a </w:t>
      </w:r>
      <w:r>
        <w:rPr>
          <w:i/>
          <w:sz w:val="24"/>
        </w:rPr>
        <w:t>retail customer </w:t>
      </w:r>
      <w:r>
        <w:rPr>
          <w:sz w:val="24"/>
        </w:rPr>
        <w:t>for a </w:t>
      </w:r>
      <w:r>
        <w:rPr>
          <w:i/>
          <w:sz w:val="24"/>
        </w:rPr>
        <w:t>meter </w:t>
      </w:r>
      <w:r>
        <w:rPr>
          <w:sz w:val="24"/>
        </w:rPr>
        <w:t>to be installed at the customer's premises where a </w:t>
      </w:r>
      <w:r>
        <w:rPr>
          <w:i/>
          <w:sz w:val="24"/>
        </w:rPr>
        <w:t>connection alteration </w:t>
      </w:r>
      <w:r>
        <w:rPr>
          <w:sz w:val="24"/>
        </w:rPr>
        <w:t>is also required, the </w:t>
      </w:r>
      <w:r>
        <w:rPr>
          <w:i/>
          <w:sz w:val="24"/>
        </w:rPr>
        <w:t>retailer </w:t>
      </w:r>
      <w:r>
        <w:rPr>
          <w:sz w:val="24"/>
        </w:rPr>
        <w:t>must inform the </w:t>
      </w:r>
      <w:r>
        <w:rPr>
          <w:i/>
          <w:sz w:val="24"/>
        </w:rPr>
        <w:t>Distribution Network Service  </w:t>
      </w:r>
      <w:r>
        <w:rPr>
          <w:i/>
          <w:sz w:val="24"/>
        </w:rPr>
        <w:t>Provider </w:t>
      </w:r>
      <w:r>
        <w:rPr>
          <w:sz w:val="24"/>
        </w:rPr>
        <w:t>of the request no later than the next </w:t>
      </w:r>
      <w:r>
        <w:rPr>
          <w:i/>
          <w:sz w:val="24"/>
        </w:rPr>
        <w:t>business day </w:t>
      </w:r>
      <w:r>
        <w:rPr>
          <w:sz w:val="24"/>
        </w:rPr>
        <w:t>after receiving the</w:t>
      </w:r>
      <w:r>
        <w:rPr>
          <w:spacing w:val="-1"/>
          <w:sz w:val="24"/>
        </w:rPr>
        <w:t> </w:t>
      </w:r>
      <w:r>
        <w:rPr>
          <w:sz w:val="24"/>
        </w:rPr>
        <w:t>request.</w:t>
      </w:r>
    </w:p>
    <w:p>
      <w:pPr>
        <w:pStyle w:val="ListParagraph"/>
        <w:numPr>
          <w:ilvl w:val="0"/>
          <w:numId w:val="492"/>
        </w:numPr>
        <w:tabs>
          <w:tab w:pos="1919" w:val="left" w:leader="none"/>
        </w:tabs>
        <w:spacing w:line="240" w:lineRule="auto" w:before="120" w:after="0"/>
        <w:ind w:left="1919" w:right="415" w:hanging="567"/>
        <w:jc w:val="both"/>
        <w:rPr>
          <w:sz w:val="24"/>
        </w:rPr>
      </w:pPr>
      <w:r>
        <w:rPr>
          <w:sz w:val="24"/>
        </w:rPr>
        <w:t>For the avoidance of doubt, the timeframes for </w:t>
      </w:r>
      <w:r>
        <w:rPr>
          <w:i/>
          <w:sz w:val="24"/>
        </w:rPr>
        <w:t>meters </w:t>
      </w:r>
      <w:r>
        <w:rPr>
          <w:sz w:val="24"/>
        </w:rPr>
        <w:t>to be installed under this rule 7A.6.12 do not apply for a </w:t>
      </w:r>
      <w:r>
        <w:rPr>
          <w:i/>
          <w:sz w:val="24"/>
        </w:rPr>
        <w:t>retailer </w:t>
      </w:r>
      <w:r>
        <w:rPr>
          <w:sz w:val="24"/>
        </w:rPr>
        <w:t>initiated installation of a </w:t>
      </w:r>
      <w:r>
        <w:rPr>
          <w:i/>
          <w:sz w:val="24"/>
        </w:rPr>
        <w:t>meter</w:t>
      </w:r>
      <w:r>
        <w:rPr>
          <w:sz w:val="24"/>
        </w:rPr>
        <w:t>, or for a </w:t>
      </w:r>
      <w:r>
        <w:rPr>
          <w:i/>
          <w:sz w:val="24"/>
        </w:rPr>
        <w:t>new</w:t>
      </w:r>
      <w:r>
        <w:rPr>
          <w:i/>
          <w:spacing w:val="-1"/>
          <w:sz w:val="24"/>
        </w:rPr>
        <w:t> </w:t>
      </w:r>
      <w:r>
        <w:rPr>
          <w:i/>
          <w:sz w:val="24"/>
        </w:rPr>
        <w:t>connection</w:t>
      </w:r>
      <w:r>
        <w:rPr>
          <w:sz w:val="24"/>
        </w:rPr>
        <w:t>.</w:t>
      </w:r>
    </w:p>
    <w:p>
      <w:pPr>
        <w:pStyle w:val="ListParagraph"/>
        <w:numPr>
          <w:ilvl w:val="0"/>
          <w:numId w:val="492"/>
        </w:numPr>
        <w:tabs>
          <w:tab w:pos="1920" w:val="left" w:leader="none"/>
        </w:tabs>
        <w:spacing w:line="240" w:lineRule="auto" w:before="120" w:after="0"/>
        <w:ind w:left="1919" w:right="415" w:hanging="567"/>
        <w:jc w:val="both"/>
        <w:rPr>
          <w:sz w:val="24"/>
        </w:rPr>
      </w:pPr>
      <w:r>
        <w:rPr>
          <w:sz w:val="24"/>
        </w:rPr>
        <w:t>A </w:t>
      </w:r>
      <w:r>
        <w:rPr>
          <w:i/>
          <w:sz w:val="24"/>
        </w:rPr>
        <w:t>retailer </w:t>
      </w:r>
      <w:r>
        <w:rPr>
          <w:sz w:val="24"/>
        </w:rPr>
        <w:t>must inform its </w:t>
      </w:r>
      <w:r>
        <w:rPr>
          <w:i/>
          <w:sz w:val="24"/>
        </w:rPr>
        <w:t>retail customers </w:t>
      </w:r>
      <w:r>
        <w:rPr>
          <w:sz w:val="24"/>
        </w:rPr>
        <w:t>of its obligations under this clause.</w:t>
      </w:r>
    </w:p>
    <w:p>
      <w:pPr>
        <w:pStyle w:val="BodyText"/>
        <w:spacing w:before="10"/>
        <w:ind w:firstLine="0"/>
        <w:jc w:val="left"/>
        <w:rPr>
          <w:sz w:val="20"/>
        </w:rPr>
      </w:pPr>
    </w:p>
    <w:p>
      <w:pPr>
        <w:pStyle w:val="Heading4"/>
        <w:tabs>
          <w:tab w:pos="1351" w:val="left" w:leader="none"/>
        </w:tabs>
        <w:ind w:left="218" w:firstLine="0"/>
      </w:pPr>
      <w:bookmarkStart w:name="7A.6.13 Changing a metering installation" w:id="1765"/>
      <w:bookmarkEnd w:id="1765"/>
      <w:r>
        <w:rPr>
          <w:b w:val="0"/>
        </w:rPr>
      </w:r>
      <w:bookmarkStart w:name="_bookmark708" w:id="1766"/>
      <w:bookmarkEnd w:id="1766"/>
      <w:r>
        <w:rPr>
          <w:b w:val="0"/>
        </w:rPr>
      </w:r>
      <w:r>
        <w:rPr/>
        <w:t>7A.6.13</w:t>
        <w:tab/>
        <w:t>Changing a metering</w:t>
      </w:r>
      <w:r>
        <w:rPr>
          <w:spacing w:val="-3"/>
        </w:rPr>
        <w:t> </w:t>
      </w:r>
      <w:r>
        <w:rPr/>
        <w:t>installation</w:t>
      </w:r>
    </w:p>
    <w:p>
      <w:pPr>
        <w:pStyle w:val="ListParagraph"/>
        <w:numPr>
          <w:ilvl w:val="0"/>
          <w:numId w:val="493"/>
        </w:numPr>
        <w:tabs>
          <w:tab w:pos="1919" w:val="left" w:leader="none"/>
        </w:tabs>
        <w:spacing w:line="240" w:lineRule="auto" w:before="120" w:after="0"/>
        <w:ind w:left="1919" w:right="414" w:hanging="567"/>
        <w:jc w:val="both"/>
        <w:rPr>
          <w:sz w:val="24"/>
        </w:rPr>
      </w:pPr>
      <w:r>
        <w:rPr>
          <w:sz w:val="24"/>
        </w:rPr>
        <w:t>Subject to this clause, nothing in these </w:t>
      </w:r>
      <w:r>
        <w:rPr>
          <w:i/>
          <w:sz w:val="24"/>
        </w:rPr>
        <w:t>Rules </w:t>
      </w:r>
      <w:r>
        <w:rPr>
          <w:sz w:val="24"/>
        </w:rPr>
        <w:t>prevents the financially responsible participant (on its own behalf or, in the case of a </w:t>
      </w:r>
      <w:r>
        <w:rPr>
          <w:i/>
          <w:sz w:val="24"/>
        </w:rPr>
        <w:t>retailer</w:t>
      </w:r>
      <w:r>
        <w:rPr>
          <w:sz w:val="24"/>
        </w:rPr>
        <w:t>, on its own behalf or on behalf of a </w:t>
      </w:r>
      <w:r>
        <w:rPr>
          <w:i/>
          <w:sz w:val="24"/>
        </w:rPr>
        <w:t>retail customer</w:t>
      </w:r>
      <w:r>
        <w:rPr>
          <w:sz w:val="24"/>
        </w:rPr>
        <w:t>) or </w:t>
      </w:r>
      <w:r>
        <w:rPr>
          <w:i/>
          <w:sz w:val="24"/>
        </w:rPr>
        <w:t>Network Service Provider </w:t>
      </w:r>
      <w:r>
        <w:rPr>
          <w:sz w:val="24"/>
        </w:rPr>
        <w:t>in respect of a </w:t>
      </w:r>
      <w:r>
        <w:rPr>
          <w:i/>
          <w:sz w:val="24"/>
        </w:rPr>
        <w:t>connection point </w:t>
      </w:r>
      <w:r>
        <w:rPr>
          <w:sz w:val="24"/>
        </w:rPr>
        <w:t>from requesting the </w:t>
      </w:r>
      <w:r>
        <w:rPr>
          <w:i/>
          <w:sz w:val="24"/>
        </w:rPr>
        <w:t>Metering Coordinator </w:t>
      </w:r>
      <w:r>
        <w:rPr>
          <w:sz w:val="24"/>
        </w:rPr>
        <w:t>to arrange</w:t>
      </w:r>
      <w:r>
        <w:rPr>
          <w:spacing w:val="-1"/>
          <w:sz w:val="24"/>
        </w:rPr>
        <w:t> </w:t>
      </w:r>
      <w:r>
        <w:rPr>
          <w:sz w:val="24"/>
        </w:rPr>
        <w:t>for:</w:t>
      </w:r>
    </w:p>
    <w:p>
      <w:pPr>
        <w:pStyle w:val="ListParagraph"/>
        <w:numPr>
          <w:ilvl w:val="1"/>
          <w:numId w:val="493"/>
        </w:numPr>
        <w:tabs>
          <w:tab w:pos="2486" w:val="left" w:leader="none"/>
        </w:tabs>
        <w:spacing w:line="240" w:lineRule="auto" w:before="120" w:after="0"/>
        <w:ind w:left="2485" w:right="0" w:hanging="567"/>
        <w:jc w:val="both"/>
        <w:rPr>
          <w:sz w:val="24"/>
        </w:rPr>
      </w:pPr>
      <w:r>
        <w:rPr>
          <w:sz w:val="24"/>
        </w:rPr>
        <w:t>the alteration of the </w:t>
      </w:r>
      <w:r>
        <w:rPr>
          <w:i/>
          <w:sz w:val="24"/>
        </w:rPr>
        <w:t>metering installation </w:t>
      </w:r>
      <w:r>
        <w:rPr>
          <w:sz w:val="24"/>
        </w:rPr>
        <w:t>at that </w:t>
      </w:r>
      <w:r>
        <w:rPr>
          <w:i/>
          <w:sz w:val="24"/>
        </w:rPr>
        <w:t>connection point</w:t>
      </w:r>
      <w:r>
        <w:rPr>
          <w:sz w:val="24"/>
        </w:rPr>
        <w:t>;</w:t>
      </w:r>
      <w:r>
        <w:rPr>
          <w:spacing w:val="-5"/>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493"/>
        </w:numPr>
        <w:tabs>
          <w:tab w:pos="2486" w:val="left" w:leader="none"/>
        </w:tabs>
        <w:spacing w:line="240" w:lineRule="auto" w:before="83" w:after="0"/>
        <w:ind w:left="2485" w:right="0" w:hanging="567"/>
        <w:jc w:val="both"/>
        <w:rPr>
          <w:sz w:val="24"/>
        </w:rPr>
      </w:pPr>
      <w:r>
        <w:rPr>
          <w:sz w:val="24"/>
        </w:rPr>
        <w:t>the installation of a new </w:t>
      </w:r>
      <w:r>
        <w:rPr>
          <w:i/>
          <w:sz w:val="24"/>
        </w:rPr>
        <w:t>metering installation </w:t>
      </w:r>
      <w:r>
        <w:rPr>
          <w:sz w:val="24"/>
        </w:rPr>
        <w:t>at that </w:t>
      </w:r>
      <w:r>
        <w:rPr>
          <w:i/>
          <w:sz w:val="24"/>
        </w:rPr>
        <w:t>connection</w:t>
      </w:r>
      <w:r>
        <w:rPr>
          <w:i/>
          <w:spacing w:val="-7"/>
          <w:sz w:val="24"/>
        </w:rPr>
        <w:t> </w:t>
      </w:r>
      <w:r>
        <w:rPr>
          <w:i/>
          <w:sz w:val="24"/>
        </w:rPr>
        <w:t>point</w:t>
      </w:r>
      <w:r>
        <w:rPr>
          <w:sz w:val="24"/>
        </w:rPr>
        <w:t>.</w:t>
      </w:r>
    </w:p>
    <w:p>
      <w:pPr>
        <w:pStyle w:val="ListParagraph"/>
        <w:numPr>
          <w:ilvl w:val="0"/>
          <w:numId w:val="493"/>
        </w:numPr>
        <w:tabs>
          <w:tab w:pos="1919" w:val="left" w:leader="none"/>
        </w:tabs>
        <w:spacing w:line="240" w:lineRule="auto" w:before="120" w:after="0"/>
        <w:ind w:left="1919" w:right="415" w:hanging="567"/>
        <w:jc w:val="both"/>
        <w:rPr>
          <w:sz w:val="24"/>
        </w:rPr>
      </w:pPr>
      <w:r>
        <w:rPr>
          <w:sz w:val="24"/>
        </w:rPr>
        <w:t>The incremental costs of the alteration of the </w:t>
      </w:r>
      <w:r>
        <w:rPr>
          <w:i/>
          <w:sz w:val="24"/>
        </w:rPr>
        <w:t>metering installation </w:t>
      </w:r>
      <w:r>
        <w:rPr>
          <w:sz w:val="24"/>
        </w:rPr>
        <w:t>or the installation of the new </w:t>
      </w:r>
      <w:r>
        <w:rPr>
          <w:i/>
          <w:sz w:val="24"/>
        </w:rPr>
        <w:t>metering installation </w:t>
      </w:r>
      <w:r>
        <w:rPr>
          <w:sz w:val="24"/>
        </w:rPr>
        <w:t>must be borne by the person who requests the alteration of the </w:t>
      </w:r>
      <w:r>
        <w:rPr>
          <w:i/>
          <w:sz w:val="24"/>
        </w:rPr>
        <w:t>metering installation </w:t>
      </w:r>
      <w:r>
        <w:rPr>
          <w:sz w:val="24"/>
        </w:rPr>
        <w:t>or the installation of the new </w:t>
      </w:r>
      <w:r>
        <w:rPr>
          <w:i/>
          <w:sz w:val="24"/>
        </w:rPr>
        <w:t>metering</w:t>
      </w:r>
      <w:r>
        <w:rPr>
          <w:i/>
          <w:spacing w:val="-1"/>
          <w:sz w:val="24"/>
        </w:rPr>
        <w:t> </w:t>
      </w:r>
      <w:r>
        <w:rPr>
          <w:i/>
          <w:sz w:val="24"/>
        </w:rPr>
        <w:t>installation</w:t>
      </w:r>
      <w:r>
        <w:rPr>
          <w:sz w:val="24"/>
        </w:rPr>
        <w:t>.</w:t>
      </w:r>
    </w:p>
    <w:p>
      <w:pPr>
        <w:pStyle w:val="ListParagraph"/>
        <w:numPr>
          <w:ilvl w:val="0"/>
          <w:numId w:val="493"/>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changes to parameters or settings within a </w:t>
      </w:r>
      <w:r>
        <w:rPr>
          <w:i/>
          <w:sz w:val="24"/>
        </w:rPr>
        <w:t>metering installation</w:t>
      </w:r>
      <w:r>
        <w:rPr>
          <w:i/>
          <w:spacing w:val="-6"/>
          <w:sz w:val="24"/>
        </w:rPr>
        <w:t> </w:t>
      </w:r>
      <w:r>
        <w:rPr>
          <w:sz w:val="24"/>
        </w:rPr>
        <w:t>are:</w:t>
      </w:r>
    </w:p>
    <w:p>
      <w:pPr>
        <w:pStyle w:val="ListParagraph"/>
        <w:numPr>
          <w:ilvl w:val="1"/>
          <w:numId w:val="493"/>
        </w:numPr>
        <w:tabs>
          <w:tab w:pos="2486" w:val="left" w:leader="none"/>
        </w:tabs>
        <w:spacing w:line="240" w:lineRule="auto" w:before="120" w:after="0"/>
        <w:ind w:left="2485" w:right="0" w:hanging="567"/>
        <w:jc w:val="both"/>
        <w:rPr>
          <w:sz w:val="24"/>
        </w:rPr>
      </w:pPr>
      <w:r>
        <w:rPr>
          <w:sz w:val="24"/>
        </w:rPr>
        <w:t>implemented by a </w:t>
      </w:r>
      <w:r>
        <w:rPr>
          <w:i/>
          <w:sz w:val="24"/>
        </w:rPr>
        <w:t>Metering Provider</w:t>
      </w:r>
      <w:r>
        <w:rPr>
          <w:sz w:val="24"/>
        </w:rPr>
        <w:t>;</w:t>
      </w:r>
      <w:r>
        <w:rPr>
          <w:spacing w:val="-2"/>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93"/>
        </w:numPr>
        <w:tabs>
          <w:tab w:pos="2486" w:val="left" w:leader="none"/>
        </w:tabs>
        <w:spacing w:line="240" w:lineRule="auto" w:before="120" w:after="0"/>
        <w:ind w:left="2486" w:right="415" w:hanging="567"/>
        <w:jc w:val="both"/>
        <w:rPr>
          <w:sz w:val="24"/>
        </w:rPr>
      </w:pPr>
      <w:r>
        <w:rPr>
          <w:sz w:val="24"/>
        </w:rPr>
        <w:t>confirmed by the </w:t>
      </w:r>
      <w:r>
        <w:rPr>
          <w:i/>
          <w:sz w:val="24"/>
        </w:rPr>
        <w:t>Metering Coordinator </w:t>
      </w:r>
      <w:r>
        <w:rPr>
          <w:sz w:val="24"/>
        </w:rPr>
        <w:t>within 2 </w:t>
      </w:r>
      <w:r>
        <w:rPr>
          <w:i/>
          <w:sz w:val="24"/>
        </w:rPr>
        <w:t>business days </w:t>
      </w:r>
      <w:r>
        <w:rPr>
          <w:sz w:val="24"/>
        </w:rPr>
        <w:t>after the alteration has been made;</w:t>
      </w:r>
      <w:r>
        <w:rPr>
          <w:spacing w:val="-1"/>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493"/>
        </w:numPr>
        <w:tabs>
          <w:tab w:pos="2486" w:val="left" w:leader="none"/>
        </w:tabs>
        <w:spacing w:line="240" w:lineRule="auto" w:before="120" w:after="0"/>
        <w:ind w:left="2486" w:right="416" w:hanging="567"/>
        <w:jc w:val="both"/>
        <w:rPr>
          <w:sz w:val="24"/>
        </w:rPr>
      </w:pPr>
      <w:r>
        <w:rPr>
          <w:sz w:val="24"/>
        </w:rPr>
        <w:t>reported to </w:t>
      </w:r>
      <w:r>
        <w:rPr>
          <w:i/>
          <w:sz w:val="24"/>
        </w:rPr>
        <w:t>NTESMO </w:t>
      </w:r>
      <w:r>
        <w:rPr>
          <w:sz w:val="24"/>
        </w:rPr>
        <w:t>where required to enable </w:t>
      </w:r>
      <w:r>
        <w:rPr>
          <w:i/>
          <w:sz w:val="24"/>
        </w:rPr>
        <w:t>NTESMO </w:t>
      </w:r>
      <w:r>
        <w:rPr>
          <w:sz w:val="24"/>
        </w:rPr>
        <w:t>to record the changes in the </w:t>
      </w:r>
      <w:r>
        <w:rPr>
          <w:i/>
          <w:sz w:val="24"/>
        </w:rPr>
        <w:t>metering register </w:t>
      </w:r>
      <w:r>
        <w:rPr>
          <w:sz w:val="24"/>
        </w:rPr>
        <w:t>in accordance with clause</w:t>
      </w:r>
      <w:r>
        <w:rPr>
          <w:spacing w:val="-15"/>
          <w:sz w:val="24"/>
        </w:rPr>
        <w:t> </w:t>
      </w:r>
      <w:r>
        <w:rPr>
          <w:sz w:val="24"/>
        </w:rPr>
        <w:t>7A.10.2.</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218" w:firstLine="0"/>
      </w:pPr>
      <w:bookmarkStart w:name="7A.6.14 Prepayment metering" w:id="1767"/>
      <w:bookmarkEnd w:id="1767"/>
      <w:r>
        <w:rPr>
          <w:b w:val="0"/>
        </w:rPr>
      </w:r>
      <w:bookmarkStart w:name="_bookmark709" w:id="1768"/>
      <w:bookmarkEnd w:id="1768"/>
      <w:r>
        <w:rPr>
          <w:b w:val="0"/>
        </w:rPr>
      </w:r>
      <w:r>
        <w:rPr/>
        <w:t>7A.6.14</w:t>
        <w:tab/>
        <w:t>Prepayment</w:t>
      </w:r>
      <w:r>
        <w:rPr>
          <w:spacing w:val="-2"/>
        </w:rPr>
        <w:t> </w:t>
      </w:r>
      <w:r>
        <w:rPr/>
        <w:t>metering</w:t>
      </w:r>
    </w:p>
    <w:p>
      <w:pPr>
        <w:pStyle w:val="ListParagraph"/>
        <w:numPr>
          <w:ilvl w:val="0"/>
          <w:numId w:val="494"/>
        </w:numPr>
        <w:tabs>
          <w:tab w:pos="1919" w:val="left" w:leader="none"/>
        </w:tabs>
        <w:spacing w:line="240" w:lineRule="auto" w:before="120" w:after="0"/>
        <w:ind w:left="1919" w:right="414" w:hanging="567"/>
        <w:jc w:val="both"/>
        <w:rPr>
          <w:sz w:val="24"/>
        </w:rPr>
      </w:pPr>
      <w:r>
        <w:rPr>
          <w:sz w:val="24"/>
        </w:rPr>
        <w:t>This clause applies if, in accordance with clause 7A.6.13, the financially responsible participant in respect of a </w:t>
      </w:r>
      <w:r>
        <w:rPr>
          <w:i/>
          <w:sz w:val="24"/>
        </w:rPr>
        <w:t>connection point </w:t>
      </w:r>
      <w:r>
        <w:rPr>
          <w:sz w:val="24"/>
        </w:rPr>
        <w:t>requests </w:t>
      </w:r>
      <w:r>
        <w:rPr>
          <w:spacing w:val="-4"/>
          <w:sz w:val="24"/>
        </w:rPr>
        <w:t>the </w:t>
      </w:r>
      <w:r>
        <w:rPr>
          <w:i/>
          <w:sz w:val="24"/>
        </w:rPr>
        <w:t>Metering Coordinator </w:t>
      </w:r>
      <w:r>
        <w:rPr>
          <w:sz w:val="24"/>
        </w:rPr>
        <w:t>to arrange</w:t>
      </w:r>
      <w:r>
        <w:rPr>
          <w:spacing w:val="-1"/>
          <w:sz w:val="24"/>
        </w:rPr>
        <w:t> </w:t>
      </w:r>
      <w:r>
        <w:rPr>
          <w:sz w:val="24"/>
        </w:rPr>
        <w:t>for:</w:t>
      </w:r>
    </w:p>
    <w:p>
      <w:pPr>
        <w:pStyle w:val="ListParagraph"/>
        <w:numPr>
          <w:ilvl w:val="1"/>
          <w:numId w:val="494"/>
        </w:numPr>
        <w:tabs>
          <w:tab w:pos="2486" w:val="left" w:leader="none"/>
        </w:tabs>
        <w:spacing w:line="240" w:lineRule="auto" w:before="120" w:after="0"/>
        <w:ind w:left="2486" w:right="416" w:hanging="567"/>
        <w:jc w:val="both"/>
        <w:rPr>
          <w:sz w:val="24"/>
        </w:rPr>
      </w:pPr>
      <w:r>
        <w:rPr>
          <w:sz w:val="24"/>
        </w:rPr>
        <w:t>the alteration of a </w:t>
      </w:r>
      <w:r>
        <w:rPr>
          <w:i/>
          <w:sz w:val="24"/>
        </w:rPr>
        <w:t>metering installation </w:t>
      </w:r>
      <w:r>
        <w:rPr>
          <w:sz w:val="24"/>
        </w:rPr>
        <w:t>so that it is a prepayment device;</w:t>
      </w:r>
      <w:r>
        <w:rPr>
          <w:spacing w:val="-1"/>
          <w:sz w:val="24"/>
        </w:rPr>
        <w:t> </w:t>
      </w:r>
      <w:r>
        <w:rPr>
          <w:sz w:val="24"/>
        </w:rPr>
        <w:t>or</w:t>
      </w:r>
    </w:p>
    <w:p>
      <w:pPr>
        <w:pStyle w:val="ListParagraph"/>
        <w:numPr>
          <w:ilvl w:val="1"/>
          <w:numId w:val="494"/>
        </w:numPr>
        <w:tabs>
          <w:tab w:pos="2486" w:val="left" w:leader="none"/>
        </w:tabs>
        <w:spacing w:line="240" w:lineRule="auto" w:before="120" w:after="0"/>
        <w:ind w:left="2486" w:right="415" w:hanging="567"/>
        <w:jc w:val="both"/>
        <w:rPr>
          <w:sz w:val="24"/>
        </w:rPr>
      </w:pPr>
      <w:r>
        <w:rPr>
          <w:sz w:val="24"/>
        </w:rPr>
        <w:t>the installation of a new </w:t>
      </w:r>
      <w:r>
        <w:rPr>
          <w:i/>
          <w:sz w:val="24"/>
        </w:rPr>
        <w:t>metering installation </w:t>
      </w:r>
      <w:r>
        <w:rPr>
          <w:sz w:val="24"/>
        </w:rPr>
        <w:t>that is a prepayment device.</w:t>
      </w:r>
    </w:p>
    <w:p>
      <w:pPr>
        <w:pStyle w:val="ListParagraph"/>
        <w:numPr>
          <w:ilvl w:val="0"/>
          <w:numId w:val="494"/>
        </w:numPr>
        <w:tabs>
          <w:tab w:pos="1919" w:val="left" w:leader="none"/>
        </w:tabs>
        <w:spacing w:line="240" w:lineRule="auto" w:before="120" w:after="0"/>
        <w:ind w:left="1918" w:right="0" w:hanging="567"/>
        <w:jc w:val="both"/>
        <w:rPr>
          <w:sz w:val="24"/>
        </w:rPr>
      </w:pPr>
      <w:r>
        <w:rPr>
          <w:sz w:val="24"/>
        </w:rPr>
        <w:t>The </w:t>
      </w:r>
      <w:r>
        <w:rPr>
          <w:i/>
          <w:sz w:val="24"/>
        </w:rPr>
        <w:t>Metering Coordinator </w:t>
      </w:r>
      <w:r>
        <w:rPr>
          <w:sz w:val="24"/>
        </w:rPr>
        <w:t>must ensure that the </w:t>
      </w:r>
      <w:r>
        <w:rPr>
          <w:i/>
          <w:sz w:val="24"/>
        </w:rPr>
        <w:t>Metering</w:t>
      </w:r>
      <w:r>
        <w:rPr>
          <w:i/>
          <w:spacing w:val="-4"/>
          <w:sz w:val="24"/>
        </w:rPr>
        <w:t> </w:t>
      </w:r>
      <w:r>
        <w:rPr>
          <w:i/>
          <w:sz w:val="24"/>
        </w:rPr>
        <w:t>Provider</w:t>
      </w:r>
      <w:r>
        <w:rPr>
          <w:sz w:val="24"/>
        </w:rPr>
        <w:t>:</w:t>
      </w:r>
    </w:p>
    <w:p>
      <w:pPr>
        <w:pStyle w:val="ListParagraph"/>
        <w:numPr>
          <w:ilvl w:val="1"/>
          <w:numId w:val="494"/>
        </w:numPr>
        <w:tabs>
          <w:tab w:pos="2486" w:val="left" w:leader="none"/>
        </w:tabs>
        <w:spacing w:line="240" w:lineRule="auto" w:before="120" w:after="0"/>
        <w:ind w:left="2486" w:right="415" w:hanging="567"/>
        <w:jc w:val="both"/>
        <w:rPr>
          <w:sz w:val="24"/>
        </w:rPr>
      </w:pPr>
      <w:r>
        <w:rPr>
          <w:sz w:val="24"/>
        </w:rPr>
        <w:t>alters the </w:t>
      </w:r>
      <w:r>
        <w:rPr>
          <w:i/>
          <w:sz w:val="24"/>
        </w:rPr>
        <w:t>metering installation </w:t>
      </w:r>
      <w:r>
        <w:rPr>
          <w:sz w:val="24"/>
        </w:rPr>
        <w:t>so that it is a prepayment device, if so requested;</w:t>
      </w:r>
      <w:r>
        <w:rPr>
          <w:spacing w:val="-1"/>
          <w:sz w:val="24"/>
        </w:rPr>
        <w:t> </w:t>
      </w:r>
      <w:r>
        <w:rPr>
          <w:sz w:val="24"/>
        </w:rPr>
        <w:t>or</w:t>
      </w:r>
    </w:p>
    <w:p>
      <w:pPr>
        <w:pStyle w:val="ListParagraph"/>
        <w:numPr>
          <w:ilvl w:val="1"/>
          <w:numId w:val="494"/>
        </w:numPr>
        <w:tabs>
          <w:tab w:pos="2486" w:val="left" w:leader="none"/>
        </w:tabs>
        <w:spacing w:line="240" w:lineRule="auto" w:before="120" w:after="0"/>
        <w:ind w:left="2486" w:right="416" w:hanging="567"/>
        <w:jc w:val="both"/>
        <w:rPr>
          <w:sz w:val="24"/>
        </w:rPr>
      </w:pPr>
      <w:r>
        <w:rPr>
          <w:sz w:val="24"/>
        </w:rPr>
        <w:t>installs a new </w:t>
      </w:r>
      <w:r>
        <w:rPr>
          <w:i/>
          <w:sz w:val="24"/>
        </w:rPr>
        <w:t>metering installation </w:t>
      </w:r>
      <w:r>
        <w:rPr>
          <w:sz w:val="24"/>
        </w:rPr>
        <w:t>that is a prepayment device, if so requested.</w:t>
      </w:r>
    </w:p>
    <w:p>
      <w:pPr>
        <w:pStyle w:val="BodyText"/>
        <w:spacing w:before="10"/>
        <w:ind w:firstLine="0"/>
        <w:jc w:val="left"/>
        <w:rPr>
          <w:sz w:val="20"/>
        </w:rPr>
      </w:pPr>
    </w:p>
    <w:p>
      <w:pPr>
        <w:pStyle w:val="Heading3"/>
        <w:tabs>
          <w:tab w:pos="1351" w:val="left" w:leader="none"/>
        </w:tabs>
        <w:ind w:right="1231" w:hanging="1134"/>
      </w:pPr>
      <w:bookmarkStart w:name="7A.7 Maintenance, inspection, testing an" w:id="1769"/>
      <w:bookmarkEnd w:id="1769"/>
      <w:r>
        <w:rPr>
          <w:b w:val="0"/>
        </w:rPr>
      </w:r>
      <w:bookmarkStart w:name="_bookmark710" w:id="1770"/>
      <w:bookmarkEnd w:id="1770"/>
      <w:r>
        <w:rPr>
          <w:b w:val="0"/>
        </w:rPr>
      </w:r>
      <w:r>
        <w:rPr/>
        <w:t>7A.7</w:t>
        <w:tab/>
        <w:t>Maintenance, inspection, testing and auditing of metering installations</w:t>
      </w:r>
    </w:p>
    <w:p>
      <w:pPr>
        <w:pStyle w:val="Heading4"/>
        <w:tabs>
          <w:tab w:pos="1351" w:val="left" w:leader="none"/>
        </w:tabs>
        <w:spacing w:before="240"/>
        <w:ind w:left="218" w:firstLine="0"/>
      </w:pPr>
      <w:bookmarkStart w:name="7A.7.1 Maintenance" w:id="1771"/>
      <w:bookmarkEnd w:id="1771"/>
      <w:r>
        <w:rPr>
          <w:b w:val="0"/>
        </w:rPr>
      </w:r>
      <w:bookmarkStart w:name="_bookmark711" w:id="1772"/>
      <w:bookmarkEnd w:id="1772"/>
      <w:r>
        <w:rPr>
          <w:b w:val="0"/>
        </w:rPr>
      </w:r>
      <w:r>
        <w:rPr/>
        <w:t>7A.7.1</w:t>
        <w:tab/>
        <w:t>Maintenance</w:t>
      </w:r>
    </w:p>
    <w:p>
      <w:pPr>
        <w:spacing w:before="120"/>
        <w:ind w:left="1352" w:right="415" w:firstLine="0"/>
        <w:jc w:val="left"/>
        <w:rPr>
          <w:sz w:val="24"/>
        </w:rPr>
      </w:pPr>
      <w:r>
        <w:rPr>
          <w:sz w:val="24"/>
        </w:rPr>
        <w:t>The </w:t>
      </w:r>
      <w:r>
        <w:rPr>
          <w:i/>
          <w:sz w:val="24"/>
        </w:rPr>
        <w:t>Metering Coordinator </w:t>
      </w:r>
      <w:r>
        <w:rPr>
          <w:sz w:val="24"/>
        </w:rPr>
        <w:t>for a </w:t>
      </w:r>
      <w:r>
        <w:rPr>
          <w:i/>
          <w:sz w:val="24"/>
        </w:rPr>
        <w:t>connection point </w:t>
      </w:r>
      <w:r>
        <w:rPr>
          <w:sz w:val="24"/>
        </w:rPr>
        <w:t>must ensure that any maintenance (including inspection and testing) of a </w:t>
      </w:r>
      <w:r>
        <w:rPr>
          <w:i/>
          <w:sz w:val="24"/>
        </w:rPr>
        <w:t>metering installation </w:t>
      </w:r>
      <w:r>
        <w:rPr>
          <w:sz w:val="24"/>
        </w:rPr>
        <w:t>at the</w:t>
      </w:r>
    </w:p>
    <w:p>
      <w:pPr>
        <w:spacing w:after="0"/>
        <w:jc w:val="left"/>
        <w:rPr>
          <w:sz w:val="24"/>
        </w:rPr>
        <w:sectPr>
          <w:pgSz w:w="11910" w:h="16840"/>
          <w:pgMar w:header="686" w:footer="637" w:top="1320" w:bottom="820" w:left="1200" w:right="1000"/>
        </w:sectPr>
      </w:pPr>
    </w:p>
    <w:p>
      <w:pPr>
        <w:pStyle w:val="BodyText"/>
        <w:spacing w:before="83"/>
        <w:ind w:left="1352" w:right="415" w:firstLine="0"/>
        <w:jc w:val="left"/>
      </w:pPr>
      <w:r>
        <w:rPr>
          <w:i/>
        </w:rPr>
        <w:t>connection point </w:t>
      </w:r>
      <w:r>
        <w:rPr/>
        <w:t>is carried out in a safe manner by an appropriately qualified person.</w:t>
      </w:r>
    </w:p>
    <w:p>
      <w:pPr>
        <w:pStyle w:val="BodyText"/>
        <w:spacing w:before="10"/>
        <w:ind w:firstLine="0"/>
        <w:jc w:val="left"/>
        <w:rPr>
          <w:sz w:val="20"/>
        </w:rPr>
      </w:pPr>
    </w:p>
    <w:p>
      <w:pPr>
        <w:pStyle w:val="Heading4"/>
        <w:tabs>
          <w:tab w:pos="1351" w:val="left" w:leader="none"/>
        </w:tabs>
        <w:ind w:left="218" w:firstLine="0"/>
      </w:pPr>
      <w:bookmarkStart w:name="7A.7.2 Responsibility for inspection and" w:id="1773"/>
      <w:bookmarkEnd w:id="1773"/>
      <w:r>
        <w:rPr>
          <w:b w:val="0"/>
        </w:rPr>
      </w:r>
      <w:bookmarkStart w:name="_bookmark712" w:id="1774"/>
      <w:bookmarkEnd w:id="1774"/>
      <w:r>
        <w:rPr>
          <w:b w:val="0"/>
        </w:rPr>
      </w:r>
      <w:r>
        <w:rPr/>
        <w:t>7A.7.2</w:t>
        <w:tab/>
        <w:t>Responsibility for inspection and</w:t>
      </w:r>
      <w:r>
        <w:rPr>
          <w:spacing w:val="-1"/>
        </w:rPr>
        <w:t> </w:t>
      </w:r>
      <w:r>
        <w:rPr/>
        <w:t>testing</w:t>
      </w:r>
    </w:p>
    <w:p>
      <w:pPr>
        <w:pStyle w:val="ListParagraph"/>
        <w:numPr>
          <w:ilvl w:val="0"/>
          <w:numId w:val="495"/>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for a </w:t>
      </w:r>
      <w:r>
        <w:rPr>
          <w:i/>
          <w:sz w:val="24"/>
        </w:rPr>
        <w:t>connection point </w:t>
      </w:r>
      <w:r>
        <w:rPr>
          <w:sz w:val="24"/>
        </w:rPr>
        <w:t>must ensure that</w:t>
      </w:r>
      <w:r>
        <w:rPr>
          <w:spacing w:val="39"/>
          <w:sz w:val="24"/>
        </w:rPr>
        <w:t> </w:t>
      </w:r>
      <w:r>
        <w:rPr>
          <w:sz w:val="24"/>
        </w:rPr>
        <w:t>any inspection or testing of a </w:t>
      </w:r>
      <w:r>
        <w:rPr>
          <w:i/>
          <w:sz w:val="24"/>
        </w:rPr>
        <w:t>metering installation </w:t>
      </w:r>
      <w:r>
        <w:rPr>
          <w:sz w:val="24"/>
        </w:rPr>
        <w:t>at the </w:t>
      </w:r>
      <w:r>
        <w:rPr>
          <w:i/>
          <w:sz w:val="24"/>
        </w:rPr>
        <w:t>connection point </w:t>
      </w:r>
      <w:r>
        <w:rPr>
          <w:sz w:val="24"/>
        </w:rPr>
        <w:t>is carried out in a safe manner by an appropriately qualified</w:t>
      </w:r>
      <w:r>
        <w:rPr>
          <w:spacing w:val="-4"/>
          <w:sz w:val="24"/>
        </w:rPr>
        <w:t> </w:t>
      </w:r>
      <w:r>
        <w:rPr>
          <w:sz w:val="24"/>
        </w:rPr>
        <w:t>person.</w:t>
      </w:r>
    </w:p>
    <w:p>
      <w:pPr>
        <w:pStyle w:val="ListParagraph"/>
        <w:numPr>
          <w:ilvl w:val="0"/>
          <w:numId w:val="495"/>
        </w:numPr>
        <w:tabs>
          <w:tab w:pos="1919" w:val="left" w:leader="none"/>
        </w:tabs>
        <w:spacing w:line="240" w:lineRule="auto" w:before="120" w:after="0"/>
        <w:ind w:left="1919" w:right="415" w:hanging="567"/>
        <w:jc w:val="both"/>
        <w:rPr>
          <w:sz w:val="24"/>
        </w:rPr>
      </w:pPr>
      <w:r>
        <w:rPr>
          <w:sz w:val="24"/>
        </w:rPr>
        <w:t>A person who arranges or carries out an inspection or testing of a </w:t>
      </w:r>
      <w:r>
        <w:rPr>
          <w:i/>
          <w:sz w:val="24"/>
        </w:rPr>
        <w:t>metering </w:t>
      </w:r>
      <w:r>
        <w:rPr>
          <w:i/>
          <w:sz w:val="24"/>
        </w:rPr>
        <w:t>installation </w:t>
      </w:r>
      <w:r>
        <w:rPr>
          <w:sz w:val="24"/>
        </w:rPr>
        <w:t>under this clause must do so in accordance</w:t>
      </w:r>
      <w:r>
        <w:rPr>
          <w:spacing w:val="-5"/>
          <w:sz w:val="24"/>
        </w:rPr>
        <w:t> </w:t>
      </w:r>
      <w:r>
        <w:rPr>
          <w:sz w:val="24"/>
        </w:rPr>
        <w:t>with:</w:t>
      </w:r>
    </w:p>
    <w:p>
      <w:pPr>
        <w:pStyle w:val="ListParagraph"/>
        <w:numPr>
          <w:ilvl w:val="1"/>
          <w:numId w:val="495"/>
        </w:numPr>
        <w:tabs>
          <w:tab w:pos="2486" w:val="left" w:leader="none"/>
        </w:tabs>
        <w:spacing w:line="240" w:lineRule="auto" w:before="120" w:after="0"/>
        <w:ind w:left="2485" w:right="0" w:hanging="567"/>
        <w:jc w:val="both"/>
        <w:rPr>
          <w:sz w:val="24"/>
        </w:rPr>
      </w:pPr>
      <w:r>
        <w:rPr>
          <w:sz w:val="24"/>
        </w:rPr>
        <w:t>this clause; and</w:t>
      </w:r>
    </w:p>
    <w:p>
      <w:pPr>
        <w:pStyle w:val="ListParagraph"/>
        <w:numPr>
          <w:ilvl w:val="1"/>
          <w:numId w:val="495"/>
        </w:numPr>
        <w:tabs>
          <w:tab w:pos="2486" w:val="left" w:leader="none"/>
        </w:tabs>
        <w:spacing w:line="240" w:lineRule="auto" w:before="120" w:after="0"/>
        <w:ind w:left="2486" w:right="415" w:hanging="567"/>
        <w:jc w:val="both"/>
        <w:rPr>
          <w:sz w:val="24"/>
        </w:rPr>
      </w:pPr>
      <w:r>
        <w:rPr>
          <w:sz w:val="24"/>
        </w:rPr>
        <w:t>the relevant inspection and testing requirements set out in schedule 7A.6.</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95"/>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may request that the </w:t>
      </w:r>
      <w:r>
        <w:rPr>
          <w:i/>
          <w:sz w:val="24"/>
        </w:rPr>
        <w:t>Metering Coordinator </w:t>
      </w:r>
      <w:r>
        <w:rPr>
          <w:sz w:val="24"/>
        </w:rPr>
        <w:t>make arrangements for the testing of a </w:t>
      </w:r>
      <w:r>
        <w:rPr>
          <w:i/>
          <w:sz w:val="24"/>
        </w:rPr>
        <w:t>metering installation </w:t>
      </w:r>
      <w:r>
        <w:rPr>
          <w:sz w:val="24"/>
        </w:rPr>
        <w:t>and, if the request is reasonable, the </w:t>
      </w:r>
      <w:r>
        <w:rPr>
          <w:i/>
          <w:sz w:val="24"/>
        </w:rPr>
        <w:t>Metering</w:t>
      </w:r>
      <w:r>
        <w:rPr>
          <w:i/>
          <w:spacing w:val="-1"/>
          <w:sz w:val="24"/>
        </w:rPr>
        <w:t> </w:t>
      </w:r>
      <w:r>
        <w:rPr>
          <w:i/>
          <w:sz w:val="24"/>
        </w:rPr>
        <w:t>Coordinator</w:t>
      </w:r>
      <w:r>
        <w:rPr>
          <w:sz w:val="24"/>
        </w:rPr>
        <w:t>:</w:t>
      </w:r>
    </w:p>
    <w:p>
      <w:pPr>
        <w:pStyle w:val="ListParagraph"/>
        <w:numPr>
          <w:ilvl w:val="1"/>
          <w:numId w:val="495"/>
        </w:numPr>
        <w:tabs>
          <w:tab w:pos="2486" w:val="left" w:leader="none"/>
        </w:tabs>
        <w:spacing w:line="240" w:lineRule="auto" w:before="120" w:after="0"/>
        <w:ind w:left="2485" w:right="0" w:hanging="567"/>
        <w:jc w:val="both"/>
        <w:rPr>
          <w:sz w:val="24"/>
        </w:rPr>
      </w:pPr>
      <w:r>
        <w:rPr>
          <w:sz w:val="24"/>
        </w:rPr>
        <w:t>must not refuse the request;</w:t>
      </w:r>
      <w:r>
        <w:rPr>
          <w:spacing w:val="-1"/>
          <w:sz w:val="24"/>
        </w:rPr>
        <w:t> </w:t>
      </w:r>
      <w:r>
        <w:rPr>
          <w:sz w:val="24"/>
        </w:rPr>
        <w:t>and</w:t>
      </w:r>
    </w:p>
    <w:p>
      <w:pPr>
        <w:pStyle w:val="ListParagraph"/>
        <w:numPr>
          <w:ilvl w:val="1"/>
          <w:numId w:val="495"/>
        </w:numPr>
        <w:tabs>
          <w:tab w:pos="2486" w:val="left" w:leader="none"/>
        </w:tabs>
        <w:spacing w:line="240" w:lineRule="auto" w:before="120" w:after="0"/>
        <w:ind w:left="2485" w:right="0" w:hanging="567"/>
        <w:jc w:val="both"/>
        <w:rPr>
          <w:sz w:val="24"/>
        </w:rPr>
      </w:pPr>
      <w:r>
        <w:rPr>
          <w:sz w:val="24"/>
        </w:rPr>
        <w:t>must make arrangements for the</w:t>
      </w:r>
      <w:r>
        <w:rPr>
          <w:spacing w:val="-1"/>
          <w:sz w:val="24"/>
        </w:rPr>
        <w:t> </w:t>
      </w:r>
      <w:r>
        <w:rPr>
          <w:sz w:val="24"/>
        </w:rPr>
        <w:t>testing.</w:t>
      </w:r>
    </w:p>
    <w:p>
      <w:pPr>
        <w:pStyle w:val="ListParagraph"/>
        <w:numPr>
          <w:ilvl w:val="0"/>
          <w:numId w:val="495"/>
        </w:numPr>
        <w:tabs>
          <w:tab w:pos="1919" w:val="left" w:leader="none"/>
        </w:tabs>
        <w:spacing w:line="240" w:lineRule="auto" w:before="120" w:after="0"/>
        <w:ind w:left="1919" w:right="415" w:hanging="567"/>
        <w:jc w:val="both"/>
        <w:rPr>
          <w:sz w:val="24"/>
        </w:rPr>
      </w:pPr>
      <w:r>
        <w:rPr>
          <w:sz w:val="24"/>
        </w:rPr>
        <w:t>The </w:t>
      </w:r>
      <w:r>
        <w:rPr>
          <w:i/>
          <w:sz w:val="24"/>
        </w:rPr>
        <w:t>Registered Participant </w:t>
      </w:r>
      <w:r>
        <w:rPr>
          <w:sz w:val="24"/>
        </w:rPr>
        <w:t>who requested the testing under paragraph (c) may make a request to the </w:t>
      </w:r>
      <w:r>
        <w:rPr>
          <w:i/>
          <w:sz w:val="24"/>
        </w:rPr>
        <w:t>Metering Coordinator </w:t>
      </w:r>
      <w:r>
        <w:rPr>
          <w:sz w:val="24"/>
        </w:rPr>
        <w:t>to witness the</w:t>
      </w:r>
      <w:r>
        <w:rPr>
          <w:spacing w:val="-3"/>
          <w:sz w:val="24"/>
        </w:rPr>
        <w:t> </w:t>
      </w:r>
      <w:r>
        <w:rPr>
          <w:sz w:val="24"/>
        </w:rPr>
        <w:t>tests.</w:t>
      </w:r>
    </w:p>
    <w:p>
      <w:pPr>
        <w:pStyle w:val="ListParagraph"/>
        <w:numPr>
          <w:ilvl w:val="0"/>
          <w:numId w:val="495"/>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not refuse a request received under paragraph (d) and must, no later than 5 </w:t>
      </w:r>
      <w:r>
        <w:rPr>
          <w:i/>
          <w:sz w:val="24"/>
        </w:rPr>
        <w:t>business days </w:t>
      </w:r>
      <w:r>
        <w:rPr>
          <w:sz w:val="24"/>
        </w:rPr>
        <w:t>prior to the </w:t>
      </w:r>
      <w:r>
        <w:rPr>
          <w:spacing w:val="-3"/>
          <w:sz w:val="24"/>
        </w:rPr>
        <w:t>testing,</w:t>
      </w:r>
      <w:r>
        <w:rPr>
          <w:spacing w:val="54"/>
          <w:sz w:val="24"/>
        </w:rPr>
        <w:t> </w:t>
      </w:r>
      <w:r>
        <w:rPr>
          <w:sz w:val="24"/>
        </w:rPr>
        <w:t>advise:</w:t>
      </w:r>
    </w:p>
    <w:p>
      <w:pPr>
        <w:pStyle w:val="ListParagraph"/>
        <w:numPr>
          <w:ilvl w:val="1"/>
          <w:numId w:val="495"/>
        </w:numPr>
        <w:tabs>
          <w:tab w:pos="2485" w:val="left" w:leader="none"/>
          <w:tab w:pos="2486" w:val="left" w:leader="none"/>
        </w:tabs>
        <w:spacing w:line="240" w:lineRule="auto" w:before="120" w:after="0"/>
        <w:ind w:left="2485" w:right="0" w:hanging="567"/>
        <w:jc w:val="left"/>
        <w:rPr>
          <w:sz w:val="24"/>
        </w:rPr>
      </w:pPr>
      <w:r>
        <w:rPr>
          <w:sz w:val="24"/>
        </w:rPr>
        <w:t>the party making the request;</w:t>
      </w:r>
      <w:r>
        <w:rPr>
          <w:spacing w:val="-2"/>
          <w:sz w:val="24"/>
        </w:rPr>
        <w:t> </w:t>
      </w:r>
      <w:r>
        <w:rPr>
          <w:sz w:val="24"/>
        </w:rPr>
        <w:t>and</w:t>
      </w:r>
    </w:p>
    <w:p>
      <w:pPr>
        <w:pStyle w:val="ListParagraph"/>
        <w:numPr>
          <w:ilvl w:val="1"/>
          <w:numId w:val="495"/>
        </w:numPr>
        <w:tabs>
          <w:tab w:pos="2485" w:val="left" w:leader="none"/>
          <w:tab w:pos="2486" w:val="left" w:leader="none"/>
        </w:tabs>
        <w:spacing w:line="343" w:lineRule="auto" w:before="120" w:after="0"/>
        <w:ind w:left="1919" w:right="3540" w:firstLine="0"/>
        <w:jc w:val="left"/>
        <w:rPr>
          <w:sz w:val="24"/>
        </w:rPr>
      </w:pPr>
      <w:r>
        <w:rPr>
          <w:sz w:val="24"/>
        </w:rPr>
        <w:t>the financially responsible </w:t>
      </w:r>
      <w:r>
        <w:rPr>
          <w:spacing w:val="-3"/>
          <w:sz w:val="24"/>
        </w:rPr>
        <w:t>participant, </w:t>
      </w:r>
      <w:r>
        <w:rPr>
          <w:sz w:val="24"/>
        </w:rPr>
        <w:t>of:</w:t>
      </w:r>
    </w:p>
    <w:p>
      <w:pPr>
        <w:pStyle w:val="ListParagraph"/>
        <w:numPr>
          <w:ilvl w:val="1"/>
          <w:numId w:val="495"/>
        </w:numPr>
        <w:tabs>
          <w:tab w:pos="2485" w:val="left" w:leader="none"/>
          <w:tab w:pos="2486" w:val="left" w:leader="none"/>
        </w:tabs>
        <w:spacing w:line="240" w:lineRule="auto" w:before="3" w:after="0"/>
        <w:ind w:left="2485" w:right="0" w:hanging="567"/>
        <w:jc w:val="left"/>
        <w:rPr>
          <w:sz w:val="24"/>
        </w:rPr>
      </w:pPr>
      <w:r>
        <w:rPr>
          <w:sz w:val="24"/>
        </w:rPr>
        <w:t>the location and time of the tests;</w:t>
      </w:r>
      <w:r>
        <w:rPr>
          <w:spacing w:val="-1"/>
          <w:sz w:val="24"/>
        </w:rPr>
        <w:t> </w:t>
      </w:r>
      <w:r>
        <w:rPr>
          <w:sz w:val="24"/>
        </w:rPr>
        <w:t>and</w:t>
      </w:r>
    </w:p>
    <w:p>
      <w:pPr>
        <w:pStyle w:val="ListParagraph"/>
        <w:numPr>
          <w:ilvl w:val="1"/>
          <w:numId w:val="495"/>
        </w:numPr>
        <w:tabs>
          <w:tab w:pos="2485" w:val="left" w:leader="none"/>
          <w:tab w:pos="2486" w:val="left" w:leader="none"/>
        </w:tabs>
        <w:spacing w:line="240" w:lineRule="auto" w:before="120" w:after="0"/>
        <w:ind w:left="2485" w:right="0" w:hanging="567"/>
        <w:jc w:val="left"/>
        <w:rPr>
          <w:sz w:val="24"/>
        </w:rPr>
      </w:pPr>
      <w:r>
        <w:rPr>
          <w:sz w:val="24"/>
        </w:rPr>
        <w:t>the method of testing to be</w:t>
      </w:r>
      <w:r>
        <w:rPr>
          <w:spacing w:val="-1"/>
          <w:sz w:val="24"/>
        </w:rPr>
        <w:t> </w:t>
      </w:r>
      <w:r>
        <w:rPr>
          <w:sz w:val="24"/>
        </w:rPr>
        <w:t>undertaken.</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95"/>
        </w:numPr>
        <w:tabs>
          <w:tab w:pos="1920" w:val="left" w:leader="none"/>
        </w:tabs>
        <w:spacing w:line="240" w:lineRule="auto" w:before="120" w:after="0"/>
        <w:ind w:left="1919" w:right="0" w:hanging="568"/>
        <w:jc w:val="both"/>
        <w:rPr>
          <w:i/>
          <w:sz w:val="24"/>
        </w:rPr>
      </w:pPr>
      <w:r>
        <w:rPr>
          <w:sz w:val="24"/>
        </w:rPr>
        <w:t>If</w:t>
      </w:r>
      <w:r>
        <w:rPr>
          <w:spacing w:val="17"/>
          <w:sz w:val="24"/>
        </w:rPr>
        <w:t> </w:t>
      </w:r>
      <w:r>
        <w:rPr>
          <w:sz w:val="24"/>
        </w:rPr>
        <w:t>the</w:t>
      </w:r>
      <w:r>
        <w:rPr>
          <w:spacing w:val="17"/>
          <w:sz w:val="24"/>
        </w:rPr>
        <w:t> </w:t>
      </w:r>
      <w:r>
        <w:rPr>
          <w:i/>
          <w:sz w:val="24"/>
        </w:rPr>
        <w:t>Metering</w:t>
      </w:r>
      <w:r>
        <w:rPr>
          <w:i/>
          <w:spacing w:val="18"/>
          <w:sz w:val="24"/>
        </w:rPr>
        <w:t> </w:t>
      </w:r>
      <w:r>
        <w:rPr>
          <w:i/>
          <w:sz w:val="24"/>
        </w:rPr>
        <w:t>Coordinator</w:t>
      </w:r>
      <w:r>
        <w:rPr>
          <w:i/>
          <w:spacing w:val="17"/>
          <w:sz w:val="24"/>
        </w:rPr>
        <w:t> </w:t>
      </w:r>
      <w:r>
        <w:rPr>
          <w:sz w:val="24"/>
        </w:rPr>
        <w:t>has</w:t>
      </w:r>
      <w:r>
        <w:rPr>
          <w:spacing w:val="17"/>
          <w:sz w:val="24"/>
        </w:rPr>
        <w:t> </w:t>
      </w:r>
      <w:r>
        <w:rPr>
          <w:sz w:val="24"/>
        </w:rPr>
        <w:t>arranged</w:t>
      </w:r>
      <w:r>
        <w:rPr>
          <w:spacing w:val="18"/>
          <w:sz w:val="24"/>
        </w:rPr>
        <w:t> </w:t>
      </w:r>
      <w:r>
        <w:rPr>
          <w:sz w:val="24"/>
        </w:rPr>
        <w:t>testing</w:t>
      </w:r>
      <w:r>
        <w:rPr>
          <w:spacing w:val="17"/>
          <w:sz w:val="24"/>
        </w:rPr>
        <w:t> </w:t>
      </w:r>
      <w:r>
        <w:rPr>
          <w:sz w:val="24"/>
        </w:rPr>
        <w:t>of</w:t>
      </w:r>
      <w:r>
        <w:rPr>
          <w:spacing w:val="17"/>
          <w:sz w:val="24"/>
        </w:rPr>
        <w:t> </w:t>
      </w:r>
      <w:r>
        <w:rPr>
          <w:sz w:val="24"/>
        </w:rPr>
        <w:t>a</w:t>
      </w:r>
      <w:r>
        <w:rPr>
          <w:spacing w:val="18"/>
          <w:sz w:val="24"/>
        </w:rPr>
        <w:t> </w:t>
      </w:r>
      <w:r>
        <w:rPr>
          <w:i/>
          <w:sz w:val="24"/>
        </w:rPr>
        <w:t>metering</w:t>
      </w:r>
      <w:r>
        <w:rPr>
          <w:i/>
          <w:spacing w:val="17"/>
          <w:sz w:val="24"/>
        </w:rPr>
        <w:t> </w:t>
      </w:r>
      <w:r>
        <w:rPr>
          <w:i/>
          <w:sz w:val="24"/>
        </w:rPr>
        <w:t>installation</w:t>
      </w:r>
    </w:p>
    <w:p>
      <w:pPr>
        <w:spacing w:before="0"/>
        <w:ind w:left="1919" w:right="0" w:firstLine="0"/>
        <w:jc w:val="both"/>
        <w:rPr>
          <w:sz w:val="24"/>
        </w:rPr>
      </w:pPr>
      <w:r>
        <w:rPr>
          <w:sz w:val="24"/>
        </w:rPr>
        <w:t>under this clause and schedule 7A.6, the </w:t>
      </w:r>
      <w:r>
        <w:rPr>
          <w:i/>
          <w:sz w:val="24"/>
        </w:rPr>
        <w:t>Metering Coordinator </w:t>
      </w:r>
      <w:r>
        <w:rPr>
          <w:sz w:val="24"/>
        </w:rPr>
        <w:t>must:</w:t>
      </w:r>
    </w:p>
    <w:p>
      <w:pPr>
        <w:pStyle w:val="ListParagraph"/>
        <w:numPr>
          <w:ilvl w:val="1"/>
          <w:numId w:val="495"/>
        </w:numPr>
        <w:tabs>
          <w:tab w:pos="2486" w:val="left" w:leader="none"/>
        </w:tabs>
        <w:spacing w:line="240" w:lineRule="auto" w:before="120" w:after="0"/>
        <w:ind w:left="2486" w:right="415" w:hanging="567"/>
        <w:jc w:val="both"/>
        <w:rPr>
          <w:sz w:val="24"/>
        </w:rPr>
      </w:pPr>
      <w:r>
        <w:rPr>
          <w:sz w:val="24"/>
        </w:rPr>
        <w:t>inform the financially responsible participant that testing has</w:t>
      </w:r>
      <w:r>
        <w:rPr>
          <w:spacing w:val="31"/>
          <w:sz w:val="24"/>
        </w:rPr>
        <w:t> </w:t>
      </w:r>
      <w:r>
        <w:rPr>
          <w:sz w:val="24"/>
        </w:rPr>
        <w:t>been undertaken in respect of the </w:t>
      </w:r>
      <w:r>
        <w:rPr>
          <w:i/>
          <w:sz w:val="24"/>
        </w:rPr>
        <w:t>metering installation </w:t>
      </w:r>
      <w:r>
        <w:rPr>
          <w:sz w:val="24"/>
        </w:rPr>
        <w:t>in accordance with this clause;</w:t>
      </w:r>
      <w:r>
        <w:rPr>
          <w:spacing w:val="-1"/>
          <w:sz w:val="24"/>
        </w:rPr>
        <w:t> </w:t>
      </w:r>
      <w:r>
        <w:rPr>
          <w:sz w:val="24"/>
        </w:rPr>
        <w:t>and</w:t>
      </w:r>
    </w:p>
    <w:p>
      <w:pPr>
        <w:pStyle w:val="ListParagraph"/>
        <w:numPr>
          <w:ilvl w:val="1"/>
          <w:numId w:val="495"/>
        </w:numPr>
        <w:tabs>
          <w:tab w:pos="2486" w:val="left" w:leader="none"/>
        </w:tabs>
        <w:spacing w:line="240" w:lineRule="auto" w:before="120" w:after="0"/>
        <w:ind w:left="2486" w:right="415" w:hanging="567"/>
        <w:jc w:val="both"/>
        <w:rPr>
          <w:sz w:val="24"/>
        </w:rPr>
      </w:pPr>
      <w:r>
        <w:rPr>
          <w:sz w:val="24"/>
        </w:rPr>
        <w:t>make the test results available in accordance with paragraphs (g) and (h).</w:t>
      </w:r>
    </w:p>
    <w:p>
      <w:pPr>
        <w:spacing w:after="0" w:line="240" w:lineRule="auto"/>
        <w:jc w:val="both"/>
        <w:rPr>
          <w:sz w:val="24"/>
        </w:rPr>
        <w:sectPr>
          <w:pgSz w:w="11910" w:h="16840"/>
          <w:pgMar w:header="686" w:footer="637" w:top="1320" w:bottom="820" w:left="1200" w:right="1000"/>
        </w:sectPr>
      </w:pPr>
    </w:p>
    <w:p>
      <w:pPr>
        <w:pStyle w:val="ListParagraph"/>
        <w:numPr>
          <w:ilvl w:val="0"/>
          <w:numId w:val="495"/>
        </w:numPr>
        <w:tabs>
          <w:tab w:pos="1919" w:val="left" w:leader="none"/>
        </w:tabs>
        <w:spacing w:line="240" w:lineRule="auto" w:before="83" w:after="0"/>
        <w:ind w:left="1919" w:right="414" w:hanging="567"/>
        <w:jc w:val="both"/>
        <w:rPr>
          <w:sz w:val="24"/>
        </w:rPr>
      </w:pPr>
      <w:r>
        <w:rPr>
          <w:sz w:val="24"/>
        </w:rPr>
        <w:t>If the test results mentioned in paragraph (f) indicate deviation from the technical requirements for the </w:t>
      </w:r>
      <w:r>
        <w:rPr>
          <w:i/>
          <w:sz w:val="24"/>
        </w:rPr>
        <w:t>metering installation</w:t>
      </w:r>
      <w:r>
        <w:rPr>
          <w:sz w:val="24"/>
        </w:rPr>
        <w:t>, the </w:t>
      </w:r>
      <w:r>
        <w:rPr>
          <w:i/>
          <w:sz w:val="24"/>
        </w:rPr>
        <w:t>Metering </w:t>
      </w:r>
      <w:r>
        <w:rPr>
          <w:i/>
          <w:sz w:val="24"/>
        </w:rPr>
        <w:t>Coordinator </w:t>
      </w:r>
      <w:r>
        <w:rPr>
          <w:sz w:val="24"/>
        </w:rPr>
        <w:t>must ensure that the test results are provided as soon as practicable to the persons who receive the </w:t>
      </w:r>
      <w:r>
        <w:rPr>
          <w:i/>
          <w:sz w:val="24"/>
        </w:rPr>
        <w:t>metering data </w:t>
      </w:r>
      <w:r>
        <w:rPr>
          <w:sz w:val="24"/>
        </w:rPr>
        <w:t>for the </w:t>
      </w:r>
      <w:r>
        <w:rPr>
          <w:i/>
          <w:sz w:val="24"/>
        </w:rPr>
        <w:t>metering </w:t>
      </w:r>
      <w:r>
        <w:rPr>
          <w:i/>
          <w:sz w:val="24"/>
        </w:rPr>
        <w:t>installation </w:t>
      </w:r>
      <w:r>
        <w:rPr>
          <w:sz w:val="24"/>
        </w:rPr>
        <w:t>under clause</w:t>
      </w:r>
      <w:r>
        <w:rPr>
          <w:spacing w:val="-1"/>
          <w:sz w:val="24"/>
        </w:rPr>
        <w:t> </w:t>
      </w:r>
      <w:r>
        <w:rPr>
          <w:sz w:val="24"/>
        </w:rPr>
        <w:t>7A.8.4.</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95"/>
        </w:numPr>
        <w:tabs>
          <w:tab w:pos="1919" w:val="left" w:leader="none"/>
        </w:tabs>
        <w:spacing w:line="240" w:lineRule="auto" w:before="120" w:after="0"/>
        <w:ind w:left="1919" w:right="414" w:hanging="567"/>
        <w:jc w:val="both"/>
        <w:rPr>
          <w:sz w:val="24"/>
        </w:rPr>
      </w:pPr>
      <w:r>
        <w:rPr>
          <w:sz w:val="24"/>
        </w:rPr>
        <w:t>If the test results mentioned in paragraph (f) indicate compliance with the technical requirements for the </w:t>
      </w:r>
      <w:r>
        <w:rPr>
          <w:i/>
          <w:sz w:val="24"/>
        </w:rPr>
        <w:t>metering installation</w:t>
      </w:r>
      <w:r>
        <w:rPr>
          <w:sz w:val="24"/>
        </w:rPr>
        <w:t>, the </w:t>
      </w:r>
      <w:r>
        <w:rPr>
          <w:i/>
          <w:sz w:val="24"/>
        </w:rPr>
        <w:t>Metering </w:t>
      </w:r>
      <w:r>
        <w:rPr>
          <w:i/>
          <w:sz w:val="24"/>
        </w:rPr>
        <w:t>Coordinator </w:t>
      </w:r>
      <w:r>
        <w:rPr>
          <w:sz w:val="24"/>
        </w:rPr>
        <w:t>must ensure that the test results are provided as soon as practicable:</w:t>
      </w:r>
    </w:p>
    <w:p>
      <w:pPr>
        <w:pStyle w:val="ListParagraph"/>
        <w:numPr>
          <w:ilvl w:val="1"/>
          <w:numId w:val="495"/>
        </w:numPr>
        <w:tabs>
          <w:tab w:pos="2486" w:val="left" w:leader="none"/>
        </w:tabs>
        <w:spacing w:line="240" w:lineRule="auto" w:before="120" w:after="0"/>
        <w:ind w:left="2486" w:right="415" w:hanging="567"/>
        <w:jc w:val="both"/>
        <w:rPr>
          <w:sz w:val="24"/>
        </w:rPr>
      </w:pPr>
      <w:r>
        <w:rPr>
          <w:sz w:val="24"/>
        </w:rPr>
        <w:t>in circumstances where the tests were requested by a </w:t>
      </w:r>
      <w:r>
        <w:rPr>
          <w:i/>
          <w:sz w:val="24"/>
        </w:rPr>
        <w:t>Registered </w:t>
      </w:r>
      <w:r>
        <w:rPr>
          <w:i/>
          <w:sz w:val="24"/>
        </w:rPr>
        <w:t>Participant</w:t>
      </w:r>
      <w:r>
        <w:rPr>
          <w:sz w:val="24"/>
        </w:rPr>
        <w:t>, to the </w:t>
      </w:r>
      <w:r>
        <w:rPr>
          <w:i/>
          <w:sz w:val="24"/>
        </w:rPr>
        <w:t>Registered Participant </w:t>
      </w:r>
      <w:r>
        <w:rPr>
          <w:sz w:val="24"/>
        </w:rPr>
        <w:t>and persons who receive the </w:t>
      </w:r>
      <w:r>
        <w:rPr>
          <w:i/>
          <w:sz w:val="24"/>
        </w:rPr>
        <w:t>metering data </w:t>
      </w:r>
      <w:r>
        <w:rPr>
          <w:sz w:val="24"/>
        </w:rPr>
        <w:t>for the </w:t>
      </w:r>
      <w:r>
        <w:rPr>
          <w:i/>
          <w:sz w:val="24"/>
        </w:rPr>
        <w:t>metering installation </w:t>
      </w:r>
      <w:r>
        <w:rPr>
          <w:sz w:val="24"/>
        </w:rPr>
        <w:t>under clause 7A.8.4;</w:t>
      </w:r>
      <w:r>
        <w:rPr>
          <w:spacing w:val="-15"/>
          <w:sz w:val="24"/>
        </w:rPr>
        <w:t> </w:t>
      </w:r>
      <w:r>
        <w:rPr>
          <w:sz w:val="24"/>
        </w:rPr>
        <w:t>or</w:t>
      </w:r>
    </w:p>
    <w:p>
      <w:pPr>
        <w:pStyle w:val="ListParagraph"/>
        <w:numPr>
          <w:ilvl w:val="1"/>
          <w:numId w:val="495"/>
        </w:numPr>
        <w:tabs>
          <w:tab w:pos="2486" w:val="left" w:leader="none"/>
        </w:tabs>
        <w:spacing w:line="240" w:lineRule="auto" w:before="120" w:after="0"/>
        <w:ind w:left="2486" w:right="414" w:hanging="567"/>
        <w:jc w:val="both"/>
        <w:rPr>
          <w:sz w:val="24"/>
        </w:rPr>
      </w:pPr>
      <w:r>
        <w:rPr>
          <w:sz w:val="24"/>
        </w:rPr>
        <w:t>to a </w:t>
      </w:r>
      <w:r>
        <w:rPr>
          <w:i/>
          <w:sz w:val="24"/>
        </w:rPr>
        <w:t>Registered Participant </w:t>
      </w:r>
      <w:r>
        <w:rPr>
          <w:sz w:val="24"/>
        </w:rPr>
        <w:t>if requested by that </w:t>
      </w:r>
      <w:r>
        <w:rPr>
          <w:i/>
          <w:sz w:val="24"/>
        </w:rPr>
        <w:t>Registered Participant</w:t>
      </w:r>
      <w:r>
        <w:rPr>
          <w:sz w:val="24"/>
        </w:rPr>
        <w:t>, if the tests are not the result of a request for</w:t>
      </w:r>
      <w:r>
        <w:rPr>
          <w:spacing w:val="-2"/>
          <w:sz w:val="24"/>
        </w:rPr>
        <w:t> </w:t>
      </w:r>
      <w:r>
        <w:rPr>
          <w:sz w:val="24"/>
        </w:rPr>
        <w:t>testing.</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95"/>
        </w:numPr>
        <w:tabs>
          <w:tab w:pos="1919" w:val="left" w:leader="none"/>
        </w:tabs>
        <w:spacing w:line="240" w:lineRule="auto" w:before="120" w:after="0"/>
        <w:ind w:left="1919" w:right="414" w:hanging="567"/>
        <w:jc w:val="both"/>
        <w:rPr>
          <w:sz w:val="24"/>
        </w:rPr>
      </w:pPr>
      <w:r>
        <w:rPr>
          <w:sz w:val="24"/>
        </w:rPr>
        <w:t>The </w:t>
      </w:r>
      <w:r>
        <w:rPr>
          <w:i/>
          <w:sz w:val="24"/>
        </w:rPr>
        <w:t>Utilities Commission </w:t>
      </w:r>
      <w:r>
        <w:rPr>
          <w:sz w:val="24"/>
        </w:rPr>
        <w:t>may check the test results recorded in </w:t>
      </w:r>
      <w:r>
        <w:rPr>
          <w:spacing w:val="-4"/>
          <w:sz w:val="24"/>
        </w:rPr>
        <w:t>the</w:t>
      </w:r>
      <w:r>
        <w:rPr>
          <w:spacing w:val="52"/>
          <w:sz w:val="24"/>
        </w:rPr>
        <w:t> </w:t>
      </w:r>
      <w:r>
        <w:rPr>
          <w:i/>
          <w:sz w:val="24"/>
        </w:rPr>
        <w:t>metering register </w:t>
      </w:r>
      <w:r>
        <w:rPr>
          <w:sz w:val="24"/>
        </w:rPr>
        <w:t>by arranging for audits of </w:t>
      </w:r>
      <w:r>
        <w:rPr>
          <w:i/>
          <w:sz w:val="24"/>
        </w:rPr>
        <w:t>metering installations </w:t>
      </w:r>
      <w:r>
        <w:rPr>
          <w:sz w:val="24"/>
        </w:rPr>
        <w:t>to satisfy itself and </w:t>
      </w:r>
      <w:r>
        <w:rPr>
          <w:i/>
          <w:sz w:val="24"/>
        </w:rPr>
        <w:t>NTESMO </w:t>
      </w:r>
      <w:r>
        <w:rPr>
          <w:sz w:val="24"/>
        </w:rPr>
        <w:t>that the accuracy of each </w:t>
      </w:r>
      <w:r>
        <w:rPr>
          <w:i/>
          <w:sz w:val="24"/>
        </w:rPr>
        <w:t>metering installation </w:t>
      </w:r>
      <w:r>
        <w:rPr>
          <w:sz w:val="24"/>
        </w:rPr>
        <w:t>complies with the requirements of this Chapter</w:t>
      </w:r>
      <w:r>
        <w:rPr>
          <w:spacing w:val="-2"/>
          <w:sz w:val="24"/>
        </w:rPr>
        <w:t> </w:t>
      </w:r>
      <w:r>
        <w:rPr>
          <w:sz w:val="24"/>
        </w:rPr>
        <w:t>7A.</w:t>
      </w:r>
    </w:p>
    <w:p>
      <w:pPr>
        <w:pStyle w:val="ListParagraph"/>
        <w:numPr>
          <w:ilvl w:val="0"/>
          <w:numId w:val="495"/>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store the test results in accordance with clause 7A.7.7 and provide a copy to the </w:t>
      </w:r>
      <w:r>
        <w:rPr>
          <w:i/>
          <w:sz w:val="24"/>
        </w:rPr>
        <w:t>Utilities Commission </w:t>
      </w:r>
      <w:r>
        <w:rPr>
          <w:sz w:val="24"/>
        </w:rPr>
        <w:t>on request or as part of an</w:t>
      </w:r>
      <w:r>
        <w:rPr>
          <w:spacing w:val="-1"/>
          <w:sz w:val="24"/>
        </w:rPr>
        <w:t> </w:t>
      </w:r>
      <w:r>
        <w:rPr>
          <w:sz w:val="24"/>
        </w:rPr>
        <w:t>audit.</w:t>
      </w:r>
    </w:p>
    <w:p>
      <w:pPr>
        <w:pStyle w:val="ListParagraph"/>
        <w:numPr>
          <w:ilvl w:val="0"/>
          <w:numId w:val="495"/>
        </w:numPr>
        <w:tabs>
          <w:tab w:pos="1919" w:val="left" w:leader="none"/>
        </w:tabs>
        <w:spacing w:line="240" w:lineRule="auto" w:before="120" w:after="0"/>
        <w:ind w:left="1918" w:right="0" w:hanging="567"/>
        <w:jc w:val="both"/>
        <w:rPr>
          <w:sz w:val="24"/>
        </w:rPr>
      </w:pPr>
      <w:r>
        <w:rPr>
          <w:sz w:val="24"/>
        </w:rPr>
        <w:t>The cost of any testing under paragraph (c) must be borne</w:t>
      </w:r>
      <w:r>
        <w:rPr>
          <w:spacing w:val="-2"/>
          <w:sz w:val="24"/>
        </w:rPr>
        <w:t> </w:t>
      </w:r>
      <w:r>
        <w:rPr>
          <w:sz w:val="24"/>
        </w:rPr>
        <w:t>by:</w:t>
      </w:r>
    </w:p>
    <w:p>
      <w:pPr>
        <w:pStyle w:val="ListParagraph"/>
        <w:numPr>
          <w:ilvl w:val="1"/>
          <w:numId w:val="495"/>
        </w:numPr>
        <w:tabs>
          <w:tab w:pos="2486" w:val="left" w:leader="none"/>
        </w:tabs>
        <w:spacing w:line="240" w:lineRule="auto" w:before="120" w:after="0"/>
        <w:ind w:left="2485" w:right="0" w:hanging="567"/>
        <w:jc w:val="both"/>
        <w:rPr>
          <w:sz w:val="24"/>
        </w:rPr>
      </w:pPr>
      <w:r>
        <w:rPr>
          <w:sz w:val="24"/>
        </w:rPr>
        <w:t>if paragraph (g) applies – the </w:t>
      </w:r>
      <w:r>
        <w:rPr>
          <w:i/>
          <w:sz w:val="24"/>
        </w:rPr>
        <w:t>Metering Coordinator</w:t>
      </w:r>
      <w:r>
        <w:rPr>
          <w:sz w:val="24"/>
        </w:rPr>
        <w:t>;</w:t>
      </w:r>
      <w:r>
        <w:rPr>
          <w:spacing w:val="-2"/>
          <w:sz w:val="24"/>
        </w:rPr>
        <w:t> </w:t>
      </w:r>
      <w:r>
        <w:rPr>
          <w:sz w:val="24"/>
        </w:rPr>
        <w:t>or</w:t>
      </w:r>
    </w:p>
    <w:p>
      <w:pPr>
        <w:pStyle w:val="ListParagraph"/>
        <w:numPr>
          <w:ilvl w:val="1"/>
          <w:numId w:val="495"/>
        </w:numPr>
        <w:tabs>
          <w:tab w:pos="2486" w:val="left" w:leader="none"/>
        </w:tabs>
        <w:spacing w:line="240" w:lineRule="auto" w:before="120" w:after="0"/>
        <w:ind w:left="2485" w:right="0" w:hanging="567"/>
        <w:jc w:val="both"/>
        <w:rPr>
          <w:sz w:val="24"/>
        </w:rPr>
      </w:pPr>
      <w:r>
        <w:rPr>
          <w:sz w:val="24"/>
        </w:rPr>
        <w:t>otherwise – the </w:t>
      </w:r>
      <w:r>
        <w:rPr>
          <w:i/>
          <w:sz w:val="24"/>
        </w:rPr>
        <w:t>Registered Participant </w:t>
      </w:r>
      <w:r>
        <w:rPr>
          <w:sz w:val="24"/>
        </w:rPr>
        <w:t>who requested the</w:t>
      </w:r>
      <w:r>
        <w:rPr>
          <w:spacing w:val="-4"/>
          <w:sz w:val="24"/>
        </w:rPr>
        <w:t> </w:t>
      </w:r>
      <w:r>
        <w:rPr>
          <w:sz w:val="24"/>
        </w:rPr>
        <w:t>test.</w:t>
      </w:r>
    </w:p>
    <w:p>
      <w:pPr>
        <w:pStyle w:val="BodyText"/>
        <w:spacing w:before="10"/>
        <w:ind w:firstLine="0"/>
        <w:jc w:val="left"/>
        <w:rPr>
          <w:sz w:val="20"/>
        </w:rPr>
      </w:pPr>
    </w:p>
    <w:p>
      <w:pPr>
        <w:pStyle w:val="Heading4"/>
        <w:tabs>
          <w:tab w:pos="1351" w:val="left" w:leader="none"/>
        </w:tabs>
        <w:ind w:left="218" w:firstLine="0"/>
      </w:pPr>
      <w:bookmarkStart w:name="7A.7.3 Actions in event of non-complianc" w:id="1775"/>
      <w:bookmarkEnd w:id="1775"/>
      <w:r>
        <w:rPr>
          <w:b w:val="0"/>
        </w:rPr>
      </w:r>
      <w:bookmarkStart w:name="_bookmark713" w:id="1776"/>
      <w:bookmarkEnd w:id="1776"/>
      <w:r>
        <w:rPr>
          <w:b w:val="0"/>
        </w:rPr>
      </w:r>
      <w:r>
        <w:rPr/>
        <w:t>7A.7.3</w:t>
        <w:tab/>
        <w:t>Actions in event of</w:t>
      </w:r>
      <w:r>
        <w:rPr>
          <w:spacing w:val="-4"/>
        </w:rPr>
        <w:t> </w:t>
      </w:r>
      <w:r>
        <w:rPr/>
        <w:t>non-compliance</w:t>
      </w:r>
    </w:p>
    <w:p>
      <w:pPr>
        <w:pStyle w:val="ListParagraph"/>
        <w:numPr>
          <w:ilvl w:val="0"/>
          <w:numId w:val="496"/>
        </w:numPr>
        <w:tabs>
          <w:tab w:pos="1918" w:val="left" w:leader="none"/>
          <w:tab w:pos="1919" w:val="left" w:leader="none"/>
        </w:tabs>
        <w:spacing w:line="240" w:lineRule="auto" w:before="120" w:after="0"/>
        <w:ind w:left="1919" w:right="416" w:hanging="567"/>
        <w:jc w:val="left"/>
        <w:rPr>
          <w:sz w:val="24"/>
        </w:rPr>
      </w:pPr>
      <w:r>
        <w:rPr>
          <w:sz w:val="24"/>
        </w:rPr>
        <w:t>If the accuracy of the </w:t>
      </w:r>
      <w:r>
        <w:rPr>
          <w:i/>
          <w:sz w:val="24"/>
        </w:rPr>
        <w:t>metering installation </w:t>
      </w:r>
      <w:r>
        <w:rPr>
          <w:sz w:val="24"/>
        </w:rPr>
        <w:t>does not comply with the requirements of the </w:t>
      </w:r>
      <w:r>
        <w:rPr>
          <w:i/>
          <w:sz w:val="24"/>
        </w:rPr>
        <w:t>Rules</w:t>
      </w:r>
      <w:r>
        <w:rPr>
          <w:sz w:val="24"/>
        </w:rPr>
        <w:t>, the </w:t>
      </w:r>
      <w:r>
        <w:rPr>
          <w:i/>
          <w:sz w:val="24"/>
        </w:rPr>
        <w:t>Metering Coordinator</w:t>
      </w:r>
      <w:r>
        <w:rPr>
          <w:i/>
          <w:spacing w:val="-1"/>
          <w:sz w:val="24"/>
        </w:rPr>
        <w:t> </w:t>
      </w:r>
      <w:r>
        <w:rPr>
          <w:sz w:val="24"/>
        </w:rPr>
        <w:t>must:</w:t>
      </w:r>
    </w:p>
    <w:p>
      <w:pPr>
        <w:pStyle w:val="ListParagraph"/>
        <w:numPr>
          <w:ilvl w:val="1"/>
          <w:numId w:val="496"/>
        </w:numPr>
        <w:tabs>
          <w:tab w:pos="2485" w:val="left" w:leader="none"/>
          <w:tab w:pos="2486" w:val="left" w:leader="none"/>
        </w:tabs>
        <w:spacing w:line="240" w:lineRule="auto" w:before="120" w:after="0"/>
        <w:ind w:left="2486" w:right="414" w:hanging="567"/>
        <w:jc w:val="left"/>
        <w:rPr>
          <w:sz w:val="24"/>
        </w:rPr>
      </w:pPr>
      <w:r>
        <w:rPr>
          <w:sz w:val="24"/>
        </w:rPr>
        <w:t>advise </w:t>
      </w:r>
      <w:r>
        <w:rPr>
          <w:i/>
          <w:sz w:val="24"/>
        </w:rPr>
        <w:t>NTESMO </w:t>
      </w:r>
      <w:r>
        <w:rPr>
          <w:sz w:val="24"/>
        </w:rPr>
        <w:t>as soon as practicable of the errors detected and the possible duration of the existence of the</w:t>
      </w:r>
      <w:r>
        <w:rPr>
          <w:spacing w:val="-1"/>
          <w:sz w:val="24"/>
        </w:rPr>
        <w:t> </w:t>
      </w:r>
      <w:r>
        <w:rPr>
          <w:sz w:val="24"/>
        </w:rPr>
        <w:t>errors;</w:t>
      </w:r>
    </w:p>
    <w:p>
      <w:pPr>
        <w:pStyle w:val="ListParagraph"/>
        <w:numPr>
          <w:ilvl w:val="1"/>
          <w:numId w:val="496"/>
        </w:numPr>
        <w:tabs>
          <w:tab w:pos="2485" w:val="left" w:leader="none"/>
          <w:tab w:pos="2486" w:val="left" w:leader="none"/>
        </w:tabs>
        <w:spacing w:line="240" w:lineRule="auto" w:before="120" w:after="0"/>
        <w:ind w:left="2486" w:right="415" w:hanging="567"/>
        <w:jc w:val="left"/>
        <w:rPr>
          <w:sz w:val="24"/>
        </w:rPr>
      </w:pPr>
      <w:r>
        <w:rPr>
          <w:sz w:val="24"/>
        </w:rPr>
        <w:t>arrange for the accuracy of the </w:t>
      </w:r>
      <w:r>
        <w:rPr>
          <w:i/>
          <w:sz w:val="24"/>
        </w:rPr>
        <w:t>metering installation </w:t>
      </w:r>
      <w:r>
        <w:rPr>
          <w:sz w:val="24"/>
        </w:rPr>
        <w:t>to be restored within:</w:t>
      </w:r>
    </w:p>
    <w:p>
      <w:pPr>
        <w:pStyle w:val="ListParagraph"/>
        <w:numPr>
          <w:ilvl w:val="2"/>
          <w:numId w:val="496"/>
        </w:numPr>
        <w:tabs>
          <w:tab w:pos="3052" w:val="left" w:leader="none"/>
          <w:tab w:pos="3053" w:val="left" w:leader="none"/>
        </w:tabs>
        <w:spacing w:line="240" w:lineRule="auto" w:before="120" w:after="0"/>
        <w:ind w:left="3052" w:right="0" w:hanging="567"/>
        <w:jc w:val="left"/>
        <w:rPr>
          <w:sz w:val="24"/>
        </w:rPr>
      </w:pPr>
      <w:r>
        <w:rPr>
          <w:sz w:val="24"/>
        </w:rPr>
        <w:t>10 </w:t>
      </w:r>
      <w:r>
        <w:rPr>
          <w:i/>
          <w:sz w:val="24"/>
        </w:rPr>
        <w:t>business days</w:t>
      </w:r>
      <w:r>
        <w:rPr>
          <w:sz w:val="24"/>
        </w:rPr>
        <w:t>;</w:t>
      </w:r>
      <w:r>
        <w:rPr>
          <w:spacing w:val="-2"/>
          <w:sz w:val="24"/>
        </w:rPr>
        <w:t> </w:t>
      </w:r>
      <w:r>
        <w:rPr>
          <w:sz w:val="24"/>
        </w:rPr>
        <w:t>or</w:t>
      </w:r>
    </w:p>
    <w:p>
      <w:pPr>
        <w:pStyle w:val="ListParagraph"/>
        <w:numPr>
          <w:ilvl w:val="2"/>
          <w:numId w:val="496"/>
        </w:numPr>
        <w:tabs>
          <w:tab w:pos="3052" w:val="left" w:leader="none"/>
          <w:tab w:pos="3054" w:val="left" w:leader="none"/>
        </w:tabs>
        <w:spacing w:line="240" w:lineRule="auto" w:before="120" w:after="0"/>
        <w:ind w:left="3053" w:right="415" w:hanging="567"/>
        <w:jc w:val="left"/>
        <w:rPr>
          <w:sz w:val="24"/>
        </w:rPr>
      </w:pPr>
      <w:r>
        <w:rPr>
          <w:sz w:val="24"/>
        </w:rPr>
        <w:t>if a timeframe is agreed with the financially responsible participant, in that timeframe;</w:t>
      </w:r>
      <w:r>
        <w:rPr>
          <w:spacing w:val="-1"/>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496"/>
        </w:numPr>
        <w:tabs>
          <w:tab w:pos="2485" w:val="left" w:leader="none"/>
          <w:tab w:pos="2486" w:val="left" w:leader="none"/>
        </w:tabs>
        <w:spacing w:line="240" w:lineRule="auto" w:before="83" w:after="0"/>
        <w:ind w:left="2485" w:right="0" w:hanging="567"/>
        <w:jc w:val="left"/>
        <w:rPr>
          <w:sz w:val="24"/>
        </w:rPr>
      </w:pPr>
      <w:r>
        <w:rPr>
          <w:sz w:val="24"/>
        </w:rPr>
        <w:t>correct</w:t>
      </w:r>
      <w:r>
        <w:rPr>
          <w:spacing w:val="22"/>
          <w:sz w:val="24"/>
        </w:rPr>
        <w:t> </w:t>
      </w:r>
      <w:r>
        <w:rPr>
          <w:sz w:val="24"/>
        </w:rPr>
        <w:t>the</w:t>
      </w:r>
      <w:r>
        <w:rPr>
          <w:spacing w:val="22"/>
          <w:sz w:val="24"/>
        </w:rPr>
        <w:t> </w:t>
      </w:r>
      <w:r>
        <w:rPr>
          <w:i/>
          <w:sz w:val="24"/>
        </w:rPr>
        <w:t>metering</w:t>
      </w:r>
      <w:r>
        <w:rPr>
          <w:i/>
          <w:spacing w:val="22"/>
          <w:sz w:val="24"/>
        </w:rPr>
        <w:t> </w:t>
      </w:r>
      <w:r>
        <w:rPr>
          <w:i/>
          <w:sz w:val="24"/>
        </w:rPr>
        <w:t>data</w:t>
      </w:r>
      <w:r>
        <w:rPr>
          <w:i/>
          <w:spacing w:val="22"/>
          <w:sz w:val="24"/>
        </w:rPr>
        <w:t> </w:t>
      </w:r>
      <w:r>
        <w:rPr>
          <w:sz w:val="24"/>
        </w:rPr>
        <w:t>and</w:t>
      </w:r>
      <w:r>
        <w:rPr>
          <w:spacing w:val="22"/>
          <w:sz w:val="24"/>
        </w:rPr>
        <w:t> </w:t>
      </w:r>
      <w:r>
        <w:rPr>
          <w:sz w:val="24"/>
        </w:rPr>
        <w:t>provide</w:t>
      </w:r>
      <w:r>
        <w:rPr>
          <w:spacing w:val="22"/>
          <w:sz w:val="24"/>
        </w:rPr>
        <w:t> </w:t>
      </w:r>
      <w:r>
        <w:rPr>
          <w:sz w:val="24"/>
        </w:rPr>
        <w:t>the</w:t>
      </w:r>
      <w:r>
        <w:rPr>
          <w:spacing w:val="23"/>
          <w:sz w:val="24"/>
        </w:rPr>
        <w:t> </w:t>
      </w:r>
      <w:r>
        <w:rPr>
          <w:sz w:val="24"/>
        </w:rPr>
        <w:t>corrected</w:t>
      </w:r>
      <w:r>
        <w:rPr>
          <w:spacing w:val="22"/>
          <w:sz w:val="24"/>
        </w:rPr>
        <w:t> </w:t>
      </w:r>
      <w:r>
        <w:rPr>
          <w:i/>
          <w:sz w:val="24"/>
        </w:rPr>
        <w:t>metering</w:t>
      </w:r>
      <w:r>
        <w:rPr>
          <w:i/>
          <w:spacing w:val="21"/>
          <w:sz w:val="24"/>
        </w:rPr>
        <w:t> </w:t>
      </w:r>
      <w:r>
        <w:rPr>
          <w:i/>
          <w:sz w:val="24"/>
        </w:rPr>
        <w:t>data</w:t>
      </w:r>
      <w:r>
        <w:rPr>
          <w:i/>
          <w:spacing w:val="22"/>
          <w:sz w:val="24"/>
        </w:rPr>
        <w:t> </w:t>
      </w:r>
      <w:r>
        <w:rPr>
          <w:sz w:val="24"/>
        </w:rPr>
        <w:t>to</w:t>
      </w:r>
    </w:p>
    <w:p>
      <w:pPr>
        <w:spacing w:before="0"/>
        <w:ind w:left="2486" w:right="0" w:firstLine="0"/>
        <w:jc w:val="left"/>
        <w:rPr>
          <w:sz w:val="24"/>
        </w:rPr>
      </w:pPr>
      <w:r>
        <w:rPr>
          <w:i/>
          <w:sz w:val="24"/>
        </w:rPr>
        <w:t>NTESMO</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496"/>
        </w:numPr>
        <w:tabs>
          <w:tab w:pos="1919" w:val="left" w:leader="none"/>
        </w:tabs>
        <w:spacing w:line="240" w:lineRule="auto" w:before="120" w:after="0"/>
        <w:ind w:left="1919" w:right="414" w:hanging="567"/>
        <w:jc w:val="both"/>
        <w:rPr>
          <w:sz w:val="24"/>
        </w:rPr>
      </w:pPr>
      <w:r>
        <w:rPr>
          <w:i/>
          <w:sz w:val="24"/>
        </w:rPr>
        <w:t>NTESMO </w:t>
      </w:r>
      <w:r>
        <w:rPr>
          <w:sz w:val="24"/>
        </w:rPr>
        <w:t>may make appropriate corrections to the </w:t>
      </w:r>
      <w:r>
        <w:rPr>
          <w:i/>
          <w:sz w:val="24"/>
        </w:rPr>
        <w:t>metering data </w:t>
      </w:r>
      <w:r>
        <w:rPr>
          <w:sz w:val="24"/>
        </w:rPr>
        <w:t>to take account of errors referred to it under paragraph (a) for the purposes of </w:t>
      </w:r>
      <w:r>
        <w:rPr>
          <w:i/>
          <w:sz w:val="24"/>
        </w:rPr>
        <w:t>settlements</w:t>
      </w:r>
      <w:r>
        <w:rPr>
          <w:sz w:val="24"/>
        </w:rPr>
        <w:t>.</w:t>
      </w:r>
    </w:p>
    <w:p>
      <w:pPr>
        <w:pStyle w:val="BodyText"/>
        <w:spacing w:before="10"/>
        <w:ind w:firstLine="0"/>
        <w:jc w:val="left"/>
        <w:rPr>
          <w:sz w:val="20"/>
        </w:rPr>
      </w:pPr>
    </w:p>
    <w:p>
      <w:pPr>
        <w:pStyle w:val="Heading4"/>
        <w:tabs>
          <w:tab w:pos="1351" w:val="left" w:leader="none"/>
        </w:tabs>
        <w:ind w:left="218" w:firstLine="0"/>
      </w:pPr>
      <w:bookmarkStart w:name="7A.7.4 Audits of information held in met" w:id="1777"/>
      <w:bookmarkEnd w:id="1777"/>
      <w:r>
        <w:rPr>
          <w:b w:val="0"/>
        </w:rPr>
      </w:r>
      <w:bookmarkStart w:name="_bookmark714" w:id="1778"/>
      <w:bookmarkEnd w:id="1778"/>
      <w:r>
        <w:rPr>
          <w:b w:val="0"/>
        </w:rPr>
      </w:r>
      <w:r>
        <w:rPr/>
        <w:t>7A.7.4</w:t>
        <w:tab/>
        <w:t>Audits of information held in metering</w:t>
      </w:r>
      <w:r>
        <w:rPr>
          <w:spacing w:val="-6"/>
        </w:rPr>
        <w:t> </w:t>
      </w:r>
      <w:r>
        <w:rPr/>
        <w:t>installations</w:t>
      </w:r>
    </w:p>
    <w:p>
      <w:pPr>
        <w:pStyle w:val="ListParagraph"/>
        <w:numPr>
          <w:ilvl w:val="0"/>
          <w:numId w:val="497"/>
        </w:numPr>
        <w:tabs>
          <w:tab w:pos="1919" w:val="left" w:leader="none"/>
        </w:tabs>
        <w:spacing w:line="240" w:lineRule="auto" w:before="120" w:after="0"/>
        <w:ind w:left="1918" w:right="0" w:hanging="567"/>
        <w:jc w:val="both"/>
        <w:rPr>
          <w:sz w:val="24"/>
        </w:rPr>
      </w:pPr>
      <w:r>
        <w:rPr>
          <w:sz w:val="24"/>
        </w:rPr>
        <w:t>The </w:t>
      </w:r>
      <w:r>
        <w:rPr>
          <w:i/>
          <w:sz w:val="24"/>
        </w:rPr>
        <w:t>Utilities Commission </w:t>
      </w:r>
      <w:r>
        <w:rPr>
          <w:sz w:val="24"/>
        </w:rPr>
        <w:t>is responsible for auditing </w:t>
      </w:r>
      <w:r>
        <w:rPr>
          <w:i/>
          <w:sz w:val="24"/>
        </w:rPr>
        <w:t>metering</w:t>
      </w:r>
      <w:r>
        <w:rPr>
          <w:i/>
          <w:spacing w:val="-10"/>
          <w:sz w:val="24"/>
        </w:rPr>
        <w:t> </w:t>
      </w:r>
      <w:r>
        <w:rPr>
          <w:i/>
          <w:sz w:val="24"/>
        </w:rPr>
        <w:t>installations</w:t>
      </w:r>
      <w:r>
        <w:rPr>
          <w:sz w:val="24"/>
        </w:rPr>
        <w:t>.</w:t>
      </w:r>
    </w:p>
    <w:p>
      <w:pPr>
        <w:pStyle w:val="ListParagraph"/>
        <w:numPr>
          <w:ilvl w:val="0"/>
          <w:numId w:val="497"/>
        </w:numPr>
        <w:tabs>
          <w:tab w:pos="1919" w:val="left" w:leader="none"/>
        </w:tabs>
        <w:spacing w:line="240" w:lineRule="auto" w:before="120" w:after="0"/>
        <w:ind w:left="1919" w:right="414" w:hanging="567"/>
        <w:jc w:val="both"/>
        <w:rPr>
          <w:sz w:val="24"/>
        </w:rPr>
      </w:pPr>
      <w:r>
        <w:rPr>
          <w:sz w:val="24"/>
        </w:rPr>
        <w:t>A </w:t>
      </w:r>
      <w:r>
        <w:rPr>
          <w:i/>
          <w:sz w:val="24"/>
        </w:rPr>
        <w:t>Registered Participant </w:t>
      </w:r>
      <w:r>
        <w:rPr>
          <w:sz w:val="24"/>
        </w:rPr>
        <w:t>or </w:t>
      </w:r>
      <w:r>
        <w:rPr>
          <w:i/>
          <w:sz w:val="24"/>
        </w:rPr>
        <w:t>NTESMO </w:t>
      </w:r>
      <w:r>
        <w:rPr>
          <w:sz w:val="24"/>
        </w:rPr>
        <w:t>may request the </w:t>
      </w:r>
      <w:r>
        <w:rPr>
          <w:i/>
          <w:sz w:val="24"/>
        </w:rPr>
        <w:t>Utilities Commission </w:t>
      </w:r>
      <w:r>
        <w:rPr>
          <w:sz w:val="24"/>
        </w:rPr>
        <w:t>to conduct an audit to determine the consistency between the data held in the </w:t>
      </w:r>
      <w:r>
        <w:rPr>
          <w:i/>
          <w:sz w:val="24"/>
        </w:rPr>
        <w:t>metering database </w:t>
      </w:r>
      <w:r>
        <w:rPr>
          <w:sz w:val="24"/>
        </w:rPr>
        <w:t>and the data held in the relevant </w:t>
      </w:r>
      <w:r>
        <w:rPr>
          <w:i/>
          <w:sz w:val="24"/>
        </w:rPr>
        <w:t>metering </w:t>
      </w:r>
      <w:r>
        <w:rPr>
          <w:i/>
          <w:sz w:val="24"/>
        </w:rPr>
        <w:t>installation</w:t>
      </w:r>
      <w:r>
        <w:rPr>
          <w:sz w:val="24"/>
        </w:rPr>
        <w:t>.</w:t>
      </w:r>
    </w:p>
    <w:p>
      <w:pPr>
        <w:pStyle w:val="ListParagraph"/>
        <w:numPr>
          <w:ilvl w:val="0"/>
          <w:numId w:val="497"/>
        </w:numPr>
        <w:tabs>
          <w:tab w:pos="1919" w:val="left" w:leader="none"/>
        </w:tabs>
        <w:spacing w:line="240" w:lineRule="auto" w:before="120" w:after="0"/>
        <w:ind w:left="1919" w:right="413" w:hanging="567"/>
        <w:jc w:val="both"/>
        <w:rPr>
          <w:sz w:val="24"/>
        </w:rPr>
      </w:pPr>
      <w:r>
        <w:rPr>
          <w:sz w:val="24"/>
        </w:rPr>
        <w:t>If there are inconsistencies between data held in a </w:t>
      </w:r>
      <w:r>
        <w:rPr>
          <w:i/>
          <w:sz w:val="24"/>
        </w:rPr>
        <w:t>metering installation </w:t>
      </w:r>
      <w:r>
        <w:rPr>
          <w:sz w:val="24"/>
        </w:rPr>
        <w:t>and data held in the </w:t>
      </w:r>
      <w:r>
        <w:rPr>
          <w:i/>
          <w:sz w:val="24"/>
        </w:rPr>
        <w:t>metering database</w:t>
      </w:r>
      <w:r>
        <w:rPr>
          <w:sz w:val="24"/>
        </w:rPr>
        <w:t>, the </w:t>
      </w:r>
      <w:r>
        <w:rPr>
          <w:i/>
          <w:sz w:val="24"/>
        </w:rPr>
        <w:t>Metering Coordinator </w:t>
      </w:r>
      <w:r>
        <w:rPr>
          <w:sz w:val="24"/>
        </w:rPr>
        <w:t>and </w:t>
      </w:r>
      <w:r>
        <w:rPr>
          <w:i/>
          <w:sz w:val="24"/>
        </w:rPr>
        <w:t>Registered Participants </w:t>
      </w:r>
      <w:r>
        <w:rPr>
          <w:sz w:val="24"/>
        </w:rPr>
        <w:t>with a financial interest in the </w:t>
      </w:r>
      <w:r>
        <w:rPr>
          <w:i/>
          <w:sz w:val="24"/>
        </w:rPr>
        <w:t>metering installation </w:t>
      </w:r>
      <w:r>
        <w:rPr>
          <w:sz w:val="24"/>
        </w:rPr>
        <w:t>or the </w:t>
      </w:r>
      <w:r>
        <w:rPr>
          <w:i/>
          <w:sz w:val="24"/>
        </w:rPr>
        <w:t>energy </w:t>
      </w:r>
      <w:r>
        <w:rPr>
          <w:sz w:val="24"/>
        </w:rPr>
        <w:t>measured by the </w:t>
      </w:r>
      <w:r>
        <w:rPr>
          <w:i/>
          <w:sz w:val="24"/>
        </w:rPr>
        <w:t>metering installation </w:t>
      </w:r>
      <w:r>
        <w:rPr>
          <w:sz w:val="24"/>
        </w:rPr>
        <w:t>must liaise together to determine the most appropriate way to resolve the</w:t>
      </w:r>
      <w:r>
        <w:rPr>
          <w:spacing w:val="-4"/>
          <w:sz w:val="24"/>
        </w:rPr>
        <w:t> </w:t>
      </w:r>
      <w:r>
        <w:rPr>
          <w:sz w:val="24"/>
        </w:rPr>
        <w:t>discrepancy.</w:t>
      </w:r>
    </w:p>
    <w:p>
      <w:pPr>
        <w:pStyle w:val="ListParagraph"/>
        <w:numPr>
          <w:ilvl w:val="0"/>
          <w:numId w:val="497"/>
        </w:numPr>
        <w:tabs>
          <w:tab w:pos="1919" w:val="left" w:leader="none"/>
        </w:tabs>
        <w:spacing w:line="240" w:lineRule="auto" w:before="120" w:after="0"/>
        <w:ind w:left="1919" w:right="415" w:hanging="567"/>
        <w:jc w:val="both"/>
        <w:rPr>
          <w:sz w:val="24"/>
        </w:rPr>
      </w:pPr>
      <w:r>
        <w:rPr>
          <w:sz w:val="24"/>
        </w:rPr>
        <w:t>If there are inconsistencies between data held in a </w:t>
      </w:r>
      <w:r>
        <w:rPr>
          <w:i/>
          <w:sz w:val="24"/>
        </w:rPr>
        <w:t>metering installation </w:t>
      </w:r>
      <w:r>
        <w:rPr>
          <w:sz w:val="24"/>
        </w:rPr>
        <w:t>and data held in the </w:t>
      </w:r>
      <w:r>
        <w:rPr>
          <w:i/>
          <w:sz w:val="24"/>
        </w:rPr>
        <w:t>metering database</w:t>
      </w:r>
      <w:r>
        <w:rPr>
          <w:sz w:val="24"/>
        </w:rPr>
        <w:t>, the data held in the </w:t>
      </w:r>
      <w:r>
        <w:rPr>
          <w:i/>
          <w:sz w:val="24"/>
        </w:rPr>
        <w:t>metering installation </w:t>
      </w:r>
      <w:r>
        <w:rPr>
          <w:sz w:val="24"/>
        </w:rPr>
        <w:t>is to be taken as prima facie evidence of the </w:t>
      </w:r>
      <w:r>
        <w:rPr>
          <w:i/>
          <w:sz w:val="24"/>
        </w:rPr>
        <w:t>connection point's energy </w:t>
      </w:r>
      <w:r>
        <w:rPr>
          <w:i/>
          <w:spacing w:val="-3"/>
          <w:sz w:val="24"/>
        </w:rPr>
        <w:t>data</w:t>
      </w:r>
      <w:r>
        <w:rPr>
          <w:spacing w:val="-3"/>
          <w:sz w:val="24"/>
        </w:rPr>
        <w:t>, </w:t>
      </w:r>
      <w:r>
        <w:rPr>
          <w:sz w:val="24"/>
        </w:rPr>
        <w:t>except if the </w:t>
      </w:r>
      <w:r>
        <w:rPr>
          <w:i/>
          <w:sz w:val="24"/>
        </w:rPr>
        <w:t>meter </w:t>
      </w:r>
      <w:r>
        <w:rPr>
          <w:sz w:val="24"/>
        </w:rPr>
        <w:t>or components of the </w:t>
      </w:r>
      <w:r>
        <w:rPr>
          <w:i/>
          <w:sz w:val="24"/>
        </w:rPr>
        <w:t>metering installation </w:t>
      </w:r>
      <w:r>
        <w:rPr>
          <w:sz w:val="24"/>
        </w:rPr>
        <w:t>are found to be non- compliant with the</w:t>
      </w:r>
      <w:r>
        <w:rPr>
          <w:spacing w:val="-2"/>
          <w:sz w:val="24"/>
        </w:rPr>
        <w:t> </w:t>
      </w:r>
      <w:r>
        <w:rPr>
          <w:i/>
          <w:sz w:val="24"/>
        </w:rPr>
        <w:t>Rules</w:t>
      </w:r>
      <w:r>
        <w:rPr>
          <w:sz w:val="24"/>
        </w:rPr>
        <w:t>.</w:t>
      </w:r>
    </w:p>
    <w:p>
      <w:pPr>
        <w:pStyle w:val="ListParagraph"/>
        <w:numPr>
          <w:ilvl w:val="0"/>
          <w:numId w:val="497"/>
        </w:numPr>
        <w:tabs>
          <w:tab w:pos="1919" w:val="left" w:leader="none"/>
        </w:tabs>
        <w:spacing w:line="240" w:lineRule="auto" w:before="120" w:after="0"/>
        <w:ind w:left="1918" w:right="0" w:hanging="567"/>
        <w:jc w:val="both"/>
        <w:rPr>
          <w:sz w:val="24"/>
        </w:rPr>
      </w:pPr>
      <w:r>
        <w:rPr>
          <w:sz w:val="24"/>
        </w:rPr>
        <w:t>The cost of any audit conducted under paragraph (b) will be borne</w:t>
      </w:r>
      <w:r>
        <w:rPr>
          <w:spacing w:val="-6"/>
          <w:sz w:val="24"/>
        </w:rPr>
        <w:t> </w:t>
      </w:r>
      <w:r>
        <w:rPr>
          <w:sz w:val="24"/>
        </w:rPr>
        <w:t>by:</w:t>
      </w:r>
    </w:p>
    <w:p>
      <w:pPr>
        <w:pStyle w:val="ListParagraph"/>
        <w:numPr>
          <w:ilvl w:val="1"/>
          <w:numId w:val="497"/>
        </w:numPr>
        <w:tabs>
          <w:tab w:pos="2486" w:val="left" w:leader="none"/>
        </w:tabs>
        <w:spacing w:line="240" w:lineRule="auto" w:before="120" w:after="0"/>
        <w:ind w:left="2485" w:right="0" w:hanging="567"/>
        <w:jc w:val="both"/>
        <w:rPr>
          <w:sz w:val="24"/>
        </w:rPr>
      </w:pPr>
      <w:r>
        <w:rPr>
          <w:sz w:val="24"/>
        </w:rPr>
        <w:t>if paragraph (c) applies, the </w:t>
      </w:r>
      <w:r>
        <w:rPr>
          <w:i/>
          <w:sz w:val="24"/>
        </w:rPr>
        <w:t>Metering Coordinator</w:t>
      </w:r>
      <w:r>
        <w:rPr>
          <w:sz w:val="24"/>
        </w:rPr>
        <w:t>;</w:t>
      </w:r>
      <w:r>
        <w:rPr>
          <w:spacing w:val="-1"/>
          <w:sz w:val="24"/>
        </w:rPr>
        <w:t> </w:t>
      </w:r>
      <w:r>
        <w:rPr>
          <w:sz w:val="24"/>
        </w:rPr>
        <w:t>or</w:t>
      </w:r>
    </w:p>
    <w:p>
      <w:pPr>
        <w:pStyle w:val="ListParagraph"/>
        <w:numPr>
          <w:ilvl w:val="1"/>
          <w:numId w:val="497"/>
        </w:numPr>
        <w:tabs>
          <w:tab w:pos="2486" w:val="left" w:leader="none"/>
        </w:tabs>
        <w:spacing w:line="240" w:lineRule="auto" w:before="120" w:after="0"/>
        <w:ind w:left="2485" w:right="0" w:hanging="567"/>
        <w:jc w:val="both"/>
        <w:rPr>
          <w:sz w:val="24"/>
        </w:rPr>
      </w:pPr>
      <w:r>
        <w:rPr>
          <w:sz w:val="24"/>
        </w:rPr>
        <w:t>otherwise,</w:t>
      </w:r>
      <w:r>
        <w:rPr>
          <w:spacing w:val="15"/>
          <w:sz w:val="24"/>
        </w:rPr>
        <w:t> </w:t>
      </w:r>
      <w:r>
        <w:rPr>
          <w:sz w:val="24"/>
        </w:rPr>
        <w:t>the</w:t>
      </w:r>
      <w:r>
        <w:rPr>
          <w:spacing w:val="16"/>
          <w:sz w:val="24"/>
        </w:rPr>
        <w:t> </w:t>
      </w:r>
      <w:r>
        <w:rPr>
          <w:i/>
          <w:sz w:val="24"/>
        </w:rPr>
        <w:t>Registered</w:t>
      </w:r>
      <w:r>
        <w:rPr>
          <w:i/>
          <w:spacing w:val="16"/>
          <w:sz w:val="24"/>
        </w:rPr>
        <w:t> </w:t>
      </w:r>
      <w:r>
        <w:rPr>
          <w:i/>
          <w:sz w:val="24"/>
        </w:rPr>
        <w:t>Participant</w:t>
      </w:r>
      <w:r>
        <w:rPr>
          <w:i/>
          <w:spacing w:val="16"/>
          <w:sz w:val="24"/>
        </w:rPr>
        <w:t> </w:t>
      </w:r>
      <w:r>
        <w:rPr>
          <w:sz w:val="24"/>
        </w:rPr>
        <w:t>who</w:t>
      </w:r>
      <w:r>
        <w:rPr>
          <w:spacing w:val="16"/>
          <w:sz w:val="24"/>
        </w:rPr>
        <w:t> </w:t>
      </w:r>
      <w:r>
        <w:rPr>
          <w:sz w:val="24"/>
        </w:rPr>
        <w:t>requested</w:t>
      </w:r>
      <w:r>
        <w:rPr>
          <w:spacing w:val="15"/>
          <w:sz w:val="24"/>
        </w:rPr>
        <w:t> </w:t>
      </w:r>
      <w:r>
        <w:rPr>
          <w:sz w:val="24"/>
        </w:rPr>
        <w:t>the</w:t>
      </w:r>
      <w:r>
        <w:rPr>
          <w:spacing w:val="16"/>
          <w:sz w:val="24"/>
        </w:rPr>
        <w:t> </w:t>
      </w:r>
      <w:r>
        <w:rPr>
          <w:sz w:val="24"/>
        </w:rPr>
        <w:t>audit</w:t>
      </w:r>
      <w:r>
        <w:rPr>
          <w:spacing w:val="16"/>
          <w:sz w:val="24"/>
        </w:rPr>
        <w:t> </w:t>
      </w:r>
      <w:r>
        <w:rPr>
          <w:sz w:val="24"/>
        </w:rPr>
        <w:t>or</w:t>
      </w:r>
    </w:p>
    <w:p>
      <w:pPr>
        <w:spacing w:before="0"/>
        <w:ind w:left="2486" w:right="0" w:firstLine="0"/>
        <w:jc w:val="both"/>
        <w:rPr>
          <w:sz w:val="24"/>
        </w:rPr>
      </w:pPr>
      <w:r>
        <w:rPr>
          <w:i/>
          <w:sz w:val="24"/>
        </w:rPr>
        <w:t>NTESMO</w:t>
      </w:r>
      <w:r>
        <w:rPr>
          <w:sz w:val="24"/>
        </w:rPr>
        <w:t>, as the case may be.</w:t>
      </w:r>
    </w:p>
    <w:p>
      <w:pPr>
        <w:pStyle w:val="BodyText"/>
        <w:spacing w:before="10"/>
        <w:ind w:firstLine="0"/>
        <w:jc w:val="left"/>
        <w:rPr>
          <w:sz w:val="20"/>
        </w:rPr>
      </w:pPr>
    </w:p>
    <w:p>
      <w:pPr>
        <w:pStyle w:val="Heading4"/>
        <w:tabs>
          <w:tab w:pos="1351" w:val="left" w:leader="none"/>
        </w:tabs>
        <w:ind w:left="218" w:firstLine="0"/>
      </w:pPr>
      <w:bookmarkStart w:name="7A.7.5 Appointment of external auditor" w:id="1779"/>
      <w:bookmarkEnd w:id="1779"/>
      <w:r>
        <w:rPr>
          <w:b w:val="0"/>
        </w:rPr>
      </w:r>
      <w:bookmarkStart w:name="_bookmark715" w:id="1780"/>
      <w:bookmarkEnd w:id="1780"/>
      <w:r>
        <w:rPr>
          <w:b w:val="0"/>
        </w:rPr>
      </w:r>
      <w:r>
        <w:rPr/>
        <w:t>7A.7.5</w:t>
        <w:tab/>
        <w:t>Appointment of external</w:t>
      </w:r>
      <w:r>
        <w:rPr>
          <w:spacing w:val="-3"/>
        </w:rPr>
        <w:t> </w:t>
      </w:r>
      <w:r>
        <w:rPr/>
        <w:t>auditor</w:t>
      </w:r>
    </w:p>
    <w:p>
      <w:pPr>
        <w:pStyle w:val="ListParagraph"/>
        <w:numPr>
          <w:ilvl w:val="0"/>
          <w:numId w:val="498"/>
        </w:numPr>
        <w:tabs>
          <w:tab w:pos="1919" w:val="left" w:leader="none"/>
        </w:tabs>
        <w:spacing w:line="240" w:lineRule="auto" w:before="120" w:after="0"/>
        <w:ind w:left="1919" w:right="415" w:hanging="567"/>
        <w:jc w:val="both"/>
        <w:rPr>
          <w:sz w:val="24"/>
        </w:rPr>
      </w:pPr>
      <w:r>
        <w:rPr>
          <w:sz w:val="24"/>
        </w:rPr>
        <w:t>The </w:t>
      </w:r>
      <w:r>
        <w:rPr>
          <w:i/>
          <w:sz w:val="24"/>
        </w:rPr>
        <w:t>Utilities Commission </w:t>
      </w:r>
      <w:r>
        <w:rPr>
          <w:sz w:val="24"/>
        </w:rPr>
        <w:t>may, upon reasonable notice to the </w:t>
      </w:r>
      <w:r>
        <w:rPr>
          <w:i/>
          <w:sz w:val="24"/>
        </w:rPr>
        <w:t>Metering </w:t>
      </w:r>
      <w:r>
        <w:rPr>
          <w:i/>
          <w:sz w:val="24"/>
        </w:rPr>
        <w:t>Coordinator</w:t>
      </w:r>
      <w:r>
        <w:rPr>
          <w:sz w:val="24"/>
        </w:rPr>
        <w:t>, appoint an independent auditor to audit </w:t>
      </w:r>
      <w:r>
        <w:rPr>
          <w:i/>
          <w:sz w:val="24"/>
        </w:rPr>
        <w:t>metering installations </w:t>
      </w:r>
      <w:r>
        <w:rPr>
          <w:sz w:val="24"/>
        </w:rPr>
        <w:t>to confirm compliance with the</w:t>
      </w:r>
      <w:r>
        <w:rPr>
          <w:spacing w:val="-3"/>
          <w:sz w:val="24"/>
        </w:rPr>
        <w:t> </w:t>
      </w:r>
      <w:r>
        <w:rPr>
          <w:i/>
          <w:sz w:val="24"/>
        </w:rPr>
        <w:t>Rules</w:t>
      </w:r>
      <w:r>
        <w:rPr>
          <w:sz w:val="24"/>
        </w:rPr>
        <w:t>.</w:t>
      </w:r>
    </w:p>
    <w:p>
      <w:pPr>
        <w:pStyle w:val="ListParagraph"/>
        <w:numPr>
          <w:ilvl w:val="0"/>
          <w:numId w:val="498"/>
        </w:numPr>
        <w:tabs>
          <w:tab w:pos="1919" w:val="left" w:leader="none"/>
        </w:tabs>
        <w:spacing w:line="240" w:lineRule="auto" w:before="120" w:after="0"/>
        <w:ind w:left="1919" w:right="415" w:hanging="567"/>
        <w:jc w:val="both"/>
        <w:rPr>
          <w:sz w:val="24"/>
        </w:rPr>
      </w:pPr>
      <w:r>
        <w:rPr>
          <w:sz w:val="24"/>
        </w:rPr>
        <w:t>If the </w:t>
      </w:r>
      <w:r>
        <w:rPr>
          <w:i/>
          <w:sz w:val="24"/>
        </w:rPr>
        <w:t>Utilities Commission </w:t>
      </w:r>
      <w:r>
        <w:rPr>
          <w:sz w:val="24"/>
        </w:rPr>
        <w:t>appoints an independent auditor under paragraph (a):</w:t>
      </w:r>
    </w:p>
    <w:p>
      <w:pPr>
        <w:pStyle w:val="ListParagraph"/>
        <w:numPr>
          <w:ilvl w:val="1"/>
          <w:numId w:val="498"/>
        </w:numPr>
        <w:tabs>
          <w:tab w:pos="2486" w:val="left" w:leader="none"/>
        </w:tabs>
        <w:spacing w:line="240" w:lineRule="auto" w:before="120" w:after="0"/>
        <w:ind w:left="2486" w:right="415" w:hanging="567"/>
        <w:jc w:val="both"/>
        <w:rPr>
          <w:sz w:val="24"/>
        </w:rPr>
      </w:pPr>
      <w:r>
        <w:rPr>
          <w:sz w:val="24"/>
        </w:rPr>
        <w:t>the </w:t>
      </w:r>
      <w:r>
        <w:rPr>
          <w:i/>
          <w:sz w:val="24"/>
        </w:rPr>
        <w:t>Utilities Commission </w:t>
      </w:r>
      <w:r>
        <w:rPr>
          <w:sz w:val="24"/>
        </w:rPr>
        <w:t>will nominate the standards and requirements and the auditor will report in accordance with those standards and requirements;</w:t>
      </w:r>
      <w:r>
        <w:rPr>
          <w:spacing w:val="-1"/>
          <w:sz w:val="24"/>
        </w:rPr>
        <w:t> </w:t>
      </w:r>
      <w:r>
        <w:rPr>
          <w:sz w:val="24"/>
        </w:rPr>
        <w:t>and</w:t>
      </w:r>
    </w:p>
    <w:p>
      <w:pPr>
        <w:pStyle w:val="ListParagraph"/>
        <w:numPr>
          <w:ilvl w:val="1"/>
          <w:numId w:val="498"/>
        </w:numPr>
        <w:tabs>
          <w:tab w:pos="2486" w:val="left" w:leader="none"/>
        </w:tabs>
        <w:spacing w:line="240" w:lineRule="auto" w:before="120" w:after="0"/>
        <w:ind w:left="2486" w:right="415" w:hanging="567"/>
        <w:jc w:val="both"/>
        <w:rPr>
          <w:sz w:val="24"/>
        </w:rPr>
      </w:pPr>
      <w:r>
        <w:rPr>
          <w:sz w:val="24"/>
        </w:rPr>
        <w:t>the </w:t>
      </w:r>
      <w:r>
        <w:rPr>
          <w:i/>
          <w:sz w:val="24"/>
        </w:rPr>
        <w:t>Metering Coordinator </w:t>
      </w:r>
      <w:r>
        <w:rPr>
          <w:sz w:val="24"/>
        </w:rPr>
        <w:t>must cooperate with any reasonable requests made by the independent auditor in undertaking the</w:t>
      </w:r>
      <w:r>
        <w:rPr>
          <w:spacing w:val="-4"/>
          <w:sz w:val="24"/>
        </w:rPr>
        <w:t> </w:t>
      </w:r>
      <w:r>
        <w:rPr>
          <w:sz w:val="24"/>
        </w:rPr>
        <w:t>audit.</w:t>
      </w:r>
    </w:p>
    <w:p>
      <w:pPr>
        <w:pStyle w:val="ListParagraph"/>
        <w:numPr>
          <w:ilvl w:val="0"/>
          <w:numId w:val="498"/>
        </w:numPr>
        <w:tabs>
          <w:tab w:pos="1919" w:val="left" w:leader="none"/>
        </w:tabs>
        <w:spacing w:line="240" w:lineRule="auto" w:before="120" w:after="0"/>
        <w:ind w:left="1918" w:right="0" w:hanging="567"/>
        <w:jc w:val="both"/>
        <w:rPr>
          <w:sz w:val="24"/>
        </w:rPr>
      </w:pPr>
      <w:r>
        <w:rPr>
          <w:sz w:val="24"/>
        </w:rPr>
        <w:t>The </w:t>
      </w:r>
      <w:r>
        <w:rPr>
          <w:i/>
          <w:sz w:val="24"/>
        </w:rPr>
        <w:t>Utilities Commission </w:t>
      </w:r>
      <w:r>
        <w:rPr>
          <w:sz w:val="24"/>
        </w:rPr>
        <w:t>will provide a copy of the auditor's report</w:t>
      </w:r>
      <w:r>
        <w:rPr>
          <w:spacing w:val="-8"/>
          <w:sz w:val="24"/>
        </w:rPr>
        <w:t> </w:t>
      </w:r>
      <w:r>
        <w:rPr>
          <w:sz w:val="24"/>
        </w:rPr>
        <w:t>to:</w:t>
      </w:r>
    </w:p>
    <w:p>
      <w:pPr>
        <w:pStyle w:val="ListParagraph"/>
        <w:numPr>
          <w:ilvl w:val="1"/>
          <w:numId w:val="498"/>
        </w:numPr>
        <w:tabs>
          <w:tab w:pos="2486" w:val="left" w:leader="none"/>
        </w:tabs>
        <w:spacing w:line="240" w:lineRule="auto" w:before="120" w:after="0"/>
        <w:ind w:left="2485" w:right="0" w:hanging="567"/>
        <w:jc w:val="both"/>
        <w:rPr>
          <w:sz w:val="24"/>
        </w:rPr>
      </w:pPr>
      <w:r>
        <w:rPr>
          <w:sz w:val="24"/>
        </w:rPr>
        <w:t>the </w:t>
      </w:r>
      <w:r>
        <w:rPr>
          <w:i/>
          <w:sz w:val="24"/>
        </w:rPr>
        <w:t>Metering</w:t>
      </w:r>
      <w:r>
        <w:rPr>
          <w:i/>
          <w:spacing w:val="-1"/>
          <w:sz w:val="24"/>
        </w:rPr>
        <w:t> </w:t>
      </w:r>
      <w:r>
        <w:rPr>
          <w:i/>
          <w:sz w:val="24"/>
        </w:rPr>
        <w:t>Coordinator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498"/>
        </w:numPr>
        <w:tabs>
          <w:tab w:pos="2485" w:val="left" w:leader="none"/>
          <w:tab w:pos="2486" w:val="left" w:leader="none"/>
        </w:tabs>
        <w:spacing w:line="240" w:lineRule="auto" w:before="83" w:after="0"/>
        <w:ind w:left="2485" w:right="0" w:hanging="567"/>
        <w:jc w:val="left"/>
        <w:rPr>
          <w:sz w:val="24"/>
        </w:rPr>
      </w:pPr>
      <w:r>
        <w:rPr>
          <w:i/>
          <w:sz w:val="24"/>
        </w:rPr>
        <w:t>NTESMO</w:t>
      </w:r>
      <w:r>
        <w:rPr>
          <w:sz w:val="24"/>
        </w:rPr>
        <w:t>;</w:t>
      </w:r>
      <w:r>
        <w:rPr>
          <w:spacing w:val="-2"/>
          <w:sz w:val="24"/>
        </w:rPr>
        <w:t> </w:t>
      </w:r>
      <w:r>
        <w:rPr>
          <w:sz w:val="24"/>
        </w:rPr>
        <w:t>and</w:t>
      </w:r>
    </w:p>
    <w:p>
      <w:pPr>
        <w:pStyle w:val="ListParagraph"/>
        <w:numPr>
          <w:ilvl w:val="1"/>
          <w:numId w:val="498"/>
        </w:numPr>
        <w:tabs>
          <w:tab w:pos="2486" w:val="left" w:leader="none"/>
        </w:tabs>
        <w:spacing w:line="240" w:lineRule="auto" w:before="120" w:after="0"/>
        <w:ind w:left="2486" w:right="416" w:hanging="567"/>
        <w:jc w:val="both"/>
        <w:rPr>
          <w:sz w:val="24"/>
        </w:rPr>
      </w:pPr>
      <w:r>
        <w:rPr>
          <w:sz w:val="24"/>
        </w:rPr>
        <w:t>the relevant financially responsible participant, as soon as reasonably possible after it has been</w:t>
      </w:r>
      <w:r>
        <w:rPr>
          <w:spacing w:val="-1"/>
          <w:sz w:val="24"/>
        </w:rPr>
        <w:t> </w:t>
      </w:r>
      <w:r>
        <w:rPr>
          <w:sz w:val="24"/>
        </w:rPr>
        <w:t>completed.</w:t>
      </w:r>
    </w:p>
    <w:p>
      <w:pPr>
        <w:pStyle w:val="ListParagraph"/>
        <w:numPr>
          <w:ilvl w:val="0"/>
          <w:numId w:val="498"/>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the </w:t>
      </w:r>
      <w:r>
        <w:rPr>
          <w:i/>
          <w:sz w:val="24"/>
        </w:rPr>
        <w:t>Utilities Commission</w:t>
      </w:r>
      <w:r>
        <w:rPr>
          <w:sz w:val="24"/>
        </w:rPr>
        <w:t>(or its agents) have unrestricted access to </w:t>
      </w:r>
      <w:r>
        <w:rPr>
          <w:i/>
          <w:sz w:val="24"/>
        </w:rPr>
        <w:t>metering installations </w:t>
      </w:r>
      <w:r>
        <w:rPr>
          <w:sz w:val="24"/>
        </w:rPr>
        <w:t>for the purpose of carrying out external audits provided that the </w:t>
      </w:r>
      <w:r>
        <w:rPr>
          <w:i/>
          <w:sz w:val="24"/>
        </w:rPr>
        <w:t>Utilities Commission </w:t>
      </w:r>
      <w:r>
        <w:rPr>
          <w:sz w:val="24"/>
        </w:rPr>
        <w:t>agrees to comply with the </w:t>
      </w:r>
      <w:r>
        <w:rPr>
          <w:i/>
          <w:sz w:val="24"/>
        </w:rPr>
        <w:t>Metering Coordinator's </w:t>
      </w:r>
      <w:r>
        <w:rPr>
          <w:sz w:val="24"/>
        </w:rPr>
        <w:t>reasonable security and safety requirements and has first given the </w:t>
      </w:r>
      <w:r>
        <w:rPr>
          <w:i/>
          <w:sz w:val="24"/>
        </w:rPr>
        <w:t>Metering Coordinator </w:t>
      </w:r>
      <w:r>
        <w:rPr>
          <w:sz w:val="24"/>
        </w:rPr>
        <w:t>at least 2 </w:t>
      </w:r>
      <w:r>
        <w:rPr>
          <w:i/>
          <w:sz w:val="24"/>
        </w:rPr>
        <w:t>business days </w:t>
      </w:r>
      <w:r>
        <w:rPr>
          <w:sz w:val="24"/>
        </w:rPr>
        <w:t>notice of its intention to carry out an</w:t>
      </w:r>
      <w:r>
        <w:rPr>
          <w:spacing w:val="-2"/>
          <w:sz w:val="24"/>
        </w:rPr>
        <w:t> </w:t>
      </w:r>
      <w:r>
        <w:rPr>
          <w:sz w:val="24"/>
        </w:rPr>
        <w:t>audit.</w:t>
      </w:r>
    </w:p>
    <w:p>
      <w:pPr>
        <w:pStyle w:val="ListParagraph"/>
        <w:numPr>
          <w:ilvl w:val="0"/>
          <w:numId w:val="498"/>
        </w:numPr>
        <w:tabs>
          <w:tab w:pos="1919" w:val="left" w:leader="none"/>
        </w:tabs>
        <w:spacing w:line="240" w:lineRule="auto" w:before="120" w:after="0"/>
        <w:ind w:left="1918" w:right="0" w:hanging="567"/>
        <w:jc w:val="both"/>
        <w:rPr>
          <w:sz w:val="24"/>
        </w:rPr>
      </w:pPr>
      <w:r>
        <w:rPr>
          <w:sz w:val="24"/>
        </w:rPr>
        <w:t>A notice under paragraph (d) must</w:t>
      </w:r>
      <w:r>
        <w:rPr>
          <w:spacing w:val="-1"/>
          <w:sz w:val="24"/>
        </w:rPr>
        <w:t> </w:t>
      </w:r>
      <w:r>
        <w:rPr>
          <w:sz w:val="24"/>
        </w:rPr>
        <w:t>include:</w:t>
      </w:r>
    </w:p>
    <w:p>
      <w:pPr>
        <w:pStyle w:val="ListParagraph"/>
        <w:numPr>
          <w:ilvl w:val="1"/>
          <w:numId w:val="498"/>
        </w:numPr>
        <w:tabs>
          <w:tab w:pos="2486" w:val="left" w:leader="none"/>
        </w:tabs>
        <w:spacing w:line="240" w:lineRule="auto" w:before="120" w:after="0"/>
        <w:ind w:left="2486" w:right="415" w:hanging="567"/>
        <w:jc w:val="both"/>
        <w:rPr>
          <w:sz w:val="24"/>
        </w:rPr>
      </w:pPr>
      <w:r>
        <w:rPr>
          <w:sz w:val="24"/>
        </w:rPr>
        <w:t>the name of the representative who will be conducting the audit </w:t>
      </w:r>
      <w:r>
        <w:rPr>
          <w:spacing w:val="-6"/>
          <w:sz w:val="24"/>
        </w:rPr>
        <w:t>on </w:t>
      </w:r>
      <w:r>
        <w:rPr>
          <w:sz w:val="24"/>
        </w:rPr>
        <w:t>behalf of the </w:t>
      </w:r>
      <w:r>
        <w:rPr>
          <w:i/>
          <w:sz w:val="24"/>
        </w:rPr>
        <w:t>Utilities Commission</w:t>
      </w:r>
      <w:r>
        <w:rPr>
          <w:sz w:val="24"/>
        </w:rPr>
        <w:t>;</w:t>
      </w:r>
      <w:r>
        <w:rPr>
          <w:spacing w:val="-2"/>
          <w:sz w:val="24"/>
        </w:rPr>
        <w:t> </w:t>
      </w:r>
      <w:r>
        <w:rPr>
          <w:sz w:val="24"/>
        </w:rPr>
        <w:t>and</w:t>
      </w:r>
    </w:p>
    <w:p>
      <w:pPr>
        <w:pStyle w:val="ListParagraph"/>
        <w:numPr>
          <w:ilvl w:val="1"/>
          <w:numId w:val="498"/>
        </w:numPr>
        <w:tabs>
          <w:tab w:pos="2486" w:val="left" w:leader="none"/>
        </w:tabs>
        <w:spacing w:line="240" w:lineRule="auto" w:before="120" w:after="0"/>
        <w:ind w:left="2486" w:right="415" w:hanging="567"/>
        <w:jc w:val="both"/>
        <w:rPr>
          <w:sz w:val="24"/>
        </w:rPr>
      </w:pPr>
      <w:r>
        <w:rPr>
          <w:sz w:val="24"/>
        </w:rPr>
        <w:t>the time when the audit will commence and the expected time when the audit will</w:t>
      </w:r>
      <w:r>
        <w:rPr>
          <w:spacing w:val="-2"/>
          <w:sz w:val="24"/>
        </w:rPr>
        <w:t> </w:t>
      </w:r>
      <w:r>
        <w:rPr>
          <w:sz w:val="24"/>
        </w:rPr>
        <w:t>conclude.</w:t>
      </w:r>
    </w:p>
    <w:p>
      <w:pPr>
        <w:pStyle w:val="ListParagraph"/>
        <w:numPr>
          <w:ilvl w:val="0"/>
          <w:numId w:val="498"/>
        </w:numPr>
        <w:tabs>
          <w:tab w:pos="1920" w:val="left" w:leader="none"/>
        </w:tabs>
        <w:spacing w:line="240" w:lineRule="auto" w:before="120" w:after="0"/>
        <w:ind w:left="1919" w:right="415" w:hanging="567"/>
        <w:jc w:val="both"/>
        <w:rPr>
          <w:sz w:val="24"/>
        </w:rPr>
      </w:pPr>
      <w:r>
        <w:rPr>
          <w:sz w:val="24"/>
        </w:rPr>
        <w:t>The </w:t>
      </w:r>
      <w:r>
        <w:rPr>
          <w:i/>
          <w:sz w:val="24"/>
        </w:rPr>
        <w:t>Metering Coordinator </w:t>
      </w:r>
      <w:r>
        <w:rPr>
          <w:sz w:val="24"/>
        </w:rPr>
        <w:t>will be responsible for the costs of undertaking the audit.</w:t>
      </w:r>
    </w:p>
    <w:p>
      <w:pPr>
        <w:pStyle w:val="BodyText"/>
        <w:spacing w:before="10"/>
        <w:ind w:firstLine="0"/>
        <w:jc w:val="left"/>
        <w:rPr>
          <w:sz w:val="20"/>
        </w:rPr>
      </w:pPr>
    </w:p>
    <w:p>
      <w:pPr>
        <w:pStyle w:val="Heading4"/>
        <w:tabs>
          <w:tab w:pos="1351" w:val="left" w:leader="none"/>
        </w:tabs>
        <w:ind w:left="218" w:firstLine="0"/>
      </w:pPr>
      <w:bookmarkStart w:name="7A.7.6 Errors found in metering tests, i" w:id="1781"/>
      <w:bookmarkEnd w:id="1781"/>
      <w:r>
        <w:rPr>
          <w:b w:val="0"/>
        </w:rPr>
      </w:r>
      <w:bookmarkStart w:name="_bookmark716" w:id="1782"/>
      <w:bookmarkEnd w:id="1782"/>
      <w:r>
        <w:rPr>
          <w:b w:val="0"/>
        </w:rPr>
      </w:r>
      <w:r>
        <w:rPr/>
        <w:t>7A.7.6</w:t>
        <w:tab/>
        <w:t>Errors found in metering tests, inspections or</w:t>
      </w:r>
      <w:r>
        <w:rPr>
          <w:spacing w:val="-2"/>
        </w:rPr>
        <w:t> </w:t>
      </w:r>
      <w:r>
        <w:rPr/>
        <w:t>audits</w:t>
      </w:r>
    </w:p>
    <w:p>
      <w:pPr>
        <w:pStyle w:val="ListParagraph"/>
        <w:numPr>
          <w:ilvl w:val="0"/>
          <w:numId w:val="499"/>
        </w:numPr>
        <w:tabs>
          <w:tab w:pos="1919" w:val="left" w:leader="none"/>
        </w:tabs>
        <w:spacing w:line="240" w:lineRule="auto" w:before="120" w:after="0"/>
        <w:ind w:left="1919" w:right="414" w:hanging="567"/>
        <w:jc w:val="both"/>
        <w:rPr>
          <w:sz w:val="24"/>
        </w:rPr>
      </w:pPr>
      <w:r>
        <w:rPr>
          <w:sz w:val="24"/>
        </w:rPr>
        <w:t>Subject to paragraph (c), if a </w:t>
      </w:r>
      <w:r>
        <w:rPr>
          <w:i/>
          <w:sz w:val="24"/>
        </w:rPr>
        <w:t>metering installation </w:t>
      </w:r>
      <w:r>
        <w:rPr>
          <w:sz w:val="24"/>
        </w:rPr>
        <w:t>test, inspection or </w:t>
      </w:r>
      <w:r>
        <w:rPr>
          <w:spacing w:val="-3"/>
          <w:sz w:val="24"/>
        </w:rPr>
        <w:t>audit, </w:t>
      </w:r>
      <w:r>
        <w:rPr>
          <w:sz w:val="24"/>
        </w:rPr>
        <w:t>carried out in accordance with this rule, demonstrates errors in excess of those prescribed in schedule 7A.4, the </w:t>
      </w:r>
      <w:r>
        <w:rPr>
          <w:i/>
          <w:sz w:val="24"/>
        </w:rPr>
        <w:t>Metering Coordinator </w:t>
      </w:r>
      <w:r>
        <w:rPr>
          <w:sz w:val="24"/>
        </w:rPr>
        <w:t>must ensure the </w:t>
      </w:r>
      <w:r>
        <w:rPr>
          <w:i/>
          <w:sz w:val="24"/>
        </w:rPr>
        <w:t>metering data </w:t>
      </w:r>
      <w:r>
        <w:rPr>
          <w:sz w:val="24"/>
        </w:rPr>
        <w:t>is substituted in accordance with this clause and clause 7A.8.1 as</w:t>
      </w:r>
      <w:r>
        <w:rPr>
          <w:spacing w:val="-1"/>
          <w:sz w:val="24"/>
        </w:rPr>
        <w:t> </w:t>
      </w:r>
      <w:r>
        <w:rPr>
          <w:sz w:val="24"/>
        </w:rPr>
        <w:t>appropriate.</w:t>
      </w:r>
    </w:p>
    <w:p>
      <w:pPr>
        <w:pStyle w:val="ListParagraph"/>
        <w:numPr>
          <w:ilvl w:val="0"/>
          <w:numId w:val="499"/>
        </w:numPr>
        <w:tabs>
          <w:tab w:pos="1919" w:val="left" w:leader="none"/>
        </w:tabs>
        <w:spacing w:line="240" w:lineRule="auto" w:before="120" w:after="0"/>
        <w:ind w:left="1919" w:right="414" w:hanging="567"/>
        <w:jc w:val="both"/>
        <w:rPr>
          <w:sz w:val="24"/>
        </w:rPr>
      </w:pPr>
      <w:r>
        <w:rPr>
          <w:sz w:val="24"/>
        </w:rPr>
        <w:t>If the </w:t>
      </w:r>
      <w:r>
        <w:rPr>
          <w:i/>
          <w:sz w:val="24"/>
        </w:rPr>
        <w:t>Metering Coordinator </w:t>
      </w:r>
      <w:r>
        <w:rPr>
          <w:sz w:val="24"/>
        </w:rPr>
        <w:t>is not aware of the time at which the error arose:</w:t>
      </w:r>
    </w:p>
    <w:p>
      <w:pPr>
        <w:pStyle w:val="ListParagraph"/>
        <w:numPr>
          <w:ilvl w:val="1"/>
          <w:numId w:val="499"/>
        </w:numPr>
        <w:tabs>
          <w:tab w:pos="2486" w:val="left" w:leader="none"/>
        </w:tabs>
        <w:spacing w:line="240" w:lineRule="auto" w:before="120" w:after="0"/>
        <w:ind w:left="2486" w:right="414" w:hanging="567"/>
        <w:jc w:val="both"/>
        <w:rPr>
          <w:sz w:val="24"/>
        </w:rPr>
      </w:pPr>
      <w:r>
        <w:rPr>
          <w:sz w:val="24"/>
        </w:rPr>
        <w:t>the error is taken to have occurred at a time halfway between the time of the most recent test or inspection which demonstrated that the </w:t>
      </w:r>
      <w:r>
        <w:rPr>
          <w:i/>
          <w:sz w:val="24"/>
        </w:rPr>
        <w:t>metering installation </w:t>
      </w:r>
      <w:r>
        <w:rPr>
          <w:sz w:val="24"/>
        </w:rPr>
        <w:t>complied with the relevant accuracy requirement and the time when the error was detected;</w:t>
      </w:r>
      <w:r>
        <w:rPr>
          <w:spacing w:val="-5"/>
          <w:sz w:val="24"/>
        </w:rPr>
        <w:t> </w:t>
      </w:r>
      <w:r>
        <w:rPr>
          <w:sz w:val="24"/>
        </w:rPr>
        <w:t>and</w:t>
      </w:r>
    </w:p>
    <w:p>
      <w:pPr>
        <w:pStyle w:val="ListParagraph"/>
        <w:numPr>
          <w:ilvl w:val="1"/>
          <w:numId w:val="499"/>
        </w:numPr>
        <w:tabs>
          <w:tab w:pos="2486" w:val="left" w:leader="none"/>
        </w:tabs>
        <w:spacing w:line="240" w:lineRule="auto" w:before="120" w:after="0"/>
        <w:ind w:left="2486" w:right="414" w:hanging="567"/>
        <w:jc w:val="both"/>
        <w:rPr>
          <w:sz w:val="24"/>
        </w:rPr>
      </w:pPr>
      <w:r>
        <w:rPr>
          <w:sz w:val="24"/>
        </w:rPr>
        <w:t>the time that the error was taken to occur is to be used by the </w:t>
      </w:r>
      <w:r>
        <w:rPr>
          <w:i/>
          <w:sz w:val="24"/>
        </w:rPr>
        <w:t>Metering </w:t>
      </w:r>
      <w:r>
        <w:rPr>
          <w:i/>
          <w:sz w:val="24"/>
        </w:rPr>
        <w:t>Data Provider </w:t>
      </w:r>
      <w:r>
        <w:rPr>
          <w:sz w:val="24"/>
        </w:rPr>
        <w:t>in performing substitution of the </w:t>
      </w:r>
      <w:r>
        <w:rPr>
          <w:i/>
          <w:sz w:val="24"/>
        </w:rPr>
        <w:t>metering</w:t>
      </w:r>
      <w:r>
        <w:rPr>
          <w:i/>
          <w:spacing w:val="-10"/>
          <w:sz w:val="24"/>
        </w:rPr>
        <w:t> </w:t>
      </w:r>
      <w:r>
        <w:rPr>
          <w:i/>
          <w:sz w:val="24"/>
        </w:rPr>
        <w:t>data</w:t>
      </w:r>
      <w:r>
        <w:rPr>
          <w:sz w:val="24"/>
        </w:rPr>
        <w:t>.</w:t>
      </w:r>
    </w:p>
    <w:p>
      <w:pPr>
        <w:pStyle w:val="ListParagraph"/>
        <w:numPr>
          <w:ilvl w:val="0"/>
          <w:numId w:val="499"/>
        </w:numPr>
        <w:tabs>
          <w:tab w:pos="1919" w:val="left" w:leader="none"/>
        </w:tabs>
        <w:spacing w:line="240" w:lineRule="auto" w:before="120" w:after="0"/>
        <w:ind w:left="1919" w:right="414" w:hanging="567"/>
        <w:jc w:val="both"/>
        <w:rPr>
          <w:sz w:val="24"/>
        </w:rPr>
      </w:pPr>
      <w:r>
        <w:rPr>
          <w:sz w:val="24"/>
        </w:rPr>
        <w:t>If a test of a </w:t>
      </w:r>
      <w:r>
        <w:rPr>
          <w:i/>
          <w:sz w:val="24"/>
        </w:rPr>
        <w:t>metering installation </w:t>
      </w:r>
      <w:r>
        <w:rPr>
          <w:sz w:val="24"/>
        </w:rPr>
        <w:t>demonstrates an error of measurement of less than 1.5 times the error permitted by schedule 7A.4, no substitution of readings is</w:t>
      </w:r>
      <w:r>
        <w:rPr>
          <w:spacing w:val="-1"/>
          <w:sz w:val="24"/>
        </w:rPr>
        <w:t> </w:t>
      </w:r>
      <w:r>
        <w:rPr>
          <w:sz w:val="24"/>
        </w:rPr>
        <w:t>required.</w:t>
      </w:r>
    </w:p>
    <w:p>
      <w:pPr>
        <w:pStyle w:val="ListParagraph"/>
        <w:numPr>
          <w:ilvl w:val="0"/>
          <w:numId w:val="499"/>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arrange for a suitable substation of the incorrect </w:t>
      </w:r>
      <w:r>
        <w:rPr>
          <w:i/>
          <w:sz w:val="24"/>
        </w:rPr>
        <w:t>metering data </w:t>
      </w:r>
      <w:r>
        <w:rPr>
          <w:sz w:val="24"/>
        </w:rPr>
        <w:t>to be undertaken in accordance with the substitution requirements of schedule</w:t>
      </w:r>
      <w:r>
        <w:rPr>
          <w:spacing w:val="-2"/>
          <w:sz w:val="24"/>
        </w:rPr>
        <w:t> </w:t>
      </w:r>
      <w:r>
        <w:rPr>
          <w:sz w:val="24"/>
        </w:rPr>
        <w:t>7A.7.</w:t>
      </w:r>
    </w:p>
    <w:p>
      <w:pPr>
        <w:pStyle w:val="BodyText"/>
        <w:spacing w:before="10"/>
        <w:ind w:firstLine="0"/>
        <w:jc w:val="left"/>
        <w:rPr>
          <w:sz w:val="20"/>
        </w:rPr>
      </w:pPr>
    </w:p>
    <w:p>
      <w:pPr>
        <w:pStyle w:val="Heading4"/>
        <w:tabs>
          <w:tab w:pos="1351" w:val="left" w:leader="none"/>
        </w:tabs>
        <w:ind w:left="218" w:firstLine="0"/>
      </w:pPr>
      <w:bookmarkStart w:name="7A.7.7 Retention of test records and doc" w:id="1783"/>
      <w:bookmarkEnd w:id="1783"/>
      <w:r>
        <w:rPr>
          <w:b w:val="0"/>
        </w:rPr>
      </w:r>
      <w:bookmarkStart w:name="_bookmark717" w:id="1784"/>
      <w:bookmarkEnd w:id="1784"/>
      <w:r>
        <w:rPr>
          <w:b w:val="0"/>
        </w:rPr>
      </w:r>
      <w:r>
        <w:rPr/>
        <w:t>7A.7.7</w:t>
        <w:tab/>
        <w:t>Retention of test records and</w:t>
      </w:r>
      <w:r>
        <w:rPr>
          <w:spacing w:val="-6"/>
        </w:rPr>
        <w:t> </w:t>
      </w:r>
      <w:r>
        <w:rPr/>
        <w:t>documents</w:t>
      </w:r>
    </w:p>
    <w:p>
      <w:pPr>
        <w:pStyle w:val="ListParagraph"/>
        <w:numPr>
          <w:ilvl w:val="0"/>
          <w:numId w:val="500"/>
        </w:numPr>
        <w:tabs>
          <w:tab w:pos="1918" w:val="left" w:leader="none"/>
          <w:tab w:pos="1919" w:val="left" w:leader="none"/>
        </w:tabs>
        <w:spacing w:line="240" w:lineRule="auto" w:before="120" w:after="0"/>
        <w:ind w:left="1919" w:right="415" w:hanging="567"/>
        <w:jc w:val="left"/>
        <w:rPr>
          <w:sz w:val="24"/>
        </w:rPr>
      </w:pPr>
      <w:r>
        <w:rPr>
          <w:sz w:val="24"/>
        </w:rPr>
        <w:t>All records and documentation of tests prepared under or for this Chapter must be retained in accordance with this</w:t>
      </w:r>
      <w:r>
        <w:rPr>
          <w:spacing w:val="-2"/>
          <w:sz w:val="24"/>
        </w:rPr>
        <w:t> </w:t>
      </w:r>
      <w:r>
        <w:rPr>
          <w:sz w:val="24"/>
        </w:rPr>
        <w:t>clause.</w:t>
      </w:r>
    </w:p>
    <w:p>
      <w:pPr>
        <w:pStyle w:val="ListParagraph"/>
        <w:numPr>
          <w:ilvl w:val="0"/>
          <w:numId w:val="500"/>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Metering Coordinator </w:t>
      </w:r>
      <w:r>
        <w:rPr>
          <w:sz w:val="24"/>
        </w:rPr>
        <w:t>must ensure records and documentation are retained as</w:t>
      </w:r>
      <w:r>
        <w:rPr>
          <w:spacing w:val="-1"/>
          <w:sz w:val="24"/>
        </w:rPr>
        <w:t> </w:t>
      </w:r>
      <w:r>
        <w:rPr>
          <w:sz w:val="24"/>
        </w:rPr>
        <w:t>follows:</w:t>
      </w:r>
    </w:p>
    <w:p>
      <w:pPr>
        <w:pStyle w:val="ListParagraph"/>
        <w:numPr>
          <w:ilvl w:val="1"/>
          <w:numId w:val="500"/>
        </w:numPr>
        <w:tabs>
          <w:tab w:pos="2485" w:val="left" w:leader="none"/>
          <w:tab w:pos="2486" w:val="left" w:leader="none"/>
        </w:tabs>
        <w:spacing w:line="240" w:lineRule="auto" w:before="120" w:after="0"/>
        <w:ind w:left="2485" w:right="0" w:hanging="567"/>
        <w:jc w:val="left"/>
        <w:rPr>
          <w:sz w:val="24"/>
        </w:rPr>
      </w:pPr>
      <w:r>
        <w:rPr>
          <w:sz w:val="24"/>
        </w:rPr>
        <w:t>for a period of at least 7</w:t>
      </w:r>
      <w:r>
        <w:rPr>
          <w:spacing w:val="-2"/>
          <w:sz w:val="24"/>
        </w:rPr>
        <w:t> </w:t>
      </w:r>
      <w:r>
        <w:rPr>
          <w:sz w:val="24"/>
        </w:rPr>
        <w:t>years:</w:t>
      </w:r>
    </w:p>
    <w:p>
      <w:pPr>
        <w:spacing w:after="0" w:line="240" w:lineRule="auto"/>
        <w:jc w:val="left"/>
        <w:rPr>
          <w:sz w:val="24"/>
        </w:rPr>
        <w:sectPr>
          <w:pgSz w:w="11910" w:h="16840"/>
          <w:pgMar w:header="686" w:footer="637" w:top="1320" w:bottom="820" w:left="1200" w:right="1000"/>
        </w:sectPr>
      </w:pPr>
    </w:p>
    <w:p>
      <w:pPr>
        <w:pStyle w:val="ListParagraph"/>
        <w:numPr>
          <w:ilvl w:val="2"/>
          <w:numId w:val="500"/>
        </w:numPr>
        <w:tabs>
          <w:tab w:pos="3052" w:val="left" w:leader="none"/>
          <w:tab w:pos="3053" w:val="left" w:leader="none"/>
        </w:tabs>
        <w:spacing w:line="240" w:lineRule="auto" w:before="83" w:after="0"/>
        <w:ind w:left="3053" w:right="416" w:hanging="567"/>
        <w:jc w:val="left"/>
        <w:rPr>
          <w:sz w:val="24"/>
        </w:rPr>
      </w:pPr>
      <w:r>
        <w:rPr>
          <w:sz w:val="24"/>
        </w:rPr>
        <w:t>sample testing of </w:t>
      </w:r>
      <w:r>
        <w:rPr>
          <w:i/>
          <w:sz w:val="24"/>
        </w:rPr>
        <w:t>meters </w:t>
      </w:r>
      <w:r>
        <w:rPr>
          <w:sz w:val="24"/>
        </w:rPr>
        <w:t>while the </w:t>
      </w:r>
      <w:r>
        <w:rPr>
          <w:i/>
          <w:sz w:val="24"/>
        </w:rPr>
        <w:t>meters </w:t>
      </w:r>
      <w:r>
        <w:rPr>
          <w:sz w:val="24"/>
        </w:rPr>
        <w:t>of the relevant style remain in</w:t>
      </w:r>
      <w:r>
        <w:rPr>
          <w:spacing w:val="-1"/>
          <w:sz w:val="24"/>
        </w:rPr>
        <w:t> </w:t>
      </w:r>
      <w:r>
        <w:rPr>
          <w:sz w:val="24"/>
        </w:rPr>
        <w:t>service;</w:t>
      </w:r>
    </w:p>
    <w:p>
      <w:pPr>
        <w:pStyle w:val="ListParagraph"/>
        <w:numPr>
          <w:ilvl w:val="2"/>
          <w:numId w:val="500"/>
        </w:numPr>
        <w:tabs>
          <w:tab w:pos="3052" w:val="left" w:leader="none"/>
          <w:tab w:pos="3054" w:val="left" w:leader="none"/>
        </w:tabs>
        <w:spacing w:line="240" w:lineRule="auto" w:before="120" w:after="0"/>
        <w:ind w:left="3053" w:right="415" w:hanging="567"/>
        <w:jc w:val="left"/>
        <w:rPr>
          <w:sz w:val="24"/>
        </w:rPr>
      </w:pPr>
      <w:r>
        <w:rPr>
          <w:sz w:val="24"/>
        </w:rPr>
        <w:t>the most recent sample test results of the </w:t>
      </w:r>
      <w:r>
        <w:rPr>
          <w:i/>
          <w:sz w:val="24"/>
        </w:rPr>
        <w:t>meters </w:t>
      </w:r>
      <w:r>
        <w:rPr>
          <w:sz w:val="24"/>
        </w:rPr>
        <w:t>mentioned in subparagraph (i) after the </w:t>
      </w:r>
      <w:r>
        <w:rPr>
          <w:i/>
          <w:sz w:val="24"/>
        </w:rPr>
        <w:t>meters </w:t>
      </w:r>
      <w:r>
        <w:rPr>
          <w:sz w:val="24"/>
        </w:rPr>
        <w:t>are no longer in</w:t>
      </w:r>
      <w:r>
        <w:rPr>
          <w:spacing w:val="-14"/>
          <w:sz w:val="24"/>
        </w:rPr>
        <w:t> </w:t>
      </w:r>
      <w:r>
        <w:rPr>
          <w:sz w:val="24"/>
        </w:rPr>
        <w:t>service;</w:t>
      </w:r>
    </w:p>
    <w:p>
      <w:pPr>
        <w:pStyle w:val="ListParagraph"/>
        <w:numPr>
          <w:ilvl w:val="2"/>
          <w:numId w:val="500"/>
        </w:numPr>
        <w:tabs>
          <w:tab w:pos="3052" w:val="left" w:leader="none"/>
          <w:tab w:pos="3053" w:val="left" w:leader="none"/>
        </w:tabs>
        <w:spacing w:line="240" w:lineRule="auto" w:before="120" w:after="0"/>
        <w:ind w:left="3052" w:right="0" w:hanging="567"/>
        <w:jc w:val="left"/>
        <w:rPr>
          <w:sz w:val="24"/>
        </w:rPr>
      </w:pPr>
      <w:r>
        <w:rPr>
          <w:sz w:val="24"/>
        </w:rPr>
        <w:t>non-sample testing of </w:t>
      </w:r>
      <w:r>
        <w:rPr>
          <w:i/>
          <w:sz w:val="24"/>
        </w:rPr>
        <w:t>meters </w:t>
      </w:r>
      <w:r>
        <w:rPr>
          <w:sz w:val="24"/>
        </w:rPr>
        <w:t>while the </w:t>
      </w:r>
      <w:r>
        <w:rPr>
          <w:i/>
          <w:sz w:val="24"/>
        </w:rPr>
        <w:t>meters </w:t>
      </w:r>
      <w:r>
        <w:rPr>
          <w:sz w:val="24"/>
        </w:rPr>
        <w:t>remain in</w:t>
      </w:r>
      <w:r>
        <w:rPr>
          <w:spacing w:val="-13"/>
          <w:sz w:val="24"/>
        </w:rPr>
        <w:t> </w:t>
      </w:r>
      <w:r>
        <w:rPr>
          <w:sz w:val="24"/>
        </w:rPr>
        <w:t>service;</w:t>
      </w:r>
    </w:p>
    <w:p>
      <w:pPr>
        <w:pStyle w:val="ListParagraph"/>
        <w:numPr>
          <w:ilvl w:val="2"/>
          <w:numId w:val="500"/>
        </w:numPr>
        <w:tabs>
          <w:tab w:pos="3054" w:val="left" w:leader="none"/>
        </w:tabs>
        <w:spacing w:line="240" w:lineRule="auto" w:before="120" w:after="0"/>
        <w:ind w:left="3053" w:right="416" w:hanging="567"/>
        <w:jc w:val="both"/>
        <w:rPr>
          <w:sz w:val="24"/>
        </w:rPr>
      </w:pPr>
      <w:r>
        <w:rPr>
          <w:sz w:val="24"/>
        </w:rPr>
        <w:t>the most recent non-sample test results after the </w:t>
      </w:r>
      <w:r>
        <w:rPr>
          <w:i/>
          <w:sz w:val="24"/>
        </w:rPr>
        <w:t>meters </w:t>
      </w:r>
      <w:r>
        <w:rPr>
          <w:sz w:val="24"/>
        </w:rPr>
        <w:t>are no longer in</w:t>
      </w:r>
      <w:r>
        <w:rPr>
          <w:spacing w:val="-1"/>
          <w:sz w:val="24"/>
        </w:rPr>
        <w:t> </w:t>
      </w:r>
      <w:r>
        <w:rPr>
          <w:sz w:val="24"/>
        </w:rPr>
        <w:t>service;</w:t>
      </w:r>
    </w:p>
    <w:p>
      <w:pPr>
        <w:pStyle w:val="ListParagraph"/>
        <w:numPr>
          <w:ilvl w:val="2"/>
          <w:numId w:val="500"/>
        </w:numPr>
        <w:tabs>
          <w:tab w:pos="3053" w:val="left" w:leader="none"/>
        </w:tabs>
        <w:spacing w:line="240" w:lineRule="auto" w:before="120" w:after="0"/>
        <w:ind w:left="3053" w:right="414" w:hanging="567"/>
        <w:jc w:val="both"/>
        <w:rPr>
          <w:sz w:val="24"/>
        </w:rPr>
      </w:pPr>
      <w:r>
        <w:rPr>
          <w:sz w:val="24"/>
        </w:rPr>
        <w:t>the most recent sample test results of </w:t>
      </w:r>
      <w:r>
        <w:rPr>
          <w:i/>
          <w:sz w:val="24"/>
        </w:rPr>
        <w:t>instrument transformers </w:t>
      </w:r>
      <w:r>
        <w:rPr>
          <w:sz w:val="24"/>
        </w:rPr>
        <w:t>after </w:t>
      </w:r>
      <w:r>
        <w:rPr>
          <w:i/>
          <w:sz w:val="24"/>
        </w:rPr>
        <w:t>instrument transformers </w:t>
      </w:r>
      <w:r>
        <w:rPr>
          <w:sz w:val="24"/>
        </w:rPr>
        <w:t>of the relevant type are no longer in</w:t>
      </w:r>
      <w:r>
        <w:rPr>
          <w:spacing w:val="-1"/>
          <w:sz w:val="24"/>
        </w:rPr>
        <w:t> </w:t>
      </w:r>
      <w:r>
        <w:rPr>
          <w:sz w:val="24"/>
        </w:rPr>
        <w:t>service;</w:t>
      </w:r>
    </w:p>
    <w:p>
      <w:pPr>
        <w:pStyle w:val="ListParagraph"/>
        <w:numPr>
          <w:ilvl w:val="2"/>
          <w:numId w:val="500"/>
        </w:numPr>
        <w:tabs>
          <w:tab w:pos="3053" w:val="left" w:leader="none"/>
        </w:tabs>
        <w:spacing w:line="240" w:lineRule="auto" w:before="120" w:after="0"/>
        <w:ind w:left="3053" w:right="415" w:hanging="567"/>
        <w:jc w:val="both"/>
        <w:rPr>
          <w:sz w:val="24"/>
        </w:rPr>
      </w:pPr>
      <w:r>
        <w:rPr>
          <w:sz w:val="24"/>
        </w:rPr>
        <w:t>the most recent non-sample test results of </w:t>
      </w:r>
      <w:r>
        <w:rPr>
          <w:i/>
          <w:spacing w:val="-3"/>
          <w:sz w:val="24"/>
        </w:rPr>
        <w:t>instrument </w:t>
      </w:r>
      <w:r>
        <w:rPr>
          <w:i/>
          <w:sz w:val="24"/>
        </w:rPr>
        <w:t>transformers </w:t>
      </w:r>
      <w:r>
        <w:rPr>
          <w:sz w:val="24"/>
        </w:rPr>
        <w:t>after they are no longer in</w:t>
      </w:r>
      <w:r>
        <w:rPr>
          <w:spacing w:val="-3"/>
          <w:sz w:val="24"/>
        </w:rPr>
        <w:t> </w:t>
      </w:r>
      <w:r>
        <w:rPr>
          <w:sz w:val="24"/>
        </w:rPr>
        <w:t>service;</w:t>
      </w:r>
    </w:p>
    <w:p>
      <w:pPr>
        <w:pStyle w:val="ListParagraph"/>
        <w:numPr>
          <w:ilvl w:val="2"/>
          <w:numId w:val="500"/>
        </w:numPr>
        <w:tabs>
          <w:tab w:pos="3053" w:val="left" w:leader="none"/>
        </w:tabs>
        <w:spacing w:line="240" w:lineRule="auto" w:before="120" w:after="0"/>
        <w:ind w:left="3053" w:right="415" w:hanging="567"/>
        <w:jc w:val="both"/>
        <w:rPr>
          <w:sz w:val="24"/>
        </w:rPr>
      </w:pPr>
      <w:r>
        <w:rPr>
          <w:sz w:val="24"/>
        </w:rPr>
        <w:t>tests of new </w:t>
      </w:r>
      <w:r>
        <w:rPr>
          <w:i/>
          <w:sz w:val="24"/>
        </w:rPr>
        <w:t>metering </w:t>
      </w:r>
      <w:r>
        <w:rPr>
          <w:sz w:val="24"/>
        </w:rPr>
        <w:t>equipment of the relevant style while the equipment remains in service;</w:t>
      </w:r>
      <w:r>
        <w:rPr>
          <w:spacing w:val="-1"/>
          <w:sz w:val="24"/>
        </w:rPr>
        <w:t> </w:t>
      </w:r>
      <w:r>
        <w:rPr>
          <w:sz w:val="24"/>
        </w:rPr>
        <w:t>and</w:t>
      </w:r>
    </w:p>
    <w:p>
      <w:pPr>
        <w:pStyle w:val="ListParagraph"/>
        <w:numPr>
          <w:ilvl w:val="2"/>
          <w:numId w:val="500"/>
        </w:numPr>
        <w:tabs>
          <w:tab w:pos="3053" w:val="left" w:leader="none"/>
        </w:tabs>
        <w:spacing w:line="240" w:lineRule="auto" w:before="120" w:after="0"/>
        <w:ind w:left="3053" w:right="415" w:hanging="567"/>
        <w:jc w:val="both"/>
        <w:rPr>
          <w:sz w:val="24"/>
        </w:rPr>
      </w:pPr>
      <w:r>
        <w:rPr>
          <w:sz w:val="24"/>
        </w:rPr>
        <w:t>tests of new </w:t>
      </w:r>
      <w:r>
        <w:rPr>
          <w:i/>
          <w:sz w:val="24"/>
        </w:rPr>
        <w:t>metering </w:t>
      </w:r>
      <w:r>
        <w:rPr>
          <w:sz w:val="24"/>
        </w:rPr>
        <w:t>equipment of the relevant style after the equipment is no longer in</w:t>
      </w:r>
      <w:r>
        <w:rPr>
          <w:spacing w:val="-1"/>
          <w:sz w:val="24"/>
        </w:rPr>
        <w:t> </w:t>
      </w:r>
      <w:r>
        <w:rPr>
          <w:sz w:val="24"/>
        </w:rPr>
        <w:t>service;</w:t>
      </w:r>
    </w:p>
    <w:p>
      <w:pPr>
        <w:pStyle w:val="ListParagraph"/>
        <w:numPr>
          <w:ilvl w:val="1"/>
          <w:numId w:val="500"/>
        </w:numPr>
        <w:tabs>
          <w:tab w:pos="2486" w:val="left" w:leader="none"/>
        </w:tabs>
        <w:spacing w:line="240" w:lineRule="auto" w:before="120" w:after="0"/>
        <w:ind w:left="2485" w:right="0" w:hanging="567"/>
        <w:jc w:val="both"/>
        <w:rPr>
          <w:sz w:val="24"/>
        </w:rPr>
      </w:pPr>
      <w:r>
        <w:rPr>
          <w:sz w:val="24"/>
        </w:rPr>
        <w:t>for a period of at least 10</w:t>
      </w:r>
      <w:r>
        <w:rPr>
          <w:spacing w:val="-2"/>
          <w:sz w:val="24"/>
        </w:rPr>
        <w:t> </w:t>
      </w:r>
      <w:r>
        <w:rPr>
          <w:sz w:val="24"/>
        </w:rPr>
        <w:t>years:</w:t>
      </w:r>
    </w:p>
    <w:p>
      <w:pPr>
        <w:pStyle w:val="ListParagraph"/>
        <w:numPr>
          <w:ilvl w:val="2"/>
          <w:numId w:val="500"/>
        </w:numPr>
        <w:tabs>
          <w:tab w:pos="3053" w:val="left" w:leader="none"/>
        </w:tabs>
        <w:spacing w:line="240" w:lineRule="auto" w:before="120" w:after="0"/>
        <w:ind w:left="3053" w:right="414" w:hanging="567"/>
        <w:jc w:val="both"/>
        <w:rPr>
          <w:sz w:val="24"/>
        </w:rPr>
      </w:pPr>
      <w:r>
        <w:rPr>
          <w:sz w:val="24"/>
        </w:rPr>
        <w:t>sample testing of </w:t>
      </w:r>
      <w:r>
        <w:rPr>
          <w:i/>
          <w:sz w:val="24"/>
        </w:rPr>
        <w:t>instrument transformers </w:t>
      </w:r>
      <w:r>
        <w:rPr>
          <w:sz w:val="24"/>
        </w:rPr>
        <w:t>while </w:t>
      </w:r>
      <w:r>
        <w:rPr>
          <w:i/>
          <w:sz w:val="24"/>
        </w:rPr>
        <w:t>instrument </w:t>
      </w:r>
      <w:r>
        <w:rPr>
          <w:i/>
          <w:sz w:val="24"/>
        </w:rPr>
        <w:t>transformers </w:t>
      </w:r>
      <w:r>
        <w:rPr>
          <w:sz w:val="24"/>
        </w:rPr>
        <w:t>of the relevant type remain in service;</w:t>
      </w:r>
      <w:r>
        <w:rPr>
          <w:spacing w:val="-6"/>
          <w:sz w:val="24"/>
        </w:rPr>
        <w:t> </w:t>
      </w:r>
      <w:r>
        <w:rPr>
          <w:sz w:val="24"/>
        </w:rPr>
        <w:t>and</w:t>
      </w:r>
    </w:p>
    <w:p>
      <w:pPr>
        <w:pStyle w:val="ListParagraph"/>
        <w:numPr>
          <w:ilvl w:val="2"/>
          <w:numId w:val="500"/>
        </w:numPr>
        <w:tabs>
          <w:tab w:pos="3054" w:val="left" w:leader="none"/>
        </w:tabs>
        <w:spacing w:line="240" w:lineRule="auto" w:before="120" w:after="0"/>
        <w:ind w:left="3053" w:right="0" w:hanging="568"/>
        <w:jc w:val="both"/>
        <w:rPr>
          <w:sz w:val="24"/>
        </w:rPr>
      </w:pPr>
      <w:r>
        <w:rPr>
          <w:sz w:val="24"/>
        </w:rPr>
        <w:t>non-sample</w:t>
      </w:r>
      <w:r>
        <w:rPr>
          <w:spacing w:val="15"/>
          <w:sz w:val="24"/>
        </w:rPr>
        <w:t> </w:t>
      </w:r>
      <w:r>
        <w:rPr>
          <w:sz w:val="24"/>
        </w:rPr>
        <w:t>testing</w:t>
      </w:r>
      <w:r>
        <w:rPr>
          <w:spacing w:val="16"/>
          <w:sz w:val="24"/>
        </w:rPr>
        <w:t> </w:t>
      </w:r>
      <w:r>
        <w:rPr>
          <w:sz w:val="24"/>
        </w:rPr>
        <w:t>of</w:t>
      </w:r>
      <w:r>
        <w:rPr>
          <w:spacing w:val="16"/>
          <w:sz w:val="24"/>
        </w:rPr>
        <w:t> </w:t>
      </w:r>
      <w:r>
        <w:rPr>
          <w:i/>
          <w:sz w:val="24"/>
        </w:rPr>
        <w:t>instrument</w:t>
      </w:r>
      <w:r>
        <w:rPr>
          <w:i/>
          <w:spacing w:val="16"/>
          <w:sz w:val="24"/>
        </w:rPr>
        <w:t> </w:t>
      </w:r>
      <w:r>
        <w:rPr>
          <w:i/>
          <w:sz w:val="24"/>
        </w:rPr>
        <w:t>transformers</w:t>
      </w:r>
      <w:r>
        <w:rPr>
          <w:i/>
          <w:spacing w:val="15"/>
          <w:sz w:val="24"/>
        </w:rPr>
        <w:t> </w:t>
      </w:r>
      <w:r>
        <w:rPr>
          <w:sz w:val="24"/>
        </w:rPr>
        <w:t>while</w:t>
      </w:r>
      <w:r>
        <w:rPr>
          <w:spacing w:val="16"/>
          <w:sz w:val="24"/>
        </w:rPr>
        <w:t> </w:t>
      </w:r>
      <w:r>
        <w:rPr>
          <w:sz w:val="24"/>
        </w:rPr>
        <w:t>the</w:t>
      </w:r>
    </w:p>
    <w:p>
      <w:pPr>
        <w:spacing w:before="0"/>
        <w:ind w:left="3053" w:right="0" w:firstLine="0"/>
        <w:jc w:val="both"/>
        <w:rPr>
          <w:sz w:val="24"/>
        </w:rPr>
      </w:pPr>
      <w:r>
        <w:rPr>
          <w:i/>
          <w:sz w:val="24"/>
        </w:rPr>
        <w:t>instrument transformers </w:t>
      </w:r>
      <w:r>
        <w:rPr>
          <w:sz w:val="24"/>
        </w:rPr>
        <w:t>remain in service.</w:t>
      </w:r>
    </w:p>
    <w:p>
      <w:pPr>
        <w:pStyle w:val="ListParagraph"/>
        <w:numPr>
          <w:ilvl w:val="0"/>
          <w:numId w:val="500"/>
        </w:numPr>
        <w:tabs>
          <w:tab w:pos="1919" w:val="left" w:leader="none"/>
        </w:tabs>
        <w:spacing w:line="240" w:lineRule="auto" w:before="120" w:after="0"/>
        <w:ind w:left="1919" w:right="414" w:hanging="567"/>
        <w:jc w:val="both"/>
        <w:rPr>
          <w:sz w:val="24"/>
        </w:rPr>
      </w:pPr>
      <w:r>
        <w:rPr>
          <w:sz w:val="24"/>
        </w:rPr>
        <w:t>In addition, the </w:t>
      </w:r>
      <w:r>
        <w:rPr>
          <w:i/>
          <w:sz w:val="24"/>
        </w:rPr>
        <w:t>Metering Coordinator </w:t>
      </w:r>
      <w:r>
        <w:rPr>
          <w:sz w:val="24"/>
        </w:rPr>
        <w:t>must ensure records of type tests and pattern approvals carried out or obtained in accordance with clause S7A.4.5.1(f) are retained while </w:t>
      </w:r>
      <w:r>
        <w:rPr>
          <w:i/>
          <w:sz w:val="24"/>
        </w:rPr>
        <w:t>metering </w:t>
      </w:r>
      <w:r>
        <w:rPr>
          <w:sz w:val="24"/>
        </w:rPr>
        <w:t>equipment of the relevant type remains in service and for at least 7 years after it is no longer in</w:t>
      </w:r>
      <w:r>
        <w:rPr>
          <w:spacing w:val="-9"/>
          <w:sz w:val="24"/>
        </w:rPr>
        <w:t> </w:t>
      </w:r>
      <w:r>
        <w:rPr>
          <w:sz w:val="24"/>
        </w:rPr>
        <w:t>service.</w:t>
      </w:r>
    </w:p>
    <w:p>
      <w:pPr>
        <w:pStyle w:val="BodyText"/>
        <w:spacing w:before="10"/>
        <w:ind w:firstLine="0"/>
        <w:jc w:val="left"/>
        <w:rPr>
          <w:sz w:val="20"/>
        </w:rPr>
      </w:pPr>
    </w:p>
    <w:p>
      <w:pPr>
        <w:pStyle w:val="Heading2"/>
        <w:tabs>
          <w:tab w:pos="1352" w:val="left" w:leader="none"/>
          <w:tab w:pos="9317" w:val="left" w:leader="none"/>
        </w:tabs>
      </w:pPr>
      <w:bookmarkStart w:name="Part E Metering data" w:id="1785"/>
      <w:bookmarkEnd w:id="1785"/>
      <w:r>
        <w:rPr>
          <w:b w:val="0"/>
        </w:rPr>
      </w:r>
      <w:bookmarkStart w:name="_bookmark718" w:id="1786"/>
      <w:bookmarkEnd w:id="1786"/>
      <w:r>
        <w:rPr>
          <w:b w:val="0"/>
        </w:rPr>
      </w:r>
      <w:r>
        <w:rPr>
          <w:shd w:fill="D9D9D9" w:color="auto" w:val="clear"/>
        </w:rPr>
        <w:t>Part E</w:t>
        <w:tab/>
        <w:t>Metering data</w:t>
        <w:tab/>
      </w:r>
    </w:p>
    <w:p>
      <w:pPr>
        <w:pStyle w:val="Heading3"/>
        <w:tabs>
          <w:tab w:pos="1351" w:val="left" w:leader="none"/>
        </w:tabs>
        <w:spacing w:before="240"/>
        <w:ind w:left="218" w:firstLine="0"/>
      </w:pPr>
      <w:bookmarkStart w:name="7A.8 Metering data services" w:id="1787"/>
      <w:bookmarkEnd w:id="1787"/>
      <w:r>
        <w:rPr>
          <w:b w:val="0"/>
        </w:rPr>
      </w:r>
      <w:bookmarkStart w:name="_bookmark719" w:id="1788"/>
      <w:bookmarkEnd w:id="1788"/>
      <w:r>
        <w:rPr>
          <w:b w:val="0"/>
        </w:rPr>
      </w:r>
      <w:r>
        <w:rPr/>
        <w:t>7A.8</w:t>
        <w:tab/>
        <w:t>Metering data</w:t>
      </w:r>
      <w:r>
        <w:rPr>
          <w:spacing w:val="-2"/>
        </w:rPr>
        <w:t> </w:t>
      </w:r>
      <w:r>
        <w:rPr/>
        <w:t>services</w:t>
      </w:r>
    </w:p>
    <w:p>
      <w:pPr>
        <w:pStyle w:val="Heading4"/>
        <w:tabs>
          <w:tab w:pos="1351" w:val="left" w:leader="none"/>
        </w:tabs>
        <w:spacing w:before="240"/>
        <w:ind w:left="218" w:firstLine="0"/>
      </w:pPr>
      <w:bookmarkStart w:name="7A.8.1 Metering data services" w:id="1789"/>
      <w:bookmarkEnd w:id="1789"/>
      <w:r>
        <w:rPr>
          <w:b w:val="0"/>
        </w:rPr>
      </w:r>
      <w:bookmarkStart w:name="_bookmark720" w:id="1790"/>
      <w:bookmarkEnd w:id="1790"/>
      <w:r>
        <w:rPr>
          <w:b w:val="0"/>
        </w:rPr>
      </w:r>
      <w:r>
        <w:rPr/>
        <w:t>7A.8.1</w:t>
        <w:tab/>
        <w:t>Metering data</w:t>
      </w:r>
      <w:r>
        <w:rPr>
          <w:spacing w:val="-1"/>
        </w:rPr>
        <w:t> </w:t>
      </w:r>
      <w:r>
        <w:rPr/>
        <w:t>services</w:t>
      </w:r>
    </w:p>
    <w:p>
      <w:pPr>
        <w:pStyle w:val="ListParagraph"/>
        <w:numPr>
          <w:ilvl w:val="0"/>
          <w:numId w:val="501"/>
        </w:numPr>
        <w:tabs>
          <w:tab w:pos="1919" w:val="left" w:leader="none"/>
        </w:tabs>
        <w:spacing w:line="240" w:lineRule="auto" w:before="120" w:after="0"/>
        <w:ind w:left="1919" w:right="415" w:hanging="567"/>
        <w:jc w:val="both"/>
        <w:rPr>
          <w:sz w:val="24"/>
        </w:rPr>
      </w:pPr>
      <w:r>
        <w:rPr>
          <w:i/>
          <w:sz w:val="24"/>
        </w:rPr>
        <w:t>Metering Data Providers </w:t>
      </w:r>
      <w:r>
        <w:rPr>
          <w:sz w:val="24"/>
        </w:rPr>
        <w:t>must provide </w:t>
      </w:r>
      <w:r>
        <w:rPr>
          <w:i/>
          <w:sz w:val="24"/>
        </w:rPr>
        <w:t>metering data services</w:t>
      </w:r>
      <w:r>
        <w:rPr>
          <w:sz w:val="24"/>
        </w:rPr>
        <w:t>, including the following, in accordance with the</w:t>
      </w:r>
      <w:r>
        <w:rPr>
          <w:spacing w:val="-1"/>
          <w:sz w:val="24"/>
        </w:rPr>
        <w:t> </w:t>
      </w:r>
      <w:r>
        <w:rPr>
          <w:i/>
          <w:sz w:val="24"/>
        </w:rPr>
        <w:t>Rules</w:t>
      </w:r>
      <w:r>
        <w:rPr>
          <w:sz w:val="24"/>
        </w:rPr>
        <w:t>:</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collecting </w:t>
      </w:r>
      <w:r>
        <w:rPr>
          <w:i/>
          <w:sz w:val="24"/>
        </w:rPr>
        <w:t>energy data </w:t>
      </w:r>
      <w:r>
        <w:rPr>
          <w:sz w:val="24"/>
        </w:rPr>
        <w:t>by local access or </w:t>
      </w:r>
      <w:r>
        <w:rPr>
          <w:i/>
          <w:sz w:val="24"/>
        </w:rPr>
        <w:t>remote</w:t>
      </w:r>
      <w:r>
        <w:rPr>
          <w:i/>
          <w:spacing w:val="-4"/>
          <w:sz w:val="24"/>
        </w:rPr>
        <w:t> </w:t>
      </w:r>
      <w:r>
        <w:rPr>
          <w:i/>
          <w:sz w:val="24"/>
        </w:rPr>
        <w:t>acquisition</w:t>
      </w:r>
      <w:r>
        <w:rPr>
          <w:sz w:val="24"/>
        </w:rPr>
        <w:t>;</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the validation and substitution of </w:t>
      </w:r>
      <w:r>
        <w:rPr>
          <w:i/>
          <w:sz w:val="24"/>
        </w:rPr>
        <w:t>metering data </w:t>
      </w:r>
      <w:r>
        <w:rPr>
          <w:sz w:val="24"/>
        </w:rPr>
        <w:t>for types 1, 2, 3 and </w:t>
      </w:r>
      <w:r>
        <w:rPr>
          <w:spacing w:val="11"/>
          <w:sz w:val="24"/>
        </w:rPr>
        <w:t> </w:t>
      </w:r>
      <w:r>
        <w:rPr>
          <w:sz w:val="24"/>
        </w:rPr>
        <w:t>4</w:t>
      </w:r>
    </w:p>
    <w:p>
      <w:pPr>
        <w:spacing w:before="0"/>
        <w:ind w:left="2486" w:right="0" w:firstLine="0"/>
        <w:jc w:val="both"/>
        <w:rPr>
          <w:sz w:val="24"/>
        </w:rPr>
      </w:pPr>
      <w:r>
        <w:rPr>
          <w:i/>
          <w:sz w:val="24"/>
        </w:rPr>
        <w:t>metering</w:t>
      </w:r>
      <w:r>
        <w:rPr>
          <w:i/>
          <w:spacing w:val="-10"/>
          <w:sz w:val="24"/>
        </w:rPr>
        <w:t> </w:t>
      </w:r>
      <w:r>
        <w:rPr>
          <w:i/>
          <w:sz w:val="24"/>
        </w:rPr>
        <w:t>installations</w:t>
      </w:r>
      <w:r>
        <w:rPr>
          <w:sz w:val="24"/>
        </w:rPr>
        <w:t>;</w:t>
      </w:r>
    </w:p>
    <w:p>
      <w:pPr>
        <w:pStyle w:val="ListParagraph"/>
        <w:numPr>
          <w:ilvl w:val="1"/>
          <w:numId w:val="501"/>
        </w:numPr>
        <w:tabs>
          <w:tab w:pos="2486" w:val="left" w:leader="none"/>
        </w:tabs>
        <w:spacing w:line="240" w:lineRule="auto" w:before="120" w:after="0"/>
        <w:ind w:left="2486" w:right="415" w:hanging="567"/>
        <w:jc w:val="both"/>
        <w:rPr>
          <w:sz w:val="24"/>
        </w:rPr>
      </w:pPr>
      <w:r>
        <w:rPr>
          <w:sz w:val="24"/>
        </w:rPr>
        <w:t>the validation, substitution and estimation of </w:t>
      </w:r>
      <w:r>
        <w:rPr>
          <w:i/>
          <w:sz w:val="24"/>
        </w:rPr>
        <w:t>metering data </w:t>
      </w:r>
      <w:r>
        <w:rPr>
          <w:sz w:val="24"/>
        </w:rPr>
        <w:t>for types 4A, 5 and 6 </w:t>
      </w:r>
      <w:r>
        <w:rPr>
          <w:i/>
          <w:sz w:val="24"/>
        </w:rPr>
        <w:t>metering</w:t>
      </w:r>
      <w:r>
        <w:rPr>
          <w:i/>
          <w:spacing w:val="-2"/>
          <w:sz w:val="24"/>
        </w:rPr>
        <w:t> </w:t>
      </w:r>
      <w:r>
        <w:rPr>
          <w:i/>
          <w:sz w:val="24"/>
        </w:rPr>
        <w:t>installations</w:t>
      </w:r>
      <w:r>
        <w:rPr>
          <w:sz w:val="24"/>
        </w:rPr>
        <w:t>;</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the calculation, estimation and substitution of </w:t>
      </w:r>
      <w:r>
        <w:rPr>
          <w:i/>
          <w:sz w:val="24"/>
        </w:rPr>
        <w:t>metering data </w:t>
      </w:r>
      <w:r>
        <w:rPr>
          <w:sz w:val="24"/>
        </w:rPr>
        <w:t>for type</w:t>
      </w:r>
      <w:r>
        <w:rPr>
          <w:spacing w:val="23"/>
          <w:sz w:val="24"/>
        </w:rPr>
        <w:t> </w:t>
      </w:r>
      <w:r>
        <w:rPr>
          <w:sz w:val="24"/>
        </w:rPr>
        <w:t>7</w:t>
      </w:r>
    </w:p>
    <w:p>
      <w:pPr>
        <w:spacing w:before="0"/>
        <w:ind w:left="2486" w:right="0" w:firstLine="0"/>
        <w:jc w:val="both"/>
        <w:rPr>
          <w:sz w:val="24"/>
        </w:rPr>
      </w:pPr>
      <w:r>
        <w:rPr>
          <w:i/>
          <w:sz w:val="24"/>
        </w:rPr>
        <w:t>metering installations</w:t>
      </w:r>
      <w:r>
        <w:rPr>
          <w:sz w:val="24"/>
        </w:rPr>
        <w:t>;</w:t>
      </w:r>
    </w:p>
    <w:p>
      <w:pPr>
        <w:pStyle w:val="ListParagraph"/>
        <w:numPr>
          <w:ilvl w:val="1"/>
          <w:numId w:val="501"/>
        </w:numPr>
        <w:tabs>
          <w:tab w:pos="2486" w:val="left" w:leader="none"/>
        </w:tabs>
        <w:spacing w:line="240" w:lineRule="auto" w:before="120" w:after="0"/>
        <w:ind w:left="2486" w:right="414" w:hanging="567"/>
        <w:jc w:val="both"/>
        <w:rPr>
          <w:sz w:val="24"/>
        </w:rPr>
      </w:pPr>
      <w:r>
        <w:rPr>
          <w:sz w:val="24"/>
        </w:rPr>
        <w:t>establishing and maintaining a </w:t>
      </w:r>
      <w:r>
        <w:rPr>
          <w:i/>
          <w:sz w:val="24"/>
        </w:rPr>
        <w:t>metering data services database </w:t>
      </w:r>
      <w:r>
        <w:rPr>
          <w:sz w:val="24"/>
        </w:rPr>
        <w:t>associated with each </w:t>
      </w:r>
      <w:r>
        <w:rPr>
          <w:i/>
          <w:sz w:val="24"/>
        </w:rPr>
        <w:t>metering installation </w:t>
      </w:r>
      <w:r>
        <w:rPr>
          <w:sz w:val="24"/>
        </w:rPr>
        <w:t>and providing access to the </w:t>
      </w:r>
      <w:r>
        <w:rPr>
          <w:i/>
          <w:sz w:val="24"/>
        </w:rPr>
        <w:t>metering data services database </w:t>
      </w:r>
      <w:r>
        <w:rPr>
          <w:sz w:val="24"/>
        </w:rPr>
        <w:t>in accordance with clause</w:t>
      </w:r>
      <w:r>
        <w:rPr>
          <w:spacing w:val="-12"/>
          <w:sz w:val="24"/>
        </w:rPr>
        <w:t> </w:t>
      </w:r>
      <w:r>
        <w:rPr>
          <w:sz w:val="24"/>
        </w:rPr>
        <w:t>7A.8.3;</w:t>
      </w:r>
    </w:p>
    <w:p>
      <w:pPr>
        <w:spacing w:after="0" w:line="240" w:lineRule="auto"/>
        <w:jc w:val="both"/>
        <w:rPr>
          <w:sz w:val="24"/>
        </w:rPr>
        <w:sectPr>
          <w:pgSz w:w="11910" w:h="16840"/>
          <w:pgMar w:header="686" w:footer="637" w:top="1320" w:bottom="820" w:left="1200" w:right="1000"/>
        </w:sectPr>
      </w:pPr>
    </w:p>
    <w:p>
      <w:pPr>
        <w:pStyle w:val="ListParagraph"/>
        <w:numPr>
          <w:ilvl w:val="1"/>
          <w:numId w:val="501"/>
        </w:numPr>
        <w:tabs>
          <w:tab w:pos="2486" w:val="left" w:leader="none"/>
        </w:tabs>
        <w:spacing w:line="240" w:lineRule="auto" w:before="83" w:after="0"/>
        <w:ind w:left="2485" w:right="0" w:hanging="567"/>
        <w:jc w:val="both"/>
        <w:rPr>
          <w:sz w:val="24"/>
        </w:rPr>
      </w:pPr>
      <w:r>
        <w:rPr>
          <w:sz w:val="24"/>
        </w:rPr>
        <w:t>the</w:t>
      </w:r>
      <w:r>
        <w:rPr>
          <w:spacing w:val="17"/>
          <w:sz w:val="24"/>
        </w:rPr>
        <w:t> </w:t>
      </w:r>
      <w:r>
        <w:rPr>
          <w:sz w:val="24"/>
        </w:rPr>
        <w:t>delivery</w:t>
      </w:r>
      <w:r>
        <w:rPr>
          <w:spacing w:val="17"/>
          <w:sz w:val="24"/>
        </w:rPr>
        <w:t> </w:t>
      </w:r>
      <w:r>
        <w:rPr>
          <w:sz w:val="24"/>
        </w:rPr>
        <w:t>of</w:t>
      </w:r>
      <w:r>
        <w:rPr>
          <w:spacing w:val="18"/>
          <w:sz w:val="24"/>
        </w:rPr>
        <w:t> </w:t>
      </w:r>
      <w:r>
        <w:rPr>
          <w:i/>
          <w:sz w:val="24"/>
        </w:rPr>
        <w:t>metering</w:t>
      </w:r>
      <w:r>
        <w:rPr>
          <w:i/>
          <w:spacing w:val="17"/>
          <w:sz w:val="24"/>
        </w:rPr>
        <w:t> </w:t>
      </w:r>
      <w:r>
        <w:rPr>
          <w:i/>
          <w:sz w:val="24"/>
        </w:rPr>
        <w:t>data</w:t>
      </w:r>
      <w:r>
        <w:rPr>
          <w:i/>
          <w:spacing w:val="17"/>
          <w:sz w:val="24"/>
        </w:rPr>
        <w:t> </w:t>
      </w:r>
      <w:r>
        <w:rPr>
          <w:sz w:val="24"/>
        </w:rPr>
        <w:t>and</w:t>
      </w:r>
      <w:r>
        <w:rPr>
          <w:spacing w:val="18"/>
          <w:sz w:val="24"/>
        </w:rPr>
        <w:t> </w:t>
      </w:r>
      <w:r>
        <w:rPr>
          <w:sz w:val="24"/>
        </w:rPr>
        <w:t>relevant</w:t>
      </w:r>
      <w:r>
        <w:rPr>
          <w:spacing w:val="17"/>
          <w:sz w:val="24"/>
        </w:rPr>
        <w:t> </w:t>
      </w:r>
      <w:r>
        <w:rPr>
          <w:i/>
          <w:sz w:val="24"/>
        </w:rPr>
        <w:t>NT</w:t>
      </w:r>
      <w:r>
        <w:rPr>
          <w:i/>
          <w:spacing w:val="17"/>
          <w:sz w:val="24"/>
        </w:rPr>
        <w:t> </w:t>
      </w:r>
      <w:r>
        <w:rPr>
          <w:i/>
          <w:sz w:val="24"/>
        </w:rPr>
        <w:t>NMI</w:t>
      </w:r>
      <w:r>
        <w:rPr>
          <w:i/>
          <w:spacing w:val="18"/>
          <w:sz w:val="24"/>
        </w:rPr>
        <w:t> </w:t>
      </w:r>
      <w:r>
        <w:rPr>
          <w:i/>
          <w:sz w:val="24"/>
        </w:rPr>
        <w:t>Data</w:t>
      </w:r>
      <w:r>
        <w:rPr>
          <w:i/>
          <w:spacing w:val="17"/>
          <w:sz w:val="24"/>
        </w:rPr>
        <w:t> </w:t>
      </w:r>
      <w:r>
        <w:rPr>
          <w:sz w:val="24"/>
        </w:rPr>
        <w:t>for</w:t>
      </w:r>
      <w:r>
        <w:rPr>
          <w:spacing w:val="18"/>
          <w:sz w:val="24"/>
        </w:rPr>
        <w:t> </w:t>
      </w:r>
      <w:r>
        <w:rPr>
          <w:sz w:val="24"/>
        </w:rPr>
        <w:t>a</w:t>
      </w:r>
    </w:p>
    <w:p>
      <w:pPr>
        <w:spacing w:before="0"/>
        <w:ind w:left="2486" w:right="0" w:firstLine="0"/>
        <w:jc w:val="both"/>
        <w:rPr>
          <w:sz w:val="24"/>
        </w:rPr>
      </w:pPr>
      <w:r>
        <w:rPr>
          <w:i/>
          <w:sz w:val="24"/>
        </w:rPr>
        <w:t>metering installation </w:t>
      </w:r>
      <w:r>
        <w:rPr>
          <w:sz w:val="24"/>
        </w:rPr>
        <w:t>in accordance with clause 7A.8.4;</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the delivery to </w:t>
      </w:r>
      <w:r>
        <w:rPr>
          <w:i/>
          <w:sz w:val="24"/>
        </w:rPr>
        <w:t>NTESMO </w:t>
      </w:r>
      <w:r>
        <w:rPr>
          <w:sz w:val="24"/>
        </w:rPr>
        <w:t>of the following for</w:t>
      </w:r>
      <w:r>
        <w:rPr>
          <w:spacing w:val="-3"/>
          <w:sz w:val="24"/>
        </w:rPr>
        <w:t> </w:t>
      </w:r>
      <w:r>
        <w:rPr>
          <w:i/>
          <w:sz w:val="24"/>
        </w:rPr>
        <w:t>settlements</w:t>
      </w:r>
      <w:r>
        <w:rPr>
          <w:sz w:val="24"/>
        </w:rPr>
        <w:t>:</w:t>
      </w:r>
    </w:p>
    <w:p>
      <w:pPr>
        <w:pStyle w:val="ListParagraph"/>
        <w:numPr>
          <w:ilvl w:val="2"/>
          <w:numId w:val="501"/>
        </w:numPr>
        <w:tabs>
          <w:tab w:pos="3053" w:val="left" w:leader="none"/>
        </w:tabs>
        <w:spacing w:line="240" w:lineRule="auto" w:before="120" w:after="0"/>
        <w:ind w:left="3052" w:right="0" w:hanging="567"/>
        <w:jc w:val="both"/>
        <w:rPr>
          <w:sz w:val="24"/>
        </w:rPr>
      </w:pPr>
      <w:r>
        <w:rPr>
          <w:i/>
          <w:sz w:val="24"/>
        </w:rPr>
        <w:t>metering</w:t>
      </w:r>
      <w:r>
        <w:rPr>
          <w:i/>
          <w:spacing w:val="-1"/>
          <w:sz w:val="24"/>
        </w:rPr>
        <w:t> </w:t>
      </w:r>
      <w:r>
        <w:rPr>
          <w:i/>
          <w:sz w:val="24"/>
        </w:rPr>
        <w:t>data</w:t>
      </w:r>
      <w:r>
        <w:rPr>
          <w:sz w:val="24"/>
        </w:rPr>
        <w:t>;</w:t>
      </w:r>
    </w:p>
    <w:p>
      <w:pPr>
        <w:pStyle w:val="ListParagraph"/>
        <w:numPr>
          <w:ilvl w:val="2"/>
          <w:numId w:val="501"/>
        </w:numPr>
        <w:tabs>
          <w:tab w:pos="3054" w:val="left" w:leader="none"/>
        </w:tabs>
        <w:spacing w:line="240" w:lineRule="auto" w:before="120" w:after="0"/>
        <w:ind w:left="3053" w:right="0" w:hanging="568"/>
        <w:jc w:val="both"/>
        <w:rPr>
          <w:sz w:val="24"/>
        </w:rPr>
      </w:pPr>
      <w:r>
        <w:rPr>
          <w:sz w:val="24"/>
        </w:rPr>
        <w:t>any </w:t>
      </w:r>
      <w:r>
        <w:rPr>
          <w:i/>
          <w:sz w:val="24"/>
        </w:rPr>
        <w:t>metering register </w:t>
      </w:r>
      <w:r>
        <w:rPr>
          <w:sz w:val="24"/>
        </w:rPr>
        <w:t>data requested by</w:t>
      </w:r>
      <w:r>
        <w:rPr>
          <w:spacing w:val="-4"/>
          <w:sz w:val="24"/>
        </w:rPr>
        <w:t> </w:t>
      </w:r>
      <w:r>
        <w:rPr>
          <w:i/>
          <w:sz w:val="24"/>
        </w:rPr>
        <w:t>NTESMO</w:t>
      </w:r>
      <w:r>
        <w:rPr>
          <w:sz w:val="24"/>
        </w:rPr>
        <w:t>;</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the</w:t>
      </w:r>
      <w:r>
        <w:rPr>
          <w:spacing w:val="8"/>
          <w:sz w:val="24"/>
        </w:rPr>
        <w:t> </w:t>
      </w:r>
      <w:r>
        <w:rPr>
          <w:sz w:val="24"/>
        </w:rPr>
        <w:t>delivery</w:t>
      </w:r>
      <w:r>
        <w:rPr>
          <w:spacing w:val="9"/>
          <w:sz w:val="24"/>
        </w:rPr>
        <w:t> </w:t>
      </w:r>
      <w:r>
        <w:rPr>
          <w:sz w:val="24"/>
        </w:rPr>
        <w:t>to</w:t>
      </w:r>
      <w:r>
        <w:rPr>
          <w:spacing w:val="9"/>
          <w:sz w:val="24"/>
        </w:rPr>
        <w:t> </w:t>
      </w:r>
      <w:r>
        <w:rPr>
          <w:sz w:val="24"/>
        </w:rPr>
        <w:t>relevant</w:t>
      </w:r>
      <w:r>
        <w:rPr>
          <w:spacing w:val="8"/>
          <w:sz w:val="24"/>
        </w:rPr>
        <w:t> </w:t>
      </w:r>
      <w:r>
        <w:rPr>
          <w:sz w:val="24"/>
        </w:rPr>
        <w:t>financially</w:t>
      </w:r>
      <w:r>
        <w:rPr>
          <w:spacing w:val="9"/>
          <w:sz w:val="24"/>
        </w:rPr>
        <w:t> </w:t>
      </w:r>
      <w:r>
        <w:rPr>
          <w:sz w:val="24"/>
        </w:rPr>
        <w:t>responsible</w:t>
      </w:r>
      <w:r>
        <w:rPr>
          <w:spacing w:val="9"/>
          <w:sz w:val="24"/>
        </w:rPr>
        <w:t> </w:t>
      </w:r>
      <w:r>
        <w:rPr>
          <w:sz w:val="24"/>
        </w:rPr>
        <w:t>participants</w:t>
      </w:r>
      <w:r>
        <w:rPr>
          <w:spacing w:val="8"/>
          <w:sz w:val="24"/>
        </w:rPr>
        <w:t> </w:t>
      </w:r>
      <w:r>
        <w:rPr>
          <w:sz w:val="24"/>
        </w:rPr>
        <w:t>of</w:t>
      </w:r>
    </w:p>
    <w:p>
      <w:pPr>
        <w:spacing w:before="0"/>
        <w:ind w:left="2486" w:right="0" w:firstLine="0"/>
        <w:jc w:val="both"/>
        <w:rPr>
          <w:sz w:val="24"/>
        </w:rPr>
      </w:pPr>
      <w:r>
        <w:rPr>
          <w:i/>
          <w:sz w:val="24"/>
        </w:rPr>
        <w:t>metering data </w:t>
      </w:r>
      <w:r>
        <w:rPr>
          <w:sz w:val="24"/>
        </w:rPr>
        <w:t>for </w:t>
      </w:r>
      <w:r>
        <w:rPr>
          <w:i/>
          <w:sz w:val="24"/>
        </w:rPr>
        <w:t>billing transactions</w:t>
      </w:r>
      <w:r>
        <w:rPr>
          <w:sz w:val="24"/>
        </w:rPr>
        <w:t>;</w:t>
      </w:r>
    </w:p>
    <w:p>
      <w:pPr>
        <w:pStyle w:val="ListParagraph"/>
        <w:numPr>
          <w:ilvl w:val="1"/>
          <w:numId w:val="501"/>
        </w:numPr>
        <w:tabs>
          <w:tab w:pos="2486" w:val="left" w:leader="none"/>
        </w:tabs>
        <w:spacing w:line="240" w:lineRule="auto" w:before="120" w:after="0"/>
        <w:ind w:left="2486" w:right="416" w:hanging="567"/>
        <w:jc w:val="both"/>
        <w:rPr>
          <w:sz w:val="24"/>
        </w:rPr>
      </w:pPr>
      <w:r>
        <w:rPr>
          <w:sz w:val="24"/>
        </w:rPr>
        <w:t>ensuring the </w:t>
      </w:r>
      <w:r>
        <w:rPr>
          <w:i/>
          <w:sz w:val="24"/>
        </w:rPr>
        <w:t>metering data </w:t>
      </w:r>
      <w:r>
        <w:rPr>
          <w:sz w:val="24"/>
        </w:rPr>
        <w:t>and other data associated with the </w:t>
      </w:r>
      <w:r>
        <w:rPr>
          <w:i/>
          <w:sz w:val="24"/>
        </w:rPr>
        <w:t>metering </w:t>
      </w:r>
      <w:r>
        <w:rPr>
          <w:i/>
          <w:sz w:val="24"/>
        </w:rPr>
        <w:t>installation </w:t>
      </w:r>
      <w:r>
        <w:rPr>
          <w:sz w:val="24"/>
        </w:rPr>
        <w:t>is kept secure and disclosed only in accordance with the </w:t>
      </w:r>
      <w:r>
        <w:rPr>
          <w:i/>
          <w:sz w:val="24"/>
        </w:rPr>
        <w:t>Rules</w:t>
      </w:r>
      <w:r>
        <w:rPr>
          <w:sz w:val="24"/>
        </w:rPr>
        <w:t>;</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maintaining</w:t>
      </w:r>
      <w:r>
        <w:rPr>
          <w:spacing w:val="23"/>
          <w:sz w:val="24"/>
        </w:rPr>
        <w:t> </w:t>
      </w:r>
      <w:r>
        <w:rPr>
          <w:sz w:val="24"/>
        </w:rPr>
        <w:t>the</w:t>
      </w:r>
      <w:r>
        <w:rPr>
          <w:spacing w:val="23"/>
          <w:sz w:val="24"/>
        </w:rPr>
        <w:t> </w:t>
      </w:r>
      <w:r>
        <w:rPr>
          <w:sz w:val="24"/>
        </w:rPr>
        <w:t>standard</w:t>
      </w:r>
      <w:r>
        <w:rPr>
          <w:spacing w:val="23"/>
          <w:sz w:val="24"/>
        </w:rPr>
        <w:t> </w:t>
      </w:r>
      <w:r>
        <w:rPr>
          <w:sz w:val="24"/>
        </w:rPr>
        <w:t>of</w:t>
      </w:r>
      <w:r>
        <w:rPr>
          <w:spacing w:val="23"/>
          <w:sz w:val="24"/>
        </w:rPr>
        <w:t> </w:t>
      </w:r>
      <w:r>
        <w:rPr>
          <w:sz w:val="24"/>
        </w:rPr>
        <w:t>accuracy</w:t>
      </w:r>
      <w:r>
        <w:rPr>
          <w:spacing w:val="23"/>
          <w:sz w:val="24"/>
        </w:rPr>
        <w:t> </w:t>
      </w:r>
      <w:r>
        <w:rPr>
          <w:sz w:val="24"/>
        </w:rPr>
        <w:t>of</w:t>
      </w:r>
      <w:r>
        <w:rPr>
          <w:spacing w:val="23"/>
          <w:sz w:val="24"/>
        </w:rPr>
        <w:t> </w:t>
      </w:r>
      <w:r>
        <w:rPr>
          <w:sz w:val="24"/>
        </w:rPr>
        <w:t>the</w:t>
      </w:r>
      <w:r>
        <w:rPr>
          <w:spacing w:val="23"/>
          <w:sz w:val="24"/>
        </w:rPr>
        <w:t> </w:t>
      </w:r>
      <w:r>
        <w:rPr>
          <w:sz w:val="24"/>
        </w:rPr>
        <w:t>time</w:t>
      </w:r>
      <w:r>
        <w:rPr>
          <w:spacing w:val="23"/>
          <w:sz w:val="24"/>
        </w:rPr>
        <w:t> </w:t>
      </w:r>
      <w:r>
        <w:rPr>
          <w:sz w:val="24"/>
        </w:rPr>
        <w:t>setting</w:t>
      </w:r>
      <w:r>
        <w:rPr>
          <w:spacing w:val="23"/>
          <w:sz w:val="24"/>
        </w:rPr>
        <w:t> </w:t>
      </w:r>
      <w:r>
        <w:rPr>
          <w:sz w:val="24"/>
        </w:rPr>
        <w:t>of</w:t>
      </w:r>
      <w:r>
        <w:rPr>
          <w:spacing w:val="23"/>
          <w:sz w:val="24"/>
        </w:rPr>
        <w:t> </w:t>
      </w:r>
      <w:r>
        <w:rPr>
          <w:sz w:val="24"/>
        </w:rPr>
        <w:t>the</w:t>
      </w:r>
    </w:p>
    <w:p>
      <w:pPr>
        <w:spacing w:before="0"/>
        <w:ind w:left="2486" w:right="0" w:firstLine="0"/>
        <w:jc w:val="both"/>
        <w:rPr>
          <w:sz w:val="24"/>
        </w:rPr>
      </w:pPr>
      <w:r>
        <w:rPr>
          <w:i/>
          <w:sz w:val="24"/>
        </w:rPr>
        <w:t>metering installation </w:t>
      </w:r>
      <w:r>
        <w:rPr>
          <w:sz w:val="24"/>
        </w:rPr>
        <w:t>in accordance with clause 7A.8.8;</w:t>
      </w:r>
    </w:p>
    <w:p>
      <w:pPr>
        <w:pStyle w:val="ListParagraph"/>
        <w:numPr>
          <w:ilvl w:val="1"/>
          <w:numId w:val="501"/>
        </w:numPr>
        <w:tabs>
          <w:tab w:pos="2486" w:val="left" w:leader="none"/>
        </w:tabs>
        <w:spacing w:line="240" w:lineRule="auto" w:before="120" w:after="0"/>
        <w:ind w:left="2486" w:right="416" w:hanging="567"/>
        <w:jc w:val="both"/>
        <w:rPr>
          <w:sz w:val="24"/>
        </w:rPr>
      </w:pPr>
      <w:r>
        <w:rPr>
          <w:sz w:val="24"/>
        </w:rPr>
        <w:t>notifying the </w:t>
      </w:r>
      <w:r>
        <w:rPr>
          <w:i/>
          <w:sz w:val="24"/>
        </w:rPr>
        <w:t>Metering Coordinator </w:t>
      </w:r>
      <w:r>
        <w:rPr>
          <w:sz w:val="24"/>
        </w:rPr>
        <w:t>of any </w:t>
      </w:r>
      <w:r>
        <w:rPr>
          <w:i/>
          <w:sz w:val="24"/>
        </w:rPr>
        <w:t>metering installation </w:t>
      </w:r>
      <w:r>
        <w:rPr>
          <w:i/>
          <w:sz w:val="24"/>
        </w:rPr>
        <w:t>malfunction </w:t>
      </w:r>
      <w:r>
        <w:rPr>
          <w:sz w:val="24"/>
        </w:rPr>
        <w:t>in accordance with clause</w:t>
      </w:r>
      <w:r>
        <w:rPr>
          <w:spacing w:val="-3"/>
          <w:sz w:val="24"/>
        </w:rPr>
        <w:t> </w:t>
      </w:r>
      <w:r>
        <w:rPr>
          <w:sz w:val="24"/>
        </w:rPr>
        <w:t>7A.6.9;</w:t>
      </w:r>
    </w:p>
    <w:p>
      <w:pPr>
        <w:pStyle w:val="ListParagraph"/>
        <w:numPr>
          <w:ilvl w:val="1"/>
          <w:numId w:val="501"/>
        </w:numPr>
        <w:tabs>
          <w:tab w:pos="2486" w:val="left" w:leader="none"/>
        </w:tabs>
        <w:spacing w:line="240" w:lineRule="auto" w:before="120" w:after="0"/>
        <w:ind w:left="2486" w:right="416" w:hanging="567"/>
        <w:jc w:val="both"/>
        <w:rPr>
          <w:sz w:val="24"/>
        </w:rPr>
      </w:pPr>
      <w:r>
        <w:rPr>
          <w:sz w:val="24"/>
        </w:rPr>
        <w:t>management and storage of </w:t>
      </w:r>
      <w:r>
        <w:rPr>
          <w:i/>
          <w:sz w:val="24"/>
        </w:rPr>
        <w:t>metering data </w:t>
      </w:r>
      <w:r>
        <w:rPr>
          <w:sz w:val="24"/>
        </w:rPr>
        <w:t>in accordance with clause 7A.8.3; and</w:t>
      </w:r>
    </w:p>
    <w:p>
      <w:pPr>
        <w:pStyle w:val="ListParagraph"/>
        <w:numPr>
          <w:ilvl w:val="1"/>
          <w:numId w:val="501"/>
        </w:numPr>
        <w:tabs>
          <w:tab w:pos="2486" w:val="left" w:leader="none"/>
        </w:tabs>
        <w:spacing w:line="240" w:lineRule="auto" w:before="120" w:after="0"/>
        <w:ind w:left="2486" w:right="417" w:hanging="567"/>
        <w:jc w:val="both"/>
        <w:rPr>
          <w:sz w:val="24"/>
        </w:rPr>
      </w:pPr>
      <w:r>
        <w:rPr>
          <w:sz w:val="24"/>
        </w:rPr>
        <w:t>in respect of a </w:t>
      </w:r>
      <w:r>
        <w:rPr>
          <w:i/>
          <w:sz w:val="24"/>
        </w:rPr>
        <w:t>metering installation </w:t>
      </w:r>
      <w:r>
        <w:rPr>
          <w:sz w:val="24"/>
        </w:rPr>
        <w:t>that is a prepayment device, subject to paragraph (b), services required to support the energisation and de-energisation of the </w:t>
      </w:r>
      <w:r>
        <w:rPr>
          <w:i/>
          <w:sz w:val="24"/>
        </w:rPr>
        <w:t>metering</w:t>
      </w:r>
      <w:r>
        <w:rPr>
          <w:i/>
          <w:spacing w:val="-1"/>
          <w:sz w:val="24"/>
        </w:rPr>
        <w:t> </w:t>
      </w:r>
      <w:r>
        <w:rPr>
          <w:i/>
          <w:sz w:val="24"/>
        </w:rPr>
        <w:t>installation</w:t>
      </w:r>
      <w:r>
        <w:rPr>
          <w:sz w:val="24"/>
        </w:rPr>
        <w:t>.</w:t>
      </w:r>
    </w:p>
    <w:p>
      <w:pPr>
        <w:pStyle w:val="ListParagraph"/>
        <w:numPr>
          <w:ilvl w:val="0"/>
          <w:numId w:val="501"/>
        </w:numPr>
        <w:tabs>
          <w:tab w:pos="1919" w:val="left" w:leader="none"/>
        </w:tabs>
        <w:spacing w:line="240" w:lineRule="auto" w:before="120" w:after="0"/>
        <w:ind w:left="1918" w:right="0" w:hanging="567"/>
        <w:jc w:val="both"/>
        <w:rPr>
          <w:sz w:val="24"/>
        </w:rPr>
      </w:pPr>
      <w:r>
        <w:rPr>
          <w:i/>
          <w:sz w:val="24"/>
        </w:rPr>
        <w:t>Metering Data Providers </w:t>
      </w:r>
      <w:r>
        <w:rPr>
          <w:sz w:val="24"/>
        </w:rPr>
        <w:t>are not</w:t>
      </w:r>
      <w:r>
        <w:rPr>
          <w:spacing w:val="-3"/>
          <w:sz w:val="24"/>
        </w:rPr>
        <w:t> </w:t>
      </w:r>
      <w:r>
        <w:rPr>
          <w:sz w:val="24"/>
        </w:rPr>
        <w:t>responsible:</w:t>
      </w:r>
    </w:p>
    <w:p>
      <w:pPr>
        <w:pStyle w:val="ListParagraph"/>
        <w:numPr>
          <w:ilvl w:val="1"/>
          <w:numId w:val="501"/>
        </w:numPr>
        <w:tabs>
          <w:tab w:pos="2486" w:val="left" w:leader="none"/>
        </w:tabs>
        <w:spacing w:line="240" w:lineRule="auto" w:before="120" w:after="0"/>
        <w:ind w:left="2485" w:right="0" w:hanging="567"/>
        <w:jc w:val="both"/>
        <w:rPr>
          <w:sz w:val="24"/>
        </w:rPr>
      </w:pPr>
      <w:r>
        <w:rPr>
          <w:sz w:val="24"/>
        </w:rPr>
        <w:t>for the provision of a prepayment device;</w:t>
      </w:r>
      <w:r>
        <w:rPr>
          <w:spacing w:val="-1"/>
          <w:sz w:val="24"/>
        </w:rPr>
        <w:t> </w:t>
      </w:r>
      <w:r>
        <w:rPr>
          <w:sz w:val="24"/>
        </w:rPr>
        <w:t>or</w:t>
      </w:r>
    </w:p>
    <w:p>
      <w:pPr>
        <w:pStyle w:val="ListParagraph"/>
        <w:numPr>
          <w:ilvl w:val="1"/>
          <w:numId w:val="501"/>
        </w:numPr>
        <w:tabs>
          <w:tab w:pos="2486" w:val="left" w:leader="none"/>
        </w:tabs>
        <w:spacing w:line="240" w:lineRule="auto" w:before="120" w:after="0"/>
        <w:ind w:left="2486" w:right="415" w:hanging="567"/>
        <w:jc w:val="both"/>
        <w:rPr>
          <w:sz w:val="24"/>
        </w:rPr>
      </w:pPr>
      <w:r>
        <w:rPr>
          <w:sz w:val="24"/>
        </w:rPr>
        <w:t>in relation to a </w:t>
      </w:r>
      <w:r>
        <w:rPr>
          <w:i/>
          <w:sz w:val="24"/>
        </w:rPr>
        <w:t>metering installation </w:t>
      </w:r>
      <w:r>
        <w:rPr>
          <w:sz w:val="24"/>
        </w:rPr>
        <w:t>that is a prepayment device, unless there is an agreement with the financially responsible participant to the contrary, for the provision of vending</w:t>
      </w:r>
      <w:r>
        <w:rPr>
          <w:spacing w:val="-7"/>
          <w:sz w:val="24"/>
        </w:rPr>
        <w:t> </w:t>
      </w:r>
      <w:r>
        <w:rPr>
          <w:sz w:val="24"/>
        </w:rPr>
        <w:t>services.</w:t>
      </w:r>
    </w:p>
    <w:p>
      <w:pPr>
        <w:spacing w:before="120"/>
        <w:ind w:left="1919" w:right="0" w:firstLine="0"/>
        <w:jc w:val="left"/>
        <w:rPr>
          <w:rFonts w:ascii="Arial"/>
          <w:b/>
          <w:sz w:val="20"/>
        </w:rPr>
      </w:pPr>
      <w:r>
        <w:rPr>
          <w:rFonts w:ascii="Arial"/>
          <w:b/>
          <w:sz w:val="20"/>
        </w:rPr>
        <w:t>Note</w:t>
      </w:r>
    </w:p>
    <w:p>
      <w:pPr>
        <w:spacing w:before="120"/>
        <w:ind w:left="1919" w:right="0" w:firstLine="0"/>
        <w:jc w:val="both"/>
        <w:rPr>
          <w:sz w:val="20"/>
        </w:rPr>
      </w:pPr>
      <w:r>
        <w:rPr>
          <w:sz w:val="20"/>
        </w:rPr>
        <w:t>The installation of prepayment devices is dealt with in clause 7A.6.14.</w:t>
      </w:r>
    </w:p>
    <w:p>
      <w:pPr>
        <w:spacing w:before="120"/>
        <w:ind w:left="1919" w:right="0" w:firstLine="0"/>
        <w:jc w:val="both"/>
        <w:rPr>
          <w:sz w:val="20"/>
        </w:rPr>
      </w:pPr>
      <w:r>
        <w:rPr>
          <w:sz w:val="20"/>
        </w:rPr>
        <w:t>The provision of vending services for prepayment devices is dealt with in rule 7A.2.</w:t>
      </w:r>
    </w:p>
    <w:p>
      <w:pPr>
        <w:pStyle w:val="ListParagraph"/>
        <w:numPr>
          <w:ilvl w:val="0"/>
          <w:numId w:val="501"/>
        </w:numPr>
        <w:tabs>
          <w:tab w:pos="1919" w:val="left" w:leader="none"/>
        </w:tabs>
        <w:spacing w:line="240" w:lineRule="auto" w:before="120" w:after="0"/>
        <w:ind w:left="1919" w:right="415" w:hanging="567"/>
        <w:jc w:val="both"/>
        <w:rPr>
          <w:sz w:val="24"/>
        </w:rPr>
      </w:pPr>
      <w:r>
        <w:rPr>
          <w:i/>
          <w:sz w:val="24"/>
        </w:rPr>
        <w:t>Metering Data Providers </w:t>
      </w:r>
      <w:r>
        <w:rPr>
          <w:sz w:val="24"/>
        </w:rPr>
        <w:t>may provide additional data services that exceed the minimum requirements of the </w:t>
      </w:r>
      <w:r>
        <w:rPr>
          <w:i/>
          <w:sz w:val="24"/>
        </w:rPr>
        <w:t>Rules </w:t>
      </w:r>
      <w:r>
        <w:rPr>
          <w:sz w:val="24"/>
        </w:rPr>
        <w:t>at the request of a relevant financially responsible participant provided</w:t>
      </w:r>
      <w:r>
        <w:rPr>
          <w:spacing w:val="-1"/>
          <w:sz w:val="24"/>
        </w:rPr>
        <w:t> </w:t>
      </w:r>
      <w:r>
        <w:rPr>
          <w:sz w:val="24"/>
        </w:rPr>
        <w:t>that:</w:t>
      </w:r>
    </w:p>
    <w:p>
      <w:pPr>
        <w:pStyle w:val="ListParagraph"/>
        <w:numPr>
          <w:ilvl w:val="1"/>
          <w:numId w:val="501"/>
        </w:numPr>
        <w:tabs>
          <w:tab w:pos="2486" w:val="left" w:leader="none"/>
        </w:tabs>
        <w:spacing w:line="240" w:lineRule="auto" w:before="120" w:after="0"/>
        <w:ind w:left="2486" w:right="416" w:hanging="567"/>
        <w:jc w:val="both"/>
        <w:rPr>
          <w:sz w:val="24"/>
        </w:rPr>
      </w:pPr>
      <w:r>
        <w:rPr>
          <w:sz w:val="24"/>
        </w:rPr>
        <w:t>the full cost of providing such additional data services is met by the financially responsible participant;</w:t>
      </w:r>
      <w:r>
        <w:rPr>
          <w:spacing w:val="-1"/>
          <w:sz w:val="24"/>
        </w:rPr>
        <w:t> </w:t>
      </w:r>
      <w:r>
        <w:rPr>
          <w:sz w:val="24"/>
        </w:rPr>
        <w:t>and</w:t>
      </w:r>
    </w:p>
    <w:p>
      <w:pPr>
        <w:pStyle w:val="ListParagraph"/>
        <w:numPr>
          <w:ilvl w:val="1"/>
          <w:numId w:val="501"/>
        </w:numPr>
        <w:tabs>
          <w:tab w:pos="2486" w:val="left" w:leader="none"/>
        </w:tabs>
        <w:spacing w:line="240" w:lineRule="auto" w:before="120" w:after="0"/>
        <w:ind w:left="2486" w:right="416" w:hanging="567"/>
        <w:jc w:val="both"/>
        <w:rPr>
          <w:sz w:val="24"/>
        </w:rPr>
      </w:pPr>
      <w:r>
        <w:rPr>
          <w:sz w:val="24"/>
        </w:rPr>
        <w:t>the provision of additional data services does not affect the provision of </w:t>
      </w:r>
      <w:r>
        <w:rPr>
          <w:i/>
          <w:sz w:val="24"/>
        </w:rPr>
        <w:t>metering data</w:t>
      </w:r>
      <w:r>
        <w:rPr>
          <w:i/>
          <w:spacing w:val="-2"/>
          <w:sz w:val="24"/>
        </w:rPr>
        <w:t> </w:t>
      </w:r>
      <w:r>
        <w:rPr>
          <w:i/>
          <w:sz w:val="24"/>
        </w:rPr>
        <w:t>services</w:t>
      </w:r>
      <w:r>
        <w:rPr>
          <w:sz w:val="24"/>
        </w:rPr>
        <w:t>.</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For example, vending services for a prepayment device could be an additional service, if the financially responsible participant arranges for them to be provided by the Metering Data Provider, noting that in accordance with clause 7A.2(c) the financially responsible participant is responsible for ensuring that an arrangement for vending services is in</w:t>
      </w:r>
      <w:r>
        <w:rPr>
          <w:spacing w:val="-6"/>
          <w:sz w:val="20"/>
        </w:rPr>
        <w:t> </w:t>
      </w:r>
      <w:r>
        <w:rPr>
          <w:sz w:val="20"/>
        </w:rPr>
        <w:t>place.</w:t>
      </w:r>
    </w:p>
    <w:p>
      <w:pPr>
        <w:pStyle w:val="BodyText"/>
        <w:spacing w:before="10"/>
        <w:ind w:firstLine="0"/>
        <w:jc w:val="left"/>
        <w:rPr>
          <w:sz w:val="20"/>
        </w:rPr>
      </w:pPr>
    </w:p>
    <w:p>
      <w:pPr>
        <w:pStyle w:val="Heading4"/>
        <w:tabs>
          <w:tab w:pos="1351" w:val="left" w:leader="none"/>
        </w:tabs>
        <w:ind w:left="218" w:firstLine="0"/>
      </w:pPr>
      <w:bookmarkStart w:name="7A.8.2 Collection of energy data and est" w:id="1791"/>
      <w:bookmarkEnd w:id="1791"/>
      <w:r>
        <w:rPr>
          <w:b w:val="0"/>
        </w:rPr>
      </w:r>
      <w:bookmarkStart w:name="_bookmark721" w:id="1792"/>
      <w:bookmarkEnd w:id="1792"/>
      <w:r>
        <w:rPr>
          <w:b w:val="0"/>
        </w:rPr>
      </w:r>
      <w:r>
        <w:rPr/>
        <w:t>7A.8.2</w:t>
        <w:tab/>
        <w:t>Collection of energy data and estimation of metering</w:t>
      </w:r>
      <w:r>
        <w:rPr>
          <w:spacing w:val="-12"/>
        </w:rPr>
        <w:t> </w:t>
      </w:r>
      <w:r>
        <w:rPr/>
        <w:t>data</w:t>
      </w:r>
    </w:p>
    <w:p>
      <w:pPr>
        <w:pStyle w:val="ListParagraph"/>
        <w:numPr>
          <w:ilvl w:val="0"/>
          <w:numId w:val="502"/>
        </w:numPr>
        <w:tabs>
          <w:tab w:pos="1918" w:val="left" w:leader="none"/>
          <w:tab w:pos="1919" w:val="left" w:leader="none"/>
        </w:tabs>
        <w:spacing w:line="240" w:lineRule="auto" w:before="120" w:after="0"/>
        <w:ind w:left="1919" w:right="415" w:hanging="567"/>
        <w:jc w:val="left"/>
        <w:rPr>
          <w:i/>
          <w:sz w:val="24"/>
        </w:rPr>
      </w:pPr>
      <w:r>
        <w:rPr>
          <w:sz w:val="24"/>
        </w:rPr>
        <w:t>A </w:t>
      </w:r>
      <w:r>
        <w:rPr>
          <w:i/>
          <w:sz w:val="24"/>
        </w:rPr>
        <w:t>Metering Data Provider </w:t>
      </w:r>
      <w:r>
        <w:rPr>
          <w:sz w:val="24"/>
        </w:rPr>
        <w:t>must, in accordance with this rule, collect </w:t>
      </w:r>
      <w:r>
        <w:rPr>
          <w:i/>
          <w:sz w:val="24"/>
        </w:rPr>
        <w:t>energy </w:t>
      </w:r>
      <w:r>
        <w:rPr>
          <w:i/>
          <w:sz w:val="24"/>
        </w:rPr>
        <w:t>data</w:t>
      </w:r>
      <w:r>
        <w:rPr>
          <w:i/>
          <w:spacing w:val="11"/>
          <w:sz w:val="24"/>
        </w:rPr>
        <w:t> </w:t>
      </w:r>
      <w:r>
        <w:rPr>
          <w:sz w:val="24"/>
        </w:rPr>
        <w:t>from,</w:t>
      </w:r>
      <w:r>
        <w:rPr>
          <w:spacing w:val="12"/>
          <w:sz w:val="24"/>
        </w:rPr>
        <w:t> </w:t>
      </w:r>
      <w:r>
        <w:rPr>
          <w:sz w:val="24"/>
        </w:rPr>
        <w:t>and</w:t>
      </w:r>
      <w:r>
        <w:rPr>
          <w:spacing w:val="13"/>
          <w:sz w:val="24"/>
        </w:rPr>
        <w:t> </w:t>
      </w:r>
      <w:r>
        <w:rPr>
          <w:sz w:val="24"/>
        </w:rPr>
        <w:t>estimate</w:t>
      </w:r>
      <w:r>
        <w:rPr>
          <w:spacing w:val="12"/>
          <w:sz w:val="24"/>
        </w:rPr>
        <w:t> </w:t>
      </w:r>
      <w:r>
        <w:rPr>
          <w:i/>
          <w:sz w:val="24"/>
        </w:rPr>
        <w:t>metering</w:t>
      </w:r>
      <w:r>
        <w:rPr>
          <w:i/>
          <w:spacing w:val="11"/>
          <w:sz w:val="24"/>
        </w:rPr>
        <w:t> </w:t>
      </w:r>
      <w:r>
        <w:rPr>
          <w:i/>
          <w:sz w:val="24"/>
        </w:rPr>
        <w:t>data</w:t>
      </w:r>
      <w:r>
        <w:rPr>
          <w:i/>
          <w:spacing w:val="12"/>
          <w:sz w:val="24"/>
        </w:rPr>
        <w:t> </w:t>
      </w:r>
      <w:r>
        <w:rPr>
          <w:sz w:val="24"/>
        </w:rPr>
        <w:t>in</w:t>
      </w:r>
      <w:r>
        <w:rPr>
          <w:spacing w:val="12"/>
          <w:sz w:val="24"/>
        </w:rPr>
        <w:t> </w:t>
      </w:r>
      <w:r>
        <w:rPr>
          <w:sz w:val="24"/>
        </w:rPr>
        <w:t>respect</w:t>
      </w:r>
      <w:r>
        <w:rPr>
          <w:spacing w:val="12"/>
          <w:sz w:val="24"/>
        </w:rPr>
        <w:t> </w:t>
      </w:r>
      <w:r>
        <w:rPr>
          <w:sz w:val="24"/>
        </w:rPr>
        <w:t>of,</w:t>
      </w:r>
      <w:r>
        <w:rPr>
          <w:spacing w:val="11"/>
          <w:sz w:val="24"/>
        </w:rPr>
        <w:t> </w:t>
      </w:r>
      <w:r>
        <w:rPr>
          <w:sz w:val="24"/>
        </w:rPr>
        <w:t>a</w:t>
      </w:r>
      <w:r>
        <w:rPr>
          <w:spacing w:val="13"/>
          <w:sz w:val="24"/>
        </w:rPr>
        <w:t> </w:t>
      </w:r>
      <w:r>
        <w:rPr>
          <w:i/>
          <w:sz w:val="24"/>
        </w:rPr>
        <w:t>metering</w:t>
      </w:r>
      <w:r>
        <w:rPr>
          <w:i/>
          <w:spacing w:val="13"/>
          <w:sz w:val="24"/>
        </w:rPr>
        <w:t> </w:t>
      </w:r>
      <w:r>
        <w:rPr>
          <w:i/>
          <w:sz w:val="24"/>
        </w:rPr>
        <w:t>installation</w:t>
      </w:r>
    </w:p>
    <w:p>
      <w:pPr>
        <w:spacing w:after="0" w:line="240" w:lineRule="auto"/>
        <w:jc w:val="left"/>
        <w:rPr>
          <w:sz w:val="24"/>
        </w:rPr>
        <w:sectPr>
          <w:pgSz w:w="11910" w:h="16840"/>
          <w:pgMar w:header="686" w:footer="637" w:top="1320" w:bottom="820" w:left="1200" w:right="1000"/>
        </w:sectPr>
      </w:pPr>
    </w:p>
    <w:p>
      <w:pPr>
        <w:spacing w:before="83"/>
        <w:ind w:left="1919" w:right="0" w:firstLine="0"/>
        <w:jc w:val="left"/>
        <w:rPr>
          <w:sz w:val="24"/>
        </w:rPr>
      </w:pPr>
      <w:r>
        <w:rPr>
          <w:sz w:val="24"/>
        </w:rPr>
        <w:t>at a </w:t>
      </w:r>
      <w:r>
        <w:rPr>
          <w:i/>
          <w:sz w:val="24"/>
        </w:rPr>
        <w:t>connection point </w:t>
      </w:r>
      <w:r>
        <w:rPr>
          <w:sz w:val="24"/>
        </w:rPr>
        <w:t>for which it has been appointed the </w:t>
      </w:r>
      <w:r>
        <w:rPr>
          <w:i/>
          <w:sz w:val="24"/>
        </w:rPr>
        <w:t>Metering Data </w:t>
      </w:r>
      <w:r>
        <w:rPr>
          <w:i/>
          <w:sz w:val="24"/>
        </w:rPr>
        <w:t>Provider</w:t>
      </w:r>
      <w:r>
        <w:rPr>
          <w:sz w:val="24"/>
        </w:rPr>
        <w:t>.</w:t>
      </w:r>
    </w:p>
    <w:p>
      <w:pPr>
        <w:spacing w:before="220"/>
        <w:ind w:left="1356" w:right="0" w:firstLine="0"/>
        <w:jc w:val="left"/>
        <w:rPr>
          <w:rFonts w:ascii="Arial"/>
          <w:b/>
          <w:sz w:val="22"/>
        </w:rPr>
      </w:pPr>
      <w:r>
        <w:rPr>
          <w:rFonts w:ascii="Arial"/>
          <w:b/>
          <w:sz w:val="22"/>
        </w:rPr>
        <w:t>Scheduled meter reading</w:t>
      </w:r>
    </w:p>
    <w:p>
      <w:pPr>
        <w:pStyle w:val="ListParagraph"/>
        <w:numPr>
          <w:ilvl w:val="0"/>
          <w:numId w:val="502"/>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use reasonable endeavours to ensure that </w:t>
      </w:r>
      <w:r>
        <w:rPr>
          <w:i/>
          <w:sz w:val="24"/>
        </w:rPr>
        <w:t>energy data </w:t>
      </w:r>
      <w:r>
        <w:rPr>
          <w:sz w:val="24"/>
        </w:rPr>
        <w:t>is collected from a </w:t>
      </w:r>
      <w:r>
        <w:rPr>
          <w:i/>
          <w:sz w:val="24"/>
        </w:rPr>
        <w:t>metering installation </w:t>
      </w:r>
      <w:r>
        <w:rPr>
          <w:sz w:val="24"/>
        </w:rPr>
        <w:t>by way of an actual meter reading at least once every 3 months or, where a greater frequency has been agreed with a financially responsible participant, at that greater frequency.</w:t>
      </w:r>
    </w:p>
    <w:p>
      <w:pPr>
        <w:pStyle w:val="ListParagraph"/>
        <w:numPr>
          <w:ilvl w:val="0"/>
          <w:numId w:val="502"/>
        </w:numPr>
        <w:tabs>
          <w:tab w:pos="1919" w:val="left" w:leader="none"/>
        </w:tabs>
        <w:spacing w:line="240" w:lineRule="auto" w:before="120" w:after="0"/>
        <w:ind w:left="1919" w:right="414" w:hanging="567"/>
        <w:jc w:val="both"/>
        <w:rPr>
          <w:sz w:val="24"/>
        </w:rPr>
      </w:pPr>
      <w:r>
        <w:rPr>
          <w:sz w:val="24"/>
        </w:rPr>
        <w:t>Despite paragraph (b), the </w:t>
      </w:r>
      <w:r>
        <w:rPr>
          <w:i/>
          <w:sz w:val="24"/>
        </w:rPr>
        <w:t>Metering Data Provider </w:t>
      </w:r>
      <w:r>
        <w:rPr>
          <w:sz w:val="24"/>
        </w:rPr>
        <w:t>must ensure that </w:t>
      </w:r>
      <w:r>
        <w:rPr>
          <w:i/>
          <w:sz w:val="24"/>
        </w:rPr>
        <w:t>energy </w:t>
      </w:r>
      <w:r>
        <w:rPr>
          <w:i/>
          <w:sz w:val="24"/>
        </w:rPr>
        <w:t>data </w:t>
      </w:r>
      <w:r>
        <w:rPr>
          <w:sz w:val="24"/>
        </w:rPr>
        <w:t>is collected from a </w:t>
      </w:r>
      <w:r>
        <w:rPr>
          <w:i/>
          <w:sz w:val="24"/>
        </w:rPr>
        <w:t>metering installation </w:t>
      </w:r>
      <w:r>
        <w:rPr>
          <w:sz w:val="24"/>
        </w:rPr>
        <w:t>by way of an actual meter reading at least once every 12</w:t>
      </w:r>
      <w:r>
        <w:rPr>
          <w:spacing w:val="-2"/>
          <w:sz w:val="24"/>
        </w:rPr>
        <w:t> </w:t>
      </w:r>
      <w:r>
        <w:rPr>
          <w:sz w:val="24"/>
        </w:rPr>
        <w:t>months.</w:t>
      </w:r>
    </w:p>
    <w:p>
      <w:pPr>
        <w:spacing w:before="220"/>
        <w:ind w:left="1356" w:right="0" w:firstLine="0"/>
        <w:jc w:val="left"/>
        <w:rPr>
          <w:rFonts w:ascii="Arial"/>
          <w:b/>
          <w:sz w:val="22"/>
        </w:rPr>
      </w:pPr>
      <w:r>
        <w:rPr>
          <w:rFonts w:ascii="Arial"/>
          <w:b/>
          <w:sz w:val="22"/>
        </w:rPr>
        <w:t>Special meter reading</w:t>
      </w:r>
    </w:p>
    <w:p>
      <w:pPr>
        <w:pStyle w:val="ListParagraph"/>
        <w:numPr>
          <w:ilvl w:val="0"/>
          <w:numId w:val="502"/>
        </w:numPr>
        <w:tabs>
          <w:tab w:pos="1919" w:val="left" w:leader="none"/>
        </w:tabs>
        <w:spacing w:line="240" w:lineRule="auto" w:before="120" w:after="0"/>
        <w:ind w:left="1919" w:right="416" w:hanging="567"/>
        <w:jc w:val="both"/>
        <w:rPr>
          <w:sz w:val="24"/>
        </w:rPr>
      </w:pPr>
      <w:r>
        <w:rPr>
          <w:sz w:val="24"/>
        </w:rPr>
        <w:t>The </w:t>
      </w:r>
      <w:r>
        <w:rPr>
          <w:i/>
          <w:sz w:val="24"/>
        </w:rPr>
        <w:t>Metering Data Provider </w:t>
      </w:r>
      <w:r>
        <w:rPr>
          <w:sz w:val="24"/>
        </w:rPr>
        <w:t>must perform a special meter reading (including a final </w:t>
      </w:r>
      <w:r>
        <w:rPr>
          <w:i/>
          <w:sz w:val="24"/>
        </w:rPr>
        <w:t>meter </w:t>
      </w:r>
      <w:r>
        <w:rPr>
          <w:sz w:val="24"/>
        </w:rPr>
        <w:t>reading) at the request of a financially responsible participant.</w:t>
      </w:r>
    </w:p>
    <w:p>
      <w:pPr>
        <w:pStyle w:val="ListParagraph"/>
        <w:numPr>
          <w:ilvl w:val="0"/>
          <w:numId w:val="502"/>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may charge the financially responsible participant or </w:t>
      </w:r>
      <w:r>
        <w:rPr>
          <w:i/>
          <w:sz w:val="24"/>
        </w:rPr>
        <w:t>retail customer</w:t>
      </w:r>
      <w:r>
        <w:rPr>
          <w:sz w:val="24"/>
        </w:rPr>
        <w:t>(as the case may be) for the collection of </w:t>
      </w:r>
      <w:r>
        <w:rPr>
          <w:i/>
          <w:sz w:val="24"/>
        </w:rPr>
        <w:t>energy data </w:t>
      </w:r>
      <w:r>
        <w:rPr>
          <w:sz w:val="24"/>
        </w:rPr>
        <w:t>under paragraph (d) to the extent that its costs of collection are higher than they would otherwise</w:t>
      </w:r>
      <w:r>
        <w:rPr>
          <w:spacing w:val="-2"/>
          <w:sz w:val="24"/>
        </w:rPr>
        <w:t> </w:t>
      </w:r>
      <w:r>
        <w:rPr>
          <w:sz w:val="24"/>
        </w:rPr>
        <w:t>be.</w:t>
      </w:r>
    </w:p>
    <w:p>
      <w:pPr>
        <w:spacing w:before="220"/>
        <w:ind w:left="1356" w:right="0" w:firstLine="0"/>
        <w:jc w:val="left"/>
        <w:rPr>
          <w:rFonts w:ascii="Arial"/>
          <w:b/>
          <w:sz w:val="22"/>
        </w:rPr>
      </w:pPr>
      <w:r>
        <w:rPr>
          <w:rFonts w:ascii="Arial"/>
          <w:b/>
          <w:sz w:val="22"/>
        </w:rPr>
        <w:t>Estimated metering data</w:t>
      </w:r>
    </w:p>
    <w:p>
      <w:pPr>
        <w:pStyle w:val="ListParagraph"/>
        <w:numPr>
          <w:ilvl w:val="0"/>
          <w:numId w:val="502"/>
        </w:numPr>
        <w:tabs>
          <w:tab w:pos="1920" w:val="left" w:leader="none"/>
        </w:tabs>
        <w:spacing w:line="240" w:lineRule="auto" w:before="120" w:after="0"/>
        <w:ind w:left="1919" w:right="415" w:hanging="567"/>
        <w:jc w:val="both"/>
        <w:rPr>
          <w:sz w:val="24"/>
        </w:rPr>
      </w:pPr>
      <w:r>
        <w:rPr>
          <w:sz w:val="24"/>
        </w:rPr>
        <w:t>When </w:t>
      </w:r>
      <w:r>
        <w:rPr>
          <w:i/>
          <w:sz w:val="24"/>
        </w:rPr>
        <w:t>energy data </w:t>
      </w:r>
      <w:r>
        <w:rPr>
          <w:sz w:val="24"/>
        </w:rPr>
        <w:t>is not collected by the </w:t>
      </w:r>
      <w:r>
        <w:rPr>
          <w:i/>
          <w:sz w:val="24"/>
        </w:rPr>
        <w:t>Metering Data Provider </w:t>
      </w:r>
      <w:r>
        <w:rPr>
          <w:sz w:val="24"/>
        </w:rPr>
        <w:t>from a </w:t>
      </w:r>
      <w:r>
        <w:rPr>
          <w:i/>
          <w:sz w:val="24"/>
        </w:rPr>
        <w:t>metering installation </w:t>
      </w:r>
      <w:r>
        <w:rPr>
          <w:sz w:val="24"/>
        </w:rPr>
        <w:t>by way of an actual meter reading at the applicable </w:t>
      </w:r>
      <w:r>
        <w:rPr>
          <w:i/>
          <w:sz w:val="24"/>
        </w:rPr>
        <w:t>meter </w:t>
      </w:r>
      <w:r>
        <w:rPr>
          <w:sz w:val="24"/>
        </w:rPr>
        <w:t>reading frequency under paragraph (b), the </w:t>
      </w:r>
      <w:r>
        <w:rPr>
          <w:i/>
          <w:sz w:val="24"/>
        </w:rPr>
        <w:t>Metering Data Provider </w:t>
      </w:r>
      <w:r>
        <w:rPr>
          <w:sz w:val="24"/>
        </w:rPr>
        <w:t>must estimate </w:t>
      </w:r>
      <w:r>
        <w:rPr>
          <w:i/>
          <w:sz w:val="24"/>
        </w:rPr>
        <w:t>metering data </w:t>
      </w:r>
      <w:r>
        <w:rPr>
          <w:sz w:val="24"/>
        </w:rPr>
        <w:t>for that </w:t>
      </w:r>
      <w:r>
        <w:rPr>
          <w:i/>
          <w:sz w:val="24"/>
        </w:rPr>
        <w:t>metering installation </w:t>
      </w:r>
      <w:r>
        <w:rPr>
          <w:sz w:val="24"/>
        </w:rPr>
        <w:t>in accordance with schedule</w:t>
      </w:r>
      <w:r>
        <w:rPr>
          <w:spacing w:val="-3"/>
          <w:sz w:val="24"/>
        </w:rPr>
        <w:t> </w:t>
      </w:r>
      <w:r>
        <w:rPr>
          <w:sz w:val="24"/>
        </w:rPr>
        <w:t>7A.7.</w:t>
      </w:r>
    </w:p>
    <w:p>
      <w:pPr>
        <w:pStyle w:val="ListParagraph"/>
        <w:numPr>
          <w:ilvl w:val="0"/>
          <w:numId w:val="502"/>
        </w:numPr>
        <w:tabs>
          <w:tab w:pos="1919" w:val="left" w:leader="none"/>
        </w:tabs>
        <w:spacing w:line="240" w:lineRule="auto" w:before="120" w:after="0"/>
        <w:ind w:left="1919" w:right="416" w:hanging="567"/>
        <w:jc w:val="both"/>
        <w:rPr>
          <w:sz w:val="24"/>
        </w:rPr>
      </w:pPr>
      <w:r>
        <w:rPr>
          <w:i/>
          <w:sz w:val="24"/>
        </w:rPr>
        <w:t>Estimated metering data </w:t>
      </w:r>
      <w:r>
        <w:rPr>
          <w:sz w:val="24"/>
        </w:rPr>
        <w:t>for the purposes of paragraph (f) must be provided to the </w:t>
      </w:r>
      <w:r>
        <w:rPr>
          <w:i/>
          <w:sz w:val="24"/>
        </w:rPr>
        <w:t>retailer </w:t>
      </w:r>
      <w:r>
        <w:rPr>
          <w:sz w:val="24"/>
        </w:rPr>
        <w:t>within 10 </w:t>
      </w:r>
      <w:r>
        <w:rPr>
          <w:i/>
          <w:sz w:val="24"/>
        </w:rPr>
        <w:t>business days </w:t>
      </w:r>
      <w:r>
        <w:rPr>
          <w:sz w:val="24"/>
        </w:rPr>
        <w:t>of the scheduled meter reading date under paragraph</w:t>
      </w:r>
      <w:r>
        <w:rPr>
          <w:spacing w:val="-1"/>
          <w:sz w:val="24"/>
        </w:rPr>
        <w:t> </w:t>
      </w:r>
      <w:r>
        <w:rPr>
          <w:sz w:val="24"/>
        </w:rPr>
        <w:t>(b).</w:t>
      </w:r>
    </w:p>
    <w:p>
      <w:pPr>
        <w:spacing w:before="220"/>
        <w:ind w:left="1356" w:right="0" w:firstLine="0"/>
        <w:jc w:val="left"/>
        <w:rPr>
          <w:rFonts w:ascii="Arial"/>
          <w:b/>
          <w:sz w:val="22"/>
        </w:rPr>
      </w:pPr>
      <w:r>
        <w:rPr>
          <w:rFonts w:ascii="Arial"/>
          <w:b/>
          <w:sz w:val="22"/>
        </w:rPr>
        <w:t>Altering energy data</w:t>
      </w:r>
    </w:p>
    <w:p>
      <w:pPr>
        <w:pStyle w:val="ListParagraph"/>
        <w:numPr>
          <w:ilvl w:val="0"/>
          <w:numId w:val="502"/>
        </w:numPr>
        <w:tabs>
          <w:tab w:pos="1919" w:val="left" w:leader="none"/>
        </w:tabs>
        <w:spacing w:line="240" w:lineRule="auto" w:before="120" w:after="0"/>
        <w:ind w:left="1919" w:right="416" w:hanging="567"/>
        <w:jc w:val="both"/>
        <w:rPr>
          <w:sz w:val="24"/>
        </w:rPr>
      </w:pPr>
      <w:r>
        <w:rPr>
          <w:sz w:val="24"/>
        </w:rPr>
        <w:t>The </w:t>
      </w:r>
      <w:r>
        <w:rPr>
          <w:i/>
          <w:sz w:val="24"/>
        </w:rPr>
        <w:t>energy data </w:t>
      </w:r>
      <w:r>
        <w:rPr>
          <w:sz w:val="24"/>
        </w:rPr>
        <w:t>in a </w:t>
      </w:r>
      <w:r>
        <w:rPr>
          <w:i/>
          <w:sz w:val="24"/>
        </w:rPr>
        <w:t>metering installation </w:t>
      </w:r>
      <w:r>
        <w:rPr>
          <w:sz w:val="24"/>
        </w:rPr>
        <w:t>must not be altered except when the </w:t>
      </w:r>
      <w:r>
        <w:rPr>
          <w:i/>
          <w:sz w:val="24"/>
        </w:rPr>
        <w:t>metering installation </w:t>
      </w:r>
      <w:r>
        <w:rPr>
          <w:sz w:val="24"/>
        </w:rPr>
        <w:t>is reset to zero as part of a repair or reprogramming.</w:t>
      </w:r>
    </w:p>
    <w:p>
      <w:pPr>
        <w:pStyle w:val="BodyText"/>
        <w:spacing w:before="10"/>
        <w:ind w:firstLine="0"/>
        <w:jc w:val="left"/>
        <w:rPr>
          <w:sz w:val="20"/>
        </w:rPr>
      </w:pPr>
    </w:p>
    <w:p>
      <w:pPr>
        <w:pStyle w:val="Heading4"/>
        <w:tabs>
          <w:tab w:pos="1351" w:val="left" w:leader="none"/>
        </w:tabs>
        <w:ind w:left="218" w:firstLine="0"/>
      </w:pPr>
      <w:bookmarkStart w:name="7A.8.3 Data management and storage" w:id="1793"/>
      <w:bookmarkEnd w:id="1793"/>
      <w:r>
        <w:rPr>
          <w:b w:val="0"/>
        </w:rPr>
      </w:r>
      <w:bookmarkStart w:name="_bookmark722" w:id="1794"/>
      <w:bookmarkEnd w:id="1794"/>
      <w:r>
        <w:rPr>
          <w:b w:val="0"/>
        </w:rPr>
      </w:r>
      <w:r>
        <w:rPr/>
        <w:t>7A.8.3</w:t>
        <w:tab/>
        <w:t>Data management and</w:t>
      </w:r>
      <w:r>
        <w:rPr>
          <w:spacing w:val="-3"/>
        </w:rPr>
        <w:t> </w:t>
      </w:r>
      <w:r>
        <w:rPr/>
        <w:t>storage</w:t>
      </w:r>
    </w:p>
    <w:p>
      <w:pPr>
        <w:pStyle w:val="ListParagraph"/>
        <w:numPr>
          <w:ilvl w:val="0"/>
          <w:numId w:val="503"/>
        </w:numPr>
        <w:tabs>
          <w:tab w:pos="1918" w:val="left" w:leader="none"/>
          <w:tab w:pos="1919" w:val="left" w:leader="none"/>
        </w:tabs>
        <w:spacing w:line="240" w:lineRule="auto" w:before="120" w:after="0"/>
        <w:ind w:left="1918" w:right="0" w:hanging="567"/>
        <w:jc w:val="left"/>
        <w:rPr>
          <w:sz w:val="24"/>
        </w:rPr>
      </w:pPr>
      <w:r>
        <w:rPr>
          <w:sz w:val="24"/>
        </w:rPr>
        <w:t>A </w:t>
      </w:r>
      <w:r>
        <w:rPr>
          <w:i/>
          <w:sz w:val="24"/>
        </w:rPr>
        <w:t>Metering Data Provider</w:t>
      </w:r>
      <w:r>
        <w:rPr>
          <w:i/>
          <w:spacing w:val="-2"/>
          <w:sz w:val="24"/>
        </w:rPr>
        <w:t> </w:t>
      </w:r>
      <w:r>
        <w:rPr>
          <w:sz w:val="24"/>
        </w:rPr>
        <w:t>must:</w:t>
      </w:r>
    </w:p>
    <w:p>
      <w:pPr>
        <w:pStyle w:val="ListParagraph"/>
        <w:numPr>
          <w:ilvl w:val="1"/>
          <w:numId w:val="503"/>
        </w:numPr>
        <w:tabs>
          <w:tab w:pos="2485" w:val="left" w:leader="none"/>
          <w:tab w:pos="2486" w:val="left" w:leader="none"/>
        </w:tabs>
        <w:spacing w:line="240" w:lineRule="auto" w:before="120" w:after="0"/>
        <w:ind w:left="2485" w:right="0" w:hanging="567"/>
        <w:jc w:val="left"/>
        <w:rPr>
          <w:sz w:val="24"/>
        </w:rPr>
      </w:pPr>
      <w:r>
        <w:rPr>
          <w:sz w:val="24"/>
        </w:rPr>
        <w:t>retain </w:t>
      </w:r>
      <w:r>
        <w:rPr>
          <w:i/>
          <w:sz w:val="24"/>
        </w:rPr>
        <w:t>metering data </w:t>
      </w:r>
      <w:r>
        <w:rPr>
          <w:sz w:val="24"/>
        </w:rPr>
        <w:t>for all relevant </w:t>
      </w:r>
      <w:r>
        <w:rPr>
          <w:i/>
          <w:sz w:val="24"/>
        </w:rPr>
        <w:t>metering installations </w:t>
      </w:r>
      <w:r>
        <w:rPr>
          <w:sz w:val="24"/>
        </w:rPr>
        <w:t>in</w:t>
      </w:r>
      <w:r>
        <w:rPr>
          <w:spacing w:val="10"/>
          <w:sz w:val="24"/>
        </w:rPr>
        <w:t> </w:t>
      </w:r>
      <w:r>
        <w:rPr>
          <w:sz w:val="24"/>
        </w:rPr>
        <w:t>the</w:t>
      </w:r>
    </w:p>
    <w:p>
      <w:pPr>
        <w:spacing w:before="0"/>
        <w:ind w:left="2486" w:right="0" w:firstLine="0"/>
        <w:jc w:val="left"/>
        <w:rPr>
          <w:sz w:val="24"/>
        </w:rPr>
      </w:pPr>
      <w:r>
        <w:rPr>
          <w:i/>
          <w:sz w:val="24"/>
        </w:rPr>
        <w:t>metering data services database</w:t>
      </w:r>
      <w:r>
        <w:rPr>
          <w:sz w:val="24"/>
        </w:rPr>
        <w:t>:</w:t>
      </w:r>
    </w:p>
    <w:p>
      <w:pPr>
        <w:pStyle w:val="ListParagraph"/>
        <w:numPr>
          <w:ilvl w:val="2"/>
          <w:numId w:val="503"/>
        </w:numPr>
        <w:tabs>
          <w:tab w:pos="3052" w:val="left" w:leader="none"/>
          <w:tab w:pos="3053" w:val="left" w:leader="none"/>
        </w:tabs>
        <w:spacing w:line="240" w:lineRule="auto" w:before="120" w:after="0"/>
        <w:ind w:left="3052" w:right="0" w:hanging="567"/>
        <w:jc w:val="left"/>
        <w:rPr>
          <w:sz w:val="24"/>
        </w:rPr>
      </w:pPr>
      <w:r>
        <w:rPr>
          <w:sz w:val="24"/>
        </w:rPr>
        <w:t>in electronic format for at least 13 months;</w:t>
      </w:r>
      <w:r>
        <w:rPr>
          <w:spacing w:val="-2"/>
          <w:sz w:val="24"/>
        </w:rPr>
        <w:t> </w:t>
      </w:r>
      <w:r>
        <w:rPr>
          <w:sz w:val="24"/>
        </w:rPr>
        <w:t>and</w:t>
      </w:r>
    </w:p>
    <w:p>
      <w:pPr>
        <w:pStyle w:val="ListParagraph"/>
        <w:numPr>
          <w:ilvl w:val="2"/>
          <w:numId w:val="503"/>
        </w:numPr>
        <w:tabs>
          <w:tab w:pos="3052" w:val="left" w:leader="none"/>
          <w:tab w:pos="3054" w:val="left" w:leader="none"/>
        </w:tabs>
        <w:spacing w:line="240" w:lineRule="auto" w:before="120" w:after="0"/>
        <w:ind w:left="3053" w:right="416" w:hanging="567"/>
        <w:jc w:val="left"/>
        <w:rPr>
          <w:sz w:val="24"/>
        </w:rPr>
      </w:pPr>
      <w:r>
        <w:rPr>
          <w:sz w:val="24"/>
        </w:rPr>
        <w:t>following the retention under subsubparagraph (i), in an accessible format for at least 7</w:t>
      </w:r>
      <w:r>
        <w:rPr>
          <w:spacing w:val="-2"/>
          <w:sz w:val="24"/>
        </w:rPr>
        <w:t> </w:t>
      </w:r>
      <w:r>
        <w:rPr>
          <w:sz w:val="24"/>
        </w:rPr>
        <w:t>years;</w:t>
      </w:r>
    </w:p>
    <w:p>
      <w:pPr>
        <w:pStyle w:val="ListParagraph"/>
        <w:numPr>
          <w:ilvl w:val="1"/>
          <w:numId w:val="503"/>
        </w:numPr>
        <w:tabs>
          <w:tab w:pos="2485" w:val="left" w:leader="none"/>
          <w:tab w:pos="2486" w:val="left" w:leader="none"/>
        </w:tabs>
        <w:spacing w:line="240" w:lineRule="auto" w:before="120" w:after="0"/>
        <w:ind w:left="2485" w:right="0" w:hanging="567"/>
        <w:jc w:val="left"/>
        <w:rPr>
          <w:sz w:val="24"/>
        </w:rPr>
      </w:pPr>
      <w:r>
        <w:rPr>
          <w:sz w:val="24"/>
        </w:rPr>
        <w:t>archive, in an accessible format, for at least 7</w:t>
      </w:r>
      <w:r>
        <w:rPr>
          <w:spacing w:val="-2"/>
          <w:sz w:val="24"/>
        </w:rPr>
        <w:t> </w:t>
      </w:r>
      <w:r>
        <w:rPr>
          <w:sz w:val="24"/>
        </w:rPr>
        <w:t>years:</w:t>
      </w:r>
    </w:p>
    <w:p>
      <w:pPr>
        <w:spacing w:after="0" w:line="240" w:lineRule="auto"/>
        <w:jc w:val="left"/>
        <w:rPr>
          <w:sz w:val="24"/>
        </w:rPr>
        <w:sectPr>
          <w:pgSz w:w="11910" w:h="16840"/>
          <w:pgMar w:header="686" w:footer="637" w:top="1320" w:bottom="820" w:left="1200" w:right="1000"/>
        </w:sectPr>
      </w:pPr>
    </w:p>
    <w:p>
      <w:pPr>
        <w:pStyle w:val="ListParagraph"/>
        <w:numPr>
          <w:ilvl w:val="2"/>
          <w:numId w:val="503"/>
        </w:numPr>
        <w:tabs>
          <w:tab w:pos="3053" w:val="left" w:leader="none"/>
        </w:tabs>
        <w:spacing w:line="240" w:lineRule="auto" w:before="83" w:after="0"/>
        <w:ind w:left="3053" w:right="415" w:hanging="567"/>
        <w:jc w:val="both"/>
        <w:rPr>
          <w:sz w:val="24"/>
        </w:rPr>
      </w:pPr>
      <w:r>
        <w:rPr>
          <w:i/>
          <w:sz w:val="24"/>
        </w:rPr>
        <w:t>metering data </w:t>
      </w:r>
      <w:r>
        <w:rPr>
          <w:sz w:val="24"/>
        </w:rPr>
        <w:t>in its original form as collected from the </w:t>
      </w:r>
      <w:r>
        <w:rPr>
          <w:i/>
          <w:sz w:val="24"/>
        </w:rPr>
        <w:t>metering </w:t>
      </w:r>
      <w:r>
        <w:rPr>
          <w:i/>
          <w:sz w:val="24"/>
        </w:rPr>
        <w:t>installation</w:t>
      </w:r>
      <w:r>
        <w:rPr>
          <w:sz w:val="24"/>
        </w:rPr>
        <w:t>;</w:t>
      </w:r>
      <w:r>
        <w:rPr>
          <w:spacing w:val="-1"/>
          <w:sz w:val="24"/>
        </w:rPr>
        <w:t> </w:t>
      </w:r>
      <w:r>
        <w:rPr>
          <w:sz w:val="24"/>
        </w:rPr>
        <w:t>and</w:t>
      </w:r>
    </w:p>
    <w:p>
      <w:pPr>
        <w:pStyle w:val="ListParagraph"/>
        <w:numPr>
          <w:ilvl w:val="2"/>
          <w:numId w:val="503"/>
        </w:numPr>
        <w:tabs>
          <w:tab w:pos="3054" w:val="left" w:leader="none"/>
        </w:tabs>
        <w:spacing w:line="240" w:lineRule="auto" w:before="120" w:after="0"/>
        <w:ind w:left="3053" w:right="0" w:hanging="568"/>
        <w:jc w:val="both"/>
        <w:rPr>
          <w:sz w:val="24"/>
        </w:rPr>
      </w:pPr>
      <w:r>
        <w:rPr>
          <w:sz w:val="24"/>
        </w:rPr>
        <w:t>records of each substitution to </w:t>
      </w:r>
      <w:r>
        <w:rPr>
          <w:i/>
          <w:sz w:val="24"/>
        </w:rPr>
        <w:t>metering data </w:t>
      </w:r>
      <w:r>
        <w:rPr>
          <w:sz w:val="24"/>
        </w:rPr>
        <w:t>in respect of</w:t>
      </w:r>
      <w:r>
        <w:rPr>
          <w:spacing w:val="-19"/>
          <w:sz w:val="24"/>
        </w:rPr>
        <w:t> </w:t>
      </w:r>
      <w:r>
        <w:rPr>
          <w:sz w:val="24"/>
        </w:rPr>
        <w:t>a</w:t>
      </w:r>
    </w:p>
    <w:p>
      <w:pPr>
        <w:spacing w:before="0"/>
        <w:ind w:left="3053" w:right="0" w:firstLine="0"/>
        <w:jc w:val="both"/>
        <w:rPr>
          <w:sz w:val="24"/>
        </w:rPr>
      </w:pPr>
      <w:r>
        <w:rPr>
          <w:i/>
          <w:sz w:val="24"/>
        </w:rPr>
        <w:t>metering installation</w:t>
      </w:r>
      <w:r>
        <w:rPr>
          <w:sz w:val="24"/>
        </w:rPr>
        <w:t>;</w:t>
      </w:r>
    </w:p>
    <w:p>
      <w:pPr>
        <w:pStyle w:val="ListParagraph"/>
        <w:numPr>
          <w:ilvl w:val="1"/>
          <w:numId w:val="503"/>
        </w:numPr>
        <w:tabs>
          <w:tab w:pos="2486" w:val="left" w:leader="none"/>
        </w:tabs>
        <w:spacing w:line="240" w:lineRule="auto" w:before="120" w:after="0"/>
        <w:ind w:left="2486" w:right="415" w:hanging="567"/>
        <w:jc w:val="both"/>
        <w:rPr>
          <w:sz w:val="24"/>
        </w:rPr>
      </w:pPr>
      <w:r>
        <w:rPr>
          <w:sz w:val="24"/>
        </w:rPr>
        <w:t>enable the persons mentioned in clause 7A.13.5(c)(1) to (6) to access or receive the </w:t>
      </w:r>
      <w:r>
        <w:rPr>
          <w:i/>
          <w:sz w:val="24"/>
        </w:rPr>
        <w:t>metering data </w:t>
      </w:r>
      <w:r>
        <w:rPr>
          <w:sz w:val="24"/>
        </w:rPr>
        <w:t>and </w:t>
      </w:r>
      <w:r>
        <w:rPr>
          <w:i/>
          <w:sz w:val="24"/>
        </w:rPr>
        <w:t>NT NMI data </w:t>
      </w:r>
      <w:r>
        <w:rPr>
          <w:sz w:val="24"/>
        </w:rPr>
        <w:t>in the </w:t>
      </w:r>
      <w:r>
        <w:rPr>
          <w:i/>
          <w:sz w:val="24"/>
        </w:rPr>
        <w:t>metering data </w:t>
      </w:r>
      <w:r>
        <w:rPr>
          <w:i/>
          <w:sz w:val="24"/>
        </w:rPr>
        <w:t>services database</w:t>
      </w:r>
      <w:r>
        <w:rPr>
          <w:sz w:val="24"/>
        </w:rPr>
        <w:t>;</w:t>
      </w:r>
      <w:r>
        <w:rPr>
          <w:spacing w:val="-2"/>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1"/>
          <w:numId w:val="503"/>
        </w:numPr>
        <w:tabs>
          <w:tab w:pos="2486" w:val="left" w:leader="none"/>
        </w:tabs>
        <w:spacing w:line="240" w:lineRule="auto" w:before="120" w:after="0"/>
        <w:ind w:left="2486" w:right="415" w:hanging="567"/>
        <w:jc w:val="both"/>
        <w:rPr>
          <w:sz w:val="24"/>
        </w:rPr>
      </w:pPr>
      <w:r>
        <w:rPr>
          <w:sz w:val="24"/>
        </w:rPr>
        <w:t>except for the persons mentioned in clause 7A.13.3(c)(1) to </w:t>
      </w:r>
      <w:r>
        <w:rPr>
          <w:spacing w:val="-4"/>
          <w:sz w:val="24"/>
        </w:rPr>
        <w:t>(6),</w:t>
      </w:r>
      <w:r>
        <w:rPr>
          <w:spacing w:val="52"/>
          <w:sz w:val="24"/>
        </w:rPr>
        <w:t> </w:t>
      </w:r>
      <w:r>
        <w:rPr>
          <w:sz w:val="24"/>
        </w:rPr>
        <w:t>ensure that no person has access to the </w:t>
      </w:r>
      <w:r>
        <w:rPr>
          <w:i/>
          <w:sz w:val="24"/>
        </w:rPr>
        <w:t>metering data services </w:t>
      </w:r>
      <w:r>
        <w:rPr>
          <w:i/>
          <w:sz w:val="24"/>
        </w:rPr>
        <w:t>database</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03"/>
        </w:numPr>
        <w:tabs>
          <w:tab w:pos="1919" w:val="left" w:leader="none"/>
        </w:tabs>
        <w:spacing w:line="240" w:lineRule="auto" w:before="120" w:after="0"/>
        <w:ind w:left="1919" w:right="415" w:hanging="567"/>
        <w:jc w:val="both"/>
        <w:rPr>
          <w:sz w:val="24"/>
        </w:rPr>
      </w:pPr>
      <w:r>
        <w:rPr>
          <w:sz w:val="24"/>
        </w:rPr>
        <w:t>A </w:t>
      </w:r>
      <w:r>
        <w:rPr>
          <w:i/>
          <w:sz w:val="24"/>
        </w:rPr>
        <w:t>Metering Data Provider </w:t>
      </w:r>
      <w:r>
        <w:rPr>
          <w:sz w:val="24"/>
        </w:rPr>
        <w:t>must maintain </w:t>
      </w:r>
      <w:r>
        <w:rPr>
          <w:i/>
          <w:sz w:val="24"/>
        </w:rPr>
        <w:t>electronic data transfer </w:t>
      </w:r>
      <w:r>
        <w:rPr>
          <w:sz w:val="24"/>
        </w:rPr>
        <w:t>facilities in order to deliver </w:t>
      </w:r>
      <w:r>
        <w:rPr>
          <w:i/>
          <w:sz w:val="24"/>
        </w:rPr>
        <w:t>metering data </w:t>
      </w:r>
      <w:r>
        <w:rPr>
          <w:sz w:val="24"/>
        </w:rPr>
        <w:t>from the </w:t>
      </w:r>
      <w:r>
        <w:rPr>
          <w:i/>
          <w:sz w:val="24"/>
        </w:rPr>
        <w:t>metering data services database </w:t>
      </w:r>
      <w:r>
        <w:rPr>
          <w:sz w:val="24"/>
        </w:rPr>
        <w:t>in accordance with schedule 7A.8 and clause</w:t>
      </w:r>
      <w:r>
        <w:rPr>
          <w:spacing w:val="-3"/>
          <w:sz w:val="24"/>
        </w:rPr>
        <w:t> </w:t>
      </w:r>
      <w:r>
        <w:rPr>
          <w:sz w:val="24"/>
        </w:rPr>
        <w:t>7A.8.4.</w:t>
      </w:r>
    </w:p>
    <w:p>
      <w:pPr>
        <w:pStyle w:val="ListParagraph"/>
        <w:numPr>
          <w:ilvl w:val="0"/>
          <w:numId w:val="503"/>
        </w:numPr>
        <w:tabs>
          <w:tab w:pos="1919" w:val="left" w:leader="none"/>
        </w:tabs>
        <w:spacing w:line="240" w:lineRule="auto" w:before="120" w:after="0"/>
        <w:ind w:left="1919" w:right="415" w:hanging="567"/>
        <w:jc w:val="both"/>
        <w:rPr>
          <w:sz w:val="24"/>
        </w:rPr>
      </w:pPr>
      <w:r>
        <w:rPr>
          <w:i/>
          <w:sz w:val="24"/>
        </w:rPr>
        <w:t>Check metering data</w:t>
      </w:r>
      <w:r>
        <w:rPr>
          <w:sz w:val="24"/>
        </w:rPr>
        <w:t>, where available, and appropriately adjusted for differences in </w:t>
      </w:r>
      <w:r>
        <w:rPr>
          <w:i/>
          <w:sz w:val="24"/>
        </w:rPr>
        <w:t>metering installation </w:t>
      </w:r>
      <w:r>
        <w:rPr>
          <w:sz w:val="24"/>
        </w:rPr>
        <w:t>accuracy, where applicable, must be used by the </w:t>
      </w:r>
      <w:r>
        <w:rPr>
          <w:i/>
          <w:sz w:val="24"/>
        </w:rPr>
        <w:t>Metering Data Provider </w:t>
      </w:r>
      <w:r>
        <w:rPr>
          <w:sz w:val="24"/>
        </w:rPr>
        <w:t>to validate </w:t>
      </w:r>
      <w:r>
        <w:rPr>
          <w:i/>
          <w:sz w:val="24"/>
        </w:rPr>
        <w:t>metering</w:t>
      </w:r>
      <w:r>
        <w:rPr>
          <w:i/>
          <w:spacing w:val="-4"/>
          <w:sz w:val="24"/>
        </w:rPr>
        <w:t> </w:t>
      </w:r>
      <w:r>
        <w:rPr>
          <w:i/>
          <w:sz w:val="24"/>
        </w:rPr>
        <w:t>data</w:t>
      </w:r>
      <w:r>
        <w:rPr>
          <w:sz w:val="24"/>
        </w:rPr>
        <w:t>.</w:t>
      </w:r>
    </w:p>
    <w:p>
      <w:pPr>
        <w:pStyle w:val="ListParagraph"/>
        <w:numPr>
          <w:ilvl w:val="0"/>
          <w:numId w:val="503"/>
        </w:numPr>
        <w:tabs>
          <w:tab w:pos="1919" w:val="left" w:leader="none"/>
        </w:tabs>
        <w:spacing w:line="240" w:lineRule="auto" w:before="120" w:after="0"/>
        <w:ind w:left="1919" w:right="415" w:hanging="567"/>
        <w:jc w:val="both"/>
        <w:rPr>
          <w:sz w:val="24"/>
        </w:rPr>
      </w:pPr>
      <w:r>
        <w:rPr>
          <w:sz w:val="24"/>
        </w:rPr>
        <w:t>If the </w:t>
      </w:r>
      <w:r>
        <w:rPr>
          <w:i/>
          <w:sz w:val="24"/>
        </w:rPr>
        <w:t>Metering Data Provider </w:t>
      </w:r>
      <w:r>
        <w:rPr>
          <w:sz w:val="24"/>
        </w:rPr>
        <w:t>becomes aware that the </w:t>
      </w:r>
      <w:r>
        <w:rPr>
          <w:i/>
          <w:sz w:val="24"/>
        </w:rPr>
        <w:t>metering data </w:t>
      </w:r>
      <w:r>
        <w:rPr>
          <w:sz w:val="24"/>
        </w:rPr>
        <w:t>that has been delivered into the </w:t>
      </w:r>
      <w:r>
        <w:rPr>
          <w:i/>
          <w:sz w:val="24"/>
        </w:rPr>
        <w:t>metering database </w:t>
      </w:r>
      <w:r>
        <w:rPr>
          <w:sz w:val="24"/>
        </w:rPr>
        <w:t>from a </w:t>
      </w:r>
      <w:r>
        <w:rPr>
          <w:i/>
          <w:sz w:val="24"/>
        </w:rPr>
        <w:t>metering data services </w:t>
      </w:r>
      <w:r>
        <w:rPr>
          <w:i/>
          <w:sz w:val="24"/>
        </w:rPr>
        <w:t>database </w:t>
      </w:r>
      <w:r>
        <w:rPr>
          <w:sz w:val="24"/>
        </w:rPr>
        <w:t>is incorrect, then the </w:t>
      </w:r>
      <w:r>
        <w:rPr>
          <w:i/>
          <w:sz w:val="24"/>
        </w:rPr>
        <w:t>Metering Data Provider </w:t>
      </w:r>
      <w:r>
        <w:rPr>
          <w:sz w:val="24"/>
        </w:rPr>
        <w:t>must provide corrected </w:t>
      </w:r>
      <w:r>
        <w:rPr>
          <w:i/>
          <w:sz w:val="24"/>
        </w:rPr>
        <w:t>metering data </w:t>
      </w:r>
      <w:r>
        <w:rPr>
          <w:sz w:val="24"/>
        </w:rPr>
        <w:t>to the financially responsible participant and </w:t>
      </w:r>
      <w:r>
        <w:rPr>
          <w:i/>
          <w:sz w:val="24"/>
        </w:rPr>
        <w:t>NTESMO </w:t>
      </w:r>
      <w:r>
        <w:rPr>
          <w:sz w:val="24"/>
        </w:rPr>
        <w:t>within 1 </w:t>
      </w:r>
      <w:r>
        <w:rPr>
          <w:i/>
          <w:sz w:val="24"/>
        </w:rPr>
        <w:t>business day </w:t>
      </w:r>
      <w:r>
        <w:rPr>
          <w:sz w:val="24"/>
        </w:rPr>
        <w:t>of</w:t>
      </w:r>
      <w:r>
        <w:rPr>
          <w:spacing w:val="-2"/>
          <w:sz w:val="24"/>
        </w:rPr>
        <w:t> </w:t>
      </w:r>
      <w:r>
        <w:rPr>
          <w:sz w:val="24"/>
        </w:rPr>
        <w:t>detection.</w:t>
      </w:r>
    </w:p>
    <w:p>
      <w:pPr>
        <w:pStyle w:val="ListParagraph"/>
        <w:numPr>
          <w:ilvl w:val="0"/>
          <w:numId w:val="503"/>
        </w:numPr>
        <w:tabs>
          <w:tab w:pos="1919" w:val="left" w:leader="none"/>
        </w:tabs>
        <w:spacing w:line="240" w:lineRule="auto" w:before="120" w:after="0"/>
        <w:ind w:left="1919" w:right="414" w:hanging="567"/>
        <w:jc w:val="both"/>
        <w:rPr>
          <w:sz w:val="24"/>
        </w:rPr>
      </w:pPr>
      <w:r>
        <w:rPr>
          <w:i/>
          <w:sz w:val="24"/>
        </w:rPr>
        <w:t>Metering data </w:t>
      </w:r>
      <w:r>
        <w:rPr>
          <w:sz w:val="24"/>
        </w:rPr>
        <w:t>may only be altered by a </w:t>
      </w:r>
      <w:r>
        <w:rPr>
          <w:i/>
          <w:sz w:val="24"/>
        </w:rPr>
        <w:t>Metering Data Provider</w:t>
      </w:r>
      <w:r>
        <w:rPr>
          <w:sz w:val="24"/>
        </w:rPr>
        <w:t>, except in the preparation of </w:t>
      </w:r>
      <w:r>
        <w:rPr>
          <w:i/>
          <w:sz w:val="24"/>
        </w:rPr>
        <w:t>settlements ready data</w:t>
      </w:r>
      <w:r>
        <w:rPr>
          <w:sz w:val="24"/>
        </w:rPr>
        <w:t>, in which case </w:t>
      </w:r>
      <w:r>
        <w:rPr>
          <w:i/>
          <w:sz w:val="24"/>
        </w:rPr>
        <w:t>NTESMO </w:t>
      </w:r>
      <w:r>
        <w:rPr>
          <w:sz w:val="24"/>
        </w:rPr>
        <w:t>may alter the </w:t>
      </w:r>
      <w:r>
        <w:rPr>
          <w:i/>
          <w:sz w:val="24"/>
        </w:rPr>
        <w:t>metering data </w:t>
      </w:r>
      <w:r>
        <w:rPr>
          <w:sz w:val="24"/>
        </w:rPr>
        <w:t>in accordance with clause</w:t>
      </w:r>
      <w:r>
        <w:rPr>
          <w:spacing w:val="-4"/>
          <w:sz w:val="24"/>
        </w:rPr>
        <w:t> </w:t>
      </w:r>
      <w:r>
        <w:rPr>
          <w:sz w:val="24"/>
        </w:rPr>
        <w:t>7A.9.2(c).</w:t>
      </w:r>
    </w:p>
    <w:p>
      <w:pPr>
        <w:pStyle w:val="ListParagraph"/>
        <w:numPr>
          <w:ilvl w:val="0"/>
          <w:numId w:val="503"/>
        </w:numPr>
        <w:tabs>
          <w:tab w:pos="1920" w:val="left" w:leader="none"/>
        </w:tabs>
        <w:spacing w:line="240" w:lineRule="auto" w:before="120" w:after="0"/>
        <w:ind w:left="1919" w:right="417" w:hanging="567"/>
        <w:jc w:val="both"/>
        <w:rPr>
          <w:sz w:val="24"/>
        </w:rPr>
      </w:pPr>
      <w:r>
        <w:rPr>
          <w:sz w:val="24"/>
        </w:rPr>
        <w:t>A </w:t>
      </w:r>
      <w:r>
        <w:rPr>
          <w:i/>
          <w:sz w:val="24"/>
        </w:rPr>
        <w:t>Metering Data Provider </w:t>
      </w:r>
      <w:r>
        <w:rPr>
          <w:sz w:val="24"/>
        </w:rPr>
        <w:t>may only alter </w:t>
      </w:r>
      <w:r>
        <w:rPr>
          <w:i/>
          <w:sz w:val="24"/>
        </w:rPr>
        <w:t>metering data </w:t>
      </w:r>
      <w:r>
        <w:rPr>
          <w:sz w:val="24"/>
        </w:rPr>
        <w:t>in the </w:t>
      </w:r>
      <w:r>
        <w:rPr>
          <w:i/>
          <w:sz w:val="24"/>
        </w:rPr>
        <w:t>metering </w:t>
      </w:r>
      <w:r>
        <w:rPr>
          <w:i/>
          <w:sz w:val="24"/>
        </w:rPr>
        <w:t>data services database </w:t>
      </w:r>
      <w:r>
        <w:rPr>
          <w:sz w:val="24"/>
        </w:rPr>
        <w:t>in accordance with schedule</w:t>
      </w:r>
      <w:r>
        <w:rPr>
          <w:spacing w:val="-7"/>
          <w:sz w:val="24"/>
        </w:rPr>
        <w:t> </w:t>
      </w:r>
      <w:r>
        <w:rPr>
          <w:sz w:val="24"/>
        </w:rPr>
        <w:t>7A.7.</w:t>
      </w:r>
    </w:p>
    <w:p>
      <w:pPr>
        <w:pStyle w:val="ListParagraph"/>
        <w:numPr>
          <w:ilvl w:val="0"/>
          <w:numId w:val="503"/>
        </w:numPr>
        <w:tabs>
          <w:tab w:pos="1919" w:val="left" w:leader="none"/>
        </w:tabs>
        <w:spacing w:line="240" w:lineRule="auto" w:before="120" w:after="0"/>
        <w:ind w:left="1919" w:right="415" w:hanging="567"/>
        <w:jc w:val="both"/>
        <w:rPr>
          <w:sz w:val="24"/>
        </w:rPr>
      </w:pPr>
      <w:r>
        <w:rPr>
          <w:sz w:val="24"/>
        </w:rPr>
        <w:t>A </w:t>
      </w:r>
      <w:r>
        <w:rPr>
          <w:i/>
          <w:sz w:val="24"/>
        </w:rPr>
        <w:t>Metering Data Provider </w:t>
      </w:r>
      <w:r>
        <w:rPr>
          <w:sz w:val="24"/>
        </w:rPr>
        <w:t>must arrange with the </w:t>
      </w:r>
      <w:r>
        <w:rPr>
          <w:i/>
          <w:sz w:val="24"/>
        </w:rPr>
        <w:t>Metering Coordinator </w:t>
      </w:r>
      <w:r>
        <w:rPr>
          <w:sz w:val="24"/>
        </w:rPr>
        <w:t>to obtain the relevant </w:t>
      </w:r>
      <w:r>
        <w:rPr>
          <w:i/>
          <w:sz w:val="24"/>
        </w:rPr>
        <w:t>metering data </w:t>
      </w:r>
      <w:r>
        <w:rPr>
          <w:sz w:val="24"/>
        </w:rPr>
        <w:t>if </w:t>
      </w:r>
      <w:r>
        <w:rPr>
          <w:i/>
          <w:sz w:val="24"/>
        </w:rPr>
        <w:t>remote acquisition</w:t>
      </w:r>
      <w:r>
        <w:rPr>
          <w:sz w:val="24"/>
        </w:rPr>
        <w:t>, if any, becomes unavailable.</w:t>
      </w:r>
    </w:p>
    <w:p>
      <w:pPr>
        <w:pStyle w:val="ListParagraph"/>
        <w:numPr>
          <w:ilvl w:val="0"/>
          <w:numId w:val="503"/>
        </w:numPr>
        <w:tabs>
          <w:tab w:pos="1919" w:val="left" w:leader="none"/>
        </w:tabs>
        <w:spacing w:line="240" w:lineRule="auto" w:before="120" w:after="0"/>
        <w:ind w:left="1919" w:right="415" w:hanging="567"/>
        <w:jc w:val="both"/>
        <w:rPr>
          <w:sz w:val="24"/>
        </w:rPr>
      </w:pPr>
      <w:r>
        <w:rPr>
          <w:sz w:val="24"/>
        </w:rPr>
        <w:t>A </w:t>
      </w:r>
      <w:r>
        <w:rPr>
          <w:i/>
          <w:sz w:val="24"/>
        </w:rPr>
        <w:t>Metering Data Provider's </w:t>
      </w:r>
      <w:r>
        <w:rPr>
          <w:sz w:val="24"/>
        </w:rPr>
        <w:t>rules and protocols for supplying </w:t>
      </w:r>
      <w:r>
        <w:rPr>
          <w:i/>
          <w:sz w:val="24"/>
        </w:rPr>
        <w:t>metering data </w:t>
      </w:r>
      <w:r>
        <w:rPr>
          <w:i/>
          <w:sz w:val="24"/>
        </w:rPr>
        <w:t>services </w:t>
      </w:r>
      <w:r>
        <w:rPr>
          <w:sz w:val="24"/>
        </w:rPr>
        <w:t>must be approved by </w:t>
      </w:r>
      <w:r>
        <w:rPr>
          <w:i/>
          <w:sz w:val="24"/>
        </w:rPr>
        <w:t>NTESMO </w:t>
      </w:r>
      <w:r>
        <w:rPr>
          <w:sz w:val="24"/>
        </w:rPr>
        <w:t>and </w:t>
      </w:r>
      <w:r>
        <w:rPr>
          <w:i/>
          <w:sz w:val="24"/>
        </w:rPr>
        <w:t>NTESMO </w:t>
      </w:r>
      <w:r>
        <w:rPr>
          <w:sz w:val="24"/>
        </w:rPr>
        <w:t>must not unreasonably withhold such</w:t>
      </w:r>
      <w:r>
        <w:rPr>
          <w:spacing w:val="-2"/>
          <w:sz w:val="24"/>
        </w:rPr>
        <w:t> </w:t>
      </w:r>
      <w:r>
        <w:rPr>
          <w:sz w:val="24"/>
        </w:rPr>
        <w:t>approval.</w:t>
      </w:r>
    </w:p>
    <w:p>
      <w:pPr>
        <w:pStyle w:val="BodyText"/>
        <w:spacing w:before="10"/>
        <w:ind w:firstLine="0"/>
        <w:jc w:val="left"/>
        <w:rPr>
          <w:sz w:val="20"/>
        </w:rPr>
      </w:pPr>
    </w:p>
    <w:p>
      <w:pPr>
        <w:pStyle w:val="Heading4"/>
        <w:tabs>
          <w:tab w:pos="1351" w:val="left" w:leader="none"/>
        </w:tabs>
        <w:ind w:left="218" w:firstLine="0"/>
      </w:pPr>
      <w:bookmarkStart w:name="7A.8.4 Provision of metering data to cer" w:id="1795"/>
      <w:bookmarkEnd w:id="1795"/>
      <w:r>
        <w:rPr>
          <w:b w:val="0"/>
        </w:rPr>
      </w:r>
      <w:bookmarkStart w:name="_bookmark723" w:id="1796"/>
      <w:bookmarkEnd w:id="1796"/>
      <w:r>
        <w:rPr>
          <w:b w:val="0"/>
        </w:rPr>
      </w:r>
      <w:r>
        <w:rPr/>
        <w:t>7A.8.4</w:t>
        <w:tab/>
        <w:t>Provision of metering data to certain</w:t>
      </w:r>
      <w:r>
        <w:rPr>
          <w:spacing w:val="-3"/>
        </w:rPr>
        <w:t> </w:t>
      </w:r>
      <w:r>
        <w:rPr/>
        <w:t>persons</w:t>
      </w:r>
    </w:p>
    <w:p>
      <w:pPr>
        <w:spacing w:before="120"/>
        <w:ind w:left="1352" w:right="414" w:firstLine="0"/>
        <w:jc w:val="both"/>
        <w:rPr>
          <w:sz w:val="24"/>
        </w:rPr>
      </w:pPr>
      <w:r>
        <w:rPr>
          <w:sz w:val="24"/>
        </w:rPr>
        <w:t>A </w:t>
      </w:r>
      <w:r>
        <w:rPr>
          <w:i/>
          <w:sz w:val="24"/>
        </w:rPr>
        <w:t>Metering Data Provider </w:t>
      </w:r>
      <w:r>
        <w:rPr>
          <w:sz w:val="24"/>
        </w:rPr>
        <w:t>must give </w:t>
      </w:r>
      <w:r>
        <w:rPr>
          <w:i/>
          <w:sz w:val="24"/>
        </w:rPr>
        <w:t>metering data </w:t>
      </w:r>
      <w:r>
        <w:rPr>
          <w:sz w:val="24"/>
        </w:rPr>
        <w:t>and relevant </w:t>
      </w:r>
      <w:r>
        <w:rPr>
          <w:i/>
          <w:sz w:val="24"/>
        </w:rPr>
        <w:t>NT NMI data </w:t>
      </w:r>
      <w:r>
        <w:rPr>
          <w:sz w:val="24"/>
        </w:rPr>
        <w:t>to the persons mentioned in clause 7A.13.5(c)(1) to (6) and clause 9A.13.5(g)(1) as required by, and in accordance with, the </w:t>
      </w:r>
      <w:r>
        <w:rPr>
          <w:i/>
          <w:sz w:val="24"/>
        </w:rPr>
        <w:t>Rules</w:t>
      </w:r>
      <w:r>
        <w:rPr>
          <w:sz w:val="24"/>
        </w:rPr>
        <w:t>.</w:t>
      </w:r>
    </w:p>
    <w:p>
      <w:pPr>
        <w:spacing w:after="0"/>
        <w:jc w:val="both"/>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218" w:firstLine="0"/>
      </w:pPr>
      <w:bookmarkStart w:name="7A.8.5 Use of check metering data" w:id="1797"/>
      <w:bookmarkEnd w:id="1797"/>
      <w:r>
        <w:rPr>
          <w:b w:val="0"/>
        </w:rPr>
      </w:r>
      <w:bookmarkStart w:name="_bookmark724" w:id="1798"/>
      <w:bookmarkEnd w:id="1798"/>
      <w:r>
        <w:rPr>
          <w:b w:val="0"/>
        </w:rPr>
      </w:r>
      <w:r>
        <w:rPr/>
        <w:t>7A.8.5</w:t>
        <w:tab/>
        <w:t>Use of check metering</w:t>
      </w:r>
      <w:r>
        <w:rPr>
          <w:spacing w:val="-3"/>
        </w:rPr>
        <w:t> </w:t>
      </w:r>
      <w:r>
        <w:rPr/>
        <w:t>data</w:t>
      </w:r>
    </w:p>
    <w:p>
      <w:pPr>
        <w:spacing w:before="120"/>
        <w:ind w:left="1352" w:right="414" w:firstLine="0"/>
        <w:jc w:val="both"/>
        <w:rPr>
          <w:sz w:val="24"/>
        </w:rPr>
      </w:pPr>
      <w:r>
        <w:rPr>
          <w:i/>
          <w:sz w:val="24"/>
        </w:rPr>
        <w:t>Check metering data</w:t>
      </w:r>
      <w:r>
        <w:rPr>
          <w:sz w:val="24"/>
        </w:rPr>
        <w:t>, if available and if it has been appropriately adjusted for differences in </w:t>
      </w:r>
      <w:r>
        <w:rPr>
          <w:i/>
          <w:sz w:val="24"/>
        </w:rPr>
        <w:t>metering installation </w:t>
      </w:r>
      <w:r>
        <w:rPr>
          <w:sz w:val="24"/>
        </w:rPr>
        <w:t>accuracy, must be used by </w:t>
      </w:r>
      <w:r>
        <w:rPr>
          <w:i/>
          <w:sz w:val="24"/>
        </w:rPr>
        <w:t>Metering Data </w:t>
      </w:r>
      <w:r>
        <w:rPr>
          <w:i/>
          <w:sz w:val="24"/>
        </w:rPr>
        <w:t>Providers </w:t>
      </w:r>
      <w:r>
        <w:rPr>
          <w:sz w:val="24"/>
        </w:rPr>
        <w:t>or </w:t>
      </w:r>
      <w:r>
        <w:rPr>
          <w:i/>
          <w:sz w:val="24"/>
        </w:rPr>
        <w:t>NTESMO</w:t>
      </w:r>
      <w:r>
        <w:rPr>
          <w:sz w:val="24"/>
        </w:rPr>
        <w:t>, as the case may be, for:</w:t>
      </w:r>
    </w:p>
    <w:p>
      <w:pPr>
        <w:pStyle w:val="ListParagraph"/>
        <w:numPr>
          <w:ilvl w:val="0"/>
          <w:numId w:val="504"/>
        </w:numPr>
        <w:tabs>
          <w:tab w:pos="1918" w:val="left" w:leader="none"/>
          <w:tab w:pos="1919" w:val="left" w:leader="none"/>
        </w:tabs>
        <w:spacing w:line="240" w:lineRule="auto" w:before="120" w:after="0"/>
        <w:ind w:left="1918" w:right="0" w:hanging="567"/>
        <w:jc w:val="left"/>
        <w:rPr>
          <w:sz w:val="24"/>
        </w:rPr>
      </w:pPr>
      <w:r>
        <w:rPr>
          <w:sz w:val="24"/>
        </w:rPr>
        <w:t>validation;</w:t>
      </w:r>
    </w:p>
    <w:p>
      <w:pPr>
        <w:pStyle w:val="ListParagraph"/>
        <w:numPr>
          <w:ilvl w:val="0"/>
          <w:numId w:val="504"/>
        </w:numPr>
        <w:tabs>
          <w:tab w:pos="1918" w:val="left" w:leader="none"/>
          <w:tab w:pos="1919" w:val="left" w:leader="none"/>
        </w:tabs>
        <w:spacing w:line="240" w:lineRule="auto" w:before="120" w:after="0"/>
        <w:ind w:left="1918" w:right="0" w:hanging="567"/>
        <w:jc w:val="left"/>
        <w:rPr>
          <w:sz w:val="24"/>
        </w:rPr>
      </w:pPr>
      <w:r>
        <w:rPr>
          <w:sz w:val="24"/>
        </w:rPr>
        <w:t>substitution; and</w:t>
      </w:r>
    </w:p>
    <w:p>
      <w:pPr>
        <w:pStyle w:val="ListParagraph"/>
        <w:numPr>
          <w:ilvl w:val="0"/>
          <w:numId w:val="504"/>
        </w:numPr>
        <w:tabs>
          <w:tab w:pos="1918" w:val="left" w:leader="none"/>
          <w:tab w:pos="1919" w:val="left" w:leader="none"/>
        </w:tabs>
        <w:spacing w:line="240" w:lineRule="auto" w:before="120" w:after="0"/>
        <w:ind w:left="1918" w:right="0" w:hanging="567"/>
        <w:jc w:val="left"/>
        <w:rPr>
          <w:sz w:val="24"/>
        </w:rPr>
      </w:pPr>
      <w:r>
        <w:rPr>
          <w:sz w:val="24"/>
        </w:rPr>
        <w:t>estimation,</w:t>
      </w:r>
    </w:p>
    <w:p>
      <w:pPr>
        <w:spacing w:before="120"/>
        <w:ind w:left="1352" w:right="0" w:firstLine="0"/>
        <w:jc w:val="left"/>
        <w:rPr>
          <w:sz w:val="24"/>
        </w:rPr>
      </w:pPr>
      <w:r>
        <w:rPr>
          <w:sz w:val="24"/>
        </w:rPr>
        <w:t>of </w:t>
      </w:r>
      <w:r>
        <w:rPr>
          <w:i/>
          <w:sz w:val="24"/>
        </w:rPr>
        <w:t>metering data </w:t>
      </w:r>
      <w:r>
        <w:rPr>
          <w:sz w:val="24"/>
        </w:rPr>
        <w:t>as required by clause 7A.8.1.</w:t>
      </w:r>
    </w:p>
    <w:p>
      <w:pPr>
        <w:pStyle w:val="BodyText"/>
        <w:spacing w:before="10"/>
        <w:ind w:firstLine="0"/>
        <w:jc w:val="left"/>
        <w:rPr>
          <w:sz w:val="20"/>
        </w:rPr>
      </w:pPr>
    </w:p>
    <w:p>
      <w:pPr>
        <w:pStyle w:val="Heading4"/>
        <w:tabs>
          <w:tab w:pos="1351" w:val="left" w:leader="none"/>
        </w:tabs>
        <w:ind w:left="218" w:firstLine="0"/>
      </w:pPr>
      <w:bookmarkStart w:name="7A.8.6 Periodic energy metering" w:id="1799"/>
      <w:bookmarkEnd w:id="1799"/>
      <w:r>
        <w:rPr>
          <w:b w:val="0"/>
        </w:rPr>
      </w:r>
      <w:bookmarkStart w:name="_bookmark725" w:id="1800"/>
      <w:bookmarkEnd w:id="1800"/>
      <w:r>
        <w:rPr>
          <w:b w:val="0"/>
        </w:rPr>
      </w:r>
      <w:r>
        <w:rPr/>
        <w:t>7A.8.6</w:t>
        <w:tab/>
        <w:t>Periodic energy</w:t>
      </w:r>
      <w:r>
        <w:rPr>
          <w:spacing w:val="-2"/>
        </w:rPr>
        <w:t> </w:t>
      </w:r>
      <w:r>
        <w:rPr/>
        <w:t>metering</w:t>
      </w:r>
    </w:p>
    <w:p>
      <w:pPr>
        <w:pStyle w:val="ListParagraph"/>
        <w:numPr>
          <w:ilvl w:val="0"/>
          <w:numId w:val="505"/>
        </w:numPr>
        <w:tabs>
          <w:tab w:pos="1918" w:val="left" w:leader="none"/>
          <w:tab w:pos="1919" w:val="left" w:leader="none"/>
        </w:tabs>
        <w:spacing w:line="240" w:lineRule="auto" w:before="120" w:after="0"/>
        <w:ind w:left="1918" w:right="0" w:hanging="567"/>
        <w:jc w:val="left"/>
        <w:rPr>
          <w:sz w:val="24"/>
        </w:rPr>
      </w:pPr>
      <w:r>
        <w:rPr>
          <w:sz w:val="24"/>
        </w:rPr>
        <w:t>Subject to paragraph (b), a </w:t>
      </w:r>
      <w:r>
        <w:rPr>
          <w:i/>
          <w:sz w:val="24"/>
        </w:rPr>
        <w:t>Metering Data Provider</w:t>
      </w:r>
      <w:r>
        <w:rPr>
          <w:i/>
          <w:spacing w:val="-3"/>
          <w:sz w:val="24"/>
        </w:rPr>
        <w:t> </w:t>
      </w:r>
      <w:r>
        <w:rPr>
          <w:sz w:val="24"/>
        </w:rPr>
        <w:t>must:</w:t>
      </w:r>
    </w:p>
    <w:p>
      <w:pPr>
        <w:pStyle w:val="ListParagraph"/>
        <w:numPr>
          <w:ilvl w:val="1"/>
          <w:numId w:val="505"/>
        </w:numPr>
        <w:tabs>
          <w:tab w:pos="2485" w:val="left" w:leader="none"/>
          <w:tab w:pos="2486" w:val="left" w:leader="none"/>
        </w:tabs>
        <w:spacing w:line="240" w:lineRule="auto" w:before="120" w:after="0"/>
        <w:ind w:left="2486" w:right="416" w:hanging="567"/>
        <w:jc w:val="left"/>
        <w:rPr>
          <w:sz w:val="24"/>
        </w:rPr>
      </w:pPr>
      <w:r>
        <w:rPr>
          <w:sz w:val="24"/>
        </w:rPr>
        <w:t>for type 1, 2, 3, 4, 4A and 5 </w:t>
      </w:r>
      <w:r>
        <w:rPr>
          <w:i/>
          <w:sz w:val="24"/>
        </w:rPr>
        <w:t>metering installations</w:t>
      </w:r>
      <w:r>
        <w:rPr>
          <w:sz w:val="24"/>
        </w:rPr>
        <w:t>, collate </w:t>
      </w:r>
      <w:r>
        <w:rPr>
          <w:i/>
          <w:sz w:val="24"/>
        </w:rPr>
        <w:t>metering </w:t>
      </w:r>
      <w:r>
        <w:rPr>
          <w:i/>
          <w:sz w:val="24"/>
        </w:rPr>
        <w:t>data </w:t>
      </w:r>
      <w:r>
        <w:rPr>
          <w:sz w:val="24"/>
        </w:rPr>
        <w:t>relating</w:t>
      </w:r>
      <w:r>
        <w:rPr>
          <w:spacing w:val="-1"/>
          <w:sz w:val="24"/>
        </w:rPr>
        <w:t> </w:t>
      </w:r>
      <w:r>
        <w:rPr>
          <w:sz w:val="24"/>
        </w:rPr>
        <w:t>to:</w:t>
      </w:r>
    </w:p>
    <w:p>
      <w:pPr>
        <w:pStyle w:val="ListParagraph"/>
        <w:numPr>
          <w:ilvl w:val="2"/>
          <w:numId w:val="505"/>
        </w:numPr>
        <w:tabs>
          <w:tab w:pos="3052" w:val="left" w:leader="none"/>
          <w:tab w:pos="3053" w:val="left" w:leader="none"/>
        </w:tabs>
        <w:spacing w:line="240" w:lineRule="auto" w:before="120" w:after="0"/>
        <w:ind w:left="3052" w:right="0" w:hanging="567"/>
        <w:jc w:val="left"/>
        <w:rPr>
          <w:sz w:val="24"/>
        </w:rPr>
      </w:pPr>
      <w:r>
        <w:rPr>
          <w:sz w:val="24"/>
        </w:rPr>
        <w:t>the amount of </w:t>
      </w:r>
      <w:r>
        <w:rPr>
          <w:i/>
          <w:sz w:val="24"/>
        </w:rPr>
        <w:t>active energy</w:t>
      </w:r>
      <w:r>
        <w:rPr>
          <w:sz w:val="24"/>
        </w:rPr>
        <w:t>;</w:t>
      </w:r>
      <w:r>
        <w:rPr>
          <w:spacing w:val="-1"/>
          <w:sz w:val="24"/>
        </w:rPr>
        <w:t> </w:t>
      </w:r>
      <w:r>
        <w:rPr>
          <w:sz w:val="24"/>
        </w:rPr>
        <w:t>and</w:t>
      </w:r>
    </w:p>
    <w:p>
      <w:pPr>
        <w:pStyle w:val="ListParagraph"/>
        <w:numPr>
          <w:ilvl w:val="2"/>
          <w:numId w:val="505"/>
        </w:numPr>
        <w:tabs>
          <w:tab w:pos="3052" w:val="left" w:leader="none"/>
          <w:tab w:pos="3054" w:val="left" w:leader="none"/>
        </w:tabs>
        <w:spacing w:line="240" w:lineRule="auto" w:before="120" w:after="0"/>
        <w:ind w:left="3053" w:right="415" w:hanging="567"/>
        <w:jc w:val="left"/>
        <w:rPr>
          <w:sz w:val="24"/>
        </w:rPr>
      </w:pPr>
      <w:r>
        <w:rPr>
          <w:i/>
          <w:sz w:val="24"/>
        </w:rPr>
        <w:t>reactive energy </w:t>
      </w:r>
      <w:r>
        <w:rPr>
          <w:sz w:val="24"/>
        </w:rPr>
        <w:t>(where relevant) passing through a </w:t>
      </w:r>
      <w:r>
        <w:rPr>
          <w:i/>
          <w:sz w:val="24"/>
        </w:rPr>
        <w:t>connection </w:t>
      </w:r>
      <w:r>
        <w:rPr>
          <w:i/>
          <w:sz w:val="24"/>
        </w:rPr>
        <w:t>point</w:t>
      </w:r>
      <w:r>
        <w:rPr>
          <w:sz w:val="24"/>
        </w:rPr>
        <w:t>,</w:t>
      </w:r>
    </w:p>
    <w:p>
      <w:pPr>
        <w:spacing w:before="120"/>
        <w:ind w:left="2486" w:right="0" w:firstLine="0"/>
        <w:jc w:val="left"/>
        <w:rPr>
          <w:sz w:val="24"/>
        </w:rPr>
      </w:pPr>
      <w:r>
        <w:rPr>
          <w:sz w:val="24"/>
        </w:rPr>
        <w:t>in </w:t>
      </w:r>
      <w:r>
        <w:rPr>
          <w:i/>
          <w:sz w:val="24"/>
        </w:rPr>
        <w:t>recording intervals </w:t>
      </w:r>
      <w:r>
        <w:rPr>
          <w:sz w:val="24"/>
        </w:rPr>
        <w:t>within a </w:t>
      </w:r>
      <w:r>
        <w:rPr>
          <w:i/>
          <w:sz w:val="24"/>
        </w:rPr>
        <w:t>metering data services database</w:t>
      </w:r>
      <w:r>
        <w:rPr>
          <w:sz w:val="24"/>
        </w:rPr>
        <w:t>; and</w:t>
      </w:r>
    </w:p>
    <w:p>
      <w:pPr>
        <w:pStyle w:val="ListParagraph"/>
        <w:numPr>
          <w:ilvl w:val="1"/>
          <w:numId w:val="505"/>
        </w:numPr>
        <w:tabs>
          <w:tab w:pos="2485" w:val="left" w:leader="none"/>
          <w:tab w:pos="2486" w:val="left" w:leader="none"/>
        </w:tabs>
        <w:spacing w:line="240" w:lineRule="auto" w:before="120" w:after="0"/>
        <w:ind w:left="2485" w:right="0" w:hanging="567"/>
        <w:jc w:val="left"/>
        <w:rPr>
          <w:i/>
          <w:sz w:val="24"/>
        </w:rPr>
      </w:pPr>
      <w:r>
        <w:rPr>
          <w:sz w:val="24"/>
        </w:rPr>
        <w:t>for type 6 </w:t>
      </w:r>
      <w:r>
        <w:rPr>
          <w:i/>
          <w:sz w:val="24"/>
        </w:rPr>
        <w:t>metering installations</w:t>
      </w:r>
      <w:r>
        <w:rPr>
          <w:sz w:val="24"/>
        </w:rPr>
        <w:t>, collate </w:t>
      </w:r>
      <w:r>
        <w:rPr>
          <w:i/>
          <w:sz w:val="24"/>
        </w:rPr>
        <w:t>accumulated energy</w:t>
      </w:r>
      <w:r>
        <w:rPr>
          <w:i/>
          <w:spacing w:val="34"/>
          <w:sz w:val="24"/>
        </w:rPr>
        <w:t> </w:t>
      </w:r>
      <w:r>
        <w:rPr>
          <w:i/>
          <w:sz w:val="24"/>
        </w:rPr>
        <w:t>data</w:t>
      </w:r>
    </w:p>
    <w:p>
      <w:pPr>
        <w:pStyle w:val="BodyText"/>
        <w:spacing w:before="0"/>
        <w:ind w:left="2486" w:firstLine="0"/>
        <w:jc w:val="left"/>
      </w:pPr>
      <w:r>
        <w:rPr/>
        <w:t>relating to an interval of up to 3 months.</w:t>
      </w:r>
    </w:p>
    <w:p>
      <w:pPr>
        <w:pStyle w:val="ListParagraph"/>
        <w:numPr>
          <w:ilvl w:val="0"/>
          <w:numId w:val="505"/>
        </w:numPr>
        <w:tabs>
          <w:tab w:pos="1918" w:val="left" w:leader="none"/>
          <w:tab w:pos="1919" w:val="left" w:leader="none"/>
        </w:tabs>
        <w:spacing w:line="240" w:lineRule="auto" w:before="120" w:after="0"/>
        <w:ind w:left="1918" w:right="0" w:hanging="567"/>
        <w:jc w:val="left"/>
        <w:rPr>
          <w:sz w:val="24"/>
        </w:rPr>
      </w:pPr>
      <w:r>
        <w:rPr>
          <w:sz w:val="24"/>
        </w:rPr>
        <w:t>However:</w:t>
      </w:r>
    </w:p>
    <w:p>
      <w:pPr>
        <w:pStyle w:val="ListParagraph"/>
        <w:numPr>
          <w:ilvl w:val="1"/>
          <w:numId w:val="505"/>
        </w:numPr>
        <w:tabs>
          <w:tab w:pos="2485" w:val="left" w:leader="none"/>
          <w:tab w:pos="2486" w:val="left" w:leader="none"/>
        </w:tabs>
        <w:spacing w:line="240" w:lineRule="auto" w:before="120" w:after="0"/>
        <w:ind w:left="2485" w:right="0" w:hanging="567"/>
        <w:jc w:val="left"/>
        <w:rPr>
          <w:sz w:val="24"/>
        </w:rPr>
      </w:pPr>
      <w:r>
        <w:rPr>
          <w:sz w:val="24"/>
        </w:rPr>
        <w:t>in relation to paragraph</w:t>
      </w:r>
      <w:r>
        <w:rPr>
          <w:spacing w:val="-1"/>
          <w:sz w:val="24"/>
        </w:rPr>
        <w:t> </w:t>
      </w:r>
      <w:r>
        <w:rPr>
          <w:sz w:val="24"/>
        </w:rPr>
        <w:t>(a)(1):</w:t>
      </w:r>
    </w:p>
    <w:p>
      <w:pPr>
        <w:pStyle w:val="ListParagraph"/>
        <w:numPr>
          <w:ilvl w:val="2"/>
          <w:numId w:val="505"/>
        </w:numPr>
        <w:tabs>
          <w:tab w:pos="3053" w:val="left" w:leader="none"/>
        </w:tabs>
        <w:spacing w:line="240" w:lineRule="auto" w:before="120" w:after="0"/>
        <w:ind w:left="3053" w:right="415" w:hanging="567"/>
        <w:jc w:val="both"/>
        <w:rPr>
          <w:sz w:val="24"/>
        </w:rPr>
      </w:pPr>
      <w:r>
        <w:rPr>
          <w:sz w:val="24"/>
        </w:rPr>
        <w:t>for local electricity systems with a </w:t>
      </w:r>
      <w:r>
        <w:rPr>
          <w:i/>
          <w:sz w:val="24"/>
        </w:rPr>
        <w:t>market </w:t>
      </w:r>
      <w:r>
        <w:rPr>
          <w:sz w:val="24"/>
        </w:rPr>
        <w:t>administered by </w:t>
      </w:r>
      <w:r>
        <w:rPr>
          <w:i/>
          <w:sz w:val="24"/>
        </w:rPr>
        <w:t>NTESMO</w:t>
      </w:r>
      <w:r>
        <w:rPr>
          <w:sz w:val="24"/>
        </w:rPr>
        <w:t>– it may be agreed between </w:t>
      </w:r>
      <w:r>
        <w:rPr>
          <w:i/>
          <w:sz w:val="24"/>
        </w:rPr>
        <w:t>NTESMO </w:t>
      </w:r>
      <w:r>
        <w:rPr>
          <w:sz w:val="24"/>
        </w:rPr>
        <w:t>and the financially responsible participant that </w:t>
      </w:r>
      <w:r>
        <w:rPr>
          <w:i/>
          <w:sz w:val="24"/>
        </w:rPr>
        <w:t>metering data </w:t>
      </w:r>
      <w:r>
        <w:rPr>
          <w:sz w:val="24"/>
        </w:rPr>
        <w:t>may be recorded in sub-multiples of a </w:t>
      </w:r>
      <w:r>
        <w:rPr>
          <w:i/>
          <w:sz w:val="24"/>
        </w:rPr>
        <w:t>recording interval </w:t>
      </w:r>
      <w:r>
        <w:rPr>
          <w:sz w:val="24"/>
        </w:rPr>
        <w:t>where a </w:t>
      </w:r>
      <w:r>
        <w:rPr>
          <w:i/>
          <w:sz w:val="24"/>
        </w:rPr>
        <w:t>metering installation </w:t>
      </w:r>
      <w:r>
        <w:rPr>
          <w:sz w:val="24"/>
        </w:rPr>
        <w:t>is used for the purposes of </w:t>
      </w:r>
      <w:r>
        <w:rPr>
          <w:i/>
          <w:sz w:val="24"/>
        </w:rPr>
        <w:t>settlements</w:t>
      </w:r>
      <w:r>
        <w:rPr>
          <w:sz w:val="24"/>
        </w:rPr>
        <w:t>;</w:t>
      </w:r>
      <w:r>
        <w:rPr>
          <w:spacing w:val="-13"/>
          <w:sz w:val="24"/>
        </w:rPr>
        <w:t> </w:t>
      </w:r>
      <w:r>
        <w:rPr>
          <w:sz w:val="24"/>
        </w:rPr>
        <w:t>and</w:t>
      </w:r>
    </w:p>
    <w:p>
      <w:pPr>
        <w:pStyle w:val="ListParagraph"/>
        <w:numPr>
          <w:ilvl w:val="2"/>
          <w:numId w:val="505"/>
        </w:numPr>
        <w:tabs>
          <w:tab w:pos="3054" w:val="left" w:leader="none"/>
        </w:tabs>
        <w:spacing w:line="240" w:lineRule="auto" w:before="120" w:after="0"/>
        <w:ind w:left="3053" w:right="414" w:hanging="567"/>
        <w:jc w:val="both"/>
        <w:rPr>
          <w:sz w:val="24"/>
        </w:rPr>
      </w:pPr>
      <w:r>
        <w:rPr>
          <w:sz w:val="24"/>
        </w:rPr>
        <w:t>for local electricity systems without a </w:t>
      </w:r>
      <w:r>
        <w:rPr>
          <w:i/>
          <w:sz w:val="24"/>
        </w:rPr>
        <w:t>market </w:t>
      </w:r>
      <w:r>
        <w:rPr>
          <w:sz w:val="24"/>
        </w:rPr>
        <w:t>administered by </w:t>
      </w:r>
      <w:r>
        <w:rPr>
          <w:i/>
          <w:sz w:val="24"/>
        </w:rPr>
        <w:t>NTESMO </w:t>
      </w:r>
      <w:r>
        <w:rPr>
          <w:sz w:val="24"/>
        </w:rPr>
        <w:t>– it may be agreed between the </w:t>
      </w:r>
      <w:r>
        <w:rPr>
          <w:i/>
          <w:sz w:val="24"/>
        </w:rPr>
        <w:t>Metering Coordinator </w:t>
      </w:r>
      <w:r>
        <w:rPr>
          <w:sz w:val="24"/>
        </w:rPr>
        <w:t>and the financially responsible participant that </w:t>
      </w:r>
      <w:r>
        <w:rPr>
          <w:i/>
          <w:sz w:val="24"/>
        </w:rPr>
        <w:t>metering data </w:t>
      </w:r>
      <w:r>
        <w:rPr>
          <w:sz w:val="24"/>
        </w:rPr>
        <w:t>may be recorded in sub-multiples of a </w:t>
      </w:r>
      <w:r>
        <w:rPr>
          <w:i/>
          <w:sz w:val="24"/>
        </w:rPr>
        <w:t>recording interval </w:t>
      </w:r>
      <w:r>
        <w:rPr>
          <w:sz w:val="24"/>
        </w:rPr>
        <w:t>where a </w:t>
      </w:r>
      <w:r>
        <w:rPr>
          <w:i/>
          <w:sz w:val="24"/>
        </w:rPr>
        <w:t>metering installation </w:t>
      </w:r>
      <w:r>
        <w:rPr>
          <w:sz w:val="24"/>
        </w:rPr>
        <w:t>is used for the purposes of </w:t>
      </w:r>
      <w:r>
        <w:rPr>
          <w:i/>
          <w:sz w:val="24"/>
        </w:rPr>
        <w:t>billing </w:t>
      </w:r>
      <w:r>
        <w:rPr>
          <w:i/>
          <w:sz w:val="24"/>
        </w:rPr>
        <w:t>transactions</w:t>
      </w:r>
      <w:r>
        <w:rPr>
          <w:sz w:val="24"/>
        </w:rPr>
        <w:t>; and</w:t>
      </w:r>
    </w:p>
    <w:p>
      <w:pPr>
        <w:pStyle w:val="ListParagraph"/>
        <w:numPr>
          <w:ilvl w:val="1"/>
          <w:numId w:val="505"/>
        </w:numPr>
        <w:tabs>
          <w:tab w:pos="2486" w:val="left" w:leader="none"/>
        </w:tabs>
        <w:spacing w:line="240" w:lineRule="auto" w:before="120" w:after="0"/>
        <w:ind w:left="2485" w:right="0" w:hanging="567"/>
        <w:jc w:val="both"/>
        <w:rPr>
          <w:sz w:val="24"/>
        </w:rPr>
      </w:pPr>
      <w:r>
        <w:rPr>
          <w:sz w:val="24"/>
        </w:rPr>
        <w:t>in relation to paragraph</w:t>
      </w:r>
      <w:r>
        <w:rPr>
          <w:spacing w:val="-1"/>
          <w:sz w:val="24"/>
        </w:rPr>
        <w:t> </w:t>
      </w:r>
      <w:r>
        <w:rPr>
          <w:sz w:val="24"/>
        </w:rPr>
        <w:t>(a)(2):</w:t>
      </w:r>
    </w:p>
    <w:p>
      <w:pPr>
        <w:pStyle w:val="ListParagraph"/>
        <w:numPr>
          <w:ilvl w:val="2"/>
          <w:numId w:val="505"/>
        </w:numPr>
        <w:tabs>
          <w:tab w:pos="3053" w:val="left" w:leader="none"/>
        </w:tabs>
        <w:spacing w:line="240" w:lineRule="auto" w:before="120" w:after="0"/>
        <w:ind w:left="3053" w:right="415" w:hanging="567"/>
        <w:jc w:val="both"/>
        <w:rPr>
          <w:sz w:val="24"/>
        </w:rPr>
      </w:pPr>
      <w:r>
        <w:rPr>
          <w:sz w:val="24"/>
        </w:rPr>
        <w:t>for local electricity systems with a </w:t>
      </w:r>
      <w:r>
        <w:rPr>
          <w:i/>
          <w:sz w:val="24"/>
        </w:rPr>
        <w:t>market </w:t>
      </w:r>
      <w:r>
        <w:rPr>
          <w:sz w:val="24"/>
        </w:rPr>
        <w:t>administered by </w:t>
      </w:r>
      <w:r>
        <w:rPr>
          <w:i/>
          <w:sz w:val="24"/>
        </w:rPr>
        <w:t>NTESMO</w:t>
      </w:r>
      <w:r>
        <w:rPr>
          <w:sz w:val="24"/>
        </w:rPr>
        <w:t>– it may be agreed between </w:t>
      </w:r>
      <w:r>
        <w:rPr>
          <w:i/>
          <w:sz w:val="24"/>
        </w:rPr>
        <w:t>NTESMO </w:t>
      </w:r>
      <w:r>
        <w:rPr>
          <w:sz w:val="24"/>
        </w:rPr>
        <w:t>and the financially responsible participant that some other period will apply either on an ongoing basis or once-off basis;</w:t>
      </w:r>
      <w:r>
        <w:rPr>
          <w:spacing w:val="-1"/>
          <w:sz w:val="24"/>
        </w:rPr>
        <w:t> </w:t>
      </w:r>
      <w:r>
        <w:rPr>
          <w:sz w:val="24"/>
        </w:rPr>
        <w:t>and</w:t>
      </w:r>
    </w:p>
    <w:p>
      <w:pPr>
        <w:pStyle w:val="ListParagraph"/>
        <w:numPr>
          <w:ilvl w:val="2"/>
          <w:numId w:val="505"/>
        </w:numPr>
        <w:tabs>
          <w:tab w:pos="3054" w:val="left" w:leader="none"/>
        </w:tabs>
        <w:spacing w:line="240" w:lineRule="auto" w:before="120" w:after="0"/>
        <w:ind w:left="3053" w:right="0" w:hanging="568"/>
        <w:jc w:val="both"/>
        <w:rPr>
          <w:sz w:val="24"/>
        </w:rPr>
      </w:pPr>
      <w:r>
        <w:rPr>
          <w:sz w:val="24"/>
        </w:rPr>
        <w:t>for</w:t>
      </w:r>
      <w:r>
        <w:rPr>
          <w:spacing w:val="35"/>
          <w:sz w:val="24"/>
        </w:rPr>
        <w:t> </w:t>
      </w:r>
      <w:r>
        <w:rPr>
          <w:sz w:val="24"/>
        </w:rPr>
        <w:t>local</w:t>
      </w:r>
      <w:r>
        <w:rPr>
          <w:spacing w:val="36"/>
          <w:sz w:val="24"/>
        </w:rPr>
        <w:t> </w:t>
      </w:r>
      <w:r>
        <w:rPr>
          <w:sz w:val="24"/>
        </w:rPr>
        <w:t>electricity</w:t>
      </w:r>
      <w:r>
        <w:rPr>
          <w:spacing w:val="37"/>
          <w:sz w:val="24"/>
        </w:rPr>
        <w:t> </w:t>
      </w:r>
      <w:r>
        <w:rPr>
          <w:sz w:val="24"/>
        </w:rPr>
        <w:t>systems</w:t>
      </w:r>
      <w:r>
        <w:rPr>
          <w:spacing w:val="36"/>
          <w:sz w:val="24"/>
        </w:rPr>
        <w:t> </w:t>
      </w:r>
      <w:r>
        <w:rPr>
          <w:sz w:val="24"/>
        </w:rPr>
        <w:t>without</w:t>
      </w:r>
      <w:r>
        <w:rPr>
          <w:spacing w:val="37"/>
          <w:sz w:val="24"/>
        </w:rPr>
        <w:t> </w:t>
      </w:r>
      <w:r>
        <w:rPr>
          <w:sz w:val="24"/>
        </w:rPr>
        <w:t>a</w:t>
      </w:r>
      <w:r>
        <w:rPr>
          <w:spacing w:val="35"/>
          <w:sz w:val="24"/>
        </w:rPr>
        <w:t> </w:t>
      </w:r>
      <w:r>
        <w:rPr>
          <w:i/>
          <w:sz w:val="24"/>
        </w:rPr>
        <w:t>market</w:t>
      </w:r>
      <w:r>
        <w:rPr>
          <w:i/>
          <w:spacing w:val="36"/>
          <w:sz w:val="24"/>
        </w:rPr>
        <w:t> </w:t>
      </w:r>
      <w:r>
        <w:rPr>
          <w:sz w:val="24"/>
        </w:rPr>
        <w:t>administered</w:t>
      </w:r>
      <w:r>
        <w:rPr>
          <w:spacing w:val="37"/>
          <w:sz w:val="24"/>
        </w:rPr>
        <w:t> </w:t>
      </w:r>
      <w:r>
        <w:rPr>
          <w:sz w:val="24"/>
        </w:rPr>
        <w:t>by</w:t>
      </w:r>
    </w:p>
    <w:p>
      <w:pPr>
        <w:spacing w:before="0"/>
        <w:ind w:left="3053" w:right="0" w:firstLine="0"/>
        <w:jc w:val="both"/>
        <w:rPr>
          <w:i/>
          <w:sz w:val="24"/>
        </w:rPr>
      </w:pPr>
      <w:r>
        <w:rPr>
          <w:i/>
          <w:sz w:val="24"/>
        </w:rPr>
        <w:t>NTESMO </w:t>
      </w:r>
      <w:r>
        <w:rPr>
          <w:sz w:val="24"/>
        </w:rPr>
        <w:t>– it may be agreed between the </w:t>
      </w:r>
      <w:r>
        <w:rPr>
          <w:i/>
          <w:sz w:val="24"/>
        </w:rPr>
        <w:t>Metering</w:t>
      </w:r>
      <w:r>
        <w:rPr>
          <w:i/>
          <w:spacing w:val="52"/>
          <w:sz w:val="24"/>
        </w:rPr>
        <w:t> </w:t>
      </w:r>
      <w:r>
        <w:rPr>
          <w:i/>
          <w:sz w:val="24"/>
        </w:rPr>
        <w:t>Coordinator</w:t>
      </w:r>
    </w:p>
    <w:p>
      <w:pPr>
        <w:spacing w:after="0"/>
        <w:jc w:val="both"/>
        <w:rPr>
          <w:sz w:val="24"/>
        </w:rPr>
        <w:sectPr>
          <w:pgSz w:w="11910" w:h="16840"/>
          <w:pgMar w:header="686" w:footer="637" w:top="1320" w:bottom="820" w:left="1200" w:right="1000"/>
        </w:sectPr>
      </w:pPr>
    </w:p>
    <w:p>
      <w:pPr>
        <w:pStyle w:val="BodyText"/>
        <w:spacing w:before="83"/>
        <w:ind w:left="3053" w:right="415" w:firstLine="0"/>
      </w:pPr>
      <w:r>
        <w:rPr/>
        <w:t>and the financially responsible participant that some other  period will apply either on an ongoing basis or once-off</w:t>
      </w:r>
      <w:r>
        <w:rPr>
          <w:spacing w:val="-3"/>
        </w:rPr>
        <w:t> </w:t>
      </w:r>
      <w:r>
        <w:rPr/>
        <w:t>basis.</w:t>
      </w:r>
    </w:p>
    <w:p>
      <w:pPr>
        <w:pStyle w:val="ListParagraph"/>
        <w:numPr>
          <w:ilvl w:val="0"/>
          <w:numId w:val="505"/>
        </w:numPr>
        <w:tabs>
          <w:tab w:pos="1919" w:val="left" w:leader="none"/>
        </w:tabs>
        <w:spacing w:line="240" w:lineRule="auto" w:before="120" w:after="0"/>
        <w:ind w:left="1919" w:right="414" w:hanging="567"/>
        <w:jc w:val="both"/>
        <w:rPr>
          <w:sz w:val="24"/>
        </w:rPr>
      </w:pPr>
      <w:r>
        <w:rPr>
          <w:sz w:val="24"/>
        </w:rPr>
        <w:t>A </w:t>
      </w:r>
      <w:r>
        <w:rPr>
          <w:i/>
          <w:sz w:val="24"/>
        </w:rPr>
        <w:t>Metering Data Provider </w:t>
      </w:r>
      <w:r>
        <w:rPr>
          <w:sz w:val="24"/>
        </w:rPr>
        <w:t>must, for type 7 </w:t>
      </w:r>
      <w:r>
        <w:rPr>
          <w:i/>
          <w:sz w:val="24"/>
        </w:rPr>
        <w:t>metering installations</w:t>
      </w:r>
      <w:r>
        <w:rPr>
          <w:sz w:val="24"/>
        </w:rPr>
        <w:t>, prepare </w:t>
      </w:r>
      <w:r>
        <w:rPr>
          <w:i/>
          <w:sz w:val="24"/>
        </w:rPr>
        <w:t>estimated metering data </w:t>
      </w:r>
      <w:r>
        <w:rPr>
          <w:sz w:val="24"/>
        </w:rPr>
        <w:t>relating to the amount of </w:t>
      </w:r>
      <w:r>
        <w:rPr>
          <w:i/>
          <w:sz w:val="24"/>
        </w:rPr>
        <w:t>active energy </w:t>
      </w:r>
      <w:r>
        <w:rPr>
          <w:sz w:val="24"/>
        </w:rPr>
        <w:t>passing through a </w:t>
      </w:r>
      <w:r>
        <w:rPr>
          <w:i/>
          <w:sz w:val="24"/>
        </w:rPr>
        <w:t>connection point </w:t>
      </w:r>
      <w:r>
        <w:rPr>
          <w:sz w:val="24"/>
        </w:rPr>
        <w:t>in accordance with clause 7A.8.1(a)(4) in</w:t>
      </w:r>
      <w:r>
        <w:rPr>
          <w:spacing w:val="26"/>
          <w:sz w:val="24"/>
        </w:rPr>
        <w:t> </w:t>
      </w:r>
      <w:r>
        <w:rPr>
          <w:sz w:val="24"/>
        </w:rPr>
        <w:t>3 months or, where a greater frequency has been agreed with a financially responsible participant, at that greater frequency within a </w:t>
      </w:r>
      <w:r>
        <w:rPr>
          <w:i/>
          <w:sz w:val="24"/>
        </w:rPr>
        <w:t>metering data </w:t>
      </w:r>
      <w:r>
        <w:rPr>
          <w:i/>
          <w:sz w:val="24"/>
        </w:rPr>
        <w:t>services</w:t>
      </w:r>
      <w:r>
        <w:rPr>
          <w:i/>
          <w:spacing w:val="-2"/>
          <w:sz w:val="24"/>
        </w:rPr>
        <w:t> </w:t>
      </w:r>
      <w:r>
        <w:rPr>
          <w:i/>
          <w:sz w:val="24"/>
        </w:rPr>
        <w:t>database</w:t>
      </w:r>
      <w:r>
        <w:rPr>
          <w:sz w:val="24"/>
        </w:rPr>
        <w:t>.</w:t>
      </w:r>
    </w:p>
    <w:p>
      <w:pPr>
        <w:pStyle w:val="BodyText"/>
        <w:spacing w:before="10"/>
        <w:ind w:firstLine="0"/>
        <w:jc w:val="left"/>
        <w:rPr>
          <w:sz w:val="20"/>
        </w:rPr>
      </w:pPr>
    </w:p>
    <w:p>
      <w:pPr>
        <w:pStyle w:val="Heading4"/>
        <w:tabs>
          <w:tab w:pos="1351" w:val="left" w:leader="none"/>
        </w:tabs>
        <w:ind w:left="1352" w:right="578"/>
      </w:pPr>
      <w:bookmarkStart w:name="7A.8.7 Verification of metering data Met" w:id="1801"/>
      <w:bookmarkEnd w:id="1801"/>
      <w:r>
        <w:rPr>
          <w:b w:val="0"/>
        </w:rPr>
      </w:r>
      <w:bookmarkStart w:name="_bookmark726" w:id="1802"/>
      <w:bookmarkEnd w:id="1802"/>
      <w:r>
        <w:rPr>
          <w:b w:val="0"/>
        </w:rPr>
      </w:r>
      <w:r>
        <w:rPr/>
        <w:t>7A.8.7</w:t>
        <w:tab/>
        <w:t>Verification of metering data Metering installations other than type 7 metering</w:t>
      </w:r>
      <w:r>
        <w:rPr>
          <w:spacing w:val="-1"/>
        </w:rPr>
        <w:t> </w:t>
      </w:r>
      <w:r>
        <w:rPr/>
        <w:t>installations</w:t>
      </w:r>
    </w:p>
    <w:p>
      <w:pPr>
        <w:pStyle w:val="ListParagraph"/>
        <w:numPr>
          <w:ilvl w:val="0"/>
          <w:numId w:val="506"/>
        </w:numPr>
        <w:tabs>
          <w:tab w:pos="1919" w:val="left" w:leader="none"/>
        </w:tabs>
        <w:spacing w:line="240" w:lineRule="auto" w:before="120" w:after="0"/>
        <w:ind w:left="1919" w:right="415" w:hanging="567"/>
        <w:jc w:val="both"/>
        <w:rPr>
          <w:sz w:val="24"/>
        </w:rPr>
      </w:pPr>
      <w:r>
        <w:rPr>
          <w:sz w:val="24"/>
        </w:rPr>
        <w:t>A </w:t>
      </w:r>
      <w:r>
        <w:rPr>
          <w:i/>
          <w:sz w:val="24"/>
        </w:rPr>
        <w:t>Metering Data Provider </w:t>
      </w:r>
      <w:r>
        <w:rPr>
          <w:sz w:val="24"/>
        </w:rPr>
        <w:t>responsible for a </w:t>
      </w:r>
      <w:r>
        <w:rPr>
          <w:i/>
          <w:sz w:val="24"/>
        </w:rPr>
        <w:t>metering installation</w:t>
      </w:r>
      <w:r>
        <w:rPr>
          <w:sz w:val="24"/>
        </w:rPr>
        <w:t>, other than a type 7 </w:t>
      </w:r>
      <w:r>
        <w:rPr>
          <w:i/>
          <w:sz w:val="24"/>
        </w:rPr>
        <w:t>metering installation</w:t>
      </w:r>
      <w:r>
        <w:rPr>
          <w:sz w:val="24"/>
        </w:rPr>
        <w:t>, must ensure that the </w:t>
      </w:r>
      <w:r>
        <w:rPr>
          <w:i/>
          <w:sz w:val="24"/>
        </w:rPr>
        <w:t>metering data </w:t>
      </w:r>
      <w:r>
        <w:rPr>
          <w:sz w:val="24"/>
        </w:rPr>
        <w:t>collected from the installation is validated in accordance with schedule 7A.7.</w:t>
      </w:r>
    </w:p>
    <w:p>
      <w:pPr>
        <w:pStyle w:val="ListParagraph"/>
        <w:numPr>
          <w:ilvl w:val="0"/>
          <w:numId w:val="506"/>
        </w:numPr>
        <w:tabs>
          <w:tab w:pos="1919" w:val="left" w:leader="none"/>
        </w:tabs>
        <w:spacing w:line="240" w:lineRule="auto" w:before="120" w:after="0"/>
        <w:ind w:left="1919" w:right="415" w:hanging="567"/>
        <w:jc w:val="both"/>
        <w:rPr>
          <w:sz w:val="24"/>
        </w:rPr>
      </w:pPr>
      <w:r>
        <w:rPr>
          <w:sz w:val="24"/>
        </w:rPr>
        <w:t>If validation under paragraph (a) demonstrates that there has been a failure of the </w:t>
      </w:r>
      <w:r>
        <w:rPr>
          <w:i/>
          <w:sz w:val="24"/>
        </w:rPr>
        <w:t>metering installation </w:t>
      </w:r>
      <w:r>
        <w:rPr>
          <w:sz w:val="24"/>
        </w:rPr>
        <w:t>or that a measurement error</w:t>
      </w:r>
      <w:r>
        <w:rPr>
          <w:spacing w:val="-3"/>
          <w:sz w:val="24"/>
        </w:rPr>
        <w:t> </w:t>
      </w:r>
      <w:r>
        <w:rPr>
          <w:sz w:val="24"/>
        </w:rPr>
        <w:t>exists:</w:t>
      </w:r>
    </w:p>
    <w:p>
      <w:pPr>
        <w:pStyle w:val="ListParagraph"/>
        <w:numPr>
          <w:ilvl w:val="1"/>
          <w:numId w:val="506"/>
        </w:numPr>
        <w:tabs>
          <w:tab w:pos="2486" w:val="left" w:leader="none"/>
        </w:tabs>
        <w:spacing w:line="240" w:lineRule="auto" w:before="120" w:after="0"/>
        <w:ind w:left="2486" w:right="415" w:hanging="567"/>
        <w:jc w:val="both"/>
        <w:rPr>
          <w:sz w:val="24"/>
        </w:rPr>
      </w:pPr>
      <w:r>
        <w:rPr>
          <w:sz w:val="24"/>
        </w:rPr>
        <w:t>the </w:t>
      </w:r>
      <w:r>
        <w:rPr>
          <w:i/>
          <w:sz w:val="24"/>
        </w:rPr>
        <w:t>metering data </w:t>
      </w:r>
      <w:r>
        <w:rPr>
          <w:sz w:val="24"/>
        </w:rPr>
        <w:t>must be substituted in accordance with schedule 7A.7;</w:t>
      </w:r>
    </w:p>
    <w:p>
      <w:pPr>
        <w:pStyle w:val="ListParagraph"/>
        <w:numPr>
          <w:ilvl w:val="1"/>
          <w:numId w:val="506"/>
        </w:numPr>
        <w:tabs>
          <w:tab w:pos="2486" w:val="left" w:leader="none"/>
        </w:tabs>
        <w:spacing w:line="240" w:lineRule="auto" w:before="120" w:after="0"/>
        <w:ind w:left="2486" w:right="415" w:hanging="567"/>
        <w:jc w:val="both"/>
        <w:rPr>
          <w:sz w:val="24"/>
        </w:rPr>
      </w:pPr>
      <w:r>
        <w:rPr>
          <w:sz w:val="24"/>
        </w:rPr>
        <w:t>the </w:t>
      </w:r>
      <w:r>
        <w:rPr>
          <w:i/>
          <w:sz w:val="24"/>
        </w:rPr>
        <w:t>Metering Data Provider </w:t>
      </w:r>
      <w:r>
        <w:rPr>
          <w:sz w:val="24"/>
        </w:rPr>
        <w:t>must provide the quality flag of the </w:t>
      </w:r>
      <w:r>
        <w:rPr>
          <w:i/>
          <w:sz w:val="24"/>
        </w:rPr>
        <w:t>substituted metering data </w:t>
      </w:r>
      <w:r>
        <w:rPr>
          <w:sz w:val="24"/>
        </w:rPr>
        <w:t>to the financially responsible participant for its record in accordance with clause S7A.7.8.4;</w:t>
      </w:r>
      <w:r>
        <w:rPr>
          <w:spacing w:val="-4"/>
          <w:sz w:val="24"/>
        </w:rPr>
        <w:t> </w:t>
      </w:r>
      <w:r>
        <w:rPr>
          <w:sz w:val="24"/>
        </w:rPr>
        <w:t>and</w:t>
      </w:r>
    </w:p>
    <w:p>
      <w:pPr>
        <w:pStyle w:val="ListParagraph"/>
        <w:numPr>
          <w:ilvl w:val="1"/>
          <w:numId w:val="506"/>
        </w:numPr>
        <w:tabs>
          <w:tab w:pos="2486" w:val="left" w:leader="none"/>
        </w:tabs>
        <w:spacing w:line="240" w:lineRule="auto" w:before="120" w:after="0"/>
        <w:ind w:left="2486" w:right="415" w:hanging="567"/>
        <w:jc w:val="both"/>
        <w:rPr>
          <w:sz w:val="24"/>
        </w:rPr>
      </w:pPr>
      <w:r>
        <w:rPr>
          <w:sz w:val="24"/>
        </w:rPr>
        <w:t>for </w:t>
      </w:r>
      <w:r>
        <w:rPr>
          <w:i/>
          <w:sz w:val="24"/>
        </w:rPr>
        <w:t>connection points </w:t>
      </w:r>
      <w:r>
        <w:rPr>
          <w:sz w:val="24"/>
        </w:rPr>
        <w:t>associated with a </w:t>
      </w:r>
      <w:r>
        <w:rPr>
          <w:i/>
          <w:sz w:val="24"/>
        </w:rPr>
        <w:t>retail customer</w:t>
      </w:r>
      <w:r>
        <w:rPr>
          <w:sz w:val="24"/>
        </w:rPr>
        <w:t>– the </w:t>
      </w:r>
      <w:r>
        <w:rPr>
          <w:i/>
          <w:sz w:val="24"/>
        </w:rPr>
        <w:t>Metering </w:t>
      </w:r>
      <w:r>
        <w:rPr>
          <w:i/>
          <w:sz w:val="24"/>
        </w:rPr>
        <w:t>Data Provider </w:t>
      </w:r>
      <w:r>
        <w:rPr>
          <w:sz w:val="24"/>
        </w:rPr>
        <w:t>must provide the </w:t>
      </w:r>
      <w:r>
        <w:rPr>
          <w:i/>
          <w:sz w:val="24"/>
        </w:rPr>
        <w:t>substituted metering data </w:t>
      </w:r>
      <w:r>
        <w:rPr>
          <w:sz w:val="24"/>
        </w:rPr>
        <w:t>to the </w:t>
      </w:r>
      <w:r>
        <w:rPr>
          <w:i/>
          <w:sz w:val="24"/>
        </w:rPr>
        <w:t>retailer </w:t>
      </w:r>
      <w:r>
        <w:rPr>
          <w:sz w:val="24"/>
        </w:rPr>
        <w:t>so that the </w:t>
      </w:r>
      <w:r>
        <w:rPr>
          <w:i/>
          <w:sz w:val="24"/>
        </w:rPr>
        <w:t>retailer </w:t>
      </w:r>
      <w:r>
        <w:rPr>
          <w:sz w:val="24"/>
        </w:rPr>
        <w:t>can meet its billing</w:t>
      </w:r>
      <w:r>
        <w:rPr>
          <w:spacing w:val="-7"/>
          <w:sz w:val="24"/>
        </w:rPr>
        <w:t> </w:t>
      </w:r>
      <w:r>
        <w:rPr>
          <w:sz w:val="24"/>
        </w:rPr>
        <w:t>obligations.</w:t>
      </w:r>
    </w:p>
    <w:p>
      <w:pPr>
        <w:pStyle w:val="ListParagraph"/>
        <w:numPr>
          <w:ilvl w:val="0"/>
          <w:numId w:val="506"/>
        </w:numPr>
        <w:tabs>
          <w:tab w:pos="1919" w:val="left" w:leader="none"/>
        </w:tabs>
        <w:spacing w:line="240" w:lineRule="auto" w:before="120" w:after="0"/>
        <w:ind w:left="1918" w:right="0" w:hanging="567"/>
        <w:jc w:val="both"/>
        <w:rPr>
          <w:sz w:val="24"/>
        </w:rPr>
      </w:pPr>
      <w:r>
        <w:rPr>
          <w:sz w:val="24"/>
        </w:rPr>
        <w:t>The </w:t>
      </w:r>
      <w:r>
        <w:rPr>
          <w:i/>
          <w:sz w:val="24"/>
        </w:rPr>
        <w:t>Metering Data</w:t>
      </w:r>
      <w:r>
        <w:rPr>
          <w:i/>
          <w:spacing w:val="-2"/>
          <w:sz w:val="24"/>
        </w:rPr>
        <w:t> </w:t>
      </w:r>
      <w:r>
        <w:rPr>
          <w:i/>
          <w:sz w:val="24"/>
        </w:rPr>
        <w:t>Provider</w:t>
      </w:r>
      <w:r>
        <w:rPr>
          <w:sz w:val="24"/>
        </w:rPr>
        <w:t>:</w:t>
      </w:r>
    </w:p>
    <w:p>
      <w:pPr>
        <w:pStyle w:val="ListParagraph"/>
        <w:numPr>
          <w:ilvl w:val="1"/>
          <w:numId w:val="506"/>
        </w:numPr>
        <w:tabs>
          <w:tab w:pos="2486" w:val="left" w:leader="none"/>
        </w:tabs>
        <w:spacing w:line="240" w:lineRule="auto" w:before="120" w:after="0"/>
        <w:ind w:left="2486" w:right="415" w:hanging="567"/>
        <w:jc w:val="both"/>
        <w:rPr>
          <w:sz w:val="24"/>
        </w:rPr>
      </w:pPr>
      <w:r>
        <w:rPr>
          <w:sz w:val="24"/>
        </w:rPr>
        <w:t>must make a separate record of any substitution made under this clause,</w:t>
      </w:r>
      <w:r>
        <w:rPr>
          <w:spacing w:val="-1"/>
          <w:sz w:val="24"/>
        </w:rPr>
        <w:t> </w:t>
      </w:r>
      <w:r>
        <w:rPr>
          <w:sz w:val="24"/>
        </w:rPr>
        <w:t>including:</w:t>
      </w:r>
    </w:p>
    <w:p>
      <w:pPr>
        <w:pStyle w:val="ListParagraph"/>
        <w:numPr>
          <w:ilvl w:val="2"/>
          <w:numId w:val="506"/>
        </w:numPr>
        <w:tabs>
          <w:tab w:pos="3052" w:val="left" w:leader="none"/>
          <w:tab w:pos="3053" w:val="left" w:leader="none"/>
        </w:tabs>
        <w:spacing w:line="240" w:lineRule="auto" w:before="120" w:after="0"/>
        <w:ind w:left="3052" w:right="0" w:hanging="567"/>
        <w:jc w:val="left"/>
        <w:rPr>
          <w:sz w:val="24"/>
        </w:rPr>
      </w:pPr>
      <w:r>
        <w:rPr>
          <w:sz w:val="24"/>
        </w:rPr>
        <w:t>the reasons for the</w:t>
      </w:r>
      <w:r>
        <w:rPr>
          <w:spacing w:val="-1"/>
          <w:sz w:val="24"/>
        </w:rPr>
        <w:t> </w:t>
      </w:r>
      <w:r>
        <w:rPr>
          <w:sz w:val="24"/>
        </w:rPr>
        <w:t>substitution;</w:t>
      </w:r>
    </w:p>
    <w:p>
      <w:pPr>
        <w:pStyle w:val="ListParagraph"/>
        <w:numPr>
          <w:ilvl w:val="2"/>
          <w:numId w:val="506"/>
        </w:numPr>
        <w:tabs>
          <w:tab w:pos="3052" w:val="left" w:leader="none"/>
          <w:tab w:pos="3054" w:val="left" w:leader="none"/>
        </w:tabs>
        <w:spacing w:line="240" w:lineRule="auto" w:before="120" w:after="0"/>
        <w:ind w:left="3053" w:right="0" w:hanging="568"/>
        <w:jc w:val="left"/>
        <w:rPr>
          <w:sz w:val="24"/>
        </w:rPr>
      </w:pPr>
      <w:r>
        <w:rPr>
          <w:sz w:val="24"/>
        </w:rPr>
        <w:t>the methodology used for the substitution;</w:t>
      </w:r>
      <w:r>
        <w:rPr>
          <w:spacing w:val="-5"/>
          <w:sz w:val="24"/>
        </w:rPr>
        <w:t> </w:t>
      </w:r>
      <w:r>
        <w:rPr>
          <w:sz w:val="24"/>
        </w:rPr>
        <w:t>and</w:t>
      </w:r>
    </w:p>
    <w:p>
      <w:pPr>
        <w:pStyle w:val="ListParagraph"/>
        <w:numPr>
          <w:ilvl w:val="2"/>
          <w:numId w:val="506"/>
        </w:numPr>
        <w:tabs>
          <w:tab w:pos="3052" w:val="left" w:leader="none"/>
          <w:tab w:pos="3053" w:val="left" w:leader="none"/>
        </w:tabs>
        <w:spacing w:line="240" w:lineRule="auto" w:before="120" w:after="0"/>
        <w:ind w:left="3052" w:right="0" w:hanging="567"/>
        <w:jc w:val="left"/>
        <w:rPr>
          <w:sz w:val="24"/>
        </w:rPr>
      </w:pPr>
      <w:r>
        <w:rPr>
          <w:sz w:val="24"/>
        </w:rPr>
        <w:t>the </w:t>
      </w:r>
      <w:r>
        <w:rPr>
          <w:i/>
          <w:sz w:val="24"/>
        </w:rPr>
        <w:t>substituted metering data</w:t>
      </w:r>
      <w:r>
        <w:rPr>
          <w:sz w:val="24"/>
        </w:rPr>
        <w:t>;</w:t>
      </w:r>
      <w:r>
        <w:rPr>
          <w:spacing w:val="-2"/>
          <w:sz w:val="24"/>
        </w:rPr>
        <w:t> </w:t>
      </w:r>
      <w:r>
        <w:rPr>
          <w:sz w:val="24"/>
        </w:rPr>
        <w:t>and</w:t>
      </w:r>
    </w:p>
    <w:p>
      <w:pPr>
        <w:pStyle w:val="ListParagraph"/>
        <w:numPr>
          <w:ilvl w:val="1"/>
          <w:numId w:val="506"/>
        </w:numPr>
        <w:tabs>
          <w:tab w:pos="2486" w:val="left" w:leader="none"/>
        </w:tabs>
        <w:spacing w:line="240" w:lineRule="auto" w:before="120" w:after="0"/>
        <w:ind w:left="2486" w:right="414" w:hanging="567"/>
        <w:jc w:val="both"/>
        <w:rPr>
          <w:sz w:val="24"/>
        </w:rPr>
      </w:pPr>
      <w:r>
        <w:rPr>
          <w:sz w:val="24"/>
        </w:rPr>
        <w:t>must maintain the record for at least 7 years and provide access to </w:t>
      </w:r>
      <w:r>
        <w:rPr>
          <w:spacing w:val="-4"/>
          <w:sz w:val="24"/>
        </w:rPr>
        <w:t>the</w:t>
      </w:r>
      <w:r>
        <w:rPr>
          <w:spacing w:val="52"/>
          <w:sz w:val="24"/>
        </w:rPr>
        <w:t> </w:t>
      </w:r>
      <w:r>
        <w:rPr>
          <w:sz w:val="24"/>
        </w:rPr>
        <w:t>record at reasonable times to the relevant financially responsible participant or </w:t>
      </w:r>
      <w:r>
        <w:rPr>
          <w:i/>
          <w:sz w:val="24"/>
        </w:rPr>
        <w:t>retail customer</w:t>
      </w:r>
      <w:r>
        <w:rPr>
          <w:sz w:val="24"/>
        </w:rPr>
        <w:t>(as the case may</w:t>
      </w:r>
      <w:r>
        <w:rPr>
          <w:spacing w:val="-3"/>
          <w:sz w:val="24"/>
        </w:rPr>
        <w:t> </w:t>
      </w:r>
      <w:r>
        <w:rPr>
          <w:sz w:val="24"/>
        </w:rPr>
        <w:t>be).</w:t>
      </w:r>
    </w:p>
    <w:p>
      <w:pPr>
        <w:spacing w:before="220"/>
        <w:ind w:left="1356" w:right="0" w:firstLine="0"/>
        <w:jc w:val="left"/>
        <w:rPr>
          <w:rFonts w:ascii="Arial"/>
          <w:b/>
          <w:sz w:val="22"/>
        </w:rPr>
      </w:pPr>
      <w:r>
        <w:rPr>
          <w:rFonts w:ascii="Arial"/>
          <w:b/>
          <w:sz w:val="22"/>
        </w:rPr>
        <w:t>Type 7 metering installations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Obligations relating to type 7 metering installations, including requirements for calculating metering data under this clause, will only apply in this jurisdiction in the event of a type 7 metering installation being available in this jurisdiction and after a 12 month transitional period allowing all participants to achieve</w:t>
      </w:r>
      <w:r>
        <w:rPr>
          <w:spacing w:val="-2"/>
          <w:sz w:val="20"/>
        </w:rPr>
        <w:t> </w:t>
      </w:r>
      <w:r>
        <w:rPr>
          <w:sz w:val="20"/>
        </w:rPr>
        <w:t>compliance.</w:t>
      </w:r>
    </w:p>
    <w:p>
      <w:pPr>
        <w:pStyle w:val="ListParagraph"/>
        <w:numPr>
          <w:ilvl w:val="0"/>
          <w:numId w:val="506"/>
        </w:numPr>
        <w:tabs>
          <w:tab w:pos="1919" w:val="left" w:leader="none"/>
        </w:tabs>
        <w:spacing w:line="240" w:lineRule="auto" w:before="120" w:after="0"/>
        <w:ind w:left="1918" w:right="0" w:hanging="567"/>
        <w:jc w:val="both"/>
        <w:rPr>
          <w:i/>
          <w:sz w:val="24"/>
        </w:rPr>
      </w:pPr>
      <w:r>
        <w:rPr>
          <w:sz w:val="24"/>
        </w:rPr>
        <w:t>A</w:t>
      </w:r>
      <w:r>
        <w:rPr>
          <w:spacing w:val="41"/>
          <w:sz w:val="24"/>
        </w:rPr>
        <w:t> </w:t>
      </w:r>
      <w:r>
        <w:rPr>
          <w:i/>
          <w:sz w:val="24"/>
        </w:rPr>
        <w:t>Metering</w:t>
      </w:r>
      <w:r>
        <w:rPr>
          <w:i/>
          <w:spacing w:val="41"/>
          <w:sz w:val="24"/>
        </w:rPr>
        <w:t> </w:t>
      </w:r>
      <w:r>
        <w:rPr>
          <w:i/>
          <w:sz w:val="24"/>
        </w:rPr>
        <w:t>Data</w:t>
      </w:r>
      <w:r>
        <w:rPr>
          <w:i/>
          <w:spacing w:val="42"/>
          <w:sz w:val="24"/>
        </w:rPr>
        <w:t> </w:t>
      </w:r>
      <w:r>
        <w:rPr>
          <w:i/>
          <w:sz w:val="24"/>
        </w:rPr>
        <w:t>Provider</w:t>
      </w:r>
      <w:r>
        <w:rPr>
          <w:i/>
          <w:spacing w:val="41"/>
          <w:sz w:val="24"/>
        </w:rPr>
        <w:t> </w:t>
      </w:r>
      <w:r>
        <w:rPr>
          <w:sz w:val="24"/>
        </w:rPr>
        <w:t>responsible</w:t>
      </w:r>
      <w:r>
        <w:rPr>
          <w:spacing w:val="41"/>
          <w:sz w:val="24"/>
        </w:rPr>
        <w:t> </w:t>
      </w:r>
      <w:r>
        <w:rPr>
          <w:sz w:val="24"/>
        </w:rPr>
        <w:t>for</w:t>
      </w:r>
      <w:r>
        <w:rPr>
          <w:spacing w:val="42"/>
          <w:sz w:val="24"/>
        </w:rPr>
        <w:t> </w:t>
      </w:r>
      <w:r>
        <w:rPr>
          <w:sz w:val="24"/>
        </w:rPr>
        <w:t>a</w:t>
      </w:r>
      <w:r>
        <w:rPr>
          <w:spacing w:val="41"/>
          <w:sz w:val="24"/>
        </w:rPr>
        <w:t> </w:t>
      </w:r>
      <w:r>
        <w:rPr>
          <w:sz w:val="24"/>
        </w:rPr>
        <w:t>type</w:t>
      </w:r>
      <w:r>
        <w:rPr>
          <w:spacing w:val="41"/>
          <w:sz w:val="24"/>
        </w:rPr>
        <w:t> </w:t>
      </w:r>
      <w:r>
        <w:rPr>
          <w:sz w:val="24"/>
        </w:rPr>
        <w:t>7</w:t>
      </w:r>
      <w:r>
        <w:rPr>
          <w:spacing w:val="42"/>
          <w:sz w:val="24"/>
        </w:rPr>
        <w:t> </w:t>
      </w:r>
      <w:r>
        <w:rPr>
          <w:i/>
          <w:sz w:val="24"/>
        </w:rPr>
        <w:t>metering</w:t>
      </w:r>
      <w:r>
        <w:rPr>
          <w:i/>
          <w:spacing w:val="41"/>
          <w:sz w:val="24"/>
        </w:rPr>
        <w:t> </w:t>
      </w:r>
      <w:r>
        <w:rPr>
          <w:i/>
          <w:sz w:val="24"/>
        </w:rPr>
        <w:t>installation</w:t>
      </w:r>
    </w:p>
    <w:p>
      <w:pPr>
        <w:spacing w:before="0"/>
        <w:ind w:left="1919" w:right="0" w:firstLine="0"/>
        <w:jc w:val="both"/>
        <w:rPr>
          <w:sz w:val="24"/>
        </w:rPr>
      </w:pPr>
      <w:r>
        <w:rPr>
          <w:sz w:val="24"/>
        </w:rPr>
        <w:t>must ensure that the </w:t>
      </w:r>
      <w:r>
        <w:rPr>
          <w:i/>
          <w:sz w:val="24"/>
        </w:rPr>
        <w:t>metering data </w:t>
      </w:r>
      <w:r>
        <w:rPr>
          <w:sz w:val="24"/>
        </w:rPr>
        <w:t>for that installation:</w:t>
      </w:r>
    </w:p>
    <w:p>
      <w:pPr>
        <w:spacing w:after="0"/>
        <w:jc w:val="both"/>
        <w:rPr>
          <w:sz w:val="24"/>
        </w:rPr>
        <w:sectPr>
          <w:pgSz w:w="11910" w:h="16840"/>
          <w:pgMar w:header="686" w:footer="637" w:top="1320" w:bottom="820" w:left="1200" w:right="1000"/>
        </w:sectPr>
      </w:pPr>
    </w:p>
    <w:p>
      <w:pPr>
        <w:pStyle w:val="ListParagraph"/>
        <w:numPr>
          <w:ilvl w:val="1"/>
          <w:numId w:val="506"/>
        </w:numPr>
        <w:tabs>
          <w:tab w:pos="2486" w:val="left" w:leader="none"/>
        </w:tabs>
        <w:spacing w:line="240" w:lineRule="auto" w:before="83" w:after="0"/>
        <w:ind w:left="2486" w:right="415" w:hanging="567"/>
        <w:jc w:val="both"/>
        <w:rPr>
          <w:sz w:val="24"/>
        </w:rPr>
      </w:pPr>
      <w:r>
        <w:rPr>
          <w:sz w:val="24"/>
        </w:rPr>
        <w:t>is calculated in accordance with the </w:t>
      </w:r>
      <w:r>
        <w:rPr>
          <w:i/>
          <w:sz w:val="24"/>
        </w:rPr>
        <w:t>Network Service Provider's </w:t>
      </w:r>
      <w:r>
        <w:rPr>
          <w:sz w:val="24"/>
        </w:rPr>
        <w:t>applicable procedure, which must be based on a methodology in, or otherwise be consistent with, schedule 7A.7;</w:t>
      </w:r>
      <w:r>
        <w:rPr>
          <w:spacing w:val="-5"/>
          <w:sz w:val="24"/>
        </w:rPr>
        <w:t> </w:t>
      </w:r>
      <w:r>
        <w:rPr>
          <w:sz w:val="24"/>
        </w:rPr>
        <w:t>and</w:t>
      </w:r>
    </w:p>
    <w:p>
      <w:pPr>
        <w:pStyle w:val="ListParagraph"/>
        <w:numPr>
          <w:ilvl w:val="1"/>
          <w:numId w:val="506"/>
        </w:numPr>
        <w:tabs>
          <w:tab w:pos="2486" w:val="left" w:leader="none"/>
        </w:tabs>
        <w:spacing w:line="240" w:lineRule="auto" w:before="120" w:after="0"/>
        <w:ind w:left="2485" w:right="0" w:hanging="567"/>
        <w:jc w:val="both"/>
        <w:rPr>
          <w:sz w:val="24"/>
        </w:rPr>
      </w:pPr>
      <w:r>
        <w:rPr>
          <w:sz w:val="24"/>
        </w:rPr>
        <w:t>is validated in accordance with schedule</w:t>
      </w:r>
      <w:r>
        <w:rPr>
          <w:spacing w:val="-4"/>
          <w:sz w:val="24"/>
        </w:rPr>
        <w:t> </w:t>
      </w:r>
      <w:r>
        <w:rPr>
          <w:sz w:val="24"/>
        </w:rPr>
        <w:t>7A.7.</w:t>
      </w:r>
    </w:p>
    <w:p>
      <w:pPr>
        <w:pStyle w:val="ListParagraph"/>
        <w:numPr>
          <w:ilvl w:val="0"/>
          <w:numId w:val="506"/>
        </w:numPr>
        <w:tabs>
          <w:tab w:pos="1919" w:val="left" w:leader="none"/>
        </w:tabs>
        <w:spacing w:line="240" w:lineRule="auto" w:before="120" w:after="0"/>
        <w:ind w:left="1919" w:right="417" w:hanging="567"/>
        <w:jc w:val="both"/>
        <w:rPr>
          <w:sz w:val="24"/>
        </w:rPr>
      </w:pPr>
      <w:r>
        <w:rPr>
          <w:sz w:val="24"/>
        </w:rPr>
        <w:t>If validation under paragraph (d)(2) demonstrates that there has been </w:t>
      </w:r>
      <w:r>
        <w:rPr>
          <w:spacing w:val="-11"/>
          <w:sz w:val="24"/>
        </w:rPr>
        <w:t>a </w:t>
      </w:r>
      <w:r>
        <w:rPr>
          <w:sz w:val="24"/>
        </w:rPr>
        <w:t>failure of the </w:t>
      </w:r>
      <w:r>
        <w:rPr>
          <w:i/>
          <w:sz w:val="24"/>
        </w:rPr>
        <w:t>metering installation </w:t>
      </w:r>
      <w:r>
        <w:rPr>
          <w:sz w:val="24"/>
        </w:rPr>
        <w:t>or that a measurement error exists, the </w:t>
      </w:r>
      <w:r>
        <w:rPr>
          <w:i/>
          <w:sz w:val="24"/>
        </w:rPr>
        <w:t>Metering Data Provider </w:t>
      </w:r>
      <w:r>
        <w:rPr>
          <w:sz w:val="24"/>
        </w:rPr>
        <w:t>must ensure the </w:t>
      </w:r>
      <w:r>
        <w:rPr>
          <w:i/>
          <w:sz w:val="24"/>
        </w:rPr>
        <w:t>metering data </w:t>
      </w:r>
      <w:r>
        <w:rPr>
          <w:sz w:val="24"/>
        </w:rPr>
        <w:t>is substituted in accordance with schedule</w:t>
      </w:r>
      <w:r>
        <w:rPr>
          <w:spacing w:val="-3"/>
          <w:sz w:val="24"/>
        </w:rPr>
        <w:t> </w:t>
      </w:r>
      <w:r>
        <w:rPr>
          <w:sz w:val="24"/>
        </w:rPr>
        <w:t>7A.7.</w:t>
      </w:r>
    </w:p>
    <w:p>
      <w:pPr>
        <w:pStyle w:val="BodyText"/>
        <w:spacing w:before="10"/>
        <w:ind w:firstLine="0"/>
        <w:jc w:val="left"/>
        <w:rPr>
          <w:sz w:val="20"/>
        </w:rPr>
      </w:pPr>
    </w:p>
    <w:p>
      <w:pPr>
        <w:pStyle w:val="Heading4"/>
        <w:tabs>
          <w:tab w:pos="1351" w:val="left" w:leader="none"/>
        </w:tabs>
        <w:ind w:left="218" w:firstLine="0"/>
      </w:pPr>
      <w:bookmarkStart w:name="7A.8.8 Time settings" w:id="1803"/>
      <w:bookmarkEnd w:id="1803"/>
      <w:r>
        <w:rPr>
          <w:b w:val="0"/>
        </w:rPr>
      </w:r>
      <w:bookmarkStart w:name="_bookmark727" w:id="1804"/>
      <w:bookmarkEnd w:id="1804"/>
      <w:r>
        <w:rPr>
          <w:b w:val="0"/>
        </w:rPr>
      </w:r>
      <w:r>
        <w:rPr/>
        <w:t>7A.8.8</w:t>
        <w:tab/>
        <w:t>Time</w:t>
      </w:r>
      <w:r>
        <w:rPr>
          <w:spacing w:val="-1"/>
        </w:rPr>
        <w:t> </w:t>
      </w:r>
      <w:r>
        <w:rPr/>
        <w:t>settings</w:t>
      </w:r>
    </w:p>
    <w:p>
      <w:pPr>
        <w:pStyle w:val="ListParagraph"/>
        <w:numPr>
          <w:ilvl w:val="0"/>
          <w:numId w:val="507"/>
        </w:numPr>
        <w:tabs>
          <w:tab w:pos="1919" w:val="left" w:leader="none"/>
        </w:tabs>
        <w:spacing w:line="240" w:lineRule="auto" w:before="120" w:after="0"/>
        <w:ind w:left="1919" w:right="413" w:hanging="567"/>
        <w:jc w:val="both"/>
        <w:rPr>
          <w:sz w:val="24"/>
        </w:rPr>
      </w:pPr>
      <w:r>
        <w:rPr>
          <w:sz w:val="24"/>
        </w:rPr>
        <w:t>The </w:t>
      </w:r>
      <w:r>
        <w:rPr>
          <w:i/>
          <w:sz w:val="24"/>
        </w:rPr>
        <w:t>Metering Provider </w:t>
      </w:r>
      <w:r>
        <w:rPr>
          <w:sz w:val="24"/>
        </w:rPr>
        <w:t>must set the times of clocks of all </w:t>
      </w:r>
      <w:r>
        <w:rPr>
          <w:i/>
          <w:sz w:val="24"/>
        </w:rPr>
        <w:t>metering </w:t>
      </w:r>
      <w:r>
        <w:rPr>
          <w:i/>
          <w:sz w:val="24"/>
        </w:rPr>
        <w:t>installations </w:t>
      </w:r>
      <w:r>
        <w:rPr>
          <w:sz w:val="24"/>
        </w:rPr>
        <w:t>with reference to </w:t>
      </w:r>
      <w:r>
        <w:rPr>
          <w:i/>
          <w:sz w:val="24"/>
        </w:rPr>
        <w:t>Australian Central Standard Time </w:t>
      </w:r>
      <w:r>
        <w:rPr>
          <w:sz w:val="24"/>
        </w:rPr>
        <w:t>to a standard of accuracy in accordance with schedule 7A.4 relevant to the </w:t>
      </w:r>
      <w:r>
        <w:rPr>
          <w:i/>
          <w:sz w:val="24"/>
        </w:rPr>
        <w:t>load </w:t>
      </w:r>
      <w:r>
        <w:rPr>
          <w:sz w:val="24"/>
        </w:rPr>
        <w:t>through the </w:t>
      </w:r>
      <w:r>
        <w:rPr>
          <w:i/>
          <w:sz w:val="24"/>
        </w:rPr>
        <w:t>connection point </w:t>
      </w:r>
      <w:r>
        <w:rPr>
          <w:sz w:val="24"/>
        </w:rPr>
        <w:t>when installing, testing and maintaining </w:t>
      </w:r>
      <w:r>
        <w:rPr>
          <w:i/>
          <w:sz w:val="24"/>
        </w:rPr>
        <w:t>metering</w:t>
      </w:r>
      <w:r>
        <w:rPr>
          <w:i/>
          <w:spacing w:val="-2"/>
          <w:sz w:val="24"/>
        </w:rPr>
        <w:t> </w:t>
      </w:r>
      <w:r>
        <w:rPr>
          <w:i/>
          <w:sz w:val="24"/>
        </w:rPr>
        <w:t>installations</w:t>
      </w:r>
      <w:r>
        <w:rPr>
          <w:sz w:val="24"/>
        </w:rPr>
        <w:t>.</w:t>
      </w:r>
    </w:p>
    <w:p>
      <w:pPr>
        <w:pStyle w:val="ListParagraph"/>
        <w:numPr>
          <w:ilvl w:val="0"/>
          <w:numId w:val="507"/>
        </w:numPr>
        <w:tabs>
          <w:tab w:pos="1919" w:val="left" w:leader="none"/>
        </w:tabs>
        <w:spacing w:line="240" w:lineRule="auto" w:before="120" w:after="0"/>
        <w:ind w:left="1918" w:right="0" w:hanging="567"/>
        <w:jc w:val="both"/>
        <w:rPr>
          <w:sz w:val="24"/>
        </w:rPr>
      </w:pPr>
      <w:r>
        <w:rPr>
          <w:i/>
          <w:sz w:val="24"/>
        </w:rPr>
        <w:t>NTESMO </w:t>
      </w:r>
      <w:r>
        <w:rPr>
          <w:sz w:val="24"/>
        </w:rPr>
        <w:t>must ensure that the </w:t>
      </w:r>
      <w:r>
        <w:rPr>
          <w:i/>
          <w:sz w:val="24"/>
        </w:rPr>
        <w:t>metering database </w:t>
      </w:r>
      <w:r>
        <w:rPr>
          <w:sz w:val="24"/>
        </w:rPr>
        <w:t>clock is maintained</w:t>
      </w:r>
      <w:r>
        <w:rPr>
          <w:spacing w:val="-1"/>
          <w:sz w:val="24"/>
        </w:rPr>
        <w:t> </w:t>
      </w:r>
      <w:r>
        <w:rPr>
          <w:sz w:val="24"/>
        </w:rPr>
        <w:t>within</w:t>
      </w:r>
    </w:p>
    <w:p>
      <w:pPr>
        <w:spacing w:before="0"/>
        <w:ind w:left="1919" w:right="0" w:firstLine="0"/>
        <w:jc w:val="both"/>
        <w:rPr>
          <w:sz w:val="24"/>
        </w:rPr>
      </w:pPr>
      <w:r>
        <w:rPr>
          <w:sz w:val="24"/>
        </w:rPr>
        <w:t>±1 second of </w:t>
      </w:r>
      <w:r>
        <w:rPr>
          <w:i/>
          <w:sz w:val="24"/>
        </w:rPr>
        <w:t>Australian Central Standard Time</w:t>
      </w:r>
      <w:r>
        <w:rPr>
          <w:sz w:val="24"/>
        </w:rPr>
        <w:t>.</w:t>
      </w:r>
    </w:p>
    <w:p>
      <w:pPr>
        <w:pStyle w:val="ListParagraph"/>
        <w:numPr>
          <w:ilvl w:val="0"/>
          <w:numId w:val="507"/>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ensure that the </w:t>
      </w:r>
      <w:r>
        <w:rPr>
          <w:i/>
          <w:sz w:val="24"/>
        </w:rPr>
        <w:t>metering data services </w:t>
      </w:r>
      <w:r>
        <w:rPr>
          <w:i/>
          <w:sz w:val="24"/>
        </w:rPr>
        <w:t>database </w:t>
      </w:r>
      <w:r>
        <w:rPr>
          <w:sz w:val="24"/>
        </w:rPr>
        <w:t>clock is maintained within ±1 second of </w:t>
      </w:r>
      <w:r>
        <w:rPr>
          <w:i/>
          <w:sz w:val="24"/>
        </w:rPr>
        <w:t>Australian Central </w:t>
      </w:r>
      <w:r>
        <w:rPr>
          <w:i/>
          <w:sz w:val="24"/>
        </w:rPr>
        <w:t>Standard</w:t>
      </w:r>
      <w:r>
        <w:rPr>
          <w:i/>
          <w:spacing w:val="-1"/>
          <w:sz w:val="24"/>
        </w:rPr>
        <w:t> </w:t>
      </w:r>
      <w:r>
        <w:rPr>
          <w:i/>
          <w:sz w:val="24"/>
        </w:rPr>
        <w:t>Time</w:t>
      </w:r>
      <w:r>
        <w:rPr>
          <w:sz w:val="24"/>
        </w:rPr>
        <w:t>.</w:t>
      </w:r>
    </w:p>
    <w:p>
      <w:pPr>
        <w:pStyle w:val="ListParagraph"/>
        <w:numPr>
          <w:ilvl w:val="0"/>
          <w:numId w:val="507"/>
        </w:numPr>
        <w:tabs>
          <w:tab w:pos="1919" w:val="left" w:leader="none"/>
        </w:tabs>
        <w:spacing w:line="240" w:lineRule="auto" w:before="120" w:after="0"/>
        <w:ind w:left="1918" w:right="0" w:hanging="567"/>
        <w:jc w:val="both"/>
        <w:rPr>
          <w:sz w:val="24"/>
        </w:rPr>
      </w:pPr>
      <w:r>
        <w:rPr>
          <w:sz w:val="24"/>
        </w:rPr>
        <w:t>The </w:t>
      </w:r>
      <w:r>
        <w:rPr>
          <w:i/>
          <w:sz w:val="24"/>
        </w:rPr>
        <w:t>Metering Data Provider</w:t>
      </w:r>
      <w:r>
        <w:rPr>
          <w:i/>
          <w:spacing w:val="-2"/>
          <w:sz w:val="24"/>
        </w:rPr>
        <w:t> </w:t>
      </w:r>
      <w:r>
        <w:rPr>
          <w:sz w:val="24"/>
        </w:rPr>
        <w:t>must:</w:t>
      </w:r>
    </w:p>
    <w:p>
      <w:pPr>
        <w:pStyle w:val="ListParagraph"/>
        <w:numPr>
          <w:ilvl w:val="1"/>
          <w:numId w:val="507"/>
        </w:numPr>
        <w:tabs>
          <w:tab w:pos="2486" w:val="left" w:leader="none"/>
        </w:tabs>
        <w:spacing w:line="240" w:lineRule="auto" w:before="120" w:after="0"/>
        <w:ind w:left="2486" w:right="415" w:hanging="567"/>
        <w:jc w:val="both"/>
        <w:rPr>
          <w:sz w:val="24"/>
        </w:rPr>
      </w:pPr>
      <w:r>
        <w:rPr>
          <w:sz w:val="24"/>
        </w:rPr>
        <w:t>check the accuracy of the clock of the </w:t>
      </w:r>
      <w:r>
        <w:rPr>
          <w:i/>
          <w:sz w:val="24"/>
        </w:rPr>
        <w:t>metering installation </w:t>
      </w:r>
      <w:r>
        <w:rPr>
          <w:sz w:val="24"/>
        </w:rPr>
        <w:t>with reference to </w:t>
      </w:r>
      <w:r>
        <w:rPr>
          <w:i/>
          <w:sz w:val="24"/>
        </w:rPr>
        <w:t>Australian Central Standard Time </w:t>
      </w:r>
      <w:r>
        <w:rPr>
          <w:sz w:val="24"/>
        </w:rPr>
        <w:t>to a standard of accuracy in accordance with schedule 7A.4 relevant to the </w:t>
      </w:r>
      <w:r>
        <w:rPr>
          <w:i/>
          <w:sz w:val="24"/>
        </w:rPr>
        <w:t>load </w:t>
      </w:r>
      <w:r>
        <w:rPr>
          <w:sz w:val="24"/>
        </w:rPr>
        <w:t>through the </w:t>
      </w:r>
      <w:r>
        <w:rPr>
          <w:i/>
          <w:sz w:val="24"/>
        </w:rPr>
        <w:t>connection point </w:t>
      </w:r>
      <w:r>
        <w:rPr>
          <w:sz w:val="24"/>
        </w:rPr>
        <w:t>on each occasion that the </w:t>
      </w:r>
      <w:r>
        <w:rPr>
          <w:i/>
          <w:sz w:val="24"/>
        </w:rPr>
        <w:t>metering </w:t>
      </w:r>
      <w:r>
        <w:rPr>
          <w:i/>
          <w:sz w:val="24"/>
        </w:rPr>
        <w:t>installation </w:t>
      </w:r>
      <w:r>
        <w:rPr>
          <w:sz w:val="24"/>
        </w:rPr>
        <w:t>is</w:t>
      </w:r>
      <w:r>
        <w:rPr>
          <w:spacing w:val="-1"/>
          <w:sz w:val="24"/>
        </w:rPr>
        <w:t> </w:t>
      </w:r>
      <w:r>
        <w:rPr>
          <w:sz w:val="24"/>
        </w:rPr>
        <w:t>accessed;</w:t>
      </w:r>
    </w:p>
    <w:p>
      <w:pPr>
        <w:pStyle w:val="ListParagraph"/>
        <w:numPr>
          <w:ilvl w:val="1"/>
          <w:numId w:val="507"/>
        </w:numPr>
        <w:tabs>
          <w:tab w:pos="2486" w:val="left" w:leader="none"/>
        </w:tabs>
        <w:spacing w:line="240" w:lineRule="auto" w:before="120" w:after="0"/>
        <w:ind w:left="2486" w:right="414" w:hanging="567"/>
        <w:jc w:val="both"/>
        <w:rPr>
          <w:sz w:val="24"/>
        </w:rPr>
      </w:pPr>
      <w:r>
        <w:rPr>
          <w:sz w:val="24"/>
        </w:rPr>
        <w:t>reset the clock of the </w:t>
      </w:r>
      <w:r>
        <w:rPr>
          <w:i/>
          <w:sz w:val="24"/>
        </w:rPr>
        <w:t>metering installation </w:t>
      </w:r>
      <w:r>
        <w:rPr>
          <w:sz w:val="24"/>
        </w:rPr>
        <w:t>so that it is maintained to the required standard of accuracy in accordance with schedule 7A.4 relevant to the </w:t>
      </w:r>
      <w:r>
        <w:rPr>
          <w:i/>
          <w:sz w:val="24"/>
        </w:rPr>
        <w:t>load </w:t>
      </w:r>
      <w:r>
        <w:rPr>
          <w:sz w:val="24"/>
        </w:rPr>
        <w:t>through the </w:t>
      </w:r>
      <w:r>
        <w:rPr>
          <w:i/>
          <w:sz w:val="24"/>
        </w:rPr>
        <w:t>connection point </w:t>
      </w:r>
      <w:r>
        <w:rPr>
          <w:sz w:val="24"/>
        </w:rPr>
        <w:t>if the clock error of a </w:t>
      </w:r>
      <w:r>
        <w:rPr>
          <w:i/>
          <w:sz w:val="24"/>
        </w:rPr>
        <w:t>metering installation </w:t>
      </w:r>
      <w:r>
        <w:rPr>
          <w:sz w:val="24"/>
        </w:rPr>
        <w:t>does not conform to the required standard of accuracy on any occasion that the </w:t>
      </w:r>
      <w:r>
        <w:rPr>
          <w:i/>
          <w:sz w:val="24"/>
        </w:rPr>
        <w:t>metering installation </w:t>
      </w:r>
      <w:r>
        <w:rPr>
          <w:sz w:val="24"/>
        </w:rPr>
        <w:t>is accessed; and</w:t>
      </w:r>
    </w:p>
    <w:p>
      <w:pPr>
        <w:pStyle w:val="ListParagraph"/>
        <w:numPr>
          <w:ilvl w:val="1"/>
          <w:numId w:val="507"/>
        </w:numPr>
        <w:tabs>
          <w:tab w:pos="2486" w:val="left" w:leader="none"/>
        </w:tabs>
        <w:spacing w:line="240" w:lineRule="auto" w:before="120" w:after="0"/>
        <w:ind w:left="2486" w:right="415" w:hanging="567"/>
        <w:jc w:val="both"/>
        <w:rPr>
          <w:sz w:val="24"/>
        </w:rPr>
      </w:pPr>
      <w:r>
        <w:rPr>
          <w:sz w:val="24"/>
        </w:rPr>
        <w:t>notify the </w:t>
      </w:r>
      <w:r>
        <w:rPr>
          <w:i/>
          <w:sz w:val="24"/>
        </w:rPr>
        <w:t>Metering Provider </w:t>
      </w:r>
      <w:r>
        <w:rPr>
          <w:sz w:val="24"/>
        </w:rPr>
        <w:t>if the </w:t>
      </w:r>
      <w:r>
        <w:rPr>
          <w:i/>
          <w:sz w:val="24"/>
        </w:rPr>
        <w:t>Metering Data Provider </w:t>
      </w:r>
      <w:r>
        <w:rPr>
          <w:sz w:val="24"/>
        </w:rPr>
        <w:t>is unable to reset the clock of the </w:t>
      </w:r>
      <w:r>
        <w:rPr>
          <w:i/>
          <w:sz w:val="24"/>
        </w:rPr>
        <w:t>metering installation </w:t>
      </w:r>
      <w:r>
        <w:rPr>
          <w:sz w:val="24"/>
        </w:rPr>
        <w:t>in accordance with subparagraph</w:t>
      </w:r>
      <w:r>
        <w:rPr>
          <w:spacing w:val="-2"/>
          <w:sz w:val="24"/>
        </w:rPr>
        <w:t> </w:t>
      </w:r>
      <w:r>
        <w:rPr>
          <w:sz w:val="24"/>
        </w:rPr>
        <w:t>(2).</w:t>
      </w:r>
    </w:p>
    <w:p>
      <w:pPr>
        <w:pStyle w:val="BodyText"/>
        <w:spacing w:before="10"/>
        <w:ind w:firstLine="0"/>
        <w:jc w:val="left"/>
        <w:rPr>
          <w:sz w:val="20"/>
        </w:rPr>
      </w:pPr>
    </w:p>
    <w:p>
      <w:pPr>
        <w:pStyle w:val="Heading4"/>
        <w:tabs>
          <w:tab w:pos="1351" w:val="left" w:leader="none"/>
        </w:tabs>
        <w:ind w:left="218" w:firstLine="0"/>
      </w:pPr>
      <w:bookmarkStart w:name="7A.8.9 Metering data performance standar" w:id="1805"/>
      <w:bookmarkEnd w:id="1805"/>
      <w:r>
        <w:rPr>
          <w:b w:val="0"/>
        </w:rPr>
      </w:r>
      <w:bookmarkStart w:name="_bookmark728" w:id="1806"/>
      <w:bookmarkEnd w:id="1806"/>
      <w:r>
        <w:rPr>
          <w:b w:val="0"/>
        </w:rPr>
      </w:r>
      <w:r>
        <w:rPr/>
        <w:t>7A.8.9</w:t>
        <w:tab/>
        <w:t>Metering data performance</w:t>
      </w:r>
      <w:r>
        <w:rPr>
          <w:spacing w:val="-1"/>
        </w:rPr>
        <w:t> </w:t>
      </w:r>
      <w:r>
        <w:rPr/>
        <w:t>standards</w:t>
      </w:r>
    </w:p>
    <w:p>
      <w:pPr>
        <w:pStyle w:val="ListParagraph"/>
        <w:numPr>
          <w:ilvl w:val="0"/>
          <w:numId w:val="508"/>
        </w:numPr>
        <w:tabs>
          <w:tab w:pos="1919" w:val="left" w:leader="none"/>
        </w:tabs>
        <w:spacing w:line="240" w:lineRule="auto" w:before="120" w:after="0"/>
        <w:ind w:left="1919" w:right="415" w:hanging="567"/>
        <w:jc w:val="both"/>
        <w:rPr>
          <w:sz w:val="24"/>
        </w:rPr>
      </w:pPr>
      <w:r>
        <w:rPr>
          <w:sz w:val="24"/>
        </w:rPr>
        <w:t>Where required for the purposes of </w:t>
      </w:r>
      <w:r>
        <w:rPr>
          <w:i/>
          <w:sz w:val="24"/>
        </w:rPr>
        <w:t>settlements</w:t>
      </w:r>
      <w:r>
        <w:rPr>
          <w:sz w:val="24"/>
        </w:rPr>
        <w:t>, the </w:t>
      </w:r>
      <w:r>
        <w:rPr>
          <w:i/>
          <w:sz w:val="24"/>
        </w:rPr>
        <w:t>Metering Coordinator </w:t>
      </w:r>
      <w:r>
        <w:rPr>
          <w:sz w:val="24"/>
        </w:rPr>
        <w:t>must ensure that </w:t>
      </w:r>
      <w:r>
        <w:rPr>
          <w:i/>
          <w:sz w:val="24"/>
        </w:rPr>
        <w:t>metering data </w:t>
      </w:r>
      <w:r>
        <w:rPr>
          <w:sz w:val="24"/>
        </w:rPr>
        <w:t>is provided to </w:t>
      </w:r>
      <w:r>
        <w:rPr>
          <w:i/>
          <w:sz w:val="24"/>
        </w:rPr>
        <w:t>NTESMO </w:t>
      </w:r>
      <w:r>
        <w:rPr>
          <w:sz w:val="24"/>
        </w:rPr>
        <w:t>for all </w:t>
      </w:r>
      <w:r>
        <w:rPr>
          <w:i/>
          <w:sz w:val="24"/>
        </w:rPr>
        <w:t>recording </w:t>
      </w:r>
      <w:r>
        <w:rPr>
          <w:i/>
          <w:sz w:val="24"/>
        </w:rPr>
        <w:t>intervals </w:t>
      </w:r>
      <w:r>
        <w:rPr>
          <w:sz w:val="24"/>
        </w:rPr>
        <w:t>where the </w:t>
      </w:r>
      <w:r>
        <w:rPr>
          <w:i/>
          <w:sz w:val="24"/>
        </w:rPr>
        <w:t>metering installation </w:t>
      </w:r>
      <w:r>
        <w:rPr>
          <w:sz w:val="24"/>
        </w:rPr>
        <w:t>has the capability for </w:t>
      </w:r>
      <w:r>
        <w:rPr>
          <w:i/>
          <w:sz w:val="24"/>
        </w:rPr>
        <w:t>remote </w:t>
      </w:r>
      <w:r>
        <w:rPr>
          <w:i/>
          <w:sz w:val="24"/>
        </w:rPr>
        <w:t>acquisition </w:t>
      </w:r>
      <w:r>
        <w:rPr>
          <w:sz w:val="24"/>
        </w:rPr>
        <w:t>of </w:t>
      </w:r>
      <w:r>
        <w:rPr>
          <w:i/>
          <w:sz w:val="24"/>
        </w:rPr>
        <w:t>metering data</w:t>
      </w:r>
      <w:r>
        <w:rPr>
          <w:sz w:val="24"/>
        </w:rPr>
        <w:t>, and that the data</w:t>
      </w:r>
      <w:r>
        <w:rPr>
          <w:spacing w:val="-2"/>
          <w:sz w:val="24"/>
        </w:rPr>
        <w:t> </w:t>
      </w:r>
      <w:r>
        <w:rPr>
          <w:sz w:val="24"/>
        </w:rPr>
        <w:t>is:</w:t>
      </w:r>
    </w:p>
    <w:p>
      <w:pPr>
        <w:pStyle w:val="ListParagraph"/>
        <w:numPr>
          <w:ilvl w:val="1"/>
          <w:numId w:val="508"/>
        </w:numPr>
        <w:tabs>
          <w:tab w:pos="2485" w:val="left" w:leader="none"/>
          <w:tab w:pos="2486" w:val="left" w:leader="none"/>
        </w:tabs>
        <w:spacing w:line="240" w:lineRule="auto" w:before="120" w:after="0"/>
        <w:ind w:left="2485" w:right="0" w:hanging="567"/>
        <w:jc w:val="left"/>
        <w:rPr>
          <w:sz w:val="24"/>
        </w:rPr>
      </w:pPr>
      <w:r>
        <w:rPr>
          <w:sz w:val="24"/>
        </w:rPr>
        <w:t>derived from a </w:t>
      </w:r>
      <w:r>
        <w:rPr>
          <w:i/>
          <w:sz w:val="24"/>
        </w:rPr>
        <w:t>metering installation </w:t>
      </w:r>
      <w:r>
        <w:rPr>
          <w:sz w:val="24"/>
        </w:rPr>
        <w:t>compliant with clause</w:t>
      </w:r>
      <w:r>
        <w:rPr>
          <w:spacing w:val="-5"/>
          <w:sz w:val="24"/>
        </w:rPr>
        <w:t> </w:t>
      </w:r>
      <w:r>
        <w:rPr>
          <w:sz w:val="24"/>
        </w:rPr>
        <w:t>7A.6.5(a);</w:t>
      </w:r>
    </w:p>
    <w:p>
      <w:pPr>
        <w:pStyle w:val="ListParagraph"/>
        <w:numPr>
          <w:ilvl w:val="1"/>
          <w:numId w:val="508"/>
        </w:numPr>
        <w:tabs>
          <w:tab w:pos="2485" w:val="left" w:leader="none"/>
          <w:tab w:pos="2486" w:val="left" w:leader="none"/>
        </w:tabs>
        <w:spacing w:line="240" w:lineRule="auto" w:before="120" w:after="0"/>
        <w:ind w:left="2486" w:right="415" w:hanging="567"/>
        <w:jc w:val="left"/>
        <w:rPr>
          <w:sz w:val="24"/>
        </w:rPr>
      </w:pPr>
      <w:r>
        <w:rPr>
          <w:sz w:val="24"/>
        </w:rPr>
        <w:t>provided within the timeframe for </w:t>
      </w:r>
      <w:r>
        <w:rPr>
          <w:i/>
          <w:sz w:val="24"/>
        </w:rPr>
        <w:t>settlements </w:t>
      </w:r>
      <w:r>
        <w:rPr>
          <w:sz w:val="24"/>
        </w:rPr>
        <w:t>required in accordance with </w:t>
      </w:r>
      <w:r>
        <w:rPr>
          <w:i/>
          <w:sz w:val="24"/>
        </w:rPr>
        <w:t>jurisdictional electricity</w:t>
      </w:r>
      <w:r>
        <w:rPr>
          <w:i/>
          <w:spacing w:val="-2"/>
          <w:sz w:val="24"/>
        </w:rPr>
        <w:t> </w:t>
      </w:r>
      <w:r>
        <w:rPr>
          <w:i/>
          <w:sz w:val="24"/>
        </w:rPr>
        <w:t>legislation</w:t>
      </w:r>
      <w:r>
        <w:rPr>
          <w:sz w:val="24"/>
        </w:rPr>
        <w:t>;</w:t>
      </w:r>
    </w:p>
    <w:p>
      <w:pPr>
        <w:pStyle w:val="ListParagraph"/>
        <w:numPr>
          <w:ilvl w:val="1"/>
          <w:numId w:val="508"/>
        </w:numPr>
        <w:tabs>
          <w:tab w:pos="2485" w:val="left" w:leader="none"/>
          <w:tab w:pos="2486" w:val="left" w:leader="none"/>
        </w:tabs>
        <w:spacing w:line="240" w:lineRule="auto" w:before="120" w:after="0"/>
        <w:ind w:left="2485" w:right="0" w:hanging="567"/>
        <w:jc w:val="left"/>
        <w:rPr>
          <w:sz w:val="24"/>
        </w:rPr>
      </w:pPr>
      <w:r>
        <w:rPr>
          <w:sz w:val="24"/>
        </w:rPr>
        <w:t>actual or substituted in accordance with schedule 7A.7;</w:t>
      </w:r>
      <w:r>
        <w:rPr>
          <w:spacing w:val="-8"/>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1"/>
          <w:numId w:val="508"/>
        </w:numPr>
        <w:tabs>
          <w:tab w:pos="2485" w:val="left" w:leader="none"/>
          <w:tab w:pos="2486" w:val="left" w:leader="none"/>
        </w:tabs>
        <w:spacing w:line="240" w:lineRule="auto" w:before="83" w:after="0"/>
        <w:ind w:left="2486" w:right="417" w:hanging="567"/>
        <w:jc w:val="left"/>
        <w:rPr>
          <w:sz w:val="24"/>
        </w:rPr>
      </w:pPr>
      <w:r>
        <w:rPr>
          <w:sz w:val="24"/>
        </w:rPr>
        <w:t>provided in accordance with the performance standards specified in schedule</w:t>
      </w:r>
      <w:r>
        <w:rPr>
          <w:spacing w:val="-2"/>
          <w:sz w:val="24"/>
        </w:rPr>
        <w:t> </w:t>
      </w:r>
      <w:r>
        <w:rPr>
          <w:sz w:val="24"/>
        </w:rPr>
        <w:t>7A.7.</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08"/>
        </w:numPr>
        <w:tabs>
          <w:tab w:pos="1919" w:val="left" w:leader="none"/>
        </w:tabs>
        <w:spacing w:line="240" w:lineRule="auto" w:before="120" w:after="0"/>
        <w:ind w:left="1918" w:right="0" w:hanging="567"/>
        <w:jc w:val="both"/>
        <w:rPr>
          <w:sz w:val="24"/>
        </w:rPr>
      </w:pPr>
      <w:r>
        <w:rPr>
          <w:sz w:val="24"/>
        </w:rPr>
        <w:t>Where:</w:t>
      </w:r>
    </w:p>
    <w:p>
      <w:pPr>
        <w:pStyle w:val="ListParagraph"/>
        <w:numPr>
          <w:ilvl w:val="1"/>
          <w:numId w:val="508"/>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metering installation </w:t>
      </w:r>
      <w:r>
        <w:rPr>
          <w:sz w:val="24"/>
        </w:rPr>
        <w:t>is a type 4A </w:t>
      </w:r>
      <w:r>
        <w:rPr>
          <w:i/>
          <w:sz w:val="24"/>
        </w:rPr>
        <w:t>metering installation</w:t>
      </w:r>
      <w:r>
        <w:rPr>
          <w:sz w:val="24"/>
        </w:rPr>
        <w:t>, or does not have the capability for </w:t>
      </w:r>
      <w:r>
        <w:rPr>
          <w:i/>
          <w:sz w:val="24"/>
        </w:rPr>
        <w:t>remote acquisition </w:t>
      </w:r>
      <w:r>
        <w:rPr>
          <w:sz w:val="24"/>
        </w:rPr>
        <w:t>of </w:t>
      </w:r>
      <w:r>
        <w:rPr>
          <w:i/>
          <w:sz w:val="24"/>
        </w:rPr>
        <w:t>metering data</w:t>
      </w:r>
      <w:r>
        <w:rPr>
          <w:sz w:val="24"/>
        </w:rPr>
        <w:t>;</w:t>
      </w:r>
      <w:r>
        <w:rPr>
          <w:spacing w:val="-13"/>
          <w:sz w:val="24"/>
        </w:rPr>
        <w:t> </w:t>
      </w:r>
      <w:r>
        <w:rPr>
          <w:sz w:val="24"/>
        </w:rPr>
        <w:t>and</w:t>
      </w:r>
    </w:p>
    <w:p>
      <w:pPr>
        <w:pStyle w:val="ListParagraph"/>
        <w:numPr>
          <w:ilvl w:val="1"/>
          <w:numId w:val="508"/>
        </w:numPr>
        <w:tabs>
          <w:tab w:pos="2485" w:val="left" w:leader="none"/>
          <w:tab w:pos="2486" w:val="left" w:leader="none"/>
        </w:tabs>
        <w:spacing w:line="240" w:lineRule="auto" w:before="120" w:after="0"/>
        <w:ind w:left="2485" w:right="0" w:hanging="567"/>
        <w:jc w:val="left"/>
        <w:rPr>
          <w:sz w:val="24"/>
        </w:rPr>
      </w:pPr>
      <w:r>
        <w:rPr>
          <w:i/>
          <w:sz w:val="24"/>
        </w:rPr>
        <w:t>metering data </w:t>
      </w:r>
      <w:r>
        <w:rPr>
          <w:sz w:val="24"/>
        </w:rPr>
        <w:t>is required for the purposes of</w:t>
      </w:r>
      <w:r>
        <w:rPr>
          <w:spacing w:val="-1"/>
          <w:sz w:val="24"/>
        </w:rPr>
        <w:t> </w:t>
      </w:r>
      <w:r>
        <w:rPr>
          <w:i/>
          <w:sz w:val="24"/>
        </w:rPr>
        <w:t>settlements</w:t>
      </w:r>
      <w:r>
        <w:rPr>
          <w:sz w:val="24"/>
        </w:rPr>
        <w:t>,</w:t>
      </w:r>
    </w:p>
    <w:p>
      <w:pPr>
        <w:spacing w:before="120"/>
        <w:ind w:left="1919" w:right="0" w:firstLine="0"/>
        <w:jc w:val="left"/>
        <w:rPr>
          <w:sz w:val="24"/>
        </w:rPr>
      </w:pPr>
      <w:r>
        <w:rPr>
          <w:sz w:val="24"/>
        </w:rPr>
        <w:t>the </w:t>
      </w:r>
      <w:r>
        <w:rPr>
          <w:i/>
          <w:sz w:val="24"/>
        </w:rPr>
        <w:t>Metering Coordinator </w:t>
      </w:r>
      <w:r>
        <w:rPr>
          <w:sz w:val="24"/>
        </w:rPr>
        <w:t>must ensure that </w:t>
      </w:r>
      <w:r>
        <w:rPr>
          <w:i/>
          <w:sz w:val="24"/>
        </w:rPr>
        <w:t>metering data </w:t>
      </w:r>
      <w:r>
        <w:rPr>
          <w:sz w:val="24"/>
        </w:rPr>
        <w:t>is provided to</w:t>
      </w:r>
    </w:p>
    <w:p>
      <w:pPr>
        <w:spacing w:before="0"/>
        <w:ind w:left="1919" w:right="0" w:firstLine="0"/>
        <w:jc w:val="left"/>
        <w:rPr>
          <w:sz w:val="24"/>
        </w:rPr>
      </w:pPr>
      <w:r>
        <w:rPr>
          <w:i/>
          <w:sz w:val="24"/>
        </w:rPr>
        <w:t>NTESMO </w:t>
      </w:r>
      <w:r>
        <w:rPr>
          <w:sz w:val="24"/>
        </w:rPr>
        <w:t>and that the data is:</w:t>
      </w:r>
    </w:p>
    <w:p>
      <w:pPr>
        <w:pStyle w:val="ListParagraph"/>
        <w:numPr>
          <w:ilvl w:val="1"/>
          <w:numId w:val="508"/>
        </w:numPr>
        <w:tabs>
          <w:tab w:pos="2485" w:val="left" w:leader="none"/>
          <w:tab w:pos="2486" w:val="left" w:leader="none"/>
        </w:tabs>
        <w:spacing w:line="240" w:lineRule="auto" w:before="120" w:after="0"/>
        <w:ind w:left="2485" w:right="0" w:hanging="567"/>
        <w:jc w:val="left"/>
        <w:rPr>
          <w:sz w:val="24"/>
        </w:rPr>
      </w:pPr>
      <w:r>
        <w:rPr>
          <w:sz w:val="24"/>
        </w:rPr>
        <w:t>derived from a </w:t>
      </w:r>
      <w:r>
        <w:rPr>
          <w:i/>
          <w:sz w:val="24"/>
        </w:rPr>
        <w:t>metering installation </w:t>
      </w:r>
      <w:r>
        <w:rPr>
          <w:sz w:val="24"/>
        </w:rPr>
        <w:t>compliant with clause</w:t>
      </w:r>
      <w:r>
        <w:rPr>
          <w:spacing w:val="-5"/>
          <w:sz w:val="24"/>
        </w:rPr>
        <w:t> </w:t>
      </w:r>
      <w:r>
        <w:rPr>
          <w:sz w:val="24"/>
        </w:rPr>
        <w:t>7A.6.5(a);</w:t>
      </w:r>
    </w:p>
    <w:p>
      <w:pPr>
        <w:pStyle w:val="ListParagraph"/>
        <w:numPr>
          <w:ilvl w:val="1"/>
          <w:numId w:val="508"/>
        </w:numPr>
        <w:tabs>
          <w:tab w:pos="2485" w:val="left" w:leader="none"/>
          <w:tab w:pos="2486" w:val="left" w:leader="none"/>
        </w:tabs>
        <w:spacing w:line="240" w:lineRule="auto" w:before="120" w:after="0"/>
        <w:ind w:left="2486" w:right="415" w:hanging="567"/>
        <w:jc w:val="left"/>
        <w:rPr>
          <w:sz w:val="24"/>
        </w:rPr>
      </w:pPr>
      <w:r>
        <w:rPr>
          <w:sz w:val="24"/>
        </w:rPr>
        <w:t>provided within the timeframe required for </w:t>
      </w:r>
      <w:r>
        <w:rPr>
          <w:i/>
          <w:sz w:val="24"/>
        </w:rPr>
        <w:t>settlements </w:t>
      </w:r>
      <w:r>
        <w:rPr>
          <w:sz w:val="24"/>
        </w:rPr>
        <w:t>in accordance with </w:t>
      </w:r>
      <w:r>
        <w:rPr>
          <w:i/>
          <w:sz w:val="24"/>
        </w:rPr>
        <w:t>jurisdictional electricity</w:t>
      </w:r>
      <w:r>
        <w:rPr>
          <w:i/>
          <w:spacing w:val="-2"/>
          <w:sz w:val="24"/>
        </w:rPr>
        <w:t> </w:t>
      </w:r>
      <w:r>
        <w:rPr>
          <w:i/>
          <w:sz w:val="24"/>
        </w:rPr>
        <w:t>legislation</w:t>
      </w:r>
      <w:r>
        <w:rPr>
          <w:sz w:val="24"/>
        </w:rPr>
        <w:t>;</w:t>
      </w:r>
    </w:p>
    <w:p>
      <w:pPr>
        <w:pStyle w:val="ListParagraph"/>
        <w:numPr>
          <w:ilvl w:val="1"/>
          <w:numId w:val="508"/>
        </w:numPr>
        <w:tabs>
          <w:tab w:pos="2485" w:val="left" w:leader="none"/>
          <w:tab w:pos="2486" w:val="left" w:leader="none"/>
        </w:tabs>
        <w:spacing w:line="240" w:lineRule="auto" w:before="120" w:after="0"/>
        <w:ind w:left="2485" w:right="0" w:hanging="567"/>
        <w:jc w:val="left"/>
        <w:rPr>
          <w:sz w:val="24"/>
        </w:rPr>
      </w:pPr>
      <w:r>
        <w:rPr>
          <w:sz w:val="24"/>
        </w:rPr>
        <w:t>actual, substituted or estimated in accordance with schedule 7A.7;</w:t>
      </w:r>
      <w:r>
        <w:rPr>
          <w:spacing w:val="-13"/>
          <w:sz w:val="24"/>
        </w:rPr>
        <w:t> </w:t>
      </w:r>
      <w:r>
        <w:rPr>
          <w:sz w:val="24"/>
        </w:rPr>
        <w:t>and</w:t>
      </w:r>
    </w:p>
    <w:p>
      <w:pPr>
        <w:pStyle w:val="ListParagraph"/>
        <w:numPr>
          <w:ilvl w:val="1"/>
          <w:numId w:val="508"/>
        </w:numPr>
        <w:tabs>
          <w:tab w:pos="2485" w:val="left" w:leader="none"/>
          <w:tab w:pos="2486" w:val="left" w:leader="none"/>
        </w:tabs>
        <w:spacing w:line="240" w:lineRule="auto" w:before="120" w:after="0"/>
        <w:ind w:left="2486" w:right="417" w:hanging="567"/>
        <w:jc w:val="left"/>
        <w:rPr>
          <w:sz w:val="24"/>
        </w:rPr>
      </w:pPr>
      <w:r>
        <w:rPr>
          <w:sz w:val="24"/>
        </w:rPr>
        <w:t>provided in accordance with the performance standards specified in schedule</w:t>
      </w:r>
      <w:r>
        <w:rPr>
          <w:spacing w:val="-2"/>
          <w:sz w:val="24"/>
        </w:rPr>
        <w:t> </w:t>
      </w:r>
      <w:r>
        <w:rPr>
          <w:sz w:val="24"/>
        </w:rPr>
        <w:t>7A.7.</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08"/>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for all </w:t>
      </w:r>
      <w:r>
        <w:rPr>
          <w:i/>
          <w:sz w:val="24"/>
        </w:rPr>
        <w:t>metering installations </w:t>
      </w:r>
      <w:r>
        <w:rPr>
          <w:sz w:val="24"/>
        </w:rPr>
        <w:t>used for </w:t>
      </w:r>
      <w:r>
        <w:rPr>
          <w:i/>
          <w:sz w:val="24"/>
        </w:rPr>
        <w:t>billing transactions</w:t>
      </w:r>
      <w:r>
        <w:rPr>
          <w:sz w:val="24"/>
        </w:rPr>
        <w:t>, </w:t>
      </w:r>
      <w:r>
        <w:rPr>
          <w:i/>
          <w:sz w:val="24"/>
        </w:rPr>
        <w:t>metering data </w:t>
      </w:r>
      <w:r>
        <w:rPr>
          <w:sz w:val="24"/>
        </w:rPr>
        <w:t>is provided to the financially responsible participant for all </w:t>
      </w:r>
      <w:r>
        <w:rPr>
          <w:i/>
          <w:sz w:val="24"/>
        </w:rPr>
        <w:t>recording intervals </w:t>
      </w:r>
      <w:r>
        <w:rPr>
          <w:sz w:val="24"/>
        </w:rPr>
        <w:t>where the </w:t>
      </w:r>
      <w:r>
        <w:rPr>
          <w:i/>
          <w:sz w:val="24"/>
        </w:rPr>
        <w:t>metering </w:t>
      </w:r>
      <w:r>
        <w:rPr>
          <w:i/>
          <w:sz w:val="24"/>
        </w:rPr>
        <w:t>installation </w:t>
      </w:r>
      <w:r>
        <w:rPr>
          <w:sz w:val="24"/>
        </w:rPr>
        <w:t>has the capability for </w:t>
      </w:r>
      <w:r>
        <w:rPr>
          <w:i/>
          <w:sz w:val="24"/>
        </w:rPr>
        <w:t>remote acquisition </w:t>
      </w:r>
      <w:r>
        <w:rPr>
          <w:sz w:val="24"/>
        </w:rPr>
        <w:t>of </w:t>
      </w:r>
      <w:r>
        <w:rPr>
          <w:i/>
          <w:sz w:val="24"/>
        </w:rPr>
        <w:t>metering data</w:t>
      </w:r>
      <w:r>
        <w:rPr>
          <w:sz w:val="24"/>
        </w:rPr>
        <w:t>, and that the data</w:t>
      </w:r>
      <w:r>
        <w:rPr>
          <w:spacing w:val="-1"/>
          <w:sz w:val="24"/>
        </w:rPr>
        <w:t> </w:t>
      </w:r>
      <w:r>
        <w:rPr>
          <w:sz w:val="24"/>
        </w:rPr>
        <w:t>is:</w:t>
      </w:r>
    </w:p>
    <w:p>
      <w:pPr>
        <w:pStyle w:val="ListParagraph"/>
        <w:numPr>
          <w:ilvl w:val="1"/>
          <w:numId w:val="508"/>
        </w:numPr>
        <w:tabs>
          <w:tab w:pos="2486" w:val="left" w:leader="none"/>
        </w:tabs>
        <w:spacing w:line="240" w:lineRule="auto" w:before="120" w:after="0"/>
        <w:ind w:left="2485" w:right="0" w:hanging="567"/>
        <w:jc w:val="both"/>
        <w:rPr>
          <w:sz w:val="24"/>
        </w:rPr>
      </w:pPr>
      <w:r>
        <w:rPr>
          <w:sz w:val="24"/>
        </w:rPr>
        <w:t>derived from a </w:t>
      </w:r>
      <w:r>
        <w:rPr>
          <w:i/>
          <w:sz w:val="24"/>
        </w:rPr>
        <w:t>metering installation </w:t>
      </w:r>
      <w:r>
        <w:rPr>
          <w:sz w:val="24"/>
        </w:rPr>
        <w:t>compliant with clause</w:t>
      </w:r>
      <w:r>
        <w:rPr>
          <w:spacing w:val="-5"/>
          <w:sz w:val="24"/>
        </w:rPr>
        <w:t> </w:t>
      </w:r>
      <w:r>
        <w:rPr>
          <w:sz w:val="24"/>
        </w:rPr>
        <w:t>7A.6.5(a);</w:t>
      </w:r>
    </w:p>
    <w:p>
      <w:pPr>
        <w:pStyle w:val="ListParagraph"/>
        <w:numPr>
          <w:ilvl w:val="1"/>
          <w:numId w:val="508"/>
        </w:numPr>
        <w:tabs>
          <w:tab w:pos="2486" w:val="left" w:leader="none"/>
        </w:tabs>
        <w:spacing w:line="240" w:lineRule="auto" w:before="120" w:after="0"/>
        <w:ind w:left="2486" w:right="415" w:hanging="567"/>
        <w:jc w:val="both"/>
        <w:rPr>
          <w:sz w:val="24"/>
        </w:rPr>
      </w:pPr>
      <w:r>
        <w:rPr>
          <w:sz w:val="24"/>
        </w:rPr>
        <w:t>provided to the financially responsible participant every 35 days for </w:t>
      </w:r>
      <w:r>
        <w:rPr>
          <w:i/>
          <w:sz w:val="24"/>
        </w:rPr>
        <w:t>billing transactions </w:t>
      </w:r>
      <w:r>
        <w:rPr>
          <w:sz w:val="24"/>
        </w:rPr>
        <w:t>unless it has been agreed between the </w:t>
      </w:r>
      <w:r>
        <w:rPr>
          <w:i/>
          <w:sz w:val="24"/>
        </w:rPr>
        <w:t>Metering </w:t>
      </w:r>
      <w:r>
        <w:rPr>
          <w:i/>
          <w:sz w:val="24"/>
        </w:rPr>
        <w:t>Coordinator </w:t>
      </w:r>
      <w:r>
        <w:rPr>
          <w:sz w:val="24"/>
        </w:rPr>
        <w:t>and the financially responsible participant that some other timeframe will</w:t>
      </w:r>
      <w:r>
        <w:rPr>
          <w:spacing w:val="-1"/>
          <w:sz w:val="24"/>
        </w:rPr>
        <w:t> </w:t>
      </w:r>
      <w:r>
        <w:rPr>
          <w:sz w:val="24"/>
        </w:rPr>
        <w:t>apply;</w:t>
      </w:r>
    </w:p>
    <w:p>
      <w:pPr>
        <w:pStyle w:val="ListParagraph"/>
        <w:numPr>
          <w:ilvl w:val="1"/>
          <w:numId w:val="508"/>
        </w:numPr>
        <w:tabs>
          <w:tab w:pos="2486" w:val="left" w:leader="none"/>
        </w:tabs>
        <w:spacing w:line="240" w:lineRule="auto" w:before="120" w:after="0"/>
        <w:ind w:left="2485" w:right="0" w:hanging="567"/>
        <w:jc w:val="both"/>
        <w:rPr>
          <w:sz w:val="24"/>
        </w:rPr>
      </w:pPr>
      <w:r>
        <w:rPr>
          <w:sz w:val="24"/>
        </w:rPr>
        <w:t>actual or substituted in accordance with schedule 7A.7;</w:t>
      </w:r>
      <w:r>
        <w:rPr>
          <w:spacing w:val="-8"/>
          <w:sz w:val="24"/>
        </w:rPr>
        <w:t> </w:t>
      </w:r>
      <w:r>
        <w:rPr>
          <w:sz w:val="24"/>
        </w:rPr>
        <w:t>and</w:t>
      </w:r>
    </w:p>
    <w:p>
      <w:pPr>
        <w:pStyle w:val="ListParagraph"/>
        <w:numPr>
          <w:ilvl w:val="1"/>
          <w:numId w:val="508"/>
        </w:numPr>
        <w:tabs>
          <w:tab w:pos="2486" w:val="left" w:leader="none"/>
        </w:tabs>
        <w:spacing w:line="240" w:lineRule="auto" w:before="120" w:after="0"/>
        <w:ind w:left="2486" w:right="417" w:hanging="567"/>
        <w:jc w:val="both"/>
        <w:rPr>
          <w:sz w:val="24"/>
        </w:rPr>
      </w:pPr>
      <w:r>
        <w:rPr>
          <w:sz w:val="24"/>
        </w:rPr>
        <w:t>provided in accordance with the performance standards specified in schedule</w:t>
      </w:r>
      <w:r>
        <w:rPr>
          <w:spacing w:val="-2"/>
          <w:sz w:val="24"/>
        </w:rPr>
        <w:t> </w:t>
      </w:r>
      <w:r>
        <w:rPr>
          <w:sz w:val="24"/>
        </w:rPr>
        <w:t>7A.7.</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08"/>
        </w:numPr>
        <w:tabs>
          <w:tab w:pos="1919" w:val="left" w:leader="none"/>
        </w:tabs>
        <w:spacing w:line="240" w:lineRule="auto" w:before="120" w:after="0"/>
        <w:ind w:left="1919" w:right="414" w:hanging="567"/>
        <w:jc w:val="both"/>
        <w:rPr>
          <w:sz w:val="24"/>
        </w:rPr>
      </w:pPr>
      <w:r>
        <w:rPr>
          <w:sz w:val="24"/>
        </w:rPr>
        <w:t>For type 6 </w:t>
      </w:r>
      <w:r>
        <w:rPr>
          <w:i/>
          <w:sz w:val="24"/>
        </w:rPr>
        <w:t>metering installations</w:t>
      </w:r>
      <w:r>
        <w:rPr>
          <w:sz w:val="24"/>
        </w:rPr>
        <w:t>, </w:t>
      </w:r>
      <w:r>
        <w:rPr>
          <w:i/>
          <w:sz w:val="24"/>
        </w:rPr>
        <w:t>metering data </w:t>
      </w:r>
      <w:r>
        <w:rPr>
          <w:sz w:val="24"/>
        </w:rPr>
        <w:t>relating to the amount of </w:t>
      </w:r>
      <w:r>
        <w:rPr>
          <w:i/>
          <w:sz w:val="24"/>
        </w:rPr>
        <w:t>active energy </w:t>
      </w:r>
      <w:r>
        <w:rPr>
          <w:sz w:val="24"/>
        </w:rPr>
        <w:t>passing through a </w:t>
      </w:r>
      <w:r>
        <w:rPr>
          <w:i/>
          <w:sz w:val="24"/>
        </w:rPr>
        <w:t>connection point </w:t>
      </w:r>
      <w:r>
        <w:rPr>
          <w:sz w:val="24"/>
        </w:rPr>
        <w:t>must be provided to the financially responsible</w:t>
      </w:r>
      <w:r>
        <w:rPr>
          <w:spacing w:val="-1"/>
          <w:sz w:val="24"/>
        </w:rPr>
        <w:t> </w:t>
      </w:r>
      <w:r>
        <w:rPr>
          <w:sz w:val="24"/>
        </w:rPr>
        <w:t>participant:</w:t>
      </w:r>
    </w:p>
    <w:p>
      <w:pPr>
        <w:pStyle w:val="ListParagraph"/>
        <w:numPr>
          <w:ilvl w:val="1"/>
          <w:numId w:val="508"/>
        </w:numPr>
        <w:tabs>
          <w:tab w:pos="2486" w:val="left" w:leader="none"/>
        </w:tabs>
        <w:spacing w:line="240" w:lineRule="auto" w:before="120" w:after="0"/>
        <w:ind w:left="2485" w:right="0" w:hanging="567"/>
        <w:jc w:val="both"/>
        <w:rPr>
          <w:sz w:val="24"/>
        </w:rPr>
      </w:pPr>
      <w:r>
        <w:rPr>
          <w:sz w:val="24"/>
        </w:rPr>
        <w:t>every 3 months; or</w:t>
      </w:r>
    </w:p>
    <w:p>
      <w:pPr>
        <w:spacing w:after="0" w:line="240" w:lineRule="auto"/>
        <w:jc w:val="both"/>
        <w:rPr>
          <w:sz w:val="24"/>
        </w:rPr>
        <w:sectPr>
          <w:pgSz w:w="11910" w:h="16840"/>
          <w:pgMar w:header="686" w:footer="637" w:top="1320" w:bottom="820" w:left="1200" w:right="1000"/>
        </w:sectPr>
      </w:pPr>
    </w:p>
    <w:p>
      <w:pPr>
        <w:pStyle w:val="ListParagraph"/>
        <w:numPr>
          <w:ilvl w:val="1"/>
          <w:numId w:val="508"/>
        </w:numPr>
        <w:tabs>
          <w:tab w:pos="2486" w:val="left" w:leader="none"/>
        </w:tabs>
        <w:spacing w:line="240" w:lineRule="auto" w:before="83" w:after="0"/>
        <w:ind w:left="2486" w:right="416" w:hanging="567"/>
        <w:jc w:val="both"/>
        <w:rPr>
          <w:sz w:val="24"/>
        </w:rPr>
      </w:pPr>
      <w:r>
        <w:rPr>
          <w:sz w:val="24"/>
        </w:rPr>
        <w:t>where a greater frequency has been agreed with the financially responsible participant – at that greater</w:t>
      </w:r>
      <w:r>
        <w:rPr>
          <w:spacing w:val="-1"/>
          <w:sz w:val="24"/>
        </w:rPr>
        <w:t> </w:t>
      </w:r>
      <w:r>
        <w:rPr>
          <w:sz w:val="24"/>
        </w:rPr>
        <w:t>frequency.</w:t>
      </w:r>
    </w:p>
    <w:p>
      <w:pPr>
        <w:pStyle w:val="BodyText"/>
        <w:spacing w:before="10"/>
        <w:ind w:firstLine="0"/>
        <w:jc w:val="left"/>
        <w:rPr>
          <w:sz w:val="20"/>
        </w:rPr>
      </w:pPr>
    </w:p>
    <w:p>
      <w:pPr>
        <w:pStyle w:val="Heading3"/>
        <w:tabs>
          <w:tab w:pos="1351" w:val="left" w:leader="none"/>
        </w:tabs>
        <w:ind w:left="218" w:firstLine="0"/>
      </w:pPr>
      <w:bookmarkStart w:name="7A.9 Metering data and data base" w:id="1807"/>
      <w:bookmarkEnd w:id="1807"/>
      <w:r>
        <w:rPr>
          <w:b w:val="0"/>
        </w:rPr>
      </w:r>
      <w:bookmarkStart w:name="_bookmark729" w:id="1808"/>
      <w:bookmarkEnd w:id="1808"/>
      <w:r>
        <w:rPr>
          <w:b w:val="0"/>
        </w:rPr>
      </w:r>
      <w:r>
        <w:rPr/>
        <w:t>7A.9</w:t>
        <w:tab/>
        <w:t>Metering data and data</w:t>
      </w:r>
      <w:r>
        <w:rPr>
          <w:spacing w:val="-2"/>
        </w:rPr>
        <w:t> </w:t>
      </w:r>
      <w:r>
        <w:rPr/>
        <w:t>base</w:t>
      </w:r>
    </w:p>
    <w:p>
      <w:pPr>
        <w:pStyle w:val="Heading4"/>
        <w:tabs>
          <w:tab w:pos="1351" w:val="left" w:leader="none"/>
        </w:tabs>
        <w:spacing w:before="240"/>
        <w:ind w:left="218" w:firstLine="0"/>
      </w:pPr>
      <w:bookmarkStart w:name="7A.9.1 Metering database" w:id="1809"/>
      <w:bookmarkEnd w:id="1809"/>
      <w:r>
        <w:rPr>
          <w:b w:val="0"/>
        </w:rPr>
      </w:r>
      <w:bookmarkStart w:name="_bookmark730" w:id="1810"/>
      <w:bookmarkEnd w:id="1810"/>
      <w:r>
        <w:rPr>
          <w:b w:val="0"/>
        </w:rPr>
      </w:r>
      <w:r>
        <w:rPr/>
        <w:t>7A.9.1</w:t>
        <w:tab/>
        <w:t>Metering database</w:t>
      </w:r>
    </w:p>
    <w:p>
      <w:pPr>
        <w:pStyle w:val="ListParagraph"/>
        <w:numPr>
          <w:ilvl w:val="0"/>
          <w:numId w:val="509"/>
        </w:numPr>
        <w:tabs>
          <w:tab w:pos="1919" w:val="left" w:leader="none"/>
        </w:tabs>
        <w:spacing w:line="240" w:lineRule="auto" w:before="120" w:after="0"/>
        <w:ind w:left="1919" w:right="415" w:hanging="567"/>
        <w:jc w:val="both"/>
        <w:rPr>
          <w:sz w:val="24"/>
        </w:rPr>
      </w:pPr>
      <w:r>
        <w:rPr>
          <w:i/>
          <w:sz w:val="24"/>
        </w:rPr>
        <w:t>NTESMO </w:t>
      </w:r>
      <w:r>
        <w:rPr>
          <w:sz w:val="24"/>
        </w:rPr>
        <w:t>must create, maintain and administer a </w:t>
      </w:r>
      <w:r>
        <w:rPr>
          <w:i/>
          <w:sz w:val="24"/>
        </w:rPr>
        <w:t>metering database</w:t>
      </w:r>
      <w:r>
        <w:rPr>
          <w:sz w:val="24"/>
        </w:rPr>
        <w:t>(either directly or under a contract for provision of the database) containing information for each </w:t>
      </w:r>
      <w:r>
        <w:rPr>
          <w:i/>
          <w:sz w:val="24"/>
        </w:rPr>
        <w:t>metering installation </w:t>
      </w:r>
      <w:r>
        <w:rPr>
          <w:sz w:val="24"/>
        </w:rPr>
        <w:t>registered with</w:t>
      </w:r>
      <w:r>
        <w:rPr>
          <w:spacing w:val="-5"/>
          <w:sz w:val="24"/>
        </w:rPr>
        <w:t> </w:t>
      </w:r>
      <w:r>
        <w:rPr>
          <w:i/>
          <w:sz w:val="24"/>
        </w:rPr>
        <w:t>NTESMO</w:t>
      </w:r>
      <w:r>
        <w:rPr>
          <w:sz w:val="24"/>
        </w:rPr>
        <w:t>.</w:t>
      </w:r>
    </w:p>
    <w:p>
      <w:pPr>
        <w:pStyle w:val="ListParagraph"/>
        <w:numPr>
          <w:ilvl w:val="0"/>
          <w:numId w:val="509"/>
        </w:numPr>
        <w:tabs>
          <w:tab w:pos="1919" w:val="left" w:leader="none"/>
        </w:tabs>
        <w:spacing w:line="240" w:lineRule="auto" w:before="120" w:after="0"/>
        <w:ind w:left="1919" w:right="415" w:hanging="567"/>
        <w:jc w:val="both"/>
        <w:rPr>
          <w:sz w:val="24"/>
        </w:rPr>
      </w:pPr>
      <w:r>
        <w:rPr>
          <w:sz w:val="24"/>
        </w:rPr>
        <w:t>The </w:t>
      </w:r>
      <w:r>
        <w:rPr>
          <w:i/>
          <w:sz w:val="24"/>
        </w:rPr>
        <w:t>metering database </w:t>
      </w:r>
      <w:r>
        <w:rPr>
          <w:sz w:val="24"/>
        </w:rPr>
        <w:t>must include </w:t>
      </w:r>
      <w:r>
        <w:rPr>
          <w:i/>
          <w:sz w:val="24"/>
        </w:rPr>
        <w:t>metering data</w:t>
      </w:r>
      <w:r>
        <w:rPr>
          <w:sz w:val="24"/>
        </w:rPr>
        <w:t>, </w:t>
      </w:r>
      <w:r>
        <w:rPr>
          <w:i/>
          <w:sz w:val="24"/>
        </w:rPr>
        <w:t>settlements ready data</w:t>
      </w:r>
      <w:r>
        <w:rPr>
          <w:sz w:val="24"/>
        </w:rPr>
        <w:t>, and information for each </w:t>
      </w:r>
      <w:r>
        <w:rPr>
          <w:i/>
          <w:sz w:val="24"/>
        </w:rPr>
        <w:t>metering installation </w:t>
      </w:r>
      <w:r>
        <w:rPr>
          <w:sz w:val="24"/>
        </w:rPr>
        <w:t>registered with </w:t>
      </w:r>
      <w:r>
        <w:rPr>
          <w:i/>
          <w:sz w:val="24"/>
        </w:rPr>
        <w:t>NTESMO </w:t>
      </w:r>
      <w:r>
        <w:rPr>
          <w:sz w:val="24"/>
        </w:rPr>
        <w:t>in accordance with this rule</w:t>
      </w:r>
      <w:r>
        <w:rPr>
          <w:spacing w:val="-3"/>
          <w:sz w:val="24"/>
        </w:rPr>
        <w:t> </w:t>
      </w:r>
      <w:r>
        <w:rPr>
          <w:sz w:val="24"/>
        </w:rPr>
        <w:t>7A.9.</w:t>
      </w:r>
    </w:p>
    <w:p>
      <w:pPr>
        <w:pStyle w:val="ListParagraph"/>
        <w:numPr>
          <w:ilvl w:val="0"/>
          <w:numId w:val="509"/>
        </w:numPr>
        <w:tabs>
          <w:tab w:pos="1919" w:val="left" w:leader="none"/>
        </w:tabs>
        <w:spacing w:line="240" w:lineRule="auto" w:before="120" w:after="0"/>
        <w:ind w:left="1918" w:right="0" w:hanging="567"/>
        <w:jc w:val="both"/>
        <w:rPr>
          <w:sz w:val="24"/>
        </w:rPr>
      </w:pPr>
      <w:r>
        <w:rPr>
          <w:i/>
          <w:sz w:val="24"/>
        </w:rPr>
        <w:t>NTESMO</w:t>
      </w:r>
      <w:r>
        <w:rPr>
          <w:sz w:val="24"/>
        </w:rPr>
        <w:t>:</w:t>
      </w:r>
    </w:p>
    <w:p>
      <w:pPr>
        <w:pStyle w:val="ListParagraph"/>
        <w:numPr>
          <w:ilvl w:val="1"/>
          <w:numId w:val="509"/>
        </w:numPr>
        <w:tabs>
          <w:tab w:pos="2486" w:val="left" w:leader="none"/>
        </w:tabs>
        <w:spacing w:line="240" w:lineRule="auto" w:before="120" w:after="0"/>
        <w:ind w:left="2486" w:right="414" w:hanging="567"/>
        <w:jc w:val="both"/>
        <w:rPr>
          <w:sz w:val="24"/>
        </w:rPr>
      </w:pPr>
      <w:r>
        <w:rPr>
          <w:sz w:val="24"/>
        </w:rPr>
        <w:t>must enable the persons referred to in clause 7A.13.5(c)(1) to (4) and clause 7A.13.5(f)(1) to access or receive data in the </w:t>
      </w:r>
      <w:r>
        <w:rPr>
          <w:i/>
          <w:sz w:val="24"/>
        </w:rPr>
        <w:t>metering </w:t>
      </w:r>
      <w:r>
        <w:rPr>
          <w:i/>
          <w:sz w:val="24"/>
        </w:rPr>
        <w:t>database</w:t>
      </w:r>
      <w:r>
        <w:rPr>
          <w:sz w:val="24"/>
        </w:rPr>
        <w:t>; and</w:t>
      </w:r>
    </w:p>
    <w:p>
      <w:pPr>
        <w:pStyle w:val="ListParagraph"/>
        <w:numPr>
          <w:ilvl w:val="1"/>
          <w:numId w:val="509"/>
        </w:numPr>
        <w:tabs>
          <w:tab w:pos="2486" w:val="left" w:leader="none"/>
        </w:tabs>
        <w:spacing w:line="240" w:lineRule="auto" w:before="120" w:after="0"/>
        <w:ind w:left="2486" w:right="415" w:hanging="567"/>
        <w:jc w:val="both"/>
        <w:rPr>
          <w:sz w:val="24"/>
        </w:rPr>
      </w:pPr>
      <w:r>
        <w:rPr>
          <w:sz w:val="24"/>
        </w:rPr>
        <w:t>except as specified in subparagraph (1), must ensure that no other person has access to the </w:t>
      </w:r>
      <w:r>
        <w:rPr>
          <w:i/>
          <w:sz w:val="24"/>
        </w:rPr>
        <w:t>metering</w:t>
      </w:r>
      <w:r>
        <w:rPr>
          <w:i/>
          <w:spacing w:val="-4"/>
          <w:sz w:val="24"/>
        </w:rPr>
        <w:t> </w:t>
      </w:r>
      <w:r>
        <w:rPr>
          <w:i/>
          <w:sz w:val="24"/>
        </w:rPr>
        <w:t>database</w:t>
      </w:r>
      <w:r>
        <w:rPr>
          <w:sz w:val="24"/>
        </w:rPr>
        <w:t>.</w:t>
      </w:r>
    </w:p>
    <w:p>
      <w:pPr>
        <w:pStyle w:val="ListParagraph"/>
        <w:numPr>
          <w:ilvl w:val="0"/>
          <w:numId w:val="509"/>
        </w:numPr>
        <w:tabs>
          <w:tab w:pos="1919" w:val="left" w:leader="none"/>
        </w:tabs>
        <w:spacing w:line="240" w:lineRule="auto" w:before="120" w:after="0"/>
        <w:ind w:left="1918" w:right="0" w:hanging="567"/>
        <w:jc w:val="both"/>
        <w:rPr>
          <w:sz w:val="24"/>
        </w:rPr>
      </w:pPr>
      <w:r>
        <w:rPr>
          <w:sz w:val="24"/>
        </w:rPr>
        <w:t>For</w:t>
      </w:r>
      <w:r>
        <w:rPr>
          <w:spacing w:val="18"/>
          <w:sz w:val="24"/>
        </w:rPr>
        <w:t> </w:t>
      </w:r>
      <w:r>
        <w:rPr>
          <w:sz w:val="24"/>
        </w:rPr>
        <w:t>all</w:t>
      </w:r>
      <w:r>
        <w:rPr>
          <w:spacing w:val="19"/>
          <w:sz w:val="24"/>
        </w:rPr>
        <w:t> </w:t>
      </w:r>
      <w:r>
        <w:rPr>
          <w:sz w:val="24"/>
        </w:rPr>
        <w:t>types</w:t>
      </w:r>
      <w:r>
        <w:rPr>
          <w:spacing w:val="19"/>
          <w:sz w:val="24"/>
        </w:rPr>
        <w:t> </w:t>
      </w:r>
      <w:r>
        <w:rPr>
          <w:sz w:val="24"/>
        </w:rPr>
        <w:t>of</w:t>
      </w:r>
      <w:r>
        <w:rPr>
          <w:spacing w:val="19"/>
          <w:sz w:val="24"/>
        </w:rPr>
        <w:t> </w:t>
      </w:r>
      <w:r>
        <w:rPr>
          <w:i/>
          <w:sz w:val="24"/>
        </w:rPr>
        <w:t>metering</w:t>
      </w:r>
      <w:r>
        <w:rPr>
          <w:i/>
          <w:spacing w:val="19"/>
          <w:sz w:val="24"/>
        </w:rPr>
        <w:t> </w:t>
      </w:r>
      <w:r>
        <w:rPr>
          <w:i/>
          <w:sz w:val="24"/>
        </w:rPr>
        <w:t>installations</w:t>
      </w:r>
      <w:r>
        <w:rPr>
          <w:sz w:val="24"/>
        </w:rPr>
        <w:t>,</w:t>
      </w:r>
      <w:r>
        <w:rPr>
          <w:spacing w:val="19"/>
          <w:sz w:val="24"/>
        </w:rPr>
        <w:t> </w:t>
      </w:r>
      <w:r>
        <w:rPr>
          <w:sz w:val="24"/>
        </w:rPr>
        <w:t>the</w:t>
      </w:r>
      <w:r>
        <w:rPr>
          <w:spacing w:val="19"/>
          <w:sz w:val="24"/>
        </w:rPr>
        <w:t> </w:t>
      </w:r>
      <w:r>
        <w:rPr>
          <w:i/>
          <w:sz w:val="24"/>
        </w:rPr>
        <w:t>metering</w:t>
      </w:r>
      <w:r>
        <w:rPr>
          <w:i/>
          <w:spacing w:val="19"/>
          <w:sz w:val="24"/>
        </w:rPr>
        <w:t> </w:t>
      </w:r>
      <w:r>
        <w:rPr>
          <w:i/>
          <w:sz w:val="24"/>
        </w:rPr>
        <w:t>database</w:t>
      </w:r>
      <w:r>
        <w:rPr>
          <w:i/>
          <w:spacing w:val="19"/>
          <w:sz w:val="24"/>
        </w:rPr>
        <w:t> </w:t>
      </w:r>
      <w:r>
        <w:rPr>
          <w:sz w:val="24"/>
        </w:rPr>
        <w:t>must</w:t>
      </w:r>
      <w:r>
        <w:rPr>
          <w:spacing w:val="19"/>
          <w:sz w:val="24"/>
        </w:rPr>
        <w:t> </w:t>
      </w:r>
      <w:r>
        <w:rPr>
          <w:sz w:val="24"/>
        </w:rPr>
        <w:t>contain</w:t>
      </w:r>
    </w:p>
    <w:p>
      <w:pPr>
        <w:spacing w:before="0"/>
        <w:ind w:left="1919" w:right="0" w:firstLine="0"/>
        <w:jc w:val="both"/>
        <w:rPr>
          <w:sz w:val="24"/>
        </w:rPr>
      </w:pPr>
      <w:r>
        <w:rPr>
          <w:i/>
          <w:sz w:val="24"/>
        </w:rPr>
        <w:t>metering data </w:t>
      </w:r>
      <w:r>
        <w:rPr>
          <w:sz w:val="24"/>
        </w:rPr>
        <w:t>that is:</w:t>
      </w:r>
    </w:p>
    <w:p>
      <w:pPr>
        <w:pStyle w:val="ListParagraph"/>
        <w:numPr>
          <w:ilvl w:val="1"/>
          <w:numId w:val="509"/>
        </w:numPr>
        <w:tabs>
          <w:tab w:pos="2486" w:val="left" w:leader="none"/>
        </w:tabs>
        <w:spacing w:line="240" w:lineRule="auto" w:before="120" w:after="0"/>
        <w:ind w:left="2485" w:right="0" w:hanging="567"/>
        <w:jc w:val="both"/>
        <w:rPr>
          <w:sz w:val="24"/>
        </w:rPr>
      </w:pPr>
      <w:r>
        <w:rPr>
          <w:sz w:val="24"/>
        </w:rPr>
        <w:t>retained in an electronic format for at least 13 months;</w:t>
      </w:r>
      <w:r>
        <w:rPr>
          <w:spacing w:val="-2"/>
          <w:sz w:val="24"/>
        </w:rPr>
        <w:t> </w:t>
      </w:r>
      <w:r>
        <w:rPr>
          <w:sz w:val="24"/>
        </w:rPr>
        <w:t>and</w:t>
      </w:r>
    </w:p>
    <w:p>
      <w:pPr>
        <w:pStyle w:val="ListParagraph"/>
        <w:numPr>
          <w:ilvl w:val="1"/>
          <w:numId w:val="509"/>
        </w:numPr>
        <w:tabs>
          <w:tab w:pos="2486" w:val="left" w:leader="none"/>
        </w:tabs>
        <w:spacing w:line="240" w:lineRule="auto" w:before="120" w:after="0"/>
        <w:ind w:left="2486" w:right="415" w:hanging="567"/>
        <w:jc w:val="both"/>
        <w:rPr>
          <w:sz w:val="24"/>
        </w:rPr>
      </w:pPr>
      <w:r>
        <w:rPr>
          <w:sz w:val="24"/>
        </w:rPr>
        <w:t>following the retention under subparagraph (1), archived in an accessible format for an overall period of not less than 7</w:t>
      </w:r>
      <w:r>
        <w:rPr>
          <w:spacing w:val="-4"/>
          <w:sz w:val="24"/>
        </w:rPr>
        <w:t> </w:t>
      </w:r>
      <w:r>
        <w:rPr>
          <w:sz w:val="24"/>
        </w:rPr>
        <w:t>years.</w:t>
      </w:r>
    </w:p>
    <w:p>
      <w:pPr>
        <w:pStyle w:val="ListParagraph"/>
        <w:numPr>
          <w:ilvl w:val="0"/>
          <w:numId w:val="509"/>
        </w:numPr>
        <w:tabs>
          <w:tab w:pos="1919" w:val="left" w:leader="none"/>
        </w:tabs>
        <w:spacing w:line="240" w:lineRule="auto" w:before="120" w:after="0"/>
        <w:ind w:left="1918" w:right="0" w:hanging="567"/>
        <w:jc w:val="both"/>
        <w:rPr>
          <w:sz w:val="24"/>
        </w:rPr>
      </w:pPr>
      <w:r>
        <w:rPr>
          <w:sz w:val="24"/>
        </w:rPr>
        <w:t>The</w:t>
      </w:r>
      <w:r>
        <w:rPr>
          <w:spacing w:val="13"/>
          <w:sz w:val="24"/>
        </w:rPr>
        <w:t> </w:t>
      </w:r>
      <w:r>
        <w:rPr>
          <w:i/>
          <w:sz w:val="24"/>
        </w:rPr>
        <w:t>settlements</w:t>
      </w:r>
      <w:r>
        <w:rPr>
          <w:i/>
          <w:spacing w:val="13"/>
          <w:sz w:val="24"/>
        </w:rPr>
        <w:t> </w:t>
      </w:r>
      <w:r>
        <w:rPr>
          <w:i/>
          <w:sz w:val="24"/>
        </w:rPr>
        <w:t>ready</w:t>
      </w:r>
      <w:r>
        <w:rPr>
          <w:i/>
          <w:spacing w:val="13"/>
          <w:sz w:val="24"/>
        </w:rPr>
        <w:t> </w:t>
      </w:r>
      <w:r>
        <w:rPr>
          <w:i/>
          <w:sz w:val="24"/>
        </w:rPr>
        <w:t>data</w:t>
      </w:r>
      <w:r>
        <w:rPr>
          <w:i/>
          <w:spacing w:val="14"/>
          <w:sz w:val="24"/>
        </w:rPr>
        <w:t> </w:t>
      </w:r>
      <w:r>
        <w:rPr>
          <w:sz w:val="24"/>
        </w:rPr>
        <w:t>held</w:t>
      </w:r>
      <w:r>
        <w:rPr>
          <w:spacing w:val="13"/>
          <w:sz w:val="24"/>
        </w:rPr>
        <w:t> </w:t>
      </w:r>
      <w:r>
        <w:rPr>
          <w:sz w:val="24"/>
        </w:rPr>
        <w:t>in</w:t>
      </w:r>
      <w:r>
        <w:rPr>
          <w:spacing w:val="13"/>
          <w:sz w:val="24"/>
        </w:rPr>
        <w:t> </w:t>
      </w:r>
      <w:r>
        <w:rPr>
          <w:sz w:val="24"/>
        </w:rPr>
        <w:t>the</w:t>
      </w:r>
      <w:r>
        <w:rPr>
          <w:spacing w:val="14"/>
          <w:sz w:val="24"/>
        </w:rPr>
        <w:t> </w:t>
      </w:r>
      <w:r>
        <w:rPr>
          <w:i/>
          <w:sz w:val="24"/>
        </w:rPr>
        <w:t>metering</w:t>
      </w:r>
      <w:r>
        <w:rPr>
          <w:i/>
          <w:spacing w:val="13"/>
          <w:sz w:val="24"/>
        </w:rPr>
        <w:t> </w:t>
      </w:r>
      <w:r>
        <w:rPr>
          <w:i/>
          <w:sz w:val="24"/>
        </w:rPr>
        <w:t>data</w:t>
      </w:r>
      <w:r>
        <w:rPr>
          <w:i/>
          <w:spacing w:val="13"/>
          <w:sz w:val="24"/>
        </w:rPr>
        <w:t> </w:t>
      </w:r>
      <w:r>
        <w:rPr>
          <w:i/>
          <w:sz w:val="24"/>
        </w:rPr>
        <w:t>base</w:t>
      </w:r>
      <w:r>
        <w:rPr>
          <w:i/>
          <w:spacing w:val="14"/>
          <w:sz w:val="24"/>
        </w:rPr>
        <w:t> </w:t>
      </w:r>
      <w:r>
        <w:rPr>
          <w:sz w:val="24"/>
        </w:rPr>
        <w:t>must</w:t>
      </w:r>
      <w:r>
        <w:rPr>
          <w:spacing w:val="13"/>
          <w:sz w:val="24"/>
        </w:rPr>
        <w:t> </w:t>
      </w:r>
      <w:r>
        <w:rPr>
          <w:sz w:val="24"/>
        </w:rPr>
        <w:t>be</w:t>
      </w:r>
      <w:r>
        <w:rPr>
          <w:spacing w:val="13"/>
          <w:sz w:val="24"/>
        </w:rPr>
        <w:t> </w:t>
      </w:r>
      <w:r>
        <w:rPr>
          <w:sz w:val="24"/>
        </w:rPr>
        <w:t>used</w:t>
      </w:r>
      <w:r>
        <w:rPr>
          <w:spacing w:val="14"/>
          <w:sz w:val="24"/>
        </w:rPr>
        <w:t> </w:t>
      </w:r>
      <w:r>
        <w:rPr>
          <w:sz w:val="24"/>
        </w:rPr>
        <w:t>by</w:t>
      </w:r>
    </w:p>
    <w:p>
      <w:pPr>
        <w:spacing w:before="0"/>
        <w:ind w:left="1919" w:right="0" w:firstLine="0"/>
        <w:jc w:val="both"/>
        <w:rPr>
          <w:sz w:val="24"/>
        </w:rPr>
      </w:pPr>
      <w:r>
        <w:rPr>
          <w:i/>
          <w:sz w:val="24"/>
        </w:rPr>
        <w:t>NTESMO </w:t>
      </w:r>
      <w:r>
        <w:rPr>
          <w:sz w:val="24"/>
        </w:rPr>
        <w:t>for </w:t>
      </w:r>
      <w:r>
        <w:rPr>
          <w:i/>
          <w:sz w:val="24"/>
        </w:rPr>
        <w:t>settlement purposes</w:t>
      </w:r>
      <w:r>
        <w:rPr>
          <w:sz w:val="24"/>
        </w:rPr>
        <w:t>.</w:t>
      </w:r>
    </w:p>
    <w:p>
      <w:pPr>
        <w:pStyle w:val="ListParagraph"/>
        <w:numPr>
          <w:ilvl w:val="0"/>
          <w:numId w:val="509"/>
        </w:numPr>
        <w:tabs>
          <w:tab w:pos="1920" w:val="left" w:leader="none"/>
        </w:tabs>
        <w:spacing w:line="240" w:lineRule="auto" w:before="120" w:after="0"/>
        <w:ind w:left="1919" w:right="416" w:hanging="567"/>
        <w:jc w:val="both"/>
        <w:rPr>
          <w:sz w:val="24"/>
        </w:rPr>
      </w:pPr>
      <w:r>
        <w:rPr>
          <w:sz w:val="24"/>
        </w:rPr>
        <w:t>The </w:t>
      </w:r>
      <w:r>
        <w:rPr>
          <w:i/>
          <w:sz w:val="24"/>
        </w:rPr>
        <w:t>settlements ready data </w:t>
      </w:r>
      <w:r>
        <w:rPr>
          <w:sz w:val="24"/>
        </w:rPr>
        <w:t>held in the </w:t>
      </w:r>
      <w:r>
        <w:rPr>
          <w:i/>
          <w:sz w:val="24"/>
        </w:rPr>
        <w:t>metering database </w:t>
      </w:r>
      <w:r>
        <w:rPr>
          <w:sz w:val="24"/>
        </w:rPr>
        <w:t>may be used by </w:t>
      </w:r>
      <w:r>
        <w:rPr>
          <w:i/>
          <w:sz w:val="24"/>
        </w:rPr>
        <w:t>Distribution Network Service Providers </w:t>
      </w:r>
      <w:r>
        <w:rPr>
          <w:sz w:val="24"/>
        </w:rPr>
        <w:t>for the purpose of determining </w:t>
      </w:r>
      <w:r>
        <w:rPr>
          <w:i/>
          <w:sz w:val="24"/>
        </w:rPr>
        <w:t>distribution service charges </w:t>
      </w:r>
      <w:r>
        <w:rPr>
          <w:sz w:val="24"/>
        </w:rPr>
        <w:t>in accordance with clause</w:t>
      </w:r>
      <w:r>
        <w:rPr>
          <w:spacing w:val="-5"/>
          <w:sz w:val="24"/>
        </w:rPr>
        <w:t> </w:t>
      </w:r>
      <w:r>
        <w:rPr>
          <w:sz w:val="24"/>
        </w:rPr>
        <w:t>6.20.1.</w:t>
      </w:r>
    </w:p>
    <w:p>
      <w:pPr>
        <w:pStyle w:val="ListParagraph"/>
        <w:numPr>
          <w:ilvl w:val="0"/>
          <w:numId w:val="509"/>
        </w:numPr>
        <w:tabs>
          <w:tab w:pos="1919" w:val="left" w:leader="none"/>
        </w:tabs>
        <w:spacing w:line="240" w:lineRule="auto" w:before="120" w:after="0"/>
        <w:ind w:left="1918" w:right="0" w:hanging="567"/>
        <w:jc w:val="both"/>
        <w:rPr>
          <w:i/>
          <w:sz w:val="24"/>
        </w:rPr>
      </w:pPr>
      <w:r>
        <w:rPr>
          <w:i/>
          <w:sz w:val="24"/>
        </w:rPr>
        <w:t>NTESMO</w:t>
      </w:r>
      <w:r>
        <w:rPr>
          <w:i/>
          <w:spacing w:val="30"/>
          <w:sz w:val="24"/>
        </w:rPr>
        <w:t> </w:t>
      </w:r>
      <w:r>
        <w:rPr>
          <w:sz w:val="24"/>
        </w:rPr>
        <w:t>must</w:t>
      </w:r>
      <w:r>
        <w:rPr>
          <w:spacing w:val="30"/>
          <w:sz w:val="24"/>
        </w:rPr>
        <w:t> </w:t>
      </w:r>
      <w:r>
        <w:rPr>
          <w:sz w:val="24"/>
        </w:rPr>
        <w:t>retain</w:t>
      </w:r>
      <w:r>
        <w:rPr>
          <w:spacing w:val="30"/>
          <w:sz w:val="24"/>
        </w:rPr>
        <w:t> </w:t>
      </w:r>
      <w:r>
        <w:rPr>
          <w:i/>
          <w:sz w:val="24"/>
        </w:rPr>
        <w:t>settlements</w:t>
      </w:r>
      <w:r>
        <w:rPr>
          <w:i/>
          <w:spacing w:val="30"/>
          <w:sz w:val="24"/>
        </w:rPr>
        <w:t> </w:t>
      </w:r>
      <w:r>
        <w:rPr>
          <w:i/>
          <w:sz w:val="24"/>
        </w:rPr>
        <w:t>ready</w:t>
      </w:r>
      <w:r>
        <w:rPr>
          <w:i/>
          <w:spacing w:val="30"/>
          <w:sz w:val="24"/>
        </w:rPr>
        <w:t> </w:t>
      </w:r>
      <w:r>
        <w:rPr>
          <w:i/>
          <w:sz w:val="24"/>
        </w:rPr>
        <w:t>data</w:t>
      </w:r>
      <w:r>
        <w:rPr>
          <w:i/>
          <w:spacing w:val="30"/>
          <w:sz w:val="24"/>
        </w:rPr>
        <w:t> </w:t>
      </w:r>
      <w:r>
        <w:rPr>
          <w:sz w:val="24"/>
        </w:rPr>
        <w:t>for</w:t>
      </w:r>
      <w:r>
        <w:rPr>
          <w:spacing w:val="30"/>
          <w:sz w:val="24"/>
        </w:rPr>
        <w:t> </w:t>
      </w:r>
      <w:r>
        <w:rPr>
          <w:sz w:val="24"/>
        </w:rPr>
        <w:t>all</w:t>
      </w:r>
      <w:r>
        <w:rPr>
          <w:spacing w:val="30"/>
          <w:sz w:val="24"/>
        </w:rPr>
        <w:t> </w:t>
      </w:r>
      <w:r>
        <w:rPr>
          <w:i/>
          <w:sz w:val="24"/>
        </w:rPr>
        <w:t>metering</w:t>
      </w:r>
      <w:r>
        <w:rPr>
          <w:i/>
          <w:spacing w:val="30"/>
          <w:sz w:val="24"/>
        </w:rPr>
        <w:t> </w:t>
      </w:r>
      <w:r>
        <w:rPr>
          <w:i/>
          <w:sz w:val="24"/>
        </w:rPr>
        <w:t>installations</w:t>
      </w:r>
    </w:p>
    <w:p>
      <w:pPr>
        <w:pStyle w:val="BodyText"/>
        <w:spacing w:before="0"/>
        <w:ind w:left="1919" w:firstLine="0"/>
      </w:pPr>
      <w:r>
        <w:rPr/>
        <w:t>for at least 7 years.</w:t>
      </w:r>
    </w:p>
    <w:p>
      <w:pPr>
        <w:pStyle w:val="ListParagraph"/>
        <w:numPr>
          <w:ilvl w:val="0"/>
          <w:numId w:val="509"/>
        </w:numPr>
        <w:tabs>
          <w:tab w:pos="1919" w:val="left" w:leader="none"/>
        </w:tabs>
        <w:spacing w:line="240" w:lineRule="auto" w:before="120" w:after="0"/>
        <w:ind w:left="1919" w:right="414" w:hanging="567"/>
        <w:jc w:val="both"/>
        <w:rPr>
          <w:sz w:val="24"/>
        </w:rPr>
      </w:pPr>
      <w:r>
        <w:rPr>
          <w:sz w:val="24"/>
        </w:rPr>
        <w:t>Despite anything to the contrary in this </w:t>
      </w:r>
      <w:r>
        <w:rPr>
          <w:i/>
          <w:sz w:val="24"/>
        </w:rPr>
        <w:t>Rule</w:t>
      </w:r>
      <w:r>
        <w:rPr>
          <w:sz w:val="24"/>
        </w:rPr>
        <w:t>, </w:t>
      </w:r>
      <w:r>
        <w:rPr>
          <w:i/>
          <w:sz w:val="24"/>
        </w:rPr>
        <w:t>NTESMO </w:t>
      </w:r>
      <w:r>
        <w:rPr>
          <w:sz w:val="24"/>
        </w:rPr>
        <w:t>may provide </w:t>
      </w:r>
      <w:r>
        <w:rPr>
          <w:spacing w:val="-4"/>
          <w:sz w:val="24"/>
        </w:rPr>
        <w:t>the </w:t>
      </w:r>
      <w:r>
        <w:rPr>
          <w:i/>
          <w:sz w:val="24"/>
        </w:rPr>
        <w:t>energy ombudsman </w:t>
      </w:r>
      <w:r>
        <w:rPr>
          <w:sz w:val="24"/>
        </w:rPr>
        <w:t>with </w:t>
      </w:r>
      <w:r>
        <w:rPr>
          <w:i/>
          <w:sz w:val="24"/>
        </w:rPr>
        <w:t>metering data </w:t>
      </w:r>
      <w:r>
        <w:rPr>
          <w:sz w:val="24"/>
        </w:rPr>
        <w:t>relating to a </w:t>
      </w:r>
      <w:r>
        <w:rPr>
          <w:i/>
          <w:sz w:val="24"/>
        </w:rPr>
        <w:t>Registered Participant </w:t>
      </w:r>
      <w:r>
        <w:rPr>
          <w:sz w:val="24"/>
        </w:rPr>
        <w:t>from a </w:t>
      </w:r>
      <w:r>
        <w:rPr>
          <w:i/>
          <w:sz w:val="24"/>
        </w:rPr>
        <w:t>metering installation</w:t>
      </w:r>
      <w:r>
        <w:rPr>
          <w:sz w:val="24"/>
        </w:rPr>
        <w:t>, the </w:t>
      </w:r>
      <w:r>
        <w:rPr>
          <w:i/>
          <w:sz w:val="24"/>
        </w:rPr>
        <w:t>metering database</w:t>
      </w:r>
      <w:r>
        <w:rPr>
          <w:sz w:val="24"/>
        </w:rPr>
        <w:t>, or the </w:t>
      </w:r>
      <w:r>
        <w:rPr>
          <w:i/>
          <w:sz w:val="24"/>
        </w:rPr>
        <w:t>metering </w:t>
      </w:r>
      <w:r>
        <w:rPr>
          <w:i/>
          <w:sz w:val="24"/>
        </w:rPr>
        <w:t>register</w:t>
      </w:r>
      <w:r>
        <w:rPr>
          <w:sz w:val="24"/>
        </w:rPr>
        <w:t>, if the </w:t>
      </w:r>
      <w:r>
        <w:rPr>
          <w:i/>
          <w:sz w:val="24"/>
        </w:rPr>
        <w:t>energy ombudsman </w:t>
      </w:r>
      <w:r>
        <w:rPr>
          <w:sz w:val="24"/>
        </w:rPr>
        <w:t>has received a complaint to which the data is relevant from a </w:t>
      </w:r>
      <w:r>
        <w:rPr>
          <w:i/>
          <w:sz w:val="24"/>
        </w:rPr>
        <w:t>retail customer </w:t>
      </w:r>
      <w:r>
        <w:rPr>
          <w:sz w:val="24"/>
        </w:rPr>
        <w:t>of the </w:t>
      </w:r>
      <w:r>
        <w:rPr>
          <w:i/>
          <w:sz w:val="24"/>
        </w:rPr>
        <w:t>Registered</w:t>
      </w:r>
      <w:r>
        <w:rPr>
          <w:i/>
          <w:spacing w:val="-4"/>
          <w:sz w:val="24"/>
        </w:rPr>
        <w:t> </w:t>
      </w:r>
      <w:r>
        <w:rPr>
          <w:i/>
          <w:sz w:val="24"/>
        </w:rPr>
        <w:t>Participant</w:t>
      </w:r>
      <w:r>
        <w:rPr>
          <w:sz w:val="24"/>
        </w:rPr>
        <w:t>.</w:t>
      </w:r>
    </w:p>
    <w:p>
      <w:pPr>
        <w:pStyle w:val="ListParagraph"/>
        <w:numPr>
          <w:ilvl w:val="0"/>
          <w:numId w:val="509"/>
        </w:numPr>
        <w:tabs>
          <w:tab w:pos="1919" w:val="left" w:leader="none"/>
        </w:tabs>
        <w:spacing w:line="240" w:lineRule="auto" w:before="120" w:after="0"/>
        <w:ind w:left="1919" w:right="414" w:hanging="567"/>
        <w:jc w:val="both"/>
        <w:rPr>
          <w:sz w:val="24"/>
        </w:rPr>
      </w:pPr>
      <w:r>
        <w:rPr>
          <w:i/>
          <w:sz w:val="24"/>
        </w:rPr>
        <w:t>NTESMO </w:t>
      </w:r>
      <w:r>
        <w:rPr>
          <w:sz w:val="24"/>
        </w:rPr>
        <w:t>must notify the relevant </w:t>
      </w:r>
      <w:r>
        <w:rPr>
          <w:i/>
          <w:sz w:val="24"/>
        </w:rPr>
        <w:t>Registered Participant </w:t>
      </w:r>
      <w:r>
        <w:rPr>
          <w:sz w:val="24"/>
        </w:rPr>
        <w:t>of any information requested by the </w:t>
      </w:r>
      <w:r>
        <w:rPr>
          <w:i/>
          <w:sz w:val="24"/>
        </w:rPr>
        <w:t>energy ombudsman </w:t>
      </w:r>
      <w:r>
        <w:rPr>
          <w:sz w:val="24"/>
        </w:rPr>
        <w:t>under paragraph (h) and, </w:t>
      </w:r>
      <w:r>
        <w:rPr>
          <w:spacing w:val="-6"/>
          <w:sz w:val="24"/>
        </w:rPr>
        <w:t>if </w:t>
      </w:r>
      <w:r>
        <w:rPr>
          <w:sz w:val="24"/>
        </w:rPr>
        <w:t>it is requested by that </w:t>
      </w:r>
      <w:r>
        <w:rPr>
          <w:i/>
          <w:sz w:val="24"/>
        </w:rPr>
        <w:t>Registered Participant</w:t>
      </w:r>
      <w:r>
        <w:rPr>
          <w:sz w:val="24"/>
        </w:rPr>
        <w:t>, supply the </w:t>
      </w:r>
      <w:r>
        <w:rPr>
          <w:i/>
          <w:sz w:val="24"/>
        </w:rPr>
        <w:t>Registered </w:t>
      </w:r>
      <w:r>
        <w:rPr>
          <w:i/>
          <w:sz w:val="24"/>
        </w:rPr>
        <w:t>Participant </w:t>
      </w:r>
      <w:r>
        <w:rPr>
          <w:sz w:val="24"/>
        </w:rPr>
        <w:t>with a copy of any information provided to the </w:t>
      </w:r>
      <w:r>
        <w:rPr>
          <w:i/>
          <w:sz w:val="24"/>
        </w:rPr>
        <w:t>energy </w:t>
      </w:r>
      <w:r>
        <w:rPr>
          <w:i/>
          <w:sz w:val="24"/>
        </w:rPr>
        <w:t>ombudsman</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7A.9.2 Data validation, substitution and" w:id="1811"/>
      <w:bookmarkEnd w:id="1811"/>
      <w:r>
        <w:rPr>
          <w:b w:val="0"/>
        </w:rPr>
      </w:r>
      <w:bookmarkStart w:name="_bookmark731" w:id="1812"/>
      <w:bookmarkEnd w:id="1812"/>
      <w:r>
        <w:rPr>
          <w:b w:val="0"/>
        </w:rPr>
      </w:r>
      <w:r>
        <w:rPr/>
        <w:t>7A.9.2</w:t>
        <w:tab/>
        <w:t>Data validation, substitution and</w:t>
      </w:r>
      <w:r>
        <w:rPr>
          <w:spacing w:val="-2"/>
        </w:rPr>
        <w:t> </w:t>
      </w:r>
      <w:r>
        <w:rPr/>
        <w:t>estimation</w:t>
      </w:r>
    </w:p>
    <w:p>
      <w:pPr>
        <w:pStyle w:val="ListParagraph"/>
        <w:numPr>
          <w:ilvl w:val="0"/>
          <w:numId w:val="510"/>
        </w:numPr>
        <w:tabs>
          <w:tab w:pos="1919" w:val="left" w:leader="none"/>
        </w:tabs>
        <w:spacing w:line="240" w:lineRule="auto" w:before="120" w:after="0"/>
        <w:ind w:left="1919" w:right="415" w:hanging="567"/>
        <w:jc w:val="both"/>
        <w:rPr>
          <w:sz w:val="24"/>
        </w:rPr>
      </w:pPr>
      <w:r>
        <w:rPr>
          <w:sz w:val="24"/>
        </w:rPr>
        <w:t>If </w:t>
      </w:r>
      <w:r>
        <w:rPr>
          <w:i/>
          <w:sz w:val="24"/>
        </w:rPr>
        <w:t>NTESMO </w:t>
      </w:r>
      <w:r>
        <w:rPr>
          <w:sz w:val="24"/>
        </w:rPr>
        <w:t>in the preparation of </w:t>
      </w:r>
      <w:r>
        <w:rPr>
          <w:i/>
          <w:sz w:val="24"/>
        </w:rPr>
        <w:t>settlements ready data </w:t>
      </w:r>
      <w:r>
        <w:rPr>
          <w:sz w:val="24"/>
        </w:rPr>
        <w:t>detects </w:t>
      </w:r>
      <w:r>
        <w:rPr>
          <w:i/>
          <w:sz w:val="24"/>
        </w:rPr>
        <w:t>metering </w:t>
      </w:r>
      <w:r>
        <w:rPr>
          <w:i/>
          <w:sz w:val="24"/>
        </w:rPr>
        <w:t>data </w:t>
      </w:r>
      <w:r>
        <w:rPr>
          <w:sz w:val="24"/>
        </w:rPr>
        <w:t>that fails validation </w:t>
      </w:r>
      <w:r>
        <w:rPr>
          <w:i/>
          <w:sz w:val="24"/>
        </w:rPr>
        <w:t>NTESMO </w:t>
      </w:r>
      <w:r>
        <w:rPr>
          <w:sz w:val="24"/>
        </w:rPr>
        <w:t>must notify the </w:t>
      </w:r>
      <w:r>
        <w:rPr>
          <w:i/>
          <w:sz w:val="24"/>
        </w:rPr>
        <w:t>Metering Data Provider </w:t>
      </w:r>
      <w:r>
        <w:rPr>
          <w:sz w:val="24"/>
        </w:rPr>
        <w:t>within 1 </w:t>
      </w:r>
      <w:r>
        <w:rPr>
          <w:i/>
          <w:sz w:val="24"/>
        </w:rPr>
        <w:t>business day </w:t>
      </w:r>
      <w:r>
        <w:rPr>
          <w:sz w:val="24"/>
        </w:rPr>
        <w:t>of</w:t>
      </w:r>
      <w:r>
        <w:rPr>
          <w:spacing w:val="-2"/>
          <w:sz w:val="24"/>
        </w:rPr>
        <w:t> </w:t>
      </w:r>
      <w:r>
        <w:rPr>
          <w:sz w:val="24"/>
        </w:rPr>
        <w:t>detection.</w:t>
      </w:r>
    </w:p>
    <w:p>
      <w:pPr>
        <w:pStyle w:val="ListParagraph"/>
        <w:numPr>
          <w:ilvl w:val="0"/>
          <w:numId w:val="510"/>
        </w:numPr>
        <w:tabs>
          <w:tab w:pos="1919" w:val="left" w:leader="none"/>
        </w:tabs>
        <w:spacing w:line="240" w:lineRule="auto" w:before="120" w:after="0"/>
        <w:ind w:left="1919" w:right="414" w:hanging="567"/>
        <w:jc w:val="both"/>
        <w:rPr>
          <w:sz w:val="24"/>
        </w:rPr>
      </w:pPr>
      <w:r>
        <w:rPr>
          <w:sz w:val="24"/>
        </w:rPr>
        <w:t>Where a </w:t>
      </w:r>
      <w:r>
        <w:rPr>
          <w:i/>
          <w:sz w:val="24"/>
        </w:rPr>
        <w:t>Metering Data Provider </w:t>
      </w:r>
      <w:r>
        <w:rPr>
          <w:sz w:val="24"/>
        </w:rPr>
        <w:t>receives notification under paragraph (a), the </w:t>
      </w:r>
      <w:r>
        <w:rPr>
          <w:i/>
          <w:sz w:val="24"/>
        </w:rPr>
        <w:t>Metering Data Provider </w:t>
      </w:r>
      <w:r>
        <w:rPr>
          <w:sz w:val="24"/>
        </w:rPr>
        <w:t>must use its best endeavours to provide corrected </w:t>
      </w:r>
      <w:r>
        <w:rPr>
          <w:i/>
          <w:sz w:val="24"/>
        </w:rPr>
        <w:t>metering data </w:t>
      </w:r>
      <w:r>
        <w:rPr>
          <w:sz w:val="24"/>
        </w:rPr>
        <w:t>to </w:t>
      </w:r>
      <w:r>
        <w:rPr>
          <w:i/>
          <w:sz w:val="24"/>
        </w:rPr>
        <w:t>NTESMO </w:t>
      </w:r>
      <w:r>
        <w:rPr>
          <w:sz w:val="24"/>
        </w:rPr>
        <w:t>within 1 </w:t>
      </w:r>
      <w:r>
        <w:rPr>
          <w:i/>
          <w:sz w:val="24"/>
        </w:rPr>
        <w:t>business day </w:t>
      </w:r>
      <w:r>
        <w:rPr>
          <w:sz w:val="24"/>
        </w:rPr>
        <w:t>or advise </w:t>
      </w:r>
      <w:r>
        <w:rPr>
          <w:i/>
          <w:sz w:val="24"/>
        </w:rPr>
        <w:t>NTESMO </w:t>
      </w:r>
      <w:r>
        <w:rPr>
          <w:sz w:val="24"/>
        </w:rPr>
        <w:t>that this time limit cannot be achieved, and the reason for delay, in which case the parties must agree on a revised time limit by which the corrected </w:t>
      </w:r>
      <w:r>
        <w:rPr>
          <w:i/>
          <w:sz w:val="24"/>
        </w:rPr>
        <w:t>metering data </w:t>
      </w:r>
      <w:r>
        <w:rPr>
          <w:sz w:val="24"/>
        </w:rPr>
        <w:t>will be</w:t>
      </w:r>
      <w:r>
        <w:rPr>
          <w:spacing w:val="-3"/>
          <w:sz w:val="24"/>
        </w:rPr>
        <w:t> </w:t>
      </w:r>
      <w:r>
        <w:rPr>
          <w:sz w:val="24"/>
        </w:rPr>
        <w:t>provided.</w:t>
      </w:r>
    </w:p>
    <w:p>
      <w:pPr>
        <w:pStyle w:val="ListParagraph"/>
        <w:numPr>
          <w:ilvl w:val="0"/>
          <w:numId w:val="510"/>
        </w:numPr>
        <w:tabs>
          <w:tab w:pos="1919" w:val="left" w:leader="none"/>
        </w:tabs>
        <w:spacing w:line="240" w:lineRule="auto" w:before="120" w:after="0"/>
        <w:ind w:left="1919" w:right="415" w:hanging="567"/>
        <w:jc w:val="both"/>
        <w:rPr>
          <w:sz w:val="24"/>
        </w:rPr>
      </w:pPr>
      <w:r>
        <w:rPr>
          <w:sz w:val="24"/>
        </w:rPr>
        <w:t>Where </w:t>
      </w:r>
      <w:r>
        <w:rPr>
          <w:i/>
          <w:sz w:val="24"/>
        </w:rPr>
        <w:t>metering data </w:t>
      </w:r>
      <w:r>
        <w:rPr>
          <w:sz w:val="24"/>
        </w:rPr>
        <w:t>fails validation by </w:t>
      </w:r>
      <w:r>
        <w:rPr>
          <w:i/>
          <w:sz w:val="24"/>
        </w:rPr>
        <w:t>NTESMO </w:t>
      </w:r>
      <w:r>
        <w:rPr>
          <w:sz w:val="24"/>
        </w:rPr>
        <w:t>in the preparation </w:t>
      </w:r>
      <w:r>
        <w:rPr>
          <w:spacing w:val="-6"/>
          <w:sz w:val="24"/>
        </w:rPr>
        <w:t>of </w:t>
      </w:r>
      <w:r>
        <w:rPr>
          <w:i/>
          <w:sz w:val="24"/>
        </w:rPr>
        <w:t>settlements ready data </w:t>
      </w:r>
      <w:r>
        <w:rPr>
          <w:sz w:val="24"/>
        </w:rPr>
        <w:t>and replacement </w:t>
      </w:r>
      <w:r>
        <w:rPr>
          <w:i/>
          <w:sz w:val="24"/>
        </w:rPr>
        <w:t>metering data </w:t>
      </w:r>
      <w:r>
        <w:rPr>
          <w:sz w:val="24"/>
        </w:rPr>
        <w:t>is not available within the time required for </w:t>
      </w:r>
      <w:r>
        <w:rPr>
          <w:i/>
          <w:sz w:val="24"/>
        </w:rPr>
        <w:t>settlements </w:t>
      </w:r>
      <w:r>
        <w:rPr>
          <w:sz w:val="24"/>
        </w:rPr>
        <w:t>then </w:t>
      </w:r>
      <w:r>
        <w:rPr>
          <w:i/>
          <w:sz w:val="24"/>
        </w:rPr>
        <w:t>NTESMO </w:t>
      </w:r>
      <w:r>
        <w:rPr>
          <w:sz w:val="24"/>
        </w:rPr>
        <w:t>must prepare a substitute value in accordance with schedule</w:t>
      </w:r>
      <w:r>
        <w:rPr>
          <w:spacing w:val="-5"/>
          <w:sz w:val="24"/>
        </w:rPr>
        <w:t> </w:t>
      </w:r>
      <w:r>
        <w:rPr>
          <w:sz w:val="24"/>
        </w:rPr>
        <w:t>S7A.7.</w:t>
      </w:r>
    </w:p>
    <w:p>
      <w:pPr>
        <w:pStyle w:val="BodyText"/>
        <w:spacing w:before="10"/>
        <w:ind w:firstLine="0"/>
        <w:jc w:val="left"/>
        <w:rPr>
          <w:sz w:val="20"/>
        </w:rPr>
      </w:pPr>
    </w:p>
    <w:p>
      <w:pPr>
        <w:pStyle w:val="Heading4"/>
        <w:tabs>
          <w:tab w:pos="1351" w:val="left" w:leader="none"/>
        </w:tabs>
        <w:ind w:left="218" w:firstLine="0"/>
      </w:pPr>
      <w:bookmarkStart w:name="7A.9.3 Changes to energy data or to mete" w:id="1813"/>
      <w:bookmarkEnd w:id="1813"/>
      <w:r>
        <w:rPr>
          <w:b w:val="0"/>
        </w:rPr>
      </w:r>
      <w:bookmarkStart w:name="_bookmark732" w:id="1814"/>
      <w:bookmarkEnd w:id="1814"/>
      <w:r>
        <w:rPr>
          <w:b w:val="0"/>
        </w:rPr>
      </w:r>
      <w:r>
        <w:rPr/>
        <w:t>7A.9.3</w:t>
        <w:tab/>
        <w:t>Changes to energy data or to metering</w:t>
      </w:r>
      <w:r>
        <w:rPr>
          <w:spacing w:val="-6"/>
        </w:rPr>
        <w:t> </w:t>
      </w:r>
      <w:r>
        <w:rPr/>
        <w:t>data</w:t>
      </w:r>
    </w:p>
    <w:p>
      <w:pPr>
        <w:pStyle w:val="ListParagraph"/>
        <w:numPr>
          <w:ilvl w:val="0"/>
          <w:numId w:val="511"/>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w:t>
      </w:r>
      <w:r>
        <w:rPr>
          <w:i/>
          <w:sz w:val="24"/>
        </w:rPr>
        <w:t>energy data </w:t>
      </w:r>
      <w:r>
        <w:rPr>
          <w:sz w:val="24"/>
        </w:rPr>
        <w:t>held in a </w:t>
      </w:r>
      <w:r>
        <w:rPr>
          <w:i/>
          <w:sz w:val="24"/>
        </w:rPr>
        <w:t>metering </w:t>
      </w:r>
      <w:r>
        <w:rPr>
          <w:i/>
          <w:sz w:val="24"/>
        </w:rPr>
        <w:t>installation </w:t>
      </w:r>
      <w:r>
        <w:rPr>
          <w:sz w:val="24"/>
        </w:rPr>
        <w:t>is not altered except when the </w:t>
      </w:r>
      <w:r>
        <w:rPr>
          <w:i/>
          <w:sz w:val="24"/>
        </w:rPr>
        <w:t>meter </w:t>
      </w:r>
      <w:r>
        <w:rPr>
          <w:sz w:val="24"/>
        </w:rPr>
        <w:t>is reset to zero as part of a repair or</w:t>
      </w:r>
      <w:r>
        <w:rPr>
          <w:spacing w:val="-1"/>
          <w:sz w:val="24"/>
        </w:rPr>
        <w:t> </w:t>
      </w:r>
      <w:r>
        <w:rPr>
          <w:sz w:val="24"/>
        </w:rPr>
        <w:t>reprogramming.</w:t>
      </w:r>
    </w:p>
    <w:p>
      <w:pPr>
        <w:pStyle w:val="ListParagraph"/>
        <w:numPr>
          <w:ilvl w:val="0"/>
          <w:numId w:val="511"/>
        </w:numPr>
        <w:tabs>
          <w:tab w:pos="1919" w:val="left" w:leader="none"/>
        </w:tabs>
        <w:spacing w:line="240" w:lineRule="auto" w:before="120" w:after="0"/>
        <w:ind w:left="1919" w:right="415" w:hanging="567"/>
        <w:jc w:val="both"/>
        <w:rPr>
          <w:sz w:val="24"/>
        </w:rPr>
      </w:pPr>
      <w:r>
        <w:rPr>
          <w:sz w:val="24"/>
        </w:rPr>
        <w:t>If an on-site test of a </w:t>
      </w:r>
      <w:r>
        <w:rPr>
          <w:i/>
          <w:sz w:val="24"/>
        </w:rPr>
        <w:t>metering installation </w:t>
      </w:r>
      <w:r>
        <w:rPr>
          <w:sz w:val="24"/>
        </w:rPr>
        <w:t>requires the injection of current, the </w:t>
      </w:r>
      <w:r>
        <w:rPr>
          <w:i/>
          <w:sz w:val="24"/>
        </w:rPr>
        <w:t>Metering Coordinator </w:t>
      </w:r>
      <w:r>
        <w:rPr>
          <w:sz w:val="24"/>
        </w:rPr>
        <w:t>must ensure</w:t>
      </w:r>
      <w:r>
        <w:rPr>
          <w:spacing w:val="-1"/>
          <w:sz w:val="24"/>
        </w:rPr>
        <w:t> </w:t>
      </w:r>
      <w:r>
        <w:rPr>
          <w:sz w:val="24"/>
        </w:rPr>
        <w:t>that:</w:t>
      </w:r>
    </w:p>
    <w:p>
      <w:pPr>
        <w:pStyle w:val="ListParagraph"/>
        <w:numPr>
          <w:ilvl w:val="1"/>
          <w:numId w:val="511"/>
        </w:numPr>
        <w:tabs>
          <w:tab w:pos="2486" w:val="left" w:leader="none"/>
        </w:tabs>
        <w:spacing w:line="240" w:lineRule="auto" w:before="120" w:after="0"/>
        <w:ind w:left="2485" w:right="0" w:hanging="567"/>
        <w:jc w:val="both"/>
        <w:rPr>
          <w:sz w:val="24"/>
        </w:rPr>
      </w:pPr>
      <w:r>
        <w:rPr>
          <w:sz w:val="24"/>
        </w:rPr>
        <w:t>the </w:t>
      </w:r>
      <w:r>
        <w:rPr>
          <w:i/>
          <w:sz w:val="24"/>
        </w:rPr>
        <w:t>energy data </w:t>
      </w:r>
      <w:r>
        <w:rPr>
          <w:sz w:val="24"/>
        </w:rPr>
        <w:t>stored in the </w:t>
      </w:r>
      <w:r>
        <w:rPr>
          <w:i/>
          <w:sz w:val="24"/>
        </w:rPr>
        <w:t>metering installation </w:t>
      </w:r>
      <w:r>
        <w:rPr>
          <w:sz w:val="24"/>
        </w:rPr>
        <w:t>is</w:t>
      </w:r>
      <w:r>
        <w:rPr>
          <w:spacing w:val="-7"/>
          <w:sz w:val="24"/>
        </w:rPr>
        <w:t> </w:t>
      </w:r>
      <w:r>
        <w:rPr>
          <w:sz w:val="24"/>
        </w:rPr>
        <w:t>inspected;</w:t>
      </w:r>
    </w:p>
    <w:p>
      <w:pPr>
        <w:pStyle w:val="ListParagraph"/>
        <w:numPr>
          <w:ilvl w:val="1"/>
          <w:numId w:val="511"/>
        </w:numPr>
        <w:tabs>
          <w:tab w:pos="2486" w:val="left" w:leader="none"/>
        </w:tabs>
        <w:spacing w:line="240" w:lineRule="auto" w:before="120" w:after="0"/>
        <w:ind w:left="2486" w:right="414" w:hanging="567"/>
        <w:jc w:val="both"/>
        <w:rPr>
          <w:sz w:val="24"/>
        </w:rPr>
      </w:pPr>
      <w:r>
        <w:rPr>
          <w:sz w:val="24"/>
        </w:rPr>
        <w:t>if necessary following the inspection under subparagraph (1), alterations are made to the </w:t>
      </w:r>
      <w:r>
        <w:rPr>
          <w:i/>
          <w:sz w:val="24"/>
        </w:rPr>
        <w:t>metering data</w:t>
      </w:r>
      <w:r>
        <w:rPr>
          <w:sz w:val="24"/>
        </w:rPr>
        <w:t>, to ensure that the </w:t>
      </w:r>
      <w:r>
        <w:rPr>
          <w:i/>
          <w:sz w:val="24"/>
        </w:rPr>
        <w:t>metering </w:t>
      </w:r>
      <w:r>
        <w:rPr>
          <w:i/>
          <w:sz w:val="24"/>
        </w:rPr>
        <w:t>data </w:t>
      </w:r>
      <w:r>
        <w:rPr>
          <w:sz w:val="24"/>
        </w:rPr>
        <w:t>in the </w:t>
      </w:r>
      <w:r>
        <w:rPr>
          <w:i/>
          <w:sz w:val="24"/>
        </w:rPr>
        <w:t>metering data services database </w:t>
      </w:r>
      <w:r>
        <w:rPr>
          <w:sz w:val="24"/>
        </w:rPr>
        <w:t>and the </w:t>
      </w:r>
      <w:r>
        <w:rPr>
          <w:i/>
          <w:sz w:val="24"/>
        </w:rPr>
        <w:t>metering database </w:t>
      </w:r>
      <w:r>
        <w:rPr>
          <w:sz w:val="24"/>
        </w:rPr>
        <w:t>is not materially different from the </w:t>
      </w:r>
      <w:r>
        <w:rPr>
          <w:i/>
          <w:sz w:val="24"/>
        </w:rPr>
        <w:t>energy </w:t>
      </w:r>
      <w:r>
        <w:rPr>
          <w:sz w:val="24"/>
        </w:rPr>
        <w:t>consumed at that </w:t>
      </w:r>
      <w:r>
        <w:rPr>
          <w:i/>
          <w:sz w:val="24"/>
        </w:rPr>
        <w:t>connection point </w:t>
      </w:r>
      <w:r>
        <w:rPr>
          <w:sz w:val="24"/>
        </w:rPr>
        <w:t>during the period of the</w:t>
      </w:r>
      <w:r>
        <w:rPr>
          <w:spacing w:val="-1"/>
          <w:sz w:val="24"/>
        </w:rPr>
        <w:t> </w:t>
      </w:r>
      <w:r>
        <w:rPr>
          <w:sz w:val="24"/>
        </w:rPr>
        <w:t>test.</w:t>
      </w:r>
    </w:p>
    <w:p>
      <w:pPr>
        <w:pStyle w:val="ListParagraph"/>
        <w:numPr>
          <w:ilvl w:val="0"/>
          <w:numId w:val="511"/>
        </w:numPr>
        <w:tabs>
          <w:tab w:pos="1919" w:val="left" w:leader="none"/>
        </w:tabs>
        <w:spacing w:line="240" w:lineRule="auto" w:before="120" w:after="0"/>
        <w:ind w:left="1919" w:right="416" w:hanging="567"/>
        <w:jc w:val="both"/>
        <w:rPr>
          <w:sz w:val="24"/>
        </w:rPr>
      </w:pPr>
      <w:r>
        <w:rPr>
          <w:sz w:val="24"/>
        </w:rPr>
        <w:t>If a </w:t>
      </w:r>
      <w:r>
        <w:rPr>
          <w:i/>
          <w:sz w:val="24"/>
        </w:rPr>
        <w:t>Metering Coordinator </w:t>
      </w:r>
      <w:r>
        <w:rPr>
          <w:sz w:val="24"/>
        </w:rPr>
        <w:t>considers alterations are necessary </w:t>
      </w:r>
      <w:r>
        <w:rPr>
          <w:spacing w:val="-3"/>
          <w:sz w:val="24"/>
        </w:rPr>
        <w:t>under</w:t>
      </w:r>
      <w:r>
        <w:rPr>
          <w:spacing w:val="54"/>
          <w:sz w:val="24"/>
        </w:rPr>
        <w:t> </w:t>
      </w:r>
      <w:r>
        <w:rPr>
          <w:sz w:val="24"/>
        </w:rPr>
        <w:t>paragraph (b)(2), the </w:t>
      </w:r>
      <w:r>
        <w:rPr>
          <w:i/>
          <w:sz w:val="24"/>
        </w:rPr>
        <w:t>Metering Coordinator</w:t>
      </w:r>
      <w:r>
        <w:rPr>
          <w:i/>
          <w:spacing w:val="-1"/>
          <w:sz w:val="24"/>
        </w:rPr>
        <w:t> </w:t>
      </w:r>
      <w:r>
        <w:rPr>
          <w:sz w:val="24"/>
        </w:rPr>
        <w:t>must:</w:t>
      </w:r>
    </w:p>
    <w:p>
      <w:pPr>
        <w:pStyle w:val="ListParagraph"/>
        <w:numPr>
          <w:ilvl w:val="1"/>
          <w:numId w:val="511"/>
        </w:numPr>
        <w:tabs>
          <w:tab w:pos="2486" w:val="left" w:leader="none"/>
        </w:tabs>
        <w:spacing w:line="240" w:lineRule="auto" w:before="120" w:after="0"/>
        <w:ind w:left="2486" w:right="416" w:hanging="567"/>
        <w:jc w:val="both"/>
        <w:rPr>
          <w:sz w:val="24"/>
        </w:rPr>
      </w:pPr>
      <w:r>
        <w:rPr>
          <w:sz w:val="24"/>
        </w:rPr>
        <w:t>for local electricity systems with a </w:t>
      </w:r>
      <w:r>
        <w:rPr>
          <w:i/>
          <w:sz w:val="24"/>
        </w:rPr>
        <w:t>market </w:t>
      </w:r>
      <w:r>
        <w:rPr>
          <w:sz w:val="24"/>
        </w:rPr>
        <w:t>operated by </w:t>
      </w:r>
      <w:r>
        <w:rPr>
          <w:i/>
          <w:sz w:val="24"/>
        </w:rPr>
        <w:t>NTESMO</w:t>
      </w:r>
      <w:r>
        <w:rPr>
          <w:sz w:val="24"/>
        </w:rPr>
        <w:t>, notify </w:t>
      </w:r>
      <w:r>
        <w:rPr>
          <w:i/>
          <w:sz w:val="24"/>
        </w:rPr>
        <w:t>NTESMO </w:t>
      </w:r>
      <w:r>
        <w:rPr>
          <w:sz w:val="24"/>
        </w:rPr>
        <w:t>that alteration to the </w:t>
      </w:r>
      <w:r>
        <w:rPr>
          <w:i/>
          <w:sz w:val="24"/>
        </w:rPr>
        <w:t>metering data </w:t>
      </w:r>
      <w:r>
        <w:rPr>
          <w:sz w:val="24"/>
        </w:rPr>
        <w:t>is necessary;</w:t>
      </w:r>
      <w:r>
        <w:rPr>
          <w:spacing w:val="-6"/>
          <w:sz w:val="24"/>
        </w:rPr>
        <w:t> </w:t>
      </w:r>
      <w:r>
        <w:rPr>
          <w:sz w:val="24"/>
        </w:rPr>
        <w:t>and</w:t>
      </w:r>
    </w:p>
    <w:p>
      <w:pPr>
        <w:pStyle w:val="ListParagraph"/>
        <w:numPr>
          <w:ilvl w:val="1"/>
          <w:numId w:val="511"/>
        </w:numPr>
        <w:tabs>
          <w:tab w:pos="2486" w:val="left" w:leader="none"/>
        </w:tabs>
        <w:spacing w:line="240" w:lineRule="auto" w:before="120" w:after="0"/>
        <w:ind w:left="2486" w:right="415" w:hanging="567"/>
        <w:jc w:val="both"/>
        <w:rPr>
          <w:sz w:val="24"/>
        </w:rPr>
      </w:pPr>
      <w:r>
        <w:rPr>
          <w:sz w:val="24"/>
        </w:rPr>
        <w:t>advise the financially responsible participant of the need to change the </w:t>
      </w:r>
      <w:r>
        <w:rPr>
          <w:i/>
          <w:sz w:val="24"/>
        </w:rPr>
        <w:t>metering data</w:t>
      </w:r>
      <w:r>
        <w:rPr>
          <w:sz w:val="24"/>
        </w:rPr>
        <w:t>, and the </w:t>
      </w:r>
      <w:r>
        <w:rPr>
          <w:i/>
          <w:sz w:val="24"/>
        </w:rPr>
        <w:t>Metering Coordinator </w:t>
      </w:r>
      <w:r>
        <w:rPr>
          <w:sz w:val="24"/>
        </w:rPr>
        <w:t>must arrange for the </w:t>
      </w:r>
      <w:r>
        <w:rPr>
          <w:i/>
          <w:sz w:val="24"/>
        </w:rPr>
        <w:t>Metering Data Provider</w:t>
      </w:r>
      <w:r>
        <w:rPr>
          <w:i/>
          <w:spacing w:val="-2"/>
          <w:sz w:val="24"/>
        </w:rPr>
        <w:t> </w:t>
      </w:r>
      <w:r>
        <w:rPr>
          <w:sz w:val="24"/>
        </w:rPr>
        <w:t>to:</w:t>
      </w:r>
    </w:p>
    <w:p>
      <w:pPr>
        <w:pStyle w:val="ListParagraph"/>
        <w:numPr>
          <w:ilvl w:val="2"/>
          <w:numId w:val="511"/>
        </w:numPr>
        <w:tabs>
          <w:tab w:pos="3053" w:val="left" w:leader="none"/>
        </w:tabs>
        <w:spacing w:line="240" w:lineRule="auto" w:before="120" w:after="0"/>
        <w:ind w:left="3053" w:right="415" w:hanging="567"/>
        <w:jc w:val="both"/>
        <w:rPr>
          <w:sz w:val="24"/>
        </w:rPr>
      </w:pPr>
      <w:r>
        <w:rPr>
          <w:sz w:val="24"/>
        </w:rPr>
        <w:t>alter the </w:t>
      </w:r>
      <w:r>
        <w:rPr>
          <w:i/>
          <w:sz w:val="24"/>
        </w:rPr>
        <w:t>metering data </w:t>
      </w:r>
      <w:r>
        <w:rPr>
          <w:sz w:val="24"/>
        </w:rPr>
        <w:t>for the </w:t>
      </w:r>
      <w:r>
        <w:rPr>
          <w:i/>
          <w:sz w:val="24"/>
        </w:rPr>
        <w:t>connection point </w:t>
      </w:r>
      <w:r>
        <w:rPr>
          <w:sz w:val="24"/>
        </w:rPr>
        <w:t>held in the </w:t>
      </w:r>
      <w:r>
        <w:rPr>
          <w:i/>
          <w:sz w:val="24"/>
        </w:rPr>
        <w:t>metering data services database </w:t>
      </w:r>
      <w:r>
        <w:rPr>
          <w:sz w:val="24"/>
        </w:rPr>
        <w:t>in accordance with the validation, substitution and estimation procedures in schedule 7A.7; and</w:t>
      </w:r>
    </w:p>
    <w:p>
      <w:pPr>
        <w:pStyle w:val="ListParagraph"/>
        <w:numPr>
          <w:ilvl w:val="2"/>
          <w:numId w:val="511"/>
        </w:numPr>
        <w:tabs>
          <w:tab w:pos="3054" w:val="left" w:leader="none"/>
        </w:tabs>
        <w:spacing w:line="240" w:lineRule="auto" w:before="120" w:after="0"/>
        <w:ind w:left="3053" w:right="415" w:hanging="567"/>
        <w:jc w:val="both"/>
        <w:rPr>
          <w:sz w:val="24"/>
        </w:rPr>
      </w:pPr>
      <w:r>
        <w:rPr>
          <w:sz w:val="24"/>
        </w:rPr>
        <w:t>provide the altered </w:t>
      </w:r>
      <w:r>
        <w:rPr>
          <w:i/>
          <w:sz w:val="24"/>
        </w:rPr>
        <w:t>metering data </w:t>
      </w:r>
      <w:r>
        <w:rPr>
          <w:sz w:val="24"/>
        </w:rPr>
        <w:t>to the persons who receive  that </w:t>
      </w:r>
      <w:r>
        <w:rPr>
          <w:i/>
          <w:sz w:val="24"/>
        </w:rPr>
        <w:t>metering data </w:t>
      </w:r>
      <w:r>
        <w:rPr>
          <w:sz w:val="24"/>
        </w:rPr>
        <w:t>under clause</w:t>
      </w:r>
      <w:r>
        <w:rPr>
          <w:spacing w:val="-2"/>
          <w:sz w:val="24"/>
        </w:rPr>
        <w:t> </w:t>
      </w:r>
      <w:r>
        <w:rPr>
          <w:sz w:val="24"/>
        </w:rPr>
        <w:t>7.13.5(c).</w:t>
      </w:r>
    </w:p>
    <w:p>
      <w:pPr>
        <w:pStyle w:val="ListParagraph"/>
        <w:numPr>
          <w:ilvl w:val="0"/>
          <w:numId w:val="511"/>
        </w:numPr>
        <w:tabs>
          <w:tab w:pos="1919" w:val="left" w:leader="none"/>
        </w:tabs>
        <w:spacing w:line="240" w:lineRule="auto" w:before="120" w:after="0"/>
        <w:ind w:left="1919" w:right="415" w:hanging="567"/>
        <w:jc w:val="both"/>
        <w:rPr>
          <w:sz w:val="24"/>
        </w:rPr>
      </w:pPr>
      <w:r>
        <w:rPr>
          <w:sz w:val="24"/>
        </w:rPr>
        <w:t>If a test referred to in paragraph (b) is based on actual </w:t>
      </w:r>
      <w:r>
        <w:rPr>
          <w:i/>
          <w:sz w:val="24"/>
        </w:rPr>
        <w:t>connection point </w:t>
      </w:r>
      <w:r>
        <w:rPr>
          <w:i/>
          <w:sz w:val="24"/>
        </w:rPr>
        <w:t>loads</w:t>
      </w:r>
      <w:r>
        <w:rPr>
          <w:sz w:val="24"/>
        </w:rPr>
        <w:t>, no alteration is</w:t>
      </w:r>
      <w:r>
        <w:rPr>
          <w:spacing w:val="-1"/>
          <w:sz w:val="24"/>
        </w:rPr>
        <w:t> </w:t>
      </w:r>
      <w:r>
        <w:rPr>
          <w:sz w:val="24"/>
        </w:rPr>
        <w:t>required.</w:t>
      </w:r>
    </w:p>
    <w:p>
      <w:pPr>
        <w:spacing w:after="0" w:line="240" w:lineRule="auto"/>
        <w:jc w:val="both"/>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3"/>
        <w:tabs>
          <w:tab w:pos="1351" w:val="left" w:leader="none"/>
        </w:tabs>
        <w:ind w:left="218" w:firstLine="0"/>
      </w:pPr>
      <w:bookmarkStart w:name="7A.10 Register of metering information" w:id="1815"/>
      <w:bookmarkEnd w:id="1815"/>
      <w:r>
        <w:rPr>
          <w:b w:val="0"/>
        </w:rPr>
      </w:r>
      <w:bookmarkStart w:name="_bookmark733" w:id="1816"/>
      <w:bookmarkEnd w:id="1816"/>
      <w:r>
        <w:rPr>
          <w:b w:val="0"/>
        </w:rPr>
      </w:r>
      <w:r>
        <w:rPr/>
        <w:t>7A.10</w:t>
        <w:tab/>
        <w:t>Register of metering</w:t>
      </w:r>
      <w:r>
        <w:rPr>
          <w:spacing w:val="-3"/>
        </w:rPr>
        <w:t> </w:t>
      </w:r>
      <w:r>
        <w:rPr/>
        <w:t>information</w:t>
      </w:r>
    </w:p>
    <w:p>
      <w:pPr>
        <w:pStyle w:val="Heading4"/>
        <w:tabs>
          <w:tab w:pos="1351" w:val="left" w:leader="none"/>
        </w:tabs>
        <w:spacing w:before="240"/>
        <w:ind w:left="218" w:firstLine="0"/>
      </w:pPr>
      <w:bookmarkStart w:name="7A.10.1 Metering register" w:id="1817"/>
      <w:bookmarkEnd w:id="1817"/>
      <w:r>
        <w:rPr>
          <w:b w:val="0"/>
        </w:rPr>
      </w:r>
      <w:bookmarkStart w:name="_bookmark734" w:id="1818"/>
      <w:bookmarkEnd w:id="1818"/>
      <w:r>
        <w:rPr>
          <w:b w:val="0"/>
        </w:rPr>
      </w:r>
      <w:r>
        <w:rPr/>
        <w:t>7A.10.1</w:t>
        <w:tab/>
        <w:t>Metering</w:t>
      </w:r>
      <w:r>
        <w:rPr>
          <w:spacing w:val="-1"/>
        </w:rPr>
        <w:t> </w:t>
      </w:r>
      <w:r>
        <w:rPr/>
        <w:t>register</w:t>
      </w:r>
    </w:p>
    <w:p>
      <w:pPr>
        <w:pStyle w:val="ListParagraph"/>
        <w:numPr>
          <w:ilvl w:val="0"/>
          <w:numId w:val="512"/>
        </w:numPr>
        <w:tabs>
          <w:tab w:pos="1919" w:val="left" w:leader="none"/>
        </w:tabs>
        <w:spacing w:line="240" w:lineRule="auto" w:before="120" w:after="0"/>
        <w:ind w:left="1919" w:right="416" w:hanging="567"/>
        <w:jc w:val="both"/>
        <w:rPr>
          <w:sz w:val="24"/>
        </w:rPr>
      </w:pPr>
      <w:r>
        <w:rPr>
          <w:sz w:val="24"/>
        </w:rPr>
        <w:t>As part of the </w:t>
      </w:r>
      <w:r>
        <w:rPr>
          <w:i/>
          <w:sz w:val="24"/>
        </w:rPr>
        <w:t>metering database</w:t>
      </w:r>
      <w:r>
        <w:rPr>
          <w:sz w:val="24"/>
        </w:rPr>
        <w:t>, </w:t>
      </w:r>
      <w:r>
        <w:rPr>
          <w:i/>
          <w:sz w:val="24"/>
        </w:rPr>
        <w:t>NTESMO </w:t>
      </w:r>
      <w:r>
        <w:rPr>
          <w:sz w:val="24"/>
        </w:rPr>
        <w:t>must maintain a </w:t>
      </w:r>
      <w:r>
        <w:rPr>
          <w:i/>
          <w:sz w:val="24"/>
        </w:rPr>
        <w:t>metering </w:t>
      </w:r>
      <w:r>
        <w:rPr>
          <w:i/>
          <w:sz w:val="24"/>
        </w:rPr>
        <w:t>register </w:t>
      </w:r>
      <w:r>
        <w:rPr>
          <w:sz w:val="24"/>
        </w:rPr>
        <w:t>of all </w:t>
      </w:r>
      <w:r>
        <w:rPr>
          <w:i/>
          <w:sz w:val="24"/>
        </w:rPr>
        <w:t>metering installations </w:t>
      </w:r>
      <w:r>
        <w:rPr>
          <w:sz w:val="24"/>
        </w:rPr>
        <w:t>and </w:t>
      </w:r>
      <w:r>
        <w:rPr>
          <w:i/>
          <w:sz w:val="24"/>
        </w:rPr>
        <w:t>check metering installations </w:t>
      </w:r>
      <w:r>
        <w:rPr>
          <w:sz w:val="24"/>
        </w:rPr>
        <w:t>which provide </w:t>
      </w:r>
      <w:r>
        <w:rPr>
          <w:i/>
          <w:sz w:val="24"/>
        </w:rPr>
        <w:t>metering data </w:t>
      </w:r>
      <w:r>
        <w:rPr>
          <w:sz w:val="24"/>
        </w:rPr>
        <w:t>for</w:t>
      </w:r>
      <w:r>
        <w:rPr>
          <w:spacing w:val="-1"/>
          <w:sz w:val="24"/>
        </w:rPr>
        <w:t> </w:t>
      </w:r>
      <w:r>
        <w:rPr>
          <w:i/>
          <w:sz w:val="24"/>
        </w:rPr>
        <w:t>settlements</w:t>
      </w:r>
      <w:r>
        <w:rPr>
          <w:sz w:val="24"/>
        </w:rPr>
        <w:t>.</w:t>
      </w:r>
    </w:p>
    <w:p>
      <w:pPr>
        <w:pStyle w:val="ListParagraph"/>
        <w:numPr>
          <w:ilvl w:val="0"/>
          <w:numId w:val="512"/>
        </w:numPr>
        <w:tabs>
          <w:tab w:pos="1919" w:val="left" w:leader="none"/>
        </w:tabs>
        <w:spacing w:line="240" w:lineRule="auto" w:before="120" w:after="0"/>
        <w:ind w:left="1919" w:right="415" w:hanging="567"/>
        <w:jc w:val="both"/>
        <w:rPr>
          <w:sz w:val="24"/>
        </w:rPr>
      </w:pPr>
      <w:r>
        <w:rPr>
          <w:sz w:val="24"/>
        </w:rPr>
        <w:t>The </w:t>
      </w:r>
      <w:r>
        <w:rPr>
          <w:i/>
          <w:sz w:val="24"/>
        </w:rPr>
        <w:t>metering register </w:t>
      </w:r>
      <w:r>
        <w:rPr>
          <w:sz w:val="24"/>
        </w:rPr>
        <w:t>referred to in paragraph (a) must contain the information specified in Schedule</w:t>
      </w:r>
      <w:r>
        <w:rPr>
          <w:spacing w:val="-4"/>
          <w:sz w:val="24"/>
        </w:rPr>
        <w:t> </w:t>
      </w:r>
      <w:r>
        <w:rPr>
          <w:sz w:val="24"/>
        </w:rPr>
        <w:t>7A.1.</w:t>
      </w:r>
    </w:p>
    <w:p>
      <w:pPr>
        <w:pStyle w:val="BodyText"/>
        <w:spacing w:before="10"/>
        <w:ind w:firstLine="0"/>
        <w:jc w:val="left"/>
        <w:rPr>
          <w:sz w:val="20"/>
        </w:rPr>
      </w:pPr>
    </w:p>
    <w:p>
      <w:pPr>
        <w:pStyle w:val="Heading4"/>
        <w:tabs>
          <w:tab w:pos="1351" w:val="left" w:leader="none"/>
        </w:tabs>
        <w:ind w:left="218" w:firstLine="0"/>
      </w:pPr>
      <w:bookmarkStart w:name="7A.10.2 Metering installation registrati" w:id="1819"/>
      <w:bookmarkEnd w:id="1819"/>
      <w:r>
        <w:rPr>
          <w:b w:val="0"/>
        </w:rPr>
      </w:r>
      <w:bookmarkStart w:name="_bookmark735" w:id="1820"/>
      <w:bookmarkEnd w:id="1820"/>
      <w:r>
        <w:rPr>
          <w:b w:val="0"/>
        </w:rPr>
      </w:r>
      <w:r>
        <w:rPr/>
        <w:t>7A.10.2</w:t>
        <w:tab/>
        <w:t>Metering installation registration</w:t>
      </w:r>
      <w:r>
        <w:rPr>
          <w:spacing w:val="-2"/>
        </w:rPr>
        <w:t> </w:t>
      </w:r>
      <w:r>
        <w:rPr/>
        <w:t>process</w:t>
      </w:r>
    </w:p>
    <w:p>
      <w:pPr>
        <w:pStyle w:val="ListParagraph"/>
        <w:numPr>
          <w:ilvl w:val="0"/>
          <w:numId w:val="513"/>
        </w:numPr>
        <w:tabs>
          <w:tab w:pos="1919" w:val="left" w:leader="none"/>
        </w:tabs>
        <w:spacing w:line="240" w:lineRule="auto" w:before="120" w:after="0"/>
        <w:ind w:left="1919" w:right="415" w:hanging="567"/>
        <w:jc w:val="both"/>
        <w:rPr>
          <w:sz w:val="24"/>
        </w:rPr>
      </w:pPr>
      <w:r>
        <w:rPr>
          <w:sz w:val="24"/>
        </w:rPr>
        <w:t>For the purpose of maintaining the </w:t>
      </w:r>
      <w:r>
        <w:rPr>
          <w:i/>
          <w:sz w:val="24"/>
        </w:rPr>
        <w:t>metering register</w:t>
      </w:r>
      <w:r>
        <w:rPr>
          <w:sz w:val="24"/>
        </w:rPr>
        <w:t>, </w:t>
      </w:r>
      <w:r>
        <w:rPr>
          <w:i/>
          <w:sz w:val="24"/>
        </w:rPr>
        <w:t>NTESMO </w:t>
      </w:r>
      <w:r>
        <w:rPr>
          <w:sz w:val="24"/>
        </w:rPr>
        <w:t>must establish, maintain and publish a registration process in respect to </w:t>
      </w:r>
      <w:r>
        <w:rPr>
          <w:spacing w:val="-4"/>
          <w:sz w:val="24"/>
        </w:rPr>
        <w:t>the </w:t>
      </w:r>
      <w:r>
        <w:rPr>
          <w:sz w:val="24"/>
        </w:rPr>
        <w:t>following (where </w:t>
      </w:r>
      <w:r>
        <w:rPr>
          <w:i/>
          <w:sz w:val="24"/>
        </w:rPr>
        <w:t>metering data </w:t>
      </w:r>
      <w:r>
        <w:rPr>
          <w:sz w:val="24"/>
        </w:rPr>
        <w:t>provided is used for</w:t>
      </w:r>
      <w:r>
        <w:rPr>
          <w:spacing w:val="-3"/>
          <w:sz w:val="24"/>
        </w:rPr>
        <w:t> </w:t>
      </w:r>
      <w:r>
        <w:rPr>
          <w:i/>
          <w:sz w:val="24"/>
        </w:rPr>
        <w:t>settlements</w:t>
      </w:r>
      <w:r>
        <w:rPr>
          <w:sz w:val="24"/>
        </w:rPr>
        <w:t>):</w:t>
      </w:r>
    </w:p>
    <w:p>
      <w:pPr>
        <w:pStyle w:val="ListParagraph"/>
        <w:numPr>
          <w:ilvl w:val="1"/>
          <w:numId w:val="513"/>
        </w:numPr>
        <w:tabs>
          <w:tab w:pos="2485" w:val="left" w:leader="none"/>
          <w:tab w:pos="2486" w:val="left" w:leader="none"/>
        </w:tabs>
        <w:spacing w:line="240" w:lineRule="auto" w:before="120" w:after="0"/>
        <w:ind w:left="2485" w:right="0" w:hanging="567"/>
        <w:jc w:val="left"/>
        <w:rPr>
          <w:sz w:val="24"/>
        </w:rPr>
      </w:pPr>
      <w:r>
        <w:rPr>
          <w:sz w:val="24"/>
        </w:rPr>
        <w:t>new </w:t>
      </w:r>
      <w:r>
        <w:rPr>
          <w:i/>
          <w:sz w:val="24"/>
        </w:rPr>
        <w:t>metering</w:t>
      </w:r>
      <w:r>
        <w:rPr>
          <w:i/>
          <w:spacing w:val="-1"/>
          <w:sz w:val="24"/>
        </w:rPr>
        <w:t> </w:t>
      </w:r>
      <w:r>
        <w:rPr>
          <w:i/>
          <w:sz w:val="24"/>
        </w:rPr>
        <w:t>installations</w:t>
      </w:r>
      <w:r>
        <w:rPr>
          <w:sz w:val="24"/>
        </w:rPr>
        <w:t>;</w:t>
      </w:r>
    </w:p>
    <w:p>
      <w:pPr>
        <w:pStyle w:val="ListParagraph"/>
        <w:numPr>
          <w:ilvl w:val="1"/>
          <w:numId w:val="513"/>
        </w:numPr>
        <w:tabs>
          <w:tab w:pos="2485" w:val="left" w:leader="none"/>
          <w:tab w:pos="2486" w:val="left" w:leader="none"/>
        </w:tabs>
        <w:spacing w:line="240" w:lineRule="auto" w:before="120" w:after="0"/>
        <w:ind w:left="2485" w:right="0" w:hanging="567"/>
        <w:jc w:val="left"/>
        <w:rPr>
          <w:sz w:val="24"/>
        </w:rPr>
      </w:pPr>
      <w:r>
        <w:rPr>
          <w:sz w:val="24"/>
        </w:rPr>
        <w:t>modifications to existing </w:t>
      </w:r>
      <w:r>
        <w:rPr>
          <w:i/>
          <w:sz w:val="24"/>
        </w:rPr>
        <w:t>metering installations</w:t>
      </w:r>
      <w:r>
        <w:rPr>
          <w:sz w:val="24"/>
        </w:rPr>
        <w:t>;</w:t>
      </w:r>
      <w:r>
        <w:rPr>
          <w:spacing w:val="-3"/>
          <w:sz w:val="24"/>
        </w:rPr>
        <w:t> </w:t>
      </w:r>
      <w:r>
        <w:rPr>
          <w:sz w:val="24"/>
        </w:rPr>
        <w:t>and</w:t>
      </w:r>
    </w:p>
    <w:p>
      <w:pPr>
        <w:pStyle w:val="ListParagraph"/>
        <w:numPr>
          <w:ilvl w:val="1"/>
          <w:numId w:val="513"/>
        </w:numPr>
        <w:tabs>
          <w:tab w:pos="2485" w:val="left" w:leader="none"/>
          <w:tab w:pos="2486" w:val="left" w:leader="none"/>
        </w:tabs>
        <w:spacing w:line="240" w:lineRule="auto" w:before="120" w:after="0"/>
        <w:ind w:left="2485" w:right="0" w:hanging="567"/>
        <w:jc w:val="left"/>
        <w:rPr>
          <w:sz w:val="24"/>
        </w:rPr>
      </w:pPr>
      <w:r>
        <w:rPr>
          <w:sz w:val="24"/>
        </w:rPr>
        <w:t>decommissioning of </w:t>
      </w:r>
      <w:r>
        <w:rPr>
          <w:i/>
          <w:sz w:val="24"/>
        </w:rPr>
        <w:t>metering</w:t>
      </w:r>
      <w:r>
        <w:rPr>
          <w:i/>
          <w:spacing w:val="-1"/>
          <w:sz w:val="24"/>
        </w:rPr>
        <w:t> </w:t>
      </w:r>
      <w:r>
        <w:rPr>
          <w:i/>
          <w:sz w:val="24"/>
        </w:rPr>
        <w:t>installations</w:t>
      </w:r>
      <w:r>
        <w:rPr>
          <w:sz w:val="24"/>
        </w:rPr>
        <w:t>.</w:t>
      </w:r>
    </w:p>
    <w:p>
      <w:pPr>
        <w:pStyle w:val="ListParagraph"/>
        <w:numPr>
          <w:ilvl w:val="0"/>
          <w:numId w:val="513"/>
        </w:numPr>
        <w:tabs>
          <w:tab w:pos="1919" w:val="left" w:leader="none"/>
        </w:tabs>
        <w:spacing w:line="240" w:lineRule="auto" w:before="120" w:after="0"/>
        <w:ind w:left="1919" w:right="414" w:hanging="567"/>
        <w:jc w:val="both"/>
        <w:rPr>
          <w:sz w:val="24"/>
        </w:rPr>
      </w:pPr>
      <w:r>
        <w:rPr>
          <w:sz w:val="24"/>
        </w:rPr>
        <w:t>For the </w:t>
      </w:r>
      <w:r>
        <w:rPr>
          <w:i/>
          <w:sz w:val="24"/>
        </w:rPr>
        <w:t>1st regulatory control period</w:t>
      </w:r>
      <w:r>
        <w:rPr>
          <w:sz w:val="24"/>
        </w:rPr>
        <w:t>, if information about a </w:t>
      </w:r>
      <w:r>
        <w:rPr>
          <w:i/>
          <w:sz w:val="24"/>
        </w:rPr>
        <w:t>metering </w:t>
      </w:r>
      <w:r>
        <w:rPr>
          <w:i/>
          <w:sz w:val="24"/>
        </w:rPr>
        <w:t>installation </w:t>
      </w:r>
      <w:r>
        <w:rPr>
          <w:sz w:val="24"/>
        </w:rPr>
        <w:t>is included in the </w:t>
      </w:r>
      <w:r>
        <w:rPr>
          <w:i/>
          <w:sz w:val="24"/>
        </w:rPr>
        <w:t>metering register</w:t>
      </w:r>
      <w:r>
        <w:rPr>
          <w:sz w:val="24"/>
        </w:rPr>
        <w:t>, then the metering installation is to be, taken, for the purposes of this Chapter 7A, to be registered with</w:t>
      </w:r>
      <w:r>
        <w:rPr>
          <w:spacing w:val="-1"/>
          <w:sz w:val="24"/>
        </w:rPr>
        <w:t> </w:t>
      </w:r>
      <w:r>
        <w:rPr>
          <w:i/>
          <w:sz w:val="24"/>
        </w:rPr>
        <w:t>NTESMO</w:t>
      </w:r>
      <w:r>
        <w:rPr>
          <w:sz w:val="24"/>
        </w:rPr>
        <w:t>.</w:t>
      </w:r>
    </w:p>
    <w:p>
      <w:pPr>
        <w:pStyle w:val="BodyText"/>
        <w:spacing w:before="10"/>
        <w:ind w:firstLine="0"/>
        <w:jc w:val="left"/>
        <w:rPr>
          <w:sz w:val="20"/>
        </w:rPr>
      </w:pPr>
    </w:p>
    <w:p>
      <w:pPr>
        <w:pStyle w:val="Heading4"/>
        <w:tabs>
          <w:tab w:pos="1351" w:val="left" w:leader="none"/>
        </w:tabs>
        <w:ind w:left="218" w:firstLine="0"/>
      </w:pPr>
      <w:bookmarkStart w:name="7A.10.3 Metering register discrepancy" w:id="1821"/>
      <w:bookmarkEnd w:id="1821"/>
      <w:r>
        <w:rPr>
          <w:b w:val="0"/>
        </w:rPr>
      </w:r>
      <w:bookmarkStart w:name="_bookmark736" w:id="1822"/>
      <w:bookmarkEnd w:id="1822"/>
      <w:r>
        <w:rPr>
          <w:b w:val="0"/>
        </w:rPr>
      </w:r>
      <w:r>
        <w:rPr/>
        <w:t>7A.10.3</w:t>
        <w:tab/>
        <w:t>Metering register</w:t>
      </w:r>
      <w:r>
        <w:rPr>
          <w:spacing w:val="-2"/>
        </w:rPr>
        <w:t> </w:t>
      </w:r>
      <w:r>
        <w:rPr/>
        <w:t>discrepancy</w:t>
      </w:r>
    </w:p>
    <w:p>
      <w:pPr>
        <w:pStyle w:val="ListParagraph"/>
        <w:numPr>
          <w:ilvl w:val="0"/>
          <w:numId w:val="514"/>
        </w:numPr>
        <w:tabs>
          <w:tab w:pos="1919" w:val="left" w:leader="none"/>
        </w:tabs>
        <w:spacing w:line="240" w:lineRule="auto" w:before="120" w:after="0"/>
        <w:ind w:left="1919" w:right="415" w:hanging="567"/>
        <w:jc w:val="both"/>
        <w:rPr>
          <w:sz w:val="24"/>
        </w:rPr>
      </w:pPr>
      <w:r>
        <w:rPr>
          <w:sz w:val="24"/>
        </w:rPr>
        <w:t>If the information in the </w:t>
      </w:r>
      <w:r>
        <w:rPr>
          <w:i/>
          <w:sz w:val="24"/>
        </w:rPr>
        <w:t>metering register </w:t>
      </w:r>
      <w:r>
        <w:rPr>
          <w:sz w:val="24"/>
        </w:rPr>
        <w:t>indicates that the </w:t>
      </w:r>
      <w:r>
        <w:rPr>
          <w:i/>
          <w:sz w:val="24"/>
        </w:rPr>
        <w:t>metering </w:t>
      </w:r>
      <w:r>
        <w:rPr>
          <w:i/>
          <w:sz w:val="24"/>
        </w:rPr>
        <w:t>installation </w:t>
      </w:r>
      <w:r>
        <w:rPr>
          <w:sz w:val="24"/>
        </w:rPr>
        <w:t>or the </w:t>
      </w:r>
      <w:r>
        <w:rPr>
          <w:i/>
          <w:sz w:val="24"/>
        </w:rPr>
        <w:t>check metering installation </w:t>
      </w:r>
      <w:r>
        <w:rPr>
          <w:sz w:val="24"/>
        </w:rPr>
        <w:t>does not comply with the requirements of the </w:t>
      </w:r>
      <w:r>
        <w:rPr>
          <w:i/>
          <w:sz w:val="24"/>
        </w:rPr>
        <w:t>Rules</w:t>
      </w:r>
      <w:r>
        <w:rPr>
          <w:sz w:val="24"/>
        </w:rPr>
        <w:t>, </w:t>
      </w:r>
      <w:r>
        <w:rPr>
          <w:i/>
          <w:sz w:val="24"/>
        </w:rPr>
        <w:t>NTESMO </w:t>
      </w:r>
      <w:r>
        <w:rPr>
          <w:sz w:val="24"/>
        </w:rPr>
        <w:t>must advise affected </w:t>
      </w:r>
      <w:r>
        <w:rPr>
          <w:i/>
          <w:sz w:val="24"/>
        </w:rPr>
        <w:t>Registered </w:t>
      </w:r>
      <w:r>
        <w:rPr>
          <w:i/>
          <w:sz w:val="24"/>
        </w:rPr>
        <w:t>Participants </w:t>
      </w:r>
      <w:r>
        <w:rPr>
          <w:sz w:val="24"/>
        </w:rPr>
        <w:t>of the</w:t>
      </w:r>
      <w:r>
        <w:rPr>
          <w:spacing w:val="-1"/>
          <w:sz w:val="24"/>
        </w:rPr>
        <w:t> </w:t>
      </w:r>
      <w:r>
        <w:rPr>
          <w:sz w:val="24"/>
        </w:rPr>
        <w:t>discrepancy.</w:t>
      </w:r>
    </w:p>
    <w:p>
      <w:pPr>
        <w:pStyle w:val="ListParagraph"/>
        <w:numPr>
          <w:ilvl w:val="0"/>
          <w:numId w:val="514"/>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arrange for the discrepancy to be corrected within 2 </w:t>
      </w:r>
      <w:r>
        <w:rPr>
          <w:i/>
          <w:sz w:val="24"/>
        </w:rPr>
        <w:t>business days </w:t>
      </w:r>
      <w:r>
        <w:rPr>
          <w:sz w:val="24"/>
        </w:rPr>
        <w:t>of receipt of notification under paragraph (a) unless otherwise agreed by</w:t>
      </w:r>
      <w:r>
        <w:rPr>
          <w:spacing w:val="-1"/>
          <w:sz w:val="24"/>
        </w:rPr>
        <w:t> </w:t>
      </w:r>
      <w:r>
        <w:rPr>
          <w:i/>
          <w:sz w:val="24"/>
        </w:rPr>
        <w:t>NTESMO</w:t>
      </w:r>
      <w:r>
        <w:rPr>
          <w:sz w:val="24"/>
        </w:rPr>
        <w:t>.</w:t>
      </w:r>
    </w:p>
    <w:p>
      <w:pPr>
        <w:spacing w:before="220"/>
        <w:ind w:left="1356" w:right="0" w:firstLine="0"/>
        <w:jc w:val="left"/>
        <w:rPr>
          <w:rFonts w:ascii="Arial"/>
          <w:b/>
          <w:sz w:val="22"/>
        </w:rPr>
      </w:pPr>
      <w:r>
        <w:rPr>
          <w:rFonts w:ascii="Arial"/>
          <w:b/>
          <w:sz w:val="22"/>
        </w:rPr>
        <w:t>Discrepancies between database and other data</w:t>
      </w:r>
    </w:p>
    <w:p>
      <w:pPr>
        <w:pStyle w:val="ListParagraph"/>
        <w:numPr>
          <w:ilvl w:val="0"/>
          <w:numId w:val="514"/>
        </w:numPr>
        <w:tabs>
          <w:tab w:pos="1919" w:val="left" w:leader="none"/>
        </w:tabs>
        <w:spacing w:line="240" w:lineRule="auto" w:before="120" w:after="0"/>
        <w:ind w:left="1918" w:right="0" w:hanging="567"/>
        <w:jc w:val="both"/>
        <w:rPr>
          <w:i/>
          <w:sz w:val="24"/>
        </w:rPr>
      </w:pPr>
      <w:r>
        <w:rPr>
          <w:sz w:val="24"/>
        </w:rPr>
        <w:t>If there is a discrepancy between </w:t>
      </w:r>
      <w:r>
        <w:rPr>
          <w:i/>
          <w:sz w:val="24"/>
        </w:rPr>
        <w:t>energy data </w:t>
      </w:r>
      <w:r>
        <w:rPr>
          <w:sz w:val="24"/>
        </w:rPr>
        <w:t>held in a </w:t>
      </w:r>
      <w:r>
        <w:rPr>
          <w:i/>
          <w:sz w:val="24"/>
        </w:rPr>
        <w:t>metering</w:t>
      </w:r>
      <w:r>
        <w:rPr>
          <w:i/>
          <w:spacing w:val="53"/>
          <w:sz w:val="24"/>
        </w:rPr>
        <w:t> </w:t>
      </w:r>
      <w:r>
        <w:rPr>
          <w:i/>
          <w:sz w:val="24"/>
        </w:rPr>
        <w:t>installation</w:t>
      </w:r>
    </w:p>
    <w:p>
      <w:pPr>
        <w:spacing w:before="0"/>
        <w:ind w:left="1919" w:right="0" w:firstLine="0"/>
        <w:jc w:val="both"/>
        <w:rPr>
          <w:sz w:val="24"/>
        </w:rPr>
      </w:pPr>
      <w:r>
        <w:rPr>
          <w:sz w:val="24"/>
        </w:rPr>
        <w:t>and </w:t>
      </w:r>
      <w:r>
        <w:rPr>
          <w:i/>
          <w:sz w:val="24"/>
        </w:rPr>
        <w:t>data </w:t>
      </w:r>
      <w:r>
        <w:rPr>
          <w:sz w:val="24"/>
        </w:rPr>
        <w:t>held in the </w:t>
      </w:r>
      <w:r>
        <w:rPr>
          <w:i/>
          <w:sz w:val="24"/>
        </w:rPr>
        <w:t>metering database</w:t>
      </w:r>
      <w:r>
        <w:rPr>
          <w:sz w:val="24"/>
        </w:rPr>
        <w:t>:</w:t>
      </w:r>
    </w:p>
    <w:p>
      <w:pPr>
        <w:pStyle w:val="ListParagraph"/>
        <w:numPr>
          <w:ilvl w:val="1"/>
          <w:numId w:val="514"/>
        </w:numPr>
        <w:tabs>
          <w:tab w:pos="2486" w:val="left" w:leader="none"/>
        </w:tabs>
        <w:spacing w:line="240" w:lineRule="auto" w:before="120" w:after="0"/>
        <w:ind w:left="2486" w:right="414" w:hanging="567"/>
        <w:jc w:val="both"/>
        <w:rPr>
          <w:sz w:val="24"/>
        </w:rPr>
      </w:pPr>
      <w:r>
        <w:rPr>
          <w:sz w:val="24"/>
        </w:rPr>
        <w:t>the affected </w:t>
      </w:r>
      <w:r>
        <w:rPr>
          <w:i/>
          <w:sz w:val="24"/>
        </w:rPr>
        <w:t>Metering Coordinator </w:t>
      </w:r>
      <w:r>
        <w:rPr>
          <w:sz w:val="24"/>
        </w:rPr>
        <w:t>and </w:t>
      </w:r>
      <w:r>
        <w:rPr>
          <w:i/>
          <w:sz w:val="24"/>
        </w:rPr>
        <w:t>NTESMO </w:t>
      </w:r>
      <w:r>
        <w:rPr>
          <w:sz w:val="24"/>
        </w:rPr>
        <w:t>must liaise together to determine the most appropriate way to resolve the discrepancy;</w:t>
      </w:r>
      <w:r>
        <w:rPr>
          <w:spacing w:val="-9"/>
          <w:sz w:val="24"/>
        </w:rPr>
        <w:t> </w:t>
      </w:r>
      <w:r>
        <w:rPr>
          <w:sz w:val="24"/>
        </w:rPr>
        <w:t>and</w:t>
      </w:r>
    </w:p>
    <w:p>
      <w:pPr>
        <w:pStyle w:val="ListParagraph"/>
        <w:numPr>
          <w:ilvl w:val="1"/>
          <w:numId w:val="514"/>
        </w:numPr>
        <w:tabs>
          <w:tab w:pos="2486" w:val="left" w:leader="none"/>
        </w:tabs>
        <w:spacing w:line="240" w:lineRule="auto" w:before="120" w:after="0"/>
        <w:ind w:left="2486" w:right="415" w:hanging="567"/>
        <w:jc w:val="both"/>
        <w:rPr>
          <w:sz w:val="24"/>
        </w:rPr>
      </w:pPr>
      <w:r>
        <w:rPr>
          <w:sz w:val="24"/>
        </w:rPr>
        <w:t>for the purposes of this Chapter the </w:t>
      </w:r>
      <w:r>
        <w:rPr>
          <w:i/>
          <w:sz w:val="24"/>
        </w:rPr>
        <w:t>energy data </w:t>
      </w:r>
      <w:r>
        <w:rPr>
          <w:sz w:val="24"/>
        </w:rPr>
        <w:t>for the </w:t>
      </w:r>
      <w:r>
        <w:rPr>
          <w:i/>
          <w:sz w:val="24"/>
        </w:rPr>
        <w:t>metering point </w:t>
      </w:r>
      <w:r>
        <w:rPr>
          <w:sz w:val="24"/>
        </w:rPr>
        <w:t>in the </w:t>
      </w:r>
      <w:r>
        <w:rPr>
          <w:i/>
          <w:sz w:val="24"/>
        </w:rPr>
        <w:t>metering installation </w:t>
      </w:r>
      <w:r>
        <w:rPr>
          <w:sz w:val="24"/>
        </w:rPr>
        <w:t>is to be taken to be correct, unless it is proven to be</w:t>
      </w:r>
      <w:r>
        <w:rPr>
          <w:spacing w:val="-1"/>
          <w:sz w:val="24"/>
        </w:rPr>
        <w:t> </w:t>
      </w:r>
      <w:r>
        <w:rPr>
          <w:sz w:val="24"/>
        </w:rPr>
        <w:t>incorrect.</w:t>
      </w:r>
    </w:p>
    <w:p>
      <w:pPr>
        <w:pStyle w:val="ListParagraph"/>
        <w:numPr>
          <w:ilvl w:val="0"/>
          <w:numId w:val="514"/>
        </w:numPr>
        <w:tabs>
          <w:tab w:pos="1919" w:val="left" w:leader="none"/>
        </w:tabs>
        <w:spacing w:line="240" w:lineRule="auto" w:before="120" w:after="0"/>
        <w:ind w:left="1919" w:right="413" w:hanging="567"/>
        <w:jc w:val="both"/>
        <w:rPr>
          <w:sz w:val="24"/>
        </w:rPr>
      </w:pPr>
      <w:r>
        <w:rPr>
          <w:sz w:val="24"/>
        </w:rPr>
        <w:t>If there is a discrepancy between information held in a </w:t>
      </w:r>
      <w:r>
        <w:rPr>
          <w:i/>
          <w:sz w:val="24"/>
        </w:rPr>
        <w:t>metering register </w:t>
      </w:r>
      <w:r>
        <w:rPr>
          <w:sz w:val="24"/>
        </w:rPr>
        <w:t>and the</w:t>
      </w:r>
      <w:r>
        <w:rPr>
          <w:spacing w:val="17"/>
          <w:sz w:val="24"/>
        </w:rPr>
        <w:t> </w:t>
      </w:r>
      <w:r>
        <w:rPr>
          <w:sz w:val="24"/>
        </w:rPr>
        <w:t>same</w:t>
      </w:r>
      <w:r>
        <w:rPr>
          <w:spacing w:val="18"/>
          <w:sz w:val="24"/>
        </w:rPr>
        <w:t> </w:t>
      </w:r>
      <w:r>
        <w:rPr>
          <w:sz w:val="24"/>
        </w:rPr>
        <w:t>category</w:t>
      </w:r>
      <w:r>
        <w:rPr>
          <w:spacing w:val="17"/>
          <w:sz w:val="24"/>
        </w:rPr>
        <w:t> </w:t>
      </w:r>
      <w:r>
        <w:rPr>
          <w:sz w:val="24"/>
        </w:rPr>
        <w:t>of</w:t>
      </w:r>
      <w:r>
        <w:rPr>
          <w:spacing w:val="18"/>
          <w:sz w:val="24"/>
        </w:rPr>
        <w:t> </w:t>
      </w:r>
      <w:r>
        <w:rPr>
          <w:sz w:val="24"/>
        </w:rPr>
        <w:t>information</w:t>
      </w:r>
      <w:r>
        <w:rPr>
          <w:spacing w:val="18"/>
          <w:sz w:val="24"/>
        </w:rPr>
        <w:t> </w:t>
      </w:r>
      <w:r>
        <w:rPr>
          <w:sz w:val="24"/>
        </w:rPr>
        <w:t>in</w:t>
      </w:r>
      <w:r>
        <w:rPr>
          <w:spacing w:val="17"/>
          <w:sz w:val="24"/>
        </w:rPr>
        <w:t> </w:t>
      </w:r>
      <w:r>
        <w:rPr>
          <w:sz w:val="24"/>
        </w:rPr>
        <w:t>any</w:t>
      </w:r>
      <w:r>
        <w:rPr>
          <w:spacing w:val="18"/>
          <w:sz w:val="24"/>
        </w:rPr>
        <w:t> </w:t>
      </w:r>
      <w:r>
        <w:rPr>
          <w:sz w:val="24"/>
        </w:rPr>
        <w:t>other</w:t>
      </w:r>
      <w:r>
        <w:rPr>
          <w:spacing w:val="18"/>
          <w:sz w:val="24"/>
        </w:rPr>
        <w:t> </w:t>
      </w:r>
      <w:r>
        <w:rPr>
          <w:sz w:val="24"/>
        </w:rPr>
        <w:t>database,</w:t>
      </w:r>
      <w:r>
        <w:rPr>
          <w:spacing w:val="17"/>
          <w:sz w:val="24"/>
        </w:rPr>
        <w:t> </w:t>
      </w:r>
      <w:r>
        <w:rPr>
          <w:sz w:val="24"/>
        </w:rPr>
        <w:t>then</w:t>
      </w:r>
      <w:r>
        <w:rPr>
          <w:spacing w:val="18"/>
          <w:sz w:val="24"/>
        </w:rPr>
        <w:t> </w:t>
      </w:r>
      <w:r>
        <w:rPr>
          <w:sz w:val="24"/>
        </w:rPr>
        <w:t>for</w:t>
      </w:r>
      <w:r>
        <w:rPr>
          <w:spacing w:val="18"/>
          <w:sz w:val="24"/>
        </w:rPr>
        <w:t> </w:t>
      </w:r>
      <w:r>
        <w:rPr>
          <w:sz w:val="24"/>
        </w:rPr>
        <w:t>the</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jc w:val="left"/>
      </w:pPr>
      <w:r>
        <w:rPr/>
        <w:t>purposes of this Chapter the information recorded in the </w:t>
      </w:r>
      <w:r>
        <w:rPr>
          <w:i/>
        </w:rPr>
        <w:t>metering register </w:t>
      </w:r>
      <w:r>
        <w:rPr/>
        <w:t>is to be taken to be correct, unless it is proven to be incorrect.</w:t>
      </w:r>
    </w:p>
    <w:p>
      <w:pPr>
        <w:spacing w:before="220"/>
        <w:ind w:left="1356" w:right="0" w:firstLine="0"/>
        <w:jc w:val="left"/>
        <w:rPr>
          <w:rFonts w:ascii="Arial"/>
          <w:b/>
          <w:sz w:val="22"/>
        </w:rPr>
      </w:pPr>
      <w:r>
        <w:rPr>
          <w:rFonts w:ascii="Arial"/>
          <w:b/>
          <w:sz w:val="22"/>
        </w:rPr>
        <w:t>Metering Coordinators must keep the registry accurate</w:t>
      </w:r>
    </w:p>
    <w:p>
      <w:pPr>
        <w:pStyle w:val="ListParagraph"/>
        <w:numPr>
          <w:ilvl w:val="0"/>
          <w:numId w:val="514"/>
        </w:numPr>
        <w:tabs>
          <w:tab w:pos="1919" w:val="left" w:leader="none"/>
        </w:tabs>
        <w:spacing w:line="240" w:lineRule="auto" w:before="120" w:after="0"/>
        <w:ind w:left="1919" w:right="414" w:hanging="567"/>
        <w:jc w:val="both"/>
        <w:rPr>
          <w:sz w:val="24"/>
        </w:rPr>
      </w:pPr>
      <w:r>
        <w:rPr>
          <w:sz w:val="24"/>
        </w:rPr>
        <w:t>If a </w:t>
      </w:r>
      <w:r>
        <w:rPr>
          <w:i/>
          <w:sz w:val="24"/>
        </w:rPr>
        <w:t>Metering Coordinator </w:t>
      </w:r>
      <w:r>
        <w:rPr>
          <w:sz w:val="24"/>
        </w:rPr>
        <w:t>becomes aware of a change to, or an inaccuracy in, information in the </w:t>
      </w:r>
      <w:r>
        <w:rPr>
          <w:i/>
          <w:sz w:val="24"/>
        </w:rPr>
        <w:t>metering register</w:t>
      </w:r>
      <w:r>
        <w:rPr>
          <w:sz w:val="24"/>
        </w:rPr>
        <w:t>, then it must as soon as practicable and no later than 2 </w:t>
      </w:r>
      <w:r>
        <w:rPr>
          <w:i/>
          <w:sz w:val="24"/>
        </w:rPr>
        <w:t>business days </w:t>
      </w:r>
      <w:r>
        <w:rPr>
          <w:sz w:val="24"/>
        </w:rPr>
        <w:t>after the </w:t>
      </w:r>
      <w:r>
        <w:rPr>
          <w:i/>
          <w:sz w:val="24"/>
        </w:rPr>
        <w:t>day </w:t>
      </w:r>
      <w:r>
        <w:rPr>
          <w:sz w:val="24"/>
        </w:rPr>
        <w:t>it becomes aware of the change or inaccuracy notify </w:t>
      </w:r>
      <w:r>
        <w:rPr>
          <w:i/>
          <w:sz w:val="24"/>
        </w:rPr>
        <w:t>NTESMO </w:t>
      </w:r>
      <w:r>
        <w:rPr>
          <w:sz w:val="24"/>
        </w:rPr>
        <w:t>and provide details of the change to, or inaccuracy in, the</w:t>
      </w:r>
      <w:r>
        <w:rPr>
          <w:spacing w:val="-1"/>
          <w:sz w:val="24"/>
        </w:rPr>
        <w:t> </w:t>
      </w:r>
      <w:r>
        <w:rPr>
          <w:sz w:val="24"/>
        </w:rPr>
        <w:t>information.</w:t>
      </w:r>
    </w:p>
    <w:p>
      <w:pPr>
        <w:spacing w:before="220"/>
        <w:ind w:left="1356" w:right="0" w:firstLine="0"/>
        <w:jc w:val="left"/>
        <w:rPr>
          <w:rFonts w:ascii="Arial"/>
          <w:b/>
          <w:sz w:val="22"/>
        </w:rPr>
      </w:pPr>
      <w:r>
        <w:rPr>
          <w:rFonts w:ascii="Arial"/>
          <w:b/>
          <w:sz w:val="22"/>
        </w:rPr>
        <w:t>NTESMO may amend metering register</w:t>
      </w:r>
    </w:p>
    <w:p>
      <w:pPr>
        <w:pStyle w:val="ListParagraph"/>
        <w:numPr>
          <w:ilvl w:val="0"/>
          <w:numId w:val="514"/>
        </w:numPr>
        <w:tabs>
          <w:tab w:pos="1920" w:val="left" w:leader="none"/>
        </w:tabs>
        <w:spacing w:line="240" w:lineRule="auto" w:before="120" w:after="0"/>
        <w:ind w:left="1919" w:right="414" w:hanging="567"/>
        <w:jc w:val="both"/>
        <w:rPr>
          <w:sz w:val="24"/>
        </w:rPr>
      </w:pPr>
      <w:r>
        <w:rPr>
          <w:sz w:val="24"/>
        </w:rPr>
        <w:t>If </w:t>
      </w:r>
      <w:r>
        <w:rPr>
          <w:i/>
          <w:sz w:val="24"/>
        </w:rPr>
        <w:t>NTESMO </w:t>
      </w:r>
      <w:r>
        <w:rPr>
          <w:sz w:val="24"/>
        </w:rPr>
        <w:t>is notified of an inaccuracy in information by a </w:t>
      </w:r>
      <w:r>
        <w:rPr>
          <w:i/>
          <w:sz w:val="24"/>
        </w:rPr>
        <w:t>Metering </w:t>
      </w:r>
      <w:r>
        <w:rPr>
          <w:i/>
          <w:sz w:val="24"/>
        </w:rPr>
        <w:t>Coordinator </w:t>
      </w:r>
      <w:r>
        <w:rPr>
          <w:sz w:val="24"/>
        </w:rPr>
        <w:t>or other </w:t>
      </w:r>
      <w:r>
        <w:rPr>
          <w:i/>
          <w:sz w:val="24"/>
        </w:rPr>
        <w:t>Registered Participant </w:t>
      </w:r>
      <w:r>
        <w:rPr>
          <w:sz w:val="24"/>
        </w:rPr>
        <w:t>in relation to the </w:t>
      </w:r>
      <w:r>
        <w:rPr>
          <w:i/>
          <w:sz w:val="24"/>
        </w:rPr>
        <w:t>connection </w:t>
      </w:r>
      <w:r>
        <w:rPr>
          <w:i/>
          <w:sz w:val="24"/>
        </w:rPr>
        <w:t>point </w:t>
      </w:r>
      <w:r>
        <w:rPr>
          <w:sz w:val="24"/>
        </w:rPr>
        <w:t>it is financially responsible for, </w:t>
      </w:r>
      <w:r>
        <w:rPr>
          <w:i/>
          <w:sz w:val="24"/>
        </w:rPr>
        <w:t>NTESMO </w:t>
      </w:r>
      <w:r>
        <w:rPr>
          <w:sz w:val="24"/>
        </w:rPr>
        <w:t>must undertake investigations to the standard of good industry practice to determine  whether the </w:t>
      </w:r>
      <w:r>
        <w:rPr>
          <w:i/>
          <w:sz w:val="24"/>
        </w:rPr>
        <w:t>metering register </w:t>
      </w:r>
      <w:r>
        <w:rPr>
          <w:sz w:val="24"/>
        </w:rPr>
        <w:t>should be</w:t>
      </w:r>
      <w:r>
        <w:rPr>
          <w:spacing w:val="-6"/>
          <w:sz w:val="24"/>
        </w:rPr>
        <w:t> </w:t>
      </w:r>
      <w:r>
        <w:rPr>
          <w:sz w:val="24"/>
        </w:rPr>
        <w:t>updated.</w:t>
      </w:r>
    </w:p>
    <w:p>
      <w:pPr>
        <w:pStyle w:val="ListParagraph"/>
        <w:numPr>
          <w:ilvl w:val="0"/>
          <w:numId w:val="514"/>
        </w:numPr>
        <w:tabs>
          <w:tab w:pos="1919" w:val="left" w:leader="none"/>
        </w:tabs>
        <w:spacing w:line="240" w:lineRule="auto" w:before="120" w:after="0"/>
        <w:ind w:left="1919" w:right="415" w:hanging="567"/>
        <w:jc w:val="both"/>
        <w:rPr>
          <w:sz w:val="24"/>
        </w:rPr>
      </w:pPr>
      <w:r>
        <w:rPr>
          <w:sz w:val="24"/>
        </w:rPr>
        <w:t>If </w:t>
      </w:r>
      <w:r>
        <w:rPr>
          <w:i/>
          <w:sz w:val="24"/>
        </w:rPr>
        <w:t>NTESMO </w:t>
      </w:r>
      <w:r>
        <w:rPr>
          <w:sz w:val="24"/>
        </w:rPr>
        <w:t>determines that the </w:t>
      </w:r>
      <w:r>
        <w:rPr>
          <w:i/>
          <w:sz w:val="24"/>
        </w:rPr>
        <w:t>metering register </w:t>
      </w:r>
      <w:r>
        <w:rPr>
          <w:sz w:val="24"/>
        </w:rPr>
        <w:t>should be updated as a result of an investigation conducted in accordance with paragraph (a), </w:t>
      </w:r>
      <w:r>
        <w:rPr>
          <w:i/>
          <w:sz w:val="24"/>
        </w:rPr>
        <w:t>NTESMO </w:t>
      </w:r>
      <w:r>
        <w:rPr>
          <w:sz w:val="24"/>
        </w:rPr>
        <w:t>must update the </w:t>
      </w:r>
      <w:r>
        <w:rPr>
          <w:i/>
          <w:sz w:val="24"/>
        </w:rPr>
        <w:t>registry </w:t>
      </w:r>
      <w:r>
        <w:rPr>
          <w:sz w:val="24"/>
        </w:rPr>
        <w:t>to reflect the change to, or correct the inaccuracy in, the</w:t>
      </w:r>
      <w:r>
        <w:rPr>
          <w:spacing w:val="-1"/>
          <w:sz w:val="24"/>
        </w:rPr>
        <w:t> </w:t>
      </w:r>
      <w:r>
        <w:rPr>
          <w:sz w:val="24"/>
        </w:rPr>
        <w:t>information.</w:t>
      </w:r>
    </w:p>
    <w:p>
      <w:pPr>
        <w:pStyle w:val="ListParagraph"/>
        <w:numPr>
          <w:ilvl w:val="0"/>
          <w:numId w:val="514"/>
        </w:numPr>
        <w:tabs>
          <w:tab w:pos="1919" w:val="left" w:leader="none"/>
        </w:tabs>
        <w:spacing w:line="240" w:lineRule="auto" w:before="120" w:after="0"/>
        <w:ind w:left="1919" w:right="416" w:hanging="567"/>
        <w:jc w:val="both"/>
        <w:rPr>
          <w:sz w:val="24"/>
        </w:rPr>
      </w:pPr>
      <w:r>
        <w:rPr>
          <w:sz w:val="24"/>
        </w:rPr>
        <w:t>If information for a </w:t>
      </w:r>
      <w:r>
        <w:rPr>
          <w:i/>
          <w:sz w:val="24"/>
        </w:rPr>
        <w:t>connection point </w:t>
      </w:r>
      <w:r>
        <w:rPr>
          <w:sz w:val="24"/>
        </w:rPr>
        <w:t>is updated in the </w:t>
      </w:r>
      <w:r>
        <w:rPr>
          <w:i/>
          <w:sz w:val="24"/>
        </w:rPr>
        <w:t>metering register</w:t>
      </w:r>
      <w:r>
        <w:rPr>
          <w:sz w:val="24"/>
        </w:rPr>
        <w:t>, </w:t>
      </w:r>
      <w:r>
        <w:rPr>
          <w:i/>
          <w:sz w:val="24"/>
        </w:rPr>
        <w:t>NTESMO </w:t>
      </w:r>
      <w:r>
        <w:rPr>
          <w:sz w:val="24"/>
        </w:rPr>
        <w:t>must, within 2 </w:t>
      </w:r>
      <w:r>
        <w:rPr>
          <w:i/>
          <w:sz w:val="24"/>
        </w:rPr>
        <w:t>business days </w:t>
      </w:r>
      <w:r>
        <w:rPr>
          <w:sz w:val="24"/>
        </w:rPr>
        <w:t>after the update, notify the update</w:t>
      </w:r>
      <w:r>
        <w:rPr>
          <w:spacing w:val="-9"/>
          <w:sz w:val="24"/>
        </w:rPr>
        <w:t> </w:t>
      </w:r>
      <w:r>
        <w:rPr>
          <w:sz w:val="24"/>
        </w:rPr>
        <w:t>to:</w:t>
      </w:r>
    </w:p>
    <w:p>
      <w:pPr>
        <w:pStyle w:val="ListParagraph"/>
        <w:numPr>
          <w:ilvl w:val="1"/>
          <w:numId w:val="514"/>
        </w:numPr>
        <w:tabs>
          <w:tab w:pos="2486" w:val="left" w:leader="none"/>
        </w:tabs>
        <w:spacing w:line="240" w:lineRule="auto" w:before="120" w:after="0"/>
        <w:ind w:left="2485" w:right="0" w:hanging="567"/>
        <w:jc w:val="both"/>
        <w:rPr>
          <w:sz w:val="24"/>
        </w:rPr>
      </w:pPr>
      <w:r>
        <w:rPr>
          <w:sz w:val="24"/>
        </w:rPr>
        <w:t>the financially responsible participant;</w:t>
      </w:r>
      <w:r>
        <w:rPr>
          <w:spacing w:val="-2"/>
          <w:sz w:val="24"/>
        </w:rPr>
        <w:t> </w:t>
      </w:r>
      <w:r>
        <w:rPr>
          <w:sz w:val="24"/>
        </w:rPr>
        <w:t>and</w:t>
      </w:r>
    </w:p>
    <w:p>
      <w:pPr>
        <w:pStyle w:val="ListParagraph"/>
        <w:numPr>
          <w:ilvl w:val="1"/>
          <w:numId w:val="514"/>
        </w:numPr>
        <w:tabs>
          <w:tab w:pos="2486" w:val="left" w:leader="none"/>
        </w:tabs>
        <w:spacing w:line="240" w:lineRule="auto" w:before="120" w:after="0"/>
        <w:ind w:left="2486" w:right="416" w:hanging="567"/>
        <w:jc w:val="both"/>
        <w:rPr>
          <w:sz w:val="24"/>
        </w:rPr>
      </w:pPr>
      <w:r>
        <w:rPr>
          <w:sz w:val="24"/>
        </w:rPr>
        <w:t>if the financially responsible participant is a </w:t>
      </w:r>
      <w:r>
        <w:rPr>
          <w:i/>
          <w:sz w:val="24"/>
        </w:rPr>
        <w:t>retailer </w:t>
      </w:r>
      <w:r>
        <w:rPr>
          <w:sz w:val="24"/>
        </w:rPr>
        <w:t>and there was a change in </w:t>
      </w:r>
      <w:r>
        <w:rPr>
          <w:i/>
          <w:sz w:val="24"/>
        </w:rPr>
        <w:t>retailer</w:t>
      </w:r>
      <w:r>
        <w:rPr>
          <w:sz w:val="24"/>
        </w:rPr>
        <w:t>, the previous </w:t>
      </w:r>
      <w:r>
        <w:rPr>
          <w:i/>
          <w:sz w:val="24"/>
        </w:rPr>
        <w:t>retailer </w:t>
      </w:r>
      <w:r>
        <w:rPr>
          <w:sz w:val="24"/>
        </w:rPr>
        <w:t>where that updated information relates to a period or periods when the previous </w:t>
      </w:r>
      <w:r>
        <w:rPr>
          <w:i/>
          <w:sz w:val="24"/>
        </w:rPr>
        <w:t>retailer </w:t>
      </w:r>
      <w:r>
        <w:rPr>
          <w:sz w:val="24"/>
        </w:rPr>
        <w:t>was the </w:t>
      </w:r>
      <w:r>
        <w:rPr>
          <w:i/>
          <w:sz w:val="24"/>
        </w:rPr>
        <w:t>retailer </w:t>
      </w:r>
      <w:r>
        <w:rPr>
          <w:sz w:val="24"/>
        </w:rPr>
        <w:t>for that </w:t>
      </w:r>
      <w:r>
        <w:rPr>
          <w:i/>
          <w:sz w:val="24"/>
        </w:rPr>
        <w:t>connection</w:t>
      </w:r>
      <w:r>
        <w:rPr>
          <w:i/>
          <w:spacing w:val="-3"/>
          <w:sz w:val="24"/>
        </w:rPr>
        <w:t> </w:t>
      </w:r>
      <w:r>
        <w:rPr>
          <w:i/>
          <w:sz w:val="24"/>
        </w:rPr>
        <w:t>point</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In paragraph (h)(2), references to “previous </w:t>
      </w:r>
      <w:r>
        <w:rPr>
          <w:i/>
          <w:sz w:val="20"/>
        </w:rPr>
        <w:t>retailer</w:t>
      </w:r>
      <w:r>
        <w:rPr>
          <w:sz w:val="20"/>
        </w:rPr>
        <w:t>” means a </w:t>
      </w:r>
      <w:r>
        <w:rPr>
          <w:i/>
          <w:sz w:val="20"/>
        </w:rPr>
        <w:t>retailer </w:t>
      </w:r>
      <w:r>
        <w:rPr>
          <w:sz w:val="20"/>
        </w:rPr>
        <w:t>who was previously recorded in the </w:t>
      </w:r>
      <w:r>
        <w:rPr>
          <w:i/>
          <w:sz w:val="20"/>
        </w:rPr>
        <w:t>metering register </w:t>
      </w:r>
      <w:r>
        <w:rPr>
          <w:sz w:val="20"/>
        </w:rPr>
        <w:t>as the financially responsible participant for the </w:t>
      </w:r>
      <w:r>
        <w:rPr>
          <w:i/>
          <w:sz w:val="20"/>
        </w:rPr>
        <w:t>connection point </w:t>
      </w:r>
      <w:r>
        <w:rPr>
          <w:sz w:val="20"/>
        </w:rPr>
        <w:t>referred to in paragraph</w:t>
      </w:r>
      <w:r>
        <w:rPr>
          <w:spacing w:val="-1"/>
          <w:sz w:val="20"/>
        </w:rPr>
        <w:t> </w:t>
      </w:r>
      <w:r>
        <w:rPr>
          <w:sz w:val="20"/>
        </w:rPr>
        <w:t>(h).</w:t>
      </w:r>
    </w:p>
    <w:p>
      <w:pPr>
        <w:pStyle w:val="BodyText"/>
        <w:spacing w:before="10"/>
        <w:ind w:firstLine="0"/>
        <w:jc w:val="left"/>
        <w:rPr>
          <w:sz w:val="20"/>
        </w:rPr>
      </w:pPr>
    </w:p>
    <w:p>
      <w:pPr>
        <w:pStyle w:val="Heading3"/>
        <w:tabs>
          <w:tab w:pos="1351" w:val="left" w:leader="none"/>
        </w:tabs>
        <w:ind w:left="218" w:firstLine="0"/>
      </w:pPr>
      <w:bookmarkStart w:name="7A.11 Disclosure of information" w:id="1823"/>
      <w:bookmarkEnd w:id="1823"/>
      <w:r>
        <w:rPr>
          <w:b w:val="0"/>
        </w:rPr>
      </w:r>
      <w:bookmarkStart w:name="_bookmark737" w:id="1824"/>
      <w:bookmarkEnd w:id="1824"/>
      <w:r>
        <w:rPr>
          <w:b w:val="0"/>
        </w:rPr>
      </w:r>
      <w:r>
        <w:rPr/>
        <w:t>7A.11</w:t>
        <w:tab/>
        <w:t>Disclosure of</w:t>
      </w:r>
      <w:r>
        <w:rPr>
          <w:spacing w:val="-3"/>
        </w:rPr>
        <w:t> </w:t>
      </w:r>
      <w:r>
        <w:rPr/>
        <w:t>information</w:t>
      </w:r>
    </w:p>
    <w:p>
      <w:pPr>
        <w:pStyle w:val="Heading4"/>
        <w:tabs>
          <w:tab w:pos="1351" w:val="left" w:leader="none"/>
        </w:tabs>
        <w:spacing w:before="240"/>
        <w:ind w:left="218" w:firstLine="0"/>
      </w:pPr>
      <w:bookmarkStart w:name="7A.11.1 Provision of data to retailers" w:id="1825"/>
      <w:bookmarkEnd w:id="1825"/>
      <w:r>
        <w:rPr>
          <w:b w:val="0"/>
        </w:rPr>
      </w:r>
      <w:bookmarkStart w:name="_bookmark738" w:id="1826"/>
      <w:bookmarkEnd w:id="1826"/>
      <w:r>
        <w:rPr>
          <w:b w:val="0"/>
        </w:rPr>
      </w:r>
      <w:r>
        <w:rPr/>
        <w:t>7A.11.1</w:t>
        <w:tab/>
        <w:t>Provision of data to</w:t>
      </w:r>
      <w:r>
        <w:rPr>
          <w:spacing w:val="-1"/>
        </w:rPr>
        <w:t> </w:t>
      </w:r>
      <w:r>
        <w:rPr/>
        <w:t>retailers</w:t>
      </w:r>
    </w:p>
    <w:p>
      <w:pPr>
        <w:spacing w:before="220"/>
        <w:ind w:left="1356" w:right="0" w:firstLine="0"/>
        <w:jc w:val="left"/>
        <w:rPr>
          <w:rFonts w:ascii="Arial"/>
          <w:b/>
          <w:sz w:val="22"/>
        </w:rPr>
      </w:pPr>
      <w:r>
        <w:rPr>
          <w:rFonts w:ascii="Arial"/>
          <w:b/>
          <w:sz w:val="22"/>
        </w:rPr>
        <w:t>NMI and NMI checksum</w:t>
      </w:r>
    </w:p>
    <w:p>
      <w:pPr>
        <w:pStyle w:val="ListParagraph"/>
        <w:numPr>
          <w:ilvl w:val="0"/>
          <w:numId w:val="515"/>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must, at the request of a </w:t>
      </w:r>
      <w:r>
        <w:rPr>
          <w:i/>
          <w:sz w:val="24"/>
        </w:rPr>
        <w:t>retailer</w:t>
      </w:r>
      <w:r>
        <w:rPr>
          <w:sz w:val="24"/>
        </w:rPr>
        <w:t>, and within 1 </w:t>
      </w:r>
      <w:r>
        <w:rPr>
          <w:i/>
          <w:sz w:val="24"/>
        </w:rPr>
        <w:t>business day </w:t>
      </w:r>
      <w:r>
        <w:rPr>
          <w:sz w:val="24"/>
        </w:rPr>
        <w:t>of the date of the request, provide the </w:t>
      </w:r>
      <w:r>
        <w:rPr>
          <w:i/>
          <w:sz w:val="24"/>
        </w:rPr>
        <w:t>retailer </w:t>
      </w:r>
      <w:r>
        <w:rPr>
          <w:sz w:val="24"/>
        </w:rPr>
        <w:t>with the </w:t>
      </w:r>
      <w:r>
        <w:rPr>
          <w:i/>
          <w:sz w:val="24"/>
        </w:rPr>
        <w:t>NMI </w:t>
      </w:r>
      <w:r>
        <w:rPr>
          <w:sz w:val="24"/>
        </w:rPr>
        <w:t>and </w:t>
      </w:r>
      <w:r>
        <w:rPr>
          <w:i/>
          <w:sz w:val="24"/>
        </w:rPr>
        <w:t>NMI </w:t>
      </w:r>
      <w:r>
        <w:rPr>
          <w:sz w:val="24"/>
        </w:rPr>
        <w:t>checksum for premises identified in the request by reference to:</w:t>
      </w:r>
    </w:p>
    <w:p>
      <w:pPr>
        <w:pStyle w:val="ListParagraph"/>
        <w:numPr>
          <w:ilvl w:val="1"/>
          <w:numId w:val="515"/>
        </w:numPr>
        <w:tabs>
          <w:tab w:pos="2486" w:val="left" w:leader="none"/>
        </w:tabs>
        <w:spacing w:line="240" w:lineRule="auto" w:before="120" w:after="0"/>
        <w:ind w:left="2486" w:right="417" w:hanging="567"/>
        <w:jc w:val="both"/>
        <w:rPr>
          <w:sz w:val="24"/>
        </w:rPr>
      </w:pPr>
      <w:r>
        <w:rPr>
          <w:sz w:val="24"/>
        </w:rPr>
        <w:t>a unique meter identifier held by the </w:t>
      </w:r>
      <w:r>
        <w:rPr>
          <w:i/>
          <w:sz w:val="24"/>
        </w:rPr>
        <w:t>Distribution Network Service </w:t>
      </w:r>
      <w:r>
        <w:rPr>
          <w:i/>
          <w:sz w:val="24"/>
        </w:rPr>
        <w:t>Provider</w:t>
      </w:r>
      <w:r>
        <w:rPr>
          <w:sz w:val="24"/>
        </w:rPr>
        <w:t>;</w:t>
      </w:r>
    </w:p>
    <w:p>
      <w:pPr>
        <w:pStyle w:val="ListParagraph"/>
        <w:numPr>
          <w:ilvl w:val="1"/>
          <w:numId w:val="515"/>
        </w:numPr>
        <w:tabs>
          <w:tab w:pos="2486" w:val="left" w:leader="none"/>
        </w:tabs>
        <w:spacing w:line="240" w:lineRule="auto" w:before="120" w:after="0"/>
        <w:ind w:left="2485" w:right="0" w:hanging="567"/>
        <w:jc w:val="both"/>
        <w:rPr>
          <w:sz w:val="24"/>
        </w:rPr>
      </w:pPr>
      <w:r>
        <w:rPr>
          <w:sz w:val="24"/>
        </w:rPr>
        <w:t>a street address;</w:t>
      </w:r>
      <w:r>
        <w:rPr>
          <w:spacing w:val="-2"/>
          <w:sz w:val="24"/>
        </w:rPr>
        <w:t> </w:t>
      </w:r>
      <w:r>
        <w:rPr>
          <w:sz w:val="24"/>
        </w:rPr>
        <w:t>or</w:t>
      </w:r>
    </w:p>
    <w:p>
      <w:pPr>
        <w:pStyle w:val="ListParagraph"/>
        <w:numPr>
          <w:ilvl w:val="1"/>
          <w:numId w:val="515"/>
        </w:numPr>
        <w:tabs>
          <w:tab w:pos="2486" w:val="left" w:leader="none"/>
        </w:tabs>
        <w:spacing w:line="240" w:lineRule="auto" w:before="120" w:after="0"/>
        <w:ind w:left="2486" w:right="416" w:hanging="567"/>
        <w:jc w:val="both"/>
        <w:rPr>
          <w:sz w:val="24"/>
        </w:rPr>
      </w:pPr>
      <w:r>
        <w:rPr>
          <w:sz w:val="24"/>
        </w:rPr>
        <w:t>the code used by Australia Post to provide a unique identifier </w:t>
      </w:r>
      <w:r>
        <w:rPr>
          <w:spacing w:val="-5"/>
          <w:sz w:val="24"/>
        </w:rPr>
        <w:t>for </w:t>
      </w:r>
      <w:r>
        <w:rPr>
          <w:sz w:val="24"/>
        </w:rPr>
        <w:t>postal</w:t>
      </w:r>
      <w:r>
        <w:rPr>
          <w:spacing w:val="-1"/>
          <w:sz w:val="24"/>
        </w:rPr>
        <w:t> </w:t>
      </w:r>
      <w:r>
        <w:rPr>
          <w:sz w:val="24"/>
        </w:rPr>
        <w:t>addresses.</w:t>
      </w:r>
    </w:p>
    <w:p>
      <w:pPr>
        <w:spacing w:after="0" w:line="240" w:lineRule="auto"/>
        <w:jc w:val="both"/>
        <w:rPr>
          <w:sz w:val="24"/>
        </w:rPr>
        <w:sectPr>
          <w:pgSz w:w="11910" w:h="16840"/>
          <w:pgMar w:header="686" w:footer="637" w:top="1320" w:bottom="820" w:left="1200" w:right="1000"/>
        </w:sectPr>
      </w:pPr>
    </w:p>
    <w:p>
      <w:pPr>
        <w:pStyle w:val="ListParagraph"/>
        <w:numPr>
          <w:ilvl w:val="0"/>
          <w:numId w:val="515"/>
        </w:numPr>
        <w:tabs>
          <w:tab w:pos="1919" w:val="left" w:leader="none"/>
        </w:tabs>
        <w:spacing w:line="240" w:lineRule="auto" w:before="83" w:after="0"/>
        <w:ind w:left="1919" w:right="415" w:hanging="567"/>
        <w:jc w:val="both"/>
        <w:rPr>
          <w:sz w:val="24"/>
        </w:rPr>
      </w:pPr>
      <w:r>
        <w:rPr>
          <w:sz w:val="24"/>
        </w:rPr>
        <w:t>If a computer search by the </w:t>
      </w:r>
      <w:r>
        <w:rPr>
          <w:i/>
          <w:sz w:val="24"/>
        </w:rPr>
        <w:t>Distribution Network Service Provider </w:t>
      </w:r>
      <w:r>
        <w:rPr>
          <w:sz w:val="24"/>
        </w:rPr>
        <w:t>does not produce a unique match for the information provided by the </w:t>
      </w:r>
      <w:r>
        <w:rPr>
          <w:i/>
          <w:sz w:val="24"/>
        </w:rPr>
        <w:t>retailer</w:t>
      </w:r>
      <w:r>
        <w:rPr>
          <w:sz w:val="24"/>
        </w:rPr>
        <w:t>, the </w:t>
      </w:r>
      <w:r>
        <w:rPr>
          <w:i/>
          <w:sz w:val="24"/>
        </w:rPr>
        <w:t>Distribution Network Service Provider </w:t>
      </w:r>
      <w:r>
        <w:rPr>
          <w:sz w:val="24"/>
        </w:rPr>
        <w:t>must provide the </w:t>
      </w:r>
      <w:r>
        <w:rPr>
          <w:i/>
          <w:sz w:val="24"/>
        </w:rPr>
        <w:t>retailer </w:t>
      </w:r>
      <w:r>
        <w:rPr>
          <w:sz w:val="24"/>
        </w:rPr>
        <w:t>with any computer matches achieved up to a maximum of</w:t>
      </w:r>
      <w:r>
        <w:rPr>
          <w:spacing w:val="-1"/>
          <w:sz w:val="24"/>
        </w:rPr>
        <w:t> </w:t>
      </w:r>
      <w:r>
        <w:rPr>
          <w:sz w:val="24"/>
        </w:rPr>
        <w:t>99.</w:t>
      </w:r>
    </w:p>
    <w:p>
      <w:pPr>
        <w:spacing w:before="220"/>
        <w:ind w:left="1356" w:right="0" w:firstLine="0"/>
        <w:jc w:val="left"/>
        <w:rPr>
          <w:rFonts w:ascii="Arial"/>
          <w:b/>
          <w:sz w:val="22"/>
        </w:rPr>
      </w:pPr>
      <w:r>
        <w:rPr>
          <w:rFonts w:ascii="Arial"/>
          <w:b/>
          <w:sz w:val="22"/>
        </w:rPr>
        <w:t>NT NMI Data</w:t>
      </w:r>
    </w:p>
    <w:p>
      <w:pPr>
        <w:pStyle w:val="ListParagraph"/>
        <w:numPr>
          <w:ilvl w:val="0"/>
          <w:numId w:val="515"/>
        </w:numPr>
        <w:tabs>
          <w:tab w:pos="1919" w:val="left" w:leader="none"/>
        </w:tabs>
        <w:spacing w:line="240" w:lineRule="auto" w:before="120" w:after="0"/>
        <w:ind w:left="1919" w:right="416" w:hanging="567"/>
        <w:jc w:val="both"/>
        <w:rPr>
          <w:sz w:val="24"/>
        </w:rPr>
      </w:pPr>
      <w:r>
        <w:rPr>
          <w:sz w:val="24"/>
        </w:rPr>
        <w:t>A </w:t>
      </w:r>
      <w:r>
        <w:rPr>
          <w:i/>
          <w:sz w:val="24"/>
        </w:rPr>
        <w:t>Distribution Network Service Provider </w:t>
      </w:r>
      <w:r>
        <w:rPr>
          <w:sz w:val="24"/>
        </w:rPr>
        <w:t>must, at the request of a </w:t>
      </w:r>
      <w:r>
        <w:rPr>
          <w:i/>
          <w:sz w:val="24"/>
        </w:rPr>
        <w:t>retailer</w:t>
      </w:r>
      <w:r>
        <w:rPr>
          <w:sz w:val="24"/>
        </w:rPr>
        <w:t>, and within 2 </w:t>
      </w:r>
      <w:r>
        <w:rPr>
          <w:i/>
          <w:sz w:val="24"/>
        </w:rPr>
        <w:t>business days </w:t>
      </w:r>
      <w:r>
        <w:rPr>
          <w:sz w:val="24"/>
        </w:rPr>
        <w:t>of the date of the request, provide the </w:t>
      </w:r>
      <w:r>
        <w:rPr>
          <w:i/>
          <w:sz w:val="24"/>
        </w:rPr>
        <w:t>retailer </w:t>
      </w:r>
      <w:r>
        <w:rPr>
          <w:sz w:val="24"/>
        </w:rPr>
        <w:t>with the </w:t>
      </w:r>
      <w:r>
        <w:rPr>
          <w:i/>
          <w:sz w:val="24"/>
        </w:rPr>
        <w:t>NT NMI Data </w:t>
      </w:r>
      <w:r>
        <w:rPr>
          <w:sz w:val="24"/>
        </w:rPr>
        <w:t>for premises identified in the request by reference to the </w:t>
      </w:r>
      <w:r>
        <w:rPr>
          <w:i/>
          <w:sz w:val="24"/>
        </w:rPr>
        <w:t>NMI </w:t>
      </w:r>
      <w:r>
        <w:rPr>
          <w:sz w:val="24"/>
        </w:rPr>
        <w:t>for the</w:t>
      </w:r>
      <w:r>
        <w:rPr>
          <w:spacing w:val="-1"/>
          <w:sz w:val="24"/>
        </w:rPr>
        <w:t> </w:t>
      </w:r>
      <w:r>
        <w:rPr>
          <w:sz w:val="24"/>
        </w:rPr>
        <w:t>premises.</w:t>
      </w:r>
    </w:p>
    <w:p>
      <w:pPr>
        <w:tabs>
          <w:tab w:pos="1351" w:val="left" w:leader="none"/>
        </w:tabs>
        <w:spacing w:before="231"/>
        <w:ind w:left="218" w:right="0" w:firstLine="0"/>
        <w:jc w:val="left"/>
        <w:rPr>
          <w:rFonts w:ascii="Arial"/>
          <w:b/>
          <w:i/>
          <w:sz w:val="27"/>
        </w:rPr>
      </w:pPr>
      <w:bookmarkStart w:name="7A.12 Metering data provision to retail " w:id="1827"/>
      <w:bookmarkEnd w:id="1827"/>
      <w:r>
        <w:rPr/>
      </w:r>
      <w:bookmarkStart w:name="_bookmark739" w:id="1828"/>
      <w:bookmarkEnd w:id="1828"/>
      <w:r>
        <w:rPr/>
      </w:r>
      <w:r>
        <w:rPr>
          <w:rFonts w:ascii="Arial"/>
          <w:b/>
          <w:sz w:val="26"/>
        </w:rPr>
        <w:t>7A.12</w:t>
        <w:tab/>
        <w:t>Metering data provision to </w:t>
      </w:r>
      <w:r>
        <w:rPr>
          <w:rFonts w:ascii="Arial"/>
          <w:b/>
          <w:i/>
          <w:sz w:val="27"/>
        </w:rPr>
        <w:t>retail</w:t>
      </w:r>
      <w:r>
        <w:rPr>
          <w:rFonts w:ascii="Arial"/>
          <w:b/>
          <w:i/>
          <w:spacing w:val="-15"/>
          <w:sz w:val="27"/>
        </w:rPr>
        <w:t> </w:t>
      </w:r>
      <w:r>
        <w:rPr>
          <w:rFonts w:ascii="Arial"/>
          <w:b/>
          <w:i/>
          <w:sz w:val="27"/>
        </w:rPr>
        <w:t>customers</w:t>
      </w:r>
    </w:p>
    <w:p>
      <w:pPr>
        <w:spacing w:before="118"/>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application of this rule will be revisited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2"/>
        <w:tabs>
          <w:tab w:pos="1352" w:val="left" w:leader="none"/>
          <w:tab w:pos="9317" w:val="left" w:leader="none"/>
        </w:tabs>
      </w:pPr>
      <w:bookmarkStart w:name="Part F Security of metering installation" w:id="1829"/>
      <w:bookmarkEnd w:id="1829"/>
      <w:r>
        <w:rPr>
          <w:b w:val="0"/>
        </w:rPr>
      </w:r>
      <w:bookmarkStart w:name="_bookmark740" w:id="1830"/>
      <w:bookmarkEnd w:id="1830"/>
      <w:r>
        <w:rPr>
          <w:b w:val="0"/>
        </w:rPr>
      </w:r>
      <w:r>
        <w:rPr>
          <w:shd w:fill="D9D9D9" w:color="auto" w:val="clear"/>
        </w:rPr>
        <w:t>Part F</w:t>
        <w:tab/>
        <w:t>Security of metering installations and energy</w:t>
      </w:r>
      <w:r>
        <w:rPr>
          <w:spacing w:val="-18"/>
          <w:shd w:fill="D9D9D9" w:color="auto" w:val="clear"/>
        </w:rPr>
        <w:t> </w:t>
      </w:r>
      <w:r>
        <w:rPr>
          <w:shd w:fill="D9D9D9" w:color="auto" w:val="clear"/>
        </w:rPr>
        <w:t>data</w:t>
        <w:tab/>
      </w:r>
    </w:p>
    <w:p>
      <w:pPr>
        <w:pStyle w:val="Heading3"/>
        <w:tabs>
          <w:tab w:pos="1351" w:val="left" w:leader="none"/>
        </w:tabs>
        <w:spacing w:before="240"/>
        <w:ind w:right="941" w:hanging="1134"/>
      </w:pPr>
      <w:bookmarkStart w:name="7A.13 Security of metering installations" w:id="1831"/>
      <w:bookmarkEnd w:id="1831"/>
      <w:r>
        <w:rPr>
          <w:b w:val="0"/>
        </w:rPr>
      </w:r>
      <w:bookmarkStart w:name="_bookmark741" w:id="1832"/>
      <w:bookmarkEnd w:id="1832"/>
      <w:r>
        <w:rPr>
          <w:b w:val="0"/>
        </w:rPr>
      </w:r>
      <w:r>
        <w:rPr/>
        <w:t>7A.13</w:t>
        <w:tab/>
        <w:t>Security of metering installations, energy data and metering data</w:t>
      </w:r>
    </w:p>
    <w:p>
      <w:pPr>
        <w:pStyle w:val="Heading4"/>
        <w:tabs>
          <w:tab w:pos="1351" w:val="left" w:leader="none"/>
        </w:tabs>
        <w:spacing w:before="240"/>
        <w:ind w:left="218" w:firstLine="0"/>
      </w:pPr>
      <w:bookmarkStart w:name="7A.13.1 Confidentiality of data" w:id="1833"/>
      <w:bookmarkEnd w:id="1833"/>
      <w:r>
        <w:rPr>
          <w:b w:val="0"/>
        </w:rPr>
      </w:r>
      <w:bookmarkStart w:name="_bookmark742" w:id="1834"/>
      <w:bookmarkEnd w:id="1834"/>
      <w:r>
        <w:rPr>
          <w:b w:val="0"/>
        </w:rPr>
      </w:r>
      <w:r>
        <w:rPr/>
        <w:t>7A.13.1</w:t>
        <w:tab/>
        <w:t>Confidentiality of</w:t>
      </w:r>
      <w:r>
        <w:rPr>
          <w:spacing w:val="-1"/>
        </w:rPr>
        <w:t> </w:t>
      </w:r>
      <w:r>
        <w:rPr/>
        <w:t>data</w:t>
      </w:r>
    </w:p>
    <w:p>
      <w:pPr>
        <w:pStyle w:val="ListParagraph"/>
        <w:numPr>
          <w:ilvl w:val="0"/>
          <w:numId w:val="516"/>
        </w:numPr>
        <w:tabs>
          <w:tab w:pos="1919" w:val="left" w:leader="none"/>
        </w:tabs>
        <w:spacing w:line="240" w:lineRule="auto" w:before="120" w:after="0"/>
        <w:ind w:left="1919" w:right="415" w:hanging="567"/>
        <w:jc w:val="both"/>
        <w:rPr>
          <w:sz w:val="24"/>
        </w:rPr>
      </w:pPr>
      <w:r>
        <w:rPr>
          <w:i/>
          <w:sz w:val="24"/>
        </w:rPr>
        <w:t>Energy data</w:t>
      </w:r>
      <w:r>
        <w:rPr>
          <w:sz w:val="24"/>
        </w:rPr>
        <w:t>, </w:t>
      </w:r>
      <w:r>
        <w:rPr>
          <w:i/>
          <w:sz w:val="24"/>
        </w:rPr>
        <w:t>metering data</w:t>
      </w:r>
      <w:r>
        <w:rPr>
          <w:sz w:val="24"/>
        </w:rPr>
        <w:t>, </w:t>
      </w:r>
      <w:r>
        <w:rPr>
          <w:i/>
          <w:sz w:val="24"/>
        </w:rPr>
        <w:t>NT NMI data</w:t>
      </w:r>
      <w:r>
        <w:rPr>
          <w:sz w:val="24"/>
        </w:rPr>
        <w:t>, information in the </w:t>
      </w:r>
      <w:r>
        <w:rPr>
          <w:i/>
          <w:sz w:val="24"/>
        </w:rPr>
        <w:t>metering </w:t>
      </w:r>
      <w:r>
        <w:rPr>
          <w:i/>
          <w:sz w:val="24"/>
        </w:rPr>
        <w:t>register </w:t>
      </w:r>
      <w:r>
        <w:rPr>
          <w:sz w:val="24"/>
        </w:rPr>
        <w:t>and passwords are confidential and must be treated as </w:t>
      </w:r>
      <w:r>
        <w:rPr>
          <w:i/>
          <w:sz w:val="24"/>
        </w:rPr>
        <w:t>confidential </w:t>
      </w:r>
      <w:r>
        <w:rPr>
          <w:i/>
          <w:sz w:val="24"/>
        </w:rPr>
        <w:t>information </w:t>
      </w:r>
      <w:r>
        <w:rPr>
          <w:sz w:val="24"/>
        </w:rPr>
        <w:t>in accordance with the</w:t>
      </w:r>
      <w:r>
        <w:rPr>
          <w:spacing w:val="-1"/>
          <w:sz w:val="24"/>
        </w:rPr>
        <w:t> </w:t>
      </w:r>
      <w:r>
        <w:rPr>
          <w:i/>
          <w:sz w:val="24"/>
        </w:rPr>
        <w:t>Rules</w:t>
      </w:r>
      <w:r>
        <w:rPr>
          <w:sz w:val="24"/>
        </w:rPr>
        <w:t>.</w:t>
      </w:r>
    </w:p>
    <w:p>
      <w:pPr>
        <w:pStyle w:val="ListParagraph"/>
        <w:numPr>
          <w:ilvl w:val="0"/>
          <w:numId w:val="516"/>
        </w:numPr>
        <w:tabs>
          <w:tab w:pos="1919" w:val="left" w:leader="none"/>
        </w:tabs>
        <w:spacing w:line="240" w:lineRule="auto" w:before="120" w:after="0"/>
        <w:ind w:left="1919" w:right="415" w:hanging="567"/>
        <w:jc w:val="both"/>
        <w:rPr>
          <w:sz w:val="24"/>
        </w:rPr>
      </w:pPr>
      <w:r>
        <w:rPr>
          <w:sz w:val="24"/>
        </w:rPr>
        <w:t>For the purposes of clause 8.6.2(c), </w:t>
      </w:r>
      <w:r>
        <w:rPr>
          <w:i/>
          <w:sz w:val="24"/>
        </w:rPr>
        <w:t>metering data </w:t>
      </w:r>
      <w:r>
        <w:rPr>
          <w:sz w:val="24"/>
        </w:rPr>
        <w:t>from a </w:t>
      </w:r>
      <w:r>
        <w:rPr>
          <w:i/>
          <w:sz w:val="24"/>
        </w:rPr>
        <w:t>metering </w:t>
      </w:r>
      <w:r>
        <w:rPr>
          <w:i/>
          <w:sz w:val="24"/>
        </w:rPr>
        <w:t>installation </w:t>
      </w:r>
      <w:r>
        <w:rPr>
          <w:sz w:val="24"/>
        </w:rPr>
        <w:t>at a </w:t>
      </w:r>
      <w:r>
        <w:rPr>
          <w:i/>
          <w:sz w:val="24"/>
        </w:rPr>
        <w:t>retail customer's connection point </w:t>
      </w:r>
      <w:r>
        <w:rPr>
          <w:sz w:val="24"/>
        </w:rPr>
        <w:t>is deemed to have been provided by the </w:t>
      </w:r>
      <w:r>
        <w:rPr>
          <w:i/>
          <w:sz w:val="24"/>
        </w:rPr>
        <w:t>retail</w:t>
      </w:r>
      <w:r>
        <w:rPr>
          <w:i/>
          <w:spacing w:val="-2"/>
          <w:sz w:val="24"/>
        </w:rPr>
        <w:t> </w:t>
      </w:r>
      <w:r>
        <w:rPr>
          <w:i/>
          <w:sz w:val="24"/>
        </w:rPr>
        <w:t>customer</w:t>
      </w:r>
      <w:r>
        <w:rPr>
          <w:sz w:val="24"/>
        </w:rPr>
        <w:t>.</w:t>
      </w:r>
    </w:p>
    <w:p>
      <w:pPr>
        <w:pStyle w:val="BodyText"/>
        <w:spacing w:before="10"/>
        <w:ind w:firstLine="0"/>
        <w:jc w:val="left"/>
        <w:rPr>
          <w:sz w:val="20"/>
        </w:rPr>
      </w:pPr>
    </w:p>
    <w:p>
      <w:pPr>
        <w:pStyle w:val="Heading4"/>
        <w:tabs>
          <w:tab w:pos="1351" w:val="left" w:leader="none"/>
        </w:tabs>
        <w:ind w:left="218" w:firstLine="0"/>
      </w:pPr>
      <w:bookmarkStart w:name="7A.13.2 Security of metering installatio" w:id="1835"/>
      <w:bookmarkEnd w:id="1835"/>
      <w:r>
        <w:rPr>
          <w:b w:val="0"/>
        </w:rPr>
      </w:r>
      <w:bookmarkStart w:name="_bookmark743" w:id="1836"/>
      <w:bookmarkEnd w:id="1836"/>
      <w:r>
        <w:rPr>
          <w:b w:val="0"/>
        </w:rPr>
      </w:r>
      <w:r>
        <w:rPr/>
        <w:t>7A.13.2</w:t>
        <w:tab/>
        <w:t>Security of metering</w:t>
      </w:r>
      <w:r>
        <w:rPr>
          <w:spacing w:val="-2"/>
        </w:rPr>
        <w:t> </w:t>
      </w:r>
      <w:r>
        <w:rPr/>
        <w:t>installations</w:t>
      </w:r>
    </w:p>
    <w:p>
      <w:pPr>
        <w:spacing w:before="220"/>
        <w:ind w:left="1356" w:right="0" w:firstLine="0"/>
        <w:jc w:val="left"/>
        <w:rPr>
          <w:rFonts w:ascii="Arial"/>
          <w:b/>
          <w:sz w:val="22"/>
        </w:rPr>
      </w:pPr>
      <w:r>
        <w:rPr>
          <w:rFonts w:ascii="Arial"/>
          <w:b/>
          <w:sz w:val="22"/>
        </w:rPr>
        <w:t>General security</w:t>
      </w:r>
    </w:p>
    <w:p>
      <w:pPr>
        <w:pStyle w:val="ListParagraph"/>
        <w:numPr>
          <w:ilvl w:val="0"/>
          <w:numId w:val="517"/>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the </w:t>
      </w:r>
      <w:r>
        <w:rPr>
          <w:i/>
          <w:sz w:val="24"/>
        </w:rPr>
        <w:t>metering installation </w:t>
      </w:r>
      <w:r>
        <w:rPr>
          <w:sz w:val="24"/>
        </w:rPr>
        <w:t>is secure and that associated links, circuits and information storage and processing systems are protected by appropriate security</w:t>
      </w:r>
      <w:r>
        <w:rPr>
          <w:spacing w:val="-2"/>
          <w:sz w:val="24"/>
        </w:rPr>
        <w:t> </w:t>
      </w:r>
      <w:r>
        <w:rPr>
          <w:sz w:val="24"/>
        </w:rPr>
        <w:t>mechanisms.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17"/>
        </w:numPr>
        <w:tabs>
          <w:tab w:pos="1919" w:val="left" w:leader="none"/>
        </w:tabs>
        <w:spacing w:line="240" w:lineRule="auto" w:before="120" w:after="0"/>
        <w:ind w:left="1919" w:right="415" w:hanging="567"/>
        <w:jc w:val="both"/>
        <w:rPr>
          <w:sz w:val="24"/>
        </w:rPr>
      </w:pPr>
      <w:r>
        <w:rPr>
          <w:sz w:val="24"/>
        </w:rPr>
        <w:t>In respect of a </w:t>
      </w:r>
      <w:r>
        <w:rPr>
          <w:i/>
          <w:sz w:val="24"/>
        </w:rPr>
        <w:t>connection point </w:t>
      </w:r>
      <w:r>
        <w:rPr>
          <w:sz w:val="24"/>
        </w:rPr>
        <w:t>used for </w:t>
      </w:r>
      <w:r>
        <w:rPr>
          <w:i/>
          <w:sz w:val="24"/>
        </w:rPr>
        <w:t>settlements</w:t>
      </w:r>
      <w:r>
        <w:rPr>
          <w:sz w:val="24"/>
        </w:rPr>
        <w:t>, </w:t>
      </w:r>
      <w:r>
        <w:rPr>
          <w:i/>
          <w:sz w:val="24"/>
        </w:rPr>
        <w:t>NTESMO </w:t>
      </w:r>
      <w:r>
        <w:rPr>
          <w:sz w:val="24"/>
        </w:rPr>
        <w:t>may override any of the security mechanisms fitted to a </w:t>
      </w:r>
      <w:r>
        <w:rPr>
          <w:i/>
          <w:sz w:val="24"/>
        </w:rPr>
        <w:t>metering installation </w:t>
      </w:r>
      <w:r>
        <w:rPr>
          <w:sz w:val="24"/>
        </w:rPr>
        <w:t>with prior notice to the </w:t>
      </w:r>
      <w:r>
        <w:rPr>
          <w:i/>
          <w:sz w:val="24"/>
        </w:rPr>
        <w:t>Metering</w:t>
      </w:r>
      <w:r>
        <w:rPr>
          <w:i/>
          <w:spacing w:val="-2"/>
          <w:sz w:val="24"/>
        </w:rPr>
        <w:t> </w:t>
      </w:r>
      <w:r>
        <w:rPr>
          <w:i/>
          <w:sz w:val="24"/>
        </w:rPr>
        <w:t>Coordinator</w:t>
      </w:r>
      <w:r>
        <w:rPr>
          <w:sz w:val="24"/>
        </w:rPr>
        <w:t>.</w:t>
      </w:r>
    </w:p>
    <w:p>
      <w:pPr>
        <w:spacing w:before="220"/>
        <w:ind w:left="1356" w:right="0" w:firstLine="0"/>
        <w:jc w:val="left"/>
        <w:rPr>
          <w:rFonts w:ascii="Arial"/>
          <w:b/>
          <w:sz w:val="22"/>
        </w:rPr>
      </w:pPr>
      <w:r>
        <w:rPr>
          <w:rFonts w:ascii="Arial"/>
          <w:b/>
          <w:sz w:val="22"/>
        </w:rPr>
        <w:t>Broken seals</w:t>
      </w:r>
    </w:p>
    <w:p>
      <w:pPr>
        <w:pStyle w:val="ListParagraph"/>
        <w:numPr>
          <w:ilvl w:val="0"/>
          <w:numId w:val="517"/>
        </w:numPr>
        <w:tabs>
          <w:tab w:pos="1919" w:val="left" w:leader="none"/>
        </w:tabs>
        <w:spacing w:line="240" w:lineRule="auto" w:before="120" w:after="0"/>
        <w:ind w:left="1919" w:right="415" w:hanging="567"/>
        <w:jc w:val="both"/>
        <w:rPr>
          <w:sz w:val="24"/>
        </w:rPr>
      </w:pPr>
      <w:r>
        <w:rPr>
          <w:sz w:val="24"/>
        </w:rPr>
        <w:t>If a </w:t>
      </w:r>
      <w:r>
        <w:rPr>
          <w:i/>
          <w:sz w:val="24"/>
        </w:rPr>
        <w:t>Network Service Provider</w:t>
      </w:r>
      <w:r>
        <w:rPr>
          <w:sz w:val="24"/>
        </w:rPr>
        <w:t>, financially responsible participant, </w:t>
      </w:r>
      <w:r>
        <w:rPr>
          <w:i/>
          <w:sz w:val="24"/>
        </w:rPr>
        <w:t>Metering </w:t>
      </w:r>
      <w:r>
        <w:rPr>
          <w:i/>
          <w:sz w:val="24"/>
        </w:rPr>
        <w:t>Provider</w:t>
      </w:r>
      <w:r>
        <w:rPr>
          <w:i/>
          <w:spacing w:val="26"/>
          <w:sz w:val="24"/>
        </w:rPr>
        <w:t> </w:t>
      </w:r>
      <w:r>
        <w:rPr>
          <w:sz w:val="24"/>
        </w:rPr>
        <w:t>or</w:t>
      </w:r>
      <w:r>
        <w:rPr>
          <w:spacing w:val="26"/>
          <w:sz w:val="24"/>
        </w:rPr>
        <w:t> </w:t>
      </w:r>
      <w:r>
        <w:rPr>
          <w:i/>
          <w:sz w:val="24"/>
        </w:rPr>
        <w:t>Metering</w:t>
      </w:r>
      <w:r>
        <w:rPr>
          <w:i/>
          <w:spacing w:val="26"/>
          <w:sz w:val="24"/>
        </w:rPr>
        <w:t> </w:t>
      </w:r>
      <w:r>
        <w:rPr>
          <w:i/>
          <w:sz w:val="24"/>
        </w:rPr>
        <w:t>Data</w:t>
      </w:r>
      <w:r>
        <w:rPr>
          <w:i/>
          <w:spacing w:val="26"/>
          <w:sz w:val="24"/>
        </w:rPr>
        <w:t> </w:t>
      </w:r>
      <w:r>
        <w:rPr>
          <w:i/>
          <w:sz w:val="24"/>
        </w:rPr>
        <w:t>Provider</w:t>
      </w:r>
      <w:r>
        <w:rPr>
          <w:i/>
          <w:spacing w:val="27"/>
          <w:sz w:val="24"/>
        </w:rPr>
        <w:t> </w:t>
      </w:r>
      <w:r>
        <w:rPr>
          <w:sz w:val="24"/>
        </w:rPr>
        <w:t>becomes</w:t>
      </w:r>
      <w:r>
        <w:rPr>
          <w:spacing w:val="27"/>
          <w:sz w:val="24"/>
        </w:rPr>
        <w:t> </w:t>
      </w:r>
      <w:r>
        <w:rPr>
          <w:sz w:val="24"/>
        </w:rPr>
        <w:t>aware</w:t>
      </w:r>
      <w:r>
        <w:rPr>
          <w:spacing w:val="26"/>
          <w:sz w:val="24"/>
        </w:rPr>
        <w:t> </w:t>
      </w:r>
      <w:r>
        <w:rPr>
          <w:sz w:val="24"/>
        </w:rPr>
        <w:t>that</w:t>
      </w:r>
      <w:r>
        <w:rPr>
          <w:spacing w:val="26"/>
          <w:sz w:val="24"/>
        </w:rPr>
        <w:t> </w:t>
      </w:r>
      <w:r>
        <w:rPr>
          <w:sz w:val="24"/>
        </w:rPr>
        <w:t>a</w:t>
      </w:r>
      <w:r>
        <w:rPr>
          <w:spacing w:val="26"/>
          <w:sz w:val="24"/>
        </w:rPr>
        <w:t> </w:t>
      </w:r>
      <w:r>
        <w:rPr>
          <w:sz w:val="24"/>
        </w:rPr>
        <w:t>seal</w:t>
      </w:r>
      <w:r>
        <w:rPr>
          <w:spacing w:val="27"/>
          <w:sz w:val="24"/>
        </w:rPr>
        <w:t> </w:t>
      </w:r>
      <w:r>
        <w:rPr>
          <w:sz w:val="24"/>
        </w:rPr>
        <w:t>protecting</w:t>
      </w:r>
    </w:p>
    <w:p>
      <w:pPr>
        <w:spacing w:after="0" w:line="240" w:lineRule="auto"/>
        <w:jc w:val="both"/>
        <w:rPr>
          <w:sz w:val="24"/>
        </w:rPr>
        <w:sectPr>
          <w:pgSz w:w="11910" w:h="16840"/>
          <w:pgMar w:header="686" w:footer="637" w:top="1320" w:bottom="820" w:left="1200" w:right="1000"/>
        </w:sectPr>
      </w:pPr>
    </w:p>
    <w:p>
      <w:pPr>
        <w:spacing w:before="83"/>
        <w:ind w:left="1919" w:right="417" w:firstLine="0"/>
        <w:jc w:val="both"/>
        <w:rPr>
          <w:sz w:val="24"/>
        </w:rPr>
      </w:pPr>
      <w:r>
        <w:rPr>
          <w:i/>
          <w:sz w:val="24"/>
        </w:rPr>
        <w:t>metering </w:t>
      </w:r>
      <w:r>
        <w:rPr>
          <w:sz w:val="24"/>
        </w:rPr>
        <w:t>equipment has been broken, it must notify the </w:t>
      </w:r>
      <w:r>
        <w:rPr>
          <w:i/>
          <w:sz w:val="24"/>
        </w:rPr>
        <w:t>Metering </w:t>
      </w:r>
      <w:r>
        <w:rPr>
          <w:i/>
          <w:sz w:val="24"/>
        </w:rPr>
        <w:t>Coordinator </w:t>
      </w:r>
      <w:r>
        <w:rPr>
          <w:sz w:val="24"/>
        </w:rPr>
        <w:t>within 5 </w:t>
      </w:r>
      <w:r>
        <w:rPr>
          <w:i/>
          <w:sz w:val="24"/>
        </w:rPr>
        <w:t>business days</w:t>
      </w:r>
      <w:r>
        <w:rPr>
          <w:sz w:val="24"/>
        </w:rPr>
        <w:t>.</w:t>
      </w:r>
    </w:p>
    <w:p>
      <w:pPr>
        <w:pStyle w:val="ListParagraph"/>
        <w:numPr>
          <w:ilvl w:val="0"/>
          <w:numId w:val="517"/>
        </w:numPr>
        <w:tabs>
          <w:tab w:pos="1919" w:val="left" w:leader="none"/>
        </w:tabs>
        <w:spacing w:line="240" w:lineRule="auto" w:before="120" w:after="0"/>
        <w:ind w:left="1919" w:right="416" w:hanging="567"/>
        <w:jc w:val="both"/>
        <w:rPr>
          <w:sz w:val="24"/>
        </w:rPr>
      </w:pPr>
      <w:r>
        <w:rPr>
          <w:sz w:val="24"/>
        </w:rPr>
        <w:t>If a broken seal has not been replaced by the person who notified</w:t>
      </w:r>
      <w:r>
        <w:rPr>
          <w:spacing w:val="33"/>
          <w:sz w:val="24"/>
        </w:rPr>
        <w:t> </w:t>
      </w:r>
      <w:r>
        <w:rPr>
          <w:sz w:val="24"/>
        </w:rPr>
        <w:t>the </w:t>
      </w:r>
      <w:r>
        <w:rPr>
          <w:i/>
          <w:sz w:val="24"/>
        </w:rPr>
        <w:t>Metering Coordinator </w:t>
      </w:r>
      <w:r>
        <w:rPr>
          <w:sz w:val="24"/>
        </w:rPr>
        <w:t>under paragraph (c), the </w:t>
      </w:r>
      <w:r>
        <w:rPr>
          <w:i/>
          <w:sz w:val="24"/>
        </w:rPr>
        <w:t>Metering Coordinator </w:t>
      </w:r>
      <w:r>
        <w:rPr>
          <w:spacing w:val="-4"/>
          <w:sz w:val="24"/>
        </w:rPr>
        <w:t>must</w:t>
      </w:r>
      <w:r>
        <w:rPr>
          <w:spacing w:val="52"/>
          <w:sz w:val="24"/>
        </w:rPr>
        <w:t> </w:t>
      </w:r>
      <w:r>
        <w:rPr>
          <w:sz w:val="24"/>
        </w:rPr>
        <w:t>ensure that the broken seal is replaced no later</w:t>
      </w:r>
      <w:r>
        <w:rPr>
          <w:spacing w:val="-5"/>
          <w:sz w:val="24"/>
        </w:rPr>
        <w:t> </w:t>
      </w:r>
      <w:r>
        <w:rPr>
          <w:sz w:val="24"/>
        </w:rPr>
        <w:t>than:</w:t>
      </w:r>
    </w:p>
    <w:p>
      <w:pPr>
        <w:pStyle w:val="ListParagraph"/>
        <w:numPr>
          <w:ilvl w:val="1"/>
          <w:numId w:val="517"/>
        </w:numPr>
        <w:tabs>
          <w:tab w:pos="2486" w:val="left" w:leader="none"/>
        </w:tabs>
        <w:spacing w:line="240" w:lineRule="auto" w:before="120" w:after="0"/>
        <w:ind w:left="2486" w:right="415" w:hanging="567"/>
        <w:jc w:val="both"/>
        <w:rPr>
          <w:sz w:val="24"/>
        </w:rPr>
      </w:pPr>
      <w:r>
        <w:rPr>
          <w:sz w:val="24"/>
        </w:rPr>
        <w:t>the first occasion on which the metering equipment is visited to take a reading;</w:t>
      </w:r>
      <w:r>
        <w:rPr>
          <w:spacing w:val="-1"/>
          <w:sz w:val="24"/>
        </w:rPr>
        <w:t> </w:t>
      </w:r>
      <w:r>
        <w:rPr>
          <w:sz w:val="24"/>
        </w:rPr>
        <w:t>or</w:t>
      </w:r>
    </w:p>
    <w:p>
      <w:pPr>
        <w:pStyle w:val="ListParagraph"/>
        <w:numPr>
          <w:ilvl w:val="1"/>
          <w:numId w:val="517"/>
        </w:numPr>
        <w:tabs>
          <w:tab w:pos="2486" w:val="left" w:leader="none"/>
        </w:tabs>
        <w:spacing w:line="240" w:lineRule="auto" w:before="120" w:after="0"/>
        <w:ind w:left="2485" w:right="0" w:hanging="567"/>
        <w:jc w:val="both"/>
        <w:rPr>
          <w:sz w:val="24"/>
        </w:rPr>
      </w:pPr>
      <w:r>
        <w:rPr>
          <w:sz w:val="24"/>
        </w:rPr>
        <w:t>100 days,</w:t>
      </w:r>
    </w:p>
    <w:p>
      <w:pPr>
        <w:pStyle w:val="BodyText"/>
        <w:ind w:left="2486" w:firstLine="0"/>
      </w:pPr>
      <w:r>
        <w:rPr/>
        <w:t>after receipt of notification that the seal has been broken.</w:t>
      </w:r>
    </w:p>
    <w:p>
      <w:pPr>
        <w:pStyle w:val="ListParagraph"/>
        <w:numPr>
          <w:ilvl w:val="0"/>
          <w:numId w:val="517"/>
        </w:numPr>
        <w:tabs>
          <w:tab w:pos="1919" w:val="left" w:leader="none"/>
        </w:tabs>
        <w:spacing w:line="240" w:lineRule="auto" w:before="120" w:after="0"/>
        <w:ind w:left="1919" w:right="415" w:hanging="567"/>
        <w:jc w:val="both"/>
        <w:rPr>
          <w:sz w:val="24"/>
        </w:rPr>
      </w:pPr>
      <w:r>
        <w:rPr>
          <w:sz w:val="24"/>
        </w:rPr>
        <w:t>The costs of replacing broken seals as required by paragraph (d) are to be borne by:</w:t>
      </w:r>
    </w:p>
    <w:p>
      <w:pPr>
        <w:pStyle w:val="ListParagraph"/>
        <w:numPr>
          <w:ilvl w:val="1"/>
          <w:numId w:val="517"/>
        </w:numPr>
        <w:tabs>
          <w:tab w:pos="2486" w:val="left" w:leader="none"/>
        </w:tabs>
        <w:spacing w:line="240" w:lineRule="auto" w:before="120" w:after="0"/>
        <w:ind w:left="2485" w:right="0" w:hanging="567"/>
        <w:jc w:val="both"/>
        <w:rPr>
          <w:sz w:val="24"/>
        </w:rPr>
      </w:pPr>
      <w:r>
        <w:rPr>
          <w:sz w:val="24"/>
        </w:rPr>
        <w:t>the financially responsible participant if the seal was broken by</w:t>
      </w:r>
      <w:r>
        <w:rPr>
          <w:spacing w:val="13"/>
          <w:sz w:val="24"/>
        </w:rPr>
        <w:t> </w:t>
      </w:r>
      <w:r>
        <w:rPr>
          <w:sz w:val="24"/>
        </w:rPr>
        <w:t>a</w:t>
      </w:r>
    </w:p>
    <w:p>
      <w:pPr>
        <w:spacing w:before="0"/>
        <w:ind w:left="2486" w:right="0" w:firstLine="0"/>
        <w:jc w:val="both"/>
        <w:rPr>
          <w:sz w:val="24"/>
        </w:rPr>
      </w:pPr>
      <w:r>
        <w:rPr>
          <w:i/>
          <w:sz w:val="24"/>
        </w:rPr>
        <w:t>retail customer </w:t>
      </w:r>
      <w:r>
        <w:rPr>
          <w:sz w:val="24"/>
        </w:rPr>
        <w:t>of the financially responsible participant;</w:t>
      </w:r>
    </w:p>
    <w:p>
      <w:pPr>
        <w:pStyle w:val="ListParagraph"/>
        <w:numPr>
          <w:ilvl w:val="1"/>
          <w:numId w:val="517"/>
        </w:numPr>
        <w:tabs>
          <w:tab w:pos="2485" w:val="left" w:leader="none"/>
          <w:tab w:pos="2486" w:val="left" w:leader="none"/>
        </w:tabs>
        <w:spacing w:line="240" w:lineRule="auto" w:before="120" w:after="0"/>
        <w:ind w:left="2486" w:right="415" w:hanging="567"/>
        <w:jc w:val="left"/>
        <w:rPr>
          <w:sz w:val="24"/>
        </w:rPr>
      </w:pPr>
      <w:r>
        <w:rPr>
          <w:sz w:val="24"/>
        </w:rPr>
        <w:t>a </w:t>
      </w:r>
      <w:r>
        <w:rPr>
          <w:i/>
          <w:sz w:val="24"/>
        </w:rPr>
        <w:t>Registered Participant </w:t>
      </w:r>
      <w:r>
        <w:rPr>
          <w:sz w:val="24"/>
        </w:rPr>
        <w:t>if the seal was broken by the </w:t>
      </w:r>
      <w:r>
        <w:rPr>
          <w:i/>
          <w:sz w:val="24"/>
        </w:rPr>
        <w:t>Registered </w:t>
      </w:r>
      <w:r>
        <w:rPr>
          <w:i/>
          <w:sz w:val="24"/>
        </w:rPr>
        <w:t>Participant</w:t>
      </w:r>
      <w:r>
        <w:rPr>
          <w:sz w:val="24"/>
        </w:rPr>
        <w:t>;</w:t>
      </w:r>
    </w:p>
    <w:p>
      <w:pPr>
        <w:pStyle w:val="ListParagraph"/>
        <w:numPr>
          <w:ilvl w:val="1"/>
          <w:numId w:val="517"/>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Metering Provider </w:t>
      </w:r>
      <w:r>
        <w:rPr>
          <w:sz w:val="24"/>
        </w:rPr>
        <w:t>if the seal was broken by the </w:t>
      </w:r>
      <w:r>
        <w:rPr>
          <w:i/>
          <w:sz w:val="24"/>
        </w:rPr>
        <w:t>Metering </w:t>
      </w:r>
      <w:r>
        <w:rPr>
          <w:i/>
          <w:sz w:val="24"/>
        </w:rPr>
        <w:t>Provider</w:t>
      </w:r>
      <w:r>
        <w:rPr>
          <w:sz w:val="24"/>
        </w:rPr>
        <w:t>;</w:t>
      </w:r>
    </w:p>
    <w:p>
      <w:pPr>
        <w:pStyle w:val="ListParagraph"/>
        <w:numPr>
          <w:ilvl w:val="1"/>
          <w:numId w:val="517"/>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Metering Data Provider </w:t>
      </w:r>
      <w:r>
        <w:rPr>
          <w:sz w:val="24"/>
        </w:rPr>
        <w:t>if the seal was broken by the </w:t>
      </w:r>
      <w:r>
        <w:rPr>
          <w:i/>
          <w:sz w:val="24"/>
        </w:rPr>
        <w:t>Metering </w:t>
      </w:r>
      <w:r>
        <w:rPr>
          <w:i/>
          <w:sz w:val="24"/>
        </w:rPr>
        <w:t>Data Provider</w:t>
      </w:r>
      <w:r>
        <w:rPr>
          <w:sz w:val="24"/>
        </w:rPr>
        <w:t>;</w:t>
      </w:r>
      <w:r>
        <w:rPr>
          <w:spacing w:val="-3"/>
          <w:sz w:val="24"/>
        </w:rPr>
        <w:t> </w:t>
      </w:r>
      <w:r>
        <w:rPr>
          <w:sz w:val="24"/>
        </w:rPr>
        <w:t>or</w:t>
      </w:r>
    </w:p>
    <w:p>
      <w:pPr>
        <w:pStyle w:val="ListParagraph"/>
        <w:numPr>
          <w:ilvl w:val="1"/>
          <w:numId w:val="517"/>
        </w:numPr>
        <w:tabs>
          <w:tab w:pos="2485" w:val="left" w:leader="none"/>
          <w:tab w:pos="2486" w:val="left" w:leader="none"/>
        </w:tabs>
        <w:spacing w:line="240" w:lineRule="auto" w:before="120" w:after="0"/>
        <w:ind w:left="2485" w:right="0" w:hanging="567"/>
        <w:jc w:val="left"/>
        <w:rPr>
          <w:sz w:val="24"/>
        </w:rPr>
      </w:pPr>
      <w:r>
        <w:rPr>
          <w:sz w:val="24"/>
        </w:rPr>
        <w:t>otherwise by the </w:t>
      </w:r>
      <w:r>
        <w:rPr>
          <w:i/>
          <w:sz w:val="24"/>
        </w:rPr>
        <w:t>Metering</w:t>
      </w:r>
      <w:r>
        <w:rPr>
          <w:i/>
          <w:spacing w:val="-1"/>
          <w:sz w:val="24"/>
        </w:rPr>
        <w:t> </w:t>
      </w:r>
      <w:r>
        <w:rPr>
          <w:i/>
          <w:sz w:val="24"/>
        </w:rPr>
        <w:t>Coordinator</w:t>
      </w:r>
      <w:r>
        <w:rPr>
          <w:sz w:val="24"/>
        </w:rPr>
        <w:t>.</w:t>
      </w:r>
    </w:p>
    <w:p>
      <w:pPr>
        <w:pStyle w:val="ListParagraph"/>
        <w:numPr>
          <w:ilvl w:val="0"/>
          <w:numId w:val="517"/>
        </w:numPr>
        <w:tabs>
          <w:tab w:pos="1920" w:val="left" w:leader="none"/>
        </w:tabs>
        <w:spacing w:line="240" w:lineRule="auto" w:before="120" w:after="0"/>
        <w:ind w:left="1919" w:right="415" w:hanging="567"/>
        <w:jc w:val="both"/>
        <w:rPr>
          <w:sz w:val="24"/>
        </w:rPr>
      </w:pPr>
      <w:r>
        <w:rPr>
          <w:sz w:val="24"/>
        </w:rPr>
        <w:t>If it appears that, as a result of, or in connection with, the breaking of a seal mentioned in paragraph (c) the relevant </w:t>
      </w:r>
      <w:r>
        <w:rPr>
          <w:i/>
          <w:sz w:val="24"/>
        </w:rPr>
        <w:t>metering </w:t>
      </w:r>
      <w:r>
        <w:rPr>
          <w:sz w:val="24"/>
        </w:rPr>
        <w:t>equipment may no longer meet the relevant minimum standard, the </w:t>
      </w:r>
      <w:r>
        <w:rPr>
          <w:i/>
          <w:sz w:val="24"/>
        </w:rPr>
        <w:t>Metering Coordinator </w:t>
      </w:r>
      <w:r>
        <w:rPr>
          <w:sz w:val="24"/>
        </w:rPr>
        <w:t>must ensure that the </w:t>
      </w:r>
      <w:r>
        <w:rPr>
          <w:i/>
          <w:sz w:val="24"/>
        </w:rPr>
        <w:t>metering </w:t>
      </w:r>
      <w:r>
        <w:rPr>
          <w:sz w:val="24"/>
        </w:rPr>
        <w:t>equipment is tested in accordance with clause</w:t>
      </w:r>
      <w:r>
        <w:rPr>
          <w:spacing w:val="-9"/>
          <w:sz w:val="24"/>
        </w:rPr>
        <w:t> </w:t>
      </w:r>
      <w:r>
        <w:rPr>
          <w:sz w:val="24"/>
        </w:rPr>
        <w:t>7A.7.2.</w:t>
      </w:r>
    </w:p>
    <w:p>
      <w:pPr>
        <w:pStyle w:val="BodyText"/>
        <w:spacing w:before="10"/>
        <w:ind w:firstLine="0"/>
        <w:jc w:val="left"/>
        <w:rPr>
          <w:sz w:val="20"/>
        </w:rPr>
      </w:pPr>
    </w:p>
    <w:p>
      <w:pPr>
        <w:pStyle w:val="Heading4"/>
        <w:tabs>
          <w:tab w:pos="1351" w:val="left" w:leader="none"/>
        </w:tabs>
        <w:ind w:left="218" w:firstLine="0"/>
      </w:pPr>
      <w:bookmarkStart w:name="7A.13.3 Security controls for energy dat" w:id="1837"/>
      <w:bookmarkEnd w:id="1837"/>
      <w:r>
        <w:rPr>
          <w:b w:val="0"/>
        </w:rPr>
      </w:r>
      <w:bookmarkStart w:name="_bookmark744" w:id="1838"/>
      <w:bookmarkEnd w:id="1838"/>
      <w:r>
        <w:rPr>
          <w:b w:val="0"/>
        </w:rPr>
      </w:r>
      <w:r>
        <w:rPr/>
        <w:t>7A.13.3</w:t>
        <w:tab/>
        <w:t>Security controls for energy</w:t>
      </w:r>
      <w:r>
        <w:rPr>
          <w:spacing w:val="-3"/>
        </w:rPr>
        <w:t> </w:t>
      </w:r>
      <w:r>
        <w:rPr/>
        <w:t>data</w:t>
      </w:r>
    </w:p>
    <w:p>
      <w:pPr>
        <w:pStyle w:val="ListParagraph"/>
        <w:numPr>
          <w:ilvl w:val="0"/>
          <w:numId w:val="518"/>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at a </w:t>
      </w:r>
      <w:r>
        <w:rPr>
          <w:i/>
          <w:sz w:val="24"/>
        </w:rPr>
        <w:t>connection point </w:t>
      </w:r>
      <w:r>
        <w:rPr>
          <w:sz w:val="24"/>
        </w:rPr>
        <w:t>must ensure that </w:t>
      </w:r>
      <w:r>
        <w:rPr>
          <w:i/>
          <w:sz w:val="24"/>
        </w:rPr>
        <w:t>energy </w:t>
      </w:r>
      <w:r>
        <w:rPr>
          <w:i/>
          <w:sz w:val="24"/>
        </w:rPr>
        <w:t>data </w:t>
      </w:r>
      <w:r>
        <w:rPr>
          <w:sz w:val="24"/>
        </w:rPr>
        <w:t>held in the </w:t>
      </w:r>
      <w:r>
        <w:rPr>
          <w:i/>
          <w:sz w:val="24"/>
        </w:rPr>
        <w:t>metering installation </w:t>
      </w:r>
      <w:r>
        <w:rPr>
          <w:sz w:val="24"/>
        </w:rPr>
        <w:t>is protected from local access and remote access by suitable password and security</w:t>
      </w:r>
      <w:r>
        <w:rPr>
          <w:spacing w:val="-6"/>
          <w:sz w:val="24"/>
        </w:rPr>
        <w:t> </w:t>
      </w:r>
      <w:r>
        <w:rPr>
          <w:sz w:val="24"/>
        </w:rPr>
        <w:t>controls.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18"/>
        </w:numPr>
        <w:tabs>
          <w:tab w:pos="1919" w:val="left" w:leader="none"/>
        </w:tabs>
        <w:spacing w:line="240" w:lineRule="auto" w:before="120" w:after="0"/>
        <w:ind w:left="1918" w:right="0" w:hanging="567"/>
        <w:jc w:val="both"/>
        <w:rPr>
          <w:sz w:val="24"/>
        </w:rPr>
      </w:pPr>
      <w:r>
        <w:rPr>
          <w:sz w:val="24"/>
        </w:rPr>
        <w:t>The </w:t>
      </w:r>
      <w:r>
        <w:rPr>
          <w:i/>
          <w:sz w:val="24"/>
        </w:rPr>
        <w:t>Metering Provider </w:t>
      </w:r>
      <w:r>
        <w:rPr>
          <w:sz w:val="24"/>
        </w:rPr>
        <w:t>must keep records of passwords</w:t>
      </w:r>
      <w:r>
        <w:rPr>
          <w:spacing w:val="-2"/>
          <w:sz w:val="24"/>
        </w:rPr>
        <w:t> </w:t>
      </w:r>
      <w:r>
        <w:rPr>
          <w:sz w:val="24"/>
        </w:rPr>
        <w:t>secure.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ListParagraph"/>
        <w:numPr>
          <w:ilvl w:val="0"/>
          <w:numId w:val="518"/>
        </w:numPr>
        <w:tabs>
          <w:tab w:pos="1919" w:val="left" w:leader="none"/>
        </w:tabs>
        <w:spacing w:line="240" w:lineRule="auto" w:before="120" w:after="0"/>
        <w:ind w:left="1919" w:right="415" w:hanging="567"/>
        <w:jc w:val="both"/>
        <w:rPr>
          <w:sz w:val="24"/>
        </w:rPr>
      </w:pPr>
      <w:r>
        <w:rPr>
          <w:sz w:val="24"/>
        </w:rPr>
        <w:t>The </w:t>
      </w:r>
      <w:r>
        <w:rPr>
          <w:i/>
          <w:sz w:val="24"/>
        </w:rPr>
        <w:t>Metering Provider </w:t>
      </w:r>
      <w:r>
        <w:rPr>
          <w:sz w:val="24"/>
        </w:rPr>
        <w:t>must allocate suitable passwords to the </w:t>
      </w:r>
      <w:r>
        <w:rPr>
          <w:i/>
          <w:sz w:val="24"/>
        </w:rPr>
        <w:t>Metering </w:t>
      </w:r>
      <w:r>
        <w:rPr>
          <w:i/>
          <w:sz w:val="24"/>
        </w:rPr>
        <w:t>Data Provider </w:t>
      </w:r>
      <w:r>
        <w:rPr>
          <w:sz w:val="24"/>
        </w:rPr>
        <w:t>to enable the </w:t>
      </w:r>
      <w:r>
        <w:rPr>
          <w:i/>
          <w:sz w:val="24"/>
        </w:rPr>
        <w:t>Metering Data Provider </w:t>
      </w:r>
      <w:r>
        <w:rPr>
          <w:sz w:val="24"/>
        </w:rPr>
        <w:t>to collect the </w:t>
      </w:r>
      <w:r>
        <w:rPr>
          <w:i/>
          <w:sz w:val="24"/>
        </w:rPr>
        <w:t>energy </w:t>
      </w:r>
      <w:r>
        <w:rPr>
          <w:i/>
          <w:sz w:val="24"/>
        </w:rPr>
        <w:t>data </w:t>
      </w:r>
      <w:r>
        <w:rPr>
          <w:sz w:val="24"/>
        </w:rPr>
        <w:t>and maintain the clock of the </w:t>
      </w:r>
      <w:r>
        <w:rPr>
          <w:i/>
          <w:sz w:val="24"/>
        </w:rPr>
        <w:t>metering installation </w:t>
      </w:r>
      <w:r>
        <w:rPr>
          <w:sz w:val="24"/>
        </w:rPr>
        <w:t>in accordance with clause 7A.8.7.</w:t>
      </w:r>
    </w:p>
    <w:p>
      <w:pPr>
        <w:spacing w:after="0" w:line="240" w:lineRule="auto"/>
        <w:jc w:val="both"/>
        <w:rPr>
          <w:sz w:val="24"/>
        </w:rPr>
        <w:sectPr>
          <w:pgSz w:w="11910" w:h="16840"/>
          <w:pgMar w:header="686" w:footer="637" w:top="1320" w:bottom="820" w:left="1200" w:right="1000"/>
        </w:sectPr>
      </w:pPr>
    </w:p>
    <w:p>
      <w:pPr>
        <w:pStyle w:val="ListParagraph"/>
        <w:numPr>
          <w:ilvl w:val="0"/>
          <w:numId w:val="518"/>
        </w:numPr>
        <w:tabs>
          <w:tab w:pos="1919" w:val="left" w:leader="none"/>
        </w:tabs>
        <w:spacing w:line="240" w:lineRule="auto" w:before="83" w:after="0"/>
        <w:ind w:left="1919" w:right="415" w:hanging="567"/>
        <w:jc w:val="both"/>
        <w:rPr>
          <w:sz w:val="24"/>
        </w:rPr>
      </w:pPr>
      <w:r>
        <w:rPr>
          <w:sz w:val="24"/>
        </w:rPr>
        <w:t>The </w:t>
      </w:r>
      <w:r>
        <w:rPr>
          <w:i/>
          <w:sz w:val="24"/>
        </w:rPr>
        <w:t>Metering Data Provider </w:t>
      </w:r>
      <w:r>
        <w:rPr>
          <w:sz w:val="24"/>
        </w:rPr>
        <w:t>must keep all </w:t>
      </w:r>
      <w:r>
        <w:rPr>
          <w:i/>
          <w:sz w:val="24"/>
        </w:rPr>
        <w:t>metering installation </w:t>
      </w:r>
      <w:r>
        <w:rPr>
          <w:sz w:val="24"/>
        </w:rPr>
        <w:t>passwords secure and not make the passwords available to any other</w:t>
      </w:r>
      <w:r>
        <w:rPr>
          <w:spacing w:val="-8"/>
          <w:sz w:val="24"/>
        </w:rPr>
        <w:t> </w:t>
      </w:r>
      <w:r>
        <w:rPr>
          <w:sz w:val="24"/>
        </w:rPr>
        <w:t>person.</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218" w:firstLine="0"/>
      </w:pPr>
      <w:bookmarkStart w:name="7A.13.4 Additional security controls for" w:id="1839"/>
      <w:bookmarkEnd w:id="1839"/>
      <w:r>
        <w:rPr>
          <w:b w:val="0"/>
        </w:rPr>
      </w:r>
      <w:bookmarkStart w:name="_bookmark745" w:id="1840"/>
      <w:bookmarkEnd w:id="1840"/>
      <w:r>
        <w:rPr>
          <w:b w:val="0"/>
        </w:rPr>
      </w:r>
      <w:r>
        <w:rPr/>
        <w:t>7A.13.4</w:t>
        <w:tab/>
        <w:t>Additional security controls for type 4 metering</w:t>
      </w:r>
      <w:r>
        <w:rPr>
          <w:spacing w:val="-12"/>
        </w:rPr>
        <w:t> </w:t>
      </w:r>
      <w:r>
        <w:rPr/>
        <w:t>installations</w:t>
      </w:r>
    </w:p>
    <w:p>
      <w:pPr>
        <w:spacing w:before="120"/>
        <w:ind w:left="1352" w:right="0" w:firstLine="0"/>
        <w:jc w:val="left"/>
        <w:rPr>
          <w:sz w:val="24"/>
        </w:rPr>
      </w:pPr>
      <w:r>
        <w:rPr>
          <w:sz w:val="24"/>
        </w:rPr>
        <w:t>In respect of a type 4 </w:t>
      </w:r>
      <w:r>
        <w:rPr>
          <w:i/>
          <w:sz w:val="24"/>
        </w:rPr>
        <w:t>metering installation</w:t>
      </w:r>
      <w:r>
        <w:rPr>
          <w:sz w:val="24"/>
        </w:rPr>
        <w:t>:</w:t>
      </w:r>
    </w:p>
    <w:p>
      <w:pPr>
        <w:pStyle w:val="ListParagraph"/>
        <w:numPr>
          <w:ilvl w:val="0"/>
          <w:numId w:val="519"/>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Metering Coordinator </w:t>
      </w:r>
      <w:r>
        <w:rPr>
          <w:sz w:val="24"/>
        </w:rPr>
        <w:t>must ensure that access to </w:t>
      </w:r>
      <w:r>
        <w:rPr>
          <w:i/>
          <w:sz w:val="24"/>
        </w:rPr>
        <w:t>energy data </w:t>
      </w:r>
      <w:r>
        <w:rPr>
          <w:sz w:val="24"/>
        </w:rPr>
        <w:t>held in</w:t>
      </w:r>
      <w:r>
        <w:rPr>
          <w:spacing w:val="46"/>
          <w:sz w:val="24"/>
        </w:rPr>
        <w:t> </w:t>
      </w:r>
      <w:r>
        <w:rPr>
          <w:sz w:val="24"/>
        </w:rPr>
        <w:t>the</w:t>
      </w:r>
    </w:p>
    <w:p>
      <w:pPr>
        <w:spacing w:before="0"/>
        <w:ind w:left="1919" w:right="0" w:firstLine="0"/>
        <w:jc w:val="left"/>
        <w:rPr>
          <w:sz w:val="24"/>
        </w:rPr>
      </w:pPr>
      <w:r>
        <w:rPr>
          <w:i/>
          <w:sz w:val="24"/>
        </w:rPr>
        <w:t>metering installation </w:t>
      </w:r>
      <w:r>
        <w:rPr>
          <w:sz w:val="24"/>
        </w:rPr>
        <w:t>is given only:</w:t>
      </w:r>
    </w:p>
    <w:p>
      <w:pPr>
        <w:pStyle w:val="ListParagraph"/>
        <w:numPr>
          <w:ilvl w:val="1"/>
          <w:numId w:val="519"/>
        </w:numPr>
        <w:tabs>
          <w:tab w:pos="2485" w:val="left" w:leader="none"/>
          <w:tab w:pos="2486" w:val="left" w:leader="none"/>
        </w:tabs>
        <w:spacing w:line="240" w:lineRule="auto" w:before="120" w:after="0"/>
        <w:ind w:left="2485" w:right="0" w:hanging="567"/>
        <w:jc w:val="left"/>
        <w:rPr>
          <w:sz w:val="24"/>
        </w:rPr>
      </w:pPr>
      <w:r>
        <w:rPr>
          <w:sz w:val="24"/>
        </w:rPr>
        <w:t>to a person who is permitted to have access to it under the </w:t>
      </w:r>
      <w:r>
        <w:rPr>
          <w:i/>
          <w:sz w:val="24"/>
        </w:rPr>
        <w:t>Rules</w:t>
      </w:r>
      <w:r>
        <w:rPr>
          <w:sz w:val="24"/>
        </w:rPr>
        <w:t>;</w:t>
      </w:r>
      <w:r>
        <w:rPr>
          <w:spacing w:val="-5"/>
          <w:sz w:val="24"/>
        </w:rPr>
        <w:t> </w:t>
      </w:r>
      <w:r>
        <w:rPr>
          <w:sz w:val="24"/>
        </w:rPr>
        <w:t>and</w:t>
      </w:r>
    </w:p>
    <w:p>
      <w:pPr>
        <w:pStyle w:val="ListParagraph"/>
        <w:numPr>
          <w:ilvl w:val="1"/>
          <w:numId w:val="519"/>
        </w:numPr>
        <w:tabs>
          <w:tab w:pos="2485" w:val="left" w:leader="none"/>
          <w:tab w:pos="2486" w:val="left" w:leader="none"/>
        </w:tabs>
        <w:spacing w:line="240" w:lineRule="auto" w:before="120" w:after="0"/>
        <w:ind w:left="2485" w:right="0" w:hanging="567"/>
        <w:jc w:val="left"/>
        <w:rPr>
          <w:sz w:val="24"/>
        </w:rPr>
      </w:pPr>
      <w:r>
        <w:rPr>
          <w:sz w:val="24"/>
        </w:rPr>
        <w:t>for a purpose that is permitted under the</w:t>
      </w:r>
      <w:r>
        <w:rPr>
          <w:spacing w:val="-3"/>
          <w:sz w:val="24"/>
        </w:rPr>
        <w:t> </w:t>
      </w:r>
      <w:r>
        <w:rPr>
          <w:i/>
          <w:sz w:val="24"/>
        </w:rPr>
        <w:t>Rules</w:t>
      </w:r>
      <w:r>
        <w:rPr>
          <w:sz w:val="24"/>
        </w:rPr>
        <w:t>;</w:t>
      </w:r>
    </w:p>
    <w:p>
      <w:pPr>
        <w:pStyle w:val="ListParagraph"/>
        <w:numPr>
          <w:ilvl w:val="0"/>
          <w:numId w:val="519"/>
        </w:numPr>
        <w:tabs>
          <w:tab w:pos="1919" w:val="left" w:leader="none"/>
        </w:tabs>
        <w:spacing w:line="240" w:lineRule="auto" w:before="120" w:after="0"/>
        <w:ind w:left="1919" w:right="416" w:hanging="567"/>
        <w:jc w:val="both"/>
        <w:rPr>
          <w:sz w:val="24"/>
        </w:rPr>
      </w:pPr>
      <w:r>
        <w:rPr>
          <w:sz w:val="24"/>
        </w:rPr>
        <w:t>the </w:t>
      </w:r>
      <w:r>
        <w:rPr>
          <w:i/>
          <w:sz w:val="24"/>
        </w:rPr>
        <w:t>Metering Coordinator </w:t>
      </w:r>
      <w:r>
        <w:rPr>
          <w:sz w:val="24"/>
        </w:rPr>
        <w:t>must ensure that access to services provided by the </w:t>
      </w:r>
      <w:r>
        <w:rPr>
          <w:i/>
          <w:sz w:val="24"/>
        </w:rPr>
        <w:t>metering installation </w:t>
      </w:r>
      <w:r>
        <w:rPr>
          <w:sz w:val="24"/>
        </w:rPr>
        <w:t>and </w:t>
      </w:r>
      <w:r>
        <w:rPr>
          <w:i/>
          <w:sz w:val="24"/>
        </w:rPr>
        <w:t>metering data </w:t>
      </w:r>
      <w:r>
        <w:rPr>
          <w:sz w:val="24"/>
        </w:rPr>
        <w:t>from the </w:t>
      </w:r>
      <w:r>
        <w:rPr>
          <w:i/>
          <w:sz w:val="24"/>
        </w:rPr>
        <w:t>metering installation </w:t>
      </w:r>
      <w:r>
        <w:rPr>
          <w:sz w:val="24"/>
        </w:rPr>
        <w:t>is given only:</w:t>
      </w:r>
    </w:p>
    <w:p>
      <w:pPr>
        <w:pStyle w:val="ListParagraph"/>
        <w:numPr>
          <w:ilvl w:val="1"/>
          <w:numId w:val="519"/>
        </w:numPr>
        <w:tabs>
          <w:tab w:pos="2486" w:val="left" w:leader="none"/>
        </w:tabs>
        <w:spacing w:line="240" w:lineRule="auto" w:before="120" w:after="0"/>
        <w:ind w:left="2485" w:right="0" w:hanging="567"/>
        <w:jc w:val="both"/>
        <w:rPr>
          <w:sz w:val="24"/>
        </w:rPr>
      </w:pPr>
      <w:r>
        <w:rPr>
          <w:sz w:val="24"/>
        </w:rPr>
        <w:t>in respect of:</w:t>
      </w:r>
    </w:p>
    <w:p>
      <w:pPr>
        <w:pStyle w:val="ListParagraph"/>
        <w:numPr>
          <w:ilvl w:val="2"/>
          <w:numId w:val="519"/>
        </w:numPr>
        <w:tabs>
          <w:tab w:pos="3053" w:val="left" w:leader="none"/>
        </w:tabs>
        <w:spacing w:line="240" w:lineRule="auto" w:before="120" w:after="0"/>
        <w:ind w:left="3053" w:right="416" w:hanging="567"/>
        <w:jc w:val="both"/>
        <w:rPr>
          <w:sz w:val="24"/>
        </w:rPr>
      </w:pPr>
      <w:r>
        <w:rPr>
          <w:sz w:val="24"/>
        </w:rPr>
        <w:t>a remote </w:t>
      </w:r>
      <w:r>
        <w:rPr>
          <w:i/>
          <w:sz w:val="24"/>
        </w:rPr>
        <w:t>disconnection </w:t>
      </w:r>
      <w:r>
        <w:rPr>
          <w:sz w:val="24"/>
        </w:rPr>
        <w:t>service and the </w:t>
      </w:r>
      <w:r>
        <w:rPr>
          <w:i/>
          <w:sz w:val="24"/>
        </w:rPr>
        <w:t>metering data </w:t>
      </w:r>
      <w:r>
        <w:rPr>
          <w:sz w:val="24"/>
        </w:rPr>
        <w:t>in connection with that service – to the </w:t>
      </w:r>
      <w:r>
        <w:rPr>
          <w:i/>
          <w:sz w:val="24"/>
        </w:rPr>
        <w:t>Local Network Service </w:t>
      </w:r>
      <w:r>
        <w:rPr>
          <w:i/>
          <w:sz w:val="24"/>
        </w:rPr>
        <w:t>Provider </w:t>
      </w:r>
      <w:r>
        <w:rPr>
          <w:sz w:val="24"/>
        </w:rPr>
        <w:t>and the financially responsible</w:t>
      </w:r>
      <w:r>
        <w:rPr>
          <w:spacing w:val="-1"/>
          <w:sz w:val="24"/>
        </w:rPr>
        <w:t> </w:t>
      </w:r>
      <w:r>
        <w:rPr>
          <w:sz w:val="24"/>
        </w:rPr>
        <w:t>participant;</w:t>
      </w:r>
    </w:p>
    <w:p>
      <w:pPr>
        <w:pStyle w:val="ListParagraph"/>
        <w:numPr>
          <w:ilvl w:val="2"/>
          <w:numId w:val="519"/>
        </w:numPr>
        <w:tabs>
          <w:tab w:pos="3054" w:val="left" w:leader="none"/>
        </w:tabs>
        <w:spacing w:line="240" w:lineRule="auto" w:before="120" w:after="0"/>
        <w:ind w:left="3053" w:right="416" w:hanging="567"/>
        <w:jc w:val="both"/>
        <w:rPr>
          <w:sz w:val="24"/>
        </w:rPr>
      </w:pPr>
      <w:r>
        <w:rPr>
          <w:sz w:val="24"/>
        </w:rPr>
        <w:t>a remote </w:t>
      </w:r>
      <w:r>
        <w:rPr>
          <w:i/>
          <w:sz w:val="24"/>
        </w:rPr>
        <w:t>reconnection </w:t>
      </w:r>
      <w:r>
        <w:rPr>
          <w:sz w:val="24"/>
        </w:rPr>
        <w:t>service and the </w:t>
      </w:r>
      <w:r>
        <w:rPr>
          <w:i/>
          <w:sz w:val="24"/>
        </w:rPr>
        <w:t>metering data </w:t>
      </w:r>
      <w:r>
        <w:rPr>
          <w:sz w:val="24"/>
        </w:rPr>
        <w:t>in connection with that service – to the </w:t>
      </w:r>
      <w:r>
        <w:rPr>
          <w:i/>
          <w:sz w:val="24"/>
        </w:rPr>
        <w:t>Local Network Service </w:t>
      </w:r>
      <w:r>
        <w:rPr>
          <w:i/>
          <w:sz w:val="24"/>
        </w:rPr>
        <w:t>Provider</w:t>
      </w:r>
      <w:r>
        <w:rPr>
          <w:sz w:val="24"/>
        </w:rPr>
        <w:t>, the financially responsible participant and </w:t>
      </w:r>
      <w:r>
        <w:rPr>
          <w:spacing w:val="-6"/>
          <w:sz w:val="24"/>
        </w:rPr>
        <w:t>the </w:t>
      </w:r>
      <w:r>
        <w:rPr>
          <w:sz w:val="24"/>
        </w:rPr>
        <w:t>incoming</w:t>
      </w:r>
      <w:r>
        <w:rPr>
          <w:spacing w:val="-1"/>
          <w:sz w:val="24"/>
        </w:rPr>
        <w:t> </w:t>
      </w:r>
      <w:r>
        <w:rPr>
          <w:i/>
          <w:sz w:val="24"/>
        </w:rPr>
        <w:t>retailer</w:t>
      </w:r>
      <w:r>
        <w:rPr>
          <w:sz w:val="24"/>
        </w:rPr>
        <w:t>;</w:t>
      </w:r>
    </w:p>
    <w:p>
      <w:pPr>
        <w:pStyle w:val="ListParagraph"/>
        <w:numPr>
          <w:ilvl w:val="2"/>
          <w:numId w:val="519"/>
        </w:numPr>
        <w:tabs>
          <w:tab w:pos="3053" w:val="left" w:leader="none"/>
        </w:tabs>
        <w:spacing w:line="240" w:lineRule="auto" w:before="120" w:after="0"/>
        <w:ind w:left="3053" w:right="414" w:hanging="567"/>
        <w:jc w:val="both"/>
        <w:rPr>
          <w:sz w:val="24"/>
        </w:rPr>
      </w:pPr>
      <w:r>
        <w:rPr>
          <w:sz w:val="24"/>
        </w:rPr>
        <w:t>a remote on-demand </w:t>
      </w:r>
      <w:r>
        <w:rPr>
          <w:i/>
          <w:sz w:val="24"/>
        </w:rPr>
        <w:t>meter </w:t>
      </w:r>
      <w:r>
        <w:rPr>
          <w:sz w:val="24"/>
        </w:rPr>
        <w:t>reading service and the </w:t>
      </w:r>
      <w:r>
        <w:rPr>
          <w:i/>
          <w:sz w:val="24"/>
        </w:rPr>
        <w:t>metering </w:t>
      </w:r>
      <w:r>
        <w:rPr>
          <w:i/>
          <w:sz w:val="24"/>
        </w:rPr>
        <w:t>data </w:t>
      </w:r>
      <w:r>
        <w:rPr>
          <w:sz w:val="24"/>
        </w:rPr>
        <w:t>in connection with that service – to </w:t>
      </w:r>
      <w:r>
        <w:rPr>
          <w:i/>
          <w:sz w:val="24"/>
        </w:rPr>
        <w:t>Registered Participants </w:t>
      </w:r>
      <w:r>
        <w:rPr>
          <w:sz w:val="24"/>
        </w:rPr>
        <w:t>with a financial interest in the </w:t>
      </w:r>
      <w:r>
        <w:rPr>
          <w:i/>
          <w:sz w:val="24"/>
        </w:rPr>
        <w:t>metering installation </w:t>
      </w:r>
      <w:r>
        <w:rPr>
          <w:sz w:val="24"/>
        </w:rPr>
        <w:t>or the </w:t>
      </w:r>
      <w:r>
        <w:rPr>
          <w:i/>
          <w:sz w:val="24"/>
        </w:rPr>
        <w:t>energy </w:t>
      </w:r>
      <w:r>
        <w:rPr>
          <w:sz w:val="24"/>
        </w:rPr>
        <w:t>measured by that </w:t>
      </w:r>
      <w:r>
        <w:rPr>
          <w:i/>
          <w:sz w:val="24"/>
        </w:rPr>
        <w:t>metering installation </w:t>
      </w:r>
      <w:r>
        <w:rPr>
          <w:sz w:val="24"/>
        </w:rPr>
        <w:t>and a person to whom a </w:t>
      </w:r>
      <w:r>
        <w:rPr>
          <w:i/>
          <w:sz w:val="24"/>
        </w:rPr>
        <w:t>retail customer </w:t>
      </w:r>
      <w:r>
        <w:rPr>
          <w:sz w:val="24"/>
        </w:rPr>
        <w:t>has given its consent under subparagraph</w:t>
      </w:r>
      <w:r>
        <w:rPr>
          <w:spacing w:val="-2"/>
          <w:sz w:val="24"/>
        </w:rPr>
        <w:t> </w:t>
      </w:r>
      <w:r>
        <w:rPr>
          <w:sz w:val="24"/>
        </w:rPr>
        <w:t>(3)(ii);</w:t>
      </w:r>
    </w:p>
    <w:p>
      <w:pPr>
        <w:pStyle w:val="ListParagraph"/>
        <w:numPr>
          <w:ilvl w:val="2"/>
          <w:numId w:val="519"/>
        </w:numPr>
        <w:tabs>
          <w:tab w:pos="3054" w:val="left" w:leader="none"/>
        </w:tabs>
        <w:spacing w:line="240" w:lineRule="auto" w:before="120" w:after="0"/>
        <w:ind w:left="3053" w:right="415" w:hanging="567"/>
        <w:jc w:val="both"/>
        <w:rPr>
          <w:sz w:val="24"/>
        </w:rPr>
      </w:pPr>
      <w:r>
        <w:rPr>
          <w:sz w:val="24"/>
        </w:rPr>
        <w:t>a remote scheduled </w:t>
      </w:r>
      <w:r>
        <w:rPr>
          <w:i/>
          <w:sz w:val="24"/>
        </w:rPr>
        <w:t>meter </w:t>
      </w:r>
      <w:r>
        <w:rPr>
          <w:sz w:val="24"/>
        </w:rPr>
        <w:t>reading service and the </w:t>
      </w:r>
      <w:r>
        <w:rPr>
          <w:i/>
          <w:sz w:val="24"/>
        </w:rPr>
        <w:t>metering data </w:t>
      </w:r>
      <w:r>
        <w:rPr>
          <w:sz w:val="24"/>
        </w:rPr>
        <w:t>in connection with that service – to </w:t>
      </w:r>
      <w:r>
        <w:rPr>
          <w:i/>
          <w:sz w:val="24"/>
        </w:rPr>
        <w:t>Registered Participants </w:t>
      </w:r>
      <w:r>
        <w:rPr>
          <w:sz w:val="24"/>
        </w:rPr>
        <w:t>with a financial interest in the </w:t>
      </w:r>
      <w:r>
        <w:rPr>
          <w:i/>
          <w:sz w:val="24"/>
        </w:rPr>
        <w:t>metering installation </w:t>
      </w:r>
      <w:r>
        <w:rPr>
          <w:sz w:val="24"/>
        </w:rPr>
        <w:t>or the </w:t>
      </w:r>
      <w:r>
        <w:rPr>
          <w:i/>
          <w:sz w:val="24"/>
        </w:rPr>
        <w:t>energy </w:t>
      </w:r>
      <w:r>
        <w:rPr>
          <w:sz w:val="24"/>
        </w:rPr>
        <w:t>measured by that </w:t>
      </w:r>
      <w:r>
        <w:rPr>
          <w:i/>
          <w:sz w:val="24"/>
        </w:rPr>
        <w:t>metering installation </w:t>
      </w:r>
      <w:r>
        <w:rPr>
          <w:sz w:val="24"/>
        </w:rPr>
        <w:t>and a person to whom a </w:t>
      </w:r>
      <w:r>
        <w:rPr>
          <w:i/>
          <w:sz w:val="24"/>
        </w:rPr>
        <w:t>retail customer </w:t>
      </w:r>
      <w:r>
        <w:rPr>
          <w:sz w:val="24"/>
        </w:rPr>
        <w:t>has given its consent under subparagraph</w:t>
      </w:r>
      <w:r>
        <w:rPr>
          <w:spacing w:val="-15"/>
          <w:sz w:val="24"/>
        </w:rPr>
        <w:t> </w:t>
      </w:r>
      <w:r>
        <w:rPr>
          <w:sz w:val="24"/>
        </w:rPr>
        <w:t>(3)(ii);</w:t>
      </w:r>
    </w:p>
    <w:p>
      <w:pPr>
        <w:pStyle w:val="ListParagraph"/>
        <w:numPr>
          <w:ilvl w:val="2"/>
          <w:numId w:val="519"/>
        </w:numPr>
        <w:tabs>
          <w:tab w:pos="1919" w:val="left" w:leader="none"/>
        </w:tabs>
        <w:spacing w:line="240" w:lineRule="auto" w:before="120" w:after="0"/>
        <w:ind w:left="1919" w:right="415" w:hanging="567"/>
        <w:jc w:val="both"/>
        <w:rPr>
          <w:sz w:val="24"/>
        </w:rPr>
      </w:pPr>
      <w:r>
        <w:rPr>
          <w:sz w:val="24"/>
        </w:rPr>
        <w:t>a </w:t>
      </w:r>
      <w:r>
        <w:rPr>
          <w:i/>
          <w:sz w:val="24"/>
        </w:rPr>
        <w:t>metering installation </w:t>
      </w:r>
      <w:r>
        <w:rPr>
          <w:sz w:val="24"/>
        </w:rPr>
        <w:t>inquiry service and the </w:t>
      </w:r>
      <w:r>
        <w:rPr>
          <w:i/>
          <w:sz w:val="24"/>
        </w:rPr>
        <w:t>metering data </w:t>
      </w:r>
      <w:r>
        <w:rPr>
          <w:sz w:val="24"/>
        </w:rPr>
        <w:t>in connection with that service – to the </w:t>
      </w:r>
      <w:r>
        <w:rPr>
          <w:i/>
          <w:sz w:val="24"/>
        </w:rPr>
        <w:t>Local Network Service Provider</w:t>
      </w:r>
      <w:r>
        <w:rPr>
          <w:sz w:val="24"/>
        </w:rPr>
        <w:t>, the financially responsible participant and a person to whom a </w:t>
      </w:r>
      <w:r>
        <w:rPr>
          <w:i/>
          <w:sz w:val="24"/>
        </w:rPr>
        <w:t>retail customer </w:t>
      </w:r>
      <w:r>
        <w:rPr>
          <w:sz w:val="24"/>
        </w:rPr>
        <w:t>has given its consent under subparagraph (3)(ii);</w:t>
      </w:r>
      <w:r>
        <w:rPr>
          <w:spacing w:val="-2"/>
          <w:sz w:val="24"/>
        </w:rPr>
        <w:t> </w:t>
      </w:r>
      <w:r>
        <w:rPr>
          <w:sz w:val="24"/>
        </w:rPr>
        <w:t>and</w:t>
      </w:r>
    </w:p>
    <w:p>
      <w:pPr>
        <w:pStyle w:val="ListParagraph"/>
        <w:numPr>
          <w:ilvl w:val="2"/>
          <w:numId w:val="519"/>
        </w:numPr>
        <w:tabs>
          <w:tab w:pos="3053" w:val="left" w:leader="none"/>
        </w:tabs>
        <w:spacing w:line="240" w:lineRule="auto" w:before="120" w:after="0"/>
        <w:ind w:left="3053" w:right="416" w:hanging="567"/>
        <w:jc w:val="both"/>
        <w:rPr>
          <w:sz w:val="24"/>
        </w:rPr>
      </w:pPr>
      <w:r>
        <w:rPr>
          <w:sz w:val="24"/>
        </w:rPr>
        <w:t>an advanced </w:t>
      </w:r>
      <w:r>
        <w:rPr>
          <w:i/>
          <w:sz w:val="24"/>
        </w:rPr>
        <w:t>meter </w:t>
      </w:r>
      <w:r>
        <w:rPr>
          <w:sz w:val="24"/>
        </w:rPr>
        <w:t>reconfiguration service and the  </w:t>
      </w:r>
      <w:r>
        <w:rPr>
          <w:i/>
          <w:sz w:val="24"/>
        </w:rPr>
        <w:t>metering </w:t>
      </w:r>
      <w:r>
        <w:rPr>
          <w:i/>
          <w:sz w:val="24"/>
        </w:rPr>
        <w:t>data </w:t>
      </w:r>
      <w:r>
        <w:rPr>
          <w:sz w:val="24"/>
        </w:rPr>
        <w:t>in connection with that service – to the </w:t>
      </w:r>
      <w:r>
        <w:rPr>
          <w:i/>
          <w:sz w:val="24"/>
        </w:rPr>
        <w:t>Local Network </w:t>
      </w:r>
      <w:r>
        <w:rPr>
          <w:i/>
          <w:sz w:val="24"/>
        </w:rPr>
        <w:t>Service Provider </w:t>
      </w:r>
      <w:r>
        <w:rPr>
          <w:sz w:val="24"/>
        </w:rPr>
        <w:t>and the financially responsible</w:t>
      </w:r>
      <w:r>
        <w:rPr>
          <w:spacing w:val="-4"/>
          <w:sz w:val="24"/>
        </w:rPr>
        <w:t> </w:t>
      </w:r>
      <w:r>
        <w:rPr>
          <w:sz w:val="24"/>
        </w:rPr>
        <w:t>participant;</w:t>
      </w:r>
    </w:p>
    <w:p>
      <w:pPr>
        <w:pStyle w:val="ListParagraph"/>
        <w:numPr>
          <w:ilvl w:val="1"/>
          <w:numId w:val="519"/>
        </w:numPr>
        <w:tabs>
          <w:tab w:pos="2486" w:val="left" w:leader="none"/>
        </w:tabs>
        <w:spacing w:line="240" w:lineRule="auto" w:before="120" w:after="0"/>
        <w:ind w:left="2486" w:right="415" w:hanging="567"/>
        <w:jc w:val="both"/>
        <w:rPr>
          <w:sz w:val="24"/>
        </w:rPr>
      </w:pPr>
      <w:r>
        <w:rPr>
          <w:sz w:val="24"/>
        </w:rPr>
        <w:t>to a person who is permitted to have access to it under the </w:t>
      </w:r>
      <w:r>
        <w:rPr>
          <w:i/>
          <w:sz w:val="24"/>
        </w:rPr>
        <w:t>Rules </w:t>
      </w:r>
      <w:r>
        <w:rPr>
          <w:sz w:val="24"/>
        </w:rPr>
        <w:t>and for a purpose that is permitted under the </w:t>
      </w:r>
      <w:r>
        <w:rPr>
          <w:i/>
          <w:sz w:val="24"/>
        </w:rPr>
        <w:t>Rules</w:t>
      </w:r>
      <w:r>
        <w:rPr>
          <w:sz w:val="24"/>
        </w:rPr>
        <w:t>;</w:t>
      </w:r>
      <w:r>
        <w:rPr>
          <w:spacing w:val="-2"/>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519"/>
        </w:numPr>
        <w:tabs>
          <w:tab w:pos="2486" w:val="left" w:leader="none"/>
        </w:tabs>
        <w:spacing w:line="240" w:lineRule="auto" w:before="83" w:after="0"/>
        <w:ind w:left="2485" w:right="0" w:hanging="567"/>
        <w:jc w:val="both"/>
        <w:rPr>
          <w:sz w:val="24"/>
        </w:rPr>
      </w:pPr>
      <w:r>
        <w:rPr>
          <w:sz w:val="24"/>
        </w:rPr>
        <w:t>except as otherwise specified in subparagraph (1) or</w:t>
      </w:r>
      <w:r>
        <w:rPr>
          <w:spacing w:val="-4"/>
          <w:sz w:val="24"/>
        </w:rPr>
        <w:t> </w:t>
      </w:r>
      <w:r>
        <w:rPr>
          <w:sz w:val="24"/>
        </w:rPr>
        <w:t>(2):</w:t>
      </w:r>
    </w:p>
    <w:p>
      <w:pPr>
        <w:pStyle w:val="ListParagraph"/>
        <w:numPr>
          <w:ilvl w:val="2"/>
          <w:numId w:val="519"/>
        </w:numPr>
        <w:tabs>
          <w:tab w:pos="3053" w:val="left" w:leader="none"/>
        </w:tabs>
        <w:spacing w:line="240" w:lineRule="auto" w:before="120" w:after="0"/>
        <w:ind w:left="3053" w:right="415" w:hanging="567"/>
        <w:jc w:val="both"/>
        <w:rPr>
          <w:sz w:val="24"/>
        </w:rPr>
      </w:pPr>
      <w:r>
        <w:rPr>
          <w:sz w:val="24"/>
        </w:rPr>
        <w:t>to the </w:t>
      </w:r>
      <w:r>
        <w:rPr>
          <w:i/>
          <w:sz w:val="24"/>
        </w:rPr>
        <w:t>Local Network Service Provider</w:t>
      </w:r>
      <w:r>
        <w:rPr>
          <w:sz w:val="24"/>
        </w:rPr>
        <w:t>, but only to the extent that, in the </w:t>
      </w:r>
      <w:r>
        <w:rPr>
          <w:i/>
          <w:sz w:val="24"/>
        </w:rPr>
        <w:t>Metering Coordinator's </w:t>
      </w:r>
      <w:r>
        <w:rPr>
          <w:sz w:val="24"/>
        </w:rPr>
        <w:t>reasonable opinion, </w:t>
      </w:r>
      <w:r>
        <w:rPr>
          <w:spacing w:val="-4"/>
          <w:sz w:val="24"/>
        </w:rPr>
        <w:t>the</w:t>
      </w:r>
      <w:r>
        <w:rPr>
          <w:spacing w:val="52"/>
          <w:sz w:val="24"/>
        </w:rPr>
        <w:t> </w:t>
      </w:r>
      <w:r>
        <w:rPr>
          <w:sz w:val="24"/>
        </w:rPr>
        <w:t>access is reasonably required by the </w:t>
      </w:r>
      <w:r>
        <w:rPr>
          <w:i/>
          <w:sz w:val="24"/>
        </w:rPr>
        <w:t>Local Network Service </w:t>
      </w:r>
      <w:r>
        <w:rPr>
          <w:i/>
          <w:sz w:val="24"/>
        </w:rPr>
        <w:t>Provider </w:t>
      </w:r>
      <w:r>
        <w:rPr>
          <w:sz w:val="24"/>
        </w:rPr>
        <w:t>to enable it to meet its obligations to provide a safe, reliable and secure </w:t>
      </w:r>
      <w:r>
        <w:rPr>
          <w:i/>
          <w:sz w:val="24"/>
        </w:rPr>
        <w:t>network</w:t>
      </w:r>
      <w:r>
        <w:rPr>
          <w:sz w:val="24"/>
        </w:rPr>
        <w:t>;</w:t>
      </w:r>
      <w:r>
        <w:rPr>
          <w:spacing w:val="-2"/>
          <w:sz w:val="24"/>
        </w:rPr>
        <w:t> </w:t>
      </w:r>
      <w:r>
        <w:rPr>
          <w:sz w:val="24"/>
        </w:rPr>
        <w:t>or</w:t>
      </w:r>
    </w:p>
    <w:p>
      <w:pPr>
        <w:pStyle w:val="ListParagraph"/>
        <w:numPr>
          <w:ilvl w:val="2"/>
          <w:numId w:val="519"/>
        </w:numPr>
        <w:tabs>
          <w:tab w:pos="3054" w:val="left" w:leader="none"/>
        </w:tabs>
        <w:spacing w:line="240" w:lineRule="auto" w:before="120" w:after="0"/>
        <w:ind w:left="3053" w:right="415" w:hanging="567"/>
        <w:jc w:val="both"/>
        <w:rPr>
          <w:sz w:val="24"/>
        </w:rPr>
      </w:pPr>
      <w:r>
        <w:rPr>
          <w:sz w:val="24"/>
        </w:rPr>
        <w:t>to a person and for a purpose to which the </w:t>
      </w:r>
      <w:r>
        <w:rPr>
          <w:i/>
          <w:sz w:val="24"/>
        </w:rPr>
        <w:t>retail customer </w:t>
      </w:r>
      <w:r>
        <w:rPr>
          <w:sz w:val="24"/>
        </w:rPr>
        <w:t>has given prior</w:t>
      </w:r>
      <w:r>
        <w:rPr>
          <w:spacing w:val="-1"/>
          <w:sz w:val="24"/>
        </w:rPr>
        <w:t> </w:t>
      </w:r>
      <w:r>
        <w:rPr>
          <w:sz w:val="24"/>
        </w:rPr>
        <w:t>consent;</w:t>
      </w:r>
    </w:p>
    <w:p>
      <w:pPr>
        <w:pStyle w:val="ListParagraph"/>
        <w:numPr>
          <w:ilvl w:val="0"/>
          <w:numId w:val="519"/>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the services provided by the </w:t>
      </w:r>
      <w:r>
        <w:rPr>
          <w:i/>
          <w:sz w:val="24"/>
        </w:rPr>
        <w:t>metering installation </w:t>
      </w:r>
      <w:r>
        <w:rPr>
          <w:sz w:val="24"/>
        </w:rPr>
        <w:t>are protected from local access and remote access by suitable password and security controls in accordance with paragraph</w:t>
      </w:r>
      <w:r>
        <w:rPr>
          <w:spacing w:val="-13"/>
          <w:sz w:val="24"/>
        </w:rPr>
        <w:t> </w:t>
      </w:r>
      <w:r>
        <w:rPr>
          <w:sz w:val="24"/>
        </w:rPr>
        <w:t>(e);</w:t>
      </w:r>
    </w:p>
    <w:p>
      <w:pPr>
        <w:pStyle w:val="ListParagraph"/>
        <w:numPr>
          <w:ilvl w:val="0"/>
          <w:numId w:val="519"/>
        </w:numPr>
        <w:tabs>
          <w:tab w:pos="1919" w:val="left" w:leader="none"/>
        </w:tabs>
        <w:spacing w:line="240" w:lineRule="auto" w:before="120" w:after="0"/>
        <w:ind w:left="1918" w:right="0" w:hanging="567"/>
        <w:jc w:val="both"/>
        <w:rPr>
          <w:sz w:val="24"/>
        </w:rPr>
      </w:pPr>
      <w:r>
        <w:rPr>
          <w:sz w:val="24"/>
        </w:rPr>
        <w:t>the </w:t>
      </w:r>
      <w:r>
        <w:rPr>
          <w:i/>
          <w:sz w:val="24"/>
        </w:rPr>
        <w:t>Metering Provider </w:t>
      </w:r>
      <w:r>
        <w:rPr>
          <w:sz w:val="24"/>
        </w:rPr>
        <w:t>must keep records of passwords secure;</w:t>
      </w:r>
      <w:r>
        <w:rPr>
          <w:spacing w:val="-3"/>
          <w:sz w:val="24"/>
        </w:rPr>
        <w:t> </w:t>
      </w:r>
      <w:r>
        <w:rPr>
          <w:sz w:val="24"/>
        </w:rPr>
        <w:t>and</w:t>
      </w:r>
    </w:p>
    <w:p>
      <w:pPr>
        <w:pStyle w:val="ListParagraph"/>
        <w:numPr>
          <w:ilvl w:val="0"/>
          <w:numId w:val="519"/>
        </w:numPr>
        <w:tabs>
          <w:tab w:pos="1919" w:val="left" w:leader="none"/>
        </w:tabs>
        <w:spacing w:line="240" w:lineRule="auto" w:before="120" w:after="0"/>
        <w:ind w:left="1918" w:right="0" w:hanging="567"/>
        <w:jc w:val="both"/>
        <w:rPr>
          <w:sz w:val="24"/>
        </w:rPr>
      </w:pPr>
      <w:r>
        <w:rPr>
          <w:sz w:val="24"/>
        </w:rPr>
        <w:t>the </w:t>
      </w:r>
      <w:r>
        <w:rPr>
          <w:i/>
          <w:sz w:val="24"/>
        </w:rPr>
        <w:t>Metering Provider</w:t>
      </w:r>
      <w:r>
        <w:rPr>
          <w:i/>
          <w:spacing w:val="-1"/>
          <w:sz w:val="24"/>
        </w:rPr>
        <w:t> </w:t>
      </w:r>
      <w:r>
        <w:rPr>
          <w:sz w:val="24"/>
        </w:rPr>
        <w:t>must:</w:t>
      </w:r>
    </w:p>
    <w:p>
      <w:pPr>
        <w:pStyle w:val="ListParagraph"/>
        <w:numPr>
          <w:ilvl w:val="1"/>
          <w:numId w:val="519"/>
        </w:numPr>
        <w:tabs>
          <w:tab w:pos="2486" w:val="left" w:leader="none"/>
        </w:tabs>
        <w:spacing w:line="240" w:lineRule="auto" w:before="120" w:after="0"/>
        <w:ind w:left="2486" w:right="414" w:hanging="567"/>
        <w:jc w:val="both"/>
        <w:rPr>
          <w:sz w:val="24"/>
        </w:rPr>
      </w:pPr>
      <w:r>
        <w:rPr>
          <w:sz w:val="24"/>
        </w:rPr>
        <w:t>forward a copy of a password allowing local access and a copy of a password allowing remote access to the </w:t>
      </w:r>
      <w:r>
        <w:rPr>
          <w:i/>
          <w:sz w:val="24"/>
        </w:rPr>
        <w:t>metering installation</w:t>
      </w:r>
      <w:r>
        <w:rPr>
          <w:sz w:val="24"/>
        </w:rPr>
        <w:t>, services provided by the </w:t>
      </w:r>
      <w:r>
        <w:rPr>
          <w:i/>
          <w:sz w:val="24"/>
        </w:rPr>
        <w:t>metering installation </w:t>
      </w:r>
      <w:r>
        <w:rPr>
          <w:sz w:val="24"/>
        </w:rPr>
        <w:t>and </w:t>
      </w:r>
      <w:r>
        <w:rPr>
          <w:i/>
          <w:sz w:val="24"/>
        </w:rPr>
        <w:t>energy data </w:t>
      </w:r>
      <w:r>
        <w:rPr>
          <w:sz w:val="24"/>
        </w:rPr>
        <w:t>held in the </w:t>
      </w:r>
      <w:r>
        <w:rPr>
          <w:i/>
          <w:sz w:val="24"/>
        </w:rPr>
        <w:t>metering installation</w:t>
      </w:r>
      <w:r>
        <w:rPr>
          <w:sz w:val="24"/>
        </w:rPr>
        <w:t>, to the </w:t>
      </w:r>
      <w:r>
        <w:rPr>
          <w:i/>
          <w:sz w:val="24"/>
        </w:rPr>
        <w:t>Metering Coordinator</w:t>
      </w:r>
      <w:r>
        <w:rPr>
          <w:sz w:val="24"/>
        </w:rPr>
        <w:t>, </w:t>
      </w:r>
      <w:r>
        <w:rPr>
          <w:i/>
          <w:sz w:val="24"/>
        </w:rPr>
        <w:t>Metering Data </w:t>
      </w:r>
      <w:r>
        <w:rPr>
          <w:i/>
          <w:sz w:val="24"/>
        </w:rPr>
        <w:t>Provider </w:t>
      </w:r>
      <w:r>
        <w:rPr>
          <w:sz w:val="24"/>
        </w:rPr>
        <w:t>and </w:t>
      </w:r>
      <w:r>
        <w:rPr>
          <w:i/>
          <w:sz w:val="24"/>
        </w:rPr>
        <w:t>NTESMO</w:t>
      </w:r>
      <w:r>
        <w:rPr>
          <w:sz w:val="24"/>
        </w:rPr>
        <w:t>;</w:t>
      </w:r>
      <w:r>
        <w:rPr>
          <w:spacing w:val="-1"/>
          <w:sz w:val="24"/>
        </w:rPr>
        <w:t> </w:t>
      </w:r>
      <w:r>
        <w:rPr>
          <w:sz w:val="24"/>
        </w:rPr>
        <w:t>and</w:t>
      </w:r>
    </w:p>
    <w:p>
      <w:pPr>
        <w:pStyle w:val="ListParagraph"/>
        <w:numPr>
          <w:ilvl w:val="1"/>
          <w:numId w:val="519"/>
        </w:numPr>
        <w:tabs>
          <w:tab w:pos="2486" w:val="left" w:leader="none"/>
        </w:tabs>
        <w:spacing w:line="240" w:lineRule="auto" w:before="120" w:after="0"/>
        <w:ind w:left="2486" w:right="413" w:hanging="567"/>
        <w:jc w:val="both"/>
        <w:rPr>
          <w:sz w:val="24"/>
        </w:rPr>
      </w:pPr>
      <w:r>
        <w:rPr>
          <w:sz w:val="24"/>
        </w:rPr>
        <w:t>ensure that no other person receives or has access to a copy of a password allowing local access or remote access to the </w:t>
      </w:r>
      <w:r>
        <w:rPr>
          <w:i/>
          <w:sz w:val="24"/>
        </w:rPr>
        <w:t>metering </w:t>
      </w:r>
      <w:r>
        <w:rPr>
          <w:i/>
          <w:sz w:val="24"/>
        </w:rPr>
        <w:t>installation</w:t>
      </w:r>
      <w:r>
        <w:rPr>
          <w:sz w:val="24"/>
        </w:rPr>
        <w:t>, services provided by the </w:t>
      </w:r>
      <w:r>
        <w:rPr>
          <w:i/>
          <w:sz w:val="24"/>
        </w:rPr>
        <w:t>metering installation </w:t>
      </w:r>
      <w:r>
        <w:rPr>
          <w:sz w:val="24"/>
        </w:rPr>
        <w:t>or </w:t>
      </w:r>
      <w:r>
        <w:rPr>
          <w:i/>
          <w:sz w:val="24"/>
        </w:rPr>
        <w:t>energy </w:t>
      </w:r>
      <w:r>
        <w:rPr>
          <w:i/>
          <w:sz w:val="24"/>
        </w:rPr>
        <w:t>data </w:t>
      </w:r>
      <w:r>
        <w:rPr>
          <w:sz w:val="24"/>
        </w:rPr>
        <w:t>held in the </w:t>
      </w:r>
      <w:r>
        <w:rPr>
          <w:i/>
          <w:sz w:val="24"/>
        </w:rPr>
        <w:t>metering</w:t>
      </w:r>
      <w:r>
        <w:rPr>
          <w:i/>
          <w:spacing w:val="-2"/>
          <w:sz w:val="24"/>
        </w:rPr>
        <w:t> </w:t>
      </w:r>
      <w:r>
        <w:rPr>
          <w:i/>
          <w:sz w:val="24"/>
        </w:rPr>
        <w:t>installation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provision is classified as a civil penalty provision under the National Electricity (NT) Regulations. (See regulation 6(1) and Schedule 1 of the National Electricity (NT) Regulations.)</w:t>
      </w:r>
    </w:p>
    <w:p>
      <w:pPr>
        <w:pStyle w:val="BodyText"/>
        <w:spacing w:before="10"/>
        <w:ind w:firstLine="0"/>
        <w:jc w:val="left"/>
        <w:rPr>
          <w:sz w:val="20"/>
        </w:rPr>
      </w:pPr>
    </w:p>
    <w:p>
      <w:pPr>
        <w:pStyle w:val="Heading4"/>
        <w:tabs>
          <w:tab w:pos="1351" w:val="left" w:leader="none"/>
        </w:tabs>
        <w:ind w:left="218" w:firstLine="0"/>
      </w:pPr>
      <w:bookmarkStart w:name="7A.13.5 Access to data" w:id="1841"/>
      <w:bookmarkEnd w:id="1841"/>
      <w:r>
        <w:rPr>
          <w:b w:val="0"/>
        </w:rPr>
      </w:r>
      <w:bookmarkStart w:name="_bookmark746" w:id="1842"/>
      <w:bookmarkEnd w:id="1842"/>
      <w:r>
        <w:rPr>
          <w:b w:val="0"/>
        </w:rPr>
      </w:r>
      <w:r>
        <w:rPr/>
        <w:t>7A.13.5</w:t>
        <w:tab/>
        <w:t>Access to</w:t>
      </w:r>
      <w:r>
        <w:rPr>
          <w:spacing w:val="-3"/>
        </w:rPr>
        <w:t> </w:t>
      </w:r>
      <w:r>
        <w:rPr/>
        <w:t>data</w:t>
      </w:r>
    </w:p>
    <w:p>
      <w:pPr>
        <w:pStyle w:val="ListParagraph"/>
        <w:numPr>
          <w:ilvl w:val="0"/>
          <w:numId w:val="520"/>
        </w:numPr>
        <w:tabs>
          <w:tab w:pos="1919" w:val="left" w:leader="none"/>
        </w:tabs>
        <w:spacing w:line="240" w:lineRule="auto" w:before="120" w:after="0"/>
        <w:ind w:left="1919" w:right="415" w:hanging="567"/>
        <w:jc w:val="both"/>
        <w:rPr>
          <w:sz w:val="24"/>
        </w:rPr>
      </w:pPr>
      <w:r>
        <w:rPr>
          <w:sz w:val="24"/>
        </w:rPr>
        <w:t>Access to </w:t>
      </w:r>
      <w:r>
        <w:rPr>
          <w:i/>
          <w:sz w:val="24"/>
        </w:rPr>
        <w:t>energy data </w:t>
      </w:r>
      <w:r>
        <w:rPr>
          <w:sz w:val="24"/>
        </w:rPr>
        <w:t>recorded by a </w:t>
      </w:r>
      <w:r>
        <w:rPr>
          <w:i/>
          <w:sz w:val="24"/>
        </w:rPr>
        <w:t>metering installation </w:t>
      </w:r>
      <w:r>
        <w:rPr>
          <w:sz w:val="24"/>
        </w:rPr>
        <w:t>must only be given if passwords are allocated in accordance with clause</w:t>
      </w:r>
      <w:r>
        <w:rPr>
          <w:spacing w:val="-6"/>
          <w:sz w:val="24"/>
        </w:rPr>
        <w:t> </w:t>
      </w:r>
      <w:r>
        <w:rPr>
          <w:sz w:val="24"/>
        </w:rPr>
        <w:t>7A.13.3.</w:t>
      </w:r>
    </w:p>
    <w:p>
      <w:pPr>
        <w:pStyle w:val="ListParagraph"/>
        <w:numPr>
          <w:ilvl w:val="0"/>
          <w:numId w:val="520"/>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access to </w:t>
      </w:r>
      <w:r>
        <w:rPr>
          <w:i/>
          <w:sz w:val="24"/>
        </w:rPr>
        <w:t>energy data </w:t>
      </w:r>
      <w:r>
        <w:rPr>
          <w:sz w:val="24"/>
        </w:rPr>
        <w:t>from the </w:t>
      </w:r>
      <w:r>
        <w:rPr>
          <w:i/>
          <w:sz w:val="24"/>
        </w:rPr>
        <w:t>metering installation </w:t>
      </w:r>
      <w:r>
        <w:rPr>
          <w:sz w:val="24"/>
        </w:rPr>
        <w:t>is scheduled appropriately to ensure that congestion does not occur.</w:t>
      </w:r>
    </w:p>
    <w:p>
      <w:pPr>
        <w:pStyle w:val="ListParagraph"/>
        <w:numPr>
          <w:ilvl w:val="0"/>
          <w:numId w:val="520"/>
        </w:numPr>
        <w:tabs>
          <w:tab w:pos="1919" w:val="left" w:leader="none"/>
        </w:tabs>
        <w:spacing w:line="240" w:lineRule="auto" w:before="120" w:after="0"/>
        <w:ind w:left="1919" w:right="415" w:hanging="567"/>
        <w:jc w:val="both"/>
        <w:rPr>
          <w:sz w:val="24"/>
        </w:rPr>
      </w:pPr>
      <w:r>
        <w:rPr>
          <w:sz w:val="24"/>
        </w:rPr>
        <w:t>Subject to this clause, the only persons entitled to access or receive </w:t>
      </w:r>
      <w:r>
        <w:rPr>
          <w:i/>
          <w:sz w:val="24"/>
        </w:rPr>
        <w:t>metering </w:t>
      </w:r>
      <w:r>
        <w:rPr>
          <w:i/>
          <w:sz w:val="24"/>
        </w:rPr>
        <w:t>data</w:t>
      </w:r>
      <w:r>
        <w:rPr>
          <w:sz w:val="24"/>
        </w:rPr>
        <w:t>, </w:t>
      </w:r>
      <w:r>
        <w:rPr>
          <w:i/>
          <w:sz w:val="24"/>
        </w:rPr>
        <w:t>settlements ready data</w:t>
      </w:r>
      <w:r>
        <w:rPr>
          <w:sz w:val="24"/>
        </w:rPr>
        <w:t>, </w:t>
      </w:r>
      <w:r>
        <w:rPr>
          <w:i/>
          <w:sz w:val="24"/>
        </w:rPr>
        <w:t>NT NMI data </w:t>
      </w:r>
      <w:r>
        <w:rPr>
          <w:sz w:val="24"/>
        </w:rPr>
        <w:t>or data from the </w:t>
      </w:r>
      <w:r>
        <w:rPr>
          <w:i/>
          <w:sz w:val="24"/>
        </w:rPr>
        <w:t>metering </w:t>
      </w:r>
      <w:r>
        <w:rPr>
          <w:i/>
          <w:sz w:val="24"/>
        </w:rPr>
        <w:t>register </w:t>
      </w:r>
      <w:r>
        <w:rPr>
          <w:sz w:val="24"/>
        </w:rPr>
        <w:t>for a </w:t>
      </w:r>
      <w:r>
        <w:rPr>
          <w:i/>
          <w:sz w:val="24"/>
        </w:rPr>
        <w:t>metering installation</w:t>
      </w:r>
      <w:r>
        <w:rPr>
          <w:i/>
          <w:spacing w:val="-2"/>
          <w:sz w:val="24"/>
        </w:rPr>
        <w:t> </w:t>
      </w:r>
      <w:r>
        <w:rPr>
          <w:sz w:val="24"/>
        </w:rPr>
        <w:t>are:</w:t>
      </w:r>
    </w:p>
    <w:p>
      <w:pPr>
        <w:pStyle w:val="ListParagraph"/>
        <w:numPr>
          <w:ilvl w:val="1"/>
          <w:numId w:val="520"/>
        </w:numPr>
        <w:tabs>
          <w:tab w:pos="2486" w:val="left" w:leader="none"/>
        </w:tabs>
        <w:spacing w:line="240" w:lineRule="auto" w:before="120" w:after="0"/>
        <w:ind w:left="2486" w:right="415" w:hanging="567"/>
        <w:jc w:val="both"/>
        <w:rPr>
          <w:sz w:val="24"/>
        </w:rPr>
      </w:pPr>
      <w:r>
        <w:rPr>
          <w:sz w:val="24"/>
        </w:rPr>
        <w:t>the financially responsible participant in respect of the</w:t>
      </w:r>
      <w:r>
        <w:rPr>
          <w:spacing w:val="45"/>
          <w:sz w:val="24"/>
        </w:rPr>
        <w:t> </w:t>
      </w:r>
      <w:r>
        <w:rPr>
          <w:i/>
          <w:sz w:val="24"/>
        </w:rPr>
        <w:t>connection </w:t>
      </w:r>
      <w:r>
        <w:rPr>
          <w:i/>
          <w:sz w:val="24"/>
        </w:rPr>
        <w:t>point </w:t>
      </w:r>
      <w:r>
        <w:rPr>
          <w:sz w:val="24"/>
        </w:rPr>
        <w:t>for the </w:t>
      </w:r>
      <w:r>
        <w:rPr>
          <w:i/>
          <w:sz w:val="24"/>
        </w:rPr>
        <w:t>metering installation </w:t>
      </w:r>
      <w:r>
        <w:rPr>
          <w:sz w:val="24"/>
        </w:rPr>
        <w:t>and any other </w:t>
      </w:r>
      <w:r>
        <w:rPr>
          <w:i/>
          <w:sz w:val="24"/>
        </w:rPr>
        <w:t>Registered </w:t>
      </w:r>
      <w:r>
        <w:rPr>
          <w:i/>
          <w:sz w:val="24"/>
        </w:rPr>
        <w:t>Participant </w:t>
      </w:r>
      <w:r>
        <w:rPr>
          <w:sz w:val="24"/>
        </w:rPr>
        <w:t>with a financial interest in the </w:t>
      </w:r>
      <w:r>
        <w:rPr>
          <w:i/>
          <w:sz w:val="24"/>
        </w:rPr>
        <w:t>metering installation </w:t>
      </w:r>
      <w:r>
        <w:rPr>
          <w:sz w:val="24"/>
        </w:rPr>
        <w:t>or the </w:t>
      </w:r>
      <w:r>
        <w:rPr>
          <w:i/>
          <w:sz w:val="24"/>
        </w:rPr>
        <w:t>energy </w:t>
      </w:r>
      <w:r>
        <w:rPr>
          <w:sz w:val="24"/>
        </w:rPr>
        <w:t>measured by the </w:t>
      </w:r>
      <w:r>
        <w:rPr>
          <w:i/>
          <w:sz w:val="24"/>
        </w:rPr>
        <w:t>metering</w:t>
      </w:r>
      <w:r>
        <w:rPr>
          <w:i/>
          <w:spacing w:val="-3"/>
          <w:sz w:val="24"/>
        </w:rPr>
        <w:t> </w:t>
      </w:r>
      <w:r>
        <w:rPr>
          <w:i/>
          <w:sz w:val="24"/>
        </w:rPr>
        <w:t>installation</w:t>
      </w:r>
      <w:r>
        <w:rPr>
          <w:sz w:val="24"/>
        </w:rPr>
        <w:t>;</w:t>
      </w:r>
    </w:p>
    <w:p>
      <w:pPr>
        <w:pStyle w:val="ListParagraph"/>
        <w:numPr>
          <w:ilvl w:val="1"/>
          <w:numId w:val="520"/>
        </w:numPr>
        <w:tabs>
          <w:tab w:pos="2486" w:val="left" w:leader="none"/>
        </w:tabs>
        <w:spacing w:line="240" w:lineRule="auto" w:before="120" w:after="0"/>
        <w:ind w:left="2485" w:right="0" w:hanging="567"/>
        <w:jc w:val="both"/>
        <w:rPr>
          <w:i/>
          <w:sz w:val="24"/>
        </w:rPr>
      </w:pPr>
      <w:r>
        <w:rPr>
          <w:sz w:val="24"/>
        </w:rPr>
        <w:t>the </w:t>
      </w:r>
      <w:r>
        <w:rPr>
          <w:i/>
          <w:sz w:val="24"/>
        </w:rPr>
        <w:t>Metering Coordinator </w:t>
      </w:r>
      <w:r>
        <w:rPr>
          <w:sz w:val="24"/>
        </w:rPr>
        <w:t>appointed in respect of the </w:t>
      </w:r>
      <w:r>
        <w:rPr>
          <w:i/>
          <w:sz w:val="24"/>
        </w:rPr>
        <w:t>connection</w:t>
      </w:r>
      <w:r>
        <w:rPr>
          <w:i/>
          <w:spacing w:val="33"/>
          <w:sz w:val="24"/>
        </w:rPr>
        <w:t> </w:t>
      </w:r>
      <w:r>
        <w:rPr>
          <w:i/>
          <w:sz w:val="24"/>
        </w:rPr>
        <w:t>point</w:t>
      </w:r>
    </w:p>
    <w:p>
      <w:pPr>
        <w:spacing w:before="0"/>
        <w:ind w:left="2486" w:right="0" w:firstLine="0"/>
        <w:jc w:val="both"/>
        <w:rPr>
          <w:sz w:val="24"/>
        </w:rPr>
      </w:pPr>
      <w:r>
        <w:rPr>
          <w:sz w:val="24"/>
        </w:rPr>
        <w:t>for the </w:t>
      </w:r>
      <w:r>
        <w:rPr>
          <w:i/>
          <w:sz w:val="24"/>
        </w:rPr>
        <w:t>metering installation</w:t>
      </w:r>
      <w:r>
        <w:rPr>
          <w:sz w:val="24"/>
        </w:rPr>
        <w:t>;</w:t>
      </w:r>
    </w:p>
    <w:p>
      <w:pPr>
        <w:pStyle w:val="ListParagraph"/>
        <w:numPr>
          <w:ilvl w:val="1"/>
          <w:numId w:val="520"/>
        </w:numPr>
        <w:tabs>
          <w:tab w:pos="2486" w:val="left" w:leader="none"/>
        </w:tabs>
        <w:spacing w:line="240" w:lineRule="auto" w:before="120" w:after="0"/>
        <w:ind w:left="2486" w:right="416" w:hanging="567"/>
        <w:jc w:val="both"/>
        <w:rPr>
          <w:sz w:val="24"/>
        </w:rPr>
      </w:pPr>
      <w:r>
        <w:rPr>
          <w:sz w:val="24"/>
        </w:rPr>
        <w:t>the </w:t>
      </w:r>
      <w:r>
        <w:rPr>
          <w:i/>
          <w:sz w:val="24"/>
        </w:rPr>
        <w:t>Metering Provider </w:t>
      </w:r>
      <w:r>
        <w:rPr>
          <w:sz w:val="24"/>
        </w:rPr>
        <w:t>appointed with respect to the </w:t>
      </w:r>
      <w:r>
        <w:rPr>
          <w:i/>
          <w:sz w:val="24"/>
        </w:rPr>
        <w:t>metering </w:t>
      </w:r>
      <w:r>
        <w:rPr>
          <w:i/>
          <w:sz w:val="24"/>
        </w:rPr>
        <w:t>installation</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520"/>
        </w:numPr>
        <w:tabs>
          <w:tab w:pos="2486" w:val="left" w:leader="none"/>
        </w:tabs>
        <w:spacing w:line="240" w:lineRule="auto" w:before="83" w:after="0"/>
        <w:ind w:left="2486" w:right="416" w:hanging="567"/>
        <w:jc w:val="both"/>
        <w:rPr>
          <w:sz w:val="24"/>
        </w:rPr>
      </w:pPr>
      <w:r>
        <w:rPr>
          <w:sz w:val="24"/>
        </w:rPr>
        <w:t>the </w:t>
      </w:r>
      <w:r>
        <w:rPr>
          <w:i/>
          <w:sz w:val="24"/>
        </w:rPr>
        <w:t>Metering Data Provider </w:t>
      </w:r>
      <w:r>
        <w:rPr>
          <w:sz w:val="24"/>
        </w:rPr>
        <w:t>appointed with respect to the </w:t>
      </w:r>
      <w:r>
        <w:rPr>
          <w:i/>
          <w:sz w:val="24"/>
        </w:rPr>
        <w:t>metering </w:t>
      </w:r>
      <w:r>
        <w:rPr>
          <w:i/>
          <w:sz w:val="24"/>
        </w:rPr>
        <w:t>installation</w:t>
      </w:r>
      <w:r>
        <w:rPr>
          <w:sz w:val="24"/>
        </w:rPr>
        <w:t>;</w:t>
      </w:r>
    </w:p>
    <w:p>
      <w:pPr>
        <w:pStyle w:val="ListParagraph"/>
        <w:numPr>
          <w:ilvl w:val="1"/>
          <w:numId w:val="520"/>
        </w:numPr>
        <w:tabs>
          <w:tab w:pos="2486" w:val="left" w:leader="none"/>
        </w:tabs>
        <w:spacing w:line="240" w:lineRule="auto" w:before="120" w:after="0"/>
        <w:ind w:left="2485" w:right="0" w:hanging="567"/>
        <w:jc w:val="both"/>
        <w:rPr>
          <w:sz w:val="24"/>
        </w:rPr>
      </w:pPr>
      <w:r>
        <w:rPr>
          <w:i/>
          <w:sz w:val="24"/>
        </w:rPr>
        <w:t>NTESMO </w:t>
      </w:r>
      <w:r>
        <w:rPr>
          <w:sz w:val="24"/>
        </w:rPr>
        <w:t>and its authorised</w:t>
      </w:r>
      <w:r>
        <w:rPr>
          <w:spacing w:val="-2"/>
          <w:sz w:val="24"/>
        </w:rPr>
        <w:t> </w:t>
      </w:r>
      <w:r>
        <w:rPr>
          <w:sz w:val="24"/>
        </w:rPr>
        <w:t>agents;</w:t>
      </w:r>
    </w:p>
    <w:p>
      <w:pPr>
        <w:pStyle w:val="ListParagraph"/>
        <w:numPr>
          <w:ilvl w:val="1"/>
          <w:numId w:val="520"/>
        </w:numPr>
        <w:tabs>
          <w:tab w:pos="2486" w:val="left" w:leader="none"/>
        </w:tabs>
        <w:spacing w:line="240" w:lineRule="auto" w:before="120" w:after="0"/>
        <w:ind w:left="2486" w:right="416" w:hanging="567"/>
        <w:jc w:val="both"/>
        <w:rPr>
          <w:sz w:val="24"/>
        </w:rPr>
      </w:pPr>
      <w:r>
        <w:rPr>
          <w:sz w:val="24"/>
        </w:rPr>
        <w:t>the </w:t>
      </w:r>
      <w:r>
        <w:rPr>
          <w:i/>
          <w:sz w:val="24"/>
        </w:rPr>
        <w:t>Local Network Service Provider </w:t>
      </w:r>
      <w:r>
        <w:rPr>
          <w:sz w:val="24"/>
        </w:rPr>
        <w:t>associated with the </w:t>
      </w:r>
      <w:r>
        <w:rPr>
          <w:i/>
          <w:sz w:val="24"/>
        </w:rPr>
        <w:t>connection </w:t>
      </w:r>
      <w:r>
        <w:rPr>
          <w:i/>
          <w:sz w:val="24"/>
        </w:rPr>
        <w:t>point</w:t>
      </w:r>
      <w:r>
        <w:rPr>
          <w:sz w:val="24"/>
        </w:rPr>
        <w:t>;</w:t>
      </w:r>
      <w:r>
        <w:rPr>
          <w:spacing w:val="-1"/>
          <w:sz w:val="24"/>
        </w:rPr>
        <w:t> </w:t>
      </w:r>
      <w:r>
        <w:rPr>
          <w:sz w:val="24"/>
        </w:rPr>
        <w:t>and</w:t>
      </w:r>
    </w:p>
    <w:p>
      <w:pPr>
        <w:pStyle w:val="ListParagraph"/>
        <w:numPr>
          <w:ilvl w:val="1"/>
          <w:numId w:val="520"/>
        </w:numPr>
        <w:tabs>
          <w:tab w:pos="2486" w:val="left" w:leader="none"/>
        </w:tabs>
        <w:spacing w:line="240" w:lineRule="auto" w:before="120" w:after="0"/>
        <w:ind w:left="2485" w:right="0" w:hanging="567"/>
        <w:jc w:val="both"/>
        <w:rPr>
          <w:sz w:val="24"/>
        </w:rPr>
      </w:pPr>
      <w:r>
        <w:rPr>
          <w:sz w:val="24"/>
        </w:rPr>
        <w:t>the </w:t>
      </w:r>
      <w:r>
        <w:rPr>
          <w:i/>
          <w:sz w:val="24"/>
        </w:rPr>
        <w:t>AER </w:t>
      </w:r>
      <w:r>
        <w:rPr>
          <w:sz w:val="24"/>
        </w:rPr>
        <w:t>and the </w:t>
      </w:r>
      <w:r>
        <w:rPr>
          <w:i/>
          <w:sz w:val="24"/>
        </w:rPr>
        <w:t>Utilities</w:t>
      </w:r>
      <w:r>
        <w:rPr>
          <w:i/>
          <w:spacing w:val="-2"/>
          <w:sz w:val="24"/>
        </w:rPr>
        <w:t> </w:t>
      </w:r>
      <w:r>
        <w:rPr>
          <w:i/>
          <w:sz w:val="24"/>
        </w:rPr>
        <w:t>Commission</w:t>
      </w:r>
      <w:r>
        <w:rPr>
          <w:sz w:val="24"/>
        </w:rPr>
        <w:t>.</w:t>
      </w:r>
    </w:p>
    <w:p>
      <w:pPr>
        <w:pStyle w:val="ListParagraph"/>
        <w:numPr>
          <w:ilvl w:val="0"/>
          <w:numId w:val="520"/>
        </w:numPr>
        <w:tabs>
          <w:tab w:pos="1919" w:val="left" w:leader="none"/>
        </w:tabs>
        <w:spacing w:line="240" w:lineRule="auto" w:before="120" w:after="0"/>
        <w:ind w:left="1919" w:right="415" w:hanging="567"/>
        <w:jc w:val="both"/>
        <w:rPr>
          <w:sz w:val="24"/>
        </w:rPr>
      </w:pPr>
      <w:r>
        <w:rPr>
          <w:sz w:val="24"/>
        </w:rPr>
        <w:t>In addition to the persons mentioned in paragraph (c), the following persons may access or receive </w:t>
      </w:r>
      <w:r>
        <w:rPr>
          <w:i/>
          <w:sz w:val="24"/>
        </w:rPr>
        <w:t>metering data </w:t>
      </w:r>
      <w:r>
        <w:rPr>
          <w:sz w:val="24"/>
        </w:rPr>
        <w:t>in accordance with the</w:t>
      </w:r>
      <w:r>
        <w:rPr>
          <w:spacing w:val="-6"/>
          <w:sz w:val="24"/>
        </w:rPr>
        <w:t> </w:t>
      </w:r>
      <w:r>
        <w:rPr>
          <w:i/>
          <w:sz w:val="24"/>
        </w:rPr>
        <w:t>Rules</w:t>
      </w:r>
      <w:r>
        <w:rPr>
          <w:sz w:val="24"/>
        </w:rPr>
        <w:t>:</w:t>
      </w:r>
    </w:p>
    <w:p>
      <w:pPr>
        <w:pStyle w:val="ListParagraph"/>
        <w:numPr>
          <w:ilvl w:val="1"/>
          <w:numId w:val="520"/>
        </w:numPr>
        <w:tabs>
          <w:tab w:pos="2486" w:val="left" w:leader="none"/>
        </w:tabs>
        <w:spacing w:line="240" w:lineRule="auto" w:before="120" w:after="0"/>
        <w:ind w:left="2486" w:right="417" w:hanging="567"/>
        <w:jc w:val="both"/>
        <w:rPr>
          <w:sz w:val="24"/>
        </w:rPr>
      </w:pPr>
      <w:r>
        <w:rPr>
          <w:sz w:val="24"/>
        </w:rPr>
        <w:t>a </w:t>
      </w:r>
      <w:r>
        <w:rPr>
          <w:i/>
          <w:sz w:val="24"/>
        </w:rPr>
        <w:t>retail customer </w:t>
      </w:r>
      <w:r>
        <w:rPr>
          <w:sz w:val="24"/>
        </w:rPr>
        <w:t>or </w:t>
      </w:r>
      <w:r>
        <w:rPr>
          <w:i/>
          <w:sz w:val="24"/>
        </w:rPr>
        <w:t>customer authorised representative</w:t>
      </w:r>
      <w:r>
        <w:rPr>
          <w:sz w:val="24"/>
        </w:rPr>
        <w:t>, upon request by that </w:t>
      </w:r>
      <w:r>
        <w:rPr>
          <w:i/>
          <w:sz w:val="24"/>
        </w:rPr>
        <w:t>retail customer </w:t>
      </w:r>
      <w:r>
        <w:rPr>
          <w:sz w:val="24"/>
        </w:rPr>
        <w:t>or its </w:t>
      </w:r>
      <w:r>
        <w:rPr>
          <w:i/>
          <w:sz w:val="24"/>
        </w:rPr>
        <w:t>customer authorised representative </w:t>
      </w:r>
      <w:r>
        <w:rPr>
          <w:sz w:val="24"/>
        </w:rPr>
        <w:t>to the </w:t>
      </w:r>
      <w:r>
        <w:rPr>
          <w:i/>
          <w:sz w:val="24"/>
        </w:rPr>
        <w:t>retailer </w:t>
      </w:r>
      <w:r>
        <w:rPr>
          <w:sz w:val="24"/>
        </w:rPr>
        <w:t>or </w:t>
      </w:r>
      <w:r>
        <w:rPr>
          <w:i/>
          <w:sz w:val="24"/>
        </w:rPr>
        <w:t>Distribution Network Service Provider </w:t>
      </w:r>
      <w:r>
        <w:rPr>
          <w:sz w:val="24"/>
        </w:rPr>
        <w:t>in relation to that </w:t>
      </w:r>
      <w:r>
        <w:rPr>
          <w:i/>
          <w:sz w:val="24"/>
        </w:rPr>
        <w:t>retail customer's metering</w:t>
      </w:r>
      <w:r>
        <w:rPr>
          <w:i/>
          <w:spacing w:val="-2"/>
          <w:sz w:val="24"/>
        </w:rPr>
        <w:t> </w:t>
      </w:r>
      <w:r>
        <w:rPr>
          <w:i/>
          <w:sz w:val="24"/>
        </w:rPr>
        <w:t>installation</w:t>
      </w:r>
      <w:r>
        <w:rPr>
          <w:sz w:val="24"/>
        </w:rPr>
        <w:t>;</w:t>
      </w:r>
    </w:p>
    <w:p>
      <w:pPr>
        <w:pStyle w:val="ListParagraph"/>
        <w:numPr>
          <w:ilvl w:val="1"/>
          <w:numId w:val="520"/>
        </w:numPr>
        <w:tabs>
          <w:tab w:pos="2486" w:val="left" w:leader="none"/>
        </w:tabs>
        <w:spacing w:line="240" w:lineRule="auto" w:before="120" w:after="0"/>
        <w:ind w:left="2485" w:right="0" w:hanging="567"/>
        <w:jc w:val="both"/>
        <w:rPr>
          <w:sz w:val="24"/>
        </w:rPr>
      </w:pPr>
      <w:r>
        <w:rPr>
          <w:sz w:val="24"/>
        </w:rPr>
        <w:t>the </w:t>
      </w:r>
      <w:r>
        <w:rPr>
          <w:i/>
          <w:sz w:val="24"/>
        </w:rPr>
        <w:t>energy ombudsman</w:t>
      </w:r>
      <w:r>
        <w:rPr>
          <w:sz w:val="24"/>
        </w:rPr>
        <w:t>.</w:t>
      </w:r>
    </w:p>
    <w:p>
      <w:pPr>
        <w:pStyle w:val="ListParagraph"/>
        <w:numPr>
          <w:ilvl w:val="0"/>
          <w:numId w:val="520"/>
        </w:numPr>
        <w:tabs>
          <w:tab w:pos="1919" w:val="left" w:leader="none"/>
        </w:tabs>
        <w:spacing w:line="240" w:lineRule="auto" w:before="120" w:after="0"/>
        <w:ind w:left="1919" w:right="414" w:hanging="567"/>
        <w:jc w:val="both"/>
        <w:rPr>
          <w:sz w:val="24"/>
        </w:rPr>
      </w:pPr>
      <w:r>
        <w:rPr>
          <w:sz w:val="24"/>
        </w:rPr>
        <w:t>A </w:t>
      </w:r>
      <w:r>
        <w:rPr>
          <w:i/>
          <w:sz w:val="24"/>
        </w:rPr>
        <w:t>retailer </w:t>
      </w:r>
      <w:r>
        <w:rPr>
          <w:sz w:val="24"/>
        </w:rPr>
        <w:t>or </w:t>
      </w:r>
      <w:r>
        <w:rPr>
          <w:i/>
          <w:sz w:val="24"/>
        </w:rPr>
        <w:t>Distribution Network Service Provider </w:t>
      </w:r>
      <w:r>
        <w:rPr>
          <w:sz w:val="24"/>
        </w:rPr>
        <w:t>must, upon request by a </w:t>
      </w:r>
      <w:r>
        <w:rPr>
          <w:i/>
          <w:sz w:val="24"/>
        </w:rPr>
        <w:t>retail customer </w:t>
      </w:r>
      <w:r>
        <w:rPr>
          <w:sz w:val="24"/>
        </w:rPr>
        <w:t>or its </w:t>
      </w:r>
      <w:r>
        <w:rPr>
          <w:i/>
          <w:sz w:val="24"/>
        </w:rPr>
        <w:t>customer authorised representative </w:t>
      </w:r>
      <w:r>
        <w:rPr>
          <w:sz w:val="24"/>
        </w:rPr>
        <w:t>under paragraph (d)(1), provide information about the </w:t>
      </w:r>
      <w:r>
        <w:rPr>
          <w:i/>
          <w:sz w:val="24"/>
        </w:rPr>
        <w:t>retail customer's energy </w:t>
      </w:r>
      <w:r>
        <w:rPr>
          <w:sz w:val="24"/>
        </w:rPr>
        <w:t>consumption for the previous 2</w:t>
      </w:r>
      <w:r>
        <w:rPr>
          <w:spacing w:val="-1"/>
          <w:sz w:val="24"/>
        </w:rPr>
        <w:t> </w:t>
      </w:r>
      <w:r>
        <w:rPr>
          <w:sz w:val="24"/>
        </w:rPr>
        <w:t>years.</w:t>
      </w:r>
    </w:p>
    <w:p>
      <w:pPr>
        <w:pStyle w:val="ListParagraph"/>
        <w:numPr>
          <w:ilvl w:val="0"/>
          <w:numId w:val="520"/>
        </w:numPr>
        <w:tabs>
          <w:tab w:pos="1920" w:val="left" w:leader="none"/>
        </w:tabs>
        <w:spacing w:line="240" w:lineRule="auto" w:before="120" w:after="0"/>
        <w:ind w:left="1919" w:right="0" w:hanging="568"/>
        <w:jc w:val="both"/>
        <w:rPr>
          <w:sz w:val="24"/>
        </w:rPr>
      </w:pPr>
      <w:r>
        <w:rPr>
          <w:sz w:val="24"/>
        </w:rPr>
        <w:t>Without limiting this</w:t>
      </w:r>
      <w:r>
        <w:rPr>
          <w:spacing w:val="-1"/>
          <w:sz w:val="24"/>
        </w:rPr>
        <w:t> </w:t>
      </w:r>
      <w:r>
        <w:rPr>
          <w:sz w:val="24"/>
        </w:rPr>
        <w:t>clause:</w:t>
      </w:r>
    </w:p>
    <w:p>
      <w:pPr>
        <w:pStyle w:val="ListParagraph"/>
        <w:numPr>
          <w:ilvl w:val="1"/>
          <w:numId w:val="520"/>
        </w:numPr>
        <w:tabs>
          <w:tab w:pos="2486" w:val="left" w:leader="none"/>
        </w:tabs>
        <w:spacing w:line="240" w:lineRule="auto" w:before="120" w:after="0"/>
        <w:ind w:left="2485" w:right="0" w:hanging="567"/>
        <w:jc w:val="both"/>
        <w:rPr>
          <w:sz w:val="24"/>
        </w:rPr>
      </w:pPr>
      <w:r>
        <w:rPr>
          <w:sz w:val="24"/>
        </w:rPr>
        <w:t>a </w:t>
      </w:r>
      <w:r>
        <w:rPr>
          <w:i/>
          <w:sz w:val="24"/>
        </w:rPr>
        <w:t>retailer </w:t>
      </w:r>
      <w:r>
        <w:rPr>
          <w:sz w:val="24"/>
        </w:rPr>
        <w:t>is entitled to access or receive </w:t>
      </w:r>
      <w:r>
        <w:rPr>
          <w:i/>
          <w:sz w:val="24"/>
        </w:rPr>
        <w:t>NT NMI</w:t>
      </w:r>
      <w:r>
        <w:rPr>
          <w:i/>
          <w:spacing w:val="-4"/>
          <w:sz w:val="24"/>
        </w:rPr>
        <w:t> </w:t>
      </w:r>
      <w:r>
        <w:rPr>
          <w:i/>
          <w:sz w:val="24"/>
        </w:rPr>
        <w:t>data</w:t>
      </w:r>
      <w:r>
        <w:rPr>
          <w:sz w:val="24"/>
        </w:rPr>
        <w:t>;</w:t>
      </w:r>
    </w:p>
    <w:p>
      <w:pPr>
        <w:pStyle w:val="ListParagraph"/>
        <w:numPr>
          <w:ilvl w:val="1"/>
          <w:numId w:val="520"/>
        </w:numPr>
        <w:tabs>
          <w:tab w:pos="2486" w:val="left" w:leader="none"/>
        </w:tabs>
        <w:spacing w:line="240" w:lineRule="auto" w:before="120" w:after="0"/>
        <w:ind w:left="2485" w:right="0" w:hanging="567"/>
        <w:jc w:val="both"/>
        <w:rPr>
          <w:sz w:val="24"/>
        </w:rPr>
      </w:pPr>
      <w:r>
        <w:rPr>
          <w:sz w:val="24"/>
        </w:rPr>
        <w:t>a </w:t>
      </w:r>
      <w:r>
        <w:rPr>
          <w:i/>
          <w:sz w:val="24"/>
        </w:rPr>
        <w:t>customer authorised representative </w:t>
      </w:r>
      <w:r>
        <w:rPr>
          <w:sz w:val="24"/>
        </w:rPr>
        <w:t>may receive </w:t>
      </w:r>
      <w:r>
        <w:rPr>
          <w:i/>
          <w:sz w:val="24"/>
        </w:rPr>
        <w:t>metering data</w:t>
      </w:r>
      <w:r>
        <w:rPr>
          <w:sz w:val="24"/>
        </w:rPr>
        <w:t>;</w:t>
      </w:r>
      <w:r>
        <w:rPr>
          <w:spacing w:val="-12"/>
          <w:sz w:val="24"/>
        </w:rPr>
        <w:t> </w:t>
      </w:r>
      <w:r>
        <w:rPr>
          <w:sz w:val="24"/>
        </w:rPr>
        <w:t>and</w:t>
      </w:r>
    </w:p>
    <w:p>
      <w:pPr>
        <w:pStyle w:val="ListParagraph"/>
        <w:numPr>
          <w:ilvl w:val="1"/>
          <w:numId w:val="520"/>
        </w:numPr>
        <w:tabs>
          <w:tab w:pos="2486" w:val="left" w:leader="none"/>
        </w:tabs>
        <w:spacing w:line="240" w:lineRule="auto" w:before="120" w:after="0"/>
        <w:ind w:left="2486" w:right="416" w:hanging="567"/>
        <w:jc w:val="both"/>
        <w:rPr>
          <w:sz w:val="24"/>
        </w:rPr>
      </w:pPr>
      <w:r>
        <w:rPr>
          <w:sz w:val="24"/>
        </w:rPr>
        <w:t>a </w:t>
      </w:r>
      <w:r>
        <w:rPr>
          <w:i/>
          <w:sz w:val="24"/>
        </w:rPr>
        <w:t>retailer </w:t>
      </w:r>
      <w:r>
        <w:rPr>
          <w:sz w:val="24"/>
        </w:rPr>
        <w:t>or a </w:t>
      </w:r>
      <w:r>
        <w:rPr>
          <w:i/>
          <w:sz w:val="24"/>
        </w:rPr>
        <w:t>Distribution Network Service Provider </w:t>
      </w:r>
      <w:r>
        <w:rPr>
          <w:sz w:val="24"/>
        </w:rPr>
        <w:t>may access or receive </w:t>
      </w:r>
      <w:r>
        <w:rPr>
          <w:i/>
          <w:sz w:val="24"/>
        </w:rPr>
        <w:t>metering data </w:t>
      </w:r>
      <w:r>
        <w:rPr>
          <w:sz w:val="24"/>
        </w:rPr>
        <w:t>or provide </w:t>
      </w:r>
      <w:r>
        <w:rPr>
          <w:i/>
          <w:sz w:val="24"/>
        </w:rPr>
        <w:t>metering data </w:t>
      </w:r>
      <w:r>
        <w:rPr>
          <w:sz w:val="24"/>
        </w:rPr>
        <w:t>to a </w:t>
      </w:r>
      <w:r>
        <w:rPr>
          <w:i/>
          <w:sz w:val="24"/>
        </w:rPr>
        <w:t>customer </w:t>
      </w:r>
      <w:r>
        <w:rPr>
          <w:i/>
          <w:sz w:val="24"/>
        </w:rPr>
        <w:t>authorised</w:t>
      </w:r>
      <w:r>
        <w:rPr>
          <w:i/>
          <w:spacing w:val="-1"/>
          <w:sz w:val="24"/>
        </w:rPr>
        <w:t> </w:t>
      </w:r>
      <w:r>
        <w:rPr>
          <w:i/>
          <w:sz w:val="24"/>
        </w:rPr>
        <w:t>representative</w:t>
      </w:r>
      <w:r>
        <w:rPr>
          <w:sz w:val="24"/>
        </w:rPr>
        <w:t>,</w:t>
      </w:r>
    </w:p>
    <w:p>
      <w:pPr>
        <w:pStyle w:val="BodyText"/>
        <w:ind w:left="1919" w:right="413" w:firstLine="0"/>
      </w:pPr>
      <w:r>
        <w:rPr/>
        <w:t>after having first done whatever may be required, if relevant, under any applicable privacy legislation and clause 7A.9.5 including, if appropriate, making relevant disclosures or obtaining relevant consents from </w:t>
      </w:r>
      <w:r>
        <w:rPr>
          <w:i/>
        </w:rPr>
        <w:t>retail </w:t>
      </w:r>
      <w:r>
        <w:rPr>
          <w:i/>
        </w:rPr>
        <w:t>customers</w:t>
      </w:r>
      <w:r>
        <w:rPr/>
        <w:t>.</w:t>
      </w:r>
    </w:p>
    <w:p>
      <w:pPr>
        <w:pStyle w:val="ListParagraph"/>
        <w:numPr>
          <w:ilvl w:val="0"/>
          <w:numId w:val="520"/>
        </w:numPr>
        <w:tabs>
          <w:tab w:pos="1919" w:val="left" w:leader="none"/>
        </w:tabs>
        <w:spacing w:line="240" w:lineRule="auto" w:before="120" w:after="0"/>
        <w:ind w:left="1918" w:right="0" w:hanging="567"/>
        <w:jc w:val="both"/>
        <w:rPr>
          <w:sz w:val="24"/>
        </w:rPr>
      </w:pPr>
      <w:r>
        <w:rPr>
          <w:sz w:val="24"/>
        </w:rPr>
        <w:t>For the avoidance of doubt and without limiting this</w:t>
      </w:r>
      <w:r>
        <w:rPr>
          <w:spacing w:val="-4"/>
          <w:sz w:val="24"/>
        </w:rPr>
        <w:t> </w:t>
      </w:r>
      <w:r>
        <w:rPr>
          <w:sz w:val="24"/>
        </w:rPr>
        <w:t>clause:</w:t>
      </w:r>
    </w:p>
    <w:p>
      <w:pPr>
        <w:pStyle w:val="ListParagraph"/>
        <w:numPr>
          <w:ilvl w:val="1"/>
          <w:numId w:val="520"/>
        </w:numPr>
        <w:tabs>
          <w:tab w:pos="2486" w:val="left" w:leader="none"/>
        </w:tabs>
        <w:spacing w:line="240" w:lineRule="auto" w:before="120" w:after="0"/>
        <w:ind w:left="2486" w:right="415" w:hanging="567"/>
        <w:jc w:val="both"/>
        <w:rPr>
          <w:sz w:val="24"/>
        </w:rPr>
      </w:pPr>
      <w:r>
        <w:rPr>
          <w:sz w:val="24"/>
        </w:rPr>
        <w:t>a </w:t>
      </w:r>
      <w:r>
        <w:rPr>
          <w:i/>
          <w:sz w:val="24"/>
        </w:rPr>
        <w:t>Metering Data Provider </w:t>
      </w:r>
      <w:r>
        <w:rPr>
          <w:sz w:val="24"/>
        </w:rPr>
        <w:t>must provide relevant </w:t>
      </w:r>
      <w:r>
        <w:rPr>
          <w:i/>
          <w:sz w:val="24"/>
        </w:rPr>
        <w:t>NT NMI data </w:t>
      </w:r>
      <w:r>
        <w:rPr>
          <w:sz w:val="24"/>
        </w:rPr>
        <w:t>to a </w:t>
      </w:r>
      <w:r>
        <w:rPr>
          <w:i/>
          <w:sz w:val="24"/>
        </w:rPr>
        <w:t>Distribution Network Service Provider </w:t>
      </w:r>
      <w:r>
        <w:rPr>
          <w:sz w:val="24"/>
        </w:rPr>
        <w:t>to the extent that </w:t>
      </w:r>
      <w:r>
        <w:rPr>
          <w:i/>
          <w:sz w:val="24"/>
        </w:rPr>
        <w:t>NT NMI data </w:t>
      </w:r>
      <w:r>
        <w:rPr>
          <w:sz w:val="24"/>
        </w:rPr>
        <w:t>is required for the </w:t>
      </w:r>
      <w:r>
        <w:rPr>
          <w:i/>
          <w:sz w:val="24"/>
        </w:rPr>
        <w:t>Distribution Network Service Provider </w:t>
      </w:r>
      <w:r>
        <w:rPr>
          <w:sz w:val="24"/>
        </w:rPr>
        <w:t>to fulfil its obligations under this Chapter 7A of the </w:t>
      </w:r>
      <w:r>
        <w:rPr>
          <w:i/>
          <w:sz w:val="24"/>
        </w:rPr>
        <w:t>Rules</w:t>
      </w:r>
      <w:r>
        <w:rPr>
          <w:sz w:val="24"/>
        </w:rPr>
        <w:t>;</w:t>
      </w:r>
      <w:r>
        <w:rPr>
          <w:spacing w:val="-1"/>
          <w:sz w:val="24"/>
        </w:rPr>
        <w:t> </w:t>
      </w:r>
      <w:r>
        <w:rPr>
          <w:sz w:val="24"/>
        </w:rPr>
        <w:t>and</w:t>
      </w:r>
    </w:p>
    <w:p>
      <w:pPr>
        <w:pStyle w:val="ListParagraph"/>
        <w:numPr>
          <w:ilvl w:val="1"/>
          <w:numId w:val="520"/>
        </w:numPr>
        <w:tabs>
          <w:tab w:pos="2486" w:val="left" w:leader="none"/>
        </w:tabs>
        <w:spacing w:line="240" w:lineRule="auto" w:before="120" w:after="0"/>
        <w:ind w:left="2486" w:right="415" w:hanging="567"/>
        <w:jc w:val="both"/>
        <w:rPr>
          <w:sz w:val="24"/>
        </w:rPr>
      </w:pPr>
      <w:r>
        <w:rPr>
          <w:sz w:val="24"/>
        </w:rPr>
        <w:t>a </w:t>
      </w:r>
      <w:r>
        <w:rPr>
          <w:i/>
          <w:sz w:val="24"/>
        </w:rPr>
        <w:t>Distribution Network Service Provider </w:t>
      </w:r>
      <w:r>
        <w:rPr>
          <w:sz w:val="24"/>
        </w:rPr>
        <w:t>is authorised to, and must provide, relevant </w:t>
      </w:r>
      <w:r>
        <w:rPr>
          <w:i/>
          <w:sz w:val="24"/>
        </w:rPr>
        <w:t>NT NMI data </w:t>
      </w:r>
      <w:r>
        <w:rPr>
          <w:sz w:val="24"/>
        </w:rPr>
        <w:t>to a </w:t>
      </w:r>
      <w:r>
        <w:rPr>
          <w:i/>
          <w:sz w:val="24"/>
        </w:rPr>
        <w:t>Metering Data Provider </w:t>
      </w:r>
      <w:r>
        <w:rPr>
          <w:sz w:val="24"/>
        </w:rPr>
        <w:t>to </w:t>
      </w:r>
      <w:r>
        <w:rPr>
          <w:spacing w:val="-4"/>
          <w:sz w:val="24"/>
        </w:rPr>
        <w:t>the </w:t>
      </w:r>
      <w:r>
        <w:rPr>
          <w:sz w:val="24"/>
        </w:rPr>
        <w:t>extent that </w:t>
      </w:r>
      <w:r>
        <w:rPr>
          <w:i/>
          <w:sz w:val="24"/>
        </w:rPr>
        <w:t>NT NMI data </w:t>
      </w:r>
      <w:r>
        <w:rPr>
          <w:sz w:val="24"/>
        </w:rPr>
        <w:t>is required for the </w:t>
      </w:r>
      <w:r>
        <w:rPr>
          <w:i/>
          <w:sz w:val="24"/>
        </w:rPr>
        <w:t>Metering Data Provider </w:t>
      </w:r>
      <w:r>
        <w:rPr>
          <w:sz w:val="24"/>
        </w:rPr>
        <w:t>to fulfil its obligations under this Chapter 7A of the</w:t>
      </w:r>
      <w:r>
        <w:rPr>
          <w:spacing w:val="-1"/>
          <w:sz w:val="24"/>
        </w:rPr>
        <w:t> </w:t>
      </w:r>
      <w:r>
        <w:rPr>
          <w:i/>
          <w:sz w:val="24"/>
        </w:rPr>
        <w:t>Rules</w:t>
      </w:r>
      <w:r>
        <w:rPr>
          <w:sz w:val="24"/>
        </w:rPr>
        <w:t>.</w:t>
      </w:r>
    </w:p>
    <w:p>
      <w:pPr>
        <w:pStyle w:val="BodyText"/>
        <w:spacing w:before="10"/>
        <w:ind w:firstLine="0"/>
        <w:jc w:val="left"/>
        <w:rPr>
          <w:sz w:val="20"/>
        </w:rPr>
      </w:pPr>
    </w:p>
    <w:p>
      <w:pPr>
        <w:pStyle w:val="Heading2"/>
        <w:tabs>
          <w:tab w:pos="2485" w:val="left" w:leader="none"/>
        </w:tabs>
      </w:pPr>
      <w:bookmarkStart w:name="Schedule 7A.1 Metering register" w:id="1843"/>
      <w:bookmarkEnd w:id="1843"/>
      <w:r>
        <w:rPr>
          <w:b w:val="0"/>
        </w:rPr>
      </w:r>
      <w:bookmarkStart w:name="_bookmark747" w:id="1844"/>
      <w:bookmarkEnd w:id="1844"/>
      <w:r>
        <w:rPr>
          <w:b w:val="0"/>
        </w:rPr>
      </w:r>
      <w:r>
        <w:rPr/>
        <w:t>Schedule</w:t>
      </w:r>
      <w:r>
        <w:rPr>
          <w:spacing w:val="-1"/>
        </w:rPr>
        <w:t> </w:t>
      </w:r>
      <w:r>
        <w:rPr/>
        <w:t>7A.1</w:t>
        <w:tab/>
        <w:t>Metering</w:t>
      </w:r>
      <w:r>
        <w:rPr>
          <w:spacing w:val="-1"/>
        </w:rPr>
        <w:t> </w:t>
      </w:r>
      <w:r>
        <w:rPr/>
        <w:t>register</w:t>
      </w:r>
    </w:p>
    <w:p>
      <w:pPr>
        <w:pStyle w:val="Heading4"/>
        <w:tabs>
          <w:tab w:pos="1351" w:val="left" w:leader="none"/>
        </w:tabs>
        <w:spacing w:before="240"/>
        <w:ind w:left="218" w:firstLine="0"/>
      </w:pPr>
      <w:bookmarkStart w:name="S7A.1.1 General" w:id="1845"/>
      <w:bookmarkEnd w:id="1845"/>
      <w:r>
        <w:rPr>
          <w:b w:val="0"/>
        </w:rPr>
      </w:r>
      <w:bookmarkStart w:name="_bookmark748" w:id="1846"/>
      <w:bookmarkEnd w:id="1846"/>
      <w:r>
        <w:rPr>
          <w:b w:val="0"/>
        </w:rPr>
      </w:r>
      <w:r>
        <w:rPr/>
        <w:t>S7A.1.1</w:t>
        <w:tab/>
        <w:t>General</w:t>
      </w:r>
    </w:p>
    <w:p>
      <w:pPr>
        <w:spacing w:before="120"/>
        <w:ind w:left="1352" w:right="416" w:firstLine="0"/>
        <w:jc w:val="both"/>
        <w:rPr>
          <w:sz w:val="24"/>
        </w:rPr>
      </w:pPr>
      <w:r>
        <w:rPr>
          <w:sz w:val="24"/>
        </w:rPr>
        <w:t>The </w:t>
      </w:r>
      <w:r>
        <w:rPr>
          <w:i/>
          <w:sz w:val="24"/>
        </w:rPr>
        <w:t>metering register </w:t>
      </w:r>
      <w:r>
        <w:rPr>
          <w:sz w:val="24"/>
        </w:rPr>
        <w:t>forms part of the </w:t>
      </w:r>
      <w:r>
        <w:rPr>
          <w:i/>
          <w:sz w:val="24"/>
        </w:rPr>
        <w:t>metering database </w:t>
      </w:r>
      <w:r>
        <w:rPr>
          <w:sz w:val="24"/>
        </w:rPr>
        <w:t>and holds static </w:t>
      </w:r>
      <w:r>
        <w:rPr>
          <w:i/>
          <w:sz w:val="24"/>
        </w:rPr>
        <w:t>metering </w:t>
      </w:r>
      <w:r>
        <w:rPr>
          <w:sz w:val="24"/>
        </w:rPr>
        <w:t>information associated with </w:t>
      </w:r>
      <w:r>
        <w:rPr>
          <w:i/>
          <w:sz w:val="24"/>
        </w:rPr>
        <w:t>metering installations </w:t>
      </w:r>
      <w:r>
        <w:rPr>
          <w:sz w:val="24"/>
        </w:rPr>
        <w:t>defined by the </w:t>
      </w:r>
      <w:r>
        <w:rPr>
          <w:i/>
          <w:sz w:val="24"/>
        </w:rPr>
        <w:t>Rules </w:t>
      </w:r>
      <w:r>
        <w:rPr>
          <w:sz w:val="24"/>
        </w:rPr>
        <w:t>that determine the validity and accuracy of </w:t>
      </w:r>
      <w:r>
        <w:rPr>
          <w:i/>
          <w:sz w:val="24"/>
        </w:rPr>
        <w:t>metering data</w:t>
      </w:r>
      <w:r>
        <w:rPr>
          <w:sz w:val="24"/>
        </w:rPr>
        <w:t>.</w:t>
      </w:r>
    </w:p>
    <w:p>
      <w:pPr>
        <w:spacing w:after="0"/>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7A.1.2 Metering register information" w:id="1847"/>
      <w:bookmarkEnd w:id="1847"/>
      <w:r>
        <w:rPr>
          <w:b w:val="0"/>
        </w:rPr>
      </w:r>
      <w:bookmarkStart w:name="_bookmark749" w:id="1848"/>
      <w:bookmarkEnd w:id="1848"/>
      <w:r>
        <w:rPr>
          <w:b w:val="0"/>
        </w:rPr>
      </w:r>
      <w:r>
        <w:rPr/>
        <w:t>S7A.1.2</w:t>
        <w:tab/>
        <w:t>Metering register</w:t>
      </w:r>
      <w:r>
        <w:rPr>
          <w:spacing w:val="-2"/>
        </w:rPr>
        <w:t> </w:t>
      </w:r>
      <w:r>
        <w:rPr/>
        <w:t>information</w:t>
      </w:r>
    </w:p>
    <w:p>
      <w:pPr>
        <w:spacing w:before="120"/>
        <w:ind w:left="1352" w:right="415" w:firstLine="0"/>
        <w:jc w:val="left"/>
        <w:rPr>
          <w:sz w:val="24"/>
        </w:rPr>
      </w:pPr>
      <w:r>
        <w:rPr>
          <w:i/>
          <w:sz w:val="24"/>
        </w:rPr>
        <w:t>Metering </w:t>
      </w:r>
      <w:r>
        <w:rPr>
          <w:sz w:val="24"/>
        </w:rPr>
        <w:t>information to be contained in the </w:t>
      </w:r>
      <w:r>
        <w:rPr>
          <w:i/>
          <w:sz w:val="24"/>
        </w:rPr>
        <w:t>metering register </w:t>
      </w:r>
      <w:r>
        <w:rPr>
          <w:sz w:val="24"/>
        </w:rPr>
        <w:t>must include, but is not limited to, the following:</w:t>
      </w:r>
    </w:p>
    <w:p>
      <w:pPr>
        <w:pStyle w:val="ListParagraph"/>
        <w:numPr>
          <w:ilvl w:val="0"/>
          <w:numId w:val="521"/>
        </w:numPr>
        <w:tabs>
          <w:tab w:pos="1918" w:val="left" w:leader="none"/>
          <w:tab w:pos="1919" w:val="left" w:leader="none"/>
        </w:tabs>
        <w:spacing w:line="240" w:lineRule="auto" w:before="120" w:after="0"/>
        <w:ind w:left="1918" w:right="0" w:hanging="567"/>
        <w:jc w:val="left"/>
        <w:rPr>
          <w:sz w:val="24"/>
        </w:rPr>
      </w:pPr>
      <w:r>
        <w:rPr>
          <w:sz w:val="24"/>
        </w:rPr>
        <w:t>serial numbers;</w:t>
      </w:r>
    </w:p>
    <w:p>
      <w:pPr>
        <w:pStyle w:val="ListParagraph"/>
        <w:numPr>
          <w:ilvl w:val="0"/>
          <w:numId w:val="521"/>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metering installation </w:t>
      </w:r>
      <w:r>
        <w:rPr>
          <w:sz w:val="24"/>
        </w:rPr>
        <w:t>identification name;</w:t>
      </w:r>
      <w:r>
        <w:rPr>
          <w:spacing w:val="-2"/>
          <w:sz w:val="24"/>
        </w:rPr>
        <w:t> </w:t>
      </w:r>
      <w:r>
        <w:rPr>
          <w:sz w:val="24"/>
        </w:rPr>
        <w:t>and</w:t>
      </w:r>
    </w:p>
    <w:p>
      <w:pPr>
        <w:pStyle w:val="ListParagraph"/>
        <w:numPr>
          <w:ilvl w:val="0"/>
          <w:numId w:val="521"/>
        </w:numPr>
        <w:tabs>
          <w:tab w:pos="1918" w:val="left" w:leader="none"/>
          <w:tab w:pos="1919" w:val="left" w:leader="none"/>
        </w:tabs>
        <w:spacing w:line="240" w:lineRule="auto" w:before="120" w:after="0"/>
        <w:ind w:left="1918" w:right="0" w:hanging="567"/>
        <w:jc w:val="left"/>
        <w:rPr>
          <w:sz w:val="24"/>
        </w:rPr>
      </w:pPr>
      <w:r>
        <w:rPr>
          <w:sz w:val="24"/>
        </w:rPr>
        <w:t>the information required to assign loss</w:t>
      </w:r>
      <w:r>
        <w:rPr>
          <w:spacing w:val="-1"/>
          <w:sz w:val="24"/>
        </w:rPr>
        <w:t> </w:t>
      </w:r>
      <w:r>
        <w:rPr>
          <w:sz w:val="24"/>
        </w:rPr>
        <w:t>factors.</w:t>
      </w:r>
    </w:p>
    <w:p>
      <w:pPr>
        <w:pStyle w:val="BodyText"/>
        <w:spacing w:before="10"/>
        <w:ind w:firstLine="0"/>
        <w:jc w:val="left"/>
        <w:rPr>
          <w:sz w:val="20"/>
        </w:rPr>
      </w:pPr>
    </w:p>
    <w:p>
      <w:pPr>
        <w:pStyle w:val="Heading4"/>
        <w:tabs>
          <w:tab w:pos="1351" w:val="left" w:leader="none"/>
        </w:tabs>
        <w:ind w:left="218" w:firstLine="0"/>
      </w:pPr>
      <w:bookmarkStart w:name="S7A.1.3 Communication guideline" w:id="1849"/>
      <w:bookmarkEnd w:id="1849"/>
      <w:r>
        <w:rPr>
          <w:b w:val="0"/>
        </w:rPr>
      </w:r>
      <w:bookmarkStart w:name="_bookmark750" w:id="1850"/>
      <w:bookmarkEnd w:id="1850"/>
      <w:r>
        <w:rPr>
          <w:b w:val="0"/>
        </w:rPr>
      </w:r>
      <w:r>
        <w:rPr/>
        <w:t>S7A.1.3</w:t>
        <w:tab/>
        <w:t>Communication</w:t>
      </w:r>
      <w:r>
        <w:rPr>
          <w:spacing w:val="-2"/>
        </w:rPr>
        <w:t> </w:t>
      </w:r>
      <w:r>
        <w:rPr/>
        <w:t>guideline</w:t>
      </w:r>
    </w:p>
    <w:p>
      <w:pPr>
        <w:pStyle w:val="ListParagraph"/>
        <w:numPr>
          <w:ilvl w:val="0"/>
          <w:numId w:val="522"/>
        </w:numPr>
        <w:tabs>
          <w:tab w:pos="1919" w:val="left" w:leader="none"/>
        </w:tabs>
        <w:spacing w:line="240" w:lineRule="auto" w:before="120" w:after="0"/>
        <w:ind w:left="1919" w:right="414" w:hanging="567"/>
        <w:jc w:val="both"/>
        <w:rPr>
          <w:sz w:val="24"/>
        </w:rPr>
      </w:pPr>
      <w:r>
        <w:rPr>
          <w:i/>
          <w:sz w:val="24"/>
        </w:rPr>
        <w:t>NTESMO </w:t>
      </w:r>
      <w:r>
        <w:rPr>
          <w:sz w:val="24"/>
        </w:rPr>
        <w:t>must develop, maintain and </w:t>
      </w:r>
      <w:r>
        <w:rPr>
          <w:i/>
          <w:sz w:val="24"/>
        </w:rPr>
        <w:t>publish </w:t>
      </w:r>
      <w:r>
        <w:rPr>
          <w:sz w:val="24"/>
        </w:rPr>
        <w:t>a communication guideline </w:t>
      </w:r>
      <w:r>
        <w:rPr>
          <w:spacing w:val="-6"/>
          <w:sz w:val="24"/>
        </w:rPr>
        <w:t>in </w:t>
      </w:r>
      <w:r>
        <w:rPr>
          <w:sz w:val="24"/>
        </w:rPr>
        <w:t>accordance with the </w:t>
      </w:r>
      <w:r>
        <w:rPr>
          <w:i/>
          <w:sz w:val="24"/>
        </w:rPr>
        <w:t>Rules consultation</w:t>
      </w:r>
      <w:r>
        <w:rPr>
          <w:i/>
          <w:spacing w:val="-2"/>
          <w:sz w:val="24"/>
        </w:rPr>
        <w:t> </w:t>
      </w:r>
      <w:r>
        <w:rPr>
          <w:i/>
          <w:sz w:val="24"/>
        </w:rPr>
        <w:t>procedures</w:t>
      </w:r>
      <w:r>
        <w:rPr>
          <w:sz w:val="24"/>
        </w:rPr>
        <w:t>.</w:t>
      </w:r>
    </w:p>
    <w:p>
      <w:pPr>
        <w:pStyle w:val="ListParagraph"/>
        <w:numPr>
          <w:ilvl w:val="0"/>
          <w:numId w:val="522"/>
        </w:numPr>
        <w:tabs>
          <w:tab w:pos="1919" w:val="left" w:leader="none"/>
        </w:tabs>
        <w:spacing w:line="240" w:lineRule="auto" w:before="120" w:after="0"/>
        <w:ind w:left="1918" w:right="0" w:hanging="567"/>
        <w:jc w:val="both"/>
        <w:rPr>
          <w:sz w:val="24"/>
        </w:rPr>
      </w:pPr>
      <w:r>
        <w:rPr>
          <w:sz w:val="24"/>
        </w:rPr>
        <w:t>A communication guideline must be in place at all</w:t>
      </w:r>
      <w:r>
        <w:rPr>
          <w:spacing w:val="-4"/>
          <w:sz w:val="24"/>
        </w:rPr>
        <w:t> </w:t>
      </w:r>
      <w:r>
        <w:rPr>
          <w:sz w:val="24"/>
        </w:rPr>
        <w:t>times.</w:t>
      </w:r>
    </w:p>
    <w:p>
      <w:pPr>
        <w:pStyle w:val="ListParagraph"/>
        <w:numPr>
          <w:ilvl w:val="0"/>
          <w:numId w:val="522"/>
        </w:numPr>
        <w:tabs>
          <w:tab w:pos="1919" w:val="left" w:leader="none"/>
        </w:tabs>
        <w:spacing w:line="240" w:lineRule="auto" w:before="120" w:after="0"/>
        <w:ind w:left="1919" w:right="414" w:hanging="567"/>
        <w:jc w:val="both"/>
        <w:rPr>
          <w:sz w:val="24"/>
        </w:rPr>
      </w:pPr>
      <w:r>
        <w:rPr>
          <w:sz w:val="24"/>
        </w:rPr>
        <w:t>The communication guideline is intended to set out specific details as to how </w:t>
      </w:r>
      <w:r>
        <w:rPr>
          <w:i/>
          <w:sz w:val="24"/>
        </w:rPr>
        <w:t>metering </w:t>
      </w:r>
      <w:r>
        <w:rPr>
          <w:sz w:val="24"/>
        </w:rPr>
        <w:t>and </w:t>
      </w:r>
      <w:r>
        <w:rPr>
          <w:i/>
          <w:sz w:val="24"/>
        </w:rPr>
        <w:t>energy data </w:t>
      </w:r>
      <w:r>
        <w:rPr>
          <w:sz w:val="24"/>
        </w:rPr>
        <w:t>and other information exchange processes will be</w:t>
      </w:r>
      <w:r>
        <w:rPr>
          <w:spacing w:val="-2"/>
          <w:sz w:val="24"/>
        </w:rPr>
        <w:t> </w:t>
      </w:r>
      <w:r>
        <w:rPr>
          <w:sz w:val="24"/>
        </w:rPr>
        <w:t>implemented.</w:t>
      </w:r>
    </w:p>
    <w:p>
      <w:pPr>
        <w:pStyle w:val="ListParagraph"/>
        <w:numPr>
          <w:ilvl w:val="0"/>
          <w:numId w:val="522"/>
        </w:numPr>
        <w:tabs>
          <w:tab w:pos="1919" w:val="left" w:leader="none"/>
        </w:tabs>
        <w:spacing w:line="240" w:lineRule="auto" w:before="120" w:after="0"/>
        <w:ind w:left="1918" w:right="0" w:hanging="567"/>
        <w:jc w:val="both"/>
        <w:rPr>
          <w:sz w:val="24"/>
        </w:rPr>
      </w:pPr>
      <w:r>
        <w:rPr>
          <w:sz w:val="24"/>
        </w:rPr>
        <w:t>The communication guideline</w:t>
      </w:r>
      <w:r>
        <w:rPr>
          <w:spacing w:val="-1"/>
          <w:sz w:val="24"/>
        </w:rPr>
        <w:t> </w:t>
      </w:r>
      <w:r>
        <w:rPr>
          <w:sz w:val="24"/>
        </w:rPr>
        <w:t>must:</w:t>
      </w:r>
    </w:p>
    <w:p>
      <w:pPr>
        <w:pStyle w:val="ListParagraph"/>
        <w:numPr>
          <w:ilvl w:val="1"/>
          <w:numId w:val="522"/>
        </w:numPr>
        <w:tabs>
          <w:tab w:pos="2486" w:val="left" w:leader="none"/>
        </w:tabs>
        <w:spacing w:line="240" w:lineRule="auto" w:before="120" w:after="0"/>
        <w:ind w:left="2486" w:right="414" w:hanging="567"/>
        <w:jc w:val="both"/>
        <w:rPr>
          <w:sz w:val="24"/>
        </w:rPr>
      </w:pPr>
      <w:r>
        <w:rPr>
          <w:sz w:val="24"/>
        </w:rPr>
        <w:t>specify, or incorporate by reference, detailed technical specifications (including file formats, protocols and timeframes) as to how data and information communication is to be processed, and how the necessary information systems are to be designed and developed;</w:t>
      </w:r>
      <w:r>
        <w:rPr>
          <w:spacing w:val="-4"/>
          <w:sz w:val="24"/>
        </w:rPr>
        <w:t> </w:t>
      </w:r>
      <w:r>
        <w:rPr>
          <w:sz w:val="24"/>
        </w:rPr>
        <w:t>and</w:t>
      </w:r>
    </w:p>
    <w:p>
      <w:pPr>
        <w:pStyle w:val="ListParagraph"/>
        <w:numPr>
          <w:ilvl w:val="1"/>
          <w:numId w:val="522"/>
        </w:numPr>
        <w:tabs>
          <w:tab w:pos="2486" w:val="left" w:leader="none"/>
        </w:tabs>
        <w:spacing w:line="240" w:lineRule="auto" w:before="120" w:after="0"/>
        <w:ind w:left="2486" w:right="414" w:hanging="567"/>
        <w:jc w:val="both"/>
        <w:rPr>
          <w:sz w:val="24"/>
        </w:rPr>
      </w:pPr>
      <w:r>
        <w:rPr>
          <w:sz w:val="24"/>
        </w:rPr>
        <w:t>be sufficient to enable a </w:t>
      </w:r>
      <w:r>
        <w:rPr>
          <w:i/>
          <w:sz w:val="24"/>
        </w:rPr>
        <w:t>Registered Participant </w:t>
      </w:r>
      <w:r>
        <w:rPr>
          <w:sz w:val="24"/>
        </w:rPr>
        <w:t>to design and commission the information systems necessary for it to engage in communications with </w:t>
      </w:r>
      <w:r>
        <w:rPr>
          <w:i/>
          <w:sz w:val="24"/>
        </w:rPr>
        <w:t>NTESMO </w:t>
      </w:r>
      <w:r>
        <w:rPr>
          <w:sz w:val="24"/>
        </w:rPr>
        <w:t>for the purposes of the</w:t>
      </w:r>
      <w:r>
        <w:rPr>
          <w:spacing w:val="-3"/>
          <w:sz w:val="24"/>
        </w:rPr>
        <w:t> </w:t>
      </w:r>
      <w:r>
        <w:rPr>
          <w:i/>
          <w:sz w:val="24"/>
        </w:rPr>
        <w:t>Rules</w:t>
      </w:r>
      <w:r>
        <w:rPr>
          <w:sz w:val="24"/>
        </w:rPr>
        <w:t>.</w:t>
      </w:r>
    </w:p>
    <w:p>
      <w:pPr>
        <w:pStyle w:val="ListParagraph"/>
        <w:numPr>
          <w:ilvl w:val="0"/>
          <w:numId w:val="522"/>
        </w:numPr>
        <w:tabs>
          <w:tab w:pos="1919" w:val="left" w:leader="none"/>
        </w:tabs>
        <w:spacing w:line="240" w:lineRule="auto" w:before="120" w:after="0"/>
        <w:ind w:left="1919" w:right="415" w:hanging="567"/>
        <w:jc w:val="both"/>
        <w:rPr>
          <w:sz w:val="24"/>
        </w:rPr>
      </w:pPr>
      <w:r>
        <w:rPr>
          <w:sz w:val="24"/>
        </w:rPr>
        <w:t>The communication guideline may include types of </w:t>
      </w:r>
      <w:r>
        <w:rPr>
          <w:i/>
          <w:sz w:val="24"/>
        </w:rPr>
        <w:t>metering </w:t>
      </w:r>
      <w:r>
        <w:rPr>
          <w:sz w:val="24"/>
        </w:rPr>
        <w:t>information that must be included in the </w:t>
      </w:r>
      <w:r>
        <w:rPr>
          <w:i/>
          <w:sz w:val="24"/>
        </w:rPr>
        <w:t>metering</w:t>
      </w:r>
      <w:r>
        <w:rPr>
          <w:i/>
          <w:spacing w:val="-3"/>
          <w:sz w:val="24"/>
        </w:rPr>
        <w:t> </w:t>
      </w:r>
      <w:r>
        <w:rPr>
          <w:i/>
          <w:sz w:val="24"/>
        </w:rPr>
        <w:t>register</w:t>
      </w:r>
      <w:r>
        <w:rPr>
          <w:sz w:val="24"/>
        </w:rPr>
        <w:t>.</w:t>
      </w:r>
    </w:p>
    <w:p>
      <w:pPr>
        <w:pStyle w:val="BodyText"/>
        <w:spacing w:before="10"/>
        <w:ind w:firstLine="0"/>
        <w:jc w:val="left"/>
        <w:rPr>
          <w:sz w:val="20"/>
        </w:rPr>
      </w:pPr>
    </w:p>
    <w:p>
      <w:pPr>
        <w:pStyle w:val="Heading2"/>
        <w:tabs>
          <w:tab w:pos="2485" w:val="left" w:leader="none"/>
        </w:tabs>
      </w:pPr>
      <w:bookmarkStart w:name="Schedule 7A.2 Metering provider" w:id="1851"/>
      <w:bookmarkEnd w:id="1851"/>
      <w:r>
        <w:rPr>
          <w:b w:val="0"/>
        </w:rPr>
      </w:r>
      <w:bookmarkStart w:name="_bookmark751" w:id="1852"/>
      <w:bookmarkEnd w:id="1852"/>
      <w:r>
        <w:rPr>
          <w:b w:val="0"/>
        </w:rPr>
      </w:r>
      <w:r>
        <w:rPr/>
        <w:t>Schedule</w:t>
      </w:r>
      <w:r>
        <w:rPr>
          <w:spacing w:val="-1"/>
        </w:rPr>
        <w:t> </w:t>
      </w:r>
      <w:r>
        <w:rPr/>
        <w:t>7A.2</w:t>
        <w:tab/>
        <w:t>Metering provider</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detail of this schedule will be considered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2"/>
        <w:tabs>
          <w:tab w:pos="2485" w:val="left" w:leader="none"/>
        </w:tabs>
      </w:pPr>
      <w:bookmarkStart w:name="Schedule 7A.3 Metering data provider" w:id="1853"/>
      <w:bookmarkEnd w:id="1853"/>
      <w:r>
        <w:rPr>
          <w:b w:val="0"/>
        </w:rPr>
      </w:r>
      <w:bookmarkStart w:name="_bookmark752" w:id="1854"/>
      <w:bookmarkEnd w:id="1854"/>
      <w:r>
        <w:rPr>
          <w:b w:val="0"/>
        </w:rPr>
      </w:r>
      <w:r>
        <w:rPr/>
        <w:t>Schedule</w:t>
      </w:r>
      <w:r>
        <w:rPr>
          <w:spacing w:val="-1"/>
        </w:rPr>
        <w:t> </w:t>
      </w:r>
      <w:r>
        <w:rPr/>
        <w:t>7A.3</w:t>
        <w:tab/>
        <w:t>Metering data provider</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detail of this schedule will be considered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2"/>
        <w:tabs>
          <w:tab w:pos="2485" w:val="left" w:leader="none"/>
        </w:tabs>
      </w:pPr>
      <w:bookmarkStart w:name="Schedule 7A.4 Types and accuracy of mete" w:id="1855"/>
      <w:bookmarkEnd w:id="1855"/>
      <w:r>
        <w:rPr>
          <w:b w:val="0"/>
        </w:rPr>
      </w:r>
      <w:bookmarkStart w:name="_bookmark753" w:id="1856"/>
      <w:bookmarkEnd w:id="1856"/>
      <w:r>
        <w:rPr>
          <w:b w:val="0"/>
        </w:rPr>
      </w:r>
      <w:r>
        <w:rPr/>
        <w:t>Schedule</w:t>
      </w:r>
      <w:r>
        <w:rPr>
          <w:spacing w:val="-1"/>
        </w:rPr>
        <w:t> </w:t>
      </w:r>
      <w:r>
        <w:rPr/>
        <w:t>7A.4</w:t>
        <w:tab/>
        <w:t>Types and accuracy of metering</w:t>
      </w:r>
      <w:r>
        <w:rPr>
          <w:spacing w:val="-5"/>
        </w:rPr>
        <w:t> </w:t>
      </w:r>
      <w:r>
        <w:rPr/>
        <w:t>installations</w:t>
      </w:r>
    </w:p>
    <w:p>
      <w:pPr>
        <w:pStyle w:val="Heading4"/>
        <w:tabs>
          <w:tab w:pos="1351" w:val="left" w:leader="none"/>
        </w:tabs>
        <w:spacing w:before="240"/>
        <w:ind w:left="218" w:firstLine="0"/>
      </w:pPr>
      <w:bookmarkStart w:name="S7A.4.1 General requirements" w:id="1857"/>
      <w:bookmarkEnd w:id="1857"/>
      <w:r>
        <w:rPr>
          <w:b w:val="0"/>
        </w:rPr>
      </w:r>
      <w:bookmarkStart w:name="_bookmark754" w:id="1858"/>
      <w:bookmarkEnd w:id="1858"/>
      <w:r>
        <w:rPr>
          <w:b w:val="0"/>
        </w:rPr>
      </w:r>
      <w:r>
        <w:rPr/>
        <w:t>S7A.4.1</w:t>
        <w:tab/>
        <w:t>General</w:t>
      </w:r>
      <w:r>
        <w:rPr>
          <w:spacing w:val="-1"/>
        </w:rPr>
        <w:t> </w:t>
      </w:r>
      <w:r>
        <w:rPr/>
        <w:t>requirements</w:t>
      </w:r>
    </w:p>
    <w:p>
      <w:pPr>
        <w:spacing w:before="120"/>
        <w:ind w:left="1352" w:right="0" w:firstLine="0"/>
        <w:jc w:val="left"/>
        <w:rPr>
          <w:sz w:val="24"/>
        </w:rPr>
      </w:pPr>
      <w:r>
        <w:rPr>
          <w:sz w:val="24"/>
        </w:rPr>
        <w:t>This schedule sets out the minimum requirements for </w:t>
      </w:r>
      <w:r>
        <w:rPr>
          <w:i/>
          <w:sz w:val="24"/>
        </w:rPr>
        <w:t>metering installations</w:t>
      </w:r>
      <w:r>
        <w:rPr>
          <w:sz w:val="24"/>
        </w:rPr>
        <w:t>.</w:t>
      </w:r>
    </w:p>
    <w:p>
      <w:pPr>
        <w:spacing w:after="0"/>
        <w:jc w:val="left"/>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7A.4.2 Accuracy requirements for meteri" w:id="1859"/>
      <w:bookmarkEnd w:id="1859"/>
      <w:r>
        <w:rPr>
          <w:b w:val="0"/>
        </w:rPr>
      </w:r>
      <w:bookmarkStart w:name="_bookmark755" w:id="1860"/>
      <w:bookmarkEnd w:id="1860"/>
      <w:r>
        <w:rPr>
          <w:b w:val="0"/>
        </w:rPr>
      </w:r>
      <w:r>
        <w:rPr/>
        <w:t>S7A.4.2</w:t>
        <w:tab/>
        <w:t>Accuracy requirements for metering</w:t>
      </w:r>
      <w:r>
        <w:rPr>
          <w:spacing w:val="-6"/>
        </w:rPr>
        <w:t> </w:t>
      </w:r>
      <w:r>
        <w:rPr/>
        <w:t>installations</w:t>
      </w:r>
    </w:p>
    <w:p>
      <w:pPr>
        <w:spacing w:before="120"/>
        <w:ind w:left="218" w:right="0" w:firstLine="0"/>
        <w:jc w:val="left"/>
        <w:rPr>
          <w:rFonts w:ascii="Arial"/>
          <w:b/>
          <w:sz w:val="22"/>
        </w:rPr>
      </w:pPr>
      <w:r>
        <w:rPr>
          <w:rFonts w:ascii="Arial"/>
          <w:b/>
          <w:sz w:val="22"/>
        </w:rPr>
        <w:t>Table S7A.4.2.1 Overall accuracy requirements of metering installation components</w:t>
      </w:r>
    </w:p>
    <w:p>
      <w:pPr>
        <w:pStyle w:val="BodyText"/>
        <w:spacing w:before="7" w:after="1"/>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5"/>
        <w:gridCol w:w="1511"/>
        <w:gridCol w:w="1512"/>
        <w:gridCol w:w="1513"/>
        <w:gridCol w:w="2268"/>
        <w:gridCol w:w="1512"/>
      </w:tblGrid>
      <w:tr>
        <w:trPr>
          <w:trHeight w:val="947" w:hRule="atLeast"/>
        </w:trPr>
        <w:tc>
          <w:tcPr>
            <w:tcW w:w="755"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Type</w:t>
            </w:r>
          </w:p>
        </w:tc>
        <w:tc>
          <w:tcPr>
            <w:tcW w:w="1511" w:type="dxa"/>
            <w:vMerge w:val="restart"/>
            <w:tcBorders>
              <w:left w:val="single" w:sz="4" w:space="0" w:color="000000"/>
              <w:bottom w:val="single" w:sz="4" w:space="0" w:color="000000"/>
              <w:right w:val="single" w:sz="4" w:space="0" w:color="000000"/>
            </w:tcBorders>
            <w:shd w:val="clear" w:color="auto" w:fill="D9D9D9"/>
          </w:tcPr>
          <w:p>
            <w:pPr>
              <w:pStyle w:val="TableParagraph"/>
              <w:ind w:right="9"/>
              <w:rPr>
                <w:rFonts w:ascii="Arial"/>
                <w:b/>
                <w:sz w:val="24"/>
              </w:rPr>
            </w:pPr>
            <w:r>
              <w:rPr>
                <w:rFonts w:ascii="Arial"/>
                <w:b/>
                <w:sz w:val="24"/>
              </w:rPr>
              <w:t>Volume limit per annum per connection point</w:t>
            </w:r>
          </w:p>
        </w:tc>
        <w:tc>
          <w:tcPr>
            <w:tcW w:w="3025" w:type="dxa"/>
            <w:gridSpan w:val="2"/>
            <w:tcBorders>
              <w:left w:val="single" w:sz="4" w:space="0" w:color="000000"/>
              <w:right w:val="single" w:sz="4" w:space="0" w:color="000000"/>
            </w:tcBorders>
            <w:shd w:val="clear" w:color="auto" w:fill="D9D9D9"/>
          </w:tcPr>
          <w:p>
            <w:pPr>
              <w:pStyle w:val="TableParagraph"/>
              <w:spacing w:line="270" w:lineRule="atLeast"/>
              <w:ind w:right="270"/>
              <w:rPr>
                <w:rFonts w:ascii="Arial" w:hAnsi="Arial"/>
                <w:b/>
                <w:sz w:val="24"/>
              </w:rPr>
            </w:pPr>
            <w:r>
              <w:rPr>
                <w:rFonts w:ascii="Arial" w:hAnsi="Arial"/>
                <w:b/>
                <w:sz w:val="24"/>
              </w:rPr>
              <w:t>Maximum allowable overall error (±%) at full load (Item 6)</w:t>
            </w:r>
          </w:p>
        </w:tc>
        <w:tc>
          <w:tcPr>
            <w:tcW w:w="2268" w:type="dxa"/>
            <w:vMerge w:val="restart"/>
            <w:tcBorders>
              <w:left w:val="single" w:sz="4" w:space="0" w:color="000000"/>
              <w:bottom w:val="single" w:sz="4" w:space="0" w:color="000000"/>
              <w:right w:val="single" w:sz="4" w:space="0" w:color="000000"/>
            </w:tcBorders>
            <w:shd w:val="clear" w:color="auto" w:fill="D9D9D9"/>
          </w:tcPr>
          <w:p>
            <w:pPr>
              <w:pStyle w:val="TableParagraph"/>
              <w:ind w:left="44" w:right="286"/>
              <w:rPr>
                <w:rFonts w:ascii="Arial"/>
                <w:b/>
                <w:sz w:val="24"/>
              </w:rPr>
            </w:pPr>
            <w:r>
              <w:rPr>
                <w:rFonts w:ascii="Arial"/>
                <w:b/>
                <w:sz w:val="24"/>
              </w:rPr>
              <w:t>Minimum acceptable class or standard of components</w:t>
            </w:r>
          </w:p>
        </w:tc>
        <w:tc>
          <w:tcPr>
            <w:tcW w:w="1512" w:type="dxa"/>
            <w:vMerge w:val="restart"/>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23"/>
              <w:rPr>
                <w:rFonts w:ascii="Arial"/>
                <w:b/>
                <w:sz w:val="24"/>
              </w:rPr>
            </w:pPr>
            <w:r>
              <w:rPr>
                <w:rFonts w:ascii="Arial"/>
                <w:b/>
                <w:sz w:val="24"/>
              </w:rPr>
              <w:t>Metering installation clock error (seconds) in reference to ACST</w:t>
            </w:r>
          </w:p>
        </w:tc>
      </w:tr>
      <w:tr>
        <w:trPr>
          <w:trHeight w:val="807" w:hRule="atLeast"/>
        </w:trPr>
        <w:tc>
          <w:tcPr>
            <w:tcW w:w="755" w:type="dxa"/>
            <w:vMerge/>
            <w:tcBorders>
              <w:top w:val="nil"/>
              <w:bottom w:val="single" w:sz="4" w:space="0" w:color="000000"/>
              <w:right w:val="single" w:sz="4" w:space="0" w:color="000000"/>
            </w:tcBorders>
            <w:shd w:val="clear" w:color="auto" w:fill="D9D9D9"/>
          </w:tcPr>
          <w:p>
            <w:pPr>
              <w:rPr>
                <w:sz w:val="2"/>
                <w:szCs w:val="2"/>
              </w:rPr>
            </w:pPr>
          </w:p>
        </w:tc>
        <w:tc>
          <w:tcPr>
            <w:tcW w:w="1511"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c>
          <w:tcPr>
            <w:tcW w:w="1512" w:type="dxa"/>
            <w:tcBorders>
              <w:left w:val="single" w:sz="4" w:space="0" w:color="000000"/>
              <w:bottom w:val="single" w:sz="4" w:space="0" w:color="000000"/>
              <w:right w:val="single" w:sz="4" w:space="0" w:color="000000"/>
            </w:tcBorders>
            <w:shd w:val="clear" w:color="auto" w:fill="D9D9D9"/>
          </w:tcPr>
          <w:p>
            <w:pPr>
              <w:pStyle w:val="TableParagraph"/>
              <w:ind w:left="420"/>
              <w:rPr>
                <w:rFonts w:ascii="Arial"/>
                <w:b/>
                <w:sz w:val="24"/>
              </w:rPr>
            </w:pPr>
            <w:r>
              <w:rPr>
                <w:rFonts w:ascii="Arial"/>
                <w:b/>
                <w:sz w:val="24"/>
              </w:rPr>
              <w:t>active</w:t>
            </w:r>
          </w:p>
        </w:tc>
        <w:tc>
          <w:tcPr>
            <w:tcW w:w="1513" w:type="dxa"/>
            <w:tcBorders>
              <w:left w:val="single" w:sz="4" w:space="0" w:color="000000"/>
              <w:bottom w:val="single" w:sz="4" w:space="0" w:color="000000"/>
              <w:right w:val="single" w:sz="4" w:space="0" w:color="000000"/>
            </w:tcBorders>
            <w:shd w:val="clear" w:color="auto" w:fill="D9D9D9"/>
          </w:tcPr>
          <w:p>
            <w:pPr>
              <w:pStyle w:val="TableParagraph"/>
              <w:ind w:left="307"/>
              <w:rPr>
                <w:rFonts w:ascii="Arial"/>
                <w:b/>
                <w:sz w:val="24"/>
              </w:rPr>
            </w:pPr>
            <w:r>
              <w:rPr>
                <w:rFonts w:ascii="Arial"/>
                <w:b/>
                <w:sz w:val="24"/>
              </w:rPr>
              <w:t>reactive</w:t>
            </w:r>
          </w:p>
        </w:tc>
        <w:tc>
          <w:tcPr>
            <w:tcW w:w="2268"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c>
          <w:tcPr>
            <w:tcW w:w="1512"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r>
      <w:tr>
        <w:trPr>
          <w:trHeight w:val="911"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1</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116"/>
              <w:rPr>
                <w:sz w:val="24"/>
              </w:rPr>
            </w:pPr>
            <w:r>
              <w:rPr>
                <w:sz w:val="24"/>
              </w:rPr>
              <w:t>greater than 1 000GWh</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0.5</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0.2CT/VT/</w:t>
            </w:r>
            <w:r>
              <w:rPr>
                <w:i/>
                <w:sz w:val="24"/>
              </w:rPr>
              <w:t>meter </w:t>
            </w:r>
            <w:r>
              <w:rPr>
                <w:sz w:val="24"/>
              </w:rPr>
              <w:t>Wh</w:t>
            </w:r>
          </w:p>
          <w:p>
            <w:pPr>
              <w:pStyle w:val="TableParagraph"/>
              <w:ind w:left="44"/>
              <w:rPr>
                <w:sz w:val="24"/>
              </w:rPr>
            </w:pPr>
            <w:r>
              <w:rPr>
                <w:sz w:val="24"/>
              </w:rPr>
              <w:t>0.5 </w:t>
            </w:r>
            <w:r>
              <w:rPr>
                <w:i/>
                <w:sz w:val="24"/>
              </w:rPr>
              <w:t>meter </w:t>
            </w:r>
            <w:r>
              <w:rPr>
                <w:sz w:val="24"/>
              </w:rPr>
              <w:t>varh</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w:t>
            </w:r>
          </w:p>
        </w:tc>
      </w:tr>
      <w:tr>
        <w:trPr>
          <w:trHeight w:val="911"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2</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556"/>
              <w:rPr>
                <w:sz w:val="24"/>
              </w:rPr>
            </w:pPr>
            <w:r>
              <w:rPr>
                <w:sz w:val="24"/>
              </w:rPr>
              <w:t>100 to 1 000GWh</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0.5CT/VT/</w:t>
            </w:r>
            <w:r>
              <w:rPr>
                <w:i/>
                <w:sz w:val="24"/>
              </w:rPr>
              <w:t>meter </w:t>
            </w:r>
            <w:r>
              <w:rPr>
                <w:sz w:val="24"/>
              </w:rPr>
              <w:t>Wh</w:t>
            </w:r>
          </w:p>
          <w:p>
            <w:pPr>
              <w:pStyle w:val="TableParagraph"/>
              <w:ind w:left="44"/>
              <w:rPr>
                <w:sz w:val="24"/>
              </w:rPr>
            </w:pPr>
            <w:r>
              <w:rPr>
                <w:sz w:val="24"/>
              </w:rPr>
              <w:t>1.0 </w:t>
            </w:r>
            <w:r>
              <w:rPr>
                <w:i/>
                <w:sz w:val="24"/>
              </w:rPr>
              <w:t>meter </w:t>
            </w:r>
            <w:r>
              <w:rPr>
                <w:sz w:val="24"/>
              </w:rPr>
              <w:t>varh</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±7</w:t>
            </w:r>
          </w:p>
        </w:tc>
      </w:tr>
      <w:tr>
        <w:trPr>
          <w:trHeight w:val="1703"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3</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22"/>
              <w:rPr>
                <w:sz w:val="24"/>
              </w:rPr>
            </w:pPr>
            <w:r>
              <w:rPr>
                <w:sz w:val="24"/>
              </w:rPr>
              <w:t>0.75 to less than 100 GWh</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3.0</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0.5CT/VT</w:t>
            </w:r>
          </w:p>
          <w:p>
            <w:pPr>
              <w:pStyle w:val="TableParagraph"/>
              <w:ind w:left="44"/>
              <w:rPr>
                <w:sz w:val="24"/>
              </w:rPr>
            </w:pPr>
            <w:r>
              <w:rPr>
                <w:sz w:val="24"/>
              </w:rPr>
              <w:t>1.0 </w:t>
            </w:r>
            <w:r>
              <w:rPr>
                <w:i/>
                <w:sz w:val="24"/>
              </w:rPr>
              <w:t>meter </w:t>
            </w:r>
            <w:r>
              <w:rPr>
                <w:sz w:val="24"/>
              </w:rPr>
              <w:t>Wh</w:t>
            </w:r>
          </w:p>
          <w:p>
            <w:pPr>
              <w:pStyle w:val="TableParagraph"/>
              <w:spacing w:line="390" w:lineRule="atLeast" w:before="6"/>
              <w:ind w:left="44" w:right="801"/>
              <w:rPr>
                <w:sz w:val="24"/>
              </w:rPr>
            </w:pPr>
            <w:r>
              <w:rPr>
                <w:sz w:val="24"/>
              </w:rPr>
              <w:t>2.0 </w:t>
            </w:r>
            <w:r>
              <w:rPr>
                <w:i/>
                <w:sz w:val="24"/>
              </w:rPr>
              <w:t>meter </w:t>
            </w:r>
            <w:r>
              <w:rPr>
                <w:sz w:val="24"/>
              </w:rPr>
              <w:t>varh (Item 1)</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r>
      <w:tr>
        <w:trPr>
          <w:trHeight w:val="2567"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4</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182"/>
              <w:rPr>
                <w:sz w:val="24"/>
              </w:rPr>
            </w:pPr>
            <w:r>
              <w:rPr>
                <w:sz w:val="24"/>
              </w:rPr>
              <w:t>less than 750 MWh</w:t>
            </w:r>
          </w:p>
          <w:p>
            <w:pPr>
              <w:pStyle w:val="TableParagraph"/>
              <w:rPr>
                <w:sz w:val="24"/>
              </w:rPr>
            </w:pPr>
            <w:r>
              <w:rPr>
                <w:sz w:val="24"/>
              </w:rPr>
              <w:t>(Item 2)</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n/a</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ight="61"/>
              <w:rPr>
                <w:sz w:val="24"/>
              </w:rPr>
            </w:pPr>
            <w:r>
              <w:rPr>
                <w:sz w:val="24"/>
              </w:rPr>
              <w:t>Either 0.5 CT and 1.0 </w:t>
            </w:r>
            <w:r>
              <w:rPr>
                <w:i/>
                <w:sz w:val="24"/>
              </w:rPr>
              <w:t>meter </w:t>
            </w:r>
            <w:r>
              <w:rPr>
                <w:sz w:val="24"/>
              </w:rPr>
              <w:t>Wh; or whole current general purpose </w:t>
            </w:r>
            <w:r>
              <w:rPr>
                <w:i/>
                <w:sz w:val="24"/>
              </w:rPr>
              <w:t>meter </w:t>
            </w:r>
            <w:r>
              <w:rPr>
                <w:sz w:val="24"/>
              </w:rPr>
              <w:t>Wh meets requirements of clause 7A.6.2(a)(9) and 7A.8.9(a)</w:t>
            </w:r>
          </w:p>
          <w:p>
            <w:pPr>
              <w:pStyle w:val="TableParagraph"/>
              <w:ind w:left="44"/>
              <w:rPr>
                <w:sz w:val="24"/>
              </w:rPr>
            </w:pPr>
            <w:r>
              <w:rPr>
                <w:sz w:val="24"/>
              </w:rPr>
              <w:t>(Item 1)</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r>
      <w:tr>
        <w:trPr>
          <w:trHeight w:val="2171"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4A</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422"/>
              <w:rPr>
                <w:sz w:val="24"/>
              </w:rPr>
            </w:pPr>
            <w:r>
              <w:rPr>
                <w:sz w:val="24"/>
              </w:rPr>
              <w:t>less than x MWh</w:t>
            </w:r>
          </w:p>
          <w:p>
            <w:pPr>
              <w:pStyle w:val="TableParagraph"/>
              <w:rPr>
                <w:sz w:val="24"/>
              </w:rPr>
            </w:pPr>
            <w:r>
              <w:rPr>
                <w:sz w:val="24"/>
              </w:rPr>
              <w:t>(Item 3)</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3.0</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ight="61"/>
              <w:rPr>
                <w:sz w:val="24"/>
              </w:rPr>
            </w:pPr>
            <w:r>
              <w:rPr>
                <w:sz w:val="24"/>
              </w:rPr>
              <w:t>Either 0.5 CT and 1.0 </w:t>
            </w:r>
            <w:r>
              <w:rPr>
                <w:i/>
                <w:sz w:val="24"/>
              </w:rPr>
              <w:t>meter </w:t>
            </w:r>
            <w:r>
              <w:rPr>
                <w:sz w:val="24"/>
              </w:rPr>
              <w:t>Wh; or whole current general purpose </w:t>
            </w:r>
            <w:r>
              <w:rPr>
                <w:i/>
                <w:sz w:val="24"/>
              </w:rPr>
              <w:t>meter </w:t>
            </w:r>
            <w:r>
              <w:rPr>
                <w:sz w:val="24"/>
              </w:rPr>
              <w:t>Wh meets requirements of clause 7A.6.2(a)(10) and 7A.8.9(b)</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r>
      <w:tr>
        <w:trPr>
          <w:trHeight w:val="2843" w:hRule="atLeast"/>
        </w:trPr>
        <w:tc>
          <w:tcPr>
            <w:tcW w:w="755" w:type="dxa"/>
            <w:tcBorders>
              <w:top w:val="single" w:sz="4" w:space="0" w:color="000000"/>
              <w:bottom w:val="single" w:sz="4" w:space="0" w:color="000000"/>
              <w:right w:val="single" w:sz="4" w:space="0" w:color="000000"/>
            </w:tcBorders>
          </w:tcPr>
          <w:p>
            <w:pPr>
              <w:pStyle w:val="TableParagraph"/>
              <w:ind w:left="40"/>
              <w:rPr>
                <w:sz w:val="24"/>
              </w:rPr>
            </w:pPr>
            <w:r>
              <w:rPr>
                <w:sz w:val="24"/>
              </w:rPr>
              <w:t>5</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right="422"/>
              <w:rPr>
                <w:sz w:val="24"/>
              </w:rPr>
            </w:pPr>
            <w:r>
              <w:rPr>
                <w:sz w:val="24"/>
              </w:rPr>
              <w:t>less than x MWh</w:t>
            </w:r>
          </w:p>
          <w:p>
            <w:pPr>
              <w:pStyle w:val="TableParagraph"/>
              <w:rPr>
                <w:sz w:val="24"/>
              </w:rPr>
            </w:pPr>
            <w:r>
              <w:rPr>
                <w:sz w:val="24"/>
              </w:rPr>
              <w:t>(Item 3)</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n/a</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ind w:left="44" w:right="21"/>
              <w:rPr>
                <w:sz w:val="24"/>
              </w:rPr>
            </w:pPr>
            <w:r>
              <w:rPr>
                <w:sz w:val="24"/>
              </w:rPr>
              <w:t>Either 0.5 CT and 1.0 </w:t>
            </w:r>
            <w:r>
              <w:rPr>
                <w:i/>
                <w:sz w:val="24"/>
              </w:rPr>
              <w:t>meter </w:t>
            </w:r>
            <w:r>
              <w:rPr>
                <w:sz w:val="24"/>
              </w:rPr>
              <w:t>Wh; or whole current connected general purpose </w:t>
            </w:r>
            <w:r>
              <w:rPr>
                <w:i/>
                <w:sz w:val="24"/>
              </w:rPr>
              <w:t>meter </w:t>
            </w:r>
            <w:r>
              <w:rPr>
                <w:sz w:val="24"/>
              </w:rPr>
              <w:t>Wh meets requirements of clause 7A.6.2(a)(10) and</w:t>
            </w:r>
          </w:p>
          <w:p>
            <w:pPr>
              <w:pStyle w:val="TableParagraph"/>
              <w:spacing w:before="0"/>
              <w:ind w:left="44"/>
              <w:rPr>
                <w:sz w:val="24"/>
              </w:rPr>
            </w:pPr>
            <w:r>
              <w:rPr>
                <w:sz w:val="24"/>
              </w:rPr>
              <w:t>7A.8.9(b).</w:t>
            </w:r>
          </w:p>
          <w:p>
            <w:pPr>
              <w:pStyle w:val="TableParagraph"/>
              <w:ind w:left="44"/>
              <w:rPr>
                <w:sz w:val="24"/>
              </w:rPr>
            </w:pPr>
            <w:r>
              <w:rPr>
                <w:sz w:val="24"/>
              </w:rPr>
              <w:t>(Item 1)</w:t>
            </w:r>
          </w:p>
        </w:tc>
        <w:tc>
          <w:tcPr>
            <w:tcW w:w="151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r>
    </w:tbl>
    <w:p>
      <w:pPr>
        <w:spacing w:after="0"/>
        <w:rPr>
          <w:sz w:val="24"/>
        </w:rPr>
        <w:sectPr>
          <w:pgSz w:w="11910" w:h="16840"/>
          <w:pgMar w:header="686" w:footer="637" w:top="1320" w:bottom="820" w:left="1200" w:right="1000"/>
        </w:sectPr>
      </w:pPr>
    </w:p>
    <w:p>
      <w:pPr>
        <w:pStyle w:val="BodyText"/>
        <w:spacing w:before="2"/>
        <w:ind w:firstLine="0"/>
        <w:jc w:val="left"/>
        <w:rPr>
          <w:rFonts w:ascii="Arial"/>
          <w:b/>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5"/>
        <w:gridCol w:w="1511"/>
        <w:gridCol w:w="1512"/>
        <w:gridCol w:w="1513"/>
        <w:gridCol w:w="2268"/>
        <w:gridCol w:w="1512"/>
      </w:tblGrid>
      <w:tr>
        <w:trPr>
          <w:trHeight w:val="947" w:hRule="atLeast"/>
        </w:trPr>
        <w:tc>
          <w:tcPr>
            <w:tcW w:w="755"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Type</w:t>
            </w:r>
          </w:p>
        </w:tc>
        <w:tc>
          <w:tcPr>
            <w:tcW w:w="1511" w:type="dxa"/>
            <w:vMerge w:val="restart"/>
            <w:tcBorders>
              <w:left w:val="single" w:sz="4" w:space="0" w:color="000000"/>
              <w:bottom w:val="single" w:sz="4" w:space="0" w:color="000000"/>
              <w:right w:val="single" w:sz="4" w:space="0" w:color="000000"/>
            </w:tcBorders>
            <w:shd w:val="clear" w:color="auto" w:fill="D9D9D9"/>
          </w:tcPr>
          <w:p>
            <w:pPr>
              <w:pStyle w:val="TableParagraph"/>
              <w:ind w:right="9"/>
              <w:rPr>
                <w:rFonts w:ascii="Arial"/>
                <w:b/>
                <w:sz w:val="24"/>
              </w:rPr>
            </w:pPr>
            <w:r>
              <w:rPr>
                <w:rFonts w:ascii="Arial"/>
                <w:b/>
                <w:sz w:val="24"/>
              </w:rPr>
              <w:t>Volume limit per annum per connection point</w:t>
            </w:r>
          </w:p>
        </w:tc>
        <w:tc>
          <w:tcPr>
            <w:tcW w:w="3025" w:type="dxa"/>
            <w:gridSpan w:val="2"/>
            <w:tcBorders>
              <w:left w:val="single" w:sz="4" w:space="0" w:color="000000"/>
              <w:right w:val="single" w:sz="4" w:space="0" w:color="000000"/>
            </w:tcBorders>
            <w:shd w:val="clear" w:color="auto" w:fill="D9D9D9"/>
          </w:tcPr>
          <w:p>
            <w:pPr>
              <w:pStyle w:val="TableParagraph"/>
              <w:spacing w:line="270" w:lineRule="atLeast"/>
              <w:ind w:right="270"/>
              <w:rPr>
                <w:rFonts w:ascii="Arial" w:hAnsi="Arial"/>
                <w:b/>
                <w:sz w:val="24"/>
              </w:rPr>
            </w:pPr>
            <w:r>
              <w:rPr>
                <w:rFonts w:ascii="Arial" w:hAnsi="Arial"/>
                <w:b/>
                <w:sz w:val="24"/>
              </w:rPr>
              <w:t>Maximum allowable overall error (±%) at full load (Item 6)</w:t>
            </w:r>
          </w:p>
        </w:tc>
        <w:tc>
          <w:tcPr>
            <w:tcW w:w="2268" w:type="dxa"/>
            <w:vMerge w:val="restart"/>
            <w:tcBorders>
              <w:left w:val="single" w:sz="4" w:space="0" w:color="000000"/>
              <w:bottom w:val="single" w:sz="4" w:space="0" w:color="000000"/>
              <w:right w:val="single" w:sz="4" w:space="0" w:color="000000"/>
            </w:tcBorders>
            <w:shd w:val="clear" w:color="auto" w:fill="D9D9D9"/>
          </w:tcPr>
          <w:p>
            <w:pPr>
              <w:pStyle w:val="TableParagraph"/>
              <w:ind w:left="44" w:right="286"/>
              <w:rPr>
                <w:rFonts w:ascii="Arial"/>
                <w:b/>
                <w:sz w:val="24"/>
              </w:rPr>
            </w:pPr>
            <w:r>
              <w:rPr>
                <w:rFonts w:ascii="Arial"/>
                <w:b/>
                <w:sz w:val="24"/>
              </w:rPr>
              <w:t>Minimum acceptable class or standard of components</w:t>
            </w:r>
          </w:p>
        </w:tc>
        <w:tc>
          <w:tcPr>
            <w:tcW w:w="1512" w:type="dxa"/>
            <w:vMerge w:val="restart"/>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23"/>
              <w:rPr>
                <w:rFonts w:ascii="Arial"/>
                <w:b/>
                <w:sz w:val="24"/>
              </w:rPr>
            </w:pPr>
            <w:r>
              <w:rPr>
                <w:rFonts w:ascii="Arial"/>
                <w:b/>
                <w:sz w:val="24"/>
              </w:rPr>
              <w:t>Metering installation clock error (seconds) in reference to ACST</w:t>
            </w:r>
          </w:p>
        </w:tc>
      </w:tr>
      <w:tr>
        <w:trPr>
          <w:trHeight w:val="807" w:hRule="atLeast"/>
        </w:trPr>
        <w:tc>
          <w:tcPr>
            <w:tcW w:w="755" w:type="dxa"/>
            <w:vMerge/>
            <w:tcBorders>
              <w:top w:val="nil"/>
              <w:bottom w:val="single" w:sz="4" w:space="0" w:color="000000"/>
              <w:right w:val="single" w:sz="4" w:space="0" w:color="000000"/>
            </w:tcBorders>
            <w:shd w:val="clear" w:color="auto" w:fill="D9D9D9"/>
          </w:tcPr>
          <w:p>
            <w:pPr>
              <w:rPr>
                <w:sz w:val="2"/>
                <w:szCs w:val="2"/>
              </w:rPr>
            </w:pPr>
          </w:p>
        </w:tc>
        <w:tc>
          <w:tcPr>
            <w:tcW w:w="1511"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c>
          <w:tcPr>
            <w:tcW w:w="1512" w:type="dxa"/>
            <w:tcBorders>
              <w:left w:val="single" w:sz="4" w:space="0" w:color="000000"/>
              <w:bottom w:val="single" w:sz="4" w:space="0" w:color="000000"/>
              <w:right w:val="single" w:sz="4" w:space="0" w:color="000000"/>
            </w:tcBorders>
            <w:shd w:val="clear" w:color="auto" w:fill="D9D9D9"/>
          </w:tcPr>
          <w:p>
            <w:pPr>
              <w:pStyle w:val="TableParagraph"/>
              <w:ind w:left="420"/>
              <w:rPr>
                <w:rFonts w:ascii="Arial"/>
                <w:b/>
                <w:sz w:val="24"/>
              </w:rPr>
            </w:pPr>
            <w:r>
              <w:rPr>
                <w:rFonts w:ascii="Arial"/>
                <w:b/>
                <w:sz w:val="24"/>
              </w:rPr>
              <w:t>active</w:t>
            </w:r>
          </w:p>
        </w:tc>
        <w:tc>
          <w:tcPr>
            <w:tcW w:w="1513" w:type="dxa"/>
            <w:tcBorders>
              <w:left w:val="single" w:sz="4" w:space="0" w:color="000000"/>
              <w:bottom w:val="single" w:sz="4" w:space="0" w:color="000000"/>
              <w:right w:val="single" w:sz="4" w:space="0" w:color="000000"/>
            </w:tcBorders>
            <w:shd w:val="clear" w:color="auto" w:fill="D9D9D9"/>
          </w:tcPr>
          <w:p>
            <w:pPr>
              <w:pStyle w:val="TableParagraph"/>
              <w:ind w:left="307"/>
              <w:rPr>
                <w:rFonts w:ascii="Arial"/>
                <w:b/>
                <w:sz w:val="24"/>
              </w:rPr>
            </w:pPr>
            <w:r>
              <w:rPr>
                <w:rFonts w:ascii="Arial"/>
                <w:b/>
                <w:sz w:val="24"/>
              </w:rPr>
              <w:t>reactive</w:t>
            </w:r>
          </w:p>
        </w:tc>
        <w:tc>
          <w:tcPr>
            <w:tcW w:w="2268"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c>
          <w:tcPr>
            <w:tcW w:w="1512" w:type="dxa"/>
            <w:vMerge/>
            <w:tcBorders>
              <w:top w:val="nil"/>
              <w:left w:val="single" w:sz="4" w:space="0" w:color="000000"/>
              <w:bottom w:val="single" w:sz="4" w:space="0" w:color="000000"/>
              <w:right w:val="single" w:sz="4" w:space="0" w:color="000000"/>
            </w:tcBorders>
            <w:shd w:val="clear" w:color="auto" w:fill="D9D9D9"/>
          </w:tcPr>
          <w:p>
            <w:pPr>
              <w:rPr>
                <w:sz w:val="2"/>
                <w:szCs w:val="2"/>
              </w:rPr>
            </w:pPr>
          </w:p>
        </w:tc>
      </w:tr>
      <w:tr>
        <w:trPr>
          <w:trHeight w:val="3767" w:hRule="atLeast"/>
        </w:trPr>
        <w:tc>
          <w:tcPr>
            <w:tcW w:w="755" w:type="dxa"/>
            <w:tcBorders>
              <w:top w:val="single" w:sz="4" w:space="0" w:color="000000"/>
              <w:bottom w:val="nil"/>
              <w:right w:val="single" w:sz="4" w:space="0" w:color="000000"/>
            </w:tcBorders>
          </w:tcPr>
          <w:p>
            <w:pPr>
              <w:pStyle w:val="TableParagraph"/>
              <w:ind w:left="40"/>
              <w:rPr>
                <w:sz w:val="24"/>
              </w:rPr>
            </w:pPr>
            <w:r>
              <w:rPr>
                <w:sz w:val="24"/>
              </w:rPr>
              <w:t>6</w:t>
            </w:r>
          </w:p>
        </w:tc>
        <w:tc>
          <w:tcPr>
            <w:tcW w:w="1511" w:type="dxa"/>
            <w:tcBorders>
              <w:top w:val="single" w:sz="4" w:space="0" w:color="000000"/>
              <w:left w:val="single" w:sz="4" w:space="0" w:color="000000"/>
              <w:bottom w:val="nil"/>
              <w:right w:val="single" w:sz="4" w:space="0" w:color="000000"/>
            </w:tcBorders>
          </w:tcPr>
          <w:p>
            <w:pPr>
              <w:pStyle w:val="TableParagraph"/>
              <w:ind w:right="422"/>
              <w:rPr>
                <w:sz w:val="24"/>
              </w:rPr>
            </w:pPr>
            <w:r>
              <w:rPr>
                <w:sz w:val="24"/>
              </w:rPr>
              <w:t>less than y MWh</w:t>
            </w:r>
          </w:p>
          <w:p>
            <w:pPr>
              <w:pStyle w:val="TableParagraph"/>
              <w:rPr>
                <w:sz w:val="24"/>
              </w:rPr>
            </w:pPr>
            <w:r>
              <w:rPr>
                <w:sz w:val="24"/>
              </w:rPr>
              <w:t>(Item 4)</w:t>
            </w:r>
          </w:p>
        </w:tc>
        <w:tc>
          <w:tcPr>
            <w:tcW w:w="1512" w:type="dxa"/>
            <w:tcBorders>
              <w:top w:val="single" w:sz="4" w:space="0" w:color="000000"/>
              <w:left w:val="single" w:sz="4" w:space="0" w:color="000000"/>
              <w:bottom w:val="nil"/>
              <w:right w:val="single" w:sz="4" w:space="0" w:color="000000"/>
            </w:tcBorders>
          </w:tcPr>
          <w:p>
            <w:pPr>
              <w:pStyle w:val="TableParagraph"/>
              <w:rPr>
                <w:sz w:val="24"/>
              </w:rPr>
            </w:pPr>
            <w:r>
              <w:rPr>
                <w:sz w:val="24"/>
              </w:rPr>
              <w:t>2.0</w:t>
            </w:r>
          </w:p>
        </w:tc>
        <w:tc>
          <w:tcPr>
            <w:tcW w:w="1513" w:type="dxa"/>
            <w:tcBorders>
              <w:top w:val="single" w:sz="4" w:space="0" w:color="000000"/>
              <w:left w:val="single" w:sz="4" w:space="0" w:color="000000"/>
              <w:bottom w:val="nil"/>
              <w:right w:val="single" w:sz="4" w:space="0" w:color="000000"/>
            </w:tcBorders>
          </w:tcPr>
          <w:p>
            <w:pPr>
              <w:pStyle w:val="TableParagraph"/>
              <w:ind w:left="44"/>
              <w:rPr>
                <w:sz w:val="24"/>
              </w:rPr>
            </w:pPr>
            <w:r>
              <w:rPr>
                <w:sz w:val="24"/>
              </w:rPr>
              <w:t>n/a</w:t>
            </w:r>
          </w:p>
        </w:tc>
        <w:tc>
          <w:tcPr>
            <w:tcW w:w="2268" w:type="dxa"/>
            <w:tcBorders>
              <w:top w:val="single" w:sz="4" w:space="0" w:color="000000"/>
              <w:left w:val="single" w:sz="4" w:space="0" w:color="000000"/>
              <w:bottom w:val="nil"/>
              <w:right w:val="single" w:sz="4" w:space="0" w:color="000000"/>
            </w:tcBorders>
          </w:tcPr>
          <w:p>
            <w:pPr>
              <w:pStyle w:val="TableParagraph"/>
              <w:ind w:left="44" w:right="34"/>
              <w:rPr>
                <w:sz w:val="24"/>
              </w:rPr>
            </w:pPr>
            <w:r>
              <w:rPr>
                <w:sz w:val="24"/>
              </w:rPr>
              <w:t>CT or whole current general purpose </w:t>
            </w:r>
            <w:r>
              <w:rPr>
                <w:i/>
                <w:sz w:val="24"/>
              </w:rPr>
              <w:t>meter </w:t>
            </w:r>
            <w:r>
              <w:rPr>
                <w:sz w:val="24"/>
              </w:rPr>
              <w:t>Wh recording </w:t>
            </w:r>
            <w:r>
              <w:rPr>
                <w:i/>
                <w:sz w:val="24"/>
              </w:rPr>
              <w:t>accumulated energy </w:t>
            </w:r>
            <w:r>
              <w:rPr>
                <w:i/>
                <w:sz w:val="24"/>
              </w:rPr>
              <w:t>data </w:t>
            </w:r>
            <w:r>
              <w:rPr>
                <w:sz w:val="24"/>
              </w:rPr>
              <w:t>only. Processes used to convert the </w:t>
            </w:r>
            <w:r>
              <w:rPr>
                <w:i/>
                <w:sz w:val="24"/>
              </w:rPr>
              <w:t>accumulated metering </w:t>
            </w:r>
            <w:r>
              <w:rPr>
                <w:i/>
                <w:sz w:val="24"/>
              </w:rPr>
              <w:t>data </w:t>
            </w:r>
            <w:r>
              <w:rPr>
                <w:sz w:val="24"/>
              </w:rPr>
              <w:t>into </w:t>
            </w:r>
            <w:r>
              <w:rPr>
                <w:i/>
                <w:sz w:val="24"/>
              </w:rPr>
              <w:t>recording </w:t>
            </w:r>
            <w:r>
              <w:rPr>
                <w:i/>
                <w:sz w:val="24"/>
              </w:rPr>
              <w:t>interval metering data </w:t>
            </w:r>
            <w:r>
              <w:rPr>
                <w:sz w:val="24"/>
              </w:rPr>
              <w:t>and </w:t>
            </w:r>
            <w:r>
              <w:rPr>
                <w:i/>
                <w:sz w:val="24"/>
              </w:rPr>
              <w:t>estimated </w:t>
            </w:r>
            <w:r>
              <w:rPr>
                <w:i/>
                <w:sz w:val="24"/>
              </w:rPr>
              <w:t>metering data </w:t>
            </w:r>
            <w:r>
              <w:rPr>
                <w:sz w:val="24"/>
              </w:rPr>
              <w:t>where necessary are included in schedule 7A.7.</w:t>
            </w:r>
          </w:p>
        </w:tc>
        <w:tc>
          <w:tcPr>
            <w:tcW w:w="151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445" w:hRule="atLeast"/>
        </w:trPr>
        <w:tc>
          <w:tcPr>
            <w:tcW w:w="755" w:type="dxa"/>
            <w:tcBorders>
              <w:top w:val="nil"/>
              <w:bottom w:val="single" w:sz="4" w:space="0" w:color="000000"/>
              <w:right w:val="single" w:sz="4" w:space="0" w:color="000000"/>
            </w:tcBorders>
          </w:tcPr>
          <w:p>
            <w:pPr>
              <w:pStyle w:val="TableParagraph"/>
              <w:spacing w:before="0"/>
              <w:ind w:left="0"/>
              <w:rPr>
                <w:sz w:val="22"/>
              </w:rPr>
            </w:pPr>
          </w:p>
        </w:tc>
        <w:tc>
          <w:tcPr>
            <w:tcW w:w="1511"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1512"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1513"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2268" w:type="dxa"/>
            <w:tcBorders>
              <w:top w:val="nil"/>
              <w:left w:val="single" w:sz="4" w:space="0" w:color="000000"/>
              <w:bottom w:val="single" w:sz="4" w:space="0" w:color="000000"/>
              <w:right w:val="single" w:sz="4" w:space="0" w:color="000000"/>
            </w:tcBorders>
          </w:tcPr>
          <w:p>
            <w:pPr>
              <w:pStyle w:val="TableParagraph"/>
              <w:spacing w:before="50"/>
              <w:ind w:left="44"/>
              <w:rPr>
                <w:sz w:val="24"/>
              </w:rPr>
            </w:pPr>
            <w:r>
              <w:rPr>
                <w:sz w:val="24"/>
              </w:rPr>
              <w:t>(Item 1)</w:t>
            </w:r>
          </w:p>
        </w:tc>
        <w:tc>
          <w:tcPr>
            <w:tcW w:w="1512" w:type="dxa"/>
            <w:vMerge/>
            <w:tcBorders>
              <w:top w:val="nil"/>
              <w:left w:val="single" w:sz="4" w:space="0" w:color="000000"/>
              <w:bottom w:val="single" w:sz="4" w:space="0" w:color="000000"/>
              <w:right w:val="single" w:sz="4" w:space="0" w:color="000000"/>
            </w:tcBorders>
          </w:tcPr>
          <w:p>
            <w:pPr>
              <w:rPr>
                <w:sz w:val="2"/>
                <w:szCs w:val="2"/>
              </w:rPr>
            </w:pPr>
          </w:p>
        </w:tc>
      </w:tr>
      <w:tr>
        <w:trPr>
          <w:trHeight w:val="1895" w:hRule="atLeast"/>
        </w:trPr>
        <w:tc>
          <w:tcPr>
            <w:tcW w:w="755" w:type="dxa"/>
            <w:tcBorders>
              <w:top w:val="single" w:sz="4" w:space="0" w:color="000000"/>
              <w:right w:val="single" w:sz="4" w:space="0" w:color="000000"/>
            </w:tcBorders>
          </w:tcPr>
          <w:p>
            <w:pPr>
              <w:pStyle w:val="TableParagraph"/>
              <w:ind w:left="40"/>
              <w:rPr>
                <w:sz w:val="24"/>
              </w:rPr>
            </w:pPr>
            <w:r>
              <w:rPr>
                <w:sz w:val="24"/>
              </w:rPr>
              <w:t>7</w:t>
            </w:r>
          </w:p>
        </w:tc>
        <w:tc>
          <w:tcPr>
            <w:tcW w:w="1511" w:type="dxa"/>
            <w:tcBorders>
              <w:top w:val="single" w:sz="4" w:space="0" w:color="000000"/>
              <w:left w:val="single" w:sz="4" w:space="0" w:color="000000"/>
              <w:right w:val="single" w:sz="4" w:space="0" w:color="000000"/>
            </w:tcBorders>
          </w:tcPr>
          <w:p>
            <w:pPr>
              <w:pStyle w:val="TableParagraph"/>
              <w:ind w:right="202"/>
              <w:rPr>
                <w:sz w:val="24"/>
              </w:rPr>
            </w:pPr>
            <w:r>
              <w:rPr>
                <w:sz w:val="24"/>
              </w:rPr>
              <w:t>volume limit not specified</w:t>
            </w:r>
          </w:p>
          <w:p>
            <w:pPr>
              <w:pStyle w:val="TableParagraph"/>
              <w:rPr>
                <w:sz w:val="24"/>
              </w:rPr>
            </w:pPr>
            <w:r>
              <w:rPr>
                <w:sz w:val="24"/>
              </w:rPr>
              <w:t>(Item 5)</w:t>
            </w:r>
          </w:p>
        </w:tc>
        <w:tc>
          <w:tcPr>
            <w:tcW w:w="1512" w:type="dxa"/>
            <w:tcBorders>
              <w:top w:val="single" w:sz="4" w:space="0" w:color="000000"/>
              <w:left w:val="single" w:sz="4" w:space="0" w:color="000000"/>
              <w:right w:val="single" w:sz="4" w:space="0" w:color="000000"/>
            </w:tcBorders>
          </w:tcPr>
          <w:p>
            <w:pPr>
              <w:pStyle w:val="TableParagraph"/>
              <w:rPr>
                <w:sz w:val="24"/>
              </w:rPr>
            </w:pPr>
            <w:r>
              <w:rPr>
                <w:sz w:val="24"/>
              </w:rPr>
              <w:t>(Item 6)</w:t>
            </w:r>
          </w:p>
        </w:tc>
        <w:tc>
          <w:tcPr>
            <w:tcW w:w="1513" w:type="dxa"/>
            <w:tcBorders>
              <w:top w:val="single" w:sz="4" w:space="0" w:color="000000"/>
              <w:left w:val="single" w:sz="4" w:space="0" w:color="000000"/>
              <w:right w:val="single" w:sz="4" w:space="0" w:color="000000"/>
            </w:tcBorders>
          </w:tcPr>
          <w:p>
            <w:pPr>
              <w:pStyle w:val="TableParagraph"/>
              <w:ind w:left="44"/>
              <w:rPr>
                <w:sz w:val="24"/>
              </w:rPr>
            </w:pPr>
            <w:r>
              <w:rPr>
                <w:sz w:val="24"/>
              </w:rPr>
              <w:t>n/a</w:t>
            </w:r>
          </w:p>
        </w:tc>
        <w:tc>
          <w:tcPr>
            <w:tcW w:w="2268" w:type="dxa"/>
            <w:tcBorders>
              <w:top w:val="single" w:sz="4" w:space="0" w:color="000000"/>
              <w:left w:val="single" w:sz="4" w:space="0" w:color="000000"/>
              <w:right w:val="single" w:sz="4" w:space="0" w:color="000000"/>
            </w:tcBorders>
          </w:tcPr>
          <w:p>
            <w:pPr>
              <w:pStyle w:val="TableParagraph"/>
              <w:ind w:left="44" w:right="281"/>
              <w:rPr>
                <w:sz w:val="24"/>
              </w:rPr>
            </w:pPr>
            <w:r>
              <w:rPr>
                <w:sz w:val="24"/>
              </w:rPr>
              <w:t>No </w:t>
            </w:r>
            <w:r>
              <w:rPr>
                <w:i/>
                <w:sz w:val="24"/>
              </w:rPr>
              <w:t>meter</w:t>
            </w:r>
            <w:r>
              <w:rPr>
                <w:sz w:val="24"/>
              </w:rPr>
              <w:t>. The </w:t>
            </w:r>
            <w:r>
              <w:rPr>
                <w:i/>
                <w:sz w:val="24"/>
              </w:rPr>
              <w:t>metering data </w:t>
            </w:r>
            <w:r>
              <w:rPr>
                <w:sz w:val="24"/>
              </w:rPr>
              <w:t>is </w:t>
            </w:r>
            <w:r>
              <w:rPr>
                <w:i/>
                <w:sz w:val="24"/>
              </w:rPr>
              <w:t>calculated metering </w:t>
            </w:r>
            <w:r>
              <w:rPr>
                <w:i/>
                <w:sz w:val="24"/>
              </w:rPr>
              <w:t>data </w:t>
            </w:r>
            <w:r>
              <w:rPr>
                <w:sz w:val="24"/>
              </w:rPr>
              <w:t>determined in accordance with schedule 7A.7.</w:t>
            </w:r>
          </w:p>
        </w:tc>
        <w:tc>
          <w:tcPr>
            <w:tcW w:w="1512" w:type="dxa"/>
            <w:tcBorders>
              <w:top w:val="single" w:sz="4" w:space="0" w:color="000000"/>
              <w:left w:val="single" w:sz="4" w:space="0" w:color="000000"/>
              <w:right w:val="single" w:sz="4" w:space="0" w:color="000000"/>
            </w:tcBorders>
          </w:tcPr>
          <w:p>
            <w:pPr>
              <w:pStyle w:val="TableParagraph"/>
              <w:rPr>
                <w:sz w:val="24"/>
              </w:rPr>
            </w:pPr>
            <w:r>
              <w:rPr>
                <w:sz w:val="24"/>
              </w:rPr>
              <w:t>n/a</w:t>
            </w:r>
          </w:p>
        </w:tc>
      </w:tr>
    </w:tbl>
    <w:p>
      <w:pPr>
        <w:pStyle w:val="BodyText"/>
        <w:spacing w:before="0"/>
        <w:ind w:firstLine="0"/>
        <w:jc w:val="left"/>
        <w:rPr>
          <w:rFonts w:ascii="Arial"/>
          <w:b/>
          <w:sz w:val="20"/>
        </w:rPr>
      </w:pPr>
    </w:p>
    <w:p>
      <w:pPr>
        <w:pStyle w:val="BodyText"/>
        <w:spacing w:before="1"/>
        <w:ind w:firstLine="0"/>
        <w:jc w:val="left"/>
        <w:rPr>
          <w:rFonts w:ascii="Arial"/>
          <w:b/>
          <w:sz w:val="19"/>
        </w:rPr>
      </w:pPr>
    </w:p>
    <w:p>
      <w:pPr>
        <w:tabs>
          <w:tab w:pos="1741" w:val="left" w:leader="none"/>
          <w:tab w:pos="2308" w:val="left" w:leader="none"/>
        </w:tabs>
        <w:spacing w:before="90"/>
        <w:ind w:left="2308" w:right="523" w:hanging="2051"/>
        <w:jc w:val="left"/>
        <w:rPr>
          <w:sz w:val="24"/>
        </w:rPr>
      </w:pPr>
      <w:r>
        <w:rPr>
          <w:sz w:val="24"/>
        </w:rPr>
        <w:t>Item</w:t>
      </w:r>
      <w:r>
        <w:rPr>
          <w:spacing w:val="-1"/>
          <w:sz w:val="24"/>
        </w:rPr>
        <w:t> </w:t>
      </w:r>
      <w:r>
        <w:rPr>
          <w:sz w:val="24"/>
        </w:rPr>
        <w:t>1:</w:t>
        <w:tab/>
        <w:t>(a)</w:t>
        <w:tab/>
        <w:t>For a type 3, 4, 4A, 5 and 6 </w:t>
      </w:r>
      <w:r>
        <w:rPr>
          <w:i/>
          <w:sz w:val="24"/>
        </w:rPr>
        <w:t>metering installation</w:t>
      </w:r>
      <w:r>
        <w:rPr>
          <w:sz w:val="24"/>
        </w:rPr>
        <w:t>, whole current </w:t>
      </w:r>
      <w:r>
        <w:rPr>
          <w:i/>
          <w:sz w:val="24"/>
        </w:rPr>
        <w:t>meters </w:t>
      </w:r>
      <w:r>
        <w:rPr>
          <w:sz w:val="24"/>
        </w:rPr>
        <w:t>may be used if the </w:t>
      </w:r>
      <w:r>
        <w:rPr>
          <w:i/>
          <w:sz w:val="24"/>
        </w:rPr>
        <w:t>meters </w:t>
      </w:r>
      <w:r>
        <w:rPr>
          <w:sz w:val="24"/>
        </w:rPr>
        <w:t>meet the requirements of the relevant </w:t>
      </w:r>
      <w:r>
        <w:rPr>
          <w:i/>
          <w:sz w:val="24"/>
        </w:rPr>
        <w:t>Australian Standards </w:t>
      </w:r>
      <w:r>
        <w:rPr>
          <w:sz w:val="24"/>
        </w:rPr>
        <w:t>and International Standards identified in schedule 7A.7.</w:t>
      </w:r>
    </w:p>
    <w:p>
      <w:pPr>
        <w:pStyle w:val="ListParagraph"/>
        <w:numPr>
          <w:ilvl w:val="0"/>
          <w:numId w:val="523"/>
        </w:numPr>
        <w:tabs>
          <w:tab w:pos="2308" w:val="left" w:leader="none"/>
          <w:tab w:pos="2309" w:val="left" w:leader="none"/>
        </w:tabs>
        <w:spacing w:line="240" w:lineRule="auto" w:before="120" w:after="0"/>
        <w:ind w:left="2308" w:right="597" w:hanging="567"/>
        <w:jc w:val="left"/>
        <w:rPr>
          <w:sz w:val="24"/>
        </w:rPr>
      </w:pPr>
      <w:r>
        <w:rPr>
          <w:sz w:val="24"/>
        </w:rPr>
        <w:t>The </w:t>
      </w:r>
      <w:r>
        <w:rPr>
          <w:i/>
          <w:sz w:val="24"/>
        </w:rPr>
        <w:t>metering installation </w:t>
      </w:r>
      <w:r>
        <w:rPr>
          <w:sz w:val="24"/>
        </w:rPr>
        <w:t>types referred to in paragraph (a) must comply with any applicable specifications or guidelines (including any transitional arrangements) specified by the National Measurement Institute under the </w:t>
      </w:r>
      <w:r>
        <w:rPr>
          <w:i/>
          <w:sz w:val="24"/>
        </w:rPr>
        <w:t>National Measurement</w:t>
      </w:r>
      <w:r>
        <w:rPr>
          <w:i/>
          <w:spacing w:val="-1"/>
          <w:sz w:val="24"/>
        </w:rPr>
        <w:t> </w:t>
      </w:r>
      <w:r>
        <w:rPr>
          <w:i/>
          <w:sz w:val="24"/>
        </w:rPr>
        <w:t>Act</w:t>
      </w:r>
      <w:r>
        <w:rPr>
          <w:sz w:val="24"/>
        </w:rPr>
        <w:t>.</w:t>
      </w:r>
    </w:p>
    <w:p>
      <w:pPr>
        <w:pStyle w:val="BodyText"/>
        <w:spacing w:before="10"/>
        <w:ind w:firstLine="0"/>
        <w:jc w:val="left"/>
        <w:rPr>
          <w:sz w:val="20"/>
        </w:rPr>
      </w:pPr>
    </w:p>
    <w:p>
      <w:pPr>
        <w:tabs>
          <w:tab w:pos="1741" w:val="left" w:leader="none"/>
        </w:tabs>
        <w:spacing w:before="0"/>
        <w:ind w:left="1741" w:right="605" w:hanging="1484"/>
        <w:jc w:val="left"/>
        <w:rPr>
          <w:sz w:val="24"/>
        </w:rPr>
      </w:pPr>
      <w:r>
        <w:rPr>
          <w:sz w:val="24"/>
        </w:rPr>
        <w:t>Item</w:t>
      </w:r>
      <w:r>
        <w:rPr>
          <w:spacing w:val="-1"/>
          <w:sz w:val="24"/>
        </w:rPr>
        <w:t> </w:t>
      </w:r>
      <w:r>
        <w:rPr>
          <w:sz w:val="24"/>
        </w:rPr>
        <w:t>2:</w:t>
        <w:tab/>
      </w:r>
      <w:r>
        <w:rPr>
          <w:i/>
          <w:sz w:val="24"/>
        </w:rPr>
        <w:t>High voltage </w:t>
      </w:r>
      <w:r>
        <w:rPr>
          <w:sz w:val="24"/>
        </w:rPr>
        <w:t>customers that require a </w:t>
      </w:r>
      <w:r>
        <w:rPr>
          <w:i/>
          <w:sz w:val="24"/>
        </w:rPr>
        <w:t>voltage transformer </w:t>
      </w:r>
      <w:r>
        <w:rPr>
          <w:sz w:val="24"/>
        </w:rPr>
        <w:t>and whose annual consumption is below 750 MWh, must meet the relevant accuracy requirements of Type 3 </w:t>
      </w:r>
      <w:r>
        <w:rPr>
          <w:i/>
          <w:sz w:val="24"/>
        </w:rPr>
        <w:t>metering </w:t>
      </w:r>
      <w:r>
        <w:rPr>
          <w:sz w:val="24"/>
        </w:rPr>
        <w:t>for </w:t>
      </w:r>
      <w:r>
        <w:rPr>
          <w:i/>
          <w:sz w:val="24"/>
        </w:rPr>
        <w:t>active energy</w:t>
      </w:r>
      <w:r>
        <w:rPr>
          <w:i/>
          <w:spacing w:val="-4"/>
          <w:sz w:val="24"/>
        </w:rPr>
        <w:t> </w:t>
      </w:r>
      <w:r>
        <w:rPr>
          <w:sz w:val="24"/>
        </w:rPr>
        <w:t>only.</w:t>
      </w:r>
    </w:p>
    <w:p>
      <w:pPr>
        <w:pStyle w:val="BodyText"/>
        <w:spacing w:before="10"/>
        <w:ind w:firstLine="0"/>
        <w:jc w:val="left"/>
        <w:rPr>
          <w:sz w:val="20"/>
        </w:rPr>
      </w:pPr>
    </w:p>
    <w:p>
      <w:pPr>
        <w:pStyle w:val="BodyText"/>
        <w:tabs>
          <w:tab w:pos="1741" w:val="left" w:leader="none"/>
        </w:tabs>
        <w:spacing w:before="0"/>
        <w:ind w:left="1741" w:right="837" w:hanging="1484"/>
        <w:jc w:val="left"/>
      </w:pPr>
      <w:r>
        <w:rPr/>
        <w:t>Item</w:t>
      </w:r>
      <w:r>
        <w:rPr>
          <w:spacing w:val="-1"/>
        </w:rPr>
        <w:t> </w:t>
      </w:r>
      <w:r>
        <w:rPr/>
        <w:t>3:</w:t>
        <w:tab/>
        <w:t>In relation to a type 4A and type 5 </w:t>
      </w:r>
      <w:r>
        <w:rPr>
          <w:i/>
        </w:rPr>
        <w:t>metering installation</w:t>
      </w:r>
      <w:r>
        <w:rPr/>
        <w:t>, the value of 'x' in this jurisdiction is 0 MWh per</w:t>
      </w:r>
      <w:r>
        <w:rPr>
          <w:spacing w:val="-2"/>
        </w:rPr>
        <w:t> </w:t>
      </w:r>
      <w:r>
        <w:rPr/>
        <w:t>annum.</w:t>
      </w:r>
    </w:p>
    <w:p>
      <w:pPr>
        <w:pStyle w:val="BodyText"/>
        <w:spacing w:before="10"/>
        <w:ind w:firstLine="0"/>
        <w:jc w:val="left"/>
        <w:rPr>
          <w:sz w:val="20"/>
        </w:rPr>
      </w:pPr>
    </w:p>
    <w:p>
      <w:pPr>
        <w:tabs>
          <w:tab w:pos="1741" w:val="left" w:leader="none"/>
        </w:tabs>
        <w:spacing w:before="0"/>
        <w:ind w:left="1741" w:right="1670" w:hanging="1484"/>
        <w:jc w:val="left"/>
        <w:rPr>
          <w:sz w:val="24"/>
        </w:rPr>
      </w:pPr>
      <w:r>
        <w:rPr>
          <w:sz w:val="24"/>
        </w:rPr>
        <w:t>Item</w:t>
      </w:r>
      <w:r>
        <w:rPr>
          <w:spacing w:val="-1"/>
          <w:sz w:val="24"/>
        </w:rPr>
        <w:t> </w:t>
      </w:r>
      <w:r>
        <w:rPr>
          <w:sz w:val="24"/>
        </w:rPr>
        <w:t>4:</w:t>
        <w:tab/>
        <w:t>The following requirements apply in relation to a type 6 </w:t>
      </w:r>
      <w:r>
        <w:rPr>
          <w:i/>
          <w:sz w:val="24"/>
        </w:rPr>
        <w:t>metering </w:t>
      </w:r>
      <w:r>
        <w:rPr>
          <w:i/>
          <w:sz w:val="24"/>
        </w:rPr>
        <w:t>installation</w:t>
      </w:r>
      <w:r>
        <w:rPr>
          <w:sz w:val="24"/>
        </w:rPr>
        <w:t>:</w:t>
      </w:r>
    </w:p>
    <w:p>
      <w:pPr>
        <w:pStyle w:val="ListParagraph"/>
        <w:numPr>
          <w:ilvl w:val="1"/>
          <w:numId w:val="523"/>
        </w:numPr>
        <w:tabs>
          <w:tab w:pos="2875" w:val="left" w:leader="none"/>
          <w:tab w:pos="2876" w:val="left" w:leader="none"/>
        </w:tabs>
        <w:spacing w:line="240" w:lineRule="auto" w:before="120" w:after="0"/>
        <w:ind w:left="2875" w:right="0" w:hanging="568"/>
        <w:jc w:val="left"/>
        <w:rPr>
          <w:sz w:val="24"/>
        </w:rPr>
      </w:pPr>
      <w:r>
        <w:rPr>
          <w:sz w:val="24"/>
        </w:rPr>
        <w:t>the value of 'y' in this jurisdiction is 750 MWh per</w:t>
      </w:r>
      <w:r>
        <w:rPr>
          <w:spacing w:val="-9"/>
          <w:sz w:val="24"/>
        </w:rPr>
        <w:t> </w:t>
      </w:r>
      <w:r>
        <w:rPr>
          <w:sz w:val="24"/>
        </w:rPr>
        <w:t>annum;</w:t>
      </w:r>
    </w:p>
    <w:p>
      <w:pPr>
        <w:spacing w:after="0" w:line="240" w:lineRule="auto"/>
        <w:jc w:val="left"/>
        <w:rPr>
          <w:sz w:val="24"/>
        </w:rPr>
        <w:sectPr>
          <w:pgSz w:w="11910" w:h="16840"/>
          <w:pgMar w:header="686" w:footer="637" w:top="1320" w:bottom="820" w:left="1200" w:right="1000"/>
        </w:sectPr>
      </w:pPr>
    </w:p>
    <w:p>
      <w:pPr>
        <w:pStyle w:val="ListParagraph"/>
        <w:numPr>
          <w:ilvl w:val="1"/>
          <w:numId w:val="523"/>
        </w:numPr>
        <w:tabs>
          <w:tab w:pos="2876" w:val="left" w:leader="none"/>
        </w:tabs>
        <w:spacing w:line="240" w:lineRule="auto" w:before="83" w:after="0"/>
        <w:ind w:left="2875" w:right="571" w:hanging="567"/>
        <w:jc w:val="both"/>
        <w:rPr>
          <w:sz w:val="24"/>
        </w:rPr>
      </w:pPr>
      <w:r>
        <w:rPr>
          <w:sz w:val="24"/>
        </w:rPr>
        <w:t>devices within the </w:t>
      </w:r>
      <w:r>
        <w:rPr>
          <w:i/>
          <w:sz w:val="24"/>
        </w:rPr>
        <w:t>metering installation </w:t>
      </w:r>
      <w:r>
        <w:rPr>
          <w:sz w:val="24"/>
        </w:rPr>
        <w:t>may record </w:t>
      </w:r>
      <w:r>
        <w:rPr>
          <w:i/>
          <w:sz w:val="24"/>
        </w:rPr>
        <w:t>accumulated </w:t>
      </w:r>
      <w:r>
        <w:rPr>
          <w:i/>
          <w:sz w:val="24"/>
        </w:rPr>
        <w:t>energy data </w:t>
      </w:r>
      <w:r>
        <w:rPr>
          <w:sz w:val="24"/>
        </w:rPr>
        <w:t>in predetermined daily time periods where such time periods are specified in schedule</w:t>
      </w:r>
      <w:r>
        <w:rPr>
          <w:spacing w:val="-2"/>
          <w:sz w:val="24"/>
        </w:rPr>
        <w:t> </w:t>
      </w:r>
      <w:r>
        <w:rPr>
          <w:sz w:val="24"/>
        </w:rPr>
        <w:t>7A.7.</w:t>
      </w:r>
    </w:p>
    <w:p>
      <w:pPr>
        <w:pStyle w:val="BodyText"/>
        <w:spacing w:before="10"/>
        <w:ind w:firstLine="0"/>
        <w:jc w:val="left"/>
        <w:rPr>
          <w:sz w:val="20"/>
        </w:rPr>
      </w:pPr>
    </w:p>
    <w:p>
      <w:pPr>
        <w:pStyle w:val="BodyText"/>
        <w:tabs>
          <w:tab w:pos="1741" w:val="left" w:leader="none"/>
          <w:tab w:pos="2308" w:val="left" w:leader="none"/>
        </w:tabs>
        <w:spacing w:before="0"/>
        <w:ind w:left="2308" w:right="683" w:hanging="2051"/>
        <w:jc w:val="left"/>
      </w:pPr>
      <w:r>
        <w:rPr/>
        <w:t>Item</w:t>
      </w:r>
      <w:r>
        <w:rPr>
          <w:spacing w:val="-1"/>
        </w:rPr>
        <w:t> </w:t>
      </w:r>
      <w:r>
        <w:rPr/>
        <w:t>5:</w:t>
        <w:tab/>
        <w:t>(a)</w:t>
        <w:tab/>
        <w:t>A type 7 </w:t>
      </w:r>
      <w:r>
        <w:rPr>
          <w:i/>
        </w:rPr>
        <w:t>metering installation </w:t>
      </w:r>
      <w:r>
        <w:rPr/>
        <w:t>classification applies where a </w:t>
      </w:r>
      <w:r>
        <w:rPr>
          <w:i/>
        </w:rPr>
        <w:t>metering </w:t>
      </w:r>
      <w:r>
        <w:rPr>
          <w:i/>
        </w:rPr>
        <w:t>installation </w:t>
      </w:r>
      <w:r>
        <w:rPr/>
        <w:t>does not require a </w:t>
      </w:r>
      <w:r>
        <w:rPr>
          <w:i/>
        </w:rPr>
        <w:t>meter </w:t>
      </w:r>
      <w:r>
        <w:rPr/>
        <w:t>to measure the flow of electricity in a power conductor and accordingly there is a requirement to determine by other means the </w:t>
      </w:r>
      <w:r>
        <w:rPr>
          <w:i/>
        </w:rPr>
        <w:t>metering data </w:t>
      </w:r>
      <w:r>
        <w:rPr/>
        <w:t>that is deemed to correspond to the flow of electricity in the power</w:t>
      </w:r>
      <w:r>
        <w:rPr>
          <w:spacing w:val="-3"/>
        </w:rPr>
        <w:t> </w:t>
      </w:r>
      <w:r>
        <w:rPr/>
        <w:t>conductor.</w:t>
      </w:r>
    </w:p>
    <w:p>
      <w:pPr>
        <w:pStyle w:val="ListParagraph"/>
        <w:numPr>
          <w:ilvl w:val="0"/>
          <w:numId w:val="524"/>
        </w:numPr>
        <w:tabs>
          <w:tab w:pos="2308" w:val="left" w:leader="none"/>
          <w:tab w:pos="2309" w:val="left" w:leader="none"/>
        </w:tabs>
        <w:spacing w:line="240" w:lineRule="auto" w:before="120" w:after="0"/>
        <w:ind w:left="2308" w:right="0" w:hanging="568"/>
        <w:jc w:val="left"/>
        <w:rPr>
          <w:sz w:val="24"/>
        </w:rPr>
      </w:pPr>
      <w:r>
        <w:rPr>
          <w:sz w:val="24"/>
        </w:rPr>
        <w:t>The condition referred to in paragraph (a) will only be allowed for</w:t>
      </w:r>
      <w:r>
        <w:rPr>
          <w:spacing w:val="-5"/>
          <w:sz w:val="24"/>
        </w:rPr>
        <w:t> </w:t>
      </w:r>
      <w:r>
        <w:rPr>
          <w:sz w:val="24"/>
        </w:rPr>
        <w:t>a</w:t>
      </w:r>
    </w:p>
    <w:p>
      <w:pPr>
        <w:spacing w:before="0"/>
        <w:ind w:left="2308" w:right="0" w:firstLine="0"/>
        <w:jc w:val="left"/>
        <w:rPr>
          <w:sz w:val="24"/>
        </w:rPr>
      </w:pPr>
      <w:r>
        <w:rPr>
          <w:i/>
          <w:sz w:val="24"/>
        </w:rPr>
        <w:t>connection point </w:t>
      </w:r>
      <w:r>
        <w:rPr>
          <w:sz w:val="24"/>
        </w:rPr>
        <w:t>if:</w:t>
      </w:r>
    </w:p>
    <w:p>
      <w:pPr>
        <w:pStyle w:val="ListParagraph"/>
        <w:numPr>
          <w:ilvl w:val="1"/>
          <w:numId w:val="524"/>
        </w:numPr>
        <w:tabs>
          <w:tab w:pos="2875" w:val="left" w:leader="none"/>
          <w:tab w:pos="2876" w:val="left" w:leader="none"/>
        </w:tabs>
        <w:spacing w:line="240" w:lineRule="auto" w:before="120" w:after="0"/>
        <w:ind w:left="2875" w:right="836" w:hanging="567"/>
        <w:jc w:val="left"/>
        <w:rPr>
          <w:sz w:val="24"/>
        </w:rPr>
      </w:pPr>
      <w:r>
        <w:rPr>
          <w:sz w:val="24"/>
        </w:rPr>
        <w:t>the operation of an unmetered device at the </w:t>
      </w:r>
      <w:r>
        <w:rPr>
          <w:i/>
          <w:sz w:val="24"/>
        </w:rPr>
        <w:t>connection point </w:t>
      </w:r>
      <w:r>
        <w:rPr>
          <w:sz w:val="24"/>
        </w:rPr>
        <w:t>results in a type of unmetered </w:t>
      </w:r>
      <w:r>
        <w:rPr>
          <w:i/>
          <w:sz w:val="24"/>
        </w:rPr>
        <w:t>load </w:t>
      </w:r>
      <w:r>
        <w:rPr>
          <w:sz w:val="24"/>
        </w:rPr>
        <w:t>that is authorised under </w:t>
      </w:r>
      <w:r>
        <w:rPr>
          <w:spacing w:val="-5"/>
          <w:sz w:val="24"/>
        </w:rPr>
        <w:t>the </w:t>
      </w:r>
      <w:r>
        <w:rPr>
          <w:sz w:val="24"/>
        </w:rPr>
        <w:t>terms of a </w:t>
      </w:r>
      <w:r>
        <w:rPr>
          <w:i/>
          <w:sz w:val="24"/>
        </w:rPr>
        <w:t>local instrument</w:t>
      </w:r>
      <w:r>
        <w:rPr>
          <w:sz w:val="24"/>
        </w:rPr>
        <w:t>;</w:t>
      </w:r>
      <w:r>
        <w:rPr>
          <w:spacing w:val="-1"/>
          <w:sz w:val="24"/>
        </w:rPr>
        <w:t> </w:t>
      </w:r>
      <w:r>
        <w:rPr>
          <w:sz w:val="24"/>
        </w:rPr>
        <w:t>and</w:t>
      </w:r>
    </w:p>
    <w:p>
      <w:pPr>
        <w:pStyle w:val="ListParagraph"/>
        <w:numPr>
          <w:ilvl w:val="1"/>
          <w:numId w:val="524"/>
        </w:numPr>
        <w:tabs>
          <w:tab w:pos="2875" w:val="left" w:leader="none"/>
          <w:tab w:pos="2876" w:val="left" w:leader="none"/>
        </w:tabs>
        <w:spacing w:line="240" w:lineRule="auto" w:before="120" w:after="0"/>
        <w:ind w:left="2875" w:right="0" w:hanging="568"/>
        <w:jc w:val="left"/>
        <w:rPr>
          <w:sz w:val="24"/>
        </w:rPr>
      </w:pPr>
      <w:r>
        <w:rPr>
          <w:i/>
          <w:sz w:val="24"/>
        </w:rPr>
        <w:t>NTESMO </w:t>
      </w:r>
      <w:r>
        <w:rPr>
          <w:sz w:val="24"/>
        </w:rPr>
        <w:t>in consultation with </w:t>
      </w:r>
      <w:r>
        <w:rPr>
          <w:i/>
          <w:sz w:val="24"/>
        </w:rPr>
        <w:t>Metering Coordinator</w:t>
      </w:r>
      <w:r>
        <w:rPr>
          <w:i/>
          <w:spacing w:val="-4"/>
          <w:sz w:val="24"/>
        </w:rPr>
        <w:t> </w:t>
      </w:r>
      <w:r>
        <w:rPr>
          <w:sz w:val="24"/>
        </w:rPr>
        <w:t>determines:</w:t>
      </w:r>
    </w:p>
    <w:p>
      <w:pPr>
        <w:pStyle w:val="ListParagraph"/>
        <w:numPr>
          <w:ilvl w:val="2"/>
          <w:numId w:val="524"/>
        </w:numPr>
        <w:tabs>
          <w:tab w:pos="3442" w:val="left" w:leader="none"/>
          <w:tab w:pos="3443" w:val="left" w:leader="none"/>
        </w:tabs>
        <w:spacing w:line="240" w:lineRule="auto" w:before="120" w:after="0"/>
        <w:ind w:left="3442" w:right="0" w:hanging="568"/>
        <w:jc w:val="left"/>
        <w:rPr>
          <w:sz w:val="24"/>
        </w:rPr>
      </w:pPr>
      <w:r>
        <w:rPr>
          <w:sz w:val="24"/>
        </w:rPr>
        <w:t>that the </w:t>
      </w:r>
      <w:r>
        <w:rPr>
          <w:i/>
          <w:sz w:val="24"/>
        </w:rPr>
        <w:t>load </w:t>
      </w:r>
      <w:r>
        <w:rPr>
          <w:sz w:val="24"/>
        </w:rPr>
        <w:t>pattern is</w:t>
      </w:r>
      <w:r>
        <w:rPr>
          <w:spacing w:val="-1"/>
          <w:sz w:val="24"/>
        </w:rPr>
        <w:t> </w:t>
      </w:r>
      <w:r>
        <w:rPr>
          <w:sz w:val="24"/>
        </w:rPr>
        <w:t>predictable;</w:t>
      </w:r>
    </w:p>
    <w:p>
      <w:pPr>
        <w:pStyle w:val="ListParagraph"/>
        <w:numPr>
          <w:ilvl w:val="2"/>
          <w:numId w:val="524"/>
        </w:numPr>
        <w:tabs>
          <w:tab w:pos="3442" w:val="left" w:leader="none"/>
          <w:tab w:pos="3444" w:val="left" w:leader="none"/>
        </w:tabs>
        <w:spacing w:line="240" w:lineRule="auto" w:before="120" w:after="0"/>
        <w:ind w:left="3442" w:right="543" w:hanging="567"/>
        <w:jc w:val="left"/>
        <w:rPr>
          <w:sz w:val="24"/>
        </w:rPr>
      </w:pPr>
      <w:r>
        <w:rPr>
          <w:sz w:val="24"/>
        </w:rPr>
        <w:t>that, for the purposes of </w:t>
      </w:r>
      <w:r>
        <w:rPr>
          <w:i/>
          <w:sz w:val="24"/>
        </w:rPr>
        <w:t>settlements</w:t>
      </w:r>
      <w:r>
        <w:rPr>
          <w:sz w:val="24"/>
        </w:rPr>
        <w:t>, the </w:t>
      </w:r>
      <w:r>
        <w:rPr>
          <w:i/>
          <w:sz w:val="24"/>
        </w:rPr>
        <w:t>load </w:t>
      </w:r>
      <w:r>
        <w:rPr>
          <w:sz w:val="24"/>
        </w:rPr>
        <w:t>pattern can be reasonably calculated by a relevant method set out in schedule S7A.7;</w:t>
      </w:r>
      <w:r>
        <w:rPr>
          <w:spacing w:val="-2"/>
          <w:sz w:val="24"/>
        </w:rPr>
        <w:t> </w:t>
      </w:r>
      <w:r>
        <w:rPr>
          <w:sz w:val="24"/>
        </w:rPr>
        <w:t>and</w:t>
      </w:r>
    </w:p>
    <w:p>
      <w:pPr>
        <w:pStyle w:val="ListParagraph"/>
        <w:numPr>
          <w:ilvl w:val="2"/>
          <w:numId w:val="524"/>
        </w:numPr>
        <w:tabs>
          <w:tab w:pos="3442" w:val="left" w:leader="none"/>
          <w:tab w:pos="3443" w:val="left" w:leader="none"/>
        </w:tabs>
        <w:spacing w:line="240" w:lineRule="auto" w:before="120" w:after="0"/>
        <w:ind w:left="3442" w:right="730" w:hanging="567"/>
        <w:jc w:val="left"/>
        <w:rPr>
          <w:sz w:val="24"/>
        </w:rPr>
      </w:pPr>
      <w:r>
        <w:rPr>
          <w:sz w:val="24"/>
        </w:rPr>
        <w:t>that it would not be cost effective to meter the </w:t>
      </w:r>
      <w:r>
        <w:rPr>
          <w:i/>
          <w:sz w:val="24"/>
        </w:rPr>
        <w:t>connection </w:t>
      </w:r>
      <w:r>
        <w:rPr>
          <w:i/>
          <w:sz w:val="24"/>
        </w:rPr>
        <w:t>point </w:t>
      </w:r>
      <w:r>
        <w:rPr>
          <w:sz w:val="24"/>
        </w:rPr>
        <w:t>taking into</w:t>
      </w:r>
      <w:r>
        <w:rPr>
          <w:spacing w:val="-1"/>
          <w:sz w:val="24"/>
        </w:rPr>
        <w:t> </w:t>
      </w:r>
      <w:r>
        <w:rPr>
          <w:sz w:val="24"/>
        </w:rPr>
        <w:t>account:</w:t>
      </w:r>
    </w:p>
    <w:p>
      <w:pPr>
        <w:pStyle w:val="ListParagraph"/>
        <w:numPr>
          <w:ilvl w:val="3"/>
          <w:numId w:val="524"/>
        </w:numPr>
        <w:tabs>
          <w:tab w:pos="5143" w:val="left" w:leader="none"/>
          <w:tab w:pos="5144" w:val="left" w:leader="none"/>
        </w:tabs>
        <w:spacing w:line="240" w:lineRule="auto" w:before="120" w:after="0"/>
        <w:ind w:left="5143" w:right="0" w:hanging="568"/>
        <w:jc w:val="left"/>
        <w:rPr>
          <w:sz w:val="24"/>
        </w:rPr>
      </w:pPr>
      <w:r>
        <w:rPr>
          <w:sz w:val="24"/>
        </w:rPr>
        <w:t>the small magnitude of the</w:t>
      </w:r>
      <w:r>
        <w:rPr>
          <w:spacing w:val="-3"/>
          <w:sz w:val="24"/>
        </w:rPr>
        <w:t> </w:t>
      </w:r>
      <w:r>
        <w:rPr>
          <w:i/>
          <w:sz w:val="24"/>
        </w:rPr>
        <w:t>load</w:t>
      </w:r>
      <w:r>
        <w:rPr>
          <w:sz w:val="24"/>
        </w:rPr>
        <w:t>;</w:t>
      </w:r>
    </w:p>
    <w:p>
      <w:pPr>
        <w:pStyle w:val="ListParagraph"/>
        <w:numPr>
          <w:ilvl w:val="3"/>
          <w:numId w:val="524"/>
        </w:numPr>
        <w:tabs>
          <w:tab w:pos="5144" w:val="left" w:leader="none"/>
          <w:tab w:pos="5145" w:val="left" w:leader="none"/>
        </w:tabs>
        <w:spacing w:line="240" w:lineRule="auto" w:before="120" w:after="0"/>
        <w:ind w:left="5144" w:right="0" w:hanging="569"/>
        <w:jc w:val="left"/>
        <w:rPr>
          <w:sz w:val="24"/>
        </w:rPr>
      </w:pPr>
      <w:r>
        <w:rPr>
          <w:sz w:val="24"/>
        </w:rPr>
        <w:t>the </w:t>
      </w:r>
      <w:r>
        <w:rPr>
          <w:i/>
          <w:sz w:val="24"/>
        </w:rPr>
        <w:t>connection </w:t>
      </w:r>
      <w:r>
        <w:rPr>
          <w:sz w:val="24"/>
        </w:rPr>
        <w:t>arrangements;</w:t>
      </w:r>
      <w:r>
        <w:rPr>
          <w:spacing w:val="-2"/>
          <w:sz w:val="24"/>
        </w:rPr>
        <w:t> </w:t>
      </w:r>
      <w:r>
        <w:rPr>
          <w:sz w:val="24"/>
        </w:rPr>
        <w:t>and</w:t>
      </w:r>
    </w:p>
    <w:p>
      <w:pPr>
        <w:pStyle w:val="ListParagraph"/>
        <w:numPr>
          <w:ilvl w:val="3"/>
          <w:numId w:val="524"/>
        </w:numPr>
        <w:tabs>
          <w:tab w:pos="5144" w:val="left" w:leader="none"/>
          <w:tab w:pos="5145" w:val="left" w:leader="none"/>
        </w:tabs>
        <w:spacing w:line="240" w:lineRule="auto" w:before="120" w:after="0"/>
        <w:ind w:left="5144" w:right="0" w:hanging="569"/>
        <w:jc w:val="left"/>
        <w:rPr>
          <w:sz w:val="24"/>
        </w:rPr>
      </w:pPr>
      <w:r>
        <w:rPr>
          <w:sz w:val="24"/>
        </w:rPr>
        <w:t>the geographical and physical</w:t>
      </w:r>
      <w:r>
        <w:rPr>
          <w:spacing w:val="-1"/>
          <w:sz w:val="24"/>
        </w:rPr>
        <w:t> </w:t>
      </w:r>
      <w:r>
        <w:rPr>
          <w:sz w:val="24"/>
        </w:rPr>
        <w:t>location.</w:t>
      </w:r>
    </w:p>
    <w:p>
      <w:pPr>
        <w:spacing w:before="120"/>
        <w:ind w:left="924" w:right="2164" w:firstLine="0"/>
        <w:jc w:val="center"/>
        <w:rPr>
          <w:rFonts w:ascii="Arial"/>
          <w:b/>
          <w:sz w:val="20"/>
        </w:rPr>
      </w:pPr>
      <w:r>
        <w:rPr>
          <w:rFonts w:ascii="Arial"/>
          <w:b/>
          <w:sz w:val="20"/>
        </w:rPr>
        <w:t>Note</w:t>
      </w:r>
    </w:p>
    <w:p>
      <w:pPr>
        <w:spacing w:before="120"/>
        <w:ind w:left="4010" w:right="454" w:firstLine="0"/>
        <w:jc w:val="both"/>
        <w:rPr>
          <w:sz w:val="20"/>
        </w:rPr>
      </w:pPr>
      <w:r>
        <w:rPr>
          <w:sz w:val="20"/>
        </w:rPr>
        <w:t>The effect of paragraph (b) is that if a type of unmetered load is authorised under a local instrument, a connection point with that type of unmetered load may be used for the purposes of settlements, and be eligible for a type 7 metering installation, if NTESMO makes a determination under (b)(2) in relation to that connection point.</w:t>
      </w:r>
    </w:p>
    <w:p>
      <w:pPr>
        <w:spacing w:before="120"/>
        <w:ind w:left="4576" w:right="456" w:firstLine="0"/>
        <w:jc w:val="both"/>
        <w:rPr>
          <w:sz w:val="20"/>
        </w:rPr>
      </w:pPr>
      <w:r>
        <w:rPr>
          <w:sz w:val="20"/>
        </w:rPr>
        <w:t>The </w:t>
      </w:r>
      <w:r>
        <w:rPr>
          <w:i/>
          <w:sz w:val="20"/>
        </w:rPr>
        <w:t>National Electricity (Northern Territory) (National </w:t>
      </w:r>
      <w:r>
        <w:rPr>
          <w:i/>
          <w:sz w:val="20"/>
        </w:rPr>
        <w:t>Uniform Legislation) (Modification) Regulations 2016 </w:t>
      </w:r>
      <w:r>
        <w:rPr>
          <w:sz w:val="20"/>
        </w:rPr>
        <w:t>are an example of a local instrument.</w:t>
      </w:r>
    </w:p>
    <w:p>
      <w:pPr>
        <w:pStyle w:val="ListParagraph"/>
        <w:numPr>
          <w:ilvl w:val="0"/>
          <w:numId w:val="524"/>
        </w:numPr>
        <w:tabs>
          <w:tab w:pos="2308" w:val="left" w:leader="none"/>
          <w:tab w:pos="2309" w:val="left" w:leader="none"/>
        </w:tabs>
        <w:spacing w:line="240" w:lineRule="auto" w:before="120" w:after="0"/>
        <w:ind w:left="2308" w:right="630" w:hanging="567"/>
        <w:jc w:val="left"/>
        <w:rPr>
          <w:sz w:val="24"/>
        </w:rPr>
      </w:pPr>
      <w:r>
        <w:rPr>
          <w:sz w:val="24"/>
        </w:rPr>
        <w:t>A </w:t>
      </w:r>
      <w:r>
        <w:rPr>
          <w:i/>
          <w:sz w:val="24"/>
        </w:rPr>
        <w:t>connection point </w:t>
      </w:r>
      <w:r>
        <w:rPr>
          <w:sz w:val="24"/>
        </w:rPr>
        <w:t>that meets the condition for classification as a type 7 </w:t>
      </w:r>
      <w:r>
        <w:rPr>
          <w:i/>
          <w:sz w:val="24"/>
        </w:rPr>
        <w:t>metering installation </w:t>
      </w:r>
      <w:r>
        <w:rPr>
          <w:sz w:val="24"/>
        </w:rPr>
        <w:t>does not prevent that </w:t>
      </w:r>
      <w:r>
        <w:rPr>
          <w:i/>
          <w:sz w:val="24"/>
        </w:rPr>
        <w:t>connection point </w:t>
      </w:r>
      <w:r>
        <w:rPr>
          <w:sz w:val="24"/>
        </w:rPr>
        <w:t>from being subject to </w:t>
      </w:r>
      <w:r>
        <w:rPr>
          <w:i/>
          <w:sz w:val="24"/>
        </w:rPr>
        <w:t>metering </w:t>
      </w:r>
      <w:r>
        <w:rPr>
          <w:sz w:val="24"/>
        </w:rPr>
        <w:t>in the</w:t>
      </w:r>
      <w:r>
        <w:rPr>
          <w:spacing w:val="-3"/>
          <w:sz w:val="24"/>
        </w:rPr>
        <w:t> </w:t>
      </w:r>
      <w:r>
        <w:rPr>
          <w:sz w:val="24"/>
        </w:rPr>
        <w:t>future.</w:t>
      </w:r>
    </w:p>
    <w:p>
      <w:pPr>
        <w:pStyle w:val="BodyText"/>
        <w:spacing w:before="10"/>
        <w:ind w:firstLine="0"/>
        <w:jc w:val="left"/>
        <w:rPr>
          <w:sz w:val="20"/>
        </w:rPr>
      </w:pPr>
    </w:p>
    <w:p>
      <w:pPr>
        <w:pStyle w:val="BodyText"/>
        <w:tabs>
          <w:tab w:pos="1741" w:val="left" w:leader="none"/>
        </w:tabs>
        <w:spacing w:before="0"/>
        <w:ind w:left="1741" w:right="992" w:hanging="1484"/>
        <w:jc w:val="left"/>
      </w:pPr>
      <w:r>
        <w:rPr/>
        <w:t>Item</w:t>
      </w:r>
      <w:r>
        <w:rPr>
          <w:spacing w:val="-1"/>
        </w:rPr>
        <w:t> </w:t>
      </w:r>
      <w:r>
        <w:rPr/>
        <w:t>6:</w:t>
        <w:tab/>
        <w:t>The maximum allowable overall error (±%) at different </w:t>
      </w:r>
      <w:r>
        <w:rPr>
          <w:i/>
        </w:rPr>
        <w:t>loads </w:t>
      </w:r>
      <w:r>
        <w:rPr/>
        <w:t>and </w:t>
      </w:r>
      <w:r>
        <w:rPr>
          <w:i/>
        </w:rPr>
        <w:t>power </w:t>
      </w:r>
      <w:r>
        <w:rPr>
          <w:i/>
        </w:rPr>
        <w:t>factors </w:t>
      </w:r>
      <w:r>
        <w:rPr/>
        <w:t>is set out in Tables S7A.4.2.2 to</w:t>
      </w:r>
      <w:r>
        <w:rPr>
          <w:spacing w:val="-6"/>
        </w:rPr>
        <w:t> </w:t>
      </w:r>
      <w:r>
        <w:rPr/>
        <w:t>S7A.4.2.6.</w:t>
      </w:r>
    </w:p>
    <w:p>
      <w:pPr>
        <w:spacing w:after="0"/>
        <w:jc w:val="left"/>
        <w:sectPr>
          <w:pgSz w:w="11910" w:h="16840"/>
          <w:pgMar w:header="686" w:footer="637" w:top="1320" w:bottom="820" w:left="1200" w:right="1000"/>
        </w:sectPr>
      </w:pPr>
    </w:p>
    <w:p>
      <w:pPr>
        <w:spacing w:before="83"/>
        <w:ind w:left="1919" w:right="565" w:hanging="1701"/>
        <w:jc w:val="left"/>
        <w:rPr>
          <w:rFonts w:ascii="Arial" w:hAnsi="Arial"/>
          <w:b/>
          <w:sz w:val="22"/>
        </w:rPr>
      </w:pPr>
      <w:r>
        <w:rPr>
          <w:rFonts w:ascii="Arial" w:hAnsi="Arial"/>
          <w:b/>
          <w:sz w:val="22"/>
        </w:rPr>
        <w:t>Table S7A.4.2.2 Type 1 installation – Annual energy throughput greater than 1 000GWh</w:t>
      </w:r>
    </w:p>
    <w:p>
      <w:pPr>
        <w:pStyle w:val="BodyText"/>
        <w:spacing w:before="7" w:after="1"/>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96"/>
        <w:gridCol w:w="1295"/>
        <w:gridCol w:w="1295"/>
        <w:gridCol w:w="1296"/>
        <w:gridCol w:w="1295"/>
        <w:gridCol w:w="1296"/>
        <w:gridCol w:w="1298"/>
      </w:tblGrid>
      <w:tr>
        <w:trPr>
          <w:trHeight w:val="395" w:hRule="atLeast"/>
        </w:trPr>
        <w:tc>
          <w:tcPr>
            <w:tcW w:w="1296" w:type="dxa"/>
            <w:vMerge w:val="restart"/>
            <w:tcBorders>
              <w:bottom w:val="single" w:sz="4" w:space="0" w:color="000000"/>
              <w:right w:val="single" w:sz="4" w:space="0" w:color="000000"/>
            </w:tcBorders>
            <w:shd w:val="clear" w:color="auto" w:fill="D9D9D9"/>
          </w:tcPr>
          <w:p>
            <w:pPr>
              <w:pStyle w:val="TableParagraph"/>
              <w:ind w:left="361" w:right="140" w:hanging="187"/>
              <w:rPr>
                <w:rFonts w:ascii="Arial"/>
                <w:b/>
                <w:sz w:val="24"/>
              </w:rPr>
            </w:pPr>
            <w:r>
              <w:rPr>
                <w:rFonts w:ascii="Arial"/>
                <w:b/>
                <w:sz w:val="24"/>
              </w:rPr>
              <w:t>% Rated Load</w:t>
            </w:r>
          </w:p>
        </w:tc>
        <w:tc>
          <w:tcPr>
            <w:tcW w:w="7775" w:type="dxa"/>
            <w:gridSpan w:val="6"/>
            <w:tcBorders>
              <w:left w:val="single" w:sz="4" w:space="0" w:color="000000"/>
              <w:right w:val="single" w:sz="4" w:space="0" w:color="000000"/>
            </w:tcBorders>
            <w:shd w:val="clear" w:color="auto" w:fill="D9D9D9"/>
          </w:tcPr>
          <w:p>
            <w:pPr>
              <w:pStyle w:val="TableParagraph"/>
              <w:spacing w:line="256" w:lineRule="exact"/>
              <w:ind w:left="3112" w:right="3092"/>
              <w:jc w:val="center"/>
              <w:rPr>
                <w:rFonts w:ascii="Arial"/>
                <w:b/>
                <w:sz w:val="24"/>
              </w:rPr>
            </w:pPr>
            <w:r>
              <w:rPr>
                <w:rFonts w:ascii="Arial"/>
                <w:b/>
                <w:sz w:val="24"/>
              </w:rPr>
              <w:t>Power Factor</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right w:val="single" w:sz="4" w:space="0" w:color="000000"/>
            </w:tcBorders>
            <w:shd w:val="clear" w:color="auto" w:fill="D9D9D9"/>
          </w:tcPr>
          <w:p>
            <w:pPr>
              <w:pStyle w:val="TableParagraph"/>
              <w:spacing w:line="256" w:lineRule="exact"/>
              <w:ind w:left="352"/>
              <w:rPr>
                <w:rFonts w:ascii="Arial"/>
                <w:b/>
                <w:sz w:val="24"/>
              </w:rPr>
            </w:pPr>
            <w:r>
              <w:rPr>
                <w:rFonts w:ascii="Arial"/>
                <w:b/>
                <w:sz w:val="24"/>
              </w:rPr>
              <w:t>Unity</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540"/>
              <w:rPr>
                <w:rFonts w:ascii="Arial"/>
                <w:b/>
                <w:sz w:val="24"/>
              </w:rPr>
            </w:pPr>
            <w:r>
              <w:rPr>
                <w:rFonts w:ascii="Arial"/>
                <w:b/>
                <w:sz w:val="24"/>
              </w:rPr>
              <w:t>0.866 lagging</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673"/>
              <w:rPr>
                <w:rFonts w:ascii="Arial"/>
                <w:b/>
                <w:sz w:val="24"/>
              </w:rPr>
            </w:pPr>
            <w:r>
              <w:rPr>
                <w:rFonts w:ascii="Arial"/>
                <w:b/>
                <w:sz w:val="24"/>
              </w:rPr>
              <w:t>0.5 lagging</w:t>
            </w:r>
          </w:p>
        </w:tc>
        <w:tc>
          <w:tcPr>
            <w:tcW w:w="1298" w:type="dxa"/>
            <w:tcBorders>
              <w:left w:val="single" w:sz="4" w:space="0" w:color="000000"/>
              <w:right w:val="single" w:sz="4" w:space="0" w:color="000000"/>
            </w:tcBorders>
            <w:shd w:val="clear" w:color="auto" w:fill="D9D9D9"/>
          </w:tcPr>
          <w:p>
            <w:pPr>
              <w:pStyle w:val="TableParagraph"/>
              <w:spacing w:line="256" w:lineRule="exact"/>
              <w:ind w:left="393"/>
              <w:rPr>
                <w:rFonts w:ascii="Arial"/>
                <w:b/>
                <w:sz w:val="24"/>
              </w:rPr>
            </w:pPr>
            <w:r>
              <w:rPr>
                <w:rFonts w:ascii="Arial"/>
                <w:b/>
                <w:sz w:val="24"/>
              </w:rPr>
              <w:t>Zero</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8"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60"/>
              <w:rPr>
                <w:rFonts w:ascii="Arial"/>
                <w:b/>
                <w:sz w:val="24"/>
              </w:rPr>
            </w:pPr>
            <w:r>
              <w:rPr>
                <w:rFonts w:ascii="Arial"/>
                <w:b/>
                <w:sz w:val="24"/>
              </w:rPr>
              <w:t>Reactive</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1.4%</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50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0.5%</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0.5%</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0.7%</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1.4%</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w:t>
            </w:r>
          </w:p>
        </w:tc>
      </w:tr>
      <w:tr>
        <w:trPr>
          <w:trHeight w:val="515" w:hRule="atLeast"/>
        </w:trPr>
        <w:tc>
          <w:tcPr>
            <w:tcW w:w="1296" w:type="dxa"/>
            <w:tcBorders>
              <w:top w:val="single" w:sz="4" w:space="0" w:color="000000"/>
              <w:right w:val="single" w:sz="4" w:space="0" w:color="000000"/>
            </w:tcBorders>
          </w:tcPr>
          <w:p>
            <w:pPr>
              <w:pStyle w:val="TableParagraph"/>
              <w:ind w:left="40"/>
              <w:rPr>
                <w:sz w:val="24"/>
              </w:rPr>
            </w:pPr>
            <w:r>
              <w:rPr>
                <w:sz w:val="24"/>
              </w:rPr>
              <w:t>100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0.5%</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0.5%</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1.0%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right w:val="single" w:sz="4" w:space="0" w:color="000000"/>
            </w:tcBorders>
          </w:tcPr>
          <w:p>
            <w:pPr>
              <w:pStyle w:val="TableParagraph"/>
              <w:ind w:left="44"/>
              <w:rPr>
                <w:sz w:val="24"/>
              </w:rPr>
            </w:pPr>
            <w:r>
              <w:rPr>
                <w:sz w:val="24"/>
              </w:rPr>
              <w:t>1.0%</w:t>
            </w:r>
          </w:p>
        </w:tc>
      </w:tr>
    </w:tbl>
    <w:p>
      <w:pPr>
        <w:pStyle w:val="BodyText"/>
        <w:spacing w:before="5"/>
        <w:ind w:firstLine="0"/>
        <w:jc w:val="left"/>
        <w:rPr>
          <w:rFonts w:ascii="Arial"/>
          <w:b/>
          <w:sz w:val="34"/>
        </w:rPr>
      </w:pPr>
    </w:p>
    <w:p>
      <w:pPr>
        <w:spacing w:before="0"/>
        <w:ind w:left="1919" w:right="0" w:hanging="1701"/>
        <w:jc w:val="left"/>
        <w:rPr>
          <w:rFonts w:ascii="Arial" w:hAnsi="Arial"/>
          <w:b/>
          <w:sz w:val="22"/>
        </w:rPr>
      </w:pPr>
      <w:r>
        <w:rPr>
          <w:rFonts w:ascii="Arial" w:hAnsi="Arial"/>
          <w:b/>
          <w:sz w:val="22"/>
        </w:rPr>
        <w:t>Table S7A.4.2.3 Type 2 installation – Annual energy throughput between 100 and 1 000 GWh</w:t>
      </w:r>
    </w:p>
    <w:p>
      <w:pPr>
        <w:pStyle w:val="BodyText"/>
        <w:spacing w:before="7"/>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96"/>
        <w:gridCol w:w="1295"/>
        <w:gridCol w:w="1295"/>
        <w:gridCol w:w="1296"/>
        <w:gridCol w:w="1295"/>
        <w:gridCol w:w="1296"/>
        <w:gridCol w:w="1298"/>
      </w:tblGrid>
      <w:tr>
        <w:trPr>
          <w:trHeight w:val="395" w:hRule="atLeast"/>
        </w:trPr>
        <w:tc>
          <w:tcPr>
            <w:tcW w:w="1296" w:type="dxa"/>
            <w:vMerge w:val="restart"/>
            <w:tcBorders>
              <w:bottom w:val="single" w:sz="4" w:space="0" w:color="000000"/>
              <w:right w:val="single" w:sz="4" w:space="0" w:color="000000"/>
            </w:tcBorders>
            <w:shd w:val="clear" w:color="auto" w:fill="D9D9D9"/>
          </w:tcPr>
          <w:p>
            <w:pPr>
              <w:pStyle w:val="TableParagraph"/>
              <w:ind w:left="361" w:right="140" w:hanging="187"/>
              <w:rPr>
                <w:rFonts w:ascii="Arial"/>
                <w:b/>
                <w:sz w:val="24"/>
              </w:rPr>
            </w:pPr>
            <w:r>
              <w:rPr>
                <w:rFonts w:ascii="Arial"/>
                <w:b/>
                <w:sz w:val="24"/>
              </w:rPr>
              <w:t>% Rated Load</w:t>
            </w:r>
          </w:p>
        </w:tc>
        <w:tc>
          <w:tcPr>
            <w:tcW w:w="7775" w:type="dxa"/>
            <w:gridSpan w:val="6"/>
            <w:tcBorders>
              <w:left w:val="single" w:sz="4" w:space="0" w:color="000000"/>
              <w:right w:val="single" w:sz="4" w:space="0" w:color="000000"/>
            </w:tcBorders>
            <w:shd w:val="clear" w:color="auto" w:fill="D9D9D9"/>
          </w:tcPr>
          <w:p>
            <w:pPr>
              <w:pStyle w:val="TableParagraph"/>
              <w:spacing w:line="256" w:lineRule="exact"/>
              <w:ind w:left="3112" w:right="3092"/>
              <w:jc w:val="center"/>
              <w:rPr>
                <w:rFonts w:ascii="Arial"/>
                <w:b/>
                <w:sz w:val="24"/>
              </w:rPr>
            </w:pPr>
            <w:r>
              <w:rPr>
                <w:rFonts w:ascii="Arial"/>
                <w:b/>
                <w:sz w:val="24"/>
              </w:rPr>
              <w:t>Power Factor</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right w:val="single" w:sz="4" w:space="0" w:color="000000"/>
            </w:tcBorders>
            <w:shd w:val="clear" w:color="auto" w:fill="D9D9D9"/>
          </w:tcPr>
          <w:p>
            <w:pPr>
              <w:pStyle w:val="TableParagraph"/>
              <w:spacing w:line="256" w:lineRule="exact"/>
              <w:ind w:left="352"/>
              <w:rPr>
                <w:rFonts w:ascii="Arial"/>
                <w:b/>
                <w:sz w:val="24"/>
              </w:rPr>
            </w:pPr>
            <w:r>
              <w:rPr>
                <w:rFonts w:ascii="Arial"/>
                <w:b/>
                <w:sz w:val="24"/>
              </w:rPr>
              <w:t>Unity</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540"/>
              <w:rPr>
                <w:rFonts w:ascii="Arial"/>
                <w:b/>
                <w:sz w:val="24"/>
              </w:rPr>
            </w:pPr>
            <w:r>
              <w:rPr>
                <w:rFonts w:ascii="Arial"/>
                <w:b/>
                <w:sz w:val="24"/>
              </w:rPr>
              <w:t>0.866 lagging</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673"/>
              <w:rPr>
                <w:rFonts w:ascii="Arial"/>
                <w:b/>
                <w:sz w:val="24"/>
              </w:rPr>
            </w:pPr>
            <w:r>
              <w:rPr>
                <w:rFonts w:ascii="Arial"/>
                <w:b/>
                <w:sz w:val="24"/>
              </w:rPr>
              <w:t>0.5 lagging</w:t>
            </w:r>
          </w:p>
        </w:tc>
        <w:tc>
          <w:tcPr>
            <w:tcW w:w="1298" w:type="dxa"/>
            <w:tcBorders>
              <w:left w:val="single" w:sz="4" w:space="0" w:color="000000"/>
              <w:right w:val="single" w:sz="4" w:space="0" w:color="000000"/>
            </w:tcBorders>
            <w:shd w:val="clear" w:color="auto" w:fill="D9D9D9"/>
          </w:tcPr>
          <w:p>
            <w:pPr>
              <w:pStyle w:val="TableParagraph"/>
              <w:spacing w:line="256" w:lineRule="exact"/>
              <w:ind w:left="393"/>
              <w:rPr>
                <w:rFonts w:ascii="Arial"/>
                <w:b/>
                <w:sz w:val="24"/>
              </w:rPr>
            </w:pPr>
            <w:r>
              <w:rPr>
                <w:rFonts w:ascii="Arial"/>
                <w:b/>
                <w:sz w:val="24"/>
              </w:rPr>
              <w:t>Zero</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8"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60"/>
              <w:rPr>
                <w:rFonts w:ascii="Arial"/>
                <w:b/>
                <w:sz w:val="24"/>
              </w:rPr>
            </w:pPr>
            <w:r>
              <w:rPr>
                <w:rFonts w:ascii="Arial"/>
                <w:b/>
                <w:sz w:val="24"/>
              </w:rPr>
              <w:t>Reactive</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4.0%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2.8%</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50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w:t>
            </w:r>
          </w:p>
        </w:tc>
      </w:tr>
      <w:tr>
        <w:trPr>
          <w:trHeight w:val="515" w:hRule="atLeast"/>
        </w:trPr>
        <w:tc>
          <w:tcPr>
            <w:tcW w:w="1296" w:type="dxa"/>
            <w:tcBorders>
              <w:top w:val="single" w:sz="4" w:space="0" w:color="000000"/>
              <w:right w:val="single" w:sz="4" w:space="0" w:color="000000"/>
            </w:tcBorders>
          </w:tcPr>
          <w:p>
            <w:pPr>
              <w:pStyle w:val="TableParagraph"/>
              <w:ind w:left="40"/>
              <w:rPr>
                <w:sz w:val="24"/>
              </w:rPr>
            </w:pPr>
            <w:r>
              <w:rPr>
                <w:sz w:val="24"/>
              </w:rPr>
              <w:t>100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1.0%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1.0%</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2.0%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right w:val="single" w:sz="4" w:space="0" w:color="000000"/>
            </w:tcBorders>
          </w:tcPr>
          <w:p>
            <w:pPr>
              <w:pStyle w:val="TableParagraph"/>
              <w:ind w:left="44"/>
              <w:rPr>
                <w:sz w:val="24"/>
              </w:rPr>
            </w:pPr>
            <w:r>
              <w:rPr>
                <w:sz w:val="24"/>
              </w:rPr>
              <w:t>2.0%</w:t>
            </w:r>
          </w:p>
        </w:tc>
      </w:tr>
    </w:tbl>
    <w:p>
      <w:pPr>
        <w:pStyle w:val="BodyText"/>
        <w:spacing w:before="5"/>
        <w:ind w:firstLine="0"/>
        <w:jc w:val="left"/>
        <w:rPr>
          <w:rFonts w:ascii="Arial"/>
          <w:b/>
          <w:sz w:val="34"/>
        </w:rPr>
      </w:pPr>
    </w:p>
    <w:p>
      <w:pPr>
        <w:spacing w:before="0"/>
        <w:ind w:left="1919" w:right="415" w:hanging="1701"/>
        <w:jc w:val="left"/>
        <w:rPr>
          <w:rFonts w:ascii="Arial" w:hAnsi="Arial"/>
          <w:b/>
          <w:sz w:val="22"/>
        </w:rPr>
      </w:pPr>
      <w:r>
        <w:rPr>
          <w:rFonts w:ascii="Arial" w:hAnsi="Arial"/>
          <w:b/>
          <w:sz w:val="22"/>
        </w:rPr>
        <w:t>Table S7A.4.2.4 Type 3 installation – Annual energy throughput from 0.75 GWh to less than 100 GWh and Type 4A installation – annual energy throughput less than 0.75 GWh</w:t>
      </w:r>
    </w:p>
    <w:p>
      <w:pPr>
        <w:pStyle w:val="BodyText"/>
        <w:spacing w:before="7"/>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96"/>
        <w:gridCol w:w="1295"/>
        <w:gridCol w:w="1295"/>
        <w:gridCol w:w="1296"/>
        <w:gridCol w:w="1295"/>
        <w:gridCol w:w="1296"/>
        <w:gridCol w:w="1298"/>
      </w:tblGrid>
      <w:tr>
        <w:trPr>
          <w:trHeight w:val="395" w:hRule="atLeast"/>
        </w:trPr>
        <w:tc>
          <w:tcPr>
            <w:tcW w:w="1296" w:type="dxa"/>
            <w:vMerge w:val="restart"/>
            <w:tcBorders>
              <w:bottom w:val="single" w:sz="4" w:space="0" w:color="000000"/>
              <w:right w:val="single" w:sz="4" w:space="0" w:color="000000"/>
            </w:tcBorders>
            <w:shd w:val="clear" w:color="auto" w:fill="D9D9D9"/>
          </w:tcPr>
          <w:p>
            <w:pPr>
              <w:pStyle w:val="TableParagraph"/>
              <w:ind w:left="361" w:right="140" w:hanging="187"/>
              <w:rPr>
                <w:rFonts w:ascii="Arial"/>
                <w:b/>
                <w:sz w:val="24"/>
              </w:rPr>
            </w:pPr>
            <w:r>
              <w:rPr>
                <w:rFonts w:ascii="Arial"/>
                <w:b/>
                <w:sz w:val="24"/>
              </w:rPr>
              <w:t>% Rated Load</w:t>
            </w:r>
          </w:p>
        </w:tc>
        <w:tc>
          <w:tcPr>
            <w:tcW w:w="7775" w:type="dxa"/>
            <w:gridSpan w:val="6"/>
            <w:tcBorders>
              <w:left w:val="single" w:sz="4" w:space="0" w:color="000000"/>
              <w:right w:val="single" w:sz="4" w:space="0" w:color="000000"/>
            </w:tcBorders>
            <w:shd w:val="clear" w:color="auto" w:fill="D9D9D9"/>
          </w:tcPr>
          <w:p>
            <w:pPr>
              <w:pStyle w:val="TableParagraph"/>
              <w:spacing w:line="256" w:lineRule="exact"/>
              <w:ind w:left="3112" w:right="3092"/>
              <w:jc w:val="center"/>
              <w:rPr>
                <w:rFonts w:ascii="Arial"/>
                <w:b/>
                <w:sz w:val="24"/>
              </w:rPr>
            </w:pPr>
            <w:r>
              <w:rPr>
                <w:rFonts w:ascii="Arial"/>
                <w:b/>
                <w:sz w:val="24"/>
              </w:rPr>
              <w:t>Power Factor</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right w:val="single" w:sz="4" w:space="0" w:color="000000"/>
            </w:tcBorders>
            <w:shd w:val="clear" w:color="auto" w:fill="D9D9D9"/>
          </w:tcPr>
          <w:p>
            <w:pPr>
              <w:pStyle w:val="TableParagraph"/>
              <w:spacing w:line="256" w:lineRule="exact"/>
              <w:ind w:left="352"/>
              <w:rPr>
                <w:rFonts w:ascii="Arial"/>
                <w:b/>
                <w:sz w:val="24"/>
              </w:rPr>
            </w:pPr>
            <w:r>
              <w:rPr>
                <w:rFonts w:ascii="Arial"/>
                <w:b/>
                <w:sz w:val="24"/>
              </w:rPr>
              <w:t>Unity</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540"/>
              <w:rPr>
                <w:rFonts w:ascii="Arial"/>
                <w:b/>
                <w:sz w:val="24"/>
              </w:rPr>
            </w:pPr>
            <w:r>
              <w:rPr>
                <w:rFonts w:ascii="Arial"/>
                <w:b/>
                <w:sz w:val="24"/>
              </w:rPr>
              <w:t>0.866 lagging</w:t>
            </w:r>
          </w:p>
        </w:tc>
        <w:tc>
          <w:tcPr>
            <w:tcW w:w="2591" w:type="dxa"/>
            <w:gridSpan w:val="2"/>
            <w:tcBorders>
              <w:left w:val="single" w:sz="4" w:space="0" w:color="000000"/>
              <w:right w:val="single" w:sz="4" w:space="0" w:color="000000"/>
            </w:tcBorders>
            <w:shd w:val="clear" w:color="auto" w:fill="D9D9D9"/>
          </w:tcPr>
          <w:p>
            <w:pPr>
              <w:pStyle w:val="TableParagraph"/>
              <w:spacing w:line="256" w:lineRule="exact"/>
              <w:ind w:left="673"/>
              <w:rPr>
                <w:rFonts w:ascii="Arial"/>
                <w:b/>
                <w:sz w:val="24"/>
              </w:rPr>
            </w:pPr>
            <w:r>
              <w:rPr>
                <w:rFonts w:ascii="Arial"/>
                <w:b/>
                <w:sz w:val="24"/>
              </w:rPr>
              <w:t>0.5 lagging</w:t>
            </w:r>
          </w:p>
        </w:tc>
        <w:tc>
          <w:tcPr>
            <w:tcW w:w="1298" w:type="dxa"/>
            <w:tcBorders>
              <w:left w:val="single" w:sz="4" w:space="0" w:color="000000"/>
              <w:right w:val="single" w:sz="4" w:space="0" w:color="000000"/>
            </w:tcBorders>
            <w:shd w:val="clear" w:color="auto" w:fill="D9D9D9"/>
          </w:tcPr>
          <w:p>
            <w:pPr>
              <w:pStyle w:val="TableParagraph"/>
              <w:spacing w:line="256" w:lineRule="exact"/>
              <w:ind w:left="393"/>
              <w:rPr>
                <w:rFonts w:ascii="Arial"/>
                <w:b/>
                <w:sz w:val="24"/>
              </w:rPr>
            </w:pPr>
            <w:r>
              <w:rPr>
                <w:rFonts w:ascii="Arial"/>
                <w:b/>
                <w:sz w:val="24"/>
              </w:rPr>
              <w:t>Zero</w:t>
            </w:r>
          </w:p>
        </w:tc>
      </w:tr>
      <w:tr>
        <w:trPr>
          <w:trHeight w:val="395" w:hRule="atLeast"/>
        </w:trPr>
        <w:tc>
          <w:tcPr>
            <w:tcW w:w="1296" w:type="dxa"/>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92"/>
              <w:rPr>
                <w:rFonts w:ascii="Arial"/>
                <w:b/>
                <w:sz w:val="24"/>
              </w:rPr>
            </w:pPr>
            <w:r>
              <w:rPr>
                <w:rFonts w:ascii="Arial"/>
                <w:b/>
                <w:sz w:val="24"/>
              </w:rPr>
              <w:t>Active</w:t>
            </w:r>
          </w:p>
        </w:tc>
        <w:tc>
          <w:tcPr>
            <w:tcW w:w="129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59"/>
              <w:rPr>
                <w:rFonts w:ascii="Arial"/>
                <w:b/>
                <w:sz w:val="24"/>
              </w:rPr>
            </w:pPr>
            <w:r>
              <w:rPr>
                <w:rFonts w:ascii="Arial"/>
                <w:b/>
                <w:sz w:val="24"/>
              </w:rPr>
              <w:t>Reactive</w:t>
            </w:r>
          </w:p>
        </w:tc>
        <w:tc>
          <w:tcPr>
            <w:tcW w:w="1298"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160"/>
              <w:rPr>
                <w:rFonts w:ascii="Arial"/>
                <w:b/>
                <w:sz w:val="24"/>
              </w:rPr>
            </w:pPr>
            <w:r>
              <w:rPr>
                <w:rFonts w:ascii="Arial"/>
                <w:b/>
                <w:sz w:val="24"/>
              </w:rPr>
              <w:t>Reactive</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10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4.0%</w:t>
            </w:r>
          </w:p>
        </w:tc>
      </w:tr>
      <w:tr>
        <w:trPr>
          <w:trHeight w:val="515" w:hRule="atLeast"/>
        </w:trPr>
        <w:tc>
          <w:tcPr>
            <w:tcW w:w="1296" w:type="dxa"/>
            <w:tcBorders>
              <w:top w:val="single" w:sz="4" w:space="0" w:color="000000"/>
              <w:bottom w:val="single" w:sz="4" w:space="0" w:color="000000"/>
              <w:right w:val="single" w:sz="4" w:space="0" w:color="000000"/>
            </w:tcBorders>
          </w:tcPr>
          <w:p>
            <w:pPr>
              <w:pStyle w:val="TableParagraph"/>
              <w:ind w:left="40"/>
              <w:rPr>
                <w:sz w:val="24"/>
              </w:rPr>
            </w:pPr>
            <w:r>
              <w:rPr>
                <w:sz w:val="24"/>
              </w:rPr>
              <w:t>50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5.0%</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3.0%</w:t>
            </w:r>
          </w:p>
        </w:tc>
      </w:tr>
      <w:tr>
        <w:trPr>
          <w:trHeight w:val="515" w:hRule="atLeast"/>
        </w:trPr>
        <w:tc>
          <w:tcPr>
            <w:tcW w:w="1296" w:type="dxa"/>
            <w:tcBorders>
              <w:top w:val="single" w:sz="4" w:space="0" w:color="000000"/>
              <w:right w:val="single" w:sz="4" w:space="0" w:color="000000"/>
            </w:tcBorders>
          </w:tcPr>
          <w:p>
            <w:pPr>
              <w:pStyle w:val="TableParagraph"/>
              <w:ind w:left="40"/>
              <w:rPr>
                <w:sz w:val="24"/>
              </w:rPr>
            </w:pPr>
            <w:r>
              <w:rPr>
                <w:sz w:val="24"/>
              </w:rPr>
              <w:t>100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1.5%</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1.5%</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3.0%</w:t>
            </w:r>
          </w:p>
        </w:tc>
        <w:tc>
          <w:tcPr>
            <w:tcW w:w="1295"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6"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1298" w:type="dxa"/>
            <w:tcBorders>
              <w:top w:val="single" w:sz="4" w:space="0" w:color="000000"/>
              <w:left w:val="single" w:sz="4" w:space="0" w:color="000000"/>
              <w:right w:val="single" w:sz="4" w:space="0" w:color="000000"/>
            </w:tcBorders>
          </w:tcPr>
          <w:p>
            <w:pPr>
              <w:pStyle w:val="TableParagraph"/>
              <w:ind w:left="44"/>
              <w:rPr>
                <w:sz w:val="24"/>
              </w:rPr>
            </w:pPr>
            <w:r>
              <w:rPr>
                <w:sz w:val="24"/>
              </w:rPr>
              <w:t>3.0%</w:t>
            </w:r>
          </w:p>
        </w:tc>
      </w:tr>
    </w:tbl>
    <w:p>
      <w:pPr>
        <w:spacing w:after="0"/>
        <w:rPr>
          <w:sz w:val="24"/>
        </w:rPr>
        <w:sectPr>
          <w:pgSz w:w="11910" w:h="16840"/>
          <w:pgMar w:header="686" w:footer="637" w:top="1320" w:bottom="820" w:left="1200" w:right="1000"/>
        </w:sectPr>
      </w:pPr>
    </w:p>
    <w:p>
      <w:pPr>
        <w:spacing w:before="83"/>
        <w:ind w:left="1919" w:right="565" w:hanging="1701"/>
        <w:jc w:val="left"/>
        <w:rPr>
          <w:rFonts w:ascii="Arial" w:hAnsi="Arial"/>
          <w:b/>
          <w:sz w:val="22"/>
        </w:rPr>
      </w:pPr>
      <w:r>
        <w:rPr>
          <w:rFonts w:ascii="Arial" w:hAnsi="Arial"/>
          <w:b/>
          <w:sz w:val="22"/>
        </w:rPr>
        <w:t>Table S7A.4.2.5 Type 4 or 5 installation – annual energy throughput less than 0.75 GWh</w:t>
      </w:r>
    </w:p>
    <w:p>
      <w:pPr>
        <w:pStyle w:val="BodyText"/>
        <w:spacing w:before="7" w:after="1"/>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8"/>
        <w:gridCol w:w="2267"/>
        <w:gridCol w:w="2267"/>
        <w:gridCol w:w="2269"/>
      </w:tblGrid>
      <w:tr>
        <w:trPr>
          <w:trHeight w:val="395" w:hRule="atLeast"/>
        </w:trPr>
        <w:tc>
          <w:tcPr>
            <w:tcW w:w="2268" w:type="dxa"/>
            <w:vMerge w:val="restart"/>
            <w:tcBorders>
              <w:bottom w:val="single" w:sz="4" w:space="0" w:color="000000"/>
              <w:right w:val="single" w:sz="4" w:space="0" w:color="000000"/>
            </w:tcBorders>
            <w:shd w:val="clear" w:color="auto" w:fill="D9D9D9"/>
          </w:tcPr>
          <w:p>
            <w:pPr>
              <w:pStyle w:val="TableParagraph"/>
              <w:ind w:left="340"/>
              <w:rPr>
                <w:rFonts w:ascii="Arial"/>
                <w:b/>
                <w:sz w:val="24"/>
              </w:rPr>
            </w:pPr>
            <w:r>
              <w:rPr>
                <w:rFonts w:ascii="Arial"/>
                <w:b/>
                <w:sz w:val="24"/>
              </w:rPr>
              <w:t>% Rated Load</w:t>
            </w:r>
          </w:p>
        </w:tc>
        <w:tc>
          <w:tcPr>
            <w:tcW w:w="6803" w:type="dxa"/>
            <w:gridSpan w:val="3"/>
            <w:tcBorders>
              <w:left w:val="single" w:sz="4" w:space="0" w:color="000000"/>
              <w:right w:val="single" w:sz="4" w:space="0" w:color="000000"/>
            </w:tcBorders>
            <w:shd w:val="clear" w:color="auto" w:fill="D9D9D9"/>
          </w:tcPr>
          <w:p>
            <w:pPr>
              <w:pStyle w:val="TableParagraph"/>
              <w:spacing w:line="256" w:lineRule="exact"/>
              <w:ind w:left="2626" w:right="2606"/>
              <w:jc w:val="center"/>
              <w:rPr>
                <w:rFonts w:ascii="Arial"/>
                <w:b/>
                <w:sz w:val="24"/>
              </w:rPr>
            </w:pPr>
            <w:r>
              <w:rPr>
                <w:rFonts w:ascii="Arial"/>
                <w:b/>
                <w:sz w:val="24"/>
              </w:rPr>
              <w:t>Power Factor</w:t>
            </w:r>
          </w:p>
        </w:tc>
      </w:tr>
      <w:tr>
        <w:trPr>
          <w:trHeight w:val="395" w:hRule="atLeast"/>
        </w:trPr>
        <w:tc>
          <w:tcPr>
            <w:tcW w:w="2268" w:type="dxa"/>
            <w:vMerge/>
            <w:tcBorders>
              <w:top w:val="nil"/>
              <w:bottom w:val="single" w:sz="4" w:space="0" w:color="000000"/>
              <w:right w:val="single" w:sz="4" w:space="0" w:color="000000"/>
            </w:tcBorders>
            <w:shd w:val="clear" w:color="auto" w:fill="D9D9D9"/>
          </w:tcPr>
          <w:p>
            <w:pPr>
              <w:rPr>
                <w:sz w:val="2"/>
                <w:szCs w:val="2"/>
              </w:rPr>
            </w:pPr>
          </w:p>
        </w:tc>
        <w:tc>
          <w:tcPr>
            <w:tcW w:w="2267" w:type="dxa"/>
            <w:tcBorders>
              <w:left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Unity</w:t>
            </w:r>
          </w:p>
        </w:tc>
        <w:tc>
          <w:tcPr>
            <w:tcW w:w="2267" w:type="dxa"/>
            <w:tcBorders>
              <w:left w:val="single" w:sz="4" w:space="0" w:color="000000"/>
              <w:right w:val="single" w:sz="4" w:space="0" w:color="000000"/>
            </w:tcBorders>
            <w:shd w:val="clear" w:color="auto" w:fill="D9D9D9"/>
          </w:tcPr>
          <w:p>
            <w:pPr>
              <w:pStyle w:val="TableParagraph"/>
              <w:spacing w:line="256" w:lineRule="exact"/>
              <w:ind w:left="378"/>
              <w:rPr>
                <w:rFonts w:ascii="Arial"/>
                <w:b/>
                <w:sz w:val="24"/>
              </w:rPr>
            </w:pPr>
            <w:r>
              <w:rPr>
                <w:rFonts w:ascii="Arial"/>
                <w:b/>
                <w:sz w:val="24"/>
              </w:rPr>
              <w:t>0.866 lagging</w:t>
            </w:r>
          </w:p>
        </w:tc>
        <w:tc>
          <w:tcPr>
            <w:tcW w:w="2269" w:type="dxa"/>
            <w:tcBorders>
              <w:left w:val="single" w:sz="4" w:space="0" w:color="000000"/>
              <w:right w:val="single" w:sz="4" w:space="0" w:color="000000"/>
            </w:tcBorders>
            <w:shd w:val="clear" w:color="auto" w:fill="D9D9D9"/>
          </w:tcPr>
          <w:p>
            <w:pPr>
              <w:pStyle w:val="TableParagraph"/>
              <w:spacing w:line="256" w:lineRule="exact"/>
              <w:ind w:left="512"/>
              <w:rPr>
                <w:rFonts w:ascii="Arial"/>
                <w:b/>
                <w:sz w:val="24"/>
              </w:rPr>
            </w:pPr>
            <w:r>
              <w:rPr>
                <w:rFonts w:ascii="Arial"/>
                <w:b/>
                <w:sz w:val="24"/>
              </w:rPr>
              <w:t>0.5 lagging</w:t>
            </w:r>
          </w:p>
        </w:tc>
      </w:tr>
      <w:tr>
        <w:trPr>
          <w:trHeight w:val="395" w:hRule="atLeast"/>
        </w:trPr>
        <w:tc>
          <w:tcPr>
            <w:tcW w:w="2268" w:type="dxa"/>
            <w:vMerge/>
            <w:tcBorders>
              <w:top w:val="nil"/>
              <w:bottom w:val="single" w:sz="4" w:space="0" w:color="000000"/>
              <w:right w:val="single" w:sz="4" w:space="0" w:color="000000"/>
            </w:tcBorders>
            <w:shd w:val="clear" w:color="auto" w:fill="D9D9D9"/>
          </w:tcPr>
          <w:p>
            <w:pPr>
              <w:rPr>
                <w:sz w:val="2"/>
                <w:szCs w:val="2"/>
              </w:rPr>
            </w:pPr>
          </w:p>
        </w:tc>
        <w:tc>
          <w:tcPr>
            <w:tcW w:w="226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Active</w:t>
            </w:r>
          </w:p>
        </w:tc>
        <w:tc>
          <w:tcPr>
            <w:tcW w:w="226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Active</w:t>
            </w:r>
          </w:p>
        </w:tc>
        <w:tc>
          <w:tcPr>
            <w:tcW w:w="226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8" w:right="739"/>
              <w:jc w:val="center"/>
              <w:rPr>
                <w:rFonts w:ascii="Arial"/>
                <w:b/>
                <w:sz w:val="24"/>
              </w:rPr>
            </w:pPr>
            <w:r>
              <w:rPr>
                <w:rFonts w:ascii="Arial"/>
                <w:b/>
                <w:sz w:val="24"/>
              </w:rPr>
              <w:t>Active</w:t>
            </w:r>
          </w:p>
        </w:tc>
      </w:tr>
      <w:tr>
        <w:trPr>
          <w:trHeight w:val="515" w:hRule="atLeast"/>
        </w:trPr>
        <w:tc>
          <w:tcPr>
            <w:tcW w:w="2268" w:type="dxa"/>
            <w:tcBorders>
              <w:top w:val="single" w:sz="4" w:space="0" w:color="000000"/>
              <w:bottom w:val="single" w:sz="4" w:space="0" w:color="000000"/>
              <w:right w:val="single" w:sz="4" w:space="0" w:color="000000"/>
            </w:tcBorders>
          </w:tcPr>
          <w:p>
            <w:pPr>
              <w:pStyle w:val="TableParagraph"/>
              <w:ind w:left="40"/>
              <w:rPr>
                <w:sz w:val="24"/>
              </w:rPr>
            </w:pPr>
            <w:r>
              <w:rPr>
                <w:sz w:val="24"/>
              </w:rPr>
              <w:t>10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515" w:hRule="atLeast"/>
        </w:trPr>
        <w:tc>
          <w:tcPr>
            <w:tcW w:w="2268" w:type="dxa"/>
            <w:tcBorders>
              <w:top w:val="single" w:sz="4" w:space="0" w:color="000000"/>
              <w:bottom w:val="single" w:sz="4" w:space="0" w:color="000000"/>
              <w:right w:val="single" w:sz="4" w:space="0" w:color="000000"/>
            </w:tcBorders>
          </w:tcPr>
          <w:p>
            <w:pPr>
              <w:pStyle w:val="TableParagraph"/>
              <w:ind w:left="40"/>
              <w:rPr>
                <w:sz w:val="24"/>
              </w:rPr>
            </w:pPr>
            <w:r>
              <w:rPr>
                <w:sz w:val="24"/>
              </w:rPr>
              <w:t>50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1.5%</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2.5%</w:t>
            </w:r>
          </w:p>
        </w:tc>
      </w:tr>
      <w:tr>
        <w:trPr>
          <w:trHeight w:val="515" w:hRule="atLeast"/>
        </w:trPr>
        <w:tc>
          <w:tcPr>
            <w:tcW w:w="2268" w:type="dxa"/>
            <w:tcBorders>
              <w:top w:val="single" w:sz="4" w:space="0" w:color="000000"/>
              <w:right w:val="single" w:sz="4" w:space="0" w:color="000000"/>
            </w:tcBorders>
          </w:tcPr>
          <w:p>
            <w:pPr>
              <w:pStyle w:val="TableParagraph"/>
              <w:ind w:left="40"/>
              <w:rPr>
                <w:sz w:val="24"/>
              </w:rPr>
            </w:pPr>
            <w:r>
              <w:rPr>
                <w:sz w:val="24"/>
              </w:rPr>
              <w:t>100</w:t>
            </w:r>
          </w:p>
        </w:tc>
        <w:tc>
          <w:tcPr>
            <w:tcW w:w="2267" w:type="dxa"/>
            <w:tcBorders>
              <w:top w:val="single" w:sz="4" w:space="0" w:color="000000"/>
              <w:left w:val="single" w:sz="4" w:space="0" w:color="000000"/>
              <w:right w:val="single" w:sz="4" w:space="0" w:color="000000"/>
            </w:tcBorders>
          </w:tcPr>
          <w:p>
            <w:pPr>
              <w:pStyle w:val="TableParagraph"/>
              <w:rPr>
                <w:sz w:val="24"/>
              </w:rPr>
            </w:pPr>
            <w:r>
              <w:rPr>
                <w:sz w:val="24"/>
              </w:rPr>
              <w:t>1.5%</w:t>
            </w:r>
          </w:p>
        </w:tc>
        <w:tc>
          <w:tcPr>
            <w:tcW w:w="2267" w:type="dxa"/>
            <w:tcBorders>
              <w:top w:val="single" w:sz="4" w:space="0" w:color="000000"/>
              <w:left w:val="single" w:sz="4" w:space="0" w:color="000000"/>
              <w:right w:val="single" w:sz="4" w:space="0" w:color="000000"/>
            </w:tcBorders>
          </w:tcPr>
          <w:p>
            <w:pPr>
              <w:pStyle w:val="TableParagraph"/>
              <w:rPr>
                <w:sz w:val="24"/>
              </w:rPr>
            </w:pPr>
            <w:r>
              <w:rPr>
                <w:sz w:val="24"/>
              </w:rPr>
              <w:t>1.5%</w:t>
            </w:r>
          </w:p>
        </w:tc>
        <w:tc>
          <w:tcPr>
            <w:tcW w:w="2269" w:type="dxa"/>
            <w:tcBorders>
              <w:top w:val="single" w:sz="4" w:space="0" w:color="000000"/>
              <w:left w:val="single" w:sz="4" w:space="0" w:color="000000"/>
              <w:right w:val="single" w:sz="4" w:space="0" w:color="000000"/>
            </w:tcBorders>
          </w:tcPr>
          <w:p>
            <w:pPr>
              <w:pStyle w:val="TableParagraph"/>
              <w:rPr>
                <w:sz w:val="24"/>
              </w:rPr>
            </w:pPr>
            <w:r>
              <w:rPr>
                <w:sz w:val="24"/>
              </w:rPr>
              <w:t>n/a</w:t>
            </w:r>
          </w:p>
        </w:tc>
      </w:tr>
    </w:tbl>
    <w:p>
      <w:pPr>
        <w:pStyle w:val="BodyText"/>
        <w:spacing w:before="5"/>
        <w:ind w:firstLine="0"/>
        <w:jc w:val="left"/>
        <w:rPr>
          <w:rFonts w:ascii="Arial"/>
          <w:b/>
          <w:sz w:val="34"/>
        </w:rPr>
      </w:pPr>
    </w:p>
    <w:p>
      <w:pPr>
        <w:spacing w:before="0"/>
        <w:ind w:left="218" w:right="0" w:firstLine="0"/>
        <w:jc w:val="left"/>
        <w:rPr>
          <w:rFonts w:ascii="Arial" w:hAnsi="Arial"/>
          <w:b/>
          <w:sz w:val="22"/>
        </w:rPr>
      </w:pPr>
      <w:r>
        <w:rPr>
          <w:rFonts w:ascii="Arial" w:hAnsi="Arial"/>
          <w:b/>
          <w:sz w:val="22"/>
        </w:rPr>
        <w:t>Table S7A.4.2.6 Type 6 installation – annual energy throughput less than 0.75 GWh</w:t>
      </w:r>
    </w:p>
    <w:p>
      <w:pPr>
        <w:pStyle w:val="BodyText"/>
        <w:spacing w:before="7"/>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8"/>
        <w:gridCol w:w="2267"/>
        <w:gridCol w:w="2267"/>
        <w:gridCol w:w="2269"/>
      </w:tblGrid>
      <w:tr>
        <w:trPr>
          <w:trHeight w:val="395" w:hRule="atLeast"/>
        </w:trPr>
        <w:tc>
          <w:tcPr>
            <w:tcW w:w="2268" w:type="dxa"/>
            <w:vMerge w:val="restart"/>
            <w:tcBorders>
              <w:bottom w:val="single" w:sz="4" w:space="0" w:color="000000"/>
              <w:right w:val="single" w:sz="4" w:space="0" w:color="000000"/>
            </w:tcBorders>
            <w:shd w:val="clear" w:color="auto" w:fill="D9D9D9"/>
          </w:tcPr>
          <w:p>
            <w:pPr>
              <w:pStyle w:val="TableParagraph"/>
              <w:ind w:left="340"/>
              <w:rPr>
                <w:rFonts w:ascii="Arial"/>
                <w:b/>
                <w:sz w:val="24"/>
              </w:rPr>
            </w:pPr>
            <w:r>
              <w:rPr>
                <w:rFonts w:ascii="Arial"/>
                <w:b/>
                <w:sz w:val="24"/>
              </w:rPr>
              <w:t>% Rated Load</w:t>
            </w:r>
          </w:p>
        </w:tc>
        <w:tc>
          <w:tcPr>
            <w:tcW w:w="6803" w:type="dxa"/>
            <w:gridSpan w:val="3"/>
            <w:tcBorders>
              <w:left w:val="single" w:sz="4" w:space="0" w:color="000000"/>
              <w:right w:val="single" w:sz="4" w:space="0" w:color="000000"/>
            </w:tcBorders>
            <w:shd w:val="clear" w:color="auto" w:fill="D9D9D9"/>
          </w:tcPr>
          <w:p>
            <w:pPr>
              <w:pStyle w:val="TableParagraph"/>
              <w:spacing w:line="256" w:lineRule="exact"/>
              <w:ind w:left="2626" w:right="2606"/>
              <w:jc w:val="center"/>
              <w:rPr>
                <w:rFonts w:ascii="Arial"/>
                <w:b/>
                <w:sz w:val="24"/>
              </w:rPr>
            </w:pPr>
            <w:r>
              <w:rPr>
                <w:rFonts w:ascii="Arial"/>
                <w:b/>
                <w:sz w:val="24"/>
              </w:rPr>
              <w:t>Power Factor</w:t>
            </w:r>
          </w:p>
        </w:tc>
      </w:tr>
      <w:tr>
        <w:trPr>
          <w:trHeight w:val="395" w:hRule="atLeast"/>
        </w:trPr>
        <w:tc>
          <w:tcPr>
            <w:tcW w:w="2268" w:type="dxa"/>
            <w:vMerge/>
            <w:tcBorders>
              <w:top w:val="nil"/>
              <w:bottom w:val="single" w:sz="4" w:space="0" w:color="000000"/>
              <w:right w:val="single" w:sz="4" w:space="0" w:color="000000"/>
            </w:tcBorders>
            <w:shd w:val="clear" w:color="auto" w:fill="D9D9D9"/>
          </w:tcPr>
          <w:p>
            <w:pPr>
              <w:rPr>
                <w:sz w:val="2"/>
                <w:szCs w:val="2"/>
              </w:rPr>
            </w:pPr>
          </w:p>
        </w:tc>
        <w:tc>
          <w:tcPr>
            <w:tcW w:w="2267" w:type="dxa"/>
            <w:tcBorders>
              <w:left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Unity</w:t>
            </w:r>
          </w:p>
        </w:tc>
        <w:tc>
          <w:tcPr>
            <w:tcW w:w="2267" w:type="dxa"/>
            <w:tcBorders>
              <w:left w:val="single" w:sz="4" w:space="0" w:color="000000"/>
              <w:right w:val="single" w:sz="4" w:space="0" w:color="000000"/>
            </w:tcBorders>
            <w:shd w:val="clear" w:color="auto" w:fill="D9D9D9"/>
          </w:tcPr>
          <w:p>
            <w:pPr>
              <w:pStyle w:val="TableParagraph"/>
              <w:spacing w:line="256" w:lineRule="exact"/>
              <w:ind w:left="378"/>
              <w:rPr>
                <w:rFonts w:ascii="Arial"/>
                <w:b/>
                <w:sz w:val="24"/>
              </w:rPr>
            </w:pPr>
            <w:r>
              <w:rPr>
                <w:rFonts w:ascii="Arial"/>
                <w:b/>
                <w:sz w:val="24"/>
              </w:rPr>
              <w:t>0.866 lagging</w:t>
            </w:r>
          </w:p>
        </w:tc>
        <w:tc>
          <w:tcPr>
            <w:tcW w:w="2269" w:type="dxa"/>
            <w:tcBorders>
              <w:left w:val="single" w:sz="4" w:space="0" w:color="000000"/>
              <w:right w:val="single" w:sz="4" w:space="0" w:color="000000"/>
            </w:tcBorders>
            <w:shd w:val="clear" w:color="auto" w:fill="D9D9D9"/>
          </w:tcPr>
          <w:p>
            <w:pPr>
              <w:pStyle w:val="TableParagraph"/>
              <w:spacing w:line="256" w:lineRule="exact"/>
              <w:ind w:left="512"/>
              <w:rPr>
                <w:rFonts w:ascii="Arial"/>
                <w:b/>
                <w:sz w:val="24"/>
              </w:rPr>
            </w:pPr>
            <w:r>
              <w:rPr>
                <w:rFonts w:ascii="Arial"/>
                <w:b/>
                <w:sz w:val="24"/>
              </w:rPr>
              <w:t>0.5 lagging</w:t>
            </w:r>
          </w:p>
        </w:tc>
      </w:tr>
      <w:tr>
        <w:trPr>
          <w:trHeight w:val="395" w:hRule="atLeast"/>
        </w:trPr>
        <w:tc>
          <w:tcPr>
            <w:tcW w:w="2268" w:type="dxa"/>
            <w:vMerge/>
            <w:tcBorders>
              <w:top w:val="nil"/>
              <w:bottom w:val="single" w:sz="4" w:space="0" w:color="000000"/>
              <w:right w:val="single" w:sz="4" w:space="0" w:color="000000"/>
            </w:tcBorders>
            <w:shd w:val="clear" w:color="auto" w:fill="D9D9D9"/>
          </w:tcPr>
          <w:p>
            <w:pPr>
              <w:rPr>
                <w:sz w:val="2"/>
                <w:szCs w:val="2"/>
              </w:rPr>
            </w:pPr>
          </w:p>
        </w:tc>
        <w:tc>
          <w:tcPr>
            <w:tcW w:w="226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Active</w:t>
            </w:r>
          </w:p>
        </w:tc>
        <w:tc>
          <w:tcPr>
            <w:tcW w:w="226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7" w:right="738"/>
              <w:jc w:val="center"/>
              <w:rPr>
                <w:rFonts w:ascii="Arial"/>
                <w:b/>
                <w:sz w:val="24"/>
              </w:rPr>
            </w:pPr>
            <w:r>
              <w:rPr>
                <w:rFonts w:ascii="Arial"/>
                <w:b/>
                <w:sz w:val="24"/>
              </w:rPr>
              <w:t>Active</w:t>
            </w:r>
          </w:p>
        </w:tc>
        <w:tc>
          <w:tcPr>
            <w:tcW w:w="226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758" w:right="739"/>
              <w:jc w:val="center"/>
              <w:rPr>
                <w:rFonts w:ascii="Arial"/>
                <w:b/>
                <w:sz w:val="24"/>
              </w:rPr>
            </w:pPr>
            <w:r>
              <w:rPr>
                <w:rFonts w:ascii="Arial"/>
                <w:b/>
                <w:sz w:val="24"/>
              </w:rPr>
              <w:t>Active</w:t>
            </w:r>
          </w:p>
        </w:tc>
      </w:tr>
      <w:tr>
        <w:trPr>
          <w:trHeight w:val="515" w:hRule="atLeast"/>
        </w:trPr>
        <w:tc>
          <w:tcPr>
            <w:tcW w:w="2268" w:type="dxa"/>
            <w:tcBorders>
              <w:top w:val="single" w:sz="4" w:space="0" w:color="000000"/>
              <w:bottom w:val="single" w:sz="4" w:space="0" w:color="000000"/>
              <w:right w:val="single" w:sz="4" w:space="0" w:color="000000"/>
            </w:tcBorders>
          </w:tcPr>
          <w:p>
            <w:pPr>
              <w:pStyle w:val="TableParagraph"/>
              <w:ind w:left="40"/>
              <w:rPr>
                <w:sz w:val="24"/>
              </w:rPr>
            </w:pPr>
            <w:r>
              <w:rPr>
                <w:sz w:val="24"/>
              </w:rPr>
              <w:t>10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515" w:hRule="atLeast"/>
        </w:trPr>
        <w:tc>
          <w:tcPr>
            <w:tcW w:w="2268" w:type="dxa"/>
            <w:tcBorders>
              <w:top w:val="single" w:sz="4" w:space="0" w:color="000000"/>
              <w:bottom w:val="single" w:sz="4" w:space="0" w:color="000000"/>
              <w:right w:val="single" w:sz="4" w:space="0" w:color="000000"/>
            </w:tcBorders>
          </w:tcPr>
          <w:p>
            <w:pPr>
              <w:pStyle w:val="TableParagraph"/>
              <w:ind w:left="40"/>
              <w:rPr>
                <w:sz w:val="24"/>
              </w:rPr>
            </w:pPr>
            <w:r>
              <w:rPr>
                <w:sz w:val="24"/>
              </w:rPr>
              <w:t>50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w:t>
            </w:r>
          </w:p>
        </w:tc>
      </w:tr>
      <w:tr>
        <w:trPr>
          <w:trHeight w:val="515" w:hRule="atLeast"/>
        </w:trPr>
        <w:tc>
          <w:tcPr>
            <w:tcW w:w="2268" w:type="dxa"/>
            <w:tcBorders>
              <w:top w:val="single" w:sz="4" w:space="0" w:color="000000"/>
              <w:right w:val="single" w:sz="4" w:space="0" w:color="000000"/>
            </w:tcBorders>
          </w:tcPr>
          <w:p>
            <w:pPr>
              <w:pStyle w:val="TableParagraph"/>
              <w:ind w:left="40"/>
              <w:rPr>
                <w:sz w:val="24"/>
              </w:rPr>
            </w:pPr>
            <w:r>
              <w:rPr>
                <w:sz w:val="24"/>
              </w:rPr>
              <w:t>100</w:t>
            </w:r>
          </w:p>
        </w:tc>
        <w:tc>
          <w:tcPr>
            <w:tcW w:w="2267" w:type="dxa"/>
            <w:tcBorders>
              <w:top w:val="single" w:sz="4" w:space="0" w:color="000000"/>
              <w:left w:val="single" w:sz="4" w:space="0" w:color="000000"/>
              <w:right w:val="single" w:sz="4" w:space="0" w:color="000000"/>
            </w:tcBorders>
          </w:tcPr>
          <w:p>
            <w:pPr>
              <w:pStyle w:val="TableParagraph"/>
              <w:rPr>
                <w:sz w:val="24"/>
              </w:rPr>
            </w:pPr>
            <w:r>
              <w:rPr>
                <w:sz w:val="24"/>
              </w:rPr>
              <w:t>2.0%</w:t>
            </w:r>
          </w:p>
        </w:tc>
        <w:tc>
          <w:tcPr>
            <w:tcW w:w="2267" w:type="dxa"/>
            <w:tcBorders>
              <w:top w:val="single" w:sz="4" w:space="0" w:color="000000"/>
              <w:left w:val="single" w:sz="4" w:space="0" w:color="000000"/>
              <w:right w:val="single" w:sz="4" w:space="0" w:color="000000"/>
            </w:tcBorders>
          </w:tcPr>
          <w:p>
            <w:pPr>
              <w:pStyle w:val="TableParagraph"/>
              <w:rPr>
                <w:sz w:val="24"/>
              </w:rPr>
            </w:pPr>
            <w:r>
              <w:rPr>
                <w:sz w:val="24"/>
              </w:rPr>
              <w:t>n/a</w:t>
            </w:r>
          </w:p>
        </w:tc>
        <w:tc>
          <w:tcPr>
            <w:tcW w:w="2269" w:type="dxa"/>
            <w:tcBorders>
              <w:top w:val="single" w:sz="4" w:space="0" w:color="000000"/>
              <w:left w:val="single" w:sz="4" w:space="0" w:color="000000"/>
              <w:right w:val="single" w:sz="4" w:space="0" w:color="000000"/>
            </w:tcBorders>
          </w:tcPr>
          <w:p>
            <w:pPr>
              <w:pStyle w:val="TableParagraph"/>
              <w:rPr>
                <w:sz w:val="24"/>
              </w:rPr>
            </w:pPr>
            <w:r>
              <w:rPr>
                <w:sz w:val="24"/>
              </w:rPr>
              <w:t>n/a</w:t>
            </w:r>
          </w:p>
        </w:tc>
      </w:tr>
    </w:tbl>
    <w:p>
      <w:pPr>
        <w:pStyle w:val="BodyText"/>
        <w:spacing w:before="5"/>
        <w:ind w:firstLine="0"/>
        <w:jc w:val="left"/>
        <w:rPr>
          <w:rFonts w:ascii="Arial"/>
          <w:b/>
          <w:sz w:val="34"/>
        </w:rPr>
      </w:pPr>
    </w:p>
    <w:p>
      <w:pPr>
        <w:spacing w:before="0"/>
        <w:ind w:left="1352" w:right="0" w:firstLine="0"/>
        <w:jc w:val="left"/>
        <w:rPr>
          <w:rFonts w:ascii="Arial"/>
          <w:b/>
          <w:sz w:val="20"/>
        </w:rPr>
      </w:pPr>
      <w:r>
        <w:rPr>
          <w:rFonts w:ascii="Arial"/>
          <w:b/>
          <w:sz w:val="20"/>
        </w:rPr>
        <w:t>Notes to Tables S7A4.2.2 to S7A4.2.6</w:t>
      </w:r>
    </w:p>
    <w:p>
      <w:pPr>
        <w:spacing w:before="120"/>
        <w:ind w:left="1352" w:right="0" w:firstLine="0"/>
        <w:jc w:val="left"/>
        <w:rPr>
          <w:sz w:val="20"/>
        </w:rPr>
      </w:pPr>
      <w:r>
        <w:rPr>
          <w:sz w:val="20"/>
        </w:rPr>
        <w:t>All measurements in Tables S7A4.2.2 to S7A4.2.6 are to be referred to 24 degrees Celsius.</w:t>
      </w:r>
    </w:p>
    <w:p>
      <w:pPr>
        <w:pStyle w:val="ListParagraph"/>
        <w:numPr>
          <w:ilvl w:val="0"/>
          <w:numId w:val="525"/>
        </w:numPr>
        <w:tabs>
          <w:tab w:pos="1658" w:val="left" w:leader="none"/>
        </w:tabs>
        <w:spacing w:line="240" w:lineRule="auto" w:before="120" w:after="0"/>
        <w:ind w:left="1352" w:right="414" w:firstLine="0"/>
        <w:jc w:val="left"/>
        <w:rPr>
          <w:sz w:val="20"/>
        </w:rPr>
      </w:pPr>
      <w:r>
        <w:rPr>
          <w:sz w:val="20"/>
        </w:rPr>
        <w:t>The method for calculating the overall error is the vector sum of the errors of each component part (that is, a + b + c)</w:t>
      </w:r>
      <w:r>
        <w:rPr>
          <w:spacing w:val="-1"/>
          <w:sz w:val="20"/>
        </w:rPr>
        <w:t> </w:t>
      </w:r>
      <w:r>
        <w:rPr>
          <w:sz w:val="20"/>
        </w:rPr>
        <w:t>where:</w:t>
      </w:r>
    </w:p>
    <w:p>
      <w:pPr>
        <w:spacing w:before="120"/>
        <w:ind w:left="1919" w:right="0" w:firstLine="0"/>
        <w:jc w:val="left"/>
        <w:rPr>
          <w:sz w:val="20"/>
        </w:rPr>
      </w:pPr>
      <w:r>
        <w:rPr>
          <w:sz w:val="20"/>
        </w:rPr>
        <w:t>a = the error of the </w:t>
      </w:r>
      <w:r>
        <w:rPr>
          <w:i/>
          <w:sz w:val="20"/>
        </w:rPr>
        <w:t>voltage transformer </w:t>
      </w:r>
      <w:r>
        <w:rPr>
          <w:sz w:val="20"/>
        </w:rPr>
        <w:t>and wiring;</w:t>
      </w:r>
    </w:p>
    <w:p>
      <w:pPr>
        <w:spacing w:line="364" w:lineRule="auto" w:before="120"/>
        <w:ind w:left="1919" w:right="3314" w:firstLine="0"/>
        <w:jc w:val="left"/>
        <w:rPr>
          <w:sz w:val="20"/>
        </w:rPr>
      </w:pPr>
      <w:r>
        <w:rPr>
          <w:sz w:val="20"/>
        </w:rPr>
        <w:t>b = the error of the </w:t>
      </w:r>
      <w:r>
        <w:rPr>
          <w:i/>
          <w:sz w:val="20"/>
        </w:rPr>
        <w:t>current transformer </w:t>
      </w:r>
      <w:r>
        <w:rPr>
          <w:sz w:val="20"/>
        </w:rPr>
        <w:t>and wiring; and c = the error of the </w:t>
      </w:r>
      <w:r>
        <w:rPr>
          <w:i/>
          <w:sz w:val="20"/>
        </w:rPr>
        <w:t>meter</w:t>
      </w:r>
      <w:r>
        <w:rPr>
          <w:sz w:val="20"/>
        </w:rPr>
        <w:t>.</w:t>
      </w:r>
    </w:p>
    <w:p>
      <w:pPr>
        <w:pStyle w:val="ListParagraph"/>
        <w:numPr>
          <w:ilvl w:val="0"/>
          <w:numId w:val="525"/>
        </w:numPr>
        <w:tabs>
          <w:tab w:pos="1658" w:val="left" w:leader="none"/>
        </w:tabs>
        <w:spacing w:line="240" w:lineRule="auto" w:before="1" w:after="0"/>
        <w:ind w:left="1352" w:right="414" w:firstLine="0"/>
        <w:jc w:val="left"/>
        <w:rPr>
          <w:sz w:val="20"/>
        </w:rPr>
      </w:pPr>
      <w:r>
        <w:rPr>
          <w:sz w:val="20"/>
        </w:rPr>
        <w:t>If compensation is carried out then the resultant </w:t>
      </w:r>
      <w:r>
        <w:rPr>
          <w:i/>
          <w:sz w:val="20"/>
        </w:rPr>
        <w:t>metering data </w:t>
      </w:r>
      <w:r>
        <w:rPr>
          <w:sz w:val="20"/>
        </w:rPr>
        <w:t>error must be as close as practicable to</w:t>
      </w:r>
      <w:r>
        <w:rPr>
          <w:spacing w:val="-2"/>
          <w:sz w:val="20"/>
        </w:rPr>
        <w:t> </w:t>
      </w:r>
      <w:r>
        <w:rPr>
          <w:sz w:val="20"/>
        </w:rPr>
        <w:t>zero.</w:t>
      </w:r>
    </w:p>
    <w:p>
      <w:pPr>
        <w:pStyle w:val="BodyText"/>
        <w:spacing w:before="9"/>
        <w:ind w:firstLine="0"/>
        <w:jc w:val="left"/>
        <w:rPr>
          <w:sz w:val="20"/>
        </w:rPr>
      </w:pPr>
    </w:p>
    <w:p>
      <w:pPr>
        <w:pStyle w:val="Heading4"/>
        <w:tabs>
          <w:tab w:pos="1351" w:val="left" w:leader="none"/>
        </w:tabs>
        <w:spacing w:before="1"/>
        <w:ind w:left="218" w:firstLine="0"/>
      </w:pPr>
      <w:bookmarkStart w:name="S7A.4.3 Check metering" w:id="1861"/>
      <w:bookmarkEnd w:id="1861"/>
      <w:r>
        <w:rPr>
          <w:b w:val="0"/>
        </w:rPr>
      </w:r>
      <w:bookmarkStart w:name="_bookmark756" w:id="1862"/>
      <w:bookmarkEnd w:id="1862"/>
      <w:r>
        <w:rPr>
          <w:b w:val="0"/>
        </w:rPr>
      </w:r>
      <w:r>
        <w:rPr/>
        <w:t>S7A.4.3</w:t>
        <w:tab/>
        <w:t>Check</w:t>
      </w:r>
      <w:r>
        <w:rPr>
          <w:spacing w:val="-1"/>
        </w:rPr>
        <w:t> </w:t>
      </w:r>
      <w:r>
        <w:rPr/>
        <w:t>metering</w:t>
      </w:r>
    </w:p>
    <w:p>
      <w:pPr>
        <w:pStyle w:val="ListParagraph"/>
        <w:numPr>
          <w:ilvl w:val="0"/>
          <w:numId w:val="526"/>
        </w:numPr>
        <w:tabs>
          <w:tab w:pos="1918" w:val="left" w:leader="none"/>
          <w:tab w:pos="1919" w:val="left" w:leader="none"/>
        </w:tabs>
        <w:spacing w:line="240" w:lineRule="auto" w:before="120" w:after="0"/>
        <w:ind w:left="1919" w:right="414" w:hanging="567"/>
        <w:jc w:val="left"/>
        <w:rPr>
          <w:sz w:val="24"/>
        </w:rPr>
      </w:pPr>
      <w:r>
        <w:rPr>
          <w:sz w:val="24"/>
        </w:rPr>
        <w:t>Where a </w:t>
      </w:r>
      <w:r>
        <w:rPr>
          <w:i/>
          <w:sz w:val="24"/>
        </w:rPr>
        <w:t>check metering installation </w:t>
      </w:r>
      <w:r>
        <w:rPr>
          <w:sz w:val="24"/>
        </w:rPr>
        <w:t>is in place, it is to be applied in accordance with the following</w:t>
      </w:r>
      <w:r>
        <w:rPr>
          <w:spacing w:val="-2"/>
          <w:sz w:val="24"/>
        </w:rPr>
        <w:t> </w:t>
      </w:r>
      <w:r>
        <w:rPr>
          <w:sz w:val="24"/>
        </w:rPr>
        <w:t>Table:</w:t>
      </w:r>
    </w:p>
    <w:p>
      <w:pPr>
        <w:pStyle w:val="BodyText"/>
        <w:spacing w:before="9" w:after="1"/>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947" w:hRule="atLeast"/>
        </w:trPr>
        <w:tc>
          <w:tcPr>
            <w:tcW w:w="3685" w:type="dxa"/>
            <w:tcBorders>
              <w:bottom w:val="single" w:sz="4" w:space="0" w:color="000000"/>
              <w:right w:val="single" w:sz="4" w:space="0" w:color="000000"/>
            </w:tcBorders>
            <w:shd w:val="clear" w:color="auto" w:fill="D9D9D9"/>
          </w:tcPr>
          <w:p>
            <w:pPr>
              <w:pStyle w:val="TableParagraph"/>
              <w:spacing w:line="270" w:lineRule="atLeast"/>
              <w:ind w:left="40" w:right="369"/>
              <w:rPr>
                <w:rFonts w:ascii="Arial"/>
                <w:b/>
                <w:sz w:val="24"/>
              </w:rPr>
            </w:pPr>
            <w:r>
              <w:rPr>
                <w:rFonts w:ascii="Arial"/>
                <w:b/>
                <w:sz w:val="24"/>
              </w:rPr>
              <w:t>Metering Installation Type in accordance with Table S7A.4.2.1</w:t>
            </w:r>
          </w:p>
        </w:tc>
        <w:tc>
          <w:tcPr>
            <w:tcW w:w="3685"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Check Metering Requirements</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1</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i/>
                <w:sz w:val="24"/>
              </w:rPr>
              <w:t>Check metering installation</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2</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sz w:val="24"/>
              </w:rPr>
              <w:t>Partial check </w:t>
            </w:r>
            <w:r>
              <w:rPr>
                <w:i/>
                <w:sz w:val="24"/>
              </w:rPr>
              <w:t>metering</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947" w:hRule="atLeast"/>
        </w:trPr>
        <w:tc>
          <w:tcPr>
            <w:tcW w:w="3685" w:type="dxa"/>
            <w:tcBorders>
              <w:bottom w:val="single" w:sz="4" w:space="0" w:color="000000"/>
              <w:right w:val="single" w:sz="4" w:space="0" w:color="000000"/>
            </w:tcBorders>
            <w:shd w:val="clear" w:color="auto" w:fill="D9D9D9"/>
          </w:tcPr>
          <w:p>
            <w:pPr>
              <w:pStyle w:val="TableParagraph"/>
              <w:spacing w:line="270" w:lineRule="atLeast"/>
              <w:ind w:left="40" w:right="369"/>
              <w:rPr>
                <w:rFonts w:ascii="Arial"/>
                <w:b/>
                <w:sz w:val="24"/>
              </w:rPr>
            </w:pPr>
            <w:r>
              <w:rPr>
                <w:rFonts w:ascii="Arial"/>
                <w:b/>
                <w:sz w:val="24"/>
              </w:rPr>
              <w:t>Metering Installation Type in accordance with Table S7A.4.2.1</w:t>
            </w:r>
          </w:p>
        </w:tc>
        <w:tc>
          <w:tcPr>
            <w:tcW w:w="3685"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Check Metering Requirements</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3</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No requirement</w:t>
            </w:r>
          </w:p>
        </w:tc>
      </w:tr>
      <w:tr>
        <w:trPr>
          <w:trHeight w:val="515" w:hRule="atLeast"/>
        </w:trPr>
        <w:tc>
          <w:tcPr>
            <w:tcW w:w="3685" w:type="dxa"/>
            <w:tcBorders>
              <w:top w:val="single" w:sz="4" w:space="0" w:color="000000"/>
              <w:right w:val="single" w:sz="4" w:space="0" w:color="000000"/>
            </w:tcBorders>
          </w:tcPr>
          <w:p>
            <w:pPr>
              <w:pStyle w:val="TableParagraph"/>
              <w:ind w:left="40"/>
              <w:rPr>
                <w:sz w:val="24"/>
              </w:rPr>
            </w:pPr>
            <w:r>
              <w:rPr>
                <w:sz w:val="24"/>
              </w:rPr>
              <w:t>4, 4A, 5 and 6</w:t>
            </w:r>
          </w:p>
        </w:tc>
        <w:tc>
          <w:tcPr>
            <w:tcW w:w="3685" w:type="dxa"/>
            <w:tcBorders>
              <w:top w:val="single" w:sz="4" w:space="0" w:color="000000"/>
              <w:left w:val="single" w:sz="4" w:space="0" w:color="000000"/>
              <w:right w:val="single" w:sz="4" w:space="0" w:color="000000"/>
            </w:tcBorders>
          </w:tcPr>
          <w:p>
            <w:pPr>
              <w:pStyle w:val="TableParagraph"/>
              <w:rPr>
                <w:sz w:val="24"/>
              </w:rPr>
            </w:pPr>
            <w:r>
              <w:rPr>
                <w:sz w:val="24"/>
              </w:rPr>
              <w:t>No requirement</w:t>
            </w:r>
          </w:p>
        </w:tc>
      </w:tr>
    </w:tbl>
    <w:p>
      <w:pPr>
        <w:pStyle w:val="BodyText"/>
        <w:spacing w:before="8"/>
        <w:ind w:firstLine="0"/>
        <w:jc w:val="left"/>
        <w:rPr>
          <w:sz w:val="26"/>
        </w:rPr>
      </w:pPr>
    </w:p>
    <w:p>
      <w:pPr>
        <w:pStyle w:val="ListParagraph"/>
        <w:numPr>
          <w:ilvl w:val="0"/>
          <w:numId w:val="526"/>
        </w:numPr>
        <w:tabs>
          <w:tab w:pos="1919" w:val="left" w:leader="none"/>
        </w:tabs>
        <w:spacing w:line="240" w:lineRule="auto" w:before="90" w:after="0"/>
        <w:ind w:left="1919" w:right="415" w:hanging="567"/>
        <w:jc w:val="both"/>
        <w:rPr>
          <w:sz w:val="24"/>
        </w:rPr>
      </w:pPr>
      <w:r>
        <w:rPr>
          <w:sz w:val="24"/>
        </w:rPr>
        <w:t>Where a </w:t>
      </w:r>
      <w:r>
        <w:rPr>
          <w:i/>
          <w:sz w:val="24"/>
        </w:rPr>
        <w:t>check metering installation </w:t>
      </w:r>
      <w:r>
        <w:rPr>
          <w:sz w:val="24"/>
        </w:rPr>
        <w:t>is not in place, and a financially responsible participant requests the installation of a </w:t>
      </w:r>
      <w:r>
        <w:rPr>
          <w:i/>
          <w:sz w:val="24"/>
        </w:rPr>
        <w:t>check metering </w:t>
      </w:r>
      <w:r>
        <w:rPr>
          <w:i/>
          <w:sz w:val="24"/>
        </w:rPr>
        <w:t>installation </w:t>
      </w:r>
      <w:r>
        <w:rPr>
          <w:sz w:val="24"/>
        </w:rPr>
        <w:t>at a </w:t>
      </w:r>
      <w:r>
        <w:rPr>
          <w:i/>
          <w:sz w:val="24"/>
        </w:rPr>
        <w:t>connection point</w:t>
      </w:r>
      <w:r>
        <w:rPr>
          <w:sz w:val="24"/>
        </w:rPr>
        <w:t>, the </w:t>
      </w:r>
      <w:r>
        <w:rPr>
          <w:i/>
          <w:sz w:val="24"/>
        </w:rPr>
        <w:t>Metering Coordinator </w:t>
      </w:r>
      <w:r>
        <w:rPr>
          <w:sz w:val="24"/>
        </w:rPr>
        <w:t>at </w:t>
      </w:r>
      <w:r>
        <w:rPr>
          <w:spacing w:val="-4"/>
          <w:sz w:val="24"/>
        </w:rPr>
        <w:t>the </w:t>
      </w:r>
      <w:r>
        <w:rPr>
          <w:i/>
          <w:sz w:val="24"/>
        </w:rPr>
        <w:t>connection point </w:t>
      </w:r>
      <w:r>
        <w:rPr>
          <w:sz w:val="24"/>
        </w:rPr>
        <w:t>must arrange for the installation of a </w:t>
      </w:r>
      <w:r>
        <w:rPr>
          <w:i/>
          <w:sz w:val="24"/>
        </w:rPr>
        <w:t>check metering </w:t>
      </w:r>
      <w:r>
        <w:rPr>
          <w:i/>
          <w:sz w:val="24"/>
        </w:rPr>
        <w:t>installation </w:t>
      </w:r>
      <w:r>
        <w:rPr>
          <w:sz w:val="24"/>
        </w:rPr>
        <w:t>that complies with the requirements of this</w:t>
      </w:r>
      <w:r>
        <w:rPr>
          <w:spacing w:val="-5"/>
          <w:sz w:val="24"/>
        </w:rPr>
        <w:t> </w:t>
      </w:r>
      <w:r>
        <w:rPr>
          <w:sz w:val="24"/>
        </w:rPr>
        <w:t>schedule.</w:t>
      </w:r>
    </w:p>
    <w:p>
      <w:pPr>
        <w:pStyle w:val="ListParagraph"/>
        <w:numPr>
          <w:ilvl w:val="0"/>
          <w:numId w:val="526"/>
        </w:numPr>
        <w:tabs>
          <w:tab w:pos="1919" w:val="left" w:leader="none"/>
        </w:tabs>
        <w:spacing w:line="240" w:lineRule="auto" w:before="120" w:after="0"/>
        <w:ind w:left="1918" w:right="0" w:hanging="567"/>
        <w:jc w:val="both"/>
        <w:rPr>
          <w:sz w:val="24"/>
        </w:rPr>
      </w:pPr>
      <w:r>
        <w:rPr>
          <w:sz w:val="24"/>
        </w:rPr>
        <w:t>A </w:t>
      </w:r>
      <w:r>
        <w:rPr>
          <w:i/>
          <w:sz w:val="24"/>
        </w:rPr>
        <w:t>check metering installation </w:t>
      </w:r>
      <w:r>
        <w:rPr>
          <w:sz w:val="24"/>
        </w:rPr>
        <w:t>involves</w:t>
      </w:r>
      <w:r>
        <w:rPr>
          <w:spacing w:val="-2"/>
          <w:sz w:val="24"/>
        </w:rPr>
        <w:t> </w:t>
      </w:r>
      <w:r>
        <w:rPr>
          <w:sz w:val="24"/>
        </w:rPr>
        <w:t>either:</w:t>
      </w:r>
    </w:p>
    <w:p>
      <w:pPr>
        <w:pStyle w:val="ListParagraph"/>
        <w:numPr>
          <w:ilvl w:val="1"/>
          <w:numId w:val="526"/>
        </w:numPr>
        <w:tabs>
          <w:tab w:pos="2486" w:val="left" w:leader="none"/>
        </w:tabs>
        <w:spacing w:line="240" w:lineRule="auto" w:before="120" w:after="0"/>
        <w:ind w:left="2486" w:right="415" w:hanging="567"/>
        <w:jc w:val="both"/>
        <w:rPr>
          <w:sz w:val="24"/>
        </w:rPr>
      </w:pPr>
      <w:r>
        <w:rPr>
          <w:sz w:val="24"/>
        </w:rPr>
        <w:t>the provision of a separate </w:t>
      </w:r>
      <w:r>
        <w:rPr>
          <w:i/>
          <w:sz w:val="24"/>
        </w:rPr>
        <w:t>metering installation </w:t>
      </w:r>
      <w:r>
        <w:rPr>
          <w:sz w:val="24"/>
        </w:rPr>
        <w:t>using separate </w:t>
      </w:r>
      <w:r>
        <w:rPr>
          <w:i/>
          <w:sz w:val="24"/>
        </w:rPr>
        <w:t>current </w:t>
      </w:r>
      <w:r>
        <w:rPr>
          <w:i/>
          <w:sz w:val="24"/>
        </w:rPr>
        <w:t>transformer </w:t>
      </w:r>
      <w:r>
        <w:rPr>
          <w:sz w:val="24"/>
        </w:rPr>
        <w:t>cores and separately fused </w:t>
      </w:r>
      <w:r>
        <w:rPr>
          <w:i/>
          <w:sz w:val="24"/>
        </w:rPr>
        <w:t>voltage transformer </w:t>
      </w:r>
      <w:r>
        <w:rPr>
          <w:sz w:val="24"/>
        </w:rPr>
        <w:t>secondary circuits, preferably from separate secondary windings;</w:t>
      </w:r>
      <w:r>
        <w:rPr>
          <w:spacing w:val="-7"/>
          <w:sz w:val="24"/>
        </w:rPr>
        <w:t> </w:t>
      </w:r>
      <w:r>
        <w:rPr>
          <w:sz w:val="24"/>
        </w:rPr>
        <w:t>or</w:t>
      </w:r>
    </w:p>
    <w:p>
      <w:pPr>
        <w:pStyle w:val="ListParagraph"/>
        <w:numPr>
          <w:ilvl w:val="1"/>
          <w:numId w:val="526"/>
        </w:numPr>
        <w:tabs>
          <w:tab w:pos="2486" w:val="left" w:leader="none"/>
        </w:tabs>
        <w:spacing w:line="240" w:lineRule="auto" w:before="120" w:after="0"/>
        <w:ind w:left="2486" w:right="414" w:hanging="567"/>
        <w:jc w:val="both"/>
        <w:rPr>
          <w:sz w:val="24"/>
        </w:rPr>
      </w:pPr>
      <w:r>
        <w:rPr>
          <w:sz w:val="24"/>
        </w:rPr>
        <w:t>if </w:t>
      </w:r>
      <w:r>
        <w:rPr>
          <w:i/>
          <w:sz w:val="24"/>
        </w:rPr>
        <w:t>NTESMO</w:t>
      </w:r>
      <w:r>
        <w:rPr>
          <w:sz w:val="24"/>
        </w:rPr>
        <w:t>, in its absolute discretion, considers it appropriate, in the case of a metering installation located at the </w:t>
      </w:r>
      <w:r>
        <w:rPr>
          <w:i/>
          <w:sz w:val="24"/>
        </w:rPr>
        <w:t>facility </w:t>
      </w:r>
      <w:r>
        <w:rPr>
          <w:sz w:val="24"/>
        </w:rPr>
        <w:t>at one end of the </w:t>
      </w:r>
      <w:r>
        <w:rPr>
          <w:i/>
          <w:sz w:val="24"/>
        </w:rPr>
        <w:t>two-terminal link</w:t>
      </w:r>
      <w:r>
        <w:rPr>
          <w:sz w:val="24"/>
        </w:rPr>
        <w:t>, a </w:t>
      </w:r>
      <w:r>
        <w:rPr>
          <w:i/>
          <w:sz w:val="24"/>
        </w:rPr>
        <w:t>metering installation </w:t>
      </w:r>
      <w:r>
        <w:rPr>
          <w:sz w:val="24"/>
        </w:rPr>
        <w:t>located at the </w:t>
      </w:r>
      <w:r>
        <w:rPr>
          <w:i/>
          <w:sz w:val="24"/>
        </w:rPr>
        <w:t>facility </w:t>
      </w:r>
      <w:r>
        <w:rPr>
          <w:sz w:val="24"/>
        </w:rPr>
        <w:t>at the other end of a </w:t>
      </w:r>
      <w:r>
        <w:rPr>
          <w:i/>
          <w:sz w:val="24"/>
        </w:rPr>
        <w:t>two-terminal</w:t>
      </w:r>
      <w:r>
        <w:rPr>
          <w:i/>
          <w:spacing w:val="-2"/>
          <w:sz w:val="24"/>
        </w:rPr>
        <w:t> </w:t>
      </w:r>
      <w:r>
        <w:rPr>
          <w:i/>
          <w:sz w:val="24"/>
        </w:rPr>
        <w:t>link</w:t>
      </w:r>
      <w:r>
        <w:rPr>
          <w:sz w:val="24"/>
        </w:rPr>
        <w:t>.</w:t>
      </w:r>
    </w:p>
    <w:p>
      <w:pPr>
        <w:pStyle w:val="ListParagraph"/>
        <w:numPr>
          <w:ilvl w:val="0"/>
          <w:numId w:val="526"/>
        </w:numPr>
        <w:tabs>
          <w:tab w:pos="1919" w:val="left" w:leader="none"/>
        </w:tabs>
        <w:spacing w:line="240" w:lineRule="auto" w:before="120" w:after="0"/>
        <w:ind w:left="1919" w:right="414" w:hanging="567"/>
        <w:jc w:val="both"/>
        <w:rPr>
          <w:sz w:val="24"/>
        </w:rPr>
      </w:pPr>
      <w:r>
        <w:rPr>
          <w:sz w:val="24"/>
        </w:rPr>
        <w:t>Where the </w:t>
      </w:r>
      <w:r>
        <w:rPr>
          <w:i/>
          <w:sz w:val="24"/>
        </w:rPr>
        <w:t>check metering installation </w:t>
      </w:r>
      <w:r>
        <w:rPr>
          <w:sz w:val="24"/>
        </w:rPr>
        <w:t>duplicates the </w:t>
      </w:r>
      <w:r>
        <w:rPr>
          <w:i/>
          <w:sz w:val="24"/>
        </w:rPr>
        <w:t>metering installation </w:t>
      </w:r>
      <w:r>
        <w:rPr>
          <w:sz w:val="24"/>
        </w:rPr>
        <w:t>and accuracy level, the average of the 2 validated data sets will be used to determine the </w:t>
      </w:r>
      <w:r>
        <w:rPr>
          <w:i/>
          <w:sz w:val="24"/>
        </w:rPr>
        <w:t>energy</w:t>
      </w:r>
      <w:r>
        <w:rPr>
          <w:i/>
          <w:spacing w:val="-2"/>
          <w:sz w:val="24"/>
        </w:rPr>
        <w:t> </w:t>
      </w:r>
      <w:r>
        <w:rPr>
          <w:sz w:val="24"/>
        </w:rPr>
        <w:t>measurement.</w:t>
      </w:r>
    </w:p>
    <w:p>
      <w:pPr>
        <w:pStyle w:val="ListParagraph"/>
        <w:numPr>
          <w:ilvl w:val="0"/>
          <w:numId w:val="526"/>
        </w:numPr>
        <w:tabs>
          <w:tab w:pos="1919" w:val="left" w:leader="none"/>
        </w:tabs>
        <w:spacing w:line="240" w:lineRule="auto" w:before="120" w:after="0"/>
        <w:ind w:left="1919" w:right="415" w:hanging="567"/>
        <w:jc w:val="both"/>
        <w:rPr>
          <w:sz w:val="24"/>
        </w:rPr>
      </w:pPr>
      <w:r>
        <w:rPr>
          <w:sz w:val="24"/>
        </w:rPr>
        <w:t>Partial </w:t>
      </w:r>
      <w:r>
        <w:rPr>
          <w:i/>
          <w:sz w:val="24"/>
        </w:rPr>
        <w:t>check metering </w:t>
      </w:r>
      <w:r>
        <w:rPr>
          <w:sz w:val="24"/>
        </w:rPr>
        <w:t>involves the use of other </w:t>
      </w:r>
      <w:r>
        <w:rPr>
          <w:i/>
          <w:sz w:val="24"/>
        </w:rPr>
        <w:t>metering data </w:t>
      </w:r>
      <w:r>
        <w:rPr>
          <w:sz w:val="24"/>
        </w:rPr>
        <w:t>or operational data available in 30 min electronic format as part of a validation process in accordance with Schedule</w:t>
      </w:r>
      <w:r>
        <w:rPr>
          <w:spacing w:val="-3"/>
          <w:sz w:val="24"/>
        </w:rPr>
        <w:t> </w:t>
      </w:r>
      <w:r>
        <w:rPr>
          <w:sz w:val="24"/>
        </w:rPr>
        <w:t>7A.7.</w:t>
      </w:r>
    </w:p>
    <w:p>
      <w:pPr>
        <w:pStyle w:val="ListParagraph"/>
        <w:numPr>
          <w:ilvl w:val="0"/>
          <w:numId w:val="526"/>
        </w:numPr>
        <w:tabs>
          <w:tab w:pos="1920" w:val="left" w:leader="none"/>
        </w:tabs>
        <w:spacing w:line="240" w:lineRule="auto" w:before="120" w:after="0"/>
        <w:ind w:left="1919" w:right="415" w:hanging="567"/>
        <w:jc w:val="both"/>
        <w:rPr>
          <w:sz w:val="24"/>
        </w:rPr>
      </w:pPr>
      <w:r>
        <w:rPr>
          <w:i/>
          <w:sz w:val="24"/>
        </w:rPr>
        <w:t>Check metering installations </w:t>
      </w:r>
      <w:r>
        <w:rPr>
          <w:sz w:val="24"/>
        </w:rPr>
        <w:t>may be supplied from secondary circuits used for other purposes and may have a lower level of accuracy than the </w:t>
      </w:r>
      <w:r>
        <w:rPr>
          <w:i/>
          <w:sz w:val="24"/>
        </w:rPr>
        <w:t>metering </w:t>
      </w:r>
      <w:r>
        <w:rPr>
          <w:i/>
          <w:sz w:val="24"/>
        </w:rPr>
        <w:t>installation</w:t>
      </w:r>
      <w:r>
        <w:rPr>
          <w:sz w:val="24"/>
        </w:rPr>
        <w:t>, but must not exceed twice the level prescribed for the </w:t>
      </w:r>
      <w:r>
        <w:rPr>
          <w:i/>
          <w:sz w:val="24"/>
        </w:rPr>
        <w:t>metering </w:t>
      </w:r>
      <w:r>
        <w:rPr>
          <w:i/>
          <w:sz w:val="24"/>
        </w:rPr>
        <w:t>installation</w:t>
      </w:r>
      <w:r>
        <w:rPr>
          <w:sz w:val="24"/>
        </w:rPr>
        <w:t>.</w:t>
      </w:r>
    </w:p>
    <w:p>
      <w:pPr>
        <w:pStyle w:val="ListParagraph"/>
        <w:numPr>
          <w:ilvl w:val="0"/>
          <w:numId w:val="526"/>
        </w:numPr>
        <w:tabs>
          <w:tab w:pos="1919" w:val="left" w:leader="none"/>
        </w:tabs>
        <w:spacing w:line="240" w:lineRule="auto" w:before="120" w:after="0"/>
        <w:ind w:left="1919" w:right="415" w:hanging="567"/>
        <w:jc w:val="both"/>
        <w:rPr>
          <w:sz w:val="24"/>
        </w:rPr>
      </w:pPr>
      <w:r>
        <w:rPr>
          <w:sz w:val="24"/>
        </w:rPr>
        <w:t>The physical arrangement of partial check metering will be determined by the </w:t>
      </w:r>
      <w:r>
        <w:rPr>
          <w:i/>
          <w:sz w:val="24"/>
        </w:rPr>
        <w:t>Metering</w:t>
      </w:r>
      <w:r>
        <w:rPr>
          <w:i/>
          <w:spacing w:val="-1"/>
          <w:sz w:val="24"/>
        </w:rPr>
        <w:t> </w:t>
      </w:r>
      <w:r>
        <w:rPr>
          <w:i/>
          <w:sz w:val="24"/>
        </w:rPr>
        <w:t>Coordinator</w:t>
      </w:r>
      <w:r>
        <w:rPr>
          <w:sz w:val="24"/>
        </w:rPr>
        <w:t>.</w:t>
      </w:r>
    </w:p>
    <w:p>
      <w:pPr>
        <w:pStyle w:val="BodyText"/>
        <w:spacing w:before="10"/>
        <w:ind w:firstLine="0"/>
        <w:jc w:val="left"/>
        <w:rPr>
          <w:sz w:val="20"/>
        </w:rPr>
      </w:pPr>
    </w:p>
    <w:p>
      <w:pPr>
        <w:pStyle w:val="Heading4"/>
        <w:tabs>
          <w:tab w:pos="1351" w:val="left" w:leader="none"/>
        </w:tabs>
        <w:ind w:left="218" w:firstLine="0"/>
      </w:pPr>
      <w:bookmarkStart w:name="S7A.4.4 Resolution and accuracy of displ" w:id="1863"/>
      <w:bookmarkEnd w:id="1863"/>
      <w:r>
        <w:rPr>
          <w:b w:val="0"/>
        </w:rPr>
      </w:r>
      <w:bookmarkStart w:name="_bookmark757" w:id="1864"/>
      <w:bookmarkEnd w:id="1864"/>
      <w:r>
        <w:rPr>
          <w:b w:val="0"/>
        </w:rPr>
      </w:r>
      <w:r>
        <w:rPr/>
        <w:t>S7A.4.4</w:t>
        <w:tab/>
        <w:t>Resolution and accuracy of displayed or captured</w:t>
      </w:r>
      <w:r>
        <w:rPr>
          <w:spacing w:val="-10"/>
        </w:rPr>
        <w:t> </w:t>
      </w:r>
      <w:r>
        <w:rPr/>
        <w:t>data</w:t>
      </w:r>
    </w:p>
    <w:p>
      <w:pPr>
        <w:pStyle w:val="BodyText"/>
        <w:ind w:left="1352" w:right="418" w:firstLine="0"/>
      </w:pPr>
      <w:r>
        <w:rPr/>
        <w:t>Programmable settings available within a </w:t>
      </w:r>
      <w:r>
        <w:rPr>
          <w:i/>
        </w:rPr>
        <w:t>metering installation </w:t>
      </w:r>
      <w:r>
        <w:rPr/>
        <w:t>of any peripheral device, which may affect the resolution of displayed or stored data, must:</w:t>
      </w:r>
    </w:p>
    <w:p>
      <w:pPr>
        <w:pStyle w:val="ListParagraph"/>
        <w:numPr>
          <w:ilvl w:val="0"/>
          <w:numId w:val="527"/>
        </w:numPr>
        <w:tabs>
          <w:tab w:pos="1919" w:val="left" w:leader="none"/>
        </w:tabs>
        <w:spacing w:line="240" w:lineRule="auto" w:before="120" w:after="0"/>
        <w:ind w:left="1919" w:right="414" w:hanging="567"/>
        <w:jc w:val="both"/>
        <w:rPr>
          <w:sz w:val="24"/>
        </w:rPr>
      </w:pPr>
      <w:r>
        <w:rPr>
          <w:sz w:val="24"/>
        </w:rPr>
        <w:t>meet the requirements of the relevant </w:t>
      </w:r>
      <w:r>
        <w:rPr>
          <w:i/>
          <w:sz w:val="24"/>
        </w:rPr>
        <w:t>Australian Standards </w:t>
      </w:r>
      <w:r>
        <w:rPr>
          <w:sz w:val="24"/>
        </w:rPr>
        <w:t>and International Standards specified in schedule 7A.7;</w:t>
      </w:r>
      <w:r>
        <w:rPr>
          <w:spacing w:val="-7"/>
          <w:sz w:val="24"/>
        </w:rPr>
        <w:t> </w:t>
      </w:r>
      <w:r>
        <w:rPr>
          <w:sz w:val="24"/>
        </w:rPr>
        <w:t>and</w:t>
      </w:r>
    </w:p>
    <w:p>
      <w:pPr>
        <w:pStyle w:val="ListParagraph"/>
        <w:numPr>
          <w:ilvl w:val="0"/>
          <w:numId w:val="527"/>
        </w:numPr>
        <w:tabs>
          <w:tab w:pos="1919" w:val="left" w:leader="none"/>
        </w:tabs>
        <w:spacing w:line="240" w:lineRule="auto" w:before="120" w:after="0"/>
        <w:ind w:left="1919" w:right="415" w:hanging="567"/>
        <w:jc w:val="both"/>
        <w:rPr>
          <w:sz w:val="24"/>
        </w:rPr>
      </w:pPr>
      <w:r>
        <w:rPr>
          <w:sz w:val="24"/>
        </w:rPr>
        <w:t>comply with any applicable specifications or guidelines (including any transitional arrangements) specified by the National Measurement Institute under the </w:t>
      </w:r>
      <w:r>
        <w:rPr>
          <w:i/>
          <w:sz w:val="24"/>
        </w:rPr>
        <w:t>National Measurement</w:t>
      </w:r>
      <w:r>
        <w:rPr>
          <w:i/>
          <w:spacing w:val="-1"/>
          <w:sz w:val="24"/>
        </w:rPr>
        <w:t> </w:t>
      </w:r>
      <w:r>
        <w:rPr>
          <w:i/>
          <w:sz w:val="24"/>
        </w:rPr>
        <w:t>Act</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218" w:firstLine="0"/>
      </w:pPr>
      <w:bookmarkStart w:name="S7A.4.5 General design standards" w:id="1865"/>
      <w:bookmarkEnd w:id="1865"/>
      <w:r>
        <w:rPr>
          <w:b w:val="0"/>
        </w:rPr>
      </w:r>
      <w:bookmarkStart w:name="_bookmark758" w:id="1866"/>
      <w:bookmarkEnd w:id="1866"/>
      <w:r>
        <w:rPr>
          <w:b w:val="0"/>
        </w:rPr>
      </w:r>
      <w:r>
        <w:rPr/>
        <w:t>S7A.4.5</w:t>
        <w:tab/>
        <w:t>General design</w:t>
      </w:r>
      <w:r>
        <w:rPr>
          <w:spacing w:val="-2"/>
        </w:rPr>
        <w:t> </w:t>
      </w:r>
      <w:r>
        <w:rPr/>
        <w:t>standards</w:t>
      </w:r>
    </w:p>
    <w:p>
      <w:pPr>
        <w:pStyle w:val="BodyText"/>
        <w:spacing w:before="10"/>
        <w:ind w:firstLine="0"/>
        <w:jc w:val="left"/>
        <w:rPr>
          <w:rFonts w:ascii="Arial"/>
          <w:b/>
          <w:sz w:val="20"/>
        </w:rPr>
      </w:pPr>
    </w:p>
    <w:p>
      <w:pPr>
        <w:pStyle w:val="Heading4"/>
        <w:ind w:left="218" w:firstLine="0"/>
      </w:pPr>
      <w:bookmarkStart w:name="S7A.4.5.1 Design requirements" w:id="1867"/>
      <w:bookmarkEnd w:id="1867"/>
      <w:r>
        <w:rPr>
          <w:b w:val="0"/>
        </w:rPr>
      </w:r>
      <w:bookmarkStart w:name="_bookmark759" w:id="1868"/>
      <w:bookmarkEnd w:id="1868"/>
      <w:r>
        <w:rPr>
          <w:b w:val="0"/>
        </w:rPr>
      </w:r>
      <w:r>
        <w:rPr/>
        <w:t>S7A.4.5.1 Design requirements</w:t>
      </w:r>
    </w:p>
    <w:p>
      <w:pPr>
        <w:pStyle w:val="BodyText"/>
        <w:ind w:left="1352" w:right="415" w:firstLine="0"/>
      </w:pPr>
      <w:r>
        <w:rPr/>
        <w:t>Without limiting the scope of detailed design, the following requirements must be incorporated in the design of each </w:t>
      </w:r>
      <w:r>
        <w:rPr>
          <w:i/>
        </w:rPr>
        <w:t>metering installation</w:t>
      </w:r>
      <w:r>
        <w:rPr/>
        <w:t>:</w:t>
      </w:r>
    </w:p>
    <w:p>
      <w:pPr>
        <w:pStyle w:val="ListParagraph"/>
        <w:numPr>
          <w:ilvl w:val="0"/>
          <w:numId w:val="528"/>
        </w:numPr>
        <w:tabs>
          <w:tab w:pos="1919" w:val="left" w:leader="none"/>
        </w:tabs>
        <w:spacing w:line="240" w:lineRule="auto" w:before="120" w:after="0"/>
        <w:ind w:left="1919" w:right="415" w:hanging="567"/>
        <w:jc w:val="both"/>
        <w:rPr>
          <w:sz w:val="24"/>
        </w:rPr>
      </w:pPr>
      <w:r>
        <w:rPr>
          <w:sz w:val="24"/>
        </w:rPr>
        <w:t>for </w:t>
      </w:r>
      <w:r>
        <w:rPr>
          <w:i/>
          <w:sz w:val="24"/>
        </w:rPr>
        <w:t>metering installations </w:t>
      </w:r>
      <w:r>
        <w:rPr>
          <w:sz w:val="24"/>
        </w:rPr>
        <w:t>greater than 1 000 GWh pa per </w:t>
      </w:r>
      <w:r>
        <w:rPr>
          <w:i/>
          <w:sz w:val="24"/>
        </w:rPr>
        <w:t>connection point</w:t>
      </w:r>
      <w:r>
        <w:rPr>
          <w:sz w:val="24"/>
        </w:rPr>
        <w:t>, the </w:t>
      </w:r>
      <w:r>
        <w:rPr>
          <w:i/>
          <w:sz w:val="24"/>
        </w:rPr>
        <w:t>current transformer </w:t>
      </w:r>
      <w:r>
        <w:rPr>
          <w:sz w:val="24"/>
        </w:rPr>
        <w:t>core and secondary wiring associated with the </w:t>
      </w:r>
      <w:r>
        <w:rPr>
          <w:i/>
          <w:sz w:val="24"/>
        </w:rPr>
        <w:t>meter(s) </w:t>
      </w:r>
      <w:r>
        <w:rPr>
          <w:sz w:val="24"/>
        </w:rPr>
        <w:t>must not be used for any other</w:t>
      </w:r>
      <w:r>
        <w:rPr>
          <w:spacing w:val="-3"/>
          <w:sz w:val="24"/>
        </w:rPr>
        <w:t> </w:t>
      </w:r>
      <w:r>
        <w:rPr>
          <w:sz w:val="24"/>
        </w:rPr>
        <w:t>purpose;</w:t>
      </w:r>
    </w:p>
    <w:p>
      <w:pPr>
        <w:pStyle w:val="ListParagraph"/>
        <w:numPr>
          <w:ilvl w:val="0"/>
          <w:numId w:val="528"/>
        </w:numPr>
        <w:tabs>
          <w:tab w:pos="1919" w:val="left" w:leader="none"/>
        </w:tabs>
        <w:spacing w:line="240" w:lineRule="auto" w:before="120" w:after="0"/>
        <w:ind w:left="1919" w:right="415" w:hanging="567"/>
        <w:jc w:val="both"/>
        <w:rPr>
          <w:sz w:val="24"/>
        </w:rPr>
      </w:pPr>
      <w:r>
        <w:rPr>
          <w:sz w:val="24"/>
        </w:rPr>
        <w:t>for </w:t>
      </w:r>
      <w:r>
        <w:rPr>
          <w:i/>
          <w:sz w:val="24"/>
        </w:rPr>
        <w:t>metering installations </w:t>
      </w:r>
      <w:r>
        <w:rPr>
          <w:sz w:val="24"/>
        </w:rPr>
        <w:t>less than 1 000 GWh pa per </w:t>
      </w:r>
      <w:r>
        <w:rPr>
          <w:i/>
          <w:sz w:val="24"/>
        </w:rPr>
        <w:t>connection point</w:t>
      </w:r>
      <w:r>
        <w:rPr>
          <w:sz w:val="24"/>
        </w:rPr>
        <w:t>, the </w:t>
      </w:r>
      <w:r>
        <w:rPr>
          <w:i/>
          <w:sz w:val="24"/>
        </w:rPr>
        <w:t>current transformer </w:t>
      </w:r>
      <w:r>
        <w:rPr>
          <w:sz w:val="24"/>
        </w:rPr>
        <w:t>core and secondary wiring associated with the </w:t>
      </w:r>
      <w:r>
        <w:rPr>
          <w:i/>
          <w:sz w:val="24"/>
        </w:rPr>
        <w:t>meter(s) </w:t>
      </w:r>
      <w:r>
        <w:rPr>
          <w:sz w:val="24"/>
        </w:rPr>
        <w:t>may be used for other purposes (for example, local </w:t>
      </w:r>
      <w:r>
        <w:rPr>
          <w:i/>
          <w:sz w:val="24"/>
        </w:rPr>
        <w:t>metering </w:t>
      </w:r>
      <w:r>
        <w:rPr>
          <w:sz w:val="24"/>
        </w:rPr>
        <w:t>or protection) provided the </w:t>
      </w:r>
      <w:r>
        <w:rPr>
          <w:i/>
          <w:sz w:val="24"/>
        </w:rPr>
        <w:t>Metering Coordinator </w:t>
      </w:r>
      <w:r>
        <w:rPr>
          <w:sz w:val="24"/>
        </w:rPr>
        <w:t>is able to demonstrate that the accuracy of the </w:t>
      </w:r>
      <w:r>
        <w:rPr>
          <w:i/>
          <w:sz w:val="24"/>
        </w:rPr>
        <w:t>metering installation </w:t>
      </w:r>
      <w:r>
        <w:rPr>
          <w:sz w:val="24"/>
        </w:rPr>
        <w:t>is not compromised and suitable procedures/measures are in place to protect the security of the </w:t>
      </w:r>
      <w:r>
        <w:rPr>
          <w:i/>
          <w:sz w:val="24"/>
        </w:rPr>
        <w:t>metering </w:t>
      </w:r>
      <w:r>
        <w:rPr>
          <w:i/>
          <w:sz w:val="24"/>
        </w:rPr>
        <w:t>installation</w:t>
      </w:r>
      <w:r>
        <w:rPr>
          <w:sz w:val="24"/>
        </w:rPr>
        <w:t>;</w:t>
      </w:r>
    </w:p>
    <w:p>
      <w:pPr>
        <w:pStyle w:val="ListParagraph"/>
        <w:numPr>
          <w:ilvl w:val="0"/>
          <w:numId w:val="528"/>
        </w:numPr>
        <w:tabs>
          <w:tab w:pos="1919" w:val="left" w:leader="none"/>
        </w:tabs>
        <w:spacing w:line="240" w:lineRule="auto" w:before="120" w:after="0"/>
        <w:ind w:left="1919" w:right="416" w:hanging="567"/>
        <w:jc w:val="both"/>
        <w:rPr>
          <w:sz w:val="24"/>
        </w:rPr>
      </w:pPr>
      <w:r>
        <w:rPr>
          <w:sz w:val="24"/>
        </w:rPr>
        <w:t>where a </w:t>
      </w:r>
      <w:r>
        <w:rPr>
          <w:i/>
          <w:sz w:val="24"/>
        </w:rPr>
        <w:t>voltage transformer </w:t>
      </w:r>
      <w:r>
        <w:rPr>
          <w:sz w:val="24"/>
        </w:rPr>
        <w:t>is required, if separate secondary windings are not provided, then the </w:t>
      </w:r>
      <w:r>
        <w:rPr>
          <w:i/>
          <w:sz w:val="24"/>
        </w:rPr>
        <w:t>voltage </w:t>
      </w:r>
      <w:r>
        <w:rPr>
          <w:sz w:val="24"/>
        </w:rPr>
        <w:t>supply to each </w:t>
      </w:r>
      <w:r>
        <w:rPr>
          <w:i/>
          <w:sz w:val="24"/>
        </w:rPr>
        <w:t>metering installation </w:t>
      </w:r>
      <w:r>
        <w:rPr>
          <w:sz w:val="24"/>
        </w:rPr>
        <w:t>must be separately fused and located in an accessible position as near as practical to the </w:t>
      </w:r>
      <w:r>
        <w:rPr>
          <w:i/>
          <w:sz w:val="24"/>
        </w:rPr>
        <w:t>voltage transformer </w:t>
      </w:r>
      <w:r>
        <w:rPr>
          <w:sz w:val="24"/>
        </w:rPr>
        <w:t>secondary</w:t>
      </w:r>
      <w:r>
        <w:rPr>
          <w:spacing w:val="-3"/>
          <w:sz w:val="24"/>
        </w:rPr>
        <w:t> </w:t>
      </w:r>
      <w:r>
        <w:rPr>
          <w:sz w:val="24"/>
        </w:rPr>
        <w:t>winding;</w:t>
      </w:r>
    </w:p>
    <w:p>
      <w:pPr>
        <w:pStyle w:val="ListParagraph"/>
        <w:numPr>
          <w:ilvl w:val="0"/>
          <w:numId w:val="528"/>
        </w:numPr>
        <w:tabs>
          <w:tab w:pos="1919" w:val="left" w:leader="none"/>
        </w:tabs>
        <w:spacing w:line="240" w:lineRule="auto" w:before="120" w:after="0"/>
        <w:ind w:left="1919" w:right="416" w:hanging="567"/>
        <w:jc w:val="both"/>
        <w:rPr>
          <w:sz w:val="24"/>
        </w:rPr>
      </w:pPr>
      <w:r>
        <w:rPr>
          <w:sz w:val="24"/>
        </w:rPr>
        <w:t>secondary wiring must be by the most direct route and the number of terminations and links must be kept to a</w:t>
      </w:r>
      <w:r>
        <w:rPr>
          <w:spacing w:val="-2"/>
          <w:sz w:val="24"/>
        </w:rPr>
        <w:t> </w:t>
      </w:r>
      <w:r>
        <w:rPr>
          <w:sz w:val="24"/>
        </w:rPr>
        <w:t>minimum;</w:t>
      </w:r>
    </w:p>
    <w:p>
      <w:pPr>
        <w:pStyle w:val="ListParagraph"/>
        <w:numPr>
          <w:ilvl w:val="0"/>
          <w:numId w:val="528"/>
        </w:numPr>
        <w:tabs>
          <w:tab w:pos="1919" w:val="left" w:leader="none"/>
        </w:tabs>
        <w:spacing w:line="240" w:lineRule="auto" w:before="120" w:after="0"/>
        <w:ind w:left="1919" w:right="416" w:hanging="567"/>
        <w:jc w:val="both"/>
        <w:rPr>
          <w:sz w:val="24"/>
        </w:rPr>
      </w:pPr>
      <w:r>
        <w:rPr>
          <w:sz w:val="24"/>
        </w:rPr>
        <w:t>the incidence and magnitude of burden changes on any secondary winding supplying the </w:t>
      </w:r>
      <w:r>
        <w:rPr>
          <w:i/>
          <w:sz w:val="24"/>
        </w:rPr>
        <w:t>metering installation </w:t>
      </w:r>
      <w:r>
        <w:rPr>
          <w:sz w:val="24"/>
        </w:rPr>
        <w:t>must be kept to a</w:t>
      </w:r>
      <w:r>
        <w:rPr>
          <w:spacing w:val="-6"/>
          <w:sz w:val="24"/>
        </w:rPr>
        <w:t> </w:t>
      </w:r>
      <w:r>
        <w:rPr>
          <w:sz w:val="24"/>
        </w:rPr>
        <w:t>minimum;</w:t>
      </w:r>
    </w:p>
    <w:p>
      <w:pPr>
        <w:pStyle w:val="ListParagraph"/>
        <w:numPr>
          <w:ilvl w:val="0"/>
          <w:numId w:val="528"/>
        </w:numPr>
        <w:tabs>
          <w:tab w:pos="1920" w:val="left" w:leader="none"/>
        </w:tabs>
        <w:spacing w:line="240" w:lineRule="auto" w:before="120" w:after="0"/>
        <w:ind w:left="1919" w:right="0" w:hanging="568"/>
        <w:jc w:val="both"/>
        <w:rPr>
          <w:sz w:val="24"/>
        </w:rPr>
      </w:pPr>
      <w:r>
        <w:rPr>
          <w:i/>
          <w:sz w:val="24"/>
        </w:rPr>
        <w:t>meters</w:t>
      </w:r>
      <w:r>
        <w:rPr>
          <w:i/>
          <w:spacing w:val="-1"/>
          <w:sz w:val="24"/>
        </w:rPr>
        <w:t> </w:t>
      </w:r>
      <w:r>
        <w:rPr>
          <w:sz w:val="24"/>
        </w:rPr>
        <w:t>must:</w:t>
      </w:r>
    </w:p>
    <w:p>
      <w:pPr>
        <w:pStyle w:val="ListParagraph"/>
        <w:numPr>
          <w:ilvl w:val="1"/>
          <w:numId w:val="528"/>
        </w:numPr>
        <w:tabs>
          <w:tab w:pos="2486" w:val="left" w:leader="none"/>
        </w:tabs>
        <w:spacing w:line="240" w:lineRule="auto" w:before="120" w:after="0"/>
        <w:ind w:left="2486" w:right="414" w:hanging="567"/>
        <w:jc w:val="both"/>
        <w:rPr>
          <w:sz w:val="24"/>
        </w:rPr>
      </w:pPr>
      <w:r>
        <w:rPr>
          <w:sz w:val="24"/>
        </w:rPr>
        <w:t>meet the requirements of relevant </w:t>
      </w:r>
      <w:r>
        <w:rPr>
          <w:i/>
          <w:sz w:val="24"/>
        </w:rPr>
        <w:t>Australian Standards </w:t>
      </w:r>
      <w:r>
        <w:rPr>
          <w:spacing w:val="-4"/>
          <w:sz w:val="24"/>
        </w:rPr>
        <w:t>and </w:t>
      </w:r>
      <w:r>
        <w:rPr>
          <w:sz w:val="24"/>
        </w:rPr>
        <w:t>International Standards (if any) specified in schedule 7A.7;</w:t>
      </w:r>
      <w:r>
        <w:rPr>
          <w:spacing w:val="-7"/>
          <w:sz w:val="24"/>
        </w:rPr>
        <w:t> </w:t>
      </w:r>
      <w:r>
        <w:rPr>
          <w:sz w:val="24"/>
        </w:rPr>
        <w:t>and</w:t>
      </w:r>
    </w:p>
    <w:p>
      <w:pPr>
        <w:pStyle w:val="ListParagraph"/>
        <w:numPr>
          <w:ilvl w:val="1"/>
          <w:numId w:val="528"/>
        </w:numPr>
        <w:tabs>
          <w:tab w:pos="2486" w:val="left" w:leader="none"/>
        </w:tabs>
        <w:spacing w:line="240" w:lineRule="auto" w:before="120" w:after="0"/>
        <w:ind w:left="2486" w:right="415" w:hanging="567"/>
        <w:jc w:val="both"/>
        <w:rPr>
          <w:sz w:val="24"/>
        </w:rPr>
      </w:pPr>
      <w:r>
        <w:rPr>
          <w:sz w:val="24"/>
        </w:rPr>
        <w:t>have a valid pattern approval issued under the authority of the National Measurement Institute or, until relevant pattern approvals exist, a valid type test</w:t>
      </w:r>
      <w:r>
        <w:rPr>
          <w:spacing w:val="-2"/>
          <w:sz w:val="24"/>
        </w:rPr>
        <w:t> </w:t>
      </w:r>
      <w:r>
        <w:rPr>
          <w:sz w:val="24"/>
        </w:rPr>
        <w:t>certificate;</w:t>
      </w:r>
    </w:p>
    <w:p>
      <w:pPr>
        <w:pStyle w:val="ListParagraph"/>
        <w:numPr>
          <w:ilvl w:val="0"/>
          <w:numId w:val="528"/>
        </w:numPr>
        <w:tabs>
          <w:tab w:pos="1919" w:val="left" w:leader="none"/>
        </w:tabs>
        <w:spacing w:line="240" w:lineRule="auto" w:before="120" w:after="0"/>
        <w:ind w:left="1918" w:right="0" w:hanging="567"/>
        <w:jc w:val="both"/>
        <w:rPr>
          <w:sz w:val="24"/>
        </w:rPr>
      </w:pPr>
      <w:r>
        <w:rPr>
          <w:sz w:val="24"/>
        </w:rPr>
        <w:t>new </w:t>
      </w:r>
      <w:r>
        <w:rPr>
          <w:i/>
          <w:sz w:val="24"/>
        </w:rPr>
        <w:t>instrument transformers</w:t>
      </w:r>
      <w:r>
        <w:rPr>
          <w:i/>
          <w:spacing w:val="-2"/>
          <w:sz w:val="24"/>
        </w:rPr>
        <w:t> </w:t>
      </w:r>
      <w:r>
        <w:rPr>
          <w:sz w:val="24"/>
        </w:rPr>
        <w:t>must:</w:t>
      </w:r>
    </w:p>
    <w:p>
      <w:pPr>
        <w:pStyle w:val="ListParagraph"/>
        <w:numPr>
          <w:ilvl w:val="1"/>
          <w:numId w:val="528"/>
        </w:numPr>
        <w:tabs>
          <w:tab w:pos="2486" w:val="left" w:leader="none"/>
        </w:tabs>
        <w:spacing w:line="240" w:lineRule="auto" w:before="120" w:after="0"/>
        <w:ind w:left="2486" w:right="414" w:hanging="567"/>
        <w:jc w:val="both"/>
        <w:rPr>
          <w:sz w:val="24"/>
        </w:rPr>
      </w:pPr>
      <w:r>
        <w:rPr>
          <w:sz w:val="24"/>
        </w:rPr>
        <w:t>meet the requirements of relevant </w:t>
      </w:r>
      <w:r>
        <w:rPr>
          <w:i/>
          <w:sz w:val="24"/>
        </w:rPr>
        <w:t>Australian Standards </w:t>
      </w:r>
      <w:r>
        <w:rPr>
          <w:spacing w:val="-4"/>
          <w:sz w:val="24"/>
        </w:rPr>
        <w:t>and </w:t>
      </w:r>
      <w:r>
        <w:rPr>
          <w:sz w:val="24"/>
        </w:rPr>
        <w:t>International Standards (if any) specified in schedule 7A.7;</w:t>
      </w:r>
      <w:r>
        <w:rPr>
          <w:spacing w:val="-7"/>
          <w:sz w:val="24"/>
        </w:rPr>
        <w:t> </w:t>
      </w:r>
      <w:r>
        <w:rPr>
          <w:sz w:val="24"/>
        </w:rPr>
        <w:t>and</w:t>
      </w:r>
    </w:p>
    <w:p>
      <w:pPr>
        <w:pStyle w:val="ListParagraph"/>
        <w:numPr>
          <w:ilvl w:val="1"/>
          <w:numId w:val="528"/>
        </w:numPr>
        <w:tabs>
          <w:tab w:pos="2486" w:val="left" w:leader="none"/>
        </w:tabs>
        <w:spacing w:line="240" w:lineRule="auto" w:before="120" w:after="0"/>
        <w:ind w:left="2486" w:right="415" w:hanging="567"/>
        <w:jc w:val="both"/>
        <w:rPr>
          <w:sz w:val="24"/>
        </w:rPr>
      </w:pPr>
      <w:r>
        <w:rPr>
          <w:sz w:val="24"/>
        </w:rPr>
        <w:t>have a valid pattern approval issued under the authority of the National Measurement Institute or, until relevant pattern approvals exist, a valid type test</w:t>
      </w:r>
      <w:r>
        <w:rPr>
          <w:spacing w:val="-2"/>
          <w:sz w:val="24"/>
        </w:rPr>
        <w:t> </w:t>
      </w:r>
      <w:r>
        <w:rPr>
          <w:sz w:val="24"/>
        </w:rPr>
        <w:t>certificate;</w:t>
      </w:r>
    </w:p>
    <w:p>
      <w:pPr>
        <w:pStyle w:val="ListParagraph"/>
        <w:numPr>
          <w:ilvl w:val="0"/>
          <w:numId w:val="528"/>
        </w:numPr>
        <w:tabs>
          <w:tab w:pos="1919" w:val="left" w:leader="none"/>
        </w:tabs>
        <w:spacing w:line="240" w:lineRule="auto" w:before="120" w:after="0"/>
        <w:ind w:left="1919" w:right="415" w:hanging="567"/>
        <w:jc w:val="both"/>
        <w:rPr>
          <w:sz w:val="24"/>
        </w:rPr>
      </w:pPr>
      <w:r>
        <w:rPr>
          <w:sz w:val="24"/>
        </w:rPr>
        <w:t>suitable </w:t>
      </w:r>
      <w:r>
        <w:rPr>
          <w:i/>
          <w:sz w:val="24"/>
        </w:rPr>
        <w:t>isolation </w:t>
      </w:r>
      <w:r>
        <w:rPr>
          <w:sz w:val="24"/>
        </w:rPr>
        <w:t>facilities are to be provided to facilitate testing and calibration of the </w:t>
      </w:r>
      <w:r>
        <w:rPr>
          <w:i/>
          <w:sz w:val="24"/>
        </w:rPr>
        <w:t>metering</w:t>
      </w:r>
      <w:r>
        <w:rPr>
          <w:i/>
          <w:spacing w:val="-1"/>
          <w:sz w:val="24"/>
        </w:rPr>
        <w:t> </w:t>
      </w:r>
      <w:r>
        <w:rPr>
          <w:i/>
          <w:sz w:val="24"/>
        </w:rPr>
        <w:t>installation</w:t>
      </w:r>
      <w:r>
        <w:rPr>
          <w:sz w:val="24"/>
        </w:rPr>
        <w:t>;</w:t>
      </w:r>
    </w:p>
    <w:p>
      <w:pPr>
        <w:pStyle w:val="ListParagraph"/>
        <w:numPr>
          <w:ilvl w:val="0"/>
          <w:numId w:val="528"/>
        </w:numPr>
        <w:tabs>
          <w:tab w:pos="1919" w:val="left" w:leader="none"/>
        </w:tabs>
        <w:spacing w:line="240" w:lineRule="auto" w:before="120" w:after="0"/>
        <w:ind w:left="1919" w:right="416" w:hanging="567"/>
        <w:jc w:val="both"/>
        <w:rPr>
          <w:sz w:val="24"/>
        </w:rPr>
      </w:pPr>
      <w:r>
        <w:rPr>
          <w:sz w:val="24"/>
        </w:rPr>
        <w:t>suitable drawings and supporting information, detailing the </w:t>
      </w:r>
      <w:r>
        <w:rPr>
          <w:i/>
          <w:sz w:val="24"/>
        </w:rPr>
        <w:t>metering </w:t>
      </w:r>
      <w:r>
        <w:rPr>
          <w:i/>
          <w:sz w:val="24"/>
        </w:rPr>
        <w:t>installation</w:t>
      </w:r>
      <w:r>
        <w:rPr>
          <w:sz w:val="24"/>
        </w:rPr>
        <w:t>, must be available for maintenance</w:t>
      </w:r>
      <w:r>
        <w:rPr>
          <w:spacing w:val="-2"/>
          <w:sz w:val="24"/>
        </w:rPr>
        <w:t> </w:t>
      </w:r>
      <w:r>
        <w:rPr>
          <w:sz w:val="24"/>
        </w:rPr>
        <w:t>purposes.</w:t>
      </w:r>
    </w:p>
    <w:p>
      <w:pPr>
        <w:pStyle w:val="BodyText"/>
        <w:spacing w:before="10"/>
        <w:ind w:firstLine="0"/>
        <w:jc w:val="left"/>
        <w:rPr>
          <w:sz w:val="20"/>
        </w:rPr>
      </w:pPr>
    </w:p>
    <w:p>
      <w:pPr>
        <w:pStyle w:val="Heading4"/>
        <w:ind w:left="218" w:firstLine="0"/>
      </w:pPr>
      <w:bookmarkStart w:name="S7A.4.5.2 Design guidelines" w:id="1869"/>
      <w:bookmarkEnd w:id="1869"/>
      <w:r>
        <w:rPr>
          <w:b w:val="0"/>
        </w:rPr>
      </w:r>
      <w:bookmarkStart w:name="_bookmark760" w:id="1870"/>
      <w:bookmarkEnd w:id="1870"/>
      <w:r>
        <w:rPr>
          <w:b w:val="0"/>
        </w:rPr>
      </w:r>
      <w:r>
        <w:rPr/>
        <w:t>S7A.4.5.2 Design guidelines</w:t>
      </w:r>
    </w:p>
    <w:p>
      <w:pPr>
        <w:pStyle w:val="BodyText"/>
        <w:ind w:left="1352" w:right="414" w:firstLine="0"/>
      </w:pPr>
      <w:r>
        <w:rPr/>
        <w:t>In addition to the design requirements specified in clause S7A.5.1, the following guidelines should be considered for each </w:t>
      </w:r>
      <w:r>
        <w:rPr>
          <w:i/>
        </w:rPr>
        <w:t>metering installation</w:t>
      </w:r>
      <w:r>
        <w:rPr/>
        <w:t>:</w:t>
      </w:r>
    </w:p>
    <w:p>
      <w:pPr>
        <w:spacing w:after="0"/>
        <w:sectPr>
          <w:pgSz w:w="11910" w:h="16840"/>
          <w:pgMar w:header="686" w:footer="637" w:top="1320" w:bottom="820" w:left="1200" w:right="1000"/>
        </w:sectPr>
      </w:pPr>
    </w:p>
    <w:p>
      <w:pPr>
        <w:pStyle w:val="ListParagraph"/>
        <w:numPr>
          <w:ilvl w:val="0"/>
          <w:numId w:val="529"/>
        </w:numPr>
        <w:tabs>
          <w:tab w:pos="1918" w:val="left" w:leader="none"/>
          <w:tab w:pos="1919" w:val="left" w:leader="none"/>
        </w:tabs>
        <w:spacing w:line="240" w:lineRule="auto" w:before="83" w:after="0"/>
        <w:ind w:left="1918" w:right="0" w:hanging="567"/>
        <w:jc w:val="left"/>
        <w:rPr>
          <w:i/>
          <w:sz w:val="24"/>
        </w:rPr>
      </w:pPr>
      <w:r>
        <w:rPr>
          <w:sz w:val="24"/>
        </w:rPr>
        <w:t>the</w:t>
      </w:r>
      <w:r>
        <w:rPr>
          <w:spacing w:val="11"/>
          <w:sz w:val="24"/>
        </w:rPr>
        <w:t> </w:t>
      </w:r>
      <w:r>
        <w:rPr>
          <w:sz w:val="24"/>
        </w:rPr>
        <w:t>provision</w:t>
      </w:r>
      <w:r>
        <w:rPr>
          <w:spacing w:val="11"/>
          <w:sz w:val="24"/>
        </w:rPr>
        <w:t> </w:t>
      </w:r>
      <w:r>
        <w:rPr>
          <w:sz w:val="24"/>
        </w:rPr>
        <w:t>of</w:t>
      </w:r>
      <w:r>
        <w:rPr>
          <w:spacing w:val="11"/>
          <w:sz w:val="24"/>
        </w:rPr>
        <w:t> </w:t>
      </w:r>
      <w:r>
        <w:rPr>
          <w:sz w:val="24"/>
        </w:rPr>
        <w:t>separate</w:t>
      </w:r>
      <w:r>
        <w:rPr>
          <w:spacing w:val="12"/>
          <w:sz w:val="24"/>
        </w:rPr>
        <w:t> </w:t>
      </w:r>
      <w:r>
        <w:rPr>
          <w:sz w:val="24"/>
        </w:rPr>
        <w:t>secondary</w:t>
      </w:r>
      <w:r>
        <w:rPr>
          <w:spacing w:val="11"/>
          <w:sz w:val="24"/>
        </w:rPr>
        <w:t> </w:t>
      </w:r>
      <w:r>
        <w:rPr>
          <w:sz w:val="24"/>
        </w:rPr>
        <w:t>windings</w:t>
      </w:r>
      <w:r>
        <w:rPr>
          <w:spacing w:val="11"/>
          <w:sz w:val="24"/>
        </w:rPr>
        <w:t> </w:t>
      </w:r>
      <w:r>
        <w:rPr>
          <w:sz w:val="24"/>
        </w:rPr>
        <w:t>for</w:t>
      </w:r>
      <w:r>
        <w:rPr>
          <w:spacing w:val="11"/>
          <w:sz w:val="24"/>
        </w:rPr>
        <w:t> </w:t>
      </w:r>
      <w:r>
        <w:rPr>
          <w:sz w:val="24"/>
        </w:rPr>
        <w:t>each</w:t>
      </w:r>
      <w:r>
        <w:rPr>
          <w:spacing w:val="12"/>
          <w:sz w:val="24"/>
        </w:rPr>
        <w:t> </w:t>
      </w:r>
      <w:r>
        <w:rPr>
          <w:i/>
          <w:sz w:val="24"/>
        </w:rPr>
        <w:t>metering</w:t>
      </w:r>
      <w:r>
        <w:rPr>
          <w:i/>
          <w:spacing w:val="11"/>
          <w:sz w:val="24"/>
        </w:rPr>
        <w:t> </w:t>
      </w:r>
      <w:r>
        <w:rPr>
          <w:i/>
          <w:sz w:val="24"/>
        </w:rPr>
        <w:t>installation</w:t>
      </w:r>
    </w:p>
    <w:p>
      <w:pPr>
        <w:spacing w:before="0"/>
        <w:ind w:left="1919" w:right="0" w:firstLine="0"/>
        <w:jc w:val="left"/>
        <w:rPr>
          <w:sz w:val="24"/>
        </w:rPr>
      </w:pPr>
      <w:r>
        <w:rPr>
          <w:sz w:val="24"/>
        </w:rPr>
        <w:t>where a </w:t>
      </w:r>
      <w:r>
        <w:rPr>
          <w:i/>
          <w:sz w:val="24"/>
        </w:rPr>
        <w:t>voltage transformer </w:t>
      </w:r>
      <w:r>
        <w:rPr>
          <w:sz w:val="24"/>
        </w:rPr>
        <w:t>is required;</w:t>
      </w:r>
    </w:p>
    <w:p>
      <w:pPr>
        <w:pStyle w:val="ListParagraph"/>
        <w:numPr>
          <w:ilvl w:val="0"/>
          <w:numId w:val="529"/>
        </w:numPr>
        <w:tabs>
          <w:tab w:pos="1918" w:val="left" w:leader="none"/>
          <w:tab w:pos="1919" w:val="left" w:leader="none"/>
        </w:tabs>
        <w:spacing w:line="240" w:lineRule="auto" w:before="120" w:after="0"/>
        <w:ind w:left="1918" w:right="0" w:hanging="567"/>
        <w:jc w:val="left"/>
        <w:rPr>
          <w:sz w:val="24"/>
        </w:rPr>
      </w:pPr>
      <w:r>
        <w:rPr>
          <w:sz w:val="24"/>
        </w:rPr>
        <w:t>a </w:t>
      </w:r>
      <w:r>
        <w:rPr>
          <w:i/>
          <w:sz w:val="24"/>
        </w:rPr>
        <w:t>voltage </w:t>
      </w:r>
      <w:r>
        <w:rPr>
          <w:sz w:val="24"/>
        </w:rPr>
        <w:t>changeover where more than one </w:t>
      </w:r>
      <w:r>
        <w:rPr>
          <w:i/>
          <w:sz w:val="24"/>
        </w:rPr>
        <w:t>voltage transformer </w:t>
      </w:r>
      <w:r>
        <w:rPr>
          <w:sz w:val="24"/>
        </w:rPr>
        <w:t>is</w:t>
      </w:r>
      <w:r>
        <w:rPr>
          <w:spacing w:val="-9"/>
          <w:sz w:val="24"/>
        </w:rPr>
        <w:t> </w:t>
      </w:r>
      <w:r>
        <w:rPr>
          <w:sz w:val="24"/>
        </w:rPr>
        <w:t>available.</w:t>
      </w:r>
    </w:p>
    <w:p>
      <w:pPr>
        <w:pStyle w:val="BodyText"/>
        <w:spacing w:before="10"/>
        <w:ind w:firstLine="0"/>
        <w:jc w:val="left"/>
        <w:rPr>
          <w:sz w:val="20"/>
        </w:rPr>
      </w:pPr>
    </w:p>
    <w:p>
      <w:pPr>
        <w:pStyle w:val="Heading2"/>
        <w:tabs>
          <w:tab w:pos="2485" w:val="left" w:leader="none"/>
        </w:tabs>
        <w:ind w:left="2486" w:right="497" w:hanging="2268"/>
      </w:pPr>
      <w:bookmarkStart w:name="Schedule 7A.5 Metering functionality req" w:id="1871"/>
      <w:bookmarkEnd w:id="1871"/>
      <w:r>
        <w:rPr>
          <w:b w:val="0"/>
        </w:rPr>
      </w:r>
      <w:bookmarkStart w:name="_bookmark761" w:id="1872"/>
      <w:bookmarkEnd w:id="1872"/>
      <w:r>
        <w:rPr>
          <w:b w:val="0"/>
        </w:rPr>
      </w:r>
      <w:r>
        <w:rPr/>
        <w:t>Schedule</w:t>
      </w:r>
      <w:r>
        <w:rPr>
          <w:spacing w:val="-1"/>
        </w:rPr>
        <w:t> </w:t>
      </w:r>
      <w:r>
        <w:rPr/>
        <w:t>7A.5</w:t>
        <w:tab/>
        <w:t>Metering functionality requirements for type 1, 2, 3 and 4 metering</w:t>
      </w:r>
      <w:r>
        <w:rPr>
          <w:spacing w:val="-5"/>
        </w:rPr>
        <w:t> </w:t>
      </w:r>
      <w:r>
        <w:rPr/>
        <w:t>requirements</w:t>
      </w:r>
    </w:p>
    <w:p>
      <w:pPr>
        <w:pStyle w:val="Heading4"/>
        <w:tabs>
          <w:tab w:pos="1351" w:val="left" w:leader="none"/>
        </w:tabs>
        <w:spacing w:line="510" w:lineRule="atLeast" w:before="6"/>
        <w:ind w:left="218" w:right="6953" w:firstLine="0"/>
      </w:pPr>
      <w:bookmarkStart w:name="S7A.5.1 Introduction" w:id="1873"/>
      <w:bookmarkEnd w:id="1873"/>
      <w:r>
        <w:rPr>
          <w:b w:val="0"/>
        </w:rPr>
      </w:r>
      <w:bookmarkStart w:name="_bookmark762" w:id="1874"/>
      <w:bookmarkEnd w:id="1874"/>
      <w:r>
        <w:rPr>
          <w:b w:val="0"/>
        </w:rPr>
      </w:r>
      <w:r>
        <w:rPr/>
        <w:t>S7A.5.1</w:t>
        <w:tab/>
      </w:r>
      <w:r>
        <w:rPr>
          <w:spacing w:val="-3"/>
        </w:rPr>
        <w:t>Introduction</w:t>
      </w:r>
      <w:bookmarkStart w:name="S7A.5.1.1 Purpose" w:id="1875"/>
      <w:bookmarkEnd w:id="1875"/>
      <w:r>
        <w:rPr>
          <w:spacing w:val="-3"/>
        </w:rPr>
      </w:r>
      <w:bookmarkStart w:name="_bookmark763" w:id="1876"/>
      <w:bookmarkEnd w:id="1876"/>
      <w:r>
        <w:rPr>
          <w:spacing w:val="-3"/>
        </w:rPr>
      </w:r>
      <w:r>
        <w:rPr>
          <w:spacing w:val="-3"/>
        </w:rPr>
        <w:t> </w:t>
      </w:r>
      <w:r>
        <w:rPr/>
        <w:t>S7A.5.1.1 Purpose</w:t>
      </w:r>
    </w:p>
    <w:p>
      <w:pPr>
        <w:pStyle w:val="BodyText"/>
        <w:spacing w:before="126"/>
        <w:ind w:left="1352" w:firstLine="0"/>
      </w:pPr>
      <w:r>
        <w:rPr/>
        <w:t>This schedule specifies the </w:t>
      </w:r>
      <w:r>
        <w:rPr>
          <w:i/>
        </w:rPr>
        <w:t>meter </w:t>
      </w:r>
      <w:r>
        <w:rPr/>
        <w:t>functionality requirements for type 1, 2, 3 and 4</w:t>
      </w:r>
    </w:p>
    <w:p>
      <w:pPr>
        <w:spacing w:before="0"/>
        <w:ind w:left="1352" w:right="0" w:firstLine="0"/>
        <w:jc w:val="both"/>
        <w:rPr>
          <w:sz w:val="24"/>
        </w:rPr>
      </w:pPr>
      <w:r>
        <w:rPr>
          <w:i/>
          <w:sz w:val="24"/>
        </w:rPr>
        <w:t>metering installations </w:t>
      </w:r>
      <w:r>
        <w:rPr>
          <w:sz w:val="24"/>
        </w:rPr>
        <w:t>in this jurisdiction.</w:t>
      </w:r>
    </w:p>
    <w:p>
      <w:pPr>
        <w:pStyle w:val="BodyText"/>
        <w:spacing w:before="10"/>
        <w:ind w:firstLine="0"/>
        <w:jc w:val="left"/>
        <w:rPr>
          <w:sz w:val="20"/>
        </w:rPr>
      </w:pPr>
    </w:p>
    <w:p>
      <w:pPr>
        <w:pStyle w:val="Heading4"/>
        <w:ind w:left="218" w:firstLine="0"/>
      </w:pPr>
      <w:bookmarkStart w:name="S7A.5.1.2 Definitions" w:id="1877"/>
      <w:bookmarkEnd w:id="1877"/>
      <w:r>
        <w:rPr>
          <w:b w:val="0"/>
        </w:rPr>
      </w:r>
      <w:bookmarkStart w:name="_bookmark764" w:id="1878"/>
      <w:bookmarkEnd w:id="1878"/>
      <w:r>
        <w:rPr>
          <w:b w:val="0"/>
        </w:rPr>
      </w:r>
      <w:r>
        <w:rPr/>
        <w:t>S7A.5.1.2 Definitions</w:t>
      </w:r>
    </w:p>
    <w:p>
      <w:pPr>
        <w:pStyle w:val="BodyText"/>
        <w:ind w:left="1352" w:firstLine="0"/>
      </w:pPr>
      <w:r>
        <w:rPr/>
        <w:t>In this schedule:</w:t>
      </w:r>
    </w:p>
    <w:p>
      <w:pPr>
        <w:spacing w:before="120"/>
        <w:ind w:left="1352" w:right="414" w:firstLine="0"/>
        <w:jc w:val="both"/>
        <w:rPr>
          <w:sz w:val="24"/>
        </w:rPr>
      </w:pPr>
      <w:r>
        <w:rPr>
          <w:b/>
          <w:sz w:val="24"/>
        </w:rPr>
        <w:t>communications network </w:t>
      </w:r>
      <w:r>
        <w:rPr>
          <w:sz w:val="24"/>
        </w:rPr>
        <w:t>means all communications equipment, processes and arrangements that lie between the </w:t>
      </w:r>
      <w:r>
        <w:rPr>
          <w:i/>
          <w:sz w:val="24"/>
        </w:rPr>
        <w:t>meter </w:t>
      </w:r>
      <w:r>
        <w:rPr>
          <w:sz w:val="24"/>
        </w:rPr>
        <w:t>and the NMS.</w:t>
      </w:r>
    </w:p>
    <w:p>
      <w:pPr>
        <w:pStyle w:val="BodyText"/>
        <w:ind w:left="1352" w:right="414" w:firstLine="0"/>
      </w:pPr>
      <w:r>
        <w:rPr>
          <w:b/>
        </w:rPr>
        <w:t>end user customer </w:t>
      </w:r>
      <w:r>
        <w:rPr/>
        <w:t>means the customer or retail customer who consumes electricity at the point of use.</w:t>
      </w:r>
    </w:p>
    <w:p>
      <w:pPr>
        <w:spacing w:before="120"/>
        <w:ind w:left="1352" w:right="0" w:firstLine="0"/>
        <w:jc w:val="both"/>
        <w:rPr>
          <w:sz w:val="24"/>
        </w:rPr>
      </w:pPr>
      <w:r>
        <w:rPr>
          <w:b/>
          <w:sz w:val="24"/>
        </w:rPr>
        <w:t>export </w:t>
      </w:r>
      <w:r>
        <w:rPr>
          <w:sz w:val="24"/>
        </w:rPr>
        <w:t>means the delivery of </w:t>
      </w:r>
      <w:r>
        <w:rPr>
          <w:i/>
          <w:sz w:val="24"/>
        </w:rPr>
        <w:t>energy </w:t>
      </w:r>
      <w:r>
        <w:rPr>
          <w:sz w:val="24"/>
        </w:rPr>
        <w:t>from the </w:t>
      </w:r>
      <w:r>
        <w:rPr>
          <w:i/>
          <w:sz w:val="24"/>
        </w:rPr>
        <w:t>network </w:t>
      </w:r>
      <w:r>
        <w:rPr>
          <w:sz w:val="24"/>
        </w:rPr>
        <w:t>to an end-use customer.</w:t>
      </w:r>
    </w:p>
    <w:p>
      <w:pPr>
        <w:spacing w:before="120"/>
        <w:ind w:left="1352" w:right="414" w:firstLine="0"/>
        <w:jc w:val="both"/>
        <w:rPr>
          <w:sz w:val="24"/>
        </w:rPr>
      </w:pPr>
      <w:r>
        <w:rPr>
          <w:b/>
          <w:sz w:val="24"/>
        </w:rPr>
        <w:t>import </w:t>
      </w:r>
      <w:r>
        <w:rPr>
          <w:sz w:val="24"/>
        </w:rPr>
        <w:t>means the delivery of </w:t>
      </w:r>
      <w:r>
        <w:rPr>
          <w:i/>
          <w:sz w:val="24"/>
        </w:rPr>
        <w:t>energy </w:t>
      </w:r>
      <w:r>
        <w:rPr>
          <w:sz w:val="24"/>
        </w:rPr>
        <w:t>from an end-use customer into a </w:t>
      </w:r>
      <w:r>
        <w:rPr>
          <w:i/>
          <w:sz w:val="24"/>
        </w:rPr>
        <w:t>distribution </w:t>
      </w:r>
      <w:r>
        <w:rPr>
          <w:i/>
          <w:sz w:val="24"/>
        </w:rPr>
        <w:t>network</w:t>
      </w:r>
      <w:r>
        <w:rPr>
          <w:sz w:val="24"/>
        </w:rPr>
        <w:t>.</w:t>
      </w:r>
    </w:p>
    <w:p>
      <w:pPr>
        <w:spacing w:before="120"/>
        <w:ind w:left="1352" w:right="415" w:firstLine="0"/>
        <w:jc w:val="both"/>
        <w:rPr>
          <w:sz w:val="24"/>
        </w:rPr>
      </w:pPr>
      <w:r>
        <w:rPr>
          <w:b/>
          <w:sz w:val="24"/>
        </w:rPr>
        <w:t>local disconnection </w:t>
      </w:r>
      <w:r>
        <w:rPr>
          <w:sz w:val="24"/>
        </w:rPr>
        <w:t>means the operation of the supply contactor to effect a </w:t>
      </w:r>
      <w:r>
        <w:rPr>
          <w:i/>
          <w:sz w:val="24"/>
        </w:rPr>
        <w:t>disconnection </w:t>
      </w:r>
      <w:r>
        <w:rPr>
          <w:sz w:val="24"/>
        </w:rPr>
        <w:t>of </w:t>
      </w:r>
      <w:r>
        <w:rPr>
          <w:i/>
          <w:sz w:val="24"/>
        </w:rPr>
        <w:t>supply </w:t>
      </w:r>
      <w:r>
        <w:rPr>
          <w:sz w:val="24"/>
        </w:rPr>
        <w:t>performed locally at the </w:t>
      </w:r>
      <w:r>
        <w:rPr>
          <w:i/>
          <w:sz w:val="24"/>
        </w:rPr>
        <w:t>meter </w:t>
      </w:r>
      <w:r>
        <w:rPr>
          <w:sz w:val="24"/>
        </w:rPr>
        <w:t>by alternative electronic means.</w:t>
      </w:r>
    </w:p>
    <w:p>
      <w:pPr>
        <w:spacing w:before="120"/>
        <w:ind w:left="1352" w:right="415" w:firstLine="0"/>
        <w:jc w:val="both"/>
        <w:rPr>
          <w:sz w:val="24"/>
        </w:rPr>
      </w:pPr>
      <w:r>
        <w:rPr>
          <w:b/>
          <w:sz w:val="24"/>
        </w:rPr>
        <w:t>metering system </w:t>
      </w:r>
      <w:r>
        <w:rPr>
          <w:sz w:val="24"/>
        </w:rPr>
        <w:t>means the installed </w:t>
      </w:r>
      <w:r>
        <w:rPr>
          <w:i/>
          <w:sz w:val="24"/>
        </w:rPr>
        <w:t>metering installation</w:t>
      </w:r>
      <w:r>
        <w:rPr>
          <w:sz w:val="24"/>
        </w:rPr>
        <w:t>, communications network or infrastructure, and any other systems required under this schedule.</w:t>
      </w:r>
    </w:p>
    <w:p>
      <w:pPr>
        <w:spacing w:before="120"/>
        <w:ind w:left="1352" w:right="415" w:firstLine="0"/>
        <w:jc w:val="both"/>
        <w:rPr>
          <w:sz w:val="24"/>
        </w:rPr>
      </w:pPr>
      <w:r>
        <w:rPr>
          <w:b/>
          <w:sz w:val="24"/>
        </w:rPr>
        <w:t>NMS (Network Management System) </w:t>
      </w:r>
      <w:r>
        <w:rPr>
          <w:sz w:val="24"/>
        </w:rPr>
        <w:t>means the component of a metering system that manages the communications network.</w:t>
      </w:r>
    </w:p>
    <w:p>
      <w:pPr>
        <w:spacing w:before="120"/>
        <w:ind w:left="1352" w:right="415" w:firstLine="0"/>
        <w:jc w:val="both"/>
        <w:rPr>
          <w:sz w:val="24"/>
        </w:rPr>
      </w:pPr>
      <w:r>
        <w:rPr>
          <w:b/>
          <w:sz w:val="24"/>
        </w:rPr>
        <w:t>remote disconnection </w:t>
      </w:r>
      <w:r>
        <w:rPr>
          <w:sz w:val="24"/>
        </w:rPr>
        <w:t>means the utilisation of the communication system to </w:t>
      </w:r>
      <w:r>
        <w:rPr>
          <w:i/>
          <w:sz w:val="24"/>
        </w:rPr>
        <w:t>disconnect </w:t>
      </w:r>
      <w:r>
        <w:rPr>
          <w:sz w:val="24"/>
        </w:rPr>
        <w:t>the end-use customer's </w:t>
      </w:r>
      <w:r>
        <w:rPr>
          <w:i/>
          <w:sz w:val="24"/>
        </w:rPr>
        <w:t>supply </w:t>
      </w:r>
      <w:r>
        <w:rPr>
          <w:sz w:val="24"/>
        </w:rPr>
        <w:t>at the </w:t>
      </w:r>
      <w:r>
        <w:rPr>
          <w:i/>
          <w:sz w:val="24"/>
        </w:rPr>
        <w:t>meter </w:t>
      </w:r>
      <w:r>
        <w:rPr>
          <w:sz w:val="24"/>
        </w:rPr>
        <w:t>by the operation of a contactor.</w:t>
      </w:r>
    </w:p>
    <w:p>
      <w:pPr>
        <w:spacing w:before="120"/>
        <w:ind w:left="1352" w:right="414" w:firstLine="0"/>
        <w:jc w:val="both"/>
        <w:rPr>
          <w:sz w:val="24"/>
        </w:rPr>
      </w:pPr>
      <w:r>
        <w:rPr>
          <w:b/>
          <w:sz w:val="24"/>
        </w:rPr>
        <w:t>supply contactor </w:t>
      </w:r>
      <w:r>
        <w:rPr>
          <w:sz w:val="24"/>
        </w:rPr>
        <w:t>means the contactor in the </w:t>
      </w:r>
      <w:r>
        <w:rPr>
          <w:i/>
          <w:sz w:val="24"/>
        </w:rPr>
        <w:t>meter </w:t>
      </w:r>
      <w:r>
        <w:rPr>
          <w:sz w:val="24"/>
        </w:rPr>
        <w:t>that, when opened, causes the </w:t>
      </w:r>
      <w:r>
        <w:rPr>
          <w:i/>
          <w:sz w:val="24"/>
        </w:rPr>
        <w:t>supply </w:t>
      </w:r>
      <w:r>
        <w:rPr>
          <w:sz w:val="24"/>
        </w:rPr>
        <w:t>to be </w:t>
      </w:r>
      <w:r>
        <w:rPr>
          <w:i/>
          <w:sz w:val="24"/>
        </w:rPr>
        <w:t>disconnected </w:t>
      </w:r>
      <w:r>
        <w:rPr>
          <w:sz w:val="24"/>
        </w:rPr>
        <w:t>and, when closed, allows the </w:t>
      </w:r>
      <w:r>
        <w:rPr>
          <w:i/>
          <w:sz w:val="24"/>
        </w:rPr>
        <w:t>supply </w:t>
      </w:r>
      <w:r>
        <w:rPr>
          <w:sz w:val="24"/>
        </w:rPr>
        <w:t>to become </w:t>
      </w:r>
      <w:r>
        <w:rPr>
          <w:i/>
          <w:sz w:val="24"/>
        </w:rPr>
        <w:t>connected</w:t>
      </w:r>
      <w:r>
        <w:rPr>
          <w:sz w:val="24"/>
        </w:rPr>
        <w:t>.</w:t>
      </w:r>
    </w:p>
    <w:p>
      <w:pPr>
        <w:spacing w:before="120"/>
        <w:ind w:left="1352" w:right="415" w:firstLine="0"/>
        <w:jc w:val="both"/>
        <w:rPr>
          <w:sz w:val="24"/>
        </w:rPr>
      </w:pPr>
      <w:r>
        <w:rPr>
          <w:b/>
          <w:sz w:val="24"/>
        </w:rPr>
        <w:t>total accumulated energy </w:t>
      </w:r>
      <w:r>
        <w:rPr>
          <w:sz w:val="24"/>
        </w:rPr>
        <w:t>means the total or accumulated amount of </w:t>
      </w:r>
      <w:r>
        <w:rPr>
          <w:i/>
          <w:sz w:val="24"/>
        </w:rPr>
        <w:t>energy </w:t>
      </w:r>
      <w:r>
        <w:rPr>
          <w:sz w:val="24"/>
        </w:rPr>
        <w:t>measured and recorded per channel of a </w:t>
      </w:r>
      <w:r>
        <w:rPr>
          <w:i/>
          <w:sz w:val="24"/>
        </w:rPr>
        <w:t>meter </w:t>
      </w:r>
      <w:r>
        <w:rPr>
          <w:sz w:val="24"/>
        </w:rPr>
        <w:t>since the installation of the </w:t>
      </w:r>
      <w:r>
        <w:rPr>
          <w:i/>
          <w:sz w:val="24"/>
        </w:rPr>
        <w:t>meter </w:t>
      </w:r>
      <w:r>
        <w:rPr>
          <w:sz w:val="24"/>
        </w:rPr>
        <w:t>or the resetting of the</w:t>
      </w:r>
      <w:r>
        <w:rPr>
          <w:spacing w:val="-1"/>
          <w:sz w:val="24"/>
        </w:rPr>
        <w:t> </w:t>
      </w:r>
      <w:r>
        <w:rPr>
          <w:sz w:val="24"/>
        </w:rPr>
        <w:t>value.</w:t>
      </w:r>
    </w:p>
    <w:p>
      <w:pPr>
        <w:pStyle w:val="BodyText"/>
        <w:spacing w:before="10"/>
        <w:ind w:firstLine="0"/>
        <w:jc w:val="left"/>
        <w:rPr>
          <w:sz w:val="20"/>
        </w:rPr>
      </w:pPr>
    </w:p>
    <w:p>
      <w:pPr>
        <w:pStyle w:val="Heading4"/>
        <w:tabs>
          <w:tab w:pos="1351" w:val="left" w:leader="none"/>
        </w:tabs>
        <w:ind w:left="1352" w:right="751"/>
      </w:pPr>
      <w:bookmarkStart w:name="S7A.5.2 Functionality Requirements for M" w:id="1879"/>
      <w:bookmarkEnd w:id="1879"/>
      <w:r>
        <w:rPr>
          <w:b w:val="0"/>
        </w:rPr>
      </w:r>
      <w:bookmarkStart w:name="_bookmark765" w:id="1880"/>
      <w:bookmarkEnd w:id="1880"/>
      <w:r>
        <w:rPr>
          <w:b w:val="0"/>
        </w:rPr>
      </w:r>
      <w:r>
        <w:rPr/>
        <w:t>S7A.5.2</w:t>
        <w:tab/>
        <w:t>Functionality Requirements for Meters in Type 1, 2, and 3 metering installations</w:t>
      </w:r>
    </w:p>
    <w:p>
      <w:pPr>
        <w:pStyle w:val="BodyText"/>
        <w:spacing w:before="10"/>
        <w:ind w:firstLine="0"/>
        <w:jc w:val="left"/>
        <w:rPr>
          <w:rFonts w:ascii="Arial"/>
          <w:b/>
          <w:sz w:val="20"/>
        </w:rPr>
      </w:pPr>
    </w:p>
    <w:p>
      <w:pPr>
        <w:pStyle w:val="Heading4"/>
        <w:ind w:left="218" w:firstLine="0"/>
      </w:pPr>
      <w:bookmarkStart w:name="S7A.5.2.1 Application" w:id="1881"/>
      <w:bookmarkEnd w:id="1881"/>
      <w:r>
        <w:rPr>
          <w:b w:val="0"/>
        </w:rPr>
      </w:r>
      <w:bookmarkStart w:name="_bookmark766" w:id="1882"/>
      <w:bookmarkEnd w:id="1882"/>
      <w:r>
        <w:rPr>
          <w:b w:val="0"/>
        </w:rPr>
      </w:r>
      <w:r>
        <w:rPr/>
        <w:t>S7A.5.2.1 Application</w:t>
      </w:r>
    </w:p>
    <w:p>
      <w:pPr>
        <w:spacing w:before="120"/>
        <w:ind w:left="1352" w:right="0" w:firstLine="0"/>
        <w:jc w:val="both"/>
        <w:rPr>
          <w:sz w:val="24"/>
        </w:rPr>
      </w:pPr>
      <w:r>
        <w:rPr>
          <w:sz w:val="24"/>
        </w:rPr>
        <w:t>Clause S7A.5.2 applies to </w:t>
      </w:r>
      <w:r>
        <w:rPr>
          <w:i/>
          <w:sz w:val="24"/>
        </w:rPr>
        <w:t>meters </w:t>
      </w:r>
      <w:r>
        <w:rPr>
          <w:sz w:val="24"/>
        </w:rPr>
        <w:t>in type 1, 2 and 3 </w:t>
      </w:r>
      <w:r>
        <w:rPr>
          <w:i/>
          <w:sz w:val="24"/>
        </w:rPr>
        <w:t>metering installations</w:t>
      </w:r>
      <w:r>
        <w:rPr>
          <w:sz w:val="24"/>
        </w:rPr>
        <w:t>.</w:t>
      </w:r>
    </w:p>
    <w:p>
      <w:pPr>
        <w:spacing w:after="0"/>
        <w:jc w:val="both"/>
        <w:rPr>
          <w:sz w:val="24"/>
        </w:rPr>
        <w:sectPr>
          <w:pgSz w:w="11910" w:h="16840"/>
          <w:pgMar w:header="686" w:footer="637" w:top="1320" w:bottom="820" w:left="1200" w:right="1000"/>
        </w:sectPr>
      </w:pPr>
    </w:p>
    <w:p>
      <w:pPr>
        <w:pStyle w:val="Heading4"/>
        <w:spacing w:before="83"/>
        <w:ind w:left="218" w:firstLine="0"/>
      </w:pPr>
      <w:bookmarkStart w:name="S7A.5.2.2 Applicable meter configuration" w:id="1883"/>
      <w:bookmarkEnd w:id="1883"/>
      <w:r>
        <w:rPr>
          <w:b w:val="0"/>
        </w:rPr>
      </w:r>
      <w:bookmarkStart w:name="_bookmark767" w:id="1884"/>
      <w:bookmarkEnd w:id="1884"/>
      <w:r>
        <w:rPr>
          <w:b w:val="0"/>
        </w:rPr>
      </w:r>
      <w:r>
        <w:rPr/>
        <w:t>S7A.5.2.2 Applicable meter configurations</w:t>
      </w:r>
    </w:p>
    <w:p>
      <w:pPr>
        <w:pStyle w:val="ListParagraph"/>
        <w:numPr>
          <w:ilvl w:val="0"/>
          <w:numId w:val="530"/>
        </w:numPr>
        <w:tabs>
          <w:tab w:pos="1919" w:val="left" w:leader="none"/>
        </w:tabs>
        <w:spacing w:line="240" w:lineRule="auto" w:before="120" w:after="0"/>
        <w:ind w:left="1918" w:right="0" w:hanging="567"/>
        <w:jc w:val="both"/>
        <w:rPr>
          <w:sz w:val="24"/>
        </w:rPr>
      </w:pPr>
      <w:r>
        <w:rPr>
          <w:sz w:val="24"/>
        </w:rPr>
        <w:t>The configuration for a </w:t>
      </w:r>
      <w:r>
        <w:rPr>
          <w:i/>
          <w:sz w:val="24"/>
        </w:rPr>
        <w:t>meter </w:t>
      </w:r>
      <w:r>
        <w:rPr>
          <w:sz w:val="24"/>
        </w:rPr>
        <w:t>must</w:t>
      </w:r>
      <w:r>
        <w:rPr>
          <w:spacing w:val="-2"/>
          <w:sz w:val="24"/>
        </w:rPr>
        <w:t> </w:t>
      </w:r>
      <w:r>
        <w:rPr>
          <w:sz w:val="24"/>
        </w:rPr>
        <w:t>be:</w:t>
      </w:r>
    </w:p>
    <w:p>
      <w:pPr>
        <w:pStyle w:val="ListParagraph"/>
        <w:numPr>
          <w:ilvl w:val="1"/>
          <w:numId w:val="530"/>
        </w:numPr>
        <w:tabs>
          <w:tab w:pos="2486" w:val="left" w:leader="none"/>
        </w:tabs>
        <w:spacing w:line="240" w:lineRule="auto" w:before="120" w:after="0"/>
        <w:ind w:left="2485" w:right="0" w:hanging="567"/>
        <w:jc w:val="both"/>
        <w:rPr>
          <w:sz w:val="24"/>
        </w:rPr>
      </w:pPr>
      <w:r>
        <w:rPr>
          <w:sz w:val="24"/>
        </w:rPr>
        <w:t>three phase Low Voltage </w:t>
      </w:r>
      <w:r>
        <w:rPr>
          <w:i/>
          <w:sz w:val="24"/>
        </w:rPr>
        <w:t>CT </w:t>
      </w:r>
      <w:r>
        <w:rPr>
          <w:sz w:val="24"/>
        </w:rPr>
        <w:t>connect (excluding supply contactor);</w:t>
      </w:r>
      <w:r>
        <w:rPr>
          <w:spacing w:val="-9"/>
          <w:sz w:val="24"/>
        </w:rPr>
        <w:t> </w:t>
      </w:r>
      <w:r>
        <w:rPr>
          <w:sz w:val="24"/>
        </w:rPr>
        <w:t>or</w:t>
      </w:r>
    </w:p>
    <w:p>
      <w:pPr>
        <w:pStyle w:val="ListParagraph"/>
        <w:numPr>
          <w:ilvl w:val="1"/>
          <w:numId w:val="530"/>
        </w:numPr>
        <w:tabs>
          <w:tab w:pos="2486" w:val="left" w:leader="none"/>
        </w:tabs>
        <w:spacing w:line="240" w:lineRule="auto" w:before="120" w:after="0"/>
        <w:ind w:left="2485" w:right="0" w:hanging="567"/>
        <w:jc w:val="both"/>
        <w:rPr>
          <w:sz w:val="24"/>
        </w:rPr>
      </w:pPr>
      <w:r>
        <w:rPr>
          <w:sz w:val="24"/>
        </w:rPr>
        <w:t>three phase </w:t>
      </w:r>
      <w:r>
        <w:rPr>
          <w:i/>
          <w:sz w:val="24"/>
        </w:rPr>
        <w:t>CT</w:t>
      </w:r>
      <w:r>
        <w:rPr>
          <w:sz w:val="24"/>
        </w:rPr>
        <w:t>/</w:t>
      </w:r>
      <w:r>
        <w:rPr>
          <w:i/>
          <w:sz w:val="24"/>
        </w:rPr>
        <w:t>VT</w:t>
      </w:r>
      <w:r>
        <w:rPr>
          <w:sz w:val="24"/>
        </w:rPr>
        <w:t>.</w:t>
      </w:r>
    </w:p>
    <w:p>
      <w:pPr>
        <w:pStyle w:val="ListParagraph"/>
        <w:numPr>
          <w:ilvl w:val="0"/>
          <w:numId w:val="530"/>
        </w:numPr>
        <w:tabs>
          <w:tab w:pos="1919" w:val="left" w:leader="none"/>
        </w:tabs>
        <w:spacing w:line="240" w:lineRule="auto" w:before="120" w:after="0"/>
        <w:ind w:left="1919" w:right="414" w:hanging="567"/>
        <w:jc w:val="both"/>
        <w:rPr>
          <w:sz w:val="24"/>
        </w:rPr>
      </w:pPr>
      <w:r>
        <w:rPr>
          <w:i/>
          <w:sz w:val="24"/>
        </w:rPr>
        <w:t>Meters </w:t>
      </w:r>
      <w:r>
        <w:rPr>
          <w:sz w:val="24"/>
        </w:rPr>
        <w:t>must meet the relevant requirements of </w:t>
      </w:r>
      <w:r>
        <w:rPr>
          <w:i/>
          <w:sz w:val="24"/>
        </w:rPr>
        <w:t>AS </w:t>
      </w:r>
      <w:r>
        <w:rPr>
          <w:sz w:val="24"/>
        </w:rPr>
        <w:t>62052.11, </w:t>
      </w:r>
      <w:r>
        <w:rPr>
          <w:i/>
          <w:sz w:val="24"/>
        </w:rPr>
        <w:t>AS </w:t>
      </w:r>
      <w:r>
        <w:rPr>
          <w:sz w:val="24"/>
        </w:rPr>
        <w:t>62053.22 and </w:t>
      </w:r>
      <w:r>
        <w:rPr>
          <w:i/>
          <w:sz w:val="24"/>
        </w:rPr>
        <w:t>AS </w:t>
      </w:r>
      <w:r>
        <w:rPr>
          <w:sz w:val="24"/>
        </w:rPr>
        <w:t>62053.21, and any pattern approval requirements of the National Measurement</w:t>
      </w:r>
      <w:r>
        <w:rPr>
          <w:spacing w:val="-2"/>
          <w:sz w:val="24"/>
        </w:rPr>
        <w:t> </w:t>
      </w:r>
      <w:r>
        <w:rPr>
          <w:sz w:val="24"/>
        </w:rPr>
        <w:t>Institute.</w:t>
      </w:r>
    </w:p>
    <w:p>
      <w:pPr>
        <w:pStyle w:val="BodyText"/>
        <w:spacing w:before="10"/>
        <w:ind w:firstLine="0"/>
        <w:jc w:val="left"/>
        <w:rPr>
          <w:sz w:val="20"/>
        </w:rPr>
      </w:pPr>
    </w:p>
    <w:p>
      <w:pPr>
        <w:pStyle w:val="Heading4"/>
        <w:ind w:left="218" w:firstLine="0"/>
      </w:pPr>
      <w:bookmarkStart w:name="S7A.5.2.3 Metrology" w:id="1885"/>
      <w:bookmarkEnd w:id="1885"/>
      <w:r>
        <w:rPr>
          <w:b w:val="0"/>
        </w:rPr>
      </w:r>
      <w:bookmarkStart w:name="_bookmark768" w:id="1886"/>
      <w:bookmarkEnd w:id="1886"/>
      <w:r>
        <w:rPr>
          <w:b w:val="0"/>
        </w:rPr>
      </w:r>
      <w:r>
        <w:rPr/>
        <w:t>S7A.5.2.3 Metrology</w:t>
      </w:r>
    </w:p>
    <w:p>
      <w:pPr>
        <w:pStyle w:val="BodyText"/>
        <w:ind w:left="1352" w:firstLine="0"/>
      </w:pPr>
      <w:r>
        <w:rPr/>
        <w:t>Meters must comply with the following requirements:</w:t>
      </w:r>
    </w:p>
    <w:p>
      <w:pPr>
        <w:pStyle w:val="ListParagraph"/>
        <w:numPr>
          <w:ilvl w:val="0"/>
          <w:numId w:val="531"/>
        </w:numPr>
        <w:tabs>
          <w:tab w:pos="1919" w:val="left" w:leader="none"/>
        </w:tabs>
        <w:spacing w:line="240" w:lineRule="auto" w:before="120" w:after="0"/>
        <w:ind w:left="1919" w:right="415" w:hanging="567"/>
        <w:jc w:val="both"/>
        <w:rPr>
          <w:sz w:val="24"/>
        </w:rPr>
      </w:pPr>
      <w:r>
        <w:rPr>
          <w:sz w:val="24"/>
        </w:rPr>
        <w:t>three phase </w:t>
      </w:r>
      <w:r>
        <w:rPr>
          <w:i/>
          <w:sz w:val="24"/>
        </w:rPr>
        <w:t>meters </w:t>
      </w:r>
      <w:r>
        <w:rPr>
          <w:sz w:val="24"/>
        </w:rPr>
        <w:t>must be four quadrant </w:t>
      </w:r>
      <w:r>
        <w:rPr>
          <w:i/>
          <w:sz w:val="24"/>
        </w:rPr>
        <w:t>meters </w:t>
      </w:r>
      <w:r>
        <w:rPr>
          <w:sz w:val="24"/>
        </w:rPr>
        <w:t>and must be able to separately record </w:t>
      </w:r>
      <w:r>
        <w:rPr>
          <w:i/>
          <w:sz w:val="24"/>
        </w:rPr>
        <w:t>active energy </w:t>
      </w:r>
      <w:r>
        <w:rPr>
          <w:sz w:val="24"/>
        </w:rPr>
        <w:t>and </w:t>
      </w:r>
      <w:r>
        <w:rPr>
          <w:i/>
          <w:sz w:val="24"/>
        </w:rPr>
        <w:t>reactive energy</w:t>
      </w:r>
      <w:r>
        <w:rPr>
          <w:sz w:val="24"/>
        </w:rPr>
        <w:t>, import and export in </w:t>
      </w:r>
      <w:r>
        <w:rPr>
          <w:i/>
          <w:sz w:val="24"/>
        </w:rPr>
        <w:t>recording</w:t>
      </w:r>
      <w:r>
        <w:rPr>
          <w:i/>
          <w:spacing w:val="-2"/>
          <w:sz w:val="24"/>
        </w:rPr>
        <w:t> </w:t>
      </w:r>
      <w:r>
        <w:rPr>
          <w:i/>
          <w:sz w:val="24"/>
        </w:rPr>
        <w:t>intervals</w:t>
      </w:r>
      <w:r>
        <w:rPr>
          <w:sz w:val="24"/>
        </w:rPr>
        <w:t>;</w:t>
      </w:r>
    </w:p>
    <w:p>
      <w:pPr>
        <w:pStyle w:val="ListParagraph"/>
        <w:numPr>
          <w:ilvl w:val="0"/>
          <w:numId w:val="531"/>
        </w:numPr>
        <w:tabs>
          <w:tab w:pos="1919" w:val="left" w:leader="none"/>
        </w:tabs>
        <w:spacing w:line="240" w:lineRule="auto" w:before="120" w:after="0"/>
        <w:ind w:left="1919" w:right="415" w:hanging="567"/>
        <w:jc w:val="both"/>
        <w:rPr>
          <w:sz w:val="24"/>
        </w:rPr>
      </w:pPr>
      <w:r>
        <w:rPr>
          <w:i/>
          <w:sz w:val="24"/>
        </w:rPr>
        <w:t>meters </w:t>
      </w:r>
      <w:r>
        <w:rPr>
          <w:sz w:val="24"/>
        </w:rPr>
        <w:t>must record total accumulated energy for each recorded channel of interval data;</w:t>
      </w:r>
    </w:p>
    <w:p>
      <w:pPr>
        <w:pStyle w:val="ListParagraph"/>
        <w:numPr>
          <w:ilvl w:val="0"/>
          <w:numId w:val="531"/>
        </w:numPr>
        <w:tabs>
          <w:tab w:pos="1919" w:val="left" w:leader="none"/>
        </w:tabs>
        <w:spacing w:line="240" w:lineRule="auto" w:before="120" w:after="0"/>
        <w:ind w:left="1919" w:right="415" w:hanging="567"/>
        <w:jc w:val="both"/>
        <w:rPr>
          <w:sz w:val="24"/>
        </w:rPr>
      </w:pPr>
      <w:r>
        <w:rPr>
          <w:sz w:val="24"/>
        </w:rPr>
        <w:t>the resolution for collection of </w:t>
      </w:r>
      <w:r>
        <w:rPr>
          <w:i/>
          <w:sz w:val="24"/>
        </w:rPr>
        <w:t>interval energy data </w:t>
      </w:r>
      <w:r>
        <w:rPr>
          <w:sz w:val="24"/>
        </w:rPr>
        <w:t>must be at least 0.1 kWh for </w:t>
      </w:r>
      <w:r>
        <w:rPr>
          <w:i/>
          <w:sz w:val="24"/>
        </w:rPr>
        <w:t>active energy </w:t>
      </w:r>
      <w:r>
        <w:rPr>
          <w:sz w:val="24"/>
        </w:rPr>
        <w:t>and 0.1 kVArh for </w:t>
      </w:r>
      <w:r>
        <w:rPr>
          <w:i/>
          <w:sz w:val="24"/>
        </w:rPr>
        <w:t>reactive</w:t>
      </w:r>
      <w:r>
        <w:rPr>
          <w:i/>
          <w:spacing w:val="-2"/>
          <w:sz w:val="24"/>
        </w:rPr>
        <w:t> </w:t>
      </w:r>
      <w:r>
        <w:rPr>
          <w:i/>
          <w:sz w:val="24"/>
        </w:rPr>
        <w:t>energy</w:t>
      </w:r>
      <w:r>
        <w:rPr>
          <w:sz w:val="24"/>
        </w:rPr>
        <w:t>;</w:t>
      </w:r>
    </w:p>
    <w:p>
      <w:pPr>
        <w:pStyle w:val="ListParagraph"/>
        <w:numPr>
          <w:ilvl w:val="0"/>
          <w:numId w:val="531"/>
        </w:numPr>
        <w:tabs>
          <w:tab w:pos="1919" w:val="left" w:leader="none"/>
        </w:tabs>
        <w:spacing w:line="240" w:lineRule="auto" w:before="120" w:after="0"/>
        <w:ind w:left="1919" w:right="415" w:hanging="567"/>
        <w:jc w:val="both"/>
        <w:rPr>
          <w:sz w:val="24"/>
        </w:rPr>
      </w:pPr>
      <w:r>
        <w:rPr>
          <w:i/>
          <w:sz w:val="24"/>
        </w:rPr>
        <w:t>meters </w:t>
      </w:r>
      <w:r>
        <w:rPr>
          <w:sz w:val="24"/>
        </w:rPr>
        <w:t>must have a minimum storage of 35 </w:t>
      </w:r>
      <w:r>
        <w:rPr>
          <w:i/>
          <w:sz w:val="24"/>
        </w:rPr>
        <w:t>days </w:t>
      </w:r>
      <w:r>
        <w:rPr>
          <w:sz w:val="24"/>
        </w:rPr>
        <w:t>per channel of </w:t>
      </w:r>
      <w:r>
        <w:rPr>
          <w:i/>
          <w:sz w:val="24"/>
        </w:rPr>
        <w:t>interval </w:t>
      </w:r>
      <w:r>
        <w:rPr>
          <w:i/>
          <w:sz w:val="24"/>
        </w:rPr>
        <w:t>energy data</w:t>
      </w:r>
      <w:r>
        <w:rPr>
          <w:sz w:val="24"/>
        </w:rPr>
        <w:t>;</w:t>
      </w:r>
    </w:p>
    <w:p>
      <w:pPr>
        <w:pStyle w:val="ListParagraph"/>
        <w:numPr>
          <w:ilvl w:val="0"/>
          <w:numId w:val="531"/>
        </w:numPr>
        <w:tabs>
          <w:tab w:pos="1919" w:val="left" w:leader="none"/>
        </w:tabs>
        <w:spacing w:line="240" w:lineRule="auto" w:before="120" w:after="0"/>
        <w:ind w:left="1919" w:right="415" w:hanging="567"/>
        <w:jc w:val="both"/>
        <w:rPr>
          <w:sz w:val="24"/>
        </w:rPr>
      </w:pPr>
      <w:r>
        <w:rPr>
          <w:sz w:val="24"/>
        </w:rPr>
        <w:t>all channels of </w:t>
      </w:r>
      <w:r>
        <w:rPr>
          <w:i/>
          <w:sz w:val="24"/>
        </w:rPr>
        <w:t>interval energy data </w:t>
      </w:r>
      <w:r>
        <w:rPr>
          <w:sz w:val="24"/>
        </w:rPr>
        <w:t>must be able to be read locally as well as remotely</w:t>
      </w:r>
      <w:r>
        <w:rPr>
          <w:spacing w:val="-1"/>
          <w:sz w:val="24"/>
        </w:rPr>
        <w:t> </w:t>
      </w:r>
      <w:r>
        <w:rPr>
          <w:sz w:val="24"/>
        </w:rPr>
        <w:t>read;</w:t>
      </w:r>
    </w:p>
    <w:p>
      <w:pPr>
        <w:pStyle w:val="ListParagraph"/>
        <w:numPr>
          <w:ilvl w:val="0"/>
          <w:numId w:val="531"/>
        </w:numPr>
        <w:tabs>
          <w:tab w:pos="1920" w:val="left" w:leader="none"/>
        </w:tabs>
        <w:spacing w:line="240" w:lineRule="auto" w:before="120" w:after="0"/>
        <w:ind w:left="1919" w:right="416" w:hanging="567"/>
        <w:jc w:val="both"/>
        <w:rPr>
          <w:sz w:val="24"/>
        </w:rPr>
      </w:pPr>
      <w:r>
        <w:rPr>
          <w:sz w:val="24"/>
        </w:rPr>
        <w:t>it must be possible to remotely and locally select or configure whether import </w:t>
      </w:r>
      <w:r>
        <w:rPr>
          <w:i/>
          <w:sz w:val="24"/>
        </w:rPr>
        <w:t>interval energy data </w:t>
      </w:r>
      <w:r>
        <w:rPr>
          <w:sz w:val="24"/>
        </w:rPr>
        <w:t>is recorded or</w:t>
      </w:r>
      <w:r>
        <w:rPr>
          <w:spacing w:val="-2"/>
          <w:sz w:val="24"/>
        </w:rPr>
        <w:t> </w:t>
      </w:r>
      <w:r>
        <w:rPr>
          <w:sz w:val="24"/>
        </w:rPr>
        <w:t>not;</w:t>
      </w:r>
    </w:p>
    <w:p>
      <w:pPr>
        <w:pStyle w:val="ListParagraph"/>
        <w:numPr>
          <w:ilvl w:val="0"/>
          <w:numId w:val="531"/>
        </w:numPr>
        <w:tabs>
          <w:tab w:pos="1919" w:val="left" w:leader="none"/>
        </w:tabs>
        <w:spacing w:line="240" w:lineRule="auto" w:before="120" w:after="0"/>
        <w:ind w:left="1919" w:right="415" w:hanging="567"/>
        <w:jc w:val="both"/>
        <w:rPr>
          <w:sz w:val="24"/>
        </w:rPr>
      </w:pPr>
      <w:r>
        <w:rPr>
          <w:sz w:val="24"/>
        </w:rPr>
        <w:t>it must be possible to remotely and locally select or configure whether </w:t>
      </w:r>
      <w:r>
        <w:rPr>
          <w:i/>
          <w:sz w:val="24"/>
        </w:rPr>
        <w:t>reactive energy interval energy data </w:t>
      </w:r>
      <w:r>
        <w:rPr>
          <w:sz w:val="24"/>
        </w:rPr>
        <w:t>is recorded from three phase </w:t>
      </w:r>
      <w:r>
        <w:rPr>
          <w:i/>
          <w:sz w:val="24"/>
        </w:rPr>
        <w:t>meters </w:t>
      </w:r>
      <w:r>
        <w:rPr>
          <w:sz w:val="24"/>
        </w:rPr>
        <w:t>or not.</w:t>
      </w:r>
    </w:p>
    <w:p>
      <w:pPr>
        <w:pStyle w:val="BodyText"/>
        <w:spacing w:before="10"/>
        <w:ind w:firstLine="0"/>
        <w:jc w:val="left"/>
        <w:rPr>
          <w:sz w:val="20"/>
        </w:rPr>
      </w:pPr>
    </w:p>
    <w:p>
      <w:pPr>
        <w:pStyle w:val="Heading4"/>
        <w:tabs>
          <w:tab w:pos="1351" w:val="left" w:leader="none"/>
        </w:tabs>
        <w:ind w:left="1352" w:right="1778"/>
      </w:pPr>
      <w:bookmarkStart w:name="S7A.5.3 Functionality Requirements for M" w:id="1887"/>
      <w:bookmarkEnd w:id="1887"/>
      <w:r>
        <w:rPr>
          <w:b w:val="0"/>
        </w:rPr>
      </w:r>
      <w:bookmarkStart w:name="_bookmark769" w:id="1888"/>
      <w:bookmarkEnd w:id="1888"/>
      <w:r>
        <w:rPr>
          <w:b w:val="0"/>
        </w:rPr>
      </w:r>
      <w:r>
        <w:rPr/>
        <w:t>S7A.5.3</w:t>
        <w:tab/>
        <w:t>Functionality Requirements for Meters in Type 4 metering installations</w:t>
      </w:r>
    </w:p>
    <w:p>
      <w:pPr>
        <w:pStyle w:val="BodyText"/>
        <w:spacing w:before="10"/>
        <w:ind w:firstLine="0"/>
        <w:jc w:val="left"/>
        <w:rPr>
          <w:rFonts w:ascii="Arial"/>
          <w:b/>
          <w:sz w:val="20"/>
        </w:rPr>
      </w:pPr>
    </w:p>
    <w:p>
      <w:pPr>
        <w:pStyle w:val="Heading4"/>
        <w:ind w:left="218" w:firstLine="0"/>
      </w:pPr>
      <w:bookmarkStart w:name="S7A.5.3.1 Application" w:id="1889"/>
      <w:bookmarkEnd w:id="1889"/>
      <w:r>
        <w:rPr>
          <w:b w:val="0"/>
        </w:rPr>
      </w:r>
      <w:bookmarkStart w:name="_bookmark770" w:id="1890"/>
      <w:bookmarkEnd w:id="1890"/>
      <w:r>
        <w:rPr>
          <w:b w:val="0"/>
        </w:rPr>
      </w:r>
      <w:r>
        <w:rPr/>
        <w:t>S7A.5.3.1 Application</w:t>
      </w:r>
    </w:p>
    <w:p>
      <w:pPr>
        <w:spacing w:before="120"/>
        <w:ind w:left="1352" w:right="0" w:firstLine="0"/>
        <w:jc w:val="both"/>
        <w:rPr>
          <w:sz w:val="24"/>
        </w:rPr>
      </w:pPr>
      <w:r>
        <w:rPr>
          <w:sz w:val="24"/>
        </w:rPr>
        <w:t>Clause S7A.5.3 applies to </w:t>
      </w:r>
      <w:r>
        <w:rPr>
          <w:i/>
          <w:sz w:val="24"/>
        </w:rPr>
        <w:t>meters </w:t>
      </w:r>
      <w:r>
        <w:rPr>
          <w:sz w:val="24"/>
        </w:rPr>
        <w:t>in type 4 </w:t>
      </w:r>
      <w:r>
        <w:rPr>
          <w:i/>
          <w:sz w:val="24"/>
        </w:rPr>
        <w:t>metering installations</w:t>
      </w:r>
      <w:r>
        <w:rPr>
          <w:sz w:val="24"/>
        </w:rPr>
        <w:t>.</w:t>
      </w:r>
    </w:p>
    <w:p>
      <w:pPr>
        <w:pStyle w:val="BodyText"/>
        <w:spacing w:before="10"/>
        <w:ind w:firstLine="0"/>
        <w:jc w:val="left"/>
        <w:rPr>
          <w:sz w:val="20"/>
        </w:rPr>
      </w:pPr>
    </w:p>
    <w:p>
      <w:pPr>
        <w:pStyle w:val="Heading4"/>
        <w:ind w:left="218" w:firstLine="0"/>
      </w:pPr>
      <w:bookmarkStart w:name="S7A.5.3.2 Applicable meter configuration" w:id="1891"/>
      <w:bookmarkEnd w:id="1891"/>
      <w:r>
        <w:rPr>
          <w:b w:val="0"/>
        </w:rPr>
      </w:r>
      <w:bookmarkStart w:name="_bookmark771" w:id="1892"/>
      <w:bookmarkEnd w:id="1892"/>
      <w:r>
        <w:rPr>
          <w:b w:val="0"/>
        </w:rPr>
      </w:r>
      <w:r>
        <w:rPr/>
        <w:t>S7A.5.3.2 Applicable meter configurations</w:t>
      </w:r>
    </w:p>
    <w:p>
      <w:pPr>
        <w:pStyle w:val="ListParagraph"/>
        <w:numPr>
          <w:ilvl w:val="0"/>
          <w:numId w:val="532"/>
        </w:numPr>
        <w:tabs>
          <w:tab w:pos="1918" w:val="left" w:leader="none"/>
          <w:tab w:pos="1919" w:val="left" w:leader="none"/>
        </w:tabs>
        <w:spacing w:line="240" w:lineRule="auto" w:before="120" w:after="0"/>
        <w:ind w:left="1918" w:right="0" w:hanging="567"/>
        <w:jc w:val="left"/>
        <w:rPr>
          <w:sz w:val="24"/>
        </w:rPr>
      </w:pPr>
      <w:r>
        <w:rPr>
          <w:sz w:val="24"/>
        </w:rPr>
        <w:t>The configuration for a </w:t>
      </w:r>
      <w:r>
        <w:rPr>
          <w:i/>
          <w:sz w:val="24"/>
        </w:rPr>
        <w:t>meter </w:t>
      </w:r>
      <w:r>
        <w:rPr>
          <w:sz w:val="24"/>
        </w:rPr>
        <w:t>must</w:t>
      </w:r>
      <w:r>
        <w:rPr>
          <w:spacing w:val="-2"/>
          <w:sz w:val="24"/>
        </w:rPr>
        <w:t> </w:t>
      </w:r>
      <w:r>
        <w:rPr>
          <w:sz w:val="24"/>
        </w:rPr>
        <w:t>be:</w:t>
      </w:r>
    </w:p>
    <w:p>
      <w:pPr>
        <w:pStyle w:val="ListParagraph"/>
        <w:numPr>
          <w:ilvl w:val="1"/>
          <w:numId w:val="532"/>
        </w:numPr>
        <w:tabs>
          <w:tab w:pos="2485" w:val="left" w:leader="none"/>
          <w:tab w:pos="2486" w:val="left" w:leader="none"/>
        </w:tabs>
        <w:spacing w:line="240" w:lineRule="auto" w:before="120" w:after="0"/>
        <w:ind w:left="2485" w:right="0" w:hanging="567"/>
        <w:jc w:val="left"/>
        <w:rPr>
          <w:sz w:val="24"/>
        </w:rPr>
      </w:pPr>
      <w:r>
        <w:rPr>
          <w:sz w:val="24"/>
        </w:rPr>
        <w:t>single phase, single</w:t>
      </w:r>
      <w:r>
        <w:rPr>
          <w:spacing w:val="-2"/>
          <w:sz w:val="24"/>
        </w:rPr>
        <w:t> </w:t>
      </w:r>
      <w:r>
        <w:rPr>
          <w:sz w:val="24"/>
        </w:rPr>
        <w:t>element;</w:t>
      </w:r>
    </w:p>
    <w:p>
      <w:pPr>
        <w:pStyle w:val="ListParagraph"/>
        <w:numPr>
          <w:ilvl w:val="1"/>
          <w:numId w:val="532"/>
        </w:numPr>
        <w:tabs>
          <w:tab w:pos="2485" w:val="left" w:leader="none"/>
          <w:tab w:pos="2486" w:val="left" w:leader="none"/>
        </w:tabs>
        <w:spacing w:line="240" w:lineRule="auto" w:before="120" w:after="0"/>
        <w:ind w:left="2485" w:right="0" w:hanging="567"/>
        <w:jc w:val="left"/>
        <w:rPr>
          <w:sz w:val="24"/>
        </w:rPr>
      </w:pPr>
      <w:r>
        <w:rPr>
          <w:sz w:val="24"/>
        </w:rPr>
        <w:t>single phase, two</w:t>
      </w:r>
      <w:r>
        <w:rPr>
          <w:spacing w:val="-1"/>
          <w:sz w:val="24"/>
        </w:rPr>
        <w:t> </w:t>
      </w:r>
      <w:r>
        <w:rPr>
          <w:sz w:val="24"/>
        </w:rPr>
        <w:t>element;</w:t>
      </w:r>
    </w:p>
    <w:p>
      <w:pPr>
        <w:pStyle w:val="ListParagraph"/>
        <w:numPr>
          <w:ilvl w:val="1"/>
          <w:numId w:val="532"/>
        </w:numPr>
        <w:tabs>
          <w:tab w:pos="2485" w:val="left" w:leader="none"/>
          <w:tab w:pos="2486" w:val="left" w:leader="none"/>
        </w:tabs>
        <w:spacing w:line="240" w:lineRule="auto" w:before="120" w:after="0"/>
        <w:ind w:left="2485" w:right="0" w:hanging="567"/>
        <w:jc w:val="left"/>
        <w:rPr>
          <w:sz w:val="24"/>
        </w:rPr>
      </w:pPr>
      <w:r>
        <w:rPr>
          <w:sz w:val="24"/>
        </w:rPr>
        <w:t>three phase direct connect;</w:t>
      </w:r>
      <w:r>
        <w:rPr>
          <w:spacing w:val="-2"/>
          <w:sz w:val="24"/>
        </w:rPr>
        <w:t> </w:t>
      </w:r>
      <w:r>
        <w:rPr>
          <w:sz w:val="24"/>
        </w:rPr>
        <w:t>or</w:t>
      </w:r>
    </w:p>
    <w:p>
      <w:pPr>
        <w:pStyle w:val="ListParagraph"/>
        <w:numPr>
          <w:ilvl w:val="1"/>
          <w:numId w:val="532"/>
        </w:numPr>
        <w:tabs>
          <w:tab w:pos="2485" w:val="left" w:leader="none"/>
          <w:tab w:pos="2486" w:val="left" w:leader="none"/>
        </w:tabs>
        <w:spacing w:line="240" w:lineRule="auto" w:before="120" w:after="0"/>
        <w:ind w:left="2485" w:right="0" w:hanging="567"/>
        <w:jc w:val="left"/>
        <w:rPr>
          <w:sz w:val="24"/>
        </w:rPr>
      </w:pPr>
      <w:r>
        <w:rPr>
          <w:sz w:val="24"/>
        </w:rPr>
        <w:t>three phase </w:t>
      </w:r>
      <w:r>
        <w:rPr>
          <w:i/>
          <w:sz w:val="24"/>
        </w:rPr>
        <w:t>CT </w:t>
      </w:r>
      <w:r>
        <w:rPr>
          <w:sz w:val="24"/>
        </w:rPr>
        <w:t>connect (excluding supply</w:t>
      </w:r>
      <w:r>
        <w:rPr>
          <w:spacing w:val="-3"/>
          <w:sz w:val="24"/>
        </w:rPr>
        <w:t> </w:t>
      </w:r>
      <w:r>
        <w:rPr>
          <w:sz w:val="24"/>
        </w:rPr>
        <w:t>contactor).</w:t>
      </w:r>
    </w:p>
    <w:p>
      <w:pPr>
        <w:pStyle w:val="ListParagraph"/>
        <w:numPr>
          <w:ilvl w:val="0"/>
          <w:numId w:val="532"/>
        </w:numPr>
        <w:tabs>
          <w:tab w:pos="1919" w:val="left" w:leader="none"/>
        </w:tabs>
        <w:spacing w:line="240" w:lineRule="auto" w:before="120" w:after="0"/>
        <w:ind w:left="1919" w:right="414" w:hanging="567"/>
        <w:jc w:val="both"/>
        <w:rPr>
          <w:sz w:val="24"/>
        </w:rPr>
      </w:pPr>
      <w:r>
        <w:rPr>
          <w:i/>
          <w:sz w:val="24"/>
        </w:rPr>
        <w:t>Meters </w:t>
      </w:r>
      <w:r>
        <w:rPr>
          <w:sz w:val="24"/>
        </w:rPr>
        <w:t>must meet the relevant requirements of </w:t>
      </w:r>
      <w:r>
        <w:rPr>
          <w:i/>
          <w:sz w:val="24"/>
        </w:rPr>
        <w:t>AS </w:t>
      </w:r>
      <w:r>
        <w:rPr>
          <w:sz w:val="24"/>
        </w:rPr>
        <w:t>62052.11, </w:t>
      </w:r>
      <w:r>
        <w:rPr>
          <w:i/>
          <w:sz w:val="24"/>
        </w:rPr>
        <w:t>AS </w:t>
      </w:r>
      <w:r>
        <w:rPr>
          <w:sz w:val="24"/>
        </w:rPr>
        <w:t>62053.22 and </w:t>
      </w:r>
      <w:r>
        <w:rPr>
          <w:i/>
          <w:sz w:val="24"/>
        </w:rPr>
        <w:t>AS </w:t>
      </w:r>
      <w:r>
        <w:rPr>
          <w:sz w:val="24"/>
        </w:rPr>
        <w:t>62053.21, and any pattern approval requirements of the National Measurement</w:t>
      </w:r>
      <w:r>
        <w:rPr>
          <w:spacing w:val="-2"/>
          <w:sz w:val="24"/>
        </w:rPr>
        <w:t> </w:t>
      </w:r>
      <w:r>
        <w:rPr>
          <w:sz w:val="24"/>
        </w:rPr>
        <w:t>Institute.</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5.3.3 Metrology" w:id="1893"/>
      <w:bookmarkEnd w:id="1893"/>
      <w:r>
        <w:rPr>
          <w:b w:val="0"/>
        </w:rPr>
      </w:r>
      <w:bookmarkStart w:name="_bookmark772" w:id="1894"/>
      <w:bookmarkEnd w:id="1894"/>
      <w:r>
        <w:rPr>
          <w:b w:val="0"/>
        </w:rPr>
      </w:r>
      <w:r>
        <w:rPr/>
        <w:t>S7A.5.3.3 Metrology</w:t>
      </w:r>
    </w:p>
    <w:p>
      <w:pPr>
        <w:pStyle w:val="BodyText"/>
        <w:ind w:left="1352" w:firstLine="0"/>
      </w:pPr>
      <w:r>
        <w:rPr/>
        <w:t>Meters must comply with the following requirements:</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single phase </w:t>
      </w:r>
      <w:r>
        <w:rPr>
          <w:i/>
          <w:sz w:val="24"/>
        </w:rPr>
        <w:t>meters </w:t>
      </w:r>
      <w:r>
        <w:rPr>
          <w:sz w:val="24"/>
        </w:rPr>
        <w:t>must be two quadrant </w:t>
      </w:r>
      <w:r>
        <w:rPr>
          <w:i/>
          <w:sz w:val="24"/>
        </w:rPr>
        <w:t>meters </w:t>
      </w:r>
      <w:r>
        <w:rPr>
          <w:sz w:val="24"/>
        </w:rPr>
        <w:t>and must be able to separately record </w:t>
      </w:r>
      <w:r>
        <w:rPr>
          <w:i/>
          <w:sz w:val="24"/>
        </w:rPr>
        <w:t>active energy </w:t>
      </w:r>
      <w:r>
        <w:rPr>
          <w:sz w:val="24"/>
        </w:rPr>
        <w:t>for import and export in </w:t>
      </w:r>
      <w:r>
        <w:rPr>
          <w:i/>
          <w:sz w:val="24"/>
        </w:rPr>
        <w:t>recording</w:t>
      </w:r>
      <w:r>
        <w:rPr>
          <w:i/>
          <w:spacing w:val="-19"/>
          <w:sz w:val="24"/>
        </w:rPr>
        <w:t> </w:t>
      </w:r>
      <w:r>
        <w:rPr>
          <w:i/>
          <w:sz w:val="24"/>
        </w:rPr>
        <w:t>intervals</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three phase </w:t>
      </w:r>
      <w:r>
        <w:rPr>
          <w:i/>
          <w:sz w:val="24"/>
        </w:rPr>
        <w:t>meters </w:t>
      </w:r>
      <w:r>
        <w:rPr>
          <w:sz w:val="24"/>
        </w:rPr>
        <w:t>must be four quadrant </w:t>
      </w:r>
      <w:r>
        <w:rPr>
          <w:i/>
          <w:sz w:val="24"/>
        </w:rPr>
        <w:t>meters </w:t>
      </w:r>
      <w:r>
        <w:rPr>
          <w:sz w:val="24"/>
        </w:rPr>
        <w:t>and must be able to separately record </w:t>
      </w:r>
      <w:r>
        <w:rPr>
          <w:i/>
          <w:sz w:val="24"/>
        </w:rPr>
        <w:t>active energy </w:t>
      </w:r>
      <w:r>
        <w:rPr>
          <w:sz w:val="24"/>
        </w:rPr>
        <w:t>and </w:t>
      </w:r>
      <w:r>
        <w:rPr>
          <w:i/>
          <w:sz w:val="24"/>
        </w:rPr>
        <w:t>reactive energy</w:t>
      </w:r>
      <w:r>
        <w:rPr>
          <w:sz w:val="24"/>
        </w:rPr>
        <w:t>, import and </w:t>
      </w:r>
      <w:r>
        <w:rPr>
          <w:i/>
          <w:sz w:val="24"/>
        </w:rPr>
        <w:t>export </w:t>
      </w:r>
      <w:r>
        <w:rPr>
          <w:sz w:val="24"/>
        </w:rPr>
        <w:t>in </w:t>
      </w:r>
      <w:r>
        <w:rPr>
          <w:i/>
          <w:sz w:val="24"/>
        </w:rPr>
        <w:t>recording</w:t>
      </w:r>
      <w:r>
        <w:rPr>
          <w:i/>
          <w:spacing w:val="-2"/>
          <w:sz w:val="24"/>
        </w:rPr>
        <w:t> </w:t>
      </w:r>
      <w:r>
        <w:rPr>
          <w:i/>
          <w:sz w:val="24"/>
        </w:rPr>
        <w:t>intervals</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i/>
          <w:sz w:val="24"/>
        </w:rPr>
        <w:t>meters </w:t>
      </w:r>
      <w:r>
        <w:rPr>
          <w:sz w:val="24"/>
        </w:rPr>
        <w:t>must record total </w:t>
      </w:r>
      <w:r>
        <w:rPr>
          <w:i/>
          <w:sz w:val="24"/>
        </w:rPr>
        <w:t>accumulated energy data </w:t>
      </w:r>
      <w:r>
        <w:rPr>
          <w:sz w:val="24"/>
        </w:rPr>
        <w:t>for each recorded channel of </w:t>
      </w:r>
      <w:r>
        <w:rPr>
          <w:i/>
          <w:sz w:val="24"/>
        </w:rPr>
        <w:t>interval energy</w:t>
      </w:r>
      <w:r>
        <w:rPr>
          <w:i/>
          <w:spacing w:val="-1"/>
          <w:sz w:val="24"/>
        </w:rPr>
        <w:t> </w:t>
      </w:r>
      <w:r>
        <w:rPr>
          <w:i/>
          <w:sz w:val="24"/>
        </w:rPr>
        <w:t>data</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the resolution for collection of </w:t>
      </w:r>
      <w:r>
        <w:rPr>
          <w:i/>
          <w:sz w:val="24"/>
        </w:rPr>
        <w:t>interval energy data </w:t>
      </w:r>
      <w:r>
        <w:rPr>
          <w:sz w:val="24"/>
        </w:rPr>
        <w:t>must be at least 0.1 kWh for </w:t>
      </w:r>
      <w:r>
        <w:rPr>
          <w:i/>
          <w:sz w:val="24"/>
        </w:rPr>
        <w:t>active energy </w:t>
      </w:r>
      <w:r>
        <w:rPr>
          <w:sz w:val="24"/>
        </w:rPr>
        <w:t>and 0.1 kVArh for </w:t>
      </w:r>
      <w:r>
        <w:rPr>
          <w:i/>
          <w:sz w:val="24"/>
        </w:rPr>
        <w:t>reactive</w:t>
      </w:r>
      <w:r>
        <w:rPr>
          <w:i/>
          <w:spacing w:val="-2"/>
          <w:sz w:val="24"/>
        </w:rPr>
        <w:t> </w:t>
      </w:r>
      <w:r>
        <w:rPr>
          <w:i/>
          <w:sz w:val="24"/>
        </w:rPr>
        <w:t>energy</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the resolution of </w:t>
      </w:r>
      <w:r>
        <w:rPr>
          <w:i/>
          <w:sz w:val="24"/>
        </w:rPr>
        <w:t>energy </w:t>
      </w:r>
      <w:r>
        <w:rPr>
          <w:sz w:val="24"/>
        </w:rPr>
        <w:t>consumption displayed on a </w:t>
      </w:r>
      <w:r>
        <w:rPr>
          <w:i/>
          <w:sz w:val="24"/>
        </w:rPr>
        <w:t>meter's </w:t>
      </w:r>
      <w:r>
        <w:rPr>
          <w:sz w:val="24"/>
        </w:rPr>
        <w:t>display must be at least 0.1 kWh and 0.1 kVArh for direct connected</w:t>
      </w:r>
      <w:r>
        <w:rPr>
          <w:spacing w:val="-2"/>
          <w:sz w:val="24"/>
        </w:rPr>
        <w:t> </w:t>
      </w:r>
      <w:r>
        <w:rPr>
          <w:i/>
          <w:sz w:val="24"/>
        </w:rPr>
        <w:t>meters</w:t>
      </w:r>
      <w:r>
        <w:rPr>
          <w:sz w:val="24"/>
        </w:rPr>
        <w:t>;</w:t>
      </w:r>
    </w:p>
    <w:p>
      <w:pPr>
        <w:pStyle w:val="ListParagraph"/>
        <w:numPr>
          <w:ilvl w:val="0"/>
          <w:numId w:val="533"/>
        </w:numPr>
        <w:tabs>
          <w:tab w:pos="1920" w:val="left" w:leader="none"/>
        </w:tabs>
        <w:spacing w:line="240" w:lineRule="auto" w:before="120" w:after="0"/>
        <w:ind w:left="1919" w:right="416" w:hanging="567"/>
        <w:jc w:val="both"/>
        <w:rPr>
          <w:sz w:val="24"/>
        </w:rPr>
      </w:pPr>
      <w:r>
        <w:rPr>
          <w:i/>
          <w:sz w:val="24"/>
        </w:rPr>
        <w:t>meters </w:t>
      </w:r>
      <w:r>
        <w:rPr>
          <w:sz w:val="24"/>
        </w:rPr>
        <w:t>must have a minimum storage of 200 </w:t>
      </w:r>
      <w:r>
        <w:rPr>
          <w:i/>
          <w:sz w:val="24"/>
        </w:rPr>
        <w:t>days </w:t>
      </w:r>
      <w:r>
        <w:rPr>
          <w:sz w:val="24"/>
        </w:rPr>
        <w:t>per channel of </w:t>
      </w:r>
      <w:r>
        <w:rPr>
          <w:i/>
          <w:sz w:val="24"/>
        </w:rPr>
        <w:t>interval </w:t>
      </w:r>
      <w:r>
        <w:rPr>
          <w:i/>
          <w:sz w:val="24"/>
        </w:rPr>
        <w:t>energy data</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all channels of </w:t>
      </w:r>
      <w:r>
        <w:rPr>
          <w:i/>
          <w:sz w:val="24"/>
        </w:rPr>
        <w:t>interval energy data </w:t>
      </w:r>
      <w:r>
        <w:rPr>
          <w:sz w:val="24"/>
        </w:rPr>
        <w:t>must be able to be read locally as well as by </w:t>
      </w:r>
      <w:r>
        <w:rPr>
          <w:i/>
          <w:sz w:val="24"/>
        </w:rPr>
        <w:t>remote</w:t>
      </w:r>
      <w:r>
        <w:rPr>
          <w:i/>
          <w:spacing w:val="-2"/>
          <w:sz w:val="24"/>
        </w:rPr>
        <w:t> </w:t>
      </w:r>
      <w:r>
        <w:rPr>
          <w:i/>
          <w:sz w:val="24"/>
        </w:rPr>
        <w:t>acquisition</w:t>
      </w:r>
      <w:r>
        <w:rPr>
          <w:sz w:val="24"/>
        </w:rPr>
        <w: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the values that must be recorded for </w:t>
      </w:r>
      <w:r>
        <w:rPr>
          <w:i/>
          <w:sz w:val="24"/>
        </w:rPr>
        <w:t>import </w:t>
      </w:r>
      <w:r>
        <w:rPr>
          <w:sz w:val="24"/>
        </w:rPr>
        <w:t>and </w:t>
      </w:r>
      <w:r>
        <w:rPr>
          <w:i/>
          <w:sz w:val="24"/>
        </w:rPr>
        <w:t>export </w:t>
      </w:r>
      <w:r>
        <w:rPr>
          <w:sz w:val="24"/>
        </w:rPr>
        <w:t>are the actual values at the </w:t>
      </w:r>
      <w:r>
        <w:rPr>
          <w:i/>
          <w:sz w:val="24"/>
        </w:rPr>
        <w:t>connection point </w:t>
      </w:r>
      <w:r>
        <w:rPr>
          <w:sz w:val="24"/>
        </w:rPr>
        <w:t>for direct connect</w:t>
      </w:r>
      <w:r>
        <w:rPr>
          <w:spacing w:val="-3"/>
          <w:sz w:val="24"/>
        </w:rPr>
        <w:t> </w:t>
      </w:r>
      <w:r>
        <w:rPr>
          <w:i/>
          <w:sz w:val="24"/>
        </w:rPr>
        <w:t>meters</w:t>
      </w:r>
      <w:r>
        <w:rPr>
          <w:sz w:val="24"/>
        </w:rPr>
        <w:t>;</w:t>
      </w:r>
    </w:p>
    <w:p>
      <w:pPr>
        <w:pStyle w:val="ListParagraph"/>
        <w:numPr>
          <w:ilvl w:val="0"/>
          <w:numId w:val="533"/>
        </w:numPr>
        <w:tabs>
          <w:tab w:pos="1919" w:val="left" w:leader="none"/>
        </w:tabs>
        <w:spacing w:line="240" w:lineRule="auto" w:before="120" w:after="0"/>
        <w:ind w:left="1918" w:right="0" w:hanging="567"/>
        <w:jc w:val="both"/>
        <w:rPr>
          <w:sz w:val="24"/>
        </w:rPr>
      </w:pPr>
      <w:r>
        <w:rPr>
          <w:sz w:val="24"/>
        </w:rPr>
        <w:t>it must be possible to remotely and locally select or configure</w:t>
      </w:r>
      <w:r>
        <w:rPr>
          <w:spacing w:val="5"/>
          <w:sz w:val="24"/>
        </w:rPr>
        <w:t> </w:t>
      </w:r>
      <w:r>
        <w:rPr>
          <w:sz w:val="24"/>
        </w:rPr>
        <w:t>whether</w:t>
      </w:r>
    </w:p>
    <w:p>
      <w:pPr>
        <w:spacing w:before="0"/>
        <w:ind w:left="1919" w:right="0" w:firstLine="0"/>
        <w:jc w:val="both"/>
        <w:rPr>
          <w:sz w:val="24"/>
        </w:rPr>
      </w:pPr>
      <w:r>
        <w:rPr>
          <w:i/>
          <w:sz w:val="24"/>
        </w:rPr>
        <w:t>import interval energy data </w:t>
      </w:r>
      <w:r>
        <w:rPr>
          <w:sz w:val="24"/>
        </w:rPr>
        <w:t>is recorded or not;</w:t>
      </w:r>
    </w:p>
    <w:p>
      <w:pPr>
        <w:pStyle w:val="ListParagraph"/>
        <w:numPr>
          <w:ilvl w:val="0"/>
          <w:numId w:val="533"/>
        </w:numPr>
        <w:tabs>
          <w:tab w:pos="1919" w:val="left" w:leader="none"/>
        </w:tabs>
        <w:spacing w:line="240" w:lineRule="auto" w:before="120" w:after="0"/>
        <w:ind w:left="1919" w:right="415" w:hanging="567"/>
        <w:jc w:val="both"/>
        <w:rPr>
          <w:sz w:val="24"/>
        </w:rPr>
      </w:pPr>
      <w:r>
        <w:rPr>
          <w:sz w:val="24"/>
        </w:rPr>
        <w:t>it must be possible to remotely and locally select or configure whether </w:t>
      </w:r>
      <w:r>
        <w:rPr>
          <w:i/>
          <w:sz w:val="24"/>
        </w:rPr>
        <w:t>reactive energy interval energy data </w:t>
      </w:r>
      <w:r>
        <w:rPr>
          <w:sz w:val="24"/>
        </w:rPr>
        <w:t>is recorded from three phase </w:t>
      </w:r>
      <w:r>
        <w:rPr>
          <w:i/>
          <w:sz w:val="24"/>
        </w:rPr>
        <w:t>meters </w:t>
      </w:r>
      <w:r>
        <w:rPr>
          <w:sz w:val="24"/>
        </w:rPr>
        <w:t>or not.</w:t>
      </w:r>
    </w:p>
    <w:p>
      <w:pPr>
        <w:spacing w:before="120"/>
        <w:ind w:left="1352" w:right="0" w:firstLine="0"/>
        <w:jc w:val="left"/>
        <w:rPr>
          <w:rFonts w:ascii="Arial"/>
          <w:b/>
          <w:sz w:val="20"/>
        </w:rPr>
      </w:pPr>
      <w:r>
        <w:rPr>
          <w:rFonts w:ascii="Arial"/>
          <w:b/>
          <w:sz w:val="20"/>
        </w:rPr>
        <w:t>Note:</w:t>
      </w:r>
    </w:p>
    <w:p>
      <w:pPr>
        <w:spacing w:before="120"/>
        <w:ind w:left="1352" w:right="565" w:firstLine="0"/>
        <w:jc w:val="left"/>
        <w:rPr>
          <w:sz w:val="20"/>
        </w:rPr>
      </w:pPr>
      <w:r>
        <w:rPr>
          <w:sz w:val="20"/>
        </w:rPr>
        <w:t>Export is when energy is exported from the network to a customer and import is when the customer delivers energy into the network. See clause</w:t>
      </w:r>
      <w:r>
        <w:rPr>
          <w:spacing w:val="-2"/>
          <w:sz w:val="20"/>
        </w:rPr>
        <w:t> </w:t>
      </w:r>
      <w:r>
        <w:rPr>
          <w:sz w:val="20"/>
        </w:rPr>
        <w:t>S7A5.1.2.</w:t>
      </w:r>
    </w:p>
    <w:p>
      <w:pPr>
        <w:pStyle w:val="BodyText"/>
        <w:spacing w:before="10"/>
        <w:ind w:firstLine="0"/>
        <w:jc w:val="left"/>
        <w:rPr>
          <w:sz w:val="20"/>
        </w:rPr>
      </w:pPr>
    </w:p>
    <w:p>
      <w:pPr>
        <w:pStyle w:val="Heading4"/>
        <w:ind w:left="218" w:firstLine="0"/>
      </w:pPr>
      <w:bookmarkStart w:name="S7A.5.3.4 Remote and local reading of me" w:id="1895"/>
      <w:bookmarkEnd w:id="1895"/>
      <w:r>
        <w:rPr>
          <w:b w:val="0"/>
        </w:rPr>
      </w:r>
      <w:bookmarkStart w:name="_bookmark773" w:id="1896"/>
      <w:bookmarkEnd w:id="1896"/>
      <w:r>
        <w:rPr>
          <w:b w:val="0"/>
        </w:rPr>
      </w:r>
      <w:r>
        <w:rPr/>
        <w:t>S7A.5.3.4 Remote and local reading of meters</w:t>
      </w:r>
    </w:p>
    <w:p>
      <w:pPr>
        <w:pStyle w:val="ListParagraph"/>
        <w:numPr>
          <w:ilvl w:val="0"/>
          <w:numId w:val="534"/>
        </w:numPr>
        <w:tabs>
          <w:tab w:pos="1919" w:val="left" w:leader="none"/>
        </w:tabs>
        <w:spacing w:line="240" w:lineRule="auto" w:before="120" w:after="0"/>
        <w:ind w:left="1918" w:right="0" w:hanging="567"/>
        <w:jc w:val="both"/>
        <w:rPr>
          <w:sz w:val="24"/>
        </w:rPr>
      </w:pPr>
      <w:r>
        <w:rPr>
          <w:sz w:val="24"/>
        </w:rPr>
        <w:t>If a </w:t>
      </w:r>
      <w:r>
        <w:rPr>
          <w:i/>
          <w:sz w:val="24"/>
        </w:rPr>
        <w:t>meter </w:t>
      </w:r>
      <w:r>
        <w:rPr>
          <w:sz w:val="24"/>
        </w:rPr>
        <w:t>is remotely</w:t>
      </w:r>
      <w:r>
        <w:rPr>
          <w:spacing w:val="-2"/>
          <w:sz w:val="24"/>
        </w:rPr>
        <w:t> </w:t>
      </w:r>
      <w:r>
        <w:rPr>
          <w:sz w:val="24"/>
        </w:rPr>
        <w:t>read:</w:t>
      </w:r>
    </w:p>
    <w:p>
      <w:pPr>
        <w:pStyle w:val="ListParagraph"/>
        <w:numPr>
          <w:ilvl w:val="1"/>
          <w:numId w:val="534"/>
        </w:numPr>
        <w:tabs>
          <w:tab w:pos="2486" w:val="left" w:leader="none"/>
        </w:tabs>
        <w:spacing w:line="240" w:lineRule="auto" w:before="120" w:after="0"/>
        <w:ind w:left="2486" w:right="415" w:hanging="567"/>
        <w:jc w:val="both"/>
        <w:rPr>
          <w:sz w:val="24"/>
        </w:rPr>
      </w:pPr>
      <w:r>
        <w:rPr>
          <w:sz w:val="24"/>
        </w:rPr>
        <w:t>the </w:t>
      </w:r>
      <w:r>
        <w:rPr>
          <w:i/>
          <w:sz w:val="24"/>
        </w:rPr>
        <w:t>meter's </w:t>
      </w:r>
      <w:r>
        <w:rPr>
          <w:sz w:val="24"/>
        </w:rPr>
        <w:t>total </w:t>
      </w:r>
      <w:r>
        <w:rPr>
          <w:i/>
          <w:sz w:val="24"/>
        </w:rPr>
        <w:t>accumulated energy data </w:t>
      </w:r>
      <w:r>
        <w:rPr>
          <w:sz w:val="24"/>
        </w:rPr>
        <w:t>per collected channel must be able to be collected once every 24 hours;</w:t>
      </w:r>
      <w:r>
        <w:rPr>
          <w:spacing w:val="-2"/>
          <w:sz w:val="24"/>
        </w:rPr>
        <w:t> </w:t>
      </w:r>
      <w:r>
        <w:rPr>
          <w:sz w:val="24"/>
        </w:rPr>
        <w:t>and</w:t>
      </w:r>
    </w:p>
    <w:p>
      <w:pPr>
        <w:pStyle w:val="ListParagraph"/>
        <w:numPr>
          <w:ilvl w:val="1"/>
          <w:numId w:val="534"/>
        </w:numPr>
        <w:tabs>
          <w:tab w:pos="2486" w:val="left" w:leader="none"/>
        </w:tabs>
        <w:spacing w:line="240" w:lineRule="auto" w:before="120" w:after="0"/>
        <w:ind w:left="2486" w:right="414" w:hanging="567"/>
        <w:jc w:val="both"/>
        <w:rPr>
          <w:sz w:val="24"/>
        </w:rPr>
      </w:pPr>
      <w:r>
        <w:rPr>
          <w:sz w:val="24"/>
        </w:rPr>
        <w:t>the </w:t>
      </w:r>
      <w:r>
        <w:rPr>
          <w:i/>
          <w:sz w:val="24"/>
        </w:rPr>
        <w:t>interval energy data </w:t>
      </w:r>
      <w:r>
        <w:rPr>
          <w:sz w:val="24"/>
        </w:rPr>
        <w:t>per collected channel must be able to be collected once every 24</w:t>
      </w:r>
      <w:r>
        <w:rPr>
          <w:spacing w:val="-1"/>
          <w:sz w:val="24"/>
        </w:rPr>
        <w:t> </w:t>
      </w:r>
      <w:r>
        <w:rPr>
          <w:sz w:val="24"/>
        </w:rPr>
        <w:t>hours.</w:t>
      </w:r>
    </w:p>
    <w:p>
      <w:pPr>
        <w:pStyle w:val="ListParagraph"/>
        <w:numPr>
          <w:ilvl w:val="0"/>
          <w:numId w:val="534"/>
        </w:numPr>
        <w:tabs>
          <w:tab w:pos="1919" w:val="left" w:leader="none"/>
        </w:tabs>
        <w:spacing w:line="240" w:lineRule="auto" w:before="120" w:after="0"/>
        <w:ind w:left="1919" w:right="414" w:hanging="567"/>
        <w:jc w:val="both"/>
        <w:rPr>
          <w:sz w:val="24"/>
        </w:rPr>
      </w:pPr>
      <w:r>
        <w:rPr>
          <w:sz w:val="24"/>
        </w:rPr>
        <w:t>If a </w:t>
      </w:r>
      <w:r>
        <w:rPr>
          <w:i/>
          <w:sz w:val="24"/>
        </w:rPr>
        <w:t>meter </w:t>
      </w:r>
      <w:r>
        <w:rPr>
          <w:sz w:val="24"/>
        </w:rPr>
        <w:t>is locally read, the </w:t>
      </w:r>
      <w:r>
        <w:rPr>
          <w:i/>
          <w:sz w:val="24"/>
        </w:rPr>
        <w:t>meter's </w:t>
      </w:r>
      <w:r>
        <w:rPr>
          <w:sz w:val="24"/>
        </w:rPr>
        <w:t>total accumulated energy per collected channel and the </w:t>
      </w:r>
      <w:r>
        <w:rPr>
          <w:i/>
          <w:sz w:val="24"/>
        </w:rPr>
        <w:t>interval energy data </w:t>
      </w:r>
      <w:r>
        <w:rPr>
          <w:sz w:val="24"/>
        </w:rPr>
        <w:t>per collected channel must be able to be collected.</w:t>
      </w:r>
    </w:p>
    <w:p>
      <w:pPr>
        <w:pStyle w:val="ListParagraph"/>
        <w:numPr>
          <w:ilvl w:val="0"/>
          <w:numId w:val="534"/>
        </w:numPr>
        <w:tabs>
          <w:tab w:pos="1919" w:val="left" w:leader="none"/>
        </w:tabs>
        <w:spacing w:line="240" w:lineRule="auto" w:before="120" w:after="0"/>
        <w:ind w:left="1918" w:right="0" w:hanging="567"/>
        <w:jc w:val="both"/>
        <w:rPr>
          <w:sz w:val="24"/>
        </w:rPr>
      </w:pPr>
      <w:r>
        <w:rPr>
          <w:sz w:val="24"/>
        </w:rPr>
        <w:t>For</w:t>
      </w:r>
      <w:r>
        <w:rPr>
          <w:spacing w:val="5"/>
          <w:sz w:val="24"/>
        </w:rPr>
        <w:t> </w:t>
      </w:r>
      <w:r>
        <w:rPr>
          <w:sz w:val="24"/>
        </w:rPr>
        <w:t>individual</w:t>
      </w:r>
      <w:r>
        <w:rPr>
          <w:spacing w:val="5"/>
          <w:sz w:val="24"/>
        </w:rPr>
        <w:t> </w:t>
      </w:r>
      <w:r>
        <w:rPr>
          <w:sz w:val="24"/>
        </w:rPr>
        <w:t>reads</w:t>
      </w:r>
      <w:r>
        <w:rPr>
          <w:spacing w:val="6"/>
          <w:sz w:val="24"/>
        </w:rPr>
        <w:t> </w:t>
      </w:r>
      <w:r>
        <w:rPr>
          <w:sz w:val="24"/>
        </w:rPr>
        <w:t>of</w:t>
      </w:r>
      <w:r>
        <w:rPr>
          <w:spacing w:val="5"/>
          <w:sz w:val="24"/>
        </w:rPr>
        <w:t> </w:t>
      </w:r>
      <w:r>
        <w:rPr>
          <w:i/>
          <w:sz w:val="24"/>
        </w:rPr>
        <w:t>meters</w:t>
      </w:r>
      <w:r>
        <w:rPr>
          <w:sz w:val="24"/>
        </w:rPr>
        <w:t>,</w:t>
      </w:r>
      <w:r>
        <w:rPr>
          <w:spacing w:val="6"/>
          <w:sz w:val="24"/>
        </w:rPr>
        <w:t> </w:t>
      </w:r>
      <w:r>
        <w:rPr>
          <w:sz w:val="24"/>
        </w:rPr>
        <w:t>it</w:t>
      </w:r>
      <w:r>
        <w:rPr>
          <w:spacing w:val="6"/>
          <w:sz w:val="24"/>
        </w:rPr>
        <w:t> </w:t>
      </w:r>
      <w:r>
        <w:rPr>
          <w:sz w:val="24"/>
        </w:rPr>
        <w:t>must</w:t>
      </w:r>
      <w:r>
        <w:rPr>
          <w:spacing w:val="7"/>
          <w:sz w:val="24"/>
        </w:rPr>
        <w:t> </w:t>
      </w:r>
      <w:r>
        <w:rPr>
          <w:sz w:val="24"/>
        </w:rPr>
        <w:t>be</w:t>
      </w:r>
      <w:r>
        <w:rPr>
          <w:spacing w:val="5"/>
          <w:sz w:val="24"/>
        </w:rPr>
        <w:t> </w:t>
      </w:r>
      <w:r>
        <w:rPr>
          <w:sz w:val="24"/>
        </w:rPr>
        <w:t>possible</w:t>
      </w:r>
      <w:r>
        <w:rPr>
          <w:spacing w:val="6"/>
          <w:sz w:val="24"/>
        </w:rPr>
        <w:t> </w:t>
      </w:r>
      <w:r>
        <w:rPr>
          <w:sz w:val="24"/>
        </w:rPr>
        <w:t>to</w:t>
      </w:r>
      <w:r>
        <w:rPr>
          <w:spacing w:val="6"/>
          <w:sz w:val="24"/>
        </w:rPr>
        <w:t> </w:t>
      </w:r>
      <w:r>
        <w:rPr>
          <w:sz w:val="24"/>
        </w:rPr>
        <w:t>select</w:t>
      </w:r>
      <w:r>
        <w:rPr>
          <w:spacing w:val="7"/>
          <w:sz w:val="24"/>
        </w:rPr>
        <w:t> </w:t>
      </w:r>
      <w:r>
        <w:rPr>
          <w:sz w:val="24"/>
        </w:rPr>
        <w:t>up</w:t>
      </w:r>
      <w:r>
        <w:rPr>
          <w:spacing w:val="5"/>
          <w:sz w:val="24"/>
        </w:rPr>
        <w:t> </w:t>
      </w:r>
      <w:r>
        <w:rPr>
          <w:sz w:val="24"/>
        </w:rPr>
        <w:t>to</w:t>
      </w:r>
      <w:r>
        <w:rPr>
          <w:spacing w:val="7"/>
          <w:sz w:val="24"/>
        </w:rPr>
        <w:t> </w:t>
      </w:r>
      <w:r>
        <w:rPr>
          <w:sz w:val="24"/>
        </w:rPr>
        <w:t>35</w:t>
      </w:r>
      <w:r>
        <w:rPr>
          <w:spacing w:val="5"/>
          <w:sz w:val="24"/>
        </w:rPr>
        <w:t> </w:t>
      </w:r>
      <w:r>
        <w:rPr>
          <w:i/>
          <w:sz w:val="24"/>
        </w:rPr>
        <w:t>days</w:t>
      </w:r>
      <w:r>
        <w:rPr>
          <w:i/>
          <w:spacing w:val="6"/>
          <w:sz w:val="24"/>
        </w:rPr>
        <w:t> </w:t>
      </w:r>
      <w:r>
        <w:rPr>
          <w:sz w:val="24"/>
        </w:rPr>
        <w:t>of</w:t>
      </w:r>
    </w:p>
    <w:p>
      <w:pPr>
        <w:spacing w:before="0"/>
        <w:ind w:left="1919" w:right="0" w:firstLine="0"/>
        <w:jc w:val="both"/>
        <w:rPr>
          <w:sz w:val="24"/>
        </w:rPr>
      </w:pPr>
      <w:r>
        <w:rPr>
          <w:i/>
          <w:sz w:val="24"/>
        </w:rPr>
        <w:t>interval energy data </w:t>
      </w:r>
      <w:r>
        <w:rPr>
          <w:sz w:val="24"/>
        </w:rPr>
        <w:t>to be collected per channel.</w:t>
      </w:r>
    </w:p>
    <w:p>
      <w:pPr>
        <w:spacing w:after="0"/>
        <w:jc w:val="both"/>
        <w:rPr>
          <w:sz w:val="24"/>
        </w:rPr>
        <w:sectPr>
          <w:pgSz w:w="11910" w:h="16840"/>
          <w:pgMar w:header="686" w:footer="637" w:top="1320" w:bottom="820" w:left="1200" w:right="1000"/>
        </w:sectPr>
      </w:pPr>
    </w:p>
    <w:p>
      <w:pPr>
        <w:pStyle w:val="Heading4"/>
        <w:spacing w:before="83"/>
        <w:ind w:left="218" w:firstLine="0"/>
      </w:pPr>
      <w:bookmarkStart w:name="S7A.5.3.5 Supply disconnection and recon" w:id="1897"/>
      <w:bookmarkEnd w:id="1897"/>
      <w:r>
        <w:rPr>
          <w:b w:val="0"/>
        </w:rPr>
      </w:r>
      <w:bookmarkStart w:name="_bookmark774" w:id="1898"/>
      <w:bookmarkEnd w:id="1898"/>
      <w:r>
        <w:rPr>
          <w:b w:val="0"/>
        </w:rPr>
      </w:r>
      <w:r>
        <w:rPr/>
        <w:t>S7A.5.3.5 Supply disconnection and reconnection</w:t>
      </w:r>
    </w:p>
    <w:p>
      <w:pPr>
        <w:pStyle w:val="BodyText"/>
        <w:spacing w:before="10"/>
        <w:ind w:firstLine="0"/>
        <w:jc w:val="left"/>
        <w:rPr>
          <w:rFonts w:ascii="Arial"/>
          <w:b/>
          <w:sz w:val="20"/>
        </w:rPr>
      </w:pPr>
    </w:p>
    <w:p>
      <w:pPr>
        <w:pStyle w:val="Heading4"/>
        <w:ind w:left="218" w:firstLine="0"/>
      </w:pPr>
      <w:bookmarkStart w:name="S7A.5.3.5.1 General requirements" w:id="1899"/>
      <w:bookmarkEnd w:id="1899"/>
      <w:r>
        <w:rPr>
          <w:b w:val="0"/>
        </w:rPr>
      </w:r>
      <w:bookmarkStart w:name="_bookmark775" w:id="1900"/>
      <w:bookmarkEnd w:id="1900"/>
      <w:r>
        <w:rPr>
          <w:b w:val="0"/>
        </w:rPr>
      </w:r>
      <w:r>
        <w:rPr/>
        <w:t>S7A.5.3.5.1 General requirements</w:t>
      </w:r>
    </w:p>
    <w:p>
      <w:pPr>
        <w:pStyle w:val="ListParagraph"/>
        <w:numPr>
          <w:ilvl w:val="0"/>
          <w:numId w:val="535"/>
        </w:numPr>
        <w:tabs>
          <w:tab w:pos="1919" w:val="left" w:leader="none"/>
        </w:tabs>
        <w:spacing w:line="240" w:lineRule="auto" w:before="120" w:after="0"/>
        <w:ind w:left="1918" w:right="0" w:hanging="567"/>
        <w:jc w:val="both"/>
        <w:rPr>
          <w:sz w:val="24"/>
        </w:rPr>
      </w:pPr>
      <w:r>
        <w:rPr>
          <w:i/>
          <w:sz w:val="24"/>
        </w:rPr>
        <w:t>Meters </w:t>
      </w:r>
      <w:r>
        <w:rPr>
          <w:sz w:val="24"/>
        </w:rPr>
        <w:t>excluding </w:t>
      </w:r>
      <w:r>
        <w:rPr>
          <w:i/>
          <w:sz w:val="24"/>
        </w:rPr>
        <w:t>CT </w:t>
      </w:r>
      <w:r>
        <w:rPr>
          <w:sz w:val="24"/>
        </w:rPr>
        <w:t>connected </w:t>
      </w:r>
      <w:r>
        <w:rPr>
          <w:i/>
          <w:sz w:val="24"/>
        </w:rPr>
        <w:t>meters </w:t>
      </w:r>
      <w:r>
        <w:rPr>
          <w:sz w:val="24"/>
        </w:rPr>
        <w:t>must have a supply</w:t>
      </w:r>
      <w:r>
        <w:rPr>
          <w:spacing w:val="-5"/>
          <w:sz w:val="24"/>
        </w:rPr>
        <w:t> </w:t>
      </w:r>
      <w:r>
        <w:rPr>
          <w:sz w:val="24"/>
        </w:rPr>
        <w:t>contactor.</w:t>
      </w:r>
    </w:p>
    <w:p>
      <w:pPr>
        <w:pStyle w:val="ListParagraph"/>
        <w:numPr>
          <w:ilvl w:val="0"/>
          <w:numId w:val="535"/>
        </w:numPr>
        <w:tabs>
          <w:tab w:pos="1919" w:val="left" w:leader="none"/>
        </w:tabs>
        <w:spacing w:line="240" w:lineRule="auto" w:before="120" w:after="0"/>
        <w:ind w:left="1919" w:right="415" w:hanging="567"/>
        <w:jc w:val="both"/>
        <w:rPr>
          <w:sz w:val="24"/>
        </w:rPr>
      </w:pPr>
      <w:r>
        <w:rPr>
          <w:i/>
          <w:sz w:val="24"/>
        </w:rPr>
        <w:t>Meters </w:t>
      </w:r>
      <w:r>
        <w:rPr>
          <w:sz w:val="24"/>
        </w:rPr>
        <w:t>must support both local and remote disconnect, and local and remote </w:t>
      </w:r>
      <w:r>
        <w:rPr>
          <w:i/>
          <w:sz w:val="24"/>
        </w:rPr>
        <w:t>reconnection </w:t>
      </w:r>
      <w:r>
        <w:rPr>
          <w:sz w:val="24"/>
        </w:rPr>
        <w:t>of end-use customer </w:t>
      </w:r>
      <w:r>
        <w:rPr>
          <w:i/>
          <w:sz w:val="24"/>
        </w:rPr>
        <w:t>supply </w:t>
      </w:r>
      <w:r>
        <w:rPr>
          <w:sz w:val="24"/>
        </w:rPr>
        <w:t>via the supply contactor. When a </w:t>
      </w:r>
      <w:r>
        <w:rPr>
          <w:i/>
          <w:sz w:val="24"/>
        </w:rPr>
        <w:t>meter </w:t>
      </w:r>
      <w:r>
        <w:rPr>
          <w:sz w:val="24"/>
        </w:rPr>
        <w:t>performs a </w:t>
      </w:r>
      <w:r>
        <w:rPr>
          <w:i/>
          <w:sz w:val="24"/>
        </w:rPr>
        <w:t>disconnection </w:t>
      </w:r>
      <w:r>
        <w:rPr>
          <w:sz w:val="24"/>
        </w:rPr>
        <w:t>operation, all outgoing circuits from the </w:t>
      </w:r>
      <w:r>
        <w:rPr>
          <w:i/>
          <w:sz w:val="24"/>
        </w:rPr>
        <w:t>meter </w:t>
      </w:r>
      <w:r>
        <w:rPr>
          <w:sz w:val="24"/>
        </w:rPr>
        <w:t>must be</w:t>
      </w:r>
      <w:r>
        <w:rPr>
          <w:spacing w:val="-2"/>
          <w:sz w:val="24"/>
        </w:rPr>
        <w:t> </w:t>
      </w:r>
      <w:r>
        <w:rPr>
          <w:i/>
          <w:sz w:val="24"/>
        </w:rPr>
        <w:t>disconnected</w:t>
      </w:r>
      <w:r>
        <w:rPr>
          <w:sz w:val="24"/>
        </w:rPr>
        <w:t>.</w:t>
      </w:r>
    </w:p>
    <w:p>
      <w:pPr>
        <w:pStyle w:val="ListParagraph"/>
        <w:numPr>
          <w:ilvl w:val="0"/>
          <w:numId w:val="535"/>
        </w:numPr>
        <w:tabs>
          <w:tab w:pos="1919" w:val="left" w:leader="none"/>
        </w:tabs>
        <w:spacing w:line="240" w:lineRule="auto" w:before="120" w:after="0"/>
        <w:ind w:left="1919" w:right="416" w:hanging="567"/>
        <w:jc w:val="both"/>
        <w:rPr>
          <w:sz w:val="24"/>
        </w:rPr>
      </w:pPr>
      <w:r>
        <w:rPr>
          <w:sz w:val="24"/>
        </w:rPr>
        <w:t>To confirm the current state of a </w:t>
      </w:r>
      <w:r>
        <w:rPr>
          <w:i/>
          <w:sz w:val="24"/>
        </w:rPr>
        <w:t>meter</w:t>
      </w:r>
      <w:r>
        <w:rPr>
          <w:sz w:val="24"/>
        </w:rPr>
        <w:t>, the </w:t>
      </w:r>
      <w:r>
        <w:rPr>
          <w:i/>
          <w:sz w:val="24"/>
        </w:rPr>
        <w:t>meter </w:t>
      </w:r>
      <w:r>
        <w:rPr>
          <w:sz w:val="24"/>
        </w:rPr>
        <w:t>must support "on- demand" remote polling of the </w:t>
      </w:r>
      <w:r>
        <w:rPr>
          <w:i/>
          <w:sz w:val="24"/>
        </w:rPr>
        <w:t>meter </w:t>
      </w:r>
      <w:r>
        <w:rPr>
          <w:sz w:val="24"/>
        </w:rPr>
        <w:t>to determine whether the supply contactor is open or</w:t>
      </w:r>
      <w:r>
        <w:rPr>
          <w:spacing w:val="-1"/>
          <w:sz w:val="24"/>
        </w:rPr>
        <w:t> </w:t>
      </w:r>
      <w:r>
        <w:rPr>
          <w:sz w:val="24"/>
        </w:rPr>
        <w:t>closed.</w:t>
      </w:r>
    </w:p>
    <w:p>
      <w:pPr>
        <w:pStyle w:val="ListParagraph"/>
        <w:numPr>
          <w:ilvl w:val="0"/>
          <w:numId w:val="535"/>
        </w:numPr>
        <w:tabs>
          <w:tab w:pos="1919" w:val="left" w:leader="none"/>
        </w:tabs>
        <w:spacing w:line="240" w:lineRule="auto" w:before="120" w:after="0"/>
        <w:ind w:left="1919" w:right="415" w:hanging="567"/>
        <w:jc w:val="both"/>
        <w:rPr>
          <w:sz w:val="24"/>
        </w:rPr>
      </w:pPr>
      <w:r>
        <w:rPr>
          <w:sz w:val="24"/>
        </w:rPr>
        <w:t>A </w:t>
      </w:r>
      <w:r>
        <w:rPr>
          <w:i/>
          <w:sz w:val="24"/>
        </w:rPr>
        <w:t>meter </w:t>
      </w:r>
      <w:r>
        <w:rPr>
          <w:sz w:val="24"/>
        </w:rPr>
        <w:t>must provide clear local visual indication of the status (open/closed) of the supply</w:t>
      </w:r>
      <w:r>
        <w:rPr>
          <w:spacing w:val="-2"/>
          <w:sz w:val="24"/>
        </w:rPr>
        <w:t> </w:t>
      </w:r>
      <w:r>
        <w:rPr>
          <w:sz w:val="24"/>
        </w:rPr>
        <w:t>contactor.</w:t>
      </w:r>
    </w:p>
    <w:p>
      <w:pPr>
        <w:pStyle w:val="BodyText"/>
        <w:spacing w:before="10"/>
        <w:ind w:firstLine="0"/>
        <w:jc w:val="left"/>
        <w:rPr>
          <w:sz w:val="20"/>
        </w:rPr>
      </w:pPr>
    </w:p>
    <w:p>
      <w:pPr>
        <w:pStyle w:val="Heading4"/>
        <w:ind w:left="218" w:firstLine="0"/>
      </w:pPr>
      <w:bookmarkStart w:name="S7A.5.3.5.2 Disconnection" w:id="1901"/>
      <w:bookmarkEnd w:id="1901"/>
      <w:r>
        <w:rPr>
          <w:b w:val="0"/>
        </w:rPr>
      </w:r>
      <w:bookmarkStart w:name="_bookmark776" w:id="1902"/>
      <w:bookmarkEnd w:id="1902"/>
      <w:r>
        <w:rPr>
          <w:b w:val="0"/>
        </w:rPr>
      </w:r>
      <w:r>
        <w:rPr/>
        <w:t>S7A.5.3.5.2 Disconnection</w:t>
      </w:r>
    </w:p>
    <w:p>
      <w:pPr>
        <w:pStyle w:val="BodyText"/>
        <w:ind w:left="1919" w:right="416"/>
      </w:pPr>
      <w:r>
        <w:rPr/>
        <w:t>(a) A </w:t>
      </w:r>
      <w:r>
        <w:rPr>
          <w:i/>
        </w:rPr>
        <w:t>meter </w:t>
      </w:r>
      <w:r>
        <w:rPr/>
        <w:t>must support both local and remote end-use customer supply disconnection functionality.</w:t>
      </w:r>
    </w:p>
    <w:p>
      <w:pPr>
        <w:spacing w:before="220"/>
        <w:ind w:left="1356" w:right="0" w:firstLine="0"/>
        <w:jc w:val="left"/>
        <w:rPr>
          <w:rFonts w:ascii="Arial"/>
          <w:b/>
          <w:sz w:val="22"/>
        </w:rPr>
      </w:pPr>
      <w:r>
        <w:rPr>
          <w:rFonts w:ascii="Arial"/>
          <w:b/>
          <w:sz w:val="22"/>
        </w:rPr>
        <w:t>Local disconnection</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circumstances in which local disconnection may occur include where:</w:t>
      </w:r>
    </w:p>
    <w:p>
      <w:pPr>
        <w:pStyle w:val="ListParagraph"/>
        <w:numPr>
          <w:ilvl w:val="0"/>
          <w:numId w:val="536"/>
        </w:numPr>
        <w:tabs>
          <w:tab w:pos="1658" w:val="left" w:leader="none"/>
        </w:tabs>
        <w:spacing w:line="240" w:lineRule="auto" w:before="120" w:after="0"/>
        <w:ind w:left="1352" w:right="415" w:firstLine="0"/>
        <w:jc w:val="both"/>
        <w:rPr>
          <w:sz w:val="20"/>
        </w:rPr>
      </w:pPr>
      <w:r>
        <w:rPr>
          <w:sz w:val="20"/>
        </w:rPr>
        <w:t>a technician is already on-site performing works and it is most efficient for the technician to perform the </w:t>
      </w:r>
      <w:r>
        <w:rPr>
          <w:i/>
          <w:sz w:val="20"/>
        </w:rPr>
        <w:t>disconnection</w:t>
      </w:r>
      <w:r>
        <w:rPr>
          <w:sz w:val="20"/>
        </w:rPr>
        <w:t>;</w:t>
      </w:r>
      <w:r>
        <w:rPr>
          <w:spacing w:val="-2"/>
          <w:sz w:val="20"/>
        </w:rPr>
        <w:t> </w:t>
      </w:r>
      <w:r>
        <w:rPr>
          <w:sz w:val="20"/>
        </w:rPr>
        <w:t>or</w:t>
      </w:r>
    </w:p>
    <w:p>
      <w:pPr>
        <w:pStyle w:val="ListParagraph"/>
        <w:numPr>
          <w:ilvl w:val="0"/>
          <w:numId w:val="536"/>
        </w:numPr>
        <w:tabs>
          <w:tab w:pos="1658" w:val="left" w:leader="none"/>
        </w:tabs>
        <w:spacing w:line="240" w:lineRule="auto" w:before="120" w:after="0"/>
        <w:ind w:left="1352" w:right="414" w:firstLine="0"/>
        <w:jc w:val="both"/>
        <w:rPr>
          <w:sz w:val="20"/>
        </w:rPr>
      </w:pPr>
      <w:r>
        <w:rPr>
          <w:sz w:val="20"/>
        </w:rPr>
        <w:t>a </w:t>
      </w:r>
      <w:r>
        <w:rPr>
          <w:i/>
          <w:sz w:val="20"/>
        </w:rPr>
        <w:t>meter </w:t>
      </w:r>
      <w:r>
        <w:rPr>
          <w:sz w:val="20"/>
        </w:rPr>
        <w:t>that is capable of remote reading is installed; however the communications infrastructure has not been rolled out or has</w:t>
      </w:r>
      <w:r>
        <w:rPr>
          <w:spacing w:val="-1"/>
          <w:sz w:val="20"/>
        </w:rPr>
        <w:t> </w:t>
      </w:r>
      <w:r>
        <w:rPr>
          <w:sz w:val="20"/>
        </w:rPr>
        <w:t>failed.</w:t>
      </w:r>
    </w:p>
    <w:p>
      <w:pPr>
        <w:pStyle w:val="ListParagraph"/>
        <w:numPr>
          <w:ilvl w:val="0"/>
          <w:numId w:val="537"/>
        </w:numPr>
        <w:tabs>
          <w:tab w:pos="1919" w:val="left" w:leader="none"/>
        </w:tabs>
        <w:spacing w:line="240" w:lineRule="auto" w:before="120" w:after="0"/>
        <w:ind w:left="1919" w:right="415" w:hanging="567"/>
        <w:jc w:val="both"/>
        <w:rPr>
          <w:sz w:val="24"/>
        </w:rPr>
      </w:pPr>
      <w:r>
        <w:rPr>
          <w:sz w:val="24"/>
        </w:rPr>
        <w:t>Local disconnection via the </w:t>
      </w:r>
      <w:r>
        <w:rPr>
          <w:i/>
          <w:sz w:val="24"/>
        </w:rPr>
        <w:t>meter </w:t>
      </w:r>
      <w:r>
        <w:rPr>
          <w:sz w:val="24"/>
        </w:rPr>
        <w:t>must only be able to be performed by an authorised technician. Unauthorised persons must be physically prevented from operating the supply contactor to </w:t>
      </w:r>
      <w:r>
        <w:rPr>
          <w:i/>
          <w:sz w:val="24"/>
        </w:rPr>
        <w:t>disconnect</w:t>
      </w:r>
      <w:r>
        <w:rPr>
          <w:i/>
          <w:spacing w:val="-4"/>
          <w:sz w:val="24"/>
        </w:rPr>
        <w:t> </w:t>
      </w:r>
      <w:r>
        <w:rPr>
          <w:i/>
          <w:sz w:val="24"/>
        </w:rPr>
        <w:t>supply</w:t>
      </w:r>
      <w:r>
        <w:rPr>
          <w:sz w:val="24"/>
        </w:rPr>
        <w:t>.</w:t>
      </w:r>
    </w:p>
    <w:p>
      <w:pPr>
        <w:pStyle w:val="ListParagraph"/>
        <w:numPr>
          <w:ilvl w:val="0"/>
          <w:numId w:val="537"/>
        </w:numPr>
        <w:tabs>
          <w:tab w:pos="1919" w:val="left" w:leader="none"/>
        </w:tabs>
        <w:spacing w:line="240" w:lineRule="auto" w:before="120" w:after="0"/>
        <w:ind w:left="1918" w:right="0" w:hanging="567"/>
        <w:jc w:val="both"/>
        <w:rPr>
          <w:sz w:val="24"/>
        </w:rPr>
      </w:pPr>
      <w:r>
        <w:rPr>
          <w:sz w:val="24"/>
        </w:rPr>
        <w:t>A </w:t>
      </w:r>
      <w:r>
        <w:rPr>
          <w:i/>
          <w:sz w:val="24"/>
        </w:rPr>
        <w:t>meter </w:t>
      </w:r>
      <w:r>
        <w:rPr>
          <w:sz w:val="24"/>
        </w:rPr>
        <w:t>must support the</w:t>
      </w:r>
      <w:r>
        <w:rPr>
          <w:spacing w:val="-3"/>
          <w:sz w:val="24"/>
        </w:rPr>
        <w:t> </w:t>
      </w:r>
      <w:r>
        <w:rPr>
          <w:sz w:val="24"/>
        </w:rPr>
        <w:t>following:</w:t>
      </w:r>
    </w:p>
    <w:p>
      <w:pPr>
        <w:pStyle w:val="ListParagraph"/>
        <w:numPr>
          <w:ilvl w:val="1"/>
          <w:numId w:val="537"/>
        </w:numPr>
        <w:tabs>
          <w:tab w:pos="2485" w:val="left" w:leader="none"/>
          <w:tab w:pos="2486" w:val="left" w:leader="none"/>
        </w:tabs>
        <w:spacing w:line="240" w:lineRule="auto" w:before="120" w:after="0"/>
        <w:ind w:left="2485" w:right="0" w:hanging="567"/>
        <w:jc w:val="left"/>
        <w:rPr>
          <w:sz w:val="24"/>
        </w:rPr>
      </w:pPr>
      <w:r>
        <w:rPr>
          <w:sz w:val="24"/>
        </w:rPr>
        <w:t>opening of the supply contactor performed</w:t>
      </w:r>
      <w:r>
        <w:rPr>
          <w:spacing w:val="-2"/>
          <w:sz w:val="24"/>
        </w:rPr>
        <w:t> </w:t>
      </w:r>
      <w:r>
        <w:rPr>
          <w:sz w:val="24"/>
        </w:rPr>
        <w:t>locally;</w:t>
      </w:r>
    </w:p>
    <w:p>
      <w:pPr>
        <w:pStyle w:val="ListParagraph"/>
        <w:numPr>
          <w:ilvl w:val="1"/>
          <w:numId w:val="537"/>
        </w:numPr>
        <w:tabs>
          <w:tab w:pos="2485" w:val="left" w:leader="none"/>
          <w:tab w:pos="2486" w:val="left" w:leader="none"/>
        </w:tabs>
        <w:spacing w:line="240" w:lineRule="auto" w:before="120" w:after="0"/>
        <w:ind w:left="2486" w:right="416" w:hanging="567"/>
        <w:jc w:val="left"/>
        <w:rPr>
          <w:sz w:val="24"/>
        </w:rPr>
      </w:pPr>
      <w:r>
        <w:rPr>
          <w:sz w:val="24"/>
        </w:rPr>
        <w:t>remote communication of the status (open/closed) of the supply contactor (if communications are active) from the </w:t>
      </w:r>
      <w:r>
        <w:rPr>
          <w:i/>
          <w:sz w:val="24"/>
        </w:rPr>
        <w:t>meter </w:t>
      </w:r>
      <w:r>
        <w:rPr>
          <w:sz w:val="24"/>
        </w:rPr>
        <w:t>to the</w:t>
      </w:r>
      <w:r>
        <w:rPr>
          <w:spacing w:val="-11"/>
          <w:sz w:val="24"/>
        </w:rPr>
        <w:t> </w:t>
      </w:r>
      <w:r>
        <w:rPr>
          <w:sz w:val="24"/>
        </w:rPr>
        <w:t>NMS;</w:t>
      </w:r>
    </w:p>
    <w:p>
      <w:pPr>
        <w:pStyle w:val="ListParagraph"/>
        <w:numPr>
          <w:ilvl w:val="1"/>
          <w:numId w:val="537"/>
        </w:numPr>
        <w:tabs>
          <w:tab w:pos="2485" w:val="left" w:leader="none"/>
          <w:tab w:pos="2486" w:val="left" w:leader="none"/>
        </w:tabs>
        <w:spacing w:line="240" w:lineRule="auto" w:before="120" w:after="0"/>
        <w:ind w:left="2485" w:right="0" w:hanging="567"/>
        <w:jc w:val="left"/>
        <w:rPr>
          <w:sz w:val="24"/>
        </w:rPr>
      </w:pPr>
      <w:r>
        <w:rPr>
          <w:sz w:val="24"/>
        </w:rPr>
        <w:t>event logging of the local disconnection at that</w:t>
      </w:r>
      <w:r>
        <w:rPr>
          <w:spacing w:val="-3"/>
          <w:sz w:val="24"/>
        </w:rPr>
        <w:t> </w:t>
      </w:r>
      <w:r>
        <w:rPr>
          <w:i/>
          <w:sz w:val="24"/>
        </w:rPr>
        <w:t>meter</w:t>
      </w:r>
      <w:r>
        <w:rPr>
          <w:sz w:val="24"/>
        </w:rPr>
        <w:t>.</w:t>
      </w:r>
    </w:p>
    <w:p>
      <w:pPr>
        <w:spacing w:before="220"/>
        <w:ind w:left="1356" w:right="0" w:firstLine="0"/>
        <w:jc w:val="left"/>
        <w:rPr>
          <w:rFonts w:ascii="Arial"/>
          <w:b/>
          <w:sz w:val="22"/>
        </w:rPr>
      </w:pPr>
      <w:r>
        <w:rPr>
          <w:rFonts w:ascii="Arial"/>
          <w:b/>
          <w:sz w:val="22"/>
        </w:rPr>
        <w:t>Remote disconnection</w:t>
      </w:r>
    </w:p>
    <w:p>
      <w:pPr>
        <w:pStyle w:val="ListParagraph"/>
        <w:numPr>
          <w:ilvl w:val="0"/>
          <w:numId w:val="537"/>
        </w:numPr>
        <w:tabs>
          <w:tab w:pos="1918" w:val="left" w:leader="none"/>
          <w:tab w:pos="1919" w:val="left" w:leader="none"/>
        </w:tabs>
        <w:spacing w:line="240" w:lineRule="auto" w:before="120" w:after="0"/>
        <w:ind w:left="1918" w:right="0" w:hanging="567"/>
        <w:jc w:val="left"/>
        <w:rPr>
          <w:sz w:val="24"/>
        </w:rPr>
      </w:pPr>
      <w:r>
        <w:rPr>
          <w:sz w:val="24"/>
        </w:rPr>
        <w:t>A </w:t>
      </w:r>
      <w:r>
        <w:rPr>
          <w:i/>
          <w:sz w:val="24"/>
        </w:rPr>
        <w:t>meter </w:t>
      </w:r>
      <w:r>
        <w:rPr>
          <w:sz w:val="24"/>
        </w:rPr>
        <w:t>must support the</w:t>
      </w:r>
      <w:r>
        <w:rPr>
          <w:spacing w:val="-2"/>
          <w:sz w:val="24"/>
        </w:rPr>
        <w:t> </w:t>
      </w:r>
      <w:r>
        <w:rPr>
          <w:sz w:val="24"/>
        </w:rPr>
        <w:t>following:</w:t>
      </w:r>
    </w:p>
    <w:p>
      <w:pPr>
        <w:pStyle w:val="ListParagraph"/>
        <w:numPr>
          <w:ilvl w:val="1"/>
          <w:numId w:val="537"/>
        </w:numPr>
        <w:tabs>
          <w:tab w:pos="2485" w:val="left" w:leader="none"/>
          <w:tab w:pos="2486" w:val="left" w:leader="none"/>
        </w:tabs>
        <w:spacing w:line="240" w:lineRule="auto" w:before="120" w:after="0"/>
        <w:ind w:left="2485" w:right="0" w:hanging="567"/>
        <w:jc w:val="left"/>
        <w:rPr>
          <w:sz w:val="24"/>
        </w:rPr>
      </w:pPr>
      <w:r>
        <w:rPr>
          <w:sz w:val="24"/>
        </w:rPr>
        <w:t>opening of the </w:t>
      </w:r>
      <w:r>
        <w:rPr>
          <w:i/>
          <w:sz w:val="24"/>
        </w:rPr>
        <w:t>supply contactor </w:t>
      </w:r>
      <w:r>
        <w:rPr>
          <w:sz w:val="24"/>
        </w:rPr>
        <w:t>performed</w:t>
      </w:r>
      <w:r>
        <w:rPr>
          <w:spacing w:val="-2"/>
          <w:sz w:val="24"/>
        </w:rPr>
        <w:t> </w:t>
      </w:r>
      <w:r>
        <w:rPr>
          <w:sz w:val="24"/>
        </w:rPr>
        <w:t>remotely;</w:t>
      </w:r>
    </w:p>
    <w:p>
      <w:pPr>
        <w:pStyle w:val="ListParagraph"/>
        <w:numPr>
          <w:ilvl w:val="1"/>
          <w:numId w:val="537"/>
        </w:numPr>
        <w:tabs>
          <w:tab w:pos="2485" w:val="left" w:leader="none"/>
          <w:tab w:pos="2486" w:val="left" w:leader="none"/>
        </w:tabs>
        <w:spacing w:line="240" w:lineRule="auto" w:before="120" w:after="0"/>
        <w:ind w:left="2486" w:right="416" w:hanging="567"/>
        <w:jc w:val="left"/>
        <w:rPr>
          <w:sz w:val="24"/>
        </w:rPr>
      </w:pPr>
      <w:r>
        <w:rPr>
          <w:sz w:val="24"/>
        </w:rPr>
        <w:t>remote communication of the status (open/closed) of the </w:t>
      </w:r>
      <w:r>
        <w:rPr>
          <w:i/>
          <w:sz w:val="24"/>
        </w:rPr>
        <w:t>supply </w:t>
      </w:r>
      <w:r>
        <w:rPr>
          <w:i/>
          <w:sz w:val="24"/>
        </w:rPr>
        <w:t>contactor </w:t>
      </w:r>
      <w:r>
        <w:rPr>
          <w:sz w:val="24"/>
        </w:rPr>
        <w:t>(if communications are active) from the </w:t>
      </w:r>
      <w:r>
        <w:rPr>
          <w:i/>
          <w:sz w:val="24"/>
        </w:rPr>
        <w:t>meter </w:t>
      </w:r>
      <w:r>
        <w:rPr>
          <w:sz w:val="24"/>
        </w:rPr>
        <w:t>to the</w:t>
      </w:r>
      <w:r>
        <w:rPr>
          <w:spacing w:val="-9"/>
          <w:sz w:val="24"/>
        </w:rPr>
        <w:t> </w:t>
      </w:r>
      <w:r>
        <w:rPr>
          <w:sz w:val="24"/>
        </w:rPr>
        <w:t>NMS;</w:t>
      </w:r>
    </w:p>
    <w:p>
      <w:pPr>
        <w:pStyle w:val="ListParagraph"/>
        <w:numPr>
          <w:ilvl w:val="1"/>
          <w:numId w:val="537"/>
        </w:numPr>
        <w:tabs>
          <w:tab w:pos="2485" w:val="left" w:leader="none"/>
          <w:tab w:pos="2486" w:val="left" w:leader="none"/>
        </w:tabs>
        <w:spacing w:line="240" w:lineRule="auto" w:before="120" w:after="0"/>
        <w:ind w:left="2485" w:right="0" w:hanging="567"/>
        <w:jc w:val="left"/>
        <w:rPr>
          <w:sz w:val="24"/>
        </w:rPr>
      </w:pPr>
      <w:r>
        <w:rPr>
          <w:sz w:val="24"/>
        </w:rPr>
        <w:t>event logging of the </w:t>
      </w:r>
      <w:r>
        <w:rPr>
          <w:i/>
          <w:sz w:val="24"/>
        </w:rPr>
        <w:t>remote disconnection </w:t>
      </w:r>
      <w:r>
        <w:rPr>
          <w:sz w:val="24"/>
        </w:rPr>
        <w:t>at that</w:t>
      </w:r>
      <w:r>
        <w:rPr>
          <w:spacing w:val="-3"/>
          <w:sz w:val="24"/>
        </w:rPr>
        <w:t> </w:t>
      </w:r>
      <w:r>
        <w:rPr>
          <w:sz w:val="24"/>
        </w:rPr>
        <w:t>meter.</w:t>
      </w:r>
    </w:p>
    <w:p>
      <w:pPr>
        <w:pStyle w:val="BodyText"/>
        <w:spacing w:before="10"/>
        <w:ind w:firstLine="0"/>
        <w:jc w:val="left"/>
        <w:rPr>
          <w:sz w:val="20"/>
        </w:rPr>
      </w:pPr>
    </w:p>
    <w:p>
      <w:pPr>
        <w:pStyle w:val="Heading4"/>
        <w:ind w:left="218" w:firstLine="0"/>
      </w:pPr>
      <w:bookmarkStart w:name="S7A.5.3.5.3 Reconnection" w:id="1903"/>
      <w:bookmarkEnd w:id="1903"/>
      <w:r>
        <w:rPr>
          <w:b w:val="0"/>
        </w:rPr>
      </w:r>
      <w:bookmarkStart w:name="_bookmark777" w:id="1904"/>
      <w:bookmarkEnd w:id="1904"/>
      <w:r>
        <w:rPr>
          <w:b w:val="0"/>
        </w:rPr>
      </w:r>
      <w:r>
        <w:rPr/>
        <w:t>S7A.5.3.5.3 Reconnection</w:t>
      </w:r>
    </w:p>
    <w:p>
      <w:pPr>
        <w:pStyle w:val="ListParagraph"/>
        <w:numPr>
          <w:ilvl w:val="0"/>
          <w:numId w:val="538"/>
        </w:numPr>
        <w:tabs>
          <w:tab w:pos="1919" w:val="left" w:leader="none"/>
        </w:tabs>
        <w:spacing w:line="240" w:lineRule="auto" w:before="120" w:after="0"/>
        <w:ind w:left="1919" w:right="415" w:hanging="567"/>
        <w:jc w:val="both"/>
        <w:rPr>
          <w:sz w:val="24"/>
        </w:rPr>
      </w:pPr>
      <w:r>
        <w:rPr>
          <w:sz w:val="24"/>
        </w:rPr>
        <w:t>A </w:t>
      </w:r>
      <w:r>
        <w:rPr>
          <w:i/>
          <w:sz w:val="24"/>
        </w:rPr>
        <w:t>meter </w:t>
      </w:r>
      <w:r>
        <w:rPr>
          <w:sz w:val="24"/>
        </w:rPr>
        <w:t>must support both local and remote end-use customer </w:t>
      </w:r>
      <w:r>
        <w:rPr>
          <w:i/>
          <w:sz w:val="24"/>
        </w:rPr>
        <w:t>supply </w:t>
      </w:r>
      <w:r>
        <w:rPr>
          <w:i/>
          <w:sz w:val="24"/>
        </w:rPr>
        <w:t>reconnection</w:t>
      </w:r>
      <w:r>
        <w:rPr>
          <w:i/>
          <w:spacing w:val="-1"/>
          <w:sz w:val="24"/>
        </w:rPr>
        <w:t> </w:t>
      </w:r>
      <w:r>
        <w:rPr>
          <w:sz w:val="24"/>
        </w:rPr>
        <w:t>functionality.</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Local reconnection</w:t>
      </w:r>
    </w:p>
    <w:p>
      <w:pPr>
        <w:pStyle w:val="ListParagraph"/>
        <w:numPr>
          <w:ilvl w:val="0"/>
          <w:numId w:val="538"/>
        </w:numPr>
        <w:tabs>
          <w:tab w:pos="1919" w:val="left" w:leader="none"/>
        </w:tabs>
        <w:spacing w:line="240" w:lineRule="auto" w:before="120" w:after="0"/>
        <w:ind w:left="1919" w:right="415" w:hanging="567"/>
        <w:jc w:val="both"/>
        <w:rPr>
          <w:sz w:val="24"/>
        </w:rPr>
      </w:pPr>
      <w:r>
        <w:rPr>
          <w:i/>
          <w:sz w:val="24"/>
        </w:rPr>
        <w:t>Reconnection </w:t>
      </w:r>
      <w:r>
        <w:rPr>
          <w:sz w:val="24"/>
        </w:rPr>
        <w:t>via the </w:t>
      </w:r>
      <w:r>
        <w:rPr>
          <w:i/>
          <w:sz w:val="24"/>
        </w:rPr>
        <w:t>meter </w:t>
      </w:r>
      <w:r>
        <w:rPr>
          <w:sz w:val="24"/>
        </w:rPr>
        <w:t>must only be able to be performed locally by an authorised technician. Unauthorised persons must be physically prevented from operating the supply contactor to </w:t>
      </w:r>
      <w:r>
        <w:rPr>
          <w:i/>
          <w:sz w:val="24"/>
        </w:rPr>
        <w:t>reconnect</w:t>
      </w:r>
      <w:r>
        <w:rPr>
          <w:i/>
          <w:spacing w:val="-5"/>
          <w:sz w:val="24"/>
        </w:rPr>
        <w:t> </w:t>
      </w:r>
      <w:r>
        <w:rPr>
          <w:i/>
          <w:sz w:val="24"/>
        </w:rPr>
        <w:t>supply</w:t>
      </w:r>
      <w:r>
        <w:rPr>
          <w:sz w:val="24"/>
        </w:rPr>
        <w:t>.</w:t>
      </w:r>
    </w:p>
    <w:p>
      <w:pPr>
        <w:pStyle w:val="ListParagraph"/>
        <w:numPr>
          <w:ilvl w:val="0"/>
          <w:numId w:val="538"/>
        </w:numPr>
        <w:tabs>
          <w:tab w:pos="1919" w:val="left" w:leader="none"/>
        </w:tabs>
        <w:spacing w:line="240" w:lineRule="auto" w:before="120" w:after="0"/>
        <w:ind w:left="1918" w:right="0" w:hanging="567"/>
        <w:jc w:val="both"/>
        <w:rPr>
          <w:sz w:val="24"/>
        </w:rPr>
      </w:pPr>
      <w:r>
        <w:rPr>
          <w:sz w:val="24"/>
        </w:rPr>
        <w:t>A meter must support the</w:t>
      </w:r>
      <w:r>
        <w:rPr>
          <w:spacing w:val="-2"/>
          <w:sz w:val="24"/>
        </w:rPr>
        <w:t> </w:t>
      </w:r>
      <w:r>
        <w:rPr>
          <w:sz w:val="24"/>
        </w:rPr>
        <w:t>following:</w:t>
      </w:r>
    </w:p>
    <w:p>
      <w:pPr>
        <w:pStyle w:val="ListParagraph"/>
        <w:numPr>
          <w:ilvl w:val="1"/>
          <w:numId w:val="538"/>
        </w:numPr>
        <w:tabs>
          <w:tab w:pos="2485" w:val="left" w:leader="none"/>
          <w:tab w:pos="2486" w:val="left" w:leader="none"/>
        </w:tabs>
        <w:spacing w:line="240" w:lineRule="auto" w:before="120" w:after="0"/>
        <w:ind w:left="2485" w:right="0" w:hanging="567"/>
        <w:jc w:val="left"/>
        <w:rPr>
          <w:sz w:val="24"/>
        </w:rPr>
      </w:pPr>
      <w:r>
        <w:rPr>
          <w:sz w:val="24"/>
        </w:rPr>
        <w:t>closing of the supply contactor performed</w:t>
      </w:r>
      <w:r>
        <w:rPr>
          <w:spacing w:val="-2"/>
          <w:sz w:val="24"/>
        </w:rPr>
        <w:t> </w:t>
      </w:r>
      <w:r>
        <w:rPr>
          <w:sz w:val="24"/>
        </w:rPr>
        <w:t>locally;</w:t>
      </w:r>
    </w:p>
    <w:p>
      <w:pPr>
        <w:pStyle w:val="ListParagraph"/>
        <w:numPr>
          <w:ilvl w:val="1"/>
          <w:numId w:val="538"/>
        </w:numPr>
        <w:tabs>
          <w:tab w:pos="2485" w:val="left" w:leader="none"/>
          <w:tab w:pos="2486" w:val="left" w:leader="none"/>
        </w:tabs>
        <w:spacing w:line="240" w:lineRule="auto" w:before="120" w:after="0"/>
        <w:ind w:left="2486" w:right="416" w:hanging="567"/>
        <w:jc w:val="left"/>
        <w:rPr>
          <w:sz w:val="24"/>
        </w:rPr>
      </w:pPr>
      <w:r>
        <w:rPr>
          <w:sz w:val="24"/>
        </w:rPr>
        <w:t>remote communication of the status (open/closed) of the supply contactor (if communications are active) from the </w:t>
      </w:r>
      <w:r>
        <w:rPr>
          <w:i/>
          <w:sz w:val="24"/>
        </w:rPr>
        <w:t>meter </w:t>
      </w:r>
      <w:r>
        <w:rPr>
          <w:sz w:val="24"/>
        </w:rPr>
        <w:t>to the</w:t>
      </w:r>
      <w:r>
        <w:rPr>
          <w:spacing w:val="-11"/>
          <w:sz w:val="24"/>
        </w:rPr>
        <w:t> </w:t>
      </w:r>
      <w:r>
        <w:rPr>
          <w:sz w:val="24"/>
        </w:rPr>
        <w:t>NMS;</w:t>
      </w:r>
    </w:p>
    <w:p>
      <w:pPr>
        <w:pStyle w:val="ListParagraph"/>
        <w:numPr>
          <w:ilvl w:val="1"/>
          <w:numId w:val="538"/>
        </w:numPr>
        <w:tabs>
          <w:tab w:pos="2485" w:val="left" w:leader="none"/>
          <w:tab w:pos="2486" w:val="left" w:leader="none"/>
        </w:tabs>
        <w:spacing w:line="240" w:lineRule="auto" w:before="120" w:after="0"/>
        <w:ind w:left="2485" w:right="0" w:hanging="567"/>
        <w:jc w:val="left"/>
        <w:rPr>
          <w:sz w:val="24"/>
        </w:rPr>
      </w:pPr>
      <w:r>
        <w:rPr>
          <w:sz w:val="24"/>
        </w:rPr>
        <w:t>event logging of local </w:t>
      </w:r>
      <w:r>
        <w:rPr>
          <w:i/>
          <w:sz w:val="24"/>
        </w:rPr>
        <w:t>reconnection </w:t>
      </w:r>
      <w:r>
        <w:rPr>
          <w:sz w:val="24"/>
        </w:rPr>
        <w:t>at that</w:t>
      </w:r>
      <w:r>
        <w:rPr>
          <w:spacing w:val="-3"/>
          <w:sz w:val="24"/>
        </w:rPr>
        <w:t> </w:t>
      </w:r>
      <w:r>
        <w:rPr>
          <w:i/>
          <w:sz w:val="24"/>
        </w:rPr>
        <w:t>meter</w:t>
      </w:r>
      <w:r>
        <w:rPr>
          <w:sz w:val="24"/>
        </w:rPr>
        <w:t>.</w:t>
      </w:r>
    </w:p>
    <w:p>
      <w:pPr>
        <w:spacing w:before="220"/>
        <w:ind w:left="1356" w:right="0" w:firstLine="0"/>
        <w:jc w:val="left"/>
        <w:rPr>
          <w:rFonts w:ascii="Arial"/>
          <w:b/>
          <w:sz w:val="22"/>
        </w:rPr>
      </w:pPr>
      <w:r>
        <w:rPr>
          <w:rFonts w:ascii="Arial"/>
          <w:b/>
          <w:sz w:val="22"/>
        </w:rPr>
        <w:t>Remote reconnection</w:t>
      </w:r>
    </w:p>
    <w:p>
      <w:pPr>
        <w:pStyle w:val="ListParagraph"/>
        <w:numPr>
          <w:ilvl w:val="0"/>
          <w:numId w:val="538"/>
        </w:numPr>
        <w:tabs>
          <w:tab w:pos="1918" w:val="left" w:leader="none"/>
          <w:tab w:pos="1919" w:val="left" w:leader="none"/>
        </w:tabs>
        <w:spacing w:line="240" w:lineRule="auto" w:before="120" w:after="0"/>
        <w:ind w:left="1918" w:right="0" w:hanging="567"/>
        <w:jc w:val="left"/>
        <w:rPr>
          <w:sz w:val="24"/>
        </w:rPr>
      </w:pPr>
      <w:r>
        <w:rPr>
          <w:sz w:val="24"/>
        </w:rPr>
        <w:t>A </w:t>
      </w:r>
      <w:r>
        <w:rPr>
          <w:i/>
          <w:sz w:val="24"/>
        </w:rPr>
        <w:t>meter </w:t>
      </w:r>
      <w:r>
        <w:rPr>
          <w:sz w:val="24"/>
        </w:rPr>
        <w:t>must support the</w:t>
      </w:r>
      <w:r>
        <w:rPr>
          <w:spacing w:val="-2"/>
          <w:sz w:val="24"/>
        </w:rPr>
        <w:t> </w:t>
      </w:r>
      <w:r>
        <w:rPr>
          <w:sz w:val="24"/>
        </w:rPr>
        <w:t>following:</w:t>
      </w:r>
    </w:p>
    <w:p>
      <w:pPr>
        <w:pStyle w:val="ListParagraph"/>
        <w:numPr>
          <w:ilvl w:val="1"/>
          <w:numId w:val="538"/>
        </w:numPr>
        <w:tabs>
          <w:tab w:pos="2485" w:val="left" w:leader="none"/>
          <w:tab w:pos="2486" w:val="left" w:leader="none"/>
        </w:tabs>
        <w:spacing w:line="240" w:lineRule="auto" w:before="120" w:after="0"/>
        <w:ind w:left="2485" w:right="0" w:hanging="567"/>
        <w:jc w:val="left"/>
        <w:rPr>
          <w:sz w:val="24"/>
        </w:rPr>
      </w:pPr>
      <w:r>
        <w:rPr>
          <w:sz w:val="24"/>
        </w:rPr>
        <w:t>closing of the supply contactor performed</w:t>
      </w:r>
      <w:r>
        <w:rPr>
          <w:spacing w:val="-2"/>
          <w:sz w:val="24"/>
        </w:rPr>
        <w:t> </w:t>
      </w:r>
      <w:r>
        <w:rPr>
          <w:sz w:val="24"/>
        </w:rPr>
        <w:t>remotely;</w:t>
      </w:r>
    </w:p>
    <w:p>
      <w:pPr>
        <w:pStyle w:val="ListParagraph"/>
        <w:numPr>
          <w:ilvl w:val="1"/>
          <w:numId w:val="538"/>
        </w:numPr>
        <w:tabs>
          <w:tab w:pos="2485" w:val="left" w:leader="none"/>
          <w:tab w:pos="2486" w:val="left" w:leader="none"/>
        </w:tabs>
        <w:spacing w:line="240" w:lineRule="auto" w:before="120" w:after="0"/>
        <w:ind w:left="2486" w:right="416" w:hanging="567"/>
        <w:jc w:val="left"/>
        <w:rPr>
          <w:sz w:val="24"/>
        </w:rPr>
      </w:pPr>
      <w:r>
        <w:rPr>
          <w:sz w:val="24"/>
        </w:rPr>
        <w:t>remote communication of the status (open/closed) of the supply contactor from the </w:t>
      </w:r>
      <w:r>
        <w:rPr>
          <w:i/>
          <w:sz w:val="24"/>
        </w:rPr>
        <w:t>meter </w:t>
      </w:r>
      <w:r>
        <w:rPr>
          <w:sz w:val="24"/>
        </w:rPr>
        <w:t>to the NMS;</w:t>
      </w:r>
      <w:r>
        <w:rPr>
          <w:spacing w:val="-3"/>
          <w:sz w:val="24"/>
        </w:rPr>
        <w:t> </w:t>
      </w:r>
      <w:r>
        <w:rPr>
          <w:sz w:val="24"/>
        </w:rPr>
        <w:t>and</w:t>
      </w:r>
    </w:p>
    <w:p>
      <w:pPr>
        <w:pStyle w:val="ListParagraph"/>
        <w:numPr>
          <w:ilvl w:val="1"/>
          <w:numId w:val="538"/>
        </w:numPr>
        <w:tabs>
          <w:tab w:pos="2485" w:val="left" w:leader="none"/>
          <w:tab w:pos="2486" w:val="left" w:leader="none"/>
        </w:tabs>
        <w:spacing w:line="240" w:lineRule="auto" w:before="120" w:after="0"/>
        <w:ind w:left="2485" w:right="0" w:hanging="567"/>
        <w:jc w:val="left"/>
        <w:rPr>
          <w:sz w:val="24"/>
        </w:rPr>
      </w:pPr>
      <w:r>
        <w:rPr>
          <w:sz w:val="24"/>
        </w:rPr>
        <w:t>event logging of remote</w:t>
      </w:r>
      <w:r>
        <w:rPr>
          <w:spacing w:val="-1"/>
          <w:sz w:val="24"/>
        </w:rPr>
        <w:t> </w:t>
      </w:r>
      <w:r>
        <w:rPr>
          <w:i/>
          <w:sz w:val="24"/>
        </w:rPr>
        <w:t>reconnection</w:t>
      </w:r>
      <w:r>
        <w:rPr>
          <w:sz w:val="24"/>
        </w:rPr>
        <w:t>.</w:t>
      </w:r>
    </w:p>
    <w:p>
      <w:pPr>
        <w:pStyle w:val="BodyText"/>
        <w:spacing w:before="10"/>
        <w:ind w:firstLine="0"/>
        <w:jc w:val="left"/>
        <w:rPr>
          <w:sz w:val="20"/>
        </w:rPr>
      </w:pPr>
    </w:p>
    <w:p>
      <w:pPr>
        <w:pStyle w:val="Heading4"/>
        <w:ind w:left="218" w:firstLine="0"/>
      </w:pPr>
      <w:bookmarkStart w:name="S7A.5.3.6 Time clock synchronisation" w:id="1905"/>
      <w:bookmarkEnd w:id="1905"/>
      <w:r>
        <w:rPr>
          <w:b w:val="0"/>
        </w:rPr>
      </w:r>
      <w:bookmarkStart w:name="_bookmark778" w:id="1906"/>
      <w:bookmarkEnd w:id="1906"/>
      <w:r>
        <w:rPr>
          <w:b w:val="0"/>
        </w:rPr>
      </w:r>
      <w:r>
        <w:rPr/>
        <w:t>S7A.5.3.6 Time clock synchronisation</w:t>
      </w:r>
    </w:p>
    <w:p>
      <w:pPr>
        <w:spacing w:before="120"/>
        <w:ind w:left="1352" w:right="0" w:firstLine="0"/>
        <w:jc w:val="left"/>
        <w:rPr>
          <w:sz w:val="24"/>
        </w:rPr>
      </w:pPr>
      <w:r>
        <w:rPr>
          <w:sz w:val="24"/>
        </w:rPr>
        <w:t>Date and time within </w:t>
      </w:r>
      <w:r>
        <w:rPr>
          <w:i/>
          <w:sz w:val="24"/>
        </w:rPr>
        <w:t>meters </w:t>
      </w:r>
      <w:r>
        <w:rPr>
          <w:sz w:val="24"/>
        </w:rPr>
        <w:t>must be maintained within 20 seconds of </w:t>
      </w:r>
      <w:r>
        <w:rPr>
          <w:i/>
          <w:sz w:val="24"/>
        </w:rPr>
        <w:t>Australian </w:t>
      </w:r>
      <w:r>
        <w:rPr>
          <w:i/>
          <w:sz w:val="24"/>
        </w:rPr>
        <w:t>Central Standard Time</w:t>
      </w:r>
      <w:r>
        <w:rPr>
          <w:sz w:val="24"/>
        </w:rPr>
        <w:t>.</w:t>
      </w:r>
    </w:p>
    <w:p>
      <w:pPr>
        <w:pStyle w:val="BodyText"/>
        <w:spacing w:before="10"/>
        <w:ind w:firstLine="0"/>
        <w:jc w:val="left"/>
        <w:rPr>
          <w:sz w:val="20"/>
        </w:rPr>
      </w:pPr>
    </w:p>
    <w:p>
      <w:pPr>
        <w:pStyle w:val="Heading4"/>
        <w:ind w:left="218" w:firstLine="0"/>
      </w:pPr>
      <w:bookmarkStart w:name="S7A.5.3.7 Quality of Supply and other ev" w:id="1907"/>
      <w:bookmarkEnd w:id="1907"/>
      <w:r>
        <w:rPr>
          <w:b w:val="0"/>
        </w:rPr>
      </w:r>
      <w:bookmarkStart w:name="_bookmark779" w:id="1908"/>
      <w:bookmarkEnd w:id="1908"/>
      <w:r>
        <w:rPr>
          <w:b w:val="0"/>
        </w:rPr>
      </w:r>
      <w:r>
        <w:rPr/>
        <w:t>S7A.5.3.7 Quality of Supply and other event recording</w:t>
      </w:r>
    </w:p>
    <w:p>
      <w:pPr>
        <w:pStyle w:val="ListParagraph"/>
        <w:numPr>
          <w:ilvl w:val="0"/>
          <w:numId w:val="539"/>
        </w:numPr>
        <w:tabs>
          <w:tab w:pos="1919" w:val="left" w:leader="none"/>
        </w:tabs>
        <w:spacing w:line="240" w:lineRule="auto" w:before="120" w:after="0"/>
        <w:ind w:left="1919" w:right="416" w:hanging="567"/>
        <w:jc w:val="both"/>
        <w:rPr>
          <w:sz w:val="24"/>
        </w:rPr>
      </w:pPr>
      <w:r>
        <w:rPr>
          <w:sz w:val="24"/>
        </w:rPr>
        <w:t>A </w:t>
      </w:r>
      <w:r>
        <w:rPr>
          <w:i/>
          <w:sz w:val="24"/>
        </w:rPr>
        <w:t>meter </w:t>
      </w:r>
      <w:r>
        <w:rPr>
          <w:sz w:val="24"/>
        </w:rPr>
        <w:t>must support the recording of Quality of Supply (QoS) events and other events that occur at each </w:t>
      </w:r>
      <w:r>
        <w:rPr>
          <w:i/>
          <w:sz w:val="24"/>
        </w:rPr>
        <w:t>meter </w:t>
      </w:r>
      <w:r>
        <w:rPr>
          <w:sz w:val="24"/>
        </w:rPr>
        <w:t>as detailed as</w:t>
      </w:r>
      <w:r>
        <w:rPr>
          <w:spacing w:val="-3"/>
          <w:sz w:val="24"/>
        </w:rPr>
        <w:t> </w:t>
      </w:r>
      <w:r>
        <w:rPr>
          <w:sz w:val="24"/>
        </w:rPr>
        <w:t>follows:</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5"/>
        <w:gridCol w:w="5885"/>
      </w:tblGrid>
      <w:tr>
        <w:trPr>
          <w:trHeight w:val="395" w:hRule="atLeast"/>
        </w:trPr>
        <w:tc>
          <w:tcPr>
            <w:tcW w:w="14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ID</w:t>
            </w:r>
          </w:p>
        </w:tc>
        <w:tc>
          <w:tcPr>
            <w:tcW w:w="58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Events</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1</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Import energy detected</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2</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Supply contactor opened – local</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3</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Supply contactor opened – remote</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4</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Supply contactor closed – local</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5</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Supply contactor closed – remote</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6</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Undervoltage event</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7</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Overvoltage event</w:t>
            </w:r>
          </w:p>
        </w:tc>
      </w:tr>
      <w:tr>
        <w:trPr>
          <w:trHeight w:val="515" w:hRule="atLeast"/>
        </w:trPr>
        <w:tc>
          <w:tcPr>
            <w:tcW w:w="1485" w:type="dxa"/>
            <w:tcBorders>
              <w:top w:val="single" w:sz="4" w:space="0" w:color="000000"/>
              <w:bottom w:val="single" w:sz="4" w:space="0" w:color="000000"/>
              <w:right w:val="single" w:sz="4" w:space="0" w:color="000000"/>
            </w:tcBorders>
          </w:tcPr>
          <w:p>
            <w:pPr>
              <w:pStyle w:val="TableParagraph"/>
              <w:ind w:left="40"/>
              <w:rPr>
                <w:sz w:val="24"/>
              </w:rPr>
            </w:pPr>
            <w:r>
              <w:rPr>
                <w:sz w:val="24"/>
              </w:rPr>
              <w:t>8</w:t>
            </w:r>
          </w:p>
        </w:tc>
        <w:tc>
          <w:tcPr>
            <w:tcW w:w="58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Tamper detected</w:t>
            </w:r>
          </w:p>
        </w:tc>
      </w:tr>
      <w:tr>
        <w:trPr>
          <w:trHeight w:val="515" w:hRule="atLeast"/>
        </w:trPr>
        <w:tc>
          <w:tcPr>
            <w:tcW w:w="1485" w:type="dxa"/>
            <w:tcBorders>
              <w:top w:val="single" w:sz="4" w:space="0" w:color="000000"/>
              <w:right w:val="single" w:sz="4" w:space="0" w:color="000000"/>
            </w:tcBorders>
          </w:tcPr>
          <w:p>
            <w:pPr>
              <w:pStyle w:val="TableParagraph"/>
              <w:ind w:left="40"/>
              <w:rPr>
                <w:sz w:val="24"/>
              </w:rPr>
            </w:pPr>
            <w:r>
              <w:rPr>
                <w:sz w:val="24"/>
              </w:rPr>
              <w:t>9</w:t>
            </w:r>
          </w:p>
        </w:tc>
        <w:tc>
          <w:tcPr>
            <w:tcW w:w="5885" w:type="dxa"/>
            <w:tcBorders>
              <w:top w:val="single" w:sz="4" w:space="0" w:color="000000"/>
              <w:left w:val="single" w:sz="4" w:space="0" w:color="000000"/>
              <w:right w:val="single" w:sz="4" w:space="0" w:color="000000"/>
            </w:tcBorders>
          </w:tcPr>
          <w:p>
            <w:pPr>
              <w:pStyle w:val="TableParagraph"/>
              <w:rPr>
                <w:sz w:val="24"/>
              </w:rPr>
            </w:pPr>
            <w:r>
              <w:rPr>
                <w:sz w:val="24"/>
              </w:rPr>
              <w:t>Whenever there is a change of meter settings locally</w:t>
            </w:r>
          </w:p>
        </w:tc>
      </w:tr>
    </w:tbl>
    <w:p>
      <w:pPr>
        <w:spacing w:after="0"/>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Undervoltage and overvoltage recording</w:t>
      </w:r>
    </w:p>
    <w:p>
      <w:pPr>
        <w:pStyle w:val="ListParagraph"/>
        <w:numPr>
          <w:ilvl w:val="0"/>
          <w:numId w:val="539"/>
        </w:numPr>
        <w:tabs>
          <w:tab w:pos="1919" w:val="left" w:leader="none"/>
        </w:tabs>
        <w:spacing w:line="240" w:lineRule="auto" w:before="120" w:after="0"/>
        <w:ind w:left="1919" w:right="415" w:hanging="567"/>
        <w:jc w:val="both"/>
        <w:rPr>
          <w:sz w:val="24"/>
        </w:rPr>
      </w:pPr>
      <w:r>
        <w:rPr>
          <w:sz w:val="24"/>
        </w:rPr>
        <w:t>A </w:t>
      </w:r>
      <w:r>
        <w:rPr>
          <w:i/>
          <w:sz w:val="24"/>
        </w:rPr>
        <w:t>meter </w:t>
      </w:r>
      <w:r>
        <w:rPr>
          <w:sz w:val="24"/>
        </w:rPr>
        <w:t>must support the recording of undervoltage and overvoltage events. The thresholds shall be remotely and locally settable for undervoltage in the range of at least -5% to -20% in 1% steps and for overvoltage in the range  of at least +5% to +20% in 1%</w:t>
      </w:r>
      <w:r>
        <w:rPr>
          <w:spacing w:val="-1"/>
          <w:sz w:val="24"/>
        </w:rPr>
        <w:t> </w:t>
      </w:r>
      <w:r>
        <w:rPr>
          <w:sz w:val="24"/>
        </w:rPr>
        <w:t>steps.</w:t>
      </w:r>
    </w:p>
    <w:p>
      <w:pPr>
        <w:spacing w:before="220"/>
        <w:ind w:left="1356" w:right="0" w:firstLine="0"/>
        <w:jc w:val="left"/>
        <w:rPr>
          <w:rFonts w:ascii="Arial"/>
          <w:b/>
          <w:sz w:val="22"/>
        </w:rPr>
      </w:pPr>
      <w:r>
        <w:rPr>
          <w:rFonts w:ascii="Arial"/>
          <w:b/>
          <w:sz w:val="22"/>
        </w:rPr>
        <w:t>Tamper detection</w:t>
      </w:r>
    </w:p>
    <w:p>
      <w:pPr>
        <w:pStyle w:val="ListParagraph"/>
        <w:numPr>
          <w:ilvl w:val="0"/>
          <w:numId w:val="539"/>
        </w:numPr>
        <w:tabs>
          <w:tab w:pos="1919" w:val="left" w:leader="none"/>
        </w:tabs>
        <w:spacing w:line="240" w:lineRule="auto" w:before="120" w:after="0"/>
        <w:ind w:left="1919" w:right="416" w:hanging="567"/>
        <w:jc w:val="both"/>
        <w:rPr>
          <w:sz w:val="24"/>
        </w:rPr>
      </w:pPr>
      <w:r>
        <w:rPr>
          <w:sz w:val="24"/>
        </w:rPr>
        <w:t>A </w:t>
      </w:r>
      <w:r>
        <w:rPr>
          <w:i/>
          <w:sz w:val="24"/>
        </w:rPr>
        <w:t>meter </w:t>
      </w:r>
      <w:r>
        <w:rPr>
          <w:sz w:val="24"/>
        </w:rPr>
        <w:t>must support the detection and recording of an attempt to tamper with the </w:t>
      </w:r>
      <w:r>
        <w:rPr>
          <w:i/>
          <w:sz w:val="24"/>
        </w:rPr>
        <w:t>meter </w:t>
      </w:r>
      <w:r>
        <w:rPr>
          <w:sz w:val="24"/>
        </w:rPr>
        <w:t>as an</w:t>
      </w:r>
      <w:r>
        <w:rPr>
          <w:spacing w:val="-2"/>
          <w:sz w:val="24"/>
        </w:rPr>
        <w:t> </w:t>
      </w:r>
      <w:r>
        <w:rPr>
          <w:sz w:val="24"/>
        </w:rPr>
        <w:t>event.</w:t>
      </w:r>
    </w:p>
    <w:p>
      <w:pPr>
        <w:pStyle w:val="BodyText"/>
        <w:spacing w:before="10"/>
        <w:ind w:firstLine="0"/>
        <w:jc w:val="left"/>
        <w:rPr>
          <w:sz w:val="20"/>
        </w:rPr>
      </w:pPr>
    </w:p>
    <w:p>
      <w:pPr>
        <w:pStyle w:val="Heading4"/>
        <w:ind w:left="218" w:firstLine="0"/>
      </w:pPr>
      <w:bookmarkStart w:name="S7A.5.3.8 Tamper detection" w:id="1909"/>
      <w:bookmarkEnd w:id="1909"/>
      <w:r>
        <w:rPr>
          <w:b w:val="0"/>
        </w:rPr>
      </w:r>
      <w:bookmarkStart w:name="_bookmark780" w:id="1910"/>
      <w:bookmarkEnd w:id="1910"/>
      <w:r>
        <w:rPr>
          <w:b w:val="0"/>
        </w:rPr>
      </w:r>
      <w:r>
        <w:rPr/>
        <w:t>S7A.5.3.8 Tamper detection</w:t>
      </w:r>
    </w:p>
    <w:p>
      <w:pPr>
        <w:spacing w:before="120"/>
        <w:ind w:left="1352" w:right="415" w:firstLine="0"/>
        <w:jc w:val="both"/>
        <w:rPr>
          <w:sz w:val="24"/>
        </w:rPr>
      </w:pPr>
      <w:r>
        <w:rPr>
          <w:sz w:val="24"/>
        </w:rPr>
        <w:t>A </w:t>
      </w:r>
      <w:r>
        <w:rPr>
          <w:i/>
          <w:sz w:val="24"/>
        </w:rPr>
        <w:t>meter </w:t>
      </w:r>
      <w:r>
        <w:rPr>
          <w:sz w:val="24"/>
        </w:rPr>
        <w:t>must support the detection and </w:t>
      </w:r>
      <w:r>
        <w:rPr>
          <w:i/>
          <w:sz w:val="24"/>
        </w:rPr>
        <w:t>recording </w:t>
      </w:r>
      <w:r>
        <w:rPr>
          <w:sz w:val="24"/>
        </w:rPr>
        <w:t>as an event attempts to tamper with the </w:t>
      </w:r>
      <w:r>
        <w:rPr>
          <w:i/>
          <w:sz w:val="24"/>
        </w:rPr>
        <w:t>meter</w:t>
      </w:r>
      <w:r>
        <w:rPr>
          <w:sz w:val="24"/>
        </w:rPr>
        <w:t>.</w:t>
      </w:r>
    </w:p>
    <w:p>
      <w:pPr>
        <w:pStyle w:val="BodyText"/>
        <w:spacing w:before="10"/>
        <w:ind w:firstLine="0"/>
        <w:jc w:val="left"/>
        <w:rPr>
          <w:sz w:val="20"/>
        </w:rPr>
      </w:pPr>
    </w:p>
    <w:p>
      <w:pPr>
        <w:pStyle w:val="Heading4"/>
        <w:ind w:left="218" w:firstLine="0"/>
      </w:pPr>
      <w:bookmarkStart w:name="S7A.5.3.9 Communications and data securi" w:id="1911"/>
      <w:bookmarkEnd w:id="1911"/>
      <w:r>
        <w:rPr>
          <w:b w:val="0"/>
        </w:rPr>
      </w:r>
      <w:bookmarkStart w:name="_bookmark781" w:id="1912"/>
      <w:bookmarkEnd w:id="1912"/>
      <w:r>
        <w:rPr>
          <w:b w:val="0"/>
        </w:rPr>
      </w:r>
      <w:r>
        <w:rPr/>
        <w:t>S7A.5.3.9 Communications and data security</w:t>
      </w:r>
    </w:p>
    <w:p>
      <w:pPr>
        <w:pStyle w:val="BodyText"/>
        <w:ind w:left="1352" w:right="415" w:firstLine="0"/>
      </w:pPr>
      <w:r>
        <w:rPr/>
        <w:t>All device elements must contain the necessary security to prevent unauthorised access or modification of data.</w:t>
      </w:r>
    </w:p>
    <w:p>
      <w:pPr>
        <w:pStyle w:val="BodyText"/>
        <w:spacing w:before="10"/>
        <w:ind w:firstLine="0"/>
        <w:jc w:val="left"/>
        <w:rPr>
          <w:sz w:val="20"/>
        </w:rPr>
      </w:pPr>
    </w:p>
    <w:p>
      <w:pPr>
        <w:pStyle w:val="Heading4"/>
        <w:tabs>
          <w:tab w:pos="1658" w:val="left" w:leader="none"/>
        </w:tabs>
        <w:ind w:left="218" w:firstLine="0"/>
      </w:pPr>
      <w:bookmarkStart w:name="S7A.5.3.10 Remote firmware upgrades" w:id="1913"/>
      <w:bookmarkEnd w:id="1913"/>
      <w:r>
        <w:rPr>
          <w:b w:val="0"/>
        </w:rPr>
      </w:r>
      <w:bookmarkStart w:name="_bookmark782" w:id="1914"/>
      <w:bookmarkEnd w:id="1914"/>
      <w:r>
        <w:rPr>
          <w:b w:val="0"/>
        </w:rPr>
      </w:r>
      <w:r>
        <w:rPr/>
        <w:t>S7A.5.3.10</w:t>
        <w:tab/>
        <w:t>Remote firmware</w:t>
      </w:r>
      <w:r>
        <w:rPr>
          <w:spacing w:val="-2"/>
        </w:rPr>
        <w:t> </w:t>
      </w:r>
      <w:r>
        <w:rPr/>
        <w:t>upgrades</w:t>
      </w:r>
    </w:p>
    <w:p>
      <w:pPr>
        <w:pStyle w:val="BodyText"/>
        <w:ind w:left="1352" w:right="415" w:firstLine="0"/>
      </w:pPr>
      <w:r>
        <w:rPr>
          <w:i/>
        </w:rPr>
        <w:t>Meters </w:t>
      </w:r>
      <w:r>
        <w:rPr/>
        <w:t>must have the capability for their firmware to be remotely upgraded. It must be possible to remotely change firmware without impacting the metrology functions of the </w:t>
      </w:r>
      <w:r>
        <w:rPr>
          <w:i/>
        </w:rPr>
        <w:t>meter</w:t>
      </w:r>
      <w:r>
        <w:rPr/>
        <w:t>.</w:t>
      </w:r>
    </w:p>
    <w:p>
      <w:pPr>
        <w:pStyle w:val="BodyText"/>
        <w:spacing w:before="10"/>
        <w:ind w:firstLine="0"/>
        <w:jc w:val="left"/>
        <w:rPr>
          <w:sz w:val="20"/>
        </w:rPr>
      </w:pPr>
    </w:p>
    <w:p>
      <w:pPr>
        <w:pStyle w:val="Heading4"/>
        <w:tabs>
          <w:tab w:pos="1658" w:val="left" w:leader="none"/>
        </w:tabs>
        <w:ind w:left="218" w:firstLine="0"/>
      </w:pPr>
      <w:bookmarkStart w:name="S7A.5.3.11 Remote arming" w:id="1915"/>
      <w:bookmarkEnd w:id="1915"/>
      <w:r>
        <w:rPr>
          <w:b w:val="0"/>
        </w:rPr>
      </w:r>
      <w:bookmarkStart w:name="_bookmark783" w:id="1916"/>
      <w:bookmarkEnd w:id="1916"/>
      <w:r>
        <w:rPr>
          <w:b w:val="0"/>
        </w:rPr>
      </w:r>
      <w:r>
        <w:rPr/>
        <w:t>S7A.5.3.11</w:t>
        <w:tab/>
        <w:t>Remote</w:t>
      </w:r>
      <w:r>
        <w:rPr>
          <w:spacing w:val="-1"/>
        </w:rPr>
        <w:t> </w:t>
      </w:r>
      <w:r>
        <w:rPr/>
        <w:t>arming</w:t>
      </w:r>
    </w:p>
    <w:p>
      <w:pPr>
        <w:pStyle w:val="BodyText"/>
        <w:ind w:left="1352" w:firstLine="0"/>
      </w:pPr>
      <w:r>
        <w:rPr>
          <w:i/>
        </w:rPr>
        <w:t>Meters </w:t>
      </w:r>
      <w:r>
        <w:rPr/>
        <w:t>must have the capability to be remotely armed.</w:t>
      </w:r>
    </w:p>
    <w:p>
      <w:pPr>
        <w:pStyle w:val="BodyText"/>
        <w:spacing w:before="10"/>
        <w:ind w:firstLine="0"/>
        <w:jc w:val="left"/>
        <w:rPr>
          <w:sz w:val="20"/>
        </w:rPr>
      </w:pPr>
    </w:p>
    <w:p>
      <w:pPr>
        <w:pStyle w:val="Heading2"/>
        <w:tabs>
          <w:tab w:pos="2485" w:val="left" w:leader="none"/>
        </w:tabs>
      </w:pPr>
      <w:bookmarkStart w:name="Schedule 7A.6 Inspection and testing req" w:id="1917"/>
      <w:bookmarkEnd w:id="1917"/>
      <w:r>
        <w:rPr>
          <w:b w:val="0"/>
        </w:rPr>
      </w:r>
      <w:bookmarkStart w:name="_bookmark784" w:id="1918"/>
      <w:bookmarkEnd w:id="1918"/>
      <w:r>
        <w:rPr>
          <w:b w:val="0"/>
        </w:rPr>
      </w:r>
      <w:r>
        <w:rPr/>
        <w:t>Schedule</w:t>
      </w:r>
      <w:r>
        <w:rPr>
          <w:spacing w:val="-1"/>
        </w:rPr>
        <w:t> </w:t>
      </w:r>
      <w:r>
        <w:rPr/>
        <w:t>7A.6</w:t>
        <w:tab/>
        <w:t>Inspection and testing</w:t>
      </w:r>
      <w:r>
        <w:rPr>
          <w:spacing w:val="-3"/>
        </w:rPr>
        <w:t> </w:t>
      </w:r>
      <w:r>
        <w:rPr/>
        <w:t>requirements</w:t>
      </w:r>
    </w:p>
    <w:p>
      <w:pPr>
        <w:pStyle w:val="Heading4"/>
        <w:tabs>
          <w:tab w:pos="1351" w:val="left" w:leader="none"/>
        </w:tabs>
        <w:spacing w:before="240"/>
        <w:ind w:left="218" w:firstLine="0"/>
      </w:pPr>
      <w:bookmarkStart w:name="S7A.6.1 General" w:id="1919"/>
      <w:bookmarkEnd w:id="1919"/>
      <w:r>
        <w:rPr>
          <w:b w:val="0"/>
        </w:rPr>
      </w:r>
      <w:bookmarkStart w:name="_bookmark785" w:id="1920"/>
      <w:bookmarkEnd w:id="1920"/>
      <w:r>
        <w:rPr>
          <w:b w:val="0"/>
        </w:rPr>
      </w:r>
      <w:r>
        <w:rPr/>
        <w:t>S7A.6.1</w:t>
        <w:tab/>
        <w:t>General</w:t>
      </w:r>
    </w:p>
    <w:p>
      <w:pPr>
        <w:pStyle w:val="ListParagraph"/>
        <w:numPr>
          <w:ilvl w:val="0"/>
          <w:numId w:val="540"/>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equipment comprised in a purchased </w:t>
      </w:r>
      <w:r>
        <w:rPr>
          <w:i/>
          <w:sz w:val="24"/>
        </w:rPr>
        <w:t>metering installation </w:t>
      </w:r>
      <w:r>
        <w:rPr>
          <w:sz w:val="24"/>
        </w:rPr>
        <w:t>has been tested to the required class accuracy with less than the uncertainties set out in Table</w:t>
      </w:r>
      <w:r>
        <w:rPr>
          <w:spacing w:val="-11"/>
          <w:sz w:val="24"/>
        </w:rPr>
        <w:t> </w:t>
      </w:r>
      <w:r>
        <w:rPr>
          <w:sz w:val="24"/>
        </w:rPr>
        <w:t>S7A.6.1.1.</w:t>
      </w:r>
    </w:p>
    <w:p>
      <w:pPr>
        <w:pStyle w:val="ListParagraph"/>
        <w:numPr>
          <w:ilvl w:val="0"/>
          <w:numId w:val="540"/>
        </w:numPr>
        <w:tabs>
          <w:tab w:pos="1919" w:val="left" w:leader="none"/>
        </w:tabs>
        <w:spacing w:line="240" w:lineRule="auto" w:before="120" w:after="0"/>
        <w:ind w:left="1919" w:right="413" w:hanging="567"/>
        <w:jc w:val="both"/>
        <w:rPr>
          <w:sz w:val="24"/>
        </w:rPr>
      </w:pPr>
      <w:r>
        <w:rPr>
          <w:sz w:val="24"/>
        </w:rPr>
        <w:t>The </w:t>
      </w:r>
      <w:r>
        <w:rPr>
          <w:i/>
          <w:sz w:val="24"/>
        </w:rPr>
        <w:t>Metering Coordinator </w:t>
      </w:r>
      <w:r>
        <w:rPr>
          <w:sz w:val="24"/>
        </w:rPr>
        <w:t>must ensure appropriate test certificates of the tests referred to in paragraph (a) are</w:t>
      </w:r>
      <w:r>
        <w:rPr>
          <w:spacing w:val="-2"/>
          <w:sz w:val="24"/>
        </w:rPr>
        <w:t> </w:t>
      </w:r>
      <w:r>
        <w:rPr>
          <w:sz w:val="24"/>
        </w:rPr>
        <w:t>retained.</w:t>
      </w:r>
    </w:p>
    <w:p>
      <w:pPr>
        <w:pStyle w:val="ListParagraph"/>
        <w:numPr>
          <w:ilvl w:val="0"/>
          <w:numId w:val="540"/>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(or any other person arranging for testing) must ensure that testing of the </w:t>
      </w:r>
      <w:r>
        <w:rPr>
          <w:i/>
          <w:sz w:val="24"/>
        </w:rPr>
        <w:t>metering installation </w:t>
      </w:r>
      <w:r>
        <w:rPr>
          <w:sz w:val="24"/>
        </w:rPr>
        <w:t>is carried</w:t>
      </w:r>
      <w:r>
        <w:rPr>
          <w:spacing w:val="-3"/>
          <w:sz w:val="24"/>
        </w:rPr>
        <w:t> </w:t>
      </w:r>
      <w:r>
        <w:rPr>
          <w:sz w:val="24"/>
        </w:rPr>
        <w:t>out:</w:t>
      </w:r>
    </w:p>
    <w:p>
      <w:pPr>
        <w:pStyle w:val="ListParagraph"/>
        <w:numPr>
          <w:ilvl w:val="1"/>
          <w:numId w:val="540"/>
        </w:numPr>
        <w:tabs>
          <w:tab w:pos="2486" w:val="left" w:leader="none"/>
        </w:tabs>
        <w:spacing w:line="240" w:lineRule="auto" w:before="120" w:after="0"/>
        <w:ind w:left="2485" w:right="0" w:hanging="567"/>
        <w:jc w:val="both"/>
        <w:rPr>
          <w:sz w:val="24"/>
        </w:rPr>
      </w:pPr>
      <w:r>
        <w:rPr>
          <w:sz w:val="24"/>
        </w:rPr>
        <w:t>in accordance</w:t>
      </w:r>
      <w:r>
        <w:rPr>
          <w:spacing w:val="-2"/>
          <w:sz w:val="24"/>
        </w:rPr>
        <w:t> </w:t>
      </w:r>
      <w:r>
        <w:rPr>
          <w:sz w:val="24"/>
        </w:rPr>
        <w:t>with:</w:t>
      </w:r>
    </w:p>
    <w:p>
      <w:pPr>
        <w:pStyle w:val="ListParagraph"/>
        <w:numPr>
          <w:ilvl w:val="2"/>
          <w:numId w:val="540"/>
        </w:numPr>
        <w:tabs>
          <w:tab w:pos="3053" w:val="left" w:leader="none"/>
        </w:tabs>
        <w:spacing w:line="240" w:lineRule="auto" w:before="120" w:after="0"/>
        <w:ind w:left="3052" w:right="0" w:hanging="567"/>
        <w:jc w:val="both"/>
        <w:rPr>
          <w:sz w:val="24"/>
        </w:rPr>
      </w:pPr>
      <w:r>
        <w:rPr>
          <w:sz w:val="24"/>
        </w:rPr>
        <w:t>clause 7A.7.2 and this schedule;</w:t>
      </w:r>
      <w:r>
        <w:rPr>
          <w:spacing w:val="-1"/>
          <w:sz w:val="24"/>
        </w:rPr>
        <w:t> </w:t>
      </w:r>
      <w:r>
        <w:rPr>
          <w:sz w:val="24"/>
        </w:rPr>
        <w:t>or</w:t>
      </w:r>
    </w:p>
    <w:p>
      <w:pPr>
        <w:pStyle w:val="ListParagraph"/>
        <w:numPr>
          <w:ilvl w:val="2"/>
          <w:numId w:val="540"/>
        </w:numPr>
        <w:tabs>
          <w:tab w:pos="3054" w:val="left" w:leader="none"/>
        </w:tabs>
        <w:spacing w:line="240" w:lineRule="auto" w:before="120" w:after="0"/>
        <w:ind w:left="3053" w:right="415" w:hanging="567"/>
        <w:jc w:val="both"/>
        <w:rPr>
          <w:sz w:val="24"/>
        </w:rPr>
      </w:pPr>
      <w:r>
        <w:rPr>
          <w:sz w:val="24"/>
        </w:rPr>
        <w:t>an asset management strategy that defines an alternative testing practice (other than time based) determined by the </w:t>
      </w:r>
      <w:r>
        <w:rPr>
          <w:i/>
          <w:spacing w:val="-3"/>
          <w:sz w:val="24"/>
        </w:rPr>
        <w:t>Metering </w:t>
      </w:r>
      <w:r>
        <w:rPr>
          <w:i/>
          <w:sz w:val="24"/>
        </w:rPr>
        <w:t>Coordinator </w:t>
      </w:r>
      <w:r>
        <w:rPr>
          <w:sz w:val="24"/>
        </w:rPr>
        <w:t>and approved by</w:t>
      </w:r>
      <w:r>
        <w:rPr>
          <w:spacing w:val="-2"/>
          <w:sz w:val="24"/>
        </w:rPr>
        <w:t> </w:t>
      </w:r>
      <w:r>
        <w:rPr>
          <w:i/>
          <w:sz w:val="24"/>
        </w:rPr>
        <w:t>NTESMO</w:t>
      </w:r>
      <w:r>
        <w:rPr>
          <w:sz w:val="24"/>
        </w:rPr>
        <w:t>;</w:t>
      </w:r>
    </w:p>
    <w:p>
      <w:pPr>
        <w:pStyle w:val="ListParagraph"/>
        <w:numPr>
          <w:ilvl w:val="1"/>
          <w:numId w:val="540"/>
        </w:numPr>
        <w:tabs>
          <w:tab w:pos="2486" w:val="left" w:leader="none"/>
        </w:tabs>
        <w:spacing w:line="240" w:lineRule="auto" w:before="120" w:after="0"/>
        <w:ind w:left="2485" w:right="0" w:hanging="567"/>
        <w:jc w:val="both"/>
        <w:rPr>
          <w:sz w:val="24"/>
        </w:rPr>
      </w:pPr>
      <w:r>
        <w:rPr>
          <w:sz w:val="24"/>
        </w:rPr>
        <w:t>in accordance with a test plan that has been registered with</w:t>
      </w:r>
      <w:r>
        <w:rPr>
          <w:spacing w:val="-6"/>
          <w:sz w:val="24"/>
        </w:rPr>
        <w:t> </w:t>
      </w:r>
      <w:r>
        <w:rPr>
          <w:i/>
          <w:sz w:val="24"/>
        </w:rPr>
        <w:t>NTESMO</w:t>
      </w:r>
      <w:r>
        <w:rPr>
          <w:sz w:val="24"/>
        </w:rPr>
        <w:t>;</w:t>
      </w:r>
    </w:p>
    <w:p>
      <w:pPr>
        <w:pStyle w:val="ListParagraph"/>
        <w:numPr>
          <w:ilvl w:val="1"/>
          <w:numId w:val="540"/>
        </w:numPr>
        <w:tabs>
          <w:tab w:pos="2486" w:val="left" w:leader="none"/>
        </w:tabs>
        <w:spacing w:line="240" w:lineRule="auto" w:before="120" w:after="0"/>
        <w:ind w:left="2486" w:right="416" w:hanging="567"/>
        <w:jc w:val="both"/>
        <w:rPr>
          <w:sz w:val="24"/>
        </w:rPr>
      </w:pPr>
      <w:r>
        <w:rPr>
          <w:sz w:val="24"/>
        </w:rPr>
        <w:t>to the same requirements as for new equipment where equipment is to be recycled for use in another site;</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540"/>
        </w:numPr>
        <w:tabs>
          <w:tab w:pos="2485" w:val="left" w:leader="none"/>
          <w:tab w:pos="2486" w:val="left" w:leader="none"/>
        </w:tabs>
        <w:spacing w:line="240" w:lineRule="auto" w:before="83" w:after="0"/>
        <w:ind w:left="2486" w:right="415" w:hanging="567"/>
        <w:jc w:val="left"/>
        <w:rPr>
          <w:sz w:val="24"/>
        </w:rPr>
      </w:pPr>
      <w:r>
        <w:rPr>
          <w:sz w:val="24"/>
        </w:rPr>
        <w:t>so as to include all data storage and processing components specified in schedule</w:t>
      </w:r>
      <w:r>
        <w:rPr>
          <w:spacing w:val="-2"/>
          <w:sz w:val="24"/>
        </w:rPr>
        <w:t> </w:t>
      </w:r>
      <w:r>
        <w:rPr>
          <w:sz w:val="24"/>
        </w:rPr>
        <w:t>7A.7.</w:t>
      </w:r>
    </w:p>
    <w:p>
      <w:pPr>
        <w:pStyle w:val="ListParagraph"/>
        <w:numPr>
          <w:ilvl w:val="0"/>
          <w:numId w:val="540"/>
        </w:numPr>
        <w:tabs>
          <w:tab w:pos="1918" w:val="left" w:leader="none"/>
          <w:tab w:pos="1919" w:val="left" w:leader="none"/>
        </w:tabs>
        <w:spacing w:line="240" w:lineRule="auto" w:before="120" w:after="0"/>
        <w:ind w:left="1919" w:right="414" w:hanging="567"/>
        <w:jc w:val="left"/>
        <w:rPr>
          <w:sz w:val="24"/>
        </w:rPr>
      </w:pPr>
      <w:r>
        <w:rPr>
          <w:sz w:val="24"/>
        </w:rPr>
        <w:t>The testing intervals may be increased if the equipment type/experience proves</w:t>
      </w:r>
      <w:r>
        <w:rPr>
          <w:spacing w:val="-1"/>
          <w:sz w:val="24"/>
        </w:rPr>
        <w:t> </w:t>
      </w:r>
      <w:r>
        <w:rPr>
          <w:sz w:val="24"/>
        </w:rPr>
        <w:t>favourable.</w:t>
      </w:r>
    </w:p>
    <w:p>
      <w:pPr>
        <w:pStyle w:val="ListParagraph"/>
        <w:numPr>
          <w:ilvl w:val="0"/>
          <w:numId w:val="540"/>
        </w:numPr>
        <w:tabs>
          <w:tab w:pos="1918" w:val="left" w:leader="none"/>
          <w:tab w:pos="1919" w:val="left" w:leader="none"/>
        </w:tabs>
        <w:spacing w:line="240" w:lineRule="auto" w:before="120" w:after="0"/>
        <w:ind w:left="1918" w:right="0" w:hanging="567"/>
        <w:jc w:val="left"/>
        <w:rPr>
          <w:i/>
          <w:sz w:val="24"/>
        </w:rPr>
      </w:pPr>
      <w:r>
        <w:rPr>
          <w:sz w:val="24"/>
        </w:rPr>
        <w:t>The maximum allowable level of testing uncertainty (±) for all</w:t>
      </w:r>
      <w:r>
        <w:rPr>
          <w:spacing w:val="11"/>
          <w:sz w:val="24"/>
        </w:rPr>
        <w:t> </w:t>
      </w:r>
      <w:r>
        <w:rPr>
          <w:i/>
          <w:sz w:val="24"/>
        </w:rPr>
        <w:t>metering</w:t>
      </w:r>
    </w:p>
    <w:p>
      <w:pPr>
        <w:pStyle w:val="BodyText"/>
        <w:spacing w:before="0"/>
        <w:ind w:left="1919" w:firstLine="0"/>
        <w:jc w:val="left"/>
      </w:pPr>
      <w:r>
        <w:rPr/>
        <w:t>equipment must be in accordance with Table S7A.6.1.1.</w:t>
      </w:r>
    </w:p>
    <w:p>
      <w:pPr>
        <w:spacing w:before="120"/>
        <w:ind w:left="218" w:right="0" w:firstLine="0"/>
        <w:jc w:val="left"/>
        <w:rPr>
          <w:rFonts w:ascii="Arial" w:hAnsi="Arial"/>
          <w:b/>
          <w:sz w:val="22"/>
        </w:rPr>
      </w:pPr>
      <w:r>
        <w:rPr>
          <w:rFonts w:ascii="Arial" w:hAnsi="Arial"/>
          <w:b/>
          <w:sz w:val="22"/>
        </w:rPr>
        <w:t>Table S7A.6.1.1 Maximum allowable level of testing uncertainty (±)</w:t>
      </w:r>
    </w:p>
    <w:p>
      <w:pPr>
        <w:pStyle w:val="BodyText"/>
        <w:spacing w:before="8"/>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96"/>
        <w:gridCol w:w="1296"/>
        <w:gridCol w:w="1295"/>
        <w:gridCol w:w="1295"/>
        <w:gridCol w:w="1295"/>
        <w:gridCol w:w="1295"/>
        <w:gridCol w:w="1299"/>
      </w:tblGrid>
      <w:tr>
        <w:trPr>
          <w:trHeight w:val="395" w:hRule="atLeast"/>
        </w:trPr>
        <w:tc>
          <w:tcPr>
            <w:tcW w:w="2592" w:type="dxa"/>
            <w:gridSpan w:val="2"/>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Description</w:t>
            </w:r>
          </w:p>
        </w:tc>
        <w:tc>
          <w:tcPr>
            <w:tcW w:w="6479" w:type="dxa"/>
            <w:gridSpan w:val="5"/>
            <w:tcBorders>
              <w:left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Metering Equipment Class</w:t>
            </w:r>
          </w:p>
        </w:tc>
      </w:tr>
      <w:tr>
        <w:trPr>
          <w:trHeight w:val="671" w:hRule="atLeast"/>
        </w:trPr>
        <w:tc>
          <w:tcPr>
            <w:tcW w:w="2592" w:type="dxa"/>
            <w:gridSpan w:val="2"/>
            <w:vMerge/>
            <w:tcBorders>
              <w:top w:val="nil"/>
              <w:bottom w:val="single" w:sz="4" w:space="0" w:color="000000"/>
              <w:right w:val="single" w:sz="4" w:space="0" w:color="000000"/>
            </w:tcBorders>
            <w:shd w:val="clear" w:color="auto" w:fill="D9D9D9"/>
          </w:tcPr>
          <w:p>
            <w:pPr>
              <w:rPr>
                <w:sz w:val="2"/>
                <w:szCs w:val="2"/>
              </w:rPr>
            </w:pPr>
          </w:p>
        </w:tc>
        <w:tc>
          <w:tcPr>
            <w:tcW w:w="1295"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Class 0.2</w:t>
            </w:r>
          </w:p>
        </w:tc>
        <w:tc>
          <w:tcPr>
            <w:tcW w:w="1295"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Class 0.5</w:t>
            </w:r>
          </w:p>
        </w:tc>
        <w:tc>
          <w:tcPr>
            <w:tcW w:w="1295"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Class 1.0</w:t>
            </w:r>
          </w:p>
        </w:tc>
        <w:tc>
          <w:tcPr>
            <w:tcW w:w="1295"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259"/>
              <w:rPr>
                <w:rFonts w:ascii="Arial"/>
                <w:b/>
                <w:sz w:val="24"/>
              </w:rPr>
            </w:pPr>
            <w:r>
              <w:rPr>
                <w:rFonts w:ascii="Arial"/>
                <w:b/>
                <w:sz w:val="24"/>
              </w:rPr>
              <w:t>General Purpose</w:t>
            </w:r>
          </w:p>
        </w:tc>
        <w:tc>
          <w:tcPr>
            <w:tcW w:w="1299"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Class 2.0</w:t>
            </w:r>
          </w:p>
        </w:tc>
      </w:tr>
      <w:tr>
        <w:trPr>
          <w:trHeight w:val="911" w:hRule="atLeast"/>
        </w:trPr>
        <w:tc>
          <w:tcPr>
            <w:tcW w:w="1296" w:type="dxa"/>
            <w:vMerge w:val="restart"/>
            <w:tcBorders>
              <w:top w:val="single" w:sz="4" w:space="0" w:color="000000"/>
              <w:bottom w:val="single" w:sz="4" w:space="0" w:color="000000"/>
              <w:right w:val="single" w:sz="4" w:space="0" w:color="000000"/>
            </w:tcBorders>
            <w:textDirection w:val="btLr"/>
          </w:tcPr>
          <w:p>
            <w:pPr>
              <w:pStyle w:val="TableParagraph"/>
              <w:spacing w:before="0"/>
              <w:ind w:left="0"/>
              <w:rPr>
                <w:rFonts w:ascii="Arial"/>
                <w:b/>
                <w:sz w:val="26"/>
              </w:rPr>
            </w:pPr>
          </w:p>
          <w:p>
            <w:pPr>
              <w:pStyle w:val="TableParagraph"/>
              <w:spacing w:before="211"/>
              <w:ind w:left="779"/>
              <w:rPr>
                <w:sz w:val="24"/>
              </w:rPr>
            </w:pPr>
            <w:r>
              <w:rPr>
                <w:sz w:val="24"/>
              </w:rPr>
              <w:t>In Laboratory</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right="321"/>
              <w:rPr>
                <w:sz w:val="24"/>
              </w:rPr>
            </w:pPr>
            <w:r>
              <w:rPr>
                <w:sz w:val="24"/>
              </w:rPr>
              <w:t>CTs ratio phase</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0.05%</w:t>
            </w:r>
          </w:p>
          <w:p>
            <w:pPr>
              <w:pStyle w:val="TableParagraph"/>
              <w:rPr>
                <w:sz w:val="24"/>
              </w:rPr>
            </w:pPr>
            <w:r>
              <w:rPr>
                <w:sz w:val="24"/>
              </w:rPr>
              <w:t>0.07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0.1%</w:t>
            </w:r>
          </w:p>
          <w:p>
            <w:pPr>
              <w:pStyle w:val="TableParagraph"/>
              <w:rPr>
                <w:sz w:val="24"/>
              </w:rPr>
            </w:pPr>
            <w:r>
              <w:rPr>
                <w:sz w:val="24"/>
              </w:rPr>
              <w:t>0.15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911" w:hRule="atLeast"/>
        </w:trPr>
        <w:tc>
          <w:tcPr>
            <w:tcW w:w="1296" w:type="dxa"/>
            <w:vMerge/>
            <w:tcBorders>
              <w:top w:val="nil"/>
              <w:bottom w:val="single" w:sz="4" w:space="0" w:color="000000"/>
              <w:right w:val="single" w:sz="4" w:space="0" w:color="000000"/>
            </w:tcBorders>
            <w:textDirection w:val="btLr"/>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right="307"/>
              <w:rPr>
                <w:sz w:val="24"/>
              </w:rPr>
            </w:pPr>
            <w:r>
              <w:rPr>
                <w:sz w:val="24"/>
              </w:rPr>
              <w:t>VTs ratio Phase</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0.05%</w:t>
            </w:r>
          </w:p>
          <w:p>
            <w:pPr>
              <w:pStyle w:val="TableParagraph"/>
              <w:rPr>
                <w:sz w:val="24"/>
              </w:rPr>
            </w:pPr>
            <w:r>
              <w:rPr>
                <w:sz w:val="24"/>
              </w:rPr>
              <w:t>0.05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0.1%</w:t>
            </w:r>
          </w:p>
          <w:p>
            <w:pPr>
              <w:pStyle w:val="TableParagraph"/>
              <w:rPr>
                <w:sz w:val="24"/>
              </w:rPr>
            </w:pPr>
            <w:r>
              <w:rPr>
                <w:sz w:val="24"/>
              </w:rPr>
              <w:t>0.1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515" w:hRule="atLeast"/>
        </w:trPr>
        <w:tc>
          <w:tcPr>
            <w:tcW w:w="1296" w:type="dxa"/>
            <w:vMerge/>
            <w:tcBorders>
              <w:top w:val="nil"/>
              <w:bottom w:val="single" w:sz="4" w:space="0" w:color="000000"/>
              <w:right w:val="single" w:sz="4" w:space="0" w:color="000000"/>
            </w:tcBorders>
            <w:textDirection w:val="btLr"/>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Meters Wh</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0.05/cosφ%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0.1/cosφ%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0.2/cosφ%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0.2/cosφ%</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515" w:hRule="atLeast"/>
        </w:trPr>
        <w:tc>
          <w:tcPr>
            <w:tcW w:w="1296" w:type="dxa"/>
            <w:vMerge/>
            <w:tcBorders>
              <w:top w:val="nil"/>
              <w:bottom w:val="single" w:sz="4" w:space="0" w:color="000000"/>
              <w:right w:val="single" w:sz="4" w:space="0" w:color="000000"/>
            </w:tcBorders>
            <w:textDirection w:val="btLr"/>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Meters varh</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0.2/sinφ%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0.3/sinφ%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0.4/sinφ%</w:t>
            </w:r>
          </w:p>
        </w:tc>
      </w:tr>
      <w:tr>
        <w:trPr>
          <w:trHeight w:val="911" w:hRule="atLeast"/>
        </w:trPr>
        <w:tc>
          <w:tcPr>
            <w:tcW w:w="1296" w:type="dxa"/>
            <w:tcBorders>
              <w:top w:val="single" w:sz="4" w:space="0" w:color="000000"/>
              <w:bottom w:val="single" w:sz="4" w:space="0" w:color="000000"/>
              <w:right w:val="single" w:sz="4" w:space="0" w:color="000000"/>
            </w:tcBorders>
            <w:textDirection w:val="btLr"/>
          </w:tcPr>
          <w:p>
            <w:pPr>
              <w:pStyle w:val="TableParagraph"/>
              <w:spacing w:before="0"/>
              <w:ind w:left="0"/>
              <w:rPr>
                <w:rFonts w:ascii="Arial"/>
                <w:b/>
                <w:sz w:val="26"/>
              </w:rPr>
            </w:pPr>
          </w:p>
          <w:p>
            <w:pPr>
              <w:pStyle w:val="TableParagraph"/>
              <w:spacing w:before="211"/>
              <w:ind w:left="79"/>
              <w:rPr>
                <w:sz w:val="24"/>
              </w:rPr>
            </w:pPr>
            <w:r>
              <w:rPr>
                <w:sz w:val="24"/>
              </w:rPr>
              <w:t>In Field</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right="321"/>
              <w:rPr>
                <w:sz w:val="24"/>
              </w:rPr>
            </w:pPr>
            <w:r>
              <w:rPr>
                <w:sz w:val="24"/>
              </w:rPr>
              <w:t>CTs ratio Phase</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0.1%</w:t>
            </w:r>
          </w:p>
          <w:p>
            <w:pPr>
              <w:pStyle w:val="TableParagraph"/>
              <w:rPr>
                <w:sz w:val="24"/>
              </w:rPr>
            </w:pPr>
            <w:r>
              <w:rPr>
                <w:sz w:val="24"/>
              </w:rPr>
              <w:t>0.15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0.2%</w:t>
            </w:r>
          </w:p>
          <w:p>
            <w:pPr>
              <w:pStyle w:val="TableParagraph"/>
              <w:rPr>
                <w:sz w:val="24"/>
              </w:rPr>
            </w:pPr>
            <w:r>
              <w:rPr>
                <w:sz w:val="24"/>
              </w:rPr>
              <w:t>0.3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906" w:hRule="atLeast"/>
        </w:trPr>
        <w:tc>
          <w:tcPr>
            <w:tcW w:w="1296" w:type="dxa"/>
            <w:vMerge w:val="restart"/>
            <w:tcBorders>
              <w:top w:val="single" w:sz="4" w:space="0" w:color="000000"/>
              <w:right w:val="single" w:sz="4" w:space="0" w:color="000000"/>
            </w:tcBorders>
            <w:textDirection w:val="btLr"/>
          </w:tcPr>
          <w:p>
            <w:pPr>
              <w:pStyle w:val="TableParagraph"/>
              <w:spacing w:before="0"/>
              <w:ind w:left="0"/>
              <w:rPr>
                <w:rFonts w:ascii="Arial"/>
                <w:b/>
                <w:sz w:val="26"/>
              </w:rPr>
            </w:pPr>
          </w:p>
          <w:p>
            <w:pPr>
              <w:pStyle w:val="TableParagraph"/>
              <w:spacing w:before="211"/>
              <w:ind w:left="1044" w:right="1044"/>
              <w:jc w:val="center"/>
              <w:rPr>
                <w:sz w:val="24"/>
              </w:rPr>
            </w:pPr>
            <w:r>
              <w:rPr>
                <w:sz w:val="24"/>
              </w:rPr>
              <w:t>In Field</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390" w:lineRule="atLeast" w:before="6"/>
              <w:ind w:right="321"/>
              <w:rPr>
                <w:sz w:val="24"/>
              </w:rPr>
            </w:pPr>
            <w:r>
              <w:rPr>
                <w:sz w:val="24"/>
              </w:rPr>
              <w:t>CTs ratio Phase</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0.1%</w:t>
            </w:r>
          </w:p>
          <w:p>
            <w:pPr>
              <w:pStyle w:val="TableParagraph"/>
              <w:rPr>
                <w:sz w:val="24"/>
              </w:rPr>
            </w:pPr>
            <w:r>
              <w:rPr>
                <w:sz w:val="24"/>
              </w:rPr>
              <w:t>0.15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0.2%</w:t>
            </w:r>
          </w:p>
          <w:p>
            <w:pPr>
              <w:pStyle w:val="TableParagraph"/>
              <w:rPr>
                <w:sz w:val="24"/>
              </w:rPr>
            </w:pPr>
            <w:r>
              <w:rPr>
                <w:sz w:val="24"/>
              </w:rPr>
              <w:t>0.3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n/a</w:t>
            </w:r>
          </w:p>
        </w:tc>
      </w:tr>
      <w:tr>
        <w:trPr>
          <w:trHeight w:val="901" w:hRule="atLeast"/>
        </w:trPr>
        <w:tc>
          <w:tcPr>
            <w:tcW w:w="1296" w:type="dxa"/>
            <w:vMerge/>
            <w:tcBorders>
              <w:top w:val="nil"/>
              <w:right w:val="single" w:sz="4" w:space="0" w:color="000000"/>
            </w:tcBorders>
            <w:textDirection w:val="btLr"/>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396" w:lineRule="exact" w:before="22"/>
              <w:ind w:right="307"/>
              <w:rPr>
                <w:sz w:val="24"/>
              </w:rPr>
            </w:pPr>
            <w:r>
              <w:rPr>
                <w:sz w:val="24"/>
              </w:rPr>
              <w:t>VTs ratio Phase</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0.1%</w:t>
            </w:r>
          </w:p>
          <w:p>
            <w:pPr>
              <w:pStyle w:val="TableParagraph"/>
              <w:rPr>
                <w:sz w:val="24"/>
              </w:rPr>
            </w:pPr>
            <w:r>
              <w:rPr>
                <w:sz w:val="24"/>
              </w:rPr>
              <w:t>0.1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0.2%</w:t>
            </w:r>
          </w:p>
          <w:p>
            <w:pPr>
              <w:pStyle w:val="TableParagraph"/>
              <w:rPr>
                <w:sz w:val="24"/>
              </w:rPr>
            </w:pPr>
            <w:r>
              <w:rPr>
                <w:sz w:val="24"/>
              </w:rPr>
              <w:t>0.2 crad</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n/a</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n/a</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n/a</w:t>
            </w:r>
          </w:p>
        </w:tc>
      </w:tr>
      <w:tr>
        <w:trPr>
          <w:trHeight w:val="505" w:hRule="atLeast"/>
        </w:trPr>
        <w:tc>
          <w:tcPr>
            <w:tcW w:w="1296" w:type="dxa"/>
            <w:vMerge/>
            <w:tcBorders>
              <w:top w:val="nil"/>
              <w:right w:val="single" w:sz="4" w:space="0" w:color="000000"/>
            </w:tcBorders>
            <w:textDirection w:val="btLr"/>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Meters Wh</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0.1/cosφ%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0.2/cosφ%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0.3/cosφ%</w:t>
            </w:r>
          </w:p>
        </w:tc>
        <w:tc>
          <w:tcPr>
            <w:tcW w:w="1295"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0.3/cosφ%</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spacing w:before="115"/>
              <w:rPr>
                <w:sz w:val="24"/>
              </w:rPr>
            </w:pPr>
            <w:r>
              <w:rPr>
                <w:sz w:val="24"/>
              </w:rPr>
              <w:t>n/a</w:t>
            </w:r>
          </w:p>
        </w:tc>
      </w:tr>
      <w:tr>
        <w:trPr>
          <w:trHeight w:val="510" w:hRule="atLeast"/>
        </w:trPr>
        <w:tc>
          <w:tcPr>
            <w:tcW w:w="1296" w:type="dxa"/>
            <w:vMerge/>
            <w:tcBorders>
              <w:top w:val="nil"/>
              <w:right w:val="single" w:sz="4" w:space="0" w:color="000000"/>
            </w:tcBorders>
            <w:textDirection w:val="btLr"/>
          </w:tcPr>
          <w:p>
            <w:pPr>
              <w:rPr>
                <w:sz w:val="2"/>
                <w:szCs w:val="2"/>
              </w:rPr>
            </w:pPr>
          </w:p>
        </w:tc>
        <w:tc>
          <w:tcPr>
            <w:tcW w:w="1296" w:type="dxa"/>
            <w:tcBorders>
              <w:top w:val="single" w:sz="4" w:space="0" w:color="000000"/>
              <w:left w:val="single" w:sz="4" w:space="0" w:color="000000"/>
              <w:right w:val="single" w:sz="4" w:space="0" w:color="000000"/>
            </w:tcBorders>
          </w:tcPr>
          <w:p>
            <w:pPr>
              <w:pStyle w:val="TableParagraph"/>
              <w:spacing w:before="115"/>
              <w:rPr>
                <w:sz w:val="24"/>
              </w:rPr>
            </w:pPr>
            <w:r>
              <w:rPr>
                <w:sz w:val="24"/>
              </w:rPr>
              <w:t>Meters varh</w:t>
            </w:r>
          </w:p>
        </w:tc>
        <w:tc>
          <w:tcPr>
            <w:tcW w:w="1295" w:type="dxa"/>
            <w:tcBorders>
              <w:top w:val="single" w:sz="4" w:space="0" w:color="000000"/>
              <w:left w:val="single" w:sz="4" w:space="0" w:color="000000"/>
              <w:right w:val="single" w:sz="4" w:space="0" w:color="000000"/>
            </w:tcBorders>
          </w:tcPr>
          <w:p>
            <w:pPr>
              <w:pStyle w:val="TableParagraph"/>
              <w:spacing w:before="115"/>
              <w:rPr>
                <w:sz w:val="24"/>
              </w:rPr>
            </w:pPr>
            <w:r>
              <w:rPr>
                <w:sz w:val="24"/>
              </w:rPr>
              <w:t>n/a</w:t>
            </w:r>
          </w:p>
        </w:tc>
        <w:tc>
          <w:tcPr>
            <w:tcW w:w="1295" w:type="dxa"/>
            <w:tcBorders>
              <w:top w:val="single" w:sz="4" w:space="0" w:color="000000"/>
              <w:left w:val="single" w:sz="4" w:space="0" w:color="000000"/>
              <w:right w:val="single" w:sz="4" w:space="0" w:color="000000"/>
            </w:tcBorders>
          </w:tcPr>
          <w:p>
            <w:pPr>
              <w:pStyle w:val="TableParagraph"/>
              <w:spacing w:before="115"/>
              <w:rPr>
                <w:sz w:val="24"/>
              </w:rPr>
            </w:pPr>
            <w:r>
              <w:rPr>
                <w:sz w:val="24"/>
              </w:rPr>
              <w:t>0.3/sinφ%</w:t>
            </w:r>
          </w:p>
        </w:tc>
        <w:tc>
          <w:tcPr>
            <w:tcW w:w="1295" w:type="dxa"/>
            <w:tcBorders>
              <w:top w:val="single" w:sz="4" w:space="0" w:color="000000"/>
              <w:left w:val="single" w:sz="4" w:space="0" w:color="000000"/>
              <w:right w:val="single" w:sz="4" w:space="0" w:color="000000"/>
            </w:tcBorders>
          </w:tcPr>
          <w:p>
            <w:pPr>
              <w:pStyle w:val="TableParagraph"/>
              <w:spacing w:before="115"/>
              <w:rPr>
                <w:sz w:val="24"/>
              </w:rPr>
            </w:pPr>
            <w:r>
              <w:rPr>
                <w:sz w:val="24"/>
              </w:rPr>
              <w:t>0.4/sinφ%</w:t>
            </w:r>
          </w:p>
        </w:tc>
        <w:tc>
          <w:tcPr>
            <w:tcW w:w="1295" w:type="dxa"/>
            <w:tcBorders>
              <w:top w:val="single" w:sz="4" w:space="0" w:color="000000"/>
              <w:left w:val="single" w:sz="4" w:space="0" w:color="000000"/>
              <w:right w:val="single" w:sz="4" w:space="0" w:color="000000"/>
            </w:tcBorders>
          </w:tcPr>
          <w:p>
            <w:pPr>
              <w:pStyle w:val="TableParagraph"/>
              <w:spacing w:before="115"/>
              <w:rPr>
                <w:sz w:val="24"/>
              </w:rPr>
            </w:pPr>
            <w:r>
              <w:rPr>
                <w:sz w:val="24"/>
              </w:rPr>
              <w:t>n/a</w:t>
            </w:r>
          </w:p>
        </w:tc>
        <w:tc>
          <w:tcPr>
            <w:tcW w:w="1299" w:type="dxa"/>
            <w:tcBorders>
              <w:top w:val="single" w:sz="4" w:space="0" w:color="000000"/>
              <w:left w:val="single" w:sz="4" w:space="0" w:color="000000"/>
              <w:right w:val="single" w:sz="4" w:space="0" w:color="000000"/>
            </w:tcBorders>
          </w:tcPr>
          <w:p>
            <w:pPr>
              <w:pStyle w:val="TableParagraph"/>
              <w:spacing w:before="115"/>
              <w:rPr>
                <w:sz w:val="24"/>
              </w:rPr>
            </w:pPr>
            <w:r>
              <w:rPr>
                <w:sz w:val="24"/>
              </w:rPr>
              <w:t>0.5/sinφ%</w:t>
            </w:r>
          </w:p>
        </w:tc>
      </w:tr>
    </w:tbl>
    <w:p>
      <w:pPr>
        <w:pStyle w:val="BodyText"/>
        <w:spacing w:before="11"/>
        <w:ind w:firstLine="0"/>
        <w:jc w:val="left"/>
        <w:rPr>
          <w:rFonts w:ascii="Arial"/>
          <w:b/>
          <w:sz w:val="23"/>
        </w:rPr>
      </w:pPr>
    </w:p>
    <w:p>
      <w:pPr>
        <w:pStyle w:val="BodyText"/>
        <w:spacing w:before="0"/>
        <w:ind w:left="218" w:firstLine="0"/>
        <w:jc w:val="left"/>
      </w:pPr>
      <w:r>
        <w:rPr/>
        <w:t>Where cosφ is the </w:t>
      </w:r>
      <w:r>
        <w:rPr>
          <w:i/>
        </w:rPr>
        <w:t>power factor </w:t>
      </w:r>
      <w:r>
        <w:rPr/>
        <w:t>at the test point under evaluation.</w:t>
      </w:r>
    </w:p>
    <w:p>
      <w:pPr>
        <w:spacing w:before="120"/>
        <w:ind w:left="218" w:right="0" w:firstLine="0"/>
        <w:jc w:val="left"/>
        <w:rPr>
          <w:rFonts w:ascii="Arial"/>
          <w:b/>
          <w:sz w:val="22"/>
        </w:rPr>
      </w:pPr>
      <w:r>
        <w:rPr>
          <w:rFonts w:ascii="Arial"/>
          <w:b/>
          <w:sz w:val="22"/>
        </w:rPr>
        <w:t>Table S7A.6.1.2 Maximum Period Between Tests</w:t>
      </w:r>
    </w:p>
    <w:p>
      <w:pPr>
        <w:pStyle w:val="BodyText"/>
        <w:spacing w:before="60"/>
        <w:ind w:left="218" w:right="401" w:firstLine="0"/>
        <w:jc w:val="left"/>
      </w:pPr>
      <w:r>
        <w:rPr/>
        <w:t>Unless the </w:t>
      </w:r>
      <w:r>
        <w:rPr>
          <w:i/>
        </w:rPr>
        <w:t>Metering Coordinator </w:t>
      </w:r>
      <w:r>
        <w:rPr/>
        <w:t>has developed an approved asset management strategy that defines practices that meet the intent of this schedule, the maximum period between tests must be in accordance with Table S7A.6.1.2.</w:t>
      </w:r>
    </w:p>
    <w:p>
      <w:pPr>
        <w:pStyle w:val="BodyText"/>
        <w:spacing w:before="5"/>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2"/>
        <w:gridCol w:w="1511"/>
        <w:gridCol w:w="1511"/>
        <w:gridCol w:w="1511"/>
        <w:gridCol w:w="1511"/>
        <w:gridCol w:w="1515"/>
      </w:tblGrid>
      <w:tr>
        <w:trPr>
          <w:trHeight w:val="395" w:hRule="atLeast"/>
        </w:trPr>
        <w:tc>
          <w:tcPr>
            <w:tcW w:w="1512"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Description</w:t>
            </w:r>
          </w:p>
        </w:tc>
        <w:tc>
          <w:tcPr>
            <w:tcW w:w="7559" w:type="dxa"/>
            <w:gridSpan w:val="5"/>
            <w:tcBorders>
              <w:left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Metering Installation Type</w:t>
            </w:r>
          </w:p>
        </w:tc>
      </w:tr>
      <w:tr>
        <w:trPr>
          <w:trHeight w:val="395" w:hRule="atLeast"/>
        </w:trPr>
        <w:tc>
          <w:tcPr>
            <w:tcW w:w="1512" w:type="dxa"/>
            <w:vMerge/>
            <w:tcBorders>
              <w:top w:val="nil"/>
              <w:bottom w:val="single" w:sz="4" w:space="0" w:color="000000"/>
              <w:right w:val="single" w:sz="4" w:space="0" w:color="000000"/>
            </w:tcBorders>
            <w:shd w:val="clear" w:color="auto" w:fill="D9D9D9"/>
          </w:tcPr>
          <w:p>
            <w:pPr>
              <w:rPr>
                <w:sz w:val="2"/>
                <w:szCs w:val="2"/>
              </w:rPr>
            </w:pP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1</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2</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3</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Type 4 &amp; 4A</w:t>
            </w:r>
          </w:p>
        </w:tc>
        <w:tc>
          <w:tcPr>
            <w:tcW w:w="151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Types 5 &amp; 6</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CT</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 years</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2"/>
        <w:gridCol w:w="1511"/>
        <w:gridCol w:w="1511"/>
        <w:gridCol w:w="1511"/>
        <w:gridCol w:w="1511"/>
        <w:gridCol w:w="1515"/>
      </w:tblGrid>
      <w:tr>
        <w:trPr>
          <w:trHeight w:val="395" w:hRule="atLeast"/>
        </w:trPr>
        <w:tc>
          <w:tcPr>
            <w:tcW w:w="1512"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Description</w:t>
            </w:r>
          </w:p>
        </w:tc>
        <w:tc>
          <w:tcPr>
            <w:tcW w:w="7559" w:type="dxa"/>
            <w:gridSpan w:val="5"/>
            <w:tcBorders>
              <w:left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Metering Installation Type</w:t>
            </w:r>
          </w:p>
        </w:tc>
      </w:tr>
      <w:tr>
        <w:trPr>
          <w:trHeight w:val="395" w:hRule="atLeast"/>
        </w:trPr>
        <w:tc>
          <w:tcPr>
            <w:tcW w:w="1512" w:type="dxa"/>
            <w:vMerge/>
            <w:tcBorders>
              <w:top w:val="nil"/>
              <w:bottom w:val="single" w:sz="4" w:space="0" w:color="000000"/>
              <w:right w:val="single" w:sz="4" w:space="0" w:color="000000"/>
            </w:tcBorders>
            <w:shd w:val="clear" w:color="auto" w:fill="D9D9D9"/>
          </w:tcPr>
          <w:p>
            <w:pPr>
              <w:rPr>
                <w:sz w:val="2"/>
                <w:szCs w:val="2"/>
              </w:rPr>
            </w:pP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1</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2</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 3</w:t>
            </w:r>
          </w:p>
        </w:tc>
        <w:tc>
          <w:tcPr>
            <w:tcW w:w="1511"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Type 4 &amp; 4A</w:t>
            </w:r>
          </w:p>
        </w:tc>
        <w:tc>
          <w:tcPr>
            <w:tcW w:w="1515"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Types 5 &amp; 6</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VT</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10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1515"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n/a</w:t>
            </w:r>
          </w:p>
        </w:tc>
      </w:tr>
      <w:tr>
        <w:trPr>
          <w:trHeight w:val="515" w:hRule="atLeast"/>
        </w:trPr>
        <w:tc>
          <w:tcPr>
            <w:tcW w:w="1512" w:type="dxa"/>
            <w:tcBorders>
              <w:top w:val="single" w:sz="4" w:space="0" w:color="000000"/>
              <w:bottom w:val="single" w:sz="4" w:space="0" w:color="000000"/>
              <w:right w:val="single" w:sz="4" w:space="0" w:color="000000"/>
            </w:tcBorders>
          </w:tcPr>
          <w:p>
            <w:pPr>
              <w:pStyle w:val="TableParagraph"/>
              <w:ind w:left="40"/>
              <w:rPr>
                <w:sz w:val="24"/>
              </w:rPr>
            </w:pPr>
            <w:r>
              <w:rPr>
                <w:sz w:val="24"/>
              </w:rPr>
              <w:t>Burden tests</w:t>
            </w:r>
          </w:p>
        </w:tc>
        <w:tc>
          <w:tcPr>
            <w:tcW w:w="7559" w:type="dxa"/>
            <w:gridSpan w:val="5"/>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When </w:t>
            </w:r>
            <w:r>
              <w:rPr>
                <w:i/>
                <w:sz w:val="24"/>
              </w:rPr>
              <w:t>meters </w:t>
            </w:r>
            <w:r>
              <w:rPr>
                <w:sz w:val="24"/>
              </w:rPr>
              <w:t>are tested or when changes are made</w:t>
            </w:r>
          </w:p>
        </w:tc>
      </w:tr>
      <w:tr>
        <w:trPr>
          <w:trHeight w:val="1067" w:hRule="atLeast"/>
        </w:trPr>
        <w:tc>
          <w:tcPr>
            <w:tcW w:w="1512" w:type="dxa"/>
            <w:tcBorders>
              <w:top w:val="single" w:sz="4" w:space="0" w:color="000000"/>
              <w:bottom w:val="single" w:sz="4" w:space="0" w:color="000000"/>
              <w:right w:val="single" w:sz="4" w:space="0" w:color="000000"/>
            </w:tcBorders>
          </w:tcPr>
          <w:p>
            <w:pPr>
              <w:pStyle w:val="TableParagraph"/>
              <w:ind w:left="40" w:right="97"/>
              <w:rPr>
                <w:sz w:val="24"/>
              </w:rPr>
            </w:pPr>
            <w:r>
              <w:rPr>
                <w:sz w:val="24"/>
              </w:rPr>
              <w:t>CT connected meter (electronic)</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 years</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r>
      <w:tr>
        <w:trPr>
          <w:trHeight w:val="1067" w:hRule="atLeast"/>
        </w:trPr>
        <w:tc>
          <w:tcPr>
            <w:tcW w:w="1512" w:type="dxa"/>
            <w:tcBorders>
              <w:top w:val="single" w:sz="4" w:space="0" w:color="000000"/>
              <w:bottom w:val="single" w:sz="4" w:space="0" w:color="000000"/>
              <w:right w:val="single" w:sz="4" w:space="0" w:color="000000"/>
            </w:tcBorders>
          </w:tcPr>
          <w:p>
            <w:pPr>
              <w:pStyle w:val="TableParagraph"/>
              <w:ind w:left="40" w:right="97"/>
              <w:rPr>
                <w:sz w:val="24"/>
              </w:rPr>
            </w:pPr>
            <w:r>
              <w:rPr>
                <w:sz w:val="24"/>
              </w:rPr>
              <w:t>CT connected meter (induction)</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 years</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 years</w:t>
            </w:r>
          </w:p>
        </w:tc>
      </w:tr>
      <w:tr>
        <w:trPr>
          <w:trHeight w:val="1067" w:hRule="atLeast"/>
        </w:trPr>
        <w:tc>
          <w:tcPr>
            <w:tcW w:w="1512" w:type="dxa"/>
            <w:tcBorders>
              <w:top w:val="single" w:sz="4" w:space="0" w:color="000000"/>
              <w:right w:val="single" w:sz="4" w:space="0" w:color="000000"/>
            </w:tcBorders>
          </w:tcPr>
          <w:p>
            <w:pPr>
              <w:pStyle w:val="TableParagraph"/>
              <w:ind w:left="40" w:right="57"/>
              <w:rPr>
                <w:sz w:val="24"/>
              </w:rPr>
            </w:pPr>
            <w:r>
              <w:rPr>
                <w:sz w:val="24"/>
              </w:rPr>
              <w:t>Whole current meter</w:t>
            </w:r>
          </w:p>
        </w:tc>
        <w:tc>
          <w:tcPr>
            <w:tcW w:w="7559" w:type="dxa"/>
            <w:gridSpan w:val="5"/>
            <w:tcBorders>
              <w:top w:val="single" w:sz="4" w:space="0" w:color="000000"/>
              <w:left w:val="single" w:sz="4" w:space="0" w:color="000000"/>
              <w:right w:val="single" w:sz="4" w:space="0" w:color="000000"/>
            </w:tcBorders>
          </w:tcPr>
          <w:p>
            <w:pPr>
              <w:pStyle w:val="TableParagraph"/>
              <w:ind w:left="44" w:right="260"/>
              <w:rPr>
                <w:sz w:val="24"/>
              </w:rPr>
            </w:pPr>
            <w:r>
              <w:rPr>
                <w:sz w:val="24"/>
              </w:rPr>
              <w:t>The testing and inspection requirements must be in accordance with an approved asset management strategy. Guidelines for the development of an asset management strategy are set out in Schedule 7A.7</w:t>
            </w:r>
          </w:p>
        </w:tc>
      </w:tr>
    </w:tbl>
    <w:p>
      <w:pPr>
        <w:pStyle w:val="BodyText"/>
        <w:spacing w:before="5"/>
        <w:ind w:firstLine="0"/>
        <w:jc w:val="left"/>
        <w:rPr>
          <w:sz w:val="26"/>
        </w:rPr>
      </w:pPr>
    </w:p>
    <w:p>
      <w:pPr>
        <w:spacing w:before="93"/>
        <w:ind w:left="218" w:right="0" w:firstLine="0"/>
        <w:jc w:val="both"/>
        <w:rPr>
          <w:rFonts w:ascii="Arial"/>
          <w:b/>
          <w:sz w:val="22"/>
        </w:rPr>
      </w:pPr>
      <w:r>
        <w:rPr>
          <w:rFonts w:ascii="Arial"/>
          <w:b/>
          <w:sz w:val="22"/>
        </w:rPr>
        <w:t>Table S7A.6.1.3 Period between inspections</w:t>
      </w:r>
    </w:p>
    <w:p>
      <w:pPr>
        <w:pStyle w:val="BodyText"/>
        <w:spacing w:before="60"/>
        <w:ind w:left="218" w:right="548" w:firstLine="0"/>
      </w:pPr>
      <w:r>
        <w:rPr/>
        <w:t>Unless the </w:t>
      </w:r>
      <w:r>
        <w:rPr>
          <w:i/>
        </w:rPr>
        <w:t>Metering Coordinator </w:t>
      </w:r>
      <w:r>
        <w:rPr/>
        <w:t>has developed an approved asset management strategy that meets the intent of this schedule and is approved by </w:t>
      </w:r>
      <w:r>
        <w:rPr>
          <w:i/>
        </w:rPr>
        <w:t>NTESMO</w:t>
      </w:r>
      <w:r>
        <w:rPr/>
        <w:t>, the maximum period between inspections must be in accordance with Table S7A.6.1.3.</w:t>
      </w:r>
    </w:p>
    <w:p>
      <w:pPr>
        <w:pStyle w:val="BodyText"/>
        <w:spacing w:before="5"/>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1814"/>
        <w:gridCol w:w="1814"/>
        <w:gridCol w:w="1814"/>
      </w:tblGrid>
      <w:tr>
        <w:trPr>
          <w:trHeight w:val="395" w:hRule="atLeast"/>
        </w:trPr>
        <w:tc>
          <w:tcPr>
            <w:tcW w:w="1815" w:type="dxa"/>
            <w:vMerge w:val="restart"/>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Description</w:t>
            </w:r>
          </w:p>
        </w:tc>
        <w:tc>
          <w:tcPr>
            <w:tcW w:w="7256" w:type="dxa"/>
            <w:gridSpan w:val="4"/>
            <w:tcBorders>
              <w:left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Metering Installation Type</w:t>
            </w:r>
          </w:p>
        </w:tc>
      </w:tr>
      <w:tr>
        <w:trPr>
          <w:trHeight w:val="671" w:hRule="atLeast"/>
        </w:trPr>
        <w:tc>
          <w:tcPr>
            <w:tcW w:w="1815" w:type="dxa"/>
            <w:vMerge/>
            <w:tcBorders>
              <w:top w:val="nil"/>
              <w:bottom w:val="single" w:sz="4" w:space="0" w:color="000000"/>
              <w:right w:val="single" w:sz="4" w:space="0" w:color="000000"/>
            </w:tcBorders>
            <w:shd w:val="clear" w:color="auto" w:fill="D9D9D9"/>
          </w:tcPr>
          <w:p>
            <w:pPr>
              <w:rPr>
                <w:sz w:val="2"/>
                <w:szCs w:val="2"/>
              </w:rPr>
            </w:pPr>
          </w:p>
        </w:tc>
        <w:tc>
          <w:tcPr>
            <w:tcW w:w="1814"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Type 1</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Type 2</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44"/>
              <w:rPr>
                <w:rFonts w:ascii="Arial"/>
                <w:b/>
                <w:sz w:val="24"/>
              </w:rPr>
            </w:pPr>
            <w:r>
              <w:rPr>
                <w:rFonts w:ascii="Arial"/>
                <w:b/>
                <w:sz w:val="24"/>
              </w:rPr>
              <w:t>Type 3</w:t>
            </w:r>
          </w:p>
        </w:tc>
        <w:tc>
          <w:tcPr>
            <w:tcW w:w="1814"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Type 4, 4A, 5 &amp;</w:t>
            </w:r>
          </w:p>
          <w:p>
            <w:pPr>
              <w:pStyle w:val="TableParagraph"/>
              <w:spacing w:line="256" w:lineRule="exact" w:before="0"/>
              <w:rPr>
                <w:rFonts w:ascii="Arial"/>
                <w:b/>
                <w:sz w:val="24"/>
              </w:rPr>
            </w:pPr>
            <w:r>
              <w:rPr>
                <w:rFonts w:ascii="Arial"/>
                <w:b/>
                <w:sz w:val="24"/>
              </w:rPr>
              <w:t>6</w:t>
            </w:r>
          </w:p>
        </w:tc>
      </w:tr>
      <w:tr>
        <w:trPr>
          <w:trHeight w:val="1409" w:hRule="atLeast"/>
        </w:trPr>
        <w:tc>
          <w:tcPr>
            <w:tcW w:w="1815" w:type="dxa"/>
            <w:tcBorders>
              <w:top w:val="single" w:sz="4" w:space="0" w:color="000000"/>
              <w:bottom w:val="nil"/>
              <w:right w:val="single" w:sz="4" w:space="0" w:color="000000"/>
            </w:tcBorders>
          </w:tcPr>
          <w:p>
            <w:pPr>
              <w:pStyle w:val="TableParagraph"/>
              <w:ind w:left="40" w:right="646"/>
              <w:rPr>
                <w:sz w:val="24"/>
              </w:rPr>
            </w:pPr>
            <w:r>
              <w:rPr>
                <w:i/>
                <w:sz w:val="24"/>
              </w:rPr>
              <w:t>Metering </w:t>
            </w:r>
            <w:r>
              <w:rPr>
                <w:i/>
                <w:sz w:val="24"/>
              </w:rPr>
              <w:t>installation </w:t>
            </w:r>
            <w:r>
              <w:rPr>
                <w:sz w:val="24"/>
              </w:rPr>
              <w:t>equipment inspection</w:t>
            </w:r>
          </w:p>
        </w:tc>
        <w:tc>
          <w:tcPr>
            <w:tcW w:w="1814" w:type="dxa"/>
            <w:tcBorders>
              <w:top w:val="single" w:sz="4" w:space="0" w:color="000000"/>
              <w:left w:val="single" w:sz="4" w:space="0" w:color="000000"/>
              <w:bottom w:val="nil"/>
              <w:right w:val="single" w:sz="4" w:space="0" w:color="000000"/>
            </w:tcBorders>
          </w:tcPr>
          <w:p>
            <w:pPr>
              <w:pStyle w:val="TableParagraph"/>
              <w:rPr>
                <w:sz w:val="24"/>
              </w:rPr>
            </w:pPr>
            <w:r>
              <w:rPr>
                <w:sz w:val="24"/>
              </w:rPr>
              <w:t>2.5 years</w:t>
            </w:r>
          </w:p>
        </w:tc>
        <w:tc>
          <w:tcPr>
            <w:tcW w:w="1814" w:type="dxa"/>
            <w:tcBorders>
              <w:top w:val="single" w:sz="4" w:space="0" w:color="000000"/>
              <w:left w:val="single" w:sz="4" w:space="0" w:color="000000"/>
              <w:bottom w:val="nil"/>
              <w:right w:val="single" w:sz="4" w:space="0" w:color="000000"/>
            </w:tcBorders>
          </w:tcPr>
          <w:p>
            <w:pPr>
              <w:pStyle w:val="TableParagraph"/>
              <w:ind w:left="44" w:right="293"/>
              <w:rPr>
                <w:sz w:val="24"/>
              </w:rPr>
            </w:pPr>
            <w:r>
              <w:rPr>
                <w:sz w:val="24"/>
              </w:rPr>
              <w:t>12 months (2.5 years if check metering installed)</w:t>
            </w:r>
          </w:p>
        </w:tc>
        <w:tc>
          <w:tcPr>
            <w:tcW w:w="1814" w:type="dxa"/>
            <w:tcBorders>
              <w:top w:val="single" w:sz="4" w:space="0" w:color="000000"/>
              <w:left w:val="single" w:sz="4" w:space="0" w:color="000000"/>
              <w:bottom w:val="nil"/>
              <w:right w:val="single" w:sz="4" w:space="0" w:color="000000"/>
            </w:tcBorders>
          </w:tcPr>
          <w:p>
            <w:pPr>
              <w:pStyle w:val="TableParagraph"/>
              <w:ind w:left="44"/>
              <w:rPr>
                <w:sz w:val="24"/>
              </w:rPr>
            </w:pPr>
            <w:r>
              <w:rPr>
                <w:sz w:val="24"/>
              </w:rPr>
              <w:t>&gt; 10 GWh: 2</w:t>
            </w:r>
          </w:p>
          <w:p>
            <w:pPr>
              <w:pStyle w:val="TableParagraph"/>
              <w:spacing w:before="0"/>
              <w:ind w:left="44"/>
              <w:rPr>
                <w:sz w:val="24"/>
              </w:rPr>
            </w:pPr>
            <w:r>
              <w:rPr>
                <w:sz w:val="24"/>
              </w:rPr>
              <w:t>years</w:t>
            </w:r>
          </w:p>
          <w:p>
            <w:pPr>
              <w:pStyle w:val="TableParagraph"/>
              <w:ind w:left="44" w:right="184"/>
              <w:rPr>
                <w:sz w:val="24"/>
              </w:rPr>
            </w:pPr>
            <w:r>
              <w:rPr>
                <w:sz w:val="24"/>
              </w:rPr>
              <w:t>2≤ GWh ≤ 10: </w:t>
            </w:r>
            <w:r>
              <w:rPr>
                <w:spacing w:val="-14"/>
                <w:sz w:val="24"/>
              </w:rPr>
              <w:t>3 </w:t>
            </w:r>
            <w:r>
              <w:rPr>
                <w:sz w:val="24"/>
              </w:rPr>
              <w:t>years</w:t>
            </w:r>
          </w:p>
        </w:tc>
        <w:tc>
          <w:tcPr>
            <w:tcW w:w="1814" w:type="dxa"/>
            <w:tcBorders>
              <w:top w:val="single" w:sz="4" w:space="0" w:color="000000"/>
              <w:left w:val="single" w:sz="4" w:space="0" w:color="000000"/>
              <w:bottom w:val="nil"/>
              <w:right w:val="single" w:sz="4" w:space="0" w:color="000000"/>
            </w:tcBorders>
          </w:tcPr>
          <w:p>
            <w:pPr>
              <w:pStyle w:val="TableParagraph"/>
              <w:ind w:right="339"/>
              <w:rPr>
                <w:sz w:val="24"/>
              </w:rPr>
            </w:pPr>
            <w:r>
              <w:rPr>
                <w:sz w:val="24"/>
              </w:rPr>
              <w:t>When </w:t>
            </w:r>
            <w:r>
              <w:rPr>
                <w:i/>
                <w:sz w:val="24"/>
              </w:rPr>
              <w:t>meter </w:t>
            </w:r>
            <w:r>
              <w:rPr>
                <w:sz w:val="24"/>
              </w:rPr>
              <w:t>is tested.</w:t>
            </w:r>
          </w:p>
        </w:tc>
      </w:tr>
      <w:tr>
        <w:trPr>
          <w:trHeight w:val="726" w:hRule="atLeast"/>
        </w:trPr>
        <w:tc>
          <w:tcPr>
            <w:tcW w:w="1815" w:type="dxa"/>
            <w:tcBorders>
              <w:top w:val="nil"/>
              <w:right w:val="single" w:sz="4" w:space="0" w:color="000000"/>
            </w:tcBorders>
          </w:tcPr>
          <w:p>
            <w:pPr>
              <w:pStyle w:val="TableParagraph"/>
              <w:spacing w:before="0"/>
              <w:ind w:left="0"/>
              <w:rPr>
                <w:sz w:val="22"/>
              </w:rPr>
            </w:pPr>
          </w:p>
        </w:tc>
        <w:tc>
          <w:tcPr>
            <w:tcW w:w="1814" w:type="dxa"/>
            <w:tcBorders>
              <w:top w:val="nil"/>
              <w:left w:val="single" w:sz="4" w:space="0" w:color="000000"/>
              <w:right w:val="single" w:sz="4" w:space="0" w:color="000000"/>
            </w:tcBorders>
          </w:tcPr>
          <w:p>
            <w:pPr>
              <w:pStyle w:val="TableParagraph"/>
              <w:spacing w:before="0"/>
              <w:ind w:left="0"/>
              <w:rPr>
                <w:sz w:val="22"/>
              </w:rPr>
            </w:pPr>
          </w:p>
        </w:tc>
        <w:tc>
          <w:tcPr>
            <w:tcW w:w="1814" w:type="dxa"/>
            <w:tcBorders>
              <w:top w:val="nil"/>
              <w:left w:val="single" w:sz="4" w:space="0" w:color="000000"/>
              <w:right w:val="single" w:sz="4" w:space="0" w:color="000000"/>
            </w:tcBorders>
          </w:tcPr>
          <w:p>
            <w:pPr>
              <w:pStyle w:val="TableParagraph"/>
              <w:spacing w:before="0"/>
              <w:ind w:left="0"/>
              <w:rPr>
                <w:sz w:val="22"/>
              </w:rPr>
            </w:pPr>
          </w:p>
        </w:tc>
        <w:tc>
          <w:tcPr>
            <w:tcW w:w="1814" w:type="dxa"/>
            <w:tcBorders>
              <w:top w:val="nil"/>
              <w:left w:val="single" w:sz="4" w:space="0" w:color="000000"/>
              <w:right w:val="single" w:sz="4" w:space="0" w:color="000000"/>
            </w:tcBorders>
          </w:tcPr>
          <w:p>
            <w:pPr>
              <w:pStyle w:val="TableParagraph"/>
              <w:spacing w:before="55"/>
              <w:ind w:left="44"/>
              <w:rPr>
                <w:sz w:val="24"/>
              </w:rPr>
            </w:pPr>
            <w:r>
              <w:rPr>
                <w:sz w:val="24"/>
              </w:rPr>
              <w:t>&lt;2 GWh:</w:t>
            </w:r>
            <w:r>
              <w:rPr>
                <w:spacing w:val="-8"/>
                <w:sz w:val="24"/>
              </w:rPr>
              <w:t> </w:t>
            </w:r>
            <w:r>
              <w:rPr>
                <w:sz w:val="24"/>
              </w:rPr>
              <w:t>when</w:t>
            </w:r>
          </w:p>
          <w:p>
            <w:pPr>
              <w:pStyle w:val="TableParagraph"/>
              <w:spacing w:before="0"/>
              <w:ind w:left="44"/>
              <w:rPr>
                <w:sz w:val="24"/>
              </w:rPr>
            </w:pPr>
            <w:r>
              <w:rPr>
                <w:i/>
                <w:sz w:val="24"/>
              </w:rPr>
              <w:t>meter </w:t>
            </w:r>
            <w:r>
              <w:rPr>
                <w:sz w:val="24"/>
              </w:rPr>
              <w:t>is</w:t>
            </w:r>
            <w:r>
              <w:rPr>
                <w:spacing w:val="-6"/>
                <w:sz w:val="24"/>
              </w:rPr>
              <w:t> </w:t>
            </w:r>
            <w:r>
              <w:rPr>
                <w:sz w:val="24"/>
              </w:rPr>
              <w:t>tested.</w:t>
            </w:r>
          </w:p>
        </w:tc>
        <w:tc>
          <w:tcPr>
            <w:tcW w:w="1814" w:type="dxa"/>
            <w:tcBorders>
              <w:top w:val="nil"/>
              <w:left w:val="single" w:sz="4" w:space="0" w:color="000000"/>
              <w:right w:val="single" w:sz="4" w:space="0" w:color="000000"/>
            </w:tcBorders>
          </w:tcPr>
          <w:p>
            <w:pPr>
              <w:pStyle w:val="TableParagraph"/>
              <w:spacing w:before="0"/>
              <w:ind w:left="0"/>
              <w:rPr>
                <w:sz w:val="22"/>
              </w:rPr>
            </w:pPr>
          </w:p>
        </w:tc>
      </w:tr>
    </w:tbl>
    <w:p>
      <w:pPr>
        <w:pStyle w:val="BodyText"/>
        <w:spacing w:before="0"/>
        <w:ind w:firstLine="0"/>
        <w:jc w:val="left"/>
        <w:rPr>
          <w:sz w:val="26"/>
        </w:rPr>
      </w:pPr>
    </w:p>
    <w:p>
      <w:pPr>
        <w:pStyle w:val="Heading4"/>
        <w:spacing w:before="217"/>
        <w:ind w:left="218" w:firstLine="0"/>
        <w:jc w:val="both"/>
      </w:pPr>
      <w:bookmarkStart w:name="S7A.6.2 Technical guidelines" w:id="1921"/>
      <w:bookmarkEnd w:id="1921"/>
      <w:r>
        <w:rPr>
          <w:b w:val="0"/>
        </w:rPr>
      </w:r>
      <w:bookmarkStart w:name="_bookmark786" w:id="1922"/>
      <w:bookmarkEnd w:id="1922"/>
      <w:r>
        <w:rPr>
          <w:b w:val="0"/>
        </w:rPr>
      </w:r>
      <w:r>
        <w:rPr/>
        <w:t>S7A.6.2 Technical guidelines</w:t>
      </w:r>
    </w:p>
    <w:p>
      <w:pPr>
        <w:pStyle w:val="ListParagraph"/>
        <w:numPr>
          <w:ilvl w:val="0"/>
          <w:numId w:val="541"/>
        </w:numPr>
        <w:tabs>
          <w:tab w:pos="1918" w:val="left" w:leader="none"/>
          <w:tab w:pos="1919" w:val="left" w:leader="none"/>
        </w:tabs>
        <w:spacing w:line="240" w:lineRule="auto" w:before="120" w:after="0"/>
        <w:ind w:left="1919" w:right="414" w:hanging="567"/>
        <w:jc w:val="left"/>
        <w:rPr>
          <w:sz w:val="24"/>
        </w:rPr>
      </w:pPr>
      <w:r>
        <w:rPr>
          <w:i/>
          <w:sz w:val="24"/>
        </w:rPr>
        <w:t>Current transformer </w:t>
      </w:r>
      <w:r>
        <w:rPr>
          <w:sz w:val="24"/>
        </w:rPr>
        <w:t>and </w:t>
      </w:r>
      <w:r>
        <w:rPr>
          <w:i/>
          <w:sz w:val="24"/>
        </w:rPr>
        <w:t>voltage transformer </w:t>
      </w:r>
      <w:r>
        <w:rPr>
          <w:sz w:val="24"/>
        </w:rPr>
        <w:t>tests are primary</w:t>
      </w:r>
      <w:r>
        <w:rPr>
          <w:spacing w:val="35"/>
          <w:sz w:val="24"/>
        </w:rPr>
        <w:t> </w:t>
      </w:r>
      <w:r>
        <w:rPr>
          <w:sz w:val="24"/>
        </w:rPr>
        <w:t>injection tests, or other approved testing procedures as approved by</w:t>
      </w:r>
      <w:r>
        <w:rPr>
          <w:spacing w:val="-2"/>
          <w:sz w:val="24"/>
        </w:rPr>
        <w:t> </w:t>
      </w:r>
      <w:r>
        <w:rPr>
          <w:i/>
          <w:sz w:val="24"/>
        </w:rPr>
        <w:t>NTESMO</w:t>
      </w:r>
      <w:r>
        <w:rPr>
          <w:sz w:val="24"/>
        </w:rPr>
        <w:t>.</w:t>
      </w:r>
    </w:p>
    <w:p>
      <w:pPr>
        <w:pStyle w:val="ListParagraph"/>
        <w:numPr>
          <w:ilvl w:val="0"/>
          <w:numId w:val="541"/>
        </w:numPr>
        <w:tabs>
          <w:tab w:pos="1918" w:val="left" w:leader="none"/>
          <w:tab w:pos="1919" w:val="left" w:leader="none"/>
        </w:tabs>
        <w:spacing w:line="240" w:lineRule="auto" w:before="120" w:after="0"/>
        <w:ind w:left="1919" w:right="414" w:hanging="567"/>
        <w:jc w:val="left"/>
        <w:rPr>
          <w:sz w:val="24"/>
        </w:rPr>
      </w:pPr>
      <w:r>
        <w:rPr>
          <w:sz w:val="24"/>
        </w:rPr>
        <w:t>The calculations of accuracy based on test results are to include all reference standard</w:t>
      </w:r>
      <w:r>
        <w:rPr>
          <w:spacing w:val="-2"/>
          <w:sz w:val="24"/>
        </w:rPr>
        <w:t> </w:t>
      </w:r>
      <w:r>
        <w:rPr>
          <w:sz w:val="24"/>
        </w:rPr>
        <w:t>errors.</w:t>
      </w:r>
    </w:p>
    <w:p>
      <w:pPr>
        <w:pStyle w:val="ListParagraph"/>
        <w:numPr>
          <w:ilvl w:val="0"/>
          <w:numId w:val="541"/>
        </w:numPr>
        <w:tabs>
          <w:tab w:pos="1918" w:val="left" w:leader="none"/>
          <w:tab w:pos="1919" w:val="left" w:leader="none"/>
        </w:tabs>
        <w:spacing w:line="240" w:lineRule="auto" w:before="120" w:after="0"/>
        <w:ind w:left="1919" w:right="416" w:hanging="567"/>
        <w:jc w:val="left"/>
        <w:rPr>
          <w:sz w:val="24"/>
        </w:rPr>
      </w:pPr>
      <w:r>
        <w:rPr>
          <w:sz w:val="24"/>
        </w:rPr>
        <w:t>An "estimate of testing uncertainties" must be calculated in accordance with the ISO "Guide to the Expression of Uncertainty for</w:t>
      </w:r>
      <w:r>
        <w:rPr>
          <w:spacing w:val="-8"/>
          <w:sz w:val="24"/>
        </w:rPr>
        <w:t> </w:t>
      </w:r>
      <w:r>
        <w:rPr>
          <w:sz w:val="24"/>
        </w:rPr>
        <w:t>Measurement".</w:t>
      </w:r>
    </w:p>
    <w:p>
      <w:pPr>
        <w:pStyle w:val="ListParagraph"/>
        <w:numPr>
          <w:ilvl w:val="0"/>
          <w:numId w:val="541"/>
        </w:numPr>
        <w:tabs>
          <w:tab w:pos="1918" w:val="left" w:leader="none"/>
          <w:tab w:pos="1919" w:val="left" w:leader="none"/>
        </w:tabs>
        <w:spacing w:line="240" w:lineRule="auto" w:before="120" w:after="0"/>
        <w:ind w:left="1919" w:right="415" w:hanging="567"/>
        <w:jc w:val="left"/>
        <w:rPr>
          <w:sz w:val="24"/>
        </w:rPr>
      </w:pPr>
      <w:r>
        <w:rPr>
          <w:sz w:val="24"/>
        </w:rPr>
        <w:t>Where operational </w:t>
      </w:r>
      <w:r>
        <w:rPr>
          <w:i/>
          <w:sz w:val="24"/>
        </w:rPr>
        <w:t>metering </w:t>
      </w:r>
      <w:r>
        <w:rPr>
          <w:sz w:val="24"/>
        </w:rPr>
        <w:t>is associated with </w:t>
      </w:r>
      <w:r>
        <w:rPr>
          <w:i/>
          <w:sz w:val="24"/>
        </w:rPr>
        <w:t>settlements metering </w:t>
      </w:r>
      <w:r>
        <w:rPr>
          <w:sz w:val="24"/>
        </w:rPr>
        <w:t>then a shorter period between inspections is recommended (but is not</w:t>
      </w:r>
      <w:r>
        <w:rPr>
          <w:spacing w:val="-11"/>
          <w:sz w:val="24"/>
        </w:rPr>
        <w:t> </w:t>
      </w:r>
      <w:r>
        <w:rPr>
          <w:sz w:val="24"/>
        </w:rPr>
        <w:t>mandatory).</w:t>
      </w:r>
    </w:p>
    <w:p>
      <w:pPr>
        <w:spacing w:after="0" w:line="240" w:lineRule="auto"/>
        <w:jc w:val="left"/>
        <w:rPr>
          <w:sz w:val="24"/>
        </w:rPr>
        <w:sectPr>
          <w:pgSz w:w="11910" w:h="16840"/>
          <w:pgMar w:header="686" w:footer="637" w:top="1320" w:bottom="820" w:left="1200" w:right="1000"/>
        </w:sectPr>
      </w:pPr>
    </w:p>
    <w:p>
      <w:pPr>
        <w:pStyle w:val="ListParagraph"/>
        <w:numPr>
          <w:ilvl w:val="0"/>
          <w:numId w:val="541"/>
        </w:numPr>
        <w:tabs>
          <w:tab w:pos="1918" w:val="left" w:leader="none"/>
          <w:tab w:pos="1919" w:val="left" w:leader="none"/>
        </w:tabs>
        <w:spacing w:line="240" w:lineRule="auto" w:before="83" w:after="0"/>
        <w:ind w:left="1919" w:right="415" w:hanging="567"/>
        <w:jc w:val="left"/>
        <w:rPr>
          <w:sz w:val="24"/>
        </w:rPr>
      </w:pPr>
      <w:r>
        <w:rPr>
          <w:sz w:val="24"/>
        </w:rPr>
        <w:t>For sinφ and cosφ, refer to the ISO "Guide to the Expression of Uncertainty in Measurement", where cosφ is the </w:t>
      </w:r>
      <w:r>
        <w:rPr>
          <w:i/>
          <w:sz w:val="24"/>
        </w:rPr>
        <w:t>power</w:t>
      </w:r>
      <w:r>
        <w:rPr>
          <w:i/>
          <w:spacing w:val="-2"/>
          <w:sz w:val="24"/>
        </w:rPr>
        <w:t> </w:t>
      </w:r>
      <w:r>
        <w:rPr>
          <w:i/>
          <w:sz w:val="24"/>
        </w:rPr>
        <w:t>factor</w:t>
      </w:r>
      <w:r>
        <w:rPr>
          <w:sz w:val="24"/>
        </w:rPr>
        <w:t>.</w:t>
      </w:r>
    </w:p>
    <w:p>
      <w:pPr>
        <w:pStyle w:val="ListParagraph"/>
        <w:numPr>
          <w:ilvl w:val="0"/>
          <w:numId w:val="541"/>
        </w:numPr>
        <w:tabs>
          <w:tab w:pos="1919" w:val="left" w:leader="none"/>
          <w:tab w:pos="1920" w:val="left" w:leader="none"/>
        </w:tabs>
        <w:spacing w:line="240" w:lineRule="auto" w:before="120" w:after="0"/>
        <w:ind w:left="1919" w:right="0" w:hanging="568"/>
        <w:jc w:val="left"/>
        <w:rPr>
          <w:sz w:val="24"/>
        </w:rPr>
      </w:pPr>
      <w:r>
        <w:rPr>
          <w:sz w:val="24"/>
        </w:rPr>
        <w:t>A typical inspection may</w:t>
      </w:r>
      <w:r>
        <w:rPr>
          <w:spacing w:val="-2"/>
          <w:sz w:val="24"/>
        </w:rPr>
        <w:t> </w:t>
      </w:r>
      <w:r>
        <w:rPr>
          <w:sz w:val="24"/>
        </w:rPr>
        <w:t>include:</w:t>
      </w:r>
    </w:p>
    <w:p>
      <w:pPr>
        <w:pStyle w:val="ListParagraph"/>
        <w:numPr>
          <w:ilvl w:val="1"/>
          <w:numId w:val="541"/>
        </w:numPr>
        <w:tabs>
          <w:tab w:pos="2485" w:val="left" w:leader="none"/>
          <w:tab w:pos="2486" w:val="left" w:leader="none"/>
        </w:tabs>
        <w:spacing w:line="240" w:lineRule="auto" w:before="120" w:after="0"/>
        <w:ind w:left="2485" w:right="0" w:hanging="567"/>
        <w:jc w:val="left"/>
        <w:rPr>
          <w:sz w:val="24"/>
        </w:rPr>
      </w:pPr>
      <w:r>
        <w:rPr>
          <w:sz w:val="24"/>
        </w:rPr>
        <w:t>check the</w:t>
      </w:r>
      <w:r>
        <w:rPr>
          <w:spacing w:val="-1"/>
          <w:sz w:val="24"/>
        </w:rPr>
        <w:t> </w:t>
      </w:r>
      <w:r>
        <w:rPr>
          <w:sz w:val="24"/>
        </w:rPr>
        <w:t>seals;</w:t>
      </w:r>
    </w:p>
    <w:p>
      <w:pPr>
        <w:pStyle w:val="ListParagraph"/>
        <w:numPr>
          <w:ilvl w:val="1"/>
          <w:numId w:val="541"/>
        </w:numPr>
        <w:tabs>
          <w:tab w:pos="2485" w:val="left" w:leader="none"/>
          <w:tab w:pos="2486" w:val="left" w:leader="none"/>
        </w:tabs>
        <w:spacing w:line="240" w:lineRule="auto" w:before="120" w:after="0"/>
        <w:ind w:left="2485" w:right="0" w:hanging="567"/>
        <w:jc w:val="left"/>
        <w:rPr>
          <w:sz w:val="24"/>
        </w:rPr>
      </w:pPr>
      <w:r>
        <w:rPr>
          <w:sz w:val="24"/>
        </w:rPr>
        <w:t>compare the pulse</w:t>
      </w:r>
      <w:r>
        <w:rPr>
          <w:spacing w:val="-2"/>
          <w:sz w:val="24"/>
        </w:rPr>
        <w:t> </w:t>
      </w:r>
      <w:r>
        <w:rPr>
          <w:sz w:val="24"/>
        </w:rPr>
        <w:t>counts;</w:t>
      </w:r>
    </w:p>
    <w:p>
      <w:pPr>
        <w:pStyle w:val="ListParagraph"/>
        <w:numPr>
          <w:ilvl w:val="1"/>
          <w:numId w:val="541"/>
        </w:numPr>
        <w:tabs>
          <w:tab w:pos="2485" w:val="left" w:leader="none"/>
          <w:tab w:pos="2486" w:val="left" w:leader="none"/>
        </w:tabs>
        <w:spacing w:line="240" w:lineRule="auto" w:before="120" w:after="0"/>
        <w:ind w:left="2485" w:right="0" w:hanging="567"/>
        <w:jc w:val="left"/>
        <w:rPr>
          <w:sz w:val="24"/>
        </w:rPr>
      </w:pPr>
      <w:r>
        <w:rPr>
          <w:sz w:val="24"/>
        </w:rPr>
        <w:t>compare the direct readings of</w:t>
      </w:r>
      <w:r>
        <w:rPr>
          <w:spacing w:val="-1"/>
          <w:sz w:val="24"/>
        </w:rPr>
        <w:t> </w:t>
      </w:r>
      <w:r>
        <w:rPr>
          <w:i/>
          <w:sz w:val="24"/>
        </w:rPr>
        <w:t>meters</w:t>
      </w:r>
      <w:r>
        <w:rPr>
          <w:sz w:val="24"/>
        </w:rPr>
        <w:t>;</w:t>
      </w:r>
    </w:p>
    <w:p>
      <w:pPr>
        <w:pStyle w:val="ListParagraph"/>
        <w:numPr>
          <w:ilvl w:val="1"/>
          <w:numId w:val="541"/>
        </w:numPr>
        <w:tabs>
          <w:tab w:pos="2485" w:val="left" w:leader="none"/>
          <w:tab w:pos="2486" w:val="left" w:leader="none"/>
        </w:tabs>
        <w:spacing w:line="240" w:lineRule="auto" w:before="120" w:after="0"/>
        <w:ind w:left="2485" w:right="0" w:hanging="567"/>
        <w:jc w:val="left"/>
        <w:rPr>
          <w:sz w:val="24"/>
        </w:rPr>
      </w:pPr>
      <w:r>
        <w:rPr>
          <w:sz w:val="24"/>
        </w:rPr>
        <w:t>verify </w:t>
      </w:r>
      <w:r>
        <w:rPr>
          <w:i/>
          <w:sz w:val="24"/>
        </w:rPr>
        <w:t>meter </w:t>
      </w:r>
      <w:r>
        <w:rPr>
          <w:sz w:val="24"/>
        </w:rPr>
        <w:t>parameters and physical connections;</w:t>
      </w:r>
      <w:r>
        <w:rPr>
          <w:spacing w:val="-2"/>
          <w:sz w:val="24"/>
        </w:rPr>
        <w:t> </w:t>
      </w:r>
      <w:r>
        <w:rPr>
          <w:sz w:val="24"/>
        </w:rPr>
        <w:t>and</w:t>
      </w:r>
    </w:p>
    <w:p>
      <w:pPr>
        <w:pStyle w:val="ListParagraph"/>
        <w:numPr>
          <w:ilvl w:val="1"/>
          <w:numId w:val="541"/>
        </w:numPr>
        <w:tabs>
          <w:tab w:pos="2485" w:val="left" w:leader="none"/>
          <w:tab w:pos="2486" w:val="left" w:leader="none"/>
        </w:tabs>
        <w:spacing w:line="240" w:lineRule="auto" w:before="120" w:after="0"/>
        <w:ind w:left="2485" w:right="0" w:hanging="567"/>
        <w:jc w:val="left"/>
        <w:rPr>
          <w:sz w:val="24"/>
        </w:rPr>
      </w:pPr>
      <w:r>
        <w:rPr>
          <w:i/>
          <w:sz w:val="24"/>
        </w:rPr>
        <w:t>current transformer </w:t>
      </w:r>
      <w:r>
        <w:rPr>
          <w:sz w:val="24"/>
        </w:rPr>
        <w:t>ratios by</w:t>
      </w:r>
      <w:r>
        <w:rPr>
          <w:spacing w:val="-2"/>
          <w:sz w:val="24"/>
        </w:rPr>
        <w:t> </w:t>
      </w:r>
      <w:r>
        <w:rPr>
          <w:sz w:val="24"/>
        </w:rPr>
        <w:t>comparison.</w:t>
      </w:r>
    </w:p>
    <w:p>
      <w:pPr>
        <w:pStyle w:val="BodyText"/>
        <w:spacing w:before="10"/>
        <w:ind w:firstLine="0"/>
        <w:jc w:val="left"/>
        <w:rPr>
          <w:sz w:val="20"/>
        </w:rPr>
      </w:pPr>
    </w:p>
    <w:p>
      <w:pPr>
        <w:pStyle w:val="Heading2"/>
        <w:tabs>
          <w:tab w:pos="2485" w:val="left" w:leader="none"/>
        </w:tabs>
      </w:pPr>
      <w:bookmarkStart w:name="Schedule 7A.7 Metrology procedure" w:id="1923"/>
      <w:bookmarkEnd w:id="1923"/>
      <w:r>
        <w:rPr>
          <w:b w:val="0"/>
        </w:rPr>
      </w:r>
      <w:bookmarkStart w:name="_bookmark787" w:id="1924"/>
      <w:bookmarkEnd w:id="1924"/>
      <w:r>
        <w:rPr>
          <w:b w:val="0"/>
        </w:rPr>
      </w:r>
      <w:r>
        <w:rPr/>
        <w:t>Schedule</w:t>
      </w:r>
      <w:r>
        <w:rPr>
          <w:spacing w:val="-1"/>
        </w:rPr>
        <w:t> </w:t>
      </w:r>
      <w:r>
        <w:rPr/>
        <w:t>7A.7</w:t>
        <w:tab/>
        <w:t>Metrology procedure</w:t>
      </w:r>
    </w:p>
    <w:p>
      <w:pPr>
        <w:tabs>
          <w:tab w:pos="9317" w:val="left" w:leader="none"/>
        </w:tabs>
        <w:spacing w:before="240"/>
        <w:ind w:left="218" w:right="0" w:firstLine="0"/>
        <w:jc w:val="left"/>
        <w:rPr>
          <w:rFonts w:ascii="Arial"/>
          <w:b/>
          <w:sz w:val="28"/>
        </w:rPr>
      </w:pPr>
      <w:bookmarkStart w:name="Part A" w:id="1925"/>
      <w:bookmarkEnd w:id="1925"/>
      <w:r>
        <w:rPr/>
      </w:r>
      <w:bookmarkStart w:name="_bookmark788" w:id="1926"/>
      <w:bookmarkEnd w:id="1926"/>
      <w:r>
        <w:rPr/>
      </w:r>
      <w:r>
        <w:rPr>
          <w:rFonts w:ascii="Arial"/>
          <w:b/>
          <w:sz w:val="28"/>
          <w:shd w:fill="D9D9D9" w:color="auto" w:val="clear"/>
        </w:rPr>
        <w:t>Part A</w:t>
        <w:tab/>
      </w:r>
    </w:p>
    <w:p>
      <w:pPr>
        <w:pStyle w:val="Heading4"/>
        <w:tabs>
          <w:tab w:pos="1351" w:val="left" w:leader="none"/>
        </w:tabs>
        <w:spacing w:line="510" w:lineRule="atLeast" w:before="6"/>
        <w:ind w:left="218" w:right="6953" w:firstLine="0"/>
      </w:pPr>
      <w:bookmarkStart w:name=" " w:id="1927"/>
      <w:bookmarkEnd w:id="1927"/>
      <w:r>
        <w:rPr>
          <w:b w:val="0"/>
        </w:rPr>
      </w:r>
      <w:bookmarkStart w:name="S7A.7.1 Introduction" w:id="1928"/>
      <w:bookmarkEnd w:id="1928"/>
      <w:r>
        <w:rPr>
          <w:b w:val="0"/>
        </w:rPr>
      </w:r>
      <w:bookmarkStart w:name="_bookmark789" w:id="1929"/>
      <w:bookmarkEnd w:id="1929"/>
      <w:r>
        <w:rPr>
          <w:b w:val="0"/>
        </w:rPr>
      </w:r>
      <w:r>
        <w:rPr/>
        <w:t>S7A.7.1</w:t>
        <w:tab/>
      </w:r>
      <w:r>
        <w:rPr>
          <w:spacing w:val="-3"/>
        </w:rPr>
        <w:t>Introduction</w:t>
      </w:r>
      <w:bookmarkStart w:name="S7A.7.1.1 General" w:id="1930"/>
      <w:bookmarkEnd w:id="1930"/>
      <w:r>
        <w:rPr>
          <w:spacing w:val="-3"/>
        </w:rPr>
      </w:r>
      <w:bookmarkStart w:name="_bookmark790" w:id="1931"/>
      <w:bookmarkEnd w:id="1931"/>
      <w:r>
        <w:rPr>
          <w:spacing w:val="-3"/>
        </w:rPr>
      </w:r>
      <w:r>
        <w:rPr>
          <w:spacing w:val="-3"/>
        </w:rPr>
        <w:t> </w:t>
      </w:r>
      <w:r>
        <w:rPr/>
        <w:t>S7A.7.1.1 General</w:t>
      </w:r>
    </w:p>
    <w:p>
      <w:pPr>
        <w:pStyle w:val="ListParagraph"/>
        <w:numPr>
          <w:ilvl w:val="0"/>
          <w:numId w:val="542"/>
        </w:numPr>
        <w:tabs>
          <w:tab w:pos="1919" w:val="left" w:leader="none"/>
        </w:tabs>
        <w:spacing w:line="240" w:lineRule="auto" w:before="126" w:after="0"/>
        <w:ind w:left="1919" w:right="415" w:hanging="567"/>
        <w:jc w:val="both"/>
        <w:rPr>
          <w:sz w:val="24"/>
        </w:rPr>
      </w:pPr>
      <w:r>
        <w:rPr>
          <w:sz w:val="24"/>
        </w:rPr>
        <w:t>This schedule applies to </w:t>
      </w:r>
      <w:r>
        <w:rPr>
          <w:i/>
          <w:sz w:val="24"/>
        </w:rPr>
        <w:t>NTESMO</w:t>
      </w:r>
      <w:r>
        <w:rPr>
          <w:sz w:val="24"/>
        </w:rPr>
        <w:t>, </w:t>
      </w:r>
      <w:r>
        <w:rPr>
          <w:i/>
          <w:sz w:val="24"/>
        </w:rPr>
        <w:t>Registered Participants</w:t>
      </w:r>
      <w:r>
        <w:rPr>
          <w:sz w:val="24"/>
        </w:rPr>
        <w:t>, </w:t>
      </w:r>
      <w:r>
        <w:rPr>
          <w:i/>
          <w:sz w:val="24"/>
        </w:rPr>
        <w:t>Metering </w:t>
      </w:r>
      <w:r>
        <w:rPr>
          <w:i/>
          <w:sz w:val="24"/>
        </w:rPr>
        <w:t>Coordinators</w:t>
      </w:r>
      <w:r>
        <w:rPr>
          <w:sz w:val="24"/>
        </w:rPr>
        <w:t>, </w:t>
      </w:r>
      <w:r>
        <w:rPr>
          <w:i/>
          <w:sz w:val="24"/>
        </w:rPr>
        <w:t>Metering Providers</w:t>
      </w:r>
      <w:r>
        <w:rPr>
          <w:sz w:val="24"/>
        </w:rPr>
        <w:t>, </w:t>
      </w:r>
      <w:r>
        <w:rPr>
          <w:i/>
          <w:sz w:val="24"/>
        </w:rPr>
        <w:t>Metering Data Providers </w:t>
      </w:r>
      <w:r>
        <w:rPr>
          <w:sz w:val="24"/>
        </w:rPr>
        <w:t>and the </w:t>
      </w:r>
      <w:r>
        <w:rPr>
          <w:i/>
          <w:sz w:val="24"/>
        </w:rPr>
        <w:t>Utilities Commission </w:t>
      </w:r>
      <w:r>
        <w:rPr>
          <w:sz w:val="24"/>
        </w:rPr>
        <w:t>in relation to </w:t>
      </w:r>
      <w:r>
        <w:rPr>
          <w:i/>
          <w:sz w:val="24"/>
        </w:rPr>
        <w:t>connection points </w:t>
      </w:r>
      <w:r>
        <w:rPr>
          <w:sz w:val="24"/>
        </w:rPr>
        <w:t>in this</w:t>
      </w:r>
      <w:r>
        <w:rPr>
          <w:spacing w:val="-6"/>
          <w:sz w:val="24"/>
        </w:rPr>
        <w:t> </w:t>
      </w:r>
      <w:r>
        <w:rPr>
          <w:sz w:val="24"/>
        </w:rPr>
        <w:t>jurisdiction.</w:t>
      </w:r>
    </w:p>
    <w:p>
      <w:pPr>
        <w:pStyle w:val="ListParagraph"/>
        <w:numPr>
          <w:ilvl w:val="0"/>
          <w:numId w:val="542"/>
        </w:numPr>
        <w:tabs>
          <w:tab w:pos="1919" w:val="left" w:leader="none"/>
        </w:tabs>
        <w:spacing w:line="240" w:lineRule="auto" w:before="120" w:after="0"/>
        <w:ind w:left="1919" w:right="415" w:hanging="567"/>
        <w:jc w:val="both"/>
        <w:rPr>
          <w:sz w:val="24"/>
        </w:rPr>
      </w:pPr>
      <w:r>
        <w:rPr>
          <w:sz w:val="24"/>
        </w:rPr>
        <w:t>This schedule provides information on the application of </w:t>
      </w:r>
      <w:r>
        <w:rPr>
          <w:i/>
          <w:sz w:val="24"/>
        </w:rPr>
        <w:t>metering </w:t>
      </w:r>
      <w:r>
        <w:rPr>
          <w:i/>
          <w:sz w:val="24"/>
        </w:rPr>
        <w:t>installations </w:t>
      </w:r>
      <w:r>
        <w:rPr>
          <w:sz w:val="24"/>
        </w:rPr>
        <w:t>to </w:t>
      </w:r>
      <w:r>
        <w:rPr>
          <w:i/>
          <w:sz w:val="24"/>
        </w:rPr>
        <w:t>connection points </w:t>
      </w:r>
      <w:r>
        <w:rPr>
          <w:sz w:val="24"/>
        </w:rPr>
        <w:t>and sets out provisions for </w:t>
      </w:r>
      <w:r>
        <w:rPr>
          <w:i/>
          <w:sz w:val="24"/>
        </w:rPr>
        <w:t>metering </w:t>
      </w:r>
      <w:r>
        <w:rPr>
          <w:i/>
          <w:sz w:val="24"/>
        </w:rPr>
        <w:t>installations </w:t>
      </w:r>
      <w:r>
        <w:rPr>
          <w:sz w:val="24"/>
        </w:rPr>
        <w:t>and </w:t>
      </w:r>
      <w:r>
        <w:rPr>
          <w:i/>
          <w:sz w:val="24"/>
        </w:rPr>
        <w:t>metering data</w:t>
      </w:r>
      <w:r>
        <w:rPr>
          <w:i/>
          <w:spacing w:val="-2"/>
          <w:sz w:val="24"/>
        </w:rPr>
        <w:t> </w:t>
      </w:r>
      <w:r>
        <w:rPr>
          <w:i/>
          <w:sz w:val="24"/>
        </w:rPr>
        <w:t>services</w:t>
      </w:r>
      <w:r>
        <w:rPr>
          <w:sz w:val="24"/>
        </w:rPr>
        <w:t>.</w:t>
      </w:r>
    </w:p>
    <w:p>
      <w:pPr>
        <w:pStyle w:val="ListParagraph"/>
        <w:numPr>
          <w:ilvl w:val="0"/>
          <w:numId w:val="542"/>
        </w:numPr>
        <w:tabs>
          <w:tab w:pos="1919" w:val="left" w:leader="none"/>
        </w:tabs>
        <w:spacing w:line="240" w:lineRule="auto" w:before="120" w:after="0"/>
        <w:ind w:left="1918" w:right="0" w:hanging="567"/>
        <w:jc w:val="both"/>
        <w:rPr>
          <w:sz w:val="24"/>
        </w:rPr>
      </w:pPr>
      <w:r>
        <w:rPr>
          <w:sz w:val="24"/>
        </w:rPr>
        <w:t>For service provision at </w:t>
      </w:r>
      <w:r>
        <w:rPr>
          <w:i/>
          <w:sz w:val="24"/>
        </w:rPr>
        <w:t>connection points</w:t>
      </w:r>
      <w:r>
        <w:rPr>
          <w:i/>
          <w:spacing w:val="-2"/>
          <w:sz w:val="24"/>
        </w:rPr>
        <w:t> </w:t>
      </w:r>
      <w:r>
        <w:rPr>
          <w:sz w:val="24"/>
        </w:rPr>
        <w:t>where:</w:t>
      </w:r>
    </w:p>
    <w:p>
      <w:pPr>
        <w:pStyle w:val="ListParagraph"/>
        <w:numPr>
          <w:ilvl w:val="1"/>
          <w:numId w:val="542"/>
        </w:numPr>
        <w:tabs>
          <w:tab w:pos="2486" w:val="left" w:leader="none"/>
        </w:tabs>
        <w:spacing w:line="240" w:lineRule="auto" w:before="120" w:after="0"/>
        <w:ind w:left="2486" w:right="415" w:hanging="567"/>
        <w:jc w:val="both"/>
        <w:rPr>
          <w:sz w:val="24"/>
        </w:rPr>
      </w:pPr>
      <w:r>
        <w:rPr>
          <w:sz w:val="24"/>
        </w:rPr>
        <w:t>the </w:t>
      </w:r>
      <w:r>
        <w:rPr>
          <w:i/>
          <w:sz w:val="24"/>
        </w:rPr>
        <w:t>Metering Provider </w:t>
      </w:r>
      <w:r>
        <w:rPr>
          <w:sz w:val="24"/>
        </w:rPr>
        <w:t>and the </w:t>
      </w:r>
      <w:r>
        <w:rPr>
          <w:i/>
          <w:sz w:val="24"/>
        </w:rPr>
        <w:t>Metering Data Provider </w:t>
      </w:r>
      <w:r>
        <w:rPr>
          <w:sz w:val="24"/>
        </w:rPr>
        <w:t>are part of the same company;</w:t>
      </w:r>
      <w:r>
        <w:rPr>
          <w:spacing w:val="-2"/>
          <w:sz w:val="24"/>
        </w:rPr>
        <w:t> </w:t>
      </w:r>
      <w:r>
        <w:rPr>
          <w:sz w:val="24"/>
        </w:rPr>
        <w:t>and</w:t>
      </w:r>
    </w:p>
    <w:p>
      <w:pPr>
        <w:pStyle w:val="ListParagraph"/>
        <w:numPr>
          <w:ilvl w:val="1"/>
          <w:numId w:val="542"/>
        </w:numPr>
        <w:tabs>
          <w:tab w:pos="2486" w:val="left" w:leader="none"/>
        </w:tabs>
        <w:spacing w:line="240" w:lineRule="auto" w:before="120" w:after="0"/>
        <w:ind w:left="2486" w:right="415" w:hanging="567"/>
        <w:jc w:val="both"/>
        <w:rPr>
          <w:sz w:val="24"/>
        </w:rPr>
      </w:pPr>
      <w:r>
        <w:rPr>
          <w:i/>
          <w:sz w:val="24"/>
        </w:rPr>
        <w:t>metering installation</w:t>
      </w:r>
      <w:r>
        <w:rPr>
          <w:sz w:val="24"/>
        </w:rPr>
        <w:t>, provision or maintenance work is</w:t>
      </w:r>
      <w:r>
        <w:rPr>
          <w:spacing w:val="31"/>
          <w:sz w:val="24"/>
        </w:rPr>
        <w:t> </w:t>
      </w:r>
      <w:r>
        <w:rPr>
          <w:sz w:val="24"/>
        </w:rPr>
        <w:t>performed using internal processes and</w:t>
      </w:r>
      <w:r>
        <w:rPr>
          <w:spacing w:val="-1"/>
          <w:sz w:val="24"/>
        </w:rPr>
        <w:t> </w:t>
      </w:r>
      <w:r>
        <w:rPr>
          <w:sz w:val="24"/>
        </w:rPr>
        <w:t>procedures,</w:t>
      </w:r>
    </w:p>
    <w:p>
      <w:pPr>
        <w:pStyle w:val="BodyText"/>
        <w:ind w:left="1919" w:right="415" w:firstLine="0"/>
      </w:pPr>
      <w:r>
        <w:rPr/>
        <w:t>those internal processes and procedures will be taken to be compliant with this schedule if the </w:t>
      </w:r>
      <w:r>
        <w:rPr>
          <w:i/>
        </w:rPr>
        <w:t>metering </w:t>
      </w:r>
      <w:r>
        <w:rPr/>
        <w:t>work satisfies the performance and quality outcomes of this schedule.</w:t>
      </w:r>
    </w:p>
    <w:p>
      <w:pPr>
        <w:pStyle w:val="BodyText"/>
        <w:spacing w:before="10"/>
        <w:ind w:firstLine="0"/>
        <w:jc w:val="left"/>
        <w:rPr>
          <w:sz w:val="20"/>
        </w:rPr>
      </w:pPr>
    </w:p>
    <w:p>
      <w:pPr>
        <w:pStyle w:val="Heading4"/>
        <w:ind w:left="218" w:firstLine="0"/>
      </w:pPr>
      <w:bookmarkStart w:name="S7A.7.1.2 Definitions" w:id="1932"/>
      <w:bookmarkEnd w:id="1932"/>
      <w:r>
        <w:rPr>
          <w:b w:val="0"/>
        </w:rPr>
      </w:r>
      <w:bookmarkStart w:name="_bookmark791" w:id="1933"/>
      <w:bookmarkEnd w:id="1933"/>
      <w:r>
        <w:rPr>
          <w:b w:val="0"/>
        </w:rPr>
      </w:r>
      <w:r>
        <w:rPr/>
        <w:t>S7A.7.1.2 Definitions</w:t>
      </w:r>
    </w:p>
    <w:p>
      <w:pPr>
        <w:pStyle w:val="BodyText"/>
        <w:ind w:left="1352" w:firstLine="0"/>
        <w:jc w:val="left"/>
      </w:pPr>
      <w:r>
        <w:rPr/>
        <w:t>In this schedule:</w:t>
      </w:r>
    </w:p>
    <w:p>
      <w:pPr>
        <w:spacing w:before="120"/>
        <w:ind w:left="1352" w:right="0" w:firstLine="0"/>
        <w:jc w:val="left"/>
        <w:rPr>
          <w:i/>
          <w:sz w:val="24"/>
        </w:rPr>
      </w:pPr>
      <w:r>
        <w:rPr>
          <w:b/>
          <w:sz w:val="24"/>
        </w:rPr>
        <w:t>accumulation meter </w:t>
      </w:r>
      <w:r>
        <w:rPr>
          <w:sz w:val="24"/>
        </w:rPr>
        <w:t>means a </w:t>
      </w:r>
      <w:r>
        <w:rPr>
          <w:i/>
          <w:sz w:val="24"/>
        </w:rPr>
        <w:t>meter </w:t>
      </w:r>
      <w:r>
        <w:rPr>
          <w:sz w:val="24"/>
        </w:rPr>
        <w:t>where the </w:t>
      </w:r>
      <w:r>
        <w:rPr>
          <w:i/>
          <w:sz w:val="24"/>
        </w:rPr>
        <w:t>energy data </w:t>
      </w:r>
      <w:r>
        <w:rPr>
          <w:sz w:val="24"/>
        </w:rPr>
        <w:t>recorded in the </w:t>
      </w:r>
      <w:r>
        <w:rPr>
          <w:i/>
          <w:sz w:val="24"/>
        </w:rPr>
        <w:t>meter</w:t>
      </w:r>
    </w:p>
    <w:p>
      <w:pPr>
        <w:spacing w:before="0"/>
        <w:ind w:left="1352" w:right="0" w:firstLine="0"/>
        <w:jc w:val="left"/>
        <w:rPr>
          <w:sz w:val="24"/>
        </w:rPr>
      </w:pPr>
      <w:r>
        <w:rPr>
          <w:sz w:val="24"/>
        </w:rPr>
        <w:t>represents a period in excess of a </w:t>
      </w:r>
      <w:r>
        <w:rPr>
          <w:i/>
          <w:sz w:val="24"/>
        </w:rPr>
        <w:t>recording interval</w:t>
      </w:r>
      <w:r>
        <w:rPr>
          <w:sz w:val="24"/>
        </w:rPr>
        <w:t>.</w:t>
      </w:r>
    </w:p>
    <w:p>
      <w:pPr>
        <w:spacing w:before="120"/>
        <w:ind w:left="1352" w:right="0" w:firstLine="0"/>
        <w:jc w:val="left"/>
        <w:rPr>
          <w:sz w:val="24"/>
        </w:rPr>
      </w:pPr>
      <w:r>
        <w:rPr>
          <w:b/>
          <w:sz w:val="24"/>
        </w:rPr>
        <w:t>estimated reading </w:t>
      </w:r>
      <w:r>
        <w:rPr>
          <w:sz w:val="24"/>
        </w:rPr>
        <w:t>means:</w:t>
      </w:r>
    </w:p>
    <w:p>
      <w:pPr>
        <w:pStyle w:val="ListParagraph"/>
        <w:numPr>
          <w:ilvl w:val="0"/>
          <w:numId w:val="543"/>
        </w:numPr>
        <w:tabs>
          <w:tab w:pos="1918" w:val="left" w:leader="none"/>
          <w:tab w:pos="1919" w:val="left" w:leader="none"/>
        </w:tabs>
        <w:spacing w:line="240" w:lineRule="auto" w:before="120" w:after="0"/>
        <w:ind w:left="1919" w:right="417" w:hanging="567"/>
        <w:jc w:val="left"/>
        <w:rPr>
          <w:sz w:val="24"/>
        </w:rPr>
      </w:pPr>
      <w:r>
        <w:rPr>
          <w:sz w:val="24"/>
        </w:rPr>
        <w:t>an estimate of a </w:t>
      </w:r>
      <w:r>
        <w:rPr>
          <w:i/>
          <w:sz w:val="24"/>
        </w:rPr>
        <w:t>meter </w:t>
      </w:r>
      <w:r>
        <w:rPr>
          <w:sz w:val="24"/>
        </w:rPr>
        <w:t>reading where an </w:t>
      </w:r>
      <w:r>
        <w:rPr>
          <w:i/>
          <w:sz w:val="24"/>
        </w:rPr>
        <w:t>actual meter reading </w:t>
      </w:r>
      <w:r>
        <w:rPr>
          <w:sz w:val="24"/>
        </w:rPr>
        <w:t>has not occurred;</w:t>
      </w:r>
      <w:r>
        <w:rPr>
          <w:spacing w:val="-1"/>
          <w:sz w:val="24"/>
        </w:rPr>
        <w:t> </w:t>
      </w:r>
      <w:r>
        <w:rPr>
          <w:sz w:val="24"/>
        </w:rPr>
        <w:t>or</w:t>
      </w:r>
    </w:p>
    <w:p>
      <w:pPr>
        <w:pStyle w:val="ListParagraph"/>
        <w:numPr>
          <w:ilvl w:val="0"/>
          <w:numId w:val="543"/>
        </w:numPr>
        <w:tabs>
          <w:tab w:pos="1918" w:val="left" w:leader="none"/>
          <w:tab w:pos="1919" w:val="left" w:leader="none"/>
        </w:tabs>
        <w:spacing w:line="240" w:lineRule="auto" w:before="120" w:after="0"/>
        <w:ind w:left="1919" w:right="416" w:hanging="567"/>
        <w:jc w:val="left"/>
        <w:rPr>
          <w:sz w:val="24"/>
        </w:rPr>
      </w:pPr>
      <w:r>
        <w:rPr>
          <w:sz w:val="24"/>
        </w:rPr>
        <w:t>a </w:t>
      </w:r>
      <w:r>
        <w:rPr>
          <w:i/>
          <w:sz w:val="24"/>
        </w:rPr>
        <w:t>substitute </w:t>
      </w:r>
      <w:r>
        <w:rPr>
          <w:sz w:val="24"/>
        </w:rPr>
        <w:t>of a </w:t>
      </w:r>
      <w:r>
        <w:rPr>
          <w:i/>
          <w:sz w:val="24"/>
        </w:rPr>
        <w:t>meter </w:t>
      </w:r>
      <w:r>
        <w:rPr>
          <w:sz w:val="24"/>
        </w:rPr>
        <w:t>reading used for the purposes of transferring a </w:t>
      </w:r>
      <w:r>
        <w:rPr>
          <w:i/>
          <w:sz w:val="24"/>
        </w:rPr>
        <w:t>retail </w:t>
      </w:r>
      <w:r>
        <w:rPr>
          <w:i/>
          <w:sz w:val="24"/>
        </w:rPr>
        <w:t>customer </w:t>
      </w:r>
      <w:r>
        <w:rPr>
          <w:sz w:val="24"/>
        </w:rPr>
        <w:t>to a new </w:t>
      </w:r>
      <w:r>
        <w:rPr>
          <w:i/>
          <w:sz w:val="24"/>
        </w:rPr>
        <w:t>Retailer </w:t>
      </w:r>
      <w:r>
        <w:rPr>
          <w:sz w:val="24"/>
        </w:rPr>
        <w:t>where an </w:t>
      </w:r>
      <w:r>
        <w:rPr>
          <w:i/>
          <w:sz w:val="24"/>
        </w:rPr>
        <w:t>actual meter reading </w:t>
      </w:r>
      <w:r>
        <w:rPr>
          <w:sz w:val="24"/>
        </w:rPr>
        <w:t>has not</w:t>
      </w:r>
      <w:r>
        <w:rPr>
          <w:spacing w:val="-19"/>
          <w:sz w:val="24"/>
        </w:rPr>
        <w:t> </w:t>
      </w:r>
      <w:r>
        <w:rPr>
          <w:sz w:val="24"/>
        </w:rPr>
        <w:t>occurred.</w:t>
      </w:r>
    </w:p>
    <w:p>
      <w:pPr>
        <w:spacing w:before="120"/>
        <w:ind w:left="1352" w:right="0" w:firstLine="0"/>
        <w:jc w:val="left"/>
        <w:rPr>
          <w:sz w:val="24"/>
        </w:rPr>
      </w:pPr>
      <w:r>
        <w:rPr>
          <w:b/>
          <w:sz w:val="24"/>
        </w:rPr>
        <w:t>final reading </w:t>
      </w:r>
      <w:r>
        <w:rPr>
          <w:sz w:val="24"/>
        </w:rPr>
        <w:t>means the last </w:t>
      </w:r>
      <w:r>
        <w:rPr>
          <w:i/>
          <w:sz w:val="24"/>
        </w:rPr>
        <w:t>actual meter </w:t>
      </w:r>
      <w:r>
        <w:rPr>
          <w:sz w:val="24"/>
        </w:rPr>
        <w:t>reading for a </w:t>
      </w:r>
      <w:r>
        <w:rPr>
          <w:i/>
          <w:sz w:val="24"/>
        </w:rPr>
        <w:t>retail customer </w:t>
      </w:r>
      <w:r>
        <w:rPr>
          <w:sz w:val="24"/>
        </w:rPr>
        <w:t>when they vacate an address or change </w:t>
      </w:r>
      <w:r>
        <w:rPr>
          <w:i/>
          <w:sz w:val="24"/>
        </w:rPr>
        <w:t>retailer </w:t>
      </w:r>
      <w:r>
        <w:rPr>
          <w:sz w:val="24"/>
        </w:rPr>
        <w:t>or the last </w:t>
      </w:r>
      <w:r>
        <w:rPr>
          <w:i/>
          <w:sz w:val="24"/>
        </w:rPr>
        <w:t>actual meter </w:t>
      </w:r>
      <w:r>
        <w:rPr>
          <w:sz w:val="24"/>
        </w:rPr>
        <w:t>reading taken before</w:t>
      </w:r>
    </w:p>
    <w:p>
      <w:pPr>
        <w:spacing w:after="0"/>
        <w:jc w:val="left"/>
        <w:rPr>
          <w:sz w:val="24"/>
        </w:rPr>
        <w:sectPr>
          <w:pgSz w:w="11910" w:h="16840"/>
          <w:pgMar w:header="686" w:footer="637" w:top="1320" w:bottom="820" w:left="1200" w:right="1000"/>
        </w:sectPr>
      </w:pPr>
    </w:p>
    <w:p>
      <w:pPr>
        <w:spacing w:before="83"/>
        <w:ind w:left="1352" w:right="414" w:firstLine="0"/>
        <w:jc w:val="both"/>
        <w:rPr>
          <w:sz w:val="24"/>
        </w:rPr>
      </w:pPr>
      <w:r>
        <w:rPr>
          <w:sz w:val="24"/>
        </w:rPr>
        <w:t>all or any part of a metering </w:t>
      </w:r>
      <w:r>
        <w:rPr>
          <w:i/>
          <w:sz w:val="24"/>
        </w:rPr>
        <w:t>installation </w:t>
      </w:r>
      <w:r>
        <w:rPr>
          <w:sz w:val="24"/>
        </w:rPr>
        <w:t>is removed or modified and where the modification affects the </w:t>
      </w:r>
      <w:r>
        <w:rPr>
          <w:i/>
          <w:sz w:val="24"/>
        </w:rPr>
        <w:t>energy data </w:t>
      </w:r>
      <w:r>
        <w:rPr>
          <w:sz w:val="24"/>
        </w:rPr>
        <w:t>in the </w:t>
      </w:r>
      <w:r>
        <w:rPr>
          <w:i/>
          <w:sz w:val="24"/>
        </w:rPr>
        <w:t>metering installation</w:t>
      </w:r>
      <w:r>
        <w:rPr>
          <w:sz w:val="24"/>
        </w:rPr>
        <w:t>.</w:t>
      </w:r>
    </w:p>
    <w:p>
      <w:pPr>
        <w:pStyle w:val="BodyText"/>
        <w:ind w:left="1352" w:firstLine="0"/>
      </w:pPr>
      <w:r>
        <w:rPr>
          <w:b/>
        </w:rPr>
        <w:t>ILAC </w:t>
      </w:r>
      <w:r>
        <w:rPr/>
        <w:t>means International Laboratory Accreditation Cooperation.</w:t>
      </w:r>
    </w:p>
    <w:p>
      <w:pPr>
        <w:pStyle w:val="BodyText"/>
        <w:ind w:left="1352" w:right="414" w:firstLine="0"/>
      </w:pPr>
      <w:r>
        <w:rPr>
          <w:b/>
        </w:rPr>
        <w:t>inventory table </w:t>
      </w:r>
      <w:r>
        <w:rPr/>
        <w:t>means a table of devices for unmetered </w:t>
      </w:r>
      <w:r>
        <w:rPr>
          <w:i/>
        </w:rPr>
        <w:t>loads </w:t>
      </w:r>
      <w:r>
        <w:rPr/>
        <w:t>associated with each </w:t>
      </w:r>
      <w:r>
        <w:rPr>
          <w:i/>
        </w:rPr>
        <w:t>NMI </w:t>
      </w:r>
      <w:r>
        <w:rPr/>
        <w:t>as described in clauses S7A.7.14.2(c) and</w:t>
      </w:r>
      <w:r>
        <w:rPr>
          <w:spacing w:val="-9"/>
        </w:rPr>
        <w:t> </w:t>
      </w:r>
      <w:r>
        <w:rPr/>
        <w:t>S7A.7.14.3(c).</w:t>
      </w:r>
    </w:p>
    <w:p>
      <w:pPr>
        <w:pStyle w:val="BodyText"/>
        <w:ind w:left="1352" w:right="415" w:firstLine="0"/>
      </w:pPr>
      <w:r>
        <w:rPr>
          <w:b/>
        </w:rPr>
        <w:t>load table </w:t>
      </w:r>
      <w:r>
        <w:rPr/>
        <w:t>means a table of unmetered device </w:t>
      </w:r>
      <w:r>
        <w:rPr>
          <w:i/>
        </w:rPr>
        <w:t>loads </w:t>
      </w:r>
      <w:r>
        <w:rPr/>
        <w:t>as described in clause S7A.7.14.1.</w:t>
      </w:r>
    </w:p>
    <w:p>
      <w:pPr>
        <w:spacing w:before="120"/>
        <w:ind w:left="1352" w:right="415" w:firstLine="0"/>
        <w:jc w:val="both"/>
        <w:rPr>
          <w:sz w:val="24"/>
        </w:rPr>
      </w:pPr>
      <w:r>
        <w:rPr>
          <w:b/>
          <w:sz w:val="24"/>
        </w:rPr>
        <w:t>on/off table </w:t>
      </w:r>
      <w:r>
        <w:rPr>
          <w:sz w:val="24"/>
        </w:rPr>
        <w:t>means a table recording the switching status (On = 1, Off = 0) for each </w:t>
      </w:r>
      <w:r>
        <w:rPr>
          <w:i/>
          <w:sz w:val="24"/>
        </w:rPr>
        <w:t>recording interval </w:t>
      </w:r>
      <w:r>
        <w:rPr>
          <w:sz w:val="24"/>
        </w:rPr>
        <w:t>for the unmetered </w:t>
      </w:r>
      <w:r>
        <w:rPr>
          <w:i/>
          <w:sz w:val="24"/>
        </w:rPr>
        <w:t>loads </w:t>
      </w:r>
      <w:r>
        <w:rPr>
          <w:sz w:val="24"/>
        </w:rPr>
        <w:t>associated with a </w:t>
      </w:r>
      <w:r>
        <w:rPr>
          <w:i/>
          <w:sz w:val="24"/>
        </w:rPr>
        <w:t>NMI </w:t>
      </w:r>
      <w:r>
        <w:rPr>
          <w:sz w:val="24"/>
        </w:rPr>
        <w:t>as described in Part B of this schedule.</w:t>
      </w:r>
    </w:p>
    <w:p>
      <w:pPr>
        <w:spacing w:before="120"/>
        <w:ind w:left="1352" w:right="0" w:firstLine="0"/>
        <w:jc w:val="both"/>
        <w:rPr>
          <w:sz w:val="24"/>
        </w:rPr>
      </w:pPr>
      <w:r>
        <w:rPr>
          <w:b/>
          <w:sz w:val="24"/>
        </w:rPr>
        <w:t>physical inventory </w:t>
      </w:r>
      <w:r>
        <w:rPr>
          <w:sz w:val="24"/>
        </w:rPr>
        <w:t>means a physical count of devices.</w:t>
      </w:r>
    </w:p>
    <w:p>
      <w:pPr>
        <w:pStyle w:val="BodyText"/>
        <w:ind w:left="1352" w:right="415" w:firstLine="0"/>
      </w:pPr>
      <w:r>
        <w:rPr>
          <w:b/>
        </w:rPr>
        <w:t>public holiday </w:t>
      </w:r>
      <w:r>
        <w:rPr/>
        <w:t>means a day that is a public holiday, as defined in section 17 of the </w:t>
      </w:r>
      <w:r>
        <w:rPr>
          <w:i/>
        </w:rPr>
        <w:t>Interpretation Act 1978</w:t>
      </w:r>
      <w:r>
        <w:rPr/>
        <w:t>(NT), that is observed in the City of Darwin, other than a public holiday that is part of a</w:t>
      </w:r>
      <w:r>
        <w:rPr>
          <w:spacing w:val="-2"/>
        </w:rPr>
        <w:t> </w:t>
      </w:r>
      <w:r>
        <w:rPr/>
        <w:t>day.</w:t>
      </w:r>
    </w:p>
    <w:p>
      <w:pPr>
        <w:spacing w:before="120"/>
        <w:ind w:left="1352" w:right="414" w:firstLine="0"/>
        <w:jc w:val="both"/>
        <w:rPr>
          <w:sz w:val="24"/>
        </w:rPr>
      </w:pPr>
      <w:r>
        <w:rPr>
          <w:b/>
          <w:sz w:val="24"/>
        </w:rPr>
        <w:t>routine testing</w:t>
      </w:r>
      <w:r>
        <w:rPr>
          <w:sz w:val="24"/>
        </w:rPr>
        <w:t>, for the purposes of this schedule, includes the ongoing and regular maintenance testing, compliance testing and in-service testing of </w:t>
      </w:r>
      <w:r>
        <w:rPr>
          <w:i/>
          <w:sz w:val="24"/>
        </w:rPr>
        <w:t>metering </w:t>
      </w:r>
      <w:r>
        <w:rPr>
          <w:i/>
          <w:sz w:val="24"/>
        </w:rPr>
        <w:t>installation </w:t>
      </w:r>
      <w:r>
        <w:rPr>
          <w:sz w:val="24"/>
        </w:rPr>
        <w:t>components initiated by the </w:t>
      </w:r>
      <w:r>
        <w:rPr>
          <w:i/>
          <w:sz w:val="24"/>
        </w:rPr>
        <w:t>Metering Coordinator </w:t>
      </w:r>
      <w:r>
        <w:rPr>
          <w:sz w:val="24"/>
        </w:rPr>
        <w:t>or </w:t>
      </w:r>
      <w:r>
        <w:rPr>
          <w:i/>
          <w:sz w:val="24"/>
        </w:rPr>
        <w:t>Metering </w:t>
      </w:r>
      <w:r>
        <w:rPr>
          <w:i/>
          <w:sz w:val="24"/>
        </w:rPr>
        <w:t>Provider </w:t>
      </w:r>
      <w:r>
        <w:rPr>
          <w:sz w:val="24"/>
        </w:rPr>
        <w:t>to fulfil their obligations in accordance with schedule</w:t>
      </w:r>
      <w:r>
        <w:rPr>
          <w:spacing w:val="-5"/>
          <w:sz w:val="24"/>
        </w:rPr>
        <w:t> </w:t>
      </w:r>
      <w:r>
        <w:rPr>
          <w:sz w:val="24"/>
        </w:rPr>
        <w:t>7A.6.</w:t>
      </w:r>
    </w:p>
    <w:p>
      <w:pPr>
        <w:pStyle w:val="BodyText"/>
        <w:ind w:left="1352" w:right="416" w:firstLine="0"/>
      </w:pPr>
      <w:r>
        <w:rPr>
          <w:b/>
        </w:rPr>
        <w:t>Sample Test Plan </w:t>
      </w:r>
      <w:r>
        <w:rPr/>
        <w:t>means a statement of the sample size or sizes to be taken, the frequency of sample testing and the required accuracy.</w:t>
      </w:r>
    </w:p>
    <w:p>
      <w:pPr>
        <w:spacing w:before="120"/>
        <w:ind w:left="1352" w:right="0" w:firstLine="0"/>
        <w:jc w:val="both"/>
        <w:rPr>
          <w:sz w:val="24"/>
        </w:rPr>
      </w:pPr>
      <w:r>
        <w:rPr>
          <w:b/>
          <w:sz w:val="24"/>
        </w:rPr>
        <w:t>scheduled reading date </w:t>
      </w:r>
      <w:r>
        <w:rPr>
          <w:sz w:val="24"/>
        </w:rPr>
        <w:t>means the date of the next scheduled meter reading.</w:t>
      </w:r>
    </w:p>
    <w:p>
      <w:pPr>
        <w:spacing w:before="120"/>
        <w:ind w:left="1352" w:right="415" w:firstLine="0"/>
        <w:jc w:val="both"/>
        <w:rPr>
          <w:sz w:val="24"/>
        </w:rPr>
      </w:pPr>
      <w:r>
        <w:rPr>
          <w:b/>
          <w:sz w:val="24"/>
        </w:rPr>
        <w:t>unmetered </w:t>
      </w:r>
      <w:r>
        <w:rPr>
          <w:sz w:val="24"/>
        </w:rPr>
        <w:t>means a </w:t>
      </w:r>
      <w:r>
        <w:rPr>
          <w:i/>
          <w:sz w:val="24"/>
        </w:rPr>
        <w:t>load </w:t>
      </w:r>
      <w:r>
        <w:rPr>
          <w:sz w:val="24"/>
        </w:rPr>
        <w:t>or a </w:t>
      </w:r>
      <w:r>
        <w:rPr>
          <w:i/>
          <w:sz w:val="24"/>
        </w:rPr>
        <w:t>connection point </w:t>
      </w:r>
      <w:r>
        <w:rPr>
          <w:sz w:val="24"/>
        </w:rPr>
        <w:t>at which a </w:t>
      </w:r>
      <w:r>
        <w:rPr>
          <w:i/>
          <w:sz w:val="24"/>
        </w:rPr>
        <w:t>meter </w:t>
      </w:r>
      <w:r>
        <w:rPr>
          <w:sz w:val="24"/>
        </w:rPr>
        <w:t>is not necessary under schedule 7A.6.</w:t>
      </w:r>
    </w:p>
    <w:p>
      <w:pPr>
        <w:pStyle w:val="BodyText"/>
        <w:spacing w:before="10"/>
        <w:ind w:firstLine="0"/>
        <w:jc w:val="left"/>
        <w:rPr>
          <w:sz w:val="20"/>
        </w:rPr>
      </w:pPr>
    </w:p>
    <w:p>
      <w:pPr>
        <w:pStyle w:val="Heading4"/>
        <w:ind w:left="218" w:firstLine="0"/>
      </w:pPr>
      <w:bookmarkStart w:name="S7A.7.1.3 Relevant retailer" w:id="1934"/>
      <w:bookmarkEnd w:id="1934"/>
      <w:r>
        <w:rPr>
          <w:b w:val="0"/>
        </w:rPr>
      </w:r>
      <w:bookmarkStart w:name="_bookmark792" w:id="1935"/>
      <w:bookmarkEnd w:id="1935"/>
      <w:r>
        <w:rPr>
          <w:b w:val="0"/>
        </w:rPr>
      </w:r>
      <w:r>
        <w:rPr/>
        <w:t>S7A.7.1.3 Relevant retailer</w:t>
      </w:r>
    </w:p>
    <w:p>
      <w:pPr>
        <w:pStyle w:val="BodyText"/>
        <w:ind w:left="1352" w:right="417" w:firstLine="0"/>
      </w:pPr>
      <w:r>
        <w:rPr/>
        <w:t>In this schedule, a reference to the relevant </w:t>
      </w:r>
      <w:r>
        <w:rPr>
          <w:i/>
        </w:rPr>
        <w:t>retailer </w:t>
      </w:r>
      <w:r>
        <w:rPr/>
        <w:t>is a reference to Power Retail Corporation (trading as Jacana Energy) ABN 65 889 840 667.</w:t>
      </w:r>
    </w:p>
    <w:p>
      <w:pPr>
        <w:pStyle w:val="BodyText"/>
        <w:spacing w:before="10"/>
        <w:ind w:firstLine="0"/>
        <w:jc w:val="left"/>
        <w:rPr>
          <w:sz w:val="20"/>
        </w:rPr>
      </w:pPr>
    </w:p>
    <w:p>
      <w:pPr>
        <w:pStyle w:val="Heading2"/>
        <w:tabs>
          <w:tab w:pos="9317" w:val="left" w:leader="none"/>
        </w:tabs>
      </w:pPr>
      <w:bookmarkStart w:name="Part B" w:id="1936"/>
      <w:bookmarkEnd w:id="1936"/>
      <w:r>
        <w:rPr>
          <w:b w:val="0"/>
        </w:rPr>
      </w:r>
      <w:bookmarkStart w:name="_bookmark793" w:id="1937"/>
      <w:bookmarkEnd w:id="1937"/>
      <w:r>
        <w:rPr>
          <w:b w:val="0"/>
        </w:rPr>
      </w:r>
      <w:r>
        <w:rPr>
          <w:shd w:fill="D9D9D9" w:color="auto" w:val="clear"/>
        </w:rPr>
        <w:t>Part B</w:t>
        <w:tab/>
      </w:r>
    </w:p>
    <w:p>
      <w:pPr>
        <w:pStyle w:val="Heading4"/>
        <w:tabs>
          <w:tab w:pos="1351" w:val="left" w:leader="none"/>
        </w:tabs>
        <w:spacing w:line="510" w:lineRule="atLeast" w:before="6"/>
        <w:ind w:left="218" w:right="6139" w:firstLine="0"/>
      </w:pPr>
      <w:bookmarkStart w:name=" " w:id="1938"/>
      <w:bookmarkEnd w:id="1938"/>
      <w:r>
        <w:rPr>
          <w:b w:val="0"/>
        </w:rPr>
      </w:r>
      <w:bookmarkStart w:name="S7A.7.2 Purpose and scope" w:id="1939"/>
      <w:bookmarkEnd w:id="1939"/>
      <w:r>
        <w:rPr>
          <w:b w:val="0"/>
        </w:rPr>
      </w:r>
      <w:bookmarkStart w:name="_bookmark794" w:id="1940"/>
      <w:bookmarkEnd w:id="1940"/>
      <w:r>
        <w:rPr>
          <w:b w:val="0"/>
        </w:rPr>
      </w:r>
      <w:r>
        <w:rPr/>
        <w:t>S7A.7.2</w:t>
        <w:tab/>
        <w:t>Purpose and scope</w:t>
      </w:r>
      <w:bookmarkStart w:name="S7A.7.2.1 Purpose" w:id="1941"/>
      <w:bookmarkEnd w:id="1941"/>
      <w:r>
        <w:rPr/>
      </w:r>
      <w:bookmarkStart w:name="_bookmark795" w:id="1942"/>
      <w:bookmarkEnd w:id="1942"/>
      <w:r>
        <w:rPr/>
      </w:r>
      <w:r>
        <w:rPr/>
        <w:t> S7A.7.2.1 Purpose</w:t>
      </w:r>
    </w:p>
    <w:p>
      <w:pPr>
        <w:pStyle w:val="BodyText"/>
        <w:spacing w:before="126"/>
        <w:ind w:left="1352" w:firstLine="0"/>
        <w:jc w:val="left"/>
      </w:pPr>
      <w:r>
        <w:rPr/>
        <w:t>The purpose of this Part is to set out:</w:t>
      </w:r>
    </w:p>
    <w:p>
      <w:pPr>
        <w:pStyle w:val="ListParagraph"/>
        <w:numPr>
          <w:ilvl w:val="0"/>
          <w:numId w:val="544"/>
        </w:numPr>
        <w:tabs>
          <w:tab w:pos="1918" w:val="left" w:leader="none"/>
          <w:tab w:pos="1919" w:val="left" w:leader="none"/>
        </w:tabs>
        <w:spacing w:line="240" w:lineRule="auto" w:before="120" w:after="0"/>
        <w:ind w:left="1919" w:right="416" w:hanging="567"/>
        <w:jc w:val="left"/>
        <w:rPr>
          <w:sz w:val="24"/>
        </w:rPr>
      </w:pPr>
      <w:r>
        <w:rPr>
          <w:sz w:val="24"/>
        </w:rPr>
        <w:t>the obligations of the </w:t>
      </w:r>
      <w:r>
        <w:rPr>
          <w:i/>
          <w:sz w:val="24"/>
        </w:rPr>
        <w:t>Metering Coordinator</w:t>
      </w:r>
      <w:r>
        <w:rPr>
          <w:sz w:val="24"/>
        </w:rPr>
        <w:t>, in relation to </w:t>
      </w:r>
      <w:r>
        <w:rPr>
          <w:i/>
          <w:sz w:val="24"/>
        </w:rPr>
        <w:t>metering </w:t>
      </w:r>
      <w:r>
        <w:rPr>
          <w:i/>
          <w:sz w:val="24"/>
        </w:rPr>
        <w:t>installations </w:t>
      </w:r>
      <w:r>
        <w:rPr>
          <w:sz w:val="24"/>
        </w:rPr>
        <w:t>that are referred to in the</w:t>
      </w:r>
      <w:r>
        <w:rPr>
          <w:spacing w:val="-2"/>
          <w:sz w:val="24"/>
        </w:rPr>
        <w:t> </w:t>
      </w:r>
      <w:r>
        <w:rPr>
          <w:i/>
          <w:sz w:val="24"/>
        </w:rPr>
        <w:t>Rules</w:t>
      </w:r>
      <w:r>
        <w:rPr>
          <w:sz w:val="24"/>
        </w:rPr>
        <w:t>;</w:t>
      </w:r>
    </w:p>
    <w:p>
      <w:pPr>
        <w:pStyle w:val="ListParagraph"/>
        <w:numPr>
          <w:ilvl w:val="0"/>
          <w:numId w:val="544"/>
        </w:numPr>
        <w:tabs>
          <w:tab w:pos="1918" w:val="left" w:leader="none"/>
          <w:tab w:pos="1919" w:val="left" w:leader="none"/>
        </w:tabs>
        <w:spacing w:line="240" w:lineRule="auto" w:before="120" w:after="0"/>
        <w:ind w:left="1919" w:right="415" w:hanging="567"/>
        <w:jc w:val="left"/>
        <w:rPr>
          <w:sz w:val="24"/>
        </w:rPr>
      </w:pPr>
      <w:r>
        <w:rPr>
          <w:sz w:val="24"/>
        </w:rPr>
        <w:t>the obligations of </w:t>
      </w:r>
      <w:r>
        <w:rPr>
          <w:i/>
          <w:sz w:val="24"/>
        </w:rPr>
        <w:t>Metering Providers </w:t>
      </w:r>
      <w:r>
        <w:rPr>
          <w:sz w:val="24"/>
        </w:rPr>
        <w:t>in relation to the provision, installation, routine testing and maintenance of a </w:t>
      </w:r>
      <w:r>
        <w:rPr>
          <w:i/>
          <w:sz w:val="24"/>
        </w:rPr>
        <w:t>metering installation</w:t>
      </w:r>
      <w:r>
        <w:rPr>
          <w:sz w:val="24"/>
        </w:rPr>
        <w:t>;</w:t>
      </w:r>
      <w:r>
        <w:rPr>
          <w:spacing w:val="-11"/>
          <w:sz w:val="24"/>
        </w:rPr>
        <w:t> </w:t>
      </w:r>
      <w:r>
        <w:rPr>
          <w:sz w:val="24"/>
        </w:rPr>
        <w:t>and</w:t>
      </w:r>
    </w:p>
    <w:p>
      <w:pPr>
        <w:pStyle w:val="ListParagraph"/>
        <w:numPr>
          <w:ilvl w:val="0"/>
          <w:numId w:val="544"/>
        </w:numPr>
        <w:tabs>
          <w:tab w:pos="1918" w:val="left" w:leader="none"/>
          <w:tab w:pos="1919" w:val="left" w:leader="none"/>
        </w:tabs>
        <w:spacing w:line="240" w:lineRule="auto" w:before="120" w:after="0"/>
        <w:ind w:left="1918" w:right="0" w:hanging="567"/>
        <w:jc w:val="left"/>
        <w:rPr>
          <w:sz w:val="24"/>
        </w:rPr>
      </w:pPr>
      <w:r>
        <w:rPr>
          <w:sz w:val="24"/>
        </w:rPr>
        <w:t>the</w:t>
      </w:r>
      <w:r>
        <w:rPr>
          <w:spacing w:val="29"/>
          <w:sz w:val="24"/>
        </w:rPr>
        <w:t> </w:t>
      </w:r>
      <w:r>
        <w:rPr>
          <w:sz w:val="24"/>
        </w:rPr>
        <w:t>obligations</w:t>
      </w:r>
      <w:r>
        <w:rPr>
          <w:spacing w:val="29"/>
          <w:sz w:val="24"/>
        </w:rPr>
        <w:t> </w:t>
      </w:r>
      <w:r>
        <w:rPr>
          <w:sz w:val="24"/>
        </w:rPr>
        <w:t>of</w:t>
      </w:r>
      <w:r>
        <w:rPr>
          <w:spacing w:val="29"/>
          <w:sz w:val="24"/>
        </w:rPr>
        <w:t> </w:t>
      </w:r>
      <w:r>
        <w:rPr>
          <w:i/>
          <w:sz w:val="24"/>
        </w:rPr>
        <w:t>Metering</w:t>
      </w:r>
      <w:r>
        <w:rPr>
          <w:i/>
          <w:spacing w:val="30"/>
          <w:sz w:val="24"/>
        </w:rPr>
        <w:t> </w:t>
      </w:r>
      <w:r>
        <w:rPr>
          <w:i/>
          <w:sz w:val="24"/>
        </w:rPr>
        <w:t>Data</w:t>
      </w:r>
      <w:r>
        <w:rPr>
          <w:i/>
          <w:spacing w:val="29"/>
          <w:sz w:val="24"/>
        </w:rPr>
        <w:t> </w:t>
      </w:r>
      <w:r>
        <w:rPr>
          <w:i/>
          <w:sz w:val="24"/>
        </w:rPr>
        <w:t>Providers</w:t>
      </w:r>
      <w:r>
        <w:rPr>
          <w:i/>
          <w:spacing w:val="29"/>
          <w:sz w:val="24"/>
        </w:rPr>
        <w:t> </w:t>
      </w:r>
      <w:r>
        <w:rPr>
          <w:sz w:val="24"/>
        </w:rPr>
        <w:t>in</w:t>
      </w:r>
      <w:r>
        <w:rPr>
          <w:spacing w:val="30"/>
          <w:sz w:val="24"/>
        </w:rPr>
        <w:t> </w:t>
      </w:r>
      <w:r>
        <w:rPr>
          <w:sz w:val="24"/>
        </w:rPr>
        <w:t>relation</w:t>
      </w:r>
      <w:r>
        <w:rPr>
          <w:spacing w:val="29"/>
          <w:sz w:val="24"/>
        </w:rPr>
        <w:t> </w:t>
      </w:r>
      <w:r>
        <w:rPr>
          <w:sz w:val="24"/>
        </w:rPr>
        <w:t>to</w:t>
      </w:r>
      <w:r>
        <w:rPr>
          <w:spacing w:val="29"/>
          <w:sz w:val="24"/>
        </w:rPr>
        <w:t> </w:t>
      </w:r>
      <w:r>
        <w:rPr>
          <w:sz w:val="24"/>
        </w:rPr>
        <w:t>the</w:t>
      </w:r>
      <w:r>
        <w:rPr>
          <w:spacing w:val="30"/>
          <w:sz w:val="24"/>
        </w:rPr>
        <w:t> </w:t>
      </w:r>
      <w:r>
        <w:rPr>
          <w:sz w:val="24"/>
        </w:rPr>
        <w:t>provision</w:t>
      </w:r>
      <w:r>
        <w:rPr>
          <w:spacing w:val="29"/>
          <w:sz w:val="24"/>
        </w:rPr>
        <w:t> </w:t>
      </w:r>
      <w:r>
        <w:rPr>
          <w:sz w:val="24"/>
        </w:rPr>
        <w:t>of</w:t>
      </w:r>
    </w:p>
    <w:p>
      <w:pPr>
        <w:spacing w:before="0"/>
        <w:ind w:left="1919" w:right="0" w:firstLine="0"/>
        <w:jc w:val="left"/>
        <w:rPr>
          <w:sz w:val="24"/>
        </w:rPr>
      </w:pPr>
      <w:r>
        <w:rPr>
          <w:i/>
          <w:sz w:val="24"/>
        </w:rPr>
        <w:t>metering data services</w:t>
      </w:r>
      <w:r>
        <w:rPr>
          <w:sz w:val="24"/>
        </w:rPr>
        <w:t>.</w:t>
      </w:r>
    </w:p>
    <w:p>
      <w:pPr>
        <w:spacing w:after="0"/>
        <w:jc w:val="left"/>
        <w:rPr>
          <w:sz w:val="24"/>
        </w:rPr>
        <w:sectPr>
          <w:pgSz w:w="11910" w:h="16840"/>
          <w:pgMar w:header="686" w:footer="637" w:top="1320" w:bottom="820" w:left="1200" w:right="1000"/>
        </w:sectPr>
      </w:pPr>
    </w:p>
    <w:p>
      <w:pPr>
        <w:pStyle w:val="Heading4"/>
        <w:spacing w:before="83"/>
        <w:ind w:left="218" w:firstLine="0"/>
      </w:pPr>
      <w:bookmarkStart w:name="S7A.7.2.2 Scope" w:id="1943"/>
      <w:bookmarkEnd w:id="1943"/>
      <w:r>
        <w:rPr>
          <w:b w:val="0"/>
        </w:rPr>
      </w:r>
      <w:bookmarkStart w:name="_bookmark796" w:id="1944"/>
      <w:bookmarkEnd w:id="1944"/>
      <w:r>
        <w:rPr>
          <w:b w:val="0"/>
        </w:rPr>
      </w:r>
      <w:r>
        <w:rPr/>
        <w:t>S7A.7.2.2 Scope</w:t>
      </w:r>
    </w:p>
    <w:p>
      <w:pPr>
        <w:spacing w:before="120"/>
        <w:ind w:left="1352" w:right="416" w:firstLine="0"/>
        <w:jc w:val="both"/>
        <w:rPr>
          <w:sz w:val="24"/>
        </w:rPr>
      </w:pPr>
      <w:r>
        <w:rPr>
          <w:sz w:val="24"/>
        </w:rPr>
        <w:t>This schedule provides information on the application of </w:t>
      </w:r>
      <w:r>
        <w:rPr>
          <w:i/>
          <w:sz w:val="24"/>
        </w:rPr>
        <w:t>metering installations </w:t>
      </w:r>
      <w:r>
        <w:rPr>
          <w:sz w:val="24"/>
        </w:rPr>
        <w:t>to </w:t>
      </w:r>
      <w:r>
        <w:rPr>
          <w:i/>
          <w:sz w:val="24"/>
        </w:rPr>
        <w:t>connection points</w:t>
      </w:r>
      <w:r>
        <w:rPr>
          <w:sz w:val="24"/>
        </w:rPr>
        <w:t>. In particular, this schedule sets out provisions for </w:t>
      </w:r>
      <w:r>
        <w:rPr>
          <w:i/>
          <w:sz w:val="24"/>
        </w:rPr>
        <w:t>metering </w:t>
      </w:r>
      <w:r>
        <w:rPr>
          <w:i/>
          <w:sz w:val="24"/>
        </w:rPr>
        <w:t>installations </w:t>
      </w:r>
      <w:r>
        <w:rPr>
          <w:sz w:val="24"/>
        </w:rPr>
        <w:t>and </w:t>
      </w:r>
      <w:r>
        <w:rPr>
          <w:i/>
          <w:sz w:val="24"/>
        </w:rPr>
        <w:t>metering data services </w:t>
      </w:r>
      <w:r>
        <w:rPr>
          <w:sz w:val="24"/>
        </w:rPr>
        <w:t>relating to:</w:t>
      </w:r>
    </w:p>
    <w:p>
      <w:pPr>
        <w:pStyle w:val="ListParagraph"/>
        <w:numPr>
          <w:ilvl w:val="0"/>
          <w:numId w:val="545"/>
        </w:numPr>
        <w:tabs>
          <w:tab w:pos="1919" w:val="left" w:leader="none"/>
        </w:tabs>
        <w:spacing w:line="240" w:lineRule="auto" w:before="120" w:after="0"/>
        <w:ind w:left="1918" w:right="0" w:hanging="567"/>
        <w:jc w:val="both"/>
        <w:rPr>
          <w:sz w:val="24"/>
        </w:rPr>
      </w:pPr>
      <w:r>
        <w:rPr>
          <w:i/>
          <w:sz w:val="24"/>
        </w:rPr>
        <w:t>Metering Providers</w:t>
      </w:r>
      <w:r>
        <w:rPr>
          <w:sz w:val="24"/>
        </w:rPr>
        <w:t>, which</w:t>
      </w:r>
      <w:r>
        <w:rPr>
          <w:spacing w:val="-2"/>
          <w:sz w:val="24"/>
        </w:rPr>
        <w:t> </w:t>
      </w:r>
      <w:r>
        <w:rPr>
          <w:sz w:val="24"/>
        </w:rPr>
        <w:t>include:</w:t>
      </w:r>
    </w:p>
    <w:p>
      <w:pPr>
        <w:pStyle w:val="ListParagraph"/>
        <w:numPr>
          <w:ilvl w:val="1"/>
          <w:numId w:val="545"/>
        </w:numPr>
        <w:tabs>
          <w:tab w:pos="2486" w:val="left" w:leader="none"/>
        </w:tabs>
        <w:spacing w:line="240" w:lineRule="auto" w:before="120" w:after="0"/>
        <w:ind w:left="2485" w:right="0" w:hanging="567"/>
        <w:jc w:val="both"/>
        <w:rPr>
          <w:sz w:val="24"/>
        </w:rPr>
      </w:pPr>
      <w:r>
        <w:rPr>
          <w:sz w:val="24"/>
        </w:rPr>
        <w:t>the</w:t>
      </w:r>
      <w:r>
        <w:rPr>
          <w:spacing w:val="47"/>
          <w:sz w:val="24"/>
        </w:rPr>
        <w:t> </w:t>
      </w:r>
      <w:r>
        <w:rPr>
          <w:sz w:val="24"/>
        </w:rPr>
        <w:t>type</w:t>
      </w:r>
      <w:r>
        <w:rPr>
          <w:spacing w:val="47"/>
          <w:sz w:val="24"/>
        </w:rPr>
        <w:t> </w:t>
      </w:r>
      <w:r>
        <w:rPr>
          <w:sz w:val="24"/>
        </w:rPr>
        <w:t>of</w:t>
      </w:r>
      <w:r>
        <w:rPr>
          <w:spacing w:val="48"/>
          <w:sz w:val="24"/>
        </w:rPr>
        <w:t> </w:t>
      </w:r>
      <w:r>
        <w:rPr>
          <w:i/>
          <w:sz w:val="24"/>
        </w:rPr>
        <w:t>metering</w:t>
      </w:r>
      <w:r>
        <w:rPr>
          <w:i/>
          <w:spacing w:val="47"/>
          <w:sz w:val="24"/>
        </w:rPr>
        <w:t> </w:t>
      </w:r>
      <w:r>
        <w:rPr>
          <w:i/>
          <w:sz w:val="24"/>
        </w:rPr>
        <w:t>installation</w:t>
      </w:r>
      <w:r>
        <w:rPr>
          <w:i/>
          <w:spacing w:val="47"/>
          <w:sz w:val="24"/>
        </w:rPr>
        <w:t> </w:t>
      </w:r>
      <w:r>
        <w:rPr>
          <w:sz w:val="24"/>
        </w:rPr>
        <w:t>permitted</w:t>
      </w:r>
      <w:r>
        <w:rPr>
          <w:spacing w:val="48"/>
          <w:sz w:val="24"/>
        </w:rPr>
        <w:t> </w:t>
      </w:r>
      <w:r>
        <w:rPr>
          <w:sz w:val="24"/>
        </w:rPr>
        <w:t>for</w:t>
      </w:r>
      <w:r>
        <w:rPr>
          <w:spacing w:val="47"/>
          <w:sz w:val="24"/>
        </w:rPr>
        <w:t> </w:t>
      </w:r>
      <w:r>
        <w:rPr>
          <w:sz w:val="24"/>
        </w:rPr>
        <w:t>the</w:t>
      </w:r>
      <w:r>
        <w:rPr>
          <w:spacing w:val="48"/>
          <w:sz w:val="24"/>
        </w:rPr>
        <w:t> </w:t>
      </w:r>
      <w:r>
        <w:rPr>
          <w:sz w:val="24"/>
        </w:rPr>
        <w:t>measurement</w:t>
      </w:r>
      <w:r>
        <w:rPr>
          <w:spacing w:val="47"/>
          <w:sz w:val="24"/>
        </w:rPr>
        <w:t> </w:t>
      </w:r>
      <w:r>
        <w:rPr>
          <w:sz w:val="24"/>
        </w:rPr>
        <w:t>of</w:t>
      </w:r>
    </w:p>
    <w:p>
      <w:pPr>
        <w:spacing w:before="0"/>
        <w:ind w:left="2486" w:right="0" w:firstLine="0"/>
        <w:jc w:val="both"/>
        <w:rPr>
          <w:sz w:val="24"/>
        </w:rPr>
      </w:pPr>
      <w:r>
        <w:rPr>
          <w:i/>
          <w:sz w:val="24"/>
        </w:rPr>
        <w:t>active energy</w:t>
      </w:r>
      <w:r>
        <w:rPr>
          <w:sz w:val="24"/>
        </w:rPr>
        <w:t>;</w:t>
      </w:r>
    </w:p>
    <w:p>
      <w:pPr>
        <w:pStyle w:val="ListParagraph"/>
        <w:numPr>
          <w:ilvl w:val="1"/>
          <w:numId w:val="545"/>
        </w:numPr>
        <w:tabs>
          <w:tab w:pos="2486" w:val="left" w:leader="none"/>
        </w:tabs>
        <w:spacing w:line="240" w:lineRule="auto" w:before="120" w:after="0"/>
        <w:ind w:left="2485" w:right="0" w:hanging="567"/>
        <w:jc w:val="both"/>
        <w:rPr>
          <w:sz w:val="24"/>
        </w:rPr>
      </w:pPr>
      <w:r>
        <w:rPr>
          <w:sz w:val="24"/>
        </w:rPr>
        <w:t>the</w:t>
      </w:r>
      <w:r>
        <w:rPr>
          <w:spacing w:val="17"/>
          <w:sz w:val="24"/>
        </w:rPr>
        <w:t> </w:t>
      </w:r>
      <w:r>
        <w:rPr>
          <w:sz w:val="24"/>
        </w:rPr>
        <w:t>provision,</w:t>
      </w:r>
      <w:r>
        <w:rPr>
          <w:spacing w:val="18"/>
          <w:sz w:val="24"/>
        </w:rPr>
        <w:t> </w:t>
      </w:r>
      <w:r>
        <w:rPr>
          <w:sz w:val="24"/>
        </w:rPr>
        <w:t>installation,</w:t>
      </w:r>
      <w:r>
        <w:rPr>
          <w:spacing w:val="18"/>
          <w:sz w:val="24"/>
        </w:rPr>
        <w:t> </w:t>
      </w:r>
      <w:r>
        <w:rPr>
          <w:sz w:val="24"/>
        </w:rPr>
        <w:t>testing,</w:t>
      </w:r>
      <w:r>
        <w:rPr>
          <w:spacing w:val="17"/>
          <w:sz w:val="24"/>
        </w:rPr>
        <w:t> </w:t>
      </w:r>
      <w:r>
        <w:rPr>
          <w:sz w:val="24"/>
        </w:rPr>
        <w:t>inspection</w:t>
      </w:r>
      <w:r>
        <w:rPr>
          <w:spacing w:val="18"/>
          <w:sz w:val="24"/>
        </w:rPr>
        <w:t> </w:t>
      </w:r>
      <w:r>
        <w:rPr>
          <w:sz w:val="24"/>
        </w:rPr>
        <w:t>and</w:t>
      </w:r>
      <w:r>
        <w:rPr>
          <w:spacing w:val="18"/>
          <w:sz w:val="24"/>
        </w:rPr>
        <w:t> </w:t>
      </w:r>
      <w:r>
        <w:rPr>
          <w:sz w:val="24"/>
        </w:rPr>
        <w:t>maintenance</w:t>
      </w:r>
      <w:r>
        <w:rPr>
          <w:spacing w:val="17"/>
          <w:sz w:val="24"/>
        </w:rPr>
        <w:t> </w:t>
      </w:r>
      <w:r>
        <w:rPr>
          <w:sz w:val="24"/>
        </w:rPr>
        <w:t>of</w:t>
      </w:r>
    </w:p>
    <w:p>
      <w:pPr>
        <w:spacing w:before="0"/>
        <w:ind w:left="2486" w:right="0" w:firstLine="0"/>
        <w:jc w:val="both"/>
        <w:rPr>
          <w:sz w:val="24"/>
        </w:rPr>
      </w:pPr>
      <w:r>
        <w:rPr>
          <w:i/>
          <w:sz w:val="24"/>
        </w:rPr>
        <w:t>metering installations</w:t>
      </w:r>
      <w:r>
        <w:rPr>
          <w:sz w:val="24"/>
        </w:rPr>
        <w:t>;</w:t>
      </w:r>
    </w:p>
    <w:p>
      <w:pPr>
        <w:pStyle w:val="ListParagraph"/>
        <w:numPr>
          <w:ilvl w:val="1"/>
          <w:numId w:val="545"/>
        </w:numPr>
        <w:tabs>
          <w:tab w:pos="2486" w:val="left" w:leader="none"/>
        </w:tabs>
        <w:spacing w:line="240" w:lineRule="auto" w:before="120" w:after="0"/>
        <w:ind w:left="2485" w:right="0" w:hanging="567"/>
        <w:jc w:val="both"/>
        <w:rPr>
          <w:sz w:val="24"/>
        </w:rPr>
      </w:pPr>
      <w:r>
        <w:rPr>
          <w:sz w:val="24"/>
        </w:rPr>
        <w:t>the components of each type of </w:t>
      </w:r>
      <w:r>
        <w:rPr>
          <w:i/>
          <w:sz w:val="24"/>
        </w:rPr>
        <w:t>metering installation</w:t>
      </w:r>
      <w:r>
        <w:rPr>
          <w:sz w:val="24"/>
        </w:rPr>
        <w:t>;</w:t>
      </w:r>
      <w:r>
        <w:rPr>
          <w:spacing w:val="-4"/>
          <w:sz w:val="24"/>
        </w:rPr>
        <w:t> </w:t>
      </w:r>
      <w:r>
        <w:rPr>
          <w:sz w:val="24"/>
        </w:rPr>
        <w:t>and</w:t>
      </w:r>
    </w:p>
    <w:p>
      <w:pPr>
        <w:pStyle w:val="ListParagraph"/>
        <w:numPr>
          <w:ilvl w:val="1"/>
          <w:numId w:val="545"/>
        </w:numPr>
        <w:tabs>
          <w:tab w:pos="2486" w:val="left" w:leader="none"/>
        </w:tabs>
        <w:spacing w:line="240" w:lineRule="auto" w:before="120" w:after="0"/>
        <w:ind w:left="2486" w:right="414" w:hanging="567"/>
        <w:jc w:val="both"/>
        <w:rPr>
          <w:sz w:val="24"/>
        </w:rPr>
      </w:pPr>
      <w:r>
        <w:rPr>
          <w:sz w:val="24"/>
        </w:rPr>
        <w:t>storage of, and access rights to, </w:t>
      </w:r>
      <w:r>
        <w:rPr>
          <w:i/>
          <w:sz w:val="24"/>
        </w:rPr>
        <w:t>energy data </w:t>
      </w:r>
      <w:r>
        <w:rPr>
          <w:sz w:val="24"/>
        </w:rPr>
        <w:t>in the </w:t>
      </w:r>
      <w:r>
        <w:rPr>
          <w:i/>
          <w:sz w:val="24"/>
        </w:rPr>
        <w:t>metering </w:t>
      </w:r>
      <w:r>
        <w:rPr>
          <w:i/>
          <w:sz w:val="24"/>
        </w:rPr>
        <w:t>installation</w:t>
      </w:r>
      <w:r>
        <w:rPr>
          <w:sz w:val="24"/>
        </w:rPr>
        <w:t>;</w:t>
      </w:r>
      <w:r>
        <w:rPr>
          <w:spacing w:val="-1"/>
          <w:sz w:val="24"/>
        </w:rPr>
        <w:t> </w:t>
      </w:r>
      <w:r>
        <w:rPr>
          <w:sz w:val="24"/>
        </w:rPr>
        <w:t>and</w:t>
      </w:r>
    </w:p>
    <w:p>
      <w:pPr>
        <w:pStyle w:val="ListParagraph"/>
        <w:numPr>
          <w:ilvl w:val="0"/>
          <w:numId w:val="545"/>
        </w:numPr>
        <w:tabs>
          <w:tab w:pos="1919" w:val="left" w:leader="none"/>
        </w:tabs>
        <w:spacing w:line="240" w:lineRule="auto" w:before="120" w:after="0"/>
        <w:ind w:left="1918" w:right="0" w:hanging="567"/>
        <w:jc w:val="both"/>
        <w:rPr>
          <w:sz w:val="24"/>
        </w:rPr>
      </w:pPr>
      <w:r>
        <w:rPr>
          <w:i/>
          <w:sz w:val="24"/>
        </w:rPr>
        <w:t>Metering Data Providers</w:t>
      </w:r>
      <w:r>
        <w:rPr>
          <w:sz w:val="24"/>
        </w:rPr>
        <w:t>, which</w:t>
      </w:r>
      <w:r>
        <w:rPr>
          <w:spacing w:val="-3"/>
          <w:sz w:val="24"/>
        </w:rPr>
        <w:t> </w:t>
      </w:r>
      <w:r>
        <w:rPr>
          <w:sz w:val="24"/>
        </w:rPr>
        <w:t>include:</w:t>
      </w:r>
    </w:p>
    <w:p>
      <w:pPr>
        <w:pStyle w:val="ListParagraph"/>
        <w:numPr>
          <w:ilvl w:val="1"/>
          <w:numId w:val="545"/>
        </w:numPr>
        <w:tabs>
          <w:tab w:pos="2486" w:val="left" w:leader="none"/>
        </w:tabs>
        <w:spacing w:line="240" w:lineRule="auto" w:before="120" w:after="0"/>
        <w:ind w:left="2486" w:right="415" w:hanging="567"/>
        <w:jc w:val="both"/>
        <w:rPr>
          <w:sz w:val="24"/>
        </w:rPr>
      </w:pPr>
      <w:r>
        <w:rPr>
          <w:sz w:val="24"/>
        </w:rPr>
        <w:t>the collection or calculation, processing and delivery of </w:t>
      </w:r>
      <w:r>
        <w:rPr>
          <w:i/>
          <w:sz w:val="24"/>
        </w:rPr>
        <w:t>metering data</w:t>
      </w:r>
      <w:r>
        <w:rPr>
          <w:sz w:val="24"/>
        </w:rPr>
        <w:t>; and</w:t>
      </w:r>
    </w:p>
    <w:p>
      <w:pPr>
        <w:pStyle w:val="ListParagraph"/>
        <w:numPr>
          <w:ilvl w:val="1"/>
          <w:numId w:val="545"/>
        </w:numPr>
        <w:tabs>
          <w:tab w:pos="2486" w:val="left" w:leader="none"/>
        </w:tabs>
        <w:spacing w:line="240" w:lineRule="auto" w:before="120" w:after="0"/>
        <w:ind w:left="2486" w:right="417" w:hanging="567"/>
        <w:jc w:val="both"/>
        <w:rPr>
          <w:sz w:val="24"/>
        </w:rPr>
      </w:pPr>
      <w:r>
        <w:rPr>
          <w:sz w:val="24"/>
        </w:rPr>
        <w:t>storage of </w:t>
      </w:r>
      <w:r>
        <w:rPr>
          <w:i/>
          <w:sz w:val="24"/>
        </w:rPr>
        <w:t>metering data </w:t>
      </w:r>
      <w:r>
        <w:rPr>
          <w:sz w:val="24"/>
        </w:rPr>
        <w:t>in the </w:t>
      </w:r>
      <w:r>
        <w:rPr>
          <w:i/>
          <w:sz w:val="24"/>
        </w:rPr>
        <w:t>metering data services database </w:t>
      </w:r>
      <w:r>
        <w:rPr>
          <w:sz w:val="24"/>
        </w:rPr>
        <w:t>and rights of access to </w:t>
      </w:r>
      <w:r>
        <w:rPr>
          <w:i/>
          <w:sz w:val="24"/>
        </w:rPr>
        <w:t>metering</w:t>
      </w:r>
      <w:r>
        <w:rPr>
          <w:i/>
          <w:spacing w:val="-1"/>
          <w:sz w:val="24"/>
        </w:rPr>
        <w:t> </w:t>
      </w:r>
      <w:r>
        <w:rPr>
          <w:i/>
          <w:sz w:val="24"/>
        </w:rPr>
        <w:t>data</w:t>
      </w:r>
      <w:r>
        <w:rPr>
          <w:sz w:val="24"/>
        </w:rPr>
        <w:t>.</w:t>
      </w:r>
    </w:p>
    <w:p>
      <w:pPr>
        <w:pStyle w:val="BodyText"/>
        <w:spacing w:before="10"/>
        <w:ind w:firstLine="0"/>
        <w:jc w:val="left"/>
        <w:rPr>
          <w:sz w:val="20"/>
        </w:rPr>
      </w:pPr>
    </w:p>
    <w:p>
      <w:pPr>
        <w:pStyle w:val="Heading4"/>
        <w:tabs>
          <w:tab w:pos="1351" w:val="left" w:leader="none"/>
        </w:tabs>
        <w:ind w:left="218" w:firstLine="0"/>
      </w:pPr>
      <w:bookmarkStart w:name="S7A.7.3 Metering provision" w:id="1945"/>
      <w:bookmarkEnd w:id="1945"/>
      <w:r>
        <w:rPr>
          <w:b w:val="0"/>
        </w:rPr>
      </w:r>
      <w:bookmarkStart w:name="_bookmark797" w:id="1946"/>
      <w:bookmarkEnd w:id="1946"/>
      <w:r>
        <w:rPr>
          <w:b w:val="0"/>
        </w:rPr>
      </w:r>
      <w:r>
        <w:rPr/>
        <w:t>S7A.7.3</w:t>
        <w:tab/>
        <w:t>Metering</w:t>
      </w:r>
      <w:r>
        <w:rPr>
          <w:spacing w:val="-1"/>
        </w:rPr>
        <w:t> </w:t>
      </w:r>
      <w:r>
        <w:rPr/>
        <w:t>provision</w:t>
      </w:r>
    </w:p>
    <w:p>
      <w:pPr>
        <w:pStyle w:val="BodyText"/>
        <w:spacing w:before="10"/>
        <w:ind w:firstLine="0"/>
        <w:jc w:val="left"/>
        <w:rPr>
          <w:rFonts w:ascii="Arial"/>
          <w:b/>
          <w:sz w:val="20"/>
        </w:rPr>
      </w:pPr>
    </w:p>
    <w:p>
      <w:pPr>
        <w:pStyle w:val="Heading4"/>
        <w:ind w:left="218" w:firstLine="0"/>
      </w:pPr>
      <w:bookmarkStart w:name="S7A.7.3.1 Responsibility for metering pr" w:id="1947"/>
      <w:bookmarkEnd w:id="1947"/>
      <w:r>
        <w:rPr>
          <w:b w:val="0"/>
        </w:rPr>
      </w:r>
      <w:bookmarkStart w:name="_bookmark798" w:id="1948"/>
      <w:bookmarkEnd w:id="1948"/>
      <w:r>
        <w:rPr>
          <w:b w:val="0"/>
        </w:rPr>
      </w:r>
      <w:r>
        <w:rPr/>
        <w:t>S7A.7.3.1 Responsibility for metering provision</w:t>
      </w:r>
    </w:p>
    <w:p>
      <w:pPr>
        <w:pStyle w:val="ListParagraph"/>
        <w:numPr>
          <w:ilvl w:val="0"/>
          <w:numId w:val="546"/>
        </w:numPr>
        <w:tabs>
          <w:tab w:pos="1919" w:val="left" w:leader="none"/>
        </w:tabs>
        <w:spacing w:line="240" w:lineRule="auto" w:before="120" w:after="0"/>
        <w:ind w:left="1919" w:right="415" w:hanging="567"/>
        <w:jc w:val="both"/>
        <w:rPr>
          <w:sz w:val="24"/>
        </w:rPr>
      </w:pPr>
      <w:r>
        <w:rPr>
          <w:i/>
          <w:sz w:val="24"/>
        </w:rPr>
        <w:t>Metering Coordinators </w:t>
      </w:r>
      <w:r>
        <w:rPr>
          <w:sz w:val="24"/>
        </w:rPr>
        <w:t>must use </w:t>
      </w:r>
      <w:r>
        <w:rPr>
          <w:i/>
          <w:sz w:val="24"/>
        </w:rPr>
        <w:t>Metering Providers </w:t>
      </w:r>
      <w:r>
        <w:rPr>
          <w:sz w:val="24"/>
        </w:rPr>
        <w:t>to provide, install, test and maintain the relevant components, characteristics and service requirements of the </w:t>
      </w:r>
      <w:r>
        <w:rPr>
          <w:i/>
          <w:sz w:val="24"/>
        </w:rPr>
        <w:t>metering installation </w:t>
      </w:r>
      <w:r>
        <w:rPr>
          <w:sz w:val="24"/>
        </w:rPr>
        <w:t>as specified in the</w:t>
      </w:r>
      <w:r>
        <w:rPr>
          <w:spacing w:val="-7"/>
          <w:sz w:val="24"/>
        </w:rPr>
        <w:t> </w:t>
      </w:r>
      <w:r>
        <w:rPr>
          <w:i/>
          <w:sz w:val="24"/>
        </w:rPr>
        <w:t>Rules</w:t>
      </w:r>
      <w:r>
        <w:rPr>
          <w:sz w:val="24"/>
        </w:rPr>
        <w:t>.</w:t>
      </w:r>
    </w:p>
    <w:p>
      <w:pPr>
        <w:pStyle w:val="ListParagraph"/>
        <w:numPr>
          <w:ilvl w:val="0"/>
          <w:numId w:val="546"/>
        </w:numPr>
        <w:tabs>
          <w:tab w:pos="1919" w:val="left" w:leader="none"/>
        </w:tabs>
        <w:spacing w:line="240" w:lineRule="auto" w:before="120" w:after="0"/>
        <w:ind w:left="1919" w:right="415" w:hanging="567"/>
        <w:jc w:val="both"/>
        <w:rPr>
          <w:sz w:val="24"/>
        </w:rPr>
      </w:pPr>
      <w:r>
        <w:rPr>
          <w:i/>
          <w:sz w:val="24"/>
        </w:rPr>
        <w:t>Metering Coordinators </w:t>
      </w:r>
      <w:r>
        <w:rPr>
          <w:sz w:val="24"/>
        </w:rPr>
        <w:t>are responsible for the design of a </w:t>
      </w:r>
      <w:r>
        <w:rPr>
          <w:i/>
          <w:sz w:val="24"/>
        </w:rPr>
        <w:t>metering </w:t>
      </w:r>
      <w:r>
        <w:rPr>
          <w:i/>
          <w:sz w:val="24"/>
        </w:rPr>
        <w:t>installation </w:t>
      </w:r>
      <w:r>
        <w:rPr>
          <w:sz w:val="24"/>
        </w:rPr>
        <w:t>and warrant that the design complies with the components, characteristics and service requirements specified in the</w:t>
      </w:r>
      <w:r>
        <w:rPr>
          <w:spacing w:val="-3"/>
          <w:sz w:val="24"/>
        </w:rPr>
        <w:t> </w:t>
      </w:r>
      <w:r>
        <w:rPr>
          <w:i/>
          <w:sz w:val="24"/>
        </w:rPr>
        <w:t>Rules</w:t>
      </w:r>
      <w:r>
        <w:rPr>
          <w:sz w:val="24"/>
        </w:rPr>
        <w:t>.</w:t>
      </w:r>
    </w:p>
    <w:p>
      <w:pPr>
        <w:pStyle w:val="ListParagraph"/>
        <w:numPr>
          <w:ilvl w:val="0"/>
          <w:numId w:val="546"/>
        </w:numPr>
        <w:tabs>
          <w:tab w:pos="1919" w:val="left" w:leader="none"/>
        </w:tabs>
        <w:spacing w:line="240" w:lineRule="auto" w:before="120" w:after="0"/>
        <w:ind w:left="1919" w:right="415" w:hanging="567"/>
        <w:jc w:val="both"/>
        <w:rPr>
          <w:sz w:val="24"/>
        </w:rPr>
      </w:pPr>
      <w:r>
        <w:rPr>
          <w:i/>
          <w:sz w:val="24"/>
        </w:rPr>
        <w:t>Metering Coordinators </w:t>
      </w:r>
      <w:r>
        <w:rPr>
          <w:sz w:val="24"/>
        </w:rPr>
        <w:t>must ensure the components have been selected, installed, tested and commissioned by the </w:t>
      </w:r>
      <w:r>
        <w:rPr>
          <w:i/>
          <w:sz w:val="24"/>
        </w:rPr>
        <w:t>Metering Providers </w:t>
      </w:r>
      <w:r>
        <w:rPr>
          <w:sz w:val="24"/>
        </w:rPr>
        <w:t>so that the </w:t>
      </w:r>
      <w:r>
        <w:rPr>
          <w:i/>
          <w:sz w:val="24"/>
        </w:rPr>
        <w:t>metering installation </w:t>
      </w:r>
      <w:r>
        <w:rPr>
          <w:sz w:val="24"/>
        </w:rPr>
        <w:t>satisfies the relevant accuracy and performance requirements in the</w:t>
      </w:r>
      <w:r>
        <w:rPr>
          <w:spacing w:val="-1"/>
          <w:sz w:val="24"/>
        </w:rPr>
        <w:t> </w:t>
      </w:r>
      <w:r>
        <w:rPr>
          <w:i/>
          <w:sz w:val="24"/>
        </w:rPr>
        <w:t>Rules</w:t>
      </w:r>
      <w:r>
        <w:rPr>
          <w:sz w:val="24"/>
        </w:rPr>
        <w:t>.</w:t>
      </w:r>
    </w:p>
    <w:p>
      <w:pPr>
        <w:pStyle w:val="BodyText"/>
        <w:spacing w:before="10"/>
        <w:ind w:firstLine="0"/>
        <w:jc w:val="left"/>
        <w:rPr>
          <w:sz w:val="20"/>
        </w:rPr>
      </w:pPr>
    </w:p>
    <w:p>
      <w:pPr>
        <w:pStyle w:val="Heading4"/>
        <w:ind w:left="218" w:firstLine="0"/>
      </w:pPr>
      <w:bookmarkStart w:name="S7A.7.3.2 Metering installation componen" w:id="1949"/>
      <w:bookmarkEnd w:id="1949"/>
      <w:r>
        <w:rPr>
          <w:b w:val="0"/>
        </w:rPr>
      </w:r>
      <w:bookmarkStart w:name="_bookmark799" w:id="1950"/>
      <w:bookmarkEnd w:id="1950"/>
      <w:r>
        <w:rPr>
          <w:b w:val="0"/>
        </w:rPr>
      </w:r>
      <w:r>
        <w:rPr/>
        <w:t>S7A.7.3.2 Metering installation components</w:t>
      </w:r>
    </w:p>
    <w:p>
      <w:pPr>
        <w:pStyle w:val="ListParagraph"/>
        <w:numPr>
          <w:ilvl w:val="0"/>
          <w:numId w:val="547"/>
        </w:numPr>
        <w:tabs>
          <w:tab w:pos="1919" w:val="left" w:leader="none"/>
        </w:tabs>
        <w:spacing w:line="240" w:lineRule="auto" w:before="120" w:after="0"/>
        <w:ind w:left="1919" w:right="415" w:hanging="567"/>
        <w:jc w:val="both"/>
        <w:rPr>
          <w:sz w:val="24"/>
        </w:rPr>
      </w:pPr>
      <w:r>
        <w:rPr>
          <w:i/>
          <w:sz w:val="24"/>
        </w:rPr>
        <w:t>Meters </w:t>
      </w:r>
      <w:r>
        <w:rPr>
          <w:sz w:val="24"/>
        </w:rPr>
        <w:t>used in type 1, 2, 3, 4, 4A, 5 and 6 </w:t>
      </w:r>
      <w:r>
        <w:rPr>
          <w:i/>
          <w:sz w:val="24"/>
        </w:rPr>
        <w:t>metering installations </w:t>
      </w:r>
      <w:r>
        <w:rPr>
          <w:sz w:val="24"/>
        </w:rPr>
        <w:t>must comply with any applicable specifications or guidelines (including transitional arrangements) specified by the National Measurement Institute, under the </w:t>
      </w:r>
      <w:r>
        <w:rPr>
          <w:i/>
          <w:sz w:val="24"/>
        </w:rPr>
        <w:t>National Measurement Act</w:t>
      </w:r>
      <w:r>
        <w:rPr>
          <w:sz w:val="24"/>
        </w:rPr>
        <w:t>, and must also meet the </w:t>
      </w:r>
      <w:r>
        <w:rPr>
          <w:spacing w:val="-3"/>
          <w:sz w:val="24"/>
        </w:rPr>
        <w:t>relevant </w:t>
      </w:r>
      <w:r>
        <w:rPr>
          <w:sz w:val="24"/>
        </w:rPr>
        <w:t>requirements of </w:t>
      </w:r>
      <w:r>
        <w:rPr>
          <w:i/>
          <w:sz w:val="24"/>
        </w:rPr>
        <w:t>Australian Standards </w:t>
      </w:r>
      <w:r>
        <w:rPr>
          <w:sz w:val="24"/>
        </w:rPr>
        <w:t>and International</w:t>
      </w:r>
      <w:r>
        <w:rPr>
          <w:spacing w:val="-4"/>
          <w:sz w:val="24"/>
        </w:rPr>
        <w:t> </w:t>
      </w:r>
      <w:r>
        <w:rPr>
          <w:sz w:val="24"/>
        </w:rPr>
        <w:t>Standards:</w:t>
      </w:r>
    </w:p>
    <w:p>
      <w:pPr>
        <w:pStyle w:val="ListParagraph"/>
        <w:numPr>
          <w:ilvl w:val="1"/>
          <w:numId w:val="547"/>
        </w:numPr>
        <w:tabs>
          <w:tab w:pos="2486" w:val="left" w:leader="none"/>
        </w:tabs>
        <w:spacing w:line="240" w:lineRule="auto" w:before="120" w:after="0"/>
        <w:ind w:left="2486" w:right="414" w:hanging="567"/>
        <w:jc w:val="both"/>
        <w:rPr>
          <w:sz w:val="24"/>
        </w:rPr>
      </w:pPr>
      <w:r>
        <w:rPr>
          <w:sz w:val="24"/>
        </w:rPr>
        <w:t>for type 1, 2, 3, 4, 4A, and 5 (including type 3 and 4 whole current) </w:t>
      </w:r>
      <w:r>
        <w:rPr>
          <w:i/>
          <w:sz w:val="24"/>
        </w:rPr>
        <w:t>metering installation measurement elements</w:t>
      </w:r>
      <w:r>
        <w:rPr>
          <w:sz w:val="24"/>
        </w:rPr>
        <w:t>: </w:t>
      </w:r>
      <w:r>
        <w:rPr>
          <w:i/>
          <w:sz w:val="24"/>
        </w:rPr>
        <w:t>AS </w:t>
      </w:r>
      <w:r>
        <w:rPr>
          <w:sz w:val="24"/>
        </w:rPr>
        <w:t>62052.11, </w:t>
      </w:r>
      <w:r>
        <w:rPr>
          <w:i/>
          <w:sz w:val="24"/>
        </w:rPr>
        <w:t>AS </w:t>
      </w:r>
      <w:r>
        <w:rPr>
          <w:sz w:val="24"/>
        </w:rPr>
        <w:t>62053.21 and </w:t>
      </w:r>
      <w:r>
        <w:rPr>
          <w:i/>
          <w:sz w:val="24"/>
        </w:rPr>
        <w:t>AS </w:t>
      </w:r>
      <w:r>
        <w:rPr>
          <w:sz w:val="24"/>
        </w:rPr>
        <w:t>62053.22;</w:t>
      </w:r>
      <w:r>
        <w:rPr>
          <w:spacing w:val="-1"/>
          <w:sz w:val="24"/>
        </w:rPr>
        <w:t> </w:t>
      </w:r>
      <w:r>
        <w:rPr>
          <w:sz w:val="24"/>
        </w:rPr>
        <w:t>and</w:t>
      </w:r>
    </w:p>
    <w:p>
      <w:pPr>
        <w:pStyle w:val="ListParagraph"/>
        <w:numPr>
          <w:ilvl w:val="1"/>
          <w:numId w:val="547"/>
        </w:numPr>
        <w:tabs>
          <w:tab w:pos="2486" w:val="left" w:leader="none"/>
        </w:tabs>
        <w:spacing w:line="240" w:lineRule="auto" w:before="120" w:after="0"/>
        <w:ind w:left="2485" w:right="0" w:hanging="567"/>
        <w:jc w:val="both"/>
        <w:rPr>
          <w:i/>
          <w:sz w:val="24"/>
        </w:rPr>
      </w:pPr>
      <w:r>
        <w:rPr>
          <w:sz w:val="24"/>
        </w:rPr>
        <w:t>for type 6 </w:t>
      </w:r>
      <w:r>
        <w:rPr>
          <w:i/>
          <w:sz w:val="24"/>
        </w:rPr>
        <w:t>metering installation measurement elements</w:t>
      </w:r>
      <w:r>
        <w:rPr>
          <w:sz w:val="24"/>
        </w:rPr>
        <w:t>: </w:t>
      </w:r>
      <w:r>
        <w:rPr>
          <w:i/>
          <w:sz w:val="24"/>
        </w:rPr>
        <w:t>AS </w:t>
      </w:r>
      <w:r>
        <w:rPr>
          <w:sz w:val="24"/>
        </w:rPr>
        <w:t>1284.1,</w:t>
      </w:r>
      <w:r>
        <w:rPr>
          <w:spacing w:val="54"/>
          <w:sz w:val="24"/>
        </w:rPr>
        <w:t> </w:t>
      </w:r>
      <w:r>
        <w:rPr>
          <w:i/>
          <w:sz w:val="24"/>
        </w:rPr>
        <w:t>AS</w:t>
      </w:r>
    </w:p>
    <w:p>
      <w:pPr>
        <w:pStyle w:val="BodyText"/>
        <w:spacing w:before="0"/>
        <w:ind w:left="2486" w:firstLine="0"/>
      </w:pPr>
      <w:r>
        <w:rPr/>
        <w:t>62053.21 and </w:t>
      </w:r>
      <w:r>
        <w:rPr>
          <w:i/>
        </w:rPr>
        <w:t>AS </w:t>
      </w:r>
      <w:r>
        <w:rPr/>
        <w:t>62052.11.</w:t>
      </w:r>
    </w:p>
    <w:p>
      <w:pPr>
        <w:spacing w:after="0"/>
        <w:sectPr>
          <w:pgSz w:w="11910" w:h="16840"/>
          <w:pgMar w:header="686" w:footer="637" w:top="1320" w:bottom="820" w:left="1200" w:right="1000"/>
        </w:sectPr>
      </w:pPr>
    </w:p>
    <w:p>
      <w:pPr>
        <w:pStyle w:val="ListParagraph"/>
        <w:numPr>
          <w:ilvl w:val="0"/>
          <w:numId w:val="547"/>
        </w:numPr>
        <w:tabs>
          <w:tab w:pos="1919" w:val="left" w:leader="none"/>
        </w:tabs>
        <w:spacing w:line="240" w:lineRule="auto" w:before="83" w:after="0"/>
        <w:ind w:left="1919" w:right="414" w:hanging="567"/>
        <w:jc w:val="both"/>
        <w:rPr>
          <w:sz w:val="24"/>
        </w:rPr>
      </w:pPr>
      <w:r>
        <w:rPr>
          <w:i/>
          <w:sz w:val="24"/>
        </w:rPr>
        <w:t>Current transformers </w:t>
      </w:r>
      <w:r>
        <w:rPr>
          <w:sz w:val="24"/>
        </w:rPr>
        <w:t>for type 1, 2, 3, 4, 4A, 5 and 6 </w:t>
      </w:r>
      <w:r>
        <w:rPr>
          <w:i/>
          <w:sz w:val="24"/>
        </w:rPr>
        <w:t>metering installations </w:t>
      </w:r>
      <w:r>
        <w:rPr>
          <w:sz w:val="24"/>
        </w:rPr>
        <w:t>must meet the relevant requirements of </w:t>
      </w:r>
      <w:r>
        <w:rPr>
          <w:i/>
          <w:sz w:val="24"/>
        </w:rPr>
        <w:t>AS </w:t>
      </w:r>
      <w:r>
        <w:rPr>
          <w:sz w:val="24"/>
        </w:rPr>
        <w:t>60044.1 and must also comply with any applicable specifications or guidelines (including transitional arrangements) specified by the National Measurement Institute under the </w:t>
      </w:r>
      <w:r>
        <w:rPr>
          <w:i/>
          <w:sz w:val="24"/>
        </w:rPr>
        <w:t>National Measurement</w:t>
      </w:r>
      <w:r>
        <w:rPr>
          <w:i/>
          <w:spacing w:val="-2"/>
          <w:sz w:val="24"/>
        </w:rPr>
        <w:t> </w:t>
      </w:r>
      <w:r>
        <w:rPr>
          <w:i/>
          <w:sz w:val="24"/>
        </w:rPr>
        <w:t>Act</w:t>
      </w:r>
      <w:r>
        <w:rPr>
          <w:sz w:val="24"/>
        </w:rPr>
        <w:t>.</w:t>
      </w:r>
    </w:p>
    <w:p>
      <w:pPr>
        <w:pStyle w:val="ListParagraph"/>
        <w:numPr>
          <w:ilvl w:val="0"/>
          <w:numId w:val="547"/>
        </w:numPr>
        <w:tabs>
          <w:tab w:pos="1919" w:val="left" w:leader="none"/>
        </w:tabs>
        <w:spacing w:line="240" w:lineRule="auto" w:before="120" w:after="0"/>
        <w:ind w:left="1919" w:right="414" w:hanging="567"/>
        <w:jc w:val="both"/>
        <w:rPr>
          <w:sz w:val="24"/>
        </w:rPr>
      </w:pPr>
      <w:r>
        <w:rPr>
          <w:i/>
          <w:sz w:val="24"/>
        </w:rPr>
        <w:t>Voltage transformers </w:t>
      </w:r>
      <w:r>
        <w:rPr>
          <w:sz w:val="24"/>
        </w:rPr>
        <w:t>for type 1, 2, 3, 4, 4A, 5 and 6 </w:t>
      </w:r>
      <w:r>
        <w:rPr>
          <w:i/>
          <w:sz w:val="24"/>
        </w:rPr>
        <w:t>metering installations </w:t>
      </w:r>
      <w:r>
        <w:rPr>
          <w:sz w:val="24"/>
        </w:rPr>
        <w:t>must meet the relevant requirements of </w:t>
      </w:r>
      <w:r>
        <w:rPr>
          <w:i/>
          <w:sz w:val="24"/>
        </w:rPr>
        <w:t>AS 60044.2</w:t>
      </w:r>
      <w:r>
        <w:rPr>
          <w:sz w:val="24"/>
        </w:rPr>
        <w:t>, </w:t>
      </w:r>
      <w:r>
        <w:rPr>
          <w:i/>
          <w:sz w:val="24"/>
        </w:rPr>
        <w:t>AS </w:t>
      </w:r>
      <w:r>
        <w:rPr>
          <w:sz w:val="24"/>
        </w:rPr>
        <w:t>60044.3, </w:t>
      </w:r>
      <w:r>
        <w:rPr>
          <w:i/>
          <w:sz w:val="24"/>
        </w:rPr>
        <w:t>AS  </w:t>
      </w:r>
      <w:r>
        <w:rPr>
          <w:sz w:val="24"/>
        </w:rPr>
        <w:t>60044.5 and </w:t>
      </w:r>
      <w:r>
        <w:rPr>
          <w:i/>
          <w:sz w:val="24"/>
        </w:rPr>
        <w:t>AS </w:t>
      </w:r>
      <w:r>
        <w:rPr>
          <w:sz w:val="24"/>
        </w:rPr>
        <w:t>1243 and must also comply with any applicable specifications or guidelines (including transitional arrangements) specified by the National Measurement Institute under the </w:t>
      </w:r>
      <w:r>
        <w:rPr>
          <w:i/>
          <w:sz w:val="24"/>
        </w:rPr>
        <w:t>National Measurement</w:t>
      </w:r>
      <w:r>
        <w:rPr>
          <w:i/>
          <w:spacing w:val="-17"/>
          <w:sz w:val="24"/>
        </w:rPr>
        <w:t> </w:t>
      </w:r>
      <w:r>
        <w:rPr>
          <w:i/>
          <w:sz w:val="24"/>
        </w:rPr>
        <w:t>Act</w:t>
      </w:r>
      <w:r>
        <w:rPr>
          <w:sz w:val="24"/>
        </w:rPr>
        <w:t>.</w:t>
      </w:r>
    </w:p>
    <w:p>
      <w:pPr>
        <w:pStyle w:val="ListParagraph"/>
        <w:numPr>
          <w:ilvl w:val="0"/>
          <w:numId w:val="547"/>
        </w:numPr>
        <w:tabs>
          <w:tab w:pos="1919" w:val="left" w:leader="none"/>
        </w:tabs>
        <w:spacing w:line="240" w:lineRule="auto" w:before="120" w:after="0"/>
        <w:ind w:left="1919" w:right="414" w:hanging="567"/>
        <w:jc w:val="both"/>
        <w:rPr>
          <w:sz w:val="24"/>
        </w:rPr>
      </w:pPr>
      <w:r>
        <w:rPr>
          <w:sz w:val="24"/>
        </w:rPr>
        <w:t>New </w:t>
      </w:r>
      <w:r>
        <w:rPr>
          <w:i/>
          <w:sz w:val="24"/>
        </w:rPr>
        <w:t>current transformers </w:t>
      </w:r>
      <w:r>
        <w:rPr>
          <w:sz w:val="24"/>
        </w:rPr>
        <w:t>and </w:t>
      </w:r>
      <w:r>
        <w:rPr>
          <w:i/>
          <w:sz w:val="24"/>
        </w:rPr>
        <w:t>voltage transformers </w:t>
      </w:r>
      <w:r>
        <w:rPr>
          <w:sz w:val="24"/>
        </w:rPr>
        <w:t>must comply with current </w:t>
      </w:r>
      <w:r>
        <w:rPr>
          <w:i/>
          <w:sz w:val="24"/>
        </w:rPr>
        <w:t>Australian</w:t>
      </w:r>
      <w:r>
        <w:rPr>
          <w:i/>
          <w:spacing w:val="-1"/>
          <w:sz w:val="24"/>
        </w:rPr>
        <w:t> </w:t>
      </w:r>
      <w:r>
        <w:rPr>
          <w:i/>
          <w:sz w:val="24"/>
        </w:rPr>
        <w:t>Standards</w:t>
      </w:r>
      <w:r>
        <w:rPr>
          <w:sz w:val="24"/>
        </w:rPr>
        <w:t>.</w:t>
      </w:r>
    </w:p>
    <w:p>
      <w:pPr>
        <w:pStyle w:val="ListParagraph"/>
        <w:numPr>
          <w:ilvl w:val="0"/>
          <w:numId w:val="547"/>
        </w:numPr>
        <w:tabs>
          <w:tab w:pos="1919" w:val="left" w:leader="none"/>
        </w:tabs>
        <w:spacing w:line="240" w:lineRule="auto" w:before="120" w:after="0"/>
        <w:ind w:left="1919" w:right="414" w:hanging="567"/>
        <w:jc w:val="both"/>
        <w:rPr>
          <w:sz w:val="24"/>
        </w:rPr>
      </w:pPr>
      <w:r>
        <w:rPr>
          <w:sz w:val="24"/>
        </w:rPr>
        <w:t>In-service </w:t>
      </w:r>
      <w:r>
        <w:rPr>
          <w:i/>
          <w:sz w:val="24"/>
        </w:rPr>
        <w:t>current transformers </w:t>
      </w:r>
      <w:r>
        <w:rPr>
          <w:sz w:val="24"/>
        </w:rPr>
        <w:t>and </w:t>
      </w:r>
      <w:r>
        <w:rPr>
          <w:i/>
          <w:sz w:val="24"/>
        </w:rPr>
        <w:t>voltage transformers </w:t>
      </w:r>
      <w:r>
        <w:rPr>
          <w:sz w:val="24"/>
        </w:rPr>
        <w:t>must comply with the </w:t>
      </w:r>
      <w:r>
        <w:rPr>
          <w:i/>
          <w:sz w:val="24"/>
        </w:rPr>
        <w:t>Australian Standard </w:t>
      </w:r>
      <w:r>
        <w:rPr>
          <w:sz w:val="24"/>
        </w:rPr>
        <w:t>that applied at the time of</w:t>
      </w:r>
      <w:r>
        <w:rPr>
          <w:spacing w:val="-2"/>
          <w:sz w:val="24"/>
        </w:rPr>
        <w:t> </w:t>
      </w:r>
      <w:r>
        <w:rPr>
          <w:sz w:val="24"/>
        </w:rPr>
        <w:t>installation.</w:t>
      </w:r>
    </w:p>
    <w:p>
      <w:pPr>
        <w:pStyle w:val="ListParagraph"/>
        <w:numPr>
          <w:ilvl w:val="0"/>
          <w:numId w:val="547"/>
        </w:numPr>
        <w:tabs>
          <w:tab w:pos="1920" w:val="left" w:leader="none"/>
        </w:tabs>
        <w:spacing w:line="240" w:lineRule="auto" w:before="120" w:after="0"/>
        <w:ind w:left="1919" w:right="414" w:hanging="567"/>
        <w:jc w:val="both"/>
        <w:rPr>
          <w:sz w:val="24"/>
        </w:rPr>
      </w:pPr>
      <w:r>
        <w:rPr>
          <w:sz w:val="24"/>
        </w:rPr>
        <w:t>Unless otherwise permitted by the </w:t>
      </w:r>
      <w:r>
        <w:rPr>
          <w:i/>
          <w:sz w:val="24"/>
        </w:rPr>
        <w:t>Rules</w:t>
      </w:r>
      <w:r>
        <w:rPr>
          <w:sz w:val="24"/>
        </w:rPr>
        <w:t>, the </w:t>
      </w:r>
      <w:r>
        <w:rPr>
          <w:i/>
          <w:sz w:val="24"/>
        </w:rPr>
        <w:t>Metering Coordinator </w:t>
      </w:r>
      <w:r>
        <w:rPr>
          <w:sz w:val="24"/>
        </w:rPr>
        <w:t>must ensure that new </w:t>
      </w:r>
      <w:r>
        <w:rPr>
          <w:i/>
          <w:sz w:val="24"/>
        </w:rPr>
        <w:t>meters </w:t>
      </w:r>
      <w:r>
        <w:rPr>
          <w:sz w:val="24"/>
        </w:rPr>
        <w:t>and related equipment used at a </w:t>
      </w:r>
      <w:r>
        <w:rPr>
          <w:i/>
          <w:sz w:val="24"/>
        </w:rPr>
        <w:t>connection point </w:t>
      </w:r>
      <w:r>
        <w:rPr>
          <w:sz w:val="24"/>
        </w:rPr>
        <w:t>have a valid pattern approval issued under the authority of the National Measurement Institute or, until relevant pattern approvals exist, a valid type test certificate issued by a </w:t>
      </w:r>
      <w:r>
        <w:rPr>
          <w:i/>
          <w:sz w:val="24"/>
        </w:rPr>
        <w:t>NATA </w:t>
      </w:r>
      <w:r>
        <w:rPr>
          <w:sz w:val="24"/>
        </w:rPr>
        <w:t>accredited laboratory or a body recognised by </w:t>
      </w:r>
      <w:r>
        <w:rPr>
          <w:i/>
          <w:sz w:val="24"/>
        </w:rPr>
        <w:t>NATA </w:t>
      </w:r>
      <w:r>
        <w:rPr>
          <w:sz w:val="24"/>
        </w:rPr>
        <w:t>under the ILAC mutual recognition scheme. Relevant approval certificates must be provided to the </w:t>
      </w:r>
      <w:r>
        <w:rPr>
          <w:i/>
          <w:sz w:val="24"/>
        </w:rPr>
        <w:t>Utilities Commission </w:t>
      </w:r>
      <w:r>
        <w:rPr>
          <w:sz w:val="24"/>
        </w:rPr>
        <w:t>on</w:t>
      </w:r>
      <w:r>
        <w:rPr>
          <w:spacing w:val="-3"/>
          <w:sz w:val="24"/>
        </w:rPr>
        <w:t> </w:t>
      </w:r>
      <w:r>
        <w:rPr>
          <w:sz w:val="24"/>
        </w:rPr>
        <w:t>request.</w:t>
      </w:r>
    </w:p>
    <w:p>
      <w:pPr>
        <w:pStyle w:val="ListParagraph"/>
        <w:numPr>
          <w:ilvl w:val="0"/>
          <w:numId w:val="547"/>
        </w:numPr>
        <w:tabs>
          <w:tab w:pos="1919" w:val="left" w:leader="none"/>
        </w:tabs>
        <w:spacing w:line="240" w:lineRule="auto" w:before="120" w:after="0"/>
        <w:ind w:left="1919" w:right="415" w:hanging="567"/>
        <w:jc w:val="both"/>
        <w:rPr>
          <w:sz w:val="24"/>
        </w:rPr>
      </w:pPr>
      <w:r>
        <w:rPr>
          <w:sz w:val="24"/>
        </w:rPr>
        <w:t>A visible display must be provided to display, at a minimum, the cumulative total </w:t>
      </w:r>
      <w:r>
        <w:rPr>
          <w:i/>
          <w:sz w:val="24"/>
        </w:rPr>
        <w:t>energy </w:t>
      </w:r>
      <w:r>
        <w:rPr>
          <w:sz w:val="24"/>
        </w:rPr>
        <w:t>for each register measured by that </w:t>
      </w:r>
      <w:r>
        <w:rPr>
          <w:i/>
          <w:sz w:val="24"/>
        </w:rPr>
        <w:t>metering</w:t>
      </w:r>
      <w:r>
        <w:rPr>
          <w:i/>
          <w:spacing w:val="-7"/>
          <w:sz w:val="24"/>
        </w:rPr>
        <w:t> </w:t>
      </w:r>
      <w:r>
        <w:rPr>
          <w:i/>
          <w:sz w:val="24"/>
        </w:rPr>
        <w:t>installation</w:t>
      </w:r>
      <w:r>
        <w:rPr>
          <w:sz w:val="24"/>
        </w:rPr>
        <w:t>.</w:t>
      </w:r>
    </w:p>
    <w:p>
      <w:pPr>
        <w:pStyle w:val="ListParagraph"/>
        <w:numPr>
          <w:ilvl w:val="0"/>
          <w:numId w:val="547"/>
        </w:numPr>
        <w:tabs>
          <w:tab w:pos="1919" w:val="left" w:leader="none"/>
        </w:tabs>
        <w:spacing w:line="240" w:lineRule="auto" w:before="120" w:after="0"/>
        <w:ind w:left="1919" w:right="414" w:hanging="567"/>
        <w:jc w:val="both"/>
        <w:rPr>
          <w:sz w:val="24"/>
        </w:rPr>
      </w:pPr>
      <w:r>
        <w:rPr>
          <w:sz w:val="24"/>
        </w:rPr>
        <w:t>Any programmable settings available within the metering </w:t>
      </w:r>
      <w:r>
        <w:rPr>
          <w:i/>
          <w:sz w:val="24"/>
        </w:rPr>
        <w:t>installation</w:t>
      </w:r>
      <w:r>
        <w:rPr>
          <w:sz w:val="24"/>
        </w:rPr>
        <w:t>, or any peripheral device, which may affect the resolution of displayed  or stored data, must meet the relevant requirements of </w:t>
      </w:r>
      <w:r>
        <w:rPr>
          <w:i/>
          <w:sz w:val="24"/>
        </w:rPr>
        <w:t>AS </w:t>
      </w:r>
      <w:r>
        <w:rPr>
          <w:sz w:val="24"/>
        </w:rPr>
        <w:t>62052.11, </w:t>
      </w:r>
      <w:r>
        <w:rPr>
          <w:i/>
          <w:sz w:val="24"/>
        </w:rPr>
        <w:t>AS </w:t>
      </w:r>
      <w:r>
        <w:rPr>
          <w:sz w:val="24"/>
        </w:rPr>
        <w:t>62053.21 and </w:t>
      </w:r>
      <w:r>
        <w:rPr>
          <w:i/>
          <w:sz w:val="24"/>
        </w:rPr>
        <w:t>AS </w:t>
      </w:r>
      <w:r>
        <w:rPr>
          <w:sz w:val="24"/>
        </w:rPr>
        <w:t>62053.22 and must comply with any applicable specifications or guidelines (including transitional arrangements) specified by the National Measurement Institute under the </w:t>
      </w:r>
      <w:r>
        <w:rPr>
          <w:i/>
          <w:sz w:val="24"/>
        </w:rPr>
        <w:t>National Measurement</w:t>
      </w:r>
      <w:r>
        <w:rPr>
          <w:i/>
          <w:spacing w:val="-17"/>
          <w:sz w:val="24"/>
        </w:rPr>
        <w:t> </w:t>
      </w:r>
      <w:r>
        <w:rPr>
          <w:i/>
          <w:sz w:val="24"/>
        </w:rPr>
        <w:t>Act</w:t>
      </w:r>
      <w:r>
        <w:rPr>
          <w:sz w:val="24"/>
        </w:rPr>
        <w:t>.</w:t>
      </w:r>
    </w:p>
    <w:p>
      <w:pPr>
        <w:pStyle w:val="BodyText"/>
        <w:spacing w:before="10"/>
        <w:ind w:firstLine="0"/>
        <w:jc w:val="left"/>
        <w:rPr>
          <w:sz w:val="20"/>
        </w:rPr>
      </w:pPr>
    </w:p>
    <w:p>
      <w:pPr>
        <w:pStyle w:val="Heading4"/>
        <w:ind w:left="218" w:firstLine="0"/>
      </w:pPr>
      <w:bookmarkStart w:name="S7A.7.3.3 Use of optical ports and pulse" w:id="1951"/>
      <w:bookmarkEnd w:id="1951"/>
      <w:r>
        <w:rPr>
          <w:b w:val="0"/>
        </w:rPr>
      </w:r>
      <w:bookmarkStart w:name="_bookmark800" w:id="1952"/>
      <w:bookmarkEnd w:id="1952"/>
      <w:r>
        <w:rPr>
          <w:b w:val="0"/>
        </w:rPr>
      </w:r>
      <w:r>
        <w:rPr/>
        <w:t>S7A.7.3.3 Use of optical ports and pulse outputs</w:t>
      </w:r>
    </w:p>
    <w:p>
      <w:pPr>
        <w:pStyle w:val="ListParagraph"/>
        <w:numPr>
          <w:ilvl w:val="0"/>
          <w:numId w:val="548"/>
        </w:numPr>
        <w:tabs>
          <w:tab w:pos="1919" w:val="left" w:leader="none"/>
        </w:tabs>
        <w:spacing w:line="240" w:lineRule="auto" w:before="120" w:after="0"/>
        <w:ind w:left="1919" w:right="413" w:hanging="567"/>
        <w:jc w:val="both"/>
        <w:rPr>
          <w:sz w:val="24"/>
        </w:rPr>
      </w:pPr>
      <w:r>
        <w:rPr>
          <w:sz w:val="24"/>
        </w:rPr>
        <w:t>Where requested by a financially responsible participant, the </w:t>
      </w:r>
      <w:r>
        <w:rPr>
          <w:i/>
          <w:sz w:val="24"/>
        </w:rPr>
        <w:t>Metering </w:t>
      </w:r>
      <w:r>
        <w:rPr>
          <w:i/>
          <w:sz w:val="24"/>
        </w:rPr>
        <w:t>Coordinator </w:t>
      </w:r>
      <w:r>
        <w:rPr>
          <w:sz w:val="24"/>
        </w:rPr>
        <w:t>must provide pulse output facilities representing the quantity of electricity measured in accordance with the relevant </w:t>
      </w:r>
      <w:r>
        <w:rPr>
          <w:i/>
          <w:sz w:val="24"/>
        </w:rPr>
        <w:t>Australian Standard </w:t>
      </w:r>
      <w:r>
        <w:rPr>
          <w:sz w:val="24"/>
        </w:rPr>
        <w:t>for that </w:t>
      </w:r>
      <w:r>
        <w:rPr>
          <w:i/>
          <w:sz w:val="24"/>
        </w:rPr>
        <w:t>meter </w:t>
      </w:r>
      <w:r>
        <w:rPr>
          <w:sz w:val="24"/>
        </w:rPr>
        <w:t>within a reasonable time of receiving the</w:t>
      </w:r>
      <w:r>
        <w:rPr>
          <w:spacing w:val="-3"/>
          <w:sz w:val="24"/>
        </w:rPr>
        <w:t> </w:t>
      </w:r>
      <w:r>
        <w:rPr>
          <w:sz w:val="24"/>
        </w:rPr>
        <w:t>request.</w:t>
      </w:r>
    </w:p>
    <w:p>
      <w:pPr>
        <w:pStyle w:val="ListParagraph"/>
        <w:numPr>
          <w:ilvl w:val="0"/>
          <w:numId w:val="548"/>
        </w:numPr>
        <w:tabs>
          <w:tab w:pos="1919" w:val="left" w:leader="none"/>
        </w:tabs>
        <w:spacing w:line="240" w:lineRule="auto" w:before="120" w:after="0"/>
        <w:ind w:left="1919" w:right="415" w:hanging="567"/>
        <w:jc w:val="both"/>
        <w:rPr>
          <w:sz w:val="24"/>
        </w:rPr>
      </w:pPr>
      <w:r>
        <w:rPr>
          <w:sz w:val="24"/>
        </w:rPr>
        <w:t>For type 1, 2, 3, 4, 4A and 5 </w:t>
      </w:r>
      <w:r>
        <w:rPr>
          <w:i/>
          <w:sz w:val="24"/>
        </w:rPr>
        <w:t>metering installations </w:t>
      </w:r>
      <w:r>
        <w:rPr>
          <w:sz w:val="24"/>
        </w:rPr>
        <w:t>with a pulse output, the </w:t>
      </w:r>
      <w:r>
        <w:rPr>
          <w:i/>
          <w:sz w:val="24"/>
        </w:rPr>
        <w:t>measurement element </w:t>
      </w:r>
      <w:r>
        <w:rPr>
          <w:sz w:val="24"/>
        </w:rPr>
        <w:t>pulse output must provide a number of energy pulses in each integrating period commensurate with the accuracy class of the </w:t>
      </w:r>
      <w:r>
        <w:rPr>
          <w:i/>
          <w:sz w:val="24"/>
        </w:rPr>
        <w:t>metering installation </w:t>
      </w:r>
      <w:r>
        <w:rPr>
          <w:sz w:val="24"/>
        </w:rPr>
        <w:t>when operating at the top of the range of measurement of the </w:t>
      </w:r>
      <w:r>
        <w:rPr>
          <w:i/>
          <w:sz w:val="24"/>
        </w:rPr>
        <w:t>metering installation </w:t>
      </w:r>
      <w:r>
        <w:rPr>
          <w:sz w:val="24"/>
        </w:rPr>
        <w:t>but may be set at a lower rate where the anticipated operating range is significantly lower than the top of the range of measurement of the </w:t>
      </w:r>
      <w:r>
        <w:rPr>
          <w:i/>
          <w:sz w:val="24"/>
        </w:rPr>
        <w:t>metering</w:t>
      </w:r>
      <w:r>
        <w:rPr>
          <w:i/>
          <w:spacing w:val="-1"/>
          <w:sz w:val="24"/>
        </w:rPr>
        <w:t> </w:t>
      </w:r>
      <w:r>
        <w:rPr>
          <w:i/>
          <w:sz w:val="24"/>
        </w:rPr>
        <w:t>installation</w:t>
      </w:r>
      <w:r>
        <w:rPr>
          <w:sz w:val="24"/>
        </w:rPr>
        <w:t>.</w:t>
      </w:r>
    </w:p>
    <w:p>
      <w:pPr>
        <w:pStyle w:val="ListParagraph"/>
        <w:numPr>
          <w:ilvl w:val="0"/>
          <w:numId w:val="548"/>
        </w:numPr>
        <w:tabs>
          <w:tab w:pos="1919" w:val="left" w:leader="none"/>
        </w:tabs>
        <w:spacing w:line="240" w:lineRule="auto" w:before="120" w:after="0"/>
        <w:ind w:left="1919" w:right="415" w:hanging="567"/>
        <w:jc w:val="both"/>
        <w:rPr>
          <w:sz w:val="24"/>
        </w:rPr>
      </w:pPr>
      <w:r>
        <w:rPr>
          <w:sz w:val="24"/>
        </w:rPr>
        <w:t>A type 4A or 5 </w:t>
      </w:r>
      <w:r>
        <w:rPr>
          <w:i/>
          <w:sz w:val="24"/>
        </w:rPr>
        <w:t>metering installation </w:t>
      </w:r>
      <w:r>
        <w:rPr>
          <w:sz w:val="24"/>
        </w:rPr>
        <w:t>must have an optical port that meets the </w:t>
      </w:r>
      <w:r>
        <w:rPr>
          <w:i/>
          <w:sz w:val="24"/>
        </w:rPr>
        <w:t>AS </w:t>
      </w:r>
      <w:r>
        <w:rPr>
          <w:sz w:val="24"/>
        </w:rPr>
        <w:t>1284.10.2 or </w:t>
      </w:r>
      <w:r>
        <w:rPr>
          <w:i/>
          <w:sz w:val="24"/>
        </w:rPr>
        <w:t>AS </w:t>
      </w:r>
      <w:r>
        <w:rPr>
          <w:sz w:val="24"/>
        </w:rPr>
        <w:t>62056.21 or a computer serial port to facilitate downloading of 90 </w:t>
      </w:r>
      <w:r>
        <w:rPr>
          <w:i/>
          <w:sz w:val="24"/>
        </w:rPr>
        <w:t>days </w:t>
      </w:r>
      <w:r>
        <w:rPr>
          <w:sz w:val="24"/>
        </w:rPr>
        <w:t>of </w:t>
      </w:r>
      <w:r>
        <w:rPr>
          <w:i/>
          <w:sz w:val="24"/>
        </w:rPr>
        <w:t>interval energy data </w:t>
      </w:r>
      <w:r>
        <w:rPr>
          <w:sz w:val="24"/>
        </w:rPr>
        <w:t>for each </w:t>
      </w:r>
      <w:r>
        <w:rPr>
          <w:i/>
          <w:sz w:val="24"/>
        </w:rPr>
        <w:t>meter </w:t>
      </w:r>
      <w:r>
        <w:rPr>
          <w:spacing w:val="-3"/>
          <w:sz w:val="24"/>
        </w:rPr>
        <w:t>associated </w:t>
      </w:r>
      <w:r>
        <w:rPr>
          <w:sz w:val="24"/>
        </w:rPr>
        <w:t>with the </w:t>
      </w:r>
      <w:r>
        <w:rPr>
          <w:i/>
          <w:sz w:val="24"/>
        </w:rPr>
        <w:t>metering installation </w:t>
      </w:r>
      <w:r>
        <w:rPr>
          <w:sz w:val="24"/>
        </w:rPr>
        <w:t>in 35 seconds or</w:t>
      </w:r>
      <w:r>
        <w:rPr>
          <w:spacing w:val="-5"/>
          <w:sz w:val="24"/>
        </w:rPr>
        <w:t> </w:t>
      </w:r>
      <w:r>
        <w:rPr>
          <w:sz w:val="24"/>
        </w:rPr>
        <w:t>less.</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7.3.4 Load control equipment" w:id="1953"/>
      <w:bookmarkEnd w:id="1953"/>
      <w:r>
        <w:rPr>
          <w:b w:val="0"/>
        </w:rPr>
      </w:r>
      <w:bookmarkStart w:name="_bookmark801" w:id="1954"/>
      <w:bookmarkEnd w:id="1954"/>
      <w:r>
        <w:rPr>
          <w:b w:val="0"/>
        </w:rPr>
      </w:r>
      <w:r>
        <w:rPr/>
        <w:t>S7A.7.3.4 Load control equipment</w:t>
      </w:r>
    </w:p>
    <w:p>
      <w:pPr>
        <w:spacing w:before="120"/>
        <w:ind w:left="1352" w:right="414" w:firstLine="0"/>
        <w:jc w:val="both"/>
        <w:rPr>
          <w:sz w:val="24"/>
        </w:rPr>
      </w:pPr>
      <w:r>
        <w:rPr>
          <w:sz w:val="24"/>
        </w:rPr>
        <w:t>Where the </w:t>
      </w:r>
      <w:r>
        <w:rPr>
          <w:i/>
          <w:sz w:val="24"/>
        </w:rPr>
        <w:t>metering installation </w:t>
      </w:r>
      <w:r>
        <w:rPr>
          <w:sz w:val="24"/>
        </w:rPr>
        <w:t>includes equipment for load control or the measurement of </w:t>
      </w:r>
      <w:r>
        <w:rPr>
          <w:i/>
          <w:sz w:val="24"/>
        </w:rPr>
        <w:t>reactive energy</w:t>
      </w:r>
      <w:r>
        <w:rPr>
          <w:sz w:val="24"/>
        </w:rPr>
        <w:t>, the installation and operation of that equipment will be governed by an instrument other than the </w:t>
      </w:r>
      <w:r>
        <w:rPr>
          <w:i/>
          <w:sz w:val="24"/>
        </w:rPr>
        <w:t>Rules</w:t>
      </w:r>
      <w:r>
        <w:rPr>
          <w:sz w:val="24"/>
        </w:rPr>
        <w:t>, for example, a 'use of system' agreement between the </w:t>
      </w:r>
      <w:r>
        <w:rPr>
          <w:i/>
          <w:sz w:val="24"/>
        </w:rPr>
        <w:t>Local Network Service Provider </w:t>
      </w:r>
      <w:r>
        <w:rPr>
          <w:sz w:val="24"/>
        </w:rPr>
        <w:t>and the financially responsible</w:t>
      </w:r>
      <w:r>
        <w:rPr>
          <w:spacing w:val="-1"/>
          <w:sz w:val="24"/>
        </w:rPr>
        <w:t> </w:t>
      </w:r>
      <w:r>
        <w:rPr>
          <w:sz w:val="24"/>
        </w:rPr>
        <w:t>participant.</w:t>
      </w:r>
    </w:p>
    <w:p>
      <w:pPr>
        <w:pStyle w:val="BodyText"/>
        <w:spacing w:before="10"/>
        <w:ind w:firstLine="0"/>
        <w:jc w:val="left"/>
        <w:rPr>
          <w:sz w:val="20"/>
        </w:rPr>
      </w:pPr>
    </w:p>
    <w:p>
      <w:pPr>
        <w:pStyle w:val="Heading4"/>
        <w:ind w:left="218" w:firstLine="0"/>
      </w:pPr>
      <w:bookmarkStart w:name="S7A.7.3.5 Data storage requirements for " w:id="1955"/>
      <w:bookmarkEnd w:id="1955"/>
      <w:r>
        <w:rPr>
          <w:b w:val="0"/>
        </w:rPr>
      </w:r>
      <w:bookmarkStart w:name="_bookmark802" w:id="1956"/>
      <w:bookmarkEnd w:id="1956"/>
      <w:r>
        <w:rPr>
          <w:b w:val="0"/>
        </w:rPr>
      </w:r>
      <w:r>
        <w:rPr/>
        <w:t>S7A.7.3.5 Data storage requirements for meters</w:t>
      </w:r>
    </w:p>
    <w:p>
      <w:pPr>
        <w:spacing w:before="120"/>
        <w:ind w:left="1352" w:right="0" w:firstLine="0"/>
        <w:jc w:val="left"/>
        <w:rPr>
          <w:rFonts w:ascii="Arial"/>
          <w:b/>
          <w:sz w:val="20"/>
        </w:rPr>
      </w:pPr>
      <w:r>
        <w:rPr>
          <w:rFonts w:ascii="Arial"/>
          <w:b/>
          <w:sz w:val="20"/>
        </w:rPr>
        <w:t>Note</w:t>
      </w:r>
    </w:p>
    <w:p>
      <w:pPr>
        <w:spacing w:before="120"/>
        <w:ind w:left="1352" w:right="417" w:firstLine="0"/>
        <w:jc w:val="both"/>
        <w:rPr>
          <w:sz w:val="20"/>
        </w:rPr>
      </w:pPr>
      <w:r>
        <w:rPr>
          <w:sz w:val="20"/>
        </w:rPr>
        <w:t>No specific requirements are included under this heading for this jurisdiction at this stage. The clause may be used as part of the phased implementation of the </w:t>
      </w:r>
      <w:r>
        <w:rPr>
          <w:i/>
          <w:sz w:val="20"/>
        </w:rPr>
        <w:t>Rules </w:t>
      </w:r>
      <w:r>
        <w:rPr>
          <w:sz w:val="20"/>
        </w:rPr>
        <w:t>in this jurisdiction.</w:t>
      </w:r>
    </w:p>
    <w:p>
      <w:pPr>
        <w:pStyle w:val="BodyText"/>
        <w:spacing w:before="10"/>
        <w:ind w:firstLine="0"/>
        <w:jc w:val="left"/>
        <w:rPr>
          <w:sz w:val="20"/>
        </w:rPr>
      </w:pPr>
    </w:p>
    <w:p>
      <w:pPr>
        <w:pStyle w:val="Heading4"/>
        <w:ind w:left="218" w:firstLine="0"/>
      </w:pPr>
      <w:bookmarkStart w:name="S7A.7.3.6 Metering installation clock" w:id="1957"/>
      <w:bookmarkEnd w:id="1957"/>
      <w:r>
        <w:rPr>
          <w:b w:val="0"/>
        </w:rPr>
      </w:r>
      <w:bookmarkStart w:name="_bookmark803" w:id="1958"/>
      <w:bookmarkEnd w:id="1958"/>
      <w:r>
        <w:rPr>
          <w:b w:val="0"/>
        </w:rPr>
      </w:r>
      <w:r>
        <w:rPr/>
        <w:t>S7A.7.3.6 Metering installation clock</w:t>
      </w:r>
    </w:p>
    <w:p>
      <w:pPr>
        <w:pStyle w:val="ListParagraph"/>
        <w:numPr>
          <w:ilvl w:val="0"/>
          <w:numId w:val="549"/>
        </w:numPr>
        <w:tabs>
          <w:tab w:pos="1919" w:val="left" w:leader="none"/>
        </w:tabs>
        <w:spacing w:line="240" w:lineRule="auto" w:before="120" w:after="0"/>
        <w:ind w:left="1919" w:right="415" w:hanging="567"/>
        <w:jc w:val="both"/>
        <w:rPr>
          <w:sz w:val="24"/>
        </w:rPr>
      </w:pPr>
      <w:r>
        <w:rPr>
          <w:sz w:val="24"/>
        </w:rPr>
        <w:t>A type 4A, 5 or 6 </w:t>
      </w:r>
      <w:r>
        <w:rPr>
          <w:i/>
          <w:sz w:val="24"/>
        </w:rPr>
        <w:t>metering installation </w:t>
      </w:r>
      <w:r>
        <w:rPr>
          <w:sz w:val="24"/>
        </w:rPr>
        <w:t>clock is to be reset to within ± 20 seconds of </w:t>
      </w:r>
      <w:r>
        <w:rPr>
          <w:i/>
          <w:sz w:val="24"/>
        </w:rPr>
        <w:t>Australian Central Standard Time </w:t>
      </w:r>
      <w:r>
        <w:rPr>
          <w:sz w:val="24"/>
        </w:rPr>
        <w:t>on each occasion that the </w:t>
      </w:r>
      <w:r>
        <w:rPr>
          <w:i/>
          <w:sz w:val="24"/>
        </w:rPr>
        <w:t>metering installation </w:t>
      </w:r>
      <w:r>
        <w:rPr>
          <w:sz w:val="24"/>
        </w:rPr>
        <w:t>is accessed in the circumstances referred to in paragraphs (b) and (c), and the maximum drift in the type 4A or 5 </w:t>
      </w:r>
      <w:r>
        <w:rPr>
          <w:i/>
          <w:sz w:val="24"/>
        </w:rPr>
        <w:t>metering </w:t>
      </w:r>
      <w:r>
        <w:rPr>
          <w:i/>
          <w:sz w:val="24"/>
        </w:rPr>
        <w:t>installation </w:t>
      </w:r>
      <w:r>
        <w:rPr>
          <w:sz w:val="24"/>
        </w:rPr>
        <w:t>clock permitted between successive meter readings is ± 300 seconds.</w:t>
      </w:r>
    </w:p>
    <w:p>
      <w:pPr>
        <w:pStyle w:val="ListParagraph"/>
        <w:numPr>
          <w:ilvl w:val="0"/>
          <w:numId w:val="549"/>
        </w:numPr>
        <w:tabs>
          <w:tab w:pos="1919" w:val="left" w:leader="none"/>
        </w:tabs>
        <w:spacing w:line="240" w:lineRule="auto" w:before="120" w:after="0"/>
        <w:ind w:left="1919" w:right="414" w:hanging="567"/>
        <w:jc w:val="both"/>
        <w:rPr>
          <w:sz w:val="24"/>
        </w:rPr>
      </w:pPr>
      <w:r>
        <w:rPr>
          <w:sz w:val="24"/>
        </w:rPr>
        <w:t>A </w:t>
      </w:r>
      <w:r>
        <w:rPr>
          <w:i/>
          <w:sz w:val="24"/>
        </w:rPr>
        <w:t>Metering Provider </w:t>
      </w:r>
      <w:r>
        <w:rPr>
          <w:sz w:val="24"/>
        </w:rPr>
        <w:t>must reset a type 4A, 5 or 6 </w:t>
      </w:r>
      <w:r>
        <w:rPr>
          <w:i/>
          <w:sz w:val="24"/>
        </w:rPr>
        <w:t>metering installation </w:t>
      </w:r>
      <w:r>
        <w:rPr>
          <w:sz w:val="24"/>
        </w:rPr>
        <w:t>clock when inspecting, maintaining or commissioning the </w:t>
      </w:r>
      <w:r>
        <w:rPr>
          <w:i/>
          <w:sz w:val="24"/>
        </w:rPr>
        <w:t>metering </w:t>
      </w:r>
      <w:r>
        <w:rPr>
          <w:i/>
          <w:sz w:val="24"/>
        </w:rPr>
        <w:t>installation</w:t>
      </w:r>
      <w:r>
        <w:rPr>
          <w:sz w:val="24"/>
        </w:rPr>
        <w:t>.</w:t>
      </w:r>
    </w:p>
    <w:p>
      <w:pPr>
        <w:pStyle w:val="ListParagraph"/>
        <w:numPr>
          <w:ilvl w:val="0"/>
          <w:numId w:val="549"/>
        </w:numPr>
        <w:tabs>
          <w:tab w:pos="1919" w:val="left" w:leader="none"/>
        </w:tabs>
        <w:spacing w:line="240" w:lineRule="auto" w:before="120" w:after="0"/>
        <w:ind w:left="1919" w:right="415" w:hanging="567"/>
        <w:jc w:val="both"/>
        <w:rPr>
          <w:sz w:val="24"/>
        </w:rPr>
      </w:pPr>
      <w:r>
        <w:rPr>
          <w:sz w:val="24"/>
        </w:rPr>
        <w:t>A </w:t>
      </w:r>
      <w:r>
        <w:rPr>
          <w:i/>
          <w:sz w:val="24"/>
        </w:rPr>
        <w:t>Metering Data Provider </w:t>
      </w:r>
      <w:r>
        <w:rPr>
          <w:sz w:val="24"/>
        </w:rPr>
        <w:t>must reset a type 4A, or 5 </w:t>
      </w:r>
      <w:r>
        <w:rPr>
          <w:i/>
          <w:sz w:val="24"/>
        </w:rPr>
        <w:t>metering installation </w:t>
      </w:r>
      <w:r>
        <w:rPr>
          <w:sz w:val="24"/>
        </w:rPr>
        <w:t>clock when </w:t>
      </w:r>
      <w:r>
        <w:rPr>
          <w:i/>
          <w:sz w:val="24"/>
        </w:rPr>
        <w:t>interval metering data </w:t>
      </w:r>
      <w:r>
        <w:rPr>
          <w:sz w:val="24"/>
        </w:rPr>
        <w:t>is collected from the </w:t>
      </w:r>
      <w:r>
        <w:rPr>
          <w:i/>
          <w:sz w:val="24"/>
        </w:rPr>
        <w:t>metering </w:t>
      </w:r>
      <w:r>
        <w:rPr>
          <w:i/>
          <w:sz w:val="24"/>
        </w:rPr>
        <w:t>installation</w:t>
      </w:r>
      <w:r>
        <w:rPr>
          <w:sz w:val="24"/>
        </w:rPr>
        <w:t>.</w:t>
      </w:r>
    </w:p>
    <w:p>
      <w:pPr>
        <w:pStyle w:val="ListParagraph"/>
        <w:numPr>
          <w:ilvl w:val="0"/>
          <w:numId w:val="549"/>
        </w:numPr>
        <w:tabs>
          <w:tab w:pos="1919" w:val="left" w:leader="none"/>
        </w:tabs>
        <w:spacing w:line="240" w:lineRule="auto" w:before="120" w:after="0"/>
        <w:ind w:left="1919" w:right="415" w:hanging="567"/>
        <w:jc w:val="both"/>
        <w:rPr>
          <w:sz w:val="24"/>
        </w:rPr>
      </w:pPr>
      <w:r>
        <w:rPr>
          <w:sz w:val="24"/>
        </w:rPr>
        <w:t>For type 6 </w:t>
      </w:r>
      <w:r>
        <w:rPr>
          <w:i/>
          <w:sz w:val="24"/>
        </w:rPr>
        <w:t>metering installations </w:t>
      </w:r>
      <w:r>
        <w:rPr>
          <w:sz w:val="24"/>
        </w:rPr>
        <w:t>with different time of day rates, the </w:t>
      </w:r>
      <w:r>
        <w:rPr>
          <w:i/>
          <w:sz w:val="24"/>
        </w:rPr>
        <w:t>metering installation </w:t>
      </w:r>
      <w:r>
        <w:rPr>
          <w:sz w:val="24"/>
        </w:rPr>
        <w:t>must meet </w:t>
      </w:r>
      <w:r>
        <w:rPr>
          <w:i/>
          <w:sz w:val="24"/>
        </w:rPr>
        <w:t>AS </w:t>
      </w:r>
      <w:r>
        <w:rPr>
          <w:sz w:val="24"/>
        </w:rPr>
        <w:t>62054.11, </w:t>
      </w:r>
      <w:r>
        <w:rPr>
          <w:i/>
          <w:sz w:val="24"/>
        </w:rPr>
        <w:t>AS </w:t>
      </w:r>
      <w:r>
        <w:rPr>
          <w:sz w:val="24"/>
        </w:rPr>
        <w:t>62054.21 and </w:t>
      </w:r>
      <w:r>
        <w:rPr>
          <w:i/>
          <w:sz w:val="24"/>
        </w:rPr>
        <w:t>AS </w:t>
      </w:r>
      <w:r>
        <w:rPr>
          <w:sz w:val="24"/>
        </w:rPr>
        <w:t>62052.21, or have the switching between the different rates controlled by a frequency injection relay or time clock operated by the </w:t>
      </w:r>
      <w:r>
        <w:rPr>
          <w:i/>
          <w:sz w:val="24"/>
        </w:rPr>
        <w:t>Local Network </w:t>
      </w:r>
      <w:r>
        <w:rPr>
          <w:i/>
          <w:sz w:val="24"/>
        </w:rPr>
        <w:t>Service</w:t>
      </w:r>
      <w:r>
        <w:rPr>
          <w:i/>
          <w:spacing w:val="-1"/>
          <w:sz w:val="24"/>
        </w:rPr>
        <w:t> </w:t>
      </w:r>
      <w:r>
        <w:rPr>
          <w:i/>
          <w:sz w:val="24"/>
        </w:rPr>
        <w:t>Provider</w:t>
      </w:r>
      <w:r>
        <w:rPr>
          <w:sz w:val="24"/>
        </w:rPr>
        <w:t>.</w:t>
      </w:r>
    </w:p>
    <w:p>
      <w:pPr>
        <w:pStyle w:val="BodyText"/>
        <w:spacing w:before="10"/>
        <w:ind w:firstLine="0"/>
        <w:jc w:val="left"/>
        <w:rPr>
          <w:sz w:val="20"/>
        </w:rPr>
      </w:pPr>
    </w:p>
    <w:p>
      <w:pPr>
        <w:pStyle w:val="Heading4"/>
        <w:ind w:left="218" w:firstLine="0"/>
      </w:pPr>
      <w:bookmarkStart w:name="S7A.7.3.7 Interval meters" w:id="1959"/>
      <w:bookmarkEnd w:id="1959"/>
      <w:r>
        <w:rPr>
          <w:b w:val="0"/>
        </w:rPr>
      </w:r>
      <w:bookmarkStart w:name="_bookmark804" w:id="1960"/>
      <w:bookmarkEnd w:id="1960"/>
      <w:r>
        <w:rPr>
          <w:b w:val="0"/>
        </w:rPr>
      </w:r>
      <w:r>
        <w:rPr/>
        <w:t>S7A.7.3.7 Interval meters</w:t>
      </w:r>
    </w:p>
    <w:p>
      <w:pPr>
        <w:spacing w:before="120"/>
        <w:ind w:left="1352" w:right="414" w:firstLine="0"/>
        <w:jc w:val="both"/>
        <w:rPr>
          <w:sz w:val="24"/>
        </w:rPr>
      </w:pPr>
      <w:r>
        <w:rPr>
          <w:sz w:val="24"/>
        </w:rPr>
        <w:t>Where a </w:t>
      </w:r>
      <w:r>
        <w:rPr>
          <w:i/>
          <w:sz w:val="24"/>
        </w:rPr>
        <w:t>metering installation </w:t>
      </w:r>
      <w:r>
        <w:rPr>
          <w:sz w:val="24"/>
        </w:rPr>
        <w:t>records </w:t>
      </w:r>
      <w:r>
        <w:rPr>
          <w:i/>
          <w:sz w:val="24"/>
        </w:rPr>
        <w:t>interval energy data </w:t>
      </w:r>
      <w:r>
        <w:rPr>
          <w:sz w:val="24"/>
        </w:rPr>
        <w:t>the interval periods must be based on </w:t>
      </w:r>
      <w:r>
        <w:rPr>
          <w:i/>
          <w:sz w:val="24"/>
        </w:rPr>
        <w:t>recording intervals </w:t>
      </w:r>
      <w:r>
        <w:rPr>
          <w:sz w:val="24"/>
        </w:rPr>
        <w:t>or parts of a </w:t>
      </w:r>
      <w:r>
        <w:rPr>
          <w:i/>
          <w:sz w:val="24"/>
        </w:rPr>
        <w:t>recording interval </w:t>
      </w:r>
      <w:r>
        <w:rPr>
          <w:sz w:val="24"/>
        </w:rPr>
        <w:t>in accordance with the following</w:t>
      </w:r>
      <w:r>
        <w:rPr>
          <w:spacing w:val="-2"/>
          <w:sz w:val="24"/>
        </w:rPr>
        <w:t> </w:t>
      </w:r>
      <w:r>
        <w:rPr>
          <w:sz w:val="24"/>
        </w:rPr>
        <w:t>requirements:</w:t>
      </w:r>
    </w:p>
    <w:p>
      <w:pPr>
        <w:pStyle w:val="ListParagraph"/>
        <w:numPr>
          <w:ilvl w:val="0"/>
          <w:numId w:val="550"/>
        </w:numPr>
        <w:tabs>
          <w:tab w:pos="1919" w:val="left" w:leader="none"/>
        </w:tabs>
        <w:spacing w:line="240" w:lineRule="auto" w:before="120" w:after="0"/>
        <w:ind w:left="1919" w:right="415" w:hanging="567"/>
        <w:jc w:val="both"/>
        <w:rPr>
          <w:sz w:val="24"/>
        </w:rPr>
      </w:pPr>
      <w:r>
        <w:rPr>
          <w:sz w:val="24"/>
        </w:rPr>
        <w:t>the end of each interval for a 15-minute interval period must be on the hour, on the half-hour and on each quarter of an hour</w:t>
      </w:r>
      <w:r>
        <w:rPr>
          <w:spacing w:val="-1"/>
          <w:sz w:val="24"/>
        </w:rPr>
        <w:t> </w:t>
      </w:r>
      <w:r>
        <w:rPr>
          <w:sz w:val="24"/>
        </w:rPr>
        <w:t>(</w:t>
      </w:r>
      <w:r>
        <w:rPr>
          <w:i/>
          <w:sz w:val="24"/>
        </w:rPr>
        <w:t>ACST</w:t>
      </w:r>
      <w:r>
        <w:rPr>
          <w:sz w:val="24"/>
        </w:rPr>
        <w:t>);</w:t>
      </w:r>
    </w:p>
    <w:p>
      <w:pPr>
        <w:pStyle w:val="ListParagraph"/>
        <w:numPr>
          <w:ilvl w:val="0"/>
          <w:numId w:val="550"/>
        </w:numPr>
        <w:tabs>
          <w:tab w:pos="1919" w:val="left" w:leader="none"/>
        </w:tabs>
        <w:spacing w:line="240" w:lineRule="auto" w:before="120" w:after="0"/>
        <w:ind w:left="1919" w:right="415" w:hanging="567"/>
        <w:jc w:val="both"/>
        <w:rPr>
          <w:sz w:val="24"/>
        </w:rPr>
      </w:pPr>
      <w:r>
        <w:rPr>
          <w:sz w:val="24"/>
        </w:rPr>
        <w:t>the end of each interval for a 30-minute interval period must be on the hour and on the half-hour</w:t>
      </w:r>
      <w:r>
        <w:rPr>
          <w:spacing w:val="-1"/>
          <w:sz w:val="24"/>
        </w:rPr>
        <w:t> </w:t>
      </w:r>
      <w:r>
        <w:rPr>
          <w:sz w:val="24"/>
        </w:rPr>
        <w:t>(</w:t>
      </w:r>
      <w:r>
        <w:rPr>
          <w:i/>
          <w:sz w:val="24"/>
        </w:rPr>
        <w:t>ACST</w:t>
      </w:r>
      <w:r>
        <w:rPr>
          <w:sz w:val="24"/>
        </w:rPr>
        <w:t>);</w:t>
      </w:r>
    </w:p>
    <w:p>
      <w:pPr>
        <w:pStyle w:val="ListParagraph"/>
        <w:numPr>
          <w:ilvl w:val="0"/>
          <w:numId w:val="550"/>
        </w:numPr>
        <w:tabs>
          <w:tab w:pos="1919" w:val="left" w:leader="none"/>
        </w:tabs>
        <w:spacing w:line="240" w:lineRule="auto" w:before="120" w:after="0"/>
        <w:ind w:left="1919" w:right="414" w:hanging="567"/>
        <w:jc w:val="both"/>
        <w:rPr>
          <w:sz w:val="24"/>
        </w:rPr>
      </w:pPr>
      <w:r>
        <w:rPr>
          <w:sz w:val="24"/>
        </w:rPr>
        <w:t>for other sub-multiple intervals –where agreed with </w:t>
      </w:r>
      <w:r>
        <w:rPr>
          <w:i/>
          <w:sz w:val="24"/>
        </w:rPr>
        <w:t>NTESMO</w:t>
      </w:r>
      <w:r>
        <w:rPr>
          <w:sz w:val="24"/>
        </w:rPr>
        <w:t>(in respect of  a </w:t>
      </w:r>
      <w:r>
        <w:rPr>
          <w:i/>
          <w:sz w:val="24"/>
        </w:rPr>
        <w:t>metering installation </w:t>
      </w:r>
      <w:r>
        <w:rPr>
          <w:sz w:val="24"/>
        </w:rPr>
        <w:t>that is used for the purposes of </w:t>
      </w:r>
      <w:r>
        <w:rPr>
          <w:i/>
          <w:sz w:val="24"/>
        </w:rPr>
        <w:t>settlements</w:t>
      </w:r>
      <w:r>
        <w:rPr>
          <w:sz w:val="24"/>
        </w:rPr>
        <w:t>), the </w:t>
      </w:r>
      <w:r>
        <w:rPr>
          <w:i/>
          <w:sz w:val="24"/>
        </w:rPr>
        <w:t>Local Network Service Provider </w:t>
      </w:r>
      <w:r>
        <w:rPr>
          <w:sz w:val="24"/>
        </w:rPr>
        <w:t>and the relevant financially responsible participant, provided that the ends of the intervals correspond each and every exact hour (</w:t>
      </w:r>
      <w:r>
        <w:rPr>
          <w:i/>
          <w:sz w:val="24"/>
        </w:rPr>
        <w:t>ACST</w:t>
      </w:r>
      <w:r>
        <w:rPr>
          <w:sz w:val="24"/>
        </w:rPr>
        <w:t>) and half- hour</w:t>
      </w:r>
      <w:r>
        <w:rPr>
          <w:spacing w:val="-2"/>
          <w:sz w:val="24"/>
        </w:rPr>
        <w:t> </w:t>
      </w:r>
      <w:r>
        <w:rPr>
          <w:sz w:val="24"/>
        </w:rPr>
        <w:t>(</w:t>
      </w:r>
      <w:r>
        <w:rPr>
          <w:i/>
          <w:sz w:val="24"/>
        </w:rPr>
        <w:t>ACST</w:t>
      </w:r>
      <w:r>
        <w:rPr>
          <w:sz w:val="24"/>
        </w:rPr>
        <w:t>).</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7.3.8 Alarm settings" w:id="1961"/>
      <w:bookmarkEnd w:id="1961"/>
      <w:r>
        <w:rPr>
          <w:b w:val="0"/>
        </w:rPr>
      </w:r>
      <w:bookmarkStart w:name="_bookmark805" w:id="1962"/>
      <w:bookmarkEnd w:id="1962"/>
      <w:r>
        <w:rPr>
          <w:b w:val="0"/>
        </w:rPr>
      </w:r>
      <w:r>
        <w:rPr/>
        <w:t>S7A.7.3.8 Alarm settings</w:t>
      </w:r>
    </w:p>
    <w:p>
      <w:pPr>
        <w:pStyle w:val="ListParagraph"/>
        <w:numPr>
          <w:ilvl w:val="0"/>
          <w:numId w:val="551"/>
        </w:numPr>
        <w:tabs>
          <w:tab w:pos="1918" w:val="left" w:leader="none"/>
          <w:tab w:pos="1919" w:val="left" w:leader="none"/>
        </w:tabs>
        <w:spacing w:line="240" w:lineRule="auto" w:before="120" w:after="0"/>
        <w:ind w:left="1919" w:right="416" w:hanging="567"/>
        <w:jc w:val="left"/>
        <w:rPr>
          <w:sz w:val="24"/>
        </w:rPr>
      </w:pPr>
      <w:r>
        <w:rPr>
          <w:sz w:val="24"/>
        </w:rPr>
        <w:t>Where an </w:t>
      </w:r>
      <w:r>
        <w:rPr>
          <w:i/>
          <w:sz w:val="24"/>
        </w:rPr>
        <w:t>interval meter </w:t>
      </w:r>
      <w:r>
        <w:rPr>
          <w:sz w:val="24"/>
        </w:rPr>
        <w:t>supports alarm functionality, the  </w:t>
      </w:r>
      <w:r>
        <w:rPr>
          <w:i/>
          <w:sz w:val="24"/>
        </w:rPr>
        <w:t>Metering </w:t>
      </w:r>
      <w:r>
        <w:rPr>
          <w:i/>
          <w:sz w:val="24"/>
        </w:rPr>
        <w:t>Provider </w:t>
      </w:r>
      <w:r>
        <w:rPr>
          <w:sz w:val="24"/>
        </w:rPr>
        <w:t>is required to enable the following</w:t>
      </w:r>
      <w:r>
        <w:rPr>
          <w:spacing w:val="-2"/>
          <w:sz w:val="24"/>
        </w:rPr>
        <w:t> </w:t>
      </w:r>
      <w:r>
        <w:rPr>
          <w:sz w:val="24"/>
        </w:rPr>
        <w:t>alarms:</w:t>
      </w:r>
    </w:p>
    <w:p>
      <w:pPr>
        <w:pStyle w:val="ListParagraph"/>
        <w:numPr>
          <w:ilvl w:val="1"/>
          <w:numId w:val="551"/>
        </w:numPr>
        <w:tabs>
          <w:tab w:pos="2485" w:val="left" w:leader="none"/>
          <w:tab w:pos="2486" w:val="left" w:leader="none"/>
        </w:tabs>
        <w:spacing w:line="240" w:lineRule="auto" w:before="120" w:after="0"/>
        <w:ind w:left="2486" w:right="415" w:hanging="567"/>
        <w:jc w:val="left"/>
        <w:rPr>
          <w:sz w:val="24"/>
        </w:rPr>
      </w:pPr>
      <w:r>
        <w:rPr>
          <w:sz w:val="24"/>
        </w:rPr>
        <w:t>power failure/</w:t>
      </w:r>
      <w:r>
        <w:rPr>
          <w:i/>
          <w:sz w:val="24"/>
        </w:rPr>
        <w:t>meter </w:t>
      </w:r>
      <w:r>
        <w:rPr>
          <w:sz w:val="24"/>
        </w:rPr>
        <w:t>loss of supply for instrument transformer connected </w:t>
      </w:r>
      <w:r>
        <w:rPr>
          <w:i/>
          <w:sz w:val="24"/>
        </w:rPr>
        <w:t>metering installations</w:t>
      </w:r>
      <w:r>
        <w:rPr>
          <w:i/>
          <w:spacing w:val="-2"/>
          <w:sz w:val="24"/>
        </w:rPr>
        <w:t> </w:t>
      </w:r>
      <w:r>
        <w:rPr>
          <w:sz w:val="24"/>
        </w:rPr>
        <w:t>only;</w:t>
      </w:r>
    </w:p>
    <w:p>
      <w:pPr>
        <w:pStyle w:val="ListParagraph"/>
        <w:numPr>
          <w:ilvl w:val="1"/>
          <w:numId w:val="551"/>
        </w:numPr>
        <w:tabs>
          <w:tab w:pos="2485" w:val="left" w:leader="none"/>
          <w:tab w:pos="2486" w:val="left" w:leader="none"/>
        </w:tabs>
        <w:spacing w:line="240" w:lineRule="auto" w:before="120" w:after="0"/>
        <w:ind w:left="2485" w:right="0" w:hanging="567"/>
        <w:jc w:val="left"/>
        <w:rPr>
          <w:sz w:val="24"/>
        </w:rPr>
      </w:pPr>
      <w:r>
        <w:rPr>
          <w:i/>
          <w:sz w:val="24"/>
        </w:rPr>
        <w:t>voltage transformer </w:t>
      </w:r>
      <w:r>
        <w:rPr>
          <w:sz w:val="24"/>
        </w:rPr>
        <w:t>or phase</w:t>
      </w:r>
      <w:r>
        <w:rPr>
          <w:spacing w:val="-1"/>
          <w:sz w:val="24"/>
        </w:rPr>
        <w:t> </w:t>
      </w:r>
      <w:r>
        <w:rPr>
          <w:sz w:val="24"/>
        </w:rPr>
        <w:t>failure;</w:t>
      </w:r>
    </w:p>
    <w:p>
      <w:pPr>
        <w:pStyle w:val="ListParagraph"/>
        <w:numPr>
          <w:ilvl w:val="1"/>
          <w:numId w:val="551"/>
        </w:numPr>
        <w:tabs>
          <w:tab w:pos="2485" w:val="left" w:leader="none"/>
          <w:tab w:pos="2486" w:val="left" w:leader="none"/>
        </w:tabs>
        <w:spacing w:line="240" w:lineRule="auto" w:before="120" w:after="0"/>
        <w:ind w:left="2485" w:right="0" w:hanging="567"/>
        <w:jc w:val="left"/>
        <w:rPr>
          <w:sz w:val="24"/>
        </w:rPr>
      </w:pPr>
      <w:r>
        <w:rPr>
          <w:sz w:val="24"/>
        </w:rPr>
        <w:t>pulse overflow;</w:t>
      </w:r>
    </w:p>
    <w:p>
      <w:pPr>
        <w:pStyle w:val="ListParagraph"/>
        <w:numPr>
          <w:ilvl w:val="1"/>
          <w:numId w:val="551"/>
        </w:numPr>
        <w:tabs>
          <w:tab w:pos="2485" w:val="left" w:leader="none"/>
          <w:tab w:pos="2486" w:val="left" w:leader="none"/>
        </w:tabs>
        <w:spacing w:line="240" w:lineRule="auto" w:before="120" w:after="0"/>
        <w:ind w:left="2485" w:right="0" w:hanging="567"/>
        <w:jc w:val="left"/>
        <w:rPr>
          <w:sz w:val="24"/>
        </w:rPr>
      </w:pPr>
      <w:r>
        <w:rPr>
          <w:sz w:val="24"/>
        </w:rPr>
        <w:t>cyclic redundancy check error;</w:t>
      </w:r>
      <w:r>
        <w:rPr>
          <w:spacing w:val="-2"/>
          <w:sz w:val="24"/>
        </w:rPr>
        <w:t> </w:t>
      </w:r>
      <w:r>
        <w:rPr>
          <w:sz w:val="24"/>
        </w:rPr>
        <w:t>and</w:t>
      </w:r>
    </w:p>
    <w:p>
      <w:pPr>
        <w:pStyle w:val="ListParagraph"/>
        <w:numPr>
          <w:ilvl w:val="1"/>
          <w:numId w:val="551"/>
        </w:numPr>
        <w:tabs>
          <w:tab w:pos="2485" w:val="left" w:leader="none"/>
          <w:tab w:pos="2486" w:val="left" w:leader="none"/>
        </w:tabs>
        <w:spacing w:line="240" w:lineRule="auto" w:before="120" w:after="0"/>
        <w:ind w:left="2485" w:right="0" w:hanging="567"/>
        <w:jc w:val="left"/>
        <w:rPr>
          <w:sz w:val="24"/>
        </w:rPr>
      </w:pPr>
      <w:r>
        <w:rPr>
          <w:sz w:val="24"/>
        </w:rPr>
        <w:t>time</w:t>
      </w:r>
      <w:r>
        <w:rPr>
          <w:spacing w:val="-1"/>
          <w:sz w:val="24"/>
        </w:rPr>
        <w:t> </w:t>
      </w:r>
      <w:r>
        <w:rPr>
          <w:sz w:val="24"/>
        </w:rPr>
        <w:t>tolerance.</w:t>
      </w:r>
    </w:p>
    <w:p>
      <w:pPr>
        <w:pStyle w:val="ListParagraph"/>
        <w:numPr>
          <w:ilvl w:val="0"/>
          <w:numId w:val="551"/>
        </w:numPr>
        <w:tabs>
          <w:tab w:pos="1919" w:val="left" w:leader="none"/>
        </w:tabs>
        <w:spacing w:line="240" w:lineRule="auto" w:before="120" w:after="0"/>
        <w:ind w:left="1919" w:right="415" w:hanging="567"/>
        <w:jc w:val="both"/>
        <w:rPr>
          <w:sz w:val="24"/>
        </w:rPr>
      </w:pPr>
      <w:r>
        <w:rPr>
          <w:sz w:val="24"/>
        </w:rPr>
        <w:t>Where there are alarm sensitivity settings, these must be set at appropriate levels to ensure meaningful alarm outputs (for example, for</w:t>
      </w:r>
      <w:r>
        <w:rPr>
          <w:spacing w:val="28"/>
          <w:sz w:val="24"/>
        </w:rPr>
        <w:t> </w:t>
      </w:r>
      <w:r>
        <w:rPr>
          <w:sz w:val="24"/>
        </w:rPr>
        <w:t>contestable supplies a voltage drop of -15% is nominally</w:t>
      </w:r>
      <w:r>
        <w:rPr>
          <w:spacing w:val="-4"/>
          <w:sz w:val="24"/>
        </w:rPr>
        <w:t> </w:t>
      </w:r>
      <w:r>
        <w:rPr>
          <w:sz w:val="24"/>
        </w:rPr>
        <w:t>appropriate).</w:t>
      </w:r>
    </w:p>
    <w:p>
      <w:pPr>
        <w:pStyle w:val="BodyText"/>
        <w:spacing w:before="10"/>
        <w:ind w:firstLine="0"/>
        <w:jc w:val="left"/>
        <w:rPr>
          <w:sz w:val="20"/>
        </w:rPr>
      </w:pPr>
    </w:p>
    <w:p>
      <w:pPr>
        <w:pStyle w:val="Heading4"/>
        <w:ind w:left="218" w:firstLine="0"/>
      </w:pPr>
      <w:bookmarkStart w:name="S7A.7.3.9 Summation metering" w:id="1963"/>
      <w:bookmarkEnd w:id="1963"/>
      <w:r>
        <w:rPr>
          <w:b w:val="0"/>
        </w:rPr>
      </w:r>
      <w:bookmarkStart w:name="_bookmark806" w:id="1964"/>
      <w:bookmarkEnd w:id="1964"/>
      <w:r>
        <w:rPr>
          <w:b w:val="0"/>
        </w:rPr>
      </w:r>
      <w:r>
        <w:rPr/>
        <w:t>S7A.7.3.9 Summation metering</w:t>
      </w:r>
    </w:p>
    <w:p>
      <w:pPr>
        <w:pStyle w:val="ListParagraph"/>
        <w:numPr>
          <w:ilvl w:val="0"/>
          <w:numId w:val="552"/>
        </w:numPr>
        <w:tabs>
          <w:tab w:pos="1919" w:val="left" w:leader="none"/>
        </w:tabs>
        <w:spacing w:line="240" w:lineRule="auto" w:before="120" w:after="0"/>
        <w:ind w:left="1919" w:right="415" w:hanging="567"/>
        <w:jc w:val="both"/>
        <w:rPr>
          <w:sz w:val="24"/>
        </w:rPr>
      </w:pPr>
      <w:r>
        <w:rPr>
          <w:sz w:val="24"/>
        </w:rPr>
        <w:t>If summation </w:t>
      </w:r>
      <w:r>
        <w:rPr>
          <w:i/>
          <w:sz w:val="24"/>
        </w:rPr>
        <w:t>metering </w:t>
      </w:r>
      <w:r>
        <w:rPr>
          <w:sz w:val="24"/>
        </w:rPr>
        <w:t>is achieved by paralleling </w:t>
      </w:r>
      <w:r>
        <w:rPr>
          <w:i/>
          <w:sz w:val="24"/>
        </w:rPr>
        <w:t>current transformer </w:t>
      </w:r>
      <w:r>
        <w:rPr>
          <w:sz w:val="24"/>
        </w:rPr>
        <w:t>secondary circuits, the overall </w:t>
      </w:r>
      <w:r>
        <w:rPr>
          <w:i/>
          <w:sz w:val="24"/>
        </w:rPr>
        <w:t>metering system </w:t>
      </w:r>
      <w:r>
        <w:rPr>
          <w:sz w:val="24"/>
        </w:rPr>
        <w:t>must meet the minimum standards for a new </w:t>
      </w:r>
      <w:r>
        <w:rPr>
          <w:i/>
          <w:sz w:val="24"/>
        </w:rPr>
        <w:t>metering installation </w:t>
      </w:r>
      <w:r>
        <w:rPr>
          <w:sz w:val="24"/>
        </w:rPr>
        <w:t>under all load combinations of the individual </w:t>
      </w:r>
      <w:r>
        <w:rPr>
          <w:i/>
          <w:sz w:val="24"/>
        </w:rPr>
        <w:t>current transformer</w:t>
      </w:r>
      <w:r>
        <w:rPr>
          <w:i/>
          <w:spacing w:val="-1"/>
          <w:sz w:val="24"/>
        </w:rPr>
        <w:t> </w:t>
      </w:r>
      <w:r>
        <w:rPr>
          <w:sz w:val="24"/>
        </w:rPr>
        <w:t>secondaries.</w:t>
      </w:r>
    </w:p>
    <w:p>
      <w:pPr>
        <w:pStyle w:val="ListParagraph"/>
        <w:numPr>
          <w:ilvl w:val="0"/>
          <w:numId w:val="552"/>
        </w:numPr>
        <w:tabs>
          <w:tab w:pos="1919" w:val="left" w:leader="none"/>
        </w:tabs>
        <w:spacing w:line="240" w:lineRule="auto" w:before="120" w:after="0"/>
        <w:ind w:left="1919" w:right="415" w:hanging="567"/>
        <w:jc w:val="both"/>
        <w:rPr>
          <w:sz w:val="24"/>
        </w:rPr>
      </w:pPr>
      <w:r>
        <w:rPr>
          <w:sz w:val="24"/>
        </w:rPr>
        <w:t>If summation </w:t>
      </w:r>
      <w:r>
        <w:rPr>
          <w:i/>
          <w:sz w:val="24"/>
        </w:rPr>
        <w:t>metering </w:t>
      </w:r>
      <w:r>
        <w:rPr>
          <w:sz w:val="24"/>
        </w:rPr>
        <w:t>is achieved by the arithmetic sum of data registers or the accumulation of pulses, each individual </w:t>
      </w:r>
      <w:r>
        <w:rPr>
          <w:i/>
          <w:sz w:val="24"/>
        </w:rPr>
        <w:t>metering point </w:t>
      </w:r>
      <w:r>
        <w:rPr>
          <w:sz w:val="24"/>
        </w:rPr>
        <w:t>must meet the minimum standards for a new </w:t>
      </w:r>
      <w:r>
        <w:rPr>
          <w:i/>
          <w:sz w:val="24"/>
        </w:rPr>
        <w:t>metering installation </w:t>
      </w:r>
      <w:r>
        <w:rPr>
          <w:sz w:val="24"/>
        </w:rPr>
        <w:t>and the </w:t>
      </w:r>
      <w:r>
        <w:rPr>
          <w:i/>
          <w:sz w:val="24"/>
        </w:rPr>
        <w:t>Metering </w:t>
      </w:r>
      <w:r>
        <w:rPr>
          <w:i/>
          <w:sz w:val="24"/>
        </w:rPr>
        <w:t>Coordinator </w:t>
      </w:r>
      <w:r>
        <w:rPr>
          <w:sz w:val="24"/>
        </w:rPr>
        <w:t>must on request demonstrate that the summation techniques reliably and accurately transfer</w:t>
      </w:r>
      <w:r>
        <w:rPr>
          <w:spacing w:val="-1"/>
          <w:sz w:val="24"/>
        </w:rPr>
        <w:t> </w:t>
      </w:r>
      <w:r>
        <w:rPr>
          <w:sz w:val="24"/>
        </w:rPr>
        <w:t>data.</w:t>
      </w:r>
    </w:p>
    <w:p>
      <w:pPr>
        <w:pStyle w:val="ListParagraph"/>
        <w:numPr>
          <w:ilvl w:val="0"/>
          <w:numId w:val="552"/>
        </w:numPr>
        <w:tabs>
          <w:tab w:pos="1919" w:val="left" w:leader="none"/>
        </w:tabs>
        <w:spacing w:line="240" w:lineRule="auto" w:before="120" w:after="0"/>
        <w:ind w:left="1919" w:right="414" w:hanging="567"/>
        <w:jc w:val="both"/>
        <w:rPr>
          <w:sz w:val="24"/>
        </w:rPr>
      </w:pPr>
      <w:r>
        <w:rPr>
          <w:i/>
          <w:sz w:val="24"/>
        </w:rPr>
        <w:t>Current transformer </w:t>
      </w:r>
      <w:r>
        <w:rPr>
          <w:sz w:val="24"/>
        </w:rPr>
        <w:t>secondaries can only be paralleled using appropriate arrangements of links; this must not be done at the </w:t>
      </w:r>
      <w:r>
        <w:rPr>
          <w:i/>
          <w:sz w:val="24"/>
        </w:rPr>
        <w:t>meter</w:t>
      </w:r>
      <w:r>
        <w:rPr>
          <w:i/>
          <w:spacing w:val="-4"/>
          <w:sz w:val="24"/>
        </w:rPr>
        <w:t> </w:t>
      </w:r>
      <w:r>
        <w:rPr>
          <w:sz w:val="24"/>
        </w:rPr>
        <w:t>terminals.</w:t>
      </w:r>
    </w:p>
    <w:p>
      <w:pPr>
        <w:pStyle w:val="ListParagraph"/>
        <w:numPr>
          <w:ilvl w:val="0"/>
          <w:numId w:val="552"/>
        </w:numPr>
        <w:tabs>
          <w:tab w:pos="1919" w:val="left" w:leader="none"/>
        </w:tabs>
        <w:spacing w:line="240" w:lineRule="auto" w:before="120" w:after="0"/>
        <w:ind w:left="1919" w:right="414" w:hanging="567"/>
        <w:jc w:val="both"/>
        <w:rPr>
          <w:sz w:val="24"/>
        </w:rPr>
      </w:pPr>
      <w:r>
        <w:rPr>
          <w:sz w:val="24"/>
        </w:rPr>
        <w:t>For type 2 </w:t>
      </w:r>
      <w:r>
        <w:rPr>
          <w:i/>
          <w:sz w:val="24"/>
        </w:rPr>
        <w:t>metering installations </w:t>
      </w:r>
      <w:r>
        <w:rPr>
          <w:sz w:val="24"/>
        </w:rPr>
        <w:t>only – direct summation, in which secondary wiring from a multiple number of feeders are connected directly into the terminals of a </w:t>
      </w:r>
      <w:r>
        <w:rPr>
          <w:i/>
          <w:sz w:val="24"/>
        </w:rPr>
        <w:t>meter</w:t>
      </w:r>
      <w:r>
        <w:rPr>
          <w:sz w:val="24"/>
        </w:rPr>
        <w:t>, or summation </w:t>
      </w:r>
      <w:r>
        <w:rPr>
          <w:i/>
          <w:sz w:val="24"/>
        </w:rPr>
        <w:t>current transformers</w:t>
      </w:r>
      <w:r>
        <w:rPr>
          <w:sz w:val="24"/>
        </w:rPr>
        <w:t>, are permitted provided that the overall errors of the installation are</w:t>
      </w:r>
      <w:r>
        <w:rPr>
          <w:spacing w:val="-5"/>
          <w:sz w:val="24"/>
        </w:rPr>
        <w:t> </w:t>
      </w:r>
      <w:r>
        <w:rPr>
          <w:sz w:val="24"/>
        </w:rPr>
        <w:t>considered.</w:t>
      </w:r>
    </w:p>
    <w:p>
      <w:pPr>
        <w:pStyle w:val="BodyText"/>
        <w:spacing w:before="10"/>
        <w:ind w:firstLine="0"/>
        <w:jc w:val="left"/>
        <w:rPr>
          <w:sz w:val="12"/>
        </w:rPr>
      </w:pPr>
    </w:p>
    <w:p>
      <w:pPr>
        <w:spacing w:after="0"/>
        <w:jc w:val="left"/>
        <w:rPr>
          <w:sz w:val="12"/>
        </w:rPr>
        <w:sectPr>
          <w:pgSz w:w="11910" w:h="16840"/>
          <w:pgMar w:header="686" w:footer="637" w:top="1320" w:bottom="820" w:left="1200" w:right="1000"/>
        </w:sectPr>
      </w:pPr>
    </w:p>
    <w:p>
      <w:pPr>
        <w:pStyle w:val="Heading4"/>
        <w:spacing w:before="92"/>
        <w:ind w:left="218" w:firstLine="0"/>
      </w:pPr>
      <w:bookmarkStart w:name="S7A.7.3.10" w:id="1965"/>
      <w:bookmarkEnd w:id="1965"/>
      <w:r>
        <w:rPr>
          <w:b w:val="0"/>
        </w:rPr>
      </w:r>
      <w:bookmarkStart w:name="_bookmark807" w:id="1966"/>
      <w:bookmarkEnd w:id="1966"/>
      <w:r>
        <w:rPr>
          <w:b w:val="0"/>
        </w:rPr>
      </w:r>
      <w:r>
        <w:rPr/>
        <w:t>S7A.7.3.10</w:t>
      </w:r>
    </w:p>
    <w:p>
      <w:pPr>
        <w:pStyle w:val="BodyText"/>
        <w:spacing w:before="0"/>
        <w:ind w:firstLine="0"/>
        <w:jc w:val="left"/>
        <w:rPr>
          <w:rFonts w:ascii="Arial"/>
          <w:b/>
          <w:sz w:val="22"/>
        </w:rPr>
      </w:pPr>
      <w:r>
        <w:rPr/>
        <w:br w:type="column"/>
      </w:r>
      <w:r>
        <w:rPr>
          <w:rFonts w:ascii="Arial"/>
          <w:b/>
          <w:sz w:val="22"/>
        </w:rPr>
      </w:r>
    </w:p>
    <w:p>
      <w:pPr>
        <w:pStyle w:val="BodyText"/>
        <w:spacing w:before="5"/>
        <w:ind w:firstLine="0"/>
        <w:jc w:val="left"/>
        <w:rPr>
          <w:rFonts w:ascii="Arial"/>
          <w:b/>
          <w:sz w:val="20"/>
        </w:rPr>
      </w:pPr>
    </w:p>
    <w:p>
      <w:pPr>
        <w:spacing w:before="0"/>
        <w:ind w:left="218" w:right="0" w:firstLine="0"/>
        <w:jc w:val="left"/>
        <w:rPr>
          <w:rFonts w:ascii="Arial"/>
          <w:b/>
          <w:sz w:val="20"/>
        </w:rPr>
      </w:pPr>
      <w:r>
        <w:rPr>
          <w:rFonts w:ascii="Arial"/>
          <w:b/>
          <w:sz w:val="20"/>
        </w:rPr>
        <w:t>Note</w:t>
      </w:r>
    </w:p>
    <w:p>
      <w:pPr>
        <w:spacing w:before="120"/>
        <w:ind w:left="218" w:right="443" w:firstLine="0"/>
        <w:jc w:val="left"/>
        <w:rPr>
          <w:sz w:val="20"/>
        </w:rPr>
      </w:pPr>
      <w:r>
        <w:rPr>
          <w:sz w:val="20"/>
        </w:rPr>
        <w:t>No requirements are included in this clause for this jurisdiction at this stage. The clause may be used as part of the phased implementation of the </w:t>
      </w:r>
      <w:r>
        <w:rPr>
          <w:i/>
          <w:sz w:val="20"/>
        </w:rPr>
        <w:t>Rules </w:t>
      </w:r>
      <w:r>
        <w:rPr>
          <w:sz w:val="20"/>
        </w:rPr>
        <w:t>in this</w:t>
      </w:r>
      <w:r>
        <w:rPr>
          <w:spacing w:val="-4"/>
          <w:sz w:val="20"/>
        </w:rPr>
        <w:t> </w:t>
      </w:r>
      <w:r>
        <w:rPr>
          <w:sz w:val="20"/>
        </w:rPr>
        <w:t>jurisdiction.</w:t>
      </w:r>
    </w:p>
    <w:p>
      <w:pPr>
        <w:spacing w:after="0"/>
        <w:jc w:val="left"/>
        <w:rPr>
          <w:sz w:val="20"/>
        </w:rPr>
        <w:sectPr>
          <w:type w:val="continuous"/>
          <w:pgSz w:w="11910" w:h="16840"/>
          <w:pgMar w:top="1360" w:bottom="280" w:left="1200" w:right="1000"/>
          <w:cols w:num="2" w:equalWidth="0">
            <w:col w:w="1459" w:space="242"/>
            <w:col w:w="8009"/>
          </w:cols>
        </w:sectPr>
      </w:pPr>
    </w:p>
    <w:p>
      <w:pPr>
        <w:pStyle w:val="BodyText"/>
        <w:spacing w:before="10"/>
        <w:ind w:firstLine="0"/>
        <w:jc w:val="left"/>
        <w:rPr>
          <w:sz w:val="12"/>
        </w:rPr>
      </w:pPr>
    </w:p>
    <w:p>
      <w:pPr>
        <w:pStyle w:val="Heading4"/>
        <w:tabs>
          <w:tab w:pos="1658" w:val="left" w:leader="none"/>
        </w:tabs>
        <w:spacing w:before="92"/>
        <w:ind w:left="218" w:firstLine="0"/>
      </w:pPr>
      <w:bookmarkStart w:name="S7A.7.3.11 Routine testing and inspectio" w:id="1967"/>
      <w:bookmarkEnd w:id="1967"/>
      <w:r>
        <w:rPr>
          <w:b w:val="0"/>
        </w:rPr>
      </w:r>
      <w:bookmarkStart w:name="_bookmark808" w:id="1968"/>
      <w:bookmarkEnd w:id="1968"/>
      <w:r>
        <w:rPr>
          <w:b w:val="0"/>
        </w:rPr>
      </w:r>
      <w:r>
        <w:rPr/>
        <w:t>S7A.7.3.11</w:t>
        <w:tab/>
        <w:t>Routine testing and inspection of metering</w:t>
      </w:r>
      <w:r>
        <w:rPr>
          <w:spacing w:val="-8"/>
        </w:rPr>
        <w:t> </w:t>
      </w:r>
      <w:r>
        <w:rPr/>
        <w:t>installations</w:t>
      </w:r>
    </w:p>
    <w:p>
      <w:pPr>
        <w:pStyle w:val="ListParagraph"/>
        <w:numPr>
          <w:ilvl w:val="0"/>
          <w:numId w:val="553"/>
        </w:numPr>
        <w:tabs>
          <w:tab w:pos="1919" w:val="left" w:leader="none"/>
        </w:tabs>
        <w:spacing w:line="240" w:lineRule="auto" w:before="120" w:after="0"/>
        <w:ind w:left="1919" w:right="414" w:hanging="567"/>
        <w:jc w:val="both"/>
        <w:rPr>
          <w:sz w:val="24"/>
        </w:rPr>
      </w:pPr>
      <w:r>
        <w:rPr>
          <w:sz w:val="24"/>
        </w:rPr>
        <w:t>Unless a </w:t>
      </w:r>
      <w:r>
        <w:rPr>
          <w:i/>
          <w:sz w:val="24"/>
        </w:rPr>
        <w:t>Metering Coordinator </w:t>
      </w:r>
      <w:r>
        <w:rPr>
          <w:sz w:val="24"/>
        </w:rPr>
        <w:t>has an Asset Management Strategy approved by </w:t>
      </w:r>
      <w:r>
        <w:rPr>
          <w:i/>
          <w:sz w:val="24"/>
        </w:rPr>
        <w:t>NTESMO</w:t>
      </w:r>
      <w:r>
        <w:rPr>
          <w:sz w:val="24"/>
        </w:rPr>
        <w:t>, </w:t>
      </w:r>
      <w:r>
        <w:rPr>
          <w:i/>
          <w:sz w:val="24"/>
        </w:rPr>
        <w:t>metering installations </w:t>
      </w:r>
      <w:r>
        <w:rPr>
          <w:sz w:val="24"/>
        </w:rPr>
        <w:t>must be tested and inspected in accordance with rule 7A.7 and schedule 7A.6. Paragraphs (b) to (f) provide guidelines</w:t>
      </w:r>
      <w:r>
        <w:rPr>
          <w:spacing w:val="-1"/>
          <w:sz w:val="24"/>
        </w:rPr>
        <w:t> </w:t>
      </w:r>
      <w:r>
        <w:rPr>
          <w:sz w:val="24"/>
        </w:rPr>
        <w:t>that:</w:t>
      </w:r>
    </w:p>
    <w:p>
      <w:pPr>
        <w:pStyle w:val="ListParagraph"/>
        <w:numPr>
          <w:ilvl w:val="1"/>
          <w:numId w:val="553"/>
        </w:numPr>
        <w:tabs>
          <w:tab w:pos="2486" w:val="left" w:leader="none"/>
        </w:tabs>
        <w:spacing w:line="240" w:lineRule="auto" w:before="120" w:after="0"/>
        <w:ind w:left="2486" w:right="415" w:hanging="567"/>
        <w:jc w:val="both"/>
        <w:rPr>
          <w:sz w:val="24"/>
        </w:rPr>
      </w:pPr>
      <w:r>
        <w:rPr>
          <w:sz w:val="24"/>
        </w:rPr>
        <w:t>the </w:t>
      </w:r>
      <w:r>
        <w:rPr>
          <w:i/>
          <w:sz w:val="24"/>
        </w:rPr>
        <w:t>Metering Coordinator </w:t>
      </w:r>
      <w:r>
        <w:rPr>
          <w:sz w:val="24"/>
        </w:rPr>
        <w:t>will need to take into consideration when seeking approval of an Asset Management Strategy;</w:t>
      </w:r>
      <w:r>
        <w:rPr>
          <w:spacing w:val="-8"/>
          <w:sz w:val="24"/>
        </w:rPr>
        <w:t> </w:t>
      </w:r>
      <w:r>
        <w:rPr>
          <w:sz w:val="24"/>
        </w:rPr>
        <w:t>and</w:t>
      </w:r>
    </w:p>
    <w:p>
      <w:pPr>
        <w:pStyle w:val="ListParagraph"/>
        <w:numPr>
          <w:ilvl w:val="1"/>
          <w:numId w:val="553"/>
        </w:numPr>
        <w:tabs>
          <w:tab w:pos="2486" w:val="left" w:leader="none"/>
        </w:tabs>
        <w:spacing w:line="240" w:lineRule="auto" w:before="120" w:after="0"/>
        <w:ind w:left="2486" w:right="415" w:hanging="567"/>
        <w:jc w:val="both"/>
        <w:rPr>
          <w:sz w:val="24"/>
        </w:rPr>
      </w:pPr>
      <w:r>
        <w:rPr>
          <w:i/>
          <w:sz w:val="24"/>
        </w:rPr>
        <w:t>NTESMO </w:t>
      </w:r>
      <w:r>
        <w:rPr>
          <w:sz w:val="24"/>
        </w:rPr>
        <w:t>will need to take into consideration in approving a proposed Asset Management</w:t>
      </w:r>
      <w:r>
        <w:rPr>
          <w:spacing w:val="-3"/>
          <w:sz w:val="24"/>
        </w:rPr>
        <w:t> </w:t>
      </w:r>
      <w:r>
        <w:rPr>
          <w:sz w:val="24"/>
        </w:rPr>
        <w:t>Strategy.</w:t>
      </w:r>
    </w:p>
    <w:p>
      <w:pPr>
        <w:spacing w:after="0" w:line="240" w:lineRule="auto"/>
        <w:jc w:val="both"/>
        <w:rPr>
          <w:sz w:val="24"/>
        </w:rPr>
        <w:sectPr>
          <w:type w:val="continuous"/>
          <w:pgSz w:w="11910" w:h="16840"/>
          <w:pgMar w:top="1360" w:bottom="280" w:left="1200" w:right="1000"/>
        </w:sectPr>
      </w:pPr>
    </w:p>
    <w:p>
      <w:pPr>
        <w:pStyle w:val="ListParagraph"/>
        <w:numPr>
          <w:ilvl w:val="0"/>
          <w:numId w:val="553"/>
        </w:numPr>
        <w:tabs>
          <w:tab w:pos="1919" w:val="left" w:leader="none"/>
        </w:tabs>
        <w:spacing w:line="240" w:lineRule="auto" w:before="83" w:after="0"/>
        <w:ind w:left="1919" w:right="415" w:hanging="567"/>
        <w:jc w:val="both"/>
        <w:rPr>
          <w:sz w:val="24"/>
        </w:rPr>
      </w:pPr>
      <w:r>
        <w:rPr>
          <w:sz w:val="24"/>
        </w:rPr>
        <w:t>An acceptable alternative testing practice or test plan for in-service </w:t>
      </w:r>
      <w:r>
        <w:rPr>
          <w:i/>
          <w:sz w:val="24"/>
        </w:rPr>
        <w:t>meter </w:t>
      </w:r>
      <w:r>
        <w:rPr>
          <w:sz w:val="24"/>
        </w:rPr>
        <w:t>performance must demonstrate compliance with </w:t>
      </w:r>
      <w:r>
        <w:rPr>
          <w:i/>
          <w:sz w:val="24"/>
        </w:rPr>
        <w:t>Australian Standard</w:t>
      </w:r>
      <w:r>
        <w:rPr>
          <w:sz w:val="24"/>
        </w:rPr>
        <w:t>"</w:t>
      </w:r>
      <w:r>
        <w:rPr>
          <w:i/>
          <w:sz w:val="24"/>
        </w:rPr>
        <w:t>AS </w:t>
      </w:r>
      <w:r>
        <w:rPr>
          <w:sz w:val="24"/>
        </w:rPr>
        <w:t>1284.13: Electricity Metering in-service compliance</w:t>
      </w:r>
      <w:r>
        <w:rPr>
          <w:spacing w:val="-1"/>
          <w:sz w:val="24"/>
        </w:rPr>
        <w:t> </w:t>
      </w:r>
      <w:r>
        <w:rPr>
          <w:sz w:val="24"/>
        </w:rPr>
        <w:t>testing".</w:t>
      </w:r>
    </w:p>
    <w:p>
      <w:pPr>
        <w:pStyle w:val="ListParagraph"/>
        <w:numPr>
          <w:ilvl w:val="0"/>
          <w:numId w:val="553"/>
        </w:numPr>
        <w:tabs>
          <w:tab w:pos="1919" w:val="left" w:leader="none"/>
        </w:tabs>
        <w:spacing w:line="240" w:lineRule="auto" w:before="120" w:after="0"/>
        <w:ind w:left="1919" w:right="415" w:hanging="567"/>
        <w:jc w:val="both"/>
        <w:rPr>
          <w:sz w:val="24"/>
        </w:rPr>
      </w:pPr>
      <w:r>
        <w:rPr>
          <w:sz w:val="24"/>
        </w:rPr>
        <w:t>Unless the </w:t>
      </w:r>
      <w:r>
        <w:rPr>
          <w:i/>
          <w:sz w:val="24"/>
        </w:rPr>
        <w:t>Metering Coordinator </w:t>
      </w:r>
      <w:r>
        <w:rPr>
          <w:sz w:val="24"/>
        </w:rPr>
        <w:t>has developed an alternative </w:t>
      </w:r>
      <w:r>
        <w:rPr>
          <w:spacing w:val="-3"/>
          <w:sz w:val="24"/>
        </w:rPr>
        <w:t>accuracy </w:t>
      </w:r>
      <w:r>
        <w:rPr>
          <w:sz w:val="24"/>
        </w:rPr>
        <w:t>assessment method for type 5 and 6 </w:t>
      </w:r>
      <w:r>
        <w:rPr>
          <w:i/>
          <w:sz w:val="24"/>
        </w:rPr>
        <w:t>metering installations </w:t>
      </w:r>
      <w:r>
        <w:rPr>
          <w:sz w:val="24"/>
        </w:rPr>
        <w:t>that meets the intent of Tables S7A.4.2.5 and S7A.4.2.6 and is approved by </w:t>
      </w:r>
      <w:r>
        <w:rPr>
          <w:i/>
          <w:sz w:val="24"/>
        </w:rPr>
        <w:t>NTESMO</w:t>
      </w:r>
      <w:r>
        <w:rPr>
          <w:sz w:val="24"/>
        </w:rPr>
        <w:t>, the overall </w:t>
      </w:r>
      <w:r>
        <w:rPr>
          <w:i/>
          <w:sz w:val="24"/>
        </w:rPr>
        <w:t>metering installation </w:t>
      </w:r>
      <w:r>
        <w:rPr>
          <w:sz w:val="24"/>
        </w:rPr>
        <w:t>error is calculated by the vector sum of the errors of each </w:t>
      </w:r>
      <w:r>
        <w:rPr>
          <w:i/>
          <w:sz w:val="24"/>
        </w:rPr>
        <w:t>metering installation </w:t>
      </w:r>
      <w:r>
        <w:rPr>
          <w:sz w:val="24"/>
        </w:rPr>
        <w:t>component, being a + b + c</w:t>
      </w:r>
      <w:r>
        <w:rPr>
          <w:spacing w:val="-6"/>
          <w:sz w:val="24"/>
        </w:rPr>
        <w:t> </w:t>
      </w:r>
      <w:r>
        <w:rPr>
          <w:sz w:val="24"/>
        </w:rPr>
        <w:t>where:</w:t>
      </w:r>
    </w:p>
    <w:p>
      <w:pPr>
        <w:pStyle w:val="BodyText"/>
        <w:spacing w:line="343" w:lineRule="auto"/>
        <w:ind w:left="2486" w:right="4657" w:firstLine="0"/>
      </w:pPr>
      <w:r>
        <w:rPr/>
        <w:t>a = error of VT and wiring b = error of CT and wiring c = error of </w:t>
      </w:r>
      <w:r>
        <w:rPr>
          <w:i/>
        </w:rPr>
        <w:t>meter</w:t>
      </w:r>
      <w:r>
        <w:rPr/>
        <w:t>.</w:t>
      </w:r>
    </w:p>
    <w:p>
      <w:pPr>
        <w:pStyle w:val="ListParagraph"/>
        <w:numPr>
          <w:ilvl w:val="0"/>
          <w:numId w:val="553"/>
        </w:numPr>
        <w:tabs>
          <w:tab w:pos="1919" w:val="left" w:leader="none"/>
        </w:tabs>
        <w:spacing w:line="240" w:lineRule="auto" w:before="4" w:after="0"/>
        <w:ind w:left="1919" w:right="414" w:hanging="567"/>
        <w:jc w:val="both"/>
        <w:rPr>
          <w:sz w:val="24"/>
        </w:rPr>
      </w:pPr>
      <w:r>
        <w:rPr>
          <w:sz w:val="24"/>
        </w:rPr>
        <w:t>Where the </w:t>
      </w:r>
      <w:r>
        <w:rPr>
          <w:i/>
          <w:sz w:val="24"/>
        </w:rPr>
        <w:t>Metering Coordinator </w:t>
      </w:r>
      <w:r>
        <w:rPr>
          <w:sz w:val="24"/>
        </w:rPr>
        <w:t>is not testing and inspecting</w:t>
      </w:r>
      <w:r>
        <w:rPr>
          <w:spacing w:val="36"/>
          <w:sz w:val="24"/>
        </w:rPr>
        <w:t> </w:t>
      </w:r>
      <w:r>
        <w:rPr>
          <w:i/>
          <w:sz w:val="24"/>
        </w:rPr>
        <w:t>metering </w:t>
      </w:r>
      <w:r>
        <w:rPr>
          <w:i/>
          <w:sz w:val="24"/>
        </w:rPr>
        <w:t>installations </w:t>
      </w:r>
      <w:r>
        <w:rPr>
          <w:sz w:val="24"/>
        </w:rPr>
        <w:t>in accordance with rule 7A.7 and schedule 7A.6 (that is, not time-based), the </w:t>
      </w:r>
      <w:r>
        <w:rPr>
          <w:i/>
          <w:sz w:val="24"/>
        </w:rPr>
        <w:t>Metering Coordinator </w:t>
      </w:r>
      <w:r>
        <w:rPr>
          <w:sz w:val="24"/>
        </w:rPr>
        <w:t>must include in its Asset Management Strategy an alternative inspection practice that meets the requirements of schedule</w:t>
      </w:r>
      <w:r>
        <w:rPr>
          <w:spacing w:val="-2"/>
          <w:sz w:val="24"/>
        </w:rPr>
        <w:t> </w:t>
      </w:r>
      <w:r>
        <w:rPr>
          <w:sz w:val="24"/>
        </w:rPr>
        <w:t>7A.6.</w:t>
      </w:r>
    </w:p>
    <w:p>
      <w:pPr>
        <w:pStyle w:val="ListParagraph"/>
        <w:numPr>
          <w:ilvl w:val="0"/>
          <w:numId w:val="553"/>
        </w:numPr>
        <w:tabs>
          <w:tab w:pos="1919" w:val="left" w:leader="none"/>
        </w:tabs>
        <w:spacing w:line="240" w:lineRule="auto" w:before="120" w:after="0"/>
        <w:ind w:left="1919" w:right="416" w:hanging="567"/>
        <w:jc w:val="both"/>
        <w:rPr>
          <w:sz w:val="24"/>
        </w:rPr>
      </w:pPr>
      <w:r>
        <w:rPr>
          <w:sz w:val="24"/>
        </w:rPr>
        <w:t>The </w:t>
      </w:r>
      <w:r>
        <w:rPr>
          <w:i/>
          <w:sz w:val="24"/>
        </w:rPr>
        <w:t>Metering Coordinator </w:t>
      </w:r>
      <w:r>
        <w:rPr>
          <w:sz w:val="24"/>
        </w:rPr>
        <w:t>must provide a copy of the Asset Management Strategy to each relevant </w:t>
      </w:r>
      <w:r>
        <w:rPr>
          <w:i/>
          <w:sz w:val="24"/>
        </w:rPr>
        <w:t>Metering</w:t>
      </w:r>
      <w:r>
        <w:rPr>
          <w:i/>
          <w:spacing w:val="-2"/>
          <w:sz w:val="24"/>
        </w:rPr>
        <w:t> </w:t>
      </w:r>
      <w:r>
        <w:rPr>
          <w:i/>
          <w:sz w:val="24"/>
        </w:rPr>
        <w:t>Provider</w:t>
      </w:r>
      <w:r>
        <w:rPr>
          <w:sz w:val="24"/>
        </w:rPr>
        <w:t>.</w:t>
      </w:r>
    </w:p>
    <w:p>
      <w:pPr>
        <w:pStyle w:val="ListParagraph"/>
        <w:numPr>
          <w:ilvl w:val="0"/>
          <w:numId w:val="553"/>
        </w:numPr>
        <w:tabs>
          <w:tab w:pos="1920" w:val="left" w:leader="none"/>
        </w:tabs>
        <w:spacing w:line="240" w:lineRule="auto" w:before="120" w:after="0"/>
        <w:ind w:left="1919" w:right="415" w:hanging="567"/>
        <w:jc w:val="both"/>
        <w:rPr>
          <w:sz w:val="24"/>
        </w:rPr>
      </w:pPr>
      <w:r>
        <w:rPr>
          <w:sz w:val="24"/>
        </w:rPr>
        <w:t>For those </w:t>
      </w:r>
      <w:r>
        <w:rPr>
          <w:i/>
          <w:sz w:val="24"/>
        </w:rPr>
        <w:t>meters </w:t>
      </w:r>
      <w:r>
        <w:rPr>
          <w:sz w:val="24"/>
        </w:rPr>
        <w:t>for which new or amended pattern approval has been received from the National Measurement Institute or, in the absence</w:t>
      </w:r>
      <w:r>
        <w:rPr>
          <w:spacing w:val="25"/>
          <w:sz w:val="24"/>
        </w:rPr>
        <w:t> </w:t>
      </w:r>
      <w:r>
        <w:rPr>
          <w:sz w:val="24"/>
        </w:rPr>
        <w:t>of pattern approval, new or amended type testing has been undertaken by a </w:t>
      </w:r>
      <w:r>
        <w:rPr>
          <w:i/>
          <w:sz w:val="24"/>
        </w:rPr>
        <w:t>NATA </w:t>
      </w:r>
      <w:r>
        <w:rPr>
          <w:sz w:val="24"/>
        </w:rPr>
        <w:t>accredited laboratory or a body recognised by </w:t>
      </w:r>
      <w:r>
        <w:rPr>
          <w:i/>
          <w:sz w:val="24"/>
        </w:rPr>
        <w:t>NATA </w:t>
      </w:r>
      <w:r>
        <w:rPr>
          <w:sz w:val="24"/>
        </w:rPr>
        <w:t>under the ILAC mutual recognition scheme, the </w:t>
      </w:r>
      <w:r>
        <w:rPr>
          <w:i/>
          <w:sz w:val="24"/>
        </w:rPr>
        <w:t>Metering Coordinator </w:t>
      </w:r>
      <w:r>
        <w:rPr>
          <w:sz w:val="24"/>
        </w:rPr>
        <w:t>must ensure that the Sample Test Plan stipulates that this population of </w:t>
      </w:r>
      <w:r>
        <w:rPr>
          <w:i/>
          <w:sz w:val="24"/>
        </w:rPr>
        <w:t>meter </w:t>
      </w:r>
      <w:r>
        <w:rPr>
          <w:sz w:val="24"/>
        </w:rPr>
        <w:t>is tested at least once in the first three years of being placed in</w:t>
      </w:r>
      <w:r>
        <w:rPr>
          <w:spacing w:val="-3"/>
          <w:sz w:val="24"/>
        </w:rPr>
        <w:t> </w:t>
      </w:r>
      <w:r>
        <w:rPr>
          <w:sz w:val="24"/>
        </w:rPr>
        <w:t>service.</w:t>
      </w:r>
    </w:p>
    <w:p>
      <w:pPr>
        <w:pStyle w:val="BodyText"/>
        <w:spacing w:before="10"/>
        <w:ind w:firstLine="0"/>
        <w:jc w:val="left"/>
        <w:rPr>
          <w:sz w:val="20"/>
        </w:rPr>
      </w:pPr>
    </w:p>
    <w:p>
      <w:pPr>
        <w:pStyle w:val="Heading4"/>
        <w:tabs>
          <w:tab w:pos="1658" w:val="left" w:leader="none"/>
        </w:tabs>
        <w:ind w:left="218" w:firstLine="0"/>
      </w:pPr>
      <w:bookmarkStart w:name="S7A.7.3.12 Requests for testing type 1 –" w:id="1969"/>
      <w:bookmarkEnd w:id="1969"/>
      <w:r>
        <w:rPr>
          <w:b w:val="0"/>
        </w:rPr>
      </w:r>
      <w:bookmarkStart w:name="_bookmark809" w:id="1970"/>
      <w:bookmarkEnd w:id="1970"/>
      <w:r>
        <w:rPr>
          <w:b w:val="0"/>
        </w:rPr>
      </w:r>
      <w:r>
        <w:rPr/>
        <w:t>S7A.7.3.12</w:t>
        <w:tab/>
        <w:t>Requests for testing type 1 – 6 metering</w:t>
      </w:r>
      <w:r>
        <w:rPr>
          <w:spacing w:val="-8"/>
        </w:rPr>
        <w:t> </w:t>
      </w:r>
      <w:r>
        <w:rPr/>
        <w:t>installations</w:t>
      </w:r>
    </w:p>
    <w:p>
      <w:pPr>
        <w:pStyle w:val="ListParagraph"/>
        <w:numPr>
          <w:ilvl w:val="0"/>
          <w:numId w:val="554"/>
        </w:numPr>
        <w:tabs>
          <w:tab w:pos="1919" w:val="left" w:leader="none"/>
        </w:tabs>
        <w:spacing w:line="240" w:lineRule="auto" w:before="120" w:after="0"/>
        <w:ind w:left="1919" w:right="414" w:hanging="567"/>
        <w:jc w:val="both"/>
        <w:rPr>
          <w:sz w:val="24"/>
        </w:rPr>
      </w:pPr>
      <w:r>
        <w:rPr>
          <w:sz w:val="24"/>
        </w:rPr>
        <w:t>If requested by a </w:t>
      </w:r>
      <w:r>
        <w:rPr>
          <w:i/>
          <w:sz w:val="24"/>
        </w:rPr>
        <w:t>Registered Participant </w:t>
      </w:r>
      <w:r>
        <w:rPr>
          <w:sz w:val="24"/>
        </w:rPr>
        <w:t>with a financial interest in the </w:t>
      </w:r>
      <w:r>
        <w:rPr>
          <w:i/>
          <w:sz w:val="24"/>
        </w:rPr>
        <w:t>metering installation </w:t>
      </w:r>
      <w:r>
        <w:rPr>
          <w:sz w:val="24"/>
        </w:rPr>
        <w:t>or the </w:t>
      </w:r>
      <w:r>
        <w:rPr>
          <w:i/>
          <w:sz w:val="24"/>
        </w:rPr>
        <w:t>energy </w:t>
      </w:r>
      <w:r>
        <w:rPr>
          <w:sz w:val="24"/>
        </w:rPr>
        <w:t>measured by the </w:t>
      </w:r>
      <w:r>
        <w:rPr>
          <w:i/>
          <w:sz w:val="24"/>
        </w:rPr>
        <w:t>metering installation</w:t>
      </w:r>
      <w:r>
        <w:rPr>
          <w:sz w:val="24"/>
        </w:rPr>
        <w:t>, the </w:t>
      </w:r>
      <w:r>
        <w:rPr>
          <w:i/>
          <w:sz w:val="24"/>
        </w:rPr>
        <w:t>Metering Coordinator </w:t>
      </w:r>
      <w:r>
        <w:rPr>
          <w:sz w:val="24"/>
        </w:rPr>
        <w:t>must make arrangements for the testing of the </w:t>
      </w:r>
      <w:r>
        <w:rPr>
          <w:i/>
          <w:sz w:val="24"/>
        </w:rPr>
        <w:t>metering installation </w:t>
      </w:r>
      <w:r>
        <w:rPr>
          <w:sz w:val="24"/>
        </w:rPr>
        <w:t>in accordance with clause 7A.7.2 of the</w:t>
      </w:r>
      <w:r>
        <w:rPr>
          <w:spacing w:val="-8"/>
          <w:sz w:val="24"/>
        </w:rPr>
        <w:t> </w:t>
      </w:r>
      <w:r>
        <w:rPr>
          <w:i/>
          <w:sz w:val="24"/>
        </w:rPr>
        <w:t>Rules</w:t>
      </w:r>
      <w:r>
        <w:rPr>
          <w:sz w:val="24"/>
        </w:rPr>
        <w:t>.</w:t>
      </w:r>
    </w:p>
    <w:p>
      <w:pPr>
        <w:pStyle w:val="ListParagraph"/>
        <w:numPr>
          <w:ilvl w:val="0"/>
          <w:numId w:val="554"/>
        </w:numPr>
        <w:tabs>
          <w:tab w:pos="1919" w:val="left" w:leader="none"/>
        </w:tabs>
        <w:spacing w:line="240" w:lineRule="auto" w:before="120" w:after="0"/>
        <w:ind w:left="1919" w:right="414" w:hanging="567"/>
        <w:jc w:val="both"/>
        <w:rPr>
          <w:sz w:val="24"/>
        </w:rPr>
      </w:pPr>
      <w:r>
        <w:rPr>
          <w:sz w:val="24"/>
        </w:rPr>
        <w:t>If requested by a </w:t>
      </w:r>
      <w:r>
        <w:rPr>
          <w:i/>
          <w:sz w:val="24"/>
        </w:rPr>
        <w:t>Registered Participant </w:t>
      </w:r>
      <w:r>
        <w:rPr>
          <w:sz w:val="24"/>
        </w:rPr>
        <w:t>with a financial interest in the </w:t>
      </w:r>
      <w:r>
        <w:rPr>
          <w:i/>
          <w:sz w:val="24"/>
        </w:rPr>
        <w:t>metering installation</w:t>
      </w:r>
      <w:r>
        <w:rPr>
          <w:sz w:val="24"/>
        </w:rPr>
        <w:t>, the </w:t>
      </w:r>
      <w:r>
        <w:rPr>
          <w:i/>
          <w:sz w:val="24"/>
        </w:rPr>
        <w:t>Utilities Commission </w:t>
      </w:r>
      <w:r>
        <w:rPr>
          <w:sz w:val="24"/>
        </w:rPr>
        <w:t>must make arrangements in accordance with clause 7A.7.4 of the </w:t>
      </w:r>
      <w:r>
        <w:rPr>
          <w:i/>
          <w:sz w:val="24"/>
        </w:rPr>
        <w:t>Rules </w:t>
      </w:r>
      <w:r>
        <w:rPr>
          <w:sz w:val="24"/>
        </w:rPr>
        <w:t>to determine the consistency of </w:t>
      </w:r>
      <w:r>
        <w:rPr>
          <w:i/>
          <w:sz w:val="24"/>
        </w:rPr>
        <w:t>metering data </w:t>
      </w:r>
      <w:r>
        <w:rPr>
          <w:sz w:val="24"/>
        </w:rPr>
        <w:t>held in the </w:t>
      </w:r>
      <w:r>
        <w:rPr>
          <w:i/>
          <w:sz w:val="24"/>
        </w:rPr>
        <w:t>metering data services database </w:t>
      </w:r>
      <w:r>
        <w:rPr>
          <w:sz w:val="24"/>
        </w:rPr>
        <w:t>and the </w:t>
      </w:r>
      <w:r>
        <w:rPr>
          <w:i/>
          <w:sz w:val="24"/>
        </w:rPr>
        <w:t>energy </w:t>
      </w:r>
      <w:r>
        <w:rPr>
          <w:i/>
          <w:sz w:val="24"/>
        </w:rPr>
        <w:t>data </w:t>
      </w:r>
      <w:r>
        <w:rPr>
          <w:sz w:val="24"/>
        </w:rPr>
        <w:t>held in the type 1, 2, 3, 4, 4A, 5 and 6 </w:t>
      </w:r>
      <w:r>
        <w:rPr>
          <w:i/>
          <w:sz w:val="24"/>
        </w:rPr>
        <w:t>metering</w:t>
      </w:r>
      <w:r>
        <w:rPr>
          <w:i/>
          <w:spacing w:val="-3"/>
          <w:sz w:val="24"/>
        </w:rPr>
        <w:t> </w:t>
      </w:r>
      <w:r>
        <w:rPr>
          <w:i/>
          <w:sz w:val="24"/>
        </w:rPr>
        <w:t>installation</w:t>
      </w:r>
      <w:r>
        <w:rPr>
          <w:sz w:val="24"/>
        </w:rPr>
        <w:t>.</w:t>
      </w:r>
    </w:p>
    <w:p>
      <w:pPr>
        <w:pStyle w:val="ListParagraph"/>
        <w:numPr>
          <w:ilvl w:val="0"/>
          <w:numId w:val="554"/>
        </w:numPr>
        <w:tabs>
          <w:tab w:pos="1919" w:val="left" w:leader="none"/>
        </w:tabs>
        <w:spacing w:line="240" w:lineRule="auto" w:before="120" w:after="0"/>
        <w:ind w:left="1919" w:right="414" w:hanging="567"/>
        <w:jc w:val="both"/>
        <w:rPr>
          <w:sz w:val="24"/>
        </w:rPr>
      </w:pPr>
      <w:r>
        <w:rPr>
          <w:sz w:val="24"/>
        </w:rPr>
        <w:t>Where the </w:t>
      </w:r>
      <w:r>
        <w:rPr>
          <w:i/>
          <w:sz w:val="24"/>
        </w:rPr>
        <w:t>Registered Participant </w:t>
      </w:r>
      <w:r>
        <w:rPr>
          <w:sz w:val="24"/>
        </w:rPr>
        <w:t>requests a </w:t>
      </w:r>
      <w:r>
        <w:rPr>
          <w:i/>
          <w:sz w:val="24"/>
        </w:rPr>
        <w:t>metering installation </w:t>
      </w:r>
      <w:r>
        <w:rPr>
          <w:sz w:val="24"/>
        </w:rPr>
        <w:t>test in accordance with paragraphs (a) and</w:t>
      </w:r>
      <w:r>
        <w:rPr>
          <w:spacing w:val="-3"/>
          <w:sz w:val="24"/>
        </w:rPr>
        <w:t> </w:t>
      </w:r>
      <w:r>
        <w:rPr>
          <w:sz w:val="24"/>
        </w:rPr>
        <w:t>(b):</w:t>
      </w:r>
    </w:p>
    <w:p>
      <w:pPr>
        <w:pStyle w:val="ListParagraph"/>
        <w:numPr>
          <w:ilvl w:val="1"/>
          <w:numId w:val="554"/>
        </w:numPr>
        <w:tabs>
          <w:tab w:pos="2486" w:val="left" w:leader="none"/>
        </w:tabs>
        <w:spacing w:line="240" w:lineRule="auto" w:before="120" w:after="0"/>
        <w:ind w:left="2486" w:right="415" w:hanging="567"/>
        <w:jc w:val="both"/>
        <w:rPr>
          <w:sz w:val="24"/>
        </w:rPr>
      </w:pPr>
      <w:r>
        <w:rPr>
          <w:sz w:val="24"/>
        </w:rPr>
        <w:t>the </w:t>
      </w:r>
      <w:r>
        <w:rPr>
          <w:i/>
          <w:sz w:val="24"/>
        </w:rPr>
        <w:t>Metering Coordinator </w:t>
      </w:r>
      <w:r>
        <w:rPr>
          <w:sz w:val="24"/>
        </w:rPr>
        <w:t>or the </w:t>
      </w:r>
      <w:r>
        <w:rPr>
          <w:i/>
          <w:sz w:val="24"/>
        </w:rPr>
        <w:t>Utilities Commission</w:t>
      </w:r>
      <w:r>
        <w:rPr>
          <w:sz w:val="24"/>
        </w:rPr>
        <w:t>(as applicable) must use </w:t>
      </w:r>
      <w:r>
        <w:rPr>
          <w:i/>
          <w:sz w:val="24"/>
        </w:rPr>
        <w:t>reasonable endeavours </w:t>
      </w:r>
      <w:r>
        <w:rPr>
          <w:sz w:val="24"/>
        </w:rPr>
        <w:t>to conduct the test within 15 </w:t>
      </w:r>
      <w:r>
        <w:rPr>
          <w:i/>
          <w:sz w:val="24"/>
        </w:rPr>
        <w:t>business </w:t>
      </w:r>
      <w:r>
        <w:rPr>
          <w:i/>
          <w:sz w:val="24"/>
        </w:rPr>
        <w:t>days </w:t>
      </w:r>
      <w:r>
        <w:rPr>
          <w:sz w:val="24"/>
        </w:rPr>
        <w:t>of the</w:t>
      </w:r>
      <w:r>
        <w:rPr>
          <w:spacing w:val="-1"/>
          <w:sz w:val="24"/>
        </w:rPr>
        <w:t> </w:t>
      </w:r>
      <w:r>
        <w:rPr>
          <w:sz w:val="24"/>
        </w:rPr>
        <w:t>request;</w:t>
      </w:r>
    </w:p>
    <w:p>
      <w:pPr>
        <w:pStyle w:val="ListParagraph"/>
        <w:numPr>
          <w:ilvl w:val="1"/>
          <w:numId w:val="554"/>
        </w:numPr>
        <w:tabs>
          <w:tab w:pos="2486" w:val="left" w:leader="none"/>
        </w:tabs>
        <w:spacing w:line="240" w:lineRule="auto" w:before="120" w:after="0"/>
        <w:ind w:left="2486" w:right="415" w:hanging="567"/>
        <w:jc w:val="both"/>
        <w:rPr>
          <w:sz w:val="24"/>
        </w:rPr>
      </w:pPr>
      <w:r>
        <w:rPr>
          <w:sz w:val="24"/>
        </w:rPr>
        <w:t>if the requirement under subparagraph (1) would prevent the </w:t>
      </w:r>
      <w:r>
        <w:rPr>
          <w:i/>
          <w:sz w:val="24"/>
        </w:rPr>
        <w:t>Registered Participant's </w:t>
      </w:r>
      <w:r>
        <w:rPr>
          <w:sz w:val="24"/>
        </w:rPr>
        <w:t>customer witnessing the test, then the </w:t>
      </w:r>
      <w:r>
        <w:rPr>
          <w:i/>
          <w:sz w:val="24"/>
        </w:rPr>
        <w:t>Metering Coordinator </w:t>
      </w:r>
      <w:r>
        <w:rPr>
          <w:sz w:val="24"/>
        </w:rPr>
        <w:t>or the </w:t>
      </w:r>
      <w:r>
        <w:rPr>
          <w:i/>
          <w:sz w:val="24"/>
        </w:rPr>
        <w:t>Utilities Commission </w:t>
      </w:r>
      <w:r>
        <w:rPr>
          <w:sz w:val="24"/>
        </w:rPr>
        <w:t>may agree to a mutually convenient time to conduct the test;</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554"/>
        </w:numPr>
        <w:tabs>
          <w:tab w:pos="2486" w:val="left" w:leader="none"/>
        </w:tabs>
        <w:spacing w:line="240" w:lineRule="auto" w:before="83" w:after="0"/>
        <w:ind w:left="2486" w:right="415" w:hanging="567"/>
        <w:jc w:val="both"/>
        <w:rPr>
          <w:sz w:val="24"/>
        </w:rPr>
      </w:pPr>
      <w:r>
        <w:rPr>
          <w:sz w:val="24"/>
        </w:rPr>
        <w:t>the </w:t>
      </w:r>
      <w:r>
        <w:rPr>
          <w:i/>
          <w:sz w:val="24"/>
        </w:rPr>
        <w:t>Metering Coordinator </w:t>
      </w:r>
      <w:r>
        <w:rPr>
          <w:sz w:val="24"/>
        </w:rPr>
        <w:t>or the </w:t>
      </w:r>
      <w:r>
        <w:rPr>
          <w:i/>
          <w:sz w:val="24"/>
        </w:rPr>
        <w:t>Utilities Commission</w:t>
      </w:r>
      <w:r>
        <w:rPr>
          <w:sz w:val="24"/>
        </w:rPr>
        <w:t>(as applicable) must, if requested, provide an estimate of costs associated with the test prior to any test being</w:t>
      </w:r>
      <w:r>
        <w:rPr>
          <w:spacing w:val="-1"/>
          <w:sz w:val="24"/>
        </w:rPr>
        <w:t> </w:t>
      </w:r>
      <w:r>
        <w:rPr>
          <w:sz w:val="24"/>
        </w:rPr>
        <w:t>undertaken.</w:t>
      </w:r>
    </w:p>
    <w:p>
      <w:pPr>
        <w:pStyle w:val="Heading4"/>
        <w:tabs>
          <w:tab w:pos="1351" w:val="left" w:leader="none"/>
        </w:tabs>
        <w:spacing w:line="510" w:lineRule="atLeast" w:before="6"/>
        <w:ind w:left="218" w:right="3257" w:firstLine="0"/>
      </w:pPr>
      <w:bookmarkStart w:name="S7A.7.4 Installation of meters and de-co" w:id="1971"/>
      <w:bookmarkEnd w:id="1971"/>
      <w:r>
        <w:rPr>
          <w:b w:val="0"/>
        </w:rPr>
      </w:r>
      <w:bookmarkStart w:name="_bookmark810" w:id="1972"/>
      <w:bookmarkEnd w:id="1972"/>
      <w:r>
        <w:rPr>
          <w:b w:val="0"/>
        </w:rPr>
      </w:r>
      <w:r>
        <w:rPr/>
        <w:t>S7A.7.4</w:t>
        <w:tab/>
        <w:t>Installation of meters and de-commissioning</w:t>
      </w:r>
      <w:bookmarkStart w:name="S7A.7.4.1 General installation requireme" w:id="1973"/>
      <w:bookmarkEnd w:id="1973"/>
      <w:r>
        <w:rPr/>
      </w:r>
      <w:bookmarkStart w:name="_bookmark811" w:id="1974"/>
      <w:bookmarkEnd w:id="1974"/>
      <w:r>
        <w:rPr/>
      </w:r>
      <w:r>
        <w:rPr/>
        <w:t> S7A.7.4.1 General installation</w:t>
      </w:r>
      <w:r>
        <w:rPr>
          <w:spacing w:val="-2"/>
        </w:rPr>
        <w:t> </w:t>
      </w:r>
      <w:r>
        <w:rPr/>
        <w:t>requirements</w:t>
      </w:r>
    </w:p>
    <w:p>
      <w:pPr>
        <w:spacing w:before="126"/>
        <w:ind w:left="1352" w:right="413" w:firstLine="0"/>
        <w:jc w:val="both"/>
        <w:rPr>
          <w:sz w:val="24"/>
        </w:rPr>
      </w:pPr>
      <w:r>
        <w:rPr>
          <w:sz w:val="24"/>
        </w:rPr>
        <w:t>The </w:t>
      </w:r>
      <w:r>
        <w:rPr>
          <w:i/>
          <w:sz w:val="24"/>
        </w:rPr>
        <w:t>Metering Coordinator </w:t>
      </w:r>
      <w:r>
        <w:rPr>
          <w:sz w:val="24"/>
        </w:rPr>
        <w:t>must use reasonable endeavours to ensure that, at the time of installation, a </w:t>
      </w:r>
      <w:r>
        <w:rPr>
          <w:i/>
          <w:sz w:val="24"/>
        </w:rPr>
        <w:t>metering installation </w:t>
      </w:r>
      <w:r>
        <w:rPr>
          <w:sz w:val="24"/>
        </w:rPr>
        <w:t>is:</w:t>
      </w:r>
    </w:p>
    <w:p>
      <w:pPr>
        <w:pStyle w:val="ListParagraph"/>
        <w:numPr>
          <w:ilvl w:val="0"/>
          <w:numId w:val="555"/>
        </w:numPr>
        <w:tabs>
          <w:tab w:pos="1919" w:val="left" w:leader="none"/>
        </w:tabs>
        <w:spacing w:line="240" w:lineRule="auto" w:before="120" w:after="0"/>
        <w:ind w:left="1918" w:right="0" w:hanging="567"/>
        <w:jc w:val="both"/>
        <w:rPr>
          <w:sz w:val="24"/>
        </w:rPr>
      </w:pPr>
      <w:r>
        <w:rPr>
          <w:sz w:val="24"/>
        </w:rPr>
        <w:t>protected against</w:t>
      </w:r>
      <w:r>
        <w:rPr>
          <w:spacing w:val="-1"/>
          <w:sz w:val="24"/>
        </w:rPr>
        <w:t> </w:t>
      </w:r>
      <w:r>
        <w:rPr>
          <w:sz w:val="24"/>
        </w:rPr>
        <w:t>damage;</w:t>
      </w:r>
    </w:p>
    <w:p>
      <w:pPr>
        <w:pStyle w:val="ListParagraph"/>
        <w:numPr>
          <w:ilvl w:val="0"/>
          <w:numId w:val="555"/>
        </w:numPr>
        <w:tabs>
          <w:tab w:pos="1919" w:val="left" w:leader="none"/>
        </w:tabs>
        <w:spacing w:line="240" w:lineRule="auto" w:before="120" w:after="0"/>
        <w:ind w:left="1919" w:right="414" w:hanging="567"/>
        <w:jc w:val="both"/>
        <w:rPr>
          <w:sz w:val="24"/>
        </w:rPr>
      </w:pPr>
      <w:r>
        <w:rPr>
          <w:sz w:val="24"/>
        </w:rPr>
        <w:t>installed in such a way that it allows safe and unimpeded access to the </w:t>
      </w:r>
      <w:r>
        <w:rPr>
          <w:i/>
          <w:sz w:val="24"/>
        </w:rPr>
        <w:t>retail </w:t>
      </w:r>
      <w:r>
        <w:rPr>
          <w:i/>
          <w:sz w:val="24"/>
        </w:rPr>
        <w:t>customer </w:t>
      </w:r>
      <w:r>
        <w:rPr>
          <w:sz w:val="24"/>
        </w:rPr>
        <w:t>or any person whose obligation it is to test, adjust,</w:t>
      </w:r>
      <w:r>
        <w:rPr>
          <w:spacing w:val="43"/>
          <w:sz w:val="24"/>
        </w:rPr>
        <w:t> </w:t>
      </w:r>
      <w:r>
        <w:rPr>
          <w:sz w:val="24"/>
        </w:rPr>
        <w:t>maintain, repair, or replace the </w:t>
      </w:r>
      <w:r>
        <w:rPr>
          <w:i/>
          <w:sz w:val="24"/>
        </w:rPr>
        <w:t>metering installation</w:t>
      </w:r>
      <w:r>
        <w:rPr>
          <w:sz w:val="24"/>
        </w:rPr>
        <w:t>, or to collect </w:t>
      </w:r>
      <w:r>
        <w:rPr>
          <w:i/>
          <w:sz w:val="24"/>
        </w:rPr>
        <w:t>metering data </w:t>
      </w:r>
      <w:r>
        <w:rPr>
          <w:sz w:val="24"/>
        </w:rPr>
        <w:t>from the </w:t>
      </w:r>
      <w:r>
        <w:rPr>
          <w:i/>
          <w:sz w:val="24"/>
        </w:rPr>
        <w:t>metering installation</w:t>
      </w:r>
      <w:r>
        <w:rPr>
          <w:sz w:val="24"/>
        </w:rPr>
        <w:t>;</w:t>
      </w:r>
      <w:r>
        <w:rPr>
          <w:spacing w:val="-1"/>
          <w:sz w:val="24"/>
        </w:rPr>
        <w:t> </w:t>
      </w:r>
      <w:r>
        <w:rPr>
          <w:sz w:val="24"/>
        </w:rPr>
        <w:t>and</w:t>
      </w:r>
    </w:p>
    <w:p>
      <w:pPr>
        <w:pStyle w:val="ListParagraph"/>
        <w:numPr>
          <w:ilvl w:val="0"/>
          <w:numId w:val="555"/>
        </w:numPr>
        <w:tabs>
          <w:tab w:pos="1919" w:val="left" w:leader="none"/>
        </w:tabs>
        <w:spacing w:line="240" w:lineRule="auto" w:before="120" w:after="0"/>
        <w:ind w:left="1919" w:right="415" w:hanging="567"/>
        <w:jc w:val="both"/>
        <w:rPr>
          <w:sz w:val="24"/>
        </w:rPr>
      </w:pPr>
      <w:r>
        <w:rPr>
          <w:sz w:val="24"/>
        </w:rPr>
        <w:t>available to the </w:t>
      </w:r>
      <w:r>
        <w:rPr>
          <w:i/>
          <w:sz w:val="24"/>
        </w:rPr>
        <w:t>retail customer </w:t>
      </w:r>
      <w:r>
        <w:rPr>
          <w:sz w:val="24"/>
        </w:rPr>
        <w:t>or any person whose obligation it is to test, adjust, maintain, repair, or replace the </w:t>
      </w:r>
      <w:r>
        <w:rPr>
          <w:i/>
          <w:sz w:val="24"/>
        </w:rPr>
        <w:t>metering installation</w:t>
      </w:r>
      <w:r>
        <w:rPr>
          <w:sz w:val="24"/>
        </w:rPr>
        <w:t>, or to collect </w:t>
      </w:r>
      <w:r>
        <w:rPr>
          <w:i/>
          <w:sz w:val="24"/>
        </w:rPr>
        <w:t>metering data </w:t>
      </w:r>
      <w:r>
        <w:rPr>
          <w:sz w:val="24"/>
        </w:rPr>
        <w:t>from the </w:t>
      </w:r>
      <w:r>
        <w:rPr>
          <w:i/>
          <w:sz w:val="24"/>
        </w:rPr>
        <w:t>metering installation </w:t>
      </w:r>
      <w:r>
        <w:rPr>
          <w:sz w:val="24"/>
        </w:rPr>
        <w:t>via safe, convenient and unhindered access when it is not located at the</w:t>
      </w:r>
      <w:r>
        <w:rPr>
          <w:spacing w:val="-4"/>
          <w:sz w:val="24"/>
        </w:rPr>
        <w:t> </w:t>
      </w:r>
      <w:r>
        <w:rPr>
          <w:sz w:val="24"/>
        </w:rPr>
        <w:t>site.</w:t>
      </w:r>
    </w:p>
    <w:p>
      <w:pPr>
        <w:pStyle w:val="BodyText"/>
        <w:spacing w:before="10"/>
        <w:ind w:firstLine="0"/>
        <w:jc w:val="left"/>
        <w:rPr>
          <w:sz w:val="20"/>
        </w:rPr>
      </w:pPr>
    </w:p>
    <w:p>
      <w:pPr>
        <w:pStyle w:val="Heading4"/>
        <w:ind w:left="218" w:firstLine="0"/>
      </w:pPr>
      <w:bookmarkStart w:name="S7A.7.4.2 Type 4A, 5 and 6 metering inst" w:id="1975"/>
      <w:bookmarkEnd w:id="1975"/>
      <w:r>
        <w:rPr>
          <w:b w:val="0"/>
        </w:rPr>
      </w:r>
      <w:bookmarkStart w:name="_bookmark812" w:id="1976"/>
      <w:bookmarkEnd w:id="1976"/>
      <w:r>
        <w:rPr>
          <w:b w:val="0"/>
        </w:rPr>
      </w:r>
      <w:r>
        <w:rPr/>
        <w:t>S7A.7.4.2 Type 4A, 5 and 6 metering installations</w:t>
      </w:r>
    </w:p>
    <w:p>
      <w:pPr>
        <w:pStyle w:val="BodyText"/>
        <w:ind w:left="1352" w:right="415" w:firstLine="0"/>
      </w:pPr>
      <w:r>
        <w:rPr/>
        <w:t>The </w:t>
      </w:r>
      <w:r>
        <w:rPr>
          <w:i/>
        </w:rPr>
        <w:t>Metering Coordinator </w:t>
      </w:r>
      <w:r>
        <w:rPr/>
        <w:t>must ensure that when each type 4A, 5 or 6 </w:t>
      </w:r>
      <w:r>
        <w:rPr>
          <w:i/>
        </w:rPr>
        <w:t>metering </w:t>
      </w:r>
      <w:r>
        <w:rPr>
          <w:i/>
        </w:rPr>
        <w:t>installation </w:t>
      </w:r>
      <w:r>
        <w:rPr/>
        <w:t>is installed at a </w:t>
      </w:r>
      <w:r>
        <w:rPr>
          <w:i/>
        </w:rPr>
        <w:t>connection point</w:t>
      </w:r>
      <w:r>
        <w:rPr/>
        <w:t>, it is checked such that it has the optical port, communications port and visual display located so that the optical port, communications port, or visual display can be readily accessed for meter reading.</w:t>
      </w:r>
    </w:p>
    <w:p>
      <w:pPr>
        <w:pStyle w:val="BodyText"/>
        <w:spacing w:before="10"/>
        <w:ind w:firstLine="0"/>
        <w:jc w:val="left"/>
        <w:rPr>
          <w:sz w:val="20"/>
        </w:rPr>
      </w:pPr>
    </w:p>
    <w:p>
      <w:pPr>
        <w:pStyle w:val="Heading4"/>
        <w:ind w:left="1352" w:right="709"/>
      </w:pPr>
      <w:bookmarkStart w:name="S7A.7.4.3 Preliminary de-commissioning a" w:id="1977"/>
      <w:bookmarkEnd w:id="1977"/>
      <w:r>
        <w:rPr>
          <w:b w:val="0"/>
        </w:rPr>
      </w:r>
      <w:bookmarkStart w:name="_bookmark813" w:id="1978"/>
      <w:bookmarkEnd w:id="1978"/>
      <w:r>
        <w:rPr>
          <w:b w:val="0"/>
        </w:rPr>
      </w:r>
      <w:r>
        <w:rPr/>
        <w:t>S7A.7.4.3 Preliminary de-commissioning and removal of metering equipment requirements</w:t>
      </w:r>
    </w:p>
    <w:p>
      <w:pPr>
        <w:pStyle w:val="ListParagraph"/>
        <w:numPr>
          <w:ilvl w:val="0"/>
          <w:numId w:val="556"/>
        </w:numPr>
        <w:tabs>
          <w:tab w:pos="1919" w:val="left" w:leader="none"/>
        </w:tabs>
        <w:spacing w:line="240" w:lineRule="auto" w:before="120" w:after="0"/>
        <w:ind w:left="1918" w:right="0" w:hanging="567"/>
        <w:jc w:val="both"/>
        <w:rPr>
          <w:i/>
          <w:sz w:val="24"/>
        </w:rPr>
      </w:pPr>
      <w:r>
        <w:rPr>
          <w:sz w:val="24"/>
        </w:rPr>
        <w:t>Before de-commissioning all or any part of an existing </w:t>
      </w:r>
      <w:r>
        <w:rPr>
          <w:i/>
          <w:sz w:val="24"/>
        </w:rPr>
        <w:t>metering</w:t>
      </w:r>
      <w:r>
        <w:rPr>
          <w:i/>
          <w:spacing w:val="48"/>
          <w:sz w:val="24"/>
        </w:rPr>
        <w:t> </w:t>
      </w:r>
      <w:r>
        <w:rPr>
          <w:i/>
          <w:sz w:val="24"/>
        </w:rPr>
        <w:t>installation</w:t>
      </w:r>
    </w:p>
    <w:p>
      <w:pPr>
        <w:spacing w:before="0"/>
        <w:ind w:left="1919" w:right="0" w:firstLine="0"/>
        <w:jc w:val="both"/>
        <w:rPr>
          <w:sz w:val="24"/>
        </w:rPr>
      </w:pPr>
      <w:r>
        <w:rPr>
          <w:sz w:val="24"/>
        </w:rPr>
        <w:t>the </w:t>
      </w:r>
      <w:r>
        <w:rPr>
          <w:i/>
          <w:sz w:val="24"/>
        </w:rPr>
        <w:t>Metering Provider </w:t>
      </w:r>
      <w:r>
        <w:rPr>
          <w:sz w:val="24"/>
        </w:rPr>
        <w:t>undertaking the work must ensure that:</w:t>
      </w:r>
    </w:p>
    <w:p>
      <w:pPr>
        <w:pStyle w:val="ListParagraph"/>
        <w:numPr>
          <w:ilvl w:val="1"/>
          <w:numId w:val="556"/>
        </w:numPr>
        <w:tabs>
          <w:tab w:pos="2486" w:val="left" w:leader="none"/>
        </w:tabs>
        <w:spacing w:line="240" w:lineRule="auto" w:before="120" w:after="0"/>
        <w:ind w:left="2486" w:right="414" w:hanging="567"/>
        <w:jc w:val="both"/>
        <w:rPr>
          <w:sz w:val="24"/>
        </w:rPr>
      </w:pPr>
      <w:r>
        <w:rPr>
          <w:sz w:val="24"/>
        </w:rPr>
        <w:t>arrangements are put in place to ensure a final reading is taken at the time of de-commissioning of all </w:t>
      </w:r>
      <w:r>
        <w:rPr>
          <w:i/>
          <w:sz w:val="24"/>
        </w:rPr>
        <w:t>metering data </w:t>
      </w:r>
      <w:r>
        <w:rPr>
          <w:sz w:val="24"/>
        </w:rPr>
        <w:t>maintained in the existing </w:t>
      </w:r>
      <w:r>
        <w:rPr>
          <w:i/>
          <w:sz w:val="24"/>
        </w:rPr>
        <w:t>meter</w:t>
      </w:r>
      <w:r>
        <w:rPr>
          <w:sz w:val="24"/>
        </w:rPr>
        <w:t>;</w:t>
      </w:r>
      <w:r>
        <w:rPr>
          <w:spacing w:val="-1"/>
          <w:sz w:val="24"/>
        </w:rPr>
        <w:t> </w:t>
      </w:r>
      <w:r>
        <w:rPr>
          <w:sz w:val="24"/>
        </w:rPr>
        <w:t>and</w:t>
      </w:r>
    </w:p>
    <w:p>
      <w:pPr>
        <w:pStyle w:val="ListParagraph"/>
        <w:numPr>
          <w:ilvl w:val="1"/>
          <w:numId w:val="556"/>
        </w:numPr>
        <w:tabs>
          <w:tab w:pos="2486" w:val="left" w:leader="none"/>
        </w:tabs>
        <w:spacing w:line="240" w:lineRule="auto" w:before="120" w:after="0"/>
        <w:ind w:left="2486" w:right="414" w:hanging="567"/>
        <w:jc w:val="both"/>
        <w:rPr>
          <w:sz w:val="24"/>
        </w:rPr>
      </w:pPr>
      <w:r>
        <w:rPr>
          <w:sz w:val="24"/>
        </w:rPr>
        <w:t>the ownership of the existing </w:t>
      </w:r>
      <w:r>
        <w:rPr>
          <w:i/>
          <w:sz w:val="24"/>
        </w:rPr>
        <w:t>meter </w:t>
      </w:r>
      <w:r>
        <w:rPr>
          <w:sz w:val="24"/>
        </w:rPr>
        <w:t>is ascertained and arrangements made for the </w:t>
      </w:r>
      <w:r>
        <w:rPr>
          <w:i/>
          <w:sz w:val="24"/>
        </w:rPr>
        <w:t>meter </w:t>
      </w:r>
      <w:r>
        <w:rPr>
          <w:sz w:val="24"/>
        </w:rPr>
        <w:t>to be returned to its owner within 10 </w:t>
      </w:r>
      <w:r>
        <w:rPr>
          <w:i/>
          <w:sz w:val="24"/>
        </w:rPr>
        <w:t>business days </w:t>
      </w:r>
      <w:r>
        <w:rPr>
          <w:sz w:val="24"/>
        </w:rPr>
        <w:t>unless otherwise agreed with the asset</w:t>
      </w:r>
      <w:r>
        <w:rPr>
          <w:spacing w:val="-2"/>
          <w:sz w:val="24"/>
        </w:rPr>
        <w:t> </w:t>
      </w:r>
      <w:r>
        <w:rPr>
          <w:sz w:val="24"/>
        </w:rPr>
        <w:t>owner.</w:t>
      </w:r>
    </w:p>
    <w:p>
      <w:pPr>
        <w:pStyle w:val="ListParagraph"/>
        <w:numPr>
          <w:ilvl w:val="0"/>
          <w:numId w:val="556"/>
        </w:numPr>
        <w:tabs>
          <w:tab w:pos="1919" w:val="left" w:leader="none"/>
        </w:tabs>
        <w:spacing w:line="240" w:lineRule="auto" w:before="120" w:after="0"/>
        <w:ind w:left="1919" w:right="414" w:hanging="567"/>
        <w:jc w:val="both"/>
        <w:rPr>
          <w:sz w:val="24"/>
        </w:rPr>
      </w:pPr>
      <w:r>
        <w:rPr>
          <w:sz w:val="24"/>
        </w:rPr>
        <w:t>Where the </w:t>
      </w:r>
      <w:r>
        <w:rPr>
          <w:i/>
          <w:sz w:val="24"/>
        </w:rPr>
        <w:t>metering data </w:t>
      </w:r>
      <w:r>
        <w:rPr>
          <w:sz w:val="24"/>
        </w:rPr>
        <w:t>from the final reading is not transferred to the relevant </w:t>
      </w:r>
      <w:r>
        <w:rPr>
          <w:i/>
          <w:sz w:val="24"/>
        </w:rPr>
        <w:t>Metering Data Provider </w:t>
      </w:r>
      <w:r>
        <w:rPr>
          <w:sz w:val="24"/>
        </w:rPr>
        <w:t>at the time of de- commissioning, the owner must ensure the </w:t>
      </w:r>
      <w:r>
        <w:rPr>
          <w:i/>
          <w:sz w:val="24"/>
        </w:rPr>
        <w:t>metering data </w:t>
      </w:r>
      <w:r>
        <w:rPr>
          <w:sz w:val="24"/>
        </w:rPr>
        <w:t>or final reading (as applicable), </w:t>
      </w:r>
      <w:r>
        <w:rPr>
          <w:spacing w:val="-6"/>
          <w:sz w:val="24"/>
        </w:rPr>
        <w:t>is </w:t>
      </w:r>
      <w:r>
        <w:rPr>
          <w:sz w:val="24"/>
        </w:rPr>
        <w:t>provided to that </w:t>
      </w:r>
      <w:r>
        <w:rPr>
          <w:i/>
          <w:sz w:val="24"/>
        </w:rPr>
        <w:t>Metering Data Provider </w:t>
      </w:r>
      <w:r>
        <w:rPr>
          <w:sz w:val="24"/>
        </w:rPr>
        <w:t>within 2 </w:t>
      </w:r>
      <w:r>
        <w:rPr>
          <w:i/>
          <w:sz w:val="24"/>
        </w:rPr>
        <w:t>business days </w:t>
      </w:r>
      <w:r>
        <w:rPr>
          <w:sz w:val="24"/>
        </w:rPr>
        <w:t>of receipt  of the</w:t>
      </w:r>
      <w:r>
        <w:rPr>
          <w:spacing w:val="-1"/>
          <w:sz w:val="24"/>
        </w:rPr>
        <w:t> </w:t>
      </w:r>
      <w:r>
        <w:rPr>
          <w:i/>
          <w:sz w:val="24"/>
        </w:rPr>
        <w:t>meter</w:t>
      </w:r>
      <w:r>
        <w:rPr>
          <w:sz w:val="24"/>
        </w:rPr>
        <w:t>.</w:t>
      </w:r>
    </w:p>
    <w:p>
      <w:pPr>
        <w:pStyle w:val="BodyText"/>
        <w:spacing w:before="10"/>
        <w:ind w:firstLine="0"/>
        <w:jc w:val="left"/>
        <w:rPr>
          <w:sz w:val="12"/>
        </w:rPr>
      </w:pPr>
    </w:p>
    <w:p>
      <w:pPr>
        <w:spacing w:after="0"/>
        <w:jc w:val="left"/>
        <w:rPr>
          <w:sz w:val="12"/>
        </w:rPr>
        <w:sectPr>
          <w:pgSz w:w="11910" w:h="16840"/>
          <w:pgMar w:header="686" w:footer="637" w:top="1320" w:bottom="820" w:left="1200" w:right="1000"/>
        </w:sectPr>
      </w:pPr>
    </w:p>
    <w:p>
      <w:pPr>
        <w:pStyle w:val="Heading4"/>
        <w:spacing w:before="92"/>
        <w:ind w:left="218" w:firstLine="0"/>
      </w:pPr>
      <w:bookmarkStart w:name="S7A.7.4.4" w:id="1979"/>
      <w:bookmarkEnd w:id="1979"/>
      <w:r>
        <w:rPr>
          <w:b w:val="0"/>
        </w:rPr>
      </w:r>
      <w:bookmarkStart w:name="_bookmark814" w:id="1980"/>
      <w:bookmarkEnd w:id="1980"/>
      <w:r>
        <w:rPr>
          <w:b w:val="0"/>
        </w:rPr>
      </w:r>
      <w:r>
        <w:rPr/>
        <w:t>S7A.7.4.4</w:t>
      </w:r>
    </w:p>
    <w:p>
      <w:pPr>
        <w:pStyle w:val="BodyText"/>
        <w:spacing w:before="0"/>
        <w:ind w:firstLine="0"/>
        <w:jc w:val="left"/>
        <w:rPr>
          <w:rFonts w:ascii="Arial"/>
          <w:b/>
          <w:sz w:val="22"/>
        </w:rPr>
      </w:pPr>
      <w:r>
        <w:rPr/>
        <w:br w:type="column"/>
      </w:r>
      <w:r>
        <w:rPr>
          <w:rFonts w:ascii="Arial"/>
          <w:b/>
          <w:sz w:val="22"/>
        </w:rPr>
      </w:r>
    </w:p>
    <w:p>
      <w:pPr>
        <w:pStyle w:val="BodyText"/>
        <w:spacing w:before="5"/>
        <w:ind w:firstLine="0"/>
        <w:jc w:val="left"/>
        <w:rPr>
          <w:rFonts w:ascii="Arial"/>
          <w:b/>
          <w:sz w:val="20"/>
        </w:rPr>
      </w:pPr>
    </w:p>
    <w:p>
      <w:pPr>
        <w:spacing w:before="0"/>
        <w:ind w:left="218" w:right="0" w:firstLine="0"/>
        <w:jc w:val="left"/>
        <w:rPr>
          <w:rFonts w:ascii="Arial"/>
          <w:b/>
          <w:sz w:val="20"/>
        </w:rPr>
      </w:pPr>
      <w:r>
        <w:rPr>
          <w:rFonts w:ascii="Arial"/>
          <w:b/>
          <w:sz w:val="20"/>
        </w:rPr>
        <w:t>Note</w:t>
      </w:r>
    </w:p>
    <w:p>
      <w:pPr>
        <w:spacing w:before="120"/>
        <w:ind w:left="218" w:right="443" w:firstLine="0"/>
        <w:jc w:val="left"/>
        <w:rPr>
          <w:sz w:val="20"/>
        </w:rPr>
      </w:pPr>
      <w:r>
        <w:rPr>
          <w:sz w:val="20"/>
        </w:rPr>
        <w:t>No requirements are included in this clause for this jurisdiction at this stage. The clause may be used as part of the phased implementation of the </w:t>
      </w:r>
      <w:r>
        <w:rPr>
          <w:i/>
          <w:sz w:val="20"/>
        </w:rPr>
        <w:t>Rules </w:t>
      </w:r>
      <w:r>
        <w:rPr>
          <w:sz w:val="20"/>
        </w:rPr>
        <w:t>in this</w:t>
      </w:r>
      <w:r>
        <w:rPr>
          <w:spacing w:val="-4"/>
          <w:sz w:val="20"/>
        </w:rPr>
        <w:t> </w:t>
      </w:r>
      <w:r>
        <w:rPr>
          <w:sz w:val="20"/>
        </w:rPr>
        <w:t>jurisdiction.</w:t>
      </w:r>
    </w:p>
    <w:p>
      <w:pPr>
        <w:spacing w:after="0"/>
        <w:jc w:val="left"/>
        <w:rPr>
          <w:sz w:val="20"/>
        </w:rPr>
        <w:sectPr>
          <w:type w:val="continuous"/>
          <w:pgSz w:w="11910" w:h="16840"/>
          <w:pgMar w:top="1360" w:bottom="280" w:left="1200" w:right="1000"/>
          <w:cols w:num="2" w:equalWidth="0">
            <w:col w:w="1326" w:space="375"/>
            <w:col w:w="8009"/>
          </w:cols>
        </w:sectPr>
      </w:pPr>
    </w:p>
    <w:p>
      <w:pPr>
        <w:pStyle w:val="Heading4"/>
        <w:spacing w:before="83"/>
        <w:ind w:left="218" w:firstLine="0"/>
      </w:pPr>
      <w:bookmarkStart w:name="S7A.7.5" w:id="1981"/>
      <w:bookmarkEnd w:id="1981"/>
      <w:r>
        <w:rPr>
          <w:b w:val="0"/>
        </w:rPr>
      </w:r>
      <w:bookmarkStart w:name="_bookmark815" w:id="1982"/>
      <w:bookmarkEnd w:id="1982"/>
      <w:r>
        <w:rPr>
          <w:b w:val="0"/>
        </w:rPr>
      </w:r>
      <w:r>
        <w:rPr/>
        <w:t>S7A.7.5</w:t>
      </w:r>
    </w:p>
    <w:p>
      <w:pPr>
        <w:pStyle w:val="BodyText"/>
        <w:spacing w:before="0"/>
        <w:ind w:firstLine="0"/>
        <w:jc w:val="left"/>
        <w:rPr>
          <w:rFonts w:ascii="Arial"/>
          <w:b/>
          <w:sz w:val="22"/>
        </w:rPr>
      </w:pPr>
      <w:r>
        <w:rPr/>
        <w:br w:type="column"/>
      </w:r>
      <w:r>
        <w:rPr>
          <w:rFonts w:ascii="Arial"/>
          <w:b/>
          <w:sz w:val="22"/>
        </w:rPr>
      </w:r>
    </w:p>
    <w:p>
      <w:pPr>
        <w:pStyle w:val="BodyText"/>
        <w:spacing w:before="7"/>
        <w:ind w:firstLine="0"/>
        <w:jc w:val="left"/>
        <w:rPr>
          <w:rFonts w:ascii="Arial"/>
          <w:b/>
          <w:sz w:val="19"/>
        </w:rPr>
      </w:pPr>
    </w:p>
    <w:p>
      <w:pPr>
        <w:spacing w:before="1"/>
        <w:ind w:left="218" w:right="0" w:firstLine="0"/>
        <w:jc w:val="left"/>
        <w:rPr>
          <w:rFonts w:ascii="Arial"/>
          <w:b/>
          <w:sz w:val="20"/>
        </w:rPr>
      </w:pPr>
      <w:r>
        <w:rPr>
          <w:rFonts w:ascii="Arial"/>
          <w:b/>
          <w:sz w:val="20"/>
        </w:rPr>
        <w:t>Note</w:t>
      </w:r>
    </w:p>
    <w:p>
      <w:pPr>
        <w:spacing w:before="120"/>
        <w:ind w:left="218" w:right="443" w:firstLine="0"/>
        <w:jc w:val="left"/>
        <w:rPr>
          <w:sz w:val="20"/>
        </w:rPr>
      </w:pPr>
      <w:r>
        <w:rPr>
          <w:sz w:val="20"/>
        </w:rPr>
        <w:t>No requirements are included in this clause for this jurisdiction at this stage. The clause may be used as part of the phased implementation of the </w:t>
      </w:r>
      <w:r>
        <w:rPr>
          <w:i/>
          <w:sz w:val="20"/>
        </w:rPr>
        <w:t>Rules </w:t>
      </w:r>
      <w:r>
        <w:rPr>
          <w:sz w:val="20"/>
        </w:rPr>
        <w:t>in this</w:t>
      </w:r>
      <w:r>
        <w:rPr>
          <w:spacing w:val="-4"/>
          <w:sz w:val="20"/>
        </w:rPr>
        <w:t> </w:t>
      </w:r>
      <w:r>
        <w:rPr>
          <w:sz w:val="20"/>
        </w:rPr>
        <w:t>jurisdiction.</w:t>
      </w:r>
    </w:p>
    <w:p>
      <w:pPr>
        <w:spacing w:after="0"/>
        <w:jc w:val="left"/>
        <w:rPr>
          <w:sz w:val="20"/>
        </w:rPr>
        <w:sectPr>
          <w:pgSz w:w="11910" w:h="16840"/>
          <w:pgMar w:header="686" w:footer="637" w:top="1320" w:bottom="820" w:left="1200" w:right="1000"/>
          <w:cols w:num="2" w:equalWidth="0">
            <w:col w:w="1126" w:space="575"/>
            <w:col w:w="8009"/>
          </w:cols>
        </w:sectPr>
      </w:pPr>
    </w:p>
    <w:p>
      <w:pPr>
        <w:pStyle w:val="BodyText"/>
        <w:spacing w:before="9"/>
        <w:ind w:firstLine="0"/>
        <w:jc w:val="left"/>
        <w:rPr>
          <w:sz w:val="12"/>
        </w:rPr>
      </w:pPr>
    </w:p>
    <w:p>
      <w:pPr>
        <w:pStyle w:val="Heading4"/>
        <w:tabs>
          <w:tab w:pos="1351" w:val="left" w:leader="none"/>
        </w:tabs>
        <w:spacing w:before="93"/>
        <w:ind w:left="218" w:firstLine="0"/>
      </w:pPr>
      <w:bookmarkStart w:name="S7A.7.6 Responsibility for metering data" w:id="1983"/>
      <w:bookmarkEnd w:id="1983"/>
      <w:r>
        <w:rPr>
          <w:b w:val="0"/>
        </w:rPr>
      </w:r>
      <w:bookmarkStart w:name="_bookmark816" w:id="1984"/>
      <w:bookmarkEnd w:id="1984"/>
      <w:r>
        <w:rPr>
          <w:b w:val="0"/>
        </w:rPr>
      </w:r>
      <w:r>
        <w:rPr/>
        <w:t>S7A.7.6</w:t>
        <w:tab/>
        <w:t>Responsibility for metering data</w:t>
      </w:r>
      <w:r>
        <w:rPr>
          <w:spacing w:val="-2"/>
        </w:rPr>
        <w:t> </w:t>
      </w:r>
      <w:r>
        <w:rPr/>
        <w:t>services</w:t>
      </w:r>
    </w:p>
    <w:p>
      <w:pPr>
        <w:pStyle w:val="BodyText"/>
        <w:spacing w:before="10"/>
        <w:ind w:firstLine="0"/>
        <w:jc w:val="left"/>
        <w:rPr>
          <w:rFonts w:ascii="Arial"/>
          <w:b/>
          <w:sz w:val="20"/>
        </w:rPr>
      </w:pPr>
    </w:p>
    <w:p>
      <w:pPr>
        <w:pStyle w:val="Heading4"/>
        <w:ind w:left="218" w:firstLine="0"/>
      </w:pPr>
      <w:bookmarkStart w:name="S7A.7.6.1 Metering data storage" w:id="1985"/>
      <w:bookmarkEnd w:id="1985"/>
      <w:r>
        <w:rPr>
          <w:b w:val="0"/>
        </w:rPr>
      </w:r>
      <w:bookmarkStart w:name="_bookmark817" w:id="1986"/>
      <w:bookmarkEnd w:id="1986"/>
      <w:r>
        <w:rPr>
          <w:b w:val="0"/>
        </w:rPr>
      </w:r>
      <w:r>
        <w:rPr/>
        <w:t>S7A.7.6.1 Metering data storage</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No requirements are included in this clause for this jurisdiction at this stage. The clause may be used as part of the phased implementation of the </w:t>
      </w:r>
      <w:r>
        <w:rPr>
          <w:i/>
          <w:sz w:val="20"/>
        </w:rPr>
        <w:t>Rules </w:t>
      </w:r>
      <w:r>
        <w:rPr>
          <w:sz w:val="20"/>
        </w:rPr>
        <w:t>in this</w:t>
      </w:r>
      <w:r>
        <w:rPr>
          <w:spacing w:val="-4"/>
          <w:sz w:val="20"/>
        </w:rPr>
        <w:t> </w:t>
      </w:r>
      <w:r>
        <w:rPr>
          <w:sz w:val="20"/>
        </w:rPr>
        <w:t>jurisdiction.</w:t>
      </w:r>
    </w:p>
    <w:p>
      <w:pPr>
        <w:pStyle w:val="BodyText"/>
        <w:spacing w:before="10"/>
        <w:ind w:firstLine="0"/>
        <w:jc w:val="left"/>
        <w:rPr>
          <w:sz w:val="20"/>
        </w:rPr>
      </w:pPr>
    </w:p>
    <w:p>
      <w:pPr>
        <w:pStyle w:val="Heading4"/>
        <w:ind w:left="218" w:firstLine="0"/>
      </w:pPr>
      <w:bookmarkStart w:name="S7A.7.6.2 Verification of metering data " w:id="1987"/>
      <w:bookmarkEnd w:id="1987"/>
      <w:r>
        <w:rPr>
          <w:b w:val="0"/>
        </w:rPr>
      </w:r>
      <w:bookmarkStart w:name="_bookmark818" w:id="1988"/>
      <w:bookmarkEnd w:id="1988"/>
      <w:r>
        <w:rPr>
          <w:b w:val="0"/>
        </w:rPr>
      </w:r>
      <w:r>
        <w:rPr/>
        <w:t>S7A.7.6.2 Verification of metering data for type 4, 4A, 5, 6 and 7 installations</w:t>
      </w:r>
    </w:p>
    <w:p>
      <w:pPr>
        <w:spacing w:before="120"/>
        <w:ind w:left="1352" w:right="416" w:firstLine="0"/>
        <w:jc w:val="both"/>
        <w:rPr>
          <w:sz w:val="24"/>
        </w:rPr>
      </w:pPr>
      <w:r>
        <w:rPr>
          <w:sz w:val="24"/>
        </w:rPr>
        <w:t>To facilitate the verification of </w:t>
      </w:r>
      <w:r>
        <w:rPr>
          <w:i/>
          <w:sz w:val="24"/>
        </w:rPr>
        <w:t>metering data </w:t>
      </w:r>
      <w:r>
        <w:rPr>
          <w:sz w:val="24"/>
        </w:rPr>
        <w:t>for type 4, 4A, 5, 6 and 7 </w:t>
      </w:r>
      <w:r>
        <w:rPr>
          <w:i/>
          <w:sz w:val="24"/>
        </w:rPr>
        <w:t>metering </w:t>
      </w:r>
      <w:r>
        <w:rPr>
          <w:i/>
          <w:sz w:val="24"/>
        </w:rPr>
        <w:t>installations</w:t>
      </w:r>
      <w:r>
        <w:rPr>
          <w:sz w:val="24"/>
        </w:rPr>
        <w:t>:</w:t>
      </w:r>
    </w:p>
    <w:p>
      <w:pPr>
        <w:pStyle w:val="ListParagraph"/>
        <w:numPr>
          <w:ilvl w:val="0"/>
          <w:numId w:val="557"/>
        </w:numPr>
        <w:tabs>
          <w:tab w:pos="1919" w:val="left" w:leader="none"/>
        </w:tabs>
        <w:spacing w:line="240" w:lineRule="auto" w:before="120" w:after="0"/>
        <w:ind w:left="1919" w:right="414" w:hanging="567"/>
        <w:jc w:val="both"/>
        <w:rPr>
          <w:sz w:val="24"/>
        </w:rPr>
      </w:pPr>
      <w:r>
        <w:rPr>
          <w:sz w:val="24"/>
        </w:rPr>
        <w:t>each </w:t>
      </w:r>
      <w:r>
        <w:rPr>
          <w:i/>
          <w:sz w:val="24"/>
        </w:rPr>
        <w:t>Metering Coordinator </w:t>
      </w:r>
      <w:r>
        <w:rPr>
          <w:sz w:val="24"/>
        </w:rPr>
        <w:t>must ensure that a Sample Test Plan is established and maintained in accordance with </w:t>
      </w:r>
      <w:r>
        <w:rPr>
          <w:i/>
          <w:sz w:val="24"/>
        </w:rPr>
        <w:t>Australian Standards</w:t>
      </w:r>
      <w:r>
        <w:rPr>
          <w:sz w:val="24"/>
        </w:rPr>
        <w:t>"AS 1199: Sampling procedures for inspection by attributes – Sampling schemes indexed by acceptance quality limit (AQL) for lot-by-lot inspection" or "AS 2490: Sampling Procedures and Charts for Inspection by Variables for Percent Nonconforming" to validate that all </w:t>
      </w:r>
      <w:r>
        <w:rPr>
          <w:i/>
          <w:sz w:val="24"/>
        </w:rPr>
        <w:t>metering data </w:t>
      </w:r>
      <w:r>
        <w:rPr>
          <w:sz w:val="24"/>
        </w:rPr>
        <w:t>stored in the </w:t>
      </w:r>
      <w:r>
        <w:rPr>
          <w:i/>
          <w:sz w:val="24"/>
        </w:rPr>
        <w:t>metering data services database </w:t>
      </w:r>
      <w:r>
        <w:rPr>
          <w:sz w:val="24"/>
        </w:rPr>
        <w:t>is consistent with the </w:t>
      </w:r>
      <w:r>
        <w:rPr>
          <w:i/>
          <w:sz w:val="24"/>
        </w:rPr>
        <w:t>energy data </w:t>
      </w:r>
      <w:r>
        <w:rPr>
          <w:sz w:val="24"/>
        </w:rPr>
        <w:t>stored in the </w:t>
      </w:r>
      <w:r>
        <w:rPr>
          <w:i/>
          <w:sz w:val="24"/>
        </w:rPr>
        <w:t>metering installation </w:t>
      </w:r>
      <w:r>
        <w:rPr>
          <w:sz w:val="24"/>
        </w:rPr>
        <w:t>or the physical inventory (as</w:t>
      </w:r>
      <w:r>
        <w:rPr>
          <w:spacing w:val="-3"/>
          <w:sz w:val="24"/>
        </w:rPr>
        <w:t> </w:t>
      </w:r>
      <w:r>
        <w:rPr>
          <w:sz w:val="24"/>
        </w:rPr>
        <w:t>applicable);</w:t>
      </w:r>
    </w:p>
    <w:p>
      <w:pPr>
        <w:pStyle w:val="ListParagraph"/>
        <w:numPr>
          <w:ilvl w:val="0"/>
          <w:numId w:val="557"/>
        </w:numPr>
        <w:tabs>
          <w:tab w:pos="1919" w:val="left" w:leader="none"/>
        </w:tabs>
        <w:spacing w:line="240" w:lineRule="auto" w:before="120" w:after="0"/>
        <w:ind w:left="1919" w:right="415" w:hanging="567"/>
        <w:jc w:val="both"/>
        <w:rPr>
          <w:sz w:val="24"/>
        </w:rPr>
      </w:pPr>
      <w:r>
        <w:rPr>
          <w:sz w:val="24"/>
        </w:rPr>
        <w:t>verification tests must be conducted in accordance with the Sample Test Plan, which must not be less than once every 12</w:t>
      </w:r>
      <w:r>
        <w:rPr>
          <w:spacing w:val="-7"/>
          <w:sz w:val="24"/>
        </w:rPr>
        <w:t> </w:t>
      </w:r>
      <w:r>
        <w:rPr>
          <w:sz w:val="24"/>
        </w:rPr>
        <w:t>months;</w:t>
      </w:r>
    </w:p>
    <w:p>
      <w:pPr>
        <w:pStyle w:val="ListParagraph"/>
        <w:numPr>
          <w:ilvl w:val="0"/>
          <w:numId w:val="557"/>
        </w:numPr>
        <w:tabs>
          <w:tab w:pos="1919" w:val="left" w:leader="none"/>
        </w:tabs>
        <w:spacing w:line="240" w:lineRule="auto" w:before="120" w:after="0"/>
        <w:ind w:left="1919" w:right="414" w:hanging="567"/>
        <w:jc w:val="both"/>
        <w:rPr>
          <w:sz w:val="24"/>
        </w:rPr>
      </w:pPr>
      <w:r>
        <w:rPr>
          <w:sz w:val="24"/>
        </w:rPr>
        <w:t>the </w:t>
      </w:r>
      <w:r>
        <w:rPr>
          <w:i/>
          <w:sz w:val="24"/>
        </w:rPr>
        <w:t>calculated metering data </w:t>
      </w:r>
      <w:r>
        <w:rPr>
          <w:sz w:val="24"/>
        </w:rPr>
        <w:t>stored in a </w:t>
      </w:r>
      <w:r>
        <w:rPr>
          <w:i/>
          <w:sz w:val="24"/>
        </w:rPr>
        <w:t>metering data services database </w:t>
      </w:r>
      <w:r>
        <w:rPr>
          <w:sz w:val="24"/>
        </w:rPr>
        <w:t>for a </w:t>
      </w:r>
      <w:r>
        <w:rPr>
          <w:i/>
          <w:sz w:val="24"/>
        </w:rPr>
        <w:t>NMI </w:t>
      </w:r>
      <w:r>
        <w:rPr>
          <w:sz w:val="24"/>
        </w:rPr>
        <w:t>is consistent with the physical inventory if the error associated with calculating the </w:t>
      </w:r>
      <w:r>
        <w:rPr>
          <w:i/>
          <w:sz w:val="24"/>
        </w:rPr>
        <w:t>energy </w:t>
      </w:r>
      <w:r>
        <w:rPr>
          <w:sz w:val="24"/>
        </w:rPr>
        <w:t>value for the sample, that</w:t>
      </w:r>
      <w:r>
        <w:rPr>
          <w:spacing w:val="-4"/>
          <w:sz w:val="24"/>
        </w:rPr>
        <w:t> </w:t>
      </w:r>
      <w:r>
        <w:rPr>
          <w:sz w:val="24"/>
        </w:rPr>
        <w:t>is:</w:t>
      </w:r>
    </w:p>
    <w:p>
      <w:pPr>
        <w:pStyle w:val="BodyText"/>
        <w:spacing w:before="10"/>
        <w:ind w:firstLine="0"/>
        <w:jc w:val="left"/>
        <w:rPr>
          <w:sz w:val="15"/>
        </w:rPr>
      </w:pPr>
      <w:r>
        <w:rPr/>
        <w:drawing>
          <wp:anchor distT="0" distB="0" distL="0" distR="0" allowOverlap="1" layoutInCell="1" locked="0" behindDoc="0" simplePos="0" relativeHeight="45">
            <wp:simplePos x="0" y="0"/>
            <wp:positionH relativeFrom="page">
              <wp:posOffset>2092937</wp:posOffset>
            </wp:positionH>
            <wp:positionV relativeFrom="paragraph">
              <wp:posOffset>140947</wp:posOffset>
            </wp:positionV>
            <wp:extent cx="4526644" cy="1368171"/>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12" cstate="print"/>
                    <a:stretch>
                      <a:fillRect/>
                    </a:stretch>
                  </pic:blipFill>
                  <pic:spPr>
                    <a:xfrm>
                      <a:off x="0" y="0"/>
                      <a:ext cx="4526644" cy="1368171"/>
                    </a:xfrm>
                    <a:prstGeom prst="rect">
                      <a:avLst/>
                    </a:prstGeom>
                  </pic:spPr>
                </pic:pic>
              </a:graphicData>
            </a:graphic>
          </wp:anchor>
        </w:drawing>
      </w:r>
    </w:p>
    <w:p>
      <w:pPr>
        <w:pStyle w:val="BodyText"/>
        <w:spacing w:before="129"/>
        <w:ind w:left="1919" w:firstLine="0"/>
      </w:pPr>
      <w:r>
        <w:rPr/>
        <w:t>is within ± 2.0%; and</w:t>
      </w:r>
    </w:p>
    <w:p>
      <w:pPr>
        <w:pStyle w:val="ListParagraph"/>
        <w:numPr>
          <w:ilvl w:val="0"/>
          <w:numId w:val="557"/>
        </w:numPr>
        <w:tabs>
          <w:tab w:pos="1919" w:val="left" w:leader="none"/>
        </w:tabs>
        <w:spacing w:line="240" w:lineRule="auto" w:before="120" w:after="0"/>
        <w:ind w:left="1919" w:right="413" w:hanging="567"/>
        <w:jc w:val="both"/>
        <w:rPr>
          <w:sz w:val="24"/>
        </w:rPr>
      </w:pPr>
      <w:r>
        <w:rPr>
          <w:sz w:val="24"/>
        </w:rPr>
        <w:t>if there is an inconsistency between the inventory table held in a </w:t>
      </w:r>
      <w:r>
        <w:rPr>
          <w:i/>
          <w:sz w:val="24"/>
        </w:rPr>
        <w:t>metering </w:t>
      </w:r>
      <w:r>
        <w:rPr>
          <w:i/>
          <w:sz w:val="24"/>
        </w:rPr>
        <w:t>data services database </w:t>
      </w:r>
      <w:r>
        <w:rPr>
          <w:sz w:val="24"/>
        </w:rPr>
        <w:t>for a type 7 </w:t>
      </w:r>
      <w:r>
        <w:rPr>
          <w:i/>
          <w:sz w:val="24"/>
        </w:rPr>
        <w:t>metering installation </w:t>
      </w:r>
      <w:r>
        <w:rPr>
          <w:sz w:val="24"/>
        </w:rPr>
        <w:t>and the physical inventory, the physical inventory is to be taken as prima facie evidence of the actual number of unmetered</w:t>
      </w:r>
      <w:r>
        <w:rPr>
          <w:spacing w:val="-2"/>
          <w:sz w:val="24"/>
        </w:rPr>
        <w:t> </w:t>
      </w:r>
      <w:r>
        <w:rPr>
          <w:sz w:val="24"/>
        </w:rPr>
        <w:t>devices.</w:t>
      </w:r>
    </w:p>
    <w:p>
      <w:pPr>
        <w:spacing w:before="120"/>
        <w:ind w:left="1919" w:right="0" w:firstLine="0"/>
        <w:jc w:val="left"/>
        <w:rPr>
          <w:rFonts w:ascii="Arial"/>
          <w:b/>
          <w:sz w:val="20"/>
        </w:rPr>
      </w:pPr>
      <w:r>
        <w:rPr>
          <w:rFonts w:ascii="Arial"/>
          <w:b/>
          <w:sz w:val="20"/>
        </w:rPr>
        <w:t>Note</w:t>
      </w:r>
    </w:p>
    <w:p>
      <w:pPr>
        <w:spacing w:before="120"/>
        <w:ind w:left="1919" w:right="413" w:firstLine="0"/>
        <w:jc w:val="both"/>
        <w:rPr>
          <w:sz w:val="20"/>
        </w:rPr>
      </w:pPr>
      <w:r>
        <w:rPr>
          <w:sz w:val="20"/>
        </w:rPr>
        <w:t>Provisions relating to type 7 metering installations will only apply in this jurisdiction in the event of a type 7 metering installation being available in this jurisdiction and after a 12 month transitional period allowing all participants to achieve compliance.</w:t>
      </w:r>
    </w:p>
    <w:p>
      <w:pPr>
        <w:spacing w:after="0"/>
        <w:jc w:val="both"/>
        <w:rPr>
          <w:sz w:val="20"/>
        </w:rPr>
        <w:sectPr>
          <w:type w:val="continuous"/>
          <w:pgSz w:w="11910" w:h="16840"/>
          <w:pgMar w:top="1360" w:bottom="280" w:left="1200" w:right="1000"/>
        </w:sectPr>
      </w:pPr>
    </w:p>
    <w:p>
      <w:pPr>
        <w:pStyle w:val="Heading4"/>
        <w:spacing w:before="83"/>
        <w:ind w:left="218" w:firstLine="0"/>
      </w:pPr>
      <w:bookmarkStart w:name="S7A.7.6.3 Metering installation type 7 –" w:id="1989"/>
      <w:bookmarkEnd w:id="1989"/>
      <w:r>
        <w:rPr>
          <w:b w:val="0"/>
        </w:rPr>
      </w:r>
      <w:bookmarkStart w:name="_bookmark819" w:id="1990"/>
      <w:bookmarkEnd w:id="1990"/>
      <w:r>
        <w:rPr>
          <w:b w:val="0"/>
        </w:rPr>
      </w:r>
      <w:r>
        <w:rPr/>
        <w:t>S7A.7.6.3 Metering installation type 7 – sample testing</w:t>
      </w:r>
    </w:p>
    <w:p>
      <w:pPr>
        <w:pStyle w:val="ListParagraph"/>
        <w:numPr>
          <w:ilvl w:val="0"/>
          <w:numId w:val="558"/>
        </w:numPr>
        <w:tabs>
          <w:tab w:pos="1919" w:val="left" w:leader="none"/>
        </w:tabs>
        <w:spacing w:line="240" w:lineRule="auto" w:before="120" w:after="0"/>
        <w:ind w:left="1919" w:right="414" w:hanging="567"/>
        <w:jc w:val="both"/>
        <w:rPr>
          <w:sz w:val="24"/>
        </w:rPr>
      </w:pPr>
      <w:r>
        <w:rPr>
          <w:sz w:val="24"/>
        </w:rPr>
        <w:t>For the purposes of sample testing type 7 </w:t>
      </w:r>
      <w:r>
        <w:rPr>
          <w:i/>
          <w:sz w:val="24"/>
        </w:rPr>
        <w:t>metering installations</w:t>
      </w:r>
      <w:r>
        <w:rPr>
          <w:sz w:val="24"/>
        </w:rPr>
        <w:t>, the </w:t>
      </w:r>
      <w:r>
        <w:rPr>
          <w:i/>
          <w:sz w:val="24"/>
        </w:rPr>
        <w:t>Metering Coordinator </w:t>
      </w:r>
      <w:r>
        <w:rPr>
          <w:sz w:val="24"/>
        </w:rPr>
        <w:t>must ensure that the sample size is determined using Table S7A.7.5.3.1. The sample is to be selected from unmetered devices in the inventory table for a </w:t>
      </w:r>
      <w:r>
        <w:rPr>
          <w:i/>
          <w:sz w:val="24"/>
        </w:rPr>
        <w:t>Metering</w:t>
      </w:r>
      <w:r>
        <w:rPr>
          <w:i/>
          <w:spacing w:val="-3"/>
          <w:sz w:val="24"/>
        </w:rPr>
        <w:t> </w:t>
      </w:r>
      <w:r>
        <w:rPr>
          <w:i/>
          <w:sz w:val="24"/>
        </w:rPr>
        <w:t>Coordinator</w:t>
      </w:r>
      <w:r>
        <w:rPr>
          <w:sz w:val="24"/>
        </w:rPr>
        <w:t>.</w:t>
      </w:r>
    </w:p>
    <w:p>
      <w:pPr>
        <w:pStyle w:val="ListParagraph"/>
        <w:numPr>
          <w:ilvl w:val="0"/>
          <w:numId w:val="558"/>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the sample size for the first two validation tests is based on a 'normal' sample size indicated in Table S7A.7.5.3.1.</w:t>
      </w:r>
    </w:p>
    <w:p>
      <w:pPr>
        <w:tabs>
          <w:tab w:pos="2378" w:val="left" w:leader="none"/>
        </w:tabs>
        <w:spacing w:before="120"/>
        <w:ind w:left="218" w:right="0" w:firstLine="0"/>
        <w:jc w:val="left"/>
        <w:rPr>
          <w:rFonts w:ascii="Arial"/>
          <w:b/>
          <w:sz w:val="22"/>
        </w:rPr>
      </w:pPr>
      <w:r>
        <w:rPr>
          <w:rFonts w:ascii="Arial"/>
          <w:b/>
          <w:sz w:val="22"/>
        </w:rPr>
        <w:t>Table S7A.7.5.3.1</w:t>
        <w:tab/>
        <w:t>Unmetered devices in inventory</w:t>
      </w:r>
      <w:r>
        <w:rPr>
          <w:rFonts w:ascii="Arial"/>
          <w:b/>
          <w:spacing w:val="-3"/>
          <w:sz w:val="22"/>
        </w:rPr>
        <w:t> </w:t>
      </w:r>
      <w:r>
        <w:rPr>
          <w:rFonts w:ascii="Arial"/>
          <w:b/>
          <w:sz w:val="22"/>
        </w:rPr>
        <w:t>table</w:t>
      </w:r>
    </w:p>
    <w:p>
      <w:pPr>
        <w:pStyle w:val="BodyText"/>
        <w:spacing w:before="8"/>
        <w:ind w:firstLine="0"/>
        <w:jc w:val="left"/>
        <w:rPr>
          <w:rFonts w:ascii="Arial"/>
          <w:b/>
          <w:sz w:val="1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29"/>
        <w:gridCol w:w="1814"/>
        <w:gridCol w:w="1814"/>
        <w:gridCol w:w="1814"/>
      </w:tblGrid>
      <w:tr>
        <w:trPr>
          <w:trHeight w:val="395" w:hRule="atLeast"/>
        </w:trPr>
        <w:tc>
          <w:tcPr>
            <w:tcW w:w="3629" w:type="dxa"/>
            <w:vMerge w:val="restart"/>
            <w:tcBorders>
              <w:bottom w:val="single" w:sz="4" w:space="0" w:color="000000"/>
              <w:right w:val="single" w:sz="4" w:space="0" w:color="000000"/>
            </w:tcBorders>
            <w:shd w:val="clear" w:color="auto" w:fill="D9D9D9"/>
          </w:tcPr>
          <w:p>
            <w:pPr>
              <w:pStyle w:val="TableParagraph"/>
              <w:spacing w:line="390" w:lineRule="atLeast" w:before="6"/>
              <w:ind w:left="40" w:right="526"/>
              <w:rPr>
                <w:rFonts w:ascii="Arial"/>
                <w:b/>
                <w:sz w:val="24"/>
              </w:rPr>
            </w:pPr>
            <w:r>
              <w:rPr>
                <w:rFonts w:ascii="Arial"/>
                <w:b/>
                <w:sz w:val="24"/>
              </w:rPr>
              <w:t>Number of Unmetered Devices in Inventory Table</w:t>
            </w:r>
          </w:p>
        </w:tc>
        <w:tc>
          <w:tcPr>
            <w:tcW w:w="5442" w:type="dxa"/>
            <w:gridSpan w:val="3"/>
            <w:tcBorders>
              <w:left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Sample Size</w:t>
            </w:r>
          </w:p>
        </w:tc>
      </w:tr>
      <w:tr>
        <w:trPr>
          <w:trHeight w:val="395" w:hRule="atLeast"/>
        </w:trPr>
        <w:tc>
          <w:tcPr>
            <w:tcW w:w="3629" w:type="dxa"/>
            <w:vMerge/>
            <w:tcBorders>
              <w:top w:val="nil"/>
              <w:bottom w:val="single" w:sz="4" w:space="0" w:color="000000"/>
              <w:right w:val="single" w:sz="4" w:space="0" w:color="000000"/>
            </w:tcBorders>
            <w:shd w:val="clear" w:color="auto" w:fill="D9D9D9"/>
          </w:tcPr>
          <w:p>
            <w:pPr>
              <w:rPr>
                <w:sz w:val="2"/>
                <w:szCs w:val="2"/>
              </w:rPr>
            </w:pP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Reduced</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Normal</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Tightened</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2 to 8</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9 to 15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16 to 25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8</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26 to 50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8</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13</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51 to 90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91 to 150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8</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32</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151 to 280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281 to 500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80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501 to 1200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80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125</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1201 to 3200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125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200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3201 to 10000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80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315</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10001 to 35000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125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315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500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35001 to 150000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200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500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800</w:t>
            </w:r>
          </w:p>
        </w:tc>
      </w:tr>
      <w:tr>
        <w:trPr>
          <w:trHeight w:val="515" w:hRule="atLeast"/>
        </w:trPr>
        <w:tc>
          <w:tcPr>
            <w:tcW w:w="3629" w:type="dxa"/>
            <w:tcBorders>
              <w:top w:val="single" w:sz="4" w:space="0" w:color="000000"/>
              <w:bottom w:val="single" w:sz="4" w:space="0" w:color="000000"/>
              <w:right w:val="single" w:sz="4" w:space="0" w:color="000000"/>
            </w:tcBorders>
          </w:tcPr>
          <w:p>
            <w:pPr>
              <w:pStyle w:val="TableParagraph"/>
              <w:ind w:left="40"/>
              <w:rPr>
                <w:sz w:val="24"/>
              </w:rPr>
            </w:pPr>
            <w:r>
              <w:rPr>
                <w:sz w:val="24"/>
              </w:rPr>
              <w:t>150001 to 500000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315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800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1250</w:t>
            </w:r>
          </w:p>
        </w:tc>
      </w:tr>
      <w:tr>
        <w:trPr>
          <w:trHeight w:val="515" w:hRule="atLeast"/>
        </w:trPr>
        <w:tc>
          <w:tcPr>
            <w:tcW w:w="3629" w:type="dxa"/>
            <w:tcBorders>
              <w:top w:val="single" w:sz="4" w:space="0" w:color="000000"/>
              <w:right w:val="single" w:sz="4" w:space="0" w:color="000000"/>
            </w:tcBorders>
          </w:tcPr>
          <w:p>
            <w:pPr>
              <w:pStyle w:val="TableParagraph"/>
              <w:ind w:left="40"/>
              <w:rPr>
                <w:sz w:val="24"/>
              </w:rPr>
            </w:pPr>
            <w:r>
              <w:rPr>
                <w:sz w:val="24"/>
              </w:rPr>
              <w:t>500001 to over</w:t>
            </w:r>
          </w:p>
        </w:tc>
        <w:tc>
          <w:tcPr>
            <w:tcW w:w="1814" w:type="dxa"/>
            <w:tcBorders>
              <w:top w:val="single" w:sz="4" w:space="0" w:color="000000"/>
              <w:left w:val="single" w:sz="4" w:space="0" w:color="000000"/>
              <w:right w:val="single" w:sz="4" w:space="0" w:color="000000"/>
            </w:tcBorders>
          </w:tcPr>
          <w:p>
            <w:pPr>
              <w:pStyle w:val="TableParagraph"/>
              <w:ind w:left="44"/>
              <w:rPr>
                <w:sz w:val="24"/>
              </w:rPr>
            </w:pPr>
            <w:r>
              <w:rPr>
                <w:sz w:val="24"/>
              </w:rPr>
              <w:t>500</w:t>
            </w:r>
          </w:p>
        </w:tc>
        <w:tc>
          <w:tcPr>
            <w:tcW w:w="1814" w:type="dxa"/>
            <w:tcBorders>
              <w:top w:val="single" w:sz="4" w:space="0" w:color="000000"/>
              <w:left w:val="single" w:sz="4" w:space="0" w:color="000000"/>
              <w:right w:val="single" w:sz="4" w:space="0" w:color="000000"/>
            </w:tcBorders>
          </w:tcPr>
          <w:p>
            <w:pPr>
              <w:pStyle w:val="TableParagraph"/>
              <w:ind w:left="44"/>
              <w:rPr>
                <w:sz w:val="24"/>
              </w:rPr>
            </w:pPr>
            <w:r>
              <w:rPr>
                <w:sz w:val="24"/>
              </w:rPr>
              <w:t>1250</w:t>
            </w:r>
          </w:p>
        </w:tc>
        <w:tc>
          <w:tcPr>
            <w:tcW w:w="1814" w:type="dxa"/>
            <w:tcBorders>
              <w:top w:val="single" w:sz="4" w:space="0" w:color="000000"/>
              <w:left w:val="single" w:sz="4" w:space="0" w:color="000000"/>
              <w:right w:val="single" w:sz="4" w:space="0" w:color="000000"/>
            </w:tcBorders>
          </w:tcPr>
          <w:p>
            <w:pPr>
              <w:pStyle w:val="TableParagraph"/>
              <w:rPr>
                <w:sz w:val="24"/>
              </w:rPr>
            </w:pPr>
            <w:r>
              <w:rPr>
                <w:sz w:val="24"/>
              </w:rPr>
              <w:t>2000</w:t>
            </w:r>
          </w:p>
        </w:tc>
      </w:tr>
    </w:tbl>
    <w:p>
      <w:pPr>
        <w:pStyle w:val="BodyText"/>
        <w:spacing w:before="5"/>
        <w:ind w:firstLine="0"/>
        <w:jc w:val="left"/>
        <w:rPr>
          <w:rFonts w:ascii="Arial"/>
          <w:b/>
          <w:sz w:val="34"/>
        </w:rPr>
      </w:pPr>
    </w:p>
    <w:p>
      <w:pPr>
        <w:pStyle w:val="ListParagraph"/>
        <w:numPr>
          <w:ilvl w:val="0"/>
          <w:numId w:val="558"/>
        </w:numPr>
        <w:tabs>
          <w:tab w:pos="1919" w:val="left" w:leader="none"/>
        </w:tabs>
        <w:spacing w:line="240" w:lineRule="auto" w:before="0" w:after="0"/>
        <w:ind w:left="1919" w:right="415" w:hanging="567"/>
        <w:jc w:val="both"/>
        <w:rPr>
          <w:sz w:val="24"/>
        </w:rPr>
      </w:pPr>
      <w:r>
        <w:rPr>
          <w:sz w:val="24"/>
        </w:rPr>
        <w:t>The </w:t>
      </w:r>
      <w:r>
        <w:rPr>
          <w:i/>
          <w:sz w:val="24"/>
        </w:rPr>
        <w:t>Metering Coordinator </w:t>
      </w:r>
      <w:r>
        <w:rPr>
          <w:sz w:val="24"/>
        </w:rPr>
        <w:t>must ensure that the sample size for subsequent variation tests is based on the</w:t>
      </w:r>
      <w:r>
        <w:rPr>
          <w:spacing w:val="-1"/>
          <w:sz w:val="24"/>
        </w:rPr>
        <w:t> </w:t>
      </w:r>
      <w:r>
        <w:rPr>
          <w:sz w:val="24"/>
        </w:rPr>
        <w:t>following:</w:t>
      </w:r>
    </w:p>
    <w:p>
      <w:pPr>
        <w:spacing w:after="0" w:line="240" w:lineRule="auto"/>
        <w:jc w:val="both"/>
        <w:rPr>
          <w:sz w:val="24"/>
        </w:rPr>
        <w:sectPr>
          <w:pgSz w:w="11910" w:h="16840"/>
          <w:pgMar w:header="686" w:footer="637" w:top="1320" w:bottom="820" w:left="1200" w:right="1000"/>
        </w:sectPr>
      </w:pPr>
    </w:p>
    <w:p>
      <w:pPr>
        <w:pStyle w:val="BodyText"/>
        <w:spacing w:before="8"/>
        <w:ind w:firstLine="0"/>
        <w:jc w:val="left"/>
        <w:rPr>
          <w:sz w:val="10"/>
        </w:rPr>
      </w:pPr>
    </w:p>
    <w:p>
      <w:pPr>
        <w:pStyle w:val="BodyText"/>
        <w:spacing w:before="0"/>
        <w:ind w:left="2549" w:firstLine="0"/>
        <w:jc w:val="left"/>
        <w:rPr>
          <w:sz w:val="20"/>
        </w:rPr>
      </w:pPr>
      <w:r>
        <w:rPr>
          <w:sz w:val="20"/>
        </w:rPr>
        <w:drawing>
          <wp:inline distT="0" distB="0" distL="0" distR="0">
            <wp:extent cx="4276698" cy="3866959"/>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3" cstate="print"/>
                    <a:stretch>
                      <a:fillRect/>
                    </a:stretch>
                  </pic:blipFill>
                  <pic:spPr>
                    <a:xfrm>
                      <a:off x="0" y="0"/>
                      <a:ext cx="4276698" cy="3866959"/>
                    </a:xfrm>
                    <a:prstGeom prst="rect">
                      <a:avLst/>
                    </a:prstGeom>
                  </pic:spPr>
                </pic:pic>
              </a:graphicData>
            </a:graphic>
          </wp:inline>
        </w:drawing>
      </w:r>
      <w:r>
        <w:rPr>
          <w:sz w:val="20"/>
        </w:rPr>
      </w:r>
    </w:p>
    <w:p>
      <w:pPr>
        <w:pStyle w:val="ListParagraph"/>
        <w:numPr>
          <w:ilvl w:val="0"/>
          <w:numId w:val="558"/>
        </w:numPr>
        <w:tabs>
          <w:tab w:pos="1919" w:val="left" w:leader="none"/>
        </w:tabs>
        <w:spacing w:line="240" w:lineRule="auto" w:before="155" w:after="0"/>
        <w:ind w:left="1919" w:right="415" w:hanging="567"/>
        <w:jc w:val="both"/>
        <w:rPr>
          <w:sz w:val="24"/>
        </w:rPr>
      </w:pPr>
      <w:r>
        <w:rPr>
          <w:sz w:val="24"/>
        </w:rPr>
        <w:t>The </w:t>
      </w:r>
      <w:r>
        <w:rPr>
          <w:i/>
          <w:sz w:val="24"/>
        </w:rPr>
        <w:t>Metering Coordinator </w:t>
      </w:r>
      <w:r>
        <w:rPr>
          <w:sz w:val="24"/>
        </w:rPr>
        <w:t>must select sample unmetered devices for a validation test from random geographic areas depending on the sample size. The selection of the geographic area must be such that each unmetered device has an equal chance of being included in the</w:t>
      </w:r>
      <w:r>
        <w:rPr>
          <w:spacing w:val="-3"/>
          <w:sz w:val="24"/>
        </w:rPr>
        <w:t> </w:t>
      </w:r>
      <w:r>
        <w:rPr>
          <w:sz w:val="24"/>
        </w:rPr>
        <w:t>sample.</w:t>
      </w:r>
    </w:p>
    <w:p>
      <w:pPr>
        <w:pStyle w:val="ListParagraph"/>
        <w:numPr>
          <w:ilvl w:val="0"/>
          <w:numId w:val="558"/>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the validation test is conducted at least once every 6 months, commencing from the first validation</w:t>
      </w:r>
      <w:r>
        <w:rPr>
          <w:spacing w:val="-4"/>
          <w:sz w:val="24"/>
        </w:rPr>
        <w:t> </w:t>
      </w:r>
      <w:r>
        <w:rPr>
          <w:sz w:val="24"/>
        </w:rPr>
        <w:t>test.</w:t>
      </w:r>
    </w:p>
    <w:p>
      <w:pPr>
        <w:pStyle w:val="ListParagraph"/>
        <w:numPr>
          <w:ilvl w:val="0"/>
          <w:numId w:val="558"/>
        </w:numPr>
        <w:tabs>
          <w:tab w:pos="1920" w:val="left" w:leader="none"/>
        </w:tabs>
        <w:spacing w:line="240" w:lineRule="auto" w:before="120" w:after="0"/>
        <w:ind w:left="1919" w:right="414" w:hanging="567"/>
        <w:jc w:val="both"/>
        <w:rPr>
          <w:sz w:val="24"/>
        </w:rPr>
      </w:pPr>
      <w:r>
        <w:rPr>
          <w:sz w:val="24"/>
        </w:rPr>
        <w:t>Should the results of two consecutive validation tests, based on a reduced sample size, be within the accuracy requirements for that test, the </w:t>
      </w:r>
      <w:r>
        <w:rPr>
          <w:i/>
          <w:sz w:val="24"/>
        </w:rPr>
        <w:t>Metering </w:t>
      </w:r>
      <w:r>
        <w:rPr>
          <w:i/>
          <w:sz w:val="24"/>
        </w:rPr>
        <w:t>Coordinator </w:t>
      </w:r>
      <w:r>
        <w:rPr>
          <w:sz w:val="24"/>
        </w:rPr>
        <w:t>must ensure that the next validation test is conducted at least once every 12</w:t>
      </w:r>
      <w:r>
        <w:rPr>
          <w:spacing w:val="-1"/>
          <w:sz w:val="24"/>
        </w:rPr>
        <w:t> </w:t>
      </w:r>
      <w:r>
        <w:rPr>
          <w:sz w:val="24"/>
        </w:rPr>
        <w:t>months.</w:t>
      </w:r>
    </w:p>
    <w:p>
      <w:pPr>
        <w:pStyle w:val="BodyText"/>
        <w:spacing w:before="10"/>
        <w:ind w:firstLine="0"/>
        <w:jc w:val="left"/>
        <w:rPr>
          <w:sz w:val="20"/>
        </w:rPr>
      </w:pPr>
    </w:p>
    <w:p>
      <w:pPr>
        <w:pStyle w:val="Heading4"/>
        <w:ind w:left="218" w:firstLine="0"/>
      </w:pPr>
      <w:bookmarkStart w:name="S7A.7.6.4 Request for text of calculated" w:id="1991"/>
      <w:bookmarkEnd w:id="1991"/>
      <w:r>
        <w:rPr>
          <w:b w:val="0"/>
        </w:rPr>
      </w:r>
      <w:bookmarkStart w:name="_bookmark820" w:id="1992"/>
      <w:bookmarkEnd w:id="1992"/>
      <w:r>
        <w:rPr>
          <w:b w:val="0"/>
        </w:rPr>
      </w:r>
      <w:r>
        <w:rPr/>
        <w:t>S7A.7.6.4 Request for text of calculated metering data</w:t>
      </w:r>
    </w:p>
    <w:p>
      <w:pPr>
        <w:spacing w:before="120"/>
        <w:ind w:left="1352" w:right="0" w:firstLine="0"/>
        <w:jc w:val="both"/>
        <w:rPr>
          <w:i/>
          <w:sz w:val="24"/>
        </w:rPr>
      </w:pPr>
      <w:r>
        <w:rPr>
          <w:sz w:val="24"/>
        </w:rPr>
        <w:t>If requested to test a type 7 </w:t>
      </w:r>
      <w:r>
        <w:rPr>
          <w:i/>
          <w:sz w:val="24"/>
        </w:rPr>
        <w:t>metering installation </w:t>
      </w:r>
      <w:r>
        <w:rPr>
          <w:sz w:val="24"/>
        </w:rPr>
        <w:t>by a </w:t>
      </w:r>
      <w:r>
        <w:rPr>
          <w:i/>
          <w:sz w:val="24"/>
        </w:rPr>
        <w:t>Registered Participant</w:t>
      </w:r>
    </w:p>
    <w:p>
      <w:pPr>
        <w:spacing w:before="0"/>
        <w:ind w:left="1352" w:right="0" w:firstLine="0"/>
        <w:jc w:val="both"/>
        <w:rPr>
          <w:sz w:val="24"/>
        </w:rPr>
      </w:pPr>
      <w:r>
        <w:rPr>
          <w:sz w:val="24"/>
        </w:rPr>
        <w:t>under clause 7A.7.2, the </w:t>
      </w:r>
      <w:r>
        <w:rPr>
          <w:i/>
          <w:sz w:val="24"/>
        </w:rPr>
        <w:t>Metering Coordinator </w:t>
      </w:r>
      <w:r>
        <w:rPr>
          <w:sz w:val="24"/>
        </w:rPr>
        <w:t>must:</w:t>
      </w:r>
    </w:p>
    <w:p>
      <w:pPr>
        <w:pStyle w:val="ListParagraph"/>
        <w:numPr>
          <w:ilvl w:val="0"/>
          <w:numId w:val="559"/>
        </w:numPr>
        <w:tabs>
          <w:tab w:pos="1919" w:val="left" w:leader="none"/>
        </w:tabs>
        <w:spacing w:line="240" w:lineRule="auto" w:before="120" w:after="0"/>
        <w:ind w:left="1919" w:right="416" w:hanging="567"/>
        <w:jc w:val="both"/>
        <w:rPr>
          <w:sz w:val="24"/>
        </w:rPr>
      </w:pPr>
      <w:r>
        <w:rPr>
          <w:sz w:val="24"/>
        </w:rPr>
        <w:t>arrange to test that the </w:t>
      </w:r>
      <w:r>
        <w:rPr>
          <w:i/>
          <w:sz w:val="24"/>
        </w:rPr>
        <w:t>calculated metering data </w:t>
      </w:r>
      <w:r>
        <w:rPr>
          <w:sz w:val="24"/>
        </w:rPr>
        <w:t>stored in the </w:t>
      </w:r>
      <w:r>
        <w:rPr>
          <w:i/>
          <w:sz w:val="24"/>
        </w:rPr>
        <w:t>metering data </w:t>
      </w:r>
      <w:r>
        <w:rPr>
          <w:i/>
          <w:sz w:val="24"/>
        </w:rPr>
        <w:t>services database </w:t>
      </w:r>
      <w:r>
        <w:rPr>
          <w:sz w:val="24"/>
        </w:rPr>
        <w:t>reflects the physical inventory for the type 7 </w:t>
      </w:r>
      <w:r>
        <w:rPr>
          <w:i/>
          <w:sz w:val="24"/>
        </w:rPr>
        <w:t>metering </w:t>
      </w:r>
      <w:r>
        <w:rPr>
          <w:i/>
          <w:sz w:val="24"/>
        </w:rPr>
        <w:t>installation</w:t>
      </w:r>
      <w:r>
        <w:rPr>
          <w:sz w:val="24"/>
        </w:rPr>
        <w:t>;</w:t>
      </w:r>
    </w:p>
    <w:p>
      <w:pPr>
        <w:pStyle w:val="ListParagraph"/>
        <w:numPr>
          <w:ilvl w:val="0"/>
          <w:numId w:val="559"/>
        </w:numPr>
        <w:tabs>
          <w:tab w:pos="1919" w:val="left" w:leader="none"/>
        </w:tabs>
        <w:spacing w:line="240" w:lineRule="auto" w:before="120" w:after="0"/>
        <w:ind w:left="1919" w:right="415" w:hanging="567"/>
        <w:jc w:val="both"/>
        <w:rPr>
          <w:sz w:val="24"/>
        </w:rPr>
      </w:pPr>
      <w:r>
        <w:rPr>
          <w:sz w:val="24"/>
        </w:rPr>
        <w:t>use reasonable endeavours to conduct the test within 15 </w:t>
      </w:r>
      <w:r>
        <w:rPr>
          <w:i/>
          <w:sz w:val="24"/>
        </w:rPr>
        <w:t>business days </w:t>
      </w:r>
      <w:r>
        <w:rPr>
          <w:sz w:val="24"/>
        </w:rPr>
        <w:t>of the request; and</w:t>
      </w:r>
    </w:p>
    <w:p>
      <w:pPr>
        <w:pStyle w:val="ListParagraph"/>
        <w:numPr>
          <w:ilvl w:val="0"/>
          <w:numId w:val="559"/>
        </w:numPr>
        <w:tabs>
          <w:tab w:pos="1919" w:val="left" w:leader="none"/>
        </w:tabs>
        <w:spacing w:line="240" w:lineRule="auto" w:before="120" w:after="0"/>
        <w:ind w:left="1919" w:right="415" w:hanging="567"/>
        <w:jc w:val="both"/>
        <w:rPr>
          <w:sz w:val="24"/>
        </w:rPr>
      </w:pPr>
      <w:r>
        <w:rPr>
          <w:sz w:val="24"/>
        </w:rPr>
        <w:t>prior to any test being undertaken, provide an estimate of costs associated with the</w:t>
      </w:r>
      <w:r>
        <w:rPr>
          <w:spacing w:val="-2"/>
          <w:sz w:val="24"/>
        </w:rPr>
        <w:t> </w:t>
      </w:r>
      <w:r>
        <w:rPr>
          <w:sz w:val="24"/>
        </w:rPr>
        <w:t>test.</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7.6.5 NTESMO's metering data substit" w:id="1993"/>
      <w:bookmarkEnd w:id="1993"/>
      <w:r>
        <w:rPr>
          <w:b w:val="0"/>
        </w:rPr>
      </w:r>
      <w:bookmarkStart w:name="_bookmark821" w:id="1994"/>
      <w:bookmarkEnd w:id="1994"/>
      <w:r>
        <w:rPr>
          <w:b w:val="0"/>
        </w:rPr>
      </w:r>
      <w:r>
        <w:rPr/>
        <w:t>S7A.7.6.5 NTESMO's metering data substitution obligations</w:t>
      </w:r>
    </w:p>
    <w:p>
      <w:pPr>
        <w:pStyle w:val="ListParagraph"/>
        <w:numPr>
          <w:ilvl w:val="0"/>
          <w:numId w:val="560"/>
        </w:numPr>
        <w:tabs>
          <w:tab w:pos="1919" w:val="left" w:leader="none"/>
        </w:tabs>
        <w:spacing w:line="240" w:lineRule="auto" w:before="120" w:after="0"/>
        <w:ind w:left="1919" w:right="415" w:hanging="567"/>
        <w:jc w:val="both"/>
        <w:rPr>
          <w:sz w:val="24"/>
        </w:rPr>
      </w:pPr>
      <w:r>
        <w:rPr>
          <w:sz w:val="24"/>
        </w:rPr>
        <w:t>Where </w:t>
      </w:r>
      <w:r>
        <w:rPr>
          <w:i/>
          <w:sz w:val="24"/>
        </w:rPr>
        <w:t>metering data </w:t>
      </w:r>
      <w:r>
        <w:rPr>
          <w:sz w:val="24"/>
        </w:rPr>
        <w:t>has been substituted, </w:t>
      </w:r>
      <w:r>
        <w:rPr>
          <w:i/>
          <w:sz w:val="24"/>
        </w:rPr>
        <w:t>NTESMO </w:t>
      </w:r>
      <w:r>
        <w:rPr>
          <w:sz w:val="24"/>
        </w:rPr>
        <w:t>must advise affected </w:t>
      </w:r>
      <w:r>
        <w:rPr>
          <w:i/>
          <w:sz w:val="24"/>
        </w:rPr>
        <w:t>Registered Participants </w:t>
      </w:r>
      <w:r>
        <w:rPr>
          <w:sz w:val="24"/>
        </w:rPr>
        <w:t>at the same time as that </w:t>
      </w:r>
      <w:r>
        <w:rPr>
          <w:i/>
          <w:sz w:val="24"/>
        </w:rPr>
        <w:t>metering data </w:t>
      </w:r>
      <w:r>
        <w:rPr>
          <w:sz w:val="24"/>
        </w:rPr>
        <w:t>is sent to financially responsible participants for</w:t>
      </w:r>
      <w:r>
        <w:rPr>
          <w:spacing w:val="-1"/>
          <w:sz w:val="24"/>
        </w:rPr>
        <w:t> </w:t>
      </w:r>
      <w:r>
        <w:rPr>
          <w:i/>
          <w:sz w:val="24"/>
        </w:rPr>
        <w:t>settlements</w:t>
      </w:r>
      <w:r>
        <w:rPr>
          <w:sz w:val="24"/>
        </w:rPr>
        <w:t>.</w:t>
      </w:r>
    </w:p>
    <w:p>
      <w:pPr>
        <w:pStyle w:val="ListParagraph"/>
        <w:numPr>
          <w:ilvl w:val="0"/>
          <w:numId w:val="560"/>
        </w:numPr>
        <w:tabs>
          <w:tab w:pos="1919" w:val="left" w:leader="none"/>
        </w:tabs>
        <w:spacing w:line="240" w:lineRule="auto" w:before="120" w:after="0"/>
        <w:ind w:left="1919" w:right="414" w:hanging="567"/>
        <w:jc w:val="both"/>
        <w:rPr>
          <w:sz w:val="24"/>
        </w:rPr>
      </w:pPr>
      <w:r>
        <w:rPr>
          <w:sz w:val="24"/>
        </w:rPr>
        <w:t>If </w:t>
      </w:r>
      <w:r>
        <w:rPr>
          <w:i/>
          <w:sz w:val="24"/>
        </w:rPr>
        <w:t>metering data </w:t>
      </w:r>
      <w:r>
        <w:rPr>
          <w:sz w:val="24"/>
        </w:rPr>
        <w:t>has not been transferred to </w:t>
      </w:r>
      <w:r>
        <w:rPr>
          <w:i/>
          <w:sz w:val="24"/>
        </w:rPr>
        <w:t>NTESMO </w:t>
      </w:r>
      <w:r>
        <w:rPr>
          <w:sz w:val="24"/>
        </w:rPr>
        <w:t>to meet the </w:t>
      </w:r>
      <w:r>
        <w:rPr>
          <w:i/>
          <w:sz w:val="24"/>
        </w:rPr>
        <w:t>settlements </w:t>
      </w:r>
      <w:r>
        <w:rPr>
          <w:sz w:val="24"/>
        </w:rPr>
        <w:t>time frames or such </w:t>
      </w:r>
      <w:r>
        <w:rPr>
          <w:i/>
          <w:sz w:val="24"/>
        </w:rPr>
        <w:t>metering data </w:t>
      </w:r>
      <w:r>
        <w:rPr>
          <w:sz w:val="24"/>
        </w:rPr>
        <w:t>has been transferred but is unusable, </w:t>
      </w:r>
      <w:r>
        <w:rPr>
          <w:i/>
          <w:sz w:val="24"/>
        </w:rPr>
        <w:t>NTESMO </w:t>
      </w:r>
      <w:r>
        <w:rPr>
          <w:sz w:val="24"/>
        </w:rPr>
        <w:t>must, in accordance with clause</w:t>
      </w:r>
      <w:r>
        <w:rPr>
          <w:spacing w:val="-1"/>
          <w:sz w:val="24"/>
        </w:rPr>
        <w:t> </w:t>
      </w:r>
      <w:r>
        <w:rPr>
          <w:sz w:val="24"/>
        </w:rPr>
        <w:t>7A.9.2:</w:t>
      </w:r>
    </w:p>
    <w:p>
      <w:pPr>
        <w:pStyle w:val="ListParagraph"/>
        <w:numPr>
          <w:ilvl w:val="1"/>
          <w:numId w:val="560"/>
        </w:numPr>
        <w:tabs>
          <w:tab w:pos="2486" w:val="left" w:leader="none"/>
        </w:tabs>
        <w:spacing w:line="240" w:lineRule="auto" w:before="120" w:after="0"/>
        <w:ind w:left="2485" w:right="0" w:hanging="567"/>
        <w:jc w:val="both"/>
        <w:rPr>
          <w:sz w:val="24"/>
        </w:rPr>
      </w:pPr>
      <w:r>
        <w:rPr>
          <w:sz w:val="24"/>
        </w:rPr>
        <w:t>take action to obtain the </w:t>
      </w:r>
      <w:r>
        <w:rPr>
          <w:i/>
          <w:sz w:val="24"/>
        </w:rPr>
        <w:t>metering data</w:t>
      </w:r>
      <w:r>
        <w:rPr>
          <w:sz w:val="24"/>
        </w:rPr>
        <w:t>;</w:t>
      </w:r>
      <w:r>
        <w:rPr>
          <w:spacing w:val="-1"/>
          <w:sz w:val="24"/>
        </w:rPr>
        <w:t> </w:t>
      </w:r>
      <w:r>
        <w:rPr>
          <w:sz w:val="24"/>
        </w:rPr>
        <w:t>or</w:t>
      </w:r>
    </w:p>
    <w:p>
      <w:pPr>
        <w:pStyle w:val="ListParagraph"/>
        <w:numPr>
          <w:ilvl w:val="1"/>
          <w:numId w:val="560"/>
        </w:numPr>
        <w:tabs>
          <w:tab w:pos="2486" w:val="left" w:leader="none"/>
        </w:tabs>
        <w:spacing w:line="240" w:lineRule="auto" w:before="120" w:after="0"/>
        <w:ind w:left="2486" w:right="415" w:hanging="567"/>
        <w:jc w:val="both"/>
        <w:rPr>
          <w:sz w:val="24"/>
        </w:rPr>
      </w:pPr>
      <w:r>
        <w:rPr>
          <w:sz w:val="24"/>
        </w:rPr>
        <w:t>request the </w:t>
      </w:r>
      <w:r>
        <w:rPr>
          <w:i/>
          <w:sz w:val="24"/>
        </w:rPr>
        <w:t>Metering Coordinator </w:t>
      </w:r>
      <w:r>
        <w:rPr>
          <w:sz w:val="24"/>
        </w:rPr>
        <w:t>take action to obtain the metering data.</w:t>
      </w:r>
    </w:p>
    <w:p>
      <w:pPr>
        <w:pStyle w:val="BodyText"/>
        <w:spacing w:before="10"/>
        <w:ind w:firstLine="0"/>
        <w:jc w:val="left"/>
        <w:rPr>
          <w:sz w:val="20"/>
        </w:rPr>
      </w:pPr>
    </w:p>
    <w:p>
      <w:pPr>
        <w:pStyle w:val="Heading2"/>
        <w:tabs>
          <w:tab w:pos="9317" w:val="left" w:leader="none"/>
        </w:tabs>
      </w:pPr>
      <w:bookmarkStart w:name="Part C" w:id="1995"/>
      <w:bookmarkEnd w:id="1995"/>
      <w:r>
        <w:rPr>
          <w:b w:val="0"/>
        </w:rPr>
      </w:r>
      <w:bookmarkStart w:name="_bookmark822" w:id="1996"/>
      <w:bookmarkEnd w:id="1996"/>
      <w:r>
        <w:rPr>
          <w:b w:val="0"/>
        </w:rPr>
      </w:r>
      <w:r>
        <w:rPr>
          <w:shd w:fill="D9D9D9" w:color="auto" w:val="clear"/>
        </w:rPr>
        <w:t>Part C</w:t>
        <w:tab/>
      </w:r>
    </w:p>
    <w:p>
      <w:pPr>
        <w:pStyle w:val="Heading4"/>
        <w:tabs>
          <w:tab w:pos="1351" w:val="left" w:leader="none"/>
        </w:tabs>
        <w:spacing w:line="510" w:lineRule="atLeast" w:before="6"/>
        <w:ind w:left="218" w:right="6139" w:firstLine="0"/>
      </w:pPr>
      <w:bookmarkStart w:name=" " w:id="1997"/>
      <w:bookmarkEnd w:id="1997"/>
      <w:r>
        <w:rPr>
          <w:b w:val="0"/>
        </w:rPr>
      </w:r>
      <w:bookmarkStart w:name="S7A.7.7 Purpose and scope" w:id="1998"/>
      <w:bookmarkEnd w:id="1998"/>
      <w:r>
        <w:rPr>
          <w:b w:val="0"/>
        </w:rPr>
      </w:r>
      <w:bookmarkStart w:name="_bookmark823" w:id="1999"/>
      <w:bookmarkEnd w:id="1999"/>
      <w:r>
        <w:rPr>
          <w:b w:val="0"/>
        </w:rPr>
      </w:r>
      <w:r>
        <w:rPr/>
        <w:t>S7A.7.7</w:t>
        <w:tab/>
        <w:t>Purpose and scope</w:t>
      </w:r>
      <w:bookmarkStart w:name="S7A.7.7.1 Purpose" w:id="2000"/>
      <w:bookmarkEnd w:id="2000"/>
      <w:r>
        <w:rPr/>
      </w:r>
      <w:bookmarkStart w:name="_bookmark824" w:id="2001"/>
      <w:bookmarkEnd w:id="2001"/>
      <w:r>
        <w:rPr/>
      </w:r>
      <w:r>
        <w:rPr/>
        <w:t> S7A.7.7.1 Purpose</w:t>
      </w:r>
    </w:p>
    <w:p>
      <w:pPr>
        <w:pStyle w:val="BodyText"/>
        <w:spacing w:before="126"/>
        <w:ind w:left="1352" w:right="416" w:firstLine="0"/>
      </w:pPr>
      <w:r>
        <w:rPr/>
        <w:t>The purpose of this Part is to set out obligations concerning the validation, substitution and forward estimation of </w:t>
      </w:r>
      <w:r>
        <w:rPr>
          <w:i/>
        </w:rPr>
        <w:t>metering data </w:t>
      </w:r>
      <w:r>
        <w:rPr/>
        <w:t>to satisfy the </w:t>
      </w:r>
      <w:r>
        <w:rPr>
          <w:i/>
        </w:rPr>
        <w:t>Rules</w:t>
      </w:r>
      <w:r>
        <w:rPr/>
        <w:t>.</w:t>
      </w:r>
    </w:p>
    <w:p>
      <w:pPr>
        <w:pStyle w:val="BodyText"/>
        <w:spacing w:before="10"/>
        <w:ind w:firstLine="0"/>
        <w:jc w:val="left"/>
        <w:rPr>
          <w:sz w:val="20"/>
        </w:rPr>
      </w:pPr>
    </w:p>
    <w:p>
      <w:pPr>
        <w:pStyle w:val="Heading4"/>
        <w:ind w:left="218" w:firstLine="0"/>
      </w:pPr>
      <w:bookmarkStart w:name="S7A.7.7.2 Scope" w:id="2002"/>
      <w:bookmarkEnd w:id="2002"/>
      <w:r>
        <w:rPr>
          <w:b w:val="0"/>
        </w:rPr>
      </w:r>
      <w:bookmarkStart w:name="_bookmark825" w:id="2003"/>
      <w:bookmarkEnd w:id="2003"/>
      <w:r>
        <w:rPr>
          <w:b w:val="0"/>
        </w:rPr>
      </w:r>
      <w:r>
        <w:rPr/>
        <w:t>S7A.7.7.2 Scope</w:t>
      </w:r>
    </w:p>
    <w:p>
      <w:pPr>
        <w:pStyle w:val="ListParagraph"/>
        <w:numPr>
          <w:ilvl w:val="0"/>
          <w:numId w:val="561"/>
        </w:numPr>
        <w:tabs>
          <w:tab w:pos="1919" w:val="left" w:leader="none"/>
        </w:tabs>
        <w:spacing w:line="240" w:lineRule="auto" w:before="120" w:after="0"/>
        <w:ind w:left="1919" w:right="415" w:hanging="567"/>
        <w:jc w:val="both"/>
        <w:rPr>
          <w:sz w:val="24"/>
        </w:rPr>
      </w:pPr>
      <w:r>
        <w:rPr>
          <w:sz w:val="24"/>
        </w:rPr>
        <w:t>This Part applies to </w:t>
      </w:r>
      <w:r>
        <w:rPr>
          <w:i/>
          <w:sz w:val="24"/>
        </w:rPr>
        <w:t>Metering Data Providers</w:t>
      </w:r>
      <w:r>
        <w:rPr>
          <w:sz w:val="24"/>
        </w:rPr>
        <w:t>, </w:t>
      </w:r>
      <w:r>
        <w:rPr>
          <w:i/>
          <w:sz w:val="24"/>
        </w:rPr>
        <w:t>NTESMO </w:t>
      </w:r>
      <w:r>
        <w:rPr>
          <w:sz w:val="24"/>
        </w:rPr>
        <w:t>and </w:t>
      </w:r>
      <w:r>
        <w:rPr>
          <w:i/>
          <w:sz w:val="24"/>
        </w:rPr>
        <w:t>Metering </w:t>
      </w:r>
      <w:r>
        <w:rPr>
          <w:i/>
          <w:sz w:val="24"/>
        </w:rPr>
        <w:t>Coordinators</w:t>
      </w:r>
      <w:r>
        <w:rPr>
          <w:sz w:val="24"/>
        </w:rPr>
        <w:t>.</w:t>
      </w:r>
    </w:p>
    <w:p>
      <w:pPr>
        <w:pStyle w:val="ListParagraph"/>
        <w:numPr>
          <w:ilvl w:val="0"/>
          <w:numId w:val="561"/>
        </w:numPr>
        <w:tabs>
          <w:tab w:pos="1919" w:val="left" w:leader="none"/>
        </w:tabs>
        <w:spacing w:line="240" w:lineRule="auto" w:before="120" w:after="0"/>
        <w:ind w:left="1918" w:right="0" w:hanging="567"/>
        <w:jc w:val="both"/>
        <w:rPr>
          <w:sz w:val="24"/>
        </w:rPr>
      </w:pPr>
      <w:r>
        <w:rPr>
          <w:sz w:val="24"/>
        </w:rPr>
        <w:t>This Part must be read in conjunction with Schedule 7A.8 Part</w:t>
      </w:r>
      <w:r>
        <w:rPr>
          <w:spacing w:val="-9"/>
          <w:sz w:val="24"/>
        </w:rPr>
        <w:t> </w:t>
      </w:r>
      <w:r>
        <w:rPr>
          <w:sz w:val="24"/>
        </w:rPr>
        <w:t>B.</w:t>
      </w:r>
    </w:p>
    <w:p>
      <w:pPr>
        <w:pStyle w:val="Heading4"/>
        <w:tabs>
          <w:tab w:pos="1351" w:val="left" w:leader="none"/>
        </w:tabs>
        <w:spacing w:line="510" w:lineRule="atLeast" w:before="6"/>
        <w:ind w:left="218" w:right="1420" w:firstLine="0"/>
      </w:pPr>
      <w:bookmarkStart w:name="S7A.7.8 Principles for validation, subst" w:id="2004"/>
      <w:bookmarkEnd w:id="2004"/>
      <w:r>
        <w:rPr>
          <w:b w:val="0"/>
        </w:rPr>
      </w:r>
      <w:bookmarkStart w:name="_bookmark826" w:id="2005"/>
      <w:bookmarkEnd w:id="2005"/>
      <w:r>
        <w:rPr>
          <w:b w:val="0"/>
        </w:rPr>
      </w:r>
      <w:r>
        <w:rPr/>
        <w:t>S7A.7.8</w:t>
        <w:tab/>
        <w:t>Principles for validation, substitution and estimation</w:t>
      </w:r>
      <w:bookmarkStart w:name="S7A.7.8.1 General validation, substituti" w:id="2006"/>
      <w:bookmarkEnd w:id="2006"/>
      <w:r>
        <w:rPr/>
      </w:r>
      <w:bookmarkStart w:name="_bookmark827" w:id="2007"/>
      <w:bookmarkEnd w:id="2007"/>
      <w:r>
        <w:rPr/>
      </w:r>
      <w:r>
        <w:rPr/>
        <w:t> S7A.7.8.1 General validation, substitution and estimation</w:t>
      </w:r>
      <w:r>
        <w:rPr>
          <w:spacing w:val="-41"/>
        </w:rPr>
        <w:t> </w:t>
      </w:r>
      <w:r>
        <w:rPr/>
        <w:t>requirements</w:t>
      </w:r>
    </w:p>
    <w:p>
      <w:pPr>
        <w:pStyle w:val="BodyText"/>
        <w:spacing w:before="126"/>
        <w:ind w:left="1352" w:right="415" w:firstLine="0"/>
      </w:pPr>
      <w:r>
        <w:rPr/>
        <w:t>The principles to be applied to validation, substitution and estimation include the following:</w:t>
      </w:r>
    </w:p>
    <w:p>
      <w:pPr>
        <w:pStyle w:val="ListParagraph"/>
        <w:numPr>
          <w:ilvl w:val="0"/>
          <w:numId w:val="562"/>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coordinate the resolution of issues arising from the non-performance of </w:t>
      </w:r>
      <w:r>
        <w:rPr>
          <w:i/>
          <w:sz w:val="24"/>
        </w:rPr>
        <w:t>metering systems</w:t>
      </w:r>
      <w:r>
        <w:rPr>
          <w:sz w:val="24"/>
        </w:rPr>
        <w:t>, including any liaison with associated </w:t>
      </w:r>
      <w:r>
        <w:rPr>
          <w:i/>
          <w:sz w:val="24"/>
        </w:rPr>
        <w:t>Registered Participants</w:t>
      </w:r>
      <w:r>
        <w:rPr>
          <w:sz w:val="24"/>
        </w:rPr>
        <w:t>, </w:t>
      </w:r>
      <w:r>
        <w:rPr>
          <w:i/>
          <w:sz w:val="24"/>
        </w:rPr>
        <w:t>Metering Providers </w:t>
      </w:r>
      <w:r>
        <w:rPr>
          <w:sz w:val="24"/>
        </w:rPr>
        <w:t>and </w:t>
      </w:r>
      <w:r>
        <w:rPr>
          <w:i/>
          <w:sz w:val="24"/>
        </w:rPr>
        <w:t>Metering Data </w:t>
      </w:r>
      <w:r>
        <w:rPr>
          <w:i/>
          <w:sz w:val="24"/>
        </w:rPr>
        <w:t>Providers</w:t>
      </w:r>
      <w:r>
        <w:rPr>
          <w:sz w:val="24"/>
        </w:rPr>
        <w:t>, and the </w:t>
      </w:r>
      <w:r>
        <w:rPr>
          <w:i/>
          <w:sz w:val="24"/>
        </w:rPr>
        <w:t>Metering Coordinator </w:t>
      </w:r>
      <w:r>
        <w:rPr>
          <w:sz w:val="24"/>
        </w:rPr>
        <w:t>must respond promptly to requests for remedial action from the </w:t>
      </w:r>
      <w:r>
        <w:rPr>
          <w:i/>
          <w:sz w:val="24"/>
        </w:rPr>
        <w:t>Metering Data Provider </w:t>
      </w:r>
      <w:r>
        <w:rPr>
          <w:sz w:val="24"/>
        </w:rPr>
        <w:t>or</w:t>
      </w:r>
      <w:r>
        <w:rPr>
          <w:spacing w:val="-2"/>
          <w:sz w:val="24"/>
        </w:rPr>
        <w:t> </w:t>
      </w:r>
      <w:r>
        <w:rPr>
          <w:i/>
          <w:sz w:val="24"/>
        </w:rPr>
        <w:t>NTESMO</w:t>
      </w:r>
      <w:r>
        <w:rPr>
          <w:sz w:val="24"/>
        </w:rPr>
        <w:t>;</w:t>
      </w:r>
    </w:p>
    <w:p>
      <w:pPr>
        <w:pStyle w:val="ListParagraph"/>
        <w:numPr>
          <w:ilvl w:val="0"/>
          <w:numId w:val="562"/>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identify </w:t>
      </w:r>
      <w:r>
        <w:rPr>
          <w:i/>
          <w:sz w:val="24"/>
        </w:rPr>
        <w:t>metering data </w:t>
      </w:r>
      <w:r>
        <w:rPr>
          <w:sz w:val="24"/>
        </w:rPr>
        <w:t>errors resulting from data collection and processing operations using validation processes in accordance with this</w:t>
      </w:r>
      <w:r>
        <w:rPr>
          <w:spacing w:val="-2"/>
          <w:sz w:val="24"/>
        </w:rPr>
        <w:t> </w:t>
      </w:r>
      <w:r>
        <w:rPr>
          <w:sz w:val="24"/>
        </w:rPr>
        <w:t>Part.</w:t>
      </w:r>
    </w:p>
    <w:p>
      <w:pPr>
        <w:pStyle w:val="BodyText"/>
        <w:spacing w:before="10"/>
        <w:ind w:firstLine="0"/>
        <w:jc w:val="left"/>
        <w:rPr>
          <w:sz w:val="20"/>
        </w:rPr>
      </w:pPr>
    </w:p>
    <w:p>
      <w:pPr>
        <w:pStyle w:val="Heading4"/>
        <w:ind w:left="218" w:firstLine="0"/>
      </w:pPr>
      <w:bookmarkStart w:name="S7A.7.8.2 Substitution requirements" w:id="2008"/>
      <w:bookmarkEnd w:id="2008"/>
      <w:r>
        <w:rPr>
          <w:b w:val="0"/>
        </w:rPr>
      </w:r>
      <w:bookmarkStart w:name="_bookmark828" w:id="2009"/>
      <w:bookmarkEnd w:id="2009"/>
      <w:r>
        <w:rPr>
          <w:b w:val="0"/>
        </w:rPr>
      </w:r>
      <w:r>
        <w:rPr/>
        <w:t>S7A.7.8.2 Substitution requirements</w:t>
      </w:r>
    </w:p>
    <w:p>
      <w:pPr>
        <w:pStyle w:val="ListParagraph"/>
        <w:numPr>
          <w:ilvl w:val="0"/>
          <w:numId w:val="563"/>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undertake substitutions on behalf of </w:t>
      </w:r>
      <w:r>
        <w:rPr>
          <w:i/>
          <w:sz w:val="24"/>
        </w:rPr>
        <w:t>NTESMO </w:t>
      </w:r>
      <w:r>
        <w:rPr>
          <w:sz w:val="24"/>
        </w:rPr>
        <w:t>or the </w:t>
      </w:r>
      <w:r>
        <w:rPr>
          <w:i/>
          <w:sz w:val="24"/>
        </w:rPr>
        <w:t>Metering Coordinator</w:t>
      </w:r>
      <w:r>
        <w:rPr>
          <w:sz w:val="24"/>
        </w:rPr>
        <w:t>, as appropriate, in a manner consistent with this</w:t>
      </w:r>
      <w:r>
        <w:rPr>
          <w:spacing w:val="-1"/>
          <w:sz w:val="24"/>
        </w:rPr>
        <w:t> </w:t>
      </w:r>
      <w:r>
        <w:rPr>
          <w:sz w:val="24"/>
        </w:rPr>
        <w:t>Part.</w:t>
      </w:r>
    </w:p>
    <w:p>
      <w:pPr>
        <w:pStyle w:val="ListParagraph"/>
        <w:numPr>
          <w:ilvl w:val="0"/>
          <w:numId w:val="563"/>
        </w:numPr>
        <w:tabs>
          <w:tab w:pos="1919" w:val="left" w:leader="none"/>
        </w:tabs>
        <w:spacing w:line="240" w:lineRule="auto" w:before="120" w:after="0"/>
        <w:ind w:left="1918" w:right="0" w:hanging="567"/>
        <w:jc w:val="both"/>
        <w:rPr>
          <w:sz w:val="24"/>
        </w:rPr>
      </w:pPr>
      <w:r>
        <w:rPr>
          <w:sz w:val="24"/>
        </w:rPr>
        <w:t>Substitutions may be required in the following</w:t>
      </w:r>
      <w:r>
        <w:rPr>
          <w:spacing w:val="-1"/>
          <w:sz w:val="24"/>
        </w:rPr>
        <w:t> </w:t>
      </w:r>
      <w:r>
        <w:rPr>
          <w:sz w:val="24"/>
        </w:rPr>
        <w:t>circumstances:</w:t>
      </w:r>
    </w:p>
    <w:p>
      <w:pPr>
        <w:pStyle w:val="ListParagraph"/>
        <w:numPr>
          <w:ilvl w:val="1"/>
          <w:numId w:val="563"/>
        </w:numPr>
        <w:tabs>
          <w:tab w:pos="2486" w:val="left" w:leader="none"/>
        </w:tabs>
        <w:spacing w:line="240" w:lineRule="auto" w:before="120" w:after="0"/>
        <w:ind w:left="2486" w:right="416" w:hanging="567"/>
        <w:jc w:val="both"/>
        <w:rPr>
          <w:sz w:val="24"/>
        </w:rPr>
      </w:pPr>
      <w:r>
        <w:rPr>
          <w:sz w:val="24"/>
        </w:rPr>
        <w:t>where the system or equipment supporting the remote or manual collection of </w:t>
      </w:r>
      <w:r>
        <w:rPr>
          <w:i/>
          <w:sz w:val="24"/>
        </w:rPr>
        <w:t>metering data </w:t>
      </w:r>
      <w:r>
        <w:rPr>
          <w:sz w:val="24"/>
        </w:rPr>
        <w:t>has failed or is</w:t>
      </w:r>
      <w:r>
        <w:rPr>
          <w:spacing w:val="-4"/>
          <w:sz w:val="24"/>
        </w:rPr>
        <w:t> </w:t>
      </w:r>
      <w:r>
        <w:rPr>
          <w:sz w:val="24"/>
        </w:rPr>
        <w:t>faulty;</w:t>
      </w:r>
    </w:p>
    <w:p>
      <w:pPr>
        <w:spacing w:after="0" w:line="240" w:lineRule="auto"/>
        <w:jc w:val="both"/>
        <w:rPr>
          <w:sz w:val="24"/>
        </w:rPr>
        <w:sectPr>
          <w:pgSz w:w="11910" w:h="16840"/>
          <w:pgMar w:header="686" w:footer="637" w:top="1320" w:bottom="820" w:left="1200" w:right="1000"/>
        </w:sectPr>
      </w:pPr>
    </w:p>
    <w:p>
      <w:pPr>
        <w:pStyle w:val="ListParagraph"/>
        <w:numPr>
          <w:ilvl w:val="1"/>
          <w:numId w:val="563"/>
        </w:numPr>
        <w:tabs>
          <w:tab w:pos="2486" w:val="left" w:leader="none"/>
        </w:tabs>
        <w:spacing w:line="240" w:lineRule="auto" w:before="83" w:after="0"/>
        <w:ind w:left="2486" w:right="415" w:hanging="567"/>
        <w:jc w:val="both"/>
        <w:rPr>
          <w:sz w:val="24"/>
        </w:rPr>
      </w:pPr>
      <w:r>
        <w:rPr>
          <w:sz w:val="24"/>
        </w:rPr>
        <w:t>where the </w:t>
      </w:r>
      <w:r>
        <w:rPr>
          <w:i/>
          <w:sz w:val="24"/>
        </w:rPr>
        <w:t>metering installation </w:t>
      </w:r>
      <w:r>
        <w:rPr>
          <w:sz w:val="24"/>
        </w:rPr>
        <w:t>for a </w:t>
      </w:r>
      <w:r>
        <w:rPr>
          <w:i/>
          <w:sz w:val="24"/>
        </w:rPr>
        <w:t>connection point </w:t>
      </w:r>
      <w:r>
        <w:rPr>
          <w:sz w:val="24"/>
        </w:rPr>
        <w:t>has failed or is removed from</w:t>
      </w:r>
      <w:r>
        <w:rPr>
          <w:spacing w:val="-3"/>
          <w:sz w:val="24"/>
        </w:rPr>
        <w:t> </w:t>
      </w:r>
      <w:r>
        <w:rPr>
          <w:sz w:val="24"/>
        </w:rPr>
        <w:t>service;</w:t>
      </w:r>
    </w:p>
    <w:p>
      <w:pPr>
        <w:pStyle w:val="ListParagraph"/>
        <w:numPr>
          <w:ilvl w:val="1"/>
          <w:numId w:val="563"/>
        </w:numPr>
        <w:tabs>
          <w:tab w:pos="2486" w:val="left" w:leader="none"/>
        </w:tabs>
        <w:spacing w:line="240" w:lineRule="auto" w:before="120" w:after="0"/>
        <w:ind w:left="2486" w:right="414" w:hanging="567"/>
        <w:jc w:val="both"/>
        <w:rPr>
          <w:sz w:val="24"/>
        </w:rPr>
      </w:pPr>
      <w:r>
        <w:rPr>
          <w:sz w:val="24"/>
        </w:rPr>
        <w:t>to enable timely provision of </w:t>
      </w:r>
      <w:r>
        <w:rPr>
          <w:i/>
          <w:sz w:val="24"/>
        </w:rPr>
        <w:t>metering data </w:t>
      </w:r>
      <w:r>
        <w:rPr>
          <w:sz w:val="24"/>
        </w:rPr>
        <w:t>to financially responsible participants or </w:t>
      </w:r>
      <w:r>
        <w:rPr>
          <w:i/>
          <w:sz w:val="24"/>
        </w:rPr>
        <w:t>NTESMO </w:t>
      </w:r>
      <w:r>
        <w:rPr>
          <w:sz w:val="24"/>
        </w:rPr>
        <w:t>for </w:t>
      </w:r>
      <w:r>
        <w:rPr>
          <w:i/>
          <w:sz w:val="24"/>
        </w:rPr>
        <w:t>billing transactions </w:t>
      </w:r>
      <w:r>
        <w:rPr>
          <w:sz w:val="24"/>
        </w:rPr>
        <w:t>or </w:t>
      </w:r>
      <w:r>
        <w:rPr>
          <w:i/>
          <w:sz w:val="24"/>
        </w:rPr>
        <w:t>settlements </w:t>
      </w:r>
      <w:r>
        <w:rPr>
          <w:sz w:val="24"/>
        </w:rPr>
        <w:t>purposes, as</w:t>
      </w:r>
      <w:r>
        <w:rPr>
          <w:spacing w:val="-1"/>
          <w:sz w:val="24"/>
        </w:rPr>
        <w:t> </w:t>
      </w:r>
      <w:r>
        <w:rPr>
          <w:sz w:val="24"/>
        </w:rPr>
        <w:t>relevant;</w:t>
      </w:r>
    </w:p>
    <w:p>
      <w:pPr>
        <w:pStyle w:val="ListParagraph"/>
        <w:numPr>
          <w:ilvl w:val="1"/>
          <w:numId w:val="563"/>
        </w:numPr>
        <w:tabs>
          <w:tab w:pos="2486" w:val="left" w:leader="none"/>
        </w:tabs>
        <w:spacing w:line="240" w:lineRule="auto" w:before="120" w:after="0"/>
        <w:ind w:left="2485" w:right="0" w:hanging="567"/>
        <w:jc w:val="both"/>
        <w:rPr>
          <w:sz w:val="24"/>
        </w:rPr>
      </w:pPr>
      <w:r>
        <w:rPr>
          <w:sz w:val="24"/>
        </w:rPr>
        <w:t>in situations where </w:t>
      </w:r>
      <w:r>
        <w:rPr>
          <w:i/>
          <w:sz w:val="24"/>
        </w:rPr>
        <w:t>metering data </w:t>
      </w:r>
      <w:r>
        <w:rPr>
          <w:sz w:val="24"/>
        </w:rPr>
        <w:t>has been irretrievably</w:t>
      </w:r>
      <w:r>
        <w:rPr>
          <w:spacing w:val="-7"/>
          <w:sz w:val="24"/>
        </w:rPr>
        <w:t> </w:t>
      </w:r>
      <w:r>
        <w:rPr>
          <w:sz w:val="24"/>
        </w:rPr>
        <w:t>lost;</w:t>
      </w:r>
    </w:p>
    <w:p>
      <w:pPr>
        <w:pStyle w:val="ListParagraph"/>
        <w:numPr>
          <w:ilvl w:val="1"/>
          <w:numId w:val="563"/>
        </w:numPr>
        <w:tabs>
          <w:tab w:pos="2486" w:val="left" w:leader="none"/>
        </w:tabs>
        <w:spacing w:line="240" w:lineRule="auto" w:before="120" w:after="0"/>
        <w:ind w:left="2485" w:right="0" w:hanging="567"/>
        <w:jc w:val="both"/>
        <w:rPr>
          <w:sz w:val="24"/>
        </w:rPr>
      </w:pPr>
      <w:r>
        <w:rPr>
          <w:sz w:val="24"/>
        </w:rPr>
        <w:t>where the </w:t>
      </w:r>
      <w:r>
        <w:rPr>
          <w:i/>
          <w:sz w:val="24"/>
        </w:rPr>
        <w:t>metering data </w:t>
      </w:r>
      <w:r>
        <w:rPr>
          <w:sz w:val="24"/>
        </w:rPr>
        <w:t>is found to be erroneous or</w:t>
      </w:r>
      <w:r>
        <w:rPr>
          <w:spacing w:val="-7"/>
          <w:sz w:val="24"/>
        </w:rPr>
        <w:t> </w:t>
      </w:r>
      <w:r>
        <w:rPr>
          <w:sz w:val="24"/>
        </w:rPr>
        <w:t>incomplete;</w:t>
      </w:r>
    </w:p>
    <w:p>
      <w:pPr>
        <w:pStyle w:val="ListParagraph"/>
        <w:numPr>
          <w:ilvl w:val="1"/>
          <w:numId w:val="563"/>
        </w:numPr>
        <w:tabs>
          <w:tab w:pos="2485" w:val="left" w:leader="none"/>
          <w:tab w:pos="2486" w:val="left" w:leader="none"/>
        </w:tabs>
        <w:spacing w:line="240" w:lineRule="auto" w:before="120" w:after="0"/>
        <w:ind w:left="2486" w:right="416" w:hanging="567"/>
        <w:jc w:val="left"/>
        <w:rPr>
          <w:sz w:val="24"/>
        </w:rPr>
      </w:pPr>
      <w:r>
        <w:rPr>
          <w:sz w:val="24"/>
        </w:rPr>
        <w:t>where </w:t>
      </w:r>
      <w:r>
        <w:rPr>
          <w:i/>
          <w:sz w:val="24"/>
        </w:rPr>
        <w:t>metering data </w:t>
      </w:r>
      <w:r>
        <w:rPr>
          <w:sz w:val="24"/>
        </w:rPr>
        <w:t>has not completed validation as part of the registration or transfer of a </w:t>
      </w:r>
      <w:r>
        <w:rPr>
          <w:i/>
          <w:sz w:val="24"/>
        </w:rPr>
        <w:t>connection</w:t>
      </w:r>
      <w:r>
        <w:rPr>
          <w:i/>
          <w:spacing w:val="-1"/>
          <w:sz w:val="24"/>
        </w:rPr>
        <w:t> </w:t>
      </w:r>
      <w:r>
        <w:rPr>
          <w:i/>
          <w:sz w:val="24"/>
        </w:rPr>
        <w:t>point</w:t>
      </w:r>
      <w:r>
        <w:rPr>
          <w:sz w:val="24"/>
        </w:rPr>
        <w:t>;</w:t>
      </w:r>
    </w:p>
    <w:p>
      <w:pPr>
        <w:pStyle w:val="ListParagraph"/>
        <w:numPr>
          <w:ilvl w:val="1"/>
          <w:numId w:val="563"/>
        </w:numPr>
        <w:tabs>
          <w:tab w:pos="2485" w:val="left" w:leader="none"/>
          <w:tab w:pos="2486" w:val="left" w:leader="none"/>
        </w:tabs>
        <w:spacing w:line="240" w:lineRule="auto" w:before="120" w:after="0"/>
        <w:ind w:left="2486" w:right="416" w:hanging="567"/>
        <w:jc w:val="left"/>
        <w:rPr>
          <w:sz w:val="24"/>
        </w:rPr>
      </w:pPr>
      <w:r>
        <w:rPr>
          <w:sz w:val="24"/>
        </w:rPr>
        <w:t>where </w:t>
      </w:r>
      <w:r>
        <w:rPr>
          <w:i/>
          <w:sz w:val="24"/>
        </w:rPr>
        <w:t>metering data </w:t>
      </w:r>
      <w:r>
        <w:rPr>
          <w:sz w:val="24"/>
        </w:rPr>
        <w:t>has failed or has not completed the validation process;</w:t>
      </w:r>
    </w:p>
    <w:p>
      <w:pPr>
        <w:pStyle w:val="ListParagraph"/>
        <w:numPr>
          <w:ilvl w:val="1"/>
          <w:numId w:val="563"/>
        </w:numPr>
        <w:tabs>
          <w:tab w:pos="2485" w:val="left" w:leader="none"/>
          <w:tab w:pos="2486" w:val="left" w:leader="none"/>
        </w:tabs>
        <w:spacing w:line="240" w:lineRule="auto" w:before="120" w:after="0"/>
        <w:ind w:left="2486" w:right="415" w:hanging="567"/>
        <w:jc w:val="left"/>
        <w:rPr>
          <w:sz w:val="24"/>
        </w:rPr>
      </w:pPr>
      <w:r>
        <w:rPr>
          <w:sz w:val="24"/>
        </w:rPr>
        <w:t>where </w:t>
      </w:r>
      <w:r>
        <w:rPr>
          <w:i/>
          <w:sz w:val="24"/>
        </w:rPr>
        <w:t>metering data </w:t>
      </w:r>
      <w:r>
        <w:rPr>
          <w:sz w:val="24"/>
        </w:rPr>
        <w:t>cannot be obtained in the performance timeframes required for the data period in</w:t>
      </w:r>
      <w:r>
        <w:rPr>
          <w:spacing w:val="-2"/>
          <w:sz w:val="24"/>
        </w:rPr>
        <w:t> </w:t>
      </w:r>
      <w:r>
        <w:rPr>
          <w:sz w:val="24"/>
        </w:rPr>
        <w:t>question:</w:t>
      </w:r>
    </w:p>
    <w:p>
      <w:pPr>
        <w:pStyle w:val="ListParagraph"/>
        <w:numPr>
          <w:ilvl w:val="2"/>
          <w:numId w:val="563"/>
        </w:numPr>
        <w:tabs>
          <w:tab w:pos="3053" w:val="left" w:leader="none"/>
        </w:tabs>
        <w:spacing w:line="240" w:lineRule="auto" w:before="120" w:after="0"/>
        <w:ind w:left="3053" w:right="414" w:hanging="567"/>
        <w:jc w:val="both"/>
        <w:rPr>
          <w:sz w:val="24"/>
        </w:rPr>
      </w:pPr>
      <w:r>
        <w:rPr>
          <w:i/>
          <w:sz w:val="24"/>
        </w:rPr>
        <w:t>metering data </w:t>
      </w:r>
      <w:r>
        <w:rPr>
          <w:sz w:val="24"/>
        </w:rPr>
        <w:t>for </w:t>
      </w:r>
      <w:r>
        <w:rPr>
          <w:i/>
          <w:sz w:val="24"/>
        </w:rPr>
        <w:t>metering installations </w:t>
      </w:r>
      <w:r>
        <w:rPr>
          <w:sz w:val="24"/>
        </w:rPr>
        <w:t>with </w:t>
      </w:r>
      <w:r>
        <w:rPr>
          <w:i/>
          <w:sz w:val="24"/>
        </w:rPr>
        <w:t>remote acquisition </w:t>
      </w:r>
      <w:r>
        <w:rPr>
          <w:sz w:val="24"/>
        </w:rPr>
        <w:t>must be substituted if </w:t>
      </w:r>
      <w:r>
        <w:rPr>
          <w:i/>
          <w:sz w:val="24"/>
        </w:rPr>
        <w:t>metering data </w:t>
      </w:r>
      <w:r>
        <w:rPr>
          <w:sz w:val="24"/>
        </w:rPr>
        <w:t>cannot be obtained to meet either </w:t>
      </w:r>
      <w:r>
        <w:rPr>
          <w:i/>
          <w:sz w:val="24"/>
        </w:rPr>
        <w:t>settlements </w:t>
      </w:r>
      <w:r>
        <w:rPr>
          <w:sz w:val="24"/>
        </w:rPr>
        <w:t>or </w:t>
      </w:r>
      <w:r>
        <w:rPr>
          <w:i/>
          <w:sz w:val="24"/>
        </w:rPr>
        <w:t>billing transactions </w:t>
      </w:r>
      <w:r>
        <w:rPr>
          <w:sz w:val="24"/>
        </w:rPr>
        <w:t>timeframes, as relevant, or the required performance in Schedule 7A.8 Part C;</w:t>
      </w:r>
      <w:r>
        <w:rPr>
          <w:spacing w:val="-8"/>
          <w:sz w:val="24"/>
        </w:rPr>
        <w:t> </w:t>
      </w:r>
      <w:r>
        <w:rPr>
          <w:sz w:val="24"/>
        </w:rPr>
        <w:t>and</w:t>
      </w:r>
    </w:p>
    <w:p>
      <w:pPr>
        <w:pStyle w:val="ListParagraph"/>
        <w:numPr>
          <w:ilvl w:val="2"/>
          <w:numId w:val="563"/>
        </w:numPr>
        <w:tabs>
          <w:tab w:pos="3054" w:val="left" w:leader="none"/>
        </w:tabs>
        <w:spacing w:line="240" w:lineRule="auto" w:before="120" w:after="0"/>
        <w:ind w:left="3053" w:right="415" w:hanging="567"/>
        <w:jc w:val="both"/>
        <w:rPr>
          <w:sz w:val="24"/>
        </w:rPr>
      </w:pPr>
      <w:r>
        <w:rPr>
          <w:i/>
          <w:sz w:val="24"/>
        </w:rPr>
        <w:t>metering data </w:t>
      </w:r>
      <w:r>
        <w:rPr>
          <w:sz w:val="24"/>
        </w:rPr>
        <w:t>for manually read </w:t>
      </w:r>
      <w:r>
        <w:rPr>
          <w:i/>
          <w:sz w:val="24"/>
        </w:rPr>
        <w:t>metering installations </w:t>
      </w:r>
      <w:r>
        <w:rPr>
          <w:sz w:val="24"/>
        </w:rPr>
        <w:t>must be substituted if </w:t>
      </w:r>
      <w:r>
        <w:rPr>
          <w:i/>
          <w:sz w:val="24"/>
        </w:rPr>
        <w:t>metering data </w:t>
      </w:r>
      <w:r>
        <w:rPr>
          <w:sz w:val="24"/>
        </w:rPr>
        <w:t>cannot be obtained on or within the expected timeframe of the next scheduled reading date for a </w:t>
      </w:r>
      <w:r>
        <w:rPr>
          <w:i/>
          <w:sz w:val="24"/>
        </w:rPr>
        <w:t>connection point</w:t>
      </w:r>
      <w:r>
        <w:rPr>
          <w:sz w:val="24"/>
        </w:rPr>
        <w:t>, and any historical or previous </w:t>
      </w:r>
      <w:r>
        <w:rPr>
          <w:i/>
          <w:sz w:val="24"/>
        </w:rPr>
        <w:t>estimated </w:t>
      </w:r>
      <w:r>
        <w:rPr>
          <w:i/>
          <w:sz w:val="24"/>
        </w:rPr>
        <w:t>metering data </w:t>
      </w:r>
      <w:r>
        <w:rPr>
          <w:sz w:val="24"/>
        </w:rPr>
        <w:t>must be replaced with </w:t>
      </w:r>
      <w:r>
        <w:rPr>
          <w:i/>
          <w:sz w:val="24"/>
        </w:rPr>
        <w:t>substituted metering</w:t>
      </w:r>
      <w:r>
        <w:rPr>
          <w:i/>
          <w:spacing w:val="-16"/>
          <w:sz w:val="24"/>
        </w:rPr>
        <w:t> </w:t>
      </w:r>
      <w:r>
        <w:rPr>
          <w:i/>
          <w:sz w:val="24"/>
        </w:rPr>
        <w:t>data</w:t>
      </w:r>
      <w:r>
        <w:rPr>
          <w:sz w:val="24"/>
        </w:rPr>
        <w:t>;</w:t>
      </w:r>
    </w:p>
    <w:p>
      <w:pPr>
        <w:pStyle w:val="ListParagraph"/>
        <w:numPr>
          <w:ilvl w:val="1"/>
          <w:numId w:val="563"/>
        </w:numPr>
        <w:tabs>
          <w:tab w:pos="2486" w:val="left" w:leader="none"/>
        </w:tabs>
        <w:spacing w:line="240" w:lineRule="auto" w:before="120" w:after="0"/>
        <w:ind w:left="2486" w:right="414" w:hanging="567"/>
        <w:jc w:val="both"/>
        <w:rPr>
          <w:sz w:val="24"/>
        </w:rPr>
      </w:pPr>
      <w:r>
        <w:rPr>
          <w:sz w:val="24"/>
        </w:rPr>
        <w:t>when an inspection or test on the </w:t>
      </w:r>
      <w:r>
        <w:rPr>
          <w:i/>
          <w:sz w:val="24"/>
        </w:rPr>
        <w:t>metering installation </w:t>
      </w:r>
      <w:r>
        <w:rPr>
          <w:sz w:val="24"/>
        </w:rPr>
        <w:t>establishes that a measurement error exists due to a </w:t>
      </w:r>
      <w:r>
        <w:rPr>
          <w:i/>
          <w:sz w:val="24"/>
        </w:rPr>
        <w:t>metering installation</w:t>
      </w:r>
      <w:r>
        <w:rPr>
          <w:i/>
          <w:spacing w:val="-8"/>
          <w:sz w:val="24"/>
        </w:rPr>
        <w:t> </w:t>
      </w:r>
      <w:r>
        <w:rPr>
          <w:sz w:val="24"/>
        </w:rPr>
        <w:t>fault;</w:t>
      </w:r>
    </w:p>
    <w:p>
      <w:pPr>
        <w:pStyle w:val="ListParagraph"/>
        <w:numPr>
          <w:ilvl w:val="1"/>
          <w:numId w:val="563"/>
        </w:numPr>
        <w:tabs>
          <w:tab w:pos="2486" w:val="left" w:leader="none"/>
        </w:tabs>
        <w:spacing w:line="240" w:lineRule="auto" w:before="120" w:after="0"/>
        <w:ind w:left="2486" w:right="416" w:hanging="567"/>
        <w:jc w:val="both"/>
        <w:rPr>
          <w:sz w:val="24"/>
        </w:rPr>
      </w:pPr>
      <w:r>
        <w:rPr>
          <w:sz w:val="24"/>
        </w:rPr>
        <w:t>when the affected financially responsible participant, the </w:t>
      </w:r>
      <w:r>
        <w:rPr>
          <w:spacing w:val="-3"/>
          <w:sz w:val="24"/>
        </w:rPr>
        <w:t>relevant </w:t>
      </w:r>
      <w:r>
        <w:rPr>
          <w:i/>
          <w:sz w:val="24"/>
        </w:rPr>
        <w:t>retailer </w:t>
      </w:r>
      <w:r>
        <w:rPr>
          <w:sz w:val="24"/>
        </w:rPr>
        <w:t>and </w:t>
      </w:r>
      <w:r>
        <w:rPr>
          <w:i/>
          <w:sz w:val="24"/>
        </w:rPr>
        <w:t>Local Network Service Provider </w:t>
      </w:r>
      <w:r>
        <w:rPr>
          <w:sz w:val="24"/>
        </w:rPr>
        <w:t>have all agreed and subsequently informed the </w:t>
      </w:r>
      <w:r>
        <w:rPr>
          <w:i/>
          <w:sz w:val="24"/>
        </w:rPr>
        <w:t>Metering Data Provider </w:t>
      </w:r>
      <w:r>
        <w:rPr>
          <w:sz w:val="24"/>
        </w:rPr>
        <w:t>that a previous substitution was inaccurate and that a re- substitution of </w:t>
      </w:r>
      <w:r>
        <w:rPr>
          <w:i/>
          <w:sz w:val="24"/>
        </w:rPr>
        <w:t>metering data </w:t>
      </w:r>
      <w:r>
        <w:rPr>
          <w:sz w:val="24"/>
        </w:rPr>
        <w:t>is required;</w:t>
      </w:r>
    </w:p>
    <w:p>
      <w:pPr>
        <w:pStyle w:val="ListParagraph"/>
        <w:numPr>
          <w:ilvl w:val="1"/>
          <w:numId w:val="563"/>
        </w:numPr>
        <w:tabs>
          <w:tab w:pos="2486" w:val="left" w:leader="none"/>
        </w:tabs>
        <w:spacing w:line="240" w:lineRule="auto" w:before="120" w:after="0"/>
        <w:ind w:left="2486" w:right="414" w:hanging="567"/>
        <w:jc w:val="both"/>
        <w:rPr>
          <w:sz w:val="24"/>
        </w:rPr>
      </w:pPr>
      <w:r>
        <w:rPr>
          <w:sz w:val="24"/>
        </w:rPr>
        <w:t>where the </w:t>
      </w:r>
      <w:r>
        <w:rPr>
          <w:i/>
          <w:sz w:val="24"/>
        </w:rPr>
        <w:t>metering data </w:t>
      </w:r>
      <w:r>
        <w:rPr>
          <w:sz w:val="24"/>
        </w:rPr>
        <w:t>calculation has failed the validation tests for  a </w:t>
      </w:r>
      <w:r>
        <w:rPr>
          <w:i/>
          <w:sz w:val="24"/>
        </w:rPr>
        <w:t>metering installation </w:t>
      </w:r>
      <w:r>
        <w:rPr>
          <w:sz w:val="24"/>
        </w:rPr>
        <w:t>with </w:t>
      </w:r>
      <w:r>
        <w:rPr>
          <w:i/>
          <w:sz w:val="24"/>
        </w:rPr>
        <w:t>calculated metering</w:t>
      </w:r>
      <w:r>
        <w:rPr>
          <w:i/>
          <w:spacing w:val="-5"/>
          <w:sz w:val="24"/>
        </w:rPr>
        <w:t> </w:t>
      </w:r>
      <w:r>
        <w:rPr>
          <w:i/>
          <w:sz w:val="24"/>
        </w:rPr>
        <w:t>data</w:t>
      </w:r>
      <w:r>
        <w:rPr>
          <w:sz w:val="24"/>
        </w:rPr>
        <w:t>;</w:t>
      </w:r>
    </w:p>
    <w:p>
      <w:pPr>
        <w:pStyle w:val="ListParagraph"/>
        <w:numPr>
          <w:ilvl w:val="1"/>
          <w:numId w:val="563"/>
        </w:numPr>
        <w:tabs>
          <w:tab w:pos="2486" w:val="left" w:leader="none"/>
        </w:tabs>
        <w:spacing w:line="240" w:lineRule="auto" w:before="120" w:after="0"/>
        <w:ind w:left="2485" w:right="0" w:hanging="567"/>
        <w:jc w:val="both"/>
        <w:rPr>
          <w:sz w:val="24"/>
        </w:rPr>
      </w:pPr>
      <w:r>
        <w:rPr>
          <w:sz w:val="24"/>
        </w:rPr>
        <w:t>in response to customer transfers authorised in this</w:t>
      </w:r>
      <w:r>
        <w:rPr>
          <w:spacing w:val="-6"/>
          <w:sz w:val="24"/>
        </w:rPr>
        <w:t> </w:t>
      </w:r>
      <w:r>
        <w:rPr>
          <w:sz w:val="24"/>
        </w:rPr>
        <w:t>jurisdiction;</w:t>
      </w:r>
    </w:p>
    <w:p>
      <w:pPr>
        <w:pStyle w:val="ListParagraph"/>
        <w:numPr>
          <w:ilvl w:val="1"/>
          <w:numId w:val="563"/>
        </w:numPr>
        <w:tabs>
          <w:tab w:pos="2486" w:val="left" w:leader="none"/>
        </w:tabs>
        <w:spacing w:line="240" w:lineRule="auto" w:before="120" w:after="0"/>
        <w:ind w:left="2485" w:right="0" w:hanging="567"/>
        <w:jc w:val="both"/>
        <w:rPr>
          <w:sz w:val="24"/>
        </w:rPr>
      </w:pPr>
      <w:r>
        <w:rPr>
          <w:sz w:val="24"/>
        </w:rPr>
        <w:t>in situations involving meter</w:t>
      </w:r>
      <w:r>
        <w:rPr>
          <w:spacing w:val="-2"/>
          <w:sz w:val="24"/>
        </w:rPr>
        <w:t> </w:t>
      </w:r>
      <w:r>
        <w:rPr>
          <w:sz w:val="24"/>
        </w:rPr>
        <w:t>churn.</w:t>
      </w:r>
    </w:p>
    <w:p>
      <w:pPr>
        <w:pStyle w:val="BodyText"/>
        <w:spacing w:before="10"/>
        <w:ind w:firstLine="0"/>
        <w:jc w:val="left"/>
        <w:rPr>
          <w:sz w:val="20"/>
        </w:rPr>
      </w:pPr>
    </w:p>
    <w:p>
      <w:pPr>
        <w:pStyle w:val="Heading4"/>
        <w:ind w:left="218" w:firstLine="0"/>
      </w:pPr>
      <w:bookmarkStart w:name="S7A.7.8.3 Estimation requirement" w:id="2010"/>
      <w:bookmarkEnd w:id="2010"/>
      <w:r>
        <w:rPr>
          <w:b w:val="0"/>
        </w:rPr>
      </w:r>
      <w:bookmarkStart w:name="_bookmark829" w:id="2011"/>
      <w:bookmarkEnd w:id="2011"/>
      <w:r>
        <w:rPr>
          <w:b w:val="0"/>
        </w:rPr>
      </w:r>
      <w:r>
        <w:rPr/>
        <w:t>S7A.7.8.3 Estimation requirement</w:t>
      </w:r>
    </w:p>
    <w:p>
      <w:pPr>
        <w:pStyle w:val="ListParagraph"/>
        <w:numPr>
          <w:ilvl w:val="0"/>
          <w:numId w:val="564"/>
        </w:numPr>
        <w:tabs>
          <w:tab w:pos="1918" w:val="left" w:leader="none"/>
          <w:tab w:pos="1919" w:val="left" w:leader="none"/>
        </w:tabs>
        <w:spacing w:line="240" w:lineRule="auto" w:before="120" w:after="0"/>
        <w:ind w:left="1918" w:right="0" w:hanging="567"/>
        <w:jc w:val="left"/>
        <w:rPr>
          <w:sz w:val="24"/>
        </w:rPr>
      </w:pPr>
      <w:r>
        <w:rPr>
          <w:sz w:val="24"/>
        </w:rPr>
        <w:t>The</w:t>
      </w:r>
      <w:r>
        <w:rPr>
          <w:spacing w:val="33"/>
          <w:sz w:val="24"/>
        </w:rPr>
        <w:t> </w:t>
      </w:r>
      <w:r>
        <w:rPr>
          <w:i/>
          <w:sz w:val="24"/>
        </w:rPr>
        <w:t>Metering</w:t>
      </w:r>
      <w:r>
        <w:rPr>
          <w:i/>
          <w:spacing w:val="33"/>
          <w:sz w:val="24"/>
        </w:rPr>
        <w:t> </w:t>
      </w:r>
      <w:r>
        <w:rPr>
          <w:i/>
          <w:sz w:val="24"/>
        </w:rPr>
        <w:t>Data</w:t>
      </w:r>
      <w:r>
        <w:rPr>
          <w:i/>
          <w:spacing w:val="34"/>
          <w:sz w:val="24"/>
        </w:rPr>
        <w:t> </w:t>
      </w:r>
      <w:r>
        <w:rPr>
          <w:i/>
          <w:sz w:val="24"/>
        </w:rPr>
        <w:t>Provider</w:t>
      </w:r>
      <w:r>
        <w:rPr>
          <w:i/>
          <w:spacing w:val="33"/>
          <w:sz w:val="24"/>
        </w:rPr>
        <w:t> </w:t>
      </w:r>
      <w:r>
        <w:rPr>
          <w:sz w:val="24"/>
        </w:rPr>
        <w:t>must</w:t>
      </w:r>
      <w:r>
        <w:rPr>
          <w:spacing w:val="33"/>
          <w:sz w:val="24"/>
        </w:rPr>
        <w:t> </w:t>
      </w:r>
      <w:r>
        <w:rPr>
          <w:sz w:val="24"/>
        </w:rPr>
        <w:t>undertake</w:t>
      </w:r>
      <w:r>
        <w:rPr>
          <w:spacing w:val="34"/>
          <w:sz w:val="24"/>
        </w:rPr>
        <w:t> </w:t>
      </w:r>
      <w:r>
        <w:rPr>
          <w:sz w:val="24"/>
        </w:rPr>
        <w:t>estimations</w:t>
      </w:r>
      <w:r>
        <w:rPr>
          <w:spacing w:val="33"/>
          <w:sz w:val="24"/>
        </w:rPr>
        <w:t> </w:t>
      </w:r>
      <w:r>
        <w:rPr>
          <w:sz w:val="24"/>
        </w:rPr>
        <w:t>on</w:t>
      </w:r>
      <w:r>
        <w:rPr>
          <w:spacing w:val="34"/>
          <w:sz w:val="24"/>
        </w:rPr>
        <w:t> </w:t>
      </w:r>
      <w:r>
        <w:rPr>
          <w:sz w:val="24"/>
        </w:rPr>
        <w:t>behalf</w:t>
      </w:r>
      <w:r>
        <w:rPr>
          <w:spacing w:val="33"/>
          <w:sz w:val="24"/>
        </w:rPr>
        <w:t> </w:t>
      </w:r>
      <w:r>
        <w:rPr>
          <w:sz w:val="24"/>
        </w:rPr>
        <w:t>of</w:t>
      </w:r>
      <w:r>
        <w:rPr>
          <w:spacing w:val="33"/>
          <w:sz w:val="24"/>
        </w:rPr>
        <w:t> </w:t>
      </w:r>
      <w:r>
        <w:rPr>
          <w:sz w:val="24"/>
        </w:rPr>
        <w:t>the</w:t>
      </w:r>
    </w:p>
    <w:p>
      <w:pPr>
        <w:spacing w:before="0"/>
        <w:ind w:left="1789" w:right="2033" w:firstLine="0"/>
        <w:jc w:val="right"/>
        <w:rPr>
          <w:sz w:val="24"/>
        </w:rPr>
      </w:pPr>
      <w:r>
        <w:rPr>
          <w:i/>
          <w:sz w:val="24"/>
        </w:rPr>
        <w:t>Metering Coordinator </w:t>
      </w:r>
      <w:r>
        <w:rPr>
          <w:sz w:val="24"/>
        </w:rPr>
        <w:t>in a manner consistent with this Part.</w:t>
      </w:r>
    </w:p>
    <w:p>
      <w:pPr>
        <w:pStyle w:val="ListParagraph"/>
        <w:numPr>
          <w:ilvl w:val="0"/>
          <w:numId w:val="564"/>
        </w:numPr>
        <w:tabs>
          <w:tab w:pos="566" w:val="left" w:leader="none"/>
          <w:tab w:pos="567" w:val="left" w:leader="none"/>
        </w:tabs>
        <w:spacing w:line="240" w:lineRule="auto" w:before="120" w:after="0"/>
        <w:ind w:left="1918" w:right="1953" w:hanging="1919"/>
        <w:jc w:val="right"/>
        <w:rPr>
          <w:sz w:val="24"/>
        </w:rPr>
      </w:pPr>
      <w:r>
        <w:rPr>
          <w:sz w:val="24"/>
        </w:rPr>
        <w:t>Estimations may be required in the following</w:t>
      </w:r>
      <w:r>
        <w:rPr>
          <w:spacing w:val="-4"/>
          <w:sz w:val="24"/>
        </w:rPr>
        <w:t> </w:t>
      </w:r>
      <w:r>
        <w:rPr>
          <w:sz w:val="24"/>
        </w:rPr>
        <w:t>circumstances:</w:t>
      </w:r>
    </w:p>
    <w:p>
      <w:pPr>
        <w:pStyle w:val="ListParagraph"/>
        <w:numPr>
          <w:ilvl w:val="1"/>
          <w:numId w:val="564"/>
        </w:numPr>
        <w:tabs>
          <w:tab w:pos="2485" w:val="left" w:leader="none"/>
          <w:tab w:pos="2486" w:val="left" w:leader="none"/>
        </w:tabs>
        <w:spacing w:line="240" w:lineRule="auto" w:before="120" w:after="0"/>
        <w:ind w:left="2486" w:right="414" w:hanging="567"/>
        <w:jc w:val="left"/>
        <w:rPr>
          <w:sz w:val="24"/>
        </w:rPr>
      </w:pPr>
      <w:r>
        <w:rPr>
          <w:sz w:val="24"/>
        </w:rPr>
        <w:t>routinely for a period equal to or just greater than the period to the next scheduled reading date or another forward</w:t>
      </w:r>
      <w:r>
        <w:rPr>
          <w:spacing w:val="-2"/>
          <w:sz w:val="24"/>
        </w:rPr>
        <w:t> </w:t>
      </w:r>
      <w:r>
        <w:rPr>
          <w:sz w:val="24"/>
        </w:rPr>
        <w:t>period;</w:t>
      </w:r>
    </w:p>
    <w:p>
      <w:pPr>
        <w:pStyle w:val="ListParagraph"/>
        <w:numPr>
          <w:ilvl w:val="1"/>
          <w:numId w:val="564"/>
        </w:numPr>
        <w:tabs>
          <w:tab w:pos="2485" w:val="left" w:leader="none"/>
          <w:tab w:pos="2486" w:val="left" w:leader="none"/>
        </w:tabs>
        <w:spacing w:line="240" w:lineRule="auto" w:before="120" w:after="0"/>
        <w:ind w:left="2485" w:right="0" w:hanging="567"/>
        <w:jc w:val="left"/>
        <w:rPr>
          <w:sz w:val="24"/>
        </w:rPr>
      </w:pPr>
      <w:r>
        <w:rPr>
          <w:sz w:val="24"/>
        </w:rPr>
        <w:t>in response to customer transfers authorised in this</w:t>
      </w:r>
      <w:r>
        <w:rPr>
          <w:spacing w:val="-6"/>
          <w:sz w:val="24"/>
        </w:rPr>
        <w:t> </w:t>
      </w:r>
      <w:r>
        <w:rPr>
          <w:sz w:val="24"/>
        </w:rPr>
        <w:t>jurisdiction;</w:t>
      </w:r>
    </w:p>
    <w:p>
      <w:pPr>
        <w:pStyle w:val="ListParagraph"/>
        <w:numPr>
          <w:ilvl w:val="1"/>
          <w:numId w:val="564"/>
        </w:numPr>
        <w:tabs>
          <w:tab w:pos="2485" w:val="left" w:leader="none"/>
          <w:tab w:pos="2486" w:val="left" w:leader="none"/>
        </w:tabs>
        <w:spacing w:line="240" w:lineRule="auto" w:before="120" w:after="0"/>
        <w:ind w:left="2486" w:right="415" w:hanging="567"/>
        <w:jc w:val="left"/>
        <w:rPr>
          <w:i/>
          <w:sz w:val="24"/>
        </w:rPr>
      </w:pPr>
      <w:r>
        <w:rPr>
          <w:sz w:val="24"/>
        </w:rPr>
        <w:t>where the current published scheduled reading date has changed due to</w:t>
      </w:r>
      <w:r>
        <w:rPr>
          <w:spacing w:val="26"/>
          <w:sz w:val="24"/>
        </w:rPr>
        <w:t> </w:t>
      </w:r>
      <w:r>
        <w:rPr>
          <w:sz w:val="24"/>
        </w:rPr>
        <w:t>a</w:t>
      </w:r>
      <w:r>
        <w:rPr>
          <w:spacing w:val="26"/>
          <w:sz w:val="24"/>
        </w:rPr>
        <w:t> </w:t>
      </w:r>
      <w:r>
        <w:rPr>
          <w:sz w:val="24"/>
        </w:rPr>
        <w:t>revised</w:t>
      </w:r>
      <w:r>
        <w:rPr>
          <w:spacing w:val="26"/>
          <w:sz w:val="24"/>
        </w:rPr>
        <w:t> </w:t>
      </w:r>
      <w:r>
        <w:rPr>
          <w:sz w:val="24"/>
        </w:rPr>
        <w:t>scheduled</w:t>
      </w:r>
      <w:r>
        <w:rPr>
          <w:spacing w:val="26"/>
          <w:sz w:val="24"/>
        </w:rPr>
        <w:t> </w:t>
      </w:r>
      <w:r>
        <w:rPr>
          <w:sz w:val="24"/>
        </w:rPr>
        <w:t>reading</w:t>
      </w:r>
      <w:r>
        <w:rPr>
          <w:spacing w:val="26"/>
          <w:sz w:val="24"/>
        </w:rPr>
        <w:t> </w:t>
      </w:r>
      <w:r>
        <w:rPr>
          <w:sz w:val="24"/>
        </w:rPr>
        <w:t>route</w:t>
      </w:r>
      <w:r>
        <w:rPr>
          <w:spacing w:val="26"/>
          <w:sz w:val="24"/>
        </w:rPr>
        <w:t> </w:t>
      </w:r>
      <w:r>
        <w:rPr>
          <w:sz w:val="24"/>
        </w:rPr>
        <w:t>and</w:t>
      </w:r>
      <w:r>
        <w:rPr>
          <w:spacing w:val="26"/>
          <w:sz w:val="24"/>
        </w:rPr>
        <w:t> </w:t>
      </w:r>
      <w:r>
        <w:rPr>
          <w:sz w:val="24"/>
        </w:rPr>
        <w:t>the</w:t>
      </w:r>
      <w:r>
        <w:rPr>
          <w:spacing w:val="26"/>
          <w:sz w:val="24"/>
        </w:rPr>
        <w:t> </w:t>
      </w:r>
      <w:r>
        <w:rPr>
          <w:sz w:val="24"/>
        </w:rPr>
        <w:t>existing</w:t>
      </w:r>
      <w:r>
        <w:rPr>
          <w:spacing w:val="27"/>
          <w:sz w:val="24"/>
        </w:rPr>
        <w:t> </w:t>
      </w:r>
      <w:r>
        <w:rPr>
          <w:i/>
          <w:sz w:val="24"/>
        </w:rPr>
        <w:t>estimated</w:t>
      </w:r>
    </w:p>
    <w:p>
      <w:pPr>
        <w:spacing w:after="0" w:line="240" w:lineRule="auto"/>
        <w:jc w:val="left"/>
        <w:rPr>
          <w:sz w:val="24"/>
        </w:rPr>
        <w:sectPr>
          <w:pgSz w:w="11910" w:h="16840"/>
          <w:pgMar w:header="686" w:footer="637" w:top="1320" w:bottom="820" w:left="1200" w:right="1000"/>
        </w:sectPr>
      </w:pPr>
    </w:p>
    <w:p>
      <w:pPr>
        <w:spacing w:before="83"/>
        <w:ind w:left="2486" w:right="415" w:firstLine="0"/>
        <w:jc w:val="both"/>
        <w:rPr>
          <w:sz w:val="24"/>
        </w:rPr>
      </w:pPr>
      <w:r>
        <w:rPr>
          <w:i/>
          <w:sz w:val="24"/>
        </w:rPr>
        <w:t>metering data </w:t>
      </w:r>
      <w:r>
        <w:rPr>
          <w:sz w:val="24"/>
        </w:rPr>
        <w:t>does not extend to or beyond the revised next scheduled reading date, and in this case the </w:t>
      </w:r>
      <w:r>
        <w:rPr>
          <w:i/>
          <w:sz w:val="24"/>
        </w:rPr>
        <w:t>Metering Data Provider </w:t>
      </w:r>
      <w:r>
        <w:rPr>
          <w:sz w:val="24"/>
        </w:rPr>
        <w:t>must adjust the </w:t>
      </w:r>
      <w:r>
        <w:rPr>
          <w:i/>
          <w:sz w:val="24"/>
        </w:rPr>
        <w:t>estimated metering data </w:t>
      </w:r>
      <w:r>
        <w:rPr>
          <w:sz w:val="24"/>
        </w:rPr>
        <w:t>for the revised next scheduled reading date.</w:t>
      </w:r>
    </w:p>
    <w:p>
      <w:pPr>
        <w:pStyle w:val="BodyText"/>
        <w:spacing w:before="10"/>
        <w:ind w:firstLine="0"/>
        <w:jc w:val="left"/>
        <w:rPr>
          <w:sz w:val="20"/>
        </w:rPr>
      </w:pPr>
    </w:p>
    <w:p>
      <w:pPr>
        <w:pStyle w:val="Heading4"/>
        <w:ind w:left="218" w:firstLine="0"/>
      </w:pPr>
      <w:bookmarkStart w:name="S7A.7.8.4 Metering data quality flags" w:id="2012"/>
      <w:bookmarkEnd w:id="2012"/>
      <w:r>
        <w:rPr>
          <w:b w:val="0"/>
        </w:rPr>
      </w:r>
      <w:bookmarkStart w:name="_bookmark830" w:id="2013"/>
      <w:bookmarkEnd w:id="2013"/>
      <w:r>
        <w:rPr>
          <w:b w:val="0"/>
        </w:rPr>
      </w:r>
      <w:r>
        <w:rPr/>
        <w:t>S7A.7.8.4 Metering data quality flags</w:t>
      </w:r>
    </w:p>
    <w:p>
      <w:pPr>
        <w:pStyle w:val="ListParagraph"/>
        <w:numPr>
          <w:ilvl w:val="0"/>
          <w:numId w:val="565"/>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assign the relevant </w:t>
      </w:r>
      <w:r>
        <w:rPr>
          <w:i/>
          <w:sz w:val="24"/>
        </w:rPr>
        <w:t>metering data </w:t>
      </w:r>
      <w:r>
        <w:rPr>
          <w:sz w:val="24"/>
        </w:rPr>
        <w:t>quality flags to </w:t>
      </w:r>
      <w:r>
        <w:rPr>
          <w:i/>
          <w:sz w:val="24"/>
        </w:rPr>
        <w:t>metering data </w:t>
      </w:r>
      <w:r>
        <w:rPr>
          <w:sz w:val="24"/>
        </w:rPr>
        <w:t>as</w:t>
      </w:r>
      <w:r>
        <w:rPr>
          <w:spacing w:val="-1"/>
          <w:sz w:val="24"/>
        </w:rPr>
        <w:t> </w:t>
      </w:r>
      <w:r>
        <w:rPr>
          <w:sz w:val="24"/>
        </w:rPr>
        <w:t>follows:</w:t>
      </w:r>
    </w:p>
    <w:p>
      <w:pPr>
        <w:pStyle w:val="BodyText"/>
        <w:spacing w:before="10"/>
        <w:ind w:firstLine="0"/>
        <w:jc w:val="left"/>
        <w:rPr>
          <w:sz w:val="2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4"/>
        <w:gridCol w:w="7257"/>
      </w:tblGrid>
      <w:tr>
        <w:trPr>
          <w:trHeight w:val="395" w:hRule="atLeast"/>
        </w:trPr>
        <w:tc>
          <w:tcPr>
            <w:tcW w:w="181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Quality Flag</w:t>
            </w:r>
          </w:p>
        </w:tc>
        <w:tc>
          <w:tcPr>
            <w:tcW w:w="725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Description</w:t>
            </w:r>
          </w:p>
        </w:tc>
      </w:tr>
      <w:tr>
        <w:trPr>
          <w:trHeight w:val="515" w:hRule="atLeast"/>
        </w:trPr>
        <w:tc>
          <w:tcPr>
            <w:tcW w:w="1814" w:type="dxa"/>
            <w:tcBorders>
              <w:top w:val="single" w:sz="4" w:space="0" w:color="000000"/>
              <w:bottom w:val="single" w:sz="4" w:space="0" w:color="000000"/>
              <w:right w:val="single" w:sz="4" w:space="0" w:color="000000"/>
            </w:tcBorders>
          </w:tcPr>
          <w:p>
            <w:pPr>
              <w:pStyle w:val="TableParagraph"/>
              <w:ind w:left="40"/>
              <w:rPr>
                <w:sz w:val="24"/>
              </w:rPr>
            </w:pPr>
            <w:r>
              <w:rPr>
                <w:sz w:val="24"/>
              </w:rPr>
              <w:t>A</w:t>
            </w:r>
          </w:p>
        </w:tc>
        <w:tc>
          <w:tcPr>
            <w:tcW w:w="7257"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Actual </w:t>
            </w:r>
            <w:r>
              <w:rPr>
                <w:i/>
                <w:sz w:val="24"/>
              </w:rPr>
              <w:t>metering data</w:t>
            </w:r>
            <w:r>
              <w:rPr>
                <w:sz w:val="24"/>
              </w:rPr>
              <w:t>.</w:t>
            </w:r>
          </w:p>
        </w:tc>
      </w:tr>
      <w:tr>
        <w:trPr>
          <w:trHeight w:val="1067" w:hRule="atLeast"/>
        </w:trPr>
        <w:tc>
          <w:tcPr>
            <w:tcW w:w="1814" w:type="dxa"/>
            <w:tcBorders>
              <w:top w:val="single" w:sz="4" w:space="0" w:color="000000"/>
              <w:bottom w:val="single" w:sz="4" w:space="0" w:color="000000"/>
              <w:right w:val="single" w:sz="4" w:space="0" w:color="000000"/>
            </w:tcBorders>
          </w:tcPr>
          <w:p>
            <w:pPr>
              <w:pStyle w:val="TableParagraph"/>
              <w:ind w:left="40"/>
              <w:rPr>
                <w:sz w:val="24"/>
              </w:rPr>
            </w:pPr>
            <w:r>
              <w:rPr>
                <w:sz w:val="24"/>
              </w:rPr>
              <w:t>S</w:t>
            </w:r>
          </w:p>
        </w:tc>
        <w:tc>
          <w:tcPr>
            <w:tcW w:w="7257" w:type="dxa"/>
            <w:tcBorders>
              <w:top w:val="single" w:sz="4" w:space="0" w:color="000000"/>
              <w:left w:val="single" w:sz="4" w:space="0" w:color="000000"/>
              <w:bottom w:val="single" w:sz="4" w:space="0" w:color="000000"/>
              <w:right w:val="single" w:sz="4" w:space="0" w:color="000000"/>
            </w:tcBorders>
          </w:tcPr>
          <w:p>
            <w:pPr>
              <w:pStyle w:val="TableParagraph"/>
              <w:ind w:left="44" w:right="277"/>
              <w:rPr>
                <w:sz w:val="24"/>
              </w:rPr>
            </w:pPr>
            <w:r>
              <w:rPr>
                <w:sz w:val="24"/>
              </w:rPr>
              <w:t>For any </w:t>
            </w:r>
            <w:r>
              <w:rPr>
                <w:i/>
                <w:sz w:val="24"/>
              </w:rPr>
              <w:t>substituted metering data </w:t>
            </w:r>
            <w:r>
              <w:rPr>
                <w:sz w:val="24"/>
              </w:rPr>
              <w:t>that is considered temporary and may be replaced by actual </w:t>
            </w:r>
            <w:r>
              <w:rPr>
                <w:i/>
                <w:sz w:val="24"/>
              </w:rPr>
              <w:t>metering data</w:t>
            </w:r>
            <w:r>
              <w:rPr>
                <w:sz w:val="24"/>
              </w:rPr>
              <w:t>. Substitutions apply to historical date/time periods at the time of substitution.</w:t>
            </w:r>
          </w:p>
        </w:tc>
      </w:tr>
      <w:tr>
        <w:trPr>
          <w:trHeight w:val="1067" w:hRule="atLeast"/>
        </w:trPr>
        <w:tc>
          <w:tcPr>
            <w:tcW w:w="1814" w:type="dxa"/>
            <w:tcBorders>
              <w:top w:val="single" w:sz="4" w:space="0" w:color="000000"/>
              <w:bottom w:val="single" w:sz="4" w:space="0" w:color="000000"/>
              <w:right w:val="single" w:sz="4" w:space="0" w:color="000000"/>
            </w:tcBorders>
          </w:tcPr>
          <w:p>
            <w:pPr>
              <w:pStyle w:val="TableParagraph"/>
              <w:ind w:left="40"/>
              <w:rPr>
                <w:sz w:val="24"/>
              </w:rPr>
            </w:pPr>
            <w:r>
              <w:rPr>
                <w:sz w:val="24"/>
              </w:rPr>
              <w:t>E</w:t>
            </w:r>
          </w:p>
        </w:tc>
        <w:tc>
          <w:tcPr>
            <w:tcW w:w="7257" w:type="dxa"/>
            <w:tcBorders>
              <w:top w:val="single" w:sz="4" w:space="0" w:color="000000"/>
              <w:left w:val="single" w:sz="4" w:space="0" w:color="000000"/>
              <w:bottom w:val="single" w:sz="4" w:space="0" w:color="000000"/>
              <w:right w:val="single" w:sz="4" w:space="0" w:color="000000"/>
            </w:tcBorders>
          </w:tcPr>
          <w:p>
            <w:pPr>
              <w:pStyle w:val="TableParagraph"/>
              <w:ind w:left="44" w:right="24"/>
              <w:rPr>
                <w:sz w:val="24"/>
              </w:rPr>
            </w:pPr>
            <w:r>
              <w:rPr>
                <w:sz w:val="24"/>
              </w:rPr>
              <w:t>For any </w:t>
            </w:r>
            <w:r>
              <w:rPr>
                <w:i/>
                <w:sz w:val="24"/>
              </w:rPr>
              <w:t>estimated metering data </w:t>
            </w:r>
            <w:r>
              <w:rPr>
                <w:sz w:val="24"/>
              </w:rPr>
              <w:t>that is considered temporary and may be replaced by actual </w:t>
            </w:r>
            <w:r>
              <w:rPr>
                <w:i/>
                <w:sz w:val="24"/>
              </w:rPr>
              <w:t>metering data </w:t>
            </w:r>
            <w:r>
              <w:rPr>
                <w:sz w:val="24"/>
              </w:rPr>
              <w:t>or </w:t>
            </w:r>
            <w:r>
              <w:rPr>
                <w:i/>
                <w:sz w:val="24"/>
              </w:rPr>
              <w:t>substituted metering data</w:t>
            </w:r>
            <w:r>
              <w:rPr>
                <w:sz w:val="24"/>
              </w:rPr>
              <w:t>. Estimations apply to a period that has an end date/time in the future.</w:t>
            </w:r>
          </w:p>
        </w:tc>
      </w:tr>
      <w:tr>
        <w:trPr>
          <w:trHeight w:val="1067" w:hRule="atLeast"/>
        </w:trPr>
        <w:tc>
          <w:tcPr>
            <w:tcW w:w="1814" w:type="dxa"/>
            <w:tcBorders>
              <w:top w:val="single" w:sz="4" w:space="0" w:color="000000"/>
              <w:bottom w:val="single" w:sz="4" w:space="0" w:color="000000"/>
              <w:right w:val="single" w:sz="4" w:space="0" w:color="000000"/>
            </w:tcBorders>
          </w:tcPr>
          <w:p>
            <w:pPr>
              <w:pStyle w:val="TableParagraph"/>
              <w:ind w:left="40"/>
              <w:rPr>
                <w:sz w:val="24"/>
              </w:rPr>
            </w:pPr>
            <w:r>
              <w:rPr>
                <w:sz w:val="24"/>
              </w:rPr>
              <w:t>F</w:t>
            </w:r>
          </w:p>
        </w:tc>
        <w:tc>
          <w:tcPr>
            <w:tcW w:w="7257" w:type="dxa"/>
            <w:tcBorders>
              <w:top w:val="single" w:sz="4" w:space="0" w:color="000000"/>
              <w:left w:val="single" w:sz="4" w:space="0" w:color="000000"/>
              <w:bottom w:val="single" w:sz="4" w:space="0" w:color="000000"/>
              <w:right w:val="single" w:sz="4" w:space="0" w:color="000000"/>
            </w:tcBorders>
          </w:tcPr>
          <w:p>
            <w:pPr>
              <w:pStyle w:val="TableParagraph"/>
              <w:ind w:left="44" w:right="185"/>
              <w:rPr>
                <w:sz w:val="24"/>
              </w:rPr>
            </w:pPr>
            <w:r>
              <w:rPr>
                <w:sz w:val="24"/>
              </w:rPr>
              <w:t>For substitutions that are of a permanent or final nature and, subject to paragraph S7A.7.8.5(b) and (e), the </w:t>
            </w:r>
            <w:r>
              <w:rPr>
                <w:i/>
                <w:sz w:val="24"/>
              </w:rPr>
              <w:t>metering data </w:t>
            </w:r>
            <w:r>
              <w:rPr>
                <w:sz w:val="24"/>
              </w:rPr>
              <w:t>would not be replaced by actual </w:t>
            </w:r>
            <w:r>
              <w:rPr>
                <w:i/>
                <w:sz w:val="24"/>
              </w:rPr>
              <w:t>metering data </w:t>
            </w:r>
            <w:r>
              <w:rPr>
                <w:sz w:val="24"/>
              </w:rPr>
              <w:t>at any time.</w:t>
            </w:r>
          </w:p>
        </w:tc>
      </w:tr>
      <w:tr>
        <w:trPr>
          <w:trHeight w:val="1067" w:hRule="atLeast"/>
        </w:trPr>
        <w:tc>
          <w:tcPr>
            <w:tcW w:w="1814" w:type="dxa"/>
            <w:tcBorders>
              <w:top w:val="single" w:sz="4" w:space="0" w:color="000000"/>
              <w:right w:val="single" w:sz="4" w:space="0" w:color="000000"/>
            </w:tcBorders>
          </w:tcPr>
          <w:p>
            <w:pPr>
              <w:pStyle w:val="TableParagraph"/>
              <w:ind w:left="40"/>
              <w:rPr>
                <w:sz w:val="24"/>
              </w:rPr>
            </w:pPr>
            <w:r>
              <w:rPr>
                <w:sz w:val="24"/>
              </w:rPr>
              <w:t>N</w:t>
            </w:r>
          </w:p>
        </w:tc>
        <w:tc>
          <w:tcPr>
            <w:tcW w:w="7257" w:type="dxa"/>
            <w:tcBorders>
              <w:top w:val="single" w:sz="4" w:space="0" w:color="000000"/>
              <w:left w:val="single" w:sz="4" w:space="0" w:color="000000"/>
              <w:right w:val="single" w:sz="4" w:space="0" w:color="000000"/>
            </w:tcBorders>
          </w:tcPr>
          <w:p>
            <w:pPr>
              <w:pStyle w:val="TableParagraph"/>
              <w:ind w:left="44" w:right="170"/>
              <w:rPr>
                <w:sz w:val="24"/>
              </w:rPr>
            </w:pPr>
            <w:r>
              <w:rPr>
                <w:sz w:val="24"/>
              </w:rPr>
              <w:t>This quality flag is only utilised within the </w:t>
            </w:r>
            <w:r>
              <w:rPr>
                <w:i/>
                <w:sz w:val="24"/>
              </w:rPr>
              <w:t>interval metering data </w:t>
            </w:r>
            <w:r>
              <w:rPr>
                <w:sz w:val="24"/>
              </w:rPr>
              <w:t>file for instances where no </w:t>
            </w:r>
            <w:r>
              <w:rPr>
                <w:i/>
                <w:sz w:val="24"/>
              </w:rPr>
              <w:t>metering data </w:t>
            </w:r>
            <w:r>
              <w:rPr>
                <w:sz w:val="24"/>
              </w:rPr>
              <w:t>exists in the </w:t>
            </w:r>
            <w:r>
              <w:rPr>
                <w:i/>
                <w:sz w:val="24"/>
              </w:rPr>
              <w:t>metering data services </w:t>
            </w:r>
            <w:r>
              <w:rPr>
                <w:i/>
                <w:sz w:val="24"/>
              </w:rPr>
              <w:t>database </w:t>
            </w:r>
            <w:r>
              <w:rPr>
                <w:sz w:val="24"/>
              </w:rPr>
              <w:t>for the periods concerned.</w:t>
            </w:r>
          </w:p>
        </w:tc>
      </w:tr>
    </w:tbl>
    <w:p>
      <w:pPr>
        <w:pStyle w:val="BodyText"/>
        <w:spacing w:before="5"/>
        <w:ind w:firstLine="0"/>
        <w:jc w:val="left"/>
        <w:rPr>
          <w:sz w:val="34"/>
        </w:rPr>
      </w:pPr>
    </w:p>
    <w:p>
      <w:pPr>
        <w:pStyle w:val="ListParagraph"/>
        <w:numPr>
          <w:ilvl w:val="0"/>
          <w:numId w:val="565"/>
        </w:numPr>
        <w:tabs>
          <w:tab w:pos="1919" w:val="left" w:leader="none"/>
        </w:tabs>
        <w:spacing w:line="240" w:lineRule="auto" w:before="0" w:after="0"/>
        <w:ind w:left="1919" w:right="415" w:hanging="567"/>
        <w:jc w:val="both"/>
        <w:rPr>
          <w:sz w:val="24"/>
        </w:rPr>
      </w:pPr>
      <w:r>
        <w:rPr>
          <w:sz w:val="24"/>
        </w:rPr>
        <w:t>Unless specified otherwise in this Part, </w:t>
      </w:r>
      <w:r>
        <w:rPr>
          <w:i/>
          <w:sz w:val="24"/>
        </w:rPr>
        <w:t>Metering Data Providers </w:t>
      </w:r>
      <w:r>
        <w:rPr>
          <w:sz w:val="24"/>
        </w:rPr>
        <w:t>must apply the following quality flag rules in the </w:t>
      </w:r>
      <w:r>
        <w:rPr>
          <w:i/>
          <w:sz w:val="24"/>
        </w:rPr>
        <w:t>metering data services</w:t>
      </w:r>
      <w:r>
        <w:rPr>
          <w:i/>
          <w:spacing w:val="-9"/>
          <w:sz w:val="24"/>
        </w:rPr>
        <w:t> </w:t>
      </w:r>
      <w:r>
        <w:rPr>
          <w:i/>
          <w:sz w:val="24"/>
        </w:rPr>
        <w:t>database</w:t>
      </w:r>
      <w:r>
        <w:rPr>
          <w:sz w:val="24"/>
        </w:rPr>
        <w:t>:</w:t>
      </w:r>
    </w:p>
    <w:p>
      <w:pPr>
        <w:pStyle w:val="ListParagraph"/>
        <w:numPr>
          <w:ilvl w:val="1"/>
          <w:numId w:val="565"/>
        </w:numPr>
        <w:tabs>
          <w:tab w:pos="2486" w:val="left" w:leader="none"/>
        </w:tabs>
        <w:spacing w:line="240" w:lineRule="auto" w:before="120" w:after="0"/>
        <w:ind w:left="2486" w:right="415" w:hanging="567"/>
        <w:jc w:val="both"/>
        <w:rPr>
          <w:sz w:val="24"/>
        </w:rPr>
      </w:pPr>
      <w:r>
        <w:rPr>
          <w:sz w:val="24"/>
        </w:rPr>
        <w:t>'A' </w:t>
      </w:r>
      <w:r>
        <w:rPr>
          <w:i/>
          <w:sz w:val="24"/>
        </w:rPr>
        <w:t>metering data </w:t>
      </w:r>
      <w:r>
        <w:rPr>
          <w:sz w:val="24"/>
        </w:rPr>
        <w:t>can only be replaced with 'A', 'S' or 'F' </w:t>
      </w:r>
      <w:r>
        <w:rPr>
          <w:i/>
          <w:sz w:val="24"/>
        </w:rPr>
        <w:t>metering </w:t>
      </w:r>
      <w:r>
        <w:rPr>
          <w:i/>
          <w:sz w:val="24"/>
        </w:rPr>
        <w:t>data</w:t>
      </w:r>
      <w:r>
        <w:rPr>
          <w:sz w:val="24"/>
        </w:rPr>
        <w:t>;</w:t>
      </w:r>
    </w:p>
    <w:p>
      <w:pPr>
        <w:pStyle w:val="ListParagraph"/>
        <w:numPr>
          <w:ilvl w:val="1"/>
          <w:numId w:val="565"/>
        </w:numPr>
        <w:tabs>
          <w:tab w:pos="2486" w:val="left" w:leader="none"/>
        </w:tabs>
        <w:spacing w:line="240" w:lineRule="auto" w:before="120" w:after="0"/>
        <w:ind w:left="2486" w:right="417" w:hanging="567"/>
        <w:jc w:val="both"/>
        <w:rPr>
          <w:sz w:val="24"/>
        </w:rPr>
      </w:pPr>
      <w:r>
        <w:rPr>
          <w:sz w:val="24"/>
        </w:rPr>
        <w:t>'S' </w:t>
      </w:r>
      <w:r>
        <w:rPr>
          <w:i/>
          <w:sz w:val="24"/>
        </w:rPr>
        <w:t>metering data </w:t>
      </w:r>
      <w:r>
        <w:rPr>
          <w:sz w:val="24"/>
        </w:rPr>
        <w:t>can only be replaced with 'A', 'S' or 'F' </w:t>
      </w:r>
      <w:r>
        <w:rPr>
          <w:i/>
          <w:sz w:val="24"/>
        </w:rPr>
        <w:t>metering </w:t>
      </w:r>
      <w:r>
        <w:rPr>
          <w:i/>
          <w:sz w:val="24"/>
        </w:rPr>
        <w:t>data</w:t>
      </w:r>
      <w:r>
        <w:rPr>
          <w:sz w:val="24"/>
        </w:rPr>
        <w:t>;</w:t>
      </w:r>
    </w:p>
    <w:p>
      <w:pPr>
        <w:pStyle w:val="ListParagraph"/>
        <w:numPr>
          <w:ilvl w:val="1"/>
          <w:numId w:val="565"/>
        </w:numPr>
        <w:tabs>
          <w:tab w:pos="2486" w:val="left" w:leader="none"/>
        </w:tabs>
        <w:spacing w:line="240" w:lineRule="auto" w:before="120" w:after="0"/>
        <w:ind w:left="2486" w:right="416" w:hanging="567"/>
        <w:jc w:val="both"/>
        <w:rPr>
          <w:sz w:val="24"/>
        </w:rPr>
      </w:pPr>
      <w:r>
        <w:rPr>
          <w:sz w:val="24"/>
        </w:rPr>
        <w:t>'E' </w:t>
      </w:r>
      <w:r>
        <w:rPr>
          <w:i/>
          <w:sz w:val="24"/>
        </w:rPr>
        <w:t>metering data </w:t>
      </w:r>
      <w:r>
        <w:rPr>
          <w:sz w:val="24"/>
        </w:rPr>
        <w:t>can only be replaced with 'A', 'E', 'S' or 'F' </w:t>
      </w:r>
      <w:r>
        <w:rPr>
          <w:i/>
          <w:sz w:val="24"/>
        </w:rPr>
        <w:t>metering </w:t>
      </w:r>
      <w:r>
        <w:rPr>
          <w:i/>
          <w:sz w:val="24"/>
        </w:rPr>
        <w:t>data</w:t>
      </w:r>
      <w:r>
        <w:rPr>
          <w:sz w:val="24"/>
        </w:rPr>
        <w:t>;</w:t>
      </w:r>
    </w:p>
    <w:p>
      <w:pPr>
        <w:pStyle w:val="ListParagraph"/>
        <w:numPr>
          <w:ilvl w:val="1"/>
          <w:numId w:val="565"/>
        </w:numPr>
        <w:tabs>
          <w:tab w:pos="2486" w:val="left" w:leader="none"/>
        </w:tabs>
        <w:spacing w:line="240" w:lineRule="auto" w:before="120" w:after="0"/>
        <w:ind w:left="2486" w:right="416" w:hanging="567"/>
        <w:jc w:val="both"/>
        <w:rPr>
          <w:sz w:val="24"/>
        </w:rPr>
      </w:pPr>
      <w:r>
        <w:rPr>
          <w:sz w:val="24"/>
        </w:rPr>
        <w:t>'F' </w:t>
      </w:r>
      <w:r>
        <w:rPr>
          <w:i/>
          <w:sz w:val="24"/>
        </w:rPr>
        <w:t>metering data </w:t>
      </w:r>
      <w:r>
        <w:rPr>
          <w:sz w:val="24"/>
        </w:rPr>
        <w:t>can only be replaced with 'F' </w:t>
      </w:r>
      <w:r>
        <w:rPr>
          <w:i/>
          <w:sz w:val="24"/>
        </w:rPr>
        <w:t>metering data </w:t>
      </w:r>
      <w:r>
        <w:rPr>
          <w:sz w:val="24"/>
        </w:rPr>
        <w:t>as per paragraph S7A.7.8.5(f) or 'A' </w:t>
      </w:r>
      <w:r>
        <w:rPr>
          <w:i/>
          <w:sz w:val="24"/>
        </w:rPr>
        <w:t>metering data </w:t>
      </w:r>
      <w:r>
        <w:rPr>
          <w:sz w:val="24"/>
        </w:rPr>
        <w:t>as per</w:t>
      </w:r>
      <w:r>
        <w:rPr>
          <w:spacing w:val="36"/>
          <w:sz w:val="24"/>
        </w:rPr>
        <w:t> </w:t>
      </w:r>
      <w:r>
        <w:rPr>
          <w:sz w:val="24"/>
        </w:rPr>
        <w:t>paragraph S7A.7.8.5(b) or</w:t>
      </w:r>
      <w:r>
        <w:rPr>
          <w:spacing w:val="-2"/>
          <w:sz w:val="24"/>
        </w:rPr>
        <w:t> </w:t>
      </w:r>
      <w:r>
        <w:rPr>
          <w:sz w:val="24"/>
        </w:rPr>
        <w:t>S7A.7.8.5(h).</w:t>
      </w:r>
    </w:p>
    <w:p>
      <w:pPr>
        <w:pStyle w:val="BodyText"/>
        <w:spacing w:before="10"/>
        <w:ind w:firstLine="0"/>
        <w:jc w:val="left"/>
        <w:rPr>
          <w:sz w:val="20"/>
        </w:rPr>
      </w:pPr>
    </w:p>
    <w:p>
      <w:pPr>
        <w:pStyle w:val="Heading4"/>
        <w:ind w:left="218" w:firstLine="0"/>
      </w:pPr>
      <w:bookmarkStart w:name="S7A.7.8.5 Final substitution" w:id="2014"/>
      <w:bookmarkEnd w:id="2014"/>
      <w:r>
        <w:rPr>
          <w:b w:val="0"/>
        </w:rPr>
      </w:r>
      <w:bookmarkStart w:name="_bookmark831" w:id="2015"/>
      <w:bookmarkEnd w:id="2015"/>
      <w:r>
        <w:rPr>
          <w:b w:val="0"/>
        </w:rPr>
      </w:r>
      <w:r>
        <w:rPr/>
        <w:t>S7A.7.8.5 Final substitution</w:t>
      </w:r>
    </w:p>
    <w:p>
      <w:pPr>
        <w:spacing w:before="120"/>
        <w:ind w:left="1352" w:right="416" w:firstLine="0"/>
        <w:jc w:val="both"/>
        <w:rPr>
          <w:sz w:val="24"/>
        </w:rPr>
      </w:pPr>
      <w:r>
        <w:rPr>
          <w:sz w:val="24"/>
        </w:rPr>
        <w:t>The </w:t>
      </w:r>
      <w:r>
        <w:rPr>
          <w:i/>
          <w:sz w:val="24"/>
        </w:rPr>
        <w:t>Metering Data Provider </w:t>
      </w:r>
      <w:r>
        <w:rPr>
          <w:sz w:val="24"/>
        </w:rPr>
        <w:t>must undertake final substitutions in the following circumstances:</w:t>
      </w:r>
    </w:p>
    <w:p>
      <w:pPr>
        <w:pStyle w:val="ListParagraph"/>
        <w:numPr>
          <w:ilvl w:val="0"/>
          <w:numId w:val="566"/>
        </w:numPr>
        <w:tabs>
          <w:tab w:pos="1919" w:val="left" w:leader="none"/>
        </w:tabs>
        <w:spacing w:line="240" w:lineRule="auto" w:before="120" w:after="0"/>
        <w:ind w:left="1919" w:right="415" w:hanging="567"/>
        <w:jc w:val="both"/>
        <w:rPr>
          <w:sz w:val="24"/>
        </w:rPr>
      </w:pPr>
      <w:r>
        <w:rPr>
          <w:sz w:val="24"/>
        </w:rPr>
        <w:t>where a notice has been received from either the </w:t>
      </w:r>
      <w:r>
        <w:rPr>
          <w:i/>
          <w:sz w:val="24"/>
        </w:rPr>
        <w:t>Metering Coordinator </w:t>
      </w:r>
      <w:r>
        <w:rPr>
          <w:sz w:val="24"/>
        </w:rPr>
        <w:t>or the </w:t>
      </w:r>
      <w:r>
        <w:rPr>
          <w:i/>
          <w:sz w:val="24"/>
        </w:rPr>
        <w:t>Metering Provider </w:t>
      </w:r>
      <w:r>
        <w:rPr>
          <w:sz w:val="24"/>
        </w:rPr>
        <w:t>detailing a failure of the </w:t>
      </w:r>
      <w:r>
        <w:rPr>
          <w:i/>
          <w:sz w:val="24"/>
        </w:rPr>
        <w:t>metering installation </w:t>
      </w:r>
      <w:r>
        <w:rPr>
          <w:sz w:val="24"/>
        </w:rPr>
        <w:t>that affects the quality of the </w:t>
      </w:r>
      <w:r>
        <w:rPr>
          <w:i/>
          <w:sz w:val="24"/>
        </w:rPr>
        <w:t>energy</w:t>
      </w:r>
      <w:r>
        <w:rPr>
          <w:i/>
          <w:spacing w:val="-1"/>
          <w:sz w:val="24"/>
        </w:rPr>
        <w:t> </w:t>
      </w:r>
      <w:r>
        <w:rPr>
          <w:i/>
          <w:sz w:val="24"/>
        </w:rPr>
        <w:t>data</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566"/>
        </w:numPr>
        <w:tabs>
          <w:tab w:pos="1919" w:val="left" w:leader="none"/>
        </w:tabs>
        <w:spacing w:line="240" w:lineRule="auto" w:before="83" w:after="0"/>
        <w:ind w:left="1919" w:right="415" w:hanging="567"/>
        <w:jc w:val="both"/>
        <w:rPr>
          <w:sz w:val="24"/>
        </w:rPr>
      </w:pPr>
      <w:r>
        <w:rPr>
          <w:sz w:val="24"/>
        </w:rPr>
        <w:t>if actual </w:t>
      </w:r>
      <w:r>
        <w:rPr>
          <w:i/>
          <w:sz w:val="24"/>
        </w:rPr>
        <w:t>metering data </w:t>
      </w:r>
      <w:r>
        <w:rPr>
          <w:sz w:val="24"/>
        </w:rPr>
        <w:t>is unexpectedly recovered from the </w:t>
      </w:r>
      <w:r>
        <w:rPr>
          <w:i/>
          <w:sz w:val="24"/>
        </w:rPr>
        <w:t>metering </w:t>
      </w:r>
      <w:r>
        <w:rPr>
          <w:i/>
          <w:sz w:val="24"/>
        </w:rPr>
        <w:t>installation </w:t>
      </w:r>
      <w:r>
        <w:rPr>
          <w:sz w:val="24"/>
        </w:rPr>
        <w:t>and a final substitution has been undertaken in accordance with paragraph (1), and in this case the </w:t>
      </w:r>
      <w:r>
        <w:rPr>
          <w:i/>
          <w:sz w:val="24"/>
        </w:rPr>
        <w:t>Metering Data Provider </w:t>
      </w:r>
      <w:r>
        <w:rPr>
          <w:sz w:val="24"/>
        </w:rPr>
        <w:t>must replace the final </w:t>
      </w:r>
      <w:r>
        <w:rPr>
          <w:i/>
          <w:sz w:val="24"/>
        </w:rPr>
        <w:t>substituted metering data </w:t>
      </w:r>
      <w:r>
        <w:rPr>
          <w:sz w:val="24"/>
        </w:rPr>
        <w:t>with the actual </w:t>
      </w:r>
      <w:r>
        <w:rPr>
          <w:i/>
          <w:sz w:val="24"/>
        </w:rPr>
        <w:t>metering data </w:t>
      </w:r>
      <w:r>
        <w:rPr>
          <w:sz w:val="24"/>
        </w:rPr>
        <w:t>and maintain a record of the</w:t>
      </w:r>
      <w:r>
        <w:rPr>
          <w:spacing w:val="-1"/>
          <w:sz w:val="24"/>
        </w:rPr>
        <w:t> </w:t>
      </w:r>
      <w:r>
        <w:rPr>
          <w:sz w:val="24"/>
        </w:rPr>
        <w:t>reason;</w:t>
      </w:r>
    </w:p>
    <w:p>
      <w:pPr>
        <w:pStyle w:val="ListParagraph"/>
        <w:numPr>
          <w:ilvl w:val="0"/>
          <w:numId w:val="566"/>
        </w:numPr>
        <w:tabs>
          <w:tab w:pos="1919" w:val="left" w:leader="none"/>
        </w:tabs>
        <w:spacing w:line="240" w:lineRule="auto" w:before="120" w:after="0"/>
        <w:ind w:left="1919" w:right="416" w:hanging="567"/>
        <w:jc w:val="both"/>
        <w:rPr>
          <w:sz w:val="24"/>
        </w:rPr>
      </w:pPr>
      <w:r>
        <w:rPr>
          <w:sz w:val="24"/>
        </w:rPr>
        <w:t>where the </w:t>
      </w:r>
      <w:r>
        <w:rPr>
          <w:i/>
          <w:sz w:val="24"/>
        </w:rPr>
        <w:t>Metering Data Provider </w:t>
      </w:r>
      <w:r>
        <w:rPr>
          <w:sz w:val="24"/>
        </w:rPr>
        <w:t>must undertake final substitutions following a meter</w:t>
      </w:r>
      <w:r>
        <w:rPr>
          <w:spacing w:val="-1"/>
          <w:sz w:val="24"/>
        </w:rPr>
        <w:t> </w:t>
      </w:r>
      <w:r>
        <w:rPr>
          <w:sz w:val="24"/>
        </w:rPr>
        <w:t>churn;</w:t>
      </w:r>
    </w:p>
    <w:p>
      <w:pPr>
        <w:pStyle w:val="ListParagraph"/>
        <w:numPr>
          <w:ilvl w:val="0"/>
          <w:numId w:val="566"/>
        </w:numPr>
        <w:tabs>
          <w:tab w:pos="1919" w:val="left" w:leader="none"/>
        </w:tabs>
        <w:spacing w:line="240" w:lineRule="auto" w:before="120" w:after="0"/>
        <w:ind w:left="1919" w:right="414" w:hanging="567"/>
        <w:jc w:val="both"/>
        <w:rPr>
          <w:sz w:val="24"/>
        </w:rPr>
      </w:pPr>
      <w:r>
        <w:rPr>
          <w:sz w:val="24"/>
        </w:rPr>
        <w:t>where the </w:t>
      </w:r>
      <w:r>
        <w:rPr>
          <w:i/>
          <w:sz w:val="24"/>
        </w:rPr>
        <w:t>Metering Data Provider </w:t>
      </w:r>
      <w:r>
        <w:rPr>
          <w:sz w:val="24"/>
        </w:rPr>
        <w:t>has received a notice that the affected financially responsible participant, the relevant </w:t>
      </w:r>
      <w:r>
        <w:rPr>
          <w:i/>
          <w:sz w:val="24"/>
        </w:rPr>
        <w:t>retailer </w:t>
      </w:r>
      <w:r>
        <w:rPr>
          <w:sz w:val="24"/>
        </w:rPr>
        <w:t>and </w:t>
      </w:r>
      <w:r>
        <w:rPr>
          <w:i/>
          <w:sz w:val="24"/>
        </w:rPr>
        <w:t>Local Network </w:t>
      </w:r>
      <w:r>
        <w:rPr>
          <w:i/>
          <w:sz w:val="24"/>
        </w:rPr>
        <w:t>Service Provider </w:t>
      </w:r>
      <w:r>
        <w:rPr>
          <w:sz w:val="24"/>
        </w:rPr>
        <w:t>have agreed that the </w:t>
      </w:r>
      <w:r>
        <w:rPr>
          <w:i/>
          <w:sz w:val="24"/>
        </w:rPr>
        <w:t>metering data </w:t>
      </w:r>
      <w:r>
        <w:rPr>
          <w:sz w:val="24"/>
        </w:rPr>
        <w:t>is erroneous and that </w:t>
      </w:r>
      <w:r>
        <w:rPr>
          <w:spacing w:val="-13"/>
          <w:sz w:val="24"/>
        </w:rPr>
        <w:t>a </w:t>
      </w:r>
      <w:r>
        <w:rPr>
          <w:sz w:val="24"/>
        </w:rPr>
        <w:t>final substitution is</w:t>
      </w:r>
      <w:r>
        <w:rPr>
          <w:spacing w:val="-1"/>
          <w:sz w:val="24"/>
        </w:rPr>
        <w:t> </w:t>
      </w:r>
      <w:r>
        <w:rPr>
          <w:sz w:val="24"/>
        </w:rPr>
        <w:t>required;</w:t>
      </w:r>
    </w:p>
    <w:p>
      <w:pPr>
        <w:pStyle w:val="ListParagraph"/>
        <w:numPr>
          <w:ilvl w:val="0"/>
          <w:numId w:val="566"/>
        </w:numPr>
        <w:tabs>
          <w:tab w:pos="1919" w:val="left" w:leader="none"/>
        </w:tabs>
        <w:spacing w:line="240" w:lineRule="auto" w:before="120" w:after="0"/>
        <w:ind w:left="1919" w:right="415" w:hanging="567"/>
        <w:jc w:val="both"/>
        <w:rPr>
          <w:sz w:val="24"/>
        </w:rPr>
      </w:pPr>
      <w:r>
        <w:rPr>
          <w:sz w:val="24"/>
        </w:rPr>
        <w:t>where </w:t>
      </w:r>
      <w:r>
        <w:rPr>
          <w:i/>
          <w:sz w:val="24"/>
        </w:rPr>
        <w:t>NTESMO </w:t>
      </w:r>
      <w:r>
        <w:rPr>
          <w:sz w:val="24"/>
        </w:rPr>
        <w:t>requests the provision of substitutions and final readings in response to customer transfers authorised in this jurisdiction where required for the purposes of</w:t>
      </w:r>
      <w:r>
        <w:rPr>
          <w:spacing w:val="-1"/>
          <w:sz w:val="24"/>
        </w:rPr>
        <w:t> </w:t>
      </w:r>
      <w:r>
        <w:rPr>
          <w:i/>
          <w:sz w:val="24"/>
        </w:rPr>
        <w:t>settlements</w:t>
      </w:r>
      <w:r>
        <w:rPr>
          <w:sz w:val="24"/>
        </w:rPr>
        <w:t>;</w:t>
      </w:r>
    </w:p>
    <w:p>
      <w:pPr>
        <w:pStyle w:val="ListParagraph"/>
        <w:numPr>
          <w:ilvl w:val="0"/>
          <w:numId w:val="566"/>
        </w:numPr>
        <w:tabs>
          <w:tab w:pos="1920" w:val="left" w:leader="none"/>
        </w:tabs>
        <w:spacing w:line="240" w:lineRule="auto" w:before="120" w:after="0"/>
        <w:ind w:left="1919" w:right="416" w:hanging="567"/>
        <w:jc w:val="both"/>
        <w:rPr>
          <w:sz w:val="24"/>
        </w:rPr>
      </w:pPr>
      <w:r>
        <w:rPr>
          <w:sz w:val="24"/>
        </w:rPr>
        <w:t>where the </w:t>
      </w:r>
      <w:r>
        <w:rPr>
          <w:i/>
          <w:sz w:val="24"/>
        </w:rPr>
        <w:t>Metering Data Provider </w:t>
      </w:r>
      <w:r>
        <w:rPr>
          <w:sz w:val="24"/>
        </w:rPr>
        <w:t>may undertake to replace existing final </w:t>
      </w:r>
      <w:r>
        <w:rPr>
          <w:i/>
          <w:sz w:val="24"/>
        </w:rPr>
        <w:t>substituted metering data </w:t>
      </w:r>
      <w:r>
        <w:rPr>
          <w:sz w:val="24"/>
        </w:rPr>
        <w:t>with new final </w:t>
      </w:r>
      <w:r>
        <w:rPr>
          <w:i/>
          <w:sz w:val="24"/>
        </w:rPr>
        <w:t>substituted metering data </w:t>
      </w:r>
      <w:r>
        <w:rPr>
          <w:sz w:val="24"/>
        </w:rPr>
        <w:t>in accordance with this</w:t>
      </w:r>
      <w:r>
        <w:rPr>
          <w:spacing w:val="-2"/>
          <w:sz w:val="24"/>
        </w:rPr>
        <w:t> </w:t>
      </w:r>
      <w:r>
        <w:rPr>
          <w:sz w:val="24"/>
        </w:rPr>
        <w:t>Part;</w:t>
      </w:r>
    </w:p>
    <w:p>
      <w:pPr>
        <w:pStyle w:val="ListParagraph"/>
        <w:numPr>
          <w:ilvl w:val="0"/>
          <w:numId w:val="566"/>
        </w:numPr>
        <w:tabs>
          <w:tab w:pos="1919" w:val="left" w:leader="none"/>
        </w:tabs>
        <w:spacing w:line="240" w:lineRule="auto" w:before="120" w:after="0"/>
        <w:ind w:left="1919" w:right="414" w:hanging="567"/>
        <w:jc w:val="both"/>
        <w:rPr>
          <w:sz w:val="24"/>
        </w:rPr>
      </w:pPr>
      <w:r>
        <w:rPr>
          <w:sz w:val="24"/>
        </w:rPr>
        <w:t>where the </w:t>
      </w:r>
      <w:r>
        <w:rPr>
          <w:i/>
          <w:sz w:val="24"/>
        </w:rPr>
        <w:t>Metering Data Provider </w:t>
      </w:r>
      <w:r>
        <w:rPr>
          <w:sz w:val="24"/>
        </w:rPr>
        <w:t>has found actual </w:t>
      </w:r>
      <w:r>
        <w:rPr>
          <w:i/>
          <w:sz w:val="24"/>
        </w:rPr>
        <w:t>metering data </w:t>
      </w:r>
      <w:r>
        <w:rPr>
          <w:sz w:val="24"/>
        </w:rPr>
        <w:t>to be erroneous;</w:t>
      </w:r>
    </w:p>
    <w:p>
      <w:pPr>
        <w:pStyle w:val="ListParagraph"/>
        <w:numPr>
          <w:ilvl w:val="0"/>
          <w:numId w:val="566"/>
        </w:numPr>
        <w:tabs>
          <w:tab w:pos="1919" w:val="left" w:leader="none"/>
        </w:tabs>
        <w:spacing w:line="240" w:lineRule="auto" w:before="120" w:after="0"/>
        <w:ind w:left="1919" w:right="416" w:hanging="567"/>
        <w:jc w:val="both"/>
        <w:rPr>
          <w:sz w:val="24"/>
        </w:rPr>
      </w:pPr>
      <w:r>
        <w:rPr>
          <w:sz w:val="24"/>
        </w:rPr>
        <w:t>where the </w:t>
      </w:r>
      <w:r>
        <w:rPr>
          <w:i/>
          <w:sz w:val="24"/>
        </w:rPr>
        <w:t>Metering Data Provider </w:t>
      </w:r>
      <w:r>
        <w:rPr>
          <w:sz w:val="24"/>
        </w:rPr>
        <w:t>is replacing type 6 final </w:t>
      </w:r>
      <w:r>
        <w:rPr>
          <w:i/>
          <w:sz w:val="24"/>
        </w:rPr>
        <w:t>substituted </w:t>
      </w:r>
      <w:r>
        <w:rPr>
          <w:i/>
          <w:sz w:val="24"/>
        </w:rPr>
        <w:t>metering data </w:t>
      </w:r>
      <w:r>
        <w:rPr>
          <w:sz w:val="24"/>
        </w:rPr>
        <w:t>with </w:t>
      </w:r>
      <w:r>
        <w:rPr>
          <w:i/>
          <w:sz w:val="24"/>
        </w:rPr>
        <w:t>accumulated metering data </w:t>
      </w:r>
      <w:r>
        <w:rPr>
          <w:sz w:val="24"/>
        </w:rPr>
        <w:t>that spans consecutive </w:t>
      </w:r>
      <w:r>
        <w:rPr>
          <w:i/>
          <w:sz w:val="24"/>
        </w:rPr>
        <w:t>meter </w:t>
      </w:r>
      <w:r>
        <w:rPr>
          <w:sz w:val="24"/>
        </w:rPr>
        <w:t>readings on agreement with the financially responsible participant, </w:t>
      </w:r>
      <w:r>
        <w:rPr>
          <w:spacing w:val="-4"/>
          <w:sz w:val="24"/>
        </w:rPr>
        <w:t>the</w:t>
      </w:r>
      <w:r>
        <w:rPr>
          <w:spacing w:val="52"/>
          <w:sz w:val="24"/>
        </w:rPr>
        <w:t> </w:t>
      </w:r>
      <w:r>
        <w:rPr>
          <w:sz w:val="24"/>
        </w:rPr>
        <w:t>relevant </w:t>
      </w:r>
      <w:r>
        <w:rPr>
          <w:i/>
          <w:sz w:val="24"/>
        </w:rPr>
        <w:t>retailer </w:t>
      </w:r>
      <w:r>
        <w:rPr>
          <w:sz w:val="24"/>
        </w:rPr>
        <w:t>and the </w:t>
      </w:r>
      <w:r>
        <w:rPr>
          <w:i/>
          <w:sz w:val="24"/>
        </w:rPr>
        <w:t>Local Network Service</w:t>
      </w:r>
      <w:r>
        <w:rPr>
          <w:i/>
          <w:spacing w:val="-5"/>
          <w:sz w:val="24"/>
        </w:rPr>
        <w:t> </w:t>
      </w:r>
      <w:r>
        <w:rPr>
          <w:i/>
          <w:sz w:val="24"/>
        </w:rPr>
        <w:t>Provider</w:t>
      </w:r>
      <w:r>
        <w:rPr>
          <w:sz w:val="24"/>
        </w:rPr>
        <w:t>.</w:t>
      </w:r>
    </w:p>
    <w:p>
      <w:pPr>
        <w:pStyle w:val="BodyText"/>
        <w:spacing w:before="10"/>
        <w:ind w:firstLine="0"/>
        <w:jc w:val="left"/>
        <w:rPr>
          <w:sz w:val="20"/>
        </w:rPr>
      </w:pPr>
    </w:p>
    <w:p>
      <w:pPr>
        <w:pStyle w:val="Heading4"/>
        <w:tabs>
          <w:tab w:pos="1351" w:val="left" w:leader="none"/>
        </w:tabs>
        <w:ind w:left="1352" w:right="1060"/>
      </w:pPr>
      <w:bookmarkStart w:name="S7A.7.9 Substitution for acquisition of " w:id="2016"/>
      <w:bookmarkEnd w:id="2016"/>
      <w:r>
        <w:rPr>
          <w:b w:val="0"/>
        </w:rPr>
      </w:r>
      <w:bookmarkStart w:name="_bookmark832" w:id="2017"/>
      <w:bookmarkEnd w:id="2017"/>
      <w:r>
        <w:rPr>
          <w:b w:val="0"/>
        </w:rPr>
      </w:r>
      <w:r>
        <w:rPr/>
        <w:t>S7A.7.9</w:t>
        <w:tab/>
        <w:t>Substitution for acquisition of metering data from remotely read metering</w:t>
      </w:r>
      <w:r>
        <w:rPr>
          <w:spacing w:val="-1"/>
        </w:rPr>
        <w:t> </w:t>
      </w:r>
      <w:r>
        <w:rPr/>
        <w:t>installations</w:t>
      </w:r>
    </w:p>
    <w:p>
      <w:pPr>
        <w:pStyle w:val="BodyText"/>
        <w:spacing w:before="10"/>
        <w:ind w:firstLine="0"/>
        <w:jc w:val="left"/>
        <w:rPr>
          <w:rFonts w:ascii="Arial"/>
          <w:b/>
          <w:sz w:val="20"/>
        </w:rPr>
      </w:pPr>
    </w:p>
    <w:p>
      <w:pPr>
        <w:pStyle w:val="Heading4"/>
        <w:ind w:left="218" w:firstLine="0"/>
      </w:pPr>
      <w:bookmarkStart w:name="S7A.7.9.1 Application of S7A.7.9" w:id="2018"/>
      <w:bookmarkEnd w:id="2018"/>
      <w:r>
        <w:rPr>
          <w:b w:val="0"/>
        </w:rPr>
      </w:r>
      <w:bookmarkStart w:name="_bookmark833" w:id="2019"/>
      <w:bookmarkEnd w:id="2019"/>
      <w:r>
        <w:rPr>
          <w:b w:val="0"/>
        </w:rPr>
      </w:r>
      <w:r>
        <w:rPr/>
        <w:t>S7A.7.9.1 Application of S7A.7.9</w:t>
      </w:r>
    </w:p>
    <w:p>
      <w:pPr>
        <w:pStyle w:val="ListParagraph"/>
        <w:numPr>
          <w:ilvl w:val="0"/>
          <w:numId w:val="567"/>
        </w:numPr>
        <w:tabs>
          <w:tab w:pos="1919" w:val="left" w:leader="none"/>
        </w:tabs>
        <w:spacing w:line="240" w:lineRule="auto" w:before="120" w:after="0"/>
        <w:ind w:left="1919" w:right="415" w:hanging="567"/>
        <w:jc w:val="both"/>
        <w:rPr>
          <w:sz w:val="24"/>
        </w:rPr>
      </w:pPr>
      <w:r>
        <w:rPr>
          <w:sz w:val="24"/>
        </w:rPr>
        <w:t>For </w:t>
      </w:r>
      <w:r>
        <w:rPr>
          <w:i/>
          <w:sz w:val="24"/>
        </w:rPr>
        <w:t>metering installations </w:t>
      </w:r>
      <w:r>
        <w:rPr>
          <w:sz w:val="24"/>
        </w:rPr>
        <w:t>with </w:t>
      </w:r>
      <w:r>
        <w:rPr>
          <w:i/>
          <w:sz w:val="24"/>
        </w:rPr>
        <w:t>remote acquisition </w:t>
      </w:r>
      <w:r>
        <w:rPr>
          <w:sz w:val="24"/>
        </w:rPr>
        <w:t>installed in accordance with paragraph 7A.6.8(a), the </w:t>
      </w:r>
      <w:r>
        <w:rPr>
          <w:i/>
          <w:sz w:val="24"/>
        </w:rPr>
        <w:t>Metering Data Provider </w:t>
      </w:r>
      <w:r>
        <w:rPr>
          <w:sz w:val="24"/>
        </w:rPr>
        <w:t>may perform substitutions in accordance with clause</w:t>
      </w:r>
      <w:r>
        <w:rPr>
          <w:spacing w:val="-3"/>
          <w:sz w:val="24"/>
        </w:rPr>
        <w:t> </w:t>
      </w:r>
      <w:r>
        <w:rPr>
          <w:sz w:val="24"/>
        </w:rPr>
        <w:t>S7A.7.10.</w:t>
      </w:r>
    </w:p>
    <w:p>
      <w:pPr>
        <w:pStyle w:val="ListParagraph"/>
        <w:numPr>
          <w:ilvl w:val="0"/>
          <w:numId w:val="567"/>
        </w:numPr>
        <w:tabs>
          <w:tab w:pos="1919" w:val="left" w:leader="none"/>
        </w:tabs>
        <w:spacing w:line="240" w:lineRule="auto" w:before="120" w:after="0"/>
        <w:ind w:left="1919" w:right="415" w:hanging="567"/>
        <w:jc w:val="both"/>
        <w:rPr>
          <w:sz w:val="24"/>
        </w:rPr>
      </w:pPr>
      <w:r>
        <w:rPr>
          <w:sz w:val="24"/>
        </w:rPr>
        <w:t>For all other </w:t>
      </w:r>
      <w:r>
        <w:rPr>
          <w:i/>
          <w:sz w:val="24"/>
        </w:rPr>
        <w:t>metering installations </w:t>
      </w:r>
      <w:r>
        <w:rPr>
          <w:sz w:val="24"/>
        </w:rPr>
        <w:t>with </w:t>
      </w:r>
      <w:r>
        <w:rPr>
          <w:i/>
          <w:sz w:val="24"/>
        </w:rPr>
        <w:t>remote acquisition</w:t>
      </w:r>
      <w:r>
        <w:rPr>
          <w:sz w:val="24"/>
        </w:rPr>
        <w:t>, the </w:t>
      </w:r>
      <w:r>
        <w:rPr>
          <w:i/>
          <w:sz w:val="24"/>
        </w:rPr>
        <w:t>Metering </w:t>
      </w:r>
      <w:r>
        <w:rPr>
          <w:i/>
          <w:sz w:val="24"/>
        </w:rPr>
        <w:t>Data Provider </w:t>
      </w:r>
      <w:r>
        <w:rPr>
          <w:sz w:val="24"/>
        </w:rPr>
        <w:t>must perform substitutions in accordance with clause S7A.7.9.</w:t>
      </w:r>
    </w:p>
    <w:p>
      <w:pPr>
        <w:pStyle w:val="BodyText"/>
        <w:spacing w:before="10"/>
        <w:ind w:firstLine="0"/>
        <w:jc w:val="left"/>
        <w:rPr>
          <w:sz w:val="20"/>
        </w:rPr>
      </w:pPr>
    </w:p>
    <w:p>
      <w:pPr>
        <w:pStyle w:val="Heading4"/>
        <w:ind w:left="218" w:firstLine="0"/>
      </w:pPr>
      <w:bookmarkStart w:name="S7A.7.9.2 Substitution rules" w:id="2020"/>
      <w:bookmarkEnd w:id="2020"/>
      <w:r>
        <w:rPr>
          <w:b w:val="0"/>
        </w:rPr>
      </w:r>
      <w:bookmarkStart w:name="_bookmark834" w:id="2021"/>
      <w:bookmarkEnd w:id="2021"/>
      <w:r>
        <w:rPr>
          <w:b w:val="0"/>
        </w:rPr>
      </w:r>
      <w:r>
        <w:rPr/>
        <w:t>S7A.7.9.2 Substitution rules</w:t>
      </w:r>
    </w:p>
    <w:p>
      <w:pPr>
        <w:spacing w:before="120"/>
        <w:ind w:left="1352" w:right="416" w:firstLine="0"/>
        <w:jc w:val="both"/>
        <w:rPr>
          <w:sz w:val="24"/>
        </w:rPr>
      </w:pPr>
      <w:r>
        <w:rPr>
          <w:sz w:val="24"/>
        </w:rPr>
        <w:t>The </w:t>
      </w:r>
      <w:r>
        <w:rPr>
          <w:i/>
          <w:sz w:val="24"/>
        </w:rPr>
        <w:t>Metering Data Provider </w:t>
      </w:r>
      <w:r>
        <w:rPr>
          <w:sz w:val="24"/>
        </w:rPr>
        <w:t>must apply the following rules when performing a substitution:</w:t>
      </w:r>
    </w:p>
    <w:p>
      <w:pPr>
        <w:pStyle w:val="ListParagraph"/>
        <w:numPr>
          <w:ilvl w:val="0"/>
          <w:numId w:val="568"/>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obtain clear and concise identification as to the cause of any missing or erroneous </w:t>
      </w:r>
      <w:r>
        <w:rPr>
          <w:i/>
          <w:sz w:val="24"/>
        </w:rPr>
        <w:t>metering data </w:t>
      </w:r>
      <w:r>
        <w:rPr>
          <w:sz w:val="24"/>
        </w:rPr>
        <w:t>for which substitutions are</w:t>
      </w:r>
      <w:r>
        <w:rPr>
          <w:spacing w:val="-2"/>
          <w:sz w:val="24"/>
        </w:rPr>
        <w:t> </w:t>
      </w:r>
      <w:r>
        <w:rPr>
          <w:sz w:val="24"/>
        </w:rPr>
        <w:t>required;</w:t>
      </w:r>
    </w:p>
    <w:p>
      <w:pPr>
        <w:pStyle w:val="ListParagraph"/>
        <w:numPr>
          <w:ilvl w:val="0"/>
          <w:numId w:val="568"/>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undertake to do a type 11 substitution and use </w:t>
      </w:r>
      <w:r>
        <w:rPr>
          <w:i/>
          <w:sz w:val="24"/>
        </w:rPr>
        <w:t>metering data </w:t>
      </w:r>
      <w:r>
        <w:rPr>
          <w:sz w:val="24"/>
        </w:rPr>
        <w:t>obtained from any </w:t>
      </w:r>
      <w:r>
        <w:rPr>
          <w:i/>
          <w:sz w:val="24"/>
        </w:rPr>
        <w:t>check metering installation </w:t>
      </w:r>
      <w:r>
        <w:rPr>
          <w:sz w:val="24"/>
        </w:rPr>
        <w:t>associated with the </w:t>
      </w:r>
      <w:r>
        <w:rPr>
          <w:i/>
          <w:sz w:val="24"/>
        </w:rPr>
        <w:t>connection point </w:t>
      </w:r>
      <w:r>
        <w:rPr>
          <w:sz w:val="24"/>
        </w:rPr>
        <w:t>as the first choice considered for the source of </w:t>
      </w:r>
      <w:r>
        <w:rPr>
          <w:i/>
          <w:sz w:val="24"/>
        </w:rPr>
        <w:t>metering data </w:t>
      </w:r>
      <w:r>
        <w:rPr>
          <w:sz w:val="24"/>
        </w:rPr>
        <w:t>for any substitutions</w:t>
      </w:r>
      <w:r>
        <w:rPr>
          <w:spacing w:val="-3"/>
          <w:sz w:val="24"/>
        </w:rPr>
        <w:t> </w:t>
      </w:r>
      <w:r>
        <w:rPr>
          <w:sz w:val="24"/>
        </w:rPr>
        <w:t>undertaken;</w:t>
      </w:r>
    </w:p>
    <w:p>
      <w:pPr>
        <w:spacing w:after="0" w:line="240" w:lineRule="auto"/>
        <w:jc w:val="both"/>
        <w:rPr>
          <w:sz w:val="24"/>
        </w:rPr>
        <w:sectPr>
          <w:pgSz w:w="11910" w:h="16840"/>
          <w:pgMar w:header="686" w:footer="637" w:top="1320" w:bottom="820" w:left="1200" w:right="1000"/>
        </w:sectPr>
      </w:pPr>
    </w:p>
    <w:p>
      <w:pPr>
        <w:pStyle w:val="ListParagraph"/>
        <w:numPr>
          <w:ilvl w:val="0"/>
          <w:numId w:val="568"/>
        </w:numPr>
        <w:tabs>
          <w:tab w:pos="1918" w:val="left" w:leader="none"/>
          <w:tab w:pos="1919" w:val="left" w:leader="none"/>
        </w:tabs>
        <w:spacing w:line="240" w:lineRule="auto" w:before="83" w:after="0"/>
        <w:ind w:left="1918" w:right="0" w:hanging="567"/>
        <w:jc w:val="left"/>
        <w:rPr>
          <w:i/>
          <w:sz w:val="24"/>
        </w:rPr>
      </w:pPr>
      <w:r>
        <w:rPr>
          <w:sz w:val="24"/>
        </w:rPr>
        <w:t>SCADA</w:t>
      </w:r>
      <w:r>
        <w:rPr>
          <w:spacing w:val="7"/>
          <w:sz w:val="24"/>
        </w:rPr>
        <w:t> </w:t>
      </w:r>
      <w:r>
        <w:rPr>
          <w:sz w:val="24"/>
        </w:rPr>
        <w:t>data,</w:t>
      </w:r>
      <w:r>
        <w:rPr>
          <w:spacing w:val="7"/>
          <w:sz w:val="24"/>
        </w:rPr>
        <w:t> </w:t>
      </w:r>
      <w:r>
        <w:rPr>
          <w:sz w:val="24"/>
        </w:rPr>
        <w:t>where</w:t>
      </w:r>
      <w:r>
        <w:rPr>
          <w:spacing w:val="8"/>
          <w:sz w:val="24"/>
        </w:rPr>
        <w:t> </w:t>
      </w:r>
      <w:r>
        <w:rPr>
          <w:sz w:val="24"/>
        </w:rPr>
        <w:t>available,</w:t>
      </w:r>
      <w:r>
        <w:rPr>
          <w:spacing w:val="8"/>
          <w:sz w:val="24"/>
        </w:rPr>
        <w:t> </w:t>
      </w:r>
      <w:r>
        <w:rPr>
          <w:sz w:val="24"/>
        </w:rPr>
        <w:t>may</w:t>
      </w:r>
      <w:r>
        <w:rPr>
          <w:spacing w:val="9"/>
          <w:sz w:val="24"/>
        </w:rPr>
        <w:t> </w:t>
      </w:r>
      <w:r>
        <w:rPr>
          <w:sz w:val="24"/>
        </w:rPr>
        <w:t>be</w:t>
      </w:r>
      <w:r>
        <w:rPr>
          <w:spacing w:val="7"/>
          <w:sz w:val="24"/>
        </w:rPr>
        <w:t> </w:t>
      </w:r>
      <w:r>
        <w:rPr>
          <w:sz w:val="24"/>
        </w:rPr>
        <w:t>used</w:t>
      </w:r>
      <w:r>
        <w:rPr>
          <w:spacing w:val="7"/>
          <w:sz w:val="24"/>
        </w:rPr>
        <w:t> </w:t>
      </w:r>
      <w:r>
        <w:rPr>
          <w:sz w:val="24"/>
        </w:rPr>
        <w:t>by</w:t>
      </w:r>
      <w:r>
        <w:rPr>
          <w:spacing w:val="9"/>
          <w:sz w:val="24"/>
        </w:rPr>
        <w:t> </w:t>
      </w:r>
      <w:r>
        <w:rPr>
          <w:sz w:val="24"/>
        </w:rPr>
        <w:t>the</w:t>
      </w:r>
      <w:r>
        <w:rPr>
          <w:spacing w:val="8"/>
          <w:sz w:val="24"/>
        </w:rPr>
        <w:t> </w:t>
      </w:r>
      <w:r>
        <w:rPr>
          <w:i/>
          <w:sz w:val="24"/>
        </w:rPr>
        <w:t>Metering</w:t>
      </w:r>
      <w:r>
        <w:rPr>
          <w:i/>
          <w:spacing w:val="8"/>
          <w:sz w:val="24"/>
        </w:rPr>
        <w:t> </w:t>
      </w:r>
      <w:r>
        <w:rPr>
          <w:i/>
          <w:sz w:val="24"/>
        </w:rPr>
        <w:t>Data</w:t>
      </w:r>
      <w:r>
        <w:rPr>
          <w:i/>
          <w:spacing w:val="8"/>
          <w:sz w:val="24"/>
        </w:rPr>
        <w:t> </w:t>
      </w:r>
      <w:r>
        <w:rPr>
          <w:i/>
          <w:sz w:val="24"/>
        </w:rPr>
        <w:t>Provider</w:t>
      </w:r>
    </w:p>
    <w:p>
      <w:pPr>
        <w:spacing w:before="0"/>
        <w:ind w:left="1919" w:right="0" w:firstLine="0"/>
        <w:jc w:val="left"/>
        <w:rPr>
          <w:sz w:val="24"/>
        </w:rPr>
      </w:pPr>
      <w:r>
        <w:rPr>
          <w:sz w:val="24"/>
        </w:rPr>
        <w:t>as </w:t>
      </w:r>
      <w:r>
        <w:rPr>
          <w:i/>
          <w:sz w:val="24"/>
        </w:rPr>
        <w:t>check metering data </w:t>
      </w:r>
      <w:r>
        <w:rPr>
          <w:sz w:val="24"/>
        </w:rPr>
        <w:t>for substitutions;</w:t>
      </w:r>
    </w:p>
    <w:p>
      <w:pPr>
        <w:pStyle w:val="ListParagraph"/>
        <w:numPr>
          <w:ilvl w:val="0"/>
          <w:numId w:val="568"/>
        </w:numPr>
        <w:tabs>
          <w:tab w:pos="1918" w:val="left" w:leader="none"/>
          <w:tab w:pos="1919" w:val="left" w:leader="none"/>
        </w:tabs>
        <w:spacing w:line="240" w:lineRule="auto" w:before="120" w:after="0"/>
        <w:ind w:left="1919" w:right="416" w:hanging="567"/>
        <w:jc w:val="left"/>
        <w:rPr>
          <w:sz w:val="24"/>
        </w:rPr>
      </w:pPr>
      <w:r>
        <w:rPr>
          <w:sz w:val="24"/>
        </w:rPr>
        <w:t>the </w:t>
      </w:r>
      <w:r>
        <w:rPr>
          <w:i/>
          <w:sz w:val="24"/>
        </w:rPr>
        <w:t>Metering Data Provider </w:t>
      </w:r>
      <w:r>
        <w:rPr>
          <w:sz w:val="24"/>
        </w:rPr>
        <w:t>may only undertake substitution type 13 where substitution types 11 and 12 are not applicable or cannot be carried</w:t>
      </w:r>
      <w:r>
        <w:rPr>
          <w:spacing w:val="-9"/>
          <w:sz w:val="24"/>
        </w:rPr>
        <w:t> </w:t>
      </w:r>
      <w:r>
        <w:rPr>
          <w:sz w:val="24"/>
        </w:rPr>
        <w:t>out;</w:t>
      </w:r>
    </w:p>
    <w:p>
      <w:pPr>
        <w:pStyle w:val="ListParagraph"/>
        <w:numPr>
          <w:ilvl w:val="0"/>
          <w:numId w:val="568"/>
        </w:numPr>
        <w:tabs>
          <w:tab w:pos="1918" w:val="left" w:leader="none"/>
          <w:tab w:pos="1919" w:val="left" w:leader="none"/>
        </w:tabs>
        <w:spacing w:line="240" w:lineRule="auto" w:before="120" w:after="0"/>
        <w:ind w:left="1918" w:right="0" w:hanging="567"/>
        <w:jc w:val="left"/>
        <w:rPr>
          <w:sz w:val="24"/>
        </w:rPr>
      </w:pPr>
      <w:r>
        <w:rPr>
          <w:sz w:val="24"/>
        </w:rPr>
        <w:t>for </w:t>
      </w:r>
      <w:r>
        <w:rPr>
          <w:i/>
          <w:sz w:val="24"/>
        </w:rPr>
        <w:t>connection points </w:t>
      </w:r>
      <w:r>
        <w:rPr>
          <w:sz w:val="24"/>
        </w:rPr>
        <w:t>where the financially responsible participant is</w:t>
      </w:r>
      <w:r>
        <w:rPr>
          <w:spacing w:val="5"/>
          <w:sz w:val="24"/>
        </w:rPr>
        <w:t> </w:t>
      </w:r>
      <w:r>
        <w:rPr>
          <w:sz w:val="24"/>
        </w:rPr>
        <w:t>a</w:t>
      </w:r>
    </w:p>
    <w:p>
      <w:pPr>
        <w:spacing w:before="0"/>
        <w:ind w:left="1919" w:right="0" w:firstLine="0"/>
        <w:jc w:val="left"/>
        <w:rPr>
          <w:sz w:val="24"/>
        </w:rPr>
      </w:pPr>
      <w:r>
        <w:rPr>
          <w:i/>
          <w:sz w:val="24"/>
        </w:rPr>
        <w:t>generator</w:t>
      </w:r>
      <w:r>
        <w:rPr>
          <w:sz w:val="24"/>
        </w:rPr>
        <w:t>:</w:t>
      </w:r>
    </w:p>
    <w:p>
      <w:pPr>
        <w:pStyle w:val="ListParagraph"/>
        <w:numPr>
          <w:ilvl w:val="1"/>
          <w:numId w:val="568"/>
        </w:numPr>
        <w:tabs>
          <w:tab w:pos="2486" w:val="left" w:leader="none"/>
        </w:tabs>
        <w:spacing w:line="240" w:lineRule="auto" w:before="120" w:after="0"/>
        <w:ind w:left="2486" w:right="415" w:hanging="567"/>
        <w:jc w:val="both"/>
        <w:rPr>
          <w:sz w:val="24"/>
        </w:rPr>
      </w:pPr>
      <w:r>
        <w:rPr>
          <w:sz w:val="24"/>
        </w:rPr>
        <w:t>the </w:t>
      </w:r>
      <w:r>
        <w:rPr>
          <w:i/>
          <w:sz w:val="24"/>
        </w:rPr>
        <w:t>Metering Data Provider </w:t>
      </w:r>
      <w:r>
        <w:rPr>
          <w:sz w:val="24"/>
        </w:rPr>
        <w:t>may directly undertake type 11, type 12 or type 13 substitutions if </w:t>
      </w:r>
      <w:r>
        <w:rPr>
          <w:i/>
          <w:sz w:val="24"/>
        </w:rPr>
        <w:t>metering data </w:t>
      </w:r>
      <w:r>
        <w:rPr>
          <w:sz w:val="24"/>
        </w:rPr>
        <w:t>has failed</w:t>
      </w:r>
      <w:r>
        <w:rPr>
          <w:spacing w:val="-7"/>
          <w:sz w:val="24"/>
        </w:rPr>
        <w:t> </w:t>
      </w:r>
      <w:r>
        <w:rPr>
          <w:sz w:val="24"/>
        </w:rPr>
        <w:t>validation;</w:t>
      </w:r>
    </w:p>
    <w:p>
      <w:pPr>
        <w:pStyle w:val="ListParagraph"/>
        <w:numPr>
          <w:ilvl w:val="1"/>
          <w:numId w:val="568"/>
        </w:numPr>
        <w:tabs>
          <w:tab w:pos="2486" w:val="left" w:leader="none"/>
        </w:tabs>
        <w:spacing w:line="240" w:lineRule="auto" w:before="120" w:after="0"/>
        <w:ind w:left="2486" w:right="414" w:hanging="567"/>
        <w:jc w:val="both"/>
        <w:rPr>
          <w:sz w:val="24"/>
        </w:rPr>
      </w:pPr>
      <w:r>
        <w:rPr>
          <w:sz w:val="24"/>
        </w:rPr>
        <w:t>the </w:t>
      </w:r>
      <w:r>
        <w:rPr>
          <w:i/>
          <w:sz w:val="24"/>
        </w:rPr>
        <w:t>Metering Data Provider </w:t>
      </w:r>
      <w:r>
        <w:rPr>
          <w:sz w:val="24"/>
        </w:rPr>
        <w:t>may undertake type 16 or 18 substitutions following consultation and agreement with the affected </w:t>
      </w:r>
      <w:r>
        <w:rPr>
          <w:i/>
          <w:sz w:val="24"/>
        </w:rPr>
        <w:t>generator </w:t>
      </w:r>
      <w:r>
        <w:rPr>
          <w:sz w:val="24"/>
        </w:rPr>
        <w:t>that the </w:t>
      </w:r>
      <w:r>
        <w:rPr>
          <w:i/>
          <w:sz w:val="24"/>
        </w:rPr>
        <w:t>substituted metering data </w:t>
      </w:r>
      <w:r>
        <w:rPr>
          <w:sz w:val="24"/>
        </w:rPr>
        <w:t>is an accurate reflection of the </w:t>
      </w:r>
      <w:r>
        <w:rPr>
          <w:i/>
          <w:sz w:val="24"/>
        </w:rPr>
        <w:t>interval </w:t>
      </w:r>
      <w:r>
        <w:rPr>
          <w:i/>
          <w:sz w:val="24"/>
        </w:rPr>
        <w:t>metering data</w:t>
      </w:r>
      <w:r>
        <w:rPr>
          <w:i/>
          <w:spacing w:val="-2"/>
          <w:sz w:val="24"/>
        </w:rPr>
        <w:t> </w:t>
      </w:r>
      <w:r>
        <w:rPr>
          <w:sz w:val="24"/>
        </w:rPr>
        <w:t>concerned;</w:t>
      </w:r>
    </w:p>
    <w:p>
      <w:pPr>
        <w:pStyle w:val="ListParagraph"/>
        <w:numPr>
          <w:ilvl w:val="1"/>
          <w:numId w:val="568"/>
        </w:numPr>
        <w:tabs>
          <w:tab w:pos="2486" w:val="left" w:leader="none"/>
        </w:tabs>
        <w:spacing w:line="240" w:lineRule="auto" w:before="120" w:after="0"/>
        <w:ind w:left="2486" w:right="415" w:hanging="567"/>
        <w:jc w:val="both"/>
        <w:rPr>
          <w:sz w:val="24"/>
        </w:rPr>
      </w:pPr>
      <w:r>
        <w:rPr>
          <w:sz w:val="24"/>
        </w:rPr>
        <w:t>if </w:t>
      </w:r>
      <w:r>
        <w:rPr>
          <w:i/>
          <w:sz w:val="24"/>
        </w:rPr>
        <w:t>metering data </w:t>
      </w:r>
      <w:r>
        <w:rPr>
          <w:sz w:val="24"/>
        </w:rPr>
        <w:t>cannot be collected from a </w:t>
      </w:r>
      <w:r>
        <w:rPr>
          <w:i/>
          <w:sz w:val="24"/>
        </w:rPr>
        <w:t>metering installation </w:t>
      </w:r>
      <w:r>
        <w:rPr>
          <w:sz w:val="24"/>
        </w:rPr>
        <w:t>or substituted within the required timeframes, the </w:t>
      </w:r>
      <w:r>
        <w:rPr>
          <w:i/>
          <w:sz w:val="24"/>
        </w:rPr>
        <w:t>Metering Data </w:t>
      </w:r>
      <w:r>
        <w:rPr>
          <w:i/>
          <w:sz w:val="24"/>
        </w:rPr>
        <w:t>Provider </w:t>
      </w:r>
      <w:r>
        <w:rPr>
          <w:sz w:val="24"/>
        </w:rPr>
        <w:t>must undertake type 19 substitutions as an interim until </w:t>
      </w:r>
      <w:r>
        <w:rPr>
          <w:i/>
          <w:sz w:val="24"/>
        </w:rPr>
        <w:t>metering data </w:t>
      </w:r>
      <w:r>
        <w:rPr>
          <w:sz w:val="24"/>
        </w:rPr>
        <w:t>can be collected from the </w:t>
      </w:r>
      <w:r>
        <w:rPr>
          <w:i/>
          <w:sz w:val="24"/>
        </w:rPr>
        <w:t>metering installation </w:t>
      </w:r>
      <w:r>
        <w:rPr>
          <w:sz w:val="24"/>
        </w:rPr>
        <w:t>or substituted;</w:t>
      </w:r>
    </w:p>
    <w:p>
      <w:pPr>
        <w:pStyle w:val="ListParagraph"/>
        <w:numPr>
          <w:ilvl w:val="0"/>
          <w:numId w:val="568"/>
        </w:numPr>
        <w:tabs>
          <w:tab w:pos="1920" w:val="left" w:leader="none"/>
        </w:tabs>
        <w:spacing w:line="240" w:lineRule="auto" w:before="120" w:after="0"/>
        <w:ind w:left="1919" w:right="415" w:hanging="567"/>
        <w:jc w:val="both"/>
        <w:rPr>
          <w:sz w:val="24"/>
        </w:rPr>
      </w:pPr>
      <w:r>
        <w:rPr>
          <w:sz w:val="24"/>
        </w:rPr>
        <w:t>the </w:t>
      </w:r>
      <w:r>
        <w:rPr>
          <w:i/>
          <w:sz w:val="24"/>
        </w:rPr>
        <w:t>Metering Data Provider </w:t>
      </w:r>
      <w:r>
        <w:rPr>
          <w:sz w:val="24"/>
        </w:rPr>
        <w:t>may only undertake substitution types 14, 15, 16, 17, 18, or 19 where substitution types 11, 12 and 13 are not applicable or cannot be carried</w:t>
      </w:r>
      <w:r>
        <w:rPr>
          <w:spacing w:val="-1"/>
          <w:sz w:val="24"/>
        </w:rPr>
        <w:t> </w:t>
      </w:r>
      <w:r>
        <w:rPr>
          <w:sz w:val="24"/>
        </w:rPr>
        <w:t>out;</w:t>
      </w:r>
    </w:p>
    <w:p>
      <w:pPr>
        <w:pStyle w:val="ListParagraph"/>
        <w:numPr>
          <w:ilvl w:val="0"/>
          <w:numId w:val="568"/>
        </w:numPr>
        <w:tabs>
          <w:tab w:pos="1919" w:val="left" w:leader="none"/>
        </w:tabs>
        <w:spacing w:line="240" w:lineRule="auto" w:before="120" w:after="0"/>
        <w:ind w:left="1918" w:right="0" w:hanging="567"/>
        <w:jc w:val="both"/>
        <w:rPr>
          <w:sz w:val="24"/>
        </w:rPr>
      </w:pPr>
      <w:r>
        <w:rPr>
          <w:sz w:val="24"/>
        </w:rPr>
        <w:t>the</w:t>
      </w:r>
      <w:r>
        <w:rPr>
          <w:spacing w:val="16"/>
          <w:sz w:val="24"/>
        </w:rPr>
        <w:t> </w:t>
      </w:r>
      <w:r>
        <w:rPr>
          <w:i/>
          <w:sz w:val="24"/>
        </w:rPr>
        <w:t>Metering</w:t>
      </w:r>
      <w:r>
        <w:rPr>
          <w:i/>
          <w:spacing w:val="16"/>
          <w:sz w:val="24"/>
        </w:rPr>
        <w:t> </w:t>
      </w:r>
      <w:r>
        <w:rPr>
          <w:i/>
          <w:sz w:val="24"/>
        </w:rPr>
        <w:t>Data</w:t>
      </w:r>
      <w:r>
        <w:rPr>
          <w:i/>
          <w:spacing w:val="15"/>
          <w:sz w:val="24"/>
        </w:rPr>
        <w:t> </w:t>
      </w:r>
      <w:r>
        <w:rPr>
          <w:i/>
          <w:sz w:val="24"/>
        </w:rPr>
        <w:t>Provider</w:t>
      </w:r>
      <w:r>
        <w:rPr>
          <w:i/>
          <w:spacing w:val="16"/>
          <w:sz w:val="24"/>
        </w:rPr>
        <w:t> </w:t>
      </w:r>
      <w:r>
        <w:rPr>
          <w:sz w:val="24"/>
        </w:rPr>
        <w:t>may</w:t>
      </w:r>
      <w:r>
        <w:rPr>
          <w:spacing w:val="16"/>
          <w:sz w:val="24"/>
        </w:rPr>
        <w:t> </w:t>
      </w:r>
      <w:r>
        <w:rPr>
          <w:sz w:val="24"/>
        </w:rPr>
        <w:t>perform</w:t>
      </w:r>
      <w:r>
        <w:rPr>
          <w:spacing w:val="16"/>
          <w:sz w:val="24"/>
        </w:rPr>
        <w:t> </w:t>
      </w:r>
      <w:r>
        <w:rPr>
          <w:sz w:val="24"/>
        </w:rPr>
        <w:t>all</w:t>
      </w:r>
      <w:r>
        <w:rPr>
          <w:spacing w:val="16"/>
          <w:sz w:val="24"/>
        </w:rPr>
        <w:t> </w:t>
      </w:r>
      <w:r>
        <w:rPr>
          <w:sz w:val="24"/>
        </w:rPr>
        <w:t>substitution</w:t>
      </w:r>
      <w:r>
        <w:rPr>
          <w:spacing w:val="16"/>
          <w:sz w:val="24"/>
        </w:rPr>
        <w:t> </w:t>
      </w:r>
      <w:r>
        <w:rPr>
          <w:sz w:val="24"/>
        </w:rPr>
        <w:t>types</w:t>
      </w:r>
      <w:r>
        <w:rPr>
          <w:spacing w:val="16"/>
          <w:sz w:val="24"/>
        </w:rPr>
        <w:t> </w:t>
      </w:r>
      <w:r>
        <w:rPr>
          <w:sz w:val="24"/>
        </w:rPr>
        <w:t>except</w:t>
      </w:r>
      <w:r>
        <w:rPr>
          <w:spacing w:val="17"/>
          <w:sz w:val="24"/>
        </w:rPr>
        <w:t> </w:t>
      </w:r>
      <w:r>
        <w:rPr>
          <w:sz w:val="24"/>
        </w:rPr>
        <w:t>type</w:t>
      </w:r>
    </w:p>
    <w:p>
      <w:pPr>
        <w:spacing w:before="0"/>
        <w:ind w:left="1919" w:right="415" w:firstLine="0"/>
        <w:jc w:val="both"/>
        <w:rPr>
          <w:sz w:val="24"/>
        </w:rPr>
      </w:pPr>
      <w:r>
        <w:rPr>
          <w:sz w:val="24"/>
        </w:rPr>
        <w:t>16 or 18 without the agreement of the affected financially responsible participant, </w:t>
      </w:r>
      <w:r>
        <w:rPr>
          <w:i/>
          <w:sz w:val="24"/>
        </w:rPr>
        <w:t>Local Network Service Provider </w:t>
      </w:r>
      <w:r>
        <w:rPr>
          <w:sz w:val="24"/>
        </w:rPr>
        <w:t>or relevant </w:t>
      </w:r>
      <w:r>
        <w:rPr>
          <w:i/>
          <w:sz w:val="24"/>
        </w:rPr>
        <w:t>retailer </w:t>
      </w:r>
      <w:r>
        <w:rPr>
          <w:sz w:val="24"/>
        </w:rPr>
        <w:t>and the </w:t>
      </w:r>
      <w:r>
        <w:rPr>
          <w:i/>
          <w:sz w:val="24"/>
        </w:rPr>
        <w:t>Metering Data Provider </w:t>
      </w:r>
      <w:r>
        <w:rPr>
          <w:sz w:val="24"/>
        </w:rPr>
        <w:t>may change the quality flag to an existing type 16 or 18 substitution without seeking further agreement from those parties;</w:t>
      </w:r>
    </w:p>
    <w:p>
      <w:pPr>
        <w:pStyle w:val="ListParagraph"/>
        <w:numPr>
          <w:ilvl w:val="0"/>
          <w:numId w:val="568"/>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notify the </w:t>
      </w:r>
      <w:r>
        <w:rPr>
          <w:i/>
          <w:sz w:val="24"/>
        </w:rPr>
        <w:t>Local Network Service </w:t>
      </w:r>
      <w:r>
        <w:rPr>
          <w:i/>
          <w:sz w:val="24"/>
        </w:rPr>
        <w:t>Provider</w:t>
      </w:r>
      <w:r>
        <w:rPr>
          <w:sz w:val="24"/>
        </w:rPr>
        <w:t>, relevant </w:t>
      </w:r>
      <w:r>
        <w:rPr>
          <w:i/>
          <w:sz w:val="24"/>
        </w:rPr>
        <w:t>retailer </w:t>
      </w:r>
      <w:r>
        <w:rPr>
          <w:sz w:val="24"/>
        </w:rPr>
        <w:t>and the financially responsible participant for the </w:t>
      </w:r>
      <w:r>
        <w:rPr>
          <w:i/>
          <w:sz w:val="24"/>
        </w:rPr>
        <w:t>connection point </w:t>
      </w:r>
      <w:r>
        <w:rPr>
          <w:sz w:val="24"/>
        </w:rPr>
        <w:t>of any substitution within two </w:t>
      </w:r>
      <w:r>
        <w:rPr>
          <w:i/>
          <w:sz w:val="24"/>
        </w:rPr>
        <w:t>business days </w:t>
      </w:r>
      <w:r>
        <w:rPr>
          <w:sz w:val="24"/>
        </w:rPr>
        <w:t>of the substitution being carried out, and this notification is to be achieved via the participant </w:t>
      </w:r>
      <w:r>
        <w:rPr>
          <w:i/>
          <w:sz w:val="24"/>
        </w:rPr>
        <w:t>metering data </w:t>
      </w:r>
      <w:r>
        <w:rPr>
          <w:sz w:val="24"/>
        </w:rPr>
        <w:t>file as detailed in the MDFF</w:t>
      </w:r>
      <w:r>
        <w:rPr>
          <w:spacing w:val="-11"/>
          <w:sz w:val="24"/>
        </w:rPr>
        <w:t> </w:t>
      </w:r>
      <w:r>
        <w:rPr>
          <w:sz w:val="24"/>
        </w:rPr>
        <w:t>Specification;</w:t>
      </w:r>
    </w:p>
    <w:p>
      <w:pPr>
        <w:pStyle w:val="ListParagraph"/>
        <w:numPr>
          <w:ilvl w:val="0"/>
          <w:numId w:val="568"/>
        </w:numPr>
        <w:tabs>
          <w:tab w:pos="1919" w:val="left" w:leader="none"/>
        </w:tabs>
        <w:spacing w:line="240" w:lineRule="auto" w:before="120" w:after="0"/>
        <w:ind w:left="1919" w:right="415" w:hanging="567"/>
        <w:jc w:val="both"/>
        <w:rPr>
          <w:sz w:val="24"/>
        </w:rPr>
      </w:pPr>
      <w:r>
        <w:rPr>
          <w:sz w:val="24"/>
        </w:rPr>
        <w:t>where there is a </w:t>
      </w:r>
      <w:r>
        <w:rPr>
          <w:i/>
          <w:sz w:val="24"/>
        </w:rPr>
        <w:t>metering installation malfunction </w:t>
      </w:r>
      <w:r>
        <w:rPr>
          <w:sz w:val="24"/>
        </w:rPr>
        <w:t>that cannot be repaired within the periods specified in clause 7A.6.9, the </w:t>
      </w:r>
      <w:r>
        <w:rPr>
          <w:i/>
          <w:sz w:val="24"/>
        </w:rPr>
        <w:t>Metering Data Provider </w:t>
      </w:r>
      <w:r>
        <w:rPr>
          <w:sz w:val="24"/>
        </w:rPr>
        <w:t>must:</w:t>
      </w:r>
    </w:p>
    <w:p>
      <w:pPr>
        <w:pStyle w:val="ListParagraph"/>
        <w:numPr>
          <w:ilvl w:val="1"/>
          <w:numId w:val="568"/>
        </w:numPr>
        <w:tabs>
          <w:tab w:pos="2486" w:val="left" w:leader="none"/>
        </w:tabs>
        <w:spacing w:line="240" w:lineRule="auto" w:before="120" w:after="0"/>
        <w:ind w:left="2486" w:right="415" w:hanging="567"/>
        <w:jc w:val="both"/>
        <w:rPr>
          <w:sz w:val="24"/>
        </w:rPr>
      </w:pPr>
      <w:r>
        <w:rPr>
          <w:sz w:val="24"/>
        </w:rPr>
        <w:t>where the </w:t>
      </w:r>
      <w:r>
        <w:rPr>
          <w:i/>
          <w:sz w:val="24"/>
        </w:rPr>
        <w:t>metering installation malfunction </w:t>
      </w:r>
      <w:r>
        <w:rPr>
          <w:sz w:val="24"/>
        </w:rPr>
        <w:t>is due to a failure of the </w:t>
      </w:r>
      <w:r>
        <w:rPr>
          <w:i/>
          <w:sz w:val="24"/>
        </w:rPr>
        <w:t>meter </w:t>
      </w:r>
      <w:r>
        <w:rPr>
          <w:sz w:val="24"/>
        </w:rPr>
        <w:t>to correctly record </w:t>
      </w:r>
      <w:r>
        <w:rPr>
          <w:i/>
          <w:sz w:val="24"/>
        </w:rPr>
        <w:t>interval energy data </w:t>
      </w:r>
      <w:r>
        <w:rPr>
          <w:sz w:val="24"/>
        </w:rPr>
        <w:t>and the </w:t>
      </w:r>
      <w:r>
        <w:rPr>
          <w:i/>
          <w:sz w:val="24"/>
        </w:rPr>
        <w:t>Metering </w:t>
      </w:r>
      <w:r>
        <w:rPr>
          <w:i/>
          <w:sz w:val="24"/>
        </w:rPr>
        <w:t>Coordinator </w:t>
      </w:r>
      <w:r>
        <w:rPr>
          <w:sz w:val="24"/>
        </w:rPr>
        <w:t>has been granted an exemption to repair the </w:t>
      </w:r>
      <w:r>
        <w:rPr>
          <w:i/>
          <w:sz w:val="24"/>
        </w:rPr>
        <w:t>metering </w:t>
      </w:r>
      <w:r>
        <w:rPr>
          <w:i/>
          <w:sz w:val="24"/>
        </w:rPr>
        <w:t>installation</w:t>
      </w:r>
      <w:r>
        <w:rPr>
          <w:sz w:val="24"/>
        </w:rPr>
        <w:t>, substitute the missing </w:t>
      </w:r>
      <w:r>
        <w:rPr>
          <w:i/>
          <w:sz w:val="24"/>
        </w:rPr>
        <w:t>metering data </w:t>
      </w:r>
      <w:r>
        <w:rPr>
          <w:sz w:val="24"/>
        </w:rPr>
        <w:t>in accordance with this</w:t>
      </w:r>
      <w:r>
        <w:rPr>
          <w:spacing w:val="-1"/>
          <w:sz w:val="24"/>
        </w:rPr>
        <w:t> </w:t>
      </w:r>
      <w:r>
        <w:rPr>
          <w:sz w:val="24"/>
        </w:rPr>
        <w:t>Part;</w:t>
      </w:r>
    </w:p>
    <w:p>
      <w:pPr>
        <w:pStyle w:val="ListParagraph"/>
        <w:numPr>
          <w:ilvl w:val="1"/>
          <w:numId w:val="568"/>
        </w:numPr>
        <w:tabs>
          <w:tab w:pos="2486" w:val="left" w:leader="none"/>
        </w:tabs>
        <w:spacing w:line="240" w:lineRule="auto" w:before="120" w:after="0"/>
        <w:ind w:left="2486" w:right="415" w:hanging="567"/>
        <w:jc w:val="both"/>
        <w:rPr>
          <w:sz w:val="24"/>
        </w:rPr>
      </w:pPr>
      <w:r>
        <w:rPr>
          <w:sz w:val="24"/>
        </w:rPr>
        <w:t>for type 1-3 </w:t>
      </w:r>
      <w:r>
        <w:rPr>
          <w:i/>
          <w:sz w:val="24"/>
        </w:rPr>
        <w:t>metering installations </w:t>
      </w:r>
      <w:r>
        <w:rPr>
          <w:sz w:val="24"/>
        </w:rPr>
        <w:t>and other </w:t>
      </w:r>
      <w:r>
        <w:rPr>
          <w:i/>
          <w:sz w:val="24"/>
        </w:rPr>
        <w:t>instrument transformer </w:t>
      </w:r>
      <w:r>
        <w:rPr>
          <w:sz w:val="24"/>
        </w:rPr>
        <w:t>connected </w:t>
      </w:r>
      <w:r>
        <w:rPr>
          <w:i/>
          <w:sz w:val="24"/>
        </w:rPr>
        <w:t>metering installations</w:t>
      </w:r>
      <w:r>
        <w:rPr>
          <w:sz w:val="24"/>
        </w:rPr>
        <w:t>, and where a </w:t>
      </w:r>
      <w:r>
        <w:rPr>
          <w:i/>
          <w:sz w:val="24"/>
        </w:rPr>
        <w:t>metering installation </w:t>
      </w:r>
      <w:r>
        <w:rPr>
          <w:i/>
          <w:sz w:val="24"/>
        </w:rPr>
        <w:t>malfunction </w:t>
      </w:r>
      <w:r>
        <w:rPr>
          <w:sz w:val="24"/>
        </w:rPr>
        <w:t>is due to a failure of the </w:t>
      </w:r>
      <w:r>
        <w:rPr>
          <w:i/>
          <w:sz w:val="24"/>
        </w:rPr>
        <w:t>remote acquisition </w:t>
      </w:r>
      <w:r>
        <w:rPr>
          <w:sz w:val="24"/>
        </w:rPr>
        <w:t>system, arrange for an alternative method for the collection of </w:t>
      </w:r>
      <w:r>
        <w:rPr>
          <w:i/>
          <w:sz w:val="24"/>
        </w:rPr>
        <w:t>metering data </w:t>
      </w:r>
      <w:r>
        <w:rPr>
          <w:sz w:val="24"/>
        </w:rPr>
        <w:t>from the </w:t>
      </w:r>
      <w:r>
        <w:rPr>
          <w:i/>
          <w:sz w:val="24"/>
        </w:rPr>
        <w:t>metering installation </w:t>
      </w:r>
      <w:r>
        <w:rPr>
          <w:sz w:val="24"/>
        </w:rPr>
        <w:t>in a timeframe that ensures the </w:t>
      </w:r>
      <w:r>
        <w:rPr>
          <w:i/>
          <w:sz w:val="24"/>
        </w:rPr>
        <w:t>Metering Data Provider </w:t>
      </w:r>
      <w:r>
        <w:rPr>
          <w:sz w:val="24"/>
        </w:rPr>
        <w:t>complies with </w:t>
      </w:r>
      <w:r>
        <w:rPr>
          <w:i/>
          <w:sz w:val="24"/>
        </w:rPr>
        <w:t>metering data </w:t>
      </w:r>
      <w:r>
        <w:rPr>
          <w:sz w:val="24"/>
        </w:rPr>
        <w:t>delivery requirements;</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568"/>
        </w:numPr>
        <w:tabs>
          <w:tab w:pos="2486" w:val="left" w:leader="none"/>
        </w:tabs>
        <w:spacing w:line="240" w:lineRule="auto" w:before="83" w:after="0"/>
        <w:ind w:left="2486" w:right="415" w:hanging="567"/>
        <w:jc w:val="both"/>
        <w:rPr>
          <w:sz w:val="24"/>
        </w:rPr>
      </w:pPr>
      <w:r>
        <w:rPr>
          <w:sz w:val="24"/>
        </w:rPr>
        <w:t>for non-</w:t>
      </w:r>
      <w:r>
        <w:rPr>
          <w:i/>
          <w:sz w:val="24"/>
        </w:rPr>
        <w:t>instrument transformer </w:t>
      </w:r>
      <w:r>
        <w:rPr>
          <w:sz w:val="24"/>
        </w:rPr>
        <w:t>connected </w:t>
      </w:r>
      <w:r>
        <w:rPr>
          <w:i/>
          <w:sz w:val="24"/>
        </w:rPr>
        <w:t>metering installations</w:t>
      </w:r>
      <w:r>
        <w:rPr>
          <w:sz w:val="24"/>
        </w:rPr>
        <w:t>, and where a </w:t>
      </w:r>
      <w:r>
        <w:rPr>
          <w:i/>
          <w:sz w:val="24"/>
        </w:rPr>
        <w:t>metering installation malfunction </w:t>
      </w:r>
      <w:r>
        <w:rPr>
          <w:sz w:val="24"/>
        </w:rPr>
        <w:t>is due to a failure of the </w:t>
      </w:r>
      <w:r>
        <w:rPr>
          <w:i/>
          <w:sz w:val="24"/>
        </w:rPr>
        <w:t>remote acquisition </w:t>
      </w:r>
      <w:r>
        <w:rPr>
          <w:sz w:val="24"/>
        </w:rPr>
        <w:t>system, substitute the missing </w:t>
      </w:r>
      <w:r>
        <w:rPr>
          <w:i/>
          <w:sz w:val="24"/>
        </w:rPr>
        <w:t>metering data </w:t>
      </w:r>
      <w:r>
        <w:rPr>
          <w:sz w:val="24"/>
        </w:rPr>
        <w:t>in accordance with this</w:t>
      </w:r>
      <w:r>
        <w:rPr>
          <w:spacing w:val="-2"/>
          <w:sz w:val="24"/>
        </w:rPr>
        <w:t> </w:t>
      </w:r>
      <w:r>
        <w:rPr>
          <w:sz w:val="24"/>
        </w:rPr>
        <w:t>Part;</w:t>
      </w:r>
    </w:p>
    <w:p>
      <w:pPr>
        <w:pStyle w:val="ListParagraph"/>
        <w:numPr>
          <w:ilvl w:val="0"/>
          <w:numId w:val="568"/>
        </w:numPr>
        <w:tabs>
          <w:tab w:pos="1919" w:val="left" w:leader="none"/>
        </w:tabs>
        <w:spacing w:line="240" w:lineRule="auto" w:before="120" w:after="0"/>
        <w:ind w:left="1919" w:right="416" w:hanging="567"/>
        <w:jc w:val="both"/>
        <w:rPr>
          <w:sz w:val="24"/>
        </w:rPr>
      </w:pPr>
      <w:r>
        <w:rPr>
          <w:sz w:val="24"/>
        </w:rPr>
        <w:t>the </w:t>
      </w:r>
      <w:r>
        <w:rPr>
          <w:i/>
          <w:sz w:val="24"/>
        </w:rPr>
        <w:t>Metering Data Provider </w:t>
      </w:r>
      <w:r>
        <w:rPr>
          <w:sz w:val="24"/>
        </w:rPr>
        <w:t>must ensure that all </w:t>
      </w:r>
      <w:r>
        <w:rPr>
          <w:i/>
          <w:sz w:val="24"/>
        </w:rPr>
        <w:t>substituted metering data </w:t>
      </w:r>
      <w:r>
        <w:rPr>
          <w:sz w:val="24"/>
        </w:rPr>
        <w:t>is replaced with actual </w:t>
      </w:r>
      <w:r>
        <w:rPr>
          <w:i/>
          <w:sz w:val="24"/>
        </w:rPr>
        <w:t>metering data </w:t>
      </w:r>
      <w:r>
        <w:rPr>
          <w:sz w:val="24"/>
        </w:rPr>
        <w:t>when it becomes</w:t>
      </w:r>
      <w:r>
        <w:rPr>
          <w:spacing w:val="-9"/>
          <w:sz w:val="24"/>
        </w:rPr>
        <w:t> </w:t>
      </w:r>
      <w:r>
        <w:rPr>
          <w:sz w:val="24"/>
        </w:rPr>
        <w:t>available.</w:t>
      </w:r>
    </w:p>
    <w:p>
      <w:pPr>
        <w:pStyle w:val="BodyText"/>
        <w:spacing w:before="10"/>
        <w:ind w:firstLine="0"/>
        <w:jc w:val="left"/>
        <w:rPr>
          <w:sz w:val="20"/>
        </w:rPr>
      </w:pPr>
    </w:p>
    <w:p>
      <w:pPr>
        <w:pStyle w:val="Heading4"/>
        <w:ind w:left="218" w:firstLine="0"/>
      </w:pPr>
      <w:bookmarkStart w:name="S7A.7.9.3 Substitution types" w:id="2022"/>
      <w:bookmarkEnd w:id="2022"/>
      <w:r>
        <w:rPr>
          <w:b w:val="0"/>
        </w:rPr>
      </w:r>
      <w:bookmarkStart w:name="_bookmark835" w:id="2023"/>
      <w:bookmarkEnd w:id="2023"/>
      <w:r>
        <w:rPr>
          <w:b w:val="0"/>
        </w:rPr>
      </w:r>
      <w:r>
        <w:rPr/>
        <w:t>S7A.7.9.3 Substitution types</w:t>
      </w:r>
    </w:p>
    <w:p>
      <w:pPr>
        <w:spacing w:before="220"/>
        <w:ind w:left="1356" w:right="0" w:firstLine="0"/>
        <w:jc w:val="left"/>
        <w:rPr>
          <w:rFonts w:ascii="Arial" w:hAnsi="Arial"/>
          <w:b/>
          <w:sz w:val="22"/>
        </w:rPr>
      </w:pPr>
      <w:r>
        <w:rPr>
          <w:rFonts w:ascii="Arial" w:hAnsi="Arial"/>
          <w:b/>
          <w:sz w:val="22"/>
        </w:rPr>
        <w:t>Type 11 – Check data</w:t>
      </w:r>
    </w:p>
    <w:p>
      <w:pPr>
        <w:pStyle w:val="ListParagraph"/>
        <w:numPr>
          <w:ilvl w:val="0"/>
          <w:numId w:val="569"/>
        </w:numPr>
        <w:tabs>
          <w:tab w:pos="1919" w:val="left" w:leader="none"/>
        </w:tabs>
        <w:spacing w:line="240" w:lineRule="auto" w:before="120" w:after="0"/>
        <w:ind w:left="1919" w:right="415" w:hanging="567"/>
        <w:jc w:val="both"/>
        <w:rPr>
          <w:sz w:val="24"/>
        </w:rPr>
      </w:pPr>
      <w:r>
        <w:rPr>
          <w:sz w:val="24"/>
        </w:rPr>
        <w:t>To perform a type 11 substitution, the </w:t>
      </w:r>
      <w:r>
        <w:rPr>
          <w:i/>
          <w:sz w:val="24"/>
        </w:rPr>
        <w:t>Metering Data Provider </w:t>
      </w:r>
      <w:r>
        <w:rPr>
          <w:sz w:val="24"/>
        </w:rPr>
        <w:t>must use </w:t>
      </w:r>
      <w:r>
        <w:rPr>
          <w:i/>
          <w:sz w:val="24"/>
        </w:rPr>
        <w:t>interval metering data </w:t>
      </w:r>
      <w:r>
        <w:rPr>
          <w:sz w:val="24"/>
        </w:rPr>
        <w:t>obtained from the </w:t>
      </w:r>
      <w:r>
        <w:rPr>
          <w:i/>
          <w:sz w:val="24"/>
        </w:rPr>
        <w:t>check metering installation </w:t>
      </w:r>
      <w:r>
        <w:rPr>
          <w:sz w:val="24"/>
        </w:rPr>
        <w:t>for that </w:t>
      </w:r>
      <w:r>
        <w:rPr>
          <w:i/>
          <w:sz w:val="24"/>
        </w:rPr>
        <w:t>metering point</w:t>
      </w:r>
      <w:r>
        <w:rPr>
          <w:i/>
          <w:spacing w:val="-2"/>
          <w:sz w:val="24"/>
        </w:rPr>
        <w:t> </w:t>
      </w:r>
      <w:r>
        <w:rPr>
          <w:sz w:val="24"/>
        </w:rPr>
        <w:t>where:</w:t>
      </w:r>
    </w:p>
    <w:p>
      <w:pPr>
        <w:pStyle w:val="ListParagraph"/>
        <w:numPr>
          <w:ilvl w:val="1"/>
          <w:numId w:val="569"/>
        </w:numPr>
        <w:tabs>
          <w:tab w:pos="2486" w:val="left" w:leader="none"/>
        </w:tabs>
        <w:spacing w:line="240" w:lineRule="auto" w:before="120" w:after="0"/>
        <w:ind w:left="2486" w:right="416" w:hanging="567"/>
        <w:jc w:val="both"/>
        <w:rPr>
          <w:sz w:val="24"/>
        </w:rPr>
      </w:pPr>
      <w:r>
        <w:rPr>
          <w:sz w:val="24"/>
        </w:rPr>
        <w:t>the </w:t>
      </w:r>
      <w:r>
        <w:rPr>
          <w:i/>
          <w:sz w:val="24"/>
        </w:rPr>
        <w:t>metering installation </w:t>
      </w:r>
      <w:r>
        <w:rPr>
          <w:sz w:val="24"/>
        </w:rPr>
        <w:t>and </w:t>
      </w:r>
      <w:r>
        <w:rPr>
          <w:i/>
          <w:sz w:val="24"/>
        </w:rPr>
        <w:t>check metering installation </w:t>
      </w:r>
      <w:r>
        <w:rPr>
          <w:sz w:val="24"/>
        </w:rPr>
        <w:t>are installed at the same </w:t>
      </w:r>
      <w:r>
        <w:rPr>
          <w:i/>
          <w:sz w:val="24"/>
        </w:rPr>
        <w:t>connection</w:t>
      </w:r>
      <w:r>
        <w:rPr>
          <w:i/>
          <w:spacing w:val="-2"/>
          <w:sz w:val="24"/>
        </w:rPr>
        <w:t> </w:t>
      </w:r>
      <w:r>
        <w:rPr>
          <w:i/>
          <w:sz w:val="24"/>
        </w:rPr>
        <w:t>point</w:t>
      </w:r>
      <w:r>
        <w:rPr>
          <w:sz w:val="24"/>
        </w:rPr>
        <w:t>;</w:t>
      </w:r>
    </w:p>
    <w:p>
      <w:pPr>
        <w:pStyle w:val="ListParagraph"/>
        <w:numPr>
          <w:ilvl w:val="1"/>
          <w:numId w:val="569"/>
        </w:numPr>
        <w:tabs>
          <w:tab w:pos="2486" w:val="left" w:leader="none"/>
        </w:tabs>
        <w:spacing w:line="240" w:lineRule="auto" w:before="120" w:after="0"/>
        <w:ind w:left="2486" w:right="415" w:hanging="567"/>
        <w:jc w:val="both"/>
        <w:rPr>
          <w:sz w:val="24"/>
        </w:rPr>
      </w:pPr>
      <w:r>
        <w:rPr>
          <w:sz w:val="24"/>
        </w:rPr>
        <w:t>the </w:t>
      </w:r>
      <w:r>
        <w:rPr>
          <w:i/>
          <w:sz w:val="24"/>
        </w:rPr>
        <w:t>metering installation </w:t>
      </w:r>
      <w:r>
        <w:rPr>
          <w:sz w:val="24"/>
        </w:rPr>
        <w:t>and </w:t>
      </w:r>
      <w:r>
        <w:rPr>
          <w:i/>
          <w:sz w:val="24"/>
        </w:rPr>
        <w:t>check metering installation </w:t>
      </w:r>
      <w:r>
        <w:rPr>
          <w:sz w:val="24"/>
        </w:rPr>
        <w:t>are installed on different ends of a </w:t>
      </w:r>
      <w:r>
        <w:rPr>
          <w:i/>
          <w:sz w:val="24"/>
        </w:rPr>
        <w:t>transmission </w:t>
      </w:r>
      <w:r>
        <w:rPr>
          <w:sz w:val="24"/>
        </w:rPr>
        <w:t>line where the difference due to </w:t>
      </w:r>
      <w:r>
        <w:rPr>
          <w:i/>
          <w:sz w:val="24"/>
        </w:rPr>
        <w:t>transmission line </w:t>
      </w:r>
      <w:r>
        <w:rPr>
          <w:sz w:val="24"/>
        </w:rPr>
        <w:t>losses can be accurately determined;</w:t>
      </w:r>
      <w:r>
        <w:rPr>
          <w:spacing w:val="-1"/>
          <w:sz w:val="24"/>
        </w:rPr>
        <w:t> </w:t>
      </w:r>
      <w:r>
        <w:rPr>
          <w:sz w:val="24"/>
        </w:rPr>
        <w:t>or</w:t>
      </w:r>
    </w:p>
    <w:p>
      <w:pPr>
        <w:pStyle w:val="ListParagraph"/>
        <w:numPr>
          <w:ilvl w:val="1"/>
          <w:numId w:val="569"/>
        </w:numPr>
        <w:tabs>
          <w:tab w:pos="2486" w:val="left" w:leader="none"/>
        </w:tabs>
        <w:spacing w:line="240" w:lineRule="auto" w:before="120" w:after="0"/>
        <w:ind w:left="2486" w:right="415" w:hanging="567"/>
        <w:jc w:val="both"/>
        <w:rPr>
          <w:sz w:val="24"/>
        </w:rPr>
      </w:pPr>
      <w:r>
        <w:rPr>
          <w:sz w:val="24"/>
        </w:rPr>
        <w:t>the </w:t>
      </w:r>
      <w:r>
        <w:rPr>
          <w:i/>
          <w:sz w:val="24"/>
        </w:rPr>
        <w:t>metering installation </w:t>
      </w:r>
      <w:r>
        <w:rPr>
          <w:sz w:val="24"/>
        </w:rPr>
        <w:t>and the </w:t>
      </w:r>
      <w:r>
        <w:rPr>
          <w:i/>
          <w:sz w:val="24"/>
        </w:rPr>
        <w:t>check metering installation </w:t>
      </w:r>
      <w:r>
        <w:rPr>
          <w:sz w:val="24"/>
        </w:rPr>
        <w:t>are installed across a parallel set of feeders having similar line impedances between a common set of</w:t>
      </w:r>
      <w:r>
        <w:rPr>
          <w:spacing w:val="-2"/>
          <w:sz w:val="24"/>
        </w:rPr>
        <w:t> </w:t>
      </w:r>
      <w:r>
        <w:rPr>
          <w:sz w:val="24"/>
        </w:rPr>
        <w:t>busbars.</w:t>
      </w:r>
    </w:p>
    <w:p>
      <w:pPr>
        <w:spacing w:before="220"/>
        <w:ind w:left="1356" w:right="0" w:firstLine="0"/>
        <w:jc w:val="left"/>
        <w:rPr>
          <w:rFonts w:ascii="Arial" w:hAnsi="Arial"/>
          <w:b/>
          <w:sz w:val="22"/>
        </w:rPr>
      </w:pPr>
      <w:r>
        <w:rPr>
          <w:rFonts w:ascii="Arial" w:hAnsi="Arial"/>
          <w:b/>
          <w:sz w:val="22"/>
        </w:rPr>
        <w:t>Type 12 – Calculated</w:t>
      </w:r>
    </w:p>
    <w:p>
      <w:pPr>
        <w:pStyle w:val="ListParagraph"/>
        <w:numPr>
          <w:ilvl w:val="0"/>
          <w:numId w:val="569"/>
        </w:numPr>
        <w:tabs>
          <w:tab w:pos="1919" w:val="left" w:leader="none"/>
        </w:tabs>
        <w:spacing w:line="240" w:lineRule="auto" w:before="120" w:after="0"/>
        <w:ind w:left="1919" w:right="416" w:hanging="567"/>
        <w:jc w:val="both"/>
        <w:rPr>
          <w:sz w:val="24"/>
        </w:rPr>
      </w:pPr>
      <w:r>
        <w:rPr>
          <w:sz w:val="24"/>
        </w:rPr>
        <w:t>To perform a type 12 substitution, the </w:t>
      </w:r>
      <w:r>
        <w:rPr>
          <w:i/>
          <w:sz w:val="24"/>
        </w:rPr>
        <w:t>Metering Data Provider </w:t>
      </w:r>
      <w:r>
        <w:rPr>
          <w:sz w:val="24"/>
        </w:rPr>
        <w:t>must calculate the </w:t>
      </w:r>
      <w:r>
        <w:rPr>
          <w:i/>
          <w:sz w:val="24"/>
        </w:rPr>
        <w:t>interval metering data </w:t>
      </w:r>
      <w:r>
        <w:rPr>
          <w:sz w:val="24"/>
        </w:rPr>
        <w:t>to be substituted where they relate to a single unknown feed to a node based on the other known </w:t>
      </w:r>
      <w:r>
        <w:rPr>
          <w:i/>
          <w:sz w:val="24"/>
        </w:rPr>
        <w:t>energy </w:t>
      </w:r>
      <w:r>
        <w:rPr>
          <w:sz w:val="24"/>
        </w:rPr>
        <w:t>flows to or from that</w:t>
      </w:r>
      <w:r>
        <w:rPr>
          <w:spacing w:val="-1"/>
          <w:sz w:val="24"/>
        </w:rPr>
        <w:t> </w:t>
      </w:r>
      <w:r>
        <w:rPr>
          <w:sz w:val="24"/>
        </w:rPr>
        <w:t>node.</w:t>
      </w:r>
    </w:p>
    <w:p>
      <w:pPr>
        <w:spacing w:before="220"/>
        <w:ind w:left="1356" w:right="0" w:firstLine="0"/>
        <w:jc w:val="left"/>
        <w:rPr>
          <w:rFonts w:ascii="Arial" w:hAnsi="Arial"/>
          <w:b/>
          <w:sz w:val="22"/>
        </w:rPr>
      </w:pPr>
      <w:r>
        <w:rPr>
          <w:rFonts w:ascii="Arial" w:hAnsi="Arial"/>
          <w:b/>
          <w:sz w:val="22"/>
        </w:rPr>
        <w:t>Type 13 – SCADA</w:t>
      </w:r>
    </w:p>
    <w:p>
      <w:pPr>
        <w:pStyle w:val="ListParagraph"/>
        <w:numPr>
          <w:ilvl w:val="0"/>
          <w:numId w:val="569"/>
        </w:numPr>
        <w:tabs>
          <w:tab w:pos="1919" w:val="left" w:leader="none"/>
        </w:tabs>
        <w:spacing w:line="240" w:lineRule="auto" w:before="120" w:after="0"/>
        <w:ind w:left="1918" w:right="0" w:hanging="567"/>
        <w:jc w:val="both"/>
        <w:rPr>
          <w:sz w:val="24"/>
        </w:rPr>
      </w:pPr>
      <w:r>
        <w:rPr>
          <w:sz w:val="24"/>
        </w:rPr>
        <w:t>To perform a type 13</w:t>
      </w:r>
      <w:r>
        <w:rPr>
          <w:spacing w:val="-2"/>
          <w:sz w:val="24"/>
        </w:rPr>
        <w:t> </w:t>
      </w:r>
      <w:r>
        <w:rPr>
          <w:sz w:val="24"/>
        </w:rPr>
        <w:t>substitution:</w:t>
      </w:r>
    </w:p>
    <w:p>
      <w:pPr>
        <w:pStyle w:val="ListParagraph"/>
        <w:numPr>
          <w:ilvl w:val="1"/>
          <w:numId w:val="569"/>
        </w:numPr>
        <w:tabs>
          <w:tab w:pos="2486" w:val="left" w:leader="none"/>
        </w:tabs>
        <w:spacing w:line="240" w:lineRule="auto" w:before="120" w:after="0"/>
        <w:ind w:left="2486" w:right="415" w:hanging="567"/>
        <w:jc w:val="both"/>
        <w:rPr>
          <w:sz w:val="24"/>
        </w:rPr>
      </w:pPr>
      <w:r>
        <w:rPr>
          <w:sz w:val="24"/>
        </w:rPr>
        <w:t>the </w:t>
      </w:r>
      <w:r>
        <w:rPr>
          <w:i/>
          <w:sz w:val="24"/>
        </w:rPr>
        <w:t>Metering Data Provider </w:t>
      </w:r>
      <w:r>
        <w:rPr>
          <w:sz w:val="24"/>
        </w:rPr>
        <w:t>must use SCADA data provided by </w:t>
      </w:r>
      <w:r>
        <w:rPr>
          <w:i/>
          <w:sz w:val="24"/>
        </w:rPr>
        <w:t>NTESMO </w:t>
      </w:r>
      <w:r>
        <w:rPr>
          <w:sz w:val="24"/>
        </w:rPr>
        <w:t>in the agreed format for substitution purposes, which originates from a similar measurement point as the</w:t>
      </w:r>
      <w:r>
        <w:rPr>
          <w:spacing w:val="-4"/>
          <w:sz w:val="24"/>
        </w:rPr>
        <w:t> </w:t>
      </w:r>
      <w:r>
        <w:rPr>
          <w:i/>
          <w:sz w:val="24"/>
        </w:rPr>
        <w:t>meter</w:t>
      </w:r>
      <w:r>
        <w:rPr>
          <w:sz w:val="24"/>
        </w:rPr>
        <w:t>;</w:t>
      </w:r>
    </w:p>
    <w:p>
      <w:pPr>
        <w:pStyle w:val="ListParagraph"/>
        <w:numPr>
          <w:ilvl w:val="1"/>
          <w:numId w:val="569"/>
        </w:numPr>
        <w:tabs>
          <w:tab w:pos="2486" w:val="left" w:leader="none"/>
        </w:tabs>
        <w:spacing w:line="240" w:lineRule="auto" w:before="120" w:after="0"/>
        <w:ind w:left="2486" w:right="415" w:hanging="567"/>
        <w:jc w:val="both"/>
        <w:rPr>
          <w:sz w:val="24"/>
        </w:rPr>
      </w:pPr>
      <w:r>
        <w:rPr>
          <w:sz w:val="24"/>
        </w:rPr>
        <w:t>where SCADA data is inferior in accuracy or resolution and in a dissimilar format to the </w:t>
      </w:r>
      <w:r>
        <w:rPr>
          <w:i/>
          <w:sz w:val="24"/>
        </w:rPr>
        <w:t>metering data</w:t>
      </w:r>
      <w:r>
        <w:rPr>
          <w:sz w:val="24"/>
        </w:rPr>
        <w:t>, (for example, 30 Min. demand values). the </w:t>
      </w:r>
      <w:r>
        <w:rPr>
          <w:i/>
          <w:sz w:val="24"/>
        </w:rPr>
        <w:t>Metering Data Provider </w:t>
      </w:r>
      <w:r>
        <w:rPr>
          <w:sz w:val="24"/>
        </w:rPr>
        <w:t>may have to adjust the data in both magnitude and form so that the substitution is valid;</w:t>
      </w:r>
      <w:r>
        <w:rPr>
          <w:spacing w:val="-8"/>
          <w:sz w:val="24"/>
        </w:rPr>
        <w:t> </w:t>
      </w:r>
      <w:r>
        <w:rPr>
          <w:sz w:val="24"/>
        </w:rPr>
        <w:t>and</w:t>
      </w:r>
    </w:p>
    <w:p>
      <w:pPr>
        <w:pStyle w:val="ListParagraph"/>
        <w:numPr>
          <w:ilvl w:val="1"/>
          <w:numId w:val="569"/>
        </w:numPr>
        <w:tabs>
          <w:tab w:pos="2486" w:val="left" w:leader="none"/>
        </w:tabs>
        <w:spacing w:line="240" w:lineRule="auto" w:before="120" w:after="0"/>
        <w:ind w:left="2486" w:right="416" w:hanging="567"/>
        <w:jc w:val="both"/>
        <w:rPr>
          <w:sz w:val="24"/>
        </w:rPr>
      </w:pPr>
      <w:r>
        <w:rPr>
          <w:sz w:val="24"/>
        </w:rPr>
        <w:t>where SCADA data is to be used for Substitution, both the provided 'E' channel and 'B' channel SCADA data streams must be</w:t>
      </w:r>
      <w:r>
        <w:rPr>
          <w:spacing w:val="-10"/>
          <w:sz w:val="24"/>
        </w:rPr>
        <w:t> </w:t>
      </w:r>
      <w:r>
        <w:rPr>
          <w:sz w:val="24"/>
        </w:rPr>
        <w:t>used.</w:t>
      </w:r>
    </w:p>
    <w:p>
      <w:pPr>
        <w:spacing w:before="220"/>
        <w:ind w:left="1356" w:right="0" w:firstLine="0"/>
        <w:jc w:val="left"/>
        <w:rPr>
          <w:rFonts w:ascii="Arial" w:hAnsi="Arial"/>
          <w:b/>
          <w:sz w:val="22"/>
        </w:rPr>
      </w:pPr>
      <w:r>
        <w:rPr>
          <w:rFonts w:ascii="Arial" w:hAnsi="Arial"/>
          <w:b/>
          <w:sz w:val="22"/>
        </w:rPr>
        <w:t>Type 14 – Like day</w:t>
      </w:r>
    </w:p>
    <w:p>
      <w:pPr>
        <w:pStyle w:val="ListParagraph"/>
        <w:numPr>
          <w:ilvl w:val="0"/>
          <w:numId w:val="569"/>
        </w:numPr>
        <w:tabs>
          <w:tab w:pos="1919" w:val="left" w:leader="none"/>
        </w:tabs>
        <w:spacing w:line="240" w:lineRule="auto" w:before="120" w:after="0"/>
        <w:ind w:left="1919" w:right="416" w:hanging="567"/>
        <w:jc w:val="both"/>
        <w:rPr>
          <w:sz w:val="24"/>
        </w:rPr>
      </w:pPr>
      <w:r>
        <w:rPr>
          <w:sz w:val="24"/>
        </w:rPr>
        <w:t>To perform a type 14 substitution, the </w:t>
      </w:r>
      <w:r>
        <w:rPr>
          <w:i/>
          <w:sz w:val="24"/>
        </w:rPr>
        <w:t>Metering Data Provider </w:t>
      </w:r>
      <w:r>
        <w:rPr>
          <w:sz w:val="24"/>
        </w:rPr>
        <w:t>must substitute missing or erroneous </w:t>
      </w:r>
      <w:r>
        <w:rPr>
          <w:i/>
          <w:sz w:val="24"/>
        </w:rPr>
        <w:t>metering data </w:t>
      </w:r>
      <w:r>
        <w:rPr>
          <w:sz w:val="24"/>
        </w:rPr>
        <w:t>using the nearest equivalent day or like day method, as detailed in Table</w:t>
      </w:r>
      <w:r>
        <w:rPr>
          <w:spacing w:val="-1"/>
          <w:sz w:val="24"/>
        </w:rPr>
        <w:t> </w:t>
      </w:r>
      <w:r>
        <w:rPr>
          <w:sz w:val="24"/>
        </w:rPr>
        <w:t>1.</w:t>
      </w:r>
    </w:p>
    <w:p>
      <w:pPr>
        <w:spacing w:after="0" w:line="240" w:lineRule="auto"/>
        <w:jc w:val="both"/>
        <w:rPr>
          <w:sz w:val="24"/>
        </w:rPr>
        <w:sectPr>
          <w:pgSz w:w="11910" w:h="16840"/>
          <w:pgMar w:header="686" w:footer="637" w:top="1320" w:bottom="820" w:left="1200" w:right="1000"/>
        </w:sectPr>
      </w:pPr>
    </w:p>
    <w:p>
      <w:pPr>
        <w:spacing w:before="83"/>
        <w:ind w:left="1352" w:right="0" w:firstLine="0"/>
        <w:jc w:val="left"/>
        <w:rPr>
          <w:rFonts w:ascii="Arial"/>
          <w:b/>
          <w:sz w:val="22"/>
        </w:rPr>
      </w:pPr>
      <w:r>
        <w:rPr>
          <w:rFonts w:ascii="Arial"/>
          <w:b/>
          <w:sz w:val="22"/>
        </w:rPr>
        <w:t>Table 1</w:t>
      </w:r>
    </w:p>
    <w:p>
      <w:pPr>
        <w:pStyle w:val="BodyText"/>
        <w:spacing w:before="7" w:after="1"/>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9"/>
        <w:gridCol w:w="5288"/>
      </w:tblGrid>
      <w:tr>
        <w:trPr>
          <w:trHeight w:val="515" w:hRule="atLeast"/>
        </w:trPr>
        <w:tc>
          <w:tcPr>
            <w:tcW w:w="7937" w:type="dxa"/>
            <w:gridSpan w:val="2"/>
            <w:tcBorders>
              <w:right w:val="single" w:sz="4" w:space="0" w:color="000000"/>
            </w:tcBorders>
          </w:tcPr>
          <w:p>
            <w:pPr>
              <w:pStyle w:val="TableParagraph"/>
              <w:ind w:left="40"/>
              <w:rPr>
                <w:b/>
                <w:sz w:val="24"/>
              </w:rPr>
            </w:pPr>
            <w:r>
              <w:rPr>
                <w:b/>
                <w:sz w:val="24"/>
              </w:rPr>
              <w:t>TYPE 14</w:t>
            </w:r>
          </w:p>
        </w:tc>
      </w:tr>
      <w:tr>
        <w:trPr>
          <w:trHeight w:val="791" w:hRule="atLeast"/>
        </w:trPr>
        <w:tc>
          <w:tcPr>
            <w:tcW w:w="2649" w:type="dxa"/>
            <w:tcBorders>
              <w:right w:val="single" w:sz="4" w:space="0" w:color="000000"/>
            </w:tcBorders>
          </w:tcPr>
          <w:p>
            <w:pPr>
              <w:pStyle w:val="TableParagraph"/>
              <w:ind w:left="40"/>
              <w:rPr>
                <w:b/>
                <w:sz w:val="24"/>
              </w:rPr>
            </w:pPr>
            <w:r>
              <w:rPr>
                <w:b/>
                <w:sz w:val="24"/>
              </w:rPr>
              <w:t>Substitution day</w:t>
            </w:r>
          </w:p>
        </w:tc>
        <w:tc>
          <w:tcPr>
            <w:tcW w:w="5288" w:type="dxa"/>
            <w:tcBorders>
              <w:left w:val="single" w:sz="4" w:space="0" w:color="000000"/>
              <w:right w:val="single" w:sz="4" w:space="0" w:color="000000"/>
            </w:tcBorders>
          </w:tcPr>
          <w:p>
            <w:pPr>
              <w:pStyle w:val="TableParagraph"/>
              <w:ind w:left="44" w:right="481"/>
              <w:rPr>
                <w:b/>
                <w:sz w:val="24"/>
              </w:rPr>
            </w:pPr>
            <w:r>
              <w:rPr>
                <w:b/>
                <w:sz w:val="24"/>
              </w:rPr>
              <w:t>Nearest equivalent day or like day (in order of availability)</w:t>
            </w:r>
          </w:p>
        </w:tc>
      </w:tr>
      <w:tr>
        <w:trPr>
          <w:trHeight w:val="515" w:hRule="atLeast"/>
        </w:trPr>
        <w:tc>
          <w:tcPr>
            <w:tcW w:w="2649" w:type="dxa"/>
            <w:tcBorders>
              <w:right w:val="single" w:sz="4" w:space="0" w:color="000000"/>
            </w:tcBorders>
          </w:tcPr>
          <w:p>
            <w:pPr>
              <w:pStyle w:val="TableParagraph"/>
              <w:ind w:left="40"/>
              <w:rPr>
                <w:sz w:val="24"/>
              </w:rPr>
            </w:pPr>
            <w:r>
              <w:rPr>
                <w:sz w:val="24"/>
              </w:rPr>
              <w:t>Monday</w:t>
            </w:r>
          </w:p>
        </w:tc>
        <w:tc>
          <w:tcPr>
            <w:tcW w:w="5288" w:type="dxa"/>
            <w:tcBorders>
              <w:left w:val="single" w:sz="4" w:space="0" w:color="000000"/>
              <w:right w:val="single" w:sz="4" w:space="0" w:color="000000"/>
            </w:tcBorders>
          </w:tcPr>
          <w:p>
            <w:pPr>
              <w:pStyle w:val="TableParagraph"/>
              <w:ind w:left="44"/>
              <w:rPr>
                <w:sz w:val="24"/>
              </w:rPr>
            </w:pPr>
            <w:r>
              <w:rPr>
                <w:sz w:val="24"/>
              </w:rPr>
              <w:t>Monday ##</w:t>
            </w:r>
          </w:p>
        </w:tc>
      </w:tr>
      <w:tr>
        <w:trPr>
          <w:trHeight w:val="791" w:hRule="atLeast"/>
        </w:trPr>
        <w:tc>
          <w:tcPr>
            <w:tcW w:w="2649" w:type="dxa"/>
            <w:tcBorders>
              <w:right w:val="single" w:sz="4" w:space="0" w:color="000000"/>
            </w:tcBorders>
          </w:tcPr>
          <w:p>
            <w:pPr>
              <w:pStyle w:val="TableParagraph"/>
              <w:ind w:left="40"/>
              <w:rPr>
                <w:sz w:val="24"/>
              </w:rPr>
            </w:pPr>
            <w:r>
              <w:rPr>
                <w:sz w:val="24"/>
              </w:rPr>
              <w:t>Tuesday</w:t>
            </w:r>
          </w:p>
        </w:tc>
        <w:tc>
          <w:tcPr>
            <w:tcW w:w="5288" w:type="dxa"/>
            <w:tcBorders>
              <w:left w:val="single" w:sz="4" w:space="0" w:color="000000"/>
              <w:right w:val="single" w:sz="4" w:space="0" w:color="000000"/>
            </w:tcBorders>
          </w:tcPr>
          <w:p>
            <w:pPr>
              <w:pStyle w:val="TableParagraph"/>
              <w:ind w:left="44" w:right="235"/>
              <w:rPr>
                <w:sz w:val="24"/>
              </w:rPr>
            </w:pPr>
            <w:r>
              <w:rPr>
                <w:sz w:val="24"/>
              </w:rPr>
              <w:t>Tuesday## Wednesday## Thursday## Wednesday# Thursday#</w:t>
            </w:r>
          </w:p>
        </w:tc>
      </w:tr>
      <w:tr>
        <w:trPr>
          <w:trHeight w:val="791" w:hRule="atLeast"/>
        </w:trPr>
        <w:tc>
          <w:tcPr>
            <w:tcW w:w="2649" w:type="dxa"/>
            <w:tcBorders>
              <w:right w:val="single" w:sz="4" w:space="0" w:color="000000"/>
            </w:tcBorders>
          </w:tcPr>
          <w:p>
            <w:pPr>
              <w:pStyle w:val="TableParagraph"/>
              <w:ind w:left="40"/>
              <w:rPr>
                <w:sz w:val="24"/>
              </w:rPr>
            </w:pPr>
            <w:r>
              <w:rPr>
                <w:sz w:val="24"/>
              </w:rPr>
              <w:t>Wednesday</w:t>
            </w:r>
          </w:p>
        </w:tc>
        <w:tc>
          <w:tcPr>
            <w:tcW w:w="5288" w:type="dxa"/>
            <w:tcBorders>
              <w:left w:val="single" w:sz="4" w:space="0" w:color="000000"/>
              <w:right w:val="single" w:sz="4" w:space="0" w:color="000000"/>
            </w:tcBorders>
          </w:tcPr>
          <w:p>
            <w:pPr>
              <w:pStyle w:val="TableParagraph"/>
              <w:ind w:left="44" w:right="568"/>
              <w:rPr>
                <w:sz w:val="24"/>
              </w:rPr>
            </w:pPr>
            <w:r>
              <w:rPr>
                <w:sz w:val="24"/>
              </w:rPr>
              <w:t>Wednesday## Tuesday# Thursday## Thursday# Tuesday##</w:t>
            </w:r>
          </w:p>
        </w:tc>
      </w:tr>
      <w:tr>
        <w:trPr>
          <w:trHeight w:val="791" w:hRule="atLeast"/>
        </w:trPr>
        <w:tc>
          <w:tcPr>
            <w:tcW w:w="2649" w:type="dxa"/>
            <w:tcBorders>
              <w:right w:val="single" w:sz="4" w:space="0" w:color="000000"/>
            </w:tcBorders>
          </w:tcPr>
          <w:p>
            <w:pPr>
              <w:pStyle w:val="TableParagraph"/>
              <w:ind w:left="40"/>
              <w:rPr>
                <w:sz w:val="24"/>
              </w:rPr>
            </w:pPr>
            <w:r>
              <w:rPr>
                <w:sz w:val="24"/>
              </w:rPr>
              <w:t>Thursday</w:t>
            </w:r>
          </w:p>
        </w:tc>
        <w:tc>
          <w:tcPr>
            <w:tcW w:w="5288" w:type="dxa"/>
            <w:tcBorders>
              <w:left w:val="single" w:sz="4" w:space="0" w:color="000000"/>
              <w:right w:val="single" w:sz="4" w:space="0" w:color="000000"/>
            </w:tcBorders>
          </w:tcPr>
          <w:p>
            <w:pPr>
              <w:pStyle w:val="TableParagraph"/>
              <w:ind w:left="44" w:right="355"/>
              <w:rPr>
                <w:sz w:val="24"/>
              </w:rPr>
            </w:pPr>
            <w:r>
              <w:rPr>
                <w:sz w:val="24"/>
              </w:rPr>
              <w:t>Thursday## Wednesday# Tuesday# Wednesday## Tuesday##</w:t>
            </w:r>
          </w:p>
        </w:tc>
      </w:tr>
      <w:tr>
        <w:trPr>
          <w:trHeight w:val="515" w:hRule="atLeast"/>
        </w:trPr>
        <w:tc>
          <w:tcPr>
            <w:tcW w:w="2649" w:type="dxa"/>
            <w:tcBorders>
              <w:right w:val="single" w:sz="4" w:space="0" w:color="000000"/>
            </w:tcBorders>
          </w:tcPr>
          <w:p>
            <w:pPr>
              <w:pStyle w:val="TableParagraph"/>
              <w:ind w:left="40"/>
              <w:rPr>
                <w:sz w:val="24"/>
              </w:rPr>
            </w:pPr>
            <w:r>
              <w:rPr>
                <w:sz w:val="24"/>
              </w:rPr>
              <w:t>Friday</w:t>
            </w:r>
          </w:p>
        </w:tc>
        <w:tc>
          <w:tcPr>
            <w:tcW w:w="5288" w:type="dxa"/>
            <w:tcBorders>
              <w:left w:val="single" w:sz="4" w:space="0" w:color="000000"/>
              <w:right w:val="single" w:sz="4" w:space="0" w:color="000000"/>
            </w:tcBorders>
          </w:tcPr>
          <w:p>
            <w:pPr>
              <w:pStyle w:val="TableParagraph"/>
              <w:ind w:left="44"/>
              <w:rPr>
                <w:sz w:val="24"/>
              </w:rPr>
            </w:pPr>
            <w:r>
              <w:rPr>
                <w:sz w:val="24"/>
              </w:rPr>
              <w:t>Friday##</w:t>
            </w:r>
          </w:p>
        </w:tc>
      </w:tr>
      <w:tr>
        <w:trPr>
          <w:trHeight w:val="515" w:hRule="atLeast"/>
        </w:trPr>
        <w:tc>
          <w:tcPr>
            <w:tcW w:w="2649" w:type="dxa"/>
            <w:tcBorders>
              <w:right w:val="single" w:sz="4" w:space="0" w:color="000000"/>
            </w:tcBorders>
          </w:tcPr>
          <w:p>
            <w:pPr>
              <w:pStyle w:val="TableParagraph"/>
              <w:ind w:left="40"/>
              <w:rPr>
                <w:sz w:val="24"/>
              </w:rPr>
            </w:pPr>
            <w:r>
              <w:rPr>
                <w:sz w:val="24"/>
              </w:rPr>
              <w:t>Saturday</w:t>
            </w:r>
          </w:p>
        </w:tc>
        <w:tc>
          <w:tcPr>
            <w:tcW w:w="5288" w:type="dxa"/>
            <w:tcBorders>
              <w:left w:val="single" w:sz="4" w:space="0" w:color="000000"/>
              <w:right w:val="single" w:sz="4" w:space="0" w:color="000000"/>
            </w:tcBorders>
          </w:tcPr>
          <w:p>
            <w:pPr>
              <w:pStyle w:val="TableParagraph"/>
              <w:ind w:left="44"/>
              <w:rPr>
                <w:sz w:val="24"/>
              </w:rPr>
            </w:pPr>
            <w:r>
              <w:rPr>
                <w:sz w:val="24"/>
              </w:rPr>
              <w:t>Saturday##</w:t>
            </w:r>
          </w:p>
        </w:tc>
      </w:tr>
      <w:tr>
        <w:trPr>
          <w:trHeight w:val="515" w:hRule="atLeast"/>
        </w:trPr>
        <w:tc>
          <w:tcPr>
            <w:tcW w:w="2649" w:type="dxa"/>
            <w:tcBorders>
              <w:right w:val="single" w:sz="4" w:space="0" w:color="000000"/>
            </w:tcBorders>
          </w:tcPr>
          <w:p>
            <w:pPr>
              <w:pStyle w:val="TableParagraph"/>
              <w:ind w:left="40"/>
              <w:rPr>
                <w:sz w:val="24"/>
              </w:rPr>
            </w:pPr>
            <w:r>
              <w:rPr>
                <w:sz w:val="24"/>
              </w:rPr>
              <w:t>Sunday</w:t>
            </w:r>
          </w:p>
        </w:tc>
        <w:tc>
          <w:tcPr>
            <w:tcW w:w="5288" w:type="dxa"/>
            <w:tcBorders>
              <w:left w:val="single" w:sz="4" w:space="0" w:color="000000"/>
              <w:right w:val="single" w:sz="4" w:space="0" w:color="000000"/>
            </w:tcBorders>
          </w:tcPr>
          <w:p>
            <w:pPr>
              <w:pStyle w:val="TableParagraph"/>
              <w:ind w:left="44"/>
              <w:rPr>
                <w:sz w:val="24"/>
              </w:rPr>
            </w:pPr>
            <w:r>
              <w:rPr>
                <w:sz w:val="24"/>
              </w:rPr>
              <w:t>Sunday##</w:t>
            </w:r>
          </w:p>
        </w:tc>
      </w:tr>
      <w:tr>
        <w:trPr>
          <w:trHeight w:val="4427" w:hRule="atLeast"/>
        </w:trPr>
        <w:tc>
          <w:tcPr>
            <w:tcW w:w="7937" w:type="dxa"/>
            <w:gridSpan w:val="2"/>
            <w:tcBorders>
              <w:bottom w:val="single" w:sz="4" w:space="0" w:color="000000"/>
              <w:right w:val="single" w:sz="4" w:space="0" w:color="000000"/>
            </w:tcBorders>
          </w:tcPr>
          <w:p>
            <w:pPr>
              <w:pStyle w:val="TableParagraph"/>
              <w:ind w:left="40"/>
              <w:rPr>
                <w:sz w:val="24"/>
              </w:rPr>
            </w:pPr>
            <w:r>
              <w:rPr>
                <w:sz w:val="24"/>
              </w:rPr>
              <w:t>Substitutions for </w:t>
            </w:r>
            <w:r>
              <w:rPr>
                <w:b/>
                <w:sz w:val="24"/>
              </w:rPr>
              <w:t>like day </w:t>
            </w:r>
            <w:r>
              <w:rPr>
                <w:sz w:val="24"/>
              </w:rPr>
              <w:t>to be as detailed above, unless:</w:t>
            </w:r>
          </w:p>
          <w:p>
            <w:pPr>
              <w:pStyle w:val="TableParagraph"/>
              <w:numPr>
                <w:ilvl w:val="0"/>
                <w:numId w:val="570"/>
              </w:numPr>
              <w:tabs>
                <w:tab w:pos="606" w:val="left" w:leader="none"/>
                <w:tab w:pos="607" w:val="left" w:leader="none"/>
              </w:tabs>
              <w:spacing w:line="240" w:lineRule="auto" w:before="120" w:after="0"/>
              <w:ind w:left="607" w:right="468" w:hanging="567"/>
              <w:jc w:val="left"/>
              <w:rPr>
                <w:sz w:val="24"/>
              </w:rPr>
            </w:pPr>
            <w:r>
              <w:rPr>
                <w:sz w:val="24"/>
              </w:rPr>
              <w:t>No </w:t>
            </w:r>
            <w:r>
              <w:rPr>
                <w:i/>
                <w:sz w:val="24"/>
              </w:rPr>
              <w:t>metering data </w:t>
            </w:r>
            <w:r>
              <w:rPr>
                <w:sz w:val="24"/>
              </w:rPr>
              <w:t>is available on the first listed day, the next listed preferred day is to be used. If there is no other suitable listed day, or</w:t>
            </w:r>
            <w:r>
              <w:rPr>
                <w:spacing w:val="-12"/>
                <w:sz w:val="24"/>
              </w:rPr>
              <w:t> </w:t>
            </w:r>
            <w:r>
              <w:rPr>
                <w:sz w:val="24"/>
              </w:rPr>
              <w:t>no </w:t>
            </w:r>
            <w:r>
              <w:rPr>
                <w:i/>
                <w:sz w:val="24"/>
              </w:rPr>
              <w:t>metering data </w:t>
            </w:r>
            <w:r>
              <w:rPr>
                <w:sz w:val="24"/>
              </w:rPr>
              <w:t>is available on any of the listed days type 15 substitution must be used.</w:t>
            </w:r>
          </w:p>
          <w:p>
            <w:pPr>
              <w:pStyle w:val="TableParagraph"/>
              <w:numPr>
                <w:ilvl w:val="0"/>
                <w:numId w:val="570"/>
              </w:numPr>
              <w:tabs>
                <w:tab w:pos="606" w:val="left" w:leader="none"/>
                <w:tab w:pos="607" w:val="left" w:leader="none"/>
              </w:tabs>
              <w:spacing w:line="240" w:lineRule="auto" w:before="120" w:after="0"/>
              <w:ind w:left="607" w:right="362" w:hanging="567"/>
              <w:jc w:val="left"/>
              <w:rPr>
                <w:sz w:val="24"/>
              </w:rPr>
            </w:pPr>
            <w:r>
              <w:rPr>
                <w:sz w:val="24"/>
              </w:rPr>
              <w:t>The substitution day was a public holiday, in which case the most</w:t>
            </w:r>
            <w:r>
              <w:rPr>
                <w:spacing w:val="-23"/>
                <w:sz w:val="24"/>
              </w:rPr>
              <w:t> </w:t>
            </w:r>
            <w:r>
              <w:rPr>
                <w:sz w:val="24"/>
              </w:rPr>
              <w:t>recent Sunday is to be</w:t>
            </w:r>
            <w:r>
              <w:rPr>
                <w:spacing w:val="-2"/>
                <w:sz w:val="24"/>
              </w:rPr>
              <w:t> </w:t>
            </w:r>
            <w:r>
              <w:rPr>
                <w:sz w:val="24"/>
              </w:rPr>
              <w:t>used.</w:t>
            </w:r>
          </w:p>
          <w:p>
            <w:pPr>
              <w:pStyle w:val="TableParagraph"/>
              <w:numPr>
                <w:ilvl w:val="0"/>
                <w:numId w:val="570"/>
              </w:numPr>
              <w:tabs>
                <w:tab w:pos="606" w:val="left" w:leader="none"/>
                <w:tab w:pos="607" w:val="left" w:leader="none"/>
              </w:tabs>
              <w:spacing w:line="240" w:lineRule="auto" w:before="120" w:after="0"/>
              <w:ind w:left="607" w:right="155" w:hanging="567"/>
              <w:jc w:val="left"/>
              <w:rPr>
                <w:sz w:val="24"/>
              </w:rPr>
            </w:pPr>
            <w:r>
              <w:rPr>
                <w:sz w:val="24"/>
              </w:rPr>
              <w:t>The substitution day was not a public holiday and the listed day is a</w:t>
            </w:r>
            <w:r>
              <w:rPr>
                <w:spacing w:val="-19"/>
                <w:sz w:val="24"/>
              </w:rPr>
              <w:t> </w:t>
            </w:r>
            <w:r>
              <w:rPr>
                <w:sz w:val="24"/>
              </w:rPr>
              <w:t>public holiday, then the next listed preferred day that is not a public holiday is to be used.</w:t>
            </w:r>
          </w:p>
          <w:p>
            <w:pPr>
              <w:pStyle w:val="TableParagraph"/>
              <w:ind w:left="607"/>
              <w:rPr>
                <w:sz w:val="24"/>
              </w:rPr>
            </w:pPr>
            <w:r>
              <w:rPr>
                <w:sz w:val="24"/>
              </w:rPr>
              <w:t># Occurring in the same week as the substitution day.</w:t>
            </w:r>
          </w:p>
          <w:p>
            <w:pPr>
              <w:pStyle w:val="TableParagraph"/>
              <w:ind w:left="607" w:right="596"/>
              <w:rPr>
                <w:sz w:val="24"/>
              </w:rPr>
            </w:pPr>
            <w:r>
              <w:rPr>
                <w:sz w:val="24"/>
              </w:rPr>
              <w:t>## Occurring in the week preceding that in which the substitution day occurs.</w:t>
            </w:r>
          </w:p>
        </w:tc>
      </w:tr>
    </w:tbl>
    <w:p>
      <w:pPr>
        <w:pStyle w:val="BodyText"/>
        <w:spacing w:before="0"/>
        <w:ind w:firstLine="0"/>
        <w:jc w:val="left"/>
        <w:rPr>
          <w:rFonts w:ascii="Arial"/>
          <w:b/>
        </w:rPr>
      </w:pPr>
    </w:p>
    <w:p>
      <w:pPr>
        <w:pStyle w:val="BodyText"/>
        <w:spacing w:before="1"/>
        <w:ind w:firstLine="0"/>
        <w:jc w:val="left"/>
        <w:rPr>
          <w:rFonts w:ascii="Arial"/>
          <w:b/>
          <w:sz w:val="19"/>
        </w:rPr>
      </w:pPr>
    </w:p>
    <w:p>
      <w:pPr>
        <w:spacing w:before="0"/>
        <w:ind w:left="1356" w:right="0" w:firstLine="0"/>
        <w:jc w:val="left"/>
        <w:rPr>
          <w:rFonts w:ascii="Arial" w:hAnsi="Arial"/>
          <w:b/>
          <w:sz w:val="22"/>
        </w:rPr>
      </w:pPr>
      <w:r>
        <w:rPr>
          <w:rFonts w:ascii="Arial" w:hAnsi="Arial"/>
          <w:b/>
          <w:sz w:val="22"/>
        </w:rPr>
        <w:t>Type 15 – Average like day</w:t>
      </w:r>
    </w:p>
    <w:p>
      <w:pPr>
        <w:pStyle w:val="ListParagraph"/>
        <w:numPr>
          <w:ilvl w:val="0"/>
          <w:numId w:val="569"/>
        </w:numPr>
        <w:tabs>
          <w:tab w:pos="1919" w:val="left" w:leader="none"/>
        </w:tabs>
        <w:spacing w:line="240" w:lineRule="auto" w:before="120" w:after="0"/>
        <w:ind w:left="1919" w:right="414" w:hanging="567"/>
        <w:jc w:val="both"/>
        <w:rPr>
          <w:sz w:val="24"/>
        </w:rPr>
      </w:pPr>
      <w:r>
        <w:rPr>
          <w:sz w:val="24"/>
        </w:rPr>
        <w:t>To perform a type 15 substitution, the </w:t>
      </w:r>
      <w:r>
        <w:rPr>
          <w:i/>
          <w:sz w:val="24"/>
        </w:rPr>
        <w:t>Metering Data Provider </w:t>
      </w:r>
      <w:r>
        <w:rPr>
          <w:sz w:val="24"/>
        </w:rPr>
        <w:t>may substitute missing or erroneous </w:t>
      </w:r>
      <w:r>
        <w:rPr>
          <w:i/>
          <w:sz w:val="24"/>
        </w:rPr>
        <w:t>metering data </w:t>
      </w:r>
      <w:r>
        <w:rPr>
          <w:sz w:val="24"/>
        </w:rPr>
        <w:t>using the average like day method, as detailed in Table</w:t>
      </w:r>
      <w:r>
        <w:rPr>
          <w:spacing w:val="-2"/>
          <w:sz w:val="24"/>
        </w:rPr>
        <w:t> </w:t>
      </w:r>
      <w:r>
        <w:rPr>
          <w:sz w:val="24"/>
        </w:rPr>
        <w:t>2.</w:t>
      </w:r>
    </w:p>
    <w:p>
      <w:pPr>
        <w:spacing w:before="120"/>
        <w:ind w:left="1352" w:right="0" w:firstLine="0"/>
        <w:jc w:val="left"/>
        <w:rPr>
          <w:rFonts w:ascii="Arial"/>
          <w:b/>
          <w:sz w:val="22"/>
        </w:rPr>
      </w:pPr>
      <w:r>
        <w:rPr>
          <w:rFonts w:ascii="Arial"/>
          <w:b/>
          <w:sz w:val="22"/>
        </w:rPr>
        <w:t>Table 2</w:t>
      </w:r>
    </w:p>
    <w:p>
      <w:pPr>
        <w:pStyle w:val="BodyText"/>
        <w:spacing w:before="3"/>
        <w:ind w:firstLine="0"/>
        <w:jc w:val="left"/>
        <w:rPr>
          <w:rFonts w:ascii="Arial"/>
          <w:b/>
          <w:sz w:val="14"/>
        </w:rPr>
      </w:pPr>
      <w:r>
        <w:rPr/>
        <w:pict>
          <v:group style="position:absolute;margin-left:127.100006pt;margin-top:10.176757pt;width:397.6pt;height:27.3pt;mso-position-horizontal-relative:page;mso-position-vertical-relative:paragraph;z-index:-251610112;mso-wrap-distance-left:0;mso-wrap-distance-right:0" coordorigin="2542,204" coordsize="7952,546">
            <v:line style="position:absolute" from="2552,224" to="2552,740" stroked="true" strokeweight="1pt" strokecolor="#000000">
              <v:stroke dashstyle="solid"/>
            </v:line>
            <v:line style="position:absolute" from="10489,224" to="10489,740" stroked="true" strokeweight=".5pt" strokecolor="#000000">
              <v:stroke dashstyle="solid"/>
            </v:line>
            <v:line style="position:absolute" from="2542,214" to="10494,214" stroked="true" strokeweight="1pt" strokecolor="#000000">
              <v:stroke dashstyle="solid"/>
            </v:line>
            <v:line style="position:absolute" from="2542,745" to="10494,745" stroked="true" strokeweight=".5pt" strokecolor="#000000">
              <v:stroke dashstyle="solid"/>
            </v:line>
            <v:shape style="position:absolute;left:2562;top:223;width:7922;height:516" type="#_x0000_t202" filled="false" stroked="false">
              <v:textbox inset="0,0,0,0">
                <w:txbxContent>
                  <w:p>
                    <w:pPr>
                      <w:spacing w:before="120"/>
                      <w:ind w:left="30" w:right="0" w:firstLine="0"/>
                      <w:jc w:val="left"/>
                      <w:rPr>
                        <w:b/>
                        <w:sz w:val="24"/>
                      </w:rPr>
                    </w:pPr>
                    <w:r>
                      <w:rPr>
                        <w:b/>
                        <w:sz w:val="24"/>
                      </w:rPr>
                      <w:t>TYPE 15</w:t>
                    </w:r>
                  </w:p>
                </w:txbxContent>
              </v:textbox>
              <w10:wrap type="none"/>
            </v:shape>
            <w10:wrap type="topAndBottom"/>
          </v:group>
        </w:pict>
      </w:r>
    </w:p>
    <w:p>
      <w:pPr>
        <w:spacing w:after="0"/>
        <w:jc w:val="left"/>
        <w:rPr>
          <w:rFonts w:ascii="Arial"/>
          <w:sz w:val="14"/>
        </w:rPr>
        <w:sectPr>
          <w:pgSz w:w="11910" w:h="16840"/>
          <w:pgMar w:header="686" w:footer="637" w:top="1320" w:bottom="820" w:left="1200" w:right="1000"/>
        </w:sectPr>
      </w:pPr>
    </w:p>
    <w:p>
      <w:pPr>
        <w:pStyle w:val="BodyText"/>
        <w:spacing w:before="2"/>
        <w:ind w:firstLine="0"/>
        <w:jc w:val="left"/>
        <w:rPr>
          <w:rFonts w:ascii="Arial"/>
          <w:b/>
          <w:sz w:val="7"/>
        </w:rPr>
      </w:pPr>
    </w:p>
    <w:p>
      <w:pPr>
        <w:pStyle w:val="BodyText"/>
        <w:spacing w:before="0"/>
        <w:ind w:left="1332" w:firstLine="0"/>
        <w:jc w:val="left"/>
        <w:rPr>
          <w:rFonts w:ascii="Arial"/>
          <w:sz w:val="20"/>
        </w:rPr>
      </w:pPr>
      <w:r>
        <w:rPr>
          <w:rFonts w:ascii="Arial"/>
          <w:sz w:val="20"/>
        </w:rPr>
        <w:pict>
          <v:group style="width:397.6pt;height:169.5pt;mso-position-horizontal-relative:char;mso-position-vertical-relative:line" coordorigin="0,0" coordsize="7952,3390">
            <v:line style="position:absolute" from="10,20" to="10,3380" stroked="true" strokeweight="1pt" strokecolor="#000000">
              <v:stroke dashstyle="solid"/>
            </v:line>
            <v:line style="position:absolute" from="7947,20" to="7947,3380" stroked="true" strokeweight=".5pt" strokecolor="#000000">
              <v:stroke dashstyle="solid"/>
            </v:line>
            <v:line style="position:absolute" from="0,10" to="7952,10" stroked="true" strokeweight="1pt" strokecolor="#000000">
              <v:stroke dashstyle="solid"/>
            </v:line>
            <v:line style="position:absolute" from="0,3385" to="7952,3385" stroked="true" strokeweight=".5pt" strokecolor="#000000">
              <v:stroke dashstyle="solid"/>
            </v:line>
            <v:shape style="position:absolute;left:20;top:20;width:7922;height:3360" type="#_x0000_t202" filled="false" stroked="false">
              <v:textbox inset="0,0,0,0">
                <w:txbxContent>
                  <w:p>
                    <w:pPr>
                      <w:spacing w:before="120"/>
                      <w:ind w:left="30" w:right="101" w:firstLine="0"/>
                      <w:jc w:val="left"/>
                      <w:rPr>
                        <w:sz w:val="24"/>
                      </w:rPr>
                    </w:pPr>
                    <w:r>
                      <w:rPr>
                        <w:sz w:val="24"/>
                      </w:rPr>
                      <w:t>The </w:t>
                    </w:r>
                    <w:r>
                      <w:rPr>
                        <w:i/>
                        <w:sz w:val="24"/>
                      </w:rPr>
                      <w:t>interval metering data </w:t>
                    </w:r>
                    <w:r>
                      <w:rPr>
                        <w:sz w:val="24"/>
                      </w:rPr>
                      <w:t>to be substituted will be calculated using an average of the </w:t>
                    </w:r>
                    <w:r>
                      <w:rPr>
                        <w:i/>
                        <w:sz w:val="24"/>
                      </w:rPr>
                      <w:t>metering data </w:t>
                    </w:r>
                    <w:r>
                      <w:rPr>
                        <w:sz w:val="24"/>
                      </w:rPr>
                      <w:t>from each corresponding interval from the preceding 4 weeks, or any part of those. This averaging technique may be applied in either of the following ways:</w:t>
                    </w:r>
                  </w:p>
                  <w:p>
                    <w:pPr>
                      <w:numPr>
                        <w:ilvl w:val="0"/>
                        <w:numId w:val="571"/>
                      </w:numPr>
                      <w:tabs>
                        <w:tab w:pos="596" w:val="left" w:leader="none"/>
                        <w:tab w:pos="597" w:val="left" w:leader="none"/>
                      </w:tabs>
                      <w:spacing w:before="120"/>
                      <w:ind w:left="597" w:right="218" w:hanging="567"/>
                      <w:jc w:val="left"/>
                      <w:rPr>
                        <w:sz w:val="24"/>
                      </w:rPr>
                    </w:pPr>
                    <w:r>
                      <w:rPr>
                        <w:sz w:val="24"/>
                      </w:rPr>
                      <w:t>where the averaged </w:t>
                    </w:r>
                    <w:r>
                      <w:rPr>
                        <w:i/>
                        <w:sz w:val="24"/>
                      </w:rPr>
                      <w:t>interval metering data </w:t>
                    </w:r>
                    <w:r>
                      <w:rPr>
                        <w:sz w:val="24"/>
                      </w:rPr>
                      <w:t>is used to provide the value for the </w:t>
                    </w:r>
                    <w:r>
                      <w:rPr>
                        <w:i/>
                        <w:sz w:val="24"/>
                      </w:rPr>
                      <w:t>metering data </w:t>
                    </w:r>
                    <w:r>
                      <w:rPr>
                        <w:sz w:val="24"/>
                      </w:rPr>
                      <w:t>requiring</w:t>
                    </w:r>
                    <w:r>
                      <w:rPr>
                        <w:spacing w:val="-1"/>
                        <w:sz w:val="24"/>
                      </w:rPr>
                      <w:t> </w:t>
                    </w:r>
                    <w:r>
                      <w:rPr>
                        <w:sz w:val="24"/>
                      </w:rPr>
                      <w:t>substitution;</w:t>
                    </w:r>
                  </w:p>
                  <w:p>
                    <w:pPr>
                      <w:numPr>
                        <w:ilvl w:val="0"/>
                        <w:numId w:val="571"/>
                      </w:numPr>
                      <w:tabs>
                        <w:tab w:pos="596" w:val="left" w:leader="none"/>
                        <w:tab w:pos="597" w:val="left" w:leader="none"/>
                      </w:tabs>
                      <w:spacing w:before="120"/>
                      <w:ind w:left="597" w:right="184" w:hanging="567"/>
                      <w:jc w:val="left"/>
                      <w:rPr>
                        <w:sz w:val="24"/>
                      </w:rPr>
                    </w:pPr>
                    <w:r>
                      <w:rPr>
                        <w:sz w:val="24"/>
                      </w:rPr>
                      <w:t>where the averaged </w:t>
                    </w:r>
                    <w:r>
                      <w:rPr>
                        <w:i/>
                        <w:sz w:val="24"/>
                      </w:rPr>
                      <w:t>interval metering data </w:t>
                    </w:r>
                    <w:r>
                      <w:rPr>
                        <w:sz w:val="24"/>
                      </w:rPr>
                      <w:t>is used to provide the </w:t>
                    </w:r>
                    <w:r>
                      <w:rPr>
                        <w:i/>
                        <w:sz w:val="24"/>
                      </w:rPr>
                      <w:t>profile </w:t>
                    </w:r>
                    <w:r>
                      <w:rPr>
                        <w:sz w:val="24"/>
                      </w:rPr>
                      <w:t>and is scaled to a pre-determined consumption value for the </w:t>
                    </w:r>
                    <w:r>
                      <w:rPr>
                        <w:i/>
                        <w:sz w:val="24"/>
                      </w:rPr>
                      <w:t>metering data </w:t>
                    </w:r>
                    <w:r>
                      <w:rPr>
                        <w:sz w:val="24"/>
                      </w:rPr>
                      <w:t>to be</w:t>
                    </w:r>
                    <w:r>
                      <w:rPr>
                        <w:spacing w:val="-1"/>
                        <w:sz w:val="24"/>
                      </w:rPr>
                      <w:t> </w:t>
                    </w:r>
                    <w:r>
                      <w:rPr>
                        <w:sz w:val="24"/>
                      </w:rPr>
                      <w:t>substituted.</w:t>
                    </w:r>
                  </w:p>
                  <w:p>
                    <w:pPr>
                      <w:spacing w:before="120"/>
                      <w:ind w:left="30" w:right="0" w:firstLine="0"/>
                      <w:jc w:val="left"/>
                      <w:rPr>
                        <w:sz w:val="24"/>
                      </w:rPr>
                    </w:pPr>
                    <w:r>
                      <w:rPr>
                        <w:sz w:val="24"/>
                      </w:rPr>
                      <w:t>Type 15 substitutions must not be used for public holidays.</w:t>
                    </w:r>
                  </w:p>
                </w:txbxContent>
              </v:textbox>
              <w10:wrap type="none"/>
            </v:shape>
          </v:group>
        </w:pict>
      </w:r>
      <w:r>
        <w:rPr>
          <w:rFonts w:ascii="Arial"/>
          <w:sz w:val="20"/>
        </w:rPr>
      </w:r>
    </w:p>
    <w:p>
      <w:pPr>
        <w:pStyle w:val="BodyText"/>
        <w:spacing w:before="0"/>
        <w:ind w:firstLine="0"/>
        <w:jc w:val="left"/>
        <w:rPr>
          <w:rFonts w:ascii="Arial"/>
          <w:b/>
          <w:sz w:val="20"/>
        </w:rPr>
      </w:pPr>
    </w:p>
    <w:p>
      <w:pPr>
        <w:pStyle w:val="BodyText"/>
        <w:spacing w:before="10"/>
        <w:ind w:firstLine="0"/>
        <w:jc w:val="left"/>
        <w:rPr>
          <w:rFonts w:ascii="Arial"/>
          <w:b/>
          <w:sz w:val="21"/>
        </w:rPr>
      </w:pPr>
    </w:p>
    <w:p>
      <w:pPr>
        <w:spacing w:before="0"/>
        <w:ind w:left="1356" w:right="0" w:firstLine="0"/>
        <w:jc w:val="left"/>
        <w:rPr>
          <w:rFonts w:ascii="Arial" w:hAnsi="Arial"/>
          <w:b/>
          <w:sz w:val="22"/>
        </w:rPr>
      </w:pPr>
      <w:r>
        <w:rPr>
          <w:rFonts w:ascii="Arial" w:hAnsi="Arial"/>
          <w:b/>
          <w:sz w:val="22"/>
        </w:rPr>
        <w:t>Type 16 – Agreed method</w:t>
      </w:r>
    </w:p>
    <w:p>
      <w:pPr>
        <w:pStyle w:val="ListParagraph"/>
        <w:numPr>
          <w:ilvl w:val="0"/>
          <w:numId w:val="569"/>
        </w:numPr>
        <w:tabs>
          <w:tab w:pos="1920" w:val="left" w:leader="none"/>
        </w:tabs>
        <w:spacing w:line="240" w:lineRule="auto" w:before="120" w:after="0"/>
        <w:ind w:left="1919" w:right="414" w:hanging="567"/>
        <w:jc w:val="both"/>
        <w:rPr>
          <w:sz w:val="24"/>
        </w:rPr>
      </w:pPr>
      <w:r>
        <w:rPr>
          <w:sz w:val="24"/>
        </w:rPr>
        <w:t>Where the </w:t>
      </w:r>
      <w:r>
        <w:rPr>
          <w:i/>
          <w:sz w:val="24"/>
        </w:rPr>
        <w:t>Metering Data Provider </w:t>
      </w:r>
      <w:r>
        <w:rPr>
          <w:sz w:val="24"/>
        </w:rPr>
        <w:t>is required to undertake substitution for any period greater than seven </w:t>
      </w:r>
      <w:r>
        <w:rPr>
          <w:i/>
          <w:sz w:val="24"/>
        </w:rPr>
        <w:t>days </w:t>
      </w:r>
      <w:r>
        <w:rPr>
          <w:sz w:val="24"/>
        </w:rPr>
        <w:t>for type 1 – 3 </w:t>
      </w:r>
      <w:r>
        <w:rPr>
          <w:i/>
          <w:sz w:val="24"/>
        </w:rPr>
        <w:t>metering installations </w:t>
      </w:r>
      <w:r>
        <w:rPr>
          <w:sz w:val="24"/>
        </w:rPr>
        <w:t>or greater than 15 </w:t>
      </w:r>
      <w:r>
        <w:rPr>
          <w:i/>
          <w:sz w:val="24"/>
        </w:rPr>
        <w:t>days </w:t>
      </w:r>
      <w:r>
        <w:rPr>
          <w:sz w:val="24"/>
        </w:rPr>
        <w:t>for other </w:t>
      </w:r>
      <w:r>
        <w:rPr>
          <w:i/>
          <w:sz w:val="24"/>
        </w:rPr>
        <w:t>metering installation </w:t>
      </w:r>
      <w:r>
        <w:rPr>
          <w:sz w:val="24"/>
        </w:rPr>
        <w:t>types, the </w:t>
      </w:r>
      <w:r>
        <w:rPr>
          <w:i/>
          <w:sz w:val="24"/>
        </w:rPr>
        <w:t>Metering Data </w:t>
      </w:r>
      <w:r>
        <w:rPr>
          <w:i/>
          <w:sz w:val="24"/>
        </w:rPr>
        <w:t>Provider </w:t>
      </w:r>
      <w:r>
        <w:rPr>
          <w:sz w:val="24"/>
        </w:rPr>
        <w:t>must consult and use reasonable endeavours to reach an agreement with the financially responsible participants, relevant </w:t>
      </w:r>
      <w:r>
        <w:rPr>
          <w:i/>
          <w:sz w:val="24"/>
        </w:rPr>
        <w:t>retailer </w:t>
      </w:r>
      <w:r>
        <w:rPr>
          <w:sz w:val="24"/>
        </w:rPr>
        <w:t>and the </w:t>
      </w:r>
      <w:r>
        <w:rPr>
          <w:i/>
          <w:sz w:val="24"/>
        </w:rPr>
        <w:t>Local </w:t>
      </w:r>
      <w:r>
        <w:rPr>
          <w:i/>
          <w:sz w:val="24"/>
        </w:rPr>
        <w:t>Network Service Provider </w:t>
      </w:r>
      <w:r>
        <w:rPr>
          <w:sz w:val="24"/>
        </w:rPr>
        <w:t>for the </w:t>
      </w:r>
      <w:r>
        <w:rPr>
          <w:i/>
          <w:sz w:val="24"/>
        </w:rPr>
        <w:t>connection point</w:t>
      </w:r>
      <w:r>
        <w:rPr>
          <w:sz w:val="24"/>
        </w:rPr>
        <w:t>. This may include changes to existing substitutions for any period where those affected parties have directed that as a result of site or end user information, the original substitutions are in error and a correction is</w:t>
      </w:r>
      <w:r>
        <w:rPr>
          <w:spacing w:val="-4"/>
          <w:sz w:val="24"/>
        </w:rPr>
        <w:t> </w:t>
      </w:r>
      <w:r>
        <w:rPr>
          <w:sz w:val="24"/>
        </w:rPr>
        <w:t>required.</w:t>
      </w:r>
    </w:p>
    <w:p>
      <w:pPr>
        <w:spacing w:before="220"/>
        <w:ind w:left="1356" w:right="0" w:firstLine="0"/>
        <w:jc w:val="left"/>
        <w:rPr>
          <w:rFonts w:ascii="Arial" w:hAnsi="Arial"/>
          <w:b/>
          <w:sz w:val="22"/>
        </w:rPr>
      </w:pPr>
      <w:r>
        <w:rPr>
          <w:rFonts w:ascii="Arial" w:hAnsi="Arial"/>
          <w:b/>
          <w:sz w:val="22"/>
        </w:rPr>
        <w:t>Type 17 – Linear interpolation</w:t>
      </w:r>
    </w:p>
    <w:p>
      <w:pPr>
        <w:pStyle w:val="ListParagraph"/>
        <w:numPr>
          <w:ilvl w:val="0"/>
          <w:numId w:val="569"/>
        </w:numPr>
        <w:tabs>
          <w:tab w:pos="1919" w:val="left" w:leader="none"/>
        </w:tabs>
        <w:spacing w:line="240" w:lineRule="auto" w:before="120" w:after="0"/>
        <w:ind w:left="1919" w:right="414" w:hanging="567"/>
        <w:jc w:val="both"/>
        <w:rPr>
          <w:sz w:val="24"/>
        </w:rPr>
      </w:pPr>
      <w:r>
        <w:rPr>
          <w:sz w:val="24"/>
        </w:rPr>
        <w:t>To perform a type 17 substitution, the </w:t>
      </w:r>
      <w:r>
        <w:rPr>
          <w:i/>
          <w:sz w:val="24"/>
        </w:rPr>
        <w:t>Metering Data Provider </w:t>
      </w:r>
      <w:r>
        <w:rPr>
          <w:sz w:val="24"/>
        </w:rPr>
        <w:t>may substitute </w:t>
      </w:r>
      <w:r>
        <w:rPr>
          <w:i/>
          <w:sz w:val="24"/>
        </w:rPr>
        <w:t>metering data </w:t>
      </w:r>
      <w:r>
        <w:rPr>
          <w:sz w:val="24"/>
        </w:rPr>
        <w:t>for consecutive intervals up to, but not exceeding two hours, by using simple linear</w:t>
      </w:r>
      <w:r>
        <w:rPr>
          <w:spacing w:val="-2"/>
          <w:sz w:val="24"/>
        </w:rPr>
        <w:t> </w:t>
      </w:r>
      <w:r>
        <w:rPr>
          <w:sz w:val="24"/>
        </w:rPr>
        <w:t>interpolation.</w:t>
      </w:r>
    </w:p>
    <w:p>
      <w:pPr>
        <w:spacing w:before="220"/>
        <w:ind w:left="1356" w:right="0" w:firstLine="0"/>
        <w:jc w:val="left"/>
        <w:rPr>
          <w:rFonts w:ascii="Arial" w:hAnsi="Arial"/>
          <w:b/>
          <w:sz w:val="22"/>
        </w:rPr>
      </w:pPr>
      <w:r>
        <w:rPr>
          <w:rFonts w:ascii="Arial" w:hAnsi="Arial"/>
          <w:b/>
          <w:sz w:val="22"/>
        </w:rPr>
        <w:t>Type 18 – Alternative</w:t>
      </w:r>
    </w:p>
    <w:p>
      <w:pPr>
        <w:pStyle w:val="ListParagraph"/>
        <w:numPr>
          <w:ilvl w:val="0"/>
          <w:numId w:val="569"/>
        </w:numPr>
        <w:tabs>
          <w:tab w:pos="1919" w:val="left" w:leader="none"/>
        </w:tabs>
        <w:spacing w:line="240" w:lineRule="auto" w:before="120" w:after="0"/>
        <w:ind w:left="1919" w:right="413" w:hanging="567"/>
        <w:jc w:val="both"/>
        <w:rPr>
          <w:sz w:val="24"/>
        </w:rPr>
      </w:pPr>
      <w:r>
        <w:rPr>
          <w:sz w:val="24"/>
        </w:rPr>
        <w:t>To perform a type 18 substitution, the </w:t>
      </w:r>
      <w:r>
        <w:rPr>
          <w:i/>
          <w:sz w:val="24"/>
        </w:rPr>
        <w:t>Metering Data Provider </w:t>
      </w:r>
      <w:r>
        <w:rPr>
          <w:sz w:val="24"/>
        </w:rPr>
        <w:t>may use an alternative method of substitution subject to agreement with the financially responsible participants, relevant </w:t>
      </w:r>
      <w:r>
        <w:rPr>
          <w:i/>
          <w:sz w:val="24"/>
        </w:rPr>
        <w:t>retailer </w:t>
      </w:r>
      <w:r>
        <w:rPr>
          <w:sz w:val="24"/>
        </w:rPr>
        <w:t>and the </w:t>
      </w:r>
      <w:r>
        <w:rPr>
          <w:i/>
          <w:sz w:val="24"/>
        </w:rPr>
        <w:t>Local Network Service </w:t>
      </w:r>
      <w:r>
        <w:rPr>
          <w:i/>
          <w:sz w:val="24"/>
        </w:rPr>
        <w:t>Provider </w:t>
      </w:r>
      <w:r>
        <w:rPr>
          <w:sz w:val="24"/>
        </w:rPr>
        <w:t>for the </w:t>
      </w:r>
      <w:r>
        <w:rPr>
          <w:i/>
          <w:sz w:val="24"/>
        </w:rPr>
        <w:t>connection point</w:t>
      </w:r>
      <w:r>
        <w:rPr>
          <w:sz w:val="24"/>
        </w:rPr>
        <w:t>. The specifics of this substitution type may involve a globally applied method or a method where an adjusted </w:t>
      </w:r>
      <w:r>
        <w:rPr>
          <w:i/>
          <w:sz w:val="24"/>
        </w:rPr>
        <w:t>profile </w:t>
      </w:r>
      <w:r>
        <w:rPr>
          <w:sz w:val="24"/>
        </w:rPr>
        <w:t>is used to take into account local conditions that affect consumption (for example, local holiday or end user shutdown), or where alternative </w:t>
      </w:r>
      <w:r>
        <w:rPr>
          <w:i/>
          <w:sz w:val="24"/>
        </w:rPr>
        <w:t>metering data </w:t>
      </w:r>
      <w:r>
        <w:rPr>
          <w:sz w:val="24"/>
        </w:rPr>
        <w:t>may be available for quality checks, such as using </w:t>
      </w:r>
      <w:r>
        <w:rPr>
          <w:i/>
          <w:sz w:val="24"/>
        </w:rPr>
        <w:t>metering </w:t>
      </w:r>
      <w:r>
        <w:rPr>
          <w:i/>
          <w:sz w:val="24"/>
        </w:rPr>
        <w:t>register</w:t>
      </w:r>
      <w:r>
        <w:rPr>
          <w:i/>
          <w:spacing w:val="-2"/>
          <w:sz w:val="24"/>
        </w:rPr>
        <w:t> </w:t>
      </w:r>
      <w:r>
        <w:rPr>
          <w:sz w:val="24"/>
        </w:rPr>
        <w:t>data.</w:t>
      </w:r>
    </w:p>
    <w:p>
      <w:pPr>
        <w:spacing w:before="220"/>
        <w:ind w:left="1356" w:right="0" w:firstLine="0"/>
        <w:jc w:val="left"/>
        <w:rPr>
          <w:rFonts w:ascii="Arial" w:hAnsi="Arial"/>
          <w:b/>
          <w:sz w:val="22"/>
        </w:rPr>
      </w:pPr>
      <w:r>
        <w:rPr>
          <w:rFonts w:ascii="Arial" w:hAnsi="Arial"/>
          <w:b/>
          <w:sz w:val="22"/>
        </w:rPr>
        <w:t>Type 19 – Zero</w:t>
      </w:r>
    </w:p>
    <w:p>
      <w:pPr>
        <w:pStyle w:val="ListParagraph"/>
        <w:numPr>
          <w:ilvl w:val="0"/>
          <w:numId w:val="569"/>
        </w:numPr>
        <w:tabs>
          <w:tab w:pos="1919" w:val="left" w:leader="none"/>
        </w:tabs>
        <w:spacing w:line="240" w:lineRule="auto" w:before="120" w:after="0"/>
        <w:ind w:left="1918" w:right="0" w:hanging="567"/>
        <w:jc w:val="both"/>
        <w:rPr>
          <w:sz w:val="24"/>
        </w:rPr>
      </w:pPr>
      <w:r>
        <w:rPr>
          <w:sz w:val="24"/>
        </w:rPr>
        <w:t>The </w:t>
      </w:r>
      <w:r>
        <w:rPr>
          <w:i/>
          <w:sz w:val="24"/>
        </w:rPr>
        <w:t>Metering Data Provider </w:t>
      </w:r>
      <w:r>
        <w:rPr>
          <w:sz w:val="24"/>
        </w:rPr>
        <w:t>must undertake substitutions of 'zero'</w:t>
      </w:r>
      <w:r>
        <w:rPr>
          <w:spacing w:val="-12"/>
          <w:sz w:val="24"/>
        </w:rPr>
        <w:t> </w:t>
      </w:r>
      <w:r>
        <w:rPr>
          <w:sz w:val="24"/>
        </w:rPr>
        <w:t>where:</w:t>
      </w:r>
    </w:p>
    <w:p>
      <w:pPr>
        <w:pStyle w:val="ListParagraph"/>
        <w:numPr>
          <w:ilvl w:val="1"/>
          <w:numId w:val="569"/>
        </w:numPr>
        <w:tabs>
          <w:tab w:pos="2486" w:val="left" w:leader="none"/>
        </w:tabs>
        <w:spacing w:line="240" w:lineRule="auto" w:before="120" w:after="0"/>
        <w:ind w:left="2486" w:right="415" w:hanging="567"/>
        <w:jc w:val="both"/>
        <w:rPr>
          <w:sz w:val="24"/>
        </w:rPr>
      </w:pPr>
      <w:r>
        <w:rPr>
          <w:sz w:val="24"/>
        </w:rPr>
        <w:t>the </w:t>
      </w:r>
      <w:r>
        <w:rPr>
          <w:i/>
          <w:sz w:val="24"/>
        </w:rPr>
        <w:t>Local Network Service Provider </w:t>
      </w:r>
      <w:r>
        <w:rPr>
          <w:sz w:val="24"/>
        </w:rPr>
        <w:t>or the </w:t>
      </w:r>
      <w:r>
        <w:rPr>
          <w:i/>
          <w:sz w:val="24"/>
        </w:rPr>
        <w:t>Metering Provider </w:t>
      </w:r>
      <w:r>
        <w:rPr>
          <w:sz w:val="24"/>
        </w:rPr>
        <w:t>has informed the </w:t>
      </w:r>
      <w:r>
        <w:rPr>
          <w:i/>
          <w:sz w:val="24"/>
        </w:rPr>
        <w:t>Metering Data Provider </w:t>
      </w:r>
      <w:r>
        <w:rPr>
          <w:sz w:val="24"/>
        </w:rPr>
        <w:t>of a de-energised </w:t>
      </w:r>
      <w:r>
        <w:rPr>
          <w:i/>
          <w:sz w:val="24"/>
        </w:rPr>
        <w:t>connection </w:t>
      </w:r>
      <w:r>
        <w:rPr>
          <w:i/>
          <w:sz w:val="24"/>
        </w:rPr>
        <w:t>point </w:t>
      </w:r>
      <w:r>
        <w:rPr>
          <w:sz w:val="24"/>
        </w:rPr>
        <w:t>or an inactive </w:t>
      </w:r>
      <w:r>
        <w:rPr>
          <w:i/>
          <w:sz w:val="24"/>
        </w:rPr>
        <w:t>meter </w:t>
      </w:r>
      <w:r>
        <w:rPr>
          <w:sz w:val="24"/>
        </w:rPr>
        <w:t>and the consumption is reasonably believed to be zero;</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569"/>
        </w:numPr>
        <w:tabs>
          <w:tab w:pos="2486" w:val="left" w:leader="none"/>
        </w:tabs>
        <w:spacing w:line="240" w:lineRule="auto" w:before="83" w:after="0"/>
        <w:ind w:left="2486" w:right="415" w:hanging="567"/>
        <w:jc w:val="both"/>
        <w:rPr>
          <w:sz w:val="24"/>
        </w:rPr>
      </w:pPr>
      <w:r>
        <w:rPr>
          <w:sz w:val="24"/>
        </w:rPr>
        <w:t>substitutions are applicable for </w:t>
      </w:r>
      <w:r>
        <w:rPr>
          <w:i/>
          <w:sz w:val="24"/>
        </w:rPr>
        <w:t>connection points </w:t>
      </w:r>
      <w:r>
        <w:rPr>
          <w:sz w:val="24"/>
        </w:rPr>
        <w:t>where the financially responsible participant is a </w:t>
      </w:r>
      <w:r>
        <w:rPr>
          <w:i/>
          <w:sz w:val="24"/>
        </w:rPr>
        <w:t>Generator </w:t>
      </w:r>
      <w:r>
        <w:rPr>
          <w:sz w:val="24"/>
        </w:rPr>
        <w:t>in accordance with clause S7A.7.9.2.</w:t>
      </w:r>
    </w:p>
    <w:p>
      <w:pPr>
        <w:pStyle w:val="BodyText"/>
        <w:spacing w:before="10"/>
        <w:ind w:firstLine="0"/>
        <w:jc w:val="left"/>
        <w:rPr>
          <w:sz w:val="20"/>
        </w:rPr>
      </w:pPr>
    </w:p>
    <w:p>
      <w:pPr>
        <w:pStyle w:val="Heading4"/>
        <w:ind w:left="1352"/>
      </w:pPr>
      <w:bookmarkStart w:name="S7A.7.10 Substitution and estimation for" w:id="2024"/>
      <w:bookmarkEnd w:id="2024"/>
      <w:r>
        <w:rPr>
          <w:b w:val="0"/>
        </w:rPr>
      </w:r>
      <w:bookmarkStart w:name="_bookmark836" w:id="2025"/>
      <w:bookmarkEnd w:id="2025"/>
      <w:r>
        <w:rPr>
          <w:b w:val="0"/>
        </w:rPr>
      </w:r>
      <w:r>
        <w:rPr/>
        <w:t>S7A.7.10 Substitution and estimation for manually read interval metering installations</w:t>
      </w:r>
    </w:p>
    <w:p>
      <w:pPr>
        <w:pStyle w:val="BodyText"/>
        <w:spacing w:before="10"/>
        <w:ind w:firstLine="0"/>
        <w:jc w:val="left"/>
        <w:rPr>
          <w:rFonts w:ascii="Arial"/>
          <w:b/>
          <w:sz w:val="20"/>
        </w:rPr>
      </w:pPr>
    </w:p>
    <w:p>
      <w:pPr>
        <w:pStyle w:val="Heading4"/>
        <w:tabs>
          <w:tab w:pos="1658" w:val="left" w:leader="none"/>
        </w:tabs>
        <w:ind w:left="218" w:firstLine="0"/>
      </w:pPr>
      <w:bookmarkStart w:name="S7A.7.10.1 Application of S7A7.10" w:id="2026"/>
      <w:bookmarkEnd w:id="2026"/>
      <w:r>
        <w:rPr>
          <w:b w:val="0"/>
        </w:rPr>
      </w:r>
      <w:bookmarkStart w:name="_bookmark837" w:id="2027"/>
      <w:bookmarkEnd w:id="2027"/>
      <w:r>
        <w:rPr>
          <w:b w:val="0"/>
        </w:rPr>
      </w:r>
      <w:r>
        <w:rPr/>
        <w:t>S7A.7.10.1</w:t>
        <w:tab/>
        <w:t>Application of</w:t>
      </w:r>
      <w:r>
        <w:rPr>
          <w:spacing w:val="-1"/>
        </w:rPr>
        <w:t> </w:t>
      </w:r>
      <w:r>
        <w:rPr/>
        <w:t>S7A7.10</w:t>
      </w:r>
    </w:p>
    <w:p>
      <w:pPr>
        <w:pStyle w:val="ListParagraph"/>
        <w:numPr>
          <w:ilvl w:val="0"/>
          <w:numId w:val="572"/>
        </w:numPr>
        <w:tabs>
          <w:tab w:pos="1919" w:val="left" w:leader="none"/>
        </w:tabs>
        <w:spacing w:line="240" w:lineRule="auto" w:before="120" w:after="0"/>
        <w:ind w:left="1919" w:right="415" w:hanging="567"/>
        <w:jc w:val="both"/>
        <w:rPr>
          <w:sz w:val="24"/>
        </w:rPr>
      </w:pPr>
      <w:r>
        <w:rPr>
          <w:sz w:val="24"/>
        </w:rPr>
        <w:t>The substitution and estimation requirements in this clause S7A.7.10 are only to be used for </w:t>
      </w:r>
      <w:r>
        <w:rPr>
          <w:i/>
          <w:sz w:val="24"/>
        </w:rPr>
        <w:t>metering installations</w:t>
      </w:r>
      <w:r>
        <w:rPr>
          <w:i/>
          <w:spacing w:val="-3"/>
          <w:sz w:val="24"/>
        </w:rPr>
        <w:t> </w:t>
      </w:r>
      <w:r>
        <w:rPr>
          <w:sz w:val="24"/>
        </w:rPr>
        <w:t>where:</w:t>
      </w:r>
    </w:p>
    <w:p>
      <w:pPr>
        <w:pStyle w:val="ListParagraph"/>
        <w:numPr>
          <w:ilvl w:val="1"/>
          <w:numId w:val="572"/>
        </w:numPr>
        <w:tabs>
          <w:tab w:pos="2486" w:val="left" w:leader="none"/>
        </w:tabs>
        <w:spacing w:line="240" w:lineRule="auto" w:before="120" w:after="0"/>
        <w:ind w:left="2486" w:right="415" w:hanging="567"/>
        <w:jc w:val="both"/>
        <w:rPr>
          <w:sz w:val="24"/>
        </w:rPr>
      </w:pPr>
      <w:r>
        <w:rPr>
          <w:i/>
          <w:sz w:val="24"/>
        </w:rPr>
        <w:t>interval metering data </w:t>
      </w:r>
      <w:r>
        <w:rPr>
          <w:sz w:val="24"/>
        </w:rPr>
        <w:t>is manually collected as a scheduled meter reading;</w:t>
      </w:r>
      <w:r>
        <w:rPr>
          <w:spacing w:val="-1"/>
          <w:sz w:val="24"/>
        </w:rPr>
        <w:t> </w:t>
      </w:r>
      <w:r>
        <w:rPr>
          <w:sz w:val="24"/>
        </w:rPr>
        <w:t>or</w:t>
      </w:r>
    </w:p>
    <w:p>
      <w:pPr>
        <w:pStyle w:val="ListParagraph"/>
        <w:numPr>
          <w:ilvl w:val="1"/>
          <w:numId w:val="572"/>
        </w:numPr>
        <w:tabs>
          <w:tab w:pos="2486" w:val="left" w:leader="none"/>
        </w:tabs>
        <w:spacing w:line="240" w:lineRule="auto" w:before="120" w:after="0"/>
        <w:ind w:left="2485" w:right="0" w:hanging="567"/>
        <w:jc w:val="both"/>
        <w:rPr>
          <w:i/>
          <w:sz w:val="24"/>
        </w:rPr>
      </w:pPr>
      <w:r>
        <w:rPr>
          <w:sz w:val="24"/>
        </w:rPr>
        <w:t>the</w:t>
      </w:r>
      <w:r>
        <w:rPr>
          <w:spacing w:val="12"/>
          <w:sz w:val="24"/>
        </w:rPr>
        <w:t> </w:t>
      </w:r>
      <w:r>
        <w:rPr>
          <w:i/>
          <w:sz w:val="24"/>
        </w:rPr>
        <w:t>metering</w:t>
      </w:r>
      <w:r>
        <w:rPr>
          <w:i/>
          <w:spacing w:val="12"/>
          <w:sz w:val="24"/>
        </w:rPr>
        <w:t> </w:t>
      </w:r>
      <w:r>
        <w:rPr>
          <w:i/>
          <w:sz w:val="24"/>
        </w:rPr>
        <w:t>installations</w:t>
      </w:r>
      <w:r>
        <w:rPr>
          <w:i/>
          <w:spacing w:val="11"/>
          <w:sz w:val="24"/>
        </w:rPr>
        <w:t> </w:t>
      </w:r>
      <w:r>
        <w:rPr>
          <w:sz w:val="24"/>
        </w:rPr>
        <w:t>have</w:t>
      </w:r>
      <w:r>
        <w:rPr>
          <w:spacing w:val="12"/>
          <w:sz w:val="24"/>
        </w:rPr>
        <w:t> </w:t>
      </w:r>
      <w:r>
        <w:rPr>
          <w:sz w:val="24"/>
        </w:rPr>
        <w:t>been</w:t>
      </w:r>
      <w:r>
        <w:rPr>
          <w:spacing w:val="12"/>
          <w:sz w:val="24"/>
        </w:rPr>
        <w:t> </w:t>
      </w:r>
      <w:r>
        <w:rPr>
          <w:sz w:val="24"/>
        </w:rPr>
        <w:t>installed</w:t>
      </w:r>
      <w:r>
        <w:rPr>
          <w:spacing w:val="12"/>
          <w:sz w:val="24"/>
        </w:rPr>
        <w:t> </w:t>
      </w:r>
      <w:r>
        <w:rPr>
          <w:sz w:val="24"/>
        </w:rPr>
        <w:t>with</w:t>
      </w:r>
      <w:r>
        <w:rPr>
          <w:spacing w:val="12"/>
          <w:sz w:val="24"/>
        </w:rPr>
        <w:t> </w:t>
      </w:r>
      <w:r>
        <w:rPr>
          <w:i/>
          <w:sz w:val="24"/>
        </w:rPr>
        <w:t>remote</w:t>
      </w:r>
      <w:r>
        <w:rPr>
          <w:i/>
          <w:spacing w:val="12"/>
          <w:sz w:val="24"/>
        </w:rPr>
        <w:t> </w:t>
      </w:r>
      <w:r>
        <w:rPr>
          <w:i/>
          <w:sz w:val="24"/>
        </w:rPr>
        <w:t>acquisition</w:t>
      </w:r>
    </w:p>
    <w:p>
      <w:pPr>
        <w:pStyle w:val="BodyText"/>
        <w:spacing w:before="0"/>
        <w:ind w:left="2486" w:firstLine="0"/>
      </w:pPr>
      <w:r>
        <w:rPr/>
        <w:t>in accordance with paragraph 7A.6.8(a).</w:t>
      </w:r>
    </w:p>
    <w:p>
      <w:pPr>
        <w:pStyle w:val="ListParagraph"/>
        <w:numPr>
          <w:ilvl w:val="0"/>
          <w:numId w:val="572"/>
        </w:numPr>
        <w:tabs>
          <w:tab w:pos="1919" w:val="left" w:leader="none"/>
        </w:tabs>
        <w:spacing w:line="240" w:lineRule="auto" w:before="120" w:after="0"/>
        <w:ind w:left="1919" w:right="415" w:hanging="567"/>
        <w:jc w:val="both"/>
        <w:rPr>
          <w:sz w:val="24"/>
        </w:rPr>
      </w:pPr>
      <w:r>
        <w:rPr>
          <w:sz w:val="24"/>
        </w:rPr>
        <w:t>Where </w:t>
      </w:r>
      <w:r>
        <w:rPr>
          <w:i/>
          <w:sz w:val="24"/>
        </w:rPr>
        <w:t>remote acquisition </w:t>
      </w:r>
      <w:r>
        <w:rPr>
          <w:sz w:val="24"/>
        </w:rPr>
        <w:t>of </w:t>
      </w:r>
      <w:r>
        <w:rPr>
          <w:i/>
          <w:sz w:val="24"/>
        </w:rPr>
        <w:t>metering data </w:t>
      </w:r>
      <w:r>
        <w:rPr>
          <w:sz w:val="24"/>
        </w:rPr>
        <w:t>has failed at the </w:t>
      </w:r>
      <w:r>
        <w:rPr>
          <w:i/>
          <w:sz w:val="24"/>
        </w:rPr>
        <w:t>metering </w:t>
      </w:r>
      <w:r>
        <w:rPr>
          <w:i/>
          <w:sz w:val="24"/>
        </w:rPr>
        <w:t>installation </w:t>
      </w:r>
      <w:r>
        <w:rPr>
          <w:sz w:val="24"/>
        </w:rPr>
        <w:t>and manual collection of </w:t>
      </w:r>
      <w:r>
        <w:rPr>
          <w:i/>
          <w:sz w:val="24"/>
        </w:rPr>
        <w:t>interval metering data </w:t>
      </w:r>
      <w:r>
        <w:rPr>
          <w:sz w:val="24"/>
        </w:rPr>
        <w:t>is required, the substitution requirements specified in clause S7A.7.9</w:t>
      </w:r>
      <w:r>
        <w:rPr>
          <w:spacing w:val="-5"/>
          <w:sz w:val="24"/>
        </w:rPr>
        <w:t> </w:t>
      </w:r>
      <w:r>
        <w:rPr>
          <w:sz w:val="24"/>
        </w:rPr>
        <w:t>apply.</w:t>
      </w:r>
    </w:p>
    <w:p>
      <w:pPr>
        <w:pStyle w:val="BodyText"/>
        <w:spacing w:before="10"/>
        <w:ind w:firstLine="0"/>
        <w:jc w:val="left"/>
        <w:rPr>
          <w:sz w:val="20"/>
        </w:rPr>
      </w:pPr>
    </w:p>
    <w:p>
      <w:pPr>
        <w:pStyle w:val="Heading4"/>
        <w:tabs>
          <w:tab w:pos="1658" w:val="left" w:leader="none"/>
        </w:tabs>
        <w:ind w:left="218" w:firstLine="0"/>
      </w:pPr>
      <w:bookmarkStart w:name="S7A.7.10.2 Substitution and estimation r" w:id="2028"/>
      <w:bookmarkEnd w:id="2028"/>
      <w:r>
        <w:rPr>
          <w:b w:val="0"/>
        </w:rPr>
      </w:r>
      <w:bookmarkStart w:name="_bookmark838" w:id="2029"/>
      <w:bookmarkEnd w:id="2029"/>
      <w:r>
        <w:rPr>
          <w:b w:val="0"/>
        </w:rPr>
      </w:r>
      <w:r>
        <w:rPr/>
        <w:t>S7A.7.10.2</w:t>
        <w:tab/>
        <w:t>Substitution and estimation</w:t>
      </w:r>
      <w:r>
        <w:rPr>
          <w:spacing w:val="-3"/>
        </w:rPr>
        <w:t> </w:t>
      </w:r>
      <w:r>
        <w:rPr/>
        <w:t>rules</w:t>
      </w:r>
    </w:p>
    <w:p>
      <w:pPr>
        <w:pStyle w:val="ListParagraph"/>
        <w:numPr>
          <w:ilvl w:val="0"/>
          <w:numId w:val="573"/>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ensure that all </w:t>
      </w:r>
      <w:r>
        <w:rPr>
          <w:i/>
          <w:sz w:val="24"/>
        </w:rPr>
        <w:t>substituted metering data </w:t>
      </w:r>
      <w:r>
        <w:rPr>
          <w:sz w:val="24"/>
        </w:rPr>
        <w:t>and </w:t>
      </w:r>
      <w:r>
        <w:rPr>
          <w:i/>
          <w:sz w:val="24"/>
        </w:rPr>
        <w:t>estimated metering data </w:t>
      </w:r>
      <w:r>
        <w:rPr>
          <w:sz w:val="24"/>
        </w:rPr>
        <w:t>are replaced with actual </w:t>
      </w:r>
      <w:r>
        <w:rPr>
          <w:i/>
          <w:sz w:val="24"/>
        </w:rPr>
        <w:t>metering data </w:t>
      </w:r>
      <w:r>
        <w:rPr>
          <w:sz w:val="24"/>
        </w:rPr>
        <w:t>when it becomes</w:t>
      </w:r>
      <w:r>
        <w:rPr>
          <w:spacing w:val="-1"/>
          <w:sz w:val="24"/>
        </w:rPr>
        <w:t> </w:t>
      </w:r>
      <w:r>
        <w:rPr>
          <w:sz w:val="24"/>
        </w:rPr>
        <w:t>available.</w:t>
      </w:r>
    </w:p>
    <w:p>
      <w:pPr>
        <w:pStyle w:val="ListParagraph"/>
        <w:numPr>
          <w:ilvl w:val="0"/>
          <w:numId w:val="573"/>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obtain clear and concise identification as to the cause of any missing or erroneous </w:t>
      </w:r>
      <w:r>
        <w:rPr>
          <w:i/>
          <w:sz w:val="24"/>
        </w:rPr>
        <w:t>metering data </w:t>
      </w:r>
      <w:r>
        <w:rPr>
          <w:sz w:val="24"/>
        </w:rPr>
        <w:t>for which substitutions are</w:t>
      </w:r>
      <w:r>
        <w:rPr>
          <w:spacing w:val="-2"/>
          <w:sz w:val="24"/>
        </w:rPr>
        <w:t> </w:t>
      </w:r>
      <w:r>
        <w:rPr>
          <w:sz w:val="24"/>
        </w:rPr>
        <w:t>required.</w:t>
      </w:r>
    </w:p>
    <w:p>
      <w:pPr>
        <w:pStyle w:val="ListParagraph"/>
        <w:numPr>
          <w:ilvl w:val="0"/>
          <w:numId w:val="573"/>
        </w:numPr>
        <w:tabs>
          <w:tab w:pos="1919" w:val="left" w:leader="none"/>
        </w:tabs>
        <w:spacing w:line="240" w:lineRule="auto" w:before="120" w:after="0"/>
        <w:ind w:left="1919" w:right="415" w:hanging="567"/>
        <w:jc w:val="both"/>
        <w:rPr>
          <w:sz w:val="24"/>
        </w:rPr>
      </w:pPr>
      <w:r>
        <w:rPr>
          <w:sz w:val="24"/>
        </w:rPr>
        <w:t>Where there is a </w:t>
      </w:r>
      <w:r>
        <w:rPr>
          <w:i/>
          <w:sz w:val="24"/>
        </w:rPr>
        <w:t>metering installation malfunction </w:t>
      </w:r>
      <w:r>
        <w:rPr>
          <w:sz w:val="24"/>
        </w:rPr>
        <w:t>that cannot be repaired within the periods specified in clause 7A.6.9, the </w:t>
      </w:r>
      <w:r>
        <w:rPr>
          <w:i/>
          <w:sz w:val="24"/>
        </w:rPr>
        <w:t>Metering Data Provider </w:t>
      </w:r>
      <w:r>
        <w:rPr>
          <w:sz w:val="24"/>
        </w:rPr>
        <w:t>must substitute the missing </w:t>
      </w:r>
      <w:r>
        <w:rPr>
          <w:i/>
          <w:sz w:val="24"/>
        </w:rPr>
        <w:t>metering data </w:t>
      </w:r>
      <w:r>
        <w:rPr>
          <w:sz w:val="24"/>
        </w:rPr>
        <w:t>in accordance with this</w:t>
      </w:r>
      <w:r>
        <w:rPr>
          <w:spacing w:val="-15"/>
          <w:sz w:val="24"/>
        </w:rPr>
        <w:t> </w:t>
      </w:r>
      <w:r>
        <w:rPr>
          <w:sz w:val="24"/>
        </w:rPr>
        <w:t>Part.</w:t>
      </w:r>
    </w:p>
    <w:p>
      <w:pPr>
        <w:pStyle w:val="ListParagraph"/>
        <w:numPr>
          <w:ilvl w:val="0"/>
          <w:numId w:val="573"/>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only apply the following substitution and estimation</w:t>
      </w:r>
      <w:r>
        <w:rPr>
          <w:spacing w:val="-1"/>
          <w:sz w:val="24"/>
        </w:rPr>
        <w:t> </w:t>
      </w:r>
      <w:r>
        <w:rPr>
          <w:sz w:val="24"/>
        </w:rPr>
        <w:t>types:</w:t>
      </w:r>
    </w:p>
    <w:p>
      <w:pPr>
        <w:pStyle w:val="ListParagraph"/>
        <w:numPr>
          <w:ilvl w:val="1"/>
          <w:numId w:val="573"/>
        </w:numPr>
        <w:tabs>
          <w:tab w:pos="2486" w:val="left" w:leader="none"/>
        </w:tabs>
        <w:spacing w:line="240" w:lineRule="auto" w:before="120" w:after="0"/>
        <w:ind w:left="2485" w:right="0" w:hanging="567"/>
        <w:jc w:val="both"/>
        <w:rPr>
          <w:sz w:val="24"/>
        </w:rPr>
      </w:pPr>
      <w:r>
        <w:rPr>
          <w:sz w:val="24"/>
        </w:rPr>
        <w:t>substitutions may be type 51, 52, 53, 54, 55, 56, 57 or</w:t>
      </w:r>
      <w:r>
        <w:rPr>
          <w:spacing w:val="-2"/>
          <w:sz w:val="24"/>
        </w:rPr>
        <w:t> </w:t>
      </w:r>
      <w:r>
        <w:rPr>
          <w:sz w:val="24"/>
        </w:rPr>
        <w:t>58;</w:t>
      </w:r>
    </w:p>
    <w:p>
      <w:pPr>
        <w:pStyle w:val="ListParagraph"/>
        <w:numPr>
          <w:ilvl w:val="1"/>
          <w:numId w:val="573"/>
        </w:numPr>
        <w:tabs>
          <w:tab w:pos="2486" w:val="left" w:leader="none"/>
        </w:tabs>
        <w:spacing w:line="240" w:lineRule="auto" w:before="120" w:after="0"/>
        <w:ind w:left="2485" w:right="0" w:hanging="567"/>
        <w:jc w:val="both"/>
        <w:rPr>
          <w:sz w:val="24"/>
        </w:rPr>
      </w:pPr>
      <w:r>
        <w:rPr>
          <w:sz w:val="24"/>
        </w:rPr>
        <w:t>estimations may be type 51, 52, 56, 57 or</w:t>
      </w:r>
      <w:r>
        <w:rPr>
          <w:spacing w:val="-1"/>
          <w:sz w:val="24"/>
        </w:rPr>
        <w:t> </w:t>
      </w:r>
      <w:r>
        <w:rPr>
          <w:sz w:val="24"/>
        </w:rPr>
        <w:t>58.</w:t>
      </w:r>
    </w:p>
    <w:p>
      <w:pPr>
        <w:pStyle w:val="ListParagraph"/>
        <w:numPr>
          <w:ilvl w:val="0"/>
          <w:numId w:val="573"/>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only use type 56 or 57 substitutions or estimations where the historical data does not support the application of a type 51 or 52 substitution or</w:t>
      </w:r>
      <w:r>
        <w:rPr>
          <w:spacing w:val="-1"/>
          <w:sz w:val="24"/>
        </w:rPr>
        <w:t> </w:t>
      </w:r>
      <w:r>
        <w:rPr>
          <w:sz w:val="24"/>
        </w:rPr>
        <w:t>estimation.</w:t>
      </w:r>
    </w:p>
    <w:p>
      <w:pPr>
        <w:pStyle w:val="ListParagraph"/>
        <w:numPr>
          <w:ilvl w:val="0"/>
          <w:numId w:val="573"/>
        </w:numPr>
        <w:tabs>
          <w:tab w:pos="1920"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notify the </w:t>
      </w:r>
      <w:r>
        <w:rPr>
          <w:i/>
          <w:sz w:val="24"/>
        </w:rPr>
        <w:t>Local Network Service </w:t>
      </w:r>
      <w:r>
        <w:rPr>
          <w:i/>
          <w:sz w:val="24"/>
        </w:rPr>
        <w:t>Provider</w:t>
      </w:r>
      <w:r>
        <w:rPr>
          <w:sz w:val="24"/>
        </w:rPr>
        <w:t>, the relevant </w:t>
      </w:r>
      <w:r>
        <w:rPr>
          <w:i/>
          <w:sz w:val="24"/>
        </w:rPr>
        <w:t>retailer </w:t>
      </w:r>
      <w:r>
        <w:rPr>
          <w:sz w:val="24"/>
        </w:rPr>
        <w:t>and the financially responsible participant for the </w:t>
      </w:r>
      <w:r>
        <w:rPr>
          <w:i/>
          <w:sz w:val="24"/>
        </w:rPr>
        <w:t>connection point </w:t>
      </w:r>
      <w:r>
        <w:rPr>
          <w:sz w:val="24"/>
        </w:rPr>
        <w:t>of any substitution or estimation within 2 </w:t>
      </w:r>
      <w:r>
        <w:rPr>
          <w:i/>
          <w:sz w:val="24"/>
        </w:rPr>
        <w:t>business days </w:t>
      </w:r>
      <w:r>
        <w:rPr>
          <w:sz w:val="24"/>
        </w:rPr>
        <w:t>of the</w:t>
      </w:r>
      <w:r>
        <w:rPr>
          <w:spacing w:val="-1"/>
          <w:sz w:val="24"/>
        </w:rPr>
        <w:t> </w:t>
      </w:r>
      <w:r>
        <w:rPr>
          <w:sz w:val="24"/>
        </w:rPr>
        <w:t>substitution.</w:t>
      </w:r>
    </w:p>
    <w:p>
      <w:pPr>
        <w:pStyle w:val="ListParagraph"/>
        <w:numPr>
          <w:ilvl w:val="0"/>
          <w:numId w:val="573"/>
        </w:numPr>
        <w:tabs>
          <w:tab w:pos="1919" w:val="left" w:leader="none"/>
        </w:tabs>
        <w:spacing w:line="240" w:lineRule="auto" w:before="120" w:after="0"/>
        <w:ind w:left="1919" w:right="415" w:hanging="567"/>
        <w:jc w:val="both"/>
        <w:rPr>
          <w:sz w:val="24"/>
        </w:rPr>
      </w:pPr>
      <w:r>
        <w:rPr>
          <w:i/>
          <w:sz w:val="24"/>
        </w:rPr>
        <w:t>Metering Data Providers </w:t>
      </w:r>
      <w:r>
        <w:rPr>
          <w:sz w:val="24"/>
        </w:rPr>
        <w:t>must not perform type 53 or 55 substitutions or type 56 substitutions or estimations without the agreement of the </w:t>
      </w:r>
      <w:r>
        <w:rPr>
          <w:i/>
          <w:sz w:val="24"/>
        </w:rPr>
        <w:t>Local </w:t>
      </w:r>
      <w:r>
        <w:rPr>
          <w:i/>
          <w:sz w:val="24"/>
        </w:rPr>
        <w:t>Network Service Provider</w:t>
      </w:r>
      <w:r>
        <w:rPr>
          <w:sz w:val="24"/>
        </w:rPr>
        <w:t>, the relevant </w:t>
      </w:r>
      <w:r>
        <w:rPr>
          <w:i/>
          <w:sz w:val="24"/>
        </w:rPr>
        <w:t>retailer </w:t>
      </w:r>
      <w:r>
        <w:rPr>
          <w:sz w:val="24"/>
        </w:rPr>
        <w:t>and the financially responsible participant for the </w:t>
      </w:r>
      <w:r>
        <w:rPr>
          <w:i/>
          <w:sz w:val="24"/>
        </w:rPr>
        <w:t>connection point</w:t>
      </w:r>
      <w:r>
        <w:rPr>
          <w:sz w:val="24"/>
        </w:rPr>
        <w:t>. </w:t>
      </w:r>
      <w:r>
        <w:rPr>
          <w:i/>
          <w:sz w:val="24"/>
        </w:rPr>
        <w:t>Metering Data Providers </w:t>
      </w:r>
      <w:r>
        <w:rPr>
          <w:sz w:val="24"/>
        </w:rPr>
        <w:t>may</w:t>
      </w:r>
      <w:r>
        <w:rPr>
          <w:spacing w:val="6"/>
          <w:sz w:val="24"/>
        </w:rPr>
        <w:t> </w:t>
      </w:r>
      <w:r>
        <w:rPr>
          <w:sz w:val="24"/>
        </w:rPr>
        <w:t>change</w:t>
      </w:r>
      <w:r>
        <w:rPr>
          <w:spacing w:val="6"/>
          <w:sz w:val="24"/>
        </w:rPr>
        <w:t> </w:t>
      </w:r>
      <w:r>
        <w:rPr>
          <w:sz w:val="24"/>
        </w:rPr>
        <w:t>the</w:t>
      </w:r>
      <w:r>
        <w:rPr>
          <w:spacing w:val="6"/>
          <w:sz w:val="24"/>
        </w:rPr>
        <w:t> </w:t>
      </w:r>
      <w:r>
        <w:rPr>
          <w:sz w:val="24"/>
        </w:rPr>
        <w:t>quality</w:t>
      </w:r>
      <w:r>
        <w:rPr>
          <w:spacing w:val="6"/>
          <w:sz w:val="24"/>
        </w:rPr>
        <w:t> </w:t>
      </w:r>
      <w:r>
        <w:rPr>
          <w:sz w:val="24"/>
        </w:rPr>
        <w:t>flag</w:t>
      </w:r>
      <w:r>
        <w:rPr>
          <w:spacing w:val="6"/>
          <w:sz w:val="24"/>
        </w:rPr>
        <w:t> </w:t>
      </w:r>
      <w:r>
        <w:rPr>
          <w:sz w:val="24"/>
        </w:rPr>
        <w:t>to</w:t>
      </w:r>
      <w:r>
        <w:rPr>
          <w:spacing w:val="6"/>
          <w:sz w:val="24"/>
        </w:rPr>
        <w:t> </w:t>
      </w:r>
      <w:r>
        <w:rPr>
          <w:sz w:val="24"/>
        </w:rPr>
        <w:t>an</w:t>
      </w:r>
      <w:r>
        <w:rPr>
          <w:spacing w:val="6"/>
          <w:sz w:val="24"/>
        </w:rPr>
        <w:t> </w:t>
      </w:r>
      <w:r>
        <w:rPr>
          <w:sz w:val="24"/>
        </w:rPr>
        <w:t>existing</w:t>
      </w:r>
      <w:r>
        <w:rPr>
          <w:spacing w:val="6"/>
          <w:sz w:val="24"/>
        </w:rPr>
        <w:t> </w:t>
      </w:r>
      <w:r>
        <w:rPr>
          <w:sz w:val="24"/>
        </w:rPr>
        <w:t>type</w:t>
      </w:r>
      <w:r>
        <w:rPr>
          <w:spacing w:val="6"/>
          <w:sz w:val="24"/>
        </w:rPr>
        <w:t> </w:t>
      </w:r>
      <w:r>
        <w:rPr>
          <w:sz w:val="24"/>
        </w:rPr>
        <w:t>53</w:t>
      </w:r>
      <w:r>
        <w:rPr>
          <w:spacing w:val="6"/>
          <w:sz w:val="24"/>
        </w:rPr>
        <w:t> </w:t>
      </w:r>
      <w:r>
        <w:rPr>
          <w:sz w:val="24"/>
        </w:rPr>
        <w:t>or</w:t>
      </w:r>
      <w:r>
        <w:rPr>
          <w:spacing w:val="7"/>
          <w:sz w:val="24"/>
        </w:rPr>
        <w:t> </w:t>
      </w:r>
      <w:r>
        <w:rPr>
          <w:sz w:val="24"/>
        </w:rPr>
        <w:t>55</w:t>
      </w:r>
      <w:r>
        <w:rPr>
          <w:spacing w:val="6"/>
          <w:sz w:val="24"/>
        </w:rPr>
        <w:t> </w:t>
      </w:r>
      <w:r>
        <w:rPr>
          <w:sz w:val="24"/>
        </w:rPr>
        <w:t>substitution</w:t>
      </w:r>
      <w:r>
        <w:rPr>
          <w:spacing w:val="6"/>
          <w:sz w:val="24"/>
        </w:rPr>
        <w:t> </w:t>
      </w:r>
      <w:r>
        <w:rPr>
          <w:sz w:val="24"/>
        </w:rPr>
        <w:t>or</w:t>
      </w:r>
      <w:r>
        <w:rPr>
          <w:spacing w:val="6"/>
          <w:sz w:val="24"/>
        </w:rPr>
        <w:t> </w:t>
      </w:r>
      <w:r>
        <w:rPr>
          <w:sz w:val="24"/>
        </w:rPr>
        <w:t>type</w:t>
      </w:r>
    </w:p>
    <w:p>
      <w:pPr>
        <w:spacing w:after="0" w:line="240" w:lineRule="auto"/>
        <w:jc w:val="both"/>
        <w:rPr>
          <w:sz w:val="24"/>
        </w:rPr>
        <w:sectPr>
          <w:pgSz w:w="11910" w:h="16840"/>
          <w:pgMar w:header="686" w:footer="637" w:top="1320" w:bottom="820" w:left="1200" w:right="1000"/>
        </w:sectPr>
      </w:pPr>
    </w:p>
    <w:p>
      <w:pPr>
        <w:pStyle w:val="BodyText"/>
        <w:spacing w:before="83"/>
        <w:ind w:left="1919" w:firstLine="0"/>
        <w:jc w:val="left"/>
      </w:pPr>
      <w:r>
        <w:rPr/>
        <w:t>56 substitution or estimation without seeking further agreement from those parties.</w:t>
      </w:r>
    </w:p>
    <w:p>
      <w:pPr>
        <w:pStyle w:val="BodyText"/>
        <w:spacing w:before="10"/>
        <w:ind w:firstLine="0"/>
        <w:jc w:val="left"/>
        <w:rPr>
          <w:sz w:val="20"/>
        </w:rPr>
      </w:pPr>
    </w:p>
    <w:p>
      <w:pPr>
        <w:pStyle w:val="Heading4"/>
        <w:tabs>
          <w:tab w:pos="1658" w:val="left" w:leader="none"/>
        </w:tabs>
        <w:ind w:left="218" w:firstLine="0"/>
      </w:pPr>
      <w:bookmarkStart w:name="S7A.7.10.3 Substitution and estimation t" w:id="2030"/>
      <w:bookmarkEnd w:id="2030"/>
      <w:r>
        <w:rPr>
          <w:b w:val="0"/>
        </w:rPr>
      </w:r>
      <w:bookmarkStart w:name="_bookmark839" w:id="2031"/>
      <w:bookmarkEnd w:id="2031"/>
      <w:r>
        <w:rPr>
          <w:b w:val="0"/>
        </w:rPr>
      </w:r>
      <w:r>
        <w:rPr/>
        <w:t>S7A.7.10.3</w:t>
        <w:tab/>
        <w:t>Substitution and estimation</w:t>
      </w:r>
      <w:r>
        <w:rPr>
          <w:spacing w:val="-3"/>
        </w:rPr>
        <w:t> </w:t>
      </w:r>
      <w:r>
        <w:rPr/>
        <w:t>types</w:t>
      </w:r>
    </w:p>
    <w:p>
      <w:pPr>
        <w:spacing w:before="220"/>
        <w:ind w:left="1356" w:right="1193" w:firstLine="0"/>
        <w:jc w:val="left"/>
        <w:rPr>
          <w:rFonts w:ascii="Arial" w:hAnsi="Arial"/>
          <w:b/>
          <w:sz w:val="22"/>
        </w:rPr>
      </w:pPr>
      <w:r>
        <w:rPr>
          <w:rFonts w:ascii="Arial" w:hAnsi="Arial"/>
          <w:b/>
          <w:sz w:val="22"/>
        </w:rPr>
        <w:t>Type 51 – Previous years method (nearest equivalent day or like day method)</w:t>
      </w:r>
    </w:p>
    <w:p>
      <w:pPr>
        <w:pStyle w:val="ListParagraph"/>
        <w:numPr>
          <w:ilvl w:val="0"/>
          <w:numId w:val="574"/>
        </w:numPr>
        <w:tabs>
          <w:tab w:pos="1919" w:val="left" w:leader="none"/>
        </w:tabs>
        <w:spacing w:line="240" w:lineRule="auto" w:before="120" w:after="0"/>
        <w:ind w:left="1919" w:right="415" w:hanging="567"/>
        <w:jc w:val="both"/>
        <w:rPr>
          <w:sz w:val="24"/>
        </w:rPr>
      </w:pPr>
      <w:r>
        <w:rPr>
          <w:sz w:val="24"/>
        </w:rPr>
        <w:t>To perform a type 51 substitution, the </w:t>
      </w:r>
      <w:r>
        <w:rPr>
          <w:i/>
          <w:sz w:val="24"/>
        </w:rPr>
        <w:t>Metering Data Provider </w:t>
      </w:r>
      <w:r>
        <w:rPr>
          <w:sz w:val="24"/>
        </w:rPr>
        <w:t>must provide a substitute or estimate using the </w:t>
      </w:r>
      <w:r>
        <w:rPr>
          <w:i/>
          <w:sz w:val="24"/>
        </w:rPr>
        <w:t>metering data </w:t>
      </w:r>
      <w:r>
        <w:rPr>
          <w:sz w:val="24"/>
        </w:rPr>
        <w:t>from the nearest equivalent </w:t>
      </w:r>
      <w:r>
        <w:rPr>
          <w:i/>
          <w:sz w:val="24"/>
        </w:rPr>
        <w:t>day </w:t>
      </w:r>
      <w:r>
        <w:rPr>
          <w:sz w:val="24"/>
        </w:rPr>
        <w:t>or like </w:t>
      </w:r>
      <w:r>
        <w:rPr>
          <w:i/>
          <w:sz w:val="24"/>
        </w:rPr>
        <w:t>day </w:t>
      </w:r>
      <w:r>
        <w:rPr>
          <w:sz w:val="24"/>
        </w:rPr>
        <w:t>from the same, or similar, </w:t>
      </w:r>
      <w:r>
        <w:rPr>
          <w:i/>
          <w:sz w:val="24"/>
        </w:rPr>
        <w:t>meter </w:t>
      </w:r>
      <w:r>
        <w:rPr>
          <w:sz w:val="24"/>
        </w:rPr>
        <w:t>reading period in the previous year. The nearest equivalent </w:t>
      </w:r>
      <w:r>
        <w:rPr>
          <w:i/>
          <w:sz w:val="24"/>
        </w:rPr>
        <w:t>day </w:t>
      </w:r>
      <w:r>
        <w:rPr>
          <w:sz w:val="24"/>
        </w:rPr>
        <w:t>or like </w:t>
      </w:r>
      <w:r>
        <w:rPr>
          <w:i/>
          <w:sz w:val="24"/>
        </w:rPr>
        <w:t>day </w:t>
      </w:r>
      <w:r>
        <w:rPr>
          <w:sz w:val="24"/>
        </w:rPr>
        <w:t>is to be determined from Table</w:t>
      </w:r>
      <w:r>
        <w:rPr>
          <w:spacing w:val="-1"/>
          <w:sz w:val="24"/>
        </w:rPr>
        <w:t> </w:t>
      </w:r>
      <w:r>
        <w:rPr>
          <w:sz w:val="24"/>
        </w:rPr>
        <w:t>3.</w:t>
      </w:r>
    </w:p>
    <w:p>
      <w:pPr>
        <w:spacing w:before="220"/>
        <w:ind w:left="1356" w:right="753" w:firstLine="0"/>
        <w:jc w:val="left"/>
        <w:rPr>
          <w:rFonts w:ascii="Arial" w:hAnsi="Arial"/>
          <w:b/>
          <w:sz w:val="22"/>
        </w:rPr>
      </w:pPr>
      <w:r>
        <w:rPr>
          <w:rFonts w:ascii="Arial" w:hAnsi="Arial"/>
          <w:b/>
          <w:sz w:val="22"/>
        </w:rPr>
        <w:t>Type 52 – Previous meter reading method (nearest equivalent day or like day method)</w:t>
      </w:r>
    </w:p>
    <w:p>
      <w:pPr>
        <w:pStyle w:val="ListParagraph"/>
        <w:numPr>
          <w:ilvl w:val="0"/>
          <w:numId w:val="574"/>
        </w:numPr>
        <w:tabs>
          <w:tab w:pos="1919" w:val="left" w:leader="none"/>
        </w:tabs>
        <w:spacing w:line="240" w:lineRule="auto" w:before="120" w:after="0"/>
        <w:ind w:left="1919" w:right="415" w:hanging="567"/>
        <w:jc w:val="both"/>
        <w:rPr>
          <w:sz w:val="24"/>
        </w:rPr>
      </w:pPr>
      <w:r>
        <w:rPr>
          <w:sz w:val="24"/>
        </w:rPr>
        <w:t>To perform a type 52 substitution, the Metering Data Provider must provide a substitute or estimate using the metering data from the nearest equivalent day or like day from the previous meter reading period. The nearest equivalent day or like day is to be determined from Table</w:t>
      </w:r>
      <w:r>
        <w:rPr>
          <w:spacing w:val="-2"/>
          <w:sz w:val="24"/>
        </w:rPr>
        <w:t> </w:t>
      </w:r>
      <w:r>
        <w:rPr>
          <w:sz w:val="24"/>
        </w:rPr>
        <w:t>3.</w:t>
      </w:r>
    </w:p>
    <w:p>
      <w:pPr>
        <w:spacing w:before="120"/>
        <w:ind w:left="1352" w:right="0" w:firstLine="0"/>
        <w:jc w:val="left"/>
        <w:rPr>
          <w:rFonts w:ascii="Arial"/>
          <w:b/>
          <w:sz w:val="22"/>
        </w:rPr>
      </w:pPr>
      <w:r>
        <w:rPr>
          <w:rFonts w:ascii="Arial"/>
          <w:b/>
          <w:sz w:val="22"/>
        </w:rPr>
        <w:t>Table 3</w:t>
      </w:r>
    </w:p>
    <w:p>
      <w:pPr>
        <w:pStyle w:val="BodyText"/>
        <w:spacing w:before="8"/>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90"/>
        <w:gridCol w:w="5947"/>
      </w:tblGrid>
      <w:tr>
        <w:trPr>
          <w:trHeight w:val="515" w:hRule="atLeast"/>
        </w:trPr>
        <w:tc>
          <w:tcPr>
            <w:tcW w:w="7937" w:type="dxa"/>
            <w:gridSpan w:val="2"/>
            <w:tcBorders>
              <w:right w:val="single" w:sz="4" w:space="0" w:color="000000"/>
            </w:tcBorders>
          </w:tcPr>
          <w:p>
            <w:pPr>
              <w:pStyle w:val="TableParagraph"/>
              <w:ind w:left="40"/>
              <w:rPr>
                <w:b/>
                <w:sz w:val="24"/>
              </w:rPr>
            </w:pPr>
            <w:r>
              <w:rPr>
                <w:b/>
                <w:sz w:val="24"/>
              </w:rPr>
              <w:t>TYPE 51 or 52</w:t>
            </w:r>
          </w:p>
        </w:tc>
      </w:tr>
      <w:tr>
        <w:trPr>
          <w:trHeight w:val="791" w:hRule="atLeast"/>
        </w:trPr>
        <w:tc>
          <w:tcPr>
            <w:tcW w:w="1990" w:type="dxa"/>
            <w:tcBorders>
              <w:right w:val="single" w:sz="4" w:space="0" w:color="000000"/>
            </w:tcBorders>
          </w:tcPr>
          <w:p>
            <w:pPr>
              <w:pStyle w:val="TableParagraph"/>
              <w:ind w:left="40"/>
              <w:rPr>
                <w:b/>
                <w:sz w:val="24"/>
              </w:rPr>
            </w:pPr>
            <w:r>
              <w:rPr>
                <w:b/>
                <w:sz w:val="24"/>
              </w:rPr>
              <w:t>Substitution day</w:t>
            </w:r>
          </w:p>
        </w:tc>
        <w:tc>
          <w:tcPr>
            <w:tcW w:w="5947" w:type="dxa"/>
            <w:tcBorders>
              <w:left w:val="single" w:sz="4" w:space="0" w:color="000000"/>
              <w:right w:val="single" w:sz="4" w:space="0" w:color="000000"/>
            </w:tcBorders>
          </w:tcPr>
          <w:p>
            <w:pPr>
              <w:pStyle w:val="TableParagraph"/>
              <w:ind w:right="1139"/>
              <w:rPr>
                <w:b/>
                <w:sz w:val="24"/>
              </w:rPr>
            </w:pPr>
            <w:r>
              <w:rPr>
                <w:b/>
                <w:sz w:val="24"/>
              </w:rPr>
              <w:t>Nearest equivalent day or like day (in order of availability)</w:t>
            </w:r>
          </w:p>
        </w:tc>
      </w:tr>
      <w:tr>
        <w:trPr>
          <w:trHeight w:val="515" w:hRule="atLeast"/>
        </w:trPr>
        <w:tc>
          <w:tcPr>
            <w:tcW w:w="1990" w:type="dxa"/>
            <w:tcBorders>
              <w:right w:val="single" w:sz="4" w:space="0" w:color="000000"/>
            </w:tcBorders>
          </w:tcPr>
          <w:p>
            <w:pPr>
              <w:pStyle w:val="TableParagraph"/>
              <w:ind w:left="40"/>
              <w:rPr>
                <w:sz w:val="24"/>
              </w:rPr>
            </w:pPr>
            <w:r>
              <w:rPr>
                <w:sz w:val="24"/>
              </w:rPr>
              <w:t>Monday</w:t>
            </w:r>
          </w:p>
        </w:tc>
        <w:tc>
          <w:tcPr>
            <w:tcW w:w="5947" w:type="dxa"/>
            <w:tcBorders>
              <w:left w:val="single" w:sz="4" w:space="0" w:color="000000"/>
              <w:right w:val="single" w:sz="4" w:space="0" w:color="000000"/>
            </w:tcBorders>
          </w:tcPr>
          <w:p>
            <w:pPr>
              <w:pStyle w:val="TableParagraph"/>
              <w:rPr>
                <w:sz w:val="24"/>
              </w:rPr>
            </w:pPr>
            <w:r>
              <w:rPr>
                <w:sz w:val="24"/>
              </w:rPr>
              <w:t>Monday ## Monday#</w:t>
            </w:r>
          </w:p>
        </w:tc>
      </w:tr>
      <w:tr>
        <w:trPr>
          <w:trHeight w:val="515" w:hRule="atLeast"/>
        </w:trPr>
        <w:tc>
          <w:tcPr>
            <w:tcW w:w="1990" w:type="dxa"/>
            <w:tcBorders>
              <w:right w:val="single" w:sz="4" w:space="0" w:color="000000"/>
            </w:tcBorders>
          </w:tcPr>
          <w:p>
            <w:pPr>
              <w:pStyle w:val="TableParagraph"/>
              <w:ind w:left="40"/>
              <w:rPr>
                <w:sz w:val="24"/>
              </w:rPr>
            </w:pPr>
            <w:r>
              <w:rPr>
                <w:sz w:val="24"/>
              </w:rPr>
              <w:t>Tuesday</w:t>
            </w:r>
          </w:p>
        </w:tc>
        <w:tc>
          <w:tcPr>
            <w:tcW w:w="5947" w:type="dxa"/>
            <w:tcBorders>
              <w:left w:val="single" w:sz="4" w:space="0" w:color="000000"/>
              <w:right w:val="single" w:sz="4" w:space="0" w:color="000000"/>
            </w:tcBorders>
          </w:tcPr>
          <w:p>
            <w:pPr>
              <w:pStyle w:val="TableParagraph"/>
              <w:rPr>
                <w:sz w:val="24"/>
              </w:rPr>
            </w:pPr>
            <w:r>
              <w:rPr>
                <w:sz w:val="24"/>
              </w:rPr>
              <w:t>Tuesday## Wednesday## Tuesday# Wednesday#</w:t>
            </w:r>
          </w:p>
        </w:tc>
      </w:tr>
      <w:tr>
        <w:trPr>
          <w:trHeight w:val="791" w:hRule="atLeast"/>
        </w:trPr>
        <w:tc>
          <w:tcPr>
            <w:tcW w:w="1990" w:type="dxa"/>
            <w:tcBorders>
              <w:right w:val="single" w:sz="4" w:space="0" w:color="000000"/>
            </w:tcBorders>
          </w:tcPr>
          <w:p>
            <w:pPr>
              <w:pStyle w:val="TableParagraph"/>
              <w:ind w:left="40"/>
              <w:rPr>
                <w:sz w:val="24"/>
              </w:rPr>
            </w:pPr>
            <w:r>
              <w:rPr>
                <w:sz w:val="24"/>
              </w:rPr>
              <w:t>Wednesday</w:t>
            </w:r>
          </w:p>
        </w:tc>
        <w:tc>
          <w:tcPr>
            <w:tcW w:w="5947" w:type="dxa"/>
            <w:tcBorders>
              <w:left w:val="single" w:sz="4" w:space="0" w:color="000000"/>
              <w:right w:val="single" w:sz="4" w:space="0" w:color="000000"/>
            </w:tcBorders>
          </w:tcPr>
          <w:p>
            <w:pPr>
              <w:pStyle w:val="TableParagraph"/>
              <w:ind w:right="893"/>
              <w:rPr>
                <w:sz w:val="24"/>
              </w:rPr>
            </w:pPr>
            <w:r>
              <w:rPr>
                <w:sz w:val="24"/>
              </w:rPr>
              <w:t>Wednesday## Tuesday## Thursday## Wednesday# Thursday# Tuesday#</w:t>
            </w:r>
          </w:p>
        </w:tc>
      </w:tr>
      <w:tr>
        <w:trPr>
          <w:trHeight w:val="791" w:hRule="atLeast"/>
        </w:trPr>
        <w:tc>
          <w:tcPr>
            <w:tcW w:w="1990" w:type="dxa"/>
            <w:tcBorders>
              <w:right w:val="single" w:sz="4" w:space="0" w:color="000000"/>
            </w:tcBorders>
          </w:tcPr>
          <w:p>
            <w:pPr>
              <w:pStyle w:val="TableParagraph"/>
              <w:ind w:left="40"/>
              <w:rPr>
                <w:sz w:val="24"/>
              </w:rPr>
            </w:pPr>
            <w:r>
              <w:rPr>
                <w:sz w:val="24"/>
              </w:rPr>
              <w:t>Thursday</w:t>
            </w:r>
          </w:p>
        </w:tc>
        <w:tc>
          <w:tcPr>
            <w:tcW w:w="5947" w:type="dxa"/>
            <w:tcBorders>
              <w:left w:val="single" w:sz="4" w:space="0" w:color="000000"/>
              <w:right w:val="single" w:sz="4" w:space="0" w:color="000000"/>
            </w:tcBorders>
          </w:tcPr>
          <w:p>
            <w:pPr>
              <w:pStyle w:val="TableParagraph"/>
              <w:ind w:right="1106"/>
              <w:rPr>
                <w:sz w:val="24"/>
              </w:rPr>
            </w:pPr>
            <w:r>
              <w:rPr>
                <w:sz w:val="24"/>
              </w:rPr>
              <w:t>Thursday## Wednesday## Tuesday## Thursday# Wednesday# Tuesday#</w:t>
            </w:r>
          </w:p>
        </w:tc>
      </w:tr>
      <w:tr>
        <w:trPr>
          <w:trHeight w:val="515" w:hRule="atLeast"/>
        </w:trPr>
        <w:tc>
          <w:tcPr>
            <w:tcW w:w="1990" w:type="dxa"/>
            <w:tcBorders>
              <w:right w:val="single" w:sz="4" w:space="0" w:color="000000"/>
            </w:tcBorders>
          </w:tcPr>
          <w:p>
            <w:pPr>
              <w:pStyle w:val="TableParagraph"/>
              <w:ind w:left="40"/>
              <w:rPr>
                <w:sz w:val="24"/>
              </w:rPr>
            </w:pPr>
            <w:r>
              <w:rPr>
                <w:sz w:val="24"/>
              </w:rPr>
              <w:t>Friday</w:t>
            </w:r>
          </w:p>
        </w:tc>
        <w:tc>
          <w:tcPr>
            <w:tcW w:w="5947" w:type="dxa"/>
            <w:tcBorders>
              <w:left w:val="single" w:sz="4" w:space="0" w:color="000000"/>
              <w:right w:val="single" w:sz="4" w:space="0" w:color="000000"/>
            </w:tcBorders>
          </w:tcPr>
          <w:p>
            <w:pPr>
              <w:pStyle w:val="TableParagraph"/>
              <w:rPr>
                <w:sz w:val="24"/>
              </w:rPr>
            </w:pPr>
            <w:r>
              <w:rPr>
                <w:sz w:val="24"/>
              </w:rPr>
              <w:t>Friday## Friday#</w:t>
            </w:r>
          </w:p>
        </w:tc>
      </w:tr>
      <w:tr>
        <w:trPr>
          <w:trHeight w:val="515" w:hRule="atLeast"/>
        </w:trPr>
        <w:tc>
          <w:tcPr>
            <w:tcW w:w="1990" w:type="dxa"/>
            <w:tcBorders>
              <w:right w:val="single" w:sz="4" w:space="0" w:color="000000"/>
            </w:tcBorders>
          </w:tcPr>
          <w:p>
            <w:pPr>
              <w:pStyle w:val="TableParagraph"/>
              <w:ind w:left="40"/>
              <w:rPr>
                <w:sz w:val="24"/>
              </w:rPr>
            </w:pPr>
            <w:r>
              <w:rPr>
                <w:sz w:val="24"/>
              </w:rPr>
              <w:t>Saturday</w:t>
            </w:r>
          </w:p>
        </w:tc>
        <w:tc>
          <w:tcPr>
            <w:tcW w:w="5947" w:type="dxa"/>
            <w:tcBorders>
              <w:left w:val="single" w:sz="4" w:space="0" w:color="000000"/>
              <w:right w:val="single" w:sz="4" w:space="0" w:color="000000"/>
            </w:tcBorders>
          </w:tcPr>
          <w:p>
            <w:pPr>
              <w:pStyle w:val="TableParagraph"/>
              <w:rPr>
                <w:sz w:val="24"/>
              </w:rPr>
            </w:pPr>
            <w:r>
              <w:rPr>
                <w:sz w:val="24"/>
              </w:rPr>
              <w:t>Saturday## Saturday#</w:t>
            </w:r>
          </w:p>
        </w:tc>
      </w:tr>
      <w:tr>
        <w:trPr>
          <w:trHeight w:val="515" w:hRule="atLeast"/>
        </w:trPr>
        <w:tc>
          <w:tcPr>
            <w:tcW w:w="1990" w:type="dxa"/>
            <w:tcBorders>
              <w:right w:val="single" w:sz="4" w:space="0" w:color="000000"/>
            </w:tcBorders>
          </w:tcPr>
          <w:p>
            <w:pPr>
              <w:pStyle w:val="TableParagraph"/>
              <w:ind w:left="40"/>
              <w:rPr>
                <w:sz w:val="24"/>
              </w:rPr>
            </w:pPr>
            <w:r>
              <w:rPr>
                <w:sz w:val="24"/>
              </w:rPr>
              <w:t>Sunday</w:t>
            </w:r>
          </w:p>
        </w:tc>
        <w:tc>
          <w:tcPr>
            <w:tcW w:w="5947" w:type="dxa"/>
            <w:tcBorders>
              <w:left w:val="single" w:sz="4" w:space="0" w:color="000000"/>
              <w:right w:val="single" w:sz="4" w:space="0" w:color="000000"/>
            </w:tcBorders>
          </w:tcPr>
          <w:p>
            <w:pPr>
              <w:pStyle w:val="TableParagraph"/>
              <w:rPr>
                <w:sz w:val="24"/>
              </w:rPr>
            </w:pPr>
            <w:r>
              <w:rPr>
                <w:sz w:val="24"/>
              </w:rPr>
              <w:t>Sunday## Sunday#</w:t>
            </w:r>
          </w:p>
        </w:tc>
      </w:tr>
      <w:tr>
        <w:trPr>
          <w:trHeight w:val="2411" w:hRule="atLeast"/>
        </w:trPr>
        <w:tc>
          <w:tcPr>
            <w:tcW w:w="7937" w:type="dxa"/>
            <w:gridSpan w:val="2"/>
            <w:tcBorders>
              <w:bottom w:val="single" w:sz="4" w:space="0" w:color="000000"/>
              <w:right w:val="single" w:sz="4" w:space="0" w:color="000000"/>
            </w:tcBorders>
          </w:tcPr>
          <w:p>
            <w:pPr>
              <w:pStyle w:val="TableParagraph"/>
              <w:ind w:left="40"/>
              <w:rPr>
                <w:sz w:val="24"/>
              </w:rPr>
            </w:pPr>
            <w:r>
              <w:rPr>
                <w:sz w:val="24"/>
              </w:rPr>
              <w:t>Substitutions or estimations for like day to be as detailed above, unless:</w:t>
            </w:r>
          </w:p>
          <w:p>
            <w:pPr>
              <w:pStyle w:val="TableParagraph"/>
              <w:numPr>
                <w:ilvl w:val="0"/>
                <w:numId w:val="575"/>
              </w:numPr>
              <w:tabs>
                <w:tab w:pos="606" w:val="left" w:leader="none"/>
                <w:tab w:pos="607" w:val="left" w:leader="none"/>
              </w:tabs>
              <w:spacing w:line="240" w:lineRule="auto" w:before="120" w:after="0"/>
              <w:ind w:left="607" w:right="186" w:hanging="567"/>
              <w:jc w:val="left"/>
              <w:rPr>
                <w:sz w:val="24"/>
              </w:rPr>
            </w:pPr>
            <w:r>
              <w:rPr>
                <w:sz w:val="24"/>
              </w:rPr>
              <w:t>no </w:t>
            </w:r>
            <w:r>
              <w:rPr>
                <w:i/>
                <w:sz w:val="24"/>
              </w:rPr>
              <w:t>metering data </w:t>
            </w:r>
            <w:r>
              <w:rPr>
                <w:sz w:val="24"/>
              </w:rPr>
              <w:t>is available on the first listed day, in which case the next listed preferred day is to be used. If there is no other suitable day, or no metering data is available on any of the listed days, type 52 must be</w:t>
            </w:r>
            <w:r>
              <w:rPr>
                <w:spacing w:val="-6"/>
                <w:sz w:val="24"/>
              </w:rPr>
              <w:t> </w:t>
            </w:r>
            <w:r>
              <w:rPr>
                <w:sz w:val="24"/>
              </w:rPr>
              <w:t>used;</w:t>
            </w:r>
          </w:p>
          <w:p>
            <w:pPr>
              <w:pStyle w:val="TableParagraph"/>
              <w:numPr>
                <w:ilvl w:val="0"/>
                <w:numId w:val="575"/>
              </w:numPr>
              <w:tabs>
                <w:tab w:pos="606" w:val="left" w:leader="none"/>
                <w:tab w:pos="607" w:val="left" w:leader="none"/>
              </w:tabs>
              <w:spacing w:line="240" w:lineRule="auto" w:before="120" w:after="0"/>
              <w:ind w:left="607" w:right="294" w:hanging="567"/>
              <w:jc w:val="left"/>
              <w:rPr>
                <w:sz w:val="24"/>
              </w:rPr>
            </w:pPr>
            <w:r>
              <w:rPr>
                <w:sz w:val="24"/>
              </w:rPr>
              <w:t>the substitution or estimation day was a public holiday, in which case the most recent Sunday is to be used;</w:t>
            </w:r>
            <w:r>
              <w:rPr>
                <w:spacing w:val="-2"/>
                <w:sz w:val="24"/>
              </w:rPr>
              <w:t> </w:t>
            </w:r>
            <w:r>
              <w:rPr>
                <w:sz w:val="24"/>
              </w:rPr>
              <w:t>or</w:t>
            </w:r>
          </w:p>
          <w:p>
            <w:pPr>
              <w:pStyle w:val="TableParagraph"/>
              <w:numPr>
                <w:ilvl w:val="0"/>
                <w:numId w:val="575"/>
              </w:numPr>
              <w:tabs>
                <w:tab w:pos="606" w:val="left" w:leader="none"/>
                <w:tab w:pos="607" w:val="left" w:leader="none"/>
              </w:tabs>
              <w:spacing w:line="256" w:lineRule="exact" w:before="120" w:after="0"/>
              <w:ind w:left="606" w:right="0" w:hanging="567"/>
              <w:jc w:val="left"/>
              <w:rPr>
                <w:sz w:val="24"/>
              </w:rPr>
            </w:pPr>
            <w:r>
              <w:rPr>
                <w:sz w:val="24"/>
              </w:rPr>
              <w:t>the substitution or estimation day was not a public holiday and the</w:t>
            </w:r>
            <w:r>
              <w:rPr>
                <w:spacing w:val="-13"/>
                <w:sz w:val="24"/>
              </w:rPr>
              <w:t> </w:t>
            </w:r>
            <w:r>
              <w:rPr>
                <w:sz w:val="24"/>
              </w:rPr>
              <w:t>listed</w:t>
            </w:r>
          </w:p>
        </w:tc>
      </w:tr>
    </w:tbl>
    <w:p>
      <w:pPr>
        <w:spacing w:after="0" w:line="256" w:lineRule="exact"/>
        <w:jc w:val="left"/>
        <w:rPr>
          <w:sz w:val="24"/>
        </w:rPr>
        <w:sectPr>
          <w:pgSz w:w="11910" w:h="16840"/>
          <w:pgMar w:header="686" w:footer="637" w:top="1320" w:bottom="820" w:left="1200" w:right="1000"/>
        </w:sectPr>
      </w:pPr>
    </w:p>
    <w:p>
      <w:pPr>
        <w:pStyle w:val="BodyText"/>
        <w:spacing w:before="2"/>
        <w:ind w:firstLine="0"/>
        <w:jc w:val="left"/>
        <w:rPr>
          <w:rFonts w:ascii="Arial"/>
          <w:b/>
          <w:sz w:val="7"/>
        </w:rPr>
      </w:pPr>
    </w:p>
    <w:p>
      <w:pPr>
        <w:pStyle w:val="BodyText"/>
        <w:spacing w:before="0"/>
        <w:ind w:left="1332" w:firstLine="0"/>
        <w:jc w:val="left"/>
        <w:rPr>
          <w:rFonts w:ascii="Arial"/>
          <w:sz w:val="20"/>
        </w:rPr>
      </w:pPr>
      <w:r>
        <w:rPr>
          <w:rFonts w:ascii="Arial"/>
          <w:sz w:val="20"/>
        </w:rPr>
        <w:pict>
          <v:group style="width:397.6pt;height:169.5pt;mso-position-horizontal-relative:char;mso-position-vertical-relative:line" coordorigin="0,0" coordsize="7952,3390">
            <v:line style="position:absolute" from="10,20" to="10,3380" stroked="true" strokeweight="1pt" strokecolor="#000000">
              <v:stroke dashstyle="solid"/>
            </v:line>
            <v:line style="position:absolute" from="7947,20" to="7947,3380" stroked="true" strokeweight=".5pt" strokecolor="#000000">
              <v:stroke dashstyle="solid"/>
            </v:line>
            <v:line style="position:absolute" from="0,10" to="7952,10" stroked="true" strokeweight="1pt" strokecolor="#000000">
              <v:stroke dashstyle="solid"/>
            </v:line>
            <v:line style="position:absolute" from="0,3385" to="7952,3385" stroked="true" strokeweight=".5pt" strokecolor="#000000">
              <v:stroke dashstyle="solid"/>
            </v:line>
            <v:shape style="position:absolute;left:20;top:20;width:7922;height:3360" type="#_x0000_t202" filled="false" stroked="false">
              <v:textbox inset="0,0,0,0">
                <w:txbxContent>
                  <w:p>
                    <w:pPr>
                      <w:spacing w:before="0"/>
                      <w:ind w:left="597" w:right="313" w:firstLine="0"/>
                      <w:jc w:val="left"/>
                      <w:rPr>
                        <w:sz w:val="24"/>
                      </w:rPr>
                    </w:pPr>
                    <w:r>
                      <w:rPr>
                        <w:sz w:val="24"/>
                      </w:rPr>
                      <w:t>day is a public holiday, in which case the next listed preferred day that is not a public holiday, Saturday or Sunday is to be used.</w:t>
                    </w:r>
                  </w:p>
                  <w:p>
                    <w:pPr>
                      <w:spacing w:before="120"/>
                      <w:ind w:left="597" w:right="373" w:firstLine="0"/>
                      <w:jc w:val="left"/>
                      <w:rPr>
                        <w:sz w:val="24"/>
                      </w:rPr>
                    </w:pPr>
                    <w:r>
                      <w:rPr>
                        <w:sz w:val="24"/>
                      </w:rPr>
                      <w:t>## For type 51 utilise </w:t>
                    </w:r>
                    <w:r>
                      <w:rPr>
                        <w:i/>
                        <w:sz w:val="24"/>
                      </w:rPr>
                      <w:t>metering data </w:t>
                    </w:r>
                    <w:r>
                      <w:rPr>
                        <w:sz w:val="24"/>
                      </w:rPr>
                      <w:t>from the corresponding week in the previous year.</w:t>
                    </w:r>
                  </w:p>
                  <w:p>
                    <w:pPr>
                      <w:spacing w:before="120"/>
                      <w:ind w:left="597" w:right="359" w:firstLine="0"/>
                      <w:jc w:val="left"/>
                      <w:rPr>
                        <w:sz w:val="24"/>
                      </w:rPr>
                    </w:pPr>
                    <w:r>
                      <w:rPr>
                        <w:sz w:val="24"/>
                      </w:rPr>
                      <w:t>## For type 52 utilise </w:t>
                    </w:r>
                    <w:r>
                      <w:rPr>
                        <w:i/>
                        <w:sz w:val="24"/>
                      </w:rPr>
                      <w:t>metering data </w:t>
                    </w:r>
                    <w:r>
                      <w:rPr>
                        <w:sz w:val="24"/>
                      </w:rPr>
                      <w:t>from the corresponding week of the previous </w:t>
                    </w:r>
                    <w:r>
                      <w:rPr>
                        <w:i/>
                        <w:sz w:val="24"/>
                      </w:rPr>
                      <w:t>meter </w:t>
                    </w:r>
                    <w:r>
                      <w:rPr>
                        <w:sz w:val="24"/>
                      </w:rPr>
                      <w:t>reading period.</w:t>
                    </w:r>
                  </w:p>
                  <w:p>
                    <w:pPr>
                      <w:spacing w:before="120"/>
                      <w:ind w:left="597" w:right="1166" w:firstLine="0"/>
                      <w:jc w:val="left"/>
                      <w:rPr>
                        <w:sz w:val="24"/>
                      </w:rPr>
                    </w:pPr>
                    <w:r>
                      <w:rPr>
                        <w:sz w:val="24"/>
                      </w:rPr>
                      <w:t># For type 51 utilise </w:t>
                    </w:r>
                    <w:r>
                      <w:rPr>
                        <w:i/>
                        <w:sz w:val="24"/>
                      </w:rPr>
                      <w:t>metering data </w:t>
                    </w:r>
                    <w:r>
                      <w:rPr>
                        <w:sz w:val="24"/>
                      </w:rPr>
                      <w:t>from the week preceding the corresponding week in the previous year.</w:t>
                    </w:r>
                  </w:p>
                  <w:p>
                    <w:pPr>
                      <w:spacing w:before="120"/>
                      <w:ind w:left="597" w:right="466" w:firstLine="0"/>
                      <w:jc w:val="left"/>
                      <w:rPr>
                        <w:sz w:val="24"/>
                      </w:rPr>
                    </w:pPr>
                    <w:r>
                      <w:rPr>
                        <w:sz w:val="24"/>
                      </w:rPr>
                      <w:t># For type 52 utilise </w:t>
                    </w:r>
                    <w:r>
                      <w:rPr>
                        <w:i/>
                        <w:sz w:val="24"/>
                      </w:rPr>
                      <w:t>metering data </w:t>
                    </w:r>
                    <w:r>
                      <w:rPr>
                        <w:sz w:val="24"/>
                      </w:rPr>
                      <w:t>occurring in the week preceding the corresponding week of the previous </w:t>
                    </w:r>
                    <w:r>
                      <w:rPr>
                        <w:i/>
                        <w:sz w:val="24"/>
                      </w:rPr>
                      <w:t>meter </w:t>
                    </w:r>
                    <w:r>
                      <w:rPr>
                        <w:sz w:val="24"/>
                      </w:rPr>
                      <w:t>reading period.</w:t>
                    </w:r>
                  </w:p>
                </w:txbxContent>
              </v:textbox>
              <w10:wrap type="none"/>
            </v:shape>
          </v:group>
        </w:pict>
      </w:r>
      <w:r>
        <w:rPr>
          <w:rFonts w:ascii="Arial"/>
          <w:sz w:val="20"/>
        </w:rPr>
      </w:r>
    </w:p>
    <w:p>
      <w:pPr>
        <w:pStyle w:val="BodyText"/>
        <w:spacing w:before="4"/>
        <w:ind w:firstLine="0"/>
        <w:jc w:val="left"/>
        <w:rPr>
          <w:rFonts w:ascii="Arial"/>
          <w:b/>
          <w:sz w:val="25"/>
        </w:rPr>
      </w:pPr>
    </w:p>
    <w:p>
      <w:pPr>
        <w:pStyle w:val="ListParagraph"/>
        <w:numPr>
          <w:ilvl w:val="0"/>
          <w:numId w:val="574"/>
        </w:numPr>
        <w:tabs>
          <w:tab w:pos="1919" w:val="left" w:leader="none"/>
        </w:tabs>
        <w:spacing w:line="240" w:lineRule="auto" w:before="90" w:after="0"/>
        <w:ind w:left="1919" w:right="415" w:hanging="567"/>
        <w:jc w:val="both"/>
        <w:rPr>
          <w:sz w:val="24"/>
        </w:rPr>
      </w:pPr>
      <w:r>
        <w:rPr>
          <w:sz w:val="24"/>
        </w:rPr>
        <w:t>Alternatively, the </w:t>
      </w:r>
      <w:r>
        <w:rPr>
          <w:i/>
          <w:sz w:val="24"/>
        </w:rPr>
        <w:t>Metering Data Provider </w:t>
      </w:r>
      <w:r>
        <w:rPr>
          <w:sz w:val="24"/>
        </w:rPr>
        <w:t>must provide </w:t>
      </w:r>
      <w:r>
        <w:rPr>
          <w:i/>
          <w:sz w:val="24"/>
        </w:rPr>
        <w:t>substituted </w:t>
      </w:r>
      <w:r>
        <w:rPr>
          <w:i/>
          <w:sz w:val="24"/>
        </w:rPr>
        <w:t>metering data </w:t>
      </w:r>
      <w:r>
        <w:rPr>
          <w:sz w:val="24"/>
        </w:rPr>
        <w:t>or </w:t>
      </w:r>
      <w:r>
        <w:rPr>
          <w:i/>
          <w:sz w:val="24"/>
        </w:rPr>
        <w:t>estimated metering data </w:t>
      </w:r>
      <w:r>
        <w:rPr>
          <w:sz w:val="24"/>
        </w:rPr>
        <w:t>using the average like day method, as detained in Table</w:t>
      </w:r>
      <w:r>
        <w:rPr>
          <w:spacing w:val="-1"/>
          <w:sz w:val="24"/>
        </w:rPr>
        <w:t> </w:t>
      </w:r>
      <w:r>
        <w:rPr>
          <w:sz w:val="24"/>
        </w:rPr>
        <w:t>4.</w:t>
      </w:r>
    </w:p>
    <w:p>
      <w:pPr>
        <w:spacing w:before="120"/>
        <w:ind w:left="1352" w:right="0" w:firstLine="0"/>
        <w:jc w:val="left"/>
        <w:rPr>
          <w:rFonts w:ascii="Arial"/>
          <w:b/>
          <w:sz w:val="22"/>
        </w:rPr>
      </w:pPr>
      <w:r>
        <w:rPr>
          <w:rFonts w:ascii="Arial"/>
          <w:b/>
          <w:sz w:val="22"/>
        </w:rPr>
        <w:t>Table 4</w:t>
      </w:r>
    </w:p>
    <w:p>
      <w:pPr>
        <w:pStyle w:val="BodyText"/>
        <w:spacing w:before="3"/>
        <w:ind w:firstLine="0"/>
        <w:jc w:val="left"/>
        <w:rPr>
          <w:rFonts w:ascii="Arial"/>
          <w:b/>
          <w:sz w:val="14"/>
        </w:rPr>
      </w:pPr>
      <w:r>
        <w:rPr/>
        <w:pict>
          <v:group style="position:absolute;margin-left:127.100006pt;margin-top:10.163872pt;width:397.6pt;height:196.3pt;mso-position-horizontal-relative:page;mso-position-vertical-relative:paragraph;z-index:-251602944;mso-wrap-distance-left:0;mso-wrap-distance-right:0" coordorigin="2542,203" coordsize="7952,3926">
            <v:line style="position:absolute" from="2552,223" to="2552,4119" stroked="true" strokeweight="1pt" strokecolor="#000000">
              <v:stroke dashstyle="solid"/>
            </v:line>
            <v:line style="position:absolute" from="10489,223" to="10489,4119" stroked="true" strokeweight=".5pt" strokecolor="#000000">
              <v:stroke dashstyle="solid"/>
            </v:line>
            <v:line style="position:absolute" from="2542,213" to="10494,213" stroked="true" strokeweight="1pt" strokecolor="#000000">
              <v:stroke dashstyle="solid"/>
            </v:line>
            <v:line style="position:absolute" from="2562,749" to="10484,749" stroked="true" strokeweight="1pt" strokecolor="#000000">
              <v:stroke dashstyle="solid"/>
            </v:line>
            <v:line style="position:absolute" from="2542,4124" to="10494,4124" stroked="true" strokeweight=".5pt" strokecolor="#000000">
              <v:stroke dashstyle="solid"/>
            </v:line>
            <v:shape style="position:absolute;left:2562;top:759;width:7922;height:3360" type="#_x0000_t202" filled="false" stroked="false">
              <v:textbox inset="0,0,0,0">
                <w:txbxContent>
                  <w:p>
                    <w:pPr>
                      <w:spacing w:before="120"/>
                      <w:ind w:left="30" w:right="326" w:firstLine="0"/>
                      <w:jc w:val="left"/>
                      <w:rPr>
                        <w:sz w:val="24"/>
                      </w:rPr>
                    </w:pPr>
                    <w:r>
                      <w:rPr>
                        <w:sz w:val="24"/>
                      </w:rPr>
                      <w:t>The </w:t>
                    </w:r>
                    <w:r>
                      <w:rPr>
                        <w:i/>
                        <w:sz w:val="24"/>
                      </w:rPr>
                      <w:t>interval metering data </w:t>
                    </w:r>
                    <w:r>
                      <w:rPr>
                        <w:sz w:val="24"/>
                      </w:rPr>
                      <w:t>for which substitution or estimation is to be carried out will be calculated using an average of the </w:t>
                    </w:r>
                    <w:r>
                      <w:rPr>
                        <w:i/>
                        <w:sz w:val="24"/>
                      </w:rPr>
                      <w:t>metering data </w:t>
                    </w:r>
                    <w:r>
                      <w:rPr>
                        <w:sz w:val="24"/>
                      </w:rPr>
                      <w:t>from each corresponding interval from any part, or all, of the preceding 4 weeks. This averaging technique may be applied in either of the following ways:</w:t>
                    </w:r>
                  </w:p>
                  <w:p>
                    <w:pPr>
                      <w:numPr>
                        <w:ilvl w:val="0"/>
                        <w:numId w:val="576"/>
                      </w:numPr>
                      <w:tabs>
                        <w:tab w:pos="597" w:val="left" w:leader="none"/>
                        <w:tab w:pos="598" w:val="left" w:leader="none"/>
                      </w:tabs>
                      <w:spacing w:before="120"/>
                      <w:ind w:left="597" w:right="218" w:hanging="567"/>
                      <w:jc w:val="left"/>
                      <w:rPr>
                        <w:sz w:val="24"/>
                      </w:rPr>
                    </w:pPr>
                    <w:r>
                      <w:rPr>
                        <w:sz w:val="24"/>
                      </w:rPr>
                      <w:t>where the averaged </w:t>
                    </w:r>
                    <w:r>
                      <w:rPr>
                        <w:i/>
                        <w:sz w:val="24"/>
                      </w:rPr>
                      <w:t>interval metering data </w:t>
                    </w:r>
                    <w:r>
                      <w:rPr>
                        <w:sz w:val="24"/>
                      </w:rPr>
                      <w:t>is used to provide the value for the </w:t>
                    </w:r>
                    <w:r>
                      <w:rPr>
                        <w:i/>
                        <w:sz w:val="24"/>
                      </w:rPr>
                      <w:t>metering data </w:t>
                    </w:r>
                    <w:r>
                      <w:rPr>
                        <w:sz w:val="24"/>
                      </w:rPr>
                      <w:t>requiring substitution or</w:t>
                    </w:r>
                    <w:r>
                      <w:rPr>
                        <w:spacing w:val="-3"/>
                        <w:sz w:val="24"/>
                      </w:rPr>
                      <w:t> </w:t>
                    </w:r>
                    <w:r>
                      <w:rPr>
                        <w:sz w:val="24"/>
                      </w:rPr>
                      <w:t>estimation;</w:t>
                    </w:r>
                  </w:p>
                  <w:p>
                    <w:pPr>
                      <w:numPr>
                        <w:ilvl w:val="0"/>
                        <w:numId w:val="576"/>
                      </w:numPr>
                      <w:tabs>
                        <w:tab w:pos="597" w:val="left" w:leader="none"/>
                        <w:tab w:pos="598" w:val="left" w:leader="none"/>
                      </w:tabs>
                      <w:spacing w:before="120"/>
                      <w:ind w:left="597" w:right="52" w:hanging="567"/>
                      <w:jc w:val="left"/>
                      <w:rPr>
                        <w:sz w:val="24"/>
                      </w:rPr>
                    </w:pPr>
                    <w:r>
                      <w:rPr>
                        <w:sz w:val="24"/>
                      </w:rPr>
                      <w:t>where the averaged </w:t>
                    </w:r>
                    <w:r>
                      <w:rPr>
                        <w:i/>
                        <w:sz w:val="24"/>
                      </w:rPr>
                      <w:t>interval metering data </w:t>
                    </w:r>
                    <w:r>
                      <w:rPr>
                        <w:sz w:val="24"/>
                      </w:rPr>
                      <w:t>is used to provide the </w:t>
                    </w:r>
                    <w:r>
                      <w:rPr>
                        <w:i/>
                        <w:sz w:val="24"/>
                      </w:rPr>
                      <w:t>profile </w:t>
                    </w:r>
                    <w:r>
                      <w:rPr>
                        <w:sz w:val="24"/>
                      </w:rPr>
                      <w:t>and are scaled to a pre-determined consumption value for the </w:t>
                    </w:r>
                    <w:r>
                      <w:rPr>
                        <w:i/>
                        <w:sz w:val="24"/>
                      </w:rPr>
                      <w:t>metering data </w:t>
                    </w:r>
                    <w:r>
                      <w:rPr>
                        <w:sz w:val="24"/>
                      </w:rPr>
                      <w:t>that are the subject of substitution or</w:t>
                    </w:r>
                    <w:r>
                      <w:rPr>
                        <w:spacing w:val="-3"/>
                        <w:sz w:val="24"/>
                      </w:rPr>
                      <w:t> </w:t>
                    </w:r>
                    <w:r>
                      <w:rPr>
                        <w:sz w:val="24"/>
                      </w:rPr>
                      <w:t>estimation.</w:t>
                    </w:r>
                  </w:p>
                  <w:p>
                    <w:pPr>
                      <w:spacing w:before="120"/>
                      <w:ind w:left="30" w:right="0" w:firstLine="0"/>
                      <w:jc w:val="left"/>
                      <w:rPr>
                        <w:sz w:val="24"/>
                      </w:rPr>
                    </w:pPr>
                    <w:r>
                      <w:rPr>
                        <w:sz w:val="24"/>
                      </w:rPr>
                      <w:t>Type 52 substitutes or estimates must not be used for public holidays.</w:t>
                    </w:r>
                  </w:p>
                </w:txbxContent>
              </v:textbox>
              <w10:wrap type="none"/>
            </v:shape>
            <v:shape style="position:absolute;left:2562;top:223;width:7922;height:516" type="#_x0000_t202" filled="false" stroked="false">
              <v:textbox inset="0,0,0,0">
                <w:txbxContent>
                  <w:p>
                    <w:pPr>
                      <w:spacing w:before="120"/>
                      <w:ind w:left="30" w:right="0" w:firstLine="0"/>
                      <w:jc w:val="left"/>
                      <w:rPr>
                        <w:b/>
                        <w:sz w:val="24"/>
                      </w:rPr>
                    </w:pPr>
                    <w:r>
                      <w:rPr>
                        <w:b/>
                        <w:sz w:val="24"/>
                      </w:rPr>
                      <w:t>TYPE 52 (Alternative)</w:t>
                    </w:r>
                  </w:p>
                </w:txbxContent>
              </v:textbox>
              <w10:wrap type="none"/>
            </v:shape>
            <w10:wrap type="topAndBottom"/>
          </v:group>
        </w:pict>
      </w:r>
    </w:p>
    <w:p>
      <w:pPr>
        <w:pStyle w:val="BodyText"/>
        <w:spacing w:before="0"/>
        <w:ind w:firstLine="0"/>
        <w:jc w:val="left"/>
        <w:rPr>
          <w:rFonts w:ascii="Arial"/>
          <w:b/>
          <w:sz w:val="20"/>
        </w:rPr>
      </w:pPr>
    </w:p>
    <w:p>
      <w:pPr>
        <w:pStyle w:val="BodyText"/>
        <w:spacing w:before="7"/>
        <w:ind w:firstLine="0"/>
        <w:jc w:val="left"/>
        <w:rPr>
          <w:rFonts w:ascii="Arial"/>
          <w:b/>
          <w:sz w:val="20"/>
        </w:rPr>
      </w:pPr>
    </w:p>
    <w:p>
      <w:pPr>
        <w:spacing w:before="0"/>
        <w:ind w:left="1356" w:right="0" w:firstLine="0"/>
        <w:jc w:val="left"/>
        <w:rPr>
          <w:rFonts w:ascii="Arial" w:hAnsi="Arial"/>
          <w:b/>
          <w:sz w:val="22"/>
        </w:rPr>
      </w:pPr>
      <w:r>
        <w:rPr>
          <w:rFonts w:ascii="Arial" w:hAnsi="Arial"/>
          <w:b/>
          <w:sz w:val="22"/>
        </w:rPr>
        <w:t>Type 53 – Revision of substituted metering data</w:t>
      </w:r>
    </w:p>
    <w:p>
      <w:pPr>
        <w:pStyle w:val="ListParagraph"/>
        <w:numPr>
          <w:ilvl w:val="0"/>
          <w:numId w:val="574"/>
        </w:numPr>
        <w:tabs>
          <w:tab w:pos="1919" w:val="left" w:leader="none"/>
        </w:tabs>
        <w:spacing w:line="240" w:lineRule="auto" w:before="120" w:after="0"/>
        <w:ind w:left="1919" w:right="415" w:hanging="567"/>
        <w:jc w:val="both"/>
        <w:rPr>
          <w:sz w:val="24"/>
        </w:rPr>
      </w:pPr>
      <w:r>
        <w:rPr>
          <w:sz w:val="24"/>
        </w:rPr>
        <w:t>To perform a type 53 substitution, the </w:t>
      </w:r>
      <w:r>
        <w:rPr>
          <w:i/>
          <w:sz w:val="24"/>
        </w:rPr>
        <w:t>Metering Data Provider </w:t>
      </w:r>
      <w:r>
        <w:rPr>
          <w:sz w:val="24"/>
        </w:rPr>
        <w:t>must re- substitute or change </w:t>
      </w:r>
      <w:r>
        <w:rPr>
          <w:i/>
          <w:sz w:val="24"/>
        </w:rPr>
        <w:t>substituted metering data </w:t>
      </w:r>
      <w:r>
        <w:rPr>
          <w:sz w:val="24"/>
        </w:rPr>
        <w:t>to collecting an actual </w:t>
      </w:r>
      <w:r>
        <w:rPr>
          <w:i/>
          <w:sz w:val="24"/>
        </w:rPr>
        <w:t>meter </w:t>
      </w:r>
      <w:r>
        <w:rPr>
          <w:sz w:val="24"/>
        </w:rPr>
        <w:t>reading, where the financially responsible participant, the relevant </w:t>
      </w:r>
      <w:r>
        <w:rPr>
          <w:i/>
          <w:sz w:val="24"/>
        </w:rPr>
        <w:t>retailer </w:t>
      </w:r>
      <w:r>
        <w:rPr>
          <w:sz w:val="24"/>
        </w:rPr>
        <w:t>and the </w:t>
      </w:r>
      <w:r>
        <w:rPr>
          <w:i/>
          <w:sz w:val="24"/>
        </w:rPr>
        <w:t>Local Network Service Provider </w:t>
      </w:r>
      <w:r>
        <w:rPr>
          <w:sz w:val="24"/>
        </w:rPr>
        <w:t>have agreed, on the basis of site or end user information, that the original </w:t>
      </w:r>
      <w:r>
        <w:rPr>
          <w:i/>
          <w:sz w:val="24"/>
        </w:rPr>
        <w:t>substituted metering data </w:t>
      </w:r>
      <w:r>
        <w:rPr>
          <w:sz w:val="24"/>
        </w:rPr>
        <w:t>is in error and a correction is</w:t>
      </w:r>
      <w:r>
        <w:rPr>
          <w:spacing w:val="-1"/>
          <w:sz w:val="24"/>
        </w:rPr>
        <w:t> </w:t>
      </w:r>
      <w:r>
        <w:rPr>
          <w:sz w:val="24"/>
        </w:rPr>
        <w:t>required.</w:t>
      </w:r>
    </w:p>
    <w:p>
      <w:pPr>
        <w:spacing w:before="220"/>
        <w:ind w:left="1356" w:right="0" w:firstLine="0"/>
        <w:jc w:val="left"/>
        <w:rPr>
          <w:rFonts w:ascii="Arial" w:hAnsi="Arial"/>
          <w:b/>
          <w:sz w:val="22"/>
        </w:rPr>
      </w:pPr>
      <w:r>
        <w:rPr>
          <w:rFonts w:ascii="Arial" w:hAnsi="Arial"/>
          <w:b/>
          <w:sz w:val="22"/>
        </w:rPr>
        <w:t>Type 54 – Linear interpolation</w:t>
      </w:r>
    </w:p>
    <w:p>
      <w:pPr>
        <w:pStyle w:val="ListParagraph"/>
        <w:numPr>
          <w:ilvl w:val="0"/>
          <w:numId w:val="574"/>
        </w:numPr>
        <w:tabs>
          <w:tab w:pos="1919" w:val="left" w:leader="none"/>
        </w:tabs>
        <w:spacing w:line="240" w:lineRule="auto" w:before="120" w:after="0"/>
        <w:ind w:left="1919" w:right="414" w:hanging="567"/>
        <w:jc w:val="both"/>
        <w:rPr>
          <w:sz w:val="24"/>
        </w:rPr>
      </w:pPr>
      <w:r>
        <w:rPr>
          <w:sz w:val="24"/>
        </w:rPr>
        <w:t>To perform a type 54 substitution, the </w:t>
      </w:r>
      <w:r>
        <w:rPr>
          <w:i/>
          <w:sz w:val="24"/>
        </w:rPr>
        <w:t>Metering Data Provider </w:t>
      </w:r>
      <w:r>
        <w:rPr>
          <w:sz w:val="24"/>
        </w:rPr>
        <w:t>may substitute </w:t>
      </w:r>
      <w:r>
        <w:rPr>
          <w:i/>
          <w:sz w:val="24"/>
        </w:rPr>
        <w:t>metering data </w:t>
      </w:r>
      <w:r>
        <w:rPr>
          <w:sz w:val="24"/>
        </w:rPr>
        <w:t>for intervals up to, but not exceeding 2 hours, by using simple linear</w:t>
      </w:r>
      <w:r>
        <w:rPr>
          <w:spacing w:val="-2"/>
          <w:sz w:val="24"/>
        </w:rPr>
        <w:t> </w:t>
      </w:r>
      <w:r>
        <w:rPr>
          <w:sz w:val="24"/>
        </w:rPr>
        <w:t>interpolation.</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hAnsi="Arial"/>
          <w:b/>
          <w:sz w:val="22"/>
        </w:rPr>
      </w:pPr>
      <w:r>
        <w:rPr>
          <w:rFonts w:ascii="Arial" w:hAnsi="Arial"/>
          <w:b/>
          <w:sz w:val="22"/>
        </w:rPr>
        <w:t>Type 55 – Agreed substitution method</w:t>
      </w:r>
    </w:p>
    <w:p>
      <w:pPr>
        <w:pStyle w:val="ListParagraph"/>
        <w:numPr>
          <w:ilvl w:val="0"/>
          <w:numId w:val="574"/>
        </w:numPr>
        <w:tabs>
          <w:tab w:pos="1920" w:val="left" w:leader="none"/>
        </w:tabs>
        <w:spacing w:line="240" w:lineRule="auto" w:before="120" w:after="0"/>
        <w:ind w:left="1919" w:right="414" w:hanging="567"/>
        <w:jc w:val="both"/>
        <w:rPr>
          <w:sz w:val="24"/>
        </w:rPr>
      </w:pPr>
      <w:r>
        <w:rPr>
          <w:sz w:val="24"/>
        </w:rPr>
        <w:t>To perform a type 55 substitution, the </w:t>
      </w:r>
      <w:r>
        <w:rPr>
          <w:i/>
          <w:sz w:val="24"/>
        </w:rPr>
        <w:t>Metering Data Provider </w:t>
      </w:r>
      <w:r>
        <w:rPr>
          <w:sz w:val="24"/>
        </w:rPr>
        <w:t>may undertake to use another method of substitution (which may be a modification of an existing substitution type), where none of the existing substitution types apply, subject to using reasonable endeavours to form an agreement with the financially responsible participant, the relevant </w:t>
      </w:r>
      <w:r>
        <w:rPr>
          <w:i/>
          <w:sz w:val="24"/>
        </w:rPr>
        <w:t>retailer </w:t>
      </w:r>
      <w:r>
        <w:rPr>
          <w:sz w:val="24"/>
        </w:rPr>
        <w:t>and </w:t>
      </w:r>
      <w:r>
        <w:rPr>
          <w:i/>
          <w:sz w:val="24"/>
        </w:rPr>
        <w:t>Local Network Service Provider </w:t>
      </w:r>
      <w:r>
        <w:rPr>
          <w:sz w:val="24"/>
        </w:rPr>
        <w:t>for the </w:t>
      </w:r>
      <w:r>
        <w:rPr>
          <w:i/>
          <w:sz w:val="24"/>
        </w:rPr>
        <w:t>connection point</w:t>
      </w:r>
      <w:r>
        <w:rPr>
          <w:sz w:val="24"/>
        </w:rPr>
        <w:t>. The specifics of this substitution type may involve a globally applied</w:t>
      </w:r>
      <w:r>
        <w:rPr>
          <w:spacing w:val="-4"/>
          <w:sz w:val="24"/>
        </w:rPr>
        <w:t> </w:t>
      </w:r>
      <w:r>
        <w:rPr>
          <w:sz w:val="24"/>
        </w:rPr>
        <w:t>method.</w:t>
      </w:r>
    </w:p>
    <w:p>
      <w:pPr>
        <w:spacing w:before="220"/>
        <w:ind w:left="1356" w:right="0" w:firstLine="0"/>
        <w:jc w:val="left"/>
        <w:rPr>
          <w:rFonts w:ascii="Arial" w:hAnsi="Arial"/>
          <w:b/>
          <w:sz w:val="22"/>
        </w:rPr>
      </w:pPr>
      <w:r>
        <w:rPr>
          <w:rFonts w:ascii="Arial" w:hAnsi="Arial"/>
          <w:b/>
          <w:sz w:val="22"/>
        </w:rPr>
        <w:t>Type 56 – Prior to first reading – agreed method</w:t>
      </w:r>
    </w:p>
    <w:p>
      <w:pPr>
        <w:pStyle w:val="ListParagraph"/>
        <w:numPr>
          <w:ilvl w:val="0"/>
          <w:numId w:val="574"/>
        </w:numPr>
        <w:tabs>
          <w:tab w:pos="1919" w:val="left" w:leader="none"/>
        </w:tabs>
        <w:spacing w:line="240" w:lineRule="auto" w:before="120" w:after="0"/>
        <w:ind w:left="1919" w:right="415" w:hanging="567"/>
        <w:jc w:val="both"/>
        <w:rPr>
          <w:sz w:val="24"/>
        </w:rPr>
      </w:pPr>
      <w:r>
        <w:rPr>
          <w:sz w:val="24"/>
        </w:rPr>
        <w:t>Prior to the first actual </w:t>
      </w:r>
      <w:r>
        <w:rPr>
          <w:i/>
          <w:sz w:val="24"/>
        </w:rPr>
        <w:t>meter </w:t>
      </w:r>
      <w:r>
        <w:rPr>
          <w:sz w:val="24"/>
        </w:rPr>
        <w:t>reading and where no historical data exists for the </w:t>
      </w:r>
      <w:r>
        <w:rPr>
          <w:i/>
          <w:sz w:val="24"/>
        </w:rPr>
        <w:t>connection point</w:t>
      </w:r>
      <w:r>
        <w:rPr>
          <w:sz w:val="24"/>
        </w:rPr>
        <w:t>, the </w:t>
      </w:r>
      <w:r>
        <w:rPr>
          <w:i/>
          <w:sz w:val="24"/>
        </w:rPr>
        <w:t>Metering Data Provider </w:t>
      </w:r>
      <w:r>
        <w:rPr>
          <w:sz w:val="24"/>
        </w:rPr>
        <w:t>may provide a substitution or estimation for the </w:t>
      </w:r>
      <w:r>
        <w:rPr>
          <w:i/>
          <w:sz w:val="24"/>
        </w:rPr>
        <w:t>interval metering data </w:t>
      </w:r>
      <w:r>
        <w:rPr>
          <w:sz w:val="24"/>
        </w:rPr>
        <w:t>using a method agreed between the financially responsible participant, the relevant </w:t>
      </w:r>
      <w:r>
        <w:rPr>
          <w:i/>
          <w:sz w:val="24"/>
        </w:rPr>
        <w:t>retailer </w:t>
      </w:r>
      <w:r>
        <w:rPr>
          <w:sz w:val="24"/>
        </w:rPr>
        <w:t>and </w:t>
      </w:r>
      <w:r>
        <w:rPr>
          <w:i/>
          <w:sz w:val="24"/>
        </w:rPr>
        <w:t>Local Network Service</w:t>
      </w:r>
      <w:r>
        <w:rPr>
          <w:i/>
          <w:spacing w:val="-2"/>
          <w:sz w:val="24"/>
        </w:rPr>
        <w:t> </w:t>
      </w:r>
      <w:r>
        <w:rPr>
          <w:i/>
          <w:sz w:val="24"/>
        </w:rPr>
        <w:t>Provider</w:t>
      </w:r>
      <w:r>
        <w:rPr>
          <w:sz w:val="24"/>
        </w:rPr>
        <w:t>.</w:t>
      </w:r>
    </w:p>
    <w:p>
      <w:pPr>
        <w:spacing w:before="220"/>
        <w:ind w:left="1356" w:right="0" w:firstLine="0"/>
        <w:jc w:val="left"/>
        <w:rPr>
          <w:rFonts w:ascii="Arial" w:hAnsi="Arial"/>
          <w:b/>
          <w:sz w:val="22"/>
        </w:rPr>
      </w:pPr>
      <w:r>
        <w:rPr>
          <w:rFonts w:ascii="Arial" w:hAnsi="Arial"/>
          <w:b/>
          <w:sz w:val="22"/>
        </w:rPr>
        <w:t>Type 57 – Prior to first reading – customer class method</w:t>
      </w:r>
    </w:p>
    <w:p>
      <w:pPr>
        <w:pStyle w:val="Heading4"/>
        <w:numPr>
          <w:ilvl w:val="0"/>
          <w:numId w:val="574"/>
        </w:numPr>
        <w:tabs>
          <w:tab w:pos="1918" w:val="left" w:leader="none"/>
          <w:tab w:pos="1919" w:val="left" w:leader="none"/>
        </w:tabs>
        <w:spacing w:line="240" w:lineRule="auto" w:before="120" w:after="0"/>
        <w:ind w:left="1918" w:right="0" w:hanging="567"/>
        <w:jc w:val="left"/>
        <w:rPr>
          <w:rFonts w:ascii="Times New Roman"/>
          <w:b w:val="0"/>
        </w:rPr>
      </w:pPr>
      <w:r>
        <w:rPr>
          <w:rFonts w:ascii="Times New Roman"/>
          <w:b w:val="0"/>
        </w:rPr>
        <w:t>[</w:t>
      </w:r>
      <w:r>
        <w:rPr>
          <w:rFonts w:ascii="Times New Roman"/>
        </w:rPr>
        <w:t>Not</w:t>
      </w:r>
      <w:r>
        <w:rPr>
          <w:rFonts w:ascii="Times New Roman"/>
          <w:spacing w:val="-2"/>
        </w:rPr>
        <w:t> </w:t>
      </w:r>
      <w:r>
        <w:rPr>
          <w:rFonts w:ascii="Times New Roman"/>
        </w:rPr>
        <w:t>used</w:t>
      </w:r>
      <w:r>
        <w:rPr>
          <w:rFonts w:ascii="Times New Roman"/>
          <w:b w:val="0"/>
        </w:rPr>
        <w:t>]</w:t>
      </w:r>
    </w:p>
    <w:p>
      <w:pPr>
        <w:spacing w:before="220"/>
        <w:ind w:left="1356" w:right="0" w:firstLine="0"/>
        <w:jc w:val="left"/>
        <w:rPr>
          <w:rFonts w:ascii="Arial" w:hAnsi="Arial"/>
          <w:b/>
          <w:sz w:val="22"/>
        </w:rPr>
      </w:pPr>
      <w:r>
        <w:rPr>
          <w:rFonts w:ascii="Arial" w:hAnsi="Arial"/>
          <w:b/>
          <w:sz w:val="22"/>
        </w:rPr>
        <w:t>Type 58 – Zero</w:t>
      </w:r>
    </w:p>
    <w:p>
      <w:pPr>
        <w:pStyle w:val="ListParagraph"/>
        <w:numPr>
          <w:ilvl w:val="0"/>
          <w:numId w:val="574"/>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undertake substitutions or estimations of 'zero' where either the </w:t>
      </w:r>
      <w:r>
        <w:rPr>
          <w:i/>
          <w:sz w:val="24"/>
        </w:rPr>
        <w:t>Local Network Service Provider </w:t>
      </w:r>
      <w:r>
        <w:rPr>
          <w:sz w:val="24"/>
        </w:rPr>
        <w:t>or the </w:t>
      </w:r>
      <w:r>
        <w:rPr>
          <w:i/>
          <w:sz w:val="24"/>
        </w:rPr>
        <w:t>Metering </w:t>
      </w:r>
      <w:r>
        <w:rPr>
          <w:i/>
          <w:sz w:val="24"/>
        </w:rPr>
        <w:t>Provider </w:t>
      </w:r>
      <w:r>
        <w:rPr>
          <w:sz w:val="24"/>
        </w:rPr>
        <w:t>has informed the </w:t>
      </w:r>
      <w:r>
        <w:rPr>
          <w:i/>
          <w:sz w:val="24"/>
        </w:rPr>
        <w:t>Metering Data Provider </w:t>
      </w:r>
      <w:r>
        <w:rPr>
          <w:sz w:val="24"/>
        </w:rPr>
        <w:t>of a de-energised </w:t>
      </w:r>
      <w:r>
        <w:rPr>
          <w:i/>
          <w:sz w:val="24"/>
        </w:rPr>
        <w:t>connection point </w:t>
      </w:r>
      <w:r>
        <w:rPr>
          <w:sz w:val="24"/>
        </w:rPr>
        <w:t>or an inactive </w:t>
      </w:r>
      <w:r>
        <w:rPr>
          <w:i/>
          <w:sz w:val="24"/>
        </w:rPr>
        <w:t>meter </w:t>
      </w:r>
      <w:r>
        <w:rPr>
          <w:sz w:val="24"/>
        </w:rPr>
        <w:t>and where the consumption is known to be</w:t>
      </w:r>
      <w:r>
        <w:rPr>
          <w:spacing w:val="-1"/>
          <w:sz w:val="24"/>
        </w:rPr>
        <w:t> </w:t>
      </w:r>
      <w:r>
        <w:rPr>
          <w:sz w:val="24"/>
        </w:rPr>
        <w:t>zero.</w:t>
      </w:r>
    </w:p>
    <w:p>
      <w:pPr>
        <w:pStyle w:val="BodyText"/>
        <w:spacing w:before="10"/>
        <w:ind w:firstLine="0"/>
        <w:jc w:val="left"/>
        <w:rPr>
          <w:sz w:val="20"/>
        </w:rPr>
      </w:pPr>
    </w:p>
    <w:p>
      <w:pPr>
        <w:pStyle w:val="Heading4"/>
        <w:ind w:left="1352" w:right="415"/>
      </w:pPr>
      <w:bookmarkStart w:name="S7A.7.11 Substitution and estimation for" w:id="2032"/>
      <w:bookmarkEnd w:id="2032"/>
      <w:r>
        <w:rPr>
          <w:b w:val="0"/>
        </w:rPr>
      </w:r>
      <w:bookmarkStart w:name="_bookmark840" w:id="2033"/>
      <w:bookmarkEnd w:id="2033"/>
      <w:r>
        <w:rPr>
          <w:b w:val="0"/>
        </w:rPr>
      </w:r>
      <w:r>
        <w:rPr/>
        <w:t>S7A.7.11 Substitution and estimation for metering installations with accumulated metering data</w:t>
      </w:r>
    </w:p>
    <w:p>
      <w:pPr>
        <w:pStyle w:val="BodyText"/>
        <w:spacing w:before="10"/>
        <w:ind w:firstLine="0"/>
        <w:jc w:val="left"/>
        <w:rPr>
          <w:rFonts w:ascii="Arial"/>
          <w:b/>
          <w:sz w:val="20"/>
        </w:rPr>
      </w:pPr>
    </w:p>
    <w:p>
      <w:pPr>
        <w:pStyle w:val="Heading4"/>
        <w:tabs>
          <w:tab w:pos="1658" w:val="left" w:leader="none"/>
        </w:tabs>
        <w:ind w:left="218" w:firstLine="0"/>
      </w:pPr>
      <w:bookmarkStart w:name="S7A.7.11.1 Substitution and estimation r" w:id="2034"/>
      <w:bookmarkEnd w:id="2034"/>
      <w:r>
        <w:rPr>
          <w:b w:val="0"/>
        </w:rPr>
      </w:r>
      <w:bookmarkStart w:name="_bookmark841" w:id="2035"/>
      <w:bookmarkEnd w:id="2035"/>
      <w:r>
        <w:rPr>
          <w:b w:val="0"/>
        </w:rPr>
      </w:r>
      <w:r>
        <w:rPr/>
        <w:t>S7A.7.11.1</w:t>
        <w:tab/>
        <w:t>Substitution and estimation</w:t>
      </w:r>
      <w:r>
        <w:rPr>
          <w:spacing w:val="-3"/>
        </w:rPr>
        <w:t> </w:t>
      </w:r>
      <w:r>
        <w:rPr/>
        <w:t>rules</w:t>
      </w:r>
    </w:p>
    <w:p>
      <w:pPr>
        <w:pStyle w:val="ListParagraph"/>
        <w:numPr>
          <w:ilvl w:val="0"/>
          <w:numId w:val="577"/>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replace all </w:t>
      </w:r>
      <w:r>
        <w:rPr>
          <w:i/>
          <w:sz w:val="24"/>
        </w:rPr>
        <w:t>estimated metering data </w:t>
      </w:r>
      <w:r>
        <w:rPr>
          <w:sz w:val="24"/>
        </w:rPr>
        <w:t>with either actual </w:t>
      </w:r>
      <w:r>
        <w:rPr>
          <w:i/>
          <w:sz w:val="24"/>
        </w:rPr>
        <w:t>metering data </w:t>
      </w:r>
      <w:r>
        <w:rPr>
          <w:sz w:val="24"/>
        </w:rPr>
        <w:t>or </w:t>
      </w:r>
      <w:r>
        <w:rPr>
          <w:i/>
          <w:sz w:val="24"/>
        </w:rPr>
        <w:t>substituted metering data</w:t>
      </w:r>
      <w:r>
        <w:rPr>
          <w:i/>
          <w:spacing w:val="-6"/>
          <w:sz w:val="24"/>
        </w:rPr>
        <w:t> </w:t>
      </w:r>
      <w:r>
        <w:rPr>
          <w:sz w:val="24"/>
        </w:rPr>
        <w:t>when:</w:t>
      </w:r>
    </w:p>
    <w:p>
      <w:pPr>
        <w:pStyle w:val="ListParagraph"/>
        <w:numPr>
          <w:ilvl w:val="1"/>
          <w:numId w:val="577"/>
        </w:numPr>
        <w:tabs>
          <w:tab w:pos="2486" w:val="left" w:leader="none"/>
        </w:tabs>
        <w:spacing w:line="240" w:lineRule="auto" w:before="120" w:after="0"/>
        <w:ind w:left="2486" w:right="414" w:hanging="567"/>
        <w:jc w:val="both"/>
        <w:rPr>
          <w:sz w:val="24"/>
        </w:rPr>
      </w:pPr>
      <w:r>
        <w:rPr>
          <w:sz w:val="24"/>
        </w:rPr>
        <w:t>actual </w:t>
      </w:r>
      <w:r>
        <w:rPr>
          <w:i/>
          <w:sz w:val="24"/>
        </w:rPr>
        <w:t>metering data </w:t>
      </w:r>
      <w:r>
        <w:rPr>
          <w:sz w:val="24"/>
        </w:rPr>
        <w:t>covering all or part of the estimation period is obtained;</w:t>
      </w:r>
    </w:p>
    <w:p>
      <w:pPr>
        <w:pStyle w:val="ListParagraph"/>
        <w:numPr>
          <w:ilvl w:val="1"/>
          <w:numId w:val="577"/>
        </w:numPr>
        <w:tabs>
          <w:tab w:pos="2486" w:val="left" w:leader="none"/>
        </w:tabs>
        <w:spacing w:line="240" w:lineRule="auto" w:before="120" w:after="0"/>
        <w:ind w:left="2486" w:right="416" w:hanging="567"/>
        <w:jc w:val="both"/>
        <w:rPr>
          <w:sz w:val="24"/>
        </w:rPr>
      </w:pPr>
      <w:r>
        <w:rPr>
          <w:sz w:val="24"/>
        </w:rPr>
        <w:t>the scheduled </w:t>
      </w:r>
      <w:r>
        <w:rPr>
          <w:i/>
          <w:sz w:val="24"/>
        </w:rPr>
        <w:t>meter </w:t>
      </w:r>
      <w:r>
        <w:rPr>
          <w:sz w:val="24"/>
        </w:rPr>
        <w:t>reading could not be undertaken, by replacing the </w:t>
      </w:r>
      <w:r>
        <w:rPr>
          <w:i/>
          <w:sz w:val="24"/>
        </w:rPr>
        <w:t>estimated metering data </w:t>
      </w:r>
      <w:r>
        <w:rPr>
          <w:sz w:val="24"/>
        </w:rPr>
        <w:t>with </w:t>
      </w:r>
      <w:r>
        <w:rPr>
          <w:i/>
          <w:sz w:val="24"/>
        </w:rPr>
        <w:t>substituted metering data </w:t>
      </w:r>
      <w:r>
        <w:rPr>
          <w:sz w:val="24"/>
        </w:rPr>
        <w:t>with a quality flag of 'F';</w:t>
      </w:r>
      <w:r>
        <w:rPr>
          <w:spacing w:val="-2"/>
          <w:sz w:val="24"/>
        </w:rPr>
        <w:t> </w:t>
      </w:r>
      <w:r>
        <w:rPr>
          <w:sz w:val="24"/>
        </w:rPr>
        <w:t>or</w:t>
      </w:r>
    </w:p>
    <w:p>
      <w:pPr>
        <w:pStyle w:val="ListParagraph"/>
        <w:numPr>
          <w:ilvl w:val="1"/>
          <w:numId w:val="577"/>
        </w:numPr>
        <w:tabs>
          <w:tab w:pos="2486" w:val="left" w:leader="none"/>
        </w:tabs>
        <w:spacing w:line="240" w:lineRule="auto" w:before="120" w:after="0"/>
        <w:ind w:left="2486" w:right="415" w:hanging="567"/>
        <w:jc w:val="both"/>
        <w:rPr>
          <w:sz w:val="24"/>
        </w:rPr>
      </w:pPr>
      <w:r>
        <w:rPr>
          <w:sz w:val="24"/>
        </w:rPr>
        <w:t>the scheduled </w:t>
      </w:r>
      <w:r>
        <w:rPr>
          <w:i/>
          <w:sz w:val="24"/>
        </w:rPr>
        <w:t>meter </w:t>
      </w:r>
      <w:r>
        <w:rPr>
          <w:sz w:val="24"/>
        </w:rPr>
        <w:t>reading could not be undertaken, by replacing the </w:t>
      </w:r>
      <w:r>
        <w:rPr>
          <w:i/>
          <w:sz w:val="24"/>
        </w:rPr>
        <w:t>estimated metering data </w:t>
      </w:r>
      <w:r>
        <w:rPr>
          <w:sz w:val="24"/>
        </w:rPr>
        <w:t>with </w:t>
      </w:r>
      <w:r>
        <w:rPr>
          <w:i/>
          <w:sz w:val="24"/>
        </w:rPr>
        <w:t>substituted metering data </w:t>
      </w:r>
      <w:r>
        <w:rPr>
          <w:sz w:val="24"/>
        </w:rPr>
        <w:t>with a quality flag of 'F' unless it was identified that the </w:t>
      </w:r>
      <w:r>
        <w:rPr>
          <w:i/>
          <w:sz w:val="24"/>
        </w:rPr>
        <w:t>metering installation </w:t>
      </w:r>
      <w:r>
        <w:rPr>
          <w:sz w:val="24"/>
        </w:rPr>
        <w:t>no longer has an accumulation </w:t>
      </w:r>
      <w:r>
        <w:rPr>
          <w:i/>
          <w:sz w:val="24"/>
        </w:rPr>
        <w:t>meter </w:t>
      </w:r>
      <w:r>
        <w:rPr>
          <w:sz w:val="24"/>
        </w:rPr>
        <w:t>installed, in which case a quality flag of 'S' may be</w:t>
      </w:r>
      <w:r>
        <w:rPr>
          <w:spacing w:val="-2"/>
          <w:sz w:val="24"/>
        </w:rPr>
        <w:t> </w:t>
      </w:r>
      <w:r>
        <w:rPr>
          <w:sz w:val="24"/>
        </w:rPr>
        <w:t>used.</w:t>
      </w:r>
    </w:p>
    <w:p>
      <w:pPr>
        <w:pStyle w:val="ListParagraph"/>
        <w:numPr>
          <w:ilvl w:val="0"/>
          <w:numId w:val="577"/>
        </w:numPr>
        <w:tabs>
          <w:tab w:pos="1919" w:val="left" w:leader="none"/>
        </w:tabs>
        <w:spacing w:line="240" w:lineRule="auto" w:before="120" w:after="0"/>
        <w:ind w:left="1919" w:right="415" w:hanging="567"/>
        <w:jc w:val="both"/>
        <w:rPr>
          <w:sz w:val="24"/>
        </w:rPr>
      </w:pPr>
      <w:r>
        <w:rPr>
          <w:sz w:val="24"/>
        </w:rPr>
        <w:t>Any final </w:t>
      </w:r>
      <w:r>
        <w:rPr>
          <w:i/>
          <w:sz w:val="24"/>
        </w:rPr>
        <w:t>substituted metering data </w:t>
      </w:r>
      <w:r>
        <w:rPr>
          <w:sz w:val="24"/>
        </w:rPr>
        <w:t>provided by the </w:t>
      </w:r>
      <w:r>
        <w:rPr>
          <w:i/>
          <w:sz w:val="24"/>
        </w:rPr>
        <w:t>Metering Data  </w:t>
      </w:r>
      <w:r>
        <w:rPr>
          <w:i/>
          <w:sz w:val="24"/>
        </w:rPr>
        <w:t>Provider </w:t>
      </w:r>
      <w:r>
        <w:rPr>
          <w:sz w:val="24"/>
        </w:rPr>
        <w:t>must be re-validated, updated or re-calculated by the </w:t>
      </w:r>
      <w:r>
        <w:rPr>
          <w:i/>
          <w:sz w:val="24"/>
        </w:rPr>
        <w:t>Metering </w:t>
      </w:r>
      <w:r>
        <w:rPr>
          <w:i/>
          <w:sz w:val="24"/>
        </w:rPr>
        <w:t>Data Provider</w:t>
      </w:r>
      <w:r>
        <w:rPr>
          <w:i/>
          <w:spacing w:val="-2"/>
          <w:sz w:val="24"/>
        </w:rPr>
        <w:t> </w:t>
      </w:r>
      <w:r>
        <w:rPr>
          <w:sz w:val="24"/>
        </w:rPr>
        <w:t>when:</w:t>
      </w:r>
    </w:p>
    <w:p>
      <w:pPr>
        <w:pStyle w:val="ListParagraph"/>
        <w:numPr>
          <w:ilvl w:val="1"/>
          <w:numId w:val="577"/>
        </w:numPr>
        <w:tabs>
          <w:tab w:pos="2066" w:val="left" w:leader="none"/>
          <w:tab w:pos="2486" w:val="left" w:leader="none"/>
        </w:tabs>
        <w:spacing w:line="240" w:lineRule="auto" w:before="120" w:after="0"/>
        <w:ind w:left="2485" w:right="0" w:hanging="986"/>
        <w:jc w:val="left"/>
        <w:rPr>
          <w:i/>
          <w:sz w:val="24"/>
        </w:rPr>
      </w:pPr>
      <w:r>
        <w:rPr>
          <w:sz w:val="24"/>
        </w:rPr>
        <w:t>the value of the </w:t>
      </w:r>
      <w:r>
        <w:rPr>
          <w:i/>
          <w:sz w:val="24"/>
        </w:rPr>
        <w:t>metering data </w:t>
      </w:r>
      <w:r>
        <w:rPr>
          <w:sz w:val="24"/>
        </w:rPr>
        <w:t>obtained at the next actual</w:t>
      </w:r>
      <w:r>
        <w:rPr>
          <w:spacing w:val="55"/>
          <w:sz w:val="24"/>
        </w:rPr>
        <w:t> </w:t>
      </w:r>
      <w:r>
        <w:rPr>
          <w:i/>
          <w:sz w:val="24"/>
        </w:rPr>
        <w:t>meter</w:t>
      </w:r>
    </w:p>
    <w:p>
      <w:pPr>
        <w:pStyle w:val="BodyText"/>
        <w:spacing w:before="0"/>
        <w:ind w:left="2366" w:right="869" w:firstLine="0"/>
        <w:jc w:val="center"/>
      </w:pPr>
      <w:r>
        <w:rPr/>
        <w:t>reading is found to be less than the previous final substitution; or</w:t>
      </w:r>
    </w:p>
    <w:p>
      <w:pPr>
        <w:spacing w:after="0"/>
        <w:jc w:val="center"/>
        <w:sectPr>
          <w:pgSz w:w="11910" w:h="16840"/>
          <w:pgMar w:header="686" w:footer="637" w:top="1320" w:bottom="820" w:left="1200" w:right="1000"/>
        </w:sectPr>
      </w:pPr>
    </w:p>
    <w:p>
      <w:pPr>
        <w:pStyle w:val="ListParagraph"/>
        <w:numPr>
          <w:ilvl w:val="1"/>
          <w:numId w:val="577"/>
        </w:numPr>
        <w:tabs>
          <w:tab w:pos="2486" w:val="left" w:leader="none"/>
        </w:tabs>
        <w:spacing w:line="240" w:lineRule="auto" w:before="83" w:after="0"/>
        <w:ind w:left="2486" w:right="414" w:hanging="567"/>
        <w:jc w:val="both"/>
        <w:rPr>
          <w:sz w:val="24"/>
        </w:rPr>
      </w:pPr>
      <w:r>
        <w:rPr>
          <w:sz w:val="24"/>
        </w:rPr>
        <w:t>the final substituted value is disputed and following consultation and agreement with the financially responsible participant, the relevant </w:t>
      </w:r>
      <w:r>
        <w:rPr>
          <w:i/>
          <w:sz w:val="24"/>
        </w:rPr>
        <w:t>retailer </w:t>
      </w:r>
      <w:r>
        <w:rPr>
          <w:sz w:val="24"/>
        </w:rPr>
        <w:t>and the </w:t>
      </w:r>
      <w:r>
        <w:rPr>
          <w:i/>
          <w:sz w:val="24"/>
        </w:rPr>
        <w:t>Local Network Service Provider </w:t>
      </w:r>
      <w:r>
        <w:rPr>
          <w:sz w:val="24"/>
        </w:rPr>
        <w:t>for the </w:t>
      </w:r>
      <w:r>
        <w:rPr>
          <w:i/>
          <w:sz w:val="24"/>
        </w:rPr>
        <w:t>connection </w:t>
      </w:r>
      <w:r>
        <w:rPr>
          <w:i/>
          <w:sz w:val="24"/>
        </w:rPr>
        <w:t>point</w:t>
      </w:r>
      <w:r>
        <w:rPr>
          <w:sz w:val="24"/>
        </w:rPr>
        <w:t>, the new agreed value will be determined using type 64 substitution.</w:t>
      </w:r>
    </w:p>
    <w:p>
      <w:pPr>
        <w:pStyle w:val="ListParagraph"/>
        <w:numPr>
          <w:ilvl w:val="0"/>
          <w:numId w:val="577"/>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obtain clear and concise identification as to the cause of any missing or erroneous </w:t>
      </w:r>
      <w:r>
        <w:rPr>
          <w:i/>
          <w:sz w:val="24"/>
        </w:rPr>
        <w:t>metering data </w:t>
      </w:r>
      <w:r>
        <w:rPr>
          <w:sz w:val="24"/>
        </w:rPr>
        <w:t>for which substitutions are</w:t>
      </w:r>
      <w:r>
        <w:rPr>
          <w:spacing w:val="-2"/>
          <w:sz w:val="24"/>
        </w:rPr>
        <w:t> </w:t>
      </w:r>
      <w:r>
        <w:rPr>
          <w:sz w:val="24"/>
        </w:rPr>
        <w:t>required.</w:t>
      </w:r>
    </w:p>
    <w:p>
      <w:pPr>
        <w:pStyle w:val="ListParagraph"/>
        <w:numPr>
          <w:ilvl w:val="0"/>
          <w:numId w:val="577"/>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may apply the following substitution and estimation</w:t>
      </w:r>
      <w:r>
        <w:rPr>
          <w:spacing w:val="-1"/>
          <w:sz w:val="24"/>
        </w:rPr>
        <w:t> </w:t>
      </w:r>
      <w:r>
        <w:rPr>
          <w:sz w:val="24"/>
        </w:rPr>
        <w:t>types:</w:t>
      </w:r>
    </w:p>
    <w:p>
      <w:pPr>
        <w:pStyle w:val="ListParagraph"/>
        <w:numPr>
          <w:ilvl w:val="1"/>
          <w:numId w:val="577"/>
        </w:numPr>
        <w:tabs>
          <w:tab w:pos="2486" w:val="left" w:leader="none"/>
        </w:tabs>
        <w:spacing w:line="240" w:lineRule="auto" w:before="120" w:after="0"/>
        <w:ind w:left="2485" w:right="0" w:hanging="567"/>
        <w:jc w:val="both"/>
        <w:rPr>
          <w:sz w:val="24"/>
        </w:rPr>
      </w:pPr>
      <w:r>
        <w:rPr>
          <w:sz w:val="24"/>
        </w:rPr>
        <w:t>substitutions may be type 61, 62, 63, 64, 65, 66, 67 or</w:t>
      </w:r>
      <w:r>
        <w:rPr>
          <w:spacing w:val="-2"/>
          <w:sz w:val="24"/>
        </w:rPr>
        <w:t> </w:t>
      </w:r>
      <w:r>
        <w:rPr>
          <w:sz w:val="24"/>
        </w:rPr>
        <w:t>68;</w:t>
      </w:r>
    </w:p>
    <w:p>
      <w:pPr>
        <w:pStyle w:val="ListParagraph"/>
        <w:numPr>
          <w:ilvl w:val="1"/>
          <w:numId w:val="577"/>
        </w:numPr>
        <w:tabs>
          <w:tab w:pos="2486" w:val="left" w:leader="none"/>
        </w:tabs>
        <w:spacing w:line="240" w:lineRule="auto" w:before="120" w:after="0"/>
        <w:ind w:left="2485" w:right="0" w:hanging="567"/>
        <w:jc w:val="both"/>
        <w:rPr>
          <w:sz w:val="24"/>
        </w:rPr>
      </w:pPr>
      <w:r>
        <w:rPr>
          <w:sz w:val="24"/>
        </w:rPr>
        <w:t>estimations may be type 61, 62, 63, 65 or</w:t>
      </w:r>
      <w:r>
        <w:rPr>
          <w:spacing w:val="-1"/>
          <w:sz w:val="24"/>
        </w:rPr>
        <w:t> </w:t>
      </w:r>
      <w:r>
        <w:rPr>
          <w:sz w:val="24"/>
        </w:rPr>
        <w:t>68.</w:t>
      </w:r>
    </w:p>
    <w:p>
      <w:pPr>
        <w:spacing w:before="220"/>
        <w:ind w:left="1356" w:right="0" w:firstLine="0"/>
        <w:jc w:val="left"/>
        <w:rPr>
          <w:rFonts w:ascii="Arial"/>
          <w:b/>
          <w:sz w:val="22"/>
        </w:rPr>
      </w:pPr>
      <w:r>
        <w:rPr>
          <w:rFonts w:ascii="Arial"/>
          <w:b/>
          <w:sz w:val="22"/>
        </w:rPr>
        <w:t>When to use Type 62 substitution</w:t>
      </w:r>
    </w:p>
    <w:p>
      <w:pPr>
        <w:pStyle w:val="ListParagraph"/>
        <w:numPr>
          <w:ilvl w:val="0"/>
          <w:numId w:val="577"/>
        </w:numPr>
        <w:tabs>
          <w:tab w:pos="1919" w:val="left" w:leader="none"/>
        </w:tabs>
        <w:spacing w:line="240" w:lineRule="auto" w:before="120" w:after="0"/>
        <w:ind w:left="1919" w:right="415" w:hanging="567"/>
        <w:jc w:val="both"/>
        <w:rPr>
          <w:sz w:val="24"/>
        </w:rPr>
      </w:pPr>
      <w:r>
        <w:rPr>
          <w:sz w:val="24"/>
        </w:rPr>
        <w:t>Where the scheduled </w:t>
      </w:r>
      <w:r>
        <w:rPr>
          <w:i/>
          <w:sz w:val="24"/>
        </w:rPr>
        <w:t>meter </w:t>
      </w:r>
      <w:r>
        <w:rPr>
          <w:sz w:val="24"/>
        </w:rPr>
        <w:t>reading cycle is less frequent than monthly, the </w:t>
      </w:r>
      <w:r>
        <w:rPr>
          <w:i/>
          <w:sz w:val="24"/>
        </w:rPr>
        <w:t>Metering Data Provider </w:t>
      </w:r>
      <w:r>
        <w:rPr>
          <w:sz w:val="24"/>
        </w:rPr>
        <w:t>may only use a type 62 substitution or estimation method when </w:t>
      </w:r>
      <w:r>
        <w:rPr>
          <w:i/>
          <w:sz w:val="24"/>
        </w:rPr>
        <w:t>metering data </w:t>
      </w:r>
      <w:r>
        <w:rPr>
          <w:sz w:val="24"/>
        </w:rPr>
        <w:t>from the same, or similar, </w:t>
      </w:r>
      <w:r>
        <w:rPr>
          <w:i/>
          <w:sz w:val="24"/>
        </w:rPr>
        <w:t>meter </w:t>
      </w:r>
      <w:r>
        <w:rPr>
          <w:sz w:val="24"/>
        </w:rPr>
        <w:t>reading period last year (that is, type 61) is not</w:t>
      </w:r>
      <w:r>
        <w:rPr>
          <w:spacing w:val="-2"/>
          <w:sz w:val="24"/>
        </w:rPr>
        <w:t> </w:t>
      </w:r>
      <w:r>
        <w:rPr>
          <w:sz w:val="24"/>
        </w:rPr>
        <w:t>available.</w:t>
      </w:r>
    </w:p>
    <w:p>
      <w:pPr>
        <w:spacing w:before="220"/>
        <w:ind w:left="1356" w:right="0" w:firstLine="0"/>
        <w:jc w:val="left"/>
        <w:rPr>
          <w:rFonts w:ascii="Arial"/>
          <w:b/>
          <w:sz w:val="22"/>
        </w:rPr>
      </w:pPr>
      <w:r>
        <w:rPr>
          <w:rFonts w:ascii="Arial"/>
          <w:b/>
          <w:sz w:val="22"/>
        </w:rPr>
        <w:t>When to use Type 63 substitution</w:t>
      </w:r>
    </w:p>
    <w:p>
      <w:pPr>
        <w:pStyle w:val="ListParagraph"/>
        <w:numPr>
          <w:ilvl w:val="0"/>
          <w:numId w:val="577"/>
        </w:numPr>
        <w:tabs>
          <w:tab w:pos="1920" w:val="left" w:leader="none"/>
        </w:tabs>
        <w:spacing w:line="240" w:lineRule="auto" w:before="120" w:after="0"/>
        <w:ind w:left="1919" w:right="416" w:hanging="567"/>
        <w:jc w:val="both"/>
        <w:rPr>
          <w:sz w:val="24"/>
        </w:rPr>
      </w:pPr>
      <w:r>
        <w:rPr>
          <w:sz w:val="24"/>
        </w:rPr>
        <w:t>The </w:t>
      </w:r>
      <w:r>
        <w:rPr>
          <w:i/>
          <w:sz w:val="24"/>
        </w:rPr>
        <w:t>Metering Data Provider </w:t>
      </w:r>
      <w:r>
        <w:rPr>
          <w:sz w:val="24"/>
        </w:rPr>
        <w:t>may use type 63 substitutions or estimations only when the </w:t>
      </w:r>
      <w:r>
        <w:rPr>
          <w:i/>
          <w:sz w:val="24"/>
        </w:rPr>
        <w:t>metering data </w:t>
      </w:r>
      <w:r>
        <w:rPr>
          <w:sz w:val="24"/>
        </w:rPr>
        <w:t>from the same, or similar, </w:t>
      </w:r>
      <w:r>
        <w:rPr>
          <w:i/>
          <w:sz w:val="24"/>
        </w:rPr>
        <w:t>meter </w:t>
      </w:r>
      <w:r>
        <w:rPr>
          <w:sz w:val="24"/>
        </w:rPr>
        <w:t>reading period last year and </w:t>
      </w:r>
      <w:r>
        <w:rPr>
          <w:i/>
          <w:sz w:val="24"/>
        </w:rPr>
        <w:t>metering data </w:t>
      </w:r>
      <w:r>
        <w:rPr>
          <w:sz w:val="24"/>
        </w:rPr>
        <w:t>from the previous </w:t>
      </w:r>
      <w:r>
        <w:rPr>
          <w:i/>
          <w:sz w:val="24"/>
        </w:rPr>
        <w:t>meter </w:t>
      </w:r>
      <w:r>
        <w:rPr>
          <w:sz w:val="24"/>
        </w:rPr>
        <w:t>reading period is not available (that is, when type 61 and type 62 substitution or estimation methods cannot be</w:t>
      </w:r>
      <w:r>
        <w:rPr>
          <w:spacing w:val="-1"/>
          <w:sz w:val="24"/>
        </w:rPr>
        <w:t> </w:t>
      </w:r>
      <w:r>
        <w:rPr>
          <w:sz w:val="24"/>
        </w:rPr>
        <w:t>used).</w:t>
      </w:r>
    </w:p>
    <w:p>
      <w:pPr>
        <w:spacing w:before="220"/>
        <w:ind w:left="1356" w:right="0" w:firstLine="0"/>
        <w:jc w:val="left"/>
        <w:rPr>
          <w:rFonts w:ascii="Arial"/>
          <w:b/>
          <w:sz w:val="22"/>
        </w:rPr>
      </w:pPr>
      <w:r>
        <w:rPr>
          <w:rFonts w:ascii="Arial"/>
          <w:b/>
          <w:sz w:val="22"/>
        </w:rPr>
        <w:t>When to use Type 65 substitution</w:t>
      </w:r>
    </w:p>
    <w:p>
      <w:pPr>
        <w:pStyle w:val="ListParagraph"/>
        <w:numPr>
          <w:ilvl w:val="0"/>
          <w:numId w:val="577"/>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may use type 65 substitutions or estimations only when the </w:t>
      </w:r>
      <w:r>
        <w:rPr>
          <w:i/>
          <w:sz w:val="24"/>
        </w:rPr>
        <w:t>metering data </w:t>
      </w:r>
      <w:r>
        <w:rPr>
          <w:sz w:val="24"/>
        </w:rPr>
        <w:t>from the same, or similar, </w:t>
      </w:r>
      <w:r>
        <w:rPr>
          <w:i/>
          <w:sz w:val="24"/>
        </w:rPr>
        <w:t>meter </w:t>
      </w:r>
      <w:r>
        <w:rPr>
          <w:sz w:val="24"/>
        </w:rPr>
        <w:t>reading period last year or the </w:t>
      </w:r>
      <w:r>
        <w:rPr>
          <w:i/>
          <w:sz w:val="24"/>
        </w:rPr>
        <w:t>metering data </w:t>
      </w:r>
      <w:r>
        <w:rPr>
          <w:sz w:val="24"/>
        </w:rPr>
        <w:t>from the previous </w:t>
      </w:r>
      <w:r>
        <w:rPr>
          <w:i/>
          <w:sz w:val="24"/>
        </w:rPr>
        <w:t>meter </w:t>
      </w:r>
      <w:r>
        <w:rPr>
          <w:sz w:val="24"/>
        </w:rPr>
        <w:t>reading period is not available (that is, when type 61 and type 62 substitution or estimation methods cannot be</w:t>
      </w:r>
      <w:r>
        <w:rPr>
          <w:spacing w:val="-1"/>
          <w:sz w:val="24"/>
        </w:rPr>
        <w:t> </w:t>
      </w:r>
      <w:r>
        <w:rPr>
          <w:sz w:val="24"/>
        </w:rPr>
        <w:t>used).</w:t>
      </w:r>
    </w:p>
    <w:p>
      <w:pPr>
        <w:spacing w:before="220"/>
        <w:ind w:left="1356" w:right="0" w:firstLine="0"/>
        <w:jc w:val="left"/>
        <w:rPr>
          <w:rFonts w:ascii="Arial"/>
          <w:b/>
          <w:sz w:val="22"/>
        </w:rPr>
      </w:pPr>
      <w:r>
        <w:rPr>
          <w:rFonts w:ascii="Arial"/>
          <w:b/>
          <w:sz w:val="22"/>
        </w:rPr>
        <w:t>When to use Type 67 substitution</w:t>
      </w:r>
    </w:p>
    <w:p>
      <w:pPr>
        <w:pStyle w:val="ListParagraph"/>
        <w:numPr>
          <w:ilvl w:val="0"/>
          <w:numId w:val="577"/>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Metering Data Provider </w:t>
      </w:r>
      <w:r>
        <w:rPr>
          <w:sz w:val="24"/>
        </w:rPr>
        <w:t>must only use a type 67 substitution</w:t>
      </w:r>
      <w:r>
        <w:rPr>
          <w:spacing w:val="-7"/>
          <w:sz w:val="24"/>
        </w:rPr>
        <w:t> </w:t>
      </w:r>
      <w:r>
        <w:rPr>
          <w:sz w:val="24"/>
        </w:rPr>
        <w:t>when:</w:t>
      </w:r>
    </w:p>
    <w:p>
      <w:pPr>
        <w:pStyle w:val="ListParagraph"/>
        <w:numPr>
          <w:ilvl w:val="1"/>
          <w:numId w:val="577"/>
        </w:numPr>
        <w:tabs>
          <w:tab w:pos="2485" w:val="left" w:leader="none"/>
          <w:tab w:pos="2486" w:val="left" w:leader="none"/>
        </w:tabs>
        <w:spacing w:line="240" w:lineRule="auto" w:before="120" w:after="0"/>
        <w:ind w:left="2485" w:right="0" w:hanging="567"/>
        <w:jc w:val="left"/>
        <w:rPr>
          <w:sz w:val="24"/>
        </w:rPr>
      </w:pPr>
      <w:r>
        <w:rPr>
          <w:sz w:val="24"/>
        </w:rPr>
        <w:t>directed by the </w:t>
      </w:r>
      <w:r>
        <w:rPr>
          <w:i/>
          <w:sz w:val="24"/>
        </w:rPr>
        <w:t>Metering</w:t>
      </w:r>
      <w:r>
        <w:rPr>
          <w:i/>
          <w:spacing w:val="-1"/>
          <w:sz w:val="24"/>
        </w:rPr>
        <w:t> </w:t>
      </w:r>
      <w:r>
        <w:rPr>
          <w:i/>
          <w:sz w:val="24"/>
        </w:rPr>
        <w:t>Coordinator</w:t>
      </w:r>
      <w:r>
        <w:rPr>
          <w:sz w:val="24"/>
        </w:rPr>
        <w:t>;</w:t>
      </w:r>
    </w:p>
    <w:p>
      <w:pPr>
        <w:pStyle w:val="ListParagraph"/>
        <w:numPr>
          <w:ilvl w:val="1"/>
          <w:numId w:val="577"/>
        </w:numPr>
        <w:tabs>
          <w:tab w:pos="2485" w:val="left" w:leader="none"/>
          <w:tab w:pos="2486" w:val="left" w:leader="none"/>
        </w:tabs>
        <w:spacing w:line="240" w:lineRule="auto" w:before="120" w:after="0"/>
        <w:ind w:left="2485" w:right="0" w:hanging="567"/>
        <w:jc w:val="left"/>
        <w:rPr>
          <w:sz w:val="24"/>
        </w:rPr>
      </w:pPr>
      <w:r>
        <w:rPr>
          <w:sz w:val="24"/>
        </w:rPr>
        <w:t>not expressly disallowed in this</w:t>
      </w:r>
      <w:r>
        <w:rPr>
          <w:spacing w:val="-1"/>
          <w:sz w:val="24"/>
        </w:rPr>
        <w:t> </w:t>
      </w:r>
      <w:r>
        <w:rPr>
          <w:i/>
          <w:sz w:val="24"/>
        </w:rPr>
        <w:t>jurisdiction</w:t>
      </w:r>
      <w:r>
        <w:rPr>
          <w:sz w:val="24"/>
        </w:rPr>
        <w:t>;</w:t>
      </w:r>
    </w:p>
    <w:p>
      <w:pPr>
        <w:pStyle w:val="ListParagraph"/>
        <w:numPr>
          <w:ilvl w:val="1"/>
          <w:numId w:val="577"/>
        </w:numPr>
        <w:tabs>
          <w:tab w:pos="2485" w:val="left" w:leader="none"/>
          <w:tab w:pos="2486" w:val="left" w:leader="none"/>
        </w:tabs>
        <w:spacing w:line="240" w:lineRule="auto" w:before="120" w:after="0"/>
        <w:ind w:left="2486" w:right="416" w:hanging="567"/>
        <w:jc w:val="left"/>
        <w:rPr>
          <w:sz w:val="24"/>
        </w:rPr>
      </w:pPr>
      <w:r>
        <w:rPr>
          <w:sz w:val="24"/>
        </w:rPr>
        <w:t>the </w:t>
      </w:r>
      <w:r>
        <w:rPr>
          <w:i/>
          <w:sz w:val="24"/>
        </w:rPr>
        <w:t>retail customer</w:t>
      </w:r>
      <w:r>
        <w:rPr>
          <w:sz w:val="24"/>
        </w:rPr>
        <w:t>-provided </w:t>
      </w:r>
      <w:r>
        <w:rPr>
          <w:i/>
          <w:sz w:val="24"/>
        </w:rPr>
        <w:t>meter </w:t>
      </w:r>
      <w:r>
        <w:rPr>
          <w:sz w:val="24"/>
        </w:rPr>
        <w:t>reading meets the validation rules for that data stream;</w:t>
      </w:r>
      <w:r>
        <w:rPr>
          <w:spacing w:val="-2"/>
          <w:sz w:val="24"/>
        </w:rPr>
        <w:t> </w:t>
      </w:r>
      <w:r>
        <w:rPr>
          <w:sz w:val="24"/>
        </w:rPr>
        <w:t>or</w:t>
      </w:r>
    </w:p>
    <w:p>
      <w:pPr>
        <w:pStyle w:val="ListParagraph"/>
        <w:numPr>
          <w:ilvl w:val="1"/>
          <w:numId w:val="577"/>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Metering Data Provider </w:t>
      </w:r>
      <w:r>
        <w:rPr>
          <w:sz w:val="24"/>
        </w:rPr>
        <w:t>has no actual </w:t>
      </w:r>
      <w:r>
        <w:rPr>
          <w:i/>
          <w:sz w:val="24"/>
        </w:rPr>
        <w:t>metering</w:t>
      </w:r>
      <w:r>
        <w:rPr>
          <w:i/>
          <w:spacing w:val="-4"/>
          <w:sz w:val="24"/>
        </w:rPr>
        <w:t> </w:t>
      </w:r>
      <w:r>
        <w:rPr>
          <w:i/>
          <w:sz w:val="24"/>
        </w:rPr>
        <w:t>data</w:t>
      </w:r>
      <w:r>
        <w:rPr>
          <w:sz w:val="24"/>
        </w:rPr>
        <w:t>.</w:t>
      </w:r>
    </w:p>
    <w:p>
      <w:pPr>
        <w:spacing w:before="220"/>
        <w:ind w:left="1356" w:right="0" w:firstLine="0"/>
        <w:jc w:val="left"/>
        <w:rPr>
          <w:rFonts w:ascii="Arial"/>
          <w:b/>
          <w:sz w:val="22"/>
        </w:rPr>
      </w:pPr>
      <w:r>
        <w:rPr>
          <w:rFonts w:ascii="Arial"/>
          <w:b/>
          <w:sz w:val="22"/>
        </w:rPr>
        <w:t>When to use Type 64 or 66 substitution</w:t>
      </w:r>
    </w:p>
    <w:p>
      <w:pPr>
        <w:pStyle w:val="ListParagraph"/>
        <w:numPr>
          <w:ilvl w:val="0"/>
          <w:numId w:val="578"/>
        </w:numPr>
        <w:tabs>
          <w:tab w:pos="1919" w:val="left" w:leader="none"/>
        </w:tabs>
        <w:spacing w:line="240" w:lineRule="auto" w:before="120" w:after="0"/>
        <w:ind w:left="1919" w:right="415" w:hanging="567"/>
        <w:jc w:val="both"/>
        <w:rPr>
          <w:sz w:val="24"/>
        </w:rPr>
      </w:pPr>
      <w:r>
        <w:rPr>
          <w:i/>
          <w:sz w:val="24"/>
        </w:rPr>
        <w:t>Metering Data Providers </w:t>
      </w:r>
      <w:r>
        <w:rPr>
          <w:sz w:val="24"/>
        </w:rPr>
        <w:t>must not perform type 64 or 66 substitutions without seeking the agreement of the financially responsible participant, the relevant </w:t>
      </w:r>
      <w:r>
        <w:rPr>
          <w:i/>
          <w:sz w:val="24"/>
        </w:rPr>
        <w:t>retailer </w:t>
      </w:r>
      <w:r>
        <w:rPr>
          <w:sz w:val="24"/>
        </w:rPr>
        <w:t>and the </w:t>
      </w:r>
      <w:r>
        <w:rPr>
          <w:i/>
          <w:sz w:val="24"/>
        </w:rPr>
        <w:t>Local Network Service Provider </w:t>
      </w:r>
      <w:r>
        <w:rPr>
          <w:sz w:val="24"/>
        </w:rPr>
        <w:t>for the </w:t>
      </w:r>
      <w:r>
        <w:rPr>
          <w:i/>
          <w:sz w:val="24"/>
        </w:rPr>
        <w:t>connection </w:t>
      </w:r>
      <w:r>
        <w:rPr>
          <w:i/>
          <w:sz w:val="24"/>
        </w:rPr>
        <w:t>point</w:t>
      </w:r>
      <w:r>
        <w:rPr>
          <w:sz w:val="24"/>
        </w:rPr>
        <w:t>. </w:t>
      </w:r>
      <w:r>
        <w:rPr>
          <w:i/>
          <w:sz w:val="24"/>
        </w:rPr>
        <w:t>Metering Data Providers </w:t>
      </w:r>
      <w:r>
        <w:rPr>
          <w:sz w:val="24"/>
        </w:rPr>
        <w:t>may, however, undertake to change</w:t>
      </w:r>
      <w:r>
        <w:rPr>
          <w:spacing w:val="16"/>
          <w:sz w:val="24"/>
        </w:rPr>
        <w:t> </w:t>
      </w:r>
      <w:r>
        <w:rPr>
          <w:sz w:val="24"/>
        </w:rPr>
        <w:t>the</w:t>
      </w:r>
    </w:p>
    <w:p>
      <w:pPr>
        <w:spacing w:after="0" w:line="240" w:lineRule="auto"/>
        <w:jc w:val="both"/>
        <w:rPr>
          <w:sz w:val="24"/>
        </w:rPr>
        <w:sectPr>
          <w:pgSz w:w="11910" w:h="16840"/>
          <w:pgMar w:header="686" w:footer="637" w:top="1320" w:bottom="820" w:left="1200" w:right="1000"/>
        </w:sectPr>
      </w:pPr>
    </w:p>
    <w:p>
      <w:pPr>
        <w:pStyle w:val="BodyText"/>
        <w:spacing w:before="83"/>
        <w:ind w:left="1919" w:right="417" w:firstLine="0"/>
      </w:pPr>
      <w:r>
        <w:rPr/>
        <w:t>quality flag to an existing type 64 or 66 substitution without seeking further agreement from those parties.</w:t>
      </w:r>
    </w:p>
    <w:p>
      <w:pPr>
        <w:pStyle w:val="ListParagraph"/>
        <w:numPr>
          <w:ilvl w:val="0"/>
          <w:numId w:val="578"/>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notify the relevant parties for the </w:t>
      </w:r>
      <w:r>
        <w:rPr>
          <w:i/>
          <w:sz w:val="24"/>
        </w:rPr>
        <w:t>connection point </w:t>
      </w:r>
      <w:r>
        <w:rPr>
          <w:sz w:val="24"/>
        </w:rPr>
        <w:t>of any substitution or estimation within 2 </w:t>
      </w:r>
      <w:r>
        <w:rPr>
          <w:i/>
          <w:sz w:val="24"/>
        </w:rPr>
        <w:t>business days </w:t>
      </w:r>
      <w:r>
        <w:rPr>
          <w:sz w:val="24"/>
        </w:rPr>
        <w:t>of the substitution or estimation. Notification must comply with the obligations set out in</w:t>
      </w:r>
      <w:r>
        <w:rPr>
          <w:spacing w:val="-2"/>
          <w:sz w:val="24"/>
        </w:rPr>
        <w:t> </w:t>
      </w:r>
      <w:r>
        <w:rPr>
          <w:sz w:val="24"/>
        </w:rPr>
        <w:t>S7A.8.9.11.</w:t>
      </w:r>
    </w:p>
    <w:p>
      <w:pPr>
        <w:pStyle w:val="BodyText"/>
        <w:spacing w:before="10"/>
        <w:ind w:firstLine="0"/>
        <w:jc w:val="left"/>
        <w:rPr>
          <w:sz w:val="20"/>
        </w:rPr>
      </w:pPr>
    </w:p>
    <w:p>
      <w:pPr>
        <w:pStyle w:val="Heading4"/>
        <w:tabs>
          <w:tab w:pos="1658" w:val="left" w:leader="none"/>
        </w:tabs>
        <w:ind w:left="218" w:firstLine="0"/>
      </w:pPr>
      <w:bookmarkStart w:name="S7A.7.11.2 Substitution and estimation t" w:id="2036"/>
      <w:bookmarkEnd w:id="2036"/>
      <w:r>
        <w:rPr>
          <w:b w:val="0"/>
        </w:rPr>
      </w:r>
      <w:bookmarkStart w:name="_bookmark842" w:id="2037"/>
      <w:bookmarkEnd w:id="2037"/>
      <w:r>
        <w:rPr>
          <w:b w:val="0"/>
        </w:rPr>
      </w:r>
      <w:r>
        <w:rPr/>
        <w:t>S7A.7.11.2</w:t>
        <w:tab/>
        <w:t>Substitution and estimation</w:t>
      </w:r>
      <w:r>
        <w:rPr>
          <w:spacing w:val="-3"/>
        </w:rPr>
        <w:t> </w:t>
      </w:r>
      <w:r>
        <w:rPr/>
        <w:t>types</w:t>
      </w:r>
    </w:p>
    <w:p>
      <w:pPr>
        <w:spacing w:before="220"/>
        <w:ind w:left="1356" w:right="0" w:firstLine="0"/>
        <w:jc w:val="left"/>
        <w:rPr>
          <w:rFonts w:ascii="Arial" w:hAnsi="Arial"/>
          <w:b/>
          <w:sz w:val="22"/>
        </w:rPr>
      </w:pPr>
      <w:r>
        <w:rPr>
          <w:rFonts w:ascii="Arial" w:hAnsi="Arial"/>
          <w:b/>
          <w:sz w:val="22"/>
        </w:rPr>
        <w:t>Type 61 – Previous year method (average daily consumption method</w:t>
      </w:r>
    </w:p>
    <w:p>
      <w:pPr>
        <w:pStyle w:val="ListParagraph"/>
        <w:numPr>
          <w:ilvl w:val="0"/>
          <w:numId w:val="579"/>
        </w:numPr>
        <w:tabs>
          <w:tab w:pos="1919" w:val="left" w:leader="none"/>
        </w:tabs>
        <w:spacing w:line="240" w:lineRule="auto" w:before="120" w:after="0"/>
        <w:ind w:left="1919" w:right="415" w:hanging="567"/>
        <w:jc w:val="both"/>
        <w:rPr>
          <w:sz w:val="24"/>
        </w:rPr>
      </w:pPr>
      <w:r>
        <w:rPr>
          <w:sz w:val="24"/>
        </w:rPr>
        <w:t>To perform a type 61 substitution, the </w:t>
      </w:r>
      <w:r>
        <w:rPr>
          <w:i/>
          <w:sz w:val="24"/>
        </w:rPr>
        <w:t>Metering Data Provider </w:t>
      </w:r>
      <w:r>
        <w:rPr>
          <w:sz w:val="24"/>
        </w:rPr>
        <w:t>must provide a substitution or estimation of the </w:t>
      </w:r>
      <w:r>
        <w:rPr>
          <w:i/>
          <w:sz w:val="24"/>
        </w:rPr>
        <w:t>meter </w:t>
      </w:r>
      <w:r>
        <w:rPr>
          <w:sz w:val="24"/>
        </w:rPr>
        <w:t>reading by calculating the </w:t>
      </w:r>
      <w:r>
        <w:rPr>
          <w:i/>
          <w:sz w:val="24"/>
        </w:rPr>
        <w:t>energy </w:t>
      </w:r>
      <w:r>
        <w:rPr>
          <w:sz w:val="24"/>
        </w:rPr>
        <w:t>consumption as per the following</w:t>
      </w:r>
      <w:r>
        <w:rPr>
          <w:spacing w:val="-1"/>
          <w:sz w:val="24"/>
        </w:rPr>
        <w:t> </w:t>
      </w:r>
      <w:r>
        <w:rPr>
          <w:sz w:val="24"/>
        </w:rPr>
        <w:t>formula:</w:t>
      </w:r>
    </w:p>
    <w:p>
      <w:pPr>
        <w:pStyle w:val="BodyText"/>
        <w:spacing w:before="1"/>
        <w:ind w:firstLine="0"/>
        <w:jc w:val="left"/>
        <w:rPr>
          <w:sz w:val="13"/>
        </w:rPr>
      </w:pPr>
      <w:r>
        <w:rPr/>
        <w:drawing>
          <wp:anchor distT="0" distB="0" distL="0" distR="0" allowOverlap="1" layoutInCell="1" locked="0" behindDoc="0" simplePos="0" relativeHeight="55">
            <wp:simplePos x="0" y="0"/>
            <wp:positionH relativeFrom="page">
              <wp:posOffset>2121158</wp:posOffset>
            </wp:positionH>
            <wp:positionV relativeFrom="paragraph">
              <wp:posOffset>120547</wp:posOffset>
            </wp:positionV>
            <wp:extent cx="4469086" cy="84810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4" cstate="print"/>
                    <a:stretch>
                      <a:fillRect/>
                    </a:stretch>
                  </pic:blipFill>
                  <pic:spPr>
                    <a:xfrm>
                      <a:off x="0" y="0"/>
                      <a:ext cx="4469086" cy="848105"/>
                    </a:xfrm>
                    <a:prstGeom prst="rect">
                      <a:avLst/>
                    </a:prstGeom>
                  </pic:spPr>
                </pic:pic>
              </a:graphicData>
            </a:graphic>
          </wp:anchor>
        </w:drawing>
      </w:r>
    </w:p>
    <w:p>
      <w:pPr>
        <w:pStyle w:val="BodyText"/>
        <w:spacing w:before="10"/>
        <w:ind w:firstLine="0"/>
        <w:jc w:val="left"/>
      </w:pPr>
    </w:p>
    <w:p>
      <w:pPr>
        <w:spacing w:before="0"/>
        <w:ind w:left="1356" w:right="998" w:firstLine="0"/>
        <w:jc w:val="left"/>
        <w:rPr>
          <w:rFonts w:ascii="Arial" w:hAnsi="Arial"/>
          <w:b/>
          <w:sz w:val="22"/>
        </w:rPr>
      </w:pPr>
      <w:r>
        <w:rPr>
          <w:rFonts w:ascii="Arial" w:hAnsi="Arial"/>
          <w:b/>
          <w:sz w:val="22"/>
        </w:rPr>
        <w:t>Type 62 – Previous meter reading method (average daily consumption method)</w:t>
      </w:r>
    </w:p>
    <w:p>
      <w:pPr>
        <w:pStyle w:val="ListParagraph"/>
        <w:numPr>
          <w:ilvl w:val="0"/>
          <w:numId w:val="579"/>
        </w:numPr>
        <w:tabs>
          <w:tab w:pos="1919" w:val="left" w:leader="none"/>
        </w:tabs>
        <w:spacing w:line="240" w:lineRule="auto" w:before="120" w:after="0"/>
        <w:ind w:left="1919" w:right="415" w:hanging="567"/>
        <w:jc w:val="both"/>
        <w:rPr>
          <w:sz w:val="24"/>
        </w:rPr>
      </w:pPr>
      <w:r>
        <w:rPr>
          <w:sz w:val="24"/>
        </w:rPr>
        <w:t>To perform a type 62 substitution, the </w:t>
      </w:r>
      <w:r>
        <w:rPr>
          <w:i/>
          <w:sz w:val="24"/>
        </w:rPr>
        <w:t>Metering Data Provider </w:t>
      </w:r>
      <w:r>
        <w:rPr>
          <w:sz w:val="24"/>
        </w:rPr>
        <w:t>must provide a substitution or estimation of the </w:t>
      </w:r>
      <w:r>
        <w:rPr>
          <w:i/>
          <w:sz w:val="24"/>
        </w:rPr>
        <w:t>meter </w:t>
      </w:r>
      <w:r>
        <w:rPr>
          <w:sz w:val="24"/>
        </w:rPr>
        <w:t>reading by calculating the </w:t>
      </w:r>
      <w:r>
        <w:rPr>
          <w:i/>
          <w:sz w:val="24"/>
        </w:rPr>
        <w:t>energy </w:t>
      </w:r>
      <w:r>
        <w:rPr>
          <w:sz w:val="24"/>
        </w:rPr>
        <w:t>consumption as per the following</w:t>
      </w:r>
      <w:r>
        <w:rPr>
          <w:spacing w:val="-1"/>
          <w:sz w:val="24"/>
        </w:rPr>
        <w:t> </w:t>
      </w:r>
      <w:r>
        <w:rPr>
          <w:sz w:val="24"/>
        </w:rPr>
        <w:t>formula:</w:t>
      </w:r>
    </w:p>
    <w:p>
      <w:pPr>
        <w:pStyle w:val="BodyText"/>
        <w:spacing w:before="10"/>
        <w:ind w:firstLine="0"/>
        <w:jc w:val="left"/>
        <w:rPr>
          <w:sz w:val="15"/>
        </w:rPr>
      </w:pPr>
      <w:r>
        <w:rPr/>
        <w:drawing>
          <wp:anchor distT="0" distB="0" distL="0" distR="0" allowOverlap="1" layoutInCell="1" locked="0" behindDoc="0" simplePos="0" relativeHeight="56">
            <wp:simplePos x="0" y="0"/>
            <wp:positionH relativeFrom="page">
              <wp:posOffset>2029226</wp:posOffset>
            </wp:positionH>
            <wp:positionV relativeFrom="paragraph">
              <wp:posOffset>140845</wp:posOffset>
            </wp:positionV>
            <wp:extent cx="4554015" cy="844105"/>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15" cstate="print"/>
                    <a:stretch>
                      <a:fillRect/>
                    </a:stretch>
                  </pic:blipFill>
                  <pic:spPr>
                    <a:xfrm>
                      <a:off x="0" y="0"/>
                      <a:ext cx="4554015" cy="844105"/>
                    </a:xfrm>
                    <a:prstGeom prst="rect">
                      <a:avLst/>
                    </a:prstGeom>
                  </pic:spPr>
                </pic:pic>
              </a:graphicData>
            </a:graphic>
          </wp:anchor>
        </w:drawing>
      </w:r>
    </w:p>
    <w:p>
      <w:pPr>
        <w:pStyle w:val="BodyText"/>
        <w:spacing w:before="7"/>
        <w:ind w:firstLine="0"/>
        <w:jc w:val="left"/>
        <w:rPr>
          <w:sz w:val="22"/>
        </w:rPr>
      </w:pPr>
    </w:p>
    <w:p>
      <w:pPr>
        <w:spacing w:before="0"/>
        <w:ind w:left="1356" w:right="0" w:firstLine="0"/>
        <w:jc w:val="left"/>
        <w:rPr>
          <w:rFonts w:ascii="Arial" w:hAnsi="Arial"/>
          <w:b/>
          <w:sz w:val="22"/>
        </w:rPr>
      </w:pPr>
      <w:r>
        <w:rPr>
          <w:rFonts w:ascii="Arial" w:hAnsi="Arial"/>
          <w:b/>
          <w:sz w:val="22"/>
        </w:rPr>
        <w:t>Type 63 – Customer class method</w:t>
      </w:r>
    </w:p>
    <w:p>
      <w:pPr>
        <w:pStyle w:val="ListParagraph"/>
        <w:numPr>
          <w:ilvl w:val="0"/>
          <w:numId w:val="579"/>
        </w:numPr>
        <w:tabs>
          <w:tab w:pos="1919" w:val="left" w:leader="none"/>
        </w:tabs>
        <w:spacing w:line="240" w:lineRule="auto" w:before="120" w:after="0"/>
        <w:ind w:left="1919" w:right="414" w:hanging="567"/>
        <w:jc w:val="both"/>
        <w:rPr>
          <w:sz w:val="24"/>
        </w:rPr>
      </w:pPr>
      <w:r>
        <w:rPr>
          <w:sz w:val="24"/>
        </w:rPr>
        <w:t>To perform a type 63 substitution, the </w:t>
      </w:r>
      <w:r>
        <w:rPr>
          <w:i/>
          <w:sz w:val="24"/>
        </w:rPr>
        <w:t>Metering Data Provider </w:t>
      </w:r>
      <w:r>
        <w:rPr>
          <w:sz w:val="24"/>
        </w:rPr>
        <w:t>must provide a substitution or estimation by calculating the </w:t>
      </w:r>
      <w:r>
        <w:rPr>
          <w:i/>
          <w:sz w:val="24"/>
        </w:rPr>
        <w:t>energy </w:t>
      </w:r>
      <w:r>
        <w:rPr>
          <w:sz w:val="24"/>
        </w:rPr>
        <w:t>consumption as per the following</w:t>
      </w:r>
      <w:r>
        <w:rPr>
          <w:spacing w:val="-1"/>
          <w:sz w:val="24"/>
        </w:rPr>
        <w:t> </w:t>
      </w:r>
      <w:r>
        <w:rPr>
          <w:sz w:val="24"/>
        </w:rPr>
        <w:t>formula:</w:t>
      </w:r>
    </w:p>
    <w:p>
      <w:pPr>
        <w:pStyle w:val="BodyText"/>
        <w:spacing w:before="8"/>
        <w:ind w:firstLine="0"/>
        <w:jc w:val="left"/>
        <w:rPr>
          <w:sz w:val="13"/>
        </w:rPr>
      </w:pPr>
      <w:r>
        <w:rPr/>
        <w:drawing>
          <wp:anchor distT="0" distB="0" distL="0" distR="0" allowOverlap="1" layoutInCell="1" locked="0" behindDoc="0" simplePos="0" relativeHeight="57">
            <wp:simplePos x="0" y="0"/>
            <wp:positionH relativeFrom="page">
              <wp:posOffset>2017347</wp:posOffset>
            </wp:positionH>
            <wp:positionV relativeFrom="paragraph">
              <wp:posOffset>125280</wp:posOffset>
            </wp:positionV>
            <wp:extent cx="4581907" cy="864203"/>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16" cstate="print"/>
                    <a:stretch>
                      <a:fillRect/>
                    </a:stretch>
                  </pic:blipFill>
                  <pic:spPr>
                    <a:xfrm>
                      <a:off x="0" y="0"/>
                      <a:ext cx="4581907" cy="864203"/>
                    </a:xfrm>
                    <a:prstGeom prst="rect">
                      <a:avLst/>
                    </a:prstGeom>
                  </pic:spPr>
                </pic:pic>
              </a:graphicData>
            </a:graphic>
          </wp:anchor>
        </w:drawing>
      </w:r>
    </w:p>
    <w:p>
      <w:pPr>
        <w:pStyle w:val="BodyText"/>
        <w:spacing w:before="11"/>
        <w:ind w:firstLine="0"/>
        <w:jc w:val="left"/>
        <w:rPr>
          <w:sz w:val="21"/>
        </w:rPr>
      </w:pPr>
    </w:p>
    <w:p>
      <w:pPr>
        <w:spacing w:before="0"/>
        <w:ind w:left="1356" w:right="0" w:firstLine="0"/>
        <w:jc w:val="left"/>
        <w:rPr>
          <w:rFonts w:ascii="Arial" w:hAnsi="Arial"/>
          <w:b/>
          <w:sz w:val="22"/>
        </w:rPr>
      </w:pPr>
      <w:r>
        <w:rPr>
          <w:rFonts w:ascii="Arial" w:hAnsi="Arial"/>
          <w:b/>
          <w:sz w:val="22"/>
        </w:rPr>
        <w:t>Type 64 – Agreed method</w:t>
      </w:r>
    </w:p>
    <w:p>
      <w:pPr>
        <w:pStyle w:val="ListParagraph"/>
        <w:numPr>
          <w:ilvl w:val="0"/>
          <w:numId w:val="579"/>
        </w:numPr>
        <w:tabs>
          <w:tab w:pos="1919" w:val="left" w:leader="none"/>
        </w:tabs>
        <w:spacing w:line="240" w:lineRule="auto" w:before="120" w:after="0"/>
        <w:ind w:left="1919" w:right="414" w:hanging="567"/>
        <w:jc w:val="both"/>
        <w:rPr>
          <w:sz w:val="24"/>
        </w:rPr>
      </w:pPr>
      <w:r>
        <w:rPr>
          <w:sz w:val="24"/>
        </w:rPr>
        <w:t>To perform a type 64 substitution, the </w:t>
      </w:r>
      <w:r>
        <w:rPr>
          <w:i/>
          <w:sz w:val="24"/>
        </w:rPr>
        <w:t>Metering Data Provider </w:t>
      </w:r>
      <w:r>
        <w:rPr>
          <w:sz w:val="24"/>
        </w:rPr>
        <w:t>may undertake to use another method of substitution (which may be a modification of an existing substitution type), where none of the existing substitution types are applicable, subject to using reasonable endeavours to form</w:t>
      </w:r>
      <w:r>
        <w:rPr>
          <w:spacing w:val="15"/>
          <w:sz w:val="24"/>
        </w:rPr>
        <w:t> </w:t>
      </w:r>
      <w:r>
        <w:rPr>
          <w:sz w:val="24"/>
        </w:rPr>
        <w:t>an</w:t>
      </w:r>
      <w:r>
        <w:rPr>
          <w:spacing w:val="15"/>
          <w:sz w:val="24"/>
        </w:rPr>
        <w:t> </w:t>
      </w:r>
      <w:r>
        <w:rPr>
          <w:sz w:val="24"/>
        </w:rPr>
        <w:t>agreement</w:t>
      </w:r>
      <w:r>
        <w:rPr>
          <w:spacing w:val="16"/>
          <w:sz w:val="24"/>
        </w:rPr>
        <w:t> </w:t>
      </w:r>
      <w:r>
        <w:rPr>
          <w:sz w:val="24"/>
        </w:rPr>
        <w:t>with</w:t>
      </w:r>
      <w:r>
        <w:rPr>
          <w:spacing w:val="15"/>
          <w:sz w:val="24"/>
        </w:rPr>
        <w:t> </w:t>
      </w:r>
      <w:r>
        <w:rPr>
          <w:sz w:val="24"/>
        </w:rPr>
        <w:t>the</w:t>
      </w:r>
      <w:r>
        <w:rPr>
          <w:spacing w:val="16"/>
          <w:sz w:val="24"/>
        </w:rPr>
        <w:t> </w:t>
      </w:r>
      <w:r>
        <w:rPr>
          <w:sz w:val="24"/>
        </w:rPr>
        <w:t>financially</w:t>
      </w:r>
      <w:r>
        <w:rPr>
          <w:spacing w:val="15"/>
          <w:sz w:val="24"/>
        </w:rPr>
        <w:t> </w:t>
      </w:r>
      <w:r>
        <w:rPr>
          <w:sz w:val="24"/>
        </w:rPr>
        <w:t>responsible</w:t>
      </w:r>
      <w:r>
        <w:rPr>
          <w:spacing w:val="16"/>
          <w:sz w:val="24"/>
        </w:rPr>
        <w:t> </w:t>
      </w:r>
      <w:r>
        <w:rPr>
          <w:sz w:val="24"/>
        </w:rPr>
        <w:t>participant,</w:t>
      </w:r>
      <w:r>
        <w:rPr>
          <w:spacing w:val="15"/>
          <w:sz w:val="24"/>
        </w:rPr>
        <w:t> </w:t>
      </w:r>
      <w:r>
        <w:rPr>
          <w:sz w:val="24"/>
        </w:rPr>
        <w:t>the</w:t>
      </w:r>
      <w:r>
        <w:rPr>
          <w:spacing w:val="16"/>
          <w:sz w:val="24"/>
        </w:rPr>
        <w:t> </w:t>
      </w:r>
      <w:r>
        <w:rPr>
          <w:sz w:val="24"/>
        </w:rPr>
        <w:t>relevant</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sz w:val="24"/>
        </w:rPr>
      </w:pPr>
      <w:r>
        <w:rPr>
          <w:i/>
          <w:sz w:val="24"/>
        </w:rPr>
        <w:t>retailer </w:t>
      </w:r>
      <w:r>
        <w:rPr>
          <w:sz w:val="24"/>
        </w:rPr>
        <w:t>and </w:t>
      </w:r>
      <w:r>
        <w:rPr>
          <w:i/>
          <w:sz w:val="24"/>
        </w:rPr>
        <w:t>Local Network Service Provider </w:t>
      </w:r>
      <w:r>
        <w:rPr>
          <w:sz w:val="24"/>
        </w:rPr>
        <w:t>for the </w:t>
      </w:r>
      <w:r>
        <w:rPr>
          <w:i/>
          <w:sz w:val="24"/>
        </w:rPr>
        <w:t>connection point</w:t>
      </w:r>
      <w:r>
        <w:rPr>
          <w:sz w:val="24"/>
        </w:rPr>
        <w:t>. The specifics of this substitution type may involve a globally applied method.</w:t>
      </w:r>
    </w:p>
    <w:p>
      <w:pPr>
        <w:spacing w:before="220"/>
        <w:ind w:left="1356" w:right="0" w:firstLine="0"/>
        <w:jc w:val="left"/>
        <w:rPr>
          <w:rFonts w:ascii="Arial" w:hAnsi="Arial"/>
          <w:b/>
          <w:sz w:val="22"/>
        </w:rPr>
      </w:pPr>
      <w:r>
        <w:rPr>
          <w:rFonts w:ascii="Arial" w:hAnsi="Arial"/>
          <w:b/>
          <w:sz w:val="22"/>
        </w:rPr>
        <w:t>Type 66 – ADL method</w:t>
      </w:r>
    </w:p>
    <w:p>
      <w:pPr>
        <w:pStyle w:val="Heading4"/>
        <w:numPr>
          <w:ilvl w:val="0"/>
          <w:numId w:val="579"/>
        </w:numPr>
        <w:tabs>
          <w:tab w:pos="1919" w:val="left" w:leader="none"/>
        </w:tabs>
        <w:spacing w:line="240" w:lineRule="auto" w:before="120" w:after="0"/>
        <w:ind w:left="1918" w:right="0" w:hanging="567"/>
        <w:jc w:val="both"/>
        <w:rPr>
          <w:rFonts w:ascii="Times New Roman"/>
          <w:b w:val="0"/>
        </w:rPr>
      </w:pPr>
      <w:r>
        <w:rPr>
          <w:rFonts w:ascii="Times New Roman"/>
          <w:b w:val="0"/>
        </w:rPr>
        <w:t>[</w:t>
      </w:r>
      <w:r>
        <w:rPr>
          <w:rFonts w:ascii="Times New Roman"/>
        </w:rPr>
        <w:t>Not</w:t>
      </w:r>
      <w:r>
        <w:rPr>
          <w:rFonts w:ascii="Times New Roman"/>
          <w:spacing w:val="-2"/>
        </w:rPr>
        <w:t> </w:t>
      </w:r>
      <w:r>
        <w:rPr>
          <w:rFonts w:ascii="Times New Roman"/>
        </w:rPr>
        <w:t>used</w:t>
      </w:r>
      <w:r>
        <w:rPr>
          <w:rFonts w:ascii="Times New Roman"/>
          <w:b w:val="0"/>
        </w:rPr>
        <w:t>]</w:t>
      </w:r>
    </w:p>
    <w:p>
      <w:pPr>
        <w:spacing w:before="220"/>
        <w:ind w:left="1356" w:right="0" w:firstLine="0"/>
        <w:jc w:val="left"/>
        <w:rPr>
          <w:rFonts w:ascii="Arial" w:hAnsi="Arial"/>
          <w:b/>
          <w:sz w:val="22"/>
        </w:rPr>
      </w:pPr>
      <w:r>
        <w:rPr>
          <w:rFonts w:ascii="Arial" w:hAnsi="Arial"/>
          <w:b/>
          <w:sz w:val="22"/>
        </w:rPr>
        <w:t>Type 66 – Revision of substituted metering data</w:t>
      </w:r>
    </w:p>
    <w:p>
      <w:pPr>
        <w:pStyle w:val="ListParagraph"/>
        <w:numPr>
          <w:ilvl w:val="0"/>
          <w:numId w:val="579"/>
        </w:numPr>
        <w:tabs>
          <w:tab w:pos="1920" w:val="left" w:leader="none"/>
        </w:tabs>
        <w:spacing w:line="240" w:lineRule="auto" w:before="120" w:after="0"/>
        <w:ind w:left="1919" w:right="416" w:hanging="567"/>
        <w:jc w:val="both"/>
        <w:rPr>
          <w:sz w:val="24"/>
        </w:rPr>
      </w:pPr>
      <w:r>
        <w:rPr>
          <w:sz w:val="24"/>
        </w:rPr>
        <w:t>To perform a type 66 substitution, the </w:t>
      </w:r>
      <w:r>
        <w:rPr>
          <w:i/>
          <w:sz w:val="24"/>
        </w:rPr>
        <w:t>Metering Data Provider </w:t>
      </w:r>
      <w:r>
        <w:rPr>
          <w:sz w:val="24"/>
        </w:rPr>
        <w:t>must re- substitute or change </w:t>
      </w:r>
      <w:r>
        <w:rPr>
          <w:i/>
          <w:sz w:val="24"/>
        </w:rPr>
        <w:t>substituted metering data </w:t>
      </w:r>
      <w:r>
        <w:rPr>
          <w:sz w:val="24"/>
        </w:rPr>
        <w:t>prior to collecting an actual </w:t>
      </w:r>
      <w:r>
        <w:rPr>
          <w:i/>
          <w:sz w:val="24"/>
        </w:rPr>
        <w:t>meter </w:t>
      </w:r>
      <w:r>
        <w:rPr>
          <w:sz w:val="24"/>
        </w:rPr>
        <w:t>reading where the financially responsible participant, the</w:t>
      </w:r>
      <w:r>
        <w:rPr>
          <w:spacing w:val="40"/>
          <w:sz w:val="24"/>
        </w:rPr>
        <w:t> </w:t>
      </w:r>
      <w:r>
        <w:rPr>
          <w:sz w:val="24"/>
        </w:rPr>
        <w:t>relevant </w:t>
      </w:r>
      <w:r>
        <w:rPr>
          <w:i/>
          <w:sz w:val="24"/>
        </w:rPr>
        <w:t>retailer </w:t>
      </w:r>
      <w:r>
        <w:rPr>
          <w:sz w:val="24"/>
        </w:rPr>
        <w:t>and the </w:t>
      </w:r>
      <w:r>
        <w:rPr>
          <w:i/>
          <w:sz w:val="24"/>
        </w:rPr>
        <w:t>Local Network Service Provider </w:t>
      </w:r>
      <w:r>
        <w:rPr>
          <w:sz w:val="24"/>
        </w:rPr>
        <w:t>for the </w:t>
      </w:r>
      <w:r>
        <w:rPr>
          <w:i/>
          <w:sz w:val="24"/>
        </w:rPr>
        <w:t>connection point </w:t>
      </w:r>
      <w:r>
        <w:rPr>
          <w:sz w:val="24"/>
        </w:rPr>
        <w:t>have agreed to revise the original </w:t>
      </w:r>
      <w:r>
        <w:rPr>
          <w:i/>
          <w:sz w:val="24"/>
        </w:rPr>
        <w:t>substituted metering data</w:t>
      </w:r>
      <w:r>
        <w:rPr>
          <w:sz w:val="24"/>
        </w:rPr>
        <w:t>, on the basis of site or end user specific</w:t>
      </w:r>
      <w:r>
        <w:rPr>
          <w:spacing w:val="-3"/>
          <w:sz w:val="24"/>
        </w:rPr>
        <w:t> </w:t>
      </w:r>
      <w:r>
        <w:rPr>
          <w:sz w:val="24"/>
        </w:rPr>
        <w:t>information.</w:t>
      </w:r>
    </w:p>
    <w:p>
      <w:pPr>
        <w:spacing w:before="220"/>
        <w:ind w:left="1356" w:right="0" w:firstLine="0"/>
        <w:jc w:val="left"/>
        <w:rPr>
          <w:rFonts w:ascii="Arial" w:hAnsi="Arial"/>
          <w:b/>
          <w:sz w:val="22"/>
        </w:rPr>
      </w:pPr>
      <w:r>
        <w:rPr>
          <w:rFonts w:ascii="Arial" w:hAnsi="Arial"/>
          <w:b/>
          <w:sz w:val="22"/>
        </w:rPr>
        <w:t>Type 67 – Customer reading</w:t>
      </w:r>
    </w:p>
    <w:p>
      <w:pPr>
        <w:pStyle w:val="ListParagraph"/>
        <w:numPr>
          <w:ilvl w:val="0"/>
          <w:numId w:val="579"/>
        </w:numPr>
        <w:tabs>
          <w:tab w:pos="1919" w:val="left" w:leader="none"/>
        </w:tabs>
        <w:spacing w:line="240" w:lineRule="auto" w:before="120" w:after="0"/>
        <w:ind w:left="1919" w:right="416" w:hanging="567"/>
        <w:jc w:val="both"/>
        <w:rPr>
          <w:sz w:val="24"/>
        </w:rPr>
      </w:pPr>
      <w:r>
        <w:rPr>
          <w:sz w:val="24"/>
        </w:rPr>
        <w:t>Unless the </w:t>
      </w:r>
      <w:r>
        <w:rPr>
          <w:i/>
          <w:sz w:val="24"/>
        </w:rPr>
        <w:t>Metering Data Provider </w:t>
      </w:r>
      <w:r>
        <w:rPr>
          <w:sz w:val="24"/>
        </w:rPr>
        <w:t>is required to apply a type 68 substitution, the </w:t>
      </w:r>
      <w:r>
        <w:rPr>
          <w:i/>
          <w:sz w:val="24"/>
        </w:rPr>
        <w:t>Metering Data Provider </w:t>
      </w:r>
      <w:r>
        <w:rPr>
          <w:sz w:val="24"/>
        </w:rPr>
        <w:t>must substitute any previously </w:t>
      </w:r>
      <w:r>
        <w:rPr>
          <w:i/>
          <w:sz w:val="24"/>
        </w:rPr>
        <w:t>substituted metering data </w:t>
      </w:r>
      <w:r>
        <w:rPr>
          <w:sz w:val="24"/>
        </w:rPr>
        <w:t>or </w:t>
      </w:r>
      <w:r>
        <w:rPr>
          <w:i/>
          <w:sz w:val="24"/>
        </w:rPr>
        <w:t>estimated metering data </w:t>
      </w:r>
      <w:r>
        <w:rPr>
          <w:sz w:val="24"/>
        </w:rPr>
        <w:t>based directly on a </w:t>
      </w:r>
      <w:r>
        <w:rPr>
          <w:i/>
          <w:sz w:val="24"/>
        </w:rPr>
        <w:t>meter </w:t>
      </w:r>
      <w:r>
        <w:rPr>
          <w:sz w:val="24"/>
        </w:rPr>
        <w:t>reading provided by an end</w:t>
      </w:r>
      <w:r>
        <w:rPr>
          <w:spacing w:val="-2"/>
          <w:sz w:val="24"/>
        </w:rPr>
        <w:t> </w:t>
      </w:r>
      <w:r>
        <w:rPr>
          <w:sz w:val="24"/>
        </w:rPr>
        <w:t>user.</w:t>
      </w:r>
    </w:p>
    <w:p>
      <w:pPr>
        <w:spacing w:before="220"/>
        <w:ind w:left="1356" w:right="0" w:firstLine="0"/>
        <w:jc w:val="left"/>
        <w:rPr>
          <w:rFonts w:ascii="Arial" w:hAnsi="Arial"/>
          <w:b/>
          <w:sz w:val="22"/>
        </w:rPr>
      </w:pPr>
      <w:r>
        <w:rPr>
          <w:rFonts w:ascii="Arial" w:hAnsi="Arial"/>
          <w:b/>
          <w:sz w:val="22"/>
        </w:rPr>
        <w:t>Type 68 – Zero</w:t>
      </w:r>
    </w:p>
    <w:p>
      <w:pPr>
        <w:pStyle w:val="ListParagraph"/>
        <w:numPr>
          <w:ilvl w:val="0"/>
          <w:numId w:val="579"/>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undertake substitutions or estimations of 'zero' where either the </w:t>
      </w:r>
      <w:r>
        <w:rPr>
          <w:i/>
          <w:sz w:val="24"/>
        </w:rPr>
        <w:t>Local Network Service Provider </w:t>
      </w:r>
      <w:r>
        <w:rPr>
          <w:sz w:val="24"/>
        </w:rPr>
        <w:t>or </w:t>
      </w:r>
      <w:r>
        <w:rPr>
          <w:i/>
          <w:sz w:val="24"/>
        </w:rPr>
        <w:t>Metering </w:t>
      </w:r>
      <w:r>
        <w:rPr>
          <w:i/>
          <w:sz w:val="24"/>
        </w:rPr>
        <w:t>Provider </w:t>
      </w:r>
      <w:r>
        <w:rPr>
          <w:sz w:val="24"/>
        </w:rPr>
        <w:t>has informed the </w:t>
      </w:r>
      <w:r>
        <w:rPr>
          <w:i/>
          <w:sz w:val="24"/>
        </w:rPr>
        <w:t>Metering Data Provider </w:t>
      </w:r>
      <w:r>
        <w:rPr>
          <w:sz w:val="24"/>
        </w:rPr>
        <w:t>of a de-energised </w:t>
      </w:r>
      <w:r>
        <w:rPr>
          <w:i/>
          <w:sz w:val="24"/>
        </w:rPr>
        <w:t>connection point </w:t>
      </w:r>
      <w:r>
        <w:rPr>
          <w:sz w:val="24"/>
        </w:rPr>
        <w:t>or an inactive </w:t>
      </w:r>
      <w:r>
        <w:rPr>
          <w:i/>
          <w:sz w:val="24"/>
        </w:rPr>
        <w:t>meter </w:t>
      </w:r>
      <w:r>
        <w:rPr>
          <w:sz w:val="24"/>
        </w:rPr>
        <w:t>and where the consumption is known to be</w:t>
      </w:r>
      <w:r>
        <w:rPr>
          <w:spacing w:val="-1"/>
          <w:sz w:val="24"/>
        </w:rPr>
        <w:t> </w:t>
      </w:r>
      <w:r>
        <w:rPr>
          <w:sz w:val="24"/>
        </w:rPr>
        <w:t>zero.</w:t>
      </w:r>
    </w:p>
    <w:p>
      <w:pPr>
        <w:pStyle w:val="Heading4"/>
        <w:tabs>
          <w:tab w:pos="1658" w:val="left" w:leader="none"/>
        </w:tabs>
        <w:spacing w:line="510" w:lineRule="atLeast" w:before="6"/>
        <w:ind w:left="218" w:right="1927" w:firstLine="0"/>
      </w:pPr>
      <w:bookmarkStart w:name="S7A.7.12 Substitution and estimation for" w:id="2038"/>
      <w:bookmarkEnd w:id="2038"/>
      <w:r>
        <w:rPr>
          <w:b w:val="0"/>
        </w:rPr>
      </w:r>
      <w:bookmarkStart w:name="_bookmark843" w:id="2039"/>
      <w:bookmarkEnd w:id="2039"/>
      <w:r>
        <w:rPr>
          <w:b w:val="0"/>
        </w:rPr>
      </w:r>
      <w:r>
        <w:rPr/>
        <w:t>S7A.7.12 Substitution and estimation for calculated metering data</w:t>
      </w:r>
      <w:bookmarkStart w:name="S7A.7.12.1 Substitution rules" w:id="2040"/>
      <w:bookmarkEnd w:id="2040"/>
      <w:r>
        <w:rPr/>
      </w:r>
      <w:bookmarkStart w:name="_bookmark844" w:id="2041"/>
      <w:bookmarkEnd w:id="2041"/>
      <w:r>
        <w:rPr/>
      </w:r>
      <w:r>
        <w:rPr/>
        <w:t> S7A.7.12.1</w:t>
        <w:tab/>
        <w:t>Substitution</w:t>
      </w:r>
      <w:r>
        <w:rPr>
          <w:spacing w:val="-1"/>
        </w:rPr>
        <w:t> </w:t>
      </w:r>
      <w:r>
        <w:rPr/>
        <w:t>rules</w:t>
      </w:r>
    </w:p>
    <w:p>
      <w:pPr>
        <w:pStyle w:val="ListParagraph"/>
        <w:numPr>
          <w:ilvl w:val="0"/>
          <w:numId w:val="580"/>
        </w:numPr>
        <w:tabs>
          <w:tab w:pos="1919" w:val="left" w:leader="none"/>
        </w:tabs>
        <w:spacing w:line="240" w:lineRule="auto" w:before="126" w:after="0"/>
        <w:ind w:left="1918" w:right="0" w:hanging="567"/>
        <w:jc w:val="both"/>
        <w:rPr>
          <w:sz w:val="24"/>
        </w:rPr>
      </w:pPr>
      <w:r>
        <w:rPr>
          <w:sz w:val="24"/>
        </w:rPr>
        <w:t>The </w:t>
      </w:r>
      <w:r>
        <w:rPr>
          <w:i/>
          <w:sz w:val="24"/>
        </w:rPr>
        <w:t>Metering Data Provider</w:t>
      </w:r>
      <w:r>
        <w:rPr>
          <w:i/>
          <w:spacing w:val="-2"/>
          <w:sz w:val="24"/>
        </w:rPr>
        <w:t> </w:t>
      </w:r>
      <w:r>
        <w:rPr>
          <w:sz w:val="24"/>
        </w:rPr>
        <w:t>must:</w:t>
      </w:r>
    </w:p>
    <w:p>
      <w:pPr>
        <w:pStyle w:val="ListParagraph"/>
        <w:numPr>
          <w:ilvl w:val="1"/>
          <w:numId w:val="580"/>
        </w:numPr>
        <w:tabs>
          <w:tab w:pos="2486" w:val="left" w:leader="none"/>
        </w:tabs>
        <w:spacing w:line="240" w:lineRule="auto" w:before="120" w:after="0"/>
        <w:ind w:left="2486" w:right="414" w:hanging="567"/>
        <w:jc w:val="both"/>
        <w:rPr>
          <w:sz w:val="24"/>
        </w:rPr>
      </w:pPr>
      <w:r>
        <w:rPr>
          <w:sz w:val="24"/>
        </w:rPr>
        <w:t>obtain clear and concise identification as to the cause of any missing or erroneous </w:t>
      </w:r>
      <w:r>
        <w:rPr>
          <w:i/>
          <w:sz w:val="24"/>
        </w:rPr>
        <w:t>calculated metering data </w:t>
      </w:r>
      <w:r>
        <w:rPr>
          <w:sz w:val="24"/>
        </w:rPr>
        <w:t>for which </w:t>
      </w:r>
      <w:r>
        <w:rPr>
          <w:i/>
          <w:sz w:val="24"/>
        </w:rPr>
        <w:t>substituted metering </w:t>
      </w:r>
      <w:r>
        <w:rPr>
          <w:i/>
          <w:sz w:val="24"/>
        </w:rPr>
        <w:t>data </w:t>
      </w:r>
      <w:r>
        <w:rPr>
          <w:sz w:val="24"/>
        </w:rPr>
        <w:t>are</w:t>
      </w:r>
      <w:r>
        <w:rPr>
          <w:spacing w:val="-1"/>
          <w:sz w:val="24"/>
        </w:rPr>
        <w:t> </w:t>
      </w:r>
      <w:r>
        <w:rPr>
          <w:sz w:val="24"/>
        </w:rPr>
        <w:t>required;</w:t>
      </w:r>
    </w:p>
    <w:p>
      <w:pPr>
        <w:pStyle w:val="ListParagraph"/>
        <w:numPr>
          <w:ilvl w:val="1"/>
          <w:numId w:val="580"/>
        </w:numPr>
        <w:tabs>
          <w:tab w:pos="2486" w:val="left" w:leader="none"/>
        </w:tabs>
        <w:spacing w:line="240" w:lineRule="auto" w:before="120" w:after="0"/>
        <w:ind w:left="2486" w:right="416" w:hanging="567"/>
        <w:jc w:val="both"/>
        <w:rPr>
          <w:sz w:val="24"/>
        </w:rPr>
      </w:pPr>
      <w:r>
        <w:rPr>
          <w:sz w:val="24"/>
        </w:rPr>
        <w:t>ensure that all </w:t>
      </w:r>
      <w:r>
        <w:rPr>
          <w:i/>
          <w:sz w:val="24"/>
        </w:rPr>
        <w:t>substituted metering data </w:t>
      </w:r>
      <w:r>
        <w:rPr>
          <w:sz w:val="24"/>
        </w:rPr>
        <w:t>and </w:t>
      </w:r>
      <w:r>
        <w:rPr>
          <w:i/>
          <w:sz w:val="24"/>
        </w:rPr>
        <w:t>estimated metering data </w:t>
      </w:r>
      <w:r>
        <w:rPr>
          <w:sz w:val="24"/>
        </w:rPr>
        <w:t>are based on </w:t>
      </w:r>
      <w:r>
        <w:rPr>
          <w:i/>
          <w:sz w:val="24"/>
        </w:rPr>
        <w:t>calculated metering data </w:t>
      </w:r>
      <w:r>
        <w:rPr>
          <w:sz w:val="24"/>
        </w:rPr>
        <w:t>and not on any previous substitutions or estimations (as</w:t>
      </w:r>
      <w:r>
        <w:rPr>
          <w:spacing w:val="-1"/>
          <w:sz w:val="24"/>
        </w:rPr>
        <w:t> </w:t>
      </w:r>
      <w:r>
        <w:rPr>
          <w:sz w:val="24"/>
        </w:rPr>
        <w:t>applicable);</w:t>
      </w:r>
    </w:p>
    <w:p>
      <w:pPr>
        <w:pStyle w:val="ListParagraph"/>
        <w:numPr>
          <w:ilvl w:val="1"/>
          <w:numId w:val="580"/>
        </w:numPr>
        <w:tabs>
          <w:tab w:pos="2486" w:val="left" w:leader="none"/>
        </w:tabs>
        <w:spacing w:line="240" w:lineRule="auto" w:before="120" w:after="0"/>
        <w:ind w:left="2486" w:right="416" w:hanging="567"/>
        <w:jc w:val="both"/>
        <w:rPr>
          <w:sz w:val="24"/>
        </w:rPr>
      </w:pPr>
      <w:r>
        <w:rPr>
          <w:sz w:val="24"/>
        </w:rPr>
        <w:t>base </w:t>
      </w:r>
      <w:r>
        <w:rPr>
          <w:i/>
          <w:sz w:val="24"/>
        </w:rPr>
        <w:t>calculated metering data </w:t>
      </w:r>
      <w:r>
        <w:rPr>
          <w:sz w:val="24"/>
        </w:rPr>
        <w:t>for type 7 </w:t>
      </w:r>
      <w:r>
        <w:rPr>
          <w:i/>
          <w:sz w:val="24"/>
        </w:rPr>
        <w:t>metering installations </w:t>
      </w:r>
      <w:r>
        <w:rPr>
          <w:sz w:val="24"/>
        </w:rPr>
        <w:t>on inventory table data as</w:t>
      </w:r>
      <w:r>
        <w:rPr>
          <w:spacing w:val="-2"/>
          <w:sz w:val="24"/>
        </w:rPr>
        <w:t> </w:t>
      </w:r>
      <w:r>
        <w:rPr>
          <w:sz w:val="24"/>
        </w:rPr>
        <w:t>follows:</w:t>
      </w:r>
    </w:p>
    <w:p>
      <w:pPr>
        <w:pStyle w:val="ListParagraph"/>
        <w:numPr>
          <w:ilvl w:val="2"/>
          <w:numId w:val="580"/>
        </w:numPr>
        <w:tabs>
          <w:tab w:pos="3053" w:val="left" w:leader="none"/>
        </w:tabs>
        <w:spacing w:line="240" w:lineRule="auto" w:before="120" w:after="0"/>
        <w:ind w:left="3053" w:right="415" w:hanging="567"/>
        <w:jc w:val="both"/>
        <w:rPr>
          <w:sz w:val="24"/>
        </w:rPr>
      </w:pPr>
      <w:r>
        <w:rPr>
          <w:sz w:val="24"/>
        </w:rPr>
        <w:t>where the inventory table has not been updated for the period concerned, </w:t>
      </w:r>
      <w:r>
        <w:rPr>
          <w:i/>
          <w:sz w:val="24"/>
        </w:rPr>
        <w:t>calculated metering data </w:t>
      </w:r>
      <w:r>
        <w:rPr>
          <w:sz w:val="24"/>
        </w:rPr>
        <w:t>must be based on the most recent available information and provided as an estimate;</w:t>
      </w:r>
      <w:r>
        <w:rPr>
          <w:spacing w:val="-3"/>
          <w:sz w:val="24"/>
        </w:rPr>
        <w:t> </w:t>
      </w:r>
      <w:r>
        <w:rPr>
          <w:sz w:val="24"/>
        </w:rPr>
        <w:t>and</w:t>
      </w:r>
    </w:p>
    <w:p>
      <w:pPr>
        <w:pStyle w:val="ListParagraph"/>
        <w:numPr>
          <w:ilvl w:val="2"/>
          <w:numId w:val="580"/>
        </w:numPr>
        <w:tabs>
          <w:tab w:pos="3054" w:val="left" w:leader="none"/>
        </w:tabs>
        <w:spacing w:line="240" w:lineRule="auto" w:before="120" w:after="0"/>
        <w:ind w:left="3053" w:right="415" w:hanging="567"/>
        <w:jc w:val="both"/>
        <w:rPr>
          <w:sz w:val="24"/>
        </w:rPr>
      </w:pPr>
      <w:r>
        <w:rPr>
          <w:sz w:val="24"/>
        </w:rPr>
        <w:t>where the inventory table is correct for the period concerned, the </w:t>
      </w:r>
      <w:r>
        <w:rPr>
          <w:i/>
          <w:sz w:val="24"/>
        </w:rPr>
        <w:t>calculated metering data </w:t>
      </w:r>
      <w:r>
        <w:rPr>
          <w:sz w:val="24"/>
        </w:rPr>
        <w:t>must be flagged as 'A' </w:t>
      </w:r>
      <w:r>
        <w:rPr>
          <w:i/>
          <w:sz w:val="24"/>
        </w:rPr>
        <w:t>metering data</w:t>
      </w:r>
      <w:r>
        <w:rPr>
          <w:sz w:val="24"/>
        </w:rPr>
        <w:t>, however, when the inventory table is subsequently updated for the period concerned, the </w:t>
      </w:r>
      <w:r>
        <w:rPr>
          <w:i/>
          <w:sz w:val="24"/>
        </w:rPr>
        <w:t>calculated metering data </w:t>
      </w:r>
      <w:r>
        <w:rPr>
          <w:sz w:val="24"/>
        </w:rPr>
        <w:t>must be flagged as 'F' </w:t>
      </w:r>
      <w:r>
        <w:rPr>
          <w:i/>
          <w:sz w:val="24"/>
        </w:rPr>
        <w:t>metering</w:t>
      </w:r>
      <w:r>
        <w:rPr>
          <w:i/>
          <w:spacing w:val="-3"/>
          <w:sz w:val="24"/>
        </w:rPr>
        <w:t> </w:t>
      </w:r>
      <w:r>
        <w:rPr>
          <w:i/>
          <w:sz w:val="24"/>
        </w:rPr>
        <w:t>data</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580"/>
        </w:numPr>
        <w:tabs>
          <w:tab w:pos="2486" w:val="left" w:leader="none"/>
        </w:tabs>
        <w:spacing w:line="240" w:lineRule="auto" w:before="83" w:after="0"/>
        <w:ind w:left="2486" w:right="415" w:hanging="567"/>
        <w:jc w:val="both"/>
        <w:rPr>
          <w:sz w:val="24"/>
        </w:rPr>
      </w:pPr>
      <w:r>
        <w:rPr>
          <w:sz w:val="24"/>
        </w:rPr>
        <w:t>notify the </w:t>
      </w:r>
      <w:r>
        <w:rPr>
          <w:i/>
          <w:sz w:val="24"/>
        </w:rPr>
        <w:t>Local Network Service Provider</w:t>
      </w:r>
      <w:r>
        <w:rPr>
          <w:sz w:val="24"/>
        </w:rPr>
        <w:t>, the relevant </w:t>
      </w:r>
      <w:r>
        <w:rPr>
          <w:i/>
          <w:sz w:val="24"/>
        </w:rPr>
        <w:t>retailer </w:t>
      </w:r>
      <w:r>
        <w:rPr>
          <w:sz w:val="24"/>
        </w:rPr>
        <w:t>and the financially responsible participant for the </w:t>
      </w:r>
      <w:r>
        <w:rPr>
          <w:i/>
          <w:sz w:val="24"/>
        </w:rPr>
        <w:t>connection point </w:t>
      </w:r>
      <w:r>
        <w:rPr>
          <w:sz w:val="24"/>
        </w:rPr>
        <w:t>of any substituted </w:t>
      </w:r>
      <w:r>
        <w:rPr>
          <w:i/>
          <w:sz w:val="24"/>
        </w:rPr>
        <w:t>calculated metering data </w:t>
      </w:r>
      <w:r>
        <w:rPr>
          <w:sz w:val="24"/>
        </w:rPr>
        <w:t>within 2 </w:t>
      </w:r>
      <w:r>
        <w:rPr>
          <w:i/>
          <w:sz w:val="24"/>
        </w:rPr>
        <w:t>business days </w:t>
      </w:r>
      <w:r>
        <w:rPr>
          <w:sz w:val="24"/>
        </w:rPr>
        <w:t>of the substitution, and this notification is achieved via the Participant </w:t>
      </w:r>
      <w:r>
        <w:rPr>
          <w:i/>
          <w:sz w:val="24"/>
        </w:rPr>
        <w:t>metering data </w:t>
      </w:r>
      <w:r>
        <w:rPr>
          <w:sz w:val="24"/>
        </w:rPr>
        <w:t>file as detailed within Schedule 7A.8;</w:t>
      </w:r>
      <w:r>
        <w:rPr>
          <w:spacing w:val="-8"/>
          <w:sz w:val="24"/>
        </w:rPr>
        <w:t> </w:t>
      </w:r>
      <w:r>
        <w:rPr>
          <w:sz w:val="24"/>
        </w:rPr>
        <w:t>and</w:t>
      </w:r>
    </w:p>
    <w:p>
      <w:pPr>
        <w:pStyle w:val="ListParagraph"/>
        <w:numPr>
          <w:ilvl w:val="1"/>
          <w:numId w:val="580"/>
        </w:numPr>
        <w:tabs>
          <w:tab w:pos="2486" w:val="left" w:leader="none"/>
        </w:tabs>
        <w:spacing w:line="240" w:lineRule="auto" w:before="120" w:after="0"/>
        <w:ind w:left="2485" w:right="0" w:hanging="567"/>
        <w:jc w:val="both"/>
        <w:rPr>
          <w:sz w:val="24"/>
        </w:rPr>
      </w:pPr>
      <w:r>
        <w:rPr>
          <w:sz w:val="24"/>
        </w:rPr>
        <w:t>flag all </w:t>
      </w:r>
      <w:r>
        <w:rPr>
          <w:i/>
          <w:sz w:val="24"/>
        </w:rPr>
        <w:t>calculated metering data </w:t>
      </w:r>
      <w:r>
        <w:rPr>
          <w:sz w:val="24"/>
        </w:rPr>
        <w:t>substitutions as</w:t>
      </w:r>
      <w:r>
        <w:rPr>
          <w:spacing w:val="-5"/>
          <w:sz w:val="24"/>
        </w:rPr>
        <w:t> </w:t>
      </w:r>
      <w:r>
        <w:rPr>
          <w:sz w:val="24"/>
        </w:rPr>
        <w:t>'F'.</w:t>
      </w:r>
    </w:p>
    <w:p>
      <w:pPr>
        <w:pStyle w:val="ListParagraph"/>
        <w:numPr>
          <w:ilvl w:val="0"/>
          <w:numId w:val="580"/>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may apply the following substitution and estimations</w:t>
      </w:r>
      <w:r>
        <w:rPr>
          <w:spacing w:val="-1"/>
          <w:sz w:val="24"/>
        </w:rPr>
        <w:t> </w:t>
      </w:r>
      <w:r>
        <w:rPr>
          <w:sz w:val="24"/>
        </w:rPr>
        <w:t>types:</w:t>
      </w:r>
    </w:p>
    <w:p>
      <w:pPr>
        <w:pStyle w:val="ListParagraph"/>
        <w:numPr>
          <w:ilvl w:val="1"/>
          <w:numId w:val="580"/>
        </w:numPr>
        <w:tabs>
          <w:tab w:pos="2486" w:val="left" w:leader="none"/>
        </w:tabs>
        <w:spacing w:line="240" w:lineRule="auto" w:before="120" w:after="0"/>
        <w:ind w:left="2485" w:right="0" w:hanging="567"/>
        <w:jc w:val="both"/>
        <w:rPr>
          <w:sz w:val="24"/>
        </w:rPr>
      </w:pPr>
      <w:r>
        <w:rPr>
          <w:sz w:val="24"/>
        </w:rPr>
        <w:t>substitutions may be type 71, 72, 73, or</w:t>
      </w:r>
      <w:r>
        <w:rPr>
          <w:spacing w:val="-2"/>
          <w:sz w:val="24"/>
        </w:rPr>
        <w:t> </w:t>
      </w:r>
      <w:r>
        <w:rPr>
          <w:sz w:val="24"/>
        </w:rPr>
        <w:t>74;</w:t>
      </w:r>
    </w:p>
    <w:p>
      <w:pPr>
        <w:pStyle w:val="ListParagraph"/>
        <w:numPr>
          <w:ilvl w:val="1"/>
          <w:numId w:val="580"/>
        </w:numPr>
        <w:tabs>
          <w:tab w:pos="2486" w:val="left" w:leader="none"/>
        </w:tabs>
        <w:spacing w:line="240" w:lineRule="auto" w:before="120" w:after="0"/>
        <w:ind w:left="2485" w:right="0" w:hanging="567"/>
        <w:jc w:val="both"/>
        <w:rPr>
          <w:sz w:val="24"/>
        </w:rPr>
      </w:pPr>
      <w:r>
        <w:rPr>
          <w:sz w:val="24"/>
        </w:rPr>
        <w:t>estimations may be type</w:t>
      </w:r>
      <w:r>
        <w:rPr>
          <w:spacing w:val="-1"/>
          <w:sz w:val="24"/>
        </w:rPr>
        <w:t> </w:t>
      </w:r>
      <w:r>
        <w:rPr>
          <w:sz w:val="24"/>
        </w:rPr>
        <w:t>75.</w:t>
      </w:r>
    </w:p>
    <w:p>
      <w:pPr>
        <w:pStyle w:val="BodyText"/>
        <w:spacing w:before="10"/>
        <w:ind w:firstLine="0"/>
        <w:jc w:val="left"/>
        <w:rPr>
          <w:sz w:val="20"/>
        </w:rPr>
      </w:pPr>
    </w:p>
    <w:p>
      <w:pPr>
        <w:pStyle w:val="Heading4"/>
        <w:tabs>
          <w:tab w:pos="1658" w:val="left" w:leader="none"/>
        </w:tabs>
        <w:ind w:left="218" w:firstLine="0"/>
      </w:pPr>
      <w:bookmarkStart w:name="S7A.7.12.2 Substitution and estimation t" w:id="2042"/>
      <w:bookmarkEnd w:id="2042"/>
      <w:r>
        <w:rPr>
          <w:b w:val="0"/>
        </w:rPr>
      </w:r>
      <w:bookmarkStart w:name="_bookmark845" w:id="2043"/>
      <w:bookmarkEnd w:id="2043"/>
      <w:r>
        <w:rPr>
          <w:b w:val="0"/>
        </w:rPr>
      </w:r>
      <w:r>
        <w:rPr/>
        <w:t>S7A.7.12.2</w:t>
        <w:tab/>
        <w:t>Substitution and estimation</w:t>
      </w:r>
      <w:r>
        <w:rPr>
          <w:spacing w:val="-3"/>
        </w:rPr>
        <w:t> </w:t>
      </w:r>
      <w:r>
        <w:rPr/>
        <w:t>types</w:t>
      </w:r>
    </w:p>
    <w:p>
      <w:pPr>
        <w:spacing w:before="220"/>
        <w:ind w:left="1356" w:right="0" w:firstLine="0"/>
        <w:jc w:val="left"/>
        <w:rPr>
          <w:rFonts w:ascii="Arial" w:hAnsi="Arial"/>
          <w:b/>
          <w:sz w:val="22"/>
        </w:rPr>
      </w:pPr>
      <w:r>
        <w:rPr>
          <w:rFonts w:ascii="Arial" w:hAnsi="Arial"/>
          <w:b/>
          <w:sz w:val="22"/>
        </w:rPr>
        <w:t>Type 71 – Recalculation</w:t>
      </w:r>
    </w:p>
    <w:p>
      <w:pPr>
        <w:pStyle w:val="ListParagraph"/>
        <w:numPr>
          <w:ilvl w:val="0"/>
          <w:numId w:val="581"/>
        </w:numPr>
        <w:tabs>
          <w:tab w:pos="1919" w:val="left" w:leader="none"/>
        </w:tabs>
        <w:spacing w:line="240" w:lineRule="auto" w:before="120" w:after="0"/>
        <w:ind w:left="1919" w:right="414" w:hanging="567"/>
        <w:jc w:val="both"/>
        <w:rPr>
          <w:sz w:val="24"/>
        </w:rPr>
      </w:pPr>
      <w:r>
        <w:rPr>
          <w:sz w:val="24"/>
        </w:rPr>
        <w:t>To perform a type 71 substitution, the </w:t>
      </w:r>
      <w:r>
        <w:rPr>
          <w:i/>
          <w:sz w:val="24"/>
        </w:rPr>
        <w:t>Metering Data Provider </w:t>
      </w:r>
      <w:r>
        <w:rPr>
          <w:sz w:val="24"/>
        </w:rPr>
        <w:t>must substitute </w:t>
      </w:r>
      <w:r>
        <w:rPr>
          <w:i/>
          <w:sz w:val="24"/>
        </w:rPr>
        <w:t>calculated metering data </w:t>
      </w:r>
      <w:r>
        <w:rPr>
          <w:sz w:val="24"/>
        </w:rPr>
        <w:t>with the </w:t>
      </w:r>
      <w:r>
        <w:rPr>
          <w:i/>
          <w:sz w:val="24"/>
        </w:rPr>
        <w:t>calculated metering data </w:t>
      </w:r>
      <w:r>
        <w:rPr>
          <w:sz w:val="24"/>
        </w:rPr>
        <w:t>obtained by a recalculation based on the current inventory tables, load tables and on/off</w:t>
      </w:r>
      <w:r>
        <w:rPr>
          <w:spacing w:val="-1"/>
          <w:sz w:val="24"/>
        </w:rPr>
        <w:t> </w:t>
      </w:r>
      <w:r>
        <w:rPr>
          <w:sz w:val="24"/>
        </w:rPr>
        <w:t>tables.</w:t>
      </w:r>
    </w:p>
    <w:p>
      <w:pPr>
        <w:spacing w:before="220"/>
        <w:ind w:left="1356" w:right="0" w:firstLine="0"/>
        <w:jc w:val="left"/>
        <w:rPr>
          <w:rFonts w:ascii="Arial" w:hAnsi="Arial"/>
          <w:b/>
          <w:sz w:val="22"/>
        </w:rPr>
      </w:pPr>
      <w:r>
        <w:rPr>
          <w:rFonts w:ascii="Arial" w:hAnsi="Arial"/>
          <w:b/>
          <w:sz w:val="22"/>
        </w:rPr>
        <w:t>Type 72 – Revised tables</w:t>
      </w:r>
    </w:p>
    <w:p>
      <w:pPr>
        <w:pStyle w:val="ListParagraph"/>
        <w:numPr>
          <w:ilvl w:val="0"/>
          <w:numId w:val="581"/>
        </w:numPr>
        <w:tabs>
          <w:tab w:pos="1919" w:val="left" w:leader="none"/>
        </w:tabs>
        <w:spacing w:line="240" w:lineRule="auto" w:before="120" w:after="0"/>
        <w:ind w:left="1919" w:right="414" w:hanging="567"/>
        <w:jc w:val="both"/>
        <w:rPr>
          <w:sz w:val="24"/>
        </w:rPr>
      </w:pPr>
      <w:r>
        <w:rPr>
          <w:sz w:val="24"/>
        </w:rPr>
        <w:t>Where the error in the </w:t>
      </w:r>
      <w:r>
        <w:rPr>
          <w:i/>
          <w:sz w:val="24"/>
        </w:rPr>
        <w:t>calculated metering data </w:t>
      </w:r>
      <w:r>
        <w:rPr>
          <w:sz w:val="24"/>
        </w:rPr>
        <w:t>is due to errors in the inventory table, load table and on/off table, the </w:t>
      </w:r>
      <w:r>
        <w:rPr>
          <w:i/>
          <w:sz w:val="24"/>
        </w:rPr>
        <w:t>Metering Data Provider </w:t>
      </w:r>
      <w:r>
        <w:rPr>
          <w:sz w:val="24"/>
        </w:rPr>
        <w:t>must substitute </w:t>
      </w:r>
      <w:r>
        <w:rPr>
          <w:i/>
          <w:sz w:val="24"/>
        </w:rPr>
        <w:t>calculated metering data </w:t>
      </w:r>
      <w:r>
        <w:rPr>
          <w:sz w:val="24"/>
        </w:rPr>
        <w:t>by a recalculation based on the most recent inventory tables, load tables and on/off tables in which there were no</w:t>
      </w:r>
      <w:r>
        <w:rPr>
          <w:spacing w:val="-2"/>
          <w:sz w:val="24"/>
        </w:rPr>
        <w:t> </w:t>
      </w:r>
      <w:r>
        <w:rPr>
          <w:sz w:val="24"/>
        </w:rPr>
        <w:t>errors.</w:t>
      </w:r>
    </w:p>
    <w:p>
      <w:pPr>
        <w:spacing w:before="220"/>
        <w:ind w:left="1356" w:right="0" w:firstLine="0"/>
        <w:jc w:val="left"/>
        <w:rPr>
          <w:rFonts w:ascii="Arial" w:hAnsi="Arial"/>
          <w:b/>
          <w:sz w:val="22"/>
        </w:rPr>
      </w:pPr>
      <w:r>
        <w:rPr>
          <w:rFonts w:ascii="Arial" w:hAnsi="Arial"/>
          <w:b/>
          <w:sz w:val="22"/>
        </w:rPr>
        <w:t>Type 73 – Revised algorithm</w:t>
      </w:r>
    </w:p>
    <w:p>
      <w:pPr>
        <w:pStyle w:val="ListParagraph"/>
        <w:numPr>
          <w:ilvl w:val="0"/>
          <w:numId w:val="581"/>
        </w:numPr>
        <w:tabs>
          <w:tab w:pos="1919" w:val="left" w:leader="none"/>
        </w:tabs>
        <w:spacing w:line="240" w:lineRule="auto" w:before="120" w:after="0"/>
        <w:ind w:left="1919" w:right="414" w:hanging="567"/>
        <w:jc w:val="both"/>
        <w:rPr>
          <w:sz w:val="24"/>
        </w:rPr>
      </w:pPr>
      <w:r>
        <w:rPr>
          <w:sz w:val="24"/>
        </w:rPr>
        <w:t>Where the error in the </w:t>
      </w:r>
      <w:r>
        <w:rPr>
          <w:i/>
          <w:sz w:val="24"/>
        </w:rPr>
        <w:t>calculated metering data </w:t>
      </w:r>
      <w:r>
        <w:rPr>
          <w:sz w:val="24"/>
        </w:rPr>
        <w:t>is due to an error in its calculation, the </w:t>
      </w:r>
      <w:r>
        <w:rPr>
          <w:i/>
          <w:sz w:val="24"/>
        </w:rPr>
        <w:t>Metering Data Provider </w:t>
      </w:r>
      <w:r>
        <w:rPr>
          <w:sz w:val="24"/>
        </w:rPr>
        <w:t>must substitute the most recent </w:t>
      </w:r>
      <w:r>
        <w:rPr>
          <w:i/>
          <w:sz w:val="24"/>
        </w:rPr>
        <w:t>calculated metering data </w:t>
      </w:r>
      <w:r>
        <w:rPr>
          <w:sz w:val="24"/>
        </w:rPr>
        <w:t>for which there was no</w:t>
      </w:r>
      <w:r>
        <w:rPr>
          <w:spacing w:val="-5"/>
          <w:sz w:val="24"/>
        </w:rPr>
        <w:t> </w:t>
      </w:r>
      <w:r>
        <w:rPr>
          <w:sz w:val="24"/>
        </w:rPr>
        <w:t>error.</w:t>
      </w:r>
    </w:p>
    <w:p>
      <w:pPr>
        <w:spacing w:before="220"/>
        <w:ind w:left="1356" w:right="0" w:firstLine="0"/>
        <w:jc w:val="left"/>
        <w:rPr>
          <w:rFonts w:ascii="Arial" w:hAnsi="Arial"/>
          <w:b/>
          <w:sz w:val="22"/>
        </w:rPr>
      </w:pPr>
      <w:r>
        <w:rPr>
          <w:rFonts w:ascii="Arial" w:hAnsi="Arial"/>
          <w:b/>
          <w:sz w:val="22"/>
        </w:rPr>
        <w:t>Type 74 – Agreed method</w:t>
      </w:r>
    </w:p>
    <w:p>
      <w:pPr>
        <w:pStyle w:val="ListParagraph"/>
        <w:numPr>
          <w:ilvl w:val="0"/>
          <w:numId w:val="581"/>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may use another method of </w:t>
      </w:r>
      <w:r>
        <w:rPr>
          <w:i/>
          <w:sz w:val="24"/>
        </w:rPr>
        <w:t>calculated </w:t>
      </w:r>
      <w:r>
        <w:rPr>
          <w:i/>
          <w:sz w:val="24"/>
        </w:rPr>
        <w:t>metering data </w:t>
      </w:r>
      <w:r>
        <w:rPr>
          <w:sz w:val="24"/>
        </w:rPr>
        <w:t>substitution (which may be a modification of an existing substitution type), where none of the existing substitution types</w:t>
      </w:r>
      <w:r>
        <w:rPr>
          <w:spacing w:val="27"/>
          <w:sz w:val="24"/>
        </w:rPr>
        <w:t> </w:t>
      </w:r>
      <w:r>
        <w:rPr>
          <w:sz w:val="24"/>
        </w:rPr>
        <w:t>is applicable, subject to using reasonable endeavours to form an agreement between the financially responsible participant, the relevant </w:t>
      </w:r>
      <w:r>
        <w:rPr>
          <w:i/>
          <w:sz w:val="24"/>
        </w:rPr>
        <w:t>retailer</w:t>
      </w:r>
      <w:r>
        <w:rPr>
          <w:i/>
          <w:spacing w:val="27"/>
          <w:sz w:val="24"/>
        </w:rPr>
        <w:t> </w:t>
      </w:r>
      <w:r>
        <w:rPr>
          <w:sz w:val="24"/>
        </w:rPr>
        <w:t>and </w:t>
      </w:r>
      <w:r>
        <w:rPr>
          <w:i/>
          <w:sz w:val="24"/>
        </w:rPr>
        <w:t>Local Network Service Provider </w:t>
      </w:r>
      <w:r>
        <w:rPr>
          <w:sz w:val="24"/>
        </w:rPr>
        <w:t>for the </w:t>
      </w:r>
      <w:r>
        <w:rPr>
          <w:i/>
          <w:sz w:val="24"/>
        </w:rPr>
        <w:t>connection point</w:t>
      </w:r>
      <w:r>
        <w:rPr>
          <w:sz w:val="24"/>
        </w:rPr>
        <w:t>. The specifics of this substitution type may involve a globally applied</w:t>
      </w:r>
      <w:r>
        <w:rPr>
          <w:spacing w:val="-3"/>
          <w:sz w:val="24"/>
        </w:rPr>
        <w:t> </w:t>
      </w:r>
      <w:r>
        <w:rPr>
          <w:sz w:val="24"/>
        </w:rPr>
        <w:t>method.</w:t>
      </w:r>
    </w:p>
    <w:p>
      <w:pPr>
        <w:spacing w:before="220"/>
        <w:ind w:left="1356" w:right="0" w:firstLine="0"/>
        <w:jc w:val="left"/>
        <w:rPr>
          <w:rFonts w:ascii="Arial" w:hAnsi="Arial"/>
          <w:b/>
          <w:sz w:val="22"/>
        </w:rPr>
      </w:pPr>
      <w:r>
        <w:rPr>
          <w:rFonts w:ascii="Arial" w:hAnsi="Arial"/>
          <w:b/>
          <w:sz w:val="22"/>
        </w:rPr>
        <w:t>Type 75 – Existing table</w:t>
      </w:r>
    </w:p>
    <w:p>
      <w:pPr>
        <w:pStyle w:val="ListParagraph"/>
        <w:numPr>
          <w:ilvl w:val="0"/>
          <w:numId w:val="581"/>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provide an estimate for the </w:t>
      </w:r>
      <w:r>
        <w:rPr>
          <w:i/>
          <w:sz w:val="24"/>
        </w:rPr>
        <w:t>calculated </w:t>
      </w:r>
      <w:r>
        <w:rPr>
          <w:i/>
          <w:sz w:val="24"/>
        </w:rPr>
        <w:t>metering data </w:t>
      </w:r>
      <w:r>
        <w:rPr>
          <w:sz w:val="24"/>
        </w:rPr>
        <w:t>based on the most recent inventory table until such time as an updated inventory table is received for the period</w:t>
      </w:r>
      <w:r>
        <w:rPr>
          <w:spacing w:val="-2"/>
          <w:sz w:val="24"/>
        </w:rPr>
        <w:t> </w:t>
      </w:r>
      <w:r>
        <w:rPr>
          <w:sz w:val="24"/>
        </w:rPr>
        <w:t>concerned.</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7.13 Data validation requirements" w:id="2044"/>
      <w:bookmarkEnd w:id="2044"/>
      <w:r>
        <w:rPr>
          <w:b w:val="0"/>
        </w:rPr>
      </w:r>
      <w:bookmarkStart w:name="_bookmark846" w:id="2045"/>
      <w:bookmarkEnd w:id="2045"/>
      <w:r>
        <w:rPr>
          <w:b w:val="0"/>
        </w:rPr>
      </w:r>
      <w:r>
        <w:rPr/>
        <w:t>S7A.7.13 Data validation requirements</w:t>
      </w:r>
    </w:p>
    <w:p>
      <w:pPr>
        <w:pStyle w:val="BodyText"/>
        <w:spacing w:before="10"/>
        <w:ind w:firstLine="0"/>
        <w:jc w:val="left"/>
        <w:rPr>
          <w:rFonts w:ascii="Arial"/>
          <w:b/>
          <w:sz w:val="20"/>
        </w:rPr>
      </w:pPr>
    </w:p>
    <w:p>
      <w:pPr>
        <w:pStyle w:val="Heading4"/>
        <w:tabs>
          <w:tab w:pos="1658" w:val="left" w:leader="none"/>
        </w:tabs>
        <w:ind w:left="218" w:firstLine="0"/>
      </w:pPr>
      <w:bookmarkStart w:name="S7A.7.13.1 Validation requirements for a" w:id="2046"/>
      <w:bookmarkEnd w:id="2046"/>
      <w:r>
        <w:rPr>
          <w:b w:val="0"/>
        </w:rPr>
      </w:r>
      <w:bookmarkStart w:name="_bookmark847" w:id="2047"/>
      <w:bookmarkEnd w:id="2047"/>
      <w:r>
        <w:rPr>
          <w:b w:val="0"/>
        </w:rPr>
      </w:r>
      <w:r>
        <w:rPr/>
        <w:t>S7A.7.13.1</w:t>
        <w:tab/>
        <w:t>Validation requirements for all metering</w:t>
      </w:r>
      <w:r>
        <w:rPr>
          <w:spacing w:val="-4"/>
        </w:rPr>
        <w:t> </w:t>
      </w:r>
      <w:r>
        <w:rPr/>
        <w:t>installations</w:t>
      </w:r>
    </w:p>
    <w:p>
      <w:pPr>
        <w:spacing w:before="120"/>
        <w:ind w:left="1352" w:right="0" w:firstLine="0"/>
        <w:jc w:val="both"/>
        <w:rPr>
          <w:sz w:val="24"/>
        </w:rPr>
      </w:pPr>
      <w:r>
        <w:rPr>
          <w:i/>
          <w:sz w:val="24"/>
        </w:rPr>
        <w:t>Metering Data Providers </w:t>
      </w:r>
      <w:r>
        <w:rPr>
          <w:sz w:val="24"/>
        </w:rPr>
        <w:t>must manage systems and processes on the basis that:</w:t>
      </w:r>
    </w:p>
    <w:p>
      <w:pPr>
        <w:pStyle w:val="ListParagraph"/>
        <w:numPr>
          <w:ilvl w:val="0"/>
          <w:numId w:val="582"/>
        </w:numPr>
        <w:tabs>
          <w:tab w:pos="1919" w:val="left" w:leader="none"/>
        </w:tabs>
        <w:spacing w:line="240" w:lineRule="auto" w:before="120" w:after="0"/>
        <w:ind w:left="1919" w:right="415" w:hanging="567"/>
        <w:jc w:val="both"/>
        <w:rPr>
          <w:sz w:val="24"/>
        </w:rPr>
      </w:pPr>
      <w:r>
        <w:rPr>
          <w:sz w:val="24"/>
        </w:rPr>
        <w:t>stored </w:t>
      </w:r>
      <w:r>
        <w:rPr>
          <w:i/>
          <w:sz w:val="24"/>
        </w:rPr>
        <w:t>metering data </w:t>
      </w:r>
      <w:r>
        <w:rPr>
          <w:sz w:val="24"/>
        </w:rPr>
        <w:t>held in the </w:t>
      </w:r>
      <w:r>
        <w:rPr>
          <w:i/>
          <w:sz w:val="24"/>
        </w:rPr>
        <w:t>meter </w:t>
      </w:r>
      <w:r>
        <w:rPr>
          <w:sz w:val="24"/>
        </w:rPr>
        <w:t>buffer might be subject to installation measurement</w:t>
      </w:r>
      <w:r>
        <w:rPr>
          <w:spacing w:val="-1"/>
          <w:sz w:val="24"/>
        </w:rPr>
        <w:t> </w:t>
      </w:r>
      <w:r>
        <w:rPr>
          <w:sz w:val="24"/>
        </w:rPr>
        <w:t>error;</w:t>
      </w:r>
    </w:p>
    <w:p>
      <w:pPr>
        <w:pStyle w:val="ListParagraph"/>
        <w:numPr>
          <w:ilvl w:val="0"/>
          <w:numId w:val="582"/>
        </w:numPr>
        <w:tabs>
          <w:tab w:pos="1919" w:val="left" w:leader="none"/>
        </w:tabs>
        <w:spacing w:line="240" w:lineRule="auto" w:before="120" w:after="0"/>
        <w:ind w:left="1919" w:right="415" w:hanging="567"/>
        <w:jc w:val="both"/>
        <w:rPr>
          <w:sz w:val="24"/>
        </w:rPr>
      </w:pPr>
      <w:r>
        <w:rPr>
          <w:sz w:val="24"/>
        </w:rPr>
        <w:t>data delivered by reading systems, (for example, remote reading systems, hand-held readers and conversion software) might not be recovered from the </w:t>
      </w:r>
      <w:r>
        <w:rPr>
          <w:i/>
          <w:sz w:val="24"/>
        </w:rPr>
        <w:t>meters </w:t>
      </w:r>
      <w:r>
        <w:rPr>
          <w:sz w:val="24"/>
        </w:rPr>
        <w:t>without corruption;</w:t>
      </w:r>
      <w:r>
        <w:rPr>
          <w:spacing w:val="-3"/>
          <w:sz w:val="24"/>
        </w:rPr>
        <w:t> </w:t>
      </w:r>
      <w:r>
        <w:rPr>
          <w:sz w:val="24"/>
        </w:rPr>
        <w:t>and</w:t>
      </w:r>
    </w:p>
    <w:p>
      <w:pPr>
        <w:pStyle w:val="ListParagraph"/>
        <w:numPr>
          <w:ilvl w:val="0"/>
          <w:numId w:val="582"/>
        </w:numPr>
        <w:tabs>
          <w:tab w:pos="1919" w:val="left" w:leader="none"/>
        </w:tabs>
        <w:spacing w:line="240" w:lineRule="auto" w:before="120" w:after="0"/>
        <w:ind w:left="1919" w:right="415" w:hanging="567"/>
        <w:jc w:val="both"/>
        <w:rPr>
          <w:sz w:val="24"/>
        </w:rPr>
      </w:pPr>
      <w:r>
        <w:rPr>
          <w:sz w:val="24"/>
        </w:rPr>
        <w:t>auditable validation procedures are of critical importance and can have a direct impact on disputes. It is essential that </w:t>
      </w:r>
      <w:r>
        <w:rPr>
          <w:i/>
          <w:sz w:val="24"/>
        </w:rPr>
        <w:t>Metering Data Providers </w:t>
      </w:r>
      <w:r>
        <w:rPr>
          <w:sz w:val="24"/>
        </w:rPr>
        <w:t>comply with these validation procedures and that all </w:t>
      </w:r>
      <w:r>
        <w:rPr>
          <w:i/>
          <w:sz w:val="24"/>
        </w:rPr>
        <w:t>metering data </w:t>
      </w:r>
      <w:r>
        <w:rPr>
          <w:sz w:val="24"/>
        </w:rPr>
        <w:t>is subject to validation prior to delivery to </w:t>
      </w:r>
      <w:r>
        <w:rPr>
          <w:i/>
          <w:sz w:val="24"/>
        </w:rPr>
        <w:t>NTESMO</w:t>
      </w:r>
      <w:r>
        <w:rPr>
          <w:sz w:val="24"/>
        </w:rPr>
        <w:t>, </w:t>
      </w:r>
      <w:r>
        <w:rPr>
          <w:i/>
          <w:sz w:val="24"/>
        </w:rPr>
        <w:t>Registered Participants </w:t>
      </w:r>
      <w:r>
        <w:rPr>
          <w:sz w:val="24"/>
        </w:rPr>
        <w:t>and financially responsible</w:t>
      </w:r>
      <w:r>
        <w:rPr>
          <w:spacing w:val="-2"/>
          <w:sz w:val="24"/>
        </w:rPr>
        <w:t> </w:t>
      </w:r>
      <w:r>
        <w:rPr>
          <w:sz w:val="24"/>
        </w:rPr>
        <w:t>participants.</w:t>
      </w:r>
    </w:p>
    <w:p>
      <w:pPr>
        <w:pStyle w:val="BodyText"/>
        <w:spacing w:before="10"/>
        <w:ind w:firstLine="0"/>
        <w:jc w:val="left"/>
        <w:rPr>
          <w:sz w:val="20"/>
        </w:rPr>
      </w:pPr>
    </w:p>
    <w:p>
      <w:pPr>
        <w:pStyle w:val="Heading4"/>
        <w:tabs>
          <w:tab w:pos="1658" w:val="left" w:leader="none"/>
        </w:tabs>
        <w:ind w:left="218" w:firstLine="0"/>
      </w:pPr>
      <w:bookmarkStart w:name="S7A.7.13.2 Validation of interval meteri" w:id="2048"/>
      <w:bookmarkEnd w:id="2048"/>
      <w:r>
        <w:rPr>
          <w:b w:val="0"/>
        </w:rPr>
      </w:r>
      <w:bookmarkStart w:name="_bookmark848" w:id="2049"/>
      <w:bookmarkEnd w:id="2049"/>
      <w:r>
        <w:rPr>
          <w:b w:val="0"/>
        </w:rPr>
      </w:r>
      <w:r>
        <w:rPr/>
        <w:t>S7A.7.13.2</w:t>
        <w:tab/>
        <w:t>Validation of interval metering data</w:t>
      </w:r>
      <w:r>
        <w:rPr>
          <w:spacing w:val="-3"/>
        </w:rPr>
        <w:t> </w:t>
      </w:r>
      <w:r>
        <w:rPr/>
        <w:t>alarms</w:t>
      </w:r>
    </w:p>
    <w:p>
      <w:pPr>
        <w:pStyle w:val="ListParagraph"/>
        <w:numPr>
          <w:ilvl w:val="0"/>
          <w:numId w:val="583"/>
        </w:numPr>
        <w:tabs>
          <w:tab w:pos="1918" w:val="left" w:leader="none"/>
          <w:tab w:pos="1919" w:val="left" w:leader="none"/>
        </w:tabs>
        <w:spacing w:line="240" w:lineRule="auto" w:before="120" w:after="0"/>
        <w:ind w:left="1919" w:right="416" w:hanging="567"/>
        <w:jc w:val="left"/>
        <w:rPr>
          <w:sz w:val="24"/>
        </w:rPr>
      </w:pPr>
      <w:r>
        <w:rPr>
          <w:sz w:val="24"/>
        </w:rPr>
        <w:t>The </w:t>
      </w:r>
      <w:r>
        <w:rPr>
          <w:i/>
          <w:sz w:val="24"/>
        </w:rPr>
        <w:t>Metering Data Provider </w:t>
      </w:r>
      <w:r>
        <w:rPr>
          <w:sz w:val="24"/>
        </w:rPr>
        <w:t>must validate </w:t>
      </w:r>
      <w:r>
        <w:rPr>
          <w:i/>
          <w:sz w:val="24"/>
        </w:rPr>
        <w:t>interval metering data </w:t>
      </w:r>
      <w:r>
        <w:rPr>
          <w:sz w:val="24"/>
        </w:rPr>
        <w:t>against the following </w:t>
      </w:r>
      <w:r>
        <w:rPr>
          <w:i/>
          <w:sz w:val="24"/>
        </w:rPr>
        <w:t>meter </w:t>
      </w:r>
      <w:r>
        <w:rPr>
          <w:sz w:val="24"/>
        </w:rPr>
        <w:t>alarms when these are provided in the</w:t>
      </w:r>
      <w:r>
        <w:rPr>
          <w:spacing w:val="-7"/>
          <w:sz w:val="24"/>
        </w:rPr>
        <w:t> </w:t>
      </w:r>
      <w:r>
        <w:rPr>
          <w:i/>
          <w:sz w:val="24"/>
        </w:rPr>
        <w:t>meter</w:t>
      </w:r>
      <w:r>
        <w:rPr>
          <w:sz w:val="24"/>
        </w:rPr>
        <w:t>:</w:t>
      </w:r>
    </w:p>
    <w:p>
      <w:pPr>
        <w:pStyle w:val="ListParagraph"/>
        <w:numPr>
          <w:ilvl w:val="1"/>
          <w:numId w:val="583"/>
        </w:numPr>
        <w:tabs>
          <w:tab w:pos="2485" w:val="left" w:leader="none"/>
          <w:tab w:pos="2486" w:val="left" w:leader="none"/>
        </w:tabs>
        <w:spacing w:line="240" w:lineRule="auto" w:before="120" w:after="0"/>
        <w:ind w:left="2485" w:right="0" w:hanging="567"/>
        <w:jc w:val="left"/>
        <w:rPr>
          <w:sz w:val="24"/>
        </w:rPr>
      </w:pPr>
      <w:r>
        <w:rPr>
          <w:sz w:val="24"/>
        </w:rPr>
        <w:t>power failure/</w:t>
      </w:r>
      <w:r>
        <w:rPr>
          <w:i/>
          <w:sz w:val="24"/>
        </w:rPr>
        <w:t>meter </w:t>
      </w:r>
      <w:r>
        <w:rPr>
          <w:sz w:val="24"/>
        </w:rPr>
        <w:t>loss of</w:t>
      </w:r>
      <w:r>
        <w:rPr>
          <w:spacing w:val="-2"/>
          <w:sz w:val="24"/>
        </w:rPr>
        <w:t> </w:t>
      </w:r>
      <w:r>
        <w:rPr>
          <w:sz w:val="24"/>
        </w:rPr>
        <w:t>supply;</w:t>
      </w:r>
    </w:p>
    <w:p>
      <w:pPr>
        <w:pStyle w:val="ListParagraph"/>
        <w:numPr>
          <w:ilvl w:val="1"/>
          <w:numId w:val="583"/>
        </w:numPr>
        <w:tabs>
          <w:tab w:pos="2485" w:val="left" w:leader="none"/>
          <w:tab w:pos="2486" w:val="left" w:leader="none"/>
        </w:tabs>
        <w:spacing w:line="240" w:lineRule="auto" w:before="120" w:after="0"/>
        <w:ind w:left="2485" w:right="0" w:hanging="567"/>
        <w:jc w:val="left"/>
        <w:rPr>
          <w:sz w:val="24"/>
        </w:rPr>
      </w:pPr>
      <w:r>
        <w:rPr>
          <w:i/>
          <w:sz w:val="24"/>
        </w:rPr>
        <w:t>voltage transformer </w:t>
      </w:r>
      <w:r>
        <w:rPr>
          <w:sz w:val="24"/>
        </w:rPr>
        <w:t>or phase</w:t>
      </w:r>
      <w:r>
        <w:rPr>
          <w:spacing w:val="-1"/>
          <w:sz w:val="24"/>
        </w:rPr>
        <w:t> </w:t>
      </w:r>
      <w:r>
        <w:rPr>
          <w:sz w:val="24"/>
        </w:rPr>
        <w:t>failure;</w:t>
      </w:r>
    </w:p>
    <w:p>
      <w:pPr>
        <w:pStyle w:val="ListParagraph"/>
        <w:numPr>
          <w:ilvl w:val="1"/>
          <w:numId w:val="583"/>
        </w:numPr>
        <w:tabs>
          <w:tab w:pos="2485" w:val="left" w:leader="none"/>
          <w:tab w:pos="2486" w:val="left" w:leader="none"/>
        </w:tabs>
        <w:spacing w:line="240" w:lineRule="auto" w:before="120" w:after="0"/>
        <w:ind w:left="2485" w:right="0" w:hanging="567"/>
        <w:jc w:val="left"/>
        <w:rPr>
          <w:sz w:val="24"/>
        </w:rPr>
      </w:pPr>
      <w:r>
        <w:rPr>
          <w:sz w:val="24"/>
        </w:rPr>
        <w:t>pulse overflow;</w:t>
      </w:r>
    </w:p>
    <w:p>
      <w:pPr>
        <w:pStyle w:val="ListParagraph"/>
        <w:numPr>
          <w:ilvl w:val="1"/>
          <w:numId w:val="583"/>
        </w:numPr>
        <w:tabs>
          <w:tab w:pos="2485" w:val="left" w:leader="none"/>
          <w:tab w:pos="2486" w:val="left" w:leader="none"/>
        </w:tabs>
        <w:spacing w:line="240" w:lineRule="auto" w:before="120" w:after="0"/>
        <w:ind w:left="2485" w:right="0" w:hanging="567"/>
        <w:jc w:val="left"/>
        <w:rPr>
          <w:sz w:val="24"/>
        </w:rPr>
      </w:pPr>
      <w:r>
        <w:rPr>
          <w:sz w:val="24"/>
        </w:rPr>
        <w:t>cyclic redundancy check error;</w:t>
      </w:r>
      <w:r>
        <w:rPr>
          <w:spacing w:val="-2"/>
          <w:sz w:val="24"/>
        </w:rPr>
        <w:t> </w:t>
      </w:r>
      <w:r>
        <w:rPr>
          <w:sz w:val="24"/>
        </w:rPr>
        <w:t>and</w:t>
      </w:r>
    </w:p>
    <w:p>
      <w:pPr>
        <w:pStyle w:val="ListParagraph"/>
        <w:numPr>
          <w:ilvl w:val="1"/>
          <w:numId w:val="583"/>
        </w:numPr>
        <w:tabs>
          <w:tab w:pos="2485" w:val="left" w:leader="none"/>
          <w:tab w:pos="2486" w:val="left" w:leader="none"/>
        </w:tabs>
        <w:spacing w:line="240" w:lineRule="auto" w:before="120" w:after="0"/>
        <w:ind w:left="2485" w:right="0" w:hanging="567"/>
        <w:jc w:val="left"/>
        <w:rPr>
          <w:sz w:val="24"/>
        </w:rPr>
      </w:pPr>
      <w:r>
        <w:rPr>
          <w:sz w:val="24"/>
        </w:rPr>
        <w:t>time</w:t>
      </w:r>
      <w:r>
        <w:rPr>
          <w:spacing w:val="-1"/>
          <w:sz w:val="24"/>
        </w:rPr>
        <w:t> </w:t>
      </w:r>
      <w:r>
        <w:rPr>
          <w:sz w:val="24"/>
        </w:rPr>
        <w:t>tolerance.</w:t>
      </w:r>
    </w:p>
    <w:p>
      <w:pPr>
        <w:pStyle w:val="ListParagraph"/>
        <w:numPr>
          <w:ilvl w:val="0"/>
          <w:numId w:val="583"/>
        </w:numPr>
        <w:tabs>
          <w:tab w:pos="1919" w:val="left" w:leader="none"/>
        </w:tabs>
        <w:spacing w:line="240" w:lineRule="auto" w:before="120" w:after="0"/>
        <w:ind w:left="1919" w:right="415" w:hanging="567"/>
        <w:jc w:val="both"/>
        <w:rPr>
          <w:sz w:val="24"/>
        </w:rPr>
      </w:pPr>
      <w:r>
        <w:rPr>
          <w:sz w:val="24"/>
        </w:rPr>
        <w:t>Where </w:t>
      </w:r>
      <w:r>
        <w:rPr>
          <w:i/>
          <w:sz w:val="24"/>
        </w:rPr>
        <w:t>interval metering installations </w:t>
      </w:r>
      <w:r>
        <w:rPr>
          <w:sz w:val="24"/>
        </w:rPr>
        <w:t>assign alarms to the data channel and the </w:t>
      </w:r>
      <w:r>
        <w:rPr>
          <w:i/>
          <w:sz w:val="24"/>
        </w:rPr>
        <w:t>interval metering data </w:t>
      </w:r>
      <w:r>
        <w:rPr>
          <w:sz w:val="24"/>
        </w:rPr>
        <w:t>concerned, the </w:t>
      </w:r>
      <w:r>
        <w:rPr>
          <w:i/>
          <w:sz w:val="24"/>
        </w:rPr>
        <w:t>Metering Data Provider </w:t>
      </w:r>
      <w:r>
        <w:rPr>
          <w:sz w:val="24"/>
        </w:rPr>
        <w:t>must process the alarm along with the </w:t>
      </w:r>
      <w:r>
        <w:rPr>
          <w:i/>
          <w:sz w:val="24"/>
        </w:rPr>
        <w:t>metering data </w:t>
      </w:r>
      <w:r>
        <w:rPr>
          <w:sz w:val="24"/>
        </w:rPr>
        <w:t>as part of the</w:t>
      </w:r>
      <w:r>
        <w:rPr>
          <w:spacing w:val="14"/>
          <w:sz w:val="24"/>
        </w:rPr>
        <w:t> </w:t>
      </w:r>
      <w:r>
        <w:rPr>
          <w:sz w:val="24"/>
        </w:rPr>
        <w:t>required validation.</w:t>
      </w:r>
    </w:p>
    <w:p>
      <w:pPr>
        <w:pStyle w:val="ListParagraph"/>
        <w:numPr>
          <w:ilvl w:val="0"/>
          <w:numId w:val="583"/>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ensure that all </w:t>
      </w:r>
      <w:r>
        <w:rPr>
          <w:i/>
          <w:sz w:val="24"/>
        </w:rPr>
        <w:t>metering data </w:t>
      </w:r>
      <w:r>
        <w:rPr>
          <w:sz w:val="24"/>
        </w:rPr>
        <w:t>alarm reports are signed off and dated by the person actioning the data exception report review as part of the</w:t>
      </w:r>
      <w:r>
        <w:rPr>
          <w:spacing w:val="-1"/>
          <w:sz w:val="24"/>
        </w:rPr>
        <w:t> </w:t>
      </w:r>
      <w:r>
        <w:rPr>
          <w:sz w:val="24"/>
        </w:rPr>
        <w:t>validation.</w:t>
      </w:r>
    </w:p>
    <w:p>
      <w:pPr>
        <w:pStyle w:val="ListParagraph"/>
        <w:numPr>
          <w:ilvl w:val="0"/>
          <w:numId w:val="583"/>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validate all </w:t>
      </w:r>
      <w:r>
        <w:rPr>
          <w:i/>
          <w:sz w:val="24"/>
        </w:rPr>
        <w:t>interval metering data </w:t>
      </w:r>
      <w:r>
        <w:rPr>
          <w:sz w:val="24"/>
        </w:rPr>
        <w:t>with all </w:t>
      </w:r>
      <w:r>
        <w:rPr>
          <w:i/>
          <w:sz w:val="24"/>
        </w:rPr>
        <w:t>metering data </w:t>
      </w:r>
      <w:r>
        <w:rPr>
          <w:sz w:val="24"/>
        </w:rPr>
        <w:t>alarms prior to providing to </w:t>
      </w:r>
      <w:r>
        <w:rPr>
          <w:i/>
          <w:sz w:val="24"/>
        </w:rPr>
        <w:t>NTESMO</w:t>
      </w:r>
      <w:r>
        <w:rPr>
          <w:sz w:val="24"/>
        </w:rPr>
        <w:t>, </w:t>
      </w:r>
      <w:r>
        <w:rPr>
          <w:i/>
          <w:sz w:val="24"/>
        </w:rPr>
        <w:t>Registered </w:t>
      </w:r>
      <w:r>
        <w:rPr>
          <w:i/>
          <w:sz w:val="24"/>
        </w:rPr>
        <w:t>Participants </w:t>
      </w:r>
      <w:r>
        <w:rPr>
          <w:sz w:val="24"/>
        </w:rPr>
        <w:t>or financially responsible</w:t>
      </w:r>
      <w:r>
        <w:rPr>
          <w:spacing w:val="-1"/>
          <w:sz w:val="24"/>
        </w:rPr>
        <w:t> </w:t>
      </w:r>
      <w:r>
        <w:rPr>
          <w:sz w:val="24"/>
        </w:rPr>
        <w:t>participants.</w:t>
      </w:r>
    </w:p>
    <w:p>
      <w:pPr>
        <w:pStyle w:val="ListParagraph"/>
        <w:numPr>
          <w:ilvl w:val="0"/>
          <w:numId w:val="583"/>
        </w:numPr>
        <w:tabs>
          <w:tab w:pos="1919" w:val="left" w:leader="none"/>
        </w:tabs>
        <w:spacing w:line="240" w:lineRule="auto" w:before="120" w:after="0"/>
        <w:ind w:left="1919" w:right="414" w:hanging="567"/>
        <w:jc w:val="both"/>
        <w:rPr>
          <w:sz w:val="24"/>
        </w:rPr>
      </w:pPr>
      <w:r>
        <w:rPr>
          <w:sz w:val="24"/>
        </w:rPr>
        <w:t>All </w:t>
      </w:r>
      <w:r>
        <w:rPr>
          <w:i/>
          <w:sz w:val="24"/>
        </w:rPr>
        <w:t>Metering Data Provider </w:t>
      </w:r>
      <w:r>
        <w:rPr>
          <w:sz w:val="24"/>
        </w:rPr>
        <w:t>exception reports must provide, for all instances where the </w:t>
      </w:r>
      <w:r>
        <w:rPr>
          <w:i/>
          <w:sz w:val="24"/>
        </w:rPr>
        <w:t>interval metering data </w:t>
      </w:r>
      <w:r>
        <w:rPr>
          <w:sz w:val="24"/>
        </w:rPr>
        <w:t>was found to be corrupted, an indication of the subsequent actions undertaken by the </w:t>
      </w:r>
      <w:r>
        <w:rPr>
          <w:i/>
          <w:sz w:val="24"/>
        </w:rPr>
        <w:t>Metering Data </w:t>
      </w:r>
      <w:r>
        <w:rPr>
          <w:i/>
          <w:sz w:val="24"/>
        </w:rPr>
        <w:t>Provider</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658" w:val="left" w:leader="none"/>
        </w:tabs>
        <w:spacing w:before="83"/>
        <w:ind w:left="1352" w:right="1004"/>
      </w:pPr>
      <w:bookmarkStart w:name="S7A.7.13.3 Validation within the meter r" w:id="2050"/>
      <w:bookmarkEnd w:id="2050"/>
      <w:r>
        <w:rPr>
          <w:b w:val="0"/>
        </w:rPr>
      </w:r>
      <w:bookmarkStart w:name="_bookmark849" w:id="2051"/>
      <w:bookmarkEnd w:id="2051"/>
      <w:r>
        <w:rPr>
          <w:b w:val="0"/>
        </w:rPr>
      </w:r>
      <w:r>
        <w:rPr/>
        <w:t>S7A.7.13.3</w:t>
        <w:tab/>
        <w:t>Validation within the meter reading process for manually read metering</w:t>
      </w:r>
      <w:r>
        <w:rPr>
          <w:spacing w:val="-1"/>
        </w:rPr>
        <w:t> </w:t>
      </w:r>
      <w:r>
        <w:rPr/>
        <w:t>installations</w:t>
      </w:r>
    </w:p>
    <w:p>
      <w:pPr>
        <w:spacing w:before="220"/>
        <w:ind w:left="1356" w:right="0" w:firstLine="0"/>
        <w:jc w:val="left"/>
        <w:rPr>
          <w:rFonts w:ascii="Arial"/>
          <w:b/>
          <w:sz w:val="22"/>
        </w:rPr>
      </w:pPr>
      <w:r>
        <w:rPr>
          <w:rFonts w:ascii="Arial"/>
          <w:b/>
          <w:sz w:val="22"/>
        </w:rPr>
        <w:t>Validations during collection of interval metering data</w:t>
      </w:r>
    </w:p>
    <w:p>
      <w:pPr>
        <w:pStyle w:val="ListParagraph"/>
        <w:numPr>
          <w:ilvl w:val="0"/>
          <w:numId w:val="584"/>
        </w:numPr>
        <w:tabs>
          <w:tab w:pos="1919" w:val="left" w:leader="none"/>
        </w:tabs>
        <w:spacing w:line="240" w:lineRule="auto" w:before="120" w:after="0"/>
        <w:ind w:left="1919" w:right="415" w:hanging="567"/>
        <w:jc w:val="both"/>
        <w:rPr>
          <w:sz w:val="24"/>
        </w:rPr>
      </w:pPr>
      <w:r>
        <w:rPr>
          <w:sz w:val="24"/>
        </w:rPr>
        <w:t>The validations to be performed by </w:t>
      </w:r>
      <w:r>
        <w:rPr>
          <w:i/>
          <w:sz w:val="24"/>
        </w:rPr>
        <w:t>Metering Data Providers </w:t>
      </w:r>
      <w:r>
        <w:rPr>
          <w:sz w:val="24"/>
        </w:rPr>
        <w:t>responsible </w:t>
      </w:r>
      <w:r>
        <w:rPr>
          <w:spacing w:val="-4"/>
          <w:sz w:val="24"/>
        </w:rPr>
        <w:t>for </w:t>
      </w:r>
      <w:r>
        <w:rPr>
          <w:sz w:val="24"/>
        </w:rPr>
        <w:t>the collection of </w:t>
      </w:r>
      <w:r>
        <w:rPr>
          <w:i/>
          <w:sz w:val="24"/>
        </w:rPr>
        <w:t>interval metering data </w:t>
      </w:r>
      <w:r>
        <w:rPr>
          <w:sz w:val="24"/>
        </w:rPr>
        <w:t>from manually read </w:t>
      </w:r>
      <w:r>
        <w:rPr>
          <w:i/>
          <w:sz w:val="24"/>
        </w:rPr>
        <w:t>metering </w:t>
      </w:r>
      <w:r>
        <w:rPr>
          <w:i/>
          <w:sz w:val="24"/>
        </w:rPr>
        <w:t>installations </w:t>
      </w:r>
      <w:r>
        <w:rPr>
          <w:sz w:val="24"/>
        </w:rPr>
        <w:t>are as</w:t>
      </w:r>
      <w:r>
        <w:rPr>
          <w:spacing w:val="-1"/>
          <w:sz w:val="24"/>
        </w:rPr>
        <w:t> </w:t>
      </w:r>
      <w:r>
        <w:rPr>
          <w:sz w:val="24"/>
        </w:rPr>
        <w:t>follows:</w:t>
      </w:r>
    </w:p>
    <w:p>
      <w:pPr>
        <w:pStyle w:val="ListParagraph"/>
        <w:numPr>
          <w:ilvl w:val="1"/>
          <w:numId w:val="584"/>
        </w:numPr>
        <w:tabs>
          <w:tab w:pos="2486" w:val="left" w:leader="none"/>
        </w:tabs>
        <w:spacing w:line="240" w:lineRule="auto" w:before="120" w:after="0"/>
        <w:ind w:left="2485" w:right="0" w:hanging="567"/>
        <w:jc w:val="both"/>
        <w:rPr>
          <w:sz w:val="24"/>
        </w:rPr>
      </w:pPr>
      <w:r>
        <w:rPr>
          <w:sz w:val="24"/>
        </w:rPr>
        <w:t>the </w:t>
      </w:r>
      <w:r>
        <w:rPr>
          <w:i/>
          <w:sz w:val="24"/>
        </w:rPr>
        <w:t>meter </w:t>
      </w:r>
      <w:r>
        <w:rPr>
          <w:sz w:val="24"/>
        </w:rPr>
        <w:t>serial number matches the recorded </w:t>
      </w:r>
      <w:r>
        <w:rPr>
          <w:i/>
          <w:sz w:val="24"/>
        </w:rPr>
        <w:t>meter </w:t>
      </w:r>
      <w:r>
        <w:rPr>
          <w:sz w:val="24"/>
        </w:rPr>
        <w:t>serial</w:t>
      </w:r>
      <w:r>
        <w:rPr>
          <w:spacing w:val="-11"/>
          <w:sz w:val="24"/>
        </w:rPr>
        <w:t> </w:t>
      </w:r>
      <w:r>
        <w:rPr>
          <w:sz w:val="24"/>
        </w:rPr>
        <w:t>number;</w:t>
      </w:r>
    </w:p>
    <w:p>
      <w:pPr>
        <w:pStyle w:val="ListParagraph"/>
        <w:numPr>
          <w:ilvl w:val="1"/>
          <w:numId w:val="584"/>
        </w:numPr>
        <w:tabs>
          <w:tab w:pos="2486" w:val="left" w:leader="none"/>
        </w:tabs>
        <w:spacing w:line="240" w:lineRule="auto" w:before="120" w:after="0"/>
        <w:ind w:left="2485" w:right="0" w:hanging="567"/>
        <w:jc w:val="both"/>
        <w:rPr>
          <w:i/>
          <w:sz w:val="24"/>
        </w:rPr>
      </w:pPr>
      <w:r>
        <w:rPr>
          <w:sz w:val="24"/>
        </w:rPr>
        <w:t>the</w:t>
      </w:r>
      <w:r>
        <w:rPr>
          <w:spacing w:val="25"/>
          <w:sz w:val="24"/>
        </w:rPr>
        <w:t> </w:t>
      </w:r>
      <w:r>
        <w:rPr>
          <w:sz w:val="24"/>
        </w:rPr>
        <w:t>security</w:t>
      </w:r>
      <w:r>
        <w:rPr>
          <w:spacing w:val="25"/>
          <w:sz w:val="24"/>
        </w:rPr>
        <w:t> </w:t>
      </w:r>
      <w:r>
        <w:rPr>
          <w:sz w:val="24"/>
        </w:rPr>
        <w:t>of</w:t>
      </w:r>
      <w:r>
        <w:rPr>
          <w:spacing w:val="24"/>
          <w:sz w:val="24"/>
        </w:rPr>
        <w:t> </w:t>
      </w:r>
      <w:r>
        <w:rPr>
          <w:sz w:val="24"/>
        </w:rPr>
        <w:t>the</w:t>
      </w:r>
      <w:r>
        <w:rPr>
          <w:spacing w:val="24"/>
          <w:sz w:val="24"/>
        </w:rPr>
        <w:t> </w:t>
      </w:r>
      <w:r>
        <w:rPr>
          <w:i/>
          <w:sz w:val="24"/>
        </w:rPr>
        <w:t>metering</w:t>
      </w:r>
      <w:r>
        <w:rPr>
          <w:i/>
          <w:spacing w:val="25"/>
          <w:sz w:val="24"/>
        </w:rPr>
        <w:t> </w:t>
      </w:r>
      <w:r>
        <w:rPr>
          <w:i/>
          <w:sz w:val="24"/>
        </w:rPr>
        <w:t>installation</w:t>
      </w:r>
      <w:r>
        <w:rPr>
          <w:i/>
          <w:spacing w:val="24"/>
          <w:sz w:val="24"/>
        </w:rPr>
        <w:t> </w:t>
      </w:r>
      <w:r>
        <w:rPr>
          <w:sz w:val="24"/>
        </w:rPr>
        <w:t>is</w:t>
      </w:r>
      <w:r>
        <w:rPr>
          <w:spacing w:val="25"/>
          <w:sz w:val="24"/>
        </w:rPr>
        <w:t> </w:t>
      </w:r>
      <w:r>
        <w:rPr>
          <w:sz w:val="24"/>
        </w:rPr>
        <w:t>intact,</w:t>
      </w:r>
      <w:r>
        <w:rPr>
          <w:spacing w:val="25"/>
          <w:sz w:val="24"/>
        </w:rPr>
        <w:t> </w:t>
      </w:r>
      <w:r>
        <w:rPr>
          <w:sz w:val="24"/>
        </w:rPr>
        <w:t>for</w:t>
      </w:r>
      <w:r>
        <w:rPr>
          <w:spacing w:val="24"/>
          <w:sz w:val="24"/>
        </w:rPr>
        <w:t> </w:t>
      </w:r>
      <w:r>
        <w:rPr>
          <w:sz w:val="24"/>
        </w:rPr>
        <w:t>example,</w:t>
      </w:r>
      <w:r>
        <w:rPr>
          <w:spacing w:val="24"/>
          <w:sz w:val="24"/>
        </w:rPr>
        <w:t> </w:t>
      </w:r>
      <w:r>
        <w:rPr>
          <w:i/>
          <w:sz w:val="24"/>
        </w:rPr>
        <w:t>meter</w:t>
      </w:r>
    </w:p>
    <w:p>
      <w:pPr>
        <w:pStyle w:val="BodyText"/>
        <w:spacing w:before="0"/>
        <w:ind w:left="2486" w:firstLine="0"/>
      </w:pPr>
      <w:r>
        <w:rPr/>
        <w:t>seals are in place and in good order;</w:t>
      </w:r>
    </w:p>
    <w:p>
      <w:pPr>
        <w:pStyle w:val="ListParagraph"/>
        <w:numPr>
          <w:ilvl w:val="1"/>
          <w:numId w:val="584"/>
        </w:numPr>
        <w:tabs>
          <w:tab w:pos="2486" w:val="left" w:leader="none"/>
        </w:tabs>
        <w:spacing w:line="240" w:lineRule="auto" w:before="120" w:after="0"/>
        <w:ind w:left="2485" w:right="0" w:hanging="567"/>
        <w:jc w:val="both"/>
        <w:rPr>
          <w:sz w:val="24"/>
        </w:rPr>
      </w:pPr>
      <w:r>
        <w:rPr>
          <w:sz w:val="24"/>
        </w:rPr>
        <w:t>the time synchronisation of the </w:t>
      </w:r>
      <w:r>
        <w:rPr>
          <w:i/>
          <w:sz w:val="24"/>
        </w:rPr>
        <w:t>metering installation </w:t>
      </w:r>
      <w:r>
        <w:rPr>
          <w:sz w:val="24"/>
        </w:rPr>
        <w:t>is correct</w:t>
      </w:r>
      <w:r>
        <w:rPr>
          <w:spacing w:val="11"/>
          <w:sz w:val="24"/>
        </w:rPr>
        <w:t> </w:t>
      </w:r>
      <w:r>
        <w:rPr>
          <w:sz w:val="24"/>
        </w:rPr>
        <w:t>to</w:t>
      </w:r>
    </w:p>
    <w:p>
      <w:pPr>
        <w:spacing w:before="0"/>
        <w:ind w:left="2486" w:right="0" w:firstLine="0"/>
        <w:jc w:val="both"/>
        <w:rPr>
          <w:sz w:val="24"/>
        </w:rPr>
      </w:pPr>
      <w:r>
        <w:rPr>
          <w:i/>
          <w:sz w:val="24"/>
        </w:rPr>
        <w:t>ACST </w:t>
      </w:r>
      <w:r>
        <w:rPr>
          <w:sz w:val="24"/>
        </w:rPr>
        <w:t>inclusive of any </w:t>
      </w:r>
      <w:r>
        <w:rPr>
          <w:i/>
          <w:sz w:val="24"/>
        </w:rPr>
        <w:t>load </w:t>
      </w:r>
      <w:r>
        <w:rPr>
          <w:sz w:val="24"/>
        </w:rPr>
        <w:t>control devices.</w:t>
      </w:r>
    </w:p>
    <w:p>
      <w:pPr>
        <w:spacing w:before="220"/>
        <w:ind w:left="1356" w:right="0" w:firstLine="0"/>
        <w:jc w:val="left"/>
        <w:rPr>
          <w:rFonts w:ascii="Arial"/>
          <w:b/>
          <w:sz w:val="22"/>
        </w:rPr>
      </w:pPr>
      <w:r>
        <w:rPr>
          <w:rFonts w:ascii="Arial"/>
          <w:b/>
          <w:sz w:val="22"/>
        </w:rPr>
        <w:t>Validations during collection of accumulated metering data</w:t>
      </w:r>
    </w:p>
    <w:p>
      <w:pPr>
        <w:pStyle w:val="ListParagraph"/>
        <w:numPr>
          <w:ilvl w:val="0"/>
          <w:numId w:val="584"/>
        </w:numPr>
        <w:tabs>
          <w:tab w:pos="1918" w:val="left" w:leader="none"/>
          <w:tab w:pos="1919" w:val="left" w:leader="none"/>
        </w:tabs>
        <w:spacing w:line="240" w:lineRule="auto" w:before="120" w:after="0"/>
        <w:ind w:left="1919" w:right="415" w:hanging="567"/>
        <w:jc w:val="left"/>
        <w:rPr>
          <w:sz w:val="24"/>
        </w:rPr>
      </w:pPr>
      <w:r>
        <w:rPr>
          <w:sz w:val="24"/>
        </w:rPr>
        <w:t>The validations to be performed by </w:t>
      </w:r>
      <w:r>
        <w:rPr>
          <w:i/>
          <w:sz w:val="24"/>
        </w:rPr>
        <w:t>Metering Data Providers </w:t>
      </w:r>
      <w:r>
        <w:rPr>
          <w:sz w:val="24"/>
        </w:rPr>
        <w:t>responsible for the collection of </w:t>
      </w:r>
      <w:r>
        <w:rPr>
          <w:i/>
          <w:sz w:val="24"/>
        </w:rPr>
        <w:t>accumulated metering data </w:t>
      </w:r>
      <w:r>
        <w:rPr>
          <w:sz w:val="24"/>
        </w:rPr>
        <w:t>are as</w:t>
      </w:r>
      <w:r>
        <w:rPr>
          <w:spacing w:val="-4"/>
          <w:sz w:val="24"/>
        </w:rPr>
        <w:t> </w:t>
      </w:r>
      <w:r>
        <w:rPr>
          <w:sz w:val="24"/>
        </w:rPr>
        <w:t>follows:</w:t>
      </w:r>
    </w:p>
    <w:p>
      <w:pPr>
        <w:pStyle w:val="ListParagraph"/>
        <w:numPr>
          <w:ilvl w:val="1"/>
          <w:numId w:val="584"/>
        </w:numPr>
        <w:tabs>
          <w:tab w:pos="2485" w:val="left" w:leader="none"/>
          <w:tab w:pos="2486" w:val="left" w:leader="none"/>
        </w:tabs>
        <w:spacing w:line="240" w:lineRule="auto" w:before="120" w:after="0"/>
        <w:ind w:left="2486" w:right="416" w:hanging="567"/>
        <w:jc w:val="left"/>
        <w:rPr>
          <w:sz w:val="24"/>
        </w:rPr>
      </w:pPr>
      <w:r>
        <w:rPr>
          <w:sz w:val="24"/>
        </w:rPr>
        <w:t>the value of </w:t>
      </w:r>
      <w:r>
        <w:rPr>
          <w:i/>
          <w:sz w:val="24"/>
        </w:rPr>
        <w:t>metering data </w:t>
      </w:r>
      <w:r>
        <w:rPr>
          <w:sz w:val="24"/>
        </w:rPr>
        <w:t>from the current </w:t>
      </w:r>
      <w:r>
        <w:rPr>
          <w:i/>
          <w:sz w:val="24"/>
        </w:rPr>
        <w:t>meter </w:t>
      </w:r>
      <w:r>
        <w:rPr>
          <w:sz w:val="24"/>
        </w:rPr>
        <w:t>reading ≥ the value of </w:t>
      </w:r>
      <w:r>
        <w:rPr>
          <w:i/>
          <w:sz w:val="24"/>
        </w:rPr>
        <w:t>metering data </w:t>
      </w:r>
      <w:r>
        <w:rPr>
          <w:sz w:val="24"/>
        </w:rPr>
        <w:t>from the previous </w:t>
      </w:r>
      <w:r>
        <w:rPr>
          <w:i/>
          <w:sz w:val="24"/>
        </w:rPr>
        <w:t>meter</w:t>
      </w:r>
      <w:r>
        <w:rPr>
          <w:i/>
          <w:spacing w:val="-6"/>
          <w:sz w:val="24"/>
        </w:rPr>
        <w:t> </w:t>
      </w:r>
      <w:r>
        <w:rPr>
          <w:sz w:val="24"/>
        </w:rPr>
        <w:t>reading;</w:t>
      </w:r>
    </w:p>
    <w:p>
      <w:pPr>
        <w:pStyle w:val="ListParagraph"/>
        <w:numPr>
          <w:ilvl w:val="1"/>
          <w:numId w:val="584"/>
        </w:numPr>
        <w:tabs>
          <w:tab w:pos="2485" w:val="left" w:leader="none"/>
          <w:tab w:pos="2486" w:val="left" w:leader="none"/>
        </w:tabs>
        <w:spacing w:line="240" w:lineRule="auto" w:before="120" w:after="0"/>
        <w:ind w:left="2486" w:right="415" w:hanging="567"/>
        <w:jc w:val="left"/>
        <w:rPr>
          <w:sz w:val="24"/>
        </w:rPr>
      </w:pPr>
      <w:r>
        <w:rPr>
          <w:sz w:val="24"/>
        </w:rPr>
        <w:t>the value of </w:t>
      </w:r>
      <w:r>
        <w:rPr>
          <w:i/>
          <w:sz w:val="24"/>
        </w:rPr>
        <w:t>metering data </w:t>
      </w:r>
      <w:r>
        <w:rPr>
          <w:sz w:val="24"/>
        </w:rPr>
        <w:t>from the current </w:t>
      </w:r>
      <w:r>
        <w:rPr>
          <w:i/>
          <w:sz w:val="24"/>
        </w:rPr>
        <w:t>meter </w:t>
      </w:r>
      <w:r>
        <w:rPr>
          <w:sz w:val="24"/>
        </w:rPr>
        <w:t>reading is valid against an expected minimum</w:t>
      </w:r>
      <w:r>
        <w:rPr>
          <w:spacing w:val="-1"/>
          <w:sz w:val="24"/>
        </w:rPr>
        <w:t> </w:t>
      </w:r>
      <w:r>
        <w:rPr>
          <w:sz w:val="24"/>
        </w:rPr>
        <w:t>value;</w:t>
      </w:r>
    </w:p>
    <w:p>
      <w:pPr>
        <w:pStyle w:val="ListParagraph"/>
        <w:numPr>
          <w:ilvl w:val="1"/>
          <w:numId w:val="584"/>
        </w:numPr>
        <w:tabs>
          <w:tab w:pos="2485" w:val="left" w:leader="none"/>
          <w:tab w:pos="2486" w:val="left" w:leader="none"/>
        </w:tabs>
        <w:spacing w:line="240" w:lineRule="auto" w:before="120" w:after="0"/>
        <w:ind w:left="2486" w:right="415" w:hanging="567"/>
        <w:jc w:val="left"/>
        <w:rPr>
          <w:sz w:val="24"/>
        </w:rPr>
      </w:pPr>
      <w:r>
        <w:rPr>
          <w:sz w:val="24"/>
        </w:rPr>
        <w:t>the value of </w:t>
      </w:r>
      <w:r>
        <w:rPr>
          <w:i/>
          <w:sz w:val="24"/>
        </w:rPr>
        <w:t>metering data </w:t>
      </w:r>
      <w:r>
        <w:rPr>
          <w:sz w:val="24"/>
        </w:rPr>
        <w:t>from the current </w:t>
      </w:r>
      <w:r>
        <w:rPr>
          <w:i/>
          <w:sz w:val="24"/>
        </w:rPr>
        <w:t>meter </w:t>
      </w:r>
      <w:r>
        <w:rPr>
          <w:sz w:val="24"/>
        </w:rPr>
        <w:t>reading is valid against an expected maximum</w:t>
      </w:r>
      <w:r>
        <w:rPr>
          <w:spacing w:val="-1"/>
          <w:sz w:val="24"/>
        </w:rPr>
        <w:t> </w:t>
      </w:r>
      <w:r>
        <w:rPr>
          <w:sz w:val="24"/>
        </w:rPr>
        <w:t>value;</w:t>
      </w:r>
    </w:p>
    <w:p>
      <w:pPr>
        <w:pStyle w:val="ListParagraph"/>
        <w:numPr>
          <w:ilvl w:val="1"/>
          <w:numId w:val="584"/>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meter </w:t>
      </w:r>
      <w:r>
        <w:rPr>
          <w:sz w:val="24"/>
        </w:rPr>
        <w:t>serial number matches the recorded </w:t>
      </w:r>
      <w:r>
        <w:rPr>
          <w:i/>
          <w:sz w:val="24"/>
        </w:rPr>
        <w:t>meter </w:t>
      </w:r>
      <w:r>
        <w:rPr>
          <w:sz w:val="24"/>
        </w:rPr>
        <w:t>serial</w:t>
      </w:r>
      <w:r>
        <w:rPr>
          <w:spacing w:val="-11"/>
          <w:sz w:val="24"/>
        </w:rPr>
        <w:t> </w:t>
      </w:r>
      <w:r>
        <w:rPr>
          <w:sz w:val="24"/>
        </w:rPr>
        <w:t>number;</w:t>
      </w:r>
    </w:p>
    <w:p>
      <w:pPr>
        <w:pStyle w:val="ListParagraph"/>
        <w:numPr>
          <w:ilvl w:val="1"/>
          <w:numId w:val="584"/>
        </w:numPr>
        <w:tabs>
          <w:tab w:pos="2485" w:val="left" w:leader="none"/>
          <w:tab w:pos="2486" w:val="left" w:leader="none"/>
        </w:tabs>
        <w:spacing w:line="240" w:lineRule="auto" w:before="120" w:after="0"/>
        <w:ind w:left="2485" w:right="0" w:hanging="567"/>
        <w:jc w:val="left"/>
        <w:rPr>
          <w:i/>
          <w:sz w:val="24"/>
        </w:rPr>
      </w:pPr>
      <w:r>
        <w:rPr>
          <w:sz w:val="24"/>
        </w:rPr>
        <w:t>the</w:t>
      </w:r>
      <w:r>
        <w:rPr>
          <w:spacing w:val="25"/>
          <w:sz w:val="24"/>
        </w:rPr>
        <w:t> </w:t>
      </w:r>
      <w:r>
        <w:rPr>
          <w:sz w:val="24"/>
        </w:rPr>
        <w:t>security</w:t>
      </w:r>
      <w:r>
        <w:rPr>
          <w:spacing w:val="25"/>
          <w:sz w:val="24"/>
        </w:rPr>
        <w:t> </w:t>
      </w:r>
      <w:r>
        <w:rPr>
          <w:sz w:val="24"/>
        </w:rPr>
        <w:t>of</w:t>
      </w:r>
      <w:r>
        <w:rPr>
          <w:spacing w:val="24"/>
          <w:sz w:val="24"/>
        </w:rPr>
        <w:t> </w:t>
      </w:r>
      <w:r>
        <w:rPr>
          <w:sz w:val="24"/>
        </w:rPr>
        <w:t>the</w:t>
      </w:r>
      <w:r>
        <w:rPr>
          <w:spacing w:val="24"/>
          <w:sz w:val="24"/>
        </w:rPr>
        <w:t> </w:t>
      </w:r>
      <w:r>
        <w:rPr>
          <w:i/>
          <w:sz w:val="24"/>
        </w:rPr>
        <w:t>metering</w:t>
      </w:r>
      <w:r>
        <w:rPr>
          <w:i/>
          <w:spacing w:val="25"/>
          <w:sz w:val="24"/>
        </w:rPr>
        <w:t> </w:t>
      </w:r>
      <w:r>
        <w:rPr>
          <w:i/>
          <w:sz w:val="24"/>
        </w:rPr>
        <w:t>installation</w:t>
      </w:r>
      <w:r>
        <w:rPr>
          <w:i/>
          <w:spacing w:val="24"/>
          <w:sz w:val="24"/>
        </w:rPr>
        <w:t> </w:t>
      </w:r>
      <w:r>
        <w:rPr>
          <w:sz w:val="24"/>
        </w:rPr>
        <w:t>is</w:t>
      </w:r>
      <w:r>
        <w:rPr>
          <w:spacing w:val="25"/>
          <w:sz w:val="24"/>
        </w:rPr>
        <w:t> </w:t>
      </w:r>
      <w:r>
        <w:rPr>
          <w:sz w:val="24"/>
        </w:rPr>
        <w:t>intact,</w:t>
      </w:r>
      <w:r>
        <w:rPr>
          <w:spacing w:val="25"/>
          <w:sz w:val="24"/>
        </w:rPr>
        <w:t> </w:t>
      </w:r>
      <w:r>
        <w:rPr>
          <w:sz w:val="24"/>
        </w:rPr>
        <w:t>for</w:t>
      </w:r>
      <w:r>
        <w:rPr>
          <w:spacing w:val="24"/>
          <w:sz w:val="24"/>
        </w:rPr>
        <w:t> </w:t>
      </w:r>
      <w:r>
        <w:rPr>
          <w:sz w:val="24"/>
        </w:rPr>
        <w:t>example,</w:t>
      </w:r>
      <w:r>
        <w:rPr>
          <w:spacing w:val="24"/>
          <w:sz w:val="24"/>
        </w:rPr>
        <w:t> </w:t>
      </w:r>
      <w:r>
        <w:rPr>
          <w:i/>
          <w:sz w:val="24"/>
        </w:rPr>
        <w:t>meter</w:t>
      </w:r>
    </w:p>
    <w:p>
      <w:pPr>
        <w:pStyle w:val="BodyText"/>
        <w:spacing w:before="0"/>
        <w:ind w:left="2486" w:firstLine="0"/>
        <w:jc w:val="left"/>
      </w:pPr>
      <w:r>
        <w:rPr/>
        <w:t>seals are in place and in good order;</w:t>
      </w:r>
    </w:p>
    <w:p>
      <w:pPr>
        <w:pStyle w:val="ListParagraph"/>
        <w:numPr>
          <w:ilvl w:val="1"/>
          <w:numId w:val="584"/>
        </w:numPr>
        <w:tabs>
          <w:tab w:pos="2485" w:val="left" w:leader="none"/>
          <w:tab w:pos="2486" w:val="left" w:leader="none"/>
        </w:tabs>
        <w:spacing w:line="240" w:lineRule="auto" w:before="120" w:after="0"/>
        <w:ind w:left="2485" w:right="0" w:hanging="567"/>
        <w:jc w:val="left"/>
        <w:rPr>
          <w:sz w:val="24"/>
        </w:rPr>
      </w:pPr>
      <w:r>
        <w:rPr>
          <w:sz w:val="24"/>
        </w:rPr>
        <w:t>the time synchronisation of the </w:t>
      </w:r>
      <w:r>
        <w:rPr>
          <w:i/>
          <w:sz w:val="24"/>
        </w:rPr>
        <w:t>metering installation </w:t>
      </w:r>
      <w:r>
        <w:rPr>
          <w:sz w:val="24"/>
        </w:rPr>
        <w:t>is correct</w:t>
      </w:r>
      <w:r>
        <w:rPr>
          <w:spacing w:val="11"/>
          <w:sz w:val="24"/>
        </w:rPr>
        <w:t> </w:t>
      </w:r>
      <w:r>
        <w:rPr>
          <w:sz w:val="24"/>
        </w:rPr>
        <w:t>to</w:t>
      </w:r>
    </w:p>
    <w:p>
      <w:pPr>
        <w:spacing w:before="0"/>
        <w:ind w:left="2486" w:right="0" w:firstLine="0"/>
        <w:jc w:val="left"/>
        <w:rPr>
          <w:sz w:val="24"/>
        </w:rPr>
      </w:pPr>
      <w:r>
        <w:rPr>
          <w:i/>
          <w:sz w:val="24"/>
        </w:rPr>
        <w:t>ACST </w:t>
      </w:r>
      <w:r>
        <w:rPr>
          <w:sz w:val="24"/>
        </w:rPr>
        <w:t>inclusive of any </w:t>
      </w:r>
      <w:r>
        <w:rPr>
          <w:i/>
          <w:sz w:val="24"/>
        </w:rPr>
        <w:t>load </w:t>
      </w:r>
      <w:r>
        <w:rPr>
          <w:sz w:val="24"/>
        </w:rPr>
        <w:t>control devices;</w:t>
      </w:r>
    </w:p>
    <w:p>
      <w:pPr>
        <w:pStyle w:val="ListParagraph"/>
        <w:numPr>
          <w:ilvl w:val="1"/>
          <w:numId w:val="584"/>
        </w:numPr>
        <w:tabs>
          <w:tab w:pos="2485" w:val="left" w:leader="none"/>
          <w:tab w:pos="2486" w:val="left" w:leader="none"/>
        </w:tabs>
        <w:spacing w:line="240" w:lineRule="auto" w:before="120" w:after="0"/>
        <w:ind w:left="2485" w:right="0" w:hanging="567"/>
        <w:jc w:val="left"/>
        <w:rPr>
          <w:sz w:val="24"/>
        </w:rPr>
      </w:pPr>
      <w:r>
        <w:rPr>
          <w:sz w:val="24"/>
        </w:rPr>
        <w:t>the dial capacity is checked against the recorded dial</w:t>
      </w:r>
      <w:r>
        <w:rPr>
          <w:spacing w:val="-3"/>
          <w:sz w:val="24"/>
        </w:rPr>
        <w:t> </w:t>
      </w:r>
      <w:r>
        <w:rPr>
          <w:sz w:val="24"/>
        </w:rPr>
        <w:t>capacity.</w:t>
      </w:r>
    </w:p>
    <w:p>
      <w:pPr>
        <w:pStyle w:val="BodyText"/>
        <w:spacing w:before="10"/>
        <w:ind w:firstLine="0"/>
        <w:jc w:val="left"/>
        <w:rPr>
          <w:sz w:val="20"/>
        </w:rPr>
      </w:pPr>
    </w:p>
    <w:p>
      <w:pPr>
        <w:pStyle w:val="Heading4"/>
        <w:tabs>
          <w:tab w:pos="1658" w:val="left" w:leader="none"/>
        </w:tabs>
        <w:ind w:left="218" w:firstLine="0"/>
      </w:pPr>
      <w:bookmarkStart w:name="S7A.7.13.4 Validation as part of the reg" w:id="2052"/>
      <w:bookmarkEnd w:id="2052"/>
      <w:r>
        <w:rPr>
          <w:b w:val="0"/>
        </w:rPr>
      </w:r>
      <w:bookmarkStart w:name="_bookmark850" w:id="2053"/>
      <w:bookmarkEnd w:id="2053"/>
      <w:r>
        <w:rPr>
          <w:b w:val="0"/>
        </w:rPr>
      </w:r>
      <w:r>
        <w:rPr/>
        <w:t>S7A.7.13.4</w:t>
        <w:tab/>
        <w:t>Validation as part of the registration</w:t>
      </w:r>
      <w:r>
        <w:rPr>
          <w:spacing w:val="-3"/>
        </w:rPr>
        <w:t> </w:t>
      </w:r>
      <w:r>
        <w:rPr/>
        <w:t>process</w:t>
      </w:r>
    </w:p>
    <w:p>
      <w:pPr>
        <w:spacing w:before="220"/>
        <w:ind w:left="1356" w:right="0" w:firstLine="0"/>
        <w:jc w:val="left"/>
        <w:rPr>
          <w:rFonts w:ascii="Arial"/>
          <w:b/>
          <w:sz w:val="22"/>
        </w:rPr>
      </w:pPr>
      <w:r>
        <w:rPr>
          <w:rFonts w:ascii="Arial"/>
          <w:b/>
          <w:sz w:val="22"/>
        </w:rPr>
        <w:t>General requirements</w:t>
      </w:r>
    </w:p>
    <w:p>
      <w:pPr>
        <w:pStyle w:val="ListParagraph"/>
        <w:numPr>
          <w:ilvl w:val="0"/>
          <w:numId w:val="585"/>
        </w:numPr>
        <w:tabs>
          <w:tab w:pos="1919" w:val="left" w:leader="none"/>
        </w:tabs>
        <w:spacing w:line="240" w:lineRule="auto" w:before="120" w:after="0"/>
        <w:ind w:left="1919" w:right="414" w:hanging="567"/>
        <w:jc w:val="both"/>
        <w:rPr>
          <w:sz w:val="24"/>
        </w:rPr>
      </w:pPr>
      <w:r>
        <w:rPr>
          <w:i/>
          <w:sz w:val="24"/>
        </w:rPr>
        <w:t>Metering Data Providers </w:t>
      </w:r>
      <w:r>
        <w:rPr>
          <w:sz w:val="24"/>
        </w:rPr>
        <w:t>must confirm information about the </w:t>
      </w:r>
      <w:r>
        <w:rPr>
          <w:i/>
          <w:sz w:val="24"/>
        </w:rPr>
        <w:t>NMI </w:t>
      </w:r>
      <w:r>
        <w:rPr>
          <w:sz w:val="24"/>
        </w:rPr>
        <w:t>is provided to </w:t>
      </w:r>
      <w:r>
        <w:rPr>
          <w:i/>
          <w:sz w:val="24"/>
        </w:rPr>
        <w:t>NTESMO</w:t>
      </w:r>
      <w:r>
        <w:rPr>
          <w:sz w:val="24"/>
        </w:rPr>
        <w:t>, where this is required in accordance with clause 7A.10.1, after any installation or change to a </w:t>
      </w:r>
      <w:r>
        <w:rPr>
          <w:i/>
          <w:sz w:val="24"/>
        </w:rPr>
        <w:t>metering installation </w:t>
      </w:r>
      <w:r>
        <w:rPr>
          <w:sz w:val="24"/>
        </w:rPr>
        <w:t>prior to the provision of any </w:t>
      </w:r>
      <w:r>
        <w:rPr>
          <w:i/>
          <w:sz w:val="24"/>
        </w:rPr>
        <w:t>metering data </w:t>
      </w:r>
      <w:r>
        <w:rPr>
          <w:sz w:val="24"/>
        </w:rPr>
        <w:t>to </w:t>
      </w:r>
      <w:r>
        <w:rPr>
          <w:i/>
          <w:sz w:val="24"/>
        </w:rPr>
        <w:t>NTESMO </w:t>
      </w:r>
      <w:r>
        <w:rPr>
          <w:sz w:val="24"/>
        </w:rPr>
        <w:t>or </w:t>
      </w:r>
      <w:r>
        <w:rPr>
          <w:i/>
          <w:sz w:val="24"/>
        </w:rPr>
        <w:t>Registered Participants </w:t>
      </w:r>
      <w:r>
        <w:rPr>
          <w:sz w:val="24"/>
        </w:rPr>
        <w:t>for the purposes of</w:t>
      </w:r>
      <w:r>
        <w:rPr>
          <w:spacing w:val="-1"/>
          <w:sz w:val="24"/>
        </w:rPr>
        <w:t> </w:t>
      </w:r>
      <w:r>
        <w:rPr>
          <w:i/>
          <w:sz w:val="24"/>
        </w:rPr>
        <w:t>settlements</w:t>
      </w:r>
      <w:r>
        <w:rPr>
          <w:sz w:val="24"/>
        </w:rPr>
        <w:t>.</w:t>
      </w:r>
    </w:p>
    <w:p>
      <w:pPr>
        <w:spacing w:before="220"/>
        <w:ind w:left="1356" w:right="0" w:firstLine="0"/>
        <w:jc w:val="left"/>
        <w:rPr>
          <w:rFonts w:ascii="Arial"/>
          <w:b/>
          <w:sz w:val="22"/>
        </w:rPr>
      </w:pPr>
      <w:r>
        <w:rPr>
          <w:rFonts w:ascii="Arial"/>
          <w:b/>
          <w:sz w:val="22"/>
        </w:rPr>
        <w:t>Validation of metering data from remotely read metering</w:t>
      </w:r>
      <w:r>
        <w:rPr>
          <w:rFonts w:ascii="Arial"/>
          <w:b/>
          <w:spacing w:val="-27"/>
          <w:sz w:val="22"/>
        </w:rPr>
        <w:t> </w:t>
      </w:r>
      <w:r>
        <w:rPr>
          <w:rFonts w:ascii="Arial"/>
          <w:b/>
          <w:sz w:val="22"/>
        </w:rPr>
        <w:t>installations</w:t>
      </w:r>
    </w:p>
    <w:p>
      <w:pPr>
        <w:pStyle w:val="ListParagraph"/>
        <w:numPr>
          <w:ilvl w:val="0"/>
          <w:numId w:val="585"/>
        </w:numPr>
        <w:tabs>
          <w:tab w:pos="1919" w:val="left" w:leader="none"/>
        </w:tabs>
        <w:spacing w:line="240" w:lineRule="auto" w:before="120" w:after="0"/>
        <w:ind w:left="1919" w:right="414" w:hanging="567"/>
        <w:jc w:val="both"/>
        <w:rPr>
          <w:sz w:val="24"/>
        </w:rPr>
      </w:pPr>
      <w:r>
        <w:rPr>
          <w:i/>
          <w:sz w:val="24"/>
        </w:rPr>
        <w:t>Metering Data Providers </w:t>
      </w:r>
      <w:r>
        <w:rPr>
          <w:sz w:val="24"/>
        </w:rPr>
        <w:t>must carry out the following validations after any installation or change to a </w:t>
      </w:r>
      <w:r>
        <w:rPr>
          <w:i/>
          <w:sz w:val="24"/>
        </w:rPr>
        <w:t>metering installation </w:t>
      </w:r>
      <w:r>
        <w:rPr>
          <w:sz w:val="24"/>
        </w:rPr>
        <w:t>with </w:t>
      </w:r>
      <w:r>
        <w:rPr>
          <w:i/>
          <w:sz w:val="24"/>
        </w:rPr>
        <w:t>remote acquisition </w:t>
      </w:r>
      <w:r>
        <w:rPr>
          <w:sz w:val="24"/>
        </w:rPr>
        <w:t>of </w:t>
      </w:r>
      <w:r>
        <w:rPr>
          <w:i/>
          <w:sz w:val="24"/>
        </w:rPr>
        <w:t>metering data </w:t>
      </w:r>
      <w:r>
        <w:rPr>
          <w:sz w:val="24"/>
        </w:rPr>
        <w:t>prior to the distribution of any </w:t>
      </w:r>
      <w:r>
        <w:rPr>
          <w:i/>
          <w:sz w:val="24"/>
        </w:rPr>
        <w:t>interval metering data </w:t>
      </w:r>
      <w:r>
        <w:rPr>
          <w:sz w:val="24"/>
        </w:rPr>
        <w:t>to </w:t>
      </w:r>
      <w:r>
        <w:rPr>
          <w:i/>
          <w:sz w:val="24"/>
        </w:rPr>
        <w:t>NTESMO</w:t>
      </w:r>
      <w:r>
        <w:rPr>
          <w:sz w:val="24"/>
        </w:rPr>
        <w:t>, </w:t>
      </w:r>
      <w:r>
        <w:rPr>
          <w:i/>
          <w:sz w:val="24"/>
        </w:rPr>
        <w:t>Registered Participants </w:t>
      </w:r>
      <w:r>
        <w:rPr>
          <w:sz w:val="24"/>
        </w:rPr>
        <w:t>or financially responsible participants for the purposes of </w:t>
      </w:r>
      <w:r>
        <w:rPr>
          <w:i/>
          <w:sz w:val="24"/>
        </w:rPr>
        <w:t>settlements </w:t>
      </w:r>
      <w:r>
        <w:rPr>
          <w:sz w:val="24"/>
        </w:rPr>
        <w:t>or </w:t>
      </w:r>
      <w:r>
        <w:rPr>
          <w:i/>
          <w:sz w:val="24"/>
        </w:rPr>
        <w:t>billing</w:t>
      </w:r>
      <w:r>
        <w:rPr>
          <w:i/>
          <w:spacing w:val="-2"/>
          <w:sz w:val="24"/>
        </w:rPr>
        <w:t> </w:t>
      </w:r>
      <w:r>
        <w:rPr>
          <w:i/>
          <w:sz w:val="24"/>
        </w:rPr>
        <w:t>transactions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585"/>
        </w:numPr>
        <w:tabs>
          <w:tab w:pos="2486" w:val="left" w:leader="none"/>
        </w:tabs>
        <w:spacing w:line="240" w:lineRule="auto" w:before="83" w:after="0"/>
        <w:ind w:left="2486" w:right="415" w:hanging="567"/>
        <w:jc w:val="both"/>
        <w:rPr>
          <w:sz w:val="24"/>
        </w:rPr>
      </w:pPr>
      <w:r>
        <w:rPr>
          <w:sz w:val="24"/>
        </w:rPr>
        <w:t>for instrument transformer connected </w:t>
      </w:r>
      <w:r>
        <w:rPr>
          <w:i/>
          <w:sz w:val="24"/>
        </w:rPr>
        <w:t>metering installations</w:t>
      </w:r>
      <w:r>
        <w:rPr>
          <w:sz w:val="24"/>
        </w:rPr>
        <w:t>, the </w:t>
      </w:r>
      <w:r>
        <w:rPr>
          <w:i/>
          <w:sz w:val="24"/>
        </w:rPr>
        <w:t>metering installation </w:t>
      </w:r>
      <w:r>
        <w:rPr>
          <w:sz w:val="24"/>
        </w:rPr>
        <w:t>is recording </w:t>
      </w:r>
      <w:r>
        <w:rPr>
          <w:i/>
          <w:sz w:val="24"/>
        </w:rPr>
        <w:t>metering data </w:t>
      </w:r>
      <w:r>
        <w:rPr>
          <w:sz w:val="24"/>
        </w:rPr>
        <w:t>correctly, in conjunction with the </w:t>
      </w:r>
      <w:r>
        <w:rPr>
          <w:i/>
          <w:sz w:val="24"/>
        </w:rPr>
        <w:t>Metering</w:t>
      </w:r>
      <w:r>
        <w:rPr>
          <w:i/>
          <w:spacing w:val="-2"/>
          <w:sz w:val="24"/>
        </w:rPr>
        <w:t> </w:t>
      </w:r>
      <w:r>
        <w:rPr>
          <w:i/>
          <w:sz w:val="24"/>
        </w:rPr>
        <w:t>Provider</w:t>
      </w:r>
      <w:r>
        <w:rPr>
          <w:sz w:val="24"/>
        </w:rPr>
        <w:t>;</w:t>
      </w:r>
    </w:p>
    <w:p>
      <w:pPr>
        <w:pStyle w:val="ListParagraph"/>
        <w:numPr>
          <w:ilvl w:val="1"/>
          <w:numId w:val="585"/>
        </w:numPr>
        <w:tabs>
          <w:tab w:pos="2486" w:val="left" w:leader="none"/>
        </w:tabs>
        <w:spacing w:line="240" w:lineRule="auto" w:before="120" w:after="0"/>
        <w:ind w:left="2486" w:right="414" w:hanging="567"/>
        <w:jc w:val="both"/>
        <w:rPr>
          <w:sz w:val="24"/>
        </w:rPr>
      </w:pPr>
      <w:r>
        <w:rPr>
          <w:sz w:val="24"/>
        </w:rPr>
        <w:t>for whole current </w:t>
      </w:r>
      <w:r>
        <w:rPr>
          <w:i/>
          <w:sz w:val="24"/>
        </w:rPr>
        <w:t>metering installations</w:t>
      </w:r>
      <w:r>
        <w:rPr>
          <w:sz w:val="24"/>
        </w:rPr>
        <w:t>, the </w:t>
      </w:r>
      <w:r>
        <w:rPr>
          <w:i/>
          <w:sz w:val="24"/>
        </w:rPr>
        <w:t>metering data </w:t>
      </w:r>
      <w:r>
        <w:rPr>
          <w:sz w:val="24"/>
        </w:rPr>
        <w:t>correctly pertains to the registered </w:t>
      </w:r>
      <w:r>
        <w:rPr>
          <w:i/>
          <w:sz w:val="24"/>
        </w:rPr>
        <w:t>metering</w:t>
      </w:r>
      <w:r>
        <w:rPr>
          <w:i/>
          <w:spacing w:val="-1"/>
          <w:sz w:val="24"/>
        </w:rPr>
        <w:t> </w:t>
      </w:r>
      <w:r>
        <w:rPr>
          <w:i/>
          <w:sz w:val="24"/>
        </w:rPr>
        <w:t>installation</w:t>
      </w:r>
      <w:r>
        <w:rPr>
          <w:sz w:val="24"/>
        </w:rPr>
        <w:t>;</w:t>
      </w:r>
    </w:p>
    <w:p>
      <w:pPr>
        <w:pStyle w:val="ListParagraph"/>
        <w:numPr>
          <w:ilvl w:val="1"/>
          <w:numId w:val="585"/>
        </w:numPr>
        <w:tabs>
          <w:tab w:pos="2486" w:val="left" w:leader="none"/>
        </w:tabs>
        <w:spacing w:line="240" w:lineRule="auto" w:before="120" w:after="0"/>
        <w:ind w:left="2485" w:right="0" w:hanging="567"/>
        <w:jc w:val="both"/>
        <w:rPr>
          <w:sz w:val="24"/>
        </w:rPr>
      </w:pPr>
      <w:r>
        <w:rPr>
          <w:sz w:val="24"/>
        </w:rPr>
        <w:t>all data streams are</w:t>
      </w:r>
      <w:r>
        <w:rPr>
          <w:spacing w:val="-1"/>
          <w:sz w:val="24"/>
        </w:rPr>
        <w:t> </w:t>
      </w:r>
      <w:r>
        <w:rPr>
          <w:sz w:val="24"/>
        </w:rPr>
        <w:t>captured.</w:t>
      </w:r>
    </w:p>
    <w:p>
      <w:pPr>
        <w:spacing w:before="220"/>
        <w:ind w:left="1356" w:right="1585" w:firstLine="0"/>
        <w:jc w:val="left"/>
        <w:rPr>
          <w:rFonts w:ascii="Arial"/>
          <w:b/>
          <w:sz w:val="22"/>
        </w:rPr>
      </w:pPr>
      <w:r>
        <w:rPr>
          <w:rFonts w:ascii="Arial"/>
          <w:b/>
          <w:sz w:val="22"/>
        </w:rPr>
        <w:t>Validation of interval metering data from manually read metering installations</w:t>
      </w:r>
    </w:p>
    <w:p>
      <w:pPr>
        <w:pStyle w:val="ListParagraph"/>
        <w:numPr>
          <w:ilvl w:val="0"/>
          <w:numId w:val="585"/>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carry out the following validations in conjunction with the </w:t>
      </w:r>
      <w:r>
        <w:rPr>
          <w:i/>
          <w:sz w:val="24"/>
        </w:rPr>
        <w:t>Metering Provider </w:t>
      </w:r>
      <w:r>
        <w:rPr>
          <w:sz w:val="24"/>
        </w:rPr>
        <w:t>for manually read interval </w:t>
      </w:r>
      <w:r>
        <w:rPr>
          <w:i/>
          <w:sz w:val="24"/>
        </w:rPr>
        <w:t>metering </w:t>
      </w:r>
      <w:r>
        <w:rPr>
          <w:i/>
          <w:sz w:val="24"/>
        </w:rPr>
        <w:t>installations </w:t>
      </w:r>
      <w:r>
        <w:rPr>
          <w:sz w:val="24"/>
        </w:rPr>
        <w:t>after any changes to a </w:t>
      </w:r>
      <w:r>
        <w:rPr>
          <w:i/>
          <w:sz w:val="24"/>
        </w:rPr>
        <w:t>metering installation </w:t>
      </w:r>
      <w:r>
        <w:rPr>
          <w:sz w:val="24"/>
        </w:rPr>
        <w:t>prior to the provision of any </w:t>
      </w:r>
      <w:r>
        <w:rPr>
          <w:i/>
          <w:sz w:val="24"/>
        </w:rPr>
        <w:t>interval metering data </w:t>
      </w:r>
      <w:r>
        <w:rPr>
          <w:sz w:val="24"/>
        </w:rPr>
        <w:t>to </w:t>
      </w:r>
      <w:r>
        <w:rPr>
          <w:i/>
          <w:sz w:val="24"/>
        </w:rPr>
        <w:t>NTESMO, Registered </w:t>
      </w:r>
      <w:r>
        <w:rPr>
          <w:i/>
          <w:sz w:val="24"/>
        </w:rPr>
        <w:t>Participants </w:t>
      </w:r>
      <w:r>
        <w:rPr>
          <w:sz w:val="24"/>
        </w:rPr>
        <w:t>or financially responsible participants for the purposes of </w:t>
      </w:r>
      <w:r>
        <w:rPr>
          <w:i/>
          <w:sz w:val="24"/>
        </w:rPr>
        <w:t>settlements </w:t>
      </w:r>
      <w:r>
        <w:rPr>
          <w:sz w:val="24"/>
        </w:rPr>
        <w:t>or </w:t>
      </w:r>
      <w:r>
        <w:rPr>
          <w:i/>
          <w:sz w:val="24"/>
        </w:rPr>
        <w:t>billing</w:t>
      </w:r>
      <w:r>
        <w:rPr>
          <w:i/>
          <w:spacing w:val="-1"/>
          <w:sz w:val="24"/>
        </w:rPr>
        <w:t> </w:t>
      </w:r>
      <w:r>
        <w:rPr>
          <w:i/>
          <w:sz w:val="24"/>
        </w:rPr>
        <w:t>transactions</w:t>
      </w:r>
      <w:r>
        <w:rPr>
          <w:sz w:val="24"/>
        </w:rPr>
        <w:t>:</w:t>
      </w:r>
    </w:p>
    <w:p>
      <w:pPr>
        <w:pStyle w:val="ListParagraph"/>
        <w:numPr>
          <w:ilvl w:val="1"/>
          <w:numId w:val="585"/>
        </w:numPr>
        <w:tabs>
          <w:tab w:pos="2486" w:val="left" w:leader="none"/>
        </w:tabs>
        <w:spacing w:line="240" w:lineRule="auto" w:before="120" w:after="0"/>
        <w:ind w:left="2486" w:right="416" w:hanging="567"/>
        <w:jc w:val="both"/>
        <w:rPr>
          <w:sz w:val="24"/>
        </w:rPr>
      </w:pPr>
      <w:r>
        <w:rPr>
          <w:sz w:val="24"/>
        </w:rPr>
        <w:t>the </w:t>
      </w:r>
      <w:r>
        <w:rPr>
          <w:i/>
          <w:sz w:val="24"/>
        </w:rPr>
        <w:t>metering data </w:t>
      </w:r>
      <w:r>
        <w:rPr>
          <w:sz w:val="24"/>
        </w:rPr>
        <w:t>correctly pertains to the registered </w:t>
      </w:r>
      <w:r>
        <w:rPr>
          <w:i/>
          <w:sz w:val="24"/>
        </w:rPr>
        <w:t>metering </w:t>
      </w:r>
      <w:r>
        <w:rPr>
          <w:i/>
          <w:sz w:val="24"/>
        </w:rPr>
        <w:t>installation</w:t>
      </w:r>
      <w:r>
        <w:rPr>
          <w:sz w:val="24"/>
        </w:rPr>
        <w:t>;</w:t>
      </w:r>
    </w:p>
    <w:p>
      <w:pPr>
        <w:pStyle w:val="ListParagraph"/>
        <w:numPr>
          <w:ilvl w:val="1"/>
          <w:numId w:val="585"/>
        </w:numPr>
        <w:tabs>
          <w:tab w:pos="2486" w:val="left" w:leader="none"/>
        </w:tabs>
        <w:spacing w:line="240" w:lineRule="auto" w:before="120" w:after="0"/>
        <w:ind w:left="2485" w:right="0" w:hanging="567"/>
        <w:jc w:val="both"/>
        <w:rPr>
          <w:sz w:val="24"/>
        </w:rPr>
      </w:pPr>
      <w:r>
        <w:rPr>
          <w:sz w:val="24"/>
        </w:rPr>
        <w:t>all data streams are</w:t>
      </w:r>
      <w:r>
        <w:rPr>
          <w:spacing w:val="-1"/>
          <w:sz w:val="24"/>
        </w:rPr>
        <w:t> </w:t>
      </w:r>
      <w:r>
        <w:rPr>
          <w:sz w:val="24"/>
        </w:rPr>
        <w:t>captured.</w:t>
      </w:r>
    </w:p>
    <w:p>
      <w:pPr>
        <w:spacing w:before="220"/>
        <w:ind w:left="1356" w:right="1023" w:firstLine="0"/>
        <w:jc w:val="left"/>
        <w:rPr>
          <w:rFonts w:ascii="Arial"/>
          <w:b/>
          <w:sz w:val="22"/>
        </w:rPr>
      </w:pPr>
      <w:r>
        <w:rPr>
          <w:rFonts w:ascii="Arial"/>
          <w:b/>
          <w:sz w:val="22"/>
        </w:rPr>
        <w:t>Validation of accumulated metering data from manually read metering installations</w:t>
      </w:r>
    </w:p>
    <w:p>
      <w:pPr>
        <w:pStyle w:val="ListParagraph"/>
        <w:numPr>
          <w:ilvl w:val="0"/>
          <w:numId w:val="585"/>
        </w:numPr>
        <w:tabs>
          <w:tab w:pos="1919" w:val="left" w:leader="none"/>
        </w:tabs>
        <w:spacing w:line="240" w:lineRule="auto" w:before="120" w:after="0"/>
        <w:ind w:left="1919" w:right="414" w:hanging="567"/>
        <w:jc w:val="both"/>
        <w:rPr>
          <w:sz w:val="24"/>
        </w:rPr>
      </w:pPr>
      <w:r>
        <w:rPr>
          <w:i/>
          <w:sz w:val="24"/>
        </w:rPr>
        <w:t>Metering Data Providers </w:t>
      </w:r>
      <w:r>
        <w:rPr>
          <w:sz w:val="24"/>
        </w:rPr>
        <w:t>must carry out the following validations, following any changes to a </w:t>
      </w:r>
      <w:r>
        <w:rPr>
          <w:i/>
          <w:sz w:val="24"/>
        </w:rPr>
        <w:t>metering installation </w:t>
      </w:r>
      <w:r>
        <w:rPr>
          <w:sz w:val="24"/>
        </w:rPr>
        <w:t>and prior to the provision of any </w:t>
      </w:r>
      <w:r>
        <w:rPr>
          <w:i/>
          <w:sz w:val="24"/>
        </w:rPr>
        <w:t>accumulated metering data </w:t>
      </w:r>
      <w:r>
        <w:rPr>
          <w:sz w:val="24"/>
        </w:rPr>
        <w:t>to </w:t>
      </w:r>
      <w:r>
        <w:rPr>
          <w:i/>
          <w:sz w:val="24"/>
        </w:rPr>
        <w:t>NTESMO, Registered Participants </w:t>
      </w:r>
      <w:r>
        <w:rPr>
          <w:sz w:val="24"/>
        </w:rPr>
        <w:t>or financially responsible participants for the purposes of </w:t>
      </w:r>
      <w:r>
        <w:rPr>
          <w:i/>
          <w:sz w:val="24"/>
        </w:rPr>
        <w:t>settlements </w:t>
      </w:r>
      <w:r>
        <w:rPr>
          <w:sz w:val="24"/>
        </w:rPr>
        <w:t>or </w:t>
      </w:r>
      <w:r>
        <w:rPr>
          <w:i/>
          <w:sz w:val="24"/>
        </w:rPr>
        <w:t>billing </w:t>
      </w:r>
      <w:r>
        <w:rPr>
          <w:i/>
          <w:sz w:val="24"/>
        </w:rPr>
        <w:t>transactions</w:t>
      </w:r>
      <w:r>
        <w:rPr>
          <w:sz w:val="24"/>
        </w:rPr>
        <w:t>:</w:t>
      </w:r>
    </w:p>
    <w:p>
      <w:pPr>
        <w:pStyle w:val="ListParagraph"/>
        <w:numPr>
          <w:ilvl w:val="1"/>
          <w:numId w:val="585"/>
        </w:numPr>
        <w:tabs>
          <w:tab w:pos="2486" w:val="left" w:leader="none"/>
        </w:tabs>
        <w:spacing w:line="240" w:lineRule="auto" w:before="120" w:after="0"/>
        <w:ind w:left="2486" w:right="416" w:hanging="567"/>
        <w:jc w:val="both"/>
        <w:rPr>
          <w:sz w:val="24"/>
        </w:rPr>
      </w:pPr>
      <w:r>
        <w:rPr>
          <w:sz w:val="24"/>
        </w:rPr>
        <w:t>the </w:t>
      </w:r>
      <w:r>
        <w:rPr>
          <w:i/>
          <w:sz w:val="24"/>
        </w:rPr>
        <w:t>metering data </w:t>
      </w:r>
      <w:r>
        <w:rPr>
          <w:sz w:val="24"/>
        </w:rPr>
        <w:t>correctly pertains to the registered </w:t>
      </w:r>
      <w:r>
        <w:rPr>
          <w:i/>
          <w:sz w:val="24"/>
        </w:rPr>
        <w:t>metering </w:t>
      </w:r>
      <w:r>
        <w:rPr>
          <w:i/>
          <w:sz w:val="24"/>
        </w:rPr>
        <w:t>installation</w:t>
      </w:r>
      <w:r>
        <w:rPr>
          <w:sz w:val="24"/>
        </w:rPr>
        <w:t>;</w:t>
      </w:r>
    </w:p>
    <w:p>
      <w:pPr>
        <w:pStyle w:val="ListParagraph"/>
        <w:numPr>
          <w:ilvl w:val="1"/>
          <w:numId w:val="585"/>
        </w:numPr>
        <w:tabs>
          <w:tab w:pos="2486" w:val="left" w:leader="none"/>
        </w:tabs>
        <w:spacing w:line="240" w:lineRule="auto" w:before="120" w:after="0"/>
        <w:ind w:left="2485" w:right="0" w:hanging="567"/>
        <w:jc w:val="both"/>
        <w:rPr>
          <w:sz w:val="24"/>
        </w:rPr>
      </w:pPr>
      <w:r>
        <w:rPr>
          <w:sz w:val="24"/>
        </w:rPr>
        <w:t>all data streams are</w:t>
      </w:r>
      <w:r>
        <w:rPr>
          <w:spacing w:val="-1"/>
          <w:sz w:val="24"/>
        </w:rPr>
        <w:t> </w:t>
      </w:r>
      <w:r>
        <w:rPr>
          <w:sz w:val="24"/>
        </w:rPr>
        <w:t>captured.</w:t>
      </w:r>
    </w:p>
    <w:p>
      <w:pPr>
        <w:spacing w:before="220"/>
        <w:ind w:left="1356" w:right="0" w:firstLine="0"/>
        <w:jc w:val="left"/>
        <w:rPr>
          <w:rFonts w:ascii="Arial"/>
          <w:b/>
          <w:sz w:val="22"/>
        </w:rPr>
      </w:pPr>
      <w:r>
        <w:rPr>
          <w:rFonts w:ascii="Arial"/>
          <w:b/>
          <w:sz w:val="22"/>
        </w:rPr>
        <w:t>Validation of type 7 metering installations</w:t>
      </w:r>
    </w:p>
    <w:p>
      <w:pPr>
        <w:pStyle w:val="ListParagraph"/>
        <w:numPr>
          <w:ilvl w:val="0"/>
          <w:numId w:val="585"/>
        </w:numPr>
        <w:tabs>
          <w:tab w:pos="1919" w:val="left" w:leader="none"/>
        </w:tabs>
        <w:spacing w:line="240" w:lineRule="auto" w:before="120" w:after="0"/>
        <w:ind w:left="1919" w:right="414" w:hanging="567"/>
        <w:jc w:val="both"/>
        <w:rPr>
          <w:sz w:val="24"/>
        </w:rPr>
      </w:pPr>
      <w:r>
        <w:rPr>
          <w:i/>
          <w:sz w:val="24"/>
        </w:rPr>
        <w:t>Metering Data Providers </w:t>
      </w:r>
      <w:r>
        <w:rPr>
          <w:sz w:val="24"/>
        </w:rPr>
        <w:t>must validate the </w:t>
      </w:r>
      <w:r>
        <w:rPr>
          <w:i/>
          <w:sz w:val="24"/>
        </w:rPr>
        <w:t>calculated metering data </w:t>
      </w:r>
      <w:r>
        <w:rPr>
          <w:sz w:val="24"/>
        </w:rPr>
        <w:t>on registration of all </w:t>
      </w:r>
      <w:r>
        <w:rPr>
          <w:i/>
          <w:sz w:val="24"/>
        </w:rPr>
        <w:t>metering installations </w:t>
      </w:r>
      <w:r>
        <w:rPr>
          <w:sz w:val="24"/>
        </w:rPr>
        <w:t>to verify that the inventory tables, load tables and on/off tables are complete and correct for the specifics of the </w:t>
      </w:r>
      <w:r>
        <w:rPr>
          <w:i/>
          <w:sz w:val="24"/>
        </w:rPr>
        <w:t>metering</w:t>
      </w:r>
      <w:r>
        <w:rPr>
          <w:i/>
          <w:spacing w:val="-2"/>
          <w:sz w:val="24"/>
        </w:rPr>
        <w:t> </w:t>
      </w:r>
      <w:r>
        <w:rPr>
          <w:i/>
          <w:sz w:val="24"/>
        </w:rPr>
        <w:t>installation</w:t>
      </w:r>
      <w:r>
        <w:rPr>
          <w:sz w:val="24"/>
        </w:rPr>
        <w:t>.</w:t>
      </w:r>
    </w:p>
    <w:p>
      <w:pPr>
        <w:pStyle w:val="BodyText"/>
        <w:spacing w:before="10"/>
        <w:ind w:firstLine="0"/>
        <w:jc w:val="left"/>
        <w:rPr>
          <w:sz w:val="20"/>
        </w:rPr>
      </w:pPr>
    </w:p>
    <w:p>
      <w:pPr>
        <w:pStyle w:val="Heading4"/>
        <w:tabs>
          <w:tab w:pos="1658" w:val="left" w:leader="none"/>
        </w:tabs>
        <w:ind w:left="218" w:firstLine="0"/>
      </w:pPr>
      <w:bookmarkStart w:name="S7A.7.13.5 Validation of metering data" w:id="2054"/>
      <w:bookmarkEnd w:id="2054"/>
      <w:r>
        <w:rPr>
          <w:b w:val="0"/>
        </w:rPr>
      </w:r>
      <w:bookmarkStart w:name="_bookmark851" w:id="2055"/>
      <w:bookmarkEnd w:id="2055"/>
      <w:r>
        <w:rPr>
          <w:b w:val="0"/>
        </w:rPr>
      </w:r>
      <w:r>
        <w:rPr/>
        <w:t>S7A.7.13.5</w:t>
        <w:tab/>
        <w:t>Validation of metering</w:t>
      </w:r>
      <w:r>
        <w:rPr>
          <w:spacing w:val="-2"/>
        </w:rPr>
        <w:t> </w:t>
      </w:r>
      <w:r>
        <w:rPr/>
        <w:t>data</w:t>
      </w:r>
    </w:p>
    <w:p>
      <w:pPr>
        <w:spacing w:before="220"/>
        <w:ind w:left="1356" w:right="0" w:firstLine="0"/>
        <w:jc w:val="left"/>
        <w:rPr>
          <w:rFonts w:ascii="Arial"/>
          <w:b/>
          <w:sz w:val="22"/>
        </w:rPr>
      </w:pPr>
      <w:r>
        <w:rPr>
          <w:rFonts w:ascii="Arial"/>
          <w:b/>
          <w:sz w:val="22"/>
        </w:rPr>
        <w:t>General</w:t>
      </w:r>
    </w:p>
    <w:p>
      <w:pPr>
        <w:pStyle w:val="ListParagraph"/>
        <w:numPr>
          <w:ilvl w:val="0"/>
          <w:numId w:val="586"/>
        </w:numPr>
        <w:tabs>
          <w:tab w:pos="1919" w:val="left" w:leader="none"/>
        </w:tabs>
        <w:spacing w:line="240" w:lineRule="auto" w:before="120" w:after="0"/>
        <w:ind w:left="1919" w:right="415" w:hanging="567"/>
        <w:jc w:val="both"/>
        <w:rPr>
          <w:sz w:val="24"/>
        </w:rPr>
      </w:pPr>
      <w:r>
        <w:rPr>
          <w:sz w:val="24"/>
        </w:rPr>
        <w:t>For </w:t>
      </w:r>
      <w:r>
        <w:rPr>
          <w:i/>
          <w:sz w:val="24"/>
        </w:rPr>
        <w:t>metering installations </w:t>
      </w:r>
      <w:r>
        <w:rPr>
          <w:sz w:val="24"/>
        </w:rPr>
        <w:t>with </w:t>
      </w:r>
      <w:r>
        <w:rPr>
          <w:i/>
          <w:sz w:val="24"/>
        </w:rPr>
        <w:t>remote acquisition </w:t>
      </w:r>
      <w:r>
        <w:rPr>
          <w:sz w:val="24"/>
        </w:rPr>
        <w:t>installed in accordance with paragraph 7A.6.8(a), the </w:t>
      </w:r>
      <w:r>
        <w:rPr>
          <w:i/>
          <w:sz w:val="24"/>
        </w:rPr>
        <w:t>Metering Data Provider </w:t>
      </w:r>
      <w:r>
        <w:rPr>
          <w:sz w:val="24"/>
        </w:rPr>
        <w:t>may perform validation in accordance with clauses S7A.7.14.4 and S7A.7.14.5, instead of clause</w:t>
      </w:r>
      <w:r>
        <w:rPr>
          <w:spacing w:val="-1"/>
          <w:sz w:val="24"/>
        </w:rPr>
        <w:t> </w:t>
      </w:r>
      <w:r>
        <w:rPr>
          <w:sz w:val="24"/>
        </w:rPr>
        <w:t>S7A.7.14.2.</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Validations for remotely read metering installations</w:t>
      </w:r>
    </w:p>
    <w:p>
      <w:pPr>
        <w:pStyle w:val="ListParagraph"/>
        <w:numPr>
          <w:ilvl w:val="0"/>
          <w:numId w:val="586"/>
        </w:numPr>
        <w:tabs>
          <w:tab w:pos="1919" w:val="left" w:leader="none"/>
        </w:tabs>
        <w:spacing w:line="240" w:lineRule="auto" w:before="120" w:after="0"/>
        <w:ind w:left="1919" w:right="414" w:hanging="567"/>
        <w:jc w:val="both"/>
        <w:rPr>
          <w:sz w:val="24"/>
        </w:rPr>
      </w:pPr>
      <w:r>
        <w:rPr>
          <w:i/>
          <w:sz w:val="24"/>
        </w:rPr>
        <w:t>Metering Data Providers </w:t>
      </w:r>
      <w:r>
        <w:rPr>
          <w:sz w:val="24"/>
        </w:rPr>
        <w:t>must, as a minimum, undertake the</w:t>
      </w:r>
      <w:r>
        <w:rPr>
          <w:spacing w:val="33"/>
          <w:sz w:val="24"/>
        </w:rPr>
        <w:t> </w:t>
      </w:r>
      <w:r>
        <w:rPr>
          <w:sz w:val="24"/>
        </w:rPr>
        <w:t>following validations within the </w:t>
      </w:r>
      <w:r>
        <w:rPr>
          <w:i/>
          <w:sz w:val="24"/>
        </w:rPr>
        <w:t>metering data services database </w:t>
      </w:r>
      <w:r>
        <w:rPr>
          <w:sz w:val="24"/>
        </w:rPr>
        <w:t>for </w:t>
      </w:r>
      <w:r>
        <w:rPr>
          <w:i/>
          <w:sz w:val="24"/>
        </w:rPr>
        <w:t>metering </w:t>
      </w:r>
      <w:r>
        <w:rPr>
          <w:i/>
          <w:sz w:val="24"/>
        </w:rPr>
        <w:t>installation </w:t>
      </w:r>
      <w:r>
        <w:rPr>
          <w:sz w:val="24"/>
        </w:rPr>
        <w:t>types with </w:t>
      </w:r>
      <w:r>
        <w:rPr>
          <w:i/>
          <w:sz w:val="24"/>
        </w:rPr>
        <w:t>remote acquisition </w:t>
      </w:r>
      <w:r>
        <w:rPr>
          <w:sz w:val="24"/>
        </w:rPr>
        <w:t>of </w:t>
      </w:r>
      <w:r>
        <w:rPr>
          <w:i/>
          <w:sz w:val="24"/>
        </w:rPr>
        <w:t>metering</w:t>
      </w:r>
      <w:r>
        <w:rPr>
          <w:i/>
          <w:spacing w:val="-7"/>
          <w:sz w:val="24"/>
        </w:rPr>
        <w:t> </w:t>
      </w:r>
      <w:r>
        <w:rPr>
          <w:i/>
          <w:sz w:val="24"/>
        </w:rPr>
        <w:t>data</w:t>
      </w:r>
      <w:r>
        <w:rPr>
          <w:sz w:val="24"/>
        </w:rPr>
        <w:t>:</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all </w:t>
      </w:r>
      <w:r>
        <w:rPr>
          <w:i/>
          <w:sz w:val="24"/>
        </w:rPr>
        <w:t>interval metering data </w:t>
      </w:r>
      <w:r>
        <w:rPr>
          <w:sz w:val="24"/>
        </w:rPr>
        <w:t>against a nominated maximum value:</w:t>
      </w:r>
    </w:p>
    <w:p>
      <w:pPr>
        <w:pStyle w:val="ListParagraph"/>
        <w:numPr>
          <w:ilvl w:val="2"/>
          <w:numId w:val="586"/>
        </w:numPr>
        <w:tabs>
          <w:tab w:pos="3053" w:val="left" w:leader="none"/>
        </w:tabs>
        <w:spacing w:line="240" w:lineRule="auto" w:before="120" w:after="0"/>
        <w:ind w:left="3052" w:right="0" w:hanging="567"/>
        <w:jc w:val="both"/>
        <w:rPr>
          <w:i/>
          <w:sz w:val="24"/>
        </w:rPr>
      </w:pPr>
      <w:r>
        <w:rPr>
          <w:sz w:val="24"/>
        </w:rPr>
        <w:t>this</w:t>
      </w:r>
      <w:r>
        <w:rPr>
          <w:spacing w:val="8"/>
          <w:sz w:val="24"/>
        </w:rPr>
        <w:t> </w:t>
      </w:r>
      <w:r>
        <w:rPr>
          <w:sz w:val="24"/>
        </w:rPr>
        <w:t>validation</w:t>
      </w:r>
      <w:r>
        <w:rPr>
          <w:spacing w:val="9"/>
          <w:sz w:val="24"/>
        </w:rPr>
        <w:t> </w:t>
      </w:r>
      <w:r>
        <w:rPr>
          <w:sz w:val="24"/>
        </w:rPr>
        <w:t>is</w:t>
      </w:r>
      <w:r>
        <w:rPr>
          <w:spacing w:val="9"/>
          <w:sz w:val="24"/>
        </w:rPr>
        <w:t> </w:t>
      </w:r>
      <w:r>
        <w:rPr>
          <w:sz w:val="24"/>
        </w:rPr>
        <w:t>to</w:t>
      </w:r>
      <w:r>
        <w:rPr>
          <w:spacing w:val="9"/>
          <w:sz w:val="24"/>
        </w:rPr>
        <w:t> </w:t>
      </w:r>
      <w:r>
        <w:rPr>
          <w:sz w:val="24"/>
        </w:rPr>
        <w:t>ensure</w:t>
      </w:r>
      <w:r>
        <w:rPr>
          <w:spacing w:val="9"/>
          <w:sz w:val="24"/>
        </w:rPr>
        <w:t> </w:t>
      </w:r>
      <w:r>
        <w:rPr>
          <w:sz w:val="24"/>
        </w:rPr>
        <w:t>that</w:t>
      </w:r>
      <w:r>
        <w:rPr>
          <w:spacing w:val="8"/>
          <w:sz w:val="24"/>
        </w:rPr>
        <w:t> </w:t>
      </w:r>
      <w:r>
        <w:rPr>
          <w:sz w:val="24"/>
        </w:rPr>
        <w:t>erroneous</w:t>
      </w:r>
      <w:r>
        <w:rPr>
          <w:spacing w:val="9"/>
          <w:sz w:val="24"/>
        </w:rPr>
        <w:t> </w:t>
      </w:r>
      <w:r>
        <w:rPr>
          <w:i/>
          <w:sz w:val="24"/>
        </w:rPr>
        <w:t>interval</w:t>
      </w:r>
      <w:r>
        <w:rPr>
          <w:i/>
          <w:spacing w:val="9"/>
          <w:sz w:val="24"/>
        </w:rPr>
        <w:t> </w:t>
      </w:r>
      <w:r>
        <w:rPr>
          <w:i/>
          <w:sz w:val="24"/>
        </w:rPr>
        <w:t>metering</w:t>
      </w:r>
      <w:r>
        <w:rPr>
          <w:i/>
          <w:spacing w:val="9"/>
          <w:sz w:val="24"/>
        </w:rPr>
        <w:t> </w:t>
      </w:r>
      <w:r>
        <w:rPr>
          <w:i/>
          <w:sz w:val="24"/>
        </w:rPr>
        <w:t>data</w:t>
      </w:r>
    </w:p>
    <w:p>
      <w:pPr>
        <w:pStyle w:val="BodyText"/>
        <w:spacing w:before="0"/>
        <w:ind w:left="3053" w:firstLine="0"/>
      </w:pPr>
      <w:r>
        <w:rPr/>
        <w:t>spikes are trapped and substituted;</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this check may additionally be performed in the </w:t>
      </w:r>
      <w:r>
        <w:rPr>
          <w:spacing w:val="-3"/>
          <w:sz w:val="24"/>
        </w:rPr>
        <w:t>polling </w:t>
      </w:r>
      <w:r>
        <w:rPr>
          <w:sz w:val="24"/>
        </w:rPr>
        <w:t>software;</w:t>
      </w:r>
    </w:p>
    <w:p>
      <w:pPr>
        <w:pStyle w:val="ListParagraph"/>
        <w:numPr>
          <w:ilvl w:val="1"/>
          <w:numId w:val="586"/>
        </w:numPr>
        <w:tabs>
          <w:tab w:pos="2486" w:val="left" w:leader="none"/>
        </w:tabs>
        <w:spacing w:line="240" w:lineRule="auto" w:before="120" w:after="0"/>
        <w:ind w:left="2485" w:right="0" w:hanging="567"/>
        <w:jc w:val="both"/>
        <w:rPr>
          <w:sz w:val="24"/>
        </w:rPr>
      </w:pPr>
      <w:r>
        <w:rPr>
          <w:sz w:val="24"/>
        </w:rPr>
        <w:t>a check of the maximum value of </w:t>
      </w:r>
      <w:r>
        <w:rPr>
          <w:i/>
          <w:sz w:val="24"/>
        </w:rPr>
        <w:t>active energy </w:t>
      </w:r>
      <w:r>
        <w:rPr>
          <w:sz w:val="24"/>
        </w:rPr>
        <w:t>and </w:t>
      </w:r>
      <w:r>
        <w:rPr>
          <w:i/>
          <w:sz w:val="24"/>
        </w:rPr>
        <w:t>reactive</w:t>
      </w:r>
      <w:r>
        <w:rPr>
          <w:i/>
          <w:spacing w:val="-5"/>
          <w:sz w:val="24"/>
        </w:rPr>
        <w:t> </w:t>
      </w:r>
      <w:r>
        <w:rPr>
          <w:i/>
          <w:sz w:val="24"/>
        </w:rPr>
        <w:t>energy</w:t>
      </w:r>
      <w:r>
        <w:rPr>
          <w:sz w:val="24"/>
        </w:rPr>
        <w:t>:</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for </w:t>
      </w:r>
      <w:r>
        <w:rPr>
          <w:i/>
          <w:sz w:val="24"/>
        </w:rPr>
        <w:t>current transformer metering installations</w:t>
      </w:r>
      <w:r>
        <w:rPr>
          <w:sz w:val="24"/>
        </w:rPr>
        <w:t>, the maximum value is to be initially determined by the connected </w:t>
      </w:r>
      <w:r>
        <w:rPr>
          <w:i/>
          <w:sz w:val="24"/>
        </w:rPr>
        <w:t>current </w:t>
      </w:r>
      <w:r>
        <w:rPr>
          <w:i/>
          <w:sz w:val="24"/>
        </w:rPr>
        <w:t>transformer </w:t>
      </w:r>
      <w:r>
        <w:rPr>
          <w:sz w:val="24"/>
        </w:rPr>
        <w:t>ratio of the </w:t>
      </w:r>
      <w:r>
        <w:rPr>
          <w:i/>
          <w:sz w:val="24"/>
        </w:rPr>
        <w:t>metering</w:t>
      </w:r>
      <w:r>
        <w:rPr>
          <w:i/>
          <w:spacing w:val="-2"/>
          <w:sz w:val="24"/>
        </w:rPr>
        <w:t> </w:t>
      </w:r>
      <w:r>
        <w:rPr>
          <w:i/>
          <w:sz w:val="24"/>
        </w:rPr>
        <w:t>installation</w:t>
      </w:r>
      <w:r>
        <w:rPr>
          <w:sz w:val="24"/>
        </w:rPr>
        <w:t>;</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for whole current </w:t>
      </w:r>
      <w:r>
        <w:rPr>
          <w:i/>
          <w:sz w:val="24"/>
        </w:rPr>
        <w:t>metering installations </w:t>
      </w:r>
      <w:r>
        <w:rPr>
          <w:sz w:val="24"/>
        </w:rPr>
        <w:t>the maximum rating of the </w:t>
      </w:r>
      <w:r>
        <w:rPr>
          <w:i/>
          <w:sz w:val="24"/>
        </w:rPr>
        <w:t>meter </w:t>
      </w:r>
      <w:r>
        <w:rPr>
          <w:sz w:val="24"/>
        </w:rPr>
        <w:t>is to be</w:t>
      </w:r>
      <w:r>
        <w:rPr>
          <w:spacing w:val="-1"/>
          <w:sz w:val="24"/>
        </w:rPr>
        <w:t> </w:t>
      </w:r>
      <w:r>
        <w:rPr>
          <w:sz w:val="24"/>
        </w:rPr>
        <w:t>used;</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against a nominated minimum value or, alternatively, a 'zero' check that tests for an acceptable number of zero intervals values per day to be derived from the site's historical </w:t>
      </w:r>
      <w:r>
        <w:rPr>
          <w:i/>
          <w:sz w:val="24"/>
        </w:rPr>
        <w:t>metering</w:t>
      </w:r>
      <w:r>
        <w:rPr>
          <w:i/>
          <w:spacing w:val="-3"/>
          <w:sz w:val="24"/>
        </w:rPr>
        <w:t> </w:t>
      </w:r>
      <w:r>
        <w:rPr>
          <w:i/>
          <w:sz w:val="24"/>
        </w:rPr>
        <w:t>data</w:t>
      </w:r>
      <w:r>
        <w:rPr>
          <w:sz w:val="24"/>
        </w:rPr>
        <w:t>;</w:t>
      </w:r>
    </w:p>
    <w:p>
      <w:pPr>
        <w:pStyle w:val="ListParagraph"/>
        <w:numPr>
          <w:ilvl w:val="1"/>
          <w:numId w:val="586"/>
        </w:numPr>
        <w:tabs>
          <w:tab w:pos="2486" w:val="left" w:leader="none"/>
        </w:tabs>
        <w:spacing w:line="240" w:lineRule="auto" w:before="120" w:after="0"/>
        <w:ind w:left="2486" w:right="416" w:hanging="567"/>
        <w:jc w:val="both"/>
        <w:rPr>
          <w:sz w:val="24"/>
        </w:rPr>
      </w:pPr>
      <w:r>
        <w:rPr>
          <w:sz w:val="24"/>
        </w:rPr>
        <w:t>a check for null (no values) </w:t>
      </w:r>
      <w:r>
        <w:rPr>
          <w:i/>
          <w:sz w:val="24"/>
        </w:rPr>
        <w:t>metering data </w:t>
      </w:r>
      <w:r>
        <w:rPr>
          <w:sz w:val="24"/>
        </w:rPr>
        <w:t>in the </w:t>
      </w:r>
      <w:r>
        <w:rPr>
          <w:i/>
          <w:sz w:val="24"/>
        </w:rPr>
        <w:t>metering data </w:t>
      </w:r>
      <w:r>
        <w:rPr>
          <w:i/>
          <w:sz w:val="24"/>
        </w:rPr>
        <w:t>services database </w:t>
      </w:r>
      <w:r>
        <w:rPr>
          <w:sz w:val="24"/>
        </w:rPr>
        <w:t>for all data</w:t>
      </w:r>
      <w:r>
        <w:rPr>
          <w:spacing w:val="-4"/>
          <w:sz w:val="24"/>
        </w:rPr>
        <w:t> </w:t>
      </w:r>
      <w:r>
        <w:rPr>
          <w:sz w:val="24"/>
        </w:rPr>
        <w:t>streams:</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aim of this check is to ensure that there is a 100%</w:t>
      </w:r>
      <w:r>
        <w:rPr>
          <w:i/>
          <w:sz w:val="24"/>
        </w:rPr>
        <w:t>metering </w:t>
      </w:r>
      <w:r>
        <w:rPr>
          <w:i/>
          <w:sz w:val="24"/>
        </w:rPr>
        <w:t>data </w:t>
      </w:r>
      <w:r>
        <w:rPr>
          <w:sz w:val="24"/>
        </w:rPr>
        <w:t>set (and substitution for any missing </w:t>
      </w:r>
      <w:r>
        <w:rPr>
          <w:i/>
          <w:sz w:val="24"/>
        </w:rPr>
        <w:t>interval metering data </w:t>
      </w:r>
      <w:r>
        <w:rPr>
          <w:sz w:val="24"/>
        </w:rPr>
        <w:t>is</w:t>
      </w:r>
      <w:r>
        <w:rPr>
          <w:spacing w:val="-1"/>
          <w:sz w:val="24"/>
        </w:rPr>
        <w:t> </w:t>
      </w:r>
      <w:r>
        <w:rPr>
          <w:sz w:val="24"/>
        </w:rPr>
        <w:t>undertaken);</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minimum check required is to ensure that there is at least  one non-null </w:t>
      </w:r>
      <w:r>
        <w:rPr>
          <w:i/>
          <w:sz w:val="24"/>
        </w:rPr>
        <w:t>active energy </w:t>
      </w:r>
      <w:r>
        <w:rPr>
          <w:sz w:val="24"/>
        </w:rPr>
        <w:t>or </w:t>
      </w:r>
      <w:r>
        <w:rPr>
          <w:i/>
          <w:sz w:val="24"/>
        </w:rPr>
        <w:t>reactive energy </w:t>
      </w:r>
      <w:r>
        <w:rPr>
          <w:sz w:val="24"/>
        </w:rPr>
        <w:t>value per interval per </w:t>
      </w:r>
      <w:r>
        <w:rPr>
          <w:i/>
          <w:sz w:val="24"/>
        </w:rPr>
        <w:t>metering data</w:t>
      </w:r>
      <w:r>
        <w:rPr>
          <w:i/>
          <w:spacing w:val="-2"/>
          <w:sz w:val="24"/>
        </w:rPr>
        <w:t> </w:t>
      </w:r>
      <w:r>
        <w:rPr>
          <w:i/>
          <w:sz w:val="24"/>
        </w:rPr>
        <w:t>stream</w:t>
      </w:r>
      <w:r>
        <w:rPr>
          <w:sz w:val="24"/>
        </w:rPr>
        <w:t>;</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for the </w:t>
      </w:r>
      <w:r>
        <w:rPr>
          <w:i/>
          <w:sz w:val="24"/>
        </w:rPr>
        <w:t>meter </w:t>
      </w:r>
      <w:r>
        <w:rPr>
          <w:sz w:val="24"/>
        </w:rPr>
        <w:t>alarms referred to in clause S7A.7.13.2 and ensure:</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that a process is in place that captures these </w:t>
      </w:r>
      <w:r>
        <w:rPr>
          <w:i/>
          <w:sz w:val="24"/>
        </w:rPr>
        <w:t>meter </w:t>
      </w:r>
      <w:r>
        <w:rPr>
          <w:sz w:val="24"/>
        </w:rPr>
        <w:t>alarms within the validation and ensures that any </w:t>
      </w:r>
      <w:r>
        <w:rPr>
          <w:i/>
          <w:sz w:val="24"/>
        </w:rPr>
        <w:t>meter </w:t>
      </w:r>
      <w:r>
        <w:rPr>
          <w:sz w:val="24"/>
        </w:rPr>
        <w:t>alarm occurrences are retained as part of the </w:t>
      </w:r>
      <w:r>
        <w:rPr>
          <w:i/>
          <w:sz w:val="24"/>
        </w:rPr>
        <w:t>metering data </w:t>
      </w:r>
      <w:r>
        <w:rPr>
          <w:sz w:val="24"/>
        </w:rPr>
        <w:t>audit</w:t>
      </w:r>
      <w:r>
        <w:rPr>
          <w:spacing w:val="-2"/>
          <w:sz w:val="24"/>
        </w:rPr>
        <w:t> </w:t>
      </w:r>
      <w:r>
        <w:rPr>
          <w:sz w:val="24"/>
        </w:rPr>
        <w:t>trail;</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provision of details of the occurrences of </w:t>
      </w:r>
      <w:r>
        <w:rPr>
          <w:i/>
          <w:sz w:val="24"/>
        </w:rPr>
        <w:t>meter </w:t>
      </w:r>
      <w:r>
        <w:rPr>
          <w:sz w:val="24"/>
        </w:rPr>
        <w:t>alarms to relevant </w:t>
      </w:r>
      <w:r>
        <w:rPr>
          <w:i/>
          <w:sz w:val="24"/>
        </w:rPr>
        <w:t>Registered Participants </w:t>
      </w:r>
      <w:r>
        <w:rPr>
          <w:sz w:val="24"/>
        </w:rPr>
        <w:t>within the </w:t>
      </w:r>
      <w:r>
        <w:rPr>
          <w:i/>
          <w:sz w:val="24"/>
        </w:rPr>
        <w:t>metering data </w:t>
      </w:r>
      <w:r>
        <w:rPr>
          <w:sz w:val="24"/>
        </w:rPr>
        <w:t>file in accordance with the MDFF</w:t>
      </w:r>
      <w:r>
        <w:rPr>
          <w:spacing w:val="-4"/>
          <w:sz w:val="24"/>
        </w:rPr>
        <w:t> </w:t>
      </w:r>
      <w:r>
        <w:rPr>
          <w:sz w:val="24"/>
        </w:rPr>
        <w:t>Specification.</w:t>
      </w:r>
    </w:p>
    <w:p>
      <w:pPr>
        <w:spacing w:before="220"/>
        <w:ind w:left="1356" w:right="962" w:firstLine="0"/>
        <w:jc w:val="left"/>
        <w:rPr>
          <w:rFonts w:ascii="Arial"/>
          <w:b/>
          <w:sz w:val="22"/>
        </w:rPr>
      </w:pPr>
      <w:r>
        <w:rPr>
          <w:rFonts w:ascii="Arial"/>
          <w:b/>
          <w:sz w:val="22"/>
        </w:rPr>
        <w:t>Validations for metering installations with checking metering or partial check metering</w:t>
      </w:r>
    </w:p>
    <w:p>
      <w:pPr>
        <w:pStyle w:val="ListParagraph"/>
        <w:numPr>
          <w:ilvl w:val="0"/>
          <w:numId w:val="586"/>
        </w:numPr>
        <w:tabs>
          <w:tab w:pos="1919" w:val="left" w:leader="none"/>
        </w:tabs>
        <w:spacing w:line="240" w:lineRule="auto" w:before="120" w:after="0"/>
        <w:ind w:left="1919" w:right="415" w:hanging="567"/>
        <w:jc w:val="both"/>
        <w:rPr>
          <w:sz w:val="24"/>
        </w:rPr>
      </w:pPr>
      <w:r>
        <w:rPr>
          <w:i/>
          <w:sz w:val="24"/>
        </w:rPr>
        <w:t>Metering Data Providers </w:t>
      </w:r>
      <w:r>
        <w:rPr>
          <w:sz w:val="24"/>
        </w:rPr>
        <w:t>must undertake the following validations by comparing the </w:t>
      </w:r>
      <w:r>
        <w:rPr>
          <w:i/>
          <w:sz w:val="24"/>
        </w:rPr>
        <w:t>metering data </w:t>
      </w:r>
      <w:r>
        <w:rPr>
          <w:sz w:val="24"/>
        </w:rPr>
        <w:t>and </w:t>
      </w:r>
      <w:r>
        <w:rPr>
          <w:i/>
          <w:sz w:val="24"/>
        </w:rPr>
        <w:t>check metering data </w:t>
      </w:r>
      <w:r>
        <w:rPr>
          <w:sz w:val="24"/>
        </w:rPr>
        <w:t>for all </w:t>
      </w:r>
      <w:r>
        <w:rPr>
          <w:i/>
          <w:sz w:val="24"/>
        </w:rPr>
        <w:t>metering </w:t>
      </w:r>
      <w:r>
        <w:rPr>
          <w:i/>
          <w:sz w:val="24"/>
        </w:rPr>
        <w:t>installations </w:t>
      </w:r>
      <w:r>
        <w:rPr>
          <w:sz w:val="24"/>
        </w:rPr>
        <w:t>that have associated </w:t>
      </w:r>
      <w:r>
        <w:rPr>
          <w:i/>
          <w:sz w:val="24"/>
        </w:rPr>
        <w:t>check metering installations </w:t>
      </w:r>
      <w:r>
        <w:rPr>
          <w:sz w:val="24"/>
        </w:rPr>
        <w:t>or partial </w:t>
      </w:r>
      <w:r>
        <w:rPr>
          <w:i/>
          <w:sz w:val="24"/>
        </w:rPr>
        <w:t>check metering</w:t>
      </w:r>
      <w:r>
        <w:rPr>
          <w:i/>
          <w:spacing w:val="-2"/>
          <w:sz w:val="24"/>
        </w:rPr>
        <w:t> </w:t>
      </w:r>
      <w:r>
        <w:rPr>
          <w:i/>
          <w:sz w:val="24"/>
        </w:rPr>
        <w:t>installations</w:t>
      </w:r>
      <w:r>
        <w:rPr>
          <w:sz w:val="24"/>
        </w:rPr>
        <w:t>:</w:t>
      </w:r>
    </w:p>
    <w:p>
      <w:pPr>
        <w:pStyle w:val="ListParagraph"/>
        <w:numPr>
          <w:ilvl w:val="1"/>
          <w:numId w:val="586"/>
        </w:numPr>
        <w:tabs>
          <w:tab w:pos="566" w:val="left" w:leader="none"/>
          <w:tab w:pos="567" w:val="left" w:leader="none"/>
        </w:tabs>
        <w:spacing w:line="240" w:lineRule="auto" w:before="120" w:after="0"/>
        <w:ind w:left="2485" w:right="416" w:hanging="2486"/>
        <w:jc w:val="right"/>
        <w:rPr>
          <w:i/>
          <w:sz w:val="24"/>
        </w:rPr>
      </w:pPr>
      <w:r>
        <w:rPr>
          <w:sz w:val="24"/>
        </w:rPr>
        <w:t>for </w:t>
      </w:r>
      <w:r>
        <w:rPr>
          <w:spacing w:val="35"/>
          <w:sz w:val="24"/>
        </w:rPr>
        <w:t> </w:t>
      </w:r>
      <w:r>
        <w:rPr>
          <w:i/>
          <w:sz w:val="24"/>
        </w:rPr>
        <w:t>metering </w:t>
      </w:r>
      <w:r>
        <w:rPr>
          <w:i/>
          <w:spacing w:val="35"/>
          <w:sz w:val="24"/>
        </w:rPr>
        <w:t> </w:t>
      </w:r>
      <w:r>
        <w:rPr>
          <w:i/>
          <w:sz w:val="24"/>
        </w:rPr>
        <w:t>installations </w:t>
      </w:r>
      <w:r>
        <w:rPr>
          <w:i/>
          <w:spacing w:val="35"/>
          <w:sz w:val="24"/>
        </w:rPr>
        <w:t> </w:t>
      </w:r>
      <w:r>
        <w:rPr>
          <w:sz w:val="24"/>
        </w:rPr>
        <w:t>where </w:t>
      </w:r>
      <w:r>
        <w:rPr>
          <w:spacing w:val="36"/>
          <w:sz w:val="24"/>
        </w:rPr>
        <w:t> </w:t>
      </w:r>
      <w:r>
        <w:rPr>
          <w:sz w:val="24"/>
        </w:rPr>
        <w:t>the </w:t>
      </w:r>
      <w:r>
        <w:rPr>
          <w:spacing w:val="35"/>
          <w:sz w:val="24"/>
        </w:rPr>
        <w:t> </w:t>
      </w:r>
      <w:r>
        <w:rPr>
          <w:i/>
          <w:sz w:val="24"/>
        </w:rPr>
        <w:t>check </w:t>
      </w:r>
      <w:r>
        <w:rPr>
          <w:i/>
          <w:spacing w:val="35"/>
          <w:sz w:val="24"/>
        </w:rPr>
        <w:t> </w:t>
      </w:r>
      <w:r>
        <w:rPr>
          <w:i/>
          <w:sz w:val="24"/>
        </w:rPr>
        <w:t>metering </w:t>
      </w:r>
      <w:r>
        <w:rPr>
          <w:i/>
          <w:spacing w:val="36"/>
          <w:sz w:val="24"/>
        </w:rPr>
        <w:t> </w:t>
      </w:r>
      <w:r>
        <w:rPr>
          <w:i/>
          <w:sz w:val="24"/>
        </w:rPr>
        <w:t>installation</w:t>
      </w:r>
    </w:p>
    <w:p>
      <w:pPr>
        <w:spacing w:before="0"/>
        <w:ind w:left="1789" w:right="415" w:firstLine="0"/>
        <w:jc w:val="right"/>
        <w:rPr>
          <w:i/>
          <w:sz w:val="24"/>
        </w:rPr>
      </w:pPr>
      <w:r>
        <w:rPr>
          <w:sz w:val="24"/>
        </w:rPr>
        <w:t>duplicates </w:t>
      </w:r>
      <w:r>
        <w:rPr>
          <w:spacing w:val="24"/>
          <w:sz w:val="24"/>
        </w:rPr>
        <w:t> </w:t>
      </w:r>
      <w:r>
        <w:rPr>
          <w:sz w:val="24"/>
        </w:rPr>
        <w:t>the </w:t>
      </w:r>
      <w:r>
        <w:rPr>
          <w:spacing w:val="25"/>
          <w:sz w:val="24"/>
        </w:rPr>
        <w:t> </w:t>
      </w:r>
      <w:r>
        <w:rPr>
          <w:i/>
          <w:sz w:val="24"/>
        </w:rPr>
        <w:t>metering </w:t>
      </w:r>
      <w:r>
        <w:rPr>
          <w:i/>
          <w:spacing w:val="25"/>
          <w:sz w:val="24"/>
        </w:rPr>
        <w:t> </w:t>
      </w:r>
      <w:r>
        <w:rPr>
          <w:i/>
          <w:sz w:val="24"/>
        </w:rPr>
        <w:t>installation </w:t>
      </w:r>
      <w:r>
        <w:rPr>
          <w:i/>
          <w:spacing w:val="25"/>
          <w:sz w:val="24"/>
        </w:rPr>
        <w:t> </w:t>
      </w:r>
      <w:r>
        <w:rPr>
          <w:sz w:val="24"/>
        </w:rPr>
        <w:t>accuracy, </w:t>
      </w:r>
      <w:r>
        <w:rPr>
          <w:spacing w:val="25"/>
          <w:sz w:val="24"/>
        </w:rPr>
        <w:t> </w:t>
      </w:r>
      <w:r>
        <w:rPr>
          <w:sz w:val="24"/>
        </w:rPr>
        <w:t>the </w:t>
      </w:r>
      <w:r>
        <w:rPr>
          <w:spacing w:val="25"/>
          <w:sz w:val="24"/>
        </w:rPr>
        <w:t> </w:t>
      </w:r>
      <w:r>
        <w:rPr>
          <w:i/>
          <w:sz w:val="24"/>
        </w:rPr>
        <w:t>Metering </w:t>
      </w:r>
      <w:r>
        <w:rPr>
          <w:i/>
          <w:spacing w:val="25"/>
          <w:sz w:val="24"/>
        </w:rPr>
        <w:t> </w:t>
      </w:r>
      <w:r>
        <w:rPr>
          <w:i/>
          <w:sz w:val="24"/>
        </w:rPr>
        <w:t>Data</w:t>
      </w:r>
    </w:p>
    <w:p>
      <w:pPr>
        <w:spacing w:after="0"/>
        <w:jc w:val="right"/>
        <w:rPr>
          <w:sz w:val="24"/>
        </w:rPr>
        <w:sectPr>
          <w:pgSz w:w="11910" w:h="16840"/>
          <w:pgMar w:header="686" w:footer="637" w:top="1320" w:bottom="820" w:left="1200" w:right="1000"/>
        </w:sectPr>
      </w:pPr>
    </w:p>
    <w:p>
      <w:pPr>
        <w:spacing w:before="83"/>
        <w:ind w:left="2486" w:right="415" w:firstLine="0"/>
        <w:jc w:val="both"/>
        <w:rPr>
          <w:sz w:val="24"/>
        </w:rPr>
      </w:pPr>
      <w:r>
        <w:rPr>
          <w:i/>
          <w:sz w:val="24"/>
        </w:rPr>
        <w:t>Provider </w:t>
      </w:r>
      <w:r>
        <w:rPr>
          <w:sz w:val="24"/>
        </w:rPr>
        <w:t>must validate the </w:t>
      </w:r>
      <w:r>
        <w:rPr>
          <w:i/>
          <w:sz w:val="24"/>
        </w:rPr>
        <w:t>metering installation </w:t>
      </w:r>
      <w:r>
        <w:rPr>
          <w:sz w:val="24"/>
        </w:rPr>
        <w:t>data streams and </w:t>
      </w:r>
      <w:r>
        <w:rPr>
          <w:i/>
          <w:sz w:val="24"/>
        </w:rPr>
        <w:t>check metering data </w:t>
      </w:r>
      <w:r>
        <w:rPr>
          <w:sz w:val="24"/>
        </w:rPr>
        <w:t>streams on a per interval basis, and the average of the two validated </w:t>
      </w:r>
      <w:r>
        <w:rPr>
          <w:i/>
          <w:sz w:val="24"/>
        </w:rPr>
        <w:t>metering data </w:t>
      </w:r>
      <w:r>
        <w:rPr>
          <w:sz w:val="24"/>
        </w:rPr>
        <w:t>sets will be used to determine the energy measurement;</w:t>
      </w:r>
    </w:p>
    <w:p>
      <w:pPr>
        <w:pStyle w:val="ListParagraph"/>
        <w:numPr>
          <w:ilvl w:val="1"/>
          <w:numId w:val="586"/>
        </w:numPr>
        <w:tabs>
          <w:tab w:pos="2486" w:val="left" w:leader="none"/>
        </w:tabs>
        <w:spacing w:line="240" w:lineRule="auto" w:before="120" w:after="0"/>
        <w:ind w:left="2486" w:right="416" w:hanging="567"/>
        <w:jc w:val="both"/>
        <w:rPr>
          <w:sz w:val="24"/>
        </w:rPr>
      </w:pPr>
      <w:r>
        <w:rPr>
          <w:sz w:val="24"/>
        </w:rPr>
        <w:t>for installations where the </w:t>
      </w:r>
      <w:r>
        <w:rPr>
          <w:i/>
          <w:sz w:val="24"/>
        </w:rPr>
        <w:t>check metering data </w:t>
      </w:r>
      <w:r>
        <w:rPr>
          <w:sz w:val="24"/>
        </w:rPr>
        <w:t>validation requires a comparison based on nodal balance (comparing the sum energy flow to the busbar against energy flow from the</w:t>
      </w:r>
      <w:r>
        <w:rPr>
          <w:spacing w:val="-2"/>
          <w:sz w:val="24"/>
        </w:rPr>
        <w:t> </w:t>
      </w:r>
      <w:r>
        <w:rPr>
          <w:sz w:val="24"/>
        </w:rPr>
        <w:t>busbar):</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construct a validation algorithm within the </w:t>
      </w:r>
      <w:r>
        <w:rPr>
          <w:i/>
          <w:sz w:val="24"/>
        </w:rPr>
        <w:t>metering data services database </w:t>
      </w:r>
      <w:r>
        <w:rPr>
          <w:sz w:val="24"/>
        </w:rPr>
        <w:t>that will facilitate comparison of </w:t>
      </w:r>
      <w:r>
        <w:rPr>
          <w:i/>
          <w:sz w:val="24"/>
        </w:rPr>
        <w:t>interval metering data </w:t>
      </w:r>
      <w:r>
        <w:rPr>
          <w:sz w:val="24"/>
        </w:rPr>
        <w:t>for each </w:t>
      </w:r>
      <w:r>
        <w:rPr>
          <w:i/>
          <w:sz w:val="24"/>
        </w:rPr>
        <w:t>energy </w:t>
      </w:r>
      <w:r>
        <w:rPr>
          <w:sz w:val="24"/>
        </w:rPr>
        <w:t>flow on a per interval</w:t>
      </w:r>
      <w:r>
        <w:rPr>
          <w:spacing w:val="-1"/>
          <w:sz w:val="24"/>
        </w:rPr>
        <w:t> </w:t>
      </w:r>
      <w:r>
        <w:rPr>
          <w:sz w:val="24"/>
        </w:rPr>
        <w:t>basis;</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conduct an analysis of the historical </w:t>
      </w:r>
      <w:r>
        <w:rPr>
          <w:i/>
          <w:sz w:val="24"/>
        </w:rPr>
        <w:t>metering </w:t>
      </w:r>
      <w:r>
        <w:rPr>
          <w:sz w:val="24"/>
        </w:rPr>
        <w:t>data for each </w:t>
      </w:r>
      <w:r>
        <w:rPr>
          <w:i/>
          <w:sz w:val="24"/>
        </w:rPr>
        <w:t>connection point </w:t>
      </w:r>
      <w:r>
        <w:rPr>
          <w:sz w:val="24"/>
        </w:rPr>
        <w:t>to ascertain whether error differences in nodal balance are</w:t>
      </w:r>
      <w:r>
        <w:rPr>
          <w:spacing w:val="-7"/>
          <w:sz w:val="24"/>
        </w:rPr>
        <w:t> </w:t>
      </w:r>
      <w:r>
        <w:rPr>
          <w:sz w:val="24"/>
        </w:rPr>
        <w:t>acceptable;</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w:t>
      </w:r>
      <w:r>
        <w:rPr>
          <w:i/>
          <w:sz w:val="24"/>
        </w:rPr>
        <w:t>Metering Data Provider </w:t>
      </w:r>
      <w:r>
        <w:rPr>
          <w:sz w:val="24"/>
        </w:rPr>
        <w:t>should use this information to refine its validation algorithms to minimise the error difference for each </w:t>
      </w:r>
      <w:r>
        <w:rPr>
          <w:i/>
          <w:sz w:val="24"/>
        </w:rPr>
        <w:t>connection point</w:t>
      </w:r>
      <w:r>
        <w:rPr>
          <w:sz w:val="24"/>
        </w:rPr>
        <w:t>, based on historical </w:t>
      </w:r>
      <w:r>
        <w:rPr>
          <w:i/>
          <w:sz w:val="24"/>
        </w:rPr>
        <w:t>metering</w:t>
      </w:r>
      <w:r>
        <w:rPr>
          <w:i/>
          <w:spacing w:val="-3"/>
          <w:sz w:val="24"/>
        </w:rPr>
        <w:t> </w:t>
      </w:r>
      <w:r>
        <w:rPr>
          <w:sz w:val="24"/>
        </w:rPr>
        <w:t>data;</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maximum error difference considered acceptable for any </w:t>
      </w:r>
      <w:r>
        <w:rPr>
          <w:i/>
          <w:sz w:val="24"/>
        </w:rPr>
        <w:t>connection point </w:t>
      </w:r>
      <w:r>
        <w:rPr>
          <w:sz w:val="24"/>
        </w:rPr>
        <w:t>is 1% on a per interval basis, and the </w:t>
      </w:r>
      <w:r>
        <w:rPr>
          <w:i/>
          <w:sz w:val="24"/>
        </w:rPr>
        <w:t>Metering </w:t>
      </w:r>
      <w:r>
        <w:rPr>
          <w:i/>
          <w:sz w:val="24"/>
        </w:rPr>
        <w:t>Data Provider </w:t>
      </w:r>
      <w:r>
        <w:rPr>
          <w:sz w:val="24"/>
        </w:rPr>
        <w:t>should minimise this for each </w:t>
      </w:r>
      <w:r>
        <w:rPr>
          <w:i/>
          <w:sz w:val="24"/>
        </w:rPr>
        <w:t>connection point</w:t>
      </w:r>
      <w:r>
        <w:rPr>
          <w:sz w:val="24"/>
        </w:rPr>
        <w:t>, based on historical </w:t>
      </w:r>
      <w:r>
        <w:rPr>
          <w:i/>
          <w:sz w:val="24"/>
        </w:rPr>
        <w:t>metering</w:t>
      </w:r>
      <w:r>
        <w:rPr>
          <w:i/>
          <w:spacing w:val="-2"/>
          <w:sz w:val="24"/>
        </w:rPr>
        <w:t> </w:t>
      </w:r>
      <w:r>
        <w:rPr>
          <w:sz w:val="24"/>
        </w:rPr>
        <w:t>data;</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where the </w:t>
      </w:r>
      <w:r>
        <w:rPr>
          <w:i/>
          <w:sz w:val="24"/>
        </w:rPr>
        <w:t>check metering installation </w:t>
      </w:r>
      <w:r>
        <w:rPr>
          <w:sz w:val="24"/>
        </w:rPr>
        <w:t>is remote from the </w:t>
      </w:r>
      <w:r>
        <w:rPr>
          <w:i/>
          <w:sz w:val="24"/>
        </w:rPr>
        <w:t>metering </w:t>
      </w:r>
      <w:r>
        <w:rPr>
          <w:i/>
          <w:sz w:val="24"/>
        </w:rPr>
        <w:t>installation</w:t>
      </w:r>
      <w:r>
        <w:rPr>
          <w:sz w:val="24"/>
        </w:rPr>
        <w:t>(for example, at the other end of a </w:t>
      </w:r>
      <w:r>
        <w:rPr>
          <w:i/>
          <w:sz w:val="24"/>
        </w:rPr>
        <w:t>transmission line </w:t>
      </w:r>
      <w:r>
        <w:rPr>
          <w:sz w:val="24"/>
        </w:rPr>
        <w:t>or </w:t>
      </w:r>
      <w:r>
        <w:rPr>
          <w:spacing w:val="-4"/>
          <w:sz w:val="24"/>
        </w:rPr>
        <w:t>the</w:t>
      </w:r>
      <w:r>
        <w:rPr>
          <w:spacing w:val="52"/>
          <w:sz w:val="24"/>
        </w:rPr>
        <w:t> </w:t>
      </w:r>
      <w:r>
        <w:rPr>
          <w:sz w:val="24"/>
        </w:rPr>
        <w:t>other side of a</w:t>
      </w:r>
      <w:r>
        <w:rPr>
          <w:spacing w:val="-3"/>
          <w:sz w:val="24"/>
        </w:rPr>
        <w:t> </w:t>
      </w:r>
      <w:r>
        <w:rPr>
          <w:i/>
          <w:sz w:val="24"/>
        </w:rPr>
        <w:t>transformer</w:t>
      </w:r>
      <w:r>
        <w:rPr>
          <w:sz w:val="24"/>
        </w:rPr>
        <w:t>):</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construct a validation algorithm within the </w:t>
      </w:r>
      <w:r>
        <w:rPr>
          <w:i/>
          <w:sz w:val="24"/>
        </w:rPr>
        <w:t>metering data services database </w:t>
      </w:r>
      <w:r>
        <w:rPr>
          <w:sz w:val="24"/>
        </w:rPr>
        <w:t>that will facilitate comparison of </w:t>
      </w:r>
      <w:r>
        <w:rPr>
          <w:i/>
          <w:sz w:val="24"/>
        </w:rPr>
        <w:t>interval metering data </w:t>
      </w:r>
      <w:r>
        <w:rPr>
          <w:sz w:val="24"/>
        </w:rPr>
        <w:t>from the </w:t>
      </w:r>
      <w:r>
        <w:rPr>
          <w:i/>
          <w:sz w:val="24"/>
        </w:rPr>
        <w:t>metering installation </w:t>
      </w:r>
      <w:r>
        <w:rPr>
          <w:sz w:val="24"/>
        </w:rPr>
        <w:t>and the </w:t>
      </w:r>
      <w:r>
        <w:rPr>
          <w:i/>
          <w:sz w:val="24"/>
        </w:rPr>
        <w:t>check metering installation </w:t>
      </w:r>
      <w:r>
        <w:rPr>
          <w:sz w:val="24"/>
        </w:rPr>
        <w:t>on a per interval basis with adjustment for respective </w:t>
      </w:r>
      <w:r>
        <w:rPr>
          <w:i/>
          <w:sz w:val="24"/>
        </w:rPr>
        <w:t>transformer </w:t>
      </w:r>
      <w:r>
        <w:rPr>
          <w:sz w:val="24"/>
        </w:rPr>
        <w:t>or </w:t>
      </w:r>
      <w:r>
        <w:rPr>
          <w:i/>
          <w:sz w:val="24"/>
        </w:rPr>
        <w:t>transmission line </w:t>
      </w:r>
      <w:r>
        <w:rPr>
          <w:sz w:val="24"/>
        </w:rPr>
        <w:t>losses;</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conduct an analysis of the historical </w:t>
      </w:r>
      <w:r>
        <w:rPr>
          <w:i/>
          <w:sz w:val="24"/>
        </w:rPr>
        <w:t>metering </w:t>
      </w:r>
      <w:r>
        <w:rPr>
          <w:sz w:val="24"/>
        </w:rPr>
        <w:t>data for each </w:t>
      </w:r>
      <w:r>
        <w:rPr>
          <w:i/>
          <w:sz w:val="24"/>
        </w:rPr>
        <w:t>connection point </w:t>
      </w:r>
      <w:r>
        <w:rPr>
          <w:sz w:val="24"/>
        </w:rPr>
        <w:t>to ascertain whether the error differences between the </w:t>
      </w:r>
      <w:r>
        <w:rPr>
          <w:i/>
          <w:sz w:val="24"/>
        </w:rPr>
        <w:t>metering data </w:t>
      </w:r>
      <w:r>
        <w:rPr>
          <w:sz w:val="24"/>
        </w:rPr>
        <w:t>from the </w:t>
      </w:r>
      <w:r>
        <w:rPr>
          <w:i/>
          <w:sz w:val="24"/>
        </w:rPr>
        <w:t>metering installation </w:t>
      </w:r>
      <w:r>
        <w:rPr>
          <w:sz w:val="24"/>
        </w:rPr>
        <w:t>and </w:t>
      </w:r>
      <w:r>
        <w:rPr>
          <w:i/>
          <w:sz w:val="24"/>
        </w:rPr>
        <w:t>check metering installation </w:t>
      </w:r>
      <w:r>
        <w:rPr>
          <w:sz w:val="24"/>
        </w:rPr>
        <w:t>are acceptable;</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w:t>
      </w:r>
      <w:r>
        <w:rPr>
          <w:i/>
          <w:sz w:val="24"/>
        </w:rPr>
        <w:t>Metering Data Provider </w:t>
      </w:r>
      <w:r>
        <w:rPr>
          <w:sz w:val="24"/>
        </w:rPr>
        <w:t>should use this information to refine its validation algorithms to minimise the error difference for each </w:t>
      </w:r>
      <w:r>
        <w:rPr>
          <w:i/>
          <w:sz w:val="24"/>
        </w:rPr>
        <w:t>connection point</w:t>
      </w:r>
      <w:r>
        <w:rPr>
          <w:sz w:val="24"/>
        </w:rPr>
        <w:t>, based on historical </w:t>
      </w:r>
      <w:r>
        <w:rPr>
          <w:i/>
          <w:sz w:val="24"/>
        </w:rPr>
        <w:t>metering</w:t>
      </w:r>
      <w:r>
        <w:rPr>
          <w:i/>
          <w:spacing w:val="-3"/>
          <w:sz w:val="24"/>
        </w:rPr>
        <w:t> </w:t>
      </w:r>
      <w:r>
        <w:rPr>
          <w:sz w:val="24"/>
        </w:rPr>
        <w:t>data;</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maximum error difference considered acceptable for any </w:t>
      </w:r>
      <w:r>
        <w:rPr>
          <w:i/>
          <w:sz w:val="24"/>
        </w:rPr>
        <w:t>connection point </w:t>
      </w:r>
      <w:r>
        <w:rPr>
          <w:sz w:val="24"/>
        </w:rPr>
        <w:t>is 5% on a per interval basis, and the </w:t>
      </w:r>
      <w:r>
        <w:rPr>
          <w:i/>
          <w:sz w:val="24"/>
        </w:rPr>
        <w:t>Metering </w:t>
      </w:r>
      <w:r>
        <w:rPr>
          <w:i/>
          <w:sz w:val="24"/>
        </w:rPr>
        <w:t>Data Provider </w:t>
      </w:r>
      <w:r>
        <w:rPr>
          <w:sz w:val="24"/>
        </w:rPr>
        <w:t>should minimise this for each </w:t>
      </w:r>
      <w:r>
        <w:rPr>
          <w:i/>
          <w:sz w:val="24"/>
        </w:rPr>
        <w:t>connection point</w:t>
      </w:r>
      <w:r>
        <w:rPr>
          <w:sz w:val="24"/>
        </w:rPr>
        <w:t>, based on historical </w:t>
      </w:r>
      <w:r>
        <w:rPr>
          <w:i/>
          <w:sz w:val="24"/>
        </w:rPr>
        <w:t>metering</w:t>
      </w:r>
      <w:r>
        <w:rPr>
          <w:i/>
          <w:spacing w:val="-2"/>
          <w:sz w:val="24"/>
        </w:rPr>
        <w:t> </w:t>
      </w:r>
      <w:r>
        <w:rPr>
          <w:sz w:val="24"/>
        </w:rPr>
        <w:t>data;</w:t>
      </w:r>
    </w:p>
    <w:p>
      <w:pPr>
        <w:pStyle w:val="ListParagraph"/>
        <w:numPr>
          <w:ilvl w:val="1"/>
          <w:numId w:val="586"/>
        </w:numPr>
        <w:tabs>
          <w:tab w:pos="2486" w:val="left" w:leader="none"/>
        </w:tabs>
        <w:spacing w:line="240" w:lineRule="auto" w:before="120" w:after="0"/>
        <w:ind w:left="2486" w:right="415" w:hanging="567"/>
        <w:jc w:val="both"/>
        <w:rPr>
          <w:i/>
          <w:sz w:val="24"/>
        </w:rPr>
      </w:pPr>
      <w:r>
        <w:rPr>
          <w:sz w:val="24"/>
        </w:rPr>
        <w:t>for </w:t>
      </w:r>
      <w:r>
        <w:rPr>
          <w:i/>
          <w:sz w:val="24"/>
        </w:rPr>
        <w:t>connection points </w:t>
      </w:r>
      <w:r>
        <w:rPr>
          <w:sz w:val="24"/>
        </w:rPr>
        <w:t>where SCADA data is made available by </w:t>
      </w:r>
      <w:r>
        <w:rPr>
          <w:i/>
          <w:sz w:val="24"/>
        </w:rPr>
        <w:t>NTESMO </w:t>
      </w:r>
      <w:r>
        <w:rPr>
          <w:sz w:val="24"/>
        </w:rPr>
        <w:t>for the purposes of validation, the </w:t>
      </w:r>
      <w:r>
        <w:rPr>
          <w:i/>
          <w:sz w:val="24"/>
        </w:rPr>
        <w:t>Metering Data Provider </w:t>
      </w:r>
      <w:r>
        <w:rPr>
          <w:sz w:val="24"/>
        </w:rPr>
        <w:t>must</w:t>
      </w:r>
      <w:r>
        <w:rPr>
          <w:spacing w:val="35"/>
          <w:sz w:val="24"/>
        </w:rPr>
        <w:t> </w:t>
      </w:r>
      <w:r>
        <w:rPr>
          <w:sz w:val="24"/>
        </w:rPr>
        <w:t>validate</w:t>
      </w:r>
      <w:r>
        <w:rPr>
          <w:spacing w:val="35"/>
          <w:sz w:val="24"/>
        </w:rPr>
        <w:t> </w:t>
      </w:r>
      <w:r>
        <w:rPr>
          <w:sz w:val="24"/>
        </w:rPr>
        <w:t>the</w:t>
      </w:r>
      <w:r>
        <w:rPr>
          <w:spacing w:val="35"/>
          <w:sz w:val="24"/>
        </w:rPr>
        <w:t> </w:t>
      </w:r>
      <w:r>
        <w:rPr>
          <w:i/>
          <w:sz w:val="24"/>
        </w:rPr>
        <w:t>metering</w:t>
      </w:r>
      <w:r>
        <w:rPr>
          <w:i/>
          <w:spacing w:val="35"/>
          <w:sz w:val="24"/>
        </w:rPr>
        <w:t> </w:t>
      </w:r>
      <w:r>
        <w:rPr>
          <w:i/>
          <w:sz w:val="24"/>
        </w:rPr>
        <w:t>data</w:t>
      </w:r>
      <w:r>
        <w:rPr>
          <w:i/>
          <w:spacing w:val="35"/>
          <w:sz w:val="24"/>
        </w:rPr>
        <w:t> </w:t>
      </w:r>
      <w:r>
        <w:rPr>
          <w:sz w:val="24"/>
        </w:rPr>
        <w:t>by</w:t>
      </w:r>
      <w:r>
        <w:rPr>
          <w:spacing w:val="35"/>
          <w:sz w:val="24"/>
        </w:rPr>
        <w:t> </w:t>
      </w:r>
      <w:r>
        <w:rPr>
          <w:sz w:val="24"/>
        </w:rPr>
        <w:t>comparison</w:t>
      </w:r>
      <w:r>
        <w:rPr>
          <w:spacing w:val="35"/>
          <w:sz w:val="24"/>
        </w:rPr>
        <w:t> </w:t>
      </w:r>
      <w:r>
        <w:rPr>
          <w:sz w:val="24"/>
        </w:rPr>
        <w:t>of</w:t>
      </w:r>
      <w:r>
        <w:rPr>
          <w:spacing w:val="35"/>
          <w:sz w:val="24"/>
        </w:rPr>
        <w:t> </w:t>
      </w:r>
      <w:r>
        <w:rPr>
          <w:sz w:val="24"/>
        </w:rPr>
        <w:t>the</w:t>
      </w:r>
      <w:r>
        <w:rPr>
          <w:spacing w:val="36"/>
          <w:sz w:val="24"/>
        </w:rPr>
        <w:t> </w:t>
      </w:r>
      <w:r>
        <w:rPr>
          <w:i/>
          <w:sz w:val="24"/>
        </w:rPr>
        <w:t>interval</w:t>
      </w:r>
    </w:p>
    <w:p>
      <w:pPr>
        <w:spacing w:after="0" w:line="240" w:lineRule="auto"/>
        <w:jc w:val="both"/>
        <w:rPr>
          <w:sz w:val="24"/>
        </w:rPr>
        <w:sectPr>
          <w:pgSz w:w="11910" w:h="16840"/>
          <w:pgMar w:header="686" w:footer="637" w:top="1320" w:bottom="820" w:left="1200" w:right="1000"/>
        </w:sectPr>
      </w:pPr>
    </w:p>
    <w:p>
      <w:pPr>
        <w:spacing w:before="83"/>
        <w:ind w:left="2486" w:right="416" w:firstLine="0"/>
        <w:jc w:val="both"/>
        <w:rPr>
          <w:sz w:val="24"/>
        </w:rPr>
      </w:pPr>
      <w:r>
        <w:rPr>
          <w:i/>
          <w:sz w:val="24"/>
        </w:rPr>
        <w:t>metering data </w:t>
      </w:r>
      <w:r>
        <w:rPr>
          <w:sz w:val="24"/>
        </w:rPr>
        <w:t>against the SCADA data as provided by </w:t>
      </w:r>
      <w:r>
        <w:rPr>
          <w:i/>
          <w:sz w:val="24"/>
        </w:rPr>
        <w:t>NTESMO </w:t>
      </w:r>
      <w:r>
        <w:rPr>
          <w:sz w:val="24"/>
        </w:rPr>
        <w:t>in the agreed</w:t>
      </w:r>
      <w:r>
        <w:rPr>
          <w:spacing w:val="-1"/>
          <w:sz w:val="24"/>
        </w:rPr>
        <w:t> </w:t>
      </w:r>
      <w:r>
        <w:rPr>
          <w:sz w:val="24"/>
        </w:rPr>
        <w:t>format:</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construct a validation algorithm within the </w:t>
      </w:r>
      <w:r>
        <w:rPr>
          <w:i/>
          <w:sz w:val="24"/>
        </w:rPr>
        <w:t>metering data services database </w:t>
      </w:r>
      <w:r>
        <w:rPr>
          <w:sz w:val="24"/>
        </w:rPr>
        <w:t>that will facilitate comparison of </w:t>
      </w:r>
      <w:r>
        <w:rPr>
          <w:i/>
          <w:sz w:val="24"/>
        </w:rPr>
        <w:t>interval metering data </w:t>
      </w:r>
      <w:r>
        <w:rPr>
          <w:sz w:val="24"/>
        </w:rPr>
        <w:t>from the </w:t>
      </w:r>
      <w:r>
        <w:rPr>
          <w:i/>
          <w:sz w:val="24"/>
        </w:rPr>
        <w:t>metering installation </w:t>
      </w:r>
      <w:r>
        <w:rPr>
          <w:sz w:val="24"/>
        </w:rPr>
        <w:t>and the SCADA data on a per interval basis;</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w:t>
      </w:r>
      <w:r>
        <w:rPr>
          <w:i/>
          <w:sz w:val="24"/>
        </w:rPr>
        <w:t>Metering Data Provider </w:t>
      </w:r>
      <w:r>
        <w:rPr>
          <w:sz w:val="24"/>
        </w:rPr>
        <w:t>must conduct an analysis of the historical </w:t>
      </w:r>
      <w:r>
        <w:rPr>
          <w:i/>
          <w:sz w:val="24"/>
        </w:rPr>
        <w:t>metering </w:t>
      </w:r>
      <w:r>
        <w:rPr>
          <w:sz w:val="24"/>
        </w:rPr>
        <w:t>data for each </w:t>
      </w:r>
      <w:r>
        <w:rPr>
          <w:i/>
          <w:sz w:val="24"/>
        </w:rPr>
        <w:t>connection point </w:t>
      </w:r>
      <w:r>
        <w:rPr>
          <w:sz w:val="24"/>
        </w:rPr>
        <w:t>to ascertain whether error differences between the </w:t>
      </w:r>
      <w:r>
        <w:rPr>
          <w:i/>
          <w:sz w:val="24"/>
        </w:rPr>
        <w:t>interval metering data </w:t>
      </w:r>
      <w:r>
        <w:rPr>
          <w:sz w:val="24"/>
        </w:rPr>
        <w:t>from the </w:t>
      </w:r>
      <w:r>
        <w:rPr>
          <w:i/>
          <w:sz w:val="24"/>
        </w:rPr>
        <w:t>metering installation </w:t>
      </w:r>
      <w:r>
        <w:rPr>
          <w:sz w:val="24"/>
        </w:rPr>
        <w:t>and the SCADA data are acceptable;</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w:t>
      </w:r>
      <w:r>
        <w:rPr>
          <w:i/>
          <w:sz w:val="24"/>
        </w:rPr>
        <w:t>Metering Data Provider </w:t>
      </w:r>
      <w:r>
        <w:rPr>
          <w:sz w:val="24"/>
        </w:rPr>
        <w:t>should use this information to refine its validation algorithms to minimise the error difference value for each </w:t>
      </w:r>
      <w:r>
        <w:rPr>
          <w:i/>
          <w:sz w:val="24"/>
        </w:rPr>
        <w:t>connection point</w:t>
      </w:r>
      <w:r>
        <w:rPr>
          <w:sz w:val="24"/>
        </w:rPr>
        <w:t>, based on historical </w:t>
      </w:r>
      <w:r>
        <w:rPr>
          <w:i/>
          <w:sz w:val="24"/>
        </w:rPr>
        <w:t>metering</w:t>
      </w:r>
      <w:r>
        <w:rPr>
          <w:i/>
          <w:spacing w:val="-3"/>
          <w:sz w:val="24"/>
        </w:rPr>
        <w:t> </w:t>
      </w:r>
      <w:r>
        <w:rPr>
          <w:sz w:val="24"/>
        </w:rPr>
        <w:t>data;</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w:t>
      </w:r>
      <w:r>
        <w:rPr>
          <w:i/>
          <w:sz w:val="24"/>
        </w:rPr>
        <w:t>Metering Data Provider </w:t>
      </w:r>
      <w:r>
        <w:rPr>
          <w:sz w:val="24"/>
        </w:rPr>
        <w:t>must construct an appropriate validation algorithm as the SCADA data may be derived from a different measurement point, have a different interval collection period or have a different base unit of measurement, (for example, power not </w:t>
      </w:r>
      <w:r>
        <w:rPr>
          <w:i/>
          <w:sz w:val="24"/>
        </w:rPr>
        <w:t>energy </w:t>
      </w:r>
      <w:r>
        <w:rPr>
          <w:sz w:val="24"/>
        </w:rPr>
        <w:t>value) with allowances for a larger error of</w:t>
      </w:r>
      <w:r>
        <w:rPr>
          <w:spacing w:val="-1"/>
          <w:sz w:val="24"/>
        </w:rPr>
        <w:t> </w:t>
      </w:r>
      <w:r>
        <w:rPr>
          <w:sz w:val="24"/>
        </w:rPr>
        <w:t>measurement;</w:t>
      </w:r>
    </w:p>
    <w:p>
      <w:pPr>
        <w:pStyle w:val="ListParagraph"/>
        <w:numPr>
          <w:ilvl w:val="1"/>
          <w:numId w:val="586"/>
        </w:numPr>
        <w:tabs>
          <w:tab w:pos="566" w:val="left" w:leader="none"/>
          <w:tab w:pos="567" w:val="left" w:leader="none"/>
        </w:tabs>
        <w:spacing w:line="240" w:lineRule="auto" w:before="120" w:after="0"/>
        <w:ind w:left="2485" w:right="416" w:hanging="2486"/>
        <w:jc w:val="right"/>
        <w:rPr>
          <w:sz w:val="24"/>
        </w:rPr>
      </w:pPr>
      <w:r>
        <w:rPr>
          <w:sz w:val="24"/>
        </w:rPr>
        <w:t>the </w:t>
      </w:r>
      <w:r>
        <w:rPr>
          <w:i/>
          <w:sz w:val="24"/>
        </w:rPr>
        <w:t>Metering Data Provider </w:t>
      </w:r>
      <w:r>
        <w:rPr>
          <w:sz w:val="24"/>
        </w:rPr>
        <w:t>is only required to undertake validation</w:t>
      </w:r>
      <w:r>
        <w:rPr>
          <w:spacing w:val="9"/>
          <w:sz w:val="24"/>
        </w:rPr>
        <w:t> </w:t>
      </w:r>
      <w:r>
        <w:rPr>
          <w:sz w:val="24"/>
        </w:rPr>
        <w:t>of</w:t>
      </w:r>
    </w:p>
    <w:p>
      <w:pPr>
        <w:spacing w:before="0"/>
        <w:ind w:left="1789" w:right="416" w:firstLine="0"/>
        <w:jc w:val="right"/>
        <w:rPr>
          <w:sz w:val="24"/>
        </w:rPr>
      </w:pPr>
      <w:r>
        <w:rPr>
          <w:i/>
          <w:sz w:val="24"/>
        </w:rPr>
        <w:t>metering</w:t>
      </w:r>
      <w:r>
        <w:rPr>
          <w:i/>
          <w:spacing w:val="27"/>
          <w:sz w:val="24"/>
        </w:rPr>
        <w:t> </w:t>
      </w:r>
      <w:r>
        <w:rPr>
          <w:i/>
          <w:sz w:val="24"/>
        </w:rPr>
        <w:t>data</w:t>
      </w:r>
      <w:r>
        <w:rPr>
          <w:i/>
          <w:spacing w:val="28"/>
          <w:sz w:val="24"/>
        </w:rPr>
        <w:t> </w:t>
      </w:r>
      <w:r>
        <w:rPr>
          <w:sz w:val="24"/>
        </w:rPr>
        <w:t>against</w:t>
      </w:r>
      <w:r>
        <w:rPr>
          <w:spacing w:val="28"/>
          <w:sz w:val="24"/>
        </w:rPr>
        <w:t> </w:t>
      </w:r>
      <w:r>
        <w:rPr>
          <w:sz w:val="24"/>
        </w:rPr>
        <w:t>the</w:t>
      </w:r>
      <w:r>
        <w:rPr>
          <w:spacing w:val="27"/>
          <w:sz w:val="24"/>
        </w:rPr>
        <w:t> </w:t>
      </w:r>
      <w:r>
        <w:rPr>
          <w:sz w:val="24"/>
        </w:rPr>
        <w:t>SCADA</w:t>
      </w:r>
      <w:r>
        <w:rPr>
          <w:spacing w:val="28"/>
          <w:sz w:val="24"/>
        </w:rPr>
        <w:t> </w:t>
      </w:r>
      <w:r>
        <w:rPr>
          <w:sz w:val="24"/>
        </w:rPr>
        <w:t>data</w:t>
      </w:r>
      <w:r>
        <w:rPr>
          <w:spacing w:val="28"/>
          <w:sz w:val="24"/>
        </w:rPr>
        <w:t> </w:t>
      </w:r>
      <w:r>
        <w:rPr>
          <w:sz w:val="24"/>
        </w:rPr>
        <w:t>on</w:t>
      </w:r>
      <w:r>
        <w:rPr>
          <w:spacing w:val="27"/>
          <w:sz w:val="24"/>
        </w:rPr>
        <w:t> </w:t>
      </w:r>
      <w:r>
        <w:rPr>
          <w:sz w:val="24"/>
        </w:rPr>
        <w:t>the</w:t>
      </w:r>
      <w:r>
        <w:rPr>
          <w:spacing w:val="28"/>
          <w:sz w:val="24"/>
        </w:rPr>
        <w:t> </w:t>
      </w:r>
      <w:r>
        <w:rPr>
          <w:sz w:val="24"/>
        </w:rPr>
        <w:t>primary</w:t>
      </w:r>
      <w:r>
        <w:rPr>
          <w:spacing w:val="28"/>
          <w:sz w:val="24"/>
        </w:rPr>
        <w:t> </w:t>
      </w:r>
      <w:r>
        <w:rPr>
          <w:sz w:val="24"/>
        </w:rPr>
        <w:t>data</w:t>
      </w:r>
      <w:r>
        <w:rPr>
          <w:spacing w:val="28"/>
          <w:sz w:val="24"/>
        </w:rPr>
        <w:t> </w:t>
      </w:r>
      <w:r>
        <w:rPr>
          <w:sz w:val="24"/>
        </w:rPr>
        <w:t>channel</w:t>
      </w:r>
    </w:p>
    <w:p>
      <w:pPr>
        <w:pStyle w:val="BodyText"/>
        <w:spacing w:before="0"/>
        <w:ind w:left="2486" w:right="415" w:firstLine="0"/>
      </w:pPr>
      <w:r>
        <w:rPr/>
        <w:t>i.e. only 'B' channel validation where the financially responsible participant is a </w:t>
      </w:r>
      <w:r>
        <w:rPr>
          <w:i/>
        </w:rPr>
        <w:t>Generator </w:t>
      </w:r>
      <w:r>
        <w:rPr/>
        <w:t>and only 'E' channel validation for </w:t>
      </w:r>
      <w:r>
        <w:rPr>
          <w:i/>
        </w:rPr>
        <w:t>loads</w:t>
      </w:r>
      <w:r>
        <w:rPr/>
        <w:t>, such as pumps.</w:t>
      </w:r>
    </w:p>
    <w:p>
      <w:pPr>
        <w:spacing w:before="220"/>
        <w:ind w:left="1356" w:right="1377" w:firstLine="0"/>
        <w:jc w:val="left"/>
        <w:rPr>
          <w:rFonts w:ascii="Arial"/>
          <w:b/>
          <w:sz w:val="22"/>
        </w:rPr>
      </w:pPr>
      <w:r>
        <w:rPr>
          <w:rFonts w:ascii="Arial"/>
          <w:b/>
          <w:sz w:val="22"/>
        </w:rPr>
        <w:t>Validations for interval metering data from manually read metering installations with current transformers</w:t>
      </w:r>
    </w:p>
    <w:p>
      <w:pPr>
        <w:pStyle w:val="ListParagraph"/>
        <w:numPr>
          <w:ilvl w:val="0"/>
          <w:numId w:val="586"/>
        </w:numPr>
        <w:tabs>
          <w:tab w:pos="1919" w:val="left" w:leader="none"/>
        </w:tabs>
        <w:spacing w:line="240" w:lineRule="auto" w:before="120" w:after="0"/>
        <w:ind w:left="1919" w:right="414" w:hanging="567"/>
        <w:jc w:val="both"/>
        <w:rPr>
          <w:sz w:val="24"/>
        </w:rPr>
      </w:pPr>
      <w:r>
        <w:rPr>
          <w:i/>
          <w:sz w:val="24"/>
        </w:rPr>
        <w:t>Metering Data Providers </w:t>
      </w:r>
      <w:r>
        <w:rPr>
          <w:sz w:val="24"/>
        </w:rPr>
        <w:t>must, as a minimum, undertake the</w:t>
      </w:r>
      <w:r>
        <w:rPr>
          <w:spacing w:val="33"/>
          <w:sz w:val="24"/>
        </w:rPr>
        <w:t> </w:t>
      </w:r>
      <w:r>
        <w:rPr>
          <w:sz w:val="24"/>
        </w:rPr>
        <w:t>following validations on </w:t>
      </w:r>
      <w:r>
        <w:rPr>
          <w:i/>
          <w:sz w:val="24"/>
        </w:rPr>
        <w:t>interval metering data </w:t>
      </w:r>
      <w:r>
        <w:rPr>
          <w:sz w:val="24"/>
        </w:rPr>
        <w:t>from </w:t>
      </w:r>
      <w:r>
        <w:rPr>
          <w:i/>
          <w:sz w:val="24"/>
        </w:rPr>
        <w:t>manually read metering </w:t>
      </w:r>
      <w:r>
        <w:rPr>
          <w:i/>
          <w:sz w:val="24"/>
        </w:rPr>
        <w:t>installations </w:t>
      </w:r>
      <w:r>
        <w:rPr>
          <w:sz w:val="24"/>
        </w:rPr>
        <w:t>with </w:t>
      </w:r>
      <w:r>
        <w:rPr>
          <w:i/>
          <w:sz w:val="24"/>
        </w:rPr>
        <w:t>current transformers </w:t>
      </w:r>
      <w:r>
        <w:rPr>
          <w:sz w:val="24"/>
        </w:rPr>
        <w:t>within the </w:t>
      </w:r>
      <w:r>
        <w:rPr>
          <w:i/>
          <w:sz w:val="24"/>
        </w:rPr>
        <w:t>metering data services </w:t>
      </w:r>
      <w:r>
        <w:rPr>
          <w:i/>
          <w:sz w:val="24"/>
        </w:rPr>
        <w:t>database</w:t>
      </w:r>
      <w:r>
        <w:rPr>
          <w:sz w:val="24"/>
        </w:rPr>
        <w:t>:</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all </w:t>
      </w:r>
      <w:r>
        <w:rPr>
          <w:i/>
          <w:sz w:val="24"/>
        </w:rPr>
        <w:t>interval metering data </w:t>
      </w:r>
      <w:r>
        <w:rPr>
          <w:sz w:val="24"/>
        </w:rPr>
        <w:t>against a nominated maximum value:</w:t>
      </w:r>
    </w:p>
    <w:p>
      <w:pPr>
        <w:pStyle w:val="ListParagraph"/>
        <w:numPr>
          <w:ilvl w:val="2"/>
          <w:numId w:val="586"/>
        </w:numPr>
        <w:tabs>
          <w:tab w:pos="3053" w:val="left" w:leader="none"/>
        </w:tabs>
        <w:spacing w:line="240" w:lineRule="auto" w:before="120" w:after="0"/>
        <w:ind w:left="3052" w:right="0" w:hanging="567"/>
        <w:jc w:val="both"/>
        <w:rPr>
          <w:i/>
          <w:sz w:val="24"/>
        </w:rPr>
      </w:pPr>
      <w:r>
        <w:rPr>
          <w:sz w:val="24"/>
        </w:rPr>
        <w:t>this</w:t>
      </w:r>
      <w:r>
        <w:rPr>
          <w:spacing w:val="8"/>
          <w:sz w:val="24"/>
        </w:rPr>
        <w:t> </w:t>
      </w:r>
      <w:r>
        <w:rPr>
          <w:sz w:val="24"/>
        </w:rPr>
        <w:t>validation</w:t>
      </w:r>
      <w:r>
        <w:rPr>
          <w:spacing w:val="9"/>
          <w:sz w:val="24"/>
        </w:rPr>
        <w:t> </w:t>
      </w:r>
      <w:r>
        <w:rPr>
          <w:sz w:val="24"/>
        </w:rPr>
        <w:t>is</w:t>
      </w:r>
      <w:r>
        <w:rPr>
          <w:spacing w:val="9"/>
          <w:sz w:val="24"/>
        </w:rPr>
        <w:t> </w:t>
      </w:r>
      <w:r>
        <w:rPr>
          <w:sz w:val="24"/>
        </w:rPr>
        <w:t>to</w:t>
      </w:r>
      <w:r>
        <w:rPr>
          <w:spacing w:val="9"/>
          <w:sz w:val="24"/>
        </w:rPr>
        <w:t> </w:t>
      </w:r>
      <w:r>
        <w:rPr>
          <w:sz w:val="24"/>
        </w:rPr>
        <w:t>ensure</w:t>
      </w:r>
      <w:r>
        <w:rPr>
          <w:spacing w:val="9"/>
          <w:sz w:val="24"/>
        </w:rPr>
        <w:t> </w:t>
      </w:r>
      <w:r>
        <w:rPr>
          <w:sz w:val="24"/>
        </w:rPr>
        <w:t>that</w:t>
      </w:r>
      <w:r>
        <w:rPr>
          <w:spacing w:val="8"/>
          <w:sz w:val="24"/>
        </w:rPr>
        <w:t> </w:t>
      </w:r>
      <w:r>
        <w:rPr>
          <w:sz w:val="24"/>
        </w:rPr>
        <w:t>erroneous</w:t>
      </w:r>
      <w:r>
        <w:rPr>
          <w:spacing w:val="9"/>
          <w:sz w:val="24"/>
        </w:rPr>
        <w:t> </w:t>
      </w:r>
      <w:r>
        <w:rPr>
          <w:i/>
          <w:sz w:val="24"/>
        </w:rPr>
        <w:t>interval</w:t>
      </w:r>
      <w:r>
        <w:rPr>
          <w:i/>
          <w:spacing w:val="9"/>
          <w:sz w:val="24"/>
        </w:rPr>
        <w:t> </w:t>
      </w:r>
      <w:r>
        <w:rPr>
          <w:i/>
          <w:sz w:val="24"/>
        </w:rPr>
        <w:t>metering</w:t>
      </w:r>
      <w:r>
        <w:rPr>
          <w:i/>
          <w:spacing w:val="9"/>
          <w:sz w:val="24"/>
        </w:rPr>
        <w:t> </w:t>
      </w:r>
      <w:r>
        <w:rPr>
          <w:i/>
          <w:sz w:val="24"/>
        </w:rPr>
        <w:t>data</w:t>
      </w:r>
    </w:p>
    <w:p>
      <w:pPr>
        <w:pStyle w:val="BodyText"/>
        <w:spacing w:before="0"/>
        <w:ind w:left="3053" w:firstLine="0"/>
      </w:pPr>
      <w:r>
        <w:rPr/>
        <w:t>spikes are trapped and substituted;</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this check may additionally be performed in the collection software;</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the maximum value of </w:t>
      </w:r>
      <w:r>
        <w:rPr>
          <w:i/>
          <w:sz w:val="24"/>
        </w:rPr>
        <w:t>active energy</w:t>
      </w:r>
      <w:r>
        <w:rPr>
          <w:sz w:val="24"/>
        </w:rPr>
        <w:t>, which must initially be determined by the connected </w:t>
      </w:r>
      <w:r>
        <w:rPr>
          <w:i/>
          <w:sz w:val="24"/>
        </w:rPr>
        <w:t>current transformer </w:t>
      </w:r>
      <w:r>
        <w:rPr>
          <w:sz w:val="24"/>
        </w:rPr>
        <w:t>ratio of the </w:t>
      </w:r>
      <w:r>
        <w:rPr>
          <w:i/>
          <w:sz w:val="24"/>
        </w:rPr>
        <w:t>metering installation</w:t>
      </w:r>
      <w:r>
        <w:rPr>
          <w:sz w:val="24"/>
        </w:rPr>
        <w:t>(maximum </w:t>
      </w:r>
      <w:r>
        <w:rPr>
          <w:i/>
          <w:sz w:val="24"/>
        </w:rPr>
        <w:t>reactive energy </w:t>
      </w:r>
      <w:r>
        <w:rPr>
          <w:sz w:val="24"/>
        </w:rPr>
        <w:t>checks may also be performed as an</w:t>
      </w:r>
      <w:r>
        <w:rPr>
          <w:spacing w:val="-1"/>
          <w:sz w:val="24"/>
        </w:rPr>
        <w:t> </w:t>
      </w:r>
      <w:r>
        <w:rPr>
          <w:sz w:val="24"/>
        </w:rPr>
        <w:t>option);</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against a nominated minimum value or, alternatively, a 'zero' check that tests for an acceptable number of zero interval values per day to be derived from the site's historical </w:t>
      </w:r>
      <w:r>
        <w:rPr>
          <w:i/>
          <w:sz w:val="24"/>
        </w:rPr>
        <w:t>metering</w:t>
      </w:r>
      <w:r>
        <w:rPr>
          <w:i/>
          <w:spacing w:val="-3"/>
          <w:sz w:val="24"/>
        </w:rPr>
        <w:t> </w:t>
      </w:r>
      <w:r>
        <w:rPr>
          <w:i/>
          <w:sz w:val="24"/>
        </w:rPr>
        <w:t>data</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586"/>
        </w:numPr>
        <w:tabs>
          <w:tab w:pos="2486" w:val="left" w:leader="none"/>
        </w:tabs>
        <w:spacing w:line="240" w:lineRule="auto" w:before="83" w:after="0"/>
        <w:ind w:left="2486" w:right="416" w:hanging="567"/>
        <w:jc w:val="both"/>
        <w:rPr>
          <w:sz w:val="24"/>
        </w:rPr>
      </w:pPr>
      <w:r>
        <w:rPr>
          <w:sz w:val="24"/>
        </w:rPr>
        <w:t>a check for null (no values) </w:t>
      </w:r>
      <w:r>
        <w:rPr>
          <w:i/>
          <w:sz w:val="24"/>
        </w:rPr>
        <w:t>metering data </w:t>
      </w:r>
      <w:r>
        <w:rPr>
          <w:sz w:val="24"/>
        </w:rPr>
        <w:t>in the </w:t>
      </w:r>
      <w:r>
        <w:rPr>
          <w:i/>
          <w:sz w:val="24"/>
        </w:rPr>
        <w:t>metering data </w:t>
      </w:r>
      <w:r>
        <w:rPr>
          <w:i/>
          <w:sz w:val="24"/>
        </w:rPr>
        <w:t>services database </w:t>
      </w:r>
      <w:r>
        <w:rPr>
          <w:sz w:val="24"/>
        </w:rPr>
        <w:t>for all </w:t>
      </w:r>
      <w:r>
        <w:rPr>
          <w:i/>
          <w:sz w:val="24"/>
        </w:rPr>
        <w:t>metering </w:t>
      </w:r>
      <w:r>
        <w:rPr>
          <w:sz w:val="24"/>
        </w:rPr>
        <w:t>data</w:t>
      </w:r>
      <w:r>
        <w:rPr>
          <w:spacing w:val="-7"/>
          <w:sz w:val="24"/>
        </w:rPr>
        <w:t> </w:t>
      </w:r>
      <w:r>
        <w:rPr>
          <w:sz w:val="24"/>
        </w:rPr>
        <w:t>streams:</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aim of this check is to ensure that there is a 100%</w:t>
      </w:r>
      <w:r>
        <w:rPr>
          <w:i/>
          <w:sz w:val="24"/>
        </w:rPr>
        <w:t>metering </w:t>
      </w:r>
      <w:r>
        <w:rPr>
          <w:i/>
          <w:sz w:val="24"/>
        </w:rPr>
        <w:t>data </w:t>
      </w:r>
      <w:r>
        <w:rPr>
          <w:sz w:val="24"/>
        </w:rPr>
        <w:t>set (and that substitution for any missing </w:t>
      </w:r>
      <w:r>
        <w:rPr>
          <w:i/>
          <w:sz w:val="24"/>
        </w:rPr>
        <w:t>interval metering </w:t>
      </w:r>
      <w:r>
        <w:rPr>
          <w:i/>
          <w:sz w:val="24"/>
        </w:rPr>
        <w:t>data </w:t>
      </w:r>
      <w:r>
        <w:rPr>
          <w:sz w:val="24"/>
        </w:rPr>
        <w:t>is</w:t>
      </w:r>
      <w:r>
        <w:rPr>
          <w:spacing w:val="-1"/>
          <w:sz w:val="24"/>
        </w:rPr>
        <w:t> </w:t>
      </w:r>
      <w:r>
        <w:rPr>
          <w:sz w:val="24"/>
        </w:rPr>
        <w:t>undertaken);</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minimum check required is to ensure that there is at least  one non-null </w:t>
      </w:r>
      <w:r>
        <w:rPr>
          <w:i/>
          <w:sz w:val="24"/>
        </w:rPr>
        <w:t>active energy </w:t>
      </w:r>
      <w:r>
        <w:rPr>
          <w:sz w:val="24"/>
        </w:rPr>
        <w:t>or </w:t>
      </w:r>
      <w:r>
        <w:rPr>
          <w:i/>
          <w:sz w:val="24"/>
        </w:rPr>
        <w:t>reactive energy </w:t>
      </w:r>
      <w:r>
        <w:rPr>
          <w:sz w:val="24"/>
        </w:rPr>
        <w:t>value per interval per </w:t>
      </w:r>
      <w:r>
        <w:rPr>
          <w:i/>
          <w:sz w:val="24"/>
        </w:rPr>
        <w:t>metering </w:t>
      </w:r>
      <w:r>
        <w:rPr>
          <w:sz w:val="24"/>
        </w:rPr>
        <w:t>data</w:t>
      </w:r>
      <w:r>
        <w:rPr>
          <w:spacing w:val="-2"/>
          <w:sz w:val="24"/>
        </w:rPr>
        <w:t> </w:t>
      </w:r>
      <w:r>
        <w:rPr>
          <w:sz w:val="24"/>
        </w:rPr>
        <w:t>stream;</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for </w:t>
      </w:r>
      <w:r>
        <w:rPr>
          <w:i/>
          <w:sz w:val="24"/>
        </w:rPr>
        <w:t>meter </w:t>
      </w:r>
      <w:r>
        <w:rPr>
          <w:sz w:val="24"/>
        </w:rPr>
        <w:t>alarms referred to in clause S7A.7.13.2 and ensure that:</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a process is in place that captures these </w:t>
      </w:r>
      <w:r>
        <w:rPr>
          <w:i/>
          <w:sz w:val="24"/>
        </w:rPr>
        <w:t>meter </w:t>
      </w:r>
      <w:r>
        <w:rPr>
          <w:sz w:val="24"/>
        </w:rPr>
        <w:t>alarms within the validation and ensures that any </w:t>
      </w:r>
      <w:r>
        <w:rPr>
          <w:i/>
          <w:sz w:val="24"/>
        </w:rPr>
        <w:t>meter </w:t>
      </w:r>
      <w:r>
        <w:rPr>
          <w:sz w:val="24"/>
        </w:rPr>
        <w:t>alarm occurrences are retained as part of the </w:t>
      </w:r>
      <w:r>
        <w:rPr>
          <w:i/>
          <w:sz w:val="24"/>
        </w:rPr>
        <w:t>metering data </w:t>
      </w:r>
      <w:r>
        <w:rPr>
          <w:sz w:val="24"/>
        </w:rPr>
        <w:t>audit trail;</w:t>
      </w:r>
      <w:r>
        <w:rPr>
          <w:spacing w:val="-2"/>
          <w:sz w:val="24"/>
        </w:rPr>
        <w:t> </w:t>
      </w:r>
      <w:r>
        <w:rPr>
          <w:sz w:val="24"/>
        </w:rPr>
        <w:t>and</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relevant </w:t>
      </w:r>
      <w:r>
        <w:rPr>
          <w:i/>
          <w:sz w:val="24"/>
        </w:rPr>
        <w:t>Registered Participants </w:t>
      </w:r>
      <w:r>
        <w:rPr>
          <w:sz w:val="24"/>
        </w:rPr>
        <w:t>are notified of the occurrences of these </w:t>
      </w:r>
      <w:r>
        <w:rPr>
          <w:i/>
          <w:sz w:val="24"/>
        </w:rPr>
        <w:t>meter </w:t>
      </w:r>
      <w:r>
        <w:rPr>
          <w:sz w:val="24"/>
        </w:rPr>
        <w:t>alarms within the </w:t>
      </w:r>
      <w:r>
        <w:rPr>
          <w:i/>
          <w:sz w:val="24"/>
        </w:rPr>
        <w:t>metering data </w:t>
      </w:r>
      <w:r>
        <w:rPr>
          <w:sz w:val="24"/>
        </w:rPr>
        <w:t>file in the MDFF</w:t>
      </w:r>
      <w:r>
        <w:rPr>
          <w:spacing w:val="-2"/>
          <w:sz w:val="24"/>
        </w:rPr>
        <w:t> </w:t>
      </w:r>
      <w:r>
        <w:rPr>
          <w:sz w:val="24"/>
        </w:rPr>
        <w:t>specification;</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where supported by the </w:t>
      </w:r>
      <w:r>
        <w:rPr>
          <w:i/>
          <w:sz w:val="24"/>
        </w:rPr>
        <w:t>meter(s)</w:t>
      </w:r>
      <w:r>
        <w:rPr>
          <w:sz w:val="24"/>
        </w:rPr>
        <w:t>, validation for a given period</w:t>
      </w:r>
      <w:r>
        <w:rPr>
          <w:spacing w:val="30"/>
          <w:sz w:val="24"/>
        </w:rPr>
        <w:t> </w:t>
      </w:r>
      <w:r>
        <w:rPr>
          <w:sz w:val="24"/>
        </w:rPr>
        <w:t>of </w:t>
      </w:r>
      <w:r>
        <w:rPr>
          <w:i/>
          <w:sz w:val="24"/>
        </w:rPr>
        <w:t>interval metering data </w:t>
      </w:r>
      <w:r>
        <w:rPr>
          <w:sz w:val="24"/>
        </w:rPr>
        <w:t>by comparison of the totalised </w:t>
      </w:r>
      <w:r>
        <w:rPr>
          <w:i/>
          <w:sz w:val="24"/>
        </w:rPr>
        <w:t>interval energy </w:t>
      </w:r>
      <w:r>
        <w:rPr>
          <w:i/>
          <w:sz w:val="24"/>
        </w:rPr>
        <w:t>data</w:t>
      </w:r>
      <w:r>
        <w:rPr>
          <w:sz w:val="24"/>
        </w:rPr>
        <w:t>(accumulation register reading) and the change in the </w:t>
      </w:r>
      <w:r>
        <w:rPr>
          <w:i/>
          <w:sz w:val="24"/>
        </w:rPr>
        <w:t>meter </w:t>
      </w:r>
      <w:r>
        <w:rPr>
          <w:sz w:val="24"/>
        </w:rPr>
        <w:t>cumulative registers (</w:t>
      </w:r>
      <w:r>
        <w:rPr>
          <w:i/>
          <w:sz w:val="24"/>
        </w:rPr>
        <w:t>energy </w:t>
      </w:r>
      <w:r>
        <w:rPr>
          <w:sz w:val="24"/>
        </w:rPr>
        <w:t>tolerance); it is acknowledged that this check would not identify </w:t>
      </w:r>
      <w:r>
        <w:rPr>
          <w:i/>
          <w:sz w:val="24"/>
        </w:rPr>
        <w:t>current transformer </w:t>
      </w:r>
      <w:r>
        <w:rPr>
          <w:sz w:val="24"/>
        </w:rPr>
        <w:t>ratio changes that have occurred after initial commissioning and have not been advised to the </w:t>
      </w:r>
      <w:r>
        <w:rPr>
          <w:i/>
          <w:sz w:val="24"/>
        </w:rPr>
        <w:t>Metering Data</w:t>
      </w:r>
      <w:r>
        <w:rPr>
          <w:i/>
          <w:spacing w:val="-2"/>
          <w:sz w:val="24"/>
        </w:rPr>
        <w:t> </w:t>
      </w:r>
      <w:r>
        <w:rPr>
          <w:i/>
          <w:sz w:val="24"/>
        </w:rPr>
        <w:t>Provider</w:t>
      </w:r>
      <w:r>
        <w:rPr>
          <w:sz w:val="24"/>
        </w:rPr>
        <w:t>;</w:t>
      </w:r>
    </w:p>
    <w:p>
      <w:pPr>
        <w:pStyle w:val="ListParagraph"/>
        <w:numPr>
          <w:ilvl w:val="1"/>
          <w:numId w:val="586"/>
        </w:numPr>
        <w:tabs>
          <w:tab w:pos="2486" w:val="left" w:leader="none"/>
        </w:tabs>
        <w:spacing w:line="240" w:lineRule="auto" w:before="120" w:after="0"/>
        <w:ind w:left="2485" w:right="0" w:hanging="567"/>
        <w:jc w:val="both"/>
        <w:rPr>
          <w:sz w:val="24"/>
        </w:rPr>
      </w:pPr>
      <w:r>
        <w:rPr>
          <w:sz w:val="24"/>
        </w:rPr>
        <w:t>a</w:t>
      </w:r>
      <w:r>
        <w:rPr>
          <w:spacing w:val="12"/>
          <w:sz w:val="24"/>
        </w:rPr>
        <w:t> </w:t>
      </w:r>
      <w:r>
        <w:rPr>
          <w:sz w:val="24"/>
        </w:rPr>
        <w:t>check</w:t>
      </w:r>
      <w:r>
        <w:rPr>
          <w:spacing w:val="12"/>
          <w:sz w:val="24"/>
        </w:rPr>
        <w:t> </w:t>
      </w:r>
      <w:r>
        <w:rPr>
          <w:sz w:val="24"/>
        </w:rPr>
        <w:t>of</w:t>
      </w:r>
      <w:r>
        <w:rPr>
          <w:spacing w:val="13"/>
          <w:sz w:val="24"/>
        </w:rPr>
        <w:t> </w:t>
      </w:r>
      <w:r>
        <w:rPr>
          <w:sz w:val="24"/>
        </w:rPr>
        <w:t>the</w:t>
      </w:r>
      <w:r>
        <w:rPr>
          <w:spacing w:val="12"/>
          <w:sz w:val="24"/>
        </w:rPr>
        <w:t> </w:t>
      </w:r>
      <w:r>
        <w:rPr>
          <w:i/>
          <w:sz w:val="24"/>
        </w:rPr>
        <w:t>metering</w:t>
      </w:r>
      <w:r>
        <w:rPr>
          <w:i/>
          <w:spacing w:val="13"/>
          <w:sz w:val="24"/>
        </w:rPr>
        <w:t> </w:t>
      </w:r>
      <w:r>
        <w:rPr>
          <w:i/>
          <w:sz w:val="24"/>
        </w:rPr>
        <w:t>data</w:t>
      </w:r>
      <w:r>
        <w:rPr>
          <w:i/>
          <w:spacing w:val="12"/>
          <w:sz w:val="24"/>
        </w:rPr>
        <w:t> </w:t>
      </w:r>
      <w:r>
        <w:rPr>
          <w:sz w:val="24"/>
        </w:rPr>
        <w:t>for</w:t>
      </w:r>
      <w:r>
        <w:rPr>
          <w:spacing w:val="11"/>
          <w:sz w:val="24"/>
        </w:rPr>
        <w:t> </w:t>
      </w:r>
      <w:r>
        <w:rPr>
          <w:sz w:val="24"/>
        </w:rPr>
        <w:t>continuity</w:t>
      </w:r>
      <w:r>
        <w:rPr>
          <w:spacing w:val="13"/>
          <w:sz w:val="24"/>
        </w:rPr>
        <w:t> </w:t>
      </w:r>
      <w:r>
        <w:rPr>
          <w:sz w:val="24"/>
        </w:rPr>
        <w:t>and</w:t>
      </w:r>
      <w:r>
        <w:rPr>
          <w:spacing w:val="12"/>
          <w:sz w:val="24"/>
        </w:rPr>
        <w:t> </w:t>
      </w:r>
      <w:r>
        <w:rPr>
          <w:sz w:val="24"/>
        </w:rPr>
        <w:t>reasonability</w:t>
      </w:r>
      <w:r>
        <w:rPr>
          <w:spacing w:val="13"/>
          <w:sz w:val="24"/>
        </w:rPr>
        <w:t> </w:t>
      </w:r>
      <w:r>
        <w:rPr>
          <w:sz w:val="24"/>
        </w:rPr>
        <w:t>over</w:t>
      </w:r>
      <w:r>
        <w:rPr>
          <w:spacing w:val="12"/>
          <w:sz w:val="24"/>
        </w:rPr>
        <w:t> </w:t>
      </w:r>
      <w:r>
        <w:rPr>
          <w:sz w:val="24"/>
        </w:rPr>
        <w:t>the</w:t>
      </w:r>
    </w:p>
    <w:p>
      <w:pPr>
        <w:spacing w:before="0"/>
        <w:ind w:left="2486" w:right="0" w:firstLine="0"/>
        <w:jc w:val="both"/>
        <w:rPr>
          <w:sz w:val="24"/>
        </w:rPr>
      </w:pPr>
      <w:r>
        <w:rPr>
          <w:i/>
          <w:sz w:val="24"/>
        </w:rPr>
        <w:t>meter </w:t>
      </w:r>
      <w:r>
        <w:rPr>
          <w:sz w:val="24"/>
        </w:rPr>
        <w:t>reading period:</w:t>
      </w:r>
    </w:p>
    <w:p>
      <w:pPr>
        <w:pStyle w:val="ListParagraph"/>
        <w:numPr>
          <w:ilvl w:val="2"/>
          <w:numId w:val="586"/>
        </w:numPr>
        <w:tabs>
          <w:tab w:pos="3053" w:val="left" w:leader="none"/>
        </w:tabs>
        <w:spacing w:line="240" w:lineRule="auto" w:before="120" w:after="0"/>
        <w:ind w:left="3052" w:right="0" w:hanging="567"/>
        <w:jc w:val="both"/>
        <w:rPr>
          <w:sz w:val="24"/>
        </w:rPr>
      </w:pPr>
      <w:r>
        <w:rPr>
          <w:sz w:val="24"/>
        </w:rPr>
        <w:t>check that no gaps in the </w:t>
      </w:r>
      <w:r>
        <w:rPr>
          <w:i/>
          <w:sz w:val="24"/>
        </w:rPr>
        <w:t>metering data</w:t>
      </w:r>
      <w:r>
        <w:rPr>
          <w:i/>
          <w:spacing w:val="-3"/>
          <w:sz w:val="24"/>
        </w:rPr>
        <w:t> </w:t>
      </w:r>
      <w:r>
        <w:rPr>
          <w:sz w:val="24"/>
        </w:rPr>
        <w:t>exist;</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check that </w:t>
      </w:r>
      <w:r>
        <w:rPr>
          <w:i/>
          <w:sz w:val="24"/>
        </w:rPr>
        <w:t>metering data </w:t>
      </w:r>
      <w:r>
        <w:rPr>
          <w:sz w:val="24"/>
        </w:rPr>
        <w:t>for the expected period has been delivered based on the scheduled meter reading</w:t>
      </w:r>
      <w:r>
        <w:rPr>
          <w:spacing w:val="-3"/>
          <w:sz w:val="24"/>
        </w:rPr>
        <w:t> </w:t>
      </w:r>
      <w:r>
        <w:rPr>
          <w:sz w:val="24"/>
        </w:rPr>
        <w:t>date.</w:t>
      </w:r>
    </w:p>
    <w:p>
      <w:pPr>
        <w:spacing w:before="220"/>
        <w:ind w:left="1356" w:right="864" w:firstLine="0"/>
        <w:jc w:val="left"/>
        <w:rPr>
          <w:rFonts w:ascii="Arial"/>
          <w:b/>
          <w:sz w:val="22"/>
        </w:rPr>
      </w:pPr>
      <w:r>
        <w:rPr>
          <w:rFonts w:ascii="Arial"/>
          <w:b/>
          <w:sz w:val="22"/>
        </w:rPr>
        <w:t>Validations for interval metering data from whole current manually read metering installations</w:t>
      </w:r>
    </w:p>
    <w:p>
      <w:pPr>
        <w:pStyle w:val="ListParagraph"/>
        <w:numPr>
          <w:ilvl w:val="0"/>
          <w:numId w:val="586"/>
        </w:numPr>
        <w:tabs>
          <w:tab w:pos="1919" w:val="left" w:leader="none"/>
        </w:tabs>
        <w:spacing w:line="240" w:lineRule="auto" w:before="120" w:after="0"/>
        <w:ind w:left="1919" w:right="414" w:hanging="567"/>
        <w:jc w:val="both"/>
        <w:rPr>
          <w:sz w:val="24"/>
        </w:rPr>
      </w:pPr>
      <w:r>
        <w:rPr>
          <w:i/>
          <w:sz w:val="24"/>
        </w:rPr>
        <w:t>Metering Data Providers </w:t>
      </w:r>
      <w:r>
        <w:rPr>
          <w:sz w:val="24"/>
        </w:rPr>
        <w:t>must, as a minimum, undertake the</w:t>
      </w:r>
      <w:r>
        <w:rPr>
          <w:spacing w:val="33"/>
          <w:sz w:val="24"/>
        </w:rPr>
        <w:t> </w:t>
      </w:r>
      <w:r>
        <w:rPr>
          <w:sz w:val="24"/>
        </w:rPr>
        <w:t>following validations on </w:t>
      </w:r>
      <w:r>
        <w:rPr>
          <w:i/>
          <w:sz w:val="24"/>
        </w:rPr>
        <w:t>metering data </w:t>
      </w:r>
      <w:r>
        <w:rPr>
          <w:sz w:val="24"/>
        </w:rPr>
        <w:t>from whole current manually read interval </w:t>
      </w:r>
      <w:r>
        <w:rPr>
          <w:i/>
          <w:sz w:val="24"/>
        </w:rPr>
        <w:t>metering installations </w:t>
      </w:r>
      <w:r>
        <w:rPr>
          <w:sz w:val="24"/>
        </w:rPr>
        <w:t>within the </w:t>
      </w:r>
      <w:r>
        <w:rPr>
          <w:i/>
          <w:sz w:val="24"/>
        </w:rPr>
        <w:t>metering data services</w:t>
      </w:r>
      <w:r>
        <w:rPr>
          <w:i/>
          <w:spacing w:val="-10"/>
          <w:sz w:val="24"/>
        </w:rPr>
        <w:t> </w:t>
      </w:r>
      <w:r>
        <w:rPr>
          <w:i/>
          <w:sz w:val="24"/>
        </w:rPr>
        <w:t>database</w:t>
      </w:r>
      <w:r>
        <w:rPr>
          <w:sz w:val="24"/>
        </w:rPr>
        <w:t>:</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all </w:t>
      </w:r>
      <w:r>
        <w:rPr>
          <w:i/>
          <w:sz w:val="24"/>
        </w:rPr>
        <w:t>interval metering data </w:t>
      </w:r>
      <w:r>
        <w:rPr>
          <w:sz w:val="24"/>
        </w:rPr>
        <w:t>against a nominated maximum value:</w:t>
      </w:r>
    </w:p>
    <w:p>
      <w:pPr>
        <w:pStyle w:val="ListParagraph"/>
        <w:numPr>
          <w:ilvl w:val="2"/>
          <w:numId w:val="586"/>
        </w:numPr>
        <w:tabs>
          <w:tab w:pos="3053" w:val="left" w:leader="none"/>
        </w:tabs>
        <w:spacing w:line="240" w:lineRule="auto" w:before="120" w:after="0"/>
        <w:ind w:left="3052" w:right="0" w:hanging="567"/>
        <w:jc w:val="both"/>
        <w:rPr>
          <w:i/>
          <w:sz w:val="24"/>
        </w:rPr>
      </w:pPr>
      <w:r>
        <w:rPr>
          <w:sz w:val="24"/>
        </w:rPr>
        <w:t>this</w:t>
      </w:r>
      <w:r>
        <w:rPr>
          <w:spacing w:val="8"/>
          <w:sz w:val="24"/>
        </w:rPr>
        <w:t> </w:t>
      </w:r>
      <w:r>
        <w:rPr>
          <w:sz w:val="24"/>
        </w:rPr>
        <w:t>validation</w:t>
      </w:r>
      <w:r>
        <w:rPr>
          <w:spacing w:val="9"/>
          <w:sz w:val="24"/>
        </w:rPr>
        <w:t> </w:t>
      </w:r>
      <w:r>
        <w:rPr>
          <w:sz w:val="24"/>
        </w:rPr>
        <w:t>is</w:t>
      </w:r>
      <w:r>
        <w:rPr>
          <w:spacing w:val="9"/>
          <w:sz w:val="24"/>
        </w:rPr>
        <w:t> </w:t>
      </w:r>
      <w:r>
        <w:rPr>
          <w:sz w:val="24"/>
        </w:rPr>
        <w:t>to</w:t>
      </w:r>
      <w:r>
        <w:rPr>
          <w:spacing w:val="9"/>
          <w:sz w:val="24"/>
        </w:rPr>
        <w:t> </w:t>
      </w:r>
      <w:r>
        <w:rPr>
          <w:sz w:val="24"/>
        </w:rPr>
        <w:t>ensure</w:t>
      </w:r>
      <w:r>
        <w:rPr>
          <w:spacing w:val="9"/>
          <w:sz w:val="24"/>
        </w:rPr>
        <w:t> </w:t>
      </w:r>
      <w:r>
        <w:rPr>
          <w:sz w:val="24"/>
        </w:rPr>
        <w:t>that</w:t>
      </w:r>
      <w:r>
        <w:rPr>
          <w:spacing w:val="8"/>
          <w:sz w:val="24"/>
        </w:rPr>
        <w:t> </w:t>
      </w:r>
      <w:r>
        <w:rPr>
          <w:sz w:val="24"/>
        </w:rPr>
        <w:t>erroneous</w:t>
      </w:r>
      <w:r>
        <w:rPr>
          <w:spacing w:val="9"/>
          <w:sz w:val="24"/>
        </w:rPr>
        <w:t> </w:t>
      </w:r>
      <w:r>
        <w:rPr>
          <w:i/>
          <w:sz w:val="24"/>
        </w:rPr>
        <w:t>interval</w:t>
      </w:r>
      <w:r>
        <w:rPr>
          <w:i/>
          <w:spacing w:val="9"/>
          <w:sz w:val="24"/>
        </w:rPr>
        <w:t> </w:t>
      </w:r>
      <w:r>
        <w:rPr>
          <w:i/>
          <w:sz w:val="24"/>
        </w:rPr>
        <w:t>metering</w:t>
      </w:r>
      <w:r>
        <w:rPr>
          <w:i/>
          <w:spacing w:val="9"/>
          <w:sz w:val="24"/>
        </w:rPr>
        <w:t> </w:t>
      </w:r>
      <w:r>
        <w:rPr>
          <w:i/>
          <w:sz w:val="24"/>
        </w:rPr>
        <w:t>data</w:t>
      </w:r>
    </w:p>
    <w:p>
      <w:pPr>
        <w:pStyle w:val="BodyText"/>
        <w:spacing w:before="0"/>
        <w:ind w:left="3053" w:firstLine="0"/>
      </w:pPr>
      <w:r>
        <w:rPr/>
        <w:t>spikes are trapped and substituted;</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this check may additionally be performed in the collection software;</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the maximum value of </w:t>
      </w:r>
      <w:r>
        <w:rPr>
          <w:i/>
          <w:sz w:val="24"/>
        </w:rPr>
        <w:t>active energy</w:t>
      </w:r>
      <w:r>
        <w:rPr>
          <w:sz w:val="24"/>
        </w:rPr>
        <w:t>(maximum </w:t>
      </w:r>
      <w:r>
        <w:rPr>
          <w:i/>
          <w:sz w:val="24"/>
        </w:rPr>
        <w:t>reactive </w:t>
      </w:r>
      <w:r>
        <w:rPr>
          <w:i/>
          <w:sz w:val="24"/>
        </w:rPr>
        <w:t>energy </w:t>
      </w:r>
      <w:r>
        <w:rPr>
          <w:sz w:val="24"/>
        </w:rPr>
        <w:t>checks may also be performed as an option), and the maximum value is to be initially set to the rating of the</w:t>
      </w:r>
      <w:r>
        <w:rPr>
          <w:spacing w:val="-5"/>
          <w:sz w:val="24"/>
        </w:rPr>
        <w:t> </w:t>
      </w:r>
      <w:r>
        <w:rPr>
          <w:i/>
          <w:sz w:val="24"/>
        </w:rPr>
        <w:t>meter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586"/>
        </w:numPr>
        <w:tabs>
          <w:tab w:pos="2486" w:val="left" w:leader="none"/>
        </w:tabs>
        <w:spacing w:line="240" w:lineRule="auto" w:before="83" w:after="0"/>
        <w:ind w:left="2486" w:right="416" w:hanging="567"/>
        <w:jc w:val="both"/>
        <w:rPr>
          <w:sz w:val="24"/>
        </w:rPr>
      </w:pPr>
      <w:r>
        <w:rPr>
          <w:sz w:val="24"/>
        </w:rPr>
        <w:t>a check for null (no values) </w:t>
      </w:r>
      <w:r>
        <w:rPr>
          <w:i/>
          <w:sz w:val="24"/>
        </w:rPr>
        <w:t>metering data </w:t>
      </w:r>
      <w:r>
        <w:rPr>
          <w:sz w:val="24"/>
        </w:rPr>
        <w:t>in the </w:t>
      </w:r>
      <w:r>
        <w:rPr>
          <w:i/>
          <w:sz w:val="24"/>
        </w:rPr>
        <w:t>metering data </w:t>
      </w:r>
      <w:r>
        <w:rPr>
          <w:i/>
          <w:sz w:val="24"/>
        </w:rPr>
        <w:t>services database </w:t>
      </w:r>
      <w:r>
        <w:rPr>
          <w:sz w:val="24"/>
        </w:rPr>
        <w:t>for all </w:t>
      </w:r>
      <w:r>
        <w:rPr>
          <w:i/>
          <w:sz w:val="24"/>
        </w:rPr>
        <w:t>metering </w:t>
      </w:r>
      <w:r>
        <w:rPr>
          <w:sz w:val="24"/>
        </w:rPr>
        <w:t>data</w:t>
      </w:r>
      <w:r>
        <w:rPr>
          <w:spacing w:val="-7"/>
          <w:sz w:val="24"/>
        </w:rPr>
        <w:t> </w:t>
      </w:r>
      <w:r>
        <w:rPr>
          <w:sz w:val="24"/>
        </w:rPr>
        <w:t>streams:</w:t>
      </w:r>
    </w:p>
    <w:p>
      <w:pPr>
        <w:pStyle w:val="ListParagraph"/>
        <w:numPr>
          <w:ilvl w:val="2"/>
          <w:numId w:val="586"/>
        </w:numPr>
        <w:tabs>
          <w:tab w:pos="3053" w:val="left" w:leader="none"/>
        </w:tabs>
        <w:spacing w:line="240" w:lineRule="auto" w:before="120" w:after="0"/>
        <w:ind w:left="3053" w:right="414" w:hanging="567"/>
        <w:jc w:val="both"/>
        <w:rPr>
          <w:sz w:val="24"/>
        </w:rPr>
      </w:pPr>
      <w:r>
        <w:rPr>
          <w:sz w:val="24"/>
        </w:rPr>
        <w:t>the aim of this check is to ensure that there is a 100%</w:t>
      </w:r>
      <w:r>
        <w:rPr>
          <w:i/>
          <w:sz w:val="24"/>
        </w:rPr>
        <w:t>metering </w:t>
      </w:r>
      <w:r>
        <w:rPr>
          <w:i/>
          <w:sz w:val="24"/>
        </w:rPr>
        <w:t>data </w:t>
      </w:r>
      <w:r>
        <w:rPr>
          <w:sz w:val="24"/>
        </w:rPr>
        <w:t>set (and that substitution for any missing </w:t>
      </w:r>
      <w:r>
        <w:rPr>
          <w:i/>
          <w:sz w:val="24"/>
        </w:rPr>
        <w:t>interval metering </w:t>
      </w:r>
      <w:r>
        <w:rPr>
          <w:i/>
          <w:sz w:val="24"/>
        </w:rPr>
        <w:t>data </w:t>
      </w:r>
      <w:r>
        <w:rPr>
          <w:sz w:val="24"/>
        </w:rPr>
        <w:t>is</w:t>
      </w:r>
      <w:r>
        <w:rPr>
          <w:spacing w:val="-1"/>
          <w:sz w:val="24"/>
        </w:rPr>
        <w:t> </w:t>
      </w:r>
      <w:r>
        <w:rPr>
          <w:sz w:val="24"/>
        </w:rPr>
        <w:t>undertaken);</w:t>
      </w:r>
    </w:p>
    <w:p>
      <w:pPr>
        <w:pStyle w:val="ListParagraph"/>
        <w:numPr>
          <w:ilvl w:val="2"/>
          <w:numId w:val="586"/>
        </w:numPr>
        <w:tabs>
          <w:tab w:pos="3054" w:val="left" w:leader="none"/>
        </w:tabs>
        <w:spacing w:line="240" w:lineRule="auto" w:before="120" w:after="0"/>
        <w:ind w:left="3053" w:right="414" w:hanging="567"/>
        <w:jc w:val="both"/>
        <w:rPr>
          <w:sz w:val="24"/>
        </w:rPr>
      </w:pPr>
      <w:r>
        <w:rPr>
          <w:sz w:val="24"/>
        </w:rPr>
        <w:t>the minimum check required is to ensure that there is at least  one non-null </w:t>
      </w:r>
      <w:r>
        <w:rPr>
          <w:i/>
          <w:sz w:val="24"/>
        </w:rPr>
        <w:t>active energy </w:t>
      </w:r>
      <w:r>
        <w:rPr>
          <w:sz w:val="24"/>
        </w:rPr>
        <w:t>or </w:t>
      </w:r>
      <w:r>
        <w:rPr>
          <w:i/>
          <w:sz w:val="24"/>
        </w:rPr>
        <w:t>reactive energy </w:t>
      </w:r>
      <w:r>
        <w:rPr>
          <w:sz w:val="24"/>
        </w:rPr>
        <w:t>value per interval per </w:t>
      </w:r>
      <w:r>
        <w:rPr>
          <w:i/>
          <w:sz w:val="24"/>
        </w:rPr>
        <w:t>metering </w:t>
      </w:r>
      <w:r>
        <w:rPr>
          <w:sz w:val="24"/>
        </w:rPr>
        <w:t>data</w:t>
      </w:r>
      <w:r>
        <w:rPr>
          <w:spacing w:val="-2"/>
          <w:sz w:val="24"/>
        </w:rPr>
        <w:t> </w:t>
      </w:r>
      <w:r>
        <w:rPr>
          <w:sz w:val="24"/>
        </w:rPr>
        <w:t>stream;</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for </w:t>
      </w:r>
      <w:r>
        <w:rPr>
          <w:i/>
          <w:sz w:val="24"/>
        </w:rPr>
        <w:t>meter </w:t>
      </w:r>
      <w:r>
        <w:rPr>
          <w:sz w:val="24"/>
        </w:rPr>
        <w:t>alarms referred to in clause S7A.7.13.2 and the </w:t>
      </w:r>
      <w:r>
        <w:rPr>
          <w:i/>
          <w:sz w:val="24"/>
        </w:rPr>
        <w:t>Metering Data Provider </w:t>
      </w:r>
      <w:r>
        <w:rPr>
          <w:sz w:val="24"/>
        </w:rPr>
        <w:t>is not required to validate the </w:t>
      </w:r>
      <w:r>
        <w:rPr>
          <w:i/>
          <w:sz w:val="24"/>
        </w:rPr>
        <w:t>interval </w:t>
      </w:r>
      <w:r>
        <w:rPr>
          <w:i/>
          <w:sz w:val="24"/>
        </w:rPr>
        <w:t>metering data </w:t>
      </w:r>
      <w:r>
        <w:rPr>
          <w:sz w:val="24"/>
        </w:rPr>
        <w:t>for power outage or power failure alarms, but must ensure</w:t>
      </w:r>
      <w:r>
        <w:rPr>
          <w:spacing w:val="-1"/>
          <w:sz w:val="24"/>
        </w:rPr>
        <w:t> </w:t>
      </w:r>
      <w:r>
        <w:rPr>
          <w:sz w:val="24"/>
        </w:rPr>
        <w:t>that:</w:t>
      </w:r>
    </w:p>
    <w:p>
      <w:pPr>
        <w:pStyle w:val="ListParagraph"/>
        <w:numPr>
          <w:ilvl w:val="2"/>
          <w:numId w:val="586"/>
        </w:numPr>
        <w:tabs>
          <w:tab w:pos="3053" w:val="left" w:leader="none"/>
        </w:tabs>
        <w:spacing w:line="240" w:lineRule="auto" w:before="120" w:after="0"/>
        <w:ind w:left="3053" w:right="415" w:hanging="567"/>
        <w:jc w:val="both"/>
        <w:rPr>
          <w:sz w:val="24"/>
        </w:rPr>
      </w:pPr>
      <w:r>
        <w:rPr>
          <w:sz w:val="24"/>
        </w:rPr>
        <w:t>a process is in place that captures these </w:t>
      </w:r>
      <w:r>
        <w:rPr>
          <w:i/>
          <w:sz w:val="24"/>
        </w:rPr>
        <w:t>meter </w:t>
      </w:r>
      <w:r>
        <w:rPr>
          <w:sz w:val="24"/>
        </w:rPr>
        <w:t>alarms within the validation and ensures that any </w:t>
      </w:r>
      <w:r>
        <w:rPr>
          <w:i/>
          <w:sz w:val="24"/>
        </w:rPr>
        <w:t>meter </w:t>
      </w:r>
      <w:r>
        <w:rPr>
          <w:sz w:val="24"/>
        </w:rPr>
        <w:t>alarm occurrences are retained as part of the </w:t>
      </w:r>
      <w:r>
        <w:rPr>
          <w:i/>
          <w:sz w:val="24"/>
        </w:rPr>
        <w:t>metering data </w:t>
      </w:r>
      <w:r>
        <w:rPr>
          <w:sz w:val="24"/>
        </w:rPr>
        <w:t>audit</w:t>
      </w:r>
      <w:r>
        <w:rPr>
          <w:spacing w:val="-2"/>
          <w:sz w:val="24"/>
        </w:rPr>
        <w:t> </w:t>
      </w:r>
      <w:r>
        <w:rPr>
          <w:sz w:val="24"/>
        </w:rPr>
        <w:t>trail;</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the relevant </w:t>
      </w:r>
      <w:r>
        <w:rPr>
          <w:i/>
          <w:sz w:val="24"/>
        </w:rPr>
        <w:t>Registered Participants </w:t>
      </w:r>
      <w:r>
        <w:rPr>
          <w:sz w:val="24"/>
        </w:rPr>
        <w:t>are notified of the occurrences of these </w:t>
      </w:r>
      <w:r>
        <w:rPr>
          <w:i/>
          <w:sz w:val="24"/>
        </w:rPr>
        <w:t>meter </w:t>
      </w:r>
      <w:r>
        <w:rPr>
          <w:sz w:val="24"/>
        </w:rPr>
        <w:t>alarms within the </w:t>
      </w:r>
      <w:r>
        <w:rPr>
          <w:i/>
          <w:sz w:val="24"/>
        </w:rPr>
        <w:t>metering data </w:t>
      </w:r>
      <w:r>
        <w:rPr>
          <w:sz w:val="24"/>
        </w:rPr>
        <w:t>file in accordance with the MDFF</w:t>
      </w:r>
      <w:r>
        <w:rPr>
          <w:spacing w:val="-5"/>
          <w:sz w:val="24"/>
        </w:rPr>
        <w:t> </w:t>
      </w:r>
      <w:r>
        <w:rPr>
          <w:sz w:val="24"/>
        </w:rPr>
        <w:t>specification;</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where supported by the </w:t>
      </w:r>
      <w:r>
        <w:rPr>
          <w:i/>
          <w:sz w:val="24"/>
        </w:rPr>
        <w:t>meter(s)</w:t>
      </w:r>
      <w:r>
        <w:rPr>
          <w:sz w:val="24"/>
        </w:rPr>
        <w:t>, validation for a given period</w:t>
      </w:r>
      <w:r>
        <w:rPr>
          <w:spacing w:val="30"/>
          <w:sz w:val="24"/>
        </w:rPr>
        <w:t> </w:t>
      </w:r>
      <w:r>
        <w:rPr>
          <w:sz w:val="24"/>
        </w:rPr>
        <w:t>of </w:t>
      </w:r>
      <w:r>
        <w:rPr>
          <w:i/>
          <w:sz w:val="24"/>
        </w:rPr>
        <w:t>interval metering data </w:t>
      </w:r>
      <w:r>
        <w:rPr>
          <w:sz w:val="24"/>
        </w:rPr>
        <w:t>by comparison of the totalised </w:t>
      </w:r>
      <w:r>
        <w:rPr>
          <w:i/>
          <w:sz w:val="24"/>
        </w:rPr>
        <w:t>interval energy </w:t>
      </w:r>
      <w:r>
        <w:rPr>
          <w:i/>
          <w:sz w:val="24"/>
        </w:rPr>
        <w:t>data</w:t>
      </w:r>
      <w:r>
        <w:rPr>
          <w:sz w:val="24"/>
        </w:rPr>
        <w:t>(accumulation register reading) and the change in the </w:t>
      </w:r>
      <w:r>
        <w:rPr>
          <w:i/>
          <w:sz w:val="24"/>
        </w:rPr>
        <w:t>meter </w:t>
      </w:r>
      <w:r>
        <w:rPr>
          <w:sz w:val="24"/>
        </w:rPr>
        <w:t>cumulative registers (</w:t>
      </w:r>
      <w:r>
        <w:rPr>
          <w:i/>
          <w:sz w:val="24"/>
        </w:rPr>
        <w:t>energy</w:t>
      </w:r>
      <w:r>
        <w:rPr>
          <w:i/>
          <w:spacing w:val="-1"/>
          <w:sz w:val="24"/>
        </w:rPr>
        <w:t> </w:t>
      </w:r>
      <w:r>
        <w:rPr>
          <w:sz w:val="24"/>
        </w:rPr>
        <w:t>tolerance);</w:t>
      </w:r>
    </w:p>
    <w:p>
      <w:pPr>
        <w:pStyle w:val="ListParagraph"/>
        <w:numPr>
          <w:ilvl w:val="1"/>
          <w:numId w:val="586"/>
        </w:numPr>
        <w:tabs>
          <w:tab w:pos="2486" w:val="left" w:leader="none"/>
        </w:tabs>
        <w:spacing w:line="240" w:lineRule="auto" w:before="120" w:after="0"/>
        <w:ind w:left="2485" w:right="0" w:hanging="567"/>
        <w:jc w:val="both"/>
        <w:rPr>
          <w:sz w:val="24"/>
        </w:rPr>
      </w:pPr>
      <w:r>
        <w:rPr>
          <w:sz w:val="24"/>
        </w:rPr>
        <w:t>a</w:t>
      </w:r>
      <w:r>
        <w:rPr>
          <w:spacing w:val="12"/>
          <w:sz w:val="24"/>
        </w:rPr>
        <w:t> </w:t>
      </w:r>
      <w:r>
        <w:rPr>
          <w:sz w:val="24"/>
        </w:rPr>
        <w:t>check</w:t>
      </w:r>
      <w:r>
        <w:rPr>
          <w:spacing w:val="12"/>
          <w:sz w:val="24"/>
        </w:rPr>
        <w:t> </w:t>
      </w:r>
      <w:r>
        <w:rPr>
          <w:sz w:val="24"/>
        </w:rPr>
        <w:t>of</w:t>
      </w:r>
      <w:r>
        <w:rPr>
          <w:spacing w:val="13"/>
          <w:sz w:val="24"/>
        </w:rPr>
        <w:t> </w:t>
      </w:r>
      <w:r>
        <w:rPr>
          <w:sz w:val="24"/>
        </w:rPr>
        <w:t>the</w:t>
      </w:r>
      <w:r>
        <w:rPr>
          <w:spacing w:val="12"/>
          <w:sz w:val="24"/>
        </w:rPr>
        <w:t> </w:t>
      </w:r>
      <w:r>
        <w:rPr>
          <w:i/>
          <w:sz w:val="24"/>
        </w:rPr>
        <w:t>metering</w:t>
      </w:r>
      <w:r>
        <w:rPr>
          <w:i/>
          <w:spacing w:val="13"/>
          <w:sz w:val="24"/>
        </w:rPr>
        <w:t> </w:t>
      </w:r>
      <w:r>
        <w:rPr>
          <w:i/>
          <w:sz w:val="24"/>
        </w:rPr>
        <w:t>data</w:t>
      </w:r>
      <w:r>
        <w:rPr>
          <w:i/>
          <w:spacing w:val="12"/>
          <w:sz w:val="24"/>
        </w:rPr>
        <w:t> </w:t>
      </w:r>
      <w:r>
        <w:rPr>
          <w:sz w:val="24"/>
        </w:rPr>
        <w:t>for</w:t>
      </w:r>
      <w:r>
        <w:rPr>
          <w:spacing w:val="11"/>
          <w:sz w:val="24"/>
        </w:rPr>
        <w:t> </w:t>
      </w:r>
      <w:r>
        <w:rPr>
          <w:sz w:val="24"/>
        </w:rPr>
        <w:t>continuity</w:t>
      </w:r>
      <w:r>
        <w:rPr>
          <w:spacing w:val="13"/>
          <w:sz w:val="24"/>
        </w:rPr>
        <w:t> </w:t>
      </w:r>
      <w:r>
        <w:rPr>
          <w:sz w:val="24"/>
        </w:rPr>
        <w:t>and</w:t>
      </w:r>
      <w:r>
        <w:rPr>
          <w:spacing w:val="12"/>
          <w:sz w:val="24"/>
        </w:rPr>
        <w:t> </w:t>
      </w:r>
      <w:r>
        <w:rPr>
          <w:sz w:val="24"/>
        </w:rPr>
        <w:t>reasonability</w:t>
      </w:r>
      <w:r>
        <w:rPr>
          <w:spacing w:val="13"/>
          <w:sz w:val="24"/>
        </w:rPr>
        <w:t> </w:t>
      </w:r>
      <w:r>
        <w:rPr>
          <w:sz w:val="24"/>
        </w:rPr>
        <w:t>over</w:t>
      </w:r>
      <w:r>
        <w:rPr>
          <w:spacing w:val="12"/>
          <w:sz w:val="24"/>
        </w:rPr>
        <w:t> </w:t>
      </w:r>
      <w:r>
        <w:rPr>
          <w:sz w:val="24"/>
        </w:rPr>
        <w:t>the</w:t>
      </w:r>
    </w:p>
    <w:p>
      <w:pPr>
        <w:spacing w:before="0"/>
        <w:ind w:left="2486" w:right="0" w:firstLine="0"/>
        <w:jc w:val="both"/>
        <w:rPr>
          <w:sz w:val="24"/>
        </w:rPr>
      </w:pPr>
      <w:r>
        <w:rPr>
          <w:i/>
          <w:sz w:val="24"/>
        </w:rPr>
        <w:t>meter </w:t>
      </w:r>
      <w:r>
        <w:rPr>
          <w:sz w:val="24"/>
        </w:rPr>
        <w:t>reading period:</w:t>
      </w:r>
    </w:p>
    <w:p>
      <w:pPr>
        <w:pStyle w:val="ListParagraph"/>
        <w:numPr>
          <w:ilvl w:val="2"/>
          <w:numId w:val="586"/>
        </w:numPr>
        <w:tabs>
          <w:tab w:pos="3053" w:val="left" w:leader="none"/>
        </w:tabs>
        <w:spacing w:line="240" w:lineRule="auto" w:before="120" w:after="0"/>
        <w:ind w:left="3052" w:right="0" w:hanging="567"/>
        <w:jc w:val="both"/>
        <w:rPr>
          <w:sz w:val="24"/>
        </w:rPr>
      </w:pPr>
      <w:r>
        <w:rPr>
          <w:sz w:val="24"/>
        </w:rPr>
        <w:t>check that no gaps in the </w:t>
      </w:r>
      <w:r>
        <w:rPr>
          <w:i/>
          <w:sz w:val="24"/>
        </w:rPr>
        <w:t>metering data</w:t>
      </w:r>
      <w:r>
        <w:rPr>
          <w:i/>
          <w:spacing w:val="-3"/>
          <w:sz w:val="24"/>
        </w:rPr>
        <w:t> </w:t>
      </w:r>
      <w:r>
        <w:rPr>
          <w:sz w:val="24"/>
        </w:rPr>
        <w:t>exist;</w:t>
      </w:r>
    </w:p>
    <w:p>
      <w:pPr>
        <w:pStyle w:val="ListParagraph"/>
        <w:numPr>
          <w:ilvl w:val="2"/>
          <w:numId w:val="586"/>
        </w:numPr>
        <w:tabs>
          <w:tab w:pos="3054" w:val="left" w:leader="none"/>
        </w:tabs>
        <w:spacing w:line="240" w:lineRule="auto" w:before="120" w:after="0"/>
        <w:ind w:left="3053" w:right="415" w:hanging="567"/>
        <w:jc w:val="both"/>
        <w:rPr>
          <w:sz w:val="24"/>
        </w:rPr>
      </w:pPr>
      <w:r>
        <w:rPr>
          <w:sz w:val="24"/>
        </w:rPr>
        <w:t>check that </w:t>
      </w:r>
      <w:r>
        <w:rPr>
          <w:i/>
          <w:sz w:val="24"/>
        </w:rPr>
        <w:t>metering data </w:t>
      </w:r>
      <w:r>
        <w:rPr>
          <w:sz w:val="24"/>
        </w:rPr>
        <w:t>for the expected period has been delivered based on the scheduled meter reading</w:t>
      </w:r>
      <w:r>
        <w:rPr>
          <w:spacing w:val="-3"/>
          <w:sz w:val="24"/>
        </w:rPr>
        <w:t> </w:t>
      </w:r>
      <w:r>
        <w:rPr>
          <w:sz w:val="24"/>
        </w:rPr>
        <w:t>date.</w:t>
      </w:r>
    </w:p>
    <w:p>
      <w:pPr>
        <w:spacing w:before="220"/>
        <w:ind w:left="1356" w:right="742" w:firstLine="0"/>
        <w:jc w:val="left"/>
        <w:rPr>
          <w:rFonts w:ascii="Arial"/>
          <w:b/>
          <w:sz w:val="22"/>
        </w:rPr>
      </w:pPr>
      <w:r>
        <w:rPr>
          <w:rFonts w:ascii="Arial"/>
          <w:b/>
          <w:sz w:val="22"/>
        </w:rPr>
        <w:t>Validations for accumulation metering data from manually read metering installations</w:t>
      </w:r>
    </w:p>
    <w:p>
      <w:pPr>
        <w:pStyle w:val="ListParagraph"/>
        <w:numPr>
          <w:ilvl w:val="0"/>
          <w:numId w:val="586"/>
        </w:numPr>
        <w:tabs>
          <w:tab w:pos="1920" w:val="left" w:leader="none"/>
        </w:tabs>
        <w:spacing w:line="240" w:lineRule="auto" w:before="120" w:after="0"/>
        <w:ind w:left="1919" w:right="415" w:hanging="567"/>
        <w:jc w:val="both"/>
        <w:rPr>
          <w:sz w:val="24"/>
        </w:rPr>
      </w:pPr>
      <w:r>
        <w:rPr>
          <w:i/>
          <w:sz w:val="24"/>
        </w:rPr>
        <w:t>Metering Data Providers </w:t>
      </w:r>
      <w:r>
        <w:rPr>
          <w:sz w:val="24"/>
        </w:rPr>
        <w:t>must undertake the following validations within the </w:t>
      </w:r>
      <w:r>
        <w:rPr>
          <w:i/>
          <w:sz w:val="24"/>
        </w:rPr>
        <w:t>metering data services database </w:t>
      </w:r>
      <w:r>
        <w:rPr>
          <w:sz w:val="24"/>
        </w:rPr>
        <w:t>for </w:t>
      </w:r>
      <w:r>
        <w:rPr>
          <w:i/>
          <w:sz w:val="24"/>
        </w:rPr>
        <w:t>metering installations </w:t>
      </w:r>
      <w:r>
        <w:rPr>
          <w:sz w:val="24"/>
        </w:rPr>
        <w:t>with </w:t>
      </w:r>
      <w:r>
        <w:rPr>
          <w:i/>
          <w:sz w:val="24"/>
        </w:rPr>
        <w:t>accumulated metering</w:t>
      </w:r>
      <w:r>
        <w:rPr>
          <w:i/>
          <w:spacing w:val="-1"/>
          <w:sz w:val="24"/>
        </w:rPr>
        <w:t> </w:t>
      </w:r>
      <w:r>
        <w:rPr>
          <w:i/>
          <w:sz w:val="24"/>
        </w:rPr>
        <w:t>data</w:t>
      </w:r>
      <w:r>
        <w:rPr>
          <w:sz w:val="24"/>
        </w:rPr>
        <w:t>:</w:t>
      </w:r>
    </w:p>
    <w:p>
      <w:pPr>
        <w:pStyle w:val="ListParagraph"/>
        <w:numPr>
          <w:ilvl w:val="1"/>
          <w:numId w:val="586"/>
        </w:numPr>
        <w:tabs>
          <w:tab w:pos="2486" w:val="left" w:leader="none"/>
        </w:tabs>
        <w:spacing w:line="240" w:lineRule="auto" w:before="120" w:after="0"/>
        <w:ind w:left="2485" w:right="0" w:hanging="567"/>
        <w:jc w:val="both"/>
        <w:rPr>
          <w:i/>
          <w:sz w:val="24"/>
        </w:rPr>
      </w:pPr>
      <w:r>
        <w:rPr>
          <w:sz w:val="24"/>
        </w:rPr>
        <w:t>a</w:t>
      </w:r>
      <w:r>
        <w:rPr>
          <w:spacing w:val="35"/>
          <w:sz w:val="24"/>
        </w:rPr>
        <w:t> </w:t>
      </w:r>
      <w:r>
        <w:rPr>
          <w:sz w:val="24"/>
        </w:rPr>
        <w:t>check</w:t>
      </w:r>
      <w:r>
        <w:rPr>
          <w:spacing w:val="35"/>
          <w:sz w:val="24"/>
        </w:rPr>
        <w:t> </w:t>
      </w:r>
      <w:r>
        <w:rPr>
          <w:sz w:val="24"/>
        </w:rPr>
        <w:t>against</w:t>
      </w:r>
      <w:r>
        <w:rPr>
          <w:spacing w:val="35"/>
          <w:sz w:val="24"/>
        </w:rPr>
        <w:t> </w:t>
      </w:r>
      <w:r>
        <w:rPr>
          <w:sz w:val="24"/>
        </w:rPr>
        <w:t>a</w:t>
      </w:r>
      <w:r>
        <w:rPr>
          <w:spacing w:val="35"/>
          <w:sz w:val="24"/>
        </w:rPr>
        <w:t> </w:t>
      </w:r>
      <w:r>
        <w:rPr>
          <w:sz w:val="24"/>
        </w:rPr>
        <w:t>nominated</w:t>
      </w:r>
      <w:r>
        <w:rPr>
          <w:spacing w:val="35"/>
          <w:sz w:val="24"/>
        </w:rPr>
        <w:t> </w:t>
      </w:r>
      <w:r>
        <w:rPr>
          <w:sz w:val="24"/>
        </w:rPr>
        <w:t>minimum</w:t>
      </w:r>
      <w:r>
        <w:rPr>
          <w:spacing w:val="35"/>
          <w:sz w:val="24"/>
        </w:rPr>
        <w:t> </w:t>
      </w:r>
      <w:r>
        <w:rPr>
          <w:sz w:val="24"/>
        </w:rPr>
        <w:t>value</w:t>
      </w:r>
      <w:r>
        <w:rPr>
          <w:spacing w:val="36"/>
          <w:sz w:val="24"/>
        </w:rPr>
        <w:t> </w:t>
      </w:r>
      <w:r>
        <w:rPr>
          <w:sz w:val="24"/>
        </w:rPr>
        <w:t>of</w:t>
      </w:r>
      <w:r>
        <w:rPr>
          <w:spacing w:val="35"/>
          <w:sz w:val="24"/>
        </w:rPr>
        <w:t> </w:t>
      </w:r>
      <w:r>
        <w:rPr>
          <w:i/>
          <w:sz w:val="24"/>
        </w:rPr>
        <w:t>metering</w:t>
      </w:r>
      <w:r>
        <w:rPr>
          <w:i/>
          <w:spacing w:val="34"/>
          <w:sz w:val="24"/>
        </w:rPr>
        <w:t> </w:t>
      </w:r>
      <w:r>
        <w:rPr>
          <w:i/>
          <w:sz w:val="24"/>
        </w:rPr>
        <w:t>data</w:t>
      </w:r>
    </w:p>
    <w:p>
      <w:pPr>
        <w:spacing w:before="0"/>
        <w:ind w:left="2486" w:right="0" w:firstLine="0"/>
        <w:jc w:val="both"/>
        <w:rPr>
          <w:sz w:val="24"/>
        </w:rPr>
      </w:pPr>
      <w:r>
        <w:rPr>
          <w:sz w:val="24"/>
        </w:rPr>
        <w:t>collected from the </w:t>
      </w:r>
      <w:r>
        <w:rPr>
          <w:i/>
          <w:sz w:val="24"/>
        </w:rPr>
        <w:t>metering installation</w:t>
      </w:r>
      <w:r>
        <w:rPr>
          <w:sz w:val="24"/>
        </w:rPr>
        <w:t>;</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against a nominated maximum value of </w:t>
      </w:r>
      <w:r>
        <w:rPr>
          <w:i/>
          <w:sz w:val="24"/>
        </w:rPr>
        <w:t>metering data </w:t>
      </w:r>
      <w:r>
        <w:rPr>
          <w:sz w:val="24"/>
        </w:rPr>
        <w:t>collected from the </w:t>
      </w:r>
      <w:r>
        <w:rPr>
          <w:i/>
          <w:sz w:val="24"/>
        </w:rPr>
        <w:t>metering installation</w:t>
      </w:r>
      <w:r>
        <w:rPr>
          <w:sz w:val="24"/>
        </w:rPr>
        <w:t>, and this is to be applied to both the </w:t>
      </w:r>
      <w:r>
        <w:rPr>
          <w:i/>
          <w:sz w:val="24"/>
        </w:rPr>
        <w:t>metering data </w:t>
      </w:r>
      <w:r>
        <w:rPr>
          <w:sz w:val="24"/>
        </w:rPr>
        <w:t>collected from the </w:t>
      </w:r>
      <w:r>
        <w:rPr>
          <w:i/>
          <w:sz w:val="24"/>
        </w:rPr>
        <w:t>metering installation </w:t>
      </w:r>
      <w:r>
        <w:rPr>
          <w:sz w:val="24"/>
        </w:rPr>
        <w:t>and the calculated </w:t>
      </w:r>
      <w:r>
        <w:rPr>
          <w:i/>
          <w:sz w:val="24"/>
        </w:rPr>
        <w:t>energy </w:t>
      </w:r>
      <w:r>
        <w:rPr>
          <w:sz w:val="24"/>
        </w:rPr>
        <w:t>consumption</w:t>
      </w:r>
      <w:r>
        <w:rPr>
          <w:spacing w:val="-1"/>
          <w:sz w:val="24"/>
        </w:rPr>
        <w:t> </w:t>
      </w:r>
      <w:r>
        <w:rPr>
          <w:sz w:val="24"/>
        </w:rPr>
        <w:t>values;</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the current value of </w:t>
      </w:r>
      <w:r>
        <w:rPr>
          <w:i/>
          <w:sz w:val="24"/>
        </w:rPr>
        <w:t>metering data </w:t>
      </w:r>
      <w:r>
        <w:rPr>
          <w:sz w:val="24"/>
        </w:rPr>
        <w:t>collected from the </w:t>
      </w:r>
      <w:r>
        <w:rPr>
          <w:i/>
          <w:sz w:val="24"/>
        </w:rPr>
        <w:t>metering </w:t>
      </w:r>
      <w:r>
        <w:rPr>
          <w:i/>
          <w:sz w:val="24"/>
        </w:rPr>
        <w:t>installation</w:t>
      </w:r>
      <w:r>
        <w:rPr>
          <w:sz w:val="24"/>
        </w:rPr>
        <w:t>≥ previous value of </w:t>
      </w:r>
      <w:r>
        <w:rPr>
          <w:i/>
          <w:sz w:val="24"/>
        </w:rPr>
        <w:t>metering data </w:t>
      </w:r>
      <w:r>
        <w:rPr>
          <w:sz w:val="24"/>
        </w:rPr>
        <w:t>collected from the </w:t>
      </w:r>
      <w:r>
        <w:rPr>
          <w:i/>
          <w:sz w:val="24"/>
        </w:rPr>
        <w:t>metering</w:t>
      </w:r>
      <w:r>
        <w:rPr>
          <w:i/>
          <w:spacing w:val="-2"/>
          <w:sz w:val="24"/>
        </w:rPr>
        <w:t> </w:t>
      </w:r>
      <w:r>
        <w:rPr>
          <w:i/>
          <w:sz w:val="24"/>
        </w:rPr>
        <w:t>installation</w:t>
      </w:r>
      <w:r>
        <w:rPr>
          <w:sz w:val="24"/>
        </w:rPr>
        <w:t>;</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the current value of </w:t>
      </w:r>
      <w:r>
        <w:rPr>
          <w:i/>
          <w:sz w:val="24"/>
        </w:rPr>
        <w:t>metering data </w:t>
      </w:r>
      <w:r>
        <w:rPr>
          <w:sz w:val="24"/>
        </w:rPr>
        <w:t>collected from the </w:t>
      </w:r>
      <w:r>
        <w:rPr>
          <w:i/>
          <w:sz w:val="24"/>
        </w:rPr>
        <w:t>metering </w:t>
      </w:r>
      <w:r>
        <w:rPr>
          <w:i/>
          <w:sz w:val="24"/>
        </w:rPr>
        <w:t>installation </w:t>
      </w:r>
      <w:r>
        <w:rPr>
          <w:sz w:val="24"/>
        </w:rPr>
        <w:t>is numeric and ≥</w:t>
      </w:r>
      <w:r>
        <w:rPr>
          <w:spacing w:val="-1"/>
          <w:sz w:val="24"/>
        </w:rPr>
        <w:t> </w:t>
      </w:r>
      <w:r>
        <w:rPr>
          <w:sz w:val="24"/>
        </w:rPr>
        <w:t>0;</w:t>
      </w:r>
    </w:p>
    <w:p>
      <w:pPr>
        <w:spacing w:after="0" w:line="240" w:lineRule="auto"/>
        <w:jc w:val="both"/>
        <w:rPr>
          <w:sz w:val="24"/>
        </w:rPr>
        <w:sectPr>
          <w:pgSz w:w="11910" w:h="16840"/>
          <w:pgMar w:header="686" w:footer="637" w:top="1320" w:bottom="820" w:left="1200" w:right="1000"/>
        </w:sectPr>
      </w:pPr>
    </w:p>
    <w:p>
      <w:pPr>
        <w:pStyle w:val="ListParagraph"/>
        <w:numPr>
          <w:ilvl w:val="1"/>
          <w:numId w:val="586"/>
        </w:numPr>
        <w:tabs>
          <w:tab w:pos="2486" w:val="left" w:leader="none"/>
        </w:tabs>
        <w:spacing w:line="240" w:lineRule="auto" w:before="83" w:after="0"/>
        <w:ind w:left="2486" w:right="416" w:hanging="567"/>
        <w:jc w:val="both"/>
        <w:rPr>
          <w:sz w:val="24"/>
        </w:rPr>
      </w:pPr>
      <w:r>
        <w:rPr>
          <w:sz w:val="24"/>
        </w:rPr>
        <w:t>the current date that </w:t>
      </w:r>
      <w:r>
        <w:rPr>
          <w:i/>
          <w:sz w:val="24"/>
        </w:rPr>
        <w:t>metering data </w:t>
      </w:r>
      <w:r>
        <w:rPr>
          <w:sz w:val="24"/>
        </w:rPr>
        <w:t>is collected from the </w:t>
      </w:r>
      <w:r>
        <w:rPr>
          <w:i/>
          <w:sz w:val="24"/>
        </w:rPr>
        <w:t>metering </w:t>
      </w:r>
      <w:r>
        <w:rPr>
          <w:i/>
          <w:sz w:val="24"/>
        </w:rPr>
        <w:t>installation</w:t>
      </w:r>
      <w:r>
        <w:rPr>
          <w:sz w:val="24"/>
        </w:rPr>
        <w:t>&gt; the previous date that </w:t>
      </w:r>
      <w:r>
        <w:rPr>
          <w:i/>
          <w:sz w:val="24"/>
        </w:rPr>
        <w:t>metering data </w:t>
      </w:r>
      <w:r>
        <w:rPr>
          <w:sz w:val="24"/>
        </w:rPr>
        <w:t>was collected from the </w:t>
      </w:r>
      <w:r>
        <w:rPr>
          <w:i/>
          <w:sz w:val="24"/>
        </w:rPr>
        <w:t>metering</w:t>
      </w:r>
      <w:r>
        <w:rPr>
          <w:i/>
          <w:spacing w:val="-1"/>
          <w:sz w:val="24"/>
        </w:rPr>
        <w:t> </w:t>
      </w:r>
      <w:r>
        <w:rPr>
          <w:i/>
          <w:sz w:val="24"/>
        </w:rPr>
        <w:t>installation</w:t>
      </w:r>
      <w:r>
        <w:rPr>
          <w:sz w:val="24"/>
        </w:rPr>
        <w:t>;</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for null (no values) </w:t>
      </w:r>
      <w:r>
        <w:rPr>
          <w:i/>
          <w:sz w:val="24"/>
        </w:rPr>
        <w:t>metering data </w:t>
      </w:r>
      <w:r>
        <w:rPr>
          <w:sz w:val="24"/>
        </w:rPr>
        <w:t>in the </w:t>
      </w:r>
      <w:r>
        <w:rPr>
          <w:i/>
          <w:sz w:val="24"/>
        </w:rPr>
        <w:t>metering data </w:t>
      </w:r>
      <w:r>
        <w:rPr>
          <w:i/>
          <w:sz w:val="24"/>
        </w:rPr>
        <w:t>services database </w:t>
      </w:r>
      <w:r>
        <w:rPr>
          <w:sz w:val="24"/>
        </w:rPr>
        <w:t>for all </w:t>
      </w:r>
      <w:r>
        <w:rPr>
          <w:i/>
          <w:sz w:val="24"/>
        </w:rPr>
        <w:t>metering </w:t>
      </w:r>
      <w:r>
        <w:rPr>
          <w:sz w:val="24"/>
        </w:rPr>
        <w:t>data streams, and the aim of this check is to ensure that there is a 100%</w:t>
      </w:r>
      <w:r>
        <w:rPr>
          <w:i/>
          <w:sz w:val="24"/>
        </w:rPr>
        <w:t>metering data </w:t>
      </w:r>
      <w:r>
        <w:rPr>
          <w:sz w:val="24"/>
        </w:rPr>
        <w:t>set and substitution for any missing </w:t>
      </w:r>
      <w:r>
        <w:rPr>
          <w:i/>
          <w:sz w:val="24"/>
        </w:rPr>
        <w:t>metering data </w:t>
      </w:r>
      <w:r>
        <w:rPr>
          <w:sz w:val="24"/>
        </w:rPr>
        <w:t>is</w:t>
      </w:r>
      <w:r>
        <w:rPr>
          <w:spacing w:val="-7"/>
          <w:sz w:val="24"/>
        </w:rPr>
        <w:t> </w:t>
      </w:r>
      <w:r>
        <w:rPr>
          <w:sz w:val="24"/>
        </w:rPr>
        <w:t>undertaken.</w:t>
      </w:r>
    </w:p>
    <w:p>
      <w:pPr>
        <w:spacing w:before="220"/>
        <w:ind w:left="1356" w:right="0" w:firstLine="0"/>
        <w:jc w:val="left"/>
        <w:rPr>
          <w:rFonts w:ascii="Arial"/>
          <w:b/>
          <w:sz w:val="22"/>
        </w:rPr>
      </w:pPr>
      <w:r>
        <w:rPr>
          <w:rFonts w:ascii="Arial"/>
          <w:b/>
          <w:sz w:val="22"/>
        </w:rPr>
        <w:t>Validations for type 7 metering installations</w:t>
      </w:r>
    </w:p>
    <w:p>
      <w:pPr>
        <w:pStyle w:val="ListParagraph"/>
        <w:numPr>
          <w:ilvl w:val="0"/>
          <w:numId w:val="586"/>
        </w:numPr>
        <w:tabs>
          <w:tab w:pos="1918" w:val="left" w:leader="none"/>
          <w:tab w:pos="1919" w:val="left" w:leader="none"/>
        </w:tabs>
        <w:spacing w:line="240" w:lineRule="auto" w:before="120" w:after="0"/>
        <w:ind w:left="1918" w:right="0" w:hanging="567"/>
        <w:jc w:val="left"/>
        <w:rPr>
          <w:sz w:val="24"/>
        </w:rPr>
      </w:pPr>
      <w:r>
        <w:rPr>
          <w:i/>
          <w:sz w:val="24"/>
        </w:rPr>
        <w:t>Metering</w:t>
      </w:r>
      <w:r>
        <w:rPr>
          <w:i/>
          <w:spacing w:val="25"/>
          <w:sz w:val="24"/>
        </w:rPr>
        <w:t> </w:t>
      </w:r>
      <w:r>
        <w:rPr>
          <w:i/>
          <w:sz w:val="24"/>
        </w:rPr>
        <w:t>Data</w:t>
      </w:r>
      <w:r>
        <w:rPr>
          <w:i/>
          <w:spacing w:val="25"/>
          <w:sz w:val="24"/>
        </w:rPr>
        <w:t> </w:t>
      </w:r>
      <w:r>
        <w:rPr>
          <w:i/>
          <w:sz w:val="24"/>
        </w:rPr>
        <w:t>Providers</w:t>
      </w:r>
      <w:r>
        <w:rPr>
          <w:i/>
          <w:spacing w:val="25"/>
          <w:sz w:val="24"/>
        </w:rPr>
        <w:t> </w:t>
      </w:r>
      <w:r>
        <w:rPr>
          <w:sz w:val="24"/>
        </w:rPr>
        <w:t>must</w:t>
      </w:r>
      <w:r>
        <w:rPr>
          <w:spacing w:val="26"/>
          <w:sz w:val="24"/>
        </w:rPr>
        <w:t> </w:t>
      </w:r>
      <w:r>
        <w:rPr>
          <w:sz w:val="24"/>
        </w:rPr>
        <w:t>undertake</w:t>
      </w:r>
      <w:r>
        <w:rPr>
          <w:spacing w:val="25"/>
          <w:sz w:val="24"/>
        </w:rPr>
        <w:t> </w:t>
      </w:r>
      <w:r>
        <w:rPr>
          <w:sz w:val="24"/>
        </w:rPr>
        <w:t>the</w:t>
      </w:r>
      <w:r>
        <w:rPr>
          <w:spacing w:val="25"/>
          <w:sz w:val="24"/>
        </w:rPr>
        <w:t> </w:t>
      </w:r>
      <w:r>
        <w:rPr>
          <w:sz w:val="24"/>
        </w:rPr>
        <w:t>following</w:t>
      </w:r>
      <w:r>
        <w:rPr>
          <w:spacing w:val="25"/>
          <w:sz w:val="24"/>
        </w:rPr>
        <w:t> </w:t>
      </w:r>
      <w:r>
        <w:rPr>
          <w:sz w:val="24"/>
        </w:rPr>
        <w:t>validations</w:t>
      </w:r>
      <w:r>
        <w:rPr>
          <w:spacing w:val="26"/>
          <w:sz w:val="24"/>
        </w:rPr>
        <w:t> </w:t>
      </w:r>
      <w:r>
        <w:rPr>
          <w:sz w:val="24"/>
        </w:rPr>
        <w:t>of</w:t>
      </w:r>
    </w:p>
    <w:p>
      <w:pPr>
        <w:spacing w:before="0"/>
        <w:ind w:left="1919" w:right="0" w:firstLine="0"/>
        <w:jc w:val="left"/>
        <w:rPr>
          <w:sz w:val="24"/>
        </w:rPr>
      </w:pPr>
      <w:r>
        <w:rPr>
          <w:i/>
          <w:sz w:val="24"/>
        </w:rPr>
        <w:t>calculated metering data </w:t>
      </w:r>
      <w:r>
        <w:rPr>
          <w:sz w:val="24"/>
        </w:rPr>
        <w:t>within the </w:t>
      </w:r>
      <w:r>
        <w:rPr>
          <w:i/>
          <w:sz w:val="24"/>
        </w:rPr>
        <w:t>metering data services database</w:t>
      </w:r>
      <w:r>
        <w:rPr>
          <w:sz w:val="24"/>
        </w:rPr>
        <w:t>:</w:t>
      </w:r>
    </w:p>
    <w:p>
      <w:pPr>
        <w:pStyle w:val="ListParagraph"/>
        <w:numPr>
          <w:ilvl w:val="1"/>
          <w:numId w:val="586"/>
        </w:numPr>
        <w:tabs>
          <w:tab w:pos="2485" w:val="left" w:leader="none"/>
          <w:tab w:pos="2486" w:val="left" w:leader="none"/>
        </w:tabs>
        <w:spacing w:line="240" w:lineRule="auto" w:before="120" w:after="0"/>
        <w:ind w:left="2485" w:right="0" w:hanging="567"/>
        <w:jc w:val="left"/>
        <w:rPr>
          <w:i/>
          <w:sz w:val="24"/>
        </w:rPr>
      </w:pPr>
      <w:r>
        <w:rPr>
          <w:sz w:val="24"/>
        </w:rPr>
        <w:t>a</w:t>
      </w:r>
      <w:r>
        <w:rPr>
          <w:spacing w:val="14"/>
          <w:sz w:val="24"/>
        </w:rPr>
        <w:t> </w:t>
      </w:r>
      <w:r>
        <w:rPr>
          <w:sz w:val="24"/>
        </w:rPr>
        <w:t>check</w:t>
      </w:r>
      <w:r>
        <w:rPr>
          <w:spacing w:val="14"/>
          <w:sz w:val="24"/>
        </w:rPr>
        <w:t> </w:t>
      </w:r>
      <w:r>
        <w:rPr>
          <w:sz w:val="24"/>
        </w:rPr>
        <w:t>against</w:t>
      </w:r>
      <w:r>
        <w:rPr>
          <w:spacing w:val="15"/>
          <w:sz w:val="24"/>
        </w:rPr>
        <w:t> </w:t>
      </w:r>
      <w:r>
        <w:rPr>
          <w:sz w:val="24"/>
        </w:rPr>
        <w:t>a</w:t>
      </w:r>
      <w:r>
        <w:rPr>
          <w:spacing w:val="14"/>
          <w:sz w:val="24"/>
        </w:rPr>
        <w:t> </w:t>
      </w:r>
      <w:r>
        <w:rPr>
          <w:sz w:val="24"/>
        </w:rPr>
        <w:t>nominated</w:t>
      </w:r>
      <w:r>
        <w:rPr>
          <w:spacing w:val="15"/>
          <w:sz w:val="24"/>
        </w:rPr>
        <w:t> </w:t>
      </w:r>
      <w:r>
        <w:rPr>
          <w:sz w:val="24"/>
        </w:rPr>
        <w:t>maximum</w:t>
      </w:r>
      <w:r>
        <w:rPr>
          <w:spacing w:val="14"/>
          <w:sz w:val="24"/>
        </w:rPr>
        <w:t> </w:t>
      </w:r>
      <w:r>
        <w:rPr>
          <w:i/>
          <w:sz w:val="24"/>
        </w:rPr>
        <w:t>calculated</w:t>
      </w:r>
      <w:r>
        <w:rPr>
          <w:i/>
          <w:spacing w:val="15"/>
          <w:sz w:val="24"/>
        </w:rPr>
        <w:t> </w:t>
      </w:r>
      <w:r>
        <w:rPr>
          <w:i/>
          <w:sz w:val="24"/>
        </w:rPr>
        <w:t>metering</w:t>
      </w:r>
      <w:r>
        <w:rPr>
          <w:i/>
          <w:spacing w:val="14"/>
          <w:sz w:val="24"/>
        </w:rPr>
        <w:t> </w:t>
      </w:r>
      <w:r>
        <w:rPr>
          <w:i/>
          <w:sz w:val="24"/>
        </w:rPr>
        <w:t>data</w:t>
      </w:r>
    </w:p>
    <w:p>
      <w:pPr>
        <w:pStyle w:val="BodyText"/>
        <w:spacing w:before="0"/>
        <w:ind w:left="2486" w:firstLine="0"/>
        <w:jc w:val="left"/>
      </w:pPr>
      <w:r>
        <w:rPr/>
        <w:t>value;</w:t>
      </w:r>
    </w:p>
    <w:p>
      <w:pPr>
        <w:pStyle w:val="ListParagraph"/>
        <w:numPr>
          <w:ilvl w:val="1"/>
          <w:numId w:val="586"/>
        </w:numPr>
        <w:tabs>
          <w:tab w:pos="2485" w:val="left" w:leader="none"/>
          <w:tab w:pos="2486" w:val="left" w:leader="none"/>
        </w:tabs>
        <w:spacing w:line="240" w:lineRule="auto" w:before="120" w:after="0"/>
        <w:ind w:left="2485" w:right="0" w:hanging="567"/>
        <w:jc w:val="left"/>
        <w:rPr>
          <w:sz w:val="24"/>
        </w:rPr>
      </w:pPr>
      <w:r>
        <w:rPr>
          <w:sz w:val="24"/>
        </w:rPr>
        <w:t>for subparagraph (1), </w:t>
      </w:r>
      <w:r>
        <w:rPr>
          <w:i/>
          <w:sz w:val="24"/>
        </w:rPr>
        <w:t>calculated metering data </w:t>
      </w:r>
      <w:r>
        <w:rPr>
          <w:sz w:val="24"/>
        </w:rPr>
        <w:t>value is numeric and</w:t>
      </w:r>
      <w:r>
        <w:rPr>
          <w:spacing w:val="48"/>
          <w:sz w:val="24"/>
        </w:rPr>
        <w:t> </w:t>
      </w:r>
      <w:r>
        <w:rPr>
          <w:sz w:val="24"/>
        </w:rPr>
        <w:t>≥</w:t>
      </w:r>
    </w:p>
    <w:p>
      <w:pPr>
        <w:pStyle w:val="BodyText"/>
        <w:spacing w:before="0"/>
        <w:ind w:left="2486" w:firstLine="0"/>
        <w:jc w:val="left"/>
      </w:pPr>
      <w:r>
        <w:rPr/>
        <w:t>0;</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for null (no values) </w:t>
      </w:r>
      <w:r>
        <w:rPr>
          <w:i/>
          <w:sz w:val="24"/>
        </w:rPr>
        <w:t>calculated metering data </w:t>
      </w:r>
      <w:r>
        <w:rPr>
          <w:sz w:val="24"/>
        </w:rPr>
        <w:t>for all </w:t>
      </w:r>
      <w:r>
        <w:rPr>
          <w:i/>
          <w:sz w:val="24"/>
        </w:rPr>
        <w:t>metering </w:t>
      </w:r>
      <w:r>
        <w:rPr>
          <w:sz w:val="24"/>
        </w:rPr>
        <w:t>data streams, and the aim of this check is to ensure that there is a 100%</w:t>
      </w:r>
      <w:r>
        <w:rPr>
          <w:i/>
          <w:sz w:val="24"/>
        </w:rPr>
        <w:t>calculated metering data </w:t>
      </w:r>
      <w:r>
        <w:rPr>
          <w:sz w:val="24"/>
        </w:rPr>
        <w:t>set (and substitution for any missing </w:t>
      </w:r>
      <w:r>
        <w:rPr>
          <w:i/>
          <w:sz w:val="24"/>
        </w:rPr>
        <w:t>calculated metering data </w:t>
      </w:r>
      <w:r>
        <w:rPr>
          <w:sz w:val="24"/>
        </w:rPr>
        <w:t>has been</w:t>
      </w:r>
      <w:r>
        <w:rPr>
          <w:spacing w:val="-3"/>
          <w:sz w:val="24"/>
        </w:rPr>
        <w:t> </w:t>
      </w:r>
      <w:r>
        <w:rPr>
          <w:sz w:val="24"/>
        </w:rPr>
        <w:t>undertaken);</w:t>
      </w:r>
    </w:p>
    <w:p>
      <w:pPr>
        <w:pStyle w:val="ListParagraph"/>
        <w:numPr>
          <w:ilvl w:val="1"/>
          <w:numId w:val="586"/>
        </w:numPr>
        <w:tabs>
          <w:tab w:pos="2486" w:val="left" w:leader="none"/>
        </w:tabs>
        <w:spacing w:line="240" w:lineRule="auto" w:before="120" w:after="0"/>
        <w:ind w:left="2486" w:right="414" w:hanging="567"/>
        <w:jc w:val="both"/>
        <w:rPr>
          <w:sz w:val="24"/>
        </w:rPr>
      </w:pPr>
      <w:r>
        <w:rPr>
          <w:sz w:val="24"/>
        </w:rPr>
        <w:t>a check of the inventory tables, load tables and on/off tables using a process approved by the </w:t>
      </w:r>
      <w:r>
        <w:rPr>
          <w:i/>
          <w:sz w:val="24"/>
        </w:rPr>
        <w:t>Metering Coordinator </w:t>
      </w:r>
      <w:r>
        <w:rPr>
          <w:sz w:val="24"/>
        </w:rPr>
        <w:t>to ensure that the correct version of these tables is being used for the production of </w:t>
      </w:r>
      <w:r>
        <w:rPr>
          <w:i/>
          <w:sz w:val="24"/>
        </w:rPr>
        <w:t>calculated metering</w:t>
      </w:r>
      <w:r>
        <w:rPr>
          <w:i/>
          <w:spacing w:val="-2"/>
          <w:sz w:val="24"/>
        </w:rPr>
        <w:t> </w:t>
      </w:r>
      <w:r>
        <w:rPr>
          <w:i/>
          <w:sz w:val="24"/>
        </w:rPr>
        <w:t>data</w:t>
      </w:r>
      <w:r>
        <w:rPr>
          <w:sz w:val="24"/>
        </w:rPr>
        <w:t>;</w:t>
      </w:r>
    </w:p>
    <w:p>
      <w:pPr>
        <w:pStyle w:val="ListParagraph"/>
        <w:numPr>
          <w:ilvl w:val="1"/>
          <w:numId w:val="586"/>
        </w:numPr>
        <w:tabs>
          <w:tab w:pos="2486" w:val="left" w:leader="none"/>
        </w:tabs>
        <w:spacing w:line="240" w:lineRule="auto" w:before="120" w:after="0"/>
        <w:ind w:left="2486" w:right="415" w:hanging="567"/>
        <w:jc w:val="both"/>
        <w:rPr>
          <w:sz w:val="24"/>
        </w:rPr>
      </w:pPr>
      <w:r>
        <w:rPr>
          <w:sz w:val="24"/>
        </w:rPr>
        <w:t>a check against a nominated minimum value, or alternatively, a 'zero' check that tests for an acceptable number of zero Interval values </w:t>
      </w:r>
      <w:r>
        <w:rPr>
          <w:spacing w:val="-4"/>
          <w:sz w:val="24"/>
        </w:rPr>
        <w:t>per </w:t>
      </w:r>
      <w:r>
        <w:rPr>
          <w:sz w:val="24"/>
        </w:rPr>
        <w:t>day;</w:t>
      </w:r>
    </w:p>
    <w:p>
      <w:pPr>
        <w:pStyle w:val="ListParagraph"/>
        <w:numPr>
          <w:ilvl w:val="1"/>
          <w:numId w:val="586"/>
        </w:numPr>
        <w:tabs>
          <w:tab w:pos="2486" w:val="left" w:leader="none"/>
        </w:tabs>
        <w:spacing w:line="240" w:lineRule="auto" w:before="120" w:after="0"/>
        <w:ind w:left="2485" w:right="0" w:hanging="567"/>
        <w:jc w:val="both"/>
        <w:rPr>
          <w:i/>
          <w:sz w:val="24"/>
        </w:rPr>
      </w:pPr>
      <w:r>
        <w:rPr>
          <w:i/>
          <w:sz w:val="24"/>
        </w:rPr>
        <w:t>calculated</w:t>
      </w:r>
      <w:r>
        <w:rPr>
          <w:i/>
          <w:spacing w:val="48"/>
          <w:sz w:val="24"/>
        </w:rPr>
        <w:t> </w:t>
      </w:r>
      <w:r>
        <w:rPr>
          <w:i/>
          <w:sz w:val="24"/>
        </w:rPr>
        <w:t>metering</w:t>
      </w:r>
      <w:r>
        <w:rPr>
          <w:i/>
          <w:spacing w:val="49"/>
          <w:sz w:val="24"/>
        </w:rPr>
        <w:t> </w:t>
      </w:r>
      <w:r>
        <w:rPr>
          <w:i/>
          <w:sz w:val="24"/>
        </w:rPr>
        <w:t>data</w:t>
      </w:r>
      <w:r>
        <w:rPr>
          <w:i/>
          <w:spacing w:val="49"/>
          <w:sz w:val="24"/>
        </w:rPr>
        <w:t> </w:t>
      </w:r>
      <w:r>
        <w:rPr>
          <w:sz w:val="24"/>
        </w:rPr>
        <w:t>date</w:t>
      </w:r>
      <w:r>
        <w:rPr>
          <w:spacing w:val="48"/>
          <w:sz w:val="24"/>
        </w:rPr>
        <w:t> </w:t>
      </w:r>
      <w:r>
        <w:rPr>
          <w:sz w:val="24"/>
        </w:rPr>
        <w:t>&gt;</w:t>
      </w:r>
      <w:r>
        <w:rPr>
          <w:spacing w:val="49"/>
          <w:sz w:val="24"/>
        </w:rPr>
        <w:t> </w:t>
      </w:r>
      <w:r>
        <w:rPr>
          <w:sz w:val="24"/>
        </w:rPr>
        <w:t>previous</w:t>
      </w:r>
      <w:r>
        <w:rPr>
          <w:spacing w:val="49"/>
          <w:sz w:val="24"/>
        </w:rPr>
        <w:t> </w:t>
      </w:r>
      <w:r>
        <w:rPr>
          <w:i/>
          <w:sz w:val="24"/>
        </w:rPr>
        <w:t>calculated</w:t>
      </w:r>
      <w:r>
        <w:rPr>
          <w:i/>
          <w:spacing w:val="48"/>
          <w:sz w:val="24"/>
        </w:rPr>
        <w:t> </w:t>
      </w:r>
      <w:r>
        <w:rPr>
          <w:i/>
          <w:sz w:val="24"/>
        </w:rPr>
        <w:t>metering</w:t>
      </w:r>
      <w:r>
        <w:rPr>
          <w:i/>
          <w:spacing w:val="49"/>
          <w:sz w:val="24"/>
        </w:rPr>
        <w:t> </w:t>
      </w:r>
      <w:r>
        <w:rPr>
          <w:i/>
          <w:sz w:val="24"/>
        </w:rPr>
        <w:t>data</w:t>
      </w:r>
    </w:p>
    <w:p>
      <w:pPr>
        <w:pStyle w:val="BodyText"/>
        <w:spacing w:before="0"/>
        <w:ind w:left="2486" w:firstLine="0"/>
        <w:jc w:val="left"/>
      </w:pPr>
      <w:r>
        <w:rPr/>
        <w:t>date.</w:t>
      </w:r>
    </w:p>
    <w:p>
      <w:pPr>
        <w:pStyle w:val="BodyText"/>
        <w:spacing w:before="10"/>
        <w:ind w:firstLine="0"/>
        <w:jc w:val="left"/>
        <w:rPr>
          <w:sz w:val="20"/>
        </w:rPr>
      </w:pPr>
    </w:p>
    <w:p>
      <w:pPr>
        <w:pStyle w:val="Heading4"/>
        <w:ind w:left="218" w:firstLine="0"/>
      </w:pPr>
      <w:bookmarkStart w:name="S7A.7.14 Determination of metering data " w:id="2056"/>
      <w:bookmarkEnd w:id="2056"/>
      <w:r>
        <w:rPr>
          <w:b w:val="0"/>
        </w:rPr>
      </w:r>
      <w:bookmarkStart w:name="_bookmark852" w:id="2057"/>
      <w:bookmarkEnd w:id="2057"/>
      <w:r>
        <w:rPr>
          <w:b w:val="0"/>
        </w:rPr>
      </w:r>
      <w:r>
        <w:rPr/>
        <w:t>S7A.7.14 Determination of metering data for unmetered loads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Obligations for determination of </w:t>
      </w:r>
      <w:r>
        <w:rPr>
          <w:i/>
          <w:sz w:val="20"/>
        </w:rPr>
        <w:t>metering data </w:t>
      </w:r>
      <w:r>
        <w:rPr>
          <w:sz w:val="20"/>
        </w:rPr>
        <w:t>for unmetered load, including requirements and methodologies for calculating </w:t>
      </w:r>
      <w:r>
        <w:rPr>
          <w:i/>
          <w:sz w:val="20"/>
        </w:rPr>
        <w:t>metering data </w:t>
      </w:r>
      <w:r>
        <w:rPr>
          <w:sz w:val="20"/>
        </w:rPr>
        <w:t>and associated responsibilities, will be considered in the event of a type 7 </w:t>
      </w:r>
      <w:r>
        <w:rPr>
          <w:i/>
          <w:sz w:val="20"/>
        </w:rPr>
        <w:t>metering installation </w:t>
      </w:r>
      <w:r>
        <w:rPr>
          <w:sz w:val="20"/>
        </w:rPr>
        <w:t>being available in this jurisdiction and after a 12 month transitional period allowing all participants to achieve compliance.</w:t>
      </w:r>
    </w:p>
    <w:p>
      <w:pPr>
        <w:pStyle w:val="BodyText"/>
        <w:spacing w:before="10"/>
        <w:ind w:firstLine="0"/>
        <w:jc w:val="left"/>
        <w:rPr>
          <w:sz w:val="20"/>
        </w:rPr>
      </w:pPr>
    </w:p>
    <w:p>
      <w:pPr>
        <w:pStyle w:val="Heading4"/>
        <w:tabs>
          <w:tab w:pos="1440" w:val="left" w:leader="none"/>
        </w:tabs>
        <w:ind w:left="0" w:right="6628" w:firstLine="0"/>
        <w:jc w:val="center"/>
      </w:pPr>
      <w:bookmarkStart w:name="S7A.7.14.1 Load table" w:id="2058"/>
      <w:bookmarkEnd w:id="2058"/>
      <w:r>
        <w:rPr>
          <w:b w:val="0"/>
        </w:rPr>
      </w:r>
      <w:bookmarkStart w:name="_bookmark853" w:id="2059"/>
      <w:bookmarkEnd w:id="2059"/>
      <w:r>
        <w:rPr>
          <w:b w:val="0"/>
        </w:rPr>
      </w:r>
      <w:r>
        <w:rPr/>
        <w:t>S7A.7.14.1</w:t>
        <w:tab/>
        <w:t>Load</w:t>
      </w:r>
      <w:r>
        <w:rPr>
          <w:spacing w:val="-1"/>
        </w:rPr>
        <w:t> </w:t>
      </w:r>
      <w:r>
        <w:rPr/>
        <w:t>table</w:t>
      </w:r>
    </w:p>
    <w:p>
      <w:pPr>
        <w:spacing w:before="120"/>
        <w:ind w:left="31" w:right="6587" w:firstLine="0"/>
        <w:jc w:val="center"/>
        <w:rPr>
          <w:rFonts w:ascii="Arial"/>
          <w:b/>
          <w:sz w:val="20"/>
        </w:rPr>
      </w:pPr>
      <w:r>
        <w:rPr>
          <w:rFonts w:ascii="Arial"/>
          <w:b/>
          <w:sz w:val="20"/>
        </w:rPr>
        <w:t>Note</w:t>
      </w:r>
    </w:p>
    <w:p>
      <w:pPr>
        <w:spacing w:before="120"/>
        <w:ind w:left="1352" w:right="415" w:firstLine="0"/>
        <w:jc w:val="both"/>
        <w:rPr>
          <w:sz w:val="20"/>
        </w:rPr>
      </w:pPr>
      <w:r>
        <w:rPr>
          <w:sz w:val="20"/>
        </w:rPr>
        <w:t>Responsibility for developing, maintaining and </w:t>
      </w:r>
      <w:r>
        <w:rPr>
          <w:i/>
          <w:sz w:val="20"/>
        </w:rPr>
        <w:t>publishing </w:t>
      </w:r>
      <w:r>
        <w:rPr>
          <w:sz w:val="20"/>
        </w:rPr>
        <w:t>the load table will be considered in the event of a type 7 </w:t>
      </w:r>
      <w:r>
        <w:rPr>
          <w:i/>
          <w:sz w:val="20"/>
        </w:rPr>
        <w:t>metering installation </w:t>
      </w:r>
      <w:r>
        <w:rPr>
          <w:sz w:val="20"/>
        </w:rPr>
        <w:t>being available in this jurisdiction and after a 12 month transitional period allowing all participants to achieve compliance.</w:t>
      </w:r>
    </w:p>
    <w:p>
      <w:pPr>
        <w:pStyle w:val="ListParagraph"/>
        <w:numPr>
          <w:ilvl w:val="0"/>
          <w:numId w:val="587"/>
        </w:numPr>
        <w:tabs>
          <w:tab w:pos="1919" w:val="left" w:leader="none"/>
        </w:tabs>
        <w:spacing w:line="240" w:lineRule="auto" w:before="120" w:after="0"/>
        <w:ind w:left="1918" w:right="0" w:hanging="567"/>
        <w:jc w:val="both"/>
        <w:rPr>
          <w:sz w:val="24"/>
        </w:rPr>
      </w:pPr>
      <w:r>
        <w:rPr>
          <w:sz w:val="24"/>
        </w:rPr>
        <w:t>The load table must set</w:t>
      </w:r>
      <w:r>
        <w:rPr>
          <w:spacing w:val="-2"/>
          <w:sz w:val="24"/>
        </w:rPr>
        <w:t> </w:t>
      </w:r>
      <w:r>
        <w:rPr>
          <w:sz w:val="24"/>
        </w:rPr>
        <w:t>out:</w:t>
      </w:r>
    </w:p>
    <w:p>
      <w:pPr>
        <w:pStyle w:val="ListParagraph"/>
        <w:numPr>
          <w:ilvl w:val="1"/>
          <w:numId w:val="587"/>
        </w:numPr>
        <w:tabs>
          <w:tab w:pos="2486" w:val="left" w:leader="none"/>
        </w:tabs>
        <w:spacing w:line="240" w:lineRule="auto" w:before="120" w:after="0"/>
        <w:ind w:left="2486" w:right="415" w:hanging="567"/>
        <w:jc w:val="both"/>
        <w:rPr>
          <w:sz w:val="24"/>
        </w:rPr>
      </w:pPr>
      <w:r>
        <w:rPr>
          <w:sz w:val="24"/>
        </w:rPr>
        <w:t>for each controlled unmetered device, its </w:t>
      </w:r>
      <w:r>
        <w:rPr>
          <w:i/>
          <w:sz w:val="24"/>
        </w:rPr>
        <w:t>load</w:t>
      </w:r>
      <w:r>
        <w:rPr>
          <w:sz w:val="24"/>
        </w:rPr>
        <w:t>(which includes</w:t>
      </w:r>
      <w:r>
        <w:rPr>
          <w:spacing w:val="34"/>
          <w:sz w:val="24"/>
        </w:rPr>
        <w:t> </w:t>
      </w:r>
      <w:r>
        <w:rPr>
          <w:sz w:val="24"/>
        </w:rPr>
        <w:t>any associated control gear, in watts) for use in calculating </w:t>
      </w:r>
      <w:r>
        <w:rPr>
          <w:i/>
          <w:sz w:val="24"/>
        </w:rPr>
        <w:t>interval </w:t>
      </w:r>
      <w:r>
        <w:rPr>
          <w:i/>
          <w:sz w:val="24"/>
        </w:rPr>
        <w:t>metering data </w:t>
      </w:r>
      <w:r>
        <w:rPr>
          <w:sz w:val="24"/>
        </w:rPr>
        <w:t>in accordance with clause S7A.7.14.2;</w:t>
      </w:r>
      <w:r>
        <w:rPr>
          <w:spacing w:val="-8"/>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587"/>
        </w:numPr>
        <w:tabs>
          <w:tab w:pos="2486" w:val="left" w:leader="none"/>
        </w:tabs>
        <w:spacing w:line="240" w:lineRule="auto" w:before="83" w:after="0"/>
        <w:ind w:left="2486" w:right="414" w:hanging="567"/>
        <w:jc w:val="both"/>
        <w:rPr>
          <w:sz w:val="24"/>
        </w:rPr>
      </w:pPr>
      <w:r>
        <w:rPr>
          <w:sz w:val="24"/>
        </w:rPr>
        <w:t>for each uncontrolled unmetered device, its annual </w:t>
      </w:r>
      <w:r>
        <w:rPr>
          <w:i/>
          <w:sz w:val="24"/>
        </w:rPr>
        <w:t>energy </w:t>
      </w:r>
      <w:r>
        <w:rPr>
          <w:sz w:val="24"/>
        </w:rPr>
        <w:t>consumption in accordance with clause S7A.7.14.3. The annual </w:t>
      </w:r>
      <w:r>
        <w:rPr>
          <w:i/>
          <w:sz w:val="24"/>
        </w:rPr>
        <w:t>energy </w:t>
      </w:r>
      <w:r>
        <w:rPr>
          <w:sz w:val="24"/>
        </w:rPr>
        <w:t>consumption is used to calculate the calculated device wattage (in watts) which is used to calculate the </w:t>
      </w:r>
      <w:r>
        <w:rPr>
          <w:i/>
          <w:sz w:val="24"/>
        </w:rPr>
        <w:t>interval metering data </w:t>
      </w:r>
      <w:r>
        <w:rPr>
          <w:sz w:val="24"/>
        </w:rPr>
        <w:t>for each device type as</w:t>
      </w:r>
      <w:r>
        <w:rPr>
          <w:spacing w:val="-1"/>
          <w:sz w:val="24"/>
        </w:rPr>
        <w:t> </w:t>
      </w:r>
      <w:r>
        <w:rPr>
          <w:sz w:val="24"/>
        </w:rPr>
        <w:t>follows:</w:t>
      </w:r>
    </w:p>
    <w:p>
      <w:pPr>
        <w:pStyle w:val="BodyText"/>
        <w:spacing w:before="4"/>
        <w:ind w:firstLine="0"/>
        <w:jc w:val="left"/>
        <w:rPr>
          <w:sz w:val="13"/>
        </w:rPr>
      </w:pPr>
      <w:r>
        <w:rPr/>
        <w:drawing>
          <wp:anchor distT="0" distB="0" distL="0" distR="0" allowOverlap="1" layoutInCell="1" locked="0" behindDoc="0" simplePos="0" relativeHeight="58">
            <wp:simplePos x="0" y="0"/>
            <wp:positionH relativeFrom="page">
              <wp:posOffset>2340610</wp:posOffset>
            </wp:positionH>
            <wp:positionV relativeFrom="paragraph">
              <wp:posOffset>122690</wp:posOffset>
            </wp:positionV>
            <wp:extent cx="3136593" cy="301751"/>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17" cstate="print"/>
                    <a:stretch>
                      <a:fillRect/>
                    </a:stretch>
                  </pic:blipFill>
                  <pic:spPr>
                    <a:xfrm>
                      <a:off x="0" y="0"/>
                      <a:ext cx="3136593" cy="301751"/>
                    </a:xfrm>
                    <a:prstGeom prst="rect">
                      <a:avLst/>
                    </a:prstGeom>
                  </pic:spPr>
                </pic:pic>
              </a:graphicData>
            </a:graphic>
          </wp:anchor>
        </w:drawing>
      </w:r>
    </w:p>
    <w:p>
      <w:pPr>
        <w:pStyle w:val="BodyText"/>
        <w:spacing w:before="158"/>
        <w:ind w:left="2486" w:firstLine="0"/>
      </w:pPr>
      <w:r>
        <w:rPr/>
        <w:t>Where </w:t>
      </w:r>
      <w:r>
        <w:rPr>
          <w:i/>
        </w:rPr>
        <w:t>i </w:t>
      </w:r>
      <w:r>
        <w:rPr/>
        <w:t>= Uncontrolled unmetered device type </w:t>
      </w:r>
      <w:r>
        <w:rPr>
          <w:i/>
        </w:rPr>
        <w:t>i</w:t>
      </w:r>
      <w:r>
        <w:rPr/>
        <w:t>.</w:t>
      </w:r>
    </w:p>
    <w:p>
      <w:pPr>
        <w:pStyle w:val="ListParagraph"/>
        <w:numPr>
          <w:ilvl w:val="0"/>
          <w:numId w:val="587"/>
        </w:numPr>
        <w:tabs>
          <w:tab w:pos="1919" w:val="left" w:leader="none"/>
        </w:tabs>
        <w:spacing w:line="240" w:lineRule="auto" w:before="120" w:after="0"/>
        <w:ind w:left="1919" w:right="414" w:hanging="567"/>
        <w:jc w:val="both"/>
        <w:rPr>
          <w:sz w:val="24"/>
        </w:rPr>
      </w:pPr>
      <w:r>
        <w:rPr>
          <w:sz w:val="24"/>
        </w:rPr>
        <w:t>Proposals to add a new unmetered device </w:t>
      </w:r>
      <w:r>
        <w:rPr>
          <w:i/>
          <w:sz w:val="24"/>
        </w:rPr>
        <w:t>load </w:t>
      </w:r>
      <w:r>
        <w:rPr>
          <w:sz w:val="24"/>
        </w:rPr>
        <w:t>to the load table must include load measurement tests conducted by a </w:t>
      </w:r>
      <w:r>
        <w:rPr>
          <w:i/>
          <w:sz w:val="24"/>
        </w:rPr>
        <w:t>NATA </w:t>
      </w:r>
      <w:r>
        <w:rPr>
          <w:sz w:val="24"/>
        </w:rPr>
        <w:t>accredited laboratory or an overseas</w:t>
      </w:r>
      <w:r>
        <w:rPr>
          <w:spacing w:val="-1"/>
          <w:sz w:val="24"/>
        </w:rPr>
        <w:t> </w:t>
      </w:r>
      <w:r>
        <w:rPr>
          <w:sz w:val="24"/>
        </w:rPr>
        <w:t>equivalent.</w:t>
      </w:r>
    </w:p>
    <w:p>
      <w:pPr>
        <w:pStyle w:val="ListParagraph"/>
        <w:numPr>
          <w:ilvl w:val="0"/>
          <w:numId w:val="587"/>
        </w:numPr>
        <w:tabs>
          <w:tab w:pos="1919" w:val="left" w:leader="none"/>
        </w:tabs>
        <w:spacing w:line="240" w:lineRule="auto" w:before="120" w:after="0"/>
        <w:ind w:left="1919" w:right="415" w:hanging="567"/>
        <w:jc w:val="both"/>
        <w:rPr>
          <w:sz w:val="24"/>
        </w:rPr>
      </w:pPr>
      <w:r>
        <w:rPr>
          <w:sz w:val="24"/>
        </w:rPr>
        <w:t>Agreement for an unmetered device </w:t>
      </w:r>
      <w:r>
        <w:rPr>
          <w:i/>
          <w:sz w:val="24"/>
        </w:rPr>
        <w:t>load </w:t>
      </w:r>
      <w:r>
        <w:rPr>
          <w:sz w:val="24"/>
        </w:rPr>
        <w:t>to be added to the load table does not replace any obligation for an interested party to obtain appropriate approvals related to the performance and acceptance of use of the unmetered device.</w:t>
      </w:r>
    </w:p>
    <w:p>
      <w:pPr>
        <w:pStyle w:val="BodyText"/>
        <w:spacing w:before="10"/>
        <w:ind w:firstLine="0"/>
        <w:jc w:val="left"/>
        <w:rPr>
          <w:sz w:val="20"/>
        </w:rPr>
      </w:pPr>
    </w:p>
    <w:p>
      <w:pPr>
        <w:pStyle w:val="Heading4"/>
        <w:tabs>
          <w:tab w:pos="1440" w:val="left" w:leader="none"/>
        </w:tabs>
        <w:ind w:left="0" w:right="4388" w:firstLine="0"/>
        <w:jc w:val="center"/>
      </w:pPr>
      <w:bookmarkStart w:name="S7A.7.14.2 Controlled unmetered devices" w:id="2060"/>
      <w:bookmarkEnd w:id="2060"/>
      <w:r>
        <w:rPr>
          <w:b w:val="0"/>
        </w:rPr>
      </w:r>
      <w:bookmarkStart w:name="_bookmark854" w:id="2061"/>
      <w:bookmarkEnd w:id="2061"/>
      <w:r>
        <w:rPr>
          <w:b w:val="0"/>
        </w:rPr>
      </w:r>
      <w:r>
        <w:rPr/>
        <w:t>S7A.7.14.2</w:t>
        <w:tab/>
        <w:t>Controlled unmetered</w:t>
      </w:r>
      <w:r>
        <w:rPr>
          <w:spacing w:val="-8"/>
        </w:rPr>
        <w:t> </w:t>
      </w:r>
      <w:r>
        <w:rPr/>
        <w:t>devices</w:t>
      </w:r>
    </w:p>
    <w:p>
      <w:pPr>
        <w:spacing w:before="220"/>
        <w:ind w:left="880" w:right="5232" w:firstLine="0"/>
        <w:jc w:val="center"/>
        <w:rPr>
          <w:rFonts w:ascii="Arial"/>
          <w:b/>
          <w:sz w:val="22"/>
        </w:rPr>
      </w:pPr>
      <w:r>
        <w:rPr>
          <w:rFonts w:ascii="Arial"/>
          <w:b/>
          <w:sz w:val="22"/>
        </w:rPr>
        <w:t>Metering data calculation</w:t>
      </w:r>
    </w:p>
    <w:p>
      <w:pPr>
        <w:pStyle w:val="ListParagraph"/>
        <w:numPr>
          <w:ilvl w:val="0"/>
          <w:numId w:val="588"/>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the </w:t>
      </w:r>
      <w:r>
        <w:rPr>
          <w:i/>
          <w:sz w:val="24"/>
        </w:rPr>
        <w:t>interval metering data </w:t>
      </w:r>
      <w:r>
        <w:rPr>
          <w:sz w:val="24"/>
        </w:rPr>
        <w:t>for controlled unmetered devices classified as a type 7 </w:t>
      </w:r>
      <w:r>
        <w:rPr>
          <w:i/>
          <w:sz w:val="24"/>
        </w:rPr>
        <w:t>metering installation </w:t>
      </w:r>
      <w:r>
        <w:rPr>
          <w:sz w:val="24"/>
        </w:rPr>
        <w:t>are calculated in accordance with the following</w:t>
      </w:r>
      <w:r>
        <w:rPr>
          <w:spacing w:val="-1"/>
          <w:sz w:val="24"/>
        </w:rPr>
        <w:t> </w:t>
      </w:r>
      <w:r>
        <w:rPr>
          <w:sz w:val="24"/>
        </w:rPr>
        <w:t>algorithm:</w:t>
      </w:r>
    </w:p>
    <w:p>
      <w:pPr>
        <w:spacing w:before="120"/>
        <w:ind w:left="1919" w:right="0" w:firstLine="0"/>
        <w:jc w:val="both"/>
        <w:rPr>
          <w:sz w:val="24"/>
        </w:rPr>
      </w:pPr>
      <w:r>
        <w:rPr>
          <w:i/>
          <w:sz w:val="24"/>
        </w:rPr>
        <w:t>Interval metering data </w:t>
      </w:r>
      <w:r>
        <w:rPr>
          <w:sz w:val="24"/>
        </w:rPr>
        <w:t>for TIj for </w:t>
      </w:r>
      <w:r>
        <w:rPr>
          <w:i/>
          <w:sz w:val="24"/>
        </w:rPr>
        <w:t>NMI</w:t>
      </w:r>
      <w:r>
        <w:rPr>
          <w:sz w:val="24"/>
        </w:rPr>
        <w:t>(in watt hours) =</w:t>
      </w:r>
    </w:p>
    <w:p>
      <w:pPr>
        <w:pStyle w:val="BodyText"/>
        <w:spacing w:before="11"/>
        <w:ind w:firstLine="0"/>
        <w:jc w:val="left"/>
        <w:rPr>
          <w:sz w:val="8"/>
        </w:rPr>
      </w:pPr>
      <w:r>
        <w:rPr/>
        <w:drawing>
          <wp:anchor distT="0" distB="0" distL="0" distR="0" allowOverlap="1" layoutInCell="1" locked="0" behindDoc="0" simplePos="0" relativeHeight="59">
            <wp:simplePos x="0" y="0"/>
            <wp:positionH relativeFrom="page">
              <wp:posOffset>1620520</wp:posOffset>
            </wp:positionH>
            <wp:positionV relativeFrom="paragraph">
              <wp:posOffset>90315</wp:posOffset>
            </wp:positionV>
            <wp:extent cx="5098582" cy="246697"/>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18" cstate="print"/>
                    <a:stretch>
                      <a:fillRect/>
                    </a:stretch>
                  </pic:blipFill>
                  <pic:spPr>
                    <a:xfrm>
                      <a:off x="0" y="0"/>
                      <a:ext cx="5098582" cy="246697"/>
                    </a:xfrm>
                    <a:prstGeom prst="rect">
                      <a:avLst/>
                    </a:prstGeom>
                  </pic:spPr>
                </pic:pic>
              </a:graphicData>
            </a:graphic>
          </wp:anchor>
        </w:drawing>
      </w:r>
    </w:p>
    <w:p>
      <w:pPr>
        <w:pStyle w:val="Heading4"/>
        <w:spacing w:before="100"/>
        <w:ind w:left="1919" w:firstLine="0"/>
        <w:rPr>
          <w:rFonts w:ascii="Times New Roman"/>
        </w:rPr>
      </w:pPr>
      <w:r>
        <w:rPr>
          <w:rFonts w:ascii="Times New Roman"/>
        </w:rPr>
        <w:t>where:</w:t>
      </w:r>
    </w:p>
    <w:p>
      <w:pPr>
        <w:pStyle w:val="BodyText"/>
        <w:ind w:left="1919" w:firstLine="0"/>
        <w:jc w:val="left"/>
      </w:pPr>
      <w:r>
        <w:rPr>
          <w:i/>
        </w:rPr>
        <w:t>i </w:t>
      </w:r>
      <w:r>
        <w:rPr/>
        <w:t>= device type</w:t>
      </w:r>
    </w:p>
    <w:p>
      <w:pPr>
        <w:spacing w:before="120"/>
        <w:ind w:left="1919" w:right="0" w:firstLine="0"/>
        <w:jc w:val="left"/>
        <w:rPr>
          <w:sz w:val="24"/>
        </w:rPr>
      </w:pPr>
      <w:r>
        <w:rPr>
          <w:i/>
          <w:sz w:val="24"/>
        </w:rPr>
        <w:t>j </w:t>
      </w:r>
      <w:r>
        <w:rPr>
          <w:sz w:val="24"/>
        </w:rPr>
        <w:t>= TI</w:t>
      </w:r>
    </w:p>
    <w:p>
      <w:pPr>
        <w:pStyle w:val="BodyText"/>
        <w:spacing w:line="343" w:lineRule="auto"/>
        <w:ind w:left="1919" w:right="3130" w:firstLine="0"/>
        <w:jc w:val="left"/>
      </w:pPr>
      <w:r>
        <w:rPr>
          <w:i/>
        </w:rPr>
        <w:t>k </w:t>
      </w:r>
      <w:r>
        <w:rPr/>
        <w:t>= proportion of device attributable to that </w:t>
      </w:r>
      <w:r>
        <w:rPr>
          <w:i/>
        </w:rPr>
        <w:t>NMI </w:t>
      </w:r>
      <w:r>
        <w:rPr>
          <w:i/>
        </w:rPr>
        <w:t>TI </w:t>
      </w:r>
      <w:r>
        <w:rPr/>
        <w:t>is in minutes.</w:t>
      </w:r>
    </w:p>
    <w:p>
      <w:pPr>
        <w:pStyle w:val="BodyText"/>
        <w:spacing w:before="3"/>
        <w:ind w:left="1919" w:firstLine="0"/>
        <w:jc w:val="left"/>
      </w:pPr>
      <w:r>
        <w:rPr/>
        <w:t>Unmetered device wattage/device wattage is determined from the load table.</w:t>
      </w:r>
    </w:p>
    <w:p>
      <w:pPr>
        <w:pStyle w:val="BodyText"/>
        <w:ind w:left="1919" w:right="565" w:firstLine="0"/>
        <w:jc w:val="left"/>
      </w:pPr>
      <w:r>
        <w:rPr/>
        <w:t>Unmetered device count/device count is determined from the inventory table.</w:t>
      </w:r>
    </w:p>
    <w:p>
      <w:pPr>
        <w:pStyle w:val="BodyText"/>
        <w:ind w:left="1919" w:firstLine="0"/>
        <w:jc w:val="left"/>
      </w:pPr>
      <w:r>
        <w:rPr/>
        <w:t>Period load is switched on is determined from the on/off table.</w:t>
      </w:r>
    </w:p>
    <w:p>
      <w:pPr>
        <w:spacing w:before="220"/>
        <w:ind w:left="1356" w:right="0" w:firstLine="0"/>
        <w:jc w:val="left"/>
        <w:rPr>
          <w:rFonts w:ascii="Arial"/>
          <w:b/>
          <w:sz w:val="22"/>
        </w:rPr>
      </w:pPr>
      <w:r>
        <w:rPr>
          <w:rFonts w:ascii="Arial"/>
          <w:b/>
          <w:sz w:val="22"/>
        </w:rPr>
        <w:t>Inventory table</w:t>
      </w:r>
    </w:p>
    <w:p>
      <w:pPr>
        <w:pStyle w:val="ListParagraph"/>
        <w:numPr>
          <w:ilvl w:val="0"/>
          <w:numId w:val="588"/>
        </w:numPr>
        <w:tabs>
          <w:tab w:pos="1919" w:val="left" w:leader="none"/>
        </w:tabs>
        <w:spacing w:line="240" w:lineRule="auto" w:before="120" w:after="0"/>
        <w:ind w:left="1919" w:right="415" w:hanging="567"/>
        <w:jc w:val="both"/>
        <w:rPr>
          <w:sz w:val="24"/>
        </w:rPr>
      </w:pPr>
      <w:r>
        <w:rPr>
          <w:sz w:val="24"/>
        </w:rPr>
        <w:t>For each </w:t>
      </w:r>
      <w:r>
        <w:rPr>
          <w:i/>
          <w:sz w:val="24"/>
        </w:rPr>
        <w:t>NMI</w:t>
      </w:r>
      <w:r>
        <w:rPr>
          <w:sz w:val="24"/>
        </w:rPr>
        <w:t>, a separate inventory table is required that identifies each unmetered device type that forms part of the </w:t>
      </w:r>
      <w:r>
        <w:rPr>
          <w:i/>
          <w:sz w:val="24"/>
        </w:rPr>
        <w:t>load </w:t>
      </w:r>
      <w:r>
        <w:rPr>
          <w:sz w:val="24"/>
        </w:rPr>
        <w:t>and for each unmetered device type</w:t>
      </w:r>
      <w:r>
        <w:rPr>
          <w:spacing w:val="-1"/>
          <w:sz w:val="24"/>
        </w:rPr>
        <w:t> </w:t>
      </w:r>
      <w:r>
        <w:rPr>
          <w:sz w:val="24"/>
        </w:rPr>
        <w:t>lists:</w:t>
      </w:r>
    </w:p>
    <w:p>
      <w:pPr>
        <w:pStyle w:val="ListParagraph"/>
        <w:numPr>
          <w:ilvl w:val="1"/>
          <w:numId w:val="588"/>
        </w:numPr>
        <w:tabs>
          <w:tab w:pos="2486" w:val="left" w:leader="none"/>
        </w:tabs>
        <w:spacing w:line="240" w:lineRule="auto" w:before="120" w:after="0"/>
        <w:ind w:left="2485" w:right="0" w:hanging="567"/>
        <w:jc w:val="both"/>
        <w:rPr>
          <w:sz w:val="24"/>
        </w:rPr>
      </w:pPr>
      <w:r>
        <w:rPr>
          <w:sz w:val="24"/>
        </w:rPr>
        <w:t>the unmetered device</w:t>
      </w:r>
      <w:r>
        <w:rPr>
          <w:spacing w:val="-1"/>
          <w:sz w:val="24"/>
        </w:rPr>
        <w:t> </w:t>
      </w:r>
      <w:r>
        <w:rPr>
          <w:sz w:val="24"/>
        </w:rPr>
        <w:t>type;</w:t>
      </w:r>
    </w:p>
    <w:p>
      <w:pPr>
        <w:pStyle w:val="ListParagraph"/>
        <w:numPr>
          <w:ilvl w:val="1"/>
          <w:numId w:val="588"/>
        </w:numPr>
        <w:tabs>
          <w:tab w:pos="2486" w:val="left" w:leader="none"/>
        </w:tabs>
        <w:spacing w:line="240" w:lineRule="auto" w:before="120" w:after="0"/>
        <w:ind w:left="2486" w:right="415" w:hanging="567"/>
        <w:jc w:val="both"/>
        <w:rPr>
          <w:sz w:val="24"/>
        </w:rPr>
      </w:pPr>
      <w:r>
        <w:rPr>
          <w:sz w:val="24"/>
        </w:rPr>
        <w:t>the form of on/off control – photoelectric cell control, timer </w:t>
      </w:r>
      <w:r>
        <w:rPr>
          <w:spacing w:val="-3"/>
          <w:sz w:val="24"/>
        </w:rPr>
        <w:t>control, </w:t>
      </w:r>
      <w:r>
        <w:rPr>
          <w:sz w:val="24"/>
        </w:rPr>
        <w:t>ripple control or other</w:t>
      </w:r>
      <w:r>
        <w:rPr>
          <w:spacing w:val="-1"/>
          <w:sz w:val="24"/>
        </w:rPr>
        <w:t> </w:t>
      </w:r>
      <w:r>
        <w:rPr>
          <w:sz w:val="24"/>
        </w:rPr>
        <w:t>control;</w:t>
      </w:r>
    </w:p>
    <w:p>
      <w:pPr>
        <w:spacing w:after="0" w:line="240" w:lineRule="auto"/>
        <w:jc w:val="both"/>
        <w:rPr>
          <w:sz w:val="24"/>
        </w:rPr>
        <w:sectPr>
          <w:pgSz w:w="11910" w:h="16840"/>
          <w:pgMar w:header="686" w:footer="637" w:top="1320" w:bottom="820" w:left="1200" w:right="1000"/>
        </w:sectPr>
      </w:pPr>
    </w:p>
    <w:p>
      <w:pPr>
        <w:pStyle w:val="ListParagraph"/>
        <w:numPr>
          <w:ilvl w:val="1"/>
          <w:numId w:val="588"/>
        </w:numPr>
        <w:tabs>
          <w:tab w:pos="2486" w:val="left" w:leader="none"/>
        </w:tabs>
        <w:spacing w:line="240" w:lineRule="auto" w:before="83" w:after="0"/>
        <w:ind w:left="2486" w:right="414" w:hanging="567"/>
        <w:jc w:val="both"/>
        <w:rPr>
          <w:sz w:val="24"/>
        </w:rPr>
      </w:pPr>
      <w:r>
        <w:rPr>
          <w:sz w:val="24"/>
        </w:rPr>
        <w:t>if timer control or ripple control, the on/off times for the timer control or the ripple control</w:t>
      </w:r>
      <w:r>
        <w:rPr>
          <w:spacing w:val="-1"/>
          <w:sz w:val="24"/>
        </w:rPr>
        <w:t> </w:t>
      </w:r>
      <w:r>
        <w:rPr>
          <w:sz w:val="24"/>
        </w:rPr>
        <w:t>system;</w:t>
      </w:r>
    </w:p>
    <w:p>
      <w:pPr>
        <w:pStyle w:val="ListParagraph"/>
        <w:numPr>
          <w:ilvl w:val="1"/>
          <w:numId w:val="588"/>
        </w:numPr>
        <w:tabs>
          <w:tab w:pos="2486" w:val="left" w:leader="none"/>
        </w:tabs>
        <w:spacing w:line="240" w:lineRule="auto" w:before="120" w:after="0"/>
        <w:ind w:left="2485" w:right="0" w:hanging="567"/>
        <w:jc w:val="both"/>
        <w:rPr>
          <w:sz w:val="24"/>
        </w:rPr>
      </w:pPr>
      <w:r>
        <w:rPr>
          <w:sz w:val="24"/>
        </w:rPr>
        <w:t>if other control, the on/off</w:t>
      </w:r>
      <w:r>
        <w:rPr>
          <w:spacing w:val="-2"/>
          <w:sz w:val="24"/>
        </w:rPr>
        <w:t> </w:t>
      </w:r>
      <w:r>
        <w:rPr>
          <w:sz w:val="24"/>
        </w:rPr>
        <w:t>times;</w:t>
      </w:r>
    </w:p>
    <w:p>
      <w:pPr>
        <w:pStyle w:val="ListParagraph"/>
        <w:numPr>
          <w:ilvl w:val="1"/>
          <w:numId w:val="588"/>
        </w:numPr>
        <w:tabs>
          <w:tab w:pos="2486" w:val="left" w:leader="none"/>
        </w:tabs>
        <w:spacing w:line="240" w:lineRule="auto" w:before="120" w:after="0"/>
        <w:ind w:left="2486" w:right="414" w:hanging="567"/>
        <w:jc w:val="both"/>
        <w:rPr>
          <w:sz w:val="24"/>
        </w:rPr>
      </w:pPr>
      <w:r>
        <w:rPr>
          <w:sz w:val="24"/>
        </w:rPr>
        <w:t>if an unmetered device is shared with another </w:t>
      </w:r>
      <w:r>
        <w:rPr>
          <w:i/>
          <w:sz w:val="24"/>
        </w:rPr>
        <w:t>NMI</w:t>
      </w:r>
      <w:r>
        <w:rPr>
          <w:sz w:val="24"/>
        </w:rPr>
        <w:t>, the proportion of </w:t>
      </w:r>
      <w:r>
        <w:rPr>
          <w:i/>
          <w:sz w:val="24"/>
        </w:rPr>
        <w:t>load </w:t>
      </w:r>
      <w:r>
        <w:rPr>
          <w:sz w:val="24"/>
        </w:rPr>
        <w:t>that is agreed by affected </w:t>
      </w:r>
      <w:r>
        <w:rPr>
          <w:i/>
          <w:sz w:val="24"/>
        </w:rPr>
        <w:t>Registered Participants </w:t>
      </w:r>
      <w:r>
        <w:rPr>
          <w:sz w:val="24"/>
        </w:rPr>
        <w:t>to be attributable to that </w:t>
      </w:r>
      <w:r>
        <w:rPr>
          <w:i/>
          <w:sz w:val="24"/>
        </w:rPr>
        <w:t>NMI </w:t>
      </w:r>
      <w:r>
        <w:rPr>
          <w:sz w:val="24"/>
        </w:rPr>
        <w:t>(k), and each k factor will be less than 1 and the sum of the k factors for a shared unmetered device across each respective </w:t>
      </w:r>
      <w:r>
        <w:rPr>
          <w:i/>
          <w:sz w:val="24"/>
        </w:rPr>
        <w:t>NMI </w:t>
      </w:r>
      <w:r>
        <w:rPr>
          <w:sz w:val="24"/>
        </w:rPr>
        <w:t>must be equal to</w:t>
      </w:r>
      <w:r>
        <w:rPr>
          <w:spacing w:val="-2"/>
          <w:sz w:val="24"/>
        </w:rPr>
        <w:t> </w:t>
      </w:r>
      <w:r>
        <w:rPr>
          <w:sz w:val="24"/>
        </w:rPr>
        <w:t>1;</w:t>
      </w:r>
    </w:p>
    <w:p>
      <w:pPr>
        <w:pStyle w:val="ListParagraph"/>
        <w:numPr>
          <w:ilvl w:val="1"/>
          <w:numId w:val="588"/>
        </w:numPr>
        <w:tabs>
          <w:tab w:pos="2486" w:val="left" w:leader="none"/>
        </w:tabs>
        <w:spacing w:line="240" w:lineRule="auto" w:before="120" w:after="0"/>
        <w:ind w:left="2486" w:right="416" w:hanging="567"/>
        <w:jc w:val="both"/>
        <w:rPr>
          <w:sz w:val="24"/>
        </w:rPr>
      </w:pPr>
      <w:r>
        <w:rPr>
          <w:sz w:val="24"/>
        </w:rPr>
        <w:t>if an unmetered device is not shared with another </w:t>
      </w:r>
      <w:r>
        <w:rPr>
          <w:i/>
          <w:sz w:val="24"/>
        </w:rPr>
        <w:t>NMI</w:t>
      </w:r>
      <w:r>
        <w:rPr>
          <w:sz w:val="24"/>
        </w:rPr>
        <w:t>, the k factor must be equal to</w:t>
      </w:r>
      <w:r>
        <w:rPr>
          <w:spacing w:val="-1"/>
          <w:sz w:val="24"/>
        </w:rPr>
        <w:t> </w:t>
      </w:r>
      <w:r>
        <w:rPr>
          <w:sz w:val="24"/>
        </w:rPr>
        <w:t>1;</w:t>
      </w:r>
    </w:p>
    <w:p>
      <w:pPr>
        <w:pStyle w:val="ListParagraph"/>
        <w:numPr>
          <w:ilvl w:val="1"/>
          <w:numId w:val="588"/>
        </w:numPr>
        <w:tabs>
          <w:tab w:pos="2486" w:val="left" w:leader="none"/>
        </w:tabs>
        <w:spacing w:line="240" w:lineRule="auto" w:before="120" w:after="0"/>
        <w:ind w:left="2485" w:right="0" w:hanging="567"/>
        <w:jc w:val="both"/>
        <w:rPr>
          <w:sz w:val="24"/>
        </w:rPr>
      </w:pPr>
      <w:r>
        <w:rPr>
          <w:sz w:val="24"/>
        </w:rPr>
        <w:t>the number of such unmetered devices</w:t>
      </w:r>
      <w:r>
        <w:rPr>
          <w:spacing w:val="-2"/>
          <w:sz w:val="24"/>
        </w:rPr>
        <w:t> </w:t>
      </w:r>
      <w:r>
        <w:rPr>
          <w:sz w:val="24"/>
        </w:rPr>
        <w:t>installed;</w:t>
      </w:r>
    </w:p>
    <w:p>
      <w:pPr>
        <w:pStyle w:val="ListParagraph"/>
        <w:numPr>
          <w:ilvl w:val="1"/>
          <w:numId w:val="588"/>
        </w:numPr>
        <w:tabs>
          <w:tab w:pos="2486" w:val="left" w:leader="none"/>
        </w:tabs>
        <w:spacing w:line="240" w:lineRule="auto" w:before="120" w:after="0"/>
        <w:ind w:left="2486" w:right="416" w:hanging="567"/>
        <w:jc w:val="both"/>
        <w:rPr>
          <w:sz w:val="24"/>
        </w:rPr>
      </w:pPr>
      <w:r>
        <w:rPr>
          <w:sz w:val="24"/>
        </w:rPr>
        <w:t>the effective start date – the first day on which that record in the inventory table is to be included in the calculation of </w:t>
      </w:r>
      <w:r>
        <w:rPr>
          <w:i/>
          <w:sz w:val="24"/>
        </w:rPr>
        <w:t>metering data </w:t>
      </w:r>
      <w:r>
        <w:rPr>
          <w:sz w:val="24"/>
        </w:rPr>
        <w:t>for that</w:t>
      </w:r>
      <w:r>
        <w:rPr>
          <w:spacing w:val="-1"/>
          <w:sz w:val="24"/>
        </w:rPr>
        <w:t> </w:t>
      </w:r>
      <w:r>
        <w:rPr>
          <w:i/>
          <w:sz w:val="24"/>
        </w:rPr>
        <w:t>NMI</w:t>
      </w:r>
      <w:r>
        <w:rPr>
          <w:sz w:val="24"/>
        </w:rPr>
        <w:t>;</w:t>
      </w:r>
    </w:p>
    <w:p>
      <w:pPr>
        <w:pStyle w:val="ListParagraph"/>
        <w:numPr>
          <w:ilvl w:val="1"/>
          <w:numId w:val="588"/>
        </w:numPr>
        <w:tabs>
          <w:tab w:pos="2486" w:val="left" w:leader="none"/>
        </w:tabs>
        <w:spacing w:line="240" w:lineRule="auto" w:before="120" w:after="0"/>
        <w:ind w:left="2486" w:right="416" w:hanging="567"/>
        <w:jc w:val="both"/>
        <w:rPr>
          <w:sz w:val="24"/>
        </w:rPr>
      </w:pPr>
      <w:r>
        <w:rPr>
          <w:sz w:val="24"/>
        </w:rPr>
        <w:t>the effective end date – the last day on which that record in</w:t>
      </w:r>
      <w:r>
        <w:rPr>
          <w:spacing w:val="41"/>
          <w:sz w:val="24"/>
        </w:rPr>
        <w:t> </w:t>
      </w:r>
      <w:r>
        <w:rPr>
          <w:sz w:val="24"/>
        </w:rPr>
        <w:t>the inventory table is to be included in the calculation of </w:t>
      </w:r>
      <w:r>
        <w:rPr>
          <w:i/>
          <w:sz w:val="24"/>
        </w:rPr>
        <w:t>metering data </w:t>
      </w:r>
      <w:r>
        <w:rPr>
          <w:sz w:val="24"/>
        </w:rPr>
        <w:t>for that </w:t>
      </w:r>
      <w:r>
        <w:rPr>
          <w:i/>
          <w:sz w:val="24"/>
        </w:rPr>
        <w:t>NMI</w:t>
      </w:r>
      <w:r>
        <w:rPr>
          <w:sz w:val="24"/>
        </w:rPr>
        <w:t>;</w:t>
      </w:r>
      <w:r>
        <w:rPr>
          <w:spacing w:val="-2"/>
          <w:sz w:val="24"/>
        </w:rPr>
        <w:t> </w:t>
      </w:r>
      <w:r>
        <w:rPr>
          <w:sz w:val="24"/>
        </w:rPr>
        <w:t>and</w:t>
      </w:r>
    </w:p>
    <w:p>
      <w:pPr>
        <w:pStyle w:val="ListParagraph"/>
        <w:numPr>
          <w:ilvl w:val="1"/>
          <w:numId w:val="588"/>
        </w:numPr>
        <w:tabs>
          <w:tab w:pos="2486" w:val="left" w:leader="none"/>
        </w:tabs>
        <w:spacing w:line="240" w:lineRule="auto" w:before="120" w:after="0"/>
        <w:ind w:left="2486" w:right="414" w:hanging="567"/>
        <w:jc w:val="both"/>
        <w:rPr>
          <w:sz w:val="24"/>
        </w:rPr>
      </w:pPr>
      <w:r>
        <w:rPr>
          <w:sz w:val="24"/>
        </w:rPr>
        <w:t>the last change date – the date that record in the inventory table was most recently created or</w:t>
      </w:r>
      <w:r>
        <w:rPr>
          <w:spacing w:val="-1"/>
          <w:sz w:val="24"/>
        </w:rPr>
        <w:t> </w:t>
      </w:r>
      <w:r>
        <w:rPr>
          <w:sz w:val="24"/>
        </w:rPr>
        <w:t>modified.</w:t>
      </w:r>
    </w:p>
    <w:p>
      <w:pPr>
        <w:pStyle w:val="ListParagraph"/>
        <w:numPr>
          <w:ilvl w:val="0"/>
          <w:numId w:val="588"/>
        </w:numPr>
        <w:tabs>
          <w:tab w:pos="1919" w:val="left" w:leader="none"/>
        </w:tabs>
        <w:spacing w:line="240" w:lineRule="auto" w:before="120" w:after="0"/>
        <w:ind w:left="1919" w:right="414" w:hanging="567"/>
        <w:jc w:val="both"/>
        <w:rPr>
          <w:sz w:val="24"/>
        </w:rPr>
      </w:pPr>
      <w:r>
        <w:rPr>
          <w:sz w:val="24"/>
        </w:rPr>
        <w:t>Each unmetered device in the inventory table is a unique combination of physical hardware, time control classification and shared portion. For example, if an unmetered device is shared with another </w:t>
      </w:r>
      <w:r>
        <w:rPr>
          <w:i/>
          <w:sz w:val="24"/>
        </w:rPr>
        <w:t>NMI</w:t>
      </w:r>
      <w:r>
        <w:rPr>
          <w:sz w:val="24"/>
        </w:rPr>
        <w:t>, the individual portions of the unmetered device(s) must be included in the inventory table as a separate unmetered device type on each</w:t>
      </w:r>
      <w:r>
        <w:rPr>
          <w:spacing w:val="-3"/>
          <w:sz w:val="24"/>
        </w:rPr>
        <w:t> </w:t>
      </w:r>
      <w:r>
        <w:rPr>
          <w:i/>
          <w:sz w:val="24"/>
        </w:rPr>
        <w:t>NMI</w:t>
      </w:r>
      <w:r>
        <w:rPr>
          <w:sz w:val="24"/>
        </w:rPr>
        <w:t>.</w:t>
      </w:r>
    </w:p>
    <w:p>
      <w:pPr>
        <w:pStyle w:val="ListParagraph"/>
        <w:numPr>
          <w:ilvl w:val="0"/>
          <w:numId w:val="588"/>
        </w:numPr>
        <w:tabs>
          <w:tab w:pos="1919" w:val="left" w:leader="none"/>
        </w:tabs>
        <w:spacing w:line="240" w:lineRule="auto" w:before="120" w:after="0"/>
        <w:ind w:left="1919" w:right="414" w:hanging="567"/>
        <w:jc w:val="both"/>
        <w:rPr>
          <w:sz w:val="24"/>
        </w:rPr>
      </w:pPr>
      <w:r>
        <w:rPr>
          <w:sz w:val="24"/>
        </w:rPr>
        <w:t>Each </w:t>
      </w:r>
      <w:r>
        <w:rPr>
          <w:i/>
          <w:sz w:val="24"/>
        </w:rPr>
        <w:t>Metering Coordinator </w:t>
      </w:r>
      <w:r>
        <w:rPr>
          <w:sz w:val="24"/>
        </w:rPr>
        <w:t>must develop the initial inventory table for </w:t>
      </w:r>
      <w:r>
        <w:rPr>
          <w:spacing w:val="-6"/>
          <w:sz w:val="24"/>
        </w:rPr>
        <w:t>the </w:t>
      </w:r>
      <w:r>
        <w:rPr>
          <w:i/>
          <w:sz w:val="24"/>
        </w:rPr>
        <w:t>NMI </w:t>
      </w:r>
      <w:r>
        <w:rPr>
          <w:sz w:val="24"/>
        </w:rPr>
        <w:t>s for which it is responsible. The initial inventory table must be agreed by each affected </w:t>
      </w:r>
      <w:r>
        <w:rPr>
          <w:i/>
          <w:sz w:val="24"/>
        </w:rPr>
        <w:t>Registered Participant </w:t>
      </w:r>
      <w:r>
        <w:rPr>
          <w:sz w:val="24"/>
        </w:rPr>
        <w:t>and the relevant end</w:t>
      </w:r>
      <w:r>
        <w:rPr>
          <w:spacing w:val="-3"/>
          <w:sz w:val="24"/>
        </w:rPr>
        <w:t> </w:t>
      </w:r>
      <w:r>
        <w:rPr>
          <w:sz w:val="24"/>
        </w:rPr>
        <w:t>user.</w:t>
      </w:r>
    </w:p>
    <w:p>
      <w:pPr>
        <w:pStyle w:val="ListParagraph"/>
        <w:numPr>
          <w:ilvl w:val="0"/>
          <w:numId w:val="588"/>
        </w:numPr>
        <w:tabs>
          <w:tab w:pos="1919" w:val="left" w:leader="none"/>
        </w:tabs>
        <w:spacing w:line="240" w:lineRule="auto" w:before="120" w:after="0"/>
        <w:ind w:left="1919" w:right="415" w:hanging="567"/>
        <w:jc w:val="both"/>
        <w:rPr>
          <w:sz w:val="24"/>
        </w:rPr>
      </w:pPr>
      <w:r>
        <w:rPr>
          <w:sz w:val="24"/>
        </w:rPr>
        <w:t>Each </w:t>
      </w:r>
      <w:r>
        <w:rPr>
          <w:i/>
          <w:sz w:val="24"/>
        </w:rPr>
        <w:t>Metering Coordinator </w:t>
      </w:r>
      <w:r>
        <w:rPr>
          <w:sz w:val="24"/>
        </w:rPr>
        <w:t>must update the inventory table for the </w:t>
      </w:r>
      <w:r>
        <w:rPr>
          <w:i/>
          <w:sz w:val="24"/>
        </w:rPr>
        <w:t>NMIs </w:t>
      </w:r>
      <w:r>
        <w:rPr>
          <w:sz w:val="24"/>
        </w:rPr>
        <w:t>for which it is responsible on at least a monthly basis to ensure that the accuracy requirements in clause S7A.7.6.2 are met. Any changes to the inventory table may only be made on a retrospective basis</w:t>
      </w:r>
      <w:r>
        <w:rPr>
          <w:spacing w:val="-5"/>
          <w:sz w:val="24"/>
        </w:rPr>
        <w:t> </w:t>
      </w:r>
      <w:r>
        <w:rPr>
          <w:sz w:val="24"/>
        </w:rPr>
        <w:t>where:</w:t>
      </w:r>
    </w:p>
    <w:p>
      <w:pPr>
        <w:pStyle w:val="ListParagraph"/>
        <w:numPr>
          <w:ilvl w:val="1"/>
          <w:numId w:val="588"/>
        </w:numPr>
        <w:tabs>
          <w:tab w:pos="2486" w:val="left" w:leader="none"/>
        </w:tabs>
        <w:spacing w:line="240" w:lineRule="auto" w:before="120" w:after="0"/>
        <w:ind w:left="2486" w:right="414" w:hanging="567"/>
        <w:jc w:val="both"/>
        <w:rPr>
          <w:sz w:val="24"/>
        </w:rPr>
      </w:pPr>
      <w:r>
        <w:rPr>
          <w:sz w:val="24"/>
        </w:rPr>
        <w:t>agreed by the </w:t>
      </w:r>
      <w:r>
        <w:rPr>
          <w:i/>
          <w:sz w:val="24"/>
        </w:rPr>
        <w:t>Metering Coordinator </w:t>
      </w:r>
      <w:r>
        <w:rPr>
          <w:sz w:val="24"/>
        </w:rPr>
        <w:t>and the affected </w:t>
      </w:r>
      <w:r>
        <w:rPr>
          <w:i/>
          <w:spacing w:val="-3"/>
          <w:sz w:val="24"/>
        </w:rPr>
        <w:t>Registered </w:t>
      </w:r>
      <w:r>
        <w:rPr>
          <w:i/>
          <w:sz w:val="24"/>
        </w:rPr>
        <w:t>Participants</w:t>
      </w:r>
      <w:r>
        <w:rPr>
          <w:sz w:val="24"/>
        </w:rPr>
        <w:t>;</w:t>
      </w:r>
      <w:r>
        <w:rPr>
          <w:spacing w:val="-1"/>
          <w:sz w:val="24"/>
        </w:rPr>
        <w:t> </w:t>
      </w:r>
      <w:r>
        <w:rPr>
          <w:sz w:val="24"/>
        </w:rPr>
        <w:t>or</w:t>
      </w:r>
    </w:p>
    <w:p>
      <w:pPr>
        <w:pStyle w:val="ListParagraph"/>
        <w:numPr>
          <w:ilvl w:val="1"/>
          <w:numId w:val="588"/>
        </w:numPr>
        <w:tabs>
          <w:tab w:pos="2486" w:val="left" w:leader="none"/>
        </w:tabs>
        <w:spacing w:line="240" w:lineRule="auto" w:before="120" w:after="0"/>
        <w:ind w:left="2485" w:right="0" w:hanging="567"/>
        <w:jc w:val="both"/>
        <w:rPr>
          <w:sz w:val="24"/>
        </w:rPr>
      </w:pPr>
      <w:r>
        <w:rPr>
          <w:sz w:val="24"/>
        </w:rPr>
        <w:t>necessary to comply with clause</w:t>
      </w:r>
      <w:r>
        <w:rPr>
          <w:spacing w:val="-1"/>
          <w:sz w:val="24"/>
        </w:rPr>
        <w:t> </w:t>
      </w:r>
      <w:r>
        <w:rPr>
          <w:sz w:val="24"/>
        </w:rPr>
        <w:t>7A.7.4.</w:t>
      </w:r>
    </w:p>
    <w:p>
      <w:pPr>
        <w:pStyle w:val="ListParagraph"/>
        <w:numPr>
          <w:ilvl w:val="0"/>
          <w:numId w:val="588"/>
        </w:numPr>
        <w:tabs>
          <w:tab w:pos="1920" w:val="left" w:leader="none"/>
        </w:tabs>
        <w:spacing w:line="240" w:lineRule="auto" w:before="120" w:after="0"/>
        <w:ind w:left="1919" w:right="415" w:hanging="567"/>
        <w:jc w:val="both"/>
        <w:rPr>
          <w:sz w:val="24"/>
        </w:rPr>
      </w:pPr>
      <w:r>
        <w:rPr>
          <w:sz w:val="24"/>
        </w:rPr>
        <w:t>The </w:t>
      </w:r>
      <w:r>
        <w:rPr>
          <w:i/>
          <w:sz w:val="24"/>
        </w:rPr>
        <w:t>Metering Coordinator </w:t>
      </w:r>
      <w:r>
        <w:rPr>
          <w:sz w:val="24"/>
        </w:rPr>
        <w:t>must communicate any material changes to the inventory table to the affected </w:t>
      </w:r>
      <w:r>
        <w:rPr>
          <w:i/>
          <w:sz w:val="24"/>
        </w:rPr>
        <w:t>Registered</w:t>
      </w:r>
      <w:r>
        <w:rPr>
          <w:i/>
          <w:spacing w:val="-1"/>
          <w:sz w:val="24"/>
        </w:rPr>
        <w:t> </w:t>
      </w:r>
      <w:r>
        <w:rPr>
          <w:i/>
          <w:sz w:val="24"/>
        </w:rPr>
        <w:t>Participants</w:t>
      </w:r>
      <w:r>
        <w:rPr>
          <w:sz w:val="24"/>
        </w:rPr>
        <w:t>.</w:t>
      </w:r>
    </w:p>
    <w:p>
      <w:pPr>
        <w:pStyle w:val="ListParagraph"/>
        <w:numPr>
          <w:ilvl w:val="0"/>
          <w:numId w:val="588"/>
        </w:numPr>
        <w:tabs>
          <w:tab w:pos="1919" w:val="left" w:leader="none"/>
        </w:tabs>
        <w:spacing w:line="240" w:lineRule="auto" w:before="120" w:after="0"/>
        <w:ind w:left="1918" w:right="0" w:hanging="567"/>
        <w:jc w:val="both"/>
        <w:rPr>
          <w:sz w:val="24"/>
        </w:rPr>
      </w:pPr>
      <w:r>
        <w:rPr>
          <w:sz w:val="24"/>
        </w:rPr>
        <w:t>The </w:t>
      </w:r>
      <w:r>
        <w:rPr>
          <w:i/>
          <w:sz w:val="24"/>
        </w:rPr>
        <w:t>Metering Coordinator </w:t>
      </w:r>
      <w:r>
        <w:rPr>
          <w:sz w:val="24"/>
        </w:rPr>
        <w:t>must provide the inventory table to</w:t>
      </w:r>
      <w:r>
        <w:rPr>
          <w:spacing w:val="49"/>
          <w:sz w:val="24"/>
        </w:rPr>
        <w:t> </w:t>
      </w:r>
      <w:r>
        <w:rPr>
          <w:sz w:val="24"/>
        </w:rPr>
        <w:t>relevant</w:t>
      </w:r>
    </w:p>
    <w:p>
      <w:pPr>
        <w:spacing w:before="0"/>
        <w:ind w:left="1919" w:right="0" w:firstLine="0"/>
        <w:jc w:val="both"/>
        <w:rPr>
          <w:sz w:val="24"/>
        </w:rPr>
      </w:pPr>
      <w:r>
        <w:rPr>
          <w:i/>
          <w:sz w:val="24"/>
        </w:rPr>
        <w:t>Registered Participants </w:t>
      </w:r>
      <w:r>
        <w:rPr>
          <w:sz w:val="24"/>
        </w:rPr>
        <w:t>when requested.</w:t>
      </w:r>
    </w:p>
    <w:p>
      <w:pPr>
        <w:spacing w:before="220"/>
        <w:ind w:left="1356" w:right="0" w:firstLine="0"/>
        <w:jc w:val="left"/>
        <w:rPr>
          <w:rFonts w:ascii="Arial"/>
          <w:b/>
          <w:sz w:val="22"/>
        </w:rPr>
      </w:pPr>
      <w:r>
        <w:rPr>
          <w:rFonts w:ascii="Arial"/>
          <w:b/>
          <w:sz w:val="22"/>
        </w:rPr>
        <w:t>On/off table</w:t>
      </w:r>
    </w:p>
    <w:p>
      <w:pPr>
        <w:pStyle w:val="ListParagraph"/>
        <w:numPr>
          <w:ilvl w:val="0"/>
          <w:numId w:val="588"/>
        </w:numPr>
        <w:tabs>
          <w:tab w:pos="1918" w:val="left" w:leader="none"/>
          <w:tab w:pos="1919" w:val="left" w:leader="none"/>
        </w:tabs>
        <w:spacing w:line="240" w:lineRule="auto" w:before="120" w:after="0"/>
        <w:ind w:left="1918" w:right="0" w:hanging="567"/>
        <w:jc w:val="left"/>
        <w:rPr>
          <w:sz w:val="24"/>
        </w:rPr>
      </w:pPr>
      <w:r>
        <w:rPr>
          <w:sz w:val="24"/>
        </w:rPr>
        <w:t>The form of on/off control may</w:t>
      </w:r>
      <w:r>
        <w:rPr>
          <w:spacing w:val="-1"/>
          <w:sz w:val="24"/>
        </w:rPr>
        <w:t> </w:t>
      </w:r>
      <w:r>
        <w:rPr>
          <w:sz w:val="24"/>
        </w:rPr>
        <w:t>be:</w:t>
      </w:r>
    </w:p>
    <w:p>
      <w:pPr>
        <w:pStyle w:val="ListParagraph"/>
        <w:numPr>
          <w:ilvl w:val="1"/>
          <w:numId w:val="588"/>
        </w:numPr>
        <w:tabs>
          <w:tab w:pos="2485" w:val="left" w:leader="none"/>
          <w:tab w:pos="2486" w:val="left" w:leader="none"/>
        </w:tabs>
        <w:spacing w:line="240" w:lineRule="auto" w:before="120" w:after="0"/>
        <w:ind w:left="2485" w:right="0" w:hanging="567"/>
        <w:jc w:val="left"/>
        <w:rPr>
          <w:sz w:val="24"/>
        </w:rPr>
      </w:pPr>
      <w:r>
        <w:rPr>
          <w:sz w:val="24"/>
        </w:rPr>
        <w:t>photoelecetric;</w:t>
      </w:r>
    </w:p>
    <w:p>
      <w:pPr>
        <w:pStyle w:val="ListParagraph"/>
        <w:numPr>
          <w:ilvl w:val="1"/>
          <w:numId w:val="588"/>
        </w:numPr>
        <w:tabs>
          <w:tab w:pos="2485" w:val="left" w:leader="none"/>
          <w:tab w:pos="2486" w:val="left" w:leader="none"/>
        </w:tabs>
        <w:spacing w:line="240" w:lineRule="auto" w:before="120" w:after="0"/>
        <w:ind w:left="2485" w:right="0" w:hanging="567"/>
        <w:jc w:val="left"/>
        <w:rPr>
          <w:sz w:val="24"/>
        </w:rPr>
      </w:pPr>
      <w:r>
        <w:rPr>
          <w:sz w:val="24"/>
        </w:rPr>
        <w:t>timer control, or ripple control;</w:t>
      </w:r>
      <w:r>
        <w:rPr>
          <w:spacing w:val="-1"/>
          <w:sz w:val="24"/>
        </w:rPr>
        <w:t> </w:t>
      </w:r>
      <w:r>
        <w:rPr>
          <w:sz w:val="24"/>
        </w:rPr>
        <w:t>or</w:t>
      </w:r>
    </w:p>
    <w:p>
      <w:pPr>
        <w:spacing w:after="0" w:line="240" w:lineRule="auto"/>
        <w:jc w:val="left"/>
        <w:rPr>
          <w:sz w:val="24"/>
        </w:rPr>
        <w:sectPr>
          <w:pgSz w:w="11910" w:h="16840"/>
          <w:pgMar w:header="686" w:footer="637" w:top="1320" w:bottom="820" w:left="1200" w:right="1000"/>
        </w:sectPr>
      </w:pPr>
    </w:p>
    <w:p>
      <w:pPr>
        <w:pStyle w:val="ListParagraph"/>
        <w:numPr>
          <w:ilvl w:val="1"/>
          <w:numId w:val="588"/>
        </w:numPr>
        <w:tabs>
          <w:tab w:pos="2485" w:val="left" w:leader="none"/>
          <w:tab w:pos="2486" w:val="left" w:leader="none"/>
        </w:tabs>
        <w:spacing w:line="240" w:lineRule="auto" w:before="83" w:after="0"/>
        <w:ind w:left="2485" w:right="0" w:hanging="567"/>
        <w:jc w:val="left"/>
        <w:rPr>
          <w:sz w:val="24"/>
        </w:rPr>
      </w:pPr>
      <w:r>
        <w:rPr>
          <w:sz w:val="24"/>
        </w:rPr>
        <w:t>other control.</w:t>
      </w:r>
    </w:p>
    <w:p>
      <w:pPr>
        <w:spacing w:before="220"/>
        <w:ind w:left="1356" w:right="0" w:firstLine="0"/>
        <w:jc w:val="left"/>
        <w:rPr>
          <w:rFonts w:ascii="Arial"/>
          <w:b/>
          <w:sz w:val="22"/>
        </w:rPr>
      </w:pPr>
      <w:r>
        <w:rPr>
          <w:rFonts w:ascii="Arial"/>
          <w:b/>
          <w:sz w:val="22"/>
        </w:rPr>
        <w:t>Photoelectric cell control</w:t>
      </w:r>
    </w:p>
    <w:p>
      <w:pPr>
        <w:pStyle w:val="ListParagraph"/>
        <w:numPr>
          <w:ilvl w:val="0"/>
          <w:numId w:val="589"/>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the appropriate sunset times and sunrise times are obtained from the Australian Government Geoscience website </w:t>
      </w:r>
      <w:hyperlink r:id="rId119">
        <w:r>
          <w:rPr>
            <w:sz w:val="24"/>
          </w:rPr>
          <w:t>(www.ga.gov.au/geodesy/astro/sunrise.jsp </w:t>
        </w:r>
      </w:hyperlink>
      <w:r>
        <w:rPr>
          <w:sz w:val="24"/>
        </w:rPr>
        <w:t>), based on the longitude and latitude of the relevant town and </w:t>
      </w:r>
      <w:r>
        <w:rPr>
          <w:i/>
          <w:sz w:val="24"/>
        </w:rPr>
        <w:t>Australian Central Standard</w:t>
      </w:r>
      <w:r>
        <w:rPr>
          <w:i/>
          <w:spacing w:val="-7"/>
          <w:sz w:val="24"/>
        </w:rPr>
        <w:t> </w:t>
      </w:r>
      <w:r>
        <w:rPr>
          <w:i/>
          <w:sz w:val="24"/>
        </w:rPr>
        <w:t>Time</w:t>
      </w:r>
      <w:r>
        <w:rPr>
          <w:sz w:val="24"/>
        </w:rPr>
        <w:t>.</w:t>
      </w:r>
    </w:p>
    <w:p>
      <w:pPr>
        <w:pStyle w:val="ListParagraph"/>
        <w:numPr>
          <w:ilvl w:val="0"/>
          <w:numId w:val="589"/>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the period that the </w:t>
      </w:r>
      <w:r>
        <w:rPr>
          <w:i/>
          <w:sz w:val="24"/>
        </w:rPr>
        <w:t>load </w:t>
      </w:r>
      <w:r>
        <w:rPr>
          <w:sz w:val="24"/>
        </w:rPr>
        <w:t>is switched on during a </w:t>
      </w:r>
      <w:r>
        <w:rPr>
          <w:i/>
          <w:sz w:val="24"/>
        </w:rPr>
        <w:t>recording interval </w:t>
      </w:r>
      <w:r>
        <w:rPr>
          <w:sz w:val="24"/>
        </w:rPr>
        <w:t>is calculated as</w:t>
      </w:r>
      <w:r>
        <w:rPr>
          <w:spacing w:val="-10"/>
          <w:sz w:val="24"/>
        </w:rPr>
        <w:t> </w:t>
      </w:r>
      <w:r>
        <w:rPr>
          <w:sz w:val="24"/>
        </w:rPr>
        <w:t>follows:</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3"/>
        <w:gridCol w:w="4907"/>
      </w:tblGrid>
      <w:tr>
        <w:trPr>
          <w:trHeight w:val="395" w:hRule="atLeast"/>
        </w:trPr>
        <w:tc>
          <w:tcPr>
            <w:tcW w:w="2463"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Recording interval</w:t>
            </w:r>
          </w:p>
        </w:tc>
        <w:tc>
          <w:tcPr>
            <w:tcW w:w="490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Period load is switched on</w:t>
            </w:r>
          </w:p>
        </w:tc>
      </w:tr>
      <w:tr>
        <w:trPr>
          <w:trHeight w:val="1343" w:hRule="atLeast"/>
        </w:trPr>
        <w:tc>
          <w:tcPr>
            <w:tcW w:w="2463" w:type="dxa"/>
            <w:tcBorders>
              <w:top w:val="single" w:sz="4" w:space="0" w:color="000000"/>
              <w:bottom w:val="single" w:sz="4" w:space="0" w:color="000000"/>
              <w:right w:val="single" w:sz="4" w:space="0" w:color="000000"/>
            </w:tcBorders>
          </w:tcPr>
          <w:p>
            <w:pPr>
              <w:pStyle w:val="TableParagraph"/>
              <w:ind w:left="40" w:right="39"/>
              <w:rPr>
                <w:sz w:val="24"/>
              </w:rPr>
            </w:pPr>
            <w:r>
              <w:rPr>
                <w:sz w:val="24"/>
              </w:rPr>
              <w:t>For the </w:t>
            </w:r>
            <w:r>
              <w:rPr>
                <w:i/>
                <w:sz w:val="24"/>
              </w:rPr>
              <w:t>recording </w:t>
            </w:r>
            <w:r>
              <w:rPr>
                <w:i/>
                <w:sz w:val="24"/>
              </w:rPr>
              <w:t>intervals </w:t>
            </w:r>
            <w:r>
              <w:rPr>
                <w:sz w:val="24"/>
              </w:rPr>
              <w:t>commencing after sunset and finishing prior to</w:t>
            </w:r>
            <w:r>
              <w:rPr>
                <w:spacing w:val="3"/>
                <w:sz w:val="24"/>
              </w:rPr>
              <w:t> </w:t>
            </w:r>
            <w:r>
              <w:rPr>
                <w:spacing w:val="-3"/>
                <w:sz w:val="24"/>
              </w:rPr>
              <w:t>sunrise</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1</w:t>
            </w:r>
          </w:p>
        </w:tc>
      </w:tr>
      <w:tr>
        <w:trPr>
          <w:trHeight w:val="1343" w:hRule="atLeast"/>
        </w:trPr>
        <w:tc>
          <w:tcPr>
            <w:tcW w:w="2463" w:type="dxa"/>
            <w:tcBorders>
              <w:top w:val="single" w:sz="4" w:space="0" w:color="000000"/>
              <w:bottom w:val="single" w:sz="4" w:space="0" w:color="000000"/>
              <w:right w:val="single" w:sz="4" w:space="0" w:color="000000"/>
            </w:tcBorders>
          </w:tcPr>
          <w:p>
            <w:pPr>
              <w:pStyle w:val="TableParagraph"/>
              <w:ind w:left="40" w:right="101"/>
              <w:rPr>
                <w:sz w:val="24"/>
              </w:rPr>
            </w:pPr>
            <w:r>
              <w:rPr>
                <w:sz w:val="24"/>
              </w:rPr>
              <w:t>For the </w:t>
            </w:r>
            <w:r>
              <w:rPr>
                <w:i/>
                <w:sz w:val="24"/>
              </w:rPr>
              <w:t>recording </w:t>
            </w:r>
            <w:r>
              <w:rPr>
                <w:i/>
                <w:sz w:val="24"/>
              </w:rPr>
              <w:t>intervals </w:t>
            </w:r>
            <w:r>
              <w:rPr>
                <w:sz w:val="24"/>
              </w:rPr>
              <w:t>commencing after sunrise and finishing prior to sunset</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0</w:t>
            </w:r>
          </w:p>
        </w:tc>
      </w:tr>
      <w:tr>
        <w:trPr>
          <w:trHeight w:val="1067" w:hRule="atLeast"/>
        </w:trPr>
        <w:tc>
          <w:tcPr>
            <w:tcW w:w="2463" w:type="dxa"/>
            <w:tcBorders>
              <w:top w:val="single" w:sz="4" w:space="0" w:color="000000"/>
              <w:bottom w:val="single" w:sz="4" w:space="0" w:color="000000"/>
              <w:right w:val="single" w:sz="4" w:space="0" w:color="000000"/>
            </w:tcBorders>
          </w:tcPr>
          <w:p>
            <w:pPr>
              <w:pStyle w:val="TableParagraph"/>
              <w:ind w:left="40" w:right="308"/>
              <w:rPr>
                <w:sz w:val="24"/>
              </w:rPr>
            </w:pPr>
            <w:r>
              <w:rPr>
                <w:sz w:val="24"/>
              </w:rPr>
              <w:t>For the </w:t>
            </w:r>
            <w:r>
              <w:rPr>
                <w:i/>
                <w:sz w:val="24"/>
              </w:rPr>
              <w:t>recording </w:t>
            </w:r>
            <w:r>
              <w:rPr>
                <w:i/>
                <w:sz w:val="24"/>
              </w:rPr>
              <w:t>interval </w:t>
            </w:r>
            <w:r>
              <w:rPr>
                <w:sz w:val="24"/>
              </w:rPr>
              <w:t>during which the sunset occurs</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w:t>
            </w:r>
          </w:p>
          <w:p>
            <w:pPr>
              <w:pStyle w:val="TableParagraph"/>
              <w:spacing w:before="6"/>
              <w:ind w:left="0"/>
              <w:rPr>
                <w:sz w:val="2"/>
              </w:rPr>
            </w:pPr>
          </w:p>
          <w:p>
            <w:pPr>
              <w:pStyle w:val="TableParagraph"/>
              <w:spacing w:before="0"/>
              <w:rPr>
                <w:sz w:val="20"/>
              </w:rPr>
            </w:pPr>
            <w:r>
              <w:rPr>
                <w:sz w:val="20"/>
              </w:rPr>
              <w:drawing>
                <wp:inline distT="0" distB="0" distL="0" distR="0">
                  <wp:extent cx="2896248" cy="323373"/>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20" cstate="print"/>
                          <a:stretch>
                            <a:fillRect/>
                          </a:stretch>
                        </pic:blipFill>
                        <pic:spPr>
                          <a:xfrm>
                            <a:off x="0" y="0"/>
                            <a:ext cx="2896248" cy="323373"/>
                          </a:xfrm>
                          <a:prstGeom prst="rect">
                            <a:avLst/>
                          </a:prstGeom>
                        </pic:spPr>
                      </pic:pic>
                    </a:graphicData>
                  </a:graphic>
                </wp:inline>
              </w:drawing>
            </w:r>
            <w:r>
              <w:rPr>
                <w:sz w:val="20"/>
              </w:rPr>
            </w:r>
          </w:p>
        </w:tc>
      </w:tr>
      <w:tr>
        <w:trPr>
          <w:trHeight w:val="1067" w:hRule="atLeast"/>
        </w:trPr>
        <w:tc>
          <w:tcPr>
            <w:tcW w:w="2463" w:type="dxa"/>
            <w:tcBorders>
              <w:top w:val="single" w:sz="4" w:space="0" w:color="000000"/>
              <w:right w:val="single" w:sz="4" w:space="0" w:color="000000"/>
            </w:tcBorders>
          </w:tcPr>
          <w:p>
            <w:pPr>
              <w:pStyle w:val="TableParagraph"/>
              <w:ind w:left="40" w:right="308"/>
              <w:rPr>
                <w:sz w:val="24"/>
              </w:rPr>
            </w:pPr>
            <w:r>
              <w:rPr>
                <w:sz w:val="24"/>
              </w:rPr>
              <w:t>For the </w:t>
            </w:r>
            <w:r>
              <w:rPr>
                <w:i/>
                <w:sz w:val="24"/>
              </w:rPr>
              <w:t>recording </w:t>
            </w:r>
            <w:r>
              <w:rPr>
                <w:i/>
                <w:sz w:val="24"/>
              </w:rPr>
              <w:t>interval </w:t>
            </w:r>
            <w:r>
              <w:rPr>
                <w:sz w:val="24"/>
              </w:rPr>
              <w:t>during which the sunrise occurs</w:t>
            </w:r>
          </w:p>
        </w:tc>
        <w:tc>
          <w:tcPr>
            <w:tcW w:w="4907" w:type="dxa"/>
            <w:tcBorders>
              <w:top w:val="single" w:sz="4" w:space="0" w:color="000000"/>
              <w:left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w:t>
            </w:r>
          </w:p>
          <w:p>
            <w:pPr>
              <w:pStyle w:val="TableParagraph"/>
              <w:spacing w:before="4"/>
              <w:ind w:left="0"/>
              <w:rPr>
                <w:sz w:val="2"/>
              </w:rPr>
            </w:pPr>
          </w:p>
          <w:p>
            <w:pPr>
              <w:pStyle w:val="TableParagraph"/>
              <w:spacing w:before="0"/>
              <w:rPr>
                <w:sz w:val="20"/>
              </w:rPr>
            </w:pPr>
            <w:r>
              <w:rPr>
                <w:sz w:val="20"/>
              </w:rPr>
              <w:drawing>
                <wp:inline distT="0" distB="0" distL="0" distR="0">
                  <wp:extent cx="2727354" cy="306704"/>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21" cstate="print"/>
                          <a:stretch>
                            <a:fillRect/>
                          </a:stretch>
                        </pic:blipFill>
                        <pic:spPr>
                          <a:xfrm>
                            <a:off x="0" y="0"/>
                            <a:ext cx="2727354" cy="306704"/>
                          </a:xfrm>
                          <a:prstGeom prst="rect">
                            <a:avLst/>
                          </a:prstGeom>
                        </pic:spPr>
                      </pic:pic>
                    </a:graphicData>
                  </a:graphic>
                </wp:inline>
              </w:drawing>
            </w:r>
            <w:r>
              <w:rPr>
                <w:sz w:val="20"/>
              </w:rPr>
            </w:r>
          </w:p>
        </w:tc>
      </w:tr>
    </w:tbl>
    <w:p>
      <w:pPr>
        <w:pStyle w:val="BodyText"/>
        <w:spacing w:before="0"/>
        <w:ind w:firstLine="0"/>
        <w:jc w:val="left"/>
        <w:rPr>
          <w:sz w:val="26"/>
        </w:rPr>
      </w:pPr>
    </w:p>
    <w:p>
      <w:pPr>
        <w:spacing w:before="197"/>
        <w:ind w:left="1356" w:right="0" w:firstLine="0"/>
        <w:jc w:val="left"/>
        <w:rPr>
          <w:rFonts w:ascii="Arial"/>
          <w:b/>
          <w:sz w:val="22"/>
        </w:rPr>
      </w:pPr>
      <w:r>
        <w:rPr>
          <w:rFonts w:ascii="Arial"/>
          <w:b/>
          <w:sz w:val="22"/>
        </w:rPr>
        <w:t>Timer control</w:t>
      </w:r>
    </w:p>
    <w:p>
      <w:pPr>
        <w:pStyle w:val="ListParagraph"/>
        <w:numPr>
          <w:ilvl w:val="0"/>
          <w:numId w:val="589"/>
        </w:numPr>
        <w:tabs>
          <w:tab w:pos="1918" w:val="left" w:leader="none"/>
          <w:tab w:pos="1919" w:val="left" w:leader="none"/>
        </w:tabs>
        <w:spacing w:line="240" w:lineRule="auto" w:before="120" w:after="0"/>
        <w:ind w:left="1919" w:right="415" w:hanging="567"/>
        <w:jc w:val="left"/>
        <w:rPr>
          <w:sz w:val="24"/>
        </w:rPr>
      </w:pPr>
      <w:r>
        <w:rPr>
          <w:sz w:val="24"/>
        </w:rPr>
        <w:t>If the on/off times for an unmetered device is controlled by a timer or ripple injection</w:t>
      </w:r>
      <w:r>
        <w:rPr>
          <w:spacing w:val="-1"/>
          <w:sz w:val="24"/>
        </w:rPr>
        <w:t> </w:t>
      </w:r>
      <w:r>
        <w:rPr>
          <w:sz w:val="24"/>
        </w:rPr>
        <w:t>system:</w:t>
      </w:r>
    </w:p>
    <w:p>
      <w:pPr>
        <w:pStyle w:val="ListParagraph"/>
        <w:numPr>
          <w:ilvl w:val="1"/>
          <w:numId w:val="589"/>
        </w:numPr>
        <w:tabs>
          <w:tab w:pos="2485" w:val="left" w:leader="none"/>
          <w:tab w:pos="2486" w:val="left" w:leader="none"/>
        </w:tabs>
        <w:spacing w:line="240" w:lineRule="auto" w:before="120" w:after="0"/>
        <w:ind w:left="2485" w:right="0" w:hanging="567"/>
        <w:jc w:val="left"/>
        <w:rPr>
          <w:sz w:val="24"/>
        </w:rPr>
      </w:pPr>
      <w:r>
        <w:rPr>
          <w:sz w:val="24"/>
        </w:rPr>
        <w:t>On time = ON time set on timer or ripple injection</w:t>
      </w:r>
      <w:r>
        <w:rPr>
          <w:spacing w:val="-12"/>
          <w:sz w:val="24"/>
        </w:rPr>
        <w:t> </w:t>
      </w:r>
      <w:r>
        <w:rPr>
          <w:sz w:val="24"/>
        </w:rPr>
        <w:t>system;</w:t>
      </w:r>
    </w:p>
    <w:p>
      <w:pPr>
        <w:pStyle w:val="ListParagraph"/>
        <w:numPr>
          <w:ilvl w:val="1"/>
          <w:numId w:val="589"/>
        </w:numPr>
        <w:tabs>
          <w:tab w:pos="2485" w:val="left" w:leader="none"/>
          <w:tab w:pos="2486" w:val="left" w:leader="none"/>
        </w:tabs>
        <w:spacing w:line="240" w:lineRule="auto" w:before="120" w:after="0"/>
        <w:ind w:left="2485" w:right="0" w:hanging="567"/>
        <w:jc w:val="left"/>
        <w:rPr>
          <w:sz w:val="24"/>
        </w:rPr>
      </w:pPr>
      <w:r>
        <w:rPr>
          <w:sz w:val="24"/>
        </w:rPr>
        <w:t>Off time = OFF time set on timer or ripple injection</w:t>
      </w:r>
      <w:r>
        <w:rPr>
          <w:spacing w:val="-15"/>
          <w:sz w:val="24"/>
        </w:rPr>
        <w:t> </w:t>
      </w:r>
      <w:r>
        <w:rPr>
          <w:sz w:val="24"/>
        </w:rPr>
        <w:t>system.</w:t>
      </w:r>
    </w:p>
    <w:p>
      <w:pPr>
        <w:pStyle w:val="ListParagraph"/>
        <w:numPr>
          <w:ilvl w:val="0"/>
          <w:numId w:val="589"/>
        </w:numPr>
        <w:tabs>
          <w:tab w:pos="1918" w:val="left" w:leader="none"/>
          <w:tab w:pos="1919" w:val="left" w:leader="none"/>
        </w:tabs>
        <w:spacing w:line="240" w:lineRule="auto" w:before="120" w:after="0"/>
        <w:ind w:left="1919" w:right="414" w:hanging="567"/>
        <w:jc w:val="left"/>
        <w:rPr>
          <w:sz w:val="24"/>
        </w:rPr>
      </w:pPr>
      <w:r>
        <w:rPr>
          <w:sz w:val="24"/>
        </w:rPr>
        <w:t>The </w:t>
      </w:r>
      <w:r>
        <w:rPr>
          <w:i/>
          <w:sz w:val="24"/>
        </w:rPr>
        <w:t>Metering Coordinator </w:t>
      </w:r>
      <w:r>
        <w:rPr>
          <w:sz w:val="24"/>
        </w:rPr>
        <w:t>must ensure that the period that the </w:t>
      </w:r>
      <w:r>
        <w:rPr>
          <w:i/>
          <w:sz w:val="24"/>
        </w:rPr>
        <w:t>load </w:t>
      </w:r>
      <w:r>
        <w:rPr>
          <w:sz w:val="24"/>
        </w:rPr>
        <w:t>is switched on during a </w:t>
      </w:r>
      <w:r>
        <w:rPr>
          <w:i/>
          <w:sz w:val="24"/>
        </w:rPr>
        <w:t>recording interval </w:t>
      </w:r>
      <w:r>
        <w:rPr>
          <w:sz w:val="24"/>
        </w:rPr>
        <w:t>is calculated as</w:t>
      </w:r>
      <w:r>
        <w:rPr>
          <w:spacing w:val="-10"/>
          <w:sz w:val="24"/>
        </w:rPr>
        <w:t> </w:t>
      </w:r>
      <w:r>
        <w:rPr>
          <w:sz w:val="24"/>
        </w:rPr>
        <w:t>follows:</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3"/>
        <w:gridCol w:w="4907"/>
      </w:tblGrid>
      <w:tr>
        <w:trPr>
          <w:trHeight w:val="395" w:hRule="atLeast"/>
        </w:trPr>
        <w:tc>
          <w:tcPr>
            <w:tcW w:w="2463"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Recording interval</w:t>
            </w:r>
          </w:p>
        </w:tc>
        <w:tc>
          <w:tcPr>
            <w:tcW w:w="490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Period load is switched on</w:t>
            </w:r>
          </w:p>
        </w:tc>
      </w:tr>
      <w:tr>
        <w:trPr>
          <w:trHeight w:val="1619" w:hRule="atLeast"/>
        </w:trPr>
        <w:tc>
          <w:tcPr>
            <w:tcW w:w="2463" w:type="dxa"/>
            <w:tcBorders>
              <w:top w:val="single" w:sz="4" w:space="0" w:color="000000"/>
              <w:bottom w:val="single" w:sz="4" w:space="0" w:color="000000"/>
              <w:right w:val="single" w:sz="4" w:space="0" w:color="000000"/>
            </w:tcBorders>
          </w:tcPr>
          <w:p>
            <w:pPr>
              <w:pStyle w:val="TableParagraph"/>
              <w:ind w:left="40" w:right="248"/>
              <w:rPr>
                <w:sz w:val="24"/>
              </w:rPr>
            </w:pPr>
            <w:r>
              <w:rPr>
                <w:sz w:val="24"/>
              </w:rPr>
              <w:t>For the </w:t>
            </w:r>
            <w:r>
              <w:rPr>
                <w:i/>
                <w:sz w:val="24"/>
              </w:rPr>
              <w:t>recording </w:t>
            </w:r>
            <w:r>
              <w:rPr>
                <w:i/>
                <w:sz w:val="24"/>
              </w:rPr>
              <w:t>intervals </w:t>
            </w:r>
            <w:r>
              <w:rPr>
                <w:sz w:val="24"/>
              </w:rPr>
              <w:t>commencing after on time and finishing prior to off time</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1</w:t>
            </w:r>
          </w:p>
        </w:tc>
      </w:tr>
      <w:tr>
        <w:trPr>
          <w:trHeight w:val="515" w:hRule="atLeast"/>
        </w:trPr>
        <w:tc>
          <w:tcPr>
            <w:tcW w:w="2463" w:type="dxa"/>
            <w:tcBorders>
              <w:top w:val="single" w:sz="4" w:space="0" w:color="000000"/>
              <w:bottom w:val="single" w:sz="4" w:space="0" w:color="000000"/>
              <w:right w:val="single" w:sz="4" w:space="0" w:color="000000"/>
            </w:tcBorders>
          </w:tcPr>
          <w:p>
            <w:pPr>
              <w:pStyle w:val="TableParagraph"/>
              <w:ind w:left="40"/>
              <w:rPr>
                <w:i/>
                <w:sz w:val="24"/>
              </w:rPr>
            </w:pPr>
            <w:r>
              <w:rPr>
                <w:sz w:val="24"/>
              </w:rPr>
              <w:t>For the </w:t>
            </w:r>
            <w:r>
              <w:rPr>
                <w:i/>
                <w:sz w:val="24"/>
              </w:rPr>
              <w:t>recording</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0</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3"/>
        <w:gridCol w:w="4907"/>
      </w:tblGrid>
      <w:tr>
        <w:trPr>
          <w:trHeight w:val="395" w:hRule="atLeast"/>
        </w:trPr>
        <w:tc>
          <w:tcPr>
            <w:tcW w:w="2463"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Recording interval</w:t>
            </w:r>
          </w:p>
        </w:tc>
        <w:tc>
          <w:tcPr>
            <w:tcW w:w="490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Period load is switched on</w:t>
            </w:r>
          </w:p>
        </w:tc>
      </w:tr>
      <w:tr>
        <w:trPr>
          <w:trHeight w:val="1223" w:hRule="atLeast"/>
        </w:trPr>
        <w:tc>
          <w:tcPr>
            <w:tcW w:w="2463" w:type="dxa"/>
            <w:tcBorders>
              <w:top w:val="single" w:sz="4" w:space="0" w:color="000000"/>
              <w:bottom w:val="single" w:sz="4" w:space="0" w:color="000000"/>
              <w:right w:val="single" w:sz="4" w:space="0" w:color="000000"/>
            </w:tcBorders>
          </w:tcPr>
          <w:p>
            <w:pPr>
              <w:pStyle w:val="TableParagraph"/>
              <w:spacing w:before="0"/>
              <w:ind w:left="40" w:right="248"/>
              <w:rPr>
                <w:sz w:val="24"/>
              </w:rPr>
            </w:pPr>
            <w:r>
              <w:rPr>
                <w:i/>
                <w:sz w:val="24"/>
              </w:rPr>
              <w:t>intervals </w:t>
            </w:r>
            <w:r>
              <w:rPr>
                <w:sz w:val="24"/>
              </w:rPr>
              <w:t>commencing after off time and finishing prior to on time</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1067" w:hRule="atLeast"/>
        </w:trPr>
        <w:tc>
          <w:tcPr>
            <w:tcW w:w="2463" w:type="dxa"/>
            <w:tcBorders>
              <w:top w:val="single" w:sz="4" w:space="0" w:color="000000"/>
              <w:bottom w:val="single" w:sz="4" w:space="0" w:color="000000"/>
              <w:right w:val="single" w:sz="4" w:space="0" w:color="000000"/>
            </w:tcBorders>
          </w:tcPr>
          <w:p>
            <w:pPr>
              <w:pStyle w:val="TableParagraph"/>
              <w:ind w:left="40" w:right="308"/>
              <w:rPr>
                <w:sz w:val="24"/>
              </w:rPr>
            </w:pPr>
            <w:r>
              <w:rPr>
                <w:sz w:val="24"/>
              </w:rPr>
              <w:t>For the </w:t>
            </w:r>
            <w:r>
              <w:rPr>
                <w:i/>
                <w:sz w:val="24"/>
              </w:rPr>
              <w:t>recording </w:t>
            </w:r>
            <w:r>
              <w:rPr>
                <w:i/>
                <w:sz w:val="24"/>
              </w:rPr>
              <w:t>interval </w:t>
            </w:r>
            <w:r>
              <w:rPr>
                <w:sz w:val="24"/>
              </w:rPr>
              <w:t>during which the on time occurs</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w:t>
            </w:r>
          </w:p>
          <w:p>
            <w:pPr>
              <w:pStyle w:val="TableParagraph"/>
              <w:spacing w:before="7"/>
              <w:ind w:left="0"/>
              <w:rPr>
                <w:sz w:val="2"/>
              </w:rPr>
            </w:pPr>
          </w:p>
          <w:p>
            <w:pPr>
              <w:pStyle w:val="TableParagraph"/>
              <w:spacing w:before="0"/>
              <w:rPr>
                <w:sz w:val="20"/>
              </w:rPr>
            </w:pPr>
            <w:r>
              <w:rPr>
                <w:sz w:val="20"/>
              </w:rPr>
              <w:drawing>
                <wp:inline distT="0" distB="0" distL="0" distR="0">
                  <wp:extent cx="2905125" cy="32385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22" cstate="print"/>
                          <a:stretch>
                            <a:fillRect/>
                          </a:stretch>
                        </pic:blipFill>
                        <pic:spPr>
                          <a:xfrm>
                            <a:off x="0" y="0"/>
                            <a:ext cx="2905125" cy="323850"/>
                          </a:xfrm>
                          <a:prstGeom prst="rect">
                            <a:avLst/>
                          </a:prstGeom>
                        </pic:spPr>
                      </pic:pic>
                    </a:graphicData>
                  </a:graphic>
                </wp:inline>
              </w:drawing>
            </w:r>
            <w:r>
              <w:rPr>
                <w:sz w:val="20"/>
              </w:rPr>
            </w:r>
          </w:p>
        </w:tc>
      </w:tr>
      <w:tr>
        <w:trPr>
          <w:trHeight w:val="1067" w:hRule="atLeast"/>
        </w:trPr>
        <w:tc>
          <w:tcPr>
            <w:tcW w:w="2463" w:type="dxa"/>
            <w:tcBorders>
              <w:top w:val="single" w:sz="4" w:space="0" w:color="000000"/>
              <w:right w:val="single" w:sz="4" w:space="0" w:color="000000"/>
            </w:tcBorders>
          </w:tcPr>
          <w:p>
            <w:pPr>
              <w:pStyle w:val="TableParagraph"/>
              <w:ind w:left="40" w:right="308"/>
              <w:rPr>
                <w:sz w:val="24"/>
              </w:rPr>
            </w:pPr>
            <w:r>
              <w:rPr>
                <w:sz w:val="24"/>
              </w:rPr>
              <w:t>For the </w:t>
            </w:r>
            <w:r>
              <w:rPr>
                <w:i/>
                <w:sz w:val="24"/>
              </w:rPr>
              <w:t>recording </w:t>
            </w:r>
            <w:r>
              <w:rPr>
                <w:i/>
                <w:sz w:val="24"/>
              </w:rPr>
              <w:t>interval </w:t>
            </w:r>
            <w:r>
              <w:rPr>
                <w:sz w:val="24"/>
              </w:rPr>
              <w:t>during which the off time occurs</w:t>
            </w:r>
          </w:p>
        </w:tc>
        <w:tc>
          <w:tcPr>
            <w:tcW w:w="4907" w:type="dxa"/>
            <w:tcBorders>
              <w:top w:val="single" w:sz="4" w:space="0" w:color="000000"/>
              <w:left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w:t>
            </w:r>
          </w:p>
          <w:p>
            <w:pPr>
              <w:pStyle w:val="TableParagraph"/>
              <w:spacing w:before="0"/>
              <w:rPr>
                <w:sz w:val="20"/>
              </w:rPr>
            </w:pPr>
            <w:r>
              <w:rPr>
                <w:sz w:val="20"/>
              </w:rPr>
              <w:drawing>
                <wp:inline distT="0" distB="0" distL="0" distR="0">
                  <wp:extent cx="2724150" cy="304800"/>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123" cstate="print"/>
                          <a:stretch>
                            <a:fillRect/>
                          </a:stretch>
                        </pic:blipFill>
                        <pic:spPr>
                          <a:xfrm>
                            <a:off x="0" y="0"/>
                            <a:ext cx="2724150" cy="304800"/>
                          </a:xfrm>
                          <a:prstGeom prst="rect">
                            <a:avLst/>
                          </a:prstGeom>
                        </pic:spPr>
                      </pic:pic>
                    </a:graphicData>
                  </a:graphic>
                </wp:inline>
              </w:drawing>
            </w:r>
            <w:r>
              <w:rPr>
                <w:sz w:val="20"/>
              </w:rPr>
            </w:r>
          </w:p>
          <w:p>
            <w:pPr>
              <w:pStyle w:val="TableParagraph"/>
              <w:spacing w:before="7"/>
              <w:ind w:left="0"/>
              <w:rPr>
                <w:sz w:val="16"/>
              </w:rPr>
            </w:pPr>
          </w:p>
        </w:tc>
      </w:tr>
    </w:tbl>
    <w:p>
      <w:pPr>
        <w:pStyle w:val="BodyText"/>
        <w:spacing w:before="0"/>
        <w:ind w:firstLine="0"/>
        <w:jc w:val="left"/>
        <w:rPr>
          <w:sz w:val="20"/>
        </w:rPr>
      </w:pPr>
    </w:p>
    <w:p>
      <w:pPr>
        <w:pStyle w:val="BodyText"/>
        <w:spacing w:before="2"/>
        <w:ind w:firstLine="0"/>
        <w:jc w:val="left"/>
        <w:rPr>
          <w:sz w:val="23"/>
        </w:rPr>
      </w:pPr>
    </w:p>
    <w:p>
      <w:pPr>
        <w:spacing w:before="0"/>
        <w:ind w:left="1356" w:right="0" w:firstLine="0"/>
        <w:jc w:val="left"/>
        <w:rPr>
          <w:rFonts w:ascii="Arial"/>
          <w:b/>
          <w:sz w:val="22"/>
        </w:rPr>
      </w:pPr>
      <w:r>
        <w:rPr>
          <w:rFonts w:ascii="Arial"/>
          <w:b/>
          <w:sz w:val="22"/>
        </w:rPr>
        <w:t>Other control</w:t>
      </w:r>
    </w:p>
    <w:p>
      <w:pPr>
        <w:pStyle w:val="ListParagraph"/>
        <w:numPr>
          <w:ilvl w:val="0"/>
          <w:numId w:val="589"/>
        </w:numPr>
        <w:tabs>
          <w:tab w:pos="1919" w:val="left" w:leader="none"/>
        </w:tabs>
        <w:spacing w:line="240" w:lineRule="auto" w:before="120" w:after="0"/>
        <w:ind w:left="1919" w:right="415" w:hanging="567"/>
        <w:jc w:val="both"/>
        <w:rPr>
          <w:sz w:val="24"/>
        </w:rPr>
      </w:pPr>
      <w:r>
        <w:rPr>
          <w:sz w:val="24"/>
        </w:rPr>
        <w:t>Where the on/off times for an unmetered device are not in accordance with paragraphs (i) to (m), the following alternative forms of control may </w:t>
      </w:r>
      <w:r>
        <w:rPr>
          <w:spacing w:val="-7"/>
          <w:sz w:val="24"/>
        </w:rPr>
        <w:t>be </w:t>
      </w:r>
      <w:r>
        <w:rPr>
          <w:sz w:val="24"/>
        </w:rPr>
        <w:t>used:</w:t>
      </w:r>
    </w:p>
    <w:p>
      <w:pPr>
        <w:pStyle w:val="ListParagraph"/>
        <w:numPr>
          <w:ilvl w:val="1"/>
          <w:numId w:val="589"/>
        </w:numPr>
        <w:tabs>
          <w:tab w:pos="2486" w:val="left" w:leader="none"/>
        </w:tabs>
        <w:spacing w:line="240" w:lineRule="auto" w:before="120" w:after="0"/>
        <w:ind w:left="2486" w:right="416" w:hanging="567"/>
        <w:jc w:val="both"/>
        <w:rPr>
          <w:sz w:val="24"/>
        </w:rPr>
      </w:pPr>
      <w:r>
        <w:rPr>
          <w:sz w:val="24"/>
        </w:rPr>
        <w:t>On time = sunset time + ON delay or ON time set on timer or ripple injection</w:t>
      </w:r>
      <w:r>
        <w:rPr>
          <w:spacing w:val="-1"/>
          <w:sz w:val="24"/>
        </w:rPr>
        <w:t> </w:t>
      </w:r>
      <w:r>
        <w:rPr>
          <w:sz w:val="24"/>
        </w:rPr>
        <w:t>system;</w:t>
      </w:r>
    </w:p>
    <w:p>
      <w:pPr>
        <w:pStyle w:val="ListParagraph"/>
        <w:numPr>
          <w:ilvl w:val="1"/>
          <w:numId w:val="589"/>
        </w:numPr>
        <w:tabs>
          <w:tab w:pos="2486" w:val="left" w:leader="none"/>
        </w:tabs>
        <w:spacing w:line="240" w:lineRule="auto" w:before="120" w:after="0"/>
        <w:ind w:left="2486" w:right="416" w:hanging="567"/>
        <w:jc w:val="both"/>
        <w:rPr>
          <w:sz w:val="24"/>
        </w:rPr>
      </w:pPr>
      <w:r>
        <w:rPr>
          <w:sz w:val="24"/>
        </w:rPr>
        <w:t>Off time = sunrise time + OFF delay or OFF time set on timer or ripple injection system or a fixed duration after ON</w:t>
      </w:r>
      <w:r>
        <w:rPr>
          <w:spacing w:val="-4"/>
          <w:sz w:val="24"/>
        </w:rPr>
        <w:t> </w:t>
      </w:r>
      <w:r>
        <w:rPr>
          <w:sz w:val="24"/>
        </w:rPr>
        <w:t>time.</w:t>
      </w:r>
    </w:p>
    <w:p>
      <w:pPr>
        <w:pStyle w:val="ListParagraph"/>
        <w:numPr>
          <w:ilvl w:val="0"/>
          <w:numId w:val="589"/>
        </w:numPr>
        <w:tabs>
          <w:tab w:pos="1919" w:val="left" w:leader="none"/>
        </w:tabs>
        <w:spacing w:line="240" w:lineRule="auto" w:before="120" w:after="0"/>
        <w:ind w:left="1919" w:right="416" w:hanging="567"/>
        <w:jc w:val="both"/>
        <w:rPr>
          <w:sz w:val="24"/>
        </w:rPr>
      </w:pPr>
      <w:r>
        <w:rPr>
          <w:sz w:val="24"/>
        </w:rPr>
        <w:t>Where sunrise or sunset times are used, the time is determined in accordance with paragraph</w:t>
      </w:r>
      <w:r>
        <w:rPr>
          <w:spacing w:val="-2"/>
          <w:sz w:val="24"/>
        </w:rPr>
        <w:t> </w:t>
      </w:r>
      <w:r>
        <w:rPr>
          <w:sz w:val="24"/>
        </w:rPr>
        <w:t>(j).</w:t>
      </w:r>
    </w:p>
    <w:p>
      <w:pPr>
        <w:pStyle w:val="ListParagraph"/>
        <w:numPr>
          <w:ilvl w:val="0"/>
          <w:numId w:val="589"/>
        </w:numPr>
        <w:tabs>
          <w:tab w:pos="1919" w:val="left" w:leader="none"/>
        </w:tabs>
        <w:spacing w:line="240" w:lineRule="auto" w:before="120" w:after="0"/>
        <w:ind w:left="1919" w:right="414" w:hanging="567"/>
        <w:jc w:val="both"/>
        <w:rPr>
          <w:sz w:val="24"/>
        </w:rPr>
      </w:pPr>
      <w:r>
        <w:rPr>
          <w:sz w:val="24"/>
        </w:rPr>
        <w:t>The </w:t>
      </w:r>
      <w:r>
        <w:rPr>
          <w:i/>
          <w:sz w:val="24"/>
        </w:rPr>
        <w:t>Metering Coordinator </w:t>
      </w:r>
      <w:r>
        <w:rPr>
          <w:sz w:val="24"/>
        </w:rPr>
        <w:t>must ensure that the period that the </w:t>
      </w:r>
      <w:r>
        <w:rPr>
          <w:i/>
          <w:sz w:val="24"/>
        </w:rPr>
        <w:t>load </w:t>
      </w:r>
      <w:r>
        <w:rPr>
          <w:sz w:val="24"/>
        </w:rPr>
        <w:t>is switched on during a </w:t>
      </w:r>
      <w:r>
        <w:rPr>
          <w:i/>
          <w:sz w:val="24"/>
        </w:rPr>
        <w:t>recording interval </w:t>
      </w:r>
      <w:r>
        <w:rPr>
          <w:sz w:val="24"/>
        </w:rPr>
        <w:t>is calculated as</w:t>
      </w:r>
      <w:r>
        <w:rPr>
          <w:spacing w:val="-10"/>
          <w:sz w:val="24"/>
        </w:rPr>
        <w:t> </w:t>
      </w:r>
      <w:r>
        <w:rPr>
          <w:sz w:val="24"/>
        </w:rPr>
        <w:t>follows:</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3"/>
        <w:gridCol w:w="4907"/>
      </w:tblGrid>
      <w:tr>
        <w:trPr>
          <w:trHeight w:val="395" w:hRule="atLeast"/>
        </w:trPr>
        <w:tc>
          <w:tcPr>
            <w:tcW w:w="2463"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Recording interval</w:t>
            </w:r>
          </w:p>
        </w:tc>
        <w:tc>
          <w:tcPr>
            <w:tcW w:w="490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Period load is switched on</w:t>
            </w:r>
          </w:p>
        </w:tc>
      </w:tr>
      <w:tr>
        <w:trPr>
          <w:trHeight w:val="1619" w:hRule="atLeast"/>
        </w:trPr>
        <w:tc>
          <w:tcPr>
            <w:tcW w:w="2463" w:type="dxa"/>
            <w:tcBorders>
              <w:top w:val="single" w:sz="4" w:space="0" w:color="000000"/>
              <w:bottom w:val="single" w:sz="4" w:space="0" w:color="000000"/>
              <w:right w:val="single" w:sz="4" w:space="0" w:color="000000"/>
            </w:tcBorders>
          </w:tcPr>
          <w:p>
            <w:pPr>
              <w:pStyle w:val="TableParagraph"/>
              <w:ind w:left="40" w:right="248"/>
              <w:rPr>
                <w:sz w:val="24"/>
              </w:rPr>
            </w:pPr>
            <w:r>
              <w:rPr>
                <w:sz w:val="24"/>
              </w:rPr>
              <w:t>For the </w:t>
            </w:r>
            <w:r>
              <w:rPr>
                <w:i/>
                <w:sz w:val="24"/>
              </w:rPr>
              <w:t>recording </w:t>
            </w:r>
            <w:r>
              <w:rPr>
                <w:i/>
                <w:sz w:val="24"/>
              </w:rPr>
              <w:t>intervals </w:t>
            </w:r>
            <w:r>
              <w:rPr>
                <w:sz w:val="24"/>
              </w:rPr>
              <w:t>commencing after on time and finishing prior to off time</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1</w:t>
            </w:r>
          </w:p>
        </w:tc>
      </w:tr>
      <w:tr>
        <w:trPr>
          <w:trHeight w:val="791" w:hRule="atLeast"/>
        </w:trPr>
        <w:tc>
          <w:tcPr>
            <w:tcW w:w="2463" w:type="dxa"/>
            <w:tcBorders>
              <w:top w:val="single" w:sz="4" w:space="0" w:color="000000"/>
              <w:bottom w:val="single" w:sz="4" w:space="0" w:color="000000"/>
              <w:right w:val="single" w:sz="4" w:space="0" w:color="000000"/>
            </w:tcBorders>
          </w:tcPr>
          <w:p>
            <w:pPr>
              <w:pStyle w:val="TableParagraph"/>
              <w:ind w:left="40" w:right="248"/>
              <w:rPr>
                <w:sz w:val="24"/>
              </w:rPr>
            </w:pPr>
            <w:r>
              <w:rPr>
                <w:sz w:val="24"/>
              </w:rPr>
              <w:t>For the </w:t>
            </w:r>
            <w:r>
              <w:rPr>
                <w:i/>
                <w:sz w:val="24"/>
              </w:rPr>
              <w:t>recording </w:t>
            </w:r>
            <w:r>
              <w:rPr>
                <w:i/>
                <w:sz w:val="24"/>
              </w:rPr>
              <w:t>intervals </w:t>
            </w:r>
            <w:r>
              <w:rPr>
                <w:sz w:val="24"/>
              </w:rPr>
              <w:t>commencing</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 0</w:t>
            </w:r>
          </w:p>
        </w:tc>
      </w:tr>
      <w:tr>
        <w:trPr>
          <w:trHeight w:val="1067" w:hRule="atLeast"/>
        </w:trPr>
        <w:tc>
          <w:tcPr>
            <w:tcW w:w="2463" w:type="dxa"/>
            <w:tcBorders>
              <w:top w:val="single" w:sz="4" w:space="0" w:color="000000"/>
              <w:bottom w:val="single" w:sz="4" w:space="0" w:color="000000"/>
              <w:right w:val="single" w:sz="4" w:space="0" w:color="000000"/>
            </w:tcBorders>
          </w:tcPr>
          <w:p>
            <w:pPr>
              <w:pStyle w:val="TableParagraph"/>
              <w:ind w:left="40" w:right="461"/>
              <w:rPr>
                <w:sz w:val="24"/>
              </w:rPr>
            </w:pPr>
            <w:r>
              <w:rPr>
                <w:sz w:val="24"/>
              </w:rPr>
              <w:t>after off time and finishing prior to on time</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1067" w:hRule="atLeast"/>
        </w:trPr>
        <w:tc>
          <w:tcPr>
            <w:tcW w:w="2463" w:type="dxa"/>
            <w:tcBorders>
              <w:top w:val="single" w:sz="4" w:space="0" w:color="000000"/>
              <w:bottom w:val="single" w:sz="4" w:space="0" w:color="000000"/>
              <w:right w:val="single" w:sz="4" w:space="0" w:color="000000"/>
            </w:tcBorders>
          </w:tcPr>
          <w:p>
            <w:pPr>
              <w:pStyle w:val="TableParagraph"/>
              <w:ind w:left="40" w:right="308"/>
              <w:rPr>
                <w:sz w:val="24"/>
              </w:rPr>
            </w:pPr>
            <w:r>
              <w:rPr>
                <w:sz w:val="24"/>
              </w:rPr>
              <w:t>For the </w:t>
            </w:r>
            <w:r>
              <w:rPr>
                <w:i/>
                <w:sz w:val="24"/>
              </w:rPr>
              <w:t>recording </w:t>
            </w:r>
            <w:r>
              <w:rPr>
                <w:i/>
                <w:sz w:val="24"/>
              </w:rPr>
              <w:t>interval </w:t>
            </w:r>
            <w:r>
              <w:rPr>
                <w:sz w:val="24"/>
              </w:rPr>
              <w:t>during which the on time occurs</w:t>
            </w:r>
          </w:p>
        </w:tc>
        <w:tc>
          <w:tcPr>
            <w:tcW w:w="49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(Period </w:t>
            </w:r>
            <w:r>
              <w:rPr>
                <w:i/>
                <w:sz w:val="24"/>
              </w:rPr>
              <w:t>load </w:t>
            </w:r>
            <w:r>
              <w:rPr>
                <w:sz w:val="24"/>
              </w:rPr>
              <w:t>is switched on) =</w:t>
            </w:r>
          </w:p>
          <w:p>
            <w:pPr>
              <w:pStyle w:val="TableParagraph"/>
              <w:spacing w:before="6"/>
              <w:ind w:left="0"/>
              <w:rPr>
                <w:sz w:val="2"/>
              </w:rPr>
            </w:pPr>
          </w:p>
          <w:p>
            <w:pPr>
              <w:pStyle w:val="TableParagraph"/>
              <w:spacing w:before="0"/>
              <w:rPr>
                <w:sz w:val="20"/>
              </w:rPr>
            </w:pPr>
            <w:r>
              <w:rPr>
                <w:sz w:val="20"/>
              </w:rPr>
              <w:drawing>
                <wp:inline distT="0" distB="0" distL="0" distR="0">
                  <wp:extent cx="2896248" cy="314134"/>
                  <wp:effectExtent l="0" t="0" r="0" b="0"/>
                  <wp:docPr id="31" name="image14.png"/>
                  <wp:cNvGraphicFramePr>
                    <a:graphicFrameLocks noChangeAspect="1"/>
                  </wp:cNvGraphicFramePr>
                  <a:graphic>
                    <a:graphicData uri="http://schemas.openxmlformats.org/drawingml/2006/picture">
                      <pic:pic>
                        <pic:nvPicPr>
                          <pic:cNvPr id="32" name="image14.png"/>
                          <pic:cNvPicPr/>
                        </pic:nvPicPr>
                        <pic:blipFill>
                          <a:blip r:embed="rId122" cstate="print"/>
                          <a:stretch>
                            <a:fillRect/>
                          </a:stretch>
                        </pic:blipFill>
                        <pic:spPr>
                          <a:xfrm>
                            <a:off x="0" y="0"/>
                            <a:ext cx="2896248" cy="314134"/>
                          </a:xfrm>
                          <a:prstGeom prst="rect">
                            <a:avLst/>
                          </a:prstGeom>
                        </pic:spPr>
                      </pic:pic>
                    </a:graphicData>
                  </a:graphic>
                </wp:inline>
              </w:drawing>
            </w:r>
            <w:r>
              <w:rPr>
                <w:sz w:val="20"/>
              </w:rPr>
            </w:r>
          </w:p>
        </w:tc>
      </w:tr>
      <w:tr>
        <w:trPr>
          <w:trHeight w:val="395" w:hRule="atLeast"/>
        </w:trPr>
        <w:tc>
          <w:tcPr>
            <w:tcW w:w="2463" w:type="dxa"/>
            <w:tcBorders>
              <w:top w:val="single" w:sz="4" w:space="0" w:color="000000"/>
              <w:right w:val="single" w:sz="4" w:space="0" w:color="000000"/>
            </w:tcBorders>
          </w:tcPr>
          <w:p>
            <w:pPr>
              <w:pStyle w:val="TableParagraph"/>
              <w:spacing w:line="256" w:lineRule="exact"/>
              <w:ind w:left="40"/>
              <w:rPr>
                <w:i/>
                <w:sz w:val="24"/>
              </w:rPr>
            </w:pPr>
            <w:r>
              <w:rPr>
                <w:sz w:val="24"/>
              </w:rPr>
              <w:t>For the </w:t>
            </w:r>
            <w:r>
              <w:rPr>
                <w:i/>
                <w:sz w:val="24"/>
              </w:rPr>
              <w:t>recording</w:t>
            </w:r>
          </w:p>
        </w:tc>
        <w:tc>
          <w:tcPr>
            <w:tcW w:w="4907" w:type="dxa"/>
            <w:tcBorders>
              <w:top w:val="single" w:sz="4" w:space="0" w:color="000000"/>
              <w:left w:val="single" w:sz="4" w:space="0" w:color="000000"/>
              <w:right w:val="single" w:sz="4" w:space="0" w:color="000000"/>
            </w:tcBorders>
          </w:tcPr>
          <w:p>
            <w:pPr>
              <w:pStyle w:val="TableParagraph"/>
              <w:spacing w:line="256" w:lineRule="exact"/>
              <w:rPr>
                <w:sz w:val="24"/>
              </w:rPr>
            </w:pPr>
            <w:r>
              <w:rPr>
                <w:sz w:val="24"/>
              </w:rPr>
              <w:t>(Period </w:t>
            </w:r>
            <w:r>
              <w:rPr>
                <w:i/>
                <w:sz w:val="24"/>
              </w:rPr>
              <w:t>load </w:t>
            </w:r>
            <w:r>
              <w:rPr>
                <w:sz w:val="24"/>
              </w:rPr>
              <w:t>is switched on) =</w:t>
            </w:r>
          </w:p>
        </w:tc>
      </w:tr>
    </w:tbl>
    <w:p>
      <w:pPr>
        <w:spacing w:after="0" w:line="256" w:lineRule="exac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3"/>
        <w:gridCol w:w="4907"/>
      </w:tblGrid>
      <w:tr>
        <w:trPr>
          <w:trHeight w:val="395" w:hRule="atLeast"/>
        </w:trPr>
        <w:tc>
          <w:tcPr>
            <w:tcW w:w="2463"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Recording interval</w:t>
            </w:r>
          </w:p>
        </w:tc>
        <w:tc>
          <w:tcPr>
            <w:tcW w:w="490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Period load is switched on</w:t>
            </w:r>
          </w:p>
        </w:tc>
      </w:tr>
      <w:tr>
        <w:trPr>
          <w:trHeight w:val="671" w:hRule="atLeast"/>
        </w:trPr>
        <w:tc>
          <w:tcPr>
            <w:tcW w:w="2463" w:type="dxa"/>
            <w:tcBorders>
              <w:top w:val="single" w:sz="4" w:space="0" w:color="000000"/>
              <w:right w:val="single" w:sz="4" w:space="0" w:color="000000"/>
            </w:tcBorders>
          </w:tcPr>
          <w:p>
            <w:pPr>
              <w:pStyle w:val="TableParagraph"/>
              <w:spacing w:before="0"/>
              <w:ind w:left="40" w:right="308"/>
              <w:rPr>
                <w:sz w:val="24"/>
              </w:rPr>
            </w:pPr>
            <w:r>
              <w:rPr>
                <w:i/>
                <w:sz w:val="24"/>
              </w:rPr>
              <w:t>interval </w:t>
            </w:r>
            <w:r>
              <w:rPr>
                <w:sz w:val="24"/>
              </w:rPr>
              <w:t>during which the off time occurs</w:t>
            </w:r>
          </w:p>
        </w:tc>
        <w:tc>
          <w:tcPr>
            <w:tcW w:w="4907" w:type="dxa"/>
            <w:tcBorders>
              <w:top w:val="single" w:sz="4" w:space="0" w:color="000000"/>
              <w:left w:val="single" w:sz="4" w:space="0" w:color="000000"/>
              <w:right w:val="single" w:sz="4" w:space="0" w:color="000000"/>
            </w:tcBorders>
          </w:tcPr>
          <w:p>
            <w:pPr>
              <w:pStyle w:val="TableParagraph"/>
              <w:spacing w:before="0"/>
              <w:rPr>
                <w:sz w:val="20"/>
              </w:rPr>
            </w:pPr>
            <w:r>
              <w:rPr>
                <w:sz w:val="20"/>
              </w:rPr>
              <w:drawing>
                <wp:inline distT="0" distB="0" distL="0" distR="0">
                  <wp:extent cx="2724150" cy="304800"/>
                  <wp:effectExtent l="0" t="0" r="0" b="0"/>
                  <wp:docPr id="33" name="image15.png"/>
                  <wp:cNvGraphicFramePr>
                    <a:graphicFrameLocks noChangeAspect="1"/>
                  </wp:cNvGraphicFramePr>
                  <a:graphic>
                    <a:graphicData uri="http://schemas.openxmlformats.org/drawingml/2006/picture">
                      <pic:pic>
                        <pic:nvPicPr>
                          <pic:cNvPr id="34" name="image15.png"/>
                          <pic:cNvPicPr/>
                        </pic:nvPicPr>
                        <pic:blipFill>
                          <a:blip r:embed="rId123" cstate="print"/>
                          <a:stretch>
                            <a:fillRect/>
                          </a:stretch>
                        </pic:blipFill>
                        <pic:spPr>
                          <a:xfrm>
                            <a:off x="0" y="0"/>
                            <a:ext cx="2724150" cy="304800"/>
                          </a:xfrm>
                          <a:prstGeom prst="rect">
                            <a:avLst/>
                          </a:prstGeom>
                        </pic:spPr>
                      </pic:pic>
                    </a:graphicData>
                  </a:graphic>
                </wp:inline>
              </w:drawing>
            </w:r>
            <w:r>
              <w:rPr>
                <w:sz w:val="20"/>
              </w:rPr>
            </w:r>
          </w:p>
        </w:tc>
      </w:tr>
    </w:tbl>
    <w:p>
      <w:pPr>
        <w:pStyle w:val="BodyText"/>
        <w:spacing w:before="0"/>
        <w:ind w:firstLine="0"/>
        <w:jc w:val="left"/>
        <w:rPr>
          <w:sz w:val="20"/>
        </w:rPr>
      </w:pPr>
    </w:p>
    <w:p>
      <w:pPr>
        <w:pStyle w:val="BodyText"/>
        <w:spacing w:before="10"/>
        <w:ind w:firstLine="0"/>
        <w:jc w:val="left"/>
        <w:rPr>
          <w:sz w:val="16"/>
        </w:rPr>
      </w:pPr>
    </w:p>
    <w:p>
      <w:pPr>
        <w:pStyle w:val="Heading4"/>
        <w:tabs>
          <w:tab w:pos="1658" w:val="left" w:leader="none"/>
        </w:tabs>
        <w:spacing w:before="93"/>
        <w:ind w:left="218" w:firstLine="0"/>
      </w:pPr>
      <w:bookmarkStart w:name="S7A.7.14.3 Uncontrolled unmetered device" w:id="2062"/>
      <w:bookmarkEnd w:id="2062"/>
      <w:r>
        <w:rPr>
          <w:b w:val="0"/>
        </w:rPr>
      </w:r>
      <w:bookmarkStart w:name="_bookmark855" w:id="2063"/>
      <w:bookmarkEnd w:id="2063"/>
      <w:r>
        <w:rPr>
          <w:b w:val="0"/>
        </w:rPr>
      </w:r>
      <w:r>
        <w:rPr/>
        <w:t>S7A.7.14.3</w:t>
        <w:tab/>
        <w:t>Uncontrolled unmetered</w:t>
      </w:r>
      <w:r>
        <w:rPr>
          <w:spacing w:val="-3"/>
        </w:rPr>
        <w:t> </w:t>
      </w:r>
      <w:r>
        <w:rPr/>
        <w:t>devices</w:t>
      </w:r>
    </w:p>
    <w:p>
      <w:pPr>
        <w:pStyle w:val="ListParagraph"/>
        <w:numPr>
          <w:ilvl w:val="0"/>
          <w:numId w:val="590"/>
        </w:numPr>
        <w:tabs>
          <w:tab w:pos="1918" w:val="left" w:leader="none"/>
          <w:tab w:pos="1919" w:val="left" w:leader="none"/>
        </w:tabs>
        <w:spacing w:line="240" w:lineRule="auto" w:before="120" w:after="0"/>
        <w:ind w:left="1918" w:right="0" w:hanging="567"/>
        <w:jc w:val="left"/>
        <w:rPr>
          <w:sz w:val="24"/>
        </w:rPr>
      </w:pPr>
      <w:r>
        <w:rPr>
          <w:sz w:val="24"/>
        </w:rPr>
        <w:t>[</w:t>
      </w:r>
      <w:r>
        <w:rPr>
          <w:b/>
          <w:sz w:val="24"/>
        </w:rPr>
        <w:t>Not</w:t>
      </w:r>
      <w:r>
        <w:rPr>
          <w:b/>
          <w:spacing w:val="-2"/>
          <w:sz w:val="24"/>
        </w:rPr>
        <w:t> </w:t>
      </w:r>
      <w:r>
        <w:rPr>
          <w:b/>
          <w:sz w:val="24"/>
        </w:rPr>
        <w:t>used</w:t>
      </w:r>
      <w:r>
        <w:rPr>
          <w:sz w:val="24"/>
        </w:rPr>
        <w:t>]</w:t>
      </w:r>
    </w:p>
    <w:p>
      <w:pPr>
        <w:spacing w:before="220"/>
        <w:ind w:left="1356" w:right="0" w:firstLine="0"/>
        <w:jc w:val="left"/>
        <w:rPr>
          <w:rFonts w:ascii="Arial"/>
          <w:b/>
          <w:sz w:val="22"/>
        </w:rPr>
      </w:pPr>
      <w:r>
        <w:rPr>
          <w:rFonts w:ascii="Arial"/>
          <w:b/>
          <w:sz w:val="22"/>
        </w:rPr>
        <w:t>Energy calculation</w:t>
      </w:r>
    </w:p>
    <w:p>
      <w:pPr>
        <w:pStyle w:val="ListParagraph"/>
        <w:numPr>
          <w:ilvl w:val="0"/>
          <w:numId w:val="590"/>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ensure that the </w:t>
      </w:r>
      <w:r>
        <w:rPr>
          <w:i/>
          <w:sz w:val="24"/>
        </w:rPr>
        <w:t>interval metering data </w:t>
      </w:r>
      <w:r>
        <w:rPr>
          <w:sz w:val="24"/>
        </w:rPr>
        <w:t>for other unmetered </w:t>
      </w:r>
      <w:r>
        <w:rPr>
          <w:i/>
          <w:sz w:val="24"/>
        </w:rPr>
        <w:t>loads</w:t>
      </w:r>
      <w:r>
        <w:rPr>
          <w:sz w:val="24"/>
        </w:rPr>
        <w:t>, which have been classified as a type 7 metering installation, is calculated in accordance with the following</w:t>
      </w:r>
      <w:r>
        <w:rPr>
          <w:spacing w:val="-3"/>
          <w:sz w:val="24"/>
        </w:rPr>
        <w:t> </w:t>
      </w:r>
      <w:r>
        <w:rPr>
          <w:sz w:val="24"/>
        </w:rPr>
        <w:t>algorithm:</w:t>
      </w:r>
    </w:p>
    <w:p>
      <w:pPr>
        <w:pStyle w:val="BodyText"/>
        <w:spacing w:before="9"/>
        <w:ind w:firstLine="0"/>
        <w:jc w:val="left"/>
        <w:rPr>
          <w:sz w:val="9"/>
        </w:rPr>
      </w:pPr>
      <w:r>
        <w:rPr/>
        <w:drawing>
          <wp:anchor distT="0" distB="0" distL="0" distR="0" allowOverlap="1" layoutInCell="1" locked="0" behindDoc="0" simplePos="0" relativeHeight="60">
            <wp:simplePos x="0" y="0"/>
            <wp:positionH relativeFrom="page">
              <wp:posOffset>1637003</wp:posOffset>
            </wp:positionH>
            <wp:positionV relativeFrom="paragraph">
              <wp:posOffset>96712</wp:posOffset>
            </wp:positionV>
            <wp:extent cx="5074799" cy="226314"/>
            <wp:effectExtent l="0" t="0" r="0" b="0"/>
            <wp:wrapTopAndBottom/>
            <wp:docPr id="35" name="image16.png"/>
            <wp:cNvGraphicFramePr>
              <a:graphicFrameLocks noChangeAspect="1"/>
            </wp:cNvGraphicFramePr>
            <a:graphic>
              <a:graphicData uri="http://schemas.openxmlformats.org/drawingml/2006/picture">
                <pic:pic>
                  <pic:nvPicPr>
                    <pic:cNvPr id="36" name="image16.png"/>
                    <pic:cNvPicPr/>
                  </pic:nvPicPr>
                  <pic:blipFill>
                    <a:blip r:embed="rId124" cstate="print"/>
                    <a:stretch>
                      <a:fillRect/>
                    </a:stretch>
                  </pic:blipFill>
                  <pic:spPr>
                    <a:xfrm>
                      <a:off x="0" y="0"/>
                      <a:ext cx="5074799" cy="226314"/>
                    </a:xfrm>
                    <a:prstGeom prst="rect">
                      <a:avLst/>
                    </a:prstGeom>
                  </pic:spPr>
                </pic:pic>
              </a:graphicData>
            </a:graphic>
          </wp:anchor>
        </w:drawing>
      </w:r>
    </w:p>
    <w:p>
      <w:pPr>
        <w:spacing w:before="222"/>
        <w:ind w:left="1356" w:right="0" w:firstLine="0"/>
        <w:jc w:val="left"/>
        <w:rPr>
          <w:rFonts w:ascii="Arial"/>
          <w:b/>
          <w:sz w:val="22"/>
        </w:rPr>
      </w:pPr>
      <w:r>
        <w:rPr>
          <w:rFonts w:ascii="Arial"/>
          <w:b/>
          <w:sz w:val="22"/>
        </w:rPr>
        <w:t>Inventory table</w:t>
      </w:r>
    </w:p>
    <w:p>
      <w:pPr>
        <w:pStyle w:val="ListParagraph"/>
        <w:numPr>
          <w:ilvl w:val="0"/>
          <w:numId w:val="590"/>
        </w:numPr>
        <w:tabs>
          <w:tab w:pos="1919" w:val="left" w:leader="none"/>
        </w:tabs>
        <w:spacing w:line="240" w:lineRule="auto" w:before="120" w:after="0"/>
        <w:ind w:left="1919" w:right="415" w:hanging="567"/>
        <w:jc w:val="both"/>
        <w:rPr>
          <w:sz w:val="24"/>
        </w:rPr>
      </w:pPr>
      <w:r>
        <w:rPr>
          <w:sz w:val="24"/>
        </w:rPr>
        <w:t>For each </w:t>
      </w:r>
      <w:r>
        <w:rPr>
          <w:i/>
          <w:sz w:val="24"/>
        </w:rPr>
        <w:t>NMI</w:t>
      </w:r>
      <w:r>
        <w:rPr>
          <w:sz w:val="24"/>
        </w:rPr>
        <w:t>, a separate inventory table is required that identifies each device type that forms part of the </w:t>
      </w:r>
      <w:r>
        <w:rPr>
          <w:i/>
          <w:sz w:val="24"/>
        </w:rPr>
        <w:t>NMI load </w:t>
      </w:r>
      <w:r>
        <w:rPr>
          <w:sz w:val="24"/>
        </w:rPr>
        <w:t>and for each device type</w:t>
      </w:r>
      <w:r>
        <w:rPr>
          <w:spacing w:val="-6"/>
          <w:sz w:val="24"/>
        </w:rPr>
        <w:t> </w:t>
      </w:r>
      <w:r>
        <w:rPr>
          <w:sz w:val="24"/>
        </w:rPr>
        <w:t>lists:</w:t>
      </w:r>
    </w:p>
    <w:p>
      <w:pPr>
        <w:pStyle w:val="ListParagraph"/>
        <w:numPr>
          <w:ilvl w:val="1"/>
          <w:numId w:val="590"/>
        </w:numPr>
        <w:tabs>
          <w:tab w:pos="2486" w:val="left" w:leader="none"/>
        </w:tabs>
        <w:spacing w:line="240" w:lineRule="auto" w:before="120" w:after="0"/>
        <w:ind w:left="2485" w:right="0" w:hanging="567"/>
        <w:jc w:val="both"/>
        <w:rPr>
          <w:sz w:val="24"/>
        </w:rPr>
      </w:pPr>
      <w:r>
        <w:rPr>
          <w:sz w:val="24"/>
        </w:rPr>
        <w:t>the device</w:t>
      </w:r>
      <w:r>
        <w:rPr>
          <w:spacing w:val="-1"/>
          <w:sz w:val="24"/>
        </w:rPr>
        <w:t> </w:t>
      </w:r>
      <w:r>
        <w:rPr>
          <w:sz w:val="24"/>
        </w:rPr>
        <w:t>type;</w:t>
      </w:r>
    </w:p>
    <w:p>
      <w:pPr>
        <w:pStyle w:val="ListParagraph"/>
        <w:numPr>
          <w:ilvl w:val="1"/>
          <w:numId w:val="590"/>
        </w:numPr>
        <w:tabs>
          <w:tab w:pos="2486" w:val="left" w:leader="none"/>
        </w:tabs>
        <w:spacing w:line="240" w:lineRule="auto" w:before="120" w:after="0"/>
        <w:ind w:left="2485" w:right="0" w:hanging="567"/>
        <w:jc w:val="both"/>
        <w:rPr>
          <w:sz w:val="24"/>
        </w:rPr>
      </w:pPr>
      <w:r>
        <w:rPr>
          <w:sz w:val="24"/>
        </w:rPr>
        <w:t>the form of on/off control (24 hours per</w:t>
      </w:r>
      <w:r>
        <w:rPr>
          <w:spacing w:val="-1"/>
          <w:sz w:val="24"/>
        </w:rPr>
        <w:t> </w:t>
      </w:r>
      <w:r>
        <w:rPr>
          <w:sz w:val="24"/>
        </w:rPr>
        <w:t>day);</w:t>
      </w:r>
    </w:p>
    <w:p>
      <w:pPr>
        <w:pStyle w:val="ListParagraph"/>
        <w:numPr>
          <w:ilvl w:val="1"/>
          <w:numId w:val="590"/>
        </w:numPr>
        <w:tabs>
          <w:tab w:pos="2486" w:val="left" w:leader="none"/>
        </w:tabs>
        <w:spacing w:line="240" w:lineRule="auto" w:before="120" w:after="0"/>
        <w:ind w:left="2486" w:right="414" w:hanging="567"/>
        <w:jc w:val="both"/>
        <w:rPr>
          <w:sz w:val="24"/>
        </w:rPr>
      </w:pPr>
      <w:r>
        <w:rPr>
          <w:sz w:val="24"/>
        </w:rPr>
        <w:t>if a device is shared with another </w:t>
      </w:r>
      <w:r>
        <w:rPr>
          <w:i/>
          <w:sz w:val="24"/>
        </w:rPr>
        <w:t>NMI</w:t>
      </w:r>
      <w:r>
        <w:rPr>
          <w:sz w:val="24"/>
        </w:rPr>
        <w:t>, the proportion of </w:t>
      </w:r>
      <w:r>
        <w:rPr>
          <w:i/>
          <w:sz w:val="24"/>
        </w:rPr>
        <w:t>load </w:t>
      </w:r>
      <w:r>
        <w:rPr>
          <w:sz w:val="24"/>
        </w:rPr>
        <w:t>that is agreed by relevant financially responsible participants to </w:t>
      </w:r>
      <w:r>
        <w:rPr>
          <w:spacing w:val="-6"/>
          <w:sz w:val="24"/>
        </w:rPr>
        <w:t>be </w:t>
      </w:r>
      <w:r>
        <w:rPr>
          <w:sz w:val="24"/>
        </w:rPr>
        <w:t>attributable to that </w:t>
      </w:r>
      <w:r>
        <w:rPr>
          <w:i/>
          <w:sz w:val="24"/>
        </w:rPr>
        <w:t>NMI</w:t>
      </w:r>
      <w:r>
        <w:rPr>
          <w:sz w:val="24"/>
        </w:rPr>
        <w:t>(k), and each k factor will be less than 1 and the sum of the k factors for a shared unmetered device across each respective </w:t>
      </w:r>
      <w:r>
        <w:rPr>
          <w:i/>
          <w:sz w:val="24"/>
        </w:rPr>
        <w:t>NMI </w:t>
      </w:r>
      <w:r>
        <w:rPr>
          <w:sz w:val="24"/>
        </w:rPr>
        <w:t>must be equal to</w:t>
      </w:r>
      <w:r>
        <w:rPr>
          <w:spacing w:val="-2"/>
          <w:sz w:val="24"/>
        </w:rPr>
        <w:t> </w:t>
      </w:r>
      <w:r>
        <w:rPr>
          <w:sz w:val="24"/>
        </w:rPr>
        <w:t>1;</w:t>
      </w:r>
    </w:p>
    <w:p>
      <w:pPr>
        <w:pStyle w:val="ListParagraph"/>
        <w:numPr>
          <w:ilvl w:val="1"/>
          <w:numId w:val="590"/>
        </w:numPr>
        <w:tabs>
          <w:tab w:pos="2486" w:val="left" w:leader="none"/>
        </w:tabs>
        <w:spacing w:line="240" w:lineRule="auto" w:before="120" w:after="0"/>
        <w:ind w:left="2486" w:right="416" w:hanging="567"/>
        <w:jc w:val="both"/>
        <w:rPr>
          <w:sz w:val="24"/>
        </w:rPr>
      </w:pPr>
      <w:r>
        <w:rPr>
          <w:sz w:val="24"/>
        </w:rPr>
        <w:t>if a device is not shared with another </w:t>
      </w:r>
      <w:r>
        <w:rPr>
          <w:i/>
          <w:sz w:val="24"/>
        </w:rPr>
        <w:t>NMI</w:t>
      </w:r>
      <w:r>
        <w:rPr>
          <w:sz w:val="24"/>
        </w:rPr>
        <w:t>, the k factor must be equal to 1;</w:t>
      </w:r>
    </w:p>
    <w:p>
      <w:pPr>
        <w:pStyle w:val="ListParagraph"/>
        <w:numPr>
          <w:ilvl w:val="1"/>
          <w:numId w:val="590"/>
        </w:numPr>
        <w:tabs>
          <w:tab w:pos="2486" w:val="left" w:leader="none"/>
        </w:tabs>
        <w:spacing w:line="240" w:lineRule="auto" w:before="120" w:after="0"/>
        <w:ind w:left="2485" w:right="0" w:hanging="567"/>
        <w:jc w:val="both"/>
        <w:rPr>
          <w:sz w:val="24"/>
        </w:rPr>
      </w:pPr>
      <w:r>
        <w:rPr>
          <w:sz w:val="24"/>
        </w:rPr>
        <w:t>the number of such devices</w:t>
      </w:r>
      <w:r>
        <w:rPr>
          <w:spacing w:val="-2"/>
          <w:sz w:val="24"/>
        </w:rPr>
        <w:t> </w:t>
      </w:r>
      <w:r>
        <w:rPr>
          <w:sz w:val="24"/>
        </w:rPr>
        <w:t>installed;</w:t>
      </w:r>
    </w:p>
    <w:p>
      <w:pPr>
        <w:pStyle w:val="ListParagraph"/>
        <w:numPr>
          <w:ilvl w:val="1"/>
          <w:numId w:val="590"/>
        </w:numPr>
        <w:tabs>
          <w:tab w:pos="2486" w:val="left" w:leader="none"/>
        </w:tabs>
        <w:spacing w:line="240" w:lineRule="auto" w:before="120" w:after="0"/>
        <w:ind w:left="2486" w:right="416" w:hanging="567"/>
        <w:jc w:val="both"/>
        <w:rPr>
          <w:sz w:val="24"/>
        </w:rPr>
      </w:pPr>
      <w:r>
        <w:rPr>
          <w:sz w:val="24"/>
        </w:rPr>
        <w:t>the effective start date – the first day on which that record in the inventory table is to be included in the calculation of </w:t>
      </w:r>
      <w:r>
        <w:rPr>
          <w:i/>
          <w:sz w:val="24"/>
        </w:rPr>
        <w:t>metering data </w:t>
      </w:r>
      <w:r>
        <w:rPr>
          <w:sz w:val="24"/>
        </w:rPr>
        <w:t>for that</w:t>
      </w:r>
      <w:r>
        <w:rPr>
          <w:spacing w:val="-1"/>
          <w:sz w:val="24"/>
        </w:rPr>
        <w:t> </w:t>
      </w:r>
      <w:r>
        <w:rPr>
          <w:i/>
          <w:sz w:val="24"/>
        </w:rPr>
        <w:t>NMI</w:t>
      </w:r>
      <w:r>
        <w:rPr>
          <w:sz w:val="24"/>
        </w:rPr>
        <w:t>;</w:t>
      </w:r>
    </w:p>
    <w:p>
      <w:pPr>
        <w:pStyle w:val="ListParagraph"/>
        <w:numPr>
          <w:ilvl w:val="1"/>
          <w:numId w:val="590"/>
        </w:numPr>
        <w:tabs>
          <w:tab w:pos="2486" w:val="left" w:leader="none"/>
        </w:tabs>
        <w:spacing w:line="240" w:lineRule="auto" w:before="120" w:after="0"/>
        <w:ind w:left="2486" w:right="416" w:hanging="567"/>
        <w:jc w:val="both"/>
        <w:rPr>
          <w:sz w:val="24"/>
        </w:rPr>
      </w:pPr>
      <w:r>
        <w:rPr>
          <w:sz w:val="24"/>
        </w:rPr>
        <w:t>the effective end date – the last day on which that record in</w:t>
      </w:r>
      <w:r>
        <w:rPr>
          <w:spacing w:val="41"/>
          <w:sz w:val="24"/>
        </w:rPr>
        <w:t> </w:t>
      </w:r>
      <w:r>
        <w:rPr>
          <w:sz w:val="24"/>
        </w:rPr>
        <w:t>the inventory table is to be included in the calculation of </w:t>
      </w:r>
      <w:r>
        <w:rPr>
          <w:i/>
          <w:sz w:val="24"/>
        </w:rPr>
        <w:t>metering data </w:t>
      </w:r>
      <w:r>
        <w:rPr>
          <w:sz w:val="24"/>
        </w:rPr>
        <w:t>for that </w:t>
      </w:r>
      <w:r>
        <w:rPr>
          <w:i/>
          <w:sz w:val="24"/>
        </w:rPr>
        <w:t>NMI</w:t>
      </w:r>
      <w:r>
        <w:rPr>
          <w:sz w:val="24"/>
        </w:rPr>
        <w:t>;</w:t>
      </w:r>
      <w:r>
        <w:rPr>
          <w:spacing w:val="-2"/>
          <w:sz w:val="24"/>
        </w:rPr>
        <w:t> </w:t>
      </w:r>
      <w:r>
        <w:rPr>
          <w:sz w:val="24"/>
        </w:rPr>
        <w:t>and</w:t>
      </w:r>
    </w:p>
    <w:p>
      <w:pPr>
        <w:pStyle w:val="ListParagraph"/>
        <w:numPr>
          <w:ilvl w:val="1"/>
          <w:numId w:val="590"/>
        </w:numPr>
        <w:tabs>
          <w:tab w:pos="2486" w:val="left" w:leader="none"/>
        </w:tabs>
        <w:spacing w:line="240" w:lineRule="auto" w:before="120" w:after="0"/>
        <w:ind w:left="2486" w:right="414" w:hanging="567"/>
        <w:jc w:val="both"/>
        <w:rPr>
          <w:sz w:val="24"/>
        </w:rPr>
      </w:pPr>
      <w:r>
        <w:rPr>
          <w:sz w:val="24"/>
        </w:rPr>
        <w:t>the last change date – the date that record in the inventory table was most recently created or</w:t>
      </w:r>
      <w:r>
        <w:rPr>
          <w:spacing w:val="-1"/>
          <w:sz w:val="24"/>
        </w:rPr>
        <w:t> </w:t>
      </w:r>
      <w:r>
        <w:rPr>
          <w:sz w:val="24"/>
        </w:rPr>
        <w:t>modified.</w:t>
      </w:r>
    </w:p>
    <w:p>
      <w:pPr>
        <w:pStyle w:val="ListParagraph"/>
        <w:numPr>
          <w:ilvl w:val="0"/>
          <w:numId w:val="590"/>
        </w:numPr>
        <w:tabs>
          <w:tab w:pos="1919" w:val="left" w:leader="none"/>
        </w:tabs>
        <w:spacing w:line="240" w:lineRule="auto" w:before="120" w:after="0"/>
        <w:ind w:left="1919" w:right="414" w:hanging="567"/>
        <w:jc w:val="both"/>
        <w:rPr>
          <w:sz w:val="24"/>
        </w:rPr>
      </w:pPr>
      <w:r>
        <w:rPr>
          <w:sz w:val="24"/>
        </w:rPr>
        <w:t>Each device in the inventory table is a unique combination of physical hardware, time control classification and shared portion. For example, if a device is shared with another </w:t>
      </w:r>
      <w:r>
        <w:rPr>
          <w:i/>
          <w:sz w:val="24"/>
        </w:rPr>
        <w:t>NMI</w:t>
      </w:r>
      <w:r>
        <w:rPr>
          <w:sz w:val="24"/>
        </w:rPr>
        <w:t>, the individual portions of the device(s) must be included in the inventory table as a separate device type on each NMI.</w:t>
      </w:r>
    </w:p>
    <w:p>
      <w:pPr>
        <w:pStyle w:val="ListParagraph"/>
        <w:numPr>
          <w:ilvl w:val="0"/>
          <w:numId w:val="590"/>
        </w:numPr>
        <w:tabs>
          <w:tab w:pos="566" w:val="left" w:leader="none"/>
          <w:tab w:pos="1919" w:val="left" w:leader="none"/>
        </w:tabs>
        <w:spacing w:line="240" w:lineRule="auto" w:before="120" w:after="0"/>
        <w:ind w:left="1918" w:right="414" w:hanging="1919"/>
        <w:jc w:val="right"/>
        <w:rPr>
          <w:sz w:val="24"/>
        </w:rPr>
      </w:pPr>
      <w:r>
        <w:rPr>
          <w:sz w:val="24"/>
        </w:rPr>
        <w:t>Each</w:t>
      </w:r>
      <w:r>
        <w:rPr>
          <w:spacing w:val="16"/>
          <w:sz w:val="24"/>
        </w:rPr>
        <w:t> </w:t>
      </w:r>
      <w:r>
        <w:rPr>
          <w:i/>
          <w:sz w:val="24"/>
        </w:rPr>
        <w:t>Metering</w:t>
      </w:r>
      <w:r>
        <w:rPr>
          <w:i/>
          <w:spacing w:val="17"/>
          <w:sz w:val="24"/>
        </w:rPr>
        <w:t> </w:t>
      </w:r>
      <w:r>
        <w:rPr>
          <w:i/>
          <w:sz w:val="24"/>
        </w:rPr>
        <w:t>Coordinator</w:t>
      </w:r>
      <w:r>
        <w:rPr>
          <w:i/>
          <w:spacing w:val="17"/>
          <w:sz w:val="24"/>
        </w:rPr>
        <w:t> </w:t>
      </w:r>
      <w:r>
        <w:rPr>
          <w:sz w:val="24"/>
        </w:rPr>
        <w:t>must</w:t>
      </w:r>
      <w:r>
        <w:rPr>
          <w:spacing w:val="17"/>
          <w:sz w:val="24"/>
        </w:rPr>
        <w:t> </w:t>
      </w:r>
      <w:r>
        <w:rPr>
          <w:sz w:val="24"/>
        </w:rPr>
        <w:t>develop</w:t>
      </w:r>
      <w:r>
        <w:rPr>
          <w:spacing w:val="17"/>
          <w:sz w:val="24"/>
        </w:rPr>
        <w:t> </w:t>
      </w:r>
      <w:r>
        <w:rPr>
          <w:sz w:val="24"/>
        </w:rPr>
        <w:t>the</w:t>
      </w:r>
      <w:r>
        <w:rPr>
          <w:spacing w:val="16"/>
          <w:sz w:val="24"/>
        </w:rPr>
        <w:t> </w:t>
      </w:r>
      <w:r>
        <w:rPr>
          <w:sz w:val="24"/>
        </w:rPr>
        <w:t>initial</w:t>
      </w:r>
      <w:r>
        <w:rPr>
          <w:spacing w:val="17"/>
          <w:sz w:val="24"/>
        </w:rPr>
        <w:t> </w:t>
      </w:r>
      <w:r>
        <w:rPr>
          <w:sz w:val="24"/>
        </w:rPr>
        <w:t>inventory</w:t>
      </w:r>
      <w:r>
        <w:rPr>
          <w:spacing w:val="17"/>
          <w:sz w:val="24"/>
        </w:rPr>
        <w:t> </w:t>
      </w:r>
      <w:r>
        <w:rPr>
          <w:sz w:val="24"/>
        </w:rPr>
        <w:t>table</w:t>
      </w:r>
      <w:r>
        <w:rPr>
          <w:spacing w:val="17"/>
          <w:sz w:val="24"/>
        </w:rPr>
        <w:t> </w:t>
      </w:r>
      <w:r>
        <w:rPr>
          <w:sz w:val="24"/>
        </w:rPr>
        <w:t>for</w:t>
      </w:r>
      <w:r>
        <w:rPr>
          <w:spacing w:val="17"/>
          <w:sz w:val="24"/>
        </w:rPr>
        <w:t> </w:t>
      </w:r>
      <w:r>
        <w:rPr>
          <w:sz w:val="24"/>
        </w:rPr>
        <w:t>the</w:t>
      </w:r>
    </w:p>
    <w:p>
      <w:pPr>
        <w:pStyle w:val="BodyText"/>
        <w:spacing w:before="0"/>
        <w:ind w:left="1789" w:right="415" w:firstLine="0"/>
        <w:jc w:val="right"/>
      </w:pPr>
      <w:r>
        <w:rPr>
          <w:i/>
        </w:rPr>
        <w:t>NMIs</w:t>
      </w:r>
      <w:r>
        <w:rPr>
          <w:i/>
          <w:spacing w:val="11"/>
        </w:rPr>
        <w:t> </w:t>
      </w:r>
      <w:r>
        <w:rPr/>
        <w:t>for</w:t>
      </w:r>
      <w:r>
        <w:rPr>
          <w:spacing w:val="11"/>
        </w:rPr>
        <w:t> </w:t>
      </w:r>
      <w:r>
        <w:rPr/>
        <w:t>which</w:t>
      </w:r>
      <w:r>
        <w:rPr>
          <w:spacing w:val="12"/>
        </w:rPr>
        <w:t> </w:t>
      </w:r>
      <w:r>
        <w:rPr/>
        <w:t>it</w:t>
      </w:r>
      <w:r>
        <w:rPr>
          <w:spacing w:val="11"/>
        </w:rPr>
        <w:t> </w:t>
      </w:r>
      <w:r>
        <w:rPr/>
        <w:t>is</w:t>
      </w:r>
      <w:r>
        <w:rPr>
          <w:spacing w:val="11"/>
        </w:rPr>
        <w:t> </w:t>
      </w:r>
      <w:r>
        <w:rPr/>
        <w:t>responsible.</w:t>
      </w:r>
      <w:r>
        <w:rPr>
          <w:spacing w:val="12"/>
        </w:rPr>
        <w:t> </w:t>
      </w:r>
      <w:r>
        <w:rPr/>
        <w:t>The</w:t>
      </w:r>
      <w:r>
        <w:rPr>
          <w:spacing w:val="11"/>
        </w:rPr>
        <w:t> </w:t>
      </w:r>
      <w:r>
        <w:rPr/>
        <w:t>initial</w:t>
      </w:r>
      <w:r>
        <w:rPr>
          <w:spacing w:val="11"/>
        </w:rPr>
        <w:t> </w:t>
      </w:r>
      <w:r>
        <w:rPr/>
        <w:t>inventory</w:t>
      </w:r>
      <w:r>
        <w:rPr>
          <w:spacing w:val="12"/>
        </w:rPr>
        <w:t> </w:t>
      </w:r>
      <w:r>
        <w:rPr/>
        <w:t>table</w:t>
      </w:r>
      <w:r>
        <w:rPr>
          <w:spacing w:val="11"/>
        </w:rPr>
        <w:t> </w:t>
      </w:r>
      <w:r>
        <w:rPr/>
        <w:t>must</w:t>
      </w:r>
      <w:r>
        <w:rPr>
          <w:spacing w:val="11"/>
        </w:rPr>
        <w:t> </w:t>
      </w:r>
      <w:r>
        <w:rPr/>
        <w:t>be</w:t>
      </w:r>
      <w:r>
        <w:rPr>
          <w:spacing w:val="12"/>
        </w:rPr>
        <w:t> </w:t>
      </w:r>
      <w:r>
        <w:rPr/>
        <w:t>agreed</w:t>
      </w:r>
    </w:p>
    <w:p>
      <w:pPr>
        <w:spacing w:after="0"/>
        <w:jc w:val="right"/>
        <w:sectPr>
          <w:pgSz w:w="11910" w:h="16840"/>
          <w:pgMar w:header="686" w:footer="637" w:top="1320" w:bottom="820" w:left="1200" w:right="1000"/>
        </w:sectPr>
      </w:pPr>
    </w:p>
    <w:p>
      <w:pPr>
        <w:pStyle w:val="BodyText"/>
        <w:spacing w:before="83"/>
        <w:ind w:left="1919" w:right="415" w:firstLine="0"/>
      </w:pPr>
      <w:r>
        <w:rPr/>
        <w:t>by the relevant financially responsible participants and the relevant end-use customer.</w:t>
      </w:r>
    </w:p>
    <w:p>
      <w:pPr>
        <w:pStyle w:val="ListParagraph"/>
        <w:numPr>
          <w:ilvl w:val="0"/>
          <w:numId w:val="590"/>
        </w:numPr>
        <w:tabs>
          <w:tab w:pos="1920" w:val="left" w:leader="none"/>
        </w:tabs>
        <w:spacing w:line="240" w:lineRule="auto" w:before="120" w:after="0"/>
        <w:ind w:left="1919" w:right="413" w:hanging="567"/>
        <w:jc w:val="both"/>
        <w:rPr>
          <w:sz w:val="24"/>
        </w:rPr>
      </w:pPr>
      <w:r>
        <w:rPr>
          <w:sz w:val="24"/>
        </w:rPr>
        <w:t>Each </w:t>
      </w:r>
      <w:r>
        <w:rPr>
          <w:i/>
          <w:sz w:val="24"/>
        </w:rPr>
        <w:t>Metering Coordinator </w:t>
      </w:r>
      <w:r>
        <w:rPr>
          <w:sz w:val="24"/>
        </w:rPr>
        <w:t>must use reasonable endeavours to update the inventory table, for the </w:t>
      </w:r>
      <w:r>
        <w:rPr>
          <w:i/>
          <w:sz w:val="24"/>
        </w:rPr>
        <w:t>NMIs </w:t>
      </w:r>
      <w:r>
        <w:rPr>
          <w:sz w:val="24"/>
        </w:rPr>
        <w:t>for which it is responsible, on at least</w:t>
      </w:r>
      <w:r>
        <w:rPr>
          <w:spacing w:val="29"/>
          <w:sz w:val="24"/>
        </w:rPr>
        <w:t> </w:t>
      </w:r>
      <w:r>
        <w:rPr>
          <w:sz w:val="24"/>
        </w:rPr>
        <w:t>a monthly basis for any additions, deletions and modifications to ensure that the accuracy requirements in clause S7A.7.6.2 are met. Such additions, deletions or modifications to the inventory table may only be made on a retrospective basis</w:t>
      </w:r>
      <w:r>
        <w:rPr>
          <w:spacing w:val="-1"/>
          <w:sz w:val="24"/>
        </w:rPr>
        <w:t> </w:t>
      </w:r>
      <w:r>
        <w:rPr>
          <w:sz w:val="24"/>
        </w:rPr>
        <w:t>where:</w:t>
      </w:r>
    </w:p>
    <w:p>
      <w:pPr>
        <w:pStyle w:val="ListParagraph"/>
        <w:numPr>
          <w:ilvl w:val="1"/>
          <w:numId w:val="590"/>
        </w:numPr>
        <w:tabs>
          <w:tab w:pos="2486" w:val="left" w:leader="none"/>
        </w:tabs>
        <w:spacing w:line="240" w:lineRule="auto" w:before="120" w:after="0"/>
        <w:ind w:left="2486" w:right="415" w:hanging="567"/>
        <w:jc w:val="both"/>
        <w:rPr>
          <w:sz w:val="24"/>
        </w:rPr>
      </w:pPr>
      <w:r>
        <w:rPr>
          <w:sz w:val="24"/>
        </w:rPr>
        <w:t>agreed by the </w:t>
      </w:r>
      <w:r>
        <w:rPr>
          <w:i/>
          <w:sz w:val="24"/>
        </w:rPr>
        <w:t>Metering Coordinator </w:t>
      </w:r>
      <w:r>
        <w:rPr>
          <w:sz w:val="24"/>
        </w:rPr>
        <w:t>and the relevant financially responsible participants;</w:t>
      </w:r>
      <w:r>
        <w:rPr>
          <w:spacing w:val="-1"/>
          <w:sz w:val="24"/>
        </w:rPr>
        <w:t> </w:t>
      </w:r>
      <w:r>
        <w:rPr>
          <w:sz w:val="24"/>
        </w:rPr>
        <w:t>or</w:t>
      </w:r>
    </w:p>
    <w:p>
      <w:pPr>
        <w:pStyle w:val="ListParagraph"/>
        <w:numPr>
          <w:ilvl w:val="1"/>
          <w:numId w:val="590"/>
        </w:numPr>
        <w:tabs>
          <w:tab w:pos="2486" w:val="left" w:leader="none"/>
        </w:tabs>
        <w:spacing w:line="240" w:lineRule="auto" w:before="120" w:after="0"/>
        <w:ind w:left="2485" w:right="0" w:hanging="567"/>
        <w:jc w:val="both"/>
        <w:rPr>
          <w:sz w:val="24"/>
        </w:rPr>
      </w:pPr>
      <w:r>
        <w:rPr>
          <w:sz w:val="24"/>
        </w:rPr>
        <w:t>necessary to comply with clause</w:t>
      </w:r>
      <w:r>
        <w:rPr>
          <w:spacing w:val="-1"/>
          <w:sz w:val="24"/>
        </w:rPr>
        <w:t> </w:t>
      </w:r>
      <w:r>
        <w:rPr>
          <w:sz w:val="24"/>
        </w:rPr>
        <w:t>7A.7.6.</w:t>
      </w:r>
    </w:p>
    <w:p>
      <w:pPr>
        <w:pStyle w:val="ListParagraph"/>
        <w:numPr>
          <w:ilvl w:val="0"/>
          <w:numId w:val="590"/>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communicate any material changes to the inventory table to the relevant financially responsible</w:t>
      </w:r>
      <w:r>
        <w:rPr>
          <w:spacing w:val="-3"/>
          <w:sz w:val="24"/>
        </w:rPr>
        <w:t> </w:t>
      </w:r>
      <w:r>
        <w:rPr>
          <w:sz w:val="24"/>
        </w:rPr>
        <w:t>participants.</w:t>
      </w:r>
    </w:p>
    <w:p>
      <w:pPr>
        <w:pStyle w:val="ListParagraph"/>
        <w:numPr>
          <w:ilvl w:val="0"/>
          <w:numId w:val="590"/>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must provide the inventory table to relevant financially responsible participants when</w:t>
      </w:r>
      <w:r>
        <w:rPr>
          <w:spacing w:val="-2"/>
          <w:sz w:val="24"/>
        </w:rPr>
        <w:t> </w:t>
      </w:r>
      <w:r>
        <w:rPr>
          <w:sz w:val="24"/>
        </w:rPr>
        <w:t>requested.</w:t>
      </w:r>
    </w:p>
    <w:p>
      <w:pPr>
        <w:spacing w:before="220"/>
        <w:ind w:left="1356" w:right="0" w:firstLine="0"/>
        <w:jc w:val="left"/>
        <w:rPr>
          <w:rFonts w:ascii="Arial"/>
          <w:b/>
          <w:sz w:val="22"/>
        </w:rPr>
      </w:pPr>
      <w:r>
        <w:rPr>
          <w:rFonts w:ascii="Arial"/>
          <w:b/>
          <w:sz w:val="22"/>
        </w:rPr>
        <w:t>On/off table</w:t>
      </w:r>
    </w:p>
    <w:p>
      <w:pPr>
        <w:pStyle w:val="ListParagraph"/>
        <w:numPr>
          <w:ilvl w:val="0"/>
          <w:numId w:val="590"/>
        </w:numPr>
        <w:tabs>
          <w:tab w:pos="1918" w:val="left" w:leader="none"/>
          <w:tab w:pos="1919" w:val="left" w:leader="none"/>
        </w:tabs>
        <w:spacing w:line="240" w:lineRule="auto" w:before="120" w:after="0"/>
        <w:ind w:left="1918" w:right="0" w:hanging="567"/>
        <w:jc w:val="left"/>
        <w:rPr>
          <w:sz w:val="24"/>
        </w:rPr>
      </w:pPr>
      <w:r>
        <w:rPr>
          <w:sz w:val="24"/>
        </w:rPr>
        <w:t>Other unmetered </w:t>
      </w:r>
      <w:r>
        <w:rPr>
          <w:i/>
          <w:sz w:val="24"/>
        </w:rPr>
        <w:t>loads </w:t>
      </w:r>
      <w:r>
        <w:rPr>
          <w:sz w:val="24"/>
        </w:rPr>
        <w:t>are assumed to operate 24 hours per</w:t>
      </w:r>
      <w:r>
        <w:rPr>
          <w:spacing w:val="-2"/>
          <w:sz w:val="24"/>
        </w:rPr>
        <w:t> </w:t>
      </w:r>
      <w:r>
        <w:rPr>
          <w:sz w:val="24"/>
        </w:rPr>
        <w:t>day.</w:t>
      </w:r>
    </w:p>
    <w:p>
      <w:pPr>
        <w:pStyle w:val="ListParagraph"/>
        <w:numPr>
          <w:ilvl w:val="0"/>
          <w:numId w:val="590"/>
        </w:numPr>
        <w:tabs>
          <w:tab w:pos="1918" w:val="left" w:leader="none"/>
          <w:tab w:pos="1919" w:val="left" w:leader="none"/>
        </w:tabs>
        <w:spacing w:line="240" w:lineRule="auto" w:before="120" w:after="0"/>
        <w:ind w:left="1918" w:right="0" w:hanging="567"/>
        <w:jc w:val="left"/>
        <w:rPr>
          <w:sz w:val="24"/>
        </w:rPr>
      </w:pPr>
      <w:r>
        <w:rPr>
          <w:sz w:val="24"/>
        </w:rPr>
        <w:t>For each </w:t>
      </w:r>
      <w:r>
        <w:rPr>
          <w:i/>
          <w:sz w:val="24"/>
        </w:rPr>
        <w:t>recording interval </w:t>
      </w:r>
      <w:r>
        <w:rPr>
          <w:sz w:val="24"/>
        </w:rPr>
        <w:t>period </w:t>
      </w:r>
      <w:r>
        <w:rPr>
          <w:i/>
          <w:sz w:val="24"/>
        </w:rPr>
        <w:t>load </w:t>
      </w:r>
      <w:r>
        <w:rPr>
          <w:sz w:val="24"/>
        </w:rPr>
        <w:t>is switched on =</w:t>
      </w:r>
      <w:r>
        <w:rPr>
          <w:spacing w:val="-7"/>
          <w:sz w:val="24"/>
        </w:rPr>
        <w:t> </w:t>
      </w:r>
      <w:r>
        <w:rPr>
          <w:sz w:val="24"/>
        </w:rPr>
        <w:t>1.</w:t>
      </w:r>
    </w:p>
    <w:p>
      <w:pPr>
        <w:pStyle w:val="BodyText"/>
        <w:spacing w:before="10"/>
        <w:ind w:firstLine="0"/>
        <w:jc w:val="left"/>
        <w:rPr>
          <w:sz w:val="20"/>
        </w:rPr>
      </w:pPr>
    </w:p>
    <w:p>
      <w:pPr>
        <w:pStyle w:val="Heading2"/>
        <w:tabs>
          <w:tab w:pos="2485" w:val="left" w:leader="none"/>
        </w:tabs>
      </w:pPr>
      <w:bookmarkStart w:name="Schedule 7A.8 Service level procedures" w:id="2064"/>
      <w:bookmarkEnd w:id="2064"/>
      <w:r>
        <w:rPr>
          <w:b w:val="0"/>
        </w:rPr>
      </w:r>
      <w:bookmarkStart w:name="_bookmark856" w:id="2065"/>
      <w:bookmarkEnd w:id="2065"/>
      <w:r>
        <w:rPr>
          <w:b w:val="0"/>
        </w:rPr>
      </w:r>
      <w:r>
        <w:rPr/>
        <w:t>Schedule</w:t>
      </w:r>
      <w:r>
        <w:rPr>
          <w:spacing w:val="-1"/>
        </w:rPr>
        <w:t> </w:t>
      </w:r>
      <w:r>
        <w:rPr/>
        <w:t>7A.8</w:t>
        <w:tab/>
        <w:t>Service level</w:t>
      </w:r>
      <w:r>
        <w:rPr>
          <w:spacing w:val="-2"/>
        </w:rPr>
        <w:t> </w:t>
      </w:r>
      <w:r>
        <w:rPr/>
        <w:t>procedures</w:t>
      </w:r>
    </w:p>
    <w:p>
      <w:pPr>
        <w:tabs>
          <w:tab w:pos="1352" w:val="left" w:leader="none"/>
          <w:tab w:pos="9317" w:val="left" w:leader="none"/>
        </w:tabs>
        <w:spacing w:before="240"/>
        <w:ind w:left="218" w:right="0" w:firstLine="0"/>
        <w:jc w:val="left"/>
        <w:rPr>
          <w:rFonts w:ascii="Arial"/>
          <w:b/>
          <w:sz w:val="28"/>
        </w:rPr>
      </w:pPr>
      <w:bookmarkStart w:name="Part A Introduction" w:id="2066"/>
      <w:bookmarkEnd w:id="2066"/>
      <w:r>
        <w:rPr/>
      </w:r>
      <w:bookmarkStart w:name="_bookmark857" w:id="2067"/>
      <w:bookmarkEnd w:id="2067"/>
      <w:r>
        <w:rPr/>
      </w:r>
      <w:r>
        <w:rPr>
          <w:rFonts w:ascii="Arial"/>
          <w:b/>
          <w:sz w:val="28"/>
          <w:shd w:fill="D9D9D9" w:color="auto" w:val="clear"/>
        </w:rPr>
        <w:t>Part A</w:t>
        <w:tab/>
        <w:t>Introduction</w:t>
        <w:tab/>
      </w:r>
    </w:p>
    <w:p>
      <w:pPr>
        <w:pStyle w:val="Heading4"/>
        <w:tabs>
          <w:tab w:pos="1351" w:val="left" w:leader="none"/>
        </w:tabs>
        <w:spacing w:line="510" w:lineRule="atLeast" w:before="6"/>
        <w:ind w:left="218" w:right="6139" w:firstLine="0"/>
      </w:pPr>
      <w:bookmarkStart w:name=" " w:id="2068"/>
      <w:bookmarkEnd w:id="2068"/>
      <w:r>
        <w:rPr>
          <w:b w:val="0"/>
        </w:rPr>
      </w:r>
      <w:bookmarkStart w:name="S7A.8.1 Introduction" w:id="2069"/>
      <w:bookmarkEnd w:id="2069"/>
      <w:r>
        <w:rPr>
          <w:b w:val="0"/>
        </w:rPr>
      </w:r>
      <w:bookmarkStart w:name="_bookmark858" w:id="2070"/>
      <w:bookmarkEnd w:id="2070"/>
      <w:r>
        <w:rPr>
          <w:b w:val="0"/>
        </w:rPr>
      </w:r>
      <w:r>
        <w:rPr/>
        <w:t>S7A.8.1</w:t>
        <w:tab/>
        <w:t>Introduction</w:t>
      </w:r>
      <w:bookmarkStart w:name="S7A.8.1.1 Purpose and scope" w:id="2071"/>
      <w:bookmarkEnd w:id="2071"/>
      <w:r>
        <w:rPr/>
      </w:r>
      <w:bookmarkStart w:name="_bookmark859" w:id="2072"/>
      <w:bookmarkEnd w:id="2072"/>
      <w:r>
        <w:rPr/>
      </w:r>
      <w:r>
        <w:rPr/>
        <w:t> S7A.8.1.1 Purpose and</w:t>
      </w:r>
      <w:r>
        <w:rPr>
          <w:spacing w:val="2"/>
        </w:rPr>
        <w:t> </w:t>
      </w:r>
      <w:r>
        <w:rPr>
          <w:spacing w:val="-4"/>
        </w:rPr>
        <w:t>scope</w:t>
      </w:r>
    </w:p>
    <w:p>
      <w:pPr>
        <w:pStyle w:val="ListParagraph"/>
        <w:numPr>
          <w:ilvl w:val="0"/>
          <w:numId w:val="591"/>
        </w:numPr>
        <w:tabs>
          <w:tab w:pos="1918" w:val="left" w:leader="none"/>
          <w:tab w:pos="1919" w:val="left" w:leader="none"/>
        </w:tabs>
        <w:spacing w:line="240" w:lineRule="auto" w:before="126" w:after="0"/>
        <w:ind w:left="1918" w:right="0" w:hanging="567"/>
        <w:jc w:val="left"/>
        <w:rPr>
          <w:sz w:val="24"/>
        </w:rPr>
      </w:pPr>
      <w:r>
        <w:rPr>
          <w:sz w:val="24"/>
        </w:rPr>
        <w:t>This schedule applies to </w:t>
      </w:r>
      <w:r>
        <w:rPr>
          <w:i/>
          <w:sz w:val="24"/>
        </w:rPr>
        <w:t>Metering Providers </w:t>
      </w:r>
      <w:r>
        <w:rPr>
          <w:sz w:val="24"/>
        </w:rPr>
        <w:t>and </w:t>
      </w:r>
      <w:r>
        <w:rPr>
          <w:i/>
          <w:sz w:val="24"/>
        </w:rPr>
        <w:t>Metering Data</w:t>
      </w:r>
      <w:r>
        <w:rPr>
          <w:i/>
          <w:spacing w:val="-16"/>
          <w:sz w:val="24"/>
        </w:rPr>
        <w:t> </w:t>
      </w:r>
      <w:r>
        <w:rPr>
          <w:i/>
          <w:sz w:val="24"/>
        </w:rPr>
        <w:t>Providers</w:t>
      </w:r>
      <w:r>
        <w:rPr>
          <w:sz w:val="24"/>
        </w:rPr>
        <w:t>.</w:t>
      </w:r>
    </w:p>
    <w:p>
      <w:pPr>
        <w:pStyle w:val="ListParagraph"/>
        <w:numPr>
          <w:ilvl w:val="0"/>
          <w:numId w:val="591"/>
        </w:numPr>
        <w:tabs>
          <w:tab w:pos="1918" w:val="left" w:leader="none"/>
          <w:tab w:pos="1919" w:val="left" w:leader="none"/>
        </w:tabs>
        <w:spacing w:line="240" w:lineRule="auto" w:before="120" w:after="0"/>
        <w:ind w:left="1918" w:right="0" w:hanging="567"/>
        <w:jc w:val="left"/>
        <w:rPr>
          <w:sz w:val="24"/>
        </w:rPr>
      </w:pPr>
      <w:r>
        <w:rPr>
          <w:sz w:val="24"/>
        </w:rPr>
        <w:t>This schedule sets</w:t>
      </w:r>
      <w:r>
        <w:rPr>
          <w:spacing w:val="-3"/>
          <w:sz w:val="24"/>
        </w:rPr>
        <w:t> </w:t>
      </w:r>
      <w:r>
        <w:rPr>
          <w:sz w:val="24"/>
        </w:rPr>
        <w:t>out:</w:t>
      </w:r>
    </w:p>
    <w:p>
      <w:pPr>
        <w:pStyle w:val="ListParagraph"/>
        <w:numPr>
          <w:ilvl w:val="1"/>
          <w:numId w:val="591"/>
        </w:numPr>
        <w:tabs>
          <w:tab w:pos="2485" w:val="left" w:leader="none"/>
          <w:tab w:pos="2486" w:val="left" w:leader="none"/>
        </w:tabs>
        <w:spacing w:line="240" w:lineRule="auto" w:before="120" w:after="0"/>
        <w:ind w:left="2485" w:right="0" w:hanging="567"/>
        <w:jc w:val="left"/>
        <w:rPr>
          <w:sz w:val="24"/>
        </w:rPr>
      </w:pPr>
      <w:r>
        <w:rPr>
          <w:sz w:val="24"/>
        </w:rPr>
        <w:t>the requirements for the provision, installation and maintenance</w:t>
      </w:r>
      <w:r>
        <w:rPr>
          <w:spacing w:val="-16"/>
          <w:sz w:val="24"/>
        </w:rPr>
        <w:t> </w:t>
      </w:r>
      <w:r>
        <w:rPr>
          <w:sz w:val="24"/>
        </w:rPr>
        <w:t>of</w:t>
      </w:r>
    </w:p>
    <w:p>
      <w:pPr>
        <w:spacing w:before="0"/>
        <w:ind w:left="2486" w:right="0" w:firstLine="0"/>
        <w:jc w:val="left"/>
        <w:rPr>
          <w:sz w:val="24"/>
        </w:rPr>
      </w:pPr>
      <w:r>
        <w:rPr>
          <w:i/>
          <w:sz w:val="24"/>
        </w:rPr>
        <w:t>metering installations </w:t>
      </w:r>
      <w:r>
        <w:rPr>
          <w:sz w:val="24"/>
        </w:rPr>
        <w:t>by </w:t>
      </w:r>
      <w:r>
        <w:rPr>
          <w:i/>
          <w:sz w:val="24"/>
        </w:rPr>
        <w:t>Metering Providers</w:t>
      </w:r>
      <w:r>
        <w:rPr>
          <w:sz w:val="24"/>
        </w:rPr>
        <w:t>;</w:t>
      </w:r>
    </w:p>
    <w:p>
      <w:pPr>
        <w:pStyle w:val="ListParagraph"/>
        <w:numPr>
          <w:ilvl w:val="1"/>
          <w:numId w:val="591"/>
        </w:numPr>
        <w:tabs>
          <w:tab w:pos="2485" w:val="left" w:leader="none"/>
          <w:tab w:pos="2486" w:val="left" w:leader="none"/>
        </w:tabs>
        <w:spacing w:line="240" w:lineRule="auto" w:before="120" w:after="0"/>
        <w:ind w:left="2486" w:right="415" w:hanging="567"/>
        <w:jc w:val="left"/>
        <w:rPr>
          <w:sz w:val="24"/>
        </w:rPr>
      </w:pPr>
      <w:r>
        <w:rPr>
          <w:sz w:val="24"/>
        </w:rPr>
        <w:t>requirements for the systems and processes for the collection, processing and delivery of </w:t>
      </w:r>
      <w:r>
        <w:rPr>
          <w:i/>
          <w:sz w:val="24"/>
        </w:rPr>
        <w:t>metering data </w:t>
      </w:r>
      <w:r>
        <w:rPr>
          <w:sz w:val="24"/>
        </w:rPr>
        <w:t>by </w:t>
      </w:r>
      <w:r>
        <w:rPr>
          <w:i/>
          <w:sz w:val="24"/>
        </w:rPr>
        <w:t>Metering Data</w:t>
      </w:r>
      <w:r>
        <w:rPr>
          <w:i/>
          <w:spacing w:val="-15"/>
          <w:sz w:val="24"/>
        </w:rPr>
        <w:t> </w:t>
      </w:r>
      <w:r>
        <w:rPr>
          <w:i/>
          <w:sz w:val="24"/>
        </w:rPr>
        <w:t>Providers</w:t>
      </w:r>
      <w:r>
        <w:rPr>
          <w:sz w:val="24"/>
        </w:rPr>
        <w:t>;</w:t>
      </w:r>
    </w:p>
    <w:p>
      <w:pPr>
        <w:pStyle w:val="ListParagraph"/>
        <w:numPr>
          <w:ilvl w:val="1"/>
          <w:numId w:val="591"/>
        </w:numPr>
        <w:tabs>
          <w:tab w:pos="2485" w:val="left" w:leader="none"/>
          <w:tab w:pos="2486" w:val="left" w:leader="none"/>
        </w:tabs>
        <w:spacing w:line="240" w:lineRule="auto" w:before="120" w:after="0"/>
        <w:ind w:left="2486" w:right="414" w:hanging="567"/>
        <w:jc w:val="left"/>
        <w:rPr>
          <w:sz w:val="24"/>
        </w:rPr>
      </w:pPr>
      <w:r>
        <w:rPr>
          <w:sz w:val="24"/>
        </w:rPr>
        <w:t>the performance levels associated with the collection, processing and delivery of </w:t>
      </w:r>
      <w:r>
        <w:rPr>
          <w:i/>
          <w:sz w:val="24"/>
        </w:rPr>
        <w:t>metering</w:t>
      </w:r>
      <w:r>
        <w:rPr>
          <w:i/>
          <w:spacing w:val="-1"/>
          <w:sz w:val="24"/>
        </w:rPr>
        <w:t> </w:t>
      </w:r>
      <w:r>
        <w:rPr>
          <w:i/>
          <w:sz w:val="24"/>
        </w:rPr>
        <w:t>data</w:t>
      </w:r>
      <w:r>
        <w:rPr>
          <w:sz w:val="24"/>
        </w:rPr>
        <w:t>;</w:t>
      </w:r>
    </w:p>
    <w:p>
      <w:pPr>
        <w:pStyle w:val="ListParagraph"/>
        <w:numPr>
          <w:ilvl w:val="1"/>
          <w:numId w:val="591"/>
        </w:numPr>
        <w:tabs>
          <w:tab w:pos="2485" w:val="left" w:leader="none"/>
          <w:tab w:pos="2486" w:val="left" w:leader="none"/>
        </w:tabs>
        <w:spacing w:line="240" w:lineRule="auto" w:before="120" w:after="0"/>
        <w:ind w:left="2485" w:right="0" w:hanging="567"/>
        <w:jc w:val="left"/>
        <w:rPr>
          <w:sz w:val="24"/>
        </w:rPr>
      </w:pPr>
      <w:r>
        <w:rPr>
          <w:sz w:val="24"/>
        </w:rPr>
        <w:t>the data formats that must be used for the delivery of </w:t>
      </w:r>
      <w:r>
        <w:rPr>
          <w:i/>
          <w:sz w:val="24"/>
        </w:rPr>
        <w:t>metering</w:t>
      </w:r>
      <w:r>
        <w:rPr>
          <w:i/>
          <w:spacing w:val="-6"/>
          <w:sz w:val="24"/>
        </w:rPr>
        <w:t> </w:t>
      </w:r>
      <w:r>
        <w:rPr>
          <w:i/>
          <w:sz w:val="24"/>
        </w:rPr>
        <w:t>data</w:t>
      </w:r>
      <w:r>
        <w:rPr>
          <w:sz w:val="24"/>
        </w:rPr>
        <w:t>;</w:t>
      </w:r>
    </w:p>
    <w:p>
      <w:pPr>
        <w:pStyle w:val="ListParagraph"/>
        <w:numPr>
          <w:ilvl w:val="1"/>
          <w:numId w:val="591"/>
        </w:numPr>
        <w:tabs>
          <w:tab w:pos="2485" w:val="left" w:leader="none"/>
          <w:tab w:pos="2486" w:val="left" w:leader="none"/>
        </w:tabs>
        <w:spacing w:line="240" w:lineRule="auto" w:before="120" w:after="0"/>
        <w:ind w:left="2485" w:right="0" w:hanging="567"/>
        <w:jc w:val="left"/>
        <w:rPr>
          <w:sz w:val="24"/>
        </w:rPr>
      </w:pPr>
      <w:r>
        <w:rPr>
          <w:sz w:val="24"/>
        </w:rPr>
        <w:t>the requirements for the management of relevant </w:t>
      </w:r>
      <w:r>
        <w:rPr>
          <w:i/>
          <w:sz w:val="24"/>
        </w:rPr>
        <w:t>NT NMI Data</w:t>
      </w:r>
      <w:r>
        <w:rPr>
          <w:sz w:val="24"/>
        </w:rPr>
        <w:t>;</w:t>
      </w:r>
      <w:r>
        <w:rPr>
          <w:spacing w:val="-2"/>
          <w:sz w:val="24"/>
        </w:rPr>
        <w:t> </w:t>
      </w:r>
      <w:r>
        <w:rPr>
          <w:sz w:val="24"/>
        </w:rPr>
        <w:t>and</w:t>
      </w:r>
    </w:p>
    <w:p>
      <w:pPr>
        <w:pStyle w:val="ListParagraph"/>
        <w:numPr>
          <w:ilvl w:val="1"/>
          <w:numId w:val="591"/>
        </w:numPr>
        <w:tabs>
          <w:tab w:pos="2486" w:val="left" w:leader="none"/>
        </w:tabs>
        <w:spacing w:line="240" w:lineRule="auto" w:before="120" w:after="0"/>
        <w:ind w:left="2486" w:right="414" w:hanging="567"/>
        <w:jc w:val="both"/>
        <w:rPr>
          <w:sz w:val="24"/>
        </w:rPr>
      </w:pPr>
      <w:r>
        <w:rPr>
          <w:sz w:val="24"/>
        </w:rPr>
        <w:t>the requirements for the processing of </w:t>
      </w:r>
      <w:r>
        <w:rPr>
          <w:i/>
          <w:sz w:val="24"/>
        </w:rPr>
        <w:t>metering data </w:t>
      </w:r>
      <w:r>
        <w:rPr>
          <w:sz w:val="24"/>
        </w:rPr>
        <w:t>associated with </w:t>
      </w:r>
      <w:r>
        <w:rPr>
          <w:i/>
          <w:sz w:val="24"/>
        </w:rPr>
        <w:t>connection point </w:t>
      </w:r>
      <w:r>
        <w:rPr>
          <w:sz w:val="24"/>
        </w:rPr>
        <w:t>transfers and the alteration of </w:t>
      </w:r>
      <w:r>
        <w:rPr>
          <w:i/>
          <w:sz w:val="24"/>
        </w:rPr>
        <w:t>metering installations </w:t>
      </w:r>
      <w:r>
        <w:rPr>
          <w:sz w:val="24"/>
        </w:rPr>
        <w:t>where one or more devices are</w:t>
      </w:r>
      <w:r>
        <w:rPr>
          <w:spacing w:val="-4"/>
          <w:sz w:val="24"/>
        </w:rPr>
        <w:t> </w:t>
      </w:r>
      <w:r>
        <w:rPr>
          <w:sz w:val="24"/>
        </w:rPr>
        <w:t>replaced.</w:t>
      </w:r>
    </w:p>
    <w:p>
      <w:pPr>
        <w:pStyle w:val="BodyText"/>
        <w:spacing w:before="10"/>
        <w:ind w:firstLine="0"/>
        <w:jc w:val="left"/>
        <w:rPr>
          <w:sz w:val="20"/>
        </w:rPr>
      </w:pPr>
    </w:p>
    <w:p>
      <w:pPr>
        <w:pStyle w:val="Heading4"/>
        <w:ind w:left="218" w:firstLine="0"/>
      </w:pPr>
      <w:bookmarkStart w:name="S7A.8.1.2 Definitions" w:id="2073"/>
      <w:bookmarkEnd w:id="2073"/>
      <w:r>
        <w:rPr>
          <w:b w:val="0"/>
        </w:rPr>
      </w:r>
      <w:bookmarkStart w:name="_bookmark860" w:id="2074"/>
      <w:bookmarkEnd w:id="2074"/>
      <w:r>
        <w:rPr>
          <w:b w:val="0"/>
        </w:rPr>
      </w:r>
      <w:r>
        <w:rPr/>
        <w:t>S7A.8.1.2 Definitions</w:t>
      </w:r>
    </w:p>
    <w:p>
      <w:pPr>
        <w:pStyle w:val="BodyText"/>
        <w:ind w:left="1352" w:firstLine="0"/>
        <w:jc w:val="left"/>
      </w:pPr>
      <w:r>
        <w:rPr/>
        <w:t>In this schedule:</w:t>
      </w:r>
    </w:p>
    <w:p>
      <w:pPr>
        <w:spacing w:after="0"/>
        <w:jc w:val="left"/>
        <w:sectPr>
          <w:pgSz w:w="11910" w:h="16840"/>
          <w:pgMar w:header="686" w:footer="637" w:top="1320" w:bottom="820" w:left="1200" w:right="1000"/>
        </w:sectPr>
      </w:pPr>
    </w:p>
    <w:p>
      <w:pPr>
        <w:spacing w:before="83"/>
        <w:ind w:left="1352" w:right="0" w:firstLine="0"/>
        <w:jc w:val="left"/>
        <w:rPr>
          <w:sz w:val="24"/>
        </w:rPr>
      </w:pPr>
      <w:r>
        <w:rPr>
          <w:b/>
          <w:sz w:val="24"/>
        </w:rPr>
        <w:t>collect, collection, collected </w:t>
      </w:r>
      <w:r>
        <w:rPr>
          <w:sz w:val="24"/>
        </w:rPr>
        <w:t>mean a process undertaken by the </w:t>
      </w:r>
      <w:r>
        <w:rPr>
          <w:i/>
          <w:sz w:val="24"/>
        </w:rPr>
        <w:t>Metering Data </w:t>
      </w:r>
      <w:r>
        <w:rPr>
          <w:i/>
          <w:sz w:val="24"/>
        </w:rPr>
        <w:t>Provider </w:t>
      </w:r>
      <w:r>
        <w:rPr>
          <w:sz w:val="24"/>
        </w:rPr>
        <w:t>to obtain </w:t>
      </w:r>
      <w:r>
        <w:rPr>
          <w:i/>
          <w:sz w:val="24"/>
        </w:rPr>
        <w:t>metering data </w:t>
      </w:r>
      <w:r>
        <w:rPr>
          <w:sz w:val="24"/>
        </w:rPr>
        <w:t>from a </w:t>
      </w:r>
      <w:r>
        <w:rPr>
          <w:i/>
          <w:sz w:val="24"/>
        </w:rPr>
        <w:t>meter </w:t>
      </w:r>
      <w:r>
        <w:rPr>
          <w:sz w:val="24"/>
        </w:rPr>
        <w:t>or </w:t>
      </w:r>
      <w:r>
        <w:rPr>
          <w:i/>
          <w:sz w:val="24"/>
        </w:rPr>
        <w:t>metering installation</w:t>
      </w:r>
      <w:r>
        <w:rPr>
          <w:sz w:val="24"/>
        </w:rPr>
        <w:t>.</w:t>
      </w:r>
    </w:p>
    <w:p>
      <w:pPr>
        <w:spacing w:before="120"/>
        <w:ind w:left="1352" w:right="0" w:firstLine="0"/>
        <w:jc w:val="left"/>
        <w:rPr>
          <w:sz w:val="24"/>
        </w:rPr>
      </w:pPr>
      <w:r>
        <w:rPr>
          <w:b/>
          <w:sz w:val="24"/>
        </w:rPr>
        <w:t>Service Providers </w:t>
      </w:r>
      <w:r>
        <w:rPr>
          <w:sz w:val="24"/>
        </w:rPr>
        <w:t>means </w:t>
      </w:r>
      <w:r>
        <w:rPr>
          <w:i/>
          <w:sz w:val="24"/>
        </w:rPr>
        <w:t>Metering Data Providers</w:t>
      </w:r>
      <w:r>
        <w:rPr>
          <w:sz w:val="24"/>
        </w:rPr>
        <w:t>, </w:t>
      </w:r>
      <w:r>
        <w:rPr>
          <w:i/>
          <w:sz w:val="24"/>
        </w:rPr>
        <w:t>Metering Providers </w:t>
      </w:r>
      <w:r>
        <w:rPr>
          <w:sz w:val="24"/>
        </w:rPr>
        <w:t>and</w:t>
      </w:r>
    </w:p>
    <w:p>
      <w:pPr>
        <w:spacing w:before="0"/>
        <w:ind w:left="1352" w:right="0" w:firstLine="0"/>
        <w:jc w:val="left"/>
        <w:rPr>
          <w:sz w:val="24"/>
        </w:rPr>
      </w:pPr>
      <w:r>
        <w:rPr>
          <w:i/>
          <w:sz w:val="24"/>
        </w:rPr>
        <w:t>Local Network Service Providers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B Metering provider services" w:id="2075"/>
      <w:bookmarkEnd w:id="2075"/>
      <w:r>
        <w:rPr>
          <w:b w:val="0"/>
        </w:rPr>
      </w:r>
      <w:bookmarkStart w:name="_bookmark861" w:id="2076"/>
      <w:bookmarkEnd w:id="2076"/>
      <w:r>
        <w:rPr>
          <w:b w:val="0"/>
        </w:rPr>
      </w:r>
      <w:r>
        <w:rPr>
          <w:shd w:fill="D9D9D9" w:color="auto" w:val="clear"/>
        </w:rPr>
        <w:t>Part B</w:t>
        <w:tab/>
        <w:t>Metering provider</w:t>
      </w:r>
      <w:r>
        <w:rPr>
          <w:spacing w:val="-7"/>
          <w:shd w:fill="D9D9D9" w:color="auto" w:val="clear"/>
        </w:rPr>
        <w:t> </w:t>
      </w:r>
      <w:r>
        <w:rPr>
          <w:shd w:fill="D9D9D9" w:color="auto" w:val="clear"/>
        </w:rPr>
        <w:t>services</w:t>
        <w:tab/>
      </w:r>
    </w:p>
    <w:p>
      <w:pPr>
        <w:pStyle w:val="Heading4"/>
        <w:tabs>
          <w:tab w:pos="1351" w:val="left" w:leader="none"/>
        </w:tabs>
        <w:spacing w:before="240"/>
        <w:ind w:left="218" w:firstLine="0"/>
      </w:pPr>
      <w:bookmarkStart w:name=" " w:id="2077"/>
      <w:bookmarkEnd w:id="2077"/>
      <w:r>
        <w:rPr>
          <w:b w:val="0"/>
        </w:rPr>
      </w:r>
      <w:bookmarkStart w:name="S7A.8.2 Introduction" w:id="2078"/>
      <w:bookmarkEnd w:id="2078"/>
      <w:r>
        <w:rPr>
          <w:b w:val="0"/>
        </w:rPr>
      </w:r>
      <w:bookmarkStart w:name="_bookmark862" w:id="2079"/>
      <w:bookmarkEnd w:id="2079"/>
      <w:r>
        <w:rPr>
          <w:b w:val="0"/>
        </w:rPr>
      </w:r>
      <w:r>
        <w:rPr/>
        <w:t>S7A.8.2</w:t>
        <w:tab/>
        <w:t>Introduction</w:t>
      </w:r>
    </w:p>
    <w:p>
      <w:pPr>
        <w:pStyle w:val="BodyText"/>
        <w:spacing w:before="10"/>
        <w:ind w:firstLine="0"/>
        <w:jc w:val="left"/>
        <w:rPr>
          <w:rFonts w:ascii="Arial"/>
          <w:b/>
          <w:sz w:val="20"/>
        </w:rPr>
      </w:pPr>
    </w:p>
    <w:p>
      <w:pPr>
        <w:pStyle w:val="Heading4"/>
        <w:ind w:left="218" w:firstLine="0"/>
      </w:pPr>
      <w:bookmarkStart w:name="S7A.8.2.1 Purpose and exclusions" w:id="2080"/>
      <w:bookmarkEnd w:id="2080"/>
      <w:r>
        <w:rPr>
          <w:b w:val="0"/>
        </w:rPr>
      </w:r>
      <w:bookmarkStart w:name="_bookmark863" w:id="2081"/>
      <w:bookmarkEnd w:id="2081"/>
      <w:r>
        <w:rPr>
          <w:b w:val="0"/>
        </w:rPr>
      </w:r>
      <w:r>
        <w:rPr/>
        <w:t>S7A.8.2.1 Purpose and exclusions</w:t>
      </w:r>
    </w:p>
    <w:p>
      <w:pPr>
        <w:pStyle w:val="ListParagraph"/>
        <w:numPr>
          <w:ilvl w:val="0"/>
          <w:numId w:val="592"/>
        </w:numPr>
        <w:tabs>
          <w:tab w:pos="1919" w:val="left" w:leader="none"/>
        </w:tabs>
        <w:spacing w:line="240" w:lineRule="auto" w:before="120" w:after="0"/>
        <w:ind w:left="1918" w:right="0" w:hanging="567"/>
        <w:jc w:val="both"/>
        <w:rPr>
          <w:sz w:val="24"/>
        </w:rPr>
      </w:pPr>
      <w:r>
        <w:rPr>
          <w:sz w:val="24"/>
        </w:rPr>
        <w:t>Part B of this</w:t>
      </w:r>
      <w:r>
        <w:rPr>
          <w:spacing w:val="-2"/>
          <w:sz w:val="24"/>
        </w:rPr>
        <w:t> </w:t>
      </w:r>
      <w:r>
        <w:rPr>
          <w:sz w:val="24"/>
        </w:rPr>
        <w:t>schedule:</w:t>
      </w:r>
    </w:p>
    <w:p>
      <w:pPr>
        <w:pStyle w:val="ListParagraph"/>
        <w:numPr>
          <w:ilvl w:val="1"/>
          <w:numId w:val="592"/>
        </w:numPr>
        <w:tabs>
          <w:tab w:pos="2486" w:val="left" w:leader="none"/>
        </w:tabs>
        <w:spacing w:line="240" w:lineRule="auto" w:before="120" w:after="0"/>
        <w:ind w:left="2486" w:right="415" w:hanging="567"/>
        <w:jc w:val="both"/>
        <w:rPr>
          <w:sz w:val="24"/>
        </w:rPr>
      </w:pPr>
      <w:r>
        <w:rPr>
          <w:sz w:val="24"/>
        </w:rPr>
        <w:t>details the obligations, technical requirements, measurement process and performance requirements that are to be performed, administered and maintained by a </w:t>
      </w:r>
      <w:r>
        <w:rPr>
          <w:i/>
          <w:sz w:val="24"/>
        </w:rPr>
        <w:t>Metering</w:t>
      </w:r>
      <w:r>
        <w:rPr>
          <w:i/>
          <w:spacing w:val="-1"/>
          <w:sz w:val="24"/>
        </w:rPr>
        <w:t> </w:t>
      </w:r>
      <w:r>
        <w:rPr>
          <w:i/>
          <w:sz w:val="24"/>
        </w:rPr>
        <w:t>Provider</w:t>
      </w:r>
      <w:r>
        <w:rPr>
          <w:sz w:val="24"/>
        </w:rPr>
        <w:t>;</w:t>
      </w:r>
    </w:p>
    <w:p>
      <w:pPr>
        <w:pStyle w:val="ListParagraph"/>
        <w:numPr>
          <w:ilvl w:val="1"/>
          <w:numId w:val="592"/>
        </w:numPr>
        <w:tabs>
          <w:tab w:pos="2486" w:val="left" w:leader="none"/>
        </w:tabs>
        <w:spacing w:line="240" w:lineRule="auto" w:before="120" w:after="0"/>
        <w:ind w:left="2486" w:right="415" w:hanging="567"/>
        <w:jc w:val="both"/>
        <w:rPr>
          <w:sz w:val="24"/>
        </w:rPr>
      </w:pPr>
      <w:r>
        <w:rPr>
          <w:sz w:val="24"/>
        </w:rPr>
        <w:t>details the obligations and technical/operational requirements in the provision, installation and maintenance of the </w:t>
      </w:r>
      <w:r>
        <w:rPr>
          <w:i/>
          <w:sz w:val="24"/>
        </w:rPr>
        <w:t>metering installation </w:t>
      </w:r>
      <w:r>
        <w:rPr>
          <w:sz w:val="24"/>
        </w:rPr>
        <w:t>by a </w:t>
      </w:r>
      <w:r>
        <w:rPr>
          <w:i/>
          <w:sz w:val="24"/>
        </w:rPr>
        <w:t>Metering</w:t>
      </w:r>
      <w:r>
        <w:rPr>
          <w:i/>
          <w:spacing w:val="-1"/>
          <w:sz w:val="24"/>
        </w:rPr>
        <w:t> </w:t>
      </w:r>
      <w:r>
        <w:rPr>
          <w:i/>
          <w:sz w:val="24"/>
        </w:rPr>
        <w:t>Provider</w:t>
      </w:r>
      <w:r>
        <w:rPr>
          <w:sz w:val="24"/>
        </w:rPr>
        <w:t>;</w:t>
      </w:r>
    </w:p>
    <w:p>
      <w:pPr>
        <w:pStyle w:val="ListParagraph"/>
        <w:numPr>
          <w:ilvl w:val="1"/>
          <w:numId w:val="592"/>
        </w:numPr>
        <w:tabs>
          <w:tab w:pos="2486" w:val="left" w:leader="none"/>
        </w:tabs>
        <w:spacing w:line="240" w:lineRule="auto" w:before="120" w:after="0"/>
        <w:ind w:left="2486" w:right="415" w:hanging="567"/>
        <w:jc w:val="both"/>
        <w:rPr>
          <w:sz w:val="24"/>
        </w:rPr>
      </w:pPr>
      <w:r>
        <w:rPr>
          <w:sz w:val="24"/>
        </w:rPr>
        <w:t>relates to </w:t>
      </w:r>
      <w:r>
        <w:rPr>
          <w:i/>
          <w:sz w:val="24"/>
        </w:rPr>
        <w:t>Metering Providers </w:t>
      </w:r>
      <w:r>
        <w:rPr>
          <w:sz w:val="24"/>
        </w:rPr>
        <w:t>who undertake the provision,  installation and maintenance of various </w:t>
      </w:r>
      <w:r>
        <w:rPr>
          <w:i/>
          <w:sz w:val="24"/>
        </w:rPr>
        <w:t>metering installation </w:t>
      </w:r>
      <w:r>
        <w:rPr>
          <w:sz w:val="24"/>
        </w:rPr>
        <w:t>types as stipulated;</w:t>
      </w:r>
      <w:r>
        <w:rPr>
          <w:spacing w:val="-1"/>
          <w:sz w:val="24"/>
        </w:rPr>
        <w:t> </w:t>
      </w:r>
      <w:r>
        <w:rPr>
          <w:sz w:val="24"/>
        </w:rPr>
        <w:t>and</w:t>
      </w:r>
    </w:p>
    <w:p>
      <w:pPr>
        <w:pStyle w:val="ListParagraph"/>
        <w:numPr>
          <w:ilvl w:val="1"/>
          <w:numId w:val="592"/>
        </w:numPr>
        <w:tabs>
          <w:tab w:pos="2486" w:val="left" w:leader="none"/>
        </w:tabs>
        <w:spacing w:line="240" w:lineRule="auto" w:before="120" w:after="0"/>
        <w:ind w:left="2485" w:right="0" w:hanging="567"/>
        <w:jc w:val="both"/>
        <w:rPr>
          <w:sz w:val="24"/>
        </w:rPr>
      </w:pPr>
      <w:r>
        <w:rPr>
          <w:sz w:val="24"/>
        </w:rPr>
        <w:t>sets out minimum requirements for </w:t>
      </w:r>
      <w:r>
        <w:rPr>
          <w:i/>
          <w:sz w:val="24"/>
        </w:rPr>
        <w:t>Metering</w:t>
      </w:r>
      <w:r>
        <w:rPr>
          <w:i/>
          <w:spacing w:val="-2"/>
          <w:sz w:val="24"/>
        </w:rPr>
        <w:t> </w:t>
      </w:r>
      <w:r>
        <w:rPr>
          <w:i/>
          <w:sz w:val="24"/>
        </w:rPr>
        <w:t>Providers</w:t>
      </w:r>
      <w:r>
        <w:rPr>
          <w:sz w:val="24"/>
        </w:rPr>
        <w:t>.</w:t>
      </w:r>
    </w:p>
    <w:p>
      <w:pPr>
        <w:pStyle w:val="ListParagraph"/>
        <w:numPr>
          <w:ilvl w:val="0"/>
          <w:numId w:val="592"/>
        </w:numPr>
        <w:tabs>
          <w:tab w:pos="1919" w:val="left" w:leader="none"/>
        </w:tabs>
        <w:spacing w:line="240" w:lineRule="auto" w:before="120" w:after="0"/>
        <w:ind w:left="1918" w:right="0" w:hanging="567"/>
        <w:jc w:val="both"/>
        <w:rPr>
          <w:sz w:val="24"/>
        </w:rPr>
      </w:pPr>
      <w:r>
        <w:rPr>
          <w:sz w:val="24"/>
        </w:rPr>
        <w:t>For service provision at </w:t>
      </w:r>
      <w:r>
        <w:rPr>
          <w:i/>
          <w:sz w:val="24"/>
        </w:rPr>
        <w:t>connection points</w:t>
      </w:r>
      <w:r>
        <w:rPr>
          <w:i/>
          <w:spacing w:val="-2"/>
          <w:sz w:val="24"/>
        </w:rPr>
        <w:t> </w:t>
      </w:r>
      <w:r>
        <w:rPr>
          <w:sz w:val="24"/>
        </w:rPr>
        <w:t>where:</w:t>
      </w:r>
    </w:p>
    <w:p>
      <w:pPr>
        <w:pStyle w:val="ListParagraph"/>
        <w:numPr>
          <w:ilvl w:val="1"/>
          <w:numId w:val="592"/>
        </w:numPr>
        <w:tabs>
          <w:tab w:pos="2486" w:val="left" w:leader="none"/>
        </w:tabs>
        <w:spacing w:line="240" w:lineRule="auto" w:before="120" w:after="0"/>
        <w:ind w:left="2486" w:right="415" w:hanging="567"/>
        <w:jc w:val="both"/>
        <w:rPr>
          <w:sz w:val="24"/>
        </w:rPr>
      </w:pPr>
      <w:r>
        <w:rPr>
          <w:sz w:val="24"/>
        </w:rPr>
        <w:t>the </w:t>
      </w:r>
      <w:r>
        <w:rPr>
          <w:i/>
          <w:sz w:val="24"/>
        </w:rPr>
        <w:t>Metering Provider </w:t>
      </w:r>
      <w:r>
        <w:rPr>
          <w:sz w:val="24"/>
        </w:rPr>
        <w:t>and the </w:t>
      </w:r>
      <w:r>
        <w:rPr>
          <w:i/>
          <w:sz w:val="24"/>
        </w:rPr>
        <w:t>Metering Data Provider </w:t>
      </w:r>
      <w:r>
        <w:rPr>
          <w:sz w:val="24"/>
        </w:rPr>
        <w:t>are part of the same company;</w:t>
      </w:r>
      <w:r>
        <w:rPr>
          <w:spacing w:val="-2"/>
          <w:sz w:val="24"/>
        </w:rPr>
        <w:t> </w:t>
      </w:r>
      <w:r>
        <w:rPr>
          <w:sz w:val="24"/>
        </w:rPr>
        <w:t>and</w:t>
      </w:r>
    </w:p>
    <w:p>
      <w:pPr>
        <w:pStyle w:val="ListParagraph"/>
        <w:numPr>
          <w:ilvl w:val="1"/>
          <w:numId w:val="592"/>
        </w:numPr>
        <w:tabs>
          <w:tab w:pos="2486" w:val="left" w:leader="none"/>
        </w:tabs>
        <w:spacing w:line="240" w:lineRule="auto" w:before="120" w:after="0"/>
        <w:ind w:left="2486" w:right="415" w:hanging="567"/>
        <w:jc w:val="both"/>
        <w:rPr>
          <w:sz w:val="24"/>
        </w:rPr>
      </w:pPr>
      <w:r>
        <w:rPr>
          <w:i/>
          <w:sz w:val="24"/>
        </w:rPr>
        <w:t>metering installation </w:t>
      </w:r>
      <w:r>
        <w:rPr>
          <w:sz w:val="24"/>
        </w:rPr>
        <w:t>provision or maintenance work is performed using internal processes and procedures, those internal processes </w:t>
      </w:r>
      <w:r>
        <w:rPr>
          <w:spacing w:val="-5"/>
          <w:sz w:val="24"/>
        </w:rPr>
        <w:t>and </w:t>
      </w:r>
      <w:r>
        <w:rPr>
          <w:sz w:val="24"/>
        </w:rPr>
        <w:t>procedures will be deemed to be compliant with this Part if the </w:t>
      </w:r>
      <w:r>
        <w:rPr>
          <w:i/>
          <w:sz w:val="24"/>
        </w:rPr>
        <w:t>metering </w:t>
      </w:r>
      <w:r>
        <w:rPr>
          <w:sz w:val="24"/>
        </w:rPr>
        <w:t>work satisfies the performance and quality outcomes of this Part.</w:t>
      </w:r>
    </w:p>
    <w:p>
      <w:pPr>
        <w:pStyle w:val="BodyText"/>
        <w:spacing w:before="10"/>
        <w:ind w:firstLine="0"/>
        <w:jc w:val="left"/>
        <w:rPr>
          <w:sz w:val="12"/>
        </w:rPr>
      </w:pPr>
    </w:p>
    <w:p>
      <w:pPr>
        <w:pStyle w:val="Heading4"/>
        <w:spacing w:before="92"/>
        <w:ind w:left="218" w:firstLine="0"/>
      </w:pPr>
      <w:bookmarkStart w:name="S7A.8.2.2 Services" w:id="2082"/>
      <w:bookmarkEnd w:id="2082"/>
      <w:r>
        <w:rPr>
          <w:b w:val="0"/>
        </w:rPr>
      </w:r>
      <w:bookmarkStart w:name="_bookmark864" w:id="2083"/>
      <w:bookmarkEnd w:id="2083"/>
      <w:r>
        <w:rPr>
          <w:b w:val="0"/>
        </w:rPr>
      </w:r>
      <w:r>
        <w:rPr/>
        <w:t>S7A.8.2.2 Services</w:t>
      </w:r>
    </w:p>
    <w:p>
      <w:pPr>
        <w:pStyle w:val="BodyText"/>
        <w:ind w:left="1352" w:right="415" w:firstLine="0"/>
        <w:jc w:val="left"/>
      </w:pPr>
      <w:r>
        <w:rPr/>
        <w:t>The </w:t>
      </w:r>
      <w:r>
        <w:rPr>
          <w:i/>
        </w:rPr>
        <w:t>Metering Provider </w:t>
      </w:r>
      <w:r>
        <w:rPr/>
        <w:t>is responsible for the provision of metering provision services, including but not limited to:</w:t>
      </w:r>
    </w:p>
    <w:p>
      <w:pPr>
        <w:pStyle w:val="ListParagraph"/>
        <w:numPr>
          <w:ilvl w:val="0"/>
          <w:numId w:val="593"/>
        </w:numPr>
        <w:tabs>
          <w:tab w:pos="1918" w:val="left" w:leader="none"/>
          <w:tab w:pos="1919" w:val="left" w:leader="none"/>
        </w:tabs>
        <w:spacing w:line="240" w:lineRule="auto" w:before="120" w:after="0"/>
        <w:ind w:left="1918" w:right="0" w:hanging="567"/>
        <w:jc w:val="left"/>
        <w:rPr>
          <w:sz w:val="24"/>
        </w:rPr>
      </w:pPr>
      <w:r>
        <w:rPr>
          <w:sz w:val="24"/>
        </w:rPr>
        <w:t>maintaining the ongoing </w:t>
      </w:r>
      <w:r>
        <w:rPr>
          <w:i/>
          <w:sz w:val="24"/>
        </w:rPr>
        <w:t>metering installation </w:t>
      </w:r>
      <w:r>
        <w:rPr>
          <w:sz w:val="24"/>
        </w:rPr>
        <w:t>compliance with the</w:t>
      </w:r>
      <w:r>
        <w:rPr>
          <w:spacing w:val="-7"/>
          <w:sz w:val="24"/>
        </w:rPr>
        <w:t> </w:t>
      </w:r>
      <w:r>
        <w:rPr>
          <w:i/>
          <w:sz w:val="24"/>
        </w:rPr>
        <w:t>Rules</w:t>
      </w:r>
      <w:r>
        <w:rPr>
          <w:sz w:val="24"/>
        </w:rPr>
        <w:t>;</w:t>
      </w:r>
    </w:p>
    <w:p>
      <w:pPr>
        <w:pStyle w:val="ListParagraph"/>
        <w:numPr>
          <w:ilvl w:val="0"/>
          <w:numId w:val="593"/>
        </w:numPr>
        <w:tabs>
          <w:tab w:pos="1918" w:val="left" w:leader="none"/>
          <w:tab w:pos="1919" w:val="left" w:leader="none"/>
        </w:tabs>
        <w:spacing w:line="240" w:lineRule="auto" w:before="120" w:after="0"/>
        <w:ind w:left="1919" w:right="415" w:hanging="567"/>
        <w:jc w:val="left"/>
        <w:rPr>
          <w:sz w:val="24"/>
        </w:rPr>
      </w:pPr>
      <w:r>
        <w:rPr>
          <w:sz w:val="24"/>
        </w:rPr>
        <w:t>the provision and maintenance of physical </w:t>
      </w:r>
      <w:r>
        <w:rPr>
          <w:i/>
          <w:sz w:val="24"/>
        </w:rPr>
        <w:t>metering installation </w:t>
      </w:r>
      <w:r>
        <w:rPr>
          <w:sz w:val="24"/>
        </w:rPr>
        <w:t>security controls;</w:t>
      </w:r>
    </w:p>
    <w:p>
      <w:pPr>
        <w:pStyle w:val="ListParagraph"/>
        <w:numPr>
          <w:ilvl w:val="0"/>
          <w:numId w:val="593"/>
        </w:numPr>
        <w:tabs>
          <w:tab w:pos="1918" w:val="left" w:leader="none"/>
          <w:tab w:pos="1919" w:val="left" w:leader="none"/>
        </w:tabs>
        <w:spacing w:line="240" w:lineRule="auto" w:before="120" w:after="0"/>
        <w:ind w:left="1918" w:right="0" w:hanging="567"/>
        <w:jc w:val="left"/>
        <w:rPr>
          <w:sz w:val="24"/>
        </w:rPr>
      </w:pPr>
      <w:r>
        <w:rPr>
          <w:sz w:val="24"/>
        </w:rPr>
        <w:t>the provision, installation and maintenance of the </w:t>
      </w:r>
      <w:r>
        <w:rPr>
          <w:i/>
          <w:sz w:val="24"/>
        </w:rPr>
        <w:t>metering</w:t>
      </w:r>
      <w:r>
        <w:rPr>
          <w:i/>
          <w:spacing w:val="-6"/>
          <w:sz w:val="24"/>
        </w:rPr>
        <w:t> </w:t>
      </w:r>
      <w:r>
        <w:rPr>
          <w:i/>
          <w:sz w:val="24"/>
        </w:rPr>
        <w:t>installation</w:t>
      </w:r>
      <w:r>
        <w:rPr>
          <w:sz w:val="24"/>
        </w:rPr>
        <w:t>;</w:t>
      </w:r>
    </w:p>
    <w:p>
      <w:pPr>
        <w:pStyle w:val="ListParagraph"/>
        <w:numPr>
          <w:ilvl w:val="0"/>
          <w:numId w:val="593"/>
        </w:numPr>
        <w:tabs>
          <w:tab w:pos="1918" w:val="left" w:leader="none"/>
          <w:tab w:pos="1919" w:val="left" w:leader="none"/>
        </w:tabs>
        <w:spacing w:line="240" w:lineRule="auto" w:before="120" w:after="0"/>
        <w:ind w:left="1918" w:right="0" w:hanging="567"/>
        <w:jc w:val="left"/>
        <w:rPr>
          <w:sz w:val="24"/>
        </w:rPr>
      </w:pPr>
      <w:r>
        <w:rPr>
          <w:sz w:val="24"/>
        </w:rPr>
        <w:t>the maintenance of metering </w:t>
      </w:r>
      <w:r>
        <w:rPr>
          <w:i/>
          <w:sz w:val="24"/>
        </w:rPr>
        <w:t>installation </w:t>
      </w:r>
      <w:r>
        <w:rPr>
          <w:sz w:val="24"/>
        </w:rPr>
        <w:t>password security;</w:t>
      </w:r>
      <w:r>
        <w:rPr>
          <w:spacing w:val="-2"/>
          <w:sz w:val="24"/>
        </w:rPr>
        <w:t> </w:t>
      </w:r>
      <w:r>
        <w:rPr>
          <w:sz w:val="24"/>
        </w:rPr>
        <w:t>and</w:t>
      </w:r>
    </w:p>
    <w:p>
      <w:pPr>
        <w:pStyle w:val="ListParagraph"/>
        <w:numPr>
          <w:ilvl w:val="0"/>
          <w:numId w:val="593"/>
        </w:numPr>
        <w:tabs>
          <w:tab w:pos="1918" w:val="left" w:leader="none"/>
          <w:tab w:pos="1919" w:val="left" w:leader="none"/>
        </w:tabs>
        <w:spacing w:line="240" w:lineRule="auto" w:before="120" w:after="0"/>
        <w:ind w:left="1918" w:right="0" w:hanging="567"/>
        <w:jc w:val="left"/>
        <w:rPr>
          <w:sz w:val="24"/>
        </w:rPr>
      </w:pPr>
      <w:r>
        <w:rPr>
          <w:sz w:val="24"/>
        </w:rPr>
        <w:t>the development and maintenance of an Asset Test</w:t>
      </w:r>
      <w:r>
        <w:rPr>
          <w:spacing w:val="-4"/>
          <w:sz w:val="24"/>
        </w:rPr>
        <w:t> </w:t>
      </w:r>
      <w:r>
        <w:rPr>
          <w:sz w:val="24"/>
        </w:rPr>
        <w:t>Plan.</w:t>
      </w:r>
    </w:p>
    <w:p>
      <w:pPr>
        <w:pStyle w:val="BodyText"/>
        <w:spacing w:before="10"/>
        <w:ind w:firstLine="0"/>
        <w:jc w:val="left"/>
        <w:rPr>
          <w:sz w:val="20"/>
        </w:rPr>
      </w:pPr>
    </w:p>
    <w:p>
      <w:pPr>
        <w:pStyle w:val="Heading4"/>
        <w:tabs>
          <w:tab w:pos="1351" w:val="left" w:leader="none"/>
        </w:tabs>
        <w:ind w:left="218" w:firstLine="0"/>
      </w:pPr>
      <w:bookmarkStart w:name="S7A.8.3 General requirements" w:id="2084"/>
      <w:bookmarkEnd w:id="2084"/>
      <w:r>
        <w:rPr>
          <w:b w:val="0"/>
        </w:rPr>
      </w:r>
      <w:bookmarkStart w:name="_bookmark865" w:id="2085"/>
      <w:bookmarkEnd w:id="2085"/>
      <w:r>
        <w:rPr>
          <w:b w:val="0"/>
        </w:rPr>
      </w:r>
      <w:r>
        <w:rPr/>
        <w:t>S7A.8.3</w:t>
        <w:tab/>
        <w:t>General</w:t>
      </w:r>
      <w:r>
        <w:rPr>
          <w:spacing w:val="-1"/>
        </w:rPr>
        <w:t> </w:t>
      </w:r>
      <w:r>
        <w:rPr/>
        <w:t>requirements</w:t>
      </w:r>
    </w:p>
    <w:p>
      <w:pPr>
        <w:pStyle w:val="BodyText"/>
        <w:spacing w:before="10"/>
        <w:ind w:firstLine="0"/>
        <w:jc w:val="left"/>
        <w:rPr>
          <w:rFonts w:ascii="Arial"/>
          <w:b/>
          <w:sz w:val="20"/>
        </w:rPr>
      </w:pPr>
    </w:p>
    <w:p>
      <w:pPr>
        <w:pStyle w:val="Heading4"/>
        <w:ind w:left="218" w:firstLine="0"/>
      </w:pPr>
      <w:bookmarkStart w:name="S7A.8.3.1 Metering Provider capability a" w:id="2086"/>
      <w:bookmarkEnd w:id="2086"/>
      <w:r>
        <w:rPr>
          <w:b w:val="0"/>
        </w:rPr>
      </w:r>
      <w:bookmarkStart w:name="_bookmark866" w:id="2087"/>
      <w:bookmarkEnd w:id="2087"/>
      <w:r>
        <w:rPr>
          <w:b w:val="0"/>
        </w:rPr>
      </w:r>
      <w:r>
        <w:rPr/>
        <w:t>S7A.8.3.1 Metering Provider capability and competency</w:t>
      </w:r>
    </w:p>
    <w:p>
      <w:pPr>
        <w:spacing w:before="120"/>
        <w:ind w:left="1352" w:right="0" w:firstLine="0"/>
        <w:jc w:val="left"/>
        <w:rPr>
          <w:sz w:val="24"/>
        </w:rPr>
      </w:pPr>
      <w:r>
        <w:rPr>
          <w:i/>
          <w:sz w:val="24"/>
        </w:rPr>
        <w:t>Metering Providers </w:t>
      </w:r>
      <w:r>
        <w:rPr>
          <w:sz w:val="24"/>
        </w:rPr>
        <w:t>must:</w:t>
      </w:r>
    </w:p>
    <w:p>
      <w:pPr>
        <w:spacing w:after="0"/>
        <w:jc w:val="left"/>
        <w:rPr>
          <w:sz w:val="24"/>
        </w:rPr>
        <w:sectPr>
          <w:pgSz w:w="11910" w:h="16840"/>
          <w:pgMar w:header="686" w:footer="637" w:top="1320" w:bottom="820" w:left="1200" w:right="1000"/>
        </w:sectPr>
      </w:pPr>
    </w:p>
    <w:p>
      <w:pPr>
        <w:pStyle w:val="ListParagraph"/>
        <w:numPr>
          <w:ilvl w:val="0"/>
          <w:numId w:val="594"/>
        </w:numPr>
        <w:tabs>
          <w:tab w:pos="1919" w:val="left" w:leader="none"/>
        </w:tabs>
        <w:spacing w:line="240" w:lineRule="auto" w:before="83" w:after="0"/>
        <w:ind w:left="1919" w:right="415" w:hanging="567"/>
        <w:jc w:val="both"/>
        <w:rPr>
          <w:sz w:val="24"/>
        </w:rPr>
      </w:pPr>
      <w:r>
        <w:rPr>
          <w:sz w:val="24"/>
        </w:rPr>
        <w:t>employ personnel with the skills, knowledge and expertise necessary for the discharge of the responsibilities under Chapter 7A and have procedures </w:t>
      </w:r>
      <w:r>
        <w:rPr>
          <w:spacing w:val="-5"/>
          <w:sz w:val="24"/>
        </w:rPr>
        <w:t>for </w:t>
      </w:r>
      <w:r>
        <w:rPr>
          <w:sz w:val="24"/>
        </w:rPr>
        <w:t>ensuring that personnel maintain their knowledge and understanding of the requirements of the</w:t>
      </w:r>
      <w:r>
        <w:rPr>
          <w:spacing w:val="-1"/>
          <w:sz w:val="24"/>
        </w:rPr>
        <w:t> </w:t>
      </w:r>
      <w:r>
        <w:rPr>
          <w:i/>
          <w:sz w:val="24"/>
        </w:rPr>
        <w:t>Rules</w:t>
      </w:r>
      <w:r>
        <w:rPr>
          <w:sz w:val="24"/>
        </w:rPr>
        <w:t>;</w:t>
      </w:r>
    </w:p>
    <w:p>
      <w:pPr>
        <w:pStyle w:val="ListParagraph"/>
        <w:numPr>
          <w:ilvl w:val="0"/>
          <w:numId w:val="594"/>
        </w:numPr>
        <w:tabs>
          <w:tab w:pos="1919" w:val="left" w:leader="none"/>
        </w:tabs>
        <w:spacing w:line="240" w:lineRule="auto" w:before="120" w:after="0"/>
        <w:ind w:left="1918" w:right="0" w:hanging="567"/>
        <w:jc w:val="both"/>
        <w:rPr>
          <w:sz w:val="24"/>
        </w:rPr>
      </w:pPr>
      <w:r>
        <w:rPr>
          <w:sz w:val="24"/>
        </w:rPr>
        <w:t>maintain a register of employees, which for each employee must</w:t>
      </w:r>
      <w:r>
        <w:rPr>
          <w:spacing w:val="-6"/>
          <w:sz w:val="24"/>
        </w:rPr>
        <w:t> </w:t>
      </w:r>
      <w:r>
        <w:rPr>
          <w:sz w:val="24"/>
        </w:rPr>
        <w:t>include:</w:t>
      </w:r>
    </w:p>
    <w:p>
      <w:pPr>
        <w:pStyle w:val="ListParagraph"/>
        <w:numPr>
          <w:ilvl w:val="1"/>
          <w:numId w:val="594"/>
        </w:numPr>
        <w:tabs>
          <w:tab w:pos="2485" w:val="left" w:leader="none"/>
          <w:tab w:pos="2486" w:val="left" w:leader="none"/>
        </w:tabs>
        <w:spacing w:line="240" w:lineRule="auto" w:before="120" w:after="0"/>
        <w:ind w:left="2485" w:right="0" w:hanging="567"/>
        <w:jc w:val="left"/>
        <w:rPr>
          <w:sz w:val="24"/>
        </w:rPr>
      </w:pPr>
      <w:r>
        <w:rPr>
          <w:sz w:val="24"/>
        </w:rPr>
        <w:t>skills, knowledge and</w:t>
      </w:r>
      <w:r>
        <w:rPr>
          <w:spacing w:val="-1"/>
          <w:sz w:val="24"/>
        </w:rPr>
        <w:t> </w:t>
      </w:r>
      <w:r>
        <w:rPr>
          <w:sz w:val="24"/>
        </w:rPr>
        <w:t>expertise;</w:t>
      </w:r>
    </w:p>
    <w:p>
      <w:pPr>
        <w:pStyle w:val="ListParagraph"/>
        <w:numPr>
          <w:ilvl w:val="1"/>
          <w:numId w:val="594"/>
        </w:numPr>
        <w:tabs>
          <w:tab w:pos="2485" w:val="left" w:leader="none"/>
          <w:tab w:pos="2486" w:val="left" w:leader="none"/>
        </w:tabs>
        <w:spacing w:line="240" w:lineRule="auto" w:before="120" w:after="0"/>
        <w:ind w:left="2486" w:right="416" w:hanging="567"/>
        <w:jc w:val="left"/>
        <w:rPr>
          <w:sz w:val="24"/>
        </w:rPr>
      </w:pPr>
      <w:r>
        <w:rPr>
          <w:sz w:val="24"/>
        </w:rPr>
        <w:t>qualifications, registrations and accreditations where applicable to the discharge of </w:t>
      </w:r>
      <w:r>
        <w:rPr>
          <w:i/>
          <w:sz w:val="24"/>
        </w:rPr>
        <w:t>Metering Provider</w:t>
      </w:r>
      <w:r>
        <w:rPr>
          <w:i/>
          <w:spacing w:val="-1"/>
          <w:sz w:val="24"/>
        </w:rPr>
        <w:t> </w:t>
      </w:r>
      <w:r>
        <w:rPr>
          <w:sz w:val="24"/>
        </w:rPr>
        <w:t>duties;</w:t>
      </w:r>
    </w:p>
    <w:p>
      <w:pPr>
        <w:pStyle w:val="ListParagraph"/>
        <w:numPr>
          <w:ilvl w:val="1"/>
          <w:numId w:val="594"/>
        </w:numPr>
        <w:tabs>
          <w:tab w:pos="2485" w:val="left" w:leader="none"/>
          <w:tab w:pos="2486" w:val="left" w:leader="none"/>
        </w:tabs>
        <w:spacing w:line="240" w:lineRule="auto" w:before="120" w:after="0"/>
        <w:ind w:left="2485" w:right="0" w:hanging="567"/>
        <w:jc w:val="left"/>
        <w:rPr>
          <w:sz w:val="24"/>
        </w:rPr>
      </w:pPr>
      <w:r>
        <w:rPr>
          <w:sz w:val="24"/>
        </w:rPr>
        <w:t>training undertaken and</w:t>
      </w:r>
      <w:r>
        <w:rPr>
          <w:spacing w:val="-1"/>
          <w:sz w:val="24"/>
        </w:rPr>
        <w:t> </w:t>
      </w:r>
      <w:r>
        <w:rPr>
          <w:sz w:val="24"/>
        </w:rPr>
        <w:t>planned;</w:t>
      </w:r>
    </w:p>
    <w:p>
      <w:pPr>
        <w:pStyle w:val="ListParagraph"/>
        <w:numPr>
          <w:ilvl w:val="1"/>
          <w:numId w:val="594"/>
        </w:numPr>
        <w:tabs>
          <w:tab w:pos="2485" w:val="left" w:leader="none"/>
          <w:tab w:pos="2486" w:val="left" w:leader="none"/>
        </w:tabs>
        <w:spacing w:line="240" w:lineRule="auto" w:before="120" w:after="0"/>
        <w:ind w:left="2486" w:right="415" w:hanging="567"/>
        <w:jc w:val="left"/>
        <w:rPr>
          <w:sz w:val="24"/>
        </w:rPr>
      </w:pPr>
      <w:r>
        <w:rPr>
          <w:sz w:val="24"/>
        </w:rPr>
        <w:t>authorisations to provide opinions and interpretations of </w:t>
      </w:r>
      <w:r>
        <w:rPr>
          <w:spacing w:val="-3"/>
          <w:sz w:val="24"/>
        </w:rPr>
        <w:t>technical </w:t>
      </w:r>
      <w:r>
        <w:rPr>
          <w:sz w:val="24"/>
        </w:rPr>
        <w:t>information;</w:t>
      </w:r>
      <w:r>
        <w:rPr>
          <w:spacing w:val="-1"/>
          <w:sz w:val="24"/>
        </w:rPr>
        <w:t> </w:t>
      </w:r>
      <w:r>
        <w:rPr>
          <w:sz w:val="24"/>
        </w:rPr>
        <w:t>and</w:t>
      </w:r>
    </w:p>
    <w:p>
      <w:pPr>
        <w:pStyle w:val="ListParagraph"/>
        <w:numPr>
          <w:ilvl w:val="1"/>
          <w:numId w:val="594"/>
        </w:numPr>
        <w:tabs>
          <w:tab w:pos="2485" w:val="left" w:leader="none"/>
          <w:tab w:pos="2486" w:val="left" w:leader="none"/>
        </w:tabs>
        <w:spacing w:line="240" w:lineRule="auto" w:before="120" w:after="0"/>
        <w:ind w:left="2486" w:right="416" w:hanging="567"/>
        <w:jc w:val="left"/>
        <w:rPr>
          <w:sz w:val="24"/>
        </w:rPr>
      </w:pPr>
      <w:r>
        <w:rPr>
          <w:sz w:val="24"/>
        </w:rPr>
        <w:t>authorisations to access </w:t>
      </w:r>
      <w:r>
        <w:rPr>
          <w:i/>
          <w:sz w:val="24"/>
        </w:rPr>
        <w:t>metering installations </w:t>
      </w:r>
      <w:r>
        <w:rPr>
          <w:sz w:val="24"/>
        </w:rPr>
        <w:t>within secure and restricted</w:t>
      </w:r>
      <w:r>
        <w:rPr>
          <w:spacing w:val="-1"/>
          <w:sz w:val="24"/>
        </w:rPr>
        <w:t> </w:t>
      </w:r>
      <w:r>
        <w:rPr>
          <w:sz w:val="24"/>
        </w:rPr>
        <w:t>areas;</w:t>
      </w:r>
    </w:p>
    <w:p>
      <w:pPr>
        <w:pStyle w:val="ListParagraph"/>
        <w:numPr>
          <w:ilvl w:val="0"/>
          <w:numId w:val="594"/>
        </w:numPr>
        <w:tabs>
          <w:tab w:pos="1918" w:val="left" w:leader="none"/>
          <w:tab w:pos="1919" w:val="left" w:leader="none"/>
        </w:tabs>
        <w:spacing w:line="240" w:lineRule="auto" w:before="120" w:after="0"/>
        <w:ind w:left="1919" w:right="415" w:hanging="567"/>
        <w:jc w:val="left"/>
        <w:rPr>
          <w:sz w:val="24"/>
        </w:rPr>
      </w:pPr>
      <w:r>
        <w:rPr>
          <w:sz w:val="24"/>
        </w:rPr>
        <w:t>have policies and procedures for making statements of opinions and interpretations, documented within the quality</w:t>
      </w:r>
      <w:r>
        <w:rPr>
          <w:spacing w:val="-4"/>
          <w:sz w:val="24"/>
        </w:rPr>
        <w:t> </w:t>
      </w:r>
      <w:r>
        <w:rPr>
          <w:sz w:val="24"/>
        </w:rPr>
        <w:t>system;</w:t>
      </w:r>
    </w:p>
    <w:p>
      <w:pPr>
        <w:pStyle w:val="ListParagraph"/>
        <w:numPr>
          <w:ilvl w:val="0"/>
          <w:numId w:val="594"/>
        </w:numPr>
        <w:tabs>
          <w:tab w:pos="1918" w:val="left" w:leader="none"/>
          <w:tab w:pos="1919" w:val="left" w:leader="none"/>
        </w:tabs>
        <w:spacing w:line="240" w:lineRule="auto" w:before="120" w:after="0"/>
        <w:ind w:left="1918" w:right="0" w:hanging="567"/>
        <w:jc w:val="left"/>
        <w:rPr>
          <w:sz w:val="24"/>
        </w:rPr>
      </w:pPr>
      <w:r>
        <w:rPr>
          <w:sz w:val="24"/>
        </w:rPr>
        <w:t>comply</w:t>
      </w:r>
      <w:r>
        <w:rPr>
          <w:spacing w:val="-1"/>
          <w:sz w:val="24"/>
        </w:rPr>
        <w:t> </w:t>
      </w:r>
      <w:r>
        <w:rPr>
          <w:sz w:val="24"/>
        </w:rPr>
        <w:t>with:</w:t>
      </w:r>
    </w:p>
    <w:p>
      <w:pPr>
        <w:pStyle w:val="ListParagraph"/>
        <w:numPr>
          <w:ilvl w:val="1"/>
          <w:numId w:val="594"/>
        </w:numPr>
        <w:tabs>
          <w:tab w:pos="2486" w:val="left" w:leader="none"/>
        </w:tabs>
        <w:spacing w:line="240" w:lineRule="auto" w:before="120" w:after="0"/>
        <w:ind w:left="2485" w:right="0" w:hanging="567"/>
        <w:jc w:val="both"/>
        <w:rPr>
          <w:sz w:val="24"/>
        </w:rPr>
      </w:pPr>
      <w:r>
        <w:rPr>
          <w:i/>
          <w:sz w:val="24"/>
        </w:rPr>
        <w:t>AS </w:t>
      </w:r>
      <w:r>
        <w:rPr>
          <w:sz w:val="24"/>
        </w:rPr>
        <w:t>3000 Wiring Rules;</w:t>
      </w:r>
    </w:p>
    <w:p>
      <w:pPr>
        <w:pStyle w:val="ListParagraph"/>
        <w:numPr>
          <w:ilvl w:val="1"/>
          <w:numId w:val="594"/>
        </w:numPr>
        <w:tabs>
          <w:tab w:pos="2486" w:val="left" w:leader="none"/>
        </w:tabs>
        <w:spacing w:line="240" w:lineRule="auto" w:before="120" w:after="0"/>
        <w:ind w:left="2486" w:right="415" w:hanging="567"/>
        <w:jc w:val="both"/>
        <w:rPr>
          <w:sz w:val="24"/>
        </w:rPr>
      </w:pPr>
      <w:r>
        <w:rPr>
          <w:sz w:val="24"/>
        </w:rPr>
        <w:t>applicable Australian Communications and Media Authority (ACMA) communications and cabling requirements; (3) C-Tick compliance requirements;</w:t>
      </w:r>
    </w:p>
    <w:p>
      <w:pPr>
        <w:pStyle w:val="ListParagraph"/>
        <w:numPr>
          <w:ilvl w:val="0"/>
          <w:numId w:val="595"/>
        </w:numPr>
        <w:tabs>
          <w:tab w:pos="2486" w:val="left" w:leader="none"/>
        </w:tabs>
        <w:spacing w:line="240" w:lineRule="auto" w:before="120" w:after="0"/>
        <w:ind w:left="2486" w:right="415" w:hanging="567"/>
        <w:jc w:val="both"/>
        <w:rPr>
          <w:sz w:val="24"/>
        </w:rPr>
      </w:pPr>
      <w:r>
        <w:rPr>
          <w:sz w:val="24"/>
        </w:rPr>
        <w:t>jurisdictional legislation, including safety legislation and regulations; and</w:t>
      </w:r>
    </w:p>
    <w:p>
      <w:pPr>
        <w:pStyle w:val="ListParagraph"/>
        <w:numPr>
          <w:ilvl w:val="0"/>
          <w:numId w:val="595"/>
        </w:numPr>
        <w:tabs>
          <w:tab w:pos="2486" w:val="left" w:leader="none"/>
        </w:tabs>
        <w:spacing w:line="240" w:lineRule="auto" w:before="120" w:after="0"/>
        <w:ind w:left="2485" w:right="0" w:hanging="567"/>
        <w:jc w:val="both"/>
        <w:rPr>
          <w:i/>
          <w:sz w:val="24"/>
        </w:rPr>
      </w:pPr>
      <w:r>
        <w:rPr>
          <w:sz w:val="24"/>
        </w:rPr>
        <w:t>any</w:t>
      </w:r>
      <w:r>
        <w:rPr>
          <w:spacing w:val="34"/>
          <w:sz w:val="24"/>
        </w:rPr>
        <w:t> </w:t>
      </w:r>
      <w:r>
        <w:rPr>
          <w:sz w:val="24"/>
        </w:rPr>
        <w:t>reasonable</w:t>
      </w:r>
      <w:r>
        <w:rPr>
          <w:spacing w:val="34"/>
          <w:sz w:val="24"/>
        </w:rPr>
        <w:t> </w:t>
      </w:r>
      <w:r>
        <w:rPr>
          <w:sz w:val="24"/>
        </w:rPr>
        <w:t>requirements</w:t>
      </w:r>
      <w:r>
        <w:rPr>
          <w:spacing w:val="34"/>
          <w:sz w:val="24"/>
        </w:rPr>
        <w:t> </w:t>
      </w:r>
      <w:r>
        <w:rPr>
          <w:sz w:val="24"/>
        </w:rPr>
        <w:t>of</w:t>
      </w:r>
      <w:r>
        <w:rPr>
          <w:spacing w:val="35"/>
          <w:sz w:val="24"/>
        </w:rPr>
        <w:t> </w:t>
      </w:r>
      <w:r>
        <w:rPr>
          <w:sz w:val="24"/>
        </w:rPr>
        <w:t>the</w:t>
      </w:r>
      <w:r>
        <w:rPr>
          <w:spacing w:val="34"/>
          <w:sz w:val="24"/>
        </w:rPr>
        <w:t> </w:t>
      </w:r>
      <w:r>
        <w:rPr>
          <w:i/>
          <w:sz w:val="24"/>
        </w:rPr>
        <w:t>Local</w:t>
      </w:r>
      <w:r>
        <w:rPr>
          <w:i/>
          <w:spacing w:val="34"/>
          <w:sz w:val="24"/>
        </w:rPr>
        <w:t> </w:t>
      </w:r>
      <w:r>
        <w:rPr>
          <w:i/>
          <w:sz w:val="24"/>
        </w:rPr>
        <w:t>Network</w:t>
      </w:r>
      <w:r>
        <w:rPr>
          <w:i/>
          <w:spacing w:val="35"/>
          <w:sz w:val="24"/>
        </w:rPr>
        <w:t> </w:t>
      </w:r>
      <w:r>
        <w:rPr>
          <w:i/>
          <w:sz w:val="24"/>
        </w:rPr>
        <w:t>Service</w:t>
      </w:r>
      <w:r>
        <w:rPr>
          <w:i/>
          <w:spacing w:val="34"/>
          <w:sz w:val="24"/>
        </w:rPr>
        <w:t> </w:t>
      </w:r>
      <w:r>
        <w:rPr>
          <w:i/>
          <w:sz w:val="24"/>
        </w:rPr>
        <w:t>Provider</w:t>
      </w:r>
    </w:p>
    <w:p>
      <w:pPr>
        <w:spacing w:before="0"/>
        <w:ind w:left="2486" w:right="0" w:firstLine="0"/>
        <w:jc w:val="both"/>
        <w:rPr>
          <w:sz w:val="24"/>
        </w:rPr>
      </w:pPr>
      <w:r>
        <w:rPr>
          <w:sz w:val="24"/>
        </w:rPr>
        <w:t>when working on or around </w:t>
      </w:r>
      <w:r>
        <w:rPr>
          <w:i/>
          <w:sz w:val="24"/>
        </w:rPr>
        <w:t>Local Network Service Provider</w:t>
      </w:r>
      <w:r>
        <w:rPr>
          <w:sz w:val="24"/>
        </w:rPr>
        <w:t>.</w:t>
      </w:r>
    </w:p>
    <w:p>
      <w:pPr>
        <w:pStyle w:val="BodyText"/>
        <w:spacing w:before="10"/>
        <w:ind w:firstLine="0"/>
        <w:jc w:val="left"/>
        <w:rPr>
          <w:sz w:val="20"/>
        </w:rPr>
      </w:pPr>
    </w:p>
    <w:p>
      <w:pPr>
        <w:pStyle w:val="Heading4"/>
        <w:ind w:left="218" w:firstLine="0"/>
      </w:pPr>
      <w:bookmarkStart w:name="S7A.8.3.2 Use of contractors" w:id="2088"/>
      <w:bookmarkEnd w:id="2088"/>
      <w:r>
        <w:rPr>
          <w:b w:val="0"/>
        </w:rPr>
      </w:r>
      <w:bookmarkStart w:name="_bookmark867" w:id="2089"/>
      <w:bookmarkEnd w:id="2089"/>
      <w:r>
        <w:rPr>
          <w:b w:val="0"/>
        </w:rPr>
      </w:r>
      <w:r>
        <w:rPr/>
        <w:t>S7A.8.3.2 Use of contractors</w:t>
      </w:r>
    </w:p>
    <w:p>
      <w:pPr>
        <w:spacing w:before="120"/>
        <w:ind w:left="1352" w:right="415" w:firstLine="0"/>
        <w:jc w:val="both"/>
        <w:rPr>
          <w:sz w:val="24"/>
        </w:rPr>
      </w:pPr>
      <w:r>
        <w:rPr>
          <w:sz w:val="24"/>
        </w:rPr>
        <w:t>Where a </w:t>
      </w:r>
      <w:r>
        <w:rPr>
          <w:i/>
          <w:sz w:val="24"/>
        </w:rPr>
        <w:t>Metering Provider </w:t>
      </w:r>
      <w:r>
        <w:rPr>
          <w:sz w:val="24"/>
        </w:rPr>
        <w:t>engages a sub-contractor to perform any of its obligations specified in the </w:t>
      </w:r>
      <w:r>
        <w:rPr>
          <w:i/>
          <w:sz w:val="24"/>
        </w:rPr>
        <w:t>Rules</w:t>
      </w:r>
      <w:r>
        <w:rPr>
          <w:sz w:val="24"/>
        </w:rPr>
        <w:t>, the </w:t>
      </w:r>
      <w:r>
        <w:rPr>
          <w:i/>
          <w:sz w:val="24"/>
        </w:rPr>
        <w:t>Metering Provider</w:t>
      </w:r>
      <w:r>
        <w:rPr>
          <w:sz w:val="24"/>
        </w:rPr>
        <w:t>:</w:t>
      </w:r>
    </w:p>
    <w:p>
      <w:pPr>
        <w:pStyle w:val="ListParagraph"/>
        <w:numPr>
          <w:ilvl w:val="0"/>
          <w:numId w:val="596"/>
        </w:numPr>
        <w:tabs>
          <w:tab w:pos="1919" w:val="left" w:leader="none"/>
        </w:tabs>
        <w:spacing w:line="240" w:lineRule="auto" w:before="120" w:after="0"/>
        <w:ind w:left="1919" w:right="415" w:hanging="567"/>
        <w:jc w:val="both"/>
        <w:rPr>
          <w:sz w:val="24"/>
        </w:rPr>
      </w:pPr>
      <w:r>
        <w:rPr>
          <w:sz w:val="24"/>
        </w:rPr>
        <w:t>must have policies and procedures for assessing the sub-contractor's capability, competency and processes, procedures and systems, to ensure that they are compliant with the</w:t>
      </w:r>
      <w:r>
        <w:rPr>
          <w:spacing w:val="-2"/>
          <w:sz w:val="24"/>
        </w:rPr>
        <w:t> </w:t>
      </w:r>
      <w:r>
        <w:rPr>
          <w:i/>
          <w:sz w:val="24"/>
        </w:rPr>
        <w:t>Rules</w:t>
      </w:r>
      <w:r>
        <w:rPr>
          <w:sz w:val="24"/>
        </w:rPr>
        <w:t>;</w:t>
      </w:r>
    </w:p>
    <w:p>
      <w:pPr>
        <w:pStyle w:val="ListParagraph"/>
        <w:numPr>
          <w:ilvl w:val="0"/>
          <w:numId w:val="596"/>
        </w:numPr>
        <w:tabs>
          <w:tab w:pos="1919" w:val="left" w:leader="none"/>
        </w:tabs>
        <w:spacing w:line="240" w:lineRule="auto" w:before="120" w:after="0"/>
        <w:ind w:left="1919" w:right="414" w:hanging="567"/>
        <w:jc w:val="both"/>
        <w:rPr>
          <w:sz w:val="24"/>
        </w:rPr>
      </w:pPr>
      <w:r>
        <w:rPr>
          <w:sz w:val="24"/>
        </w:rPr>
        <w:t>must ensure that auditable processes are in place to certify that all work performed by the sub-contractor complies with the</w:t>
      </w:r>
      <w:r>
        <w:rPr>
          <w:spacing w:val="-7"/>
          <w:sz w:val="24"/>
        </w:rPr>
        <w:t> </w:t>
      </w:r>
      <w:r>
        <w:rPr>
          <w:i/>
          <w:sz w:val="24"/>
        </w:rPr>
        <w:t>Rules</w:t>
      </w:r>
      <w:r>
        <w:rPr>
          <w:sz w:val="24"/>
        </w:rPr>
        <w:t>;</w:t>
      </w:r>
    </w:p>
    <w:p>
      <w:pPr>
        <w:pStyle w:val="ListParagraph"/>
        <w:numPr>
          <w:ilvl w:val="0"/>
          <w:numId w:val="596"/>
        </w:numPr>
        <w:tabs>
          <w:tab w:pos="1919" w:val="left" w:leader="none"/>
        </w:tabs>
        <w:spacing w:line="240" w:lineRule="auto" w:before="120" w:after="0"/>
        <w:ind w:left="1918" w:right="0" w:hanging="567"/>
        <w:jc w:val="both"/>
        <w:rPr>
          <w:sz w:val="24"/>
        </w:rPr>
      </w:pPr>
      <w:r>
        <w:rPr>
          <w:sz w:val="24"/>
        </w:rPr>
        <w:t>remains liable for all acts and omissions of any sub-contractor;</w:t>
      </w:r>
      <w:r>
        <w:rPr>
          <w:spacing w:val="-5"/>
          <w:sz w:val="24"/>
        </w:rPr>
        <w:t> </w:t>
      </w:r>
      <w:r>
        <w:rPr>
          <w:sz w:val="24"/>
        </w:rPr>
        <w:t>and</w:t>
      </w:r>
    </w:p>
    <w:p>
      <w:pPr>
        <w:pStyle w:val="ListParagraph"/>
        <w:numPr>
          <w:ilvl w:val="0"/>
          <w:numId w:val="596"/>
        </w:numPr>
        <w:tabs>
          <w:tab w:pos="1919" w:val="left" w:leader="none"/>
        </w:tabs>
        <w:spacing w:line="240" w:lineRule="auto" w:before="120" w:after="0"/>
        <w:ind w:left="1919" w:right="415" w:hanging="567"/>
        <w:jc w:val="both"/>
        <w:rPr>
          <w:sz w:val="24"/>
        </w:rPr>
      </w:pPr>
      <w:r>
        <w:rPr>
          <w:sz w:val="24"/>
        </w:rPr>
        <w:t>must authorise the sub-contractor to provide any specific opinion or interpretation of technical</w:t>
      </w:r>
      <w:r>
        <w:rPr>
          <w:spacing w:val="-1"/>
          <w:sz w:val="24"/>
        </w:rPr>
        <w:t> </w:t>
      </w:r>
      <w:r>
        <w:rPr>
          <w:sz w:val="24"/>
        </w:rPr>
        <w:t>information.</w:t>
      </w:r>
    </w:p>
    <w:p>
      <w:pPr>
        <w:pStyle w:val="BodyText"/>
        <w:spacing w:before="10"/>
        <w:ind w:firstLine="0"/>
        <w:jc w:val="left"/>
        <w:rPr>
          <w:sz w:val="20"/>
        </w:rPr>
      </w:pPr>
    </w:p>
    <w:p>
      <w:pPr>
        <w:pStyle w:val="Heading4"/>
        <w:ind w:left="218" w:firstLine="0"/>
      </w:pPr>
      <w:bookmarkStart w:name="S7A.8.3.3 Insurance" w:id="2090"/>
      <w:bookmarkEnd w:id="2090"/>
      <w:r>
        <w:rPr>
          <w:b w:val="0"/>
        </w:rPr>
      </w:r>
      <w:bookmarkStart w:name="_bookmark868" w:id="2091"/>
      <w:bookmarkEnd w:id="2091"/>
      <w:r>
        <w:rPr>
          <w:b w:val="0"/>
        </w:rPr>
      </w:r>
      <w:r>
        <w:rPr/>
        <w:t>S7A.8.3.3 Insurance</w:t>
      </w:r>
    </w:p>
    <w:p>
      <w:pPr>
        <w:spacing w:before="120"/>
        <w:ind w:left="1352" w:right="0" w:firstLine="0"/>
        <w:jc w:val="both"/>
        <w:rPr>
          <w:sz w:val="24"/>
        </w:rPr>
      </w:pPr>
      <w:r>
        <w:rPr>
          <w:sz w:val="24"/>
        </w:rPr>
        <w:t>The </w:t>
      </w:r>
      <w:r>
        <w:rPr>
          <w:i/>
          <w:sz w:val="24"/>
        </w:rPr>
        <w:t>Metering Provider </w:t>
      </w:r>
      <w:r>
        <w:rPr>
          <w:sz w:val="24"/>
        </w:rPr>
        <w:t>must:</w:t>
      </w:r>
    </w:p>
    <w:p>
      <w:pPr>
        <w:pStyle w:val="ListParagraph"/>
        <w:numPr>
          <w:ilvl w:val="0"/>
          <w:numId w:val="597"/>
        </w:numPr>
        <w:tabs>
          <w:tab w:pos="1918" w:val="left" w:leader="none"/>
          <w:tab w:pos="1919" w:val="left" w:leader="none"/>
        </w:tabs>
        <w:spacing w:line="240" w:lineRule="auto" w:before="120" w:after="0"/>
        <w:ind w:left="1919" w:right="414" w:hanging="567"/>
        <w:jc w:val="left"/>
        <w:rPr>
          <w:sz w:val="24"/>
        </w:rPr>
      </w:pPr>
      <w:r>
        <w:rPr>
          <w:sz w:val="24"/>
        </w:rPr>
        <w:t>hold public liability insurance for an amount not less than $10,000,000 per occurrence;</w:t>
      </w:r>
    </w:p>
    <w:p>
      <w:pPr>
        <w:spacing w:after="0" w:line="240" w:lineRule="auto"/>
        <w:jc w:val="left"/>
        <w:rPr>
          <w:sz w:val="24"/>
        </w:rPr>
        <w:sectPr>
          <w:pgSz w:w="11910" w:h="16840"/>
          <w:pgMar w:header="686" w:footer="637" w:top="1320" w:bottom="820" w:left="1200" w:right="1000"/>
        </w:sectPr>
      </w:pPr>
    </w:p>
    <w:p>
      <w:pPr>
        <w:pStyle w:val="ListParagraph"/>
        <w:numPr>
          <w:ilvl w:val="0"/>
          <w:numId w:val="597"/>
        </w:numPr>
        <w:tabs>
          <w:tab w:pos="1918" w:val="left" w:leader="none"/>
          <w:tab w:pos="1919" w:val="left" w:leader="none"/>
        </w:tabs>
        <w:spacing w:line="240" w:lineRule="auto" w:before="83" w:after="0"/>
        <w:ind w:left="1918" w:right="0" w:hanging="567"/>
        <w:jc w:val="left"/>
        <w:rPr>
          <w:sz w:val="24"/>
        </w:rPr>
      </w:pPr>
      <w:r>
        <w:rPr>
          <w:sz w:val="24"/>
        </w:rPr>
        <w:t>hold</w:t>
      </w:r>
      <w:r>
        <w:rPr>
          <w:spacing w:val="16"/>
          <w:sz w:val="24"/>
        </w:rPr>
        <w:t> </w:t>
      </w:r>
      <w:r>
        <w:rPr>
          <w:sz w:val="24"/>
        </w:rPr>
        <w:t>professional</w:t>
      </w:r>
      <w:r>
        <w:rPr>
          <w:spacing w:val="17"/>
          <w:sz w:val="24"/>
        </w:rPr>
        <w:t> </w:t>
      </w:r>
      <w:r>
        <w:rPr>
          <w:sz w:val="24"/>
        </w:rPr>
        <w:t>indemnity</w:t>
      </w:r>
      <w:r>
        <w:rPr>
          <w:spacing w:val="17"/>
          <w:sz w:val="24"/>
        </w:rPr>
        <w:t> </w:t>
      </w:r>
      <w:r>
        <w:rPr>
          <w:sz w:val="24"/>
        </w:rPr>
        <w:t>insurance</w:t>
      </w:r>
      <w:r>
        <w:rPr>
          <w:spacing w:val="17"/>
          <w:sz w:val="24"/>
        </w:rPr>
        <w:t> </w:t>
      </w:r>
      <w:r>
        <w:rPr>
          <w:sz w:val="24"/>
        </w:rPr>
        <w:t>for</w:t>
      </w:r>
      <w:r>
        <w:rPr>
          <w:spacing w:val="17"/>
          <w:sz w:val="24"/>
        </w:rPr>
        <w:t> </w:t>
      </w:r>
      <w:r>
        <w:rPr>
          <w:sz w:val="24"/>
        </w:rPr>
        <w:t>an</w:t>
      </w:r>
      <w:r>
        <w:rPr>
          <w:spacing w:val="17"/>
          <w:sz w:val="24"/>
        </w:rPr>
        <w:t> </w:t>
      </w:r>
      <w:r>
        <w:rPr>
          <w:sz w:val="24"/>
        </w:rPr>
        <w:t>amount</w:t>
      </w:r>
      <w:r>
        <w:rPr>
          <w:spacing w:val="16"/>
          <w:sz w:val="24"/>
        </w:rPr>
        <w:t> </w:t>
      </w:r>
      <w:r>
        <w:rPr>
          <w:sz w:val="24"/>
        </w:rPr>
        <w:t>of</w:t>
      </w:r>
      <w:r>
        <w:rPr>
          <w:spacing w:val="17"/>
          <w:sz w:val="24"/>
        </w:rPr>
        <w:t> </w:t>
      </w:r>
      <w:r>
        <w:rPr>
          <w:sz w:val="24"/>
        </w:rPr>
        <w:t>not</w:t>
      </w:r>
      <w:r>
        <w:rPr>
          <w:spacing w:val="17"/>
          <w:sz w:val="24"/>
        </w:rPr>
        <w:t> </w:t>
      </w:r>
      <w:r>
        <w:rPr>
          <w:sz w:val="24"/>
        </w:rPr>
        <w:t>less</w:t>
      </w:r>
      <w:r>
        <w:rPr>
          <w:spacing w:val="16"/>
          <w:sz w:val="24"/>
        </w:rPr>
        <w:t> </w:t>
      </w:r>
      <w:r>
        <w:rPr>
          <w:sz w:val="24"/>
        </w:rPr>
        <w:t>than</w:t>
      </w:r>
    </w:p>
    <w:p>
      <w:pPr>
        <w:pStyle w:val="BodyText"/>
        <w:spacing w:before="0"/>
        <w:ind w:left="1919" w:firstLine="0"/>
        <w:jc w:val="left"/>
      </w:pPr>
      <w:r>
        <w:rPr/>
        <w:t>$1,000,000 per occurrence; and</w:t>
      </w:r>
    </w:p>
    <w:p>
      <w:pPr>
        <w:pStyle w:val="ListParagraph"/>
        <w:numPr>
          <w:ilvl w:val="0"/>
          <w:numId w:val="597"/>
        </w:numPr>
        <w:tabs>
          <w:tab w:pos="1918" w:val="left" w:leader="none"/>
          <w:tab w:pos="1919" w:val="left" w:leader="none"/>
        </w:tabs>
        <w:spacing w:line="240" w:lineRule="auto" w:before="120" w:after="0"/>
        <w:ind w:left="1919" w:right="415" w:hanging="567"/>
        <w:jc w:val="left"/>
        <w:rPr>
          <w:sz w:val="24"/>
        </w:rPr>
      </w:pPr>
      <w:r>
        <w:rPr>
          <w:sz w:val="24"/>
        </w:rPr>
        <w:t>provide the </w:t>
      </w:r>
      <w:r>
        <w:rPr>
          <w:i/>
          <w:sz w:val="24"/>
        </w:rPr>
        <w:t>Utilities Commission </w:t>
      </w:r>
      <w:r>
        <w:rPr>
          <w:sz w:val="24"/>
        </w:rPr>
        <w:t>with certified current copies of insurance policies on</w:t>
      </w:r>
      <w:r>
        <w:rPr>
          <w:spacing w:val="-1"/>
          <w:sz w:val="24"/>
        </w:rPr>
        <w:t> </w:t>
      </w:r>
      <w:r>
        <w:rPr>
          <w:sz w:val="24"/>
        </w:rPr>
        <w:t>request.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If a </w:t>
      </w:r>
      <w:r>
        <w:rPr>
          <w:i/>
          <w:sz w:val="20"/>
        </w:rPr>
        <w:t>Metering Data Provider</w:t>
      </w:r>
      <w:r>
        <w:rPr>
          <w:sz w:val="20"/>
        </w:rPr>
        <w:t>, </w:t>
      </w:r>
      <w:r>
        <w:rPr>
          <w:i/>
          <w:sz w:val="20"/>
        </w:rPr>
        <w:t>Metering Provider </w:t>
      </w:r>
      <w:r>
        <w:rPr>
          <w:sz w:val="20"/>
        </w:rPr>
        <w:t>and </w:t>
      </w:r>
      <w:r>
        <w:rPr>
          <w:i/>
          <w:sz w:val="20"/>
        </w:rPr>
        <w:t>Metering Coordinator </w:t>
      </w:r>
      <w:r>
        <w:rPr>
          <w:sz w:val="20"/>
        </w:rPr>
        <w:t>are the same legal entity, </w:t>
      </w:r>
      <w:r>
        <w:rPr>
          <w:spacing w:val="10"/>
          <w:sz w:val="20"/>
        </w:rPr>
        <w:t> </w:t>
      </w:r>
      <w:r>
        <w:rPr>
          <w:sz w:val="20"/>
        </w:rPr>
        <w:t>a </w:t>
      </w:r>
      <w:r>
        <w:rPr>
          <w:spacing w:val="10"/>
          <w:sz w:val="20"/>
        </w:rPr>
        <w:t> </w:t>
      </w:r>
      <w:r>
        <w:rPr>
          <w:sz w:val="20"/>
        </w:rPr>
        <w:t>single </w:t>
      </w:r>
      <w:r>
        <w:rPr>
          <w:spacing w:val="9"/>
          <w:sz w:val="20"/>
        </w:rPr>
        <w:t> </w:t>
      </w:r>
      <w:r>
        <w:rPr>
          <w:sz w:val="20"/>
        </w:rPr>
        <w:t>insurance </w:t>
      </w:r>
      <w:r>
        <w:rPr>
          <w:spacing w:val="11"/>
          <w:sz w:val="20"/>
        </w:rPr>
        <w:t> </w:t>
      </w:r>
      <w:r>
        <w:rPr>
          <w:sz w:val="20"/>
        </w:rPr>
        <w:t>policy </w:t>
      </w:r>
      <w:r>
        <w:rPr>
          <w:spacing w:val="10"/>
          <w:sz w:val="20"/>
        </w:rPr>
        <w:t> </w:t>
      </w:r>
      <w:r>
        <w:rPr>
          <w:sz w:val="20"/>
        </w:rPr>
        <w:t>for </w:t>
      </w:r>
      <w:r>
        <w:rPr>
          <w:spacing w:val="10"/>
          <w:sz w:val="20"/>
        </w:rPr>
        <w:t> </w:t>
      </w:r>
      <w:r>
        <w:rPr>
          <w:sz w:val="20"/>
        </w:rPr>
        <w:t>public </w:t>
      </w:r>
      <w:r>
        <w:rPr>
          <w:spacing w:val="11"/>
          <w:sz w:val="20"/>
        </w:rPr>
        <w:t> </w:t>
      </w:r>
      <w:r>
        <w:rPr>
          <w:sz w:val="20"/>
        </w:rPr>
        <w:t>liability </w:t>
      </w:r>
      <w:r>
        <w:rPr>
          <w:spacing w:val="10"/>
          <w:sz w:val="20"/>
        </w:rPr>
        <w:t> </w:t>
      </w:r>
      <w:r>
        <w:rPr>
          <w:sz w:val="20"/>
        </w:rPr>
        <w:t>insurance </w:t>
      </w:r>
      <w:r>
        <w:rPr>
          <w:spacing w:val="10"/>
          <w:sz w:val="20"/>
        </w:rPr>
        <w:t> </w:t>
      </w:r>
      <w:r>
        <w:rPr>
          <w:sz w:val="20"/>
        </w:rPr>
        <w:t>for </w:t>
      </w:r>
      <w:r>
        <w:rPr>
          <w:spacing w:val="10"/>
          <w:sz w:val="20"/>
        </w:rPr>
        <w:t> </w:t>
      </w:r>
      <w:r>
        <w:rPr>
          <w:sz w:val="20"/>
        </w:rPr>
        <w:t>an </w:t>
      </w:r>
      <w:r>
        <w:rPr>
          <w:spacing w:val="11"/>
          <w:sz w:val="20"/>
        </w:rPr>
        <w:t> </w:t>
      </w:r>
      <w:r>
        <w:rPr>
          <w:sz w:val="20"/>
        </w:rPr>
        <w:t>amount </w:t>
      </w:r>
      <w:r>
        <w:rPr>
          <w:spacing w:val="10"/>
          <w:sz w:val="20"/>
        </w:rPr>
        <w:t> </w:t>
      </w:r>
      <w:r>
        <w:rPr>
          <w:sz w:val="20"/>
        </w:rPr>
        <w:t>not </w:t>
      </w:r>
      <w:r>
        <w:rPr>
          <w:spacing w:val="10"/>
          <w:sz w:val="20"/>
        </w:rPr>
        <w:t> </w:t>
      </w:r>
      <w:r>
        <w:rPr>
          <w:sz w:val="20"/>
        </w:rPr>
        <w:t>less </w:t>
      </w:r>
      <w:r>
        <w:rPr>
          <w:spacing w:val="11"/>
          <w:sz w:val="20"/>
        </w:rPr>
        <w:t> </w:t>
      </w:r>
      <w:r>
        <w:rPr>
          <w:sz w:val="20"/>
        </w:rPr>
        <w:t>than</w:t>
      </w:r>
    </w:p>
    <w:p>
      <w:pPr>
        <w:spacing w:before="0"/>
        <w:ind w:left="1352" w:right="0" w:firstLine="0"/>
        <w:jc w:val="both"/>
        <w:rPr>
          <w:sz w:val="20"/>
        </w:rPr>
      </w:pPr>
      <w:r>
        <w:rPr>
          <w:sz w:val="20"/>
        </w:rPr>
        <w:t>$10,000,000</w:t>
      </w:r>
      <w:r>
        <w:rPr>
          <w:spacing w:val="16"/>
          <w:sz w:val="20"/>
        </w:rPr>
        <w:t> </w:t>
      </w:r>
      <w:r>
        <w:rPr>
          <w:sz w:val="20"/>
        </w:rPr>
        <w:t>per</w:t>
      </w:r>
      <w:r>
        <w:rPr>
          <w:spacing w:val="17"/>
          <w:sz w:val="20"/>
        </w:rPr>
        <w:t> </w:t>
      </w:r>
      <w:r>
        <w:rPr>
          <w:sz w:val="20"/>
        </w:rPr>
        <w:t>occurrence</w:t>
      </w:r>
      <w:r>
        <w:rPr>
          <w:spacing w:val="16"/>
          <w:sz w:val="20"/>
        </w:rPr>
        <w:t> </w:t>
      </w:r>
      <w:r>
        <w:rPr>
          <w:sz w:val="20"/>
        </w:rPr>
        <w:t>and</w:t>
      </w:r>
      <w:r>
        <w:rPr>
          <w:spacing w:val="17"/>
          <w:sz w:val="20"/>
        </w:rPr>
        <w:t> </w:t>
      </w:r>
      <w:r>
        <w:rPr>
          <w:sz w:val="20"/>
        </w:rPr>
        <w:t>professional</w:t>
      </w:r>
      <w:r>
        <w:rPr>
          <w:spacing w:val="17"/>
          <w:sz w:val="20"/>
        </w:rPr>
        <w:t> </w:t>
      </w:r>
      <w:r>
        <w:rPr>
          <w:sz w:val="20"/>
        </w:rPr>
        <w:t>indemnity</w:t>
      </w:r>
      <w:r>
        <w:rPr>
          <w:spacing w:val="16"/>
          <w:sz w:val="20"/>
        </w:rPr>
        <w:t> </w:t>
      </w:r>
      <w:r>
        <w:rPr>
          <w:sz w:val="20"/>
        </w:rPr>
        <w:t>insurance</w:t>
      </w:r>
      <w:r>
        <w:rPr>
          <w:spacing w:val="17"/>
          <w:sz w:val="20"/>
        </w:rPr>
        <w:t> </w:t>
      </w:r>
      <w:r>
        <w:rPr>
          <w:sz w:val="20"/>
        </w:rPr>
        <w:t>for</w:t>
      </w:r>
      <w:r>
        <w:rPr>
          <w:spacing w:val="16"/>
          <w:sz w:val="20"/>
        </w:rPr>
        <w:t> </w:t>
      </w:r>
      <w:r>
        <w:rPr>
          <w:sz w:val="20"/>
        </w:rPr>
        <w:t>an</w:t>
      </w:r>
      <w:r>
        <w:rPr>
          <w:spacing w:val="17"/>
          <w:sz w:val="20"/>
        </w:rPr>
        <w:t> </w:t>
      </w:r>
      <w:r>
        <w:rPr>
          <w:sz w:val="20"/>
        </w:rPr>
        <w:t>amount</w:t>
      </w:r>
      <w:r>
        <w:rPr>
          <w:spacing w:val="17"/>
          <w:sz w:val="20"/>
        </w:rPr>
        <w:t> </w:t>
      </w:r>
      <w:r>
        <w:rPr>
          <w:sz w:val="20"/>
        </w:rPr>
        <w:t>of</w:t>
      </w:r>
      <w:r>
        <w:rPr>
          <w:spacing w:val="16"/>
          <w:sz w:val="20"/>
        </w:rPr>
        <w:t> </w:t>
      </w:r>
      <w:r>
        <w:rPr>
          <w:sz w:val="20"/>
        </w:rPr>
        <w:t>not</w:t>
      </w:r>
      <w:r>
        <w:rPr>
          <w:spacing w:val="17"/>
          <w:sz w:val="20"/>
        </w:rPr>
        <w:t> </w:t>
      </w:r>
      <w:r>
        <w:rPr>
          <w:sz w:val="20"/>
        </w:rPr>
        <w:t>less</w:t>
      </w:r>
      <w:r>
        <w:rPr>
          <w:spacing w:val="16"/>
          <w:sz w:val="20"/>
        </w:rPr>
        <w:t> </w:t>
      </w:r>
      <w:r>
        <w:rPr>
          <w:sz w:val="20"/>
        </w:rPr>
        <w:t>than</w:t>
      </w:r>
    </w:p>
    <w:p>
      <w:pPr>
        <w:spacing w:before="0"/>
        <w:ind w:left="1352" w:right="414" w:firstLine="0"/>
        <w:jc w:val="both"/>
        <w:rPr>
          <w:sz w:val="20"/>
        </w:rPr>
      </w:pPr>
      <w:r>
        <w:rPr>
          <w:sz w:val="20"/>
        </w:rPr>
        <w:t>$1,000,000 per occurrence that covers the operations of the </w:t>
      </w:r>
      <w:r>
        <w:rPr>
          <w:i/>
          <w:sz w:val="20"/>
        </w:rPr>
        <w:t>Metering Data Provider</w:t>
      </w:r>
      <w:r>
        <w:rPr>
          <w:sz w:val="20"/>
        </w:rPr>
        <w:t>, </w:t>
      </w:r>
      <w:r>
        <w:rPr>
          <w:i/>
          <w:sz w:val="20"/>
        </w:rPr>
        <w:t>Metering </w:t>
      </w:r>
      <w:r>
        <w:rPr>
          <w:i/>
          <w:sz w:val="20"/>
        </w:rPr>
        <w:t>Provider </w:t>
      </w:r>
      <w:r>
        <w:rPr>
          <w:sz w:val="20"/>
        </w:rPr>
        <w:t>and </w:t>
      </w:r>
      <w:r>
        <w:rPr>
          <w:i/>
          <w:sz w:val="20"/>
        </w:rPr>
        <w:t>Metering Coordinator </w:t>
      </w:r>
      <w:r>
        <w:rPr>
          <w:sz w:val="20"/>
        </w:rPr>
        <w:t>roles will satisfy the insurance requirements under this schedule.</w:t>
      </w:r>
    </w:p>
    <w:p>
      <w:pPr>
        <w:pStyle w:val="Heading4"/>
        <w:tabs>
          <w:tab w:pos="1351" w:val="left" w:leader="none"/>
        </w:tabs>
        <w:spacing w:line="510" w:lineRule="atLeast" w:before="6"/>
        <w:ind w:left="218" w:right="3765" w:firstLine="0"/>
      </w:pPr>
      <w:bookmarkStart w:name="S7A.8.4 Device management and test equip" w:id="2092"/>
      <w:bookmarkEnd w:id="2092"/>
      <w:r>
        <w:rPr>
          <w:b w:val="0"/>
        </w:rPr>
      </w:r>
      <w:bookmarkStart w:name="_bookmark869" w:id="2093"/>
      <w:bookmarkEnd w:id="2093"/>
      <w:r>
        <w:rPr>
          <w:b w:val="0"/>
        </w:rPr>
      </w:r>
      <w:r>
        <w:rPr/>
        <w:t>S7A.8.4</w:t>
        <w:tab/>
        <w:t>Device management and test equipment</w:t>
      </w:r>
      <w:bookmarkStart w:name="S7A.8.4.1 Procurement" w:id="2094"/>
      <w:bookmarkEnd w:id="2094"/>
      <w:r>
        <w:rPr/>
      </w:r>
      <w:bookmarkStart w:name="_bookmark870" w:id="2095"/>
      <w:bookmarkEnd w:id="2095"/>
      <w:r>
        <w:rPr/>
      </w:r>
      <w:r>
        <w:rPr/>
        <w:t> S7A.8.4.1</w:t>
      </w:r>
      <w:r>
        <w:rPr>
          <w:spacing w:val="-1"/>
        </w:rPr>
        <w:t> </w:t>
      </w:r>
      <w:r>
        <w:rPr/>
        <w:t>Procurement</w:t>
      </w:r>
    </w:p>
    <w:p>
      <w:pPr>
        <w:spacing w:before="126"/>
        <w:ind w:left="1352" w:right="415" w:firstLine="0"/>
        <w:jc w:val="both"/>
        <w:rPr>
          <w:sz w:val="24"/>
        </w:rPr>
      </w:pPr>
      <w:r>
        <w:rPr>
          <w:sz w:val="24"/>
        </w:rPr>
        <w:t>The </w:t>
      </w:r>
      <w:r>
        <w:rPr>
          <w:i/>
          <w:sz w:val="24"/>
        </w:rPr>
        <w:t>Metering Provider </w:t>
      </w:r>
      <w:r>
        <w:rPr>
          <w:sz w:val="24"/>
        </w:rPr>
        <w:t>must have processes and systems in place for the procurement of </w:t>
      </w:r>
      <w:r>
        <w:rPr>
          <w:i/>
          <w:sz w:val="24"/>
        </w:rPr>
        <w:t>meters</w:t>
      </w:r>
      <w:r>
        <w:rPr>
          <w:sz w:val="24"/>
        </w:rPr>
        <w:t>, </w:t>
      </w:r>
      <w:r>
        <w:rPr>
          <w:i/>
          <w:sz w:val="24"/>
        </w:rPr>
        <w:t>instrument transformers </w:t>
      </w:r>
      <w:r>
        <w:rPr>
          <w:sz w:val="24"/>
        </w:rPr>
        <w:t>and any other devices that can be installed by the </w:t>
      </w:r>
      <w:r>
        <w:rPr>
          <w:i/>
          <w:sz w:val="24"/>
        </w:rPr>
        <w:t>Metering Provider </w:t>
      </w:r>
      <w:r>
        <w:rPr>
          <w:sz w:val="24"/>
        </w:rPr>
        <w:t>within a </w:t>
      </w:r>
      <w:r>
        <w:rPr>
          <w:i/>
          <w:sz w:val="24"/>
        </w:rPr>
        <w:t>metering installation</w:t>
      </w:r>
      <w:r>
        <w:rPr>
          <w:sz w:val="24"/>
        </w:rPr>
        <w:t>, and ensure that </w:t>
      </w:r>
      <w:r>
        <w:rPr>
          <w:i/>
          <w:sz w:val="24"/>
        </w:rPr>
        <w:t>metering installation </w:t>
      </w:r>
      <w:r>
        <w:rPr>
          <w:sz w:val="24"/>
        </w:rPr>
        <w:t>components are suitable for use in accordance with the </w:t>
      </w:r>
      <w:r>
        <w:rPr>
          <w:i/>
          <w:sz w:val="24"/>
        </w:rPr>
        <w:t>Rules</w:t>
      </w:r>
      <w:r>
        <w:rPr>
          <w:sz w:val="24"/>
        </w:rPr>
        <w:t>.</w:t>
      </w:r>
    </w:p>
    <w:p>
      <w:pPr>
        <w:pStyle w:val="BodyText"/>
        <w:spacing w:before="10"/>
        <w:ind w:firstLine="0"/>
        <w:jc w:val="left"/>
        <w:rPr>
          <w:sz w:val="20"/>
        </w:rPr>
      </w:pPr>
    </w:p>
    <w:p>
      <w:pPr>
        <w:pStyle w:val="Heading4"/>
        <w:ind w:left="218" w:firstLine="0"/>
      </w:pPr>
      <w:bookmarkStart w:name="S7A.8.4.2 Storage, handling and transpor" w:id="2096"/>
      <w:bookmarkEnd w:id="2096"/>
      <w:r>
        <w:rPr>
          <w:b w:val="0"/>
        </w:rPr>
      </w:r>
      <w:bookmarkStart w:name="_bookmark871" w:id="2097"/>
      <w:bookmarkEnd w:id="2097"/>
      <w:r>
        <w:rPr>
          <w:b w:val="0"/>
        </w:rPr>
      </w:r>
      <w:r>
        <w:rPr/>
        <w:t>S7A.8.4.2 Storage, handling and transport</w:t>
      </w:r>
    </w:p>
    <w:p>
      <w:pPr>
        <w:pStyle w:val="ListParagraph"/>
        <w:numPr>
          <w:ilvl w:val="0"/>
          <w:numId w:val="598"/>
        </w:numPr>
        <w:tabs>
          <w:tab w:pos="1919" w:val="left" w:leader="none"/>
        </w:tabs>
        <w:spacing w:line="240" w:lineRule="auto" w:before="120" w:after="0"/>
        <w:ind w:left="1919" w:right="414" w:hanging="567"/>
        <w:jc w:val="both"/>
        <w:rPr>
          <w:sz w:val="24"/>
        </w:rPr>
      </w:pPr>
      <w:r>
        <w:rPr>
          <w:sz w:val="24"/>
        </w:rPr>
        <w:t>The </w:t>
      </w:r>
      <w:r>
        <w:rPr>
          <w:i/>
          <w:sz w:val="24"/>
        </w:rPr>
        <w:t>Metering Provider </w:t>
      </w:r>
      <w:r>
        <w:rPr>
          <w:sz w:val="24"/>
        </w:rPr>
        <w:t>must have processes that are consistent with good industry practice, specifying the requirements for storage, handling (including packaging) and transport (including return to owner) of </w:t>
      </w:r>
      <w:r>
        <w:rPr>
          <w:spacing w:val="-4"/>
          <w:sz w:val="24"/>
        </w:rPr>
        <w:t>any </w:t>
      </w:r>
      <w:r>
        <w:rPr>
          <w:sz w:val="24"/>
        </w:rPr>
        <w:t>equipment that is calibrated including </w:t>
      </w:r>
      <w:r>
        <w:rPr>
          <w:i/>
          <w:sz w:val="24"/>
        </w:rPr>
        <w:t>meters</w:t>
      </w:r>
      <w:r>
        <w:rPr>
          <w:sz w:val="24"/>
        </w:rPr>
        <w:t>, </w:t>
      </w:r>
      <w:r>
        <w:rPr>
          <w:i/>
          <w:sz w:val="24"/>
        </w:rPr>
        <w:t>instrument transformers </w:t>
      </w:r>
      <w:r>
        <w:rPr>
          <w:sz w:val="24"/>
        </w:rPr>
        <w:t>and test equipment. The processes must be designed</w:t>
      </w:r>
      <w:r>
        <w:rPr>
          <w:spacing w:val="-2"/>
          <w:sz w:val="24"/>
        </w:rPr>
        <w:t> </w:t>
      </w:r>
      <w:r>
        <w:rPr>
          <w:sz w:val="24"/>
        </w:rPr>
        <w:t>to:</w:t>
      </w:r>
    </w:p>
    <w:p>
      <w:pPr>
        <w:pStyle w:val="ListParagraph"/>
        <w:numPr>
          <w:ilvl w:val="1"/>
          <w:numId w:val="598"/>
        </w:numPr>
        <w:tabs>
          <w:tab w:pos="2486" w:val="left" w:leader="none"/>
        </w:tabs>
        <w:spacing w:line="240" w:lineRule="auto" w:before="120" w:after="0"/>
        <w:ind w:left="2486" w:right="415" w:hanging="567"/>
        <w:jc w:val="both"/>
        <w:rPr>
          <w:sz w:val="24"/>
        </w:rPr>
      </w:pPr>
      <w:r>
        <w:rPr>
          <w:sz w:val="24"/>
        </w:rPr>
        <w:t>minimise the risk of physical or environmental damage to </w:t>
      </w:r>
      <w:r>
        <w:rPr>
          <w:spacing w:val="-5"/>
          <w:sz w:val="24"/>
        </w:rPr>
        <w:t>the </w:t>
      </w:r>
      <w:r>
        <w:rPr>
          <w:sz w:val="24"/>
        </w:rPr>
        <w:t>equipment;</w:t>
      </w:r>
      <w:r>
        <w:rPr>
          <w:spacing w:val="-1"/>
          <w:sz w:val="24"/>
        </w:rPr>
        <w:t> </w:t>
      </w:r>
      <w:r>
        <w:rPr>
          <w:sz w:val="24"/>
        </w:rPr>
        <w:t>and</w:t>
      </w:r>
    </w:p>
    <w:p>
      <w:pPr>
        <w:pStyle w:val="ListParagraph"/>
        <w:numPr>
          <w:ilvl w:val="1"/>
          <w:numId w:val="598"/>
        </w:numPr>
        <w:tabs>
          <w:tab w:pos="2486" w:val="left" w:leader="none"/>
        </w:tabs>
        <w:spacing w:line="240" w:lineRule="auto" w:before="120" w:after="0"/>
        <w:ind w:left="2486" w:right="414" w:hanging="567"/>
        <w:jc w:val="both"/>
        <w:rPr>
          <w:sz w:val="24"/>
        </w:rPr>
      </w:pPr>
      <w:r>
        <w:rPr>
          <w:sz w:val="24"/>
        </w:rPr>
        <w:t>identify conditions under which the physical condition of</w:t>
      </w:r>
      <w:r>
        <w:rPr>
          <w:spacing w:val="39"/>
          <w:sz w:val="24"/>
        </w:rPr>
        <w:t> </w:t>
      </w:r>
      <w:r>
        <w:rPr>
          <w:sz w:val="24"/>
        </w:rPr>
        <w:t>the equipment or accuracy is compromised as a result of storage, transport or handling.</w:t>
      </w:r>
    </w:p>
    <w:p>
      <w:pPr>
        <w:pStyle w:val="ListParagraph"/>
        <w:numPr>
          <w:ilvl w:val="0"/>
          <w:numId w:val="598"/>
        </w:numPr>
        <w:tabs>
          <w:tab w:pos="1919" w:val="left" w:leader="none"/>
        </w:tabs>
        <w:spacing w:line="240" w:lineRule="auto" w:before="120" w:after="0"/>
        <w:ind w:left="1919" w:right="414" w:hanging="567"/>
        <w:jc w:val="both"/>
        <w:rPr>
          <w:sz w:val="24"/>
        </w:rPr>
      </w:pPr>
      <w:r>
        <w:rPr>
          <w:sz w:val="24"/>
        </w:rPr>
        <w:t>The </w:t>
      </w:r>
      <w:r>
        <w:rPr>
          <w:i/>
          <w:sz w:val="24"/>
        </w:rPr>
        <w:t>Metering Provider </w:t>
      </w:r>
      <w:r>
        <w:rPr>
          <w:sz w:val="24"/>
        </w:rPr>
        <w:t>must ensure that </w:t>
      </w:r>
      <w:r>
        <w:rPr>
          <w:i/>
          <w:sz w:val="24"/>
        </w:rPr>
        <w:t>meters</w:t>
      </w:r>
      <w:r>
        <w:rPr>
          <w:sz w:val="24"/>
        </w:rPr>
        <w:t>, </w:t>
      </w:r>
      <w:r>
        <w:rPr>
          <w:i/>
          <w:sz w:val="24"/>
        </w:rPr>
        <w:t>instrument transformers </w:t>
      </w:r>
      <w:r>
        <w:rPr>
          <w:sz w:val="24"/>
        </w:rPr>
        <w:t>and devices removed from the </w:t>
      </w:r>
      <w:r>
        <w:rPr>
          <w:i/>
          <w:sz w:val="24"/>
        </w:rPr>
        <w:t>metering installation </w:t>
      </w:r>
      <w:r>
        <w:rPr>
          <w:sz w:val="24"/>
        </w:rPr>
        <w:t>are returned to their owner within 10 </w:t>
      </w:r>
      <w:r>
        <w:rPr>
          <w:i/>
          <w:sz w:val="24"/>
        </w:rPr>
        <w:t>business days </w:t>
      </w:r>
      <w:r>
        <w:rPr>
          <w:sz w:val="24"/>
        </w:rPr>
        <w:t>following their removal, unless otherwise agreed with the</w:t>
      </w:r>
      <w:r>
        <w:rPr>
          <w:spacing w:val="-1"/>
          <w:sz w:val="24"/>
        </w:rPr>
        <w:t> </w:t>
      </w:r>
      <w:r>
        <w:rPr>
          <w:sz w:val="24"/>
        </w:rPr>
        <w:t>owner.</w:t>
      </w:r>
    </w:p>
    <w:p>
      <w:pPr>
        <w:pStyle w:val="BodyText"/>
        <w:spacing w:before="10"/>
        <w:ind w:firstLine="0"/>
        <w:jc w:val="left"/>
        <w:rPr>
          <w:sz w:val="20"/>
        </w:rPr>
      </w:pPr>
    </w:p>
    <w:p>
      <w:pPr>
        <w:pStyle w:val="Heading4"/>
        <w:ind w:left="218" w:firstLine="0"/>
      </w:pPr>
      <w:bookmarkStart w:name="S7A.8.4.3 Management of test equipment" w:id="2098"/>
      <w:bookmarkEnd w:id="2098"/>
      <w:r>
        <w:rPr>
          <w:b w:val="0"/>
        </w:rPr>
      </w:r>
      <w:bookmarkStart w:name="_bookmark872" w:id="2099"/>
      <w:bookmarkEnd w:id="2099"/>
      <w:r>
        <w:rPr>
          <w:b w:val="0"/>
        </w:rPr>
      </w:r>
      <w:r>
        <w:rPr/>
        <w:t>S7A.8.4.3 Management of test equipment</w:t>
      </w:r>
    </w:p>
    <w:p>
      <w:pPr>
        <w:spacing w:before="120"/>
        <w:ind w:left="1352" w:right="0" w:firstLine="0"/>
        <w:jc w:val="both"/>
        <w:rPr>
          <w:sz w:val="24"/>
        </w:rPr>
      </w:pPr>
      <w:r>
        <w:rPr>
          <w:sz w:val="24"/>
        </w:rPr>
        <w:t>The </w:t>
      </w:r>
      <w:r>
        <w:rPr>
          <w:i/>
          <w:sz w:val="24"/>
        </w:rPr>
        <w:t>Metering Provider </w:t>
      </w:r>
      <w:r>
        <w:rPr>
          <w:sz w:val="24"/>
        </w:rPr>
        <w:t>must:</w:t>
      </w:r>
    </w:p>
    <w:p>
      <w:pPr>
        <w:pStyle w:val="ListParagraph"/>
        <w:numPr>
          <w:ilvl w:val="0"/>
          <w:numId w:val="599"/>
        </w:numPr>
        <w:tabs>
          <w:tab w:pos="1919" w:val="left" w:leader="none"/>
        </w:tabs>
        <w:spacing w:line="240" w:lineRule="auto" w:before="120" w:after="0"/>
        <w:ind w:left="1919" w:right="414" w:hanging="567"/>
        <w:jc w:val="both"/>
        <w:rPr>
          <w:sz w:val="24"/>
        </w:rPr>
      </w:pPr>
      <w:r>
        <w:rPr>
          <w:sz w:val="24"/>
        </w:rPr>
        <w:t>establish a register of test equipment used for testing </w:t>
      </w:r>
      <w:r>
        <w:rPr>
          <w:i/>
          <w:sz w:val="24"/>
        </w:rPr>
        <w:t>metering installations</w:t>
      </w:r>
      <w:r>
        <w:rPr>
          <w:sz w:val="24"/>
        </w:rPr>
        <w:t>, </w:t>
      </w:r>
      <w:r>
        <w:rPr>
          <w:i/>
          <w:sz w:val="24"/>
        </w:rPr>
        <w:t>meters </w:t>
      </w:r>
      <w:r>
        <w:rPr>
          <w:sz w:val="24"/>
        </w:rPr>
        <w:t>and </w:t>
      </w:r>
      <w:r>
        <w:rPr>
          <w:i/>
          <w:sz w:val="24"/>
        </w:rPr>
        <w:t>instrument</w:t>
      </w:r>
      <w:r>
        <w:rPr>
          <w:i/>
          <w:spacing w:val="-2"/>
          <w:sz w:val="24"/>
        </w:rPr>
        <w:t> </w:t>
      </w:r>
      <w:r>
        <w:rPr>
          <w:i/>
          <w:sz w:val="24"/>
        </w:rPr>
        <w:t>transformers</w:t>
      </w:r>
      <w:r>
        <w:rPr>
          <w:sz w:val="24"/>
        </w:rPr>
        <w:t>;</w:t>
      </w:r>
    </w:p>
    <w:p>
      <w:pPr>
        <w:pStyle w:val="ListParagraph"/>
        <w:numPr>
          <w:ilvl w:val="0"/>
          <w:numId w:val="599"/>
        </w:numPr>
        <w:tabs>
          <w:tab w:pos="1919" w:val="left" w:leader="none"/>
        </w:tabs>
        <w:spacing w:line="240" w:lineRule="auto" w:before="120" w:after="0"/>
        <w:ind w:left="1919" w:right="414" w:hanging="567"/>
        <w:jc w:val="both"/>
        <w:rPr>
          <w:sz w:val="24"/>
        </w:rPr>
      </w:pPr>
      <w:r>
        <w:rPr>
          <w:sz w:val="24"/>
        </w:rPr>
        <w:t>maintain records of test equipment, including records of calibration certificates, for at least 7 years from the issue date of the calibration certificate;</w:t>
      </w:r>
    </w:p>
    <w:p>
      <w:pPr>
        <w:pStyle w:val="ListParagraph"/>
        <w:numPr>
          <w:ilvl w:val="0"/>
          <w:numId w:val="599"/>
        </w:numPr>
        <w:tabs>
          <w:tab w:pos="1919" w:val="left" w:leader="none"/>
        </w:tabs>
        <w:spacing w:line="240" w:lineRule="auto" w:before="120" w:after="0"/>
        <w:ind w:left="1919" w:right="414" w:hanging="567"/>
        <w:jc w:val="both"/>
        <w:rPr>
          <w:sz w:val="24"/>
        </w:rPr>
      </w:pPr>
      <w:r>
        <w:rPr>
          <w:sz w:val="24"/>
        </w:rPr>
        <w:t>ensure that all test equipment is calibrated by a </w:t>
      </w:r>
      <w:r>
        <w:rPr>
          <w:i/>
          <w:sz w:val="24"/>
        </w:rPr>
        <w:t>NATA </w:t>
      </w:r>
      <w:r>
        <w:rPr>
          <w:sz w:val="24"/>
        </w:rPr>
        <w:t>accredited testing laboratory holding ISO 9001 and 17025 accreditation for the calibration of test equipment, current at the time of calibration;</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0"/>
          <w:numId w:val="599"/>
        </w:numPr>
        <w:tabs>
          <w:tab w:pos="1919" w:val="left" w:leader="none"/>
        </w:tabs>
        <w:spacing w:line="240" w:lineRule="auto" w:before="83" w:after="0"/>
        <w:ind w:left="1919" w:right="416" w:hanging="567"/>
        <w:jc w:val="both"/>
        <w:rPr>
          <w:sz w:val="24"/>
        </w:rPr>
      </w:pPr>
      <w:r>
        <w:rPr>
          <w:sz w:val="24"/>
        </w:rPr>
        <w:t>ensure that all tests are undertaken with test equipment where the calibration certificate is current and stated calibration due date has not</w:t>
      </w:r>
      <w:r>
        <w:rPr>
          <w:spacing w:val="-7"/>
          <w:sz w:val="24"/>
        </w:rPr>
        <w:t> </w:t>
      </w:r>
      <w:r>
        <w:rPr>
          <w:sz w:val="24"/>
        </w:rPr>
        <w:t>passed.</w:t>
      </w:r>
    </w:p>
    <w:p>
      <w:pPr>
        <w:pStyle w:val="BodyText"/>
        <w:spacing w:before="10"/>
        <w:ind w:firstLine="0"/>
        <w:jc w:val="left"/>
        <w:rPr>
          <w:sz w:val="20"/>
        </w:rPr>
      </w:pPr>
    </w:p>
    <w:p>
      <w:pPr>
        <w:pStyle w:val="Heading4"/>
        <w:ind w:left="218" w:firstLine="0"/>
      </w:pPr>
      <w:bookmarkStart w:name="S7A.8.4.4 Management of meter programmin" w:id="2100"/>
      <w:bookmarkEnd w:id="2100"/>
      <w:r>
        <w:rPr>
          <w:b w:val="0"/>
        </w:rPr>
      </w:r>
      <w:bookmarkStart w:name="_bookmark873" w:id="2101"/>
      <w:bookmarkEnd w:id="2101"/>
      <w:r>
        <w:rPr>
          <w:b w:val="0"/>
        </w:rPr>
      </w:r>
      <w:r>
        <w:rPr/>
        <w:t>S7A.8.4.4 Management of meter programming and authorised software</w:t>
      </w:r>
    </w:p>
    <w:p>
      <w:pPr>
        <w:spacing w:before="120"/>
        <w:ind w:left="1352" w:right="0" w:firstLine="0"/>
        <w:jc w:val="both"/>
        <w:rPr>
          <w:sz w:val="24"/>
        </w:rPr>
      </w:pPr>
      <w:r>
        <w:rPr>
          <w:sz w:val="24"/>
        </w:rPr>
        <w:t>The </w:t>
      </w:r>
      <w:r>
        <w:rPr>
          <w:i/>
          <w:sz w:val="24"/>
        </w:rPr>
        <w:t>Metering Provider </w:t>
      </w:r>
      <w:r>
        <w:rPr>
          <w:sz w:val="24"/>
        </w:rPr>
        <w:t>must:</w:t>
      </w:r>
    </w:p>
    <w:p>
      <w:pPr>
        <w:pStyle w:val="ListParagraph"/>
        <w:numPr>
          <w:ilvl w:val="0"/>
          <w:numId w:val="600"/>
        </w:numPr>
        <w:tabs>
          <w:tab w:pos="1919" w:val="left" w:leader="none"/>
        </w:tabs>
        <w:spacing w:line="240" w:lineRule="auto" w:before="120" w:after="0"/>
        <w:ind w:left="1919" w:right="415" w:hanging="567"/>
        <w:jc w:val="both"/>
        <w:rPr>
          <w:sz w:val="24"/>
        </w:rPr>
      </w:pPr>
      <w:r>
        <w:rPr>
          <w:sz w:val="24"/>
        </w:rPr>
        <w:t>establish a register of equipment and authorised software used</w:t>
      </w:r>
      <w:r>
        <w:rPr>
          <w:spacing w:val="27"/>
          <w:sz w:val="24"/>
        </w:rPr>
        <w:t> </w:t>
      </w:r>
      <w:r>
        <w:rPr>
          <w:sz w:val="24"/>
        </w:rPr>
        <w:t>for programming </w:t>
      </w:r>
      <w:r>
        <w:rPr>
          <w:i/>
          <w:sz w:val="24"/>
        </w:rPr>
        <w:t>meters</w:t>
      </w:r>
      <w:r>
        <w:rPr>
          <w:sz w:val="24"/>
        </w:rPr>
        <w:t>;</w:t>
      </w:r>
      <w:r>
        <w:rPr>
          <w:spacing w:val="-1"/>
          <w:sz w:val="24"/>
        </w:rPr>
        <w:t> </w:t>
      </w:r>
      <w:r>
        <w:rPr>
          <w:sz w:val="24"/>
        </w:rPr>
        <w:t>and</w:t>
      </w:r>
    </w:p>
    <w:p>
      <w:pPr>
        <w:pStyle w:val="ListParagraph"/>
        <w:numPr>
          <w:ilvl w:val="0"/>
          <w:numId w:val="600"/>
        </w:numPr>
        <w:tabs>
          <w:tab w:pos="1919" w:val="left" w:leader="none"/>
        </w:tabs>
        <w:spacing w:line="240" w:lineRule="auto" w:before="120" w:after="0"/>
        <w:ind w:left="1919" w:right="415" w:hanging="567"/>
        <w:jc w:val="both"/>
        <w:rPr>
          <w:sz w:val="24"/>
        </w:rPr>
      </w:pPr>
      <w:r>
        <w:rPr>
          <w:sz w:val="24"/>
        </w:rPr>
        <w:t>maintain records of equipment, authorised software and programs used for programming </w:t>
      </w:r>
      <w:r>
        <w:rPr>
          <w:i/>
          <w:sz w:val="24"/>
        </w:rPr>
        <w:t>meters</w:t>
      </w:r>
      <w:r>
        <w:rPr>
          <w:sz w:val="24"/>
        </w:rPr>
        <w:t>, including any changes to firmware or software within the </w:t>
      </w:r>
      <w:r>
        <w:rPr>
          <w:i/>
          <w:sz w:val="24"/>
        </w:rPr>
        <w:t>meter</w:t>
      </w:r>
      <w:r>
        <w:rPr>
          <w:sz w:val="24"/>
        </w:rPr>
        <w:t>, for at least 7 years from the most recent date of</w:t>
      </w:r>
      <w:r>
        <w:rPr>
          <w:spacing w:val="-5"/>
          <w:sz w:val="24"/>
        </w:rPr>
        <w:t> </w:t>
      </w:r>
      <w:r>
        <w:rPr>
          <w:sz w:val="24"/>
        </w:rPr>
        <w:t>use.</w:t>
      </w:r>
    </w:p>
    <w:p>
      <w:pPr>
        <w:pStyle w:val="Heading4"/>
        <w:tabs>
          <w:tab w:pos="1351" w:val="left" w:leader="none"/>
        </w:tabs>
        <w:spacing w:line="510" w:lineRule="atLeast" w:before="6"/>
        <w:ind w:left="218" w:right="3179" w:firstLine="0"/>
      </w:pPr>
      <w:bookmarkStart w:name="S7A.8.5 Installation and commissioning r" w:id="2102"/>
      <w:bookmarkEnd w:id="2102"/>
      <w:r>
        <w:rPr>
          <w:b w:val="0"/>
        </w:rPr>
      </w:r>
      <w:bookmarkStart w:name="_bookmark874" w:id="2103"/>
      <w:bookmarkEnd w:id="2103"/>
      <w:r>
        <w:rPr>
          <w:b w:val="0"/>
        </w:rPr>
      </w:r>
      <w:r>
        <w:rPr/>
        <w:t>S7A.8.5</w:t>
        <w:tab/>
        <w:t>Installation and commissioning requirements</w:t>
      </w:r>
      <w:bookmarkStart w:name="S7A.8.5.1 General commissioning requirem" w:id="2104"/>
      <w:bookmarkEnd w:id="2104"/>
      <w:r>
        <w:rPr/>
      </w:r>
      <w:bookmarkStart w:name="_bookmark875" w:id="2105"/>
      <w:bookmarkEnd w:id="2105"/>
      <w:r>
        <w:rPr/>
      </w:r>
      <w:r>
        <w:rPr/>
        <w:t> S7A.8.5.1 General commissioning</w:t>
      </w:r>
      <w:r>
        <w:rPr>
          <w:spacing w:val="-5"/>
        </w:rPr>
        <w:t> </w:t>
      </w:r>
      <w:r>
        <w:rPr/>
        <w:t>requirements</w:t>
      </w:r>
    </w:p>
    <w:p>
      <w:pPr>
        <w:pStyle w:val="BodyText"/>
        <w:spacing w:before="126"/>
        <w:ind w:left="1352" w:right="414" w:firstLine="0"/>
      </w:pPr>
      <w:r>
        <w:rPr/>
        <w:t>The </w:t>
      </w:r>
      <w:r>
        <w:rPr>
          <w:i/>
        </w:rPr>
        <w:t>Metering Provider </w:t>
      </w:r>
      <w:r>
        <w:rPr/>
        <w:t>must develop, maintain and operate processes and procedures for the installation and commissioning of </w:t>
      </w:r>
      <w:r>
        <w:rPr>
          <w:i/>
        </w:rPr>
        <w:t>metering installations </w:t>
      </w:r>
      <w:r>
        <w:rPr/>
        <w:t>for which they are accredited, which must include installation and verification requirements to ensure that:</w:t>
      </w:r>
    </w:p>
    <w:p>
      <w:pPr>
        <w:pStyle w:val="ListParagraph"/>
        <w:numPr>
          <w:ilvl w:val="0"/>
          <w:numId w:val="601"/>
        </w:numPr>
        <w:tabs>
          <w:tab w:pos="1919" w:val="left" w:leader="none"/>
        </w:tabs>
        <w:spacing w:line="240" w:lineRule="auto" w:before="120" w:after="0"/>
        <w:ind w:left="1918" w:right="0" w:hanging="567"/>
        <w:jc w:val="both"/>
        <w:rPr>
          <w:sz w:val="24"/>
        </w:rPr>
      </w:pPr>
      <w:r>
        <w:rPr>
          <w:sz w:val="24"/>
        </w:rPr>
        <w:t>electrical wiring at the </w:t>
      </w:r>
      <w:r>
        <w:rPr>
          <w:i/>
          <w:sz w:val="24"/>
        </w:rPr>
        <w:t>metering installation</w:t>
      </w:r>
      <w:r>
        <w:rPr>
          <w:i/>
          <w:spacing w:val="-4"/>
          <w:sz w:val="24"/>
        </w:rPr>
        <w:t> </w:t>
      </w:r>
      <w:r>
        <w:rPr>
          <w:sz w:val="24"/>
        </w:rPr>
        <w:t>is:</w:t>
      </w:r>
    </w:p>
    <w:p>
      <w:pPr>
        <w:pStyle w:val="ListParagraph"/>
        <w:numPr>
          <w:ilvl w:val="1"/>
          <w:numId w:val="601"/>
        </w:numPr>
        <w:tabs>
          <w:tab w:pos="2486" w:val="left" w:leader="none"/>
        </w:tabs>
        <w:spacing w:line="240" w:lineRule="auto" w:before="120" w:after="0"/>
        <w:ind w:left="2486" w:right="414" w:hanging="567"/>
        <w:jc w:val="both"/>
        <w:rPr>
          <w:sz w:val="24"/>
        </w:rPr>
      </w:pPr>
      <w:r>
        <w:rPr>
          <w:sz w:val="24"/>
        </w:rPr>
        <w:t>wired and terminated in compliance with </w:t>
      </w:r>
      <w:r>
        <w:rPr>
          <w:i/>
          <w:sz w:val="24"/>
        </w:rPr>
        <w:t>meter </w:t>
      </w:r>
      <w:r>
        <w:rPr>
          <w:sz w:val="24"/>
        </w:rPr>
        <w:t>and </w:t>
      </w:r>
      <w:r>
        <w:rPr>
          <w:i/>
          <w:sz w:val="24"/>
        </w:rPr>
        <w:t>instrument </w:t>
      </w:r>
      <w:r>
        <w:rPr>
          <w:i/>
          <w:sz w:val="24"/>
        </w:rPr>
        <w:t>transformer </w:t>
      </w:r>
      <w:r>
        <w:rPr>
          <w:sz w:val="24"/>
        </w:rPr>
        <w:t>manufacturer requirements, relevant </w:t>
      </w:r>
      <w:r>
        <w:rPr>
          <w:i/>
          <w:sz w:val="24"/>
        </w:rPr>
        <w:t>Australian Standards </w:t>
      </w:r>
      <w:r>
        <w:rPr>
          <w:sz w:val="24"/>
        </w:rPr>
        <w:t>and jurisdictional</w:t>
      </w:r>
      <w:r>
        <w:rPr>
          <w:spacing w:val="-1"/>
          <w:sz w:val="24"/>
        </w:rPr>
        <w:t> </w:t>
      </w:r>
      <w:r>
        <w:rPr>
          <w:sz w:val="24"/>
        </w:rPr>
        <w:t>requirements;</w:t>
      </w:r>
    </w:p>
    <w:p>
      <w:pPr>
        <w:pStyle w:val="ListParagraph"/>
        <w:numPr>
          <w:ilvl w:val="1"/>
          <w:numId w:val="601"/>
        </w:numPr>
        <w:tabs>
          <w:tab w:pos="2486" w:val="left" w:leader="none"/>
        </w:tabs>
        <w:spacing w:line="240" w:lineRule="auto" w:before="120" w:after="0"/>
        <w:ind w:left="2486" w:right="413" w:hanging="567"/>
        <w:jc w:val="both"/>
        <w:rPr>
          <w:sz w:val="24"/>
        </w:rPr>
      </w:pPr>
      <w:r>
        <w:rPr>
          <w:sz w:val="24"/>
        </w:rPr>
        <w:t>terminated in a manner that ensures no electrical conductors are exposed, that the cable type and size, and number of cables terminated in any one termination are appropriate and that all terminations are tight;</w:t>
      </w:r>
    </w:p>
    <w:p>
      <w:pPr>
        <w:pStyle w:val="ListParagraph"/>
        <w:numPr>
          <w:ilvl w:val="1"/>
          <w:numId w:val="601"/>
        </w:numPr>
        <w:tabs>
          <w:tab w:pos="2486" w:val="left" w:leader="none"/>
        </w:tabs>
        <w:spacing w:line="240" w:lineRule="auto" w:before="120" w:after="0"/>
        <w:ind w:left="2486" w:right="414" w:hanging="567"/>
        <w:jc w:val="both"/>
        <w:rPr>
          <w:sz w:val="24"/>
        </w:rPr>
      </w:pPr>
      <w:r>
        <w:rPr>
          <w:sz w:val="24"/>
        </w:rPr>
        <w:t>of an appropriate cable type, size and insulation that meets the requirements of </w:t>
      </w:r>
      <w:r>
        <w:rPr>
          <w:i/>
          <w:sz w:val="24"/>
        </w:rPr>
        <w:t>AS</w:t>
      </w:r>
      <w:r>
        <w:rPr>
          <w:i/>
          <w:spacing w:val="-1"/>
          <w:sz w:val="24"/>
        </w:rPr>
        <w:t> </w:t>
      </w:r>
      <w:r>
        <w:rPr>
          <w:sz w:val="24"/>
        </w:rPr>
        <w:t>3000;</w:t>
      </w:r>
    </w:p>
    <w:p>
      <w:pPr>
        <w:pStyle w:val="ListParagraph"/>
        <w:numPr>
          <w:ilvl w:val="1"/>
          <w:numId w:val="601"/>
        </w:numPr>
        <w:tabs>
          <w:tab w:pos="2486" w:val="left" w:leader="none"/>
        </w:tabs>
        <w:spacing w:line="240" w:lineRule="auto" w:before="120" w:after="0"/>
        <w:ind w:left="2486" w:right="414" w:hanging="567"/>
        <w:jc w:val="both"/>
        <w:rPr>
          <w:sz w:val="24"/>
        </w:rPr>
      </w:pPr>
      <w:r>
        <w:rPr>
          <w:sz w:val="24"/>
        </w:rPr>
        <w:t>connected with the correct polarity at each termination and connection;</w:t>
      </w:r>
      <w:r>
        <w:rPr>
          <w:spacing w:val="-1"/>
          <w:sz w:val="24"/>
        </w:rPr>
        <w:t> </w:t>
      </w:r>
      <w:r>
        <w:rPr>
          <w:sz w:val="24"/>
        </w:rPr>
        <w:t>and</w:t>
      </w:r>
    </w:p>
    <w:p>
      <w:pPr>
        <w:pStyle w:val="ListParagraph"/>
        <w:numPr>
          <w:ilvl w:val="1"/>
          <w:numId w:val="601"/>
        </w:numPr>
        <w:tabs>
          <w:tab w:pos="2486" w:val="left" w:leader="none"/>
        </w:tabs>
        <w:spacing w:line="240" w:lineRule="auto" w:before="120" w:after="0"/>
        <w:ind w:left="2486" w:right="414" w:hanging="567"/>
        <w:jc w:val="both"/>
        <w:rPr>
          <w:sz w:val="24"/>
        </w:rPr>
      </w:pPr>
      <w:r>
        <w:rPr>
          <w:sz w:val="24"/>
        </w:rPr>
        <w:t>connected with the correct phase sequence, where three phases are connected at the </w:t>
      </w:r>
      <w:r>
        <w:rPr>
          <w:i/>
          <w:sz w:val="24"/>
        </w:rPr>
        <w:t>metering installation</w:t>
      </w:r>
      <w:r>
        <w:rPr>
          <w:sz w:val="24"/>
        </w:rPr>
        <w:t>; in the case of a change to an existing </w:t>
      </w:r>
      <w:r>
        <w:rPr>
          <w:i/>
          <w:sz w:val="24"/>
        </w:rPr>
        <w:t>metering installation</w:t>
      </w:r>
      <w:r>
        <w:rPr>
          <w:sz w:val="24"/>
        </w:rPr>
        <w:t>, the existing phase sequence is maintained;</w:t>
      </w:r>
    </w:p>
    <w:p>
      <w:pPr>
        <w:pStyle w:val="ListParagraph"/>
        <w:numPr>
          <w:ilvl w:val="0"/>
          <w:numId w:val="601"/>
        </w:numPr>
        <w:tabs>
          <w:tab w:pos="1919" w:val="left" w:leader="none"/>
        </w:tabs>
        <w:spacing w:line="240" w:lineRule="auto" w:before="120" w:after="0"/>
        <w:ind w:left="1919" w:right="415" w:hanging="567"/>
        <w:jc w:val="both"/>
        <w:rPr>
          <w:sz w:val="24"/>
        </w:rPr>
      </w:pPr>
      <w:r>
        <w:rPr>
          <w:sz w:val="24"/>
        </w:rPr>
        <w:t>the accuracy class of </w:t>
      </w:r>
      <w:r>
        <w:rPr>
          <w:i/>
          <w:sz w:val="24"/>
        </w:rPr>
        <w:t>metering installations </w:t>
      </w:r>
      <w:r>
        <w:rPr>
          <w:sz w:val="24"/>
        </w:rPr>
        <w:t>and any documentation from a certified body verifying the errors of </w:t>
      </w:r>
      <w:r>
        <w:rPr>
          <w:i/>
          <w:sz w:val="24"/>
        </w:rPr>
        <w:t>meters </w:t>
      </w:r>
      <w:r>
        <w:rPr>
          <w:sz w:val="24"/>
        </w:rPr>
        <w:t>and </w:t>
      </w:r>
      <w:r>
        <w:rPr>
          <w:i/>
          <w:sz w:val="24"/>
        </w:rPr>
        <w:t>instrument transformers </w:t>
      </w:r>
      <w:r>
        <w:rPr>
          <w:sz w:val="24"/>
        </w:rPr>
        <w:t>comply with the</w:t>
      </w:r>
      <w:r>
        <w:rPr>
          <w:spacing w:val="-1"/>
          <w:sz w:val="24"/>
        </w:rPr>
        <w:t> </w:t>
      </w:r>
      <w:r>
        <w:rPr>
          <w:i/>
          <w:sz w:val="24"/>
        </w:rPr>
        <w:t>Rules</w:t>
      </w:r>
      <w:r>
        <w:rPr>
          <w:sz w:val="24"/>
        </w:rPr>
        <w:t>;</w:t>
      </w:r>
    </w:p>
    <w:p>
      <w:pPr>
        <w:pStyle w:val="ListParagraph"/>
        <w:numPr>
          <w:ilvl w:val="0"/>
          <w:numId w:val="601"/>
        </w:numPr>
        <w:tabs>
          <w:tab w:pos="1919" w:val="left" w:leader="none"/>
        </w:tabs>
        <w:spacing w:line="240" w:lineRule="auto" w:before="120" w:after="0"/>
        <w:ind w:left="1918" w:right="0" w:hanging="567"/>
        <w:jc w:val="both"/>
        <w:rPr>
          <w:sz w:val="24"/>
        </w:rPr>
      </w:pPr>
      <w:r>
        <w:rPr>
          <w:sz w:val="24"/>
        </w:rPr>
        <w:t>nameplate</w:t>
      </w:r>
      <w:r>
        <w:rPr>
          <w:spacing w:val="21"/>
          <w:sz w:val="24"/>
        </w:rPr>
        <w:t> </w:t>
      </w:r>
      <w:r>
        <w:rPr>
          <w:sz w:val="24"/>
        </w:rPr>
        <w:t>information</w:t>
      </w:r>
      <w:r>
        <w:rPr>
          <w:spacing w:val="22"/>
          <w:sz w:val="24"/>
        </w:rPr>
        <w:t> </w:t>
      </w:r>
      <w:r>
        <w:rPr>
          <w:sz w:val="24"/>
        </w:rPr>
        <w:t>reflects</w:t>
      </w:r>
      <w:r>
        <w:rPr>
          <w:spacing w:val="21"/>
          <w:sz w:val="24"/>
        </w:rPr>
        <w:t> </w:t>
      </w:r>
      <w:r>
        <w:rPr>
          <w:sz w:val="24"/>
        </w:rPr>
        <w:t>the</w:t>
      </w:r>
      <w:r>
        <w:rPr>
          <w:spacing w:val="22"/>
          <w:sz w:val="24"/>
        </w:rPr>
        <w:t> </w:t>
      </w:r>
      <w:r>
        <w:rPr>
          <w:sz w:val="24"/>
        </w:rPr>
        <w:t>design</w:t>
      </w:r>
      <w:r>
        <w:rPr>
          <w:spacing w:val="22"/>
          <w:sz w:val="24"/>
        </w:rPr>
        <w:t> </w:t>
      </w:r>
      <w:r>
        <w:rPr>
          <w:sz w:val="24"/>
        </w:rPr>
        <w:t>accuracy</w:t>
      </w:r>
      <w:r>
        <w:rPr>
          <w:spacing w:val="21"/>
          <w:sz w:val="24"/>
        </w:rPr>
        <w:t> </w:t>
      </w:r>
      <w:r>
        <w:rPr>
          <w:sz w:val="24"/>
        </w:rPr>
        <w:t>class</w:t>
      </w:r>
      <w:r>
        <w:rPr>
          <w:spacing w:val="22"/>
          <w:sz w:val="24"/>
        </w:rPr>
        <w:t> </w:t>
      </w:r>
      <w:r>
        <w:rPr>
          <w:sz w:val="24"/>
        </w:rPr>
        <w:t>of</w:t>
      </w:r>
      <w:r>
        <w:rPr>
          <w:spacing w:val="21"/>
          <w:sz w:val="24"/>
        </w:rPr>
        <w:t> </w:t>
      </w:r>
      <w:r>
        <w:rPr>
          <w:sz w:val="24"/>
        </w:rPr>
        <w:t>the</w:t>
      </w:r>
      <w:r>
        <w:rPr>
          <w:spacing w:val="22"/>
          <w:sz w:val="24"/>
        </w:rPr>
        <w:t> </w:t>
      </w:r>
      <w:r>
        <w:rPr>
          <w:i/>
          <w:sz w:val="24"/>
        </w:rPr>
        <w:t>meters</w:t>
      </w:r>
      <w:r>
        <w:rPr>
          <w:i/>
          <w:spacing w:val="22"/>
          <w:sz w:val="24"/>
        </w:rPr>
        <w:t> </w:t>
      </w:r>
      <w:r>
        <w:rPr>
          <w:sz w:val="24"/>
        </w:rPr>
        <w:t>and</w:t>
      </w:r>
    </w:p>
    <w:p>
      <w:pPr>
        <w:spacing w:before="0"/>
        <w:ind w:left="1919" w:right="0" w:firstLine="0"/>
        <w:jc w:val="both"/>
        <w:rPr>
          <w:sz w:val="24"/>
        </w:rPr>
      </w:pPr>
      <w:r>
        <w:rPr>
          <w:i/>
          <w:sz w:val="24"/>
        </w:rPr>
        <w:t>instrument transformers</w:t>
      </w:r>
      <w:r>
        <w:rPr>
          <w:sz w:val="24"/>
        </w:rPr>
        <w:t>;</w:t>
      </w:r>
    </w:p>
    <w:p>
      <w:pPr>
        <w:pStyle w:val="ListParagraph"/>
        <w:numPr>
          <w:ilvl w:val="0"/>
          <w:numId w:val="601"/>
        </w:numPr>
        <w:tabs>
          <w:tab w:pos="1919" w:val="left" w:leader="none"/>
        </w:tabs>
        <w:spacing w:line="240" w:lineRule="auto" w:before="120" w:after="0"/>
        <w:ind w:left="1919" w:right="414" w:hanging="567"/>
        <w:jc w:val="both"/>
        <w:rPr>
          <w:sz w:val="24"/>
        </w:rPr>
      </w:pPr>
      <w:r>
        <w:rPr>
          <w:sz w:val="24"/>
        </w:rPr>
        <w:t>the actual connected ratios of all </w:t>
      </w:r>
      <w:r>
        <w:rPr>
          <w:i/>
          <w:sz w:val="24"/>
        </w:rPr>
        <w:t>instrument transformers </w:t>
      </w:r>
      <w:r>
        <w:rPr>
          <w:sz w:val="24"/>
        </w:rPr>
        <w:t>at a </w:t>
      </w:r>
      <w:r>
        <w:rPr>
          <w:i/>
          <w:sz w:val="24"/>
        </w:rPr>
        <w:t>metering </w:t>
      </w:r>
      <w:r>
        <w:rPr>
          <w:i/>
          <w:sz w:val="24"/>
        </w:rPr>
        <w:t>installation </w:t>
      </w:r>
      <w:r>
        <w:rPr>
          <w:sz w:val="24"/>
        </w:rPr>
        <w:t>and the calculation of the constant to be applied to the collection and processing of </w:t>
      </w:r>
      <w:r>
        <w:rPr>
          <w:i/>
          <w:sz w:val="24"/>
        </w:rPr>
        <w:t>metering data </w:t>
      </w:r>
      <w:r>
        <w:rPr>
          <w:sz w:val="24"/>
        </w:rPr>
        <w:t>by the </w:t>
      </w:r>
      <w:r>
        <w:rPr>
          <w:i/>
          <w:sz w:val="24"/>
        </w:rPr>
        <w:t>Metering Data Provider </w:t>
      </w:r>
      <w:r>
        <w:rPr>
          <w:sz w:val="24"/>
        </w:rPr>
        <w:t>are</w:t>
      </w:r>
      <w:r>
        <w:rPr>
          <w:spacing w:val="-12"/>
          <w:sz w:val="24"/>
        </w:rPr>
        <w:t> </w:t>
      </w:r>
      <w:r>
        <w:rPr>
          <w:sz w:val="24"/>
        </w:rPr>
        <w:t>aligned;</w:t>
      </w:r>
    </w:p>
    <w:p>
      <w:pPr>
        <w:pStyle w:val="ListParagraph"/>
        <w:numPr>
          <w:ilvl w:val="0"/>
          <w:numId w:val="601"/>
        </w:numPr>
        <w:tabs>
          <w:tab w:pos="1919" w:val="left" w:leader="none"/>
        </w:tabs>
        <w:spacing w:line="240" w:lineRule="auto" w:before="120" w:after="0"/>
        <w:ind w:left="1919" w:right="415" w:hanging="567"/>
        <w:jc w:val="both"/>
        <w:rPr>
          <w:sz w:val="24"/>
        </w:rPr>
      </w:pPr>
      <w:r>
        <w:rPr>
          <w:sz w:val="24"/>
        </w:rPr>
        <w:t>burdens applied to </w:t>
      </w:r>
      <w:r>
        <w:rPr>
          <w:i/>
          <w:sz w:val="24"/>
        </w:rPr>
        <w:t>instrument transformers </w:t>
      </w:r>
      <w:r>
        <w:rPr>
          <w:sz w:val="24"/>
        </w:rPr>
        <w:t>are within the rated burden specified on the name plate of the </w:t>
      </w:r>
      <w:r>
        <w:rPr>
          <w:i/>
          <w:sz w:val="24"/>
        </w:rPr>
        <w:t>instrument</w:t>
      </w:r>
      <w:r>
        <w:rPr>
          <w:i/>
          <w:spacing w:val="-4"/>
          <w:sz w:val="24"/>
        </w:rPr>
        <w:t> </w:t>
      </w:r>
      <w:r>
        <w:rPr>
          <w:i/>
          <w:sz w:val="24"/>
        </w:rPr>
        <w:t>transformer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601"/>
        </w:numPr>
        <w:tabs>
          <w:tab w:pos="1920" w:val="left" w:leader="none"/>
        </w:tabs>
        <w:spacing w:line="240" w:lineRule="auto" w:before="83" w:after="0"/>
        <w:ind w:left="1919" w:right="414" w:hanging="567"/>
        <w:jc w:val="both"/>
        <w:rPr>
          <w:sz w:val="24"/>
        </w:rPr>
      </w:pPr>
      <w:r>
        <w:rPr>
          <w:i/>
          <w:sz w:val="24"/>
        </w:rPr>
        <w:t>voltage </w:t>
      </w:r>
      <w:r>
        <w:rPr>
          <w:sz w:val="24"/>
        </w:rPr>
        <w:t>phase sequence relationships are correct unless the </w:t>
      </w:r>
      <w:r>
        <w:rPr>
          <w:i/>
          <w:sz w:val="24"/>
        </w:rPr>
        <w:t>Metering </w:t>
      </w:r>
      <w:r>
        <w:rPr>
          <w:i/>
          <w:sz w:val="24"/>
        </w:rPr>
        <w:t>Provider </w:t>
      </w:r>
      <w:r>
        <w:rPr>
          <w:sz w:val="24"/>
        </w:rPr>
        <w:t>can verify to the satisfaction of </w:t>
      </w:r>
      <w:r>
        <w:rPr>
          <w:i/>
          <w:sz w:val="24"/>
        </w:rPr>
        <w:t>NTESMO </w:t>
      </w:r>
      <w:r>
        <w:rPr>
          <w:sz w:val="24"/>
        </w:rPr>
        <w:t>the accuracy of the </w:t>
      </w:r>
      <w:r>
        <w:rPr>
          <w:i/>
          <w:sz w:val="24"/>
        </w:rPr>
        <w:t>metering installation </w:t>
      </w:r>
      <w:r>
        <w:rPr>
          <w:sz w:val="24"/>
        </w:rPr>
        <w:t>when a non-standard phase sequence is</w:t>
      </w:r>
      <w:r>
        <w:rPr>
          <w:spacing w:val="-12"/>
          <w:sz w:val="24"/>
        </w:rPr>
        <w:t> </w:t>
      </w:r>
      <w:r>
        <w:rPr>
          <w:sz w:val="24"/>
        </w:rPr>
        <w:t>applied;</w:t>
      </w:r>
    </w:p>
    <w:p>
      <w:pPr>
        <w:pStyle w:val="ListParagraph"/>
        <w:numPr>
          <w:ilvl w:val="0"/>
          <w:numId w:val="601"/>
        </w:numPr>
        <w:tabs>
          <w:tab w:pos="1919" w:val="left" w:leader="none"/>
        </w:tabs>
        <w:spacing w:line="240" w:lineRule="auto" w:before="120" w:after="0"/>
        <w:ind w:left="1919" w:right="415" w:hanging="567"/>
        <w:jc w:val="both"/>
        <w:rPr>
          <w:sz w:val="24"/>
        </w:rPr>
      </w:pPr>
      <w:r>
        <w:rPr>
          <w:sz w:val="24"/>
        </w:rPr>
        <w:t>the combined current and </w:t>
      </w:r>
      <w:r>
        <w:rPr>
          <w:i/>
          <w:sz w:val="24"/>
        </w:rPr>
        <w:t>voltage </w:t>
      </w:r>
      <w:r>
        <w:rPr>
          <w:sz w:val="24"/>
        </w:rPr>
        <w:t>phase relationships at the </w:t>
      </w:r>
      <w:r>
        <w:rPr>
          <w:i/>
          <w:sz w:val="24"/>
        </w:rPr>
        <w:t>meter </w:t>
      </w:r>
      <w:r>
        <w:rPr>
          <w:sz w:val="24"/>
        </w:rPr>
        <w:t>terminals are correct;</w:t>
      </w:r>
    </w:p>
    <w:p>
      <w:pPr>
        <w:pStyle w:val="ListParagraph"/>
        <w:numPr>
          <w:ilvl w:val="0"/>
          <w:numId w:val="601"/>
        </w:numPr>
        <w:tabs>
          <w:tab w:pos="1919" w:val="left" w:leader="none"/>
        </w:tabs>
        <w:spacing w:line="240" w:lineRule="auto" w:before="120" w:after="0"/>
        <w:ind w:left="1919" w:right="414" w:hanging="567"/>
        <w:jc w:val="both"/>
        <w:rPr>
          <w:sz w:val="24"/>
        </w:rPr>
      </w:pPr>
      <w:r>
        <w:rPr>
          <w:sz w:val="24"/>
        </w:rPr>
        <w:t>the </w:t>
      </w:r>
      <w:r>
        <w:rPr>
          <w:i/>
          <w:sz w:val="24"/>
        </w:rPr>
        <w:t>meter </w:t>
      </w:r>
      <w:r>
        <w:rPr>
          <w:sz w:val="24"/>
        </w:rPr>
        <w:t>programming parameters, display and error functions are all correct in accordance with manufacturer specifications, including the measurement of the forward rotation of </w:t>
      </w:r>
      <w:r>
        <w:rPr>
          <w:i/>
          <w:sz w:val="24"/>
        </w:rPr>
        <w:t>energy </w:t>
      </w:r>
      <w:r>
        <w:rPr>
          <w:sz w:val="24"/>
        </w:rPr>
        <w:t>applied to the </w:t>
      </w:r>
      <w:r>
        <w:rPr>
          <w:i/>
          <w:sz w:val="24"/>
        </w:rPr>
        <w:t>meter</w:t>
      </w:r>
      <w:r>
        <w:rPr>
          <w:sz w:val="24"/>
        </w:rPr>
        <w:t>, and that the correct pulse rates have been programmed into the</w:t>
      </w:r>
      <w:r>
        <w:rPr>
          <w:spacing w:val="-2"/>
          <w:sz w:val="24"/>
        </w:rPr>
        <w:t> </w:t>
      </w:r>
      <w:r>
        <w:rPr>
          <w:i/>
          <w:sz w:val="24"/>
        </w:rPr>
        <w:t>meter</w:t>
      </w:r>
      <w:r>
        <w:rPr>
          <w:sz w:val="24"/>
        </w:rPr>
        <w:t>;</w:t>
      </w:r>
    </w:p>
    <w:p>
      <w:pPr>
        <w:pStyle w:val="ListParagraph"/>
        <w:numPr>
          <w:ilvl w:val="0"/>
          <w:numId w:val="601"/>
        </w:numPr>
        <w:tabs>
          <w:tab w:pos="1919" w:val="left" w:leader="none"/>
        </w:tabs>
        <w:spacing w:line="240" w:lineRule="auto" w:before="120" w:after="0"/>
        <w:ind w:left="1919" w:right="414" w:hanging="567"/>
        <w:jc w:val="both"/>
        <w:rPr>
          <w:sz w:val="24"/>
        </w:rPr>
      </w:pPr>
      <w:r>
        <w:rPr>
          <w:sz w:val="24"/>
        </w:rPr>
        <w:t>where the </w:t>
      </w:r>
      <w:r>
        <w:rPr>
          <w:i/>
          <w:sz w:val="24"/>
        </w:rPr>
        <w:t>metering installation </w:t>
      </w:r>
      <w:r>
        <w:rPr>
          <w:sz w:val="24"/>
        </w:rPr>
        <w:t>includes </w:t>
      </w:r>
      <w:r>
        <w:rPr>
          <w:i/>
          <w:sz w:val="24"/>
        </w:rPr>
        <w:t>instrument transformers</w:t>
      </w:r>
      <w:r>
        <w:rPr>
          <w:sz w:val="24"/>
        </w:rPr>
        <w:t>, register readings are validated by use of a </w:t>
      </w:r>
      <w:r>
        <w:rPr>
          <w:i/>
          <w:sz w:val="24"/>
        </w:rPr>
        <w:t>load </w:t>
      </w:r>
      <w:r>
        <w:rPr>
          <w:sz w:val="24"/>
        </w:rPr>
        <w:t>being placed on the load side of the </w:t>
      </w:r>
      <w:r>
        <w:rPr>
          <w:i/>
          <w:sz w:val="24"/>
        </w:rPr>
        <w:t>metering installation </w:t>
      </w:r>
      <w:r>
        <w:rPr>
          <w:sz w:val="24"/>
        </w:rPr>
        <w:t>and may include a timing check by comparing the readings on the </w:t>
      </w:r>
      <w:r>
        <w:rPr>
          <w:i/>
          <w:sz w:val="24"/>
        </w:rPr>
        <w:t>meter </w:t>
      </w:r>
      <w:r>
        <w:rPr>
          <w:sz w:val="24"/>
        </w:rPr>
        <w:t>display or pulse indicators against load and</w:t>
      </w:r>
      <w:r>
        <w:rPr>
          <w:spacing w:val="-4"/>
          <w:sz w:val="24"/>
        </w:rPr>
        <w:t> </w:t>
      </w:r>
      <w:r>
        <w:rPr>
          <w:sz w:val="24"/>
        </w:rPr>
        <w:t>time;</w:t>
      </w:r>
    </w:p>
    <w:p>
      <w:pPr>
        <w:pStyle w:val="ListParagraph"/>
        <w:numPr>
          <w:ilvl w:val="0"/>
          <w:numId w:val="601"/>
        </w:numPr>
        <w:tabs>
          <w:tab w:pos="1919" w:val="left" w:leader="none"/>
        </w:tabs>
        <w:spacing w:line="240" w:lineRule="auto" w:before="120" w:after="0"/>
        <w:ind w:left="1919" w:right="415" w:hanging="567"/>
        <w:jc w:val="both"/>
        <w:rPr>
          <w:sz w:val="24"/>
        </w:rPr>
      </w:pPr>
      <w:r>
        <w:rPr>
          <w:sz w:val="24"/>
        </w:rPr>
        <w:t>where the </w:t>
      </w:r>
      <w:r>
        <w:rPr>
          <w:i/>
          <w:sz w:val="24"/>
        </w:rPr>
        <w:t>metering installation </w:t>
      </w:r>
      <w:r>
        <w:rPr>
          <w:sz w:val="24"/>
        </w:rPr>
        <w:t>has </w:t>
      </w:r>
      <w:r>
        <w:rPr>
          <w:i/>
          <w:sz w:val="24"/>
        </w:rPr>
        <w:t>meter </w:t>
      </w:r>
      <w:r>
        <w:rPr>
          <w:sz w:val="24"/>
        </w:rPr>
        <w:t>alarms, occurrences of alarms identified on commissioning are investigated and resolved prior to leaving the</w:t>
      </w:r>
      <w:r>
        <w:rPr>
          <w:spacing w:val="-1"/>
          <w:sz w:val="24"/>
        </w:rPr>
        <w:t> </w:t>
      </w:r>
      <w:r>
        <w:rPr>
          <w:sz w:val="24"/>
        </w:rPr>
        <w:t>site;</w:t>
      </w:r>
    </w:p>
    <w:p>
      <w:pPr>
        <w:pStyle w:val="ListParagraph"/>
        <w:numPr>
          <w:ilvl w:val="0"/>
          <w:numId w:val="601"/>
        </w:numPr>
        <w:tabs>
          <w:tab w:pos="1919" w:val="left" w:leader="none"/>
        </w:tabs>
        <w:spacing w:line="240" w:lineRule="auto" w:before="120" w:after="0"/>
        <w:ind w:left="1919" w:right="412" w:hanging="567"/>
        <w:jc w:val="both"/>
        <w:rPr>
          <w:sz w:val="24"/>
        </w:rPr>
      </w:pPr>
      <w:r>
        <w:rPr>
          <w:sz w:val="24"/>
        </w:rPr>
        <w:t>where an aerial or antenna is installed as part of the </w:t>
      </w:r>
      <w:r>
        <w:rPr>
          <w:i/>
          <w:sz w:val="24"/>
        </w:rPr>
        <w:t>metering installation</w:t>
      </w:r>
      <w:r>
        <w:rPr>
          <w:sz w:val="24"/>
        </w:rPr>
        <w:t>, it is installed in accordance with the manufacturer's instructions and in a manner that maintains the integrity of the </w:t>
      </w:r>
      <w:r>
        <w:rPr>
          <w:i/>
          <w:sz w:val="24"/>
        </w:rPr>
        <w:t>meter </w:t>
      </w:r>
      <w:r>
        <w:rPr>
          <w:sz w:val="24"/>
        </w:rPr>
        <w:t>enclosure, including water and environmental seals;</w:t>
      </w:r>
      <w:r>
        <w:rPr>
          <w:spacing w:val="-2"/>
          <w:sz w:val="24"/>
        </w:rPr>
        <w:t> </w:t>
      </w:r>
      <w:r>
        <w:rPr>
          <w:sz w:val="24"/>
        </w:rPr>
        <w:t>and</w:t>
      </w:r>
    </w:p>
    <w:p>
      <w:pPr>
        <w:pStyle w:val="ListParagraph"/>
        <w:numPr>
          <w:ilvl w:val="0"/>
          <w:numId w:val="601"/>
        </w:numPr>
        <w:tabs>
          <w:tab w:pos="1919" w:val="left" w:leader="none"/>
        </w:tabs>
        <w:spacing w:line="240" w:lineRule="auto" w:before="120" w:after="0"/>
        <w:ind w:left="1919" w:right="416" w:hanging="567"/>
        <w:jc w:val="both"/>
        <w:rPr>
          <w:sz w:val="24"/>
        </w:rPr>
      </w:pPr>
      <w:r>
        <w:rPr>
          <w:sz w:val="24"/>
        </w:rPr>
        <w:t>the time setting of the </w:t>
      </w:r>
      <w:r>
        <w:rPr>
          <w:i/>
          <w:sz w:val="24"/>
        </w:rPr>
        <w:t>metering installation </w:t>
      </w:r>
      <w:r>
        <w:rPr>
          <w:sz w:val="24"/>
        </w:rPr>
        <w:t>is referenced in accordance with clause 7A.8.8.</w:t>
      </w:r>
    </w:p>
    <w:p>
      <w:pPr>
        <w:pStyle w:val="BodyText"/>
        <w:spacing w:before="10"/>
        <w:ind w:firstLine="0"/>
        <w:jc w:val="left"/>
        <w:rPr>
          <w:sz w:val="20"/>
        </w:rPr>
      </w:pPr>
    </w:p>
    <w:p>
      <w:pPr>
        <w:pStyle w:val="Heading4"/>
        <w:ind w:left="218" w:firstLine="0"/>
      </w:pPr>
      <w:bookmarkStart w:name="S7A.8.5.2 Metering data validation requi" w:id="2106"/>
      <w:bookmarkEnd w:id="2106"/>
      <w:r>
        <w:rPr>
          <w:b w:val="0"/>
        </w:rPr>
      </w:r>
      <w:bookmarkStart w:name="_bookmark876" w:id="2107"/>
      <w:bookmarkEnd w:id="2107"/>
      <w:r>
        <w:rPr>
          <w:b w:val="0"/>
        </w:rPr>
      </w:r>
      <w:r>
        <w:rPr/>
        <w:t>S7A.8.5.2 Metering data validation requirements</w:t>
      </w:r>
    </w:p>
    <w:p>
      <w:pPr>
        <w:spacing w:before="120"/>
        <w:ind w:left="1352" w:right="414" w:firstLine="0"/>
        <w:jc w:val="both"/>
        <w:rPr>
          <w:sz w:val="24"/>
        </w:rPr>
      </w:pPr>
      <w:r>
        <w:rPr>
          <w:sz w:val="24"/>
        </w:rPr>
        <w:t>The </w:t>
      </w:r>
      <w:r>
        <w:rPr>
          <w:i/>
          <w:sz w:val="24"/>
        </w:rPr>
        <w:t>Metering Provider </w:t>
      </w:r>
      <w:r>
        <w:rPr>
          <w:sz w:val="24"/>
        </w:rPr>
        <w:t>must develop, maintain and operate processes and procedures for the validation of </w:t>
      </w:r>
      <w:r>
        <w:rPr>
          <w:i/>
          <w:sz w:val="24"/>
        </w:rPr>
        <w:t>interval metering data </w:t>
      </w:r>
      <w:r>
        <w:rPr>
          <w:sz w:val="24"/>
        </w:rPr>
        <w:t>with the </w:t>
      </w:r>
      <w:r>
        <w:rPr>
          <w:i/>
          <w:sz w:val="24"/>
        </w:rPr>
        <w:t>Metering Data </w:t>
      </w:r>
      <w:r>
        <w:rPr>
          <w:i/>
          <w:sz w:val="24"/>
        </w:rPr>
        <w:t>Provider </w:t>
      </w:r>
      <w:r>
        <w:rPr>
          <w:sz w:val="24"/>
        </w:rPr>
        <w:t>on the installation or alteration of that </w:t>
      </w:r>
      <w:r>
        <w:rPr>
          <w:i/>
          <w:sz w:val="24"/>
        </w:rPr>
        <w:t>metering installation</w:t>
      </w:r>
      <w:r>
        <w:rPr>
          <w:sz w:val="24"/>
        </w:rPr>
        <w:t>, which must include processes to ensure that:</w:t>
      </w:r>
    </w:p>
    <w:p>
      <w:pPr>
        <w:pStyle w:val="ListParagraph"/>
        <w:numPr>
          <w:ilvl w:val="0"/>
          <w:numId w:val="602"/>
        </w:numPr>
        <w:tabs>
          <w:tab w:pos="1919" w:val="left" w:leader="none"/>
        </w:tabs>
        <w:spacing w:line="240" w:lineRule="auto" w:before="120" w:after="0"/>
        <w:ind w:left="1918" w:right="0" w:hanging="567"/>
        <w:jc w:val="both"/>
        <w:rPr>
          <w:sz w:val="24"/>
        </w:rPr>
      </w:pPr>
      <w:r>
        <w:rPr>
          <w:i/>
          <w:sz w:val="24"/>
        </w:rPr>
        <w:t>metering </w:t>
      </w:r>
      <w:r>
        <w:rPr>
          <w:sz w:val="24"/>
        </w:rPr>
        <w:t>data is validated in accordance with schedule</w:t>
      </w:r>
      <w:r>
        <w:rPr>
          <w:spacing w:val="-3"/>
          <w:sz w:val="24"/>
        </w:rPr>
        <w:t> </w:t>
      </w:r>
      <w:r>
        <w:rPr>
          <w:sz w:val="24"/>
        </w:rPr>
        <w:t>S7A.7;</w:t>
      </w:r>
    </w:p>
    <w:p>
      <w:pPr>
        <w:pStyle w:val="ListParagraph"/>
        <w:numPr>
          <w:ilvl w:val="0"/>
          <w:numId w:val="602"/>
        </w:numPr>
        <w:tabs>
          <w:tab w:pos="1919" w:val="left" w:leader="none"/>
        </w:tabs>
        <w:spacing w:line="240" w:lineRule="auto" w:before="120" w:after="0"/>
        <w:ind w:left="1919" w:right="413" w:hanging="567"/>
        <w:jc w:val="both"/>
        <w:rPr>
          <w:sz w:val="24"/>
        </w:rPr>
      </w:pPr>
      <w:r>
        <w:rPr>
          <w:sz w:val="24"/>
        </w:rPr>
        <w:t>where validation has failed or cannot reasonably be undertaken, the </w:t>
      </w:r>
      <w:r>
        <w:rPr>
          <w:i/>
          <w:sz w:val="24"/>
        </w:rPr>
        <w:t>Metering Provider </w:t>
      </w:r>
      <w:r>
        <w:rPr>
          <w:sz w:val="24"/>
        </w:rPr>
        <w:t>informs the </w:t>
      </w:r>
      <w:r>
        <w:rPr>
          <w:i/>
          <w:sz w:val="24"/>
        </w:rPr>
        <w:t>Metering Data Provider </w:t>
      </w:r>
      <w:r>
        <w:rPr>
          <w:sz w:val="24"/>
        </w:rPr>
        <w:t>and the </w:t>
      </w:r>
      <w:r>
        <w:rPr>
          <w:i/>
          <w:sz w:val="24"/>
        </w:rPr>
        <w:t>Metering </w:t>
      </w:r>
      <w:r>
        <w:rPr>
          <w:i/>
          <w:sz w:val="24"/>
        </w:rPr>
        <w:t>Coordinator </w:t>
      </w:r>
      <w:r>
        <w:rPr>
          <w:sz w:val="24"/>
        </w:rPr>
        <w:t>that the </w:t>
      </w:r>
      <w:r>
        <w:rPr>
          <w:i/>
          <w:sz w:val="24"/>
        </w:rPr>
        <w:t>metering installation </w:t>
      </w:r>
      <w:r>
        <w:rPr>
          <w:sz w:val="24"/>
        </w:rPr>
        <w:t>cannot be validated and undertake wiring checks which visibly verify correct connection and phase relationships of </w:t>
      </w:r>
      <w:r>
        <w:rPr>
          <w:i/>
          <w:sz w:val="24"/>
        </w:rPr>
        <w:t>voltage </w:t>
      </w:r>
      <w:r>
        <w:rPr>
          <w:sz w:val="24"/>
        </w:rPr>
        <w:t>and current circuits and also undertake one or more of the following alternative measurements and commissioning checks to enable the </w:t>
      </w:r>
      <w:r>
        <w:rPr>
          <w:i/>
          <w:sz w:val="24"/>
        </w:rPr>
        <w:t>Metering Coordinator </w:t>
      </w:r>
      <w:r>
        <w:rPr>
          <w:sz w:val="24"/>
        </w:rPr>
        <w:t>and </w:t>
      </w:r>
      <w:r>
        <w:rPr>
          <w:i/>
          <w:sz w:val="24"/>
        </w:rPr>
        <w:t>Metering Provider </w:t>
      </w:r>
      <w:r>
        <w:rPr>
          <w:sz w:val="24"/>
        </w:rPr>
        <w:t>to confirm that </w:t>
      </w:r>
      <w:r>
        <w:rPr>
          <w:spacing w:val="-4"/>
          <w:sz w:val="24"/>
        </w:rPr>
        <w:t>the </w:t>
      </w:r>
      <w:r>
        <w:rPr>
          <w:i/>
          <w:sz w:val="24"/>
        </w:rPr>
        <w:t>metering installation </w:t>
      </w:r>
      <w:r>
        <w:rPr>
          <w:sz w:val="24"/>
        </w:rPr>
        <w:t>complies with the</w:t>
      </w:r>
      <w:r>
        <w:rPr>
          <w:spacing w:val="-4"/>
          <w:sz w:val="24"/>
        </w:rPr>
        <w:t> </w:t>
      </w:r>
      <w:r>
        <w:rPr>
          <w:i/>
          <w:sz w:val="24"/>
        </w:rPr>
        <w:t>Rules</w:t>
      </w:r>
      <w:r>
        <w:rPr>
          <w:sz w:val="24"/>
        </w:rPr>
        <w:t>:</w:t>
      </w:r>
    </w:p>
    <w:p>
      <w:pPr>
        <w:pStyle w:val="ListParagraph"/>
        <w:numPr>
          <w:ilvl w:val="1"/>
          <w:numId w:val="602"/>
        </w:numPr>
        <w:tabs>
          <w:tab w:pos="2486" w:val="left" w:leader="none"/>
        </w:tabs>
        <w:spacing w:line="240" w:lineRule="auto" w:before="120" w:after="0"/>
        <w:ind w:left="2486" w:right="415" w:hanging="567"/>
        <w:jc w:val="both"/>
        <w:rPr>
          <w:sz w:val="24"/>
        </w:rPr>
      </w:pPr>
      <w:r>
        <w:rPr>
          <w:sz w:val="24"/>
        </w:rPr>
        <w:t>utilisation of </w:t>
      </w:r>
      <w:r>
        <w:rPr>
          <w:i/>
          <w:sz w:val="24"/>
        </w:rPr>
        <w:t>meter energy </w:t>
      </w:r>
      <w:r>
        <w:rPr>
          <w:sz w:val="24"/>
        </w:rPr>
        <w:t>measurement to calculate </w:t>
      </w:r>
      <w:r>
        <w:rPr>
          <w:i/>
          <w:sz w:val="24"/>
        </w:rPr>
        <w:t>load</w:t>
      </w:r>
      <w:r>
        <w:rPr>
          <w:sz w:val="24"/>
        </w:rPr>
        <w:t>/ demand and that this value is reflective of expected</w:t>
      </w:r>
      <w:r>
        <w:rPr>
          <w:spacing w:val="-2"/>
          <w:sz w:val="24"/>
        </w:rPr>
        <w:t> </w:t>
      </w:r>
      <w:r>
        <w:rPr>
          <w:sz w:val="24"/>
        </w:rPr>
        <w:t>magnitude;</w:t>
      </w:r>
    </w:p>
    <w:p>
      <w:pPr>
        <w:pStyle w:val="ListParagraph"/>
        <w:numPr>
          <w:ilvl w:val="1"/>
          <w:numId w:val="602"/>
        </w:numPr>
        <w:tabs>
          <w:tab w:pos="2486" w:val="left" w:leader="none"/>
        </w:tabs>
        <w:spacing w:line="240" w:lineRule="auto" w:before="120" w:after="0"/>
        <w:ind w:left="2485" w:right="0" w:hanging="567"/>
        <w:jc w:val="both"/>
        <w:rPr>
          <w:i/>
          <w:sz w:val="24"/>
        </w:rPr>
      </w:pPr>
      <w:r>
        <w:rPr>
          <w:sz w:val="24"/>
        </w:rPr>
        <w:t>use</w:t>
      </w:r>
      <w:r>
        <w:rPr>
          <w:spacing w:val="31"/>
          <w:sz w:val="24"/>
        </w:rPr>
        <w:t> </w:t>
      </w:r>
      <w:r>
        <w:rPr>
          <w:sz w:val="24"/>
        </w:rPr>
        <w:t>of</w:t>
      </w:r>
      <w:r>
        <w:rPr>
          <w:spacing w:val="32"/>
          <w:sz w:val="24"/>
        </w:rPr>
        <w:t> </w:t>
      </w:r>
      <w:r>
        <w:rPr>
          <w:sz w:val="24"/>
        </w:rPr>
        <w:t>a</w:t>
      </w:r>
      <w:r>
        <w:rPr>
          <w:spacing w:val="32"/>
          <w:sz w:val="24"/>
        </w:rPr>
        <w:t> </w:t>
      </w:r>
      <w:r>
        <w:rPr>
          <w:sz w:val="24"/>
        </w:rPr>
        <w:t>dummy</w:t>
      </w:r>
      <w:r>
        <w:rPr>
          <w:spacing w:val="32"/>
          <w:sz w:val="24"/>
        </w:rPr>
        <w:t> </w:t>
      </w:r>
      <w:r>
        <w:rPr>
          <w:i/>
          <w:sz w:val="24"/>
        </w:rPr>
        <w:t>load</w:t>
      </w:r>
      <w:r>
        <w:rPr>
          <w:i/>
          <w:spacing w:val="32"/>
          <w:sz w:val="24"/>
        </w:rPr>
        <w:t> </w:t>
      </w:r>
      <w:r>
        <w:rPr>
          <w:sz w:val="24"/>
        </w:rPr>
        <w:t>or</w:t>
      </w:r>
      <w:r>
        <w:rPr>
          <w:spacing w:val="31"/>
          <w:sz w:val="24"/>
        </w:rPr>
        <w:t> </w:t>
      </w:r>
      <w:r>
        <w:rPr>
          <w:sz w:val="24"/>
        </w:rPr>
        <w:t>phantom</w:t>
      </w:r>
      <w:r>
        <w:rPr>
          <w:spacing w:val="32"/>
          <w:sz w:val="24"/>
        </w:rPr>
        <w:t> </w:t>
      </w:r>
      <w:r>
        <w:rPr>
          <w:i/>
          <w:sz w:val="24"/>
        </w:rPr>
        <w:t>load</w:t>
      </w:r>
      <w:r>
        <w:rPr>
          <w:i/>
          <w:spacing w:val="32"/>
          <w:sz w:val="24"/>
        </w:rPr>
        <w:t> </w:t>
      </w:r>
      <w:r>
        <w:rPr>
          <w:sz w:val="24"/>
        </w:rPr>
        <w:t>box</w:t>
      </w:r>
      <w:r>
        <w:rPr>
          <w:spacing w:val="32"/>
          <w:sz w:val="24"/>
        </w:rPr>
        <w:t> </w:t>
      </w:r>
      <w:r>
        <w:rPr>
          <w:sz w:val="24"/>
        </w:rPr>
        <w:t>to</w:t>
      </w:r>
      <w:r>
        <w:rPr>
          <w:spacing w:val="32"/>
          <w:sz w:val="24"/>
        </w:rPr>
        <w:t> </w:t>
      </w:r>
      <w:r>
        <w:rPr>
          <w:sz w:val="24"/>
        </w:rPr>
        <w:t>verify</w:t>
      </w:r>
      <w:r>
        <w:rPr>
          <w:spacing w:val="32"/>
          <w:sz w:val="24"/>
        </w:rPr>
        <w:t> </w:t>
      </w:r>
      <w:r>
        <w:rPr>
          <w:sz w:val="24"/>
        </w:rPr>
        <w:t>correct</w:t>
      </w:r>
      <w:r>
        <w:rPr>
          <w:spacing w:val="31"/>
          <w:sz w:val="24"/>
        </w:rPr>
        <w:t> </w:t>
      </w:r>
      <w:r>
        <w:rPr>
          <w:i/>
          <w:sz w:val="24"/>
        </w:rPr>
        <w:t>energy</w:t>
      </w:r>
    </w:p>
    <w:p>
      <w:pPr>
        <w:spacing w:before="0"/>
        <w:ind w:left="2486" w:right="0" w:firstLine="0"/>
        <w:jc w:val="both"/>
        <w:rPr>
          <w:sz w:val="24"/>
        </w:rPr>
      </w:pPr>
      <w:r>
        <w:rPr>
          <w:sz w:val="24"/>
        </w:rPr>
        <w:t>measurement at the </w:t>
      </w:r>
      <w:r>
        <w:rPr>
          <w:i/>
          <w:sz w:val="24"/>
        </w:rPr>
        <w:t>metering installation</w:t>
      </w:r>
      <w:r>
        <w:rPr>
          <w:sz w:val="24"/>
        </w:rPr>
        <w:t>; and</w:t>
      </w:r>
    </w:p>
    <w:p>
      <w:pPr>
        <w:pStyle w:val="ListParagraph"/>
        <w:numPr>
          <w:ilvl w:val="1"/>
          <w:numId w:val="602"/>
        </w:numPr>
        <w:tabs>
          <w:tab w:pos="2486" w:val="left" w:leader="none"/>
        </w:tabs>
        <w:spacing w:line="240" w:lineRule="auto" w:before="120" w:after="0"/>
        <w:ind w:left="2486" w:right="415" w:hanging="567"/>
        <w:jc w:val="both"/>
        <w:rPr>
          <w:sz w:val="24"/>
        </w:rPr>
      </w:pPr>
      <w:r>
        <w:rPr>
          <w:sz w:val="24"/>
        </w:rPr>
        <w:t>compare </w:t>
      </w:r>
      <w:r>
        <w:rPr>
          <w:i/>
          <w:sz w:val="24"/>
        </w:rPr>
        <w:t>meter </w:t>
      </w:r>
      <w:r>
        <w:rPr>
          <w:sz w:val="24"/>
        </w:rPr>
        <w:t>measurement of </w:t>
      </w:r>
      <w:r>
        <w:rPr>
          <w:i/>
          <w:sz w:val="24"/>
        </w:rPr>
        <w:t>energy </w:t>
      </w:r>
      <w:r>
        <w:rPr>
          <w:sz w:val="24"/>
        </w:rPr>
        <w:t>or </w:t>
      </w:r>
      <w:r>
        <w:rPr>
          <w:i/>
          <w:sz w:val="24"/>
        </w:rPr>
        <w:t>load </w:t>
      </w:r>
      <w:r>
        <w:rPr>
          <w:sz w:val="24"/>
        </w:rPr>
        <w:t>with an alternative measurement of demand, current and other measurements of electrical energy;</w:t>
      </w:r>
    </w:p>
    <w:p>
      <w:pPr>
        <w:spacing w:after="0" w:line="240" w:lineRule="auto"/>
        <w:jc w:val="both"/>
        <w:rPr>
          <w:sz w:val="24"/>
        </w:rPr>
        <w:sectPr>
          <w:pgSz w:w="11910" w:h="16840"/>
          <w:pgMar w:header="686" w:footer="637" w:top="1320" w:bottom="820" w:left="1200" w:right="1000"/>
        </w:sectPr>
      </w:pPr>
    </w:p>
    <w:p>
      <w:pPr>
        <w:pStyle w:val="ListParagraph"/>
        <w:numPr>
          <w:ilvl w:val="0"/>
          <w:numId w:val="602"/>
        </w:numPr>
        <w:tabs>
          <w:tab w:pos="1919" w:val="left" w:leader="none"/>
        </w:tabs>
        <w:spacing w:line="240" w:lineRule="auto" w:before="83" w:after="0"/>
        <w:ind w:left="1919" w:right="414" w:hanging="567"/>
        <w:jc w:val="both"/>
        <w:rPr>
          <w:sz w:val="24"/>
        </w:rPr>
      </w:pPr>
      <w:r>
        <w:rPr>
          <w:sz w:val="24"/>
        </w:rPr>
        <w:t>where the </w:t>
      </w:r>
      <w:r>
        <w:rPr>
          <w:i/>
          <w:sz w:val="24"/>
        </w:rPr>
        <w:t>Metering Provider </w:t>
      </w:r>
      <w:r>
        <w:rPr>
          <w:sz w:val="24"/>
        </w:rPr>
        <w:t>has undertaken in-situ testing to verify correct </w:t>
      </w:r>
      <w:r>
        <w:rPr>
          <w:i/>
          <w:sz w:val="24"/>
        </w:rPr>
        <w:t>energy </w:t>
      </w:r>
      <w:r>
        <w:rPr>
          <w:sz w:val="24"/>
        </w:rPr>
        <w:t>measurement at the </w:t>
      </w:r>
      <w:r>
        <w:rPr>
          <w:i/>
          <w:sz w:val="24"/>
        </w:rPr>
        <w:t>metering installation</w:t>
      </w:r>
      <w:r>
        <w:rPr>
          <w:sz w:val="24"/>
        </w:rPr>
        <w:t>, the </w:t>
      </w:r>
      <w:r>
        <w:rPr>
          <w:i/>
          <w:sz w:val="24"/>
        </w:rPr>
        <w:t>Metering Provider </w:t>
      </w:r>
      <w:r>
        <w:rPr>
          <w:sz w:val="24"/>
        </w:rPr>
        <w:t>informs the </w:t>
      </w:r>
      <w:r>
        <w:rPr>
          <w:i/>
          <w:sz w:val="24"/>
        </w:rPr>
        <w:t>Metering Data Provider </w:t>
      </w:r>
      <w:r>
        <w:rPr>
          <w:sz w:val="24"/>
        </w:rPr>
        <w:t>of the start and end times of the test to facilitate the </w:t>
      </w:r>
      <w:r>
        <w:rPr>
          <w:i/>
          <w:sz w:val="24"/>
        </w:rPr>
        <w:t>Metering Data Provider </w:t>
      </w:r>
      <w:r>
        <w:rPr>
          <w:sz w:val="24"/>
        </w:rPr>
        <w:t>substituting and validating </w:t>
      </w:r>
      <w:r>
        <w:rPr>
          <w:i/>
          <w:sz w:val="24"/>
        </w:rPr>
        <w:t>metering </w:t>
      </w:r>
      <w:r>
        <w:rPr>
          <w:i/>
          <w:sz w:val="24"/>
        </w:rPr>
        <w:t>data</w:t>
      </w:r>
      <w:r>
        <w:rPr>
          <w:sz w:val="24"/>
        </w:rPr>
        <w:t>.</w:t>
      </w:r>
    </w:p>
    <w:p>
      <w:pPr>
        <w:pStyle w:val="Heading4"/>
        <w:tabs>
          <w:tab w:pos="1351" w:val="left" w:leader="none"/>
        </w:tabs>
        <w:spacing w:line="510" w:lineRule="atLeast" w:before="6"/>
        <w:ind w:left="218" w:right="4485" w:firstLine="0"/>
      </w:pPr>
      <w:bookmarkStart w:name="S7A.8.6 Metering installation maintenanc" w:id="2108"/>
      <w:bookmarkEnd w:id="2108"/>
      <w:r>
        <w:rPr>
          <w:b w:val="0"/>
        </w:rPr>
      </w:r>
      <w:bookmarkStart w:name="_bookmark877" w:id="2109"/>
      <w:bookmarkEnd w:id="2109"/>
      <w:r>
        <w:rPr>
          <w:b w:val="0"/>
        </w:rPr>
      </w:r>
      <w:r>
        <w:rPr/>
        <w:t>S7A.8.6</w:t>
        <w:tab/>
        <w:t>Metering installation maintenance</w:t>
      </w:r>
      <w:bookmarkStart w:name="S7A.8.6.1 Test plans" w:id="2110"/>
      <w:bookmarkEnd w:id="2110"/>
      <w:r>
        <w:rPr/>
      </w:r>
      <w:bookmarkStart w:name="_bookmark878" w:id="2111"/>
      <w:bookmarkEnd w:id="2111"/>
      <w:r>
        <w:rPr/>
      </w:r>
      <w:r>
        <w:rPr/>
        <w:t> S7A.8.6.1 Test plans</w:t>
      </w:r>
    </w:p>
    <w:p>
      <w:pPr>
        <w:pStyle w:val="ListParagraph"/>
        <w:numPr>
          <w:ilvl w:val="0"/>
          <w:numId w:val="603"/>
        </w:numPr>
        <w:tabs>
          <w:tab w:pos="1919" w:val="left" w:leader="none"/>
        </w:tabs>
        <w:spacing w:line="240" w:lineRule="auto" w:before="126" w:after="0"/>
        <w:ind w:left="1919" w:right="413" w:hanging="567"/>
        <w:jc w:val="both"/>
        <w:rPr>
          <w:sz w:val="24"/>
        </w:rPr>
      </w:pPr>
      <w:r>
        <w:rPr>
          <w:sz w:val="24"/>
        </w:rPr>
        <w:t>The </w:t>
      </w:r>
      <w:r>
        <w:rPr>
          <w:i/>
          <w:sz w:val="24"/>
        </w:rPr>
        <w:t>Metering Provider </w:t>
      </w:r>
      <w:r>
        <w:rPr>
          <w:sz w:val="24"/>
        </w:rPr>
        <w:t>must develop and maintain Asset Test Plans that provide confirmation of the </w:t>
      </w:r>
      <w:r>
        <w:rPr>
          <w:i/>
          <w:sz w:val="24"/>
        </w:rPr>
        <w:t>Metering Provider's </w:t>
      </w:r>
      <w:r>
        <w:rPr>
          <w:sz w:val="24"/>
        </w:rPr>
        <w:t>testing approach to ensure </w:t>
      </w:r>
      <w:r>
        <w:rPr>
          <w:i/>
          <w:sz w:val="24"/>
        </w:rPr>
        <w:t>metering installations </w:t>
      </w:r>
      <w:r>
        <w:rPr>
          <w:sz w:val="24"/>
        </w:rPr>
        <w:t>are</w:t>
      </w:r>
      <w:r>
        <w:rPr>
          <w:spacing w:val="-2"/>
          <w:sz w:val="24"/>
        </w:rPr>
        <w:t> </w:t>
      </w:r>
      <w:r>
        <w:rPr>
          <w:sz w:val="24"/>
        </w:rPr>
        <w:t>maintained:</w:t>
      </w:r>
    </w:p>
    <w:p>
      <w:pPr>
        <w:pStyle w:val="ListParagraph"/>
        <w:numPr>
          <w:ilvl w:val="1"/>
          <w:numId w:val="603"/>
        </w:numPr>
        <w:tabs>
          <w:tab w:pos="2486" w:val="left" w:leader="none"/>
        </w:tabs>
        <w:spacing w:line="240" w:lineRule="auto" w:before="120" w:after="0"/>
        <w:ind w:left="2485" w:right="0" w:hanging="567"/>
        <w:jc w:val="both"/>
        <w:rPr>
          <w:sz w:val="24"/>
        </w:rPr>
      </w:pPr>
      <w:r>
        <w:rPr>
          <w:sz w:val="24"/>
        </w:rPr>
        <w:t>in accordance with the testing and inspection requirements of</w:t>
      </w:r>
      <w:r>
        <w:rPr>
          <w:spacing w:val="12"/>
          <w:sz w:val="24"/>
        </w:rPr>
        <w:t> </w:t>
      </w:r>
      <w:r>
        <w:rPr>
          <w:sz w:val="24"/>
        </w:rPr>
        <w:t>the</w:t>
      </w:r>
    </w:p>
    <w:p>
      <w:pPr>
        <w:spacing w:before="0"/>
        <w:ind w:left="2486" w:right="0" w:firstLine="0"/>
        <w:jc w:val="left"/>
        <w:rPr>
          <w:sz w:val="24"/>
        </w:rPr>
      </w:pPr>
      <w:r>
        <w:rPr>
          <w:i/>
          <w:sz w:val="24"/>
        </w:rPr>
        <w:t>Rules</w:t>
      </w:r>
      <w:r>
        <w:rPr>
          <w:sz w:val="24"/>
        </w:rPr>
        <w:t>;</w:t>
      </w:r>
    </w:p>
    <w:p>
      <w:pPr>
        <w:pStyle w:val="ListParagraph"/>
        <w:numPr>
          <w:ilvl w:val="1"/>
          <w:numId w:val="603"/>
        </w:numPr>
        <w:tabs>
          <w:tab w:pos="2485" w:val="left" w:leader="none"/>
          <w:tab w:pos="2486" w:val="left" w:leader="none"/>
        </w:tabs>
        <w:spacing w:line="240" w:lineRule="auto" w:before="120" w:after="0"/>
        <w:ind w:left="2485" w:right="0" w:hanging="567"/>
        <w:jc w:val="left"/>
        <w:rPr>
          <w:sz w:val="24"/>
        </w:rPr>
      </w:pPr>
      <w:r>
        <w:rPr>
          <w:sz w:val="24"/>
        </w:rPr>
        <w:t>in accordance with approved Asset Management Strategies;</w:t>
      </w:r>
      <w:r>
        <w:rPr>
          <w:spacing w:val="-9"/>
          <w:sz w:val="24"/>
        </w:rPr>
        <w:t> </w:t>
      </w:r>
      <w:r>
        <w:rPr>
          <w:sz w:val="24"/>
        </w:rPr>
        <w:t>or</w:t>
      </w:r>
    </w:p>
    <w:p>
      <w:pPr>
        <w:pStyle w:val="ListParagraph"/>
        <w:numPr>
          <w:ilvl w:val="1"/>
          <w:numId w:val="603"/>
        </w:numPr>
        <w:tabs>
          <w:tab w:pos="2485" w:val="left" w:leader="none"/>
          <w:tab w:pos="2486" w:val="left" w:leader="none"/>
        </w:tabs>
        <w:spacing w:line="240" w:lineRule="auto" w:before="120" w:after="0"/>
        <w:ind w:left="2485" w:right="0" w:hanging="567"/>
        <w:jc w:val="left"/>
        <w:rPr>
          <w:sz w:val="24"/>
        </w:rPr>
      </w:pPr>
      <w:r>
        <w:rPr>
          <w:sz w:val="24"/>
        </w:rPr>
        <w:t>in any combination of the</w:t>
      </w:r>
      <w:r>
        <w:rPr>
          <w:spacing w:val="-1"/>
          <w:sz w:val="24"/>
        </w:rPr>
        <w:t> </w:t>
      </w:r>
      <w:r>
        <w:rPr>
          <w:sz w:val="24"/>
        </w:rPr>
        <w:t>above.</w:t>
      </w:r>
    </w:p>
    <w:p>
      <w:pPr>
        <w:pStyle w:val="ListParagraph"/>
        <w:numPr>
          <w:ilvl w:val="0"/>
          <w:numId w:val="603"/>
        </w:numPr>
        <w:tabs>
          <w:tab w:pos="1918" w:val="left" w:leader="none"/>
          <w:tab w:pos="1919" w:val="left" w:leader="none"/>
        </w:tabs>
        <w:spacing w:line="240" w:lineRule="auto" w:before="120" w:after="0"/>
        <w:ind w:left="1918" w:right="0" w:hanging="567"/>
        <w:jc w:val="left"/>
        <w:rPr>
          <w:sz w:val="24"/>
        </w:rPr>
      </w:pPr>
      <w:r>
        <w:rPr>
          <w:sz w:val="24"/>
        </w:rPr>
        <w:t>As a minimum, the </w:t>
      </w:r>
      <w:r>
        <w:rPr>
          <w:i/>
          <w:sz w:val="24"/>
        </w:rPr>
        <w:t>Metering Provider's </w:t>
      </w:r>
      <w:r>
        <w:rPr>
          <w:sz w:val="24"/>
        </w:rPr>
        <w:t>Asset Test Plans must</w:t>
      </w:r>
      <w:r>
        <w:rPr>
          <w:spacing w:val="-7"/>
          <w:sz w:val="24"/>
        </w:rPr>
        <w:t> </w:t>
      </w:r>
      <w:r>
        <w:rPr>
          <w:sz w:val="24"/>
        </w:rPr>
        <w:t>include:</w:t>
      </w:r>
    </w:p>
    <w:p>
      <w:pPr>
        <w:pStyle w:val="ListParagraph"/>
        <w:numPr>
          <w:ilvl w:val="1"/>
          <w:numId w:val="603"/>
        </w:numPr>
        <w:tabs>
          <w:tab w:pos="2485" w:val="left" w:leader="none"/>
          <w:tab w:pos="2486" w:val="left" w:leader="none"/>
        </w:tabs>
        <w:spacing w:line="240" w:lineRule="auto" w:before="120" w:after="0"/>
        <w:ind w:left="2486" w:right="414" w:hanging="567"/>
        <w:jc w:val="left"/>
        <w:rPr>
          <w:sz w:val="24"/>
        </w:rPr>
      </w:pPr>
      <w:r>
        <w:rPr>
          <w:sz w:val="24"/>
        </w:rPr>
        <w:t>the approach to testing and inspecting for each </w:t>
      </w:r>
      <w:r>
        <w:rPr>
          <w:i/>
          <w:sz w:val="24"/>
        </w:rPr>
        <w:t>metering installation</w:t>
      </w:r>
      <w:r>
        <w:rPr>
          <w:sz w:val="24"/>
        </w:rPr>
        <w:t>, or groups of </w:t>
      </w:r>
      <w:r>
        <w:rPr>
          <w:i/>
          <w:sz w:val="24"/>
        </w:rPr>
        <w:t>metering</w:t>
      </w:r>
      <w:r>
        <w:rPr>
          <w:i/>
          <w:spacing w:val="-2"/>
          <w:sz w:val="24"/>
        </w:rPr>
        <w:t> </w:t>
      </w:r>
      <w:r>
        <w:rPr>
          <w:i/>
          <w:sz w:val="24"/>
        </w:rPr>
        <w:t>installations</w:t>
      </w:r>
      <w:r>
        <w:rPr>
          <w:sz w:val="24"/>
        </w:rPr>
        <w:t>;</w:t>
      </w:r>
    </w:p>
    <w:p>
      <w:pPr>
        <w:pStyle w:val="ListParagraph"/>
        <w:numPr>
          <w:ilvl w:val="1"/>
          <w:numId w:val="603"/>
        </w:numPr>
        <w:tabs>
          <w:tab w:pos="2485" w:val="left" w:leader="none"/>
          <w:tab w:pos="2486" w:val="left" w:leader="none"/>
        </w:tabs>
        <w:spacing w:line="240" w:lineRule="auto" w:before="120" w:after="0"/>
        <w:ind w:left="2486" w:right="414" w:hanging="567"/>
        <w:jc w:val="left"/>
        <w:rPr>
          <w:sz w:val="24"/>
        </w:rPr>
      </w:pPr>
      <w:r>
        <w:rPr>
          <w:sz w:val="24"/>
        </w:rPr>
        <w:t>where appropriate, the approach to testing and inspecting various device types;</w:t>
      </w:r>
      <w:r>
        <w:rPr>
          <w:spacing w:val="-1"/>
          <w:sz w:val="24"/>
        </w:rPr>
        <w:t> </w:t>
      </w:r>
      <w:r>
        <w:rPr>
          <w:sz w:val="24"/>
        </w:rPr>
        <w:t>and</w:t>
      </w:r>
    </w:p>
    <w:p>
      <w:pPr>
        <w:pStyle w:val="ListParagraph"/>
        <w:numPr>
          <w:ilvl w:val="1"/>
          <w:numId w:val="603"/>
        </w:numPr>
        <w:tabs>
          <w:tab w:pos="2485" w:val="left" w:leader="none"/>
          <w:tab w:pos="2486" w:val="left" w:leader="none"/>
        </w:tabs>
        <w:spacing w:line="240" w:lineRule="auto" w:before="120" w:after="0"/>
        <w:ind w:left="2486" w:right="413" w:hanging="567"/>
        <w:jc w:val="left"/>
        <w:rPr>
          <w:sz w:val="24"/>
        </w:rPr>
      </w:pPr>
      <w:r>
        <w:rPr>
          <w:sz w:val="24"/>
        </w:rPr>
        <w:t>the details of the test equipment and test methodology to be employed in undertaking works considered in the test</w:t>
      </w:r>
      <w:r>
        <w:rPr>
          <w:spacing w:val="-3"/>
          <w:sz w:val="24"/>
        </w:rPr>
        <w:t> </w:t>
      </w:r>
      <w:r>
        <w:rPr>
          <w:sz w:val="24"/>
        </w:rPr>
        <w:t>plan.</w:t>
      </w:r>
    </w:p>
    <w:p>
      <w:pPr>
        <w:pStyle w:val="BodyText"/>
        <w:spacing w:before="10"/>
        <w:ind w:firstLine="0"/>
        <w:jc w:val="left"/>
        <w:rPr>
          <w:sz w:val="20"/>
        </w:rPr>
      </w:pPr>
    </w:p>
    <w:p>
      <w:pPr>
        <w:pStyle w:val="Heading4"/>
        <w:ind w:left="218" w:firstLine="0"/>
      </w:pPr>
      <w:bookmarkStart w:name="S7A.8.6.2 Management of metering install" w:id="2112"/>
      <w:bookmarkEnd w:id="2112"/>
      <w:r>
        <w:rPr>
          <w:b w:val="0"/>
        </w:rPr>
      </w:r>
      <w:bookmarkStart w:name="_bookmark879" w:id="2113"/>
      <w:bookmarkEnd w:id="2113"/>
      <w:r>
        <w:rPr>
          <w:b w:val="0"/>
        </w:rPr>
      </w:r>
      <w:r>
        <w:rPr/>
        <w:t>S7A.8.6.2 Management of metering installation malfunctions</w:t>
      </w:r>
    </w:p>
    <w:p>
      <w:pPr>
        <w:pStyle w:val="ListParagraph"/>
        <w:numPr>
          <w:ilvl w:val="0"/>
          <w:numId w:val="604"/>
        </w:numPr>
        <w:tabs>
          <w:tab w:pos="1919" w:val="left" w:leader="none"/>
        </w:tabs>
        <w:spacing w:line="240" w:lineRule="auto" w:before="120" w:after="0"/>
        <w:ind w:left="1919" w:right="415" w:hanging="567"/>
        <w:jc w:val="both"/>
        <w:rPr>
          <w:sz w:val="24"/>
        </w:rPr>
      </w:pPr>
      <w:r>
        <w:rPr>
          <w:sz w:val="24"/>
        </w:rPr>
        <w:t>The </w:t>
      </w:r>
      <w:r>
        <w:rPr>
          <w:i/>
          <w:sz w:val="24"/>
        </w:rPr>
        <w:t>Metering Provider </w:t>
      </w:r>
      <w:r>
        <w:rPr>
          <w:sz w:val="24"/>
        </w:rPr>
        <w:t>must have processes and systems to support the </w:t>
      </w:r>
      <w:r>
        <w:rPr>
          <w:i/>
          <w:sz w:val="24"/>
        </w:rPr>
        <w:t>Metering Coordinator </w:t>
      </w:r>
      <w:r>
        <w:rPr>
          <w:sz w:val="24"/>
        </w:rPr>
        <w:t>in identifying and rectifying a </w:t>
      </w:r>
      <w:r>
        <w:rPr>
          <w:i/>
          <w:sz w:val="24"/>
        </w:rPr>
        <w:t>metering installation </w:t>
      </w:r>
      <w:r>
        <w:rPr>
          <w:i/>
          <w:sz w:val="24"/>
        </w:rPr>
        <w:t>malfunction </w:t>
      </w:r>
      <w:r>
        <w:rPr>
          <w:sz w:val="24"/>
        </w:rPr>
        <w:t>in the timeframes specified in clause</w:t>
      </w:r>
      <w:r>
        <w:rPr>
          <w:spacing w:val="-4"/>
          <w:sz w:val="24"/>
        </w:rPr>
        <w:t> </w:t>
      </w:r>
      <w:r>
        <w:rPr>
          <w:sz w:val="24"/>
        </w:rPr>
        <w:t>7A.6.9.</w:t>
      </w:r>
    </w:p>
    <w:p>
      <w:pPr>
        <w:pStyle w:val="ListParagraph"/>
        <w:numPr>
          <w:ilvl w:val="0"/>
          <w:numId w:val="604"/>
        </w:numPr>
        <w:tabs>
          <w:tab w:pos="1919" w:val="left" w:leader="none"/>
        </w:tabs>
        <w:spacing w:line="240" w:lineRule="auto" w:before="120" w:after="0"/>
        <w:ind w:left="1919" w:right="414" w:hanging="567"/>
        <w:jc w:val="both"/>
        <w:rPr>
          <w:sz w:val="24"/>
        </w:rPr>
      </w:pPr>
      <w:r>
        <w:rPr>
          <w:sz w:val="24"/>
        </w:rPr>
        <w:t>Where a </w:t>
      </w:r>
      <w:r>
        <w:rPr>
          <w:i/>
          <w:sz w:val="24"/>
        </w:rPr>
        <w:t>Metering Provider </w:t>
      </w:r>
      <w:r>
        <w:rPr>
          <w:sz w:val="24"/>
        </w:rPr>
        <w:t>identifies a </w:t>
      </w:r>
      <w:r>
        <w:rPr>
          <w:i/>
          <w:sz w:val="24"/>
        </w:rPr>
        <w:t>metering installation malfunction</w:t>
      </w:r>
      <w:r>
        <w:rPr>
          <w:sz w:val="24"/>
        </w:rPr>
        <w:t>, the </w:t>
      </w:r>
      <w:r>
        <w:rPr>
          <w:i/>
          <w:sz w:val="24"/>
        </w:rPr>
        <w:t>Metering Provider </w:t>
      </w:r>
      <w:r>
        <w:rPr>
          <w:sz w:val="24"/>
        </w:rPr>
        <w:t>must advise the </w:t>
      </w:r>
      <w:r>
        <w:rPr>
          <w:i/>
          <w:sz w:val="24"/>
        </w:rPr>
        <w:t>Metering Data Provider </w:t>
      </w:r>
      <w:r>
        <w:rPr>
          <w:sz w:val="24"/>
        </w:rPr>
        <w:t>and the </w:t>
      </w:r>
      <w:r>
        <w:rPr>
          <w:i/>
          <w:sz w:val="24"/>
        </w:rPr>
        <w:t>Metering Coordinator </w:t>
      </w:r>
      <w:r>
        <w:rPr>
          <w:sz w:val="24"/>
        </w:rPr>
        <w:t>within 1 </w:t>
      </w:r>
      <w:r>
        <w:rPr>
          <w:i/>
          <w:sz w:val="24"/>
        </w:rPr>
        <w:t>business day </w:t>
      </w:r>
      <w:r>
        <w:rPr>
          <w:sz w:val="24"/>
        </w:rPr>
        <w:t>of identification in accordance with paragraph</w:t>
      </w:r>
      <w:r>
        <w:rPr>
          <w:spacing w:val="-2"/>
          <w:sz w:val="24"/>
        </w:rPr>
        <w:t> </w:t>
      </w:r>
      <w:r>
        <w:rPr>
          <w:sz w:val="24"/>
        </w:rPr>
        <w:t>7A.6.9(d).</w:t>
      </w:r>
    </w:p>
    <w:p>
      <w:pPr>
        <w:pStyle w:val="BodyText"/>
        <w:spacing w:before="10"/>
        <w:ind w:firstLine="0"/>
        <w:jc w:val="left"/>
        <w:rPr>
          <w:sz w:val="20"/>
        </w:rPr>
      </w:pPr>
    </w:p>
    <w:p>
      <w:pPr>
        <w:pStyle w:val="Heading4"/>
        <w:ind w:left="218" w:firstLine="0"/>
      </w:pPr>
      <w:bookmarkStart w:name="S7A.8.6.3 Telecommunications" w:id="2114"/>
      <w:bookmarkEnd w:id="2114"/>
      <w:r>
        <w:rPr>
          <w:b w:val="0"/>
        </w:rPr>
      </w:r>
      <w:bookmarkStart w:name="_bookmark880" w:id="2115"/>
      <w:bookmarkEnd w:id="2115"/>
      <w:r>
        <w:rPr>
          <w:b w:val="0"/>
        </w:rPr>
      </w:r>
      <w:r>
        <w:rPr/>
        <w:t>S7A.8.6.3 Telecommunications</w:t>
      </w:r>
    </w:p>
    <w:p>
      <w:pPr>
        <w:pStyle w:val="ListParagraph"/>
        <w:numPr>
          <w:ilvl w:val="0"/>
          <w:numId w:val="605"/>
        </w:numPr>
        <w:tabs>
          <w:tab w:pos="1919" w:val="left" w:leader="none"/>
        </w:tabs>
        <w:spacing w:line="240" w:lineRule="auto" w:before="120" w:after="0"/>
        <w:ind w:left="1919" w:right="414" w:hanging="567"/>
        <w:jc w:val="both"/>
        <w:rPr>
          <w:sz w:val="24"/>
        </w:rPr>
      </w:pPr>
      <w:r>
        <w:rPr>
          <w:sz w:val="24"/>
        </w:rPr>
        <w:t>The </w:t>
      </w:r>
      <w:r>
        <w:rPr>
          <w:i/>
          <w:sz w:val="24"/>
        </w:rPr>
        <w:t>Metering Provider </w:t>
      </w:r>
      <w:r>
        <w:rPr>
          <w:sz w:val="24"/>
        </w:rPr>
        <w:t>must advise the </w:t>
      </w:r>
      <w:r>
        <w:rPr>
          <w:i/>
          <w:sz w:val="24"/>
        </w:rPr>
        <w:t>Metering Data Provider </w:t>
      </w:r>
      <w:r>
        <w:rPr>
          <w:sz w:val="24"/>
        </w:rPr>
        <w:t>and the </w:t>
      </w:r>
      <w:r>
        <w:rPr>
          <w:i/>
          <w:sz w:val="24"/>
        </w:rPr>
        <w:t>Metering Coordinator </w:t>
      </w:r>
      <w:r>
        <w:rPr>
          <w:sz w:val="24"/>
        </w:rPr>
        <w:t>if communications equipment is to be temporarily disconnected such that it may affect the </w:t>
      </w:r>
      <w:r>
        <w:rPr>
          <w:i/>
          <w:sz w:val="24"/>
        </w:rPr>
        <w:t>remote acquisition </w:t>
      </w:r>
      <w:r>
        <w:rPr>
          <w:sz w:val="24"/>
        </w:rPr>
        <w:t>of </w:t>
      </w:r>
      <w:r>
        <w:rPr>
          <w:i/>
          <w:sz w:val="24"/>
        </w:rPr>
        <w:t>metering  </w:t>
      </w:r>
      <w:r>
        <w:rPr>
          <w:i/>
          <w:sz w:val="24"/>
        </w:rPr>
        <w:t>data</w:t>
      </w:r>
      <w:r>
        <w:rPr>
          <w:sz w:val="24"/>
        </w:rPr>
        <w:t>.</w:t>
      </w:r>
    </w:p>
    <w:p>
      <w:pPr>
        <w:pStyle w:val="ListParagraph"/>
        <w:numPr>
          <w:ilvl w:val="0"/>
          <w:numId w:val="605"/>
        </w:numPr>
        <w:tabs>
          <w:tab w:pos="1919" w:val="left" w:leader="none"/>
        </w:tabs>
        <w:spacing w:line="240" w:lineRule="auto" w:before="120" w:after="0"/>
        <w:ind w:left="1919" w:right="415" w:hanging="567"/>
        <w:jc w:val="both"/>
        <w:rPr>
          <w:sz w:val="24"/>
        </w:rPr>
      </w:pPr>
      <w:r>
        <w:rPr>
          <w:sz w:val="24"/>
        </w:rPr>
        <w:t>The </w:t>
      </w:r>
      <w:r>
        <w:rPr>
          <w:i/>
          <w:sz w:val="24"/>
        </w:rPr>
        <w:t>Metering Provider </w:t>
      </w:r>
      <w:r>
        <w:rPr>
          <w:sz w:val="24"/>
        </w:rPr>
        <w:t>must use reasonable endeavours to assist </w:t>
      </w:r>
      <w:r>
        <w:rPr>
          <w:spacing w:val="-5"/>
          <w:sz w:val="24"/>
        </w:rPr>
        <w:t>the </w:t>
      </w:r>
      <w:r>
        <w:rPr>
          <w:i/>
          <w:sz w:val="24"/>
        </w:rPr>
        <w:t>Metering Coordinator </w:t>
      </w:r>
      <w:r>
        <w:rPr>
          <w:sz w:val="24"/>
        </w:rPr>
        <w:t>and the </w:t>
      </w:r>
      <w:r>
        <w:rPr>
          <w:i/>
          <w:sz w:val="24"/>
        </w:rPr>
        <w:t>Metering Data Provider </w:t>
      </w:r>
      <w:r>
        <w:rPr>
          <w:sz w:val="24"/>
        </w:rPr>
        <w:t>with the manual collection of </w:t>
      </w:r>
      <w:r>
        <w:rPr>
          <w:i/>
          <w:sz w:val="24"/>
        </w:rPr>
        <w:t>metering data </w:t>
      </w:r>
      <w:r>
        <w:rPr>
          <w:sz w:val="24"/>
        </w:rPr>
        <w:t>from the </w:t>
      </w:r>
      <w:r>
        <w:rPr>
          <w:i/>
          <w:sz w:val="24"/>
        </w:rPr>
        <w:t>metering installation </w:t>
      </w:r>
      <w:r>
        <w:rPr>
          <w:sz w:val="24"/>
        </w:rPr>
        <w:t>where </w:t>
      </w:r>
      <w:r>
        <w:rPr>
          <w:i/>
          <w:sz w:val="24"/>
        </w:rPr>
        <w:t>remote </w:t>
      </w:r>
      <w:r>
        <w:rPr>
          <w:i/>
          <w:sz w:val="24"/>
        </w:rPr>
        <w:t>acquisition </w:t>
      </w:r>
      <w:r>
        <w:rPr>
          <w:sz w:val="24"/>
        </w:rPr>
        <w:t>becomes</w:t>
      </w:r>
      <w:r>
        <w:rPr>
          <w:spacing w:val="-1"/>
          <w:sz w:val="24"/>
        </w:rPr>
        <w:t> </w:t>
      </w:r>
      <w:r>
        <w:rPr>
          <w:sz w:val="24"/>
        </w:rPr>
        <w:t>unavailable.</w:t>
      </w:r>
    </w:p>
    <w:p>
      <w:pPr>
        <w:spacing w:after="0" w:line="240" w:lineRule="auto"/>
        <w:jc w:val="both"/>
        <w:rPr>
          <w:sz w:val="24"/>
        </w:rPr>
        <w:sectPr>
          <w:pgSz w:w="11910" w:h="16840"/>
          <w:pgMar w:header="686" w:footer="637" w:top="1320" w:bottom="820" w:left="1200" w:right="1000"/>
        </w:sectPr>
      </w:pPr>
    </w:p>
    <w:p>
      <w:pPr>
        <w:pStyle w:val="Heading4"/>
        <w:spacing w:before="83"/>
        <w:ind w:left="218" w:firstLine="0"/>
      </w:pPr>
      <w:bookmarkStart w:name="S7A.8.6.4 Non-conforming test results or" w:id="2116"/>
      <w:bookmarkEnd w:id="2116"/>
      <w:r>
        <w:rPr>
          <w:b w:val="0"/>
        </w:rPr>
      </w:r>
      <w:bookmarkStart w:name="_bookmark881" w:id="2117"/>
      <w:bookmarkEnd w:id="2117"/>
      <w:r>
        <w:rPr>
          <w:b w:val="0"/>
        </w:rPr>
      </w:r>
      <w:r>
        <w:rPr/>
        <w:t>S7A.8.6.4 Non-conforming test results or calibrations</w:t>
      </w:r>
    </w:p>
    <w:p>
      <w:pPr>
        <w:spacing w:before="120"/>
        <w:ind w:left="1352" w:right="414" w:firstLine="0"/>
        <w:jc w:val="both"/>
        <w:rPr>
          <w:sz w:val="24"/>
        </w:rPr>
      </w:pPr>
      <w:r>
        <w:rPr>
          <w:sz w:val="24"/>
        </w:rPr>
        <w:t>The </w:t>
      </w:r>
      <w:r>
        <w:rPr>
          <w:i/>
          <w:sz w:val="24"/>
        </w:rPr>
        <w:t>Metering Provider </w:t>
      </w:r>
      <w:r>
        <w:rPr>
          <w:sz w:val="24"/>
        </w:rPr>
        <w:t>must have a process for the management of non- conforming test results or calibrations at a </w:t>
      </w:r>
      <w:r>
        <w:rPr>
          <w:i/>
          <w:sz w:val="24"/>
        </w:rPr>
        <w:t>metering installation</w:t>
      </w:r>
      <w:r>
        <w:rPr>
          <w:sz w:val="24"/>
        </w:rPr>
        <w:t>, and for devices removed from a </w:t>
      </w:r>
      <w:r>
        <w:rPr>
          <w:i/>
          <w:sz w:val="24"/>
        </w:rPr>
        <w:t>metering installation </w:t>
      </w:r>
      <w:r>
        <w:rPr>
          <w:sz w:val="24"/>
        </w:rPr>
        <w:t>for testing and evaluation, which must include:</w:t>
      </w:r>
    </w:p>
    <w:p>
      <w:pPr>
        <w:pStyle w:val="ListParagraph"/>
        <w:numPr>
          <w:ilvl w:val="0"/>
          <w:numId w:val="606"/>
        </w:numPr>
        <w:tabs>
          <w:tab w:pos="1919" w:val="left" w:leader="none"/>
        </w:tabs>
        <w:spacing w:line="240" w:lineRule="auto" w:before="120" w:after="0"/>
        <w:ind w:left="1918" w:right="0" w:hanging="567"/>
        <w:jc w:val="both"/>
        <w:rPr>
          <w:sz w:val="24"/>
        </w:rPr>
      </w:pPr>
      <w:r>
        <w:rPr>
          <w:sz w:val="24"/>
        </w:rPr>
        <w:t>a process to perform the evaluation of the</w:t>
      </w:r>
      <w:r>
        <w:rPr>
          <w:spacing w:val="-3"/>
          <w:sz w:val="24"/>
        </w:rPr>
        <w:t> </w:t>
      </w:r>
      <w:r>
        <w:rPr>
          <w:sz w:val="24"/>
        </w:rPr>
        <w:t>non-conformance;</w:t>
      </w:r>
    </w:p>
    <w:p>
      <w:pPr>
        <w:pStyle w:val="ListParagraph"/>
        <w:numPr>
          <w:ilvl w:val="0"/>
          <w:numId w:val="606"/>
        </w:numPr>
        <w:tabs>
          <w:tab w:pos="1919" w:val="left" w:leader="none"/>
        </w:tabs>
        <w:spacing w:line="240" w:lineRule="auto" w:before="120" w:after="0"/>
        <w:ind w:left="1918" w:right="0" w:hanging="567"/>
        <w:jc w:val="both"/>
        <w:rPr>
          <w:sz w:val="24"/>
        </w:rPr>
      </w:pPr>
      <w:r>
        <w:rPr>
          <w:sz w:val="24"/>
        </w:rPr>
        <w:t>authority for management of the</w:t>
      </w:r>
      <w:r>
        <w:rPr>
          <w:spacing w:val="-2"/>
          <w:sz w:val="24"/>
        </w:rPr>
        <w:t> </w:t>
      </w:r>
      <w:r>
        <w:rPr>
          <w:sz w:val="24"/>
        </w:rPr>
        <w:t>non-conformance;</w:t>
      </w:r>
    </w:p>
    <w:p>
      <w:pPr>
        <w:pStyle w:val="ListParagraph"/>
        <w:numPr>
          <w:ilvl w:val="0"/>
          <w:numId w:val="606"/>
        </w:numPr>
        <w:tabs>
          <w:tab w:pos="1919" w:val="left" w:leader="none"/>
        </w:tabs>
        <w:spacing w:line="240" w:lineRule="auto" w:before="120" w:after="0"/>
        <w:ind w:left="1919" w:right="415" w:hanging="567"/>
        <w:jc w:val="both"/>
        <w:rPr>
          <w:sz w:val="24"/>
        </w:rPr>
      </w:pPr>
      <w:r>
        <w:rPr>
          <w:sz w:val="24"/>
        </w:rPr>
        <w:t>notification of the non-conformance to parties affected by the non- conformance, which must include the </w:t>
      </w:r>
      <w:r>
        <w:rPr>
          <w:i/>
          <w:sz w:val="24"/>
        </w:rPr>
        <w:t>Metering Coordinator</w:t>
      </w:r>
      <w:r>
        <w:rPr>
          <w:sz w:val="24"/>
        </w:rPr>
        <w:t>, </w:t>
      </w:r>
      <w:r>
        <w:rPr>
          <w:i/>
          <w:sz w:val="24"/>
        </w:rPr>
        <w:t>Metering Data </w:t>
      </w:r>
      <w:r>
        <w:rPr>
          <w:i/>
          <w:sz w:val="24"/>
        </w:rPr>
        <w:t>Provider</w:t>
      </w:r>
      <w:r>
        <w:rPr>
          <w:sz w:val="24"/>
        </w:rPr>
        <w:t>, financially responsible participant, </w:t>
      </w:r>
      <w:r>
        <w:rPr>
          <w:i/>
          <w:sz w:val="24"/>
        </w:rPr>
        <w:t>Local Network Service </w:t>
      </w:r>
      <w:r>
        <w:rPr>
          <w:i/>
          <w:sz w:val="24"/>
        </w:rPr>
        <w:t>Provider </w:t>
      </w:r>
      <w:r>
        <w:rPr>
          <w:sz w:val="24"/>
        </w:rPr>
        <w:t>and </w:t>
      </w:r>
      <w:r>
        <w:rPr>
          <w:i/>
          <w:sz w:val="24"/>
        </w:rPr>
        <w:t>NTESMO</w:t>
      </w:r>
      <w:r>
        <w:rPr>
          <w:sz w:val="24"/>
        </w:rPr>
        <w:t>;</w:t>
      </w:r>
      <w:r>
        <w:rPr>
          <w:spacing w:val="-1"/>
          <w:sz w:val="24"/>
        </w:rPr>
        <w:t> </w:t>
      </w:r>
      <w:r>
        <w:rPr>
          <w:sz w:val="24"/>
        </w:rPr>
        <w:t>and</w:t>
      </w:r>
    </w:p>
    <w:p>
      <w:pPr>
        <w:pStyle w:val="ListParagraph"/>
        <w:numPr>
          <w:ilvl w:val="0"/>
          <w:numId w:val="606"/>
        </w:numPr>
        <w:tabs>
          <w:tab w:pos="1919" w:val="left" w:leader="none"/>
        </w:tabs>
        <w:spacing w:line="240" w:lineRule="auto" w:before="120" w:after="0"/>
        <w:ind w:left="1918" w:right="0" w:hanging="567"/>
        <w:jc w:val="both"/>
        <w:rPr>
          <w:sz w:val="24"/>
        </w:rPr>
      </w:pPr>
      <w:r>
        <w:rPr>
          <w:sz w:val="24"/>
        </w:rPr>
        <w:t>initiation of corrective</w:t>
      </w:r>
      <w:r>
        <w:rPr>
          <w:spacing w:val="-2"/>
          <w:sz w:val="24"/>
        </w:rPr>
        <w:t> </w:t>
      </w:r>
      <w:r>
        <w:rPr>
          <w:sz w:val="24"/>
        </w:rPr>
        <w:t>action.</w:t>
      </w:r>
    </w:p>
    <w:p>
      <w:pPr>
        <w:pStyle w:val="Heading4"/>
        <w:tabs>
          <w:tab w:pos="1351" w:val="left" w:leader="none"/>
        </w:tabs>
        <w:spacing w:line="510" w:lineRule="atLeast" w:before="6"/>
        <w:ind w:left="218" w:right="4551" w:firstLine="0"/>
      </w:pPr>
      <w:bookmarkStart w:name="S7A.8.7 Systems and administration" w:id="2118"/>
      <w:bookmarkEnd w:id="2118"/>
      <w:r>
        <w:rPr>
          <w:b w:val="0"/>
        </w:rPr>
      </w:r>
      <w:bookmarkStart w:name="_bookmark882" w:id="2119"/>
      <w:bookmarkEnd w:id="2119"/>
      <w:r>
        <w:rPr>
          <w:b w:val="0"/>
        </w:rPr>
      </w:r>
      <w:r>
        <w:rPr/>
        <w:t>S7A.8.7</w:t>
        <w:tab/>
        <w:t>Systems and administration</w:t>
      </w:r>
      <w:bookmarkStart w:name="S7A.8.7.1 Register of metering installat" w:id="2120"/>
      <w:bookmarkEnd w:id="2120"/>
      <w:r>
        <w:rPr/>
      </w:r>
      <w:bookmarkStart w:name="_bookmark883" w:id="2121"/>
      <w:bookmarkEnd w:id="2121"/>
      <w:r>
        <w:rPr/>
      </w:r>
      <w:r>
        <w:rPr/>
        <w:t> S7A.8.7.1 Register of metering</w:t>
      </w:r>
      <w:r>
        <w:rPr>
          <w:spacing w:val="-13"/>
        </w:rPr>
        <w:t> </w:t>
      </w:r>
      <w:r>
        <w:rPr/>
        <w:t>installations</w:t>
      </w:r>
    </w:p>
    <w:p>
      <w:pPr>
        <w:pStyle w:val="ListParagraph"/>
        <w:numPr>
          <w:ilvl w:val="0"/>
          <w:numId w:val="607"/>
        </w:numPr>
        <w:tabs>
          <w:tab w:pos="1919" w:val="left" w:leader="none"/>
        </w:tabs>
        <w:spacing w:line="240" w:lineRule="auto" w:before="126" w:after="0"/>
        <w:ind w:left="1919" w:right="415" w:hanging="567"/>
        <w:jc w:val="both"/>
        <w:rPr>
          <w:sz w:val="24"/>
        </w:rPr>
      </w:pPr>
      <w:r>
        <w:rPr>
          <w:sz w:val="24"/>
        </w:rPr>
        <w:t>The </w:t>
      </w:r>
      <w:r>
        <w:rPr>
          <w:i/>
          <w:sz w:val="24"/>
        </w:rPr>
        <w:t>Metering Provider </w:t>
      </w:r>
      <w:r>
        <w:rPr>
          <w:sz w:val="24"/>
        </w:rPr>
        <w:t>must establish and maintain a register of </w:t>
      </w:r>
      <w:r>
        <w:rPr>
          <w:i/>
          <w:sz w:val="24"/>
        </w:rPr>
        <w:t>metering </w:t>
      </w:r>
      <w:r>
        <w:rPr>
          <w:i/>
          <w:sz w:val="24"/>
        </w:rPr>
        <w:t>installations </w:t>
      </w:r>
      <w:r>
        <w:rPr>
          <w:sz w:val="24"/>
        </w:rPr>
        <w:t>which must</w:t>
      </w:r>
      <w:r>
        <w:rPr>
          <w:spacing w:val="-1"/>
          <w:sz w:val="24"/>
        </w:rPr>
        <w:t> </w:t>
      </w:r>
      <w:r>
        <w:rPr>
          <w:sz w:val="24"/>
        </w:rPr>
        <w:t>include:</w:t>
      </w:r>
    </w:p>
    <w:p>
      <w:pPr>
        <w:pStyle w:val="ListParagraph"/>
        <w:numPr>
          <w:ilvl w:val="1"/>
          <w:numId w:val="607"/>
        </w:numPr>
        <w:tabs>
          <w:tab w:pos="2486" w:val="left" w:leader="none"/>
        </w:tabs>
        <w:spacing w:line="240" w:lineRule="auto" w:before="120" w:after="0"/>
        <w:ind w:left="2486" w:right="415" w:hanging="567"/>
        <w:jc w:val="both"/>
        <w:rPr>
          <w:sz w:val="24"/>
        </w:rPr>
      </w:pPr>
      <w:r>
        <w:rPr>
          <w:sz w:val="24"/>
        </w:rPr>
        <w:t>the identity and characteristics of </w:t>
      </w:r>
      <w:r>
        <w:rPr>
          <w:i/>
          <w:sz w:val="24"/>
        </w:rPr>
        <w:t>metering </w:t>
      </w:r>
      <w:r>
        <w:rPr>
          <w:sz w:val="24"/>
        </w:rPr>
        <w:t>equipment (</w:t>
      </w:r>
      <w:r>
        <w:rPr>
          <w:i/>
          <w:sz w:val="24"/>
        </w:rPr>
        <w:t>instrument </w:t>
      </w:r>
      <w:r>
        <w:rPr>
          <w:i/>
          <w:sz w:val="24"/>
        </w:rPr>
        <w:t>transformers</w:t>
      </w:r>
      <w:r>
        <w:rPr>
          <w:sz w:val="24"/>
        </w:rPr>
        <w:t>, </w:t>
      </w:r>
      <w:r>
        <w:rPr>
          <w:i/>
          <w:sz w:val="24"/>
        </w:rPr>
        <w:t>metering installation </w:t>
      </w:r>
      <w:r>
        <w:rPr>
          <w:sz w:val="24"/>
        </w:rPr>
        <w:t>and </w:t>
      </w:r>
      <w:r>
        <w:rPr>
          <w:i/>
          <w:sz w:val="24"/>
        </w:rPr>
        <w:t>check metering installation</w:t>
      </w:r>
      <w:r>
        <w:rPr>
          <w:sz w:val="24"/>
        </w:rPr>
        <w:t>), including:</w:t>
      </w:r>
    </w:p>
    <w:p>
      <w:pPr>
        <w:pStyle w:val="ListParagraph"/>
        <w:numPr>
          <w:ilvl w:val="2"/>
          <w:numId w:val="607"/>
        </w:numPr>
        <w:tabs>
          <w:tab w:pos="3052" w:val="left" w:leader="none"/>
          <w:tab w:pos="3053" w:val="left" w:leader="none"/>
        </w:tabs>
        <w:spacing w:line="240" w:lineRule="auto" w:before="120" w:after="0"/>
        <w:ind w:left="3052" w:right="0" w:hanging="567"/>
        <w:jc w:val="left"/>
        <w:rPr>
          <w:sz w:val="24"/>
        </w:rPr>
      </w:pPr>
      <w:r>
        <w:rPr>
          <w:sz w:val="24"/>
        </w:rPr>
        <w:t>serial</w:t>
      </w:r>
      <w:r>
        <w:rPr>
          <w:spacing w:val="-1"/>
          <w:sz w:val="24"/>
        </w:rPr>
        <w:t> </w:t>
      </w:r>
      <w:r>
        <w:rPr>
          <w:sz w:val="24"/>
        </w:rPr>
        <w:t>numbers;</w:t>
      </w:r>
    </w:p>
    <w:p>
      <w:pPr>
        <w:pStyle w:val="ListParagraph"/>
        <w:numPr>
          <w:ilvl w:val="2"/>
          <w:numId w:val="607"/>
        </w:numPr>
        <w:tabs>
          <w:tab w:pos="3052" w:val="left" w:leader="none"/>
          <w:tab w:pos="3054" w:val="left" w:leader="none"/>
        </w:tabs>
        <w:spacing w:line="240" w:lineRule="auto" w:before="120" w:after="0"/>
        <w:ind w:left="3053" w:right="0" w:hanging="568"/>
        <w:jc w:val="left"/>
        <w:rPr>
          <w:sz w:val="24"/>
        </w:rPr>
      </w:pPr>
      <w:r>
        <w:rPr>
          <w:i/>
          <w:sz w:val="24"/>
        </w:rPr>
        <w:t>metering installation </w:t>
      </w:r>
      <w:r>
        <w:rPr>
          <w:sz w:val="24"/>
        </w:rPr>
        <w:t>identification</w:t>
      </w:r>
      <w:r>
        <w:rPr>
          <w:spacing w:val="-1"/>
          <w:sz w:val="24"/>
        </w:rPr>
        <w:t> </w:t>
      </w:r>
      <w:r>
        <w:rPr>
          <w:sz w:val="24"/>
        </w:rPr>
        <w:t>name;</w:t>
      </w:r>
    </w:p>
    <w:p>
      <w:pPr>
        <w:pStyle w:val="ListParagraph"/>
        <w:numPr>
          <w:ilvl w:val="2"/>
          <w:numId w:val="607"/>
        </w:numPr>
        <w:tabs>
          <w:tab w:pos="3052" w:val="left" w:leader="none"/>
          <w:tab w:pos="3053" w:val="left" w:leader="none"/>
        </w:tabs>
        <w:spacing w:line="240" w:lineRule="auto" w:before="120" w:after="0"/>
        <w:ind w:left="3052" w:right="0" w:hanging="567"/>
        <w:jc w:val="left"/>
        <w:rPr>
          <w:sz w:val="24"/>
        </w:rPr>
      </w:pPr>
      <w:r>
        <w:rPr>
          <w:i/>
          <w:sz w:val="24"/>
        </w:rPr>
        <w:t>metering installation </w:t>
      </w:r>
      <w:r>
        <w:rPr>
          <w:sz w:val="24"/>
        </w:rPr>
        <w:t>types and</w:t>
      </w:r>
      <w:r>
        <w:rPr>
          <w:spacing w:val="-1"/>
          <w:sz w:val="24"/>
        </w:rPr>
        <w:t> </w:t>
      </w:r>
      <w:r>
        <w:rPr>
          <w:sz w:val="24"/>
        </w:rPr>
        <w:t>models;</w:t>
      </w:r>
    </w:p>
    <w:p>
      <w:pPr>
        <w:pStyle w:val="ListParagraph"/>
        <w:numPr>
          <w:ilvl w:val="2"/>
          <w:numId w:val="607"/>
        </w:numPr>
        <w:tabs>
          <w:tab w:pos="3052" w:val="left" w:leader="none"/>
          <w:tab w:pos="3054" w:val="left" w:leader="none"/>
        </w:tabs>
        <w:spacing w:line="240" w:lineRule="auto" w:before="120" w:after="0"/>
        <w:ind w:left="3053" w:right="0" w:hanging="568"/>
        <w:jc w:val="left"/>
        <w:rPr>
          <w:sz w:val="24"/>
        </w:rPr>
      </w:pPr>
      <w:r>
        <w:rPr>
          <w:i/>
          <w:sz w:val="24"/>
        </w:rPr>
        <w:t>instrument transformer </w:t>
      </w:r>
      <w:r>
        <w:rPr>
          <w:sz w:val="24"/>
        </w:rPr>
        <w:t>ratios (available and</w:t>
      </w:r>
      <w:r>
        <w:rPr>
          <w:spacing w:val="-2"/>
          <w:sz w:val="24"/>
        </w:rPr>
        <w:t> </w:t>
      </w:r>
      <w:r>
        <w:rPr>
          <w:sz w:val="24"/>
        </w:rPr>
        <w:t>connected);</w:t>
      </w:r>
    </w:p>
    <w:p>
      <w:pPr>
        <w:pStyle w:val="ListParagraph"/>
        <w:numPr>
          <w:ilvl w:val="2"/>
          <w:numId w:val="607"/>
        </w:numPr>
        <w:tabs>
          <w:tab w:pos="3052" w:val="left" w:leader="none"/>
          <w:tab w:pos="3053" w:val="left" w:leader="none"/>
        </w:tabs>
        <w:spacing w:line="240" w:lineRule="auto" w:before="120" w:after="0"/>
        <w:ind w:left="3053" w:right="414" w:hanging="567"/>
        <w:jc w:val="left"/>
        <w:rPr>
          <w:sz w:val="24"/>
        </w:rPr>
      </w:pPr>
      <w:r>
        <w:rPr>
          <w:sz w:val="24"/>
        </w:rPr>
        <w:t>current test and calibration programme details, test results and references to test</w:t>
      </w:r>
      <w:r>
        <w:rPr>
          <w:spacing w:val="-1"/>
          <w:sz w:val="24"/>
        </w:rPr>
        <w:t> </w:t>
      </w:r>
      <w:r>
        <w:rPr>
          <w:sz w:val="24"/>
        </w:rPr>
        <w:t>certificates;</w:t>
      </w:r>
    </w:p>
    <w:p>
      <w:pPr>
        <w:pStyle w:val="ListParagraph"/>
        <w:numPr>
          <w:ilvl w:val="2"/>
          <w:numId w:val="607"/>
        </w:numPr>
        <w:tabs>
          <w:tab w:pos="3052" w:val="left" w:leader="none"/>
          <w:tab w:pos="3053" w:val="left" w:leader="none"/>
        </w:tabs>
        <w:spacing w:line="240" w:lineRule="auto" w:before="120" w:after="0"/>
        <w:ind w:left="3052" w:right="0" w:hanging="567"/>
        <w:jc w:val="left"/>
        <w:rPr>
          <w:sz w:val="24"/>
        </w:rPr>
      </w:pPr>
      <w:r>
        <w:rPr>
          <w:sz w:val="24"/>
        </w:rPr>
        <w:t>asset management plan and testing</w:t>
      </w:r>
      <w:r>
        <w:rPr>
          <w:spacing w:val="-3"/>
          <w:sz w:val="24"/>
        </w:rPr>
        <w:t> </w:t>
      </w:r>
      <w:r>
        <w:rPr>
          <w:sz w:val="24"/>
        </w:rPr>
        <w:t>schedule;</w:t>
      </w:r>
    </w:p>
    <w:p>
      <w:pPr>
        <w:pStyle w:val="ListParagraph"/>
        <w:numPr>
          <w:ilvl w:val="2"/>
          <w:numId w:val="607"/>
        </w:numPr>
        <w:tabs>
          <w:tab w:pos="3053" w:val="left" w:leader="none"/>
        </w:tabs>
        <w:spacing w:line="240" w:lineRule="auto" w:before="120" w:after="0"/>
        <w:ind w:left="3052" w:right="0" w:hanging="567"/>
        <w:jc w:val="left"/>
        <w:rPr>
          <w:i/>
          <w:sz w:val="24"/>
        </w:rPr>
      </w:pPr>
      <w:r>
        <w:rPr>
          <w:sz w:val="24"/>
        </w:rPr>
        <w:t>calibration tables, where applied to achieve </w:t>
      </w:r>
      <w:r>
        <w:rPr>
          <w:i/>
          <w:sz w:val="24"/>
        </w:rPr>
        <w:t>metering installation</w:t>
      </w:r>
    </w:p>
    <w:p>
      <w:pPr>
        <w:pStyle w:val="BodyText"/>
        <w:spacing w:before="0"/>
        <w:ind w:left="3053" w:firstLine="0"/>
        <w:jc w:val="left"/>
      </w:pPr>
      <w:r>
        <w:rPr/>
        <w:t>accuracy;</w:t>
      </w:r>
    </w:p>
    <w:p>
      <w:pPr>
        <w:pStyle w:val="ListParagraph"/>
        <w:numPr>
          <w:ilvl w:val="2"/>
          <w:numId w:val="607"/>
        </w:numPr>
        <w:tabs>
          <w:tab w:pos="3053" w:val="left" w:leader="none"/>
        </w:tabs>
        <w:spacing w:line="240" w:lineRule="auto" w:before="120" w:after="0"/>
        <w:ind w:left="3052" w:right="0" w:hanging="567"/>
        <w:jc w:val="left"/>
        <w:rPr>
          <w:sz w:val="24"/>
        </w:rPr>
      </w:pPr>
      <w:r>
        <w:rPr>
          <w:i/>
          <w:sz w:val="24"/>
        </w:rPr>
        <w:t>Metering Provider</w:t>
      </w:r>
      <w:r>
        <w:rPr>
          <w:sz w:val="24"/>
        </w:rPr>
        <w:t>(s) and </w:t>
      </w:r>
      <w:r>
        <w:rPr>
          <w:i/>
          <w:sz w:val="24"/>
        </w:rPr>
        <w:t>Metering Data Provider</w:t>
      </w:r>
      <w:r>
        <w:rPr>
          <w:sz w:val="24"/>
        </w:rPr>
        <w:t>(s)</w:t>
      </w:r>
      <w:r>
        <w:rPr>
          <w:spacing w:val="-3"/>
          <w:sz w:val="24"/>
        </w:rPr>
        <w:t> </w:t>
      </w:r>
      <w:r>
        <w:rPr>
          <w:sz w:val="24"/>
        </w:rPr>
        <w:t>details;</w:t>
      </w:r>
    </w:p>
    <w:p>
      <w:pPr>
        <w:pStyle w:val="ListParagraph"/>
        <w:numPr>
          <w:ilvl w:val="2"/>
          <w:numId w:val="607"/>
        </w:numPr>
        <w:tabs>
          <w:tab w:pos="3052" w:val="left" w:leader="none"/>
          <w:tab w:pos="3054" w:val="left" w:leader="none"/>
        </w:tabs>
        <w:spacing w:line="240" w:lineRule="auto" w:before="120" w:after="0"/>
        <w:ind w:left="3053" w:right="0" w:hanging="568"/>
        <w:jc w:val="left"/>
        <w:rPr>
          <w:sz w:val="24"/>
        </w:rPr>
      </w:pPr>
      <w:r>
        <w:rPr>
          <w:sz w:val="24"/>
        </w:rPr>
        <w:t>summation scheme values and multipliers;</w:t>
      </w:r>
      <w:r>
        <w:rPr>
          <w:spacing w:val="-3"/>
          <w:sz w:val="24"/>
        </w:rPr>
        <w:t> </w:t>
      </w:r>
      <w:r>
        <w:rPr>
          <w:sz w:val="24"/>
        </w:rPr>
        <w:t>and</w:t>
      </w:r>
    </w:p>
    <w:p>
      <w:pPr>
        <w:pStyle w:val="ListParagraph"/>
        <w:numPr>
          <w:ilvl w:val="2"/>
          <w:numId w:val="607"/>
        </w:numPr>
        <w:tabs>
          <w:tab w:pos="3052" w:val="left" w:leader="none"/>
          <w:tab w:pos="3053" w:val="left" w:leader="none"/>
        </w:tabs>
        <w:spacing w:line="240" w:lineRule="auto" w:before="120" w:after="0"/>
        <w:ind w:left="3052" w:right="0" w:hanging="567"/>
        <w:jc w:val="left"/>
        <w:rPr>
          <w:sz w:val="24"/>
        </w:rPr>
      </w:pPr>
      <w:r>
        <w:rPr>
          <w:sz w:val="24"/>
        </w:rPr>
        <w:t>data register coding</w:t>
      </w:r>
      <w:r>
        <w:rPr>
          <w:spacing w:val="-1"/>
          <w:sz w:val="24"/>
        </w:rPr>
        <w:t> </w:t>
      </w:r>
      <w:r>
        <w:rPr>
          <w:sz w:val="24"/>
        </w:rPr>
        <w:t>details;</w:t>
      </w:r>
    </w:p>
    <w:p>
      <w:pPr>
        <w:pStyle w:val="ListParagraph"/>
        <w:numPr>
          <w:ilvl w:val="1"/>
          <w:numId w:val="607"/>
        </w:numPr>
        <w:tabs>
          <w:tab w:pos="2486" w:val="left" w:leader="none"/>
        </w:tabs>
        <w:spacing w:line="240" w:lineRule="auto" w:before="120" w:after="0"/>
        <w:ind w:left="2486" w:right="414" w:hanging="567"/>
        <w:jc w:val="both"/>
        <w:rPr>
          <w:sz w:val="24"/>
        </w:rPr>
      </w:pPr>
      <w:r>
        <w:rPr>
          <w:sz w:val="24"/>
        </w:rPr>
        <w:t>for </w:t>
      </w:r>
      <w:r>
        <w:rPr>
          <w:i/>
          <w:sz w:val="24"/>
        </w:rPr>
        <w:t>metering installations </w:t>
      </w:r>
      <w:r>
        <w:rPr>
          <w:sz w:val="24"/>
        </w:rPr>
        <w:t>for </w:t>
      </w:r>
      <w:r>
        <w:rPr>
          <w:i/>
          <w:sz w:val="24"/>
        </w:rPr>
        <w:t>connection points </w:t>
      </w:r>
      <w:r>
        <w:rPr>
          <w:sz w:val="24"/>
        </w:rPr>
        <w:t>in a </w:t>
      </w:r>
      <w:r>
        <w:rPr>
          <w:i/>
          <w:sz w:val="24"/>
        </w:rPr>
        <w:t>market </w:t>
      </w:r>
      <w:r>
        <w:rPr>
          <w:sz w:val="24"/>
        </w:rPr>
        <w:t>operated or administered by </w:t>
      </w:r>
      <w:r>
        <w:rPr>
          <w:i/>
          <w:sz w:val="24"/>
        </w:rPr>
        <w:t>NTESMO</w:t>
      </w:r>
      <w:r>
        <w:rPr>
          <w:sz w:val="24"/>
        </w:rPr>
        <w:t>– any matters identified by </w:t>
      </w:r>
      <w:r>
        <w:rPr>
          <w:i/>
          <w:sz w:val="24"/>
        </w:rPr>
        <w:t>NTESMO </w:t>
      </w:r>
      <w:r>
        <w:rPr>
          <w:sz w:val="24"/>
        </w:rPr>
        <w:t>in a communication guideline issued in from time to time accordance with clause</w:t>
      </w:r>
      <w:r>
        <w:rPr>
          <w:spacing w:val="-1"/>
          <w:sz w:val="24"/>
        </w:rPr>
        <w:t> </w:t>
      </w:r>
      <w:r>
        <w:rPr>
          <w:sz w:val="24"/>
        </w:rPr>
        <w:t>S7A.1.3.</w:t>
      </w:r>
    </w:p>
    <w:p>
      <w:pPr>
        <w:pStyle w:val="ListParagraph"/>
        <w:numPr>
          <w:ilvl w:val="0"/>
          <w:numId w:val="607"/>
        </w:numPr>
        <w:tabs>
          <w:tab w:pos="1919" w:val="left" w:leader="none"/>
        </w:tabs>
        <w:spacing w:line="240" w:lineRule="auto" w:before="120" w:after="0"/>
        <w:ind w:left="1919" w:right="414" w:hanging="567"/>
        <w:jc w:val="both"/>
        <w:rPr>
          <w:sz w:val="24"/>
        </w:rPr>
      </w:pPr>
      <w:r>
        <w:rPr>
          <w:sz w:val="24"/>
        </w:rPr>
        <w:t>The register must be retained electronically for at least 13 months for each </w:t>
      </w:r>
      <w:r>
        <w:rPr>
          <w:i/>
          <w:sz w:val="24"/>
        </w:rPr>
        <w:t>metering installation </w:t>
      </w:r>
      <w:r>
        <w:rPr>
          <w:sz w:val="24"/>
        </w:rPr>
        <w:t>from when the details of the </w:t>
      </w:r>
      <w:r>
        <w:rPr>
          <w:i/>
          <w:sz w:val="24"/>
        </w:rPr>
        <w:t>metering installation </w:t>
      </w:r>
      <w:r>
        <w:rPr>
          <w:sz w:val="24"/>
        </w:rPr>
        <w:t>are first recorded in the register and may be archived after this</w:t>
      </w:r>
      <w:r>
        <w:rPr>
          <w:spacing w:val="-2"/>
          <w:sz w:val="24"/>
        </w:rPr>
        <w:t> </w:t>
      </w:r>
      <w:r>
        <w:rPr>
          <w:sz w:val="24"/>
        </w:rPr>
        <w:t>period.</w:t>
      </w:r>
    </w:p>
    <w:p>
      <w:pPr>
        <w:pStyle w:val="ListParagraph"/>
        <w:numPr>
          <w:ilvl w:val="0"/>
          <w:numId w:val="607"/>
        </w:numPr>
        <w:tabs>
          <w:tab w:pos="1919" w:val="left" w:leader="none"/>
        </w:tabs>
        <w:spacing w:line="240" w:lineRule="auto" w:before="120" w:after="0"/>
        <w:ind w:left="1919" w:right="416" w:hanging="567"/>
        <w:jc w:val="both"/>
        <w:rPr>
          <w:sz w:val="24"/>
        </w:rPr>
      </w:pPr>
      <w:r>
        <w:rPr>
          <w:sz w:val="24"/>
        </w:rPr>
        <w:t>The register must be retained for at least 7 years for each </w:t>
      </w:r>
      <w:r>
        <w:rPr>
          <w:i/>
          <w:sz w:val="24"/>
        </w:rPr>
        <w:t>metering </w:t>
      </w:r>
      <w:r>
        <w:rPr>
          <w:i/>
          <w:sz w:val="24"/>
        </w:rPr>
        <w:t>installation </w:t>
      </w:r>
      <w:r>
        <w:rPr>
          <w:sz w:val="24"/>
        </w:rPr>
        <w:t>from when the details of the </w:t>
      </w:r>
      <w:r>
        <w:rPr>
          <w:i/>
          <w:sz w:val="24"/>
        </w:rPr>
        <w:t>metering installation </w:t>
      </w:r>
      <w:r>
        <w:rPr>
          <w:sz w:val="24"/>
        </w:rPr>
        <w:t>are</w:t>
      </w:r>
      <w:r>
        <w:rPr>
          <w:spacing w:val="34"/>
          <w:sz w:val="24"/>
        </w:rPr>
        <w:t> </w:t>
      </w:r>
      <w:r>
        <w:rPr>
          <w:sz w:val="24"/>
        </w:rPr>
        <w:t>first</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recorded in the register and any archiving retrieval mechanisms </w:t>
      </w:r>
      <w:r>
        <w:rPr>
          <w:spacing w:val="-3"/>
        </w:rPr>
        <w:t>must </w:t>
      </w:r>
      <w:r>
        <w:rPr/>
        <w:t>facilitate analysis and management of information using the </w:t>
      </w:r>
      <w:r>
        <w:rPr>
          <w:spacing w:val="-4"/>
        </w:rPr>
        <w:t>same  </w:t>
      </w:r>
      <w:r>
        <w:rPr/>
        <w:t>processing rules applied to the electronic</w:t>
      </w:r>
      <w:r>
        <w:rPr>
          <w:spacing w:val="-2"/>
        </w:rPr>
        <w:t> </w:t>
      </w:r>
      <w:r>
        <w:rPr/>
        <w:t>register.</w:t>
      </w:r>
    </w:p>
    <w:p>
      <w:pPr>
        <w:pStyle w:val="ListParagraph"/>
        <w:numPr>
          <w:ilvl w:val="0"/>
          <w:numId w:val="607"/>
        </w:numPr>
        <w:tabs>
          <w:tab w:pos="1919" w:val="left" w:leader="none"/>
        </w:tabs>
        <w:spacing w:line="240" w:lineRule="auto" w:before="120" w:after="0"/>
        <w:ind w:left="1919" w:right="415" w:hanging="567"/>
        <w:jc w:val="both"/>
        <w:rPr>
          <w:sz w:val="24"/>
        </w:rPr>
      </w:pPr>
      <w:r>
        <w:rPr>
          <w:sz w:val="24"/>
        </w:rPr>
        <w:t>The </w:t>
      </w:r>
      <w:r>
        <w:rPr>
          <w:i/>
          <w:sz w:val="24"/>
        </w:rPr>
        <w:t>Metering Provider </w:t>
      </w:r>
      <w:r>
        <w:rPr>
          <w:sz w:val="24"/>
        </w:rPr>
        <w:t>must provide information from their register of </w:t>
      </w:r>
      <w:r>
        <w:rPr>
          <w:i/>
          <w:sz w:val="24"/>
        </w:rPr>
        <w:t>metering installations </w:t>
      </w:r>
      <w:r>
        <w:rPr>
          <w:sz w:val="24"/>
        </w:rPr>
        <w:t>to a party authorised to receive data in accordance with clause 7A.13.5 in a timeframe agreed with that</w:t>
      </w:r>
      <w:r>
        <w:rPr>
          <w:spacing w:val="-5"/>
          <w:sz w:val="24"/>
        </w:rPr>
        <w:t> </w:t>
      </w:r>
      <w:r>
        <w:rPr>
          <w:sz w:val="24"/>
        </w:rPr>
        <w:t>party.</w:t>
      </w:r>
    </w:p>
    <w:p>
      <w:pPr>
        <w:pStyle w:val="BodyText"/>
        <w:spacing w:before="10"/>
        <w:ind w:firstLine="0"/>
        <w:jc w:val="left"/>
        <w:rPr>
          <w:sz w:val="20"/>
        </w:rPr>
      </w:pPr>
    </w:p>
    <w:p>
      <w:pPr>
        <w:pStyle w:val="Heading4"/>
        <w:ind w:left="218" w:firstLine="0"/>
      </w:pPr>
      <w:bookmarkStart w:name="S7A.8.7.2 Disaster recovery" w:id="2122"/>
      <w:bookmarkEnd w:id="2122"/>
      <w:r>
        <w:rPr>
          <w:b w:val="0"/>
        </w:rPr>
      </w:r>
      <w:bookmarkStart w:name="_bookmark884" w:id="2123"/>
      <w:bookmarkEnd w:id="2123"/>
      <w:r>
        <w:rPr>
          <w:b w:val="0"/>
        </w:rPr>
      </w:r>
      <w:r>
        <w:rPr/>
        <w:t>S7A.8.7.2 Disaster recovery</w:t>
      </w:r>
    </w:p>
    <w:p>
      <w:pPr>
        <w:pStyle w:val="ListParagraph"/>
        <w:numPr>
          <w:ilvl w:val="0"/>
          <w:numId w:val="608"/>
        </w:numPr>
        <w:tabs>
          <w:tab w:pos="1919" w:val="left" w:leader="none"/>
        </w:tabs>
        <w:spacing w:line="240" w:lineRule="auto" w:before="120" w:after="0"/>
        <w:ind w:left="1919" w:right="414" w:hanging="567"/>
        <w:jc w:val="both"/>
        <w:rPr>
          <w:sz w:val="24"/>
        </w:rPr>
      </w:pPr>
      <w:r>
        <w:rPr>
          <w:sz w:val="24"/>
        </w:rPr>
        <w:t>The </w:t>
      </w:r>
      <w:r>
        <w:rPr>
          <w:i/>
          <w:sz w:val="24"/>
        </w:rPr>
        <w:t>Metering Provider </w:t>
      </w:r>
      <w:r>
        <w:rPr>
          <w:sz w:val="24"/>
        </w:rPr>
        <w:t>must establish and maintain a disaster recovery plan and business continuity processes that</w:t>
      </w:r>
      <w:r>
        <w:rPr>
          <w:spacing w:val="-1"/>
          <w:sz w:val="24"/>
        </w:rPr>
        <w:t> </w:t>
      </w:r>
      <w:r>
        <w:rPr>
          <w:sz w:val="24"/>
        </w:rPr>
        <w:t>include:</w:t>
      </w:r>
    </w:p>
    <w:p>
      <w:pPr>
        <w:pStyle w:val="ListParagraph"/>
        <w:numPr>
          <w:ilvl w:val="1"/>
          <w:numId w:val="608"/>
        </w:numPr>
        <w:tabs>
          <w:tab w:pos="2486" w:val="left" w:leader="none"/>
        </w:tabs>
        <w:spacing w:line="240" w:lineRule="auto" w:before="120" w:after="0"/>
        <w:ind w:left="2486" w:right="416" w:hanging="567"/>
        <w:jc w:val="both"/>
        <w:rPr>
          <w:sz w:val="24"/>
        </w:rPr>
      </w:pPr>
      <w:r>
        <w:rPr>
          <w:sz w:val="24"/>
        </w:rPr>
        <w:t>detailed documentation that is maintained up to date, showing revisions and the date of the last</w:t>
      </w:r>
      <w:r>
        <w:rPr>
          <w:spacing w:val="-1"/>
          <w:sz w:val="24"/>
        </w:rPr>
        <w:t> </w:t>
      </w:r>
      <w:r>
        <w:rPr>
          <w:sz w:val="24"/>
        </w:rPr>
        <w:t>review;</w:t>
      </w:r>
    </w:p>
    <w:p>
      <w:pPr>
        <w:pStyle w:val="ListParagraph"/>
        <w:numPr>
          <w:ilvl w:val="1"/>
          <w:numId w:val="608"/>
        </w:numPr>
        <w:tabs>
          <w:tab w:pos="2486" w:val="left" w:leader="none"/>
        </w:tabs>
        <w:spacing w:line="240" w:lineRule="auto" w:before="120" w:after="0"/>
        <w:ind w:left="2486" w:right="414" w:hanging="567"/>
        <w:jc w:val="both"/>
        <w:rPr>
          <w:sz w:val="24"/>
        </w:rPr>
      </w:pPr>
      <w:r>
        <w:rPr>
          <w:sz w:val="24"/>
        </w:rPr>
        <w:t>confirmation at least annually by the </w:t>
      </w:r>
      <w:r>
        <w:rPr>
          <w:i/>
          <w:sz w:val="24"/>
        </w:rPr>
        <w:t>Metering Provider's </w:t>
      </w:r>
      <w:r>
        <w:rPr>
          <w:sz w:val="24"/>
        </w:rPr>
        <w:t>management that the plan is current for the systems and processes in place;</w:t>
      </w:r>
      <w:r>
        <w:rPr>
          <w:spacing w:val="-7"/>
          <w:sz w:val="24"/>
        </w:rPr>
        <w:t> </w:t>
      </w:r>
      <w:r>
        <w:rPr>
          <w:sz w:val="24"/>
        </w:rPr>
        <w:t>and</w:t>
      </w:r>
    </w:p>
    <w:p>
      <w:pPr>
        <w:pStyle w:val="ListParagraph"/>
        <w:numPr>
          <w:ilvl w:val="1"/>
          <w:numId w:val="608"/>
        </w:numPr>
        <w:tabs>
          <w:tab w:pos="2486" w:val="left" w:leader="none"/>
        </w:tabs>
        <w:spacing w:line="240" w:lineRule="auto" w:before="120" w:after="0"/>
        <w:ind w:left="2486" w:right="415" w:hanging="567"/>
        <w:jc w:val="both"/>
        <w:rPr>
          <w:sz w:val="24"/>
        </w:rPr>
      </w:pPr>
      <w:r>
        <w:rPr>
          <w:sz w:val="24"/>
        </w:rPr>
        <w:t>confirmation that the plan has been subjected to an annual end-to-end test that facilitates both a 'fail-over' from and 'recovery' back to the production</w:t>
      </w:r>
      <w:r>
        <w:rPr>
          <w:spacing w:val="-1"/>
          <w:sz w:val="24"/>
        </w:rPr>
        <w:t> </w:t>
      </w:r>
      <w:r>
        <w:rPr>
          <w:sz w:val="24"/>
        </w:rPr>
        <w:t>system.</w:t>
      </w:r>
    </w:p>
    <w:p>
      <w:pPr>
        <w:pStyle w:val="ListParagraph"/>
        <w:numPr>
          <w:ilvl w:val="0"/>
          <w:numId w:val="608"/>
        </w:numPr>
        <w:tabs>
          <w:tab w:pos="1919" w:val="left" w:leader="none"/>
        </w:tabs>
        <w:spacing w:line="240" w:lineRule="auto" w:before="120" w:after="0"/>
        <w:ind w:left="1919" w:right="414" w:hanging="567"/>
        <w:jc w:val="both"/>
        <w:rPr>
          <w:sz w:val="24"/>
        </w:rPr>
      </w:pPr>
      <w:r>
        <w:rPr>
          <w:sz w:val="24"/>
        </w:rPr>
        <w:t>In the event of an IT system failure, the </w:t>
      </w:r>
      <w:r>
        <w:rPr>
          <w:i/>
          <w:sz w:val="24"/>
        </w:rPr>
        <w:t>Metering Provider </w:t>
      </w:r>
      <w:r>
        <w:rPr>
          <w:sz w:val="24"/>
        </w:rPr>
        <w:t>must ensure that systems are returned to normal operational service within 5 </w:t>
      </w:r>
      <w:r>
        <w:rPr>
          <w:i/>
          <w:sz w:val="24"/>
        </w:rPr>
        <w:t>business days </w:t>
      </w:r>
      <w:r>
        <w:rPr>
          <w:sz w:val="24"/>
        </w:rPr>
        <w:t>of the failure, as evidenced</w:t>
      </w:r>
      <w:r>
        <w:rPr>
          <w:spacing w:val="-1"/>
          <w:sz w:val="24"/>
        </w:rPr>
        <w:t> </w:t>
      </w:r>
      <w:r>
        <w:rPr>
          <w:sz w:val="24"/>
        </w:rPr>
        <w:t>by:</w:t>
      </w:r>
    </w:p>
    <w:p>
      <w:pPr>
        <w:pStyle w:val="ListParagraph"/>
        <w:numPr>
          <w:ilvl w:val="1"/>
          <w:numId w:val="608"/>
        </w:numPr>
        <w:tabs>
          <w:tab w:pos="2486" w:val="left" w:leader="none"/>
        </w:tabs>
        <w:spacing w:line="240" w:lineRule="auto" w:before="120" w:after="0"/>
        <w:ind w:left="2486" w:right="415" w:hanging="567"/>
        <w:jc w:val="both"/>
        <w:rPr>
          <w:sz w:val="24"/>
        </w:rPr>
      </w:pPr>
      <w:r>
        <w:rPr>
          <w:sz w:val="24"/>
        </w:rPr>
        <w:t>the software and the most recent back-up of data being restored to operational service within the 5 </w:t>
      </w:r>
      <w:r>
        <w:rPr>
          <w:i/>
          <w:sz w:val="24"/>
        </w:rPr>
        <w:t>business days</w:t>
      </w:r>
      <w:r>
        <w:rPr>
          <w:sz w:val="24"/>
        </w:rPr>
        <w:t>;</w:t>
      </w:r>
      <w:r>
        <w:rPr>
          <w:spacing w:val="-3"/>
          <w:sz w:val="24"/>
        </w:rPr>
        <w:t> </w:t>
      </w:r>
      <w:r>
        <w:rPr>
          <w:sz w:val="24"/>
        </w:rPr>
        <w:t>and</w:t>
      </w:r>
    </w:p>
    <w:p>
      <w:pPr>
        <w:pStyle w:val="ListParagraph"/>
        <w:numPr>
          <w:ilvl w:val="1"/>
          <w:numId w:val="608"/>
        </w:numPr>
        <w:tabs>
          <w:tab w:pos="2486" w:val="left" w:leader="none"/>
        </w:tabs>
        <w:spacing w:line="240" w:lineRule="auto" w:before="120" w:after="0"/>
        <w:ind w:left="2485" w:right="0" w:hanging="567"/>
        <w:jc w:val="both"/>
        <w:rPr>
          <w:i/>
          <w:sz w:val="24"/>
        </w:rPr>
      </w:pPr>
      <w:r>
        <w:rPr>
          <w:sz w:val="24"/>
        </w:rPr>
        <w:t>no</w:t>
      </w:r>
      <w:r>
        <w:rPr>
          <w:spacing w:val="28"/>
          <w:sz w:val="24"/>
        </w:rPr>
        <w:t> </w:t>
      </w:r>
      <w:r>
        <w:rPr>
          <w:sz w:val="24"/>
        </w:rPr>
        <w:t>outstanding</w:t>
      </w:r>
      <w:r>
        <w:rPr>
          <w:spacing w:val="29"/>
          <w:sz w:val="24"/>
        </w:rPr>
        <w:t> </w:t>
      </w:r>
      <w:r>
        <w:rPr>
          <w:sz w:val="24"/>
        </w:rPr>
        <w:t>processing</w:t>
      </w:r>
      <w:r>
        <w:rPr>
          <w:spacing w:val="29"/>
          <w:sz w:val="24"/>
        </w:rPr>
        <w:t> </w:t>
      </w:r>
      <w:r>
        <w:rPr>
          <w:sz w:val="24"/>
        </w:rPr>
        <w:t>or</w:t>
      </w:r>
      <w:r>
        <w:rPr>
          <w:spacing w:val="29"/>
          <w:sz w:val="24"/>
        </w:rPr>
        <w:t> </w:t>
      </w:r>
      <w:r>
        <w:rPr>
          <w:sz w:val="24"/>
        </w:rPr>
        <w:t>delivery</w:t>
      </w:r>
      <w:r>
        <w:rPr>
          <w:spacing w:val="29"/>
          <w:sz w:val="24"/>
        </w:rPr>
        <w:t> </w:t>
      </w:r>
      <w:r>
        <w:rPr>
          <w:sz w:val="24"/>
        </w:rPr>
        <w:t>of</w:t>
      </w:r>
      <w:r>
        <w:rPr>
          <w:spacing w:val="28"/>
          <w:sz w:val="24"/>
        </w:rPr>
        <w:t> </w:t>
      </w:r>
      <w:r>
        <w:rPr>
          <w:i/>
          <w:sz w:val="24"/>
        </w:rPr>
        <w:t>NT</w:t>
      </w:r>
      <w:r>
        <w:rPr>
          <w:i/>
          <w:spacing w:val="29"/>
          <w:sz w:val="24"/>
        </w:rPr>
        <w:t> </w:t>
      </w:r>
      <w:r>
        <w:rPr>
          <w:i/>
          <w:sz w:val="24"/>
        </w:rPr>
        <w:t>NMI</w:t>
      </w:r>
      <w:r>
        <w:rPr>
          <w:i/>
          <w:spacing w:val="29"/>
          <w:sz w:val="24"/>
        </w:rPr>
        <w:t> </w:t>
      </w:r>
      <w:r>
        <w:rPr>
          <w:i/>
          <w:sz w:val="24"/>
        </w:rPr>
        <w:t>Data</w:t>
      </w:r>
      <w:r>
        <w:rPr>
          <w:i/>
          <w:spacing w:val="29"/>
          <w:sz w:val="24"/>
        </w:rPr>
        <w:t> </w:t>
      </w:r>
      <w:r>
        <w:rPr>
          <w:sz w:val="24"/>
        </w:rPr>
        <w:t>to</w:t>
      </w:r>
      <w:r>
        <w:rPr>
          <w:spacing w:val="28"/>
          <w:sz w:val="24"/>
        </w:rPr>
        <w:t> </w:t>
      </w:r>
      <w:r>
        <w:rPr>
          <w:i/>
          <w:sz w:val="24"/>
        </w:rPr>
        <w:t>NTESMO</w:t>
      </w:r>
    </w:p>
    <w:p>
      <w:pPr>
        <w:spacing w:before="0"/>
        <w:ind w:left="2486" w:right="0" w:firstLine="0"/>
        <w:jc w:val="both"/>
        <w:rPr>
          <w:sz w:val="24"/>
        </w:rPr>
      </w:pPr>
      <w:r>
        <w:rPr>
          <w:sz w:val="24"/>
        </w:rPr>
        <w:t>and </w:t>
      </w:r>
      <w:r>
        <w:rPr>
          <w:i/>
          <w:sz w:val="24"/>
        </w:rPr>
        <w:t>Registered Participants</w:t>
      </w:r>
      <w:r>
        <w:rPr>
          <w:sz w:val="24"/>
        </w:rPr>
        <w:t>.</w:t>
      </w:r>
    </w:p>
    <w:p>
      <w:pPr>
        <w:pStyle w:val="ListParagraph"/>
        <w:numPr>
          <w:ilvl w:val="0"/>
          <w:numId w:val="608"/>
        </w:numPr>
        <w:tabs>
          <w:tab w:pos="1919" w:val="left" w:leader="none"/>
        </w:tabs>
        <w:spacing w:line="240" w:lineRule="auto" w:before="120" w:after="0"/>
        <w:ind w:left="1919" w:right="415" w:hanging="567"/>
        <w:jc w:val="both"/>
        <w:rPr>
          <w:sz w:val="24"/>
        </w:rPr>
      </w:pPr>
      <w:r>
        <w:rPr>
          <w:sz w:val="24"/>
        </w:rPr>
        <w:t>The </w:t>
      </w:r>
      <w:r>
        <w:rPr>
          <w:i/>
          <w:sz w:val="24"/>
        </w:rPr>
        <w:t>Metering Provider </w:t>
      </w:r>
      <w:r>
        <w:rPr>
          <w:sz w:val="24"/>
        </w:rPr>
        <w:t>must at its earliest opportunity notify </w:t>
      </w:r>
      <w:r>
        <w:rPr>
          <w:i/>
          <w:sz w:val="24"/>
        </w:rPr>
        <w:t>NTESMO </w:t>
      </w:r>
      <w:r>
        <w:rPr>
          <w:sz w:val="24"/>
        </w:rPr>
        <w:t>of any failure where the </w:t>
      </w:r>
      <w:r>
        <w:rPr>
          <w:i/>
          <w:sz w:val="24"/>
        </w:rPr>
        <w:t>Metering Provider </w:t>
      </w:r>
      <w:r>
        <w:rPr>
          <w:sz w:val="24"/>
        </w:rPr>
        <w:t>has a requirement to implement its disaster recovery</w:t>
      </w:r>
      <w:r>
        <w:rPr>
          <w:spacing w:val="-1"/>
          <w:sz w:val="24"/>
        </w:rPr>
        <w:t> </w:t>
      </w:r>
      <w:r>
        <w:rPr>
          <w:sz w:val="24"/>
        </w:rPr>
        <w:t>plan.</w:t>
      </w:r>
    </w:p>
    <w:p>
      <w:pPr>
        <w:pStyle w:val="BodyText"/>
        <w:spacing w:before="10"/>
        <w:ind w:firstLine="0"/>
        <w:jc w:val="left"/>
        <w:rPr>
          <w:sz w:val="20"/>
        </w:rPr>
      </w:pPr>
    </w:p>
    <w:p>
      <w:pPr>
        <w:pStyle w:val="Heading4"/>
        <w:ind w:left="218" w:firstLine="0"/>
      </w:pPr>
      <w:bookmarkStart w:name="S7A.8.7.3 Audits undertaken by the Utili" w:id="2124"/>
      <w:bookmarkEnd w:id="2124"/>
      <w:r>
        <w:rPr>
          <w:b w:val="0"/>
        </w:rPr>
      </w:r>
      <w:bookmarkStart w:name="_bookmark885" w:id="2125"/>
      <w:bookmarkEnd w:id="2125"/>
      <w:r>
        <w:rPr>
          <w:b w:val="0"/>
        </w:rPr>
      </w:r>
      <w:r>
        <w:rPr/>
        <w:t>S7A.8.7.3 Audits undertaken by the Utilities Commission</w:t>
      </w:r>
    </w:p>
    <w:p>
      <w:pPr>
        <w:spacing w:before="120"/>
        <w:ind w:left="1352" w:right="415" w:firstLine="0"/>
        <w:jc w:val="both"/>
        <w:rPr>
          <w:sz w:val="24"/>
        </w:rPr>
      </w:pPr>
      <w:r>
        <w:rPr>
          <w:sz w:val="24"/>
        </w:rPr>
        <w:t>The </w:t>
      </w:r>
      <w:r>
        <w:rPr>
          <w:i/>
          <w:sz w:val="24"/>
        </w:rPr>
        <w:t>Metering Provider </w:t>
      </w:r>
      <w:r>
        <w:rPr>
          <w:sz w:val="24"/>
        </w:rPr>
        <w:t>must undertake all services in a manner that is auditable by the </w:t>
      </w:r>
      <w:r>
        <w:rPr>
          <w:i/>
          <w:sz w:val="24"/>
        </w:rPr>
        <w:t>Utilities Commission </w:t>
      </w:r>
      <w:r>
        <w:rPr>
          <w:sz w:val="24"/>
        </w:rPr>
        <w:t>and must provide all reasonable assistance to the </w:t>
      </w:r>
      <w:r>
        <w:rPr>
          <w:i/>
          <w:sz w:val="24"/>
        </w:rPr>
        <w:t>Utilities Commission </w:t>
      </w:r>
      <w:r>
        <w:rPr>
          <w:sz w:val="24"/>
        </w:rPr>
        <w:t>in discharging its obligations under the </w:t>
      </w:r>
      <w:r>
        <w:rPr>
          <w:i/>
          <w:sz w:val="24"/>
        </w:rPr>
        <w:t>Rules </w:t>
      </w:r>
      <w:r>
        <w:rPr>
          <w:sz w:val="24"/>
        </w:rPr>
        <w:t>and any relevant jurisdictional legislation in relation to </w:t>
      </w:r>
      <w:r>
        <w:rPr>
          <w:i/>
          <w:sz w:val="24"/>
        </w:rPr>
        <w:t>metering</w:t>
      </w:r>
      <w:r>
        <w:rPr>
          <w:i/>
          <w:spacing w:val="-5"/>
          <w:sz w:val="24"/>
        </w:rPr>
        <w:t> </w:t>
      </w:r>
      <w:r>
        <w:rPr>
          <w:i/>
          <w:sz w:val="24"/>
        </w:rPr>
        <w:t>installations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C Metering Data Provider services" w:id="2126"/>
      <w:bookmarkEnd w:id="2126"/>
      <w:r>
        <w:rPr>
          <w:b w:val="0"/>
        </w:rPr>
      </w:r>
      <w:bookmarkStart w:name="_bookmark886" w:id="2127"/>
      <w:bookmarkEnd w:id="2127"/>
      <w:r>
        <w:rPr>
          <w:b w:val="0"/>
        </w:rPr>
      </w:r>
      <w:r>
        <w:rPr>
          <w:shd w:fill="D9D9D9" w:color="auto" w:val="clear"/>
        </w:rPr>
        <w:t>Part C</w:t>
        <w:tab/>
        <w:t>Metering Data Provider</w:t>
      </w:r>
      <w:r>
        <w:rPr>
          <w:spacing w:val="-10"/>
          <w:shd w:fill="D9D9D9" w:color="auto" w:val="clear"/>
        </w:rPr>
        <w:t> </w:t>
      </w:r>
      <w:r>
        <w:rPr>
          <w:shd w:fill="D9D9D9" w:color="auto" w:val="clear"/>
        </w:rPr>
        <w:t>services</w:t>
        <w:tab/>
      </w:r>
    </w:p>
    <w:p>
      <w:pPr>
        <w:pStyle w:val="Heading4"/>
        <w:tabs>
          <w:tab w:pos="1351" w:val="left" w:leader="none"/>
        </w:tabs>
        <w:spacing w:line="510" w:lineRule="atLeast" w:before="6"/>
        <w:ind w:left="218" w:right="6953" w:firstLine="0"/>
      </w:pPr>
      <w:bookmarkStart w:name=" " w:id="2128"/>
      <w:bookmarkEnd w:id="2128"/>
      <w:r>
        <w:rPr>
          <w:b w:val="0"/>
        </w:rPr>
      </w:r>
      <w:bookmarkStart w:name="S7A.8.8 Introduction" w:id="2129"/>
      <w:bookmarkEnd w:id="2129"/>
      <w:r>
        <w:rPr>
          <w:b w:val="0"/>
        </w:rPr>
      </w:r>
      <w:bookmarkStart w:name="_bookmark887" w:id="2130"/>
      <w:bookmarkEnd w:id="2130"/>
      <w:r>
        <w:rPr>
          <w:b w:val="0"/>
        </w:rPr>
      </w:r>
      <w:r>
        <w:rPr/>
        <w:t>S7A.8.8</w:t>
        <w:tab/>
      </w:r>
      <w:r>
        <w:rPr>
          <w:spacing w:val="-3"/>
        </w:rPr>
        <w:t>Introduction</w:t>
      </w:r>
      <w:bookmarkStart w:name="S7A.8.8.1 Purpose" w:id="2131"/>
      <w:bookmarkEnd w:id="2131"/>
      <w:r>
        <w:rPr>
          <w:spacing w:val="-3"/>
        </w:rPr>
      </w:r>
      <w:bookmarkStart w:name="_bookmark888" w:id="2132"/>
      <w:bookmarkEnd w:id="2132"/>
      <w:r>
        <w:rPr>
          <w:spacing w:val="-3"/>
        </w:rPr>
      </w:r>
      <w:r>
        <w:rPr>
          <w:spacing w:val="-3"/>
        </w:rPr>
        <w:t> </w:t>
      </w:r>
      <w:r>
        <w:rPr/>
        <w:t>S7A.8.8.1 Purpose</w:t>
      </w:r>
    </w:p>
    <w:p>
      <w:pPr>
        <w:pStyle w:val="ListParagraph"/>
        <w:numPr>
          <w:ilvl w:val="0"/>
          <w:numId w:val="609"/>
        </w:numPr>
        <w:tabs>
          <w:tab w:pos="1919" w:val="left" w:leader="none"/>
        </w:tabs>
        <w:spacing w:line="240" w:lineRule="auto" w:before="126" w:after="0"/>
        <w:ind w:left="1919" w:right="415" w:hanging="567"/>
        <w:jc w:val="both"/>
        <w:rPr>
          <w:sz w:val="24"/>
        </w:rPr>
      </w:pPr>
      <w:r>
        <w:rPr>
          <w:sz w:val="24"/>
        </w:rPr>
        <w:t>The purpose of Part C of this schedule is to detail the obligations, technical requirements, measurement processes and performance requirements </w:t>
      </w:r>
      <w:r>
        <w:rPr>
          <w:spacing w:val="-4"/>
          <w:sz w:val="24"/>
        </w:rPr>
        <w:t>that</w:t>
      </w:r>
      <w:r>
        <w:rPr>
          <w:spacing w:val="52"/>
          <w:sz w:val="24"/>
        </w:rPr>
        <w:t> </w:t>
      </w:r>
      <w:r>
        <w:rPr>
          <w:sz w:val="24"/>
        </w:rPr>
        <w:t>are to be performed, administered and maintained by the </w:t>
      </w:r>
      <w:r>
        <w:rPr>
          <w:i/>
          <w:sz w:val="24"/>
        </w:rPr>
        <w:t>Metering Data </w:t>
      </w:r>
      <w:r>
        <w:rPr>
          <w:i/>
          <w:sz w:val="24"/>
        </w:rPr>
        <w:t>Provider</w:t>
      </w:r>
      <w:r>
        <w:rPr>
          <w:sz w:val="24"/>
        </w:rPr>
        <w:t>.</w:t>
      </w:r>
    </w:p>
    <w:p>
      <w:pPr>
        <w:pStyle w:val="ListParagraph"/>
        <w:numPr>
          <w:ilvl w:val="0"/>
          <w:numId w:val="609"/>
        </w:numPr>
        <w:tabs>
          <w:tab w:pos="1919" w:val="left" w:leader="none"/>
        </w:tabs>
        <w:spacing w:line="240" w:lineRule="auto" w:before="120" w:after="0"/>
        <w:ind w:left="1918" w:right="0" w:hanging="567"/>
        <w:jc w:val="both"/>
        <w:rPr>
          <w:sz w:val="24"/>
        </w:rPr>
      </w:pPr>
      <w:r>
        <w:rPr>
          <w:sz w:val="24"/>
        </w:rPr>
        <w:t>This Part</w:t>
      </w:r>
      <w:r>
        <w:rPr>
          <w:spacing w:val="-2"/>
          <w:sz w:val="24"/>
        </w:rPr>
        <w:t> </w:t>
      </w:r>
      <w:r>
        <w:rPr>
          <w:sz w:val="24"/>
        </w:rPr>
        <w:t>details:</w:t>
      </w:r>
    </w:p>
    <w:p>
      <w:pPr>
        <w:spacing w:after="0" w:line="240" w:lineRule="auto"/>
        <w:jc w:val="both"/>
        <w:rPr>
          <w:sz w:val="24"/>
        </w:rPr>
        <w:sectPr>
          <w:pgSz w:w="11910" w:h="16840"/>
          <w:pgMar w:header="686" w:footer="637" w:top="1320" w:bottom="820" w:left="1200" w:right="1000"/>
        </w:sectPr>
      </w:pPr>
    </w:p>
    <w:p>
      <w:pPr>
        <w:pStyle w:val="ListParagraph"/>
        <w:numPr>
          <w:ilvl w:val="1"/>
          <w:numId w:val="609"/>
        </w:numPr>
        <w:tabs>
          <w:tab w:pos="2485" w:val="left" w:leader="none"/>
          <w:tab w:pos="2486" w:val="left" w:leader="none"/>
        </w:tabs>
        <w:spacing w:line="240" w:lineRule="auto" w:before="83" w:after="0"/>
        <w:ind w:left="2485" w:right="0" w:hanging="567"/>
        <w:jc w:val="left"/>
        <w:rPr>
          <w:sz w:val="24"/>
        </w:rPr>
      </w:pPr>
      <w:r>
        <w:rPr>
          <w:sz w:val="24"/>
        </w:rPr>
        <w:t>the</w:t>
      </w:r>
      <w:r>
        <w:rPr>
          <w:spacing w:val="29"/>
          <w:sz w:val="24"/>
        </w:rPr>
        <w:t> </w:t>
      </w:r>
      <w:r>
        <w:rPr>
          <w:sz w:val="24"/>
        </w:rPr>
        <w:t>obligations</w:t>
      </w:r>
      <w:r>
        <w:rPr>
          <w:spacing w:val="30"/>
          <w:sz w:val="24"/>
        </w:rPr>
        <w:t> </w:t>
      </w:r>
      <w:r>
        <w:rPr>
          <w:sz w:val="24"/>
        </w:rPr>
        <w:t>of</w:t>
      </w:r>
      <w:r>
        <w:rPr>
          <w:spacing w:val="29"/>
          <w:sz w:val="24"/>
        </w:rPr>
        <w:t> </w:t>
      </w:r>
      <w:r>
        <w:rPr>
          <w:i/>
          <w:sz w:val="24"/>
        </w:rPr>
        <w:t>Metering</w:t>
      </w:r>
      <w:r>
        <w:rPr>
          <w:i/>
          <w:spacing w:val="30"/>
          <w:sz w:val="24"/>
        </w:rPr>
        <w:t> </w:t>
      </w:r>
      <w:r>
        <w:rPr>
          <w:i/>
          <w:sz w:val="24"/>
        </w:rPr>
        <w:t>Data</w:t>
      </w:r>
      <w:r>
        <w:rPr>
          <w:i/>
          <w:spacing w:val="28"/>
          <w:sz w:val="24"/>
        </w:rPr>
        <w:t> </w:t>
      </w:r>
      <w:r>
        <w:rPr>
          <w:i/>
          <w:sz w:val="24"/>
        </w:rPr>
        <w:t>Providers</w:t>
      </w:r>
      <w:r>
        <w:rPr>
          <w:i/>
          <w:spacing w:val="29"/>
          <w:sz w:val="24"/>
        </w:rPr>
        <w:t> </w:t>
      </w:r>
      <w:r>
        <w:rPr>
          <w:sz w:val="24"/>
        </w:rPr>
        <w:t>in</w:t>
      </w:r>
      <w:r>
        <w:rPr>
          <w:spacing w:val="30"/>
          <w:sz w:val="24"/>
        </w:rPr>
        <w:t> </w:t>
      </w:r>
      <w:r>
        <w:rPr>
          <w:sz w:val="24"/>
        </w:rPr>
        <w:t>the</w:t>
      </w:r>
      <w:r>
        <w:rPr>
          <w:spacing w:val="29"/>
          <w:sz w:val="24"/>
        </w:rPr>
        <w:t> </w:t>
      </w:r>
      <w:r>
        <w:rPr>
          <w:sz w:val="24"/>
        </w:rPr>
        <w:t>provision</w:t>
      </w:r>
      <w:r>
        <w:rPr>
          <w:spacing w:val="30"/>
          <w:sz w:val="24"/>
        </w:rPr>
        <w:t> </w:t>
      </w:r>
      <w:r>
        <w:rPr>
          <w:sz w:val="24"/>
        </w:rPr>
        <w:t>of</w:t>
      </w:r>
    </w:p>
    <w:p>
      <w:pPr>
        <w:spacing w:before="0"/>
        <w:ind w:left="2486" w:right="0" w:firstLine="0"/>
        <w:jc w:val="left"/>
        <w:rPr>
          <w:sz w:val="24"/>
        </w:rPr>
      </w:pPr>
      <w:r>
        <w:rPr>
          <w:i/>
          <w:sz w:val="24"/>
        </w:rPr>
        <w:t>metering data services</w:t>
      </w:r>
      <w:r>
        <w:rPr>
          <w:sz w:val="24"/>
        </w:rPr>
        <w:t>;</w:t>
      </w:r>
    </w:p>
    <w:p>
      <w:pPr>
        <w:pStyle w:val="ListParagraph"/>
        <w:numPr>
          <w:ilvl w:val="1"/>
          <w:numId w:val="609"/>
        </w:numPr>
        <w:tabs>
          <w:tab w:pos="2485" w:val="left" w:leader="none"/>
          <w:tab w:pos="2486" w:val="left" w:leader="none"/>
        </w:tabs>
        <w:spacing w:line="240" w:lineRule="auto" w:before="120" w:after="0"/>
        <w:ind w:left="2486" w:right="414" w:hanging="567"/>
        <w:jc w:val="left"/>
        <w:rPr>
          <w:sz w:val="24"/>
        </w:rPr>
      </w:pPr>
      <w:r>
        <w:rPr>
          <w:sz w:val="24"/>
        </w:rPr>
        <w:t>the obligations of </w:t>
      </w:r>
      <w:r>
        <w:rPr>
          <w:i/>
          <w:sz w:val="24"/>
        </w:rPr>
        <w:t>Metering Data Providers </w:t>
      </w:r>
      <w:r>
        <w:rPr>
          <w:sz w:val="24"/>
        </w:rPr>
        <w:t>to establish and maintain a metering </w:t>
      </w:r>
      <w:r>
        <w:rPr>
          <w:i/>
          <w:sz w:val="24"/>
        </w:rPr>
        <w:t>data services database</w:t>
      </w:r>
      <w:r>
        <w:rPr>
          <w:sz w:val="24"/>
        </w:rPr>
        <w:t>;</w:t>
      </w:r>
      <w:r>
        <w:rPr>
          <w:spacing w:val="-3"/>
          <w:sz w:val="24"/>
        </w:rPr>
        <w:t> </w:t>
      </w:r>
      <w:r>
        <w:rPr>
          <w:sz w:val="24"/>
        </w:rPr>
        <w:t>and</w:t>
      </w:r>
    </w:p>
    <w:p>
      <w:pPr>
        <w:pStyle w:val="ListParagraph"/>
        <w:numPr>
          <w:ilvl w:val="1"/>
          <w:numId w:val="609"/>
        </w:numPr>
        <w:tabs>
          <w:tab w:pos="2485" w:val="left" w:leader="none"/>
          <w:tab w:pos="2486" w:val="left" w:leader="none"/>
        </w:tabs>
        <w:spacing w:line="240" w:lineRule="auto" w:before="120" w:after="0"/>
        <w:ind w:left="2486" w:right="415" w:hanging="567"/>
        <w:jc w:val="left"/>
        <w:rPr>
          <w:sz w:val="24"/>
        </w:rPr>
      </w:pPr>
      <w:r>
        <w:rPr>
          <w:sz w:val="24"/>
        </w:rPr>
        <w:t>the obligations of </w:t>
      </w:r>
      <w:r>
        <w:rPr>
          <w:i/>
          <w:sz w:val="24"/>
        </w:rPr>
        <w:t>Metering Data Providers </w:t>
      </w:r>
      <w:r>
        <w:rPr>
          <w:sz w:val="24"/>
        </w:rPr>
        <w:t>in support of the </w:t>
      </w:r>
      <w:r>
        <w:rPr>
          <w:i/>
          <w:sz w:val="24"/>
        </w:rPr>
        <w:t>Metering </w:t>
      </w:r>
      <w:r>
        <w:rPr>
          <w:i/>
          <w:sz w:val="24"/>
        </w:rPr>
        <w:t>Coordinator</w:t>
      </w:r>
      <w:r>
        <w:rPr>
          <w:sz w:val="24"/>
        </w:rPr>
        <w:t>.</w:t>
      </w:r>
    </w:p>
    <w:p>
      <w:pPr>
        <w:pStyle w:val="BodyText"/>
        <w:spacing w:before="10"/>
        <w:ind w:firstLine="0"/>
        <w:jc w:val="left"/>
        <w:rPr>
          <w:sz w:val="20"/>
        </w:rPr>
      </w:pPr>
    </w:p>
    <w:p>
      <w:pPr>
        <w:pStyle w:val="Heading4"/>
        <w:ind w:left="218" w:firstLine="0"/>
      </w:pPr>
      <w:bookmarkStart w:name="S7A.8.8.2 Obligations" w:id="2133"/>
      <w:bookmarkEnd w:id="2133"/>
      <w:r>
        <w:rPr>
          <w:b w:val="0"/>
        </w:rPr>
      </w:r>
      <w:bookmarkStart w:name="_bookmark889" w:id="2134"/>
      <w:bookmarkEnd w:id="2134"/>
      <w:r>
        <w:rPr>
          <w:b w:val="0"/>
        </w:rPr>
      </w:r>
      <w:r>
        <w:rPr/>
        <w:t>S7A.8.8.2 Obligations</w:t>
      </w:r>
    </w:p>
    <w:p>
      <w:pPr>
        <w:spacing w:before="220"/>
        <w:ind w:left="1356" w:right="0" w:firstLine="0"/>
        <w:jc w:val="left"/>
        <w:rPr>
          <w:rFonts w:ascii="Arial"/>
          <w:b/>
          <w:sz w:val="22"/>
        </w:rPr>
      </w:pPr>
      <w:r>
        <w:rPr>
          <w:rFonts w:ascii="Arial"/>
          <w:b/>
          <w:sz w:val="22"/>
        </w:rPr>
        <w:t>Metering data services</w:t>
      </w:r>
    </w:p>
    <w:p>
      <w:pPr>
        <w:pStyle w:val="ListParagraph"/>
        <w:numPr>
          <w:ilvl w:val="0"/>
          <w:numId w:val="610"/>
        </w:numPr>
        <w:tabs>
          <w:tab w:pos="1919" w:val="left" w:leader="none"/>
        </w:tabs>
        <w:spacing w:line="240" w:lineRule="auto" w:before="120" w:after="0"/>
        <w:ind w:left="1918" w:right="0" w:hanging="567"/>
        <w:jc w:val="both"/>
        <w:rPr>
          <w:sz w:val="24"/>
        </w:rPr>
      </w:pPr>
      <w:r>
        <w:rPr>
          <w:sz w:val="24"/>
        </w:rPr>
        <w:t>Each </w:t>
      </w:r>
      <w:r>
        <w:rPr>
          <w:i/>
          <w:sz w:val="24"/>
        </w:rPr>
        <w:t>Metering Data Provider</w:t>
      </w:r>
      <w:r>
        <w:rPr>
          <w:i/>
          <w:spacing w:val="-2"/>
          <w:sz w:val="24"/>
        </w:rPr>
        <w:t> </w:t>
      </w:r>
      <w:r>
        <w:rPr>
          <w:sz w:val="24"/>
        </w:rPr>
        <w:t>must:</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provide </w:t>
      </w:r>
      <w:r>
        <w:rPr>
          <w:i/>
          <w:sz w:val="24"/>
        </w:rPr>
        <w:t>metering data services </w:t>
      </w:r>
      <w:r>
        <w:rPr>
          <w:sz w:val="24"/>
        </w:rPr>
        <w:t>in accordance with the </w:t>
      </w:r>
      <w:r>
        <w:rPr>
          <w:i/>
          <w:sz w:val="24"/>
        </w:rPr>
        <w:t>Rules </w:t>
      </w:r>
      <w:r>
        <w:rPr>
          <w:sz w:val="24"/>
        </w:rPr>
        <w:t>and relevant jurisdictional codes and</w:t>
      </w:r>
      <w:r>
        <w:rPr>
          <w:spacing w:val="-1"/>
          <w:sz w:val="24"/>
        </w:rPr>
        <w:t> </w:t>
      </w:r>
      <w:r>
        <w:rPr>
          <w:sz w:val="24"/>
        </w:rPr>
        <w:t>policies;</w:t>
      </w:r>
    </w:p>
    <w:p>
      <w:pPr>
        <w:pStyle w:val="ListParagraph"/>
        <w:numPr>
          <w:ilvl w:val="1"/>
          <w:numId w:val="610"/>
        </w:numPr>
        <w:tabs>
          <w:tab w:pos="2486" w:val="left" w:leader="none"/>
        </w:tabs>
        <w:spacing w:line="240" w:lineRule="auto" w:before="120" w:after="0"/>
        <w:ind w:left="2485" w:right="0" w:hanging="567"/>
        <w:jc w:val="both"/>
        <w:rPr>
          <w:sz w:val="24"/>
        </w:rPr>
      </w:pPr>
      <w:r>
        <w:rPr>
          <w:sz w:val="24"/>
        </w:rPr>
        <w:t>establish, maintain and operate a </w:t>
      </w:r>
      <w:r>
        <w:rPr>
          <w:i/>
          <w:sz w:val="24"/>
        </w:rPr>
        <w:t>metering data services</w:t>
      </w:r>
      <w:r>
        <w:rPr>
          <w:i/>
          <w:spacing w:val="-7"/>
          <w:sz w:val="24"/>
        </w:rPr>
        <w:t> </w:t>
      </w:r>
      <w:r>
        <w:rPr>
          <w:i/>
          <w:sz w:val="24"/>
        </w:rPr>
        <w:t>database</w:t>
      </w:r>
      <w:r>
        <w:rPr>
          <w:sz w:val="24"/>
        </w:rPr>
        <w:t>;</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ensure that </w:t>
      </w:r>
      <w:r>
        <w:rPr>
          <w:i/>
          <w:sz w:val="24"/>
        </w:rPr>
        <w:t>metering data </w:t>
      </w:r>
      <w:r>
        <w:rPr>
          <w:sz w:val="24"/>
        </w:rPr>
        <w:t>is kept confidential and secure and only provided to persons entitled to have such access in accordance with the</w:t>
      </w:r>
      <w:r>
        <w:rPr>
          <w:spacing w:val="-1"/>
          <w:sz w:val="24"/>
        </w:rPr>
        <w:t> </w:t>
      </w:r>
      <w:r>
        <w:rPr>
          <w:i/>
          <w:sz w:val="24"/>
        </w:rPr>
        <w:t>Rules</w:t>
      </w:r>
      <w:r>
        <w:rPr>
          <w:sz w:val="24"/>
        </w:rPr>
        <w:t>;</w:t>
      </w:r>
    </w:p>
    <w:p>
      <w:pPr>
        <w:pStyle w:val="ListParagraph"/>
        <w:numPr>
          <w:ilvl w:val="1"/>
          <w:numId w:val="610"/>
        </w:numPr>
        <w:tabs>
          <w:tab w:pos="2486" w:val="left" w:leader="none"/>
        </w:tabs>
        <w:spacing w:line="240" w:lineRule="auto" w:before="120" w:after="0"/>
        <w:ind w:left="2486" w:right="416" w:hanging="567"/>
        <w:jc w:val="both"/>
        <w:rPr>
          <w:sz w:val="24"/>
        </w:rPr>
      </w:pPr>
      <w:r>
        <w:rPr>
          <w:sz w:val="24"/>
        </w:rPr>
        <w:t>undertake the collection, processing and delivery of </w:t>
      </w:r>
      <w:r>
        <w:rPr>
          <w:i/>
          <w:sz w:val="24"/>
        </w:rPr>
        <w:t>metering data </w:t>
      </w:r>
      <w:r>
        <w:rPr>
          <w:sz w:val="24"/>
        </w:rPr>
        <w:t>and meter alarm occurrences;</w:t>
      </w:r>
      <w:r>
        <w:rPr>
          <w:spacing w:val="-1"/>
          <w:sz w:val="24"/>
        </w:rPr>
        <w:t> </w:t>
      </w:r>
      <w:r>
        <w:rPr>
          <w:sz w:val="24"/>
        </w:rPr>
        <w:t>and</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co-operate in good faith with </w:t>
      </w:r>
      <w:r>
        <w:rPr>
          <w:i/>
          <w:sz w:val="24"/>
        </w:rPr>
        <w:t>NTESMO</w:t>
      </w:r>
      <w:r>
        <w:rPr>
          <w:sz w:val="24"/>
        </w:rPr>
        <w:t>, and all </w:t>
      </w:r>
      <w:r>
        <w:rPr>
          <w:i/>
          <w:sz w:val="24"/>
        </w:rPr>
        <w:t>Registered </w:t>
      </w:r>
      <w:r>
        <w:rPr>
          <w:i/>
          <w:sz w:val="24"/>
        </w:rPr>
        <w:t>Participants</w:t>
      </w:r>
      <w:r>
        <w:rPr>
          <w:sz w:val="24"/>
        </w:rPr>
        <w:t>, </w:t>
      </w:r>
      <w:r>
        <w:rPr>
          <w:i/>
          <w:sz w:val="24"/>
        </w:rPr>
        <w:t>Metering Providers </w:t>
      </w:r>
      <w:r>
        <w:rPr>
          <w:sz w:val="24"/>
        </w:rPr>
        <w:t>and </w:t>
      </w:r>
      <w:r>
        <w:rPr>
          <w:i/>
          <w:sz w:val="24"/>
        </w:rPr>
        <w:t>Metering Data</w:t>
      </w:r>
      <w:r>
        <w:rPr>
          <w:i/>
          <w:spacing w:val="-5"/>
          <w:sz w:val="24"/>
        </w:rPr>
        <w:t> </w:t>
      </w:r>
      <w:r>
        <w:rPr>
          <w:i/>
          <w:sz w:val="24"/>
        </w:rPr>
        <w:t>Providers</w:t>
      </w:r>
      <w:r>
        <w:rPr>
          <w:sz w:val="24"/>
        </w:rPr>
        <w:t>.</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Insurance</w:t>
      </w:r>
    </w:p>
    <w:p>
      <w:pPr>
        <w:pStyle w:val="ListParagraph"/>
        <w:numPr>
          <w:ilvl w:val="0"/>
          <w:numId w:val="610"/>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Metering Data Provider</w:t>
      </w:r>
      <w:r>
        <w:rPr>
          <w:i/>
          <w:spacing w:val="-2"/>
          <w:sz w:val="24"/>
        </w:rPr>
        <w:t> </w:t>
      </w:r>
      <w:r>
        <w:rPr>
          <w:sz w:val="24"/>
        </w:rPr>
        <w:t>must:</w:t>
      </w:r>
    </w:p>
    <w:p>
      <w:pPr>
        <w:pStyle w:val="ListParagraph"/>
        <w:numPr>
          <w:ilvl w:val="1"/>
          <w:numId w:val="610"/>
        </w:numPr>
        <w:tabs>
          <w:tab w:pos="2485" w:val="left" w:leader="none"/>
          <w:tab w:pos="2486" w:val="left" w:leader="none"/>
        </w:tabs>
        <w:spacing w:line="240" w:lineRule="auto" w:before="120" w:after="0"/>
        <w:ind w:left="2486" w:right="415" w:hanging="567"/>
        <w:jc w:val="left"/>
        <w:rPr>
          <w:sz w:val="24"/>
        </w:rPr>
      </w:pPr>
      <w:r>
        <w:rPr>
          <w:sz w:val="24"/>
        </w:rPr>
        <w:t>hold public liability insurance for an amount not less than $10,000,000 per occurrence;</w:t>
      </w:r>
      <w:r>
        <w:rPr>
          <w:spacing w:val="-1"/>
          <w:sz w:val="24"/>
        </w:rPr>
        <w:t> </w:t>
      </w:r>
      <w:r>
        <w:rPr>
          <w:sz w:val="24"/>
        </w:rPr>
        <w:t>and</w:t>
      </w:r>
    </w:p>
    <w:p>
      <w:pPr>
        <w:pStyle w:val="ListParagraph"/>
        <w:numPr>
          <w:ilvl w:val="1"/>
          <w:numId w:val="610"/>
        </w:numPr>
        <w:tabs>
          <w:tab w:pos="2485" w:val="left" w:leader="none"/>
          <w:tab w:pos="2486" w:val="left" w:leader="none"/>
        </w:tabs>
        <w:spacing w:line="240" w:lineRule="auto" w:before="120" w:after="0"/>
        <w:ind w:left="2485" w:right="0" w:hanging="567"/>
        <w:jc w:val="left"/>
        <w:rPr>
          <w:sz w:val="24"/>
        </w:rPr>
      </w:pPr>
      <w:r>
        <w:rPr>
          <w:sz w:val="24"/>
        </w:rPr>
        <w:t>hold</w:t>
      </w:r>
      <w:r>
        <w:rPr>
          <w:spacing w:val="19"/>
          <w:sz w:val="24"/>
        </w:rPr>
        <w:t> </w:t>
      </w:r>
      <w:r>
        <w:rPr>
          <w:sz w:val="24"/>
        </w:rPr>
        <w:t>professional</w:t>
      </w:r>
      <w:r>
        <w:rPr>
          <w:spacing w:val="19"/>
          <w:sz w:val="24"/>
        </w:rPr>
        <w:t> </w:t>
      </w:r>
      <w:r>
        <w:rPr>
          <w:sz w:val="24"/>
        </w:rPr>
        <w:t>indemnity</w:t>
      </w:r>
      <w:r>
        <w:rPr>
          <w:spacing w:val="19"/>
          <w:sz w:val="24"/>
        </w:rPr>
        <w:t> </w:t>
      </w:r>
      <w:r>
        <w:rPr>
          <w:sz w:val="24"/>
        </w:rPr>
        <w:t>insurance</w:t>
      </w:r>
      <w:r>
        <w:rPr>
          <w:spacing w:val="19"/>
          <w:sz w:val="24"/>
        </w:rPr>
        <w:t> </w:t>
      </w:r>
      <w:r>
        <w:rPr>
          <w:sz w:val="24"/>
        </w:rPr>
        <w:t>for</w:t>
      </w:r>
      <w:r>
        <w:rPr>
          <w:spacing w:val="20"/>
          <w:sz w:val="24"/>
        </w:rPr>
        <w:t> </w:t>
      </w:r>
      <w:r>
        <w:rPr>
          <w:sz w:val="24"/>
        </w:rPr>
        <w:t>an</w:t>
      </w:r>
      <w:r>
        <w:rPr>
          <w:spacing w:val="19"/>
          <w:sz w:val="24"/>
        </w:rPr>
        <w:t> </w:t>
      </w:r>
      <w:r>
        <w:rPr>
          <w:sz w:val="24"/>
        </w:rPr>
        <w:t>amount</w:t>
      </w:r>
      <w:r>
        <w:rPr>
          <w:spacing w:val="19"/>
          <w:sz w:val="24"/>
        </w:rPr>
        <w:t> </w:t>
      </w:r>
      <w:r>
        <w:rPr>
          <w:sz w:val="24"/>
        </w:rPr>
        <w:t>of</w:t>
      </w:r>
      <w:r>
        <w:rPr>
          <w:spacing w:val="19"/>
          <w:sz w:val="24"/>
        </w:rPr>
        <w:t> </w:t>
      </w:r>
      <w:r>
        <w:rPr>
          <w:sz w:val="24"/>
        </w:rPr>
        <w:t>not</w:t>
      </w:r>
      <w:r>
        <w:rPr>
          <w:spacing w:val="20"/>
          <w:sz w:val="24"/>
        </w:rPr>
        <w:t> </w:t>
      </w:r>
      <w:r>
        <w:rPr>
          <w:sz w:val="24"/>
        </w:rPr>
        <w:t>less</w:t>
      </w:r>
      <w:r>
        <w:rPr>
          <w:spacing w:val="19"/>
          <w:sz w:val="24"/>
        </w:rPr>
        <w:t> </w:t>
      </w:r>
      <w:r>
        <w:rPr>
          <w:sz w:val="24"/>
        </w:rPr>
        <w:t>than</w:t>
      </w:r>
    </w:p>
    <w:p>
      <w:pPr>
        <w:pStyle w:val="BodyText"/>
        <w:spacing w:before="0"/>
        <w:ind w:left="2486" w:firstLine="0"/>
        <w:jc w:val="left"/>
      </w:pPr>
      <w:r>
        <w:rPr/>
        <w:t>$1,000,000 per occurrence.</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If a </w:t>
      </w:r>
      <w:r>
        <w:rPr>
          <w:i/>
          <w:sz w:val="20"/>
        </w:rPr>
        <w:t>Metering Data Provider</w:t>
      </w:r>
      <w:r>
        <w:rPr>
          <w:sz w:val="20"/>
        </w:rPr>
        <w:t>, </w:t>
      </w:r>
      <w:r>
        <w:rPr>
          <w:i/>
          <w:sz w:val="20"/>
        </w:rPr>
        <w:t>Metering Provider </w:t>
      </w:r>
      <w:r>
        <w:rPr>
          <w:sz w:val="20"/>
        </w:rPr>
        <w:t>and </w:t>
      </w:r>
      <w:r>
        <w:rPr>
          <w:i/>
          <w:sz w:val="20"/>
        </w:rPr>
        <w:t>Metering Coordinator </w:t>
      </w:r>
      <w:r>
        <w:rPr>
          <w:sz w:val="20"/>
        </w:rPr>
        <w:t>are the same legal entity, </w:t>
      </w:r>
      <w:r>
        <w:rPr>
          <w:spacing w:val="10"/>
          <w:sz w:val="20"/>
        </w:rPr>
        <w:t> </w:t>
      </w:r>
      <w:r>
        <w:rPr>
          <w:sz w:val="20"/>
        </w:rPr>
        <w:t>a </w:t>
      </w:r>
      <w:r>
        <w:rPr>
          <w:spacing w:val="10"/>
          <w:sz w:val="20"/>
        </w:rPr>
        <w:t> </w:t>
      </w:r>
      <w:r>
        <w:rPr>
          <w:sz w:val="20"/>
        </w:rPr>
        <w:t>single </w:t>
      </w:r>
      <w:r>
        <w:rPr>
          <w:spacing w:val="9"/>
          <w:sz w:val="20"/>
        </w:rPr>
        <w:t> </w:t>
      </w:r>
      <w:r>
        <w:rPr>
          <w:sz w:val="20"/>
        </w:rPr>
        <w:t>insurance </w:t>
      </w:r>
      <w:r>
        <w:rPr>
          <w:spacing w:val="11"/>
          <w:sz w:val="20"/>
        </w:rPr>
        <w:t> </w:t>
      </w:r>
      <w:r>
        <w:rPr>
          <w:sz w:val="20"/>
        </w:rPr>
        <w:t>policy </w:t>
      </w:r>
      <w:r>
        <w:rPr>
          <w:spacing w:val="10"/>
          <w:sz w:val="20"/>
        </w:rPr>
        <w:t> </w:t>
      </w:r>
      <w:r>
        <w:rPr>
          <w:sz w:val="20"/>
        </w:rPr>
        <w:t>for </w:t>
      </w:r>
      <w:r>
        <w:rPr>
          <w:spacing w:val="10"/>
          <w:sz w:val="20"/>
        </w:rPr>
        <w:t> </w:t>
      </w:r>
      <w:r>
        <w:rPr>
          <w:sz w:val="20"/>
        </w:rPr>
        <w:t>public </w:t>
      </w:r>
      <w:r>
        <w:rPr>
          <w:spacing w:val="11"/>
          <w:sz w:val="20"/>
        </w:rPr>
        <w:t> </w:t>
      </w:r>
      <w:r>
        <w:rPr>
          <w:sz w:val="20"/>
        </w:rPr>
        <w:t>liability </w:t>
      </w:r>
      <w:r>
        <w:rPr>
          <w:spacing w:val="10"/>
          <w:sz w:val="20"/>
        </w:rPr>
        <w:t> </w:t>
      </w:r>
      <w:r>
        <w:rPr>
          <w:sz w:val="20"/>
        </w:rPr>
        <w:t>insurance </w:t>
      </w:r>
      <w:r>
        <w:rPr>
          <w:spacing w:val="10"/>
          <w:sz w:val="20"/>
        </w:rPr>
        <w:t> </w:t>
      </w:r>
      <w:r>
        <w:rPr>
          <w:sz w:val="20"/>
        </w:rPr>
        <w:t>for </w:t>
      </w:r>
      <w:r>
        <w:rPr>
          <w:spacing w:val="10"/>
          <w:sz w:val="20"/>
        </w:rPr>
        <w:t> </w:t>
      </w:r>
      <w:r>
        <w:rPr>
          <w:sz w:val="20"/>
        </w:rPr>
        <w:t>an </w:t>
      </w:r>
      <w:r>
        <w:rPr>
          <w:spacing w:val="11"/>
          <w:sz w:val="20"/>
        </w:rPr>
        <w:t> </w:t>
      </w:r>
      <w:r>
        <w:rPr>
          <w:sz w:val="20"/>
        </w:rPr>
        <w:t>amount </w:t>
      </w:r>
      <w:r>
        <w:rPr>
          <w:spacing w:val="10"/>
          <w:sz w:val="20"/>
        </w:rPr>
        <w:t> </w:t>
      </w:r>
      <w:r>
        <w:rPr>
          <w:sz w:val="20"/>
        </w:rPr>
        <w:t>not </w:t>
      </w:r>
      <w:r>
        <w:rPr>
          <w:spacing w:val="10"/>
          <w:sz w:val="20"/>
        </w:rPr>
        <w:t> </w:t>
      </w:r>
      <w:r>
        <w:rPr>
          <w:sz w:val="20"/>
        </w:rPr>
        <w:t>less </w:t>
      </w:r>
      <w:r>
        <w:rPr>
          <w:spacing w:val="11"/>
          <w:sz w:val="20"/>
        </w:rPr>
        <w:t> </w:t>
      </w:r>
      <w:r>
        <w:rPr>
          <w:sz w:val="20"/>
        </w:rPr>
        <w:t>than</w:t>
      </w:r>
    </w:p>
    <w:p>
      <w:pPr>
        <w:spacing w:before="0"/>
        <w:ind w:left="1352" w:right="0" w:firstLine="0"/>
        <w:jc w:val="both"/>
        <w:rPr>
          <w:sz w:val="20"/>
        </w:rPr>
      </w:pPr>
      <w:r>
        <w:rPr>
          <w:sz w:val="20"/>
        </w:rPr>
        <w:t>$10,000,000</w:t>
      </w:r>
      <w:r>
        <w:rPr>
          <w:spacing w:val="16"/>
          <w:sz w:val="20"/>
        </w:rPr>
        <w:t> </w:t>
      </w:r>
      <w:r>
        <w:rPr>
          <w:sz w:val="20"/>
        </w:rPr>
        <w:t>per</w:t>
      </w:r>
      <w:r>
        <w:rPr>
          <w:spacing w:val="17"/>
          <w:sz w:val="20"/>
        </w:rPr>
        <w:t> </w:t>
      </w:r>
      <w:r>
        <w:rPr>
          <w:sz w:val="20"/>
        </w:rPr>
        <w:t>occurrence</w:t>
      </w:r>
      <w:r>
        <w:rPr>
          <w:spacing w:val="16"/>
          <w:sz w:val="20"/>
        </w:rPr>
        <w:t> </w:t>
      </w:r>
      <w:r>
        <w:rPr>
          <w:sz w:val="20"/>
        </w:rPr>
        <w:t>and</w:t>
      </w:r>
      <w:r>
        <w:rPr>
          <w:spacing w:val="17"/>
          <w:sz w:val="20"/>
        </w:rPr>
        <w:t> </w:t>
      </w:r>
      <w:r>
        <w:rPr>
          <w:sz w:val="20"/>
        </w:rPr>
        <w:t>professional</w:t>
      </w:r>
      <w:r>
        <w:rPr>
          <w:spacing w:val="17"/>
          <w:sz w:val="20"/>
        </w:rPr>
        <w:t> </w:t>
      </w:r>
      <w:r>
        <w:rPr>
          <w:sz w:val="20"/>
        </w:rPr>
        <w:t>indemnity</w:t>
      </w:r>
      <w:r>
        <w:rPr>
          <w:spacing w:val="16"/>
          <w:sz w:val="20"/>
        </w:rPr>
        <w:t> </w:t>
      </w:r>
      <w:r>
        <w:rPr>
          <w:sz w:val="20"/>
        </w:rPr>
        <w:t>insurance</w:t>
      </w:r>
      <w:r>
        <w:rPr>
          <w:spacing w:val="17"/>
          <w:sz w:val="20"/>
        </w:rPr>
        <w:t> </w:t>
      </w:r>
      <w:r>
        <w:rPr>
          <w:sz w:val="20"/>
        </w:rPr>
        <w:t>for</w:t>
      </w:r>
      <w:r>
        <w:rPr>
          <w:spacing w:val="16"/>
          <w:sz w:val="20"/>
        </w:rPr>
        <w:t> </w:t>
      </w:r>
      <w:r>
        <w:rPr>
          <w:sz w:val="20"/>
        </w:rPr>
        <w:t>an</w:t>
      </w:r>
      <w:r>
        <w:rPr>
          <w:spacing w:val="17"/>
          <w:sz w:val="20"/>
        </w:rPr>
        <w:t> </w:t>
      </w:r>
      <w:r>
        <w:rPr>
          <w:sz w:val="20"/>
        </w:rPr>
        <w:t>amount</w:t>
      </w:r>
      <w:r>
        <w:rPr>
          <w:spacing w:val="17"/>
          <w:sz w:val="20"/>
        </w:rPr>
        <w:t> </w:t>
      </w:r>
      <w:r>
        <w:rPr>
          <w:sz w:val="20"/>
        </w:rPr>
        <w:t>of</w:t>
      </w:r>
      <w:r>
        <w:rPr>
          <w:spacing w:val="16"/>
          <w:sz w:val="20"/>
        </w:rPr>
        <w:t> </w:t>
      </w:r>
      <w:r>
        <w:rPr>
          <w:sz w:val="20"/>
        </w:rPr>
        <w:t>not</w:t>
      </w:r>
      <w:r>
        <w:rPr>
          <w:spacing w:val="17"/>
          <w:sz w:val="20"/>
        </w:rPr>
        <w:t> </w:t>
      </w:r>
      <w:r>
        <w:rPr>
          <w:sz w:val="20"/>
        </w:rPr>
        <w:t>less</w:t>
      </w:r>
      <w:r>
        <w:rPr>
          <w:spacing w:val="16"/>
          <w:sz w:val="20"/>
        </w:rPr>
        <w:t> </w:t>
      </w:r>
      <w:r>
        <w:rPr>
          <w:sz w:val="20"/>
        </w:rPr>
        <w:t>than</w:t>
      </w:r>
    </w:p>
    <w:p>
      <w:pPr>
        <w:spacing w:before="0"/>
        <w:ind w:left="1352" w:right="414" w:firstLine="0"/>
        <w:jc w:val="both"/>
        <w:rPr>
          <w:sz w:val="20"/>
        </w:rPr>
      </w:pPr>
      <w:r>
        <w:rPr>
          <w:sz w:val="20"/>
        </w:rPr>
        <w:t>$1,000,000 per occurrence that covers the operations of the </w:t>
      </w:r>
      <w:r>
        <w:rPr>
          <w:i/>
          <w:sz w:val="20"/>
        </w:rPr>
        <w:t>Metering Data Provider</w:t>
      </w:r>
      <w:r>
        <w:rPr>
          <w:sz w:val="20"/>
        </w:rPr>
        <w:t>, </w:t>
      </w:r>
      <w:r>
        <w:rPr>
          <w:i/>
          <w:sz w:val="20"/>
        </w:rPr>
        <w:t>Metering </w:t>
      </w:r>
      <w:r>
        <w:rPr>
          <w:i/>
          <w:sz w:val="20"/>
        </w:rPr>
        <w:t>Provider </w:t>
      </w:r>
      <w:r>
        <w:rPr>
          <w:sz w:val="20"/>
        </w:rPr>
        <w:t>and </w:t>
      </w:r>
      <w:r>
        <w:rPr>
          <w:i/>
          <w:sz w:val="20"/>
        </w:rPr>
        <w:t>Metering Coordinator </w:t>
      </w:r>
      <w:r>
        <w:rPr>
          <w:sz w:val="20"/>
        </w:rPr>
        <w:t>roles will satisfy the insurance requirements under this schedule.</w:t>
      </w:r>
    </w:p>
    <w:p>
      <w:pPr>
        <w:pStyle w:val="BodyText"/>
        <w:spacing w:before="1"/>
        <w:ind w:firstLine="0"/>
        <w:jc w:val="left"/>
        <w:rPr>
          <w:sz w:val="19"/>
        </w:rPr>
      </w:pPr>
    </w:p>
    <w:p>
      <w:pPr>
        <w:spacing w:before="0"/>
        <w:ind w:left="1356" w:right="0" w:firstLine="0"/>
        <w:jc w:val="left"/>
        <w:rPr>
          <w:rFonts w:ascii="Arial"/>
          <w:b/>
          <w:sz w:val="22"/>
        </w:rPr>
      </w:pPr>
      <w:r>
        <w:rPr>
          <w:rFonts w:ascii="Arial"/>
          <w:b/>
          <w:sz w:val="22"/>
        </w:rPr>
        <w:t>Use of sub-contactors</w:t>
      </w:r>
    </w:p>
    <w:p>
      <w:pPr>
        <w:pStyle w:val="ListParagraph"/>
        <w:numPr>
          <w:ilvl w:val="0"/>
          <w:numId w:val="610"/>
        </w:numPr>
        <w:tabs>
          <w:tab w:pos="1919" w:val="left" w:leader="none"/>
        </w:tabs>
        <w:spacing w:line="240" w:lineRule="auto" w:before="120" w:after="0"/>
        <w:ind w:left="1919" w:right="415" w:hanging="567"/>
        <w:jc w:val="both"/>
        <w:rPr>
          <w:sz w:val="24"/>
        </w:rPr>
      </w:pPr>
      <w:r>
        <w:rPr>
          <w:sz w:val="24"/>
        </w:rPr>
        <w:t>Where a </w:t>
      </w:r>
      <w:r>
        <w:rPr>
          <w:i/>
          <w:sz w:val="24"/>
        </w:rPr>
        <w:t>Metering Data Provider </w:t>
      </w:r>
      <w:r>
        <w:rPr>
          <w:sz w:val="24"/>
        </w:rPr>
        <w:t>engages a sub-contractor to perform any of the </w:t>
      </w:r>
      <w:r>
        <w:rPr>
          <w:i/>
          <w:sz w:val="24"/>
        </w:rPr>
        <w:t>Metering Data Provider's </w:t>
      </w:r>
      <w:r>
        <w:rPr>
          <w:sz w:val="24"/>
        </w:rPr>
        <w:t>obligations specified in the </w:t>
      </w:r>
      <w:r>
        <w:rPr>
          <w:i/>
          <w:sz w:val="24"/>
        </w:rPr>
        <w:t>Rules</w:t>
      </w:r>
      <w:r>
        <w:rPr>
          <w:sz w:val="24"/>
        </w:rPr>
        <w:t>, the </w:t>
      </w:r>
      <w:r>
        <w:rPr>
          <w:i/>
          <w:sz w:val="24"/>
        </w:rPr>
        <w:t>Metering Data</w:t>
      </w:r>
      <w:r>
        <w:rPr>
          <w:i/>
          <w:spacing w:val="-2"/>
          <w:sz w:val="24"/>
        </w:rPr>
        <w:t> </w:t>
      </w:r>
      <w:r>
        <w:rPr>
          <w:i/>
          <w:sz w:val="24"/>
        </w:rPr>
        <w:t>Provider</w:t>
      </w:r>
      <w:r>
        <w:rPr>
          <w:sz w:val="24"/>
        </w:rPr>
        <w:t>:</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must have policies and procedures for assessing the sub- contractor's capability, competency, processes, procedures and systems, to ensure that the sub-contractor complies with the</w:t>
      </w:r>
      <w:r>
        <w:rPr>
          <w:spacing w:val="-6"/>
          <w:sz w:val="24"/>
        </w:rPr>
        <w:t> </w:t>
      </w:r>
      <w:r>
        <w:rPr>
          <w:i/>
          <w:sz w:val="24"/>
        </w:rPr>
        <w:t>Rules</w:t>
      </w:r>
      <w:r>
        <w:rPr>
          <w:sz w:val="24"/>
        </w:rPr>
        <w:t>;</w:t>
      </w:r>
    </w:p>
    <w:p>
      <w:pPr>
        <w:pStyle w:val="ListParagraph"/>
        <w:numPr>
          <w:ilvl w:val="1"/>
          <w:numId w:val="610"/>
        </w:numPr>
        <w:tabs>
          <w:tab w:pos="2486" w:val="left" w:leader="none"/>
        </w:tabs>
        <w:spacing w:line="240" w:lineRule="auto" w:before="120" w:after="0"/>
        <w:ind w:left="2486" w:right="414" w:hanging="567"/>
        <w:jc w:val="both"/>
        <w:rPr>
          <w:sz w:val="24"/>
        </w:rPr>
      </w:pPr>
      <w:r>
        <w:rPr>
          <w:sz w:val="24"/>
        </w:rPr>
        <w:t>must ensure that auditable processes are in place to certify that all work performed by the sub-contractor complies with the</w:t>
      </w:r>
      <w:r>
        <w:rPr>
          <w:spacing w:val="-7"/>
          <w:sz w:val="24"/>
        </w:rPr>
        <w:t> </w:t>
      </w:r>
      <w:r>
        <w:rPr>
          <w:i/>
          <w:sz w:val="24"/>
        </w:rPr>
        <w:t>Rules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1"/>
          <w:numId w:val="610"/>
        </w:numPr>
        <w:tabs>
          <w:tab w:pos="2486" w:val="left" w:leader="none"/>
        </w:tabs>
        <w:spacing w:line="240" w:lineRule="auto" w:before="83" w:after="0"/>
        <w:ind w:left="2485" w:right="0" w:hanging="567"/>
        <w:jc w:val="both"/>
        <w:rPr>
          <w:sz w:val="24"/>
        </w:rPr>
      </w:pPr>
      <w:r>
        <w:rPr>
          <w:sz w:val="24"/>
        </w:rPr>
        <w:t>remains liable for all acts and omissions of its</w:t>
      </w:r>
      <w:r>
        <w:rPr>
          <w:spacing w:val="-5"/>
          <w:sz w:val="24"/>
        </w:rPr>
        <w:t> </w:t>
      </w:r>
      <w:r>
        <w:rPr>
          <w:sz w:val="24"/>
        </w:rPr>
        <w:t>sub-contractor;</w:t>
      </w:r>
    </w:p>
    <w:p>
      <w:pPr>
        <w:pStyle w:val="ListParagraph"/>
        <w:numPr>
          <w:ilvl w:val="1"/>
          <w:numId w:val="610"/>
        </w:numPr>
        <w:tabs>
          <w:tab w:pos="2486" w:val="left" w:leader="none"/>
        </w:tabs>
        <w:spacing w:line="240" w:lineRule="auto" w:before="120" w:after="0"/>
        <w:ind w:left="2486" w:right="416" w:hanging="567"/>
        <w:jc w:val="both"/>
        <w:rPr>
          <w:sz w:val="24"/>
        </w:rPr>
      </w:pPr>
      <w:r>
        <w:rPr>
          <w:sz w:val="24"/>
        </w:rPr>
        <w:t>must authorise the sub-contractor to provide any specific opinion or interpretation of technical information where a </w:t>
      </w:r>
      <w:r>
        <w:rPr>
          <w:i/>
          <w:sz w:val="24"/>
        </w:rPr>
        <w:t>Metering Data </w:t>
      </w:r>
      <w:r>
        <w:rPr>
          <w:i/>
          <w:sz w:val="24"/>
        </w:rPr>
        <w:t>Provider </w:t>
      </w:r>
      <w:r>
        <w:rPr>
          <w:sz w:val="24"/>
        </w:rPr>
        <w:t>so engages a sub-contractor;</w:t>
      </w:r>
      <w:r>
        <w:rPr>
          <w:spacing w:val="-3"/>
          <w:sz w:val="24"/>
        </w:rPr>
        <w:t> </w:t>
      </w:r>
      <w:r>
        <w:rPr>
          <w:sz w:val="24"/>
        </w:rPr>
        <w:t>and</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must provide the </w:t>
      </w:r>
      <w:r>
        <w:rPr>
          <w:i/>
          <w:sz w:val="24"/>
        </w:rPr>
        <w:t>Utilities Commission</w:t>
      </w:r>
      <w:r>
        <w:rPr>
          <w:sz w:val="24"/>
        </w:rPr>
        <w:t>, on request, with any information pertaining to the sub-contractor that the </w:t>
      </w:r>
      <w:r>
        <w:rPr>
          <w:i/>
          <w:sz w:val="24"/>
        </w:rPr>
        <w:t>Utilities </w:t>
      </w:r>
      <w:r>
        <w:rPr>
          <w:i/>
          <w:sz w:val="24"/>
        </w:rPr>
        <w:t>Commission </w:t>
      </w:r>
      <w:r>
        <w:rPr>
          <w:sz w:val="24"/>
        </w:rPr>
        <w:t>reasonably considers necessary for the discharge of the </w:t>
      </w:r>
      <w:r>
        <w:rPr>
          <w:i/>
          <w:sz w:val="24"/>
        </w:rPr>
        <w:t>Metering Data Provider's </w:t>
      </w:r>
      <w:r>
        <w:rPr>
          <w:sz w:val="24"/>
        </w:rPr>
        <w:t>responsibilities under the</w:t>
      </w:r>
      <w:r>
        <w:rPr>
          <w:spacing w:val="-3"/>
          <w:sz w:val="24"/>
        </w:rPr>
        <w:t> </w:t>
      </w:r>
      <w:r>
        <w:rPr>
          <w:i/>
          <w:sz w:val="24"/>
        </w:rPr>
        <w:t>Rules</w:t>
      </w:r>
      <w:r>
        <w:rPr>
          <w:sz w:val="24"/>
        </w:rPr>
        <w:t>.</w:t>
      </w:r>
    </w:p>
    <w:p>
      <w:pPr>
        <w:spacing w:before="220"/>
        <w:ind w:left="1356" w:right="0" w:firstLine="0"/>
        <w:jc w:val="left"/>
        <w:rPr>
          <w:rFonts w:ascii="Arial"/>
          <w:b/>
          <w:sz w:val="22"/>
        </w:rPr>
      </w:pPr>
      <w:r>
        <w:rPr>
          <w:rFonts w:ascii="Arial"/>
          <w:b/>
          <w:sz w:val="22"/>
        </w:rPr>
        <w:t>Specific obligations</w:t>
      </w:r>
    </w:p>
    <w:p>
      <w:pPr>
        <w:pStyle w:val="ListParagraph"/>
        <w:numPr>
          <w:ilvl w:val="0"/>
          <w:numId w:val="610"/>
        </w:numPr>
        <w:tabs>
          <w:tab w:pos="1919" w:val="left" w:leader="none"/>
        </w:tabs>
        <w:spacing w:line="240" w:lineRule="auto" w:before="120" w:after="0"/>
        <w:ind w:left="1918" w:right="0" w:hanging="567"/>
        <w:jc w:val="both"/>
        <w:rPr>
          <w:sz w:val="24"/>
        </w:rPr>
      </w:pPr>
      <w:r>
        <w:rPr>
          <w:sz w:val="24"/>
        </w:rPr>
        <w:t>Each </w:t>
      </w:r>
      <w:r>
        <w:rPr>
          <w:i/>
          <w:sz w:val="24"/>
        </w:rPr>
        <w:t>Metering Data Provider</w:t>
      </w:r>
      <w:r>
        <w:rPr>
          <w:i/>
          <w:spacing w:val="-2"/>
          <w:sz w:val="24"/>
        </w:rPr>
        <w:t> </w:t>
      </w:r>
      <w:r>
        <w:rPr>
          <w:sz w:val="24"/>
        </w:rPr>
        <w:t>must:</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undertake validation, substitution and estimation of </w:t>
      </w:r>
      <w:r>
        <w:rPr>
          <w:i/>
          <w:sz w:val="24"/>
        </w:rPr>
        <w:t>metering data </w:t>
      </w:r>
      <w:r>
        <w:rPr>
          <w:sz w:val="24"/>
        </w:rPr>
        <w:t>in accordance with schedule S7A.7 Part</w:t>
      </w:r>
      <w:r>
        <w:rPr>
          <w:spacing w:val="-5"/>
          <w:sz w:val="24"/>
        </w:rPr>
        <w:t> </w:t>
      </w:r>
      <w:r>
        <w:rPr>
          <w:sz w:val="24"/>
        </w:rPr>
        <w:t>C;</w:t>
      </w:r>
    </w:p>
    <w:p>
      <w:pPr>
        <w:pStyle w:val="ListParagraph"/>
        <w:numPr>
          <w:ilvl w:val="1"/>
          <w:numId w:val="610"/>
        </w:numPr>
        <w:tabs>
          <w:tab w:pos="2486" w:val="left" w:leader="none"/>
        </w:tabs>
        <w:spacing w:line="240" w:lineRule="auto" w:before="120" w:after="0"/>
        <w:ind w:left="2485" w:right="0" w:hanging="567"/>
        <w:jc w:val="both"/>
        <w:rPr>
          <w:sz w:val="24"/>
        </w:rPr>
      </w:pPr>
      <w:r>
        <w:rPr>
          <w:sz w:val="24"/>
        </w:rPr>
        <w:t>provide </w:t>
      </w:r>
      <w:r>
        <w:rPr>
          <w:i/>
          <w:sz w:val="24"/>
        </w:rPr>
        <w:t>metering data</w:t>
      </w:r>
      <w:r>
        <w:rPr>
          <w:i/>
          <w:spacing w:val="-2"/>
          <w:sz w:val="24"/>
        </w:rPr>
        <w:t> </w:t>
      </w:r>
      <w:r>
        <w:rPr>
          <w:i/>
          <w:sz w:val="24"/>
        </w:rPr>
        <w:t>services</w:t>
      </w:r>
      <w:r>
        <w:rPr>
          <w:sz w:val="24"/>
        </w:rPr>
        <w:t>;</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ensure registered details of the </w:t>
      </w:r>
      <w:r>
        <w:rPr>
          <w:i/>
          <w:sz w:val="24"/>
        </w:rPr>
        <w:t>connection point </w:t>
      </w:r>
      <w:r>
        <w:rPr>
          <w:sz w:val="24"/>
        </w:rPr>
        <w:t>are fully recorded </w:t>
      </w:r>
      <w:r>
        <w:rPr>
          <w:spacing w:val="-6"/>
          <w:sz w:val="24"/>
        </w:rPr>
        <w:t>in </w:t>
      </w:r>
      <w:r>
        <w:rPr>
          <w:sz w:val="24"/>
        </w:rPr>
        <w:t>the </w:t>
      </w:r>
      <w:r>
        <w:rPr>
          <w:i/>
          <w:sz w:val="24"/>
        </w:rPr>
        <w:t>Metering Data Provider's metering data services</w:t>
      </w:r>
      <w:r>
        <w:rPr>
          <w:i/>
          <w:spacing w:val="-7"/>
          <w:sz w:val="24"/>
        </w:rPr>
        <w:t> </w:t>
      </w:r>
      <w:r>
        <w:rPr>
          <w:i/>
          <w:sz w:val="24"/>
        </w:rPr>
        <w:t>database</w:t>
      </w:r>
      <w:r>
        <w:rPr>
          <w:sz w:val="24"/>
        </w:rPr>
        <w:t>;</w:t>
      </w:r>
    </w:p>
    <w:p>
      <w:pPr>
        <w:pStyle w:val="ListParagraph"/>
        <w:numPr>
          <w:ilvl w:val="1"/>
          <w:numId w:val="610"/>
        </w:numPr>
        <w:tabs>
          <w:tab w:pos="2486" w:val="left" w:leader="none"/>
        </w:tabs>
        <w:spacing w:line="240" w:lineRule="auto" w:before="120" w:after="0"/>
        <w:ind w:left="2486" w:right="416" w:hanging="567"/>
        <w:jc w:val="both"/>
        <w:rPr>
          <w:sz w:val="24"/>
        </w:rPr>
      </w:pPr>
      <w:r>
        <w:rPr>
          <w:sz w:val="24"/>
        </w:rPr>
        <w:t>ensure </w:t>
      </w:r>
      <w:r>
        <w:rPr>
          <w:i/>
          <w:sz w:val="24"/>
        </w:rPr>
        <w:t>metering </w:t>
      </w:r>
      <w:r>
        <w:rPr>
          <w:sz w:val="24"/>
        </w:rPr>
        <w:t>details and parameters within the </w:t>
      </w:r>
      <w:r>
        <w:rPr>
          <w:i/>
          <w:sz w:val="24"/>
        </w:rPr>
        <w:t>metering data </w:t>
      </w:r>
      <w:r>
        <w:rPr>
          <w:i/>
          <w:sz w:val="24"/>
        </w:rPr>
        <w:t>services database </w:t>
      </w:r>
      <w:r>
        <w:rPr>
          <w:sz w:val="24"/>
        </w:rPr>
        <w:t>are correct such that the </w:t>
      </w:r>
      <w:r>
        <w:rPr>
          <w:i/>
          <w:sz w:val="24"/>
        </w:rPr>
        <w:t>metering data </w:t>
      </w:r>
      <w:r>
        <w:rPr>
          <w:sz w:val="24"/>
        </w:rPr>
        <w:t>in the </w:t>
      </w:r>
      <w:r>
        <w:rPr>
          <w:i/>
          <w:sz w:val="24"/>
        </w:rPr>
        <w:t>metering data services database </w:t>
      </w:r>
      <w:r>
        <w:rPr>
          <w:sz w:val="24"/>
        </w:rPr>
        <w:t>is</w:t>
      </w:r>
      <w:r>
        <w:rPr>
          <w:spacing w:val="-3"/>
          <w:sz w:val="24"/>
        </w:rPr>
        <w:t> </w:t>
      </w:r>
      <w:r>
        <w:rPr>
          <w:sz w:val="24"/>
        </w:rPr>
        <w:t>accurate;</w:t>
      </w:r>
    </w:p>
    <w:p>
      <w:pPr>
        <w:pStyle w:val="ListParagraph"/>
        <w:numPr>
          <w:ilvl w:val="1"/>
          <w:numId w:val="610"/>
        </w:numPr>
        <w:tabs>
          <w:tab w:pos="2486" w:val="left" w:leader="none"/>
        </w:tabs>
        <w:spacing w:line="240" w:lineRule="auto" w:before="120" w:after="0"/>
        <w:ind w:left="2486" w:right="415" w:hanging="567"/>
        <w:jc w:val="both"/>
        <w:rPr>
          <w:sz w:val="24"/>
        </w:rPr>
      </w:pPr>
      <w:r>
        <w:rPr>
          <w:sz w:val="24"/>
        </w:rPr>
        <w:t>facilitate the timely commissioning and registration of the </w:t>
      </w:r>
      <w:r>
        <w:rPr>
          <w:i/>
          <w:sz w:val="24"/>
        </w:rPr>
        <w:t>metering </w:t>
      </w:r>
      <w:r>
        <w:rPr>
          <w:i/>
          <w:sz w:val="24"/>
        </w:rPr>
        <w:t>installation</w:t>
      </w:r>
      <w:r>
        <w:rPr>
          <w:sz w:val="24"/>
        </w:rPr>
        <w:t>;</w:t>
      </w:r>
      <w:r>
        <w:rPr>
          <w:spacing w:val="-1"/>
          <w:sz w:val="24"/>
        </w:rPr>
        <w:t> </w:t>
      </w:r>
      <w:r>
        <w:rPr>
          <w:sz w:val="24"/>
        </w:rPr>
        <w:t>and</w:t>
      </w:r>
    </w:p>
    <w:p>
      <w:pPr>
        <w:pStyle w:val="ListParagraph"/>
        <w:numPr>
          <w:ilvl w:val="1"/>
          <w:numId w:val="610"/>
        </w:numPr>
        <w:tabs>
          <w:tab w:pos="2486" w:val="left" w:leader="none"/>
        </w:tabs>
        <w:spacing w:line="240" w:lineRule="auto" w:before="120" w:after="0"/>
        <w:ind w:left="2486" w:right="416" w:hanging="567"/>
        <w:jc w:val="both"/>
        <w:rPr>
          <w:sz w:val="24"/>
        </w:rPr>
      </w:pPr>
      <w:r>
        <w:rPr>
          <w:sz w:val="24"/>
        </w:rPr>
        <w:t>establish and maintain a metering register in its </w:t>
      </w:r>
      <w:r>
        <w:rPr>
          <w:i/>
          <w:sz w:val="24"/>
        </w:rPr>
        <w:t>metering data services </w:t>
      </w:r>
      <w:r>
        <w:rPr>
          <w:i/>
          <w:sz w:val="24"/>
        </w:rPr>
        <w:t>database</w:t>
      </w:r>
      <w:r>
        <w:rPr>
          <w:sz w:val="24"/>
        </w:rPr>
        <w:t>.</w:t>
      </w:r>
    </w:p>
    <w:p>
      <w:pPr>
        <w:spacing w:before="220"/>
        <w:ind w:left="1356" w:right="0" w:firstLine="0"/>
        <w:jc w:val="left"/>
        <w:rPr>
          <w:rFonts w:ascii="Arial"/>
          <w:b/>
          <w:sz w:val="22"/>
        </w:rPr>
      </w:pPr>
      <w:r>
        <w:rPr>
          <w:rFonts w:ascii="Arial"/>
          <w:b/>
          <w:sz w:val="22"/>
        </w:rPr>
        <w:t>Metering register</w:t>
      </w:r>
    </w:p>
    <w:p>
      <w:pPr>
        <w:pStyle w:val="ListParagraph"/>
        <w:numPr>
          <w:ilvl w:val="0"/>
          <w:numId w:val="610"/>
        </w:numPr>
        <w:tabs>
          <w:tab w:pos="1918" w:val="left" w:leader="none"/>
          <w:tab w:pos="1919" w:val="left" w:leader="none"/>
        </w:tabs>
        <w:spacing w:line="240" w:lineRule="auto" w:before="120" w:after="0"/>
        <w:ind w:left="1919" w:right="414" w:hanging="567"/>
        <w:jc w:val="left"/>
        <w:rPr>
          <w:sz w:val="24"/>
        </w:rPr>
      </w:pPr>
      <w:r>
        <w:rPr>
          <w:sz w:val="24"/>
        </w:rPr>
        <w:t>Each </w:t>
      </w:r>
      <w:r>
        <w:rPr>
          <w:i/>
          <w:sz w:val="24"/>
        </w:rPr>
        <w:t>Metering Data Provider </w:t>
      </w:r>
      <w:r>
        <w:rPr>
          <w:sz w:val="24"/>
        </w:rPr>
        <w:t>must ensure that information in its metering register</w:t>
      </w:r>
      <w:r>
        <w:rPr>
          <w:spacing w:val="-1"/>
          <w:sz w:val="24"/>
        </w:rPr>
        <w:t> </w:t>
      </w:r>
      <w:r>
        <w:rPr>
          <w:sz w:val="24"/>
        </w:rPr>
        <w:t>is:</w:t>
      </w:r>
    </w:p>
    <w:p>
      <w:pPr>
        <w:pStyle w:val="ListParagraph"/>
        <w:numPr>
          <w:ilvl w:val="1"/>
          <w:numId w:val="610"/>
        </w:numPr>
        <w:tabs>
          <w:tab w:pos="2485" w:val="left" w:leader="none"/>
          <w:tab w:pos="2486" w:val="left" w:leader="none"/>
        </w:tabs>
        <w:spacing w:line="240" w:lineRule="auto" w:before="120" w:after="0"/>
        <w:ind w:left="2485" w:right="0" w:hanging="567"/>
        <w:jc w:val="left"/>
        <w:rPr>
          <w:sz w:val="24"/>
        </w:rPr>
      </w:pPr>
      <w:r>
        <w:rPr>
          <w:sz w:val="24"/>
        </w:rPr>
        <w:t>registered in co-operation with the </w:t>
      </w:r>
      <w:r>
        <w:rPr>
          <w:i/>
          <w:sz w:val="24"/>
        </w:rPr>
        <w:t>Metering Coordinator</w:t>
      </w:r>
      <w:r>
        <w:rPr>
          <w:i/>
          <w:spacing w:val="45"/>
          <w:sz w:val="24"/>
        </w:rPr>
        <w:t> </w:t>
      </w:r>
      <w:r>
        <w:rPr>
          <w:sz w:val="24"/>
        </w:rPr>
        <w:t>and</w:t>
      </w:r>
    </w:p>
    <w:p>
      <w:pPr>
        <w:spacing w:before="0"/>
        <w:ind w:left="2486" w:right="0" w:firstLine="0"/>
        <w:jc w:val="left"/>
        <w:rPr>
          <w:sz w:val="24"/>
        </w:rPr>
      </w:pPr>
      <w:r>
        <w:rPr>
          <w:i/>
          <w:sz w:val="24"/>
        </w:rPr>
        <w:t>Metering Provider</w:t>
      </w:r>
      <w:r>
        <w:rPr>
          <w:sz w:val="24"/>
        </w:rPr>
        <w:t>;</w:t>
      </w:r>
    </w:p>
    <w:p>
      <w:pPr>
        <w:pStyle w:val="ListParagraph"/>
        <w:numPr>
          <w:ilvl w:val="1"/>
          <w:numId w:val="610"/>
        </w:numPr>
        <w:tabs>
          <w:tab w:pos="2485" w:val="left" w:leader="none"/>
          <w:tab w:pos="2486" w:val="left" w:leader="none"/>
        </w:tabs>
        <w:spacing w:line="240" w:lineRule="auto" w:before="120" w:after="0"/>
        <w:ind w:left="2486" w:right="415" w:hanging="567"/>
        <w:jc w:val="left"/>
        <w:rPr>
          <w:sz w:val="24"/>
        </w:rPr>
      </w:pPr>
      <w:r>
        <w:rPr>
          <w:sz w:val="24"/>
        </w:rPr>
        <w:t>provided on request to persons entitled to have access to that information in accordance with paragraph</w:t>
      </w:r>
      <w:r>
        <w:rPr>
          <w:spacing w:val="-2"/>
          <w:sz w:val="24"/>
        </w:rPr>
        <w:t> </w:t>
      </w:r>
      <w:r>
        <w:rPr>
          <w:sz w:val="24"/>
        </w:rPr>
        <w:t>7A.13.5(c);</w:t>
      </w:r>
    </w:p>
    <w:p>
      <w:pPr>
        <w:pStyle w:val="ListParagraph"/>
        <w:numPr>
          <w:ilvl w:val="1"/>
          <w:numId w:val="610"/>
        </w:numPr>
        <w:tabs>
          <w:tab w:pos="2485" w:val="left" w:leader="none"/>
          <w:tab w:pos="2486" w:val="left" w:leader="none"/>
        </w:tabs>
        <w:spacing w:line="240" w:lineRule="auto" w:before="120" w:after="0"/>
        <w:ind w:left="2486" w:right="416" w:hanging="567"/>
        <w:jc w:val="left"/>
        <w:rPr>
          <w:sz w:val="24"/>
        </w:rPr>
      </w:pPr>
      <w:r>
        <w:rPr>
          <w:sz w:val="24"/>
        </w:rPr>
        <w:t>communicated to other </w:t>
      </w:r>
      <w:r>
        <w:rPr>
          <w:i/>
          <w:sz w:val="24"/>
        </w:rPr>
        <w:t>Metering Data Providers </w:t>
      </w:r>
      <w:r>
        <w:rPr>
          <w:sz w:val="24"/>
        </w:rPr>
        <w:t>having the right of access as a result of the transfer of a </w:t>
      </w:r>
      <w:r>
        <w:rPr>
          <w:i/>
          <w:sz w:val="24"/>
        </w:rPr>
        <w:t>connection</w:t>
      </w:r>
      <w:r>
        <w:rPr>
          <w:i/>
          <w:spacing w:val="-4"/>
          <w:sz w:val="24"/>
        </w:rPr>
        <w:t> </w:t>
      </w:r>
      <w:r>
        <w:rPr>
          <w:i/>
          <w:sz w:val="24"/>
        </w:rPr>
        <w:t>point</w:t>
      </w:r>
      <w:r>
        <w:rPr>
          <w:sz w:val="24"/>
        </w:rPr>
        <w:t>;</w:t>
      </w:r>
    </w:p>
    <w:p>
      <w:pPr>
        <w:pStyle w:val="ListParagraph"/>
        <w:numPr>
          <w:ilvl w:val="1"/>
          <w:numId w:val="610"/>
        </w:numPr>
        <w:tabs>
          <w:tab w:pos="2485" w:val="left" w:leader="none"/>
          <w:tab w:pos="2486" w:val="left" w:leader="none"/>
        </w:tabs>
        <w:spacing w:line="240" w:lineRule="auto" w:before="120" w:after="0"/>
        <w:ind w:left="2485" w:right="0" w:hanging="567"/>
        <w:jc w:val="left"/>
        <w:rPr>
          <w:sz w:val="24"/>
        </w:rPr>
      </w:pPr>
      <w:r>
        <w:rPr>
          <w:sz w:val="24"/>
        </w:rPr>
        <w:t>populated with the</w:t>
      </w:r>
      <w:r>
        <w:rPr>
          <w:spacing w:val="-2"/>
          <w:sz w:val="24"/>
        </w:rPr>
        <w:t> </w:t>
      </w:r>
      <w:r>
        <w:rPr>
          <w:sz w:val="24"/>
        </w:rPr>
        <w:t>following:</w:t>
      </w:r>
    </w:p>
    <w:p>
      <w:pPr>
        <w:pStyle w:val="ListParagraph"/>
        <w:numPr>
          <w:ilvl w:val="2"/>
          <w:numId w:val="610"/>
        </w:numPr>
        <w:tabs>
          <w:tab w:pos="3052" w:val="left" w:leader="none"/>
          <w:tab w:pos="3053" w:val="left" w:leader="none"/>
        </w:tabs>
        <w:spacing w:line="240" w:lineRule="auto" w:before="120" w:after="0"/>
        <w:ind w:left="3052" w:right="0" w:hanging="567"/>
        <w:jc w:val="left"/>
        <w:rPr>
          <w:sz w:val="24"/>
        </w:rPr>
      </w:pPr>
      <w:r>
        <w:rPr>
          <w:sz w:val="24"/>
        </w:rPr>
        <w:t>connection and metering point reference details,</w:t>
      </w:r>
      <w:r>
        <w:rPr>
          <w:spacing w:val="-2"/>
          <w:sz w:val="24"/>
        </w:rPr>
        <w:t> </w:t>
      </w:r>
      <w:r>
        <w:rPr>
          <w:sz w:val="24"/>
        </w:rPr>
        <w:t>including:</w:t>
      </w:r>
    </w:p>
    <w:p>
      <w:pPr>
        <w:pStyle w:val="ListParagraph"/>
        <w:numPr>
          <w:ilvl w:val="0"/>
          <w:numId w:val="611"/>
        </w:numPr>
        <w:tabs>
          <w:tab w:pos="3052" w:val="left" w:leader="none"/>
          <w:tab w:pos="3053" w:val="left" w:leader="none"/>
        </w:tabs>
        <w:spacing w:line="240" w:lineRule="auto" w:before="120" w:after="0"/>
        <w:ind w:left="3053" w:right="415" w:hanging="567"/>
        <w:jc w:val="left"/>
        <w:rPr>
          <w:sz w:val="24"/>
        </w:rPr>
      </w:pPr>
      <w:r>
        <w:rPr>
          <w:sz w:val="24"/>
        </w:rPr>
        <w:t>agreed locations and reference details (for example, drawing numbers);</w:t>
      </w:r>
    </w:p>
    <w:p>
      <w:pPr>
        <w:pStyle w:val="ListParagraph"/>
        <w:numPr>
          <w:ilvl w:val="0"/>
          <w:numId w:val="611"/>
        </w:numPr>
        <w:tabs>
          <w:tab w:pos="3053" w:val="left" w:leader="none"/>
          <w:tab w:pos="3054" w:val="left" w:leader="none"/>
        </w:tabs>
        <w:spacing w:line="240" w:lineRule="auto" w:before="120" w:after="0"/>
        <w:ind w:left="3053" w:right="0" w:hanging="568"/>
        <w:jc w:val="left"/>
        <w:rPr>
          <w:sz w:val="24"/>
        </w:rPr>
      </w:pPr>
      <w:r>
        <w:rPr>
          <w:sz w:val="24"/>
        </w:rPr>
        <w:t>loss compensation calculation</w:t>
      </w:r>
      <w:r>
        <w:rPr>
          <w:spacing w:val="-1"/>
          <w:sz w:val="24"/>
        </w:rPr>
        <w:t> </w:t>
      </w:r>
      <w:r>
        <w:rPr>
          <w:sz w:val="24"/>
        </w:rPr>
        <w:t>details;</w:t>
      </w:r>
    </w:p>
    <w:p>
      <w:pPr>
        <w:pStyle w:val="ListParagraph"/>
        <w:numPr>
          <w:ilvl w:val="0"/>
          <w:numId w:val="611"/>
        </w:numPr>
        <w:tabs>
          <w:tab w:pos="3053" w:val="left" w:leader="none"/>
          <w:tab w:pos="3054" w:val="left" w:leader="none"/>
        </w:tabs>
        <w:spacing w:line="240" w:lineRule="auto" w:before="120" w:after="0"/>
        <w:ind w:left="3053" w:right="0" w:hanging="568"/>
        <w:jc w:val="left"/>
        <w:rPr>
          <w:sz w:val="24"/>
        </w:rPr>
      </w:pPr>
      <w:r>
        <w:rPr>
          <w:sz w:val="24"/>
        </w:rPr>
        <w:t>site identification</w:t>
      </w:r>
      <w:r>
        <w:rPr>
          <w:spacing w:val="-1"/>
          <w:sz w:val="24"/>
        </w:rPr>
        <w:t> </w:t>
      </w:r>
      <w:r>
        <w:rPr>
          <w:sz w:val="24"/>
        </w:rPr>
        <w:t>names;</w:t>
      </w:r>
    </w:p>
    <w:p>
      <w:pPr>
        <w:pStyle w:val="ListParagraph"/>
        <w:numPr>
          <w:ilvl w:val="0"/>
          <w:numId w:val="611"/>
        </w:numPr>
        <w:tabs>
          <w:tab w:pos="3052" w:val="left" w:leader="none"/>
          <w:tab w:pos="3053" w:val="left" w:leader="none"/>
        </w:tabs>
        <w:spacing w:line="240" w:lineRule="auto" w:before="120" w:after="0"/>
        <w:ind w:left="3053" w:right="416" w:hanging="567"/>
        <w:jc w:val="left"/>
        <w:rPr>
          <w:sz w:val="24"/>
        </w:rPr>
      </w:pPr>
      <w:r>
        <w:rPr>
          <w:sz w:val="24"/>
        </w:rPr>
        <w:t>details of financially responsible participants and </w:t>
      </w:r>
      <w:r>
        <w:rPr>
          <w:i/>
          <w:sz w:val="24"/>
        </w:rPr>
        <w:t>Local Network </w:t>
      </w:r>
      <w:r>
        <w:rPr>
          <w:i/>
          <w:sz w:val="24"/>
        </w:rPr>
        <w:t>Service Providers </w:t>
      </w:r>
      <w:r>
        <w:rPr>
          <w:sz w:val="24"/>
        </w:rPr>
        <w:t>associated with the </w:t>
      </w:r>
      <w:r>
        <w:rPr>
          <w:i/>
          <w:sz w:val="24"/>
        </w:rPr>
        <w:t>connection</w:t>
      </w:r>
      <w:r>
        <w:rPr>
          <w:i/>
          <w:spacing w:val="-3"/>
          <w:sz w:val="24"/>
        </w:rPr>
        <w:t> </w:t>
      </w:r>
      <w:r>
        <w:rPr>
          <w:i/>
          <w:sz w:val="24"/>
        </w:rPr>
        <w:t>point</w:t>
      </w:r>
      <w:r>
        <w:rPr>
          <w:sz w:val="24"/>
        </w:rPr>
        <w:t>;</w:t>
      </w:r>
    </w:p>
    <w:p>
      <w:pPr>
        <w:pStyle w:val="ListParagraph"/>
        <w:numPr>
          <w:ilvl w:val="0"/>
          <w:numId w:val="611"/>
        </w:numPr>
        <w:tabs>
          <w:tab w:pos="3052" w:val="left" w:leader="none"/>
          <w:tab w:pos="3054" w:val="left" w:leader="none"/>
        </w:tabs>
        <w:spacing w:line="240" w:lineRule="auto" w:before="120" w:after="0"/>
        <w:ind w:left="3053" w:right="0" w:hanging="568"/>
        <w:jc w:val="left"/>
        <w:rPr>
          <w:sz w:val="24"/>
        </w:rPr>
      </w:pPr>
      <w:r>
        <w:rPr>
          <w:sz w:val="24"/>
        </w:rPr>
        <w:t>details of the </w:t>
      </w:r>
      <w:r>
        <w:rPr>
          <w:i/>
          <w:sz w:val="24"/>
        </w:rPr>
        <w:t>Metering</w:t>
      </w:r>
      <w:r>
        <w:rPr>
          <w:i/>
          <w:spacing w:val="-1"/>
          <w:sz w:val="24"/>
        </w:rPr>
        <w:t> </w:t>
      </w:r>
      <w:r>
        <w:rPr>
          <w:i/>
          <w:sz w:val="24"/>
        </w:rPr>
        <w:t>Coordinator</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2"/>
          <w:numId w:val="610"/>
        </w:numPr>
        <w:tabs>
          <w:tab w:pos="2487" w:val="left" w:leader="none"/>
        </w:tabs>
        <w:spacing w:line="240" w:lineRule="auto" w:before="83" w:after="0"/>
        <w:ind w:left="2486" w:right="415" w:hanging="567"/>
        <w:jc w:val="both"/>
        <w:rPr>
          <w:sz w:val="24"/>
        </w:rPr>
      </w:pPr>
      <w:r>
        <w:rPr>
          <w:sz w:val="24"/>
        </w:rPr>
        <w:t>the identity and characteristics of </w:t>
      </w:r>
      <w:r>
        <w:rPr>
          <w:i/>
          <w:sz w:val="24"/>
        </w:rPr>
        <w:t>metering </w:t>
      </w:r>
      <w:r>
        <w:rPr>
          <w:sz w:val="24"/>
        </w:rPr>
        <w:t>equipment (that is, </w:t>
      </w:r>
      <w:r>
        <w:rPr>
          <w:i/>
          <w:sz w:val="24"/>
        </w:rPr>
        <w:t>instrument transformers</w:t>
      </w:r>
      <w:r>
        <w:rPr>
          <w:sz w:val="24"/>
        </w:rPr>
        <w:t>, </w:t>
      </w:r>
      <w:r>
        <w:rPr>
          <w:i/>
          <w:sz w:val="24"/>
        </w:rPr>
        <w:t>metering installation </w:t>
      </w:r>
      <w:r>
        <w:rPr>
          <w:sz w:val="24"/>
        </w:rPr>
        <w:t>and </w:t>
      </w:r>
      <w:r>
        <w:rPr>
          <w:i/>
          <w:sz w:val="24"/>
        </w:rPr>
        <w:t>check metering </w:t>
      </w:r>
      <w:r>
        <w:rPr>
          <w:i/>
          <w:sz w:val="24"/>
        </w:rPr>
        <w:t>installation</w:t>
      </w:r>
      <w:r>
        <w:rPr>
          <w:sz w:val="24"/>
        </w:rPr>
        <w:t>),</w:t>
      </w:r>
      <w:r>
        <w:rPr>
          <w:spacing w:val="-1"/>
          <w:sz w:val="24"/>
        </w:rPr>
        <w:t> </w:t>
      </w:r>
      <w:r>
        <w:rPr>
          <w:sz w:val="24"/>
        </w:rPr>
        <w:t>including:</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sz w:val="24"/>
        </w:rPr>
        <w:t>serial</w:t>
      </w:r>
      <w:r>
        <w:rPr>
          <w:spacing w:val="-1"/>
          <w:sz w:val="24"/>
        </w:rPr>
        <w:t> </w:t>
      </w:r>
      <w:r>
        <w:rPr>
          <w:sz w:val="24"/>
        </w:rPr>
        <w:t>numbers;</w:t>
      </w:r>
    </w:p>
    <w:p>
      <w:pPr>
        <w:pStyle w:val="ListParagraph"/>
        <w:numPr>
          <w:ilvl w:val="3"/>
          <w:numId w:val="610"/>
        </w:numPr>
        <w:tabs>
          <w:tab w:pos="3053" w:val="left" w:leader="none"/>
          <w:tab w:pos="3054" w:val="left" w:leader="none"/>
          <w:tab w:pos="4167" w:val="left" w:leader="none"/>
          <w:tab w:pos="5521" w:val="left" w:leader="none"/>
          <w:tab w:pos="7061" w:val="left" w:leader="none"/>
          <w:tab w:pos="7909" w:val="left" w:leader="none"/>
          <w:tab w:pos="8436" w:val="left" w:leader="none"/>
        </w:tabs>
        <w:spacing w:line="240" w:lineRule="auto" w:before="120" w:after="0"/>
        <w:ind w:left="3053" w:right="416" w:hanging="567"/>
        <w:jc w:val="left"/>
        <w:rPr>
          <w:sz w:val="24"/>
        </w:rPr>
      </w:pPr>
      <w:r>
        <w:rPr>
          <w:i/>
          <w:sz w:val="24"/>
        </w:rPr>
        <w:t>metering</w:t>
        <w:tab/>
        <w:t>installation</w:t>
        <w:tab/>
      </w:r>
      <w:r>
        <w:rPr>
          <w:sz w:val="24"/>
        </w:rPr>
        <w:t>identification</w:t>
        <w:tab/>
        <w:t>name;</w:t>
        <w:tab/>
        <w:t>(c)</w:t>
        <w:tab/>
      </w:r>
      <w:r>
        <w:rPr>
          <w:i/>
          <w:spacing w:val="-3"/>
          <w:sz w:val="24"/>
        </w:rPr>
        <w:t>metering </w:t>
      </w:r>
      <w:r>
        <w:rPr>
          <w:i/>
          <w:sz w:val="24"/>
        </w:rPr>
        <w:t>installation </w:t>
      </w:r>
      <w:r>
        <w:rPr>
          <w:sz w:val="24"/>
        </w:rPr>
        <w:t>types and</w:t>
      </w:r>
      <w:r>
        <w:rPr>
          <w:spacing w:val="-1"/>
          <w:sz w:val="24"/>
        </w:rPr>
        <w:t> </w:t>
      </w:r>
      <w:r>
        <w:rPr>
          <w:sz w:val="24"/>
        </w:rPr>
        <w:t>models;</w:t>
      </w:r>
    </w:p>
    <w:p>
      <w:pPr>
        <w:pStyle w:val="ListParagraph"/>
        <w:numPr>
          <w:ilvl w:val="0"/>
          <w:numId w:val="612"/>
        </w:numPr>
        <w:tabs>
          <w:tab w:pos="3052" w:val="left" w:leader="none"/>
          <w:tab w:pos="3053" w:val="left" w:leader="none"/>
        </w:tabs>
        <w:spacing w:line="240" w:lineRule="auto" w:before="120" w:after="0"/>
        <w:ind w:left="3052" w:right="0" w:hanging="567"/>
        <w:jc w:val="left"/>
        <w:rPr>
          <w:sz w:val="24"/>
        </w:rPr>
      </w:pPr>
      <w:r>
        <w:rPr>
          <w:i/>
          <w:sz w:val="24"/>
        </w:rPr>
        <w:t>Metering Provider</w:t>
      </w:r>
      <w:r>
        <w:rPr>
          <w:sz w:val="24"/>
        </w:rPr>
        <w:t>(s) and </w:t>
      </w:r>
      <w:r>
        <w:rPr>
          <w:i/>
          <w:sz w:val="24"/>
        </w:rPr>
        <w:t>Metering Data Provider</w:t>
      </w:r>
      <w:r>
        <w:rPr>
          <w:sz w:val="24"/>
        </w:rPr>
        <w:t>(s)</w:t>
      </w:r>
      <w:r>
        <w:rPr>
          <w:spacing w:val="-3"/>
          <w:sz w:val="24"/>
        </w:rPr>
        <w:t> </w:t>
      </w:r>
      <w:r>
        <w:rPr>
          <w:sz w:val="24"/>
        </w:rPr>
        <w:t>details;</w:t>
      </w:r>
    </w:p>
    <w:p>
      <w:pPr>
        <w:pStyle w:val="ListParagraph"/>
        <w:numPr>
          <w:ilvl w:val="0"/>
          <w:numId w:val="612"/>
        </w:numPr>
        <w:tabs>
          <w:tab w:pos="3052" w:val="left" w:leader="none"/>
          <w:tab w:pos="3054" w:val="left" w:leader="none"/>
        </w:tabs>
        <w:spacing w:line="240" w:lineRule="auto" w:before="120" w:after="0"/>
        <w:ind w:left="3053" w:right="0" w:hanging="568"/>
        <w:jc w:val="left"/>
        <w:rPr>
          <w:sz w:val="24"/>
        </w:rPr>
      </w:pPr>
      <w:r>
        <w:rPr>
          <w:sz w:val="24"/>
        </w:rPr>
        <w:t>summation scheme values and multipliers;</w:t>
      </w:r>
      <w:r>
        <w:rPr>
          <w:spacing w:val="-3"/>
          <w:sz w:val="24"/>
        </w:rPr>
        <w:t> </w:t>
      </w:r>
      <w:r>
        <w:rPr>
          <w:sz w:val="24"/>
        </w:rPr>
        <w:t>and</w:t>
      </w:r>
    </w:p>
    <w:p>
      <w:pPr>
        <w:pStyle w:val="ListParagraph"/>
        <w:numPr>
          <w:ilvl w:val="0"/>
          <w:numId w:val="612"/>
        </w:numPr>
        <w:tabs>
          <w:tab w:pos="3052" w:val="left" w:leader="none"/>
          <w:tab w:pos="3053" w:val="left" w:leader="none"/>
        </w:tabs>
        <w:spacing w:line="240" w:lineRule="auto" w:before="120" w:after="0"/>
        <w:ind w:left="3052" w:right="0" w:hanging="567"/>
        <w:jc w:val="left"/>
        <w:rPr>
          <w:sz w:val="24"/>
        </w:rPr>
      </w:pPr>
      <w:r>
        <w:rPr>
          <w:sz w:val="24"/>
        </w:rPr>
        <w:t>data register coding</w:t>
      </w:r>
      <w:r>
        <w:rPr>
          <w:spacing w:val="-2"/>
          <w:sz w:val="24"/>
        </w:rPr>
        <w:t> </w:t>
      </w:r>
      <w:r>
        <w:rPr>
          <w:sz w:val="24"/>
        </w:rPr>
        <w:t>details;</w:t>
      </w:r>
    </w:p>
    <w:p>
      <w:pPr>
        <w:pStyle w:val="ListParagraph"/>
        <w:numPr>
          <w:ilvl w:val="2"/>
          <w:numId w:val="610"/>
        </w:numPr>
        <w:tabs>
          <w:tab w:pos="2485" w:val="left" w:leader="none"/>
          <w:tab w:pos="2486" w:val="left" w:leader="none"/>
        </w:tabs>
        <w:spacing w:line="240" w:lineRule="auto" w:before="120" w:after="0"/>
        <w:ind w:left="2486" w:right="415" w:hanging="567"/>
        <w:jc w:val="left"/>
        <w:rPr>
          <w:sz w:val="24"/>
        </w:rPr>
      </w:pPr>
      <w:r>
        <w:rPr>
          <w:sz w:val="24"/>
        </w:rPr>
        <w:t>for types 1, 2, 3 and 4 </w:t>
      </w:r>
      <w:r>
        <w:rPr>
          <w:i/>
          <w:sz w:val="24"/>
        </w:rPr>
        <w:t>metering installations</w:t>
      </w:r>
      <w:r>
        <w:rPr>
          <w:sz w:val="24"/>
        </w:rPr>
        <w:t>, data communication details, if relevant,</w:t>
      </w:r>
      <w:r>
        <w:rPr>
          <w:spacing w:val="-1"/>
          <w:sz w:val="24"/>
        </w:rPr>
        <w:t> </w:t>
      </w:r>
      <w:r>
        <w:rPr>
          <w:sz w:val="24"/>
        </w:rPr>
        <w:t>including:</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sz w:val="24"/>
        </w:rPr>
        <w:t>telephone number(s) for access to energy</w:t>
      </w:r>
      <w:r>
        <w:rPr>
          <w:spacing w:val="-3"/>
          <w:sz w:val="24"/>
        </w:rPr>
        <w:t> </w:t>
      </w:r>
      <w:r>
        <w:rPr>
          <w:sz w:val="24"/>
        </w:rPr>
        <w:t>data;</w:t>
      </w:r>
    </w:p>
    <w:p>
      <w:pPr>
        <w:pStyle w:val="ListParagraph"/>
        <w:numPr>
          <w:ilvl w:val="3"/>
          <w:numId w:val="610"/>
        </w:numPr>
        <w:tabs>
          <w:tab w:pos="3053" w:val="left" w:leader="none"/>
          <w:tab w:pos="3054" w:val="left" w:leader="none"/>
        </w:tabs>
        <w:spacing w:line="240" w:lineRule="auto" w:before="120" w:after="0"/>
        <w:ind w:left="3053" w:right="0" w:hanging="568"/>
        <w:jc w:val="left"/>
        <w:rPr>
          <w:sz w:val="24"/>
        </w:rPr>
      </w:pPr>
      <w:r>
        <w:rPr>
          <w:sz w:val="24"/>
        </w:rPr>
        <w:t>communication equipment type and serial</w:t>
      </w:r>
      <w:r>
        <w:rPr>
          <w:spacing w:val="-4"/>
          <w:sz w:val="24"/>
        </w:rPr>
        <w:t> </w:t>
      </w:r>
      <w:r>
        <w:rPr>
          <w:sz w:val="24"/>
        </w:rPr>
        <w:t>numbers;</w:t>
      </w:r>
    </w:p>
    <w:p>
      <w:pPr>
        <w:pStyle w:val="ListParagraph"/>
        <w:numPr>
          <w:ilvl w:val="3"/>
          <w:numId w:val="610"/>
        </w:numPr>
        <w:tabs>
          <w:tab w:pos="3053" w:val="left" w:leader="none"/>
          <w:tab w:pos="3054" w:val="left" w:leader="none"/>
        </w:tabs>
        <w:spacing w:line="240" w:lineRule="auto" w:before="120" w:after="0"/>
        <w:ind w:left="3053" w:right="0" w:hanging="568"/>
        <w:jc w:val="left"/>
        <w:rPr>
          <w:sz w:val="24"/>
        </w:rPr>
      </w:pPr>
      <w:r>
        <w:rPr>
          <w:sz w:val="24"/>
        </w:rPr>
        <w:t>communication protocol details or</w:t>
      </w:r>
      <w:r>
        <w:rPr>
          <w:spacing w:val="-1"/>
          <w:sz w:val="24"/>
        </w:rPr>
        <w:t> </w:t>
      </w:r>
      <w:r>
        <w:rPr>
          <w:sz w:val="24"/>
        </w:rPr>
        <w:t>references;</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sz w:val="24"/>
        </w:rPr>
        <w:t>data conversion</w:t>
      </w:r>
      <w:r>
        <w:rPr>
          <w:spacing w:val="-1"/>
          <w:sz w:val="24"/>
        </w:rPr>
        <w:t> </w:t>
      </w:r>
      <w:r>
        <w:rPr>
          <w:sz w:val="24"/>
        </w:rPr>
        <w:t>details;</w:t>
      </w:r>
    </w:p>
    <w:p>
      <w:pPr>
        <w:pStyle w:val="ListParagraph"/>
        <w:numPr>
          <w:ilvl w:val="3"/>
          <w:numId w:val="610"/>
        </w:numPr>
        <w:tabs>
          <w:tab w:pos="3052" w:val="left" w:leader="none"/>
          <w:tab w:pos="3054" w:val="left" w:leader="none"/>
        </w:tabs>
        <w:spacing w:line="240" w:lineRule="auto" w:before="120" w:after="0"/>
        <w:ind w:left="3053" w:right="0" w:hanging="568"/>
        <w:jc w:val="left"/>
        <w:rPr>
          <w:sz w:val="24"/>
        </w:rPr>
      </w:pPr>
      <w:r>
        <w:rPr>
          <w:sz w:val="24"/>
        </w:rPr>
        <w:t>user identifications and access rights;</w:t>
      </w:r>
      <w:r>
        <w:rPr>
          <w:spacing w:val="-3"/>
          <w:sz w:val="24"/>
        </w:rPr>
        <w:t> </w:t>
      </w:r>
      <w:r>
        <w:rPr>
          <w:sz w:val="24"/>
        </w:rPr>
        <w:t>and</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sz w:val="24"/>
        </w:rPr>
        <w:t>'write' password (to be contained in a hidden or protected</w:t>
      </w:r>
      <w:r>
        <w:rPr>
          <w:spacing w:val="-9"/>
          <w:sz w:val="24"/>
        </w:rPr>
        <w:t> </w:t>
      </w:r>
      <w:r>
        <w:rPr>
          <w:sz w:val="24"/>
        </w:rPr>
        <w:t>field);</w:t>
      </w:r>
    </w:p>
    <w:p>
      <w:pPr>
        <w:pStyle w:val="ListParagraph"/>
        <w:numPr>
          <w:ilvl w:val="2"/>
          <w:numId w:val="610"/>
        </w:numPr>
        <w:tabs>
          <w:tab w:pos="2485" w:val="left" w:leader="none"/>
          <w:tab w:pos="2487" w:val="left" w:leader="none"/>
        </w:tabs>
        <w:spacing w:line="240" w:lineRule="auto" w:before="120" w:after="0"/>
        <w:ind w:left="2486" w:right="415" w:hanging="567"/>
        <w:jc w:val="left"/>
        <w:rPr>
          <w:sz w:val="24"/>
        </w:rPr>
      </w:pPr>
      <w:r>
        <w:rPr>
          <w:sz w:val="24"/>
        </w:rPr>
        <w:t>data validation, substitution and estimation processes agreed between affected parties,</w:t>
      </w:r>
      <w:r>
        <w:rPr>
          <w:spacing w:val="-1"/>
          <w:sz w:val="24"/>
        </w:rPr>
        <w:t> </w:t>
      </w:r>
      <w:r>
        <w:rPr>
          <w:sz w:val="24"/>
        </w:rPr>
        <w:t>including;</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sz w:val="24"/>
        </w:rPr>
        <w:t>algorithms;</w:t>
      </w:r>
    </w:p>
    <w:p>
      <w:pPr>
        <w:pStyle w:val="ListParagraph"/>
        <w:numPr>
          <w:ilvl w:val="3"/>
          <w:numId w:val="610"/>
        </w:numPr>
        <w:tabs>
          <w:tab w:pos="3053" w:val="left" w:leader="none"/>
          <w:tab w:pos="3054" w:val="left" w:leader="none"/>
        </w:tabs>
        <w:spacing w:line="240" w:lineRule="auto" w:before="120" w:after="0"/>
        <w:ind w:left="3053" w:right="0" w:hanging="568"/>
        <w:jc w:val="left"/>
        <w:rPr>
          <w:sz w:val="24"/>
        </w:rPr>
      </w:pPr>
      <w:r>
        <w:rPr>
          <w:sz w:val="24"/>
        </w:rPr>
        <w:t>data comparison</w:t>
      </w:r>
      <w:r>
        <w:rPr>
          <w:spacing w:val="-1"/>
          <w:sz w:val="24"/>
        </w:rPr>
        <w:t> </w:t>
      </w:r>
      <w:r>
        <w:rPr>
          <w:sz w:val="24"/>
        </w:rPr>
        <w:t>techniques;</w:t>
      </w:r>
    </w:p>
    <w:p>
      <w:pPr>
        <w:pStyle w:val="ListParagraph"/>
        <w:numPr>
          <w:ilvl w:val="3"/>
          <w:numId w:val="610"/>
        </w:numPr>
        <w:tabs>
          <w:tab w:pos="3053" w:val="left" w:leader="none"/>
          <w:tab w:pos="3054" w:val="left" w:leader="none"/>
        </w:tabs>
        <w:spacing w:line="240" w:lineRule="auto" w:before="120" w:after="0"/>
        <w:ind w:left="3053" w:right="416" w:hanging="567"/>
        <w:jc w:val="left"/>
        <w:rPr>
          <w:sz w:val="24"/>
        </w:rPr>
      </w:pPr>
      <w:r>
        <w:rPr>
          <w:sz w:val="24"/>
        </w:rPr>
        <w:t>processing and alarms (for example, voltage source limits; phase angle</w:t>
      </w:r>
      <w:r>
        <w:rPr>
          <w:spacing w:val="-1"/>
          <w:sz w:val="24"/>
        </w:rPr>
        <w:t> </w:t>
      </w:r>
      <w:r>
        <w:rPr>
          <w:sz w:val="24"/>
        </w:rPr>
        <w:t>limits);</w:t>
      </w:r>
    </w:p>
    <w:p>
      <w:pPr>
        <w:pStyle w:val="ListParagraph"/>
        <w:numPr>
          <w:ilvl w:val="3"/>
          <w:numId w:val="610"/>
        </w:numPr>
        <w:tabs>
          <w:tab w:pos="3052" w:val="left" w:leader="none"/>
          <w:tab w:pos="3053" w:val="left" w:leader="none"/>
        </w:tabs>
        <w:spacing w:line="240" w:lineRule="auto" w:before="120" w:after="0"/>
        <w:ind w:left="3052" w:right="0" w:hanging="567"/>
        <w:jc w:val="left"/>
        <w:rPr>
          <w:sz w:val="24"/>
        </w:rPr>
      </w:pPr>
      <w:r>
        <w:rPr>
          <w:i/>
          <w:sz w:val="24"/>
        </w:rPr>
        <w:t>check metering </w:t>
      </w:r>
      <w:r>
        <w:rPr>
          <w:sz w:val="24"/>
        </w:rPr>
        <w:t>compensation details;</w:t>
      </w:r>
      <w:r>
        <w:rPr>
          <w:spacing w:val="-2"/>
          <w:sz w:val="24"/>
        </w:rPr>
        <w:t> </w:t>
      </w:r>
      <w:r>
        <w:rPr>
          <w:sz w:val="24"/>
        </w:rPr>
        <w:t>and</w:t>
      </w:r>
    </w:p>
    <w:p>
      <w:pPr>
        <w:pStyle w:val="ListParagraph"/>
        <w:numPr>
          <w:ilvl w:val="3"/>
          <w:numId w:val="610"/>
        </w:numPr>
        <w:tabs>
          <w:tab w:pos="3052" w:val="left" w:leader="none"/>
          <w:tab w:pos="3054" w:val="left" w:leader="none"/>
        </w:tabs>
        <w:spacing w:line="240" w:lineRule="auto" w:before="120" w:after="0"/>
        <w:ind w:left="3053" w:right="0" w:hanging="568"/>
        <w:jc w:val="left"/>
        <w:rPr>
          <w:sz w:val="24"/>
        </w:rPr>
      </w:pPr>
      <w:r>
        <w:rPr>
          <w:sz w:val="24"/>
        </w:rPr>
        <w:t>alternate data sources;</w:t>
      </w:r>
      <w:r>
        <w:rPr>
          <w:spacing w:val="-3"/>
          <w:sz w:val="24"/>
        </w:rPr>
        <w:t> </w:t>
      </w:r>
      <w:r>
        <w:rPr>
          <w:sz w:val="24"/>
        </w:rPr>
        <w:t>and</w:t>
      </w:r>
    </w:p>
    <w:p>
      <w:pPr>
        <w:pStyle w:val="ListParagraph"/>
        <w:numPr>
          <w:ilvl w:val="1"/>
          <w:numId w:val="610"/>
        </w:numPr>
        <w:tabs>
          <w:tab w:pos="1919" w:val="left" w:leader="none"/>
        </w:tabs>
        <w:spacing w:line="240" w:lineRule="auto" w:before="120" w:after="0"/>
        <w:ind w:left="1919" w:right="414" w:hanging="567"/>
        <w:jc w:val="both"/>
        <w:rPr>
          <w:sz w:val="24"/>
        </w:rPr>
      </w:pPr>
      <w:r>
        <w:rPr>
          <w:sz w:val="24"/>
        </w:rPr>
        <w:t>for </w:t>
      </w:r>
      <w:r>
        <w:rPr>
          <w:i/>
          <w:sz w:val="24"/>
        </w:rPr>
        <w:t>metering installations </w:t>
      </w:r>
      <w:r>
        <w:rPr>
          <w:sz w:val="24"/>
        </w:rPr>
        <w:t>for </w:t>
      </w:r>
      <w:r>
        <w:rPr>
          <w:i/>
          <w:sz w:val="24"/>
        </w:rPr>
        <w:t>connection points </w:t>
      </w:r>
      <w:r>
        <w:rPr>
          <w:sz w:val="24"/>
        </w:rPr>
        <w:t>in a </w:t>
      </w:r>
      <w:r>
        <w:rPr>
          <w:i/>
          <w:sz w:val="24"/>
        </w:rPr>
        <w:t>market </w:t>
      </w:r>
      <w:r>
        <w:rPr>
          <w:sz w:val="24"/>
        </w:rPr>
        <w:t>operated or administered by </w:t>
      </w:r>
      <w:r>
        <w:rPr>
          <w:i/>
          <w:sz w:val="24"/>
        </w:rPr>
        <w:t>NTESMO</w:t>
      </w:r>
      <w:r>
        <w:rPr>
          <w:sz w:val="24"/>
        </w:rPr>
        <w:t>, includes any relevant matters identified by </w:t>
      </w:r>
      <w:r>
        <w:rPr>
          <w:i/>
          <w:sz w:val="24"/>
        </w:rPr>
        <w:t>NTESMO </w:t>
      </w:r>
      <w:r>
        <w:rPr>
          <w:sz w:val="24"/>
        </w:rPr>
        <w:t>in a communication guideline issued from time to time in accordance with clause</w:t>
      </w:r>
      <w:r>
        <w:rPr>
          <w:spacing w:val="-3"/>
          <w:sz w:val="24"/>
        </w:rPr>
        <w:t> </w:t>
      </w:r>
      <w:r>
        <w:rPr>
          <w:sz w:val="24"/>
        </w:rPr>
        <w:t>S7A.1.3.</w:t>
      </w:r>
    </w:p>
    <w:p>
      <w:pPr>
        <w:pStyle w:val="Heading4"/>
        <w:tabs>
          <w:tab w:pos="1351" w:val="left" w:leader="none"/>
        </w:tabs>
        <w:spacing w:line="510" w:lineRule="atLeast" w:before="6"/>
        <w:ind w:left="218" w:right="5911" w:firstLine="0"/>
      </w:pPr>
      <w:bookmarkStart w:name="S7A.8.9 Service requirements" w:id="2135"/>
      <w:bookmarkEnd w:id="2135"/>
      <w:r>
        <w:rPr>
          <w:b w:val="0"/>
        </w:rPr>
      </w:r>
      <w:bookmarkStart w:name="_bookmark890" w:id="2136"/>
      <w:bookmarkEnd w:id="2136"/>
      <w:r>
        <w:rPr>
          <w:b w:val="0"/>
        </w:rPr>
      </w:r>
      <w:r>
        <w:rPr/>
        <w:t>S7A.8.9</w:t>
        <w:tab/>
        <w:t>Service requirements</w:t>
      </w:r>
      <w:bookmarkStart w:name="S7A.8.9.1 System requirements" w:id="2137"/>
      <w:bookmarkEnd w:id="2137"/>
      <w:r>
        <w:rPr/>
      </w:r>
      <w:bookmarkStart w:name="_bookmark891" w:id="2138"/>
      <w:bookmarkEnd w:id="2138"/>
      <w:r>
        <w:rPr/>
      </w:r>
      <w:r>
        <w:rPr/>
        <w:t> S7A.8.9.1 System</w:t>
      </w:r>
      <w:r>
        <w:rPr>
          <w:spacing w:val="-8"/>
        </w:rPr>
        <w:t> </w:t>
      </w:r>
      <w:r>
        <w:rPr/>
        <w:t>requirements</w:t>
      </w:r>
    </w:p>
    <w:p>
      <w:pPr>
        <w:spacing w:before="126"/>
        <w:ind w:left="1352" w:right="415" w:firstLine="0"/>
        <w:jc w:val="both"/>
        <w:rPr>
          <w:sz w:val="24"/>
        </w:rPr>
      </w:pPr>
      <w:r>
        <w:rPr>
          <w:sz w:val="24"/>
        </w:rPr>
        <w:t>Each </w:t>
      </w:r>
      <w:r>
        <w:rPr>
          <w:i/>
          <w:sz w:val="24"/>
        </w:rPr>
        <w:t>Metering Provider </w:t>
      </w:r>
      <w:r>
        <w:rPr>
          <w:sz w:val="24"/>
        </w:rPr>
        <w:t>must maintain and operate a </w:t>
      </w:r>
      <w:r>
        <w:rPr>
          <w:i/>
          <w:sz w:val="24"/>
        </w:rPr>
        <w:t>metering data services </w:t>
      </w:r>
      <w:r>
        <w:rPr>
          <w:i/>
          <w:sz w:val="24"/>
        </w:rPr>
        <w:t>database </w:t>
      </w:r>
      <w:r>
        <w:rPr>
          <w:sz w:val="24"/>
        </w:rPr>
        <w:t>to facilitate</w:t>
      </w:r>
      <w:r>
        <w:rPr>
          <w:spacing w:val="-1"/>
          <w:sz w:val="24"/>
        </w:rPr>
        <w:t> </w:t>
      </w:r>
      <w:r>
        <w:rPr>
          <w:sz w:val="24"/>
        </w:rPr>
        <w:t>the:</w:t>
      </w:r>
    </w:p>
    <w:p>
      <w:pPr>
        <w:pStyle w:val="ListParagraph"/>
        <w:numPr>
          <w:ilvl w:val="0"/>
          <w:numId w:val="613"/>
        </w:numPr>
        <w:tabs>
          <w:tab w:pos="1919" w:val="left" w:leader="none"/>
        </w:tabs>
        <w:spacing w:line="240" w:lineRule="auto" w:before="120" w:after="0"/>
        <w:ind w:left="1918" w:right="0" w:hanging="567"/>
        <w:jc w:val="both"/>
        <w:rPr>
          <w:sz w:val="24"/>
        </w:rPr>
      </w:pPr>
      <w:r>
        <w:rPr>
          <w:i/>
          <w:sz w:val="24"/>
        </w:rPr>
        <w:t>collection </w:t>
      </w:r>
      <w:r>
        <w:rPr>
          <w:sz w:val="24"/>
        </w:rPr>
        <w:t>of </w:t>
      </w:r>
      <w:r>
        <w:rPr>
          <w:i/>
          <w:sz w:val="24"/>
        </w:rPr>
        <w:t>metering</w:t>
      </w:r>
      <w:r>
        <w:rPr>
          <w:i/>
          <w:spacing w:val="-1"/>
          <w:sz w:val="24"/>
        </w:rPr>
        <w:t> </w:t>
      </w:r>
      <w:r>
        <w:rPr>
          <w:i/>
          <w:sz w:val="24"/>
        </w:rPr>
        <w:t>data</w:t>
      </w:r>
      <w:r>
        <w:rPr>
          <w:sz w:val="24"/>
        </w:rPr>
        <w:t>;</w:t>
      </w:r>
    </w:p>
    <w:p>
      <w:pPr>
        <w:pStyle w:val="ListParagraph"/>
        <w:numPr>
          <w:ilvl w:val="0"/>
          <w:numId w:val="613"/>
        </w:numPr>
        <w:tabs>
          <w:tab w:pos="1919" w:val="left" w:leader="none"/>
        </w:tabs>
        <w:spacing w:line="240" w:lineRule="auto" w:before="120" w:after="0"/>
        <w:ind w:left="1919" w:right="415" w:hanging="567"/>
        <w:jc w:val="both"/>
        <w:rPr>
          <w:sz w:val="24"/>
        </w:rPr>
      </w:pPr>
      <w:r>
        <w:rPr>
          <w:sz w:val="24"/>
        </w:rPr>
        <w:t>processing, calculation, validation, substitution and estimation of </w:t>
      </w:r>
      <w:r>
        <w:rPr>
          <w:i/>
          <w:sz w:val="24"/>
        </w:rPr>
        <w:t>metering </w:t>
      </w:r>
      <w:r>
        <w:rPr>
          <w:i/>
          <w:sz w:val="24"/>
        </w:rPr>
        <w:t>data</w:t>
      </w:r>
      <w:r>
        <w:rPr>
          <w:sz w:val="24"/>
        </w:rPr>
        <w:t>;</w:t>
      </w:r>
    </w:p>
    <w:p>
      <w:pPr>
        <w:pStyle w:val="ListParagraph"/>
        <w:numPr>
          <w:ilvl w:val="0"/>
          <w:numId w:val="613"/>
        </w:numPr>
        <w:tabs>
          <w:tab w:pos="1919" w:val="left" w:leader="none"/>
        </w:tabs>
        <w:spacing w:line="240" w:lineRule="auto" w:before="120" w:after="0"/>
        <w:ind w:left="1919" w:right="415" w:hanging="567"/>
        <w:jc w:val="both"/>
        <w:rPr>
          <w:sz w:val="24"/>
        </w:rPr>
      </w:pPr>
      <w:r>
        <w:rPr>
          <w:sz w:val="24"/>
        </w:rPr>
        <w:t>delivery of </w:t>
      </w:r>
      <w:r>
        <w:rPr>
          <w:i/>
          <w:sz w:val="24"/>
        </w:rPr>
        <w:t>metering data </w:t>
      </w:r>
      <w:r>
        <w:rPr>
          <w:sz w:val="24"/>
        </w:rPr>
        <w:t>and </w:t>
      </w:r>
      <w:r>
        <w:rPr>
          <w:i/>
          <w:sz w:val="24"/>
        </w:rPr>
        <w:t>metering register </w:t>
      </w:r>
      <w:r>
        <w:rPr>
          <w:sz w:val="24"/>
        </w:rPr>
        <w:t>data to </w:t>
      </w:r>
      <w:r>
        <w:rPr>
          <w:i/>
          <w:sz w:val="24"/>
        </w:rPr>
        <w:t>NTESMO</w:t>
      </w:r>
      <w:r>
        <w:rPr>
          <w:sz w:val="24"/>
        </w:rPr>
        <w:t>, </w:t>
      </w:r>
      <w:r>
        <w:rPr>
          <w:i/>
          <w:sz w:val="24"/>
        </w:rPr>
        <w:t>Registered Participants</w:t>
      </w:r>
      <w:r>
        <w:rPr>
          <w:sz w:val="24"/>
        </w:rPr>
        <w:t>, financially responsible participants and other Service</w:t>
      </w:r>
      <w:r>
        <w:rPr>
          <w:spacing w:val="-2"/>
          <w:sz w:val="24"/>
        </w:rPr>
        <w:t> </w:t>
      </w:r>
      <w:r>
        <w:rPr>
          <w:sz w:val="24"/>
        </w:rPr>
        <w:t>Providers;</w:t>
      </w:r>
    </w:p>
    <w:p>
      <w:pPr>
        <w:spacing w:after="0" w:line="240" w:lineRule="auto"/>
        <w:jc w:val="both"/>
        <w:rPr>
          <w:sz w:val="24"/>
        </w:rPr>
        <w:sectPr>
          <w:pgSz w:w="11910" w:h="16840"/>
          <w:pgMar w:header="686" w:footer="637" w:top="1320" w:bottom="820" w:left="1200" w:right="1000"/>
        </w:sectPr>
      </w:pPr>
    </w:p>
    <w:p>
      <w:pPr>
        <w:pStyle w:val="ListParagraph"/>
        <w:numPr>
          <w:ilvl w:val="0"/>
          <w:numId w:val="613"/>
        </w:numPr>
        <w:tabs>
          <w:tab w:pos="1918" w:val="left" w:leader="none"/>
          <w:tab w:pos="1919" w:val="left" w:leader="none"/>
        </w:tabs>
        <w:spacing w:line="240" w:lineRule="auto" w:before="83" w:after="0"/>
        <w:ind w:left="1918" w:right="0" w:hanging="567"/>
        <w:jc w:val="left"/>
        <w:rPr>
          <w:sz w:val="24"/>
        </w:rPr>
      </w:pPr>
      <w:r>
        <w:rPr>
          <w:sz w:val="24"/>
        </w:rPr>
        <w:t>assignment and version control of participant roles for </w:t>
      </w:r>
      <w:r>
        <w:rPr>
          <w:i/>
          <w:sz w:val="24"/>
        </w:rPr>
        <w:t>connection</w:t>
      </w:r>
      <w:r>
        <w:rPr>
          <w:i/>
          <w:spacing w:val="-3"/>
          <w:sz w:val="24"/>
        </w:rPr>
        <w:t> </w:t>
      </w:r>
      <w:r>
        <w:rPr>
          <w:i/>
          <w:sz w:val="24"/>
        </w:rPr>
        <w:t>points</w:t>
      </w:r>
      <w:r>
        <w:rPr>
          <w:sz w:val="24"/>
        </w:rPr>
        <w:t>;</w:t>
      </w:r>
    </w:p>
    <w:p>
      <w:pPr>
        <w:pStyle w:val="ListParagraph"/>
        <w:numPr>
          <w:ilvl w:val="0"/>
          <w:numId w:val="613"/>
        </w:numPr>
        <w:tabs>
          <w:tab w:pos="1918" w:val="left" w:leader="none"/>
          <w:tab w:pos="1919" w:val="left" w:leader="none"/>
        </w:tabs>
        <w:spacing w:line="240" w:lineRule="auto" w:before="120" w:after="0"/>
        <w:ind w:left="1919" w:right="414" w:hanging="567"/>
        <w:jc w:val="left"/>
        <w:rPr>
          <w:sz w:val="24"/>
        </w:rPr>
      </w:pPr>
      <w:r>
        <w:rPr>
          <w:sz w:val="24"/>
        </w:rPr>
        <w:t>commissioning of each </w:t>
      </w:r>
      <w:r>
        <w:rPr>
          <w:i/>
          <w:sz w:val="24"/>
        </w:rPr>
        <w:t>metering installation </w:t>
      </w:r>
      <w:r>
        <w:rPr>
          <w:sz w:val="24"/>
        </w:rPr>
        <w:t>into the </w:t>
      </w:r>
      <w:r>
        <w:rPr>
          <w:i/>
          <w:sz w:val="24"/>
        </w:rPr>
        <w:t>Metering Data </w:t>
      </w:r>
      <w:r>
        <w:rPr>
          <w:i/>
          <w:sz w:val="24"/>
        </w:rPr>
        <w:t>Provider's metering data services</w:t>
      </w:r>
      <w:r>
        <w:rPr>
          <w:i/>
          <w:spacing w:val="-2"/>
          <w:sz w:val="24"/>
        </w:rPr>
        <w:t> </w:t>
      </w:r>
      <w:r>
        <w:rPr>
          <w:i/>
          <w:sz w:val="24"/>
        </w:rPr>
        <w:t>database</w:t>
      </w:r>
      <w:r>
        <w:rPr>
          <w:sz w:val="24"/>
        </w:rPr>
        <w:t>;</w:t>
      </w:r>
    </w:p>
    <w:p>
      <w:pPr>
        <w:pStyle w:val="ListParagraph"/>
        <w:numPr>
          <w:ilvl w:val="0"/>
          <w:numId w:val="613"/>
        </w:numPr>
        <w:tabs>
          <w:tab w:pos="1919" w:val="left" w:leader="none"/>
          <w:tab w:pos="1920" w:val="left" w:leader="none"/>
        </w:tabs>
        <w:spacing w:line="240" w:lineRule="auto" w:before="120" w:after="0"/>
        <w:ind w:left="1919" w:right="0" w:hanging="568"/>
        <w:jc w:val="left"/>
        <w:rPr>
          <w:sz w:val="24"/>
        </w:rPr>
      </w:pPr>
      <w:r>
        <w:rPr>
          <w:sz w:val="24"/>
        </w:rPr>
        <w:t>loading of </w:t>
      </w:r>
      <w:r>
        <w:rPr>
          <w:i/>
          <w:sz w:val="24"/>
        </w:rPr>
        <w:t>metering data </w:t>
      </w:r>
      <w:r>
        <w:rPr>
          <w:sz w:val="24"/>
        </w:rPr>
        <w:t>relating to meter churn;</w:t>
      </w:r>
      <w:r>
        <w:rPr>
          <w:spacing w:val="-4"/>
          <w:sz w:val="24"/>
        </w:rPr>
        <w:t> </w:t>
      </w:r>
      <w:r>
        <w:rPr>
          <w:sz w:val="24"/>
        </w:rPr>
        <w:t>and</w:t>
      </w:r>
    </w:p>
    <w:p>
      <w:pPr>
        <w:pStyle w:val="ListParagraph"/>
        <w:numPr>
          <w:ilvl w:val="0"/>
          <w:numId w:val="613"/>
        </w:numPr>
        <w:tabs>
          <w:tab w:pos="1918" w:val="left" w:leader="none"/>
          <w:tab w:pos="1919" w:val="left" w:leader="none"/>
        </w:tabs>
        <w:spacing w:line="240" w:lineRule="auto" w:before="120" w:after="0"/>
        <w:ind w:left="1918" w:right="0" w:hanging="567"/>
        <w:jc w:val="left"/>
        <w:rPr>
          <w:sz w:val="24"/>
        </w:rPr>
      </w:pPr>
      <w:r>
        <w:rPr>
          <w:sz w:val="24"/>
        </w:rPr>
        <w:t>storage and archiving of </w:t>
      </w:r>
      <w:r>
        <w:rPr>
          <w:i/>
          <w:sz w:val="24"/>
        </w:rPr>
        <w:t>metering data </w:t>
      </w:r>
      <w:r>
        <w:rPr>
          <w:sz w:val="24"/>
        </w:rPr>
        <w:t>and </w:t>
      </w:r>
      <w:r>
        <w:rPr>
          <w:i/>
          <w:sz w:val="24"/>
        </w:rPr>
        <w:t>validated metering data </w:t>
      </w:r>
      <w:r>
        <w:rPr>
          <w:sz w:val="24"/>
        </w:rPr>
        <w:t>from</w:t>
      </w:r>
      <w:r>
        <w:rPr>
          <w:spacing w:val="-11"/>
          <w:sz w:val="24"/>
        </w:rPr>
        <w:t> </w:t>
      </w:r>
      <w:r>
        <w:rPr>
          <w:sz w:val="24"/>
        </w:rPr>
        <w:t>the</w:t>
      </w:r>
    </w:p>
    <w:p>
      <w:pPr>
        <w:spacing w:before="0"/>
        <w:ind w:left="1919" w:right="0" w:firstLine="0"/>
        <w:jc w:val="left"/>
        <w:rPr>
          <w:sz w:val="24"/>
        </w:rPr>
      </w:pPr>
      <w:r>
        <w:rPr>
          <w:i/>
          <w:sz w:val="24"/>
        </w:rPr>
        <w:t>metering installation</w:t>
      </w:r>
      <w:r>
        <w:rPr>
          <w:sz w:val="24"/>
        </w:rPr>
        <w:t>.</w:t>
      </w:r>
    </w:p>
    <w:p>
      <w:pPr>
        <w:pStyle w:val="BodyText"/>
        <w:spacing w:before="10"/>
        <w:ind w:firstLine="0"/>
        <w:jc w:val="left"/>
        <w:rPr>
          <w:sz w:val="20"/>
        </w:rPr>
      </w:pPr>
    </w:p>
    <w:p>
      <w:pPr>
        <w:pStyle w:val="Heading4"/>
        <w:ind w:left="218" w:firstLine="0"/>
      </w:pPr>
      <w:bookmarkStart w:name="S7A.8.9.2 Metering data services databas" w:id="2139"/>
      <w:bookmarkEnd w:id="2139"/>
      <w:r>
        <w:rPr>
          <w:b w:val="0"/>
        </w:rPr>
      </w:r>
      <w:bookmarkStart w:name="_bookmark892" w:id="2140"/>
      <w:bookmarkEnd w:id="2140"/>
      <w:r>
        <w:rPr>
          <w:b w:val="0"/>
        </w:rPr>
      </w:r>
      <w:r>
        <w:rPr/>
        <w:t>S7A.8.9.2 Metering data services database</w:t>
      </w:r>
    </w:p>
    <w:p>
      <w:pPr>
        <w:spacing w:before="120"/>
        <w:ind w:left="1352" w:right="415" w:firstLine="0"/>
        <w:jc w:val="both"/>
        <w:rPr>
          <w:sz w:val="24"/>
        </w:rPr>
      </w:pPr>
      <w:r>
        <w:rPr>
          <w:sz w:val="24"/>
        </w:rPr>
        <w:t>Each </w:t>
      </w:r>
      <w:r>
        <w:rPr>
          <w:i/>
          <w:sz w:val="24"/>
        </w:rPr>
        <w:t>Metering Data Provider </w:t>
      </w:r>
      <w:r>
        <w:rPr>
          <w:sz w:val="24"/>
        </w:rPr>
        <w:t>must maintain and operate a </w:t>
      </w:r>
      <w:r>
        <w:rPr>
          <w:i/>
          <w:sz w:val="24"/>
        </w:rPr>
        <w:t>metering data services </w:t>
      </w:r>
      <w:r>
        <w:rPr>
          <w:i/>
          <w:sz w:val="24"/>
        </w:rPr>
        <w:t>database </w:t>
      </w:r>
      <w:r>
        <w:rPr>
          <w:sz w:val="24"/>
        </w:rPr>
        <w:t>that provides a full audit trail and version control capability. This functionality must be applied to:</w:t>
      </w:r>
    </w:p>
    <w:p>
      <w:pPr>
        <w:pStyle w:val="ListParagraph"/>
        <w:numPr>
          <w:ilvl w:val="0"/>
          <w:numId w:val="614"/>
        </w:numPr>
        <w:tabs>
          <w:tab w:pos="1918" w:val="left" w:leader="none"/>
          <w:tab w:pos="1919" w:val="left" w:leader="none"/>
        </w:tabs>
        <w:spacing w:line="240" w:lineRule="auto" w:before="120" w:after="0"/>
        <w:ind w:left="1918" w:right="0" w:hanging="567"/>
        <w:jc w:val="left"/>
        <w:rPr>
          <w:sz w:val="24"/>
        </w:rPr>
      </w:pPr>
      <w:r>
        <w:rPr>
          <w:i/>
          <w:sz w:val="24"/>
        </w:rPr>
        <w:t>metering data</w:t>
      </w:r>
      <w:r>
        <w:rPr>
          <w:sz w:val="24"/>
        </w:rPr>
        <w:t>;</w:t>
      </w:r>
    </w:p>
    <w:p>
      <w:pPr>
        <w:pStyle w:val="ListParagraph"/>
        <w:numPr>
          <w:ilvl w:val="0"/>
          <w:numId w:val="614"/>
        </w:numPr>
        <w:tabs>
          <w:tab w:pos="1918" w:val="left" w:leader="none"/>
          <w:tab w:pos="1919" w:val="left" w:leader="none"/>
        </w:tabs>
        <w:spacing w:line="240" w:lineRule="auto" w:before="120" w:after="0"/>
        <w:ind w:left="1918" w:right="0" w:hanging="567"/>
        <w:jc w:val="left"/>
        <w:rPr>
          <w:sz w:val="24"/>
        </w:rPr>
      </w:pPr>
      <w:r>
        <w:rPr>
          <w:sz w:val="24"/>
        </w:rPr>
        <w:t>assigned data quality</w:t>
      </w:r>
      <w:r>
        <w:rPr>
          <w:spacing w:val="-1"/>
          <w:sz w:val="24"/>
        </w:rPr>
        <w:t> </w:t>
      </w:r>
      <w:r>
        <w:rPr>
          <w:sz w:val="24"/>
        </w:rPr>
        <w:t>flags;</w:t>
      </w:r>
    </w:p>
    <w:p>
      <w:pPr>
        <w:pStyle w:val="ListParagraph"/>
        <w:numPr>
          <w:ilvl w:val="0"/>
          <w:numId w:val="614"/>
        </w:numPr>
        <w:tabs>
          <w:tab w:pos="1918" w:val="left" w:leader="none"/>
          <w:tab w:pos="1919" w:val="left" w:leader="none"/>
        </w:tabs>
        <w:spacing w:line="240" w:lineRule="auto" w:before="120" w:after="0"/>
        <w:ind w:left="1918" w:right="0" w:hanging="567"/>
        <w:jc w:val="left"/>
        <w:rPr>
          <w:sz w:val="24"/>
        </w:rPr>
      </w:pPr>
      <w:r>
        <w:rPr>
          <w:sz w:val="24"/>
        </w:rPr>
        <w:t>substitution and estimation</w:t>
      </w:r>
      <w:r>
        <w:rPr>
          <w:spacing w:val="-1"/>
          <w:sz w:val="24"/>
        </w:rPr>
        <w:t> </w:t>
      </w:r>
      <w:r>
        <w:rPr>
          <w:sz w:val="24"/>
        </w:rPr>
        <w:t>types;</w:t>
      </w:r>
    </w:p>
    <w:p>
      <w:pPr>
        <w:pStyle w:val="ListParagraph"/>
        <w:numPr>
          <w:ilvl w:val="0"/>
          <w:numId w:val="614"/>
        </w:numPr>
        <w:tabs>
          <w:tab w:pos="1918" w:val="left" w:leader="none"/>
          <w:tab w:pos="1919" w:val="left" w:leader="none"/>
        </w:tabs>
        <w:spacing w:line="240" w:lineRule="auto" w:before="120" w:after="0"/>
        <w:ind w:left="1918" w:right="0" w:hanging="567"/>
        <w:jc w:val="left"/>
        <w:rPr>
          <w:sz w:val="24"/>
        </w:rPr>
      </w:pPr>
      <w:r>
        <w:rPr>
          <w:i/>
          <w:sz w:val="24"/>
        </w:rPr>
        <w:t>meter </w:t>
      </w:r>
      <w:r>
        <w:rPr>
          <w:sz w:val="24"/>
        </w:rPr>
        <w:t>alarms;</w:t>
      </w:r>
    </w:p>
    <w:p>
      <w:pPr>
        <w:pStyle w:val="ListParagraph"/>
        <w:numPr>
          <w:ilvl w:val="0"/>
          <w:numId w:val="614"/>
        </w:numPr>
        <w:tabs>
          <w:tab w:pos="1918" w:val="left" w:leader="none"/>
          <w:tab w:pos="1919" w:val="left" w:leader="none"/>
        </w:tabs>
        <w:spacing w:line="240" w:lineRule="auto" w:before="120" w:after="0"/>
        <w:ind w:left="1918" w:right="0" w:hanging="567"/>
        <w:jc w:val="left"/>
        <w:rPr>
          <w:sz w:val="24"/>
        </w:rPr>
      </w:pPr>
      <w:r>
        <w:rPr>
          <w:sz w:val="24"/>
        </w:rPr>
        <w:t>metering register</w:t>
      </w:r>
      <w:r>
        <w:rPr>
          <w:spacing w:val="-1"/>
          <w:sz w:val="24"/>
        </w:rPr>
        <w:t> </w:t>
      </w:r>
      <w:r>
        <w:rPr>
          <w:sz w:val="24"/>
        </w:rPr>
        <w:t>information;</w:t>
      </w:r>
    </w:p>
    <w:p>
      <w:pPr>
        <w:pStyle w:val="ListParagraph"/>
        <w:numPr>
          <w:ilvl w:val="0"/>
          <w:numId w:val="614"/>
        </w:numPr>
        <w:tabs>
          <w:tab w:pos="1919" w:val="left" w:leader="none"/>
          <w:tab w:pos="1920" w:val="left" w:leader="none"/>
        </w:tabs>
        <w:spacing w:line="240" w:lineRule="auto" w:before="120" w:after="0"/>
        <w:ind w:left="1919" w:right="415" w:hanging="567"/>
        <w:jc w:val="left"/>
        <w:rPr>
          <w:sz w:val="24"/>
        </w:rPr>
      </w:pPr>
      <w:r>
        <w:rPr>
          <w:sz w:val="24"/>
        </w:rPr>
        <w:t>the delivery of </w:t>
      </w:r>
      <w:r>
        <w:rPr>
          <w:i/>
          <w:sz w:val="24"/>
        </w:rPr>
        <w:t>metering data </w:t>
      </w:r>
      <w:r>
        <w:rPr>
          <w:sz w:val="24"/>
        </w:rPr>
        <w:t>to </w:t>
      </w:r>
      <w:r>
        <w:rPr>
          <w:i/>
          <w:sz w:val="24"/>
        </w:rPr>
        <w:t>Registered Participants</w:t>
      </w:r>
      <w:r>
        <w:rPr>
          <w:sz w:val="24"/>
        </w:rPr>
        <w:t>, financially responsible participants and </w:t>
      </w:r>
      <w:r>
        <w:rPr>
          <w:i/>
          <w:sz w:val="24"/>
        </w:rPr>
        <w:t>NTESMO</w:t>
      </w:r>
      <w:r>
        <w:rPr>
          <w:sz w:val="24"/>
        </w:rPr>
        <w:t>;</w:t>
      </w:r>
      <w:r>
        <w:rPr>
          <w:spacing w:val="-1"/>
          <w:sz w:val="24"/>
        </w:rPr>
        <w:t> </w:t>
      </w:r>
      <w:r>
        <w:rPr>
          <w:sz w:val="24"/>
        </w:rPr>
        <w:t>and</w:t>
      </w:r>
    </w:p>
    <w:p>
      <w:pPr>
        <w:pStyle w:val="ListParagraph"/>
        <w:numPr>
          <w:ilvl w:val="0"/>
          <w:numId w:val="614"/>
        </w:numPr>
        <w:tabs>
          <w:tab w:pos="1918" w:val="left" w:leader="none"/>
          <w:tab w:pos="1919" w:val="left" w:leader="none"/>
        </w:tabs>
        <w:spacing w:line="240" w:lineRule="auto" w:before="120" w:after="0"/>
        <w:ind w:left="1919" w:right="417" w:hanging="567"/>
        <w:jc w:val="left"/>
        <w:rPr>
          <w:sz w:val="24"/>
        </w:rPr>
      </w:pPr>
      <w:r>
        <w:rPr>
          <w:sz w:val="24"/>
        </w:rPr>
        <w:t>the mapping of all </w:t>
      </w:r>
      <w:r>
        <w:rPr>
          <w:i/>
          <w:sz w:val="24"/>
        </w:rPr>
        <w:t>metering </w:t>
      </w:r>
      <w:r>
        <w:rPr>
          <w:sz w:val="24"/>
        </w:rPr>
        <w:t>data streams (including logical </w:t>
      </w:r>
      <w:r>
        <w:rPr>
          <w:i/>
          <w:sz w:val="24"/>
        </w:rPr>
        <w:t>metering </w:t>
      </w:r>
      <w:r>
        <w:rPr>
          <w:sz w:val="24"/>
        </w:rPr>
        <w:t>data streams).</w:t>
      </w:r>
    </w:p>
    <w:p>
      <w:pPr>
        <w:pStyle w:val="BodyText"/>
        <w:spacing w:before="10"/>
        <w:ind w:firstLine="0"/>
        <w:jc w:val="left"/>
        <w:rPr>
          <w:sz w:val="20"/>
        </w:rPr>
      </w:pPr>
    </w:p>
    <w:p>
      <w:pPr>
        <w:pStyle w:val="Heading4"/>
        <w:ind w:left="218" w:firstLine="0"/>
      </w:pPr>
      <w:bookmarkStart w:name="S7A.8.9.3 Exception reports" w:id="2141"/>
      <w:bookmarkEnd w:id="2141"/>
      <w:r>
        <w:rPr>
          <w:b w:val="0"/>
        </w:rPr>
      </w:r>
      <w:bookmarkStart w:name="_bookmark893" w:id="2142"/>
      <w:bookmarkEnd w:id="2142"/>
      <w:r>
        <w:rPr>
          <w:b w:val="0"/>
        </w:rPr>
      </w:r>
      <w:r>
        <w:rPr/>
        <w:t>S7A.8.9.3 Exception reports</w:t>
      </w:r>
    </w:p>
    <w:p>
      <w:pPr>
        <w:pStyle w:val="BodyText"/>
        <w:ind w:left="1352" w:right="415" w:firstLine="0"/>
      </w:pPr>
      <w:r>
        <w:rPr/>
        <w:t>Each </w:t>
      </w:r>
      <w:r>
        <w:rPr>
          <w:i/>
        </w:rPr>
        <w:t>Metering Data Provider </w:t>
      </w:r>
      <w:r>
        <w:rPr/>
        <w:t>must maintain, operate and monitor a system that supports the detection of system or process errors. These exception reports must include, but not be limited to:</w:t>
      </w:r>
    </w:p>
    <w:p>
      <w:pPr>
        <w:pStyle w:val="ListParagraph"/>
        <w:numPr>
          <w:ilvl w:val="0"/>
          <w:numId w:val="615"/>
        </w:numPr>
        <w:tabs>
          <w:tab w:pos="1918" w:val="left" w:leader="none"/>
          <w:tab w:pos="1919" w:val="left" w:leader="none"/>
        </w:tabs>
        <w:spacing w:line="240" w:lineRule="auto" w:before="120" w:after="0"/>
        <w:ind w:left="1919" w:right="416" w:hanging="567"/>
        <w:jc w:val="left"/>
        <w:rPr>
          <w:sz w:val="24"/>
        </w:rPr>
      </w:pPr>
      <w:r>
        <w:rPr>
          <w:sz w:val="24"/>
        </w:rPr>
        <w:t>missed reads and missing intervals of </w:t>
      </w:r>
      <w:r>
        <w:rPr>
          <w:i/>
          <w:sz w:val="24"/>
        </w:rPr>
        <w:t>metering data </w:t>
      </w:r>
      <w:r>
        <w:rPr>
          <w:sz w:val="24"/>
        </w:rPr>
        <w:t>within the </w:t>
      </w:r>
      <w:r>
        <w:rPr>
          <w:i/>
          <w:sz w:val="24"/>
        </w:rPr>
        <w:t>metering </w:t>
      </w:r>
      <w:r>
        <w:rPr>
          <w:i/>
          <w:sz w:val="24"/>
        </w:rPr>
        <w:t>data services</w:t>
      </w:r>
      <w:r>
        <w:rPr>
          <w:i/>
          <w:spacing w:val="-2"/>
          <w:sz w:val="24"/>
        </w:rPr>
        <w:t> </w:t>
      </w:r>
      <w:r>
        <w:rPr>
          <w:i/>
          <w:sz w:val="24"/>
        </w:rPr>
        <w:t>database</w:t>
      </w:r>
      <w:r>
        <w:rPr>
          <w:sz w:val="24"/>
        </w:rPr>
        <w:t>;</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sz w:val="24"/>
        </w:rPr>
        <w:t>long term substitutions and</w:t>
      </w:r>
      <w:r>
        <w:rPr>
          <w:spacing w:val="-1"/>
          <w:sz w:val="24"/>
        </w:rPr>
        <w:t> </w:t>
      </w:r>
      <w:r>
        <w:rPr>
          <w:sz w:val="24"/>
        </w:rPr>
        <w:t>estimations;</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i/>
          <w:sz w:val="24"/>
        </w:rPr>
        <w:t>metering data </w:t>
      </w:r>
      <w:r>
        <w:rPr>
          <w:sz w:val="24"/>
        </w:rPr>
        <w:t>errors and data</w:t>
      </w:r>
      <w:r>
        <w:rPr>
          <w:spacing w:val="-2"/>
          <w:sz w:val="24"/>
        </w:rPr>
        <w:t> </w:t>
      </w:r>
      <w:r>
        <w:rPr>
          <w:sz w:val="24"/>
        </w:rPr>
        <w:t>overlaps;</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sz w:val="24"/>
        </w:rPr>
        <w:t>validation or metering register</w:t>
      </w:r>
      <w:r>
        <w:rPr>
          <w:spacing w:val="-1"/>
          <w:sz w:val="24"/>
        </w:rPr>
        <w:t> </w:t>
      </w:r>
      <w:r>
        <w:rPr>
          <w:sz w:val="24"/>
        </w:rPr>
        <w:t>errors;</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sz w:val="24"/>
        </w:rPr>
        <w:t>failed batch processing, database errors and hardware</w:t>
      </w:r>
      <w:r>
        <w:rPr>
          <w:spacing w:val="-1"/>
          <w:sz w:val="24"/>
        </w:rPr>
        <w:t> </w:t>
      </w:r>
      <w:r>
        <w:rPr>
          <w:sz w:val="24"/>
        </w:rPr>
        <w:t>failures;</w:t>
      </w:r>
    </w:p>
    <w:p>
      <w:pPr>
        <w:pStyle w:val="ListParagraph"/>
        <w:numPr>
          <w:ilvl w:val="0"/>
          <w:numId w:val="615"/>
        </w:numPr>
        <w:tabs>
          <w:tab w:pos="1919" w:val="left" w:leader="none"/>
          <w:tab w:pos="1920" w:val="left" w:leader="none"/>
        </w:tabs>
        <w:spacing w:line="240" w:lineRule="auto" w:before="120" w:after="0"/>
        <w:ind w:left="1919" w:right="0" w:hanging="568"/>
        <w:jc w:val="left"/>
        <w:rPr>
          <w:sz w:val="24"/>
        </w:rPr>
      </w:pPr>
      <w:r>
        <w:rPr>
          <w:sz w:val="24"/>
        </w:rPr>
        <w:t>the capture of file syntax errors, failed and rejected </w:t>
      </w:r>
      <w:r>
        <w:rPr>
          <w:i/>
          <w:sz w:val="24"/>
        </w:rPr>
        <w:t>metering data</w:t>
      </w:r>
      <w:r>
        <w:rPr>
          <w:i/>
          <w:spacing w:val="-13"/>
          <w:sz w:val="24"/>
        </w:rPr>
        <w:t> </w:t>
      </w:r>
      <w:r>
        <w:rPr>
          <w:sz w:val="24"/>
        </w:rPr>
        <w:t>deliveries;</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sz w:val="24"/>
        </w:rPr>
        <w:t>status management of collection interfaces;</w:t>
      </w:r>
      <w:r>
        <w:rPr>
          <w:spacing w:val="-1"/>
          <w:sz w:val="24"/>
        </w:rPr>
        <w:t> </w:t>
      </w:r>
      <w:r>
        <w:rPr>
          <w:sz w:val="24"/>
        </w:rPr>
        <w:t>and</w:t>
      </w:r>
    </w:p>
    <w:p>
      <w:pPr>
        <w:pStyle w:val="ListParagraph"/>
        <w:numPr>
          <w:ilvl w:val="0"/>
          <w:numId w:val="615"/>
        </w:numPr>
        <w:tabs>
          <w:tab w:pos="1918" w:val="left" w:leader="none"/>
          <w:tab w:pos="1919" w:val="left" w:leader="none"/>
        </w:tabs>
        <w:spacing w:line="240" w:lineRule="auto" w:before="120" w:after="0"/>
        <w:ind w:left="1918" w:right="0" w:hanging="567"/>
        <w:jc w:val="left"/>
        <w:rPr>
          <w:sz w:val="24"/>
        </w:rPr>
      </w:pPr>
      <w:r>
        <w:rPr>
          <w:sz w:val="24"/>
        </w:rPr>
        <w:t>status management of </w:t>
      </w:r>
      <w:r>
        <w:rPr>
          <w:i/>
          <w:sz w:val="24"/>
        </w:rPr>
        <w:t>metering installation</w:t>
      </w:r>
      <w:r>
        <w:rPr>
          <w:i/>
          <w:spacing w:val="-4"/>
          <w:sz w:val="24"/>
        </w:rPr>
        <w:t> </w:t>
      </w:r>
      <w:r>
        <w:rPr>
          <w:i/>
          <w:sz w:val="24"/>
        </w:rPr>
        <w:t>malfunctions</w:t>
      </w:r>
      <w:r>
        <w:rPr>
          <w:sz w:val="24"/>
        </w:rPr>
        <w:t>.</w:t>
      </w:r>
    </w:p>
    <w:p>
      <w:pPr>
        <w:pStyle w:val="BodyText"/>
        <w:spacing w:before="10"/>
        <w:ind w:firstLine="0"/>
        <w:jc w:val="left"/>
        <w:rPr>
          <w:sz w:val="20"/>
        </w:rPr>
      </w:pPr>
    </w:p>
    <w:p>
      <w:pPr>
        <w:pStyle w:val="Heading4"/>
        <w:ind w:left="218" w:firstLine="0"/>
      </w:pPr>
      <w:bookmarkStart w:name="S7A.8.9.4 Collection process requirement" w:id="2143"/>
      <w:bookmarkEnd w:id="2143"/>
      <w:r>
        <w:rPr>
          <w:b w:val="0"/>
        </w:rPr>
      </w:r>
      <w:bookmarkStart w:name="_bookmark894" w:id="2144"/>
      <w:bookmarkEnd w:id="2144"/>
      <w:r>
        <w:rPr>
          <w:b w:val="0"/>
        </w:rPr>
      </w:r>
      <w:r>
        <w:rPr/>
        <w:t>S7A.8.9.4 Collection process requirements</w:t>
      </w:r>
    </w:p>
    <w:p>
      <w:pPr>
        <w:pStyle w:val="ListParagraph"/>
        <w:numPr>
          <w:ilvl w:val="0"/>
          <w:numId w:val="616"/>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use reasonable endeavours to ensure actual </w:t>
      </w:r>
      <w:r>
        <w:rPr>
          <w:i/>
          <w:sz w:val="24"/>
        </w:rPr>
        <w:t>meter </w:t>
      </w:r>
      <w:r>
        <w:rPr>
          <w:sz w:val="24"/>
        </w:rPr>
        <w:t>readings and occurrences of </w:t>
      </w:r>
      <w:r>
        <w:rPr>
          <w:i/>
          <w:sz w:val="24"/>
        </w:rPr>
        <w:t>meter </w:t>
      </w:r>
      <w:r>
        <w:rPr>
          <w:sz w:val="24"/>
        </w:rPr>
        <w:t>alarms are collected for all </w:t>
      </w:r>
      <w:r>
        <w:rPr>
          <w:i/>
          <w:sz w:val="24"/>
        </w:rPr>
        <w:t>connection</w:t>
      </w:r>
      <w:r>
        <w:rPr>
          <w:i/>
          <w:spacing w:val="-1"/>
          <w:sz w:val="24"/>
        </w:rPr>
        <w:t> </w:t>
      </w:r>
      <w:r>
        <w:rPr>
          <w:i/>
          <w:sz w:val="24"/>
        </w:rPr>
        <w:t>points</w:t>
      </w:r>
      <w:r>
        <w:rPr>
          <w:sz w:val="24"/>
        </w:rPr>
        <w:t>.</w:t>
      </w:r>
    </w:p>
    <w:p>
      <w:pPr>
        <w:pStyle w:val="ListParagraph"/>
        <w:numPr>
          <w:ilvl w:val="0"/>
          <w:numId w:val="616"/>
        </w:numPr>
        <w:tabs>
          <w:tab w:pos="1919" w:val="left" w:leader="none"/>
        </w:tabs>
        <w:spacing w:line="240" w:lineRule="auto" w:before="120" w:after="0"/>
        <w:ind w:left="1918" w:right="0" w:hanging="567"/>
        <w:jc w:val="both"/>
        <w:rPr>
          <w:sz w:val="24"/>
        </w:rPr>
      </w:pPr>
      <w:r>
        <w:rPr>
          <w:sz w:val="24"/>
        </w:rPr>
        <w:t>Each </w:t>
      </w:r>
      <w:r>
        <w:rPr>
          <w:i/>
          <w:sz w:val="24"/>
        </w:rPr>
        <w:t>Metering Data Provider </w:t>
      </w:r>
      <w:r>
        <w:rPr>
          <w:sz w:val="24"/>
        </w:rPr>
        <w:t>must operate a process</w:t>
      </w:r>
      <w:r>
        <w:rPr>
          <w:spacing w:val="-3"/>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1"/>
          <w:numId w:val="616"/>
        </w:numPr>
        <w:tabs>
          <w:tab w:pos="2486" w:val="left" w:leader="none"/>
        </w:tabs>
        <w:spacing w:line="240" w:lineRule="auto" w:before="83" w:after="0"/>
        <w:ind w:left="2486" w:right="415" w:hanging="567"/>
        <w:jc w:val="both"/>
        <w:rPr>
          <w:sz w:val="24"/>
        </w:rPr>
      </w:pPr>
      <w:r>
        <w:rPr>
          <w:sz w:val="24"/>
        </w:rPr>
        <w:t>records and logs faults and problems associated with the reading function of </w:t>
      </w:r>
      <w:r>
        <w:rPr>
          <w:i/>
          <w:sz w:val="24"/>
        </w:rPr>
        <w:t>meters</w:t>
      </w:r>
      <w:r>
        <w:rPr>
          <w:sz w:val="24"/>
        </w:rPr>
        <w:t>, and this process must record and log, but is not limited to,</w:t>
      </w:r>
      <w:r>
        <w:rPr>
          <w:spacing w:val="-1"/>
          <w:sz w:val="24"/>
        </w:rPr>
        <w:t> </w:t>
      </w:r>
      <w:r>
        <w:rPr>
          <w:sz w:val="24"/>
        </w:rPr>
        <w:t>any:</w:t>
      </w:r>
    </w:p>
    <w:p>
      <w:pPr>
        <w:pStyle w:val="ListParagraph"/>
        <w:numPr>
          <w:ilvl w:val="2"/>
          <w:numId w:val="616"/>
        </w:numPr>
        <w:tabs>
          <w:tab w:pos="3052" w:val="left" w:leader="none"/>
          <w:tab w:pos="3053" w:val="left" w:leader="none"/>
        </w:tabs>
        <w:spacing w:line="240" w:lineRule="auto" w:before="120" w:after="0"/>
        <w:ind w:left="3052" w:right="0" w:hanging="567"/>
        <w:jc w:val="left"/>
        <w:rPr>
          <w:sz w:val="24"/>
        </w:rPr>
      </w:pPr>
      <w:r>
        <w:rPr>
          <w:sz w:val="24"/>
        </w:rPr>
        <w:t>access problems;</w:t>
      </w:r>
    </w:p>
    <w:p>
      <w:pPr>
        <w:pStyle w:val="ListParagraph"/>
        <w:numPr>
          <w:ilvl w:val="2"/>
          <w:numId w:val="616"/>
        </w:numPr>
        <w:tabs>
          <w:tab w:pos="3052" w:val="left" w:leader="none"/>
          <w:tab w:pos="3054" w:val="left" w:leader="none"/>
        </w:tabs>
        <w:spacing w:line="240" w:lineRule="auto" w:before="120" w:after="0"/>
        <w:ind w:left="3053" w:right="0" w:hanging="568"/>
        <w:jc w:val="left"/>
        <w:rPr>
          <w:sz w:val="24"/>
        </w:rPr>
      </w:pPr>
      <w:r>
        <w:rPr>
          <w:i/>
          <w:sz w:val="24"/>
        </w:rPr>
        <w:t>metering installation </w:t>
      </w:r>
      <w:r>
        <w:rPr>
          <w:sz w:val="24"/>
        </w:rPr>
        <w:t>security</w:t>
      </w:r>
      <w:r>
        <w:rPr>
          <w:spacing w:val="-2"/>
          <w:sz w:val="24"/>
        </w:rPr>
        <w:t> </w:t>
      </w:r>
      <w:r>
        <w:rPr>
          <w:sz w:val="24"/>
        </w:rPr>
        <w:t>problems;</w:t>
      </w:r>
    </w:p>
    <w:p>
      <w:pPr>
        <w:pStyle w:val="ListParagraph"/>
        <w:numPr>
          <w:ilvl w:val="2"/>
          <w:numId w:val="616"/>
        </w:numPr>
        <w:tabs>
          <w:tab w:pos="3052" w:val="left" w:leader="none"/>
          <w:tab w:pos="3053" w:val="left" w:leader="none"/>
        </w:tabs>
        <w:spacing w:line="240" w:lineRule="auto" w:before="120" w:after="0"/>
        <w:ind w:left="3052" w:right="0" w:hanging="567"/>
        <w:jc w:val="left"/>
        <w:rPr>
          <w:sz w:val="24"/>
        </w:rPr>
      </w:pPr>
      <w:r>
        <w:rPr>
          <w:i/>
          <w:sz w:val="24"/>
        </w:rPr>
        <w:t>metering installation</w:t>
      </w:r>
      <w:r>
        <w:rPr>
          <w:i/>
          <w:spacing w:val="-1"/>
          <w:sz w:val="24"/>
        </w:rPr>
        <w:t> </w:t>
      </w:r>
      <w:r>
        <w:rPr>
          <w:sz w:val="24"/>
        </w:rPr>
        <w:t>faults;</w:t>
      </w:r>
    </w:p>
    <w:p>
      <w:pPr>
        <w:pStyle w:val="ListParagraph"/>
        <w:numPr>
          <w:ilvl w:val="2"/>
          <w:numId w:val="616"/>
        </w:numPr>
        <w:tabs>
          <w:tab w:pos="3052" w:val="left" w:leader="none"/>
          <w:tab w:pos="3054" w:val="left" w:leader="none"/>
        </w:tabs>
        <w:spacing w:line="240" w:lineRule="auto" w:before="120" w:after="0"/>
        <w:ind w:left="3053" w:right="0" w:hanging="568"/>
        <w:jc w:val="left"/>
        <w:rPr>
          <w:sz w:val="24"/>
        </w:rPr>
      </w:pPr>
      <w:r>
        <w:rPr>
          <w:sz w:val="24"/>
        </w:rPr>
        <w:t>read failures;</w:t>
      </w:r>
      <w:r>
        <w:rPr>
          <w:spacing w:val="-1"/>
          <w:sz w:val="24"/>
        </w:rPr>
        <w:t> </w:t>
      </w:r>
      <w:r>
        <w:rPr>
          <w:sz w:val="24"/>
        </w:rPr>
        <w:t>and</w:t>
      </w:r>
    </w:p>
    <w:p>
      <w:pPr>
        <w:pStyle w:val="ListParagraph"/>
        <w:numPr>
          <w:ilvl w:val="2"/>
          <w:numId w:val="616"/>
        </w:numPr>
        <w:tabs>
          <w:tab w:pos="3052" w:val="left" w:leader="none"/>
          <w:tab w:pos="3053" w:val="left" w:leader="none"/>
        </w:tabs>
        <w:spacing w:line="240" w:lineRule="auto" w:before="120" w:after="0"/>
        <w:ind w:left="3052" w:right="0" w:hanging="567"/>
        <w:jc w:val="left"/>
        <w:rPr>
          <w:sz w:val="24"/>
        </w:rPr>
      </w:pPr>
      <w:r>
        <w:rPr>
          <w:i/>
          <w:sz w:val="24"/>
        </w:rPr>
        <w:t>metering installation </w:t>
      </w:r>
      <w:r>
        <w:rPr>
          <w:sz w:val="24"/>
        </w:rPr>
        <w:t>time synchronisation errors;</w:t>
      </w:r>
      <w:r>
        <w:rPr>
          <w:spacing w:val="-3"/>
          <w:sz w:val="24"/>
        </w:rPr>
        <w:t> </w:t>
      </w:r>
      <w:r>
        <w:rPr>
          <w:sz w:val="24"/>
        </w:rPr>
        <w:t>and</w:t>
      </w:r>
    </w:p>
    <w:p>
      <w:pPr>
        <w:pStyle w:val="ListParagraph"/>
        <w:numPr>
          <w:ilvl w:val="1"/>
          <w:numId w:val="616"/>
        </w:numPr>
        <w:tabs>
          <w:tab w:pos="2486" w:val="left" w:leader="none"/>
        </w:tabs>
        <w:spacing w:line="240" w:lineRule="auto" w:before="120" w:after="0"/>
        <w:ind w:left="2486" w:right="414" w:hanging="567"/>
        <w:jc w:val="both"/>
        <w:rPr>
          <w:sz w:val="24"/>
        </w:rPr>
      </w:pPr>
      <w:r>
        <w:rPr>
          <w:sz w:val="24"/>
        </w:rPr>
        <w:t>supports the </w:t>
      </w:r>
      <w:r>
        <w:rPr>
          <w:i/>
          <w:sz w:val="24"/>
        </w:rPr>
        <w:t>Metering Coordinator</w:t>
      </w:r>
      <w:r>
        <w:rPr>
          <w:sz w:val="24"/>
        </w:rPr>
        <w:t>, the </w:t>
      </w:r>
      <w:r>
        <w:rPr>
          <w:i/>
          <w:sz w:val="24"/>
        </w:rPr>
        <w:t>Metering Provider</w:t>
      </w:r>
      <w:r>
        <w:rPr>
          <w:sz w:val="24"/>
        </w:rPr>
        <w:t>, or both, in the rectification of any </w:t>
      </w:r>
      <w:r>
        <w:rPr>
          <w:i/>
          <w:sz w:val="24"/>
        </w:rPr>
        <w:t>metering installation malfunctions </w:t>
      </w:r>
      <w:r>
        <w:rPr>
          <w:sz w:val="24"/>
        </w:rPr>
        <w:t>or problems associated with the reading function of</w:t>
      </w:r>
      <w:r>
        <w:rPr>
          <w:spacing w:val="-2"/>
          <w:sz w:val="24"/>
        </w:rPr>
        <w:t> </w:t>
      </w:r>
      <w:r>
        <w:rPr>
          <w:i/>
          <w:sz w:val="24"/>
        </w:rPr>
        <w:t>meters</w:t>
      </w:r>
      <w:r>
        <w:rPr>
          <w:sz w:val="24"/>
        </w:rPr>
        <w:t>.</w:t>
      </w:r>
    </w:p>
    <w:p>
      <w:pPr>
        <w:pStyle w:val="ListParagraph"/>
        <w:numPr>
          <w:ilvl w:val="0"/>
          <w:numId w:val="616"/>
        </w:numPr>
        <w:tabs>
          <w:tab w:pos="1919" w:val="left" w:leader="none"/>
        </w:tabs>
        <w:spacing w:line="240" w:lineRule="auto" w:before="120" w:after="0"/>
        <w:ind w:left="1919" w:right="415" w:hanging="567"/>
        <w:jc w:val="both"/>
        <w:rPr>
          <w:sz w:val="24"/>
        </w:rPr>
      </w:pPr>
      <w:r>
        <w:rPr>
          <w:sz w:val="24"/>
        </w:rPr>
        <w:t>On request by the financially responsible participant, a </w:t>
      </w:r>
      <w:r>
        <w:rPr>
          <w:i/>
          <w:sz w:val="24"/>
        </w:rPr>
        <w:t>Metering Data </w:t>
      </w:r>
      <w:r>
        <w:rPr>
          <w:i/>
          <w:sz w:val="24"/>
        </w:rPr>
        <w:t>Provider </w:t>
      </w:r>
      <w:r>
        <w:rPr>
          <w:sz w:val="24"/>
        </w:rPr>
        <w:t>must use reasonable endeavours to carry out a special </w:t>
      </w:r>
      <w:r>
        <w:rPr>
          <w:i/>
          <w:sz w:val="24"/>
        </w:rPr>
        <w:t>meter </w:t>
      </w:r>
      <w:r>
        <w:rPr>
          <w:sz w:val="24"/>
        </w:rPr>
        <w:t>reading or final reading within 3 </w:t>
      </w:r>
      <w:r>
        <w:rPr>
          <w:i/>
          <w:sz w:val="24"/>
        </w:rPr>
        <w:t>business days </w:t>
      </w:r>
      <w:r>
        <w:rPr>
          <w:sz w:val="24"/>
        </w:rPr>
        <w:t>of the receipt of the request unless an alternative timeframe has been</w:t>
      </w:r>
      <w:r>
        <w:rPr>
          <w:spacing w:val="-2"/>
          <w:sz w:val="24"/>
        </w:rPr>
        <w:t> </w:t>
      </w:r>
      <w:r>
        <w:rPr>
          <w:sz w:val="24"/>
        </w:rPr>
        <w:t>agreed.</w:t>
      </w:r>
    </w:p>
    <w:p>
      <w:pPr>
        <w:pStyle w:val="BodyText"/>
        <w:spacing w:before="10"/>
        <w:ind w:firstLine="0"/>
        <w:jc w:val="left"/>
        <w:rPr>
          <w:sz w:val="20"/>
        </w:rPr>
      </w:pPr>
    </w:p>
    <w:p>
      <w:pPr>
        <w:pStyle w:val="Heading4"/>
        <w:ind w:left="1352" w:right="548"/>
      </w:pPr>
      <w:bookmarkStart w:name="S7A.8.9.5 Specific collection process re" w:id="2145"/>
      <w:bookmarkEnd w:id="2145"/>
      <w:r>
        <w:rPr>
          <w:b w:val="0"/>
        </w:rPr>
      </w:r>
      <w:bookmarkStart w:name="_bookmark895" w:id="2146"/>
      <w:bookmarkEnd w:id="2146"/>
      <w:r>
        <w:rPr>
          <w:b w:val="0"/>
        </w:rPr>
      </w:r>
      <w:r>
        <w:rPr/>
        <w:t>S7A.8.9.5 Specific collection process requirements for remotely read metering installations</w:t>
      </w:r>
    </w:p>
    <w:p>
      <w:pPr>
        <w:pStyle w:val="ListParagraph"/>
        <w:numPr>
          <w:ilvl w:val="0"/>
          <w:numId w:val="617"/>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be capable of initiating a </w:t>
      </w:r>
      <w:r>
        <w:rPr>
          <w:i/>
          <w:sz w:val="24"/>
        </w:rPr>
        <w:t>remote </w:t>
      </w:r>
      <w:r>
        <w:rPr>
          <w:i/>
          <w:sz w:val="24"/>
        </w:rPr>
        <w:t>acquisition </w:t>
      </w:r>
      <w:r>
        <w:rPr>
          <w:sz w:val="24"/>
        </w:rPr>
        <w:t>for </w:t>
      </w:r>
      <w:r>
        <w:rPr>
          <w:i/>
          <w:sz w:val="24"/>
        </w:rPr>
        <w:t>metering data </w:t>
      </w:r>
      <w:r>
        <w:rPr>
          <w:sz w:val="24"/>
        </w:rPr>
        <w:t>from type 1 to 3 </w:t>
      </w:r>
      <w:r>
        <w:rPr>
          <w:i/>
          <w:sz w:val="24"/>
        </w:rPr>
        <w:t>metering installations </w:t>
      </w:r>
      <w:r>
        <w:rPr>
          <w:sz w:val="24"/>
        </w:rPr>
        <w:t>where relevant </w:t>
      </w:r>
      <w:r>
        <w:rPr>
          <w:i/>
          <w:sz w:val="24"/>
        </w:rPr>
        <w:t>metering data </w:t>
      </w:r>
      <w:r>
        <w:rPr>
          <w:sz w:val="24"/>
        </w:rPr>
        <w:t>is missing, erroneous or has failed</w:t>
      </w:r>
      <w:r>
        <w:rPr>
          <w:spacing w:val="-9"/>
          <w:sz w:val="24"/>
        </w:rPr>
        <w:t> </w:t>
      </w:r>
      <w:r>
        <w:rPr>
          <w:sz w:val="24"/>
        </w:rPr>
        <w:t>validation.</w:t>
      </w:r>
    </w:p>
    <w:p>
      <w:pPr>
        <w:pStyle w:val="ListParagraph"/>
        <w:numPr>
          <w:ilvl w:val="0"/>
          <w:numId w:val="617"/>
        </w:numPr>
        <w:tabs>
          <w:tab w:pos="1919" w:val="left" w:leader="none"/>
        </w:tabs>
        <w:spacing w:line="240" w:lineRule="auto" w:before="120" w:after="0"/>
        <w:ind w:left="1918" w:right="0" w:hanging="567"/>
        <w:jc w:val="both"/>
        <w:rPr>
          <w:sz w:val="24"/>
        </w:rPr>
      </w:pPr>
      <w:r>
        <w:rPr>
          <w:sz w:val="24"/>
        </w:rPr>
        <w:t>Each </w:t>
      </w:r>
      <w:r>
        <w:rPr>
          <w:i/>
          <w:sz w:val="24"/>
        </w:rPr>
        <w:t>Metering Data Provider </w:t>
      </w:r>
      <w:r>
        <w:rPr>
          <w:sz w:val="24"/>
        </w:rPr>
        <w:t>must operate and maintain a process</w:t>
      </w:r>
      <w:r>
        <w:rPr>
          <w:spacing w:val="-4"/>
          <w:sz w:val="24"/>
        </w:rPr>
        <w:t> </w:t>
      </w:r>
      <w:r>
        <w:rPr>
          <w:sz w:val="24"/>
        </w:rPr>
        <w:t>that:</w:t>
      </w:r>
    </w:p>
    <w:p>
      <w:pPr>
        <w:pStyle w:val="ListParagraph"/>
        <w:numPr>
          <w:ilvl w:val="1"/>
          <w:numId w:val="617"/>
        </w:numPr>
        <w:tabs>
          <w:tab w:pos="2486" w:val="left" w:leader="none"/>
        </w:tabs>
        <w:spacing w:line="240" w:lineRule="auto" w:before="120" w:after="0"/>
        <w:ind w:left="2486" w:right="415" w:hanging="567"/>
        <w:jc w:val="both"/>
        <w:rPr>
          <w:sz w:val="24"/>
        </w:rPr>
      </w:pPr>
      <w:r>
        <w:rPr>
          <w:sz w:val="24"/>
        </w:rPr>
        <w:t>initiates an alternative method to collect </w:t>
      </w:r>
      <w:r>
        <w:rPr>
          <w:i/>
          <w:sz w:val="24"/>
        </w:rPr>
        <w:t>metering data </w:t>
      </w:r>
      <w:r>
        <w:rPr>
          <w:sz w:val="24"/>
        </w:rPr>
        <w:t>where </w:t>
      </w:r>
      <w:r>
        <w:rPr>
          <w:i/>
          <w:sz w:val="24"/>
        </w:rPr>
        <w:t>remote </w:t>
      </w:r>
      <w:r>
        <w:rPr>
          <w:i/>
          <w:sz w:val="24"/>
        </w:rPr>
        <w:t>acquisition </w:t>
      </w:r>
      <w:r>
        <w:rPr>
          <w:sz w:val="24"/>
        </w:rPr>
        <w:t>becomes unavailable;</w:t>
      </w:r>
      <w:r>
        <w:rPr>
          <w:spacing w:val="-1"/>
          <w:sz w:val="24"/>
        </w:rPr>
        <w:t> </w:t>
      </w:r>
      <w:r>
        <w:rPr>
          <w:sz w:val="24"/>
        </w:rPr>
        <w:t>and</w:t>
      </w:r>
    </w:p>
    <w:p>
      <w:pPr>
        <w:pStyle w:val="ListParagraph"/>
        <w:numPr>
          <w:ilvl w:val="1"/>
          <w:numId w:val="617"/>
        </w:numPr>
        <w:tabs>
          <w:tab w:pos="2486" w:val="left" w:leader="none"/>
        </w:tabs>
        <w:spacing w:line="240" w:lineRule="auto" w:before="120" w:after="0"/>
        <w:ind w:left="2486" w:right="416" w:hanging="567"/>
        <w:jc w:val="both"/>
        <w:rPr>
          <w:sz w:val="24"/>
        </w:rPr>
      </w:pPr>
      <w:r>
        <w:rPr>
          <w:sz w:val="24"/>
        </w:rPr>
        <w:t>provides a log detailing successful reading events for each </w:t>
      </w:r>
      <w:r>
        <w:rPr>
          <w:i/>
          <w:sz w:val="24"/>
        </w:rPr>
        <w:t>metering </w:t>
      </w:r>
      <w:r>
        <w:rPr>
          <w:i/>
          <w:sz w:val="24"/>
        </w:rPr>
        <w:t>installation</w:t>
      </w:r>
      <w:r>
        <w:rPr>
          <w:sz w:val="24"/>
        </w:rPr>
        <w:t>, or alternatively an exception report of failed </w:t>
      </w:r>
      <w:r>
        <w:rPr>
          <w:i/>
          <w:sz w:val="24"/>
        </w:rPr>
        <w:t>meter </w:t>
      </w:r>
      <w:r>
        <w:rPr>
          <w:sz w:val="24"/>
        </w:rPr>
        <w:t>readings.</w:t>
      </w:r>
    </w:p>
    <w:p>
      <w:pPr>
        <w:pStyle w:val="BodyText"/>
        <w:spacing w:before="10"/>
        <w:ind w:firstLine="0"/>
        <w:jc w:val="left"/>
        <w:rPr>
          <w:sz w:val="20"/>
        </w:rPr>
      </w:pPr>
    </w:p>
    <w:p>
      <w:pPr>
        <w:pStyle w:val="Heading4"/>
        <w:ind w:left="1352" w:right="508"/>
      </w:pPr>
      <w:bookmarkStart w:name="S7A.8.9.6 Specific collection process re" w:id="2147"/>
      <w:bookmarkEnd w:id="2147"/>
      <w:r>
        <w:rPr>
          <w:b w:val="0"/>
        </w:rPr>
      </w:r>
      <w:bookmarkStart w:name="_bookmark896" w:id="2148"/>
      <w:bookmarkEnd w:id="2148"/>
      <w:r>
        <w:rPr>
          <w:b w:val="0"/>
        </w:rPr>
      </w:r>
      <w:r>
        <w:rPr/>
        <w:t>S7A.8.9.6 Specific collection process requirements for manually read metering installations</w:t>
      </w:r>
    </w:p>
    <w:p>
      <w:pPr>
        <w:spacing w:before="120"/>
        <w:ind w:left="1352" w:right="0" w:firstLine="0"/>
        <w:jc w:val="both"/>
        <w:rPr>
          <w:sz w:val="24"/>
        </w:rPr>
      </w:pPr>
      <w:r>
        <w:rPr>
          <w:sz w:val="24"/>
        </w:rPr>
        <w:t>Each </w:t>
      </w:r>
      <w:r>
        <w:rPr>
          <w:i/>
          <w:sz w:val="24"/>
        </w:rPr>
        <w:t>Metering Data Provider </w:t>
      </w:r>
      <w:r>
        <w:rPr>
          <w:sz w:val="24"/>
        </w:rPr>
        <w:t>must:</w:t>
      </w:r>
    </w:p>
    <w:p>
      <w:pPr>
        <w:pStyle w:val="ListParagraph"/>
        <w:numPr>
          <w:ilvl w:val="0"/>
          <w:numId w:val="618"/>
        </w:numPr>
        <w:tabs>
          <w:tab w:pos="1919" w:val="left" w:leader="none"/>
        </w:tabs>
        <w:spacing w:line="240" w:lineRule="auto" w:before="120" w:after="0"/>
        <w:ind w:left="1919" w:right="417" w:hanging="567"/>
        <w:jc w:val="both"/>
        <w:rPr>
          <w:sz w:val="24"/>
        </w:rPr>
      </w:pPr>
      <w:r>
        <w:rPr>
          <w:sz w:val="24"/>
        </w:rPr>
        <w:t>develop and maintain a </w:t>
      </w:r>
      <w:r>
        <w:rPr>
          <w:i/>
          <w:sz w:val="24"/>
        </w:rPr>
        <w:t>meter </w:t>
      </w:r>
      <w:r>
        <w:rPr>
          <w:sz w:val="24"/>
        </w:rPr>
        <w:t>reading schedule in accordance with Schedule 7A.7 Part</w:t>
      </w:r>
      <w:r>
        <w:rPr>
          <w:spacing w:val="-2"/>
          <w:sz w:val="24"/>
        </w:rPr>
        <w:t> </w:t>
      </w:r>
      <w:r>
        <w:rPr>
          <w:sz w:val="24"/>
        </w:rPr>
        <w:t>B;</w:t>
      </w:r>
    </w:p>
    <w:p>
      <w:pPr>
        <w:pStyle w:val="ListParagraph"/>
        <w:numPr>
          <w:ilvl w:val="0"/>
          <w:numId w:val="618"/>
        </w:numPr>
        <w:tabs>
          <w:tab w:pos="1919" w:val="left" w:leader="none"/>
        </w:tabs>
        <w:spacing w:line="240" w:lineRule="auto" w:before="120" w:after="0"/>
        <w:ind w:left="1919" w:right="415" w:hanging="567"/>
        <w:jc w:val="both"/>
        <w:rPr>
          <w:sz w:val="24"/>
        </w:rPr>
      </w:pPr>
      <w:r>
        <w:rPr>
          <w:sz w:val="24"/>
        </w:rPr>
        <w:t>maintain reading routes with particular attention to any specific access requirements and hazard</w:t>
      </w:r>
      <w:r>
        <w:rPr>
          <w:spacing w:val="-1"/>
          <w:sz w:val="24"/>
        </w:rPr>
        <w:t> </w:t>
      </w:r>
      <w:r>
        <w:rPr>
          <w:sz w:val="24"/>
        </w:rPr>
        <w:t>information;</w:t>
      </w:r>
    </w:p>
    <w:p>
      <w:pPr>
        <w:pStyle w:val="ListParagraph"/>
        <w:numPr>
          <w:ilvl w:val="0"/>
          <w:numId w:val="618"/>
        </w:numPr>
        <w:tabs>
          <w:tab w:pos="1919" w:val="left" w:leader="none"/>
        </w:tabs>
        <w:spacing w:line="240" w:lineRule="auto" w:before="120" w:after="0"/>
        <w:ind w:left="1919" w:right="415" w:hanging="567"/>
        <w:jc w:val="both"/>
        <w:rPr>
          <w:sz w:val="24"/>
        </w:rPr>
      </w:pPr>
      <w:r>
        <w:rPr>
          <w:sz w:val="24"/>
        </w:rPr>
        <w:t>use reasonable endeavours to ensure that </w:t>
      </w:r>
      <w:r>
        <w:rPr>
          <w:i/>
          <w:sz w:val="24"/>
        </w:rPr>
        <w:t>metering data </w:t>
      </w:r>
      <w:r>
        <w:rPr>
          <w:sz w:val="24"/>
        </w:rPr>
        <w:t>is collected at least once every 3</w:t>
      </w:r>
      <w:r>
        <w:rPr>
          <w:spacing w:val="-1"/>
          <w:sz w:val="24"/>
        </w:rPr>
        <w:t> </w:t>
      </w:r>
      <w:r>
        <w:rPr>
          <w:sz w:val="24"/>
        </w:rPr>
        <w:t>months;</w:t>
      </w:r>
    </w:p>
    <w:p>
      <w:pPr>
        <w:pStyle w:val="ListParagraph"/>
        <w:numPr>
          <w:ilvl w:val="0"/>
          <w:numId w:val="618"/>
        </w:numPr>
        <w:tabs>
          <w:tab w:pos="1919" w:val="left" w:leader="none"/>
        </w:tabs>
        <w:spacing w:line="240" w:lineRule="auto" w:before="120" w:after="0"/>
        <w:ind w:left="1919" w:right="416" w:hanging="567"/>
        <w:jc w:val="both"/>
        <w:rPr>
          <w:sz w:val="24"/>
        </w:rPr>
      </w:pPr>
      <w:r>
        <w:rPr>
          <w:sz w:val="24"/>
        </w:rPr>
        <w:t>ensure that scheduled reading date lists and programmed reading equipment is provisioned, updated and</w:t>
      </w:r>
      <w:r>
        <w:rPr>
          <w:spacing w:val="-1"/>
          <w:sz w:val="24"/>
        </w:rPr>
        <w:t> </w:t>
      </w:r>
      <w:r>
        <w:rPr>
          <w:sz w:val="24"/>
        </w:rPr>
        <w:t>maintained;</w:t>
      </w:r>
    </w:p>
    <w:p>
      <w:pPr>
        <w:pStyle w:val="ListParagraph"/>
        <w:numPr>
          <w:ilvl w:val="0"/>
          <w:numId w:val="618"/>
        </w:numPr>
        <w:tabs>
          <w:tab w:pos="1919" w:val="left" w:leader="none"/>
        </w:tabs>
        <w:spacing w:line="240" w:lineRule="auto" w:before="120" w:after="0"/>
        <w:ind w:left="1919" w:right="416" w:hanging="567"/>
        <w:jc w:val="both"/>
        <w:rPr>
          <w:sz w:val="24"/>
        </w:rPr>
      </w:pPr>
      <w:r>
        <w:rPr>
          <w:sz w:val="24"/>
        </w:rPr>
        <w:t>use reasonable endeavours to ensure that </w:t>
      </w:r>
      <w:r>
        <w:rPr>
          <w:i/>
          <w:sz w:val="24"/>
        </w:rPr>
        <w:t>metering data </w:t>
      </w:r>
      <w:r>
        <w:rPr>
          <w:sz w:val="24"/>
        </w:rPr>
        <w:t>is collected within 2 </w:t>
      </w:r>
      <w:r>
        <w:rPr>
          <w:i/>
          <w:sz w:val="24"/>
        </w:rPr>
        <w:t>business days </w:t>
      </w:r>
      <w:r>
        <w:rPr>
          <w:sz w:val="24"/>
        </w:rPr>
        <w:t>prior to or 2 </w:t>
      </w:r>
      <w:r>
        <w:rPr>
          <w:i/>
          <w:sz w:val="24"/>
        </w:rPr>
        <w:t>business days </w:t>
      </w:r>
      <w:r>
        <w:rPr>
          <w:sz w:val="24"/>
        </w:rPr>
        <w:t>subsequent to a scheduled reading date;</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0"/>
          <w:numId w:val="618"/>
        </w:numPr>
        <w:tabs>
          <w:tab w:pos="1920" w:val="left" w:leader="none"/>
        </w:tabs>
        <w:spacing w:line="240" w:lineRule="auto" w:before="83" w:after="0"/>
        <w:ind w:left="1919" w:right="414" w:hanging="567"/>
        <w:jc w:val="both"/>
        <w:rPr>
          <w:sz w:val="24"/>
        </w:rPr>
      </w:pPr>
      <w:r>
        <w:rPr>
          <w:sz w:val="24"/>
        </w:rPr>
        <w:t>ensure that all </w:t>
      </w:r>
      <w:r>
        <w:rPr>
          <w:i/>
          <w:sz w:val="24"/>
        </w:rPr>
        <w:t>metering data </w:t>
      </w:r>
      <w:r>
        <w:rPr>
          <w:sz w:val="24"/>
        </w:rPr>
        <w:t>collected and any fault reason codes associated with a reading failure are transferred to the </w:t>
      </w:r>
      <w:r>
        <w:rPr>
          <w:i/>
          <w:sz w:val="24"/>
        </w:rPr>
        <w:t>metering data services database </w:t>
      </w:r>
      <w:r>
        <w:rPr>
          <w:sz w:val="24"/>
        </w:rPr>
        <w:t>within 1 </w:t>
      </w:r>
      <w:r>
        <w:rPr>
          <w:i/>
          <w:sz w:val="24"/>
        </w:rPr>
        <w:t>business day </w:t>
      </w:r>
      <w:r>
        <w:rPr>
          <w:sz w:val="24"/>
        </w:rPr>
        <w:t>of the data being collected or attempted to be collected from the </w:t>
      </w:r>
      <w:r>
        <w:rPr>
          <w:i/>
          <w:sz w:val="24"/>
        </w:rPr>
        <w:t>metering</w:t>
      </w:r>
      <w:r>
        <w:rPr>
          <w:i/>
          <w:spacing w:val="-2"/>
          <w:sz w:val="24"/>
        </w:rPr>
        <w:t> </w:t>
      </w:r>
      <w:r>
        <w:rPr>
          <w:i/>
          <w:sz w:val="24"/>
        </w:rPr>
        <w:t>installation</w:t>
      </w:r>
      <w:r>
        <w:rPr>
          <w:sz w:val="24"/>
        </w:rPr>
        <w:t>.</w:t>
      </w:r>
    </w:p>
    <w:p>
      <w:pPr>
        <w:pStyle w:val="BodyText"/>
        <w:spacing w:before="10"/>
        <w:ind w:firstLine="0"/>
        <w:jc w:val="left"/>
        <w:rPr>
          <w:sz w:val="20"/>
        </w:rPr>
      </w:pPr>
    </w:p>
    <w:p>
      <w:pPr>
        <w:pStyle w:val="Heading4"/>
        <w:ind w:left="218" w:firstLine="0"/>
      </w:pPr>
      <w:bookmarkStart w:name="S7A.8.9.7 Metering data processing requi" w:id="2149"/>
      <w:bookmarkEnd w:id="2149"/>
      <w:r>
        <w:rPr>
          <w:b w:val="0"/>
        </w:rPr>
      </w:r>
      <w:bookmarkStart w:name="_bookmark897" w:id="2150"/>
      <w:bookmarkEnd w:id="2150"/>
      <w:r>
        <w:rPr>
          <w:b w:val="0"/>
        </w:rPr>
      </w:r>
      <w:r>
        <w:rPr/>
        <w:t>S7A.8.9.7 Metering data processing requirements</w:t>
      </w:r>
    </w:p>
    <w:p>
      <w:pPr>
        <w:spacing w:before="220"/>
        <w:ind w:left="1356" w:right="0" w:firstLine="0"/>
        <w:jc w:val="left"/>
        <w:rPr>
          <w:rFonts w:ascii="Arial"/>
          <w:b/>
          <w:sz w:val="22"/>
        </w:rPr>
      </w:pPr>
      <w:r>
        <w:rPr>
          <w:rFonts w:ascii="Arial"/>
          <w:b/>
          <w:sz w:val="22"/>
        </w:rPr>
        <w:t>General</w:t>
      </w:r>
    </w:p>
    <w:p>
      <w:pPr>
        <w:pStyle w:val="ListParagraph"/>
        <w:numPr>
          <w:ilvl w:val="0"/>
          <w:numId w:val="619"/>
        </w:numPr>
        <w:tabs>
          <w:tab w:pos="1919" w:val="left" w:leader="none"/>
        </w:tabs>
        <w:spacing w:line="240" w:lineRule="auto" w:before="120" w:after="0"/>
        <w:ind w:left="1918" w:right="0" w:hanging="567"/>
        <w:jc w:val="both"/>
        <w:rPr>
          <w:sz w:val="24"/>
        </w:rPr>
      </w:pPr>
      <w:r>
        <w:rPr>
          <w:sz w:val="24"/>
        </w:rPr>
        <w:t>Each </w:t>
      </w:r>
      <w:r>
        <w:rPr>
          <w:i/>
          <w:sz w:val="24"/>
        </w:rPr>
        <w:t>Metering Data Provider </w:t>
      </w:r>
      <w:r>
        <w:rPr>
          <w:sz w:val="24"/>
        </w:rPr>
        <w:t>must have a process</w:t>
      </w:r>
      <w:r>
        <w:rPr>
          <w:spacing w:val="-3"/>
          <w:sz w:val="24"/>
        </w:rPr>
        <w:t> </w:t>
      </w:r>
      <w:r>
        <w:rPr>
          <w:sz w:val="24"/>
        </w:rPr>
        <w:t>to:</w:t>
      </w:r>
    </w:p>
    <w:p>
      <w:pPr>
        <w:pStyle w:val="ListParagraph"/>
        <w:numPr>
          <w:ilvl w:val="1"/>
          <w:numId w:val="619"/>
        </w:numPr>
        <w:tabs>
          <w:tab w:pos="2486" w:val="left" w:leader="none"/>
        </w:tabs>
        <w:spacing w:line="240" w:lineRule="auto" w:before="120" w:after="0"/>
        <w:ind w:left="2485" w:right="0" w:hanging="567"/>
        <w:jc w:val="both"/>
        <w:rPr>
          <w:sz w:val="24"/>
        </w:rPr>
      </w:pPr>
      <w:r>
        <w:rPr>
          <w:sz w:val="24"/>
        </w:rPr>
        <w:t>confirm and utilise the roles for </w:t>
      </w:r>
      <w:r>
        <w:rPr>
          <w:i/>
          <w:sz w:val="24"/>
        </w:rPr>
        <w:t>connection</w:t>
      </w:r>
      <w:r>
        <w:rPr>
          <w:i/>
          <w:spacing w:val="-1"/>
          <w:sz w:val="24"/>
        </w:rPr>
        <w:t> </w:t>
      </w:r>
      <w:r>
        <w:rPr>
          <w:i/>
          <w:sz w:val="24"/>
        </w:rPr>
        <w:t>points</w:t>
      </w:r>
      <w:r>
        <w:rPr>
          <w:sz w:val="24"/>
        </w:rPr>
        <w:t>;</w:t>
      </w:r>
    </w:p>
    <w:p>
      <w:pPr>
        <w:pStyle w:val="ListParagraph"/>
        <w:numPr>
          <w:ilvl w:val="1"/>
          <w:numId w:val="619"/>
        </w:numPr>
        <w:tabs>
          <w:tab w:pos="2486" w:val="left" w:leader="none"/>
        </w:tabs>
        <w:spacing w:line="240" w:lineRule="auto" w:before="120" w:after="0"/>
        <w:ind w:left="2486" w:right="416" w:hanging="567"/>
        <w:jc w:val="both"/>
        <w:rPr>
          <w:sz w:val="24"/>
        </w:rPr>
      </w:pPr>
      <w:r>
        <w:rPr>
          <w:sz w:val="24"/>
        </w:rPr>
        <w:t>assign and store the date/time stamp of when the </w:t>
      </w:r>
      <w:r>
        <w:rPr>
          <w:i/>
          <w:sz w:val="24"/>
        </w:rPr>
        <w:t>metering data </w:t>
      </w:r>
      <w:r>
        <w:rPr>
          <w:sz w:val="24"/>
        </w:rPr>
        <w:t>was entered into the </w:t>
      </w:r>
      <w:r>
        <w:rPr>
          <w:i/>
          <w:sz w:val="24"/>
        </w:rPr>
        <w:t>Metering Data Provider's metering data services </w:t>
      </w:r>
      <w:r>
        <w:rPr>
          <w:i/>
          <w:sz w:val="24"/>
        </w:rPr>
        <w:t>database</w:t>
      </w:r>
      <w:r>
        <w:rPr>
          <w:sz w:val="24"/>
        </w:rPr>
        <w:t>;</w:t>
      </w:r>
    </w:p>
    <w:p>
      <w:pPr>
        <w:pStyle w:val="ListParagraph"/>
        <w:numPr>
          <w:ilvl w:val="1"/>
          <w:numId w:val="619"/>
        </w:numPr>
        <w:tabs>
          <w:tab w:pos="2486" w:val="left" w:leader="none"/>
        </w:tabs>
        <w:spacing w:line="240" w:lineRule="auto" w:before="120" w:after="0"/>
        <w:ind w:left="2486" w:right="417" w:hanging="567"/>
        <w:jc w:val="both"/>
        <w:rPr>
          <w:sz w:val="24"/>
        </w:rPr>
      </w:pPr>
      <w:r>
        <w:rPr>
          <w:sz w:val="24"/>
        </w:rPr>
        <w:t>ensure that all </w:t>
      </w:r>
      <w:r>
        <w:rPr>
          <w:i/>
          <w:sz w:val="24"/>
        </w:rPr>
        <w:t>metering data </w:t>
      </w:r>
      <w:r>
        <w:rPr>
          <w:sz w:val="24"/>
        </w:rPr>
        <w:t>is stored in the </w:t>
      </w:r>
      <w:r>
        <w:rPr>
          <w:i/>
          <w:sz w:val="24"/>
        </w:rPr>
        <w:t>metering data services </w:t>
      </w:r>
      <w:r>
        <w:rPr>
          <w:i/>
          <w:sz w:val="24"/>
        </w:rPr>
        <w:t>database </w:t>
      </w:r>
      <w:r>
        <w:rPr>
          <w:sz w:val="24"/>
        </w:rPr>
        <w:t>with the</w:t>
      </w:r>
      <w:r>
        <w:rPr>
          <w:spacing w:val="-2"/>
          <w:sz w:val="24"/>
        </w:rPr>
        <w:t> </w:t>
      </w:r>
      <w:r>
        <w:rPr>
          <w:sz w:val="24"/>
        </w:rPr>
        <w:t>correct:</w:t>
      </w:r>
    </w:p>
    <w:p>
      <w:pPr>
        <w:pStyle w:val="ListParagraph"/>
        <w:numPr>
          <w:ilvl w:val="2"/>
          <w:numId w:val="619"/>
        </w:numPr>
        <w:tabs>
          <w:tab w:pos="3052" w:val="left" w:leader="none"/>
          <w:tab w:pos="3053" w:val="left" w:leader="none"/>
        </w:tabs>
        <w:spacing w:line="240" w:lineRule="auto" w:before="120" w:after="0"/>
        <w:ind w:left="3052" w:right="0" w:hanging="567"/>
        <w:jc w:val="left"/>
        <w:rPr>
          <w:sz w:val="24"/>
        </w:rPr>
      </w:pPr>
      <w:r>
        <w:rPr>
          <w:sz w:val="24"/>
        </w:rPr>
        <w:t>quality</w:t>
      </w:r>
      <w:r>
        <w:rPr>
          <w:spacing w:val="-1"/>
          <w:sz w:val="24"/>
        </w:rPr>
        <w:t> </w:t>
      </w:r>
      <w:r>
        <w:rPr>
          <w:sz w:val="24"/>
        </w:rPr>
        <w:t>flag;</w:t>
      </w:r>
    </w:p>
    <w:p>
      <w:pPr>
        <w:pStyle w:val="ListParagraph"/>
        <w:numPr>
          <w:ilvl w:val="2"/>
          <w:numId w:val="619"/>
        </w:numPr>
        <w:tabs>
          <w:tab w:pos="3052" w:val="left" w:leader="none"/>
          <w:tab w:pos="3054" w:val="left" w:leader="none"/>
        </w:tabs>
        <w:spacing w:line="240" w:lineRule="auto" w:before="120" w:after="0"/>
        <w:ind w:left="3053" w:right="0" w:hanging="568"/>
        <w:jc w:val="left"/>
        <w:rPr>
          <w:sz w:val="24"/>
        </w:rPr>
      </w:pPr>
      <w:r>
        <w:rPr>
          <w:sz w:val="24"/>
        </w:rPr>
        <w:t>applicable substitution or estimation type code;</w:t>
      </w:r>
      <w:r>
        <w:rPr>
          <w:spacing w:val="-2"/>
          <w:sz w:val="24"/>
        </w:rPr>
        <w:t> </w:t>
      </w:r>
      <w:r>
        <w:rPr>
          <w:sz w:val="24"/>
        </w:rPr>
        <w:t>and</w:t>
      </w:r>
    </w:p>
    <w:p>
      <w:pPr>
        <w:pStyle w:val="ListParagraph"/>
        <w:numPr>
          <w:ilvl w:val="2"/>
          <w:numId w:val="619"/>
        </w:numPr>
        <w:tabs>
          <w:tab w:pos="3052" w:val="left" w:leader="none"/>
          <w:tab w:pos="3053" w:val="left" w:leader="none"/>
        </w:tabs>
        <w:spacing w:line="240" w:lineRule="auto" w:before="120" w:after="0"/>
        <w:ind w:left="3052" w:right="0" w:hanging="567"/>
        <w:jc w:val="left"/>
        <w:rPr>
          <w:sz w:val="24"/>
        </w:rPr>
      </w:pPr>
      <w:r>
        <w:rPr>
          <w:sz w:val="24"/>
        </w:rPr>
        <w:t>applicable substitution or estimation reason</w:t>
      </w:r>
      <w:r>
        <w:rPr>
          <w:spacing w:val="-2"/>
          <w:sz w:val="24"/>
        </w:rPr>
        <w:t> </w:t>
      </w:r>
      <w:r>
        <w:rPr>
          <w:sz w:val="24"/>
        </w:rPr>
        <w:t>code;</w:t>
      </w:r>
    </w:p>
    <w:p>
      <w:pPr>
        <w:pStyle w:val="ListParagraph"/>
        <w:numPr>
          <w:ilvl w:val="1"/>
          <w:numId w:val="619"/>
        </w:numPr>
        <w:tabs>
          <w:tab w:pos="2485" w:val="left" w:leader="none"/>
          <w:tab w:pos="2486" w:val="left" w:leader="none"/>
        </w:tabs>
        <w:spacing w:line="240" w:lineRule="auto" w:before="120" w:after="0"/>
        <w:ind w:left="2485" w:right="0" w:hanging="567"/>
        <w:jc w:val="left"/>
        <w:rPr>
          <w:i/>
          <w:sz w:val="24"/>
        </w:rPr>
      </w:pPr>
      <w:r>
        <w:rPr>
          <w:sz w:val="24"/>
        </w:rPr>
        <w:t>check</w:t>
      </w:r>
      <w:r>
        <w:rPr>
          <w:spacing w:val="19"/>
          <w:sz w:val="24"/>
        </w:rPr>
        <w:t> </w:t>
      </w:r>
      <w:r>
        <w:rPr>
          <w:sz w:val="24"/>
        </w:rPr>
        <w:t>the</w:t>
      </w:r>
      <w:r>
        <w:rPr>
          <w:spacing w:val="19"/>
          <w:sz w:val="24"/>
        </w:rPr>
        <w:t> </w:t>
      </w:r>
      <w:r>
        <w:rPr>
          <w:i/>
          <w:sz w:val="24"/>
        </w:rPr>
        <w:t>metering</w:t>
      </w:r>
      <w:r>
        <w:rPr>
          <w:i/>
          <w:spacing w:val="19"/>
          <w:sz w:val="24"/>
        </w:rPr>
        <w:t> </w:t>
      </w:r>
      <w:r>
        <w:rPr>
          <w:i/>
          <w:sz w:val="24"/>
        </w:rPr>
        <w:t>data</w:t>
      </w:r>
      <w:r>
        <w:rPr>
          <w:i/>
          <w:spacing w:val="19"/>
          <w:sz w:val="24"/>
        </w:rPr>
        <w:t> </w:t>
      </w:r>
      <w:r>
        <w:rPr>
          <w:i/>
          <w:sz w:val="24"/>
        </w:rPr>
        <w:t>services</w:t>
      </w:r>
      <w:r>
        <w:rPr>
          <w:i/>
          <w:spacing w:val="19"/>
          <w:sz w:val="24"/>
        </w:rPr>
        <w:t> </w:t>
      </w:r>
      <w:r>
        <w:rPr>
          <w:i/>
          <w:sz w:val="24"/>
        </w:rPr>
        <w:t>database</w:t>
      </w:r>
      <w:r>
        <w:rPr>
          <w:i/>
          <w:spacing w:val="19"/>
          <w:sz w:val="24"/>
        </w:rPr>
        <w:t> </w:t>
      </w:r>
      <w:r>
        <w:rPr>
          <w:sz w:val="24"/>
        </w:rPr>
        <w:t>for</w:t>
      </w:r>
      <w:r>
        <w:rPr>
          <w:spacing w:val="19"/>
          <w:sz w:val="24"/>
        </w:rPr>
        <w:t> </w:t>
      </w:r>
      <w:r>
        <w:rPr>
          <w:sz w:val="24"/>
        </w:rPr>
        <w:t>missing</w:t>
      </w:r>
      <w:r>
        <w:rPr>
          <w:spacing w:val="19"/>
          <w:sz w:val="24"/>
        </w:rPr>
        <w:t> </w:t>
      </w:r>
      <w:r>
        <w:rPr>
          <w:i/>
          <w:sz w:val="24"/>
        </w:rPr>
        <w:t>metering</w:t>
      </w:r>
      <w:r>
        <w:rPr>
          <w:i/>
          <w:spacing w:val="19"/>
          <w:sz w:val="24"/>
        </w:rPr>
        <w:t> </w:t>
      </w:r>
      <w:r>
        <w:rPr>
          <w:i/>
          <w:sz w:val="24"/>
        </w:rPr>
        <w:t>data</w:t>
      </w:r>
    </w:p>
    <w:p>
      <w:pPr>
        <w:pStyle w:val="BodyText"/>
        <w:spacing w:before="0"/>
        <w:ind w:left="2486" w:firstLine="0"/>
        <w:jc w:val="left"/>
      </w:pPr>
      <w:r>
        <w:rPr/>
        <w:t>and overlaps;</w:t>
      </w:r>
    </w:p>
    <w:p>
      <w:pPr>
        <w:pStyle w:val="ListParagraph"/>
        <w:numPr>
          <w:ilvl w:val="1"/>
          <w:numId w:val="619"/>
        </w:numPr>
        <w:tabs>
          <w:tab w:pos="2486" w:val="left" w:leader="none"/>
        </w:tabs>
        <w:spacing w:line="240" w:lineRule="auto" w:before="120" w:after="0"/>
        <w:ind w:left="2486" w:right="415" w:hanging="567"/>
        <w:jc w:val="both"/>
        <w:rPr>
          <w:sz w:val="24"/>
        </w:rPr>
      </w:pPr>
      <w:r>
        <w:rPr>
          <w:sz w:val="24"/>
        </w:rPr>
        <w:t>aggregate </w:t>
      </w:r>
      <w:r>
        <w:rPr>
          <w:i/>
          <w:sz w:val="24"/>
        </w:rPr>
        <w:t>interval metering data </w:t>
      </w:r>
      <w:r>
        <w:rPr>
          <w:sz w:val="24"/>
        </w:rPr>
        <w:t>for a </w:t>
      </w:r>
      <w:r>
        <w:rPr>
          <w:i/>
          <w:sz w:val="24"/>
        </w:rPr>
        <w:t>connection point </w:t>
      </w:r>
      <w:r>
        <w:rPr>
          <w:sz w:val="24"/>
        </w:rPr>
        <w:t>into a 30- minute interval net </w:t>
      </w:r>
      <w:r>
        <w:rPr>
          <w:i/>
          <w:sz w:val="24"/>
        </w:rPr>
        <w:t>metering </w:t>
      </w:r>
      <w:r>
        <w:rPr>
          <w:sz w:val="24"/>
        </w:rPr>
        <w:t>data stream prior to delivery to </w:t>
      </w:r>
      <w:r>
        <w:rPr>
          <w:i/>
          <w:sz w:val="24"/>
        </w:rPr>
        <w:t>NTESMO </w:t>
      </w:r>
      <w:r>
        <w:rPr>
          <w:sz w:val="24"/>
        </w:rPr>
        <w:t>or financially responsible participants in accordance with the</w:t>
      </w:r>
      <w:r>
        <w:rPr>
          <w:spacing w:val="-5"/>
          <w:sz w:val="24"/>
        </w:rPr>
        <w:t> </w:t>
      </w:r>
      <w:r>
        <w:rPr>
          <w:i/>
          <w:sz w:val="24"/>
        </w:rPr>
        <w:t>Rules</w:t>
      </w:r>
      <w:r>
        <w:rPr>
          <w:sz w:val="24"/>
        </w:rPr>
        <w:t>;</w:t>
      </w:r>
    </w:p>
    <w:p>
      <w:pPr>
        <w:pStyle w:val="ListParagraph"/>
        <w:numPr>
          <w:ilvl w:val="1"/>
          <w:numId w:val="619"/>
        </w:numPr>
        <w:tabs>
          <w:tab w:pos="2486" w:val="left" w:leader="none"/>
        </w:tabs>
        <w:spacing w:line="240" w:lineRule="auto" w:before="120" w:after="0"/>
        <w:ind w:left="2486" w:right="414" w:hanging="567"/>
        <w:jc w:val="both"/>
        <w:rPr>
          <w:sz w:val="24"/>
        </w:rPr>
      </w:pPr>
      <w:r>
        <w:rPr>
          <w:sz w:val="24"/>
        </w:rPr>
        <w:t>load </w:t>
      </w:r>
      <w:r>
        <w:rPr>
          <w:i/>
          <w:sz w:val="24"/>
        </w:rPr>
        <w:t>metering data </w:t>
      </w:r>
      <w:r>
        <w:rPr>
          <w:sz w:val="24"/>
        </w:rPr>
        <w:t>in an alternative format provided by a </w:t>
      </w:r>
      <w:r>
        <w:rPr>
          <w:i/>
          <w:sz w:val="24"/>
        </w:rPr>
        <w:t>Metering </w:t>
      </w:r>
      <w:r>
        <w:rPr>
          <w:i/>
          <w:sz w:val="24"/>
        </w:rPr>
        <w:t>Provider </w:t>
      </w:r>
      <w:r>
        <w:rPr>
          <w:sz w:val="24"/>
        </w:rPr>
        <w:t>where there is a communications error, failed reading or </w:t>
      </w:r>
      <w:r>
        <w:rPr>
          <w:i/>
          <w:sz w:val="24"/>
        </w:rPr>
        <w:t>metering installation malfunction </w:t>
      </w:r>
      <w:r>
        <w:rPr>
          <w:sz w:val="24"/>
        </w:rPr>
        <w:t>that prevents the normal collection of </w:t>
      </w:r>
      <w:r>
        <w:rPr>
          <w:i/>
          <w:sz w:val="24"/>
        </w:rPr>
        <w:t>metering data </w:t>
      </w:r>
      <w:r>
        <w:rPr>
          <w:sz w:val="24"/>
        </w:rPr>
        <w:t>from a </w:t>
      </w:r>
      <w:r>
        <w:rPr>
          <w:i/>
          <w:sz w:val="24"/>
        </w:rPr>
        <w:t>metering installation</w:t>
      </w:r>
      <w:r>
        <w:rPr>
          <w:sz w:val="24"/>
        </w:rPr>
        <w:t>;</w:t>
      </w:r>
      <w:r>
        <w:rPr>
          <w:spacing w:val="-6"/>
          <w:sz w:val="24"/>
        </w:rPr>
        <w:t> </w:t>
      </w:r>
      <w:r>
        <w:rPr>
          <w:sz w:val="24"/>
        </w:rPr>
        <w:t>and</w:t>
      </w:r>
    </w:p>
    <w:p>
      <w:pPr>
        <w:pStyle w:val="ListParagraph"/>
        <w:numPr>
          <w:ilvl w:val="1"/>
          <w:numId w:val="619"/>
        </w:numPr>
        <w:tabs>
          <w:tab w:pos="2486" w:val="left" w:leader="none"/>
        </w:tabs>
        <w:spacing w:line="240" w:lineRule="auto" w:before="120" w:after="0"/>
        <w:ind w:left="2485" w:right="0" w:hanging="567"/>
        <w:jc w:val="both"/>
        <w:rPr>
          <w:sz w:val="24"/>
        </w:rPr>
      </w:pPr>
      <w:r>
        <w:rPr>
          <w:sz w:val="24"/>
        </w:rPr>
        <w:t>whenever any substitutions or estimations are carried out,</w:t>
      </w:r>
      <w:r>
        <w:rPr>
          <w:spacing w:val="-7"/>
          <w:sz w:val="24"/>
        </w:rPr>
        <w:t> </w:t>
      </w:r>
      <w:r>
        <w:rPr>
          <w:sz w:val="24"/>
        </w:rPr>
        <w:t>notify:</w:t>
      </w:r>
    </w:p>
    <w:p>
      <w:pPr>
        <w:pStyle w:val="ListParagraph"/>
        <w:numPr>
          <w:ilvl w:val="2"/>
          <w:numId w:val="619"/>
        </w:numPr>
        <w:tabs>
          <w:tab w:pos="3053" w:val="left" w:leader="none"/>
        </w:tabs>
        <w:spacing w:line="240" w:lineRule="auto" w:before="120" w:after="0"/>
        <w:ind w:left="3053" w:right="415" w:hanging="567"/>
        <w:jc w:val="both"/>
        <w:rPr>
          <w:sz w:val="24"/>
        </w:rPr>
      </w:pPr>
      <w:r>
        <w:rPr>
          <w:i/>
          <w:sz w:val="24"/>
        </w:rPr>
        <w:t>NTESMO</w:t>
      </w:r>
      <w:r>
        <w:rPr>
          <w:sz w:val="24"/>
        </w:rPr>
        <w:t>(in respect of a </w:t>
      </w:r>
      <w:r>
        <w:rPr>
          <w:i/>
          <w:sz w:val="24"/>
        </w:rPr>
        <w:t>metering installation </w:t>
      </w:r>
      <w:r>
        <w:rPr>
          <w:sz w:val="24"/>
        </w:rPr>
        <w:t>used for the purposes of</w:t>
      </w:r>
      <w:r>
        <w:rPr>
          <w:spacing w:val="-1"/>
          <w:sz w:val="24"/>
        </w:rPr>
        <w:t> </w:t>
      </w:r>
      <w:r>
        <w:rPr>
          <w:i/>
          <w:sz w:val="24"/>
        </w:rPr>
        <w:t>settlements</w:t>
      </w:r>
      <w:r>
        <w:rPr>
          <w:sz w:val="24"/>
        </w:rPr>
        <w:t>);</w:t>
      </w:r>
    </w:p>
    <w:p>
      <w:pPr>
        <w:pStyle w:val="ListParagraph"/>
        <w:numPr>
          <w:ilvl w:val="2"/>
          <w:numId w:val="619"/>
        </w:numPr>
        <w:tabs>
          <w:tab w:pos="3054" w:val="left" w:leader="none"/>
        </w:tabs>
        <w:spacing w:line="240" w:lineRule="auto" w:before="120" w:after="0"/>
        <w:ind w:left="3053" w:right="0" w:hanging="568"/>
        <w:jc w:val="both"/>
        <w:rPr>
          <w:sz w:val="24"/>
        </w:rPr>
      </w:pPr>
      <w:r>
        <w:rPr>
          <w:i/>
          <w:sz w:val="24"/>
        </w:rPr>
        <w:t>Registered Participants </w:t>
      </w:r>
      <w:r>
        <w:rPr>
          <w:sz w:val="24"/>
        </w:rPr>
        <w:t>for the </w:t>
      </w:r>
      <w:r>
        <w:rPr>
          <w:i/>
          <w:sz w:val="24"/>
        </w:rPr>
        <w:t>connection point</w:t>
      </w:r>
      <w:r>
        <w:rPr>
          <w:sz w:val="24"/>
        </w:rPr>
        <w:t>;</w:t>
      </w:r>
      <w:r>
        <w:rPr>
          <w:spacing w:val="-2"/>
          <w:sz w:val="24"/>
        </w:rPr>
        <w:t> </w:t>
      </w:r>
      <w:r>
        <w:rPr>
          <w:sz w:val="24"/>
        </w:rPr>
        <w:t>and</w:t>
      </w:r>
    </w:p>
    <w:p>
      <w:pPr>
        <w:pStyle w:val="ListParagraph"/>
        <w:numPr>
          <w:ilvl w:val="2"/>
          <w:numId w:val="619"/>
        </w:numPr>
        <w:tabs>
          <w:tab w:pos="3053" w:val="left" w:leader="none"/>
        </w:tabs>
        <w:spacing w:line="240" w:lineRule="auto" w:before="120" w:after="0"/>
        <w:ind w:left="3053" w:right="416" w:hanging="567"/>
        <w:jc w:val="both"/>
        <w:rPr>
          <w:sz w:val="24"/>
        </w:rPr>
      </w:pPr>
      <w:r>
        <w:rPr>
          <w:sz w:val="24"/>
        </w:rPr>
        <w:t>financially responsible participants (in respect of a </w:t>
      </w:r>
      <w:r>
        <w:rPr>
          <w:i/>
          <w:sz w:val="24"/>
        </w:rPr>
        <w:t>metering </w:t>
      </w:r>
      <w:r>
        <w:rPr>
          <w:i/>
          <w:sz w:val="24"/>
        </w:rPr>
        <w:t>installation </w:t>
      </w:r>
      <w:r>
        <w:rPr>
          <w:sz w:val="24"/>
        </w:rPr>
        <w:t>used for the purposes of </w:t>
      </w:r>
      <w:r>
        <w:rPr>
          <w:i/>
          <w:sz w:val="24"/>
        </w:rPr>
        <w:t>billing</w:t>
      </w:r>
      <w:r>
        <w:rPr>
          <w:i/>
          <w:spacing w:val="-1"/>
          <w:sz w:val="24"/>
        </w:rPr>
        <w:t> </w:t>
      </w:r>
      <w:r>
        <w:rPr>
          <w:i/>
          <w:sz w:val="24"/>
        </w:rPr>
        <w:t>transactions</w:t>
      </w:r>
      <w:r>
        <w:rPr>
          <w:sz w:val="24"/>
        </w:rPr>
        <w:t>).</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Erroneous data</w:t>
      </w:r>
    </w:p>
    <w:p>
      <w:pPr>
        <w:pStyle w:val="ListParagraph"/>
        <w:numPr>
          <w:ilvl w:val="0"/>
          <w:numId w:val="619"/>
        </w:numPr>
        <w:tabs>
          <w:tab w:pos="1919" w:val="left" w:leader="none"/>
        </w:tabs>
        <w:spacing w:line="240" w:lineRule="auto" w:before="120" w:after="0"/>
        <w:ind w:left="1919" w:right="414" w:hanging="567"/>
        <w:jc w:val="both"/>
        <w:rPr>
          <w:sz w:val="24"/>
        </w:rPr>
      </w:pPr>
      <w:r>
        <w:rPr>
          <w:sz w:val="24"/>
        </w:rPr>
        <w:t>Where the </w:t>
      </w:r>
      <w:r>
        <w:rPr>
          <w:i/>
          <w:sz w:val="24"/>
        </w:rPr>
        <w:t>Metering Coordinator </w:t>
      </w:r>
      <w:r>
        <w:rPr>
          <w:sz w:val="24"/>
        </w:rPr>
        <w:t>or </w:t>
      </w:r>
      <w:r>
        <w:rPr>
          <w:i/>
          <w:sz w:val="24"/>
        </w:rPr>
        <w:t>Metering Provider </w:t>
      </w:r>
      <w:r>
        <w:rPr>
          <w:sz w:val="24"/>
        </w:rPr>
        <w:t>informs a </w:t>
      </w:r>
      <w:r>
        <w:rPr>
          <w:i/>
          <w:sz w:val="24"/>
        </w:rPr>
        <w:t>Metering </w:t>
      </w:r>
      <w:r>
        <w:rPr>
          <w:i/>
          <w:sz w:val="24"/>
        </w:rPr>
        <w:t>Data Provider </w:t>
      </w:r>
      <w:r>
        <w:rPr>
          <w:sz w:val="24"/>
        </w:rPr>
        <w:t>of a situation that may cause </w:t>
      </w:r>
      <w:r>
        <w:rPr>
          <w:i/>
          <w:sz w:val="24"/>
        </w:rPr>
        <w:t>metering data </w:t>
      </w:r>
      <w:r>
        <w:rPr>
          <w:sz w:val="24"/>
        </w:rPr>
        <w:t>to be erroneous, the </w:t>
      </w:r>
      <w:r>
        <w:rPr>
          <w:i/>
          <w:sz w:val="24"/>
        </w:rPr>
        <w:t>Metering Data Provider </w:t>
      </w:r>
      <w:r>
        <w:rPr>
          <w:sz w:val="24"/>
        </w:rPr>
        <w:t>must identify and substitute any erroneous </w:t>
      </w:r>
      <w:r>
        <w:rPr>
          <w:i/>
          <w:sz w:val="24"/>
        </w:rPr>
        <w:t>metering</w:t>
      </w:r>
      <w:r>
        <w:rPr>
          <w:i/>
          <w:spacing w:val="-2"/>
          <w:sz w:val="24"/>
        </w:rPr>
        <w:t> </w:t>
      </w:r>
      <w:r>
        <w:rPr>
          <w:i/>
          <w:sz w:val="24"/>
        </w:rPr>
        <w:t>data</w:t>
      </w:r>
      <w:r>
        <w:rPr>
          <w:sz w:val="24"/>
        </w:rPr>
        <w:t>.</w:t>
      </w:r>
    </w:p>
    <w:p>
      <w:pPr>
        <w:pStyle w:val="ListParagraph"/>
        <w:numPr>
          <w:ilvl w:val="0"/>
          <w:numId w:val="619"/>
        </w:numPr>
        <w:tabs>
          <w:tab w:pos="1919" w:val="left" w:leader="none"/>
        </w:tabs>
        <w:spacing w:line="240" w:lineRule="auto" w:before="120" w:after="0"/>
        <w:ind w:left="1919" w:right="414" w:hanging="567"/>
        <w:jc w:val="both"/>
        <w:rPr>
          <w:sz w:val="24"/>
        </w:rPr>
      </w:pPr>
      <w:r>
        <w:rPr>
          <w:sz w:val="24"/>
        </w:rPr>
        <w:t>Where any </w:t>
      </w:r>
      <w:r>
        <w:rPr>
          <w:i/>
          <w:sz w:val="24"/>
        </w:rPr>
        <w:t>Registered Participant </w:t>
      </w:r>
      <w:r>
        <w:rPr>
          <w:sz w:val="24"/>
        </w:rPr>
        <w:t>for the </w:t>
      </w:r>
      <w:r>
        <w:rPr>
          <w:i/>
          <w:sz w:val="24"/>
        </w:rPr>
        <w:t>connection point </w:t>
      </w:r>
      <w:r>
        <w:rPr>
          <w:sz w:val="24"/>
        </w:rPr>
        <w:t>disputes </w:t>
      </w:r>
      <w:r>
        <w:rPr>
          <w:i/>
          <w:sz w:val="24"/>
        </w:rPr>
        <w:t>metering data</w:t>
      </w:r>
      <w:r>
        <w:rPr>
          <w:sz w:val="24"/>
        </w:rPr>
        <w:t>, the </w:t>
      </w:r>
      <w:r>
        <w:rPr>
          <w:i/>
          <w:sz w:val="24"/>
        </w:rPr>
        <w:t>Metering Data Provider </w:t>
      </w:r>
      <w:r>
        <w:rPr>
          <w:sz w:val="24"/>
        </w:rPr>
        <w:t>must investigate, and, if necessary correct the </w:t>
      </w:r>
      <w:r>
        <w:rPr>
          <w:i/>
          <w:sz w:val="24"/>
        </w:rPr>
        <w:t>metering data </w:t>
      </w:r>
      <w:r>
        <w:rPr>
          <w:sz w:val="24"/>
        </w:rPr>
        <w:t>in accordance with Schedule 7A.7 Part C.</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Meter alarms</w:t>
      </w:r>
    </w:p>
    <w:p>
      <w:pPr>
        <w:pStyle w:val="ListParagraph"/>
        <w:numPr>
          <w:ilvl w:val="0"/>
          <w:numId w:val="619"/>
        </w:numPr>
        <w:tabs>
          <w:tab w:pos="1919" w:val="left" w:leader="none"/>
        </w:tabs>
        <w:spacing w:line="240" w:lineRule="auto" w:before="120" w:after="0"/>
        <w:ind w:left="1919" w:right="415" w:hanging="567"/>
        <w:jc w:val="both"/>
        <w:rPr>
          <w:sz w:val="24"/>
        </w:rPr>
      </w:pPr>
      <w:r>
        <w:rPr>
          <w:sz w:val="24"/>
        </w:rPr>
        <w:t>Where a </w:t>
      </w:r>
      <w:r>
        <w:rPr>
          <w:i/>
          <w:sz w:val="24"/>
        </w:rPr>
        <w:t>meter </w:t>
      </w:r>
      <w:r>
        <w:rPr>
          <w:sz w:val="24"/>
        </w:rPr>
        <w:t>alarm has occurred, the </w:t>
      </w:r>
      <w:r>
        <w:rPr>
          <w:i/>
          <w:sz w:val="24"/>
        </w:rPr>
        <w:t>Metering Data Provider </w:t>
      </w:r>
      <w:r>
        <w:rPr>
          <w:sz w:val="24"/>
        </w:rPr>
        <w:t>must process the occurrence of the </w:t>
      </w:r>
      <w:r>
        <w:rPr>
          <w:i/>
          <w:sz w:val="24"/>
        </w:rPr>
        <w:t>meter </w:t>
      </w:r>
      <w:r>
        <w:rPr>
          <w:sz w:val="24"/>
        </w:rPr>
        <w:t>alarm along with the </w:t>
      </w:r>
      <w:r>
        <w:rPr>
          <w:i/>
          <w:sz w:val="24"/>
        </w:rPr>
        <w:t>metering data </w:t>
      </w:r>
      <w:r>
        <w:rPr>
          <w:sz w:val="24"/>
        </w:rPr>
        <w:t>as part of the validation process in accordance with Schedule 7A.7 Part</w:t>
      </w:r>
      <w:r>
        <w:rPr>
          <w:spacing w:val="-12"/>
          <w:sz w:val="24"/>
        </w:rPr>
        <w:t> </w:t>
      </w:r>
      <w:r>
        <w:rPr>
          <w:sz w:val="24"/>
        </w:rPr>
        <w:t>C.</w:t>
      </w:r>
    </w:p>
    <w:p>
      <w:pPr>
        <w:pStyle w:val="BodyText"/>
        <w:spacing w:before="10"/>
        <w:ind w:firstLine="0"/>
        <w:jc w:val="left"/>
        <w:rPr>
          <w:sz w:val="20"/>
        </w:rPr>
      </w:pPr>
    </w:p>
    <w:p>
      <w:pPr>
        <w:pStyle w:val="Heading4"/>
        <w:ind w:left="1352" w:right="468"/>
      </w:pPr>
      <w:bookmarkStart w:name="S7A.8.9.8 Specific metering data process" w:id="2151"/>
      <w:bookmarkEnd w:id="2151"/>
      <w:r>
        <w:rPr>
          <w:b w:val="0"/>
        </w:rPr>
      </w:r>
      <w:bookmarkStart w:name="_bookmark898" w:id="2152"/>
      <w:bookmarkEnd w:id="2152"/>
      <w:r>
        <w:rPr>
          <w:b w:val="0"/>
        </w:rPr>
      </w:r>
      <w:r>
        <w:rPr/>
        <w:t>S7A.8.9.8 Specific metering data processing requirements for type 1, 2, 3 and 4 metering installations</w:t>
      </w:r>
    </w:p>
    <w:p>
      <w:pPr>
        <w:pStyle w:val="BodyText"/>
        <w:ind w:left="1352" w:right="415" w:firstLine="0"/>
      </w:pPr>
      <w:r>
        <w:rPr/>
        <w:t>Each </w:t>
      </w:r>
      <w:r>
        <w:rPr>
          <w:i/>
        </w:rPr>
        <w:t>Metering Data Provider </w:t>
      </w:r>
      <w:r>
        <w:rPr/>
        <w:t>must be able to undertake simple cumulative or subtractive processes to manage complex metering configurations. Typically, the system must support:</w:t>
      </w:r>
    </w:p>
    <w:p>
      <w:pPr>
        <w:pStyle w:val="ListParagraph"/>
        <w:numPr>
          <w:ilvl w:val="0"/>
          <w:numId w:val="620"/>
        </w:numPr>
        <w:tabs>
          <w:tab w:pos="1919" w:val="left" w:leader="none"/>
        </w:tabs>
        <w:spacing w:line="240" w:lineRule="auto" w:before="120" w:after="0"/>
        <w:ind w:left="1918" w:right="0" w:hanging="567"/>
        <w:jc w:val="both"/>
        <w:rPr>
          <w:sz w:val="24"/>
        </w:rPr>
      </w:pPr>
      <w:r>
        <w:rPr>
          <w:sz w:val="24"/>
        </w:rPr>
        <w:t>an A+B+C or A-B-C aggregation</w:t>
      </w:r>
      <w:r>
        <w:rPr>
          <w:spacing w:val="-1"/>
          <w:sz w:val="24"/>
        </w:rPr>
        <w:t> </w:t>
      </w:r>
      <w:r>
        <w:rPr>
          <w:sz w:val="24"/>
        </w:rPr>
        <w:t>configuration;</w:t>
      </w:r>
    </w:p>
    <w:p>
      <w:pPr>
        <w:pStyle w:val="ListParagraph"/>
        <w:numPr>
          <w:ilvl w:val="0"/>
          <w:numId w:val="620"/>
        </w:numPr>
        <w:tabs>
          <w:tab w:pos="1919" w:val="left" w:leader="none"/>
        </w:tabs>
        <w:spacing w:line="240" w:lineRule="auto" w:before="120" w:after="0"/>
        <w:ind w:left="1919" w:right="417" w:hanging="567"/>
        <w:jc w:val="both"/>
        <w:rPr>
          <w:sz w:val="24"/>
        </w:rPr>
      </w:pPr>
      <w:r>
        <w:rPr>
          <w:sz w:val="24"/>
        </w:rPr>
        <w:t>validation capability for standard partial or </w:t>
      </w:r>
      <w:r>
        <w:rPr>
          <w:i/>
          <w:sz w:val="24"/>
        </w:rPr>
        <w:t>check meter connection points </w:t>
      </w:r>
      <w:r>
        <w:rPr>
          <w:sz w:val="24"/>
        </w:rPr>
        <w:t>that incorporate a simple comparison of a single </w:t>
      </w:r>
      <w:r>
        <w:rPr>
          <w:i/>
          <w:sz w:val="24"/>
        </w:rPr>
        <w:t>metering </w:t>
      </w:r>
      <w:r>
        <w:rPr>
          <w:sz w:val="24"/>
        </w:rPr>
        <w:t>data stream to a single </w:t>
      </w:r>
      <w:r>
        <w:rPr>
          <w:i/>
          <w:sz w:val="24"/>
        </w:rPr>
        <w:t>check metering </w:t>
      </w:r>
      <w:r>
        <w:rPr>
          <w:sz w:val="24"/>
        </w:rPr>
        <w:t>data stream within an acceptable tolerance;</w:t>
      </w:r>
      <w:r>
        <w:rPr>
          <w:spacing w:val="-15"/>
          <w:sz w:val="24"/>
        </w:rPr>
        <w:t> </w:t>
      </w:r>
      <w:r>
        <w:rPr>
          <w:sz w:val="24"/>
        </w:rPr>
        <w:t>and</w:t>
      </w:r>
    </w:p>
    <w:p>
      <w:pPr>
        <w:pStyle w:val="ListParagraph"/>
        <w:numPr>
          <w:ilvl w:val="0"/>
          <w:numId w:val="620"/>
        </w:numPr>
        <w:tabs>
          <w:tab w:pos="1919" w:val="left" w:leader="none"/>
        </w:tabs>
        <w:spacing w:line="240" w:lineRule="auto" w:before="120" w:after="0"/>
        <w:ind w:left="1919" w:right="416" w:hanging="567"/>
        <w:jc w:val="both"/>
        <w:rPr>
          <w:sz w:val="24"/>
        </w:rPr>
      </w:pPr>
      <w:r>
        <w:rPr>
          <w:sz w:val="24"/>
        </w:rPr>
        <w:t>the calculation of the average of the 2 validated data sets for </w:t>
      </w:r>
      <w:r>
        <w:rPr>
          <w:i/>
          <w:sz w:val="24"/>
        </w:rPr>
        <w:t>metering </w:t>
      </w:r>
      <w:r>
        <w:rPr>
          <w:i/>
          <w:sz w:val="24"/>
        </w:rPr>
        <w:t>installations </w:t>
      </w:r>
      <w:r>
        <w:rPr>
          <w:sz w:val="24"/>
        </w:rPr>
        <w:t>where the </w:t>
      </w:r>
      <w:r>
        <w:rPr>
          <w:i/>
          <w:sz w:val="24"/>
        </w:rPr>
        <w:t>check metering installation </w:t>
      </w:r>
      <w:r>
        <w:rPr>
          <w:sz w:val="24"/>
        </w:rPr>
        <w:t>duplicates the </w:t>
      </w:r>
      <w:r>
        <w:rPr>
          <w:i/>
          <w:sz w:val="24"/>
        </w:rPr>
        <w:t>metering </w:t>
      </w:r>
      <w:r>
        <w:rPr>
          <w:i/>
          <w:sz w:val="24"/>
        </w:rPr>
        <w:t>installation </w:t>
      </w:r>
      <w:r>
        <w:rPr>
          <w:sz w:val="24"/>
        </w:rPr>
        <w:t>and accuracy level, and the average of the 2 validated data sets must be delivered</w:t>
      </w:r>
      <w:r>
        <w:rPr>
          <w:spacing w:val="-1"/>
          <w:sz w:val="24"/>
        </w:rPr>
        <w:t> </w:t>
      </w:r>
      <w:r>
        <w:rPr>
          <w:sz w:val="24"/>
        </w:rPr>
        <w:t>to:</w:t>
      </w:r>
    </w:p>
    <w:p>
      <w:pPr>
        <w:pStyle w:val="ListParagraph"/>
        <w:numPr>
          <w:ilvl w:val="1"/>
          <w:numId w:val="620"/>
        </w:numPr>
        <w:tabs>
          <w:tab w:pos="2486" w:val="left" w:leader="none"/>
        </w:tabs>
        <w:spacing w:line="240" w:lineRule="auto" w:before="120" w:after="0"/>
        <w:ind w:left="2486" w:right="416" w:hanging="567"/>
        <w:jc w:val="both"/>
        <w:rPr>
          <w:sz w:val="24"/>
        </w:rPr>
      </w:pPr>
      <w:r>
        <w:rPr>
          <w:i/>
          <w:sz w:val="24"/>
        </w:rPr>
        <w:t>NTESMO </w:t>
      </w:r>
      <w:r>
        <w:rPr>
          <w:sz w:val="24"/>
        </w:rPr>
        <w:t>(in respect of a </w:t>
      </w:r>
      <w:r>
        <w:rPr>
          <w:i/>
          <w:sz w:val="24"/>
        </w:rPr>
        <w:t>metering installation </w:t>
      </w:r>
      <w:r>
        <w:rPr>
          <w:sz w:val="24"/>
        </w:rPr>
        <w:t>used for the purposes of</w:t>
      </w:r>
      <w:r>
        <w:rPr>
          <w:spacing w:val="-1"/>
          <w:sz w:val="24"/>
        </w:rPr>
        <w:t> </w:t>
      </w:r>
      <w:r>
        <w:rPr>
          <w:i/>
          <w:sz w:val="24"/>
        </w:rPr>
        <w:t>settlements</w:t>
      </w:r>
      <w:r>
        <w:rPr>
          <w:sz w:val="24"/>
        </w:rPr>
        <w:t>);</w:t>
      </w:r>
    </w:p>
    <w:p>
      <w:pPr>
        <w:pStyle w:val="ListParagraph"/>
        <w:numPr>
          <w:ilvl w:val="1"/>
          <w:numId w:val="620"/>
        </w:numPr>
        <w:tabs>
          <w:tab w:pos="2486" w:val="left" w:leader="none"/>
        </w:tabs>
        <w:spacing w:line="240" w:lineRule="auto" w:before="120" w:after="0"/>
        <w:ind w:left="2485" w:right="0" w:hanging="567"/>
        <w:jc w:val="both"/>
        <w:rPr>
          <w:sz w:val="24"/>
        </w:rPr>
      </w:pPr>
      <w:r>
        <w:rPr>
          <w:i/>
          <w:sz w:val="24"/>
        </w:rPr>
        <w:t>Registered Participants</w:t>
      </w:r>
      <w:r>
        <w:rPr>
          <w:sz w:val="24"/>
        </w:rPr>
        <w:t>;</w:t>
      </w:r>
      <w:r>
        <w:rPr>
          <w:spacing w:val="-1"/>
          <w:sz w:val="24"/>
        </w:rPr>
        <w:t> </w:t>
      </w:r>
      <w:r>
        <w:rPr>
          <w:sz w:val="24"/>
        </w:rPr>
        <w:t>and</w:t>
      </w:r>
    </w:p>
    <w:p>
      <w:pPr>
        <w:pStyle w:val="ListParagraph"/>
        <w:numPr>
          <w:ilvl w:val="1"/>
          <w:numId w:val="620"/>
        </w:numPr>
        <w:tabs>
          <w:tab w:pos="2486" w:val="left" w:leader="none"/>
        </w:tabs>
        <w:spacing w:line="240" w:lineRule="auto" w:before="120" w:after="0"/>
        <w:ind w:left="2486" w:right="415" w:hanging="567"/>
        <w:jc w:val="both"/>
        <w:rPr>
          <w:sz w:val="24"/>
        </w:rPr>
      </w:pPr>
      <w:r>
        <w:rPr>
          <w:sz w:val="24"/>
        </w:rPr>
        <w:t>financially responsible participants (in respect of a </w:t>
      </w:r>
      <w:r>
        <w:rPr>
          <w:i/>
          <w:sz w:val="24"/>
        </w:rPr>
        <w:t>metering </w:t>
      </w:r>
      <w:r>
        <w:rPr>
          <w:i/>
          <w:sz w:val="24"/>
        </w:rPr>
        <w:t>installation </w:t>
      </w:r>
      <w:r>
        <w:rPr>
          <w:sz w:val="24"/>
        </w:rPr>
        <w:t>used for the purposes of </w:t>
      </w:r>
      <w:r>
        <w:rPr>
          <w:i/>
          <w:sz w:val="24"/>
        </w:rPr>
        <w:t>billing</w:t>
      </w:r>
      <w:r>
        <w:rPr>
          <w:i/>
          <w:spacing w:val="-1"/>
          <w:sz w:val="24"/>
        </w:rPr>
        <w:t> </w:t>
      </w:r>
      <w:r>
        <w:rPr>
          <w:i/>
          <w:sz w:val="24"/>
        </w:rPr>
        <w:t>transactions</w:t>
      </w:r>
      <w:r>
        <w:rPr>
          <w:sz w:val="24"/>
        </w:rPr>
        <w:t>).</w:t>
      </w:r>
    </w:p>
    <w:p>
      <w:pPr>
        <w:pStyle w:val="BodyText"/>
        <w:spacing w:before="10"/>
        <w:ind w:firstLine="0"/>
        <w:jc w:val="left"/>
        <w:rPr>
          <w:sz w:val="20"/>
        </w:rPr>
      </w:pPr>
    </w:p>
    <w:p>
      <w:pPr>
        <w:pStyle w:val="Heading4"/>
        <w:ind w:left="1352" w:right="615"/>
      </w:pPr>
      <w:bookmarkStart w:name="S7A.8.9.9 Specific metering data process" w:id="2153"/>
      <w:bookmarkEnd w:id="2153"/>
      <w:r>
        <w:rPr>
          <w:b w:val="0"/>
        </w:rPr>
      </w:r>
      <w:bookmarkStart w:name="_bookmark899" w:id="2154"/>
      <w:bookmarkEnd w:id="2154"/>
      <w:r>
        <w:rPr>
          <w:b w:val="0"/>
        </w:rPr>
      </w:r>
      <w:r>
        <w:rPr/>
        <w:t>S7A.8.9.9 Specific metering data processing requirements for type 7 metering installations</w:t>
      </w:r>
    </w:p>
    <w:p>
      <w:pPr>
        <w:spacing w:before="220"/>
        <w:ind w:left="1356" w:right="0" w:firstLine="0"/>
        <w:jc w:val="left"/>
        <w:rPr>
          <w:rFonts w:ascii="Arial"/>
          <w:b/>
          <w:sz w:val="22"/>
        </w:rPr>
      </w:pPr>
      <w:r>
        <w:rPr>
          <w:rFonts w:ascii="Arial"/>
          <w:b/>
          <w:sz w:val="22"/>
        </w:rPr>
        <w:t>Inventory tables, load tables and on/off tables</w:t>
      </w:r>
    </w:p>
    <w:p>
      <w:pPr>
        <w:pStyle w:val="ListParagraph"/>
        <w:numPr>
          <w:ilvl w:val="0"/>
          <w:numId w:val="621"/>
        </w:numPr>
        <w:tabs>
          <w:tab w:pos="1919" w:val="left" w:leader="none"/>
        </w:tabs>
        <w:spacing w:line="240" w:lineRule="auto" w:before="120" w:after="0"/>
        <w:ind w:left="1919" w:right="414" w:hanging="567"/>
        <w:jc w:val="both"/>
        <w:rPr>
          <w:i/>
          <w:sz w:val="24"/>
        </w:rPr>
      </w:pPr>
      <w:r>
        <w:rPr>
          <w:sz w:val="24"/>
        </w:rPr>
        <w:t>Each </w:t>
      </w:r>
      <w:r>
        <w:rPr>
          <w:i/>
          <w:sz w:val="24"/>
        </w:rPr>
        <w:t>Metering Data Provider </w:t>
      </w:r>
      <w:r>
        <w:rPr>
          <w:sz w:val="24"/>
        </w:rPr>
        <w:t>must store inventory tables, load tables and on/off tables in the </w:t>
      </w:r>
      <w:r>
        <w:rPr>
          <w:i/>
          <w:sz w:val="24"/>
        </w:rPr>
        <w:t>metering data services</w:t>
      </w:r>
      <w:r>
        <w:rPr>
          <w:i/>
          <w:spacing w:val="-3"/>
          <w:sz w:val="24"/>
        </w:rPr>
        <w:t> </w:t>
      </w:r>
      <w:r>
        <w:rPr>
          <w:i/>
          <w:sz w:val="24"/>
        </w:rPr>
        <w:t>database</w:t>
      </w:r>
    </w:p>
    <w:p>
      <w:pPr>
        <w:pStyle w:val="ListParagraph"/>
        <w:numPr>
          <w:ilvl w:val="0"/>
          <w:numId w:val="621"/>
        </w:numPr>
        <w:tabs>
          <w:tab w:pos="1919" w:val="left" w:leader="none"/>
        </w:tabs>
        <w:spacing w:line="240" w:lineRule="auto" w:before="120" w:after="0"/>
        <w:ind w:left="1918" w:right="0" w:hanging="567"/>
        <w:jc w:val="both"/>
        <w:rPr>
          <w:sz w:val="24"/>
        </w:rPr>
      </w:pPr>
      <w:r>
        <w:rPr>
          <w:sz w:val="24"/>
        </w:rPr>
        <w:t>Each </w:t>
      </w:r>
      <w:r>
        <w:rPr>
          <w:i/>
          <w:sz w:val="24"/>
        </w:rPr>
        <w:t>Metering Data Provider </w:t>
      </w:r>
      <w:r>
        <w:rPr>
          <w:sz w:val="24"/>
        </w:rPr>
        <w:t>must</w:t>
      </w:r>
      <w:r>
        <w:rPr>
          <w:spacing w:val="-2"/>
          <w:sz w:val="24"/>
        </w:rPr>
        <w:t> </w:t>
      </w:r>
      <w:r>
        <w:rPr>
          <w:sz w:val="24"/>
        </w:rPr>
        <w:t>ensure:</w:t>
      </w:r>
    </w:p>
    <w:p>
      <w:pPr>
        <w:pStyle w:val="ListParagraph"/>
        <w:numPr>
          <w:ilvl w:val="1"/>
          <w:numId w:val="621"/>
        </w:numPr>
        <w:tabs>
          <w:tab w:pos="2486" w:val="left" w:leader="none"/>
        </w:tabs>
        <w:spacing w:line="240" w:lineRule="auto" w:before="120" w:after="0"/>
        <w:ind w:left="2486" w:right="414" w:hanging="567"/>
        <w:jc w:val="both"/>
        <w:rPr>
          <w:sz w:val="24"/>
        </w:rPr>
      </w:pPr>
      <w:r>
        <w:rPr>
          <w:sz w:val="24"/>
        </w:rPr>
        <w:t>inventory tables are complete, correct and updated with any changes provided by the </w:t>
      </w:r>
      <w:r>
        <w:rPr>
          <w:i/>
          <w:sz w:val="24"/>
        </w:rPr>
        <w:t>Local Network Service Provider </w:t>
      </w:r>
      <w:r>
        <w:rPr>
          <w:sz w:val="24"/>
        </w:rPr>
        <w:t>or</w:t>
      </w:r>
      <w:r>
        <w:rPr>
          <w:spacing w:val="29"/>
          <w:sz w:val="24"/>
        </w:rPr>
        <w:t> </w:t>
      </w:r>
      <w:r>
        <w:rPr>
          <w:i/>
          <w:sz w:val="24"/>
        </w:rPr>
        <w:t>Metering </w:t>
      </w:r>
      <w:r>
        <w:rPr>
          <w:i/>
          <w:sz w:val="24"/>
        </w:rPr>
        <w:t>Coordinator</w:t>
      </w:r>
      <w:r>
        <w:rPr>
          <w:sz w:val="24"/>
        </w:rPr>
        <w:t>;</w:t>
      </w:r>
    </w:p>
    <w:p>
      <w:pPr>
        <w:pStyle w:val="ListParagraph"/>
        <w:numPr>
          <w:ilvl w:val="1"/>
          <w:numId w:val="621"/>
        </w:numPr>
        <w:tabs>
          <w:tab w:pos="2486" w:val="left" w:leader="none"/>
        </w:tabs>
        <w:spacing w:line="240" w:lineRule="auto" w:before="120" w:after="0"/>
        <w:ind w:left="2485" w:right="0" w:hanging="567"/>
        <w:jc w:val="both"/>
        <w:rPr>
          <w:sz w:val="24"/>
        </w:rPr>
      </w:pPr>
      <w:r>
        <w:rPr>
          <w:sz w:val="24"/>
        </w:rPr>
        <w:t>on/off tables are complete and correct;</w:t>
      </w:r>
      <w:r>
        <w:rPr>
          <w:spacing w:val="-3"/>
          <w:sz w:val="24"/>
        </w:rPr>
        <w:t> </w:t>
      </w:r>
      <w:r>
        <w:rPr>
          <w:sz w:val="24"/>
        </w:rPr>
        <w:t>and</w:t>
      </w:r>
    </w:p>
    <w:p>
      <w:pPr>
        <w:pStyle w:val="ListParagraph"/>
        <w:numPr>
          <w:ilvl w:val="1"/>
          <w:numId w:val="621"/>
        </w:numPr>
        <w:tabs>
          <w:tab w:pos="2486" w:val="left" w:leader="none"/>
        </w:tabs>
        <w:spacing w:line="240" w:lineRule="auto" w:before="120" w:after="0"/>
        <w:ind w:left="2485" w:right="0" w:hanging="567"/>
        <w:jc w:val="both"/>
        <w:rPr>
          <w:sz w:val="24"/>
        </w:rPr>
      </w:pPr>
      <w:r>
        <w:rPr>
          <w:sz w:val="24"/>
        </w:rPr>
        <w:t>load tables are complete and</w:t>
      </w:r>
      <w:r>
        <w:rPr>
          <w:spacing w:val="-2"/>
          <w:sz w:val="24"/>
        </w:rPr>
        <w:t> </w:t>
      </w:r>
      <w:r>
        <w:rPr>
          <w:sz w:val="24"/>
        </w:rPr>
        <w:t>correct.</w:t>
      </w:r>
    </w:p>
    <w:p>
      <w:pPr>
        <w:pStyle w:val="ListParagraph"/>
        <w:numPr>
          <w:ilvl w:val="0"/>
          <w:numId w:val="621"/>
        </w:numPr>
        <w:tabs>
          <w:tab w:pos="1919" w:val="left" w:leader="none"/>
        </w:tabs>
        <w:spacing w:line="240" w:lineRule="auto" w:before="120" w:after="0"/>
        <w:ind w:left="1919" w:right="414" w:hanging="567"/>
        <w:jc w:val="both"/>
        <w:rPr>
          <w:sz w:val="24"/>
        </w:rPr>
      </w:pPr>
      <w:r>
        <w:rPr>
          <w:sz w:val="24"/>
        </w:rPr>
        <w:t>Each </w:t>
      </w:r>
      <w:r>
        <w:rPr>
          <w:i/>
          <w:sz w:val="24"/>
        </w:rPr>
        <w:t>Metering Data Provider </w:t>
      </w:r>
      <w:r>
        <w:rPr>
          <w:sz w:val="24"/>
        </w:rPr>
        <w:t>must ensure the inventory table, load table and on/off table are versioned for </w:t>
      </w:r>
      <w:r>
        <w:rPr>
          <w:i/>
          <w:sz w:val="24"/>
        </w:rPr>
        <w:t>metering data</w:t>
      </w:r>
      <w:r>
        <w:rPr>
          <w:i/>
          <w:spacing w:val="-4"/>
          <w:sz w:val="24"/>
        </w:rPr>
        <w:t> </w:t>
      </w:r>
      <w:r>
        <w:rPr>
          <w:sz w:val="24"/>
        </w:rPr>
        <w:t>calculations.</w:t>
      </w:r>
    </w:p>
    <w:p>
      <w:pPr>
        <w:spacing w:before="220"/>
        <w:ind w:left="1356" w:right="0" w:firstLine="0"/>
        <w:jc w:val="left"/>
        <w:rPr>
          <w:rFonts w:ascii="Arial"/>
          <w:b/>
          <w:sz w:val="22"/>
        </w:rPr>
      </w:pPr>
      <w:r>
        <w:rPr>
          <w:rFonts w:ascii="Arial"/>
          <w:b/>
          <w:sz w:val="22"/>
        </w:rPr>
        <w:t>Processing of calculated metering data</w:t>
      </w:r>
    </w:p>
    <w:p>
      <w:pPr>
        <w:pStyle w:val="ListParagraph"/>
        <w:numPr>
          <w:ilvl w:val="0"/>
          <w:numId w:val="621"/>
        </w:numPr>
        <w:tabs>
          <w:tab w:pos="1918" w:val="left" w:leader="none"/>
          <w:tab w:pos="1919" w:val="left" w:leader="none"/>
        </w:tabs>
        <w:spacing w:line="240" w:lineRule="auto" w:before="120" w:after="0"/>
        <w:ind w:left="1918" w:right="0" w:hanging="567"/>
        <w:jc w:val="left"/>
        <w:rPr>
          <w:i/>
          <w:sz w:val="24"/>
        </w:rPr>
      </w:pPr>
      <w:r>
        <w:rPr>
          <w:sz w:val="24"/>
        </w:rPr>
        <w:t>Each</w:t>
      </w:r>
      <w:r>
        <w:rPr>
          <w:spacing w:val="9"/>
          <w:sz w:val="24"/>
        </w:rPr>
        <w:t> </w:t>
      </w:r>
      <w:r>
        <w:rPr>
          <w:i/>
          <w:sz w:val="24"/>
        </w:rPr>
        <w:t>Metering</w:t>
      </w:r>
      <w:r>
        <w:rPr>
          <w:i/>
          <w:spacing w:val="9"/>
          <w:sz w:val="24"/>
        </w:rPr>
        <w:t> </w:t>
      </w:r>
      <w:r>
        <w:rPr>
          <w:i/>
          <w:sz w:val="24"/>
        </w:rPr>
        <w:t>Data</w:t>
      </w:r>
      <w:r>
        <w:rPr>
          <w:i/>
          <w:spacing w:val="9"/>
          <w:sz w:val="24"/>
        </w:rPr>
        <w:t> </w:t>
      </w:r>
      <w:r>
        <w:rPr>
          <w:i/>
          <w:sz w:val="24"/>
        </w:rPr>
        <w:t>Provider</w:t>
      </w:r>
      <w:r>
        <w:rPr>
          <w:i/>
          <w:spacing w:val="9"/>
          <w:sz w:val="24"/>
        </w:rPr>
        <w:t> </w:t>
      </w:r>
      <w:r>
        <w:rPr>
          <w:sz w:val="24"/>
        </w:rPr>
        <w:t>must</w:t>
      </w:r>
      <w:r>
        <w:rPr>
          <w:spacing w:val="10"/>
          <w:sz w:val="24"/>
        </w:rPr>
        <w:t> </w:t>
      </w:r>
      <w:r>
        <w:rPr>
          <w:sz w:val="24"/>
        </w:rPr>
        <w:t>ensure</w:t>
      </w:r>
      <w:r>
        <w:rPr>
          <w:spacing w:val="9"/>
          <w:sz w:val="24"/>
        </w:rPr>
        <w:t> </w:t>
      </w:r>
      <w:r>
        <w:rPr>
          <w:sz w:val="24"/>
        </w:rPr>
        <w:t>that</w:t>
      </w:r>
      <w:r>
        <w:rPr>
          <w:spacing w:val="9"/>
          <w:sz w:val="24"/>
        </w:rPr>
        <w:t> </w:t>
      </w:r>
      <w:r>
        <w:rPr>
          <w:sz w:val="24"/>
        </w:rPr>
        <w:t>all</w:t>
      </w:r>
      <w:r>
        <w:rPr>
          <w:spacing w:val="9"/>
          <w:sz w:val="24"/>
        </w:rPr>
        <w:t> </w:t>
      </w:r>
      <w:r>
        <w:rPr>
          <w:i/>
          <w:sz w:val="24"/>
        </w:rPr>
        <w:t>calculated</w:t>
      </w:r>
      <w:r>
        <w:rPr>
          <w:i/>
          <w:spacing w:val="9"/>
          <w:sz w:val="24"/>
        </w:rPr>
        <w:t> </w:t>
      </w:r>
      <w:r>
        <w:rPr>
          <w:i/>
          <w:sz w:val="24"/>
        </w:rPr>
        <w:t>metering</w:t>
      </w:r>
      <w:r>
        <w:rPr>
          <w:i/>
          <w:spacing w:val="10"/>
          <w:sz w:val="24"/>
        </w:rPr>
        <w:t> </w:t>
      </w:r>
      <w:r>
        <w:rPr>
          <w:i/>
          <w:sz w:val="24"/>
        </w:rPr>
        <w:t>data</w:t>
      </w:r>
    </w:p>
    <w:p>
      <w:pPr>
        <w:spacing w:before="0"/>
        <w:ind w:left="1919" w:right="0" w:firstLine="0"/>
        <w:jc w:val="left"/>
        <w:rPr>
          <w:sz w:val="24"/>
        </w:rPr>
      </w:pPr>
      <w:r>
        <w:rPr>
          <w:sz w:val="24"/>
        </w:rPr>
        <w:t>is validated and processed into </w:t>
      </w:r>
      <w:r>
        <w:rPr>
          <w:i/>
          <w:sz w:val="24"/>
        </w:rPr>
        <w:t>recording intervals</w:t>
      </w:r>
      <w:r>
        <w:rPr>
          <w:sz w:val="24"/>
        </w:rPr>
        <w:t>.</w:t>
      </w:r>
    </w:p>
    <w:p>
      <w:pPr>
        <w:spacing w:after="0"/>
        <w:jc w:val="left"/>
        <w:rPr>
          <w:sz w:val="24"/>
        </w:rPr>
        <w:sectPr>
          <w:pgSz w:w="11910" w:h="16840"/>
          <w:pgMar w:header="686" w:footer="637" w:top="1320" w:bottom="820" w:left="1200" w:right="1000"/>
        </w:sectPr>
      </w:pPr>
    </w:p>
    <w:p>
      <w:pPr>
        <w:pStyle w:val="Heading4"/>
        <w:tabs>
          <w:tab w:pos="1658" w:val="left" w:leader="none"/>
        </w:tabs>
        <w:spacing w:before="83"/>
        <w:ind w:left="1352" w:right="567"/>
      </w:pPr>
      <w:bookmarkStart w:name="S7A.8.9.10 Specific metering data estima" w:id="2155"/>
      <w:bookmarkEnd w:id="2155"/>
      <w:r>
        <w:rPr>
          <w:b w:val="0"/>
        </w:rPr>
      </w:r>
      <w:bookmarkStart w:name="_bookmark900" w:id="2156"/>
      <w:bookmarkEnd w:id="2156"/>
      <w:r>
        <w:rPr>
          <w:b w:val="0"/>
        </w:rPr>
      </w:r>
      <w:r>
        <w:rPr/>
        <w:t>S7A.8.9.10</w:t>
        <w:tab/>
        <w:t>Specific metering data estimation requirements for manually read and type 7 metering</w:t>
      </w:r>
      <w:r>
        <w:rPr>
          <w:spacing w:val="-4"/>
        </w:rPr>
        <w:t> </w:t>
      </w:r>
      <w:r>
        <w:rPr/>
        <w:t>installations</w:t>
      </w:r>
    </w:p>
    <w:p>
      <w:pPr>
        <w:pStyle w:val="ListParagraph"/>
        <w:numPr>
          <w:ilvl w:val="0"/>
          <w:numId w:val="622"/>
        </w:numPr>
        <w:tabs>
          <w:tab w:pos="1500" w:val="left" w:leader="none"/>
          <w:tab w:pos="1919" w:val="left" w:leader="none"/>
        </w:tabs>
        <w:spacing w:line="240" w:lineRule="auto" w:before="120" w:after="0"/>
        <w:ind w:left="1918" w:right="0" w:hanging="985"/>
        <w:jc w:val="left"/>
        <w:rPr>
          <w:sz w:val="24"/>
        </w:rPr>
      </w:pPr>
      <w:r>
        <w:rPr>
          <w:sz w:val="24"/>
        </w:rPr>
        <w:t>Each </w:t>
      </w:r>
      <w:r>
        <w:rPr>
          <w:i/>
          <w:sz w:val="24"/>
        </w:rPr>
        <w:t>Metering Data Provider </w:t>
      </w:r>
      <w:r>
        <w:rPr>
          <w:sz w:val="24"/>
        </w:rPr>
        <w:t>must have a process for the creation</w:t>
      </w:r>
      <w:r>
        <w:rPr>
          <w:spacing w:val="58"/>
          <w:sz w:val="24"/>
        </w:rPr>
        <w:t> </w:t>
      </w:r>
      <w:r>
        <w:rPr>
          <w:sz w:val="24"/>
        </w:rPr>
        <w:t>of</w:t>
      </w:r>
    </w:p>
    <w:p>
      <w:pPr>
        <w:spacing w:before="0"/>
        <w:ind w:left="924" w:right="20" w:firstLine="0"/>
        <w:jc w:val="center"/>
        <w:rPr>
          <w:sz w:val="24"/>
        </w:rPr>
      </w:pPr>
      <w:r>
        <w:rPr>
          <w:i/>
          <w:sz w:val="24"/>
        </w:rPr>
        <w:t>estimated metering data </w:t>
      </w:r>
      <w:r>
        <w:rPr>
          <w:sz w:val="24"/>
        </w:rPr>
        <w:t>for type 4A, 5, 6 and 7 </w:t>
      </w:r>
      <w:r>
        <w:rPr>
          <w:i/>
          <w:sz w:val="24"/>
        </w:rPr>
        <w:t>metering installations</w:t>
      </w:r>
      <w:r>
        <w:rPr>
          <w:sz w:val="24"/>
        </w:rPr>
        <w:t>.</w:t>
      </w:r>
    </w:p>
    <w:p>
      <w:pPr>
        <w:pStyle w:val="ListParagraph"/>
        <w:numPr>
          <w:ilvl w:val="0"/>
          <w:numId w:val="622"/>
        </w:numPr>
        <w:tabs>
          <w:tab w:pos="1919" w:val="left" w:leader="none"/>
        </w:tabs>
        <w:spacing w:line="240" w:lineRule="auto" w:before="120" w:after="0"/>
        <w:ind w:left="1918" w:right="0" w:hanging="567"/>
        <w:jc w:val="both"/>
        <w:rPr>
          <w:sz w:val="24"/>
        </w:rPr>
      </w:pPr>
      <w:r>
        <w:rPr>
          <w:sz w:val="24"/>
        </w:rPr>
        <w:t>To meet </w:t>
      </w:r>
      <w:r>
        <w:rPr>
          <w:i/>
          <w:sz w:val="24"/>
        </w:rPr>
        <w:t>metering data </w:t>
      </w:r>
      <w:r>
        <w:rPr>
          <w:sz w:val="24"/>
        </w:rPr>
        <w:t>delivery requirements, this process must</w:t>
      </w:r>
      <w:r>
        <w:rPr>
          <w:spacing w:val="-6"/>
          <w:sz w:val="24"/>
        </w:rPr>
        <w:t> </w:t>
      </w:r>
      <w:r>
        <w:rPr>
          <w:sz w:val="24"/>
        </w:rPr>
        <w:t>either:</w:t>
      </w:r>
    </w:p>
    <w:p>
      <w:pPr>
        <w:pStyle w:val="ListParagraph"/>
        <w:numPr>
          <w:ilvl w:val="1"/>
          <w:numId w:val="622"/>
        </w:numPr>
        <w:tabs>
          <w:tab w:pos="2486" w:val="left" w:leader="none"/>
        </w:tabs>
        <w:spacing w:line="240" w:lineRule="auto" w:before="120" w:after="0"/>
        <w:ind w:left="2486" w:right="414" w:hanging="567"/>
        <w:jc w:val="both"/>
        <w:rPr>
          <w:sz w:val="24"/>
        </w:rPr>
      </w:pPr>
      <w:r>
        <w:rPr>
          <w:sz w:val="24"/>
        </w:rPr>
        <w:t>create individual blocks of </w:t>
      </w:r>
      <w:r>
        <w:rPr>
          <w:i/>
          <w:sz w:val="24"/>
        </w:rPr>
        <w:t>estimated metering data </w:t>
      </w:r>
      <w:r>
        <w:rPr>
          <w:sz w:val="24"/>
        </w:rPr>
        <w:t>on a daily basis;  or</w:t>
      </w:r>
    </w:p>
    <w:p>
      <w:pPr>
        <w:pStyle w:val="ListParagraph"/>
        <w:numPr>
          <w:ilvl w:val="1"/>
          <w:numId w:val="622"/>
        </w:numPr>
        <w:tabs>
          <w:tab w:pos="2486" w:val="left" w:leader="none"/>
        </w:tabs>
        <w:spacing w:line="240" w:lineRule="auto" w:before="120" w:after="0"/>
        <w:ind w:left="2485" w:right="0" w:hanging="567"/>
        <w:jc w:val="both"/>
        <w:rPr>
          <w:sz w:val="24"/>
        </w:rPr>
      </w:pPr>
      <w:r>
        <w:rPr>
          <w:sz w:val="24"/>
        </w:rPr>
        <w:t>create a single block of </w:t>
      </w:r>
      <w:r>
        <w:rPr>
          <w:i/>
          <w:sz w:val="24"/>
        </w:rPr>
        <w:t>estimated metering</w:t>
      </w:r>
      <w:r>
        <w:rPr>
          <w:i/>
          <w:spacing w:val="-1"/>
          <w:sz w:val="24"/>
        </w:rPr>
        <w:t> </w:t>
      </w:r>
      <w:r>
        <w:rPr>
          <w:i/>
          <w:sz w:val="24"/>
        </w:rPr>
        <w:t>data</w:t>
      </w:r>
      <w:r>
        <w:rPr>
          <w:sz w:val="24"/>
        </w:rPr>
        <w:t>:</w:t>
      </w:r>
    </w:p>
    <w:p>
      <w:pPr>
        <w:pStyle w:val="ListParagraph"/>
        <w:numPr>
          <w:ilvl w:val="2"/>
          <w:numId w:val="622"/>
        </w:numPr>
        <w:tabs>
          <w:tab w:pos="3053" w:val="left" w:leader="none"/>
        </w:tabs>
        <w:spacing w:line="240" w:lineRule="auto" w:before="120" w:after="0"/>
        <w:ind w:left="3053" w:right="416" w:hanging="567"/>
        <w:jc w:val="both"/>
        <w:rPr>
          <w:sz w:val="24"/>
        </w:rPr>
      </w:pPr>
      <w:r>
        <w:rPr>
          <w:sz w:val="24"/>
        </w:rPr>
        <w:t>from the date of the last </w:t>
      </w:r>
      <w:r>
        <w:rPr>
          <w:i/>
          <w:sz w:val="24"/>
        </w:rPr>
        <w:t>meter </w:t>
      </w:r>
      <w:r>
        <w:rPr>
          <w:sz w:val="24"/>
        </w:rPr>
        <w:t>reading to a period beyond the next scheduled reading date for type 4A, 5 and 6 </w:t>
      </w:r>
      <w:r>
        <w:rPr>
          <w:i/>
          <w:sz w:val="24"/>
        </w:rPr>
        <w:t>metering </w:t>
      </w:r>
      <w:r>
        <w:rPr>
          <w:i/>
          <w:sz w:val="24"/>
        </w:rPr>
        <w:t>installations</w:t>
      </w:r>
      <w:r>
        <w:rPr>
          <w:sz w:val="24"/>
        </w:rPr>
        <w:t>;</w:t>
      </w:r>
      <w:r>
        <w:rPr>
          <w:spacing w:val="-1"/>
          <w:sz w:val="24"/>
        </w:rPr>
        <w:t> </w:t>
      </w:r>
      <w:r>
        <w:rPr>
          <w:sz w:val="24"/>
        </w:rPr>
        <w:t>or</w:t>
      </w:r>
    </w:p>
    <w:p>
      <w:pPr>
        <w:pStyle w:val="ListParagraph"/>
        <w:numPr>
          <w:ilvl w:val="2"/>
          <w:numId w:val="622"/>
        </w:numPr>
        <w:tabs>
          <w:tab w:pos="3054" w:val="left" w:leader="none"/>
        </w:tabs>
        <w:spacing w:line="240" w:lineRule="auto" w:before="120" w:after="0"/>
        <w:ind w:left="3053" w:right="415" w:hanging="567"/>
        <w:jc w:val="both"/>
        <w:rPr>
          <w:sz w:val="24"/>
        </w:rPr>
      </w:pPr>
      <w:r>
        <w:rPr>
          <w:sz w:val="24"/>
        </w:rPr>
        <w:t>from the date of the last calculation to a period beyond the </w:t>
      </w:r>
      <w:r>
        <w:rPr>
          <w:spacing w:val="-3"/>
          <w:sz w:val="24"/>
        </w:rPr>
        <w:t>next </w:t>
      </w:r>
      <w:r>
        <w:rPr>
          <w:sz w:val="24"/>
        </w:rPr>
        <w:t>scheduled calculation for type 7 </w:t>
      </w:r>
      <w:r>
        <w:rPr>
          <w:i/>
          <w:sz w:val="24"/>
        </w:rPr>
        <w:t>metering</w:t>
      </w:r>
      <w:r>
        <w:rPr>
          <w:i/>
          <w:spacing w:val="-7"/>
          <w:sz w:val="24"/>
        </w:rPr>
        <w:t> </w:t>
      </w:r>
      <w:r>
        <w:rPr>
          <w:i/>
          <w:sz w:val="24"/>
        </w:rPr>
        <w:t>installations</w:t>
      </w:r>
      <w:r>
        <w:rPr>
          <w:sz w:val="24"/>
        </w:rPr>
        <w:t>.</w:t>
      </w:r>
    </w:p>
    <w:p>
      <w:pPr>
        <w:pStyle w:val="BodyText"/>
        <w:spacing w:before="10"/>
        <w:ind w:firstLine="0"/>
        <w:jc w:val="left"/>
        <w:rPr>
          <w:sz w:val="20"/>
        </w:rPr>
      </w:pPr>
    </w:p>
    <w:p>
      <w:pPr>
        <w:pStyle w:val="Heading4"/>
        <w:tabs>
          <w:tab w:pos="1658" w:val="left" w:leader="none"/>
        </w:tabs>
        <w:ind w:left="218" w:firstLine="0"/>
      </w:pPr>
      <w:bookmarkStart w:name="S7A.8.9.11 Delivery performance requirem" w:id="2157"/>
      <w:bookmarkEnd w:id="2157"/>
      <w:r>
        <w:rPr>
          <w:b w:val="0"/>
        </w:rPr>
      </w:r>
      <w:bookmarkStart w:name="_bookmark901" w:id="2158"/>
      <w:bookmarkEnd w:id="2158"/>
      <w:r>
        <w:rPr>
          <w:b w:val="0"/>
        </w:rPr>
      </w:r>
      <w:r>
        <w:rPr/>
        <w:t>S7A.8.9.11</w:t>
        <w:tab/>
        <w:t>Delivery performance requirements for metering</w:t>
      </w:r>
      <w:r>
        <w:rPr>
          <w:spacing w:val="-6"/>
        </w:rPr>
        <w:t> </w:t>
      </w:r>
      <w:r>
        <w:rPr/>
        <w:t>data</w:t>
      </w:r>
    </w:p>
    <w:p>
      <w:pPr>
        <w:spacing w:before="220"/>
        <w:ind w:left="1356" w:right="0" w:firstLine="0"/>
        <w:jc w:val="left"/>
        <w:rPr>
          <w:rFonts w:ascii="Arial"/>
          <w:b/>
          <w:sz w:val="22"/>
        </w:rPr>
      </w:pPr>
      <w:r>
        <w:rPr>
          <w:rFonts w:ascii="Arial"/>
          <w:b/>
          <w:sz w:val="22"/>
        </w:rPr>
        <w:t>Obligation to deliver information to NTESMO</w:t>
      </w:r>
    </w:p>
    <w:p>
      <w:pPr>
        <w:pStyle w:val="ListParagraph"/>
        <w:numPr>
          <w:ilvl w:val="0"/>
          <w:numId w:val="623"/>
        </w:numPr>
        <w:tabs>
          <w:tab w:pos="1919" w:val="left" w:leader="none"/>
        </w:tabs>
        <w:spacing w:line="240" w:lineRule="auto" w:before="120" w:after="0"/>
        <w:ind w:left="1919" w:right="414" w:hanging="567"/>
        <w:jc w:val="both"/>
        <w:rPr>
          <w:sz w:val="24"/>
        </w:rPr>
      </w:pPr>
      <w:r>
        <w:rPr>
          <w:sz w:val="24"/>
        </w:rPr>
        <w:t>Where this clause S7A.8.9.11 imposes an obligation on a </w:t>
      </w:r>
      <w:r>
        <w:rPr>
          <w:i/>
          <w:sz w:val="24"/>
        </w:rPr>
        <w:t>Metering Data </w:t>
      </w:r>
      <w:r>
        <w:rPr>
          <w:i/>
          <w:sz w:val="24"/>
        </w:rPr>
        <w:t>Provider </w:t>
      </w:r>
      <w:r>
        <w:rPr>
          <w:sz w:val="24"/>
        </w:rPr>
        <w:t>to deliver </w:t>
      </w:r>
      <w:r>
        <w:rPr>
          <w:i/>
          <w:sz w:val="24"/>
        </w:rPr>
        <w:t>metering data </w:t>
      </w:r>
      <w:r>
        <w:rPr>
          <w:sz w:val="24"/>
        </w:rPr>
        <w:t>or other information to </w:t>
      </w:r>
      <w:r>
        <w:rPr>
          <w:i/>
          <w:sz w:val="24"/>
        </w:rPr>
        <w:t>NTESMO</w:t>
      </w:r>
      <w:r>
        <w:rPr>
          <w:sz w:val="24"/>
        </w:rPr>
        <w:t>, that obligation only applies in respect of a </w:t>
      </w:r>
      <w:r>
        <w:rPr>
          <w:i/>
          <w:sz w:val="24"/>
        </w:rPr>
        <w:t>metering installation </w:t>
      </w:r>
      <w:r>
        <w:rPr>
          <w:sz w:val="24"/>
        </w:rPr>
        <w:t>that is used for the purposes of</w:t>
      </w:r>
      <w:r>
        <w:rPr>
          <w:spacing w:val="-1"/>
          <w:sz w:val="24"/>
        </w:rPr>
        <w:t> </w:t>
      </w:r>
      <w:r>
        <w:rPr>
          <w:i/>
          <w:sz w:val="24"/>
        </w:rPr>
        <w:t>settlements</w:t>
      </w:r>
      <w:r>
        <w:rPr>
          <w:sz w:val="24"/>
        </w:rPr>
        <w:t>.</w:t>
      </w:r>
    </w:p>
    <w:p>
      <w:pPr>
        <w:spacing w:before="220"/>
        <w:ind w:left="1356" w:right="0" w:firstLine="0"/>
        <w:jc w:val="left"/>
        <w:rPr>
          <w:rFonts w:ascii="Arial"/>
          <w:b/>
          <w:sz w:val="22"/>
        </w:rPr>
      </w:pPr>
      <w:r>
        <w:rPr>
          <w:rFonts w:ascii="Arial"/>
          <w:b/>
          <w:sz w:val="22"/>
        </w:rPr>
        <w:t>Obligation to deliver information to financially responsible participants</w:t>
      </w:r>
    </w:p>
    <w:p>
      <w:pPr>
        <w:pStyle w:val="ListParagraph"/>
        <w:numPr>
          <w:ilvl w:val="0"/>
          <w:numId w:val="623"/>
        </w:numPr>
        <w:tabs>
          <w:tab w:pos="1919" w:val="left" w:leader="none"/>
        </w:tabs>
        <w:spacing w:line="240" w:lineRule="auto" w:before="120" w:after="0"/>
        <w:ind w:left="1919" w:right="415" w:hanging="567"/>
        <w:jc w:val="both"/>
        <w:rPr>
          <w:sz w:val="24"/>
        </w:rPr>
      </w:pPr>
      <w:r>
        <w:rPr>
          <w:sz w:val="24"/>
        </w:rPr>
        <w:t>Where this clause S7A.8.9.11 (other than paragraph S7A.8.9.11(e)) imposes an obligation on a </w:t>
      </w:r>
      <w:r>
        <w:rPr>
          <w:i/>
          <w:sz w:val="24"/>
        </w:rPr>
        <w:t>Metering Data Provider </w:t>
      </w:r>
      <w:r>
        <w:rPr>
          <w:sz w:val="24"/>
        </w:rPr>
        <w:t>to deliver </w:t>
      </w:r>
      <w:r>
        <w:rPr>
          <w:i/>
          <w:sz w:val="24"/>
        </w:rPr>
        <w:t>metering data </w:t>
      </w:r>
      <w:r>
        <w:rPr>
          <w:sz w:val="24"/>
        </w:rPr>
        <w:t>or other information to financially responsible participants, that obligation only applies in respect of a </w:t>
      </w:r>
      <w:r>
        <w:rPr>
          <w:i/>
          <w:sz w:val="24"/>
        </w:rPr>
        <w:t>metering installation </w:t>
      </w:r>
      <w:r>
        <w:rPr>
          <w:sz w:val="24"/>
        </w:rPr>
        <w:t>that is used for the purposes of </w:t>
      </w:r>
      <w:r>
        <w:rPr>
          <w:i/>
          <w:sz w:val="24"/>
        </w:rPr>
        <w:t>billing</w:t>
      </w:r>
      <w:r>
        <w:rPr>
          <w:i/>
          <w:spacing w:val="-1"/>
          <w:sz w:val="24"/>
        </w:rPr>
        <w:t> </w:t>
      </w:r>
      <w:r>
        <w:rPr>
          <w:i/>
          <w:sz w:val="24"/>
        </w:rPr>
        <w:t>transactions</w:t>
      </w:r>
      <w:r>
        <w:rPr>
          <w:sz w:val="24"/>
        </w:rPr>
        <w:t>.</w:t>
      </w:r>
    </w:p>
    <w:p>
      <w:pPr>
        <w:spacing w:before="220"/>
        <w:ind w:left="1356" w:right="0" w:firstLine="0"/>
        <w:jc w:val="left"/>
        <w:rPr>
          <w:rFonts w:ascii="Arial"/>
          <w:b/>
          <w:sz w:val="22"/>
        </w:rPr>
      </w:pPr>
      <w:r>
        <w:rPr>
          <w:rFonts w:ascii="Arial"/>
          <w:b/>
          <w:sz w:val="22"/>
        </w:rPr>
        <w:t>Validated metering data to be delivered</w:t>
      </w:r>
    </w:p>
    <w:p>
      <w:pPr>
        <w:pStyle w:val="ListParagraph"/>
        <w:numPr>
          <w:ilvl w:val="0"/>
          <w:numId w:val="623"/>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ensure only validated </w:t>
      </w:r>
      <w:r>
        <w:rPr>
          <w:i/>
          <w:sz w:val="24"/>
        </w:rPr>
        <w:t>metering data </w:t>
      </w:r>
      <w:r>
        <w:rPr>
          <w:sz w:val="24"/>
        </w:rPr>
        <w:t>is delivered to </w:t>
      </w:r>
      <w:r>
        <w:rPr>
          <w:i/>
          <w:sz w:val="24"/>
        </w:rPr>
        <w:t>NTESMO</w:t>
      </w:r>
      <w:r>
        <w:rPr>
          <w:sz w:val="24"/>
        </w:rPr>
        <w:t>, </w:t>
      </w:r>
      <w:r>
        <w:rPr>
          <w:i/>
          <w:sz w:val="24"/>
        </w:rPr>
        <w:t>Registered Participants </w:t>
      </w:r>
      <w:r>
        <w:rPr>
          <w:sz w:val="24"/>
        </w:rPr>
        <w:t>and financially responsible participants.</w:t>
      </w:r>
    </w:p>
    <w:p>
      <w:pPr>
        <w:spacing w:before="220"/>
        <w:ind w:left="1356" w:right="0" w:firstLine="0"/>
        <w:jc w:val="left"/>
        <w:rPr>
          <w:rFonts w:ascii="Arial"/>
          <w:b/>
          <w:sz w:val="22"/>
        </w:rPr>
      </w:pPr>
      <w:r>
        <w:rPr>
          <w:rFonts w:ascii="Arial"/>
          <w:b/>
          <w:sz w:val="22"/>
        </w:rPr>
        <w:t>Delivery timing requirements</w:t>
      </w:r>
    </w:p>
    <w:p>
      <w:pPr>
        <w:pStyle w:val="ListParagraph"/>
        <w:numPr>
          <w:ilvl w:val="0"/>
          <w:numId w:val="623"/>
        </w:numPr>
        <w:tabs>
          <w:tab w:pos="1919" w:val="left" w:leader="none"/>
        </w:tabs>
        <w:spacing w:line="240" w:lineRule="auto" w:before="120" w:after="0"/>
        <w:ind w:left="1919" w:right="414" w:hanging="567"/>
        <w:jc w:val="both"/>
        <w:rPr>
          <w:sz w:val="24"/>
        </w:rPr>
      </w:pPr>
      <w:r>
        <w:rPr>
          <w:sz w:val="24"/>
        </w:rPr>
        <w:t>Subject to any agreement to the contrary as contemplated by clause S7A.8.13.1, each </w:t>
      </w:r>
      <w:r>
        <w:rPr>
          <w:i/>
          <w:sz w:val="24"/>
        </w:rPr>
        <w:t>Metering Data Provider</w:t>
      </w:r>
      <w:r>
        <w:rPr>
          <w:i/>
          <w:spacing w:val="-3"/>
          <w:sz w:val="24"/>
        </w:rPr>
        <w:t> </w:t>
      </w:r>
      <w:r>
        <w:rPr>
          <w:sz w:val="24"/>
        </w:rPr>
        <w:t>must:</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deliver to </w:t>
      </w:r>
      <w:r>
        <w:rPr>
          <w:i/>
          <w:sz w:val="24"/>
        </w:rPr>
        <w:t>NTESMO</w:t>
      </w:r>
      <w:r>
        <w:rPr>
          <w:sz w:val="24"/>
        </w:rPr>
        <w:t>, </w:t>
      </w:r>
      <w:r>
        <w:rPr>
          <w:i/>
          <w:sz w:val="24"/>
        </w:rPr>
        <w:t>Registered Participants </w:t>
      </w:r>
      <w:r>
        <w:rPr>
          <w:sz w:val="24"/>
        </w:rPr>
        <w:t>and financially responsible participants all actual </w:t>
      </w:r>
      <w:r>
        <w:rPr>
          <w:i/>
          <w:sz w:val="24"/>
        </w:rPr>
        <w:t>meter </w:t>
      </w:r>
      <w:r>
        <w:rPr>
          <w:sz w:val="24"/>
        </w:rPr>
        <w:t>readings that passed validation within 2 </w:t>
      </w:r>
      <w:r>
        <w:rPr>
          <w:i/>
          <w:sz w:val="24"/>
        </w:rPr>
        <w:t>business days </w:t>
      </w:r>
      <w:r>
        <w:rPr>
          <w:sz w:val="24"/>
        </w:rPr>
        <w:t>of the actual </w:t>
      </w:r>
      <w:r>
        <w:rPr>
          <w:i/>
          <w:sz w:val="24"/>
        </w:rPr>
        <w:t>meter </w:t>
      </w:r>
      <w:r>
        <w:rPr>
          <w:sz w:val="24"/>
        </w:rPr>
        <w:t>readings being received into the </w:t>
      </w:r>
      <w:r>
        <w:rPr>
          <w:i/>
          <w:sz w:val="24"/>
        </w:rPr>
        <w:t>metering data services</w:t>
      </w:r>
      <w:r>
        <w:rPr>
          <w:i/>
          <w:spacing w:val="-3"/>
          <w:sz w:val="24"/>
        </w:rPr>
        <w:t> </w:t>
      </w:r>
      <w:r>
        <w:rPr>
          <w:i/>
          <w:sz w:val="24"/>
        </w:rPr>
        <w:t>database</w:t>
      </w:r>
      <w:r>
        <w:rPr>
          <w:sz w:val="24"/>
        </w:rPr>
        <w:t>;</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substitute, validate and deliver to </w:t>
      </w:r>
      <w:r>
        <w:rPr>
          <w:i/>
          <w:sz w:val="24"/>
        </w:rPr>
        <w:t>NTESMO</w:t>
      </w:r>
      <w:r>
        <w:rPr>
          <w:sz w:val="24"/>
        </w:rPr>
        <w:t>, </w:t>
      </w:r>
      <w:r>
        <w:rPr>
          <w:i/>
          <w:sz w:val="24"/>
        </w:rPr>
        <w:t>Registered Participants </w:t>
      </w:r>
      <w:r>
        <w:rPr>
          <w:sz w:val="24"/>
        </w:rPr>
        <w:t>and financially responsible participants the </w:t>
      </w:r>
      <w:r>
        <w:rPr>
          <w:i/>
          <w:sz w:val="24"/>
        </w:rPr>
        <w:t>substituted metering data </w:t>
      </w:r>
      <w:r>
        <w:rPr>
          <w:sz w:val="24"/>
        </w:rPr>
        <w:t>within 2 </w:t>
      </w:r>
      <w:r>
        <w:rPr>
          <w:i/>
          <w:sz w:val="24"/>
        </w:rPr>
        <w:t>business days </w:t>
      </w:r>
      <w:r>
        <w:rPr>
          <w:sz w:val="24"/>
        </w:rPr>
        <w:t>of the actual </w:t>
      </w:r>
      <w:r>
        <w:rPr>
          <w:i/>
          <w:sz w:val="24"/>
        </w:rPr>
        <w:t>meter </w:t>
      </w:r>
      <w:r>
        <w:rPr>
          <w:sz w:val="24"/>
        </w:rPr>
        <w:t>readings being received into the </w:t>
      </w:r>
      <w:r>
        <w:rPr>
          <w:i/>
          <w:sz w:val="24"/>
        </w:rPr>
        <w:t>metering data services database </w:t>
      </w:r>
      <w:r>
        <w:rPr>
          <w:sz w:val="24"/>
        </w:rPr>
        <w:t>and failing</w:t>
      </w:r>
      <w:r>
        <w:rPr>
          <w:spacing w:val="-6"/>
          <w:sz w:val="24"/>
        </w:rPr>
        <w:t> </w:t>
      </w:r>
      <w:r>
        <w:rPr>
          <w:sz w:val="24"/>
        </w:rPr>
        <w:t>validation;</w:t>
      </w:r>
    </w:p>
    <w:p>
      <w:pPr>
        <w:spacing w:after="0" w:line="240" w:lineRule="auto"/>
        <w:jc w:val="both"/>
        <w:rPr>
          <w:sz w:val="24"/>
        </w:rPr>
        <w:sectPr>
          <w:pgSz w:w="11910" w:h="16840"/>
          <w:pgMar w:header="686" w:footer="637" w:top="1320" w:bottom="820" w:left="1200" w:right="1000"/>
        </w:sectPr>
      </w:pPr>
    </w:p>
    <w:p>
      <w:pPr>
        <w:pStyle w:val="ListParagraph"/>
        <w:numPr>
          <w:ilvl w:val="1"/>
          <w:numId w:val="623"/>
        </w:numPr>
        <w:tabs>
          <w:tab w:pos="2486" w:val="left" w:leader="none"/>
        </w:tabs>
        <w:spacing w:line="240" w:lineRule="auto" w:before="83" w:after="0"/>
        <w:ind w:left="2486" w:right="415" w:hanging="567"/>
        <w:jc w:val="both"/>
        <w:rPr>
          <w:sz w:val="24"/>
        </w:rPr>
      </w:pPr>
      <w:r>
        <w:rPr>
          <w:sz w:val="24"/>
        </w:rPr>
        <w:t>substitute, validate and deliver to </w:t>
      </w:r>
      <w:r>
        <w:rPr>
          <w:i/>
          <w:sz w:val="24"/>
        </w:rPr>
        <w:t>NTESMO, Registered Participants </w:t>
      </w:r>
      <w:r>
        <w:rPr>
          <w:sz w:val="24"/>
        </w:rPr>
        <w:t>and financially responsible participants the </w:t>
      </w:r>
      <w:r>
        <w:rPr>
          <w:i/>
          <w:sz w:val="24"/>
        </w:rPr>
        <w:t>substituted metering data </w:t>
      </w:r>
      <w:r>
        <w:rPr>
          <w:sz w:val="24"/>
        </w:rPr>
        <w:t>within 2 </w:t>
      </w:r>
      <w:r>
        <w:rPr>
          <w:i/>
          <w:sz w:val="24"/>
        </w:rPr>
        <w:t>business days </w:t>
      </w:r>
      <w:r>
        <w:rPr>
          <w:sz w:val="24"/>
        </w:rPr>
        <w:t>of the receipt of any fault reason codes associated with a reading failure or failed interrogation event, into the </w:t>
      </w:r>
      <w:r>
        <w:rPr>
          <w:i/>
          <w:sz w:val="24"/>
        </w:rPr>
        <w:t>metering data services</w:t>
      </w:r>
      <w:r>
        <w:rPr>
          <w:i/>
          <w:spacing w:val="-2"/>
          <w:sz w:val="24"/>
        </w:rPr>
        <w:t> </w:t>
      </w:r>
      <w:r>
        <w:rPr>
          <w:i/>
          <w:sz w:val="24"/>
        </w:rPr>
        <w:t>database</w:t>
      </w:r>
      <w:r>
        <w:rPr>
          <w:sz w:val="24"/>
        </w:rPr>
        <w:t>;</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validate and deliver to </w:t>
      </w:r>
      <w:r>
        <w:rPr>
          <w:i/>
          <w:sz w:val="24"/>
        </w:rPr>
        <w:t>NTESMO</w:t>
      </w:r>
      <w:r>
        <w:rPr>
          <w:sz w:val="24"/>
        </w:rPr>
        <w:t>, </w:t>
      </w:r>
      <w:r>
        <w:rPr>
          <w:i/>
          <w:sz w:val="24"/>
        </w:rPr>
        <w:t>Registered Participants </w:t>
      </w:r>
      <w:r>
        <w:rPr>
          <w:spacing w:val="-5"/>
          <w:sz w:val="24"/>
        </w:rPr>
        <w:t>and </w:t>
      </w:r>
      <w:r>
        <w:rPr>
          <w:sz w:val="24"/>
        </w:rPr>
        <w:t>financially responsible participants all </w:t>
      </w:r>
      <w:r>
        <w:rPr>
          <w:i/>
          <w:sz w:val="24"/>
        </w:rPr>
        <w:t>substituted metering data </w:t>
      </w:r>
      <w:r>
        <w:rPr>
          <w:sz w:val="24"/>
        </w:rPr>
        <w:t>within 2 </w:t>
      </w:r>
      <w:r>
        <w:rPr>
          <w:i/>
          <w:sz w:val="24"/>
        </w:rPr>
        <w:t>business days </w:t>
      </w:r>
      <w:r>
        <w:rPr>
          <w:sz w:val="24"/>
        </w:rPr>
        <w:t>of the </w:t>
      </w:r>
      <w:r>
        <w:rPr>
          <w:i/>
          <w:sz w:val="24"/>
        </w:rPr>
        <w:t>metering data </w:t>
      </w:r>
      <w:r>
        <w:rPr>
          <w:sz w:val="24"/>
        </w:rPr>
        <w:t>being</w:t>
      </w:r>
      <w:r>
        <w:rPr>
          <w:spacing w:val="-7"/>
          <w:sz w:val="24"/>
        </w:rPr>
        <w:t> </w:t>
      </w:r>
      <w:r>
        <w:rPr>
          <w:sz w:val="24"/>
        </w:rPr>
        <w:t>substituted;</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ensure that all </w:t>
      </w:r>
      <w:r>
        <w:rPr>
          <w:i/>
          <w:sz w:val="24"/>
        </w:rPr>
        <w:t>metering data </w:t>
      </w:r>
      <w:r>
        <w:rPr>
          <w:sz w:val="24"/>
        </w:rPr>
        <w:t>is delivered to </w:t>
      </w:r>
      <w:r>
        <w:rPr>
          <w:i/>
          <w:sz w:val="24"/>
        </w:rPr>
        <w:t>NTESMO</w:t>
      </w:r>
      <w:r>
        <w:rPr>
          <w:sz w:val="24"/>
        </w:rPr>
        <w:t>, </w:t>
      </w:r>
      <w:r>
        <w:rPr>
          <w:i/>
          <w:sz w:val="24"/>
        </w:rPr>
        <w:t>Registered </w:t>
      </w:r>
      <w:r>
        <w:rPr>
          <w:i/>
          <w:sz w:val="24"/>
        </w:rPr>
        <w:t>Participants </w:t>
      </w:r>
      <w:r>
        <w:rPr>
          <w:sz w:val="24"/>
        </w:rPr>
        <w:t>and financially responsible participants for the full period of any retrospectively created </w:t>
      </w:r>
      <w:r>
        <w:rPr>
          <w:i/>
          <w:sz w:val="24"/>
        </w:rPr>
        <w:t>metering </w:t>
      </w:r>
      <w:r>
        <w:rPr>
          <w:sz w:val="24"/>
        </w:rPr>
        <w:t>data streams within 2 </w:t>
      </w:r>
      <w:r>
        <w:rPr>
          <w:i/>
          <w:sz w:val="24"/>
        </w:rPr>
        <w:t>business </w:t>
      </w:r>
      <w:r>
        <w:rPr>
          <w:i/>
          <w:sz w:val="24"/>
        </w:rPr>
        <w:t>days </w:t>
      </w:r>
      <w:r>
        <w:rPr>
          <w:sz w:val="24"/>
        </w:rPr>
        <w:t>of that </w:t>
      </w:r>
      <w:r>
        <w:rPr>
          <w:i/>
          <w:sz w:val="24"/>
        </w:rPr>
        <w:t>metering </w:t>
      </w:r>
      <w:r>
        <w:rPr>
          <w:sz w:val="24"/>
        </w:rPr>
        <w:t>data streams being created;</w:t>
      </w:r>
      <w:r>
        <w:rPr>
          <w:spacing w:val="-2"/>
          <w:sz w:val="24"/>
        </w:rPr>
        <w:t> </w:t>
      </w:r>
      <w:r>
        <w:rPr>
          <w:sz w:val="24"/>
        </w:rPr>
        <w:t>and</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for type 4A, 5, 6 and 7 </w:t>
      </w:r>
      <w:r>
        <w:rPr>
          <w:i/>
          <w:sz w:val="24"/>
        </w:rPr>
        <w:t>metering installations</w:t>
      </w:r>
      <w:r>
        <w:rPr>
          <w:sz w:val="24"/>
        </w:rPr>
        <w:t>, validate and deliver to </w:t>
      </w:r>
      <w:r>
        <w:rPr>
          <w:i/>
          <w:sz w:val="24"/>
        </w:rPr>
        <w:t>NTESMO</w:t>
      </w:r>
      <w:r>
        <w:rPr>
          <w:sz w:val="24"/>
        </w:rPr>
        <w:t>, </w:t>
      </w:r>
      <w:r>
        <w:rPr>
          <w:i/>
          <w:sz w:val="24"/>
        </w:rPr>
        <w:t>Registered Participants </w:t>
      </w:r>
      <w:r>
        <w:rPr>
          <w:sz w:val="24"/>
        </w:rPr>
        <w:t>and financially responsible participants all </w:t>
      </w:r>
      <w:r>
        <w:rPr>
          <w:i/>
          <w:sz w:val="24"/>
        </w:rPr>
        <w:t>estimated metering data </w:t>
      </w:r>
      <w:r>
        <w:rPr>
          <w:sz w:val="24"/>
        </w:rPr>
        <w:t>within 2 </w:t>
      </w:r>
      <w:r>
        <w:rPr>
          <w:i/>
          <w:sz w:val="24"/>
        </w:rPr>
        <w:t>business days </w:t>
      </w:r>
      <w:r>
        <w:rPr>
          <w:sz w:val="24"/>
        </w:rPr>
        <w:t>of the </w:t>
      </w:r>
      <w:r>
        <w:rPr>
          <w:i/>
          <w:sz w:val="24"/>
        </w:rPr>
        <w:t>metering data </w:t>
      </w:r>
      <w:r>
        <w:rPr>
          <w:sz w:val="24"/>
        </w:rPr>
        <w:t>being</w:t>
      </w:r>
      <w:r>
        <w:rPr>
          <w:spacing w:val="-2"/>
          <w:sz w:val="24"/>
        </w:rPr>
        <w:t> </w:t>
      </w:r>
      <w:r>
        <w:rPr>
          <w:sz w:val="24"/>
        </w:rPr>
        <w:t>estimated.</w:t>
      </w:r>
    </w:p>
    <w:p>
      <w:pPr>
        <w:pStyle w:val="ListParagraph"/>
        <w:numPr>
          <w:ilvl w:val="0"/>
          <w:numId w:val="623"/>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provide </w:t>
      </w:r>
      <w:r>
        <w:rPr>
          <w:i/>
          <w:sz w:val="24"/>
        </w:rPr>
        <w:t>metering data </w:t>
      </w:r>
      <w:r>
        <w:rPr>
          <w:sz w:val="24"/>
        </w:rPr>
        <w:t>to the relevant financially responsible participants within 2 </w:t>
      </w:r>
      <w:r>
        <w:rPr>
          <w:i/>
          <w:sz w:val="24"/>
        </w:rPr>
        <w:t>business days </w:t>
      </w:r>
      <w:r>
        <w:rPr>
          <w:sz w:val="24"/>
        </w:rPr>
        <w:t>of receiving a completed notification of a change of financially responsible participants, including </w:t>
      </w:r>
      <w:r>
        <w:rPr>
          <w:i/>
          <w:sz w:val="24"/>
        </w:rPr>
        <w:t>estimated metering data</w:t>
      </w:r>
      <w:r>
        <w:rPr>
          <w:sz w:val="24"/>
        </w:rPr>
        <w:t>, for a type 4A, 5, 6 or 7 </w:t>
      </w:r>
      <w:r>
        <w:rPr>
          <w:i/>
          <w:sz w:val="24"/>
        </w:rPr>
        <w:t>metering </w:t>
      </w:r>
      <w:r>
        <w:rPr>
          <w:i/>
          <w:sz w:val="24"/>
        </w:rPr>
        <w:t>installation</w:t>
      </w:r>
      <w:r>
        <w:rPr>
          <w:sz w:val="24"/>
        </w:rPr>
        <w:t>.</w:t>
      </w:r>
    </w:p>
    <w:p>
      <w:pPr>
        <w:spacing w:before="220"/>
        <w:ind w:left="1356" w:right="0" w:firstLine="0"/>
        <w:jc w:val="left"/>
        <w:rPr>
          <w:rFonts w:ascii="Arial"/>
          <w:b/>
          <w:sz w:val="22"/>
        </w:rPr>
      </w:pPr>
      <w:r>
        <w:rPr>
          <w:rFonts w:ascii="Arial"/>
          <w:b/>
          <w:sz w:val="22"/>
        </w:rPr>
        <w:t>Review of failed validations</w:t>
      </w:r>
    </w:p>
    <w:p>
      <w:pPr>
        <w:pStyle w:val="ListParagraph"/>
        <w:numPr>
          <w:ilvl w:val="0"/>
          <w:numId w:val="623"/>
        </w:numPr>
        <w:tabs>
          <w:tab w:pos="1920"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ensure that all failed validations are reviewed promptly so as</w:t>
      </w:r>
      <w:r>
        <w:rPr>
          <w:spacing w:val="-2"/>
          <w:sz w:val="24"/>
        </w:rPr>
        <w:t> </w:t>
      </w:r>
      <w:r>
        <w:rPr>
          <w:sz w:val="24"/>
        </w:rPr>
        <w:t>to:</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where the initial review of the failed validation identifies that the actual </w:t>
      </w:r>
      <w:r>
        <w:rPr>
          <w:i/>
          <w:sz w:val="24"/>
        </w:rPr>
        <w:t>meter </w:t>
      </w:r>
      <w:r>
        <w:rPr>
          <w:sz w:val="24"/>
        </w:rPr>
        <w:t>readings are valid, deliver the actual </w:t>
      </w:r>
      <w:r>
        <w:rPr>
          <w:i/>
          <w:sz w:val="24"/>
        </w:rPr>
        <w:t>meter </w:t>
      </w:r>
      <w:r>
        <w:rPr>
          <w:sz w:val="24"/>
        </w:rPr>
        <w:t>readings to </w:t>
      </w:r>
      <w:r>
        <w:rPr>
          <w:i/>
          <w:sz w:val="24"/>
        </w:rPr>
        <w:t>NTESMO</w:t>
      </w:r>
      <w:r>
        <w:rPr>
          <w:sz w:val="24"/>
        </w:rPr>
        <w:t>, </w:t>
      </w:r>
      <w:r>
        <w:rPr>
          <w:i/>
          <w:sz w:val="24"/>
        </w:rPr>
        <w:t>Registered Participants </w:t>
      </w:r>
      <w:r>
        <w:rPr>
          <w:sz w:val="24"/>
        </w:rPr>
        <w:t>and financially responsible participants within 2 </w:t>
      </w:r>
      <w:r>
        <w:rPr>
          <w:i/>
          <w:sz w:val="24"/>
        </w:rPr>
        <w:t>business days </w:t>
      </w:r>
      <w:r>
        <w:rPr>
          <w:sz w:val="24"/>
        </w:rPr>
        <w:t>of the </w:t>
      </w:r>
      <w:r>
        <w:rPr>
          <w:i/>
          <w:sz w:val="24"/>
        </w:rPr>
        <w:t>metering data </w:t>
      </w:r>
      <w:r>
        <w:rPr>
          <w:sz w:val="24"/>
        </w:rPr>
        <w:t>being received into the </w:t>
      </w:r>
      <w:r>
        <w:rPr>
          <w:i/>
          <w:sz w:val="24"/>
        </w:rPr>
        <w:t>metering data services database</w:t>
      </w:r>
      <w:r>
        <w:rPr>
          <w:sz w:val="24"/>
        </w:rPr>
        <w:t>;</w:t>
      </w:r>
      <w:r>
        <w:rPr>
          <w:spacing w:val="-5"/>
          <w:sz w:val="24"/>
        </w:rPr>
        <w:t> </w:t>
      </w:r>
      <w:r>
        <w:rPr>
          <w:sz w:val="24"/>
        </w:rPr>
        <w:t>and</w:t>
      </w:r>
    </w:p>
    <w:p>
      <w:pPr>
        <w:pStyle w:val="ListParagraph"/>
        <w:numPr>
          <w:ilvl w:val="1"/>
          <w:numId w:val="623"/>
        </w:numPr>
        <w:tabs>
          <w:tab w:pos="2486" w:val="left" w:leader="none"/>
        </w:tabs>
        <w:spacing w:line="240" w:lineRule="auto" w:before="120" w:after="0"/>
        <w:ind w:left="2486" w:right="415" w:hanging="567"/>
        <w:jc w:val="both"/>
        <w:rPr>
          <w:sz w:val="24"/>
        </w:rPr>
      </w:pPr>
      <w:r>
        <w:rPr>
          <w:sz w:val="24"/>
        </w:rPr>
        <w:t>where further information is required to validate the actual </w:t>
      </w:r>
      <w:r>
        <w:rPr>
          <w:i/>
          <w:sz w:val="24"/>
        </w:rPr>
        <w:t>meter </w:t>
      </w:r>
      <w:r>
        <w:rPr>
          <w:sz w:val="24"/>
        </w:rPr>
        <w:t>readings, and the receipt of such information identifies that the actual </w:t>
      </w:r>
      <w:r>
        <w:rPr>
          <w:i/>
          <w:sz w:val="24"/>
        </w:rPr>
        <w:t>meter </w:t>
      </w:r>
      <w:r>
        <w:rPr>
          <w:sz w:val="24"/>
        </w:rPr>
        <w:t>readings are valid, deliver the actual </w:t>
      </w:r>
      <w:r>
        <w:rPr>
          <w:i/>
          <w:sz w:val="24"/>
        </w:rPr>
        <w:t>meter </w:t>
      </w:r>
      <w:r>
        <w:rPr>
          <w:sz w:val="24"/>
        </w:rPr>
        <w:t>readings to </w:t>
      </w:r>
      <w:r>
        <w:rPr>
          <w:i/>
          <w:sz w:val="24"/>
        </w:rPr>
        <w:t>NTESMO</w:t>
      </w:r>
      <w:r>
        <w:rPr>
          <w:sz w:val="24"/>
        </w:rPr>
        <w:t>, </w:t>
      </w:r>
      <w:r>
        <w:rPr>
          <w:i/>
          <w:sz w:val="24"/>
        </w:rPr>
        <w:t>Registered Participants </w:t>
      </w:r>
      <w:r>
        <w:rPr>
          <w:sz w:val="24"/>
        </w:rPr>
        <w:t>and financially responsible participants within 2 </w:t>
      </w:r>
      <w:r>
        <w:rPr>
          <w:i/>
          <w:sz w:val="24"/>
        </w:rPr>
        <w:t>business days </w:t>
      </w:r>
      <w:r>
        <w:rPr>
          <w:sz w:val="24"/>
        </w:rPr>
        <w:t>of the </w:t>
      </w:r>
      <w:r>
        <w:rPr>
          <w:i/>
          <w:sz w:val="24"/>
        </w:rPr>
        <w:t>metering data </w:t>
      </w:r>
      <w:r>
        <w:rPr>
          <w:sz w:val="24"/>
        </w:rPr>
        <w:t>passing validation.</w:t>
      </w:r>
    </w:p>
    <w:p>
      <w:pPr>
        <w:spacing w:before="220"/>
        <w:ind w:left="1356" w:right="0" w:firstLine="0"/>
        <w:jc w:val="left"/>
        <w:rPr>
          <w:rFonts w:ascii="Arial"/>
          <w:b/>
          <w:sz w:val="22"/>
        </w:rPr>
      </w:pPr>
      <w:r>
        <w:rPr>
          <w:rFonts w:ascii="Arial"/>
          <w:b/>
          <w:sz w:val="22"/>
        </w:rPr>
        <w:t>Operational delays</w:t>
      </w:r>
    </w:p>
    <w:p>
      <w:pPr>
        <w:pStyle w:val="ListParagraph"/>
        <w:numPr>
          <w:ilvl w:val="0"/>
          <w:numId w:val="623"/>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must notify </w:t>
      </w:r>
      <w:r>
        <w:rPr>
          <w:i/>
          <w:sz w:val="24"/>
        </w:rPr>
        <w:t>NTESMO </w:t>
      </w:r>
      <w:r>
        <w:rPr>
          <w:sz w:val="24"/>
        </w:rPr>
        <w:t>and affected </w:t>
      </w:r>
      <w:r>
        <w:rPr>
          <w:i/>
          <w:sz w:val="24"/>
        </w:rPr>
        <w:t>Registered </w:t>
      </w:r>
      <w:r>
        <w:rPr>
          <w:i/>
          <w:sz w:val="24"/>
        </w:rPr>
        <w:t>Participants </w:t>
      </w:r>
      <w:r>
        <w:rPr>
          <w:sz w:val="24"/>
        </w:rPr>
        <w:t>immediately upon the identification of any operational delays impacting on normal </w:t>
      </w:r>
      <w:r>
        <w:rPr>
          <w:i/>
          <w:sz w:val="24"/>
        </w:rPr>
        <w:t>metering data</w:t>
      </w:r>
      <w:r>
        <w:rPr>
          <w:i/>
          <w:spacing w:val="-1"/>
          <w:sz w:val="24"/>
        </w:rPr>
        <w:t> </w:t>
      </w:r>
      <w:r>
        <w:rPr>
          <w:sz w:val="24"/>
        </w:rPr>
        <w:t>delivery.</w:t>
      </w:r>
    </w:p>
    <w:p>
      <w:pPr>
        <w:spacing w:after="0" w:line="240" w:lineRule="auto"/>
        <w:jc w:val="both"/>
        <w:rPr>
          <w:sz w:val="24"/>
        </w:rPr>
        <w:sectPr>
          <w:pgSz w:w="11910" w:h="16840"/>
          <w:pgMar w:header="686" w:footer="637" w:top="1320" w:bottom="820" w:left="1200" w:right="1000"/>
        </w:sectPr>
      </w:pPr>
    </w:p>
    <w:p>
      <w:pPr>
        <w:pStyle w:val="Heading4"/>
        <w:spacing w:before="83"/>
        <w:ind w:left="1352" w:right="415"/>
      </w:pPr>
      <w:bookmarkStart w:name="S7A.8.10 Data management following the a" w:id="2159"/>
      <w:bookmarkEnd w:id="2159"/>
      <w:r>
        <w:rPr>
          <w:b w:val="0"/>
        </w:rPr>
      </w:r>
      <w:bookmarkStart w:name="_bookmark902" w:id="2160"/>
      <w:bookmarkEnd w:id="2160"/>
      <w:r>
        <w:rPr>
          <w:b w:val="0"/>
        </w:rPr>
      </w:r>
      <w:r>
        <w:rPr/>
        <w:t>S7A.8.10 Data management following the alteration of type of metering installation at a connection point</w:t>
      </w:r>
    </w:p>
    <w:p>
      <w:pPr>
        <w:pStyle w:val="BodyText"/>
        <w:spacing w:before="10"/>
        <w:ind w:firstLine="0"/>
        <w:jc w:val="left"/>
        <w:rPr>
          <w:rFonts w:ascii="Arial"/>
          <w:b/>
          <w:sz w:val="20"/>
        </w:rPr>
      </w:pPr>
    </w:p>
    <w:p>
      <w:pPr>
        <w:pStyle w:val="Heading4"/>
        <w:tabs>
          <w:tab w:pos="1658" w:val="left" w:leader="none"/>
        </w:tabs>
        <w:ind w:left="218" w:firstLine="0"/>
      </w:pPr>
      <w:bookmarkStart w:name="S7A.8.10.1 Meter churn scenarios" w:id="2161"/>
      <w:bookmarkEnd w:id="2161"/>
      <w:r>
        <w:rPr>
          <w:b w:val="0"/>
        </w:rPr>
      </w:r>
      <w:bookmarkStart w:name="_bookmark903" w:id="2162"/>
      <w:bookmarkEnd w:id="2162"/>
      <w:r>
        <w:rPr>
          <w:b w:val="0"/>
        </w:rPr>
      </w:r>
      <w:r>
        <w:rPr/>
        <w:t>S7A.8.10.1</w:t>
        <w:tab/>
        <w:t>Meter churn</w:t>
      </w:r>
      <w:r>
        <w:rPr>
          <w:spacing w:val="-2"/>
        </w:rPr>
        <w:t> </w:t>
      </w:r>
      <w:r>
        <w:rPr/>
        <w:t>scenarios</w:t>
      </w:r>
    </w:p>
    <w:p>
      <w:pPr>
        <w:pStyle w:val="ListParagraph"/>
        <w:numPr>
          <w:ilvl w:val="0"/>
          <w:numId w:val="624"/>
        </w:numPr>
        <w:tabs>
          <w:tab w:pos="1919" w:val="left" w:leader="none"/>
        </w:tabs>
        <w:spacing w:line="240" w:lineRule="auto" w:before="120" w:after="0"/>
        <w:ind w:left="1919" w:right="415" w:hanging="567"/>
        <w:jc w:val="both"/>
        <w:rPr>
          <w:sz w:val="24"/>
        </w:rPr>
      </w:pPr>
      <w:r>
        <w:rPr>
          <w:sz w:val="24"/>
        </w:rPr>
        <w:t>Meter churn can result in a change to the configuration of </w:t>
      </w:r>
      <w:r>
        <w:rPr>
          <w:i/>
          <w:sz w:val="24"/>
        </w:rPr>
        <w:t>metering data </w:t>
      </w:r>
      <w:r>
        <w:rPr>
          <w:sz w:val="24"/>
        </w:rPr>
        <w:t>recorded by a </w:t>
      </w:r>
      <w:r>
        <w:rPr>
          <w:i/>
          <w:sz w:val="24"/>
        </w:rPr>
        <w:t>metering installation</w:t>
      </w:r>
      <w:r>
        <w:rPr>
          <w:sz w:val="24"/>
        </w:rPr>
        <w:t>. This change in </w:t>
      </w:r>
      <w:r>
        <w:rPr>
          <w:i/>
          <w:sz w:val="24"/>
        </w:rPr>
        <w:t>metering data</w:t>
      </w:r>
      <w:r>
        <w:rPr>
          <w:i/>
          <w:spacing w:val="35"/>
          <w:sz w:val="24"/>
        </w:rPr>
        <w:t> </w:t>
      </w:r>
      <w:r>
        <w:rPr>
          <w:sz w:val="24"/>
        </w:rPr>
        <w:t>may result in an alteration to the Metering Data File Format</w:t>
      </w:r>
      <w:r>
        <w:rPr>
          <w:spacing w:val="-7"/>
          <w:sz w:val="24"/>
        </w:rPr>
        <w:t> </w:t>
      </w:r>
      <w:r>
        <w:rPr>
          <w:sz w:val="24"/>
        </w:rPr>
        <w:t>file.</w:t>
      </w:r>
    </w:p>
    <w:p>
      <w:pPr>
        <w:pStyle w:val="ListParagraph"/>
        <w:numPr>
          <w:ilvl w:val="0"/>
          <w:numId w:val="624"/>
        </w:numPr>
        <w:tabs>
          <w:tab w:pos="1919" w:val="left" w:leader="none"/>
        </w:tabs>
        <w:spacing w:line="240" w:lineRule="auto" w:before="120" w:after="0"/>
        <w:ind w:left="1918" w:right="0" w:hanging="567"/>
        <w:jc w:val="both"/>
        <w:rPr>
          <w:sz w:val="24"/>
        </w:rPr>
      </w:pPr>
      <w:r>
        <w:rPr>
          <w:sz w:val="24"/>
        </w:rPr>
        <w:t>Where a meter churn takes place, each </w:t>
      </w:r>
      <w:r>
        <w:rPr>
          <w:i/>
          <w:sz w:val="24"/>
        </w:rPr>
        <w:t>Metering Data Provider</w:t>
      </w:r>
      <w:r>
        <w:rPr>
          <w:i/>
          <w:spacing w:val="-4"/>
          <w:sz w:val="24"/>
        </w:rPr>
        <w:t> </w:t>
      </w:r>
      <w:r>
        <w:rPr>
          <w:sz w:val="24"/>
        </w:rPr>
        <w:t>must:</w:t>
      </w:r>
    </w:p>
    <w:p>
      <w:pPr>
        <w:pStyle w:val="ListParagraph"/>
        <w:numPr>
          <w:ilvl w:val="1"/>
          <w:numId w:val="624"/>
        </w:numPr>
        <w:tabs>
          <w:tab w:pos="2486" w:val="left" w:leader="none"/>
        </w:tabs>
        <w:spacing w:line="240" w:lineRule="auto" w:before="120" w:after="0"/>
        <w:ind w:left="2486" w:right="415" w:hanging="567"/>
        <w:jc w:val="both"/>
        <w:rPr>
          <w:sz w:val="24"/>
        </w:rPr>
      </w:pPr>
      <w:r>
        <w:rPr>
          <w:sz w:val="24"/>
        </w:rPr>
        <w:t>comply with the Metering Data File Format requirements when constructing the Metering Data File Format file associated with the change in type of </w:t>
      </w:r>
      <w:r>
        <w:rPr>
          <w:i/>
          <w:sz w:val="24"/>
        </w:rPr>
        <w:t>metering installation</w:t>
      </w:r>
      <w:r>
        <w:rPr>
          <w:sz w:val="24"/>
        </w:rPr>
        <w:t>;</w:t>
      </w:r>
      <w:r>
        <w:rPr>
          <w:spacing w:val="-3"/>
          <w:sz w:val="24"/>
        </w:rPr>
        <w:t> </w:t>
      </w:r>
      <w:r>
        <w:rPr>
          <w:sz w:val="24"/>
        </w:rPr>
        <w:t>and</w:t>
      </w:r>
    </w:p>
    <w:p>
      <w:pPr>
        <w:pStyle w:val="ListParagraph"/>
        <w:numPr>
          <w:ilvl w:val="1"/>
          <w:numId w:val="624"/>
        </w:numPr>
        <w:tabs>
          <w:tab w:pos="2486" w:val="left" w:leader="none"/>
        </w:tabs>
        <w:spacing w:line="240" w:lineRule="auto" w:before="120" w:after="0"/>
        <w:ind w:left="2486" w:right="415" w:hanging="567"/>
        <w:jc w:val="both"/>
        <w:rPr>
          <w:sz w:val="24"/>
        </w:rPr>
      </w:pPr>
      <w:r>
        <w:rPr>
          <w:sz w:val="24"/>
        </w:rPr>
        <w:t>for a meter churn scenario described in an item of column 1 of the following table, comply with the requirements for the management </w:t>
      </w:r>
      <w:r>
        <w:rPr>
          <w:spacing w:val="-6"/>
          <w:sz w:val="24"/>
        </w:rPr>
        <w:t>of </w:t>
      </w:r>
      <w:r>
        <w:rPr>
          <w:i/>
          <w:sz w:val="24"/>
        </w:rPr>
        <w:t>metering data </w:t>
      </w:r>
      <w:r>
        <w:rPr>
          <w:sz w:val="24"/>
        </w:rPr>
        <w:t>described in the provision listed in column 2 of that item of the following</w:t>
      </w:r>
      <w:r>
        <w:rPr>
          <w:spacing w:val="-2"/>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791" w:hRule="atLeast"/>
        </w:trPr>
        <w:tc>
          <w:tcPr>
            <w:tcW w:w="2650"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Column 1</w:t>
            </w:r>
          </w:p>
          <w:p>
            <w:pPr>
              <w:pStyle w:val="TableParagraph"/>
              <w:spacing w:line="256" w:lineRule="exact"/>
              <w:ind w:left="40"/>
              <w:rPr>
                <w:rFonts w:ascii="Arial"/>
                <w:b/>
                <w:sz w:val="24"/>
              </w:rPr>
            </w:pPr>
            <w:r>
              <w:rPr>
                <w:rFonts w:ascii="Arial"/>
                <w:b/>
                <w:sz w:val="24"/>
              </w:rPr>
              <w:t>Meter churn scenario</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390" w:lineRule="atLeast" w:before="6"/>
              <w:ind w:right="4118"/>
              <w:rPr>
                <w:rFonts w:ascii="Arial"/>
                <w:b/>
                <w:sz w:val="24"/>
              </w:rPr>
            </w:pPr>
            <w:r>
              <w:rPr>
                <w:rFonts w:ascii="Arial"/>
                <w:b/>
                <w:sz w:val="24"/>
              </w:rPr>
              <w:t>Column 2 Provision</w:t>
            </w:r>
          </w:p>
        </w:tc>
      </w:tr>
      <w:tr>
        <w:trPr>
          <w:trHeight w:val="1619" w:hRule="atLeast"/>
        </w:trPr>
        <w:tc>
          <w:tcPr>
            <w:tcW w:w="2650" w:type="dxa"/>
            <w:tcBorders>
              <w:top w:val="single" w:sz="4" w:space="0" w:color="000000"/>
              <w:bottom w:val="single" w:sz="4" w:space="0" w:color="000000"/>
              <w:right w:val="single" w:sz="4" w:space="0" w:color="000000"/>
            </w:tcBorders>
          </w:tcPr>
          <w:p>
            <w:pPr>
              <w:pStyle w:val="TableParagraph"/>
              <w:ind w:left="40" w:right="115"/>
              <w:rPr>
                <w:sz w:val="24"/>
              </w:rPr>
            </w:pPr>
            <w:r>
              <w:rPr>
                <w:sz w:val="24"/>
              </w:rPr>
              <w:t>A </w:t>
            </w:r>
            <w:r>
              <w:rPr>
                <w:i/>
                <w:sz w:val="24"/>
              </w:rPr>
              <w:t>metering installation </w:t>
            </w:r>
            <w:r>
              <w:rPr>
                <w:sz w:val="24"/>
              </w:rPr>
              <w:t>is changed from a type 6 </w:t>
            </w:r>
            <w:r>
              <w:rPr>
                <w:i/>
                <w:sz w:val="24"/>
              </w:rPr>
              <w:t>metering installation </w:t>
            </w:r>
            <w:r>
              <w:rPr>
                <w:sz w:val="24"/>
              </w:rPr>
              <w:t>to a new type 6 </w:t>
            </w:r>
            <w:r>
              <w:rPr>
                <w:i/>
                <w:sz w:val="24"/>
              </w:rPr>
              <w:t>metering </w:t>
            </w:r>
            <w:r>
              <w:rPr>
                <w:i/>
                <w:sz w:val="24"/>
              </w:rPr>
              <w:t>installation </w:t>
            </w:r>
            <w:r>
              <w:rPr>
                <w:sz w:val="24"/>
              </w:rPr>
              <w:t>(Scenario 1)</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Clause S7A.8.10.2</w:t>
            </w:r>
          </w:p>
        </w:tc>
      </w:tr>
      <w:tr>
        <w:trPr>
          <w:trHeight w:val="1895" w:hRule="atLeast"/>
        </w:trPr>
        <w:tc>
          <w:tcPr>
            <w:tcW w:w="2650" w:type="dxa"/>
            <w:tcBorders>
              <w:top w:val="single" w:sz="4" w:space="0" w:color="000000"/>
              <w:bottom w:val="single" w:sz="4" w:space="0" w:color="000000"/>
              <w:right w:val="single" w:sz="4" w:space="0" w:color="000000"/>
            </w:tcBorders>
          </w:tcPr>
          <w:p>
            <w:pPr>
              <w:pStyle w:val="TableParagraph"/>
              <w:ind w:left="40" w:right="115"/>
              <w:rPr>
                <w:sz w:val="24"/>
              </w:rPr>
            </w:pPr>
            <w:r>
              <w:rPr>
                <w:sz w:val="24"/>
              </w:rPr>
              <w:t>A </w:t>
            </w:r>
            <w:r>
              <w:rPr>
                <w:i/>
                <w:sz w:val="24"/>
              </w:rPr>
              <w:t>metering installation </w:t>
            </w:r>
            <w:r>
              <w:rPr>
                <w:sz w:val="24"/>
              </w:rPr>
              <w:t>is changed from a type 6 </w:t>
            </w:r>
            <w:r>
              <w:rPr>
                <w:i/>
                <w:sz w:val="24"/>
              </w:rPr>
              <w:t>metering installation </w:t>
            </w:r>
            <w:r>
              <w:rPr>
                <w:sz w:val="24"/>
              </w:rPr>
              <w:t>to a type 1, 2, 3, 4, 4A, or 5 </w:t>
            </w:r>
            <w:r>
              <w:rPr>
                <w:i/>
                <w:sz w:val="24"/>
              </w:rPr>
              <w:t>metering installation </w:t>
            </w:r>
            <w:r>
              <w:rPr>
                <w:sz w:val="24"/>
              </w:rPr>
              <w:t>(Scenario 2)</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Clause S7A.8.10.3</w:t>
            </w:r>
          </w:p>
        </w:tc>
      </w:tr>
      <w:tr>
        <w:trPr>
          <w:trHeight w:val="1895" w:hRule="atLeast"/>
        </w:trPr>
        <w:tc>
          <w:tcPr>
            <w:tcW w:w="2650" w:type="dxa"/>
            <w:tcBorders>
              <w:top w:val="single" w:sz="4" w:space="0" w:color="000000"/>
              <w:bottom w:val="single" w:sz="4" w:space="0" w:color="000000"/>
              <w:right w:val="single" w:sz="4" w:space="0" w:color="000000"/>
            </w:tcBorders>
          </w:tcPr>
          <w:p>
            <w:pPr>
              <w:pStyle w:val="TableParagraph"/>
              <w:ind w:left="40" w:right="115"/>
              <w:rPr>
                <w:sz w:val="24"/>
              </w:rPr>
            </w:pPr>
            <w:r>
              <w:rPr>
                <w:sz w:val="24"/>
              </w:rPr>
              <w:t>A </w:t>
            </w:r>
            <w:r>
              <w:rPr>
                <w:i/>
                <w:sz w:val="24"/>
              </w:rPr>
              <w:t>metering installation </w:t>
            </w:r>
            <w:r>
              <w:rPr>
                <w:sz w:val="24"/>
              </w:rPr>
              <w:t>is changed from a type 1, 2,</w:t>
            </w:r>
          </w:p>
          <w:p>
            <w:pPr>
              <w:pStyle w:val="TableParagraph"/>
              <w:spacing w:before="0"/>
              <w:ind w:left="40" w:right="388"/>
              <w:rPr>
                <w:sz w:val="24"/>
              </w:rPr>
            </w:pPr>
            <w:r>
              <w:rPr>
                <w:sz w:val="24"/>
              </w:rPr>
              <w:t>3, 4, 4A, or 5 metering installation to a type 6 metering installation (Scenario 3)</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Clause S7A.8.10.4</w:t>
            </w:r>
          </w:p>
        </w:tc>
      </w:tr>
      <w:tr>
        <w:trPr>
          <w:trHeight w:val="2171" w:hRule="atLeast"/>
        </w:trPr>
        <w:tc>
          <w:tcPr>
            <w:tcW w:w="2650" w:type="dxa"/>
            <w:tcBorders>
              <w:top w:val="single" w:sz="4" w:space="0" w:color="000000"/>
              <w:right w:val="single" w:sz="4" w:space="0" w:color="000000"/>
            </w:tcBorders>
          </w:tcPr>
          <w:p>
            <w:pPr>
              <w:pStyle w:val="TableParagraph"/>
              <w:ind w:left="40" w:right="115"/>
              <w:rPr>
                <w:sz w:val="24"/>
              </w:rPr>
            </w:pPr>
            <w:r>
              <w:rPr>
                <w:sz w:val="24"/>
              </w:rPr>
              <w:t>A </w:t>
            </w:r>
            <w:r>
              <w:rPr>
                <w:i/>
                <w:sz w:val="24"/>
              </w:rPr>
              <w:t>metering installation </w:t>
            </w:r>
            <w:r>
              <w:rPr>
                <w:sz w:val="24"/>
              </w:rPr>
              <w:t>is changed from a type 1, 2,</w:t>
            </w:r>
          </w:p>
          <w:p>
            <w:pPr>
              <w:pStyle w:val="TableParagraph"/>
              <w:spacing w:before="0"/>
              <w:ind w:left="40" w:right="135"/>
              <w:rPr>
                <w:sz w:val="24"/>
              </w:rPr>
            </w:pPr>
            <w:r>
              <w:rPr>
                <w:sz w:val="24"/>
              </w:rPr>
              <w:t>3, 4, 4A, or 5 </w:t>
            </w:r>
            <w:r>
              <w:rPr>
                <w:i/>
                <w:sz w:val="24"/>
              </w:rPr>
              <w:t>metering </w:t>
            </w:r>
            <w:r>
              <w:rPr>
                <w:i/>
                <w:sz w:val="24"/>
              </w:rPr>
              <w:t>installation </w:t>
            </w:r>
            <w:r>
              <w:rPr>
                <w:sz w:val="24"/>
              </w:rPr>
              <w:t>to a new type 1, 2, 3, 4, 4A, or 5</w:t>
            </w:r>
          </w:p>
          <w:p>
            <w:pPr>
              <w:pStyle w:val="TableParagraph"/>
              <w:spacing w:before="0"/>
              <w:ind w:left="40"/>
              <w:rPr>
                <w:i/>
                <w:sz w:val="24"/>
              </w:rPr>
            </w:pPr>
            <w:r>
              <w:rPr>
                <w:i/>
                <w:sz w:val="24"/>
              </w:rPr>
              <w:t>metering installation</w:t>
            </w:r>
          </w:p>
          <w:p>
            <w:pPr>
              <w:pStyle w:val="TableParagraph"/>
              <w:spacing w:before="0"/>
              <w:ind w:left="40"/>
              <w:rPr>
                <w:sz w:val="24"/>
              </w:rPr>
            </w:pPr>
            <w:r>
              <w:rPr>
                <w:sz w:val="24"/>
              </w:rPr>
              <w:t>(Scenario 4)</w:t>
            </w:r>
          </w:p>
        </w:tc>
        <w:tc>
          <w:tcPr>
            <w:tcW w:w="5287" w:type="dxa"/>
            <w:tcBorders>
              <w:top w:val="single" w:sz="4" w:space="0" w:color="000000"/>
              <w:left w:val="single" w:sz="4" w:space="0" w:color="000000"/>
              <w:right w:val="single" w:sz="4" w:space="0" w:color="000000"/>
            </w:tcBorders>
          </w:tcPr>
          <w:p>
            <w:pPr>
              <w:pStyle w:val="TableParagraph"/>
              <w:rPr>
                <w:sz w:val="24"/>
              </w:rPr>
            </w:pPr>
            <w:r>
              <w:rPr>
                <w:sz w:val="24"/>
              </w:rPr>
              <w:t>Clause S7A.8.10.5</w:t>
            </w:r>
          </w:p>
        </w:tc>
      </w:tr>
    </w:tbl>
    <w:p>
      <w:pPr>
        <w:spacing w:after="0"/>
        <w:rPr>
          <w:sz w:val="24"/>
        </w:rPr>
        <w:sectPr>
          <w:pgSz w:w="11910" w:h="16840"/>
          <w:pgMar w:header="686" w:footer="637" w:top="1320" w:bottom="820" w:left="1200" w:right="1000"/>
        </w:sectPr>
      </w:pPr>
    </w:p>
    <w:p>
      <w:pPr>
        <w:pStyle w:val="Heading4"/>
        <w:tabs>
          <w:tab w:pos="1658" w:val="left" w:leader="none"/>
        </w:tabs>
        <w:spacing w:before="83"/>
        <w:ind w:left="218" w:firstLine="0"/>
      </w:pPr>
      <w:bookmarkStart w:name="S7A.8.10.2 Scenario 1" w:id="2163"/>
      <w:bookmarkEnd w:id="2163"/>
      <w:r>
        <w:rPr>
          <w:b w:val="0"/>
        </w:rPr>
      </w:r>
      <w:bookmarkStart w:name="_bookmark904" w:id="2164"/>
      <w:bookmarkEnd w:id="2164"/>
      <w:r>
        <w:rPr>
          <w:b w:val="0"/>
        </w:rPr>
      </w:r>
      <w:r>
        <w:rPr/>
        <w:t>S7A.8.10.2</w:t>
        <w:tab/>
        <w:t>Scenario 1</w:t>
      </w:r>
    </w:p>
    <w:p>
      <w:pPr>
        <w:spacing w:before="120"/>
        <w:ind w:left="1352" w:right="0" w:firstLine="0"/>
        <w:jc w:val="left"/>
        <w:rPr>
          <w:sz w:val="24"/>
        </w:rPr>
      </w:pPr>
      <w:r>
        <w:rPr>
          <w:sz w:val="24"/>
        </w:rPr>
        <w:t>The </w:t>
      </w:r>
      <w:r>
        <w:rPr>
          <w:i/>
          <w:sz w:val="24"/>
        </w:rPr>
        <w:t>Metering Data Provider </w:t>
      </w:r>
      <w:r>
        <w:rPr>
          <w:sz w:val="24"/>
        </w:rPr>
        <w:t>must have a process to ensure that:</w:t>
      </w:r>
    </w:p>
    <w:p>
      <w:pPr>
        <w:pStyle w:val="ListParagraph"/>
        <w:numPr>
          <w:ilvl w:val="0"/>
          <w:numId w:val="625"/>
        </w:numPr>
        <w:tabs>
          <w:tab w:pos="1918" w:val="left" w:leader="none"/>
          <w:tab w:pos="1919" w:val="left" w:leader="none"/>
        </w:tabs>
        <w:spacing w:line="240" w:lineRule="auto" w:before="120" w:after="0"/>
        <w:ind w:left="1919" w:right="415" w:hanging="567"/>
        <w:jc w:val="left"/>
        <w:rPr>
          <w:sz w:val="24"/>
        </w:rPr>
      </w:pPr>
      <w:r>
        <w:rPr>
          <w:sz w:val="24"/>
        </w:rPr>
        <w:t>the final accumulation </w:t>
      </w:r>
      <w:r>
        <w:rPr>
          <w:i/>
          <w:sz w:val="24"/>
        </w:rPr>
        <w:t>meter </w:t>
      </w:r>
      <w:r>
        <w:rPr>
          <w:sz w:val="24"/>
        </w:rPr>
        <w:t>reading(s) from the removed type 6 </w:t>
      </w:r>
      <w:r>
        <w:rPr>
          <w:i/>
          <w:sz w:val="24"/>
        </w:rPr>
        <w:t>metering </w:t>
      </w:r>
      <w:r>
        <w:rPr>
          <w:i/>
          <w:sz w:val="24"/>
        </w:rPr>
        <w:t>installation </w:t>
      </w:r>
      <w:r>
        <w:rPr>
          <w:sz w:val="24"/>
        </w:rPr>
        <w:t>are applied at the end of the </w:t>
      </w:r>
      <w:r>
        <w:rPr>
          <w:i/>
          <w:sz w:val="24"/>
        </w:rPr>
        <w:t>day </w:t>
      </w:r>
      <w:r>
        <w:rPr>
          <w:sz w:val="24"/>
        </w:rPr>
        <w:t>prior to the meter</w:t>
      </w:r>
      <w:r>
        <w:rPr>
          <w:spacing w:val="-4"/>
          <w:sz w:val="24"/>
        </w:rPr>
        <w:t> </w:t>
      </w:r>
      <w:r>
        <w:rPr>
          <w:sz w:val="24"/>
        </w:rPr>
        <w:t>churn;</w:t>
      </w:r>
    </w:p>
    <w:p>
      <w:pPr>
        <w:pStyle w:val="ListParagraph"/>
        <w:numPr>
          <w:ilvl w:val="0"/>
          <w:numId w:val="625"/>
        </w:numPr>
        <w:tabs>
          <w:tab w:pos="1918" w:val="left" w:leader="none"/>
          <w:tab w:pos="1919" w:val="left" w:leader="none"/>
        </w:tabs>
        <w:spacing w:line="240" w:lineRule="auto" w:before="120" w:after="0"/>
        <w:ind w:left="1919" w:right="414" w:hanging="567"/>
        <w:jc w:val="left"/>
        <w:rPr>
          <w:sz w:val="24"/>
        </w:rPr>
      </w:pPr>
      <w:r>
        <w:rPr>
          <w:sz w:val="24"/>
        </w:rPr>
        <w:t>the start reading(s) for a new type 6 </w:t>
      </w:r>
      <w:r>
        <w:rPr>
          <w:i/>
          <w:sz w:val="24"/>
        </w:rPr>
        <w:t>metering installation </w:t>
      </w:r>
      <w:r>
        <w:rPr>
          <w:sz w:val="24"/>
        </w:rPr>
        <w:t>are applied at the start of the </w:t>
      </w:r>
      <w:r>
        <w:rPr>
          <w:i/>
          <w:sz w:val="24"/>
        </w:rPr>
        <w:t>day </w:t>
      </w:r>
      <w:r>
        <w:rPr>
          <w:sz w:val="24"/>
        </w:rPr>
        <w:t>of the meter churn;</w:t>
      </w:r>
      <w:r>
        <w:rPr>
          <w:spacing w:val="-2"/>
          <w:sz w:val="24"/>
        </w:rPr>
        <w:t> </w:t>
      </w:r>
      <w:r>
        <w:rPr>
          <w:sz w:val="24"/>
        </w:rPr>
        <w:t>and</w:t>
      </w:r>
    </w:p>
    <w:p>
      <w:pPr>
        <w:pStyle w:val="ListParagraph"/>
        <w:numPr>
          <w:ilvl w:val="0"/>
          <w:numId w:val="625"/>
        </w:numPr>
        <w:tabs>
          <w:tab w:pos="1918" w:val="left" w:leader="none"/>
          <w:tab w:pos="1919" w:val="left" w:leader="none"/>
        </w:tabs>
        <w:spacing w:line="240" w:lineRule="auto" w:before="120" w:after="0"/>
        <w:ind w:left="1919" w:right="416" w:hanging="567"/>
        <w:jc w:val="left"/>
        <w:rPr>
          <w:sz w:val="24"/>
        </w:rPr>
      </w:pPr>
      <w:r>
        <w:rPr>
          <w:i/>
          <w:sz w:val="24"/>
        </w:rPr>
        <w:t>estimated metering data </w:t>
      </w:r>
      <w:r>
        <w:rPr>
          <w:sz w:val="24"/>
        </w:rPr>
        <w:t>is provided for any </w:t>
      </w:r>
      <w:r>
        <w:rPr>
          <w:i/>
          <w:sz w:val="24"/>
        </w:rPr>
        <w:t>metering </w:t>
      </w:r>
      <w:r>
        <w:rPr>
          <w:sz w:val="24"/>
        </w:rPr>
        <w:t>data streams made active as a result of the meter</w:t>
      </w:r>
      <w:r>
        <w:rPr>
          <w:spacing w:val="-1"/>
          <w:sz w:val="24"/>
        </w:rPr>
        <w:t> </w:t>
      </w:r>
      <w:r>
        <w:rPr>
          <w:sz w:val="24"/>
        </w:rPr>
        <w:t>churn.</w:t>
      </w:r>
    </w:p>
    <w:p>
      <w:pPr>
        <w:pStyle w:val="BodyText"/>
        <w:spacing w:before="10"/>
        <w:ind w:firstLine="0"/>
        <w:jc w:val="left"/>
        <w:rPr>
          <w:sz w:val="20"/>
        </w:rPr>
      </w:pPr>
    </w:p>
    <w:p>
      <w:pPr>
        <w:pStyle w:val="Heading4"/>
        <w:tabs>
          <w:tab w:pos="1658" w:val="left" w:leader="none"/>
        </w:tabs>
        <w:ind w:left="218" w:firstLine="0"/>
      </w:pPr>
      <w:bookmarkStart w:name="S7A.8.10.3 Scenario 2" w:id="2165"/>
      <w:bookmarkEnd w:id="2165"/>
      <w:r>
        <w:rPr>
          <w:b w:val="0"/>
        </w:rPr>
      </w:r>
      <w:bookmarkStart w:name="_bookmark905" w:id="2166"/>
      <w:bookmarkEnd w:id="2166"/>
      <w:r>
        <w:rPr>
          <w:b w:val="0"/>
        </w:rPr>
      </w:r>
      <w:r>
        <w:rPr/>
        <w:t>S7A.8.10.3</w:t>
        <w:tab/>
        <w:t>Scenario 2</w:t>
      </w:r>
    </w:p>
    <w:p>
      <w:pPr>
        <w:pStyle w:val="ListParagraph"/>
        <w:numPr>
          <w:ilvl w:val="0"/>
          <w:numId w:val="626"/>
        </w:numPr>
        <w:tabs>
          <w:tab w:pos="1919" w:val="left" w:leader="none"/>
        </w:tabs>
        <w:spacing w:line="240" w:lineRule="auto" w:before="120" w:after="0"/>
        <w:ind w:left="1918" w:right="0" w:hanging="567"/>
        <w:jc w:val="both"/>
        <w:rPr>
          <w:sz w:val="24"/>
        </w:rPr>
      </w:pPr>
      <w:r>
        <w:rPr>
          <w:sz w:val="24"/>
        </w:rPr>
        <w:t>The </w:t>
      </w:r>
      <w:r>
        <w:rPr>
          <w:i/>
          <w:sz w:val="24"/>
        </w:rPr>
        <w:t>Metering Data Provider </w:t>
      </w:r>
      <w:r>
        <w:rPr>
          <w:sz w:val="24"/>
        </w:rPr>
        <w:t>must have a process to ensure</w:t>
      </w:r>
      <w:r>
        <w:rPr>
          <w:spacing w:val="-5"/>
          <w:sz w:val="24"/>
        </w:rPr>
        <w:t> </w:t>
      </w:r>
      <w:r>
        <w:rPr>
          <w:sz w:val="24"/>
        </w:rPr>
        <w:t>that:</w:t>
      </w:r>
    </w:p>
    <w:p>
      <w:pPr>
        <w:pStyle w:val="ListParagraph"/>
        <w:numPr>
          <w:ilvl w:val="1"/>
          <w:numId w:val="626"/>
        </w:numPr>
        <w:tabs>
          <w:tab w:pos="2486" w:val="left" w:leader="none"/>
        </w:tabs>
        <w:spacing w:line="240" w:lineRule="auto" w:before="120" w:after="0"/>
        <w:ind w:left="2486" w:right="415" w:hanging="567"/>
        <w:jc w:val="both"/>
        <w:rPr>
          <w:sz w:val="24"/>
        </w:rPr>
      </w:pPr>
      <w:r>
        <w:rPr>
          <w:sz w:val="24"/>
        </w:rPr>
        <w:t>the final accumulation </w:t>
      </w:r>
      <w:r>
        <w:rPr>
          <w:i/>
          <w:sz w:val="24"/>
        </w:rPr>
        <w:t>meter </w:t>
      </w:r>
      <w:r>
        <w:rPr>
          <w:sz w:val="24"/>
        </w:rPr>
        <w:t>reading(s) from the removed type 6 </w:t>
      </w:r>
      <w:r>
        <w:rPr>
          <w:i/>
          <w:sz w:val="24"/>
        </w:rPr>
        <w:t>metering installation </w:t>
      </w:r>
      <w:r>
        <w:rPr>
          <w:sz w:val="24"/>
        </w:rPr>
        <w:t>are applied at the end of the </w:t>
      </w:r>
      <w:r>
        <w:rPr>
          <w:i/>
          <w:sz w:val="24"/>
        </w:rPr>
        <w:t>day </w:t>
      </w:r>
      <w:r>
        <w:rPr>
          <w:sz w:val="24"/>
        </w:rPr>
        <w:t>prior to the meter</w:t>
      </w:r>
      <w:r>
        <w:rPr>
          <w:spacing w:val="-1"/>
          <w:sz w:val="24"/>
        </w:rPr>
        <w:t> </w:t>
      </w:r>
      <w:r>
        <w:rPr>
          <w:sz w:val="24"/>
        </w:rPr>
        <w:t>churn;</w:t>
      </w:r>
    </w:p>
    <w:p>
      <w:pPr>
        <w:pStyle w:val="ListParagraph"/>
        <w:numPr>
          <w:ilvl w:val="1"/>
          <w:numId w:val="626"/>
        </w:numPr>
        <w:tabs>
          <w:tab w:pos="2486" w:val="left" w:leader="none"/>
        </w:tabs>
        <w:spacing w:line="240" w:lineRule="auto" w:before="120" w:after="0"/>
        <w:ind w:left="2486" w:right="416" w:hanging="567"/>
        <w:jc w:val="both"/>
        <w:rPr>
          <w:sz w:val="24"/>
        </w:rPr>
      </w:pPr>
      <w:r>
        <w:rPr>
          <w:sz w:val="24"/>
        </w:rPr>
        <w:t>the </w:t>
      </w:r>
      <w:r>
        <w:rPr>
          <w:i/>
          <w:sz w:val="24"/>
        </w:rPr>
        <w:t>metering data </w:t>
      </w:r>
      <w:r>
        <w:rPr>
          <w:sz w:val="24"/>
        </w:rPr>
        <w:t>for the new type 1, 2, 3, 4, 4A, or 5 </w:t>
      </w:r>
      <w:r>
        <w:rPr>
          <w:i/>
          <w:sz w:val="24"/>
        </w:rPr>
        <w:t>metering </w:t>
      </w:r>
      <w:r>
        <w:rPr>
          <w:i/>
          <w:sz w:val="24"/>
        </w:rPr>
        <w:t>installation </w:t>
      </w:r>
      <w:r>
        <w:rPr>
          <w:sz w:val="24"/>
        </w:rPr>
        <w:t>commences at the start of the </w:t>
      </w:r>
      <w:r>
        <w:rPr>
          <w:i/>
          <w:sz w:val="24"/>
        </w:rPr>
        <w:t>day </w:t>
      </w:r>
      <w:r>
        <w:rPr>
          <w:sz w:val="24"/>
        </w:rPr>
        <w:t>of the meter churn;</w:t>
      </w:r>
      <w:r>
        <w:rPr>
          <w:spacing w:val="-8"/>
          <w:sz w:val="24"/>
        </w:rPr>
        <w:t> </w:t>
      </w:r>
      <w:r>
        <w:rPr>
          <w:sz w:val="24"/>
        </w:rPr>
        <w:t>and</w:t>
      </w:r>
    </w:p>
    <w:p>
      <w:pPr>
        <w:pStyle w:val="ListParagraph"/>
        <w:numPr>
          <w:ilvl w:val="1"/>
          <w:numId w:val="626"/>
        </w:numPr>
        <w:tabs>
          <w:tab w:pos="2486" w:val="left" w:leader="none"/>
        </w:tabs>
        <w:spacing w:line="240" w:lineRule="auto" w:before="120" w:after="0"/>
        <w:ind w:left="2486" w:right="415" w:hanging="567"/>
        <w:jc w:val="both"/>
        <w:rPr>
          <w:sz w:val="24"/>
        </w:rPr>
      </w:pPr>
      <w:r>
        <w:rPr>
          <w:i/>
          <w:sz w:val="24"/>
        </w:rPr>
        <w:t>estimated metering data </w:t>
      </w:r>
      <w:r>
        <w:rPr>
          <w:sz w:val="24"/>
        </w:rPr>
        <w:t>is provided for any </w:t>
      </w:r>
      <w:r>
        <w:rPr>
          <w:i/>
          <w:sz w:val="24"/>
        </w:rPr>
        <w:t>metering </w:t>
      </w:r>
      <w:r>
        <w:rPr>
          <w:sz w:val="24"/>
        </w:rPr>
        <w:t>data streams made active as a result of the meter churn for a new type 4A or type </w:t>
      </w:r>
      <w:r>
        <w:rPr>
          <w:spacing w:val="-11"/>
          <w:sz w:val="24"/>
        </w:rPr>
        <w:t>5 </w:t>
      </w:r>
      <w:r>
        <w:rPr>
          <w:i/>
          <w:sz w:val="24"/>
        </w:rPr>
        <w:t>metering</w:t>
      </w:r>
      <w:r>
        <w:rPr>
          <w:i/>
          <w:spacing w:val="-2"/>
          <w:sz w:val="24"/>
        </w:rPr>
        <w:t> </w:t>
      </w:r>
      <w:r>
        <w:rPr>
          <w:i/>
          <w:sz w:val="24"/>
        </w:rPr>
        <w:t>installation</w:t>
      </w:r>
      <w:r>
        <w:rPr>
          <w:sz w:val="24"/>
        </w:rPr>
        <w:t>.</w:t>
      </w:r>
    </w:p>
    <w:p>
      <w:pPr>
        <w:pStyle w:val="ListParagraph"/>
        <w:numPr>
          <w:ilvl w:val="0"/>
          <w:numId w:val="626"/>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have a process to ensure that the  </w:t>
      </w:r>
      <w:r>
        <w:rPr>
          <w:i/>
          <w:sz w:val="24"/>
        </w:rPr>
        <w:t>metering data </w:t>
      </w:r>
      <w:r>
        <w:rPr>
          <w:sz w:val="24"/>
        </w:rPr>
        <w:t>for the period of the meter churn </w:t>
      </w:r>
      <w:r>
        <w:rPr>
          <w:i/>
          <w:sz w:val="24"/>
        </w:rPr>
        <w:t>day </w:t>
      </w:r>
      <w:r>
        <w:rPr>
          <w:sz w:val="24"/>
        </w:rPr>
        <w:t>between the start of the </w:t>
      </w:r>
      <w:r>
        <w:rPr>
          <w:i/>
          <w:sz w:val="24"/>
        </w:rPr>
        <w:t>day </w:t>
      </w:r>
      <w:r>
        <w:rPr>
          <w:sz w:val="24"/>
        </w:rPr>
        <w:t>and the commissioning of the new </w:t>
      </w:r>
      <w:r>
        <w:rPr>
          <w:i/>
          <w:sz w:val="24"/>
        </w:rPr>
        <w:t>metering installation </w:t>
      </w:r>
      <w:r>
        <w:rPr>
          <w:sz w:val="24"/>
        </w:rPr>
        <w:t>is provided as zeroes with a quality flag of</w:t>
      </w:r>
      <w:r>
        <w:rPr>
          <w:spacing w:val="-3"/>
          <w:sz w:val="24"/>
        </w:rPr>
        <w:t> </w:t>
      </w:r>
      <w:r>
        <w:rPr>
          <w:sz w:val="24"/>
        </w:rPr>
        <w:t>F.</w:t>
      </w:r>
    </w:p>
    <w:p>
      <w:pPr>
        <w:pStyle w:val="BodyText"/>
        <w:spacing w:before="10"/>
        <w:ind w:firstLine="0"/>
        <w:jc w:val="left"/>
        <w:rPr>
          <w:sz w:val="20"/>
        </w:rPr>
      </w:pPr>
    </w:p>
    <w:p>
      <w:pPr>
        <w:pStyle w:val="Heading4"/>
        <w:tabs>
          <w:tab w:pos="1658" w:val="left" w:leader="none"/>
        </w:tabs>
        <w:ind w:left="218" w:firstLine="0"/>
      </w:pPr>
      <w:bookmarkStart w:name="S7A.8.10.4 Scenario 3" w:id="2167"/>
      <w:bookmarkEnd w:id="2167"/>
      <w:r>
        <w:rPr>
          <w:b w:val="0"/>
        </w:rPr>
      </w:r>
      <w:bookmarkStart w:name="_bookmark906" w:id="2168"/>
      <w:bookmarkEnd w:id="2168"/>
      <w:r>
        <w:rPr>
          <w:b w:val="0"/>
        </w:rPr>
      </w:r>
      <w:r>
        <w:rPr/>
        <w:t>S7A.8.10.4</w:t>
        <w:tab/>
        <w:t>Scenario 3</w:t>
      </w:r>
    </w:p>
    <w:p>
      <w:pPr>
        <w:spacing w:before="120"/>
        <w:ind w:left="1352" w:right="415" w:firstLine="0"/>
        <w:jc w:val="both"/>
        <w:rPr>
          <w:sz w:val="24"/>
        </w:rPr>
      </w:pPr>
      <w:r>
        <w:rPr>
          <w:sz w:val="24"/>
        </w:rPr>
        <w:t>Where reversion from a type 1, 2, 3, 4, 4A, or 5 </w:t>
      </w:r>
      <w:r>
        <w:rPr>
          <w:i/>
          <w:sz w:val="24"/>
        </w:rPr>
        <w:t>metering installation </w:t>
      </w:r>
      <w:r>
        <w:rPr>
          <w:sz w:val="24"/>
        </w:rPr>
        <w:t>to a type 6 </w:t>
      </w:r>
      <w:r>
        <w:rPr>
          <w:i/>
          <w:sz w:val="24"/>
        </w:rPr>
        <w:t>metering installation </w:t>
      </w:r>
      <w:r>
        <w:rPr>
          <w:sz w:val="24"/>
        </w:rPr>
        <w:t>is permitted, the </w:t>
      </w:r>
      <w:r>
        <w:rPr>
          <w:i/>
          <w:sz w:val="24"/>
        </w:rPr>
        <w:t>Metering Data Provider </w:t>
      </w:r>
      <w:r>
        <w:rPr>
          <w:sz w:val="24"/>
        </w:rPr>
        <w:t>must have a process to ensure</w:t>
      </w:r>
      <w:r>
        <w:rPr>
          <w:spacing w:val="-1"/>
          <w:sz w:val="24"/>
        </w:rPr>
        <w:t> </w:t>
      </w:r>
      <w:r>
        <w:rPr>
          <w:sz w:val="24"/>
        </w:rPr>
        <w:t>that:</w:t>
      </w:r>
    </w:p>
    <w:p>
      <w:pPr>
        <w:pStyle w:val="ListParagraph"/>
        <w:numPr>
          <w:ilvl w:val="0"/>
          <w:numId w:val="627"/>
        </w:numPr>
        <w:tabs>
          <w:tab w:pos="1919" w:val="left" w:leader="none"/>
        </w:tabs>
        <w:spacing w:line="240" w:lineRule="auto" w:before="120" w:after="0"/>
        <w:ind w:left="1919" w:right="415" w:hanging="567"/>
        <w:jc w:val="both"/>
        <w:rPr>
          <w:sz w:val="24"/>
        </w:rPr>
      </w:pPr>
      <w:r>
        <w:rPr>
          <w:sz w:val="24"/>
        </w:rPr>
        <w:t>the final reading(s) from the removed type 1, 2, 3, 4, 4A, or 5 </w:t>
      </w:r>
      <w:r>
        <w:rPr>
          <w:i/>
          <w:sz w:val="24"/>
        </w:rPr>
        <w:t>metering </w:t>
      </w:r>
      <w:r>
        <w:rPr>
          <w:i/>
          <w:sz w:val="24"/>
        </w:rPr>
        <w:t>installation </w:t>
      </w:r>
      <w:r>
        <w:rPr>
          <w:sz w:val="24"/>
        </w:rPr>
        <w:t>cease at the end of the </w:t>
      </w:r>
      <w:r>
        <w:rPr>
          <w:i/>
          <w:sz w:val="24"/>
        </w:rPr>
        <w:t>day </w:t>
      </w:r>
      <w:r>
        <w:rPr>
          <w:sz w:val="24"/>
        </w:rPr>
        <w:t>of the meter</w:t>
      </w:r>
      <w:r>
        <w:rPr>
          <w:spacing w:val="-3"/>
          <w:sz w:val="24"/>
        </w:rPr>
        <w:t> </w:t>
      </w:r>
      <w:r>
        <w:rPr>
          <w:sz w:val="24"/>
        </w:rPr>
        <w:t>churn;</w:t>
      </w:r>
    </w:p>
    <w:p>
      <w:pPr>
        <w:pStyle w:val="ListParagraph"/>
        <w:numPr>
          <w:ilvl w:val="0"/>
          <w:numId w:val="627"/>
        </w:numPr>
        <w:tabs>
          <w:tab w:pos="1919" w:val="left" w:leader="none"/>
        </w:tabs>
        <w:spacing w:line="240" w:lineRule="auto" w:before="120" w:after="0"/>
        <w:ind w:left="1919" w:right="414" w:hanging="567"/>
        <w:jc w:val="both"/>
        <w:rPr>
          <w:sz w:val="24"/>
        </w:rPr>
      </w:pPr>
      <w:r>
        <w:rPr>
          <w:sz w:val="24"/>
        </w:rPr>
        <w:t>the </w:t>
      </w:r>
      <w:r>
        <w:rPr>
          <w:i/>
          <w:sz w:val="24"/>
        </w:rPr>
        <w:t>metering data </w:t>
      </w:r>
      <w:r>
        <w:rPr>
          <w:sz w:val="24"/>
        </w:rPr>
        <w:t>for the period of the meter churn </w:t>
      </w:r>
      <w:r>
        <w:rPr>
          <w:i/>
          <w:sz w:val="24"/>
        </w:rPr>
        <w:t>day </w:t>
      </w:r>
      <w:r>
        <w:rPr>
          <w:sz w:val="24"/>
        </w:rPr>
        <w:t>between commissioning of the new </w:t>
      </w:r>
      <w:r>
        <w:rPr>
          <w:i/>
          <w:sz w:val="24"/>
        </w:rPr>
        <w:t>metering installation </w:t>
      </w:r>
      <w:r>
        <w:rPr>
          <w:sz w:val="24"/>
        </w:rPr>
        <w:t>and the end of the </w:t>
      </w:r>
      <w:r>
        <w:rPr>
          <w:i/>
          <w:sz w:val="24"/>
        </w:rPr>
        <w:t>day </w:t>
      </w:r>
      <w:r>
        <w:rPr>
          <w:sz w:val="24"/>
        </w:rPr>
        <w:t>of the meter churn is provided as zeroes with a quality flag of F;</w:t>
      </w:r>
      <w:r>
        <w:rPr>
          <w:spacing w:val="-6"/>
          <w:sz w:val="24"/>
        </w:rPr>
        <w:t> </w:t>
      </w:r>
      <w:r>
        <w:rPr>
          <w:sz w:val="24"/>
        </w:rPr>
        <w:t>and</w:t>
      </w:r>
    </w:p>
    <w:p>
      <w:pPr>
        <w:pStyle w:val="ListParagraph"/>
        <w:numPr>
          <w:ilvl w:val="0"/>
          <w:numId w:val="627"/>
        </w:numPr>
        <w:tabs>
          <w:tab w:pos="1919" w:val="left" w:leader="none"/>
        </w:tabs>
        <w:spacing w:line="240" w:lineRule="auto" w:before="120" w:after="0"/>
        <w:ind w:left="1919" w:right="416" w:hanging="567"/>
        <w:jc w:val="both"/>
        <w:rPr>
          <w:sz w:val="24"/>
        </w:rPr>
      </w:pPr>
      <w:r>
        <w:rPr>
          <w:sz w:val="24"/>
        </w:rPr>
        <w:t>the start reading(s) for the new type 6 </w:t>
      </w:r>
      <w:r>
        <w:rPr>
          <w:i/>
          <w:sz w:val="24"/>
        </w:rPr>
        <w:t>metering installation </w:t>
      </w:r>
      <w:r>
        <w:rPr>
          <w:sz w:val="24"/>
        </w:rPr>
        <w:t>are applied at the start of the </w:t>
      </w:r>
      <w:r>
        <w:rPr>
          <w:i/>
          <w:sz w:val="24"/>
        </w:rPr>
        <w:t>day </w:t>
      </w:r>
      <w:r>
        <w:rPr>
          <w:sz w:val="24"/>
        </w:rPr>
        <w:t>following the </w:t>
      </w:r>
      <w:r>
        <w:rPr>
          <w:i/>
          <w:sz w:val="24"/>
        </w:rPr>
        <w:t>day </w:t>
      </w:r>
      <w:r>
        <w:rPr>
          <w:sz w:val="24"/>
        </w:rPr>
        <w:t>of the meter</w:t>
      </w:r>
      <w:r>
        <w:rPr>
          <w:spacing w:val="-3"/>
          <w:sz w:val="24"/>
        </w:rPr>
        <w:t> </w:t>
      </w:r>
      <w:r>
        <w:rPr>
          <w:sz w:val="24"/>
        </w:rPr>
        <w:t>churn.</w:t>
      </w:r>
    </w:p>
    <w:p>
      <w:pPr>
        <w:pStyle w:val="BodyText"/>
        <w:spacing w:before="10"/>
        <w:ind w:firstLine="0"/>
        <w:jc w:val="left"/>
        <w:rPr>
          <w:sz w:val="20"/>
        </w:rPr>
      </w:pPr>
    </w:p>
    <w:p>
      <w:pPr>
        <w:pStyle w:val="Heading4"/>
        <w:tabs>
          <w:tab w:pos="1658" w:val="left" w:leader="none"/>
        </w:tabs>
        <w:ind w:left="218" w:firstLine="0"/>
      </w:pPr>
      <w:bookmarkStart w:name="S7A.8.10.5 Scenario 4" w:id="2169"/>
      <w:bookmarkEnd w:id="2169"/>
      <w:r>
        <w:rPr>
          <w:b w:val="0"/>
        </w:rPr>
      </w:r>
      <w:bookmarkStart w:name="_bookmark907" w:id="2170"/>
      <w:bookmarkEnd w:id="2170"/>
      <w:r>
        <w:rPr>
          <w:b w:val="0"/>
        </w:rPr>
      </w:r>
      <w:r>
        <w:rPr/>
        <w:t>S7A.8.10.5</w:t>
        <w:tab/>
        <w:t>Scenario 4</w:t>
      </w:r>
    </w:p>
    <w:p>
      <w:pPr>
        <w:spacing w:before="120"/>
        <w:ind w:left="1352" w:right="415" w:firstLine="0"/>
        <w:jc w:val="both"/>
        <w:rPr>
          <w:sz w:val="24"/>
        </w:rPr>
      </w:pPr>
      <w:r>
        <w:rPr>
          <w:sz w:val="24"/>
        </w:rPr>
        <w:t>Each </w:t>
      </w:r>
      <w:r>
        <w:rPr>
          <w:i/>
          <w:sz w:val="24"/>
        </w:rPr>
        <w:t>Metering Data Provider </w:t>
      </w:r>
      <w:r>
        <w:rPr>
          <w:sz w:val="24"/>
        </w:rPr>
        <w:t>must have a process to ensure compliance with the following requirements:</w:t>
      </w:r>
    </w:p>
    <w:p>
      <w:pPr>
        <w:pStyle w:val="ListParagraph"/>
        <w:numPr>
          <w:ilvl w:val="0"/>
          <w:numId w:val="628"/>
        </w:numPr>
        <w:tabs>
          <w:tab w:pos="1919" w:val="left" w:leader="none"/>
        </w:tabs>
        <w:spacing w:line="240" w:lineRule="auto" w:before="120" w:after="0"/>
        <w:ind w:left="1919" w:right="415" w:hanging="567"/>
        <w:jc w:val="both"/>
        <w:rPr>
          <w:sz w:val="24"/>
        </w:rPr>
      </w:pPr>
      <w:r>
        <w:rPr>
          <w:sz w:val="24"/>
        </w:rPr>
        <w:t>the final reading(s) from the removed type 1, 2, 3, 4, 4A, or 5 </w:t>
      </w:r>
      <w:r>
        <w:rPr>
          <w:i/>
          <w:sz w:val="24"/>
        </w:rPr>
        <w:t>metering </w:t>
      </w:r>
      <w:r>
        <w:rPr>
          <w:i/>
          <w:sz w:val="24"/>
        </w:rPr>
        <w:t>installation </w:t>
      </w:r>
      <w:r>
        <w:rPr>
          <w:sz w:val="24"/>
        </w:rPr>
        <w:t>is collected up to the removal of the old </w:t>
      </w:r>
      <w:r>
        <w:rPr>
          <w:i/>
          <w:sz w:val="24"/>
        </w:rPr>
        <w:t>metering installation </w:t>
      </w:r>
      <w:r>
        <w:rPr>
          <w:sz w:val="24"/>
        </w:rPr>
        <w:t>on the </w:t>
      </w:r>
      <w:r>
        <w:rPr>
          <w:i/>
          <w:sz w:val="24"/>
        </w:rPr>
        <w:t>day </w:t>
      </w:r>
      <w:r>
        <w:rPr>
          <w:sz w:val="24"/>
        </w:rPr>
        <w:t>of the meter</w:t>
      </w:r>
      <w:r>
        <w:rPr>
          <w:spacing w:val="-2"/>
          <w:sz w:val="24"/>
        </w:rPr>
        <w:t> </w:t>
      </w:r>
      <w:r>
        <w:rPr>
          <w:sz w:val="24"/>
        </w:rPr>
        <w:t>churn;</w:t>
      </w:r>
    </w:p>
    <w:p>
      <w:pPr>
        <w:pStyle w:val="ListParagraph"/>
        <w:numPr>
          <w:ilvl w:val="0"/>
          <w:numId w:val="628"/>
        </w:numPr>
        <w:tabs>
          <w:tab w:pos="1919" w:val="left" w:leader="none"/>
        </w:tabs>
        <w:spacing w:line="240" w:lineRule="auto" w:before="120" w:after="0"/>
        <w:ind w:left="1918" w:right="0" w:hanging="567"/>
        <w:jc w:val="both"/>
        <w:rPr>
          <w:i/>
          <w:sz w:val="24"/>
        </w:rPr>
      </w:pPr>
      <w:r>
        <w:rPr>
          <w:sz w:val="24"/>
        </w:rPr>
        <w:t>the</w:t>
      </w:r>
      <w:r>
        <w:rPr>
          <w:spacing w:val="10"/>
          <w:sz w:val="24"/>
        </w:rPr>
        <w:t> </w:t>
      </w:r>
      <w:r>
        <w:rPr>
          <w:i/>
          <w:sz w:val="24"/>
        </w:rPr>
        <w:t>metering</w:t>
      </w:r>
      <w:r>
        <w:rPr>
          <w:i/>
          <w:spacing w:val="10"/>
          <w:sz w:val="24"/>
        </w:rPr>
        <w:t> </w:t>
      </w:r>
      <w:r>
        <w:rPr>
          <w:i/>
          <w:sz w:val="24"/>
        </w:rPr>
        <w:t>data</w:t>
      </w:r>
      <w:r>
        <w:rPr>
          <w:i/>
          <w:spacing w:val="10"/>
          <w:sz w:val="24"/>
        </w:rPr>
        <w:t> </w:t>
      </w:r>
      <w:r>
        <w:rPr>
          <w:sz w:val="24"/>
        </w:rPr>
        <w:t>for</w:t>
      </w:r>
      <w:r>
        <w:rPr>
          <w:spacing w:val="11"/>
          <w:sz w:val="24"/>
        </w:rPr>
        <w:t> </w:t>
      </w:r>
      <w:r>
        <w:rPr>
          <w:sz w:val="24"/>
        </w:rPr>
        <w:t>the</w:t>
      </w:r>
      <w:r>
        <w:rPr>
          <w:spacing w:val="10"/>
          <w:sz w:val="24"/>
        </w:rPr>
        <w:t> </w:t>
      </w:r>
      <w:r>
        <w:rPr>
          <w:sz w:val="24"/>
        </w:rPr>
        <w:t>new</w:t>
      </w:r>
      <w:r>
        <w:rPr>
          <w:spacing w:val="10"/>
          <w:sz w:val="24"/>
        </w:rPr>
        <w:t> </w:t>
      </w:r>
      <w:r>
        <w:rPr>
          <w:sz w:val="24"/>
        </w:rPr>
        <w:t>type</w:t>
      </w:r>
      <w:r>
        <w:rPr>
          <w:spacing w:val="11"/>
          <w:sz w:val="24"/>
        </w:rPr>
        <w:t> </w:t>
      </w:r>
      <w:r>
        <w:rPr>
          <w:sz w:val="24"/>
        </w:rPr>
        <w:t>1,</w:t>
      </w:r>
      <w:r>
        <w:rPr>
          <w:spacing w:val="10"/>
          <w:sz w:val="24"/>
        </w:rPr>
        <w:t> </w:t>
      </w:r>
      <w:r>
        <w:rPr>
          <w:sz w:val="24"/>
        </w:rPr>
        <w:t>2,</w:t>
      </w:r>
      <w:r>
        <w:rPr>
          <w:spacing w:val="10"/>
          <w:sz w:val="24"/>
        </w:rPr>
        <w:t> </w:t>
      </w:r>
      <w:r>
        <w:rPr>
          <w:sz w:val="24"/>
        </w:rPr>
        <w:t>3,</w:t>
      </w:r>
      <w:r>
        <w:rPr>
          <w:spacing w:val="10"/>
          <w:sz w:val="24"/>
        </w:rPr>
        <w:t> </w:t>
      </w:r>
      <w:r>
        <w:rPr>
          <w:sz w:val="24"/>
        </w:rPr>
        <w:t>4,</w:t>
      </w:r>
      <w:r>
        <w:rPr>
          <w:spacing w:val="11"/>
          <w:sz w:val="24"/>
        </w:rPr>
        <w:t> </w:t>
      </w:r>
      <w:r>
        <w:rPr>
          <w:sz w:val="24"/>
        </w:rPr>
        <w:t>4A,</w:t>
      </w:r>
      <w:r>
        <w:rPr>
          <w:spacing w:val="10"/>
          <w:sz w:val="24"/>
        </w:rPr>
        <w:t> </w:t>
      </w:r>
      <w:r>
        <w:rPr>
          <w:sz w:val="24"/>
        </w:rPr>
        <w:t>or</w:t>
      </w:r>
      <w:r>
        <w:rPr>
          <w:spacing w:val="10"/>
          <w:sz w:val="24"/>
        </w:rPr>
        <w:t> </w:t>
      </w:r>
      <w:r>
        <w:rPr>
          <w:sz w:val="24"/>
        </w:rPr>
        <w:t>5</w:t>
      </w:r>
      <w:r>
        <w:rPr>
          <w:spacing w:val="11"/>
          <w:sz w:val="24"/>
        </w:rPr>
        <w:t> </w:t>
      </w:r>
      <w:r>
        <w:rPr>
          <w:i/>
          <w:sz w:val="24"/>
        </w:rPr>
        <w:t>metering</w:t>
      </w:r>
      <w:r>
        <w:rPr>
          <w:i/>
          <w:spacing w:val="10"/>
          <w:sz w:val="24"/>
        </w:rPr>
        <w:t> </w:t>
      </w:r>
      <w:r>
        <w:rPr>
          <w:i/>
          <w:sz w:val="24"/>
        </w:rPr>
        <w:t>installation</w:t>
      </w:r>
    </w:p>
    <w:p>
      <w:pPr>
        <w:pStyle w:val="BodyText"/>
        <w:spacing w:before="0"/>
        <w:ind w:left="1919" w:firstLine="0"/>
      </w:pPr>
      <w:r>
        <w:rPr/>
        <w:t>commences at the start of the </w:t>
      </w:r>
      <w:r>
        <w:rPr>
          <w:i/>
        </w:rPr>
        <w:t>day </w:t>
      </w:r>
      <w:r>
        <w:rPr/>
        <w:t>of the meter churn;</w:t>
      </w:r>
    </w:p>
    <w:p>
      <w:pPr>
        <w:spacing w:after="0"/>
        <w:sectPr>
          <w:pgSz w:w="11910" w:h="16840"/>
          <w:pgMar w:header="686" w:footer="637" w:top="1320" w:bottom="820" w:left="1200" w:right="1000"/>
        </w:sectPr>
      </w:pPr>
    </w:p>
    <w:p>
      <w:pPr>
        <w:pStyle w:val="ListParagraph"/>
        <w:numPr>
          <w:ilvl w:val="0"/>
          <w:numId w:val="628"/>
        </w:numPr>
        <w:tabs>
          <w:tab w:pos="1919" w:val="left" w:leader="none"/>
        </w:tabs>
        <w:spacing w:line="240" w:lineRule="auto" w:before="83" w:after="0"/>
        <w:ind w:left="1919" w:right="415" w:hanging="567"/>
        <w:jc w:val="both"/>
        <w:rPr>
          <w:sz w:val="24"/>
        </w:rPr>
      </w:pPr>
      <w:r>
        <w:rPr>
          <w:sz w:val="24"/>
        </w:rPr>
        <w:t>the </w:t>
      </w:r>
      <w:r>
        <w:rPr>
          <w:i/>
          <w:sz w:val="24"/>
        </w:rPr>
        <w:t>Metering Data Provider </w:t>
      </w:r>
      <w:r>
        <w:rPr>
          <w:sz w:val="24"/>
        </w:rPr>
        <w:t>related to the new </w:t>
      </w:r>
      <w:r>
        <w:rPr>
          <w:i/>
          <w:sz w:val="24"/>
        </w:rPr>
        <w:t>metering installation </w:t>
      </w:r>
      <w:r>
        <w:rPr>
          <w:sz w:val="24"/>
        </w:rPr>
        <w:t>must obtain </w:t>
      </w:r>
      <w:r>
        <w:rPr>
          <w:i/>
          <w:sz w:val="24"/>
        </w:rPr>
        <w:t>metering data </w:t>
      </w:r>
      <w:r>
        <w:rPr>
          <w:sz w:val="24"/>
        </w:rPr>
        <w:t>for the period of the meter churn </w:t>
      </w:r>
      <w:r>
        <w:rPr>
          <w:i/>
          <w:sz w:val="24"/>
        </w:rPr>
        <w:t>day </w:t>
      </w:r>
      <w:r>
        <w:rPr>
          <w:sz w:val="24"/>
        </w:rPr>
        <w:t>between the start of the meter churn </w:t>
      </w:r>
      <w:r>
        <w:rPr>
          <w:i/>
          <w:sz w:val="24"/>
        </w:rPr>
        <w:t>day </w:t>
      </w:r>
      <w:r>
        <w:rPr>
          <w:sz w:val="24"/>
        </w:rPr>
        <w:t>and the removal of the old </w:t>
      </w:r>
      <w:r>
        <w:rPr>
          <w:i/>
          <w:sz w:val="24"/>
        </w:rPr>
        <w:t>metering installation </w:t>
      </w:r>
      <w:r>
        <w:rPr>
          <w:sz w:val="24"/>
        </w:rPr>
        <w:t>from the </w:t>
      </w:r>
      <w:r>
        <w:rPr>
          <w:i/>
          <w:sz w:val="24"/>
        </w:rPr>
        <w:t>Metering Data Provider </w:t>
      </w:r>
      <w:r>
        <w:rPr>
          <w:sz w:val="24"/>
        </w:rPr>
        <w:t>related to the old </w:t>
      </w:r>
      <w:r>
        <w:rPr>
          <w:i/>
          <w:sz w:val="24"/>
        </w:rPr>
        <w:t>metering</w:t>
      </w:r>
      <w:r>
        <w:rPr>
          <w:i/>
          <w:spacing w:val="-5"/>
          <w:sz w:val="24"/>
        </w:rPr>
        <w:t> </w:t>
      </w:r>
      <w:r>
        <w:rPr>
          <w:i/>
          <w:sz w:val="24"/>
        </w:rPr>
        <w:t>installation</w:t>
      </w:r>
      <w:r>
        <w:rPr>
          <w:sz w:val="24"/>
        </w:rPr>
        <w:t>;</w:t>
      </w:r>
    </w:p>
    <w:p>
      <w:pPr>
        <w:pStyle w:val="ListParagraph"/>
        <w:numPr>
          <w:ilvl w:val="0"/>
          <w:numId w:val="628"/>
        </w:numPr>
        <w:tabs>
          <w:tab w:pos="1919" w:val="left" w:leader="none"/>
        </w:tabs>
        <w:spacing w:line="240" w:lineRule="auto" w:before="120" w:after="0"/>
        <w:ind w:left="1919" w:right="414" w:hanging="567"/>
        <w:jc w:val="both"/>
        <w:rPr>
          <w:sz w:val="24"/>
        </w:rPr>
      </w:pPr>
      <w:r>
        <w:rPr>
          <w:sz w:val="24"/>
        </w:rPr>
        <w:t>the </w:t>
      </w:r>
      <w:r>
        <w:rPr>
          <w:i/>
          <w:sz w:val="24"/>
        </w:rPr>
        <w:t>Metering Data Provider </w:t>
      </w:r>
      <w:r>
        <w:rPr>
          <w:sz w:val="24"/>
        </w:rPr>
        <w:t>related to the new </w:t>
      </w:r>
      <w:r>
        <w:rPr>
          <w:i/>
          <w:sz w:val="24"/>
        </w:rPr>
        <w:t>metering installation </w:t>
      </w:r>
      <w:r>
        <w:rPr>
          <w:sz w:val="24"/>
        </w:rPr>
        <w:t>must combine the </w:t>
      </w:r>
      <w:r>
        <w:rPr>
          <w:i/>
          <w:sz w:val="24"/>
        </w:rPr>
        <w:t>metering data </w:t>
      </w:r>
      <w:r>
        <w:rPr>
          <w:sz w:val="24"/>
        </w:rPr>
        <w:t>from the old </w:t>
      </w:r>
      <w:r>
        <w:rPr>
          <w:i/>
          <w:sz w:val="24"/>
        </w:rPr>
        <w:t>metering installation </w:t>
      </w:r>
      <w:r>
        <w:rPr>
          <w:sz w:val="24"/>
        </w:rPr>
        <w:t>and the new </w:t>
      </w:r>
      <w:r>
        <w:rPr>
          <w:i/>
          <w:sz w:val="24"/>
        </w:rPr>
        <w:t>metering installation </w:t>
      </w:r>
      <w:r>
        <w:rPr>
          <w:sz w:val="24"/>
        </w:rPr>
        <w:t>for the day of meter churn and deliver </w:t>
      </w:r>
      <w:r>
        <w:rPr>
          <w:i/>
          <w:sz w:val="24"/>
        </w:rPr>
        <w:t>metering data </w:t>
      </w:r>
      <w:r>
        <w:rPr>
          <w:sz w:val="24"/>
        </w:rPr>
        <w:t>for the whole </w:t>
      </w:r>
      <w:r>
        <w:rPr>
          <w:i/>
          <w:sz w:val="24"/>
        </w:rPr>
        <w:t>day </w:t>
      </w:r>
      <w:r>
        <w:rPr>
          <w:sz w:val="24"/>
        </w:rPr>
        <w:t>of meter</w:t>
      </w:r>
      <w:r>
        <w:rPr>
          <w:spacing w:val="-2"/>
          <w:sz w:val="24"/>
        </w:rPr>
        <w:t> </w:t>
      </w:r>
      <w:r>
        <w:rPr>
          <w:sz w:val="24"/>
        </w:rPr>
        <w:t>churn;</w:t>
      </w:r>
    </w:p>
    <w:p>
      <w:pPr>
        <w:pStyle w:val="ListParagraph"/>
        <w:numPr>
          <w:ilvl w:val="0"/>
          <w:numId w:val="628"/>
        </w:numPr>
        <w:tabs>
          <w:tab w:pos="1919" w:val="left" w:leader="none"/>
        </w:tabs>
        <w:spacing w:line="240" w:lineRule="auto" w:before="120" w:after="0"/>
        <w:ind w:left="1919" w:right="415" w:hanging="567"/>
        <w:jc w:val="both"/>
        <w:rPr>
          <w:sz w:val="24"/>
        </w:rPr>
      </w:pPr>
      <w:r>
        <w:rPr>
          <w:sz w:val="24"/>
        </w:rPr>
        <w:t>where meter churn results in a change to the recording of </w:t>
      </w:r>
      <w:r>
        <w:rPr>
          <w:i/>
          <w:sz w:val="24"/>
        </w:rPr>
        <w:t>metering data </w:t>
      </w:r>
      <w:r>
        <w:rPr>
          <w:sz w:val="24"/>
        </w:rPr>
        <w:t>from 15-minute to 30-minute intervals, the 15-minute intervals of </w:t>
      </w:r>
      <w:r>
        <w:rPr>
          <w:i/>
          <w:sz w:val="24"/>
        </w:rPr>
        <w:t>metering </w:t>
      </w:r>
      <w:r>
        <w:rPr>
          <w:i/>
          <w:sz w:val="24"/>
        </w:rPr>
        <w:t>data </w:t>
      </w:r>
      <w:r>
        <w:rPr>
          <w:sz w:val="24"/>
        </w:rPr>
        <w:t>from the start of the meter churn </w:t>
      </w:r>
      <w:r>
        <w:rPr>
          <w:i/>
          <w:sz w:val="24"/>
        </w:rPr>
        <w:t>day </w:t>
      </w:r>
      <w:r>
        <w:rPr>
          <w:sz w:val="24"/>
        </w:rPr>
        <w:t>until the commissioning of the new </w:t>
      </w:r>
      <w:r>
        <w:rPr>
          <w:i/>
          <w:sz w:val="24"/>
        </w:rPr>
        <w:t>metering installation </w:t>
      </w:r>
      <w:r>
        <w:rPr>
          <w:sz w:val="24"/>
        </w:rPr>
        <w:t>are to be aggregated to form </w:t>
      </w:r>
      <w:r>
        <w:rPr>
          <w:i/>
          <w:sz w:val="24"/>
        </w:rPr>
        <w:t>interval metering </w:t>
      </w:r>
      <w:r>
        <w:rPr>
          <w:i/>
          <w:sz w:val="24"/>
        </w:rPr>
        <w:t>data</w:t>
      </w:r>
      <w:r>
        <w:rPr>
          <w:sz w:val="24"/>
        </w:rPr>
        <w:t>;</w:t>
      </w:r>
    </w:p>
    <w:p>
      <w:pPr>
        <w:pStyle w:val="ListParagraph"/>
        <w:numPr>
          <w:ilvl w:val="0"/>
          <w:numId w:val="628"/>
        </w:numPr>
        <w:tabs>
          <w:tab w:pos="1920" w:val="left" w:leader="none"/>
        </w:tabs>
        <w:spacing w:line="240" w:lineRule="auto" w:before="120" w:after="0"/>
        <w:ind w:left="1919" w:right="0" w:hanging="568"/>
        <w:jc w:val="both"/>
        <w:rPr>
          <w:i/>
          <w:sz w:val="24"/>
        </w:rPr>
      </w:pPr>
      <w:r>
        <w:rPr>
          <w:sz w:val="24"/>
        </w:rPr>
        <w:t>where</w:t>
      </w:r>
      <w:r>
        <w:rPr>
          <w:spacing w:val="39"/>
          <w:sz w:val="24"/>
        </w:rPr>
        <w:t> </w:t>
      </w:r>
      <w:r>
        <w:rPr>
          <w:sz w:val="24"/>
        </w:rPr>
        <w:t>meter</w:t>
      </w:r>
      <w:r>
        <w:rPr>
          <w:spacing w:val="40"/>
          <w:sz w:val="24"/>
        </w:rPr>
        <w:t> </w:t>
      </w:r>
      <w:r>
        <w:rPr>
          <w:sz w:val="24"/>
        </w:rPr>
        <w:t>churn</w:t>
      </w:r>
      <w:r>
        <w:rPr>
          <w:spacing w:val="40"/>
          <w:sz w:val="24"/>
        </w:rPr>
        <w:t> </w:t>
      </w:r>
      <w:r>
        <w:rPr>
          <w:sz w:val="24"/>
        </w:rPr>
        <w:t>results</w:t>
      </w:r>
      <w:r>
        <w:rPr>
          <w:spacing w:val="41"/>
          <w:sz w:val="24"/>
        </w:rPr>
        <w:t> </w:t>
      </w:r>
      <w:r>
        <w:rPr>
          <w:sz w:val="24"/>
        </w:rPr>
        <w:t>in</w:t>
      </w:r>
      <w:r>
        <w:rPr>
          <w:spacing w:val="40"/>
          <w:sz w:val="24"/>
        </w:rPr>
        <w:t> </w:t>
      </w:r>
      <w:r>
        <w:rPr>
          <w:sz w:val="24"/>
        </w:rPr>
        <w:t>a</w:t>
      </w:r>
      <w:r>
        <w:rPr>
          <w:spacing w:val="40"/>
          <w:sz w:val="24"/>
        </w:rPr>
        <w:t> </w:t>
      </w:r>
      <w:r>
        <w:rPr>
          <w:sz w:val="24"/>
        </w:rPr>
        <w:t>change</w:t>
      </w:r>
      <w:r>
        <w:rPr>
          <w:spacing w:val="41"/>
          <w:sz w:val="24"/>
        </w:rPr>
        <w:t> </w:t>
      </w:r>
      <w:r>
        <w:rPr>
          <w:sz w:val="24"/>
        </w:rPr>
        <w:t>to</w:t>
      </w:r>
      <w:r>
        <w:rPr>
          <w:spacing w:val="40"/>
          <w:sz w:val="24"/>
        </w:rPr>
        <w:t> </w:t>
      </w:r>
      <w:r>
        <w:rPr>
          <w:sz w:val="24"/>
        </w:rPr>
        <w:t>the</w:t>
      </w:r>
      <w:r>
        <w:rPr>
          <w:spacing w:val="39"/>
          <w:sz w:val="24"/>
        </w:rPr>
        <w:t> </w:t>
      </w:r>
      <w:r>
        <w:rPr>
          <w:sz w:val="24"/>
        </w:rPr>
        <w:t>recording</w:t>
      </w:r>
      <w:r>
        <w:rPr>
          <w:spacing w:val="41"/>
          <w:sz w:val="24"/>
        </w:rPr>
        <w:t> </w:t>
      </w:r>
      <w:r>
        <w:rPr>
          <w:sz w:val="24"/>
        </w:rPr>
        <w:t>of</w:t>
      </w:r>
      <w:r>
        <w:rPr>
          <w:spacing w:val="40"/>
          <w:sz w:val="24"/>
        </w:rPr>
        <w:t> </w:t>
      </w:r>
      <w:r>
        <w:rPr>
          <w:i/>
          <w:sz w:val="24"/>
        </w:rPr>
        <w:t>metering</w:t>
      </w:r>
      <w:r>
        <w:rPr>
          <w:i/>
          <w:spacing w:val="40"/>
          <w:sz w:val="24"/>
        </w:rPr>
        <w:t> </w:t>
      </w:r>
      <w:r>
        <w:rPr>
          <w:i/>
          <w:sz w:val="24"/>
        </w:rPr>
        <w:t>data</w:t>
      </w:r>
    </w:p>
    <w:p>
      <w:pPr>
        <w:pStyle w:val="BodyText"/>
        <w:spacing w:before="0"/>
        <w:ind w:left="1919" w:firstLine="0"/>
      </w:pPr>
      <w:r>
        <w:rPr/>
        <w:t>from 30-minute to 15-minute intervals:</w:t>
      </w:r>
    </w:p>
    <w:p>
      <w:pPr>
        <w:pStyle w:val="ListParagraph"/>
        <w:numPr>
          <w:ilvl w:val="1"/>
          <w:numId w:val="628"/>
        </w:numPr>
        <w:tabs>
          <w:tab w:pos="2486" w:val="left" w:leader="none"/>
        </w:tabs>
        <w:spacing w:line="240" w:lineRule="auto" w:before="120" w:after="0"/>
        <w:ind w:left="2486" w:right="414" w:hanging="567"/>
        <w:jc w:val="both"/>
        <w:rPr>
          <w:sz w:val="24"/>
        </w:rPr>
      </w:pPr>
      <w:r>
        <w:rPr>
          <w:sz w:val="24"/>
        </w:rPr>
        <w:t>the 15-minute intervals of </w:t>
      </w:r>
      <w:r>
        <w:rPr>
          <w:i/>
          <w:sz w:val="24"/>
        </w:rPr>
        <w:t>metering data </w:t>
      </w:r>
      <w:r>
        <w:rPr>
          <w:sz w:val="24"/>
        </w:rPr>
        <w:t>from the commissioning of the new </w:t>
      </w:r>
      <w:r>
        <w:rPr>
          <w:i/>
          <w:sz w:val="24"/>
        </w:rPr>
        <w:t>metering installation </w:t>
      </w:r>
      <w:r>
        <w:rPr>
          <w:sz w:val="24"/>
        </w:rPr>
        <w:t>to the end of the meter churn </w:t>
      </w:r>
      <w:r>
        <w:rPr>
          <w:i/>
          <w:sz w:val="24"/>
        </w:rPr>
        <w:t>day </w:t>
      </w:r>
      <w:r>
        <w:rPr>
          <w:sz w:val="24"/>
        </w:rPr>
        <w:t>are </w:t>
      </w:r>
      <w:r>
        <w:rPr>
          <w:spacing w:val="-7"/>
          <w:sz w:val="24"/>
        </w:rPr>
        <w:t>to </w:t>
      </w:r>
      <w:r>
        <w:rPr>
          <w:sz w:val="24"/>
        </w:rPr>
        <w:t>be aggregated to form 30-minute </w:t>
      </w:r>
      <w:r>
        <w:rPr>
          <w:i/>
          <w:sz w:val="24"/>
        </w:rPr>
        <w:t>interval metering data</w:t>
      </w:r>
      <w:r>
        <w:rPr>
          <w:sz w:val="24"/>
        </w:rPr>
        <w:t>;</w:t>
      </w:r>
      <w:r>
        <w:rPr>
          <w:spacing w:val="-2"/>
          <w:sz w:val="24"/>
        </w:rPr>
        <w:t> </w:t>
      </w:r>
      <w:r>
        <w:rPr>
          <w:sz w:val="24"/>
        </w:rPr>
        <w:t>or</w:t>
      </w:r>
    </w:p>
    <w:p>
      <w:pPr>
        <w:pStyle w:val="ListParagraph"/>
        <w:numPr>
          <w:ilvl w:val="1"/>
          <w:numId w:val="628"/>
        </w:numPr>
        <w:tabs>
          <w:tab w:pos="2486" w:val="left" w:leader="none"/>
        </w:tabs>
        <w:spacing w:line="240" w:lineRule="auto" w:before="120" w:after="0"/>
        <w:ind w:left="2486" w:right="415" w:hanging="567"/>
        <w:jc w:val="both"/>
        <w:rPr>
          <w:sz w:val="24"/>
        </w:rPr>
      </w:pPr>
      <w:r>
        <w:rPr>
          <w:sz w:val="24"/>
        </w:rPr>
        <w:t>the 30-minute intervals of </w:t>
      </w:r>
      <w:r>
        <w:rPr>
          <w:i/>
          <w:sz w:val="24"/>
        </w:rPr>
        <w:t>metering data </w:t>
      </w:r>
      <w:r>
        <w:rPr>
          <w:sz w:val="24"/>
        </w:rPr>
        <w:t>for the start of the meter churn </w:t>
      </w:r>
      <w:r>
        <w:rPr>
          <w:i/>
          <w:sz w:val="24"/>
        </w:rPr>
        <w:t>day </w:t>
      </w:r>
      <w:r>
        <w:rPr>
          <w:sz w:val="24"/>
        </w:rPr>
        <w:t>may be disaggregated to form 15-minute interval </w:t>
      </w:r>
      <w:r>
        <w:rPr>
          <w:i/>
          <w:sz w:val="24"/>
        </w:rPr>
        <w:t>metering </w:t>
      </w:r>
      <w:r>
        <w:rPr>
          <w:i/>
          <w:sz w:val="24"/>
        </w:rPr>
        <w:t>data</w:t>
      </w:r>
      <w:r>
        <w:rPr>
          <w:sz w:val="24"/>
        </w:rPr>
        <w:t>, where agreed with the </w:t>
      </w:r>
      <w:r>
        <w:rPr>
          <w:i/>
          <w:sz w:val="24"/>
        </w:rPr>
        <w:t>Metering</w:t>
      </w:r>
      <w:r>
        <w:rPr>
          <w:i/>
          <w:spacing w:val="-4"/>
          <w:sz w:val="24"/>
        </w:rPr>
        <w:t> </w:t>
      </w:r>
      <w:r>
        <w:rPr>
          <w:i/>
          <w:sz w:val="24"/>
        </w:rPr>
        <w:t>Coordinator</w:t>
      </w:r>
      <w:r>
        <w:rPr>
          <w:sz w:val="24"/>
        </w:rPr>
        <w:t>;</w:t>
      </w:r>
    </w:p>
    <w:p>
      <w:pPr>
        <w:pStyle w:val="ListParagraph"/>
        <w:numPr>
          <w:ilvl w:val="0"/>
          <w:numId w:val="628"/>
        </w:numPr>
        <w:tabs>
          <w:tab w:pos="1919" w:val="left" w:leader="none"/>
        </w:tabs>
        <w:spacing w:line="240" w:lineRule="auto" w:before="120" w:after="0"/>
        <w:ind w:left="1919" w:right="415" w:hanging="567"/>
        <w:jc w:val="both"/>
        <w:rPr>
          <w:sz w:val="24"/>
        </w:rPr>
      </w:pPr>
      <w:r>
        <w:rPr>
          <w:i/>
          <w:sz w:val="24"/>
        </w:rPr>
        <w:t>estimated metering data </w:t>
      </w:r>
      <w:r>
        <w:rPr>
          <w:sz w:val="24"/>
        </w:rPr>
        <w:t>is provided for any </w:t>
      </w:r>
      <w:r>
        <w:rPr>
          <w:i/>
          <w:sz w:val="24"/>
        </w:rPr>
        <w:t>metering </w:t>
      </w:r>
      <w:r>
        <w:rPr>
          <w:sz w:val="24"/>
        </w:rPr>
        <w:t>data streams made active as a result of the meter churn for a new type 4A or type 5 </w:t>
      </w:r>
      <w:r>
        <w:rPr>
          <w:i/>
          <w:sz w:val="24"/>
        </w:rPr>
        <w:t>metering </w:t>
      </w:r>
      <w:r>
        <w:rPr>
          <w:i/>
          <w:sz w:val="24"/>
        </w:rPr>
        <w:t>installation</w:t>
      </w:r>
      <w:r>
        <w:rPr>
          <w:sz w:val="24"/>
        </w:rPr>
        <w:t>;</w:t>
      </w:r>
    </w:p>
    <w:p>
      <w:pPr>
        <w:pStyle w:val="ListParagraph"/>
        <w:numPr>
          <w:ilvl w:val="0"/>
          <w:numId w:val="628"/>
        </w:numPr>
        <w:tabs>
          <w:tab w:pos="1919" w:val="left" w:leader="none"/>
        </w:tabs>
        <w:spacing w:line="240" w:lineRule="auto" w:before="120" w:after="0"/>
        <w:ind w:left="1919" w:right="415" w:hanging="567"/>
        <w:jc w:val="both"/>
        <w:rPr>
          <w:sz w:val="24"/>
        </w:rPr>
      </w:pPr>
      <w:r>
        <w:rPr>
          <w:sz w:val="24"/>
        </w:rPr>
        <w:t>where meter churn results in a </w:t>
      </w:r>
      <w:r>
        <w:rPr>
          <w:i/>
          <w:sz w:val="24"/>
        </w:rPr>
        <w:t>metering </w:t>
      </w:r>
      <w:r>
        <w:rPr>
          <w:sz w:val="24"/>
        </w:rPr>
        <w:t>data stream being made active, the </w:t>
      </w:r>
      <w:r>
        <w:rPr>
          <w:i/>
          <w:sz w:val="24"/>
        </w:rPr>
        <w:t>Metering Data Provider </w:t>
      </w:r>
      <w:r>
        <w:rPr>
          <w:sz w:val="24"/>
        </w:rPr>
        <w:t>related to the new </w:t>
      </w:r>
      <w:r>
        <w:rPr>
          <w:i/>
          <w:sz w:val="24"/>
        </w:rPr>
        <w:t>metering installation </w:t>
      </w:r>
      <w:r>
        <w:rPr>
          <w:sz w:val="24"/>
        </w:rPr>
        <w:t>must provide </w:t>
      </w:r>
      <w:r>
        <w:rPr>
          <w:i/>
          <w:sz w:val="24"/>
        </w:rPr>
        <w:t>metering data </w:t>
      </w:r>
      <w:r>
        <w:rPr>
          <w:sz w:val="24"/>
        </w:rPr>
        <w:t>from the start of the </w:t>
      </w:r>
      <w:r>
        <w:rPr>
          <w:i/>
          <w:sz w:val="24"/>
        </w:rPr>
        <w:t>day </w:t>
      </w:r>
      <w:r>
        <w:rPr>
          <w:sz w:val="24"/>
        </w:rPr>
        <w:t>to the commissioning of the new </w:t>
      </w:r>
      <w:r>
        <w:rPr>
          <w:i/>
          <w:sz w:val="24"/>
        </w:rPr>
        <w:t>metering installation </w:t>
      </w:r>
      <w:r>
        <w:rPr>
          <w:sz w:val="24"/>
        </w:rPr>
        <w:t>by providing zeroes with a quality flag of</w:t>
      </w:r>
      <w:r>
        <w:rPr>
          <w:spacing w:val="-11"/>
          <w:sz w:val="24"/>
        </w:rPr>
        <w:t> </w:t>
      </w:r>
      <w:r>
        <w:rPr>
          <w:sz w:val="24"/>
        </w:rPr>
        <w:t>F;</w:t>
      </w:r>
    </w:p>
    <w:p>
      <w:pPr>
        <w:pStyle w:val="ListParagraph"/>
        <w:numPr>
          <w:ilvl w:val="0"/>
          <w:numId w:val="628"/>
        </w:numPr>
        <w:tabs>
          <w:tab w:pos="1919" w:val="left" w:leader="none"/>
        </w:tabs>
        <w:spacing w:line="240" w:lineRule="auto" w:before="120" w:after="0"/>
        <w:ind w:left="1919" w:right="415" w:hanging="567"/>
        <w:jc w:val="both"/>
        <w:rPr>
          <w:sz w:val="24"/>
        </w:rPr>
      </w:pPr>
      <w:r>
        <w:rPr>
          <w:sz w:val="24"/>
        </w:rPr>
        <w:t>where meter churn results in a </w:t>
      </w:r>
      <w:r>
        <w:rPr>
          <w:i/>
          <w:sz w:val="24"/>
        </w:rPr>
        <w:t>metering </w:t>
      </w:r>
      <w:r>
        <w:rPr>
          <w:sz w:val="24"/>
        </w:rPr>
        <w:t>data stream being made inactive, the </w:t>
      </w:r>
      <w:r>
        <w:rPr>
          <w:i/>
          <w:sz w:val="24"/>
        </w:rPr>
        <w:t>Metering Data Provider </w:t>
      </w:r>
      <w:r>
        <w:rPr>
          <w:sz w:val="24"/>
        </w:rPr>
        <w:t>must provide </w:t>
      </w:r>
      <w:r>
        <w:rPr>
          <w:i/>
          <w:sz w:val="24"/>
        </w:rPr>
        <w:t>metering data </w:t>
      </w:r>
      <w:r>
        <w:rPr>
          <w:sz w:val="24"/>
        </w:rPr>
        <w:t>from the commissioning of the new </w:t>
      </w:r>
      <w:r>
        <w:rPr>
          <w:i/>
          <w:sz w:val="24"/>
        </w:rPr>
        <w:t>metering </w:t>
      </w:r>
      <w:r>
        <w:rPr>
          <w:sz w:val="24"/>
        </w:rPr>
        <w:t>installation to the end of the </w:t>
      </w:r>
      <w:r>
        <w:rPr>
          <w:i/>
          <w:sz w:val="24"/>
        </w:rPr>
        <w:t>day </w:t>
      </w:r>
      <w:r>
        <w:rPr>
          <w:sz w:val="24"/>
        </w:rPr>
        <w:t>by providing zeroes with a quality flag of F;</w:t>
      </w:r>
      <w:r>
        <w:rPr>
          <w:spacing w:val="-2"/>
          <w:sz w:val="24"/>
        </w:rPr>
        <w:t> </w:t>
      </w:r>
      <w:r>
        <w:rPr>
          <w:sz w:val="24"/>
        </w:rPr>
        <w:t>and</w:t>
      </w:r>
    </w:p>
    <w:p>
      <w:pPr>
        <w:pStyle w:val="ListParagraph"/>
        <w:numPr>
          <w:ilvl w:val="0"/>
          <w:numId w:val="628"/>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create final </w:t>
      </w:r>
      <w:r>
        <w:rPr>
          <w:i/>
          <w:sz w:val="24"/>
        </w:rPr>
        <w:t>substituted metering data </w:t>
      </w:r>
      <w:r>
        <w:rPr>
          <w:sz w:val="24"/>
        </w:rPr>
        <w:t>for the period between the existing </w:t>
      </w:r>
      <w:r>
        <w:rPr>
          <w:i/>
          <w:sz w:val="24"/>
        </w:rPr>
        <w:t>metering installation </w:t>
      </w:r>
      <w:r>
        <w:rPr>
          <w:sz w:val="24"/>
        </w:rPr>
        <w:t>being removed and the commissioning of the new </w:t>
      </w:r>
      <w:r>
        <w:rPr>
          <w:i/>
          <w:sz w:val="24"/>
        </w:rPr>
        <w:t>metering</w:t>
      </w:r>
      <w:r>
        <w:rPr>
          <w:i/>
          <w:spacing w:val="-3"/>
          <w:sz w:val="24"/>
        </w:rPr>
        <w:t> </w:t>
      </w:r>
      <w:r>
        <w:rPr>
          <w:i/>
          <w:sz w:val="24"/>
        </w:rPr>
        <w:t>installation</w:t>
      </w:r>
      <w:r>
        <w:rPr>
          <w:sz w:val="24"/>
        </w:rPr>
        <w:t>.</w:t>
      </w:r>
    </w:p>
    <w:p>
      <w:pPr>
        <w:pStyle w:val="Heading4"/>
        <w:tabs>
          <w:tab w:pos="1658" w:val="left" w:leader="none"/>
        </w:tabs>
        <w:spacing w:line="510" w:lineRule="atLeast" w:before="6"/>
        <w:ind w:left="218" w:right="3845" w:firstLine="0"/>
      </w:pPr>
      <w:bookmarkStart w:name="S7A.8.11 System architecture and adminis" w:id="2171"/>
      <w:bookmarkEnd w:id="2171"/>
      <w:r>
        <w:rPr>
          <w:b w:val="0"/>
        </w:rPr>
      </w:r>
      <w:bookmarkStart w:name="_bookmark908" w:id="2172"/>
      <w:bookmarkEnd w:id="2172"/>
      <w:r>
        <w:rPr>
          <w:b w:val="0"/>
        </w:rPr>
      </w:r>
      <w:r>
        <w:rPr/>
        <w:t>S7A.8.11 System architecture and administration</w:t>
      </w:r>
      <w:bookmarkStart w:name="S7A.8.11.1 Metering data archival and re" w:id="2173"/>
      <w:bookmarkEnd w:id="2173"/>
      <w:r>
        <w:rPr/>
      </w:r>
      <w:bookmarkStart w:name="_bookmark909" w:id="2174"/>
      <w:bookmarkEnd w:id="2174"/>
      <w:r>
        <w:rPr/>
      </w:r>
      <w:r>
        <w:rPr/>
        <w:t> S7A.8.11.1</w:t>
        <w:tab/>
        <w:t>Metering data archival and</w:t>
      </w:r>
      <w:r>
        <w:rPr>
          <w:spacing w:val="-14"/>
        </w:rPr>
        <w:t> </w:t>
      </w:r>
      <w:r>
        <w:rPr/>
        <w:t>recovery</w:t>
      </w:r>
    </w:p>
    <w:p>
      <w:pPr>
        <w:spacing w:before="126"/>
        <w:ind w:left="1352" w:right="414" w:firstLine="0"/>
        <w:jc w:val="both"/>
        <w:rPr>
          <w:sz w:val="24"/>
        </w:rPr>
      </w:pPr>
      <w:r>
        <w:rPr>
          <w:sz w:val="24"/>
        </w:rPr>
        <w:t>Each </w:t>
      </w:r>
      <w:r>
        <w:rPr>
          <w:i/>
          <w:sz w:val="24"/>
        </w:rPr>
        <w:t>Metering Data Provider </w:t>
      </w:r>
      <w:r>
        <w:rPr>
          <w:sz w:val="24"/>
        </w:rPr>
        <w:t>must have retrieval mechanisms (both electronic and archived) that allow the </w:t>
      </w:r>
      <w:r>
        <w:rPr>
          <w:i/>
          <w:sz w:val="24"/>
        </w:rPr>
        <w:t>metering data </w:t>
      </w:r>
      <w:r>
        <w:rPr>
          <w:sz w:val="24"/>
        </w:rPr>
        <w:t>retained in its </w:t>
      </w:r>
      <w:r>
        <w:rPr>
          <w:i/>
          <w:sz w:val="24"/>
        </w:rPr>
        <w:t>metering data services </w:t>
      </w:r>
      <w:r>
        <w:rPr>
          <w:i/>
          <w:sz w:val="24"/>
        </w:rPr>
        <w:t>database </w:t>
      </w:r>
      <w:r>
        <w:rPr>
          <w:sz w:val="24"/>
        </w:rPr>
        <w:t>under clause 7A.8.3 to be accessed</w:t>
      </w:r>
      <w:r>
        <w:rPr>
          <w:b/>
          <w:sz w:val="24"/>
        </w:rPr>
        <w:t>, </w:t>
      </w:r>
      <w:r>
        <w:rPr>
          <w:sz w:val="24"/>
        </w:rPr>
        <w:t>recovered, re-evaluated and delivered in agreed timeframes to </w:t>
      </w:r>
      <w:r>
        <w:rPr>
          <w:i/>
          <w:sz w:val="24"/>
        </w:rPr>
        <w:t>NTESMO</w:t>
      </w:r>
      <w:r>
        <w:rPr>
          <w:sz w:val="24"/>
        </w:rPr>
        <w:t>, </w:t>
      </w:r>
      <w:r>
        <w:rPr>
          <w:i/>
          <w:sz w:val="24"/>
        </w:rPr>
        <w:t>Registered </w:t>
      </w:r>
      <w:r>
        <w:rPr>
          <w:sz w:val="24"/>
        </w:rPr>
        <w:t>Participants or financially responsible</w:t>
      </w:r>
      <w:r>
        <w:rPr>
          <w:spacing w:val="-1"/>
          <w:sz w:val="24"/>
        </w:rPr>
        <w:t> </w:t>
      </w:r>
      <w:r>
        <w:rPr>
          <w:sz w:val="24"/>
        </w:rPr>
        <w:t>participants.</w:t>
      </w:r>
    </w:p>
    <w:p>
      <w:pPr>
        <w:spacing w:after="0"/>
        <w:jc w:val="both"/>
        <w:rPr>
          <w:sz w:val="24"/>
        </w:rPr>
        <w:sectPr>
          <w:pgSz w:w="11910" w:h="16840"/>
          <w:pgMar w:header="686" w:footer="637" w:top="1320" w:bottom="820" w:left="1200" w:right="1000"/>
        </w:sectPr>
      </w:pPr>
    </w:p>
    <w:p>
      <w:pPr>
        <w:pStyle w:val="Heading4"/>
        <w:tabs>
          <w:tab w:pos="1658" w:val="left" w:leader="none"/>
        </w:tabs>
        <w:spacing w:before="83"/>
        <w:ind w:left="218" w:firstLine="0"/>
      </w:pPr>
      <w:bookmarkStart w:name="S7A.8.11.2 Data backup" w:id="2175"/>
      <w:bookmarkEnd w:id="2175"/>
      <w:r>
        <w:rPr>
          <w:b w:val="0"/>
        </w:rPr>
      </w:r>
      <w:bookmarkStart w:name="_bookmark910" w:id="2176"/>
      <w:bookmarkEnd w:id="2176"/>
      <w:r>
        <w:rPr>
          <w:b w:val="0"/>
        </w:rPr>
      </w:r>
      <w:r>
        <w:rPr/>
        <w:t>S7A.8.11.2</w:t>
        <w:tab/>
        <w:t>Data</w:t>
      </w:r>
      <w:r>
        <w:rPr>
          <w:spacing w:val="-1"/>
        </w:rPr>
        <w:t> </w:t>
      </w:r>
      <w:r>
        <w:rPr/>
        <w:t>backup</w:t>
      </w:r>
    </w:p>
    <w:p>
      <w:pPr>
        <w:pStyle w:val="BodyText"/>
        <w:ind w:left="1352" w:right="415" w:firstLine="0"/>
        <w:jc w:val="left"/>
      </w:pPr>
      <w:r>
        <w:rPr/>
        <w:t>All </w:t>
      </w:r>
      <w:r>
        <w:rPr>
          <w:i/>
        </w:rPr>
        <w:t>metering data </w:t>
      </w:r>
      <w:r>
        <w:rPr/>
        <w:t>and metering register information must be backed-up, at a minimum, on a daily basis and held in a secure environment.</w:t>
      </w:r>
    </w:p>
    <w:p>
      <w:pPr>
        <w:pStyle w:val="BodyText"/>
        <w:spacing w:before="10"/>
        <w:ind w:firstLine="0"/>
        <w:jc w:val="left"/>
        <w:rPr>
          <w:sz w:val="20"/>
        </w:rPr>
      </w:pPr>
    </w:p>
    <w:p>
      <w:pPr>
        <w:pStyle w:val="Heading4"/>
        <w:tabs>
          <w:tab w:pos="1658" w:val="left" w:leader="none"/>
        </w:tabs>
        <w:ind w:left="218" w:firstLine="0"/>
      </w:pPr>
      <w:bookmarkStart w:name="S7A.8.11.3 Disaster recovery" w:id="2177"/>
      <w:bookmarkEnd w:id="2177"/>
      <w:r>
        <w:rPr>
          <w:b w:val="0"/>
        </w:rPr>
      </w:r>
      <w:bookmarkStart w:name="_bookmark911" w:id="2178"/>
      <w:bookmarkEnd w:id="2178"/>
      <w:r>
        <w:rPr>
          <w:b w:val="0"/>
        </w:rPr>
      </w:r>
      <w:r>
        <w:rPr/>
        <w:t>S7A.8.11.3</w:t>
        <w:tab/>
        <w:t>Disaster</w:t>
      </w:r>
      <w:r>
        <w:rPr>
          <w:spacing w:val="-2"/>
        </w:rPr>
        <w:t> </w:t>
      </w:r>
      <w:r>
        <w:rPr/>
        <w:t>recovery</w:t>
      </w:r>
    </w:p>
    <w:p>
      <w:pPr>
        <w:spacing w:before="220"/>
        <w:ind w:left="1356" w:right="0" w:firstLine="0"/>
        <w:jc w:val="left"/>
        <w:rPr>
          <w:rFonts w:ascii="Arial"/>
          <w:b/>
          <w:sz w:val="22"/>
        </w:rPr>
      </w:pPr>
      <w:r>
        <w:rPr>
          <w:rFonts w:ascii="Arial"/>
          <w:b/>
          <w:sz w:val="22"/>
        </w:rPr>
        <w:t>Requirement for disaster recovery plan</w:t>
      </w:r>
    </w:p>
    <w:p>
      <w:pPr>
        <w:pStyle w:val="ListParagraph"/>
        <w:numPr>
          <w:ilvl w:val="0"/>
          <w:numId w:val="629"/>
        </w:numPr>
        <w:tabs>
          <w:tab w:pos="1919" w:val="left" w:leader="none"/>
        </w:tabs>
        <w:spacing w:line="240" w:lineRule="auto" w:before="120" w:after="0"/>
        <w:ind w:left="1919" w:right="414" w:hanging="567"/>
        <w:jc w:val="both"/>
        <w:rPr>
          <w:sz w:val="24"/>
        </w:rPr>
      </w:pPr>
      <w:r>
        <w:rPr>
          <w:sz w:val="24"/>
        </w:rPr>
        <w:t>Each </w:t>
      </w:r>
      <w:r>
        <w:rPr>
          <w:i/>
          <w:sz w:val="24"/>
        </w:rPr>
        <w:t>Metering Data Provider </w:t>
      </w:r>
      <w:r>
        <w:rPr>
          <w:sz w:val="24"/>
        </w:rPr>
        <w:t>must ensure that a disaster recovery plan is established and in place to ensure that in the event of a system failure, its IT systems can be returned to normal operational service within 2 </w:t>
      </w:r>
      <w:r>
        <w:rPr>
          <w:i/>
          <w:sz w:val="24"/>
        </w:rPr>
        <w:t>business </w:t>
      </w:r>
      <w:r>
        <w:rPr>
          <w:i/>
          <w:sz w:val="24"/>
        </w:rPr>
        <w:t>days</w:t>
      </w:r>
      <w:r>
        <w:rPr>
          <w:sz w:val="24"/>
        </w:rPr>
        <w:t>.</w:t>
      </w:r>
    </w:p>
    <w:p>
      <w:pPr>
        <w:pStyle w:val="ListParagraph"/>
        <w:numPr>
          <w:ilvl w:val="0"/>
          <w:numId w:val="629"/>
        </w:numPr>
        <w:tabs>
          <w:tab w:pos="1919" w:val="left" w:leader="none"/>
        </w:tabs>
        <w:spacing w:line="240" w:lineRule="auto" w:before="120" w:after="0"/>
        <w:ind w:left="1918" w:right="0" w:hanging="567"/>
        <w:jc w:val="both"/>
        <w:rPr>
          <w:sz w:val="24"/>
        </w:rPr>
      </w:pPr>
      <w:r>
        <w:rPr>
          <w:sz w:val="24"/>
        </w:rPr>
        <w:t>The </w:t>
      </w:r>
      <w:r>
        <w:rPr>
          <w:i/>
          <w:sz w:val="24"/>
        </w:rPr>
        <w:t>Metering Data Provider </w:t>
      </w:r>
      <w:r>
        <w:rPr>
          <w:sz w:val="24"/>
        </w:rPr>
        <w:t>must ensure that the disaster recovery plan</w:t>
      </w:r>
      <w:r>
        <w:rPr>
          <w:spacing w:val="-5"/>
          <w:sz w:val="24"/>
        </w:rPr>
        <w:t> </w:t>
      </w:r>
      <w:r>
        <w:rPr>
          <w:sz w:val="24"/>
        </w:rPr>
        <w:t>is:</w:t>
      </w:r>
    </w:p>
    <w:p>
      <w:pPr>
        <w:pStyle w:val="ListParagraph"/>
        <w:numPr>
          <w:ilvl w:val="1"/>
          <w:numId w:val="629"/>
        </w:numPr>
        <w:tabs>
          <w:tab w:pos="2486" w:val="left" w:leader="none"/>
        </w:tabs>
        <w:spacing w:line="240" w:lineRule="auto" w:before="120" w:after="0"/>
        <w:ind w:left="2485" w:right="0" w:hanging="567"/>
        <w:jc w:val="both"/>
        <w:rPr>
          <w:sz w:val="24"/>
        </w:rPr>
      </w:pPr>
      <w:r>
        <w:rPr>
          <w:sz w:val="24"/>
        </w:rPr>
        <w:t>up to date with all documentation showing revisions;</w:t>
      </w:r>
      <w:r>
        <w:rPr>
          <w:spacing w:val="-5"/>
          <w:sz w:val="24"/>
        </w:rPr>
        <w:t> </w:t>
      </w:r>
      <w:r>
        <w:rPr>
          <w:sz w:val="24"/>
        </w:rPr>
        <w:t>and</w:t>
      </w:r>
    </w:p>
    <w:p>
      <w:pPr>
        <w:pStyle w:val="ListParagraph"/>
        <w:numPr>
          <w:ilvl w:val="1"/>
          <w:numId w:val="629"/>
        </w:numPr>
        <w:tabs>
          <w:tab w:pos="2486" w:val="left" w:leader="none"/>
        </w:tabs>
        <w:spacing w:line="240" w:lineRule="auto" w:before="120" w:after="0"/>
        <w:ind w:left="2485" w:right="0" w:hanging="567"/>
        <w:jc w:val="both"/>
        <w:rPr>
          <w:i/>
          <w:sz w:val="24"/>
        </w:rPr>
      </w:pPr>
      <w:r>
        <w:rPr>
          <w:sz w:val="24"/>
        </w:rPr>
        <w:t>witnessed</w:t>
      </w:r>
      <w:r>
        <w:rPr>
          <w:spacing w:val="19"/>
          <w:sz w:val="24"/>
        </w:rPr>
        <w:t> </w:t>
      </w:r>
      <w:r>
        <w:rPr>
          <w:sz w:val="24"/>
        </w:rPr>
        <w:t>and</w:t>
      </w:r>
      <w:r>
        <w:rPr>
          <w:spacing w:val="20"/>
          <w:sz w:val="24"/>
        </w:rPr>
        <w:t> </w:t>
      </w:r>
      <w:r>
        <w:rPr>
          <w:sz w:val="24"/>
        </w:rPr>
        <w:t>dated</w:t>
      </w:r>
      <w:r>
        <w:rPr>
          <w:spacing w:val="19"/>
          <w:sz w:val="24"/>
        </w:rPr>
        <w:t> </w:t>
      </w:r>
      <w:r>
        <w:rPr>
          <w:sz w:val="24"/>
        </w:rPr>
        <w:t>at</w:t>
      </w:r>
      <w:r>
        <w:rPr>
          <w:spacing w:val="20"/>
          <w:sz w:val="24"/>
        </w:rPr>
        <w:t> </w:t>
      </w:r>
      <w:r>
        <w:rPr>
          <w:sz w:val="24"/>
        </w:rPr>
        <w:t>least</w:t>
      </w:r>
      <w:r>
        <w:rPr>
          <w:spacing w:val="19"/>
          <w:sz w:val="24"/>
        </w:rPr>
        <w:t> </w:t>
      </w:r>
      <w:r>
        <w:rPr>
          <w:sz w:val="24"/>
        </w:rPr>
        <w:t>annually</w:t>
      </w:r>
      <w:r>
        <w:rPr>
          <w:spacing w:val="20"/>
          <w:sz w:val="24"/>
        </w:rPr>
        <w:t> </w:t>
      </w:r>
      <w:r>
        <w:rPr>
          <w:sz w:val="24"/>
        </w:rPr>
        <w:t>by</w:t>
      </w:r>
      <w:r>
        <w:rPr>
          <w:spacing w:val="19"/>
          <w:sz w:val="24"/>
        </w:rPr>
        <w:t> </w:t>
      </w:r>
      <w:r>
        <w:rPr>
          <w:sz w:val="24"/>
        </w:rPr>
        <w:t>the</w:t>
      </w:r>
      <w:r>
        <w:rPr>
          <w:spacing w:val="20"/>
          <w:sz w:val="24"/>
        </w:rPr>
        <w:t> </w:t>
      </w:r>
      <w:r>
        <w:rPr>
          <w:i/>
          <w:sz w:val="24"/>
        </w:rPr>
        <w:t>Metering</w:t>
      </w:r>
      <w:r>
        <w:rPr>
          <w:i/>
          <w:spacing w:val="19"/>
          <w:sz w:val="24"/>
        </w:rPr>
        <w:t> </w:t>
      </w:r>
      <w:r>
        <w:rPr>
          <w:i/>
          <w:sz w:val="24"/>
        </w:rPr>
        <w:t>Data</w:t>
      </w:r>
      <w:r>
        <w:rPr>
          <w:i/>
          <w:spacing w:val="20"/>
          <w:sz w:val="24"/>
        </w:rPr>
        <w:t> </w:t>
      </w:r>
      <w:r>
        <w:rPr>
          <w:i/>
          <w:sz w:val="24"/>
        </w:rPr>
        <w:t>Provider</w:t>
      </w:r>
    </w:p>
    <w:p>
      <w:pPr>
        <w:pStyle w:val="BodyText"/>
        <w:spacing w:before="0"/>
        <w:ind w:left="2486" w:firstLine="0"/>
      </w:pPr>
      <w:r>
        <w:rPr/>
        <w:t>as being current for the systems and processes in place.</w:t>
      </w:r>
    </w:p>
    <w:p>
      <w:pPr>
        <w:spacing w:before="220"/>
        <w:ind w:left="1356" w:right="0" w:firstLine="0"/>
        <w:jc w:val="left"/>
        <w:rPr>
          <w:rFonts w:ascii="Arial"/>
          <w:b/>
          <w:sz w:val="22"/>
        </w:rPr>
      </w:pPr>
      <w:r>
        <w:rPr>
          <w:rFonts w:ascii="Arial"/>
          <w:b/>
          <w:sz w:val="22"/>
        </w:rPr>
        <w:t>Fall-over system approach</w:t>
      </w:r>
    </w:p>
    <w:p>
      <w:pPr>
        <w:pStyle w:val="ListParagraph"/>
        <w:numPr>
          <w:ilvl w:val="0"/>
          <w:numId w:val="629"/>
        </w:numPr>
        <w:tabs>
          <w:tab w:pos="1919" w:val="left" w:leader="none"/>
        </w:tabs>
        <w:spacing w:line="240" w:lineRule="auto" w:before="120" w:after="0"/>
        <w:ind w:left="1919" w:right="415" w:hanging="567"/>
        <w:jc w:val="both"/>
        <w:rPr>
          <w:sz w:val="24"/>
        </w:rPr>
      </w:pPr>
      <w:r>
        <w:rPr>
          <w:sz w:val="24"/>
        </w:rPr>
        <w:t>Where a </w:t>
      </w:r>
      <w:r>
        <w:rPr>
          <w:i/>
          <w:sz w:val="24"/>
        </w:rPr>
        <w:t>Metering Data Provider </w:t>
      </w:r>
      <w:r>
        <w:rPr>
          <w:sz w:val="24"/>
        </w:rPr>
        <w:t>adopts a disaster recovery plan that has a complete 'fail-over' system approach, the disaster recovery plan must be subjected to a test annually that facilitates a full 'fail-over' to the recovery system.</w:t>
      </w:r>
    </w:p>
    <w:p>
      <w:pPr>
        <w:spacing w:before="220"/>
        <w:ind w:left="1356" w:right="0" w:firstLine="0"/>
        <w:jc w:val="left"/>
        <w:rPr>
          <w:rFonts w:ascii="Arial"/>
          <w:b/>
          <w:sz w:val="22"/>
        </w:rPr>
      </w:pPr>
      <w:r>
        <w:rPr>
          <w:rFonts w:ascii="Arial"/>
          <w:b/>
          <w:sz w:val="22"/>
        </w:rPr>
        <w:t>Segmented system approach</w:t>
      </w:r>
    </w:p>
    <w:p>
      <w:pPr>
        <w:pStyle w:val="ListParagraph"/>
        <w:numPr>
          <w:ilvl w:val="0"/>
          <w:numId w:val="629"/>
        </w:numPr>
        <w:tabs>
          <w:tab w:pos="1918" w:val="left" w:leader="none"/>
          <w:tab w:pos="1919" w:val="left" w:leader="none"/>
        </w:tabs>
        <w:spacing w:line="240" w:lineRule="auto" w:before="120" w:after="0"/>
        <w:ind w:left="1919" w:right="415" w:hanging="567"/>
        <w:jc w:val="left"/>
        <w:rPr>
          <w:sz w:val="24"/>
        </w:rPr>
      </w:pPr>
      <w:r>
        <w:rPr>
          <w:sz w:val="24"/>
        </w:rPr>
        <w:t>Where the </w:t>
      </w:r>
      <w:r>
        <w:rPr>
          <w:i/>
          <w:sz w:val="24"/>
        </w:rPr>
        <w:t>Metering Data Provider </w:t>
      </w:r>
      <w:r>
        <w:rPr>
          <w:sz w:val="24"/>
        </w:rPr>
        <w:t>adopts a disaster recovery plan that has  a segmented system approach, the disaster recovery plan</w:t>
      </w:r>
      <w:r>
        <w:rPr>
          <w:spacing w:val="-5"/>
          <w:sz w:val="24"/>
        </w:rPr>
        <w:t> </w:t>
      </w:r>
      <w:r>
        <w:rPr>
          <w:sz w:val="24"/>
        </w:rPr>
        <w:t>must:</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detail the interfaces and relationships between system</w:t>
      </w:r>
      <w:r>
        <w:rPr>
          <w:spacing w:val="-5"/>
          <w:sz w:val="24"/>
        </w:rPr>
        <w:t> </w:t>
      </w:r>
      <w:r>
        <w:rPr>
          <w:sz w:val="24"/>
        </w:rPr>
        <w:t>segments;</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be established for each individual system</w:t>
      </w:r>
      <w:r>
        <w:rPr>
          <w:spacing w:val="-3"/>
          <w:sz w:val="24"/>
        </w:rPr>
        <w:t> </w:t>
      </w:r>
      <w:r>
        <w:rPr>
          <w:sz w:val="24"/>
        </w:rPr>
        <w:t>segment;</w:t>
      </w:r>
    </w:p>
    <w:p>
      <w:pPr>
        <w:pStyle w:val="ListParagraph"/>
        <w:numPr>
          <w:ilvl w:val="1"/>
          <w:numId w:val="629"/>
        </w:numPr>
        <w:tabs>
          <w:tab w:pos="2485" w:val="left" w:leader="none"/>
          <w:tab w:pos="2486" w:val="left" w:leader="none"/>
        </w:tabs>
        <w:spacing w:line="240" w:lineRule="auto" w:before="120" w:after="0"/>
        <w:ind w:left="2486" w:right="415" w:hanging="567"/>
        <w:jc w:val="left"/>
        <w:rPr>
          <w:sz w:val="24"/>
        </w:rPr>
      </w:pPr>
      <w:r>
        <w:rPr>
          <w:sz w:val="24"/>
        </w:rPr>
        <w:t>be tested annually with evidence retained to show disaster recovery for each individual system segment;</w:t>
      </w:r>
      <w:r>
        <w:rPr>
          <w:spacing w:val="-2"/>
          <w:sz w:val="24"/>
        </w:rPr>
        <w:t> </w:t>
      </w:r>
      <w:r>
        <w:rPr>
          <w:sz w:val="24"/>
        </w:rPr>
        <w:t>and</w:t>
      </w:r>
    </w:p>
    <w:p>
      <w:pPr>
        <w:pStyle w:val="ListParagraph"/>
        <w:numPr>
          <w:ilvl w:val="1"/>
          <w:numId w:val="629"/>
        </w:numPr>
        <w:tabs>
          <w:tab w:pos="2485" w:val="left" w:leader="none"/>
          <w:tab w:pos="2486" w:val="left" w:leader="none"/>
        </w:tabs>
        <w:spacing w:line="240" w:lineRule="auto" w:before="120" w:after="0"/>
        <w:ind w:left="2486" w:right="416" w:hanging="567"/>
        <w:jc w:val="left"/>
        <w:rPr>
          <w:sz w:val="24"/>
        </w:rPr>
      </w:pPr>
      <w:r>
        <w:rPr>
          <w:sz w:val="24"/>
        </w:rPr>
        <w:t>have, for each individual system segment, a procedure that clearly details the process to establish a return to full</w:t>
      </w:r>
      <w:r>
        <w:rPr>
          <w:spacing w:val="-2"/>
          <w:sz w:val="24"/>
        </w:rPr>
        <w:t> </w:t>
      </w:r>
      <w:r>
        <w:rPr>
          <w:sz w:val="24"/>
        </w:rPr>
        <w:t>operation.</w:t>
      </w:r>
    </w:p>
    <w:p>
      <w:pPr>
        <w:pStyle w:val="BodyText"/>
        <w:spacing w:before="1"/>
        <w:ind w:firstLine="0"/>
        <w:jc w:val="left"/>
        <w:rPr>
          <w:sz w:val="11"/>
        </w:rPr>
      </w:pPr>
    </w:p>
    <w:p>
      <w:pPr>
        <w:spacing w:before="93"/>
        <w:ind w:left="1356" w:right="0" w:firstLine="0"/>
        <w:jc w:val="left"/>
        <w:rPr>
          <w:rFonts w:ascii="Arial"/>
          <w:b/>
          <w:sz w:val="22"/>
        </w:rPr>
      </w:pPr>
      <w:r>
        <w:rPr>
          <w:rFonts w:ascii="Arial"/>
          <w:b/>
          <w:sz w:val="22"/>
        </w:rPr>
        <w:t>Testing</w:t>
      </w:r>
    </w:p>
    <w:p>
      <w:pPr>
        <w:pStyle w:val="ListParagraph"/>
        <w:numPr>
          <w:ilvl w:val="0"/>
          <w:numId w:val="629"/>
        </w:numPr>
        <w:tabs>
          <w:tab w:pos="1918" w:val="left" w:leader="none"/>
          <w:tab w:pos="1919" w:val="left" w:leader="none"/>
        </w:tabs>
        <w:spacing w:line="240" w:lineRule="auto" w:before="120" w:after="0"/>
        <w:ind w:left="1919" w:right="415" w:hanging="567"/>
        <w:jc w:val="left"/>
        <w:rPr>
          <w:sz w:val="24"/>
        </w:rPr>
      </w:pPr>
      <w:r>
        <w:rPr>
          <w:sz w:val="24"/>
        </w:rPr>
        <w:t>Expected evidence to support disaster recovery plan testing should include, but not be limited</w:t>
      </w:r>
      <w:r>
        <w:rPr>
          <w:spacing w:val="-1"/>
          <w:sz w:val="24"/>
        </w:rPr>
        <w:t> </w:t>
      </w:r>
      <w:r>
        <w:rPr>
          <w:sz w:val="24"/>
        </w:rPr>
        <w:t>to:</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a test plan of the</w:t>
      </w:r>
      <w:r>
        <w:rPr>
          <w:spacing w:val="-1"/>
          <w:sz w:val="24"/>
        </w:rPr>
        <w:t> </w:t>
      </w:r>
      <w:r>
        <w:rPr>
          <w:sz w:val="24"/>
        </w:rPr>
        <w:t>fail-over;</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results of the fail-over including</w:t>
      </w:r>
      <w:r>
        <w:rPr>
          <w:spacing w:val="-1"/>
          <w:sz w:val="24"/>
        </w:rPr>
        <w:t> </w:t>
      </w:r>
      <w:r>
        <w:rPr>
          <w:sz w:val="24"/>
        </w:rPr>
        <w:t>timing;</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system logs indicating fail-over and recovery;</w:t>
      </w:r>
      <w:r>
        <w:rPr>
          <w:spacing w:val="-1"/>
          <w:sz w:val="24"/>
        </w:rPr>
        <w:t> </w:t>
      </w:r>
      <w:r>
        <w:rPr>
          <w:sz w:val="24"/>
        </w:rPr>
        <w:t>and</w:t>
      </w:r>
    </w:p>
    <w:p>
      <w:pPr>
        <w:pStyle w:val="ListParagraph"/>
        <w:numPr>
          <w:ilvl w:val="1"/>
          <w:numId w:val="629"/>
        </w:numPr>
        <w:tabs>
          <w:tab w:pos="2485" w:val="left" w:leader="none"/>
          <w:tab w:pos="2486" w:val="left" w:leader="none"/>
        </w:tabs>
        <w:spacing w:line="240" w:lineRule="auto" w:before="120" w:after="0"/>
        <w:ind w:left="2485" w:right="0" w:hanging="567"/>
        <w:jc w:val="left"/>
        <w:rPr>
          <w:i/>
          <w:sz w:val="24"/>
        </w:rPr>
      </w:pPr>
      <w:r>
        <w:rPr>
          <w:sz w:val="24"/>
        </w:rPr>
        <w:t>logs</w:t>
      </w:r>
      <w:r>
        <w:rPr>
          <w:spacing w:val="36"/>
          <w:sz w:val="24"/>
        </w:rPr>
        <w:t> </w:t>
      </w:r>
      <w:r>
        <w:rPr>
          <w:sz w:val="24"/>
        </w:rPr>
        <w:t>or</w:t>
      </w:r>
      <w:r>
        <w:rPr>
          <w:spacing w:val="36"/>
          <w:sz w:val="24"/>
        </w:rPr>
        <w:t> </w:t>
      </w:r>
      <w:r>
        <w:rPr>
          <w:sz w:val="24"/>
        </w:rPr>
        <w:t>notations</w:t>
      </w:r>
      <w:r>
        <w:rPr>
          <w:spacing w:val="37"/>
          <w:sz w:val="24"/>
        </w:rPr>
        <w:t> </w:t>
      </w:r>
      <w:r>
        <w:rPr>
          <w:sz w:val="24"/>
        </w:rPr>
        <w:t>evidencing</w:t>
      </w:r>
      <w:r>
        <w:rPr>
          <w:spacing w:val="36"/>
          <w:sz w:val="24"/>
        </w:rPr>
        <w:t> </w:t>
      </w:r>
      <w:r>
        <w:rPr>
          <w:sz w:val="24"/>
        </w:rPr>
        <w:t>resumption</w:t>
      </w:r>
      <w:r>
        <w:rPr>
          <w:spacing w:val="37"/>
          <w:sz w:val="24"/>
        </w:rPr>
        <w:t> </w:t>
      </w:r>
      <w:r>
        <w:rPr>
          <w:sz w:val="24"/>
        </w:rPr>
        <w:t>of</w:t>
      </w:r>
      <w:r>
        <w:rPr>
          <w:spacing w:val="36"/>
          <w:sz w:val="24"/>
        </w:rPr>
        <w:t> </w:t>
      </w:r>
      <w:r>
        <w:rPr>
          <w:i/>
          <w:sz w:val="24"/>
        </w:rPr>
        <w:t>Metering</w:t>
      </w:r>
      <w:r>
        <w:rPr>
          <w:i/>
          <w:spacing w:val="37"/>
          <w:sz w:val="24"/>
        </w:rPr>
        <w:t> </w:t>
      </w:r>
      <w:r>
        <w:rPr>
          <w:i/>
          <w:sz w:val="24"/>
        </w:rPr>
        <w:t>Data</w:t>
      </w:r>
      <w:r>
        <w:rPr>
          <w:i/>
          <w:spacing w:val="36"/>
          <w:sz w:val="24"/>
        </w:rPr>
        <w:t> </w:t>
      </w:r>
      <w:r>
        <w:rPr>
          <w:i/>
          <w:sz w:val="24"/>
        </w:rPr>
        <w:t>Provider</w:t>
      </w:r>
    </w:p>
    <w:p>
      <w:pPr>
        <w:pStyle w:val="BodyText"/>
        <w:spacing w:before="0"/>
        <w:ind w:left="2486" w:firstLine="0"/>
        <w:jc w:val="left"/>
      </w:pPr>
      <w:r>
        <w:rPr/>
        <w:t>operations.</w:t>
      </w:r>
    </w:p>
    <w:p>
      <w:pPr>
        <w:spacing w:before="220"/>
        <w:ind w:left="1356" w:right="0" w:firstLine="0"/>
        <w:jc w:val="left"/>
        <w:rPr>
          <w:rFonts w:ascii="Arial"/>
          <w:b/>
          <w:sz w:val="22"/>
        </w:rPr>
      </w:pPr>
      <w:r>
        <w:rPr>
          <w:rFonts w:ascii="Arial"/>
          <w:b/>
          <w:sz w:val="22"/>
        </w:rPr>
        <w:t>Actions following system failure</w:t>
      </w:r>
    </w:p>
    <w:p>
      <w:pPr>
        <w:pStyle w:val="ListParagraph"/>
        <w:numPr>
          <w:ilvl w:val="0"/>
          <w:numId w:val="629"/>
        </w:numPr>
        <w:tabs>
          <w:tab w:pos="1919" w:val="left" w:leader="none"/>
          <w:tab w:pos="1920" w:val="left" w:leader="none"/>
        </w:tabs>
        <w:spacing w:line="240" w:lineRule="auto" w:before="120" w:after="0"/>
        <w:ind w:left="1919" w:right="416" w:hanging="567"/>
        <w:jc w:val="left"/>
        <w:rPr>
          <w:sz w:val="24"/>
        </w:rPr>
      </w:pPr>
      <w:r>
        <w:rPr>
          <w:sz w:val="24"/>
        </w:rPr>
        <w:t>If a system failure occur</w:t>
      </w:r>
      <w:r>
        <w:rPr>
          <w:b/>
          <w:sz w:val="24"/>
        </w:rPr>
        <w:t>s</w:t>
      </w:r>
      <w:r>
        <w:rPr>
          <w:sz w:val="24"/>
        </w:rPr>
        <w:t>, the </w:t>
      </w:r>
      <w:r>
        <w:rPr>
          <w:i/>
          <w:sz w:val="24"/>
        </w:rPr>
        <w:t>Metering Data Provider </w:t>
      </w:r>
      <w:r>
        <w:rPr>
          <w:sz w:val="24"/>
        </w:rPr>
        <w:t>must ensure that within 2 </w:t>
      </w:r>
      <w:r>
        <w:rPr>
          <w:i/>
          <w:sz w:val="24"/>
        </w:rPr>
        <w:t>business</w:t>
      </w:r>
      <w:r>
        <w:rPr>
          <w:i/>
          <w:spacing w:val="-2"/>
          <w:sz w:val="24"/>
        </w:rPr>
        <w:t> </w:t>
      </w:r>
      <w:r>
        <w:rPr>
          <w:i/>
          <w:sz w:val="24"/>
        </w:rPr>
        <w:t>days</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1"/>
          <w:numId w:val="629"/>
        </w:numPr>
        <w:tabs>
          <w:tab w:pos="2485" w:val="left" w:leader="none"/>
          <w:tab w:pos="2486" w:val="left" w:leader="none"/>
        </w:tabs>
        <w:spacing w:line="240" w:lineRule="auto" w:before="83" w:after="0"/>
        <w:ind w:left="2486" w:right="417" w:hanging="567"/>
        <w:jc w:val="left"/>
        <w:rPr>
          <w:sz w:val="24"/>
        </w:rPr>
      </w:pPr>
      <w:r>
        <w:rPr>
          <w:sz w:val="24"/>
        </w:rPr>
        <w:t>its </w:t>
      </w:r>
      <w:r>
        <w:rPr>
          <w:i/>
          <w:sz w:val="24"/>
        </w:rPr>
        <w:t>metering data services database </w:t>
      </w:r>
      <w:r>
        <w:rPr>
          <w:sz w:val="24"/>
        </w:rPr>
        <w:t>is restored to operational service; and</w:t>
      </w:r>
    </w:p>
    <w:p>
      <w:pPr>
        <w:pStyle w:val="ListParagraph"/>
        <w:numPr>
          <w:ilvl w:val="1"/>
          <w:numId w:val="629"/>
        </w:numPr>
        <w:tabs>
          <w:tab w:pos="2485" w:val="left" w:leader="none"/>
          <w:tab w:pos="2486" w:val="left" w:leader="none"/>
        </w:tabs>
        <w:spacing w:line="240" w:lineRule="auto" w:before="120" w:after="0"/>
        <w:ind w:left="2485" w:right="0" w:hanging="567"/>
        <w:jc w:val="left"/>
        <w:rPr>
          <w:sz w:val="24"/>
        </w:rPr>
      </w:pPr>
      <w:r>
        <w:rPr>
          <w:sz w:val="24"/>
        </w:rPr>
        <w:t>all processing and delivery backlogs of </w:t>
      </w:r>
      <w:r>
        <w:rPr>
          <w:i/>
          <w:sz w:val="24"/>
        </w:rPr>
        <w:t>metering data </w:t>
      </w:r>
      <w:r>
        <w:rPr>
          <w:sz w:val="24"/>
        </w:rPr>
        <w:t>to </w:t>
      </w:r>
      <w:r>
        <w:rPr>
          <w:i/>
          <w:sz w:val="24"/>
        </w:rPr>
        <w:t>NTESMO</w:t>
      </w:r>
      <w:r>
        <w:rPr>
          <w:i/>
          <w:spacing w:val="-6"/>
          <w:sz w:val="24"/>
        </w:rPr>
        <w:t> </w:t>
      </w:r>
      <w:r>
        <w:rPr>
          <w:sz w:val="24"/>
        </w:rPr>
        <w:t>and</w:t>
      </w:r>
    </w:p>
    <w:p>
      <w:pPr>
        <w:spacing w:before="0"/>
        <w:ind w:left="2486" w:right="0" w:firstLine="0"/>
        <w:jc w:val="left"/>
        <w:rPr>
          <w:sz w:val="24"/>
        </w:rPr>
      </w:pPr>
      <w:r>
        <w:rPr>
          <w:i/>
          <w:sz w:val="24"/>
        </w:rPr>
        <w:t>Registered Participants </w:t>
      </w:r>
      <w:r>
        <w:rPr>
          <w:sz w:val="24"/>
        </w:rPr>
        <w:t>is completed.</w:t>
      </w:r>
    </w:p>
    <w:p>
      <w:pPr>
        <w:spacing w:before="220"/>
        <w:ind w:left="1356" w:right="0" w:firstLine="0"/>
        <w:jc w:val="left"/>
        <w:rPr>
          <w:rFonts w:ascii="Arial"/>
          <w:b/>
          <w:sz w:val="22"/>
        </w:rPr>
      </w:pPr>
      <w:r>
        <w:rPr>
          <w:rFonts w:ascii="Arial"/>
          <w:b/>
          <w:sz w:val="22"/>
        </w:rPr>
        <w:t>Notice to NTESMO of activation of disaster recovery plan</w:t>
      </w:r>
    </w:p>
    <w:p>
      <w:pPr>
        <w:pStyle w:val="ListParagraph"/>
        <w:numPr>
          <w:ilvl w:val="0"/>
          <w:numId w:val="629"/>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must, at its earliest opportunity, notify </w:t>
      </w:r>
      <w:r>
        <w:rPr>
          <w:i/>
          <w:sz w:val="24"/>
        </w:rPr>
        <w:t>NTESMO </w:t>
      </w:r>
      <w:r>
        <w:rPr>
          <w:sz w:val="24"/>
        </w:rPr>
        <w:t>of any failure where the </w:t>
      </w:r>
      <w:r>
        <w:rPr>
          <w:i/>
          <w:sz w:val="24"/>
        </w:rPr>
        <w:t>Metering Data Provider </w:t>
      </w:r>
      <w:r>
        <w:rPr>
          <w:sz w:val="24"/>
        </w:rPr>
        <w:t>has a requirement to activate its disaster recovery</w:t>
      </w:r>
      <w:r>
        <w:rPr>
          <w:spacing w:val="-1"/>
          <w:sz w:val="24"/>
        </w:rPr>
        <w:t> </w:t>
      </w:r>
      <w:r>
        <w:rPr>
          <w:sz w:val="24"/>
        </w:rPr>
        <w:t>plan.</w:t>
      </w:r>
    </w:p>
    <w:p>
      <w:pPr>
        <w:pStyle w:val="BodyText"/>
        <w:spacing w:before="10"/>
        <w:ind w:firstLine="0"/>
        <w:jc w:val="left"/>
        <w:rPr>
          <w:sz w:val="20"/>
        </w:rPr>
      </w:pPr>
    </w:p>
    <w:p>
      <w:pPr>
        <w:pStyle w:val="Heading4"/>
        <w:tabs>
          <w:tab w:pos="1658" w:val="left" w:leader="none"/>
        </w:tabs>
        <w:ind w:left="218" w:firstLine="0"/>
      </w:pPr>
      <w:bookmarkStart w:name="S7A.8.11.4 System administration and dat" w:id="2179"/>
      <w:bookmarkEnd w:id="2179"/>
      <w:r>
        <w:rPr>
          <w:b w:val="0"/>
        </w:rPr>
      </w:r>
      <w:bookmarkStart w:name="_bookmark912" w:id="2180"/>
      <w:bookmarkEnd w:id="2180"/>
      <w:r>
        <w:rPr>
          <w:b w:val="0"/>
        </w:rPr>
      </w:r>
      <w:r>
        <w:rPr/>
        <w:t>S7A.8.11.4</w:t>
        <w:tab/>
        <w:t>System administration and data</w:t>
      </w:r>
      <w:r>
        <w:rPr>
          <w:spacing w:val="-3"/>
        </w:rPr>
        <w:t> </w:t>
      </w:r>
      <w:r>
        <w:rPr/>
        <w:t>management</w:t>
      </w:r>
    </w:p>
    <w:p>
      <w:pPr>
        <w:spacing w:before="220"/>
        <w:ind w:left="1356" w:right="0" w:firstLine="0"/>
        <w:jc w:val="left"/>
        <w:rPr>
          <w:rFonts w:ascii="Arial"/>
          <w:b/>
          <w:sz w:val="22"/>
        </w:rPr>
      </w:pPr>
      <w:r>
        <w:rPr>
          <w:rFonts w:ascii="Arial"/>
          <w:b/>
          <w:sz w:val="22"/>
        </w:rPr>
        <w:t>Metering data services database</w:t>
      </w:r>
    </w:p>
    <w:p>
      <w:pPr>
        <w:pStyle w:val="ListParagraph"/>
        <w:numPr>
          <w:ilvl w:val="0"/>
          <w:numId w:val="630"/>
        </w:numPr>
        <w:tabs>
          <w:tab w:pos="1918" w:val="left" w:leader="none"/>
          <w:tab w:pos="1919" w:val="left" w:leader="none"/>
        </w:tabs>
        <w:spacing w:line="240" w:lineRule="auto" w:before="120" w:after="0"/>
        <w:ind w:left="1919" w:right="416" w:hanging="567"/>
        <w:jc w:val="left"/>
        <w:rPr>
          <w:sz w:val="24"/>
        </w:rPr>
      </w:pPr>
      <w:r>
        <w:rPr>
          <w:sz w:val="24"/>
        </w:rPr>
        <w:t>The </w:t>
      </w:r>
      <w:r>
        <w:rPr>
          <w:i/>
          <w:sz w:val="24"/>
        </w:rPr>
        <w:t>metering data services database </w:t>
      </w:r>
      <w:r>
        <w:rPr>
          <w:sz w:val="24"/>
        </w:rPr>
        <w:t>must be operated and administered by a </w:t>
      </w:r>
      <w:r>
        <w:rPr>
          <w:i/>
          <w:sz w:val="24"/>
        </w:rPr>
        <w:t>Metering Data Provider </w:t>
      </w:r>
      <w:r>
        <w:rPr>
          <w:sz w:val="24"/>
        </w:rPr>
        <w:t>to</w:t>
      </w:r>
      <w:r>
        <w:rPr>
          <w:spacing w:val="-1"/>
          <w:sz w:val="24"/>
        </w:rPr>
        <w:t> </w:t>
      </w:r>
      <w:r>
        <w:rPr>
          <w:sz w:val="24"/>
        </w:rPr>
        <w:t>facilitate:</w:t>
      </w:r>
    </w:p>
    <w:p>
      <w:pPr>
        <w:pStyle w:val="ListParagraph"/>
        <w:numPr>
          <w:ilvl w:val="1"/>
          <w:numId w:val="630"/>
        </w:numPr>
        <w:tabs>
          <w:tab w:pos="2485" w:val="left" w:leader="none"/>
          <w:tab w:pos="2486" w:val="left" w:leader="none"/>
        </w:tabs>
        <w:spacing w:line="240" w:lineRule="auto" w:before="120" w:after="0"/>
        <w:ind w:left="2486" w:right="414" w:hanging="567"/>
        <w:jc w:val="left"/>
        <w:rPr>
          <w:sz w:val="24"/>
        </w:rPr>
      </w:pPr>
      <w:r>
        <w:rPr>
          <w:sz w:val="24"/>
        </w:rPr>
        <w:t>controlled access to systems and data using unique identification and passwords for each</w:t>
      </w:r>
      <w:r>
        <w:rPr>
          <w:spacing w:val="-1"/>
          <w:sz w:val="24"/>
        </w:rPr>
        <w:t> </w:t>
      </w:r>
      <w:r>
        <w:rPr>
          <w:sz w:val="24"/>
        </w:rPr>
        <w:t>user;</w:t>
      </w:r>
    </w:p>
    <w:p>
      <w:pPr>
        <w:pStyle w:val="ListParagraph"/>
        <w:numPr>
          <w:ilvl w:val="1"/>
          <w:numId w:val="630"/>
        </w:numPr>
        <w:tabs>
          <w:tab w:pos="2485" w:val="left" w:leader="none"/>
          <w:tab w:pos="2486" w:val="left" w:leader="none"/>
        </w:tabs>
        <w:spacing w:line="240" w:lineRule="auto" w:before="120" w:after="0"/>
        <w:ind w:left="2486" w:right="414" w:hanging="567"/>
        <w:jc w:val="left"/>
        <w:rPr>
          <w:sz w:val="24"/>
        </w:rPr>
      </w:pPr>
      <w:r>
        <w:rPr>
          <w:sz w:val="24"/>
        </w:rPr>
        <w:t>the restriction of access to the underlying database tables to nominated system</w:t>
      </w:r>
      <w:r>
        <w:rPr>
          <w:spacing w:val="-2"/>
          <w:sz w:val="24"/>
        </w:rPr>
        <w:t> </w:t>
      </w:r>
      <w:r>
        <w:rPr>
          <w:sz w:val="24"/>
        </w:rPr>
        <w:t>administrators;</w:t>
      </w:r>
    </w:p>
    <w:p>
      <w:pPr>
        <w:pStyle w:val="ListParagraph"/>
        <w:numPr>
          <w:ilvl w:val="1"/>
          <w:numId w:val="630"/>
        </w:numPr>
        <w:tabs>
          <w:tab w:pos="2485" w:val="left" w:leader="none"/>
          <w:tab w:pos="2486" w:val="left" w:leader="none"/>
        </w:tabs>
        <w:spacing w:line="240" w:lineRule="auto" w:before="120" w:after="0"/>
        <w:ind w:left="2485" w:right="0" w:hanging="567"/>
        <w:jc w:val="left"/>
        <w:rPr>
          <w:sz w:val="24"/>
        </w:rPr>
      </w:pPr>
      <w:r>
        <w:rPr>
          <w:sz w:val="24"/>
        </w:rPr>
        <w:t>the restriction of </w:t>
      </w:r>
      <w:r>
        <w:rPr>
          <w:i/>
          <w:sz w:val="24"/>
        </w:rPr>
        <w:t>Registered Participant </w:t>
      </w:r>
      <w:r>
        <w:rPr>
          <w:sz w:val="24"/>
        </w:rPr>
        <w:t>access to </w:t>
      </w:r>
      <w:r>
        <w:rPr>
          <w:i/>
          <w:sz w:val="24"/>
        </w:rPr>
        <w:t>metering data </w:t>
      </w:r>
      <w:r>
        <w:rPr>
          <w:sz w:val="24"/>
        </w:rPr>
        <w:t>and</w:t>
      </w:r>
    </w:p>
    <w:p>
      <w:pPr>
        <w:spacing w:before="0"/>
        <w:ind w:left="2486" w:right="0" w:firstLine="0"/>
        <w:jc w:val="left"/>
        <w:rPr>
          <w:sz w:val="24"/>
        </w:rPr>
      </w:pPr>
      <w:r>
        <w:rPr>
          <w:i/>
          <w:sz w:val="24"/>
        </w:rPr>
        <w:t>NT NMI data </w:t>
      </w:r>
      <w:r>
        <w:rPr>
          <w:sz w:val="24"/>
        </w:rPr>
        <w:t>in accordance with paragraph 7A.13.5(c);</w:t>
      </w:r>
    </w:p>
    <w:p>
      <w:pPr>
        <w:pStyle w:val="ListParagraph"/>
        <w:numPr>
          <w:ilvl w:val="1"/>
          <w:numId w:val="630"/>
        </w:numPr>
        <w:tabs>
          <w:tab w:pos="2485" w:val="left" w:leader="none"/>
          <w:tab w:pos="2486" w:val="left" w:leader="none"/>
        </w:tabs>
        <w:spacing w:line="240" w:lineRule="auto" w:before="120" w:after="0"/>
        <w:ind w:left="2486" w:right="417" w:hanging="567"/>
        <w:jc w:val="left"/>
        <w:rPr>
          <w:sz w:val="24"/>
        </w:rPr>
      </w:pPr>
      <w:r>
        <w:rPr>
          <w:sz w:val="24"/>
        </w:rPr>
        <w:t>a minimum of 95% system availability (that is, hardware and systems downtime do not exceed a maximum of 438 hours per</w:t>
      </w:r>
      <w:r>
        <w:rPr>
          <w:spacing w:val="-2"/>
          <w:sz w:val="24"/>
        </w:rPr>
        <w:t> </w:t>
      </w:r>
      <w:r>
        <w:rPr>
          <w:sz w:val="24"/>
        </w:rPr>
        <w:t>annum).</w:t>
      </w:r>
    </w:p>
    <w:p>
      <w:pPr>
        <w:spacing w:before="220"/>
        <w:ind w:left="1356" w:right="0" w:firstLine="0"/>
        <w:jc w:val="left"/>
        <w:rPr>
          <w:rFonts w:ascii="Arial"/>
          <w:b/>
          <w:sz w:val="22"/>
        </w:rPr>
      </w:pPr>
      <w:r>
        <w:rPr>
          <w:rFonts w:ascii="Arial"/>
          <w:b/>
          <w:sz w:val="22"/>
        </w:rPr>
        <w:t>Metering register</w:t>
      </w:r>
    </w:p>
    <w:p>
      <w:pPr>
        <w:pStyle w:val="ListParagraph"/>
        <w:numPr>
          <w:ilvl w:val="0"/>
          <w:numId w:val="630"/>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maintain full audit trails and version control of metering register information, </w:t>
      </w:r>
      <w:r>
        <w:rPr>
          <w:i/>
          <w:sz w:val="24"/>
        </w:rPr>
        <w:t>metering data </w:t>
      </w:r>
      <w:r>
        <w:rPr>
          <w:sz w:val="24"/>
        </w:rPr>
        <w:t>for at least 7 years so that any data output produced by the system can be re-produced from source</w:t>
      </w:r>
      <w:r>
        <w:rPr>
          <w:spacing w:val="-2"/>
          <w:sz w:val="24"/>
        </w:rPr>
        <w:t> </w:t>
      </w:r>
      <w:r>
        <w:rPr>
          <w:sz w:val="24"/>
        </w:rPr>
        <w:t>data.</w:t>
      </w:r>
    </w:p>
    <w:p>
      <w:pPr>
        <w:pStyle w:val="Heading4"/>
        <w:tabs>
          <w:tab w:pos="1658" w:val="left" w:leader="none"/>
        </w:tabs>
        <w:spacing w:line="510" w:lineRule="atLeast" w:before="6"/>
        <w:ind w:left="218" w:right="6659" w:firstLine="0"/>
      </w:pPr>
      <w:bookmarkStart w:name="S7A.8.12 Quality control" w:id="2181"/>
      <w:bookmarkEnd w:id="2181"/>
      <w:r>
        <w:rPr>
          <w:b w:val="0"/>
        </w:rPr>
      </w:r>
      <w:bookmarkStart w:name="_bookmark913" w:id="2182"/>
      <w:bookmarkEnd w:id="2182"/>
      <w:r>
        <w:rPr>
          <w:b w:val="0"/>
        </w:rPr>
      </w:r>
      <w:r>
        <w:rPr/>
        <w:t>S7A.8.12 Quality </w:t>
      </w:r>
      <w:r>
        <w:rPr>
          <w:spacing w:val="-4"/>
        </w:rPr>
        <w:t>control</w:t>
      </w:r>
      <w:bookmarkStart w:name="S7A.8.12.1 Audits" w:id="2183"/>
      <w:bookmarkEnd w:id="2183"/>
      <w:r>
        <w:rPr>
          <w:spacing w:val="-4"/>
        </w:rPr>
      </w:r>
      <w:bookmarkStart w:name="_bookmark914" w:id="2184"/>
      <w:bookmarkEnd w:id="2184"/>
      <w:r>
        <w:rPr>
          <w:spacing w:val="-4"/>
        </w:rPr>
      </w:r>
      <w:r>
        <w:rPr>
          <w:spacing w:val="-4"/>
        </w:rPr>
        <w:t> </w:t>
      </w:r>
      <w:r>
        <w:rPr/>
        <w:t>S7A.8.12.1</w:t>
        <w:tab/>
        <w:t>Audits</w:t>
      </w:r>
    </w:p>
    <w:p>
      <w:pPr>
        <w:pStyle w:val="ListParagraph"/>
        <w:numPr>
          <w:ilvl w:val="0"/>
          <w:numId w:val="631"/>
        </w:numPr>
        <w:tabs>
          <w:tab w:pos="1919" w:val="left" w:leader="none"/>
        </w:tabs>
        <w:spacing w:line="240" w:lineRule="auto" w:before="126" w:after="0"/>
        <w:ind w:left="1919" w:right="415" w:hanging="567"/>
        <w:jc w:val="both"/>
        <w:rPr>
          <w:sz w:val="24"/>
        </w:rPr>
      </w:pPr>
      <w:r>
        <w:rPr>
          <w:sz w:val="24"/>
        </w:rPr>
        <w:t>Audits may be undertaken at any time by the </w:t>
      </w:r>
      <w:r>
        <w:rPr>
          <w:i/>
          <w:sz w:val="24"/>
        </w:rPr>
        <w:t>Utilities Commission </w:t>
      </w:r>
      <w:r>
        <w:rPr>
          <w:sz w:val="24"/>
        </w:rPr>
        <w:t>in accordance with the </w:t>
      </w:r>
      <w:r>
        <w:rPr>
          <w:i/>
          <w:sz w:val="24"/>
        </w:rPr>
        <w:t>Rules </w:t>
      </w:r>
      <w:r>
        <w:rPr>
          <w:sz w:val="24"/>
        </w:rPr>
        <w:t>and may be carried out following a request from a </w:t>
      </w:r>
      <w:r>
        <w:rPr>
          <w:i/>
          <w:sz w:val="24"/>
        </w:rPr>
        <w:t>Registered</w:t>
      </w:r>
      <w:r>
        <w:rPr>
          <w:i/>
          <w:spacing w:val="-1"/>
          <w:sz w:val="24"/>
        </w:rPr>
        <w:t> </w:t>
      </w:r>
      <w:r>
        <w:rPr>
          <w:i/>
          <w:sz w:val="24"/>
        </w:rPr>
        <w:t>Participant</w:t>
      </w:r>
      <w:r>
        <w:rPr>
          <w:sz w:val="24"/>
        </w:rPr>
        <w:t>.</w:t>
      </w:r>
    </w:p>
    <w:p>
      <w:pPr>
        <w:pStyle w:val="ListParagraph"/>
        <w:numPr>
          <w:ilvl w:val="0"/>
          <w:numId w:val="631"/>
        </w:numPr>
        <w:tabs>
          <w:tab w:pos="1919" w:val="left" w:leader="none"/>
        </w:tabs>
        <w:spacing w:line="240" w:lineRule="auto" w:before="120" w:after="0"/>
        <w:ind w:left="1919" w:right="414" w:hanging="567"/>
        <w:jc w:val="both"/>
        <w:rPr>
          <w:sz w:val="24"/>
        </w:rPr>
      </w:pPr>
      <w:r>
        <w:rPr>
          <w:sz w:val="24"/>
        </w:rPr>
        <w:t>Where an audit of a </w:t>
      </w:r>
      <w:r>
        <w:rPr>
          <w:i/>
          <w:sz w:val="24"/>
        </w:rPr>
        <w:t>metering installation </w:t>
      </w:r>
      <w:r>
        <w:rPr>
          <w:sz w:val="24"/>
        </w:rPr>
        <w:t>is conducted by the </w:t>
      </w:r>
      <w:r>
        <w:rPr>
          <w:i/>
          <w:sz w:val="24"/>
        </w:rPr>
        <w:t>Utilities </w:t>
      </w:r>
      <w:r>
        <w:rPr>
          <w:i/>
          <w:sz w:val="24"/>
        </w:rPr>
        <w:t>Commission </w:t>
      </w:r>
      <w:r>
        <w:rPr>
          <w:sz w:val="24"/>
        </w:rPr>
        <w:t>under clause 7A.7.4, and </w:t>
      </w:r>
      <w:r>
        <w:rPr>
          <w:i/>
          <w:sz w:val="24"/>
        </w:rPr>
        <w:t>metering data </w:t>
      </w:r>
      <w:r>
        <w:rPr>
          <w:sz w:val="24"/>
        </w:rPr>
        <w:t>must be obtained from the </w:t>
      </w:r>
      <w:r>
        <w:rPr>
          <w:i/>
          <w:sz w:val="24"/>
        </w:rPr>
        <w:t>Metering Data Provider </w:t>
      </w:r>
      <w:r>
        <w:rPr>
          <w:sz w:val="24"/>
        </w:rPr>
        <w:t>in support of this audit, the </w:t>
      </w:r>
      <w:r>
        <w:rPr>
          <w:i/>
          <w:sz w:val="24"/>
        </w:rPr>
        <w:t>Metering Data </w:t>
      </w:r>
      <w:r>
        <w:rPr>
          <w:i/>
          <w:sz w:val="24"/>
        </w:rPr>
        <w:t>Provider </w:t>
      </w:r>
      <w:r>
        <w:rPr>
          <w:sz w:val="24"/>
        </w:rPr>
        <w:t>must provide the </w:t>
      </w:r>
      <w:r>
        <w:rPr>
          <w:i/>
          <w:sz w:val="24"/>
        </w:rPr>
        <w:t>metering data </w:t>
      </w:r>
      <w:r>
        <w:rPr>
          <w:sz w:val="24"/>
        </w:rPr>
        <w:t>within 2 </w:t>
      </w:r>
      <w:r>
        <w:rPr>
          <w:i/>
          <w:sz w:val="24"/>
        </w:rPr>
        <w:t>business days </w:t>
      </w:r>
      <w:r>
        <w:rPr>
          <w:sz w:val="24"/>
        </w:rPr>
        <w:t>of the </w:t>
      </w:r>
      <w:r>
        <w:rPr>
          <w:i/>
          <w:sz w:val="24"/>
        </w:rPr>
        <w:t>Utilities Commission's</w:t>
      </w:r>
      <w:r>
        <w:rPr>
          <w:i/>
          <w:spacing w:val="-1"/>
          <w:sz w:val="24"/>
        </w:rPr>
        <w:t> </w:t>
      </w:r>
      <w:r>
        <w:rPr>
          <w:sz w:val="24"/>
        </w:rPr>
        <w:t>request.</w:t>
      </w:r>
    </w:p>
    <w:p>
      <w:pPr>
        <w:pStyle w:val="ListParagraph"/>
        <w:numPr>
          <w:ilvl w:val="0"/>
          <w:numId w:val="631"/>
        </w:numPr>
        <w:tabs>
          <w:tab w:pos="1919" w:val="left" w:leader="none"/>
        </w:tabs>
        <w:spacing w:line="240" w:lineRule="auto" w:before="120" w:after="0"/>
        <w:ind w:left="1919" w:right="415" w:hanging="567"/>
        <w:jc w:val="both"/>
        <w:rPr>
          <w:sz w:val="24"/>
        </w:rPr>
      </w:pPr>
      <w:r>
        <w:rPr>
          <w:sz w:val="24"/>
        </w:rPr>
        <w:t>Each </w:t>
      </w:r>
      <w:r>
        <w:rPr>
          <w:i/>
          <w:sz w:val="24"/>
        </w:rPr>
        <w:t>Metering Data Provider </w:t>
      </w:r>
      <w:r>
        <w:rPr>
          <w:sz w:val="24"/>
        </w:rPr>
        <w:t>must assist the </w:t>
      </w:r>
      <w:r>
        <w:rPr>
          <w:i/>
          <w:sz w:val="24"/>
        </w:rPr>
        <w:t>Utilities Commission </w:t>
      </w:r>
      <w:r>
        <w:rPr>
          <w:sz w:val="24"/>
        </w:rPr>
        <w:t>with reasonable requests for the provisioning of </w:t>
      </w:r>
      <w:r>
        <w:rPr>
          <w:i/>
          <w:sz w:val="24"/>
        </w:rPr>
        <w:t>metering data </w:t>
      </w:r>
      <w:r>
        <w:rPr>
          <w:sz w:val="24"/>
        </w:rPr>
        <w:t>and relevant information relating to </w:t>
      </w:r>
      <w:r>
        <w:rPr>
          <w:i/>
          <w:sz w:val="24"/>
        </w:rPr>
        <w:t>connection points </w:t>
      </w:r>
      <w:r>
        <w:rPr>
          <w:sz w:val="24"/>
        </w:rPr>
        <w:t>that are part of the audit process of </w:t>
      </w:r>
      <w:r>
        <w:rPr>
          <w:i/>
          <w:sz w:val="24"/>
        </w:rPr>
        <w:t>Metering Coordinators</w:t>
      </w:r>
      <w:r>
        <w:rPr>
          <w:sz w:val="24"/>
        </w:rPr>
        <w:t>, </w:t>
      </w:r>
      <w:r>
        <w:rPr>
          <w:i/>
          <w:sz w:val="24"/>
        </w:rPr>
        <w:t>Metering Providers </w:t>
      </w:r>
      <w:r>
        <w:rPr>
          <w:sz w:val="24"/>
        </w:rPr>
        <w:t>and </w:t>
      </w:r>
      <w:r>
        <w:rPr>
          <w:i/>
          <w:sz w:val="24"/>
        </w:rPr>
        <w:t>Metering Data</w:t>
      </w:r>
      <w:r>
        <w:rPr>
          <w:i/>
          <w:spacing w:val="-5"/>
          <w:sz w:val="24"/>
        </w:rPr>
        <w:t> </w:t>
      </w:r>
      <w:r>
        <w:rPr>
          <w:i/>
          <w:sz w:val="24"/>
        </w:rPr>
        <w:t>Providers</w:t>
      </w:r>
      <w:r>
        <w:rPr>
          <w:sz w:val="24"/>
        </w:rPr>
        <w:t>.</w:t>
      </w:r>
    </w:p>
    <w:p>
      <w:pPr>
        <w:spacing w:after="0" w:line="240" w:lineRule="auto"/>
        <w:jc w:val="both"/>
        <w:rPr>
          <w:sz w:val="24"/>
        </w:rPr>
        <w:sectPr>
          <w:pgSz w:w="11910" w:h="16840"/>
          <w:pgMar w:header="686" w:footer="637" w:top="1320" w:bottom="820" w:left="1200" w:right="1000"/>
        </w:sectPr>
      </w:pPr>
    </w:p>
    <w:p>
      <w:pPr>
        <w:pStyle w:val="Heading4"/>
        <w:tabs>
          <w:tab w:pos="1658" w:val="left" w:leader="none"/>
        </w:tabs>
        <w:spacing w:before="83"/>
        <w:ind w:left="218" w:firstLine="0"/>
      </w:pPr>
      <w:bookmarkStart w:name="S7A.8.12.2 Corrective action" w:id="2185"/>
      <w:bookmarkEnd w:id="2185"/>
      <w:r>
        <w:rPr>
          <w:b w:val="0"/>
        </w:rPr>
      </w:r>
      <w:bookmarkStart w:name="_bookmark915" w:id="2186"/>
      <w:bookmarkEnd w:id="2186"/>
      <w:r>
        <w:rPr>
          <w:b w:val="0"/>
        </w:rPr>
      </w:r>
      <w:r>
        <w:rPr/>
        <w:t>S7A.8.12.2</w:t>
        <w:tab/>
        <w:t>Corrective</w:t>
      </w:r>
      <w:r>
        <w:rPr>
          <w:spacing w:val="-2"/>
        </w:rPr>
        <w:t> </w:t>
      </w:r>
      <w:r>
        <w:rPr/>
        <w:t>action</w:t>
      </w:r>
    </w:p>
    <w:p>
      <w:pPr>
        <w:pStyle w:val="ListParagraph"/>
        <w:numPr>
          <w:ilvl w:val="0"/>
          <w:numId w:val="632"/>
        </w:numPr>
        <w:tabs>
          <w:tab w:pos="1919" w:val="left" w:leader="none"/>
        </w:tabs>
        <w:spacing w:line="240" w:lineRule="auto" w:before="120" w:after="0"/>
        <w:ind w:left="1919" w:right="414" w:hanging="567"/>
        <w:jc w:val="both"/>
        <w:rPr>
          <w:sz w:val="24"/>
        </w:rPr>
      </w:pPr>
      <w:r>
        <w:rPr>
          <w:sz w:val="24"/>
        </w:rPr>
        <w:t>Each </w:t>
      </w:r>
      <w:r>
        <w:rPr>
          <w:i/>
          <w:sz w:val="24"/>
        </w:rPr>
        <w:t>Metering Data Provider </w:t>
      </w:r>
      <w:r>
        <w:rPr>
          <w:sz w:val="24"/>
        </w:rPr>
        <w:t>must take corrective action on any reported instances of non-compliance identified by </w:t>
      </w:r>
      <w:r>
        <w:rPr>
          <w:i/>
          <w:sz w:val="24"/>
        </w:rPr>
        <w:t>NTESMO </w:t>
      </w:r>
      <w:r>
        <w:rPr>
          <w:sz w:val="24"/>
        </w:rPr>
        <w:t>or through a </w:t>
      </w:r>
      <w:r>
        <w:rPr>
          <w:i/>
          <w:sz w:val="24"/>
        </w:rPr>
        <w:t>Metering </w:t>
      </w:r>
      <w:r>
        <w:rPr>
          <w:i/>
          <w:sz w:val="24"/>
        </w:rPr>
        <w:t>Data Provider </w:t>
      </w:r>
      <w:r>
        <w:rPr>
          <w:sz w:val="24"/>
        </w:rPr>
        <w:t>audit</w:t>
      </w:r>
      <w:r>
        <w:rPr>
          <w:spacing w:val="-2"/>
          <w:sz w:val="24"/>
        </w:rPr>
        <w:t> </w:t>
      </w:r>
      <w:r>
        <w:rPr>
          <w:sz w:val="24"/>
        </w:rPr>
        <w:t>process.</w:t>
      </w:r>
    </w:p>
    <w:p>
      <w:pPr>
        <w:pStyle w:val="ListParagraph"/>
        <w:numPr>
          <w:ilvl w:val="0"/>
          <w:numId w:val="632"/>
        </w:numPr>
        <w:tabs>
          <w:tab w:pos="1919" w:val="left" w:leader="none"/>
        </w:tabs>
        <w:spacing w:line="240" w:lineRule="auto" w:before="120" w:after="0"/>
        <w:ind w:left="1919" w:right="414" w:hanging="567"/>
        <w:jc w:val="both"/>
        <w:rPr>
          <w:sz w:val="24"/>
        </w:rPr>
      </w:pPr>
      <w:r>
        <w:rPr>
          <w:sz w:val="24"/>
        </w:rPr>
        <w:t>Where a </w:t>
      </w:r>
      <w:r>
        <w:rPr>
          <w:i/>
          <w:sz w:val="24"/>
        </w:rPr>
        <w:t>Metering Data Provider </w:t>
      </w:r>
      <w:r>
        <w:rPr>
          <w:sz w:val="24"/>
        </w:rPr>
        <w:t>becomes aware that incorrect </w:t>
      </w:r>
      <w:r>
        <w:rPr>
          <w:i/>
          <w:sz w:val="24"/>
        </w:rPr>
        <w:t>metering </w:t>
      </w:r>
      <w:r>
        <w:rPr>
          <w:i/>
          <w:sz w:val="24"/>
        </w:rPr>
        <w:t>data </w:t>
      </w:r>
      <w:r>
        <w:rPr>
          <w:sz w:val="24"/>
        </w:rPr>
        <w:t>has been delivered to </w:t>
      </w:r>
      <w:r>
        <w:rPr>
          <w:i/>
          <w:sz w:val="24"/>
        </w:rPr>
        <w:t>NTESMO </w:t>
      </w:r>
      <w:r>
        <w:rPr>
          <w:sz w:val="24"/>
        </w:rPr>
        <w:t>and </w:t>
      </w:r>
      <w:r>
        <w:rPr>
          <w:i/>
          <w:sz w:val="24"/>
        </w:rPr>
        <w:t>Registered Participants</w:t>
      </w:r>
      <w:r>
        <w:rPr>
          <w:sz w:val="24"/>
        </w:rPr>
        <w:t>, </w:t>
      </w:r>
      <w:r>
        <w:rPr>
          <w:spacing w:val="-4"/>
          <w:sz w:val="24"/>
        </w:rPr>
        <w:t>the</w:t>
      </w:r>
      <w:r>
        <w:rPr>
          <w:spacing w:val="52"/>
          <w:sz w:val="24"/>
        </w:rPr>
        <w:t> </w:t>
      </w:r>
      <w:r>
        <w:rPr>
          <w:i/>
          <w:sz w:val="24"/>
        </w:rPr>
        <w:t>Metering Data Provider </w:t>
      </w:r>
      <w:r>
        <w:rPr>
          <w:sz w:val="24"/>
        </w:rPr>
        <w:t>must provide corrected </w:t>
      </w:r>
      <w:r>
        <w:rPr>
          <w:i/>
          <w:sz w:val="24"/>
        </w:rPr>
        <w:t>metering data </w:t>
      </w:r>
      <w:r>
        <w:rPr>
          <w:sz w:val="24"/>
        </w:rPr>
        <w:t>to all affected parties within 1 </w:t>
      </w:r>
      <w:r>
        <w:rPr>
          <w:i/>
          <w:sz w:val="24"/>
        </w:rPr>
        <w:t>business day </w:t>
      </w:r>
      <w:r>
        <w:rPr>
          <w:sz w:val="24"/>
        </w:rPr>
        <w:t>as required by paragraph</w:t>
      </w:r>
      <w:r>
        <w:rPr>
          <w:spacing w:val="-6"/>
          <w:sz w:val="24"/>
        </w:rPr>
        <w:t> </w:t>
      </w:r>
      <w:r>
        <w:rPr>
          <w:sz w:val="24"/>
        </w:rPr>
        <w:t>7A.8.3(d).</w:t>
      </w:r>
    </w:p>
    <w:p>
      <w:pPr>
        <w:pStyle w:val="ListParagraph"/>
        <w:numPr>
          <w:ilvl w:val="0"/>
          <w:numId w:val="632"/>
        </w:numPr>
        <w:tabs>
          <w:tab w:pos="1919" w:val="left" w:leader="none"/>
        </w:tabs>
        <w:spacing w:line="240" w:lineRule="auto" w:before="120" w:after="0"/>
        <w:ind w:left="1919" w:right="415" w:hanging="567"/>
        <w:jc w:val="both"/>
        <w:rPr>
          <w:sz w:val="24"/>
        </w:rPr>
      </w:pPr>
      <w:r>
        <w:rPr>
          <w:i/>
          <w:sz w:val="24"/>
        </w:rPr>
        <w:t>NTESMO </w:t>
      </w:r>
      <w:r>
        <w:rPr>
          <w:sz w:val="24"/>
        </w:rPr>
        <w:t>may request corrective action where errors or omissions are found within the </w:t>
      </w:r>
      <w:r>
        <w:rPr>
          <w:i/>
          <w:sz w:val="24"/>
        </w:rPr>
        <w:t>settlements </w:t>
      </w:r>
      <w:r>
        <w:rPr>
          <w:sz w:val="24"/>
        </w:rPr>
        <w:t>process and such requests are to be actioned as a priority by the </w:t>
      </w:r>
      <w:r>
        <w:rPr>
          <w:i/>
          <w:sz w:val="24"/>
        </w:rPr>
        <w:t>Metering Data</w:t>
      </w:r>
      <w:r>
        <w:rPr>
          <w:i/>
          <w:spacing w:val="-2"/>
          <w:sz w:val="24"/>
        </w:rPr>
        <w:t> </w:t>
      </w:r>
      <w:r>
        <w:rPr>
          <w:i/>
          <w:sz w:val="24"/>
        </w:rPr>
        <w:t>Provider</w:t>
      </w:r>
      <w:r>
        <w:rPr>
          <w:sz w:val="24"/>
        </w:rPr>
        <w:t>.</w:t>
      </w:r>
    </w:p>
    <w:p>
      <w:pPr>
        <w:pStyle w:val="ListParagraph"/>
        <w:numPr>
          <w:ilvl w:val="0"/>
          <w:numId w:val="632"/>
        </w:numPr>
        <w:tabs>
          <w:tab w:pos="1919" w:val="left" w:leader="none"/>
        </w:tabs>
        <w:spacing w:line="240" w:lineRule="auto" w:before="120" w:after="0"/>
        <w:ind w:left="1919" w:right="414" w:hanging="567"/>
        <w:jc w:val="both"/>
        <w:rPr>
          <w:sz w:val="24"/>
        </w:rPr>
      </w:pPr>
      <w:r>
        <w:rPr>
          <w:sz w:val="24"/>
        </w:rPr>
        <w:t>Where the </w:t>
      </w:r>
      <w:r>
        <w:rPr>
          <w:i/>
          <w:sz w:val="24"/>
        </w:rPr>
        <w:t>Metering Data Provider </w:t>
      </w:r>
      <w:r>
        <w:rPr>
          <w:sz w:val="24"/>
        </w:rPr>
        <w:t>cannot deliver the corrected </w:t>
      </w:r>
      <w:r>
        <w:rPr>
          <w:i/>
          <w:sz w:val="24"/>
        </w:rPr>
        <w:t>metering </w:t>
      </w:r>
      <w:r>
        <w:rPr>
          <w:i/>
          <w:sz w:val="24"/>
        </w:rPr>
        <w:t>data </w:t>
      </w:r>
      <w:r>
        <w:rPr>
          <w:sz w:val="24"/>
        </w:rPr>
        <w:t>in the timeframe specified above, the </w:t>
      </w:r>
      <w:r>
        <w:rPr>
          <w:i/>
          <w:sz w:val="24"/>
        </w:rPr>
        <w:t>Metering Data Provider </w:t>
      </w:r>
      <w:r>
        <w:rPr>
          <w:sz w:val="24"/>
        </w:rPr>
        <w:t>must advise </w:t>
      </w:r>
      <w:r>
        <w:rPr>
          <w:i/>
          <w:sz w:val="24"/>
        </w:rPr>
        <w:t>NTESMO </w:t>
      </w:r>
      <w:r>
        <w:rPr>
          <w:sz w:val="24"/>
        </w:rPr>
        <w:t>and agree on an alternative delivery</w:t>
      </w:r>
      <w:r>
        <w:rPr>
          <w:spacing w:val="-1"/>
          <w:sz w:val="24"/>
        </w:rPr>
        <w:t> </w:t>
      </w:r>
      <w:r>
        <w:rPr>
          <w:sz w:val="24"/>
        </w:rPr>
        <w:t>time.</w:t>
      </w:r>
    </w:p>
    <w:p>
      <w:pPr>
        <w:pStyle w:val="BodyText"/>
        <w:spacing w:before="10"/>
        <w:ind w:firstLine="0"/>
        <w:jc w:val="left"/>
        <w:rPr>
          <w:sz w:val="20"/>
        </w:rPr>
      </w:pPr>
    </w:p>
    <w:p>
      <w:pPr>
        <w:pStyle w:val="Heading4"/>
        <w:tabs>
          <w:tab w:pos="1658" w:val="left" w:leader="none"/>
        </w:tabs>
        <w:ind w:left="218" w:firstLine="0"/>
      </w:pPr>
      <w:bookmarkStart w:name="S7A.8.13.1 Administration" w:id="2187"/>
      <w:bookmarkEnd w:id="2187"/>
      <w:r>
        <w:rPr>
          <w:b w:val="0"/>
        </w:rPr>
      </w:r>
      <w:bookmarkStart w:name="_bookmark916" w:id="2188"/>
      <w:bookmarkEnd w:id="2188"/>
      <w:r>
        <w:rPr>
          <w:b w:val="0"/>
        </w:rPr>
      </w:r>
      <w:r>
        <w:rPr/>
        <w:t>S7A.8.13.1</w:t>
        <w:tab/>
        <w:t>Administration</w:t>
      </w:r>
    </w:p>
    <w:p>
      <w:pPr>
        <w:spacing w:before="220"/>
        <w:ind w:left="1356" w:right="0" w:firstLine="0"/>
        <w:jc w:val="left"/>
        <w:rPr>
          <w:rFonts w:ascii="Arial"/>
          <w:b/>
          <w:sz w:val="22"/>
        </w:rPr>
      </w:pPr>
      <w:r>
        <w:rPr>
          <w:rFonts w:ascii="Arial"/>
          <w:b/>
          <w:sz w:val="22"/>
        </w:rPr>
        <w:t>Provision of data</w:t>
      </w:r>
    </w:p>
    <w:p>
      <w:pPr>
        <w:pStyle w:val="ListParagraph"/>
        <w:numPr>
          <w:ilvl w:val="0"/>
          <w:numId w:val="633"/>
        </w:numPr>
        <w:tabs>
          <w:tab w:pos="1918" w:val="left" w:leader="none"/>
          <w:tab w:pos="1919" w:val="left" w:leader="none"/>
        </w:tabs>
        <w:spacing w:line="240" w:lineRule="auto" w:before="120" w:after="0"/>
        <w:ind w:left="1918" w:right="0" w:hanging="567"/>
        <w:jc w:val="left"/>
        <w:rPr>
          <w:sz w:val="24"/>
        </w:rPr>
      </w:pPr>
      <w:r>
        <w:rPr>
          <w:sz w:val="24"/>
        </w:rPr>
        <w:t>A </w:t>
      </w:r>
      <w:r>
        <w:rPr>
          <w:i/>
          <w:sz w:val="24"/>
        </w:rPr>
        <w:t>Registered Participant </w:t>
      </w:r>
      <w:r>
        <w:rPr>
          <w:sz w:val="24"/>
        </w:rPr>
        <w:t>may request a </w:t>
      </w:r>
      <w:r>
        <w:rPr>
          <w:i/>
          <w:sz w:val="24"/>
        </w:rPr>
        <w:t>Metering Data Provider</w:t>
      </w:r>
      <w:r>
        <w:rPr>
          <w:i/>
          <w:spacing w:val="-5"/>
          <w:sz w:val="24"/>
        </w:rPr>
        <w:t> </w:t>
      </w:r>
      <w:r>
        <w:rPr>
          <w:sz w:val="24"/>
        </w:rPr>
        <w:t>to:</w:t>
      </w:r>
    </w:p>
    <w:p>
      <w:pPr>
        <w:pStyle w:val="ListParagraph"/>
        <w:numPr>
          <w:ilvl w:val="1"/>
          <w:numId w:val="633"/>
        </w:numPr>
        <w:tabs>
          <w:tab w:pos="2485" w:val="left" w:leader="none"/>
          <w:tab w:pos="2486" w:val="left" w:leader="none"/>
        </w:tabs>
        <w:spacing w:line="240" w:lineRule="auto" w:before="120" w:after="0"/>
        <w:ind w:left="2485" w:right="0" w:hanging="567"/>
        <w:jc w:val="left"/>
        <w:rPr>
          <w:sz w:val="24"/>
        </w:rPr>
      </w:pPr>
      <w:r>
        <w:rPr>
          <w:sz w:val="24"/>
        </w:rPr>
        <w:t>provide </w:t>
      </w:r>
      <w:r>
        <w:rPr>
          <w:i/>
          <w:sz w:val="24"/>
        </w:rPr>
        <w:t>metering data </w:t>
      </w:r>
      <w:r>
        <w:rPr>
          <w:sz w:val="24"/>
        </w:rPr>
        <w:t>in an alternative format, method or</w:t>
      </w:r>
      <w:r>
        <w:rPr>
          <w:spacing w:val="-7"/>
          <w:sz w:val="24"/>
        </w:rPr>
        <w:t> </w:t>
      </w:r>
      <w:r>
        <w:rPr>
          <w:sz w:val="24"/>
        </w:rPr>
        <w:t>timeframe;</w:t>
      </w:r>
    </w:p>
    <w:p>
      <w:pPr>
        <w:pStyle w:val="ListParagraph"/>
        <w:numPr>
          <w:ilvl w:val="1"/>
          <w:numId w:val="633"/>
        </w:numPr>
        <w:tabs>
          <w:tab w:pos="2485" w:val="left" w:leader="none"/>
          <w:tab w:pos="2486" w:val="left" w:leader="none"/>
        </w:tabs>
        <w:spacing w:line="240" w:lineRule="auto" w:before="120" w:after="0"/>
        <w:ind w:left="2485" w:right="0" w:hanging="567"/>
        <w:jc w:val="left"/>
        <w:rPr>
          <w:sz w:val="24"/>
        </w:rPr>
      </w:pPr>
      <w:r>
        <w:rPr>
          <w:sz w:val="24"/>
        </w:rPr>
        <w:t>provide any other </w:t>
      </w:r>
      <w:r>
        <w:rPr>
          <w:i/>
          <w:sz w:val="24"/>
        </w:rPr>
        <w:t>metering data services</w:t>
      </w:r>
      <w:r>
        <w:rPr>
          <w:sz w:val="24"/>
        </w:rPr>
        <w:t>;</w:t>
      </w:r>
      <w:r>
        <w:rPr>
          <w:spacing w:val="-2"/>
          <w:sz w:val="24"/>
        </w:rPr>
        <w:t> </w:t>
      </w:r>
      <w:r>
        <w:rPr>
          <w:sz w:val="24"/>
        </w:rPr>
        <w:t>or</w:t>
      </w:r>
    </w:p>
    <w:p>
      <w:pPr>
        <w:pStyle w:val="ListParagraph"/>
        <w:numPr>
          <w:ilvl w:val="1"/>
          <w:numId w:val="633"/>
        </w:numPr>
        <w:tabs>
          <w:tab w:pos="2485" w:val="left" w:leader="none"/>
          <w:tab w:pos="2486" w:val="left" w:leader="none"/>
        </w:tabs>
        <w:spacing w:line="240" w:lineRule="auto" w:before="120" w:after="0"/>
        <w:ind w:left="2485" w:right="0" w:hanging="567"/>
        <w:jc w:val="left"/>
        <w:rPr>
          <w:sz w:val="24"/>
        </w:rPr>
      </w:pPr>
      <w:r>
        <w:rPr>
          <w:sz w:val="24"/>
        </w:rPr>
        <w:t>any combination of the</w:t>
      </w:r>
      <w:r>
        <w:rPr>
          <w:spacing w:val="-1"/>
          <w:sz w:val="24"/>
        </w:rPr>
        <w:t> </w:t>
      </w:r>
      <w:r>
        <w:rPr>
          <w:sz w:val="24"/>
        </w:rPr>
        <w:t>above.</w:t>
      </w:r>
    </w:p>
    <w:p>
      <w:pPr>
        <w:spacing w:before="220"/>
        <w:ind w:left="1356" w:right="0" w:firstLine="0"/>
        <w:jc w:val="left"/>
        <w:rPr>
          <w:rFonts w:ascii="Arial"/>
          <w:b/>
          <w:sz w:val="22"/>
        </w:rPr>
      </w:pPr>
      <w:r>
        <w:rPr>
          <w:rFonts w:ascii="Arial"/>
          <w:b/>
          <w:sz w:val="22"/>
        </w:rPr>
        <w:t>No data to be provided</w:t>
      </w:r>
    </w:p>
    <w:p>
      <w:pPr>
        <w:pStyle w:val="ListParagraph"/>
        <w:numPr>
          <w:ilvl w:val="0"/>
          <w:numId w:val="633"/>
        </w:numPr>
        <w:tabs>
          <w:tab w:pos="1919" w:val="left" w:leader="none"/>
        </w:tabs>
        <w:spacing w:line="240" w:lineRule="auto" w:before="120" w:after="0"/>
        <w:ind w:left="1919" w:right="415" w:hanging="567"/>
        <w:jc w:val="both"/>
        <w:rPr>
          <w:sz w:val="24"/>
        </w:rPr>
      </w:pPr>
      <w:r>
        <w:rPr>
          <w:sz w:val="24"/>
        </w:rPr>
        <w:t>A </w:t>
      </w:r>
      <w:r>
        <w:rPr>
          <w:i/>
          <w:sz w:val="24"/>
        </w:rPr>
        <w:t>Registered Participant </w:t>
      </w:r>
      <w:r>
        <w:rPr>
          <w:sz w:val="24"/>
        </w:rPr>
        <w:t>may request a </w:t>
      </w:r>
      <w:r>
        <w:rPr>
          <w:i/>
          <w:sz w:val="24"/>
        </w:rPr>
        <w:t>Metering Data Provider </w:t>
      </w:r>
      <w:r>
        <w:rPr>
          <w:sz w:val="24"/>
        </w:rPr>
        <w:t>to not provide or deliver any </w:t>
      </w:r>
      <w:r>
        <w:rPr>
          <w:i/>
          <w:sz w:val="24"/>
        </w:rPr>
        <w:t>metering data </w:t>
      </w:r>
      <w:r>
        <w:rPr>
          <w:sz w:val="24"/>
        </w:rPr>
        <w:t>to the </w:t>
      </w:r>
      <w:r>
        <w:rPr>
          <w:i/>
          <w:sz w:val="24"/>
        </w:rPr>
        <w:t>Registered Participant </w:t>
      </w:r>
      <w:r>
        <w:rPr>
          <w:sz w:val="24"/>
        </w:rPr>
        <w:t>as required under this</w:t>
      </w:r>
      <w:r>
        <w:rPr>
          <w:spacing w:val="-1"/>
          <w:sz w:val="24"/>
        </w:rPr>
        <w:t> </w:t>
      </w:r>
      <w:r>
        <w:rPr>
          <w:sz w:val="24"/>
        </w:rPr>
        <w:t>Part.</w:t>
      </w:r>
    </w:p>
    <w:p>
      <w:pPr>
        <w:spacing w:before="220"/>
        <w:ind w:left="1356" w:right="0" w:firstLine="0"/>
        <w:jc w:val="left"/>
        <w:rPr>
          <w:rFonts w:ascii="Arial"/>
          <w:b/>
          <w:sz w:val="22"/>
        </w:rPr>
      </w:pPr>
      <w:r>
        <w:rPr>
          <w:rFonts w:ascii="Arial"/>
          <w:b/>
          <w:sz w:val="22"/>
        </w:rPr>
        <w:t>System changes not required</w:t>
      </w:r>
    </w:p>
    <w:p>
      <w:pPr>
        <w:pStyle w:val="ListParagraph"/>
        <w:numPr>
          <w:ilvl w:val="0"/>
          <w:numId w:val="633"/>
        </w:numPr>
        <w:tabs>
          <w:tab w:pos="1919" w:val="left" w:leader="none"/>
        </w:tabs>
        <w:spacing w:line="240" w:lineRule="auto" w:before="120" w:after="0"/>
        <w:ind w:left="1919" w:right="415" w:hanging="567"/>
        <w:jc w:val="both"/>
        <w:rPr>
          <w:sz w:val="24"/>
        </w:rPr>
      </w:pPr>
      <w:r>
        <w:rPr>
          <w:sz w:val="24"/>
        </w:rPr>
        <w:t>There is no requirement for a </w:t>
      </w:r>
      <w:r>
        <w:rPr>
          <w:i/>
          <w:sz w:val="24"/>
        </w:rPr>
        <w:t>Metering Data Provider </w:t>
      </w:r>
      <w:r>
        <w:rPr>
          <w:sz w:val="24"/>
        </w:rPr>
        <w:t>to implement system changes and processes to facilitate bilateral</w:t>
      </w:r>
      <w:r>
        <w:rPr>
          <w:spacing w:val="-3"/>
          <w:sz w:val="24"/>
        </w:rPr>
        <w:t> </w:t>
      </w:r>
      <w:r>
        <w:rPr>
          <w:sz w:val="24"/>
        </w:rPr>
        <w:t>agreements.</w:t>
      </w:r>
    </w:p>
    <w:p>
      <w:pPr>
        <w:spacing w:before="220"/>
        <w:ind w:left="1356" w:right="0" w:firstLine="0"/>
        <w:jc w:val="left"/>
        <w:rPr>
          <w:rFonts w:ascii="Arial"/>
          <w:b/>
          <w:sz w:val="22"/>
        </w:rPr>
      </w:pPr>
      <w:r>
        <w:rPr>
          <w:rFonts w:ascii="Arial"/>
          <w:b/>
          <w:sz w:val="22"/>
        </w:rPr>
        <w:t>Bilateral agreement not to impact metering data delivery to NTESMO</w:t>
      </w:r>
    </w:p>
    <w:p>
      <w:pPr>
        <w:pStyle w:val="ListParagraph"/>
        <w:numPr>
          <w:ilvl w:val="0"/>
          <w:numId w:val="633"/>
        </w:numPr>
        <w:tabs>
          <w:tab w:pos="1919" w:val="left" w:leader="none"/>
        </w:tabs>
        <w:spacing w:line="240" w:lineRule="auto" w:before="120" w:after="0"/>
        <w:ind w:left="1919" w:right="414" w:hanging="567"/>
        <w:jc w:val="both"/>
        <w:rPr>
          <w:sz w:val="24"/>
        </w:rPr>
      </w:pPr>
      <w:r>
        <w:rPr>
          <w:sz w:val="24"/>
        </w:rPr>
        <w:t>Any acceptance by a </w:t>
      </w:r>
      <w:r>
        <w:rPr>
          <w:i/>
          <w:sz w:val="24"/>
        </w:rPr>
        <w:t>Metering Data Provider </w:t>
      </w:r>
      <w:r>
        <w:rPr>
          <w:sz w:val="24"/>
        </w:rPr>
        <w:t>to deliver </w:t>
      </w:r>
      <w:r>
        <w:rPr>
          <w:i/>
          <w:sz w:val="24"/>
        </w:rPr>
        <w:t>metering data </w:t>
      </w:r>
      <w:r>
        <w:rPr>
          <w:sz w:val="24"/>
        </w:rPr>
        <w:t>to a </w:t>
      </w:r>
      <w:r>
        <w:rPr>
          <w:i/>
          <w:sz w:val="24"/>
        </w:rPr>
        <w:t>Registered Participant </w:t>
      </w:r>
      <w:r>
        <w:rPr>
          <w:sz w:val="24"/>
        </w:rPr>
        <w:t>in accordance with any agreement contemplated by this clause S7A.8.13.1 or acceptance to not provide any </w:t>
      </w:r>
      <w:r>
        <w:rPr>
          <w:i/>
          <w:sz w:val="24"/>
        </w:rPr>
        <w:t>metering data </w:t>
      </w:r>
      <w:r>
        <w:rPr>
          <w:sz w:val="24"/>
        </w:rPr>
        <w:t>in accordance with such an agreement must not impact on </w:t>
      </w:r>
      <w:r>
        <w:rPr>
          <w:i/>
          <w:sz w:val="24"/>
        </w:rPr>
        <w:t>metering data </w:t>
      </w:r>
      <w:r>
        <w:rPr>
          <w:sz w:val="24"/>
        </w:rPr>
        <w:t>delivery to </w:t>
      </w:r>
      <w:r>
        <w:rPr>
          <w:i/>
          <w:sz w:val="24"/>
        </w:rPr>
        <w:t>NTESMO </w:t>
      </w:r>
      <w:r>
        <w:rPr>
          <w:sz w:val="24"/>
        </w:rPr>
        <w:t>or any other </w:t>
      </w:r>
      <w:r>
        <w:rPr>
          <w:i/>
          <w:sz w:val="24"/>
        </w:rPr>
        <w:t>Registered Participant </w:t>
      </w:r>
      <w:r>
        <w:rPr>
          <w:sz w:val="24"/>
        </w:rPr>
        <w:t>for the </w:t>
      </w:r>
      <w:r>
        <w:rPr>
          <w:i/>
          <w:sz w:val="24"/>
        </w:rPr>
        <w:t>connection </w:t>
      </w:r>
      <w:r>
        <w:rPr>
          <w:i/>
          <w:sz w:val="24"/>
        </w:rPr>
        <w:t>point(s)</w:t>
      </w:r>
      <w:r>
        <w:rPr>
          <w:i/>
          <w:spacing w:val="-1"/>
          <w:sz w:val="24"/>
        </w:rPr>
        <w:t> </w:t>
      </w:r>
      <w:r>
        <w:rPr>
          <w:sz w:val="24"/>
        </w:rPr>
        <w:t>concerned.</w:t>
      </w:r>
    </w:p>
    <w:p>
      <w:pPr>
        <w:spacing w:before="220"/>
        <w:ind w:left="1356" w:right="0" w:firstLine="0"/>
        <w:jc w:val="left"/>
        <w:rPr>
          <w:rFonts w:ascii="Arial"/>
          <w:b/>
          <w:sz w:val="22"/>
        </w:rPr>
      </w:pPr>
      <w:r>
        <w:rPr>
          <w:rFonts w:ascii="Arial"/>
          <w:b/>
          <w:sz w:val="22"/>
        </w:rPr>
        <w:t>Bilateral agreement to be auditable</w:t>
      </w:r>
    </w:p>
    <w:p>
      <w:pPr>
        <w:pStyle w:val="ListParagraph"/>
        <w:numPr>
          <w:ilvl w:val="0"/>
          <w:numId w:val="633"/>
        </w:numPr>
        <w:tabs>
          <w:tab w:pos="1919" w:val="left" w:leader="none"/>
        </w:tabs>
        <w:spacing w:line="240" w:lineRule="auto" w:before="120" w:after="0"/>
        <w:ind w:left="1919" w:right="415" w:hanging="567"/>
        <w:jc w:val="both"/>
        <w:rPr>
          <w:sz w:val="24"/>
        </w:rPr>
      </w:pPr>
      <w:r>
        <w:rPr>
          <w:sz w:val="24"/>
        </w:rPr>
        <w:t>Any bilateral agreement established between a </w:t>
      </w:r>
      <w:r>
        <w:rPr>
          <w:i/>
          <w:sz w:val="24"/>
        </w:rPr>
        <w:t>Registered Participant </w:t>
      </w:r>
      <w:r>
        <w:rPr>
          <w:sz w:val="24"/>
        </w:rPr>
        <w:t>and a </w:t>
      </w:r>
      <w:r>
        <w:rPr>
          <w:i/>
          <w:sz w:val="24"/>
        </w:rPr>
        <w:t>Metering Data Provider </w:t>
      </w:r>
      <w:r>
        <w:rPr>
          <w:sz w:val="24"/>
        </w:rPr>
        <w:t>must be in writing and made available to the </w:t>
      </w:r>
      <w:r>
        <w:rPr>
          <w:i/>
          <w:sz w:val="24"/>
        </w:rPr>
        <w:t>Utilities Commission </w:t>
      </w:r>
      <w:r>
        <w:rPr>
          <w:sz w:val="24"/>
        </w:rPr>
        <w:t>on request for audit</w:t>
      </w:r>
      <w:r>
        <w:rPr>
          <w:spacing w:val="-1"/>
          <w:sz w:val="24"/>
        </w:rPr>
        <w:t> </w:t>
      </w:r>
      <w:r>
        <w:rPr>
          <w:sz w:val="24"/>
        </w:rPr>
        <w:t>purposes.</w:t>
      </w:r>
    </w:p>
    <w:p>
      <w:pPr>
        <w:spacing w:after="0" w:line="240" w:lineRule="auto"/>
        <w:jc w:val="both"/>
        <w:rPr>
          <w:sz w:val="24"/>
        </w:rPr>
        <w:sectPr>
          <w:pgSz w:w="11910" w:h="16840"/>
          <w:pgMar w:header="686" w:footer="637" w:top="1320" w:bottom="820" w:left="1200" w:right="1000"/>
        </w:sectPr>
      </w:pPr>
    </w:p>
    <w:p>
      <w:pPr>
        <w:pStyle w:val="Heading4"/>
        <w:tabs>
          <w:tab w:pos="1658" w:val="left" w:leader="none"/>
        </w:tabs>
        <w:spacing w:before="83"/>
        <w:ind w:left="218" w:firstLine="0"/>
      </w:pPr>
      <w:bookmarkStart w:name="S7A.8.13.2 Quality systems" w:id="2189"/>
      <w:bookmarkEnd w:id="2189"/>
      <w:r>
        <w:rPr>
          <w:b w:val="0"/>
        </w:rPr>
      </w:r>
      <w:bookmarkStart w:name="_bookmark917" w:id="2190"/>
      <w:bookmarkEnd w:id="2190"/>
      <w:r>
        <w:rPr>
          <w:b w:val="0"/>
        </w:rPr>
      </w:r>
      <w:r>
        <w:rPr/>
        <w:t>S7A.8.13.2</w:t>
        <w:tab/>
        <w:t>Quality</w:t>
      </w:r>
      <w:r>
        <w:rPr>
          <w:spacing w:val="-1"/>
        </w:rPr>
        <w:t> </w:t>
      </w:r>
      <w:r>
        <w:rPr/>
        <w:t>systems</w:t>
      </w:r>
    </w:p>
    <w:p>
      <w:pPr>
        <w:pStyle w:val="BodyText"/>
        <w:ind w:left="1352" w:right="415" w:firstLine="0"/>
        <w:jc w:val="left"/>
      </w:pPr>
      <w:r>
        <w:rPr/>
        <w:t>Each </w:t>
      </w:r>
      <w:r>
        <w:rPr>
          <w:i/>
        </w:rPr>
        <w:t>Metering Data Provider </w:t>
      </w:r>
      <w:r>
        <w:rPr/>
        <w:t>must operate and retain a quality system that is at least equal to a quality accreditation to the ISO9001 or ISO9002 standards.</w:t>
      </w:r>
    </w:p>
    <w:p>
      <w:pPr>
        <w:spacing w:after="0"/>
        <w:jc w:val="left"/>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8</w:t>
                  </w:r>
                </w:p>
              </w:txbxContent>
            </v:textbox>
            <v:fill type="solid"/>
            <v:stroke dashstyle="solid"/>
          </v:shape>
        </w:pict>
      </w:r>
      <w:r>
        <w:rPr>
          <w:position w:val="0"/>
          <w:sz w:val="20"/>
        </w:rPr>
      </w:r>
    </w:p>
    <w:p>
      <w:pPr>
        <w:spacing w:after="0"/>
        <w:jc w:val="left"/>
        <w:rPr>
          <w:sz w:val="20"/>
        </w:rPr>
        <w:sectPr>
          <w:headerReference w:type="default" r:id="rId125"/>
          <w:footerReference w:type="default" r:id="rId126"/>
          <w:pgSz w:w="11910" w:h="16840"/>
          <w:pgMar w:header="686" w:footer="637" w:top="1320" w:bottom="820" w:left="1200" w:right="1000"/>
          <w:pgNumType w:start="675"/>
        </w:sectPr>
      </w:pPr>
    </w:p>
    <w:p>
      <w:pPr>
        <w:pStyle w:val="BodyText"/>
        <w:spacing w:before="4"/>
        <w:ind w:firstLine="0"/>
        <w:jc w:val="left"/>
        <w:rPr>
          <w:sz w:val="17"/>
        </w:rPr>
      </w:pPr>
    </w:p>
    <w:p>
      <w:pPr>
        <w:spacing w:after="0"/>
        <w:jc w:val="left"/>
        <w:rPr>
          <w:sz w:val="17"/>
        </w:rPr>
        <w:sectPr>
          <w:headerReference w:type="default" r:id="rId127"/>
          <w:footerReference w:type="default" r:id="rId128"/>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1" w:right="0" w:hanging="1134"/>
        <w:jc w:val="left"/>
      </w:pPr>
      <w:bookmarkStart w:name="8. Administrative Functions" w:id="2191"/>
      <w:bookmarkEnd w:id="2191"/>
      <w:r>
        <w:rPr>
          <w:b w:val="0"/>
        </w:rPr>
      </w:r>
      <w:bookmarkStart w:name="_bookmark918" w:id="2192"/>
      <w:bookmarkEnd w:id="2192"/>
      <w:r>
        <w:rPr>
          <w:b w:val="0"/>
        </w:rPr>
      </w:r>
      <w:bookmarkStart w:name="_bookmark918" w:id="2193"/>
      <w:bookmarkEnd w:id="2193"/>
      <w:r>
        <w:rPr/>
        <w:t>Admini</w:t>
      </w:r>
      <w:r>
        <w:rPr/>
        <w:t>strative</w:t>
      </w:r>
      <w:r>
        <w:rPr>
          <w:spacing w:val="-1"/>
        </w:rPr>
        <w:t> </w:t>
      </w:r>
      <w:r>
        <w:rPr/>
        <w:t>Functions</w:t>
      </w:r>
    </w:p>
    <w:p>
      <w:pPr>
        <w:pStyle w:val="BodyText"/>
        <w:spacing w:before="9"/>
        <w:ind w:firstLine="0"/>
        <w:jc w:val="left"/>
        <w:rPr>
          <w:rFonts w:ascii="Arial"/>
          <w:b/>
          <w:sz w:val="18"/>
        </w:rPr>
      </w:pPr>
      <w:r>
        <w:rPr/>
        <w:pict>
          <v:shape style="position:absolute;margin-left:69.450005pt;margin-top:12.023273pt;width:456.45pt;height:16.1pt;mso-position-horizontal-relative:page;mso-position-vertical-relative:paragraph;z-index:-251594752;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A Introductory" w:id="2194"/>
                  <w:bookmarkEnd w:id="2194"/>
                  <w:r>
                    <w:rPr/>
                  </w:r>
                  <w:bookmarkStart w:name="_bookmark919" w:id="2195"/>
                  <w:bookmarkEnd w:id="2195"/>
                  <w:r>
                    <w:rPr/>
                  </w:r>
                  <w:r>
                    <w:rPr>
                      <w:rFonts w:ascii="Arial"/>
                      <w:b/>
                      <w:sz w:val="28"/>
                    </w:rPr>
                    <w:t>Part A</w:t>
                    <w:tab/>
                    <w:t>Introductory</w:t>
                  </w:r>
                </w:p>
              </w:txbxContent>
            </v:textbox>
            <v:fill type="solid"/>
            <w10:wrap type="topAndBottom"/>
          </v:shape>
        </w:pict>
      </w:r>
    </w:p>
    <w:p>
      <w:pPr>
        <w:pStyle w:val="BodyText"/>
        <w:spacing w:before="7"/>
        <w:ind w:firstLine="0"/>
        <w:jc w:val="left"/>
        <w:rPr>
          <w:rFonts w:ascii="Arial"/>
          <w:b/>
          <w:sz w:val="11"/>
        </w:rPr>
      </w:pPr>
    </w:p>
    <w:p>
      <w:pPr>
        <w:pStyle w:val="Heading3"/>
        <w:numPr>
          <w:ilvl w:val="1"/>
          <w:numId w:val="54"/>
        </w:numPr>
        <w:tabs>
          <w:tab w:pos="1351" w:val="left" w:leader="none"/>
          <w:tab w:pos="1353" w:val="left" w:leader="none"/>
        </w:tabs>
        <w:spacing w:line="240" w:lineRule="auto" w:before="91" w:after="0"/>
        <w:ind w:left="1352" w:right="0" w:hanging="1135"/>
        <w:jc w:val="left"/>
      </w:pPr>
      <w:bookmarkStart w:name="8.1 Administrative functions" w:id="2196"/>
      <w:bookmarkEnd w:id="2196"/>
      <w:r>
        <w:rPr>
          <w:b w:val="0"/>
        </w:rPr>
      </w:r>
      <w:bookmarkStart w:name="_bookmark920" w:id="2197"/>
      <w:bookmarkEnd w:id="2197"/>
      <w:r>
        <w:rPr>
          <w:b w:val="0"/>
        </w:rPr>
      </w:r>
      <w:bookmarkStart w:name="_bookmark920" w:id="2198"/>
      <w:bookmarkEnd w:id="2198"/>
      <w:r>
        <w:rPr/>
        <w:t>Admin</w:t>
      </w:r>
      <w:r>
        <w:rPr/>
        <w:t>istrative</w:t>
      </w:r>
      <w:r>
        <w:rPr>
          <w:spacing w:val="-2"/>
        </w:rPr>
        <w:t> </w:t>
      </w:r>
      <w:r>
        <w:rPr/>
        <w:t>functions</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8.1.1 [Deleted]" w:id="2199"/>
      <w:bookmarkEnd w:id="2199"/>
      <w:r>
        <w:rPr>
          <w:b w:val="0"/>
        </w:rPr>
      </w:r>
      <w:bookmarkStart w:name="_bookmark921" w:id="2200"/>
      <w:bookmarkEnd w:id="2200"/>
      <w:r>
        <w:rPr>
          <w:b w:val="0"/>
        </w:rPr>
      </w:r>
      <w:bookmarkStart w:name="_bookmark921" w:id="2201"/>
      <w:bookmarkEnd w:id="2201"/>
      <w:r>
        <w:rPr/>
        <w:t>[Deleted]</w:t>
      </w:r>
    </w:p>
    <w:p>
      <w:pPr>
        <w:pStyle w:val="BodyText"/>
        <w:spacing w:before="10"/>
        <w:ind w:firstLine="0"/>
        <w:jc w:val="left"/>
        <w:rPr>
          <w:rFonts w:ascii="Arial"/>
          <w:b/>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8.1.2 [Deleted]" w:id="2202"/>
      <w:bookmarkEnd w:id="2202"/>
      <w:r>
        <w:rPr>
          <w:b w:val="0"/>
        </w:rPr>
      </w:r>
      <w:bookmarkStart w:name="_bookmark922" w:id="2203"/>
      <w:bookmarkEnd w:id="2203"/>
      <w:r>
        <w:rPr>
          <w:b w:val="0"/>
        </w:rPr>
      </w:r>
      <w:bookmarkStart w:name="_bookmark922" w:id="2204"/>
      <w:bookmarkEnd w:id="2204"/>
      <w:r>
        <w:rPr/>
        <w:t>[Deleted]</w:t>
      </w:r>
    </w:p>
    <w:p>
      <w:pPr>
        <w:pStyle w:val="BodyText"/>
        <w:spacing w:before="10"/>
        <w:ind w:firstLine="0"/>
        <w:jc w:val="left"/>
        <w:rPr>
          <w:rFonts w:ascii="Arial"/>
          <w:b/>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8.1.3 Structure of this Chapter" w:id="2205"/>
      <w:bookmarkEnd w:id="2205"/>
      <w:r>
        <w:rPr>
          <w:b w:val="0"/>
        </w:rPr>
      </w:r>
      <w:bookmarkStart w:name="_bookmark923" w:id="2206"/>
      <w:bookmarkEnd w:id="2206"/>
      <w:r>
        <w:rPr>
          <w:b w:val="0"/>
        </w:rPr>
      </w:r>
      <w:bookmarkStart w:name="_bookmark923" w:id="2207"/>
      <w:bookmarkEnd w:id="2207"/>
      <w:r>
        <w:rPr/>
        <w:t>Structure</w:t>
      </w:r>
      <w:r>
        <w:rPr/>
        <w:t> of this</w:t>
      </w:r>
      <w:r>
        <w:rPr>
          <w:spacing w:val="-1"/>
        </w:rPr>
        <w:t> </w:t>
      </w:r>
      <w:r>
        <w:rPr/>
        <w:t>Chapter</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i/>
          <w:sz w:val="20"/>
        </w:rPr>
      </w:pPr>
      <w:r>
        <w:rPr>
          <w:sz w:val="20"/>
        </w:rPr>
        <w:t>Clause 8.1.3(b)(5) and (7) has no effect in this jurisdiction (see regulation 5A of the </w:t>
      </w:r>
      <w:r>
        <w:rPr>
          <w:i/>
          <w:sz w:val="20"/>
        </w:rPr>
        <w:t>National </w:t>
      </w:r>
      <w:r>
        <w:rPr>
          <w:i/>
          <w:sz w:val="20"/>
        </w:rPr>
        <w:t>Electricity (Northern Territory) (National Uniform Legislation) (Modification) Regulations).</w:t>
      </w:r>
    </w:p>
    <w:p>
      <w:pPr>
        <w:pStyle w:val="ListParagraph"/>
        <w:numPr>
          <w:ilvl w:val="3"/>
          <w:numId w:val="54"/>
        </w:numPr>
        <w:tabs>
          <w:tab w:pos="1918" w:val="left" w:leader="none"/>
          <w:tab w:pos="1919" w:val="left" w:leader="none"/>
        </w:tabs>
        <w:spacing w:line="240" w:lineRule="auto" w:before="120" w:after="0"/>
        <w:ind w:left="1919" w:right="416" w:hanging="567"/>
        <w:jc w:val="left"/>
        <w:rPr>
          <w:sz w:val="24"/>
        </w:rPr>
      </w:pPr>
      <w:r>
        <w:rPr>
          <w:sz w:val="24"/>
        </w:rPr>
        <w:t>This Chapter describes some of the key processes and obligations associated with the administration of the </w:t>
      </w:r>
      <w:r>
        <w:rPr>
          <w:i/>
          <w:sz w:val="24"/>
        </w:rPr>
        <w:t>Rules </w:t>
      </w:r>
      <w:r>
        <w:rPr>
          <w:sz w:val="24"/>
        </w:rPr>
        <w:t>and deals also with</w:t>
      </w:r>
      <w:r>
        <w:rPr>
          <w:spacing w:val="-8"/>
          <w:sz w:val="24"/>
        </w:rPr>
        <w:t> </w:t>
      </w:r>
      <w:r>
        <w:rPr>
          <w:i/>
          <w:sz w:val="24"/>
        </w:rPr>
        <w:t>augmentations</w:t>
      </w:r>
      <w:r>
        <w:rPr>
          <w:sz w:val="24"/>
        </w:rPr>
        <w:t>.</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It is divided into Parts as</w:t>
      </w:r>
      <w:r>
        <w:rPr>
          <w:spacing w:val="-3"/>
          <w:sz w:val="24"/>
        </w:rPr>
        <w:t> </w:t>
      </w:r>
      <w:r>
        <w:rPr>
          <w:sz w:val="24"/>
        </w:rPr>
        <w:t>follows:</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this Part is</w:t>
      </w:r>
      <w:r>
        <w:rPr>
          <w:spacing w:val="-2"/>
          <w:sz w:val="24"/>
        </w:rPr>
        <w:t> </w:t>
      </w:r>
      <w:r>
        <w:rPr>
          <w:sz w:val="24"/>
        </w:rPr>
        <w:t>introductory;</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Part B deals with dispute</w:t>
      </w:r>
      <w:r>
        <w:rPr>
          <w:spacing w:val="-3"/>
          <w:sz w:val="24"/>
        </w:rPr>
        <w:t> </w:t>
      </w:r>
      <w:r>
        <w:rPr>
          <w:sz w:val="24"/>
        </w:rPr>
        <w:t>resolution;</w:t>
      </w:r>
    </w:p>
    <w:p>
      <w:pPr>
        <w:pStyle w:val="ListParagraph"/>
        <w:numPr>
          <w:ilvl w:val="4"/>
          <w:numId w:val="54"/>
        </w:numPr>
        <w:tabs>
          <w:tab w:pos="2485" w:val="left" w:leader="none"/>
          <w:tab w:pos="2486" w:val="left" w:leader="none"/>
        </w:tabs>
        <w:spacing w:line="240" w:lineRule="auto" w:before="120" w:after="0"/>
        <w:ind w:left="2486" w:right="415" w:hanging="567"/>
        <w:jc w:val="left"/>
        <w:rPr>
          <w:sz w:val="24"/>
        </w:rPr>
      </w:pPr>
      <w:r>
        <w:rPr>
          <w:sz w:val="24"/>
        </w:rPr>
        <w:t>Part C deals with the obligations of </w:t>
      </w:r>
      <w:r>
        <w:rPr>
          <w:i/>
          <w:sz w:val="24"/>
        </w:rPr>
        <w:t>Registered Participants </w:t>
      </w:r>
      <w:r>
        <w:rPr>
          <w:sz w:val="24"/>
        </w:rPr>
        <w:t>to maintain</w:t>
      </w:r>
      <w:r>
        <w:rPr>
          <w:spacing w:val="-1"/>
          <w:sz w:val="24"/>
        </w:rPr>
        <w:t> </w:t>
      </w:r>
      <w:r>
        <w:rPr>
          <w:sz w:val="24"/>
        </w:rPr>
        <w:t>confidentiality;</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Part D deals with monitoring and</w:t>
      </w:r>
      <w:r>
        <w:rPr>
          <w:spacing w:val="-3"/>
          <w:sz w:val="24"/>
        </w:rPr>
        <w:t> </w:t>
      </w:r>
      <w:r>
        <w:rPr>
          <w:sz w:val="24"/>
        </w:rPr>
        <w:t>reporting;</w:t>
      </w:r>
    </w:p>
    <w:p>
      <w:pPr>
        <w:pStyle w:val="ListParagraph"/>
        <w:numPr>
          <w:ilvl w:val="4"/>
          <w:numId w:val="54"/>
        </w:numPr>
        <w:tabs>
          <w:tab w:pos="2485" w:val="left" w:leader="none"/>
          <w:tab w:pos="2486" w:val="left" w:leader="none"/>
        </w:tabs>
        <w:spacing w:line="240" w:lineRule="auto" w:before="120" w:after="0"/>
        <w:ind w:left="2486" w:right="415" w:hanging="567"/>
        <w:jc w:val="left"/>
        <w:rPr>
          <w:sz w:val="24"/>
        </w:rPr>
      </w:pPr>
      <w:r>
        <w:rPr>
          <w:sz w:val="24"/>
        </w:rPr>
        <w:t>Part E deals with the structure and responsibilities of the </w:t>
      </w:r>
      <w:r>
        <w:rPr>
          <w:i/>
          <w:sz w:val="24"/>
        </w:rPr>
        <w:t>Reliability </w:t>
      </w:r>
      <w:r>
        <w:rPr>
          <w:i/>
          <w:sz w:val="24"/>
        </w:rPr>
        <w:t>Panel</w:t>
      </w:r>
      <w:r>
        <w:rPr>
          <w:sz w:val="24"/>
        </w:rPr>
        <w:t>;</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Part F sets out the </w:t>
      </w:r>
      <w:r>
        <w:rPr>
          <w:i/>
          <w:sz w:val="24"/>
        </w:rPr>
        <w:t>Rules consultation</w:t>
      </w:r>
      <w:r>
        <w:rPr>
          <w:i/>
          <w:spacing w:val="-3"/>
          <w:sz w:val="24"/>
        </w:rPr>
        <w:t> </w:t>
      </w:r>
      <w:r>
        <w:rPr>
          <w:i/>
          <w:sz w:val="24"/>
        </w:rPr>
        <w:t>procedures</w:t>
      </w:r>
      <w:r>
        <w:rPr>
          <w:sz w:val="24"/>
        </w:rPr>
        <w:t>;</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Part G deals with funding for the Consumer Advocacy</w:t>
      </w:r>
      <w:r>
        <w:rPr>
          <w:spacing w:val="-7"/>
          <w:sz w:val="24"/>
        </w:rPr>
        <w:t> </w:t>
      </w:r>
      <w:r>
        <w:rPr>
          <w:sz w:val="24"/>
        </w:rPr>
        <w:t>Panel;</w:t>
      </w:r>
    </w:p>
    <w:p>
      <w:pPr>
        <w:pStyle w:val="ListParagraph"/>
        <w:numPr>
          <w:ilvl w:val="4"/>
          <w:numId w:val="54"/>
        </w:numPr>
        <w:tabs>
          <w:tab w:pos="2485" w:val="left" w:leader="none"/>
          <w:tab w:pos="2486" w:val="left" w:leader="none"/>
        </w:tabs>
        <w:spacing w:line="240" w:lineRule="auto" w:before="120" w:after="0"/>
        <w:ind w:left="2485" w:right="0" w:hanging="567"/>
        <w:jc w:val="left"/>
        <w:rPr>
          <w:sz w:val="24"/>
        </w:rPr>
      </w:pPr>
      <w:r>
        <w:rPr>
          <w:sz w:val="24"/>
        </w:rPr>
        <w:t>Part H deals with</w:t>
      </w:r>
      <w:r>
        <w:rPr>
          <w:spacing w:val="-3"/>
          <w:sz w:val="24"/>
        </w:rPr>
        <w:t> </w:t>
      </w:r>
      <w:r>
        <w:rPr>
          <w:i/>
          <w:sz w:val="24"/>
        </w:rPr>
        <w:t>augmentations</w:t>
      </w:r>
      <w:r>
        <w:rPr>
          <w:sz w:val="24"/>
        </w:rPr>
        <w:t>.</w:t>
      </w:r>
    </w:p>
    <w:p>
      <w:pPr>
        <w:pStyle w:val="Heading4"/>
        <w:numPr>
          <w:ilvl w:val="3"/>
          <w:numId w:val="54"/>
        </w:numPr>
        <w:tabs>
          <w:tab w:pos="1918" w:val="left" w:leader="none"/>
          <w:tab w:pos="1919" w:val="left" w:leader="none"/>
        </w:tabs>
        <w:spacing w:line="240" w:lineRule="auto" w:before="120" w:after="0"/>
        <w:ind w:left="1918" w:right="0" w:hanging="567"/>
        <w:jc w:val="left"/>
        <w:rPr>
          <w:rFonts w:ascii="Times New Roman"/>
        </w:rPr>
      </w:pPr>
      <w:r>
        <w:rPr>
          <w:rFonts w:ascii="Times New Roman"/>
        </w:rPr>
        <w:t>[Deleted]</w:t>
      </w:r>
    </w:p>
    <w:p>
      <w:pPr>
        <w:pStyle w:val="ListParagraph"/>
        <w:numPr>
          <w:ilvl w:val="3"/>
          <w:numId w:val="54"/>
        </w:numPr>
        <w:tabs>
          <w:tab w:pos="1918" w:val="left" w:leader="none"/>
          <w:tab w:pos="1919" w:val="left" w:leader="none"/>
        </w:tabs>
        <w:spacing w:line="240" w:lineRule="auto" w:before="120" w:after="0"/>
        <w:ind w:left="1918" w:right="0" w:hanging="567"/>
        <w:jc w:val="left"/>
        <w:rPr>
          <w:b/>
          <w:sz w:val="24"/>
        </w:rPr>
      </w:pPr>
      <w:r>
        <w:rPr>
          <w:b/>
          <w:sz w:val="24"/>
        </w:rPr>
        <w:t>[Deleted]</w:t>
      </w:r>
    </w:p>
    <w:p>
      <w:pPr>
        <w:pStyle w:val="ListParagraph"/>
        <w:numPr>
          <w:ilvl w:val="3"/>
          <w:numId w:val="54"/>
        </w:numPr>
        <w:tabs>
          <w:tab w:pos="1918" w:val="left" w:leader="none"/>
          <w:tab w:pos="1919" w:val="left" w:leader="none"/>
        </w:tabs>
        <w:spacing w:line="240" w:lineRule="auto" w:before="120" w:after="0"/>
        <w:ind w:left="1918" w:right="0" w:hanging="567"/>
        <w:jc w:val="left"/>
        <w:rPr>
          <w:b/>
          <w:sz w:val="24"/>
        </w:rPr>
      </w:pPr>
      <w:r>
        <w:rPr>
          <w:b/>
          <w:sz w:val="24"/>
        </w:rPr>
        <w:t>[Deleted]</w:t>
      </w:r>
    </w:p>
    <w:p>
      <w:pPr>
        <w:pStyle w:val="ListParagraph"/>
        <w:numPr>
          <w:ilvl w:val="3"/>
          <w:numId w:val="54"/>
        </w:numPr>
        <w:tabs>
          <w:tab w:pos="1919" w:val="left" w:leader="none"/>
          <w:tab w:pos="1920" w:val="left" w:leader="none"/>
        </w:tabs>
        <w:spacing w:line="240" w:lineRule="auto" w:before="120" w:after="0"/>
        <w:ind w:left="1919" w:right="0" w:hanging="568"/>
        <w:jc w:val="left"/>
        <w:rPr>
          <w:b/>
          <w:sz w:val="24"/>
        </w:rPr>
      </w:pPr>
      <w:r>
        <w:rPr>
          <w:b/>
          <w:sz w:val="24"/>
        </w:rPr>
        <w:t>[Deleted]</w:t>
      </w:r>
    </w:p>
    <w:p>
      <w:pPr>
        <w:pStyle w:val="ListParagraph"/>
        <w:numPr>
          <w:ilvl w:val="3"/>
          <w:numId w:val="54"/>
        </w:numPr>
        <w:tabs>
          <w:tab w:pos="1918" w:val="left" w:leader="none"/>
          <w:tab w:pos="1919" w:val="left" w:leader="none"/>
        </w:tabs>
        <w:spacing w:line="240" w:lineRule="auto" w:before="120" w:after="0"/>
        <w:ind w:left="1918" w:right="0" w:hanging="567"/>
        <w:jc w:val="left"/>
        <w:rPr>
          <w:b/>
          <w:sz w:val="24"/>
        </w:rPr>
      </w:pPr>
      <w:r>
        <w:rPr>
          <w:b/>
          <w:sz w:val="24"/>
        </w:rPr>
        <w:t>[Deleted]</w:t>
      </w:r>
    </w:p>
    <w:p>
      <w:pPr>
        <w:pStyle w:val="BodyText"/>
        <w:spacing w:before="9"/>
        <w:ind w:firstLine="0"/>
        <w:jc w:val="left"/>
        <w:rPr>
          <w:b/>
          <w:sz w:val="18"/>
        </w:rPr>
      </w:pPr>
      <w:r>
        <w:rPr/>
        <w:pict>
          <v:shape style="position:absolute;margin-left:69.450005pt;margin-top:12.031282pt;width:456.45pt;height:16.1pt;mso-position-horizontal-relative:page;mso-position-vertical-relative:paragraph;z-index:-251593728;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B Disputes" w:id="2208"/>
                  <w:bookmarkEnd w:id="2208"/>
                  <w:r>
                    <w:rPr/>
                  </w:r>
                  <w:bookmarkStart w:name="_bookmark924" w:id="2209"/>
                  <w:bookmarkEnd w:id="2209"/>
                  <w:r>
                    <w:rPr/>
                  </w:r>
                  <w:r>
                    <w:rPr>
                      <w:rFonts w:ascii="Arial"/>
                      <w:b/>
                      <w:sz w:val="28"/>
                    </w:rPr>
                    <w:t>Part B</w:t>
                    <w:tab/>
                    <w:t>Disputes</w:t>
                  </w:r>
                </w:p>
              </w:txbxContent>
            </v:textbox>
            <v:fill type="solid"/>
            <w10:wrap type="topAndBottom"/>
          </v:shape>
        </w:pict>
      </w:r>
    </w:p>
    <w:p>
      <w:pPr>
        <w:spacing w:before="105"/>
        <w:ind w:left="1352" w:right="0" w:firstLine="0"/>
        <w:jc w:val="left"/>
        <w:rPr>
          <w:sz w:val="20"/>
        </w:rPr>
      </w:pPr>
      <w:r>
        <w:rPr>
          <w:sz w:val="20"/>
        </w:rPr>
        <w: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Part has no effect in this jurisdiction (see regulation 5A of the </w:t>
      </w:r>
      <w:r>
        <w:rPr>
          <w:i/>
          <w:sz w:val="20"/>
        </w:rPr>
        <w:t>National Electricity (Northern </w:t>
      </w:r>
      <w:r>
        <w:rPr>
          <w:i/>
          <w:sz w:val="20"/>
        </w:rPr>
        <w:t>Territory) (National Uniform Legislation) (Modification) Regulations 2016</w:t>
      </w:r>
      <w:r>
        <w:rPr>
          <w:sz w:val="20"/>
        </w:rPr>
        <w:t>).</w:t>
      </w:r>
    </w:p>
    <w:p>
      <w:pPr>
        <w:spacing w:after="0"/>
        <w:jc w:val="left"/>
        <w:rPr>
          <w:sz w:val="20"/>
        </w:rPr>
        <w:sectPr>
          <w:headerReference w:type="default" r:id="rId129"/>
          <w:footerReference w:type="default" r:id="rId130"/>
          <w:pgSz w:w="11910" w:h="16840"/>
          <w:pgMar w:header="686" w:footer="637" w:top="1320" w:bottom="820" w:left="1200" w:right="1000"/>
          <w:pgNumType w:start="677"/>
        </w:sectPr>
      </w:pPr>
    </w:p>
    <w:p>
      <w:pPr>
        <w:tabs>
          <w:tab w:pos="1352" w:val="left" w:leader="none"/>
          <w:tab w:pos="9317" w:val="left" w:leader="none"/>
        </w:tabs>
        <w:spacing w:before="83"/>
        <w:ind w:left="218" w:right="0" w:firstLine="0"/>
        <w:jc w:val="left"/>
        <w:rPr>
          <w:rFonts w:ascii="Arial"/>
          <w:b/>
          <w:sz w:val="28"/>
        </w:rPr>
      </w:pPr>
      <w:bookmarkStart w:name="Part C Registered Participants' confiden" w:id="2210"/>
      <w:bookmarkEnd w:id="2210"/>
      <w:r>
        <w:rPr/>
      </w:r>
      <w:bookmarkStart w:name="_bookmark925" w:id="2211"/>
      <w:bookmarkEnd w:id="2211"/>
      <w:r>
        <w:rPr/>
      </w:r>
      <w:r>
        <w:rPr>
          <w:rFonts w:ascii="Arial"/>
          <w:b/>
          <w:sz w:val="28"/>
          <w:shd w:fill="D9D9D9" w:color="auto" w:val="clear"/>
        </w:rPr>
        <w:t>Part C</w:t>
        <w:tab/>
        <w:t>Registered Participants' confidentiality</w:t>
      </w:r>
      <w:r>
        <w:rPr>
          <w:rFonts w:ascii="Arial"/>
          <w:b/>
          <w:spacing w:val="-24"/>
          <w:sz w:val="28"/>
          <w:shd w:fill="D9D9D9" w:color="auto" w:val="clear"/>
        </w:rPr>
        <w:t> </w:t>
      </w:r>
      <w:r>
        <w:rPr>
          <w:rFonts w:ascii="Arial"/>
          <w:b/>
          <w:sz w:val="28"/>
          <w:shd w:fill="D9D9D9" w:color="auto" w:val="clear"/>
        </w:rPr>
        <w:t>obligations</w:t>
        <w:tab/>
      </w:r>
    </w:p>
    <w:p>
      <w:pPr>
        <w:pStyle w:val="Heading3"/>
        <w:numPr>
          <w:ilvl w:val="1"/>
          <w:numId w:val="634"/>
        </w:numPr>
        <w:tabs>
          <w:tab w:pos="1351" w:val="left" w:leader="none"/>
          <w:tab w:pos="1353" w:val="left" w:leader="none"/>
        </w:tabs>
        <w:spacing w:line="240" w:lineRule="auto" w:before="240" w:after="0"/>
        <w:ind w:left="1352" w:right="0" w:hanging="1135"/>
        <w:jc w:val="left"/>
      </w:pPr>
      <w:bookmarkStart w:name="8.6 Confidentiality" w:id="2212"/>
      <w:bookmarkEnd w:id="2212"/>
      <w:r>
        <w:rPr>
          <w:b w:val="0"/>
        </w:rPr>
      </w:r>
      <w:bookmarkStart w:name="_bookmark926" w:id="2213"/>
      <w:bookmarkEnd w:id="2213"/>
      <w:r>
        <w:rPr>
          <w:b w:val="0"/>
        </w:rPr>
      </w:r>
      <w:bookmarkStart w:name="_bookmark926" w:id="2214"/>
      <w:bookmarkEnd w:id="2214"/>
      <w:r>
        <w:rPr/>
        <w:t>Con</w:t>
      </w:r>
      <w:r>
        <w:rPr/>
        <w:t>fidentiality</w:t>
      </w:r>
    </w:p>
    <w:p>
      <w:pPr>
        <w:pStyle w:val="Heading4"/>
        <w:numPr>
          <w:ilvl w:val="2"/>
          <w:numId w:val="634"/>
        </w:numPr>
        <w:tabs>
          <w:tab w:pos="1133" w:val="left" w:leader="none"/>
          <w:tab w:pos="1352" w:val="left" w:leader="none"/>
        </w:tabs>
        <w:spacing w:line="240" w:lineRule="auto" w:before="240" w:after="0"/>
        <w:ind w:left="1351" w:right="6469" w:hanging="1352"/>
        <w:jc w:val="left"/>
      </w:pPr>
      <w:bookmarkStart w:name="8.6.1 Confidentiality" w:id="2215"/>
      <w:bookmarkEnd w:id="2215"/>
      <w:r>
        <w:rPr>
          <w:b w:val="0"/>
        </w:rPr>
      </w:r>
      <w:bookmarkStart w:name="_bookmark927" w:id="2216"/>
      <w:bookmarkEnd w:id="2216"/>
      <w:r>
        <w:rPr>
          <w:b w:val="0"/>
        </w:rPr>
      </w:r>
      <w:bookmarkStart w:name="_bookmark927" w:id="2217"/>
      <w:bookmarkEnd w:id="2217"/>
      <w:r>
        <w:rPr/>
        <w:t>Confidenti</w:t>
      </w:r>
      <w:r>
        <w:rPr/>
        <w:t>ality</w:t>
      </w:r>
    </w:p>
    <w:p>
      <w:pPr>
        <w:spacing w:before="120"/>
        <w:ind w:left="31" w:right="6587" w:firstLine="0"/>
        <w:jc w:val="center"/>
        <w:rPr>
          <w:rFonts w:ascii="Arial"/>
          <w:b/>
          <w:sz w:val="20"/>
        </w:rPr>
      </w:pPr>
      <w:r>
        <w:rPr>
          <w:rFonts w:ascii="Arial"/>
          <w:b/>
          <w:sz w:val="20"/>
        </w:rPr>
        <w:t>Note</w:t>
      </w:r>
    </w:p>
    <w:p>
      <w:pPr>
        <w:spacing w:before="120"/>
        <w:ind w:left="1352" w:right="415" w:firstLine="0"/>
        <w:jc w:val="both"/>
        <w:rPr>
          <w:sz w:val="20"/>
        </w:rPr>
      </w:pPr>
      <w:r>
        <w:rPr>
          <w:sz w:val="20"/>
        </w:rPr>
        <w:t>Clause 8.6.1(d) and (e) has no effect in this jurisdiction (see regulation 5A of the </w:t>
      </w:r>
      <w:r>
        <w:rPr>
          <w:i/>
          <w:sz w:val="20"/>
        </w:rPr>
        <w:t>National </w:t>
      </w:r>
      <w:r>
        <w:rPr>
          <w:i/>
          <w:sz w:val="20"/>
        </w:rPr>
        <w:t>Electricity (Northern Territory) (National Uniform Legislation) (Modification) Regulations)</w:t>
      </w:r>
      <w:r>
        <w:rPr>
          <w:sz w:val="20"/>
        </w:rPr>
        <w:t>.</w:t>
      </w:r>
    </w:p>
    <w:p>
      <w:pPr>
        <w:pStyle w:val="ListParagraph"/>
        <w:numPr>
          <w:ilvl w:val="3"/>
          <w:numId w:val="634"/>
        </w:numPr>
        <w:tabs>
          <w:tab w:pos="1919" w:val="left" w:leader="none"/>
        </w:tabs>
        <w:spacing w:line="240" w:lineRule="auto" w:before="120" w:after="0"/>
        <w:ind w:left="1919" w:right="413" w:hanging="567"/>
        <w:jc w:val="both"/>
        <w:rPr>
          <w:sz w:val="24"/>
        </w:rPr>
      </w:pPr>
      <w:r>
        <w:rPr>
          <w:sz w:val="24"/>
        </w:rPr>
        <w:t>Each </w:t>
      </w:r>
      <w:r>
        <w:rPr>
          <w:i/>
          <w:sz w:val="24"/>
        </w:rPr>
        <w:t>Registered Participant </w:t>
      </w:r>
      <w:r>
        <w:rPr>
          <w:sz w:val="24"/>
        </w:rPr>
        <w:t>must use all reasonable endeavours to keep confidential any </w:t>
      </w:r>
      <w:r>
        <w:rPr>
          <w:i/>
          <w:sz w:val="24"/>
        </w:rPr>
        <w:t>confidential information </w:t>
      </w:r>
      <w:r>
        <w:rPr>
          <w:sz w:val="24"/>
        </w:rPr>
        <w:t>that comes into the possession or control of the </w:t>
      </w:r>
      <w:r>
        <w:rPr>
          <w:i/>
          <w:sz w:val="24"/>
        </w:rPr>
        <w:t>Registered Participant </w:t>
      </w:r>
      <w:r>
        <w:rPr>
          <w:sz w:val="24"/>
        </w:rPr>
        <w:t>or of which the </w:t>
      </w:r>
      <w:r>
        <w:rPr>
          <w:i/>
          <w:sz w:val="24"/>
        </w:rPr>
        <w:t>Registered Participant </w:t>
      </w:r>
      <w:r>
        <w:rPr>
          <w:sz w:val="24"/>
        </w:rPr>
        <w:t>becomes</w:t>
      </w:r>
      <w:r>
        <w:rPr>
          <w:spacing w:val="-1"/>
          <w:sz w:val="24"/>
        </w:rPr>
        <w:t> </w:t>
      </w:r>
      <w:r>
        <w:rPr>
          <w:sz w:val="24"/>
        </w:rPr>
        <w:t>aware.</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A </w:t>
      </w:r>
      <w:r>
        <w:rPr>
          <w:i/>
          <w:sz w:val="24"/>
        </w:rPr>
        <w:t>Registered</w:t>
      </w:r>
      <w:r>
        <w:rPr>
          <w:i/>
          <w:spacing w:val="-1"/>
          <w:sz w:val="24"/>
        </w:rPr>
        <w:t> </w:t>
      </w:r>
      <w:r>
        <w:rPr>
          <w:i/>
          <w:sz w:val="24"/>
        </w:rPr>
        <w:t>Participant</w:t>
      </w:r>
      <w:r>
        <w:rPr>
          <w:sz w:val="24"/>
        </w:rPr>
        <w: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not disclose </w:t>
      </w:r>
      <w:r>
        <w:rPr>
          <w:i/>
          <w:sz w:val="24"/>
        </w:rPr>
        <w:t>confidential information </w:t>
      </w:r>
      <w:r>
        <w:rPr>
          <w:sz w:val="24"/>
        </w:rPr>
        <w:t>to any person except as permitted by the</w:t>
      </w:r>
      <w:r>
        <w:rPr>
          <w:spacing w:val="-1"/>
          <w:sz w:val="24"/>
        </w:rPr>
        <w:t> </w:t>
      </w:r>
      <w:r>
        <w:rPr>
          <w:i/>
          <w:sz w:val="24"/>
        </w:rPr>
        <w:t>Rules</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only use or reproduce </w:t>
      </w:r>
      <w:r>
        <w:rPr>
          <w:i/>
          <w:sz w:val="24"/>
        </w:rPr>
        <w:t>confidential information </w:t>
      </w:r>
      <w:r>
        <w:rPr>
          <w:sz w:val="24"/>
        </w:rPr>
        <w:t>for the purpose for which it was disclosed or another purpose contemplated by the </w:t>
      </w:r>
      <w:r>
        <w:rPr>
          <w:i/>
          <w:sz w:val="24"/>
        </w:rPr>
        <w:t>Rules</w:t>
      </w:r>
      <w:r>
        <w:rPr>
          <w:sz w:val="24"/>
        </w:rPr>
        <w:t>;</w:t>
      </w:r>
      <w:r>
        <w:rPr>
          <w:spacing w:val="-1"/>
          <w:sz w:val="24"/>
        </w:rPr>
        <w:t> </w:t>
      </w:r>
      <w:r>
        <w:rPr>
          <w:sz w:val="24"/>
        </w:rPr>
        <w:t>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not permit unauthorised persons to have access to </w:t>
      </w:r>
      <w:r>
        <w:rPr>
          <w:i/>
          <w:sz w:val="24"/>
        </w:rPr>
        <w:t>confidential </w:t>
      </w:r>
      <w:r>
        <w:rPr>
          <w:i/>
          <w:sz w:val="24"/>
        </w:rPr>
        <w:t>information</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Each </w:t>
      </w:r>
      <w:r>
        <w:rPr>
          <w:i/>
          <w:sz w:val="24"/>
        </w:rPr>
        <w:t>Registered Participant </w:t>
      </w:r>
      <w:r>
        <w:rPr>
          <w:sz w:val="24"/>
        </w:rPr>
        <w:t>must use all reasonable</w:t>
      </w:r>
      <w:r>
        <w:rPr>
          <w:spacing w:val="-2"/>
          <w:sz w:val="24"/>
        </w:rPr>
        <w:t> </w:t>
      </w:r>
      <w:r>
        <w:rPr>
          <w:sz w:val="24"/>
        </w:rPr>
        <w:t>endeavours:</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to prevent unauthorised access to </w:t>
      </w:r>
      <w:r>
        <w:rPr>
          <w:i/>
          <w:sz w:val="24"/>
        </w:rPr>
        <w:t>confidential information </w:t>
      </w:r>
      <w:r>
        <w:rPr>
          <w:sz w:val="24"/>
        </w:rPr>
        <w:t>which is in the possession or control of that </w:t>
      </w:r>
      <w:r>
        <w:rPr>
          <w:i/>
          <w:sz w:val="24"/>
        </w:rPr>
        <w:t>Registered Participant</w:t>
      </w:r>
      <w:r>
        <w:rPr>
          <w:sz w:val="24"/>
        </w:rPr>
        <w:t>;</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to ensure that any person to whom it discloses </w:t>
      </w:r>
      <w:r>
        <w:rPr>
          <w:i/>
          <w:sz w:val="24"/>
        </w:rPr>
        <w:t>confidential </w:t>
      </w:r>
      <w:r>
        <w:rPr>
          <w:i/>
          <w:sz w:val="24"/>
        </w:rPr>
        <w:t>information </w:t>
      </w:r>
      <w:r>
        <w:rPr>
          <w:sz w:val="24"/>
        </w:rPr>
        <w:t>observes the provisions of this rule 8.6 in relation to that information.</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The officers of a </w:t>
      </w:r>
      <w:r>
        <w:rPr>
          <w:i/>
          <w:sz w:val="24"/>
        </w:rPr>
        <w:t>Transmission Network Service Provider </w:t>
      </w:r>
      <w:r>
        <w:rPr>
          <w:sz w:val="24"/>
        </w:rPr>
        <w:t>participating in </w:t>
      </w:r>
      <w:r>
        <w:rPr>
          <w:i/>
          <w:sz w:val="24"/>
        </w:rPr>
        <w:t>transmission service </w:t>
      </w:r>
      <w:r>
        <w:rPr>
          <w:sz w:val="24"/>
        </w:rPr>
        <w:t>pricing must not be involved in or associated with competitive electricity trading activities of any other </w:t>
      </w:r>
      <w:r>
        <w:rPr>
          <w:i/>
          <w:sz w:val="24"/>
        </w:rPr>
        <w:t>Registered</w:t>
      </w:r>
      <w:r>
        <w:rPr>
          <w:i/>
          <w:spacing w:val="-8"/>
          <w:sz w:val="24"/>
        </w:rPr>
        <w:t> </w:t>
      </w:r>
      <w:r>
        <w:rPr>
          <w:i/>
          <w:sz w:val="24"/>
        </w:rPr>
        <w:t>Participant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3"/>
          <w:numId w:val="634"/>
        </w:numPr>
        <w:tabs>
          <w:tab w:pos="1919" w:val="left" w:leader="none"/>
        </w:tabs>
        <w:spacing w:line="240" w:lineRule="auto" w:before="83" w:after="0"/>
        <w:ind w:left="1919" w:right="415" w:hanging="567"/>
        <w:jc w:val="both"/>
        <w:rPr>
          <w:sz w:val="24"/>
        </w:rPr>
      </w:pPr>
      <w:r>
        <w:rPr>
          <w:sz w:val="24"/>
        </w:rPr>
        <w:t>A </w:t>
      </w:r>
      <w:r>
        <w:rPr>
          <w:i/>
          <w:sz w:val="24"/>
        </w:rPr>
        <w:t>Transmission Network Service Provider </w:t>
      </w:r>
      <w:r>
        <w:rPr>
          <w:sz w:val="24"/>
        </w:rPr>
        <w:t>participating in </w:t>
      </w:r>
      <w:r>
        <w:rPr>
          <w:i/>
          <w:sz w:val="24"/>
        </w:rPr>
        <w:t>transmission </w:t>
      </w:r>
      <w:r>
        <w:rPr>
          <w:i/>
          <w:sz w:val="24"/>
        </w:rPr>
        <w:t>service </w:t>
      </w:r>
      <w:r>
        <w:rPr>
          <w:sz w:val="24"/>
        </w:rPr>
        <w:t>pricing must provide to any </w:t>
      </w:r>
      <w:r>
        <w:rPr>
          <w:i/>
          <w:sz w:val="24"/>
        </w:rPr>
        <w:t>Transmission Network Service Provider </w:t>
      </w:r>
      <w:r>
        <w:rPr>
          <w:sz w:val="24"/>
        </w:rPr>
        <w:t>or </w:t>
      </w:r>
      <w:r>
        <w:rPr>
          <w:i/>
          <w:sz w:val="24"/>
        </w:rPr>
        <w:t>Registered Participant </w:t>
      </w:r>
      <w:r>
        <w:rPr>
          <w:sz w:val="24"/>
        </w:rPr>
        <w:t>which supplies information for </w:t>
      </w:r>
      <w:r>
        <w:rPr>
          <w:i/>
          <w:sz w:val="24"/>
        </w:rPr>
        <w:t>transmission </w:t>
      </w:r>
      <w:r>
        <w:rPr>
          <w:i/>
          <w:sz w:val="24"/>
        </w:rPr>
        <w:t>service </w:t>
      </w:r>
      <w:r>
        <w:rPr>
          <w:sz w:val="24"/>
        </w:rPr>
        <w:t>pricing an undertaking that the </w:t>
      </w:r>
      <w:r>
        <w:rPr>
          <w:i/>
          <w:sz w:val="24"/>
        </w:rPr>
        <w:t>Transmission Network Service </w:t>
      </w:r>
      <w:r>
        <w:rPr>
          <w:i/>
          <w:sz w:val="24"/>
        </w:rPr>
        <w:t>Provider </w:t>
      </w:r>
      <w:r>
        <w:rPr>
          <w:sz w:val="24"/>
        </w:rPr>
        <w:t>to which that information was supplied will comply with the confidentiality requirements set out in clause</w:t>
      </w:r>
      <w:r>
        <w:rPr>
          <w:spacing w:val="-2"/>
          <w:sz w:val="24"/>
        </w:rPr>
        <w:t> </w:t>
      </w:r>
      <w:r>
        <w:rPr>
          <w:sz w:val="24"/>
        </w:rPr>
        <w:t>6.9.2.</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BodyText"/>
        <w:spacing w:before="10"/>
        <w:ind w:firstLine="0"/>
        <w:jc w:val="left"/>
        <w:rPr>
          <w:sz w:val="20"/>
        </w:rPr>
      </w:pPr>
    </w:p>
    <w:p>
      <w:pPr>
        <w:pStyle w:val="Heading4"/>
        <w:numPr>
          <w:ilvl w:val="2"/>
          <w:numId w:val="635"/>
        </w:numPr>
        <w:tabs>
          <w:tab w:pos="753" w:val="left" w:leader="none"/>
          <w:tab w:pos="1351" w:val="left" w:leader="none"/>
        </w:tabs>
        <w:spacing w:line="240" w:lineRule="auto" w:before="0" w:after="0"/>
        <w:ind w:left="752" w:right="0" w:hanging="535"/>
        <w:jc w:val="left"/>
      </w:pPr>
      <w:bookmarkStart w:name="8.6.1A Application" w:id="2218"/>
      <w:bookmarkEnd w:id="2218"/>
      <w:r>
        <w:rPr>
          <w:b w:val="0"/>
        </w:rPr>
      </w:r>
      <w:bookmarkStart w:name="_bookmark928" w:id="2219"/>
      <w:bookmarkEnd w:id="2219"/>
      <w:r>
        <w:rPr>
          <w:b w:val="0"/>
        </w:rPr>
      </w:r>
      <w:bookmarkStart w:name="_bookmark928" w:id="2220"/>
      <w:bookmarkEnd w:id="2220"/>
      <w:r>
        <w:rPr/>
        <w:t>A</w:t>
      </w:r>
      <w:r>
        <w:rPr/>
        <w:tab/>
        <w:t>Application</w:t>
      </w:r>
    </w:p>
    <w:p>
      <w:pPr>
        <w:spacing w:before="120"/>
        <w:ind w:left="1352" w:right="415" w:firstLine="0"/>
        <w:jc w:val="both"/>
        <w:rPr>
          <w:sz w:val="24"/>
        </w:rPr>
      </w:pPr>
      <w:r>
        <w:rPr>
          <w:sz w:val="24"/>
        </w:rPr>
        <w:t>For the purposes of this Part only, "</w:t>
      </w:r>
      <w:r>
        <w:rPr>
          <w:i/>
          <w:sz w:val="24"/>
        </w:rPr>
        <w:t>Registered Participant</w:t>
      </w:r>
      <w:r>
        <w:rPr>
          <w:sz w:val="24"/>
        </w:rPr>
        <w:t>" is deemed to include not just </w:t>
      </w:r>
      <w:r>
        <w:rPr>
          <w:i/>
          <w:sz w:val="24"/>
        </w:rPr>
        <w:t>Registered Participants </w:t>
      </w:r>
      <w:r>
        <w:rPr>
          <w:sz w:val="24"/>
        </w:rPr>
        <w:t>but also </w:t>
      </w:r>
      <w:r>
        <w:rPr>
          <w:i/>
          <w:sz w:val="24"/>
        </w:rPr>
        <w:t>Metering Providers </w:t>
      </w:r>
      <w:r>
        <w:rPr>
          <w:sz w:val="24"/>
        </w:rPr>
        <w:t>and </w:t>
      </w:r>
      <w:r>
        <w:rPr>
          <w:i/>
          <w:sz w:val="24"/>
        </w:rPr>
        <w:t>Metering Data </w:t>
      </w:r>
      <w:r>
        <w:rPr>
          <w:i/>
          <w:sz w:val="24"/>
        </w:rPr>
        <w:t>Providers</w:t>
      </w:r>
      <w:r>
        <w:rPr>
          <w:sz w:val="24"/>
        </w:rPr>
        <w:t>.</w:t>
      </w:r>
    </w:p>
    <w:p>
      <w:pPr>
        <w:pStyle w:val="BodyText"/>
        <w:spacing w:before="10"/>
        <w:ind w:firstLine="0"/>
        <w:jc w:val="left"/>
        <w:rPr>
          <w:sz w:val="20"/>
        </w:rPr>
      </w:pPr>
    </w:p>
    <w:p>
      <w:pPr>
        <w:pStyle w:val="Heading4"/>
        <w:numPr>
          <w:ilvl w:val="2"/>
          <w:numId w:val="635"/>
        </w:numPr>
        <w:tabs>
          <w:tab w:pos="1351" w:val="left" w:leader="none"/>
          <w:tab w:pos="1352" w:val="left" w:leader="none"/>
        </w:tabs>
        <w:spacing w:line="240" w:lineRule="auto" w:before="0" w:after="0"/>
        <w:ind w:left="1351" w:right="0" w:hanging="1134"/>
        <w:jc w:val="left"/>
      </w:pPr>
      <w:bookmarkStart w:name="8.6.2 Exceptions" w:id="2221"/>
      <w:bookmarkEnd w:id="2221"/>
      <w:r>
        <w:rPr>
          <w:b w:val="0"/>
        </w:rPr>
      </w:r>
      <w:bookmarkStart w:name="_bookmark929" w:id="2222"/>
      <w:bookmarkEnd w:id="2222"/>
      <w:r>
        <w:rPr>
          <w:b w:val="0"/>
        </w:rPr>
      </w:r>
      <w:bookmarkStart w:name="_bookmark929" w:id="2223"/>
      <w:bookmarkEnd w:id="2223"/>
      <w:r>
        <w:rPr/>
        <w:t>Exceptions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8.6.2(l) has no effect in this jurisdiction (see regulation 5A of the </w:t>
      </w:r>
      <w:r>
        <w:rPr>
          <w:i/>
          <w:sz w:val="20"/>
        </w:rPr>
        <w:t>National Electricity </w:t>
      </w:r>
      <w:r>
        <w:rPr>
          <w:i/>
          <w:sz w:val="20"/>
        </w:rPr>
        <w:t>(Northern Territory) (National Uniform Legislation) (Modification) Regulations)</w:t>
      </w:r>
      <w:r>
        <w:rPr>
          <w:sz w:val="20"/>
        </w:rPr>
        <w:t>.</w:t>
      </w:r>
    </w:p>
    <w:p>
      <w:pPr>
        <w:pStyle w:val="BodyText"/>
        <w:ind w:left="1352" w:firstLine="0"/>
      </w:pPr>
      <w:r>
        <w:rPr/>
        <w:t>This rule 8.6 does not prevent:</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w:t>
      </w:r>
      <w:r>
        <w:rPr>
          <w:b/>
          <w:sz w:val="24"/>
        </w:rPr>
        <w:t>public domain</w:t>
      </w:r>
      <w:r>
        <w:rPr>
          <w:sz w:val="24"/>
        </w:rPr>
        <w:t>): the disclosure, use or reproduction of information if the relevant information is at the time generally and publicly available other than as a result of breach of confidence by the </w:t>
      </w:r>
      <w:r>
        <w:rPr>
          <w:i/>
          <w:sz w:val="24"/>
        </w:rPr>
        <w:t>Registered Participant </w:t>
      </w:r>
      <w:r>
        <w:rPr>
          <w:sz w:val="24"/>
        </w:rPr>
        <w:t>who wishes to disclose, use or reproduce the information or any person to whom the </w:t>
      </w:r>
      <w:r>
        <w:rPr>
          <w:i/>
          <w:sz w:val="24"/>
        </w:rPr>
        <w:t>Registered Participant </w:t>
      </w:r>
      <w:r>
        <w:rPr>
          <w:sz w:val="24"/>
        </w:rPr>
        <w:t>has disclosed the</w:t>
      </w:r>
      <w:r>
        <w:rPr>
          <w:spacing w:val="-2"/>
          <w:sz w:val="24"/>
        </w:rPr>
        <w:t> </w:t>
      </w:r>
      <w:r>
        <w:rPr>
          <w:sz w:val="24"/>
        </w:rPr>
        <w:t>information;</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w:t>
      </w:r>
      <w:r>
        <w:rPr>
          <w:b/>
          <w:sz w:val="24"/>
        </w:rPr>
        <w:t>employees and advisers</w:t>
      </w:r>
      <w:r>
        <w:rPr>
          <w:sz w:val="24"/>
        </w:rPr>
        <w:t>): the disclosure of information by a </w:t>
      </w:r>
      <w:r>
        <w:rPr>
          <w:i/>
          <w:sz w:val="24"/>
        </w:rPr>
        <w:t>Registered </w:t>
      </w:r>
      <w:r>
        <w:rPr>
          <w:i/>
          <w:sz w:val="24"/>
        </w:rPr>
        <w:t>Participant </w:t>
      </w:r>
      <w:r>
        <w:rPr>
          <w:sz w:val="24"/>
        </w:rPr>
        <w:t>or the </w:t>
      </w:r>
      <w:r>
        <w:rPr>
          <w:i/>
          <w:sz w:val="24"/>
        </w:rPr>
        <w:t>Registered Participant's Disclosees</w:t>
      </w:r>
      <w:r>
        <w:rPr>
          <w:i/>
          <w:spacing w:val="-3"/>
          <w:sz w:val="24"/>
        </w:rPr>
        <w:t> </w:t>
      </w:r>
      <w:r>
        <w:rPr>
          <w:sz w:val="24"/>
        </w:rPr>
        <w:t>to:</w:t>
      </w:r>
    </w:p>
    <w:p>
      <w:pPr>
        <w:pStyle w:val="ListParagraph"/>
        <w:numPr>
          <w:ilvl w:val="4"/>
          <w:numId w:val="635"/>
        </w:numPr>
        <w:tabs>
          <w:tab w:pos="2486" w:val="left" w:leader="none"/>
        </w:tabs>
        <w:spacing w:line="240" w:lineRule="auto" w:before="120" w:after="0"/>
        <w:ind w:left="2486" w:right="415" w:hanging="567"/>
        <w:jc w:val="both"/>
        <w:rPr>
          <w:sz w:val="24"/>
        </w:rPr>
      </w:pPr>
      <w:r>
        <w:rPr>
          <w:sz w:val="24"/>
        </w:rPr>
        <w:t>an employee or officer of the </w:t>
      </w:r>
      <w:r>
        <w:rPr>
          <w:i/>
          <w:sz w:val="24"/>
        </w:rPr>
        <w:t>Registered Participant </w:t>
      </w:r>
      <w:r>
        <w:rPr>
          <w:sz w:val="24"/>
        </w:rPr>
        <w:t>or a </w:t>
      </w:r>
      <w:r>
        <w:rPr>
          <w:i/>
          <w:sz w:val="24"/>
        </w:rPr>
        <w:t>related </w:t>
      </w:r>
      <w:r>
        <w:rPr>
          <w:i/>
          <w:spacing w:val="-3"/>
          <w:sz w:val="24"/>
        </w:rPr>
        <w:t>body </w:t>
      </w:r>
      <w:r>
        <w:rPr>
          <w:i/>
          <w:sz w:val="24"/>
        </w:rPr>
        <w:t>corporate </w:t>
      </w:r>
      <w:r>
        <w:rPr>
          <w:sz w:val="24"/>
        </w:rPr>
        <w:t>of the </w:t>
      </w:r>
      <w:r>
        <w:rPr>
          <w:i/>
          <w:sz w:val="24"/>
        </w:rPr>
        <w:t>Registered Participant</w:t>
      </w:r>
      <w:r>
        <w:rPr>
          <w:sz w:val="24"/>
        </w:rPr>
        <w:t>;</w:t>
      </w:r>
      <w:r>
        <w:rPr>
          <w:spacing w:val="-2"/>
          <w:sz w:val="24"/>
        </w:rPr>
        <w:t> </w:t>
      </w:r>
      <w:r>
        <w:rPr>
          <w:sz w:val="24"/>
        </w:rPr>
        <w:t>or</w:t>
      </w:r>
    </w:p>
    <w:p>
      <w:pPr>
        <w:pStyle w:val="ListParagraph"/>
        <w:numPr>
          <w:ilvl w:val="4"/>
          <w:numId w:val="635"/>
        </w:numPr>
        <w:tabs>
          <w:tab w:pos="2486" w:val="left" w:leader="none"/>
        </w:tabs>
        <w:spacing w:line="240" w:lineRule="auto" w:before="120" w:after="0"/>
        <w:ind w:left="2486" w:right="415" w:hanging="567"/>
        <w:jc w:val="both"/>
        <w:rPr>
          <w:sz w:val="24"/>
        </w:rPr>
      </w:pPr>
      <w:r>
        <w:rPr>
          <w:sz w:val="24"/>
        </w:rPr>
        <w:t>a legal or other professional adviser, auditor or other consultant (in this clause 8.6.2(b) called </w:t>
      </w:r>
      <w:r>
        <w:rPr>
          <w:b/>
          <w:sz w:val="24"/>
        </w:rPr>
        <w:t>Consultants</w:t>
      </w:r>
      <w:r>
        <w:rPr>
          <w:sz w:val="24"/>
        </w:rPr>
        <w:t>) of the </w:t>
      </w:r>
      <w:r>
        <w:rPr>
          <w:i/>
          <w:sz w:val="24"/>
        </w:rPr>
        <w:t>Registered</w:t>
      </w:r>
      <w:r>
        <w:rPr>
          <w:i/>
          <w:spacing w:val="-6"/>
          <w:sz w:val="24"/>
        </w:rPr>
        <w:t> </w:t>
      </w:r>
      <w:r>
        <w:rPr>
          <w:i/>
          <w:sz w:val="24"/>
        </w:rPr>
        <w:t>Participant</w:t>
      </w:r>
      <w:r>
        <w:rPr>
          <w:sz w:val="24"/>
        </w:rPr>
        <w:t>,</w:t>
      </w:r>
    </w:p>
    <w:p>
      <w:pPr>
        <w:spacing w:before="120"/>
        <w:ind w:left="1919" w:right="414" w:firstLine="0"/>
        <w:jc w:val="both"/>
        <w:rPr>
          <w:sz w:val="24"/>
        </w:rPr>
      </w:pPr>
      <w:r>
        <w:rPr>
          <w:sz w:val="24"/>
        </w:rPr>
        <w:t>which require the information for the purposes of the </w:t>
      </w:r>
      <w:r>
        <w:rPr>
          <w:i/>
          <w:sz w:val="24"/>
        </w:rPr>
        <w:t>Rules</w:t>
      </w:r>
      <w:r>
        <w:rPr>
          <w:sz w:val="24"/>
        </w:rPr>
        <w:t>, or for the purpose of advising the </w:t>
      </w:r>
      <w:r>
        <w:rPr>
          <w:i/>
          <w:sz w:val="24"/>
        </w:rPr>
        <w:t>Registered Participant </w:t>
      </w:r>
      <w:r>
        <w:rPr>
          <w:sz w:val="24"/>
        </w:rPr>
        <w:t>or the </w:t>
      </w:r>
      <w:r>
        <w:rPr>
          <w:i/>
          <w:sz w:val="24"/>
        </w:rPr>
        <w:t>Registered </w:t>
      </w:r>
      <w:r>
        <w:rPr>
          <w:i/>
          <w:sz w:val="24"/>
        </w:rPr>
        <w:t>Participant's Disclosee </w:t>
      </w:r>
      <w:r>
        <w:rPr>
          <w:sz w:val="24"/>
        </w:rPr>
        <w:t>in relation thereto;</w:t>
      </w:r>
    </w:p>
    <w:p>
      <w:pPr>
        <w:spacing w:before="120"/>
        <w:ind w:left="1919" w:right="415" w:hanging="567"/>
        <w:jc w:val="both"/>
        <w:rPr>
          <w:sz w:val="24"/>
        </w:rPr>
      </w:pPr>
      <w:r>
        <w:rPr>
          <w:sz w:val="24"/>
        </w:rPr>
        <w:t>(b1)  (</w:t>
      </w:r>
      <w:r>
        <w:rPr>
          <w:b/>
          <w:sz w:val="24"/>
        </w:rPr>
        <w:t>service providers</w:t>
      </w:r>
      <w:r>
        <w:rPr>
          <w:sz w:val="24"/>
        </w:rPr>
        <w:t>): the disclosure of </w:t>
      </w:r>
      <w:r>
        <w:rPr>
          <w:i/>
          <w:sz w:val="24"/>
        </w:rPr>
        <w:t>NMI Standing Data </w:t>
      </w:r>
      <w:r>
        <w:rPr>
          <w:sz w:val="24"/>
        </w:rPr>
        <w:t>or the provision  of means to gain electronic access to that data by a </w:t>
      </w:r>
      <w:r>
        <w:rPr>
          <w:i/>
          <w:sz w:val="24"/>
        </w:rPr>
        <w:t>Customer </w:t>
      </w:r>
      <w:r>
        <w:rPr>
          <w:sz w:val="24"/>
        </w:rPr>
        <w:t>or the </w:t>
      </w:r>
      <w:r>
        <w:rPr>
          <w:i/>
          <w:sz w:val="24"/>
        </w:rPr>
        <w:t>Customer's Disclosees </w:t>
      </w:r>
      <w:r>
        <w:rPr>
          <w:sz w:val="24"/>
        </w:rPr>
        <w:t>to a person who requires the </w:t>
      </w:r>
      <w:r>
        <w:rPr>
          <w:i/>
          <w:sz w:val="24"/>
        </w:rPr>
        <w:t>NMI Standing Data </w:t>
      </w:r>
      <w:r>
        <w:rPr>
          <w:sz w:val="24"/>
        </w:rPr>
        <w:t>for the purposes of providing services in connection with the </w:t>
      </w:r>
      <w:r>
        <w:rPr>
          <w:i/>
          <w:sz w:val="24"/>
        </w:rPr>
        <w:t>Customer's </w:t>
      </w:r>
      <w:r>
        <w:rPr>
          <w:sz w:val="24"/>
        </w:rPr>
        <w:t>sale of electricity to end</w:t>
      </w:r>
      <w:r>
        <w:rPr>
          <w:spacing w:val="-1"/>
          <w:sz w:val="24"/>
        </w:rPr>
        <w:t> </w:t>
      </w:r>
      <w:r>
        <w:rPr>
          <w:sz w:val="24"/>
        </w:rPr>
        <w:t>users.</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w:t>
      </w:r>
      <w:r>
        <w:rPr>
          <w:b/>
          <w:sz w:val="24"/>
        </w:rPr>
        <w:t>consent</w:t>
      </w:r>
      <w:r>
        <w:rPr>
          <w:sz w:val="24"/>
        </w:rPr>
        <w:t>): the disclosure, use or reproduction of information with the consent of the person or persons who provided the relevant information under the</w:t>
      </w:r>
      <w:r>
        <w:rPr>
          <w:spacing w:val="-1"/>
          <w:sz w:val="24"/>
        </w:rPr>
        <w:t> </w:t>
      </w:r>
      <w:r>
        <w:rPr>
          <w:i/>
          <w:sz w:val="24"/>
        </w:rPr>
        <w:t>Rules</w:t>
      </w:r>
      <w:r>
        <w:rPr>
          <w:sz w:val="24"/>
        </w:rPr>
        <w:t>;</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w:t>
      </w:r>
      <w:r>
        <w:rPr>
          <w:b/>
          <w:sz w:val="24"/>
        </w:rPr>
        <w:t>law</w:t>
      </w:r>
      <w:r>
        <w:rPr>
          <w:sz w:val="24"/>
        </w:rPr>
        <w:t>): the disclosure, use or reproduction of information to the </w:t>
      </w:r>
      <w:r>
        <w:rPr>
          <w:spacing w:val="-3"/>
          <w:sz w:val="24"/>
        </w:rPr>
        <w:t>extent </w:t>
      </w:r>
      <w:r>
        <w:rPr>
          <w:sz w:val="24"/>
        </w:rPr>
        <w:t>required by law or by a lawful requirement</w:t>
      </w:r>
      <w:r>
        <w:rPr>
          <w:spacing w:val="-1"/>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ListParagraph"/>
        <w:numPr>
          <w:ilvl w:val="4"/>
          <w:numId w:val="635"/>
        </w:numPr>
        <w:tabs>
          <w:tab w:pos="2486" w:val="left" w:leader="none"/>
        </w:tabs>
        <w:spacing w:line="240" w:lineRule="auto" w:before="83" w:after="0"/>
        <w:ind w:left="2486" w:right="415" w:hanging="567"/>
        <w:jc w:val="both"/>
        <w:rPr>
          <w:sz w:val="24"/>
        </w:rPr>
      </w:pPr>
      <w:r>
        <w:rPr>
          <w:sz w:val="24"/>
        </w:rPr>
        <w:t>any government or governmental body, authority or agency having jurisdiction over a </w:t>
      </w:r>
      <w:r>
        <w:rPr>
          <w:i/>
          <w:sz w:val="24"/>
        </w:rPr>
        <w:t>Registered Participant </w:t>
      </w:r>
      <w:r>
        <w:rPr>
          <w:sz w:val="24"/>
        </w:rPr>
        <w:t>or its </w:t>
      </w:r>
      <w:r>
        <w:rPr>
          <w:i/>
          <w:sz w:val="24"/>
        </w:rPr>
        <w:t>related bodies </w:t>
      </w:r>
      <w:r>
        <w:rPr>
          <w:i/>
          <w:sz w:val="24"/>
        </w:rPr>
        <w:t>corporate</w:t>
      </w:r>
      <w:r>
        <w:rPr>
          <w:sz w:val="24"/>
        </w:rPr>
        <w:t>; or</w:t>
      </w:r>
    </w:p>
    <w:p>
      <w:pPr>
        <w:pStyle w:val="ListParagraph"/>
        <w:numPr>
          <w:ilvl w:val="4"/>
          <w:numId w:val="635"/>
        </w:numPr>
        <w:tabs>
          <w:tab w:pos="2486" w:val="left" w:leader="none"/>
        </w:tabs>
        <w:spacing w:line="240" w:lineRule="auto" w:before="120" w:after="0"/>
        <w:ind w:left="2485" w:right="0" w:hanging="567"/>
        <w:jc w:val="both"/>
        <w:rPr>
          <w:i/>
          <w:sz w:val="24"/>
        </w:rPr>
      </w:pPr>
      <w:r>
        <w:rPr>
          <w:sz w:val="24"/>
        </w:rPr>
        <w:t>any</w:t>
      </w:r>
      <w:r>
        <w:rPr>
          <w:spacing w:val="19"/>
          <w:sz w:val="24"/>
        </w:rPr>
        <w:t> </w:t>
      </w:r>
      <w:r>
        <w:rPr>
          <w:sz w:val="24"/>
        </w:rPr>
        <w:t>stock</w:t>
      </w:r>
      <w:r>
        <w:rPr>
          <w:spacing w:val="19"/>
          <w:sz w:val="24"/>
        </w:rPr>
        <w:t> </w:t>
      </w:r>
      <w:r>
        <w:rPr>
          <w:sz w:val="24"/>
        </w:rPr>
        <w:t>exchange</w:t>
      </w:r>
      <w:r>
        <w:rPr>
          <w:spacing w:val="19"/>
          <w:sz w:val="24"/>
        </w:rPr>
        <w:t> </w:t>
      </w:r>
      <w:r>
        <w:rPr>
          <w:sz w:val="24"/>
        </w:rPr>
        <w:t>having</w:t>
      </w:r>
      <w:r>
        <w:rPr>
          <w:spacing w:val="20"/>
          <w:sz w:val="24"/>
        </w:rPr>
        <w:t> </w:t>
      </w:r>
      <w:r>
        <w:rPr>
          <w:sz w:val="24"/>
        </w:rPr>
        <w:t>jurisdiction</w:t>
      </w:r>
      <w:r>
        <w:rPr>
          <w:spacing w:val="19"/>
          <w:sz w:val="24"/>
        </w:rPr>
        <w:t> </w:t>
      </w:r>
      <w:r>
        <w:rPr>
          <w:sz w:val="24"/>
        </w:rPr>
        <w:t>over</w:t>
      </w:r>
      <w:r>
        <w:rPr>
          <w:spacing w:val="19"/>
          <w:sz w:val="24"/>
        </w:rPr>
        <w:t> </w:t>
      </w:r>
      <w:r>
        <w:rPr>
          <w:sz w:val="24"/>
        </w:rPr>
        <w:t>a</w:t>
      </w:r>
      <w:r>
        <w:rPr>
          <w:spacing w:val="19"/>
          <w:sz w:val="24"/>
        </w:rPr>
        <w:t> </w:t>
      </w:r>
      <w:r>
        <w:rPr>
          <w:i/>
          <w:sz w:val="24"/>
        </w:rPr>
        <w:t>Registered</w:t>
      </w:r>
      <w:r>
        <w:rPr>
          <w:i/>
          <w:spacing w:val="20"/>
          <w:sz w:val="24"/>
        </w:rPr>
        <w:t> </w:t>
      </w:r>
      <w:r>
        <w:rPr>
          <w:i/>
          <w:sz w:val="24"/>
        </w:rPr>
        <w:t>Participant</w:t>
      </w:r>
    </w:p>
    <w:p>
      <w:pPr>
        <w:spacing w:line="343" w:lineRule="auto" w:before="0"/>
        <w:ind w:left="1352" w:right="4232" w:firstLine="1134"/>
        <w:jc w:val="both"/>
        <w:rPr>
          <w:b/>
          <w:sz w:val="24"/>
        </w:rPr>
      </w:pPr>
      <w:r>
        <w:rPr>
          <w:sz w:val="24"/>
        </w:rPr>
        <w:t>or its </w:t>
      </w:r>
      <w:r>
        <w:rPr>
          <w:i/>
          <w:sz w:val="24"/>
        </w:rPr>
        <w:t>related bodies corporate</w:t>
      </w:r>
      <w:r>
        <w:rPr>
          <w:sz w:val="24"/>
        </w:rPr>
        <w:t>; (d1) </w:t>
      </w:r>
      <w:r>
        <w:rPr>
          <w:b/>
          <w:sz w:val="24"/>
        </w:rPr>
        <w:t>[Deleted]</w:t>
      </w:r>
    </w:p>
    <w:p>
      <w:pPr>
        <w:pStyle w:val="ListParagraph"/>
        <w:numPr>
          <w:ilvl w:val="3"/>
          <w:numId w:val="635"/>
        </w:numPr>
        <w:tabs>
          <w:tab w:pos="1919" w:val="left" w:leader="none"/>
        </w:tabs>
        <w:spacing w:line="240" w:lineRule="auto" w:before="3" w:after="0"/>
        <w:ind w:left="1919" w:right="415" w:hanging="567"/>
        <w:jc w:val="both"/>
        <w:rPr>
          <w:sz w:val="24"/>
        </w:rPr>
      </w:pPr>
      <w:r>
        <w:rPr>
          <w:sz w:val="24"/>
        </w:rPr>
        <w:t>(</w:t>
      </w:r>
      <w:r>
        <w:rPr>
          <w:b/>
          <w:sz w:val="24"/>
        </w:rPr>
        <w:t>disputes</w:t>
      </w:r>
      <w:r>
        <w:rPr>
          <w:sz w:val="24"/>
        </w:rPr>
        <w:t>): the disclosure, use or reproduction of information if required in connection with legal proceedings, arbitration, expert determination or other dispute resolution mechanism relating to the </w:t>
      </w:r>
      <w:r>
        <w:rPr>
          <w:i/>
          <w:sz w:val="24"/>
        </w:rPr>
        <w:t>Rules</w:t>
      </w:r>
      <w:r>
        <w:rPr>
          <w:sz w:val="24"/>
        </w:rPr>
        <w:t>, or for the purpose of advising a person in relation</w:t>
      </w:r>
      <w:r>
        <w:rPr>
          <w:spacing w:val="-2"/>
          <w:sz w:val="24"/>
        </w:rPr>
        <w:t> </w:t>
      </w:r>
      <w:r>
        <w:rPr>
          <w:sz w:val="24"/>
        </w:rPr>
        <w:t>thereto;</w:t>
      </w:r>
    </w:p>
    <w:p>
      <w:pPr>
        <w:pStyle w:val="ListParagraph"/>
        <w:numPr>
          <w:ilvl w:val="3"/>
          <w:numId w:val="635"/>
        </w:numPr>
        <w:tabs>
          <w:tab w:pos="1920" w:val="left" w:leader="none"/>
        </w:tabs>
        <w:spacing w:line="240" w:lineRule="auto" w:before="120" w:after="0"/>
        <w:ind w:left="1919" w:right="415" w:hanging="567"/>
        <w:jc w:val="both"/>
        <w:rPr>
          <w:sz w:val="24"/>
        </w:rPr>
      </w:pPr>
      <w:r>
        <w:rPr>
          <w:sz w:val="24"/>
        </w:rPr>
        <w:t>(</w:t>
      </w:r>
      <w:r>
        <w:rPr>
          <w:b/>
          <w:sz w:val="24"/>
        </w:rPr>
        <w:t>trivial</w:t>
      </w:r>
      <w:r>
        <w:rPr>
          <w:sz w:val="24"/>
        </w:rPr>
        <w:t>): the disclosure, use or reproduction of information which is trivial in nature;</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w:t>
      </w:r>
      <w:r>
        <w:rPr>
          <w:b/>
          <w:sz w:val="24"/>
        </w:rPr>
        <w:t>safety</w:t>
      </w:r>
      <w:r>
        <w:rPr>
          <w:sz w:val="24"/>
        </w:rPr>
        <w:t>): the disclosure of information if required to protect the safety of personnel or</w:t>
      </w:r>
      <w:r>
        <w:rPr>
          <w:spacing w:val="-1"/>
          <w:sz w:val="24"/>
        </w:rPr>
        <w:t> </w:t>
      </w:r>
      <w:r>
        <w:rPr>
          <w:sz w:val="24"/>
        </w:rPr>
        <w:t>equipment;</w:t>
      </w:r>
    </w:p>
    <w:p>
      <w:pPr>
        <w:pStyle w:val="ListParagraph"/>
        <w:numPr>
          <w:ilvl w:val="3"/>
          <w:numId w:val="635"/>
        </w:numPr>
        <w:tabs>
          <w:tab w:pos="1919" w:val="left" w:leader="none"/>
        </w:tabs>
        <w:spacing w:line="240" w:lineRule="auto" w:before="120" w:after="0"/>
        <w:ind w:left="1919" w:right="414" w:hanging="567"/>
        <w:jc w:val="both"/>
        <w:rPr>
          <w:sz w:val="24"/>
        </w:rPr>
      </w:pPr>
      <w:r>
        <w:rPr>
          <w:sz w:val="24"/>
        </w:rPr>
        <w:t>(</w:t>
      </w:r>
      <w:r>
        <w:rPr>
          <w:b/>
          <w:sz w:val="24"/>
        </w:rPr>
        <w:t>potential investment</w:t>
      </w:r>
      <w:r>
        <w:rPr>
          <w:sz w:val="24"/>
        </w:rPr>
        <w:t>): the disclosure, use or reproduction of information by or on behalf of a </w:t>
      </w:r>
      <w:r>
        <w:rPr>
          <w:i/>
          <w:sz w:val="24"/>
        </w:rPr>
        <w:t>Registered Participant </w:t>
      </w:r>
      <w:r>
        <w:rPr>
          <w:sz w:val="24"/>
        </w:rPr>
        <w:t>to the extent reasonably required in connection with the </w:t>
      </w:r>
      <w:r>
        <w:rPr>
          <w:i/>
          <w:sz w:val="24"/>
        </w:rPr>
        <w:t>Registered Participant's </w:t>
      </w:r>
      <w:r>
        <w:rPr>
          <w:sz w:val="24"/>
        </w:rPr>
        <w:t>financing arrangements, investment in that </w:t>
      </w:r>
      <w:r>
        <w:rPr>
          <w:i/>
          <w:sz w:val="24"/>
        </w:rPr>
        <w:t>Registered Participant </w:t>
      </w:r>
      <w:r>
        <w:rPr>
          <w:sz w:val="24"/>
        </w:rPr>
        <w:t>or a disposal of that </w:t>
      </w:r>
      <w:r>
        <w:rPr>
          <w:i/>
          <w:sz w:val="24"/>
        </w:rPr>
        <w:t>Registered </w:t>
      </w:r>
      <w:r>
        <w:rPr>
          <w:i/>
          <w:sz w:val="24"/>
        </w:rPr>
        <w:t>Participant's</w:t>
      </w:r>
      <w:r>
        <w:rPr>
          <w:i/>
          <w:spacing w:val="-1"/>
          <w:sz w:val="24"/>
        </w:rPr>
        <w:t> </w:t>
      </w:r>
      <w:r>
        <w:rPr>
          <w:sz w:val="24"/>
        </w:rPr>
        <w:t>assets;</w:t>
      </w:r>
    </w:p>
    <w:p>
      <w:pPr>
        <w:pStyle w:val="ListParagraph"/>
        <w:numPr>
          <w:ilvl w:val="3"/>
          <w:numId w:val="635"/>
        </w:numPr>
        <w:tabs>
          <w:tab w:pos="1919" w:val="left" w:leader="none"/>
        </w:tabs>
        <w:spacing w:line="240" w:lineRule="auto" w:before="120" w:after="0"/>
        <w:ind w:left="1919" w:right="414" w:hanging="567"/>
        <w:jc w:val="both"/>
        <w:rPr>
          <w:sz w:val="24"/>
        </w:rPr>
      </w:pPr>
      <w:r>
        <w:rPr>
          <w:sz w:val="24"/>
        </w:rPr>
        <w:t>(</w:t>
      </w:r>
      <w:r>
        <w:rPr>
          <w:b/>
          <w:sz w:val="24"/>
        </w:rPr>
        <w:t>regulator</w:t>
      </w:r>
      <w:r>
        <w:rPr>
          <w:sz w:val="24"/>
        </w:rPr>
        <w:t>): the disclosure of information to the </w:t>
      </w:r>
      <w:r>
        <w:rPr>
          <w:i/>
          <w:sz w:val="24"/>
        </w:rPr>
        <w:t>AER</w:t>
      </w:r>
      <w:r>
        <w:rPr>
          <w:sz w:val="24"/>
        </w:rPr>
        <w:t>, the </w:t>
      </w:r>
      <w:r>
        <w:rPr>
          <w:i/>
          <w:sz w:val="24"/>
        </w:rPr>
        <w:t>AEMC </w:t>
      </w:r>
      <w:r>
        <w:rPr>
          <w:sz w:val="24"/>
        </w:rPr>
        <w:t>or the </w:t>
      </w:r>
      <w:r>
        <w:rPr>
          <w:i/>
          <w:sz w:val="24"/>
        </w:rPr>
        <w:t>ACCC </w:t>
      </w:r>
      <w:r>
        <w:rPr>
          <w:sz w:val="24"/>
        </w:rPr>
        <w:t>or any other regulatory authority having jurisdiction over a </w:t>
      </w:r>
      <w:r>
        <w:rPr>
          <w:i/>
          <w:sz w:val="24"/>
        </w:rPr>
        <w:t>Registered Participant</w:t>
      </w:r>
      <w:r>
        <w:rPr>
          <w:sz w:val="24"/>
        </w:rPr>
        <w:t>, pursuant to the </w:t>
      </w:r>
      <w:r>
        <w:rPr>
          <w:i/>
          <w:sz w:val="24"/>
        </w:rPr>
        <w:t>Rules </w:t>
      </w:r>
      <w:r>
        <w:rPr>
          <w:sz w:val="24"/>
        </w:rPr>
        <w:t>or</w:t>
      </w:r>
      <w:r>
        <w:rPr>
          <w:spacing w:val="-3"/>
          <w:sz w:val="24"/>
        </w:rPr>
        <w:t> </w:t>
      </w:r>
      <w:r>
        <w:rPr>
          <w:sz w:val="24"/>
        </w:rPr>
        <w:t>otherwise;</w:t>
      </w:r>
    </w:p>
    <w:p>
      <w:pPr>
        <w:pStyle w:val="ListParagraph"/>
        <w:numPr>
          <w:ilvl w:val="3"/>
          <w:numId w:val="635"/>
        </w:numPr>
        <w:tabs>
          <w:tab w:pos="1919" w:val="left" w:leader="none"/>
        </w:tabs>
        <w:spacing w:line="240" w:lineRule="auto" w:before="120" w:after="0"/>
        <w:ind w:left="1919" w:right="414" w:hanging="567"/>
        <w:jc w:val="both"/>
        <w:rPr>
          <w:sz w:val="24"/>
        </w:rPr>
      </w:pPr>
      <w:r>
        <w:rPr>
          <w:sz w:val="24"/>
        </w:rPr>
        <w:t>(</w:t>
      </w:r>
      <w:r>
        <w:rPr>
          <w:b/>
          <w:sz w:val="24"/>
        </w:rPr>
        <w:t>reports</w:t>
      </w:r>
      <w:r>
        <w:rPr>
          <w:sz w:val="24"/>
        </w:rPr>
        <w:t>): the disclosure, use or reproduction of information of an historical nature in connection with the preparation and giving of reports under the </w:t>
      </w:r>
      <w:r>
        <w:rPr>
          <w:i/>
          <w:sz w:val="24"/>
        </w:rPr>
        <w:t>Rules</w:t>
      </w:r>
      <w:r>
        <w:rPr>
          <w:sz w:val="24"/>
        </w:rPr>
        <w:t>;</w:t>
      </w:r>
    </w:p>
    <w:p>
      <w:pPr>
        <w:pStyle w:val="ListParagraph"/>
        <w:numPr>
          <w:ilvl w:val="3"/>
          <w:numId w:val="635"/>
        </w:numPr>
        <w:tabs>
          <w:tab w:pos="1919" w:val="left" w:leader="none"/>
        </w:tabs>
        <w:spacing w:line="240" w:lineRule="auto" w:before="120" w:after="0"/>
        <w:ind w:left="1919" w:right="416" w:hanging="567"/>
        <w:jc w:val="both"/>
        <w:rPr>
          <w:sz w:val="24"/>
        </w:rPr>
      </w:pPr>
      <w:r>
        <w:rPr>
          <w:sz w:val="24"/>
        </w:rPr>
        <w:t>(</w:t>
      </w:r>
      <w:r>
        <w:rPr>
          <w:b/>
          <w:sz w:val="24"/>
        </w:rPr>
        <w:t>aggregate sum</w:t>
      </w:r>
      <w:r>
        <w:rPr>
          <w:sz w:val="24"/>
        </w:rPr>
        <w:t>): the disclosure, use or reproduction of information as an unidentifiable component of an aggregate sum;</w:t>
      </w:r>
      <w:r>
        <w:rPr>
          <w:spacing w:val="-2"/>
          <w:sz w:val="24"/>
        </w:rPr>
        <w:t> </w:t>
      </w:r>
      <w:r>
        <w:rPr>
          <w:sz w:val="24"/>
        </w:rPr>
        <w:t>and</w:t>
      </w:r>
    </w:p>
    <w:p>
      <w:pPr>
        <w:pStyle w:val="ListParagraph"/>
        <w:numPr>
          <w:ilvl w:val="3"/>
          <w:numId w:val="635"/>
        </w:numPr>
        <w:tabs>
          <w:tab w:pos="1919" w:val="left" w:leader="none"/>
        </w:tabs>
        <w:spacing w:line="240" w:lineRule="auto" w:before="120" w:after="0"/>
        <w:ind w:left="1918" w:right="0" w:hanging="567"/>
        <w:jc w:val="both"/>
        <w:rPr>
          <w:sz w:val="24"/>
        </w:rPr>
      </w:pPr>
      <w:r>
        <w:rPr>
          <w:sz w:val="24"/>
        </w:rPr>
        <w:t>(</w:t>
      </w:r>
      <w:r>
        <w:rPr>
          <w:b/>
          <w:sz w:val="24"/>
        </w:rPr>
        <w:t>profile</w:t>
      </w:r>
      <w:r>
        <w:rPr>
          <w:sz w:val="24"/>
        </w:rPr>
        <w:t>): the publication of a</w:t>
      </w:r>
      <w:r>
        <w:rPr>
          <w:spacing w:val="-2"/>
          <w:sz w:val="24"/>
        </w:rPr>
        <w:t> </w:t>
      </w:r>
      <w:r>
        <w:rPr>
          <w:i/>
          <w:sz w:val="24"/>
        </w:rPr>
        <w:t>profile</w:t>
      </w:r>
      <w:r>
        <w:rPr>
          <w:sz w:val="24"/>
        </w:rPr>
        <w:t>.</w:t>
      </w:r>
    </w:p>
    <w:p>
      <w:pPr>
        <w:pStyle w:val="Heading4"/>
        <w:numPr>
          <w:ilvl w:val="3"/>
          <w:numId w:val="635"/>
        </w:numPr>
        <w:tabs>
          <w:tab w:pos="1919" w:val="left" w:leader="none"/>
        </w:tabs>
        <w:spacing w:line="240" w:lineRule="auto" w:before="120" w:after="0"/>
        <w:ind w:left="1918" w:right="0" w:hanging="567"/>
        <w:jc w:val="both"/>
        <w:rPr>
          <w:rFonts w:ascii="Times New Roman"/>
        </w:rPr>
      </w:pPr>
      <w:r>
        <w:rPr>
          <w:rFonts w:ascii="Times New Roman"/>
        </w:rPr>
        <w:t>[Deleted]</w:t>
      </w:r>
    </w:p>
    <w:p>
      <w:pPr>
        <w:pStyle w:val="ListParagraph"/>
        <w:numPr>
          <w:ilvl w:val="3"/>
          <w:numId w:val="635"/>
        </w:numPr>
        <w:tabs>
          <w:tab w:pos="1919" w:val="left" w:leader="none"/>
        </w:tabs>
        <w:spacing w:line="240" w:lineRule="auto" w:before="120" w:after="0"/>
        <w:ind w:left="1918" w:right="0" w:hanging="567"/>
        <w:jc w:val="both"/>
        <w:rPr>
          <w:b/>
          <w:sz w:val="24"/>
        </w:rPr>
      </w:pPr>
      <w:r>
        <w:rPr>
          <w:b/>
          <w:sz w:val="24"/>
        </w:rPr>
        <w:t>[Deleted]</w:t>
      </w:r>
    </w:p>
    <w:p>
      <w:pPr>
        <w:pStyle w:val="ListParagraph"/>
        <w:numPr>
          <w:ilvl w:val="3"/>
          <w:numId w:val="635"/>
        </w:numPr>
        <w:tabs>
          <w:tab w:pos="1919" w:val="left" w:leader="none"/>
        </w:tabs>
        <w:spacing w:line="240" w:lineRule="auto" w:before="120" w:after="0"/>
        <w:ind w:left="1918" w:right="0" w:hanging="567"/>
        <w:jc w:val="both"/>
        <w:rPr>
          <w:b/>
          <w:sz w:val="24"/>
        </w:rPr>
      </w:pPr>
      <w:r>
        <w:rPr>
          <w:b/>
          <w:sz w:val="24"/>
        </w:rPr>
        <w:t>[Deleted]</w:t>
      </w:r>
    </w:p>
    <w:p>
      <w:pPr>
        <w:pStyle w:val="BodyText"/>
        <w:spacing w:before="10"/>
        <w:ind w:firstLine="0"/>
        <w:jc w:val="left"/>
        <w:rPr>
          <w:b/>
          <w:sz w:val="20"/>
        </w:rPr>
      </w:pPr>
    </w:p>
    <w:p>
      <w:pPr>
        <w:pStyle w:val="Heading4"/>
        <w:numPr>
          <w:ilvl w:val="2"/>
          <w:numId w:val="635"/>
        </w:numPr>
        <w:tabs>
          <w:tab w:pos="1351" w:val="left" w:leader="none"/>
          <w:tab w:pos="1352" w:val="left" w:leader="none"/>
        </w:tabs>
        <w:spacing w:line="240" w:lineRule="auto" w:before="0" w:after="0"/>
        <w:ind w:left="1351" w:right="0" w:hanging="1134"/>
        <w:jc w:val="left"/>
      </w:pPr>
      <w:bookmarkStart w:name="8.6.3 Conditions" w:id="2224"/>
      <w:bookmarkEnd w:id="2224"/>
      <w:r>
        <w:rPr>
          <w:b w:val="0"/>
        </w:rPr>
      </w:r>
      <w:bookmarkStart w:name="_bookmark930" w:id="2225"/>
      <w:bookmarkEnd w:id="2225"/>
      <w:r>
        <w:rPr>
          <w:b w:val="0"/>
        </w:rPr>
      </w:r>
      <w:bookmarkStart w:name="_bookmark930" w:id="2226"/>
      <w:bookmarkEnd w:id="2226"/>
      <w:r>
        <w:rPr/>
        <w:t>Conditi</w:t>
      </w:r>
      <w:r>
        <w:rPr/>
        <w:t>ons</w:t>
      </w:r>
    </w:p>
    <w:p>
      <w:pPr>
        <w:pStyle w:val="BodyText"/>
        <w:ind w:left="1352" w:right="414" w:firstLine="0"/>
      </w:pPr>
      <w:r>
        <w:rPr/>
        <w:t>In the case of a disclosure under clauses 8.6.2(b), 8.6.2(b1), 8.6.2(h), prior to making the disclosure the </w:t>
      </w:r>
      <w:r>
        <w:rPr>
          <w:i/>
        </w:rPr>
        <w:t>Registered Participant </w:t>
      </w:r>
      <w:r>
        <w:rPr/>
        <w:t>that wishes to make the disclosure must inform the proposed recipient of the confidentiality of the information and must take appropriate precautions to ensure that the proposed recipient keeps the information confidential in accordance with the provisions of this rule 8.6 and does not use the information for any purpose other than that permitted under clause 8.6.1.</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This clause is classified as a civil penalty provision under the National Electricity (South Australia) Regulations. (See clause 6(1) and Schedule 1 of the National Electricity (South Australia)</w:t>
      </w:r>
      <w:r>
        <w:rPr>
          <w:spacing w:val="-2"/>
          <w:sz w:val="20"/>
        </w:rPr>
        <w:t> </w:t>
      </w:r>
      <w:r>
        <w:rPr>
          <w:sz w:val="20"/>
        </w:rPr>
        <w:t>Regulations.)</w:t>
      </w:r>
    </w:p>
    <w:p>
      <w:pPr>
        <w:spacing w:after="0"/>
        <w:jc w:val="both"/>
        <w:rPr>
          <w:sz w:val="20"/>
        </w:rPr>
        <w:sectPr>
          <w:pgSz w:w="11910" w:h="16840"/>
          <w:pgMar w:header="686" w:footer="637" w:top="1320" w:bottom="820" w:left="1200" w:right="1000"/>
        </w:sectPr>
      </w:pPr>
    </w:p>
    <w:p>
      <w:pPr>
        <w:pStyle w:val="Heading4"/>
        <w:numPr>
          <w:ilvl w:val="2"/>
          <w:numId w:val="635"/>
        </w:numPr>
        <w:tabs>
          <w:tab w:pos="1351" w:val="left" w:leader="none"/>
          <w:tab w:pos="1352" w:val="left" w:leader="none"/>
        </w:tabs>
        <w:spacing w:line="240" w:lineRule="auto" w:before="83" w:after="0"/>
        <w:ind w:left="1351" w:right="0" w:hanging="1134"/>
        <w:jc w:val="left"/>
      </w:pPr>
      <w:bookmarkStart w:name="8.6.4 [Deleted]" w:id="2227"/>
      <w:bookmarkEnd w:id="2227"/>
      <w:r>
        <w:rPr>
          <w:b w:val="0"/>
        </w:rPr>
      </w:r>
      <w:bookmarkStart w:name="_bookmark931" w:id="2228"/>
      <w:bookmarkEnd w:id="2228"/>
      <w:r>
        <w:rPr>
          <w:b w:val="0"/>
        </w:rPr>
      </w:r>
      <w:bookmarkStart w:name="_bookmark931" w:id="2229"/>
      <w:bookmarkEnd w:id="2229"/>
      <w:r>
        <w:rPr/>
        <w:t>[Deleted]</w:t>
      </w:r>
    </w:p>
    <w:p>
      <w:pPr>
        <w:pStyle w:val="BodyText"/>
        <w:spacing w:before="10"/>
        <w:ind w:firstLine="0"/>
        <w:jc w:val="left"/>
        <w:rPr>
          <w:rFonts w:ascii="Arial"/>
          <w:b/>
          <w:sz w:val="20"/>
        </w:rPr>
      </w:pPr>
    </w:p>
    <w:p>
      <w:pPr>
        <w:pStyle w:val="Heading4"/>
        <w:numPr>
          <w:ilvl w:val="2"/>
          <w:numId w:val="635"/>
        </w:numPr>
        <w:tabs>
          <w:tab w:pos="1351" w:val="left" w:leader="none"/>
          <w:tab w:pos="1352" w:val="left" w:leader="none"/>
        </w:tabs>
        <w:spacing w:line="240" w:lineRule="auto" w:before="0" w:after="0"/>
        <w:ind w:left="1351" w:right="0" w:hanging="1134"/>
        <w:jc w:val="left"/>
      </w:pPr>
      <w:bookmarkStart w:name="8.6.5 Indemnity to AER, AEMC and AEMO" w:id="2230"/>
      <w:bookmarkEnd w:id="2230"/>
      <w:r>
        <w:rPr>
          <w:b w:val="0"/>
        </w:rPr>
      </w:r>
      <w:bookmarkStart w:name="_bookmark932" w:id="2231"/>
      <w:bookmarkEnd w:id="2231"/>
      <w:r>
        <w:rPr>
          <w:b w:val="0"/>
        </w:rPr>
      </w:r>
      <w:bookmarkStart w:name="_bookmark932" w:id="2232"/>
      <w:bookmarkEnd w:id="2232"/>
      <w:r>
        <w:rPr/>
        <w:t>Indemn</w:t>
      </w:r>
      <w:r>
        <w:rPr/>
        <w:t>ity to AER, AEMC and</w:t>
      </w:r>
      <w:r>
        <w:rPr>
          <w:spacing w:val="-6"/>
        </w:rPr>
        <w:t> </w:t>
      </w:r>
      <w:r>
        <w:rPr/>
        <w:t>AEMO</w:t>
      </w:r>
    </w:p>
    <w:p>
      <w:pPr>
        <w:spacing w:before="120"/>
        <w:ind w:left="1352" w:right="414" w:firstLine="0"/>
        <w:jc w:val="both"/>
        <w:rPr>
          <w:sz w:val="24"/>
        </w:rPr>
      </w:pPr>
      <w:r>
        <w:rPr>
          <w:sz w:val="24"/>
        </w:rPr>
        <w:t>Each </w:t>
      </w:r>
      <w:r>
        <w:rPr>
          <w:i/>
          <w:sz w:val="24"/>
        </w:rPr>
        <w:t>Registered Participant </w:t>
      </w:r>
      <w:r>
        <w:rPr>
          <w:sz w:val="24"/>
        </w:rPr>
        <w:t>must indemnify the </w:t>
      </w:r>
      <w:r>
        <w:rPr>
          <w:i/>
          <w:sz w:val="24"/>
        </w:rPr>
        <w:t>AER </w:t>
      </w:r>
      <w:r>
        <w:rPr>
          <w:sz w:val="24"/>
        </w:rPr>
        <w:t>and the </w:t>
      </w:r>
      <w:r>
        <w:rPr>
          <w:i/>
          <w:sz w:val="24"/>
        </w:rPr>
        <w:t>AEMC </w:t>
      </w:r>
      <w:r>
        <w:rPr>
          <w:sz w:val="24"/>
        </w:rPr>
        <w:t>against any claim, action, damage, loss, liability, expense or outgoing which the </w:t>
      </w:r>
      <w:r>
        <w:rPr>
          <w:i/>
          <w:sz w:val="24"/>
        </w:rPr>
        <w:t>AER </w:t>
      </w:r>
      <w:r>
        <w:rPr>
          <w:sz w:val="24"/>
        </w:rPr>
        <w:t>or the </w:t>
      </w:r>
      <w:r>
        <w:rPr>
          <w:i/>
          <w:sz w:val="24"/>
        </w:rPr>
        <w:t>AEMC </w:t>
      </w:r>
      <w:r>
        <w:rPr>
          <w:sz w:val="24"/>
        </w:rPr>
        <w:t>pays, suffers, incurs or is liable for in respect of any breach by that </w:t>
      </w:r>
      <w:r>
        <w:rPr>
          <w:i/>
          <w:sz w:val="24"/>
        </w:rPr>
        <w:t>Registered Participant </w:t>
      </w:r>
      <w:r>
        <w:rPr>
          <w:sz w:val="24"/>
        </w:rPr>
        <w:t>or any officer, agent or employee of that </w:t>
      </w:r>
      <w:r>
        <w:rPr>
          <w:i/>
          <w:sz w:val="24"/>
        </w:rPr>
        <w:t>Registered </w:t>
      </w:r>
      <w:r>
        <w:rPr>
          <w:i/>
          <w:sz w:val="24"/>
        </w:rPr>
        <w:t>Participant </w:t>
      </w:r>
      <w:r>
        <w:rPr>
          <w:sz w:val="24"/>
        </w:rPr>
        <w:t>of this rule 8.6.</w:t>
      </w:r>
    </w:p>
    <w:p>
      <w:pPr>
        <w:pStyle w:val="BodyText"/>
        <w:spacing w:before="10"/>
        <w:ind w:firstLine="0"/>
        <w:jc w:val="left"/>
        <w:rPr>
          <w:sz w:val="20"/>
        </w:rPr>
      </w:pPr>
    </w:p>
    <w:p>
      <w:pPr>
        <w:pStyle w:val="Heading4"/>
        <w:numPr>
          <w:ilvl w:val="2"/>
          <w:numId w:val="635"/>
        </w:numPr>
        <w:tabs>
          <w:tab w:pos="1351" w:val="left" w:leader="none"/>
          <w:tab w:pos="1352" w:val="left" w:leader="none"/>
        </w:tabs>
        <w:spacing w:line="240" w:lineRule="auto" w:before="0" w:after="0"/>
        <w:ind w:left="1351" w:right="0" w:hanging="1134"/>
        <w:jc w:val="left"/>
      </w:pPr>
      <w:bookmarkStart w:name="8.6.6 AEMO information" w:id="2233"/>
      <w:bookmarkEnd w:id="2233"/>
      <w:r>
        <w:rPr>
          <w:b w:val="0"/>
        </w:rPr>
      </w:r>
      <w:bookmarkStart w:name="_bookmark933" w:id="2234"/>
      <w:bookmarkEnd w:id="2234"/>
      <w:r>
        <w:rPr>
          <w:b w:val="0"/>
        </w:rPr>
      </w:r>
      <w:bookmarkStart w:name="_bookmark933" w:id="2235"/>
      <w:bookmarkEnd w:id="2235"/>
      <w:r>
        <w:rPr/>
        <w:t>AEM</w:t>
      </w:r>
      <w:r>
        <w:rPr/>
        <w:t>O</w:t>
      </w:r>
      <w:r>
        <w:rPr>
          <w:spacing w:val="-2"/>
        </w:rPr>
        <w:t> </w:t>
      </w:r>
      <w:r>
        <w:rPr/>
        <w:t>information</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clause has no effect in this jurisdiction (see regulation 5A of the </w:t>
      </w:r>
      <w:r>
        <w:rPr>
          <w:i/>
          <w:sz w:val="20"/>
        </w:rPr>
        <w:t>National Electricity </w:t>
      </w:r>
      <w:r>
        <w:rPr>
          <w:i/>
          <w:sz w:val="20"/>
        </w:rPr>
        <w:t>(Northern Territory) (National Uniform Legislation) (Modification) Regulations)</w:t>
      </w:r>
      <w:r>
        <w:rPr>
          <w:sz w:val="20"/>
        </w:rPr>
        <w:t>.</w:t>
      </w:r>
    </w:p>
    <w:p>
      <w:pPr>
        <w:pStyle w:val="BodyText"/>
        <w:ind w:left="1352" w:firstLine="0"/>
      </w:pPr>
      <w:r>
        <w:rPr>
          <w:i/>
        </w:rPr>
        <w:t>AEMO </w:t>
      </w:r>
      <w:r>
        <w:rPr/>
        <w:t>must develop and, to the extent practicable, implement a policy:</w:t>
      </w:r>
    </w:p>
    <w:p>
      <w:pPr>
        <w:pStyle w:val="ListParagraph"/>
        <w:numPr>
          <w:ilvl w:val="3"/>
          <w:numId w:val="635"/>
        </w:numPr>
        <w:tabs>
          <w:tab w:pos="1919" w:val="left" w:leader="none"/>
        </w:tabs>
        <w:spacing w:line="240" w:lineRule="auto" w:before="120" w:after="0"/>
        <w:ind w:left="1919" w:right="416" w:hanging="567"/>
        <w:jc w:val="both"/>
        <w:rPr>
          <w:sz w:val="24"/>
        </w:rPr>
      </w:pPr>
      <w:r>
        <w:rPr>
          <w:sz w:val="24"/>
        </w:rPr>
        <w:t>to protect information which it acquires pursuant to its various functions from use or access which is contrary to the provisions of the</w:t>
      </w:r>
      <w:r>
        <w:rPr>
          <w:spacing w:val="-7"/>
          <w:sz w:val="24"/>
        </w:rPr>
        <w:t> </w:t>
      </w:r>
      <w:r>
        <w:rPr>
          <w:i/>
          <w:sz w:val="24"/>
        </w:rPr>
        <w:t>Rules</w:t>
      </w:r>
      <w:r>
        <w:rPr>
          <w:sz w:val="24"/>
        </w:rPr>
        <w:t>;</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to disseminate such information in accordance with its rights, powers and obligations in a manner which promotes the orderly operation of any </w:t>
      </w:r>
      <w:r>
        <w:rPr>
          <w:i/>
          <w:sz w:val="24"/>
        </w:rPr>
        <w:t>market</w:t>
      </w:r>
      <w:r>
        <w:rPr>
          <w:sz w:val="24"/>
        </w:rPr>
        <w:t>;</w:t>
      </w:r>
      <w:r>
        <w:rPr>
          <w:spacing w:val="-1"/>
          <w:sz w:val="24"/>
        </w:rPr>
        <w:t> </w:t>
      </w:r>
      <w:r>
        <w:rPr>
          <w:sz w:val="24"/>
        </w:rPr>
        <w:t>and</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to ensure that </w:t>
      </w:r>
      <w:r>
        <w:rPr>
          <w:i/>
          <w:sz w:val="24"/>
        </w:rPr>
        <w:t>AEMO</w:t>
      </w:r>
      <w:r>
        <w:rPr>
          <w:sz w:val="24"/>
        </w:rPr>
        <w:t>, in undertaking any trading activity except the procurement of </w:t>
      </w:r>
      <w:r>
        <w:rPr>
          <w:i/>
          <w:sz w:val="24"/>
        </w:rPr>
        <w:t>ancillary services</w:t>
      </w:r>
      <w:r>
        <w:rPr>
          <w:sz w:val="24"/>
        </w:rPr>
        <w:t>, does not make use of such information unless the information is also available to other </w:t>
      </w:r>
      <w:r>
        <w:rPr>
          <w:i/>
          <w:sz w:val="24"/>
        </w:rPr>
        <w:t>Registered</w:t>
      </w:r>
      <w:r>
        <w:rPr>
          <w:i/>
          <w:spacing w:val="-4"/>
          <w:sz w:val="24"/>
        </w:rPr>
        <w:t> </w:t>
      </w:r>
      <w:r>
        <w:rPr>
          <w:i/>
          <w:sz w:val="24"/>
        </w:rPr>
        <w:t>Participants</w:t>
      </w:r>
      <w:r>
        <w:rPr>
          <w:sz w:val="24"/>
        </w:rPr>
        <w:t>.</w:t>
      </w:r>
    </w:p>
    <w:p>
      <w:pPr>
        <w:pStyle w:val="BodyText"/>
        <w:spacing w:before="10"/>
        <w:ind w:firstLine="0"/>
        <w:jc w:val="left"/>
        <w:rPr>
          <w:sz w:val="20"/>
        </w:rPr>
      </w:pPr>
    </w:p>
    <w:p>
      <w:pPr>
        <w:pStyle w:val="Heading4"/>
        <w:numPr>
          <w:ilvl w:val="2"/>
          <w:numId w:val="635"/>
        </w:numPr>
        <w:tabs>
          <w:tab w:pos="1351" w:val="left" w:leader="none"/>
          <w:tab w:pos="1352" w:val="left" w:leader="none"/>
        </w:tabs>
        <w:spacing w:line="240" w:lineRule="auto" w:before="0" w:after="0"/>
        <w:ind w:left="1351" w:right="0" w:hanging="1134"/>
        <w:jc w:val="left"/>
      </w:pPr>
      <w:bookmarkStart w:name="8.6.7 Information on Rules Bodies" w:id="2236"/>
      <w:bookmarkEnd w:id="2236"/>
      <w:r>
        <w:rPr>
          <w:b w:val="0"/>
        </w:rPr>
      </w:r>
      <w:bookmarkStart w:name="_bookmark934" w:id="2237"/>
      <w:bookmarkEnd w:id="2237"/>
      <w:r>
        <w:rPr>
          <w:b w:val="0"/>
        </w:rPr>
      </w:r>
      <w:bookmarkStart w:name="_bookmark934" w:id="2238"/>
      <w:bookmarkEnd w:id="2238"/>
      <w:r>
        <w:rPr/>
        <w:t>Information</w:t>
      </w:r>
      <w:r>
        <w:rPr/>
        <w:t> on Rules</w:t>
      </w:r>
      <w:r>
        <w:rPr>
          <w:spacing w:val="-3"/>
        </w:rPr>
        <w:t> </w:t>
      </w:r>
      <w:r>
        <w:rPr/>
        <w:t>Bodies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clause has no effect in this jurisdiction (see regulation 5A of the </w:t>
      </w:r>
      <w:r>
        <w:rPr>
          <w:i/>
          <w:sz w:val="20"/>
        </w:rPr>
        <w:t>National Electricity </w:t>
      </w:r>
      <w:r>
        <w:rPr>
          <w:i/>
          <w:sz w:val="20"/>
        </w:rPr>
        <w:t>(Northern Territory) (National Uniform Legislation) (Modification) Regulations)</w:t>
      </w:r>
      <w:r>
        <w:rPr>
          <w:sz w:val="20"/>
        </w:rPr>
        <w:t>.</w:t>
      </w:r>
    </w:p>
    <w:p>
      <w:pPr>
        <w:pStyle w:val="BodyText"/>
        <w:ind w:left="1352" w:right="415" w:firstLine="0"/>
      </w:pPr>
      <w:r>
        <w:rPr>
          <w:i/>
        </w:rPr>
        <w:t>AEMO </w:t>
      </w:r>
      <w:r>
        <w:rPr/>
        <w:t>must, in consultation with the </w:t>
      </w:r>
      <w:r>
        <w:rPr>
          <w:i/>
        </w:rPr>
        <w:t>AEMC</w:t>
      </w:r>
      <w:r>
        <w:rPr/>
        <w:t>, develop and implement policies concerning:</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the protection of information which </w:t>
      </w:r>
      <w:r>
        <w:rPr>
          <w:i/>
          <w:sz w:val="24"/>
        </w:rPr>
        <w:t>Rules bodies </w:t>
      </w:r>
      <w:r>
        <w:rPr>
          <w:sz w:val="24"/>
        </w:rPr>
        <w:t>acquire pursuant to their various functions from use or access by </w:t>
      </w:r>
      <w:r>
        <w:rPr>
          <w:i/>
          <w:sz w:val="24"/>
        </w:rPr>
        <w:t>Registered Participants </w:t>
      </w:r>
      <w:r>
        <w:rPr>
          <w:sz w:val="24"/>
        </w:rPr>
        <w:t>or </w:t>
      </w:r>
      <w:r>
        <w:rPr>
          <w:i/>
          <w:spacing w:val="-3"/>
          <w:sz w:val="24"/>
        </w:rPr>
        <w:t>Rules</w:t>
      </w:r>
      <w:r>
        <w:rPr>
          <w:i/>
          <w:spacing w:val="54"/>
          <w:sz w:val="24"/>
        </w:rPr>
        <w:t> </w:t>
      </w:r>
      <w:r>
        <w:rPr>
          <w:i/>
          <w:sz w:val="24"/>
        </w:rPr>
        <w:t>bodies </w:t>
      </w:r>
      <w:r>
        <w:rPr>
          <w:sz w:val="24"/>
        </w:rPr>
        <w:t>which is contrary to the provisions of the </w:t>
      </w:r>
      <w:r>
        <w:rPr>
          <w:i/>
          <w:sz w:val="24"/>
        </w:rPr>
        <w:t>Rules</w:t>
      </w:r>
      <w:r>
        <w:rPr>
          <w:sz w:val="24"/>
        </w:rPr>
        <w:t>;</w:t>
      </w:r>
      <w:r>
        <w:rPr>
          <w:spacing w:val="-4"/>
          <w:sz w:val="24"/>
        </w:rPr>
        <w:t> </w:t>
      </w:r>
      <w:r>
        <w:rPr>
          <w:sz w:val="24"/>
        </w:rPr>
        <w:t>and</w:t>
      </w:r>
    </w:p>
    <w:p>
      <w:pPr>
        <w:pStyle w:val="ListParagraph"/>
        <w:numPr>
          <w:ilvl w:val="3"/>
          <w:numId w:val="635"/>
        </w:numPr>
        <w:tabs>
          <w:tab w:pos="1919" w:val="left" w:leader="none"/>
        </w:tabs>
        <w:spacing w:line="240" w:lineRule="auto" w:before="120" w:after="0"/>
        <w:ind w:left="1919" w:right="415" w:hanging="567"/>
        <w:jc w:val="both"/>
        <w:rPr>
          <w:sz w:val="24"/>
        </w:rPr>
      </w:pPr>
      <w:r>
        <w:rPr>
          <w:sz w:val="24"/>
        </w:rPr>
        <w:t>the dissemination of such information where appropriate to </w:t>
      </w:r>
      <w:r>
        <w:rPr>
          <w:i/>
          <w:sz w:val="24"/>
        </w:rPr>
        <w:t>Registered </w:t>
      </w:r>
      <w:r>
        <w:rPr>
          <w:i/>
          <w:sz w:val="24"/>
        </w:rPr>
        <w:t>Participants</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D Monitoring and reporting" w:id="2239"/>
      <w:bookmarkEnd w:id="2239"/>
      <w:r>
        <w:rPr>
          <w:b w:val="0"/>
        </w:rPr>
      </w:r>
      <w:bookmarkStart w:name="_bookmark935" w:id="2240"/>
      <w:bookmarkEnd w:id="2240"/>
      <w:r>
        <w:rPr>
          <w:b w:val="0"/>
        </w:rPr>
      </w:r>
      <w:r>
        <w:rPr>
          <w:shd w:fill="D9D9D9" w:color="auto" w:val="clear"/>
        </w:rPr>
        <w:t>Part D</w:t>
        <w:tab/>
        <w:t>Monitoring and</w:t>
      </w:r>
      <w:r>
        <w:rPr>
          <w:spacing w:val="-13"/>
          <w:shd w:fill="D9D9D9" w:color="auto" w:val="clear"/>
        </w:rPr>
        <w:t> </w:t>
      </w:r>
      <w:r>
        <w:rPr>
          <w:shd w:fill="D9D9D9" w:color="auto" w:val="clear"/>
        </w:rPr>
        <w:t>reporting</w:t>
        <w:tab/>
      </w:r>
    </w:p>
    <w:p>
      <w:pPr>
        <w:pStyle w:val="Heading3"/>
        <w:numPr>
          <w:ilvl w:val="1"/>
          <w:numId w:val="634"/>
        </w:numPr>
        <w:tabs>
          <w:tab w:pos="1351" w:val="left" w:leader="none"/>
          <w:tab w:pos="1353" w:val="left" w:leader="none"/>
        </w:tabs>
        <w:spacing w:line="240" w:lineRule="auto" w:before="240" w:after="0"/>
        <w:ind w:left="1352" w:right="0" w:hanging="1135"/>
        <w:jc w:val="left"/>
      </w:pPr>
      <w:bookmarkStart w:name="8.7 Monitoring and Reporting" w:id="2241"/>
      <w:bookmarkEnd w:id="2241"/>
      <w:r>
        <w:rPr>
          <w:b w:val="0"/>
        </w:rPr>
      </w:r>
      <w:bookmarkStart w:name="_bookmark936" w:id="2242"/>
      <w:bookmarkEnd w:id="2242"/>
      <w:r>
        <w:rPr>
          <w:b w:val="0"/>
        </w:rPr>
      </w:r>
      <w:bookmarkStart w:name="_bookmark936" w:id="2243"/>
      <w:bookmarkEnd w:id="2243"/>
      <w:r>
        <w:rPr/>
        <w:t>M</w:t>
      </w:r>
      <w:r>
        <w:rPr/>
        <w:t>onitoring and</w:t>
      </w:r>
      <w:r>
        <w:rPr>
          <w:spacing w:val="-2"/>
        </w:rPr>
        <w:t> </w:t>
      </w:r>
      <w:r>
        <w:rPr/>
        <w:t>Reporting</w:t>
      </w:r>
    </w:p>
    <w:p>
      <w:pPr>
        <w:pStyle w:val="Heading4"/>
        <w:numPr>
          <w:ilvl w:val="2"/>
          <w:numId w:val="634"/>
        </w:numPr>
        <w:tabs>
          <w:tab w:pos="1351" w:val="left" w:leader="none"/>
          <w:tab w:pos="1352" w:val="left" w:leader="none"/>
        </w:tabs>
        <w:spacing w:line="240" w:lineRule="auto" w:before="240" w:after="0"/>
        <w:ind w:left="1351" w:right="0" w:hanging="1134"/>
        <w:jc w:val="left"/>
      </w:pPr>
      <w:bookmarkStart w:name="8.7.1 Monitoring" w:id="2244"/>
      <w:bookmarkEnd w:id="2244"/>
      <w:r>
        <w:rPr>
          <w:b w:val="0"/>
        </w:rPr>
      </w:r>
      <w:bookmarkStart w:name="_bookmark937" w:id="2245"/>
      <w:bookmarkEnd w:id="2245"/>
      <w:r>
        <w:rPr>
          <w:b w:val="0"/>
        </w:rPr>
      </w:r>
      <w:bookmarkStart w:name="_bookmark937" w:id="2246"/>
      <w:bookmarkEnd w:id="2246"/>
      <w:r>
        <w:rPr/>
        <w:t>Monit</w:t>
      </w:r>
      <w:r>
        <w:rPr/>
        <w:t>oring</w:t>
      </w:r>
    </w:p>
    <w:p>
      <w:pPr>
        <w:pStyle w:val="ListParagraph"/>
        <w:numPr>
          <w:ilvl w:val="3"/>
          <w:numId w:val="634"/>
        </w:numPr>
        <w:tabs>
          <w:tab w:pos="1918" w:val="left" w:leader="none"/>
          <w:tab w:pos="1919" w:val="left" w:leader="none"/>
        </w:tabs>
        <w:spacing w:line="240" w:lineRule="auto" w:before="120" w:after="0"/>
        <w:ind w:left="1918" w:right="0" w:hanging="567"/>
        <w:jc w:val="left"/>
        <w:rPr>
          <w:b/>
          <w:sz w:val="24"/>
        </w:rPr>
      </w:pPr>
      <w:r>
        <w:rPr>
          <w:b/>
          <w:sz w:val="24"/>
        </w:rPr>
        <w:t>[Deleted]</w:t>
      </w:r>
    </w:p>
    <w:p>
      <w:pPr>
        <w:pStyle w:val="ListParagraph"/>
        <w:numPr>
          <w:ilvl w:val="3"/>
          <w:numId w:val="63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 </w:t>
      </w:r>
      <w:r>
        <w:rPr>
          <w:sz w:val="24"/>
        </w:rPr>
        <w:t>must, for the purpose of performing its monitoring</w:t>
      </w:r>
      <w:r>
        <w:rPr>
          <w:spacing w:val="-3"/>
          <w:sz w:val="24"/>
        </w:rPr>
        <w:t> </w:t>
      </w:r>
      <w:r>
        <w:rPr>
          <w:sz w:val="24"/>
        </w:rPr>
        <w:t>functions:</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determine whether </w:t>
      </w:r>
      <w:r>
        <w:rPr>
          <w:i/>
          <w:sz w:val="24"/>
        </w:rPr>
        <w:t>Registered Participants </w:t>
      </w:r>
      <w:r>
        <w:rPr>
          <w:sz w:val="24"/>
        </w:rPr>
        <w:t>are complying with</w:t>
      </w:r>
      <w:r>
        <w:rPr>
          <w:spacing w:val="28"/>
          <w:sz w:val="24"/>
        </w:rPr>
        <w:t> </w:t>
      </w:r>
      <w:r>
        <w:rPr>
          <w:sz w:val="24"/>
        </w:rPr>
        <w:t>the</w:t>
      </w:r>
    </w:p>
    <w:p>
      <w:pPr>
        <w:spacing w:before="0"/>
        <w:ind w:left="2486" w:right="0" w:firstLine="0"/>
        <w:jc w:val="left"/>
        <w:rPr>
          <w:sz w:val="24"/>
        </w:rPr>
      </w:pPr>
      <w:r>
        <w:rPr>
          <w:i/>
          <w:sz w:val="24"/>
        </w:rPr>
        <w:t>Rules</w:t>
      </w:r>
      <w:r>
        <w:rPr>
          <w:sz w:val="24"/>
        </w:rPr>
        <w:t>;</w:t>
      </w:r>
    </w:p>
    <w:p>
      <w:pPr>
        <w:spacing w:after="0"/>
        <w:jc w:val="left"/>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6" w:right="415" w:hanging="567"/>
        <w:jc w:val="both"/>
        <w:rPr>
          <w:sz w:val="24"/>
        </w:rPr>
      </w:pPr>
      <w:r>
        <w:rPr>
          <w:sz w:val="24"/>
        </w:rPr>
        <w:t>assess whether the dispute resolution and </w:t>
      </w:r>
      <w:r>
        <w:rPr>
          <w:i/>
          <w:sz w:val="24"/>
        </w:rPr>
        <w:t>Rules </w:t>
      </w:r>
      <w:r>
        <w:rPr>
          <w:sz w:val="24"/>
        </w:rPr>
        <w:t>enforcement mechanisms are working effectively in the manner intended;</w:t>
      </w:r>
      <w:r>
        <w:rPr>
          <w:spacing w:val="-7"/>
          <w:sz w:val="24"/>
        </w:rPr>
        <w:t> </w:t>
      </w:r>
      <w:r>
        <w:rPr>
          <w:sz w:val="24"/>
        </w:rPr>
        <w:t>and</w:t>
      </w:r>
    </w:p>
    <w:p>
      <w:pPr>
        <w:pStyle w:val="Heading4"/>
        <w:numPr>
          <w:ilvl w:val="4"/>
          <w:numId w:val="634"/>
        </w:numPr>
        <w:tabs>
          <w:tab w:pos="2486" w:val="left" w:leader="none"/>
        </w:tabs>
        <w:spacing w:line="240" w:lineRule="auto" w:before="120" w:after="0"/>
        <w:ind w:left="2485" w:right="0" w:hanging="567"/>
        <w:jc w:val="both"/>
        <w:rPr>
          <w:rFonts w:ascii="Times New Roman"/>
        </w:rPr>
      </w:pPr>
      <w:r>
        <w:rPr>
          <w:rFonts w:ascii="Times New Roman"/>
        </w:rPr>
        <w:t>[Deleted]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collect, analyse and disseminate information relevant and sufficient to enable it to comply with its reporting and other obligations and  powers under the</w:t>
      </w:r>
      <w:r>
        <w:rPr>
          <w:spacing w:val="-1"/>
          <w:sz w:val="24"/>
        </w:rPr>
        <w:t> </w:t>
      </w:r>
      <w:r>
        <w:rPr>
          <w:i/>
          <w:sz w:val="24"/>
        </w:rPr>
        <w:t>Rules</w:t>
      </w:r>
      <w:r>
        <w:rPr>
          <w:sz w:val="24"/>
        </w:rPr>
        <w:t>.</w:t>
      </w:r>
    </w:p>
    <w:p>
      <w:pPr>
        <w:pStyle w:val="ListParagraph"/>
        <w:numPr>
          <w:ilvl w:val="3"/>
          <w:numId w:val="634"/>
        </w:numPr>
        <w:tabs>
          <w:tab w:pos="1919" w:val="left" w:leader="none"/>
        </w:tabs>
        <w:spacing w:line="240" w:lineRule="auto" w:before="120" w:after="0"/>
        <w:ind w:left="1919" w:right="413" w:hanging="567"/>
        <w:jc w:val="both"/>
        <w:rPr>
          <w:sz w:val="24"/>
        </w:rPr>
      </w:pPr>
      <w:r>
        <w:rPr>
          <w:sz w:val="24"/>
        </w:rPr>
        <w:t>The AER must ensure that, to the extent practicable in light of the matters set out in clause 8.7.1(b), the monitoring processes which it implements under this rule</w:t>
      </w:r>
      <w:r>
        <w:rPr>
          <w:spacing w:val="-2"/>
          <w:sz w:val="24"/>
        </w:rPr>
        <w:t> </w:t>
      </w:r>
      <w:r>
        <w:rPr>
          <w:sz w:val="24"/>
        </w:rPr>
        <w:t>8.7:</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are consistent over</w:t>
      </w:r>
      <w:r>
        <w:rPr>
          <w:spacing w:val="-1"/>
          <w:sz w:val="24"/>
        </w:rPr>
        <w:t> </w:t>
      </w:r>
      <w:r>
        <w:rPr>
          <w:sz w:val="24"/>
        </w:rPr>
        <w:t>time;</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do not discriminate unnecessarily between </w:t>
      </w:r>
      <w:r>
        <w:rPr>
          <w:i/>
          <w:sz w:val="24"/>
        </w:rPr>
        <w:t>Registered</w:t>
      </w:r>
      <w:r>
        <w:rPr>
          <w:i/>
          <w:spacing w:val="-2"/>
          <w:sz w:val="24"/>
        </w:rPr>
        <w:t> </w:t>
      </w:r>
      <w:r>
        <w:rPr>
          <w:i/>
          <w:sz w:val="24"/>
        </w:rPr>
        <w:t>Participants</w:t>
      </w:r>
      <w:r>
        <w:rPr>
          <w:sz w:val="24"/>
        </w:rPr>
        <w:t>;</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are cost effective to both the </w:t>
      </w:r>
      <w:r>
        <w:rPr>
          <w:i/>
          <w:sz w:val="24"/>
        </w:rPr>
        <w:t>AER </w:t>
      </w:r>
      <w:r>
        <w:rPr>
          <w:sz w:val="24"/>
        </w:rPr>
        <w:t>and all </w:t>
      </w:r>
      <w:r>
        <w:rPr>
          <w:i/>
          <w:sz w:val="24"/>
        </w:rPr>
        <w:t>Registered Participants</w:t>
      </w:r>
      <w:r>
        <w:rPr>
          <w:sz w:val="24"/>
        </w:rPr>
        <w:t>;</w:t>
      </w:r>
      <w:r>
        <w:rPr>
          <w:spacing w:val="-4"/>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6" w:right="414" w:hanging="567"/>
        <w:jc w:val="left"/>
        <w:rPr>
          <w:sz w:val="24"/>
        </w:rPr>
      </w:pPr>
      <w:r>
        <w:rPr>
          <w:sz w:val="24"/>
        </w:rPr>
        <w:t>subject to confidentiality obligations, are publicised or available to the public.</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2" w:right="913" w:hanging="1134"/>
        <w:jc w:val="left"/>
      </w:pPr>
      <w:bookmarkStart w:name="8.7.2 Reporting requirements and monitor" w:id="2247"/>
      <w:bookmarkEnd w:id="2247"/>
      <w:r>
        <w:rPr>
          <w:b w:val="0"/>
        </w:rPr>
      </w:r>
      <w:bookmarkStart w:name="_bookmark938" w:id="2248"/>
      <w:bookmarkEnd w:id="2248"/>
      <w:r>
        <w:rPr>
          <w:b w:val="0"/>
        </w:rPr>
      </w:r>
      <w:bookmarkStart w:name="_bookmark938" w:id="2249"/>
      <w:bookmarkEnd w:id="2249"/>
      <w:r>
        <w:rPr/>
        <w:t>Reportin</w:t>
      </w:r>
      <w:r>
        <w:rPr/>
        <w:t>g requirements and monitoring standards for Registered Participants</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Clause 8.7.2(a)(2) and (4) and (b)(2) has no effect in this jurisdiction (see regulation 5A of the </w:t>
      </w:r>
      <w:r>
        <w:rPr>
          <w:i/>
          <w:sz w:val="20"/>
        </w:rPr>
        <w:t>National Electricity (Northern Territory) (National Uniform Legislation) (Modification) </w:t>
      </w:r>
      <w:r>
        <w:rPr>
          <w:i/>
          <w:sz w:val="20"/>
        </w:rPr>
        <w:t>Regulations)</w:t>
      </w:r>
      <w:r>
        <w:rPr>
          <w:sz w:val="20"/>
        </w:rPr>
        <w:t>.</w:t>
      </w:r>
    </w:p>
    <w:p>
      <w:pPr>
        <w:pStyle w:val="ListParagraph"/>
        <w:numPr>
          <w:ilvl w:val="3"/>
          <w:numId w:val="634"/>
        </w:numPr>
        <w:tabs>
          <w:tab w:pos="1919" w:val="left" w:leader="none"/>
        </w:tabs>
        <w:spacing w:line="240" w:lineRule="auto" w:before="120" w:after="0"/>
        <w:ind w:left="1919" w:right="416" w:hanging="567"/>
        <w:jc w:val="both"/>
        <w:rPr>
          <w:sz w:val="24"/>
        </w:rPr>
      </w:pPr>
      <w:r>
        <w:rPr>
          <w:sz w:val="24"/>
        </w:rPr>
        <w:t>For the purpose of performing its monitoring functions, the </w:t>
      </w:r>
      <w:r>
        <w:rPr>
          <w:i/>
          <w:sz w:val="24"/>
        </w:rPr>
        <w:t>AER </w:t>
      </w:r>
      <w:r>
        <w:rPr>
          <w:sz w:val="24"/>
        </w:rPr>
        <w:t>must establish:</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reporting</w:t>
      </w:r>
      <w:r>
        <w:rPr>
          <w:spacing w:val="31"/>
          <w:sz w:val="24"/>
        </w:rPr>
        <w:t> </w:t>
      </w:r>
      <w:r>
        <w:rPr>
          <w:sz w:val="24"/>
        </w:rPr>
        <w:t>requirements</w:t>
      </w:r>
      <w:r>
        <w:rPr>
          <w:spacing w:val="31"/>
          <w:sz w:val="24"/>
        </w:rPr>
        <w:t> </w:t>
      </w:r>
      <w:r>
        <w:rPr>
          <w:sz w:val="24"/>
        </w:rPr>
        <w:t>which</w:t>
      </w:r>
      <w:r>
        <w:rPr>
          <w:spacing w:val="32"/>
          <w:sz w:val="24"/>
        </w:rPr>
        <w:t> </w:t>
      </w:r>
      <w:r>
        <w:rPr>
          <w:sz w:val="24"/>
        </w:rPr>
        <w:t>apply</w:t>
      </w:r>
      <w:r>
        <w:rPr>
          <w:spacing w:val="31"/>
          <w:sz w:val="24"/>
        </w:rPr>
        <w:t> </w:t>
      </w:r>
      <w:r>
        <w:rPr>
          <w:sz w:val="24"/>
        </w:rPr>
        <w:t>to</w:t>
      </w:r>
      <w:r>
        <w:rPr>
          <w:spacing w:val="32"/>
          <w:sz w:val="24"/>
        </w:rPr>
        <w:t> </w:t>
      </w:r>
      <w:r>
        <w:rPr>
          <w:sz w:val="24"/>
        </w:rPr>
        <w:t>all</w:t>
      </w:r>
      <w:r>
        <w:rPr>
          <w:spacing w:val="31"/>
          <w:sz w:val="24"/>
        </w:rPr>
        <w:t> </w:t>
      </w:r>
      <w:r>
        <w:rPr>
          <w:sz w:val="24"/>
        </w:rPr>
        <w:t>or</w:t>
      </w:r>
      <w:r>
        <w:rPr>
          <w:spacing w:val="31"/>
          <w:sz w:val="24"/>
        </w:rPr>
        <w:t> </w:t>
      </w:r>
      <w:r>
        <w:rPr>
          <w:sz w:val="24"/>
        </w:rPr>
        <w:t>particular</w:t>
      </w:r>
      <w:r>
        <w:rPr>
          <w:spacing w:val="32"/>
          <w:sz w:val="24"/>
        </w:rPr>
        <w:t> </w:t>
      </w:r>
      <w:r>
        <w:rPr>
          <w:sz w:val="24"/>
        </w:rPr>
        <w:t>categories</w:t>
      </w:r>
      <w:r>
        <w:rPr>
          <w:spacing w:val="31"/>
          <w:sz w:val="24"/>
        </w:rPr>
        <w:t> </w:t>
      </w:r>
      <w:r>
        <w:rPr>
          <w:sz w:val="24"/>
        </w:rPr>
        <w:t>of</w:t>
      </w:r>
    </w:p>
    <w:p>
      <w:pPr>
        <w:spacing w:before="0"/>
        <w:ind w:left="2486" w:right="0" w:firstLine="0"/>
        <w:jc w:val="both"/>
        <w:rPr>
          <w:sz w:val="24"/>
        </w:rPr>
      </w:pPr>
      <w:r>
        <w:rPr>
          <w:i/>
          <w:sz w:val="24"/>
        </w:rPr>
        <w:t>Registered Participants </w:t>
      </w:r>
      <w:r>
        <w:rPr>
          <w:sz w:val="24"/>
        </w:rPr>
        <w:t>in relation to matters relevant to the </w:t>
      </w:r>
      <w:r>
        <w:rPr>
          <w:i/>
          <w:sz w:val="24"/>
        </w:rPr>
        <w:t>Rules</w:t>
      </w:r>
      <w:r>
        <w:rPr>
          <w:sz w:val="24"/>
        </w:rPr>
        <w:t>;</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reporting requirements for </w:t>
      </w:r>
      <w:r>
        <w:rPr>
          <w:i/>
          <w:sz w:val="24"/>
        </w:rPr>
        <w:t>AEMO </w:t>
      </w:r>
      <w:r>
        <w:rPr>
          <w:sz w:val="24"/>
        </w:rPr>
        <w:t>in relation to matters relevant to</w:t>
      </w:r>
      <w:r>
        <w:rPr>
          <w:spacing w:val="51"/>
          <w:sz w:val="24"/>
        </w:rPr>
        <w:t> </w:t>
      </w:r>
      <w:r>
        <w:rPr>
          <w:sz w:val="24"/>
        </w:rPr>
        <w:t>the</w:t>
      </w:r>
    </w:p>
    <w:p>
      <w:pPr>
        <w:spacing w:before="0"/>
        <w:ind w:left="2486" w:right="0" w:firstLine="0"/>
        <w:jc w:val="left"/>
        <w:rPr>
          <w:sz w:val="24"/>
        </w:rPr>
      </w:pPr>
      <w:r>
        <w:rPr>
          <w:i/>
          <w:sz w:val="24"/>
        </w:rPr>
        <w:t>Rules</w:t>
      </w:r>
      <w:r>
        <w:rPr>
          <w:sz w:val="24"/>
        </w:rPr>
        <w: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procedures and standards generally applicable to </w:t>
      </w:r>
      <w:r>
        <w:rPr>
          <w:i/>
          <w:sz w:val="24"/>
        </w:rPr>
        <w:t>Registered </w:t>
      </w:r>
      <w:r>
        <w:rPr>
          <w:i/>
          <w:sz w:val="24"/>
        </w:rPr>
        <w:t>Participants </w:t>
      </w:r>
      <w:r>
        <w:rPr>
          <w:sz w:val="24"/>
        </w:rPr>
        <w:t>relating to information and data received by them in relation to matters relevant to the</w:t>
      </w:r>
      <w:r>
        <w:rPr>
          <w:spacing w:val="-1"/>
          <w:sz w:val="24"/>
        </w:rPr>
        <w:t> </w:t>
      </w:r>
      <w:r>
        <w:rPr>
          <w:i/>
          <w:sz w:val="24"/>
        </w:rPr>
        <w:t>Rules</w:t>
      </w:r>
      <w:r>
        <w:rPr>
          <w:sz w:val="24"/>
        </w:rPr>
        <w:t>;</w:t>
      </w:r>
    </w:p>
    <w:p>
      <w:pPr>
        <w:pStyle w:val="ListParagraph"/>
        <w:numPr>
          <w:ilvl w:val="4"/>
          <w:numId w:val="634"/>
        </w:numPr>
        <w:tabs>
          <w:tab w:pos="2486" w:val="left" w:leader="none"/>
        </w:tabs>
        <w:spacing w:line="240" w:lineRule="auto" w:before="120" w:after="0"/>
        <w:ind w:left="2486" w:right="413" w:hanging="567"/>
        <w:jc w:val="both"/>
        <w:rPr>
          <w:sz w:val="24"/>
        </w:rPr>
      </w:pPr>
      <w:r>
        <w:rPr>
          <w:sz w:val="24"/>
        </w:rPr>
        <w:t>procedures and standards applicable to </w:t>
      </w:r>
      <w:r>
        <w:rPr>
          <w:i/>
          <w:sz w:val="24"/>
        </w:rPr>
        <w:t>AEMO </w:t>
      </w:r>
      <w:r>
        <w:rPr>
          <w:sz w:val="24"/>
        </w:rPr>
        <w:t>relating to information and data received by it in relation to matters relevant to the </w:t>
      </w:r>
      <w:r>
        <w:rPr>
          <w:i/>
          <w:sz w:val="24"/>
        </w:rPr>
        <w:t>Rules</w:t>
      </w:r>
      <w:r>
        <w:rPr>
          <w:sz w:val="24"/>
        </w:rPr>
        <w:t>;</w:t>
      </w:r>
      <w:r>
        <w:rPr>
          <w:spacing w:val="-5"/>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procedures and standards applicable to the </w:t>
      </w:r>
      <w:r>
        <w:rPr>
          <w:i/>
          <w:sz w:val="24"/>
        </w:rPr>
        <w:t>AER </w:t>
      </w:r>
      <w:r>
        <w:rPr>
          <w:sz w:val="24"/>
        </w:rPr>
        <w:t>relating to  information and data received by the </w:t>
      </w:r>
      <w:r>
        <w:rPr>
          <w:i/>
          <w:sz w:val="24"/>
        </w:rPr>
        <w:t>AER </w:t>
      </w:r>
      <w:r>
        <w:rPr>
          <w:sz w:val="24"/>
        </w:rPr>
        <w:t>from </w:t>
      </w:r>
      <w:r>
        <w:rPr>
          <w:i/>
          <w:sz w:val="24"/>
        </w:rPr>
        <w:t>Registered </w:t>
      </w:r>
      <w:r>
        <w:rPr>
          <w:i/>
          <w:sz w:val="24"/>
        </w:rPr>
        <w:t>Participants </w:t>
      </w:r>
      <w:r>
        <w:rPr>
          <w:sz w:val="24"/>
        </w:rPr>
        <w:t>in relation to matters relevant to the</w:t>
      </w:r>
      <w:r>
        <w:rPr>
          <w:spacing w:val="-2"/>
          <w:sz w:val="24"/>
        </w:rPr>
        <w:t> </w:t>
      </w:r>
      <w:r>
        <w:rPr>
          <w:i/>
          <w:sz w:val="24"/>
        </w:rPr>
        <w:t>Rules</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w:t>
      </w:r>
      <w:r>
        <w:rPr>
          <w:i/>
          <w:sz w:val="24"/>
        </w:rPr>
        <w:t>AER</w:t>
      </w:r>
      <w:r>
        <w:rPr>
          <w:i/>
          <w:spacing w:val="-1"/>
          <w:sz w:val="24"/>
        </w:rPr>
        <w:t> </w:t>
      </w:r>
      <w:r>
        <w:rPr>
          <w:sz w:val="24"/>
        </w:rPr>
        <w:t>must: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after consultation with the </w:t>
      </w:r>
      <w:r>
        <w:rPr>
          <w:i/>
          <w:sz w:val="24"/>
        </w:rPr>
        <w:t>AEMC </w:t>
      </w:r>
      <w:r>
        <w:rPr>
          <w:sz w:val="24"/>
        </w:rPr>
        <w:t>and </w:t>
      </w:r>
      <w:r>
        <w:rPr>
          <w:i/>
          <w:sz w:val="24"/>
        </w:rPr>
        <w:t>Registered Participants </w:t>
      </w:r>
      <w:r>
        <w:rPr>
          <w:sz w:val="24"/>
        </w:rPr>
        <w:t>in accordance with the </w:t>
      </w:r>
      <w:r>
        <w:rPr>
          <w:i/>
          <w:sz w:val="24"/>
        </w:rPr>
        <w:t>Rules consultation procedures</w:t>
      </w:r>
      <w:r>
        <w:rPr>
          <w:sz w:val="24"/>
        </w:rPr>
        <w:t>, establish the requirements and standards and procedures referred to in clause 8.7.2(a)(1), (3) and (5);</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after consultation with the </w:t>
      </w:r>
      <w:r>
        <w:rPr>
          <w:i/>
          <w:sz w:val="24"/>
        </w:rPr>
        <w:t>AEMC </w:t>
      </w:r>
      <w:r>
        <w:rPr>
          <w:sz w:val="24"/>
        </w:rPr>
        <w:t>and such </w:t>
      </w:r>
      <w:r>
        <w:rPr>
          <w:i/>
          <w:sz w:val="24"/>
        </w:rPr>
        <w:t>Registered Participants </w:t>
      </w:r>
      <w:r>
        <w:rPr>
          <w:sz w:val="24"/>
        </w:rPr>
        <w:t>as the </w:t>
      </w:r>
      <w:r>
        <w:rPr>
          <w:i/>
          <w:sz w:val="24"/>
        </w:rPr>
        <w:t>AER </w:t>
      </w:r>
      <w:r>
        <w:rPr>
          <w:sz w:val="24"/>
        </w:rPr>
        <w:t>considers appropriate, establish the requirements referred to in clause</w:t>
      </w:r>
      <w:r>
        <w:rPr>
          <w:spacing w:val="-2"/>
          <w:sz w:val="24"/>
        </w:rPr>
        <w:t> </w:t>
      </w:r>
      <w:r>
        <w:rPr>
          <w:sz w:val="24"/>
        </w:rPr>
        <w:t>8.7.2(a)(2).</w:t>
      </w:r>
    </w:p>
    <w:p>
      <w:pPr>
        <w:spacing w:after="0" w:line="240" w:lineRule="auto"/>
        <w:jc w:val="both"/>
        <w:rPr>
          <w:sz w:val="24"/>
        </w:rPr>
        <w:sectPr>
          <w:pgSz w:w="11910" w:h="16840"/>
          <w:pgMar w:header="686" w:footer="637" w:top="1320" w:bottom="820" w:left="1200" w:right="1000"/>
        </w:sectPr>
      </w:pPr>
    </w:p>
    <w:p>
      <w:pPr>
        <w:pStyle w:val="BodyText"/>
        <w:spacing w:before="83"/>
        <w:ind w:left="1919" w:firstLine="0"/>
        <w:rPr>
          <w:i/>
        </w:rPr>
      </w:pPr>
      <w:r>
        <w:rPr/>
        <w:t>In formulating such requirements or procedures and standards, the </w:t>
      </w:r>
      <w:r>
        <w:rPr>
          <w:i/>
        </w:rPr>
        <w:t>AER</w:t>
      </w:r>
    </w:p>
    <w:p>
      <w:pPr>
        <w:pStyle w:val="BodyText"/>
        <w:spacing w:before="0"/>
        <w:ind w:left="1919" w:firstLine="0"/>
      </w:pPr>
      <w:r>
        <w:rPr/>
        <w:t>must take into consideration the matters set out in clause 8.7.1(c).</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Subject to clause 8.7.2(d), the </w:t>
      </w:r>
      <w:r>
        <w:rPr>
          <w:i/>
          <w:sz w:val="24"/>
        </w:rPr>
        <w:t>AER </w:t>
      </w:r>
      <w:r>
        <w:rPr>
          <w:sz w:val="24"/>
        </w:rPr>
        <w:t>must notify to all </w:t>
      </w:r>
      <w:r>
        <w:rPr>
          <w:i/>
          <w:sz w:val="24"/>
        </w:rPr>
        <w:t>Registered </w:t>
      </w:r>
      <w:r>
        <w:rPr>
          <w:i/>
          <w:sz w:val="24"/>
        </w:rPr>
        <w:t>Participants </w:t>
      </w:r>
      <w:r>
        <w:rPr>
          <w:sz w:val="24"/>
        </w:rPr>
        <w:t>particulars of the requirements and procedures and standards which it establishes under this clause</w:t>
      </w:r>
      <w:r>
        <w:rPr>
          <w:spacing w:val="-2"/>
          <w:sz w:val="24"/>
        </w:rPr>
        <w:t> </w:t>
      </w:r>
      <w:r>
        <w:rPr>
          <w:sz w:val="24"/>
        </w:rPr>
        <w:t>8.7.2.</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For the purpose of performing its monitoring functions, the </w:t>
      </w:r>
      <w:r>
        <w:rPr>
          <w:i/>
          <w:sz w:val="24"/>
        </w:rPr>
        <w:t>AER </w:t>
      </w:r>
      <w:r>
        <w:rPr>
          <w:spacing w:val="-5"/>
          <w:sz w:val="24"/>
        </w:rPr>
        <w:t>may </w:t>
      </w:r>
      <w:r>
        <w:rPr>
          <w:sz w:val="24"/>
        </w:rPr>
        <w:t>establish additional or more onerous requirements or procedures and standards which do not apply to all or a particular category of </w:t>
      </w:r>
      <w:r>
        <w:rPr>
          <w:i/>
          <w:sz w:val="24"/>
        </w:rPr>
        <w:t>Registered </w:t>
      </w:r>
      <w:r>
        <w:rPr>
          <w:i/>
          <w:sz w:val="24"/>
        </w:rPr>
        <w:t>Participants</w:t>
      </w:r>
      <w:r>
        <w:rPr>
          <w:sz w:val="24"/>
        </w:rPr>
        <w:t>. In formulating such requirements or procedures and standards, the </w:t>
      </w:r>
      <w:r>
        <w:rPr>
          <w:i/>
          <w:sz w:val="24"/>
        </w:rPr>
        <w:t>AER </w:t>
      </w:r>
      <w:r>
        <w:rPr>
          <w:sz w:val="24"/>
        </w:rPr>
        <w:t>must take into consideration the matters set out in clause 8.7.1(c) and is not required to consult in accordance with the </w:t>
      </w:r>
      <w:r>
        <w:rPr>
          <w:i/>
          <w:sz w:val="24"/>
        </w:rPr>
        <w:t>Rules consultation </w:t>
      </w:r>
      <w:r>
        <w:rPr>
          <w:i/>
          <w:sz w:val="24"/>
        </w:rPr>
        <w:t>procedures </w:t>
      </w:r>
      <w:r>
        <w:rPr>
          <w:sz w:val="24"/>
        </w:rPr>
        <w:t>but must consult with the relevant </w:t>
      </w:r>
      <w:r>
        <w:rPr>
          <w:i/>
          <w:sz w:val="24"/>
        </w:rPr>
        <w:t>Registered Participants</w:t>
      </w:r>
      <w:r>
        <w:rPr>
          <w:sz w:val="24"/>
        </w:rPr>
        <w:t>. In such a case, and if the </w:t>
      </w:r>
      <w:r>
        <w:rPr>
          <w:i/>
          <w:sz w:val="24"/>
        </w:rPr>
        <w:t>AER </w:t>
      </w:r>
      <w:r>
        <w:rPr>
          <w:sz w:val="24"/>
        </w:rPr>
        <w:t>considers it appropriate to do so, the </w:t>
      </w:r>
      <w:r>
        <w:rPr>
          <w:i/>
          <w:sz w:val="24"/>
        </w:rPr>
        <w:t>AER </w:t>
      </w:r>
      <w:r>
        <w:rPr>
          <w:sz w:val="24"/>
        </w:rPr>
        <w:t>may choose to notify only those </w:t>
      </w:r>
      <w:r>
        <w:rPr>
          <w:i/>
          <w:sz w:val="24"/>
        </w:rPr>
        <w:t>Registered Participants </w:t>
      </w:r>
      <w:r>
        <w:rPr>
          <w:sz w:val="24"/>
        </w:rPr>
        <w:t>to whom these additional or more onerous requirements or procedures and standards</w:t>
      </w:r>
      <w:r>
        <w:rPr>
          <w:spacing w:val="-5"/>
          <w:sz w:val="24"/>
        </w:rPr>
        <w:t> </w:t>
      </w:r>
      <w:r>
        <w:rPr>
          <w:sz w:val="24"/>
        </w:rPr>
        <w:t>apply.</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Each </w:t>
      </w:r>
      <w:r>
        <w:rPr>
          <w:i/>
          <w:sz w:val="24"/>
        </w:rPr>
        <w:t>Registered Participant </w:t>
      </w:r>
      <w:r>
        <w:rPr>
          <w:sz w:val="24"/>
        </w:rPr>
        <w:t>must comply with all requirements, procedures and standards established by the </w:t>
      </w:r>
      <w:r>
        <w:rPr>
          <w:i/>
          <w:sz w:val="24"/>
        </w:rPr>
        <w:t>AER </w:t>
      </w:r>
      <w:r>
        <w:rPr>
          <w:sz w:val="24"/>
        </w:rPr>
        <w:t>under this rule 8.7 to the extent that they are applicable to it within the time period specified for the requirement, procedure or standard or, if no such time period is specified, within a reasonable time. Each </w:t>
      </w:r>
      <w:r>
        <w:rPr>
          <w:i/>
          <w:sz w:val="24"/>
        </w:rPr>
        <w:t>Registered Participant </w:t>
      </w:r>
      <w:r>
        <w:rPr>
          <w:sz w:val="24"/>
        </w:rPr>
        <w:t>must bear its own costs associated with complying with these requirements, procedures and standards.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34"/>
        </w:numPr>
        <w:tabs>
          <w:tab w:pos="1920" w:val="left" w:leader="none"/>
        </w:tabs>
        <w:spacing w:line="240" w:lineRule="auto" w:before="120" w:after="0"/>
        <w:ind w:left="1919" w:right="414" w:hanging="567"/>
        <w:jc w:val="both"/>
        <w:rPr>
          <w:sz w:val="24"/>
        </w:rPr>
      </w:pPr>
      <w:r>
        <w:rPr>
          <w:sz w:val="24"/>
        </w:rPr>
        <w:t>In complying with its obligations or pursuing its rights under the </w:t>
      </w:r>
      <w:r>
        <w:rPr>
          <w:i/>
          <w:sz w:val="24"/>
        </w:rPr>
        <w:t>Rules</w:t>
      </w:r>
      <w:r>
        <w:rPr>
          <w:sz w:val="24"/>
        </w:rPr>
        <w:t>a </w:t>
      </w:r>
      <w:r>
        <w:rPr>
          <w:i/>
          <w:sz w:val="24"/>
        </w:rPr>
        <w:t>Registered Participant </w:t>
      </w:r>
      <w:r>
        <w:rPr>
          <w:sz w:val="24"/>
        </w:rPr>
        <w:t>must not recklessly or knowingly provide, or permit any other person to provide on behalf of that </w:t>
      </w:r>
      <w:r>
        <w:rPr>
          <w:i/>
          <w:sz w:val="24"/>
        </w:rPr>
        <w:t>Registered Participant</w:t>
      </w:r>
      <w:r>
        <w:rPr>
          <w:sz w:val="24"/>
        </w:rPr>
        <w:t>. misleading or deceptive data or information to any other person </w:t>
      </w:r>
      <w:r>
        <w:rPr>
          <w:spacing w:val="-3"/>
          <w:sz w:val="24"/>
        </w:rPr>
        <w:t>(including </w:t>
      </w:r>
      <w:r>
        <w:rPr>
          <w:sz w:val="24"/>
        </w:rPr>
        <w:t>the </w:t>
      </w:r>
      <w:r>
        <w:rPr>
          <w:i/>
          <w:sz w:val="24"/>
        </w:rPr>
        <w:t>AER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Any </w:t>
      </w:r>
      <w:r>
        <w:rPr>
          <w:i/>
          <w:sz w:val="24"/>
        </w:rPr>
        <w:t>Registered Participant </w:t>
      </w:r>
      <w:r>
        <w:rPr>
          <w:sz w:val="24"/>
        </w:rPr>
        <w:t>may ask the </w:t>
      </w:r>
      <w:r>
        <w:rPr>
          <w:i/>
          <w:sz w:val="24"/>
        </w:rPr>
        <w:t>AER </w:t>
      </w:r>
      <w:r>
        <w:rPr>
          <w:sz w:val="24"/>
        </w:rPr>
        <w:t>to impose additional or more onerous requirements, procedures or standards under clause 8.7.2(d) on a </w:t>
      </w:r>
      <w:r>
        <w:rPr>
          <w:i/>
          <w:sz w:val="24"/>
        </w:rPr>
        <w:t>Registered Participant </w:t>
      </w:r>
      <w:r>
        <w:rPr>
          <w:sz w:val="24"/>
        </w:rPr>
        <w:t>in order to monitor or assess compliance with the </w:t>
      </w:r>
      <w:r>
        <w:rPr>
          <w:i/>
          <w:sz w:val="24"/>
        </w:rPr>
        <w:t>Rules </w:t>
      </w:r>
      <w:r>
        <w:rPr>
          <w:sz w:val="24"/>
        </w:rPr>
        <w:t>by that </w:t>
      </w:r>
      <w:r>
        <w:rPr>
          <w:i/>
          <w:sz w:val="24"/>
        </w:rPr>
        <w:t>Registered Participant</w:t>
      </w:r>
      <w:r>
        <w:rPr>
          <w:sz w:val="24"/>
        </w:rPr>
        <w:t>. When such a request is made, the </w:t>
      </w:r>
      <w:r>
        <w:rPr>
          <w:i/>
          <w:sz w:val="24"/>
        </w:rPr>
        <w:t>AER </w:t>
      </w:r>
      <w:r>
        <w:rPr>
          <w:sz w:val="24"/>
        </w:rPr>
        <w:t>may but is not required to impose the additional or more onerous requirements, procedures or</w:t>
      </w:r>
      <w:r>
        <w:rPr>
          <w:spacing w:val="-1"/>
          <w:sz w:val="24"/>
        </w:rPr>
        <w:t> </w:t>
      </w:r>
      <w:r>
        <w:rPr>
          <w:sz w:val="24"/>
        </w:rPr>
        <w:t>standards.</w:t>
      </w:r>
    </w:p>
    <w:p>
      <w:pPr>
        <w:spacing w:before="120"/>
        <w:ind w:left="1919" w:right="414" w:firstLine="0"/>
        <w:jc w:val="both"/>
        <w:rPr>
          <w:sz w:val="24"/>
        </w:rPr>
      </w:pPr>
      <w:r>
        <w:rPr>
          <w:sz w:val="24"/>
        </w:rPr>
        <w:t>If the </w:t>
      </w:r>
      <w:r>
        <w:rPr>
          <w:i/>
          <w:sz w:val="24"/>
        </w:rPr>
        <w:t>AER </w:t>
      </w:r>
      <w:r>
        <w:rPr>
          <w:sz w:val="24"/>
        </w:rPr>
        <w:t>decides to impose additional or more onerous requirements, procedures or standards on a </w:t>
      </w:r>
      <w:r>
        <w:rPr>
          <w:i/>
          <w:sz w:val="24"/>
        </w:rPr>
        <w:t>Registered Participant</w:t>
      </w:r>
      <w:r>
        <w:rPr>
          <w:sz w:val="24"/>
        </w:rPr>
        <w:t>, the </w:t>
      </w:r>
      <w:r>
        <w:rPr>
          <w:i/>
          <w:sz w:val="24"/>
        </w:rPr>
        <w:t>AER </w:t>
      </w:r>
      <w:r>
        <w:rPr>
          <w:sz w:val="24"/>
        </w:rPr>
        <w:t>may determine the allocation of costs of any additional compliance monitoring undertaken between the relevant </w:t>
      </w:r>
      <w:r>
        <w:rPr>
          <w:i/>
          <w:sz w:val="24"/>
        </w:rPr>
        <w:t>Registered Participants</w:t>
      </w:r>
      <w:r>
        <w:rPr>
          <w:sz w:val="24"/>
        </w:rPr>
        <w:t>. The relevant </w:t>
      </w:r>
      <w:r>
        <w:rPr>
          <w:i/>
          <w:sz w:val="24"/>
        </w:rPr>
        <w:t>Registered Participants </w:t>
      </w:r>
      <w:r>
        <w:rPr>
          <w:sz w:val="24"/>
        </w:rPr>
        <w:t>must pay such costs as allocated. In the absence of such allocation, the </w:t>
      </w:r>
      <w:r>
        <w:rPr>
          <w:i/>
          <w:sz w:val="24"/>
        </w:rPr>
        <w:t>Registered Participant </w:t>
      </w:r>
      <w:r>
        <w:rPr>
          <w:sz w:val="24"/>
        </w:rPr>
        <w:t>which is subject to the</w:t>
      </w:r>
      <w:r>
        <w:rPr>
          <w:spacing w:val="24"/>
          <w:sz w:val="24"/>
        </w:rPr>
        <w:t> </w:t>
      </w:r>
      <w:r>
        <w:rPr>
          <w:sz w:val="24"/>
        </w:rPr>
        <w:t>additional</w:t>
      </w:r>
    </w:p>
    <w:p>
      <w:pPr>
        <w:spacing w:after="0"/>
        <w:jc w:val="both"/>
        <w:rPr>
          <w:sz w:val="24"/>
        </w:rPr>
        <w:sectPr>
          <w:pgSz w:w="11910" w:h="16840"/>
          <w:pgMar w:header="686" w:footer="637" w:top="1320" w:bottom="820" w:left="1200" w:right="1000"/>
        </w:sectPr>
      </w:pPr>
    </w:p>
    <w:p>
      <w:pPr>
        <w:pStyle w:val="BodyText"/>
        <w:spacing w:before="83"/>
        <w:ind w:left="1919" w:right="415" w:firstLine="0"/>
      </w:pPr>
      <w:r>
        <w:rPr/>
        <w:t>or more onerous requirements, procedures or standards must bear its own costs of compliance.</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implement guidelines in accordance with the </w:t>
      </w:r>
      <w:r>
        <w:rPr>
          <w:i/>
          <w:sz w:val="24"/>
        </w:rPr>
        <w:t>Rules consultation procedures </w:t>
      </w:r>
      <w:r>
        <w:rPr>
          <w:sz w:val="24"/>
        </w:rPr>
        <w:t>governing the exercise of the powers conferred on it by clause 8.7.2(g) which guidelines must set out the matters to which the </w:t>
      </w:r>
      <w:r>
        <w:rPr>
          <w:i/>
          <w:sz w:val="24"/>
        </w:rPr>
        <w:t>AER </w:t>
      </w:r>
      <w:r>
        <w:rPr>
          <w:sz w:val="24"/>
        </w:rPr>
        <w:t>must have regard prior to deciding the allocation of costs of any additional or more onerous requirements, procedures or standards imposed pursuant to clause 8.7.2(g) between the relevant </w:t>
      </w:r>
      <w:r>
        <w:rPr>
          <w:i/>
          <w:sz w:val="24"/>
        </w:rPr>
        <w:t>Registered </w:t>
      </w:r>
      <w:r>
        <w:rPr>
          <w:i/>
          <w:sz w:val="24"/>
        </w:rPr>
        <w:t>Participants</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2" w:right="1020" w:hanging="1134"/>
        <w:jc w:val="left"/>
      </w:pPr>
      <w:bookmarkStart w:name="8.7.3 Consultation required for making g" w:id="2250"/>
      <w:bookmarkEnd w:id="2250"/>
      <w:r>
        <w:rPr>
          <w:b w:val="0"/>
        </w:rPr>
      </w:r>
      <w:bookmarkStart w:name="_bookmark939" w:id="2251"/>
      <w:bookmarkEnd w:id="2251"/>
      <w:r>
        <w:rPr>
          <w:b w:val="0"/>
        </w:rPr>
      </w:r>
      <w:bookmarkStart w:name="_bookmark939" w:id="2252"/>
      <w:bookmarkEnd w:id="2252"/>
      <w:r>
        <w:rPr/>
        <w:t>Consultatio</w:t>
      </w:r>
      <w:r>
        <w:rPr/>
        <w:t>n required for making general regulatory information order (Section 28H of the</w:t>
      </w:r>
      <w:r>
        <w:rPr>
          <w:spacing w:val="-2"/>
        </w:rPr>
        <w:t> </w:t>
      </w:r>
      <w:r>
        <w:rPr/>
        <w:t>NEL)</w:t>
      </w:r>
    </w:p>
    <w:p>
      <w:pPr>
        <w:pStyle w:val="ListParagraph"/>
        <w:numPr>
          <w:ilvl w:val="3"/>
          <w:numId w:val="634"/>
        </w:numPr>
        <w:tabs>
          <w:tab w:pos="1918" w:val="left" w:leader="none"/>
          <w:tab w:pos="1919" w:val="left" w:leader="none"/>
        </w:tabs>
        <w:spacing w:line="240" w:lineRule="auto" w:before="120" w:after="0"/>
        <w:ind w:left="1919" w:right="415" w:hanging="567"/>
        <w:jc w:val="left"/>
        <w:rPr>
          <w:sz w:val="24"/>
        </w:rPr>
      </w:pPr>
      <w:r>
        <w:rPr>
          <w:sz w:val="24"/>
        </w:rPr>
        <w:t>Before the </w:t>
      </w:r>
      <w:r>
        <w:rPr>
          <w:i/>
          <w:sz w:val="24"/>
        </w:rPr>
        <w:t>AER </w:t>
      </w:r>
      <w:r>
        <w:rPr>
          <w:sz w:val="24"/>
        </w:rPr>
        <w:t>makes a </w:t>
      </w:r>
      <w:r>
        <w:rPr>
          <w:i/>
          <w:sz w:val="24"/>
        </w:rPr>
        <w:t>general regulatory information order</w:t>
      </w:r>
      <w:r>
        <w:rPr>
          <w:sz w:val="24"/>
        </w:rPr>
        <w:t>, it</w:t>
      </w:r>
      <w:r>
        <w:rPr>
          <w:spacing w:val="45"/>
          <w:sz w:val="24"/>
        </w:rPr>
        <w:t> </w:t>
      </w:r>
      <w:r>
        <w:rPr>
          <w:sz w:val="24"/>
        </w:rPr>
        <w:t>must publish:</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proposed order;</w:t>
      </w:r>
    </w:p>
    <w:p>
      <w:pPr>
        <w:pStyle w:val="ListParagraph"/>
        <w:numPr>
          <w:ilvl w:val="4"/>
          <w:numId w:val="634"/>
        </w:numPr>
        <w:tabs>
          <w:tab w:pos="2485" w:val="left" w:leader="none"/>
          <w:tab w:pos="2486" w:val="left" w:leader="none"/>
        </w:tabs>
        <w:spacing w:line="240" w:lineRule="auto" w:before="120" w:after="0"/>
        <w:ind w:left="2486" w:right="415" w:hanging="567"/>
        <w:jc w:val="left"/>
        <w:rPr>
          <w:sz w:val="24"/>
        </w:rPr>
      </w:pPr>
      <w:r>
        <w:rPr>
          <w:sz w:val="24"/>
        </w:rPr>
        <w:t>an explanatory statement that sets out objectives of the proposed order; and</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an invitation for written submissions on the proposed</w:t>
      </w:r>
      <w:r>
        <w:rPr>
          <w:spacing w:val="-4"/>
          <w:sz w:val="24"/>
        </w:rPr>
        <w:t> </w:t>
      </w:r>
      <w:r>
        <w:rPr>
          <w:sz w:val="24"/>
        </w:rPr>
        <w:t>order.</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invitation must allow no less than 30 </w:t>
      </w:r>
      <w:r>
        <w:rPr>
          <w:i/>
          <w:sz w:val="24"/>
        </w:rPr>
        <w:t>business days </w:t>
      </w:r>
      <w:r>
        <w:rPr>
          <w:sz w:val="24"/>
        </w:rPr>
        <w:t>for the making of submissions (and the </w:t>
      </w:r>
      <w:r>
        <w:rPr>
          <w:i/>
          <w:sz w:val="24"/>
        </w:rPr>
        <w:t>AER </w:t>
      </w:r>
      <w:r>
        <w:rPr>
          <w:sz w:val="24"/>
        </w:rPr>
        <w:t>is not required to consider any submission made after the period has</w:t>
      </w:r>
      <w:r>
        <w:rPr>
          <w:spacing w:val="-1"/>
          <w:sz w:val="24"/>
        </w:rPr>
        <w:t> </w:t>
      </w:r>
      <w:r>
        <w:rPr>
          <w:sz w:val="24"/>
        </w:rPr>
        <w:t>expired).</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may </w:t>
      </w:r>
      <w:r>
        <w:rPr>
          <w:i/>
          <w:sz w:val="24"/>
        </w:rPr>
        <w:t>publish </w:t>
      </w:r>
      <w:r>
        <w:rPr>
          <w:sz w:val="24"/>
        </w:rPr>
        <w:t>such issues, consultation and discussion papers, and hold such conferences and information sessions, in relation to the proposed order as it considers</w:t>
      </w:r>
      <w:r>
        <w:rPr>
          <w:spacing w:val="-1"/>
          <w:sz w:val="24"/>
        </w:rPr>
        <w:t> </w:t>
      </w:r>
      <w:r>
        <w:rPr>
          <w:sz w:val="24"/>
        </w:rPr>
        <w:t>appropriate.</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Within 80 </w:t>
      </w:r>
      <w:r>
        <w:rPr>
          <w:i/>
          <w:sz w:val="24"/>
        </w:rPr>
        <w:t>business days </w:t>
      </w:r>
      <w:r>
        <w:rPr>
          <w:sz w:val="24"/>
        </w:rPr>
        <w:t>of </w:t>
      </w:r>
      <w:r>
        <w:rPr>
          <w:i/>
          <w:sz w:val="24"/>
        </w:rPr>
        <w:t>publishing </w:t>
      </w:r>
      <w:r>
        <w:rPr>
          <w:sz w:val="24"/>
        </w:rPr>
        <w:t>the documents referred to </w:t>
      </w:r>
      <w:r>
        <w:rPr>
          <w:spacing w:val="-7"/>
          <w:sz w:val="24"/>
        </w:rPr>
        <w:t>in </w:t>
      </w:r>
      <w:r>
        <w:rPr>
          <w:sz w:val="24"/>
        </w:rPr>
        <w:t>paragraph (a), the </w:t>
      </w:r>
      <w:r>
        <w:rPr>
          <w:i/>
          <w:sz w:val="24"/>
        </w:rPr>
        <w:t>AER</w:t>
      </w:r>
      <w:r>
        <w:rPr>
          <w:i/>
          <w:spacing w:val="-1"/>
          <w:sz w:val="24"/>
        </w:rPr>
        <w:t> </w:t>
      </w:r>
      <w:r>
        <w:rPr>
          <w:sz w:val="24"/>
        </w:rPr>
        <w:t>must:</w:t>
      </w:r>
    </w:p>
    <w:p>
      <w:pPr>
        <w:pStyle w:val="ListParagraph"/>
        <w:numPr>
          <w:ilvl w:val="4"/>
          <w:numId w:val="634"/>
        </w:numPr>
        <w:tabs>
          <w:tab w:pos="2485" w:val="left" w:leader="none"/>
          <w:tab w:pos="2486" w:val="left" w:leader="none"/>
        </w:tabs>
        <w:spacing w:line="240" w:lineRule="auto" w:before="120" w:after="0"/>
        <w:ind w:left="2486" w:right="415" w:hanging="567"/>
        <w:jc w:val="left"/>
        <w:rPr>
          <w:sz w:val="24"/>
        </w:rPr>
      </w:pPr>
      <w:r>
        <w:rPr>
          <w:sz w:val="24"/>
        </w:rPr>
        <w:t>consider any submissions made in response to the invitation within the period allowed in the</w:t>
      </w:r>
      <w:r>
        <w:rPr>
          <w:spacing w:val="-1"/>
          <w:sz w:val="24"/>
        </w:rPr>
        <w:t> </w:t>
      </w:r>
      <w:r>
        <w:rPr>
          <w:sz w:val="24"/>
        </w:rPr>
        <w:t>invitation;</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make a final decision on the order;</w:t>
      </w:r>
      <w:r>
        <w:rPr>
          <w:spacing w:val="-3"/>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i/>
          <w:sz w:val="24"/>
        </w:rPr>
        <w:t>publish </w:t>
      </w:r>
      <w:r>
        <w:rPr>
          <w:sz w:val="24"/>
        </w:rPr>
        <w:t>the final decision</w:t>
      </w:r>
      <w:r>
        <w:rPr>
          <w:spacing w:val="-2"/>
          <w:sz w:val="24"/>
        </w:rPr>
        <w:t> </w:t>
      </w:r>
      <w:r>
        <w:rPr>
          <w:sz w:val="24"/>
        </w:rPr>
        <w:t>including:</w:t>
      </w:r>
    </w:p>
    <w:p>
      <w:pPr>
        <w:pStyle w:val="ListParagraph"/>
        <w:numPr>
          <w:ilvl w:val="5"/>
          <w:numId w:val="634"/>
        </w:numPr>
        <w:tabs>
          <w:tab w:pos="3053" w:val="left" w:leader="none"/>
        </w:tabs>
        <w:spacing w:line="240" w:lineRule="auto" w:before="120" w:after="0"/>
        <w:ind w:left="3053" w:right="415" w:hanging="567"/>
        <w:jc w:val="both"/>
        <w:rPr>
          <w:sz w:val="24"/>
        </w:rPr>
      </w:pPr>
      <w:r>
        <w:rPr>
          <w:sz w:val="24"/>
        </w:rPr>
        <w:t>a statement of the reasons for the final decision (including a summary of each material issue raised in the submissions and the </w:t>
      </w:r>
      <w:r>
        <w:rPr>
          <w:i/>
          <w:sz w:val="24"/>
        </w:rPr>
        <w:t>AER's </w:t>
      </w:r>
      <w:r>
        <w:rPr>
          <w:sz w:val="24"/>
        </w:rPr>
        <w:t>response to it);</w:t>
      </w:r>
      <w:r>
        <w:rPr>
          <w:spacing w:val="-1"/>
          <w:sz w:val="24"/>
        </w:rPr>
        <w:t> </w:t>
      </w:r>
      <w:r>
        <w:rPr>
          <w:sz w:val="24"/>
        </w:rPr>
        <w:t>and</w:t>
      </w:r>
    </w:p>
    <w:p>
      <w:pPr>
        <w:pStyle w:val="ListParagraph"/>
        <w:numPr>
          <w:ilvl w:val="5"/>
          <w:numId w:val="634"/>
        </w:numPr>
        <w:tabs>
          <w:tab w:pos="3054" w:val="left" w:leader="none"/>
        </w:tabs>
        <w:spacing w:line="240" w:lineRule="auto" w:before="120" w:after="0"/>
        <w:ind w:left="3053" w:right="415" w:hanging="567"/>
        <w:jc w:val="both"/>
        <w:rPr>
          <w:sz w:val="24"/>
        </w:rPr>
      </w:pPr>
      <w:r>
        <w:rPr>
          <w:sz w:val="24"/>
        </w:rPr>
        <w:t>if the final decision is to make the order (either in the terms in which it was proposed or in modified terms) – the order in its final</w:t>
      </w:r>
      <w:r>
        <w:rPr>
          <w:spacing w:val="-1"/>
          <w:sz w:val="24"/>
        </w:rPr>
        <w:t> </w:t>
      </w:r>
      <w:r>
        <w:rPr>
          <w:sz w:val="24"/>
        </w:rPr>
        <w:t>form.</w:t>
      </w:r>
    </w:p>
    <w:p>
      <w:pPr>
        <w:pStyle w:val="ListParagraph"/>
        <w:numPr>
          <w:ilvl w:val="3"/>
          <w:numId w:val="634"/>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extend the time within which it is required to publish its final decision if:</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consultation involves questions of unusual complexity or difficulty;</w:t>
      </w:r>
      <w:r>
        <w:rPr>
          <w:spacing w:val="-1"/>
          <w:sz w:val="24"/>
        </w:rPr>
        <w:t> </w:t>
      </w:r>
      <w:r>
        <w:rPr>
          <w:sz w:val="24"/>
        </w:rPr>
        <w:t>or</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extension has become necessary because of circumstances beyond the </w:t>
      </w:r>
      <w:r>
        <w:rPr>
          <w:i/>
          <w:sz w:val="24"/>
        </w:rPr>
        <w:t>AER's</w:t>
      </w:r>
      <w:r>
        <w:rPr>
          <w:i/>
          <w:spacing w:val="-1"/>
          <w:sz w:val="24"/>
        </w:rPr>
        <w:t> </w:t>
      </w:r>
      <w:r>
        <w:rPr>
          <w:sz w:val="24"/>
        </w:rPr>
        <w:t>control.</w:t>
      </w:r>
    </w:p>
    <w:p>
      <w:pPr>
        <w:spacing w:after="0" w:line="240" w:lineRule="auto"/>
        <w:jc w:val="both"/>
        <w:rPr>
          <w:sz w:val="24"/>
        </w:rPr>
        <w:sectPr>
          <w:pgSz w:w="11910" w:h="16840"/>
          <w:pgMar w:header="686" w:footer="637" w:top="1320" w:bottom="820" w:left="1200" w:right="1000"/>
        </w:sectPr>
      </w:pPr>
    </w:p>
    <w:p>
      <w:pPr>
        <w:pStyle w:val="Heading4"/>
        <w:numPr>
          <w:ilvl w:val="2"/>
          <w:numId w:val="634"/>
        </w:numPr>
        <w:tabs>
          <w:tab w:pos="1351" w:val="left" w:leader="none"/>
          <w:tab w:pos="1352" w:val="left" w:leader="none"/>
        </w:tabs>
        <w:spacing w:line="240" w:lineRule="auto" w:before="83" w:after="0"/>
        <w:ind w:left="1352" w:right="522" w:hanging="1134"/>
        <w:jc w:val="left"/>
      </w:pPr>
      <w:bookmarkStart w:name="8.7.4 Preparation of network service pro" w:id="2253"/>
      <w:bookmarkEnd w:id="2253"/>
      <w:r>
        <w:rPr>
          <w:b w:val="0"/>
        </w:rPr>
      </w:r>
      <w:bookmarkStart w:name="_bookmark940" w:id="2254"/>
      <w:bookmarkEnd w:id="2254"/>
      <w:r>
        <w:rPr>
          <w:b w:val="0"/>
        </w:rPr>
      </w:r>
      <w:bookmarkStart w:name="_bookmark940" w:id="2255"/>
      <w:bookmarkEnd w:id="2255"/>
      <w:r>
        <w:rPr/>
        <w:t>Preparat</w:t>
      </w:r>
      <w:r>
        <w:rPr/>
        <w:t>ion of network service provider performance report (Section 28V of the</w:t>
      </w:r>
      <w:r>
        <w:rPr>
          <w:spacing w:val="-2"/>
        </w:rPr>
        <w:t> </w:t>
      </w:r>
      <w:r>
        <w:rPr/>
        <w:t>NEL)</w:t>
      </w:r>
    </w:p>
    <w:p>
      <w:pPr>
        <w:pStyle w:val="ListParagraph"/>
        <w:numPr>
          <w:ilvl w:val="3"/>
          <w:numId w:val="634"/>
        </w:numPr>
        <w:tabs>
          <w:tab w:pos="1918" w:val="left" w:leader="none"/>
          <w:tab w:pos="1919" w:val="left" w:leader="none"/>
        </w:tabs>
        <w:spacing w:line="240" w:lineRule="auto" w:before="120" w:after="0"/>
        <w:ind w:left="1919" w:right="415" w:hanging="567"/>
        <w:jc w:val="left"/>
        <w:rPr>
          <w:sz w:val="24"/>
        </w:rPr>
      </w:pPr>
      <w:r>
        <w:rPr>
          <w:sz w:val="24"/>
        </w:rPr>
        <w:t>Before the </w:t>
      </w:r>
      <w:r>
        <w:rPr>
          <w:i/>
          <w:sz w:val="24"/>
        </w:rPr>
        <w:t>AER </w:t>
      </w:r>
      <w:r>
        <w:rPr>
          <w:sz w:val="24"/>
        </w:rPr>
        <w:t>embarks on the preparation of </w:t>
      </w:r>
      <w:r>
        <w:rPr>
          <w:i/>
          <w:sz w:val="24"/>
        </w:rPr>
        <w:t>network service provider </w:t>
      </w:r>
      <w:r>
        <w:rPr>
          <w:i/>
          <w:sz w:val="24"/>
        </w:rPr>
        <w:t>performance reports</w:t>
      </w:r>
      <w:r>
        <w:rPr>
          <w:sz w:val="24"/>
        </w:rPr>
        <w:t>, the </w:t>
      </w:r>
      <w:r>
        <w:rPr>
          <w:i/>
          <w:sz w:val="24"/>
        </w:rPr>
        <w:t>AER </w:t>
      </w:r>
      <w:r>
        <w:rPr>
          <w:sz w:val="24"/>
        </w:rPr>
        <w:t>must consult</w:t>
      </w:r>
      <w:r>
        <w:rPr>
          <w:spacing w:val="-2"/>
          <w:sz w:val="24"/>
        </w:rPr>
        <w:t> </w:t>
      </w:r>
      <w:r>
        <w:rPr>
          <w:sz w:val="24"/>
        </w:rPr>
        <w:t>with:</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i/>
          <w:sz w:val="24"/>
        </w:rPr>
        <w:t>network service providers</w:t>
      </w:r>
      <w:r>
        <w:rPr>
          <w:sz w:val="24"/>
        </w:rPr>
        <w:t>;</w:t>
      </w:r>
      <w:r>
        <w:rPr>
          <w:spacing w:val="-2"/>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6" w:right="415" w:hanging="567"/>
        <w:jc w:val="left"/>
        <w:rPr>
          <w:sz w:val="24"/>
        </w:rPr>
      </w:pPr>
      <w:r>
        <w:rPr>
          <w:sz w:val="24"/>
        </w:rPr>
        <w:t>bodies representative of the </w:t>
      </w:r>
      <w:r>
        <w:rPr>
          <w:i/>
          <w:sz w:val="24"/>
        </w:rPr>
        <w:t>network service providers </w:t>
      </w:r>
      <w:r>
        <w:rPr>
          <w:sz w:val="24"/>
        </w:rPr>
        <w:t>and network service users;</w:t>
      </w:r>
      <w:r>
        <w:rPr>
          <w:spacing w:val="-2"/>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public</w:t>
      </w:r>
      <w:r>
        <w:rPr>
          <w:spacing w:val="-1"/>
          <w:sz w:val="24"/>
        </w:rPr>
        <w:t> </w:t>
      </w:r>
      <w:r>
        <w:rPr>
          <w:sz w:val="24"/>
        </w:rPr>
        <w:t>generally;</w:t>
      </w:r>
    </w:p>
    <w:p>
      <w:pPr>
        <w:spacing w:before="120"/>
        <w:ind w:left="1919" w:right="0" w:firstLine="0"/>
        <w:jc w:val="left"/>
        <w:rPr>
          <w:sz w:val="24"/>
        </w:rPr>
      </w:pPr>
      <w:r>
        <w:rPr>
          <w:sz w:val="24"/>
        </w:rPr>
        <w:t>in order to determine appropriate priorities and objectives to be addressed through the preparation of </w:t>
      </w:r>
      <w:r>
        <w:rPr>
          <w:i/>
          <w:sz w:val="24"/>
        </w:rPr>
        <w:t>network service provider performance reports</w:t>
      </w:r>
      <w:r>
        <w:rPr>
          <w:sz w:val="24"/>
        </w:rPr>
        <w:t>.</w:t>
      </w:r>
    </w:p>
    <w:p>
      <w:pPr>
        <w:pStyle w:val="ListParagraph"/>
        <w:numPr>
          <w:ilvl w:val="3"/>
          <w:numId w:val="634"/>
        </w:numPr>
        <w:tabs>
          <w:tab w:pos="1918" w:val="left" w:leader="none"/>
          <w:tab w:pos="1919" w:val="left" w:leader="none"/>
        </w:tabs>
        <w:spacing w:line="240" w:lineRule="auto" w:before="120" w:after="0"/>
        <w:ind w:left="1919" w:right="416" w:hanging="567"/>
        <w:jc w:val="left"/>
        <w:rPr>
          <w:sz w:val="24"/>
        </w:rPr>
      </w:pPr>
      <w:r>
        <w:rPr>
          <w:sz w:val="24"/>
        </w:rPr>
        <w:t>In the course of preparing a </w:t>
      </w:r>
      <w:r>
        <w:rPr>
          <w:i/>
          <w:sz w:val="24"/>
        </w:rPr>
        <w:t>network service provider performance report</w:t>
      </w:r>
      <w:r>
        <w:rPr>
          <w:sz w:val="24"/>
        </w:rPr>
        <w:t>, the </w:t>
      </w:r>
      <w:r>
        <w:rPr>
          <w:i/>
          <w:sz w:val="24"/>
        </w:rPr>
        <w:t>AER</w:t>
      </w:r>
      <w:r>
        <w:rPr>
          <w:sz w:val="24"/>
        </w:rPr>
        <w: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consult with the </w:t>
      </w:r>
      <w:r>
        <w:rPr>
          <w:i/>
          <w:sz w:val="24"/>
        </w:rPr>
        <w:t>network service provider </w:t>
      </w:r>
      <w:r>
        <w:rPr>
          <w:sz w:val="24"/>
        </w:rPr>
        <w:t>or </w:t>
      </w:r>
      <w:r>
        <w:rPr>
          <w:i/>
          <w:sz w:val="24"/>
        </w:rPr>
        <w:t>network service </w:t>
      </w:r>
      <w:r>
        <w:rPr>
          <w:i/>
          <w:sz w:val="24"/>
        </w:rPr>
        <w:t>providers </w:t>
      </w:r>
      <w:r>
        <w:rPr>
          <w:sz w:val="24"/>
        </w:rPr>
        <w:t>to which the report is to relate;</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consult with the authority responsible for the administration of relevant </w:t>
      </w:r>
      <w:r>
        <w:rPr>
          <w:i/>
          <w:sz w:val="24"/>
        </w:rPr>
        <w:t>jurisdictional electricity legislation </w:t>
      </w:r>
      <w:r>
        <w:rPr>
          <w:sz w:val="24"/>
        </w:rPr>
        <w:t>about relevant safety and technical obligations;</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may consult with any other persons who have, in the </w:t>
      </w:r>
      <w:r>
        <w:rPr>
          <w:i/>
          <w:sz w:val="24"/>
        </w:rPr>
        <w:t>AER's </w:t>
      </w:r>
      <w:r>
        <w:rPr>
          <w:sz w:val="24"/>
        </w:rPr>
        <w:t>opinion, a proper interest in the subject matter of the report;</w:t>
      </w:r>
      <w:r>
        <w:rPr>
          <w:spacing w:val="-3"/>
          <w:sz w:val="24"/>
        </w:rPr>
        <w:t> </w:t>
      </w:r>
      <w:r>
        <w:rPr>
          <w:sz w:val="24"/>
        </w:rPr>
        <w:t>and</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may consult with the</w:t>
      </w:r>
      <w:r>
        <w:rPr>
          <w:spacing w:val="-2"/>
          <w:sz w:val="24"/>
        </w:rPr>
        <w:t> </w:t>
      </w:r>
      <w:r>
        <w:rPr>
          <w:sz w:val="24"/>
        </w:rPr>
        <w:t>public.</w:t>
      </w:r>
    </w:p>
    <w:p>
      <w:pPr>
        <w:spacing w:before="120"/>
        <w:ind w:left="1919" w:right="416" w:hanging="567"/>
        <w:jc w:val="both"/>
        <w:rPr>
          <w:sz w:val="24"/>
        </w:rPr>
      </w:pPr>
      <w:r>
        <w:rPr>
          <w:sz w:val="24"/>
        </w:rPr>
        <w:t>(b1) In preparing a </w:t>
      </w:r>
      <w:r>
        <w:rPr>
          <w:i/>
          <w:sz w:val="24"/>
        </w:rPr>
        <w:t>network service provider performance report</w:t>
      </w:r>
      <w:r>
        <w:rPr>
          <w:sz w:val="24"/>
        </w:rPr>
        <w:t>, the </w:t>
      </w:r>
      <w:r>
        <w:rPr>
          <w:i/>
          <w:sz w:val="24"/>
        </w:rPr>
        <w:t>AER </w:t>
      </w:r>
      <w:r>
        <w:rPr>
          <w:sz w:val="24"/>
        </w:rPr>
        <w:t>must have regard to the </w:t>
      </w:r>
      <w:r>
        <w:rPr>
          <w:i/>
          <w:sz w:val="24"/>
        </w:rPr>
        <w:t>Distribution Reliability Measures Guidelines</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A </w:t>
      </w:r>
      <w:r>
        <w:rPr>
          <w:i/>
          <w:sz w:val="24"/>
        </w:rPr>
        <w:t>network service provider </w:t>
      </w:r>
      <w:r>
        <w:rPr>
          <w:sz w:val="24"/>
        </w:rPr>
        <w:t>to which the report is to</w:t>
      </w:r>
      <w:r>
        <w:rPr>
          <w:spacing w:val="-2"/>
          <w:sz w:val="24"/>
        </w:rPr>
        <w:t> </w:t>
      </w:r>
      <w:r>
        <w:rPr>
          <w:sz w:val="24"/>
        </w:rPr>
        <w:t>relate:</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be allowed an opportunity, at least 30 </w:t>
      </w:r>
      <w:r>
        <w:rPr>
          <w:i/>
          <w:sz w:val="24"/>
        </w:rPr>
        <w:t>business days </w:t>
      </w:r>
      <w:r>
        <w:rPr>
          <w:sz w:val="24"/>
        </w:rPr>
        <w:t>before publication of the report, to submit information and to make submissions relevant to the subject matter of the proposed report;</w:t>
      </w:r>
      <w:r>
        <w:rPr>
          <w:spacing w:val="-17"/>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be allowed an opportunity to comment on material of a factual nature to be included in the</w:t>
      </w:r>
      <w:r>
        <w:rPr>
          <w:spacing w:val="-1"/>
          <w:sz w:val="24"/>
        </w:rPr>
        <w:t> </w:t>
      </w:r>
      <w:r>
        <w:rPr>
          <w:sz w:val="24"/>
        </w:rPr>
        <w:t>report.</w:t>
      </w:r>
    </w:p>
    <w:p>
      <w:pPr>
        <w:pStyle w:val="BodyText"/>
        <w:spacing w:before="10"/>
        <w:ind w:firstLine="0"/>
        <w:jc w:val="left"/>
        <w:rPr>
          <w:sz w:val="12"/>
        </w:rPr>
      </w:pPr>
    </w:p>
    <w:p>
      <w:pPr>
        <w:pStyle w:val="Heading4"/>
        <w:numPr>
          <w:ilvl w:val="2"/>
          <w:numId w:val="634"/>
        </w:numPr>
        <w:tabs>
          <w:tab w:pos="1351" w:val="left" w:leader="none"/>
          <w:tab w:pos="1352" w:val="left" w:leader="none"/>
        </w:tabs>
        <w:spacing w:line="240" w:lineRule="auto" w:before="92" w:after="0"/>
        <w:ind w:left="1351" w:right="0" w:hanging="1134"/>
        <w:jc w:val="left"/>
      </w:pPr>
      <w:bookmarkStart w:name="8.7.5 [Deleted]" w:id="2256"/>
      <w:bookmarkEnd w:id="2256"/>
      <w:r>
        <w:rPr>
          <w:b w:val="0"/>
        </w:rPr>
      </w:r>
      <w:bookmarkStart w:name="_bookmark941" w:id="2257"/>
      <w:bookmarkEnd w:id="2257"/>
      <w:r>
        <w:rPr>
          <w:b w:val="0"/>
        </w:rPr>
      </w:r>
      <w:bookmarkStart w:name="_bookmark941" w:id="2258"/>
      <w:bookmarkEnd w:id="2258"/>
      <w:r>
        <w:rPr/>
        <w:t>[Deleted]</w:t>
      </w:r>
    </w:p>
    <w:p>
      <w:pPr>
        <w:pStyle w:val="BodyText"/>
        <w:spacing w:before="10"/>
        <w:ind w:firstLine="0"/>
        <w:jc w:val="left"/>
        <w:rPr>
          <w:rFonts w:ascii="Arial"/>
          <w:b/>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7.6 Recovery of reporting costs" w:id="2259"/>
      <w:bookmarkEnd w:id="2259"/>
      <w:r>
        <w:rPr>
          <w:b w:val="0"/>
        </w:rPr>
      </w:r>
      <w:bookmarkStart w:name="_bookmark942" w:id="2260"/>
      <w:bookmarkEnd w:id="2260"/>
      <w:r>
        <w:rPr>
          <w:b w:val="0"/>
        </w:rPr>
      </w:r>
      <w:bookmarkStart w:name="_bookmark942" w:id="2261"/>
      <w:bookmarkEnd w:id="2261"/>
      <w:r>
        <w:rPr/>
        <w:t>Recov</w:t>
      </w:r>
      <w:r>
        <w:rPr/>
        <w:t>ery of reporting</w:t>
      </w:r>
      <w:r>
        <w:rPr>
          <w:spacing w:val="-3"/>
        </w:rPr>
        <w:t> </w:t>
      </w:r>
      <w:r>
        <w:rPr/>
        <w:t>costs</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Clause 8.7.6 has no effect in this jurisdiction (see regulation 5A of the </w:t>
      </w:r>
      <w:r>
        <w:rPr>
          <w:i/>
          <w:sz w:val="20"/>
        </w:rPr>
        <w:t>National Electricity </w:t>
      </w:r>
      <w:r>
        <w:rPr>
          <w:i/>
          <w:sz w:val="20"/>
        </w:rPr>
        <w:t>(Northern Territory) (National Uniform Legislation) (Modification) Regulations)</w:t>
      </w:r>
      <w:r>
        <w:rPr>
          <w:sz w:val="20"/>
        </w:rPr>
        <w:t>.</w:t>
      </w:r>
    </w:p>
    <w:p>
      <w:pPr>
        <w:pStyle w:val="BodyText"/>
        <w:ind w:left="1352" w:right="415" w:firstLine="0"/>
      </w:pPr>
      <w:r>
        <w:rPr/>
        <w:t>Where, under the </w:t>
      </w:r>
      <w:r>
        <w:rPr>
          <w:i/>
        </w:rPr>
        <w:t>Rules</w:t>
      </w:r>
      <w:r>
        <w:rPr/>
        <w:t>, </w:t>
      </w:r>
      <w:r>
        <w:rPr>
          <w:i/>
        </w:rPr>
        <w:t>AEMO </w:t>
      </w:r>
      <w:r>
        <w:rPr/>
        <w:t>is entitled or required to publish or give information, notices or reports to:</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any </w:t>
      </w:r>
      <w:r>
        <w:rPr>
          <w:i/>
          <w:sz w:val="24"/>
        </w:rPr>
        <w:t>Registered Participant</w:t>
      </w:r>
      <w:r>
        <w:rPr>
          <w:sz w:val="24"/>
        </w:rPr>
        <w:t>, any court, the </w:t>
      </w:r>
      <w:r>
        <w:rPr>
          <w:i/>
          <w:sz w:val="24"/>
        </w:rPr>
        <w:t>ACCC </w:t>
      </w:r>
      <w:r>
        <w:rPr>
          <w:sz w:val="24"/>
        </w:rPr>
        <w:t>or the </w:t>
      </w:r>
      <w:r>
        <w:rPr>
          <w:i/>
          <w:sz w:val="24"/>
        </w:rPr>
        <w:t>AER</w:t>
      </w:r>
      <w:r>
        <w:rPr>
          <w:sz w:val="24"/>
        </w:rPr>
        <w:t>, unless the context otherwise requires, </w:t>
      </w:r>
      <w:r>
        <w:rPr>
          <w:i/>
          <w:sz w:val="24"/>
        </w:rPr>
        <w:t>AEMO </w:t>
      </w:r>
      <w:r>
        <w:rPr>
          <w:sz w:val="24"/>
        </w:rPr>
        <w:t>must not charge those persons a separate fee for providing them with a copy of the information or report and the costs in providing that service must be recovered through the </w:t>
      </w:r>
      <w:r>
        <w:rPr>
          <w:i/>
          <w:sz w:val="24"/>
        </w:rPr>
        <w:t>Participant fees </w:t>
      </w:r>
      <w:r>
        <w:rPr>
          <w:sz w:val="24"/>
        </w:rPr>
        <w:t>described in rule</w:t>
      </w:r>
      <w:r>
        <w:rPr>
          <w:spacing w:val="-1"/>
          <w:sz w:val="24"/>
        </w:rPr>
        <w:t> </w:t>
      </w:r>
      <w:r>
        <w:rPr>
          <w:sz w:val="24"/>
        </w:rPr>
        <w:t>2.12;</w:t>
      </w:r>
    </w:p>
    <w:p>
      <w:pPr>
        <w:spacing w:after="0" w:line="240" w:lineRule="auto"/>
        <w:jc w:val="both"/>
        <w:rPr>
          <w:sz w:val="24"/>
        </w:rPr>
        <w:sectPr>
          <w:pgSz w:w="11910" w:h="16840"/>
          <w:pgMar w:header="686" w:footer="637" w:top="1320" w:bottom="820" w:left="1200" w:right="1000"/>
        </w:sectPr>
      </w:pPr>
    </w:p>
    <w:p>
      <w:pPr>
        <w:pStyle w:val="ListParagraph"/>
        <w:numPr>
          <w:ilvl w:val="3"/>
          <w:numId w:val="634"/>
        </w:numPr>
        <w:tabs>
          <w:tab w:pos="1918" w:val="left" w:leader="none"/>
          <w:tab w:pos="1919" w:val="left" w:leader="none"/>
        </w:tabs>
        <w:spacing w:line="240" w:lineRule="auto" w:before="83" w:after="0"/>
        <w:ind w:left="1919" w:right="415" w:hanging="567"/>
        <w:jc w:val="left"/>
        <w:rPr>
          <w:sz w:val="24"/>
        </w:rPr>
      </w:pPr>
      <w:r>
        <w:rPr>
          <w:sz w:val="24"/>
        </w:rPr>
        <w:t>any other person, </w:t>
      </w:r>
      <w:r>
        <w:rPr>
          <w:i/>
          <w:sz w:val="24"/>
        </w:rPr>
        <w:t>AEMO </w:t>
      </w:r>
      <w:r>
        <w:rPr>
          <w:sz w:val="24"/>
        </w:rPr>
        <w:t>may charge that person a fee which is appropriate to cover the costs of providing that</w:t>
      </w:r>
      <w:r>
        <w:rPr>
          <w:spacing w:val="-3"/>
          <w:sz w:val="24"/>
        </w:rPr>
        <w:t> </w:t>
      </w:r>
      <w:r>
        <w:rPr>
          <w:sz w:val="24"/>
        </w:rPr>
        <w:t>service.</w:t>
      </w:r>
    </w:p>
    <w:p>
      <w:pPr>
        <w:pStyle w:val="BodyText"/>
        <w:spacing w:before="10"/>
        <w:ind w:firstLine="0"/>
        <w:jc w:val="left"/>
        <w:rPr>
          <w:sz w:val="20"/>
        </w:rPr>
      </w:pPr>
    </w:p>
    <w:p>
      <w:pPr>
        <w:pStyle w:val="Heading2"/>
        <w:tabs>
          <w:tab w:pos="1352" w:val="left" w:leader="none"/>
          <w:tab w:pos="9317" w:val="left" w:leader="none"/>
        </w:tabs>
      </w:pPr>
      <w:bookmarkStart w:name="Part E Reliability panel" w:id="2262"/>
      <w:bookmarkEnd w:id="2262"/>
      <w:r>
        <w:rPr>
          <w:b w:val="0"/>
        </w:rPr>
      </w:r>
      <w:bookmarkStart w:name="_bookmark943" w:id="2263"/>
      <w:bookmarkEnd w:id="2263"/>
      <w:r>
        <w:rPr>
          <w:b w:val="0"/>
        </w:rPr>
      </w:r>
      <w:r>
        <w:rPr>
          <w:shd w:fill="D9D9D9" w:color="auto" w:val="clear"/>
        </w:rPr>
        <w:t>Part E</w:t>
        <w:tab/>
        <w:t>Reliability</w:t>
      </w:r>
      <w:r>
        <w:rPr>
          <w:spacing w:val="-13"/>
          <w:shd w:fill="D9D9D9" w:color="auto" w:val="clear"/>
        </w:rPr>
        <w:t> </w:t>
      </w:r>
      <w:r>
        <w:rPr>
          <w:shd w:fill="D9D9D9" w:color="auto" w:val="clear"/>
        </w:rPr>
        <w:t>panel</w:t>
        <w:tab/>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part has no effect in this jurisdiction (see regulation 5A of the </w:t>
      </w:r>
      <w:r>
        <w:rPr>
          <w:i/>
          <w:sz w:val="20"/>
        </w:rPr>
        <w:t>National Electricity (Northern </w:t>
      </w:r>
      <w:r>
        <w:rPr>
          <w:i/>
          <w:sz w:val="20"/>
        </w:rPr>
        <w:t>Territory) (National Uniform Legislation) (Modification) Regulations)</w:t>
      </w:r>
      <w:r>
        <w:rPr>
          <w:sz w:val="20"/>
        </w:rPr>
        <w:t>.</w:t>
      </w:r>
    </w:p>
    <w:p>
      <w:pPr>
        <w:pStyle w:val="BodyText"/>
        <w:spacing w:before="10"/>
        <w:ind w:firstLine="0"/>
        <w:jc w:val="left"/>
        <w:rPr>
          <w:sz w:val="20"/>
        </w:rPr>
      </w:pPr>
    </w:p>
    <w:p>
      <w:pPr>
        <w:pStyle w:val="Heading3"/>
        <w:numPr>
          <w:ilvl w:val="1"/>
          <w:numId w:val="634"/>
        </w:numPr>
        <w:tabs>
          <w:tab w:pos="1351" w:val="left" w:leader="none"/>
          <w:tab w:pos="1353" w:val="left" w:leader="none"/>
        </w:tabs>
        <w:spacing w:line="240" w:lineRule="auto" w:before="0" w:after="0"/>
        <w:ind w:left="1352" w:right="0" w:hanging="1135"/>
        <w:jc w:val="left"/>
      </w:pPr>
      <w:bookmarkStart w:name="8.8 Reliability Panel" w:id="2264"/>
      <w:bookmarkEnd w:id="2264"/>
      <w:r>
        <w:rPr>
          <w:b w:val="0"/>
        </w:rPr>
      </w:r>
      <w:bookmarkStart w:name="_bookmark944" w:id="2265"/>
      <w:bookmarkEnd w:id="2265"/>
      <w:r>
        <w:rPr>
          <w:b w:val="0"/>
        </w:rPr>
      </w:r>
      <w:bookmarkStart w:name="_bookmark944" w:id="2266"/>
      <w:bookmarkEnd w:id="2266"/>
      <w:r>
        <w:rPr/>
        <w:t>Reliabi</w:t>
      </w:r>
      <w:r>
        <w:rPr/>
        <w:t>lity</w:t>
      </w:r>
      <w:r>
        <w:rPr>
          <w:spacing w:val="-1"/>
        </w:rPr>
        <w:t> </w:t>
      </w:r>
      <w:r>
        <w:rPr/>
        <w:t>Panel</w:t>
      </w:r>
    </w:p>
    <w:p>
      <w:pPr>
        <w:pStyle w:val="Heading4"/>
        <w:numPr>
          <w:ilvl w:val="2"/>
          <w:numId w:val="634"/>
        </w:numPr>
        <w:tabs>
          <w:tab w:pos="1351" w:val="left" w:leader="none"/>
          <w:tab w:pos="1352" w:val="left" w:leader="none"/>
        </w:tabs>
        <w:spacing w:line="240" w:lineRule="auto" w:before="240" w:after="0"/>
        <w:ind w:left="1351" w:right="0" w:hanging="1134"/>
        <w:jc w:val="left"/>
      </w:pPr>
      <w:bookmarkStart w:name="8.8.1 Purpose of Reliability Panel" w:id="2267"/>
      <w:bookmarkEnd w:id="2267"/>
      <w:r>
        <w:rPr>
          <w:b w:val="0"/>
        </w:rPr>
      </w:r>
      <w:bookmarkStart w:name="_bookmark945" w:id="2268"/>
      <w:bookmarkEnd w:id="2268"/>
      <w:r>
        <w:rPr>
          <w:b w:val="0"/>
        </w:rPr>
      </w:r>
      <w:bookmarkStart w:name="_bookmark945" w:id="2269"/>
      <w:bookmarkEnd w:id="2269"/>
      <w:r>
        <w:rPr/>
        <w:t>Purpose</w:t>
      </w:r>
      <w:r>
        <w:rPr/>
        <w:t> of Reliability</w:t>
      </w:r>
      <w:r>
        <w:rPr>
          <w:spacing w:val="-1"/>
        </w:rPr>
        <w:t> </w:t>
      </w:r>
      <w:r>
        <w:rPr/>
        <w:t>Panel</w:t>
      </w:r>
    </w:p>
    <w:p>
      <w:pPr>
        <w:pStyle w:val="ListParagraph"/>
        <w:numPr>
          <w:ilvl w:val="3"/>
          <w:numId w:val="634"/>
        </w:numPr>
        <w:tabs>
          <w:tab w:pos="1918" w:val="left" w:leader="none"/>
          <w:tab w:pos="1919" w:val="left" w:leader="none"/>
        </w:tabs>
        <w:spacing w:line="240" w:lineRule="auto" w:before="120" w:after="0"/>
        <w:ind w:left="1918" w:right="0" w:hanging="567"/>
        <w:jc w:val="left"/>
        <w:rPr>
          <w:sz w:val="24"/>
        </w:rPr>
      </w:pPr>
      <w:r>
        <w:rPr>
          <w:sz w:val="24"/>
        </w:rPr>
        <w:t>The functions of the </w:t>
      </w:r>
      <w:r>
        <w:rPr>
          <w:i/>
          <w:sz w:val="24"/>
        </w:rPr>
        <w:t>Reliability Panel </w:t>
      </w:r>
      <w:r>
        <w:rPr>
          <w:sz w:val="24"/>
        </w:rPr>
        <w:t>are</w:t>
      </w:r>
      <w:r>
        <w:rPr>
          <w:spacing w:val="-3"/>
          <w:sz w:val="24"/>
        </w:rPr>
        <w:t> </w:t>
      </w:r>
      <w:r>
        <w:rPr>
          <w:sz w:val="24"/>
        </w:rPr>
        <w:t>to:</w:t>
      </w:r>
    </w:p>
    <w:p>
      <w:pPr>
        <w:pStyle w:val="ListParagraph"/>
        <w:numPr>
          <w:ilvl w:val="4"/>
          <w:numId w:val="634"/>
        </w:numPr>
        <w:tabs>
          <w:tab w:pos="2485" w:val="left" w:leader="none"/>
          <w:tab w:pos="2486" w:val="left" w:leader="none"/>
        </w:tabs>
        <w:spacing w:line="240" w:lineRule="auto" w:before="120" w:after="0"/>
        <w:ind w:left="2486" w:right="415" w:hanging="567"/>
        <w:jc w:val="left"/>
        <w:rPr>
          <w:sz w:val="24"/>
        </w:rPr>
      </w:pPr>
      <w:r>
        <w:rPr>
          <w:sz w:val="24"/>
        </w:rPr>
        <w:t>monitor, review and report on the performance of the </w:t>
      </w:r>
      <w:r>
        <w:rPr>
          <w:i/>
          <w:sz w:val="24"/>
        </w:rPr>
        <w:t>market </w:t>
      </w:r>
      <w:r>
        <w:rPr>
          <w:sz w:val="24"/>
        </w:rPr>
        <w:t>in </w:t>
      </w:r>
      <w:r>
        <w:rPr>
          <w:spacing w:val="-3"/>
          <w:sz w:val="24"/>
        </w:rPr>
        <w:t>terms </w:t>
      </w:r>
      <w:r>
        <w:rPr>
          <w:sz w:val="24"/>
        </w:rPr>
        <w:t>of </w:t>
      </w:r>
      <w:r>
        <w:rPr>
          <w:i/>
          <w:sz w:val="24"/>
        </w:rPr>
        <w:t>reliability </w:t>
      </w:r>
      <w:r>
        <w:rPr>
          <w:sz w:val="24"/>
        </w:rPr>
        <w:t>of the </w:t>
      </w:r>
      <w:r>
        <w:rPr>
          <w:i/>
          <w:sz w:val="24"/>
        </w:rPr>
        <w:t>power</w:t>
      </w:r>
      <w:r>
        <w:rPr>
          <w:i/>
          <w:spacing w:val="-2"/>
          <w:sz w:val="24"/>
        </w:rPr>
        <w:t> </w:t>
      </w:r>
      <w:r>
        <w:rPr>
          <w:i/>
          <w:sz w:val="24"/>
        </w:rPr>
        <w:t>system</w:t>
      </w:r>
      <w:r>
        <w:rPr>
          <w:sz w:val="24"/>
        </w:rPr>
        <w:t>;</w:t>
      </w:r>
    </w:p>
    <w:p>
      <w:pPr>
        <w:spacing w:before="120"/>
        <w:ind w:left="1919" w:right="0" w:firstLine="0"/>
        <w:jc w:val="left"/>
        <w:rPr>
          <w:sz w:val="24"/>
        </w:rPr>
      </w:pPr>
      <w:r>
        <w:rPr>
          <w:sz w:val="24"/>
        </w:rPr>
        <w:t>(1a) on the advice of </w:t>
      </w:r>
      <w:r>
        <w:rPr>
          <w:i/>
          <w:sz w:val="24"/>
        </w:rPr>
        <w:t>AEMO</w:t>
      </w:r>
      <w:r>
        <w:rPr>
          <w:sz w:val="24"/>
        </w:rPr>
        <w:t>, determine the </w:t>
      </w:r>
      <w:r>
        <w:rPr>
          <w:i/>
          <w:sz w:val="24"/>
        </w:rPr>
        <w:t>system restart standard</w:t>
      </w:r>
      <w:r>
        <w:rPr>
          <w:sz w:val="24"/>
        </w:rPr>
        <w:t>;</w:t>
      </w:r>
    </w:p>
    <w:p>
      <w:pPr>
        <w:spacing w:before="120"/>
        <w:ind w:left="1919" w:right="0" w:firstLine="0"/>
        <w:jc w:val="left"/>
        <w:rPr>
          <w:sz w:val="24"/>
        </w:rPr>
      </w:pPr>
      <w:r>
        <w:rPr>
          <w:sz w:val="24"/>
        </w:rPr>
        <w:t>(1b) review and make recommendations on the </w:t>
      </w:r>
      <w:r>
        <w:rPr>
          <w:i/>
          <w:sz w:val="24"/>
        </w:rPr>
        <w:t>reliability standard </w:t>
      </w:r>
      <w:r>
        <w:rPr>
          <w:sz w:val="24"/>
        </w:rPr>
        <w:t>and</w:t>
      </w:r>
    </w:p>
    <w:p>
      <w:pPr>
        <w:spacing w:before="0"/>
        <w:ind w:left="2486" w:right="0" w:firstLine="0"/>
        <w:jc w:val="left"/>
        <w:rPr>
          <w:sz w:val="24"/>
        </w:rPr>
      </w:pPr>
      <w:r>
        <w:rPr>
          <w:i/>
          <w:sz w:val="24"/>
        </w:rPr>
        <w:t>reliability settings </w:t>
      </w:r>
      <w:r>
        <w:rPr>
          <w:sz w:val="24"/>
        </w:rPr>
        <w:t>under clause 3.9.3A;</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review and, on the advice of </w:t>
      </w:r>
      <w:r>
        <w:rPr>
          <w:i/>
          <w:sz w:val="24"/>
        </w:rPr>
        <w:t>AEMO</w:t>
      </w:r>
      <w:r>
        <w:rPr>
          <w:sz w:val="24"/>
        </w:rPr>
        <w:t>, determine the </w:t>
      </w:r>
      <w:r>
        <w:rPr>
          <w:i/>
          <w:sz w:val="24"/>
        </w:rPr>
        <w:t>power system </w:t>
      </w:r>
      <w:r>
        <w:rPr>
          <w:i/>
          <w:sz w:val="24"/>
        </w:rPr>
        <w:t>security</w:t>
      </w:r>
      <w:r>
        <w:rPr>
          <w:i/>
          <w:spacing w:val="-2"/>
          <w:sz w:val="24"/>
        </w:rPr>
        <w:t> </w:t>
      </w:r>
      <w:r>
        <w:rPr>
          <w:i/>
          <w:sz w:val="24"/>
        </w:rPr>
        <w:t>standards</w:t>
      </w:r>
      <w:r>
        <w:rPr>
          <w:sz w:val="24"/>
        </w:rPr>
        <w:t>;</w:t>
      </w:r>
    </w:p>
    <w:p>
      <w:pPr>
        <w:pStyle w:val="BodyText"/>
        <w:ind w:left="2486" w:right="414"/>
      </w:pPr>
      <w:r>
        <w:rPr/>
        <w:t>(2a) for the purposes of clause 4.2.6(b), develop and </w:t>
      </w:r>
      <w:r>
        <w:rPr>
          <w:i/>
        </w:rPr>
        <w:t>publish </w:t>
      </w:r>
      <w:r>
        <w:rPr/>
        <w:t>principles and guidelines that determine how </w:t>
      </w:r>
      <w:r>
        <w:rPr>
          <w:i/>
        </w:rPr>
        <w:t>AEMO </w:t>
      </w:r>
      <w:r>
        <w:rPr/>
        <w:t>should maintain </w:t>
      </w:r>
      <w:r>
        <w:rPr>
          <w:i/>
        </w:rPr>
        <w:t>power system </w:t>
      </w:r>
      <w:r>
        <w:rPr>
          <w:i/>
        </w:rPr>
        <w:t>security </w:t>
      </w:r>
      <w:r>
        <w:rPr/>
        <w:t>while taking into account the costs and benefits to the extent practicable;</w:t>
      </w:r>
    </w:p>
    <w:p>
      <w:pPr>
        <w:spacing w:before="120"/>
        <w:ind w:left="2486" w:right="414" w:hanging="567"/>
        <w:jc w:val="both"/>
        <w:rPr>
          <w:sz w:val="24"/>
        </w:rPr>
      </w:pPr>
      <w:r>
        <w:rPr>
          <w:sz w:val="24"/>
        </w:rPr>
        <w:t>(2b) determine, and modify as necessary, and </w:t>
      </w:r>
      <w:r>
        <w:rPr>
          <w:i/>
          <w:sz w:val="24"/>
        </w:rPr>
        <w:t>publish </w:t>
      </w:r>
      <w:r>
        <w:rPr>
          <w:sz w:val="24"/>
        </w:rPr>
        <w:t>the </w:t>
      </w:r>
      <w:r>
        <w:rPr>
          <w:i/>
          <w:sz w:val="24"/>
        </w:rPr>
        <w:t>template for </w:t>
      </w:r>
      <w:r>
        <w:rPr>
          <w:i/>
          <w:sz w:val="24"/>
        </w:rPr>
        <w:t>generator compliance programs</w:t>
      </w:r>
      <w:r>
        <w:rPr>
          <w:sz w:val="24"/>
        </w:rPr>
        <w:t>;</w:t>
      </w:r>
    </w:p>
    <w:p>
      <w:pPr>
        <w:spacing w:before="120"/>
        <w:ind w:left="2486" w:right="414" w:hanging="567"/>
        <w:jc w:val="both"/>
        <w:rPr>
          <w:sz w:val="24"/>
        </w:rPr>
      </w:pPr>
      <w:r>
        <w:rPr>
          <w:sz w:val="24"/>
        </w:rPr>
        <w:t>(2c) on the advice of </w:t>
      </w:r>
      <w:r>
        <w:rPr>
          <w:i/>
          <w:sz w:val="24"/>
        </w:rPr>
        <w:t>AEMO</w:t>
      </w:r>
      <w:r>
        <w:rPr>
          <w:sz w:val="24"/>
        </w:rPr>
        <w:t>, determine which </w:t>
      </w:r>
      <w:r>
        <w:rPr>
          <w:i/>
          <w:sz w:val="24"/>
        </w:rPr>
        <w:t>non-credible contingency </w:t>
      </w:r>
      <w:r>
        <w:rPr>
          <w:i/>
          <w:sz w:val="24"/>
        </w:rPr>
        <w:t>events </w:t>
      </w:r>
      <w:r>
        <w:rPr>
          <w:sz w:val="24"/>
        </w:rPr>
        <w:t>are to be </w:t>
      </w:r>
      <w:r>
        <w:rPr>
          <w:i/>
          <w:sz w:val="24"/>
        </w:rPr>
        <w:t>protected events </w:t>
      </w:r>
      <w:r>
        <w:rPr>
          <w:sz w:val="24"/>
        </w:rPr>
        <w:t>and any conditions applicable to the determination, in accordance with clause 8.8.4;</w:t>
      </w:r>
    </w:p>
    <w:p>
      <w:pPr>
        <w:spacing w:before="120"/>
        <w:ind w:left="2486" w:right="414" w:hanging="567"/>
        <w:jc w:val="both"/>
        <w:rPr>
          <w:sz w:val="24"/>
        </w:rPr>
      </w:pPr>
      <w:r>
        <w:rPr>
          <w:sz w:val="24"/>
        </w:rPr>
        <w:t>(2d) if the </w:t>
      </w:r>
      <w:r>
        <w:rPr>
          <w:i/>
          <w:sz w:val="24"/>
        </w:rPr>
        <w:t>Reliability Panel </w:t>
      </w:r>
      <w:r>
        <w:rPr>
          <w:sz w:val="24"/>
        </w:rPr>
        <w:t>considers it necessary or desirable, determine guidelines for </w:t>
      </w:r>
      <w:r>
        <w:rPr>
          <w:i/>
          <w:sz w:val="24"/>
        </w:rPr>
        <w:t>power system frequency reviews </w:t>
      </w:r>
      <w:r>
        <w:rPr>
          <w:sz w:val="24"/>
        </w:rPr>
        <w:t>conducted by </w:t>
      </w:r>
      <w:r>
        <w:rPr>
          <w:i/>
          <w:sz w:val="24"/>
        </w:rPr>
        <w:t>AEMO </w:t>
      </w:r>
      <w:r>
        <w:rPr>
          <w:sz w:val="24"/>
        </w:rPr>
        <w:t>under clause 5.20A.1; requests for </w:t>
      </w:r>
      <w:r>
        <w:rPr>
          <w:i/>
          <w:sz w:val="24"/>
        </w:rPr>
        <w:t>protected event </w:t>
      </w:r>
      <w:r>
        <w:rPr>
          <w:sz w:val="24"/>
        </w:rPr>
        <w:t>declaration by </w:t>
      </w:r>
      <w:r>
        <w:rPr>
          <w:i/>
          <w:sz w:val="24"/>
        </w:rPr>
        <w:t>AEMO </w:t>
      </w:r>
      <w:r>
        <w:rPr>
          <w:sz w:val="24"/>
        </w:rPr>
        <w:t>under clause 5.20A.4; or the </w:t>
      </w:r>
      <w:r>
        <w:rPr>
          <w:i/>
          <w:sz w:val="24"/>
        </w:rPr>
        <w:t>Reliability Panel's </w:t>
      </w:r>
      <w:r>
        <w:rPr>
          <w:sz w:val="24"/>
        </w:rPr>
        <w:t>determination of </w:t>
      </w:r>
      <w:r>
        <w:rPr>
          <w:i/>
          <w:sz w:val="24"/>
        </w:rPr>
        <w:t>protected events </w:t>
      </w:r>
      <w:r>
        <w:rPr>
          <w:sz w:val="24"/>
        </w:rPr>
        <w:t>under clause 8.8.4;</w:t>
      </w:r>
    </w:p>
    <w:p>
      <w:pPr>
        <w:pStyle w:val="BodyText"/>
        <w:ind w:left="2486" w:right="415"/>
      </w:pPr>
      <w:r>
        <w:rPr/>
        <w:t>(2e) if the </w:t>
      </w:r>
      <w:r>
        <w:rPr>
          <w:i/>
        </w:rPr>
        <w:t>Reliability Panel </w:t>
      </w:r>
      <w:r>
        <w:rPr/>
        <w:t>considers it necessary or desirable, identify scenarios </w:t>
      </w:r>
      <w:r>
        <w:rPr>
          <w:i/>
        </w:rPr>
        <w:t>AEMO </w:t>
      </w:r>
      <w:r>
        <w:rPr/>
        <w:t>must study in preparing the </w:t>
      </w:r>
      <w:r>
        <w:rPr>
          <w:i/>
        </w:rPr>
        <w:t>EAAP </w:t>
      </w:r>
      <w:r>
        <w:rPr/>
        <w:t>for the purposes of clause</w:t>
      </w:r>
      <w:r>
        <w:rPr>
          <w:spacing w:val="-1"/>
        </w:rPr>
        <w:t> </w:t>
      </w:r>
      <w:r>
        <w:rPr/>
        <w:t>3.7C(k)(1);</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while </w:t>
      </w:r>
      <w:r>
        <w:rPr>
          <w:i/>
          <w:sz w:val="24"/>
        </w:rPr>
        <w:t>AEMO </w:t>
      </w:r>
      <w:r>
        <w:rPr>
          <w:sz w:val="24"/>
        </w:rPr>
        <w:t>has power to issue </w:t>
      </w:r>
      <w:r>
        <w:rPr>
          <w:i/>
          <w:sz w:val="24"/>
        </w:rPr>
        <w:t>directions </w:t>
      </w:r>
      <w:r>
        <w:rPr>
          <w:sz w:val="24"/>
        </w:rPr>
        <w:t>in connection with maintaining or re-establishing the </w:t>
      </w:r>
      <w:r>
        <w:rPr>
          <w:i/>
          <w:sz w:val="24"/>
        </w:rPr>
        <w:t>power system </w:t>
      </w:r>
      <w:r>
        <w:rPr>
          <w:sz w:val="24"/>
        </w:rPr>
        <w:t>in a  </w:t>
      </w:r>
      <w:r>
        <w:rPr>
          <w:i/>
          <w:sz w:val="24"/>
        </w:rPr>
        <w:t>reliable </w:t>
      </w:r>
      <w:r>
        <w:rPr>
          <w:i/>
          <w:sz w:val="24"/>
        </w:rPr>
        <w:t>operating state</w:t>
      </w:r>
      <w:r>
        <w:rPr>
          <w:sz w:val="24"/>
        </w:rPr>
        <w:t>, determine guidelines governing the exercise of that power;</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while </w:t>
      </w:r>
      <w:r>
        <w:rPr>
          <w:i/>
          <w:sz w:val="24"/>
        </w:rPr>
        <w:t>AEMO </w:t>
      </w:r>
      <w:r>
        <w:rPr>
          <w:sz w:val="24"/>
        </w:rPr>
        <w:t>has power to enter into contracts for the provision of </w:t>
      </w:r>
      <w:r>
        <w:rPr>
          <w:i/>
          <w:sz w:val="24"/>
        </w:rPr>
        <w:t>reserves</w:t>
      </w:r>
      <w:r>
        <w:rPr>
          <w:sz w:val="24"/>
        </w:rPr>
        <w:t>, determine policies and guidelines governing </w:t>
      </w:r>
      <w:r>
        <w:rPr>
          <w:i/>
          <w:sz w:val="24"/>
        </w:rPr>
        <w:t>AEMO's </w:t>
      </w:r>
      <w:r>
        <w:rPr>
          <w:sz w:val="24"/>
        </w:rPr>
        <w:t>exercise of that</w:t>
      </w:r>
      <w:r>
        <w:rPr>
          <w:spacing w:val="-2"/>
          <w:sz w:val="24"/>
        </w:rPr>
        <w:t> </w:t>
      </w:r>
      <w:r>
        <w:rPr>
          <w:sz w:val="24"/>
        </w:rPr>
        <w:t>power;</w:t>
      </w:r>
    </w:p>
    <w:p>
      <w:pPr>
        <w:spacing w:after="0" w:line="240" w:lineRule="auto"/>
        <w:jc w:val="both"/>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6" w:right="414" w:hanging="567"/>
        <w:jc w:val="both"/>
        <w:rPr>
          <w:sz w:val="24"/>
        </w:rPr>
      </w:pPr>
      <w:r>
        <w:rPr>
          <w:sz w:val="24"/>
        </w:rPr>
        <w:t>report to the </w:t>
      </w:r>
      <w:r>
        <w:rPr>
          <w:i/>
          <w:sz w:val="24"/>
        </w:rPr>
        <w:t>AEMC </w:t>
      </w:r>
      <w:r>
        <w:rPr>
          <w:sz w:val="24"/>
        </w:rPr>
        <w:t>and </w:t>
      </w:r>
      <w:r>
        <w:rPr>
          <w:i/>
          <w:sz w:val="24"/>
        </w:rPr>
        <w:t>participating jurisdictions </w:t>
      </w:r>
      <w:r>
        <w:rPr>
          <w:sz w:val="24"/>
        </w:rPr>
        <w:t>on overall </w:t>
      </w:r>
      <w:r>
        <w:rPr>
          <w:i/>
          <w:sz w:val="24"/>
        </w:rPr>
        <w:t>power </w:t>
      </w:r>
      <w:r>
        <w:rPr>
          <w:i/>
          <w:sz w:val="24"/>
        </w:rPr>
        <w:t>system reliability </w:t>
      </w:r>
      <w:r>
        <w:rPr>
          <w:sz w:val="24"/>
        </w:rPr>
        <w:t>matters concerning the </w:t>
      </w:r>
      <w:r>
        <w:rPr>
          <w:i/>
          <w:sz w:val="24"/>
        </w:rPr>
        <w:t>power system </w:t>
      </w:r>
      <w:r>
        <w:rPr>
          <w:sz w:val="24"/>
        </w:rPr>
        <w:t>and on the matters referred to in clauses 8.8.1(a)(1b), (2), (2c) and (3), and make recommendations on </w:t>
      </w:r>
      <w:r>
        <w:rPr>
          <w:i/>
          <w:sz w:val="24"/>
        </w:rPr>
        <w:t>market </w:t>
      </w:r>
      <w:r>
        <w:rPr>
          <w:sz w:val="24"/>
        </w:rPr>
        <w:t>changes or changes to the </w:t>
      </w:r>
      <w:r>
        <w:rPr>
          <w:i/>
          <w:sz w:val="24"/>
        </w:rPr>
        <w:t>Rules </w:t>
      </w:r>
      <w:r>
        <w:rPr>
          <w:sz w:val="24"/>
        </w:rPr>
        <w:t>and any other matters which the </w:t>
      </w:r>
      <w:r>
        <w:rPr>
          <w:i/>
          <w:sz w:val="24"/>
        </w:rPr>
        <w:t>Reliability Panel </w:t>
      </w:r>
      <w:r>
        <w:rPr>
          <w:sz w:val="24"/>
        </w:rPr>
        <w:t>considers</w:t>
      </w:r>
      <w:r>
        <w:rPr>
          <w:spacing w:val="-6"/>
          <w:sz w:val="24"/>
        </w:rPr>
        <w:t> </w:t>
      </w:r>
      <w:r>
        <w:rPr>
          <w:sz w:val="24"/>
        </w:rPr>
        <w:t>necessary;</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monitor, review and </w:t>
      </w:r>
      <w:r>
        <w:rPr>
          <w:i/>
          <w:sz w:val="24"/>
        </w:rPr>
        <w:t>publish </w:t>
      </w:r>
      <w:r>
        <w:rPr>
          <w:sz w:val="24"/>
        </w:rPr>
        <w:t>a report on the </w:t>
      </w:r>
      <w:r>
        <w:rPr>
          <w:i/>
          <w:sz w:val="24"/>
        </w:rPr>
        <w:t>system standards </w:t>
      </w:r>
      <w:r>
        <w:rPr>
          <w:sz w:val="24"/>
        </w:rPr>
        <w:t>in terms of whether they appropriately and adequately describe the expected technical performance conditions of the </w:t>
      </w:r>
      <w:r>
        <w:rPr>
          <w:i/>
          <w:sz w:val="24"/>
        </w:rPr>
        <w:t>power</w:t>
      </w:r>
      <w:r>
        <w:rPr>
          <w:i/>
          <w:spacing w:val="-2"/>
          <w:sz w:val="24"/>
        </w:rPr>
        <w:t> </w:t>
      </w:r>
      <w:r>
        <w:rPr>
          <w:i/>
          <w:sz w:val="24"/>
        </w:rPr>
        <w:t>system</w:t>
      </w:r>
      <w:r>
        <w:rPr>
          <w:sz w:val="24"/>
        </w:rPr>
        <w: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monitor, review and </w:t>
      </w:r>
      <w:r>
        <w:rPr>
          <w:i/>
          <w:sz w:val="24"/>
        </w:rPr>
        <w:t>publish </w:t>
      </w:r>
      <w:r>
        <w:rPr>
          <w:sz w:val="24"/>
        </w:rPr>
        <w:t>a report on the implementation of </w:t>
      </w:r>
      <w:r>
        <w:rPr>
          <w:i/>
          <w:sz w:val="24"/>
        </w:rPr>
        <w:t>automatic access standards </w:t>
      </w:r>
      <w:r>
        <w:rPr>
          <w:sz w:val="24"/>
        </w:rPr>
        <w:t>and </w:t>
      </w:r>
      <w:r>
        <w:rPr>
          <w:i/>
          <w:sz w:val="24"/>
        </w:rPr>
        <w:t>minimum access standards</w:t>
      </w:r>
      <w:r>
        <w:rPr>
          <w:i/>
          <w:spacing w:val="37"/>
          <w:sz w:val="24"/>
        </w:rPr>
        <w:t> </w:t>
      </w:r>
      <w:r>
        <w:rPr>
          <w:sz w:val="24"/>
        </w:rPr>
        <w:t>as </w:t>
      </w:r>
      <w:r>
        <w:rPr>
          <w:i/>
          <w:sz w:val="24"/>
        </w:rPr>
        <w:t>performance standards </w:t>
      </w:r>
      <w:r>
        <w:rPr>
          <w:sz w:val="24"/>
        </w:rPr>
        <w:t>in terms of</w:t>
      </w:r>
      <w:r>
        <w:rPr>
          <w:spacing w:val="-3"/>
          <w:sz w:val="24"/>
        </w:rPr>
        <w:t> </w:t>
      </w:r>
      <w:r>
        <w:rPr>
          <w:sz w:val="24"/>
        </w:rPr>
        <w:t>whether:</w:t>
      </w:r>
    </w:p>
    <w:p>
      <w:pPr>
        <w:pStyle w:val="ListParagraph"/>
        <w:numPr>
          <w:ilvl w:val="5"/>
          <w:numId w:val="634"/>
        </w:numPr>
        <w:tabs>
          <w:tab w:pos="3053" w:val="left" w:leader="none"/>
        </w:tabs>
        <w:spacing w:line="240" w:lineRule="auto" w:before="120" w:after="0"/>
        <w:ind w:left="3053" w:right="414" w:hanging="567"/>
        <w:jc w:val="both"/>
        <w:rPr>
          <w:sz w:val="24"/>
        </w:rPr>
      </w:pPr>
      <w:r>
        <w:rPr>
          <w:sz w:val="24"/>
        </w:rPr>
        <w:t>their application is causing, or is likely to cause, a material adverse effect on </w:t>
      </w:r>
      <w:r>
        <w:rPr>
          <w:i/>
          <w:sz w:val="24"/>
        </w:rPr>
        <w:t>power system security</w:t>
      </w:r>
      <w:r>
        <w:rPr>
          <w:sz w:val="24"/>
        </w:rPr>
        <w:t>;</w:t>
      </w:r>
      <w:r>
        <w:rPr>
          <w:spacing w:val="-5"/>
          <w:sz w:val="24"/>
        </w:rPr>
        <w:t> </w:t>
      </w:r>
      <w:r>
        <w:rPr>
          <w:sz w:val="24"/>
        </w:rPr>
        <w:t>and</w:t>
      </w:r>
    </w:p>
    <w:p>
      <w:pPr>
        <w:pStyle w:val="ListParagraph"/>
        <w:numPr>
          <w:ilvl w:val="5"/>
          <w:numId w:val="634"/>
        </w:numPr>
        <w:tabs>
          <w:tab w:pos="3054" w:val="left" w:leader="none"/>
        </w:tabs>
        <w:spacing w:line="240" w:lineRule="auto" w:before="120" w:after="0"/>
        <w:ind w:left="3053" w:right="0" w:hanging="568"/>
        <w:jc w:val="both"/>
        <w:rPr>
          <w:i/>
          <w:sz w:val="24"/>
        </w:rPr>
      </w:pPr>
      <w:r>
        <w:rPr>
          <w:sz w:val="24"/>
        </w:rPr>
        <w:t>the</w:t>
      </w:r>
      <w:r>
        <w:rPr>
          <w:spacing w:val="22"/>
          <w:sz w:val="24"/>
        </w:rPr>
        <w:t> </w:t>
      </w:r>
      <w:r>
        <w:rPr>
          <w:i/>
          <w:sz w:val="24"/>
        </w:rPr>
        <w:t>automatic</w:t>
      </w:r>
      <w:r>
        <w:rPr>
          <w:i/>
          <w:spacing w:val="23"/>
          <w:sz w:val="24"/>
        </w:rPr>
        <w:t> </w:t>
      </w:r>
      <w:r>
        <w:rPr>
          <w:i/>
          <w:sz w:val="24"/>
        </w:rPr>
        <w:t>access</w:t>
      </w:r>
      <w:r>
        <w:rPr>
          <w:i/>
          <w:spacing w:val="23"/>
          <w:sz w:val="24"/>
        </w:rPr>
        <w:t> </w:t>
      </w:r>
      <w:r>
        <w:rPr>
          <w:i/>
          <w:sz w:val="24"/>
        </w:rPr>
        <w:t>standards</w:t>
      </w:r>
      <w:r>
        <w:rPr>
          <w:i/>
          <w:spacing w:val="23"/>
          <w:sz w:val="24"/>
        </w:rPr>
        <w:t> </w:t>
      </w:r>
      <w:r>
        <w:rPr>
          <w:sz w:val="24"/>
        </w:rPr>
        <w:t>and</w:t>
      </w:r>
      <w:r>
        <w:rPr>
          <w:spacing w:val="23"/>
          <w:sz w:val="24"/>
        </w:rPr>
        <w:t> </w:t>
      </w:r>
      <w:r>
        <w:rPr>
          <w:i/>
          <w:sz w:val="24"/>
        </w:rPr>
        <w:t>minimum</w:t>
      </w:r>
      <w:r>
        <w:rPr>
          <w:i/>
          <w:spacing w:val="23"/>
          <w:sz w:val="24"/>
        </w:rPr>
        <w:t> </w:t>
      </w:r>
      <w:r>
        <w:rPr>
          <w:i/>
          <w:sz w:val="24"/>
        </w:rPr>
        <w:t>access</w:t>
      </w:r>
      <w:r>
        <w:rPr>
          <w:i/>
          <w:spacing w:val="23"/>
          <w:sz w:val="24"/>
        </w:rPr>
        <w:t> </w:t>
      </w:r>
      <w:r>
        <w:rPr>
          <w:i/>
          <w:sz w:val="24"/>
        </w:rPr>
        <w:t>standards</w:t>
      </w:r>
    </w:p>
    <w:p>
      <w:pPr>
        <w:pStyle w:val="BodyText"/>
        <w:spacing w:before="0"/>
        <w:ind w:left="3053" w:firstLine="0"/>
      </w:pPr>
      <w:r>
        <w:rPr/>
        <w:t>should be amended or removed;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consider requests made in accordance with clause 5.3.3(b2) and, if appropriate, determine whether an existing Australian or international standard, or a part thereof, is to be adopted as a </w:t>
      </w:r>
      <w:r>
        <w:rPr>
          <w:i/>
          <w:sz w:val="24"/>
        </w:rPr>
        <w:t>plant standard </w:t>
      </w:r>
      <w:r>
        <w:rPr>
          <w:sz w:val="24"/>
        </w:rPr>
        <w:t>for a particular class of </w:t>
      </w:r>
      <w:r>
        <w:rPr>
          <w:i/>
          <w:sz w:val="24"/>
        </w:rPr>
        <w:t>plant</w:t>
      </w:r>
      <w:r>
        <w:rPr>
          <w:sz w:val="24"/>
        </w:rPr>
        <w:t>;</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6" w:hanging="567"/>
        <w:jc w:val="both"/>
        <w:rPr>
          <w:sz w:val="24"/>
        </w:rPr>
      </w:pPr>
      <w:r>
        <w:rPr>
          <w:sz w:val="24"/>
        </w:rPr>
        <w:t>determine guidelines identifying or providing for the identification </w:t>
      </w:r>
      <w:r>
        <w:rPr>
          <w:spacing w:val="-6"/>
          <w:sz w:val="24"/>
        </w:rPr>
        <w:t>of </w:t>
      </w:r>
      <w:r>
        <w:rPr>
          <w:sz w:val="24"/>
        </w:rPr>
        <w:t>operating incidents and other incidents that are of significance for the purposes of the definition of "Reviewable operating incident" in clause 4.8.15.</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In performing its functions set out in clause 8.8.1(a)(1) the </w:t>
      </w:r>
      <w:r>
        <w:rPr>
          <w:i/>
          <w:sz w:val="24"/>
        </w:rPr>
        <w:t>Reliability Panel </w:t>
      </w:r>
      <w:r>
        <w:rPr>
          <w:sz w:val="24"/>
        </w:rPr>
        <w:t>must not monitor, review or report on the performance of the </w:t>
      </w:r>
      <w:r>
        <w:rPr>
          <w:i/>
          <w:sz w:val="24"/>
        </w:rPr>
        <w:t>market </w:t>
      </w:r>
      <w:r>
        <w:rPr>
          <w:sz w:val="24"/>
        </w:rPr>
        <w:t>in terms of </w:t>
      </w:r>
      <w:r>
        <w:rPr>
          <w:i/>
          <w:sz w:val="24"/>
        </w:rPr>
        <w:t>reliability </w:t>
      </w:r>
      <w:r>
        <w:rPr>
          <w:sz w:val="24"/>
        </w:rPr>
        <w:t>of </w:t>
      </w:r>
      <w:r>
        <w:rPr>
          <w:i/>
          <w:sz w:val="24"/>
        </w:rPr>
        <w:t>distribution networks</w:t>
      </w:r>
      <w:r>
        <w:rPr>
          <w:sz w:val="24"/>
        </w:rPr>
        <w:t>, although it may collate, consider and report information in relation to the </w:t>
      </w:r>
      <w:r>
        <w:rPr>
          <w:i/>
          <w:sz w:val="24"/>
        </w:rPr>
        <w:t>reliability </w:t>
      </w:r>
      <w:r>
        <w:rPr>
          <w:sz w:val="24"/>
        </w:rPr>
        <w:t>of </w:t>
      </w:r>
      <w:r>
        <w:rPr>
          <w:i/>
          <w:sz w:val="24"/>
        </w:rPr>
        <w:t>distribution </w:t>
      </w:r>
      <w:r>
        <w:rPr>
          <w:i/>
          <w:sz w:val="24"/>
        </w:rPr>
        <w:t>networks </w:t>
      </w:r>
      <w:r>
        <w:rPr>
          <w:sz w:val="24"/>
        </w:rPr>
        <w:t>as measured against the relevant standards of each </w:t>
      </w:r>
      <w:r>
        <w:rPr>
          <w:i/>
          <w:sz w:val="24"/>
        </w:rPr>
        <w:t>participating </w:t>
      </w:r>
      <w:r>
        <w:rPr>
          <w:i/>
          <w:sz w:val="24"/>
        </w:rPr>
        <w:t>jurisdiction </w:t>
      </w:r>
      <w:r>
        <w:rPr>
          <w:sz w:val="24"/>
        </w:rPr>
        <w:t>in so far as the </w:t>
      </w:r>
      <w:r>
        <w:rPr>
          <w:i/>
          <w:sz w:val="24"/>
        </w:rPr>
        <w:t>reliability </w:t>
      </w:r>
      <w:r>
        <w:rPr>
          <w:sz w:val="24"/>
        </w:rPr>
        <w:t>of those </w:t>
      </w:r>
      <w:r>
        <w:rPr>
          <w:i/>
          <w:sz w:val="24"/>
        </w:rPr>
        <w:t>networks </w:t>
      </w:r>
      <w:r>
        <w:rPr>
          <w:sz w:val="24"/>
        </w:rPr>
        <w:t>impacts on overall </w:t>
      </w:r>
      <w:r>
        <w:rPr>
          <w:i/>
          <w:sz w:val="24"/>
        </w:rPr>
        <w:t>power system</w:t>
      </w:r>
      <w:r>
        <w:rPr>
          <w:i/>
          <w:spacing w:val="-2"/>
          <w:sz w:val="24"/>
        </w:rPr>
        <w:t> </w:t>
      </w:r>
      <w:r>
        <w:rPr>
          <w:i/>
          <w:sz w:val="24"/>
        </w:rPr>
        <w:t>reliability</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principles and guidelines </w:t>
      </w:r>
      <w:r>
        <w:rPr>
          <w:i/>
          <w:sz w:val="24"/>
        </w:rPr>
        <w:t>published </w:t>
      </w:r>
      <w:r>
        <w:rPr>
          <w:sz w:val="24"/>
        </w:rPr>
        <w:t>under clause</w:t>
      </w:r>
      <w:r>
        <w:rPr>
          <w:spacing w:val="-2"/>
          <w:sz w:val="24"/>
        </w:rPr>
        <w:t> </w:t>
      </w:r>
      <w:r>
        <w:rPr>
          <w:sz w:val="24"/>
        </w:rPr>
        <w:t>8.8.1(a)(2a):</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be developed, and may only be amended, in accordance with the consultation process set out in clause</w:t>
      </w:r>
      <w:r>
        <w:rPr>
          <w:spacing w:val="-2"/>
          <w:sz w:val="24"/>
        </w:rPr>
        <w:t> </w:t>
      </w:r>
      <w:r>
        <w:rPr>
          <w:sz w:val="24"/>
        </w:rPr>
        <w:t>8.8.3;</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include transitional arrangements which take into account the need to allow for the development and testing of an </w:t>
      </w:r>
      <w:r>
        <w:rPr>
          <w:spacing w:val="-3"/>
          <w:sz w:val="24"/>
        </w:rPr>
        <w:t>appropriate </w:t>
      </w:r>
      <w:r>
        <w:rPr>
          <w:sz w:val="24"/>
        </w:rPr>
        <w:t>methodology by </w:t>
      </w:r>
      <w:r>
        <w:rPr>
          <w:i/>
          <w:sz w:val="24"/>
        </w:rPr>
        <w:t>AEMO</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take into account the results of any decision to revise </w:t>
      </w:r>
      <w:r>
        <w:rPr>
          <w:i/>
          <w:sz w:val="24"/>
        </w:rPr>
        <w:t>network </w:t>
      </w:r>
      <w:r>
        <w:rPr>
          <w:i/>
          <w:sz w:val="24"/>
        </w:rPr>
        <w:t>constraints</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A request for declaration of a </w:t>
      </w:r>
      <w:r>
        <w:rPr>
          <w:i/>
          <w:sz w:val="24"/>
        </w:rPr>
        <w:t>protected event</w:t>
      </w:r>
      <w:r>
        <w:rPr>
          <w:sz w:val="24"/>
        </w:rPr>
        <w:t>, or revocation of a declaration, may only be made, and must be determined, in accordance with clause 8.8.4.</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8.2 Constitution of the Reliability Pa" w:id="2270"/>
      <w:bookmarkEnd w:id="2270"/>
      <w:r>
        <w:rPr>
          <w:b w:val="0"/>
        </w:rPr>
      </w:r>
      <w:bookmarkStart w:name="_bookmark946" w:id="2271"/>
      <w:bookmarkEnd w:id="2271"/>
      <w:r>
        <w:rPr>
          <w:b w:val="0"/>
        </w:rPr>
      </w:r>
      <w:bookmarkStart w:name="_bookmark946" w:id="2272"/>
      <w:bookmarkEnd w:id="2272"/>
      <w:r>
        <w:rPr/>
        <w:t>Constitutio</w:t>
      </w:r>
      <w:r>
        <w:rPr/>
        <w:t>n of the Reliability</w:t>
      </w:r>
      <w:r>
        <w:rPr>
          <w:spacing w:val="-2"/>
        </w:rPr>
        <w:t> </w:t>
      </w:r>
      <w:r>
        <w:rPr/>
        <w:t>Panel</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w:t>
      </w:r>
      <w:r>
        <w:rPr>
          <w:i/>
          <w:sz w:val="24"/>
        </w:rPr>
        <w:t>Reliability Panel </w:t>
      </w:r>
      <w:r>
        <w:rPr>
          <w:sz w:val="24"/>
        </w:rPr>
        <w:t>must consist</w:t>
      </w:r>
      <w:r>
        <w:rPr>
          <w:spacing w:val="-1"/>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ListParagraph"/>
        <w:numPr>
          <w:ilvl w:val="4"/>
          <w:numId w:val="634"/>
        </w:numPr>
        <w:tabs>
          <w:tab w:pos="2485" w:val="left" w:leader="none"/>
          <w:tab w:pos="2486" w:val="left" w:leader="none"/>
        </w:tabs>
        <w:spacing w:line="240" w:lineRule="auto" w:before="83" w:after="0"/>
        <w:ind w:left="2486" w:right="414" w:hanging="567"/>
        <w:jc w:val="left"/>
        <w:rPr>
          <w:sz w:val="24"/>
        </w:rPr>
      </w:pPr>
      <w:r>
        <w:rPr>
          <w:sz w:val="24"/>
        </w:rPr>
        <w:t>a commissioner of the </w:t>
      </w:r>
      <w:r>
        <w:rPr>
          <w:i/>
          <w:sz w:val="24"/>
        </w:rPr>
        <w:t>AEMC </w:t>
      </w:r>
      <w:r>
        <w:rPr>
          <w:sz w:val="24"/>
        </w:rPr>
        <w:t>appointed by the </w:t>
      </w:r>
      <w:r>
        <w:rPr>
          <w:i/>
          <w:sz w:val="24"/>
        </w:rPr>
        <w:t>AEMC </w:t>
      </w:r>
      <w:r>
        <w:rPr>
          <w:sz w:val="24"/>
        </w:rPr>
        <w:t>to act as chairperson for a period of up to three</w:t>
      </w:r>
      <w:r>
        <w:rPr>
          <w:spacing w:val="-3"/>
          <w:sz w:val="24"/>
        </w:rPr>
        <w:t> </w:t>
      </w:r>
      <w:r>
        <w:rPr>
          <w:sz w:val="24"/>
        </w:rPr>
        <w:t>years;</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chief executive officer or a delegate of </w:t>
      </w:r>
      <w:r>
        <w:rPr>
          <w:i/>
          <w:sz w:val="24"/>
        </w:rPr>
        <w:t>AEMO</w:t>
      </w:r>
      <w:r>
        <w:rPr>
          <w:sz w:val="24"/>
        </w:rPr>
        <w:t>;</w:t>
      </w:r>
      <w:r>
        <w:rPr>
          <w:spacing w:val="-1"/>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5" w:right="0" w:hanging="567"/>
        <w:jc w:val="left"/>
        <w:rPr>
          <w:i/>
          <w:sz w:val="24"/>
        </w:rPr>
      </w:pPr>
      <w:r>
        <w:rPr>
          <w:sz w:val="24"/>
        </w:rPr>
        <w:t>at</w:t>
      </w:r>
      <w:r>
        <w:rPr>
          <w:spacing w:val="21"/>
          <w:sz w:val="24"/>
        </w:rPr>
        <w:t> </w:t>
      </w:r>
      <w:r>
        <w:rPr>
          <w:sz w:val="24"/>
        </w:rPr>
        <w:t>least</w:t>
      </w:r>
      <w:r>
        <w:rPr>
          <w:spacing w:val="22"/>
          <w:sz w:val="24"/>
        </w:rPr>
        <w:t> </w:t>
      </w:r>
      <w:r>
        <w:rPr>
          <w:sz w:val="24"/>
        </w:rPr>
        <w:t>5</w:t>
      </w:r>
      <w:r>
        <w:rPr>
          <w:spacing w:val="22"/>
          <w:sz w:val="24"/>
        </w:rPr>
        <w:t> </w:t>
      </w:r>
      <w:r>
        <w:rPr>
          <w:sz w:val="24"/>
        </w:rPr>
        <w:t>but</w:t>
      </w:r>
      <w:r>
        <w:rPr>
          <w:spacing w:val="21"/>
          <w:sz w:val="24"/>
        </w:rPr>
        <w:t> </w:t>
      </w:r>
      <w:r>
        <w:rPr>
          <w:sz w:val="24"/>
        </w:rPr>
        <w:t>not</w:t>
      </w:r>
      <w:r>
        <w:rPr>
          <w:spacing w:val="22"/>
          <w:sz w:val="24"/>
        </w:rPr>
        <w:t> </w:t>
      </w:r>
      <w:r>
        <w:rPr>
          <w:sz w:val="24"/>
        </w:rPr>
        <w:t>more</w:t>
      </w:r>
      <w:r>
        <w:rPr>
          <w:spacing w:val="22"/>
          <w:sz w:val="24"/>
        </w:rPr>
        <w:t> </w:t>
      </w:r>
      <w:r>
        <w:rPr>
          <w:sz w:val="24"/>
        </w:rPr>
        <w:t>than</w:t>
      </w:r>
      <w:r>
        <w:rPr>
          <w:spacing w:val="21"/>
          <w:sz w:val="24"/>
        </w:rPr>
        <w:t> </w:t>
      </w:r>
      <w:r>
        <w:rPr>
          <w:sz w:val="24"/>
        </w:rPr>
        <w:t>8</w:t>
      </w:r>
      <w:r>
        <w:rPr>
          <w:spacing w:val="22"/>
          <w:sz w:val="24"/>
        </w:rPr>
        <w:t> </w:t>
      </w:r>
      <w:r>
        <w:rPr>
          <w:sz w:val="24"/>
        </w:rPr>
        <w:t>other</w:t>
      </w:r>
      <w:r>
        <w:rPr>
          <w:spacing w:val="22"/>
          <w:sz w:val="24"/>
        </w:rPr>
        <w:t> </w:t>
      </w:r>
      <w:r>
        <w:rPr>
          <w:sz w:val="24"/>
        </w:rPr>
        <w:t>persons</w:t>
      </w:r>
      <w:r>
        <w:rPr>
          <w:spacing w:val="21"/>
          <w:sz w:val="24"/>
        </w:rPr>
        <w:t> </w:t>
      </w:r>
      <w:r>
        <w:rPr>
          <w:sz w:val="24"/>
        </w:rPr>
        <w:t>appointed</w:t>
      </w:r>
      <w:r>
        <w:rPr>
          <w:spacing w:val="22"/>
          <w:sz w:val="24"/>
        </w:rPr>
        <w:t> </w:t>
      </w:r>
      <w:r>
        <w:rPr>
          <w:sz w:val="24"/>
        </w:rPr>
        <w:t>by</w:t>
      </w:r>
      <w:r>
        <w:rPr>
          <w:spacing w:val="22"/>
          <w:sz w:val="24"/>
        </w:rPr>
        <w:t> </w:t>
      </w:r>
      <w:r>
        <w:rPr>
          <w:sz w:val="24"/>
        </w:rPr>
        <w:t>the</w:t>
      </w:r>
      <w:r>
        <w:rPr>
          <w:spacing w:val="21"/>
          <w:sz w:val="24"/>
        </w:rPr>
        <w:t> </w:t>
      </w:r>
      <w:r>
        <w:rPr>
          <w:i/>
          <w:sz w:val="24"/>
        </w:rPr>
        <w:t>AEMC</w:t>
      </w:r>
    </w:p>
    <w:p>
      <w:pPr>
        <w:pStyle w:val="BodyText"/>
        <w:spacing w:before="0"/>
        <w:ind w:left="2486" w:firstLine="0"/>
        <w:jc w:val="left"/>
      </w:pPr>
      <w:r>
        <w:rPr/>
        <w:t>for a period of up to three years, such persons to include:</w:t>
      </w:r>
    </w:p>
    <w:p>
      <w:pPr>
        <w:pStyle w:val="ListParagraph"/>
        <w:numPr>
          <w:ilvl w:val="0"/>
          <w:numId w:val="636"/>
        </w:numPr>
        <w:tabs>
          <w:tab w:pos="3052" w:val="left" w:leader="none"/>
          <w:tab w:pos="3053" w:val="left" w:leader="none"/>
        </w:tabs>
        <w:spacing w:line="240" w:lineRule="auto" w:before="120" w:after="0"/>
        <w:ind w:left="3052" w:right="0" w:hanging="567"/>
        <w:jc w:val="left"/>
        <w:rPr>
          <w:sz w:val="24"/>
        </w:rPr>
      </w:pPr>
      <w:r>
        <w:rPr>
          <w:sz w:val="24"/>
        </w:rPr>
        <w:t>a person representing</w:t>
      </w:r>
      <w:r>
        <w:rPr>
          <w:spacing w:val="-1"/>
          <w:sz w:val="24"/>
        </w:rPr>
        <w:t> </w:t>
      </w:r>
      <w:r>
        <w:rPr>
          <w:i/>
          <w:sz w:val="24"/>
        </w:rPr>
        <w:t>Generators</w:t>
      </w:r>
      <w:r>
        <w:rPr>
          <w:sz w:val="24"/>
        </w:rPr>
        <w:t>;</w:t>
      </w:r>
    </w:p>
    <w:p>
      <w:pPr>
        <w:pStyle w:val="ListParagraph"/>
        <w:numPr>
          <w:ilvl w:val="0"/>
          <w:numId w:val="636"/>
        </w:numPr>
        <w:tabs>
          <w:tab w:pos="3053" w:val="left" w:leader="none"/>
          <w:tab w:pos="3054" w:val="left" w:leader="none"/>
        </w:tabs>
        <w:spacing w:line="240" w:lineRule="auto" w:before="120" w:after="0"/>
        <w:ind w:left="3053" w:right="0" w:hanging="568"/>
        <w:jc w:val="left"/>
        <w:rPr>
          <w:sz w:val="24"/>
        </w:rPr>
      </w:pPr>
      <w:r>
        <w:rPr>
          <w:sz w:val="24"/>
        </w:rPr>
        <w:t>a person representing </w:t>
      </w:r>
      <w:r>
        <w:rPr>
          <w:i/>
          <w:sz w:val="24"/>
        </w:rPr>
        <w:t>Market</w:t>
      </w:r>
      <w:r>
        <w:rPr>
          <w:i/>
          <w:spacing w:val="-3"/>
          <w:sz w:val="24"/>
        </w:rPr>
        <w:t> </w:t>
      </w:r>
      <w:r>
        <w:rPr>
          <w:i/>
          <w:sz w:val="24"/>
        </w:rPr>
        <w:t>Customers</w:t>
      </w:r>
      <w:r>
        <w:rPr>
          <w:sz w:val="24"/>
        </w:rPr>
        <w:t>;</w:t>
      </w:r>
    </w:p>
    <w:p>
      <w:pPr>
        <w:pStyle w:val="ListParagraph"/>
        <w:numPr>
          <w:ilvl w:val="0"/>
          <w:numId w:val="636"/>
        </w:numPr>
        <w:tabs>
          <w:tab w:pos="3053" w:val="left" w:leader="none"/>
          <w:tab w:pos="3054" w:val="left" w:leader="none"/>
        </w:tabs>
        <w:spacing w:line="240" w:lineRule="auto" w:before="120" w:after="0"/>
        <w:ind w:left="3053" w:right="0" w:hanging="568"/>
        <w:jc w:val="left"/>
        <w:rPr>
          <w:sz w:val="24"/>
        </w:rPr>
      </w:pPr>
      <w:r>
        <w:rPr>
          <w:sz w:val="24"/>
        </w:rPr>
        <w:t>a person representing </w:t>
      </w:r>
      <w:r>
        <w:rPr>
          <w:i/>
          <w:sz w:val="24"/>
        </w:rPr>
        <w:t>Transmission Network Service</w:t>
      </w:r>
      <w:r>
        <w:rPr>
          <w:i/>
          <w:spacing w:val="-11"/>
          <w:sz w:val="24"/>
        </w:rPr>
        <w:t> </w:t>
      </w:r>
      <w:r>
        <w:rPr>
          <w:i/>
          <w:sz w:val="24"/>
        </w:rPr>
        <w:t>Providers</w:t>
      </w:r>
      <w:r>
        <w:rPr>
          <w:sz w:val="24"/>
        </w:rPr>
        <w:t>;</w:t>
      </w:r>
    </w:p>
    <w:p>
      <w:pPr>
        <w:pStyle w:val="ListParagraph"/>
        <w:numPr>
          <w:ilvl w:val="0"/>
          <w:numId w:val="636"/>
        </w:numPr>
        <w:tabs>
          <w:tab w:pos="3052" w:val="left" w:leader="none"/>
          <w:tab w:pos="3053" w:val="left" w:leader="none"/>
        </w:tabs>
        <w:spacing w:line="240" w:lineRule="auto" w:before="120" w:after="0"/>
        <w:ind w:left="3052" w:right="0" w:hanging="567"/>
        <w:jc w:val="left"/>
        <w:rPr>
          <w:sz w:val="24"/>
        </w:rPr>
      </w:pPr>
      <w:r>
        <w:rPr>
          <w:sz w:val="24"/>
        </w:rPr>
        <w:t>a person representing </w:t>
      </w:r>
      <w:r>
        <w:rPr>
          <w:i/>
          <w:sz w:val="24"/>
        </w:rPr>
        <w:t>Distribution Network Service</w:t>
      </w:r>
      <w:r>
        <w:rPr>
          <w:i/>
          <w:spacing w:val="-11"/>
          <w:sz w:val="24"/>
        </w:rPr>
        <w:t> </w:t>
      </w:r>
      <w:r>
        <w:rPr>
          <w:i/>
          <w:sz w:val="24"/>
        </w:rPr>
        <w:t>Providers</w:t>
      </w:r>
      <w:r>
        <w:rPr>
          <w:sz w:val="24"/>
        </w:rPr>
        <w:t>;</w:t>
      </w:r>
    </w:p>
    <w:p>
      <w:pPr>
        <w:pStyle w:val="ListParagraph"/>
        <w:numPr>
          <w:ilvl w:val="0"/>
          <w:numId w:val="636"/>
        </w:numPr>
        <w:tabs>
          <w:tab w:pos="3054" w:val="left" w:leader="none"/>
        </w:tabs>
        <w:spacing w:line="240" w:lineRule="auto" w:before="120" w:after="0"/>
        <w:ind w:left="3053" w:right="415" w:hanging="567"/>
        <w:jc w:val="both"/>
        <w:rPr>
          <w:sz w:val="24"/>
        </w:rPr>
      </w:pPr>
      <w:r>
        <w:rPr>
          <w:sz w:val="24"/>
        </w:rPr>
        <w:t>a person representing the interests of end use customers </w:t>
      </w:r>
      <w:r>
        <w:rPr>
          <w:spacing w:val="-5"/>
          <w:sz w:val="24"/>
        </w:rPr>
        <w:t>for </w:t>
      </w:r>
      <w:r>
        <w:rPr>
          <w:sz w:val="24"/>
        </w:rPr>
        <w:t>electricity;</w:t>
      </w:r>
      <w:r>
        <w:rPr>
          <w:spacing w:val="-2"/>
          <w:sz w:val="24"/>
        </w:rPr>
        <w:t> </w:t>
      </w:r>
      <w:r>
        <w:rPr>
          <w:sz w:val="24"/>
        </w:rPr>
        <w:t>and</w:t>
      </w:r>
    </w:p>
    <w:p>
      <w:pPr>
        <w:pStyle w:val="ListParagraph"/>
        <w:numPr>
          <w:ilvl w:val="0"/>
          <w:numId w:val="636"/>
        </w:numPr>
        <w:tabs>
          <w:tab w:pos="3053" w:val="left" w:leader="none"/>
        </w:tabs>
        <w:spacing w:line="240" w:lineRule="auto" w:before="120" w:after="0"/>
        <w:ind w:left="3053" w:right="415" w:hanging="567"/>
        <w:jc w:val="both"/>
        <w:rPr>
          <w:sz w:val="24"/>
        </w:rPr>
      </w:pPr>
      <w:r>
        <w:rPr>
          <w:sz w:val="24"/>
        </w:rPr>
        <w:t>at the </w:t>
      </w:r>
      <w:r>
        <w:rPr>
          <w:i/>
          <w:sz w:val="24"/>
        </w:rPr>
        <w:t>AEMC</w:t>
      </w:r>
      <w:r>
        <w:rPr>
          <w:sz w:val="24"/>
        </w:rPr>
        <w:t>'s discretion, up to 3 other persons representing interests not otherwise represented, in order to achieve the broad representation described in clause</w:t>
      </w:r>
      <w:r>
        <w:rPr>
          <w:spacing w:val="-1"/>
          <w:sz w:val="24"/>
        </w:rPr>
        <w:t> </w:t>
      </w:r>
      <w:r>
        <w:rPr>
          <w:sz w:val="24"/>
        </w:rPr>
        <w:t>8.8.2(c)(1).</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Subject to clause 8.8.2(d) any person who has previously served on the </w:t>
      </w:r>
      <w:r>
        <w:rPr>
          <w:i/>
          <w:sz w:val="24"/>
        </w:rPr>
        <w:t>Reliability Panel </w:t>
      </w:r>
      <w:r>
        <w:rPr>
          <w:sz w:val="24"/>
        </w:rPr>
        <w:t>is eligible for reappointment to the </w:t>
      </w:r>
      <w:r>
        <w:rPr>
          <w:i/>
          <w:sz w:val="24"/>
        </w:rPr>
        <w:t>Reliability Panel </w:t>
      </w:r>
      <w:r>
        <w:rPr>
          <w:sz w:val="24"/>
        </w:rPr>
        <w:t>in accordance with this clause</w:t>
      </w:r>
      <w:r>
        <w:rPr>
          <w:spacing w:val="-2"/>
          <w:sz w:val="24"/>
        </w:rPr>
        <w:t> </w:t>
      </w:r>
      <w:r>
        <w:rPr>
          <w:sz w:val="24"/>
        </w:rPr>
        <w:t>8.8.2.</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In making appointments to the </w:t>
      </w:r>
      <w:r>
        <w:rPr>
          <w:i/>
          <w:sz w:val="24"/>
        </w:rPr>
        <w:t>Reliability Panel </w:t>
      </w:r>
      <w:r>
        <w:rPr>
          <w:sz w:val="24"/>
        </w:rPr>
        <w:t>under clause 8.8.2(a)(3), the </w:t>
      </w:r>
      <w:r>
        <w:rPr>
          <w:i/>
          <w:sz w:val="24"/>
        </w:rPr>
        <w:t>AEMC </w:t>
      </w:r>
      <w:r>
        <w:rPr>
          <w:sz w:val="24"/>
        </w:rPr>
        <w:t>must, to the extent reasonably practicable and subject to clause 8.8.2(c1), give effect to the intention that the persons so</w:t>
      </w:r>
      <w:r>
        <w:rPr>
          <w:spacing w:val="-5"/>
          <w:sz w:val="24"/>
        </w:rPr>
        <w:t> </w:t>
      </w:r>
      <w:r>
        <w:rPr>
          <w:sz w:val="24"/>
        </w:rPr>
        <w:t>appointed: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should be broadly representative, both geographically and by reference to </w:t>
      </w:r>
      <w:r>
        <w:rPr>
          <w:i/>
          <w:sz w:val="24"/>
        </w:rPr>
        <w:t>Registered Participants </w:t>
      </w:r>
      <w:r>
        <w:rPr>
          <w:sz w:val="24"/>
        </w:rPr>
        <w:t>and </w:t>
      </w:r>
      <w:r>
        <w:rPr>
          <w:i/>
          <w:sz w:val="24"/>
        </w:rPr>
        <w:t>participating jurisdictions</w:t>
      </w:r>
      <w:r>
        <w:rPr>
          <w:sz w:val="24"/>
        </w:rPr>
        <w:t>, of those persons with direct interests in the </w:t>
      </w:r>
      <w:r>
        <w:rPr>
          <w:i/>
          <w:sz w:val="24"/>
        </w:rPr>
        <w:t>reliability </w:t>
      </w:r>
      <w:r>
        <w:rPr>
          <w:sz w:val="24"/>
        </w:rPr>
        <w:t>and safety of electricity </w:t>
      </w:r>
      <w:r>
        <w:rPr>
          <w:i/>
          <w:sz w:val="24"/>
        </w:rPr>
        <w:t>supply </w:t>
      </w:r>
      <w:r>
        <w:rPr>
          <w:sz w:val="24"/>
        </w:rPr>
        <w:t>under the </w:t>
      </w:r>
      <w:r>
        <w:rPr>
          <w:i/>
          <w:sz w:val="24"/>
        </w:rPr>
        <w:t>market </w:t>
      </w:r>
      <w:r>
        <w:rPr>
          <w:sz w:val="24"/>
        </w:rPr>
        <w:t>arrangements and in </w:t>
      </w:r>
      <w:r>
        <w:rPr>
          <w:i/>
          <w:sz w:val="24"/>
        </w:rPr>
        <w:t>power system </w:t>
      </w:r>
      <w:r>
        <w:rPr>
          <w:i/>
          <w:sz w:val="24"/>
        </w:rPr>
        <w:t>security</w:t>
      </w:r>
      <w:r>
        <w:rPr>
          <w:sz w:val="24"/>
        </w:rPr>
        <w:t>;</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may include </w:t>
      </w:r>
      <w:r>
        <w:rPr>
          <w:i/>
          <w:sz w:val="24"/>
        </w:rPr>
        <w:t>Registered Participants </w:t>
      </w:r>
      <w:r>
        <w:rPr>
          <w:sz w:val="24"/>
        </w:rPr>
        <w:t>or their </w:t>
      </w:r>
      <w:r>
        <w:rPr>
          <w:i/>
          <w:sz w:val="24"/>
        </w:rPr>
        <w:t>representatives</w:t>
      </w:r>
      <w:r>
        <w:rPr>
          <w:i/>
          <w:spacing w:val="12"/>
          <w:sz w:val="24"/>
        </w:rPr>
        <w:t> </w:t>
      </w:r>
      <w:r>
        <w:rPr>
          <w:sz w:val="24"/>
        </w:rPr>
        <w:t>or</w:t>
      </w:r>
    </w:p>
    <w:p>
      <w:pPr>
        <w:spacing w:before="0"/>
        <w:ind w:left="2486" w:right="0" w:firstLine="0"/>
        <w:jc w:val="both"/>
        <w:rPr>
          <w:sz w:val="24"/>
        </w:rPr>
      </w:pPr>
      <w:r>
        <w:rPr>
          <w:i/>
          <w:sz w:val="24"/>
        </w:rPr>
        <w:t>participating jurisdictions</w:t>
      </w:r>
      <w:r>
        <w:rPr>
          <w:sz w:val="24"/>
        </w:rPr>
        <w:t>;</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must be independent of </w:t>
      </w:r>
      <w:r>
        <w:rPr>
          <w:i/>
          <w:sz w:val="24"/>
        </w:rPr>
        <w:t>AEMO</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except in the case of the persons representing </w:t>
      </w:r>
      <w:r>
        <w:rPr>
          <w:i/>
          <w:sz w:val="24"/>
        </w:rPr>
        <w:t>Network Service </w:t>
      </w:r>
      <w:r>
        <w:rPr>
          <w:i/>
          <w:sz w:val="24"/>
        </w:rPr>
        <w:t>Providers </w:t>
      </w:r>
      <w:r>
        <w:rPr>
          <w:sz w:val="24"/>
        </w:rPr>
        <w:t>appointed under clauses 8.8.2(a)(3)(C) and (D), </w:t>
      </w:r>
      <w:r>
        <w:rPr>
          <w:spacing w:val="-6"/>
          <w:sz w:val="24"/>
        </w:rPr>
        <w:t>be </w:t>
      </w:r>
      <w:r>
        <w:rPr>
          <w:sz w:val="24"/>
        </w:rPr>
        <w:t>independent of all </w:t>
      </w:r>
      <w:r>
        <w:rPr>
          <w:i/>
          <w:sz w:val="24"/>
        </w:rPr>
        <w:t>System</w:t>
      </w:r>
      <w:r>
        <w:rPr>
          <w:i/>
          <w:spacing w:val="-2"/>
          <w:sz w:val="24"/>
        </w:rPr>
        <w:t> </w:t>
      </w:r>
      <w:r>
        <w:rPr>
          <w:i/>
          <w:sz w:val="24"/>
        </w:rPr>
        <w:t>Operators</w:t>
      </w:r>
      <w:r>
        <w:rPr>
          <w:sz w:val="24"/>
        </w:rPr>
        <w:t>,</w:t>
      </w:r>
    </w:p>
    <w:p>
      <w:pPr>
        <w:pStyle w:val="BodyText"/>
        <w:ind w:left="1919" w:firstLine="0"/>
      </w:pPr>
      <w:r>
        <w:rPr/>
        <w:t>and if at any time:</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a person on the </w:t>
      </w:r>
      <w:r>
        <w:rPr>
          <w:i/>
          <w:sz w:val="24"/>
        </w:rPr>
        <w:t>Reliability Panel</w:t>
      </w:r>
      <w:r>
        <w:rPr>
          <w:sz w:val="24"/>
        </w:rPr>
        <w:t>, other than the chief executive officer or a delegate of </w:t>
      </w:r>
      <w:r>
        <w:rPr>
          <w:i/>
          <w:sz w:val="24"/>
        </w:rPr>
        <w:t>AEMO</w:t>
      </w:r>
      <w:r>
        <w:rPr>
          <w:sz w:val="24"/>
        </w:rPr>
        <w:t>, ceases to be independent of </w:t>
      </w:r>
      <w:r>
        <w:rPr>
          <w:i/>
          <w:sz w:val="24"/>
        </w:rPr>
        <w:t>AEMO</w:t>
      </w:r>
      <w:r>
        <w:rPr>
          <w:sz w:val="24"/>
        </w:rPr>
        <w:t>;</w:t>
      </w:r>
      <w:r>
        <w:rPr>
          <w:spacing w:val="-2"/>
          <w:sz w:val="24"/>
        </w:rPr>
        <w:t> </w:t>
      </w:r>
      <w:r>
        <w:rPr>
          <w:sz w:val="24"/>
        </w:rPr>
        <w:t>or</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a person on the </w:t>
      </w:r>
      <w:r>
        <w:rPr>
          <w:i/>
          <w:sz w:val="24"/>
        </w:rPr>
        <w:t>Reliability Panel</w:t>
      </w:r>
      <w:r>
        <w:rPr>
          <w:sz w:val="24"/>
        </w:rPr>
        <w:t>, other than the persons representing </w:t>
      </w:r>
      <w:r>
        <w:rPr>
          <w:i/>
          <w:sz w:val="24"/>
        </w:rPr>
        <w:t>Network Service Providers </w:t>
      </w:r>
      <w:r>
        <w:rPr>
          <w:sz w:val="24"/>
        </w:rPr>
        <w:t>appointed under clauses 8.8.2(a)(3)(C) and (D), ceases to be independent of any </w:t>
      </w:r>
      <w:r>
        <w:rPr>
          <w:i/>
          <w:sz w:val="24"/>
        </w:rPr>
        <w:t>System</w:t>
      </w:r>
      <w:r>
        <w:rPr>
          <w:i/>
          <w:spacing w:val="-2"/>
          <w:sz w:val="24"/>
        </w:rPr>
        <w:t> </w:t>
      </w:r>
      <w:r>
        <w:rPr>
          <w:i/>
          <w:sz w:val="24"/>
        </w:rPr>
        <w:t>Operator</w:t>
      </w:r>
      <w:r>
        <w:rPr>
          <w:sz w:val="24"/>
        </w:rPr>
        <w:t>,</w:t>
      </w:r>
    </w:p>
    <w:p>
      <w:pPr>
        <w:spacing w:before="120"/>
        <w:ind w:left="1919" w:right="0" w:firstLine="0"/>
        <w:jc w:val="both"/>
        <w:rPr>
          <w:sz w:val="24"/>
        </w:rPr>
      </w:pPr>
      <w:r>
        <w:rPr>
          <w:sz w:val="24"/>
        </w:rPr>
        <w:t>the </w:t>
      </w:r>
      <w:r>
        <w:rPr>
          <w:i/>
          <w:sz w:val="24"/>
        </w:rPr>
        <w:t>AEMC </w:t>
      </w:r>
      <w:r>
        <w:rPr>
          <w:sz w:val="24"/>
        </w:rPr>
        <w:t>must remove that person from the </w:t>
      </w:r>
      <w:r>
        <w:rPr>
          <w:i/>
          <w:sz w:val="24"/>
        </w:rPr>
        <w:t>Reliability Panel</w:t>
      </w:r>
      <w:r>
        <w:rPr>
          <w:sz w:val="24"/>
        </w:rPr>
        <w:t>.</w:t>
      </w:r>
    </w:p>
    <w:p>
      <w:pPr>
        <w:pStyle w:val="BodyText"/>
        <w:ind w:left="1919" w:right="414"/>
      </w:pPr>
      <w:r>
        <w:rPr/>
        <w:t>(c1) The persons referred to in clauses 8.8.2(a)(3)(A), (B), (C) and (D) must be appointed and removed by the </w:t>
      </w:r>
      <w:r>
        <w:rPr>
          <w:i/>
        </w:rPr>
        <w:t>AEMC </w:t>
      </w:r>
      <w:r>
        <w:rPr/>
        <w:t>after consultation with the class of </w:t>
      </w:r>
      <w:r>
        <w:rPr>
          <w:i/>
        </w:rPr>
        <w:t>Registered Participants </w:t>
      </w:r>
      <w:r>
        <w:rPr/>
        <w:t>the person is to represent, and the </w:t>
      </w:r>
      <w:r>
        <w:rPr>
          <w:i/>
        </w:rPr>
        <w:t>AEMC </w:t>
      </w:r>
      <w:r>
        <w:rPr/>
        <w:t>must:</w:t>
      </w:r>
    </w:p>
    <w:p>
      <w:pPr>
        <w:spacing w:after="0"/>
        <w:sectPr>
          <w:pgSz w:w="11910" w:h="16840"/>
          <w:pgMar w:header="686" w:footer="637" w:top="1320" w:bottom="820" w:left="1200" w:right="1000"/>
        </w:sectPr>
      </w:pPr>
    </w:p>
    <w:p>
      <w:pPr>
        <w:pStyle w:val="ListParagraph"/>
        <w:numPr>
          <w:ilvl w:val="0"/>
          <w:numId w:val="637"/>
        </w:numPr>
        <w:tabs>
          <w:tab w:pos="2486" w:val="left" w:leader="none"/>
        </w:tabs>
        <w:spacing w:line="240" w:lineRule="auto" w:before="83" w:after="0"/>
        <w:ind w:left="2486" w:right="414" w:hanging="567"/>
        <w:jc w:val="both"/>
        <w:rPr>
          <w:sz w:val="24"/>
        </w:rPr>
      </w:pPr>
      <w:r>
        <w:rPr>
          <w:sz w:val="24"/>
        </w:rPr>
        <w:t>appoint a person agreed to by at least one third in number of </w:t>
      </w:r>
      <w:r>
        <w:rPr>
          <w:spacing w:val="-4"/>
          <w:sz w:val="24"/>
        </w:rPr>
        <w:t>the</w:t>
      </w:r>
      <w:r>
        <w:rPr>
          <w:spacing w:val="52"/>
          <w:sz w:val="24"/>
        </w:rPr>
        <w:t> </w:t>
      </w:r>
      <w:r>
        <w:rPr>
          <w:sz w:val="24"/>
        </w:rPr>
        <w:t>relevant class of </w:t>
      </w:r>
      <w:r>
        <w:rPr>
          <w:i/>
          <w:sz w:val="24"/>
        </w:rPr>
        <w:t>Registered Participants</w:t>
      </w:r>
      <w:r>
        <w:rPr>
          <w:sz w:val="24"/>
        </w:rPr>
        <w:t>, having regard to the preference expressed by the majority of the </w:t>
      </w:r>
      <w:r>
        <w:rPr>
          <w:i/>
          <w:sz w:val="24"/>
        </w:rPr>
        <w:t>Registered Participants </w:t>
      </w:r>
      <w:r>
        <w:rPr>
          <w:sz w:val="24"/>
        </w:rPr>
        <w:t>in the relevant class who responded in writing to the consultation by the </w:t>
      </w:r>
      <w:r>
        <w:rPr>
          <w:i/>
          <w:sz w:val="24"/>
        </w:rPr>
        <w:t>AEMC</w:t>
      </w:r>
      <w:r>
        <w:rPr>
          <w:sz w:val="24"/>
        </w:rPr>
        <w:t>;</w:t>
      </w:r>
      <w:r>
        <w:rPr>
          <w:spacing w:val="-1"/>
          <w:sz w:val="24"/>
        </w:rPr>
        <w:t> </w:t>
      </w:r>
      <w:r>
        <w:rPr>
          <w:sz w:val="24"/>
        </w:rPr>
        <w:t>and</w:t>
      </w:r>
    </w:p>
    <w:p>
      <w:pPr>
        <w:pStyle w:val="ListParagraph"/>
        <w:numPr>
          <w:ilvl w:val="0"/>
          <w:numId w:val="637"/>
        </w:numPr>
        <w:tabs>
          <w:tab w:pos="2486" w:val="left" w:leader="none"/>
        </w:tabs>
        <w:spacing w:line="240" w:lineRule="auto" w:before="120" w:after="0"/>
        <w:ind w:left="2486" w:right="414" w:hanging="567"/>
        <w:jc w:val="both"/>
        <w:rPr>
          <w:sz w:val="24"/>
        </w:rPr>
      </w:pPr>
      <w:r>
        <w:rPr>
          <w:sz w:val="24"/>
        </w:rPr>
        <w:t>commence consultation on the removal of such a person if requested to do so by a member of the relevant class of </w:t>
      </w:r>
      <w:r>
        <w:rPr>
          <w:i/>
          <w:sz w:val="24"/>
        </w:rPr>
        <w:t>Registered Participants</w:t>
      </w:r>
      <w:r>
        <w:rPr>
          <w:sz w:val="24"/>
        </w:rPr>
        <w:t>, and must remove that person if so agreed by at least one third in number of the relevant class of </w:t>
      </w:r>
      <w:r>
        <w:rPr>
          <w:i/>
          <w:sz w:val="24"/>
        </w:rPr>
        <w:t>Registered</w:t>
      </w:r>
      <w:r>
        <w:rPr>
          <w:i/>
          <w:spacing w:val="-1"/>
          <w:sz w:val="24"/>
        </w:rPr>
        <w:t> </w:t>
      </w:r>
      <w:r>
        <w:rPr>
          <w:i/>
          <w:sz w:val="24"/>
        </w:rPr>
        <w:t>Participants</w:t>
      </w:r>
      <w:r>
        <w:rPr>
          <w:sz w:val="24"/>
        </w:rPr>
        <w:t>.</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AEMC </w:t>
      </w:r>
      <w:r>
        <w:rPr>
          <w:sz w:val="24"/>
        </w:rPr>
        <w:t>may remove any member of the </w:t>
      </w:r>
      <w:r>
        <w:rPr>
          <w:i/>
          <w:sz w:val="24"/>
        </w:rPr>
        <w:t>Reliability Panel</w:t>
      </w:r>
      <w:r>
        <w:rPr>
          <w:sz w:val="24"/>
        </w:rPr>
        <w:t>, including the chairperson, at any time during his or her term in the following circumstances:</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person becomes of unsound mind or his or her estate is liable to </w:t>
      </w:r>
      <w:r>
        <w:rPr>
          <w:spacing w:val="-6"/>
          <w:sz w:val="24"/>
        </w:rPr>
        <w:t>be </w:t>
      </w:r>
      <w:r>
        <w:rPr>
          <w:sz w:val="24"/>
        </w:rPr>
        <w:t>dealt with in any way under a law relating to mental health;</w:t>
      </w:r>
      <w:r>
        <w:rPr>
          <w:spacing w:val="-6"/>
          <w:sz w:val="24"/>
        </w:rPr>
        <w:t> </w:t>
      </w:r>
      <w:r>
        <w:rPr>
          <w:sz w:val="24"/>
        </w:rPr>
        <w:t>or</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person fails to discharge the obligations of that office imposed by the</w:t>
      </w:r>
      <w:r>
        <w:rPr>
          <w:spacing w:val="-1"/>
          <w:sz w:val="24"/>
        </w:rPr>
        <w:t> </w:t>
      </w:r>
      <w:r>
        <w:rPr>
          <w:i/>
          <w:sz w:val="24"/>
        </w:rPr>
        <w:t>Rules</w:t>
      </w:r>
      <w:r>
        <w:rPr>
          <w:sz w:val="24"/>
        </w:rPr>
        <w:t>.</w:t>
      </w:r>
    </w:p>
    <w:p>
      <w:pPr>
        <w:pStyle w:val="BodyText"/>
        <w:ind w:left="1919" w:right="414"/>
      </w:pPr>
      <w:r>
        <w:rPr/>
        <w:t>(d1) The persons referred to in clauses 8.8.2(a)(3)(E) and (F) must be appointed and removed by the </w:t>
      </w:r>
      <w:r>
        <w:rPr>
          <w:i/>
        </w:rPr>
        <w:t>AEMC </w:t>
      </w:r>
      <w:r>
        <w:rPr/>
        <w:t>after such consultation as the </w:t>
      </w:r>
      <w:r>
        <w:rPr>
          <w:i/>
        </w:rPr>
        <w:t>AEMC </w:t>
      </w:r>
      <w:r>
        <w:rPr/>
        <w:t>considers appropriate with the classes of interests those persons represent and, subject to such consultation, may be removed at any time for any reason.</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A person may resign from the </w:t>
      </w:r>
      <w:r>
        <w:rPr>
          <w:i/>
          <w:sz w:val="24"/>
        </w:rPr>
        <w:t>Reliability Panel </w:t>
      </w:r>
      <w:r>
        <w:rPr>
          <w:sz w:val="24"/>
        </w:rPr>
        <w:t>by giving notice in writing to that effect to the</w:t>
      </w:r>
      <w:r>
        <w:rPr>
          <w:spacing w:val="-2"/>
          <w:sz w:val="24"/>
        </w:rPr>
        <w:t> </w:t>
      </w:r>
      <w:r>
        <w:rPr>
          <w:i/>
          <w:sz w:val="24"/>
        </w:rPr>
        <w:t>AEMC</w:t>
      </w:r>
      <w:r>
        <w:rPr>
          <w:sz w:val="24"/>
        </w:rPr>
        <w:t>.</w:t>
      </w:r>
    </w:p>
    <w:p>
      <w:pPr>
        <w:pStyle w:val="ListParagraph"/>
        <w:numPr>
          <w:ilvl w:val="3"/>
          <w:numId w:val="634"/>
        </w:numPr>
        <w:tabs>
          <w:tab w:pos="1920" w:val="left" w:leader="none"/>
        </w:tabs>
        <w:spacing w:line="240" w:lineRule="auto" w:before="120" w:after="0"/>
        <w:ind w:left="1919" w:right="413" w:hanging="567"/>
        <w:jc w:val="both"/>
        <w:rPr>
          <w:sz w:val="24"/>
        </w:rPr>
      </w:pPr>
      <w:r>
        <w:rPr>
          <w:sz w:val="24"/>
        </w:rPr>
        <w:t>The </w:t>
      </w:r>
      <w:r>
        <w:rPr>
          <w:i/>
          <w:sz w:val="24"/>
        </w:rPr>
        <w:t>Reliability Panel </w:t>
      </w:r>
      <w:r>
        <w:rPr>
          <w:sz w:val="24"/>
        </w:rPr>
        <w:t>must meet and regulate its meetings and conduct its business in accordance with the</w:t>
      </w:r>
      <w:r>
        <w:rPr>
          <w:spacing w:val="-2"/>
          <w:sz w:val="24"/>
        </w:rPr>
        <w:t> </w:t>
      </w:r>
      <w:r>
        <w:rPr>
          <w:i/>
          <w:sz w:val="24"/>
        </w:rPr>
        <w:t>Rules</w:t>
      </w:r>
      <w:r>
        <w:rPr>
          <w:sz w:val="24"/>
        </w:rPr>
        <w:t>.</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A decision of the </w:t>
      </w:r>
      <w:r>
        <w:rPr>
          <w:i/>
          <w:sz w:val="24"/>
        </w:rPr>
        <w:t>Reliability Panel </w:t>
      </w:r>
      <w:r>
        <w:rPr>
          <w:sz w:val="24"/>
        </w:rPr>
        <w:t>on any matter may be made by a majority of the members comprising the </w:t>
      </w:r>
      <w:r>
        <w:rPr>
          <w:i/>
          <w:sz w:val="24"/>
        </w:rPr>
        <w:t>Reliability Panel</w:t>
      </w:r>
      <w:r>
        <w:rPr>
          <w:sz w:val="24"/>
        </w:rPr>
        <w:t>. Where the members of the </w:t>
      </w:r>
      <w:r>
        <w:rPr>
          <w:i/>
          <w:sz w:val="24"/>
        </w:rPr>
        <w:t>Reliability Panel </w:t>
      </w:r>
      <w:r>
        <w:rPr>
          <w:sz w:val="24"/>
        </w:rPr>
        <w:t>are equally divided on any matter, the chairperson has a casting</w:t>
      </w:r>
      <w:r>
        <w:rPr>
          <w:spacing w:val="-2"/>
          <w:sz w:val="24"/>
        </w:rPr>
        <w:t> </w:t>
      </w:r>
      <w:r>
        <w:rPr>
          <w:sz w:val="24"/>
        </w:rPr>
        <w:t>vote.</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AEMC </w:t>
      </w:r>
      <w:r>
        <w:rPr>
          <w:sz w:val="24"/>
        </w:rPr>
        <w:t>may appoint a commissioner of the </w:t>
      </w:r>
      <w:r>
        <w:rPr>
          <w:i/>
          <w:sz w:val="24"/>
        </w:rPr>
        <w:t>AEMC </w:t>
      </w:r>
      <w:r>
        <w:rPr>
          <w:sz w:val="24"/>
        </w:rPr>
        <w:t>(other than the chairperson of the </w:t>
      </w:r>
      <w:r>
        <w:rPr>
          <w:i/>
          <w:sz w:val="24"/>
        </w:rPr>
        <w:t>AEMC </w:t>
      </w:r>
      <w:r>
        <w:rPr>
          <w:sz w:val="24"/>
        </w:rPr>
        <w:t>or the chairperson of the </w:t>
      </w:r>
      <w:r>
        <w:rPr>
          <w:i/>
          <w:sz w:val="24"/>
        </w:rPr>
        <w:t>Reliability Panel</w:t>
      </w:r>
      <w:r>
        <w:rPr>
          <w:sz w:val="24"/>
        </w:rPr>
        <w:t>) as </w:t>
      </w:r>
      <w:r>
        <w:rPr>
          <w:spacing w:val="-4"/>
          <w:sz w:val="24"/>
        </w:rPr>
        <w:t>the</w:t>
      </w:r>
      <w:r>
        <w:rPr>
          <w:spacing w:val="52"/>
          <w:sz w:val="24"/>
        </w:rPr>
        <w:t> </w:t>
      </w:r>
      <w:r>
        <w:rPr>
          <w:sz w:val="24"/>
        </w:rPr>
        <w:t>acting chairperson of the </w:t>
      </w:r>
      <w:r>
        <w:rPr>
          <w:i/>
          <w:sz w:val="24"/>
        </w:rPr>
        <w:t>Reliability Panel </w:t>
      </w:r>
      <w:r>
        <w:rPr>
          <w:sz w:val="24"/>
        </w:rPr>
        <w:t>on a standing basis. If the chairperson of the </w:t>
      </w:r>
      <w:r>
        <w:rPr>
          <w:i/>
          <w:sz w:val="24"/>
        </w:rPr>
        <w:t>Reliability Panel </w:t>
      </w:r>
      <w:r>
        <w:rPr>
          <w:sz w:val="24"/>
        </w:rPr>
        <w:t>is unable to perform the obligations of that office for an extended period of time (including any period in which a scheduled meeting of the </w:t>
      </w:r>
      <w:r>
        <w:rPr>
          <w:i/>
          <w:sz w:val="24"/>
        </w:rPr>
        <w:t>Reliability Panel </w:t>
      </w:r>
      <w:r>
        <w:rPr>
          <w:sz w:val="24"/>
        </w:rPr>
        <w:t>is held), the chairperson must notify the acting chairperson. The acting chairperson has the powers and functions of the chairperson of the </w:t>
      </w:r>
      <w:r>
        <w:rPr>
          <w:i/>
          <w:sz w:val="24"/>
        </w:rPr>
        <w:t>Reliability Panel </w:t>
      </w:r>
      <w:r>
        <w:rPr>
          <w:sz w:val="24"/>
        </w:rPr>
        <w:t>for such periods of time.</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8.3 Reliability Panel review process" w:id="2273"/>
      <w:bookmarkEnd w:id="2273"/>
      <w:r>
        <w:rPr>
          <w:b w:val="0"/>
        </w:rPr>
      </w:r>
      <w:bookmarkStart w:name="_bookmark947" w:id="2274"/>
      <w:bookmarkEnd w:id="2274"/>
      <w:r>
        <w:rPr>
          <w:b w:val="0"/>
        </w:rPr>
      </w:r>
      <w:bookmarkStart w:name="_bookmark947" w:id="2275"/>
      <w:bookmarkEnd w:id="2275"/>
      <w:r>
        <w:rPr/>
        <w:t>Reliabili</w:t>
      </w:r>
      <w:r>
        <w:rPr/>
        <w:t>ty Panel review</w:t>
      </w:r>
      <w:r>
        <w:rPr>
          <w:spacing w:val="-3"/>
        </w:rPr>
        <w:t> </w:t>
      </w:r>
      <w:r>
        <w:rPr/>
        <w:t>process</w:t>
      </w:r>
    </w:p>
    <w:p>
      <w:pPr>
        <w:pStyle w:val="ListParagraph"/>
        <w:numPr>
          <w:ilvl w:val="3"/>
          <w:numId w:val="634"/>
        </w:numPr>
        <w:tabs>
          <w:tab w:pos="1918" w:val="left" w:leader="none"/>
          <w:tab w:pos="1919" w:val="left" w:leader="none"/>
        </w:tabs>
        <w:spacing w:line="240" w:lineRule="auto" w:before="120" w:after="0"/>
        <w:ind w:left="1918" w:right="0" w:hanging="567"/>
        <w:jc w:val="left"/>
        <w:rPr>
          <w:sz w:val="24"/>
        </w:rPr>
      </w:pPr>
      <w:r>
        <w:rPr>
          <w:sz w:val="24"/>
        </w:rPr>
        <w:t>As soon as practicable, the </w:t>
      </w:r>
      <w:r>
        <w:rPr>
          <w:i/>
          <w:sz w:val="24"/>
        </w:rPr>
        <w:t>Reliability Panel </w:t>
      </w:r>
      <w:r>
        <w:rPr>
          <w:sz w:val="24"/>
        </w:rPr>
        <w:t>must</w:t>
      </w:r>
      <w:r>
        <w:rPr>
          <w:spacing w:val="-6"/>
          <w:sz w:val="24"/>
        </w:rPr>
        <w:t> </w:t>
      </w:r>
      <w:r>
        <w:rPr>
          <w:sz w:val="24"/>
        </w:rPr>
        <w:t>determine:</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power system security</w:t>
      </w:r>
      <w:r>
        <w:rPr>
          <w:i/>
          <w:spacing w:val="-4"/>
          <w:sz w:val="24"/>
        </w:rPr>
        <w:t> </w:t>
      </w:r>
      <w:r>
        <w:rPr>
          <w:i/>
          <w:sz w:val="24"/>
        </w:rPr>
        <w:t>standards</w:t>
      </w:r>
      <w:r>
        <w:rPr>
          <w:sz w:val="24"/>
        </w:rPr>
        <w:t>;</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guidelines referred to in clause</w:t>
      </w:r>
      <w:r>
        <w:rPr>
          <w:spacing w:val="-1"/>
          <w:sz w:val="24"/>
        </w:rPr>
        <w:t> </w:t>
      </w:r>
      <w:r>
        <w:rPr>
          <w:sz w:val="24"/>
        </w:rPr>
        <w:t>8.8.1(a)(3);</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policies and guidelines referred to in clause</w:t>
      </w:r>
      <w:r>
        <w:rPr>
          <w:spacing w:val="-3"/>
          <w:sz w:val="24"/>
        </w:rPr>
        <w:t> </w:t>
      </w:r>
      <w:r>
        <w:rPr>
          <w:sz w:val="24"/>
        </w:rPr>
        <w:t>8.8.1(a)(4);</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guidelines referred to in clause</w:t>
      </w:r>
      <w:r>
        <w:rPr>
          <w:spacing w:val="-1"/>
          <w:sz w:val="24"/>
        </w:rPr>
        <w:t> </w:t>
      </w:r>
      <w:r>
        <w:rPr>
          <w:sz w:val="24"/>
        </w:rPr>
        <w:t>8.8.1(a)(9);</w:t>
      </w:r>
    </w:p>
    <w:p>
      <w:pPr>
        <w:spacing w:after="0" w:line="240" w:lineRule="auto"/>
        <w:jc w:val="left"/>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5" w:right="0" w:hanging="567"/>
        <w:jc w:val="both"/>
        <w:rPr>
          <w:sz w:val="24"/>
        </w:rPr>
      </w:pPr>
      <w:r>
        <w:rPr>
          <w:sz w:val="24"/>
        </w:rPr>
        <w:t>the </w:t>
      </w:r>
      <w:r>
        <w:rPr>
          <w:i/>
          <w:sz w:val="24"/>
        </w:rPr>
        <w:t>system restart standard</w:t>
      </w:r>
      <w:r>
        <w:rPr>
          <w:sz w:val="24"/>
        </w:rPr>
        <w:t>;</w:t>
      </w:r>
      <w:r>
        <w:rPr>
          <w:spacing w:val="-4"/>
          <w:sz w:val="24"/>
        </w:rPr>
        <w:t> </w:t>
      </w:r>
      <w:r>
        <w:rPr>
          <w:sz w:val="24"/>
        </w:rPr>
        <w:t>and</w:t>
      </w:r>
    </w:p>
    <w:p>
      <w:pPr>
        <w:pStyle w:val="ListParagraph"/>
        <w:numPr>
          <w:ilvl w:val="4"/>
          <w:numId w:val="634"/>
        </w:numPr>
        <w:tabs>
          <w:tab w:pos="2486" w:val="left" w:leader="none"/>
        </w:tabs>
        <w:spacing w:line="343" w:lineRule="auto" w:before="120" w:after="0"/>
        <w:ind w:left="1919" w:right="2471" w:firstLine="0"/>
        <w:jc w:val="both"/>
        <w:rPr>
          <w:sz w:val="24"/>
        </w:rPr>
      </w:pPr>
      <w:r>
        <w:rPr>
          <w:sz w:val="24"/>
        </w:rPr>
        <w:t>the </w:t>
      </w:r>
      <w:r>
        <w:rPr>
          <w:i/>
          <w:sz w:val="24"/>
        </w:rPr>
        <w:t>template for generator compliance programs</w:t>
      </w:r>
      <w:r>
        <w:rPr>
          <w:sz w:val="24"/>
        </w:rPr>
        <w:t>, in accordance with this clause</w:t>
      </w:r>
      <w:r>
        <w:rPr>
          <w:spacing w:val="-2"/>
          <w:sz w:val="24"/>
        </w:rPr>
        <w:t> </w:t>
      </w:r>
      <w:r>
        <w:rPr>
          <w:sz w:val="24"/>
        </w:rPr>
        <w:t>8.8.3.</w:t>
      </w:r>
    </w:p>
    <w:p>
      <w:pPr>
        <w:spacing w:before="3"/>
        <w:ind w:left="1352" w:right="0" w:firstLine="0"/>
        <w:jc w:val="both"/>
        <w:rPr>
          <w:sz w:val="24"/>
        </w:rPr>
      </w:pPr>
      <w:r>
        <w:rPr>
          <w:sz w:val="24"/>
        </w:rPr>
        <w:t>(aa) The </w:t>
      </w:r>
      <w:r>
        <w:rPr>
          <w:i/>
          <w:sz w:val="24"/>
        </w:rPr>
        <w:t>system restart standard </w:t>
      </w:r>
      <w:r>
        <w:rPr>
          <w:sz w:val="24"/>
        </w:rPr>
        <w:t>must:</w:t>
      </w:r>
    </w:p>
    <w:p>
      <w:pPr>
        <w:pStyle w:val="ListParagraph"/>
        <w:numPr>
          <w:ilvl w:val="0"/>
          <w:numId w:val="638"/>
        </w:numPr>
        <w:tabs>
          <w:tab w:pos="2486" w:val="left" w:leader="none"/>
        </w:tabs>
        <w:spacing w:line="240" w:lineRule="auto" w:before="120" w:after="0"/>
        <w:ind w:left="2486" w:right="415" w:hanging="567"/>
        <w:jc w:val="both"/>
        <w:rPr>
          <w:sz w:val="24"/>
        </w:rPr>
      </w:pPr>
      <w:r>
        <w:rPr>
          <w:sz w:val="24"/>
        </w:rPr>
        <w:t>be reviewed and determined by the </w:t>
      </w:r>
      <w:r>
        <w:rPr>
          <w:i/>
          <w:sz w:val="24"/>
        </w:rPr>
        <w:t>Reliability Panel </w:t>
      </w:r>
      <w:r>
        <w:rPr>
          <w:sz w:val="24"/>
        </w:rPr>
        <w:t>in accordance with the </w:t>
      </w:r>
      <w:r>
        <w:rPr>
          <w:i/>
          <w:sz w:val="24"/>
        </w:rPr>
        <w:t>SRAS</w:t>
      </w:r>
      <w:r>
        <w:rPr>
          <w:i/>
          <w:spacing w:val="-2"/>
          <w:sz w:val="24"/>
        </w:rPr>
        <w:t> </w:t>
      </w:r>
      <w:r>
        <w:rPr>
          <w:i/>
          <w:sz w:val="24"/>
        </w:rPr>
        <w:t>Objective</w:t>
      </w:r>
      <w:r>
        <w:rPr>
          <w:sz w:val="24"/>
        </w:rPr>
        <w:t>;</w:t>
      </w:r>
    </w:p>
    <w:p>
      <w:pPr>
        <w:pStyle w:val="ListParagraph"/>
        <w:numPr>
          <w:ilvl w:val="0"/>
          <w:numId w:val="638"/>
        </w:numPr>
        <w:tabs>
          <w:tab w:pos="2486" w:val="left" w:leader="none"/>
        </w:tabs>
        <w:spacing w:line="240" w:lineRule="auto" w:before="120" w:after="0"/>
        <w:ind w:left="2486" w:right="415" w:hanging="567"/>
        <w:jc w:val="both"/>
        <w:rPr>
          <w:sz w:val="24"/>
        </w:rPr>
      </w:pPr>
      <w:r>
        <w:rPr>
          <w:sz w:val="24"/>
        </w:rPr>
        <w:t>identify the maximum amount of time within which </w:t>
      </w:r>
      <w:r>
        <w:rPr>
          <w:i/>
          <w:sz w:val="24"/>
        </w:rPr>
        <w:t>system restart </w:t>
      </w:r>
      <w:r>
        <w:rPr>
          <w:i/>
          <w:sz w:val="24"/>
        </w:rPr>
        <w:t>ancillary services </w:t>
      </w:r>
      <w:r>
        <w:rPr>
          <w:sz w:val="24"/>
        </w:rPr>
        <w:t>are required to restore </w:t>
      </w:r>
      <w:r>
        <w:rPr>
          <w:i/>
          <w:sz w:val="24"/>
        </w:rPr>
        <w:t>supply </w:t>
      </w:r>
      <w:r>
        <w:rPr>
          <w:sz w:val="24"/>
        </w:rPr>
        <w:t>in an </w:t>
      </w:r>
      <w:r>
        <w:rPr>
          <w:i/>
          <w:sz w:val="24"/>
        </w:rPr>
        <w:t>electrical sub- </w:t>
      </w:r>
      <w:r>
        <w:rPr>
          <w:i/>
          <w:sz w:val="24"/>
        </w:rPr>
        <w:t>network </w:t>
      </w:r>
      <w:r>
        <w:rPr>
          <w:sz w:val="24"/>
        </w:rPr>
        <w:t>to a specified level, under the assumption that </w:t>
      </w:r>
      <w:r>
        <w:rPr>
          <w:i/>
          <w:sz w:val="24"/>
        </w:rPr>
        <w:t>supply </w:t>
      </w:r>
      <w:r>
        <w:rPr>
          <w:sz w:val="24"/>
        </w:rPr>
        <w:t>(other than that provided under a </w:t>
      </w:r>
      <w:r>
        <w:rPr>
          <w:i/>
          <w:sz w:val="24"/>
        </w:rPr>
        <w:t>system restart ancillary services </w:t>
      </w:r>
      <w:r>
        <w:rPr>
          <w:sz w:val="24"/>
        </w:rPr>
        <w:t>agreement acquired by </w:t>
      </w:r>
      <w:r>
        <w:rPr>
          <w:i/>
          <w:sz w:val="24"/>
        </w:rPr>
        <w:t>AEMO </w:t>
      </w:r>
      <w:r>
        <w:rPr>
          <w:sz w:val="24"/>
        </w:rPr>
        <w:t>for that </w:t>
      </w:r>
      <w:r>
        <w:rPr>
          <w:i/>
          <w:sz w:val="24"/>
        </w:rPr>
        <w:t>electrical sub-network</w:t>
      </w:r>
      <w:r>
        <w:rPr>
          <w:sz w:val="24"/>
        </w:rPr>
        <w:t>) is not available from any neighbouring </w:t>
      </w:r>
      <w:r>
        <w:rPr>
          <w:i/>
          <w:sz w:val="24"/>
        </w:rPr>
        <w:t>electrical</w:t>
      </w:r>
      <w:r>
        <w:rPr>
          <w:i/>
          <w:spacing w:val="-2"/>
          <w:sz w:val="24"/>
        </w:rPr>
        <w:t> </w:t>
      </w:r>
      <w:r>
        <w:rPr>
          <w:i/>
          <w:sz w:val="24"/>
        </w:rPr>
        <w:t>sub-network</w:t>
      </w:r>
      <w:r>
        <w:rPr>
          <w:sz w:val="24"/>
        </w:rPr>
        <w:t>;</w:t>
      </w:r>
    </w:p>
    <w:p>
      <w:pPr>
        <w:pStyle w:val="ListParagraph"/>
        <w:numPr>
          <w:ilvl w:val="0"/>
          <w:numId w:val="638"/>
        </w:numPr>
        <w:tabs>
          <w:tab w:pos="2486" w:val="left" w:leader="none"/>
        </w:tabs>
        <w:spacing w:line="240" w:lineRule="auto" w:before="120" w:after="0"/>
        <w:ind w:left="2486" w:right="416" w:hanging="567"/>
        <w:jc w:val="both"/>
        <w:rPr>
          <w:sz w:val="24"/>
        </w:rPr>
      </w:pPr>
      <w:r>
        <w:rPr>
          <w:sz w:val="24"/>
        </w:rPr>
        <w:t>include the aggregate required reliability of </w:t>
      </w:r>
      <w:r>
        <w:rPr>
          <w:i/>
          <w:sz w:val="24"/>
        </w:rPr>
        <w:t>system restart ancillary </w:t>
      </w:r>
      <w:r>
        <w:rPr>
          <w:i/>
          <w:sz w:val="24"/>
        </w:rPr>
        <w:t>services </w:t>
      </w:r>
      <w:r>
        <w:rPr>
          <w:sz w:val="24"/>
        </w:rPr>
        <w:t>for each </w:t>
      </w:r>
      <w:r>
        <w:rPr>
          <w:i/>
          <w:sz w:val="24"/>
        </w:rPr>
        <w:t>electrical</w:t>
      </w:r>
      <w:r>
        <w:rPr>
          <w:i/>
          <w:spacing w:val="-3"/>
          <w:sz w:val="24"/>
        </w:rPr>
        <w:t> </w:t>
      </w:r>
      <w:r>
        <w:rPr>
          <w:i/>
          <w:sz w:val="24"/>
        </w:rPr>
        <w:t>sub-network</w:t>
      </w:r>
      <w:r>
        <w:rPr>
          <w:sz w:val="24"/>
        </w:rPr>
        <w:t>;</w:t>
      </w:r>
    </w:p>
    <w:p>
      <w:pPr>
        <w:pStyle w:val="ListParagraph"/>
        <w:numPr>
          <w:ilvl w:val="0"/>
          <w:numId w:val="638"/>
        </w:numPr>
        <w:tabs>
          <w:tab w:pos="2486" w:val="left" w:leader="none"/>
        </w:tabs>
        <w:spacing w:line="240" w:lineRule="auto" w:before="120" w:after="0"/>
        <w:ind w:left="2486" w:right="415" w:hanging="567"/>
        <w:jc w:val="both"/>
        <w:rPr>
          <w:sz w:val="24"/>
        </w:rPr>
      </w:pPr>
      <w:r>
        <w:rPr>
          <w:sz w:val="24"/>
        </w:rPr>
        <w:t>apply equally across all </w:t>
      </w:r>
      <w:r>
        <w:rPr>
          <w:i/>
          <w:sz w:val="24"/>
        </w:rPr>
        <w:t>regions</w:t>
      </w:r>
      <w:r>
        <w:rPr>
          <w:sz w:val="24"/>
        </w:rPr>
        <w:t>, unless the </w:t>
      </w:r>
      <w:r>
        <w:rPr>
          <w:i/>
          <w:sz w:val="24"/>
        </w:rPr>
        <w:t>Reliability Panel </w:t>
      </w:r>
      <w:r>
        <w:rPr>
          <w:sz w:val="24"/>
        </w:rPr>
        <w:t>varies the </w:t>
      </w:r>
      <w:r>
        <w:rPr>
          <w:i/>
          <w:sz w:val="24"/>
        </w:rPr>
        <w:t>system restart standard </w:t>
      </w:r>
      <w:r>
        <w:rPr>
          <w:sz w:val="24"/>
        </w:rPr>
        <w:t>between </w:t>
      </w:r>
      <w:r>
        <w:rPr>
          <w:i/>
          <w:sz w:val="24"/>
        </w:rPr>
        <w:t>electrical sub-networks </w:t>
      </w:r>
      <w:r>
        <w:rPr>
          <w:sz w:val="24"/>
        </w:rPr>
        <w:t>to the extent necessary:</w:t>
      </w:r>
    </w:p>
    <w:p>
      <w:pPr>
        <w:pStyle w:val="ListParagraph"/>
        <w:numPr>
          <w:ilvl w:val="1"/>
          <w:numId w:val="638"/>
        </w:numPr>
        <w:tabs>
          <w:tab w:pos="3053" w:val="left" w:leader="none"/>
        </w:tabs>
        <w:spacing w:line="240" w:lineRule="auto" w:before="120" w:after="0"/>
        <w:ind w:left="3052" w:right="0" w:hanging="567"/>
        <w:jc w:val="both"/>
        <w:rPr>
          <w:sz w:val="24"/>
        </w:rPr>
      </w:pPr>
      <w:r>
        <w:rPr>
          <w:sz w:val="24"/>
        </w:rPr>
        <w:t>to reflect any technical system limitations or requirements;</w:t>
      </w:r>
      <w:r>
        <w:rPr>
          <w:spacing w:val="-3"/>
          <w:sz w:val="24"/>
        </w:rPr>
        <w:t> </w:t>
      </w:r>
      <w:r>
        <w:rPr>
          <w:sz w:val="24"/>
        </w:rPr>
        <w:t>or</w:t>
      </w:r>
    </w:p>
    <w:p>
      <w:pPr>
        <w:pStyle w:val="ListParagraph"/>
        <w:numPr>
          <w:ilvl w:val="1"/>
          <w:numId w:val="638"/>
        </w:numPr>
        <w:tabs>
          <w:tab w:pos="3054" w:val="left" w:leader="none"/>
        </w:tabs>
        <w:spacing w:line="240" w:lineRule="auto" w:before="120" w:after="0"/>
        <w:ind w:left="3053" w:right="415" w:hanging="567"/>
        <w:jc w:val="both"/>
        <w:rPr>
          <w:sz w:val="24"/>
        </w:rPr>
      </w:pPr>
      <w:r>
        <w:rPr>
          <w:sz w:val="24"/>
        </w:rPr>
        <w:t>to reflect any specific economic circumstances in an </w:t>
      </w:r>
      <w:r>
        <w:rPr>
          <w:i/>
          <w:sz w:val="24"/>
        </w:rPr>
        <w:t>electrical </w:t>
      </w:r>
      <w:r>
        <w:rPr>
          <w:i/>
          <w:sz w:val="24"/>
        </w:rPr>
        <w:t>sub-network</w:t>
      </w:r>
      <w:r>
        <w:rPr>
          <w:sz w:val="24"/>
        </w:rPr>
        <w:t>, including but not limited to the existence of one or more </w:t>
      </w:r>
      <w:r>
        <w:rPr>
          <w:i/>
          <w:sz w:val="24"/>
        </w:rPr>
        <w:t>sensitive</w:t>
      </w:r>
      <w:r>
        <w:rPr>
          <w:i/>
          <w:spacing w:val="-1"/>
          <w:sz w:val="24"/>
        </w:rPr>
        <w:t> </w:t>
      </w:r>
      <w:r>
        <w:rPr>
          <w:i/>
          <w:sz w:val="24"/>
        </w:rPr>
        <w:t>loads</w:t>
      </w:r>
      <w:r>
        <w:rPr>
          <w:sz w:val="24"/>
        </w:rPr>
        <w:t>;</w:t>
      </w:r>
    </w:p>
    <w:p>
      <w:pPr>
        <w:pStyle w:val="ListParagraph"/>
        <w:numPr>
          <w:ilvl w:val="0"/>
          <w:numId w:val="638"/>
        </w:numPr>
        <w:tabs>
          <w:tab w:pos="2486" w:val="left" w:leader="none"/>
        </w:tabs>
        <w:spacing w:line="240" w:lineRule="auto" w:before="120" w:after="0"/>
        <w:ind w:left="2486" w:right="416" w:hanging="567"/>
        <w:jc w:val="both"/>
        <w:rPr>
          <w:sz w:val="24"/>
        </w:rPr>
      </w:pPr>
      <w:r>
        <w:rPr>
          <w:sz w:val="24"/>
        </w:rPr>
        <w:t>specify that a </w:t>
      </w:r>
      <w:r>
        <w:rPr>
          <w:i/>
          <w:sz w:val="24"/>
        </w:rPr>
        <w:t>system restart ancillary service </w:t>
      </w:r>
      <w:r>
        <w:rPr>
          <w:sz w:val="24"/>
        </w:rPr>
        <w:t>can only be acquired by </w:t>
      </w:r>
      <w:r>
        <w:rPr>
          <w:i/>
          <w:sz w:val="24"/>
        </w:rPr>
        <w:t>AEMO </w:t>
      </w:r>
      <w:r>
        <w:rPr>
          <w:sz w:val="24"/>
        </w:rPr>
        <w:t>under a </w:t>
      </w:r>
      <w:r>
        <w:rPr>
          <w:i/>
          <w:sz w:val="24"/>
        </w:rPr>
        <w:t>system restart ancillary services </w:t>
      </w:r>
      <w:r>
        <w:rPr>
          <w:sz w:val="24"/>
        </w:rPr>
        <w:t>agreement for one </w:t>
      </w:r>
      <w:r>
        <w:rPr>
          <w:i/>
          <w:sz w:val="24"/>
        </w:rPr>
        <w:t>electrical sub-network </w:t>
      </w:r>
      <w:r>
        <w:rPr>
          <w:sz w:val="24"/>
        </w:rPr>
        <w:t>at any one</w:t>
      </w:r>
      <w:r>
        <w:rPr>
          <w:spacing w:val="-4"/>
          <w:sz w:val="24"/>
        </w:rPr>
        <w:t> </w:t>
      </w:r>
      <w:r>
        <w:rPr>
          <w:sz w:val="24"/>
        </w:rPr>
        <w:t>time;</w:t>
      </w:r>
    </w:p>
    <w:p>
      <w:pPr>
        <w:pStyle w:val="ListParagraph"/>
        <w:numPr>
          <w:ilvl w:val="0"/>
          <w:numId w:val="638"/>
        </w:numPr>
        <w:tabs>
          <w:tab w:pos="2486" w:val="left" w:leader="none"/>
        </w:tabs>
        <w:spacing w:line="240" w:lineRule="auto" w:before="120" w:after="0"/>
        <w:ind w:left="2486" w:right="415" w:hanging="567"/>
        <w:jc w:val="both"/>
        <w:rPr>
          <w:sz w:val="24"/>
        </w:rPr>
      </w:pPr>
      <w:r>
        <w:rPr>
          <w:sz w:val="24"/>
        </w:rPr>
        <w:t>include guidelines to be followed by </w:t>
      </w:r>
      <w:r>
        <w:rPr>
          <w:i/>
          <w:sz w:val="24"/>
        </w:rPr>
        <w:t>AEMO </w:t>
      </w:r>
      <w:r>
        <w:rPr>
          <w:sz w:val="24"/>
        </w:rPr>
        <w:t>in determining </w:t>
      </w:r>
      <w:r>
        <w:rPr>
          <w:i/>
          <w:spacing w:val="-3"/>
          <w:sz w:val="24"/>
        </w:rPr>
        <w:t>electrical </w:t>
      </w:r>
      <w:r>
        <w:rPr>
          <w:i/>
          <w:sz w:val="24"/>
        </w:rPr>
        <w:t>sub-networks</w:t>
      </w:r>
      <w:r>
        <w:rPr>
          <w:sz w:val="24"/>
        </w:rPr>
        <w:t>, including the determination of the appropriate number of </w:t>
      </w:r>
      <w:r>
        <w:rPr>
          <w:i/>
          <w:sz w:val="24"/>
        </w:rPr>
        <w:t>electrical sub-networks </w:t>
      </w:r>
      <w:r>
        <w:rPr>
          <w:sz w:val="24"/>
        </w:rPr>
        <w:t>and the characteristics required within an </w:t>
      </w:r>
      <w:r>
        <w:rPr>
          <w:i/>
          <w:sz w:val="24"/>
        </w:rPr>
        <w:t>electrical sub-network </w:t>
      </w:r>
      <w:r>
        <w:rPr>
          <w:sz w:val="24"/>
        </w:rPr>
        <w:t>(such as the amount of </w:t>
      </w:r>
      <w:r>
        <w:rPr>
          <w:i/>
          <w:sz w:val="24"/>
        </w:rPr>
        <w:t>generation </w:t>
      </w:r>
      <w:r>
        <w:rPr>
          <w:sz w:val="24"/>
        </w:rPr>
        <w:t>or </w:t>
      </w:r>
      <w:r>
        <w:rPr>
          <w:i/>
          <w:sz w:val="24"/>
        </w:rPr>
        <w:t>load</w:t>
      </w:r>
      <w:r>
        <w:rPr>
          <w:sz w:val="24"/>
        </w:rPr>
        <w:t>, or electrical distance between </w:t>
      </w:r>
      <w:r>
        <w:rPr>
          <w:i/>
          <w:sz w:val="24"/>
        </w:rPr>
        <w:t>generation centres</w:t>
      </w:r>
      <w:r>
        <w:rPr>
          <w:sz w:val="24"/>
        </w:rPr>
        <w:t>, within an </w:t>
      </w:r>
      <w:r>
        <w:rPr>
          <w:i/>
          <w:sz w:val="24"/>
        </w:rPr>
        <w:t>electrical </w:t>
      </w:r>
      <w:r>
        <w:rPr>
          <w:i/>
          <w:sz w:val="24"/>
        </w:rPr>
        <w:t>sub-network</w:t>
      </w:r>
      <w:r>
        <w:rPr>
          <w:sz w:val="24"/>
        </w:rPr>
        <w:t>);</w:t>
      </w:r>
      <w:r>
        <w:rPr>
          <w:spacing w:val="-1"/>
          <w:sz w:val="24"/>
        </w:rPr>
        <w:t> </w:t>
      </w:r>
      <w:r>
        <w:rPr>
          <w:sz w:val="24"/>
        </w:rPr>
        <w:t>and</w:t>
      </w:r>
    </w:p>
    <w:p>
      <w:pPr>
        <w:pStyle w:val="ListParagraph"/>
        <w:numPr>
          <w:ilvl w:val="0"/>
          <w:numId w:val="638"/>
        </w:numPr>
        <w:tabs>
          <w:tab w:pos="2486" w:val="left" w:leader="none"/>
        </w:tabs>
        <w:spacing w:line="240" w:lineRule="auto" w:before="120" w:after="0"/>
        <w:ind w:left="2486" w:right="416" w:hanging="567"/>
        <w:jc w:val="both"/>
        <w:rPr>
          <w:sz w:val="24"/>
        </w:rPr>
      </w:pPr>
      <w:r>
        <w:rPr>
          <w:sz w:val="24"/>
        </w:rPr>
        <w:t>include guidelines specifying the diversity and strategic locations required of </w:t>
      </w:r>
      <w:r>
        <w:rPr>
          <w:i/>
          <w:sz w:val="24"/>
        </w:rPr>
        <w:t>system restart ancillary</w:t>
      </w:r>
      <w:r>
        <w:rPr>
          <w:i/>
          <w:spacing w:val="-3"/>
          <w:sz w:val="24"/>
        </w:rPr>
        <w:t> </w:t>
      </w:r>
      <w:r>
        <w:rPr>
          <w:i/>
          <w:sz w:val="24"/>
        </w:rPr>
        <w:t>services</w:t>
      </w:r>
      <w:r>
        <w:rPr>
          <w:sz w:val="24"/>
        </w:rPr>
        <w:t>.</w:t>
      </w:r>
    </w:p>
    <w:p>
      <w:pPr>
        <w:pStyle w:val="ListParagraph"/>
        <w:numPr>
          <w:ilvl w:val="3"/>
          <w:numId w:val="634"/>
        </w:numPr>
        <w:tabs>
          <w:tab w:pos="1919" w:val="left" w:leader="none"/>
        </w:tabs>
        <w:spacing w:line="240" w:lineRule="auto" w:before="120" w:after="0"/>
        <w:ind w:left="1919" w:right="413" w:hanging="567"/>
        <w:jc w:val="both"/>
        <w:rPr>
          <w:sz w:val="24"/>
        </w:rPr>
      </w:pPr>
      <w:r>
        <w:rPr>
          <w:sz w:val="24"/>
        </w:rPr>
        <w:t>At least once each </w:t>
      </w:r>
      <w:r>
        <w:rPr>
          <w:i/>
          <w:sz w:val="24"/>
        </w:rPr>
        <w:t>financial year </w:t>
      </w:r>
      <w:r>
        <w:rPr>
          <w:sz w:val="24"/>
        </w:rPr>
        <w:t>and at such other times as the </w:t>
      </w:r>
      <w:r>
        <w:rPr>
          <w:i/>
          <w:sz w:val="24"/>
        </w:rPr>
        <w:t>AEMC </w:t>
      </w:r>
      <w:r>
        <w:rPr>
          <w:sz w:val="24"/>
        </w:rPr>
        <w:t>may request, the </w:t>
      </w:r>
      <w:r>
        <w:rPr>
          <w:i/>
          <w:sz w:val="24"/>
        </w:rPr>
        <w:t>Reliability Panel </w:t>
      </w:r>
      <w:r>
        <w:rPr>
          <w:sz w:val="24"/>
        </w:rPr>
        <w:t>must conduct a review of the performance of the </w:t>
      </w:r>
      <w:r>
        <w:rPr>
          <w:i/>
          <w:sz w:val="24"/>
        </w:rPr>
        <w:t>market </w:t>
      </w:r>
      <w:r>
        <w:rPr>
          <w:sz w:val="24"/>
        </w:rPr>
        <w:t>in terms of </w:t>
      </w:r>
      <w:r>
        <w:rPr>
          <w:i/>
          <w:sz w:val="24"/>
        </w:rPr>
        <w:t>reliability </w:t>
      </w:r>
      <w:r>
        <w:rPr>
          <w:sz w:val="24"/>
        </w:rPr>
        <w:t>of the </w:t>
      </w:r>
      <w:r>
        <w:rPr>
          <w:i/>
          <w:sz w:val="24"/>
        </w:rPr>
        <w:t>power system</w:t>
      </w:r>
      <w:r>
        <w:rPr>
          <w:sz w:val="24"/>
        </w:rPr>
        <w:t>, the </w:t>
      </w:r>
      <w:r>
        <w:rPr>
          <w:i/>
          <w:sz w:val="24"/>
        </w:rPr>
        <w:t>reliability </w:t>
      </w:r>
      <w:r>
        <w:rPr>
          <w:i/>
          <w:sz w:val="24"/>
        </w:rPr>
        <w:t>standard</w:t>
      </w:r>
      <w:r>
        <w:rPr>
          <w:sz w:val="24"/>
        </w:rPr>
        <w:t>, the </w:t>
      </w:r>
      <w:r>
        <w:rPr>
          <w:i/>
          <w:sz w:val="24"/>
        </w:rPr>
        <w:t>power system security standards</w:t>
      </w:r>
      <w:r>
        <w:rPr>
          <w:sz w:val="24"/>
        </w:rPr>
        <w:t>, the </w:t>
      </w:r>
      <w:r>
        <w:rPr>
          <w:i/>
          <w:sz w:val="24"/>
        </w:rPr>
        <w:t>system restart standard</w:t>
      </w:r>
      <w:r>
        <w:rPr>
          <w:sz w:val="24"/>
        </w:rPr>
        <w:t>, the guidelines referred to in clause 8.8.1(a)(3), the policies and guidelines referred to in clause 8.8.1(a)(4) and the guidelines referred to in clause 8.8.1(a)(9). The </w:t>
      </w:r>
      <w:r>
        <w:rPr>
          <w:i/>
          <w:sz w:val="24"/>
        </w:rPr>
        <w:t>Reliability Panel </w:t>
      </w:r>
      <w:r>
        <w:rPr>
          <w:sz w:val="24"/>
        </w:rPr>
        <w:t>must conclude each annual review under this clause by the end of the </w:t>
      </w:r>
      <w:r>
        <w:rPr>
          <w:i/>
          <w:sz w:val="24"/>
        </w:rPr>
        <w:t>financial year </w:t>
      </w:r>
      <w:r>
        <w:rPr>
          <w:sz w:val="24"/>
        </w:rPr>
        <w:t>following the </w:t>
      </w:r>
      <w:r>
        <w:rPr>
          <w:i/>
          <w:sz w:val="24"/>
        </w:rPr>
        <w:t>financial year </w:t>
      </w:r>
      <w:r>
        <w:rPr>
          <w:sz w:val="24"/>
        </w:rPr>
        <w:t>to which the review</w:t>
      </w:r>
      <w:r>
        <w:rPr>
          <w:spacing w:val="-3"/>
          <w:sz w:val="24"/>
        </w:rPr>
        <w:t> </w:t>
      </w:r>
      <w:r>
        <w:rPr>
          <w:sz w:val="24"/>
        </w:rPr>
        <w:t>relates.</w:t>
      </w:r>
    </w:p>
    <w:p>
      <w:pPr>
        <w:spacing w:before="120"/>
        <w:ind w:left="1919" w:right="414" w:hanging="567"/>
        <w:jc w:val="both"/>
        <w:rPr>
          <w:sz w:val="24"/>
        </w:rPr>
      </w:pPr>
      <w:r>
        <w:rPr>
          <w:sz w:val="24"/>
        </w:rPr>
        <w:t>(ba) At least every 5 years from the date the </w:t>
      </w:r>
      <w:r>
        <w:rPr>
          <w:i/>
          <w:sz w:val="24"/>
        </w:rPr>
        <w:t>template for generator compliance </w:t>
      </w:r>
      <w:r>
        <w:rPr>
          <w:i/>
          <w:sz w:val="24"/>
        </w:rPr>
        <w:t>programs </w:t>
      </w:r>
      <w:r>
        <w:rPr>
          <w:sz w:val="24"/>
        </w:rPr>
        <w:t>is determined pursuant to clause 8.8.3(a) and at such other times as</w:t>
      </w:r>
      <w:r>
        <w:rPr>
          <w:spacing w:val="24"/>
          <w:sz w:val="24"/>
        </w:rPr>
        <w:t> </w:t>
      </w:r>
      <w:r>
        <w:rPr>
          <w:sz w:val="24"/>
        </w:rPr>
        <w:t>the</w:t>
      </w:r>
      <w:r>
        <w:rPr>
          <w:spacing w:val="24"/>
          <w:sz w:val="24"/>
        </w:rPr>
        <w:t> </w:t>
      </w:r>
      <w:r>
        <w:rPr>
          <w:i/>
          <w:sz w:val="24"/>
        </w:rPr>
        <w:t>AEMC</w:t>
      </w:r>
      <w:r>
        <w:rPr>
          <w:i/>
          <w:spacing w:val="25"/>
          <w:sz w:val="24"/>
        </w:rPr>
        <w:t> </w:t>
      </w:r>
      <w:r>
        <w:rPr>
          <w:sz w:val="24"/>
        </w:rPr>
        <w:t>may</w:t>
      </w:r>
      <w:r>
        <w:rPr>
          <w:spacing w:val="25"/>
          <w:sz w:val="24"/>
        </w:rPr>
        <w:t> </w:t>
      </w:r>
      <w:r>
        <w:rPr>
          <w:sz w:val="24"/>
        </w:rPr>
        <w:t>request,</w:t>
      </w:r>
      <w:r>
        <w:rPr>
          <w:spacing w:val="23"/>
          <w:sz w:val="24"/>
        </w:rPr>
        <w:t> </w:t>
      </w:r>
      <w:r>
        <w:rPr>
          <w:sz w:val="24"/>
        </w:rPr>
        <w:t>the</w:t>
      </w:r>
      <w:r>
        <w:rPr>
          <w:spacing w:val="25"/>
          <w:sz w:val="24"/>
        </w:rPr>
        <w:t> </w:t>
      </w:r>
      <w:r>
        <w:rPr>
          <w:i/>
          <w:sz w:val="24"/>
        </w:rPr>
        <w:t>Reliability</w:t>
      </w:r>
      <w:r>
        <w:rPr>
          <w:i/>
          <w:spacing w:val="24"/>
          <w:sz w:val="24"/>
        </w:rPr>
        <w:t> </w:t>
      </w:r>
      <w:r>
        <w:rPr>
          <w:i/>
          <w:sz w:val="24"/>
        </w:rPr>
        <w:t>Panel</w:t>
      </w:r>
      <w:r>
        <w:rPr>
          <w:i/>
          <w:spacing w:val="24"/>
          <w:sz w:val="24"/>
        </w:rPr>
        <w:t> </w:t>
      </w:r>
      <w:r>
        <w:rPr>
          <w:sz w:val="24"/>
        </w:rPr>
        <w:t>must</w:t>
      </w:r>
      <w:r>
        <w:rPr>
          <w:spacing w:val="24"/>
          <w:sz w:val="24"/>
        </w:rPr>
        <w:t> </w:t>
      </w:r>
      <w:r>
        <w:rPr>
          <w:sz w:val="24"/>
        </w:rPr>
        <w:t>conduct</w:t>
      </w:r>
      <w:r>
        <w:rPr>
          <w:spacing w:val="24"/>
          <w:sz w:val="24"/>
        </w:rPr>
        <w:t> </w:t>
      </w:r>
      <w:r>
        <w:rPr>
          <w:sz w:val="24"/>
        </w:rPr>
        <w:t>a</w:t>
      </w:r>
      <w:r>
        <w:rPr>
          <w:spacing w:val="25"/>
          <w:sz w:val="24"/>
        </w:rPr>
        <w:t> </w:t>
      </w:r>
      <w:r>
        <w:rPr>
          <w:sz w:val="24"/>
        </w:rPr>
        <w:t>review</w:t>
      </w:r>
      <w:r>
        <w:rPr>
          <w:spacing w:val="25"/>
          <w:sz w:val="24"/>
        </w:rPr>
        <w:t> </w:t>
      </w:r>
      <w:r>
        <w:rPr>
          <w:sz w:val="24"/>
        </w:rPr>
        <w:t>of</w:t>
      </w:r>
    </w:p>
    <w:p>
      <w:pPr>
        <w:spacing w:after="0"/>
        <w:jc w:val="both"/>
        <w:rPr>
          <w:sz w:val="24"/>
        </w:rPr>
        <w:sectPr>
          <w:pgSz w:w="11910" w:h="16840"/>
          <w:pgMar w:header="686" w:footer="637" w:top="1320" w:bottom="820" w:left="1200" w:right="1000"/>
        </w:sectPr>
      </w:pPr>
    </w:p>
    <w:p>
      <w:pPr>
        <w:spacing w:before="83"/>
        <w:ind w:left="1919" w:right="414" w:firstLine="0"/>
        <w:jc w:val="both"/>
        <w:rPr>
          <w:sz w:val="24"/>
        </w:rPr>
      </w:pPr>
      <w:r>
        <w:rPr>
          <w:sz w:val="24"/>
        </w:rPr>
        <w:t>the </w:t>
      </w:r>
      <w:r>
        <w:rPr>
          <w:i/>
          <w:sz w:val="24"/>
        </w:rPr>
        <w:t>template for generator compliance programs </w:t>
      </w:r>
      <w:r>
        <w:rPr>
          <w:sz w:val="24"/>
        </w:rPr>
        <w:t>in accordance with this clause 8.8.3. Following such a review, the </w:t>
      </w:r>
      <w:r>
        <w:rPr>
          <w:i/>
          <w:sz w:val="24"/>
        </w:rPr>
        <w:t>Reliability Panel </w:t>
      </w:r>
      <w:r>
        <w:rPr>
          <w:sz w:val="24"/>
        </w:rPr>
        <w:t>may amend the </w:t>
      </w:r>
      <w:r>
        <w:rPr>
          <w:i/>
          <w:sz w:val="24"/>
        </w:rPr>
        <w:t>template for generator compliance programs </w:t>
      </w:r>
      <w:r>
        <w:rPr>
          <w:sz w:val="24"/>
        </w:rPr>
        <w:t>in accordance with its </w:t>
      </w:r>
      <w:r>
        <w:rPr>
          <w:spacing w:val="-3"/>
          <w:sz w:val="24"/>
        </w:rPr>
        <w:t>report  </w:t>
      </w:r>
      <w:r>
        <w:rPr>
          <w:sz w:val="24"/>
        </w:rPr>
        <w:t>to the </w:t>
      </w:r>
      <w:r>
        <w:rPr>
          <w:i/>
          <w:sz w:val="24"/>
        </w:rPr>
        <w:t>AEMC </w:t>
      </w:r>
      <w:r>
        <w:rPr>
          <w:sz w:val="24"/>
        </w:rPr>
        <w:t>submitted under clause</w:t>
      </w:r>
      <w:r>
        <w:rPr>
          <w:spacing w:val="-3"/>
          <w:sz w:val="24"/>
        </w:rPr>
        <w:t> </w:t>
      </w:r>
      <w:r>
        <w:rPr>
          <w:sz w:val="24"/>
        </w:rPr>
        <w:t>8.8.3(j).</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Subject to paragraph (c1), the </w:t>
      </w:r>
      <w:r>
        <w:rPr>
          <w:i/>
          <w:sz w:val="24"/>
        </w:rPr>
        <w:t>AEMC </w:t>
      </w:r>
      <w:r>
        <w:rPr>
          <w:sz w:val="24"/>
        </w:rPr>
        <w:t>must advise the </w:t>
      </w:r>
      <w:r>
        <w:rPr>
          <w:i/>
          <w:sz w:val="24"/>
        </w:rPr>
        <w:t>Reliability Panel </w:t>
      </w:r>
      <w:r>
        <w:rPr>
          <w:sz w:val="24"/>
        </w:rPr>
        <w:t>of the terms of reference for any determination or review by the </w:t>
      </w:r>
      <w:r>
        <w:rPr>
          <w:i/>
          <w:sz w:val="24"/>
        </w:rPr>
        <w:t>Reliability </w:t>
      </w:r>
      <w:r>
        <w:rPr>
          <w:i/>
          <w:sz w:val="24"/>
        </w:rPr>
        <w:t>Panel</w:t>
      </w:r>
      <w:r>
        <w:rPr>
          <w:sz w:val="24"/>
        </w:rPr>
        <w:t>.</w:t>
      </w:r>
    </w:p>
    <w:p>
      <w:pPr>
        <w:spacing w:before="120"/>
        <w:ind w:left="1352" w:right="0" w:firstLine="0"/>
        <w:jc w:val="left"/>
        <w:rPr>
          <w:sz w:val="24"/>
        </w:rPr>
      </w:pPr>
      <w:r>
        <w:rPr>
          <w:sz w:val="24"/>
        </w:rPr>
        <w:t>(c1) The </w:t>
      </w:r>
      <w:r>
        <w:rPr>
          <w:i/>
          <w:sz w:val="24"/>
        </w:rPr>
        <w:t>AEMC</w:t>
      </w:r>
      <w:r>
        <w:rPr>
          <w:sz w:val="24"/>
        </w:rPr>
        <w: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may advise the </w:t>
      </w:r>
      <w:r>
        <w:rPr>
          <w:i/>
          <w:sz w:val="24"/>
        </w:rPr>
        <w:t>Reliability Panel </w:t>
      </w:r>
      <w:r>
        <w:rPr>
          <w:sz w:val="24"/>
        </w:rPr>
        <w:t>of standing terms of reference in relation to the reviews described in clauses 8.8.3(b) and 8.8.3(ba) from time to time;</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may, but is not required to, advise the </w:t>
      </w:r>
      <w:r>
        <w:rPr>
          <w:i/>
          <w:sz w:val="24"/>
        </w:rPr>
        <w:t>Reliability Panel </w:t>
      </w:r>
      <w:r>
        <w:rPr>
          <w:sz w:val="24"/>
        </w:rPr>
        <w:t>of terms of reference in relation to the review described in clause</w:t>
      </w:r>
      <w:r>
        <w:rPr>
          <w:spacing w:val="-4"/>
          <w:sz w:val="24"/>
        </w:rPr>
        <w:t> </w:t>
      </w:r>
      <w:r>
        <w:rPr>
          <w:sz w:val="24"/>
        </w:rPr>
        <w:t>8.8.1(a)(1b).</w:t>
      </w:r>
    </w:p>
    <w:p>
      <w:pPr>
        <w:pStyle w:val="BodyText"/>
        <w:ind w:left="1919" w:right="415"/>
      </w:pPr>
      <w:r>
        <w:rPr/>
        <w:t>(c2) The </w:t>
      </w:r>
      <w:r>
        <w:rPr>
          <w:i/>
        </w:rPr>
        <w:t>Reliability Panel </w:t>
      </w:r>
      <w:r>
        <w:rPr/>
        <w:t>must follow the consultation process in paragraphs (d) to (l) when carrying out its functions, unless otherwise specified in this paragraph or elsewhere in the </w:t>
      </w:r>
      <w:r>
        <w:rPr>
          <w:i/>
        </w:rPr>
        <w:t>Rules</w:t>
      </w:r>
      <w:r>
        <w:rPr/>
        <w:t>. The </w:t>
      </w:r>
      <w:r>
        <w:rPr>
          <w:i/>
        </w:rPr>
        <w:t>Reliability Panel </w:t>
      </w:r>
      <w:r>
        <w:rPr/>
        <w:t>is not required to follow the process in paragraphs (d) to (l) for the purposes of its functions under clauses 8.8.1(a)(1b), 8.8.1(a)(2c), 8.8.1(a)(2e), 8.8.1(a)(8) or 8.8.3(b).</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Reliability Panel </w:t>
      </w:r>
      <w:r>
        <w:rPr>
          <w:sz w:val="24"/>
        </w:rPr>
        <w:t>must give notice to all </w:t>
      </w:r>
      <w:r>
        <w:rPr>
          <w:i/>
          <w:sz w:val="24"/>
        </w:rPr>
        <w:t>Registered Participants </w:t>
      </w:r>
      <w:r>
        <w:rPr>
          <w:sz w:val="24"/>
        </w:rPr>
        <w:t>of the commencement of a determination or review by requesting the </w:t>
      </w:r>
      <w:r>
        <w:rPr>
          <w:i/>
          <w:sz w:val="24"/>
        </w:rPr>
        <w:t>AEMC </w:t>
      </w:r>
      <w:r>
        <w:rPr>
          <w:sz w:val="24"/>
        </w:rPr>
        <w:t>to publish the notice pursuant to paragraph (k). The notice must give particulars of the terms of reference for the determination or review (as the case may be) and the deadline for the receipt of any submissions to the </w:t>
      </w:r>
      <w:r>
        <w:rPr>
          <w:i/>
          <w:sz w:val="24"/>
        </w:rPr>
        <w:t>Reliability</w:t>
      </w:r>
      <w:r>
        <w:rPr>
          <w:i/>
          <w:spacing w:val="-1"/>
          <w:sz w:val="24"/>
        </w:rPr>
        <w:t> </w:t>
      </w:r>
      <w:r>
        <w:rPr>
          <w:i/>
          <w:sz w:val="24"/>
        </w:rPr>
        <w:t>Panel</w:t>
      </w:r>
      <w:r>
        <w:rPr>
          <w:sz w:val="24"/>
        </w:rPr>
        <w:t>.</w:t>
      </w:r>
    </w:p>
    <w:p>
      <w:pPr>
        <w:pStyle w:val="ListParagraph"/>
        <w:numPr>
          <w:ilvl w:val="3"/>
          <w:numId w:val="634"/>
        </w:numPr>
        <w:tabs>
          <w:tab w:pos="1919" w:val="left" w:leader="none"/>
        </w:tabs>
        <w:spacing w:line="240" w:lineRule="auto" w:before="120" w:after="0"/>
        <w:ind w:left="1919" w:right="416" w:hanging="567"/>
        <w:jc w:val="both"/>
        <w:rPr>
          <w:sz w:val="24"/>
        </w:rPr>
      </w:pPr>
      <w:r>
        <w:rPr>
          <w:sz w:val="24"/>
        </w:rPr>
        <w:t>The deadline for receipt of submissions must not be earlier than 4 weeks following publication of the notice required under paragraph (d) or such other time specified by the </w:t>
      </w:r>
      <w:r>
        <w:rPr>
          <w:i/>
          <w:sz w:val="24"/>
        </w:rPr>
        <w:t>AEMC </w:t>
      </w:r>
      <w:r>
        <w:rPr>
          <w:sz w:val="24"/>
        </w:rPr>
        <w:t>in any request for a</w:t>
      </w:r>
      <w:r>
        <w:rPr>
          <w:spacing w:val="-4"/>
          <w:sz w:val="24"/>
        </w:rPr>
        <w:t> </w:t>
      </w:r>
      <w:r>
        <w:rPr>
          <w:sz w:val="24"/>
        </w:rPr>
        <w:t>review.</w:t>
      </w:r>
    </w:p>
    <w:p>
      <w:pPr>
        <w:pStyle w:val="ListParagraph"/>
        <w:numPr>
          <w:ilvl w:val="3"/>
          <w:numId w:val="634"/>
        </w:numPr>
        <w:tabs>
          <w:tab w:pos="1920" w:val="left" w:leader="none"/>
        </w:tabs>
        <w:spacing w:line="240" w:lineRule="auto" w:before="120" w:after="0"/>
        <w:ind w:left="1919" w:right="415" w:hanging="567"/>
        <w:jc w:val="both"/>
        <w:rPr>
          <w:sz w:val="24"/>
        </w:rPr>
      </w:pPr>
      <w:r>
        <w:rPr>
          <w:sz w:val="24"/>
        </w:rPr>
        <w:t>The </w:t>
      </w:r>
      <w:r>
        <w:rPr>
          <w:i/>
          <w:sz w:val="24"/>
        </w:rPr>
        <w:t>Reliability Panel </w:t>
      </w:r>
      <w:r>
        <w:rPr>
          <w:sz w:val="24"/>
        </w:rPr>
        <w:t>may hold a meeting open to the public for any determination or review by the </w:t>
      </w:r>
      <w:r>
        <w:rPr>
          <w:i/>
          <w:sz w:val="24"/>
        </w:rPr>
        <w:t>Reliability Panel</w:t>
      </w:r>
      <w:r>
        <w:rPr>
          <w:sz w:val="24"/>
        </w:rPr>
        <w:t>, and must hold such a meeting if an interested party requests one in writing. The </w:t>
      </w:r>
      <w:r>
        <w:rPr>
          <w:i/>
          <w:sz w:val="24"/>
        </w:rPr>
        <w:t>Reliability Panel </w:t>
      </w:r>
      <w:r>
        <w:rPr>
          <w:sz w:val="24"/>
        </w:rPr>
        <w:t>must give reasonable notice of any such</w:t>
      </w:r>
      <w:r>
        <w:rPr>
          <w:spacing w:val="-3"/>
          <w:sz w:val="24"/>
        </w:rPr>
        <w:t> </w:t>
      </w:r>
      <w:r>
        <w:rPr>
          <w:sz w:val="24"/>
        </w:rPr>
        <w:t>meeting.</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meeting referred to in paragraph</w:t>
      </w:r>
      <w:r>
        <w:rPr>
          <w:spacing w:val="-1"/>
          <w:sz w:val="24"/>
        </w:rPr>
        <w:t> </w:t>
      </w:r>
      <w:r>
        <w:rPr>
          <w:sz w:val="24"/>
        </w:rPr>
        <w:t>(f):</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may be conducted in person, by telephone, video conference or other method of communication selected by the </w:t>
      </w:r>
      <w:r>
        <w:rPr>
          <w:i/>
          <w:sz w:val="24"/>
        </w:rPr>
        <w:t>Reliability Panel</w:t>
      </w:r>
      <w:r>
        <w:rPr>
          <w:sz w:val="24"/>
        </w:rPr>
        <w:t>;</w:t>
      </w:r>
      <w:r>
        <w:rPr>
          <w:spacing w:val="-5"/>
          <w:sz w:val="24"/>
        </w:rPr>
        <w:t> </w:t>
      </w:r>
      <w:r>
        <w:rPr>
          <w:sz w:val="24"/>
        </w:rPr>
        <w:t>and</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if</w:t>
      </w:r>
      <w:r>
        <w:rPr>
          <w:spacing w:val="21"/>
          <w:sz w:val="24"/>
        </w:rPr>
        <w:t> </w:t>
      </w:r>
      <w:r>
        <w:rPr>
          <w:sz w:val="24"/>
        </w:rPr>
        <w:t>conducted</w:t>
      </w:r>
      <w:r>
        <w:rPr>
          <w:spacing w:val="22"/>
          <w:sz w:val="24"/>
        </w:rPr>
        <w:t> </w:t>
      </w:r>
      <w:r>
        <w:rPr>
          <w:sz w:val="24"/>
        </w:rPr>
        <w:t>in</w:t>
      </w:r>
      <w:r>
        <w:rPr>
          <w:spacing w:val="22"/>
          <w:sz w:val="24"/>
        </w:rPr>
        <w:t> </w:t>
      </w:r>
      <w:r>
        <w:rPr>
          <w:sz w:val="24"/>
        </w:rPr>
        <w:t>person,</w:t>
      </w:r>
      <w:r>
        <w:rPr>
          <w:spacing w:val="22"/>
          <w:sz w:val="24"/>
        </w:rPr>
        <w:t> </w:t>
      </w:r>
      <w:r>
        <w:rPr>
          <w:sz w:val="24"/>
        </w:rPr>
        <w:t>must</w:t>
      </w:r>
      <w:r>
        <w:rPr>
          <w:spacing w:val="22"/>
          <w:sz w:val="24"/>
        </w:rPr>
        <w:t> </w:t>
      </w:r>
      <w:r>
        <w:rPr>
          <w:sz w:val="24"/>
        </w:rPr>
        <w:t>be</w:t>
      </w:r>
      <w:r>
        <w:rPr>
          <w:spacing w:val="22"/>
          <w:sz w:val="24"/>
        </w:rPr>
        <w:t> </w:t>
      </w:r>
      <w:r>
        <w:rPr>
          <w:sz w:val="24"/>
        </w:rPr>
        <w:t>held</w:t>
      </w:r>
      <w:r>
        <w:rPr>
          <w:spacing w:val="22"/>
          <w:sz w:val="24"/>
        </w:rPr>
        <w:t> </w:t>
      </w:r>
      <w:r>
        <w:rPr>
          <w:sz w:val="24"/>
        </w:rPr>
        <w:t>in</w:t>
      </w:r>
      <w:r>
        <w:rPr>
          <w:spacing w:val="22"/>
          <w:sz w:val="24"/>
        </w:rPr>
        <w:t> </w:t>
      </w:r>
      <w:r>
        <w:rPr>
          <w:sz w:val="24"/>
        </w:rPr>
        <w:t>the</w:t>
      </w:r>
      <w:r>
        <w:rPr>
          <w:spacing w:val="22"/>
          <w:sz w:val="24"/>
        </w:rPr>
        <w:t> </w:t>
      </w:r>
      <w:r>
        <w:rPr>
          <w:sz w:val="24"/>
        </w:rPr>
        <w:t>capital</w:t>
      </w:r>
      <w:r>
        <w:rPr>
          <w:spacing w:val="21"/>
          <w:sz w:val="24"/>
        </w:rPr>
        <w:t> </w:t>
      </w:r>
      <w:r>
        <w:rPr>
          <w:sz w:val="24"/>
        </w:rPr>
        <w:t>city</w:t>
      </w:r>
      <w:r>
        <w:rPr>
          <w:spacing w:val="22"/>
          <w:sz w:val="24"/>
        </w:rPr>
        <w:t> </w:t>
      </w:r>
      <w:r>
        <w:rPr>
          <w:sz w:val="24"/>
        </w:rPr>
        <w:t>of</w:t>
      </w:r>
      <w:r>
        <w:rPr>
          <w:spacing w:val="22"/>
          <w:sz w:val="24"/>
        </w:rPr>
        <w:t> </w:t>
      </w:r>
      <w:r>
        <w:rPr>
          <w:sz w:val="24"/>
        </w:rPr>
        <w:t>one</w:t>
      </w:r>
      <w:r>
        <w:rPr>
          <w:spacing w:val="22"/>
          <w:sz w:val="24"/>
        </w:rPr>
        <w:t> </w:t>
      </w:r>
      <w:r>
        <w:rPr>
          <w:sz w:val="24"/>
        </w:rPr>
        <w:t>of</w:t>
      </w:r>
      <w:r>
        <w:rPr>
          <w:spacing w:val="22"/>
          <w:sz w:val="24"/>
        </w:rPr>
        <w:t> </w:t>
      </w:r>
      <w:r>
        <w:rPr>
          <w:sz w:val="24"/>
        </w:rPr>
        <w:t>the</w:t>
      </w:r>
    </w:p>
    <w:p>
      <w:pPr>
        <w:spacing w:before="0"/>
        <w:ind w:left="2486" w:right="0" w:firstLine="0"/>
        <w:jc w:val="both"/>
        <w:rPr>
          <w:sz w:val="24"/>
        </w:rPr>
      </w:pPr>
      <w:r>
        <w:rPr>
          <w:i/>
          <w:sz w:val="24"/>
        </w:rPr>
        <w:t>participating jurisdictions </w:t>
      </w:r>
      <w:r>
        <w:rPr>
          <w:sz w:val="24"/>
        </w:rPr>
        <w:t>as selected by the </w:t>
      </w:r>
      <w:r>
        <w:rPr>
          <w:i/>
          <w:sz w:val="24"/>
        </w:rPr>
        <w:t>Reliability Panel</w:t>
      </w:r>
      <w:r>
        <w:rPr>
          <w:sz w:val="24"/>
        </w:rPr>
        <w:t>.</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Reliability Panel </w:t>
      </w:r>
      <w:r>
        <w:rPr>
          <w:sz w:val="24"/>
        </w:rPr>
        <w:t>may obtain such technical advice or assistance from time to time as it thinks appropriate including, without limitation, advice or assistance from </w:t>
      </w:r>
      <w:r>
        <w:rPr>
          <w:i/>
          <w:sz w:val="24"/>
        </w:rPr>
        <w:t>AEMO </w:t>
      </w:r>
      <w:r>
        <w:rPr>
          <w:sz w:val="24"/>
        </w:rPr>
        <w:t>and any </w:t>
      </w:r>
      <w:r>
        <w:rPr>
          <w:i/>
          <w:sz w:val="24"/>
        </w:rPr>
        <w:t>Registered</w:t>
      </w:r>
      <w:r>
        <w:rPr>
          <w:i/>
          <w:spacing w:val="-2"/>
          <w:sz w:val="24"/>
        </w:rPr>
        <w:t> </w:t>
      </w:r>
      <w:r>
        <w:rPr>
          <w:i/>
          <w:sz w:val="24"/>
        </w:rPr>
        <w:t>Participant</w:t>
      </w:r>
      <w:r>
        <w:rPr>
          <w:sz w:val="24"/>
        </w:rPr>
        <w:t>.</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In undertaking any review and preparing any report and recommendations, the </w:t>
      </w:r>
      <w:r>
        <w:rPr>
          <w:i/>
          <w:sz w:val="24"/>
        </w:rPr>
        <w:t>Reliability Panel </w:t>
      </w:r>
      <w:r>
        <w:rPr>
          <w:sz w:val="24"/>
        </w:rPr>
        <w:t>must take into consideration the policy statements, directions or guidelines published by the </w:t>
      </w:r>
      <w:r>
        <w:rPr>
          <w:i/>
          <w:sz w:val="24"/>
        </w:rPr>
        <w:t>AEMC </w:t>
      </w:r>
      <w:r>
        <w:rPr>
          <w:sz w:val="24"/>
        </w:rPr>
        <w:t>from time to</w:t>
      </w:r>
      <w:r>
        <w:rPr>
          <w:spacing w:val="-4"/>
          <w:sz w:val="24"/>
        </w:rPr>
        <w:t> </w:t>
      </w:r>
      <w:r>
        <w:rPr>
          <w:sz w:val="24"/>
        </w:rPr>
        <w:t>time.</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Following the conclusion of the meeting (if any) conducted pursuant </w:t>
      </w:r>
      <w:r>
        <w:rPr>
          <w:spacing w:val="-5"/>
          <w:sz w:val="24"/>
        </w:rPr>
        <w:t>to </w:t>
      </w:r>
      <w:r>
        <w:rPr>
          <w:sz w:val="24"/>
        </w:rPr>
        <w:t>paragraph</w:t>
      </w:r>
      <w:r>
        <w:rPr>
          <w:spacing w:val="10"/>
          <w:sz w:val="24"/>
        </w:rPr>
        <w:t> </w:t>
      </w:r>
      <w:r>
        <w:rPr>
          <w:sz w:val="24"/>
        </w:rPr>
        <w:t>(f)</w:t>
      </w:r>
      <w:r>
        <w:rPr>
          <w:spacing w:val="11"/>
          <w:sz w:val="24"/>
        </w:rPr>
        <w:t> </w:t>
      </w:r>
      <w:r>
        <w:rPr>
          <w:sz w:val="24"/>
        </w:rPr>
        <w:t>and</w:t>
      </w:r>
      <w:r>
        <w:rPr>
          <w:spacing w:val="11"/>
          <w:sz w:val="24"/>
        </w:rPr>
        <w:t> </w:t>
      </w:r>
      <w:r>
        <w:rPr>
          <w:sz w:val="24"/>
        </w:rPr>
        <w:t>consideration</w:t>
      </w:r>
      <w:r>
        <w:rPr>
          <w:spacing w:val="10"/>
          <w:sz w:val="24"/>
        </w:rPr>
        <w:t> </w:t>
      </w:r>
      <w:r>
        <w:rPr>
          <w:sz w:val="24"/>
        </w:rPr>
        <w:t>by</w:t>
      </w:r>
      <w:r>
        <w:rPr>
          <w:spacing w:val="11"/>
          <w:sz w:val="24"/>
        </w:rPr>
        <w:t> </w:t>
      </w:r>
      <w:r>
        <w:rPr>
          <w:sz w:val="24"/>
        </w:rPr>
        <w:t>the</w:t>
      </w:r>
      <w:r>
        <w:rPr>
          <w:spacing w:val="11"/>
          <w:sz w:val="24"/>
        </w:rPr>
        <w:t> </w:t>
      </w:r>
      <w:r>
        <w:rPr>
          <w:i/>
          <w:sz w:val="24"/>
        </w:rPr>
        <w:t>Reliability</w:t>
      </w:r>
      <w:r>
        <w:rPr>
          <w:i/>
          <w:spacing w:val="10"/>
          <w:sz w:val="24"/>
        </w:rPr>
        <w:t> </w:t>
      </w:r>
      <w:r>
        <w:rPr>
          <w:i/>
          <w:sz w:val="24"/>
        </w:rPr>
        <w:t>Panel</w:t>
      </w:r>
      <w:r>
        <w:rPr>
          <w:i/>
          <w:spacing w:val="11"/>
          <w:sz w:val="24"/>
        </w:rPr>
        <w:t> </w:t>
      </w:r>
      <w:r>
        <w:rPr>
          <w:sz w:val="24"/>
        </w:rPr>
        <w:t>of</w:t>
      </w:r>
      <w:r>
        <w:rPr>
          <w:spacing w:val="11"/>
          <w:sz w:val="24"/>
        </w:rPr>
        <w:t> </w:t>
      </w:r>
      <w:r>
        <w:rPr>
          <w:sz w:val="24"/>
        </w:rPr>
        <w:t>any</w:t>
      </w:r>
      <w:r>
        <w:rPr>
          <w:spacing w:val="11"/>
          <w:sz w:val="24"/>
        </w:rPr>
        <w:t> </w:t>
      </w:r>
      <w:r>
        <w:rPr>
          <w:sz w:val="24"/>
        </w:rPr>
        <w:t>submissions</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or comments made to it, the </w:t>
      </w:r>
      <w:r>
        <w:rPr>
          <w:i/>
        </w:rPr>
        <w:t>Reliability Panel </w:t>
      </w:r>
      <w:r>
        <w:rPr/>
        <w:t>must submit a written report to the </w:t>
      </w:r>
      <w:r>
        <w:rPr>
          <w:i/>
        </w:rPr>
        <w:t>AEMC </w:t>
      </w:r>
      <w:r>
        <w:rPr/>
        <w:t>on the review setting out its recommendations or determinations, its reasons for those recommendations or determinations and the procedure followed by the </w:t>
      </w:r>
      <w:r>
        <w:rPr>
          <w:i/>
        </w:rPr>
        <w:t>Reliability Panel </w:t>
      </w:r>
      <w:r>
        <w:rPr/>
        <w:t>in undertaking the review or determination. The report must be submitted to the </w:t>
      </w:r>
      <w:r>
        <w:rPr>
          <w:i/>
        </w:rPr>
        <w:t>AEMC </w:t>
      </w:r>
      <w:r>
        <w:rPr/>
        <w:t>by the deadline for reporting specified by the </w:t>
      </w:r>
      <w:r>
        <w:rPr>
          <w:i/>
        </w:rPr>
        <w:t>AEMC </w:t>
      </w:r>
      <w:r>
        <w:rPr/>
        <w:t>in any request for a</w:t>
      </w:r>
      <w:r>
        <w:rPr>
          <w:spacing w:val="-7"/>
        </w:rPr>
        <w:t> </w:t>
      </w:r>
      <w:r>
        <w:rPr/>
        <w:t>review.</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AEMC </w:t>
      </w:r>
      <w:r>
        <w:rPr>
          <w:sz w:val="24"/>
        </w:rPr>
        <w:t>must, within 10 </w:t>
      </w:r>
      <w:r>
        <w:rPr>
          <w:i/>
          <w:sz w:val="24"/>
        </w:rPr>
        <w:t>days </w:t>
      </w:r>
      <w:r>
        <w:rPr>
          <w:sz w:val="24"/>
        </w:rPr>
        <w:t>of receiving from the </w:t>
      </w:r>
      <w:r>
        <w:rPr>
          <w:i/>
          <w:sz w:val="24"/>
        </w:rPr>
        <w:t>Reliability Panel </w:t>
      </w:r>
      <w:r>
        <w:rPr>
          <w:sz w:val="24"/>
        </w:rPr>
        <w:t>a notice, report or other document pursuant to this clause 8.8.3, publish that document on the </w:t>
      </w:r>
      <w:r>
        <w:rPr>
          <w:i/>
          <w:sz w:val="24"/>
        </w:rPr>
        <w:t>AEMC </w:t>
      </w:r>
      <w:r>
        <w:rPr>
          <w:sz w:val="24"/>
        </w:rPr>
        <w:t>website (with the exclusion of material that cannot be disclosed consistently with the </w:t>
      </w:r>
      <w:r>
        <w:rPr>
          <w:i/>
          <w:sz w:val="24"/>
        </w:rPr>
        <w:t>AEMC</w:t>
      </w:r>
      <w:r>
        <w:rPr>
          <w:sz w:val="24"/>
        </w:rPr>
        <w:t>'s obligations of</w:t>
      </w:r>
      <w:r>
        <w:rPr>
          <w:spacing w:val="-9"/>
          <w:sz w:val="24"/>
        </w:rPr>
        <w:t> </w:t>
      </w:r>
      <w:r>
        <w:rPr>
          <w:sz w:val="24"/>
        </w:rPr>
        <w:t>confidentiality).</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recommendations of the </w:t>
      </w:r>
      <w:r>
        <w:rPr>
          <w:i/>
          <w:sz w:val="24"/>
        </w:rPr>
        <w:t>Reliability Panel </w:t>
      </w:r>
      <w:r>
        <w:rPr>
          <w:sz w:val="24"/>
        </w:rPr>
        <w:t>may include (without limitation) recommended </w:t>
      </w:r>
      <w:r>
        <w:rPr>
          <w:i/>
          <w:sz w:val="24"/>
        </w:rPr>
        <w:t>changes </w:t>
      </w:r>
      <w:r>
        <w:rPr>
          <w:sz w:val="24"/>
        </w:rPr>
        <w:t>to the </w:t>
      </w:r>
      <w:r>
        <w:rPr>
          <w:i/>
          <w:sz w:val="24"/>
        </w:rPr>
        <w:t>Rules </w:t>
      </w:r>
      <w:r>
        <w:rPr>
          <w:sz w:val="24"/>
        </w:rPr>
        <w:t>in relation to matters concerning </w:t>
      </w:r>
      <w:r>
        <w:rPr>
          <w:i/>
          <w:sz w:val="24"/>
        </w:rPr>
        <w:t>reliability </w:t>
      </w:r>
      <w:r>
        <w:rPr>
          <w:sz w:val="24"/>
        </w:rPr>
        <w:t>of the </w:t>
      </w:r>
      <w:r>
        <w:rPr>
          <w:i/>
          <w:sz w:val="24"/>
        </w:rPr>
        <w:t>power</w:t>
      </w:r>
      <w:r>
        <w:rPr>
          <w:i/>
          <w:spacing w:val="-1"/>
          <w:sz w:val="24"/>
        </w:rPr>
        <w:t> </w:t>
      </w:r>
      <w:r>
        <w:rPr>
          <w:i/>
          <w:sz w:val="24"/>
        </w:rPr>
        <w:t>system</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8.4 Determination of protected events" w:id="2276"/>
      <w:bookmarkEnd w:id="2276"/>
      <w:r>
        <w:rPr>
          <w:b w:val="0"/>
        </w:rPr>
      </w:r>
      <w:bookmarkStart w:name="_bookmark948" w:id="2277"/>
      <w:bookmarkEnd w:id="2277"/>
      <w:r>
        <w:rPr>
          <w:b w:val="0"/>
        </w:rPr>
      </w:r>
      <w:bookmarkStart w:name="_bookmark948" w:id="2278"/>
      <w:bookmarkEnd w:id="2278"/>
      <w:r>
        <w:rPr/>
        <w:t>Dete</w:t>
      </w:r>
      <w:r>
        <w:rPr/>
        <w:t>rmination of protected</w:t>
      </w:r>
      <w:r>
        <w:rPr>
          <w:spacing w:val="-14"/>
        </w:rPr>
        <w:t> </w:t>
      </w:r>
      <w:r>
        <w:rPr/>
        <w:t>events</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A request for declaration of a </w:t>
      </w:r>
      <w:r>
        <w:rPr>
          <w:i/>
          <w:sz w:val="24"/>
        </w:rPr>
        <w:t>non-credible contingency event </w:t>
      </w:r>
      <w:r>
        <w:rPr>
          <w:sz w:val="24"/>
        </w:rPr>
        <w:t>as a </w:t>
      </w:r>
      <w:r>
        <w:rPr>
          <w:i/>
          <w:sz w:val="24"/>
        </w:rPr>
        <w:t>protected </w:t>
      </w:r>
      <w:r>
        <w:rPr>
          <w:i/>
          <w:sz w:val="24"/>
        </w:rPr>
        <w:t>event </w:t>
      </w:r>
      <w:r>
        <w:rPr>
          <w:sz w:val="24"/>
        </w:rPr>
        <w:t>or for the revocation of such a declaration may only be submitted by </w:t>
      </w:r>
      <w:r>
        <w:rPr>
          <w:i/>
          <w:sz w:val="24"/>
        </w:rPr>
        <w:t>AEMO</w:t>
      </w:r>
      <w:r>
        <w:rPr>
          <w:sz w:val="24"/>
        </w:rPr>
        <w:t>. The request must be in accordance with clause 5.20A.4 or clause 5.20A.5 as</w:t>
      </w:r>
      <w:r>
        <w:rPr>
          <w:spacing w:val="-1"/>
          <w:sz w:val="24"/>
        </w:rPr>
        <w:t> </w:t>
      </w:r>
      <w:r>
        <w:rPr>
          <w:sz w:val="24"/>
        </w:rPr>
        <w:t>applicable.</w:t>
      </w:r>
    </w:p>
    <w:p>
      <w:pPr>
        <w:pStyle w:val="ListParagraph"/>
        <w:numPr>
          <w:ilvl w:val="3"/>
          <w:numId w:val="634"/>
        </w:numPr>
        <w:tabs>
          <w:tab w:pos="1919" w:val="left" w:leader="none"/>
        </w:tabs>
        <w:spacing w:line="240" w:lineRule="auto" w:before="120" w:after="0"/>
        <w:ind w:left="1918" w:right="0" w:hanging="567"/>
        <w:jc w:val="both"/>
        <w:rPr>
          <w:i/>
          <w:sz w:val="24"/>
        </w:rPr>
      </w:pPr>
      <w:r>
        <w:rPr>
          <w:sz w:val="24"/>
        </w:rPr>
        <w:t>The</w:t>
      </w:r>
      <w:r>
        <w:rPr>
          <w:spacing w:val="20"/>
          <w:sz w:val="24"/>
        </w:rPr>
        <w:t> </w:t>
      </w:r>
      <w:r>
        <w:rPr>
          <w:i/>
          <w:sz w:val="24"/>
        </w:rPr>
        <w:t>Reliability</w:t>
      </w:r>
      <w:r>
        <w:rPr>
          <w:i/>
          <w:spacing w:val="20"/>
          <w:sz w:val="24"/>
        </w:rPr>
        <w:t> </w:t>
      </w:r>
      <w:r>
        <w:rPr>
          <w:i/>
          <w:sz w:val="24"/>
        </w:rPr>
        <w:t>Panel</w:t>
      </w:r>
      <w:r>
        <w:rPr>
          <w:i/>
          <w:spacing w:val="20"/>
          <w:sz w:val="24"/>
        </w:rPr>
        <w:t> </w:t>
      </w:r>
      <w:r>
        <w:rPr>
          <w:sz w:val="24"/>
        </w:rPr>
        <w:t>must</w:t>
      </w:r>
      <w:r>
        <w:rPr>
          <w:spacing w:val="20"/>
          <w:sz w:val="24"/>
        </w:rPr>
        <w:t> </w:t>
      </w:r>
      <w:r>
        <w:rPr>
          <w:sz w:val="24"/>
        </w:rPr>
        <w:t>comply</w:t>
      </w:r>
      <w:r>
        <w:rPr>
          <w:spacing w:val="21"/>
          <w:sz w:val="24"/>
        </w:rPr>
        <w:t> </w:t>
      </w:r>
      <w:r>
        <w:rPr>
          <w:sz w:val="24"/>
        </w:rPr>
        <w:t>with</w:t>
      </w:r>
      <w:r>
        <w:rPr>
          <w:spacing w:val="20"/>
          <w:sz w:val="24"/>
        </w:rPr>
        <w:t> </w:t>
      </w:r>
      <w:r>
        <w:rPr>
          <w:sz w:val="24"/>
        </w:rPr>
        <w:t>the</w:t>
      </w:r>
      <w:r>
        <w:rPr>
          <w:spacing w:val="20"/>
          <w:sz w:val="24"/>
        </w:rPr>
        <w:t> </w:t>
      </w:r>
      <w:r>
        <w:rPr>
          <w:i/>
          <w:sz w:val="24"/>
        </w:rPr>
        <w:t>Rules</w:t>
      </w:r>
      <w:r>
        <w:rPr>
          <w:i/>
          <w:spacing w:val="20"/>
          <w:sz w:val="24"/>
        </w:rPr>
        <w:t> </w:t>
      </w:r>
      <w:r>
        <w:rPr>
          <w:i/>
          <w:sz w:val="24"/>
        </w:rPr>
        <w:t>consultation</w:t>
      </w:r>
      <w:r>
        <w:rPr>
          <w:i/>
          <w:spacing w:val="21"/>
          <w:sz w:val="24"/>
        </w:rPr>
        <w:t> </w:t>
      </w:r>
      <w:r>
        <w:rPr>
          <w:i/>
          <w:sz w:val="24"/>
        </w:rPr>
        <w:t>procedures</w:t>
      </w:r>
    </w:p>
    <w:p>
      <w:pPr>
        <w:pStyle w:val="BodyText"/>
        <w:spacing w:before="0"/>
        <w:ind w:left="1919" w:firstLine="0"/>
      </w:pPr>
      <w:r>
        <w:rPr/>
        <w:t>in relation to the determination of each request under paragraph (a).</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In determining the request, the </w:t>
      </w:r>
      <w:r>
        <w:rPr>
          <w:i/>
          <w:sz w:val="24"/>
        </w:rPr>
        <w:t>Reliability Panel </w:t>
      </w:r>
      <w:r>
        <w:rPr>
          <w:sz w:val="24"/>
        </w:rPr>
        <w:t>must have regard to the information provided by </w:t>
      </w:r>
      <w:r>
        <w:rPr>
          <w:i/>
          <w:sz w:val="24"/>
        </w:rPr>
        <w:t>AEMO </w:t>
      </w:r>
      <w:r>
        <w:rPr>
          <w:sz w:val="24"/>
        </w:rPr>
        <w:t>in the request and may request further information or obtain such technical advice or assistance from time to time as it thinks appropriate including, without limitation, information, advice or assistance from </w:t>
      </w:r>
      <w:r>
        <w:rPr>
          <w:i/>
          <w:sz w:val="24"/>
        </w:rPr>
        <w:t>AEMO </w:t>
      </w:r>
      <w:r>
        <w:rPr>
          <w:sz w:val="24"/>
        </w:rPr>
        <w:t>and any </w:t>
      </w:r>
      <w:r>
        <w:rPr>
          <w:i/>
          <w:sz w:val="24"/>
        </w:rPr>
        <w:t>Registered</w:t>
      </w:r>
      <w:r>
        <w:rPr>
          <w:i/>
          <w:spacing w:val="-2"/>
          <w:sz w:val="24"/>
        </w:rPr>
        <w:t> </w:t>
      </w:r>
      <w:r>
        <w:rPr>
          <w:i/>
          <w:sz w:val="24"/>
        </w:rPr>
        <w:t>Participant</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In determining the request, the </w:t>
      </w:r>
      <w:r>
        <w:rPr>
          <w:i/>
          <w:sz w:val="24"/>
        </w:rPr>
        <w:t>Reliability Panel </w:t>
      </w:r>
      <w:r>
        <w:rPr>
          <w:sz w:val="24"/>
        </w:rPr>
        <w:t>may undertake its </w:t>
      </w:r>
      <w:r>
        <w:rPr>
          <w:spacing w:val="-4"/>
          <w:sz w:val="24"/>
        </w:rPr>
        <w:t>own </w:t>
      </w:r>
      <w:r>
        <w:rPr>
          <w:sz w:val="24"/>
        </w:rPr>
        <w:t>assessment of the costs and benefits of managing the </w:t>
      </w:r>
      <w:r>
        <w:rPr>
          <w:i/>
          <w:sz w:val="24"/>
        </w:rPr>
        <w:t>non-credible </w:t>
      </w:r>
      <w:r>
        <w:rPr>
          <w:i/>
          <w:sz w:val="24"/>
        </w:rPr>
        <w:t>contingency event </w:t>
      </w:r>
      <w:r>
        <w:rPr>
          <w:sz w:val="24"/>
        </w:rPr>
        <w:t>as a </w:t>
      </w:r>
      <w:r>
        <w:rPr>
          <w:i/>
          <w:sz w:val="24"/>
        </w:rPr>
        <w:t>protected event</w:t>
      </w:r>
      <w:r>
        <w:rPr>
          <w:sz w:val="24"/>
        </w:rPr>
        <w:t>,</w:t>
      </w:r>
      <w:r>
        <w:rPr>
          <w:spacing w:val="-2"/>
          <w:sz w:val="24"/>
        </w:rPr>
        <w:t> </w:t>
      </w:r>
      <w:r>
        <w:rPr>
          <w:sz w:val="24"/>
        </w:rPr>
        <w:t>including:</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costs to operate the </w:t>
      </w:r>
      <w:r>
        <w:rPr>
          <w:i/>
          <w:sz w:val="24"/>
        </w:rPr>
        <w:t>power system </w:t>
      </w:r>
      <w:r>
        <w:rPr>
          <w:sz w:val="24"/>
        </w:rPr>
        <w:t>in a </w:t>
      </w:r>
      <w:r>
        <w:rPr>
          <w:i/>
          <w:sz w:val="24"/>
        </w:rPr>
        <w:t>secure operating state </w:t>
      </w:r>
      <w:r>
        <w:rPr>
          <w:sz w:val="24"/>
        </w:rPr>
        <w:t>if the event is</w:t>
      </w:r>
      <w:r>
        <w:rPr>
          <w:spacing w:val="-1"/>
          <w:sz w:val="24"/>
        </w:rPr>
        <w:t> </w:t>
      </w:r>
      <w:r>
        <w:rPr>
          <w:sz w:val="24"/>
        </w:rPr>
        <w:t>declared;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costs associated with any proposal for a new or modified </w:t>
      </w:r>
      <w:r>
        <w:rPr>
          <w:i/>
          <w:sz w:val="24"/>
        </w:rPr>
        <w:t>emergency </w:t>
      </w:r>
      <w:r>
        <w:rPr>
          <w:i/>
          <w:sz w:val="24"/>
        </w:rPr>
        <w:t>frequency control scheme </w:t>
      </w:r>
      <w:r>
        <w:rPr>
          <w:sz w:val="24"/>
        </w:rPr>
        <w:t>or other </w:t>
      </w:r>
      <w:r>
        <w:rPr>
          <w:i/>
          <w:sz w:val="24"/>
        </w:rPr>
        <w:t>network </w:t>
      </w:r>
      <w:r>
        <w:rPr>
          <w:sz w:val="24"/>
        </w:rPr>
        <w:t>investment in </w:t>
      </w:r>
      <w:r>
        <w:rPr>
          <w:spacing w:val="-3"/>
          <w:sz w:val="24"/>
        </w:rPr>
        <w:t>connection </w:t>
      </w:r>
      <w:r>
        <w:rPr>
          <w:sz w:val="24"/>
        </w:rPr>
        <w:t>with managing the</w:t>
      </w:r>
      <w:r>
        <w:rPr>
          <w:spacing w:val="-2"/>
          <w:sz w:val="24"/>
        </w:rPr>
        <w:t> </w:t>
      </w:r>
      <w:r>
        <w:rPr>
          <w:sz w:val="24"/>
        </w:rPr>
        <w:t>event;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the benefits of mitigating the consequences of the event occurring by managing it as a </w:t>
      </w:r>
      <w:r>
        <w:rPr>
          <w:i/>
          <w:sz w:val="24"/>
        </w:rPr>
        <w:t>protected</w:t>
      </w:r>
      <w:r>
        <w:rPr>
          <w:i/>
          <w:spacing w:val="-1"/>
          <w:sz w:val="24"/>
        </w:rPr>
        <w:t> </w:t>
      </w:r>
      <w:r>
        <w:rPr>
          <w:i/>
          <w:sz w:val="24"/>
        </w:rPr>
        <w:t>event</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In making a determination that declares a </w:t>
      </w:r>
      <w:r>
        <w:rPr>
          <w:i/>
          <w:sz w:val="24"/>
        </w:rPr>
        <w:t>non-credible contingency event </w:t>
      </w:r>
      <w:r>
        <w:rPr>
          <w:sz w:val="24"/>
        </w:rPr>
        <w:t>to be a </w:t>
      </w:r>
      <w:r>
        <w:rPr>
          <w:i/>
          <w:sz w:val="24"/>
        </w:rPr>
        <w:t>protected event </w:t>
      </w:r>
      <w:r>
        <w:rPr>
          <w:sz w:val="24"/>
        </w:rPr>
        <w:t>or revokes that declaration, the </w:t>
      </w:r>
      <w:r>
        <w:rPr>
          <w:i/>
          <w:sz w:val="24"/>
        </w:rPr>
        <w:t>Reliability Panel </w:t>
      </w:r>
      <w:r>
        <w:rPr>
          <w:sz w:val="24"/>
        </w:rPr>
        <w:t>must have regard to the </w:t>
      </w:r>
      <w:r>
        <w:rPr>
          <w:i/>
          <w:sz w:val="24"/>
        </w:rPr>
        <w:t>national electricity</w:t>
      </w:r>
      <w:r>
        <w:rPr>
          <w:i/>
          <w:spacing w:val="-2"/>
          <w:sz w:val="24"/>
        </w:rPr>
        <w:t> </w:t>
      </w:r>
      <w:r>
        <w:rPr>
          <w:i/>
          <w:sz w:val="24"/>
        </w:rPr>
        <w:t>objective</w:t>
      </w:r>
      <w:r>
        <w:rPr>
          <w:sz w:val="24"/>
        </w:rPr>
        <w:t>.</w:t>
      </w:r>
    </w:p>
    <w:p>
      <w:pPr>
        <w:pStyle w:val="ListParagraph"/>
        <w:numPr>
          <w:ilvl w:val="3"/>
          <w:numId w:val="634"/>
        </w:numPr>
        <w:tabs>
          <w:tab w:pos="1920" w:val="left" w:leader="none"/>
        </w:tabs>
        <w:spacing w:line="240" w:lineRule="auto" w:before="120" w:after="0"/>
        <w:ind w:left="1919" w:right="414" w:hanging="567"/>
        <w:jc w:val="both"/>
        <w:rPr>
          <w:sz w:val="24"/>
        </w:rPr>
      </w:pPr>
      <w:r>
        <w:rPr>
          <w:sz w:val="24"/>
        </w:rPr>
        <w:t>When the </w:t>
      </w:r>
      <w:r>
        <w:rPr>
          <w:i/>
          <w:sz w:val="24"/>
        </w:rPr>
        <w:t>Reliability Panel </w:t>
      </w:r>
      <w:r>
        <w:rPr>
          <w:sz w:val="24"/>
        </w:rPr>
        <w:t>makes a determination under this clause, then subject to the provisions in the </w:t>
      </w:r>
      <w:r>
        <w:rPr>
          <w:i/>
          <w:sz w:val="24"/>
        </w:rPr>
        <w:t>Rules </w:t>
      </w:r>
      <w:r>
        <w:rPr>
          <w:sz w:val="24"/>
        </w:rPr>
        <w:t>applicable to </w:t>
      </w:r>
      <w:r>
        <w:rPr>
          <w:i/>
          <w:sz w:val="24"/>
        </w:rPr>
        <w:t>protected events</w:t>
      </w:r>
      <w:r>
        <w:rPr>
          <w:sz w:val="24"/>
        </w:rPr>
        <w:t>, the </w:t>
      </w:r>
      <w:r>
        <w:rPr>
          <w:i/>
          <w:sz w:val="24"/>
        </w:rPr>
        <w:t>Reliability Panel </w:t>
      </w:r>
      <w:r>
        <w:rPr>
          <w:sz w:val="24"/>
        </w:rPr>
        <w:t>may at the same time determine any other matters that the </w:t>
      </w:r>
      <w:r>
        <w:rPr>
          <w:i/>
          <w:sz w:val="24"/>
        </w:rPr>
        <w:t>Reliability Panel </w:t>
      </w:r>
      <w:r>
        <w:rPr>
          <w:sz w:val="24"/>
        </w:rPr>
        <w:t>considers necessary or appropriate in relation to </w:t>
      </w:r>
      <w:r>
        <w:rPr>
          <w:spacing w:val="-4"/>
          <w:sz w:val="24"/>
        </w:rPr>
        <w:t>the </w:t>
      </w:r>
      <w:r>
        <w:rPr>
          <w:i/>
          <w:sz w:val="24"/>
        </w:rPr>
        <w:t>protected event</w:t>
      </w:r>
      <w:r>
        <w:rPr>
          <w:sz w:val="24"/>
        </w:rPr>
        <w:t>, which may</w:t>
      </w:r>
      <w:r>
        <w:rPr>
          <w:spacing w:val="-2"/>
          <w:sz w:val="24"/>
        </w:rPr>
        <w:t> </w:t>
      </w:r>
      <w:r>
        <w:rPr>
          <w:sz w:val="24"/>
        </w:rPr>
        <w:t>include:</w:t>
      </w:r>
    </w:p>
    <w:p>
      <w:pPr>
        <w:spacing w:after="0" w:line="240" w:lineRule="auto"/>
        <w:jc w:val="both"/>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6" w:right="415" w:hanging="567"/>
        <w:jc w:val="both"/>
        <w:rPr>
          <w:sz w:val="24"/>
        </w:rPr>
      </w:pPr>
      <w:r>
        <w:rPr>
          <w:sz w:val="24"/>
        </w:rPr>
        <w:t>provision for the declaration of the </w:t>
      </w:r>
      <w:r>
        <w:rPr>
          <w:i/>
          <w:sz w:val="24"/>
        </w:rPr>
        <w:t>protected event </w:t>
      </w:r>
      <w:r>
        <w:rPr>
          <w:sz w:val="24"/>
        </w:rPr>
        <w:t>or the revocation of a declaration to come into effect at a future time, which may be a specified date or may be determined by reference to matters specified in the determination, such as the commissioning of a new or modified </w:t>
      </w:r>
      <w:r>
        <w:rPr>
          <w:i/>
          <w:sz w:val="24"/>
        </w:rPr>
        <w:t>emergency frequency control scheme </w:t>
      </w:r>
      <w:r>
        <w:rPr>
          <w:sz w:val="24"/>
        </w:rPr>
        <w:t>or the satisfaction of other conditions specified in the</w:t>
      </w:r>
      <w:r>
        <w:rPr>
          <w:spacing w:val="-1"/>
          <w:sz w:val="24"/>
        </w:rPr>
        <w:t> </w:t>
      </w:r>
      <w:r>
        <w:rPr>
          <w:sz w:val="24"/>
        </w:rPr>
        <w:t>determination;</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matters relating to the availability and operation of an </w:t>
      </w:r>
      <w:r>
        <w:rPr>
          <w:i/>
          <w:sz w:val="24"/>
        </w:rPr>
        <w:t>emergency </w:t>
      </w:r>
      <w:r>
        <w:rPr>
          <w:i/>
          <w:sz w:val="24"/>
        </w:rPr>
        <w:t>frequency control</w:t>
      </w:r>
      <w:r>
        <w:rPr>
          <w:i/>
          <w:spacing w:val="-2"/>
          <w:sz w:val="24"/>
        </w:rPr>
        <w:t> </w:t>
      </w:r>
      <w:r>
        <w:rPr>
          <w:i/>
          <w:sz w:val="24"/>
        </w:rPr>
        <w:t>scheme</w:t>
      </w:r>
      <w:r>
        <w:rPr>
          <w:sz w:val="24"/>
        </w:rPr>
        <w:t>;</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matters</w:t>
      </w:r>
      <w:r>
        <w:rPr>
          <w:spacing w:val="47"/>
          <w:sz w:val="24"/>
        </w:rPr>
        <w:t> </w:t>
      </w:r>
      <w:r>
        <w:rPr>
          <w:sz w:val="24"/>
        </w:rPr>
        <w:t>relating</w:t>
      </w:r>
      <w:r>
        <w:rPr>
          <w:spacing w:val="47"/>
          <w:sz w:val="24"/>
        </w:rPr>
        <w:t> </w:t>
      </w:r>
      <w:r>
        <w:rPr>
          <w:sz w:val="24"/>
        </w:rPr>
        <w:t>to</w:t>
      </w:r>
      <w:r>
        <w:rPr>
          <w:spacing w:val="48"/>
          <w:sz w:val="24"/>
        </w:rPr>
        <w:t> </w:t>
      </w:r>
      <w:r>
        <w:rPr>
          <w:i/>
          <w:sz w:val="24"/>
        </w:rPr>
        <w:t>AEMO's</w:t>
      </w:r>
      <w:r>
        <w:rPr>
          <w:i/>
          <w:spacing w:val="47"/>
          <w:sz w:val="24"/>
        </w:rPr>
        <w:t> </w:t>
      </w:r>
      <w:r>
        <w:rPr>
          <w:sz w:val="24"/>
        </w:rPr>
        <w:t>operation</w:t>
      </w:r>
      <w:r>
        <w:rPr>
          <w:spacing w:val="47"/>
          <w:sz w:val="24"/>
        </w:rPr>
        <w:t> </w:t>
      </w:r>
      <w:r>
        <w:rPr>
          <w:sz w:val="24"/>
        </w:rPr>
        <w:t>of</w:t>
      </w:r>
      <w:r>
        <w:rPr>
          <w:spacing w:val="48"/>
          <w:sz w:val="24"/>
        </w:rPr>
        <w:t> </w:t>
      </w:r>
      <w:r>
        <w:rPr>
          <w:sz w:val="24"/>
        </w:rPr>
        <w:t>the</w:t>
      </w:r>
      <w:r>
        <w:rPr>
          <w:spacing w:val="47"/>
          <w:sz w:val="24"/>
        </w:rPr>
        <w:t> </w:t>
      </w:r>
      <w:r>
        <w:rPr>
          <w:i/>
          <w:sz w:val="24"/>
        </w:rPr>
        <w:t>power</w:t>
      </w:r>
      <w:r>
        <w:rPr>
          <w:i/>
          <w:spacing w:val="47"/>
          <w:sz w:val="24"/>
        </w:rPr>
        <w:t> </w:t>
      </w:r>
      <w:r>
        <w:rPr>
          <w:i/>
          <w:sz w:val="24"/>
        </w:rPr>
        <w:t>system</w:t>
      </w:r>
      <w:r>
        <w:rPr>
          <w:i/>
          <w:spacing w:val="48"/>
          <w:sz w:val="24"/>
        </w:rPr>
        <w:t> </w:t>
      </w:r>
      <w:r>
        <w:rPr>
          <w:sz w:val="24"/>
        </w:rPr>
        <w:t>for</w:t>
      </w:r>
      <w:r>
        <w:rPr>
          <w:spacing w:val="47"/>
          <w:sz w:val="24"/>
        </w:rPr>
        <w:t> </w:t>
      </w:r>
      <w:r>
        <w:rPr>
          <w:sz w:val="24"/>
        </w:rPr>
        <w:t>that</w:t>
      </w:r>
    </w:p>
    <w:p>
      <w:pPr>
        <w:spacing w:before="0"/>
        <w:ind w:left="2486" w:right="0" w:firstLine="0"/>
        <w:jc w:val="both"/>
        <w:rPr>
          <w:sz w:val="24"/>
        </w:rPr>
      </w:pPr>
      <w:r>
        <w:rPr>
          <w:i/>
          <w:sz w:val="24"/>
        </w:rPr>
        <w:t>protected event</w:t>
      </w:r>
      <w:r>
        <w:rPr>
          <w:sz w:val="24"/>
        </w:rPr>
        <w:t>; 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changes to the principles and guidelines published under clause 8.8.1(a)(2a) to apply in respect of the </w:t>
      </w:r>
      <w:r>
        <w:rPr>
          <w:i/>
          <w:sz w:val="24"/>
        </w:rPr>
        <w:t>protected event </w:t>
      </w:r>
      <w:r>
        <w:rPr>
          <w:sz w:val="24"/>
        </w:rPr>
        <w:t>for the purposes of clause 4.2.6(b).</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When the </w:t>
      </w:r>
      <w:r>
        <w:rPr>
          <w:i/>
          <w:sz w:val="24"/>
        </w:rPr>
        <w:t>Reliability Panel </w:t>
      </w:r>
      <w:r>
        <w:rPr>
          <w:sz w:val="24"/>
        </w:rPr>
        <w:t>makes a determination under this clause that provides for the availability and operation of a new or modified </w:t>
      </w:r>
      <w:r>
        <w:rPr>
          <w:i/>
          <w:sz w:val="24"/>
        </w:rPr>
        <w:t>emergency </w:t>
      </w:r>
      <w:r>
        <w:rPr>
          <w:i/>
          <w:sz w:val="24"/>
        </w:rPr>
        <w:t>frequency control scheme </w:t>
      </w:r>
      <w:r>
        <w:rPr>
          <w:sz w:val="24"/>
        </w:rPr>
        <w:t>in connection with a </w:t>
      </w:r>
      <w:r>
        <w:rPr>
          <w:i/>
          <w:sz w:val="24"/>
        </w:rPr>
        <w:t>protected event</w:t>
      </w:r>
      <w:r>
        <w:rPr>
          <w:sz w:val="24"/>
        </w:rPr>
        <w:t>, the </w:t>
      </w:r>
      <w:r>
        <w:rPr>
          <w:i/>
          <w:sz w:val="24"/>
        </w:rPr>
        <w:t>Reliability Panel </w:t>
      </w:r>
      <w:r>
        <w:rPr>
          <w:sz w:val="24"/>
        </w:rPr>
        <w:t>must at the same time determine the </w:t>
      </w:r>
      <w:r>
        <w:rPr>
          <w:i/>
          <w:sz w:val="24"/>
        </w:rPr>
        <w:t>protected event EFCS </w:t>
      </w:r>
      <w:r>
        <w:rPr>
          <w:i/>
          <w:sz w:val="24"/>
        </w:rPr>
        <w:t>standard </w:t>
      </w:r>
      <w:r>
        <w:rPr>
          <w:sz w:val="24"/>
        </w:rPr>
        <w:t>applicable to the</w:t>
      </w:r>
      <w:r>
        <w:rPr>
          <w:spacing w:val="-2"/>
          <w:sz w:val="24"/>
        </w:rPr>
        <w:t> </w:t>
      </w:r>
      <w:r>
        <w:rPr>
          <w:sz w:val="24"/>
        </w:rPr>
        <w:t>scheme.</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The final report of the </w:t>
      </w:r>
      <w:r>
        <w:rPr>
          <w:i/>
          <w:sz w:val="24"/>
        </w:rPr>
        <w:t>Reliability Panel </w:t>
      </w:r>
      <w:r>
        <w:rPr>
          <w:sz w:val="24"/>
        </w:rPr>
        <w:t>under the </w:t>
      </w:r>
      <w:r>
        <w:rPr>
          <w:i/>
          <w:sz w:val="24"/>
        </w:rPr>
        <w:t>Rules consultation </w:t>
      </w:r>
      <w:r>
        <w:rPr>
          <w:i/>
          <w:sz w:val="24"/>
        </w:rPr>
        <w:t>procedures </w:t>
      </w:r>
      <w:r>
        <w:rPr>
          <w:sz w:val="24"/>
        </w:rPr>
        <w:t>must</w:t>
      </w:r>
      <w:r>
        <w:rPr>
          <w:spacing w:val="-1"/>
          <w:sz w:val="24"/>
        </w:rPr>
        <w:t> </w:t>
      </w:r>
      <w:r>
        <w:rPr>
          <w:sz w:val="24"/>
        </w:rPr>
        <w:t>include:</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if the </w:t>
      </w:r>
      <w:r>
        <w:rPr>
          <w:i/>
          <w:sz w:val="24"/>
        </w:rPr>
        <w:t>Reliability Panel </w:t>
      </w:r>
      <w:r>
        <w:rPr>
          <w:sz w:val="24"/>
        </w:rPr>
        <w:t>has determined to make a declaration,</w:t>
      </w:r>
      <w:r>
        <w:rPr>
          <w:spacing w:val="24"/>
          <w:sz w:val="24"/>
        </w:rPr>
        <w:t> </w:t>
      </w:r>
      <w:r>
        <w:rPr>
          <w:sz w:val="24"/>
        </w:rPr>
        <w:t>the terms of the declaration, any conditions applicable to it and any other matters determined under paragraph (f) or</w:t>
      </w:r>
      <w:r>
        <w:rPr>
          <w:spacing w:val="-1"/>
          <w:sz w:val="24"/>
        </w:rPr>
        <w:t> </w:t>
      </w:r>
      <w:r>
        <w:rPr>
          <w:sz w:val="24"/>
        </w:rPr>
        <w:t>(g);</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rationale for the determination, including the costs and benefits that the </w:t>
      </w:r>
      <w:r>
        <w:rPr>
          <w:i/>
          <w:sz w:val="24"/>
        </w:rPr>
        <w:t>Reliability Panel </w:t>
      </w:r>
      <w:r>
        <w:rPr>
          <w:sz w:val="24"/>
        </w:rPr>
        <w:t>had regard to and the rationale for any </w:t>
      </w:r>
      <w:r>
        <w:rPr>
          <w:i/>
          <w:sz w:val="24"/>
        </w:rPr>
        <w:t>protected event EFCS standard </w:t>
      </w:r>
      <w:r>
        <w:rPr>
          <w:sz w:val="24"/>
        </w:rPr>
        <w:t>determined by the </w:t>
      </w:r>
      <w:r>
        <w:rPr>
          <w:i/>
          <w:sz w:val="24"/>
        </w:rPr>
        <w:t>Reliability Panel</w:t>
      </w:r>
      <w:r>
        <w:rPr>
          <w:sz w:val="24"/>
        </w:rPr>
        <w:t>; 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where applicable, any other options considered and the corresponding expected </w:t>
      </w:r>
      <w:r>
        <w:rPr>
          <w:i/>
          <w:sz w:val="24"/>
        </w:rPr>
        <w:t>power system security </w:t>
      </w:r>
      <w:r>
        <w:rPr>
          <w:sz w:val="24"/>
        </w:rPr>
        <w:t>outcomes and costs and</w:t>
      </w:r>
      <w:r>
        <w:rPr>
          <w:spacing w:val="-9"/>
          <w:sz w:val="24"/>
        </w:rPr>
        <w:t> </w:t>
      </w:r>
      <w:r>
        <w:rPr>
          <w:sz w:val="24"/>
        </w:rPr>
        <w:t>benefits.</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The </w:t>
      </w:r>
      <w:r>
        <w:rPr>
          <w:i/>
          <w:sz w:val="24"/>
        </w:rPr>
        <w:t>Reliability Panel </w:t>
      </w:r>
      <w:r>
        <w:rPr>
          <w:sz w:val="24"/>
        </w:rPr>
        <w:t>must maintain and publish a list of all </w:t>
      </w:r>
      <w:r>
        <w:rPr>
          <w:i/>
          <w:sz w:val="24"/>
        </w:rPr>
        <w:t>protected events </w:t>
      </w:r>
      <w:r>
        <w:rPr>
          <w:sz w:val="24"/>
        </w:rPr>
        <w:t>(including events that will be </w:t>
      </w:r>
      <w:r>
        <w:rPr>
          <w:i/>
          <w:sz w:val="24"/>
        </w:rPr>
        <w:t>protected events </w:t>
      </w:r>
      <w:r>
        <w:rPr>
          <w:sz w:val="24"/>
        </w:rPr>
        <w:t>when the relevant declaration comes into effect) and each </w:t>
      </w:r>
      <w:r>
        <w:rPr>
          <w:i/>
          <w:sz w:val="24"/>
        </w:rPr>
        <w:t>protected event EFCS</w:t>
      </w:r>
      <w:r>
        <w:rPr>
          <w:i/>
          <w:spacing w:val="-3"/>
          <w:sz w:val="24"/>
        </w:rPr>
        <w:t> </w:t>
      </w:r>
      <w:r>
        <w:rPr>
          <w:i/>
          <w:sz w:val="24"/>
        </w:rPr>
        <w:t>standard</w:t>
      </w:r>
      <w:r>
        <w:rPr>
          <w:sz w:val="24"/>
        </w:rPr>
        <w:t>.</w:t>
      </w:r>
    </w:p>
    <w:p>
      <w:pPr>
        <w:pStyle w:val="BodyText"/>
        <w:spacing w:before="10"/>
        <w:ind w:firstLine="0"/>
        <w:jc w:val="left"/>
        <w:rPr>
          <w:sz w:val="20"/>
        </w:rPr>
      </w:pPr>
    </w:p>
    <w:p>
      <w:pPr>
        <w:pStyle w:val="Heading2"/>
        <w:tabs>
          <w:tab w:pos="1352" w:val="left" w:leader="none"/>
          <w:tab w:pos="9317" w:val="left" w:leader="none"/>
        </w:tabs>
      </w:pPr>
      <w:bookmarkStart w:name="Part F Rules consultation procedures" w:id="2279"/>
      <w:bookmarkEnd w:id="2279"/>
      <w:r>
        <w:rPr>
          <w:b w:val="0"/>
        </w:rPr>
      </w:r>
      <w:bookmarkStart w:name="_bookmark949" w:id="2280"/>
      <w:bookmarkEnd w:id="2280"/>
      <w:r>
        <w:rPr>
          <w:b w:val="0"/>
        </w:rPr>
      </w:r>
      <w:r>
        <w:rPr>
          <w:shd w:fill="D9D9D9" w:color="auto" w:val="clear"/>
        </w:rPr>
        <w:t>Part F</w:t>
        <w:tab/>
        <w:t>Rules consultation</w:t>
      </w:r>
      <w:r>
        <w:rPr>
          <w:spacing w:val="-16"/>
          <w:shd w:fill="D9D9D9" w:color="auto" w:val="clear"/>
        </w:rPr>
        <w:t> </w:t>
      </w:r>
      <w:r>
        <w:rPr>
          <w:shd w:fill="D9D9D9" w:color="auto" w:val="clear"/>
        </w:rPr>
        <w:t>procedures</w:t>
        <w:tab/>
      </w:r>
    </w:p>
    <w:p>
      <w:pPr>
        <w:pStyle w:val="Heading3"/>
        <w:numPr>
          <w:ilvl w:val="1"/>
          <w:numId w:val="634"/>
        </w:numPr>
        <w:tabs>
          <w:tab w:pos="1351" w:val="left" w:leader="none"/>
          <w:tab w:pos="1353" w:val="left" w:leader="none"/>
        </w:tabs>
        <w:spacing w:line="240" w:lineRule="auto" w:before="240" w:after="0"/>
        <w:ind w:left="1352" w:right="0" w:hanging="1135"/>
        <w:jc w:val="left"/>
      </w:pPr>
      <w:bookmarkStart w:name="8.9 Rules Consultation Procedures" w:id="2281"/>
      <w:bookmarkEnd w:id="2281"/>
      <w:r>
        <w:rPr>
          <w:b w:val="0"/>
        </w:rPr>
      </w:r>
      <w:bookmarkStart w:name="_bookmark950" w:id="2282"/>
      <w:bookmarkEnd w:id="2282"/>
      <w:r>
        <w:rPr>
          <w:b w:val="0"/>
        </w:rPr>
      </w:r>
      <w:bookmarkStart w:name="_bookmark950" w:id="2283"/>
      <w:bookmarkEnd w:id="2283"/>
      <w:r>
        <w:rPr/>
        <w:t>Rul</w:t>
      </w:r>
      <w:r>
        <w:rPr/>
        <w:t>es Consultation</w:t>
      </w:r>
      <w:r>
        <w:rPr>
          <w:spacing w:val="-2"/>
        </w:rPr>
        <w:t> </w:t>
      </w:r>
      <w:r>
        <w:rPr/>
        <w:t>Procedures</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These provisions apply wherever in the </w:t>
      </w:r>
      <w:r>
        <w:rPr>
          <w:i/>
          <w:sz w:val="24"/>
        </w:rPr>
        <w:t>Rules </w:t>
      </w:r>
      <w:r>
        <w:rPr>
          <w:sz w:val="24"/>
        </w:rPr>
        <w:t>any person (the </w:t>
      </w:r>
      <w:r>
        <w:rPr>
          <w:i/>
          <w:sz w:val="24"/>
        </w:rPr>
        <w:t>consulting </w:t>
      </w:r>
      <w:r>
        <w:rPr>
          <w:i/>
          <w:sz w:val="24"/>
        </w:rPr>
        <w:t>party</w:t>
      </w:r>
      <w:r>
        <w:rPr>
          <w:sz w:val="24"/>
        </w:rPr>
        <w:t>) is required to comply with the </w:t>
      </w:r>
      <w:r>
        <w:rPr>
          <w:i/>
          <w:sz w:val="24"/>
        </w:rPr>
        <w:t>Rules consultation procedures</w:t>
      </w:r>
      <w:r>
        <w:rPr>
          <w:sz w:val="24"/>
        </w:rPr>
        <w:t>. For the avoidance of doubt, the </w:t>
      </w:r>
      <w:r>
        <w:rPr>
          <w:i/>
          <w:sz w:val="24"/>
        </w:rPr>
        <w:t>Rules consultation procedures </w:t>
      </w:r>
      <w:r>
        <w:rPr>
          <w:sz w:val="24"/>
        </w:rPr>
        <w:t>are separate </w:t>
      </w:r>
      <w:r>
        <w:rPr>
          <w:spacing w:val="-3"/>
          <w:sz w:val="24"/>
        </w:rPr>
        <w:t>from,</w:t>
      </w:r>
      <w:r>
        <w:rPr>
          <w:spacing w:val="54"/>
          <w:sz w:val="24"/>
        </w:rPr>
        <w:t> </w:t>
      </w:r>
      <w:r>
        <w:rPr>
          <w:sz w:val="24"/>
        </w:rPr>
        <w:t>and do not apply to, the process for changing the </w:t>
      </w:r>
      <w:r>
        <w:rPr>
          <w:i/>
          <w:sz w:val="24"/>
        </w:rPr>
        <w:t>Rules </w:t>
      </w:r>
      <w:r>
        <w:rPr>
          <w:sz w:val="24"/>
        </w:rPr>
        <w:t>under Part 7 of the </w:t>
      </w:r>
      <w:r>
        <w:rPr>
          <w:i/>
          <w:sz w:val="24"/>
        </w:rPr>
        <w:t>National Electricity</w:t>
      </w:r>
      <w:r>
        <w:rPr>
          <w:i/>
          <w:spacing w:val="-1"/>
          <w:sz w:val="24"/>
        </w:rPr>
        <w:t> </w:t>
      </w:r>
      <w:r>
        <w:rPr>
          <w:i/>
          <w:sz w:val="24"/>
        </w:rPr>
        <w:t>Law</w:t>
      </w:r>
      <w:r>
        <w:rPr>
          <w:sz w:val="24"/>
        </w:rPr>
        <w:t>.</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The </w:t>
      </w:r>
      <w:r>
        <w:rPr>
          <w:i/>
          <w:sz w:val="24"/>
        </w:rPr>
        <w:t>consulting party </w:t>
      </w:r>
      <w:r>
        <w:rPr>
          <w:sz w:val="24"/>
        </w:rPr>
        <w:t>must give a notice to all persons nominated (including </w:t>
      </w:r>
      <w:r>
        <w:rPr>
          <w:i/>
          <w:sz w:val="24"/>
        </w:rPr>
        <w:t>Intending Participants </w:t>
      </w:r>
      <w:r>
        <w:rPr>
          <w:sz w:val="24"/>
        </w:rPr>
        <w:t>in the class of persons nominated) by the relevant provision as those with whom consultation is required or, if no persons are specifically</w:t>
      </w:r>
      <w:r>
        <w:rPr>
          <w:spacing w:val="42"/>
          <w:sz w:val="24"/>
        </w:rPr>
        <w:t> </w:t>
      </w:r>
      <w:r>
        <w:rPr>
          <w:sz w:val="24"/>
        </w:rPr>
        <w:t>nominated,</w:t>
      </w:r>
      <w:r>
        <w:rPr>
          <w:spacing w:val="42"/>
          <w:sz w:val="24"/>
        </w:rPr>
        <w:t> </w:t>
      </w:r>
      <w:r>
        <w:rPr>
          <w:i/>
          <w:sz w:val="24"/>
        </w:rPr>
        <w:t>AEMO</w:t>
      </w:r>
      <w:r>
        <w:rPr>
          <w:sz w:val="24"/>
        </w:rPr>
        <w:t>,</w:t>
      </w:r>
      <w:r>
        <w:rPr>
          <w:spacing w:val="42"/>
          <w:sz w:val="24"/>
        </w:rPr>
        <w:t> </w:t>
      </w:r>
      <w:r>
        <w:rPr>
          <w:sz w:val="24"/>
        </w:rPr>
        <w:t>all</w:t>
      </w:r>
      <w:r>
        <w:rPr>
          <w:spacing w:val="42"/>
          <w:sz w:val="24"/>
        </w:rPr>
        <w:t> </w:t>
      </w:r>
      <w:r>
        <w:rPr>
          <w:i/>
          <w:sz w:val="24"/>
        </w:rPr>
        <w:t>Registered</w:t>
      </w:r>
      <w:r>
        <w:rPr>
          <w:i/>
          <w:spacing w:val="42"/>
          <w:sz w:val="24"/>
        </w:rPr>
        <w:t> </w:t>
      </w:r>
      <w:r>
        <w:rPr>
          <w:i/>
          <w:sz w:val="24"/>
        </w:rPr>
        <w:t>Participants</w:t>
      </w:r>
      <w:r>
        <w:rPr>
          <w:i/>
          <w:spacing w:val="42"/>
          <w:sz w:val="24"/>
        </w:rPr>
        <w:t> </w:t>
      </w:r>
      <w:r>
        <w:rPr>
          <w:sz w:val="24"/>
        </w:rPr>
        <w:t>and</w:t>
      </w:r>
      <w:r>
        <w:rPr>
          <w:spacing w:val="42"/>
          <w:sz w:val="24"/>
        </w:rPr>
        <w:t> </w:t>
      </w:r>
      <w:r>
        <w:rPr>
          <w:sz w:val="24"/>
        </w:rPr>
        <w:t>interested</w:t>
      </w:r>
    </w:p>
    <w:p>
      <w:pPr>
        <w:spacing w:after="0" w:line="240" w:lineRule="auto"/>
        <w:jc w:val="both"/>
        <w:rPr>
          <w:sz w:val="24"/>
        </w:rPr>
        <w:sectPr>
          <w:pgSz w:w="11910" w:h="16840"/>
          <w:pgMar w:header="686" w:footer="637" w:top="1320" w:bottom="820" w:left="1200" w:right="1000"/>
        </w:sectPr>
      </w:pPr>
    </w:p>
    <w:p>
      <w:pPr>
        <w:pStyle w:val="BodyText"/>
        <w:spacing w:before="83"/>
        <w:ind w:left="1919" w:right="416" w:firstLine="0"/>
      </w:pPr>
      <w:r>
        <w:rPr/>
        <w:t>parties, (</w:t>
      </w:r>
      <w:r>
        <w:rPr>
          <w:b/>
        </w:rPr>
        <w:t>Consulted Persons</w:t>
      </w:r>
      <w:r>
        <w:rPr/>
        <w:t>) giving particulars of the matter under consultation, by publishing the notice in accordance with rule 8.9(c).</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Except where the </w:t>
      </w:r>
      <w:r>
        <w:rPr>
          <w:i/>
          <w:sz w:val="24"/>
        </w:rPr>
        <w:t>consulting party </w:t>
      </w:r>
      <w:r>
        <w:rPr>
          <w:sz w:val="24"/>
        </w:rPr>
        <w:t>is the </w:t>
      </w:r>
      <w:r>
        <w:rPr>
          <w:i/>
          <w:sz w:val="24"/>
        </w:rPr>
        <w:t>AEMC </w:t>
      </w:r>
      <w:r>
        <w:rPr>
          <w:sz w:val="24"/>
        </w:rPr>
        <w:t>or the </w:t>
      </w:r>
      <w:r>
        <w:rPr>
          <w:i/>
          <w:sz w:val="24"/>
        </w:rPr>
        <w:t>AER</w:t>
      </w:r>
      <w:r>
        <w:rPr>
          <w:sz w:val="24"/>
        </w:rPr>
        <w:t>, the </w:t>
      </w:r>
      <w:r>
        <w:rPr>
          <w:i/>
          <w:sz w:val="24"/>
        </w:rPr>
        <w:t>consulting </w:t>
      </w:r>
      <w:r>
        <w:rPr>
          <w:i/>
          <w:sz w:val="24"/>
        </w:rPr>
        <w:t>party </w:t>
      </w:r>
      <w:r>
        <w:rPr>
          <w:sz w:val="24"/>
        </w:rPr>
        <w:t>must provide a copy of the notice referred to in rule 8.9(b) to </w:t>
      </w:r>
      <w:r>
        <w:rPr>
          <w:i/>
          <w:spacing w:val="-3"/>
          <w:sz w:val="24"/>
        </w:rPr>
        <w:t>AEMO</w:t>
      </w:r>
      <w:r>
        <w:rPr>
          <w:spacing w:val="-3"/>
          <w:sz w:val="24"/>
        </w:rPr>
        <w:t>, </w:t>
      </w:r>
      <w:r>
        <w:rPr>
          <w:sz w:val="24"/>
        </w:rPr>
        <w:t>or to the </w:t>
      </w:r>
      <w:r>
        <w:rPr>
          <w:i/>
          <w:sz w:val="24"/>
        </w:rPr>
        <w:t>AEMC </w:t>
      </w:r>
      <w:r>
        <w:rPr>
          <w:sz w:val="24"/>
        </w:rPr>
        <w:t>where the </w:t>
      </w:r>
      <w:r>
        <w:rPr>
          <w:i/>
          <w:sz w:val="24"/>
        </w:rPr>
        <w:t>consulting party </w:t>
      </w:r>
      <w:r>
        <w:rPr>
          <w:sz w:val="24"/>
        </w:rPr>
        <w:t>is the </w:t>
      </w:r>
      <w:r>
        <w:rPr>
          <w:i/>
          <w:sz w:val="24"/>
        </w:rPr>
        <w:t>Reliability Panel</w:t>
      </w:r>
      <w:r>
        <w:rPr>
          <w:sz w:val="24"/>
        </w:rPr>
        <w:t>. Within 3 </w:t>
      </w:r>
      <w:r>
        <w:rPr>
          <w:i/>
          <w:sz w:val="24"/>
        </w:rPr>
        <w:t>business days </w:t>
      </w:r>
      <w:r>
        <w:rPr>
          <w:sz w:val="24"/>
        </w:rPr>
        <w:t>of receiving the notice </w:t>
      </w:r>
      <w:r>
        <w:rPr>
          <w:i/>
          <w:sz w:val="24"/>
        </w:rPr>
        <w:t>AEMO </w:t>
      </w:r>
      <w:r>
        <w:rPr>
          <w:sz w:val="24"/>
        </w:rPr>
        <w:t>must </w:t>
      </w:r>
      <w:r>
        <w:rPr>
          <w:i/>
          <w:sz w:val="24"/>
        </w:rPr>
        <w:t>publish </w:t>
      </w:r>
      <w:r>
        <w:rPr>
          <w:sz w:val="24"/>
        </w:rPr>
        <w:t>the notice on its website. Where the </w:t>
      </w:r>
      <w:r>
        <w:rPr>
          <w:i/>
          <w:sz w:val="24"/>
        </w:rPr>
        <w:t>AEMC </w:t>
      </w:r>
      <w:r>
        <w:rPr>
          <w:sz w:val="24"/>
        </w:rPr>
        <w:t>or the </w:t>
      </w:r>
      <w:r>
        <w:rPr>
          <w:i/>
          <w:sz w:val="24"/>
        </w:rPr>
        <w:t>Reliability Panel </w:t>
      </w:r>
      <w:r>
        <w:rPr>
          <w:sz w:val="24"/>
        </w:rPr>
        <w:t>is the </w:t>
      </w:r>
      <w:r>
        <w:rPr>
          <w:i/>
          <w:sz w:val="24"/>
        </w:rPr>
        <w:t>consulting party</w:t>
      </w:r>
      <w:r>
        <w:rPr>
          <w:sz w:val="24"/>
        </w:rPr>
        <w:t>, the </w:t>
      </w:r>
      <w:r>
        <w:rPr>
          <w:i/>
          <w:sz w:val="24"/>
        </w:rPr>
        <w:t>AEMC </w:t>
      </w:r>
      <w:r>
        <w:rPr>
          <w:sz w:val="24"/>
        </w:rPr>
        <w:t>must </w:t>
      </w:r>
      <w:r>
        <w:rPr>
          <w:i/>
          <w:sz w:val="24"/>
        </w:rPr>
        <w:t>publish </w:t>
      </w:r>
      <w:r>
        <w:rPr>
          <w:sz w:val="24"/>
        </w:rPr>
        <w:t>the notice referred to in rule 8.9(b) on its website. Where the </w:t>
      </w:r>
      <w:r>
        <w:rPr>
          <w:i/>
          <w:sz w:val="24"/>
        </w:rPr>
        <w:t>AER </w:t>
      </w:r>
      <w:r>
        <w:rPr>
          <w:sz w:val="24"/>
        </w:rPr>
        <w:t>is the </w:t>
      </w:r>
      <w:r>
        <w:rPr>
          <w:i/>
          <w:sz w:val="24"/>
        </w:rPr>
        <w:t>consulting party</w:t>
      </w:r>
      <w:r>
        <w:rPr>
          <w:sz w:val="24"/>
        </w:rPr>
        <w:t>, the </w:t>
      </w:r>
      <w:r>
        <w:rPr>
          <w:i/>
          <w:sz w:val="24"/>
        </w:rPr>
        <w:t>AER </w:t>
      </w:r>
      <w:r>
        <w:rPr>
          <w:sz w:val="24"/>
        </w:rPr>
        <w:t>must </w:t>
      </w:r>
      <w:r>
        <w:rPr>
          <w:i/>
          <w:sz w:val="24"/>
        </w:rPr>
        <w:t>publish </w:t>
      </w:r>
      <w:r>
        <w:rPr>
          <w:sz w:val="24"/>
        </w:rPr>
        <w:t>the notice referred to in rule 8.9(b) on its</w:t>
      </w:r>
      <w:r>
        <w:rPr>
          <w:spacing w:val="-1"/>
          <w:sz w:val="24"/>
        </w:rPr>
        <w:t> </w:t>
      </w:r>
      <w:r>
        <w:rPr>
          <w:sz w:val="24"/>
        </w:rPr>
        <w:t>website.</w:t>
      </w:r>
    </w:p>
    <w:p>
      <w:pPr>
        <w:pStyle w:val="ListParagraph"/>
        <w:numPr>
          <w:ilvl w:val="0"/>
          <w:numId w:val="639"/>
        </w:numPr>
        <w:tabs>
          <w:tab w:pos="1919" w:val="left" w:leader="none"/>
        </w:tabs>
        <w:spacing w:line="240" w:lineRule="auto" w:before="120" w:after="0"/>
        <w:ind w:left="1919" w:right="415" w:hanging="567"/>
        <w:jc w:val="both"/>
        <w:rPr>
          <w:sz w:val="24"/>
        </w:rPr>
      </w:pPr>
      <w:r>
        <w:rPr>
          <w:sz w:val="24"/>
        </w:rPr>
        <w:t>The notice must invite interested Consulted Persons to make written submissions to the </w:t>
      </w:r>
      <w:r>
        <w:rPr>
          <w:i/>
          <w:sz w:val="24"/>
        </w:rPr>
        <w:t>consulting party </w:t>
      </w:r>
      <w:r>
        <w:rPr>
          <w:sz w:val="24"/>
        </w:rPr>
        <w:t>concerning the</w:t>
      </w:r>
      <w:r>
        <w:rPr>
          <w:spacing w:val="-4"/>
          <w:sz w:val="24"/>
        </w:rPr>
        <w:t> </w:t>
      </w:r>
      <w:r>
        <w:rPr>
          <w:sz w:val="24"/>
        </w:rPr>
        <w:t>matter.</w:t>
      </w:r>
    </w:p>
    <w:p>
      <w:pPr>
        <w:pStyle w:val="ListParagraph"/>
        <w:numPr>
          <w:ilvl w:val="0"/>
          <w:numId w:val="639"/>
        </w:numPr>
        <w:tabs>
          <w:tab w:pos="1919" w:val="left" w:leader="none"/>
        </w:tabs>
        <w:spacing w:line="240" w:lineRule="auto" w:before="120" w:after="0"/>
        <w:ind w:left="1919" w:right="415" w:hanging="567"/>
        <w:jc w:val="both"/>
        <w:rPr>
          <w:sz w:val="24"/>
        </w:rPr>
      </w:pPr>
      <w:r>
        <w:rPr>
          <w:sz w:val="24"/>
        </w:rPr>
        <w:t>A written submission may state whether a Consulted Person considers that a meeting is necessary or desirable in connection with the matter under consultation and, if so, the reasons why such a meeting is necessary or desirable. To be valid, a submission must be received not later than the date specified in the notice (not to be less than 25 </w:t>
      </w:r>
      <w:r>
        <w:rPr>
          <w:i/>
          <w:sz w:val="24"/>
        </w:rPr>
        <w:t>business days </w:t>
      </w:r>
      <w:r>
        <w:rPr>
          <w:sz w:val="24"/>
        </w:rPr>
        <w:t>after the notice referred to in rule 8.9(b) is</w:t>
      </w:r>
      <w:r>
        <w:rPr>
          <w:spacing w:val="-1"/>
          <w:sz w:val="24"/>
        </w:rPr>
        <w:t> </w:t>
      </w:r>
      <w:r>
        <w:rPr>
          <w:sz w:val="24"/>
        </w:rPr>
        <w:t>published).</w:t>
      </w:r>
    </w:p>
    <w:p>
      <w:pPr>
        <w:pStyle w:val="ListParagraph"/>
        <w:numPr>
          <w:ilvl w:val="0"/>
          <w:numId w:val="639"/>
        </w:numPr>
        <w:tabs>
          <w:tab w:pos="1920" w:val="left" w:leader="none"/>
        </w:tabs>
        <w:spacing w:line="240" w:lineRule="auto" w:before="120" w:after="0"/>
        <w:ind w:left="1919" w:right="415" w:hanging="567"/>
        <w:jc w:val="both"/>
        <w:rPr>
          <w:sz w:val="24"/>
        </w:rPr>
      </w:pPr>
      <w:r>
        <w:rPr>
          <w:sz w:val="24"/>
        </w:rPr>
        <w:t>The </w:t>
      </w:r>
      <w:r>
        <w:rPr>
          <w:i/>
          <w:sz w:val="24"/>
        </w:rPr>
        <w:t>consulting party </w:t>
      </w:r>
      <w:r>
        <w:rPr>
          <w:sz w:val="24"/>
        </w:rPr>
        <w:t>must consider all valid submissions within a period of not more than a further 20 </w:t>
      </w:r>
      <w:r>
        <w:rPr>
          <w:i/>
          <w:sz w:val="24"/>
        </w:rPr>
        <w:t>business days</w:t>
      </w:r>
      <w:r>
        <w:rPr>
          <w:sz w:val="24"/>
        </w:rPr>
        <w:t>. If the </w:t>
      </w:r>
      <w:r>
        <w:rPr>
          <w:i/>
          <w:sz w:val="24"/>
        </w:rPr>
        <w:t>consulting party</w:t>
      </w:r>
      <w:r>
        <w:rPr>
          <w:sz w:val="24"/>
        </w:rPr>
        <w:t>, after having considered all valid submissions, concludes that it is desirable or necessary to hold any meetings, the </w:t>
      </w:r>
      <w:r>
        <w:rPr>
          <w:i/>
          <w:sz w:val="24"/>
        </w:rPr>
        <w:t>consulting party </w:t>
      </w:r>
      <w:r>
        <w:rPr>
          <w:sz w:val="24"/>
        </w:rPr>
        <w:t>must use its best endeavours to hold such meetings with Consulted Persons who have requested meetings within a further 25 </w:t>
      </w:r>
      <w:r>
        <w:rPr>
          <w:i/>
          <w:sz w:val="24"/>
        </w:rPr>
        <w:t>business</w:t>
      </w:r>
      <w:r>
        <w:rPr>
          <w:i/>
          <w:spacing w:val="-3"/>
          <w:sz w:val="24"/>
        </w:rPr>
        <w:t> </w:t>
      </w:r>
      <w:r>
        <w:rPr>
          <w:i/>
          <w:sz w:val="24"/>
        </w:rPr>
        <w:t>days</w:t>
      </w:r>
      <w:r>
        <w:rPr>
          <w:sz w:val="24"/>
        </w:rPr>
        <w:t>.</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Following the conclusion of any meetings held in accordance with rule 8.9(f) and the </w:t>
      </w:r>
      <w:r>
        <w:rPr>
          <w:i/>
          <w:sz w:val="24"/>
        </w:rPr>
        <w:t>consulting party's </w:t>
      </w:r>
      <w:r>
        <w:rPr>
          <w:sz w:val="24"/>
        </w:rPr>
        <w:t>consideration of a matter under consultation, the </w:t>
      </w:r>
      <w:r>
        <w:rPr>
          <w:i/>
          <w:sz w:val="24"/>
        </w:rPr>
        <w:t>consulting party </w:t>
      </w:r>
      <w:r>
        <w:rPr>
          <w:sz w:val="24"/>
        </w:rPr>
        <w:t>must publish a draft report in accordance with rule 8.9(h), available to all Consulted Persons, setting</w:t>
      </w:r>
      <w:r>
        <w:rPr>
          <w:spacing w:val="-6"/>
          <w:sz w:val="24"/>
        </w:rPr>
        <w:t> </w:t>
      </w:r>
      <w:r>
        <w:rPr>
          <w:sz w:val="24"/>
        </w:rPr>
        <w:t>out:</w:t>
      </w:r>
    </w:p>
    <w:p>
      <w:pPr>
        <w:pStyle w:val="ListParagraph"/>
        <w:numPr>
          <w:ilvl w:val="1"/>
          <w:numId w:val="639"/>
        </w:numPr>
        <w:tabs>
          <w:tab w:pos="2486" w:val="left" w:leader="none"/>
        </w:tabs>
        <w:spacing w:line="240" w:lineRule="auto" w:before="120" w:after="0"/>
        <w:ind w:left="2485" w:right="0" w:hanging="567"/>
        <w:jc w:val="both"/>
        <w:rPr>
          <w:sz w:val="24"/>
        </w:rPr>
      </w:pPr>
      <w:r>
        <w:rPr>
          <w:sz w:val="24"/>
        </w:rPr>
        <w:t>the conclusions and any determinations of the </w:t>
      </w:r>
      <w:r>
        <w:rPr>
          <w:i/>
          <w:sz w:val="24"/>
        </w:rPr>
        <w:t>consulting</w:t>
      </w:r>
      <w:r>
        <w:rPr>
          <w:i/>
          <w:spacing w:val="-2"/>
          <w:sz w:val="24"/>
        </w:rPr>
        <w:t> </w:t>
      </w:r>
      <w:r>
        <w:rPr>
          <w:i/>
          <w:sz w:val="24"/>
        </w:rPr>
        <w:t>party</w:t>
      </w:r>
      <w:r>
        <w:rPr>
          <w:sz w:val="24"/>
        </w:rPr>
        <w:t>;</w:t>
      </w:r>
    </w:p>
    <w:p>
      <w:pPr>
        <w:pStyle w:val="ListParagraph"/>
        <w:numPr>
          <w:ilvl w:val="1"/>
          <w:numId w:val="639"/>
        </w:numPr>
        <w:tabs>
          <w:tab w:pos="2486" w:val="left" w:leader="none"/>
        </w:tabs>
        <w:spacing w:line="240" w:lineRule="auto" w:before="120" w:after="0"/>
        <w:ind w:left="2485" w:right="0" w:hanging="567"/>
        <w:jc w:val="both"/>
        <w:rPr>
          <w:sz w:val="24"/>
        </w:rPr>
      </w:pPr>
      <w:r>
        <w:rPr>
          <w:sz w:val="24"/>
        </w:rPr>
        <w:t>its reasons for those conclusions;</w:t>
      </w:r>
    </w:p>
    <w:p>
      <w:pPr>
        <w:pStyle w:val="ListParagraph"/>
        <w:numPr>
          <w:ilvl w:val="1"/>
          <w:numId w:val="639"/>
        </w:numPr>
        <w:tabs>
          <w:tab w:pos="2486" w:val="left" w:leader="none"/>
        </w:tabs>
        <w:spacing w:line="240" w:lineRule="auto" w:before="120" w:after="0"/>
        <w:ind w:left="2486" w:right="414" w:hanging="567"/>
        <w:jc w:val="both"/>
        <w:rPr>
          <w:sz w:val="24"/>
        </w:rPr>
      </w:pPr>
      <w:r>
        <w:rPr>
          <w:sz w:val="24"/>
        </w:rPr>
        <w:t>the procedure followed by the </w:t>
      </w:r>
      <w:r>
        <w:rPr>
          <w:i/>
          <w:sz w:val="24"/>
        </w:rPr>
        <w:t>consulting party </w:t>
      </w:r>
      <w:r>
        <w:rPr>
          <w:sz w:val="24"/>
        </w:rPr>
        <w:t>in considering</w:t>
      </w:r>
      <w:r>
        <w:rPr>
          <w:spacing w:val="31"/>
          <w:sz w:val="24"/>
        </w:rPr>
        <w:t> </w:t>
      </w:r>
      <w:r>
        <w:rPr>
          <w:sz w:val="24"/>
        </w:rPr>
        <w:t>the matter;</w:t>
      </w:r>
    </w:p>
    <w:p>
      <w:pPr>
        <w:pStyle w:val="ListParagraph"/>
        <w:numPr>
          <w:ilvl w:val="1"/>
          <w:numId w:val="639"/>
        </w:numPr>
        <w:tabs>
          <w:tab w:pos="2486" w:val="left" w:leader="none"/>
        </w:tabs>
        <w:spacing w:line="240" w:lineRule="auto" w:before="120" w:after="0"/>
        <w:ind w:left="2486" w:right="414" w:hanging="567"/>
        <w:jc w:val="both"/>
        <w:rPr>
          <w:sz w:val="24"/>
        </w:rPr>
      </w:pPr>
      <w:r>
        <w:rPr>
          <w:sz w:val="24"/>
        </w:rPr>
        <w:t>summaries of each issue, that the </w:t>
      </w:r>
      <w:r>
        <w:rPr>
          <w:i/>
          <w:sz w:val="24"/>
        </w:rPr>
        <w:t>consulting party </w:t>
      </w:r>
      <w:r>
        <w:rPr>
          <w:spacing w:val="-3"/>
          <w:sz w:val="24"/>
        </w:rPr>
        <w:t>reasonably </w:t>
      </w:r>
      <w:r>
        <w:rPr>
          <w:sz w:val="24"/>
        </w:rPr>
        <w:t>considers to be material, contained in valid written submissions received from Consulted Persons or in meetings, and the </w:t>
      </w:r>
      <w:r>
        <w:rPr>
          <w:i/>
          <w:sz w:val="24"/>
        </w:rPr>
        <w:t>consulting </w:t>
      </w:r>
      <w:r>
        <w:rPr>
          <w:i/>
          <w:sz w:val="24"/>
        </w:rPr>
        <w:t>party's </w:t>
      </w:r>
      <w:r>
        <w:rPr>
          <w:sz w:val="24"/>
        </w:rPr>
        <w:t>response to each such issue;</w:t>
      </w:r>
      <w:r>
        <w:rPr>
          <w:spacing w:val="-2"/>
          <w:sz w:val="24"/>
        </w:rPr>
        <w:t> </w:t>
      </w:r>
      <w:r>
        <w:rPr>
          <w:sz w:val="24"/>
        </w:rPr>
        <w:t>and</w:t>
      </w:r>
    </w:p>
    <w:p>
      <w:pPr>
        <w:pStyle w:val="ListParagraph"/>
        <w:numPr>
          <w:ilvl w:val="1"/>
          <w:numId w:val="639"/>
        </w:numPr>
        <w:tabs>
          <w:tab w:pos="2486" w:val="left" w:leader="none"/>
        </w:tabs>
        <w:spacing w:line="240" w:lineRule="auto" w:before="120" w:after="0"/>
        <w:ind w:left="2486" w:right="415" w:hanging="567"/>
        <w:jc w:val="both"/>
        <w:rPr>
          <w:sz w:val="24"/>
        </w:rPr>
      </w:pPr>
      <w:r>
        <w:rPr>
          <w:sz w:val="24"/>
        </w:rPr>
        <w:t>in a notice at the front of the draft report, an invitation to Consulted Persons to make written submissions to the </w:t>
      </w:r>
      <w:r>
        <w:rPr>
          <w:i/>
          <w:sz w:val="24"/>
        </w:rPr>
        <w:t>consulting party </w:t>
      </w:r>
      <w:r>
        <w:rPr>
          <w:sz w:val="24"/>
        </w:rPr>
        <w:t>on the draft</w:t>
      </w:r>
      <w:r>
        <w:rPr>
          <w:spacing w:val="-1"/>
          <w:sz w:val="24"/>
        </w:rPr>
        <w:t> </w:t>
      </w:r>
      <w:r>
        <w:rPr>
          <w:sz w:val="24"/>
        </w:rPr>
        <w:t>report,</w:t>
      </w:r>
    </w:p>
    <w:p>
      <w:pPr>
        <w:pStyle w:val="BodyText"/>
        <w:ind w:left="1919" w:right="414" w:firstLine="0"/>
      </w:pPr>
      <w:r>
        <w:rPr/>
        <w:t>and, subject to its confidentiality obligations, the </w:t>
      </w:r>
      <w:r>
        <w:rPr>
          <w:i/>
        </w:rPr>
        <w:t>consulting party </w:t>
      </w:r>
      <w:r>
        <w:rPr/>
        <w:t>must make available to all Consulted Persons, on request, copies of any material submitted to the </w:t>
      </w:r>
      <w:r>
        <w:rPr>
          <w:i/>
        </w:rPr>
        <w:t>consulting</w:t>
      </w:r>
      <w:r>
        <w:rPr>
          <w:i/>
          <w:spacing w:val="-1"/>
        </w:rPr>
        <w:t> </w:t>
      </w:r>
      <w:r>
        <w:rPr>
          <w:i/>
        </w:rPr>
        <w:t>party</w:t>
      </w:r>
      <w:r>
        <w:rPr/>
        <w:t>.</w:t>
      </w:r>
    </w:p>
    <w:p>
      <w:pPr>
        <w:pStyle w:val="ListParagraph"/>
        <w:numPr>
          <w:ilvl w:val="0"/>
          <w:numId w:val="639"/>
        </w:numPr>
        <w:tabs>
          <w:tab w:pos="1919" w:val="left" w:leader="none"/>
        </w:tabs>
        <w:spacing w:line="240" w:lineRule="auto" w:before="120" w:after="0"/>
        <w:ind w:left="1919" w:right="415" w:hanging="567"/>
        <w:jc w:val="both"/>
        <w:rPr>
          <w:sz w:val="24"/>
        </w:rPr>
      </w:pPr>
      <w:r>
        <w:rPr>
          <w:sz w:val="24"/>
        </w:rPr>
        <w:t>Except where the </w:t>
      </w:r>
      <w:r>
        <w:rPr>
          <w:i/>
          <w:sz w:val="24"/>
        </w:rPr>
        <w:t>consulting party </w:t>
      </w:r>
      <w:r>
        <w:rPr>
          <w:sz w:val="24"/>
        </w:rPr>
        <w:t>is the </w:t>
      </w:r>
      <w:r>
        <w:rPr>
          <w:i/>
          <w:sz w:val="24"/>
        </w:rPr>
        <w:t>AEMC </w:t>
      </w:r>
      <w:r>
        <w:rPr>
          <w:sz w:val="24"/>
        </w:rPr>
        <w:t>or the </w:t>
      </w:r>
      <w:r>
        <w:rPr>
          <w:i/>
          <w:sz w:val="24"/>
        </w:rPr>
        <w:t>AER</w:t>
      </w:r>
      <w:r>
        <w:rPr>
          <w:sz w:val="24"/>
        </w:rPr>
        <w:t>, the </w:t>
      </w:r>
      <w:r>
        <w:rPr>
          <w:i/>
          <w:sz w:val="24"/>
        </w:rPr>
        <w:t>consulting </w:t>
      </w:r>
      <w:r>
        <w:rPr>
          <w:i/>
          <w:sz w:val="24"/>
        </w:rPr>
        <w:t>party </w:t>
      </w:r>
      <w:r>
        <w:rPr>
          <w:sz w:val="24"/>
        </w:rPr>
        <w:t>must provide a copy of the draft report referred to in rule 8.9(g) to </w:t>
      </w:r>
      <w:r>
        <w:rPr>
          <w:i/>
          <w:sz w:val="24"/>
        </w:rPr>
        <w:t>AEMO</w:t>
      </w:r>
      <w:r>
        <w:rPr>
          <w:sz w:val="24"/>
        </w:rPr>
        <w:t>,</w:t>
      </w:r>
      <w:r>
        <w:rPr>
          <w:spacing w:val="9"/>
          <w:sz w:val="24"/>
        </w:rPr>
        <w:t> </w:t>
      </w:r>
      <w:r>
        <w:rPr>
          <w:sz w:val="24"/>
        </w:rPr>
        <w:t>or</w:t>
      </w:r>
      <w:r>
        <w:rPr>
          <w:spacing w:val="11"/>
          <w:sz w:val="24"/>
        </w:rPr>
        <w:t> </w:t>
      </w:r>
      <w:r>
        <w:rPr>
          <w:sz w:val="24"/>
        </w:rPr>
        <w:t>to</w:t>
      </w:r>
      <w:r>
        <w:rPr>
          <w:spacing w:val="11"/>
          <w:sz w:val="24"/>
        </w:rPr>
        <w:t> </w:t>
      </w:r>
      <w:r>
        <w:rPr>
          <w:sz w:val="24"/>
        </w:rPr>
        <w:t>the</w:t>
      </w:r>
      <w:r>
        <w:rPr>
          <w:spacing w:val="10"/>
          <w:sz w:val="24"/>
        </w:rPr>
        <w:t> </w:t>
      </w:r>
      <w:r>
        <w:rPr>
          <w:i/>
          <w:sz w:val="24"/>
        </w:rPr>
        <w:t>AEMC</w:t>
      </w:r>
      <w:r>
        <w:rPr>
          <w:i/>
          <w:spacing w:val="10"/>
          <w:sz w:val="24"/>
        </w:rPr>
        <w:t> </w:t>
      </w:r>
      <w:r>
        <w:rPr>
          <w:sz w:val="24"/>
        </w:rPr>
        <w:t>where</w:t>
      </w:r>
      <w:r>
        <w:rPr>
          <w:spacing w:val="11"/>
          <w:sz w:val="24"/>
        </w:rPr>
        <w:t> </w:t>
      </w:r>
      <w:r>
        <w:rPr>
          <w:sz w:val="24"/>
        </w:rPr>
        <w:t>the</w:t>
      </w:r>
      <w:r>
        <w:rPr>
          <w:spacing w:val="9"/>
          <w:sz w:val="24"/>
        </w:rPr>
        <w:t> </w:t>
      </w:r>
      <w:r>
        <w:rPr>
          <w:i/>
          <w:sz w:val="24"/>
        </w:rPr>
        <w:t>consulting</w:t>
      </w:r>
      <w:r>
        <w:rPr>
          <w:i/>
          <w:spacing w:val="10"/>
          <w:sz w:val="24"/>
        </w:rPr>
        <w:t> </w:t>
      </w:r>
      <w:r>
        <w:rPr>
          <w:i/>
          <w:sz w:val="24"/>
        </w:rPr>
        <w:t>party</w:t>
      </w:r>
      <w:r>
        <w:rPr>
          <w:i/>
          <w:spacing w:val="11"/>
          <w:sz w:val="24"/>
        </w:rPr>
        <w:t> </w:t>
      </w:r>
      <w:r>
        <w:rPr>
          <w:sz w:val="24"/>
        </w:rPr>
        <w:t>is</w:t>
      </w:r>
      <w:r>
        <w:rPr>
          <w:spacing w:val="9"/>
          <w:sz w:val="24"/>
        </w:rPr>
        <w:t> </w:t>
      </w:r>
      <w:r>
        <w:rPr>
          <w:sz w:val="24"/>
        </w:rPr>
        <w:t>the</w:t>
      </w:r>
      <w:r>
        <w:rPr>
          <w:spacing w:val="11"/>
          <w:sz w:val="24"/>
        </w:rPr>
        <w:t> </w:t>
      </w:r>
      <w:r>
        <w:rPr>
          <w:i/>
          <w:sz w:val="24"/>
        </w:rPr>
        <w:t>Reliability</w:t>
      </w:r>
      <w:r>
        <w:rPr>
          <w:i/>
          <w:spacing w:val="10"/>
          <w:sz w:val="24"/>
        </w:rPr>
        <w:t> </w:t>
      </w:r>
      <w:r>
        <w:rPr>
          <w:i/>
          <w:sz w:val="24"/>
        </w:rPr>
        <w:t>Panel</w:t>
      </w:r>
      <w:r>
        <w:rPr>
          <w:sz w:val="24"/>
        </w:rPr>
        <w:t>.</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Within 3 </w:t>
      </w:r>
      <w:r>
        <w:rPr>
          <w:i/>
          <w:sz w:val="24"/>
        </w:rPr>
        <w:t>business days </w:t>
      </w:r>
      <w:r>
        <w:rPr>
          <w:sz w:val="24"/>
        </w:rPr>
        <w:t>of receiving the draft report </w:t>
      </w:r>
      <w:r>
        <w:rPr>
          <w:i/>
          <w:sz w:val="24"/>
        </w:rPr>
        <w:t>AEMO </w:t>
      </w:r>
      <w:r>
        <w:rPr>
          <w:sz w:val="24"/>
        </w:rPr>
        <w:t>must </w:t>
      </w:r>
      <w:r>
        <w:rPr>
          <w:i/>
          <w:sz w:val="24"/>
        </w:rPr>
        <w:t>publish </w:t>
      </w:r>
      <w:r>
        <w:rPr>
          <w:sz w:val="24"/>
        </w:rPr>
        <w:t>the draft report on its website. Where the </w:t>
      </w:r>
      <w:r>
        <w:rPr>
          <w:i/>
          <w:sz w:val="24"/>
        </w:rPr>
        <w:t>AEMC </w:t>
      </w:r>
      <w:r>
        <w:rPr>
          <w:sz w:val="24"/>
        </w:rPr>
        <w:t>or the </w:t>
      </w:r>
      <w:r>
        <w:rPr>
          <w:i/>
          <w:sz w:val="24"/>
        </w:rPr>
        <w:t>Reliability Panel </w:t>
      </w:r>
      <w:r>
        <w:rPr>
          <w:sz w:val="24"/>
        </w:rPr>
        <w:t>is the </w:t>
      </w:r>
      <w:r>
        <w:rPr>
          <w:i/>
          <w:sz w:val="24"/>
        </w:rPr>
        <w:t>consulting party</w:t>
      </w:r>
      <w:r>
        <w:rPr>
          <w:sz w:val="24"/>
        </w:rPr>
        <w:t>, the </w:t>
      </w:r>
      <w:r>
        <w:rPr>
          <w:i/>
          <w:sz w:val="24"/>
        </w:rPr>
        <w:t>AEMC </w:t>
      </w:r>
      <w:r>
        <w:rPr>
          <w:sz w:val="24"/>
        </w:rPr>
        <w:t>must </w:t>
      </w:r>
      <w:r>
        <w:rPr>
          <w:i/>
          <w:sz w:val="24"/>
        </w:rPr>
        <w:t>publish </w:t>
      </w:r>
      <w:r>
        <w:rPr>
          <w:sz w:val="24"/>
        </w:rPr>
        <w:t>the draft report referred to in rule 8.9(g) on its website. Where the </w:t>
      </w:r>
      <w:r>
        <w:rPr>
          <w:i/>
          <w:sz w:val="24"/>
        </w:rPr>
        <w:t>AER </w:t>
      </w:r>
      <w:r>
        <w:rPr>
          <w:sz w:val="24"/>
        </w:rPr>
        <w:t>is the </w:t>
      </w:r>
      <w:r>
        <w:rPr>
          <w:i/>
          <w:sz w:val="24"/>
        </w:rPr>
        <w:t>consulting party</w:t>
      </w:r>
      <w:r>
        <w:rPr>
          <w:sz w:val="24"/>
        </w:rPr>
        <w:t>, the </w:t>
      </w:r>
      <w:r>
        <w:rPr>
          <w:i/>
          <w:sz w:val="24"/>
        </w:rPr>
        <w:t>AER </w:t>
      </w:r>
      <w:r>
        <w:rPr>
          <w:sz w:val="24"/>
        </w:rPr>
        <w:t>must </w:t>
      </w:r>
      <w:r>
        <w:rPr>
          <w:i/>
          <w:sz w:val="24"/>
        </w:rPr>
        <w:t>publish </w:t>
      </w:r>
      <w:r>
        <w:rPr>
          <w:sz w:val="24"/>
        </w:rPr>
        <w:t>the draft report referred to in rule 8.9(g) on its website.</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To be valid, a submission invited in a notice referred to in rule 8.9(g)(5) must be received not later than the date specified in the notice (not to be less than 10 </w:t>
      </w:r>
      <w:r>
        <w:rPr>
          <w:i/>
          <w:sz w:val="24"/>
        </w:rPr>
        <w:t>business days </w:t>
      </w:r>
      <w:r>
        <w:rPr>
          <w:sz w:val="24"/>
        </w:rPr>
        <w:t>after the publication of the draft report pursuant </w:t>
      </w:r>
      <w:r>
        <w:rPr>
          <w:spacing w:val="-7"/>
          <w:sz w:val="24"/>
        </w:rPr>
        <w:t>to </w:t>
      </w:r>
      <w:r>
        <w:rPr>
          <w:sz w:val="24"/>
        </w:rPr>
        <w:t>rule 8.9(h) or such longer period as is reasonably determined by the </w:t>
      </w:r>
      <w:r>
        <w:rPr>
          <w:i/>
          <w:sz w:val="24"/>
        </w:rPr>
        <w:t>consulting party </w:t>
      </w:r>
      <w:r>
        <w:rPr>
          <w:sz w:val="24"/>
        </w:rPr>
        <w:t>having regard to the complexity of the matters and issues under</w:t>
      </w:r>
      <w:r>
        <w:rPr>
          <w:spacing w:val="-1"/>
          <w:sz w:val="24"/>
        </w:rPr>
        <w:t> </w:t>
      </w:r>
      <w:r>
        <w:rPr>
          <w:sz w:val="24"/>
        </w:rPr>
        <w:t>consideration).</w:t>
      </w:r>
    </w:p>
    <w:p>
      <w:pPr>
        <w:pStyle w:val="ListParagraph"/>
        <w:numPr>
          <w:ilvl w:val="0"/>
          <w:numId w:val="639"/>
        </w:numPr>
        <w:tabs>
          <w:tab w:pos="1919" w:val="left" w:leader="none"/>
        </w:tabs>
        <w:spacing w:line="240" w:lineRule="auto" w:before="120" w:after="0"/>
        <w:ind w:left="1919" w:right="416" w:hanging="567"/>
        <w:jc w:val="both"/>
        <w:rPr>
          <w:sz w:val="24"/>
        </w:rPr>
      </w:pPr>
      <w:r>
        <w:rPr>
          <w:sz w:val="24"/>
        </w:rPr>
        <w:t>The </w:t>
      </w:r>
      <w:r>
        <w:rPr>
          <w:i/>
          <w:sz w:val="24"/>
        </w:rPr>
        <w:t>consulting party </w:t>
      </w:r>
      <w:r>
        <w:rPr>
          <w:sz w:val="24"/>
        </w:rPr>
        <w:t>must consider all valid submissions within a period of not more than a further 30 </w:t>
      </w:r>
      <w:r>
        <w:rPr>
          <w:i/>
          <w:sz w:val="24"/>
        </w:rPr>
        <w:t>business</w:t>
      </w:r>
      <w:r>
        <w:rPr>
          <w:i/>
          <w:spacing w:val="-1"/>
          <w:sz w:val="24"/>
        </w:rPr>
        <w:t> </w:t>
      </w:r>
      <w:r>
        <w:rPr>
          <w:i/>
          <w:sz w:val="24"/>
        </w:rPr>
        <w:t>days</w:t>
      </w:r>
      <w:r>
        <w:rPr>
          <w:sz w:val="24"/>
        </w:rPr>
        <w:t>.</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Following the conclusion of the </w:t>
      </w:r>
      <w:r>
        <w:rPr>
          <w:i/>
          <w:sz w:val="24"/>
        </w:rPr>
        <w:t>consulting party's </w:t>
      </w:r>
      <w:r>
        <w:rPr>
          <w:sz w:val="24"/>
        </w:rPr>
        <w:t>consideration of all valid submissions the </w:t>
      </w:r>
      <w:r>
        <w:rPr>
          <w:i/>
          <w:sz w:val="24"/>
        </w:rPr>
        <w:t>consulting party </w:t>
      </w:r>
      <w:r>
        <w:rPr>
          <w:sz w:val="24"/>
        </w:rPr>
        <w:t>must publish a final report in accordance with rule 8.9(l), available to all Consulted Persons, setting</w:t>
      </w:r>
      <w:r>
        <w:rPr>
          <w:spacing w:val="-6"/>
          <w:sz w:val="24"/>
        </w:rPr>
        <w:t> </w:t>
      </w:r>
      <w:r>
        <w:rPr>
          <w:sz w:val="24"/>
        </w:rPr>
        <w:t>out:</w:t>
      </w:r>
    </w:p>
    <w:p>
      <w:pPr>
        <w:pStyle w:val="ListParagraph"/>
        <w:numPr>
          <w:ilvl w:val="1"/>
          <w:numId w:val="639"/>
        </w:numPr>
        <w:tabs>
          <w:tab w:pos="2486" w:val="left" w:leader="none"/>
        </w:tabs>
        <w:spacing w:line="240" w:lineRule="auto" w:before="120" w:after="0"/>
        <w:ind w:left="2486" w:right="414" w:hanging="567"/>
        <w:jc w:val="both"/>
        <w:rPr>
          <w:sz w:val="24"/>
        </w:rPr>
      </w:pPr>
      <w:r>
        <w:rPr>
          <w:sz w:val="24"/>
        </w:rPr>
        <w:t>the conclusions and any determinations of the </w:t>
      </w:r>
      <w:r>
        <w:rPr>
          <w:i/>
          <w:sz w:val="24"/>
        </w:rPr>
        <w:t>consulting party </w:t>
      </w:r>
      <w:r>
        <w:rPr>
          <w:sz w:val="24"/>
        </w:rPr>
        <w:t>on the matter under</w:t>
      </w:r>
      <w:r>
        <w:rPr>
          <w:spacing w:val="-1"/>
          <w:sz w:val="24"/>
        </w:rPr>
        <w:t> </w:t>
      </w:r>
      <w:r>
        <w:rPr>
          <w:sz w:val="24"/>
        </w:rPr>
        <w:t>consultation;</w:t>
      </w:r>
    </w:p>
    <w:p>
      <w:pPr>
        <w:pStyle w:val="ListParagraph"/>
        <w:numPr>
          <w:ilvl w:val="1"/>
          <w:numId w:val="639"/>
        </w:numPr>
        <w:tabs>
          <w:tab w:pos="2486" w:val="left" w:leader="none"/>
        </w:tabs>
        <w:spacing w:line="240" w:lineRule="auto" w:before="120" w:after="0"/>
        <w:ind w:left="2485" w:right="0" w:hanging="567"/>
        <w:jc w:val="both"/>
        <w:rPr>
          <w:sz w:val="24"/>
        </w:rPr>
      </w:pPr>
      <w:r>
        <w:rPr>
          <w:sz w:val="24"/>
        </w:rPr>
        <w:t>its reasons for those conclusions;</w:t>
      </w:r>
    </w:p>
    <w:p>
      <w:pPr>
        <w:pStyle w:val="ListParagraph"/>
        <w:numPr>
          <w:ilvl w:val="1"/>
          <w:numId w:val="639"/>
        </w:numPr>
        <w:tabs>
          <w:tab w:pos="2486" w:val="left" w:leader="none"/>
        </w:tabs>
        <w:spacing w:line="240" w:lineRule="auto" w:before="120" w:after="0"/>
        <w:ind w:left="2486" w:right="414" w:hanging="567"/>
        <w:jc w:val="both"/>
        <w:rPr>
          <w:sz w:val="24"/>
        </w:rPr>
      </w:pPr>
      <w:r>
        <w:rPr>
          <w:sz w:val="24"/>
        </w:rPr>
        <w:t>the procedure followed by the </w:t>
      </w:r>
      <w:r>
        <w:rPr>
          <w:i/>
          <w:sz w:val="24"/>
        </w:rPr>
        <w:t>consulting party </w:t>
      </w:r>
      <w:r>
        <w:rPr>
          <w:sz w:val="24"/>
        </w:rPr>
        <w:t>in considering</w:t>
      </w:r>
      <w:r>
        <w:rPr>
          <w:spacing w:val="31"/>
          <w:sz w:val="24"/>
        </w:rPr>
        <w:t> </w:t>
      </w:r>
      <w:r>
        <w:rPr>
          <w:sz w:val="24"/>
        </w:rPr>
        <w:t>the matter;</w:t>
      </w:r>
    </w:p>
    <w:p>
      <w:pPr>
        <w:pStyle w:val="ListParagraph"/>
        <w:numPr>
          <w:ilvl w:val="1"/>
          <w:numId w:val="639"/>
        </w:numPr>
        <w:tabs>
          <w:tab w:pos="2486" w:val="left" w:leader="none"/>
        </w:tabs>
        <w:spacing w:line="240" w:lineRule="auto" w:before="120" w:after="0"/>
        <w:ind w:left="2485" w:right="0" w:hanging="567"/>
        <w:jc w:val="both"/>
        <w:rPr>
          <w:sz w:val="24"/>
        </w:rPr>
      </w:pPr>
      <w:r>
        <w:rPr>
          <w:sz w:val="24"/>
        </w:rPr>
        <w:t>summaries required pursuant to rule 8.9(g)(4);</w:t>
      </w:r>
      <w:r>
        <w:rPr>
          <w:spacing w:val="-2"/>
          <w:sz w:val="24"/>
        </w:rPr>
        <w:t> </w:t>
      </w:r>
      <w:r>
        <w:rPr>
          <w:sz w:val="24"/>
        </w:rPr>
        <w:t>and</w:t>
      </w:r>
    </w:p>
    <w:p>
      <w:pPr>
        <w:pStyle w:val="ListParagraph"/>
        <w:numPr>
          <w:ilvl w:val="1"/>
          <w:numId w:val="639"/>
        </w:numPr>
        <w:tabs>
          <w:tab w:pos="2486" w:val="left" w:leader="none"/>
        </w:tabs>
        <w:spacing w:line="240" w:lineRule="auto" w:before="120" w:after="0"/>
        <w:ind w:left="2486" w:right="414" w:hanging="567"/>
        <w:jc w:val="both"/>
        <w:rPr>
          <w:sz w:val="24"/>
        </w:rPr>
      </w:pPr>
      <w:r>
        <w:rPr>
          <w:sz w:val="24"/>
        </w:rPr>
        <w:t>summaries of each issue, that the </w:t>
      </w:r>
      <w:r>
        <w:rPr>
          <w:i/>
          <w:sz w:val="24"/>
        </w:rPr>
        <w:t>consulting party </w:t>
      </w:r>
      <w:r>
        <w:rPr>
          <w:spacing w:val="-3"/>
          <w:sz w:val="24"/>
        </w:rPr>
        <w:t>reasonably </w:t>
      </w:r>
      <w:r>
        <w:rPr>
          <w:sz w:val="24"/>
        </w:rPr>
        <w:t>considers to be material, contained in valid written submissions received from Consulted Persons on the draft report and the </w:t>
      </w:r>
      <w:r>
        <w:rPr>
          <w:i/>
          <w:sz w:val="24"/>
        </w:rPr>
        <w:t>consulting </w:t>
      </w:r>
      <w:r>
        <w:rPr>
          <w:i/>
          <w:sz w:val="24"/>
        </w:rPr>
        <w:t>party's </w:t>
      </w:r>
      <w:r>
        <w:rPr>
          <w:sz w:val="24"/>
        </w:rPr>
        <w:t>response to each such</w:t>
      </w:r>
      <w:r>
        <w:rPr>
          <w:spacing w:val="-3"/>
          <w:sz w:val="24"/>
        </w:rPr>
        <w:t> </w:t>
      </w:r>
      <w:r>
        <w:rPr>
          <w:sz w:val="24"/>
        </w:rPr>
        <w:t>submission,</w:t>
      </w:r>
    </w:p>
    <w:p>
      <w:pPr>
        <w:pStyle w:val="BodyText"/>
        <w:ind w:left="1919" w:right="414" w:firstLine="0"/>
      </w:pPr>
      <w:r>
        <w:rPr/>
        <w:t>and, subject to its confidentiality obligations, the </w:t>
      </w:r>
      <w:r>
        <w:rPr>
          <w:i/>
        </w:rPr>
        <w:t>consulting party </w:t>
      </w:r>
      <w:r>
        <w:rPr/>
        <w:t>must make available to all Consulted Persons, on request, copies of any material submitted to the </w:t>
      </w:r>
      <w:r>
        <w:rPr>
          <w:i/>
        </w:rPr>
        <w:t>consulting</w:t>
      </w:r>
      <w:r>
        <w:rPr>
          <w:i/>
          <w:spacing w:val="-1"/>
        </w:rPr>
        <w:t> </w:t>
      </w:r>
      <w:r>
        <w:rPr>
          <w:i/>
        </w:rPr>
        <w:t>party</w:t>
      </w:r>
      <w:r>
        <w:rPr/>
        <w:t>.</w:t>
      </w:r>
    </w:p>
    <w:p>
      <w:pPr>
        <w:pStyle w:val="ListParagraph"/>
        <w:numPr>
          <w:ilvl w:val="0"/>
          <w:numId w:val="639"/>
        </w:numPr>
        <w:tabs>
          <w:tab w:pos="1919" w:val="left" w:leader="none"/>
        </w:tabs>
        <w:spacing w:line="240" w:lineRule="auto" w:before="120" w:after="0"/>
        <w:ind w:left="1919" w:right="415" w:hanging="567"/>
        <w:jc w:val="both"/>
        <w:rPr>
          <w:sz w:val="24"/>
        </w:rPr>
      </w:pPr>
      <w:r>
        <w:rPr>
          <w:sz w:val="24"/>
        </w:rPr>
        <w:t>Except where the </w:t>
      </w:r>
      <w:r>
        <w:rPr>
          <w:i/>
          <w:sz w:val="24"/>
        </w:rPr>
        <w:t>consulting party </w:t>
      </w:r>
      <w:r>
        <w:rPr>
          <w:sz w:val="24"/>
        </w:rPr>
        <w:t>is the </w:t>
      </w:r>
      <w:r>
        <w:rPr>
          <w:i/>
          <w:sz w:val="24"/>
        </w:rPr>
        <w:t>AEMC </w:t>
      </w:r>
      <w:r>
        <w:rPr>
          <w:sz w:val="24"/>
        </w:rPr>
        <w:t>or the </w:t>
      </w:r>
      <w:r>
        <w:rPr>
          <w:i/>
          <w:sz w:val="24"/>
        </w:rPr>
        <w:t>AER</w:t>
      </w:r>
      <w:r>
        <w:rPr>
          <w:sz w:val="24"/>
        </w:rPr>
        <w:t>, the </w:t>
      </w:r>
      <w:r>
        <w:rPr>
          <w:i/>
          <w:sz w:val="24"/>
        </w:rPr>
        <w:t>consulting </w:t>
      </w:r>
      <w:r>
        <w:rPr>
          <w:i/>
          <w:sz w:val="24"/>
        </w:rPr>
        <w:t>party </w:t>
      </w:r>
      <w:r>
        <w:rPr>
          <w:sz w:val="24"/>
        </w:rPr>
        <w:t>must provide a copy of the final report referred to in rule 8.9(k) to </w:t>
      </w:r>
      <w:r>
        <w:rPr>
          <w:i/>
          <w:sz w:val="24"/>
        </w:rPr>
        <w:t>AEMO</w:t>
      </w:r>
      <w:r>
        <w:rPr>
          <w:sz w:val="24"/>
        </w:rPr>
        <w:t>, or to the </w:t>
      </w:r>
      <w:r>
        <w:rPr>
          <w:i/>
          <w:sz w:val="24"/>
        </w:rPr>
        <w:t>AEMC </w:t>
      </w:r>
      <w:r>
        <w:rPr>
          <w:sz w:val="24"/>
        </w:rPr>
        <w:t>where the </w:t>
      </w:r>
      <w:r>
        <w:rPr>
          <w:i/>
          <w:sz w:val="24"/>
        </w:rPr>
        <w:t>consulting party </w:t>
      </w:r>
      <w:r>
        <w:rPr>
          <w:sz w:val="24"/>
        </w:rPr>
        <w:t>is the </w:t>
      </w:r>
      <w:r>
        <w:rPr>
          <w:i/>
          <w:sz w:val="24"/>
        </w:rPr>
        <w:t>Reliability Panel</w:t>
      </w:r>
      <w:r>
        <w:rPr>
          <w:sz w:val="24"/>
        </w:rPr>
        <w:t>. Within 3 </w:t>
      </w:r>
      <w:r>
        <w:rPr>
          <w:i/>
          <w:sz w:val="24"/>
        </w:rPr>
        <w:t>business days </w:t>
      </w:r>
      <w:r>
        <w:rPr>
          <w:sz w:val="24"/>
        </w:rPr>
        <w:t>of receiving the final report </w:t>
      </w:r>
      <w:r>
        <w:rPr>
          <w:i/>
          <w:sz w:val="24"/>
        </w:rPr>
        <w:t>AEMO </w:t>
      </w:r>
      <w:r>
        <w:rPr>
          <w:sz w:val="24"/>
        </w:rPr>
        <w:t>must </w:t>
      </w:r>
      <w:r>
        <w:rPr>
          <w:i/>
          <w:sz w:val="24"/>
        </w:rPr>
        <w:t>publish </w:t>
      </w:r>
      <w:r>
        <w:rPr>
          <w:sz w:val="24"/>
        </w:rPr>
        <w:t>the final report on its website. Where the </w:t>
      </w:r>
      <w:r>
        <w:rPr>
          <w:i/>
          <w:sz w:val="24"/>
        </w:rPr>
        <w:t>AEMC </w:t>
      </w:r>
      <w:r>
        <w:rPr>
          <w:sz w:val="24"/>
        </w:rPr>
        <w:t>or the </w:t>
      </w:r>
      <w:r>
        <w:rPr>
          <w:i/>
          <w:sz w:val="24"/>
        </w:rPr>
        <w:t>Reliability Panel </w:t>
      </w:r>
      <w:r>
        <w:rPr>
          <w:sz w:val="24"/>
        </w:rPr>
        <w:t>is the </w:t>
      </w:r>
      <w:r>
        <w:rPr>
          <w:i/>
          <w:sz w:val="24"/>
        </w:rPr>
        <w:t>consulting party</w:t>
      </w:r>
      <w:r>
        <w:rPr>
          <w:sz w:val="24"/>
        </w:rPr>
        <w:t>, the </w:t>
      </w:r>
      <w:r>
        <w:rPr>
          <w:i/>
          <w:sz w:val="24"/>
        </w:rPr>
        <w:t>AEMC </w:t>
      </w:r>
      <w:r>
        <w:rPr>
          <w:sz w:val="24"/>
        </w:rPr>
        <w:t>must </w:t>
      </w:r>
      <w:r>
        <w:rPr>
          <w:i/>
          <w:sz w:val="24"/>
        </w:rPr>
        <w:t>publish </w:t>
      </w:r>
      <w:r>
        <w:rPr>
          <w:sz w:val="24"/>
        </w:rPr>
        <w:t>the final report referred to in rule 8.9(k) on its website. Where the </w:t>
      </w:r>
      <w:r>
        <w:rPr>
          <w:i/>
          <w:sz w:val="24"/>
        </w:rPr>
        <w:t>AER </w:t>
      </w:r>
      <w:r>
        <w:rPr>
          <w:sz w:val="24"/>
        </w:rPr>
        <w:t>is the </w:t>
      </w:r>
      <w:r>
        <w:rPr>
          <w:i/>
          <w:sz w:val="24"/>
        </w:rPr>
        <w:t>consulting party</w:t>
      </w:r>
      <w:r>
        <w:rPr>
          <w:sz w:val="24"/>
        </w:rPr>
        <w:t>, the </w:t>
      </w:r>
      <w:r>
        <w:rPr>
          <w:i/>
          <w:sz w:val="24"/>
        </w:rPr>
        <w:t>AER </w:t>
      </w:r>
      <w:r>
        <w:rPr>
          <w:sz w:val="24"/>
        </w:rPr>
        <w:t>must </w:t>
      </w:r>
      <w:r>
        <w:rPr>
          <w:i/>
          <w:sz w:val="24"/>
        </w:rPr>
        <w:t>publish </w:t>
      </w:r>
      <w:r>
        <w:rPr>
          <w:sz w:val="24"/>
        </w:rPr>
        <w:t>the final report referred to in rule 8.9(k) on its</w:t>
      </w:r>
      <w:r>
        <w:rPr>
          <w:spacing w:val="-2"/>
          <w:sz w:val="24"/>
        </w:rPr>
        <w:t> </w:t>
      </w:r>
      <w:r>
        <w:rPr>
          <w:sz w:val="24"/>
        </w:rPr>
        <w:t>website.</w:t>
      </w:r>
    </w:p>
    <w:p>
      <w:pPr>
        <w:pStyle w:val="ListParagraph"/>
        <w:numPr>
          <w:ilvl w:val="0"/>
          <w:numId w:val="639"/>
        </w:numPr>
        <w:tabs>
          <w:tab w:pos="1919" w:val="left" w:leader="none"/>
        </w:tabs>
        <w:spacing w:line="240" w:lineRule="auto" w:before="120" w:after="0"/>
        <w:ind w:left="1919" w:right="414" w:hanging="567"/>
        <w:jc w:val="both"/>
        <w:rPr>
          <w:sz w:val="24"/>
        </w:rPr>
      </w:pPr>
      <w:r>
        <w:rPr>
          <w:sz w:val="24"/>
        </w:rPr>
        <w:t>The </w:t>
      </w:r>
      <w:r>
        <w:rPr>
          <w:i/>
          <w:sz w:val="24"/>
        </w:rPr>
        <w:t>consulting party </w:t>
      </w:r>
      <w:r>
        <w:rPr>
          <w:sz w:val="24"/>
        </w:rPr>
        <w:t>must not make the decision or determination in relation to which the </w:t>
      </w:r>
      <w:r>
        <w:rPr>
          <w:i/>
          <w:sz w:val="24"/>
        </w:rPr>
        <w:t>Rules consultation procedures </w:t>
      </w:r>
      <w:r>
        <w:rPr>
          <w:sz w:val="24"/>
        </w:rPr>
        <w:t>apply until the </w:t>
      </w:r>
      <w:r>
        <w:rPr>
          <w:i/>
          <w:sz w:val="24"/>
        </w:rPr>
        <w:t>consulting party </w:t>
      </w:r>
      <w:r>
        <w:rPr>
          <w:sz w:val="24"/>
        </w:rPr>
        <w:t>has completed all the procedures set out in this</w:t>
      </w:r>
      <w:r>
        <w:rPr>
          <w:spacing w:val="-6"/>
          <w:sz w:val="24"/>
        </w:rPr>
        <w:t> </w:t>
      </w:r>
      <w:r>
        <w:rPr>
          <w:sz w:val="24"/>
        </w:rPr>
        <w:t>clause.</w:t>
      </w:r>
    </w:p>
    <w:p>
      <w:pPr>
        <w:pStyle w:val="ListParagraph"/>
        <w:numPr>
          <w:ilvl w:val="0"/>
          <w:numId w:val="639"/>
        </w:numPr>
        <w:tabs>
          <w:tab w:pos="1919" w:val="left" w:leader="none"/>
        </w:tabs>
        <w:spacing w:line="240" w:lineRule="auto" w:before="120" w:after="0"/>
        <w:ind w:left="1918" w:right="0" w:hanging="567"/>
        <w:jc w:val="both"/>
        <w:rPr>
          <w:i/>
          <w:sz w:val="24"/>
        </w:rPr>
      </w:pPr>
      <w:r>
        <w:rPr>
          <w:sz w:val="24"/>
        </w:rPr>
        <w:t>Notwithstanding rule 8.9(m), substantial compliance by a</w:t>
      </w:r>
      <w:r>
        <w:rPr>
          <w:spacing w:val="-24"/>
          <w:sz w:val="24"/>
        </w:rPr>
        <w:t> </w:t>
      </w:r>
      <w:r>
        <w:rPr>
          <w:i/>
          <w:sz w:val="24"/>
        </w:rPr>
        <w:t>consulting party</w:t>
      </w:r>
    </w:p>
    <w:p>
      <w:pPr>
        <w:pStyle w:val="BodyText"/>
        <w:spacing w:before="0"/>
        <w:ind w:left="1919" w:firstLine="0"/>
      </w:pPr>
      <w:r>
        <w:rPr/>
        <w:t>with the procedures set out in this clause is sufficient.</w:t>
      </w:r>
    </w:p>
    <w:p>
      <w:pPr>
        <w:spacing w:after="0"/>
        <w:sectPr>
          <w:pgSz w:w="11910" w:h="16840"/>
          <w:pgMar w:header="686" w:footer="637" w:top="1320" w:bottom="820" w:left="1200" w:right="1000"/>
        </w:sectPr>
      </w:pPr>
    </w:p>
    <w:p>
      <w:pPr>
        <w:pStyle w:val="BodyText"/>
        <w:spacing w:before="2"/>
        <w:ind w:firstLine="0"/>
        <w:jc w:val="left"/>
        <w:rPr>
          <w:sz w:val="7"/>
        </w:rPr>
      </w:pPr>
    </w:p>
    <w:p>
      <w:pPr>
        <w:pStyle w:val="BodyText"/>
        <w:spacing w:before="0"/>
        <w:ind w:left="189" w:firstLine="0"/>
        <w:jc w:val="left"/>
        <w:rPr>
          <w:sz w:val="20"/>
        </w:rPr>
      </w:pPr>
      <w:r>
        <w:rPr>
          <w:sz w:val="20"/>
        </w:rPr>
        <w:pict>
          <v:shape style="width:456.45pt;height:16.1pt;mso-position-horizontal-relative:char;mso-position-vertical-relative:line" type="#_x0000_t202" filled="true" fillcolor="#d9d9d9" stroked="false">
            <w10:anchorlock/>
            <v:textbox inset="0,0,0,0">
              <w:txbxContent>
                <w:p>
                  <w:pPr>
                    <w:tabs>
                      <w:tab w:pos="1163" w:val="left" w:leader="none"/>
                    </w:tabs>
                    <w:spacing w:before="0"/>
                    <w:ind w:left="29" w:right="0" w:firstLine="0"/>
                    <w:jc w:val="left"/>
                    <w:rPr>
                      <w:rFonts w:ascii="Arial"/>
                      <w:b/>
                      <w:sz w:val="28"/>
                    </w:rPr>
                  </w:pPr>
                  <w:bookmarkStart w:name="Part G Consumer advocacy funding" w:id="2284"/>
                  <w:bookmarkEnd w:id="2284"/>
                  <w:r>
                    <w:rPr/>
                  </w:r>
                  <w:bookmarkStart w:name="_bookmark951" w:id="2285"/>
                  <w:bookmarkEnd w:id="2285"/>
                  <w:r>
                    <w:rPr/>
                  </w:r>
                  <w:r>
                    <w:rPr>
                      <w:rFonts w:ascii="Arial"/>
                      <w:b/>
                      <w:sz w:val="28"/>
                    </w:rPr>
                    <w:t>Part G</w:t>
                    <w:tab/>
                    <w:t>Consumer advocacy</w:t>
                  </w:r>
                  <w:r>
                    <w:rPr>
                      <w:rFonts w:ascii="Arial"/>
                      <w:b/>
                      <w:spacing w:val="-3"/>
                      <w:sz w:val="28"/>
                    </w:rPr>
                    <w:t> </w:t>
                  </w:r>
                  <w:r>
                    <w:rPr>
                      <w:rFonts w:ascii="Arial"/>
                      <w:b/>
                      <w:sz w:val="28"/>
                    </w:rPr>
                    <w:t>funding</w:t>
                  </w:r>
                </w:p>
              </w:txbxContent>
            </v:textbox>
            <v:fill type="solid"/>
          </v:shape>
        </w:pict>
      </w:r>
      <w:r>
        <w:rPr>
          <w:sz w:val="20"/>
        </w:rPr>
      </w:r>
    </w:p>
    <w:p>
      <w:pPr>
        <w:spacing w:before="98"/>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part has no effect in this jurisdiction (see regulation 5A of the </w:t>
      </w:r>
      <w:r>
        <w:rPr>
          <w:i/>
          <w:sz w:val="20"/>
        </w:rPr>
        <w:t>National Electricity (Northern </w:t>
      </w:r>
      <w:r>
        <w:rPr>
          <w:i/>
          <w:sz w:val="20"/>
        </w:rPr>
        <w:t>Territory) (National Uniform Legislation) (Modification) Regulations)</w:t>
      </w:r>
      <w:r>
        <w:rPr>
          <w:sz w:val="20"/>
        </w:rPr>
        <w:t>.</w:t>
      </w:r>
    </w:p>
    <w:p>
      <w:pPr>
        <w:pStyle w:val="BodyText"/>
        <w:spacing w:before="9"/>
        <w:ind w:firstLine="0"/>
        <w:jc w:val="left"/>
        <w:rPr>
          <w:sz w:val="20"/>
        </w:rPr>
      </w:pPr>
    </w:p>
    <w:p>
      <w:pPr>
        <w:pStyle w:val="Heading3"/>
        <w:numPr>
          <w:ilvl w:val="1"/>
          <w:numId w:val="634"/>
        </w:numPr>
        <w:tabs>
          <w:tab w:pos="1351" w:val="left" w:leader="none"/>
          <w:tab w:pos="1353" w:val="left" w:leader="none"/>
        </w:tabs>
        <w:spacing w:line="240" w:lineRule="auto" w:before="1" w:after="0"/>
        <w:ind w:left="1352" w:right="0" w:hanging="1135"/>
        <w:jc w:val="left"/>
      </w:pPr>
      <w:bookmarkStart w:name="8.10 Consumer advocacy funding obligatio" w:id="2286"/>
      <w:bookmarkEnd w:id="2286"/>
      <w:r>
        <w:rPr>
          <w:b w:val="0"/>
        </w:rPr>
      </w:r>
      <w:bookmarkStart w:name="_bookmark952" w:id="2287"/>
      <w:bookmarkEnd w:id="2287"/>
      <w:r>
        <w:rPr>
          <w:b w:val="0"/>
        </w:rPr>
      </w:r>
      <w:bookmarkStart w:name="_bookmark952" w:id="2288"/>
      <w:bookmarkEnd w:id="2288"/>
      <w:r>
        <w:rPr/>
        <w:t>Con</w:t>
      </w:r>
      <w:r>
        <w:rPr/>
        <w:t>sumer advocacy funding</w:t>
      </w:r>
      <w:r>
        <w:rPr>
          <w:spacing w:val="-3"/>
        </w:rPr>
        <w:t> </w:t>
      </w:r>
      <w:r>
        <w:rPr/>
        <w:t>obligation</w:t>
      </w:r>
    </w:p>
    <w:p>
      <w:pPr>
        <w:pStyle w:val="ListParagraph"/>
        <w:numPr>
          <w:ilvl w:val="0"/>
          <w:numId w:val="640"/>
        </w:numPr>
        <w:tabs>
          <w:tab w:pos="1919" w:val="left" w:leader="none"/>
        </w:tabs>
        <w:spacing w:line="240" w:lineRule="auto" w:before="120" w:after="0"/>
        <w:ind w:left="1919" w:right="414" w:hanging="567"/>
        <w:jc w:val="both"/>
        <w:rPr>
          <w:sz w:val="24"/>
        </w:rPr>
      </w:pPr>
      <w:r>
        <w:rPr>
          <w:i/>
          <w:sz w:val="24"/>
        </w:rPr>
        <w:t>AEMO </w:t>
      </w:r>
      <w:r>
        <w:rPr>
          <w:sz w:val="24"/>
        </w:rPr>
        <w:t>must pay to ECA the amount of its consumer advocacy funding obligation for each financial</w:t>
      </w:r>
      <w:r>
        <w:rPr>
          <w:spacing w:val="-1"/>
          <w:sz w:val="24"/>
        </w:rPr>
        <w:t> </w:t>
      </w:r>
      <w:r>
        <w:rPr>
          <w:sz w:val="24"/>
        </w:rPr>
        <w:t>year.</w:t>
      </w:r>
    </w:p>
    <w:p>
      <w:pPr>
        <w:pStyle w:val="ListParagraph"/>
        <w:numPr>
          <w:ilvl w:val="0"/>
          <w:numId w:val="640"/>
        </w:numPr>
        <w:tabs>
          <w:tab w:pos="1919" w:val="left" w:leader="none"/>
        </w:tabs>
        <w:spacing w:line="240" w:lineRule="auto" w:before="120" w:after="0"/>
        <w:ind w:left="1919" w:right="413" w:hanging="567"/>
        <w:jc w:val="both"/>
        <w:rPr>
          <w:sz w:val="24"/>
        </w:rPr>
      </w:pPr>
      <w:r>
        <w:rPr>
          <w:i/>
          <w:sz w:val="24"/>
        </w:rPr>
        <w:t>AEMO </w:t>
      </w:r>
      <w:r>
        <w:rPr>
          <w:sz w:val="24"/>
        </w:rPr>
        <w:t>may recover the costs of meeting its consumer advocacy funding obligation from </w:t>
      </w:r>
      <w:r>
        <w:rPr>
          <w:i/>
          <w:sz w:val="24"/>
        </w:rPr>
        <w:t>Participant fees </w:t>
      </w:r>
      <w:r>
        <w:rPr>
          <w:sz w:val="24"/>
        </w:rPr>
        <w:t>and may allocate the costs to </w:t>
      </w:r>
      <w:r>
        <w:rPr>
          <w:i/>
          <w:sz w:val="24"/>
        </w:rPr>
        <w:t>Market </w:t>
      </w:r>
      <w:r>
        <w:rPr>
          <w:i/>
          <w:sz w:val="24"/>
        </w:rPr>
        <w:t>Customers</w:t>
      </w:r>
      <w:r>
        <w:rPr>
          <w:sz w:val="24"/>
        </w:rPr>
        <w:t>;</w:t>
      </w:r>
    </w:p>
    <w:p>
      <w:pPr>
        <w:pStyle w:val="ListParagraph"/>
        <w:numPr>
          <w:ilvl w:val="0"/>
          <w:numId w:val="640"/>
        </w:numPr>
        <w:tabs>
          <w:tab w:pos="1919" w:val="left" w:leader="none"/>
        </w:tabs>
        <w:spacing w:line="240" w:lineRule="auto" w:before="120" w:after="0"/>
        <w:ind w:left="1919" w:right="414" w:hanging="567"/>
        <w:jc w:val="both"/>
        <w:rPr>
          <w:sz w:val="24"/>
        </w:rPr>
      </w:pPr>
      <w:r>
        <w:rPr>
          <w:sz w:val="24"/>
        </w:rPr>
        <w:t>The amount to be paid by </w:t>
      </w:r>
      <w:r>
        <w:rPr>
          <w:i/>
          <w:sz w:val="24"/>
        </w:rPr>
        <w:t>AEMO </w:t>
      </w:r>
      <w:r>
        <w:rPr>
          <w:sz w:val="24"/>
        </w:rPr>
        <w:t>to ECA under paragraph (a) is to be made available under a scheme agreed between </w:t>
      </w:r>
      <w:r>
        <w:rPr>
          <w:i/>
          <w:sz w:val="24"/>
        </w:rPr>
        <w:t>AEMO </w:t>
      </w:r>
      <w:r>
        <w:rPr>
          <w:sz w:val="24"/>
        </w:rPr>
        <w:t>and ECA or, in default of an agreement, on a quarterly</w:t>
      </w:r>
      <w:r>
        <w:rPr>
          <w:spacing w:val="-1"/>
          <w:sz w:val="24"/>
        </w:rPr>
        <w:t> </w:t>
      </w:r>
      <w:r>
        <w:rPr>
          <w:sz w:val="24"/>
        </w:rPr>
        <w:t>basis;</w:t>
      </w:r>
    </w:p>
    <w:p>
      <w:pPr>
        <w:pStyle w:val="ListParagraph"/>
        <w:numPr>
          <w:ilvl w:val="0"/>
          <w:numId w:val="640"/>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rule:</w:t>
      </w:r>
    </w:p>
    <w:p>
      <w:pPr>
        <w:pStyle w:val="BodyText"/>
        <w:ind w:left="1919" w:right="414" w:firstLine="0"/>
      </w:pPr>
      <w:r>
        <w:rPr>
          <w:b/>
        </w:rPr>
        <w:t>consumer advocacy funding obligation </w:t>
      </w:r>
      <w:r>
        <w:rPr/>
        <w:t>means ECA's total projected expenses for a financial year, in so far as those expenses are allocated to electricity in its final Annual Budget for that financial year, and including but not limited to:</w:t>
      </w:r>
    </w:p>
    <w:p>
      <w:pPr>
        <w:pStyle w:val="ListParagraph"/>
        <w:numPr>
          <w:ilvl w:val="1"/>
          <w:numId w:val="640"/>
        </w:numPr>
        <w:tabs>
          <w:tab w:pos="2486" w:val="left" w:leader="none"/>
        </w:tabs>
        <w:spacing w:line="240" w:lineRule="auto" w:before="120" w:after="0"/>
        <w:ind w:left="2486" w:right="415" w:hanging="567"/>
        <w:jc w:val="both"/>
        <w:rPr>
          <w:sz w:val="24"/>
        </w:rPr>
      </w:pPr>
      <w:r>
        <w:rPr>
          <w:sz w:val="24"/>
        </w:rPr>
        <w:t>all operational and administrative costs relating to the performance </w:t>
      </w:r>
      <w:r>
        <w:rPr>
          <w:spacing w:val="-6"/>
          <w:sz w:val="24"/>
        </w:rPr>
        <w:t>of </w:t>
      </w:r>
      <w:r>
        <w:rPr>
          <w:sz w:val="24"/>
        </w:rPr>
        <w:t>ECA's activities relevant to consumers of electricity;</w:t>
      </w:r>
      <w:r>
        <w:rPr>
          <w:spacing w:val="-3"/>
          <w:sz w:val="24"/>
        </w:rPr>
        <w:t> </w:t>
      </w:r>
      <w:r>
        <w:rPr>
          <w:sz w:val="24"/>
        </w:rPr>
        <w:t>and</w:t>
      </w:r>
    </w:p>
    <w:p>
      <w:pPr>
        <w:pStyle w:val="ListParagraph"/>
        <w:numPr>
          <w:ilvl w:val="1"/>
          <w:numId w:val="640"/>
        </w:numPr>
        <w:tabs>
          <w:tab w:pos="2486" w:val="left" w:leader="none"/>
        </w:tabs>
        <w:spacing w:line="240" w:lineRule="auto" w:before="120" w:after="0"/>
        <w:ind w:left="2486" w:right="415" w:hanging="567"/>
        <w:jc w:val="both"/>
        <w:rPr>
          <w:sz w:val="24"/>
        </w:rPr>
      </w:pPr>
      <w:r>
        <w:rPr>
          <w:sz w:val="24"/>
        </w:rPr>
        <w:t>grant funding for any current or proposed grants relevant to consumers of</w:t>
      </w:r>
      <w:r>
        <w:rPr>
          <w:spacing w:val="-1"/>
          <w:sz w:val="24"/>
        </w:rPr>
        <w:t> </w:t>
      </w:r>
      <w:r>
        <w:rPr>
          <w:sz w:val="24"/>
        </w:rPr>
        <w:t>electricity.</w:t>
      </w:r>
    </w:p>
    <w:p>
      <w:pPr>
        <w:pStyle w:val="BodyText"/>
        <w:ind w:left="1919" w:right="416" w:firstLine="0"/>
      </w:pPr>
      <w:r>
        <w:rPr>
          <w:b/>
        </w:rPr>
        <w:t>final Annual Budget </w:t>
      </w:r>
      <w:r>
        <w:rPr/>
        <w:t>means ECA's final Annual Budget for a financial year, as issued by ECA in accordance with its constitution to</w:t>
      </w:r>
      <w:r>
        <w:rPr>
          <w:spacing w:val="-7"/>
        </w:rPr>
        <w:t> </w:t>
      </w:r>
      <w:r>
        <w:rPr>
          <w:i/>
        </w:rPr>
        <w:t>AEMO</w:t>
      </w:r>
      <w:r>
        <w:rPr/>
        <w:t>.</w:t>
      </w:r>
    </w:p>
    <w:p>
      <w:pPr>
        <w:pStyle w:val="BodyText"/>
        <w:spacing w:before="9"/>
        <w:ind w:firstLine="0"/>
        <w:jc w:val="left"/>
        <w:rPr>
          <w:sz w:val="18"/>
        </w:rPr>
      </w:pPr>
      <w:r>
        <w:rPr/>
        <w:pict>
          <v:shape style="position:absolute;margin-left:69.450005pt;margin-top:12.001531pt;width:456.45pt;height:16.1pt;mso-position-horizontal-relative:page;mso-position-vertical-relative:paragraph;z-index:-251591680;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H Augmentations" w:id="2289"/>
                  <w:bookmarkEnd w:id="2289"/>
                  <w:r>
                    <w:rPr/>
                  </w:r>
                  <w:bookmarkStart w:name="_bookmark953" w:id="2290"/>
                  <w:bookmarkEnd w:id="2290"/>
                  <w:r>
                    <w:rPr/>
                  </w:r>
                  <w:r>
                    <w:rPr>
                      <w:rFonts w:ascii="Arial"/>
                      <w:b/>
                      <w:sz w:val="28"/>
                    </w:rPr>
                    <w:t>Part H</w:t>
                    <w:tab/>
                    <w:t>Augmentations</w:t>
                  </w:r>
                </w:p>
              </w:txbxContent>
            </v:textbox>
            <v:fill type="solid"/>
            <w10:wrap type="topAndBottom"/>
          </v:shape>
        </w:pict>
      </w:r>
    </w:p>
    <w:p>
      <w:pPr>
        <w:spacing w:before="105"/>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This Part has no effect in this jurisdiction (see regulation 5A of the </w:t>
      </w:r>
      <w:r>
        <w:rPr>
          <w:i/>
          <w:sz w:val="20"/>
        </w:rPr>
        <w:t>National Electricity (Northern </w:t>
      </w:r>
      <w:r>
        <w:rPr>
          <w:i/>
          <w:sz w:val="20"/>
        </w:rPr>
        <w:t>Territory) (National Uniform Legislation) (Modification) Regulations 2016</w:t>
      </w:r>
      <w:r>
        <w:rPr>
          <w:sz w:val="20"/>
        </w:rPr>
        <w:t>).</w:t>
      </w:r>
    </w:p>
    <w:p>
      <w:pPr>
        <w:pStyle w:val="BodyText"/>
        <w:spacing w:before="10"/>
        <w:ind w:firstLine="0"/>
        <w:jc w:val="left"/>
        <w:rPr>
          <w:sz w:val="20"/>
        </w:rPr>
      </w:pPr>
    </w:p>
    <w:p>
      <w:pPr>
        <w:pStyle w:val="Heading3"/>
        <w:numPr>
          <w:ilvl w:val="1"/>
          <w:numId w:val="634"/>
        </w:numPr>
        <w:tabs>
          <w:tab w:pos="1351" w:val="left" w:leader="none"/>
          <w:tab w:pos="1353" w:val="left" w:leader="none"/>
        </w:tabs>
        <w:spacing w:line="240" w:lineRule="auto" w:before="0" w:after="0"/>
        <w:ind w:left="1352" w:right="0" w:hanging="1135"/>
        <w:jc w:val="left"/>
      </w:pPr>
      <w:bookmarkStart w:name="8.11 Augmentations" w:id="2291"/>
      <w:bookmarkEnd w:id="2291"/>
      <w:r>
        <w:rPr>
          <w:b w:val="0"/>
        </w:rPr>
      </w:r>
      <w:bookmarkStart w:name="_bookmark954" w:id="2292"/>
      <w:bookmarkEnd w:id="2292"/>
      <w:r>
        <w:rPr>
          <w:b w:val="0"/>
        </w:rPr>
      </w:r>
      <w:bookmarkStart w:name="_bookmark954" w:id="2293"/>
      <w:bookmarkEnd w:id="2293"/>
      <w:r>
        <w:rPr/>
        <w:t>Aug</w:t>
      </w:r>
      <w:r>
        <w:rPr/>
        <w:t>mentations</w:t>
      </w:r>
    </w:p>
    <w:p>
      <w:pPr>
        <w:pStyle w:val="Heading4"/>
        <w:numPr>
          <w:ilvl w:val="2"/>
          <w:numId w:val="634"/>
        </w:numPr>
        <w:tabs>
          <w:tab w:pos="1351" w:val="left" w:leader="none"/>
          <w:tab w:pos="1352" w:val="left" w:leader="none"/>
        </w:tabs>
        <w:spacing w:line="240" w:lineRule="auto" w:before="240" w:after="0"/>
        <w:ind w:left="1351" w:right="0" w:hanging="1134"/>
        <w:jc w:val="left"/>
      </w:pPr>
      <w:bookmarkStart w:name="8.11.1 Application" w:id="2294"/>
      <w:bookmarkEnd w:id="2294"/>
      <w:r>
        <w:rPr>
          <w:b w:val="0"/>
        </w:rPr>
      </w:r>
      <w:bookmarkStart w:name="_bookmark955" w:id="2295"/>
      <w:bookmarkEnd w:id="2295"/>
      <w:r>
        <w:rPr>
          <w:b w:val="0"/>
        </w:rPr>
      </w:r>
      <w:bookmarkStart w:name="_bookmark955" w:id="2296"/>
      <w:bookmarkEnd w:id="2296"/>
      <w:r>
        <w:rPr/>
        <w:t>Applicatio</w:t>
      </w:r>
      <w:r>
        <w:rPr/>
        <w:t>n</w:t>
      </w:r>
    </w:p>
    <w:p>
      <w:pPr>
        <w:spacing w:before="120"/>
        <w:ind w:left="1352" w:right="414" w:firstLine="0"/>
        <w:jc w:val="both"/>
        <w:rPr>
          <w:sz w:val="24"/>
        </w:rPr>
      </w:pPr>
      <w:r>
        <w:rPr>
          <w:sz w:val="24"/>
        </w:rPr>
        <w:t>This Part applies only to, and in relation to, the </w:t>
      </w:r>
      <w:r>
        <w:rPr>
          <w:i/>
          <w:sz w:val="24"/>
        </w:rPr>
        <w:t>declared transmission system </w:t>
      </w:r>
      <w:r>
        <w:rPr>
          <w:sz w:val="24"/>
        </w:rPr>
        <w:t>of an </w:t>
      </w:r>
      <w:r>
        <w:rPr>
          <w:i/>
          <w:sz w:val="24"/>
        </w:rPr>
        <w:t>adoptive jurisdiction </w:t>
      </w:r>
      <w:r>
        <w:rPr>
          <w:sz w:val="24"/>
        </w:rPr>
        <w:t>in which </w:t>
      </w:r>
      <w:r>
        <w:rPr>
          <w:i/>
          <w:sz w:val="24"/>
        </w:rPr>
        <w:t>AEMO </w:t>
      </w:r>
      <w:r>
        <w:rPr>
          <w:sz w:val="24"/>
        </w:rPr>
        <w:t>is authorised to exercise its </w:t>
      </w:r>
      <w:r>
        <w:rPr>
          <w:i/>
          <w:sz w:val="24"/>
        </w:rPr>
        <w:t>declared </w:t>
      </w:r>
      <w:r>
        <w:rPr>
          <w:i/>
          <w:sz w:val="24"/>
        </w:rPr>
        <w:t>network functions</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2 Object" w:id="2297"/>
      <w:bookmarkEnd w:id="2297"/>
      <w:r>
        <w:rPr>
          <w:b w:val="0"/>
        </w:rPr>
      </w:r>
      <w:bookmarkStart w:name="_bookmark956" w:id="2298"/>
      <w:bookmarkEnd w:id="2298"/>
      <w:r>
        <w:rPr>
          <w:b w:val="0"/>
        </w:rPr>
      </w:r>
      <w:bookmarkStart w:name="_bookmark956" w:id="2299"/>
      <w:bookmarkEnd w:id="2299"/>
      <w:r>
        <w:rPr/>
        <w:t>Object</w:t>
      </w:r>
    </w:p>
    <w:p>
      <w:pPr>
        <w:pStyle w:val="BodyText"/>
        <w:ind w:left="1352" w:firstLine="0"/>
        <w:jc w:val="left"/>
      </w:pPr>
      <w:r>
        <w:rPr/>
        <w:t>The objects of this rule are:</w:t>
      </w:r>
    </w:p>
    <w:p>
      <w:pPr>
        <w:pStyle w:val="ListParagraph"/>
        <w:numPr>
          <w:ilvl w:val="0"/>
          <w:numId w:val="641"/>
        </w:numPr>
        <w:tabs>
          <w:tab w:pos="1918" w:val="left" w:leader="none"/>
          <w:tab w:pos="1919" w:val="left" w:leader="none"/>
        </w:tabs>
        <w:spacing w:line="240" w:lineRule="auto" w:before="120" w:after="0"/>
        <w:ind w:left="1918" w:right="0" w:hanging="567"/>
        <w:jc w:val="left"/>
        <w:rPr>
          <w:sz w:val="24"/>
        </w:rPr>
      </w:pPr>
      <w:r>
        <w:rPr>
          <w:sz w:val="24"/>
        </w:rPr>
        <w:t>to</w:t>
      </w:r>
      <w:r>
        <w:rPr>
          <w:spacing w:val="16"/>
          <w:sz w:val="24"/>
        </w:rPr>
        <w:t> </w:t>
      </w:r>
      <w:r>
        <w:rPr>
          <w:sz w:val="24"/>
        </w:rPr>
        <w:t>establish</w:t>
      </w:r>
      <w:r>
        <w:rPr>
          <w:spacing w:val="17"/>
          <w:sz w:val="24"/>
        </w:rPr>
        <w:t> </w:t>
      </w:r>
      <w:r>
        <w:rPr>
          <w:sz w:val="24"/>
        </w:rPr>
        <w:t>the</w:t>
      </w:r>
      <w:r>
        <w:rPr>
          <w:spacing w:val="17"/>
          <w:sz w:val="24"/>
        </w:rPr>
        <w:t> </w:t>
      </w:r>
      <w:r>
        <w:rPr>
          <w:sz w:val="24"/>
        </w:rPr>
        <w:t>distinction</w:t>
      </w:r>
      <w:r>
        <w:rPr>
          <w:spacing w:val="16"/>
          <w:sz w:val="24"/>
        </w:rPr>
        <w:t> </w:t>
      </w:r>
      <w:r>
        <w:rPr>
          <w:sz w:val="24"/>
        </w:rPr>
        <w:t>between</w:t>
      </w:r>
      <w:r>
        <w:rPr>
          <w:spacing w:val="17"/>
          <w:sz w:val="24"/>
        </w:rPr>
        <w:t> </w:t>
      </w:r>
      <w:r>
        <w:rPr>
          <w:i/>
          <w:sz w:val="24"/>
        </w:rPr>
        <w:t>contestable</w:t>
      </w:r>
      <w:r>
        <w:rPr>
          <w:i/>
          <w:spacing w:val="17"/>
          <w:sz w:val="24"/>
        </w:rPr>
        <w:t> </w:t>
      </w:r>
      <w:r>
        <w:rPr>
          <w:i/>
          <w:sz w:val="24"/>
        </w:rPr>
        <w:t>augmentations</w:t>
      </w:r>
      <w:r>
        <w:rPr>
          <w:i/>
          <w:spacing w:val="17"/>
          <w:sz w:val="24"/>
        </w:rPr>
        <w:t> </w:t>
      </w:r>
      <w:r>
        <w:rPr>
          <w:sz w:val="24"/>
        </w:rPr>
        <w:t>and</w:t>
      </w:r>
    </w:p>
    <w:p>
      <w:pPr>
        <w:spacing w:before="0"/>
        <w:ind w:left="1919" w:right="0" w:firstLine="0"/>
        <w:jc w:val="left"/>
        <w:rPr>
          <w:sz w:val="24"/>
        </w:rPr>
      </w:pPr>
      <w:r>
        <w:rPr>
          <w:i/>
          <w:sz w:val="24"/>
        </w:rPr>
        <w:t>augmentations </w:t>
      </w:r>
      <w:r>
        <w:rPr>
          <w:sz w:val="24"/>
        </w:rPr>
        <w:t>that are not contestable; and</w:t>
      </w:r>
    </w:p>
    <w:p>
      <w:pPr>
        <w:pStyle w:val="ListParagraph"/>
        <w:numPr>
          <w:ilvl w:val="0"/>
          <w:numId w:val="641"/>
        </w:numPr>
        <w:tabs>
          <w:tab w:pos="1918" w:val="left" w:leader="none"/>
          <w:tab w:pos="1919" w:val="left" w:leader="none"/>
        </w:tabs>
        <w:spacing w:line="240" w:lineRule="auto" w:before="120" w:after="0"/>
        <w:ind w:left="1919" w:right="415" w:hanging="567"/>
        <w:jc w:val="left"/>
        <w:rPr>
          <w:sz w:val="24"/>
        </w:rPr>
      </w:pPr>
      <w:r>
        <w:rPr>
          <w:sz w:val="24"/>
        </w:rPr>
        <w:t>to regulate the process for calling, receiving and evaluating tenders for the construction and operation of a </w:t>
      </w:r>
      <w:r>
        <w:rPr>
          <w:i/>
          <w:sz w:val="24"/>
        </w:rPr>
        <w:t>contestable augmentation</w:t>
      </w:r>
      <w:r>
        <w:rPr>
          <w:sz w:val="24"/>
        </w:rPr>
        <w:t>;</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0"/>
          <w:numId w:val="641"/>
        </w:numPr>
        <w:tabs>
          <w:tab w:pos="1919" w:val="left" w:leader="none"/>
        </w:tabs>
        <w:spacing w:line="240" w:lineRule="auto" w:before="83" w:after="0"/>
        <w:ind w:left="1918" w:right="0" w:hanging="567"/>
        <w:jc w:val="both"/>
        <w:rPr>
          <w:sz w:val="24"/>
        </w:rPr>
      </w:pPr>
      <w:r>
        <w:rPr>
          <w:sz w:val="24"/>
        </w:rPr>
        <w:t>to facilitate the construction and operation of </w:t>
      </w:r>
      <w:r>
        <w:rPr>
          <w:i/>
          <w:sz w:val="24"/>
        </w:rPr>
        <w:t>augmentations</w:t>
      </w:r>
      <w:r>
        <w:rPr>
          <w:sz w:val="24"/>
        </w:rPr>
        <w:t>;</w:t>
      </w:r>
      <w:r>
        <w:rPr>
          <w:spacing w:val="-2"/>
          <w:sz w:val="24"/>
        </w:rPr>
        <w:t> </w:t>
      </w:r>
      <w:r>
        <w:rPr>
          <w:sz w:val="24"/>
        </w:rPr>
        <w:t>and</w:t>
      </w:r>
    </w:p>
    <w:p>
      <w:pPr>
        <w:pStyle w:val="ListParagraph"/>
        <w:numPr>
          <w:ilvl w:val="0"/>
          <w:numId w:val="641"/>
        </w:numPr>
        <w:tabs>
          <w:tab w:pos="1919" w:val="left" w:leader="none"/>
        </w:tabs>
        <w:spacing w:line="240" w:lineRule="auto" w:before="120" w:after="0"/>
        <w:ind w:left="1919" w:right="415" w:hanging="567"/>
        <w:jc w:val="both"/>
        <w:rPr>
          <w:sz w:val="24"/>
        </w:rPr>
      </w:pPr>
      <w:r>
        <w:rPr>
          <w:sz w:val="24"/>
        </w:rPr>
        <w:t>to provide guidance on risk allocation and other commercial principles to be reflected in </w:t>
      </w:r>
      <w:r>
        <w:rPr>
          <w:i/>
          <w:sz w:val="24"/>
        </w:rPr>
        <w:t>network agreements </w:t>
      </w:r>
      <w:r>
        <w:rPr>
          <w:sz w:val="24"/>
        </w:rPr>
        <w:t>and </w:t>
      </w:r>
      <w:r>
        <w:rPr>
          <w:i/>
          <w:sz w:val="24"/>
        </w:rPr>
        <w:t>augmentation connection agreements</w:t>
      </w:r>
      <w:r>
        <w:rPr>
          <w:sz w:val="24"/>
        </w:rPr>
        <w:t>; and</w:t>
      </w:r>
    </w:p>
    <w:p>
      <w:pPr>
        <w:pStyle w:val="ListParagraph"/>
        <w:numPr>
          <w:ilvl w:val="0"/>
          <w:numId w:val="641"/>
        </w:numPr>
        <w:tabs>
          <w:tab w:pos="1919" w:val="left" w:leader="none"/>
        </w:tabs>
        <w:spacing w:line="240" w:lineRule="auto" w:before="120" w:after="0"/>
        <w:ind w:left="1919" w:right="415" w:hanging="567"/>
        <w:jc w:val="both"/>
        <w:rPr>
          <w:sz w:val="24"/>
        </w:rPr>
      </w:pPr>
      <w:r>
        <w:rPr>
          <w:sz w:val="24"/>
        </w:rPr>
        <w:t>to make provision for certain matters with respect to </w:t>
      </w:r>
      <w:r>
        <w:rPr>
          <w:i/>
          <w:sz w:val="24"/>
        </w:rPr>
        <w:t>AEMO's </w:t>
      </w:r>
      <w:r>
        <w:rPr>
          <w:sz w:val="24"/>
        </w:rPr>
        <w:t>planning of the </w:t>
      </w:r>
      <w:r>
        <w:rPr>
          <w:i/>
          <w:sz w:val="24"/>
        </w:rPr>
        <w:t>declared shared</w:t>
      </w:r>
      <w:r>
        <w:rPr>
          <w:i/>
          <w:spacing w:val="-2"/>
          <w:sz w:val="24"/>
        </w:rPr>
        <w:t> </w:t>
      </w:r>
      <w:r>
        <w:rPr>
          <w:i/>
          <w:sz w:val="24"/>
        </w:rPr>
        <w:t>network</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3 Definitions" w:id="2300"/>
      <w:bookmarkEnd w:id="2300"/>
      <w:r>
        <w:rPr>
          <w:b w:val="0"/>
        </w:rPr>
      </w:r>
      <w:bookmarkStart w:name="_bookmark957" w:id="2301"/>
      <w:bookmarkEnd w:id="2301"/>
      <w:r>
        <w:rPr>
          <w:b w:val="0"/>
        </w:rPr>
      </w:r>
      <w:bookmarkStart w:name="_bookmark957" w:id="2302"/>
      <w:bookmarkEnd w:id="2302"/>
      <w:r>
        <w:rPr/>
        <w:t>Definition</w:t>
      </w:r>
      <w:r>
        <w:rPr/>
        <w:t>s</w:t>
      </w:r>
    </w:p>
    <w:p>
      <w:pPr>
        <w:pStyle w:val="BodyText"/>
        <w:ind w:left="1352" w:firstLine="0"/>
      </w:pPr>
      <w:r>
        <w:rPr/>
        <w:t>In this Part:</w:t>
      </w:r>
    </w:p>
    <w:p>
      <w:pPr>
        <w:spacing w:before="120"/>
        <w:ind w:left="1352" w:right="414" w:firstLine="0"/>
        <w:jc w:val="both"/>
        <w:rPr>
          <w:sz w:val="24"/>
        </w:rPr>
      </w:pPr>
      <w:r>
        <w:rPr>
          <w:b/>
          <w:i/>
          <w:sz w:val="24"/>
        </w:rPr>
        <w:t>augmentation connection agreement </w:t>
      </w:r>
      <w:r>
        <w:rPr>
          <w:sz w:val="24"/>
        </w:rPr>
        <w:t>has the meaning given in the </w:t>
      </w:r>
      <w:r>
        <w:rPr>
          <w:i/>
          <w:sz w:val="24"/>
        </w:rPr>
        <w:t>National </w:t>
      </w:r>
      <w:r>
        <w:rPr>
          <w:i/>
          <w:sz w:val="24"/>
        </w:rPr>
        <w:t>Electricity Law</w:t>
      </w:r>
      <w:r>
        <w:rPr>
          <w:sz w:val="24"/>
        </w:rPr>
        <w:t>.</w:t>
      </w:r>
    </w:p>
    <w:p>
      <w:pPr>
        <w:spacing w:before="120"/>
        <w:ind w:left="1352" w:right="415" w:firstLine="0"/>
        <w:jc w:val="both"/>
        <w:rPr>
          <w:sz w:val="24"/>
        </w:rPr>
      </w:pPr>
      <w:r>
        <w:rPr>
          <w:b/>
          <w:i/>
          <w:sz w:val="24"/>
        </w:rPr>
        <w:t>augmentation </w:t>
      </w:r>
      <w:r>
        <w:rPr>
          <w:b/>
          <w:sz w:val="24"/>
        </w:rPr>
        <w:t>direction </w:t>
      </w:r>
      <w:r>
        <w:rPr>
          <w:sz w:val="24"/>
        </w:rPr>
        <w:t>means a direction given by </w:t>
      </w:r>
      <w:r>
        <w:rPr>
          <w:i/>
          <w:sz w:val="24"/>
        </w:rPr>
        <w:t>AEMO </w:t>
      </w:r>
      <w:r>
        <w:rPr>
          <w:sz w:val="24"/>
        </w:rPr>
        <w:t>to an incumbent </w:t>
      </w:r>
      <w:r>
        <w:rPr>
          <w:i/>
          <w:sz w:val="24"/>
        </w:rPr>
        <w:t>declared transmission system operator </w:t>
      </w:r>
      <w:r>
        <w:rPr>
          <w:sz w:val="24"/>
        </w:rPr>
        <w:t>to construct an </w:t>
      </w:r>
      <w:r>
        <w:rPr>
          <w:i/>
          <w:sz w:val="24"/>
        </w:rPr>
        <w:t>augmentation </w:t>
      </w:r>
      <w:r>
        <w:rPr>
          <w:sz w:val="24"/>
        </w:rPr>
        <w:t>of a </w:t>
      </w:r>
      <w:r>
        <w:rPr>
          <w:i/>
          <w:sz w:val="24"/>
        </w:rPr>
        <w:t>declared </w:t>
      </w:r>
      <w:r>
        <w:rPr>
          <w:i/>
          <w:sz w:val="24"/>
        </w:rPr>
        <w:t>shared network </w:t>
      </w:r>
      <w:r>
        <w:rPr>
          <w:sz w:val="24"/>
        </w:rPr>
        <w:t>that is not a </w:t>
      </w:r>
      <w:r>
        <w:rPr>
          <w:i/>
          <w:sz w:val="24"/>
        </w:rPr>
        <w:t>contestable augmentation</w:t>
      </w:r>
      <w:r>
        <w:rPr>
          <w:sz w:val="24"/>
        </w:rPr>
        <w:t>.</w:t>
      </w:r>
    </w:p>
    <w:p>
      <w:pPr>
        <w:spacing w:before="120"/>
        <w:ind w:left="1352" w:right="415" w:firstLine="0"/>
        <w:jc w:val="both"/>
        <w:rPr>
          <w:sz w:val="24"/>
        </w:rPr>
      </w:pPr>
      <w:r>
        <w:rPr>
          <w:b/>
          <w:i/>
          <w:sz w:val="24"/>
        </w:rPr>
        <w:t>contestable augmentation </w:t>
      </w:r>
      <w:r>
        <w:rPr>
          <w:sz w:val="24"/>
        </w:rPr>
        <w:t>means an </w:t>
      </w:r>
      <w:r>
        <w:rPr>
          <w:i/>
          <w:sz w:val="24"/>
        </w:rPr>
        <w:t>augmentation </w:t>
      </w:r>
      <w:r>
        <w:rPr>
          <w:sz w:val="24"/>
        </w:rPr>
        <w:t>classified as a </w:t>
      </w:r>
      <w:r>
        <w:rPr>
          <w:i/>
          <w:sz w:val="24"/>
        </w:rPr>
        <w:t>contestable </w:t>
      </w:r>
      <w:r>
        <w:rPr>
          <w:i/>
          <w:sz w:val="24"/>
        </w:rPr>
        <w:t>augmentation </w:t>
      </w:r>
      <w:r>
        <w:rPr>
          <w:sz w:val="24"/>
        </w:rPr>
        <w:t>under clause 8.11.6.</w:t>
      </w:r>
    </w:p>
    <w:p>
      <w:pPr>
        <w:spacing w:before="120"/>
        <w:ind w:left="1352" w:right="416" w:firstLine="0"/>
        <w:jc w:val="both"/>
        <w:rPr>
          <w:sz w:val="24"/>
        </w:rPr>
      </w:pPr>
      <w:r>
        <w:rPr>
          <w:b/>
          <w:i/>
          <w:sz w:val="24"/>
        </w:rPr>
        <w:t>contestable </w:t>
      </w:r>
      <w:r>
        <w:rPr>
          <w:b/>
          <w:sz w:val="24"/>
        </w:rPr>
        <w:t>provider </w:t>
      </w:r>
      <w:r>
        <w:rPr>
          <w:sz w:val="24"/>
        </w:rPr>
        <w:t>means a person responsible for the construction or operation of a </w:t>
      </w:r>
      <w:r>
        <w:rPr>
          <w:i/>
          <w:sz w:val="24"/>
        </w:rPr>
        <w:t>contestable augmentation</w:t>
      </w:r>
      <w:r>
        <w:rPr>
          <w:sz w:val="24"/>
        </w:rPr>
        <w:t>.</w:t>
      </w:r>
    </w:p>
    <w:p>
      <w:pPr>
        <w:spacing w:before="120"/>
        <w:ind w:left="1352" w:right="414" w:firstLine="0"/>
        <w:jc w:val="both"/>
        <w:rPr>
          <w:sz w:val="24"/>
        </w:rPr>
      </w:pPr>
      <w:r>
        <w:rPr>
          <w:b/>
          <w:sz w:val="24"/>
        </w:rPr>
        <w:t>incumbent </w:t>
      </w:r>
      <w:r>
        <w:rPr>
          <w:b/>
          <w:i/>
          <w:sz w:val="24"/>
        </w:rPr>
        <w:t>declared transmission system operator </w:t>
      </w:r>
      <w:r>
        <w:rPr>
          <w:sz w:val="24"/>
        </w:rPr>
        <w:t>means the </w:t>
      </w:r>
      <w:r>
        <w:rPr>
          <w:i/>
          <w:sz w:val="24"/>
        </w:rPr>
        <w:t>declared </w:t>
      </w:r>
      <w:r>
        <w:rPr>
          <w:i/>
          <w:sz w:val="24"/>
        </w:rPr>
        <w:t>transmission system operator </w:t>
      </w:r>
      <w:r>
        <w:rPr>
          <w:sz w:val="24"/>
        </w:rPr>
        <w:t>that owns or operates the part of the </w:t>
      </w:r>
      <w:r>
        <w:rPr>
          <w:i/>
          <w:sz w:val="24"/>
        </w:rPr>
        <w:t>transmission </w:t>
      </w:r>
      <w:r>
        <w:rPr>
          <w:i/>
          <w:sz w:val="24"/>
        </w:rPr>
        <w:t>system </w:t>
      </w:r>
      <w:r>
        <w:rPr>
          <w:sz w:val="24"/>
        </w:rPr>
        <w:t>to which the </w:t>
      </w:r>
      <w:r>
        <w:rPr>
          <w:i/>
          <w:sz w:val="24"/>
        </w:rPr>
        <w:t>augmentation </w:t>
      </w:r>
      <w:r>
        <w:rPr>
          <w:sz w:val="24"/>
        </w:rPr>
        <w:t>will connect.</w:t>
      </w:r>
    </w:p>
    <w:p>
      <w:pPr>
        <w:spacing w:before="120"/>
        <w:ind w:left="1352" w:right="414" w:firstLine="0"/>
        <w:jc w:val="both"/>
        <w:rPr>
          <w:sz w:val="24"/>
        </w:rPr>
      </w:pPr>
      <w:r>
        <w:rPr>
          <w:b/>
          <w:sz w:val="24"/>
        </w:rPr>
        <w:t>potential </w:t>
      </w:r>
      <w:r>
        <w:rPr>
          <w:b/>
          <w:i/>
          <w:sz w:val="24"/>
        </w:rPr>
        <w:t>contestable </w:t>
      </w:r>
      <w:r>
        <w:rPr>
          <w:b/>
          <w:sz w:val="24"/>
        </w:rPr>
        <w:t>provider </w:t>
      </w:r>
      <w:r>
        <w:rPr>
          <w:sz w:val="24"/>
        </w:rPr>
        <w:t>means a person who responds positively to a call for expressions of interest in constructing and operating a </w:t>
      </w:r>
      <w:r>
        <w:rPr>
          <w:i/>
          <w:sz w:val="24"/>
        </w:rPr>
        <w:t>contestable </w:t>
      </w:r>
      <w:r>
        <w:rPr>
          <w:i/>
          <w:sz w:val="24"/>
        </w:rPr>
        <w:t>augmentation </w:t>
      </w:r>
      <w:r>
        <w:rPr>
          <w:sz w:val="24"/>
        </w:rPr>
        <w:t>under clause 8.11.7(b).</w:t>
      </w:r>
    </w:p>
    <w:p>
      <w:pPr>
        <w:spacing w:before="120"/>
        <w:ind w:left="1352" w:right="0" w:firstLine="0"/>
        <w:jc w:val="both"/>
        <w:rPr>
          <w:sz w:val="24"/>
        </w:rPr>
      </w:pPr>
      <w:r>
        <w:rPr>
          <w:b/>
          <w:sz w:val="24"/>
        </w:rPr>
        <w:t>relevant limit </w:t>
      </w:r>
      <w:r>
        <w:rPr>
          <w:sz w:val="24"/>
        </w:rPr>
        <w:t>means $10 million.</w:t>
      </w:r>
    </w:p>
    <w:p>
      <w:pPr>
        <w:spacing w:before="120"/>
        <w:ind w:left="1352" w:right="416" w:firstLine="0"/>
        <w:jc w:val="both"/>
        <w:rPr>
          <w:sz w:val="24"/>
        </w:rPr>
      </w:pPr>
      <w:r>
        <w:rPr>
          <w:b/>
          <w:sz w:val="24"/>
        </w:rPr>
        <w:t>separable </w:t>
      </w:r>
      <w:r>
        <w:rPr>
          <w:b/>
          <w:i/>
          <w:sz w:val="24"/>
        </w:rPr>
        <w:t>augmentation </w:t>
      </w:r>
      <w:r>
        <w:rPr>
          <w:sz w:val="24"/>
        </w:rPr>
        <w:t>means an </w:t>
      </w:r>
      <w:r>
        <w:rPr>
          <w:i/>
          <w:sz w:val="24"/>
        </w:rPr>
        <w:t>augmentation </w:t>
      </w:r>
      <w:r>
        <w:rPr>
          <w:sz w:val="24"/>
        </w:rPr>
        <w:t>that satisfies both the following criteria:</w:t>
      </w:r>
    </w:p>
    <w:p>
      <w:pPr>
        <w:pStyle w:val="ListParagraph"/>
        <w:numPr>
          <w:ilvl w:val="3"/>
          <w:numId w:val="634"/>
        </w:numPr>
        <w:tabs>
          <w:tab w:pos="1919" w:val="left" w:leader="none"/>
        </w:tabs>
        <w:spacing w:line="240" w:lineRule="auto" w:before="120" w:after="0"/>
        <w:ind w:left="1919" w:right="417" w:hanging="567"/>
        <w:jc w:val="both"/>
        <w:rPr>
          <w:sz w:val="24"/>
        </w:rPr>
      </w:pPr>
      <w:r>
        <w:rPr>
          <w:sz w:val="24"/>
        </w:rPr>
        <w:t>the </w:t>
      </w:r>
      <w:r>
        <w:rPr>
          <w:i/>
          <w:sz w:val="24"/>
        </w:rPr>
        <w:t>augmentation </w:t>
      </w:r>
      <w:r>
        <w:rPr>
          <w:sz w:val="24"/>
        </w:rPr>
        <w:t>will result in a distinct and definable service to be provided by the </w:t>
      </w:r>
      <w:r>
        <w:rPr>
          <w:i/>
          <w:sz w:val="24"/>
        </w:rPr>
        <w:t>contestable </w:t>
      </w:r>
      <w:r>
        <w:rPr>
          <w:sz w:val="24"/>
        </w:rPr>
        <w:t>provider to</w:t>
      </w:r>
      <w:r>
        <w:rPr>
          <w:spacing w:val="-1"/>
          <w:sz w:val="24"/>
        </w:rPr>
        <w:t> </w:t>
      </w:r>
      <w:r>
        <w:rPr>
          <w:i/>
          <w:sz w:val="24"/>
        </w:rPr>
        <w:t>AEMO</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the </w:t>
      </w:r>
      <w:r>
        <w:rPr>
          <w:i/>
          <w:sz w:val="24"/>
        </w:rPr>
        <w:t>augmentation </w:t>
      </w:r>
      <w:r>
        <w:rPr>
          <w:sz w:val="24"/>
        </w:rPr>
        <w:t>will not have a material adverse effect on the incumbent </w:t>
      </w:r>
      <w:r>
        <w:rPr>
          <w:i/>
          <w:sz w:val="24"/>
        </w:rPr>
        <w:t>declared transmission system operator's </w:t>
      </w:r>
      <w:r>
        <w:rPr>
          <w:sz w:val="24"/>
        </w:rPr>
        <w:t>ability to provide services to </w:t>
      </w:r>
      <w:r>
        <w:rPr>
          <w:i/>
          <w:sz w:val="24"/>
        </w:rPr>
        <w:t>AEMO </w:t>
      </w:r>
      <w:r>
        <w:rPr>
          <w:sz w:val="24"/>
        </w:rPr>
        <w:t>under any relevant </w:t>
      </w:r>
      <w:r>
        <w:rPr>
          <w:i/>
          <w:sz w:val="24"/>
        </w:rPr>
        <w:t>network</w:t>
      </w:r>
      <w:r>
        <w:rPr>
          <w:i/>
          <w:spacing w:val="-3"/>
          <w:sz w:val="24"/>
        </w:rPr>
        <w:t> </w:t>
      </w:r>
      <w:r>
        <w:rPr>
          <w:i/>
          <w:sz w:val="24"/>
        </w:rPr>
        <w:t>agreement</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4 Planning criteria" w:id="2303"/>
      <w:bookmarkEnd w:id="2303"/>
      <w:r>
        <w:rPr>
          <w:b w:val="0"/>
        </w:rPr>
      </w:r>
      <w:bookmarkStart w:name="_bookmark958" w:id="2304"/>
      <w:bookmarkEnd w:id="2304"/>
      <w:r>
        <w:rPr>
          <w:b w:val="0"/>
        </w:rPr>
      </w:r>
      <w:bookmarkStart w:name="_bookmark958" w:id="2305"/>
      <w:bookmarkEnd w:id="2305"/>
      <w:r>
        <w:rPr/>
        <w:t>Plann</w:t>
      </w:r>
      <w:r>
        <w:rPr/>
        <w:t>ing</w:t>
      </w:r>
      <w:r>
        <w:rPr>
          <w:spacing w:val="-1"/>
        </w:rPr>
        <w:t> </w:t>
      </w:r>
      <w:r>
        <w:rPr/>
        <w:t>criteria</w:t>
      </w:r>
    </w:p>
    <w:p>
      <w:pPr>
        <w:pStyle w:val="ListParagraph"/>
        <w:numPr>
          <w:ilvl w:val="3"/>
          <w:numId w:val="634"/>
        </w:numPr>
        <w:tabs>
          <w:tab w:pos="1919" w:val="left" w:leader="none"/>
        </w:tabs>
        <w:spacing w:line="240" w:lineRule="auto" w:before="120" w:after="0"/>
        <w:ind w:left="1919" w:right="414" w:hanging="567"/>
        <w:jc w:val="both"/>
        <w:rPr>
          <w:sz w:val="24"/>
        </w:rPr>
      </w:pPr>
      <w:r>
        <w:rPr>
          <w:i/>
          <w:sz w:val="24"/>
        </w:rPr>
        <w:t>AEMO </w:t>
      </w:r>
      <w:r>
        <w:rPr>
          <w:sz w:val="24"/>
        </w:rPr>
        <w:t>must </w:t>
      </w:r>
      <w:r>
        <w:rPr>
          <w:i/>
          <w:sz w:val="24"/>
        </w:rPr>
        <w:t>publish </w:t>
      </w:r>
      <w:r>
        <w:rPr>
          <w:sz w:val="24"/>
        </w:rPr>
        <w:t>the planning criteria that it proposes to use in performing its </w:t>
      </w:r>
      <w:r>
        <w:rPr>
          <w:i/>
          <w:sz w:val="24"/>
        </w:rPr>
        <w:t>declared network</w:t>
      </w:r>
      <w:r>
        <w:rPr>
          <w:i/>
          <w:spacing w:val="-1"/>
          <w:sz w:val="24"/>
        </w:rPr>
        <w:t> </w:t>
      </w:r>
      <w:r>
        <w:rPr>
          <w:i/>
          <w:sz w:val="24"/>
        </w:rPr>
        <w:t>functions</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planning</w:t>
      </w:r>
      <w:r>
        <w:rPr>
          <w:spacing w:val="-1"/>
          <w:sz w:val="24"/>
        </w:rPr>
        <w:t> </w:t>
      </w:r>
      <w:r>
        <w:rPr>
          <w:sz w:val="24"/>
        </w:rPr>
        <w:t>criteria:</w:t>
      </w:r>
    </w:p>
    <w:p>
      <w:pPr>
        <w:pStyle w:val="ListParagraph"/>
        <w:numPr>
          <w:ilvl w:val="4"/>
          <w:numId w:val="634"/>
        </w:numPr>
        <w:tabs>
          <w:tab w:pos="2486" w:val="left" w:leader="none"/>
        </w:tabs>
        <w:spacing w:line="240" w:lineRule="auto" w:before="120" w:after="0"/>
        <w:ind w:left="2486" w:right="416" w:hanging="567"/>
        <w:jc w:val="both"/>
        <w:rPr>
          <w:sz w:val="24"/>
        </w:rPr>
      </w:pPr>
      <w:r>
        <w:rPr>
          <w:sz w:val="24"/>
        </w:rPr>
        <w:t>must outline the principles on which </w:t>
      </w:r>
      <w:r>
        <w:rPr>
          <w:i/>
          <w:sz w:val="24"/>
        </w:rPr>
        <w:t>AEMO </w:t>
      </w:r>
      <w:r>
        <w:rPr>
          <w:sz w:val="24"/>
        </w:rPr>
        <w:t>will carry out a cost benefit analysis of a proposed </w:t>
      </w:r>
      <w:r>
        <w:rPr>
          <w:i/>
          <w:sz w:val="24"/>
        </w:rPr>
        <w:t>augmentation </w:t>
      </w:r>
      <w:r>
        <w:rPr>
          <w:sz w:val="24"/>
        </w:rPr>
        <w:t>under section 50F of the </w:t>
      </w:r>
      <w:r>
        <w:rPr>
          <w:i/>
          <w:sz w:val="24"/>
        </w:rPr>
        <w:t>National Electricity Law</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describe how </w:t>
      </w:r>
      <w:r>
        <w:rPr>
          <w:i/>
          <w:sz w:val="24"/>
        </w:rPr>
        <w:t>AEMO </w:t>
      </w:r>
      <w:r>
        <w:rPr>
          <w:sz w:val="24"/>
        </w:rPr>
        <w:t>proposes to apply a probabilistic approach in determining the benefit of a proposed </w:t>
      </w:r>
      <w:r>
        <w:rPr>
          <w:i/>
          <w:sz w:val="24"/>
        </w:rPr>
        <w:t>augmentation</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634"/>
        </w:numPr>
        <w:tabs>
          <w:tab w:pos="2485" w:val="left" w:leader="none"/>
          <w:tab w:pos="2486" w:val="left" w:leader="none"/>
        </w:tabs>
        <w:spacing w:line="240" w:lineRule="auto" w:before="83" w:after="0"/>
        <w:ind w:left="2486" w:right="415" w:hanging="567"/>
        <w:jc w:val="left"/>
        <w:rPr>
          <w:sz w:val="24"/>
        </w:rPr>
      </w:pPr>
      <w:r>
        <w:rPr>
          <w:sz w:val="24"/>
        </w:rPr>
        <w:t>must describe the kind of circumstances in which a probabilistic approach will be regarded as inappropriate;</w:t>
      </w:r>
      <w:r>
        <w:rPr>
          <w:spacing w:val="-1"/>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may</w:t>
      </w:r>
      <w:r>
        <w:rPr>
          <w:spacing w:val="18"/>
          <w:sz w:val="24"/>
        </w:rPr>
        <w:t> </w:t>
      </w:r>
      <w:r>
        <w:rPr>
          <w:sz w:val="24"/>
        </w:rPr>
        <w:t>deal</w:t>
      </w:r>
      <w:r>
        <w:rPr>
          <w:spacing w:val="19"/>
          <w:sz w:val="24"/>
        </w:rPr>
        <w:t> </w:t>
      </w:r>
      <w:r>
        <w:rPr>
          <w:sz w:val="24"/>
        </w:rPr>
        <w:t>with</w:t>
      </w:r>
      <w:r>
        <w:rPr>
          <w:spacing w:val="18"/>
          <w:sz w:val="24"/>
        </w:rPr>
        <w:t> </w:t>
      </w:r>
      <w:r>
        <w:rPr>
          <w:sz w:val="24"/>
        </w:rPr>
        <w:t>any</w:t>
      </w:r>
      <w:r>
        <w:rPr>
          <w:spacing w:val="19"/>
          <w:sz w:val="24"/>
        </w:rPr>
        <w:t> </w:t>
      </w:r>
      <w:r>
        <w:rPr>
          <w:sz w:val="24"/>
        </w:rPr>
        <w:t>other</w:t>
      </w:r>
      <w:r>
        <w:rPr>
          <w:spacing w:val="19"/>
          <w:sz w:val="24"/>
        </w:rPr>
        <w:t> </w:t>
      </w:r>
      <w:r>
        <w:rPr>
          <w:sz w:val="24"/>
        </w:rPr>
        <w:t>aspect</w:t>
      </w:r>
      <w:r>
        <w:rPr>
          <w:spacing w:val="18"/>
          <w:sz w:val="24"/>
        </w:rPr>
        <w:t> </w:t>
      </w:r>
      <w:r>
        <w:rPr>
          <w:sz w:val="24"/>
        </w:rPr>
        <w:t>of</w:t>
      </w:r>
      <w:r>
        <w:rPr>
          <w:spacing w:val="19"/>
          <w:sz w:val="24"/>
        </w:rPr>
        <w:t> </w:t>
      </w:r>
      <w:r>
        <w:rPr>
          <w:sz w:val="24"/>
        </w:rPr>
        <w:t>planning</w:t>
      </w:r>
      <w:r>
        <w:rPr>
          <w:spacing w:val="18"/>
          <w:sz w:val="24"/>
        </w:rPr>
        <w:t> </w:t>
      </w:r>
      <w:r>
        <w:rPr>
          <w:sz w:val="24"/>
        </w:rPr>
        <w:t>inherent</w:t>
      </w:r>
      <w:r>
        <w:rPr>
          <w:spacing w:val="19"/>
          <w:sz w:val="24"/>
        </w:rPr>
        <w:t> </w:t>
      </w:r>
      <w:r>
        <w:rPr>
          <w:sz w:val="24"/>
        </w:rPr>
        <w:t>in,</w:t>
      </w:r>
      <w:r>
        <w:rPr>
          <w:spacing w:val="19"/>
          <w:sz w:val="24"/>
        </w:rPr>
        <w:t> </w:t>
      </w:r>
      <w:r>
        <w:rPr>
          <w:sz w:val="24"/>
        </w:rPr>
        <w:t>or</w:t>
      </w:r>
      <w:r>
        <w:rPr>
          <w:spacing w:val="18"/>
          <w:sz w:val="24"/>
        </w:rPr>
        <w:t> </w:t>
      </w:r>
      <w:r>
        <w:rPr>
          <w:sz w:val="24"/>
        </w:rPr>
        <w:t>related</w:t>
      </w:r>
      <w:r>
        <w:rPr>
          <w:spacing w:val="19"/>
          <w:sz w:val="24"/>
        </w:rPr>
        <w:t> </w:t>
      </w:r>
      <w:r>
        <w:rPr>
          <w:sz w:val="24"/>
        </w:rPr>
        <w:t>to,</w:t>
      </w:r>
    </w:p>
    <w:p>
      <w:pPr>
        <w:spacing w:before="0"/>
        <w:ind w:left="2486" w:right="0" w:firstLine="0"/>
        <w:jc w:val="left"/>
        <w:rPr>
          <w:sz w:val="24"/>
        </w:rPr>
      </w:pPr>
      <w:r>
        <w:rPr>
          <w:i/>
          <w:sz w:val="24"/>
        </w:rPr>
        <w:t>AEMO's declared network functions</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5 Construction of augmentation that" w:id="2306"/>
      <w:bookmarkEnd w:id="2306"/>
      <w:r>
        <w:rPr>
          <w:b w:val="0"/>
        </w:rPr>
      </w:r>
      <w:bookmarkStart w:name="_bookmark959" w:id="2307"/>
      <w:bookmarkEnd w:id="2307"/>
      <w:r>
        <w:rPr>
          <w:b w:val="0"/>
        </w:rPr>
      </w:r>
      <w:bookmarkStart w:name="_bookmark959" w:id="2308"/>
      <w:bookmarkEnd w:id="2308"/>
      <w:r>
        <w:rPr/>
        <w:t>Constructio</w:t>
      </w:r>
      <w:r>
        <w:rPr/>
        <w:t>n of augmentation that is not a contestable</w:t>
      </w:r>
      <w:r>
        <w:rPr>
          <w:spacing w:val="-28"/>
        </w:rPr>
        <w:t> </w:t>
      </w:r>
      <w:r>
        <w:rPr/>
        <w:t>augmentation</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An incumbent </w:t>
      </w:r>
      <w:r>
        <w:rPr>
          <w:i/>
          <w:sz w:val="24"/>
        </w:rPr>
        <w:t>declared transmission system operator </w:t>
      </w:r>
      <w:r>
        <w:rPr>
          <w:sz w:val="24"/>
        </w:rPr>
        <w:t>must, at </w:t>
      </w:r>
      <w:r>
        <w:rPr>
          <w:i/>
          <w:sz w:val="24"/>
        </w:rPr>
        <w:t>AEMO's </w:t>
      </w:r>
      <w:r>
        <w:rPr>
          <w:sz w:val="24"/>
        </w:rPr>
        <w:t>written request, provide </w:t>
      </w:r>
      <w:r>
        <w:rPr>
          <w:i/>
          <w:sz w:val="24"/>
        </w:rPr>
        <w:t>AEMO </w:t>
      </w:r>
      <w:r>
        <w:rPr>
          <w:sz w:val="24"/>
        </w:rPr>
        <w:t>with information and assistance that </w:t>
      </w:r>
      <w:r>
        <w:rPr>
          <w:i/>
          <w:sz w:val="24"/>
        </w:rPr>
        <w:t>AEMO </w:t>
      </w:r>
      <w:r>
        <w:rPr>
          <w:sz w:val="24"/>
        </w:rPr>
        <w:t>reasonably requires to</w:t>
      </w:r>
      <w:r>
        <w:rPr>
          <w:spacing w:val="-1"/>
          <w:sz w:val="24"/>
        </w:rPr>
        <w:t> </w:t>
      </w:r>
      <w:r>
        <w:rPr>
          <w:sz w:val="24"/>
        </w:rPr>
        <w:t>decide:</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whether to give an </w:t>
      </w:r>
      <w:r>
        <w:rPr>
          <w:i/>
          <w:sz w:val="24"/>
        </w:rPr>
        <w:t>augmentation </w:t>
      </w:r>
      <w:r>
        <w:rPr>
          <w:sz w:val="24"/>
        </w:rPr>
        <w:t>direction;</w:t>
      </w:r>
      <w:r>
        <w:rPr>
          <w:spacing w:val="-1"/>
          <w:sz w:val="24"/>
        </w:rPr>
        <w:t> </w:t>
      </w:r>
      <w:r>
        <w:rPr>
          <w:sz w:val="24"/>
        </w:rPr>
        <w:t>and</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if so, the terms of the</w:t>
      </w:r>
      <w:r>
        <w:rPr>
          <w:spacing w:val="-2"/>
          <w:sz w:val="24"/>
        </w:rPr>
        <w:t> </w:t>
      </w:r>
      <w:r>
        <w:rPr>
          <w:sz w:val="24"/>
        </w:rPr>
        <w:t>direction.</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If </w:t>
      </w:r>
      <w:r>
        <w:rPr>
          <w:i/>
          <w:sz w:val="24"/>
        </w:rPr>
        <w:t>AEMO </w:t>
      </w:r>
      <w:r>
        <w:rPr>
          <w:sz w:val="24"/>
        </w:rPr>
        <w:t>gives an </w:t>
      </w:r>
      <w:r>
        <w:rPr>
          <w:i/>
          <w:sz w:val="24"/>
        </w:rPr>
        <w:t>augmentation </w:t>
      </w:r>
      <w:r>
        <w:rPr>
          <w:sz w:val="24"/>
        </w:rPr>
        <w:t>direction, </w:t>
      </w:r>
      <w:r>
        <w:rPr>
          <w:i/>
          <w:sz w:val="24"/>
        </w:rPr>
        <w:t>AEMO </w:t>
      </w:r>
      <w:r>
        <w:rPr>
          <w:sz w:val="24"/>
        </w:rPr>
        <w:t>and the incumbent </w:t>
      </w:r>
      <w:r>
        <w:rPr>
          <w:i/>
          <w:sz w:val="24"/>
        </w:rPr>
        <w:t>declared transmission system operator </w:t>
      </w:r>
      <w:r>
        <w:rPr>
          <w:sz w:val="24"/>
        </w:rPr>
        <w:t>must negotiate in good faith with a view to reaching agreement on the terms of an appropriate amendment to the operator's </w:t>
      </w:r>
      <w:r>
        <w:rPr>
          <w:i/>
          <w:sz w:val="24"/>
        </w:rPr>
        <w:t>network agreement</w:t>
      </w:r>
      <w:r>
        <w:rPr>
          <w:i/>
          <w:spacing w:val="-1"/>
          <w:sz w:val="24"/>
        </w:rPr>
        <w:t> </w:t>
      </w:r>
      <w:r>
        <w:rPr>
          <w:sz w:val="24"/>
        </w:rPr>
        <w:t>covering:</w:t>
      </w:r>
    </w:p>
    <w:p>
      <w:pPr>
        <w:pStyle w:val="ListParagraph"/>
        <w:numPr>
          <w:ilvl w:val="4"/>
          <w:numId w:val="634"/>
        </w:numPr>
        <w:tabs>
          <w:tab w:pos="2486" w:val="left" w:leader="none"/>
        </w:tabs>
        <w:spacing w:line="240" w:lineRule="auto" w:before="120" w:after="0"/>
        <w:ind w:left="2485" w:right="0" w:hanging="567"/>
        <w:jc w:val="both"/>
        <w:rPr>
          <w:sz w:val="24"/>
        </w:rPr>
      </w:pPr>
      <w:r>
        <w:rPr>
          <w:sz w:val="24"/>
        </w:rPr>
        <w:t>the operation of the </w:t>
      </w:r>
      <w:r>
        <w:rPr>
          <w:i/>
          <w:sz w:val="24"/>
        </w:rPr>
        <w:t>augmentation</w:t>
      </w:r>
      <w:r>
        <w:rPr>
          <w:sz w:val="24"/>
        </w:rPr>
        <w:t>;</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the use of the </w:t>
      </w:r>
      <w:r>
        <w:rPr>
          <w:i/>
          <w:sz w:val="24"/>
        </w:rPr>
        <w:t>augmentation </w:t>
      </w:r>
      <w:r>
        <w:rPr>
          <w:sz w:val="24"/>
        </w:rPr>
        <w:t>to provide </w:t>
      </w:r>
      <w:r>
        <w:rPr>
          <w:i/>
          <w:sz w:val="24"/>
        </w:rPr>
        <w:t>shared network</w:t>
      </w:r>
      <w:r>
        <w:rPr>
          <w:i/>
          <w:spacing w:val="34"/>
          <w:sz w:val="24"/>
        </w:rPr>
        <w:t> </w:t>
      </w:r>
      <w:r>
        <w:rPr>
          <w:i/>
          <w:sz w:val="24"/>
        </w:rPr>
        <w:t>capability </w:t>
      </w:r>
      <w:r>
        <w:rPr>
          <w:i/>
          <w:sz w:val="24"/>
        </w:rPr>
        <w:t>services</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6" w:hanging="567"/>
        <w:jc w:val="both"/>
        <w:rPr>
          <w:sz w:val="24"/>
        </w:rPr>
      </w:pPr>
      <w:r>
        <w:rPr>
          <w:sz w:val="24"/>
        </w:rPr>
        <w:t>the basis on which </w:t>
      </w:r>
      <w:r>
        <w:rPr>
          <w:i/>
          <w:sz w:val="24"/>
        </w:rPr>
        <w:t>AEMO </w:t>
      </w:r>
      <w:r>
        <w:rPr>
          <w:sz w:val="24"/>
        </w:rPr>
        <w:t>will pay for </w:t>
      </w:r>
      <w:r>
        <w:rPr>
          <w:i/>
          <w:sz w:val="24"/>
        </w:rPr>
        <w:t>shared network capability </w:t>
      </w:r>
      <w:r>
        <w:rPr>
          <w:i/>
          <w:sz w:val="24"/>
        </w:rPr>
        <w:t>services </w:t>
      </w:r>
      <w:r>
        <w:rPr>
          <w:sz w:val="24"/>
        </w:rPr>
        <w:t>provided by means of the</w:t>
      </w:r>
      <w:r>
        <w:rPr>
          <w:spacing w:val="-3"/>
          <w:sz w:val="24"/>
        </w:rPr>
        <w:t> </w:t>
      </w:r>
      <w:r>
        <w:rPr>
          <w:i/>
          <w:sz w:val="24"/>
        </w:rPr>
        <w:t>augmentation</w:t>
      </w:r>
      <w:r>
        <w:rPr>
          <w:sz w:val="24"/>
        </w:rPr>
        <w:t>.</w:t>
      </w:r>
    </w:p>
    <w:p>
      <w:pPr>
        <w:spacing w:before="120"/>
        <w:ind w:left="2486" w:right="0" w:firstLine="0"/>
        <w:jc w:val="left"/>
        <w:rPr>
          <w:rFonts w:ascii="Arial"/>
          <w:b/>
          <w:sz w:val="20"/>
        </w:rPr>
      </w:pPr>
      <w:r>
        <w:rPr>
          <w:rFonts w:ascii="Arial"/>
          <w:b/>
          <w:sz w:val="20"/>
        </w:rPr>
        <w:t>Note:</w:t>
      </w:r>
    </w:p>
    <w:p>
      <w:pPr>
        <w:spacing w:before="120"/>
        <w:ind w:left="2486" w:right="414" w:firstLine="0"/>
        <w:jc w:val="both"/>
        <w:rPr>
          <w:sz w:val="20"/>
        </w:rPr>
      </w:pPr>
      <w:r>
        <w:rPr>
          <w:sz w:val="20"/>
        </w:rPr>
        <w:t>If there is a dispute about the proposed amendment, the </w:t>
      </w:r>
      <w:r>
        <w:rPr>
          <w:i/>
          <w:sz w:val="20"/>
        </w:rPr>
        <w:t>AER </w:t>
      </w:r>
      <w:r>
        <w:rPr>
          <w:sz w:val="20"/>
        </w:rPr>
        <w:t>may resolve the dispute and determine the terms of the amendment under section 50H and 50J of the </w:t>
      </w:r>
      <w:r>
        <w:rPr>
          <w:i/>
          <w:sz w:val="20"/>
        </w:rPr>
        <w:t>National Electricity Law</w:t>
      </w:r>
      <w:r>
        <w:rPr>
          <w:sz w:val="20"/>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An incumbent </w:t>
      </w:r>
      <w:r>
        <w:rPr>
          <w:i/>
          <w:sz w:val="24"/>
        </w:rPr>
        <w:t>declared transmission system operator </w:t>
      </w:r>
      <w:r>
        <w:rPr>
          <w:sz w:val="24"/>
        </w:rPr>
        <w:t>that is required by, or agrees with, a </w:t>
      </w:r>
      <w:r>
        <w:rPr>
          <w:i/>
          <w:sz w:val="24"/>
        </w:rPr>
        <w:t>Connection Applicant </w:t>
      </w:r>
      <w:r>
        <w:rPr>
          <w:sz w:val="24"/>
        </w:rPr>
        <w:t>to construct an </w:t>
      </w:r>
      <w:r>
        <w:rPr>
          <w:i/>
          <w:sz w:val="24"/>
        </w:rPr>
        <w:t>augmentation </w:t>
      </w:r>
      <w:r>
        <w:rPr>
          <w:sz w:val="24"/>
        </w:rPr>
        <w:t>that is not a </w:t>
      </w:r>
      <w:r>
        <w:rPr>
          <w:i/>
          <w:sz w:val="24"/>
        </w:rPr>
        <w:t>contestable augmentation</w:t>
      </w:r>
      <w:r>
        <w:rPr>
          <w:sz w:val="24"/>
        </w:rPr>
        <w:t>, must negotiate with the </w:t>
      </w:r>
      <w:r>
        <w:rPr>
          <w:i/>
          <w:sz w:val="24"/>
        </w:rPr>
        <w:t>Connection Applicant </w:t>
      </w:r>
      <w:r>
        <w:rPr>
          <w:sz w:val="24"/>
        </w:rPr>
        <w:t>in good faith with a view to reaching agreement on the terms of </w:t>
      </w:r>
      <w:r>
        <w:rPr>
          <w:spacing w:val="-7"/>
          <w:sz w:val="24"/>
        </w:rPr>
        <w:t>an </w:t>
      </w:r>
      <w:r>
        <w:rPr>
          <w:sz w:val="24"/>
        </w:rPr>
        <w:t>appropriate amendment to their </w:t>
      </w:r>
      <w:r>
        <w:rPr>
          <w:i/>
          <w:sz w:val="24"/>
        </w:rPr>
        <w:t>connection</w:t>
      </w:r>
      <w:r>
        <w:rPr>
          <w:i/>
          <w:spacing w:val="-1"/>
          <w:sz w:val="24"/>
        </w:rPr>
        <w:t> </w:t>
      </w:r>
      <w:r>
        <w:rPr>
          <w:i/>
          <w:sz w:val="24"/>
        </w:rPr>
        <w:t>agreement</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However, if the incumbent </w:t>
      </w:r>
      <w:r>
        <w:rPr>
          <w:i/>
          <w:sz w:val="24"/>
        </w:rPr>
        <w:t>declared transmission system operator </w:t>
      </w:r>
      <w:r>
        <w:rPr>
          <w:sz w:val="24"/>
        </w:rPr>
        <w:t>applies for revocation and substitution of its </w:t>
      </w:r>
      <w:r>
        <w:rPr>
          <w:i/>
          <w:sz w:val="24"/>
        </w:rPr>
        <w:t>revenue determination </w:t>
      </w:r>
      <w:r>
        <w:rPr>
          <w:sz w:val="24"/>
        </w:rPr>
        <w:t>on the basis of an </w:t>
      </w:r>
      <w:r>
        <w:rPr>
          <w:i/>
          <w:sz w:val="24"/>
        </w:rPr>
        <w:t>augmentation </w:t>
      </w:r>
      <w:r>
        <w:rPr>
          <w:sz w:val="24"/>
        </w:rPr>
        <w:t>direction, or a requirement by or agreement with a </w:t>
      </w:r>
      <w:r>
        <w:rPr>
          <w:i/>
          <w:sz w:val="24"/>
        </w:rPr>
        <w:t>Connection Applicant </w:t>
      </w:r>
      <w:r>
        <w:rPr>
          <w:sz w:val="24"/>
        </w:rPr>
        <w:t>to construct an </w:t>
      </w:r>
      <w:r>
        <w:rPr>
          <w:i/>
          <w:sz w:val="24"/>
        </w:rPr>
        <w:t>augmentation </w:t>
      </w:r>
      <w:r>
        <w:rPr>
          <w:sz w:val="24"/>
        </w:rPr>
        <w:t>that is not a </w:t>
      </w:r>
      <w:r>
        <w:rPr>
          <w:i/>
          <w:sz w:val="24"/>
        </w:rPr>
        <w:t>contestable </w:t>
      </w:r>
      <w:r>
        <w:rPr>
          <w:i/>
          <w:sz w:val="24"/>
        </w:rPr>
        <w:t>augmentation</w:t>
      </w:r>
      <w:r>
        <w:rPr>
          <w:sz w:val="24"/>
        </w:rPr>
        <w:t>, negotiations are not required on a matter to which the application</w:t>
      </w:r>
      <w:r>
        <w:rPr>
          <w:spacing w:val="-1"/>
          <w:sz w:val="24"/>
        </w:rPr>
        <w:t> </w:t>
      </w:r>
      <w:r>
        <w:rPr>
          <w:sz w:val="24"/>
        </w:rPr>
        <w:t>relates.</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6 Contestable augmentations" w:id="2309"/>
      <w:bookmarkEnd w:id="2309"/>
      <w:r>
        <w:rPr>
          <w:b w:val="0"/>
        </w:rPr>
      </w:r>
      <w:bookmarkStart w:name="_bookmark960" w:id="2310"/>
      <w:bookmarkEnd w:id="2310"/>
      <w:r>
        <w:rPr>
          <w:b w:val="0"/>
        </w:rPr>
      </w:r>
      <w:bookmarkStart w:name="_bookmark960" w:id="2311"/>
      <w:bookmarkEnd w:id="2311"/>
      <w:r>
        <w:rPr/>
        <w:t>Contestabl</w:t>
      </w:r>
      <w:r>
        <w:rPr/>
        <w:t>e</w:t>
      </w:r>
      <w:r>
        <w:rPr>
          <w:spacing w:val="-2"/>
        </w:rPr>
        <w:t> </w:t>
      </w:r>
      <w:r>
        <w:rPr/>
        <w:t>augmentations</w:t>
      </w:r>
    </w:p>
    <w:p>
      <w:pPr>
        <w:pStyle w:val="ListParagraph"/>
        <w:numPr>
          <w:ilvl w:val="3"/>
          <w:numId w:val="634"/>
        </w:numPr>
        <w:tabs>
          <w:tab w:pos="1918" w:val="left" w:leader="none"/>
          <w:tab w:pos="1919" w:val="left" w:leader="none"/>
        </w:tabs>
        <w:spacing w:line="240" w:lineRule="auto" w:before="120" w:after="0"/>
        <w:ind w:left="1918" w:right="0" w:hanging="567"/>
        <w:jc w:val="left"/>
        <w:rPr>
          <w:sz w:val="24"/>
        </w:rPr>
      </w:pPr>
      <w:r>
        <w:rPr>
          <w:sz w:val="24"/>
        </w:rPr>
        <w:t>Subject to paragraph (b), an </w:t>
      </w:r>
      <w:r>
        <w:rPr>
          <w:i/>
          <w:sz w:val="24"/>
        </w:rPr>
        <w:t>augmentation </w:t>
      </w:r>
      <w:r>
        <w:rPr>
          <w:sz w:val="24"/>
        </w:rPr>
        <w:t>of a </w:t>
      </w:r>
      <w:r>
        <w:rPr>
          <w:i/>
          <w:sz w:val="24"/>
        </w:rPr>
        <w:t>declared shared network </w:t>
      </w:r>
      <w:r>
        <w:rPr>
          <w:sz w:val="24"/>
        </w:rPr>
        <w:t>is</w:t>
      </w:r>
      <w:r>
        <w:rPr>
          <w:spacing w:val="46"/>
          <w:sz w:val="24"/>
        </w:rPr>
        <w:t> </w:t>
      </w:r>
      <w:r>
        <w:rPr>
          <w:sz w:val="24"/>
        </w:rPr>
        <w:t>a</w:t>
      </w:r>
    </w:p>
    <w:p>
      <w:pPr>
        <w:spacing w:before="0"/>
        <w:ind w:left="1919" w:right="0" w:firstLine="0"/>
        <w:jc w:val="left"/>
        <w:rPr>
          <w:sz w:val="24"/>
        </w:rPr>
      </w:pPr>
      <w:r>
        <w:rPr>
          <w:i/>
          <w:sz w:val="24"/>
        </w:rPr>
        <w:t>contestable augmentation </w:t>
      </w:r>
      <w:r>
        <w:rPr>
          <w:sz w:val="24"/>
        </w:rPr>
        <w:t>if:</w:t>
      </w:r>
    </w:p>
    <w:p>
      <w:pPr>
        <w:pStyle w:val="ListParagraph"/>
        <w:numPr>
          <w:ilvl w:val="4"/>
          <w:numId w:val="634"/>
        </w:numPr>
        <w:tabs>
          <w:tab w:pos="2485" w:val="left" w:leader="none"/>
          <w:tab w:pos="2486" w:val="left" w:leader="none"/>
        </w:tabs>
        <w:spacing w:line="240" w:lineRule="auto" w:before="120" w:after="0"/>
        <w:ind w:left="2486" w:right="414" w:hanging="567"/>
        <w:jc w:val="left"/>
        <w:rPr>
          <w:sz w:val="24"/>
        </w:rPr>
      </w:pPr>
      <w:r>
        <w:rPr>
          <w:sz w:val="24"/>
        </w:rPr>
        <w:t>the capital cost of the </w:t>
      </w:r>
      <w:r>
        <w:rPr>
          <w:i/>
          <w:sz w:val="24"/>
        </w:rPr>
        <w:t>augmentation </w:t>
      </w:r>
      <w:r>
        <w:rPr>
          <w:sz w:val="24"/>
        </w:rPr>
        <w:t>is reasonably expected to exceed the relevant limit;</w:t>
      </w:r>
      <w:r>
        <w:rPr>
          <w:spacing w:val="-1"/>
          <w:sz w:val="24"/>
        </w:rPr>
        <w:t> </w:t>
      </w:r>
      <w:r>
        <w:rPr>
          <w:sz w:val="24"/>
        </w:rPr>
        <w:t>and</w:t>
      </w:r>
    </w:p>
    <w:p>
      <w:pPr>
        <w:pStyle w:val="ListParagraph"/>
        <w:numPr>
          <w:ilvl w:val="4"/>
          <w:numId w:val="634"/>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augmentation </w:t>
      </w:r>
      <w:r>
        <w:rPr>
          <w:sz w:val="24"/>
        </w:rPr>
        <w:t>is a separable</w:t>
      </w:r>
      <w:r>
        <w:rPr>
          <w:spacing w:val="-1"/>
          <w:sz w:val="24"/>
        </w:rPr>
        <w:t> </w:t>
      </w:r>
      <w:r>
        <w:rPr>
          <w:i/>
          <w:sz w:val="24"/>
        </w:rPr>
        <w:t>augmentation</w:t>
      </w:r>
      <w:r>
        <w:rPr>
          <w:sz w:val="24"/>
        </w:rPr>
        <w:t>.</w:t>
      </w:r>
    </w:p>
    <w:p>
      <w:pPr>
        <w:pStyle w:val="ListParagraph"/>
        <w:numPr>
          <w:ilvl w:val="3"/>
          <w:numId w:val="634"/>
        </w:numPr>
        <w:tabs>
          <w:tab w:pos="1918" w:val="left" w:leader="none"/>
          <w:tab w:pos="1919" w:val="left" w:leader="none"/>
        </w:tabs>
        <w:spacing w:line="240" w:lineRule="auto" w:before="120" w:after="0"/>
        <w:ind w:left="1919" w:right="415" w:hanging="567"/>
        <w:jc w:val="left"/>
        <w:rPr>
          <w:sz w:val="24"/>
        </w:rPr>
      </w:pPr>
      <w:r>
        <w:rPr>
          <w:sz w:val="24"/>
        </w:rPr>
        <w:t>An </w:t>
      </w:r>
      <w:r>
        <w:rPr>
          <w:i/>
          <w:sz w:val="24"/>
        </w:rPr>
        <w:t>augmentation </w:t>
      </w:r>
      <w:r>
        <w:rPr>
          <w:sz w:val="24"/>
        </w:rPr>
        <w:t>of a </w:t>
      </w:r>
      <w:r>
        <w:rPr>
          <w:i/>
          <w:sz w:val="24"/>
        </w:rPr>
        <w:t>declared shared network </w:t>
      </w:r>
      <w:r>
        <w:rPr>
          <w:sz w:val="24"/>
        </w:rPr>
        <w:t>is not a </w:t>
      </w:r>
      <w:r>
        <w:rPr>
          <w:i/>
          <w:sz w:val="24"/>
        </w:rPr>
        <w:t>contestable </w:t>
      </w:r>
      <w:r>
        <w:rPr>
          <w:i/>
          <w:sz w:val="24"/>
        </w:rPr>
        <w:t>augmentation</w:t>
      </w:r>
      <w:r>
        <w:rPr>
          <w:i/>
          <w:spacing w:val="-1"/>
          <w:sz w:val="24"/>
        </w:rPr>
        <w:t> </w:t>
      </w:r>
      <w:r>
        <w:rPr>
          <w:sz w:val="24"/>
        </w:rPr>
        <w:t>if:</w:t>
      </w:r>
    </w:p>
    <w:p>
      <w:pPr>
        <w:spacing w:after="0" w:line="240" w:lineRule="auto"/>
        <w:jc w:val="left"/>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6" w:right="415" w:hanging="567"/>
        <w:jc w:val="both"/>
        <w:rPr>
          <w:sz w:val="24"/>
        </w:rPr>
      </w:pPr>
      <w:r>
        <w:rPr>
          <w:i/>
          <w:sz w:val="24"/>
        </w:rPr>
        <w:t>AEMO </w:t>
      </w:r>
      <w:r>
        <w:rPr>
          <w:sz w:val="24"/>
        </w:rPr>
        <w:t>classifies the </w:t>
      </w:r>
      <w:r>
        <w:rPr>
          <w:i/>
          <w:sz w:val="24"/>
        </w:rPr>
        <w:t>augmentation </w:t>
      </w:r>
      <w:r>
        <w:rPr>
          <w:sz w:val="24"/>
        </w:rPr>
        <w:t>as non-contestable because </w:t>
      </w:r>
      <w:r>
        <w:rPr>
          <w:spacing w:val="-5"/>
          <w:sz w:val="24"/>
        </w:rPr>
        <w:t>the </w:t>
      </w:r>
      <w:r>
        <w:rPr>
          <w:sz w:val="24"/>
        </w:rPr>
        <w:t>delay in implementation that would necessarily result from treating  the </w:t>
      </w:r>
      <w:r>
        <w:rPr>
          <w:i/>
          <w:sz w:val="24"/>
        </w:rPr>
        <w:t>augmentation </w:t>
      </w:r>
      <w:r>
        <w:rPr>
          <w:sz w:val="24"/>
        </w:rPr>
        <w:t>as a </w:t>
      </w:r>
      <w:r>
        <w:rPr>
          <w:i/>
          <w:sz w:val="24"/>
        </w:rPr>
        <w:t>contestable augmentation </w:t>
      </w:r>
      <w:r>
        <w:rPr>
          <w:sz w:val="24"/>
        </w:rPr>
        <w:t>would unduly prejudice system security;</w:t>
      </w:r>
      <w:r>
        <w:rPr>
          <w:spacing w:val="-2"/>
          <w:sz w:val="24"/>
        </w:rPr>
        <w:t> </w:t>
      </w:r>
      <w:r>
        <w:rPr>
          <w:sz w:val="24"/>
        </w:rPr>
        <w:t>or</w:t>
      </w:r>
    </w:p>
    <w:p>
      <w:pPr>
        <w:pStyle w:val="ListParagraph"/>
        <w:numPr>
          <w:ilvl w:val="4"/>
          <w:numId w:val="634"/>
        </w:numPr>
        <w:tabs>
          <w:tab w:pos="2486" w:val="left" w:leader="none"/>
        </w:tabs>
        <w:spacing w:line="240" w:lineRule="auto" w:before="120" w:after="0"/>
        <w:ind w:left="2486" w:right="414" w:hanging="567"/>
        <w:jc w:val="both"/>
        <w:rPr>
          <w:sz w:val="24"/>
        </w:rPr>
      </w:pPr>
      <w:r>
        <w:rPr>
          <w:i/>
          <w:sz w:val="24"/>
        </w:rPr>
        <w:t>AEMO </w:t>
      </w:r>
      <w:r>
        <w:rPr>
          <w:sz w:val="24"/>
        </w:rPr>
        <w:t>classifies the </w:t>
      </w:r>
      <w:r>
        <w:rPr>
          <w:i/>
          <w:sz w:val="24"/>
        </w:rPr>
        <w:t>augmentation </w:t>
      </w:r>
      <w:r>
        <w:rPr>
          <w:sz w:val="24"/>
        </w:rPr>
        <w:t>as non-contestable because it </w:t>
      </w:r>
      <w:r>
        <w:rPr>
          <w:spacing w:val="-3"/>
          <w:sz w:val="24"/>
        </w:rPr>
        <w:t>does </w:t>
      </w:r>
      <w:r>
        <w:rPr>
          <w:sz w:val="24"/>
        </w:rPr>
        <w:t>not consider it economical or practicable to treat the </w:t>
      </w:r>
      <w:r>
        <w:rPr>
          <w:i/>
          <w:sz w:val="24"/>
        </w:rPr>
        <w:t>augmentation </w:t>
      </w:r>
      <w:r>
        <w:rPr>
          <w:sz w:val="24"/>
        </w:rPr>
        <w:t>as  a </w:t>
      </w:r>
      <w:r>
        <w:rPr>
          <w:i/>
          <w:sz w:val="24"/>
        </w:rPr>
        <w:t>contestable</w:t>
      </w:r>
      <w:r>
        <w:rPr>
          <w:i/>
          <w:spacing w:val="-1"/>
          <w:sz w:val="24"/>
        </w:rPr>
        <w:t> </w:t>
      </w:r>
      <w:r>
        <w:rPr>
          <w:i/>
          <w:sz w:val="24"/>
        </w:rPr>
        <w:t>augmentation</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7 Construction and operation of con" w:id="2312"/>
      <w:bookmarkEnd w:id="2312"/>
      <w:r>
        <w:rPr>
          <w:b w:val="0"/>
        </w:rPr>
      </w:r>
      <w:bookmarkStart w:name="_bookmark961" w:id="2313"/>
      <w:bookmarkEnd w:id="2313"/>
      <w:r>
        <w:rPr>
          <w:b w:val="0"/>
        </w:rPr>
      </w:r>
      <w:bookmarkStart w:name="_bookmark961" w:id="2314"/>
      <w:bookmarkEnd w:id="2314"/>
      <w:r>
        <w:rPr/>
        <w:t>Constructio</w:t>
      </w:r>
      <w:r>
        <w:rPr/>
        <w:t>n and operation of contestable</w:t>
      </w:r>
      <w:r>
        <w:rPr>
          <w:spacing w:val="-7"/>
        </w:rPr>
        <w:t> </w:t>
      </w:r>
      <w:r>
        <w:rPr/>
        <w:t>augmentation</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For the purpose of procuring the construction and operation of a </w:t>
      </w:r>
      <w:r>
        <w:rPr>
          <w:i/>
          <w:sz w:val="24"/>
        </w:rPr>
        <w:t>contestable </w:t>
      </w:r>
      <w:r>
        <w:rPr>
          <w:i/>
          <w:sz w:val="24"/>
        </w:rPr>
        <w:t>augmentation</w:t>
      </w:r>
      <w:r>
        <w:rPr>
          <w:sz w:val="24"/>
        </w:rPr>
        <w:t>, </w:t>
      </w:r>
      <w:r>
        <w:rPr>
          <w:i/>
          <w:sz w:val="24"/>
        </w:rPr>
        <w:t>AEMO</w:t>
      </w:r>
      <w:r>
        <w:rPr>
          <w:i/>
          <w:spacing w:val="-1"/>
          <w:sz w:val="24"/>
        </w:rPr>
        <w:t> </w:t>
      </w:r>
      <w:r>
        <w:rPr>
          <w:sz w:val="24"/>
        </w:rPr>
        <w:t>must: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publish a generally applicable tender and evaluation process that accords with best practice as currently understood and may include, but need not be limited</w:t>
      </w:r>
      <w:r>
        <w:rPr>
          <w:spacing w:val="-2"/>
          <w:sz w:val="24"/>
        </w:rPr>
        <w:t> </w:t>
      </w:r>
      <w:r>
        <w:rPr>
          <w:sz w:val="24"/>
        </w:rPr>
        <w:t>to:</w:t>
      </w:r>
    </w:p>
    <w:p>
      <w:pPr>
        <w:pStyle w:val="ListParagraph"/>
        <w:numPr>
          <w:ilvl w:val="5"/>
          <w:numId w:val="634"/>
        </w:numPr>
        <w:tabs>
          <w:tab w:pos="3053" w:val="left" w:leader="none"/>
        </w:tabs>
        <w:spacing w:line="240" w:lineRule="auto" w:before="120" w:after="0"/>
        <w:ind w:left="3052" w:right="0" w:hanging="567"/>
        <w:jc w:val="both"/>
        <w:rPr>
          <w:sz w:val="24"/>
        </w:rPr>
      </w:pPr>
      <w:r>
        <w:rPr>
          <w:sz w:val="24"/>
        </w:rPr>
        <w:t>typical timetables for the tender and evaluation process;</w:t>
      </w:r>
      <w:r>
        <w:rPr>
          <w:spacing w:val="-5"/>
          <w:sz w:val="24"/>
        </w:rPr>
        <w:t> </w:t>
      </w:r>
      <w:r>
        <w:rPr>
          <w:sz w:val="24"/>
        </w:rPr>
        <w:t>and</w:t>
      </w:r>
    </w:p>
    <w:p>
      <w:pPr>
        <w:pStyle w:val="ListParagraph"/>
        <w:numPr>
          <w:ilvl w:val="5"/>
          <w:numId w:val="634"/>
        </w:numPr>
        <w:tabs>
          <w:tab w:pos="3054" w:val="left" w:leader="none"/>
        </w:tabs>
        <w:spacing w:line="240" w:lineRule="auto" w:before="120" w:after="0"/>
        <w:ind w:left="3053" w:right="0" w:hanging="568"/>
        <w:jc w:val="both"/>
        <w:rPr>
          <w:sz w:val="24"/>
        </w:rPr>
      </w:pPr>
      <w:r>
        <w:rPr>
          <w:sz w:val="24"/>
        </w:rPr>
        <w:t>details of typical evaluation criteria;</w:t>
      </w:r>
      <w:r>
        <w:rPr>
          <w:spacing w:val="-1"/>
          <w:sz w:val="24"/>
        </w:rPr>
        <w:t> </w:t>
      </w:r>
      <w:r>
        <w:rPr>
          <w:sz w:val="24"/>
        </w:rPr>
        <w:t>and</w:t>
      </w:r>
    </w:p>
    <w:p>
      <w:pPr>
        <w:pStyle w:val="ListParagraph"/>
        <w:numPr>
          <w:ilvl w:val="5"/>
          <w:numId w:val="634"/>
        </w:numPr>
        <w:tabs>
          <w:tab w:pos="3052" w:val="left" w:leader="none"/>
          <w:tab w:pos="3053" w:val="left" w:leader="none"/>
        </w:tabs>
        <w:spacing w:line="240" w:lineRule="auto" w:before="120" w:after="0"/>
        <w:ind w:left="3053" w:right="415" w:hanging="567"/>
        <w:jc w:val="left"/>
        <w:rPr>
          <w:sz w:val="24"/>
        </w:rPr>
      </w:pPr>
      <w:r>
        <w:rPr>
          <w:sz w:val="24"/>
        </w:rPr>
        <w:t>indications of the way in which different matters are to be or might be weighted for evaluation purposes;</w:t>
      </w:r>
      <w:r>
        <w:rPr>
          <w:spacing w:val="-2"/>
          <w:sz w:val="24"/>
        </w:rPr>
        <w:t> </w:t>
      </w:r>
      <w:r>
        <w:rPr>
          <w:sz w:val="24"/>
        </w:rPr>
        <w:t>and</w:t>
      </w:r>
    </w:p>
    <w:p>
      <w:pPr>
        <w:pStyle w:val="ListParagraph"/>
        <w:numPr>
          <w:ilvl w:val="5"/>
          <w:numId w:val="634"/>
        </w:numPr>
        <w:tabs>
          <w:tab w:pos="3052" w:val="left" w:leader="none"/>
          <w:tab w:pos="3054" w:val="left" w:leader="none"/>
        </w:tabs>
        <w:spacing w:line="240" w:lineRule="auto" w:before="120" w:after="0"/>
        <w:ind w:left="3053" w:right="415" w:hanging="567"/>
        <w:jc w:val="left"/>
        <w:rPr>
          <w:sz w:val="24"/>
        </w:rPr>
      </w:pPr>
      <w:r>
        <w:rPr>
          <w:sz w:val="24"/>
        </w:rPr>
        <w:t>provision for declaration and management of conflicts of interest;</w:t>
      </w:r>
      <w:r>
        <w:rPr>
          <w:spacing w:val="-1"/>
          <w:sz w:val="24"/>
        </w:rPr>
        <w:t> </w:t>
      </w:r>
      <w:r>
        <w:rPr>
          <w:sz w:val="24"/>
        </w:rPr>
        <w:t>and</w:t>
      </w:r>
    </w:p>
    <w:p>
      <w:pPr>
        <w:pStyle w:val="ListParagraph"/>
        <w:numPr>
          <w:ilvl w:val="5"/>
          <w:numId w:val="634"/>
        </w:numPr>
        <w:tabs>
          <w:tab w:pos="3052" w:val="left" w:leader="none"/>
          <w:tab w:pos="3053" w:val="left" w:leader="none"/>
        </w:tabs>
        <w:spacing w:line="240" w:lineRule="auto" w:before="120" w:after="0"/>
        <w:ind w:left="3052" w:right="0" w:hanging="567"/>
        <w:jc w:val="left"/>
        <w:rPr>
          <w:sz w:val="24"/>
        </w:rPr>
      </w:pPr>
      <w:r>
        <w:rPr>
          <w:sz w:val="24"/>
        </w:rPr>
        <w:t>provision for the debriefing of unsuccessful tenderers;</w:t>
      </w:r>
      <w:r>
        <w:rPr>
          <w:spacing w:val="-2"/>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i/>
          <w:sz w:val="24"/>
        </w:rPr>
        <w:t>publish </w:t>
      </w:r>
      <w:r>
        <w:rPr>
          <w:sz w:val="24"/>
        </w:rPr>
        <w:t>a register of persons who have from time to time expressed interest in being </w:t>
      </w:r>
      <w:r>
        <w:rPr>
          <w:i/>
          <w:sz w:val="24"/>
        </w:rPr>
        <w:t>contestable </w:t>
      </w:r>
      <w:r>
        <w:rPr>
          <w:sz w:val="24"/>
        </w:rPr>
        <w:t>providers and keep the register up to date to reflect the developing</w:t>
      </w:r>
      <w:r>
        <w:rPr>
          <w:spacing w:val="-1"/>
          <w:sz w:val="24"/>
        </w:rPr>
        <w:t> </w:t>
      </w:r>
      <w:r>
        <w:rPr>
          <w:sz w:val="24"/>
        </w:rPr>
        <w:t>market.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For each </w:t>
      </w:r>
      <w:r>
        <w:rPr>
          <w:i/>
          <w:sz w:val="24"/>
        </w:rPr>
        <w:t>contestable augmentation</w:t>
      </w:r>
      <w:r>
        <w:rPr>
          <w:sz w:val="24"/>
        </w:rPr>
        <w:t>, </w:t>
      </w:r>
      <w:r>
        <w:rPr>
          <w:i/>
          <w:sz w:val="24"/>
        </w:rPr>
        <w:t>AEMO</w:t>
      </w:r>
      <w:r>
        <w:rPr>
          <w:i/>
          <w:spacing w:val="-2"/>
          <w:sz w:val="24"/>
        </w:rPr>
        <w:t> </w:t>
      </w:r>
      <w:r>
        <w:rPr>
          <w:sz w:val="24"/>
        </w:rPr>
        <w:t>must: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call for expressions of interest from persons who may be interested in constructing and operating the proposed </w:t>
      </w:r>
      <w:r>
        <w:rPr>
          <w:i/>
          <w:sz w:val="24"/>
        </w:rPr>
        <w:t>contestable</w:t>
      </w:r>
      <w:r>
        <w:rPr>
          <w:i/>
          <w:spacing w:val="35"/>
          <w:sz w:val="24"/>
        </w:rPr>
        <w:t> </w:t>
      </w:r>
      <w:r>
        <w:rPr>
          <w:i/>
          <w:sz w:val="24"/>
        </w:rPr>
        <w:t>augmentation</w:t>
      </w:r>
      <w:r>
        <w:rPr>
          <w:sz w:val="24"/>
        </w:rPr>
        <w:t>; 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prepare, in consultation with the incumbent </w:t>
      </w:r>
      <w:r>
        <w:rPr>
          <w:i/>
          <w:sz w:val="24"/>
        </w:rPr>
        <w:t>declared transmission </w:t>
      </w:r>
      <w:r>
        <w:rPr>
          <w:i/>
          <w:sz w:val="24"/>
        </w:rPr>
        <w:t>system operator</w:t>
      </w:r>
      <w:r>
        <w:rPr>
          <w:sz w:val="24"/>
        </w:rPr>
        <w:t>, a timetable allowing </w:t>
      </w:r>
      <w:r>
        <w:rPr>
          <w:i/>
          <w:sz w:val="24"/>
        </w:rPr>
        <w:t>AEMO </w:t>
      </w:r>
      <w:r>
        <w:rPr>
          <w:sz w:val="24"/>
        </w:rPr>
        <w:t>and the incumbent </w:t>
      </w:r>
      <w:r>
        <w:rPr>
          <w:i/>
          <w:sz w:val="24"/>
        </w:rPr>
        <w:t>declared transmission system operator </w:t>
      </w:r>
      <w:r>
        <w:rPr>
          <w:sz w:val="24"/>
        </w:rPr>
        <w:t>a reasonable time to comply with their respective obligations and allowing a reasonable construction period having regard to the nature and extent of </w:t>
      </w:r>
      <w:r>
        <w:rPr>
          <w:spacing w:val="-4"/>
          <w:sz w:val="24"/>
        </w:rPr>
        <w:t>the </w:t>
      </w:r>
      <w:r>
        <w:rPr>
          <w:i/>
          <w:sz w:val="24"/>
        </w:rPr>
        <w:t>augmentation</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prepare, in consultation with the incumbent </w:t>
      </w:r>
      <w:r>
        <w:rPr>
          <w:i/>
          <w:sz w:val="24"/>
        </w:rPr>
        <w:t>declared transmission </w:t>
      </w:r>
      <w:r>
        <w:rPr>
          <w:i/>
          <w:sz w:val="24"/>
        </w:rPr>
        <w:t>system operator</w:t>
      </w:r>
      <w:r>
        <w:rPr>
          <w:sz w:val="24"/>
        </w:rPr>
        <w:t>, a detailed tender specification setting out the scope of the work involved in the </w:t>
      </w:r>
      <w:r>
        <w:rPr>
          <w:i/>
          <w:sz w:val="24"/>
        </w:rPr>
        <w:t>augmentation</w:t>
      </w:r>
      <w:r>
        <w:rPr>
          <w:sz w:val="24"/>
        </w:rPr>
        <w:t>, including details of the technical interface required for the </w:t>
      </w:r>
      <w:r>
        <w:rPr>
          <w:i/>
          <w:sz w:val="24"/>
        </w:rPr>
        <w:t>augmentation</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prepare and issue an invitation to tender setting out details of the </w:t>
      </w:r>
      <w:r>
        <w:rPr>
          <w:i/>
          <w:sz w:val="24"/>
        </w:rPr>
        <w:t>contestable augmentation </w:t>
      </w:r>
      <w:r>
        <w:rPr>
          <w:sz w:val="24"/>
        </w:rPr>
        <w:t>and the tender and evaluation process - details that must (without</w:t>
      </w:r>
      <w:r>
        <w:rPr>
          <w:spacing w:val="-2"/>
          <w:sz w:val="24"/>
        </w:rPr>
        <w:t> </w:t>
      </w:r>
      <w:r>
        <w:rPr>
          <w:sz w:val="24"/>
        </w:rPr>
        <w:t>limitation):</w:t>
      </w:r>
    </w:p>
    <w:p>
      <w:pPr>
        <w:pStyle w:val="ListParagraph"/>
        <w:numPr>
          <w:ilvl w:val="5"/>
          <w:numId w:val="634"/>
        </w:numPr>
        <w:tabs>
          <w:tab w:pos="3053" w:val="left" w:leader="none"/>
        </w:tabs>
        <w:spacing w:line="240" w:lineRule="auto" w:before="120" w:after="0"/>
        <w:ind w:left="3053" w:right="414" w:hanging="567"/>
        <w:jc w:val="both"/>
        <w:rPr>
          <w:sz w:val="24"/>
        </w:rPr>
      </w:pPr>
      <w:r>
        <w:rPr>
          <w:sz w:val="24"/>
        </w:rPr>
        <w:t>provide as much certainty as is reasonably practicable to tenderers</w:t>
      </w:r>
      <w:r>
        <w:rPr>
          <w:spacing w:val="39"/>
          <w:sz w:val="24"/>
        </w:rPr>
        <w:t> </w:t>
      </w:r>
      <w:r>
        <w:rPr>
          <w:sz w:val="24"/>
        </w:rPr>
        <w:t>regarding</w:t>
      </w:r>
      <w:r>
        <w:rPr>
          <w:spacing w:val="40"/>
          <w:sz w:val="24"/>
        </w:rPr>
        <w:t> </w:t>
      </w:r>
      <w:r>
        <w:rPr>
          <w:sz w:val="24"/>
        </w:rPr>
        <w:t>the</w:t>
      </w:r>
      <w:r>
        <w:rPr>
          <w:spacing w:val="39"/>
          <w:sz w:val="24"/>
        </w:rPr>
        <w:t> </w:t>
      </w:r>
      <w:r>
        <w:rPr>
          <w:sz w:val="24"/>
        </w:rPr>
        <w:t>terms</w:t>
      </w:r>
      <w:r>
        <w:rPr>
          <w:spacing w:val="40"/>
          <w:sz w:val="24"/>
        </w:rPr>
        <w:t> </w:t>
      </w:r>
      <w:r>
        <w:rPr>
          <w:sz w:val="24"/>
        </w:rPr>
        <w:t>and</w:t>
      </w:r>
      <w:r>
        <w:rPr>
          <w:spacing w:val="40"/>
          <w:sz w:val="24"/>
        </w:rPr>
        <w:t> </w:t>
      </w:r>
      <w:r>
        <w:rPr>
          <w:sz w:val="24"/>
        </w:rPr>
        <w:t>conditions</w:t>
      </w:r>
      <w:r>
        <w:rPr>
          <w:spacing w:val="39"/>
          <w:sz w:val="24"/>
        </w:rPr>
        <w:t> </w:t>
      </w:r>
      <w:r>
        <w:rPr>
          <w:sz w:val="24"/>
        </w:rPr>
        <w:t>subject</w:t>
      </w:r>
      <w:r>
        <w:rPr>
          <w:spacing w:val="40"/>
          <w:sz w:val="24"/>
        </w:rPr>
        <w:t> </w:t>
      </w:r>
      <w:r>
        <w:rPr>
          <w:sz w:val="24"/>
        </w:rPr>
        <w:t>to</w:t>
      </w:r>
      <w:r>
        <w:rPr>
          <w:spacing w:val="40"/>
          <w:sz w:val="24"/>
        </w:rPr>
        <w:t> </w:t>
      </w:r>
      <w:r>
        <w:rPr>
          <w:sz w:val="24"/>
        </w:rPr>
        <w:t>which</w:t>
      </w:r>
    </w:p>
    <w:p>
      <w:pPr>
        <w:spacing w:after="0" w:line="240" w:lineRule="auto"/>
        <w:jc w:val="both"/>
        <w:rPr>
          <w:sz w:val="24"/>
        </w:rPr>
        <w:sectPr>
          <w:pgSz w:w="11910" w:h="16840"/>
          <w:pgMar w:header="686" w:footer="637" w:top="1320" w:bottom="820" w:left="1200" w:right="1000"/>
        </w:sectPr>
      </w:pPr>
    </w:p>
    <w:p>
      <w:pPr>
        <w:pStyle w:val="BodyText"/>
        <w:spacing w:before="83"/>
        <w:ind w:left="3053" w:firstLine="0"/>
      </w:pPr>
      <w:r>
        <w:rPr/>
        <w:t>they are invited to tender for the work involved in the</w:t>
      </w:r>
    </w:p>
    <w:p>
      <w:pPr>
        <w:spacing w:before="0"/>
        <w:ind w:left="3053" w:right="0" w:firstLine="0"/>
        <w:jc w:val="both"/>
        <w:rPr>
          <w:sz w:val="24"/>
        </w:rPr>
      </w:pPr>
      <w:r>
        <w:rPr>
          <w:i/>
          <w:sz w:val="24"/>
        </w:rPr>
        <w:t>contestable augmentation</w:t>
      </w:r>
      <w:r>
        <w:rPr>
          <w:sz w:val="24"/>
        </w:rPr>
        <w:t>; and</w:t>
      </w:r>
    </w:p>
    <w:p>
      <w:pPr>
        <w:pStyle w:val="ListParagraph"/>
        <w:numPr>
          <w:ilvl w:val="5"/>
          <w:numId w:val="634"/>
        </w:numPr>
        <w:tabs>
          <w:tab w:pos="3054" w:val="left" w:leader="none"/>
        </w:tabs>
        <w:spacing w:line="240" w:lineRule="auto" w:before="120" w:after="0"/>
        <w:ind w:left="3053" w:right="415" w:hanging="567"/>
        <w:jc w:val="both"/>
        <w:rPr>
          <w:sz w:val="24"/>
        </w:rPr>
      </w:pPr>
      <w:r>
        <w:rPr>
          <w:sz w:val="24"/>
        </w:rPr>
        <w:t>identify the relevant land (if any) that is available for or</w:t>
      </w:r>
      <w:r>
        <w:rPr>
          <w:spacing w:val="35"/>
          <w:sz w:val="24"/>
        </w:rPr>
        <w:t> </w:t>
      </w:r>
      <w:r>
        <w:rPr>
          <w:sz w:val="24"/>
        </w:rPr>
        <w:t>in connection with the </w:t>
      </w:r>
      <w:r>
        <w:rPr>
          <w:i/>
          <w:sz w:val="24"/>
        </w:rPr>
        <w:t>contestable augmentation</w:t>
      </w:r>
      <w:r>
        <w:rPr>
          <w:sz w:val="24"/>
        </w:rPr>
        <w:t>, including (to the extent reasonably practicable) details of current usage and, </w:t>
      </w:r>
      <w:r>
        <w:rPr>
          <w:spacing w:val="-6"/>
          <w:sz w:val="24"/>
        </w:rPr>
        <w:t>if </w:t>
      </w:r>
      <w:r>
        <w:rPr>
          <w:sz w:val="24"/>
        </w:rPr>
        <w:t>available, a geotechnical and environmental report on the </w:t>
      </w:r>
      <w:r>
        <w:rPr>
          <w:spacing w:val="-3"/>
          <w:sz w:val="24"/>
        </w:rPr>
        <w:t>land; </w:t>
      </w:r>
      <w:r>
        <w:rPr>
          <w:sz w:val="24"/>
        </w:rPr>
        <w:t>and</w:t>
      </w:r>
    </w:p>
    <w:p>
      <w:pPr>
        <w:pStyle w:val="ListParagraph"/>
        <w:numPr>
          <w:ilvl w:val="5"/>
          <w:numId w:val="634"/>
        </w:numPr>
        <w:tabs>
          <w:tab w:pos="3053" w:val="left" w:leader="none"/>
        </w:tabs>
        <w:spacing w:line="240" w:lineRule="auto" w:before="120" w:after="0"/>
        <w:ind w:left="3053" w:right="416" w:hanging="567"/>
        <w:jc w:val="both"/>
        <w:rPr>
          <w:sz w:val="24"/>
        </w:rPr>
      </w:pPr>
      <w:r>
        <w:rPr>
          <w:sz w:val="24"/>
        </w:rPr>
        <w:t>specify (to the extent reasonably practicable) the services to be provided under the </w:t>
      </w:r>
      <w:r>
        <w:rPr>
          <w:i/>
          <w:sz w:val="24"/>
        </w:rPr>
        <w:t>network</w:t>
      </w:r>
      <w:r>
        <w:rPr>
          <w:i/>
          <w:spacing w:val="-1"/>
          <w:sz w:val="24"/>
        </w:rPr>
        <w:t> </w:t>
      </w:r>
      <w:r>
        <w:rPr>
          <w:i/>
          <w:sz w:val="24"/>
        </w:rPr>
        <w:t>agreement</w:t>
      </w:r>
      <w:r>
        <w:rPr>
          <w:sz w:val="24"/>
        </w:rPr>
        <w:t>;</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make available to potential </w:t>
      </w:r>
      <w:r>
        <w:rPr>
          <w:i/>
          <w:sz w:val="24"/>
        </w:rPr>
        <w:t>contestable </w:t>
      </w:r>
      <w:r>
        <w:rPr>
          <w:sz w:val="24"/>
        </w:rPr>
        <w:t>providers a copy of any proposed </w:t>
      </w:r>
      <w:r>
        <w:rPr>
          <w:i/>
          <w:sz w:val="24"/>
        </w:rPr>
        <w:t>augmentation connection agreement </w:t>
      </w:r>
      <w:r>
        <w:rPr>
          <w:sz w:val="24"/>
        </w:rPr>
        <w:t>or </w:t>
      </w:r>
      <w:r>
        <w:rPr>
          <w:i/>
          <w:sz w:val="24"/>
        </w:rPr>
        <w:t>network</w:t>
      </w:r>
      <w:r>
        <w:rPr>
          <w:i/>
          <w:spacing w:val="-2"/>
          <w:sz w:val="24"/>
        </w:rPr>
        <w:t> </w:t>
      </w:r>
      <w:r>
        <w:rPr>
          <w:i/>
          <w:sz w:val="24"/>
        </w:rPr>
        <w:t>agreement</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incumbent </w:t>
      </w:r>
      <w:r>
        <w:rPr>
          <w:i/>
          <w:sz w:val="24"/>
        </w:rPr>
        <w:t>declared transmission system operator</w:t>
      </w:r>
      <w:r>
        <w:rPr>
          <w:i/>
          <w:spacing w:val="-3"/>
          <w:sz w:val="24"/>
        </w:rPr>
        <w:t> </w:t>
      </w:r>
      <w:r>
        <w:rPr>
          <w:sz w:val="24"/>
        </w:rPr>
        <w:t>must: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provide, within a reasonable period specified by </w:t>
      </w:r>
      <w:r>
        <w:rPr>
          <w:i/>
          <w:sz w:val="24"/>
        </w:rPr>
        <w:t>AEMO</w:t>
      </w:r>
      <w:r>
        <w:rPr>
          <w:sz w:val="24"/>
        </w:rPr>
        <w:t>, information and assistance reasonably required by </w:t>
      </w:r>
      <w:r>
        <w:rPr>
          <w:i/>
          <w:sz w:val="24"/>
        </w:rPr>
        <w:t>AEMO </w:t>
      </w:r>
      <w:r>
        <w:rPr>
          <w:sz w:val="24"/>
        </w:rPr>
        <w:t>for the preparation </w:t>
      </w:r>
      <w:r>
        <w:rPr>
          <w:spacing w:val="-6"/>
          <w:sz w:val="24"/>
        </w:rPr>
        <w:t>of  </w:t>
      </w:r>
      <w:r>
        <w:rPr>
          <w:sz w:val="24"/>
        </w:rPr>
        <w:t>the tender documents such as information about the technical interface and information required for the preparation of the tender specification;</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negotiate in good faith with a potential </w:t>
      </w:r>
      <w:r>
        <w:rPr>
          <w:i/>
          <w:sz w:val="24"/>
        </w:rPr>
        <w:t>contestable </w:t>
      </w:r>
      <w:r>
        <w:rPr>
          <w:sz w:val="24"/>
        </w:rPr>
        <w:t>provider about changes to the proposed </w:t>
      </w:r>
      <w:r>
        <w:rPr>
          <w:i/>
          <w:sz w:val="24"/>
        </w:rPr>
        <w:t>augmentation connection agreement </w:t>
      </w:r>
      <w:r>
        <w:rPr>
          <w:sz w:val="24"/>
        </w:rPr>
        <w:t>that are sought or suggested by that potential </w:t>
      </w:r>
      <w:r>
        <w:rPr>
          <w:i/>
          <w:sz w:val="24"/>
        </w:rPr>
        <w:t>contestable</w:t>
      </w:r>
      <w:r>
        <w:rPr>
          <w:i/>
          <w:spacing w:val="-9"/>
          <w:sz w:val="24"/>
        </w:rPr>
        <w:t> </w:t>
      </w:r>
      <w:r>
        <w:rPr>
          <w:sz w:val="24"/>
        </w:rPr>
        <w:t>provider.</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The incumbent </w:t>
      </w:r>
      <w:r>
        <w:rPr>
          <w:i/>
          <w:sz w:val="24"/>
        </w:rPr>
        <w:t>declared transmission system operator </w:t>
      </w:r>
      <w:r>
        <w:rPr>
          <w:sz w:val="24"/>
        </w:rPr>
        <w:t>may tender for work involved in a </w:t>
      </w:r>
      <w:r>
        <w:rPr>
          <w:i/>
          <w:sz w:val="24"/>
        </w:rPr>
        <w:t>contestable</w:t>
      </w:r>
      <w:r>
        <w:rPr>
          <w:i/>
          <w:spacing w:val="-2"/>
          <w:sz w:val="24"/>
        </w:rPr>
        <w:t> </w:t>
      </w:r>
      <w:r>
        <w:rPr>
          <w:i/>
          <w:sz w:val="24"/>
        </w:rPr>
        <w:t>augmentation</w:t>
      </w:r>
      <w:r>
        <w:rPr>
          <w:sz w:val="24"/>
        </w:rPr>
        <w:t>.</w:t>
      </w:r>
    </w:p>
    <w:p>
      <w:pPr>
        <w:pStyle w:val="ListParagraph"/>
        <w:numPr>
          <w:ilvl w:val="3"/>
          <w:numId w:val="634"/>
        </w:numPr>
        <w:tabs>
          <w:tab w:pos="1919" w:val="left" w:leader="none"/>
        </w:tabs>
        <w:spacing w:line="240" w:lineRule="auto" w:before="120" w:after="0"/>
        <w:ind w:left="1919" w:right="414" w:hanging="567"/>
        <w:jc w:val="both"/>
        <w:rPr>
          <w:sz w:val="24"/>
        </w:rPr>
      </w:pPr>
      <w:r>
        <w:rPr>
          <w:i/>
          <w:sz w:val="24"/>
        </w:rPr>
        <w:t>AEMO </w:t>
      </w:r>
      <w:r>
        <w:rPr>
          <w:sz w:val="24"/>
        </w:rPr>
        <w:t>must evaluate, assess and negotiate responses to the invitation to tender in accordance with the published tender and evaluation</w:t>
      </w:r>
      <w:r>
        <w:rPr>
          <w:spacing w:val="-3"/>
          <w:sz w:val="24"/>
        </w:rPr>
        <w:t> </w:t>
      </w:r>
      <w:r>
        <w:rPr>
          <w:sz w:val="24"/>
        </w:rPr>
        <w:t>process.</w:t>
      </w:r>
    </w:p>
    <w:p>
      <w:pPr>
        <w:pStyle w:val="ListParagraph"/>
        <w:numPr>
          <w:ilvl w:val="3"/>
          <w:numId w:val="634"/>
        </w:numPr>
        <w:tabs>
          <w:tab w:pos="1920" w:val="left" w:leader="none"/>
        </w:tabs>
        <w:spacing w:line="240" w:lineRule="auto" w:before="120" w:after="0"/>
        <w:ind w:left="1919" w:right="415" w:hanging="567"/>
        <w:jc w:val="both"/>
        <w:rPr>
          <w:sz w:val="24"/>
        </w:rPr>
      </w:pPr>
      <w:r>
        <w:rPr>
          <w:sz w:val="24"/>
        </w:rPr>
        <w:t>After completing the tender and evaluation process, </w:t>
      </w:r>
      <w:r>
        <w:rPr>
          <w:i/>
          <w:sz w:val="24"/>
        </w:rPr>
        <w:t>AEMO </w:t>
      </w:r>
      <w:r>
        <w:rPr>
          <w:sz w:val="24"/>
        </w:rPr>
        <w:t>must notify all persons who submitted tenders of the successful</w:t>
      </w:r>
      <w:r>
        <w:rPr>
          <w:spacing w:val="-7"/>
          <w:sz w:val="24"/>
        </w:rPr>
        <w:t> </w:t>
      </w:r>
      <w:r>
        <w:rPr>
          <w:sz w:val="24"/>
        </w:rPr>
        <w:t>tender.</w:t>
      </w:r>
    </w:p>
    <w:p>
      <w:pPr>
        <w:pStyle w:val="ListParagraph"/>
        <w:numPr>
          <w:ilvl w:val="3"/>
          <w:numId w:val="634"/>
        </w:numPr>
        <w:tabs>
          <w:tab w:pos="1919" w:val="left" w:leader="none"/>
        </w:tabs>
        <w:spacing w:line="240" w:lineRule="auto" w:before="120" w:after="0"/>
        <w:ind w:left="1919" w:right="414" w:hanging="567"/>
        <w:jc w:val="both"/>
        <w:rPr>
          <w:sz w:val="24"/>
        </w:rPr>
      </w:pPr>
      <w:r>
        <w:rPr>
          <w:i/>
          <w:sz w:val="24"/>
        </w:rPr>
        <w:t>AEMO </w:t>
      </w:r>
      <w:r>
        <w:rPr>
          <w:sz w:val="24"/>
        </w:rPr>
        <w:t>may only proceed with a </w:t>
      </w:r>
      <w:r>
        <w:rPr>
          <w:i/>
          <w:sz w:val="24"/>
        </w:rPr>
        <w:t>contestable augmentation </w:t>
      </w:r>
      <w:r>
        <w:rPr>
          <w:sz w:val="24"/>
        </w:rPr>
        <w:t>on the basis of a tender accepted after evaluation and assessment in accordance with the published tender and evaluation</w:t>
      </w:r>
      <w:r>
        <w:rPr>
          <w:spacing w:val="-1"/>
          <w:sz w:val="24"/>
        </w:rPr>
        <w:t> </w:t>
      </w:r>
      <w:r>
        <w:rPr>
          <w:sz w:val="24"/>
        </w:rPr>
        <w:t>process.</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successful</w:t>
      </w:r>
      <w:r>
        <w:rPr>
          <w:spacing w:val="-2"/>
          <w:sz w:val="24"/>
        </w:rPr>
        <w:t> </w:t>
      </w:r>
      <w:r>
        <w:rPr>
          <w:sz w:val="24"/>
        </w:rPr>
        <w:t>tenderer:</w:t>
      </w:r>
    </w:p>
    <w:p>
      <w:pPr>
        <w:pStyle w:val="ListParagraph"/>
        <w:numPr>
          <w:ilvl w:val="4"/>
          <w:numId w:val="634"/>
        </w:numPr>
        <w:tabs>
          <w:tab w:pos="2486" w:val="left" w:leader="none"/>
        </w:tabs>
        <w:spacing w:line="240" w:lineRule="auto" w:before="120" w:after="0"/>
        <w:ind w:left="2486" w:right="414" w:hanging="567"/>
        <w:jc w:val="both"/>
        <w:rPr>
          <w:sz w:val="24"/>
        </w:rPr>
      </w:pPr>
      <w:r>
        <w:rPr>
          <w:sz w:val="24"/>
        </w:rPr>
        <w:t>must enter into an agreement with </w:t>
      </w:r>
      <w:r>
        <w:rPr>
          <w:i/>
          <w:sz w:val="24"/>
        </w:rPr>
        <w:t>AEMO</w:t>
      </w:r>
      <w:r>
        <w:rPr>
          <w:sz w:val="24"/>
        </w:rPr>
        <w:t>, based on the successful tender, for the construction of the </w:t>
      </w:r>
      <w:r>
        <w:rPr>
          <w:i/>
          <w:sz w:val="24"/>
        </w:rPr>
        <w:t>augmentation</w:t>
      </w:r>
      <w:r>
        <w:rPr>
          <w:sz w:val="24"/>
        </w:rPr>
        <w:t>;</w:t>
      </w:r>
      <w:r>
        <w:rPr>
          <w:spacing w:val="-3"/>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must (unless the incumbent </w:t>
      </w:r>
      <w:r>
        <w:rPr>
          <w:i/>
          <w:sz w:val="24"/>
        </w:rPr>
        <w:t>declared transmission system operator </w:t>
      </w:r>
      <w:r>
        <w:rPr>
          <w:sz w:val="24"/>
        </w:rPr>
        <w:t>is itself the successful tenderer) enter into an </w:t>
      </w:r>
      <w:r>
        <w:rPr>
          <w:i/>
          <w:sz w:val="24"/>
        </w:rPr>
        <w:t>augmentation connection </w:t>
      </w:r>
      <w:r>
        <w:rPr>
          <w:i/>
          <w:sz w:val="24"/>
        </w:rPr>
        <w:t>agreement </w:t>
      </w:r>
      <w:r>
        <w:rPr>
          <w:sz w:val="24"/>
        </w:rPr>
        <w:t>with the incumbent </w:t>
      </w:r>
      <w:r>
        <w:rPr>
          <w:i/>
          <w:sz w:val="24"/>
        </w:rPr>
        <w:t>declared transmission system</w:t>
      </w:r>
      <w:r>
        <w:rPr>
          <w:i/>
          <w:spacing w:val="-11"/>
          <w:sz w:val="24"/>
        </w:rPr>
        <w:t> </w:t>
      </w:r>
      <w:r>
        <w:rPr>
          <w:i/>
          <w:sz w:val="24"/>
        </w:rPr>
        <w:t>operator</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This</w:t>
      </w:r>
      <w:r>
        <w:rPr>
          <w:spacing w:val="13"/>
          <w:sz w:val="24"/>
        </w:rPr>
        <w:t> </w:t>
      </w:r>
      <w:r>
        <w:rPr>
          <w:sz w:val="24"/>
        </w:rPr>
        <w:t>clause</w:t>
      </w:r>
      <w:r>
        <w:rPr>
          <w:spacing w:val="14"/>
          <w:sz w:val="24"/>
        </w:rPr>
        <w:t> </w:t>
      </w:r>
      <w:r>
        <w:rPr>
          <w:sz w:val="24"/>
        </w:rPr>
        <w:t>does</w:t>
      </w:r>
      <w:r>
        <w:rPr>
          <w:spacing w:val="14"/>
          <w:sz w:val="24"/>
        </w:rPr>
        <w:t> </w:t>
      </w:r>
      <w:r>
        <w:rPr>
          <w:sz w:val="24"/>
        </w:rPr>
        <w:t>not</w:t>
      </w:r>
      <w:r>
        <w:rPr>
          <w:spacing w:val="14"/>
          <w:sz w:val="24"/>
        </w:rPr>
        <w:t> </w:t>
      </w:r>
      <w:r>
        <w:rPr>
          <w:sz w:val="24"/>
        </w:rPr>
        <w:t>apply</w:t>
      </w:r>
      <w:r>
        <w:rPr>
          <w:spacing w:val="13"/>
          <w:sz w:val="24"/>
        </w:rPr>
        <w:t> </w:t>
      </w:r>
      <w:r>
        <w:rPr>
          <w:sz w:val="24"/>
        </w:rPr>
        <w:t>to</w:t>
      </w:r>
      <w:r>
        <w:rPr>
          <w:spacing w:val="14"/>
          <w:sz w:val="24"/>
        </w:rPr>
        <w:t> </w:t>
      </w:r>
      <w:r>
        <w:rPr>
          <w:sz w:val="24"/>
        </w:rPr>
        <w:t>a</w:t>
      </w:r>
      <w:r>
        <w:rPr>
          <w:spacing w:val="14"/>
          <w:sz w:val="24"/>
        </w:rPr>
        <w:t> </w:t>
      </w:r>
      <w:r>
        <w:rPr>
          <w:i/>
          <w:sz w:val="24"/>
        </w:rPr>
        <w:t>funded</w:t>
      </w:r>
      <w:r>
        <w:rPr>
          <w:i/>
          <w:spacing w:val="14"/>
          <w:sz w:val="24"/>
        </w:rPr>
        <w:t> </w:t>
      </w:r>
      <w:r>
        <w:rPr>
          <w:i/>
          <w:sz w:val="24"/>
        </w:rPr>
        <w:t>augmentation</w:t>
      </w:r>
      <w:r>
        <w:rPr>
          <w:i/>
          <w:spacing w:val="13"/>
          <w:sz w:val="24"/>
        </w:rPr>
        <w:t> </w:t>
      </w:r>
      <w:r>
        <w:rPr>
          <w:sz w:val="24"/>
        </w:rPr>
        <w:t>unless</w:t>
      </w:r>
      <w:r>
        <w:rPr>
          <w:spacing w:val="14"/>
          <w:sz w:val="24"/>
        </w:rPr>
        <w:t> </w:t>
      </w:r>
      <w:r>
        <w:rPr>
          <w:i/>
          <w:sz w:val="24"/>
        </w:rPr>
        <w:t>AEMO</w:t>
      </w:r>
      <w:r>
        <w:rPr>
          <w:i/>
          <w:spacing w:val="14"/>
          <w:sz w:val="24"/>
        </w:rPr>
        <w:t> </w:t>
      </w:r>
      <w:r>
        <w:rPr>
          <w:sz w:val="24"/>
        </w:rPr>
        <w:t>and</w:t>
      </w:r>
      <w:r>
        <w:rPr>
          <w:spacing w:val="14"/>
          <w:sz w:val="24"/>
        </w:rPr>
        <w:t> </w:t>
      </w:r>
      <w:r>
        <w:rPr>
          <w:sz w:val="24"/>
        </w:rPr>
        <w:t>the</w:t>
      </w:r>
    </w:p>
    <w:p>
      <w:pPr>
        <w:spacing w:before="0"/>
        <w:ind w:left="1919" w:right="0" w:firstLine="0"/>
        <w:jc w:val="both"/>
        <w:rPr>
          <w:sz w:val="24"/>
        </w:rPr>
      </w:pPr>
      <w:r>
        <w:rPr>
          <w:i/>
          <w:sz w:val="24"/>
        </w:rPr>
        <w:t>Connection Applicant </w:t>
      </w:r>
      <w:r>
        <w:rPr>
          <w:sz w:val="24"/>
        </w:rPr>
        <w:t>agree to the conduct of a tender process.</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8 Funded augmentations that are not" w:id="2315"/>
      <w:bookmarkEnd w:id="2315"/>
      <w:r>
        <w:rPr>
          <w:b w:val="0"/>
        </w:rPr>
      </w:r>
      <w:bookmarkStart w:name="_bookmark962" w:id="2316"/>
      <w:bookmarkEnd w:id="2316"/>
      <w:r>
        <w:rPr>
          <w:b w:val="0"/>
        </w:rPr>
      </w:r>
      <w:bookmarkStart w:name="_bookmark962" w:id="2317"/>
      <w:bookmarkEnd w:id="2317"/>
      <w:r>
        <w:rPr/>
        <w:t>Fun</w:t>
      </w:r>
      <w:r>
        <w:rPr/>
        <w:t>ded augmentations that are not subject to the tender</w:t>
      </w:r>
      <w:r>
        <w:rPr>
          <w:spacing w:val="-10"/>
        </w:rPr>
        <w:t> </w:t>
      </w:r>
      <w:r>
        <w:rPr/>
        <w:t>process</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This clause applies to a </w:t>
      </w:r>
      <w:r>
        <w:rPr>
          <w:i/>
          <w:sz w:val="24"/>
        </w:rPr>
        <w:t>contestable augmentation </w:t>
      </w:r>
      <w:r>
        <w:rPr>
          <w:sz w:val="24"/>
        </w:rPr>
        <w:t>that is a </w:t>
      </w:r>
      <w:r>
        <w:rPr>
          <w:i/>
          <w:sz w:val="24"/>
        </w:rPr>
        <w:t>funded </w:t>
      </w:r>
      <w:r>
        <w:rPr>
          <w:i/>
          <w:sz w:val="24"/>
        </w:rPr>
        <w:t>augmentation </w:t>
      </w:r>
      <w:r>
        <w:rPr>
          <w:sz w:val="24"/>
        </w:rPr>
        <w:t>except in the case where </w:t>
      </w:r>
      <w:r>
        <w:rPr>
          <w:i/>
          <w:sz w:val="24"/>
        </w:rPr>
        <w:t>AEMO </w:t>
      </w:r>
      <w:r>
        <w:rPr>
          <w:sz w:val="24"/>
        </w:rPr>
        <w:t>and the </w:t>
      </w:r>
      <w:r>
        <w:rPr>
          <w:i/>
          <w:sz w:val="24"/>
        </w:rPr>
        <w:t>Connection  </w:t>
      </w:r>
      <w:r>
        <w:rPr>
          <w:i/>
          <w:sz w:val="24"/>
        </w:rPr>
        <w:t>Applicant </w:t>
      </w:r>
      <w:r>
        <w:rPr>
          <w:sz w:val="24"/>
        </w:rPr>
        <w:t>agree to the conduct of a tender process in accordance with clause 8.11.7.</w:t>
      </w:r>
    </w:p>
    <w:p>
      <w:pPr>
        <w:spacing w:after="0" w:line="240" w:lineRule="auto"/>
        <w:jc w:val="both"/>
        <w:rPr>
          <w:sz w:val="24"/>
        </w:rPr>
        <w:sectPr>
          <w:pgSz w:w="11910" w:h="16840"/>
          <w:pgMar w:header="686" w:footer="637" w:top="1320" w:bottom="820" w:left="1200" w:right="1000"/>
        </w:sectPr>
      </w:pPr>
    </w:p>
    <w:p>
      <w:pPr>
        <w:pStyle w:val="ListParagraph"/>
        <w:numPr>
          <w:ilvl w:val="3"/>
          <w:numId w:val="634"/>
        </w:numPr>
        <w:tabs>
          <w:tab w:pos="1918" w:val="left" w:leader="none"/>
          <w:tab w:pos="1919" w:val="left" w:leader="none"/>
        </w:tabs>
        <w:spacing w:line="240" w:lineRule="auto" w:before="83" w:after="0"/>
        <w:ind w:left="1918" w:right="0" w:hanging="567"/>
        <w:jc w:val="left"/>
        <w:rPr>
          <w:i/>
          <w:sz w:val="24"/>
        </w:rPr>
      </w:pPr>
      <w:r>
        <w:rPr>
          <w:sz w:val="24"/>
        </w:rPr>
        <w:t>For each </w:t>
      </w:r>
      <w:r>
        <w:rPr>
          <w:i/>
          <w:sz w:val="24"/>
        </w:rPr>
        <w:t>contestable augmentation </w:t>
      </w:r>
      <w:r>
        <w:rPr>
          <w:sz w:val="24"/>
        </w:rPr>
        <w:t>to which this clause applies,</w:t>
      </w:r>
      <w:r>
        <w:rPr>
          <w:spacing w:val="26"/>
          <w:sz w:val="24"/>
        </w:rPr>
        <w:t> </w:t>
      </w:r>
      <w:r>
        <w:rPr>
          <w:i/>
          <w:sz w:val="24"/>
        </w:rPr>
        <w:t>AEMO</w:t>
      </w:r>
    </w:p>
    <w:p>
      <w:pPr>
        <w:pStyle w:val="BodyText"/>
        <w:spacing w:before="0"/>
        <w:ind w:left="1919" w:firstLine="0"/>
        <w:jc w:val="left"/>
      </w:pPr>
      <w:r>
        <w:rPr/>
        <w:t>must: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prepare, in consultation with the incumbent </w:t>
      </w:r>
      <w:r>
        <w:rPr>
          <w:i/>
          <w:sz w:val="24"/>
        </w:rPr>
        <w:t>declared transmission </w:t>
      </w:r>
      <w:r>
        <w:rPr>
          <w:i/>
          <w:sz w:val="24"/>
        </w:rPr>
        <w:t>system operator </w:t>
      </w:r>
      <w:r>
        <w:rPr>
          <w:sz w:val="24"/>
        </w:rPr>
        <w:t>and the </w:t>
      </w:r>
      <w:r>
        <w:rPr>
          <w:i/>
          <w:sz w:val="24"/>
        </w:rPr>
        <w:t>Connection Applicant</w:t>
      </w:r>
      <w:r>
        <w:rPr>
          <w:sz w:val="24"/>
        </w:rPr>
        <w:t>, a timetable allowing </w:t>
      </w:r>
      <w:r>
        <w:rPr>
          <w:i/>
          <w:sz w:val="24"/>
        </w:rPr>
        <w:t>AEMO </w:t>
      </w:r>
      <w:r>
        <w:rPr>
          <w:sz w:val="24"/>
        </w:rPr>
        <w:t>and the incumbent </w:t>
      </w:r>
      <w:r>
        <w:rPr>
          <w:i/>
          <w:sz w:val="24"/>
        </w:rPr>
        <w:t>declared transmission system operator </w:t>
      </w:r>
      <w:r>
        <w:rPr>
          <w:sz w:val="24"/>
        </w:rPr>
        <w:t>a reasonable time to comply with their respective obligations and allowing a reasonable construction period having regard to the </w:t>
      </w:r>
      <w:r>
        <w:rPr>
          <w:spacing w:val="-3"/>
          <w:sz w:val="24"/>
        </w:rPr>
        <w:t>nature </w:t>
      </w:r>
      <w:r>
        <w:rPr>
          <w:sz w:val="24"/>
        </w:rPr>
        <w:t>and extent of the </w:t>
      </w:r>
      <w:r>
        <w:rPr>
          <w:i/>
          <w:sz w:val="24"/>
        </w:rPr>
        <w:t>augmentation</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prepare, in consultation with the incumbent </w:t>
      </w:r>
      <w:r>
        <w:rPr>
          <w:i/>
          <w:sz w:val="24"/>
        </w:rPr>
        <w:t>declared transmission </w:t>
      </w:r>
      <w:r>
        <w:rPr>
          <w:i/>
          <w:sz w:val="24"/>
        </w:rPr>
        <w:t>system operator </w:t>
      </w:r>
      <w:r>
        <w:rPr>
          <w:sz w:val="24"/>
        </w:rPr>
        <w:t>and the </w:t>
      </w:r>
      <w:r>
        <w:rPr>
          <w:i/>
          <w:sz w:val="24"/>
        </w:rPr>
        <w:t>Connection Applicant</w:t>
      </w:r>
      <w:r>
        <w:rPr>
          <w:sz w:val="24"/>
        </w:rPr>
        <w:t>, a detailed specification setting out the scope of the work involved in the </w:t>
      </w:r>
      <w:r>
        <w:rPr>
          <w:i/>
          <w:sz w:val="24"/>
        </w:rPr>
        <w:t>augmentation</w:t>
      </w:r>
      <w:r>
        <w:rPr>
          <w:sz w:val="24"/>
        </w:rPr>
        <w:t>, including details of the technical interface required for the </w:t>
      </w:r>
      <w:r>
        <w:rPr>
          <w:i/>
          <w:sz w:val="24"/>
        </w:rPr>
        <w:t>augmentation</w:t>
      </w:r>
      <w:r>
        <w:rPr>
          <w:sz w:val="24"/>
        </w:rPr>
        <w:t>;</w:t>
      </w:r>
      <w:r>
        <w:rPr>
          <w:spacing w:val="-1"/>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make available to the incumbent </w:t>
      </w:r>
      <w:r>
        <w:rPr>
          <w:i/>
          <w:sz w:val="24"/>
        </w:rPr>
        <w:t>declared transmission system </w:t>
      </w:r>
      <w:r>
        <w:rPr>
          <w:i/>
          <w:sz w:val="24"/>
        </w:rPr>
        <w:t>operator </w:t>
      </w:r>
      <w:r>
        <w:rPr>
          <w:sz w:val="24"/>
        </w:rPr>
        <w:t>and the </w:t>
      </w:r>
      <w:r>
        <w:rPr>
          <w:i/>
          <w:sz w:val="24"/>
        </w:rPr>
        <w:t>Connection Applicant </w:t>
      </w:r>
      <w:r>
        <w:rPr>
          <w:sz w:val="24"/>
        </w:rPr>
        <w:t>a copy of any proposed </w:t>
      </w:r>
      <w:r>
        <w:rPr>
          <w:i/>
          <w:sz w:val="24"/>
        </w:rPr>
        <w:t>augmentation connection</w:t>
      </w:r>
      <w:r>
        <w:rPr>
          <w:i/>
          <w:spacing w:val="-1"/>
          <w:sz w:val="24"/>
        </w:rPr>
        <w:t> </w:t>
      </w:r>
      <w:r>
        <w:rPr>
          <w:i/>
          <w:sz w:val="24"/>
        </w:rPr>
        <w:t>agreement</w:t>
      </w:r>
      <w:r>
        <w:rPr>
          <w:sz w:val="24"/>
        </w:rPr>
        <w: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The incumbent </w:t>
      </w:r>
      <w:r>
        <w:rPr>
          <w:i/>
          <w:sz w:val="24"/>
        </w:rPr>
        <w:t>declared transmission system operator</w:t>
      </w:r>
      <w:r>
        <w:rPr>
          <w:i/>
          <w:spacing w:val="-3"/>
          <w:sz w:val="24"/>
        </w:rPr>
        <w:t> </w:t>
      </w:r>
      <w:r>
        <w:rPr>
          <w:sz w:val="24"/>
        </w:rPr>
        <w:t>must:</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provide, within a reasonable period specified by </w:t>
      </w:r>
      <w:r>
        <w:rPr>
          <w:i/>
          <w:sz w:val="24"/>
        </w:rPr>
        <w:t>AEMO</w:t>
      </w:r>
      <w:r>
        <w:rPr>
          <w:sz w:val="24"/>
        </w:rPr>
        <w:t>, information and assistance reasonably required by </w:t>
      </w:r>
      <w:r>
        <w:rPr>
          <w:i/>
          <w:sz w:val="24"/>
        </w:rPr>
        <w:t>AEMO </w:t>
      </w:r>
      <w:r>
        <w:rPr>
          <w:sz w:val="24"/>
        </w:rPr>
        <w:t>for the preparation of an agreement for the construction of proposed </w:t>
      </w:r>
      <w:r>
        <w:rPr>
          <w:i/>
          <w:sz w:val="24"/>
        </w:rPr>
        <w:t>contestable augmentation</w:t>
      </w:r>
      <w:r>
        <w:rPr>
          <w:sz w:val="24"/>
        </w:rPr>
        <w:t>; 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negotiate in good faith with the </w:t>
      </w:r>
      <w:r>
        <w:rPr>
          <w:i/>
          <w:sz w:val="24"/>
        </w:rPr>
        <w:t>Connection Applicant </w:t>
      </w:r>
      <w:r>
        <w:rPr>
          <w:sz w:val="24"/>
        </w:rPr>
        <w:t>about any changes to the proposed </w:t>
      </w:r>
      <w:r>
        <w:rPr>
          <w:i/>
          <w:sz w:val="24"/>
        </w:rPr>
        <w:t>augmentation connection agreement </w:t>
      </w:r>
      <w:r>
        <w:rPr>
          <w:sz w:val="24"/>
        </w:rPr>
        <w:t>that are sought or suggested by the </w:t>
      </w:r>
      <w:r>
        <w:rPr>
          <w:i/>
          <w:sz w:val="24"/>
        </w:rPr>
        <w:t>Connection Applicant</w:t>
      </w:r>
      <w:r>
        <w:rPr>
          <w:sz w:val="24"/>
        </w:rPr>
        <w:t>;</w:t>
      </w:r>
      <w:r>
        <w:rPr>
          <w:spacing w:val="-6"/>
          <w:sz w:val="24"/>
        </w:rPr>
        <w:t> </w:t>
      </w:r>
      <w:r>
        <w:rPr>
          <w:sz w:val="24"/>
        </w:rPr>
        <w:t>and</w:t>
      </w:r>
    </w:p>
    <w:p>
      <w:pPr>
        <w:pStyle w:val="ListParagraph"/>
        <w:numPr>
          <w:ilvl w:val="4"/>
          <w:numId w:val="634"/>
        </w:numPr>
        <w:tabs>
          <w:tab w:pos="2486" w:val="left" w:leader="none"/>
        </w:tabs>
        <w:spacing w:line="240" w:lineRule="auto" w:before="120" w:after="0"/>
        <w:ind w:left="2486" w:right="415" w:hanging="567"/>
        <w:jc w:val="both"/>
        <w:rPr>
          <w:sz w:val="24"/>
        </w:rPr>
      </w:pPr>
      <w:r>
        <w:rPr>
          <w:sz w:val="24"/>
        </w:rPr>
        <w:t>enter into an </w:t>
      </w:r>
      <w:r>
        <w:rPr>
          <w:i/>
          <w:sz w:val="24"/>
        </w:rPr>
        <w:t>augmentation connection agreement </w:t>
      </w:r>
      <w:r>
        <w:rPr>
          <w:sz w:val="24"/>
        </w:rPr>
        <w:t>with the </w:t>
      </w:r>
      <w:r>
        <w:rPr>
          <w:i/>
          <w:sz w:val="24"/>
        </w:rPr>
        <w:t>Connection </w:t>
      </w:r>
      <w:r>
        <w:rPr>
          <w:i/>
          <w:sz w:val="24"/>
        </w:rPr>
        <w:t>Applicant</w:t>
      </w:r>
      <w:r>
        <w:rPr>
          <w:sz w:val="24"/>
        </w:rPr>
        <w:t>.</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The </w:t>
      </w:r>
      <w:r>
        <w:rPr>
          <w:i/>
          <w:sz w:val="24"/>
        </w:rPr>
        <w:t>Connection Applicant </w:t>
      </w:r>
      <w:r>
        <w:rPr>
          <w:sz w:val="24"/>
        </w:rPr>
        <w:t>must enter into an agreement with </w:t>
      </w:r>
      <w:r>
        <w:rPr>
          <w:i/>
          <w:sz w:val="24"/>
        </w:rPr>
        <w:t>AEMO </w:t>
      </w:r>
      <w:r>
        <w:rPr>
          <w:sz w:val="24"/>
        </w:rPr>
        <w:t>for the construction of the</w:t>
      </w:r>
      <w:r>
        <w:rPr>
          <w:spacing w:val="-1"/>
          <w:sz w:val="24"/>
        </w:rPr>
        <w:t> </w:t>
      </w:r>
      <w:r>
        <w:rPr>
          <w:i/>
          <w:sz w:val="24"/>
        </w:rPr>
        <w:t>augmentation</w:t>
      </w:r>
      <w:r>
        <w:rPr>
          <w:sz w:val="24"/>
        </w:rPr>
        <w:t>.</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9 Contractual requirements and prin" w:id="2318"/>
      <w:bookmarkEnd w:id="2318"/>
      <w:r>
        <w:rPr>
          <w:b w:val="0"/>
        </w:rPr>
      </w:r>
      <w:bookmarkStart w:name="_bookmark963" w:id="2319"/>
      <w:bookmarkEnd w:id="2319"/>
      <w:r>
        <w:rPr>
          <w:b w:val="0"/>
        </w:rPr>
      </w:r>
      <w:bookmarkStart w:name="_bookmark963" w:id="2320"/>
      <w:bookmarkEnd w:id="2320"/>
      <w:r>
        <w:rPr/>
        <w:t>Contractua</w:t>
      </w:r>
      <w:r>
        <w:rPr/>
        <w:t>l requirements and</w:t>
      </w:r>
      <w:r>
        <w:rPr>
          <w:spacing w:val="-5"/>
        </w:rPr>
        <w:t> </w:t>
      </w:r>
      <w:r>
        <w:rPr/>
        <w:t>principles</w:t>
      </w:r>
    </w:p>
    <w:p>
      <w:pPr>
        <w:pStyle w:val="ListParagraph"/>
        <w:numPr>
          <w:ilvl w:val="3"/>
          <w:numId w:val="634"/>
        </w:numPr>
        <w:tabs>
          <w:tab w:pos="1919" w:val="left" w:leader="none"/>
        </w:tabs>
        <w:spacing w:line="240" w:lineRule="auto" w:before="120" w:after="0"/>
        <w:ind w:left="1919" w:right="415" w:hanging="567"/>
        <w:jc w:val="both"/>
        <w:rPr>
          <w:sz w:val="24"/>
        </w:rPr>
      </w:pPr>
      <w:r>
        <w:rPr>
          <w:sz w:val="24"/>
        </w:rPr>
        <w:t>A </w:t>
      </w:r>
      <w:r>
        <w:rPr>
          <w:i/>
          <w:sz w:val="24"/>
        </w:rPr>
        <w:t>network agreement </w:t>
      </w:r>
      <w:r>
        <w:rPr>
          <w:sz w:val="24"/>
        </w:rPr>
        <w:t>or an </w:t>
      </w:r>
      <w:r>
        <w:rPr>
          <w:i/>
          <w:sz w:val="24"/>
        </w:rPr>
        <w:t>augmentation connection agreement </w:t>
      </w:r>
      <w:r>
        <w:rPr>
          <w:sz w:val="24"/>
        </w:rPr>
        <w:t>related to </w:t>
      </w:r>
      <w:r>
        <w:rPr>
          <w:spacing w:val="-12"/>
          <w:sz w:val="24"/>
        </w:rPr>
        <w:t>a </w:t>
      </w:r>
      <w:r>
        <w:rPr>
          <w:i/>
          <w:sz w:val="24"/>
        </w:rPr>
        <w:t>contestable augmentation </w:t>
      </w:r>
      <w:r>
        <w:rPr>
          <w:sz w:val="24"/>
        </w:rPr>
        <w:t>should be consistent with the requirements and principles set out in Schedule 8.11 to this</w:t>
      </w:r>
      <w:r>
        <w:rPr>
          <w:spacing w:val="-4"/>
          <w:sz w:val="24"/>
        </w:rPr>
        <w:t> </w:t>
      </w:r>
      <w:r>
        <w:rPr>
          <w:sz w:val="24"/>
        </w:rPr>
        <w:t>Chapter.</w:t>
      </w:r>
    </w:p>
    <w:p>
      <w:pPr>
        <w:pStyle w:val="ListParagraph"/>
        <w:numPr>
          <w:ilvl w:val="3"/>
          <w:numId w:val="634"/>
        </w:numPr>
        <w:tabs>
          <w:tab w:pos="1919" w:val="left" w:leader="none"/>
        </w:tabs>
        <w:spacing w:line="240" w:lineRule="auto" w:before="120" w:after="0"/>
        <w:ind w:left="1919" w:right="414" w:hanging="567"/>
        <w:jc w:val="both"/>
        <w:rPr>
          <w:sz w:val="24"/>
        </w:rPr>
      </w:pPr>
      <w:r>
        <w:rPr>
          <w:sz w:val="24"/>
        </w:rPr>
        <w:t>If a person submits a tender for a </w:t>
      </w:r>
      <w:r>
        <w:rPr>
          <w:i/>
          <w:sz w:val="24"/>
        </w:rPr>
        <w:t>contestable augmentation </w:t>
      </w:r>
      <w:r>
        <w:rPr>
          <w:sz w:val="24"/>
        </w:rPr>
        <w:t>proposing a </w:t>
      </w:r>
      <w:r>
        <w:rPr>
          <w:i/>
          <w:sz w:val="24"/>
        </w:rPr>
        <w:t>network agreement </w:t>
      </w:r>
      <w:r>
        <w:rPr>
          <w:sz w:val="24"/>
        </w:rPr>
        <w:t>or an </w:t>
      </w:r>
      <w:r>
        <w:rPr>
          <w:i/>
          <w:sz w:val="24"/>
        </w:rPr>
        <w:t>augmentation connection agreement </w:t>
      </w:r>
      <w:r>
        <w:rPr>
          <w:sz w:val="24"/>
        </w:rPr>
        <w:t>that is not consistent with the requirements and principles set out in Schedule 8.11 to this Chapter, the person must, in responding to the invitation to tender, include a statement drawing </w:t>
      </w:r>
      <w:r>
        <w:rPr>
          <w:i/>
          <w:sz w:val="24"/>
        </w:rPr>
        <w:t>AEMO's </w:t>
      </w:r>
      <w:r>
        <w:rPr>
          <w:sz w:val="24"/>
        </w:rPr>
        <w:t>attention to the inconsistency</w:t>
      </w:r>
      <w:r>
        <w:rPr>
          <w:spacing w:val="32"/>
          <w:sz w:val="24"/>
        </w:rPr>
        <w:t> </w:t>
      </w:r>
      <w:r>
        <w:rPr>
          <w:sz w:val="24"/>
        </w:rPr>
        <w:t>and explaining the reasons for</w:t>
      </w:r>
      <w:r>
        <w:rPr>
          <w:spacing w:val="-1"/>
          <w:sz w:val="24"/>
        </w:rPr>
        <w:t> </w:t>
      </w:r>
      <w:r>
        <w:rPr>
          <w:sz w:val="24"/>
        </w:rPr>
        <w:t>it.</w:t>
      </w:r>
    </w:p>
    <w:p>
      <w:pPr>
        <w:pStyle w:val="ListParagraph"/>
        <w:numPr>
          <w:ilvl w:val="3"/>
          <w:numId w:val="634"/>
        </w:numPr>
        <w:tabs>
          <w:tab w:pos="1919" w:val="left" w:leader="none"/>
        </w:tabs>
        <w:spacing w:line="240" w:lineRule="auto" w:before="120" w:after="0"/>
        <w:ind w:left="1918" w:right="0" w:hanging="567"/>
        <w:jc w:val="both"/>
        <w:rPr>
          <w:sz w:val="24"/>
        </w:rPr>
      </w:pPr>
      <w:r>
        <w:rPr>
          <w:sz w:val="24"/>
        </w:rPr>
        <w:t>Despite the provisions of this clause and Schedule</w:t>
      </w:r>
      <w:r>
        <w:rPr>
          <w:spacing w:val="-3"/>
          <w:sz w:val="24"/>
        </w:rPr>
        <w:t> </w:t>
      </w:r>
      <w:r>
        <w:rPr>
          <w:sz w:val="24"/>
        </w:rPr>
        <w:t>8.11:</w:t>
      </w:r>
    </w:p>
    <w:p>
      <w:pPr>
        <w:pStyle w:val="ListParagraph"/>
        <w:numPr>
          <w:ilvl w:val="4"/>
          <w:numId w:val="634"/>
        </w:numPr>
        <w:tabs>
          <w:tab w:pos="2486" w:val="left" w:leader="none"/>
        </w:tabs>
        <w:spacing w:line="240" w:lineRule="auto" w:before="120" w:after="0"/>
        <w:ind w:left="2486" w:right="415" w:hanging="567"/>
        <w:jc w:val="both"/>
        <w:rPr>
          <w:sz w:val="24"/>
        </w:rPr>
      </w:pPr>
      <w:r>
        <w:rPr>
          <w:i/>
          <w:sz w:val="24"/>
        </w:rPr>
        <w:t>AEMO </w:t>
      </w:r>
      <w:r>
        <w:rPr>
          <w:sz w:val="24"/>
        </w:rPr>
        <w:t>and the other party or parties to a </w:t>
      </w:r>
      <w:r>
        <w:rPr>
          <w:i/>
          <w:sz w:val="24"/>
        </w:rPr>
        <w:t>network agreement </w:t>
      </w:r>
      <w:r>
        <w:rPr>
          <w:spacing w:val="-6"/>
          <w:sz w:val="24"/>
        </w:rPr>
        <w:t>may </w:t>
      </w:r>
      <w:r>
        <w:rPr>
          <w:sz w:val="24"/>
        </w:rPr>
        <w:t>agree terms and conditions of an amendment that differ from the requirements and principles set out in Schedule 8.11;</w:t>
      </w:r>
      <w:r>
        <w:rPr>
          <w:spacing w:val="-4"/>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634"/>
        </w:numPr>
        <w:tabs>
          <w:tab w:pos="2486" w:val="left" w:leader="none"/>
        </w:tabs>
        <w:spacing w:line="240" w:lineRule="auto" w:before="83" w:after="0"/>
        <w:ind w:left="2486" w:right="414" w:hanging="567"/>
        <w:jc w:val="both"/>
        <w:rPr>
          <w:sz w:val="24"/>
        </w:rPr>
      </w:pPr>
      <w:r>
        <w:rPr>
          <w:sz w:val="24"/>
        </w:rPr>
        <w:t>the parties to an </w:t>
      </w:r>
      <w:r>
        <w:rPr>
          <w:i/>
          <w:sz w:val="24"/>
        </w:rPr>
        <w:t>augmentation connection agreement </w:t>
      </w:r>
      <w:r>
        <w:rPr>
          <w:sz w:val="24"/>
        </w:rPr>
        <w:t>may, with </w:t>
      </w:r>
      <w:r>
        <w:rPr>
          <w:i/>
          <w:sz w:val="24"/>
        </w:rPr>
        <w:t>AEMO's </w:t>
      </w:r>
      <w:r>
        <w:rPr>
          <w:sz w:val="24"/>
        </w:rPr>
        <w:t>consent, agree terms and conditions that differ from the requirements and principles set out in Schedule</w:t>
      </w:r>
      <w:r>
        <w:rPr>
          <w:spacing w:val="-3"/>
          <w:sz w:val="24"/>
        </w:rPr>
        <w:t> </w:t>
      </w:r>
      <w:r>
        <w:rPr>
          <w:sz w:val="24"/>
        </w:rPr>
        <w:t>8.11.</w:t>
      </w:r>
    </w:p>
    <w:p>
      <w:pPr>
        <w:pStyle w:val="BodyText"/>
        <w:spacing w:before="10"/>
        <w:ind w:firstLine="0"/>
        <w:jc w:val="left"/>
        <w:rPr>
          <w:sz w:val="20"/>
        </w:rPr>
      </w:pPr>
    </w:p>
    <w:p>
      <w:pPr>
        <w:pStyle w:val="Heading4"/>
        <w:numPr>
          <w:ilvl w:val="2"/>
          <w:numId w:val="634"/>
        </w:numPr>
        <w:tabs>
          <w:tab w:pos="1351" w:val="left" w:leader="none"/>
          <w:tab w:pos="1352" w:val="left" w:leader="none"/>
        </w:tabs>
        <w:spacing w:line="240" w:lineRule="auto" w:before="0" w:after="0"/>
        <w:ind w:left="1351" w:right="0" w:hanging="1134"/>
        <w:jc w:val="left"/>
      </w:pPr>
      <w:bookmarkStart w:name="8.11.10 Annual planning review" w:id="2321"/>
      <w:bookmarkEnd w:id="2321"/>
      <w:r>
        <w:rPr>
          <w:b w:val="0"/>
        </w:rPr>
      </w:r>
      <w:bookmarkStart w:name="_bookmark964" w:id="2322"/>
      <w:bookmarkEnd w:id="2322"/>
      <w:r>
        <w:rPr>
          <w:b w:val="0"/>
        </w:rPr>
      </w:r>
      <w:bookmarkStart w:name="_bookmark964" w:id="2323"/>
      <w:bookmarkEnd w:id="2323"/>
      <w:r>
        <w:rPr/>
        <w:t>Annua</w:t>
      </w:r>
      <w:r>
        <w:rPr/>
        <w:t>l planning</w:t>
      </w:r>
      <w:r>
        <w:rPr>
          <w:spacing w:val="-3"/>
        </w:rPr>
        <w:t> </w:t>
      </w:r>
      <w:r>
        <w:rPr/>
        <w:t>review</w:t>
      </w:r>
    </w:p>
    <w:p>
      <w:pPr>
        <w:pStyle w:val="BodyText"/>
        <w:ind w:left="1352" w:firstLine="0"/>
        <w:jc w:val="left"/>
      </w:pPr>
      <w:r>
        <w:rPr>
          <w:i/>
        </w:rPr>
        <w:t>AEMO </w:t>
      </w:r>
      <w:r>
        <w:rPr/>
        <w:t>must in its annual planning review indicate:</w:t>
      </w:r>
    </w:p>
    <w:p>
      <w:pPr>
        <w:pStyle w:val="ListParagraph"/>
        <w:numPr>
          <w:ilvl w:val="3"/>
          <w:numId w:val="634"/>
        </w:numPr>
        <w:tabs>
          <w:tab w:pos="1918" w:val="left" w:leader="none"/>
          <w:tab w:pos="1919" w:val="left" w:leader="none"/>
        </w:tabs>
        <w:spacing w:line="240" w:lineRule="auto" w:before="120" w:after="0"/>
        <w:ind w:left="1919" w:right="417" w:hanging="567"/>
        <w:jc w:val="left"/>
        <w:rPr>
          <w:sz w:val="24"/>
        </w:rPr>
      </w:pPr>
      <w:r>
        <w:rPr>
          <w:sz w:val="24"/>
        </w:rPr>
        <w:t>which </w:t>
      </w:r>
      <w:r>
        <w:rPr>
          <w:i/>
          <w:sz w:val="24"/>
        </w:rPr>
        <w:t>augmentations </w:t>
      </w:r>
      <w:r>
        <w:rPr>
          <w:sz w:val="24"/>
        </w:rPr>
        <w:t>commenced in the previous year are </w:t>
      </w:r>
      <w:r>
        <w:rPr>
          <w:i/>
          <w:spacing w:val="-3"/>
          <w:sz w:val="24"/>
        </w:rPr>
        <w:t>contestable </w:t>
      </w:r>
      <w:r>
        <w:rPr>
          <w:i/>
          <w:sz w:val="24"/>
        </w:rPr>
        <w:t>augmentations</w:t>
      </w:r>
      <w:r>
        <w:rPr>
          <w:sz w:val="24"/>
        </w:rPr>
        <w:t>;</w:t>
      </w:r>
      <w:r>
        <w:rPr>
          <w:spacing w:val="-1"/>
          <w:sz w:val="24"/>
        </w:rPr>
        <w:t> </w:t>
      </w:r>
      <w:r>
        <w:rPr>
          <w:sz w:val="24"/>
        </w:rPr>
        <w:t>and</w:t>
      </w:r>
    </w:p>
    <w:p>
      <w:pPr>
        <w:pStyle w:val="ListParagraph"/>
        <w:numPr>
          <w:ilvl w:val="3"/>
          <w:numId w:val="634"/>
        </w:numPr>
        <w:tabs>
          <w:tab w:pos="1918" w:val="left" w:leader="none"/>
          <w:tab w:pos="1919" w:val="left" w:leader="none"/>
        </w:tabs>
        <w:spacing w:line="240" w:lineRule="auto" w:before="120" w:after="0"/>
        <w:ind w:left="1919" w:right="415" w:hanging="567"/>
        <w:jc w:val="left"/>
        <w:rPr>
          <w:sz w:val="24"/>
        </w:rPr>
      </w:pPr>
      <w:r>
        <w:rPr>
          <w:sz w:val="24"/>
        </w:rPr>
        <w:t>which </w:t>
      </w:r>
      <w:r>
        <w:rPr>
          <w:i/>
          <w:sz w:val="24"/>
        </w:rPr>
        <w:t>augmentations </w:t>
      </w:r>
      <w:r>
        <w:rPr>
          <w:sz w:val="24"/>
        </w:rPr>
        <w:t>planned to commence in the present or future years are likely to be </w:t>
      </w:r>
      <w:r>
        <w:rPr>
          <w:i/>
          <w:sz w:val="24"/>
        </w:rPr>
        <w:t>contestable</w:t>
      </w:r>
      <w:r>
        <w:rPr>
          <w:i/>
          <w:spacing w:val="-1"/>
          <w:sz w:val="24"/>
        </w:rPr>
        <w:t> </w:t>
      </w:r>
      <w:r>
        <w:rPr>
          <w:i/>
          <w:sz w:val="24"/>
        </w:rPr>
        <w:t>augmentations</w:t>
      </w:r>
      <w:r>
        <w:rPr>
          <w:sz w:val="24"/>
        </w:rPr>
        <w:t>.</w:t>
      </w:r>
    </w:p>
    <w:p>
      <w:pPr>
        <w:pStyle w:val="BodyText"/>
        <w:spacing w:before="10"/>
        <w:ind w:firstLine="0"/>
        <w:jc w:val="left"/>
        <w:rPr>
          <w:sz w:val="20"/>
        </w:rPr>
      </w:pPr>
    </w:p>
    <w:p>
      <w:pPr>
        <w:pStyle w:val="Heading2"/>
        <w:tabs>
          <w:tab w:pos="2485" w:val="left" w:leader="none"/>
        </w:tabs>
        <w:ind w:left="2486" w:right="482" w:hanging="2268"/>
      </w:pPr>
      <w:bookmarkStart w:name="Schedule 8.11 Principles to be reflected" w:id="2324"/>
      <w:bookmarkEnd w:id="2324"/>
      <w:r>
        <w:rPr>
          <w:b w:val="0"/>
        </w:rPr>
      </w:r>
      <w:bookmarkStart w:name="_bookmark965" w:id="2325"/>
      <w:bookmarkEnd w:id="2325"/>
      <w:r>
        <w:rPr>
          <w:b w:val="0"/>
        </w:rPr>
      </w:r>
      <w:r>
        <w:rPr/>
        <w:t>Schedule</w:t>
      </w:r>
      <w:r>
        <w:rPr>
          <w:spacing w:val="-1"/>
        </w:rPr>
        <w:t> </w:t>
      </w:r>
      <w:r>
        <w:rPr/>
        <w:t>8.11</w:t>
        <w:tab/>
        <w:t>Principles to be reflected in agreements relating to contestable</w:t>
      </w:r>
      <w:r>
        <w:rPr>
          <w:spacing w:val="-2"/>
        </w:rPr>
        <w:t> </w:t>
      </w:r>
      <w:r>
        <w:rPr/>
        <w:t>augmentations</w:t>
      </w:r>
    </w:p>
    <w:p>
      <w:pPr>
        <w:pStyle w:val="Heading4"/>
        <w:tabs>
          <w:tab w:pos="1351" w:val="left" w:leader="none"/>
        </w:tabs>
        <w:spacing w:before="240"/>
        <w:ind w:left="218" w:firstLine="0"/>
      </w:pPr>
      <w:bookmarkStart w:name="S8.11.1 Risk allocation" w:id="2326"/>
      <w:bookmarkEnd w:id="2326"/>
      <w:r>
        <w:rPr>
          <w:b w:val="0"/>
        </w:rPr>
      </w:r>
      <w:bookmarkStart w:name="_bookmark966" w:id="2327"/>
      <w:bookmarkEnd w:id="2327"/>
      <w:r>
        <w:rPr>
          <w:b w:val="0"/>
        </w:rPr>
      </w:r>
      <w:r>
        <w:rPr/>
        <w:t>S8.11.1</w:t>
        <w:tab/>
        <w:t>Risk</w:t>
      </w:r>
      <w:r>
        <w:rPr>
          <w:spacing w:val="-2"/>
        </w:rPr>
        <w:t> </w:t>
      </w:r>
      <w:r>
        <w:rPr/>
        <w:t>allocation</w:t>
      </w:r>
    </w:p>
    <w:p>
      <w:pPr>
        <w:pStyle w:val="ListParagraph"/>
        <w:numPr>
          <w:ilvl w:val="0"/>
          <w:numId w:val="642"/>
        </w:numPr>
        <w:tabs>
          <w:tab w:pos="1919" w:val="left" w:leader="none"/>
        </w:tabs>
        <w:spacing w:line="240" w:lineRule="auto" w:before="120" w:after="0"/>
        <w:ind w:left="1918" w:right="0" w:hanging="567"/>
        <w:jc w:val="both"/>
        <w:rPr>
          <w:sz w:val="24"/>
        </w:rPr>
      </w:pPr>
      <w:r>
        <w:rPr>
          <w:sz w:val="24"/>
        </w:rPr>
        <w:t>This clause sets out the risk allocation</w:t>
      </w:r>
      <w:r>
        <w:rPr>
          <w:spacing w:val="-2"/>
          <w:sz w:val="24"/>
        </w:rPr>
        <w:t> </w:t>
      </w:r>
      <w:r>
        <w:rPr>
          <w:sz w:val="24"/>
        </w:rPr>
        <w:t>principles.</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Site/Construction</w:t>
      </w:r>
      <w:r>
        <w:rPr>
          <w:rFonts w:ascii="Times New Roman"/>
          <w:spacing w:val="-1"/>
        </w:rPr>
        <w:t> </w:t>
      </w:r>
      <w:r>
        <w:rPr>
          <w:rFonts w:ascii="Times New Roman"/>
        </w:rPr>
        <w:t>Risk</w:t>
      </w:r>
    </w:p>
    <w:p>
      <w:pPr>
        <w:pStyle w:val="BodyText"/>
        <w:ind w:left="1919" w:right="415" w:firstLine="0"/>
      </w:pPr>
      <w:r>
        <w:rPr/>
        <w:t>Site/construction risk is the risk that unanticipated difficulties or liabilities associated with the site or the construction work will adversely affect the </w:t>
      </w:r>
      <w:r>
        <w:rPr>
          <w:i/>
        </w:rPr>
        <w:t>contestable </w:t>
      </w:r>
      <w:r>
        <w:rPr/>
        <w:t>provider's ability to deliver network services at the price agreed with </w:t>
      </w:r>
      <w:r>
        <w:rPr>
          <w:i/>
        </w:rPr>
        <w:t>AEMO</w:t>
      </w:r>
      <w:r>
        <w:rPr/>
        <w:t>. This risk comprises (for example) the risk of contamination of the land and the risk that unforeseen difficulties (such as difficulties in sourcing necessary materials) will impede the construction of the </w:t>
      </w:r>
      <w:r>
        <w:rPr>
          <w:i/>
        </w:rPr>
        <w:t>augmentation</w:t>
      </w:r>
      <w:r>
        <w:rPr/>
        <w:t>.</w:t>
      </w:r>
    </w:p>
    <w:p>
      <w:pPr>
        <w:pStyle w:val="BodyText"/>
        <w:ind w:left="1919" w:firstLine="0"/>
      </w:pPr>
      <w:r>
        <w:rPr/>
        <w:t>Site/construction risk is allocated to the </w:t>
      </w:r>
      <w:r>
        <w:rPr>
          <w:i/>
        </w:rPr>
        <w:t>contestable </w:t>
      </w:r>
      <w:r>
        <w:rPr/>
        <w:t>provider.</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Statutory approval</w:t>
      </w:r>
      <w:r>
        <w:rPr>
          <w:rFonts w:ascii="Times New Roman"/>
          <w:spacing w:val="-1"/>
        </w:rPr>
        <w:t> </w:t>
      </w:r>
      <w:r>
        <w:rPr>
          <w:rFonts w:ascii="Times New Roman"/>
        </w:rPr>
        <w:t>risk</w:t>
      </w:r>
    </w:p>
    <w:p>
      <w:pPr>
        <w:pStyle w:val="BodyText"/>
        <w:ind w:left="1919" w:right="415" w:firstLine="0"/>
      </w:pPr>
      <w:r>
        <w:rPr/>
        <w:t>This is the risk that a necessary planning, environmental, building or other approval will be refused or granted on conditions adversely affecting the costs of constructing or operating the </w:t>
      </w:r>
      <w:r>
        <w:rPr>
          <w:i/>
        </w:rPr>
        <w:t>contestable augmentation</w:t>
      </w:r>
      <w:r>
        <w:rPr/>
        <w:t>.</w:t>
      </w:r>
    </w:p>
    <w:p>
      <w:pPr>
        <w:spacing w:before="120"/>
        <w:ind w:left="1919" w:right="0" w:firstLine="0"/>
        <w:jc w:val="both"/>
        <w:rPr>
          <w:sz w:val="24"/>
        </w:rPr>
      </w:pPr>
      <w:r>
        <w:rPr>
          <w:sz w:val="24"/>
        </w:rPr>
        <w:t>This risk is allocated to the </w:t>
      </w:r>
      <w:r>
        <w:rPr>
          <w:i/>
          <w:sz w:val="24"/>
        </w:rPr>
        <w:t>contestable </w:t>
      </w:r>
      <w:r>
        <w:rPr>
          <w:sz w:val="24"/>
        </w:rPr>
        <w:t>provider.</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Native title</w:t>
      </w:r>
      <w:r>
        <w:rPr>
          <w:rFonts w:ascii="Times New Roman"/>
          <w:spacing w:val="-1"/>
        </w:rPr>
        <w:t> </w:t>
      </w:r>
      <w:r>
        <w:rPr>
          <w:rFonts w:ascii="Times New Roman"/>
        </w:rPr>
        <w:t>risk</w:t>
      </w:r>
    </w:p>
    <w:p>
      <w:pPr>
        <w:pStyle w:val="BodyText"/>
        <w:ind w:left="1919" w:right="415" w:firstLine="0"/>
      </w:pPr>
      <w:r>
        <w:rPr/>
        <w:t>This is the risk that actual or potential native title claims will adversely affect the cost of the</w:t>
      </w:r>
      <w:r>
        <w:rPr>
          <w:spacing w:val="-2"/>
        </w:rPr>
        <w:t> </w:t>
      </w:r>
      <w:r>
        <w:rPr>
          <w:i/>
        </w:rPr>
        <w:t>augmentation</w:t>
      </w:r>
      <w:r>
        <w:rPr/>
        <w:t>.</w:t>
      </w:r>
    </w:p>
    <w:p>
      <w:pPr>
        <w:spacing w:before="120"/>
        <w:ind w:left="1919" w:right="0" w:firstLine="0"/>
        <w:jc w:val="both"/>
        <w:rPr>
          <w:sz w:val="24"/>
        </w:rPr>
      </w:pPr>
      <w:r>
        <w:rPr>
          <w:sz w:val="24"/>
        </w:rPr>
        <w:t>This risk is allocated to the </w:t>
      </w:r>
      <w:r>
        <w:rPr>
          <w:i/>
          <w:sz w:val="24"/>
        </w:rPr>
        <w:t>contestable </w:t>
      </w:r>
      <w:r>
        <w:rPr>
          <w:sz w:val="24"/>
        </w:rPr>
        <w:t>provider.</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Output specification</w:t>
      </w:r>
      <w:r>
        <w:rPr>
          <w:rFonts w:ascii="Times New Roman"/>
          <w:spacing w:val="-2"/>
        </w:rPr>
        <w:t> </w:t>
      </w:r>
      <w:r>
        <w:rPr>
          <w:rFonts w:ascii="Times New Roman"/>
        </w:rPr>
        <w:t>risk</w:t>
      </w:r>
    </w:p>
    <w:p>
      <w:pPr>
        <w:pStyle w:val="BodyText"/>
        <w:ind w:left="1919" w:right="414" w:firstLine="0"/>
      </w:pPr>
      <w:r>
        <w:rPr/>
        <w:t>This is the risk that inadequacies in the output specification will cause or contribute to design inadequacies. This risk is allocated to </w:t>
      </w:r>
      <w:r>
        <w:rPr>
          <w:i/>
        </w:rPr>
        <w:t>AEMO </w:t>
      </w:r>
      <w:r>
        <w:rPr/>
        <w:t>to the extent the inadequacies in the output specification are attributable to </w:t>
      </w:r>
      <w:r>
        <w:rPr>
          <w:i/>
        </w:rPr>
        <w:t>AEMO</w:t>
      </w:r>
      <w:r>
        <w:rPr/>
        <w:t>. To the extent the inadequacies are attributable to incorrect information provided by the incumbent </w:t>
      </w:r>
      <w:r>
        <w:rPr>
          <w:i/>
        </w:rPr>
        <w:t>declared transmission system operator</w:t>
      </w:r>
      <w:r>
        <w:rPr/>
        <w:t>, the risk is allocated to the</w:t>
      </w:r>
      <w:r>
        <w:rPr>
          <w:spacing w:val="-2"/>
        </w:rPr>
        <w:t> </w:t>
      </w:r>
      <w:r>
        <w:rPr/>
        <w:t>operator.</w:t>
      </w:r>
    </w:p>
    <w:p>
      <w:pPr>
        <w:pStyle w:val="Heading4"/>
        <w:numPr>
          <w:ilvl w:val="0"/>
          <w:numId w:val="642"/>
        </w:numPr>
        <w:tabs>
          <w:tab w:pos="1920" w:val="left" w:leader="none"/>
        </w:tabs>
        <w:spacing w:line="240" w:lineRule="auto" w:before="120" w:after="0"/>
        <w:ind w:left="1919" w:right="0" w:hanging="568"/>
        <w:jc w:val="both"/>
        <w:rPr>
          <w:rFonts w:ascii="Times New Roman"/>
        </w:rPr>
      </w:pPr>
      <w:r>
        <w:rPr>
          <w:rFonts w:ascii="Times New Roman"/>
        </w:rPr>
        <w:t>Design, construction and commissioning</w:t>
      </w:r>
      <w:r>
        <w:rPr>
          <w:rFonts w:ascii="Times New Roman"/>
          <w:spacing w:val="-2"/>
        </w:rPr>
        <w:t> </w:t>
      </w:r>
      <w:r>
        <w:rPr>
          <w:rFonts w:ascii="Times New Roman"/>
        </w:rPr>
        <w:t>risk</w:t>
      </w:r>
    </w:p>
    <w:p>
      <w:pPr>
        <w:spacing w:after="0" w:line="240" w:lineRule="auto"/>
        <w:jc w:val="both"/>
        <w:rPr>
          <w:rFonts w:ascii="Times New Roman"/>
        </w:rPr>
        <w:sectPr>
          <w:pgSz w:w="11910" w:h="16840"/>
          <w:pgMar w:header="686" w:footer="637" w:top="1320" w:bottom="820" w:left="1200" w:right="1000"/>
        </w:sectPr>
      </w:pPr>
    </w:p>
    <w:p>
      <w:pPr>
        <w:pStyle w:val="BodyText"/>
        <w:spacing w:before="83"/>
        <w:ind w:left="1919" w:right="414" w:firstLine="0"/>
      </w:pPr>
      <w:r>
        <w:rPr/>
        <w:t>This is the risk that an unanticipated increase in the costs of the </w:t>
      </w:r>
      <w:r>
        <w:rPr>
          <w:i/>
        </w:rPr>
        <w:t>augmentation </w:t>
      </w:r>
      <w:r>
        <w:rPr/>
        <w:t>will have a significant adverse impact on the viability or profitability of the </w:t>
      </w:r>
      <w:r>
        <w:rPr>
          <w:i/>
        </w:rPr>
        <w:t>contestable augmentation</w:t>
      </w:r>
      <w:r>
        <w:rPr/>
        <w:t>.</w:t>
      </w:r>
    </w:p>
    <w:p>
      <w:pPr>
        <w:spacing w:before="120"/>
        <w:ind w:left="1919" w:right="0" w:firstLine="0"/>
        <w:jc w:val="both"/>
        <w:rPr>
          <w:sz w:val="24"/>
        </w:rPr>
      </w:pPr>
      <w:r>
        <w:rPr>
          <w:sz w:val="24"/>
        </w:rPr>
        <w:t>This risk is allocated to the </w:t>
      </w:r>
      <w:r>
        <w:rPr>
          <w:i/>
          <w:sz w:val="24"/>
        </w:rPr>
        <w:t>contestable </w:t>
      </w:r>
      <w:r>
        <w:rPr>
          <w:sz w:val="24"/>
        </w:rPr>
        <w:t>provider.</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Operating risk</w:t>
      </w:r>
    </w:p>
    <w:p>
      <w:pPr>
        <w:pStyle w:val="BodyText"/>
        <w:ind w:left="1919" w:right="415" w:firstLine="0"/>
      </w:pPr>
      <w:r>
        <w:rPr/>
        <w:t>This is the risk that the </w:t>
      </w:r>
      <w:r>
        <w:rPr>
          <w:i/>
        </w:rPr>
        <w:t>contestable </w:t>
      </w:r>
      <w:r>
        <w:rPr/>
        <w:t>provider will fail, for a reason other than force majeure or inadequate financial resources, to deliver the electricity network services purchased by </w:t>
      </w:r>
      <w:r>
        <w:rPr>
          <w:i/>
        </w:rPr>
        <w:t>AEMO</w:t>
      </w:r>
      <w:r>
        <w:rPr/>
        <w:t>. It includes (for example) the risk of systems failure.</w:t>
      </w:r>
    </w:p>
    <w:p>
      <w:pPr>
        <w:spacing w:before="120"/>
        <w:ind w:left="1919" w:right="0" w:firstLine="0"/>
        <w:jc w:val="both"/>
        <w:rPr>
          <w:sz w:val="24"/>
        </w:rPr>
      </w:pPr>
      <w:r>
        <w:rPr>
          <w:sz w:val="24"/>
        </w:rPr>
        <w:t>This risk is allocated to the </w:t>
      </w:r>
      <w:r>
        <w:rPr>
          <w:i/>
          <w:sz w:val="24"/>
        </w:rPr>
        <w:t>contestable</w:t>
      </w:r>
      <w:r>
        <w:rPr>
          <w:i/>
          <w:spacing w:val="-3"/>
          <w:sz w:val="24"/>
        </w:rPr>
        <w:t> </w:t>
      </w:r>
      <w:r>
        <w:rPr>
          <w:sz w:val="24"/>
        </w:rPr>
        <w:t>provider.</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Network and interface</w:t>
      </w:r>
      <w:r>
        <w:rPr>
          <w:rFonts w:ascii="Times New Roman"/>
          <w:spacing w:val="-1"/>
        </w:rPr>
        <w:t> </w:t>
      </w:r>
      <w:r>
        <w:rPr>
          <w:rFonts w:ascii="Times New Roman"/>
        </w:rPr>
        <w:t>risk</w:t>
      </w:r>
    </w:p>
    <w:p>
      <w:pPr>
        <w:pStyle w:val="BodyText"/>
        <w:ind w:left="1919" w:right="414" w:firstLine="0"/>
      </w:pPr>
      <w:r>
        <w:rPr/>
        <w:t>This is the risk that the interface between the </w:t>
      </w:r>
      <w:r>
        <w:rPr>
          <w:i/>
        </w:rPr>
        <w:t>augmentation </w:t>
      </w:r>
      <w:r>
        <w:rPr/>
        <w:t>and the </w:t>
      </w:r>
      <w:r>
        <w:rPr>
          <w:i/>
        </w:rPr>
        <w:t>declared </w:t>
      </w:r>
      <w:r>
        <w:rPr>
          <w:i/>
        </w:rPr>
        <w:t>transmission system </w:t>
      </w:r>
      <w:r>
        <w:rPr/>
        <w:t>will not be constructed or operated in accordance with the tender specification or to a satisfactory standard with the result that the safety, reliability or security of the supply of electricity or the national electricity system (or both) will be adversely affected.</w:t>
      </w:r>
    </w:p>
    <w:p>
      <w:pPr>
        <w:pStyle w:val="BodyText"/>
        <w:ind w:left="1919" w:right="414" w:firstLine="0"/>
      </w:pPr>
      <w:r>
        <w:rPr/>
        <w:t>This risk is allocated to the party whose system affects the other in an adverse way. If, however, the adverse result is directly caused by the provision of incorrect information, the risk is allocated to the party that provided the incorrect information.</w:t>
      </w:r>
    </w:p>
    <w:p>
      <w:pPr>
        <w:pStyle w:val="Heading4"/>
        <w:numPr>
          <w:ilvl w:val="0"/>
          <w:numId w:val="642"/>
        </w:numPr>
        <w:tabs>
          <w:tab w:pos="1919" w:val="left" w:leader="none"/>
        </w:tabs>
        <w:spacing w:line="240" w:lineRule="auto" w:before="120" w:after="0"/>
        <w:ind w:left="1918" w:right="0" w:hanging="567"/>
        <w:jc w:val="both"/>
        <w:rPr>
          <w:rFonts w:ascii="Times New Roman"/>
        </w:rPr>
      </w:pPr>
      <w:r>
        <w:rPr>
          <w:rFonts w:ascii="Times New Roman"/>
        </w:rPr>
        <w:t>Industrial relations</w:t>
      </w:r>
      <w:r>
        <w:rPr>
          <w:rFonts w:ascii="Times New Roman"/>
          <w:spacing w:val="-2"/>
        </w:rPr>
        <w:t> </w:t>
      </w:r>
      <w:r>
        <w:rPr>
          <w:rFonts w:ascii="Times New Roman"/>
        </w:rPr>
        <w:t>risk</w:t>
      </w:r>
    </w:p>
    <w:p>
      <w:pPr>
        <w:pStyle w:val="BodyText"/>
        <w:ind w:left="1919" w:right="414" w:firstLine="0"/>
      </w:pPr>
      <w:r>
        <w:rPr/>
        <w:t>This is the risk that industrial action will adversely affect the construction of the </w:t>
      </w:r>
      <w:r>
        <w:rPr>
          <w:i/>
        </w:rPr>
        <w:t>augmentation </w:t>
      </w:r>
      <w:r>
        <w:rPr/>
        <w:t>or the delivery of electricity network services by means of the </w:t>
      </w:r>
      <w:r>
        <w:rPr>
          <w:i/>
        </w:rPr>
        <w:t>augmentation</w:t>
      </w:r>
      <w:r>
        <w:rPr/>
        <w:t>.</w:t>
      </w:r>
    </w:p>
    <w:p>
      <w:pPr>
        <w:spacing w:before="120"/>
        <w:ind w:left="1919" w:right="415" w:firstLine="0"/>
        <w:jc w:val="both"/>
        <w:rPr>
          <w:sz w:val="24"/>
        </w:rPr>
      </w:pPr>
      <w:r>
        <w:rPr>
          <w:sz w:val="24"/>
        </w:rPr>
        <w:t>This risk is allocated to the </w:t>
      </w:r>
      <w:r>
        <w:rPr>
          <w:i/>
          <w:sz w:val="24"/>
        </w:rPr>
        <w:t>contestable </w:t>
      </w:r>
      <w:r>
        <w:rPr>
          <w:sz w:val="24"/>
        </w:rPr>
        <w:t>provider. If, however, industrial action directed at the incumbent </w:t>
      </w:r>
      <w:r>
        <w:rPr>
          <w:i/>
          <w:sz w:val="24"/>
        </w:rPr>
        <w:t>declared transmission system operator </w:t>
      </w:r>
      <w:r>
        <w:rPr>
          <w:sz w:val="24"/>
        </w:rPr>
        <w:t>causes the adverse effect, the risk is allocated to the operator.</w:t>
      </w:r>
    </w:p>
    <w:p>
      <w:pPr>
        <w:pStyle w:val="BodyText"/>
        <w:spacing w:before="10"/>
        <w:ind w:firstLine="0"/>
        <w:jc w:val="left"/>
        <w:rPr>
          <w:sz w:val="20"/>
        </w:rPr>
      </w:pPr>
    </w:p>
    <w:p>
      <w:pPr>
        <w:pStyle w:val="Heading4"/>
        <w:tabs>
          <w:tab w:pos="1351" w:val="left" w:leader="none"/>
        </w:tabs>
        <w:ind w:left="1352" w:right="1286"/>
      </w:pPr>
      <w:bookmarkStart w:name="S8.11.2 Minimum requirements for agreeme" w:id="2328"/>
      <w:bookmarkEnd w:id="2328"/>
      <w:r>
        <w:rPr>
          <w:b w:val="0"/>
        </w:rPr>
      </w:r>
      <w:bookmarkStart w:name="_bookmark967" w:id="2329"/>
      <w:bookmarkEnd w:id="2329"/>
      <w:r>
        <w:rPr>
          <w:b w:val="0"/>
        </w:rPr>
      </w:r>
      <w:r>
        <w:rPr/>
        <w:t>S8.11.2</w:t>
        <w:tab/>
        <w:t>Minimum requirements for agreements relating to contestable augmentation</w:t>
      </w:r>
    </w:p>
    <w:p>
      <w:pPr>
        <w:pStyle w:val="ListParagraph"/>
        <w:numPr>
          <w:ilvl w:val="0"/>
          <w:numId w:val="643"/>
        </w:numPr>
        <w:tabs>
          <w:tab w:pos="1919" w:val="left" w:leader="none"/>
        </w:tabs>
        <w:spacing w:line="240" w:lineRule="auto" w:before="120" w:after="0"/>
        <w:ind w:left="1918" w:right="0" w:hanging="567"/>
        <w:jc w:val="both"/>
        <w:rPr>
          <w:sz w:val="24"/>
        </w:rPr>
      </w:pPr>
      <w:r>
        <w:rPr>
          <w:sz w:val="24"/>
        </w:rPr>
        <w:t>An </w:t>
      </w:r>
      <w:r>
        <w:rPr>
          <w:i/>
          <w:sz w:val="24"/>
        </w:rPr>
        <w:t>augmentation connection agreement </w:t>
      </w:r>
      <w:r>
        <w:rPr>
          <w:sz w:val="24"/>
        </w:rPr>
        <w:t>must</w:t>
      </w:r>
      <w:r>
        <w:rPr>
          <w:spacing w:val="-2"/>
          <w:sz w:val="24"/>
        </w:rPr>
        <w:t> </w:t>
      </w:r>
      <w:r>
        <w:rPr>
          <w:sz w:val="24"/>
        </w:rPr>
        <w:t>specify:</w:t>
      </w:r>
    </w:p>
    <w:p>
      <w:pPr>
        <w:pStyle w:val="ListParagraph"/>
        <w:numPr>
          <w:ilvl w:val="1"/>
          <w:numId w:val="643"/>
        </w:numPr>
        <w:tabs>
          <w:tab w:pos="2486" w:val="left" w:leader="none"/>
        </w:tabs>
        <w:spacing w:line="240" w:lineRule="auto" w:before="120" w:after="0"/>
        <w:ind w:left="2486" w:right="414" w:hanging="567"/>
        <w:jc w:val="both"/>
        <w:rPr>
          <w:sz w:val="24"/>
        </w:rPr>
      </w:pPr>
      <w:r>
        <w:rPr>
          <w:sz w:val="24"/>
        </w:rPr>
        <w:t>the technical and other details of </w:t>
      </w:r>
      <w:r>
        <w:rPr>
          <w:i/>
          <w:sz w:val="24"/>
        </w:rPr>
        <w:t>connection </w:t>
      </w:r>
      <w:r>
        <w:rPr>
          <w:sz w:val="24"/>
        </w:rPr>
        <w:t>(including the </w:t>
      </w:r>
      <w:r>
        <w:rPr>
          <w:i/>
          <w:sz w:val="24"/>
        </w:rPr>
        <w:t>connection </w:t>
      </w:r>
      <w:r>
        <w:rPr>
          <w:i/>
          <w:sz w:val="24"/>
        </w:rPr>
        <w:t>point</w:t>
      </w:r>
      <w:r>
        <w:rPr>
          <w:sz w:val="24"/>
        </w:rPr>
        <w:t>);</w:t>
      </w:r>
      <w:r>
        <w:rPr>
          <w:spacing w:val="-1"/>
          <w:sz w:val="24"/>
        </w:rPr>
        <w:t> </w:t>
      </w:r>
      <w:r>
        <w:rPr>
          <w:sz w:val="24"/>
        </w:rPr>
        <w:t>and</w:t>
      </w:r>
    </w:p>
    <w:p>
      <w:pPr>
        <w:pStyle w:val="ListParagraph"/>
        <w:numPr>
          <w:ilvl w:val="1"/>
          <w:numId w:val="643"/>
        </w:numPr>
        <w:tabs>
          <w:tab w:pos="2486" w:val="left" w:leader="none"/>
        </w:tabs>
        <w:spacing w:line="240" w:lineRule="auto" w:before="120" w:after="0"/>
        <w:ind w:left="2485" w:right="0" w:hanging="567"/>
        <w:jc w:val="both"/>
        <w:rPr>
          <w:sz w:val="24"/>
        </w:rPr>
      </w:pPr>
      <w:r>
        <w:rPr>
          <w:sz w:val="24"/>
        </w:rPr>
        <w:t>the </w:t>
      </w:r>
      <w:r>
        <w:rPr>
          <w:i/>
          <w:sz w:val="24"/>
        </w:rPr>
        <w:t>performance standards </w:t>
      </w:r>
      <w:r>
        <w:rPr>
          <w:sz w:val="24"/>
        </w:rPr>
        <w:t>that apply to the </w:t>
      </w:r>
      <w:r>
        <w:rPr>
          <w:i/>
          <w:sz w:val="24"/>
        </w:rPr>
        <w:t>contestable</w:t>
      </w:r>
      <w:r>
        <w:rPr>
          <w:i/>
          <w:spacing w:val="-5"/>
          <w:sz w:val="24"/>
        </w:rPr>
        <w:t> </w:t>
      </w:r>
      <w:r>
        <w:rPr>
          <w:sz w:val="24"/>
        </w:rPr>
        <w:t>provider.</w:t>
      </w:r>
    </w:p>
    <w:p>
      <w:pPr>
        <w:pStyle w:val="ListParagraph"/>
        <w:numPr>
          <w:ilvl w:val="0"/>
          <w:numId w:val="643"/>
        </w:numPr>
        <w:tabs>
          <w:tab w:pos="1919" w:val="left" w:leader="none"/>
        </w:tabs>
        <w:spacing w:line="240" w:lineRule="auto" w:before="120" w:after="0"/>
        <w:ind w:left="1919" w:right="413" w:hanging="567"/>
        <w:jc w:val="both"/>
        <w:rPr>
          <w:sz w:val="24"/>
        </w:rPr>
      </w:pPr>
      <w:r>
        <w:rPr>
          <w:sz w:val="24"/>
        </w:rPr>
        <w:t>There should be no material difference between </w:t>
      </w:r>
      <w:r>
        <w:rPr>
          <w:i/>
          <w:sz w:val="24"/>
        </w:rPr>
        <w:t>performance standards </w:t>
      </w:r>
      <w:r>
        <w:rPr>
          <w:sz w:val="24"/>
        </w:rPr>
        <w:t>that apply to the </w:t>
      </w:r>
      <w:r>
        <w:rPr>
          <w:i/>
          <w:sz w:val="24"/>
        </w:rPr>
        <w:t>incumbentdeclared transmission system operator </w:t>
      </w:r>
      <w:r>
        <w:rPr>
          <w:sz w:val="24"/>
        </w:rPr>
        <w:t>and those that apply to the </w:t>
      </w:r>
      <w:r>
        <w:rPr>
          <w:i/>
          <w:sz w:val="24"/>
        </w:rPr>
        <w:t>contestable</w:t>
      </w:r>
      <w:r>
        <w:rPr>
          <w:i/>
          <w:spacing w:val="-2"/>
          <w:sz w:val="24"/>
        </w:rPr>
        <w:t> </w:t>
      </w:r>
      <w:r>
        <w:rPr>
          <w:sz w:val="24"/>
        </w:rPr>
        <w:t>provider.</w:t>
      </w:r>
    </w:p>
    <w:p>
      <w:pPr>
        <w:pStyle w:val="BodyText"/>
        <w:spacing w:before="10"/>
        <w:ind w:firstLine="0"/>
        <w:jc w:val="left"/>
        <w:rPr>
          <w:sz w:val="20"/>
        </w:rPr>
      </w:pPr>
    </w:p>
    <w:p>
      <w:pPr>
        <w:pStyle w:val="Heading4"/>
        <w:tabs>
          <w:tab w:pos="1351" w:val="left" w:leader="none"/>
        </w:tabs>
        <w:ind w:left="218" w:firstLine="0"/>
      </w:pPr>
      <w:bookmarkStart w:name="S8.11.3 Matters to be dealt with in rele" w:id="2330"/>
      <w:bookmarkEnd w:id="2330"/>
      <w:r>
        <w:rPr>
          <w:b w:val="0"/>
        </w:rPr>
      </w:r>
      <w:bookmarkStart w:name="_bookmark968" w:id="2331"/>
      <w:bookmarkEnd w:id="2331"/>
      <w:r>
        <w:rPr>
          <w:b w:val="0"/>
        </w:rPr>
      </w:r>
      <w:r>
        <w:rPr/>
        <w:t>S8.11.3</w:t>
        <w:tab/>
        <w:t>Matters to be dealt with in relevant</w:t>
      </w:r>
      <w:r>
        <w:rPr>
          <w:spacing w:val="-6"/>
        </w:rPr>
        <w:t> </w:t>
      </w:r>
      <w:r>
        <w:rPr/>
        <w:t>agreements</w:t>
      </w:r>
    </w:p>
    <w:p>
      <w:pPr>
        <w:pStyle w:val="ListParagraph"/>
        <w:numPr>
          <w:ilvl w:val="0"/>
          <w:numId w:val="644"/>
        </w:numPr>
        <w:tabs>
          <w:tab w:pos="1919" w:val="left" w:leader="none"/>
        </w:tabs>
        <w:spacing w:line="240" w:lineRule="auto" w:before="120" w:after="0"/>
        <w:ind w:left="1919" w:right="415" w:hanging="567"/>
        <w:jc w:val="both"/>
        <w:rPr>
          <w:sz w:val="24"/>
        </w:rPr>
      </w:pPr>
      <w:r>
        <w:rPr>
          <w:sz w:val="24"/>
        </w:rPr>
        <w:t>A relevant agreement should (in addition to the other requirements of the </w:t>
      </w:r>
      <w:r>
        <w:rPr>
          <w:i/>
          <w:sz w:val="24"/>
        </w:rPr>
        <w:t>National Electricity Law </w:t>
      </w:r>
      <w:r>
        <w:rPr>
          <w:sz w:val="24"/>
        </w:rPr>
        <w:t>and these </w:t>
      </w:r>
      <w:r>
        <w:rPr>
          <w:i/>
          <w:sz w:val="24"/>
        </w:rPr>
        <w:t>Rules</w:t>
      </w:r>
      <w:r>
        <w:rPr>
          <w:sz w:val="24"/>
        </w:rPr>
        <w:t>) contain provisions with respect  to:</w:t>
      </w:r>
    </w:p>
    <w:p>
      <w:pPr>
        <w:pStyle w:val="ListParagraph"/>
        <w:numPr>
          <w:ilvl w:val="1"/>
          <w:numId w:val="644"/>
        </w:numPr>
        <w:tabs>
          <w:tab w:pos="2486" w:val="left" w:leader="none"/>
        </w:tabs>
        <w:spacing w:line="240" w:lineRule="auto" w:before="120" w:after="0"/>
        <w:ind w:left="2485" w:right="0" w:hanging="567"/>
        <w:jc w:val="both"/>
        <w:rPr>
          <w:sz w:val="24"/>
        </w:rPr>
      </w:pPr>
      <w:r>
        <w:rPr>
          <w:sz w:val="24"/>
        </w:rPr>
        <w:t>the risks set out in clause S8.11.1;</w:t>
      </w:r>
      <w:r>
        <w:rPr>
          <w:spacing w:val="-5"/>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44"/>
        </w:numPr>
        <w:tabs>
          <w:tab w:pos="2485" w:val="left" w:leader="none"/>
          <w:tab w:pos="2486" w:val="left" w:leader="none"/>
        </w:tabs>
        <w:spacing w:line="240" w:lineRule="auto" w:before="83" w:after="0"/>
        <w:ind w:left="2485" w:right="0" w:hanging="567"/>
        <w:jc w:val="left"/>
        <w:rPr>
          <w:sz w:val="24"/>
        </w:rPr>
      </w:pPr>
      <w:r>
        <w:rPr>
          <w:sz w:val="24"/>
        </w:rPr>
        <w:t>force majeure events;</w:t>
      </w:r>
      <w:r>
        <w:rPr>
          <w:spacing w:val="-2"/>
          <w:sz w:val="24"/>
        </w:rPr>
        <w:t> </w:t>
      </w:r>
      <w:r>
        <w:rPr>
          <w:sz w:val="24"/>
        </w:rPr>
        <w:t>and</w:t>
      </w:r>
    </w:p>
    <w:p>
      <w:pPr>
        <w:pStyle w:val="ListParagraph"/>
        <w:numPr>
          <w:ilvl w:val="1"/>
          <w:numId w:val="644"/>
        </w:numPr>
        <w:tabs>
          <w:tab w:pos="2485" w:val="left" w:leader="none"/>
          <w:tab w:pos="2486" w:val="left" w:leader="none"/>
        </w:tabs>
        <w:spacing w:line="240" w:lineRule="auto" w:before="120" w:after="0"/>
        <w:ind w:left="2485" w:right="0" w:hanging="567"/>
        <w:jc w:val="left"/>
        <w:rPr>
          <w:sz w:val="24"/>
        </w:rPr>
      </w:pPr>
      <w:r>
        <w:rPr>
          <w:sz w:val="24"/>
        </w:rPr>
        <w:t>project financing risks;</w:t>
      </w:r>
      <w:r>
        <w:rPr>
          <w:spacing w:val="-1"/>
          <w:sz w:val="24"/>
        </w:rPr>
        <w:t> </w:t>
      </w:r>
      <w:r>
        <w:rPr>
          <w:sz w:val="24"/>
        </w:rPr>
        <w:t>and</w:t>
      </w:r>
    </w:p>
    <w:p>
      <w:pPr>
        <w:pStyle w:val="ListParagraph"/>
        <w:numPr>
          <w:ilvl w:val="1"/>
          <w:numId w:val="644"/>
        </w:numPr>
        <w:tabs>
          <w:tab w:pos="2485" w:val="left" w:leader="none"/>
          <w:tab w:pos="2486" w:val="left" w:leader="none"/>
        </w:tabs>
        <w:spacing w:line="240" w:lineRule="auto" w:before="120" w:after="0"/>
        <w:ind w:left="2485" w:right="0" w:hanging="567"/>
        <w:jc w:val="left"/>
        <w:rPr>
          <w:sz w:val="24"/>
        </w:rPr>
      </w:pPr>
      <w:r>
        <w:rPr>
          <w:sz w:val="24"/>
        </w:rPr>
        <w:t>liabilities and indemnities;</w:t>
      </w:r>
      <w:r>
        <w:rPr>
          <w:spacing w:val="-1"/>
          <w:sz w:val="24"/>
        </w:rPr>
        <w:t> </w:t>
      </w:r>
      <w:r>
        <w:rPr>
          <w:sz w:val="24"/>
        </w:rPr>
        <w:t>and</w:t>
      </w:r>
    </w:p>
    <w:p>
      <w:pPr>
        <w:pStyle w:val="ListParagraph"/>
        <w:numPr>
          <w:ilvl w:val="1"/>
          <w:numId w:val="644"/>
        </w:numPr>
        <w:tabs>
          <w:tab w:pos="2485" w:val="left" w:leader="none"/>
          <w:tab w:pos="2486" w:val="left" w:leader="none"/>
        </w:tabs>
        <w:spacing w:line="240" w:lineRule="auto" w:before="120" w:after="0"/>
        <w:ind w:left="2485" w:right="0" w:hanging="567"/>
        <w:jc w:val="left"/>
        <w:rPr>
          <w:sz w:val="24"/>
        </w:rPr>
      </w:pPr>
      <w:r>
        <w:rPr>
          <w:sz w:val="24"/>
        </w:rPr>
        <w:t>any relevant </w:t>
      </w:r>
      <w:r>
        <w:rPr>
          <w:i/>
          <w:sz w:val="24"/>
        </w:rPr>
        <w:t>regulatory obligation or</w:t>
      </w:r>
      <w:r>
        <w:rPr>
          <w:i/>
          <w:spacing w:val="-2"/>
          <w:sz w:val="24"/>
        </w:rPr>
        <w:t> </w:t>
      </w:r>
      <w:r>
        <w:rPr>
          <w:i/>
          <w:sz w:val="24"/>
        </w:rPr>
        <w:t>requirement</w:t>
      </w:r>
      <w:r>
        <w:rPr>
          <w:sz w:val="24"/>
        </w:rPr>
        <w:t>.</w:t>
      </w:r>
    </w:p>
    <w:p>
      <w:pPr>
        <w:pStyle w:val="ListParagraph"/>
        <w:numPr>
          <w:ilvl w:val="0"/>
          <w:numId w:val="644"/>
        </w:numPr>
        <w:tabs>
          <w:tab w:pos="1918" w:val="left" w:leader="none"/>
          <w:tab w:pos="1919" w:val="left" w:leader="none"/>
        </w:tabs>
        <w:spacing w:line="240" w:lineRule="auto" w:before="120" w:after="0"/>
        <w:ind w:left="1918" w:right="0" w:hanging="567"/>
        <w:jc w:val="left"/>
        <w:rPr>
          <w:sz w:val="24"/>
        </w:rPr>
      </w:pPr>
      <w:r>
        <w:rPr>
          <w:sz w:val="24"/>
        </w:rPr>
        <w:t>In this</w:t>
      </w:r>
      <w:r>
        <w:rPr>
          <w:spacing w:val="-1"/>
          <w:sz w:val="24"/>
        </w:rPr>
        <w:t> </w:t>
      </w:r>
      <w:r>
        <w:rPr>
          <w:sz w:val="24"/>
        </w:rPr>
        <w:t>clause:</w:t>
      </w:r>
    </w:p>
    <w:p>
      <w:pPr>
        <w:spacing w:before="120"/>
        <w:ind w:left="1919" w:right="0" w:firstLine="0"/>
        <w:jc w:val="left"/>
        <w:rPr>
          <w:sz w:val="24"/>
        </w:rPr>
      </w:pPr>
      <w:r>
        <w:rPr>
          <w:b/>
          <w:sz w:val="24"/>
        </w:rPr>
        <w:t>relevant agreement </w:t>
      </w:r>
      <w:r>
        <w:rPr>
          <w:sz w:val="24"/>
        </w:rPr>
        <w:t>means:</w:t>
      </w:r>
    </w:p>
    <w:p>
      <w:pPr>
        <w:pStyle w:val="ListParagraph"/>
        <w:numPr>
          <w:ilvl w:val="0"/>
          <w:numId w:val="645"/>
        </w:numPr>
        <w:tabs>
          <w:tab w:pos="2485" w:val="left" w:leader="none"/>
          <w:tab w:pos="2486" w:val="left" w:leader="none"/>
        </w:tabs>
        <w:spacing w:line="240" w:lineRule="auto" w:before="120" w:after="0"/>
        <w:ind w:left="2485" w:right="0" w:hanging="567"/>
        <w:jc w:val="left"/>
        <w:rPr>
          <w:sz w:val="24"/>
        </w:rPr>
      </w:pPr>
      <w:r>
        <w:rPr>
          <w:sz w:val="24"/>
        </w:rPr>
        <w:t>a </w:t>
      </w:r>
      <w:r>
        <w:rPr>
          <w:i/>
          <w:sz w:val="24"/>
        </w:rPr>
        <w:t>network agreement</w:t>
      </w:r>
      <w:r>
        <w:rPr>
          <w:sz w:val="24"/>
        </w:rPr>
        <w:t>;</w:t>
      </w:r>
      <w:r>
        <w:rPr>
          <w:spacing w:val="-1"/>
          <w:sz w:val="24"/>
        </w:rPr>
        <w:t> </w:t>
      </w:r>
      <w:r>
        <w:rPr>
          <w:sz w:val="24"/>
        </w:rPr>
        <w:t>or</w:t>
      </w:r>
    </w:p>
    <w:p>
      <w:pPr>
        <w:pStyle w:val="ListParagraph"/>
        <w:numPr>
          <w:ilvl w:val="0"/>
          <w:numId w:val="645"/>
        </w:numPr>
        <w:tabs>
          <w:tab w:pos="2485" w:val="left" w:leader="none"/>
          <w:tab w:pos="2486" w:val="left" w:leader="none"/>
        </w:tabs>
        <w:spacing w:line="240" w:lineRule="auto" w:before="120" w:after="0"/>
        <w:ind w:left="2485" w:right="0" w:hanging="567"/>
        <w:jc w:val="left"/>
        <w:rPr>
          <w:sz w:val="24"/>
        </w:rPr>
      </w:pPr>
      <w:r>
        <w:rPr>
          <w:sz w:val="24"/>
        </w:rPr>
        <w:t>an </w:t>
      </w:r>
      <w:r>
        <w:rPr>
          <w:i/>
          <w:sz w:val="24"/>
        </w:rPr>
        <w:t>augmentation connection</w:t>
      </w:r>
      <w:r>
        <w:rPr>
          <w:i/>
          <w:spacing w:val="-1"/>
          <w:sz w:val="24"/>
        </w:rPr>
        <w:t> </w:t>
      </w:r>
      <w:r>
        <w:rPr>
          <w:i/>
          <w:sz w:val="24"/>
        </w:rPr>
        <w:t>agreement</w:t>
      </w:r>
      <w:r>
        <w:rPr>
          <w:sz w:val="24"/>
        </w:rPr>
        <w:t>.</w:t>
      </w:r>
    </w:p>
    <w:p>
      <w:pPr>
        <w:pStyle w:val="BodyText"/>
        <w:spacing w:before="9"/>
        <w:ind w:firstLine="0"/>
        <w:jc w:val="left"/>
        <w:rPr>
          <w:sz w:val="18"/>
        </w:rPr>
      </w:pPr>
      <w:r>
        <w:rPr/>
        <w:pict>
          <v:shape style="position:absolute;margin-left:69.450005pt;margin-top:12.024108pt;width:456.45pt;height:16.1pt;mso-position-horizontal-relative:page;mso-position-vertical-relative:paragraph;z-index:-251590656;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I Values of customer reliability" w:id="2332"/>
                  <w:bookmarkEnd w:id="2332"/>
                  <w:r>
                    <w:rPr/>
                  </w:r>
                  <w:bookmarkStart w:name="_bookmark969" w:id="2333"/>
                  <w:bookmarkEnd w:id="2333"/>
                  <w:r>
                    <w:rPr/>
                  </w:r>
                  <w:r>
                    <w:rPr>
                      <w:rFonts w:ascii="Arial"/>
                      <w:b/>
                      <w:sz w:val="28"/>
                    </w:rPr>
                    <w:t>Part I</w:t>
                    <w:tab/>
                    <w:t>Values of customer</w:t>
                  </w:r>
                  <w:r>
                    <w:rPr>
                      <w:rFonts w:ascii="Arial"/>
                      <w:b/>
                      <w:spacing w:val="-2"/>
                      <w:sz w:val="28"/>
                    </w:rPr>
                    <w:t> </w:t>
                  </w:r>
                  <w:r>
                    <w:rPr>
                      <w:rFonts w:ascii="Arial"/>
                      <w:b/>
                      <w:sz w:val="28"/>
                    </w:rPr>
                    <w:t>reliability</w:t>
                  </w:r>
                </w:p>
              </w:txbxContent>
            </v:textbox>
            <v:fill type="solid"/>
            <w10:wrap type="topAndBottom"/>
          </v:shape>
        </w:pict>
      </w:r>
    </w:p>
    <w:p>
      <w:pPr>
        <w:pStyle w:val="BodyText"/>
        <w:spacing w:before="7"/>
        <w:ind w:firstLine="0"/>
        <w:jc w:val="left"/>
        <w:rPr>
          <w:sz w:val="11"/>
        </w:rPr>
      </w:pPr>
    </w:p>
    <w:p>
      <w:pPr>
        <w:pStyle w:val="Heading3"/>
        <w:numPr>
          <w:ilvl w:val="1"/>
          <w:numId w:val="634"/>
        </w:numPr>
        <w:tabs>
          <w:tab w:pos="1351" w:val="left" w:leader="none"/>
          <w:tab w:pos="1353" w:val="left" w:leader="none"/>
        </w:tabs>
        <w:spacing w:line="240" w:lineRule="auto" w:before="91" w:after="0"/>
        <w:ind w:left="1352" w:right="1189" w:hanging="1134"/>
        <w:jc w:val="left"/>
      </w:pPr>
      <w:bookmarkStart w:name="8.12 Development of methodology and publ" w:id="2334"/>
      <w:bookmarkEnd w:id="2334"/>
      <w:r>
        <w:rPr>
          <w:b w:val="0"/>
        </w:rPr>
      </w:r>
      <w:bookmarkStart w:name="_bookmark970" w:id="2335"/>
      <w:bookmarkEnd w:id="2335"/>
      <w:r>
        <w:rPr>
          <w:b w:val="0"/>
        </w:rPr>
      </w:r>
      <w:bookmarkStart w:name="_bookmark970" w:id="2336"/>
      <w:bookmarkEnd w:id="2336"/>
      <w:r>
        <w:rPr/>
        <w:t>Developmen</w:t>
      </w:r>
      <w:r>
        <w:rPr/>
        <w:t>t of methodology and publication of values of customer</w:t>
      </w:r>
      <w:r>
        <w:rPr>
          <w:spacing w:val="-2"/>
        </w:rPr>
        <w:t> </w:t>
      </w:r>
      <w:r>
        <w:rPr/>
        <w:t>reliability</w:t>
      </w:r>
    </w:p>
    <w:p>
      <w:pPr>
        <w:pStyle w:val="ListParagraph"/>
        <w:numPr>
          <w:ilvl w:val="0"/>
          <w:numId w:val="646"/>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8.12:</w:t>
      </w:r>
    </w:p>
    <w:p>
      <w:pPr>
        <w:pStyle w:val="Heading4"/>
        <w:spacing w:before="120"/>
        <w:ind w:left="1919" w:firstLine="0"/>
        <w:jc w:val="both"/>
        <w:rPr>
          <w:rFonts w:ascii="Times New Roman"/>
          <w:b w:val="0"/>
        </w:rPr>
      </w:pPr>
      <w:r>
        <w:rPr>
          <w:rFonts w:ascii="Times New Roman"/>
        </w:rPr>
        <w:t>jurisdictional regulator </w:t>
      </w:r>
      <w:r>
        <w:rPr>
          <w:rFonts w:ascii="Times New Roman"/>
          <w:b w:val="0"/>
        </w:rPr>
        <w:t>means:</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the Independent Pricing and Regulatory Tribunal of New South Wales established by section 5(1) of the </w:t>
      </w:r>
      <w:r>
        <w:rPr>
          <w:i/>
          <w:sz w:val="24"/>
        </w:rPr>
        <w:t>Independent Pricing and Regulatory </w:t>
      </w:r>
      <w:r>
        <w:rPr>
          <w:i/>
          <w:sz w:val="24"/>
        </w:rPr>
        <w:t>Tribunal Act 1992 </w:t>
      </w:r>
      <w:r>
        <w:rPr>
          <w:sz w:val="24"/>
        </w:rPr>
        <w:t>of New South</w:t>
      </w:r>
      <w:r>
        <w:rPr>
          <w:spacing w:val="-6"/>
          <w:sz w:val="24"/>
        </w:rPr>
        <w:t> </w:t>
      </w:r>
      <w:r>
        <w:rPr>
          <w:sz w:val="24"/>
        </w:rPr>
        <w:t>Wales;</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the</w:t>
      </w:r>
      <w:r>
        <w:rPr>
          <w:spacing w:val="20"/>
          <w:sz w:val="24"/>
        </w:rPr>
        <w:t> </w:t>
      </w:r>
      <w:r>
        <w:rPr>
          <w:sz w:val="24"/>
        </w:rPr>
        <w:t>Essential</w:t>
      </w:r>
      <w:r>
        <w:rPr>
          <w:spacing w:val="20"/>
          <w:sz w:val="24"/>
        </w:rPr>
        <w:t> </w:t>
      </w:r>
      <w:r>
        <w:rPr>
          <w:sz w:val="24"/>
        </w:rPr>
        <w:t>Services</w:t>
      </w:r>
      <w:r>
        <w:rPr>
          <w:spacing w:val="20"/>
          <w:sz w:val="24"/>
        </w:rPr>
        <w:t> </w:t>
      </w:r>
      <w:r>
        <w:rPr>
          <w:sz w:val="24"/>
        </w:rPr>
        <w:t>Commission</w:t>
      </w:r>
      <w:r>
        <w:rPr>
          <w:spacing w:val="21"/>
          <w:sz w:val="24"/>
        </w:rPr>
        <w:t> </w:t>
      </w:r>
      <w:r>
        <w:rPr>
          <w:sz w:val="24"/>
        </w:rPr>
        <w:t>established</w:t>
      </w:r>
      <w:r>
        <w:rPr>
          <w:spacing w:val="19"/>
          <w:sz w:val="24"/>
        </w:rPr>
        <w:t> </w:t>
      </w:r>
      <w:r>
        <w:rPr>
          <w:sz w:val="24"/>
        </w:rPr>
        <w:t>by</w:t>
      </w:r>
      <w:r>
        <w:rPr>
          <w:spacing w:val="21"/>
          <w:sz w:val="24"/>
        </w:rPr>
        <w:t> </w:t>
      </w:r>
      <w:r>
        <w:rPr>
          <w:sz w:val="24"/>
        </w:rPr>
        <w:t>section</w:t>
      </w:r>
      <w:r>
        <w:rPr>
          <w:spacing w:val="21"/>
          <w:sz w:val="24"/>
        </w:rPr>
        <w:t> </w:t>
      </w:r>
      <w:r>
        <w:rPr>
          <w:sz w:val="24"/>
        </w:rPr>
        <w:t>7(1)</w:t>
      </w:r>
      <w:r>
        <w:rPr>
          <w:spacing w:val="20"/>
          <w:sz w:val="24"/>
        </w:rPr>
        <w:t> </w:t>
      </w:r>
      <w:r>
        <w:rPr>
          <w:sz w:val="24"/>
        </w:rPr>
        <w:t>of</w:t>
      </w:r>
      <w:r>
        <w:rPr>
          <w:spacing w:val="19"/>
          <w:sz w:val="24"/>
        </w:rPr>
        <w:t> </w:t>
      </w:r>
      <w:r>
        <w:rPr>
          <w:sz w:val="24"/>
        </w:rPr>
        <w:t>the</w:t>
      </w:r>
    </w:p>
    <w:p>
      <w:pPr>
        <w:spacing w:before="0"/>
        <w:ind w:left="2486" w:right="0" w:firstLine="0"/>
        <w:jc w:val="both"/>
        <w:rPr>
          <w:sz w:val="24"/>
        </w:rPr>
      </w:pPr>
      <w:r>
        <w:rPr>
          <w:i/>
          <w:sz w:val="24"/>
        </w:rPr>
        <w:t>Essential Services Commission Act 2001 </w:t>
      </w:r>
      <w:r>
        <w:rPr>
          <w:sz w:val="24"/>
        </w:rPr>
        <w:t>of Victoria;</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the</w:t>
      </w:r>
      <w:r>
        <w:rPr>
          <w:spacing w:val="9"/>
          <w:sz w:val="24"/>
        </w:rPr>
        <w:t> </w:t>
      </w:r>
      <w:r>
        <w:rPr>
          <w:sz w:val="24"/>
        </w:rPr>
        <w:t>Queensland</w:t>
      </w:r>
      <w:r>
        <w:rPr>
          <w:spacing w:val="10"/>
          <w:sz w:val="24"/>
        </w:rPr>
        <w:t> </w:t>
      </w:r>
      <w:r>
        <w:rPr>
          <w:sz w:val="24"/>
        </w:rPr>
        <w:t>Competition</w:t>
      </w:r>
      <w:r>
        <w:rPr>
          <w:spacing w:val="10"/>
          <w:sz w:val="24"/>
        </w:rPr>
        <w:t> </w:t>
      </w:r>
      <w:r>
        <w:rPr>
          <w:sz w:val="24"/>
        </w:rPr>
        <w:t>Authority</w:t>
      </w:r>
      <w:r>
        <w:rPr>
          <w:spacing w:val="10"/>
          <w:sz w:val="24"/>
        </w:rPr>
        <w:t> </w:t>
      </w:r>
      <w:r>
        <w:rPr>
          <w:sz w:val="24"/>
        </w:rPr>
        <w:t>established</w:t>
      </w:r>
      <w:r>
        <w:rPr>
          <w:spacing w:val="10"/>
          <w:sz w:val="24"/>
        </w:rPr>
        <w:t> </w:t>
      </w:r>
      <w:r>
        <w:rPr>
          <w:sz w:val="24"/>
        </w:rPr>
        <w:t>by</w:t>
      </w:r>
      <w:r>
        <w:rPr>
          <w:spacing w:val="10"/>
          <w:sz w:val="24"/>
        </w:rPr>
        <w:t> </w:t>
      </w:r>
      <w:r>
        <w:rPr>
          <w:sz w:val="24"/>
        </w:rPr>
        <w:t>section</w:t>
      </w:r>
      <w:r>
        <w:rPr>
          <w:spacing w:val="10"/>
          <w:sz w:val="24"/>
        </w:rPr>
        <w:t> </w:t>
      </w:r>
      <w:r>
        <w:rPr>
          <w:sz w:val="24"/>
        </w:rPr>
        <w:t>7</w:t>
      </w:r>
      <w:r>
        <w:rPr>
          <w:spacing w:val="10"/>
          <w:sz w:val="24"/>
        </w:rPr>
        <w:t> </w:t>
      </w:r>
      <w:r>
        <w:rPr>
          <w:sz w:val="24"/>
        </w:rPr>
        <w:t>of</w:t>
      </w:r>
      <w:r>
        <w:rPr>
          <w:spacing w:val="9"/>
          <w:sz w:val="24"/>
        </w:rPr>
        <w:t> </w:t>
      </w:r>
      <w:r>
        <w:rPr>
          <w:sz w:val="24"/>
        </w:rPr>
        <w:t>the</w:t>
      </w:r>
    </w:p>
    <w:p>
      <w:pPr>
        <w:spacing w:before="0"/>
        <w:ind w:left="2486" w:right="0" w:firstLine="0"/>
        <w:jc w:val="both"/>
        <w:rPr>
          <w:sz w:val="24"/>
        </w:rPr>
      </w:pPr>
      <w:r>
        <w:rPr>
          <w:i/>
          <w:sz w:val="24"/>
        </w:rPr>
        <w:t>Queensland Competition Authority Act 1997 </w:t>
      </w:r>
      <w:r>
        <w:rPr>
          <w:sz w:val="24"/>
        </w:rPr>
        <w:t>of Queensland;</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the</w:t>
      </w:r>
      <w:r>
        <w:rPr>
          <w:spacing w:val="20"/>
          <w:sz w:val="24"/>
        </w:rPr>
        <w:t> </w:t>
      </w:r>
      <w:r>
        <w:rPr>
          <w:sz w:val="24"/>
        </w:rPr>
        <w:t>Essential</w:t>
      </w:r>
      <w:r>
        <w:rPr>
          <w:spacing w:val="20"/>
          <w:sz w:val="24"/>
        </w:rPr>
        <w:t> </w:t>
      </w:r>
      <w:r>
        <w:rPr>
          <w:sz w:val="24"/>
        </w:rPr>
        <w:t>Services</w:t>
      </w:r>
      <w:r>
        <w:rPr>
          <w:spacing w:val="20"/>
          <w:sz w:val="24"/>
        </w:rPr>
        <w:t> </w:t>
      </w:r>
      <w:r>
        <w:rPr>
          <w:sz w:val="24"/>
        </w:rPr>
        <w:t>Commission</w:t>
      </w:r>
      <w:r>
        <w:rPr>
          <w:spacing w:val="21"/>
          <w:sz w:val="24"/>
        </w:rPr>
        <w:t> </w:t>
      </w:r>
      <w:r>
        <w:rPr>
          <w:sz w:val="24"/>
        </w:rPr>
        <w:t>established</w:t>
      </w:r>
      <w:r>
        <w:rPr>
          <w:spacing w:val="19"/>
          <w:sz w:val="24"/>
        </w:rPr>
        <w:t> </w:t>
      </w:r>
      <w:r>
        <w:rPr>
          <w:sz w:val="24"/>
        </w:rPr>
        <w:t>by</w:t>
      </w:r>
      <w:r>
        <w:rPr>
          <w:spacing w:val="21"/>
          <w:sz w:val="24"/>
        </w:rPr>
        <w:t> </w:t>
      </w:r>
      <w:r>
        <w:rPr>
          <w:sz w:val="24"/>
        </w:rPr>
        <w:t>section</w:t>
      </w:r>
      <w:r>
        <w:rPr>
          <w:spacing w:val="21"/>
          <w:sz w:val="24"/>
        </w:rPr>
        <w:t> </w:t>
      </w:r>
      <w:r>
        <w:rPr>
          <w:sz w:val="24"/>
        </w:rPr>
        <w:t>4(1)</w:t>
      </w:r>
      <w:r>
        <w:rPr>
          <w:spacing w:val="20"/>
          <w:sz w:val="24"/>
        </w:rPr>
        <w:t> </w:t>
      </w:r>
      <w:r>
        <w:rPr>
          <w:sz w:val="24"/>
        </w:rPr>
        <w:t>of</w:t>
      </w:r>
      <w:r>
        <w:rPr>
          <w:spacing w:val="19"/>
          <w:sz w:val="24"/>
        </w:rPr>
        <w:t> </w:t>
      </w:r>
      <w:r>
        <w:rPr>
          <w:sz w:val="24"/>
        </w:rPr>
        <w:t>the</w:t>
      </w:r>
    </w:p>
    <w:p>
      <w:pPr>
        <w:spacing w:before="0"/>
        <w:ind w:left="2486" w:right="0" w:firstLine="0"/>
        <w:jc w:val="both"/>
        <w:rPr>
          <w:sz w:val="24"/>
        </w:rPr>
      </w:pPr>
      <w:r>
        <w:rPr>
          <w:i/>
          <w:sz w:val="24"/>
        </w:rPr>
        <w:t>Essential Services Commission Act 2002 </w:t>
      </w:r>
      <w:r>
        <w:rPr>
          <w:sz w:val="24"/>
        </w:rPr>
        <w:t>of South Australia;</w:t>
      </w:r>
    </w:p>
    <w:p>
      <w:pPr>
        <w:pStyle w:val="ListParagraph"/>
        <w:numPr>
          <w:ilvl w:val="1"/>
          <w:numId w:val="646"/>
        </w:numPr>
        <w:tabs>
          <w:tab w:pos="2486" w:val="left" w:leader="none"/>
        </w:tabs>
        <w:spacing w:line="240" w:lineRule="auto" w:before="120" w:after="0"/>
        <w:ind w:left="2486" w:right="416" w:hanging="567"/>
        <w:jc w:val="both"/>
        <w:rPr>
          <w:sz w:val="24"/>
        </w:rPr>
      </w:pPr>
      <w:r>
        <w:rPr>
          <w:sz w:val="24"/>
        </w:rPr>
        <w:t>the Independent Competition and Regulatory Commission for </w:t>
      </w:r>
      <w:r>
        <w:rPr>
          <w:spacing w:val="-5"/>
          <w:sz w:val="24"/>
        </w:rPr>
        <w:t>the </w:t>
      </w:r>
      <w:r>
        <w:rPr>
          <w:sz w:val="24"/>
        </w:rPr>
        <w:t>Australian Capital Territory established by section 5(1) of the </w:t>
      </w:r>
      <w:r>
        <w:rPr>
          <w:i/>
          <w:sz w:val="24"/>
        </w:rPr>
        <w:t>Independent Competition and Regulatory Commission Act 1997 </w:t>
      </w:r>
      <w:r>
        <w:rPr>
          <w:sz w:val="24"/>
        </w:rPr>
        <w:t>of the Australian Capital</w:t>
      </w:r>
      <w:r>
        <w:rPr>
          <w:spacing w:val="-2"/>
          <w:sz w:val="24"/>
        </w:rPr>
        <w:t> </w:t>
      </w:r>
      <w:r>
        <w:rPr>
          <w:sz w:val="24"/>
        </w:rPr>
        <w:t>Territory;</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the Utilities Commission of the Northern Territory established by section 5(1) of the </w:t>
      </w:r>
      <w:r>
        <w:rPr>
          <w:i/>
          <w:sz w:val="24"/>
        </w:rPr>
        <w:t>Utilities Commission Act </w:t>
      </w:r>
      <w:r>
        <w:rPr>
          <w:sz w:val="24"/>
        </w:rPr>
        <w:t>of the Northern</w:t>
      </w:r>
      <w:r>
        <w:rPr>
          <w:spacing w:val="-26"/>
          <w:sz w:val="24"/>
        </w:rPr>
        <w:t> </w:t>
      </w:r>
      <w:r>
        <w:rPr>
          <w:sz w:val="24"/>
        </w:rPr>
        <w:t>Territory;</w:t>
      </w:r>
    </w:p>
    <w:p>
      <w:pPr>
        <w:pStyle w:val="ListParagraph"/>
        <w:numPr>
          <w:ilvl w:val="1"/>
          <w:numId w:val="646"/>
        </w:numPr>
        <w:tabs>
          <w:tab w:pos="2486" w:val="left" w:leader="none"/>
        </w:tabs>
        <w:spacing w:line="240" w:lineRule="auto" w:before="120" w:after="0"/>
        <w:ind w:left="2486" w:right="416" w:hanging="567"/>
        <w:jc w:val="both"/>
        <w:rPr>
          <w:sz w:val="24"/>
        </w:rPr>
      </w:pPr>
      <w:r>
        <w:rPr>
          <w:sz w:val="24"/>
        </w:rPr>
        <w:t>the Regulator established by section 5 of the Electricity Supply Industry Act 1995 of Tasmania;</w:t>
      </w:r>
      <w:r>
        <w:rPr>
          <w:spacing w:val="-2"/>
          <w:sz w:val="24"/>
        </w:rPr>
        <w:t> </w:t>
      </w:r>
      <w:r>
        <w:rPr>
          <w:sz w:val="24"/>
        </w:rPr>
        <w:t>and</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any successors and assigns of a body referred to in paragraphs (1) to (6).</w:t>
      </w:r>
    </w:p>
    <w:p>
      <w:pPr>
        <w:spacing w:before="120"/>
        <w:ind w:left="1919" w:right="0" w:firstLine="0"/>
        <w:jc w:val="both"/>
        <w:rPr>
          <w:sz w:val="24"/>
        </w:rPr>
      </w:pPr>
      <w:r>
        <w:rPr>
          <w:b/>
          <w:sz w:val="24"/>
        </w:rPr>
        <w:t>VCR methodology </w:t>
      </w:r>
      <w:r>
        <w:rPr>
          <w:sz w:val="24"/>
        </w:rPr>
        <w:t>has the meaning given in clause 8.12(b).</w:t>
      </w:r>
    </w:p>
    <w:p>
      <w:pPr>
        <w:pStyle w:val="BodyText"/>
        <w:ind w:left="1919" w:right="415" w:firstLine="0"/>
      </w:pPr>
      <w:r>
        <w:rPr>
          <w:b/>
        </w:rPr>
        <w:t>VCR objective </w:t>
      </w:r>
      <w:r>
        <w:rPr/>
        <w:t>is that the VCR methodology and values of customer reliability should be fit for purpose for any current or potential uses of values of customer reliability that the </w:t>
      </w:r>
      <w:r>
        <w:rPr>
          <w:i/>
        </w:rPr>
        <w:t>AER </w:t>
      </w:r>
      <w:r>
        <w:rPr/>
        <w:t>considers to be</w:t>
      </w:r>
      <w:r>
        <w:rPr>
          <w:spacing w:val="-4"/>
        </w:rPr>
        <w:t> </w:t>
      </w:r>
      <w:r>
        <w:rPr/>
        <w:t>relevant.</w:t>
      </w:r>
    </w:p>
    <w:p>
      <w:pPr>
        <w:pStyle w:val="ListParagraph"/>
        <w:numPr>
          <w:ilvl w:val="0"/>
          <w:numId w:val="646"/>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in accordance with the </w:t>
      </w:r>
      <w:r>
        <w:rPr>
          <w:i/>
          <w:sz w:val="24"/>
        </w:rPr>
        <w:t>Rules consultation</w:t>
      </w:r>
      <w:r>
        <w:rPr>
          <w:i/>
          <w:spacing w:val="-4"/>
          <w:sz w:val="24"/>
        </w:rPr>
        <w:t> </w:t>
      </w:r>
      <w:r>
        <w:rPr>
          <w:i/>
          <w:sz w:val="24"/>
        </w:rPr>
        <w:t>procedures</w:t>
      </w:r>
      <w:r>
        <w:rPr>
          <w:sz w:val="24"/>
        </w:rPr>
        <w:t>:</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develop a methodology to be used by the </w:t>
      </w:r>
      <w:r>
        <w:rPr>
          <w:i/>
          <w:sz w:val="24"/>
        </w:rPr>
        <w:t>AER </w:t>
      </w:r>
      <w:r>
        <w:rPr>
          <w:sz w:val="24"/>
        </w:rPr>
        <w:t>to calculate values of customer reliability (</w:t>
      </w:r>
      <w:r>
        <w:rPr>
          <w:b/>
          <w:sz w:val="24"/>
        </w:rPr>
        <w:t>VCR methodology</w:t>
      </w:r>
      <w:r>
        <w:rPr>
          <w:sz w:val="24"/>
        </w:rPr>
        <w:t>);</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46"/>
        </w:numPr>
        <w:tabs>
          <w:tab w:pos="2486" w:val="left" w:leader="none"/>
        </w:tabs>
        <w:spacing w:line="240" w:lineRule="auto" w:before="83" w:after="0"/>
        <w:ind w:left="2486" w:right="414" w:hanging="567"/>
        <w:jc w:val="both"/>
        <w:rPr>
          <w:sz w:val="24"/>
        </w:rPr>
      </w:pPr>
      <w:r>
        <w:rPr>
          <w:sz w:val="24"/>
        </w:rPr>
        <w:t>review and update the VCR methodology in accordance</w:t>
      </w:r>
      <w:r>
        <w:rPr>
          <w:spacing w:val="30"/>
          <w:sz w:val="24"/>
        </w:rPr>
        <w:t> </w:t>
      </w:r>
      <w:r>
        <w:rPr>
          <w:sz w:val="24"/>
        </w:rPr>
        <w:t>with paragraph (f).</w:t>
      </w:r>
    </w:p>
    <w:p>
      <w:pPr>
        <w:pStyle w:val="ListParagraph"/>
        <w:numPr>
          <w:ilvl w:val="0"/>
          <w:numId w:val="646"/>
        </w:numPr>
        <w:tabs>
          <w:tab w:pos="1919" w:val="left" w:leader="none"/>
        </w:tabs>
        <w:spacing w:line="240" w:lineRule="auto" w:before="120" w:after="0"/>
        <w:ind w:left="1919" w:right="414" w:hanging="567"/>
        <w:jc w:val="both"/>
        <w:rPr>
          <w:sz w:val="24"/>
        </w:rPr>
      </w:pPr>
      <w:r>
        <w:rPr>
          <w:sz w:val="24"/>
        </w:rPr>
        <w:t>Notwithstanding paragraph (b), the </w:t>
      </w:r>
      <w:r>
        <w:rPr>
          <w:i/>
          <w:sz w:val="24"/>
        </w:rPr>
        <w:t>AER </w:t>
      </w:r>
      <w:r>
        <w:rPr>
          <w:sz w:val="24"/>
        </w:rPr>
        <w:t>may make minor and administrative amendments to the VCR methodology without complying with the </w:t>
      </w:r>
      <w:r>
        <w:rPr>
          <w:i/>
          <w:sz w:val="24"/>
        </w:rPr>
        <w:t>Rules consultation</w:t>
      </w:r>
      <w:r>
        <w:rPr>
          <w:i/>
          <w:spacing w:val="-2"/>
          <w:sz w:val="24"/>
        </w:rPr>
        <w:t> </w:t>
      </w:r>
      <w:r>
        <w:rPr>
          <w:i/>
          <w:sz w:val="24"/>
        </w:rPr>
        <w:t>procedures</w:t>
      </w:r>
      <w:r>
        <w:rPr>
          <w:sz w:val="24"/>
        </w:rPr>
        <w:t>.</w:t>
      </w:r>
    </w:p>
    <w:p>
      <w:pPr>
        <w:pStyle w:val="ListParagraph"/>
        <w:numPr>
          <w:ilvl w:val="0"/>
          <w:numId w:val="646"/>
        </w:numPr>
        <w:tabs>
          <w:tab w:pos="1919" w:val="left" w:leader="none"/>
        </w:tabs>
        <w:spacing w:line="240" w:lineRule="auto" w:before="120" w:after="0"/>
        <w:ind w:left="1918" w:right="0" w:hanging="567"/>
        <w:jc w:val="both"/>
        <w:rPr>
          <w:sz w:val="24"/>
        </w:rPr>
      </w:pPr>
      <w:r>
        <w:rPr>
          <w:sz w:val="24"/>
        </w:rPr>
        <w:t>The VCR methodology</w:t>
      </w:r>
      <w:r>
        <w:rPr>
          <w:spacing w:val="-2"/>
          <w:sz w:val="24"/>
        </w:rPr>
        <w:t> </w:t>
      </w:r>
      <w:r>
        <w:rPr>
          <w:sz w:val="24"/>
        </w:rPr>
        <w:t>must:</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include a mechanism for directly engaging</w:t>
      </w:r>
      <w:r>
        <w:rPr>
          <w:spacing w:val="-2"/>
          <w:sz w:val="24"/>
        </w:rPr>
        <w:t> </w:t>
      </w:r>
      <w:r>
        <w:rPr>
          <w:sz w:val="24"/>
        </w:rPr>
        <w:t>with:</w:t>
      </w:r>
    </w:p>
    <w:p>
      <w:pPr>
        <w:pStyle w:val="ListParagraph"/>
        <w:numPr>
          <w:ilvl w:val="2"/>
          <w:numId w:val="646"/>
        </w:numPr>
        <w:tabs>
          <w:tab w:pos="3053" w:val="left" w:leader="none"/>
        </w:tabs>
        <w:spacing w:line="240" w:lineRule="auto" w:before="120" w:after="0"/>
        <w:ind w:left="3052" w:right="0" w:hanging="567"/>
        <w:jc w:val="both"/>
        <w:rPr>
          <w:sz w:val="24"/>
        </w:rPr>
      </w:pPr>
      <w:r>
        <w:rPr>
          <w:i/>
          <w:sz w:val="24"/>
        </w:rPr>
        <w:t>retail customers</w:t>
      </w:r>
      <w:r>
        <w:rPr>
          <w:sz w:val="24"/>
        </w:rPr>
        <w:t>;</w:t>
      </w:r>
      <w:r>
        <w:rPr>
          <w:spacing w:val="-1"/>
          <w:sz w:val="24"/>
        </w:rPr>
        <w:t> </w:t>
      </w:r>
      <w:r>
        <w:rPr>
          <w:sz w:val="24"/>
        </w:rPr>
        <w:t>and</w:t>
      </w:r>
    </w:p>
    <w:p>
      <w:pPr>
        <w:pStyle w:val="ListParagraph"/>
        <w:numPr>
          <w:ilvl w:val="2"/>
          <w:numId w:val="646"/>
        </w:numPr>
        <w:tabs>
          <w:tab w:pos="3054" w:val="left" w:leader="none"/>
        </w:tabs>
        <w:spacing w:line="343" w:lineRule="auto" w:before="120" w:after="0"/>
        <w:ind w:left="2486" w:right="3507" w:firstLine="0"/>
        <w:jc w:val="both"/>
        <w:rPr>
          <w:sz w:val="24"/>
        </w:rPr>
      </w:pPr>
      <w:r>
        <w:rPr>
          <w:i/>
          <w:sz w:val="24"/>
        </w:rPr>
        <w:t>Customers </w:t>
      </w:r>
      <w:r>
        <w:rPr>
          <w:sz w:val="24"/>
        </w:rPr>
        <w:t>(other than </w:t>
      </w:r>
      <w:r>
        <w:rPr>
          <w:i/>
          <w:sz w:val="24"/>
        </w:rPr>
        <w:t>retailers</w:t>
      </w:r>
      <w:r>
        <w:rPr>
          <w:sz w:val="24"/>
        </w:rPr>
        <w:t>), which may include the use of</w:t>
      </w:r>
      <w:r>
        <w:rPr>
          <w:spacing w:val="-13"/>
          <w:sz w:val="24"/>
        </w:rPr>
        <w:t> </w:t>
      </w:r>
      <w:r>
        <w:rPr>
          <w:sz w:val="24"/>
        </w:rPr>
        <w:t>surveys;</w:t>
      </w:r>
    </w:p>
    <w:p>
      <w:pPr>
        <w:pStyle w:val="ListParagraph"/>
        <w:numPr>
          <w:ilvl w:val="1"/>
          <w:numId w:val="646"/>
        </w:numPr>
        <w:tabs>
          <w:tab w:pos="2486" w:val="left" w:leader="none"/>
        </w:tabs>
        <w:spacing w:line="240" w:lineRule="auto" w:before="3" w:after="0"/>
        <w:ind w:left="2486" w:right="414" w:hanging="567"/>
        <w:jc w:val="both"/>
        <w:rPr>
          <w:sz w:val="24"/>
        </w:rPr>
      </w:pPr>
      <w:r>
        <w:rPr>
          <w:sz w:val="24"/>
        </w:rPr>
        <w:t>include a mechanism for adjusting the values of customer reliability on an annual basis;</w:t>
      </w:r>
      <w:r>
        <w:rPr>
          <w:spacing w:val="-1"/>
          <w:sz w:val="24"/>
        </w:rPr>
        <w:t> </w:t>
      </w:r>
      <w:r>
        <w:rPr>
          <w:sz w:val="24"/>
        </w:rPr>
        <w:t>and</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be </w:t>
      </w:r>
      <w:r>
        <w:rPr>
          <w:i/>
          <w:sz w:val="24"/>
        </w:rPr>
        <w:t>published </w:t>
      </w:r>
      <w:r>
        <w:rPr>
          <w:sz w:val="24"/>
        </w:rPr>
        <w:t>promptly after it has been developed under paragraph (b).</w:t>
      </w:r>
    </w:p>
    <w:p>
      <w:pPr>
        <w:pStyle w:val="ListParagraph"/>
        <w:numPr>
          <w:ilvl w:val="0"/>
          <w:numId w:val="646"/>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ensure that the VCR methodology developed under paragraph (b), and any values of customer reliability calculated in accordance with that methodology, are consistent with the VCR</w:t>
      </w:r>
      <w:r>
        <w:rPr>
          <w:spacing w:val="-11"/>
          <w:sz w:val="24"/>
        </w:rPr>
        <w:t> </w:t>
      </w:r>
      <w:r>
        <w:rPr>
          <w:sz w:val="24"/>
        </w:rPr>
        <w:t>objective.</w:t>
      </w:r>
    </w:p>
    <w:p>
      <w:pPr>
        <w:pStyle w:val="ListParagraph"/>
        <w:numPr>
          <w:ilvl w:val="0"/>
          <w:numId w:val="646"/>
        </w:numPr>
        <w:tabs>
          <w:tab w:pos="1920" w:val="left" w:leader="none"/>
        </w:tabs>
        <w:spacing w:line="240" w:lineRule="auto" w:before="120" w:after="0"/>
        <w:ind w:left="1919" w:right="415" w:hanging="567"/>
        <w:jc w:val="both"/>
        <w:rPr>
          <w:sz w:val="24"/>
        </w:rPr>
      </w:pPr>
      <w:r>
        <w:rPr>
          <w:sz w:val="24"/>
        </w:rPr>
        <w:t>The </w:t>
      </w:r>
      <w:r>
        <w:rPr>
          <w:i/>
          <w:sz w:val="24"/>
        </w:rPr>
        <w:t>AER </w:t>
      </w:r>
      <w:r>
        <w:rPr>
          <w:sz w:val="24"/>
        </w:rPr>
        <w:t>must, prior to each date on which the values of customer reliability are updated under subparagraph</w:t>
      </w:r>
      <w:r>
        <w:rPr>
          <w:spacing w:val="-2"/>
          <w:sz w:val="24"/>
        </w:rPr>
        <w:t> </w:t>
      </w:r>
      <w:r>
        <w:rPr>
          <w:sz w:val="24"/>
        </w:rPr>
        <w:t>(g)(2):</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review the VCR methodology;</w:t>
      </w:r>
      <w:r>
        <w:rPr>
          <w:spacing w:val="-2"/>
          <w:sz w:val="24"/>
        </w:rPr>
        <w:t> </w:t>
      </w:r>
      <w:r>
        <w:rPr>
          <w:sz w:val="24"/>
        </w:rPr>
        <w:t>and</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following such review, </w:t>
      </w:r>
      <w:r>
        <w:rPr>
          <w:i/>
          <w:sz w:val="24"/>
        </w:rPr>
        <w:t>publish</w:t>
      </w:r>
      <w:r>
        <w:rPr>
          <w:i/>
          <w:spacing w:val="-2"/>
          <w:sz w:val="24"/>
        </w:rPr>
        <w:t> </w:t>
      </w:r>
      <w:r>
        <w:rPr>
          <w:sz w:val="24"/>
        </w:rPr>
        <w:t>either:</w:t>
      </w:r>
    </w:p>
    <w:p>
      <w:pPr>
        <w:pStyle w:val="ListParagraph"/>
        <w:numPr>
          <w:ilvl w:val="2"/>
          <w:numId w:val="646"/>
        </w:numPr>
        <w:tabs>
          <w:tab w:pos="3053" w:val="left" w:leader="none"/>
        </w:tabs>
        <w:spacing w:line="240" w:lineRule="auto" w:before="120" w:after="0"/>
        <w:ind w:left="3052" w:right="0" w:hanging="567"/>
        <w:jc w:val="both"/>
        <w:rPr>
          <w:sz w:val="24"/>
        </w:rPr>
      </w:pPr>
      <w:r>
        <w:rPr>
          <w:sz w:val="24"/>
        </w:rPr>
        <w:t>an updated VCR methodology;</w:t>
      </w:r>
      <w:r>
        <w:rPr>
          <w:spacing w:val="-2"/>
          <w:sz w:val="24"/>
        </w:rPr>
        <w:t> </w:t>
      </w:r>
      <w:r>
        <w:rPr>
          <w:sz w:val="24"/>
        </w:rPr>
        <w:t>or</w:t>
      </w:r>
    </w:p>
    <w:p>
      <w:pPr>
        <w:pStyle w:val="ListParagraph"/>
        <w:numPr>
          <w:ilvl w:val="2"/>
          <w:numId w:val="646"/>
        </w:numPr>
        <w:tabs>
          <w:tab w:pos="3054" w:val="left" w:leader="none"/>
        </w:tabs>
        <w:spacing w:line="240" w:lineRule="auto" w:before="120" w:after="0"/>
        <w:ind w:left="3053" w:right="416" w:hanging="567"/>
        <w:jc w:val="both"/>
        <w:rPr>
          <w:sz w:val="24"/>
        </w:rPr>
      </w:pPr>
      <w:r>
        <w:rPr>
          <w:sz w:val="24"/>
        </w:rPr>
        <w:t>a notice stating that the existing VCR methodology was not varied as a result of the</w:t>
      </w:r>
      <w:r>
        <w:rPr>
          <w:spacing w:val="-2"/>
          <w:sz w:val="24"/>
        </w:rPr>
        <w:t> </w:t>
      </w:r>
      <w:r>
        <w:rPr>
          <w:sz w:val="24"/>
        </w:rPr>
        <w:t>review.</w:t>
      </w:r>
    </w:p>
    <w:p>
      <w:pPr>
        <w:pStyle w:val="ListParagraph"/>
        <w:numPr>
          <w:ilvl w:val="0"/>
          <w:numId w:val="646"/>
        </w:numPr>
        <w:tabs>
          <w:tab w:pos="1919" w:val="left" w:leader="none"/>
        </w:tabs>
        <w:spacing w:line="240" w:lineRule="auto" w:before="120" w:after="0"/>
        <w:ind w:left="1918" w:right="0" w:hanging="567"/>
        <w:jc w:val="both"/>
        <w:rPr>
          <w:sz w:val="24"/>
        </w:rPr>
      </w:pPr>
      <w:r>
        <w:rPr>
          <w:sz w:val="24"/>
        </w:rPr>
        <w:t>The </w:t>
      </w:r>
      <w:r>
        <w:rPr>
          <w:i/>
          <w:sz w:val="24"/>
        </w:rPr>
        <w:t>AER</w:t>
      </w:r>
      <w:r>
        <w:rPr>
          <w:i/>
          <w:spacing w:val="-1"/>
          <w:sz w:val="24"/>
        </w:rPr>
        <w:t> </w:t>
      </w:r>
      <w:r>
        <w:rPr>
          <w:sz w:val="24"/>
        </w:rPr>
        <w:t>must:</w:t>
      </w:r>
    </w:p>
    <w:p>
      <w:pPr>
        <w:pStyle w:val="ListParagraph"/>
        <w:numPr>
          <w:ilvl w:val="1"/>
          <w:numId w:val="646"/>
        </w:numPr>
        <w:tabs>
          <w:tab w:pos="2486" w:val="left" w:leader="none"/>
        </w:tabs>
        <w:spacing w:line="240" w:lineRule="auto" w:before="120" w:after="0"/>
        <w:ind w:left="2486" w:right="416" w:hanging="567"/>
        <w:jc w:val="both"/>
        <w:rPr>
          <w:sz w:val="24"/>
        </w:rPr>
      </w:pPr>
      <w:r>
        <w:rPr>
          <w:i/>
          <w:sz w:val="24"/>
        </w:rPr>
        <w:t>publish </w:t>
      </w:r>
      <w:r>
        <w:rPr>
          <w:sz w:val="24"/>
        </w:rPr>
        <w:t>the first values of customer reliability, calculated </w:t>
      </w:r>
      <w:r>
        <w:rPr>
          <w:spacing w:val="-6"/>
          <w:sz w:val="24"/>
        </w:rPr>
        <w:t>in </w:t>
      </w:r>
      <w:r>
        <w:rPr>
          <w:sz w:val="24"/>
        </w:rPr>
        <w:t>accordance with the VCR methodology, on or before 31 December 2019;</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update the values of customer reliability at least once every five </w:t>
      </w:r>
      <w:r>
        <w:rPr>
          <w:spacing w:val="-3"/>
          <w:sz w:val="24"/>
        </w:rPr>
        <w:t>years, </w:t>
      </w:r>
      <w:r>
        <w:rPr>
          <w:sz w:val="24"/>
        </w:rPr>
        <w:t>with the updated values to be </w:t>
      </w:r>
      <w:r>
        <w:rPr>
          <w:i/>
          <w:sz w:val="24"/>
        </w:rPr>
        <w:t>published </w:t>
      </w:r>
      <w:r>
        <w:rPr>
          <w:sz w:val="24"/>
        </w:rPr>
        <w:t>promptly thereafter;</w:t>
      </w:r>
      <w:r>
        <w:rPr>
          <w:spacing w:val="-6"/>
          <w:sz w:val="24"/>
        </w:rPr>
        <w:t> </w:t>
      </w:r>
      <w:r>
        <w:rPr>
          <w:sz w:val="24"/>
        </w:rPr>
        <w:t>and</w:t>
      </w:r>
    </w:p>
    <w:p>
      <w:pPr>
        <w:pStyle w:val="ListParagraph"/>
        <w:numPr>
          <w:ilvl w:val="1"/>
          <w:numId w:val="646"/>
        </w:numPr>
        <w:tabs>
          <w:tab w:pos="2486" w:val="left" w:leader="none"/>
        </w:tabs>
        <w:spacing w:line="240" w:lineRule="auto" w:before="120" w:after="0"/>
        <w:ind w:left="2486" w:right="415" w:hanging="567"/>
        <w:jc w:val="both"/>
        <w:rPr>
          <w:sz w:val="24"/>
        </w:rPr>
      </w:pPr>
      <w:r>
        <w:rPr>
          <w:sz w:val="24"/>
        </w:rPr>
        <w:t>maintain on its website the values of customer reliability as updated from time to</w:t>
      </w:r>
      <w:r>
        <w:rPr>
          <w:spacing w:val="-1"/>
          <w:sz w:val="24"/>
        </w:rPr>
        <w:t> </w:t>
      </w:r>
      <w:r>
        <w:rPr>
          <w:sz w:val="24"/>
        </w:rPr>
        <w:t>time.</w:t>
      </w:r>
    </w:p>
    <w:p>
      <w:pPr>
        <w:pStyle w:val="ListParagraph"/>
        <w:numPr>
          <w:ilvl w:val="0"/>
          <w:numId w:val="646"/>
        </w:numPr>
        <w:tabs>
          <w:tab w:pos="1919" w:val="left" w:leader="none"/>
        </w:tabs>
        <w:spacing w:line="240" w:lineRule="auto" w:before="120" w:after="0"/>
        <w:ind w:left="1919" w:right="415" w:hanging="567"/>
        <w:jc w:val="both"/>
        <w:rPr>
          <w:sz w:val="24"/>
        </w:rPr>
      </w:pPr>
      <w:r>
        <w:rPr>
          <w:sz w:val="24"/>
        </w:rPr>
        <w:t>For the purpose of complying with the </w:t>
      </w:r>
      <w:r>
        <w:rPr>
          <w:i/>
          <w:sz w:val="24"/>
        </w:rPr>
        <w:t>Rules consultation procedures </w:t>
      </w:r>
      <w:r>
        <w:rPr>
          <w:sz w:val="24"/>
        </w:rPr>
        <w:t>under paragraph (b), the </w:t>
      </w:r>
      <w:r>
        <w:rPr>
          <w:i/>
          <w:sz w:val="24"/>
        </w:rPr>
        <w:t>AER </w:t>
      </w:r>
      <w:r>
        <w:rPr>
          <w:sz w:val="24"/>
        </w:rPr>
        <w:t>must consult</w:t>
      </w:r>
      <w:r>
        <w:rPr>
          <w:spacing w:val="-1"/>
          <w:sz w:val="24"/>
        </w:rPr>
        <w:t> </w:t>
      </w:r>
      <w:r>
        <w:rPr>
          <w:sz w:val="24"/>
        </w:rPr>
        <w:t>with:</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the </w:t>
      </w:r>
      <w:r>
        <w:rPr>
          <w:i/>
          <w:sz w:val="24"/>
        </w:rPr>
        <w:t>Reliability</w:t>
      </w:r>
      <w:r>
        <w:rPr>
          <w:i/>
          <w:spacing w:val="-1"/>
          <w:sz w:val="24"/>
        </w:rPr>
        <w:t> </w:t>
      </w:r>
      <w:r>
        <w:rPr>
          <w:i/>
          <w:sz w:val="24"/>
        </w:rPr>
        <w:t>Panel</w:t>
      </w:r>
      <w:r>
        <w:rPr>
          <w:sz w:val="24"/>
        </w:rPr>
        <w:t>;</w:t>
      </w:r>
    </w:p>
    <w:p>
      <w:pPr>
        <w:pStyle w:val="ListParagraph"/>
        <w:numPr>
          <w:ilvl w:val="1"/>
          <w:numId w:val="646"/>
        </w:numPr>
        <w:tabs>
          <w:tab w:pos="2486" w:val="left" w:leader="none"/>
        </w:tabs>
        <w:spacing w:line="240" w:lineRule="auto" w:before="120" w:after="0"/>
        <w:ind w:left="2485" w:right="0" w:hanging="567"/>
        <w:jc w:val="both"/>
        <w:rPr>
          <w:sz w:val="24"/>
        </w:rPr>
      </w:pPr>
      <w:r>
        <w:rPr>
          <w:i/>
          <w:sz w:val="24"/>
        </w:rPr>
        <w:t>AEMO</w:t>
      </w:r>
      <w:r>
        <w:rPr>
          <w:sz w:val="24"/>
        </w:rPr>
        <w:t>;</w:t>
      </w:r>
    </w:p>
    <w:p>
      <w:pPr>
        <w:pStyle w:val="ListParagraph"/>
        <w:numPr>
          <w:ilvl w:val="1"/>
          <w:numId w:val="646"/>
        </w:numPr>
        <w:tabs>
          <w:tab w:pos="2486" w:val="left" w:leader="none"/>
        </w:tabs>
        <w:spacing w:line="240" w:lineRule="auto" w:before="120" w:after="0"/>
        <w:ind w:left="2485" w:right="0" w:hanging="567"/>
        <w:jc w:val="both"/>
        <w:rPr>
          <w:sz w:val="24"/>
        </w:rPr>
      </w:pPr>
      <w:r>
        <w:rPr>
          <w:sz w:val="24"/>
        </w:rPr>
        <w:t>each jurisdictional</w:t>
      </w:r>
      <w:r>
        <w:rPr>
          <w:spacing w:val="-2"/>
          <w:sz w:val="24"/>
        </w:rPr>
        <w:t> </w:t>
      </w:r>
      <w:r>
        <w:rPr>
          <w:sz w:val="24"/>
        </w:rPr>
        <w:t>regulator;</w:t>
      </w:r>
    </w:p>
    <w:p>
      <w:pPr>
        <w:pStyle w:val="ListParagraph"/>
        <w:numPr>
          <w:ilvl w:val="1"/>
          <w:numId w:val="646"/>
        </w:numPr>
        <w:tabs>
          <w:tab w:pos="2486" w:val="left" w:leader="none"/>
        </w:tabs>
        <w:spacing w:line="240" w:lineRule="auto" w:before="120" w:after="0"/>
        <w:ind w:left="2485" w:right="0" w:hanging="567"/>
        <w:jc w:val="both"/>
        <w:rPr>
          <w:sz w:val="24"/>
        </w:rPr>
      </w:pPr>
      <w:r>
        <w:rPr>
          <w:i/>
          <w:sz w:val="24"/>
        </w:rPr>
        <w:t>Registered Participants</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46"/>
        </w:numPr>
        <w:tabs>
          <w:tab w:pos="2486" w:val="left" w:leader="none"/>
        </w:tabs>
        <w:spacing w:line="240" w:lineRule="auto" w:before="83" w:after="0"/>
        <w:ind w:left="2486" w:right="414" w:hanging="567"/>
        <w:jc w:val="both"/>
        <w:rPr>
          <w:sz w:val="24"/>
        </w:rPr>
      </w:pPr>
      <w:r>
        <w:rPr>
          <w:sz w:val="24"/>
        </w:rPr>
        <w:t>such other persons who, in the </w:t>
      </w:r>
      <w:r>
        <w:rPr>
          <w:i/>
          <w:sz w:val="24"/>
        </w:rPr>
        <w:t>AER</w:t>
      </w:r>
      <w:r>
        <w:rPr>
          <w:sz w:val="24"/>
        </w:rPr>
        <w:t>'s reasonable opinion, have, or have identified themselves to the </w:t>
      </w:r>
      <w:r>
        <w:rPr>
          <w:i/>
          <w:sz w:val="24"/>
        </w:rPr>
        <w:t>AER </w:t>
      </w:r>
      <w:r>
        <w:rPr>
          <w:sz w:val="24"/>
        </w:rPr>
        <w:t>as having, an interest in the VCR methodology and values of customer</w:t>
      </w:r>
      <w:r>
        <w:rPr>
          <w:spacing w:val="-2"/>
          <w:sz w:val="24"/>
        </w:rPr>
        <w:t> </w:t>
      </w:r>
      <w:r>
        <w:rPr>
          <w:sz w:val="24"/>
        </w:rPr>
        <w:t>reliability.</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8A</w:t>
                  </w:r>
                </w:p>
              </w:txbxContent>
            </v:textbox>
            <v:fill type="solid"/>
            <v:stroke dashstyle="solid"/>
          </v:shape>
        </w:pict>
      </w:r>
      <w:r>
        <w:rPr>
          <w:position w:val="0"/>
          <w:sz w:val="20"/>
        </w:rPr>
      </w:r>
    </w:p>
    <w:p>
      <w:pPr>
        <w:spacing w:after="0"/>
        <w:jc w:val="left"/>
        <w:rPr>
          <w:sz w:val="20"/>
        </w:rPr>
        <w:sectPr>
          <w:headerReference w:type="default" r:id="rId131"/>
          <w:footerReference w:type="default" r:id="rId132"/>
          <w:pgSz w:w="11910" w:h="16840"/>
          <w:pgMar w:header="686" w:footer="637" w:top="1320" w:bottom="820" w:left="1200" w:right="1000"/>
          <w:pgNumType w:start="707"/>
        </w:sectPr>
      </w:pPr>
    </w:p>
    <w:p>
      <w:pPr>
        <w:pStyle w:val="BodyText"/>
        <w:spacing w:before="4"/>
        <w:ind w:firstLine="0"/>
        <w:jc w:val="left"/>
        <w:rPr>
          <w:sz w:val="17"/>
        </w:rPr>
      </w:pPr>
    </w:p>
    <w:p>
      <w:pPr>
        <w:spacing w:after="0"/>
        <w:jc w:val="left"/>
        <w:rPr>
          <w:sz w:val="17"/>
        </w:rPr>
        <w:sectPr>
          <w:headerReference w:type="default" r:id="rId133"/>
          <w:footerReference w:type="default" r:id="rId134"/>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8A. Participant Derogations" w:id="2337"/>
      <w:bookmarkEnd w:id="2337"/>
      <w:r>
        <w:rPr>
          <w:b w:val="0"/>
        </w:rPr>
      </w:r>
      <w:bookmarkStart w:name="_bookmark971" w:id="2338"/>
      <w:bookmarkEnd w:id="2338"/>
      <w:r>
        <w:rPr>
          <w:b w:val="0"/>
        </w:rPr>
      </w:r>
      <w:r>
        <w:rPr/>
        <w:t>8A.</w:t>
        <w:tab/>
        <w:t>Participant</w:t>
      </w:r>
      <w:r>
        <w:rPr>
          <w:spacing w:val="-1"/>
        </w:rPr>
        <w:t> </w:t>
      </w:r>
      <w:r>
        <w:rPr/>
        <w:t>Derogations</w:t>
      </w:r>
    </w:p>
    <w:p>
      <w:pPr>
        <w:spacing w:before="120"/>
        <w:ind w:left="1352" w:right="0" w:firstLine="0"/>
        <w:jc w:val="left"/>
        <w:rPr>
          <w:rFonts w:ascii="Arial"/>
          <w:b/>
          <w:sz w:val="20"/>
        </w:rPr>
      </w:pPr>
      <w:r>
        <w:rPr>
          <w:rFonts w:ascii="Arial"/>
          <w:b/>
          <w:sz w:val="20"/>
        </w:rPr>
        <w:t>Note:</w:t>
      </w:r>
    </w:p>
    <w:p>
      <w:pPr>
        <w:spacing w:before="120"/>
        <w:ind w:left="1352" w:right="0" w:firstLine="0"/>
        <w:jc w:val="left"/>
        <w:rPr>
          <w:i/>
          <w:sz w:val="20"/>
        </w:rPr>
      </w:pPr>
      <w:r>
        <w:rPr>
          <w:sz w:val="20"/>
        </w:rPr>
        <w:t>This Chapter contains the </w:t>
      </w:r>
      <w:r>
        <w:rPr>
          <w:i/>
          <w:sz w:val="20"/>
        </w:rPr>
        <w:t>participant derogations </w:t>
      </w:r>
      <w:r>
        <w:rPr>
          <w:sz w:val="20"/>
        </w:rPr>
        <w:t>for the purposes of the </w:t>
      </w:r>
      <w:r>
        <w:rPr>
          <w:i/>
          <w:sz w:val="20"/>
        </w:rPr>
        <w:t>National Electricity Law</w:t>
      </w:r>
    </w:p>
    <w:p>
      <w:pPr>
        <w:spacing w:before="0"/>
        <w:ind w:left="1352" w:right="0" w:firstLine="0"/>
        <w:jc w:val="left"/>
        <w:rPr>
          <w:sz w:val="20"/>
        </w:rPr>
      </w:pPr>
      <w:r>
        <w:rPr>
          <w:sz w:val="20"/>
        </w:rPr>
        <w:t>and the</w:t>
      </w:r>
      <w:r>
        <w:rPr>
          <w:spacing w:val="-1"/>
          <w:sz w:val="20"/>
        </w:rPr>
        <w:t> </w:t>
      </w:r>
      <w:r>
        <w:rPr>
          <w:i/>
          <w:sz w:val="20"/>
        </w:rPr>
        <w:t>Rules</w:t>
      </w:r>
      <w:r>
        <w:rPr>
          <w:sz w:val="20"/>
        </w:rPr>
        <w:t>.</w:t>
      </w:r>
    </w:p>
    <w:p>
      <w:pPr>
        <w:pStyle w:val="BodyText"/>
        <w:spacing w:before="9"/>
        <w:ind w:firstLine="0"/>
        <w:jc w:val="left"/>
        <w:rPr>
          <w:sz w:val="18"/>
        </w:rPr>
      </w:pPr>
      <w:r>
        <w:rPr/>
        <w:pict>
          <v:shape style="position:absolute;margin-left:69.450005pt;margin-top:12.02320pt;width:456.45pt;height:16.1pt;mso-position-horizontal-relative:page;mso-position-vertical-relative:paragraph;z-index:-251588608;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1 Derogations Granted to TransGrid" w:id="2339"/>
                  <w:bookmarkEnd w:id="2339"/>
                  <w:r>
                    <w:rPr/>
                  </w:r>
                  <w:bookmarkStart w:name="_bookmark972" w:id="2340"/>
                  <w:bookmarkEnd w:id="2340"/>
                  <w:r>
                    <w:rPr/>
                  </w:r>
                  <w:r>
                    <w:rPr>
                      <w:rFonts w:ascii="Arial"/>
                      <w:b/>
                      <w:sz w:val="28"/>
                    </w:rPr>
                    <w:t>Part 1</w:t>
                    <w:tab/>
                    <w:t>Derogations Granted to</w:t>
                  </w:r>
                  <w:r>
                    <w:rPr>
                      <w:rFonts w:ascii="Arial"/>
                      <w:b/>
                      <w:spacing w:val="-3"/>
                      <w:sz w:val="28"/>
                    </w:rPr>
                    <w:t> </w:t>
                  </w:r>
                  <w:r>
                    <w:rPr>
                      <w:rFonts w:ascii="Arial"/>
                      <w:b/>
                      <w:sz w:val="28"/>
                    </w:rPr>
                    <w:t>TransGrid</w:t>
                  </w:r>
                </w:p>
              </w:txbxContent>
            </v:textbox>
            <v:fill type="solid"/>
            <w10:wrap type="topAndBottom"/>
          </v:shape>
        </w:pict>
      </w:r>
    </w:p>
    <w:p>
      <w:pPr>
        <w:pStyle w:val="BodyText"/>
        <w:spacing w:before="7"/>
        <w:ind w:firstLine="0"/>
        <w:jc w:val="left"/>
        <w:rPr>
          <w:sz w:val="11"/>
        </w:rPr>
      </w:pPr>
    </w:p>
    <w:p>
      <w:pPr>
        <w:pStyle w:val="Heading3"/>
        <w:tabs>
          <w:tab w:pos="1351" w:val="left" w:leader="none"/>
        </w:tabs>
        <w:spacing w:before="91"/>
        <w:ind w:left="218" w:firstLine="0"/>
      </w:pPr>
      <w:bookmarkStart w:name="8A.1 [Deleted]" w:id="2341"/>
      <w:bookmarkEnd w:id="2341"/>
      <w:r>
        <w:rPr>
          <w:b w:val="0"/>
        </w:rPr>
      </w:r>
      <w:bookmarkStart w:name="_bookmark973" w:id="2342"/>
      <w:bookmarkEnd w:id="2342"/>
      <w:r>
        <w:rPr>
          <w:b w:val="0"/>
        </w:rPr>
      </w:r>
      <w:r>
        <w:rPr/>
        <w:t>8A.1</w:t>
        <w:tab/>
        <w:t>[Deleted]</w:t>
      </w:r>
    </w:p>
    <w:p>
      <w:pPr>
        <w:pStyle w:val="BodyText"/>
        <w:spacing w:before="9"/>
        <w:ind w:firstLine="0"/>
        <w:jc w:val="left"/>
        <w:rPr>
          <w:rFonts w:ascii="Arial"/>
          <w:b/>
          <w:sz w:val="18"/>
        </w:rPr>
      </w:pPr>
      <w:r>
        <w:rPr/>
        <w:pict>
          <v:shape style="position:absolute;margin-left:69.450005pt;margin-top:12.025805pt;width:456.45pt;height:16.1pt;mso-position-horizontal-relative:page;mso-position-vertical-relative:paragraph;z-index:-251587584;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2 Derogations Granted to EnergyAust" w:id="2343"/>
                  <w:bookmarkEnd w:id="2343"/>
                  <w:r>
                    <w:rPr/>
                  </w:r>
                  <w:bookmarkStart w:name="_bookmark974" w:id="2344"/>
                  <w:bookmarkEnd w:id="2344"/>
                  <w:r>
                    <w:rPr/>
                  </w:r>
                  <w:r>
                    <w:rPr>
                      <w:rFonts w:ascii="Arial"/>
                      <w:b/>
                      <w:sz w:val="28"/>
                    </w:rPr>
                    <w:t>Part 2</w:t>
                    <w:tab/>
                    <w:t>Derogations Granted to</w:t>
                  </w:r>
                  <w:r>
                    <w:rPr>
                      <w:rFonts w:ascii="Arial"/>
                      <w:b/>
                      <w:spacing w:val="-4"/>
                      <w:sz w:val="28"/>
                    </w:rPr>
                    <w:t> </w:t>
                  </w:r>
                  <w:r>
                    <w:rPr>
                      <w:rFonts w:ascii="Arial"/>
                      <w:b/>
                      <w:sz w:val="28"/>
                    </w:rPr>
                    <w:t>EnergyAustralia</w:t>
                  </w:r>
                </w:p>
              </w:txbxContent>
            </v:textbox>
            <v:fill type="solid"/>
            <w10:wrap type="topAndBottom"/>
          </v:shape>
        </w:pict>
      </w:r>
    </w:p>
    <w:p>
      <w:pPr>
        <w:pStyle w:val="BodyText"/>
        <w:spacing w:before="7"/>
        <w:ind w:firstLine="0"/>
        <w:jc w:val="left"/>
        <w:rPr>
          <w:rFonts w:ascii="Arial"/>
          <w:b/>
          <w:sz w:val="11"/>
        </w:rPr>
      </w:pPr>
    </w:p>
    <w:p>
      <w:pPr>
        <w:tabs>
          <w:tab w:pos="1351" w:val="left" w:leader="none"/>
        </w:tabs>
        <w:spacing w:line="432" w:lineRule="auto" w:before="91" w:after="2"/>
        <w:ind w:left="218" w:right="7240" w:firstLine="0"/>
        <w:jc w:val="left"/>
        <w:rPr>
          <w:rFonts w:ascii="Arial"/>
          <w:b/>
          <w:sz w:val="26"/>
        </w:rPr>
      </w:pPr>
      <w:bookmarkStart w:name="8A.2 [Deleted]" w:id="2345"/>
      <w:bookmarkEnd w:id="2345"/>
      <w:r>
        <w:rPr/>
      </w:r>
      <w:bookmarkStart w:name="_bookmark975" w:id="2346"/>
      <w:bookmarkEnd w:id="2346"/>
      <w:r>
        <w:rPr/>
      </w:r>
      <w:r>
        <w:rPr>
          <w:rFonts w:ascii="Arial"/>
          <w:b/>
          <w:sz w:val="26"/>
        </w:rPr>
        <w:t>8A.2</w:t>
        <w:tab/>
      </w:r>
      <w:r>
        <w:rPr>
          <w:rFonts w:ascii="Arial"/>
          <w:b/>
          <w:spacing w:val="-1"/>
          <w:sz w:val="26"/>
        </w:rPr>
        <w:t>[Deleted]</w:t>
      </w:r>
      <w:bookmarkStart w:name="8A.2A [Deleted]" w:id="2347"/>
      <w:bookmarkEnd w:id="2347"/>
      <w:r>
        <w:rPr>
          <w:rFonts w:ascii="Arial"/>
          <w:b/>
          <w:spacing w:val="-1"/>
          <w:sz w:val="26"/>
        </w:rPr>
      </w:r>
      <w:bookmarkStart w:name="_bookmark976" w:id="2348"/>
      <w:bookmarkEnd w:id="2348"/>
      <w:r>
        <w:rPr>
          <w:rFonts w:ascii="Arial"/>
          <w:b/>
          <w:spacing w:val="-1"/>
          <w:sz w:val="26"/>
        </w:rPr>
      </w:r>
      <w:r>
        <w:rPr>
          <w:rFonts w:ascii="Arial"/>
          <w:b/>
          <w:spacing w:val="-1"/>
          <w:sz w:val="26"/>
        </w:rPr>
        <w:t> </w:t>
      </w:r>
      <w:r>
        <w:rPr>
          <w:rFonts w:ascii="Arial"/>
          <w:b/>
          <w:sz w:val="26"/>
        </w:rPr>
        <w:t>8A.2A</w:t>
        <w:tab/>
      </w:r>
      <w:r>
        <w:rPr>
          <w:rFonts w:ascii="Arial"/>
          <w:b/>
          <w:spacing w:val="-1"/>
          <w:sz w:val="26"/>
        </w:rPr>
        <w:t>[Deleted]</w:t>
      </w:r>
    </w:p>
    <w:p>
      <w:pPr>
        <w:pStyle w:val="BodyText"/>
        <w:spacing w:before="0"/>
        <w:ind w:left="189" w:firstLine="0"/>
        <w:jc w:val="left"/>
        <w:rPr>
          <w:rFonts w:ascii="Arial"/>
          <w:sz w:val="20"/>
        </w:rPr>
      </w:pPr>
      <w:r>
        <w:rPr>
          <w:rFonts w:ascii="Arial"/>
          <w:sz w:val="20"/>
        </w:rPr>
        <w:pict>
          <v:shape style="width:456.45pt;height:100.4pt;mso-position-horizontal-relative:char;mso-position-vertical-relative:line" type="#_x0000_t202" filled="true" fillcolor="#d9d9d9" stroked="false">
            <w10:anchorlock/>
            <v:textbox inset="0,0,0,0">
              <w:txbxContent>
                <w:p>
                  <w:pPr>
                    <w:tabs>
                      <w:tab w:pos="1163" w:val="left" w:leader="none"/>
                    </w:tabs>
                    <w:spacing w:before="0"/>
                    <w:ind w:left="29" w:right="0" w:firstLine="0"/>
                    <w:jc w:val="left"/>
                    <w:rPr>
                      <w:rFonts w:ascii="Arial"/>
                      <w:b/>
                      <w:sz w:val="28"/>
                    </w:rPr>
                  </w:pPr>
                  <w:bookmarkStart w:name="Part 3 [Deleted]" w:id="2349"/>
                  <w:bookmarkEnd w:id="2349"/>
                  <w:r>
                    <w:rPr/>
                  </w:r>
                  <w:bookmarkStart w:name="_bookmark977" w:id="2350"/>
                  <w:bookmarkEnd w:id="2350"/>
                  <w:r>
                    <w:rPr/>
                  </w:r>
                  <w:r>
                    <w:rPr>
                      <w:rFonts w:ascii="Arial"/>
                      <w:b/>
                      <w:sz w:val="28"/>
                    </w:rPr>
                    <w:t>Part 3</w:t>
                    <w:tab/>
                    <w:t>[Deleted]</w:t>
                  </w:r>
                </w:p>
                <w:p>
                  <w:pPr>
                    <w:tabs>
                      <w:tab w:pos="1163" w:val="left" w:leader="none"/>
                    </w:tabs>
                    <w:spacing w:before="240"/>
                    <w:ind w:left="29" w:right="0" w:firstLine="0"/>
                    <w:jc w:val="left"/>
                    <w:rPr>
                      <w:rFonts w:ascii="Arial"/>
                      <w:b/>
                      <w:sz w:val="28"/>
                    </w:rPr>
                  </w:pPr>
                  <w:bookmarkStart w:name="Part 4 [Deleted]" w:id="2351"/>
                  <w:bookmarkEnd w:id="2351"/>
                  <w:r>
                    <w:rPr/>
                  </w:r>
                  <w:bookmarkStart w:name="_bookmark978" w:id="2352"/>
                  <w:bookmarkEnd w:id="2352"/>
                  <w:r>
                    <w:rPr/>
                  </w:r>
                  <w:r>
                    <w:rPr>
                      <w:rFonts w:ascii="Arial"/>
                      <w:b/>
                      <w:sz w:val="28"/>
                    </w:rPr>
                    <w:t>Part 4</w:t>
                    <w:tab/>
                    <w:t>[Deleted]</w:t>
                  </w:r>
                </w:p>
                <w:p>
                  <w:pPr>
                    <w:tabs>
                      <w:tab w:pos="1163" w:val="left" w:leader="none"/>
                    </w:tabs>
                    <w:spacing w:before="240"/>
                    <w:ind w:left="29" w:right="0" w:firstLine="0"/>
                    <w:jc w:val="left"/>
                    <w:rPr>
                      <w:rFonts w:ascii="Arial"/>
                      <w:b/>
                      <w:sz w:val="28"/>
                    </w:rPr>
                  </w:pPr>
                  <w:bookmarkStart w:name="Part 5 [Deleted]" w:id="2353"/>
                  <w:bookmarkEnd w:id="2353"/>
                  <w:r>
                    <w:rPr/>
                  </w:r>
                  <w:bookmarkStart w:name="_bookmark979" w:id="2354"/>
                  <w:bookmarkEnd w:id="2354"/>
                  <w:r>
                    <w:rPr/>
                  </w:r>
                  <w:r>
                    <w:rPr>
                      <w:rFonts w:ascii="Arial"/>
                      <w:b/>
                      <w:sz w:val="28"/>
                    </w:rPr>
                    <w:t>Part 5</w:t>
                    <w:tab/>
                    <w:t>[Deleted]</w:t>
                  </w:r>
                </w:p>
                <w:p>
                  <w:pPr>
                    <w:tabs>
                      <w:tab w:pos="1163" w:val="left" w:leader="none"/>
                    </w:tabs>
                    <w:spacing w:before="240"/>
                    <w:ind w:left="29" w:right="0" w:firstLine="0"/>
                    <w:jc w:val="left"/>
                    <w:rPr>
                      <w:rFonts w:ascii="Arial"/>
                      <w:b/>
                      <w:sz w:val="28"/>
                    </w:rPr>
                  </w:pPr>
                  <w:bookmarkStart w:name="Part 6 Derogations Granted to Victorian " w:id="2355"/>
                  <w:bookmarkEnd w:id="2355"/>
                  <w:r>
                    <w:rPr/>
                  </w:r>
                  <w:bookmarkStart w:name="_bookmark980" w:id="2356"/>
                  <w:bookmarkEnd w:id="2356"/>
                  <w:r>
                    <w:rPr/>
                  </w:r>
                  <w:r>
                    <w:rPr>
                      <w:rFonts w:ascii="Arial"/>
                      <w:b/>
                      <w:sz w:val="28"/>
                    </w:rPr>
                    <w:t>Part 6</w:t>
                    <w:tab/>
                    <w:t>Derogations Granted to Victorian Market</w:t>
                  </w:r>
                  <w:r>
                    <w:rPr>
                      <w:rFonts w:ascii="Arial"/>
                      <w:b/>
                      <w:spacing w:val="-7"/>
                      <w:sz w:val="28"/>
                    </w:rPr>
                    <w:t> </w:t>
                  </w:r>
                  <w:r>
                    <w:rPr>
                      <w:rFonts w:ascii="Arial"/>
                      <w:b/>
                      <w:sz w:val="28"/>
                    </w:rPr>
                    <w:t>Participants</w:t>
                  </w:r>
                </w:p>
              </w:txbxContent>
            </v:textbox>
            <v:fill type="solid"/>
          </v:shape>
        </w:pict>
      </w:r>
      <w:r>
        <w:rPr>
          <w:rFonts w:ascii="Arial"/>
          <w:sz w:val="20"/>
        </w:rPr>
      </w:r>
    </w:p>
    <w:p>
      <w:pPr>
        <w:pStyle w:val="Heading4"/>
        <w:spacing w:before="103"/>
        <w:ind w:left="1352" w:firstLine="0"/>
        <w:rPr>
          <w:rFonts w:ascii="Times New Roman"/>
        </w:rPr>
      </w:pPr>
      <w:r>
        <w:rPr>
          <w:rFonts w:ascii="Times New Roman"/>
        </w:rPr>
        <w:t>[Deleted]</w:t>
      </w:r>
    </w:p>
    <w:p>
      <w:pPr>
        <w:spacing w:after="0"/>
        <w:rPr>
          <w:rFonts w:ascii="Times New Roman"/>
        </w:rPr>
        <w:sectPr>
          <w:headerReference w:type="default" r:id="rId135"/>
          <w:footerReference w:type="default" r:id="rId136"/>
          <w:pgSz w:w="11910" w:h="16840"/>
          <w:pgMar w:header="686" w:footer="637" w:top="1320" w:bottom="820" w:left="1200" w:right="1000"/>
        </w:sectPr>
      </w:pPr>
    </w:p>
    <w:p>
      <w:pPr>
        <w:pStyle w:val="BodyText"/>
        <w:spacing w:before="2"/>
        <w:ind w:firstLine="0"/>
        <w:jc w:val="left"/>
        <w:rPr>
          <w:b/>
          <w:sz w:val="7"/>
        </w:rPr>
      </w:pPr>
    </w:p>
    <w:p>
      <w:pPr>
        <w:pStyle w:val="BodyText"/>
        <w:spacing w:before="0"/>
        <w:ind w:left="189" w:firstLine="0"/>
        <w:jc w:val="left"/>
        <w:rPr>
          <w:sz w:val="20"/>
        </w:rPr>
      </w:pPr>
      <w:r>
        <w:rPr>
          <w:sz w:val="20"/>
        </w:rPr>
        <w:pict>
          <v:shape style="width:456.45pt;height:200.8pt;mso-position-horizontal-relative:char;mso-position-vertical-relative:line" type="#_x0000_t202" filled="true" fillcolor="#d9d9d9" stroked="false">
            <w10:anchorlock/>
            <v:textbox inset="0,0,0,0">
              <w:txbxContent>
                <w:p>
                  <w:pPr>
                    <w:tabs>
                      <w:tab w:pos="1163" w:val="left" w:leader="none"/>
                    </w:tabs>
                    <w:spacing w:before="0"/>
                    <w:ind w:left="29" w:right="0" w:firstLine="0"/>
                    <w:jc w:val="left"/>
                    <w:rPr>
                      <w:rFonts w:ascii="Arial"/>
                      <w:b/>
                      <w:sz w:val="28"/>
                    </w:rPr>
                  </w:pPr>
                  <w:bookmarkStart w:name="Part 7 [Deleted]" w:id="2357"/>
                  <w:bookmarkEnd w:id="2357"/>
                  <w:r>
                    <w:rPr/>
                  </w:r>
                  <w:bookmarkStart w:name="_bookmark981" w:id="2358"/>
                  <w:bookmarkEnd w:id="2358"/>
                  <w:r>
                    <w:rPr/>
                  </w:r>
                  <w:r>
                    <w:rPr>
                      <w:rFonts w:ascii="Arial"/>
                      <w:b/>
                      <w:sz w:val="28"/>
                    </w:rPr>
                    <w:t>Part 7</w:t>
                    <w:tab/>
                    <w:t>[Deleted]</w:t>
                  </w:r>
                </w:p>
                <w:p>
                  <w:pPr>
                    <w:tabs>
                      <w:tab w:pos="1163" w:val="left" w:leader="none"/>
                    </w:tabs>
                    <w:spacing w:before="240"/>
                    <w:ind w:left="29" w:right="0" w:firstLine="0"/>
                    <w:jc w:val="left"/>
                    <w:rPr>
                      <w:rFonts w:ascii="Arial"/>
                      <w:b/>
                      <w:sz w:val="28"/>
                    </w:rPr>
                  </w:pPr>
                  <w:bookmarkStart w:name="Part 8 [Deleted]" w:id="2359"/>
                  <w:bookmarkEnd w:id="2359"/>
                  <w:r>
                    <w:rPr/>
                  </w:r>
                  <w:bookmarkStart w:name="_bookmark982" w:id="2360"/>
                  <w:bookmarkEnd w:id="2360"/>
                  <w:r>
                    <w:rPr/>
                  </w:r>
                  <w:r>
                    <w:rPr>
                      <w:rFonts w:ascii="Arial"/>
                      <w:b/>
                      <w:sz w:val="28"/>
                    </w:rPr>
                    <w:t>Part 8</w:t>
                    <w:tab/>
                    <w:t>[Deleted]</w:t>
                  </w:r>
                </w:p>
                <w:p>
                  <w:pPr>
                    <w:tabs>
                      <w:tab w:pos="1163" w:val="left" w:leader="none"/>
                    </w:tabs>
                    <w:spacing w:before="240"/>
                    <w:ind w:left="29" w:right="0" w:firstLine="0"/>
                    <w:jc w:val="left"/>
                    <w:rPr>
                      <w:rFonts w:ascii="Arial"/>
                      <w:b/>
                      <w:sz w:val="28"/>
                    </w:rPr>
                  </w:pPr>
                  <w:bookmarkStart w:name="Part 9 [Deleted]" w:id="2361"/>
                  <w:bookmarkEnd w:id="2361"/>
                  <w:r>
                    <w:rPr/>
                  </w:r>
                  <w:bookmarkStart w:name="_bookmark983" w:id="2362"/>
                  <w:bookmarkEnd w:id="2362"/>
                  <w:r>
                    <w:rPr/>
                  </w:r>
                  <w:r>
                    <w:rPr>
                      <w:rFonts w:ascii="Arial"/>
                      <w:b/>
                      <w:sz w:val="28"/>
                    </w:rPr>
                    <w:t>Part 9</w:t>
                    <w:tab/>
                    <w:t>[Deleted]</w:t>
                  </w:r>
                </w:p>
                <w:p>
                  <w:pPr>
                    <w:tabs>
                      <w:tab w:pos="1163" w:val="left" w:leader="none"/>
                    </w:tabs>
                    <w:spacing w:before="240"/>
                    <w:ind w:left="29" w:right="0" w:firstLine="0"/>
                    <w:jc w:val="left"/>
                    <w:rPr>
                      <w:rFonts w:ascii="Arial"/>
                      <w:b/>
                      <w:sz w:val="28"/>
                    </w:rPr>
                  </w:pPr>
                  <w:bookmarkStart w:name="Part 10 [Deleted]" w:id="2363"/>
                  <w:bookmarkEnd w:id="2363"/>
                  <w:r>
                    <w:rPr/>
                  </w:r>
                  <w:bookmarkStart w:name="_bookmark984" w:id="2364"/>
                  <w:bookmarkEnd w:id="2364"/>
                  <w:r>
                    <w:rPr/>
                  </w:r>
                  <w:r>
                    <w:rPr>
                      <w:rFonts w:ascii="Arial"/>
                      <w:b/>
                      <w:sz w:val="28"/>
                    </w:rPr>
                    <w:t>Part</w:t>
                  </w:r>
                  <w:r>
                    <w:rPr>
                      <w:rFonts w:ascii="Arial"/>
                      <w:b/>
                      <w:spacing w:val="-1"/>
                      <w:sz w:val="28"/>
                    </w:rPr>
                    <w:t> </w:t>
                  </w:r>
                  <w:r>
                    <w:rPr>
                      <w:rFonts w:ascii="Arial"/>
                      <w:b/>
                      <w:sz w:val="28"/>
                    </w:rPr>
                    <w:t>10</w:t>
                    <w:tab/>
                    <w:t>[Deleted]</w:t>
                  </w:r>
                </w:p>
                <w:p>
                  <w:pPr>
                    <w:tabs>
                      <w:tab w:pos="1163" w:val="left" w:leader="none"/>
                    </w:tabs>
                    <w:spacing w:before="240"/>
                    <w:ind w:left="29" w:right="0" w:firstLine="0"/>
                    <w:jc w:val="left"/>
                    <w:rPr>
                      <w:rFonts w:ascii="Arial"/>
                      <w:b/>
                      <w:sz w:val="28"/>
                    </w:rPr>
                  </w:pPr>
                  <w:bookmarkStart w:name="Part 11 [Deleted]" w:id="2365"/>
                  <w:bookmarkEnd w:id="2365"/>
                  <w:r>
                    <w:rPr/>
                  </w:r>
                  <w:bookmarkStart w:name="_bookmark985" w:id="2366"/>
                  <w:bookmarkEnd w:id="2366"/>
                  <w:r>
                    <w:rPr/>
                  </w:r>
                  <w:r>
                    <w:rPr>
                      <w:rFonts w:ascii="Arial"/>
                      <w:b/>
                      <w:sz w:val="28"/>
                    </w:rPr>
                    <w:t>Part</w:t>
                  </w:r>
                  <w:r>
                    <w:rPr>
                      <w:rFonts w:ascii="Arial"/>
                      <w:b/>
                      <w:spacing w:val="-1"/>
                      <w:sz w:val="28"/>
                    </w:rPr>
                    <w:t> </w:t>
                  </w:r>
                  <w:r>
                    <w:rPr>
                      <w:rFonts w:ascii="Arial"/>
                      <w:b/>
                      <w:sz w:val="28"/>
                    </w:rPr>
                    <w:t>11</w:t>
                    <w:tab/>
                    <w:t>[Deleted]</w:t>
                  </w:r>
                </w:p>
                <w:p>
                  <w:pPr>
                    <w:tabs>
                      <w:tab w:pos="1163" w:val="left" w:leader="none"/>
                    </w:tabs>
                    <w:spacing w:before="240"/>
                    <w:ind w:left="29" w:right="0" w:firstLine="0"/>
                    <w:jc w:val="left"/>
                    <w:rPr>
                      <w:rFonts w:ascii="Arial"/>
                      <w:b/>
                      <w:sz w:val="28"/>
                    </w:rPr>
                  </w:pPr>
                  <w:bookmarkStart w:name="Part 12 [Deleted]" w:id="2367"/>
                  <w:bookmarkEnd w:id="2367"/>
                  <w:r>
                    <w:rPr/>
                  </w:r>
                  <w:bookmarkStart w:name="_bookmark986" w:id="2368"/>
                  <w:bookmarkEnd w:id="2368"/>
                  <w:r>
                    <w:rPr/>
                  </w:r>
                  <w:r>
                    <w:rPr>
                      <w:rFonts w:ascii="Arial"/>
                      <w:b/>
                      <w:sz w:val="28"/>
                    </w:rPr>
                    <w:t>Part</w:t>
                  </w:r>
                  <w:r>
                    <w:rPr>
                      <w:rFonts w:ascii="Arial"/>
                      <w:b/>
                      <w:spacing w:val="-1"/>
                      <w:sz w:val="28"/>
                    </w:rPr>
                    <w:t> </w:t>
                  </w:r>
                  <w:r>
                    <w:rPr>
                      <w:rFonts w:ascii="Arial"/>
                      <w:b/>
                      <w:sz w:val="28"/>
                    </w:rPr>
                    <w:t>12</w:t>
                    <w:tab/>
                    <w:t>[Deleted]</w:t>
                  </w:r>
                </w:p>
                <w:p>
                  <w:pPr>
                    <w:tabs>
                      <w:tab w:pos="1163" w:val="left" w:leader="none"/>
                    </w:tabs>
                    <w:spacing w:before="240"/>
                    <w:ind w:left="1163" w:right="511" w:hanging="1134"/>
                    <w:jc w:val="left"/>
                    <w:rPr>
                      <w:rFonts w:ascii="Arial"/>
                      <w:b/>
                      <w:sz w:val="28"/>
                    </w:rPr>
                  </w:pPr>
                  <w:bookmarkStart w:name="Part 13 Derogation granted to Aurora Ene" w:id="2369"/>
                  <w:bookmarkEnd w:id="2369"/>
                  <w:r>
                    <w:rPr/>
                  </w:r>
                  <w:bookmarkStart w:name="_bookmark987" w:id="2370"/>
                  <w:bookmarkEnd w:id="2370"/>
                  <w:r>
                    <w:rPr/>
                  </w:r>
                  <w:r>
                    <w:rPr>
                      <w:rFonts w:ascii="Arial"/>
                      <w:b/>
                      <w:sz w:val="28"/>
                    </w:rPr>
                    <w:t>Part</w:t>
                  </w:r>
                  <w:r>
                    <w:rPr>
                      <w:rFonts w:ascii="Arial"/>
                      <w:b/>
                      <w:spacing w:val="-1"/>
                      <w:sz w:val="28"/>
                    </w:rPr>
                    <w:t> </w:t>
                  </w:r>
                  <w:r>
                    <w:rPr>
                      <w:rFonts w:ascii="Arial"/>
                      <w:b/>
                      <w:sz w:val="28"/>
                    </w:rPr>
                    <w:t>13</w:t>
                    <w:tab/>
                    <w:t>Derogation granted to Aurora Energy (Tamar Valley) Pty Ltd</w:t>
                  </w:r>
                </w:p>
              </w:txbxContent>
            </v:textbox>
            <v:fill type="solid"/>
          </v:shape>
        </w:pict>
      </w:r>
      <w:r>
        <w:rPr>
          <w:sz w:val="20"/>
        </w:rPr>
      </w:r>
    </w:p>
    <w:p>
      <w:pPr>
        <w:pStyle w:val="BodyText"/>
        <w:spacing w:before="3"/>
        <w:ind w:firstLine="0"/>
        <w:jc w:val="left"/>
        <w:rPr>
          <w:b/>
          <w:sz w:val="11"/>
        </w:rPr>
      </w:pPr>
    </w:p>
    <w:p>
      <w:pPr>
        <w:pStyle w:val="Heading3"/>
        <w:tabs>
          <w:tab w:pos="1351" w:val="left" w:leader="none"/>
        </w:tabs>
        <w:spacing w:before="92"/>
        <w:ind w:left="218" w:firstLine="0"/>
      </w:pPr>
      <w:bookmarkStart w:name="8A.13 [Deleted]" w:id="2371"/>
      <w:bookmarkEnd w:id="2371"/>
      <w:r>
        <w:rPr>
          <w:b w:val="0"/>
        </w:rPr>
      </w:r>
      <w:bookmarkStart w:name="_bookmark988" w:id="2372"/>
      <w:bookmarkEnd w:id="2372"/>
      <w:r>
        <w:rPr>
          <w:b w:val="0"/>
        </w:rPr>
      </w:r>
      <w:r>
        <w:rPr/>
        <w:t>8A.13</w:t>
        <w:tab/>
        <w:t>[Deleted]</w:t>
      </w:r>
    </w:p>
    <w:p>
      <w:pPr>
        <w:pStyle w:val="BodyText"/>
        <w:spacing w:before="9"/>
        <w:ind w:firstLine="0"/>
        <w:jc w:val="left"/>
        <w:rPr>
          <w:rFonts w:ascii="Arial"/>
          <w:b/>
          <w:sz w:val="18"/>
        </w:rPr>
      </w:pPr>
      <w:r>
        <w:rPr/>
        <w:pict>
          <v:shape style="position:absolute;margin-left:69.450005pt;margin-top:12.01588pt;width:456.45pt;height:32.2pt;mso-position-horizontal-relative:page;mso-position-vertical-relative:paragraph;z-index:-251584512;mso-wrap-distance-left:0;mso-wrap-distance-right:0" type="#_x0000_t202" filled="true" fillcolor="#d9d9d9" stroked="false">
            <v:textbox inset="0,0,0,0">
              <w:txbxContent>
                <w:p>
                  <w:pPr>
                    <w:tabs>
                      <w:tab w:pos="1163" w:val="left" w:leader="none"/>
                    </w:tabs>
                    <w:spacing w:before="0"/>
                    <w:ind w:left="1163" w:right="543" w:hanging="1134"/>
                    <w:jc w:val="left"/>
                    <w:rPr>
                      <w:rFonts w:ascii="Arial"/>
                      <w:b/>
                      <w:sz w:val="28"/>
                    </w:rPr>
                  </w:pPr>
                  <w:bookmarkStart w:name="Part 14 Derogations granted to Ausgrid, " w:id="2373"/>
                  <w:bookmarkEnd w:id="2373"/>
                  <w:r>
                    <w:rPr/>
                  </w:r>
                  <w:bookmarkStart w:name="_bookmark989" w:id="2374"/>
                  <w:bookmarkEnd w:id="2374"/>
                  <w:r>
                    <w:rPr/>
                  </w:r>
                  <w:r>
                    <w:rPr>
                      <w:rFonts w:ascii="Arial"/>
                      <w:b/>
                      <w:sz w:val="28"/>
                    </w:rPr>
                    <w:t>Part</w:t>
                  </w:r>
                  <w:r>
                    <w:rPr>
                      <w:rFonts w:ascii="Arial"/>
                      <w:b/>
                      <w:spacing w:val="-1"/>
                      <w:sz w:val="28"/>
                    </w:rPr>
                    <w:t> </w:t>
                  </w:r>
                  <w:r>
                    <w:rPr>
                      <w:rFonts w:ascii="Arial"/>
                      <w:b/>
                      <w:sz w:val="28"/>
                    </w:rPr>
                    <w:t>14</w:t>
                    <w:tab/>
                    <w:t>Derogations granted to Ausgrid, Endeavour Energy and Essential Energy</w:t>
                  </w:r>
                </w:p>
              </w:txbxContent>
            </v:textbox>
            <v:fill type="solid"/>
            <w10:wrap type="topAndBottom"/>
          </v:shape>
        </w:pict>
      </w:r>
    </w:p>
    <w:p>
      <w:pPr>
        <w:pStyle w:val="BodyText"/>
        <w:spacing w:before="7"/>
        <w:ind w:firstLine="0"/>
        <w:jc w:val="left"/>
        <w:rPr>
          <w:rFonts w:ascii="Arial"/>
          <w:b/>
          <w:sz w:val="11"/>
        </w:rPr>
      </w:pPr>
    </w:p>
    <w:p>
      <w:pPr>
        <w:tabs>
          <w:tab w:pos="1351" w:val="left" w:leader="none"/>
        </w:tabs>
        <w:spacing w:before="91"/>
        <w:ind w:left="1352" w:right="769" w:hanging="1134"/>
        <w:jc w:val="left"/>
        <w:rPr>
          <w:rFonts w:ascii="Arial"/>
          <w:b/>
          <w:sz w:val="26"/>
        </w:rPr>
      </w:pPr>
      <w:bookmarkStart w:name="8A.14 Derogations from Chapter 6 for the" w:id="2375"/>
      <w:bookmarkEnd w:id="2375"/>
      <w:r>
        <w:rPr/>
      </w:r>
      <w:bookmarkStart w:name="_bookmark990" w:id="2376"/>
      <w:bookmarkEnd w:id="2376"/>
      <w:r>
        <w:rPr/>
      </w:r>
      <w:r>
        <w:rPr>
          <w:rFonts w:ascii="Arial"/>
          <w:b/>
          <w:sz w:val="26"/>
        </w:rPr>
        <w:t>8A.14</w:t>
        <w:tab/>
        <w:t>Derogations from Chapter 6 for the current regulatory control period and subsequent regulatory control</w:t>
      </w:r>
      <w:r>
        <w:rPr>
          <w:rFonts w:ascii="Arial"/>
          <w:b/>
          <w:spacing w:val="-9"/>
          <w:sz w:val="26"/>
        </w:rPr>
        <w:t> </w:t>
      </w:r>
      <w:r>
        <w:rPr>
          <w:rFonts w:ascii="Arial"/>
          <w:b/>
          <w:sz w:val="26"/>
        </w:rPr>
        <w:t>period</w:t>
      </w:r>
    </w:p>
    <w:p>
      <w:pPr>
        <w:pStyle w:val="Heading4"/>
        <w:tabs>
          <w:tab w:pos="1351" w:val="left" w:leader="none"/>
        </w:tabs>
        <w:spacing w:before="240"/>
        <w:ind w:left="218" w:firstLine="0"/>
      </w:pPr>
      <w:bookmarkStart w:name="8A.14.1 Definitions" w:id="2377"/>
      <w:bookmarkEnd w:id="2377"/>
      <w:r>
        <w:rPr>
          <w:b w:val="0"/>
        </w:rPr>
      </w:r>
      <w:bookmarkStart w:name="_bookmark991" w:id="2378"/>
      <w:bookmarkEnd w:id="2378"/>
      <w:r>
        <w:rPr>
          <w:b w:val="0"/>
        </w:rPr>
      </w:r>
      <w:r>
        <w:rPr/>
        <w:t>8A.14.1</w:t>
        <w:tab/>
        <w:t>Definitions</w:t>
      </w:r>
    </w:p>
    <w:p>
      <w:pPr>
        <w:spacing w:before="120"/>
        <w:ind w:left="1352" w:right="0" w:firstLine="0"/>
        <w:jc w:val="left"/>
        <w:rPr>
          <w:sz w:val="24"/>
        </w:rPr>
      </w:pPr>
      <w:r>
        <w:rPr>
          <w:sz w:val="24"/>
        </w:rPr>
        <w:t>In this </w:t>
      </w:r>
      <w:r>
        <w:rPr>
          <w:i/>
          <w:sz w:val="24"/>
        </w:rPr>
        <w:t>participant derogation</w:t>
      </w:r>
      <w:r>
        <w:rPr>
          <w:sz w:val="24"/>
        </w:rPr>
        <w:t>, rule 8A.14:</w:t>
      </w:r>
    </w:p>
    <w:p>
      <w:pPr>
        <w:pStyle w:val="BodyText"/>
        <w:ind w:left="1352" w:right="415" w:firstLine="0"/>
        <w:jc w:val="left"/>
      </w:pPr>
      <w:r>
        <w:rPr>
          <w:b/>
        </w:rPr>
        <w:t>2015 determination</w:t>
      </w:r>
      <w:r>
        <w:rPr/>
        <w:t>, in respect of each NSW DNSP, means the following applicable distribution determination:</w:t>
      </w:r>
    </w:p>
    <w:p>
      <w:pPr>
        <w:pStyle w:val="ListParagraph"/>
        <w:numPr>
          <w:ilvl w:val="0"/>
          <w:numId w:val="647"/>
        </w:numPr>
        <w:tabs>
          <w:tab w:pos="1918" w:val="left" w:leader="none"/>
          <w:tab w:pos="1919" w:val="left" w:leader="none"/>
        </w:tabs>
        <w:spacing w:line="240" w:lineRule="auto" w:before="120" w:after="0"/>
        <w:ind w:left="1919" w:right="416" w:hanging="567"/>
        <w:jc w:val="left"/>
        <w:rPr>
          <w:sz w:val="24"/>
        </w:rPr>
      </w:pPr>
      <w:r>
        <w:rPr>
          <w:sz w:val="24"/>
        </w:rPr>
        <w:t>the distribution determination for the current regulatory control </w:t>
      </w:r>
      <w:r>
        <w:rPr>
          <w:spacing w:val="-3"/>
          <w:sz w:val="24"/>
        </w:rPr>
        <w:t>period </w:t>
      </w:r>
      <w:r>
        <w:rPr>
          <w:sz w:val="24"/>
        </w:rPr>
        <w:t>published by the </w:t>
      </w:r>
      <w:r>
        <w:rPr>
          <w:i/>
          <w:sz w:val="24"/>
        </w:rPr>
        <w:t>AER </w:t>
      </w:r>
      <w:r>
        <w:rPr>
          <w:sz w:val="24"/>
        </w:rPr>
        <w:t>on 30 April 2015 in respect of</w:t>
      </w:r>
      <w:r>
        <w:rPr>
          <w:spacing w:val="-6"/>
          <w:sz w:val="24"/>
        </w:rPr>
        <w:t> </w:t>
      </w:r>
      <w:r>
        <w:rPr>
          <w:sz w:val="24"/>
        </w:rPr>
        <w:t>Ausgrid;</w:t>
      </w:r>
    </w:p>
    <w:p>
      <w:pPr>
        <w:pStyle w:val="ListParagraph"/>
        <w:numPr>
          <w:ilvl w:val="0"/>
          <w:numId w:val="647"/>
        </w:numPr>
        <w:tabs>
          <w:tab w:pos="1918" w:val="left" w:leader="none"/>
          <w:tab w:pos="1919" w:val="left" w:leader="none"/>
        </w:tabs>
        <w:spacing w:line="240" w:lineRule="auto" w:before="120" w:after="0"/>
        <w:ind w:left="1919" w:right="416" w:hanging="567"/>
        <w:jc w:val="left"/>
        <w:rPr>
          <w:sz w:val="24"/>
        </w:rPr>
      </w:pPr>
      <w:r>
        <w:rPr>
          <w:sz w:val="24"/>
        </w:rPr>
        <w:t>the distribution determination for the current regulatory control </w:t>
      </w:r>
      <w:r>
        <w:rPr>
          <w:spacing w:val="-3"/>
          <w:sz w:val="24"/>
        </w:rPr>
        <w:t>period </w:t>
      </w:r>
      <w:r>
        <w:rPr>
          <w:sz w:val="24"/>
        </w:rPr>
        <w:t>published by the </w:t>
      </w:r>
      <w:r>
        <w:rPr>
          <w:i/>
          <w:sz w:val="24"/>
        </w:rPr>
        <w:t>AER </w:t>
      </w:r>
      <w:r>
        <w:rPr>
          <w:sz w:val="24"/>
        </w:rPr>
        <w:t>on 30 April 2015 in respect of Endeavour Energy;</w:t>
      </w:r>
      <w:r>
        <w:rPr>
          <w:spacing w:val="-10"/>
          <w:sz w:val="24"/>
        </w:rPr>
        <w:t> </w:t>
      </w:r>
      <w:r>
        <w:rPr>
          <w:sz w:val="24"/>
        </w:rPr>
        <w:t>and</w:t>
      </w:r>
    </w:p>
    <w:p>
      <w:pPr>
        <w:pStyle w:val="ListParagraph"/>
        <w:numPr>
          <w:ilvl w:val="0"/>
          <w:numId w:val="647"/>
        </w:numPr>
        <w:tabs>
          <w:tab w:pos="1918" w:val="left" w:leader="none"/>
          <w:tab w:pos="1919" w:val="left" w:leader="none"/>
        </w:tabs>
        <w:spacing w:line="240" w:lineRule="auto" w:before="120" w:after="0"/>
        <w:ind w:left="1919" w:right="416" w:hanging="567"/>
        <w:jc w:val="left"/>
        <w:rPr>
          <w:sz w:val="24"/>
        </w:rPr>
      </w:pPr>
      <w:r>
        <w:rPr>
          <w:sz w:val="24"/>
        </w:rPr>
        <w:t>the distribution determination for the current regulatory control </w:t>
      </w:r>
      <w:r>
        <w:rPr>
          <w:spacing w:val="-3"/>
          <w:sz w:val="24"/>
        </w:rPr>
        <w:t>period </w:t>
      </w:r>
      <w:r>
        <w:rPr>
          <w:sz w:val="24"/>
        </w:rPr>
        <w:t>published by the </w:t>
      </w:r>
      <w:r>
        <w:rPr>
          <w:i/>
          <w:sz w:val="24"/>
        </w:rPr>
        <w:t>AER </w:t>
      </w:r>
      <w:r>
        <w:rPr>
          <w:sz w:val="24"/>
        </w:rPr>
        <w:t>on 30 April 2015 in respect of Essential</w:t>
      </w:r>
      <w:r>
        <w:rPr>
          <w:spacing w:val="-7"/>
          <w:sz w:val="24"/>
        </w:rPr>
        <w:t> </w:t>
      </w:r>
      <w:r>
        <w:rPr>
          <w:sz w:val="24"/>
        </w:rPr>
        <w:t>Energy.</w:t>
      </w:r>
    </w:p>
    <w:p>
      <w:pPr>
        <w:pStyle w:val="BodyText"/>
        <w:ind w:left="1352" w:right="415" w:firstLine="0"/>
      </w:pPr>
      <w:r>
        <w:rPr>
          <w:b/>
        </w:rPr>
        <w:t>adjustment amount</w:t>
      </w:r>
      <w:r>
        <w:rPr/>
        <w:t>, in respect of a NSW DNSP, means an amount that operates as if it were:</w:t>
      </w:r>
    </w:p>
    <w:p>
      <w:pPr>
        <w:pStyle w:val="ListParagraph"/>
        <w:numPr>
          <w:ilvl w:val="0"/>
          <w:numId w:val="648"/>
        </w:numPr>
        <w:tabs>
          <w:tab w:pos="1919" w:val="left" w:leader="none"/>
        </w:tabs>
        <w:spacing w:line="240" w:lineRule="auto" w:before="120" w:after="0"/>
        <w:ind w:left="1918" w:right="0" w:hanging="567"/>
        <w:jc w:val="both"/>
        <w:rPr>
          <w:sz w:val="24"/>
        </w:rPr>
      </w:pPr>
      <w:r>
        <w:rPr>
          <w:sz w:val="24"/>
        </w:rPr>
        <w:t>a revenue increase;</w:t>
      </w:r>
      <w:r>
        <w:rPr>
          <w:spacing w:val="-1"/>
          <w:sz w:val="24"/>
        </w:rPr>
        <w:t> </w:t>
      </w:r>
      <w:r>
        <w:rPr>
          <w:sz w:val="24"/>
        </w:rPr>
        <w:t>or</w:t>
      </w:r>
    </w:p>
    <w:p>
      <w:pPr>
        <w:pStyle w:val="ListParagraph"/>
        <w:numPr>
          <w:ilvl w:val="0"/>
          <w:numId w:val="648"/>
        </w:numPr>
        <w:tabs>
          <w:tab w:pos="1919" w:val="left" w:leader="none"/>
        </w:tabs>
        <w:spacing w:line="240" w:lineRule="auto" w:before="120" w:after="0"/>
        <w:ind w:left="1918" w:right="0" w:hanging="567"/>
        <w:jc w:val="both"/>
        <w:rPr>
          <w:sz w:val="24"/>
        </w:rPr>
      </w:pPr>
      <w:r>
        <w:rPr>
          <w:sz w:val="24"/>
        </w:rPr>
        <w:t>a revenue</w:t>
      </w:r>
      <w:r>
        <w:rPr>
          <w:spacing w:val="-1"/>
          <w:sz w:val="24"/>
        </w:rPr>
        <w:t> </w:t>
      </w:r>
      <w:r>
        <w:rPr>
          <w:sz w:val="24"/>
        </w:rPr>
        <w:t>decrease,</w:t>
      </w:r>
    </w:p>
    <w:p>
      <w:pPr>
        <w:pStyle w:val="BodyText"/>
        <w:ind w:left="1352" w:right="416" w:firstLine="0"/>
      </w:pPr>
      <w:r>
        <w:rPr/>
        <w:t>to the total annual revenue for distribution standard control services that may be earned by that NSW DNSP for the final regulatory year of the current regulatory control period in accordance with:</w:t>
      </w:r>
    </w:p>
    <w:p>
      <w:pPr>
        <w:pStyle w:val="ListParagraph"/>
        <w:numPr>
          <w:ilvl w:val="0"/>
          <w:numId w:val="648"/>
        </w:numPr>
        <w:tabs>
          <w:tab w:pos="1918" w:val="left" w:leader="none"/>
          <w:tab w:pos="1919" w:val="left" w:leader="none"/>
        </w:tabs>
        <w:spacing w:line="240" w:lineRule="auto" w:before="120" w:after="0"/>
        <w:ind w:left="1918" w:right="0" w:hanging="567"/>
        <w:jc w:val="left"/>
        <w:rPr>
          <w:sz w:val="24"/>
        </w:rPr>
      </w:pPr>
      <w:r>
        <w:rPr>
          <w:sz w:val="24"/>
        </w:rPr>
        <w:t>the formulae that give effect to the applicable control mechanism;</w:t>
      </w:r>
      <w:r>
        <w:rPr>
          <w:spacing w:val="-4"/>
          <w:sz w:val="24"/>
        </w:rPr>
        <w:t> </w:t>
      </w:r>
      <w:r>
        <w:rPr>
          <w:sz w:val="24"/>
        </w:rPr>
        <w:t>and</w:t>
      </w:r>
    </w:p>
    <w:p>
      <w:pPr>
        <w:pStyle w:val="ListParagraph"/>
        <w:numPr>
          <w:ilvl w:val="0"/>
          <w:numId w:val="648"/>
        </w:numPr>
        <w:tabs>
          <w:tab w:pos="1918" w:val="left" w:leader="none"/>
          <w:tab w:pos="1919" w:val="left" w:leader="none"/>
        </w:tabs>
        <w:spacing w:line="343" w:lineRule="auto" w:before="120" w:after="0"/>
        <w:ind w:left="1352" w:right="3607" w:firstLine="0"/>
        <w:jc w:val="left"/>
        <w:rPr>
          <w:sz w:val="24"/>
        </w:rPr>
      </w:pPr>
      <w:r>
        <w:rPr>
          <w:sz w:val="24"/>
        </w:rPr>
        <w:t>the applicable </w:t>
      </w:r>
      <w:r>
        <w:rPr>
          <w:i/>
          <w:sz w:val="24"/>
        </w:rPr>
        <w:t>annual revenue requirement</w:t>
      </w:r>
      <w:r>
        <w:rPr>
          <w:sz w:val="24"/>
        </w:rPr>
        <w:t>, under the remade 2015</w:t>
      </w:r>
      <w:r>
        <w:rPr>
          <w:spacing w:val="-1"/>
          <w:sz w:val="24"/>
        </w:rPr>
        <w:t> </w:t>
      </w:r>
      <w:r>
        <w:rPr>
          <w:sz w:val="24"/>
        </w:rPr>
        <w:t>determination.</w:t>
      </w:r>
    </w:p>
    <w:p>
      <w:pPr>
        <w:spacing w:after="0" w:line="343" w:lineRule="auto"/>
        <w:jc w:val="left"/>
        <w:rPr>
          <w:sz w:val="24"/>
        </w:rPr>
        <w:sectPr>
          <w:headerReference w:type="default" r:id="rId137"/>
          <w:footerReference w:type="default" r:id="rId138"/>
          <w:pgSz w:w="11910" w:h="16840"/>
          <w:pgMar w:header="686" w:footer="637" w:top="1320" w:bottom="820" w:left="1200" w:right="1000"/>
        </w:sectPr>
      </w:pPr>
    </w:p>
    <w:p>
      <w:pPr>
        <w:spacing w:before="83"/>
        <w:ind w:left="1352" w:right="0" w:firstLine="0"/>
        <w:jc w:val="left"/>
        <w:rPr>
          <w:i/>
          <w:sz w:val="24"/>
        </w:rPr>
      </w:pPr>
      <w:r>
        <w:rPr>
          <w:b/>
          <w:sz w:val="24"/>
        </w:rPr>
        <w:t>adjustment determination</w:t>
      </w:r>
      <w:r>
        <w:rPr>
          <w:sz w:val="24"/>
        </w:rPr>
        <w:t>, in respect of a NSW DNSP, means the </w:t>
      </w:r>
      <w:r>
        <w:rPr>
          <w:i/>
          <w:sz w:val="24"/>
        </w:rPr>
        <w:t>AER's</w:t>
      </w:r>
    </w:p>
    <w:p>
      <w:pPr>
        <w:pStyle w:val="BodyText"/>
        <w:spacing w:before="0"/>
        <w:ind w:left="1352" w:firstLine="0"/>
        <w:jc w:val="left"/>
      </w:pPr>
      <w:r>
        <w:rPr/>
        <w:t>determination:</w:t>
      </w:r>
    </w:p>
    <w:p>
      <w:pPr>
        <w:pStyle w:val="ListParagraph"/>
        <w:numPr>
          <w:ilvl w:val="0"/>
          <w:numId w:val="649"/>
        </w:numPr>
        <w:tabs>
          <w:tab w:pos="1919" w:val="left" w:leader="none"/>
        </w:tabs>
        <w:spacing w:line="240" w:lineRule="auto" w:before="120" w:after="0"/>
        <w:ind w:left="1919" w:right="414" w:hanging="567"/>
        <w:jc w:val="both"/>
        <w:rPr>
          <w:sz w:val="24"/>
        </w:rPr>
      </w:pPr>
      <w:r>
        <w:rPr>
          <w:sz w:val="24"/>
        </w:rPr>
        <w:t>if clause 8A.14.4 applies, of whether there is, and the relevant amounts of, an adjustment amount (including any adjustments made under clause 8A.14.4(d)(1)(ii) or 8A.14.4(d)(2)(ii)) and a subsequent adjustment amount; or</w:t>
      </w:r>
    </w:p>
    <w:p>
      <w:pPr>
        <w:pStyle w:val="ListParagraph"/>
        <w:numPr>
          <w:ilvl w:val="0"/>
          <w:numId w:val="649"/>
        </w:numPr>
        <w:tabs>
          <w:tab w:pos="1919" w:val="left" w:leader="none"/>
        </w:tabs>
        <w:spacing w:line="240" w:lineRule="auto" w:before="120" w:after="0"/>
        <w:ind w:left="1919" w:right="414" w:hanging="567"/>
        <w:jc w:val="both"/>
        <w:rPr>
          <w:sz w:val="24"/>
        </w:rPr>
      </w:pPr>
      <w:r>
        <w:rPr>
          <w:sz w:val="24"/>
        </w:rPr>
        <w:t>if clause 8A.14.5 or 8A.14.6 applies, of the relevant amounts of </w:t>
      </w:r>
      <w:r>
        <w:rPr>
          <w:spacing w:val="-4"/>
          <w:sz w:val="24"/>
        </w:rPr>
        <w:t>the </w:t>
      </w:r>
      <w:r>
        <w:rPr>
          <w:sz w:val="24"/>
        </w:rPr>
        <w:t>distribution variation amount and transmission variation</w:t>
      </w:r>
      <w:r>
        <w:rPr>
          <w:spacing w:val="-2"/>
          <w:sz w:val="24"/>
        </w:rPr>
        <w:t> </w:t>
      </w:r>
      <w:r>
        <w:rPr>
          <w:sz w:val="24"/>
        </w:rPr>
        <w:t>amount.</w:t>
      </w:r>
    </w:p>
    <w:p>
      <w:pPr>
        <w:pStyle w:val="BodyText"/>
        <w:ind w:left="1352" w:right="417" w:firstLine="0"/>
      </w:pPr>
      <w:r>
        <w:rPr>
          <w:b/>
        </w:rPr>
        <w:t>Ausgrid </w:t>
      </w:r>
      <w:r>
        <w:rPr/>
        <w:t>means the Ausgrid Operator Partnership (ABN 78 508 211 731), which comprises of:</w:t>
      </w:r>
    </w:p>
    <w:p>
      <w:pPr>
        <w:pStyle w:val="ListParagraph"/>
        <w:numPr>
          <w:ilvl w:val="0"/>
          <w:numId w:val="650"/>
        </w:numPr>
        <w:tabs>
          <w:tab w:pos="1918" w:val="left" w:leader="none"/>
          <w:tab w:pos="1919" w:val="left" w:leader="none"/>
        </w:tabs>
        <w:spacing w:line="240" w:lineRule="auto" w:before="120" w:after="0"/>
        <w:ind w:left="1919" w:right="416" w:hanging="567"/>
        <w:jc w:val="left"/>
        <w:rPr>
          <w:sz w:val="24"/>
        </w:rPr>
      </w:pPr>
      <w:r>
        <w:rPr>
          <w:sz w:val="24"/>
        </w:rPr>
        <w:t>Blue Op Partner Pty Ltd (ACN 615 217 500) as trustee for the Blue Op Partner</w:t>
      </w:r>
      <w:r>
        <w:rPr>
          <w:spacing w:val="-2"/>
          <w:sz w:val="24"/>
        </w:rPr>
        <w:t> </w:t>
      </w:r>
      <w:r>
        <w:rPr>
          <w:sz w:val="24"/>
        </w:rPr>
        <w:t>Trust;</w:t>
      </w:r>
    </w:p>
    <w:p>
      <w:pPr>
        <w:pStyle w:val="ListParagraph"/>
        <w:numPr>
          <w:ilvl w:val="0"/>
          <w:numId w:val="650"/>
        </w:numPr>
        <w:tabs>
          <w:tab w:pos="1918" w:val="left" w:leader="none"/>
          <w:tab w:pos="1919" w:val="left" w:leader="none"/>
        </w:tabs>
        <w:spacing w:line="240" w:lineRule="auto" w:before="120" w:after="0"/>
        <w:ind w:left="1919" w:right="415" w:hanging="567"/>
        <w:jc w:val="left"/>
        <w:rPr>
          <w:sz w:val="24"/>
        </w:rPr>
      </w:pPr>
      <w:r>
        <w:rPr>
          <w:sz w:val="24"/>
        </w:rPr>
        <w:t>ERIC Alpha Operator Corporation 1 Pty Ltd (ACN 612 975 096) as trustee for ERIC Alpha Operator Trust</w:t>
      </w:r>
      <w:r>
        <w:rPr>
          <w:spacing w:val="-2"/>
          <w:sz w:val="24"/>
        </w:rPr>
        <w:t> </w:t>
      </w:r>
      <w:r>
        <w:rPr>
          <w:sz w:val="24"/>
        </w:rPr>
        <w:t>1;</w:t>
      </w:r>
    </w:p>
    <w:p>
      <w:pPr>
        <w:pStyle w:val="ListParagraph"/>
        <w:numPr>
          <w:ilvl w:val="0"/>
          <w:numId w:val="650"/>
        </w:numPr>
        <w:tabs>
          <w:tab w:pos="1918" w:val="left" w:leader="none"/>
          <w:tab w:pos="1919" w:val="left" w:leader="none"/>
        </w:tabs>
        <w:spacing w:line="240" w:lineRule="auto" w:before="120" w:after="0"/>
        <w:ind w:left="1919" w:right="415" w:hanging="567"/>
        <w:jc w:val="left"/>
        <w:rPr>
          <w:sz w:val="24"/>
        </w:rPr>
      </w:pPr>
      <w:r>
        <w:rPr>
          <w:sz w:val="24"/>
        </w:rPr>
        <w:t>ERIC Alpha Operator Corporation 2 Pty Ltd (ACN 612 975 121) as trustee for ERIC Alpha Operator Trust</w:t>
      </w:r>
      <w:r>
        <w:rPr>
          <w:spacing w:val="-2"/>
          <w:sz w:val="24"/>
        </w:rPr>
        <w:t> </w:t>
      </w:r>
      <w:r>
        <w:rPr>
          <w:sz w:val="24"/>
        </w:rPr>
        <w:t>2;</w:t>
      </w:r>
    </w:p>
    <w:p>
      <w:pPr>
        <w:pStyle w:val="ListParagraph"/>
        <w:numPr>
          <w:ilvl w:val="0"/>
          <w:numId w:val="650"/>
        </w:numPr>
        <w:tabs>
          <w:tab w:pos="1918" w:val="left" w:leader="none"/>
          <w:tab w:pos="1919" w:val="left" w:leader="none"/>
        </w:tabs>
        <w:spacing w:line="240" w:lineRule="auto" w:before="120" w:after="0"/>
        <w:ind w:left="1919" w:right="415" w:hanging="567"/>
        <w:jc w:val="left"/>
        <w:rPr>
          <w:sz w:val="24"/>
        </w:rPr>
      </w:pPr>
      <w:r>
        <w:rPr>
          <w:sz w:val="24"/>
        </w:rPr>
        <w:t>ERIC Alpha Operator Corporation 3 Pty Ltd (ACN 612 975 185) as trustee for ERIC Alpha Operator Trust 3;</w:t>
      </w:r>
      <w:r>
        <w:rPr>
          <w:spacing w:val="-2"/>
          <w:sz w:val="24"/>
        </w:rPr>
        <w:t> </w:t>
      </w:r>
      <w:r>
        <w:rPr>
          <w:sz w:val="24"/>
        </w:rPr>
        <w:t>and</w:t>
      </w:r>
    </w:p>
    <w:p>
      <w:pPr>
        <w:pStyle w:val="ListParagraph"/>
        <w:numPr>
          <w:ilvl w:val="0"/>
          <w:numId w:val="650"/>
        </w:numPr>
        <w:tabs>
          <w:tab w:pos="1918" w:val="left" w:leader="none"/>
          <w:tab w:pos="1919" w:val="left" w:leader="none"/>
        </w:tabs>
        <w:spacing w:line="240" w:lineRule="auto" w:before="120" w:after="0"/>
        <w:ind w:left="1919" w:right="415" w:hanging="567"/>
        <w:jc w:val="left"/>
        <w:rPr>
          <w:sz w:val="24"/>
        </w:rPr>
      </w:pPr>
      <w:r>
        <w:rPr>
          <w:sz w:val="24"/>
        </w:rPr>
        <w:t>ERIC Alpha Operator Corporation 4 Pty Ltd (ACN 612 975 210) as trustee for ERIC Alpha Operator Trust</w:t>
      </w:r>
      <w:r>
        <w:rPr>
          <w:spacing w:val="-2"/>
          <w:sz w:val="24"/>
        </w:rPr>
        <w:t> </w:t>
      </w:r>
      <w:r>
        <w:rPr>
          <w:sz w:val="24"/>
        </w:rPr>
        <w:t>4.</w:t>
      </w:r>
    </w:p>
    <w:p>
      <w:pPr>
        <w:pStyle w:val="BodyText"/>
        <w:ind w:left="1352" w:right="415" w:firstLine="0"/>
      </w:pPr>
      <w:r>
        <w:rPr>
          <w:b/>
        </w:rPr>
        <w:t>current regulatory control period</w:t>
      </w:r>
      <w:r>
        <w:rPr/>
        <w:t>, for each NSW DNSP, means the period of five years that commenced on 1 July 2014 and ends on 30 June 2019, which includes the 'transitional regulatory control period' and 'subsequent regulatory control period' as those terms are defined in clause</w:t>
      </w:r>
      <w:r>
        <w:rPr>
          <w:spacing w:val="-3"/>
        </w:rPr>
        <w:t> </w:t>
      </w:r>
      <w:r>
        <w:rPr/>
        <w:t>11.55.1.</w:t>
      </w:r>
    </w:p>
    <w:p>
      <w:pPr>
        <w:spacing w:before="120"/>
        <w:ind w:left="1352" w:right="416" w:firstLine="0"/>
        <w:jc w:val="both"/>
        <w:rPr>
          <w:sz w:val="24"/>
        </w:rPr>
      </w:pPr>
      <w:r>
        <w:rPr>
          <w:b/>
          <w:sz w:val="24"/>
        </w:rPr>
        <w:t>distribution standard control services</w:t>
      </w:r>
      <w:r>
        <w:rPr>
          <w:sz w:val="24"/>
        </w:rPr>
        <w:t>, in respect of a NSW DNSP, means </w:t>
      </w:r>
      <w:r>
        <w:rPr>
          <w:i/>
          <w:sz w:val="24"/>
        </w:rPr>
        <w:t>standard control services </w:t>
      </w:r>
      <w:r>
        <w:rPr>
          <w:sz w:val="24"/>
        </w:rPr>
        <w:t>provided by that NSW DNSP other than </w:t>
      </w:r>
      <w:r>
        <w:rPr>
          <w:i/>
          <w:sz w:val="24"/>
        </w:rPr>
        <w:t>transmission </w:t>
      </w:r>
      <w:r>
        <w:rPr>
          <w:i/>
          <w:sz w:val="24"/>
        </w:rPr>
        <w:t>standard control services</w:t>
      </w:r>
      <w:r>
        <w:rPr>
          <w:sz w:val="24"/>
        </w:rPr>
        <w:t>.</w:t>
      </w:r>
    </w:p>
    <w:p>
      <w:pPr>
        <w:spacing w:before="120"/>
        <w:ind w:left="1352" w:right="416" w:firstLine="0"/>
        <w:jc w:val="both"/>
        <w:rPr>
          <w:sz w:val="24"/>
        </w:rPr>
      </w:pPr>
      <w:r>
        <w:rPr>
          <w:b/>
          <w:sz w:val="24"/>
        </w:rPr>
        <w:t>distribution variation amount</w:t>
      </w:r>
      <w:r>
        <w:rPr>
          <w:sz w:val="24"/>
        </w:rPr>
        <w:t>, in respect of a NSW DNSP, means an amount equal to:</w:t>
      </w:r>
    </w:p>
    <w:p>
      <w:pPr>
        <w:pStyle w:val="ListParagraph"/>
        <w:numPr>
          <w:ilvl w:val="0"/>
          <w:numId w:val="651"/>
        </w:numPr>
        <w:tabs>
          <w:tab w:pos="1919" w:val="left" w:leader="none"/>
        </w:tabs>
        <w:spacing w:line="240" w:lineRule="auto" w:before="120" w:after="0"/>
        <w:ind w:left="1919" w:right="416" w:hanging="567"/>
        <w:jc w:val="both"/>
        <w:rPr>
          <w:sz w:val="24"/>
        </w:rPr>
      </w:pPr>
      <w:r>
        <w:rPr>
          <w:sz w:val="24"/>
        </w:rPr>
        <w:t>the sum of the total annual revenue for distribution standard control services for that NSW DNSP for each regulatory year of the current</w:t>
      </w:r>
      <w:r>
        <w:rPr>
          <w:spacing w:val="32"/>
          <w:sz w:val="24"/>
        </w:rPr>
        <w:t> </w:t>
      </w:r>
      <w:r>
        <w:rPr>
          <w:sz w:val="24"/>
        </w:rPr>
        <w:t>regulatory control period in accordance</w:t>
      </w:r>
      <w:r>
        <w:rPr>
          <w:spacing w:val="-1"/>
          <w:sz w:val="24"/>
        </w:rPr>
        <w:t> </w:t>
      </w:r>
      <w:r>
        <w:rPr>
          <w:sz w:val="24"/>
        </w:rPr>
        <w:t>with:</w:t>
      </w:r>
    </w:p>
    <w:p>
      <w:pPr>
        <w:pStyle w:val="ListParagraph"/>
        <w:numPr>
          <w:ilvl w:val="1"/>
          <w:numId w:val="651"/>
        </w:numPr>
        <w:tabs>
          <w:tab w:pos="2485" w:val="left" w:leader="none"/>
          <w:tab w:pos="2486" w:val="left" w:leader="none"/>
        </w:tabs>
        <w:spacing w:line="240" w:lineRule="auto" w:before="120" w:after="0"/>
        <w:ind w:left="2485" w:right="0" w:hanging="567"/>
        <w:jc w:val="left"/>
        <w:rPr>
          <w:sz w:val="24"/>
        </w:rPr>
      </w:pPr>
      <w:r>
        <w:rPr>
          <w:sz w:val="24"/>
        </w:rPr>
        <w:t>the formulae that give effect to the applicable control mechanism;</w:t>
      </w:r>
      <w:r>
        <w:rPr>
          <w:spacing w:val="-4"/>
          <w:sz w:val="24"/>
        </w:rPr>
        <w:t> </w:t>
      </w:r>
      <w:r>
        <w:rPr>
          <w:sz w:val="24"/>
        </w:rPr>
        <w:t>and</w:t>
      </w:r>
    </w:p>
    <w:p>
      <w:pPr>
        <w:pStyle w:val="ListParagraph"/>
        <w:numPr>
          <w:ilvl w:val="1"/>
          <w:numId w:val="651"/>
        </w:numPr>
        <w:tabs>
          <w:tab w:pos="2485" w:val="left" w:leader="none"/>
          <w:tab w:pos="2486" w:val="left" w:leader="none"/>
        </w:tabs>
        <w:spacing w:line="343" w:lineRule="auto" w:before="120" w:after="0"/>
        <w:ind w:left="1919" w:right="3040" w:firstLine="0"/>
        <w:jc w:val="left"/>
        <w:rPr>
          <w:sz w:val="24"/>
        </w:rPr>
      </w:pPr>
      <w:r>
        <w:rPr>
          <w:sz w:val="24"/>
        </w:rPr>
        <w:t>the applicable </w:t>
      </w:r>
      <w:r>
        <w:rPr>
          <w:i/>
          <w:sz w:val="24"/>
        </w:rPr>
        <w:t>annual revenue requirement</w:t>
      </w:r>
      <w:r>
        <w:rPr>
          <w:sz w:val="24"/>
        </w:rPr>
        <w:t>, under the remade 2015 determination;</w:t>
      </w:r>
      <w:r>
        <w:rPr>
          <w:spacing w:val="-2"/>
          <w:sz w:val="24"/>
        </w:rPr>
        <w:t> </w:t>
      </w:r>
      <w:r>
        <w:rPr>
          <w:sz w:val="24"/>
        </w:rPr>
        <w:t>minus</w:t>
      </w:r>
    </w:p>
    <w:p>
      <w:pPr>
        <w:pStyle w:val="ListParagraph"/>
        <w:numPr>
          <w:ilvl w:val="0"/>
          <w:numId w:val="651"/>
        </w:numPr>
        <w:tabs>
          <w:tab w:pos="1918" w:val="left" w:leader="none"/>
          <w:tab w:pos="1919" w:val="left" w:leader="none"/>
        </w:tabs>
        <w:spacing w:line="240" w:lineRule="auto" w:before="3" w:after="0"/>
        <w:ind w:left="1918" w:right="0" w:hanging="567"/>
        <w:jc w:val="left"/>
        <w:rPr>
          <w:sz w:val="24"/>
        </w:rPr>
      </w:pPr>
      <w:r>
        <w:rPr>
          <w:sz w:val="24"/>
        </w:rPr>
        <w:t>the sum</w:t>
      </w:r>
      <w:r>
        <w:rPr>
          <w:spacing w:val="-2"/>
          <w:sz w:val="24"/>
        </w:rPr>
        <w:t> </w:t>
      </w:r>
      <w:r>
        <w:rPr>
          <w:sz w:val="24"/>
        </w:rPr>
        <w:t>of:</w:t>
      </w:r>
    </w:p>
    <w:p>
      <w:pPr>
        <w:pStyle w:val="ListParagraph"/>
        <w:numPr>
          <w:ilvl w:val="1"/>
          <w:numId w:val="651"/>
        </w:numPr>
        <w:tabs>
          <w:tab w:pos="2486" w:val="left" w:leader="none"/>
        </w:tabs>
        <w:spacing w:line="240" w:lineRule="auto" w:before="120" w:after="0"/>
        <w:ind w:left="2486" w:right="415" w:hanging="567"/>
        <w:jc w:val="both"/>
        <w:rPr>
          <w:sz w:val="24"/>
        </w:rPr>
      </w:pPr>
      <w:r>
        <w:rPr>
          <w:sz w:val="24"/>
        </w:rPr>
        <w:t>the total annual revenue for distribution standard control services for that NSW DNSP for the first and second regulatory years of the current regulatory control period in accordance</w:t>
      </w:r>
      <w:r>
        <w:rPr>
          <w:spacing w:val="-3"/>
          <w:sz w:val="24"/>
        </w:rPr>
        <w:t> </w:t>
      </w:r>
      <w:r>
        <w:rPr>
          <w:sz w:val="24"/>
        </w:rPr>
        <w:t>with:</w:t>
      </w:r>
    </w:p>
    <w:p>
      <w:pPr>
        <w:pStyle w:val="ListParagraph"/>
        <w:numPr>
          <w:ilvl w:val="2"/>
          <w:numId w:val="651"/>
        </w:numPr>
        <w:tabs>
          <w:tab w:pos="3053" w:val="left" w:leader="none"/>
        </w:tabs>
        <w:spacing w:line="240" w:lineRule="auto" w:before="120" w:after="0"/>
        <w:ind w:left="3053" w:right="414" w:hanging="567"/>
        <w:jc w:val="both"/>
        <w:rPr>
          <w:sz w:val="24"/>
        </w:rPr>
      </w:pPr>
      <w:r>
        <w:rPr>
          <w:sz w:val="24"/>
        </w:rPr>
        <w:t>the formulae that give effect to the applicable control mechanism;</w:t>
      </w:r>
      <w:r>
        <w:rPr>
          <w:spacing w:val="-1"/>
          <w:sz w:val="24"/>
        </w:rPr>
        <w:t> </w:t>
      </w:r>
      <w:r>
        <w:rPr>
          <w:sz w:val="24"/>
        </w:rPr>
        <w:t>and</w:t>
      </w:r>
    </w:p>
    <w:p>
      <w:pPr>
        <w:pStyle w:val="ListParagraph"/>
        <w:numPr>
          <w:ilvl w:val="2"/>
          <w:numId w:val="651"/>
        </w:numPr>
        <w:tabs>
          <w:tab w:pos="3054" w:val="left" w:leader="none"/>
        </w:tabs>
        <w:spacing w:line="240" w:lineRule="auto" w:before="120" w:after="0"/>
        <w:ind w:left="3053" w:right="0" w:hanging="568"/>
        <w:jc w:val="both"/>
        <w:rPr>
          <w:sz w:val="24"/>
        </w:rPr>
      </w:pPr>
      <w:r>
        <w:rPr>
          <w:sz w:val="24"/>
        </w:rPr>
        <w:t>the applicable </w:t>
      </w:r>
      <w:r>
        <w:rPr>
          <w:i/>
          <w:sz w:val="24"/>
        </w:rPr>
        <w:t>annual revenue</w:t>
      </w:r>
      <w:r>
        <w:rPr>
          <w:i/>
          <w:spacing w:val="-3"/>
          <w:sz w:val="24"/>
        </w:rPr>
        <w:t> </w:t>
      </w:r>
      <w:r>
        <w:rPr>
          <w:i/>
          <w:sz w:val="24"/>
        </w:rPr>
        <w:t>requirement</w:t>
      </w:r>
      <w:r>
        <w:rPr>
          <w:sz w:val="24"/>
        </w:rPr>
        <w:t>,</w:t>
      </w:r>
    </w:p>
    <w:p>
      <w:pPr>
        <w:spacing w:after="0" w:line="240" w:lineRule="auto"/>
        <w:jc w:val="both"/>
        <w:rPr>
          <w:sz w:val="24"/>
        </w:rPr>
        <w:sectPr>
          <w:headerReference w:type="default" r:id="rId139"/>
          <w:footerReference w:type="default" r:id="rId140"/>
          <w:pgSz w:w="11910" w:h="16840"/>
          <w:pgMar w:header="686" w:footer="637" w:top="1320" w:bottom="820" w:left="1200" w:right="1000"/>
          <w:pgNumType w:start="711"/>
        </w:sectPr>
      </w:pPr>
    </w:p>
    <w:p>
      <w:pPr>
        <w:pStyle w:val="BodyText"/>
        <w:spacing w:before="83"/>
        <w:ind w:left="2486" w:firstLine="0"/>
      </w:pPr>
      <w:r>
        <w:rPr/>
        <w:t>under the 2015 determination; plus</w:t>
      </w:r>
    </w:p>
    <w:p>
      <w:pPr>
        <w:pStyle w:val="ListParagraph"/>
        <w:numPr>
          <w:ilvl w:val="1"/>
          <w:numId w:val="651"/>
        </w:numPr>
        <w:tabs>
          <w:tab w:pos="2486" w:val="left" w:leader="none"/>
        </w:tabs>
        <w:spacing w:line="240" w:lineRule="auto" w:before="120" w:after="0"/>
        <w:ind w:left="2486" w:right="415" w:hanging="567"/>
        <w:jc w:val="both"/>
        <w:rPr>
          <w:sz w:val="24"/>
        </w:rPr>
      </w:pPr>
      <w:r>
        <w:rPr>
          <w:sz w:val="24"/>
        </w:rPr>
        <w:t>the total annual revenue for distribution standard control services for that NSW DNSP for the third, fourth and final regulatory years of the current regulatory control period under the undertakings that apply for those regulatory</w:t>
      </w:r>
      <w:r>
        <w:rPr>
          <w:spacing w:val="-1"/>
          <w:sz w:val="24"/>
        </w:rPr>
        <w:t> </w:t>
      </w:r>
      <w:r>
        <w:rPr>
          <w:sz w:val="24"/>
        </w:rPr>
        <w:t>years,</w:t>
      </w:r>
    </w:p>
    <w:p>
      <w:pPr>
        <w:pStyle w:val="BodyText"/>
        <w:ind w:left="1352" w:right="414" w:firstLine="0"/>
      </w:pPr>
      <w:r>
        <w:rPr/>
        <w:t>provided that such amount includes any adjustments necessary for the </w:t>
      </w:r>
      <w:r>
        <w:rPr>
          <w:i/>
        </w:rPr>
        <w:t>AER </w:t>
      </w:r>
      <w:r>
        <w:rPr/>
        <w:t>to be satisfied that the amount achieves the revenue recovery principle under clause 8A.14.5(d) or 8A.14.6(d) (as the case may be).</w:t>
      </w:r>
    </w:p>
    <w:p>
      <w:pPr>
        <w:pStyle w:val="BodyText"/>
        <w:ind w:left="1352" w:right="415" w:firstLine="0"/>
      </w:pPr>
      <w:r>
        <w:rPr>
          <w:b/>
        </w:rPr>
        <w:t>Endeavour Energy </w:t>
      </w:r>
      <w:r>
        <w:rPr/>
        <w:t>means the Endeavour Energy Network Operator Partnership (ABN 11 247 365 823), which comprises of:</w:t>
      </w:r>
    </w:p>
    <w:p>
      <w:pPr>
        <w:pStyle w:val="BodyText"/>
        <w:ind w:left="1919" w:right="415"/>
      </w:pPr>
      <w:r>
        <w:rPr/>
        <w:t>(a) Edwards O Pty Limited (ACN 618 643 486) as trustee for the Edwards O Trust;</w:t>
      </w:r>
    </w:p>
    <w:p>
      <w:pPr>
        <w:pStyle w:val="BodyText"/>
        <w:spacing w:before="4"/>
        <w:ind w:firstLine="0"/>
        <w:jc w:val="left"/>
        <w:rPr>
          <w:sz w:val="11"/>
        </w:rPr>
      </w:pPr>
    </w:p>
    <w:tbl>
      <w:tblPr>
        <w:tblW w:w="0" w:type="auto"/>
        <w:jc w:val="left"/>
        <w:tblInd w:w="1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
        <w:gridCol w:w="4562"/>
        <w:gridCol w:w="457"/>
        <w:gridCol w:w="711"/>
        <w:gridCol w:w="484"/>
        <w:gridCol w:w="484"/>
        <w:gridCol w:w="564"/>
        <w:gridCol w:w="312"/>
      </w:tblGrid>
      <w:tr>
        <w:trPr>
          <w:trHeight w:val="606" w:hRule="atLeast"/>
        </w:trPr>
        <w:tc>
          <w:tcPr>
            <w:tcW w:w="5029" w:type="dxa"/>
            <w:gridSpan w:val="2"/>
          </w:tcPr>
          <w:p>
            <w:pPr>
              <w:pStyle w:val="TableParagraph"/>
              <w:tabs>
                <w:tab w:pos="616" w:val="left" w:leader="none"/>
              </w:tabs>
              <w:spacing w:before="0"/>
              <w:ind w:left="617" w:right="60" w:hanging="567"/>
              <w:rPr>
                <w:sz w:val="24"/>
              </w:rPr>
            </w:pPr>
            <w:r>
              <w:rPr>
                <w:sz w:val="24"/>
              </w:rPr>
              <w:t>(b)</w:t>
              <w:tab/>
              <w:t>ERIC Epsilon Operator Corporation 1 Pty trustee for ERIC Epsilon Operator Trust</w:t>
            </w:r>
            <w:r>
              <w:rPr>
                <w:spacing w:val="-6"/>
                <w:sz w:val="24"/>
              </w:rPr>
              <w:t> </w:t>
            </w:r>
            <w:r>
              <w:rPr>
                <w:sz w:val="24"/>
              </w:rPr>
              <w:t>1;</w:t>
            </w:r>
          </w:p>
        </w:tc>
        <w:tc>
          <w:tcPr>
            <w:tcW w:w="457" w:type="dxa"/>
          </w:tcPr>
          <w:p>
            <w:pPr>
              <w:pStyle w:val="TableParagraph"/>
              <w:spacing w:line="266" w:lineRule="exact" w:before="0"/>
              <w:ind w:left="40" w:right="41"/>
              <w:jc w:val="center"/>
              <w:rPr>
                <w:sz w:val="24"/>
              </w:rPr>
            </w:pPr>
            <w:r>
              <w:rPr>
                <w:sz w:val="24"/>
              </w:rPr>
              <w:t>Ltd</w:t>
            </w:r>
          </w:p>
        </w:tc>
        <w:tc>
          <w:tcPr>
            <w:tcW w:w="711" w:type="dxa"/>
          </w:tcPr>
          <w:p>
            <w:pPr>
              <w:pStyle w:val="TableParagraph"/>
              <w:spacing w:line="266" w:lineRule="exact" w:before="0"/>
              <w:ind w:left="41" w:right="42"/>
              <w:jc w:val="center"/>
              <w:rPr>
                <w:sz w:val="24"/>
              </w:rPr>
            </w:pPr>
            <w:r>
              <w:rPr>
                <w:sz w:val="24"/>
              </w:rPr>
              <w:t>(ACN</w:t>
            </w:r>
          </w:p>
        </w:tc>
        <w:tc>
          <w:tcPr>
            <w:tcW w:w="484" w:type="dxa"/>
          </w:tcPr>
          <w:p>
            <w:pPr>
              <w:pStyle w:val="TableParagraph"/>
              <w:spacing w:line="266" w:lineRule="exact" w:before="0"/>
              <w:ind w:left="59"/>
              <w:rPr>
                <w:sz w:val="24"/>
              </w:rPr>
            </w:pPr>
            <w:r>
              <w:rPr>
                <w:sz w:val="24"/>
              </w:rPr>
              <w:t>617</w:t>
            </w:r>
          </w:p>
        </w:tc>
        <w:tc>
          <w:tcPr>
            <w:tcW w:w="484" w:type="dxa"/>
          </w:tcPr>
          <w:p>
            <w:pPr>
              <w:pStyle w:val="TableParagraph"/>
              <w:spacing w:line="266" w:lineRule="exact" w:before="0"/>
              <w:ind w:left="40" w:right="43"/>
              <w:jc w:val="center"/>
              <w:rPr>
                <w:sz w:val="24"/>
              </w:rPr>
            </w:pPr>
            <w:r>
              <w:rPr>
                <w:sz w:val="24"/>
              </w:rPr>
              <w:t>221</w:t>
            </w:r>
          </w:p>
        </w:tc>
        <w:tc>
          <w:tcPr>
            <w:tcW w:w="564" w:type="dxa"/>
          </w:tcPr>
          <w:p>
            <w:pPr>
              <w:pStyle w:val="TableParagraph"/>
              <w:spacing w:line="266" w:lineRule="exact" w:before="0"/>
              <w:ind w:left="39" w:right="44"/>
              <w:jc w:val="center"/>
              <w:rPr>
                <w:sz w:val="24"/>
              </w:rPr>
            </w:pPr>
            <w:r>
              <w:rPr>
                <w:sz w:val="24"/>
              </w:rPr>
              <w:t>735)</w:t>
            </w:r>
          </w:p>
        </w:tc>
        <w:tc>
          <w:tcPr>
            <w:tcW w:w="312" w:type="dxa"/>
          </w:tcPr>
          <w:p>
            <w:pPr>
              <w:pStyle w:val="TableParagraph"/>
              <w:spacing w:line="266" w:lineRule="exact" w:before="0"/>
              <w:ind w:left="37" w:right="34"/>
              <w:jc w:val="center"/>
              <w:rPr>
                <w:sz w:val="24"/>
              </w:rPr>
            </w:pPr>
            <w:r>
              <w:rPr>
                <w:sz w:val="24"/>
              </w:rPr>
              <w:t>as</w:t>
            </w:r>
          </w:p>
        </w:tc>
      </w:tr>
      <w:tr>
        <w:trPr>
          <w:trHeight w:val="671" w:hRule="atLeast"/>
        </w:trPr>
        <w:tc>
          <w:tcPr>
            <w:tcW w:w="5029" w:type="dxa"/>
            <w:gridSpan w:val="2"/>
          </w:tcPr>
          <w:p>
            <w:pPr>
              <w:pStyle w:val="TableParagraph"/>
              <w:tabs>
                <w:tab w:pos="616" w:val="left" w:leader="none"/>
              </w:tabs>
              <w:spacing w:before="55"/>
              <w:ind w:left="617" w:right="60" w:hanging="567"/>
              <w:rPr>
                <w:sz w:val="24"/>
              </w:rPr>
            </w:pPr>
            <w:r>
              <w:rPr>
                <w:sz w:val="24"/>
              </w:rPr>
              <w:t>(c)</w:t>
              <w:tab/>
              <w:t>ERIC Epsilon Operator Corporation 2 Pty trustee for ERIC Epsilon Operator Trust</w:t>
            </w:r>
            <w:r>
              <w:rPr>
                <w:spacing w:val="-6"/>
                <w:sz w:val="24"/>
              </w:rPr>
              <w:t> </w:t>
            </w:r>
            <w:r>
              <w:rPr>
                <w:sz w:val="24"/>
              </w:rPr>
              <w:t>2;</w:t>
            </w:r>
          </w:p>
        </w:tc>
        <w:tc>
          <w:tcPr>
            <w:tcW w:w="457" w:type="dxa"/>
          </w:tcPr>
          <w:p>
            <w:pPr>
              <w:pStyle w:val="TableParagraph"/>
              <w:spacing w:before="55"/>
              <w:ind w:left="41" w:right="41"/>
              <w:jc w:val="center"/>
              <w:rPr>
                <w:sz w:val="24"/>
              </w:rPr>
            </w:pPr>
            <w:r>
              <w:rPr>
                <w:sz w:val="24"/>
              </w:rPr>
              <w:t>Ltd</w:t>
            </w:r>
          </w:p>
        </w:tc>
        <w:tc>
          <w:tcPr>
            <w:tcW w:w="711" w:type="dxa"/>
          </w:tcPr>
          <w:p>
            <w:pPr>
              <w:pStyle w:val="TableParagraph"/>
              <w:spacing w:before="55"/>
              <w:ind w:left="41" w:right="42"/>
              <w:jc w:val="center"/>
              <w:rPr>
                <w:sz w:val="24"/>
              </w:rPr>
            </w:pPr>
            <w:r>
              <w:rPr>
                <w:sz w:val="24"/>
              </w:rPr>
              <w:t>(ACN</w:t>
            </w:r>
          </w:p>
        </w:tc>
        <w:tc>
          <w:tcPr>
            <w:tcW w:w="484" w:type="dxa"/>
          </w:tcPr>
          <w:p>
            <w:pPr>
              <w:pStyle w:val="TableParagraph"/>
              <w:spacing w:before="55"/>
              <w:ind w:left="59"/>
              <w:rPr>
                <w:sz w:val="24"/>
              </w:rPr>
            </w:pPr>
            <w:r>
              <w:rPr>
                <w:sz w:val="24"/>
              </w:rPr>
              <w:t>617</w:t>
            </w:r>
          </w:p>
        </w:tc>
        <w:tc>
          <w:tcPr>
            <w:tcW w:w="484" w:type="dxa"/>
          </w:tcPr>
          <w:p>
            <w:pPr>
              <w:pStyle w:val="TableParagraph"/>
              <w:spacing w:before="55"/>
              <w:ind w:left="39" w:right="43"/>
              <w:jc w:val="center"/>
              <w:rPr>
                <w:sz w:val="24"/>
              </w:rPr>
            </w:pPr>
            <w:r>
              <w:rPr>
                <w:sz w:val="24"/>
              </w:rPr>
              <w:t>221</w:t>
            </w:r>
          </w:p>
        </w:tc>
        <w:tc>
          <w:tcPr>
            <w:tcW w:w="564" w:type="dxa"/>
          </w:tcPr>
          <w:p>
            <w:pPr>
              <w:pStyle w:val="TableParagraph"/>
              <w:spacing w:before="55"/>
              <w:ind w:left="39" w:right="44"/>
              <w:jc w:val="center"/>
              <w:rPr>
                <w:sz w:val="24"/>
              </w:rPr>
            </w:pPr>
            <w:r>
              <w:rPr>
                <w:sz w:val="24"/>
              </w:rPr>
              <w:t>744)</w:t>
            </w:r>
          </w:p>
        </w:tc>
        <w:tc>
          <w:tcPr>
            <w:tcW w:w="312" w:type="dxa"/>
          </w:tcPr>
          <w:p>
            <w:pPr>
              <w:pStyle w:val="TableParagraph"/>
              <w:spacing w:before="55"/>
              <w:ind w:left="37" w:right="34"/>
              <w:jc w:val="center"/>
              <w:rPr>
                <w:sz w:val="24"/>
              </w:rPr>
            </w:pPr>
            <w:r>
              <w:rPr>
                <w:sz w:val="24"/>
              </w:rPr>
              <w:t>as</w:t>
            </w:r>
          </w:p>
        </w:tc>
      </w:tr>
      <w:tr>
        <w:trPr>
          <w:trHeight w:val="330" w:hRule="atLeast"/>
        </w:trPr>
        <w:tc>
          <w:tcPr>
            <w:tcW w:w="5029" w:type="dxa"/>
            <w:gridSpan w:val="2"/>
          </w:tcPr>
          <w:p>
            <w:pPr>
              <w:pStyle w:val="TableParagraph"/>
              <w:tabs>
                <w:tab w:pos="616" w:val="left" w:leader="none"/>
              </w:tabs>
              <w:spacing w:line="256" w:lineRule="exact" w:before="55"/>
              <w:ind w:left="50"/>
              <w:rPr>
                <w:sz w:val="24"/>
              </w:rPr>
            </w:pPr>
            <w:r>
              <w:rPr>
                <w:sz w:val="24"/>
              </w:rPr>
              <w:t>(d)</w:t>
              <w:tab/>
              <w:t>ERIC Epsilon Operator Corporation 3</w:t>
            </w:r>
            <w:r>
              <w:rPr>
                <w:spacing w:val="6"/>
                <w:sz w:val="24"/>
              </w:rPr>
              <w:t> </w:t>
            </w:r>
            <w:r>
              <w:rPr>
                <w:sz w:val="24"/>
              </w:rPr>
              <w:t>Pty</w:t>
            </w:r>
          </w:p>
        </w:tc>
        <w:tc>
          <w:tcPr>
            <w:tcW w:w="457" w:type="dxa"/>
          </w:tcPr>
          <w:p>
            <w:pPr>
              <w:pStyle w:val="TableParagraph"/>
              <w:spacing w:line="256" w:lineRule="exact" w:before="55"/>
              <w:ind w:left="40" w:right="41"/>
              <w:jc w:val="center"/>
              <w:rPr>
                <w:sz w:val="24"/>
              </w:rPr>
            </w:pPr>
            <w:r>
              <w:rPr>
                <w:sz w:val="24"/>
              </w:rPr>
              <w:t>Ltd</w:t>
            </w:r>
          </w:p>
        </w:tc>
        <w:tc>
          <w:tcPr>
            <w:tcW w:w="711" w:type="dxa"/>
          </w:tcPr>
          <w:p>
            <w:pPr>
              <w:pStyle w:val="TableParagraph"/>
              <w:spacing w:line="256" w:lineRule="exact" w:before="55"/>
              <w:ind w:left="41" w:right="42"/>
              <w:jc w:val="center"/>
              <w:rPr>
                <w:sz w:val="24"/>
              </w:rPr>
            </w:pPr>
            <w:r>
              <w:rPr>
                <w:sz w:val="24"/>
              </w:rPr>
              <w:t>(ACN</w:t>
            </w:r>
          </w:p>
        </w:tc>
        <w:tc>
          <w:tcPr>
            <w:tcW w:w="484" w:type="dxa"/>
          </w:tcPr>
          <w:p>
            <w:pPr>
              <w:pStyle w:val="TableParagraph"/>
              <w:spacing w:line="256" w:lineRule="exact" w:before="55"/>
              <w:ind w:left="59"/>
              <w:rPr>
                <w:sz w:val="24"/>
              </w:rPr>
            </w:pPr>
            <w:r>
              <w:rPr>
                <w:sz w:val="24"/>
              </w:rPr>
              <w:t>617</w:t>
            </w:r>
          </w:p>
        </w:tc>
        <w:tc>
          <w:tcPr>
            <w:tcW w:w="484" w:type="dxa"/>
          </w:tcPr>
          <w:p>
            <w:pPr>
              <w:pStyle w:val="TableParagraph"/>
              <w:spacing w:line="256" w:lineRule="exact" w:before="55"/>
              <w:ind w:left="40" w:right="43"/>
              <w:jc w:val="center"/>
              <w:rPr>
                <w:sz w:val="24"/>
              </w:rPr>
            </w:pPr>
            <w:r>
              <w:rPr>
                <w:sz w:val="24"/>
              </w:rPr>
              <w:t>221</w:t>
            </w:r>
          </w:p>
        </w:tc>
        <w:tc>
          <w:tcPr>
            <w:tcW w:w="564" w:type="dxa"/>
          </w:tcPr>
          <w:p>
            <w:pPr>
              <w:pStyle w:val="TableParagraph"/>
              <w:spacing w:line="256" w:lineRule="exact" w:before="55"/>
              <w:ind w:left="39" w:right="44"/>
              <w:jc w:val="center"/>
              <w:rPr>
                <w:sz w:val="24"/>
              </w:rPr>
            </w:pPr>
            <w:r>
              <w:rPr>
                <w:sz w:val="24"/>
              </w:rPr>
              <w:t>753)</w:t>
            </w:r>
          </w:p>
        </w:tc>
        <w:tc>
          <w:tcPr>
            <w:tcW w:w="312" w:type="dxa"/>
          </w:tcPr>
          <w:p>
            <w:pPr>
              <w:pStyle w:val="TableParagraph"/>
              <w:spacing w:line="256" w:lineRule="exact" w:before="55"/>
              <w:ind w:left="37" w:right="34"/>
              <w:jc w:val="center"/>
              <w:rPr>
                <w:sz w:val="24"/>
              </w:rPr>
            </w:pPr>
            <w:r>
              <w:rPr>
                <w:sz w:val="24"/>
              </w:rPr>
              <w:t>as</w:t>
            </w:r>
          </w:p>
        </w:tc>
      </w:tr>
      <w:tr>
        <w:trPr>
          <w:trHeight w:val="341" w:hRule="atLeast"/>
        </w:trPr>
        <w:tc>
          <w:tcPr>
            <w:tcW w:w="467" w:type="dxa"/>
          </w:tcPr>
          <w:p>
            <w:pPr>
              <w:pStyle w:val="TableParagraph"/>
              <w:spacing w:before="0"/>
              <w:ind w:left="0"/>
              <w:rPr>
                <w:sz w:val="22"/>
              </w:rPr>
            </w:pPr>
          </w:p>
        </w:tc>
        <w:tc>
          <w:tcPr>
            <w:tcW w:w="5019" w:type="dxa"/>
            <w:gridSpan w:val="2"/>
          </w:tcPr>
          <w:p>
            <w:pPr>
              <w:pStyle w:val="TableParagraph"/>
              <w:spacing w:line="266" w:lineRule="exact" w:before="0"/>
              <w:ind w:left="150"/>
              <w:rPr>
                <w:sz w:val="24"/>
              </w:rPr>
            </w:pPr>
            <w:r>
              <w:rPr>
                <w:sz w:val="24"/>
              </w:rPr>
              <w:t>trustee for ERIC Epsilon Operator Trust 3; and</w:t>
            </w:r>
          </w:p>
        </w:tc>
        <w:tc>
          <w:tcPr>
            <w:tcW w:w="711" w:type="dxa"/>
          </w:tcPr>
          <w:p>
            <w:pPr>
              <w:pStyle w:val="TableParagraph"/>
              <w:spacing w:before="0"/>
              <w:ind w:left="0"/>
              <w:rPr>
                <w:sz w:val="22"/>
              </w:rPr>
            </w:pPr>
          </w:p>
        </w:tc>
        <w:tc>
          <w:tcPr>
            <w:tcW w:w="484" w:type="dxa"/>
          </w:tcPr>
          <w:p>
            <w:pPr>
              <w:pStyle w:val="TableParagraph"/>
              <w:spacing w:before="0"/>
              <w:ind w:left="0"/>
              <w:rPr>
                <w:sz w:val="22"/>
              </w:rPr>
            </w:pPr>
          </w:p>
        </w:tc>
        <w:tc>
          <w:tcPr>
            <w:tcW w:w="484" w:type="dxa"/>
          </w:tcPr>
          <w:p>
            <w:pPr>
              <w:pStyle w:val="TableParagraph"/>
              <w:spacing w:before="0"/>
              <w:ind w:left="0"/>
              <w:rPr>
                <w:sz w:val="22"/>
              </w:rPr>
            </w:pPr>
          </w:p>
        </w:tc>
        <w:tc>
          <w:tcPr>
            <w:tcW w:w="564" w:type="dxa"/>
          </w:tcPr>
          <w:p>
            <w:pPr>
              <w:pStyle w:val="TableParagraph"/>
              <w:spacing w:before="0"/>
              <w:ind w:left="0"/>
              <w:rPr>
                <w:sz w:val="22"/>
              </w:rPr>
            </w:pPr>
          </w:p>
        </w:tc>
        <w:tc>
          <w:tcPr>
            <w:tcW w:w="312" w:type="dxa"/>
          </w:tcPr>
          <w:p>
            <w:pPr>
              <w:pStyle w:val="TableParagraph"/>
              <w:spacing w:before="0"/>
              <w:ind w:left="0"/>
              <w:rPr>
                <w:sz w:val="22"/>
              </w:rPr>
            </w:pPr>
          </w:p>
        </w:tc>
      </w:tr>
      <w:tr>
        <w:trPr>
          <w:trHeight w:val="606" w:hRule="atLeast"/>
        </w:trPr>
        <w:tc>
          <w:tcPr>
            <w:tcW w:w="467" w:type="dxa"/>
          </w:tcPr>
          <w:p>
            <w:pPr>
              <w:pStyle w:val="TableParagraph"/>
              <w:spacing w:before="55"/>
              <w:ind w:left="50"/>
              <w:rPr>
                <w:sz w:val="24"/>
              </w:rPr>
            </w:pPr>
            <w:r>
              <w:rPr>
                <w:sz w:val="24"/>
              </w:rPr>
              <w:t>(e)</w:t>
            </w:r>
          </w:p>
        </w:tc>
        <w:tc>
          <w:tcPr>
            <w:tcW w:w="5019" w:type="dxa"/>
            <w:gridSpan w:val="2"/>
          </w:tcPr>
          <w:p>
            <w:pPr>
              <w:pStyle w:val="TableParagraph"/>
              <w:spacing w:line="270" w:lineRule="atLeast" w:before="55"/>
              <w:ind w:left="150" w:hanging="1"/>
              <w:rPr>
                <w:sz w:val="24"/>
              </w:rPr>
            </w:pPr>
            <w:r>
              <w:rPr>
                <w:sz w:val="24"/>
              </w:rPr>
              <w:t>ERIC Epsilon Operator Corporation 4 Pty Ltd trustee for ERIC Epsilon Operator Trust 4.</w:t>
            </w:r>
          </w:p>
        </w:tc>
        <w:tc>
          <w:tcPr>
            <w:tcW w:w="711" w:type="dxa"/>
          </w:tcPr>
          <w:p>
            <w:pPr>
              <w:pStyle w:val="TableParagraph"/>
              <w:spacing w:before="55"/>
              <w:ind w:left="41" w:right="42"/>
              <w:jc w:val="center"/>
              <w:rPr>
                <w:sz w:val="24"/>
              </w:rPr>
            </w:pPr>
            <w:r>
              <w:rPr>
                <w:sz w:val="24"/>
              </w:rPr>
              <w:t>(ACN</w:t>
            </w:r>
          </w:p>
        </w:tc>
        <w:tc>
          <w:tcPr>
            <w:tcW w:w="484" w:type="dxa"/>
          </w:tcPr>
          <w:p>
            <w:pPr>
              <w:pStyle w:val="TableParagraph"/>
              <w:spacing w:before="55"/>
              <w:ind w:left="59"/>
              <w:rPr>
                <w:sz w:val="24"/>
              </w:rPr>
            </w:pPr>
            <w:r>
              <w:rPr>
                <w:sz w:val="24"/>
              </w:rPr>
              <w:t>617</w:t>
            </w:r>
          </w:p>
        </w:tc>
        <w:tc>
          <w:tcPr>
            <w:tcW w:w="484" w:type="dxa"/>
          </w:tcPr>
          <w:p>
            <w:pPr>
              <w:pStyle w:val="TableParagraph"/>
              <w:spacing w:before="55"/>
              <w:ind w:left="39" w:right="43"/>
              <w:jc w:val="center"/>
              <w:rPr>
                <w:sz w:val="24"/>
              </w:rPr>
            </w:pPr>
            <w:r>
              <w:rPr>
                <w:sz w:val="24"/>
              </w:rPr>
              <w:t>221</w:t>
            </w:r>
          </w:p>
        </w:tc>
        <w:tc>
          <w:tcPr>
            <w:tcW w:w="564" w:type="dxa"/>
          </w:tcPr>
          <w:p>
            <w:pPr>
              <w:pStyle w:val="TableParagraph"/>
              <w:spacing w:before="55"/>
              <w:ind w:left="39" w:right="44"/>
              <w:jc w:val="center"/>
              <w:rPr>
                <w:sz w:val="24"/>
              </w:rPr>
            </w:pPr>
            <w:r>
              <w:rPr>
                <w:sz w:val="24"/>
              </w:rPr>
              <w:t>771)</w:t>
            </w:r>
          </w:p>
        </w:tc>
        <w:tc>
          <w:tcPr>
            <w:tcW w:w="312" w:type="dxa"/>
          </w:tcPr>
          <w:p>
            <w:pPr>
              <w:pStyle w:val="TableParagraph"/>
              <w:spacing w:before="55"/>
              <w:ind w:left="37" w:right="34"/>
              <w:jc w:val="center"/>
              <w:rPr>
                <w:sz w:val="24"/>
              </w:rPr>
            </w:pPr>
            <w:r>
              <w:rPr>
                <w:sz w:val="24"/>
              </w:rPr>
              <w:t>as</w:t>
            </w:r>
          </w:p>
        </w:tc>
      </w:tr>
    </w:tbl>
    <w:p>
      <w:pPr>
        <w:pStyle w:val="BodyText"/>
        <w:ind w:left="1352" w:right="414" w:firstLine="0"/>
      </w:pPr>
      <w:r>
        <w:rPr>
          <w:b/>
        </w:rPr>
        <w:t>Essential Energy </w:t>
      </w:r>
      <w:r>
        <w:rPr/>
        <w:t>means Essential Energy, the energy services corporation of that name (formerly known as Country Energy), which is constituted under section 7 of the </w:t>
      </w:r>
      <w:r>
        <w:rPr>
          <w:i/>
        </w:rPr>
        <w:t>Energy Services Corporations Act 1995 </w:t>
      </w:r>
      <w:r>
        <w:rPr/>
        <w:t>(NSW) and specified in Part 2 of Schedule 1 of that Act, or any successor to its</w:t>
      </w:r>
      <w:r>
        <w:rPr>
          <w:spacing w:val="-7"/>
        </w:rPr>
        <w:t> </w:t>
      </w:r>
      <w:r>
        <w:rPr/>
        <w:t>business.</w:t>
      </w:r>
    </w:p>
    <w:p>
      <w:pPr>
        <w:spacing w:before="120"/>
        <w:ind w:left="1352" w:right="416" w:firstLine="0"/>
        <w:jc w:val="both"/>
        <w:rPr>
          <w:sz w:val="24"/>
        </w:rPr>
      </w:pPr>
      <w:r>
        <w:rPr>
          <w:b/>
          <w:sz w:val="24"/>
        </w:rPr>
        <w:t>NSW DNSP </w:t>
      </w:r>
      <w:r>
        <w:rPr>
          <w:sz w:val="24"/>
        </w:rPr>
        <w:t>means each of the following </w:t>
      </w:r>
      <w:r>
        <w:rPr>
          <w:i/>
          <w:sz w:val="24"/>
        </w:rPr>
        <w:t>Distribution Network Service </w:t>
      </w:r>
      <w:r>
        <w:rPr>
          <w:i/>
          <w:sz w:val="24"/>
        </w:rPr>
        <w:t>Providers</w:t>
      </w:r>
      <w:r>
        <w:rPr>
          <w:sz w:val="24"/>
        </w:rPr>
        <w:t>:</w:t>
      </w:r>
    </w:p>
    <w:p>
      <w:pPr>
        <w:pStyle w:val="ListParagraph"/>
        <w:numPr>
          <w:ilvl w:val="0"/>
          <w:numId w:val="652"/>
        </w:numPr>
        <w:tabs>
          <w:tab w:pos="1918" w:val="left" w:leader="none"/>
          <w:tab w:pos="1919" w:val="left" w:leader="none"/>
        </w:tabs>
        <w:spacing w:line="240" w:lineRule="auto" w:before="120" w:after="0"/>
        <w:ind w:left="1918" w:right="0" w:hanging="567"/>
        <w:jc w:val="left"/>
        <w:rPr>
          <w:sz w:val="24"/>
        </w:rPr>
      </w:pPr>
      <w:r>
        <w:rPr>
          <w:sz w:val="24"/>
        </w:rPr>
        <w:t>Ausgrid;</w:t>
      </w:r>
    </w:p>
    <w:p>
      <w:pPr>
        <w:pStyle w:val="ListParagraph"/>
        <w:numPr>
          <w:ilvl w:val="0"/>
          <w:numId w:val="652"/>
        </w:numPr>
        <w:tabs>
          <w:tab w:pos="1918" w:val="left" w:leader="none"/>
          <w:tab w:pos="1919" w:val="left" w:leader="none"/>
        </w:tabs>
        <w:spacing w:line="240" w:lineRule="auto" w:before="120" w:after="0"/>
        <w:ind w:left="1918" w:right="0" w:hanging="567"/>
        <w:jc w:val="left"/>
        <w:rPr>
          <w:sz w:val="24"/>
        </w:rPr>
      </w:pPr>
      <w:r>
        <w:rPr>
          <w:sz w:val="24"/>
        </w:rPr>
        <w:t>Endeavour Energy;</w:t>
      </w:r>
      <w:r>
        <w:rPr>
          <w:spacing w:val="-1"/>
          <w:sz w:val="24"/>
        </w:rPr>
        <w:t> </w:t>
      </w:r>
      <w:r>
        <w:rPr>
          <w:sz w:val="24"/>
        </w:rPr>
        <w:t>and</w:t>
      </w:r>
    </w:p>
    <w:p>
      <w:pPr>
        <w:pStyle w:val="ListParagraph"/>
        <w:numPr>
          <w:ilvl w:val="0"/>
          <w:numId w:val="652"/>
        </w:numPr>
        <w:tabs>
          <w:tab w:pos="1918" w:val="left" w:leader="none"/>
          <w:tab w:pos="1919" w:val="left" w:leader="none"/>
        </w:tabs>
        <w:spacing w:line="240" w:lineRule="auto" w:before="120" w:after="0"/>
        <w:ind w:left="1918" w:right="0" w:hanging="567"/>
        <w:jc w:val="left"/>
        <w:rPr>
          <w:sz w:val="24"/>
        </w:rPr>
      </w:pPr>
      <w:r>
        <w:rPr>
          <w:sz w:val="24"/>
        </w:rPr>
        <w:t>Essential Energy.</w:t>
      </w:r>
    </w:p>
    <w:p>
      <w:pPr>
        <w:spacing w:before="120"/>
        <w:ind w:left="1352" w:right="415" w:firstLine="0"/>
        <w:jc w:val="both"/>
        <w:rPr>
          <w:sz w:val="24"/>
        </w:rPr>
      </w:pPr>
      <w:r>
        <w:rPr>
          <w:b/>
          <w:sz w:val="24"/>
        </w:rPr>
        <w:t>NUOS charges</w:t>
      </w:r>
      <w:r>
        <w:rPr>
          <w:sz w:val="24"/>
        </w:rPr>
        <w:t>, in respect of a NSW DNSP, means charges comprising that NSW DNSP's prices for distribution standard control services, </w:t>
      </w:r>
      <w:r>
        <w:rPr>
          <w:i/>
          <w:sz w:val="24"/>
        </w:rPr>
        <w:t>designated pricing </w:t>
      </w:r>
      <w:r>
        <w:rPr>
          <w:i/>
          <w:sz w:val="24"/>
        </w:rPr>
        <w:t>proposal charges </w:t>
      </w:r>
      <w:r>
        <w:rPr>
          <w:sz w:val="24"/>
        </w:rPr>
        <w:t>and </w:t>
      </w:r>
      <w:r>
        <w:rPr>
          <w:i/>
          <w:sz w:val="24"/>
        </w:rPr>
        <w:t>jurisdictional scheme amounts</w:t>
      </w:r>
      <w:r>
        <w:rPr>
          <w:sz w:val="24"/>
        </w:rPr>
        <w:t>.</w:t>
      </w:r>
    </w:p>
    <w:p>
      <w:pPr>
        <w:pStyle w:val="BodyText"/>
        <w:ind w:left="1352" w:right="414" w:firstLine="0"/>
      </w:pPr>
      <w:r>
        <w:rPr>
          <w:b/>
        </w:rPr>
        <w:t>regulatory year </w:t>
      </w:r>
      <w:r>
        <w:rPr/>
        <w:t>means each consecutive period of 12 calendar months in the current regulatory control period or subsequent regulatory control period (as the case may be) (the current regulatory control period and subsequent regulatory control period each being a </w:t>
      </w:r>
      <w:r>
        <w:rPr>
          <w:b/>
        </w:rPr>
        <w:t>regulatory control period</w:t>
      </w:r>
      <w:r>
        <w:rPr/>
        <w:t>), the first such 12 month period commencing at the beginning of the regulatory control period and the final 12 month period ending at the end of the regulatory control period.</w:t>
      </w:r>
    </w:p>
    <w:p>
      <w:pPr>
        <w:pStyle w:val="BodyText"/>
        <w:ind w:left="1352" w:right="415" w:firstLine="0"/>
      </w:pPr>
      <w:r>
        <w:rPr>
          <w:b/>
        </w:rPr>
        <w:t>remade 2015 determination</w:t>
      </w:r>
      <w:r>
        <w:rPr/>
        <w:t>, in respect of each NSW DNSP, means the 2015 determination of that NSW DNSP as remade by the </w:t>
      </w:r>
      <w:r>
        <w:rPr>
          <w:i/>
        </w:rPr>
        <w:t>AER </w:t>
      </w:r>
      <w:r>
        <w:rPr/>
        <w:t>following the Tribunal's decision.</w:t>
      </w:r>
    </w:p>
    <w:p>
      <w:pPr>
        <w:spacing w:after="0"/>
        <w:sectPr>
          <w:pgSz w:w="11910" w:h="16840"/>
          <w:pgMar w:header="686" w:footer="637" w:top="1320" w:bottom="820" w:left="1200" w:right="1000"/>
        </w:sectPr>
      </w:pPr>
    </w:p>
    <w:p>
      <w:pPr>
        <w:pStyle w:val="BodyText"/>
        <w:spacing w:before="83"/>
        <w:ind w:left="1352" w:right="415" w:firstLine="0"/>
      </w:pPr>
      <w:r>
        <w:rPr>
          <w:b/>
        </w:rPr>
        <w:t>revenue recovery principle</w:t>
      </w:r>
      <w:r>
        <w:rPr/>
        <w:t>, in respect of a NSW DNSP, means the principle that the NSW DNSP must be given the ability to recover the same, but no more, revenue (in net present value equivalent terms) as it would have recovered if:</w:t>
      </w:r>
    </w:p>
    <w:p>
      <w:pPr>
        <w:pStyle w:val="ListParagraph"/>
        <w:numPr>
          <w:ilvl w:val="0"/>
          <w:numId w:val="653"/>
        </w:numPr>
        <w:tabs>
          <w:tab w:pos="1919" w:val="left" w:leader="none"/>
        </w:tabs>
        <w:spacing w:line="240" w:lineRule="auto" w:before="120" w:after="0"/>
        <w:ind w:left="1919" w:right="416" w:hanging="567"/>
        <w:jc w:val="both"/>
        <w:rPr>
          <w:sz w:val="24"/>
        </w:rPr>
      </w:pPr>
      <w:r>
        <w:rPr>
          <w:sz w:val="24"/>
        </w:rPr>
        <w:t>the remade 2015 determination had been in force from the commencement of the current regulatory control period;</w:t>
      </w:r>
      <w:r>
        <w:rPr>
          <w:spacing w:val="-1"/>
          <w:sz w:val="24"/>
        </w:rPr>
        <w:t> </w:t>
      </w:r>
      <w:r>
        <w:rPr>
          <w:sz w:val="24"/>
        </w:rPr>
        <w:t>and</w:t>
      </w:r>
    </w:p>
    <w:p>
      <w:pPr>
        <w:pStyle w:val="ListParagraph"/>
        <w:numPr>
          <w:ilvl w:val="0"/>
          <w:numId w:val="653"/>
        </w:numPr>
        <w:tabs>
          <w:tab w:pos="1919" w:val="left" w:leader="none"/>
        </w:tabs>
        <w:spacing w:line="240" w:lineRule="auto" w:before="120" w:after="0"/>
        <w:ind w:left="1919" w:right="415" w:hanging="567"/>
        <w:jc w:val="both"/>
        <w:rPr>
          <w:sz w:val="24"/>
        </w:rPr>
      </w:pPr>
      <w:r>
        <w:rPr>
          <w:sz w:val="24"/>
        </w:rPr>
        <w:t>the formulae giving effect to the control mechanisms specified in the remade 2015 determination had been applied in each regulatory year of </w:t>
      </w:r>
      <w:r>
        <w:rPr>
          <w:spacing w:val="-4"/>
          <w:sz w:val="24"/>
        </w:rPr>
        <w:t>the</w:t>
      </w:r>
      <w:r>
        <w:rPr>
          <w:spacing w:val="52"/>
          <w:sz w:val="24"/>
        </w:rPr>
        <w:t> </w:t>
      </w:r>
      <w:r>
        <w:rPr>
          <w:sz w:val="24"/>
        </w:rPr>
        <w:t>current regulatory control</w:t>
      </w:r>
      <w:r>
        <w:rPr>
          <w:spacing w:val="-2"/>
          <w:sz w:val="24"/>
        </w:rPr>
        <w:t> </w:t>
      </w:r>
      <w:r>
        <w:rPr>
          <w:sz w:val="24"/>
        </w:rPr>
        <w:t>period.</w:t>
      </w:r>
    </w:p>
    <w:p>
      <w:pPr>
        <w:spacing w:before="120"/>
        <w:ind w:left="1352" w:right="416" w:firstLine="0"/>
        <w:jc w:val="both"/>
        <w:rPr>
          <w:sz w:val="24"/>
        </w:rPr>
      </w:pPr>
      <w:r>
        <w:rPr>
          <w:b/>
          <w:sz w:val="24"/>
        </w:rPr>
        <w:t>scheme</w:t>
      </w:r>
      <w:r>
        <w:rPr>
          <w:sz w:val="24"/>
        </w:rPr>
        <w:t>, in respect of a NSW DNSP, means any applicable </w:t>
      </w:r>
      <w:r>
        <w:rPr>
          <w:i/>
          <w:sz w:val="24"/>
        </w:rPr>
        <w:t>efficiency benefit </w:t>
      </w:r>
      <w:r>
        <w:rPr>
          <w:i/>
          <w:sz w:val="24"/>
        </w:rPr>
        <w:t>sharing scheme</w:t>
      </w:r>
      <w:r>
        <w:rPr>
          <w:sz w:val="24"/>
        </w:rPr>
        <w:t>, </w:t>
      </w:r>
      <w:r>
        <w:rPr>
          <w:i/>
          <w:sz w:val="24"/>
        </w:rPr>
        <w:t>capital expenditure sharing scheme</w:t>
      </w:r>
      <w:r>
        <w:rPr>
          <w:sz w:val="24"/>
        </w:rPr>
        <w:t>, </w:t>
      </w:r>
      <w:r>
        <w:rPr>
          <w:i/>
          <w:sz w:val="24"/>
        </w:rPr>
        <w:t>service target performance </w:t>
      </w:r>
      <w:r>
        <w:rPr>
          <w:i/>
          <w:sz w:val="24"/>
        </w:rPr>
        <w:t>incentive scheme</w:t>
      </w:r>
      <w:r>
        <w:rPr>
          <w:sz w:val="24"/>
        </w:rPr>
        <w:t>, </w:t>
      </w:r>
      <w:r>
        <w:rPr>
          <w:i/>
          <w:sz w:val="24"/>
        </w:rPr>
        <w:t>demand management incentive scheme</w:t>
      </w:r>
      <w:r>
        <w:rPr>
          <w:sz w:val="24"/>
        </w:rPr>
        <w:t>, </w:t>
      </w:r>
      <w:r>
        <w:rPr>
          <w:i/>
          <w:sz w:val="24"/>
        </w:rPr>
        <w:t>demand management </w:t>
      </w:r>
      <w:r>
        <w:rPr>
          <w:i/>
          <w:sz w:val="24"/>
        </w:rPr>
        <w:t>innovation allowance mechanism </w:t>
      </w:r>
      <w:r>
        <w:rPr>
          <w:sz w:val="24"/>
        </w:rPr>
        <w:t>and </w:t>
      </w:r>
      <w:r>
        <w:rPr>
          <w:i/>
          <w:sz w:val="24"/>
        </w:rPr>
        <w:t>small-scale incentive scheme</w:t>
      </w:r>
      <w:r>
        <w:rPr>
          <w:sz w:val="24"/>
        </w:rPr>
        <w:t>.</w:t>
      </w:r>
    </w:p>
    <w:p>
      <w:pPr>
        <w:spacing w:before="120"/>
        <w:ind w:left="1352" w:right="416" w:firstLine="0"/>
        <w:jc w:val="both"/>
        <w:rPr>
          <w:sz w:val="24"/>
        </w:rPr>
      </w:pPr>
      <w:r>
        <w:rPr>
          <w:b/>
          <w:sz w:val="24"/>
        </w:rPr>
        <w:t>subsequent adjustment amount</w:t>
      </w:r>
      <w:r>
        <w:rPr>
          <w:sz w:val="24"/>
        </w:rPr>
        <w:t>, in respect of a NSW DNSP, means an amount that:</w:t>
      </w:r>
    </w:p>
    <w:p>
      <w:pPr>
        <w:pStyle w:val="ListParagraph"/>
        <w:numPr>
          <w:ilvl w:val="0"/>
          <w:numId w:val="654"/>
        </w:numPr>
        <w:tabs>
          <w:tab w:pos="1919" w:val="left" w:leader="none"/>
        </w:tabs>
        <w:spacing w:line="240" w:lineRule="auto" w:before="120" w:after="0"/>
        <w:ind w:left="1919" w:right="414" w:hanging="567"/>
        <w:jc w:val="both"/>
        <w:rPr>
          <w:sz w:val="24"/>
        </w:rPr>
      </w:pPr>
      <w:r>
        <w:rPr>
          <w:sz w:val="24"/>
        </w:rPr>
        <w:t>is equivalent in net present value terms to the adjustment amount, incorporating any adjustments made under clause 8A.14.4(d)(1)(ii) </w:t>
      </w:r>
      <w:r>
        <w:rPr>
          <w:spacing w:val="-7"/>
          <w:sz w:val="24"/>
        </w:rPr>
        <w:t>or </w:t>
      </w:r>
      <w:r>
        <w:rPr>
          <w:sz w:val="24"/>
        </w:rPr>
        <w:t>8A.14.4(d)(2)(ii) (as the case may be);</w:t>
      </w:r>
      <w:r>
        <w:rPr>
          <w:spacing w:val="-1"/>
          <w:sz w:val="24"/>
        </w:rPr>
        <w:t> </w:t>
      </w:r>
      <w:r>
        <w:rPr>
          <w:sz w:val="24"/>
        </w:rPr>
        <w:t>and</w:t>
      </w:r>
    </w:p>
    <w:p>
      <w:pPr>
        <w:pStyle w:val="ListParagraph"/>
        <w:numPr>
          <w:ilvl w:val="0"/>
          <w:numId w:val="654"/>
        </w:numPr>
        <w:tabs>
          <w:tab w:pos="1919" w:val="left" w:leader="none"/>
        </w:tabs>
        <w:spacing w:line="240" w:lineRule="auto" w:before="120" w:after="0"/>
        <w:ind w:left="1919" w:right="414" w:hanging="567"/>
        <w:jc w:val="both"/>
        <w:rPr>
          <w:sz w:val="24"/>
        </w:rPr>
      </w:pPr>
      <w:r>
        <w:rPr>
          <w:sz w:val="24"/>
        </w:rPr>
        <w:t>represents a revenue increase (where the adjustment amount is a negative amount) or a revenue decrease (where the adjustment amount is a positive amount) to the </w:t>
      </w:r>
      <w:r>
        <w:rPr>
          <w:i/>
          <w:sz w:val="24"/>
        </w:rPr>
        <w:t>annual revenue requirement </w:t>
      </w:r>
      <w:r>
        <w:rPr>
          <w:sz w:val="24"/>
        </w:rPr>
        <w:t>of the first regulatory year of  the subsequent regulatory control</w:t>
      </w:r>
      <w:r>
        <w:rPr>
          <w:spacing w:val="-3"/>
          <w:sz w:val="24"/>
        </w:rPr>
        <w:t> </w:t>
      </w:r>
      <w:r>
        <w:rPr>
          <w:sz w:val="24"/>
        </w:rPr>
        <w:t>period.</w:t>
      </w:r>
    </w:p>
    <w:p>
      <w:pPr>
        <w:spacing w:before="120"/>
        <w:ind w:left="1352" w:right="415" w:firstLine="0"/>
        <w:jc w:val="both"/>
        <w:rPr>
          <w:sz w:val="24"/>
        </w:rPr>
      </w:pPr>
      <w:r>
        <w:rPr>
          <w:b/>
          <w:sz w:val="24"/>
        </w:rPr>
        <w:t>subsequent distribution determination</w:t>
      </w:r>
      <w:r>
        <w:rPr>
          <w:sz w:val="24"/>
        </w:rPr>
        <w:t>, in respect of each NSW DNSP, means the distribution determination for that NSW DNSP that is made by the </w:t>
      </w:r>
      <w:r>
        <w:rPr>
          <w:i/>
          <w:sz w:val="24"/>
        </w:rPr>
        <w:t>AER </w:t>
      </w:r>
      <w:r>
        <w:rPr>
          <w:sz w:val="24"/>
        </w:rPr>
        <w:t>for the subsequent regulatory control</w:t>
      </w:r>
      <w:r>
        <w:rPr>
          <w:spacing w:val="-3"/>
          <w:sz w:val="24"/>
        </w:rPr>
        <w:t> </w:t>
      </w:r>
      <w:r>
        <w:rPr>
          <w:sz w:val="24"/>
        </w:rPr>
        <w:t>period.</w:t>
      </w:r>
    </w:p>
    <w:p>
      <w:pPr>
        <w:spacing w:before="120"/>
        <w:ind w:left="1352" w:right="415" w:firstLine="0"/>
        <w:jc w:val="both"/>
        <w:rPr>
          <w:sz w:val="24"/>
        </w:rPr>
      </w:pPr>
      <w:r>
        <w:rPr>
          <w:b/>
          <w:sz w:val="24"/>
        </w:rPr>
        <w:t>subsequent regulatory control period</w:t>
      </w:r>
      <w:r>
        <w:rPr>
          <w:sz w:val="24"/>
        </w:rPr>
        <w:t>, in respect of a NSW DNSP, means the </w:t>
      </w:r>
      <w:r>
        <w:rPr>
          <w:i/>
          <w:sz w:val="24"/>
        </w:rPr>
        <w:t>regulatory control period </w:t>
      </w:r>
      <w:r>
        <w:rPr>
          <w:sz w:val="24"/>
        </w:rPr>
        <w:t>for that NSW DNSP that immediately follows the current regulatory control period.</w:t>
      </w:r>
    </w:p>
    <w:p>
      <w:pPr>
        <w:spacing w:before="120"/>
        <w:ind w:left="1352" w:right="415" w:firstLine="0"/>
        <w:jc w:val="both"/>
        <w:rPr>
          <w:sz w:val="24"/>
        </w:rPr>
      </w:pPr>
      <w:r>
        <w:rPr>
          <w:b/>
          <w:sz w:val="24"/>
        </w:rPr>
        <w:t>substituted total annual revenue amount </w:t>
      </w:r>
      <w:r>
        <w:rPr>
          <w:sz w:val="24"/>
        </w:rPr>
        <w:t>has the meaning given in clause 8A.14.4(d).</w:t>
      </w:r>
    </w:p>
    <w:p>
      <w:pPr>
        <w:spacing w:before="120"/>
        <w:ind w:left="1352" w:right="415" w:firstLine="0"/>
        <w:jc w:val="both"/>
        <w:rPr>
          <w:sz w:val="24"/>
        </w:rPr>
      </w:pPr>
      <w:r>
        <w:rPr>
          <w:b/>
          <w:sz w:val="24"/>
        </w:rPr>
        <w:t>total annual revenue</w:t>
      </w:r>
      <w:r>
        <w:rPr>
          <w:sz w:val="24"/>
        </w:rPr>
        <w:t>, in respect of a NSW DNSP, means the total revenue that the NSW DNSP is entitled to earn from the provision of distribution standard control services or </w:t>
      </w:r>
      <w:r>
        <w:rPr>
          <w:i/>
          <w:sz w:val="24"/>
        </w:rPr>
        <w:t>transmission standard control services </w:t>
      </w:r>
      <w:r>
        <w:rPr>
          <w:sz w:val="24"/>
        </w:rPr>
        <w:t>(as the case may be) for the relevant regulatory year.</w:t>
      </w:r>
    </w:p>
    <w:p>
      <w:pPr>
        <w:spacing w:before="120"/>
        <w:ind w:left="1352" w:right="415" w:firstLine="0"/>
        <w:jc w:val="both"/>
        <w:rPr>
          <w:sz w:val="24"/>
        </w:rPr>
      </w:pPr>
      <w:r>
        <w:rPr>
          <w:b/>
          <w:sz w:val="24"/>
        </w:rPr>
        <w:t>transmission variation amount</w:t>
      </w:r>
      <w:r>
        <w:rPr>
          <w:sz w:val="24"/>
        </w:rPr>
        <w:t>, in respect of a NSW DNSP, means an amount equal to:</w:t>
      </w:r>
    </w:p>
    <w:p>
      <w:pPr>
        <w:pStyle w:val="ListParagraph"/>
        <w:numPr>
          <w:ilvl w:val="0"/>
          <w:numId w:val="655"/>
        </w:numPr>
        <w:tabs>
          <w:tab w:pos="1919" w:val="left" w:leader="none"/>
        </w:tabs>
        <w:spacing w:line="240" w:lineRule="auto" w:before="120" w:after="0"/>
        <w:ind w:left="1919" w:right="415" w:hanging="567"/>
        <w:jc w:val="both"/>
        <w:rPr>
          <w:sz w:val="24"/>
        </w:rPr>
      </w:pPr>
      <w:r>
        <w:rPr>
          <w:sz w:val="24"/>
        </w:rPr>
        <w:t>the sum of the total annual revenue for </w:t>
      </w:r>
      <w:r>
        <w:rPr>
          <w:i/>
          <w:sz w:val="24"/>
        </w:rPr>
        <w:t>transmission standard control </w:t>
      </w:r>
      <w:r>
        <w:rPr>
          <w:i/>
          <w:sz w:val="24"/>
        </w:rPr>
        <w:t>services </w:t>
      </w:r>
      <w:r>
        <w:rPr>
          <w:sz w:val="24"/>
        </w:rPr>
        <w:t>for that NSW DNSP for each regulatory year of the current regulatory control period in accordance</w:t>
      </w:r>
      <w:r>
        <w:rPr>
          <w:spacing w:val="-2"/>
          <w:sz w:val="24"/>
        </w:rPr>
        <w:t> </w:t>
      </w:r>
      <w:r>
        <w:rPr>
          <w:sz w:val="24"/>
        </w:rPr>
        <w:t>with:</w:t>
      </w:r>
    </w:p>
    <w:p>
      <w:pPr>
        <w:pStyle w:val="ListParagraph"/>
        <w:numPr>
          <w:ilvl w:val="1"/>
          <w:numId w:val="655"/>
        </w:numPr>
        <w:tabs>
          <w:tab w:pos="2485" w:val="left" w:leader="none"/>
          <w:tab w:pos="2486" w:val="left" w:leader="none"/>
        </w:tabs>
        <w:spacing w:line="240" w:lineRule="auto" w:before="120" w:after="0"/>
        <w:ind w:left="2485" w:right="0" w:hanging="567"/>
        <w:jc w:val="left"/>
        <w:rPr>
          <w:sz w:val="24"/>
        </w:rPr>
      </w:pPr>
      <w:r>
        <w:rPr>
          <w:sz w:val="24"/>
        </w:rPr>
        <w:t>the formulae that give effect to the applicable control mechanism;</w:t>
      </w:r>
      <w:r>
        <w:rPr>
          <w:spacing w:val="-4"/>
          <w:sz w:val="24"/>
        </w:rPr>
        <w:t> </w:t>
      </w:r>
      <w:r>
        <w:rPr>
          <w:sz w:val="24"/>
        </w:rPr>
        <w:t>and</w:t>
      </w:r>
    </w:p>
    <w:p>
      <w:pPr>
        <w:pStyle w:val="ListParagraph"/>
        <w:numPr>
          <w:ilvl w:val="1"/>
          <w:numId w:val="655"/>
        </w:numPr>
        <w:tabs>
          <w:tab w:pos="2485" w:val="left" w:leader="none"/>
          <w:tab w:pos="2486" w:val="left" w:leader="none"/>
        </w:tabs>
        <w:spacing w:line="343" w:lineRule="auto" w:before="120" w:after="0"/>
        <w:ind w:left="1919" w:right="3040" w:firstLine="0"/>
        <w:jc w:val="left"/>
        <w:rPr>
          <w:sz w:val="24"/>
        </w:rPr>
      </w:pPr>
      <w:r>
        <w:rPr>
          <w:sz w:val="24"/>
        </w:rPr>
        <w:t>the applicable </w:t>
      </w:r>
      <w:r>
        <w:rPr>
          <w:i/>
          <w:sz w:val="24"/>
        </w:rPr>
        <w:t>annual revenue requirement</w:t>
      </w:r>
      <w:r>
        <w:rPr>
          <w:sz w:val="24"/>
        </w:rPr>
        <w:t>, under the remade 2015 determination;</w:t>
      </w:r>
      <w:r>
        <w:rPr>
          <w:spacing w:val="-2"/>
          <w:sz w:val="24"/>
        </w:rPr>
        <w:t> </w:t>
      </w:r>
      <w:r>
        <w:rPr>
          <w:sz w:val="24"/>
        </w:rPr>
        <w:t>minus</w:t>
      </w:r>
    </w:p>
    <w:p>
      <w:pPr>
        <w:pStyle w:val="ListParagraph"/>
        <w:numPr>
          <w:ilvl w:val="0"/>
          <w:numId w:val="655"/>
        </w:numPr>
        <w:tabs>
          <w:tab w:pos="1918" w:val="left" w:leader="none"/>
          <w:tab w:pos="1919" w:val="left" w:leader="none"/>
        </w:tabs>
        <w:spacing w:line="240" w:lineRule="auto" w:before="3" w:after="0"/>
        <w:ind w:left="1918" w:right="0" w:hanging="567"/>
        <w:jc w:val="left"/>
        <w:rPr>
          <w:sz w:val="24"/>
        </w:rPr>
      </w:pPr>
      <w:r>
        <w:rPr>
          <w:sz w:val="24"/>
        </w:rPr>
        <w:t>the sum</w:t>
      </w:r>
      <w:r>
        <w:rPr>
          <w:spacing w:val="-2"/>
          <w:sz w:val="24"/>
        </w:rPr>
        <w:t> </w:t>
      </w:r>
      <w:r>
        <w:rPr>
          <w:sz w:val="24"/>
        </w:rPr>
        <w:t>of:</w:t>
      </w:r>
    </w:p>
    <w:p>
      <w:pPr>
        <w:spacing w:after="0" w:line="240" w:lineRule="auto"/>
        <w:jc w:val="left"/>
        <w:rPr>
          <w:sz w:val="24"/>
        </w:rPr>
        <w:sectPr>
          <w:pgSz w:w="11910" w:h="16840"/>
          <w:pgMar w:header="686" w:footer="637" w:top="1320" w:bottom="820" w:left="1200" w:right="1000"/>
        </w:sectPr>
      </w:pPr>
    </w:p>
    <w:p>
      <w:pPr>
        <w:pStyle w:val="ListParagraph"/>
        <w:numPr>
          <w:ilvl w:val="1"/>
          <w:numId w:val="655"/>
        </w:numPr>
        <w:tabs>
          <w:tab w:pos="2486" w:val="left" w:leader="none"/>
        </w:tabs>
        <w:spacing w:line="240" w:lineRule="auto" w:before="83" w:after="0"/>
        <w:ind w:left="2486" w:right="415" w:hanging="567"/>
        <w:jc w:val="both"/>
        <w:rPr>
          <w:sz w:val="24"/>
        </w:rPr>
      </w:pPr>
      <w:r>
        <w:rPr>
          <w:sz w:val="24"/>
        </w:rPr>
        <w:t>the total annual revenue for </w:t>
      </w:r>
      <w:r>
        <w:rPr>
          <w:i/>
          <w:sz w:val="24"/>
        </w:rPr>
        <w:t>transmission standard control services </w:t>
      </w:r>
      <w:r>
        <w:rPr>
          <w:sz w:val="24"/>
        </w:rPr>
        <w:t>for that NSW DNSP for the first, second and third regulatory years of the current regulatory control period in accordance</w:t>
      </w:r>
      <w:r>
        <w:rPr>
          <w:spacing w:val="-3"/>
          <w:sz w:val="24"/>
        </w:rPr>
        <w:t> </w:t>
      </w:r>
      <w:r>
        <w:rPr>
          <w:sz w:val="24"/>
        </w:rPr>
        <w:t>with:</w:t>
      </w:r>
    </w:p>
    <w:p>
      <w:pPr>
        <w:pStyle w:val="ListParagraph"/>
        <w:numPr>
          <w:ilvl w:val="2"/>
          <w:numId w:val="655"/>
        </w:numPr>
        <w:tabs>
          <w:tab w:pos="3053" w:val="left" w:leader="none"/>
        </w:tabs>
        <w:spacing w:line="240" w:lineRule="auto" w:before="120" w:after="0"/>
        <w:ind w:left="3053" w:right="414" w:hanging="567"/>
        <w:jc w:val="both"/>
        <w:rPr>
          <w:sz w:val="24"/>
        </w:rPr>
      </w:pPr>
      <w:r>
        <w:rPr>
          <w:sz w:val="24"/>
        </w:rPr>
        <w:t>the formulae that give effect to the applicable control mechanism;</w:t>
      </w:r>
      <w:r>
        <w:rPr>
          <w:spacing w:val="-1"/>
          <w:sz w:val="24"/>
        </w:rPr>
        <w:t> </w:t>
      </w:r>
      <w:r>
        <w:rPr>
          <w:sz w:val="24"/>
        </w:rPr>
        <w:t>and</w:t>
      </w:r>
    </w:p>
    <w:p>
      <w:pPr>
        <w:pStyle w:val="ListParagraph"/>
        <w:numPr>
          <w:ilvl w:val="2"/>
          <w:numId w:val="655"/>
        </w:numPr>
        <w:tabs>
          <w:tab w:pos="3054" w:val="left" w:leader="none"/>
        </w:tabs>
        <w:spacing w:line="343" w:lineRule="auto" w:before="120" w:after="0"/>
        <w:ind w:left="1919" w:right="2474" w:firstLine="567"/>
        <w:jc w:val="both"/>
        <w:rPr>
          <w:sz w:val="24"/>
        </w:rPr>
      </w:pPr>
      <w:r>
        <w:rPr>
          <w:sz w:val="24"/>
        </w:rPr>
        <w:t>the applicable </w:t>
      </w:r>
      <w:r>
        <w:rPr>
          <w:i/>
          <w:sz w:val="24"/>
        </w:rPr>
        <w:t>annual revenue requirement</w:t>
      </w:r>
      <w:r>
        <w:rPr>
          <w:sz w:val="24"/>
        </w:rPr>
        <w:t>, under the 2015 determination;</w:t>
      </w:r>
      <w:r>
        <w:rPr>
          <w:spacing w:val="-1"/>
          <w:sz w:val="24"/>
        </w:rPr>
        <w:t> </w:t>
      </w:r>
      <w:r>
        <w:rPr>
          <w:sz w:val="24"/>
        </w:rPr>
        <w:t>plus</w:t>
      </w:r>
    </w:p>
    <w:p>
      <w:pPr>
        <w:pStyle w:val="ListParagraph"/>
        <w:numPr>
          <w:ilvl w:val="1"/>
          <w:numId w:val="655"/>
        </w:numPr>
        <w:tabs>
          <w:tab w:pos="2486" w:val="left" w:leader="none"/>
        </w:tabs>
        <w:spacing w:line="240" w:lineRule="auto" w:before="3" w:after="0"/>
        <w:ind w:left="2486" w:right="415" w:hanging="567"/>
        <w:jc w:val="both"/>
        <w:rPr>
          <w:sz w:val="24"/>
        </w:rPr>
      </w:pPr>
      <w:r>
        <w:rPr>
          <w:sz w:val="24"/>
        </w:rPr>
        <w:t>the total annual revenue for </w:t>
      </w:r>
      <w:r>
        <w:rPr>
          <w:i/>
          <w:sz w:val="24"/>
        </w:rPr>
        <w:t>transmission standard control services </w:t>
      </w:r>
      <w:r>
        <w:rPr>
          <w:sz w:val="24"/>
        </w:rPr>
        <w:t>for that NSW DNSP for the fourth and final regulatory years of the current regulatory control period under the undertakings that apply for those regulatory</w:t>
      </w:r>
      <w:r>
        <w:rPr>
          <w:spacing w:val="-1"/>
          <w:sz w:val="24"/>
        </w:rPr>
        <w:t> </w:t>
      </w:r>
      <w:r>
        <w:rPr>
          <w:sz w:val="24"/>
        </w:rPr>
        <w:t>years,</w:t>
      </w:r>
    </w:p>
    <w:p>
      <w:pPr>
        <w:pStyle w:val="BodyText"/>
        <w:ind w:left="1352" w:right="414" w:firstLine="0"/>
      </w:pPr>
      <w:r>
        <w:rPr/>
        <w:t>provided that such amount includes any adjustments necessary for the </w:t>
      </w:r>
      <w:r>
        <w:rPr>
          <w:i/>
        </w:rPr>
        <w:t>AER </w:t>
      </w:r>
      <w:r>
        <w:rPr/>
        <w:t>to be satisfied that the amount achieves the revenue recovery principle under clause 8A.14.5(d) or 8A.14.6(d) (as the case may be).</w:t>
      </w:r>
    </w:p>
    <w:p>
      <w:pPr>
        <w:pStyle w:val="BodyText"/>
        <w:ind w:left="1352" w:firstLine="0"/>
      </w:pPr>
      <w:r>
        <w:rPr>
          <w:b/>
        </w:rPr>
        <w:t>Tribunal </w:t>
      </w:r>
      <w:r>
        <w:rPr/>
        <w:t>means the Australian Competition Tribunal.</w:t>
      </w:r>
    </w:p>
    <w:p>
      <w:pPr>
        <w:pStyle w:val="BodyText"/>
        <w:ind w:left="1352" w:right="415" w:firstLine="0"/>
      </w:pPr>
      <w:r>
        <w:rPr>
          <w:b/>
        </w:rPr>
        <w:t>Tribunal's decision </w:t>
      </w:r>
      <w:r>
        <w:rPr/>
        <w:t>means the decision of the Tribunal in relation to the 2015 determination of each NSW DNSP delivered on 26 February 2016 to remit the matter back to the </w:t>
      </w:r>
      <w:r>
        <w:rPr>
          <w:i/>
        </w:rPr>
        <w:t>AER </w:t>
      </w:r>
      <w:r>
        <w:rPr/>
        <w:t>pursuant to section 71P(2)(c) of the </w:t>
      </w:r>
      <w:r>
        <w:rPr>
          <w:i/>
        </w:rPr>
        <w:t>National Electricity </w:t>
      </w:r>
      <w:r>
        <w:rPr>
          <w:i/>
        </w:rPr>
        <w:t>Law</w:t>
      </w:r>
      <w:r>
        <w:rPr/>
        <w:t>, as varied as a consequence of the outcome of judicial review of that decision.</w:t>
      </w:r>
    </w:p>
    <w:p>
      <w:pPr>
        <w:pStyle w:val="BodyText"/>
        <w:ind w:left="1352" w:right="415" w:firstLine="0"/>
      </w:pPr>
      <w:r>
        <w:rPr>
          <w:b/>
        </w:rPr>
        <w:t>undertaking</w:t>
      </w:r>
      <w:r>
        <w:rPr/>
        <w:t>, in respect of a NSW DNSP, means an undertaking given to, and accepted by, the </w:t>
      </w:r>
      <w:r>
        <w:rPr>
          <w:i/>
        </w:rPr>
        <w:t>AER </w:t>
      </w:r>
      <w:r>
        <w:rPr/>
        <w:t>under section 59A of the </w:t>
      </w:r>
      <w:r>
        <w:rPr>
          <w:i/>
        </w:rPr>
        <w:t>National Electricity Law </w:t>
      </w:r>
      <w:r>
        <w:rPr/>
        <w:t>in respect of the revenue earned and/or prices charged by that NSW DNSP for the relevant regulatory year.</w:t>
      </w:r>
    </w:p>
    <w:p>
      <w:pPr>
        <w:pStyle w:val="BodyText"/>
        <w:spacing w:before="10"/>
        <w:ind w:firstLine="0"/>
        <w:jc w:val="left"/>
        <w:rPr>
          <w:sz w:val="20"/>
        </w:rPr>
      </w:pPr>
    </w:p>
    <w:p>
      <w:pPr>
        <w:pStyle w:val="Heading4"/>
        <w:tabs>
          <w:tab w:pos="1351" w:val="left" w:leader="none"/>
        </w:tabs>
        <w:ind w:left="218" w:firstLine="0"/>
      </w:pPr>
      <w:bookmarkStart w:name="8A.14.2 Expiry date" w:id="2379"/>
      <w:bookmarkEnd w:id="2379"/>
      <w:r>
        <w:rPr>
          <w:b w:val="0"/>
        </w:rPr>
      </w:r>
      <w:bookmarkStart w:name="_bookmark992" w:id="2380"/>
      <w:bookmarkEnd w:id="2380"/>
      <w:r>
        <w:rPr>
          <w:b w:val="0"/>
        </w:rPr>
      </w:r>
      <w:r>
        <w:rPr/>
        <w:t>8A.14.2</w:t>
        <w:tab/>
        <w:t>Expiry date</w:t>
      </w:r>
    </w:p>
    <w:p>
      <w:pPr>
        <w:pStyle w:val="BodyText"/>
        <w:ind w:left="1352" w:right="415" w:firstLine="0"/>
      </w:pPr>
      <w:r>
        <w:rPr/>
        <w:t>This </w:t>
      </w:r>
      <w:r>
        <w:rPr>
          <w:i/>
        </w:rPr>
        <w:t>participant derogation </w:t>
      </w:r>
      <w:r>
        <w:rPr/>
        <w:t>expires on the date that immediately follows the end of the subsequent regulatory control period.</w:t>
      </w:r>
    </w:p>
    <w:p>
      <w:pPr>
        <w:pStyle w:val="BodyText"/>
        <w:spacing w:before="10"/>
        <w:ind w:firstLine="0"/>
        <w:jc w:val="left"/>
        <w:rPr>
          <w:sz w:val="20"/>
        </w:rPr>
      </w:pPr>
    </w:p>
    <w:p>
      <w:pPr>
        <w:pStyle w:val="Heading4"/>
        <w:tabs>
          <w:tab w:pos="1351" w:val="left" w:leader="none"/>
        </w:tabs>
        <w:ind w:left="218" w:firstLine="0"/>
      </w:pPr>
      <w:bookmarkStart w:name="8A.14.3 Application of Rule 8A.14" w:id="2381"/>
      <w:bookmarkEnd w:id="2381"/>
      <w:r>
        <w:rPr>
          <w:b w:val="0"/>
        </w:rPr>
      </w:r>
      <w:bookmarkStart w:name="_bookmark993" w:id="2382"/>
      <w:bookmarkEnd w:id="2382"/>
      <w:r>
        <w:rPr>
          <w:b w:val="0"/>
        </w:rPr>
      </w:r>
      <w:r>
        <w:rPr/>
        <w:t>8A.14.3</w:t>
        <w:tab/>
        <w:t>Application of Rule</w:t>
      </w:r>
      <w:r>
        <w:rPr>
          <w:spacing w:val="-2"/>
        </w:rPr>
        <w:t> </w:t>
      </w:r>
      <w:r>
        <w:rPr/>
        <w:t>8A.14</w:t>
      </w:r>
    </w:p>
    <w:p>
      <w:pPr>
        <w:pStyle w:val="ListParagraph"/>
        <w:numPr>
          <w:ilvl w:val="0"/>
          <w:numId w:val="656"/>
        </w:numPr>
        <w:tabs>
          <w:tab w:pos="1919" w:val="left" w:leader="none"/>
        </w:tabs>
        <w:spacing w:line="240" w:lineRule="auto" w:before="120" w:after="0"/>
        <w:ind w:left="1918" w:right="0" w:hanging="567"/>
        <w:jc w:val="both"/>
        <w:rPr>
          <w:sz w:val="24"/>
        </w:rPr>
      </w:pPr>
      <w:r>
        <w:rPr>
          <w:sz w:val="24"/>
        </w:rPr>
        <w:t>This </w:t>
      </w:r>
      <w:r>
        <w:rPr>
          <w:i/>
          <w:sz w:val="24"/>
        </w:rPr>
        <w:t>participant derogation </w:t>
      </w:r>
      <w:r>
        <w:rPr>
          <w:sz w:val="24"/>
        </w:rPr>
        <w:t>prevails to the extent of any inconsistency</w:t>
      </w:r>
      <w:r>
        <w:rPr>
          <w:spacing w:val="-5"/>
          <w:sz w:val="24"/>
        </w:rPr>
        <w:t> </w:t>
      </w:r>
      <w:r>
        <w:rPr>
          <w:sz w:val="24"/>
        </w:rPr>
        <w:t>with:</w:t>
      </w:r>
    </w:p>
    <w:p>
      <w:pPr>
        <w:pStyle w:val="ListParagraph"/>
        <w:numPr>
          <w:ilvl w:val="1"/>
          <w:numId w:val="656"/>
        </w:numPr>
        <w:tabs>
          <w:tab w:pos="2486" w:val="left" w:leader="none"/>
        </w:tabs>
        <w:spacing w:line="240" w:lineRule="auto" w:before="120" w:after="0"/>
        <w:ind w:left="2485" w:right="0" w:hanging="567"/>
        <w:jc w:val="both"/>
        <w:rPr>
          <w:sz w:val="24"/>
        </w:rPr>
      </w:pPr>
      <w:r>
        <w:rPr>
          <w:sz w:val="24"/>
        </w:rPr>
        <w:t>any other provision of the </w:t>
      </w:r>
      <w:r>
        <w:rPr>
          <w:i/>
          <w:sz w:val="24"/>
        </w:rPr>
        <w:t>Rules</w:t>
      </w:r>
      <w:r>
        <w:rPr>
          <w:sz w:val="24"/>
        </w:rPr>
        <w:t>;</w:t>
      </w:r>
      <w:r>
        <w:rPr>
          <w:spacing w:val="-1"/>
          <w:sz w:val="24"/>
        </w:rPr>
        <w:t> </w:t>
      </w:r>
      <w:r>
        <w:rPr>
          <w:sz w:val="24"/>
        </w:rPr>
        <w:t>and</w:t>
      </w:r>
    </w:p>
    <w:p>
      <w:pPr>
        <w:pStyle w:val="ListParagraph"/>
        <w:numPr>
          <w:ilvl w:val="1"/>
          <w:numId w:val="656"/>
        </w:numPr>
        <w:tabs>
          <w:tab w:pos="2486" w:val="left" w:leader="none"/>
        </w:tabs>
        <w:spacing w:line="240" w:lineRule="auto" w:before="120" w:after="0"/>
        <w:ind w:left="2485" w:right="0" w:hanging="567"/>
        <w:jc w:val="both"/>
        <w:rPr>
          <w:sz w:val="24"/>
        </w:rPr>
      </w:pPr>
      <w:r>
        <w:rPr>
          <w:sz w:val="24"/>
        </w:rPr>
        <w:t>a remade 2015</w:t>
      </w:r>
      <w:r>
        <w:rPr>
          <w:spacing w:val="-1"/>
          <w:sz w:val="24"/>
        </w:rPr>
        <w:t> </w:t>
      </w:r>
      <w:r>
        <w:rPr>
          <w:sz w:val="24"/>
        </w:rPr>
        <w:t>determination.</w:t>
      </w:r>
    </w:p>
    <w:p>
      <w:pPr>
        <w:pStyle w:val="ListParagraph"/>
        <w:numPr>
          <w:ilvl w:val="0"/>
          <w:numId w:val="656"/>
        </w:numPr>
        <w:tabs>
          <w:tab w:pos="1919" w:val="left" w:leader="none"/>
        </w:tabs>
        <w:spacing w:line="240" w:lineRule="auto" w:before="120" w:after="0"/>
        <w:ind w:left="1918" w:right="0" w:hanging="567"/>
        <w:jc w:val="both"/>
        <w:rPr>
          <w:sz w:val="24"/>
        </w:rPr>
      </w:pPr>
      <w:r>
        <w:rPr>
          <w:sz w:val="24"/>
        </w:rPr>
        <w:t>Nothing in this </w:t>
      </w:r>
      <w:r>
        <w:rPr>
          <w:i/>
          <w:sz w:val="24"/>
        </w:rPr>
        <w:t>participant derogation </w:t>
      </w:r>
      <w:r>
        <w:rPr>
          <w:sz w:val="24"/>
        </w:rPr>
        <w:t>has the effect</w:t>
      </w:r>
      <w:r>
        <w:rPr>
          <w:spacing w:val="-2"/>
          <w:sz w:val="24"/>
        </w:rPr>
        <w:t> </w:t>
      </w:r>
      <w:r>
        <w:rPr>
          <w:sz w:val="24"/>
        </w:rPr>
        <w:t>of:</w:t>
      </w:r>
    </w:p>
    <w:p>
      <w:pPr>
        <w:pStyle w:val="ListParagraph"/>
        <w:numPr>
          <w:ilvl w:val="1"/>
          <w:numId w:val="656"/>
        </w:numPr>
        <w:tabs>
          <w:tab w:pos="2486" w:val="left" w:leader="none"/>
        </w:tabs>
        <w:spacing w:line="240" w:lineRule="auto" w:before="120" w:after="0"/>
        <w:ind w:left="2486" w:right="415" w:hanging="567"/>
        <w:jc w:val="both"/>
        <w:rPr>
          <w:sz w:val="24"/>
        </w:rPr>
      </w:pPr>
      <w:r>
        <w:rPr>
          <w:sz w:val="24"/>
        </w:rPr>
        <w:t>changing the application of the </w:t>
      </w:r>
      <w:r>
        <w:rPr>
          <w:i/>
          <w:sz w:val="24"/>
        </w:rPr>
        <w:t>Rules </w:t>
      </w:r>
      <w:r>
        <w:rPr>
          <w:sz w:val="24"/>
        </w:rPr>
        <w:t>to the making of a remade 2015 determination;</w:t>
      </w:r>
      <w:r>
        <w:rPr>
          <w:spacing w:val="-1"/>
          <w:sz w:val="24"/>
        </w:rPr>
        <w:t> </w:t>
      </w:r>
      <w:r>
        <w:rPr>
          <w:sz w:val="24"/>
        </w:rPr>
        <w:t>or</w:t>
      </w:r>
    </w:p>
    <w:p>
      <w:pPr>
        <w:pStyle w:val="ListParagraph"/>
        <w:numPr>
          <w:ilvl w:val="1"/>
          <w:numId w:val="656"/>
        </w:numPr>
        <w:tabs>
          <w:tab w:pos="2486" w:val="left" w:leader="none"/>
        </w:tabs>
        <w:spacing w:line="240" w:lineRule="auto" w:before="120" w:after="0"/>
        <w:ind w:left="2486" w:right="415" w:hanging="567"/>
        <w:jc w:val="both"/>
        <w:rPr>
          <w:sz w:val="24"/>
        </w:rPr>
      </w:pPr>
      <w:r>
        <w:rPr>
          <w:sz w:val="24"/>
        </w:rPr>
        <w:t>rendering a change, in whole or in part, to the terms of a distribution determination that applies in respect of the current regulatory control period.</w:t>
      </w:r>
    </w:p>
    <w:p>
      <w:pPr>
        <w:spacing w:after="0" w:line="240" w:lineRule="auto"/>
        <w:jc w:val="both"/>
        <w:rPr>
          <w:sz w:val="24"/>
        </w:rPr>
        <w:sectPr>
          <w:pgSz w:w="11910" w:h="16840"/>
          <w:pgMar w:header="686" w:footer="637" w:top="1320" w:bottom="820" w:left="1200" w:right="1000"/>
        </w:sectPr>
      </w:pPr>
    </w:p>
    <w:p>
      <w:pPr>
        <w:pStyle w:val="Heading4"/>
        <w:tabs>
          <w:tab w:pos="1351" w:val="left" w:leader="none"/>
        </w:tabs>
        <w:spacing w:before="83"/>
        <w:ind w:left="1352" w:right="420"/>
      </w:pPr>
      <w:bookmarkStart w:name="8A.14.4 Recovery of revenue across the c" w:id="2383"/>
      <w:bookmarkEnd w:id="2383"/>
      <w:r>
        <w:rPr>
          <w:b w:val="0"/>
        </w:rPr>
      </w:r>
      <w:bookmarkStart w:name="_bookmark994" w:id="2384"/>
      <w:bookmarkEnd w:id="2384"/>
      <w:r>
        <w:rPr>
          <w:b w:val="0"/>
        </w:rPr>
      </w:r>
      <w:r>
        <w:rPr/>
        <w:t>8A.14.4</w:t>
        <w:tab/>
        <w:t>Recovery of revenue across the current regulatory control period and subsequent regulatory control</w:t>
      </w:r>
      <w:r>
        <w:rPr>
          <w:spacing w:val="-5"/>
        </w:rPr>
        <w:t> </w:t>
      </w:r>
      <w:r>
        <w:rPr/>
        <w:t>period</w:t>
      </w:r>
    </w:p>
    <w:p>
      <w:pPr>
        <w:spacing w:before="220"/>
        <w:ind w:left="1356" w:right="0" w:firstLine="0"/>
        <w:jc w:val="left"/>
        <w:rPr>
          <w:rFonts w:ascii="Arial"/>
          <w:b/>
          <w:sz w:val="22"/>
        </w:rPr>
      </w:pPr>
      <w:r>
        <w:rPr>
          <w:rFonts w:ascii="Arial"/>
          <w:b/>
          <w:sz w:val="22"/>
        </w:rPr>
        <w:t>General</w:t>
      </w:r>
    </w:p>
    <w:p>
      <w:pPr>
        <w:pStyle w:val="ListParagraph"/>
        <w:numPr>
          <w:ilvl w:val="0"/>
          <w:numId w:val="657"/>
        </w:numPr>
        <w:tabs>
          <w:tab w:pos="1919" w:val="left" w:leader="none"/>
        </w:tabs>
        <w:spacing w:line="240" w:lineRule="auto" w:before="120" w:after="0"/>
        <w:ind w:left="1919" w:right="415" w:hanging="567"/>
        <w:jc w:val="both"/>
        <w:rPr>
          <w:sz w:val="24"/>
        </w:rPr>
      </w:pPr>
      <w:r>
        <w:rPr>
          <w:sz w:val="24"/>
        </w:rPr>
        <w:t>This clause 8A.14.4 applies in respect of a NSW DNSP if a remade 2015 determination is made by the </w:t>
      </w:r>
      <w:r>
        <w:rPr>
          <w:i/>
          <w:sz w:val="24"/>
        </w:rPr>
        <w:t>AER </w:t>
      </w:r>
      <w:r>
        <w:rPr>
          <w:sz w:val="24"/>
        </w:rPr>
        <w:t>in respect of that NSW DNSP prior to 1 March</w:t>
      </w:r>
      <w:r>
        <w:rPr>
          <w:spacing w:val="-2"/>
          <w:sz w:val="24"/>
        </w:rPr>
        <w:t> </w:t>
      </w:r>
      <w:r>
        <w:rPr>
          <w:sz w:val="24"/>
        </w:rPr>
        <w:t>2018.</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57"/>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may determine at the time of making the remade 2015 determination for the relevant NSW</w:t>
      </w:r>
      <w:r>
        <w:rPr>
          <w:spacing w:val="-3"/>
          <w:sz w:val="24"/>
        </w:rPr>
        <w:t> </w:t>
      </w:r>
      <w:r>
        <w:rPr>
          <w:sz w:val="24"/>
        </w:rPr>
        <w:t>DNSP:</w:t>
      </w:r>
    </w:p>
    <w:p>
      <w:pPr>
        <w:pStyle w:val="ListParagraph"/>
        <w:numPr>
          <w:ilvl w:val="1"/>
          <w:numId w:val="657"/>
        </w:numPr>
        <w:tabs>
          <w:tab w:pos="2486" w:val="left" w:leader="none"/>
        </w:tabs>
        <w:spacing w:line="240" w:lineRule="auto" w:before="120" w:after="0"/>
        <w:ind w:left="2485" w:right="0" w:hanging="567"/>
        <w:jc w:val="both"/>
        <w:rPr>
          <w:sz w:val="24"/>
        </w:rPr>
      </w:pPr>
      <w:r>
        <w:rPr>
          <w:sz w:val="24"/>
        </w:rPr>
        <w:t>an adjustment amount;</w:t>
      </w:r>
      <w:r>
        <w:rPr>
          <w:spacing w:val="-1"/>
          <w:sz w:val="24"/>
        </w:rPr>
        <w:t> </w:t>
      </w:r>
      <w:r>
        <w:rPr>
          <w:sz w:val="24"/>
        </w:rPr>
        <w:t>and</w:t>
      </w:r>
    </w:p>
    <w:p>
      <w:pPr>
        <w:pStyle w:val="ListParagraph"/>
        <w:numPr>
          <w:ilvl w:val="1"/>
          <w:numId w:val="657"/>
        </w:numPr>
        <w:tabs>
          <w:tab w:pos="2486" w:val="left" w:leader="none"/>
        </w:tabs>
        <w:spacing w:line="240" w:lineRule="auto" w:before="120" w:after="0"/>
        <w:ind w:left="2485" w:right="0" w:hanging="567"/>
        <w:jc w:val="both"/>
        <w:rPr>
          <w:sz w:val="24"/>
        </w:rPr>
      </w:pPr>
      <w:r>
        <w:rPr>
          <w:sz w:val="24"/>
        </w:rPr>
        <w:t>a subsequent adjustment</w:t>
      </w:r>
      <w:r>
        <w:rPr>
          <w:spacing w:val="-2"/>
          <w:sz w:val="24"/>
        </w:rPr>
        <w:t> </w:t>
      </w:r>
      <w:r>
        <w:rPr>
          <w:sz w:val="24"/>
        </w:rPr>
        <w:t>amount,</w:t>
      </w:r>
    </w:p>
    <w:p>
      <w:pPr>
        <w:pStyle w:val="BodyText"/>
        <w:ind w:left="1919" w:right="415" w:firstLine="0"/>
      </w:pPr>
      <w:r>
        <w:rPr/>
        <w:t>if the </w:t>
      </w:r>
      <w:r>
        <w:rPr>
          <w:i/>
        </w:rPr>
        <w:t>AER </w:t>
      </w:r>
      <w:r>
        <w:rPr/>
        <w:t>is satisfied that the application of the adjustment amount and subsequent adjustment amount under paragraphs (d) and (e), respectively, would:</w:t>
      </w:r>
    </w:p>
    <w:p>
      <w:pPr>
        <w:pStyle w:val="ListParagraph"/>
        <w:numPr>
          <w:ilvl w:val="1"/>
          <w:numId w:val="657"/>
        </w:numPr>
        <w:tabs>
          <w:tab w:pos="2486" w:val="left" w:leader="none"/>
        </w:tabs>
        <w:spacing w:line="240" w:lineRule="auto" w:before="120" w:after="0"/>
        <w:ind w:left="2485" w:right="0" w:hanging="567"/>
        <w:jc w:val="both"/>
        <w:rPr>
          <w:sz w:val="24"/>
        </w:rPr>
      </w:pPr>
      <w:r>
        <w:rPr>
          <w:sz w:val="24"/>
        </w:rPr>
        <w:t>be reasonably likely to minimise variations in NUOS</w:t>
      </w:r>
      <w:r>
        <w:rPr>
          <w:spacing w:val="-3"/>
          <w:sz w:val="24"/>
        </w:rPr>
        <w:t> </w:t>
      </w:r>
      <w:r>
        <w:rPr>
          <w:sz w:val="24"/>
        </w:rPr>
        <w:t>charges:</w:t>
      </w:r>
    </w:p>
    <w:p>
      <w:pPr>
        <w:pStyle w:val="ListParagraph"/>
        <w:numPr>
          <w:ilvl w:val="2"/>
          <w:numId w:val="657"/>
        </w:numPr>
        <w:tabs>
          <w:tab w:pos="3053" w:val="left" w:leader="none"/>
        </w:tabs>
        <w:spacing w:line="240" w:lineRule="auto" w:before="120" w:after="0"/>
        <w:ind w:left="3053" w:right="415" w:hanging="567"/>
        <w:jc w:val="both"/>
        <w:rPr>
          <w:sz w:val="24"/>
        </w:rPr>
      </w:pPr>
      <w:r>
        <w:rPr>
          <w:sz w:val="24"/>
        </w:rPr>
        <w:t>between the fourth and final regulatory years of the current regulatory control period;</w:t>
      </w:r>
      <w:r>
        <w:rPr>
          <w:spacing w:val="-2"/>
          <w:sz w:val="24"/>
        </w:rPr>
        <w:t> </w:t>
      </w:r>
      <w:r>
        <w:rPr>
          <w:sz w:val="24"/>
        </w:rPr>
        <w:t>and</w:t>
      </w:r>
    </w:p>
    <w:p>
      <w:pPr>
        <w:pStyle w:val="ListParagraph"/>
        <w:numPr>
          <w:ilvl w:val="2"/>
          <w:numId w:val="657"/>
        </w:numPr>
        <w:tabs>
          <w:tab w:pos="3054" w:val="left" w:leader="none"/>
        </w:tabs>
        <w:spacing w:line="240" w:lineRule="auto" w:before="120" w:after="0"/>
        <w:ind w:left="3053" w:right="415" w:hanging="567"/>
        <w:jc w:val="both"/>
        <w:rPr>
          <w:sz w:val="24"/>
        </w:rPr>
      </w:pPr>
      <w:r>
        <w:rPr>
          <w:sz w:val="24"/>
        </w:rPr>
        <w:t>between the final regulatory year of the current regulatory control period and the first regulatory year of the subsequent regulatory control</w:t>
      </w:r>
      <w:r>
        <w:rPr>
          <w:spacing w:val="-1"/>
          <w:sz w:val="24"/>
        </w:rPr>
        <w:t> </w:t>
      </w:r>
      <w:r>
        <w:rPr>
          <w:sz w:val="24"/>
        </w:rPr>
        <w:t>period,</w:t>
      </w:r>
    </w:p>
    <w:p>
      <w:pPr>
        <w:pStyle w:val="BodyText"/>
        <w:ind w:left="2486" w:firstLine="0"/>
      </w:pPr>
      <w:r>
        <w:rPr/>
        <w:t>for the relevant NSW DNSP; and</w:t>
      </w:r>
    </w:p>
    <w:p>
      <w:pPr>
        <w:pStyle w:val="ListParagraph"/>
        <w:numPr>
          <w:ilvl w:val="1"/>
          <w:numId w:val="657"/>
        </w:numPr>
        <w:tabs>
          <w:tab w:pos="2486" w:val="left" w:leader="none"/>
        </w:tabs>
        <w:spacing w:line="240" w:lineRule="auto" w:before="120" w:after="0"/>
        <w:ind w:left="2486" w:right="417" w:hanging="567"/>
        <w:jc w:val="both"/>
        <w:rPr>
          <w:sz w:val="24"/>
        </w:rPr>
      </w:pPr>
      <w:r>
        <w:rPr>
          <w:sz w:val="24"/>
        </w:rPr>
        <w:t>achieve the revenue recovery principle in respect of the relevant </w:t>
      </w:r>
      <w:r>
        <w:rPr>
          <w:spacing w:val="-5"/>
          <w:sz w:val="24"/>
        </w:rPr>
        <w:t>NSW </w:t>
      </w:r>
      <w:r>
        <w:rPr>
          <w:sz w:val="24"/>
        </w:rPr>
        <w:t>DNSP.</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When determining the adjustment amount and subsequent adjustment amount, the </w:t>
      </w:r>
      <w:r>
        <w:rPr>
          <w:i/>
          <w:sz w:val="20"/>
        </w:rPr>
        <w:t>AER </w:t>
      </w:r>
      <w:r>
        <w:rPr>
          <w:sz w:val="20"/>
        </w:rPr>
        <w:t>must also take into account the </w:t>
      </w:r>
      <w:r>
        <w:rPr>
          <w:i/>
          <w:sz w:val="20"/>
        </w:rPr>
        <w:t>national electricity objective </w:t>
      </w:r>
      <w:r>
        <w:rPr>
          <w:sz w:val="20"/>
        </w:rPr>
        <w:t>and may take into account the revenue and pricing principles: see </w:t>
      </w:r>
      <w:r>
        <w:rPr>
          <w:i/>
          <w:sz w:val="20"/>
        </w:rPr>
        <w:t>National Electricity Law</w:t>
      </w:r>
      <w:r>
        <w:rPr>
          <w:sz w:val="20"/>
        </w:rPr>
        <w:t>, s.16(1)(a) and</w:t>
      </w:r>
      <w:r>
        <w:rPr>
          <w:spacing w:val="-10"/>
          <w:sz w:val="20"/>
        </w:rPr>
        <w:t> </w:t>
      </w:r>
      <w:r>
        <w:rPr>
          <w:sz w:val="20"/>
        </w:rPr>
        <w:t>(2)(b).</w:t>
      </w:r>
    </w:p>
    <w:p>
      <w:pPr>
        <w:pStyle w:val="ListParagraph"/>
        <w:numPr>
          <w:ilvl w:val="0"/>
          <w:numId w:val="657"/>
        </w:numPr>
        <w:tabs>
          <w:tab w:pos="1919" w:val="left" w:leader="none"/>
        </w:tabs>
        <w:spacing w:line="240" w:lineRule="auto" w:before="120" w:after="0"/>
        <w:ind w:left="1919" w:right="415" w:hanging="567"/>
        <w:jc w:val="both"/>
        <w:rPr>
          <w:sz w:val="24"/>
        </w:rPr>
      </w:pPr>
      <w:r>
        <w:rPr>
          <w:sz w:val="24"/>
        </w:rPr>
        <w:t>Paragraphs (d) and (e) do not apply in respect of a NSW DNSP if the </w:t>
      </w:r>
      <w:r>
        <w:rPr>
          <w:i/>
          <w:sz w:val="24"/>
        </w:rPr>
        <w:t>AER </w:t>
      </w:r>
      <w:r>
        <w:rPr>
          <w:sz w:val="24"/>
        </w:rPr>
        <w:t>has not determined an adjustment amount and subsequent adjustment amount under paragraph (b) for that NSW</w:t>
      </w:r>
      <w:r>
        <w:rPr>
          <w:spacing w:val="-3"/>
          <w:sz w:val="24"/>
        </w:rPr>
        <w:t> </w:t>
      </w:r>
      <w:r>
        <w:rPr>
          <w:sz w:val="24"/>
        </w:rPr>
        <w:t>DNSP.</w:t>
      </w:r>
    </w:p>
    <w:p>
      <w:pPr>
        <w:spacing w:before="220"/>
        <w:ind w:left="1356" w:right="0" w:firstLine="0"/>
        <w:jc w:val="left"/>
        <w:rPr>
          <w:rFonts w:ascii="Arial"/>
          <w:b/>
          <w:sz w:val="22"/>
        </w:rPr>
      </w:pPr>
      <w:r>
        <w:rPr>
          <w:rFonts w:ascii="Arial"/>
          <w:b/>
          <w:sz w:val="22"/>
        </w:rPr>
        <w:t>Recovery in current regulatory control period</w:t>
      </w:r>
    </w:p>
    <w:p>
      <w:pPr>
        <w:pStyle w:val="ListParagraph"/>
        <w:numPr>
          <w:ilvl w:val="0"/>
          <w:numId w:val="657"/>
        </w:numPr>
        <w:tabs>
          <w:tab w:pos="1919" w:val="left" w:leader="none"/>
        </w:tabs>
        <w:spacing w:line="240" w:lineRule="auto" w:before="120" w:after="0"/>
        <w:ind w:left="1919" w:right="414" w:hanging="567"/>
        <w:jc w:val="both"/>
        <w:rPr>
          <w:sz w:val="24"/>
        </w:rPr>
      </w:pPr>
      <w:r>
        <w:rPr>
          <w:sz w:val="24"/>
        </w:rPr>
        <w:t>A </w:t>
      </w:r>
      <w:r>
        <w:rPr>
          <w:i/>
          <w:sz w:val="24"/>
        </w:rPr>
        <w:t>pricing proposal </w:t>
      </w:r>
      <w:r>
        <w:rPr>
          <w:sz w:val="24"/>
        </w:rPr>
        <w:t>submitted by a NSW DNSP, and approved by the </w:t>
      </w:r>
      <w:r>
        <w:rPr>
          <w:i/>
          <w:sz w:val="24"/>
        </w:rPr>
        <w:t>AER</w:t>
      </w:r>
      <w:r>
        <w:rPr>
          <w:sz w:val="24"/>
        </w:rPr>
        <w:t>, for the final regulatory year of the current regulatory control period must, </w:t>
      </w:r>
      <w:r>
        <w:rPr>
          <w:spacing w:val="-7"/>
          <w:sz w:val="24"/>
        </w:rPr>
        <w:t>in </w:t>
      </w:r>
      <w:r>
        <w:rPr>
          <w:sz w:val="24"/>
        </w:rPr>
        <w:t>respect of revenue for distribution standard control services, only provide for the recovery</w:t>
      </w:r>
      <w:r>
        <w:rPr>
          <w:spacing w:val="-1"/>
          <w:sz w:val="24"/>
        </w:rPr>
        <w:t> </w:t>
      </w:r>
      <w:r>
        <w:rPr>
          <w:sz w:val="24"/>
        </w:rPr>
        <w:t>of:</w:t>
      </w:r>
    </w:p>
    <w:p>
      <w:pPr>
        <w:pStyle w:val="ListParagraph"/>
        <w:numPr>
          <w:ilvl w:val="1"/>
          <w:numId w:val="657"/>
        </w:numPr>
        <w:tabs>
          <w:tab w:pos="2486" w:val="left" w:leader="none"/>
        </w:tabs>
        <w:spacing w:line="240" w:lineRule="auto" w:before="120" w:after="0"/>
        <w:ind w:left="2486" w:right="415" w:hanging="567"/>
        <w:jc w:val="both"/>
        <w:rPr>
          <w:sz w:val="24"/>
        </w:rPr>
      </w:pPr>
      <w:r>
        <w:rPr>
          <w:sz w:val="24"/>
        </w:rPr>
        <w:t>where the applicable adjustment amount operates as if it were a revenue</w:t>
      </w:r>
      <w:r>
        <w:rPr>
          <w:spacing w:val="-1"/>
          <w:sz w:val="24"/>
        </w:rPr>
        <w:t> </w:t>
      </w:r>
      <w:r>
        <w:rPr>
          <w:sz w:val="24"/>
        </w:rPr>
        <w:t>increase:</w:t>
      </w:r>
    </w:p>
    <w:p>
      <w:pPr>
        <w:pStyle w:val="ListParagraph"/>
        <w:numPr>
          <w:ilvl w:val="2"/>
          <w:numId w:val="657"/>
        </w:numPr>
        <w:tabs>
          <w:tab w:pos="3053" w:val="left" w:leader="none"/>
        </w:tabs>
        <w:spacing w:line="240" w:lineRule="auto" w:before="120" w:after="0"/>
        <w:ind w:left="3053" w:right="415" w:hanging="567"/>
        <w:jc w:val="both"/>
        <w:rPr>
          <w:sz w:val="24"/>
        </w:rPr>
      </w:pPr>
      <w:r>
        <w:rPr>
          <w:sz w:val="24"/>
        </w:rPr>
        <w:t>the NSW DNSP's total annual revenue for distribution standard control services in accordance with the formulae that give effect to the applicable control mechanism, and the applicable </w:t>
      </w:r>
      <w:r>
        <w:rPr>
          <w:i/>
          <w:sz w:val="24"/>
        </w:rPr>
        <w:t>annual </w:t>
      </w:r>
      <w:r>
        <w:rPr>
          <w:i/>
          <w:sz w:val="24"/>
        </w:rPr>
        <w:t>revenue requirement</w:t>
      </w:r>
      <w:r>
        <w:rPr>
          <w:sz w:val="24"/>
        </w:rPr>
        <w:t>, under the remade 2015 determination;  plus</w:t>
      </w:r>
    </w:p>
    <w:p>
      <w:pPr>
        <w:spacing w:after="0" w:line="240" w:lineRule="auto"/>
        <w:jc w:val="both"/>
        <w:rPr>
          <w:sz w:val="24"/>
        </w:rPr>
        <w:sectPr>
          <w:pgSz w:w="11910" w:h="16840"/>
          <w:pgMar w:header="686" w:footer="637" w:top="1320" w:bottom="820" w:left="1200" w:right="1000"/>
        </w:sectPr>
      </w:pPr>
    </w:p>
    <w:p>
      <w:pPr>
        <w:pStyle w:val="ListParagraph"/>
        <w:numPr>
          <w:ilvl w:val="2"/>
          <w:numId w:val="657"/>
        </w:numPr>
        <w:tabs>
          <w:tab w:pos="3054" w:val="left" w:leader="none"/>
        </w:tabs>
        <w:spacing w:line="240" w:lineRule="auto" w:before="83" w:after="0"/>
        <w:ind w:left="3053" w:right="413" w:hanging="567"/>
        <w:jc w:val="both"/>
        <w:rPr>
          <w:sz w:val="24"/>
        </w:rPr>
      </w:pPr>
      <w:r>
        <w:rPr>
          <w:sz w:val="24"/>
        </w:rPr>
        <w:t>the adjustment amount, incorporating any adjustments that the </w:t>
      </w:r>
      <w:r>
        <w:rPr>
          <w:i/>
          <w:sz w:val="24"/>
        </w:rPr>
        <w:t>AER </w:t>
      </w:r>
      <w:r>
        <w:rPr>
          <w:sz w:val="24"/>
        </w:rPr>
        <w:t>considers necessary to achieve the revenue recovery principle in accordance with subparagraph (b)(4);</w:t>
      </w:r>
      <w:r>
        <w:rPr>
          <w:spacing w:val="-7"/>
          <w:sz w:val="24"/>
        </w:rPr>
        <w:t> </w:t>
      </w:r>
      <w:r>
        <w:rPr>
          <w:sz w:val="24"/>
        </w:rPr>
        <w:t>or</w:t>
      </w:r>
    </w:p>
    <w:p>
      <w:pPr>
        <w:pStyle w:val="ListParagraph"/>
        <w:numPr>
          <w:ilvl w:val="1"/>
          <w:numId w:val="657"/>
        </w:numPr>
        <w:tabs>
          <w:tab w:pos="2486" w:val="left" w:leader="none"/>
        </w:tabs>
        <w:spacing w:line="240" w:lineRule="auto" w:before="120" w:after="0"/>
        <w:ind w:left="2486" w:right="415" w:hanging="567"/>
        <w:jc w:val="both"/>
        <w:rPr>
          <w:sz w:val="24"/>
        </w:rPr>
      </w:pPr>
      <w:r>
        <w:rPr>
          <w:sz w:val="24"/>
        </w:rPr>
        <w:t>where the applicable adjustment amount operates as if it were a revenue</w:t>
      </w:r>
      <w:r>
        <w:rPr>
          <w:spacing w:val="-1"/>
          <w:sz w:val="24"/>
        </w:rPr>
        <w:t> </w:t>
      </w:r>
      <w:r>
        <w:rPr>
          <w:sz w:val="24"/>
        </w:rPr>
        <w:t>decrease:</w:t>
      </w:r>
    </w:p>
    <w:p>
      <w:pPr>
        <w:pStyle w:val="ListParagraph"/>
        <w:numPr>
          <w:ilvl w:val="2"/>
          <w:numId w:val="657"/>
        </w:numPr>
        <w:tabs>
          <w:tab w:pos="3053" w:val="left" w:leader="none"/>
        </w:tabs>
        <w:spacing w:line="240" w:lineRule="auto" w:before="120" w:after="0"/>
        <w:ind w:left="3053" w:right="415" w:hanging="567"/>
        <w:jc w:val="both"/>
        <w:rPr>
          <w:sz w:val="24"/>
        </w:rPr>
      </w:pPr>
      <w:r>
        <w:rPr>
          <w:sz w:val="24"/>
        </w:rPr>
        <w:t>the NSW DNSP's total annual revenue for distribution standard control services in accordance with the formulae that give effect to the applicable control mechanism, and the applicable </w:t>
      </w:r>
      <w:r>
        <w:rPr>
          <w:i/>
          <w:sz w:val="24"/>
        </w:rPr>
        <w:t>annual </w:t>
      </w:r>
      <w:r>
        <w:rPr>
          <w:i/>
          <w:sz w:val="24"/>
        </w:rPr>
        <w:t>revenue requirement</w:t>
      </w:r>
      <w:r>
        <w:rPr>
          <w:sz w:val="24"/>
        </w:rPr>
        <w:t>, under the remade 2015 determination; minus</w:t>
      </w:r>
    </w:p>
    <w:p>
      <w:pPr>
        <w:pStyle w:val="ListParagraph"/>
        <w:numPr>
          <w:ilvl w:val="2"/>
          <w:numId w:val="657"/>
        </w:numPr>
        <w:tabs>
          <w:tab w:pos="3054" w:val="left" w:leader="none"/>
        </w:tabs>
        <w:spacing w:line="240" w:lineRule="auto" w:before="120" w:after="0"/>
        <w:ind w:left="3053" w:right="413" w:hanging="567"/>
        <w:jc w:val="both"/>
        <w:rPr>
          <w:sz w:val="24"/>
        </w:rPr>
      </w:pPr>
      <w:r>
        <w:rPr>
          <w:sz w:val="24"/>
        </w:rPr>
        <w:t>the adjustment amount, incorporating any adjustments that the </w:t>
      </w:r>
      <w:r>
        <w:rPr>
          <w:i/>
          <w:sz w:val="24"/>
        </w:rPr>
        <w:t>AER </w:t>
      </w:r>
      <w:r>
        <w:rPr>
          <w:sz w:val="24"/>
        </w:rPr>
        <w:t>considers necessary to achieve the revenue recovery principle in accordance with subparagraph</w:t>
      </w:r>
      <w:r>
        <w:rPr>
          <w:spacing w:val="-5"/>
          <w:sz w:val="24"/>
        </w:rPr>
        <w:t> </w:t>
      </w:r>
      <w:r>
        <w:rPr>
          <w:sz w:val="24"/>
        </w:rPr>
        <w:t>(b)(4),</w:t>
      </w:r>
    </w:p>
    <w:p>
      <w:pPr>
        <w:spacing w:before="120"/>
        <w:ind w:left="1919" w:right="0" w:firstLine="0"/>
        <w:jc w:val="both"/>
        <w:rPr>
          <w:sz w:val="24"/>
        </w:rPr>
      </w:pPr>
      <w:r>
        <w:rPr>
          <w:sz w:val="24"/>
        </w:rPr>
        <w:t>(such amount being the </w:t>
      </w:r>
      <w:r>
        <w:rPr>
          <w:b/>
          <w:sz w:val="24"/>
        </w:rPr>
        <w:t>substituted total annual revenue amount</w:t>
      </w:r>
      <w:r>
        <w:rPr>
          <w:sz w:val="24"/>
        </w:rPr>
        <w:t>).</w:t>
      </w:r>
    </w:p>
    <w:p>
      <w:pPr>
        <w:spacing w:before="220"/>
        <w:ind w:left="1356" w:right="0" w:firstLine="0"/>
        <w:jc w:val="left"/>
        <w:rPr>
          <w:rFonts w:ascii="Arial"/>
          <w:b/>
          <w:sz w:val="22"/>
        </w:rPr>
      </w:pPr>
      <w:r>
        <w:rPr>
          <w:rFonts w:ascii="Arial"/>
          <w:b/>
          <w:sz w:val="22"/>
        </w:rPr>
        <w:t>Recovery in subsequent regulatory control period</w:t>
      </w:r>
    </w:p>
    <w:p>
      <w:pPr>
        <w:pStyle w:val="ListParagraph"/>
        <w:numPr>
          <w:ilvl w:val="0"/>
          <w:numId w:val="657"/>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include the subsequent adjustment amount determined for a NSW DNSP under paragraph (b)</w:t>
      </w:r>
      <w:r>
        <w:rPr>
          <w:spacing w:val="-3"/>
          <w:sz w:val="24"/>
        </w:rPr>
        <w:t> </w:t>
      </w:r>
      <w:r>
        <w:rPr>
          <w:sz w:val="24"/>
        </w:rPr>
        <w:t>as:</w:t>
      </w:r>
    </w:p>
    <w:p>
      <w:pPr>
        <w:pStyle w:val="ListParagraph"/>
        <w:numPr>
          <w:ilvl w:val="1"/>
          <w:numId w:val="657"/>
        </w:numPr>
        <w:tabs>
          <w:tab w:pos="2485" w:val="left" w:leader="none"/>
          <w:tab w:pos="2486" w:val="left" w:leader="none"/>
        </w:tabs>
        <w:spacing w:line="240" w:lineRule="auto" w:before="120" w:after="0"/>
        <w:ind w:left="2485" w:right="0" w:hanging="567"/>
        <w:jc w:val="left"/>
        <w:rPr>
          <w:sz w:val="24"/>
        </w:rPr>
      </w:pPr>
      <w:r>
        <w:rPr>
          <w:sz w:val="24"/>
        </w:rPr>
        <w:t>if subparagraph (d)(1) applies, a revenue decrease;</w:t>
      </w:r>
      <w:r>
        <w:rPr>
          <w:spacing w:val="-5"/>
          <w:sz w:val="24"/>
        </w:rPr>
        <w:t> </w:t>
      </w:r>
      <w:r>
        <w:rPr>
          <w:sz w:val="24"/>
        </w:rPr>
        <w:t>or</w:t>
      </w:r>
    </w:p>
    <w:p>
      <w:pPr>
        <w:pStyle w:val="ListParagraph"/>
        <w:numPr>
          <w:ilvl w:val="1"/>
          <w:numId w:val="657"/>
        </w:numPr>
        <w:tabs>
          <w:tab w:pos="2485" w:val="left" w:leader="none"/>
          <w:tab w:pos="2486" w:val="left" w:leader="none"/>
        </w:tabs>
        <w:spacing w:line="240" w:lineRule="auto" w:before="120" w:after="0"/>
        <w:ind w:left="2485" w:right="0" w:hanging="567"/>
        <w:jc w:val="left"/>
        <w:rPr>
          <w:sz w:val="24"/>
        </w:rPr>
      </w:pPr>
      <w:r>
        <w:rPr>
          <w:sz w:val="24"/>
        </w:rPr>
        <w:t>if subparagraph (d)(2) applies, a revenue</w:t>
      </w:r>
      <w:r>
        <w:rPr>
          <w:spacing w:val="-4"/>
          <w:sz w:val="24"/>
        </w:rPr>
        <w:t> </w:t>
      </w:r>
      <w:r>
        <w:rPr>
          <w:sz w:val="24"/>
        </w:rPr>
        <w:t>increase,</w:t>
      </w:r>
    </w:p>
    <w:p>
      <w:pPr>
        <w:pStyle w:val="BodyText"/>
        <w:ind w:left="1919" w:firstLine="0"/>
        <w:jc w:val="left"/>
      </w:pPr>
      <w:r>
        <w:rPr/>
        <w:t>to the </w:t>
      </w:r>
      <w:r>
        <w:rPr>
          <w:i/>
        </w:rPr>
        <w:t>annual revenue requirement </w:t>
      </w:r>
      <w:r>
        <w:rPr/>
        <w:t>determined under rule 6.4 for the first regulatory year of that NSW DNSP's subsequent regulatory control period.</w:t>
      </w:r>
    </w:p>
    <w:p>
      <w:pPr>
        <w:pStyle w:val="ListParagraph"/>
        <w:numPr>
          <w:ilvl w:val="0"/>
          <w:numId w:val="657"/>
        </w:numPr>
        <w:tabs>
          <w:tab w:pos="1920" w:val="left" w:leader="none"/>
        </w:tabs>
        <w:spacing w:line="240" w:lineRule="auto" w:before="120" w:after="0"/>
        <w:ind w:left="1919" w:right="415" w:hanging="567"/>
        <w:jc w:val="both"/>
        <w:rPr>
          <w:sz w:val="24"/>
        </w:rPr>
      </w:pPr>
      <w:r>
        <w:rPr>
          <w:sz w:val="24"/>
        </w:rPr>
        <w:t>Any subsequent adjustment amount included as a revenue increase or revenue decrease under paragraph (e) must not be considered by the </w:t>
      </w:r>
      <w:r>
        <w:rPr>
          <w:i/>
          <w:sz w:val="24"/>
        </w:rPr>
        <w:t>AER </w:t>
      </w:r>
      <w:r>
        <w:rPr>
          <w:sz w:val="24"/>
        </w:rPr>
        <w:t>when determining whether any amount is payable or recoverable by the relevant NSW DNSP under any scheme that applies to that NSW DNSP in respect of the subsequent regulatory control</w:t>
      </w:r>
      <w:r>
        <w:rPr>
          <w:spacing w:val="-1"/>
          <w:sz w:val="24"/>
        </w:rPr>
        <w:t> </w:t>
      </w:r>
      <w:r>
        <w:rPr>
          <w:sz w:val="24"/>
        </w:rPr>
        <w:t>period.</w:t>
      </w:r>
    </w:p>
    <w:p>
      <w:pPr>
        <w:pStyle w:val="BodyText"/>
        <w:spacing w:before="10"/>
        <w:ind w:firstLine="0"/>
        <w:jc w:val="left"/>
        <w:rPr>
          <w:sz w:val="20"/>
        </w:rPr>
      </w:pPr>
    </w:p>
    <w:p>
      <w:pPr>
        <w:pStyle w:val="Heading4"/>
        <w:tabs>
          <w:tab w:pos="1351" w:val="left" w:leader="none"/>
        </w:tabs>
        <w:ind w:left="1352" w:right="567"/>
      </w:pPr>
      <w:bookmarkStart w:name="8A.14.5 Recovery of revenue in subsequen" w:id="2385"/>
      <w:bookmarkEnd w:id="2385"/>
      <w:r>
        <w:rPr>
          <w:b w:val="0"/>
        </w:rPr>
      </w:r>
      <w:bookmarkStart w:name="_bookmark995" w:id="2386"/>
      <w:bookmarkEnd w:id="2386"/>
      <w:r>
        <w:rPr>
          <w:b w:val="0"/>
        </w:rPr>
      </w:r>
      <w:r>
        <w:rPr/>
        <w:t>8A.14.5</w:t>
        <w:tab/>
        <w:t>Recovery of revenue in subsequent regulatory control period only and no reopening of subsequent distribution determination</w:t>
      </w:r>
      <w:r>
        <w:rPr>
          <w:spacing w:val="-27"/>
        </w:rPr>
        <w:t> </w:t>
      </w:r>
      <w:r>
        <w:rPr/>
        <w:t>required</w:t>
      </w:r>
    </w:p>
    <w:p>
      <w:pPr>
        <w:spacing w:before="220"/>
        <w:ind w:left="1356" w:right="0" w:firstLine="0"/>
        <w:jc w:val="left"/>
        <w:rPr>
          <w:rFonts w:ascii="Arial"/>
          <w:b/>
          <w:sz w:val="22"/>
        </w:rPr>
      </w:pPr>
      <w:r>
        <w:rPr>
          <w:rFonts w:ascii="Arial"/>
          <w:b/>
          <w:sz w:val="22"/>
        </w:rPr>
        <w:t>General</w:t>
      </w:r>
    </w:p>
    <w:p>
      <w:pPr>
        <w:pStyle w:val="ListParagraph"/>
        <w:numPr>
          <w:ilvl w:val="0"/>
          <w:numId w:val="658"/>
        </w:numPr>
        <w:tabs>
          <w:tab w:pos="1919" w:val="left" w:leader="none"/>
        </w:tabs>
        <w:spacing w:line="240" w:lineRule="auto" w:before="120" w:after="0"/>
        <w:ind w:left="1919" w:right="415" w:hanging="567"/>
        <w:jc w:val="both"/>
        <w:rPr>
          <w:sz w:val="24"/>
        </w:rPr>
      </w:pPr>
      <w:r>
        <w:rPr>
          <w:sz w:val="24"/>
        </w:rPr>
        <w:t>This clause 8A.14.5 applies in respect of a NSW DNSP if a remade 2015 determination is made by the </w:t>
      </w:r>
      <w:r>
        <w:rPr>
          <w:i/>
          <w:sz w:val="24"/>
        </w:rPr>
        <w:t>AER </w:t>
      </w:r>
      <w:r>
        <w:rPr>
          <w:sz w:val="24"/>
        </w:rPr>
        <w:t>in respect of that NSW DNSP on or after 1 March 2018, but prior to 1 May</w:t>
      </w:r>
      <w:r>
        <w:rPr>
          <w:spacing w:val="-3"/>
          <w:sz w:val="24"/>
        </w:rPr>
        <w:t> </w:t>
      </w:r>
      <w:r>
        <w:rPr>
          <w:sz w:val="24"/>
        </w:rPr>
        <w:t>2019.</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58"/>
        </w:numPr>
        <w:tabs>
          <w:tab w:pos="1918" w:val="left" w:leader="none"/>
          <w:tab w:pos="1919" w:val="left" w:leader="none"/>
        </w:tabs>
        <w:spacing w:line="240" w:lineRule="auto" w:before="120" w:after="0"/>
        <w:ind w:left="1919" w:right="415" w:hanging="567"/>
        <w:jc w:val="left"/>
        <w:rPr>
          <w:sz w:val="24"/>
        </w:rPr>
      </w:pPr>
      <w:r>
        <w:rPr>
          <w:sz w:val="24"/>
        </w:rPr>
        <w:t>If paragraph (a) applies, the </w:t>
      </w:r>
      <w:r>
        <w:rPr>
          <w:i/>
          <w:sz w:val="24"/>
        </w:rPr>
        <w:t>AER </w:t>
      </w:r>
      <w:r>
        <w:rPr>
          <w:sz w:val="24"/>
        </w:rPr>
        <w:t>must determine at the time of making the remade 2015</w:t>
      </w:r>
      <w:r>
        <w:rPr>
          <w:spacing w:val="-2"/>
          <w:sz w:val="24"/>
        </w:rPr>
        <w:t> </w:t>
      </w:r>
      <w:r>
        <w:rPr>
          <w:sz w:val="24"/>
        </w:rPr>
        <w:t>determination:</w:t>
      </w:r>
    </w:p>
    <w:p>
      <w:pPr>
        <w:pStyle w:val="ListParagraph"/>
        <w:numPr>
          <w:ilvl w:val="1"/>
          <w:numId w:val="658"/>
        </w:numPr>
        <w:tabs>
          <w:tab w:pos="2485" w:val="left" w:leader="none"/>
          <w:tab w:pos="2486" w:val="left" w:leader="none"/>
        </w:tabs>
        <w:spacing w:line="240" w:lineRule="auto" w:before="120" w:after="0"/>
        <w:ind w:left="2485" w:right="0" w:hanging="567"/>
        <w:jc w:val="left"/>
        <w:rPr>
          <w:sz w:val="24"/>
        </w:rPr>
      </w:pPr>
      <w:r>
        <w:rPr>
          <w:sz w:val="24"/>
        </w:rPr>
        <w:t>the distribution variation amount;</w:t>
      </w:r>
      <w:r>
        <w:rPr>
          <w:spacing w:val="-1"/>
          <w:sz w:val="24"/>
        </w:rPr>
        <w:t> </w:t>
      </w:r>
      <w:r>
        <w:rPr>
          <w:sz w:val="24"/>
        </w:rPr>
        <w:t>and</w:t>
      </w:r>
    </w:p>
    <w:p>
      <w:pPr>
        <w:pStyle w:val="ListParagraph"/>
        <w:numPr>
          <w:ilvl w:val="1"/>
          <w:numId w:val="658"/>
        </w:numPr>
        <w:tabs>
          <w:tab w:pos="2485" w:val="left" w:leader="none"/>
          <w:tab w:pos="2486" w:val="left" w:leader="none"/>
        </w:tabs>
        <w:spacing w:line="343" w:lineRule="auto" w:before="120" w:after="0"/>
        <w:ind w:left="1919" w:right="3898" w:firstLine="0"/>
        <w:jc w:val="left"/>
        <w:rPr>
          <w:sz w:val="24"/>
        </w:rPr>
      </w:pPr>
      <w:r>
        <w:rPr>
          <w:sz w:val="24"/>
        </w:rPr>
        <w:t>the transmission variation </w:t>
      </w:r>
      <w:r>
        <w:rPr>
          <w:spacing w:val="-3"/>
          <w:sz w:val="24"/>
        </w:rPr>
        <w:t>amount, </w:t>
      </w:r>
      <w:r>
        <w:rPr>
          <w:sz w:val="24"/>
        </w:rPr>
        <w:t>for the relevant NSW</w:t>
      </w:r>
      <w:r>
        <w:rPr>
          <w:spacing w:val="-3"/>
          <w:sz w:val="24"/>
        </w:rPr>
        <w:t> </w:t>
      </w:r>
      <w:r>
        <w:rPr>
          <w:sz w:val="24"/>
        </w:rPr>
        <w:t>DNSP.</w:t>
      </w:r>
    </w:p>
    <w:p>
      <w:pPr>
        <w:spacing w:before="103"/>
        <w:ind w:left="1356" w:right="0" w:firstLine="0"/>
        <w:jc w:val="left"/>
        <w:rPr>
          <w:rFonts w:ascii="Arial"/>
          <w:b/>
          <w:sz w:val="22"/>
        </w:rPr>
      </w:pPr>
      <w:r>
        <w:rPr>
          <w:rFonts w:ascii="Arial"/>
          <w:b/>
          <w:sz w:val="22"/>
        </w:rPr>
        <w:t>Recovery in subsequent regulatory control period</w:t>
      </w:r>
    </w:p>
    <w:p>
      <w:pPr>
        <w:pStyle w:val="ListParagraph"/>
        <w:numPr>
          <w:ilvl w:val="0"/>
          <w:numId w:val="658"/>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 </w:t>
      </w:r>
      <w:r>
        <w:rPr>
          <w:sz w:val="24"/>
        </w:rPr>
        <w:t>must include an amount equivalent in net present value terms</w:t>
      </w:r>
      <w:r>
        <w:rPr>
          <w:spacing w:val="-5"/>
          <w:sz w:val="24"/>
        </w:rPr>
        <w:t> </w:t>
      </w:r>
      <w:r>
        <w:rPr>
          <w:sz w:val="24"/>
        </w:rPr>
        <w:t>to:</w:t>
      </w:r>
    </w:p>
    <w:p>
      <w:pPr>
        <w:spacing w:after="0" w:line="240" w:lineRule="auto"/>
        <w:jc w:val="left"/>
        <w:rPr>
          <w:sz w:val="24"/>
        </w:rPr>
        <w:sectPr>
          <w:pgSz w:w="11910" w:h="16840"/>
          <w:pgMar w:header="686" w:footer="637" w:top="1320" w:bottom="820" w:left="1200" w:right="1000"/>
        </w:sectPr>
      </w:pPr>
    </w:p>
    <w:p>
      <w:pPr>
        <w:pStyle w:val="ListParagraph"/>
        <w:numPr>
          <w:ilvl w:val="1"/>
          <w:numId w:val="658"/>
        </w:numPr>
        <w:tabs>
          <w:tab w:pos="2485" w:val="left" w:leader="none"/>
          <w:tab w:pos="2486" w:val="left" w:leader="none"/>
        </w:tabs>
        <w:spacing w:line="240" w:lineRule="auto" w:before="83" w:after="0"/>
        <w:ind w:left="2485" w:right="0" w:hanging="567"/>
        <w:jc w:val="left"/>
        <w:rPr>
          <w:sz w:val="24"/>
        </w:rPr>
      </w:pPr>
      <w:r>
        <w:rPr>
          <w:sz w:val="24"/>
        </w:rPr>
        <w:t>the distribution variation amount;</w:t>
      </w:r>
      <w:r>
        <w:rPr>
          <w:spacing w:val="-1"/>
          <w:sz w:val="24"/>
        </w:rPr>
        <w:t> </w:t>
      </w:r>
      <w:r>
        <w:rPr>
          <w:sz w:val="24"/>
        </w:rPr>
        <w:t>and</w:t>
      </w:r>
    </w:p>
    <w:p>
      <w:pPr>
        <w:pStyle w:val="ListParagraph"/>
        <w:numPr>
          <w:ilvl w:val="1"/>
          <w:numId w:val="658"/>
        </w:numPr>
        <w:tabs>
          <w:tab w:pos="2485" w:val="left" w:leader="none"/>
          <w:tab w:pos="2486" w:val="left" w:leader="none"/>
        </w:tabs>
        <w:spacing w:line="240" w:lineRule="auto" w:before="120" w:after="0"/>
        <w:ind w:left="2485" w:right="0" w:hanging="567"/>
        <w:jc w:val="left"/>
        <w:rPr>
          <w:sz w:val="24"/>
        </w:rPr>
      </w:pPr>
      <w:r>
        <w:rPr>
          <w:sz w:val="24"/>
        </w:rPr>
        <w:t>the transmission variation</w:t>
      </w:r>
      <w:r>
        <w:rPr>
          <w:spacing w:val="-1"/>
          <w:sz w:val="24"/>
        </w:rPr>
        <w:t> </w:t>
      </w:r>
      <w:r>
        <w:rPr>
          <w:sz w:val="24"/>
        </w:rPr>
        <w:t>amount,</w:t>
      </w:r>
    </w:p>
    <w:p>
      <w:pPr>
        <w:pStyle w:val="BodyText"/>
        <w:ind w:left="1919" w:firstLine="0"/>
        <w:jc w:val="left"/>
      </w:pPr>
      <w:r>
        <w:rPr/>
        <w:t>determined for a NSW DNSP under paragraph (b) as:</w:t>
      </w:r>
    </w:p>
    <w:p>
      <w:pPr>
        <w:pStyle w:val="ListParagraph"/>
        <w:numPr>
          <w:ilvl w:val="1"/>
          <w:numId w:val="658"/>
        </w:numPr>
        <w:tabs>
          <w:tab w:pos="2486" w:val="left" w:leader="none"/>
        </w:tabs>
        <w:spacing w:line="240" w:lineRule="auto" w:before="120" w:after="0"/>
        <w:ind w:left="2486" w:right="414" w:hanging="567"/>
        <w:jc w:val="both"/>
        <w:rPr>
          <w:sz w:val="24"/>
        </w:rPr>
      </w:pPr>
      <w:r>
        <w:rPr>
          <w:sz w:val="24"/>
        </w:rPr>
        <w:t>if the applicable distribution variation amount or transmission variation amount (as the case may be) is a positive amount, a revenue increase;</w:t>
      </w:r>
      <w:r>
        <w:rPr>
          <w:spacing w:val="-1"/>
          <w:sz w:val="24"/>
        </w:rPr>
        <w:t> </w:t>
      </w:r>
      <w:r>
        <w:rPr>
          <w:sz w:val="24"/>
        </w:rPr>
        <w:t>or</w:t>
      </w:r>
    </w:p>
    <w:p>
      <w:pPr>
        <w:pStyle w:val="ListParagraph"/>
        <w:numPr>
          <w:ilvl w:val="1"/>
          <w:numId w:val="658"/>
        </w:numPr>
        <w:tabs>
          <w:tab w:pos="2486" w:val="left" w:leader="none"/>
        </w:tabs>
        <w:spacing w:line="240" w:lineRule="auto" w:before="120" w:after="0"/>
        <w:ind w:left="2486" w:right="414" w:hanging="567"/>
        <w:jc w:val="both"/>
        <w:rPr>
          <w:sz w:val="24"/>
        </w:rPr>
      </w:pPr>
      <w:r>
        <w:rPr>
          <w:sz w:val="24"/>
        </w:rPr>
        <w:t>if the applicable distribution variation amount or transmission variation amount (as the case may be) is a negative amount, a revenue decrease;</w:t>
      </w:r>
      <w:r>
        <w:rPr>
          <w:spacing w:val="-1"/>
          <w:sz w:val="24"/>
        </w:rPr>
        <w:t> </w:t>
      </w:r>
      <w:r>
        <w:rPr>
          <w:sz w:val="24"/>
        </w:rPr>
        <w:t>or</w:t>
      </w:r>
    </w:p>
    <w:p>
      <w:pPr>
        <w:pStyle w:val="ListParagraph"/>
        <w:numPr>
          <w:ilvl w:val="1"/>
          <w:numId w:val="658"/>
        </w:numPr>
        <w:tabs>
          <w:tab w:pos="2486" w:val="left" w:leader="none"/>
        </w:tabs>
        <w:spacing w:line="240" w:lineRule="auto" w:before="120" w:after="0"/>
        <w:ind w:left="2486" w:right="414" w:hanging="567"/>
        <w:jc w:val="both"/>
        <w:rPr>
          <w:sz w:val="24"/>
        </w:rPr>
      </w:pPr>
      <w:r>
        <w:rPr>
          <w:sz w:val="24"/>
        </w:rPr>
        <w:t>if the applicable distribution variation amount or transmission variation amount is zero, no</w:t>
      </w:r>
      <w:r>
        <w:rPr>
          <w:spacing w:val="-1"/>
          <w:sz w:val="24"/>
        </w:rPr>
        <w:t> </w:t>
      </w:r>
      <w:r>
        <w:rPr>
          <w:sz w:val="24"/>
        </w:rPr>
        <w:t>adjustment,</w:t>
      </w:r>
    </w:p>
    <w:p>
      <w:pPr>
        <w:pStyle w:val="BodyText"/>
        <w:ind w:left="1919" w:right="417" w:firstLine="0"/>
      </w:pPr>
      <w:r>
        <w:rPr/>
        <w:t>to the </w:t>
      </w:r>
      <w:r>
        <w:rPr>
          <w:i/>
        </w:rPr>
        <w:t>annual revenue requirement </w:t>
      </w:r>
      <w:r>
        <w:rPr/>
        <w:t>determined under rule 6.4 for the first regulatory year of that NSW DNSP's subsequent regulatory control period.</w:t>
      </w:r>
    </w:p>
    <w:p>
      <w:pPr>
        <w:pStyle w:val="ListParagraph"/>
        <w:numPr>
          <w:ilvl w:val="0"/>
          <w:numId w:val="658"/>
        </w:numPr>
        <w:tabs>
          <w:tab w:pos="1919" w:val="left" w:leader="none"/>
        </w:tabs>
        <w:spacing w:line="240" w:lineRule="auto" w:before="120" w:after="0"/>
        <w:ind w:left="1919" w:right="414" w:hanging="567"/>
        <w:jc w:val="both"/>
        <w:rPr>
          <w:sz w:val="24"/>
        </w:rPr>
      </w:pPr>
      <w:r>
        <w:rPr>
          <w:sz w:val="24"/>
        </w:rPr>
        <w:t>When making an adjustment determination under this clause 8A.14.5 in respect of a NSW DNSP, the </w:t>
      </w:r>
      <w:r>
        <w:rPr>
          <w:i/>
          <w:sz w:val="24"/>
        </w:rPr>
        <w:t>AER </w:t>
      </w:r>
      <w:r>
        <w:rPr>
          <w:sz w:val="24"/>
        </w:rPr>
        <w:t>must be satisfied that the application of the distribution variation amount and transmission variation amount under paragraph (c) achieves the revenue recovery principle in respect of that NSW</w:t>
      </w:r>
      <w:r>
        <w:rPr>
          <w:spacing w:val="-2"/>
          <w:sz w:val="24"/>
        </w:rPr>
        <w:t> </w:t>
      </w:r>
      <w:r>
        <w:rPr>
          <w:sz w:val="24"/>
        </w:rPr>
        <w:t>DNSP.</w:t>
      </w:r>
    </w:p>
    <w:p>
      <w:pPr>
        <w:pStyle w:val="ListParagraph"/>
        <w:numPr>
          <w:ilvl w:val="0"/>
          <w:numId w:val="658"/>
        </w:numPr>
        <w:tabs>
          <w:tab w:pos="1919" w:val="left" w:leader="none"/>
        </w:tabs>
        <w:spacing w:line="240" w:lineRule="auto" w:before="120" w:after="0"/>
        <w:ind w:left="1919" w:right="414" w:hanging="567"/>
        <w:jc w:val="both"/>
        <w:rPr>
          <w:sz w:val="24"/>
        </w:rPr>
      </w:pPr>
      <w:r>
        <w:rPr>
          <w:sz w:val="24"/>
        </w:rPr>
        <w:t>A distribution variation amount or transmission variation amount included as a revenue increase or revenue decrease under paragraph (c), must not be considered by the </w:t>
      </w:r>
      <w:r>
        <w:rPr>
          <w:i/>
          <w:sz w:val="24"/>
        </w:rPr>
        <w:t>AER </w:t>
      </w:r>
      <w:r>
        <w:rPr>
          <w:sz w:val="24"/>
        </w:rPr>
        <w:t>when determining whether any amount is payable or recoverable by the relevant NSW DNSP under any scheme that applies to that NSW DNSP in respect of the subsequent regulatory control</w:t>
      </w:r>
      <w:r>
        <w:rPr>
          <w:spacing w:val="-7"/>
          <w:sz w:val="24"/>
        </w:rPr>
        <w:t> </w:t>
      </w:r>
      <w:r>
        <w:rPr>
          <w:sz w:val="24"/>
        </w:rPr>
        <w:t>period.</w:t>
      </w:r>
    </w:p>
    <w:p>
      <w:pPr>
        <w:pStyle w:val="BodyText"/>
        <w:spacing w:before="10"/>
        <w:ind w:firstLine="0"/>
        <w:jc w:val="left"/>
        <w:rPr>
          <w:sz w:val="20"/>
        </w:rPr>
      </w:pPr>
    </w:p>
    <w:p>
      <w:pPr>
        <w:pStyle w:val="Heading4"/>
        <w:tabs>
          <w:tab w:pos="1351" w:val="left" w:leader="none"/>
        </w:tabs>
        <w:ind w:left="1352" w:right="820"/>
      </w:pPr>
      <w:bookmarkStart w:name="8A.14.6 Recovery of revenue in subsequen" w:id="2387"/>
      <w:bookmarkEnd w:id="2387"/>
      <w:r>
        <w:rPr>
          <w:b w:val="0"/>
        </w:rPr>
      </w:r>
      <w:bookmarkStart w:name="_bookmark996" w:id="2388"/>
      <w:bookmarkEnd w:id="2388"/>
      <w:r>
        <w:rPr>
          <w:b w:val="0"/>
        </w:rPr>
      </w:r>
      <w:r>
        <w:rPr/>
        <w:t>8A.14.6</w:t>
        <w:tab/>
        <w:t>Recovery of revenue in subsequent regulatory control period only and reopening of distribution determination is</w:t>
      </w:r>
      <w:r>
        <w:rPr>
          <w:spacing w:val="-9"/>
        </w:rPr>
        <w:t> </w:t>
      </w:r>
      <w:r>
        <w:rPr/>
        <w:t>required</w:t>
      </w:r>
    </w:p>
    <w:p>
      <w:pPr>
        <w:spacing w:before="220"/>
        <w:ind w:left="1356" w:right="0" w:firstLine="0"/>
        <w:jc w:val="left"/>
        <w:rPr>
          <w:rFonts w:ascii="Arial"/>
          <w:b/>
          <w:sz w:val="22"/>
        </w:rPr>
      </w:pPr>
      <w:r>
        <w:rPr>
          <w:rFonts w:ascii="Arial"/>
          <w:b/>
          <w:sz w:val="22"/>
        </w:rPr>
        <w:t>General</w:t>
      </w:r>
    </w:p>
    <w:p>
      <w:pPr>
        <w:pStyle w:val="ListParagraph"/>
        <w:numPr>
          <w:ilvl w:val="0"/>
          <w:numId w:val="659"/>
        </w:numPr>
        <w:tabs>
          <w:tab w:pos="1919" w:val="left" w:leader="none"/>
        </w:tabs>
        <w:spacing w:line="240" w:lineRule="auto" w:before="120" w:after="0"/>
        <w:ind w:left="1919" w:right="415" w:hanging="567"/>
        <w:jc w:val="both"/>
        <w:rPr>
          <w:sz w:val="24"/>
        </w:rPr>
      </w:pPr>
      <w:r>
        <w:rPr>
          <w:sz w:val="24"/>
        </w:rPr>
        <w:t>This clause 8A.14.6 applies in respect of a NSW DNSP if a remade 2015 determination is made by the </w:t>
      </w:r>
      <w:r>
        <w:rPr>
          <w:i/>
          <w:sz w:val="24"/>
        </w:rPr>
        <w:t>AER </w:t>
      </w:r>
      <w:r>
        <w:rPr>
          <w:sz w:val="24"/>
        </w:rPr>
        <w:t>in respect of that NSW DNSP on or after 1 May 2019, but prior to 1 December of the fourth last regulatory year of  the subsequent regulatory control</w:t>
      </w:r>
      <w:r>
        <w:rPr>
          <w:spacing w:val="-3"/>
          <w:sz w:val="24"/>
        </w:rPr>
        <w:t> </w:t>
      </w:r>
      <w:r>
        <w:rPr>
          <w:sz w:val="24"/>
        </w:rPr>
        <w:t>period.</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59"/>
        </w:numPr>
        <w:tabs>
          <w:tab w:pos="1918" w:val="left" w:leader="none"/>
          <w:tab w:pos="1919" w:val="left" w:leader="none"/>
        </w:tabs>
        <w:spacing w:line="240" w:lineRule="auto" w:before="120" w:after="0"/>
        <w:ind w:left="1919" w:right="415" w:hanging="567"/>
        <w:jc w:val="left"/>
        <w:rPr>
          <w:sz w:val="24"/>
        </w:rPr>
      </w:pPr>
      <w:r>
        <w:rPr>
          <w:sz w:val="24"/>
        </w:rPr>
        <w:t>If paragraph (a) applies, the </w:t>
      </w:r>
      <w:r>
        <w:rPr>
          <w:i/>
          <w:sz w:val="24"/>
        </w:rPr>
        <w:t>AER </w:t>
      </w:r>
      <w:r>
        <w:rPr>
          <w:sz w:val="24"/>
        </w:rPr>
        <w:t>must determine at the time of making the remade 2015</w:t>
      </w:r>
      <w:r>
        <w:rPr>
          <w:spacing w:val="-2"/>
          <w:sz w:val="24"/>
        </w:rPr>
        <w:t> </w:t>
      </w:r>
      <w:r>
        <w:rPr>
          <w:sz w:val="24"/>
        </w:rPr>
        <w:t>determination:</w:t>
      </w:r>
    </w:p>
    <w:p>
      <w:pPr>
        <w:pStyle w:val="ListParagraph"/>
        <w:numPr>
          <w:ilvl w:val="1"/>
          <w:numId w:val="659"/>
        </w:numPr>
        <w:tabs>
          <w:tab w:pos="2485" w:val="left" w:leader="none"/>
          <w:tab w:pos="2486" w:val="left" w:leader="none"/>
        </w:tabs>
        <w:spacing w:line="240" w:lineRule="auto" w:before="120" w:after="0"/>
        <w:ind w:left="2485" w:right="0" w:hanging="567"/>
        <w:jc w:val="left"/>
        <w:rPr>
          <w:sz w:val="24"/>
        </w:rPr>
      </w:pPr>
      <w:r>
        <w:rPr>
          <w:sz w:val="24"/>
        </w:rPr>
        <w:t>the distribution variation amount;</w:t>
      </w:r>
      <w:r>
        <w:rPr>
          <w:spacing w:val="-1"/>
          <w:sz w:val="24"/>
        </w:rPr>
        <w:t> </w:t>
      </w:r>
      <w:r>
        <w:rPr>
          <w:sz w:val="24"/>
        </w:rPr>
        <w:t>and</w:t>
      </w:r>
    </w:p>
    <w:p>
      <w:pPr>
        <w:pStyle w:val="ListParagraph"/>
        <w:numPr>
          <w:ilvl w:val="1"/>
          <w:numId w:val="659"/>
        </w:numPr>
        <w:tabs>
          <w:tab w:pos="2485" w:val="left" w:leader="none"/>
          <w:tab w:pos="2486" w:val="left" w:leader="none"/>
        </w:tabs>
        <w:spacing w:line="343" w:lineRule="auto" w:before="120" w:after="0"/>
        <w:ind w:left="1919" w:right="3898" w:firstLine="0"/>
        <w:jc w:val="left"/>
        <w:rPr>
          <w:sz w:val="24"/>
        </w:rPr>
      </w:pPr>
      <w:r>
        <w:rPr>
          <w:sz w:val="24"/>
        </w:rPr>
        <w:t>the transmission variation </w:t>
      </w:r>
      <w:r>
        <w:rPr>
          <w:spacing w:val="-3"/>
          <w:sz w:val="24"/>
        </w:rPr>
        <w:t>amount, </w:t>
      </w:r>
      <w:r>
        <w:rPr>
          <w:sz w:val="24"/>
        </w:rPr>
        <w:t>for the relevant NSW</w:t>
      </w:r>
      <w:r>
        <w:rPr>
          <w:spacing w:val="-3"/>
          <w:sz w:val="24"/>
        </w:rPr>
        <w:t> </w:t>
      </w:r>
      <w:r>
        <w:rPr>
          <w:sz w:val="24"/>
        </w:rPr>
        <w:t>DNSP.</w:t>
      </w:r>
    </w:p>
    <w:p>
      <w:pPr>
        <w:spacing w:before="103"/>
        <w:ind w:left="1356" w:right="0" w:firstLine="0"/>
        <w:jc w:val="left"/>
        <w:rPr>
          <w:rFonts w:ascii="Arial"/>
          <w:b/>
          <w:sz w:val="22"/>
        </w:rPr>
      </w:pPr>
      <w:r>
        <w:rPr>
          <w:rFonts w:ascii="Arial"/>
          <w:b/>
          <w:sz w:val="22"/>
        </w:rPr>
        <w:t>Recovery in subsequent regulatory control period</w:t>
      </w:r>
    </w:p>
    <w:p>
      <w:pPr>
        <w:pStyle w:val="ListParagraph"/>
        <w:numPr>
          <w:ilvl w:val="0"/>
          <w:numId w:val="659"/>
        </w:numPr>
        <w:tabs>
          <w:tab w:pos="1919" w:val="left" w:leader="none"/>
        </w:tabs>
        <w:spacing w:line="240" w:lineRule="auto" w:before="120" w:after="0"/>
        <w:ind w:left="1919" w:right="416" w:hanging="567"/>
        <w:jc w:val="both"/>
        <w:rPr>
          <w:sz w:val="24"/>
        </w:rPr>
      </w:pPr>
      <w:r>
        <w:rPr>
          <w:sz w:val="24"/>
        </w:rPr>
        <w:t>If paragraph (a) applies in respect of a NSW DNSP, the </w:t>
      </w:r>
      <w:r>
        <w:rPr>
          <w:i/>
          <w:sz w:val="24"/>
        </w:rPr>
        <w:t>AER </w:t>
      </w:r>
      <w:r>
        <w:rPr>
          <w:sz w:val="24"/>
        </w:rPr>
        <w:t>must revoke the subsequent distribution determination of that NSW DNSP and make a new distribution determination in substitution for that revoked determination,</w:t>
      </w:r>
      <w:r>
        <w:rPr>
          <w:spacing w:val="-1"/>
          <w:sz w:val="24"/>
        </w:rPr>
        <w:t> </w:t>
      </w:r>
      <w:r>
        <w:rPr>
          <w:sz w:val="24"/>
        </w:rPr>
        <w:t>that:</w:t>
      </w:r>
    </w:p>
    <w:p>
      <w:pPr>
        <w:spacing w:after="0" w:line="240" w:lineRule="auto"/>
        <w:jc w:val="both"/>
        <w:rPr>
          <w:sz w:val="24"/>
        </w:rPr>
        <w:sectPr>
          <w:pgSz w:w="11910" w:h="16840"/>
          <w:pgMar w:header="686" w:footer="637" w:top="1320" w:bottom="820" w:left="1200" w:right="1000"/>
        </w:sectPr>
      </w:pPr>
    </w:p>
    <w:p>
      <w:pPr>
        <w:pStyle w:val="ListParagraph"/>
        <w:numPr>
          <w:ilvl w:val="1"/>
          <w:numId w:val="659"/>
        </w:numPr>
        <w:tabs>
          <w:tab w:pos="2485" w:val="left" w:leader="none"/>
          <w:tab w:pos="2486" w:val="left" w:leader="none"/>
        </w:tabs>
        <w:spacing w:line="240" w:lineRule="auto" w:before="83" w:after="0"/>
        <w:ind w:left="2486" w:right="415" w:hanging="567"/>
        <w:jc w:val="left"/>
        <w:rPr>
          <w:sz w:val="24"/>
        </w:rPr>
      </w:pPr>
      <w:r>
        <w:rPr>
          <w:sz w:val="24"/>
        </w:rPr>
        <w:t>applies to the remaining regulatory years of the subsequent </w:t>
      </w:r>
      <w:r>
        <w:rPr>
          <w:spacing w:val="-3"/>
          <w:sz w:val="24"/>
        </w:rPr>
        <w:t>regulatory </w:t>
      </w:r>
      <w:r>
        <w:rPr>
          <w:sz w:val="24"/>
        </w:rPr>
        <w:t>control period;</w:t>
      </w:r>
      <w:r>
        <w:rPr>
          <w:spacing w:val="-1"/>
          <w:sz w:val="24"/>
        </w:rPr>
        <w:t> </w:t>
      </w:r>
      <w:r>
        <w:rPr>
          <w:sz w:val="24"/>
        </w:rPr>
        <w:t>and</w:t>
      </w:r>
    </w:p>
    <w:p>
      <w:pPr>
        <w:pStyle w:val="ListParagraph"/>
        <w:numPr>
          <w:ilvl w:val="1"/>
          <w:numId w:val="659"/>
        </w:numPr>
        <w:tabs>
          <w:tab w:pos="2485" w:val="left" w:leader="none"/>
          <w:tab w:pos="2486" w:val="left" w:leader="none"/>
        </w:tabs>
        <w:spacing w:line="240" w:lineRule="auto" w:before="120" w:after="0"/>
        <w:ind w:left="2485" w:right="0" w:hanging="567"/>
        <w:jc w:val="left"/>
        <w:rPr>
          <w:sz w:val="24"/>
        </w:rPr>
      </w:pPr>
      <w:r>
        <w:rPr>
          <w:sz w:val="24"/>
        </w:rPr>
        <w:t>includes an amount equivalent in net present value terms</w:t>
      </w:r>
      <w:r>
        <w:rPr>
          <w:spacing w:val="-4"/>
          <w:sz w:val="24"/>
        </w:rPr>
        <w:t> </w:t>
      </w:r>
      <w:r>
        <w:rPr>
          <w:sz w:val="24"/>
        </w:rPr>
        <w:t>to:</w:t>
      </w:r>
    </w:p>
    <w:p>
      <w:pPr>
        <w:pStyle w:val="ListParagraph"/>
        <w:numPr>
          <w:ilvl w:val="2"/>
          <w:numId w:val="659"/>
        </w:numPr>
        <w:tabs>
          <w:tab w:pos="3052" w:val="left" w:leader="none"/>
          <w:tab w:pos="3053" w:val="left" w:leader="none"/>
        </w:tabs>
        <w:spacing w:line="240" w:lineRule="auto" w:before="120" w:after="0"/>
        <w:ind w:left="3052" w:right="0" w:hanging="567"/>
        <w:jc w:val="left"/>
        <w:rPr>
          <w:sz w:val="24"/>
        </w:rPr>
      </w:pPr>
      <w:r>
        <w:rPr>
          <w:sz w:val="24"/>
        </w:rPr>
        <w:t>the distribution variation amount;</w:t>
      </w:r>
      <w:r>
        <w:rPr>
          <w:spacing w:val="-1"/>
          <w:sz w:val="24"/>
        </w:rPr>
        <w:t> </w:t>
      </w:r>
      <w:r>
        <w:rPr>
          <w:sz w:val="24"/>
        </w:rPr>
        <w:t>and</w:t>
      </w:r>
    </w:p>
    <w:p>
      <w:pPr>
        <w:pStyle w:val="ListParagraph"/>
        <w:numPr>
          <w:ilvl w:val="2"/>
          <w:numId w:val="659"/>
        </w:numPr>
        <w:tabs>
          <w:tab w:pos="3052" w:val="left" w:leader="none"/>
          <w:tab w:pos="3054" w:val="left" w:leader="none"/>
        </w:tabs>
        <w:spacing w:line="343" w:lineRule="auto" w:before="120" w:after="0"/>
        <w:ind w:left="2486" w:right="3331" w:firstLine="0"/>
        <w:jc w:val="left"/>
        <w:rPr>
          <w:sz w:val="24"/>
        </w:rPr>
      </w:pPr>
      <w:r>
        <w:rPr>
          <w:sz w:val="24"/>
        </w:rPr>
        <w:t>the transmission variation amount, determined for that NSW DNSP</w:t>
      </w:r>
      <w:r>
        <w:rPr>
          <w:spacing w:val="-5"/>
          <w:sz w:val="24"/>
        </w:rPr>
        <w:t> </w:t>
      </w:r>
      <w:r>
        <w:rPr>
          <w:sz w:val="24"/>
        </w:rPr>
        <w:t>as:</w:t>
      </w:r>
    </w:p>
    <w:p>
      <w:pPr>
        <w:pStyle w:val="ListParagraph"/>
        <w:numPr>
          <w:ilvl w:val="2"/>
          <w:numId w:val="659"/>
        </w:numPr>
        <w:tabs>
          <w:tab w:pos="3053" w:val="left" w:leader="none"/>
        </w:tabs>
        <w:spacing w:line="240" w:lineRule="auto" w:before="3" w:after="0"/>
        <w:ind w:left="3053" w:right="415" w:hanging="567"/>
        <w:jc w:val="both"/>
        <w:rPr>
          <w:sz w:val="24"/>
        </w:rPr>
      </w:pPr>
      <w:r>
        <w:rPr>
          <w:sz w:val="24"/>
        </w:rPr>
        <w:t>if the applicable distribution variation amount or transmission variation amount (as the case may be) is a positive amount, a revenue increase;</w:t>
      </w:r>
      <w:r>
        <w:rPr>
          <w:spacing w:val="-1"/>
          <w:sz w:val="24"/>
        </w:rPr>
        <w:t> </w:t>
      </w:r>
      <w:r>
        <w:rPr>
          <w:sz w:val="24"/>
        </w:rPr>
        <w:t>or</w:t>
      </w:r>
    </w:p>
    <w:p>
      <w:pPr>
        <w:pStyle w:val="ListParagraph"/>
        <w:numPr>
          <w:ilvl w:val="2"/>
          <w:numId w:val="659"/>
        </w:numPr>
        <w:tabs>
          <w:tab w:pos="3054" w:val="left" w:leader="none"/>
        </w:tabs>
        <w:spacing w:line="240" w:lineRule="auto" w:before="120" w:after="0"/>
        <w:ind w:left="3053" w:right="415" w:hanging="567"/>
        <w:jc w:val="both"/>
        <w:rPr>
          <w:sz w:val="24"/>
        </w:rPr>
      </w:pPr>
      <w:r>
        <w:rPr>
          <w:sz w:val="24"/>
        </w:rPr>
        <w:t>if the applicable distribution variation amount or transmission variation amount (as the case may be) is a negative amount, </w:t>
      </w:r>
      <w:r>
        <w:rPr>
          <w:spacing w:val="-11"/>
          <w:sz w:val="24"/>
        </w:rPr>
        <w:t>a </w:t>
      </w:r>
      <w:r>
        <w:rPr>
          <w:sz w:val="24"/>
        </w:rPr>
        <w:t>revenue decrease;</w:t>
      </w:r>
      <w:r>
        <w:rPr>
          <w:spacing w:val="-1"/>
          <w:sz w:val="24"/>
        </w:rPr>
        <w:t> </w:t>
      </w:r>
      <w:r>
        <w:rPr>
          <w:sz w:val="24"/>
        </w:rPr>
        <w:t>or</w:t>
      </w:r>
    </w:p>
    <w:p>
      <w:pPr>
        <w:pStyle w:val="ListParagraph"/>
        <w:numPr>
          <w:ilvl w:val="2"/>
          <w:numId w:val="659"/>
        </w:numPr>
        <w:tabs>
          <w:tab w:pos="3053" w:val="left" w:leader="none"/>
        </w:tabs>
        <w:spacing w:line="240" w:lineRule="auto" w:before="120" w:after="0"/>
        <w:ind w:left="3053" w:right="415" w:hanging="567"/>
        <w:jc w:val="both"/>
        <w:rPr>
          <w:sz w:val="24"/>
        </w:rPr>
      </w:pPr>
      <w:r>
        <w:rPr>
          <w:sz w:val="24"/>
        </w:rPr>
        <w:t>if the applicable distribution variation amount or transmission variation amount (as the case may be) is zero, no</w:t>
      </w:r>
      <w:r>
        <w:rPr>
          <w:spacing w:val="-4"/>
          <w:sz w:val="24"/>
        </w:rPr>
        <w:t> </w:t>
      </w:r>
      <w:r>
        <w:rPr>
          <w:sz w:val="24"/>
        </w:rPr>
        <w:t>adjustment,</w:t>
      </w:r>
    </w:p>
    <w:p>
      <w:pPr>
        <w:pStyle w:val="BodyText"/>
        <w:ind w:left="2486" w:right="415" w:firstLine="0"/>
      </w:pPr>
      <w:r>
        <w:rPr/>
        <w:t>to the </w:t>
      </w:r>
      <w:r>
        <w:rPr>
          <w:i/>
        </w:rPr>
        <w:t>annual revenue requirement </w:t>
      </w:r>
      <w:r>
        <w:rPr/>
        <w:t>of one or more of the regulatory years in the remainder of the subsequent regulatory control period, subject to the sum of all such increases or decreases for the relevant regulatory years being equivalent in net present value terms to the sum of the distribution variation amount and transmission </w:t>
      </w:r>
      <w:r>
        <w:rPr>
          <w:spacing w:val="-3"/>
        </w:rPr>
        <w:t>variation</w:t>
      </w:r>
      <w:r>
        <w:rPr>
          <w:spacing w:val="54"/>
        </w:rPr>
        <w:t> </w:t>
      </w:r>
      <w:r>
        <w:rPr/>
        <w:t>amount.</w:t>
      </w:r>
    </w:p>
    <w:p>
      <w:pPr>
        <w:pStyle w:val="ListParagraph"/>
        <w:numPr>
          <w:ilvl w:val="0"/>
          <w:numId w:val="659"/>
        </w:numPr>
        <w:tabs>
          <w:tab w:pos="1919" w:val="left" w:leader="none"/>
        </w:tabs>
        <w:spacing w:line="240" w:lineRule="auto" w:before="120" w:after="0"/>
        <w:ind w:left="1919" w:right="414" w:hanging="567"/>
        <w:jc w:val="both"/>
        <w:rPr>
          <w:sz w:val="24"/>
        </w:rPr>
      </w:pPr>
      <w:r>
        <w:rPr>
          <w:sz w:val="24"/>
        </w:rPr>
        <w:t>When making an adjustment determination under this clause 8A.14.6 in respect of a NSW DNSP, the </w:t>
      </w:r>
      <w:r>
        <w:rPr>
          <w:i/>
          <w:sz w:val="24"/>
        </w:rPr>
        <w:t>AER </w:t>
      </w:r>
      <w:r>
        <w:rPr>
          <w:sz w:val="24"/>
        </w:rPr>
        <w:t>must be satisfied that the application of the distribution variation amount and transmission variation amount under paragraph (c) achieves the revenue recovery principle in respect of that NSW</w:t>
      </w:r>
      <w:r>
        <w:rPr>
          <w:spacing w:val="-2"/>
          <w:sz w:val="24"/>
        </w:rPr>
        <w:t> </w:t>
      </w:r>
      <w:r>
        <w:rPr>
          <w:sz w:val="24"/>
        </w:rPr>
        <w:t>DNSP.</w:t>
      </w:r>
    </w:p>
    <w:p>
      <w:pPr>
        <w:pStyle w:val="ListParagraph"/>
        <w:numPr>
          <w:ilvl w:val="0"/>
          <w:numId w:val="659"/>
        </w:numPr>
        <w:tabs>
          <w:tab w:pos="1919" w:val="left" w:leader="none"/>
        </w:tabs>
        <w:spacing w:line="240" w:lineRule="auto" w:before="120" w:after="0"/>
        <w:ind w:left="1919" w:right="417" w:hanging="567"/>
        <w:jc w:val="both"/>
        <w:rPr>
          <w:sz w:val="24"/>
        </w:rPr>
      </w:pPr>
      <w:r>
        <w:rPr>
          <w:sz w:val="24"/>
        </w:rPr>
        <w:t>The substituted distribution determination made under paragraph (c) must only:</w:t>
      </w:r>
    </w:p>
    <w:p>
      <w:pPr>
        <w:pStyle w:val="ListParagraph"/>
        <w:numPr>
          <w:ilvl w:val="1"/>
          <w:numId w:val="659"/>
        </w:numPr>
        <w:tabs>
          <w:tab w:pos="2486" w:val="left" w:leader="none"/>
        </w:tabs>
        <w:spacing w:line="240" w:lineRule="auto" w:before="120" w:after="0"/>
        <w:ind w:left="2486" w:right="415" w:hanging="567"/>
        <w:jc w:val="both"/>
        <w:rPr>
          <w:sz w:val="24"/>
        </w:rPr>
      </w:pPr>
      <w:r>
        <w:rPr>
          <w:sz w:val="24"/>
        </w:rPr>
        <w:t>vary from the revoked distribution determination to the </w:t>
      </w:r>
      <w:r>
        <w:rPr>
          <w:spacing w:val="-3"/>
          <w:sz w:val="24"/>
        </w:rPr>
        <w:t>extent</w:t>
      </w:r>
      <w:r>
        <w:rPr>
          <w:spacing w:val="54"/>
          <w:sz w:val="24"/>
        </w:rPr>
        <w:t> </w:t>
      </w:r>
      <w:r>
        <w:rPr>
          <w:sz w:val="24"/>
        </w:rPr>
        <w:t>necessary to reflect the increase or decrease (as the case may be) to </w:t>
      </w:r>
      <w:r>
        <w:rPr>
          <w:spacing w:val="-5"/>
          <w:sz w:val="24"/>
        </w:rPr>
        <w:t>the </w:t>
      </w:r>
      <w:r>
        <w:rPr>
          <w:i/>
          <w:sz w:val="24"/>
        </w:rPr>
        <w:t>annual revenue requirement </w:t>
      </w:r>
      <w:r>
        <w:rPr>
          <w:sz w:val="24"/>
        </w:rPr>
        <w:t>of one or more of the regulatory years of the subsequent regulatory control period under paragraph (c);</w:t>
      </w:r>
      <w:r>
        <w:rPr>
          <w:spacing w:val="-8"/>
          <w:sz w:val="24"/>
        </w:rPr>
        <w:t> </w:t>
      </w:r>
      <w:r>
        <w:rPr>
          <w:sz w:val="24"/>
        </w:rPr>
        <w:t>and</w:t>
      </w:r>
    </w:p>
    <w:p>
      <w:pPr>
        <w:pStyle w:val="ListParagraph"/>
        <w:numPr>
          <w:ilvl w:val="1"/>
          <w:numId w:val="659"/>
        </w:numPr>
        <w:tabs>
          <w:tab w:pos="2486" w:val="left" w:leader="none"/>
        </w:tabs>
        <w:spacing w:line="240" w:lineRule="auto" w:before="120" w:after="0"/>
        <w:ind w:left="2486" w:right="415" w:hanging="567"/>
        <w:jc w:val="both"/>
        <w:rPr>
          <w:sz w:val="24"/>
        </w:rPr>
      </w:pPr>
      <w:r>
        <w:rPr>
          <w:sz w:val="24"/>
        </w:rPr>
        <w:t>be made after the </w:t>
      </w:r>
      <w:r>
        <w:rPr>
          <w:i/>
          <w:sz w:val="24"/>
        </w:rPr>
        <w:t>AER </w:t>
      </w:r>
      <w:r>
        <w:rPr>
          <w:sz w:val="24"/>
        </w:rPr>
        <w:t>has first consulted with the relevant NSW DNSP and such other persons as the </w:t>
      </w:r>
      <w:r>
        <w:rPr>
          <w:i/>
          <w:sz w:val="24"/>
        </w:rPr>
        <w:t>AER </w:t>
      </w:r>
      <w:r>
        <w:rPr>
          <w:sz w:val="24"/>
        </w:rPr>
        <w:t>considers</w:t>
      </w:r>
      <w:r>
        <w:rPr>
          <w:spacing w:val="-5"/>
          <w:sz w:val="24"/>
        </w:rPr>
        <w:t> </w:t>
      </w:r>
      <w:r>
        <w:rPr>
          <w:sz w:val="24"/>
        </w:rPr>
        <w:t>appropriate.</w:t>
      </w:r>
    </w:p>
    <w:p>
      <w:pPr>
        <w:pStyle w:val="ListParagraph"/>
        <w:numPr>
          <w:ilvl w:val="0"/>
          <w:numId w:val="659"/>
        </w:numPr>
        <w:tabs>
          <w:tab w:pos="1920" w:val="left" w:leader="none"/>
        </w:tabs>
        <w:spacing w:line="240" w:lineRule="auto" w:before="120" w:after="0"/>
        <w:ind w:left="1919" w:right="417" w:hanging="567"/>
        <w:jc w:val="both"/>
        <w:rPr>
          <w:sz w:val="24"/>
        </w:rPr>
      </w:pPr>
      <w:r>
        <w:rPr>
          <w:sz w:val="24"/>
        </w:rPr>
        <w:t>If the </w:t>
      </w:r>
      <w:r>
        <w:rPr>
          <w:i/>
          <w:sz w:val="24"/>
        </w:rPr>
        <w:t>AER </w:t>
      </w:r>
      <w:r>
        <w:rPr>
          <w:sz w:val="24"/>
        </w:rPr>
        <w:t>revokes and substitutes the subsequent distribution determination under paragraph (c), that revocation and substitution must take effect from the commencement of the next regulatory</w:t>
      </w:r>
      <w:r>
        <w:rPr>
          <w:spacing w:val="-1"/>
          <w:sz w:val="24"/>
        </w:rPr>
        <w:t> </w:t>
      </w:r>
      <w:r>
        <w:rPr>
          <w:sz w:val="24"/>
        </w:rPr>
        <w:t>year.</w:t>
      </w:r>
    </w:p>
    <w:p>
      <w:pPr>
        <w:pStyle w:val="ListParagraph"/>
        <w:numPr>
          <w:ilvl w:val="0"/>
          <w:numId w:val="659"/>
        </w:numPr>
        <w:tabs>
          <w:tab w:pos="1919" w:val="left" w:leader="none"/>
        </w:tabs>
        <w:spacing w:line="240" w:lineRule="auto" w:before="120" w:after="0"/>
        <w:ind w:left="1919" w:right="414" w:hanging="567"/>
        <w:jc w:val="both"/>
        <w:rPr>
          <w:sz w:val="24"/>
        </w:rPr>
      </w:pPr>
      <w:r>
        <w:rPr>
          <w:sz w:val="24"/>
        </w:rPr>
        <w:t>A distribution variation amount or transmission variation amount included as a revenue increase or revenue decrease under paragraph (c), must not be considered by the </w:t>
      </w:r>
      <w:r>
        <w:rPr>
          <w:i/>
          <w:sz w:val="24"/>
        </w:rPr>
        <w:t>AER </w:t>
      </w:r>
      <w:r>
        <w:rPr>
          <w:sz w:val="24"/>
        </w:rPr>
        <w:t>when determining whether any amount is payable or recoverable by the relevant NSW DNSP under any scheme that applies to that NSW DNSP in respect of the subsequent regulatory control</w:t>
      </w:r>
      <w:r>
        <w:rPr>
          <w:spacing w:val="-7"/>
          <w:sz w:val="24"/>
        </w:rPr>
        <w:t> </w:t>
      </w:r>
      <w:r>
        <w:rPr>
          <w:sz w:val="24"/>
        </w:rPr>
        <w:t>period.</w:t>
      </w:r>
    </w:p>
    <w:p>
      <w:pPr>
        <w:pStyle w:val="BodyText"/>
        <w:spacing w:before="10"/>
        <w:ind w:firstLine="0"/>
        <w:jc w:val="left"/>
        <w:rPr>
          <w:sz w:val="20"/>
        </w:rPr>
      </w:pPr>
    </w:p>
    <w:p>
      <w:pPr>
        <w:pStyle w:val="Heading4"/>
        <w:tabs>
          <w:tab w:pos="1351" w:val="left" w:leader="none"/>
        </w:tabs>
        <w:ind w:left="218" w:firstLine="0"/>
      </w:pPr>
      <w:bookmarkStart w:name="8A.14.7 Requirements for adjustment dete" w:id="2389"/>
      <w:bookmarkEnd w:id="2389"/>
      <w:r>
        <w:rPr>
          <w:b w:val="0"/>
        </w:rPr>
      </w:r>
      <w:bookmarkStart w:name="_bookmark997" w:id="2390"/>
      <w:bookmarkEnd w:id="2390"/>
      <w:r>
        <w:rPr>
          <w:b w:val="0"/>
        </w:rPr>
      </w:r>
      <w:r>
        <w:rPr/>
        <w:t>8A.14.7</w:t>
        <w:tab/>
        <w:t>Requirements for adjustment</w:t>
      </w:r>
      <w:r>
        <w:rPr>
          <w:spacing w:val="-4"/>
        </w:rPr>
        <w:t> </w:t>
      </w:r>
      <w:r>
        <w:rPr/>
        <w:t>determination</w:t>
      </w:r>
    </w:p>
    <w:p>
      <w:pPr>
        <w:pStyle w:val="BodyText"/>
        <w:ind w:left="1352" w:firstLine="0"/>
        <w:jc w:val="left"/>
      </w:pPr>
      <w:r>
        <w:rPr/>
        <w:t>The </w:t>
      </w:r>
      <w:r>
        <w:rPr>
          <w:i/>
        </w:rPr>
        <w:t>AER </w:t>
      </w:r>
      <w:r>
        <w:rPr/>
        <w:t>must in respect of an adjustment determination made for a NSW DNSP:</w:t>
      </w:r>
    </w:p>
    <w:p>
      <w:pPr>
        <w:spacing w:after="0"/>
        <w:jc w:val="left"/>
        <w:sectPr>
          <w:pgSz w:w="11910" w:h="16840"/>
          <w:pgMar w:header="686" w:footer="637" w:top="1320" w:bottom="820" w:left="1200" w:right="1000"/>
        </w:sectPr>
      </w:pPr>
    </w:p>
    <w:p>
      <w:pPr>
        <w:pStyle w:val="ListParagraph"/>
        <w:numPr>
          <w:ilvl w:val="0"/>
          <w:numId w:val="660"/>
        </w:numPr>
        <w:tabs>
          <w:tab w:pos="1918" w:val="left" w:leader="none"/>
          <w:tab w:pos="1919" w:val="left" w:leader="none"/>
        </w:tabs>
        <w:spacing w:line="240" w:lineRule="auto" w:before="83" w:after="0"/>
        <w:ind w:left="1919" w:right="415" w:hanging="567"/>
        <w:jc w:val="left"/>
        <w:rPr>
          <w:sz w:val="24"/>
        </w:rPr>
      </w:pPr>
      <w:r>
        <w:rPr>
          <w:sz w:val="24"/>
        </w:rPr>
        <w:t>make the adjustment determination after consulting with the relevant NSW DNSP and any other persons as the </w:t>
      </w:r>
      <w:r>
        <w:rPr>
          <w:i/>
          <w:sz w:val="24"/>
        </w:rPr>
        <w:t>AER </w:t>
      </w:r>
      <w:r>
        <w:rPr>
          <w:sz w:val="24"/>
        </w:rPr>
        <w:t>considers</w:t>
      </w:r>
      <w:r>
        <w:rPr>
          <w:spacing w:val="-4"/>
          <w:sz w:val="24"/>
        </w:rPr>
        <w:t> </w:t>
      </w:r>
      <w:r>
        <w:rPr>
          <w:sz w:val="24"/>
        </w:rPr>
        <w:t>appropriate;</w:t>
      </w:r>
    </w:p>
    <w:p>
      <w:pPr>
        <w:pStyle w:val="ListParagraph"/>
        <w:numPr>
          <w:ilvl w:val="0"/>
          <w:numId w:val="660"/>
        </w:numPr>
        <w:tabs>
          <w:tab w:pos="1918" w:val="left" w:leader="none"/>
          <w:tab w:pos="1919" w:val="left" w:leader="none"/>
        </w:tabs>
        <w:spacing w:line="240" w:lineRule="auto" w:before="120" w:after="0"/>
        <w:ind w:left="1919" w:right="415" w:hanging="567"/>
        <w:jc w:val="left"/>
        <w:rPr>
          <w:sz w:val="24"/>
        </w:rPr>
      </w:pPr>
      <w:r>
        <w:rPr>
          <w:i/>
          <w:sz w:val="24"/>
        </w:rPr>
        <w:t>publish </w:t>
      </w:r>
      <w:r>
        <w:rPr>
          <w:sz w:val="24"/>
        </w:rPr>
        <w:t>its adjustment determination at the time of publication of the remade 2015 determination;</w:t>
      </w:r>
      <w:r>
        <w:rPr>
          <w:spacing w:val="-1"/>
          <w:sz w:val="24"/>
        </w:rPr>
        <w:t> </w:t>
      </w:r>
      <w:r>
        <w:rPr>
          <w:sz w:val="24"/>
        </w:rPr>
        <w:t>and</w:t>
      </w:r>
    </w:p>
    <w:p>
      <w:pPr>
        <w:pStyle w:val="ListParagraph"/>
        <w:numPr>
          <w:ilvl w:val="0"/>
          <w:numId w:val="660"/>
        </w:numPr>
        <w:tabs>
          <w:tab w:pos="1918" w:val="left" w:leader="none"/>
          <w:tab w:pos="1919" w:val="left" w:leader="none"/>
        </w:tabs>
        <w:spacing w:line="240" w:lineRule="auto" w:before="120" w:after="0"/>
        <w:ind w:left="1918" w:right="0" w:hanging="567"/>
        <w:jc w:val="left"/>
        <w:rPr>
          <w:i/>
          <w:sz w:val="24"/>
        </w:rPr>
      </w:pPr>
      <w:r>
        <w:rPr>
          <w:sz w:val="24"/>
        </w:rPr>
        <w:t>include in its adjustment determination, the reasons for the</w:t>
      </w:r>
      <w:r>
        <w:rPr>
          <w:spacing w:val="5"/>
          <w:sz w:val="24"/>
        </w:rPr>
        <w:t> </w:t>
      </w:r>
      <w:r>
        <w:rPr>
          <w:i/>
          <w:sz w:val="24"/>
        </w:rPr>
        <w:t>AER's</w:t>
      </w:r>
    </w:p>
    <w:p>
      <w:pPr>
        <w:pStyle w:val="BodyText"/>
        <w:spacing w:before="0"/>
        <w:ind w:left="1919" w:firstLine="0"/>
      </w:pPr>
      <w:r>
        <w:rPr/>
        <w:t>determination</w:t>
      </w:r>
      <w:r>
        <w:rPr>
          <w:spacing w:val="-1"/>
        </w:rPr>
        <w:t> </w:t>
      </w:r>
      <w:r>
        <w:rPr/>
        <w:t>of:</w:t>
      </w:r>
    </w:p>
    <w:p>
      <w:pPr>
        <w:pStyle w:val="ListParagraph"/>
        <w:numPr>
          <w:ilvl w:val="1"/>
          <w:numId w:val="660"/>
        </w:numPr>
        <w:tabs>
          <w:tab w:pos="2486" w:val="left" w:leader="none"/>
        </w:tabs>
        <w:spacing w:line="240" w:lineRule="auto" w:before="120" w:after="0"/>
        <w:ind w:left="2486" w:right="414" w:hanging="567"/>
        <w:jc w:val="both"/>
        <w:rPr>
          <w:sz w:val="24"/>
        </w:rPr>
      </w:pPr>
      <w:r>
        <w:rPr>
          <w:sz w:val="24"/>
        </w:rPr>
        <w:t>if clause 8A.14.4 applies, the adjustment amount (including </w:t>
      </w:r>
      <w:r>
        <w:rPr>
          <w:spacing w:val="-4"/>
          <w:sz w:val="24"/>
        </w:rPr>
        <w:t>any </w:t>
      </w:r>
      <w:r>
        <w:rPr>
          <w:sz w:val="24"/>
        </w:rPr>
        <w:t>adjustment made under clause 8A.14.4(d)(1)(ii) or 8A.14.4(d)(2)(ii)) and subsequent adjustment amount or, where the </w:t>
      </w:r>
      <w:r>
        <w:rPr>
          <w:i/>
          <w:sz w:val="24"/>
        </w:rPr>
        <w:t>AER </w:t>
      </w:r>
      <w:r>
        <w:rPr>
          <w:sz w:val="24"/>
        </w:rPr>
        <w:t>has not determined an adjustment amount and subsequent adjustment amount, the reasons for that decision;</w:t>
      </w:r>
      <w:r>
        <w:rPr>
          <w:spacing w:val="-1"/>
          <w:sz w:val="24"/>
        </w:rPr>
        <w:t> </w:t>
      </w:r>
      <w:r>
        <w:rPr>
          <w:sz w:val="24"/>
        </w:rPr>
        <w:t>or</w:t>
      </w:r>
    </w:p>
    <w:p>
      <w:pPr>
        <w:pStyle w:val="ListParagraph"/>
        <w:numPr>
          <w:ilvl w:val="1"/>
          <w:numId w:val="660"/>
        </w:numPr>
        <w:tabs>
          <w:tab w:pos="2486" w:val="left" w:leader="none"/>
        </w:tabs>
        <w:spacing w:line="240" w:lineRule="auto" w:before="120" w:after="0"/>
        <w:ind w:left="2486" w:right="414" w:hanging="567"/>
        <w:jc w:val="both"/>
        <w:rPr>
          <w:sz w:val="24"/>
        </w:rPr>
      </w:pPr>
      <w:r>
        <w:rPr>
          <w:sz w:val="24"/>
        </w:rPr>
        <w:t>if clause 8A.14.5 or 8A.14.6 applies, the distribution variation amount and transmission variation</w:t>
      </w:r>
      <w:r>
        <w:rPr>
          <w:spacing w:val="-1"/>
          <w:sz w:val="24"/>
        </w:rPr>
        <w:t> </w:t>
      </w:r>
      <w:r>
        <w:rPr>
          <w:sz w:val="24"/>
        </w:rPr>
        <w:t>amount.</w:t>
      </w:r>
    </w:p>
    <w:p>
      <w:pPr>
        <w:pStyle w:val="BodyText"/>
        <w:spacing w:before="10"/>
        <w:ind w:firstLine="0"/>
        <w:jc w:val="left"/>
        <w:rPr>
          <w:sz w:val="20"/>
        </w:rPr>
      </w:pPr>
    </w:p>
    <w:p>
      <w:pPr>
        <w:pStyle w:val="Heading4"/>
        <w:tabs>
          <w:tab w:pos="1351" w:val="left" w:leader="none"/>
        </w:tabs>
        <w:ind w:left="218" w:firstLine="0"/>
      </w:pPr>
      <w:bookmarkStart w:name="8A.14.8 Application of Chapter 6 under p" w:id="2391"/>
      <w:bookmarkEnd w:id="2391"/>
      <w:r>
        <w:rPr>
          <w:b w:val="0"/>
        </w:rPr>
      </w:r>
      <w:bookmarkStart w:name="_bookmark998" w:id="2392"/>
      <w:bookmarkEnd w:id="2392"/>
      <w:r>
        <w:rPr>
          <w:b w:val="0"/>
        </w:rPr>
      </w:r>
      <w:r>
        <w:rPr/>
        <w:t>8A.14.8</w:t>
        <w:tab/>
        <w:t>Application of Chapter 6 under participant</w:t>
      </w:r>
      <w:r>
        <w:rPr>
          <w:spacing w:val="-5"/>
        </w:rPr>
        <w:t> </w:t>
      </w:r>
      <w:r>
        <w:rPr/>
        <w:t>derogation</w:t>
      </w:r>
    </w:p>
    <w:p>
      <w:pPr>
        <w:pStyle w:val="ListParagraph"/>
        <w:numPr>
          <w:ilvl w:val="0"/>
          <w:numId w:val="661"/>
        </w:numPr>
        <w:tabs>
          <w:tab w:pos="1918" w:val="left" w:leader="none"/>
          <w:tab w:pos="1919" w:val="left" w:leader="none"/>
        </w:tabs>
        <w:spacing w:line="240" w:lineRule="auto" w:before="120" w:after="0"/>
        <w:ind w:left="1919" w:right="416" w:hanging="567"/>
        <w:jc w:val="left"/>
        <w:rPr>
          <w:sz w:val="24"/>
        </w:rPr>
      </w:pPr>
      <w:r>
        <w:rPr>
          <w:sz w:val="24"/>
        </w:rPr>
        <w:t>Except as otherwise specified in this rule 8A.14 or Chapter 11, Chapter 6 applies</w:t>
      </w:r>
      <w:r>
        <w:rPr>
          <w:spacing w:val="-1"/>
          <w:sz w:val="24"/>
        </w:rPr>
        <w:t> </w:t>
      </w:r>
      <w:r>
        <w:rPr>
          <w:sz w:val="24"/>
        </w:rPr>
        <w:t>to:</w:t>
      </w:r>
    </w:p>
    <w:p>
      <w:pPr>
        <w:pStyle w:val="ListParagraph"/>
        <w:numPr>
          <w:ilvl w:val="1"/>
          <w:numId w:val="661"/>
        </w:numPr>
        <w:tabs>
          <w:tab w:pos="2485" w:val="left" w:leader="none"/>
          <w:tab w:pos="2486" w:val="left" w:leader="none"/>
        </w:tabs>
        <w:spacing w:line="240" w:lineRule="auto" w:before="120" w:after="0"/>
        <w:ind w:left="2485" w:right="0" w:hanging="567"/>
        <w:jc w:val="left"/>
        <w:rPr>
          <w:sz w:val="24"/>
        </w:rPr>
      </w:pPr>
      <w:r>
        <w:rPr>
          <w:sz w:val="24"/>
        </w:rPr>
        <w:t>the remainder of the current regulatory control period;</w:t>
      </w:r>
      <w:r>
        <w:rPr>
          <w:spacing w:val="-2"/>
          <w:sz w:val="24"/>
        </w:rPr>
        <w:t> </w:t>
      </w:r>
      <w:r>
        <w:rPr>
          <w:sz w:val="24"/>
        </w:rPr>
        <w:t>and</w:t>
      </w:r>
    </w:p>
    <w:p>
      <w:pPr>
        <w:pStyle w:val="ListParagraph"/>
        <w:numPr>
          <w:ilvl w:val="1"/>
          <w:numId w:val="661"/>
        </w:numPr>
        <w:tabs>
          <w:tab w:pos="2485" w:val="left" w:leader="none"/>
          <w:tab w:pos="2486" w:val="left" w:leader="none"/>
        </w:tabs>
        <w:spacing w:line="343" w:lineRule="auto" w:before="120" w:after="0"/>
        <w:ind w:left="1919" w:right="1786" w:firstLine="0"/>
        <w:jc w:val="left"/>
        <w:rPr>
          <w:sz w:val="24"/>
        </w:rPr>
      </w:pPr>
      <w:r>
        <w:rPr>
          <w:sz w:val="24"/>
        </w:rPr>
        <w:t>the making of the subsequent distribution determination, in respect of each NSW</w:t>
      </w:r>
      <w:r>
        <w:rPr>
          <w:spacing w:val="-3"/>
          <w:sz w:val="24"/>
        </w:rPr>
        <w:t> </w:t>
      </w:r>
      <w:r>
        <w:rPr>
          <w:sz w:val="24"/>
        </w:rPr>
        <w:t>DNSP.</w:t>
      </w:r>
    </w:p>
    <w:p>
      <w:pPr>
        <w:pStyle w:val="ListParagraph"/>
        <w:numPr>
          <w:ilvl w:val="0"/>
          <w:numId w:val="661"/>
        </w:numPr>
        <w:tabs>
          <w:tab w:pos="1919" w:val="left" w:leader="none"/>
        </w:tabs>
        <w:spacing w:line="240" w:lineRule="auto" w:before="3" w:after="0"/>
        <w:ind w:left="1919" w:right="415" w:hanging="567"/>
        <w:jc w:val="both"/>
        <w:rPr>
          <w:sz w:val="24"/>
        </w:rPr>
      </w:pPr>
      <w:r>
        <w:rPr>
          <w:sz w:val="24"/>
        </w:rPr>
        <w:t>If clause 8A.14.4 applies in respect of a NSW DNSP, the reference to 'any applicable distribution determination' in clauses 6.18.2(b)(7), 6.18.2(b)(8), 6.18.8(a)(1) and 6.18.8(c) will be taken to be the applicable distribution determination as supplemented by the requirements for the NSW DNSP's </w:t>
      </w:r>
      <w:r>
        <w:rPr>
          <w:i/>
          <w:sz w:val="24"/>
        </w:rPr>
        <w:t>pricing proposal </w:t>
      </w:r>
      <w:r>
        <w:rPr>
          <w:sz w:val="24"/>
        </w:rPr>
        <w:t>under clause</w:t>
      </w:r>
      <w:r>
        <w:rPr>
          <w:spacing w:val="-1"/>
          <w:sz w:val="24"/>
        </w:rPr>
        <w:t> </w:t>
      </w:r>
      <w:r>
        <w:rPr>
          <w:sz w:val="24"/>
        </w:rPr>
        <w:t>8A.14.4(d).</w:t>
      </w:r>
    </w:p>
    <w:p>
      <w:pPr>
        <w:pStyle w:val="ListParagraph"/>
        <w:numPr>
          <w:ilvl w:val="0"/>
          <w:numId w:val="661"/>
        </w:numPr>
        <w:tabs>
          <w:tab w:pos="1919" w:val="left" w:leader="none"/>
        </w:tabs>
        <w:spacing w:line="240" w:lineRule="auto" w:before="120" w:after="0"/>
        <w:ind w:left="1919" w:right="414" w:hanging="567"/>
        <w:jc w:val="both"/>
        <w:rPr>
          <w:sz w:val="24"/>
        </w:rPr>
      </w:pPr>
      <w:r>
        <w:rPr>
          <w:sz w:val="24"/>
        </w:rPr>
        <w:t>For the purposes of the application of clauses 8A.14.4, 8A.14.5 and 8A.14.6 (as applicable) in respect of a NSW DNSP, Chapter 6 and 6A are amended for the remainder of the current regulatory control period and the subsequent regulatory control period as</w:t>
      </w:r>
      <w:r>
        <w:rPr>
          <w:spacing w:val="-2"/>
          <w:sz w:val="24"/>
        </w:rPr>
        <w:t> </w:t>
      </w:r>
      <w:r>
        <w:rPr>
          <w:sz w:val="24"/>
        </w:rPr>
        <w:t>follows:</w:t>
      </w:r>
    </w:p>
    <w:p>
      <w:pPr>
        <w:pStyle w:val="ListParagraph"/>
        <w:numPr>
          <w:ilvl w:val="1"/>
          <w:numId w:val="661"/>
        </w:numPr>
        <w:tabs>
          <w:tab w:pos="2486" w:val="left" w:leader="none"/>
        </w:tabs>
        <w:spacing w:line="240" w:lineRule="auto" w:before="120" w:after="0"/>
        <w:ind w:left="2486" w:right="415" w:hanging="567"/>
        <w:jc w:val="both"/>
        <w:rPr>
          <w:sz w:val="24"/>
        </w:rPr>
      </w:pPr>
      <w:r>
        <w:rPr>
          <w:sz w:val="24"/>
        </w:rPr>
        <w:t>the requirement under the </w:t>
      </w:r>
      <w:r>
        <w:rPr>
          <w:i/>
          <w:sz w:val="24"/>
        </w:rPr>
        <w:t>Rules </w:t>
      </w:r>
      <w:r>
        <w:rPr>
          <w:sz w:val="24"/>
        </w:rPr>
        <w:t>for pricing for </w:t>
      </w:r>
      <w:r>
        <w:rPr>
          <w:i/>
          <w:sz w:val="24"/>
        </w:rPr>
        <w:t>direct control services </w:t>
      </w:r>
      <w:r>
        <w:rPr>
          <w:sz w:val="24"/>
        </w:rPr>
        <w:t>in a </w:t>
      </w:r>
      <w:r>
        <w:rPr>
          <w:i/>
          <w:sz w:val="24"/>
        </w:rPr>
        <w:t>pricing proposal </w:t>
      </w:r>
      <w:r>
        <w:rPr>
          <w:sz w:val="24"/>
        </w:rPr>
        <w:t>to comply with the </w:t>
      </w:r>
      <w:r>
        <w:rPr>
          <w:i/>
          <w:sz w:val="24"/>
        </w:rPr>
        <w:t>tariff structure statement </w:t>
      </w:r>
      <w:r>
        <w:rPr>
          <w:sz w:val="24"/>
        </w:rPr>
        <w:t>does not apply to the extent necessary to allow for the submission of a </w:t>
      </w:r>
      <w:r>
        <w:rPr>
          <w:i/>
          <w:sz w:val="24"/>
        </w:rPr>
        <w:t>pricing proposal </w:t>
      </w:r>
      <w:r>
        <w:rPr>
          <w:sz w:val="24"/>
        </w:rPr>
        <w:t>by a NSW DNSP, and subsequent approval of such </w:t>
      </w:r>
      <w:r>
        <w:rPr>
          <w:i/>
          <w:sz w:val="24"/>
        </w:rPr>
        <w:t>pricing proposal </w:t>
      </w:r>
      <w:r>
        <w:rPr>
          <w:sz w:val="24"/>
        </w:rPr>
        <w:t>by the </w:t>
      </w:r>
      <w:r>
        <w:rPr>
          <w:i/>
          <w:sz w:val="24"/>
        </w:rPr>
        <w:t>AER</w:t>
      </w:r>
      <w:r>
        <w:rPr>
          <w:sz w:val="24"/>
        </w:rPr>
        <w:t>, in accordance with this </w:t>
      </w:r>
      <w:r>
        <w:rPr>
          <w:i/>
          <w:sz w:val="24"/>
        </w:rPr>
        <w:t>participant </w:t>
      </w:r>
      <w:r>
        <w:rPr>
          <w:i/>
          <w:sz w:val="24"/>
        </w:rPr>
        <w:t>derogation</w:t>
      </w:r>
      <w:r>
        <w:rPr>
          <w:sz w:val="24"/>
        </w:rPr>
        <w:t>;</w:t>
      </w:r>
    </w:p>
    <w:p>
      <w:pPr>
        <w:pStyle w:val="ListParagraph"/>
        <w:numPr>
          <w:ilvl w:val="1"/>
          <w:numId w:val="661"/>
        </w:numPr>
        <w:tabs>
          <w:tab w:pos="2486" w:val="left" w:leader="none"/>
        </w:tabs>
        <w:spacing w:line="240" w:lineRule="auto" w:before="120" w:after="0"/>
        <w:ind w:left="2485" w:right="0" w:hanging="567"/>
        <w:jc w:val="both"/>
        <w:rPr>
          <w:sz w:val="24"/>
        </w:rPr>
      </w:pPr>
      <w:r>
        <w:rPr>
          <w:sz w:val="24"/>
        </w:rPr>
        <w:t>if any variation in proposed tariffs occurs as a result</w:t>
      </w:r>
      <w:r>
        <w:rPr>
          <w:spacing w:val="-2"/>
          <w:sz w:val="24"/>
        </w:rPr>
        <w:t> </w:t>
      </w:r>
      <w:r>
        <w:rPr>
          <w:sz w:val="24"/>
        </w:rPr>
        <w:t>of:</w:t>
      </w:r>
    </w:p>
    <w:p>
      <w:pPr>
        <w:pStyle w:val="ListParagraph"/>
        <w:numPr>
          <w:ilvl w:val="2"/>
          <w:numId w:val="661"/>
        </w:numPr>
        <w:tabs>
          <w:tab w:pos="3052" w:val="left" w:leader="none"/>
          <w:tab w:pos="3053" w:val="left" w:leader="none"/>
        </w:tabs>
        <w:spacing w:line="240" w:lineRule="auto" w:before="120" w:after="0"/>
        <w:ind w:left="3052" w:right="0" w:hanging="567"/>
        <w:jc w:val="left"/>
        <w:rPr>
          <w:sz w:val="24"/>
        </w:rPr>
      </w:pPr>
      <w:r>
        <w:rPr>
          <w:sz w:val="24"/>
        </w:rPr>
        <w:t>the remade 2015 determination;</w:t>
      </w:r>
      <w:r>
        <w:rPr>
          <w:spacing w:val="-1"/>
          <w:sz w:val="24"/>
        </w:rPr>
        <w:t> </w:t>
      </w:r>
      <w:r>
        <w:rPr>
          <w:sz w:val="24"/>
        </w:rPr>
        <w:t>or</w:t>
      </w:r>
    </w:p>
    <w:p>
      <w:pPr>
        <w:pStyle w:val="ListParagraph"/>
        <w:numPr>
          <w:ilvl w:val="2"/>
          <w:numId w:val="661"/>
        </w:numPr>
        <w:tabs>
          <w:tab w:pos="3052" w:val="left" w:leader="none"/>
          <w:tab w:pos="3054" w:val="left" w:leader="none"/>
        </w:tabs>
        <w:spacing w:line="240" w:lineRule="auto" w:before="120" w:after="0"/>
        <w:ind w:left="3053" w:right="0" w:hanging="568"/>
        <w:jc w:val="left"/>
        <w:rPr>
          <w:sz w:val="24"/>
        </w:rPr>
      </w:pPr>
      <w:r>
        <w:rPr>
          <w:sz w:val="24"/>
        </w:rPr>
        <w:t>the application of this </w:t>
      </w:r>
      <w:r>
        <w:rPr>
          <w:i/>
          <w:sz w:val="24"/>
        </w:rPr>
        <w:t>participant</w:t>
      </w:r>
      <w:r>
        <w:rPr>
          <w:i/>
          <w:spacing w:val="-1"/>
          <w:sz w:val="24"/>
        </w:rPr>
        <w:t> </w:t>
      </w:r>
      <w:r>
        <w:rPr>
          <w:i/>
          <w:sz w:val="24"/>
        </w:rPr>
        <w:t>derogation</w:t>
      </w:r>
      <w:r>
        <w:rPr>
          <w:sz w:val="24"/>
        </w:rPr>
        <w:t>,</w:t>
      </w:r>
    </w:p>
    <w:p>
      <w:pPr>
        <w:pStyle w:val="BodyText"/>
        <w:ind w:left="2486" w:right="415" w:firstLine="0"/>
        <w:jc w:val="left"/>
      </w:pPr>
      <w:r>
        <w:rPr/>
        <w:t>such variations will be taken to be explained by the relevant NSW DNSP for the purposes of clauses 6.18.2(b)(7A) and 6.18.8(a)(2);</w:t>
      </w:r>
    </w:p>
    <w:p>
      <w:pPr>
        <w:pStyle w:val="ListParagraph"/>
        <w:numPr>
          <w:ilvl w:val="1"/>
          <w:numId w:val="661"/>
        </w:numPr>
        <w:tabs>
          <w:tab w:pos="2486" w:val="left" w:leader="none"/>
        </w:tabs>
        <w:spacing w:line="240" w:lineRule="auto" w:before="120" w:after="0"/>
        <w:ind w:left="2486" w:right="415" w:hanging="567"/>
        <w:jc w:val="both"/>
        <w:rPr>
          <w:sz w:val="24"/>
        </w:rPr>
      </w:pPr>
      <w:r>
        <w:rPr>
          <w:sz w:val="24"/>
        </w:rPr>
        <w:t>to the extent that a NSW DNSP's tariffs vary from tariffs which would result from complying with the pricing principles in clause 6.18.5(e) to (g) due to the application of this </w:t>
      </w:r>
      <w:r>
        <w:rPr>
          <w:i/>
          <w:sz w:val="24"/>
        </w:rPr>
        <w:t>participant derogation</w:t>
      </w:r>
      <w:r>
        <w:rPr>
          <w:sz w:val="24"/>
        </w:rPr>
        <w:t>,</w:t>
      </w:r>
      <w:r>
        <w:rPr>
          <w:spacing w:val="8"/>
          <w:sz w:val="24"/>
        </w:rPr>
        <w:t> </w:t>
      </w:r>
      <w:r>
        <w:rPr>
          <w:sz w:val="24"/>
        </w:rPr>
        <w:t>such</w:t>
      </w:r>
    </w:p>
    <w:p>
      <w:pPr>
        <w:spacing w:after="0" w:line="240" w:lineRule="auto"/>
        <w:jc w:val="both"/>
        <w:rPr>
          <w:sz w:val="24"/>
        </w:rPr>
        <w:sectPr>
          <w:pgSz w:w="11910" w:h="16840"/>
          <w:pgMar w:header="686" w:footer="637" w:top="1320" w:bottom="820" w:left="1200" w:right="1000"/>
        </w:sectPr>
      </w:pPr>
    </w:p>
    <w:p>
      <w:pPr>
        <w:pStyle w:val="BodyText"/>
        <w:spacing w:before="83"/>
        <w:ind w:left="2486" w:right="415" w:firstLine="0"/>
      </w:pPr>
      <w:r>
        <w:rPr/>
        <w:t>variation is taken to be a variation from the pricing principles permitted under clause 6.18.5(c);</w:t>
      </w:r>
    </w:p>
    <w:p>
      <w:pPr>
        <w:pStyle w:val="ListParagraph"/>
        <w:numPr>
          <w:ilvl w:val="1"/>
          <w:numId w:val="661"/>
        </w:numPr>
        <w:tabs>
          <w:tab w:pos="2486" w:val="left" w:leader="none"/>
        </w:tabs>
        <w:spacing w:line="240" w:lineRule="auto" w:before="120" w:after="0"/>
        <w:ind w:left="2486" w:right="415" w:hanging="567"/>
        <w:jc w:val="both"/>
        <w:rPr>
          <w:sz w:val="24"/>
        </w:rPr>
      </w:pPr>
      <w:r>
        <w:rPr>
          <w:sz w:val="24"/>
        </w:rPr>
        <w:t>to the extent that a NSW DNSP's </w:t>
      </w:r>
      <w:r>
        <w:rPr>
          <w:i/>
          <w:sz w:val="24"/>
        </w:rPr>
        <w:t>tariff structure statement </w:t>
      </w:r>
      <w:r>
        <w:rPr>
          <w:sz w:val="24"/>
        </w:rPr>
        <w:t>varies from a </w:t>
      </w:r>
      <w:r>
        <w:rPr>
          <w:i/>
          <w:sz w:val="24"/>
        </w:rPr>
        <w:t>tariff structure statement </w:t>
      </w:r>
      <w:r>
        <w:rPr>
          <w:sz w:val="24"/>
        </w:rPr>
        <w:t>which would result from complying with the </w:t>
      </w:r>
      <w:r>
        <w:rPr>
          <w:i/>
          <w:sz w:val="24"/>
        </w:rPr>
        <w:t>pricing principles for direct control services </w:t>
      </w:r>
      <w:r>
        <w:rPr>
          <w:sz w:val="24"/>
        </w:rPr>
        <w:t>due to the application of this </w:t>
      </w:r>
      <w:r>
        <w:rPr>
          <w:i/>
          <w:sz w:val="24"/>
        </w:rPr>
        <w:t>participant derogation</w:t>
      </w:r>
      <w:r>
        <w:rPr>
          <w:sz w:val="24"/>
        </w:rPr>
        <w:t>, such variation is permitted under the </w:t>
      </w:r>
      <w:r>
        <w:rPr>
          <w:i/>
          <w:sz w:val="24"/>
        </w:rPr>
        <w:t>Rules</w:t>
      </w:r>
      <w:r>
        <w:rPr>
          <w:sz w:val="24"/>
        </w:rPr>
        <w:t>;</w:t>
      </w:r>
    </w:p>
    <w:p>
      <w:pPr>
        <w:pStyle w:val="ListParagraph"/>
        <w:numPr>
          <w:ilvl w:val="1"/>
          <w:numId w:val="661"/>
        </w:numPr>
        <w:tabs>
          <w:tab w:pos="2486" w:val="left" w:leader="none"/>
        </w:tabs>
        <w:spacing w:line="240" w:lineRule="auto" w:before="120" w:after="0"/>
        <w:ind w:left="2486" w:right="415" w:hanging="567"/>
        <w:jc w:val="both"/>
        <w:rPr>
          <w:sz w:val="24"/>
        </w:rPr>
      </w:pPr>
      <w:r>
        <w:rPr>
          <w:sz w:val="24"/>
        </w:rPr>
        <w:t>clause 6.18.6 does not apply to the extent that a NSW DNSP's tariffs vary from tariffs which would otherwise result from complying with clause 6.18.6, due to the application of this </w:t>
      </w:r>
      <w:r>
        <w:rPr>
          <w:i/>
          <w:sz w:val="24"/>
        </w:rPr>
        <w:t>participant</w:t>
      </w:r>
      <w:r>
        <w:rPr>
          <w:i/>
          <w:spacing w:val="-3"/>
          <w:sz w:val="24"/>
        </w:rPr>
        <w:t> </w:t>
      </w:r>
      <w:r>
        <w:rPr>
          <w:i/>
          <w:sz w:val="24"/>
        </w:rPr>
        <w:t>derogation</w:t>
      </w:r>
      <w:r>
        <w:rPr>
          <w:sz w:val="24"/>
        </w:rPr>
        <w:t>;</w:t>
      </w:r>
    </w:p>
    <w:p>
      <w:pPr>
        <w:pStyle w:val="ListParagraph"/>
        <w:numPr>
          <w:ilvl w:val="1"/>
          <w:numId w:val="661"/>
        </w:numPr>
        <w:tabs>
          <w:tab w:pos="2486" w:val="left" w:leader="none"/>
        </w:tabs>
        <w:spacing w:line="240" w:lineRule="auto" w:before="120" w:after="0"/>
        <w:ind w:left="2486" w:right="415" w:hanging="567"/>
        <w:jc w:val="both"/>
        <w:rPr>
          <w:sz w:val="24"/>
        </w:rPr>
      </w:pPr>
      <w:r>
        <w:rPr>
          <w:sz w:val="24"/>
        </w:rPr>
        <w:t>if the </w:t>
      </w:r>
      <w:r>
        <w:rPr>
          <w:i/>
          <w:sz w:val="24"/>
        </w:rPr>
        <w:t>AER </w:t>
      </w:r>
      <w:r>
        <w:rPr>
          <w:sz w:val="24"/>
        </w:rPr>
        <w:t>amends a </w:t>
      </w:r>
      <w:r>
        <w:rPr>
          <w:i/>
          <w:sz w:val="24"/>
        </w:rPr>
        <w:t>pricing proposal </w:t>
      </w:r>
      <w:r>
        <w:rPr>
          <w:sz w:val="24"/>
        </w:rPr>
        <w:t>under clause 6.18.8(b)(2) </w:t>
      </w:r>
      <w:r>
        <w:rPr>
          <w:spacing w:val="-8"/>
          <w:sz w:val="24"/>
        </w:rPr>
        <w:t>or </w:t>
      </w:r>
      <w:r>
        <w:rPr>
          <w:sz w:val="24"/>
        </w:rPr>
        <w:t>6.18.8(c), then in addition to the requirements in clause 6.18.8(c1), the </w:t>
      </w:r>
      <w:r>
        <w:rPr>
          <w:i/>
          <w:sz w:val="24"/>
        </w:rPr>
        <w:t>AER </w:t>
      </w:r>
      <w:r>
        <w:rPr>
          <w:sz w:val="24"/>
        </w:rPr>
        <w:t>must also have regard</w:t>
      </w:r>
      <w:r>
        <w:rPr>
          <w:spacing w:val="-1"/>
          <w:sz w:val="24"/>
        </w:rPr>
        <w:t> </w:t>
      </w:r>
      <w:r>
        <w:rPr>
          <w:sz w:val="24"/>
        </w:rPr>
        <w:t>to:</w:t>
      </w:r>
    </w:p>
    <w:p>
      <w:pPr>
        <w:pStyle w:val="ListParagraph"/>
        <w:numPr>
          <w:ilvl w:val="2"/>
          <w:numId w:val="661"/>
        </w:numPr>
        <w:tabs>
          <w:tab w:pos="3053" w:val="left" w:leader="none"/>
        </w:tabs>
        <w:spacing w:line="240" w:lineRule="auto" w:before="120" w:after="0"/>
        <w:ind w:left="3053" w:right="415" w:hanging="567"/>
        <w:jc w:val="both"/>
        <w:rPr>
          <w:sz w:val="24"/>
        </w:rPr>
      </w:pPr>
      <w:r>
        <w:rPr>
          <w:sz w:val="24"/>
        </w:rPr>
        <w:t>any variation in proposed tariffs that result from the remade 2015 determination;</w:t>
      </w:r>
      <w:r>
        <w:rPr>
          <w:spacing w:val="-1"/>
          <w:sz w:val="24"/>
        </w:rPr>
        <w:t> </w:t>
      </w:r>
      <w:r>
        <w:rPr>
          <w:sz w:val="24"/>
        </w:rPr>
        <w:t>and</w:t>
      </w:r>
    </w:p>
    <w:p>
      <w:pPr>
        <w:pStyle w:val="ListParagraph"/>
        <w:numPr>
          <w:ilvl w:val="2"/>
          <w:numId w:val="661"/>
        </w:numPr>
        <w:tabs>
          <w:tab w:pos="3054" w:val="left" w:leader="none"/>
        </w:tabs>
        <w:spacing w:line="240" w:lineRule="auto" w:before="120" w:after="0"/>
        <w:ind w:left="3053" w:right="415" w:hanging="567"/>
        <w:jc w:val="both"/>
        <w:rPr>
          <w:sz w:val="24"/>
        </w:rPr>
      </w:pPr>
      <w:r>
        <w:rPr>
          <w:sz w:val="24"/>
        </w:rPr>
        <w:t>any variation in proposed tariffs that result from the application of this </w:t>
      </w:r>
      <w:r>
        <w:rPr>
          <w:i/>
          <w:sz w:val="24"/>
        </w:rPr>
        <w:t>participant</w:t>
      </w:r>
      <w:r>
        <w:rPr>
          <w:i/>
          <w:spacing w:val="-1"/>
          <w:sz w:val="24"/>
        </w:rPr>
        <w:t> </w:t>
      </w:r>
      <w:r>
        <w:rPr>
          <w:i/>
          <w:sz w:val="24"/>
        </w:rPr>
        <w:t>derogation</w:t>
      </w:r>
      <w:r>
        <w:rPr>
          <w:sz w:val="24"/>
        </w:rPr>
        <w:t>;</w:t>
      </w:r>
    </w:p>
    <w:p>
      <w:pPr>
        <w:pStyle w:val="ListParagraph"/>
        <w:numPr>
          <w:ilvl w:val="1"/>
          <w:numId w:val="661"/>
        </w:numPr>
        <w:tabs>
          <w:tab w:pos="2486" w:val="left" w:leader="none"/>
        </w:tabs>
        <w:spacing w:line="240" w:lineRule="auto" w:before="120" w:after="0"/>
        <w:ind w:left="2486" w:right="414" w:hanging="567"/>
        <w:jc w:val="both"/>
        <w:rPr>
          <w:sz w:val="24"/>
        </w:rPr>
      </w:pPr>
      <w:r>
        <w:rPr>
          <w:sz w:val="24"/>
        </w:rPr>
        <w:t>if clause 8A.14.6 applies, clause 6.5.9(b)(2) does not apply to </w:t>
      </w:r>
      <w:r>
        <w:rPr>
          <w:spacing w:val="-4"/>
          <w:sz w:val="24"/>
        </w:rPr>
        <w:t>the </w:t>
      </w:r>
      <w:r>
        <w:rPr>
          <w:sz w:val="24"/>
        </w:rPr>
        <w:t>extent necessary to include a revenue increase or revenue decrease (as the case may be) to the </w:t>
      </w:r>
      <w:r>
        <w:rPr>
          <w:i/>
          <w:sz w:val="24"/>
        </w:rPr>
        <w:t>annual revenue requirement </w:t>
      </w:r>
      <w:r>
        <w:rPr>
          <w:sz w:val="24"/>
        </w:rPr>
        <w:t>of one or more regulatory years for the subsequent regulatory control period for the relevant NSW DNSP under clause</w:t>
      </w:r>
      <w:r>
        <w:rPr>
          <w:spacing w:val="-4"/>
          <w:sz w:val="24"/>
        </w:rPr>
        <w:t> </w:t>
      </w:r>
      <w:r>
        <w:rPr>
          <w:sz w:val="24"/>
        </w:rPr>
        <w:t>8A.14.6(c);</w:t>
      </w:r>
    </w:p>
    <w:p>
      <w:pPr>
        <w:pStyle w:val="ListParagraph"/>
        <w:numPr>
          <w:ilvl w:val="1"/>
          <w:numId w:val="661"/>
        </w:numPr>
        <w:tabs>
          <w:tab w:pos="2486" w:val="left" w:leader="none"/>
        </w:tabs>
        <w:spacing w:line="240" w:lineRule="auto" w:before="120" w:after="0"/>
        <w:ind w:left="2486" w:right="416" w:hanging="567"/>
        <w:jc w:val="both"/>
        <w:rPr>
          <w:sz w:val="24"/>
        </w:rPr>
      </w:pPr>
      <w:r>
        <w:rPr>
          <w:sz w:val="24"/>
        </w:rPr>
        <w:t>if clause 8A.14.4 applies, the reference to 'the other revenue increments or decrements' in clauses 6.4.3(a)(6) and 6.4.3(b)(6) </w:t>
      </w:r>
      <w:r>
        <w:rPr>
          <w:spacing w:val="-7"/>
          <w:sz w:val="24"/>
        </w:rPr>
        <w:t>is </w:t>
      </w:r>
      <w:r>
        <w:rPr>
          <w:sz w:val="24"/>
        </w:rPr>
        <w:t>taken to include such increments or decrements as adjusted to the extent necessary to take into account the application of the substituted total annual revenue amount under clause 8A.14.4(d);</w:t>
      </w:r>
      <w:r>
        <w:rPr>
          <w:spacing w:val="-3"/>
          <w:sz w:val="24"/>
        </w:rPr>
        <w:t> </w:t>
      </w:r>
      <w:r>
        <w:rPr>
          <w:sz w:val="24"/>
        </w:rPr>
        <w:t>and</w:t>
      </w:r>
    </w:p>
    <w:p>
      <w:pPr>
        <w:pStyle w:val="ListParagraph"/>
        <w:numPr>
          <w:ilvl w:val="1"/>
          <w:numId w:val="661"/>
        </w:numPr>
        <w:tabs>
          <w:tab w:pos="2486" w:val="left" w:leader="none"/>
        </w:tabs>
        <w:spacing w:line="240" w:lineRule="auto" w:before="120" w:after="0"/>
        <w:ind w:left="2486" w:right="414" w:hanging="567"/>
        <w:jc w:val="both"/>
        <w:rPr>
          <w:sz w:val="24"/>
        </w:rPr>
      </w:pPr>
      <w:r>
        <w:rPr>
          <w:sz w:val="24"/>
        </w:rPr>
        <w:t>if clause 8A.14.5 or 8A.14.6 applies, clauses 6A.23.3(e)(5), (f) and </w:t>
      </w:r>
      <w:r>
        <w:rPr>
          <w:spacing w:val="-4"/>
          <w:sz w:val="24"/>
        </w:rPr>
        <w:t>(g) </w:t>
      </w:r>
      <w:r>
        <w:rPr>
          <w:sz w:val="24"/>
        </w:rPr>
        <w:t>do not apply in respect of any transmission variation</w:t>
      </w:r>
      <w:r>
        <w:rPr>
          <w:spacing w:val="-2"/>
          <w:sz w:val="24"/>
        </w:rPr>
        <w:t> </w:t>
      </w:r>
      <w:r>
        <w:rPr>
          <w:sz w:val="24"/>
        </w:rPr>
        <w:t>amount.</w:t>
      </w:r>
    </w:p>
    <w:p>
      <w:pPr>
        <w:pStyle w:val="BodyText"/>
        <w:spacing w:before="10"/>
        <w:ind w:firstLine="0"/>
        <w:jc w:val="left"/>
        <w:rPr>
          <w:sz w:val="20"/>
        </w:rPr>
      </w:pPr>
    </w:p>
    <w:p>
      <w:pPr>
        <w:tabs>
          <w:tab w:pos="1352" w:val="left" w:leader="none"/>
          <w:tab w:pos="9317" w:val="left" w:leader="none"/>
        </w:tabs>
        <w:spacing w:before="0"/>
        <w:ind w:left="218" w:right="0" w:firstLine="0"/>
        <w:jc w:val="left"/>
        <w:rPr>
          <w:rFonts w:ascii="Arial"/>
          <w:b/>
          <w:sz w:val="28"/>
        </w:rPr>
      </w:pPr>
      <w:bookmarkStart w:name="Part 15 Derogations granted to ActewAGL" w:id="2393"/>
      <w:bookmarkEnd w:id="2393"/>
      <w:r>
        <w:rPr/>
      </w:r>
      <w:bookmarkStart w:name="_bookmark999" w:id="2394"/>
      <w:bookmarkEnd w:id="2394"/>
      <w:r>
        <w:rPr/>
      </w:r>
      <w:r>
        <w:rPr>
          <w:rFonts w:ascii="Arial"/>
          <w:b/>
          <w:sz w:val="28"/>
          <w:shd w:fill="D9D9D9" w:color="auto" w:val="clear"/>
        </w:rPr>
        <w:t>Part</w:t>
      </w:r>
      <w:r>
        <w:rPr>
          <w:rFonts w:ascii="Arial"/>
          <w:b/>
          <w:spacing w:val="-1"/>
          <w:sz w:val="28"/>
          <w:shd w:fill="D9D9D9" w:color="auto" w:val="clear"/>
        </w:rPr>
        <w:t> </w:t>
      </w:r>
      <w:r>
        <w:rPr>
          <w:rFonts w:ascii="Arial"/>
          <w:b/>
          <w:sz w:val="28"/>
          <w:shd w:fill="D9D9D9" w:color="auto" w:val="clear"/>
        </w:rPr>
        <w:t>15</w:t>
        <w:tab/>
        <w:t>Derogations granted to</w:t>
      </w:r>
      <w:r>
        <w:rPr>
          <w:rFonts w:ascii="Arial"/>
          <w:b/>
          <w:spacing w:val="-18"/>
          <w:sz w:val="28"/>
          <w:shd w:fill="D9D9D9" w:color="auto" w:val="clear"/>
        </w:rPr>
        <w:t> </w:t>
      </w:r>
      <w:r>
        <w:rPr>
          <w:rFonts w:ascii="Arial"/>
          <w:b/>
          <w:sz w:val="28"/>
          <w:shd w:fill="D9D9D9" w:color="auto" w:val="clear"/>
        </w:rPr>
        <w:t>ActewAGL</w:t>
        <w:tab/>
      </w:r>
    </w:p>
    <w:p>
      <w:pPr>
        <w:pStyle w:val="Heading3"/>
        <w:tabs>
          <w:tab w:pos="1351" w:val="left" w:leader="none"/>
        </w:tabs>
        <w:spacing w:before="240"/>
        <w:ind w:right="769" w:hanging="1134"/>
      </w:pPr>
      <w:bookmarkStart w:name="8A.15 Derogations from Chapter 6 for the" w:id="2395"/>
      <w:bookmarkEnd w:id="2395"/>
      <w:r>
        <w:rPr>
          <w:b w:val="0"/>
        </w:rPr>
      </w:r>
      <w:bookmarkStart w:name="_bookmark1000" w:id="2396"/>
      <w:bookmarkEnd w:id="2396"/>
      <w:r>
        <w:rPr>
          <w:b w:val="0"/>
        </w:rPr>
      </w:r>
      <w:r>
        <w:rPr/>
        <w:t>8A.15</w:t>
        <w:tab/>
        <w:t>Derogations from Chapter 6 for the current regulatory control period and subsequent regulatory control</w:t>
      </w:r>
      <w:r>
        <w:rPr>
          <w:spacing w:val="-9"/>
        </w:rPr>
        <w:t> </w:t>
      </w:r>
      <w:r>
        <w:rPr/>
        <w:t>period</w:t>
      </w:r>
    </w:p>
    <w:p>
      <w:pPr>
        <w:pStyle w:val="Heading4"/>
        <w:tabs>
          <w:tab w:pos="1351" w:val="left" w:leader="none"/>
        </w:tabs>
        <w:spacing w:before="240"/>
        <w:ind w:left="218" w:firstLine="0"/>
      </w:pPr>
      <w:bookmarkStart w:name="8A.15.1 Definitions" w:id="2397"/>
      <w:bookmarkEnd w:id="2397"/>
      <w:r>
        <w:rPr>
          <w:b w:val="0"/>
        </w:rPr>
      </w:r>
      <w:bookmarkStart w:name="_bookmark1001" w:id="2398"/>
      <w:bookmarkEnd w:id="2398"/>
      <w:r>
        <w:rPr>
          <w:b w:val="0"/>
        </w:rPr>
      </w:r>
      <w:r>
        <w:rPr/>
        <w:t>8A.15.1</w:t>
        <w:tab/>
        <w:t>Definitions</w:t>
      </w:r>
    </w:p>
    <w:p>
      <w:pPr>
        <w:spacing w:before="120"/>
        <w:ind w:left="1352" w:right="0" w:firstLine="0"/>
        <w:jc w:val="both"/>
        <w:rPr>
          <w:sz w:val="24"/>
        </w:rPr>
      </w:pPr>
      <w:r>
        <w:rPr>
          <w:sz w:val="24"/>
        </w:rPr>
        <w:t>In this </w:t>
      </w:r>
      <w:r>
        <w:rPr>
          <w:i/>
          <w:sz w:val="24"/>
        </w:rPr>
        <w:t>participant derogation</w:t>
      </w:r>
      <w:r>
        <w:rPr>
          <w:sz w:val="24"/>
        </w:rPr>
        <w:t>, rule 8A.15:</w:t>
      </w:r>
    </w:p>
    <w:p>
      <w:pPr>
        <w:pStyle w:val="BodyText"/>
        <w:ind w:left="1352" w:right="416" w:firstLine="0"/>
      </w:pPr>
      <w:r>
        <w:rPr>
          <w:b/>
        </w:rPr>
        <w:t>2015 determination </w:t>
      </w:r>
      <w:r>
        <w:rPr/>
        <w:t>means the distribution determination for the current regulatory control period published by the </w:t>
      </w:r>
      <w:r>
        <w:rPr>
          <w:i/>
        </w:rPr>
        <w:t>AER </w:t>
      </w:r>
      <w:r>
        <w:rPr/>
        <w:t>on 30 April 2015 in respect of ActewAGL.</w:t>
      </w:r>
    </w:p>
    <w:p>
      <w:pPr>
        <w:spacing w:before="120"/>
        <w:ind w:left="1352" w:right="415" w:firstLine="0"/>
        <w:jc w:val="both"/>
        <w:rPr>
          <w:sz w:val="24"/>
        </w:rPr>
      </w:pPr>
      <w:r>
        <w:rPr>
          <w:b/>
          <w:sz w:val="24"/>
        </w:rPr>
        <w:t>ActewAGL </w:t>
      </w:r>
      <w:r>
        <w:rPr>
          <w:sz w:val="24"/>
        </w:rPr>
        <w:t>means ActewAGL Distribution, the joint venture between Icon Distribution Investments Limited ACN 073 025 224 and Jemena Networks (ACT) Pty Ltd ACN 008 552 663, which is registered by </w:t>
      </w:r>
      <w:r>
        <w:rPr>
          <w:i/>
          <w:sz w:val="24"/>
        </w:rPr>
        <w:t>AEMO </w:t>
      </w:r>
      <w:r>
        <w:rPr>
          <w:sz w:val="24"/>
        </w:rPr>
        <w:t>as a </w:t>
      </w:r>
      <w:r>
        <w:rPr>
          <w:i/>
          <w:sz w:val="24"/>
        </w:rPr>
        <w:t>Network Service </w:t>
      </w:r>
      <w:r>
        <w:rPr>
          <w:i/>
          <w:sz w:val="24"/>
        </w:rPr>
        <w:t>Provider </w:t>
      </w:r>
      <w:r>
        <w:rPr>
          <w:sz w:val="24"/>
        </w:rPr>
        <w:t>in accordance with section 12(1) of the </w:t>
      </w:r>
      <w:r>
        <w:rPr>
          <w:i/>
          <w:sz w:val="24"/>
        </w:rPr>
        <w:t>National Electricity Law </w:t>
      </w:r>
      <w:r>
        <w:rPr>
          <w:sz w:val="24"/>
        </w:rPr>
        <w:t>and clause 2.5.1 of the </w:t>
      </w:r>
      <w:r>
        <w:rPr>
          <w:i/>
          <w:sz w:val="24"/>
        </w:rPr>
        <w:t>Rules </w:t>
      </w:r>
      <w:r>
        <w:rPr>
          <w:sz w:val="24"/>
        </w:rPr>
        <w:t>to own, control and operate the </w:t>
      </w:r>
      <w:r>
        <w:rPr>
          <w:i/>
          <w:sz w:val="24"/>
        </w:rPr>
        <w:t>distribution system </w:t>
      </w:r>
      <w:r>
        <w:rPr>
          <w:sz w:val="24"/>
        </w:rPr>
        <w:t>in the Australian Capital Territory, or any successor to its business.</w:t>
      </w:r>
    </w:p>
    <w:p>
      <w:pPr>
        <w:spacing w:after="0"/>
        <w:jc w:val="both"/>
        <w:rPr>
          <w:sz w:val="24"/>
        </w:rPr>
        <w:sectPr>
          <w:pgSz w:w="11910" w:h="16840"/>
          <w:pgMar w:header="686" w:footer="637" w:top="1320" w:bottom="820" w:left="1200" w:right="1000"/>
        </w:sectPr>
      </w:pPr>
    </w:p>
    <w:p>
      <w:pPr>
        <w:spacing w:before="83"/>
        <w:ind w:left="1352" w:right="0" w:firstLine="0"/>
        <w:jc w:val="left"/>
        <w:rPr>
          <w:sz w:val="24"/>
        </w:rPr>
      </w:pPr>
      <w:r>
        <w:rPr>
          <w:b/>
          <w:sz w:val="24"/>
        </w:rPr>
        <w:t>adjustment amount </w:t>
      </w:r>
      <w:r>
        <w:rPr>
          <w:sz w:val="24"/>
        </w:rPr>
        <w:t>means an amount that operates as if it were:</w:t>
      </w:r>
    </w:p>
    <w:p>
      <w:pPr>
        <w:pStyle w:val="ListParagraph"/>
        <w:numPr>
          <w:ilvl w:val="0"/>
          <w:numId w:val="662"/>
        </w:numPr>
        <w:tabs>
          <w:tab w:pos="1918" w:val="left" w:leader="none"/>
          <w:tab w:pos="1919" w:val="left" w:leader="none"/>
        </w:tabs>
        <w:spacing w:line="240" w:lineRule="auto" w:before="120" w:after="0"/>
        <w:ind w:left="1918" w:right="0" w:hanging="567"/>
        <w:jc w:val="left"/>
        <w:rPr>
          <w:sz w:val="24"/>
        </w:rPr>
      </w:pPr>
      <w:r>
        <w:rPr>
          <w:sz w:val="24"/>
        </w:rPr>
        <w:t>a revenue increase;</w:t>
      </w:r>
      <w:r>
        <w:rPr>
          <w:spacing w:val="-1"/>
          <w:sz w:val="24"/>
        </w:rPr>
        <w:t> </w:t>
      </w:r>
      <w:r>
        <w:rPr>
          <w:sz w:val="24"/>
        </w:rPr>
        <w:t>or</w:t>
      </w:r>
    </w:p>
    <w:p>
      <w:pPr>
        <w:pStyle w:val="ListParagraph"/>
        <w:numPr>
          <w:ilvl w:val="0"/>
          <w:numId w:val="662"/>
        </w:numPr>
        <w:tabs>
          <w:tab w:pos="1918" w:val="left" w:leader="none"/>
          <w:tab w:pos="1919" w:val="left" w:leader="none"/>
        </w:tabs>
        <w:spacing w:line="240" w:lineRule="auto" w:before="120" w:after="0"/>
        <w:ind w:left="1918" w:right="0" w:hanging="567"/>
        <w:jc w:val="left"/>
        <w:rPr>
          <w:sz w:val="24"/>
        </w:rPr>
      </w:pPr>
      <w:r>
        <w:rPr>
          <w:sz w:val="24"/>
        </w:rPr>
        <w:t>a revenue</w:t>
      </w:r>
      <w:r>
        <w:rPr>
          <w:spacing w:val="-1"/>
          <w:sz w:val="24"/>
        </w:rPr>
        <w:t> </w:t>
      </w:r>
      <w:r>
        <w:rPr>
          <w:sz w:val="24"/>
        </w:rPr>
        <w:t>decrease,</w:t>
      </w:r>
    </w:p>
    <w:p>
      <w:pPr>
        <w:pStyle w:val="BodyText"/>
        <w:ind w:left="1352" w:right="415" w:firstLine="0"/>
      </w:pPr>
      <w:r>
        <w:rPr/>
        <w:t>to the total revenue for distribution standard control services that may be earned by ActewAGL for the final regulatory year of the current regulatory control period in accordance</w:t>
      </w:r>
      <w:r>
        <w:rPr>
          <w:spacing w:val="-1"/>
        </w:rPr>
        <w:t> </w:t>
      </w:r>
      <w:r>
        <w:rPr/>
        <w:t>with:</w:t>
      </w:r>
    </w:p>
    <w:p>
      <w:pPr>
        <w:pStyle w:val="ListParagraph"/>
        <w:numPr>
          <w:ilvl w:val="0"/>
          <w:numId w:val="662"/>
        </w:numPr>
        <w:tabs>
          <w:tab w:pos="1918" w:val="left" w:leader="none"/>
          <w:tab w:pos="1919" w:val="left" w:leader="none"/>
        </w:tabs>
        <w:spacing w:line="240" w:lineRule="auto" w:before="120" w:after="0"/>
        <w:ind w:left="1918" w:right="0" w:hanging="567"/>
        <w:jc w:val="left"/>
        <w:rPr>
          <w:sz w:val="24"/>
        </w:rPr>
      </w:pPr>
      <w:r>
        <w:rPr>
          <w:sz w:val="24"/>
        </w:rPr>
        <w:t>the formulae that give effect to the applicable control</w:t>
      </w:r>
      <w:r>
        <w:rPr>
          <w:spacing w:val="-3"/>
          <w:sz w:val="24"/>
        </w:rPr>
        <w:t> </w:t>
      </w:r>
      <w:r>
        <w:rPr>
          <w:sz w:val="24"/>
        </w:rPr>
        <w:t>mechanism;</w:t>
      </w:r>
    </w:p>
    <w:p>
      <w:pPr>
        <w:pStyle w:val="ListParagraph"/>
        <w:numPr>
          <w:ilvl w:val="0"/>
          <w:numId w:val="662"/>
        </w:numPr>
        <w:tabs>
          <w:tab w:pos="1918" w:val="left" w:leader="none"/>
          <w:tab w:pos="1919" w:val="left" w:leader="none"/>
        </w:tabs>
        <w:spacing w:line="240" w:lineRule="auto" w:before="120" w:after="0"/>
        <w:ind w:left="1918" w:right="0" w:hanging="567"/>
        <w:jc w:val="left"/>
        <w:rPr>
          <w:sz w:val="24"/>
        </w:rPr>
      </w:pPr>
      <w:r>
        <w:rPr>
          <w:sz w:val="24"/>
        </w:rPr>
        <w:t>the applicable forecast demand (kWh);</w:t>
      </w:r>
      <w:r>
        <w:rPr>
          <w:spacing w:val="-1"/>
          <w:sz w:val="24"/>
        </w:rPr>
        <w:t> </w:t>
      </w:r>
      <w:r>
        <w:rPr>
          <w:sz w:val="24"/>
        </w:rPr>
        <w:t>and</w:t>
      </w:r>
    </w:p>
    <w:p>
      <w:pPr>
        <w:pStyle w:val="ListParagraph"/>
        <w:numPr>
          <w:ilvl w:val="0"/>
          <w:numId w:val="662"/>
        </w:numPr>
        <w:tabs>
          <w:tab w:pos="1918" w:val="left" w:leader="none"/>
          <w:tab w:pos="1919" w:val="left" w:leader="none"/>
        </w:tabs>
        <w:spacing w:line="343" w:lineRule="auto" w:before="120" w:after="0"/>
        <w:ind w:left="1352" w:right="3607" w:firstLine="0"/>
        <w:jc w:val="left"/>
        <w:rPr>
          <w:sz w:val="24"/>
        </w:rPr>
      </w:pPr>
      <w:r>
        <w:rPr>
          <w:sz w:val="24"/>
        </w:rPr>
        <w:t>the applicable </w:t>
      </w:r>
      <w:r>
        <w:rPr>
          <w:i/>
          <w:sz w:val="24"/>
        </w:rPr>
        <w:t>annual revenue requirement</w:t>
      </w:r>
      <w:r>
        <w:rPr>
          <w:sz w:val="24"/>
        </w:rPr>
        <w:t>, under the remade 2015</w:t>
      </w:r>
      <w:r>
        <w:rPr>
          <w:spacing w:val="-1"/>
          <w:sz w:val="24"/>
        </w:rPr>
        <w:t> </w:t>
      </w:r>
      <w:r>
        <w:rPr>
          <w:sz w:val="24"/>
        </w:rPr>
        <w:t>determination.</w:t>
      </w:r>
    </w:p>
    <w:p>
      <w:pPr>
        <w:spacing w:before="3"/>
        <w:ind w:left="1352" w:right="0" w:firstLine="0"/>
        <w:jc w:val="left"/>
        <w:rPr>
          <w:sz w:val="24"/>
        </w:rPr>
      </w:pPr>
      <w:r>
        <w:rPr>
          <w:b/>
          <w:sz w:val="24"/>
        </w:rPr>
        <w:t>adjustment determination </w:t>
      </w:r>
      <w:r>
        <w:rPr>
          <w:sz w:val="24"/>
        </w:rPr>
        <w:t>means the </w:t>
      </w:r>
      <w:r>
        <w:rPr>
          <w:i/>
          <w:sz w:val="24"/>
        </w:rPr>
        <w:t>AER's </w:t>
      </w:r>
      <w:r>
        <w:rPr>
          <w:sz w:val="24"/>
        </w:rPr>
        <w:t>determination:</w:t>
      </w:r>
    </w:p>
    <w:p>
      <w:pPr>
        <w:pStyle w:val="ListParagraph"/>
        <w:numPr>
          <w:ilvl w:val="0"/>
          <w:numId w:val="663"/>
        </w:numPr>
        <w:tabs>
          <w:tab w:pos="1919" w:val="left" w:leader="none"/>
        </w:tabs>
        <w:spacing w:line="240" w:lineRule="auto" w:before="120" w:after="0"/>
        <w:ind w:left="1919" w:right="414" w:hanging="567"/>
        <w:jc w:val="both"/>
        <w:rPr>
          <w:sz w:val="24"/>
        </w:rPr>
      </w:pPr>
      <w:r>
        <w:rPr>
          <w:sz w:val="24"/>
        </w:rPr>
        <w:t>if clause 8A.15.4 applies, of whether there is, and the relevant amounts of, an adjustment amount (including any adjustments made under clause 8A.15.4(d)(1)(ii) and 8A.15.4(d)(2)(ii)) and a subsequent adjustment amount;</w:t>
      </w:r>
      <w:r>
        <w:rPr>
          <w:spacing w:val="-1"/>
          <w:sz w:val="24"/>
        </w:rPr>
        <w:t> </w:t>
      </w:r>
      <w:r>
        <w:rPr>
          <w:sz w:val="24"/>
        </w:rPr>
        <w:t>or</w:t>
      </w:r>
    </w:p>
    <w:p>
      <w:pPr>
        <w:pStyle w:val="ListParagraph"/>
        <w:numPr>
          <w:ilvl w:val="0"/>
          <w:numId w:val="663"/>
        </w:numPr>
        <w:tabs>
          <w:tab w:pos="1919" w:val="left" w:leader="none"/>
        </w:tabs>
        <w:spacing w:line="240" w:lineRule="auto" w:before="120" w:after="0"/>
        <w:ind w:left="1919" w:right="414" w:hanging="567"/>
        <w:jc w:val="both"/>
        <w:rPr>
          <w:sz w:val="24"/>
        </w:rPr>
      </w:pPr>
      <w:r>
        <w:rPr>
          <w:sz w:val="24"/>
        </w:rPr>
        <w:t>if clause 8A.15.5 or 8A.15.6 applies, of the relevant amounts of </w:t>
      </w:r>
      <w:r>
        <w:rPr>
          <w:spacing w:val="-4"/>
          <w:sz w:val="24"/>
        </w:rPr>
        <w:t>the </w:t>
      </w:r>
      <w:r>
        <w:rPr>
          <w:sz w:val="24"/>
        </w:rPr>
        <w:t>distribution variation amount, transmission variation amount and </w:t>
      </w:r>
      <w:r>
        <w:rPr>
          <w:spacing w:val="-3"/>
          <w:sz w:val="24"/>
        </w:rPr>
        <w:t>metering </w:t>
      </w:r>
      <w:r>
        <w:rPr>
          <w:sz w:val="24"/>
        </w:rPr>
        <w:t>variation</w:t>
      </w:r>
      <w:r>
        <w:rPr>
          <w:spacing w:val="-1"/>
          <w:sz w:val="24"/>
        </w:rPr>
        <w:t> </w:t>
      </w:r>
      <w:r>
        <w:rPr>
          <w:sz w:val="24"/>
        </w:rPr>
        <w:t>amount.</w:t>
      </w:r>
    </w:p>
    <w:p>
      <w:pPr>
        <w:pStyle w:val="BodyText"/>
        <w:ind w:left="1352" w:right="414" w:firstLine="0"/>
      </w:pPr>
      <w:r>
        <w:rPr>
          <w:b/>
        </w:rPr>
        <w:t>current regulatory control period </w:t>
      </w:r>
      <w:r>
        <w:rPr/>
        <w:t>means the period of five years that commenced on 1 July 2014 and ends on 30 June 2019, which includes ActewAGL's 'transitional regulatory control period' and 'subsequent regulatory control period' as those terms are defined in clause 11.55.1.</w:t>
      </w:r>
    </w:p>
    <w:p>
      <w:pPr>
        <w:spacing w:before="120"/>
        <w:ind w:left="1352" w:right="417" w:firstLine="0"/>
        <w:jc w:val="both"/>
        <w:rPr>
          <w:sz w:val="24"/>
        </w:rPr>
      </w:pPr>
      <w:r>
        <w:rPr>
          <w:b/>
          <w:sz w:val="24"/>
        </w:rPr>
        <w:t>distribution standard control services </w:t>
      </w:r>
      <w:r>
        <w:rPr>
          <w:sz w:val="24"/>
        </w:rPr>
        <w:t>means </w:t>
      </w:r>
      <w:r>
        <w:rPr>
          <w:i/>
          <w:sz w:val="24"/>
        </w:rPr>
        <w:t>standard control services </w:t>
      </w:r>
      <w:r>
        <w:rPr>
          <w:sz w:val="24"/>
        </w:rPr>
        <w:t>provided by ActewAGL other than </w:t>
      </w:r>
      <w:r>
        <w:rPr>
          <w:i/>
          <w:sz w:val="24"/>
        </w:rPr>
        <w:t>transmission standard control services</w:t>
      </w:r>
      <w:r>
        <w:rPr>
          <w:sz w:val="24"/>
        </w:rPr>
        <w:t>.</w:t>
      </w:r>
    </w:p>
    <w:p>
      <w:pPr>
        <w:spacing w:before="120"/>
        <w:ind w:left="1352" w:right="0" w:firstLine="0"/>
        <w:jc w:val="both"/>
        <w:rPr>
          <w:sz w:val="24"/>
        </w:rPr>
      </w:pPr>
      <w:r>
        <w:rPr>
          <w:b/>
          <w:sz w:val="24"/>
        </w:rPr>
        <w:t>distribution variation amount </w:t>
      </w:r>
      <w:r>
        <w:rPr>
          <w:sz w:val="24"/>
        </w:rPr>
        <w:t>means an amount equal to:</w:t>
      </w:r>
    </w:p>
    <w:p>
      <w:pPr>
        <w:pStyle w:val="ListParagraph"/>
        <w:numPr>
          <w:ilvl w:val="0"/>
          <w:numId w:val="664"/>
        </w:numPr>
        <w:tabs>
          <w:tab w:pos="1919" w:val="left" w:leader="none"/>
        </w:tabs>
        <w:spacing w:line="240" w:lineRule="auto" w:before="120" w:after="0"/>
        <w:ind w:left="1919" w:right="415" w:hanging="567"/>
        <w:jc w:val="both"/>
        <w:rPr>
          <w:sz w:val="24"/>
        </w:rPr>
      </w:pPr>
      <w:r>
        <w:rPr>
          <w:sz w:val="24"/>
        </w:rPr>
        <w:t>the sum of the total revenue for distribution standard control services for ActewAGL for each regulatory year of the current regulatory control period in accordance</w:t>
      </w:r>
      <w:r>
        <w:rPr>
          <w:spacing w:val="-1"/>
          <w:sz w:val="24"/>
        </w:rPr>
        <w:t> </w:t>
      </w:r>
      <w:r>
        <w:rPr>
          <w:sz w:val="24"/>
        </w:rPr>
        <w:t>with:</w:t>
      </w:r>
    </w:p>
    <w:p>
      <w:pPr>
        <w:pStyle w:val="ListParagraph"/>
        <w:numPr>
          <w:ilvl w:val="1"/>
          <w:numId w:val="664"/>
        </w:numPr>
        <w:tabs>
          <w:tab w:pos="2485" w:val="left" w:leader="none"/>
          <w:tab w:pos="2486" w:val="left" w:leader="none"/>
        </w:tabs>
        <w:spacing w:line="240" w:lineRule="auto" w:before="120" w:after="0"/>
        <w:ind w:left="2485" w:right="0" w:hanging="567"/>
        <w:jc w:val="left"/>
        <w:rPr>
          <w:sz w:val="24"/>
        </w:rPr>
      </w:pPr>
      <w:r>
        <w:rPr>
          <w:sz w:val="24"/>
        </w:rPr>
        <w:t>the formulae that give effect to the applicable control</w:t>
      </w:r>
      <w:r>
        <w:rPr>
          <w:spacing w:val="-4"/>
          <w:sz w:val="24"/>
        </w:rPr>
        <w:t> </w:t>
      </w:r>
      <w:r>
        <w:rPr>
          <w:sz w:val="24"/>
        </w:rPr>
        <w:t>mechanism;</w:t>
      </w:r>
    </w:p>
    <w:p>
      <w:pPr>
        <w:pStyle w:val="ListParagraph"/>
        <w:numPr>
          <w:ilvl w:val="1"/>
          <w:numId w:val="664"/>
        </w:numPr>
        <w:tabs>
          <w:tab w:pos="2485" w:val="left" w:leader="none"/>
          <w:tab w:pos="2486" w:val="left" w:leader="none"/>
        </w:tabs>
        <w:spacing w:line="240" w:lineRule="auto" w:before="120" w:after="0"/>
        <w:ind w:left="2485" w:right="0" w:hanging="567"/>
        <w:jc w:val="left"/>
        <w:rPr>
          <w:sz w:val="24"/>
        </w:rPr>
      </w:pPr>
      <w:r>
        <w:rPr>
          <w:sz w:val="24"/>
        </w:rPr>
        <w:t>the applicable forecast demand (kWh);</w:t>
      </w:r>
      <w:r>
        <w:rPr>
          <w:spacing w:val="-1"/>
          <w:sz w:val="24"/>
        </w:rPr>
        <w:t> </w:t>
      </w:r>
      <w:r>
        <w:rPr>
          <w:sz w:val="24"/>
        </w:rPr>
        <w:t>and</w:t>
      </w:r>
    </w:p>
    <w:p>
      <w:pPr>
        <w:pStyle w:val="ListParagraph"/>
        <w:numPr>
          <w:ilvl w:val="1"/>
          <w:numId w:val="664"/>
        </w:numPr>
        <w:tabs>
          <w:tab w:pos="2485" w:val="left" w:leader="none"/>
          <w:tab w:pos="2486" w:val="left" w:leader="none"/>
        </w:tabs>
        <w:spacing w:line="343" w:lineRule="auto" w:before="120" w:after="0"/>
        <w:ind w:left="1919" w:right="3040" w:firstLine="0"/>
        <w:jc w:val="left"/>
        <w:rPr>
          <w:sz w:val="24"/>
        </w:rPr>
      </w:pPr>
      <w:r>
        <w:rPr>
          <w:sz w:val="24"/>
        </w:rPr>
        <w:t>the applicable </w:t>
      </w:r>
      <w:r>
        <w:rPr>
          <w:i/>
          <w:sz w:val="24"/>
        </w:rPr>
        <w:t>annual revenue requirement</w:t>
      </w:r>
      <w:r>
        <w:rPr>
          <w:sz w:val="24"/>
        </w:rPr>
        <w:t>, under the remade 2015 determination;</w:t>
      </w:r>
      <w:r>
        <w:rPr>
          <w:spacing w:val="-2"/>
          <w:sz w:val="24"/>
        </w:rPr>
        <w:t> </w:t>
      </w:r>
      <w:r>
        <w:rPr>
          <w:sz w:val="24"/>
        </w:rPr>
        <w:t>minus</w:t>
      </w:r>
    </w:p>
    <w:p>
      <w:pPr>
        <w:pStyle w:val="ListParagraph"/>
        <w:numPr>
          <w:ilvl w:val="0"/>
          <w:numId w:val="664"/>
        </w:numPr>
        <w:tabs>
          <w:tab w:pos="1918" w:val="left" w:leader="none"/>
          <w:tab w:pos="1919" w:val="left" w:leader="none"/>
        </w:tabs>
        <w:spacing w:line="240" w:lineRule="auto" w:before="3" w:after="0"/>
        <w:ind w:left="1918" w:right="0" w:hanging="567"/>
        <w:jc w:val="left"/>
        <w:rPr>
          <w:sz w:val="24"/>
        </w:rPr>
      </w:pPr>
      <w:r>
        <w:rPr>
          <w:sz w:val="24"/>
        </w:rPr>
        <w:t>the sum</w:t>
      </w:r>
      <w:r>
        <w:rPr>
          <w:spacing w:val="-2"/>
          <w:sz w:val="24"/>
        </w:rPr>
        <w:t> </w:t>
      </w:r>
      <w:r>
        <w:rPr>
          <w:sz w:val="24"/>
        </w:rPr>
        <w:t>of:</w:t>
      </w:r>
    </w:p>
    <w:p>
      <w:pPr>
        <w:pStyle w:val="ListParagraph"/>
        <w:numPr>
          <w:ilvl w:val="1"/>
          <w:numId w:val="664"/>
        </w:numPr>
        <w:tabs>
          <w:tab w:pos="2486" w:val="left" w:leader="none"/>
        </w:tabs>
        <w:spacing w:line="240" w:lineRule="auto" w:before="120" w:after="0"/>
        <w:ind w:left="2486" w:right="416" w:hanging="567"/>
        <w:jc w:val="both"/>
        <w:rPr>
          <w:sz w:val="24"/>
        </w:rPr>
      </w:pPr>
      <w:r>
        <w:rPr>
          <w:sz w:val="24"/>
        </w:rPr>
        <w:t>the total revenue for distribution standard control services for ActewAGL for the first and second regulatory years of the current regulatory control period in accordance</w:t>
      </w:r>
      <w:r>
        <w:rPr>
          <w:spacing w:val="-2"/>
          <w:sz w:val="24"/>
        </w:rPr>
        <w:t> </w:t>
      </w:r>
      <w:r>
        <w:rPr>
          <w:sz w:val="24"/>
        </w:rPr>
        <w:t>with:</w:t>
      </w:r>
    </w:p>
    <w:p>
      <w:pPr>
        <w:pStyle w:val="ListParagraph"/>
        <w:numPr>
          <w:ilvl w:val="2"/>
          <w:numId w:val="664"/>
        </w:numPr>
        <w:tabs>
          <w:tab w:pos="3052" w:val="left" w:leader="none"/>
          <w:tab w:pos="3053" w:val="left" w:leader="none"/>
          <w:tab w:pos="3547" w:val="left" w:leader="none"/>
          <w:tab w:pos="4615" w:val="left" w:leader="none"/>
          <w:tab w:pos="5176" w:val="left" w:leader="none"/>
          <w:tab w:pos="5791" w:val="left" w:leader="none"/>
          <w:tab w:pos="6538" w:val="left" w:leader="none"/>
          <w:tab w:pos="6927" w:val="left" w:leader="none"/>
          <w:tab w:pos="7421" w:val="left" w:leader="none"/>
          <w:tab w:pos="8609" w:val="left" w:leader="none"/>
        </w:tabs>
        <w:spacing w:line="240" w:lineRule="auto" w:before="120" w:after="0"/>
        <w:ind w:left="3053" w:right="414" w:hanging="567"/>
        <w:jc w:val="left"/>
        <w:rPr>
          <w:sz w:val="24"/>
        </w:rPr>
      </w:pPr>
      <w:r>
        <w:rPr>
          <w:sz w:val="24"/>
        </w:rPr>
        <w:t>the</w:t>
        <w:tab/>
        <w:t>formulae</w:t>
        <w:tab/>
        <w:t>that</w:t>
        <w:tab/>
        <w:t>give</w:t>
        <w:tab/>
        <w:t>effect</w:t>
        <w:tab/>
        <w:t>to</w:t>
        <w:tab/>
        <w:t>the</w:t>
        <w:tab/>
        <w:t>applicable</w:t>
        <w:tab/>
      </w:r>
      <w:r>
        <w:rPr>
          <w:spacing w:val="-3"/>
          <w:sz w:val="24"/>
        </w:rPr>
        <w:t>control </w:t>
      </w:r>
      <w:r>
        <w:rPr>
          <w:sz w:val="24"/>
        </w:rPr>
        <w:t>mechanism;</w:t>
      </w:r>
    </w:p>
    <w:p>
      <w:pPr>
        <w:pStyle w:val="ListParagraph"/>
        <w:numPr>
          <w:ilvl w:val="2"/>
          <w:numId w:val="664"/>
        </w:numPr>
        <w:tabs>
          <w:tab w:pos="3052" w:val="left" w:leader="none"/>
          <w:tab w:pos="3054" w:val="left" w:leader="none"/>
        </w:tabs>
        <w:spacing w:line="240" w:lineRule="auto" w:before="120" w:after="0"/>
        <w:ind w:left="3053" w:right="0" w:hanging="568"/>
        <w:jc w:val="left"/>
        <w:rPr>
          <w:sz w:val="24"/>
        </w:rPr>
      </w:pPr>
      <w:r>
        <w:rPr>
          <w:sz w:val="24"/>
        </w:rPr>
        <w:t>the applicable forecast demand (kWh);</w:t>
      </w:r>
      <w:r>
        <w:rPr>
          <w:spacing w:val="-1"/>
          <w:sz w:val="24"/>
        </w:rPr>
        <w:t> </w:t>
      </w:r>
      <w:r>
        <w:rPr>
          <w:sz w:val="24"/>
        </w:rPr>
        <w:t>and</w:t>
      </w:r>
    </w:p>
    <w:p>
      <w:pPr>
        <w:pStyle w:val="ListParagraph"/>
        <w:numPr>
          <w:ilvl w:val="2"/>
          <w:numId w:val="664"/>
        </w:numPr>
        <w:tabs>
          <w:tab w:pos="3052" w:val="left" w:leader="none"/>
          <w:tab w:pos="3053" w:val="left" w:leader="none"/>
        </w:tabs>
        <w:spacing w:line="240" w:lineRule="auto" w:before="120" w:after="0"/>
        <w:ind w:left="3052" w:right="0" w:hanging="567"/>
        <w:jc w:val="left"/>
        <w:rPr>
          <w:sz w:val="24"/>
        </w:rPr>
      </w:pPr>
      <w:r>
        <w:rPr>
          <w:sz w:val="24"/>
        </w:rPr>
        <w:t>the applicable </w:t>
      </w:r>
      <w:r>
        <w:rPr>
          <w:i/>
          <w:sz w:val="24"/>
        </w:rPr>
        <w:t>annual revenue</w:t>
      </w:r>
      <w:r>
        <w:rPr>
          <w:i/>
          <w:spacing w:val="-2"/>
          <w:sz w:val="24"/>
        </w:rPr>
        <w:t> </w:t>
      </w:r>
      <w:r>
        <w:rPr>
          <w:i/>
          <w:sz w:val="24"/>
        </w:rPr>
        <w:t>requirement</w:t>
      </w:r>
      <w:r>
        <w:rPr>
          <w:sz w:val="24"/>
        </w:rPr>
        <w:t>,</w:t>
      </w:r>
    </w:p>
    <w:p>
      <w:pPr>
        <w:spacing w:after="0" w:line="240" w:lineRule="auto"/>
        <w:jc w:val="left"/>
        <w:rPr>
          <w:sz w:val="24"/>
        </w:rPr>
        <w:sectPr>
          <w:pgSz w:w="11910" w:h="16840"/>
          <w:pgMar w:header="686" w:footer="637" w:top="1320" w:bottom="820" w:left="1200" w:right="1000"/>
        </w:sectPr>
      </w:pPr>
    </w:p>
    <w:p>
      <w:pPr>
        <w:pStyle w:val="BodyText"/>
        <w:spacing w:before="83"/>
        <w:ind w:left="2486" w:firstLine="0"/>
      </w:pPr>
      <w:r>
        <w:rPr/>
        <w:t>under the 2015 determination; plus</w:t>
      </w:r>
    </w:p>
    <w:p>
      <w:pPr>
        <w:pStyle w:val="ListParagraph"/>
        <w:numPr>
          <w:ilvl w:val="1"/>
          <w:numId w:val="664"/>
        </w:numPr>
        <w:tabs>
          <w:tab w:pos="2486" w:val="left" w:leader="none"/>
        </w:tabs>
        <w:spacing w:line="240" w:lineRule="auto" w:before="120" w:after="0"/>
        <w:ind w:left="2486" w:right="415" w:hanging="567"/>
        <w:jc w:val="both"/>
        <w:rPr>
          <w:sz w:val="24"/>
        </w:rPr>
      </w:pPr>
      <w:r>
        <w:rPr>
          <w:sz w:val="24"/>
        </w:rPr>
        <w:t>the total revenue for distribution standard control services for ActewAGL for the third, fourth and final regulatory years of the current regulatory control period under the undertakings that apply for those regulatory</w:t>
      </w:r>
      <w:r>
        <w:rPr>
          <w:spacing w:val="-1"/>
          <w:sz w:val="24"/>
        </w:rPr>
        <w:t> </w:t>
      </w:r>
      <w:r>
        <w:rPr>
          <w:sz w:val="24"/>
        </w:rPr>
        <w:t>years,</w:t>
      </w:r>
    </w:p>
    <w:p>
      <w:pPr>
        <w:pStyle w:val="BodyText"/>
        <w:ind w:left="1352" w:right="414" w:firstLine="0"/>
      </w:pPr>
      <w:r>
        <w:rPr/>
        <w:t>provided that such amount includes any adjustments necessary for the </w:t>
      </w:r>
      <w:r>
        <w:rPr>
          <w:i/>
        </w:rPr>
        <w:t>AER </w:t>
      </w:r>
      <w:r>
        <w:rPr/>
        <w:t>to be satisfied that the amount achieves the revenue recovery principle under clause 8A.15.5(d) or 8A.15.6(d) (as the case may be).</w:t>
      </w:r>
    </w:p>
    <w:p>
      <w:pPr>
        <w:pStyle w:val="BodyText"/>
        <w:ind w:left="1352" w:right="415" w:firstLine="0"/>
      </w:pPr>
      <w:r>
        <w:rPr>
          <w:b/>
        </w:rPr>
        <w:t>metering services </w:t>
      </w:r>
      <w:r>
        <w:rPr/>
        <w:t>means type 5 and 6 metering services classified as </w:t>
      </w:r>
      <w:r>
        <w:rPr>
          <w:i/>
        </w:rPr>
        <w:t>alternative </w:t>
      </w:r>
      <w:r>
        <w:rPr>
          <w:i/>
        </w:rPr>
        <w:t>control services </w:t>
      </w:r>
      <w:r>
        <w:rPr/>
        <w:t>and in respect of which annual metering service charges are specified in the remade 2015 determination or 2015 determination (as the case may be).</w:t>
      </w:r>
    </w:p>
    <w:p>
      <w:pPr>
        <w:spacing w:before="120"/>
        <w:ind w:left="1352" w:right="0" w:firstLine="0"/>
        <w:jc w:val="both"/>
        <w:rPr>
          <w:sz w:val="24"/>
        </w:rPr>
      </w:pPr>
      <w:r>
        <w:rPr>
          <w:b/>
          <w:sz w:val="24"/>
        </w:rPr>
        <w:t>metering variation amount </w:t>
      </w:r>
      <w:r>
        <w:rPr>
          <w:sz w:val="24"/>
        </w:rPr>
        <w:t>means an amount equal to:</w:t>
      </w:r>
    </w:p>
    <w:p>
      <w:pPr>
        <w:pStyle w:val="ListParagraph"/>
        <w:numPr>
          <w:ilvl w:val="0"/>
          <w:numId w:val="665"/>
        </w:numPr>
        <w:tabs>
          <w:tab w:pos="1919" w:val="left" w:leader="none"/>
        </w:tabs>
        <w:spacing w:line="240" w:lineRule="auto" w:before="120" w:after="0"/>
        <w:ind w:left="1919" w:right="417" w:hanging="567"/>
        <w:jc w:val="both"/>
        <w:rPr>
          <w:sz w:val="24"/>
        </w:rPr>
      </w:pPr>
      <w:r>
        <w:rPr>
          <w:sz w:val="24"/>
        </w:rPr>
        <w:t>the sum of the total revenue for metering services for ActewAGL for each regulatory year of the current regulatory control period in accordance</w:t>
      </w:r>
      <w:r>
        <w:rPr>
          <w:spacing w:val="-6"/>
          <w:sz w:val="24"/>
        </w:rPr>
        <w:t> </w:t>
      </w:r>
      <w:r>
        <w:rPr>
          <w:sz w:val="24"/>
        </w:rPr>
        <w:t>with:</w:t>
      </w:r>
    </w:p>
    <w:p>
      <w:pPr>
        <w:pStyle w:val="ListParagraph"/>
        <w:numPr>
          <w:ilvl w:val="1"/>
          <w:numId w:val="665"/>
        </w:numPr>
        <w:tabs>
          <w:tab w:pos="2485" w:val="left" w:leader="none"/>
          <w:tab w:pos="2486" w:val="left" w:leader="none"/>
        </w:tabs>
        <w:spacing w:line="240" w:lineRule="auto" w:before="120" w:after="0"/>
        <w:ind w:left="2485" w:right="0" w:hanging="567"/>
        <w:jc w:val="left"/>
        <w:rPr>
          <w:sz w:val="24"/>
        </w:rPr>
      </w:pPr>
      <w:r>
        <w:rPr>
          <w:sz w:val="24"/>
        </w:rPr>
        <w:t>the formulae that give effect to the applicable control</w:t>
      </w:r>
      <w:r>
        <w:rPr>
          <w:spacing w:val="-4"/>
          <w:sz w:val="24"/>
        </w:rPr>
        <w:t> </w:t>
      </w:r>
      <w:r>
        <w:rPr>
          <w:sz w:val="24"/>
        </w:rPr>
        <w:t>mechanism;</w:t>
      </w:r>
    </w:p>
    <w:p>
      <w:pPr>
        <w:pStyle w:val="ListParagraph"/>
        <w:numPr>
          <w:ilvl w:val="1"/>
          <w:numId w:val="665"/>
        </w:numPr>
        <w:tabs>
          <w:tab w:pos="2485" w:val="left" w:leader="none"/>
          <w:tab w:pos="2486" w:val="left" w:leader="none"/>
        </w:tabs>
        <w:spacing w:line="240" w:lineRule="auto" w:before="120" w:after="0"/>
        <w:ind w:left="2485" w:right="0" w:hanging="567"/>
        <w:jc w:val="left"/>
        <w:rPr>
          <w:sz w:val="24"/>
        </w:rPr>
      </w:pPr>
      <w:r>
        <w:rPr>
          <w:sz w:val="24"/>
        </w:rPr>
        <w:t>the applicable forecast volume;</w:t>
      </w:r>
      <w:r>
        <w:rPr>
          <w:spacing w:val="-1"/>
          <w:sz w:val="24"/>
        </w:rPr>
        <w:t> </w:t>
      </w:r>
      <w:r>
        <w:rPr>
          <w:sz w:val="24"/>
        </w:rPr>
        <w:t>and</w:t>
      </w:r>
    </w:p>
    <w:p>
      <w:pPr>
        <w:pStyle w:val="ListParagraph"/>
        <w:numPr>
          <w:ilvl w:val="1"/>
          <w:numId w:val="665"/>
        </w:numPr>
        <w:tabs>
          <w:tab w:pos="2485" w:val="left" w:leader="none"/>
          <w:tab w:pos="2486" w:val="left" w:leader="none"/>
        </w:tabs>
        <w:spacing w:line="343" w:lineRule="auto" w:before="120" w:after="0"/>
        <w:ind w:left="1919" w:right="2327" w:firstLine="0"/>
        <w:jc w:val="left"/>
        <w:rPr>
          <w:sz w:val="24"/>
        </w:rPr>
      </w:pPr>
      <w:r>
        <w:rPr>
          <w:sz w:val="24"/>
        </w:rPr>
        <w:t>the applicable building block revenue </w:t>
      </w:r>
      <w:r>
        <w:rPr>
          <w:spacing w:val="-3"/>
          <w:sz w:val="24"/>
        </w:rPr>
        <w:t>requirement, </w:t>
      </w:r>
      <w:r>
        <w:rPr>
          <w:sz w:val="24"/>
        </w:rPr>
        <w:t>under the remade 2015 determination;</w:t>
      </w:r>
      <w:r>
        <w:rPr>
          <w:spacing w:val="-1"/>
          <w:sz w:val="24"/>
        </w:rPr>
        <w:t> </w:t>
      </w:r>
      <w:r>
        <w:rPr>
          <w:sz w:val="24"/>
        </w:rPr>
        <w:t>minus</w:t>
      </w:r>
    </w:p>
    <w:p>
      <w:pPr>
        <w:pStyle w:val="ListParagraph"/>
        <w:numPr>
          <w:ilvl w:val="0"/>
          <w:numId w:val="665"/>
        </w:numPr>
        <w:tabs>
          <w:tab w:pos="1918" w:val="left" w:leader="none"/>
          <w:tab w:pos="1919" w:val="left" w:leader="none"/>
        </w:tabs>
        <w:spacing w:line="240" w:lineRule="auto" w:before="3" w:after="0"/>
        <w:ind w:left="1918" w:right="0" w:hanging="567"/>
        <w:jc w:val="left"/>
        <w:rPr>
          <w:sz w:val="24"/>
        </w:rPr>
      </w:pPr>
      <w:r>
        <w:rPr>
          <w:sz w:val="24"/>
        </w:rPr>
        <w:t>the sum</w:t>
      </w:r>
      <w:r>
        <w:rPr>
          <w:spacing w:val="-2"/>
          <w:sz w:val="24"/>
        </w:rPr>
        <w:t> </w:t>
      </w:r>
      <w:r>
        <w:rPr>
          <w:sz w:val="24"/>
        </w:rPr>
        <w:t>of:</w:t>
      </w:r>
    </w:p>
    <w:p>
      <w:pPr>
        <w:pStyle w:val="ListParagraph"/>
        <w:numPr>
          <w:ilvl w:val="1"/>
          <w:numId w:val="665"/>
        </w:numPr>
        <w:tabs>
          <w:tab w:pos="2486" w:val="left" w:leader="none"/>
        </w:tabs>
        <w:spacing w:line="240" w:lineRule="auto" w:before="120" w:after="0"/>
        <w:ind w:left="2486" w:right="416" w:hanging="567"/>
        <w:jc w:val="both"/>
        <w:rPr>
          <w:sz w:val="24"/>
        </w:rPr>
      </w:pPr>
      <w:r>
        <w:rPr>
          <w:sz w:val="24"/>
        </w:rPr>
        <w:t>the total revenue for metering services for ActewAGL for the first and second regulatory years of the current regulatory control period in accordance</w:t>
      </w:r>
      <w:r>
        <w:rPr>
          <w:spacing w:val="-1"/>
          <w:sz w:val="24"/>
        </w:rPr>
        <w:t> </w:t>
      </w:r>
      <w:r>
        <w:rPr>
          <w:sz w:val="24"/>
        </w:rPr>
        <w:t>with:</w:t>
      </w:r>
    </w:p>
    <w:p>
      <w:pPr>
        <w:pStyle w:val="ListParagraph"/>
        <w:numPr>
          <w:ilvl w:val="2"/>
          <w:numId w:val="665"/>
        </w:numPr>
        <w:tabs>
          <w:tab w:pos="3052" w:val="left" w:leader="none"/>
          <w:tab w:pos="3053" w:val="left" w:leader="none"/>
          <w:tab w:pos="3547" w:val="left" w:leader="none"/>
          <w:tab w:pos="4615" w:val="left" w:leader="none"/>
          <w:tab w:pos="5176" w:val="left" w:leader="none"/>
          <w:tab w:pos="5791" w:val="left" w:leader="none"/>
          <w:tab w:pos="6538" w:val="left" w:leader="none"/>
          <w:tab w:pos="6927" w:val="left" w:leader="none"/>
          <w:tab w:pos="7421" w:val="left" w:leader="none"/>
          <w:tab w:pos="8609" w:val="left" w:leader="none"/>
        </w:tabs>
        <w:spacing w:line="240" w:lineRule="auto" w:before="120" w:after="0"/>
        <w:ind w:left="3053" w:right="414" w:hanging="567"/>
        <w:jc w:val="left"/>
        <w:rPr>
          <w:sz w:val="24"/>
        </w:rPr>
      </w:pPr>
      <w:r>
        <w:rPr>
          <w:sz w:val="24"/>
        </w:rPr>
        <w:t>the</w:t>
        <w:tab/>
        <w:t>formulae</w:t>
        <w:tab/>
        <w:t>that</w:t>
        <w:tab/>
        <w:t>give</w:t>
        <w:tab/>
        <w:t>effect</w:t>
        <w:tab/>
        <w:t>to</w:t>
        <w:tab/>
        <w:t>the</w:t>
        <w:tab/>
        <w:t>applicable</w:t>
        <w:tab/>
      </w:r>
      <w:r>
        <w:rPr>
          <w:spacing w:val="-3"/>
          <w:sz w:val="24"/>
        </w:rPr>
        <w:t>control </w:t>
      </w:r>
      <w:r>
        <w:rPr>
          <w:sz w:val="24"/>
        </w:rPr>
        <w:t>mechanism;</w:t>
      </w:r>
    </w:p>
    <w:p>
      <w:pPr>
        <w:pStyle w:val="ListParagraph"/>
        <w:numPr>
          <w:ilvl w:val="2"/>
          <w:numId w:val="665"/>
        </w:numPr>
        <w:tabs>
          <w:tab w:pos="3052" w:val="left" w:leader="none"/>
          <w:tab w:pos="3054" w:val="left" w:leader="none"/>
        </w:tabs>
        <w:spacing w:line="240" w:lineRule="auto" w:before="120" w:after="0"/>
        <w:ind w:left="3053" w:right="0" w:hanging="568"/>
        <w:jc w:val="left"/>
        <w:rPr>
          <w:sz w:val="24"/>
        </w:rPr>
      </w:pPr>
      <w:r>
        <w:rPr>
          <w:sz w:val="24"/>
        </w:rPr>
        <w:t>the applicable forecast volume;</w:t>
      </w:r>
      <w:r>
        <w:rPr>
          <w:spacing w:val="-1"/>
          <w:sz w:val="24"/>
        </w:rPr>
        <w:t> </w:t>
      </w:r>
      <w:r>
        <w:rPr>
          <w:sz w:val="24"/>
        </w:rPr>
        <w:t>and</w:t>
      </w:r>
    </w:p>
    <w:p>
      <w:pPr>
        <w:pStyle w:val="ListParagraph"/>
        <w:numPr>
          <w:ilvl w:val="2"/>
          <w:numId w:val="665"/>
        </w:numPr>
        <w:tabs>
          <w:tab w:pos="3052" w:val="left" w:leader="none"/>
          <w:tab w:pos="3053" w:val="left" w:leader="none"/>
        </w:tabs>
        <w:spacing w:line="343" w:lineRule="auto" w:before="120" w:after="0"/>
        <w:ind w:left="2486" w:right="1760" w:firstLine="0"/>
        <w:jc w:val="left"/>
        <w:rPr>
          <w:sz w:val="24"/>
        </w:rPr>
      </w:pPr>
      <w:r>
        <w:rPr>
          <w:sz w:val="24"/>
        </w:rPr>
        <w:t>the applicable building block revenue </w:t>
      </w:r>
      <w:r>
        <w:rPr>
          <w:spacing w:val="-3"/>
          <w:sz w:val="24"/>
        </w:rPr>
        <w:t>requirement, </w:t>
      </w:r>
      <w:r>
        <w:rPr>
          <w:sz w:val="24"/>
        </w:rPr>
        <w:t>under the 2015 determination;</w:t>
      </w:r>
      <w:r>
        <w:rPr>
          <w:spacing w:val="-1"/>
          <w:sz w:val="24"/>
        </w:rPr>
        <w:t> </w:t>
      </w:r>
      <w:r>
        <w:rPr>
          <w:sz w:val="24"/>
        </w:rPr>
        <w:t>plus</w:t>
      </w:r>
    </w:p>
    <w:p>
      <w:pPr>
        <w:pStyle w:val="ListParagraph"/>
        <w:numPr>
          <w:ilvl w:val="1"/>
          <w:numId w:val="665"/>
        </w:numPr>
        <w:tabs>
          <w:tab w:pos="2486" w:val="left" w:leader="none"/>
        </w:tabs>
        <w:spacing w:line="240" w:lineRule="auto" w:before="3" w:after="0"/>
        <w:ind w:left="2486" w:right="415" w:hanging="567"/>
        <w:jc w:val="both"/>
        <w:rPr>
          <w:sz w:val="24"/>
        </w:rPr>
      </w:pPr>
      <w:r>
        <w:rPr>
          <w:sz w:val="24"/>
        </w:rPr>
        <w:t>the total revenue for metering services for ActewAGL for the third, fourth and final regulatory years of the current regulatory control period under the undertakings that apply for those regulatory</w:t>
      </w:r>
      <w:r>
        <w:rPr>
          <w:spacing w:val="-2"/>
          <w:sz w:val="24"/>
        </w:rPr>
        <w:t> </w:t>
      </w:r>
      <w:r>
        <w:rPr>
          <w:sz w:val="24"/>
        </w:rPr>
        <w:t>years,</w:t>
      </w:r>
    </w:p>
    <w:p>
      <w:pPr>
        <w:pStyle w:val="BodyText"/>
        <w:ind w:left="1352" w:right="414" w:firstLine="0"/>
      </w:pPr>
      <w:r>
        <w:rPr/>
        <w:t>provided that such amount includes any adjustments necessary for the </w:t>
      </w:r>
      <w:r>
        <w:rPr>
          <w:i/>
        </w:rPr>
        <w:t>AER </w:t>
      </w:r>
      <w:r>
        <w:rPr/>
        <w:t>to be satisfied that the amount achieves the revenue recovery principle under clause 8A.15.5(d) or 8A.15.6(d) (as the case may be).</w:t>
      </w:r>
    </w:p>
    <w:p>
      <w:pPr>
        <w:spacing w:before="120"/>
        <w:ind w:left="1352" w:right="415" w:firstLine="0"/>
        <w:jc w:val="both"/>
        <w:rPr>
          <w:sz w:val="24"/>
        </w:rPr>
      </w:pPr>
      <w:r>
        <w:rPr>
          <w:b/>
          <w:sz w:val="24"/>
        </w:rPr>
        <w:t>NUOS charges </w:t>
      </w:r>
      <w:r>
        <w:rPr>
          <w:sz w:val="24"/>
        </w:rPr>
        <w:t>means charges comprising ActewAGL's prices for distribution standard control services, </w:t>
      </w:r>
      <w:r>
        <w:rPr>
          <w:i/>
          <w:sz w:val="24"/>
        </w:rPr>
        <w:t>designated pricing proposal charges </w:t>
      </w:r>
      <w:r>
        <w:rPr>
          <w:sz w:val="24"/>
        </w:rPr>
        <w:t>and </w:t>
      </w:r>
      <w:r>
        <w:rPr>
          <w:i/>
          <w:sz w:val="24"/>
        </w:rPr>
        <w:t>jurisdictional </w:t>
      </w:r>
      <w:r>
        <w:rPr>
          <w:i/>
          <w:sz w:val="24"/>
        </w:rPr>
        <w:t>scheme amounts</w:t>
      </w:r>
      <w:r>
        <w:rPr>
          <w:sz w:val="24"/>
        </w:rPr>
        <w:t>.</w:t>
      </w:r>
    </w:p>
    <w:p>
      <w:pPr>
        <w:pStyle w:val="BodyText"/>
        <w:ind w:left="1352" w:right="414" w:firstLine="0"/>
      </w:pPr>
      <w:r>
        <w:rPr>
          <w:b/>
        </w:rPr>
        <w:t>regulatory year </w:t>
      </w:r>
      <w:r>
        <w:rPr/>
        <w:t>means each consecutive period of 12 calendar months in the current regulatory control period or subsequent regulatory control period (as the case may be) (the current regulatory control period and subsequent regulatory control period each being a </w:t>
      </w:r>
      <w:r>
        <w:rPr>
          <w:b/>
        </w:rPr>
        <w:t>regulatory control period</w:t>
      </w:r>
      <w:r>
        <w:rPr/>
        <w:t>), the first such 12 month</w:t>
      </w:r>
    </w:p>
    <w:p>
      <w:pPr>
        <w:spacing w:after="0"/>
        <w:sectPr>
          <w:pgSz w:w="11910" w:h="16840"/>
          <w:pgMar w:header="686" w:footer="637" w:top="1320" w:bottom="820" w:left="1200" w:right="1000"/>
        </w:sectPr>
      </w:pPr>
    </w:p>
    <w:p>
      <w:pPr>
        <w:pStyle w:val="BodyText"/>
        <w:spacing w:before="83"/>
        <w:ind w:left="1352" w:right="416" w:firstLine="0"/>
      </w:pPr>
      <w:r>
        <w:rPr/>
        <w:t>period commencing at the beginning of the regulatory control period and the final 12 month period ending at the end of the regulatory control period.</w:t>
      </w:r>
    </w:p>
    <w:p>
      <w:pPr>
        <w:spacing w:before="120"/>
        <w:ind w:left="1352" w:right="0" w:firstLine="0"/>
        <w:jc w:val="both"/>
        <w:rPr>
          <w:sz w:val="24"/>
        </w:rPr>
      </w:pPr>
      <w:r>
        <w:rPr>
          <w:b/>
          <w:sz w:val="24"/>
        </w:rPr>
        <w:t>remade 2015 determination </w:t>
      </w:r>
      <w:r>
        <w:rPr>
          <w:sz w:val="24"/>
        </w:rPr>
        <w:t>means the 2015 determination as remade by the</w:t>
      </w:r>
    </w:p>
    <w:p>
      <w:pPr>
        <w:pStyle w:val="BodyText"/>
        <w:spacing w:before="0"/>
        <w:ind w:left="1352" w:firstLine="0"/>
      </w:pPr>
      <w:r>
        <w:rPr>
          <w:i/>
        </w:rPr>
        <w:t>AER </w:t>
      </w:r>
      <w:r>
        <w:rPr/>
        <w:t>following the Tribunal's decision.</w:t>
      </w:r>
    </w:p>
    <w:p>
      <w:pPr>
        <w:pStyle w:val="BodyText"/>
        <w:ind w:left="1352" w:right="416" w:firstLine="0"/>
      </w:pPr>
      <w:r>
        <w:rPr>
          <w:b/>
        </w:rPr>
        <w:t>revenue recovery principle </w:t>
      </w:r>
      <w:r>
        <w:rPr/>
        <w:t>means the principle that ActewAGL must be given the ability to recover the same, but no more, revenue (in net present value equivalent terms) as it would have recovered if:</w:t>
      </w:r>
    </w:p>
    <w:p>
      <w:pPr>
        <w:pStyle w:val="ListParagraph"/>
        <w:numPr>
          <w:ilvl w:val="0"/>
          <w:numId w:val="666"/>
        </w:numPr>
        <w:tabs>
          <w:tab w:pos="1919" w:val="left" w:leader="none"/>
        </w:tabs>
        <w:spacing w:line="240" w:lineRule="auto" w:before="120" w:after="0"/>
        <w:ind w:left="1919" w:right="416" w:hanging="567"/>
        <w:jc w:val="both"/>
        <w:rPr>
          <w:sz w:val="24"/>
        </w:rPr>
      </w:pPr>
      <w:r>
        <w:rPr>
          <w:sz w:val="24"/>
        </w:rPr>
        <w:t>the remade 2015 determination had been in force from the commencement of the current regulatory control period;</w:t>
      </w:r>
      <w:r>
        <w:rPr>
          <w:spacing w:val="-1"/>
          <w:sz w:val="24"/>
        </w:rPr>
        <w:t> </w:t>
      </w:r>
      <w:r>
        <w:rPr>
          <w:sz w:val="24"/>
        </w:rPr>
        <w:t>and</w:t>
      </w:r>
    </w:p>
    <w:p>
      <w:pPr>
        <w:pStyle w:val="ListParagraph"/>
        <w:numPr>
          <w:ilvl w:val="0"/>
          <w:numId w:val="666"/>
        </w:numPr>
        <w:tabs>
          <w:tab w:pos="1919" w:val="left" w:leader="none"/>
        </w:tabs>
        <w:spacing w:line="240" w:lineRule="auto" w:before="120" w:after="0"/>
        <w:ind w:left="1919" w:right="415" w:hanging="567"/>
        <w:jc w:val="both"/>
        <w:rPr>
          <w:sz w:val="24"/>
        </w:rPr>
      </w:pPr>
      <w:r>
        <w:rPr>
          <w:sz w:val="24"/>
        </w:rPr>
        <w:t>the formulae giving effect to the control mechanisms specified in the remade 2015 determination had been applied in each regulatory year of </w:t>
      </w:r>
      <w:r>
        <w:rPr>
          <w:spacing w:val="-4"/>
          <w:sz w:val="24"/>
        </w:rPr>
        <w:t>the</w:t>
      </w:r>
      <w:r>
        <w:rPr>
          <w:spacing w:val="52"/>
          <w:sz w:val="24"/>
        </w:rPr>
        <w:t> </w:t>
      </w:r>
      <w:r>
        <w:rPr>
          <w:sz w:val="24"/>
        </w:rPr>
        <w:t>current regulatory control</w:t>
      </w:r>
      <w:r>
        <w:rPr>
          <w:spacing w:val="-2"/>
          <w:sz w:val="24"/>
        </w:rPr>
        <w:t> </w:t>
      </w:r>
      <w:r>
        <w:rPr>
          <w:sz w:val="24"/>
        </w:rPr>
        <w:t>period.</w:t>
      </w:r>
    </w:p>
    <w:p>
      <w:pPr>
        <w:spacing w:before="120"/>
        <w:ind w:left="1352" w:right="415" w:firstLine="0"/>
        <w:jc w:val="both"/>
        <w:rPr>
          <w:sz w:val="24"/>
        </w:rPr>
      </w:pPr>
      <w:r>
        <w:rPr>
          <w:b/>
          <w:sz w:val="24"/>
        </w:rPr>
        <w:t>scheme </w:t>
      </w:r>
      <w:r>
        <w:rPr>
          <w:sz w:val="24"/>
        </w:rPr>
        <w:t>means any applicable </w:t>
      </w:r>
      <w:r>
        <w:rPr>
          <w:i/>
          <w:sz w:val="24"/>
        </w:rPr>
        <w:t>efficiency benefit sharing scheme</w:t>
      </w:r>
      <w:r>
        <w:rPr>
          <w:sz w:val="24"/>
        </w:rPr>
        <w:t>, </w:t>
      </w:r>
      <w:r>
        <w:rPr>
          <w:i/>
          <w:sz w:val="24"/>
        </w:rPr>
        <w:t>capital </w:t>
      </w:r>
      <w:r>
        <w:rPr>
          <w:i/>
          <w:sz w:val="24"/>
        </w:rPr>
        <w:t>expenditure sharing scheme</w:t>
      </w:r>
      <w:r>
        <w:rPr>
          <w:sz w:val="24"/>
        </w:rPr>
        <w:t>, </w:t>
      </w:r>
      <w:r>
        <w:rPr>
          <w:i/>
          <w:sz w:val="24"/>
        </w:rPr>
        <w:t>service target performance incentive scheme</w:t>
      </w:r>
      <w:r>
        <w:rPr>
          <w:sz w:val="24"/>
        </w:rPr>
        <w:t>, </w:t>
      </w:r>
      <w:r>
        <w:rPr>
          <w:i/>
          <w:sz w:val="24"/>
        </w:rPr>
        <w:t>demand management incentive scheme</w:t>
      </w:r>
      <w:r>
        <w:rPr>
          <w:sz w:val="24"/>
        </w:rPr>
        <w:t>, </w:t>
      </w:r>
      <w:r>
        <w:rPr>
          <w:i/>
          <w:sz w:val="24"/>
        </w:rPr>
        <w:t>demand management innovation </w:t>
      </w:r>
      <w:r>
        <w:rPr>
          <w:i/>
          <w:sz w:val="24"/>
        </w:rPr>
        <w:t>allowance mechanism </w:t>
      </w:r>
      <w:r>
        <w:rPr>
          <w:sz w:val="24"/>
        </w:rPr>
        <w:t>and </w:t>
      </w:r>
      <w:r>
        <w:rPr>
          <w:i/>
          <w:sz w:val="24"/>
        </w:rPr>
        <w:t>small-scale incentive</w:t>
      </w:r>
      <w:r>
        <w:rPr>
          <w:i/>
          <w:spacing w:val="-4"/>
          <w:sz w:val="24"/>
        </w:rPr>
        <w:t> </w:t>
      </w:r>
      <w:r>
        <w:rPr>
          <w:i/>
          <w:sz w:val="24"/>
        </w:rPr>
        <w:t>scheme</w:t>
      </w:r>
      <w:r>
        <w:rPr>
          <w:sz w:val="24"/>
        </w:rPr>
        <w:t>.</w:t>
      </w:r>
    </w:p>
    <w:p>
      <w:pPr>
        <w:spacing w:before="120"/>
        <w:ind w:left="1352" w:right="0" w:firstLine="0"/>
        <w:jc w:val="both"/>
        <w:rPr>
          <w:sz w:val="24"/>
        </w:rPr>
      </w:pPr>
      <w:r>
        <w:rPr>
          <w:b/>
          <w:sz w:val="24"/>
        </w:rPr>
        <w:t>subsequent adjustment amount </w:t>
      </w:r>
      <w:r>
        <w:rPr>
          <w:sz w:val="24"/>
        </w:rPr>
        <w:t>means an amount</w:t>
      </w:r>
      <w:r>
        <w:rPr>
          <w:spacing w:val="-10"/>
          <w:sz w:val="24"/>
        </w:rPr>
        <w:t> </w:t>
      </w:r>
      <w:r>
        <w:rPr>
          <w:sz w:val="24"/>
        </w:rPr>
        <w:t>that:</w:t>
      </w:r>
    </w:p>
    <w:p>
      <w:pPr>
        <w:pStyle w:val="ListParagraph"/>
        <w:numPr>
          <w:ilvl w:val="0"/>
          <w:numId w:val="667"/>
        </w:numPr>
        <w:tabs>
          <w:tab w:pos="1919" w:val="left" w:leader="none"/>
        </w:tabs>
        <w:spacing w:line="240" w:lineRule="auto" w:before="120" w:after="0"/>
        <w:ind w:left="1919" w:right="414" w:hanging="567"/>
        <w:jc w:val="both"/>
        <w:rPr>
          <w:sz w:val="24"/>
        </w:rPr>
      </w:pPr>
      <w:r>
        <w:rPr>
          <w:sz w:val="24"/>
        </w:rPr>
        <w:t>is equivalent in net present value terms to the adjustment amount, incorporating any adjustments made under clause 8A.15.4(d)(1)(ii) </w:t>
      </w:r>
      <w:r>
        <w:rPr>
          <w:spacing w:val="-7"/>
          <w:sz w:val="24"/>
        </w:rPr>
        <w:t>or </w:t>
      </w:r>
      <w:r>
        <w:rPr>
          <w:sz w:val="24"/>
        </w:rPr>
        <w:t>8A.15.4(d)(2)(ii) (as the case may be);</w:t>
      </w:r>
      <w:r>
        <w:rPr>
          <w:spacing w:val="-1"/>
          <w:sz w:val="24"/>
        </w:rPr>
        <w:t> </w:t>
      </w:r>
      <w:r>
        <w:rPr>
          <w:sz w:val="24"/>
        </w:rPr>
        <w:t>and</w:t>
      </w:r>
    </w:p>
    <w:p>
      <w:pPr>
        <w:pStyle w:val="ListParagraph"/>
        <w:numPr>
          <w:ilvl w:val="0"/>
          <w:numId w:val="667"/>
        </w:numPr>
        <w:tabs>
          <w:tab w:pos="1919" w:val="left" w:leader="none"/>
        </w:tabs>
        <w:spacing w:line="240" w:lineRule="auto" w:before="120" w:after="0"/>
        <w:ind w:left="1919" w:right="414" w:hanging="567"/>
        <w:jc w:val="both"/>
        <w:rPr>
          <w:sz w:val="24"/>
        </w:rPr>
      </w:pPr>
      <w:r>
        <w:rPr>
          <w:sz w:val="24"/>
        </w:rPr>
        <w:t>represents a revenue increase (where the adjustment amount is a negative amount) or a revenue decrease (where the adjustment amount is a positive amount) to ActewAGL's </w:t>
      </w:r>
      <w:r>
        <w:rPr>
          <w:i/>
          <w:sz w:val="24"/>
        </w:rPr>
        <w:t>annual revenue requirement </w:t>
      </w:r>
      <w:r>
        <w:rPr>
          <w:sz w:val="24"/>
        </w:rPr>
        <w:t>for the first regulatory year of the subsequent regulatory control</w:t>
      </w:r>
      <w:r>
        <w:rPr>
          <w:spacing w:val="-1"/>
          <w:sz w:val="24"/>
        </w:rPr>
        <w:t> </w:t>
      </w:r>
      <w:r>
        <w:rPr>
          <w:sz w:val="24"/>
        </w:rPr>
        <w:t>period.</w:t>
      </w:r>
    </w:p>
    <w:p>
      <w:pPr>
        <w:spacing w:before="120"/>
        <w:ind w:left="1352" w:right="417" w:firstLine="0"/>
        <w:jc w:val="both"/>
        <w:rPr>
          <w:sz w:val="24"/>
        </w:rPr>
      </w:pPr>
      <w:r>
        <w:rPr>
          <w:b/>
          <w:sz w:val="24"/>
        </w:rPr>
        <w:t>subsequent distribution determination </w:t>
      </w:r>
      <w:r>
        <w:rPr>
          <w:sz w:val="24"/>
        </w:rPr>
        <w:t>means the distribution determination for ActewAGL that is made by the </w:t>
      </w:r>
      <w:r>
        <w:rPr>
          <w:i/>
          <w:sz w:val="24"/>
        </w:rPr>
        <w:t>AER </w:t>
      </w:r>
      <w:r>
        <w:rPr>
          <w:sz w:val="24"/>
        </w:rPr>
        <w:t>for the subsequent regulatory control period.</w:t>
      </w:r>
    </w:p>
    <w:p>
      <w:pPr>
        <w:spacing w:before="120"/>
        <w:ind w:left="1352" w:right="415" w:firstLine="0"/>
        <w:jc w:val="both"/>
        <w:rPr>
          <w:sz w:val="24"/>
        </w:rPr>
      </w:pPr>
      <w:r>
        <w:rPr>
          <w:b/>
          <w:sz w:val="24"/>
        </w:rPr>
        <w:t>subsequent regulatory control period </w:t>
      </w:r>
      <w:r>
        <w:rPr>
          <w:sz w:val="24"/>
        </w:rPr>
        <w:t>means the </w:t>
      </w:r>
      <w:r>
        <w:rPr>
          <w:i/>
          <w:sz w:val="24"/>
        </w:rPr>
        <w:t>regulatory control period </w:t>
      </w:r>
      <w:r>
        <w:rPr>
          <w:sz w:val="24"/>
        </w:rPr>
        <w:t>for ActewAGL that immediately follows the current regulatory control period.</w:t>
      </w:r>
    </w:p>
    <w:p>
      <w:pPr>
        <w:spacing w:before="120"/>
        <w:ind w:left="1352" w:right="0" w:firstLine="0"/>
        <w:jc w:val="both"/>
        <w:rPr>
          <w:sz w:val="24"/>
        </w:rPr>
      </w:pPr>
      <w:r>
        <w:rPr>
          <w:b/>
          <w:sz w:val="24"/>
        </w:rPr>
        <w:t>substituted total revenue amount </w:t>
      </w:r>
      <w:r>
        <w:rPr>
          <w:sz w:val="24"/>
        </w:rPr>
        <w:t>has the meaning given in clause 8A.15.4(d).</w:t>
      </w:r>
    </w:p>
    <w:p>
      <w:pPr>
        <w:spacing w:before="120"/>
        <w:ind w:left="1352" w:right="415" w:firstLine="0"/>
        <w:jc w:val="both"/>
        <w:rPr>
          <w:sz w:val="24"/>
        </w:rPr>
      </w:pPr>
      <w:r>
        <w:rPr>
          <w:b/>
          <w:sz w:val="24"/>
        </w:rPr>
        <w:t>total revenue </w:t>
      </w:r>
      <w:r>
        <w:rPr>
          <w:sz w:val="24"/>
        </w:rPr>
        <w:t>means the total revenue that ActewAGL is entitled to earn from the provision of distribution standard control services, </w:t>
      </w:r>
      <w:r>
        <w:rPr>
          <w:i/>
          <w:sz w:val="24"/>
        </w:rPr>
        <w:t>transmission standard control </w:t>
      </w:r>
      <w:r>
        <w:rPr>
          <w:i/>
          <w:sz w:val="24"/>
        </w:rPr>
        <w:t>services </w:t>
      </w:r>
      <w:r>
        <w:rPr>
          <w:sz w:val="24"/>
        </w:rPr>
        <w:t>or metering services (as the case may be) for the relevant regulatory year.</w:t>
      </w:r>
    </w:p>
    <w:p>
      <w:pPr>
        <w:spacing w:before="120"/>
        <w:ind w:left="1352" w:right="0" w:firstLine="0"/>
        <w:jc w:val="both"/>
        <w:rPr>
          <w:sz w:val="24"/>
        </w:rPr>
      </w:pPr>
      <w:r>
        <w:rPr>
          <w:b/>
          <w:sz w:val="24"/>
        </w:rPr>
        <w:t>transmission variation amount </w:t>
      </w:r>
      <w:r>
        <w:rPr>
          <w:sz w:val="24"/>
        </w:rPr>
        <w:t>means an amount equal to:</w:t>
      </w:r>
    </w:p>
    <w:p>
      <w:pPr>
        <w:pStyle w:val="ListParagraph"/>
        <w:numPr>
          <w:ilvl w:val="0"/>
          <w:numId w:val="668"/>
        </w:numPr>
        <w:tabs>
          <w:tab w:pos="1919" w:val="left" w:leader="none"/>
        </w:tabs>
        <w:spacing w:line="240" w:lineRule="auto" w:before="120" w:after="0"/>
        <w:ind w:left="1919" w:right="415" w:hanging="567"/>
        <w:jc w:val="both"/>
        <w:rPr>
          <w:sz w:val="24"/>
        </w:rPr>
      </w:pPr>
      <w:r>
        <w:rPr>
          <w:sz w:val="24"/>
        </w:rPr>
        <w:t>the sum of the total revenue for </w:t>
      </w:r>
      <w:r>
        <w:rPr>
          <w:i/>
          <w:sz w:val="24"/>
        </w:rPr>
        <w:t>transmission standard control services </w:t>
      </w:r>
      <w:r>
        <w:rPr>
          <w:sz w:val="24"/>
        </w:rPr>
        <w:t>for ActewAGL for each regulatory year of the current regulatory control period in accordance</w:t>
      </w:r>
      <w:r>
        <w:rPr>
          <w:spacing w:val="-1"/>
          <w:sz w:val="24"/>
        </w:rPr>
        <w:t> </w:t>
      </w:r>
      <w:r>
        <w:rPr>
          <w:sz w:val="24"/>
        </w:rPr>
        <w:t>with:</w:t>
      </w:r>
    </w:p>
    <w:p>
      <w:pPr>
        <w:pStyle w:val="ListParagraph"/>
        <w:numPr>
          <w:ilvl w:val="1"/>
          <w:numId w:val="668"/>
        </w:numPr>
        <w:tabs>
          <w:tab w:pos="2485" w:val="left" w:leader="none"/>
          <w:tab w:pos="2486" w:val="left" w:leader="none"/>
        </w:tabs>
        <w:spacing w:line="240" w:lineRule="auto" w:before="120" w:after="0"/>
        <w:ind w:left="2485" w:right="0" w:hanging="567"/>
        <w:jc w:val="left"/>
        <w:rPr>
          <w:sz w:val="24"/>
        </w:rPr>
      </w:pPr>
      <w:r>
        <w:rPr>
          <w:sz w:val="24"/>
        </w:rPr>
        <w:t>the formulae that give effect to the applicable control mechanism;</w:t>
      </w:r>
      <w:r>
        <w:rPr>
          <w:spacing w:val="-4"/>
          <w:sz w:val="24"/>
        </w:rPr>
        <w:t> </w:t>
      </w:r>
      <w:r>
        <w:rPr>
          <w:sz w:val="24"/>
        </w:rPr>
        <w:t>and</w:t>
      </w:r>
    </w:p>
    <w:p>
      <w:pPr>
        <w:pStyle w:val="ListParagraph"/>
        <w:numPr>
          <w:ilvl w:val="1"/>
          <w:numId w:val="668"/>
        </w:numPr>
        <w:tabs>
          <w:tab w:pos="2485" w:val="left" w:leader="none"/>
          <w:tab w:pos="2486" w:val="left" w:leader="none"/>
        </w:tabs>
        <w:spacing w:line="343" w:lineRule="auto" w:before="120" w:after="0"/>
        <w:ind w:left="1919" w:right="3040" w:firstLine="0"/>
        <w:jc w:val="left"/>
        <w:rPr>
          <w:sz w:val="24"/>
        </w:rPr>
      </w:pPr>
      <w:r>
        <w:rPr>
          <w:sz w:val="24"/>
        </w:rPr>
        <w:t>the applicable </w:t>
      </w:r>
      <w:r>
        <w:rPr>
          <w:i/>
          <w:sz w:val="24"/>
        </w:rPr>
        <w:t>annual revenue requirement</w:t>
      </w:r>
      <w:r>
        <w:rPr>
          <w:sz w:val="24"/>
        </w:rPr>
        <w:t>, under the remade 2015 determination;</w:t>
      </w:r>
      <w:r>
        <w:rPr>
          <w:spacing w:val="-2"/>
          <w:sz w:val="24"/>
        </w:rPr>
        <w:t> </w:t>
      </w:r>
      <w:r>
        <w:rPr>
          <w:sz w:val="24"/>
        </w:rPr>
        <w:t>minus</w:t>
      </w:r>
    </w:p>
    <w:p>
      <w:pPr>
        <w:pStyle w:val="ListParagraph"/>
        <w:numPr>
          <w:ilvl w:val="0"/>
          <w:numId w:val="668"/>
        </w:numPr>
        <w:tabs>
          <w:tab w:pos="1919" w:val="left" w:leader="none"/>
        </w:tabs>
        <w:spacing w:line="240" w:lineRule="auto" w:before="3" w:after="0"/>
        <w:ind w:left="1919" w:right="415" w:hanging="567"/>
        <w:jc w:val="both"/>
        <w:rPr>
          <w:sz w:val="24"/>
        </w:rPr>
      </w:pPr>
      <w:r>
        <w:rPr>
          <w:sz w:val="24"/>
        </w:rPr>
        <w:t>the sum of the total revenue for </w:t>
      </w:r>
      <w:r>
        <w:rPr>
          <w:i/>
          <w:sz w:val="24"/>
        </w:rPr>
        <w:t>transmission standard control services </w:t>
      </w:r>
      <w:r>
        <w:rPr>
          <w:sz w:val="24"/>
        </w:rPr>
        <w:t>for ActewAGL for each regulatory year of the current regulatory control period in accordance</w:t>
      </w:r>
      <w:r>
        <w:rPr>
          <w:spacing w:val="-1"/>
          <w:sz w:val="24"/>
        </w:rPr>
        <w:t> </w:t>
      </w:r>
      <w:r>
        <w:rPr>
          <w:sz w:val="24"/>
        </w:rPr>
        <w:t>with:</w:t>
      </w:r>
    </w:p>
    <w:p>
      <w:pPr>
        <w:spacing w:after="0" w:line="240" w:lineRule="auto"/>
        <w:jc w:val="both"/>
        <w:rPr>
          <w:sz w:val="24"/>
        </w:rPr>
        <w:sectPr>
          <w:pgSz w:w="11910" w:h="16840"/>
          <w:pgMar w:header="686" w:footer="637" w:top="1320" w:bottom="820" w:left="1200" w:right="1000"/>
        </w:sectPr>
      </w:pPr>
    </w:p>
    <w:p>
      <w:pPr>
        <w:pStyle w:val="ListParagraph"/>
        <w:numPr>
          <w:ilvl w:val="1"/>
          <w:numId w:val="668"/>
        </w:numPr>
        <w:tabs>
          <w:tab w:pos="2485" w:val="left" w:leader="none"/>
          <w:tab w:pos="2486" w:val="left" w:leader="none"/>
        </w:tabs>
        <w:spacing w:line="240" w:lineRule="auto" w:before="83" w:after="0"/>
        <w:ind w:left="2485" w:right="0" w:hanging="567"/>
        <w:jc w:val="left"/>
        <w:rPr>
          <w:sz w:val="24"/>
        </w:rPr>
      </w:pPr>
      <w:r>
        <w:rPr>
          <w:sz w:val="24"/>
        </w:rPr>
        <w:t>the formulae that give effect to the applicable control mechanism;</w:t>
      </w:r>
      <w:r>
        <w:rPr>
          <w:spacing w:val="-4"/>
          <w:sz w:val="24"/>
        </w:rPr>
        <w:t> </w:t>
      </w:r>
      <w:r>
        <w:rPr>
          <w:sz w:val="24"/>
        </w:rPr>
        <w:t>and</w:t>
      </w:r>
    </w:p>
    <w:p>
      <w:pPr>
        <w:pStyle w:val="ListParagraph"/>
        <w:numPr>
          <w:ilvl w:val="1"/>
          <w:numId w:val="668"/>
        </w:numPr>
        <w:tabs>
          <w:tab w:pos="2485" w:val="left" w:leader="none"/>
          <w:tab w:pos="2486" w:val="left" w:leader="none"/>
        </w:tabs>
        <w:spacing w:line="343" w:lineRule="auto" w:before="120" w:after="0"/>
        <w:ind w:left="1919" w:right="3040" w:firstLine="0"/>
        <w:jc w:val="left"/>
        <w:rPr>
          <w:sz w:val="24"/>
        </w:rPr>
      </w:pPr>
      <w:r>
        <w:rPr>
          <w:sz w:val="24"/>
        </w:rPr>
        <w:t>the applicable </w:t>
      </w:r>
      <w:r>
        <w:rPr>
          <w:i/>
          <w:sz w:val="24"/>
        </w:rPr>
        <w:t>annual revenue requirement</w:t>
      </w:r>
      <w:r>
        <w:rPr>
          <w:sz w:val="24"/>
        </w:rPr>
        <w:t>, under the 2015</w:t>
      </w:r>
      <w:r>
        <w:rPr>
          <w:spacing w:val="-1"/>
          <w:sz w:val="24"/>
        </w:rPr>
        <w:t> </w:t>
      </w:r>
      <w:r>
        <w:rPr>
          <w:sz w:val="24"/>
        </w:rPr>
        <w:t>determination,</w:t>
      </w:r>
    </w:p>
    <w:p>
      <w:pPr>
        <w:pStyle w:val="BodyText"/>
        <w:spacing w:before="3"/>
        <w:ind w:left="1352" w:right="414" w:firstLine="0"/>
      </w:pPr>
      <w:r>
        <w:rPr/>
        <w:t>provided that such amount includes any adjustments necessary for the </w:t>
      </w:r>
      <w:r>
        <w:rPr>
          <w:i/>
        </w:rPr>
        <w:t>AER </w:t>
      </w:r>
      <w:r>
        <w:rPr/>
        <w:t>to be satisfied that the amount achieves the revenue recovery principle under clause 8A.15.5(d) or 8A.15.6(d) (as the case may be).</w:t>
      </w:r>
    </w:p>
    <w:p>
      <w:pPr>
        <w:pStyle w:val="BodyText"/>
        <w:ind w:left="1352" w:firstLine="0"/>
      </w:pPr>
      <w:r>
        <w:rPr>
          <w:b/>
        </w:rPr>
        <w:t>Tribunal </w:t>
      </w:r>
      <w:r>
        <w:rPr/>
        <w:t>means the Australian Competition Tribunal.</w:t>
      </w:r>
    </w:p>
    <w:p>
      <w:pPr>
        <w:pStyle w:val="BodyText"/>
        <w:ind w:left="1352" w:right="415" w:firstLine="0"/>
      </w:pPr>
      <w:r>
        <w:rPr>
          <w:b/>
        </w:rPr>
        <w:t>Tribunal's decision </w:t>
      </w:r>
      <w:r>
        <w:rPr/>
        <w:t>means the decision of the Tribunal in relation to the 2015 determination delivered on 26 February 2016 to remit the matter back to the </w:t>
      </w:r>
      <w:r>
        <w:rPr>
          <w:i/>
        </w:rPr>
        <w:t>AER </w:t>
      </w:r>
      <w:r>
        <w:rPr/>
        <w:t>pursuant to section 71P(2)(c) of the </w:t>
      </w:r>
      <w:r>
        <w:rPr>
          <w:i/>
        </w:rPr>
        <w:t>National Electricity Law</w:t>
      </w:r>
      <w:r>
        <w:rPr/>
        <w:t>, as varied as a consequence of the outcome of judicial review of that decision.</w:t>
      </w:r>
    </w:p>
    <w:p>
      <w:pPr>
        <w:pStyle w:val="BodyText"/>
        <w:ind w:left="1352" w:right="415" w:firstLine="0"/>
      </w:pPr>
      <w:r>
        <w:rPr>
          <w:b/>
        </w:rPr>
        <w:t>undertaking </w:t>
      </w:r>
      <w:r>
        <w:rPr/>
        <w:t>means an undertaking given to, and accepted by, the </w:t>
      </w:r>
      <w:r>
        <w:rPr>
          <w:i/>
        </w:rPr>
        <w:t>AER </w:t>
      </w:r>
      <w:r>
        <w:rPr/>
        <w:t>under section 59A of the </w:t>
      </w:r>
      <w:r>
        <w:rPr>
          <w:i/>
        </w:rPr>
        <w:t>National Electricity Law </w:t>
      </w:r>
      <w:r>
        <w:rPr/>
        <w:t>in respect of the revenue earned and/or prices charged by ActewAGL for the relevant regulatory</w:t>
      </w:r>
      <w:r>
        <w:rPr>
          <w:spacing w:val="-4"/>
        </w:rPr>
        <w:t> </w:t>
      </w:r>
      <w:r>
        <w:rPr/>
        <w:t>year.</w:t>
      </w:r>
    </w:p>
    <w:p>
      <w:pPr>
        <w:pStyle w:val="BodyText"/>
        <w:spacing w:before="10"/>
        <w:ind w:firstLine="0"/>
        <w:jc w:val="left"/>
        <w:rPr>
          <w:sz w:val="20"/>
        </w:rPr>
      </w:pPr>
    </w:p>
    <w:p>
      <w:pPr>
        <w:pStyle w:val="Heading4"/>
        <w:tabs>
          <w:tab w:pos="1351" w:val="left" w:leader="none"/>
        </w:tabs>
        <w:ind w:left="218" w:firstLine="0"/>
      </w:pPr>
      <w:bookmarkStart w:name="8A.15.2 Expiry date" w:id="2399"/>
      <w:bookmarkEnd w:id="2399"/>
      <w:r>
        <w:rPr>
          <w:b w:val="0"/>
        </w:rPr>
      </w:r>
      <w:bookmarkStart w:name="_bookmark1002" w:id="2400"/>
      <w:bookmarkEnd w:id="2400"/>
      <w:r>
        <w:rPr>
          <w:b w:val="0"/>
        </w:rPr>
      </w:r>
      <w:r>
        <w:rPr/>
        <w:t>8A.15.2</w:t>
        <w:tab/>
        <w:t>Expiry date</w:t>
      </w:r>
    </w:p>
    <w:p>
      <w:pPr>
        <w:pStyle w:val="BodyText"/>
        <w:ind w:left="1352" w:right="415" w:firstLine="0"/>
      </w:pPr>
      <w:r>
        <w:rPr/>
        <w:t>This </w:t>
      </w:r>
      <w:r>
        <w:rPr>
          <w:i/>
        </w:rPr>
        <w:t>participant derogation </w:t>
      </w:r>
      <w:r>
        <w:rPr/>
        <w:t>expires on the date that immediately follows the end of the subsequent regulatory control period.</w:t>
      </w:r>
    </w:p>
    <w:p>
      <w:pPr>
        <w:pStyle w:val="BodyText"/>
        <w:spacing w:before="10"/>
        <w:ind w:firstLine="0"/>
        <w:jc w:val="left"/>
        <w:rPr>
          <w:sz w:val="20"/>
        </w:rPr>
      </w:pPr>
    </w:p>
    <w:p>
      <w:pPr>
        <w:pStyle w:val="Heading4"/>
        <w:tabs>
          <w:tab w:pos="1351" w:val="left" w:leader="none"/>
        </w:tabs>
        <w:ind w:left="218" w:firstLine="0"/>
      </w:pPr>
      <w:bookmarkStart w:name="8A.15.3 Application of Rule 8A.15" w:id="2401"/>
      <w:bookmarkEnd w:id="2401"/>
      <w:r>
        <w:rPr>
          <w:b w:val="0"/>
        </w:rPr>
      </w:r>
      <w:bookmarkStart w:name="_bookmark1003" w:id="2402"/>
      <w:bookmarkEnd w:id="2402"/>
      <w:r>
        <w:rPr>
          <w:b w:val="0"/>
        </w:rPr>
      </w:r>
      <w:r>
        <w:rPr/>
        <w:t>8A.15.3</w:t>
        <w:tab/>
        <w:t>Application of Rule</w:t>
      </w:r>
      <w:r>
        <w:rPr>
          <w:spacing w:val="-2"/>
        </w:rPr>
        <w:t> </w:t>
      </w:r>
      <w:r>
        <w:rPr/>
        <w:t>8A.15</w:t>
      </w:r>
    </w:p>
    <w:p>
      <w:pPr>
        <w:pStyle w:val="ListParagraph"/>
        <w:numPr>
          <w:ilvl w:val="0"/>
          <w:numId w:val="669"/>
        </w:numPr>
        <w:tabs>
          <w:tab w:pos="1919" w:val="left" w:leader="none"/>
        </w:tabs>
        <w:spacing w:line="240" w:lineRule="auto" w:before="120" w:after="0"/>
        <w:ind w:left="1918" w:right="0" w:hanging="567"/>
        <w:jc w:val="both"/>
        <w:rPr>
          <w:sz w:val="24"/>
        </w:rPr>
      </w:pPr>
      <w:r>
        <w:rPr>
          <w:sz w:val="24"/>
        </w:rPr>
        <w:t>This </w:t>
      </w:r>
      <w:r>
        <w:rPr>
          <w:i/>
          <w:sz w:val="24"/>
        </w:rPr>
        <w:t>participant derogation </w:t>
      </w:r>
      <w:r>
        <w:rPr>
          <w:sz w:val="24"/>
        </w:rPr>
        <w:t>prevails to the extent of any inconsistency</w:t>
      </w:r>
      <w:r>
        <w:rPr>
          <w:spacing w:val="-5"/>
          <w:sz w:val="24"/>
        </w:rPr>
        <w:t> </w:t>
      </w:r>
      <w:r>
        <w:rPr>
          <w:sz w:val="24"/>
        </w:rPr>
        <w:t>with:</w:t>
      </w:r>
    </w:p>
    <w:p>
      <w:pPr>
        <w:pStyle w:val="ListParagraph"/>
        <w:numPr>
          <w:ilvl w:val="1"/>
          <w:numId w:val="669"/>
        </w:numPr>
        <w:tabs>
          <w:tab w:pos="2486" w:val="left" w:leader="none"/>
        </w:tabs>
        <w:spacing w:line="240" w:lineRule="auto" w:before="120" w:after="0"/>
        <w:ind w:left="2485" w:right="0" w:hanging="567"/>
        <w:jc w:val="both"/>
        <w:rPr>
          <w:sz w:val="24"/>
        </w:rPr>
      </w:pPr>
      <w:r>
        <w:rPr>
          <w:sz w:val="24"/>
        </w:rPr>
        <w:t>any other provision of the </w:t>
      </w:r>
      <w:r>
        <w:rPr>
          <w:i/>
          <w:sz w:val="24"/>
        </w:rPr>
        <w:t>Rules</w:t>
      </w:r>
      <w:r>
        <w:rPr>
          <w:sz w:val="24"/>
        </w:rPr>
        <w:t>;</w:t>
      </w:r>
      <w:r>
        <w:rPr>
          <w:spacing w:val="-1"/>
          <w:sz w:val="24"/>
        </w:rPr>
        <w:t> </w:t>
      </w:r>
      <w:r>
        <w:rPr>
          <w:sz w:val="24"/>
        </w:rPr>
        <w:t>and</w:t>
      </w:r>
    </w:p>
    <w:p>
      <w:pPr>
        <w:pStyle w:val="ListParagraph"/>
        <w:numPr>
          <w:ilvl w:val="1"/>
          <w:numId w:val="669"/>
        </w:numPr>
        <w:tabs>
          <w:tab w:pos="2486" w:val="left" w:leader="none"/>
        </w:tabs>
        <w:spacing w:line="240" w:lineRule="auto" w:before="120" w:after="0"/>
        <w:ind w:left="2485" w:right="0" w:hanging="567"/>
        <w:jc w:val="both"/>
        <w:rPr>
          <w:sz w:val="24"/>
        </w:rPr>
      </w:pPr>
      <w:r>
        <w:rPr>
          <w:sz w:val="24"/>
        </w:rPr>
        <w:t>a remade 2015</w:t>
      </w:r>
      <w:r>
        <w:rPr>
          <w:spacing w:val="-1"/>
          <w:sz w:val="24"/>
        </w:rPr>
        <w:t> </w:t>
      </w:r>
      <w:r>
        <w:rPr>
          <w:sz w:val="24"/>
        </w:rPr>
        <w:t>determination.</w:t>
      </w:r>
    </w:p>
    <w:p>
      <w:pPr>
        <w:pStyle w:val="ListParagraph"/>
        <w:numPr>
          <w:ilvl w:val="0"/>
          <w:numId w:val="669"/>
        </w:numPr>
        <w:tabs>
          <w:tab w:pos="1919" w:val="left" w:leader="none"/>
        </w:tabs>
        <w:spacing w:line="240" w:lineRule="auto" w:before="120" w:after="0"/>
        <w:ind w:left="1918" w:right="0" w:hanging="567"/>
        <w:jc w:val="both"/>
        <w:rPr>
          <w:sz w:val="24"/>
        </w:rPr>
      </w:pPr>
      <w:r>
        <w:rPr>
          <w:sz w:val="24"/>
        </w:rPr>
        <w:t>Nothing in this </w:t>
      </w:r>
      <w:r>
        <w:rPr>
          <w:i/>
          <w:sz w:val="24"/>
        </w:rPr>
        <w:t>participant derogation </w:t>
      </w:r>
      <w:r>
        <w:rPr>
          <w:sz w:val="24"/>
        </w:rPr>
        <w:t>has the effect</w:t>
      </w:r>
      <w:r>
        <w:rPr>
          <w:spacing w:val="-2"/>
          <w:sz w:val="24"/>
        </w:rPr>
        <w:t> </w:t>
      </w:r>
      <w:r>
        <w:rPr>
          <w:sz w:val="24"/>
        </w:rPr>
        <w:t>of:</w:t>
      </w:r>
    </w:p>
    <w:p>
      <w:pPr>
        <w:pStyle w:val="ListParagraph"/>
        <w:numPr>
          <w:ilvl w:val="1"/>
          <w:numId w:val="669"/>
        </w:numPr>
        <w:tabs>
          <w:tab w:pos="2486" w:val="left" w:leader="none"/>
        </w:tabs>
        <w:spacing w:line="240" w:lineRule="auto" w:before="120" w:after="0"/>
        <w:ind w:left="2486" w:right="415" w:hanging="567"/>
        <w:jc w:val="both"/>
        <w:rPr>
          <w:sz w:val="24"/>
        </w:rPr>
      </w:pPr>
      <w:r>
        <w:rPr>
          <w:sz w:val="24"/>
        </w:rPr>
        <w:t>changing the application of the </w:t>
      </w:r>
      <w:r>
        <w:rPr>
          <w:i/>
          <w:sz w:val="24"/>
        </w:rPr>
        <w:t>Rules </w:t>
      </w:r>
      <w:r>
        <w:rPr>
          <w:sz w:val="24"/>
        </w:rPr>
        <w:t>to the making of a remade 2015 determination;</w:t>
      </w:r>
      <w:r>
        <w:rPr>
          <w:spacing w:val="-1"/>
          <w:sz w:val="24"/>
        </w:rPr>
        <w:t> </w:t>
      </w:r>
      <w:r>
        <w:rPr>
          <w:sz w:val="24"/>
        </w:rPr>
        <w:t>or</w:t>
      </w:r>
    </w:p>
    <w:p>
      <w:pPr>
        <w:pStyle w:val="ListParagraph"/>
        <w:numPr>
          <w:ilvl w:val="1"/>
          <w:numId w:val="669"/>
        </w:numPr>
        <w:tabs>
          <w:tab w:pos="2486" w:val="left" w:leader="none"/>
        </w:tabs>
        <w:spacing w:line="240" w:lineRule="auto" w:before="120" w:after="0"/>
        <w:ind w:left="2486" w:right="415" w:hanging="567"/>
        <w:jc w:val="both"/>
        <w:rPr>
          <w:sz w:val="24"/>
        </w:rPr>
      </w:pPr>
      <w:r>
        <w:rPr>
          <w:sz w:val="24"/>
        </w:rPr>
        <w:t>rendering a change, in whole or in part, to the terms of a distribution determination that applies in respect of the current regulatory control period.</w:t>
      </w:r>
    </w:p>
    <w:p>
      <w:pPr>
        <w:pStyle w:val="BodyText"/>
        <w:spacing w:before="10"/>
        <w:ind w:firstLine="0"/>
        <w:jc w:val="left"/>
        <w:rPr>
          <w:sz w:val="20"/>
        </w:rPr>
      </w:pPr>
    </w:p>
    <w:p>
      <w:pPr>
        <w:pStyle w:val="Heading4"/>
        <w:tabs>
          <w:tab w:pos="1351" w:val="left" w:leader="none"/>
        </w:tabs>
        <w:ind w:left="1352" w:right="420"/>
      </w:pPr>
      <w:bookmarkStart w:name="8A.15.4 Recovery of revenue across the c" w:id="2403"/>
      <w:bookmarkEnd w:id="2403"/>
      <w:r>
        <w:rPr>
          <w:b w:val="0"/>
        </w:rPr>
      </w:r>
      <w:bookmarkStart w:name="_bookmark1004" w:id="2404"/>
      <w:bookmarkEnd w:id="2404"/>
      <w:r>
        <w:rPr>
          <w:b w:val="0"/>
        </w:rPr>
      </w:r>
      <w:r>
        <w:rPr/>
        <w:t>8A.15.4</w:t>
        <w:tab/>
        <w:t>Recovery of revenue across the current regulatory control period and subsequent regulatory control</w:t>
      </w:r>
      <w:r>
        <w:rPr>
          <w:spacing w:val="-5"/>
        </w:rPr>
        <w:t> </w:t>
      </w:r>
      <w:r>
        <w:rPr/>
        <w:t>period</w:t>
      </w:r>
    </w:p>
    <w:p>
      <w:pPr>
        <w:spacing w:before="220"/>
        <w:ind w:left="1356" w:right="0" w:firstLine="0"/>
        <w:jc w:val="left"/>
        <w:rPr>
          <w:rFonts w:ascii="Arial"/>
          <w:b/>
          <w:sz w:val="22"/>
        </w:rPr>
      </w:pPr>
      <w:r>
        <w:rPr>
          <w:rFonts w:ascii="Arial"/>
          <w:b/>
          <w:sz w:val="22"/>
        </w:rPr>
        <w:t>General</w:t>
      </w:r>
    </w:p>
    <w:p>
      <w:pPr>
        <w:pStyle w:val="ListParagraph"/>
        <w:numPr>
          <w:ilvl w:val="0"/>
          <w:numId w:val="670"/>
        </w:numPr>
        <w:tabs>
          <w:tab w:pos="1918" w:val="left" w:leader="none"/>
          <w:tab w:pos="1919" w:val="left" w:leader="none"/>
        </w:tabs>
        <w:spacing w:line="240" w:lineRule="auto" w:before="120" w:after="0"/>
        <w:ind w:left="1919" w:right="416" w:hanging="567"/>
        <w:jc w:val="left"/>
        <w:rPr>
          <w:sz w:val="24"/>
        </w:rPr>
      </w:pPr>
      <w:r>
        <w:rPr>
          <w:sz w:val="24"/>
        </w:rPr>
        <w:t>This clause 8A.15.4 applies in respect of ActewAGL if a remade 2015 determination is made by the </w:t>
      </w:r>
      <w:r>
        <w:rPr>
          <w:i/>
          <w:sz w:val="24"/>
        </w:rPr>
        <w:t>AER </w:t>
      </w:r>
      <w:r>
        <w:rPr>
          <w:sz w:val="24"/>
        </w:rPr>
        <w:t>prior to 1 March</w:t>
      </w:r>
      <w:r>
        <w:rPr>
          <w:spacing w:val="-4"/>
          <w:sz w:val="24"/>
        </w:rPr>
        <w:t> </w:t>
      </w:r>
      <w:r>
        <w:rPr>
          <w:sz w:val="24"/>
        </w:rPr>
        <w:t>2018.</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70"/>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may determine at the time of making the remade 2015 determination for</w:t>
      </w:r>
      <w:r>
        <w:rPr>
          <w:spacing w:val="-1"/>
          <w:sz w:val="24"/>
        </w:rPr>
        <w:t> </w:t>
      </w:r>
      <w:r>
        <w:rPr>
          <w:sz w:val="24"/>
        </w:rPr>
        <w:t>ActewAGL:</w:t>
      </w:r>
    </w:p>
    <w:p>
      <w:pPr>
        <w:pStyle w:val="ListParagraph"/>
        <w:numPr>
          <w:ilvl w:val="1"/>
          <w:numId w:val="670"/>
        </w:numPr>
        <w:tabs>
          <w:tab w:pos="2485" w:val="left" w:leader="none"/>
          <w:tab w:pos="2486" w:val="left" w:leader="none"/>
        </w:tabs>
        <w:spacing w:line="240" w:lineRule="auto" w:before="120" w:after="0"/>
        <w:ind w:left="2485" w:right="0" w:hanging="567"/>
        <w:jc w:val="left"/>
        <w:rPr>
          <w:sz w:val="24"/>
        </w:rPr>
      </w:pPr>
      <w:r>
        <w:rPr>
          <w:sz w:val="24"/>
        </w:rPr>
        <w:t>an adjustment amount;</w:t>
      </w:r>
      <w:r>
        <w:rPr>
          <w:spacing w:val="-1"/>
          <w:sz w:val="24"/>
        </w:rPr>
        <w:t> </w:t>
      </w:r>
      <w:r>
        <w:rPr>
          <w:sz w:val="24"/>
        </w:rPr>
        <w:t>and</w:t>
      </w:r>
    </w:p>
    <w:p>
      <w:pPr>
        <w:pStyle w:val="ListParagraph"/>
        <w:numPr>
          <w:ilvl w:val="1"/>
          <w:numId w:val="670"/>
        </w:numPr>
        <w:tabs>
          <w:tab w:pos="2485" w:val="left" w:leader="none"/>
          <w:tab w:pos="2486" w:val="left" w:leader="none"/>
        </w:tabs>
        <w:spacing w:line="240" w:lineRule="auto" w:before="120" w:after="0"/>
        <w:ind w:left="2485" w:right="0" w:hanging="567"/>
        <w:jc w:val="left"/>
        <w:rPr>
          <w:sz w:val="24"/>
        </w:rPr>
      </w:pPr>
      <w:r>
        <w:rPr>
          <w:sz w:val="24"/>
        </w:rPr>
        <w:t>a subsequent adjustment</w:t>
      </w:r>
      <w:r>
        <w:rPr>
          <w:spacing w:val="-2"/>
          <w:sz w:val="24"/>
        </w:rPr>
        <w:t> </w:t>
      </w:r>
      <w:r>
        <w:rPr>
          <w:sz w:val="24"/>
        </w:rPr>
        <w:t>amount,</w:t>
      </w:r>
    </w:p>
    <w:p>
      <w:pPr>
        <w:spacing w:after="0" w:line="240" w:lineRule="auto"/>
        <w:jc w:val="left"/>
        <w:rPr>
          <w:sz w:val="24"/>
        </w:rPr>
        <w:sectPr>
          <w:pgSz w:w="11910" w:h="16840"/>
          <w:pgMar w:header="686" w:footer="637" w:top="1320" w:bottom="820" w:left="1200" w:right="1000"/>
        </w:sectPr>
      </w:pPr>
    </w:p>
    <w:p>
      <w:pPr>
        <w:pStyle w:val="BodyText"/>
        <w:spacing w:before="83"/>
        <w:ind w:left="1919" w:right="415" w:firstLine="0"/>
      </w:pPr>
      <w:r>
        <w:rPr/>
        <w:t>if the </w:t>
      </w:r>
      <w:r>
        <w:rPr>
          <w:i/>
        </w:rPr>
        <w:t>AER </w:t>
      </w:r>
      <w:r>
        <w:rPr/>
        <w:t>is satisfied that the application of the adjustment amount and subsequent adjustment amount under paragraphs (d) and (e), respectively, would:</w:t>
      </w:r>
    </w:p>
    <w:p>
      <w:pPr>
        <w:pStyle w:val="ListParagraph"/>
        <w:numPr>
          <w:ilvl w:val="1"/>
          <w:numId w:val="670"/>
        </w:numPr>
        <w:tabs>
          <w:tab w:pos="2486" w:val="left" w:leader="none"/>
        </w:tabs>
        <w:spacing w:line="240" w:lineRule="auto" w:before="120" w:after="0"/>
        <w:ind w:left="2485" w:right="0" w:hanging="567"/>
        <w:jc w:val="both"/>
        <w:rPr>
          <w:sz w:val="24"/>
        </w:rPr>
      </w:pPr>
      <w:r>
        <w:rPr>
          <w:sz w:val="24"/>
        </w:rPr>
        <w:t>be reasonably likely to minimise variations in NUOS</w:t>
      </w:r>
      <w:r>
        <w:rPr>
          <w:spacing w:val="-3"/>
          <w:sz w:val="24"/>
        </w:rPr>
        <w:t> </w:t>
      </w:r>
      <w:r>
        <w:rPr>
          <w:sz w:val="24"/>
        </w:rPr>
        <w:t>charges:</w:t>
      </w:r>
    </w:p>
    <w:p>
      <w:pPr>
        <w:pStyle w:val="ListParagraph"/>
        <w:numPr>
          <w:ilvl w:val="2"/>
          <w:numId w:val="670"/>
        </w:numPr>
        <w:tabs>
          <w:tab w:pos="3053" w:val="left" w:leader="none"/>
        </w:tabs>
        <w:spacing w:line="240" w:lineRule="auto" w:before="120" w:after="0"/>
        <w:ind w:left="3053" w:right="415" w:hanging="567"/>
        <w:jc w:val="both"/>
        <w:rPr>
          <w:sz w:val="24"/>
        </w:rPr>
      </w:pPr>
      <w:r>
        <w:rPr>
          <w:sz w:val="24"/>
        </w:rPr>
        <w:t>between the fourth and final regulatory years of the current regulatory control period;</w:t>
      </w:r>
      <w:r>
        <w:rPr>
          <w:spacing w:val="-2"/>
          <w:sz w:val="24"/>
        </w:rPr>
        <w:t> </w:t>
      </w:r>
      <w:r>
        <w:rPr>
          <w:sz w:val="24"/>
        </w:rPr>
        <w:t>and</w:t>
      </w:r>
    </w:p>
    <w:p>
      <w:pPr>
        <w:pStyle w:val="ListParagraph"/>
        <w:numPr>
          <w:ilvl w:val="2"/>
          <w:numId w:val="670"/>
        </w:numPr>
        <w:tabs>
          <w:tab w:pos="3054" w:val="left" w:leader="none"/>
        </w:tabs>
        <w:spacing w:line="240" w:lineRule="auto" w:before="120" w:after="0"/>
        <w:ind w:left="3053" w:right="415" w:hanging="567"/>
        <w:jc w:val="both"/>
        <w:rPr>
          <w:sz w:val="24"/>
        </w:rPr>
      </w:pPr>
      <w:r>
        <w:rPr>
          <w:sz w:val="24"/>
        </w:rPr>
        <w:t>between the final regulatory year of the current regulatory control period and the first regulatory year of the subsequent regulatory control</w:t>
      </w:r>
      <w:r>
        <w:rPr>
          <w:spacing w:val="-1"/>
          <w:sz w:val="24"/>
        </w:rPr>
        <w:t> </w:t>
      </w:r>
      <w:r>
        <w:rPr>
          <w:sz w:val="24"/>
        </w:rPr>
        <w:t>period,</w:t>
      </w:r>
    </w:p>
    <w:p>
      <w:pPr>
        <w:pStyle w:val="BodyText"/>
        <w:ind w:left="2486" w:firstLine="0"/>
      </w:pPr>
      <w:r>
        <w:rPr/>
        <w:t>for ActewAGL; and</w:t>
      </w:r>
    </w:p>
    <w:p>
      <w:pPr>
        <w:pStyle w:val="ListParagraph"/>
        <w:numPr>
          <w:ilvl w:val="1"/>
          <w:numId w:val="670"/>
        </w:numPr>
        <w:tabs>
          <w:tab w:pos="2486" w:val="left" w:leader="none"/>
        </w:tabs>
        <w:spacing w:line="240" w:lineRule="auto" w:before="120" w:after="0"/>
        <w:ind w:left="2485" w:right="0" w:hanging="567"/>
        <w:jc w:val="both"/>
        <w:rPr>
          <w:sz w:val="24"/>
        </w:rPr>
      </w:pPr>
      <w:r>
        <w:rPr>
          <w:sz w:val="24"/>
        </w:rPr>
        <w:t>achieve the revenue recovery principle in respect of</w:t>
      </w:r>
      <w:r>
        <w:rPr>
          <w:spacing w:val="-5"/>
          <w:sz w:val="24"/>
        </w:rPr>
        <w:t> </w:t>
      </w:r>
      <w:r>
        <w:rPr>
          <w:sz w:val="24"/>
        </w:rPr>
        <w:t>ActewAGL.</w:t>
      </w:r>
    </w:p>
    <w:p>
      <w:pPr>
        <w:spacing w:before="120"/>
        <w:ind w:left="1919" w:right="0" w:firstLine="0"/>
        <w:jc w:val="left"/>
        <w:rPr>
          <w:rFonts w:ascii="Arial"/>
          <w:b/>
          <w:sz w:val="20"/>
        </w:rPr>
      </w:pPr>
      <w:r>
        <w:rPr>
          <w:rFonts w:ascii="Arial"/>
          <w:b/>
          <w:sz w:val="20"/>
        </w:rPr>
        <w:t>Note:</w:t>
      </w:r>
    </w:p>
    <w:p>
      <w:pPr>
        <w:spacing w:before="120"/>
        <w:ind w:left="1919" w:right="414" w:firstLine="0"/>
        <w:jc w:val="both"/>
        <w:rPr>
          <w:sz w:val="20"/>
        </w:rPr>
      </w:pPr>
      <w:r>
        <w:rPr>
          <w:sz w:val="20"/>
        </w:rPr>
        <w:t>When determining the adjustment amount and subsequent adjustment amount, the </w:t>
      </w:r>
      <w:r>
        <w:rPr>
          <w:i/>
          <w:sz w:val="20"/>
        </w:rPr>
        <w:t>AER </w:t>
      </w:r>
      <w:r>
        <w:rPr>
          <w:sz w:val="20"/>
        </w:rPr>
        <w:t>must also take into account the </w:t>
      </w:r>
      <w:r>
        <w:rPr>
          <w:i/>
          <w:sz w:val="20"/>
        </w:rPr>
        <w:t>national electricity objective </w:t>
      </w:r>
      <w:r>
        <w:rPr>
          <w:sz w:val="20"/>
        </w:rPr>
        <w:t>and may take into account the revenue and pricing principles: see </w:t>
      </w:r>
      <w:r>
        <w:rPr>
          <w:i/>
          <w:sz w:val="20"/>
        </w:rPr>
        <w:t>National Electricity Law</w:t>
      </w:r>
      <w:r>
        <w:rPr>
          <w:sz w:val="20"/>
        </w:rPr>
        <w:t>, s.16(1)(a) and</w:t>
      </w:r>
      <w:r>
        <w:rPr>
          <w:spacing w:val="-10"/>
          <w:sz w:val="20"/>
        </w:rPr>
        <w:t> </w:t>
      </w:r>
      <w:r>
        <w:rPr>
          <w:sz w:val="20"/>
        </w:rPr>
        <w:t>(2)(b).</w:t>
      </w:r>
    </w:p>
    <w:p>
      <w:pPr>
        <w:pStyle w:val="ListParagraph"/>
        <w:numPr>
          <w:ilvl w:val="0"/>
          <w:numId w:val="670"/>
        </w:numPr>
        <w:tabs>
          <w:tab w:pos="1919" w:val="left" w:leader="none"/>
        </w:tabs>
        <w:spacing w:line="240" w:lineRule="auto" w:before="120" w:after="0"/>
        <w:ind w:left="1919" w:right="414" w:hanging="567"/>
        <w:jc w:val="both"/>
        <w:rPr>
          <w:sz w:val="24"/>
        </w:rPr>
      </w:pPr>
      <w:r>
        <w:rPr>
          <w:sz w:val="24"/>
        </w:rPr>
        <w:t>Paragraphs (d) and (e) do not apply in respect of ActewAGL if the </w:t>
      </w:r>
      <w:r>
        <w:rPr>
          <w:i/>
          <w:sz w:val="24"/>
        </w:rPr>
        <w:t>AER </w:t>
      </w:r>
      <w:r>
        <w:rPr>
          <w:sz w:val="24"/>
        </w:rPr>
        <w:t>has not determined an adjustment amount and subsequent adjustment amount under paragraph</w:t>
      </w:r>
      <w:r>
        <w:rPr>
          <w:spacing w:val="-1"/>
          <w:sz w:val="24"/>
        </w:rPr>
        <w:t> </w:t>
      </w:r>
      <w:r>
        <w:rPr>
          <w:sz w:val="24"/>
        </w:rPr>
        <w:t>(b).</w:t>
      </w:r>
    </w:p>
    <w:p>
      <w:pPr>
        <w:spacing w:before="220"/>
        <w:ind w:left="1356" w:right="0" w:firstLine="0"/>
        <w:jc w:val="left"/>
        <w:rPr>
          <w:rFonts w:ascii="Arial"/>
          <w:b/>
          <w:sz w:val="22"/>
        </w:rPr>
      </w:pPr>
      <w:r>
        <w:rPr>
          <w:rFonts w:ascii="Arial"/>
          <w:b/>
          <w:sz w:val="22"/>
        </w:rPr>
        <w:t>Recovery in current regulatory control period</w:t>
      </w:r>
    </w:p>
    <w:p>
      <w:pPr>
        <w:pStyle w:val="ListParagraph"/>
        <w:numPr>
          <w:ilvl w:val="0"/>
          <w:numId w:val="670"/>
        </w:numPr>
        <w:tabs>
          <w:tab w:pos="1919" w:val="left" w:leader="none"/>
        </w:tabs>
        <w:spacing w:line="240" w:lineRule="auto" w:before="120" w:after="0"/>
        <w:ind w:left="1919" w:right="415" w:hanging="567"/>
        <w:jc w:val="both"/>
        <w:rPr>
          <w:sz w:val="24"/>
        </w:rPr>
      </w:pPr>
      <w:r>
        <w:rPr>
          <w:sz w:val="24"/>
        </w:rPr>
        <w:t>A </w:t>
      </w:r>
      <w:r>
        <w:rPr>
          <w:i/>
          <w:sz w:val="24"/>
        </w:rPr>
        <w:t>pricing proposal </w:t>
      </w:r>
      <w:r>
        <w:rPr>
          <w:sz w:val="24"/>
        </w:rPr>
        <w:t>submitted by ActewAGL, and approved by the </w:t>
      </w:r>
      <w:r>
        <w:rPr>
          <w:i/>
          <w:sz w:val="24"/>
        </w:rPr>
        <w:t>AER</w:t>
      </w:r>
      <w:r>
        <w:rPr>
          <w:sz w:val="24"/>
        </w:rPr>
        <w:t>, for the final regulatory year of the current regulatory control period must, in respect of revenue for distribution standard control services, only provide for the recovery</w:t>
      </w:r>
      <w:r>
        <w:rPr>
          <w:spacing w:val="-1"/>
          <w:sz w:val="24"/>
        </w:rPr>
        <w:t> </w:t>
      </w:r>
      <w:r>
        <w:rPr>
          <w:sz w:val="24"/>
        </w:rPr>
        <w:t>of:</w:t>
      </w:r>
    </w:p>
    <w:p>
      <w:pPr>
        <w:pStyle w:val="ListParagraph"/>
        <w:numPr>
          <w:ilvl w:val="1"/>
          <w:numId w:val="670"/>
        </w:numPr>
        <w:tabs>
          <w:tab w:pos="2486" w:val="left" w:leader="none"/>
        </w:tabs>
        <w:spacing w:line="240" w:lineRule="auto" w:before="120" w:after="0"/>
        <w:ind w:left="2486" w:right="415" w:hanging="567"/>
        <w:jc w:val="both"/>
        <w:rPr>
          <w:sz w:val="24"/>
        </w:rPr>
      </w:pPr>
      <w:r>
        <w:rPr>
          <w:sz w:val="24"/>
        </w:rPr>
        <w:t>where the applicable adjustment amount operates as if it were a revenue</w:t>
      </w:r>
      <w:r>
        <w:rPr>
          <w:spacing w:val="-1"/>
          <w:sz w:val="24"/>
        </w:rPr>
        <w:t> </w:t>
      </w:r>
      <w:r>
        <w:rPr>
          <w:sz w:val="24"/>
        </w:rPr>
        <w:t>increase:</w:t>
      </w:r>
    </w:p>
    <w:p>
      <w:pPr>
        <w:pStyle w:val="ListParagraph"/>
        <w:numPr>
          <w:ilvl w:val="2"/>
          <w:numId w:val="670"/>
        </w:numPr>
        <w:tabs>
          <w:tab w:pos="3053" w:val="left" w:leader="none"/>
        </w:tabs>
        <w:spacing w:line="240" w:lineRule="auto" w:before="120" w:after="0"/>
        <w:ind w:left="3053" w:right="414" w:hanging="567"/>
        <w:jc w:val="both"/>
        <w:rPr>
          <w:sz w:val="24"/>
        </w:rPr>
      </w:pPr>
      <w:r>
        <w:rPr>
          <w:sz w:val="24"/>
        </w:rPr>
        <w:t>ActewAGL's total revenue for distribution standard control services in accordance with the formulae that give effect to the applicable control mechanism, the applicable forecast </w:t>
      </w:r>
      <w:r>
        <w:rPr>
          <w:spacing w:val="-3"/>
          <w:sz w:val="24"/>
        </w:rPr>
        <w:t>demand </w:t>
      </w:r>
      <w:r>
        <w:rPr>
          <w:sz w:val="24"/>
        </w:rPr>
        <w:t>(kWh) and the applicable </w:t>
      </w:r>
      <w:r>
        <w:rPr>
          <w:i/>
          <w:sz w:val="24"/>
        </w:rPr>
        <w:t>annual revenue requirement</w:t>
      </w:r>
      <w:r>
        <w:rPr>
          <w:sz w:val="24"/>
        </w:rPr>
        <w:t>, under the remade 2015 determination;</w:t>
      </w:r>
      <w:r>
        <w:rPr>
          <w:spacing w:val="-2"/>
          <w:sz w:val="24"/>
        </w:rPr>
        <w:t> </w:t>
      </w:r>
      <w:r>
        <w:rPr>
          <w:sz w:val="24"/>
        </w:rPr>
        <w:t>plus</w:t>
      </w:r>
    </w:p>
    <w:p>
      <w:pPr>
        <w:pStyle w:val="ListParagraph"/>
        <w:numPr>
          <w:ilvl w:val="2"/>
          <w:numId w:val="670"/>
        </w:numPr>
        <w:tabs>
          <w:tab w:pos="3054" w:val="left" w:leader="none"/>
        </w:tabs>
        <w:spacing w:line="240" w:lineRule="auto" w:before="120" w:after="0"/>
        <w:ind w:left="3053" w:right="413" w:hanging="567"/>
        <w:jc w:val="both"/>
        <w:rPr>
          <w:sz w:val="24"/>
        </w:rPr>
      </w:pPr>
      <w:r>
        <w:rPr>
          <w:sz w:val="24"/>
        </w:rPr>
        <w:t>the adjustment amount, incorporating any adjustments that the </w:t>
      </w:r>
      <w:r>
        <w:rPr>
          <w:i/>
          <w:sz w:val="24"/>
        </w:rPr>
        <w:t>AER </w:t>
      </w:r>
      <w:r>
        <w:rPr>
          <w:sz w:val="24"/>
        </w:rPr>
        <w:t>considers necessary to achieve the revenue recovery principle in accordance with subparagraph (b)(4);</w:t>
      </w:r>
      <w:r>
        <w:rPr>
          <w:spacing w:val="-7"/>
          <w:sz w:val="24"/>
        </w:rPr>
        <w:t> </w:t>
      </w:r>
      <w:r>
        <w:rPr>
          <w:sz w:val="24"/>
        </w:rPr>
        <w:t>or</w:t>
      </w:r>
    </w:p>
    <w:p>
      <w:pPr>
        <w:pStyle w:val="ListParagraph"/>
        <w:numPr>
          <w:ilvl w:val="1"/>
          <w:numId w:val="670"/>
        </w:numPr>
        <w:tabs>
          <w:tab w:pos="2486" w:val="left" w:leader="none"/>
        </w:tabs>
        <w:spacing w:line="240" w:lineRule="auto" w:before="120" w:after="0"/>
        <w:ind w:left="2486" w:right="415" w:hanging="567"/>
        <w:jc w:val="both"/>
        <w:rPr>
          <w:sz w:val="24"/>
        </w:rPr>
      </w:pPr>
      <w:r>
        <w:rPr>
          <w:sz w:val="24"/>
        </w:rPr>
        <w:t>where the applicable adjustment amount operates as if it were a revenue</w:t>
      </w:r>
      <w:r>
        <w:rPr>
          <w:spacing w:val="-1"/>
          <w:sz w:val="24"/>
        </w:rPr>
        <w:t> </w:t>
      </w:r>
      <w:r>
        <w:rPr>
          <w:sz w:val="24"/>
        </w:rPr>
        <w:t>decrease:</w:t>
      </w:r>
    </w:p>
    <w:p>
      <w:pPr>
        <w:pStyle w:val="ListParagraph"/>
        <w:numPr>
          <w:ilvl w:val="2"/>
          <w:numId w:val="670"/>
        </w:numPr>
        <w:tabs>
          <w:tab w:pos="3053" w:val="left" w:leader="none"/>
        </w:tabs>
        <w:spacing w:line="240" w:lineRule="auto" w:before="120" w:after="0"/>
        <w:ind w:left="3053" w:right="414" w:hanging="567"/>
        <w:jc w:val="both"/>
        <w:rPr>
          <w:sz w:val="24"/>
        </w:rPr>
      </w:pPr>
      <w:r>
        <w:rPr>
          <w:sz w:val="24"/>
        </w:rPr>
        <w:t>ActewAGL's total revenue for distribution standard control services in accordance with the formulae that give effect to the applicable control mechanism, the applicable forecast </w:t>
      </w:r>
      <w:r>
        <w:rPr>
          <w:spacing w:val="-3"/>
          <w:sz w:val="24"/>
        </w:rPr>
        <w:t>demand </w:t>
      </w:r>
      <w:r>
        <w:rPr>
          <w:sz w:val="24"/>
        </w:rPr>
        <w:t>(kWh) and the applicable </w:t>
      </w:r>
      <w:r>
        <w:rPr>
          <w:i/>
          <w:sz w:val="24"/>
        </w:rPr>
        <w:t>annual revenue requirement</w:t>
      </w:r>
      <w:r>
        <w:rPr>
          <w:sz w:val="24"/>
        </w:rPr>
        <w:t>, under the remade 2015 determination;</w:t>
      </w:r>
      <w:r>
        <w:rPr>
          <w:spacing w:val="-2"/>
          <w:sz w:val="24"/>
        </w:rPr>
        <w:t> </w:t>
      </w:r>
      <w:r>
        <w:rPr>
          <w:sz w:val="24"/>
        </w:rPr>
        <w:t>minus</w:t>
      </w:r>
    </w:p>
    <w:p>
      <w:pPr>
        <w:pStyle w:val="ListParagraph"/>
        <w:numPr>
          <w:ilvl w:val="2"/>
          <w:numId w:val="670"/>
        </w:numPr>
        <w:tabs>
          <w:tab w:pos="3054" w:val="left" w:leader="none"/>
        </w:tabs>
        <w:spacing w:line="240" w:lineRule="auto" w:before="120" w:after="0"/>
        <w:ind w:left="3053" w:right="413" w:hanging="567"/>
        <w:jc w:val="both"/>
        <w:rPr>
          <w:sz w:val="24"/>
        </w:rPr>
      </w:pPr>
      <w:r>
        <w:rPr>
          <w:sz w:val="24"/>
        </w:rPr>
        <w:t>the adjustment amount, incorporating any adjustments that the </w:t>
      </w:r>
      <w:r>
        <w:rPr>
          <w:i/>
          <w:sz w:val="24"/>
        </w:rPr>
        <w:t>AER </w:t>
      </w:r>
      <w:r>
        <w:rPr>
          <w:sz w:val="24"/>
        </w:rPr>
        <w:t>considers necessary to achieve the revenue recovery principle in accordance with subparagraph</w:t>
      </w:r>
      <w:r>
        <w:rPr>
          <w:spacing w:val="-5"/>
          <w:sz w:val="24"/>
        </w:rPr>
        <w:t> </w:t>
      </w:r>
      <w:r>
        <w:rPr>
          <w:sz w:val="24"/>
        </w:rPr>
        <w:t>(b)(4),</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sz w:val="24"/>
        </w:rPr>
      </w:pPr>
      <w:r>
        <w:rPr>
          <w:sz w:val="24"/>
        </w:rPr>
        <w:t>(such amount being the </w:t>
      </w:r>
      <w:r>
        <w:rPr>
          <w:b/>
          <w:sz w:val="24"/>
        </w:rPr>
        <w:t>substituted total revenue amount</w:t>
      </w:r>
      <w:r>
        <w:rPr>
          <w:sz w:val="24"/>
        </w:rPr>
        <w:t>).</w:t>
      </w:r>
    </w:p>
    <w:p>
      <w:pPr>
        <w:spacing w:before="220"/>
        <w:ind w:left="1356" w:right="0" w:firstLine="0"/>
        <w:jc w:val="left"/>
        <w:rPr>
          <w:rFonts w:ascii="Arial"/>
          <w:b/>
          <w:sz w:val="22"/>
        </w:rPr>
      </w:pPr>
      <w:r>
        <w:rPr>
          <w:rFonts w:ascii="Arial"/>
          <w:b/>
          <w:sz w:val="22"/>
        </w:rPr>
        <w:t>Recovery in subsequent regulatory control period</w:t>
      </w:r>
    </w:p>
    <w:p>
      <w:pPr>
        <w:pStyle w:val="ListParagraph"/>
        <w:numPr>
          <w:ilvl w:val="0"/>
          <w:numId w:val="670"/>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include the subsequent adjustment amount determined under paragraph (b)</w:t>
      </w:r>
      <w:r>
        <w:rPr>
          <w:spacing w:val="-1"/>
          <w:sz w:val="24"/>
        </w:rPr>
        <w:t> </w:t>
      </w:r>
      <w:r>
        <w:rPr>
          <w:sz w:val="24"/>
        </w:rPr>
        <w:t>as:</w:t>
      </w:r>
    </w:p>
    <w:p>
      <w:pPr>
        <w:pStyle w:val="ListParagraph"/>
        <w:numPr>
          <w:ilvl w:val="1"/>
          <w:numId w:val="670"/>
        </w:numPr>
        <w:tabs>
          <w:tab w:pos="2485" w:val="left" w:leader="none"/>
          <w:tab w:pos="2486" w:val="left" w:leader="none"/>
        </w:tabs>
        <w:spacing w:line="240" w:lineRule="auto" w:before="120" w:after="0"/>
        <w:ind w:left="2485" w:right="0" w:hanging="567"/>
        <w:jc w:val="left"/>
        <w:rPr>
          <w:sz w:val="24"/>
        </w:rPr>
      </w:pPr>
      <w:r>
        <w:rPr>
          <w:sz w:val="24"/>
        </w:rPr>
        <w:t>if subparagraph (d)(1) applies, a revenue decrease;</w:t>
      </w:r>
      <w:r>
        <w:rPr>
          <w:spacing w:val="-5"/>
          <w:sz w:val="24"/>
        </w:rPr>
        <w:t> </w:t>
      </w:r>
      <w:r>
        <w:rPr>
          <w:sz w:val="24"/>
        </w:rPr>
        <w:t>or</w:t>
      </w:r>
    </w:p>
    <w:p>
      <w:pPr>
        <w:pStyle w:val="ListParagraph"/>
        <w:numPr>
          <w:ilvl w:val="1"/>
          <w:numId w:val="670"/>
        </w:numPr>
        <w:tabs>
          <w:tab w:pos="2485" w:val="left" w:leader="none"/>
          <w:tab w:pos="2486" w:val="left" w:leader="none"/>
        </w:tabs>
        <w:spacing w:line="240" w:lineRule="auto" w:before="120" w:after="0"/>
        <w:ind w:left="2485" w:right="0" w:hanging="567"/>
        <w:jc w:val="left"/>
        <w:rPr>
          <w:sz w:val="24"/>
        </w:rPr>
      </w:pPr>
      <w:r>
        <w:rPr>
          <w:sz w:val="24"/>
        </w:rPr>
        <w:t>if subparagraph (d)(2) applies, a revenue</w:t>
      </w:r>
      <w:r>
        <w:rPr>
          <w:spacing w:val="-4"/>
          <w:sz w:val="24"/>
        </w:rPr>
        <w:t> </w:t>
      </w:r>
      <w:r>
        <w:rPr>
          <w:sz w:val="24"/>
        </w:rPr>
        <w:t>increase,</w:t>
      </w:r>
    </w:p>
    <w:p>
      <w:pPr>
        <w:pStyle w:val="BodyText"/>
        <w:ind w:left="1919" w:right="415" w:firstLine="0"/>
        <w:jc w:val="left"/>
      </w:pPr>
      <w:r>
        <w:rPr/>
        <w:t>to ActewAGL's </w:t>
      </w:r>
      <w:r>
        <w:rPr>
          <w:i/>
        </w:rPr>
        <w:t>annual revenue requirement </w:t>
      </w:r>
      <w:r>
        <w:rPr/>
        <w:t>determined under rule 6.4 for the first regulatory year of the subsequent regulatory control period.</w:t>
      </w:r>
    </w:p>
    <w:p>
      <w:pPr>
        <w:pStyle w:val="ListParagraph"/>
        <w:numPr>
          <w:ilvl w:val="0"/>
          <w:numId w:val="670"/>
        </w:numPr>
        <w:tabs>
          <w:tab w:pos="1920" w:val="left" w:leader="none"/>
        </w:tabs>
        <w:spacing w:line="240" w:lineRule="auto" w:before="120" w:after="0"/>
        <w:ind w:left="1919" w:right="415" w:hanging="567"/>
        <w:jc w:val="both"/>
        <w:rPr>
          <w:sz w:val="24"/>
        </w:rPr>
      </w:pPr>
      <w:r>
        <w:rPr>
          <w:sz w:val="24"/>
        </w:rPr>
        <w:t>Any subsequent adjustment amount included as a revenue increase or revenue decrease under paragraph (e) must not be considered by the </w:t>
      </w:r>
      <w:r>
        <w:rPr>
          <w:i/>
          <w:sz w:val="24"/>
        </w:rPr>
        <w:t>AER </w:t>
      </w:r>
      <w:r>
        <w:rPr>
          <w:sz w:val="24"/>
        </w:rPr>
        <w:t>when determining whether any amount is payable or recoverable by ActewAGL under any scheme that applies to it in respect of the subsequent regulatory control</w:t>
      </w:r>
      <w:r>
        <w:rPr>
          <w:spacing w:val="-1"/>
          <w:sz w:val="24"/>
        </w:rPr>
        <w:t> </w:t>
      </w:r>
      <w:r>
        <w:rPr>
          <w:sz w:val="24"/>
        </w:rPr>
        <w:t>period.</w:t>
      </w:r>
    </w:p>
    <w:p>
      <w:pPr>
        <w:pStyle w:val="BodyText"/>
        <w:spacing w:before="10"/>
        <w:ind w:firstLine="0"/>
        <w:jc w:val="left"/>
        <w:rPr>
          <w:sz w:val="20"/>
        </w:rPr>
      </w:pPr>
    </w:p>
    <w:p>
      <w:pPr>
        <w:pStyle w:val="Heading4"/>
        <w:tabs>
          <w:tab w:pos="1351" w:val="left" w:leader="none"/>
        </w:tabs>
        <w:ind w:left="1352" w:right="567"/>
      </w:pPr>
      <w:bookmarkStart w:name="8A.15.5 Recovery of revenue in subsequen" w:id="2405"/>
      <w:bookmarkEnd w:id="2405"/>
      <w:r>
        <w:rPr>
          <w:b w:val="0"/>
        </w:rPr>
      </w:r>
      <w:bookmarkStart w:name="_bookmark1005" w:id="2406"/>
      <w:bookmarkEnd w:id="2406"/>
      <w:r>
        <w:rPr>
          <w:b w:val="0"/>
        </w:rPr>
      </w:r>
      <w:r>
        <w:rPr/>
        <w:t>8A.15.5</w:t>
        <w:tab/>
        <w:t>Recovery of revenue in subsequent regulatory control period only and no reopening of subsequent distribution determination</w:t>
      </w:r>
      <w:r>
        <w:rPr>
          <w:spacing w:val="-27"/>
        </w:rPr>
        <w:t> </w:t>
      </w:r>
      <w:r>
        <w:rPr/>
        <w:t>required</w:t>
      </w:r>
    </w:p>
    <w:p>
      <w:pPr>
        <w:spacing w:before="220"/>
        <w:ind w:left="1356" w:right="0" w:firstLine="0"/>
        <w:jc w:val="left"/>
        <w:rPr>
          <w:rFonts w:ascii="Arial"/>
          <w:b/>
          <w:sz w:val="22"/>
        </w:rPr>
      </w:pPr>
      <w:r>
        <w:rPr>
          <w:rFonts w:ascii="Arial"/>
          <w:b/>
          <w:sz w:val="22"/>
        </w:rPr>
        <w:t>General</w:t>
      </w:r>
    </w:p>
    <w:p>
      <w:pPr>
        <w:pStyle w:val="ListParagraph"/>
        <w:numPr>
          <w:ilvl w:val="0"/>
          <w:numId w:val="671"/>
        </w:numPr>
        <w:tabs>
          <w:tab w:pos="1919" w:val="left" w:leader="none"/>
        </w:tabs>
        <w:spacing w:line="240" w:lineRule="auto" w:before="120" w:after="0"/>
        <w:ind w:left="1919" w:right="414" w:hanging="567"/>
        <w:jc w:val="both"/>
        <w:rPr>
          <w:sz w:val="24"/>
        </w:rPr>
      </w:pPr>
      <w:r>
        <w:rPr>
          <w:sz w:val="24"/>
        </w:rPr>
        <w:t>This clause 8A.15.5 applies in respect of ActewAGL if a remade 2015 determination is made by the </w:t>
      </w:r>
      <w:r>
        <w:rPr>
          <w:i/>
          <w:sz w:val="24"/>
        </w:rPr>
        <w:t>AER </w:t>
      </w:r>
      <w:r>
        <w:rPr>
          <w:sz w:val="24"/>
        </w:rPr>
        <w:t>on or after 1 March 2018, but prior to 1 May</w:t>
      </w:r>
      <w:r>
        <w:rPr>
          <w:spacing w:val="-2"/>
          <w:sz w:val="24"/>
        </w:rPr>
        <w:t> </w:t>
      </w:r>
      <w:r>
        <w:rPr>
          <w:sz w:val="24"/>
        </w:rPr>
        <w:t>2019.</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71"/>
        </w:numPr>
        <w:tabs>
          <w:tab w:pos="1918" w:val="left" w:leader="none"/>
          <w:tab w:pos="1919" w:val="left" w:leader="none"/>
        </w:tabs>
        <w:spacing w:line="240" w:lineRule="auto" w:before="120" w:after="0"/>
        <w:ind w:left="1919" w:right="415" w:hanging="567"/>
        <w:jc w:val="left"/>
        <w:rPr>
          <w:sz w:val="24"/>
        </w:rPr>
      </w:pPr>
      <w:r>
        <w:rPr>
          <w:sz w:val="24"/>
        </w:rPr>
        <w:t>If paragraph (a) applies, the </w:t>
      </w:r>
      <w:r>
        <w:rPr>
          <w:i/>
          <w:sz w:val="24"/>
        </w:rPr>
        <w:t>AER </w:t>
      </w:r>
      <w:r>
        <w:rPr>
          <w:sz w:val="24"/>
        </w:rPr>
        <w:t>must determine at the time of making the remade 2015</w:t>
      </w:r>
      <w:r>
        <w:rPr>
          <w:spacing w:val="-2"/>
          <w:sz w:val="24"/>
        </w:rPr>
        <w:t> </w:t>
      </w:r>
      <w:r>
        <w:rPr>
          <w:sz w:val="24"/>
        </w:rPr>
        <w:t>determination:</w:t>
      </w:r>
    </w:p>
    <w:p>
      <w:pPr>
        <w:pStyle w:val="ListParagraph"/>
        <w:numPr>
          <w:ilvl w:val="1"/>
          <w:numId w:val="671"/>
        </w:numPr>
        <w:tabs>
          <w:tab w:pos="2485" w:val="left" w:leader="none"/>
          <w:tab w:pos="2486" w:val="left" w:leader="none"/>
        </w:tabs>
        <w:spacing w:line="240" w:lineRule="auto" w:before="120" w:after="0"/>
        <w:ind w:left="2485" w:right="0" w:hanging="567"/>
        <w:jc w:val="left"/>
        <w:rPr>
          <w:sz w:val="24"/>
        </w:rPr>
      </w:pPr>
      <w:r>
        <w:rPr>
          <w:sz w:val="24"/>
        </w:rPr>
        <w:t>the distribution variation</w:t>
      </w:r>
      <w:r>
        <w:rPr>
          <w:spacing w:val="-1"/>
          <w:sz w:val="24"/>
        </w:rPr>
        <w:t> </w:t>
      </w:r>
      <w:r>
        <w:rPr>
          <w:sz w:val="24"/>
        </w:rPr>
        <w:t>amount;</w:t>
      </w:r>
    </w:p>
    <w:p>
      <w:pPr>
        <w:pStyle w:val="ListParagraph"/>
        <w:numPr>
          <w:ilvl w:val="1"/>
          <w:numId w:val="671"/>
        </w:numPr>
        <w:tabs>
          <w:tab w:pos="2485" w:val="left" w:leader="none"/>
          <w:tab w:pos="2486" w:val="left" w:leader="none"/>
        </w:tabs>
        <w:spacing w:line="240" w:lineRule="auto" w:before="120" w:after="0"/>
        <w:ind w:left="2485" w:right="0" w:hanging="567"/>
        <w:jc w:val="left"/>
        <w:rPr>
          <w:sz w:val="24"/>
        </w:rPr>
      </w:pPr>
      <w:r>
        <w:rPr>
          <w:sz w:val="24"/>
        </w:rPr>
        <w:t>the transmission variation amount;</w:t>
      </w:r>
      <w:r>
        <w:rPr>
          <w:spacing w:val="-2"/>
          <w:sz w:val="24"/>
        </w:rPr>
        <w:t> </w:t>
      </w:r>
      <w:r>
        <w:rPr>
          <w:sz w:val="24"/>
        </w:rPr>
        <w:t>and</w:t>
      </w:r>
    </w:p>
    <w:p>
      <w:pPr>
        <w:pStyle w:val="ListParagraph"/>
        <w:numPr>
          <w:ilvl w:val="1"/>
          <w:numId w:val="671"/>
        </w:numPr>
        <w:tabs>
          <w:tab w:pos="2485" w:val="left" w:leader="none"/>
          <w:tab w:pos="2486" w:val="left" w:leader="none"/>
        </w:tabs>
        <w:spacing w:line="343" w:lineRule="auto" w:before="120" w:after="0"/>
        <w:ind w:left="1919" w:right="4259" w:firstLine="0"/>
        <w:jc w:val="left"/>
        <w:rPr>
          <w:sz w:val="24"/>
        </w:rPr>
      </w:pPr>
      <w:r>
        <w:rPr>
          <w:sz w:val="24"/>
        </w:rPr>
        <w:t>the metering variation </w:t>
      </w:r>
      <w:r>
        <w:rPr>
          <w:spacing w:val="-3"/>
          <w:sz w:val="24"/>
        </w:rPr>
        <w:t>amount, </w:t>
      </w:r>
      <w:r>
        <w:rPr>
          <w:sz w:val="24"/>
        </w:rPr>
        <w:t>for</w:t>
      </w:r>
      <w:r>
        <w:rPr>
          <w:spacing w:val="-1"/>
          <w:sz w:val="24"/>
        </w:rPr>
        <w:t> </w:t>
      </w:r>
      <w:r>
        <w:rPr>
          <w:sz w:val="24"/>
        </w:rPr>
        <w:t>ActewAGL.</w:t>
      </w:r>
    </w:p>
    <w:p>
      <w:pPr>
        <w:spacing w:before="103"/>
        <w:ind w:left="1356" w:right="0" w:firstLine="0"/>
        <w:jc w:val="left"/>
        <w:rPr>
          <w:rFonts w:ascii="Arial"/>
          <w:b/>
          <w:sz w:val="22"/>
        </w:rPr>
      </w:pPr>
      <w:r>
        <w:rPr>
          <w:rFonts w:ascii="Arial"/>
          <w:b/>
          <w:sz w:val="22"/>
        </w:rPr>
        <w:t>Recovery in subsequent regulatory control period</w:t>
      </w:r>
    </w:p>
    <w:p>
      <w:pPr>
        <w:pStyle w:val="ListParagraph"/>
        <w:numPr>
          <w:ilvl w:val="0"/>
          <w:numId w:val="671"/>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AER </w:t>
      </w:r>
      <w:r>
        <w:rPr>
          <w:sz w:val="24"/>
        </w:rPr>
        <w:t>must include an amount equivalent in net present value terms</w:t>
      </w:r>
      <w:r>
        <w:rPr>
          <w:spacing w:val="-5"/>
          <w:sz w:val="24"/>
        </w:rPr>
        <w:t> </w:t>
      </w:r>
      <w:r>
        <w:rPr>
          <w:sz w:val="24"/>
        </w:rPr>
        <w:t>to:</w:t>
      </w:r>
    </w:p>
    <w:p>
      <w:pPr>
        <w:pStyle w:val="ListParagraph"/>
        <w:numPr>
          <w:ilvl w:val="1"/>
          <w:numId w:val="671"/>
        </w:numPr>
        <w:tabs>
          <w:tab w:pos="2485" w:val="left" w:leader="none"/>
          <w:tab w:pos="2486" w:val="left" w:leader="none"/>
        </w:tabs>
        <w:spacing w:line="240" w:lineRule="auto" w:before="120" w:after="0"/>
        <w:ind w:left="2485" w:right="0" w:hanging="567"/>
        <w:jc w:val="left"/>
        <w:rPr>
          <w:sz w:val="24"/>
        </w:rPr>
      </w:pPr>
      <w:r>
        <w:rPr>
          <w:sz w:val="24"/>
        </w:rPr>
        <w:t>the distribution variation</w:t>
      </w:r>
      <w:r>
        <w:rPr>
          <w:spacing w:val="-1"/>
          <w:sz w:val="24"/>
        </w:rPr>
        <w:t> </w:t>
      </w:r>
      <w:r>
        <w:rPr>
          <w:sz w:val="24"/>
        </w:rPr>
        <w:t>amount;</w:t>
      </w:r>
    </w:p>
    <w:p>
      <w:pPr>
        <w:pStyle w:val="ListParagraph"/>
        <w:numPr>
          <w:ilvl w:val="1"/>
          <w:numId w:val="671"/>
        </w:numPr>
        <w:tabs>
          <w:tab w:pos="2485" w:val="left" w:leader="none"/>
          <w:tab w:pos="2486" w:val="left" w:leader="none"/>
        </w:tabs>
        <w:spacing w:line="240" w:lineRule="auto" w:before="120" w:after="0"/>
        <w:ind w:left="2485" w:right="0" w:hanging="567"/>
        <w:jc w:val="left"/>
        <w:rPr>
          <w:sz w:val="24"/>
        </w:rPr>
      </w:pPr>
      <w:r>
        <w:rPr>
          <w:sz w:val="24"/>
        </w:rPr>
        <w:t>the transmission variation amount;</w:t>
      </w:r>
      <w:r>
        <w:rPr>
          <w:spacing w:val="-2"/>
          <w:sz w:val="24"/>
        </w:rPr>
        <w:t> </w:t>
      </w:r>
      <w:r>
        <w:rPr>
          <w:sz w:val="24"/>
        </w:rPr>
        <w:t>and</w:t>
      </w:r>
    </w:p>
    <w:p>
      <w:pPr>
        <w:pStyle w:val="ListParagraph"/>
        <w:numPr>
          <w:ilvl w:val="1"/>
          <w:numId w:val="671"/>
        </w:numPr>
        <w:tabs>
          <w:tab w:pos="2485" w:val="left" w:leader="none"/>
          <w:tab w:pos="2486" w:val="left" w:leader="none"/>
        </w:tabs>
        <w:spacing w:line="343" w:lineRule="auto" w:before="120" w:after="0"/>
        <w:ind w:left="1919" w:right="4259" w:firstLine="0"/>
        <w:jc w:val="left"/>
        <w:rPr>
          <w:sz w:val="24"/>
        </w:rPr>
      </w:pPr>
      <w:r>
        <w:rPr>
          <w:sz w:val="24"/>
        </w:rPr>
        <w:t>the metering variation </w:t>
      </w:r>
      <w:r>
        <w:rPr>
          <w:spacing w:val="-3"/>
          <w:sz w:val="24"/>
        </w:rPr>
        <w:t>amount, </w:t>
      </w:r>
      <w:r>
        <w:rPr>
          <w:sz w:val="24"/>
        </w:rPr>
        <w:t>determined under paragraph (b)</w:t>
      </w:r>
      <w:r>
        <w:rPr>
          <w:spacing w:val="-3"/>
          <w:sz w:val="24"/>
        </w:rPr>
        <w:t> </w:t>
      </w:r>
      <w:r>
        <w:rPr>
          <w:sz w:val="24"/>
        </w:rPr>
        <w:t>as:</w:t>
      </w:r>
    </w:p>
    <w:p>
      <w:pPr>
        <w:pStyle w:val="ListParagraph"/>
        <w:numPr>
          <w:ilvl w:val="1"/>
          <w:numId w:val="671"/>
        </w:numPr>
        <w:tabs>
          <w:tab w:pos="2486" w:val="left" w:leader="none"/>
        </w:tabs>
        <w:spacing w:line="240" w:lineRule="auto" w:before="3" w:after="0"/>
        <w:ind w:left="2486" w:right="414" w:hanging="567"/>
        <w:jc w:val="both"/>
        <w:rPr>
          <w:sz w:val="24"/>
        </w:rPr>
      </w:pPr>
      <w:r>
        <w:rPr>
          <w:sz w:val="24"/>
        </w:rPr>
        <w:t>if the applicable distribution variation amount, transmission variation amount or metering variation amount (as the case may be) is a positive amount, a revenue increase;</w:t>
      </w:r>
      <w:r>
        <w:rPr>
          <w:spacing w:val="-2"/>
          <w:sz w:val="24"/>
        </w:rPr>
        <w:t> </w:t>
      </w:r>
      <w:r>
        <w:rPr>
          <w:sz w:val="24"/>
        </w:rPr>
        <w:t>or</w:t>
      </w:r>
    </w:p>
    <w:p>
      <w:pPr>
        <w:pStyle w:val="ListParagraph"/>
        <w:numPr>
          <w:ilvl w:val="1"/>
          <w:numId w:val="671"/>
        </w:numPr>
        <w:tabs>
          <w:tab w:pos="2486" w:val="left" w:leader="none"/>
        </w:tabs>
        <w:spacing w:line="240" w:lineRule="auto" w:before="120" w:after="0"/>
        <w:ind w:left="2486" w:right="414" w:hanging="567"/>
        <w:jc w:val="both"/>
        <w:rPr>
          <w:sz w:val="24"/>
        </w:rPr>
      </w:pPr>
      <w:r>
        <w:rPr>
          <w:sz w:val="24"/>
        </w:rPr>
        <w:t>if the applicable distribution variation amount, transmission variation amount or metering variation amount (as the case may be) is a negative amount, a revenue decrease;</w:t>
      </w:r>
      <w:r>
        <w:rPr>
          <w:spacing w:val="-1"/>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1"/>
          <w:numId w:val="671"/>
        </w:numPr>
        <w:tabs>
          <w:tab w:pos="2486" w:val="left" w:leader="none"/>
        </w:tabs>
        <w:spacing w:line="240" w:lineRule="auto" w:before="83" w:after="0"/>
        <w:ind w:left="2486" w:right="414" w:hanging="567"/>
        <w:jc w:val="both"/>
        <w:rPr>
          <w:sz w:val="24"/>
        </w:rPr>
      </w:pPr>
      <w:r>
        <w:rPr>
          <w:sz w:val="24"/>
        </w:rPr>
        <w:t>if the applicable distribution variation amount, transmission variation amount or metering variation amount (as the case may be) is zero, </w:t>
      </w:r>
      <w:r>
        <w:rPr>
          <w:spacing w:val="-6"/>
          <w:sz w:val="24"/>
        </w:rPr>
        <w:t>no </w:t>
      </w:r>
      <w:r>
        <w:rPr>
          <w:sz w:val="24"/>
        </w:rPr>
        <w:t>adjustment,</w:t>
      </w:r>
    </w:p>
    <w:p>
      <w:pPr>
        <w:pStyle w:val="BodyText"/>
        <w:ind w:left="1919" w:firstLine="0"/>
      </w:pPr>
      <w:r>
        <w:rPr/>
        <w:t>to ActewAGL's:</w:t>
      </w:r>
    </w:p>
    <w:p>
      <w:pPr>
        <w:pStyle w:val="ListParagraph"/>
        <w:numPr>
          <w:ilvl w:val="1"/>
          <w:numId w:val="671"/>
        </w:numPr>
        <w:tabs>
          <w:tab w:pos="2486" w:val="left" w:leader="none"/>
        </w:tabs>
        <w:spacing w:line="240" w:lineRule="auto" w:before="120" w:after="0"/>
        <w:ind w:left="2486" w:right="414" w:hanging="567"/>
        <w:jc w:val="both"/>
        <w:rPr>
          <w:sz w:val="24"/>
        </w:rPr>
      </w:pPr>
      <w:r>
        <w:rPr>
          <w:sz w:val="24"/>
        </w:rPr>
        <w:t>in the case of the distribution variation amount and transmission variation amount, </w:t>
      </w:r>
      <w:r>
        <w:rPr>
          <w:i/>
          <w:sz w:val="24"/>
        </w:rPr>
        <w:t>annual revenue requirement </w:t>
      </w:r>
      <w:r>
        <w:rPr>
          <w:sz w:val="24"/>
        </w:rPr>
        <w:t>determined under rule 6.4; and</w:t>
      </w:r>
    </w:p>
    <w:p>
      <w:pPr>
        <w:pStyle w:val="ListParagraph"/>
        <w:numPr>
          <w:ilvl w:val="1"/>
          <w:numId w:val="671"/>
        </w:numPr>
        <w:tabs>
          <w:tab w:pos="2486" w:val="left" w:leader="none"/>
        </w:tabs>
        <w:spacing w:line="240" w:lineRule="auto" w:before="120" w:after="0"/>
        <w:ind w:left="2486" w:right="414" w:hanging="567"/>
        <w:jc w:val="both"/>
        <w:rPr>
          <w:sz w:val="24"/>
        </w:rPr>
      </w:pPr>
      <w:r>
        <w:rPr>
          <w:sz w:val="24"/>
        </w:rPr>
        <w:t>in the case of the metering variation amount, applicable building block revenue</w:t>
      </w:r>
      <w:r>
        <w:rPr>
          <w:spacing w:val="-1"/>
          <w:sz w:val="24"/>
        </w:rPr>
        <w:t> </w:t>
      </w:r>
      <w:r>
        <w:rPr>
          <w:sz w:val="24"/>
        </w:rPr>
        <w:t>requirement,</w:t>
      </w:r>
    </w:p>
    <w:p>
      <w:pPr>
        <w:pStyle w:val="BodyText"/>
        <w:ind w:left="1919" w:firstLine="0"/>
      </w:pPr>
      <w:r>
        <w:rPr/>
        <w:t>for the first regulatory year of the subsequent regulatory control period.</w:t>
      </w:r>
    </w:p>
    <w:p>
      <w:pPr>
        <w:pStyle w:val="ListParagraph"/>
        <w:numPr>
          <w:ilvl w:val="0"/>
          <w:numId w:val="671"/>
        </w:numPr>
        <w:tabs>
          <w:tab w:pos="1919" w:val="left" w:leader="none"/>
        </w:tabs>
        <w:spacing w:line="240" w:lineRule="auto" w:before="120" w:after="0"/>
        <w:ind w:left="1919" w:right="414" w:hanging="567"/>
        <w:jc w:val="both"/>
        <w:rPr>
          <w:sz w:val="24"/>
        </w:rPr>
      </w:pPr>
      <w:r>
        <w:rPr>
          <w:sz w:val="24"/>
        </w:rPr>
        <w:t>When making an adjustment determination under this clause 8A.15.5, the </w:t>
      </w:r>
      <w:r>
        <w:rPr>
          <w:i/>
          <w:sz w:val="24"/>
        </w:rPr>
        <w:t>AER </w:t>
      </w:r>
      <w:r>
        <w:rPr>
          <w:sz w:val="24"/>
        </w:rPr>
        <w:t>must be satisfied that the application of the distribution variation amount, transmission variation amount and metering variation amount under paragraph (c) achieves the revenue recovery principle in respect of ActewAGL.</w:t>
      </w:r>
    </w:p>
    <w:p>
      <w:pPr>
        <w:pStyle w:val="ListParagraph"/>
        <w:numPr>
          <w:ilvl w:val="0"/>
          <w:numId w:val="671"/>
        </w:numPr>
        <w:tabs>
          <w:tab w:pos="1919" w:val="left" w:leader="none"/>
        </w:tabs>
        <w:spacing w:line="240" w:lineRule="auto" w:before="120" w:after="0"/>
        <w:ind w:left="1919" w:right="414" w:hanging="567"/>
        <w:jc w:val="both"/>
        <w:rPr>
          <w:sz w:val="24"/>
        </w:rPr>
      </w:pPr>
      <w:r>
        <w:rPr>
          <w:sz w:val="24"/>
        </w:rPr>
        <w:t>A distribution variation amount, transmission variation amount or metering variation amount included as a revenue increase or revenue decrease under paragraph (c), must not be considered by the </w:t>
      </w:r>
      <w:r>
        <w:rPr>
          <w:i/>
          <w:sz w:val="24"/>
        </w:rPr>
        <w:t>AER </w:t>
      </w:r>
      <w:r>
        <w:rPr>
          <w:sz w:val="24"/>
        </w:rPr>
        <w:t>when determining whether any amount is payable or recoverable by ActewAGL under any scheme that applies to it in respect of the subsequent regulatory control period.</w:t>
      </w:r>
    </w:p>
    <w:p>
      <w:pPr>
        <w:pStyle w:val="BodyText"/>
        <w:spacing w:before="10"/>
        <w:ind w:firstLine="0"/>
        <w:jc w:val="left"/>
        <w:rPr>
          <w:sz w:val="20"/>
        </w:rPr>
      </w:pPr>
    </w:p>
    <w:p>
      <w:pPr>
        <w:pStyle w:val="Heading4"/>
        <w:tabs>
          <w:tab w:pos="1351" w:val="left" w:leader="none"/>
        </w:tabs>
        <w:ind w:left="1352" w:right="820"/>
      </w:pPr>
      <w:bookmarkStart w:name="8A.15.6 Recovery of revenue in subsequen" w:id="2407"/>
      <w:bookmarkEnd w:id="2407"/>
      <w:r>
        <w:rPr>
          <w:b w:val="0"/>
        </w:rPr>
      </w:r>
      <w:bookmarkStart w:name="_bookmark1006" w:id="2408"/>
      <w:bookmarkEnd w:id="2408"/>
      <w:r>
        <w:rPr>
          <w:b w:val="0"/>
        </w:rPr>
      </w:r>
      <w:r>
        <w:rPr/>
        <w:t>8A.15.6</w:t>
        <w:tab/>
        <w:t>Recovery of revenue in subsequent regulatory control period only and reopening of distribution determination is</w:t>
      </w:r>
      <w:r>
        <w:rPr>
          <w:spacing w:val="-9"/>
        </w:rPr>
        <w:t> </w:t>
      </w:r>
      <w:r>
        <w:rPr/>
        <w:t>required</w:t>
      </w:r>
    </w:p>
    <w:p>
      <w:pPr>
        <w:spacing w:before="220"/>
        <w:ind w:left="1356" w:right="0" w:firstLine="0"/>
        <w:jc w:val="left"/>
        <w:rPr>
          <w:rFonts w:ascii="Arial"/>
          <w:b/>
          <w:sz w:val="22"/>
        </w:rPr>
      </w:pPr>
      <w:r>
        <w:rPr>
          <w:rFonts w:ascii="Arial"/>
          <w:b/>
          <w:sz w:val="22"/>
        </w:rPr>
        <w:t>General</w:t>
      </w:r>
    </w:p>
    <w:p>
      <w:pPr>
        <w:pStyle w:val="ListParagraph"/>
        <w:numPr>
          <w:ilvl w:val="0"/>
          <w:numId w:val="672"/>
        </w:numPr>
        <w:tabs>
          <w:tab w:pos="1919" w:val="left" w:leader="none"/>
        </w:tabs>
        <w:spacing w:line="240" w:lineRule="auto" w:before="120" w:after="0"/>
        <w:ind w:left="1919" w:right="415" w:hanging="567"/>
        <w:jc w:val="both"/>
        <w:rPr>
          <w:sz w:val="24"/>
        </w:rPr>
      </w:pPr>
      <w:r>
        <w:rPr>
          <w:sz w:val="24"/>
        </w:rPr>
        <w:t>This clause 8A.15.6 applies in respect of ActewAGL if a remade 2015 determination is made by the </w:t>
      </w:r>
      <w:r>
        <w:rPr>
          <w:i/>
          <w:sz w:val="24"/>
        </w:rPr>
        <w:t>AER </w:t>
      </w:r>
      <w:r>
        <w:rPr>
          <w:sz w:val="24"/>
        </w:rPr>
        <w:t>on or after 1 May 2019, but prior to 1 December of the fourth last regulatory year of the subsequent regulatory control period.</w:t>
      </w:r>
    </w:p>
    <w:p>
      <w:pPr>
        <w:spacing w:before="220"/>
        <w:ind w:left="1356" w:right="0" w:firstLine="0"/>
        <w:jc w:val="left"/>
        <w:rPr>
          <w:rFonts w:ascii="Arial"/>
          <w:b/>
          <w:sz w:val="22"/>
        </w:rPr>
      </w:pPr>
      <w:r>
        <w:rPr>
          <w:rFonts w:ascii="Arial"/>
          <w:b/>
          <w:sz w:val="22"/>
        </w:rPr>
        <w:t>Adjustment determination</w:t>
      </w:r>
    </w:p>
    <w:p>
      <w:pPr>
        <w:pStyle w:val="ListParagraph"/>
        <w:numPr>
          <w:ilvl w:val="0"/>
          <w:numId w:val="672"/>
        </w:numPr>
        <w:tabs>
          <w:tab w:pos="1918" w:val="left" w:leader="none"/>
          <w:tab w:pos="1919" w:val="left" w:leader="none"/>
        </w:tabs>
        <w:spacing w:line="240" w:lineRule="auto" w:before="120" w:after="0"/>
        <w:ind w:left="1919" w:right="415" w:hanging="567"/>
        <w:jc w:val="left"/>
        <w:rPr>
          <w:sz w:val="24"/>
        </w:rPr>
      </w:pPr>
      <w:r>
        <w:rPr>
          <w:sz w:val="24"/>
        </w:rPr>
        <w:t>If paragraph (a) applies, the </w:t>
      </w:r>
      <w:r>
        <w:rPr>
          <w:i/>
          <w:sz w:val="24"/>
        </w:rPr>
        <w:t>AER </w:t>
      </w:r>
      <w:r>
        <w:rPr>
          <w:sz w:val="24"/>
        </w:rPr>
        <w:t>must determine at the time of making the remade 2015</w:t>
      </w:r>
      <w:r>
        <w:rPr>
          <w:spacing w:val="-2"/>
          <w:sz w:val="24"/>
        </w:rPr>
        <w:t> </w:t>
      </w:r>
      <w:r>
        <w:rPr>
          <w:sz w:val="24"/>
        </w:rPr>
        <w:t>determination:</w:t>
      </w:r>
    </w:p>
    <w:p>
      <w:pPr>
        <w:pStyle w:val="ListParagraph"/>
        <w:numPr>
          <w:ilvl w:val="1"/>
          <w:numId w:val="672"/>
        </w:numPr>
        <w:tabs>
          <w:tab w:pos="2485" w:val="left" w:leader="none"/>
          <w:tab w:pos="2486" w:val="left" w:leader="none"/>
        </w:tabs>
        <w:spacing w:line="240" w:lineRule="auto" w:before="120" w:after="0"/>
        <w:ind w:left="2485" w:right="0" w:hanging="567"/>
        <w:jc w:val="left"/>
        <w:rPr>
          <w:sz w:val="24"/>
        </w:rPr>
      </w:pPr>
      <w:r>
        <w:rPr>
          <w:sz w:val="24"/>
        </w:rPr>
        <w:t>the distribution variation</w:t>
      </w:r>
      <w:r>
        <w:rPr>
          <w:spacing w:val="-1"/>
          <w:sz w:val="24"/>
        </w:rPr>
        <w:t> </w:t>
      </w:r>
      <w:r>
        <w:rPr>
          <w:sz w:val="24"/>
        </w:rPr>
        <w:t>amount;</w:t>
      </w:r>
    </w:p>
    <w:p>
      <w:pPr>
        <w:pStyle w:val="ListParagraph"/>
        <w:numPr>
          <w:ilvl w:val="1"/>
          <w:numId w:val="672"/>
        </w:numPr>
        <w:tabs>
          <w:tab w:pos="2485" w:val="left" w:leader="none"/>
          <w:tab w:pos="2486" w:val="left" w:leader="none"/>
        </w:tabs>
        <w:spacing w:line="240" w:lineRule="auto" w:before="120" w:after="0"/>
        <w:ind w:left="2485" w:right="0" w:hanging="567"/>
        <w:jc w:val="left"/>
        <w:rPr>
          <w:sz w:val="24"/>
        </w:rPr>
      </w:pPr>
      <w:r>
        <w:rPr>
          <w:sz w:val="24"/>
        </w:rPr>
        <w:t>the transmission variation amount;</w:t>
      </w:r>
      <w:r>
        <w:rPr>
          <w:spacing w:val="-2"/>
          <w:sz w:val="24"/>
        </w:rPr>
        <w:t> </w:t>
      </w:r>
      <w:r>
        <w:rPr>
          <w:sz w:val="24"/>
        </w:rPr>
        <w:t>and</w:t>
      </w:r>
    </w:p>
    <w:p>
      <w:pPr>
        <w:pStyle w:val="ListParagraph"/>
        <w:numPr>
          <w:ilvl w:val="1"/>
          <w:numId w:val="672"/>
        </w:numPr>
        <w:tabs>
          <w:tab w:pos="2485" w:val="left" w:leader="none"/>
          <w:tab w:pos="2486" w:val="left" w:leader="none"/>
        </w:tabs>
        <w:spacing w:line="343" w:lineRule="auto" w:before="120" w:after="0"/>
        <w:ind w:left="1919" w:right="4259" w:firstLine="0"/>
        <w:jc w:val="left"/>
        <w:rPr>
          <w:sz w:val="24"/>
        </w:rPr>
      </w:pPr>
      <w:r>
        <w:rPr>
          <w:sz w:val="24"/>
        </w:rPr>
        <w:t>the metering variation </w:t>
      </w:r>
      <w:r>
        <w:rPr>
          <w:spacing w:val="-3"/>
          <w:sz w:val="24"/>
        </w:rPr>
        <w:t>amount, </w:t>
      </w:r>
      <w:r>
        <w:rPr>
          <w:sz w:val="24"/>
        </w:rPr>
        <w:t>for</w:t>
      </w:r>
      <w:r>
        <w:rPr>
          <w:spacing w:val="-1"/>
          <w:sz w:val="24"/>
        </w:rPr>
        <w:t> </w:t>
      </w:r>
      <w:r>
        <w:rPr>
          <w:sz w:val="24"/>
        </w:rPr>
        <w:t>ActewAGL.</w:t>
      </w:r>
    </w:p>
    <w:p>
      <w:pPr>
        <w:spacing w:before="103"/>
        <w:ind w:left="1356" w:right="0" w:firstLine="0"/>
        <w:jc w:val="left"/>
        <w:rPr>
          <w:rFonts w:ascii="Arial"/>
          <w:b/>
          <w:sz w:val="22"/>
        </w:rPr>
      </w:pPr>
      <w:r>
        <w:rPr>
          <w:rFonts w:ascii="Arial"/>
          <w:b/>
          <w:sz w:val="22"/>
        </w:rPr>
        <w:t>Recovery in subsequent regulatory control period</w:t>
      </w:r>
    </w:p>
    <w:p>
      <w:pPr>
        <w:pStyle w:val="ListParagraph"/>
        <w:numPr>
          <w:ilvl w:val="0"/>
          <w:numId w:val="672"/>
        </w:numPr>
        <w:tabs>
          <w:tab w:pos="1919" w:val="left" w:leader="none"/>
        </w:tabs>
        <w:spacing w:line="240" w:lineRule="auto" w:before="120" w:after="0"/>
        <w:ind w:left="1919" w:right="415" w:hanging="567"/>
        <w:jc w:val="both"/>
        <w:rPr>
          <w:sz w:val="24"/>
        </w:rPr>
      </w:pPr>
      <w:r>
        <w:rPr>
          <w:sz w:val="24"/>
        </w:rPr>
        <w:t>If paragraph (a) applies, the </w:t>
      </w:r>
      <w:r>
        <w:rPr>
          <w:i/>
          <w:sz w:val="24"/>
        </w:rPr>
        <w:t>AER </w:t>
      </w:r>
      <w:r>
        <w:rPr>
          <w:sz w:val="24"/>
        </w:rPr>
        <w:t>must revoke ActewAGL's</w:t>
      </w:r>
      <w:r>
        <w:rPr>
          <w:spacing w:val="28"/>
          <w:sz w:val="24"/>
        </w:rPr>
        <w:t> </w:t>
      </w:r>
      <w:r>
        <w:rPr>
          <w:sz w:val="24"/>
        </w:rPr>
        <w:t>subsequent distribution determination and make a new distribution determination in substitution for that revoked determination,</w:t>
      </w:r>
      <w:r>
        <w:rPr>
          <w:spacing w:val="-3"/>
          <w:sz w:val="24"/>
        </w:rPr>
        <w:t> </w:t>
      </w:r>
      <w:r>
        <w:rPr>
          <w:sz w:val="24"/>
        </w:rPr>
        <w:t>that:</w:t>
      </w:r>
    </w:p>
    <w:p>
      <w:pPr>
        <w:pStyle w:val="ListParagraph"/>
        <w:numPr>
          <w:ilvl w:val="1"/>
          <w:numId w:val="672"/>
        </w:numPr>
        <w:tabs>
          <w:tab w:pos="2486" w:val="left" w:leader="none"/>
        </w:tabs>
        <w:spacing w:line="240" w:lineRule="auto" w:before="120" w:after="0"/>
        <w:ind w:left="2486" w:right="415" w:hanging="567"/>
        <w:jc w:val="both"/>
        <w:rPr>
          <w:sz w:val="24"/>
        </w:rPr>
      </w:pPr>
      <w:r>
        <w:rPr>
          <w:sz w:val="24"/>
        </w:rPr>
        <w:t>applies to the remaining regulatory years of the subsequent </w:t>
      </w:r>
      <w:r>
        <w:rPr>
          <w:spacing w:val="-3"/>
          <w:sz w:val="24"/>
        </w:rPr>
        <w:t>regulatory </w:t>
      </w:r>
      <w:r>
        <w:rPr>
          <w:sz w:val="24"/>
        </w:rPr>
        <w:t>control period;</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72"/>
        </w:numPr>
        <w:tabs>
          <w:tab w:pos="2485" w:val="left" w:leader="none"/>
          <w:tab w:pos="2486" w:val="left" w:leader="none"/>
        </w:tabs>
        <w:spacing w:line="240" w:lineRule="auto" w:before="83" w:after="0"/>
        <w:ind w:left="2485" w:right="0" w:hanging="567"/>
        <w:jc w:val="left"/>
        <w:rPr>
          <w:sz w:val="24"/>
        </w:rPr>
      </w:pPr>
      <w:r>
        <w:rPr>
          <w:sz w:val="24"/>
        </w:rPr>
        <w:t>includes an amount equivalent in net present value terms</w:t>
      </w:r>
      <w:r>
        <w:rPr>
          <w:spacing w:val="-4"/>
          <w:sz w:val="24"/>
        </w:rPr>
        <w:t> </w:t>
      </w:r>
      <w:r>
        <w:rPr>
          <w:sz w:val="24"/>
        </w:rPr>
        <w:t>to:</w:t>
      </w:r>
    </w:p>
    <w:p>
      <w:pPr>
        <w:pStyle w:val="ListParagraph"/>
        <w:numPr>
          <w:ilvl w:val="2"/>
          <w:numId w:val="672"/>
        </w:numPr>
        <w:tabs>
          <w:tab w:pos="3052" w:val="left" w:leader="none"/>
          <w:tab w:pos="3053" w:val="left" w:leader="none"/>
        </w:tabs>
        <w:spacing w:line="240" w:lineRule="auto" w:before="120" w:after="0"/>
        <w:ind w:left="3052" w:right="0" w:hanging="567"/>
        <w:jc w:val="left"/>
        <w:rPr>
          <w:sz w:val="24"/>
        </w:rPr>
      </w:pPr>
      <w:r>
        <w:rPr>
          <w:sz w:val="24"/>
        </w:rPr>
        <w:t>the transmission variation</w:t>
      </w:r>
      <w:r>
        <w:rPr>
          <w:spacing w:val="-1"/>
          <w:sz w:val="24"/>
        </w:rPr>
        <w:t> </w:t>
      </w:r>
      <w:r>
        <w:rPr>
          <w:sz w:val="24"/>
        </w:rPr>
        <w:t>amount;</w:t>
      </w:r>
    </w:p>
    <w:p>
      <w:pPr>
        <w:pStyle w:val="ListParagraph"/>
        <w:numPr>
          <w:ilvl w:val="2"/>
          <w:numId w:val="672"/>
        </w:numPr>
        <w:tabs>
          <w:tab w:pos="3052" w:val="left" w:leader="none"/>
          <w:tab w:pos="3054" w:val="left" w:leader="none"/>
        </w:tabs>
        <w:spacing w:line="240" w:lineRule="auto" w:before="120" w:after="0"/>
        <w:ind w:left="3053" w:right="0" w:hanging="568"/>
        <w:jc w:val="left"/>
        <w:rPr>
          <w:sz w:val="24"/>
        </w:rPr>
      </w:pPr>
      <w:r>
        <w:rPr>
          <w:sz w:val="24"/>
        </w:rPr>
        <w:t>the distribution variation amount;</w:t>
      </w:r>
      <w:r>
        <w:rPr>
          <w:spacing w:val="-1"/>
          <w:sz w:val="24"/>
        </w:rPr>
        <w:t> </w:t>
      </w:r>
      <w:r>
        <w:rPr>
          <w:sz w:val="24"/>
        </w:rPr>
        <w:t>and</w:t>
      </w:r>
    </w:p>
    <w:p>
      <w:pPr>
        <w:pStyle w:val="ListParagraph"/>
        <w:numPr>
          <w:ilvl w:val="2"/>
          <w:numId w:val="672"/>
        </w:numPr>
        <w:tabs>
          <w:tab w:pos="3052" w:val="left" w:leader="none"/>
          <w:tab w:pos="3053" w:val="left" w:leader="none"/>
        </w:tabs>
        <w:spacing w:line="343" w:lineRule="auto" w:before="120" w:after="0"/>
        <w:ind w:left="2486" w:right="3692" w:firstLine="0"/>
        <w:jc w:val="left"/>
        <w:rPr>
          <w:sz w:val="24"/>
        </w:rPr>
      </w:pPr>
      <w:r>
        <w:rPr>
          <w:sz w:val="24"/>
        </w:rPr>
        <w:t>the metering variation </w:t>
      </w:r>
      <w:r>
        <w:rPr>
          <w:spacing w:val="-3"/>
          <w:sz w:val="24"/>
        </w:rPr>
        <w:t>amount, </w:t>
      </w:r>
      <w:r>
        <w:rPr>
          <w:sz w:val="24"/>
        </w:rPr>
        <w:t>determined for ActewAGL</w:t>
      </w:r>
      <w:r>
        <w:rPr>
          <w:spacing w:val="-3"/>
          <w:sz w:val="24"/>
        </w:rPr>
        <w:t> </w:t>
      </w:r>
      <w:r>
        <w:rPr>
          <w:sz w:val="24"/>
        </w:rPr>
        <w:t>as:</w:t>
      </w:r>
    </w:p>
    <w:p>
      <w:pPr>
        <w:pStyle w:val="ListParagraph"/>
        <w:numPr>
          <w:ilvl w:val="2"/>
          <w:numId w:val="672"/>
        </w:numPr>
        <w:tabs>
          <w:tab w:pos="3054" w:val="left" w:leader="none"/>
        </w:tabs>
        <w:spacing w:line="240" w:lineRule="auto" w:before="3" w:after="0"/>
        <w:ind w:left="3053" w:right="414" w:hanging="567"/>
        <w:jc w:val="both"/>
        <w:rPr>
          <w:sz w:val="24"/>
        </w:rPr>
      </w:pPr>
      <w:r>
        <w:rPr>
          <w:sz w:val="24"/>
        </w:rPr>
        <w:t>if the applicable distribution variation amount, transmission variation amount or metering variation amount (as the case may be) is a positive amount, a revenue increase;</w:t>
      </w:r>
      <w:r>
        <w:rPr>
          <w:spacing w:val="-1"/>
          <w:sz w:val="24"/>
        </w:rPr>
        <w:t> </w:t>
      </w:r>
      <w:r>
        <w:rPr>
          <w:sz w:val="24"/>
        </w:rPr>
        <w:t>or</w:t>
      </w:r>
    </w:p>
    <w:p>
      <w:pPr>
        <w:pStyle w:val="ListParagraph"/>
        <w:numPr>
          <w:ilvl w:val="2"/>
          <w:numId w:val="672"/>
        </w:numPr>
        <w:tabs>
          <w:tab w:pos="3053" w:val="left" w:leader="none"/>
        </w:tabs>
        <w:spacing w:line="240" w:lineRule="auto" w:before="120" w:after="0"/>
        <w:ind w:left="3053" w:right="414" w:hanging="567"/>
        <w:jc w:val="both"/>
        <w:rPr>
          <w:sz w:val="24"/>
        </w:rPr>
      </w:pPr>
      <w:r>
        <w:rPr>
          <w:sz w:val="24"/>
        </w:rPr>
        <w:t>if the applicable distribution variation amount, transmission variation amount or metering variation amount (as the case may be) is a negative amount, a revenue decrease;</w:t>
      </w:r>
      <w:r>
        <w:rPr>
          <w:spacing w:val="-1"/>
          <w:sz w:val="24"/>
        </w:rPr>
        <w:t> </w:t>
      </w:r>
      <w:r>
        <w:rPr>
          <w:sz w:val="24"/>
        </w:rPr>
        <w:t>or</w:t>
      </w:r>
    </w:p>
    <w:p>
      <w:pPr>
        <w:pStyle w:val="ListParagraph"/>
        <w:numPr>
          <w:ilvl w:val="2"/>
          <w:numId w:val="672"/>
        </w:numPr>
        <w:tabs>
          <w:tab w:pos="3053" w:val="left" w:leader="none"/>
        </w:tabs>
        <w:spacing w:line="240" w:lineRule="auto" w:before="120" w:after="0"/>
        <w:ind w:left="3053" w:right="414" w:hanging="567"/>
        <w:jc w:val="both"/>
        <w:rPr>
          <w:sz w:val="24"/>
        </w:rPr>
      </w:pPr>
      <w:r>
        <w:rPr>
          <w:sz w:val="24"/>
        </w:rPr>
        <w:t>if the applicable distribution variation amount, transmission variation amount or metering variation amount (as the case may be) is zero, no</w:t>
      </w:r>
      <w:r>
        <w:rPr>
          <w:spacing w:val="-1"/>
          <w:sz w:val="24"/>
        </w:rPr>
        <w:t> </w:t>
      </w:r>
      <w:r>
        <w:rPr>
          <w:sz w:val="24"/>
        </w:rPr>
        <w:t>adjustment,</w:t>
      </w:r>
    </w:p>
    <w:p>
      <w:pPr>
        <w:pStyle w:val="BodyText"/>
        <w:ind w:left="2486" w:firstLine="0"/>
        <w:jc w:val="left"/>
      </w:pPr>
      <w:r>
        <w:rPr/>
        <w:t>to:</w:t>
      </w:r>
    </w:p>
    <w:p>
      <w:pPr>
        <w:pStyle w:val="ListParagraph"/>
        <w:numPr>
          <w:ilvl w:val="2"/>
          <w:numId w:val="672"/>
        </w:numPr>
        <w:tabs>
          <w:tab w:pos="3053" w:val="left" w:leader="none"/>
        </w:tabs>
        <w:spacing w:line="240" w:lineRule="auto" w:before="120" w:after="0"/>
        <w:ind w:left="3053" w:right="414" w:hanging="567"/>
        <w:jc w:val="both"/>
        <w:rPr>
          <w:sz w:val="24"/>
        </w:rPr>
      </w:pPr>
      <w:r>
        <w:rPr>
          <w:sz w:val="24"/>
        </w:rPr>
        <w:t>in the case of the distribution variation amount and transmission variation amount, the </w:t>
      </w:r>
      <w:r>
        <w:rPr>
          <w:i/>
          <w:sz w:val="24"/>
        </w:rPr>
        <w:t>annual revenue requirement </w:t>
      </w:r>
      <w:r>
        <w:rPr>
          <w:sz w:val="24"/>
        </w:rPr>
        <w:t>of one or more of the regulatory years in the remainder of ActewAGL's subsequent regulatory control period, subject to the sum of all such increases or decreases for the relevant regulatory years being equivalent in net present value terms to the sum of the distribution variation amount and transmission variation  amount;</w:t>
      </w:r>
      <w:r>
        <w:rPr>
          <w:spacing w:val="-1"/>
          <w:sz w:val="24"/>
        </w:rPr>
        <w:t> </w:t>
      </w:r>
      <w:r>
        <w:rPr>
          <w:sz w:val="24"/>
        </w:rPr>
        <w:t>and</w:t>
      </w:r>
    </w:p>
    <w:p>
      <w:pPr>
        <w:pStyle w:val="ListParagraph"/>
        <w:numPr>
          <w:ilvl w:val="2"/>
          <w:numId w:val="672"/>
        </w:numPr>
        <w:tabs>
          <w:tab w:pos="3053" w:val="left" w:leader="none"/>
        </w:tabs>
        <w:spacing w:line="240" w:lineRule="auto" w:before="120" w:after="0"/>
        <w:ind w:left="3053" w:right="414" w:hanging="567"/>
        <w:jc w:val="both"/>
        <w:rPr>
          <w:sz w:val="24"/>
        </w:rPr>
      </w:pPr>
      <w:r>
        <w:rPr>
          <w:sz w:val="24"/>
        </w:rPr>
        <w:t>in the case of the metering variation amount, the applicable building block revenue requirement of one or more of the regulatory years in the remainder of ActewAGL's subsequent regulatory control period, subject to the sum of all such increases or decreases for the relevant regulatory years being equivalent in net present value terms to the metering variation amount.</w:t>
      </w:r>
    </w:p>
    <w:p>
      <w:pPr>
        <w:pStyle w:val="ListParagraph"/>
        <w:numPr>
          <w:ilvl w:val="0"/>
          <w:numId w:val="672"/>
        </w:numPr>
        <w:tabs>
          <w:tab w:pos="1919" w:val="left" w:leader="none"/>
        </w:tabs>
        <w:spacing w:line="240" w:lineRule="auto" w:before="120" w:after="0"/>
        <w:ind w:left="1919" w:right="414" w:hanging="567"/>
        <w:jc w:val="both"/>
        <w:rPr>
          <w:sz w:val="24"/>
        </w:rPr>
      </w:pPr>
      <w:r>
        <w:rPr>
          <w:sz w:val="24"/>
        </w:rPr>
        <w:t>When making an adjustment determination under this clause 8A.15.6, the </w:t>
      </w:r>
      <w:r>
        <w:rPr>
          <w:i/>
          <w:sz w:val="24"/>
        </w:rPr>
        <w:t>AER </w:t>
      </w:r>
      <w:r>
        <w:rPr>
          <w:sz w:val="24"/>
        </w:rPr>
        <w:t>must be satisfied that the application of the distribution variation amount, transmission variation amount and metering variation amount under paragraph (c) achieves the revenue recovery principle in respect of ActewAGL.</w:t>
      </w:r>
    </w:p>
    <w:p>
      <w:pPr>
        <w:pStyle w:val="ListParagraph"/>
        <w:numPr>
          <w:ilvl w:val="0"/>
          <w:numId w:val="672"/>
        </w:numPr>
        <w:tabs>
          <w:tab w:pos="1918" w:val="left" w:leader="none"/>
          <w:tab w:pos="1919" w:val="left" w:leader="none"/>
        </w:tabs>
        <w:spacing w:line="240" w:lineRule="auto" w:before="120" w:after="0"/>
        <w:ind w:left="1919" w:right="417" w:hanging="567"/>
        <w:jc w:val="left"/>
        <w:rPr>
          <w:sz w:val="24"/>
        </w:rPr>
      </w:pPr>
      <w:r>
        <w:rPr>
          <w:sz w:val="24"/>
        </w:rPr>
        <w:t>The substituted distribution determination made under paragraph (c) must only:</w:t>
      </w:r>
    </w:p>
    <w:p>
      <w:pPr>
        <w:pStyle w:val="ListParagraph"/>
        <w:numPr>
          <w:ilvl w:val="1"/>
          <w:numId w:val="672"/>
        </w:numPr>
        <w:tabs>
          <w:tab w:pos="2485" w:val="left" w:leader="none"/>
          <w:tab w:pos="2486" w:val="left" w:leader="none"/>
        </w:tabs>
        <w:spacing w:line="240" w:lineRule="auto" w:before="120" w:after="0"/>
        <w:ind w:left="2486" w:right="415" w:hanging="567"/>
        <w:jc w:val="left"/>
        <w:rPr>
          <w:sz w:val="24"/>
        </w:rPr>
      </w:pPr>
      <w:r>
        <w:rPr>
          <w:sz w:val="24"/>
        </w:rPr>
        <w:t>vary from the revoked distribution determination to the </w:t>
      </w:r>
      <w:r>
        <w:rPr>
          <w:spacing w:val="-3"/>
          <w:sz w:val="24"/>
        </w:rPr>
        <w:t>extent</w:t>
      </w:r>
      <w:r>
        <w:rPr>
          <w:spacing w:val="54"/>
          <w:sz w:val="24"/>
        </w:rPr>
        <w:t> </w:t>
      </w:r>
      <w:r>
        <w:rPr>
          <w:sz w:val="24"/>
        </w:rPr>
        <w:t>necessary to reflect the increase or decrease (as the case may be)</w:t>
      </w:r>
      <w:r>
        <w:rPr>
          <w:spacing w:val="-3"/>
          <w:sz w:val="24"/>
        </w:rPr>
        <w:t> </w:t>
      </w:r>
      <w:r>
        <w:rPr>
          <w:sz w:val="24"/>
        </w:rPr>
        <w:t>to:</w:t>
      </w:r>
    </w:p>
    <w:p>
      <w:pPr>
        <w:pStyle w:val="ListParagraph"/>
        <w:numPr>
          <w:ilvl w:val="2"/>
          <w:numId w:val="672"/>
        </w:numPr>
        <w:tabs>
          <w:tab w:pos="3052" w:val="left" w:leader="none"/>
          <w:tab w:pos="3053" w:val="left" w:leader="none"/>
        </w:tabs>
        <w:spacing w:line="240" w:lineRule="auto" w:before="120" w:after="0"/>
        <w:ind w:left="3053" w:right="414" w:hanging="567"/>
        <w:jc w:val="left"/>
        <w:rPr>
          <w:sz w:val="24"/>
        </w:rPr>
      </w:pPr>
      <w:r>
        <w:rPr>
          <w:sz w:val="24"/>
        </w:rPr>
        <w:t>in the case of the distribution variation amount and transmission variation amount, the </w:t>
      </w:r>
      <w:r>
        <w:rPr>
          <w:i/>
          <w:sz w:val="24"/>
        </w:rPr>
        <w:t>annual revenue requirement</w:t>
      </w:r>
      <w:r>
        <w:rPr>
          <w:sz w:val="24"/>
        </w:rPr>
        <w:t>;</w:t>
      </w:r>
      <w:r>
        <w:rPr>
          <w:spacing w:val="-7"/>
          <w:sz w:val="24"/>
        </w:rPr>
        <w:t> </w:t>
      </w:r>
      <w:r>
        <w:rPr>
          <w:sz w:val="24"/>
        </w:rPr>
        <w:t>and</w:t>
      </w:r>
    </w:p>
    <w:p>
      <w:pPr>
        <w:pStyle w:val="ListParagraph"/>
        <w:numPr>
          <w:ilvl w:val="2"/>
          <w:numId w:val="672"/>
        </w:numPr>
        <w:tabs>
          <w:tab w:pos="3052" w:val="left" w:leader="none"/>
          <w:tab w:pos="3054" w:val="left" w:leader="none"/>
        </w:tabs>
        <w:spacing w:line="240" w:lineRule="auto" w:before="120" w:after="0"/>
        <w:ind w:left="3053" w:right="415" w:hanging="567"/>
        <w:jc w:val="left"/>
        <w:rPr>
          <w:sz w:val="24"/>
        </w:rPr>
      </w:pPr>
      <w:r>
        <w:rPr>
          <w:sz w:val="24"/>
        </w:rPr>
        <w:t>in the case of the metering variation amount, the applicable building block revenue</w:t>
      </w:r>
      <w:r>
        <w:rPr>
          <w:spacing w:val="-1"/>
          <w:sz w:val="24"/>
        </w:rPr>
        <w:t> </w:t>
      </w:r>
      <w:r>
        <w:rPr>
          <w:sz w:val="24"/>
        </w:rPr>
        <w:t>requirement,</w:t>
      </w:r>
    </w:p>
    <w:p>
      <w:pPr>
        <w:spacing w:after="0" w:line="240" w:lineRule="auto"/>
        <w:jc w:val="left"/>
        <w:rPr>
          <w:sz w:val="24"/>
        </w:rPr>
        <w:sectPr>
          <w:pgSz w:w="11910" w:h="16840"/>
          <w:pgMar w:header="686" w:footer="637" w:top="1320" w:bottom="820" w:left="1200" w:right="1000"/>
        </w:sectPr>
      </w:pPr>
    </w:p>
    <w:p>
      <w:pPr>
        <w:pStyle w:val="BodyText"/>
        <w:spacing w:before="83"/>
        <w:ind w:left="2486" w:right="416" w:firstLine="0"/>
      </w:pPr>
      <w:r>
        <w:rPr/>
        <w:t>of one or more of the regulatory years of the subsequent regulatory control period under paragraph (c); and</w:t>
      </w:r>
    </w:p>
    <w:p>
      <w:pPr>
        <w:pStyle w:val="ListParagraph"/>
        <w:numPr>
          <w:ilvl w:val="1"/>
          <w:numId w:val="672"/>
        </w:numPr>
        <w:tabs>
          <w:tab w:pos="2486" w:val="left" w:leader="none"/>
        </w:tabs>
        <w:spacing w:line="240" w:lineRule="auto" w:before="120" w:after="0"/>
        <w:ind w:left="2486" w:right="415" w:hanging="567"/>
        <w:jc w:val="both"/>
        <w:rPr>
          <w:sz w:val="24"/>
        </w:rPr>
      </w:pPr>
      <w:r>
        <w:rPr>
          <w:sz w:val="24"/>
        </w:rPr>
        <w:t>be made after the </w:t>
      </w:r>
      <w:r>
        <w:rPr>
          <w:i/>
          <w:sz w:val="24"/>
        </w:rPr>
        <w:t>AER </w:t>
      </w:r>
      <w:r>
        <w:rPr>
          <w:sz w:val="24"/>
        </w:rPr>
        <w:t>has first consulted with ActewAGL and such other persons as the </w:t>
      </w:r>
      <w:r>
        <w:rPr>
          <w:i/>
          <w:sz w:val="24"/>
        </w:rPr>
        <w:t>AER </w:t>
      </w:r>
      <w:r>
        <w:rPr>
          <w:sz w:val="24"/>
        </w:rPr>
        <w:t>considers</w:t>
      </w:r>
      <w:r>
        <w:rPr>
          <w:spacing w:val="-2"/>
          <w:sz w:val="24"/>
        </w:rPr>
        <w:t> </w:t>
      </w:r>
      <w:r>
        <w:rPr>
          <w:sz w:val="24"/>
        </w:rPr>
        <w:t>appropriate.</w:t>
      </w:r>
    </w:p>
    <w:p>
      <w:pPr>
        <w:pStyle w:val="ListParagraph"/>
        <w:numPr>
          <w:ilvl w:val="0"/>
          <w:numId w:val="672"/>
        </w:numPr>
        <w:tabs>
          <w:tab w:pos="1920" w:val="left" w:leader="none"/>
        </w:tabs>
        <w:spacing w:line="240" w:lineRule="auto" w:before="120" w:after="0"/>
        <w:ind w:left="1919" w:right="417" w:hanging="567"/>
        <w:jc w:val="both"/>
        <w:rPr>
          <w:sz w:val="24"/>
        </w:rPr>
      </w:pPr>
      <w:r>
        <w:rPr>
          <w:sz w:val="24"/>
        </w:rPr>
        <w:t>If the </w:t>
      </w:r>
      <w:r>
        <w:rPr>
          <w:i/>
          <w:sz w:val="24"/>
        </w:rPr>
        <w:t>AER </w:t>
      </w:r>
      <w:r>
        <w:rPr>
          <w:sz w:val="24"/>
        </w:rPr>
        <w:t>revokes and substitutes the subsequent distribution determination under paragraph (c), that revocation and substitution must take effect from the commencement of the next regulatory</w:t>
      </w:r>
      <w:r>
        <w:rPr>
          <w:spacing w:val="-1"/>
          <w:sz w:val="24"/>
        </w:rPr>
        <w:t> </w:t>
      </w:r>
      <w:r>
        <w:rPr>
          <w:sz w:val="24"/>
        </w:rPr>
        <w:t>year.</w:t>
      </w:r>
    </w:p>
    <w:p>
      <w:pPr>
        <w:pStyle w:val="ListParagraph"/>
        <w:numPr>
          <w:ilvl w:val="0"/>
          <w:numId w:val="672"/>
        </w:numPr>
        <w:tabs>
          <w:tab w:pos="1919" w:val="left" w:leader="none"/>
        </w:tabs>
        <w:spacing w:line="240" w:lineRule="auto" w:before="120" w:after="0"/>
        <w:ind w:left="1919" w:right="415" w:hanging="567"/>
        <w:jc w:val="both"/>
        <w:rPr>
          <w:sz w:val="24"/>
        </w:rPr>
      </w:pPr>
      <w:r>
        <w:rPr>
          <w:sz w:val="24"/>
        </w:rPr>
        <w:t>A distribution variation amount, transmission variation amount and metering variation amount included as a revenue increase or revenue decrease under paragraph (c), must not be considered by the </w:t>
      </w:r>
      <w:r>
        <w:rPr>
          <w:i/>
          <w:sz w:val="24"/>
        </w:rPr>
        <w:t>AER </w:t>
      </w:r>
      <w:r>
        <w:rPr>
          <w:sz w:val="24"/>
        </w:rPr>
        <w:t>when determining whether any amount is payable or recoverable by ActewAGL under any scheme that applies to it in respect of the subsequent regulatory control period.</w:t>
      </w:r>
    </w:p>
    <w:p>
      <w:pPr>
        <w:pStyle w:val="BodyText"/>
        <w:spacing w:before="10"/>
        <w:ind w:firstLine="0"/>
        <w:jc w:val="left"/>
        <w:rPr>
          <w:sz w:val="20"/>
        </w:rPr>
      </w:pPr>
    </w:p>
    <w:p>
      <w:pPr>
        <w:pStyle w:val="Heading4"/>
        <w:tabs>
          <w:tab w:pos="1351" w:val="left" w:leader="none"/>
        </w:tabs>
        <w:ind w:left="218" w:firstLine="0"/>
      </w:pPr>
      <w:bookmarkStart w:name="8A.15.7 Requirements for adjustment dete" w:id="2409"/>
      <w:bookmarkEnd w:id="2409"/>
      <w:r>
        <w:rPr>
          <w:b w:val="0"/>
        </w:rPr>
      </w:r>
      <w:bookmarkStart w:name="_bookmark1007" w:id="2410"/>
      <w:bookmarkEnd w:id="2410"/>
      <w:r>
        <w:rPr>
          <w:b w:val="0"/>
        </w:rPr>
      </w:r>
      <w:r>
        <w:rPr/>
        <w:t>8A.15.7</w:t>
        <w:tab/>
        <w:t>Requirements for adjustment</w:t>
      </w:r>
      <w:r>
        <w:rPr>
          <w:spacing w:val="-4"/>
        </w:rPr>
        <w:t> </w:t>
      </w:r>
      <w:r>
        <w:rPr/>
        <w:t>determination</w:t>
      </w:r>
    </w:p>
    <w:p>
      <w:pPr>
        <w:pStyle w:val="BodyText"/>
        <w:ind w:left="1352" w:firstLine="0"/>
        <w:jc w:val="left"/>
      </w:pPr>
      <w:r>
        <w:rPr/>
        <w:t>The </w:t>
      </w:r>
      <w:r>
        <w:rPr>
          <w:i/>
        </w:rPr>
        <w:t>AER </w:t>
      </w:r>
      <w:r>
        <w:rPr/>
        <w:t>must in respect of an adjustment determination made for ActewAGL:</w:t>
      </w:r>
    </w:p>
    <w:p>
      <w:pPr>
        <w:pStyle w:val="ListParagraph"/>
        <w:numPr>
          <w:ilvl w:val="0"/>
          <w:numId w:val="673"/>
        </w:numPr>
        <w:tabs>
          <w:tab w:pos="1918" w:val="left" w:leader="none"/>
          <w:tab w:pos="1919" w:val="left" w:leader="none"/>
        </w:tabs>
        <w:spacing w:line="240" w:lineRule="auto" w:before="120" w:after="0"/>
        <w:ind w:left="1919" w:right="416" w:hanging="567"/>
        <w:jc w:val="left"/>
        <w:rPr>
          <w:sz w:val="24"/>
        </w:rPr>
      </w:pPr>
      <w:r>
        <w:rPr>
          <w:sz w:val="24"/>
        </w:rPr>
        <w:t>make the adjustment determination after consulting with ActewAGL and any other persons as the </w:t>
      </w:r>
      <w:r>
        <w:rPr>
          <w:i/>
          <w:sz w:val="24"/>
        </w:rPr>
        <w:t>AER </w:t>
      </w:r>
      <w:r>
        <w:rPr>
          <w:sz w:val="24"/>
        </w:rPr>
        <w:t>considers</w:t>
      </w:r>
      <w:r>
        <w:rPr>
          <w:spacing w:val="-2"/>
          <w:sz w:val="24"/>
        </w:rPr>
        <w:t> </w:t>
      </w:r>
      <w:r>
        <w:rPr>
          <w:sz w:val="24"/>
        </w:rPr>
        <w:t>appropriate;</w:t>
      </w:r>
    </w:p>
    <w:p>
      <w:pPr>
        <w:pStyle w:val="ListParagraph"/>
        <w:numPr>
          <w:ilvl w:val="0"/>
          <w:numId w:val="673"/>
        </w:numPr>
        <w:tabs>
          <w:tab w:pos="1918" w:val="left" w:leader="none"/>
          <w:tab w:pos="1919" w:val="left" w:leader="none"/>
        </w:tabs>
        <w:spacing w:line="240" w:lineRule="auto" w:before="120" w:after="0"/>
        <w:ind w:left="1919" w:right="415" w:hanging="567"/>
        <w:jc w:val="left"/>
        <w:rPr>
          <w:sz w:val="24"/>
        </w:rPr>
      </w:pPr>
      <w:r>
        <w:rPr>
          <w:i/>
          <w:sz w:val="24"/>
        </w:rPr>
        <w:t>publish </w:t>
      </w:r>
      <w:r>
        <w:rPr>
          <w:sz w:val="24"/>
        </w:rPr>
        <w:t>its adjustment determination at the time of publication of the remade 2015 determination;</w:t>
      </w:r>
      <w:r>
        <w:rPr>
          <w:spacing w:val="-1"/>
          <w:sz w:val="24"/>
        </w:rPr>
        <w:t> </w:t>
      </w:r>
      <w:r>
        <w:rPr>
          <w:sz w:val="24"/>
        </w:rPr>
        <w:t>and</w:t>
      </w:r>
    </w:p>
    <w:p>
      <w:pPr>
        <w:pStyle w:val="ListParagraph"/>
        <w:numPr>
          <w:ilvl w:val="0"/>
          <w:numId w:val="673"/>
        </w:numPr>
        <w:tabs>
          <w:tab w:pos="1918" w:val="left" w:leader="none"/>
          <w:tab w:pos="1919" w:val="left" w:leader="none"/>
        </w:tabs>
        <w:spacing w:line="240" w:lineRule="auto" w:before="120" w:after="0"/>
        <w:ind w:left="1918" w:right="0" w:hanging="567"/>
        <w:jc w:val="left"/>
        <w:rPr>
          <w:i/>
          <w:sz w:val="24"/>
        </w:rPr>
      </w:pPr>
      <w:r>
        <w:rPr>
          <w:sz w:val="24"/>
        </w:rPr>
        <w:t>include in its adjustment determination, the reasons for the</w:t>
      </w:r>
      <w:r>
        <w:rPr>
          <w:spacing w:val="5"/>
          <w:sz w:val="24"/>
        </w:rPr>
        <w:t> </w:t>
      </w:r>
      <w:r>
        <w:rPr>
          <w:i/>
          <w:sz w:val="24"/>
        </w:rPr>
        <w:t>AER's</w:t>
      </w:r>
    </w:p>
    <w:p>
      <w:pPr>
        <w:pStyle w:val="BodyText"/>
        <w:spacing w:before="0"/>
        <w:ind w:left="1919" w:firstLine="0"/>
      </w:pPr>
      <w:r>
        <w:rPr/>
        <w:t>determination</w:t>
      </w:r>
      <w:r>
        <w:rPr>
          <w:spacing w:val="-1"/>
        </w:rPr>
        <w:t> </w:t>
      </w:r>
      <w:r>
        <w:rPr/>
        <w:t>of:</w:t>
      </w:r>
    </w:p>
    <w:p>
      <w:pPr>
        <w:pStyle w:val="ListParagraph"/>
        <w:numPr>
          <w:ilvl w:val="1"/>
          <w:numId w:val="673"/>
        </w:numPr>
        <w:tabs>
          <w:tab w:pos="2486" w:val="left" w:leader="none"/>
        </w:tabs>
        <w:spacing w:line="240" w:lineRule="auto" w:before="120" w:after="0"/>
        <w:ind w:left="2486" w:right="414" w:hanging="567"/>
        <w:jc w:val="both"/>
        <w:rPr>
          <w:sz w:val="24"/>
        </w:rPr>
      </w:pPr>
      <w:r>
        <w:rPr>
          <w:sz w:val="24"/>
        </w:rPr>
        <w:t>if clause 8A.15.4 applies, the adjustment amount (including </w:t>
      </w:r>
      <w:r>
        <w:rPr>
          <w:spacing w:val="-4"/>
          <w:sz w:val="24"/>
        </w:rPr>
        <w:t>any </w:t>
      </w:r>
      <w:r>
        <w:rPr>
          <w:sz w:val="24"/>
        </w:rPr>
        <w:t>adjustments made under clause 8A.15.4(d)(1)(ii) or 8A.15.4(d)(2)(ii)) and subsequent adjustment amount or, where the </w:t>
      </w:r>
      <w:r>
        <w:rPr>
          <w:i/>
          <w:sz w:val="24"/>
        </w:rPr>
        <w:t>AER </w:t>
      </w:r>
      <w:r>
        <w:rPr>
          <w:sz w:val="24"/>
        </w:rPr>
        <w:t>has not determined an adjustment amount and subsequent adjustment amount, the reasons for that decision;</w:t>
      </w:r>
      <w:r>
        <w:rPr>
          <w:spacing w:val="-1"/>
          <w:sz w:val="24"/>
        </w:rPr>
        <w:t> </w:t>
      </w:r>
      <w:r>
        <w:rPr>
          <w:sz w:val="24"/>
        </w:rPr>
        <w:t>or</w:t>
      </w:r>
    </w:p>
    <w:p>
      <w:pPr>
        <w:pStyle w:val="ListParagraph"/>
        <w:numPr>
          <w:ilvl w:val="1"/>
          <w:numId w:val="673"/>
        </w:numPr>
        <w:tabs>
          <w:tab w:pos="2486" w:val="left" w:leader="none"/>
        </w:tabs>
        <w:spacing w:line="240" w:lineRule="auto" w:before="120" w:after="0"/>
        <w:ind w:left="2486" w:right="414" w:hanging="567"/>
        <w:jc w:val="both"/>
        <w:rPr>
          <w:sz w:val="24"/>
        </w:rPr>
      </w:pPr>
      <w:r>
        <w:rPr>
          <w:sz w:val="24"/>
        </w:rPr>
        <w:t>if clause 8A.15.5 or 8A.15.6 applies, the distribution variation  amount, transmission variation amount and metering variation amount.</w:t>
      </w:r>
    </w:p>
    <w:p>
      <w:pPr>
        <w:pStyle w:val="BodyText"/>
        <w:spacing w:before="10"/>
        <w:ind w:firstLine="0"/>
        <w:jc w:val="left"/>
        <w:rPr>
          <w:sz w:val="20"/>
        </w:rPr>
      </w:pPr>
    </w:p>
    <w:p>
      <w:pPr>
        <w:pStyle w:val="Heading4"/>
        <w:tabs>
          <w:tab w:pos="1351" w:val="left" w:leader="none"/>
        </w:tabs>
        <w:ind w:left="218" w:firstLine="0"/>
      </w:pPr>
      <w:bookmarkStart w:name="8A.15.8 Application of Chapter 6 under p" w:id="2411"/>
      <w:bookmarkEnd w:id="2411"/>
      <w:r>
        <w:rPr>
          <w:b w:val="0"/>
        </w:rPr>
      </w:r>
      <w:bookmarkStart w:name="_bookmark1008" w:id="2412"/>
      <w:bookmarkEnd w:id="2412"/>
      <w:r>
        <w:rPr>
          <w:b w:val="0"/>
        </w:rPr>
      </w:r>
      <w:r>
        <w:rPr/>
        <w:t>8A.15.8</w:t>
        <w:tab/>
        <w:t>Application of Chapter 6 under participant</w:t>
      </w:r>
      <w:r>
        <w:rPr>
          <w:spacing w:val="-5"/>
        </w:rPr>
        <w:t> </w:t>
      </w:r>
      <w:r>
        <w:rPr/>
        <w:t>derogation</w:t>
      </w:r>
    </w:p>
    <w:p>
      <w:pPr>
        <w:pStyle w:val="ListParagraph"/>
        <w:numPr>
          <w:ilvl w:val="0"/>
          <w:numId w:val="674"/>
        </w:numPr>
        <w:tabs>
          <w:tab w:pos="1918" w:val="left" w:leader="none"/>
          <w:tab w:pos="1919" w:val="left" w:leader="none"/>
        </w:tabs>
        <w:spacing w:line="240" w:lineRule="auto" w:before="120" w:after="0"/>
        <w:ind w:left="1919" w:right="416" w:hanging="567"/>
        <w:jc w:val="left"/>
        <w:rPr>
          <w:sz w:val="24"/>
        </w:rPr>
      </w:pPr>
      <w:r>
        <w:rPr>
          <w:sz w:val="24"/>
        </w:rPr>
        <w:t>Except as otherwise specified in this rule 8A.15 or Chapter 11, Chapter 6 applies</w:t>
      </w:r>
      <w:r>
        <w:rPr>
          <w:spacing w:val="-1"/>
          <w:sz w:val="24"/>
        </w:rPr>
        <w:t> </w:t>
      </w:r>
      <w:r>
        <w:rPr>
          <w:sz w:val="24"/>
        </w:rPr>
        <w:t>to:</w:t>
      </w:r>
    </w:p>
    <w:p>
      <w:pPr>
        <w:pStyle w:val="ListParagraph"/>
        <w:numPr>
          <w:ilvl w:val="1"/>
          <w:numId w:val="674"/>
        </w:numPr>
        <w:tabs>
          <w:tab w:pos="2485" w:val="left" w:leader="none"/>
          <w:tab w:pos="2486" w:val="left" w:leader="none"/>
        </w:tabs>
        <w:spacing w:line="240" w:lineRule="auto" w:before="120" w:after="0"/>
        <w:ind w:left="2485" w:right="0" w:hanging="567"/>
        <w:jc w:val="left"/>
        <w:rPr>
          <w:sz w:val="24"/>
        </w:rPr>
      </w:pPr>
      <w:r>
        <w:rPr>
          <w:sz w:val="24"/>
        </w:rPr>
        <w:t>the remainder of the current regulatory control period;</w:t>
      </w:r>
      <w:r>
        <w:rPr>
          <w:spacing w:val="-2"/>
          <w:sz w:val="24"/>
        </w:rPr>
        <w:t> </w:t>
      </w:r>
      <w:r>
        <w:rPr>
          <w:sz w:val="24"/>
        </w:rPr>
        <w:t>and</w:t>
      </w:r>
    </w:p>
    <w:p>
      <w:pPr>
        <w:pStyle w:val="ListParagraph"/>
        <w:numPr>
          <w:ilvl w:val="1"/>
          <w:numId w:val="674"/>
        </w:numPr>
        <w:tabs>
          <w:tab w:pos="2485" w:val="left" w:leader="none"/>
          <w:tab w:pos="2486" w:val="left" w:leader="none"/>
        </w:tabs>
        <w:spacing w:line="343" w:lineRule="auto" w:before="120" w:after="0"/>
        <w:ind w:left="1919" w:right="1786" w:firstLine="0"/>
        <w:jc w:val="left"/>
        <w:rPr>
          <w:sz w:val="24"/>
        </w:rPr>
      </w:pPr>
      <w:r>
        <w:rPr>
          <w:sz w:val="24"/>
        </w:rPr>
        <w:t>the making of the subsequent distribution determination, in respect of</w:t>
      </w:r>
      <w:r>
        <w:rPr>
          <w:spacing w:val="-2"/>
          <w:sz w:val="24"/>
        </w:rPr>
        <w:t> </w:t>
      </w:r>
      <w:r>
        <w:rPr>
          <w:sz w:val="24"/>
        </w:rPr>
        <w:t>ActewAGL.</w:t>
      </w:r>
    </w:p>
    <w:p>
      <w:pPr>
        <w:pStyle w:val="ListParagraph"/>
        <w:numPr>
          <w:ilvl w:val="0"/>
          <w:numId w:val="674"/>
        </w:numPr>
        <w:tabs>
          <w:tab w:pos="1919" w:val="left" w:leader="none"/>
        </w:tabs>
        <w:spacing w:line="240" w:lineRule="auto" w:before="3" w:after="0"/>
        <w:ind w:left="1919" w:right="414" w:hanging="567"/>
        <w:jc w:val="both"/>
        <w:rPr>
          <w:sz w:val="24"/>
        </w:rPr>
      </w:pPr>
      <w:r>
        <w:rPr>
          <w:sz w:val="24"/>
        </w:rPr>
        <w:t>If clause 8A.15.4 applies, the reference to 'any applicable distribution determination' in clauses 6.18.2(b)(7), 6.18.2(b)(8), 6.18.8(a)(1) </w:t>
      </w:r>
      <w:r>
        <w:rPr>
          <w:spacing w:val="-5"/>
          <w:sz w:val="24"/>
        </w:rPr>
        <w:t>and </w:t>
      </w:r>
      <w:r>
        <w:rPr>
          <w:sz w:val="24"/>
        </w:rPr>
        <w:t>6.18.8(c) will be taken to be the applicable distribution determination as supplemented by the requirements for ActewAGL's </w:t>
      </w:r>
      <w:r>
        <w:rPr>
          <w:i/>
          <w:sz w:val="24"/>
        </w:rPr>
        <w:t>pricing proposal </w:t>
      </w:r>
      <w:r>
        <w:rPr>
          <w:sz w:val="24"/>
        </w:rPr>
        <w:t>under clause 8A.15.4(d).</w:t>
      </w:r>
    </w:p>
    <w:p>
      <w:pPr>
        <w:pStyle w:val="ListParagraph"/>
        <w:numPr>
          <w:ilvl w:val="0"/>
          <w:numId w:val="674"/>
        </w:numPr>
        <w:tabs>
          <w:tab w:pos="1919" w:val="left" w:leader="none"/>
        </w:tabs>
        <w:spacing w:line="240" w:lineRule="auto" w:before="120" w:after="0"/>
        <w:ind w:left="1919" w:right="414" w:hanging="567"/>
        <w:jc w:val="both"/>
        <w:rPr>
          <w:sz w:val="24"/>
        </w:rPr>
      </w:pPr>
      <w:r>
        <w:rPr>
          <w:sz w:val="24"/>
        </w:rPr>
        <w:t>For the purposes of the application of clauses 8A.15.4, 8A.15.5 and 8A.15.6 (as</w:t>
      </w:r>
      <w:r>
        <w:rPr>
          <w:spacing w:val="6"/>
          <w:sz w:val="24"/>
        </w:rPr>
        <w:t> </w:t>
      </w:r>
      <w:r>
        <w:rPr>
          <w:sz w:val="24"/>
        </w:rPr>
        <w:t>applicable)</w:t>
      </w:r>
      <w:r>
        <w:rPr>
          <w:spacing w:val="7"/>
          <w:sz w:val="24"/>
        </w:rPr>
        <w:t> </w:t>
      </w:r>
      <w:r>
        <w:rPr>
          <w:sz w:val="24"/>
        </w:rPr>
        <w:t>in</w:t>
      </w:r>
      <w:r>
        <w:rPr>
          <w:spacing w:val="7"/>
          <w:sz w:val="24"/>
        </w:rPr>
        <w:t> </w:t>
      </w:r>
      <w:r>
        <w:rPr>
          <w:sz w:val="24"/>
        </w:rPr>
        <w:t>respect</w:t>
      </w:r>
      <w:r>
        <w:rPr>
          <w:spacing w:val="7"/>
          <w:sz w:val="24"/>
        </w:rPr>
        <w:t> </w:t>
      </w:r>
      <w:r>
        <w:rPr>
          <w:sz w:val="24"/>
        </w:rPr>
        <w:t>of</w:t>
      </w:r>
      <w:r>
        <w:rPr>
          <w:spacing w:val="7"/>
          <w:sz w:val="24"/>
        </w:rPr>
        <w:t> </w:t>
      </w:r>
      <w:r>
        <w:rPr>
          <w:sz w:val="24"/>
        </w:rPr>
        <w:t>ActewAGL,</w:t>
      </w:r>
      <w:r>
        <w:rPr>
          <w:spacing w:val="7"/>
          <w:sz w:val="24"/>
        </w:rPr>
        <w:t> </w:t>
      </w:r>
      <w:r>
        <w:rPr>
          <w:sz w:val="24"/>
        </w:rPr>
        <w:t>Chapter</w:t>
      </w:r>
      <w:r>
        <w:rPr>
          <w:spacing w:val="7"/>
          <w:sz w:val="24"/>
        </w:rPr>
        <w:t> </w:t>
      </w:r>
      <w:r>
        <w:rPr>
          <w:sz w:val="24"/>
        </w:rPr>
        <w:t>6</w:t>
      </w:r>
      <w:r>
        <w:rPr>
          <w:spacing w:val="6"/>
          <w:sz w:val="24"/>
        </w:rPr>
        <w:t> </w:t>
      </w:r>
      <w:r>
        <w:rPr>
          <w:sz w:val="24"/>
        </w:rPr>
        <w:t>and</w:t>
      </w:r>
      <w:r>
        <w:rPr>
          <w:spacing w:val="7"/>
          <w:sz w:val="24"/>
        </w:rPr>
        <w:t> </w:t>
      </w:r>
      <w:r>
        <w:rPr>
          <w:sz w:val="24"/>
        </w:rPr>
        <w:t>6A</w:t>
      </w:r>
      <w:r>
        <w:rPr>
          <w:spacing w:val="7"/>
          <w:sz w:val="24"/>
        </w:rPr>
        <w:t> </w:t>
      </w:r>
      <w:r>
        <w:rPr>
          <w:sz w:val="24"/>
        </w:rPr>
        <w:t>are</w:t>
      </w:r>
      <w:r>
        <w:rPr>
          <w:spacing w:val="7"/>
          <w:sz w:val="24"/>
        </w:rPr>
        <w:t> </w:t>
      </w:r>
      <w:r>
        <w:rPr>
          <w:sz w:val="24"/>
        </w:rPr>
        <w:t>amended</w:t>
      </w:r>
      <w:r>
        <w:rPr>
          <w:spacing w:val="7"/>
          <w:sz w:val="24"/>
        </w:rPr>
        <w:t> </w:t>
      </w:r>
      <w:r>
        <w:rPr>
          <w:sz w:val="24"/>
        </w:rPr>
        <w:t>for</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the remainder of the current regulatory control period and the subsequent regulatory control period as follows:</w:t>
      </w:r>
    </w:p>
    <w:p>
      <w:pPr>
        <w:pStyle w:val="ListParagraph"/>
        <w:numPr>
          <w:ilvl w:val="1"/>
          <w:numId w:val="674"/>
        </w:numPr>
        <w:tabs>
          <w:tab w:pos="2486" w:val="left" w:leader="none"/>
        </w:tabs>
        <w:spacing w:line="240" w:lineRule="auto" w:before="120" w:after="0"/>
        <w:ind w:left="2486" w:right="415" w:hanging="567"/>
        <w:jc w:val="both"/>
        <w:rPr>
          <w:sz w:val="24"/>
        </w:rPr>
      </w:pPr>
      <w:r>
        <w:rPr>
          <w:sz w:val="24"/>
        </w:rPr>
        <w:t>the requirement under the </w:t>
      </w:r>
      <w:r>
        <w:rPr>
          <w:i/>
          <w:sz w:val="24"/>
        </w:rPr>
        <w:t>Rules </w:t>
      </w:r>
      <w:r>
        <w:rPr>
          <w:sz w:val="24"/>
        </w:rPr>
        <w:t>for pricing for </w:t>
      </w:r>
      <w:r>
        <w:rPr>
          <w:i/>
          <w:sz w:val="24"/>
        </w:rPr>
        <w:t>direct control services </w:t>
      </w:r>
      <w:r>
        <w:rPr>
          <w:sz w:val="24"/>
        </w:rPr>
        <w:t>in a </w:t>
      </w:r>
      <w:r>
        <w:rPr>
          <w:i/>
          <w:sz w:val="24"/>
        </w:rPr>
        <w:t>pricing proposal </w:t>
      </w:r>
      <w:r>
        <w:rPr>
          <w:sz w:val="24"/>
        </w:rPr>
        <w:t>to comply with the </w:t>
      </w:r>
      <w:r>
        <w:rPr>
          <w:i/>
          <w:sz w:val="24"/>
        </w:rPr>
        <w:t>tariff structure statement </w:t>
      </w:r>
      <w:r>
        <w:rPr>
          <w:sz w:val="24"/>
        </w:rPr>
        <w:t>does not apply to the extent necessary to allow for the submission of a </w:t>
      </w:r>
      <w:r>
        <w:rPr>
          <w:i/>
          <w:sz w:val="24"/>
        </w:rPr>
        <w:t>pricing proposal </w:t>
      </w:r>
      <w:r>
        <w:rPr>
          <w:sz w:val="24"/>
        </w:rPr>
        <w:t>by ActewAGL, and subsequent approval of such </w:t>
      </w:r>
      <w:r>
        <w:rPr>
          <w:i/>
          <w:sz w:val="24"/>
        </w:rPr>
        <w:t>pricing proposal </w:t>
      </w:r>
      <w:r>
        <w:rPr>
          <w:sz w:val="24"/>
        </w:rPr>
        <w:t>by the </w:t>
      </w:r>
      <w:r>
        <w:rPr>
          <w:i/>
          <w:sz w:val="24"/>
        </w:rPr>
        <w:t>AER</w:t>
      </w:r>
      <w:r>
        <w:rPr>
          <w:sz w:val="24"/>
        </w:rPr>
        <w:t>, in accordance with this </w:t>
      </w:r>
      <w:r>
        <w:rPr>
          <w:i/>
          <w:sz w:val="24"/>
        </w:rPr>
        <w:t>participant </w:t>
      </w:r>
      <w:r>
        <w:rPr>
          <w:i/>
          <w:sz w:val="24"/>
        </w:rPr>
        <w:t>derogation</w:t>
      </w:r>
      <w:r>
        <w:rPr>
          <w:sz w:val="24"/>
        </w:rPr>
        <w:t>;</w:t>
      </w:r>
    </w:p>
    <w:p>
      <w:pPr>
        <w:pStyle w:val="ListParagraph"/>
        <w:numPr>
          <w:ilvl w:val="1"/>
          <w:numId w:val="674"/>
        </w:numPr>
        <w:tabs>
          <w:tab w:pos="2486" w:val="left" w:leader="none"/>
        </w:tabs>
        <w:spacing w:line="240" w:lineRule="auto" w:before="120" w:after="0"/>
        <w:ind w:left="2485" w:right="0" w:hanging="567"/>
        <w:jc w:val="both"/>
        <w:rPr>
          <w:sz w:val="24"/>
        </w:rPr>
      </w:pPr>
      <w:r>
        <w:rPr>
          <w:sz w:val="24"/>
        </w:rPr>
        <w:t>if any variation in proposed tariffs occurs as a result</w:t>
      </w:r>
      <w:r>
        <w:rPr>
          <w:spacing w:val="-2"/>
          <w:sz w:val="24"/>
        </w:rPr>
        <w:t> </w:t>
      </w:r>
      <w:r>
        <w:rPr>
          <w:sz w:val="24"/>
        </w:rPr>
        <w:t>of:</w:t>
      </w:r>
    </w:p>
    <w:p>
      <w:pPr>
        <w:pStyle w:val="ListParagraph"/>
        <w:numPr>
          <w:ilvl w:val="2"/>
          <w:numId w:val="674"/>
        </w:numPr>
        <w:tabs>
          <w:tab w:pos="3052" w:val="left" w:leader="none"/>
          <w:tab w:pos="3053" w:val="left" w:leader="none"/>
        </w:tabs>
        <w:spacing w:line="240" w:lineRule="auto" w:before="120" w:after="0"/>
        <w:ind w:left="3052" w:right="0" w:hanging="567"/>
        <w:jc w:val="left"/>
        <w:rPr>
          <w:sz w:val="24"/>
        </w:rPr>
      </w:pPr>
      <w:r>
        <w:rPr>
          <w:sz w:val="24"/>
        </w:rPr>
        <w:t>the remade 2015 determination;</w:t>
      </w:r>
      <w:r>
        <w:rPr>
          <w:spacing w:val="-1"/>
          <w:sz w:val="24"/>
        </w:rPr>
        <w:t> </w:t>
      </w:r>
      <w:r>
        <w:rPr>
          <w:sz w:val="24"/>
        </w:rPr>
        <w:t>or</w:t>
      </w:r>
    </w:p>
    <w:p>
      <w:pPr>
        <w:pStyle w:val="ListParagraph"/>
        <w:numPr>
          <w:ilvl w:val="2"/>
          <w:numId w:val="674"/>
        </w:numPr>
        <w:tabs>
          <w:tab w:pos="3052" w:val="left" w:leader="none"/>
          <w:tab w:pos="3054" w:val="left" w:leader="none"/>
        </w:tabs>
        <w:spacing w:line="240" w:lineRule="auto" w:before="120" w:after="0"/>
        <w:ind w:left="3053" w:right="0" w:hanging="568"/>
        <w:jc w:val="left"/>
        <w:rPr>
          <w:sz w:val="24"/>
        </w:rPr>
      </w:pPr>
      <w:r>
        <w:rPr>
          <w:sz w:val="24"/>
        </w:rPr>
        <w:t>application of this </w:t>
      </w:r>
      <w:r>
        <w:rPr>
          <w:i/>
          <w:sz w:val="24"/>
        </w:rPr>
        <w:t>participant</w:t>
      </w:r>
      <w:r>
        <w:rPr>
          <w:i/>
          <w:spacing w:val="-1"/>
          <w:sz w:val="24"/>
        </w:rPr>
        <w:t> </w:t>
      </w:r>
      <w:r>
        <w:rPr>
          <w:i/>
          <w:sz w:val="24"/>
        </w:rPr>
        <w:t>derogation</w:t>
      </w:r>
      <w:r>
        <w:rPr>
          <w:sz w:val="24"/>
        </w:rPr>
        <w:t>,</w:t>
      </w:r>
    </w:p>
    <w:p>
      <w:pPr>
        <w:pStyle w:val="BodyText"/>
        <w:ind w:left="2486" w:firstLine="0"/>
        <w:jc w:val="left"/>
      </w:pPr>
      <w:r>
        <w:rPr/>
        <w:t>such variations will be taken to be explained by ActewAGL for the purposes of clauses 6.18.2(b)(7A) and 6.18.8(a)(2);</w:t>
      </w:r>
    </w:p>
    <w:p>
      <w:pPr>
        <w:pStyle w:val="ListParagraph"/>
        <w:numPr>
          <w:ilvl w:val="1"/>
          <w:numId w:val="674"/>
        </w:numPr>
        <w:tabs>
          <w:tab w:pos="2486" w:val="left" w:leader="none"/>
        </w:tabs>
        <w:spacing w:line="240" w:lineRule="auto" w:before="120" w:after="0"/>
        <w:ind w:left="2486" w:right="415" w:hanging="567"/>
        <w:jc w:val="both"/>
        <w:rPr>
          <w:sz w:val="24"/>
        </w:rPr>
      </w:pPr>
      <w:r>
        <w:rPr>
          <w:sz w:val="24"/>
        </w:rPr>
        <w:t>to the extent that ActewAGL's tariffs vary from tariffs which would result from complying with the pricing principles in clause 6.18.5(e) to (g) due to the application of this </w:t>
      </w:r>
      <w:r>
        <w:rPr>
          <w:i/>
          <w:sz w:val="24"/>
        </w:rPr>
        <w:t>participant derogation</w:t>
      </w:r>
      <w:r>
        <w:rPr>
          <w:sz w:val="24"/>
        </w:rPr>
        <w:t>, such variation is taken to be a variation from the pricing principles permitted under clause</w:t>
      </w:r>
      <w:r>
        <w:rPr>
          <w:spacing w:val="-2"/>
          <w:sz w:val="24"/>
        </w:rPr>
        <w:t> </w:t>
      </w:r>
      <w:r>
        <w:rPr>
          <w:sz w:val="24"/>
        </w:rPr>
        <w:t>6.18.5(c);</w:t>
      </w:r>
    </w:p>
    <w:p>
      <w:pPr>
        <w:pStyle w:val="ListParagraph"/>
        <w:numPr>
          <w:ilvl w:val="1"/>
          <w:numId w:val="674"/>
        </w:numPr>
        <w:tabs>
          <w:tab w:pos="2486" w:val="left" w:leader="none"/>
        </w:tabs>
        <w:spacing w:line="240" w:lineRule="auto" w:before="120" w:after="0"/>
        <w:ind w:left="2486" w:right="415" w:hanging="567"/>
        <w:jc w:val="both"/>
        <w:rPr>
          <w:sz w:val="24"/>
        </w:rPr>
      </w:pPr>
      <w:r>
        <w:rPr>
          <w:sz w:val="24"/>
        </w:rPr>
        <w:t>to the extent that ActewAGL's </w:t>
      </w:r>
      <w:r>
        <w:rPr>
          <w:i/>
          <w:sz w:val="24"/>
        </w:rPr>
        <w:t>tariff structure statement </w:t>
      </w:r>
      <w:r>
        <w:rPr>
          <w:sz w:val="24"/>
        </w:rPr>
        <w:t>varies from a </w:t>
      </w:r>
      <w:r>
        <w:rPr>
          <w:i/>
          <w:sz w:val="24"/>
        </w:rPr>
        <w:t>tariff structure statement </w:t>
      </w:r>
      <w:r>
        <w:rPr>
          <w:sz w:val="24"/>
        </w:rPr>
        <w:t>which would result from complying with the </w:t>
      </w:r>
      <w:r>
        <w:rPr>
          <w:i/>
          <w:sz w:val="24"/>
        </w:rPr>
        <w:t>pricing principles for direct control services </w:t>
      </w:r>
      <w:r>
        <w:rPr>
          <w:sz w:val="24"/>
        </w:rPr>
        <w:t>due to the application of this </w:t>
      </w:r>
      <w:r>
        <w:rPr>
          <w:i/>
          <w:sz w:val="24"/>
        </w:rPr>
        <w:t>participant derogation</w:t>
      </w:r>
      <w:r>
        <w:rPr>
          <w:sz w:val="24"/>
        </w:rPr>
        <w:t>, such variation is permitted under the </w:t>
      </w:r>
      <w:r>
        <w:rPr>
          <w:i/>
          <w:sz w:val="24"/>
        </w:rPr>
        <w:t>Rules</w:t>
      </w:r>
      <w:r>
        <w:rPr>
          <w:sz w:val="24"/>
        </w:rPr>
        <w:t>;</w:t>
      </w:r>
    </w:p>
    <w:p>
      <w:pPr>
        <w:pStyle w:val="ListParagraph"/>
        <w:numPr>
          <w:ilvl w:val="1"/>
          <w:numId w:val="674"/>
        </w:numPr>
        <w:tabs>
          <w:tab w:pos="2486" w:val="left" w:leader="none"/>
        </w:tabs>
        <w:spacing w:line="240" w:lineRule="auto" w:before="120" w:after="0"/>
        <w:ind w:left="2486" w:right="415" w:hanging="567"/>
        <w:jc w:val="both"/>
        <w:rPr>
          <w:sz w:val="24"/>
        </w:rPr>
      </w:pPr>
      <w:r>
        <w:rPr>
          <w:sz w:val="24"/>
        </w:rPr>
        <w:t>clause 6.18.6 does not apply to the extent that ActewAGL's tariffs vary from tariffs which would otherwise result from complying with clause 6.18.6, due to the application of this </w:t>
      </w:r>
      <w:r>
        <w:rPr>
          <w:i/>
          <w:sz w:val="24"/>
        </w:rPr>
        <w:t>participant</w:t>
      </w:r>
      <w:r>
        <w:rPr>
          <w:i/>
          <w:spacing w:val="-3"/>
          <w:sz w:val="24"/>
        </w:rPr>
        <w:t> </w:t>
      </w:r>
      <w:r>
        <w:rPr>
          <w:i/>
          <w:sz w:val="24"/>
        </w:rPr>
        <w:t>derogation</w:t>
      </w:r>
      <w:r>
        <w:rPr>
          <w:sz w:val="24"/>
        </w:rPr>
        <w:t>;</w:t>
      </w:r>
    </w:p>
    <w:p>
      <w:pPr>
        <w:pStyle w:val="ListParagraph"/>
        <w:numPr>
          <w:ilvl w:val="1"/>
          <w:numId w:val="674"/>
        </w:numPr>
        <w:tabs>
          <w:tab w:pos="2486" w:val="left" w:leader="none"/>
        </w:tabs>
        <w:spacing w:line="240" w:lineRule="auto" w:before="120" w:after="0"/>
        <w:ind w:left="2486" w:right="415" w:hanging="567"/>
        <w:jc w:val="both"/>
        <w:rPr>
          <w:sz w:val="24"/>
        </w:rPr>
      </w:pPr>
      <w:r>
        <w:rPr>
          <w:sz w:val="24"/>
        </w:rPr>
        <w:t>if the </w:t>
      </w:r>
      <w:r>
        <w:rPr>
          <w:i/>
          <w:sz w:val="24"/>
        </w:rPr>
        <w:t>AER </w:t>
      </w:r>
      <w:r>
        <w:rPr>
          <w:sz w:val="24"/>
        </w:rPr>
        <w:t>amends a </w:t>
      </w:r>
      <w:r>
        <w:rPr>
          <w:i/>
          <w:sz w:val="24"/>
        </w:rPr>
        <w:t>pricing proposal </w:t>
      </w:r>
      <w:r>
        <w:rPr>
          <w:sz w:val="24"/>
        </w:rPr>
        <w:t>under clause 6.18.8(b)(2) </w:t>
      </w:r>
      <w:r>
        <w:rPr>
          <w:spacing w:val="-8"/>
          <w:sz w:val="24"/>
        </w:rPr>
        <w:t>or </w:t>
      </w:r>
      <w:r>
        <w:rPr>
          <w:sz w:val="24"/>
        </w:rPr>
        <w:t>6.18.8(c), then in addition to the requirements in clause 6.18.8(c1), the </w:t>
      </w:r>
      <w:r>
        <w:rPr>
          <w:i/>
          <w:sz w:val="24"/>
        </w:rPr>
        <w:t>AER </w:t>
      </w:r>
      <w:r>
        <w:rPr>
          <w:sz w:val="24"/>
        </w:rPr>
        <w:t>must also have regard</w:t>
      </w:r>
      <w:r>
        <w:rPr>
          <w:spacing w:val="-1"/>
          <w:sz w:val="24"/>
        </w:rPr>
        <w:t> </w:t>
      </w:r>
      <w:r>
        <w:rPr>
          <w:sz w:val="24"/>
        </w:rPr>
        <w:t>to:</w:t>
      </w:r>
    </w:p>
    <w:p>
      <w:pPr>
        <w:pStyle w:val="ListParagraph"/>
        <w:numPr>
          <w:ilvl w:val="2"/>
          <w:numId w:val="674"/>
        </w:numPr>
        <w:tabs>
          <w:tab w:pos="3053" w:val="left" w:leader="none"/>
        </w:tabs>
        <w:spacing w:line="240" w:lineRule="auto" w:before="120" w:after="0"/>
        <w:ind w:left="3053" w:right="415" w:hanging="567"/>
        <w:jc w:val="both"/>
        <w:rPr>
          <w:sz w:val="24"/>
        </w:rPr>
      </w:pPr>
      <w:r>
        <w:rPr>
          <w:sz w:val="24"/>
        </w:rPr>
        <w:t>any variation in proposed tariffs that result from the remade 2015 determination;</w:t>
      </w:r>
      <w:r>
        <w:rPr>
          <w:spacing w:val="-1"/>
          <w:sz w:val="24"/>
        </w:rPr>
        <w:t> </w:t>
      </w:r>
      <w:r>
        <w:rPr>
          <w:sz w:val="24"/>
        </w:rPr>
        <w:t>and</w:t>
      </w:r>
    </w:p>
    <w:p>
      <w:pPr>
        <w:pStyle w:val="ListParagraph"/>
        <w:numPr>
          <w:ilvl w:val="2"/>
          <w:numId w:val="674"/>
        </w:numPr>
        <w:tabs>
          <w:tab w:pos="3054" w:val="left" w:leader="none"/>
        </w:tabs>
        <w:spacing w:line="240" w:lineRule="auto" w:before="120" w:after="0"/>
        <w:ind w:left="3053" w:right="415" w:hanging="567"/>
        <w:jc w:val="both"/>
        <w:rPr>
          <w:sz w:val="24"/>
        </w:rPr>
      </w:pPr>
      <w:r>
        <w:rPr>
          <w:sz w:val="24"/>
        </w:rPr>
        <w:t>any variation in proposed tariffs that result from the application of this </w:t>
      </w:r>
      <w:r>
        <w:rPr>
          <w:i/>
          <w:sz w:val="24"/>
        </w:rPr>
        <w:t>participant</w:t>
      </w:r>
      <w:r>
        <w:rPr>
          <w:i/>
          <w:spacing w:val="-1"/>
          <w:sz w:val="24"/>
        </w:rPr>
        <w:t> </w:t>
      </w:r>
      <w:r>
        <w:rPr>
          <w:i/>
          <w:sz w:val="24"/>
        </w:rPr>
        <w:t>derogation</w:t>
      </w:r>
      <w:r>
        <w:rPr>
          <w:sz w:val="24"/>
        </w:rPr>
        <w:t>;</w:t>
      </w:r>
    </w:p>
    <w:p>
      <w:pPr>
        <w:pStyle w:val="ListParagraph"/>
        <w:numPr>
          <w:ilvl w:val="1"/>
          <w:numId w:val="674"/>
        </w:numPr>
        <w:tabs>
          <w:tab w:pos="2486" w:val="left" w:leader="none"/>
        </w:tabs>
        <w:spacing w:line="240" w:lineRule="auto" w:before="120" w:after="0"/>
        <w:ind w:left="2486" w:right="414" w:hanging="567"/>
        <w:jc w:val="both"/>
        <w:rPr>
          <w:sz w:val="24"/>
        </w:rPr>
      </w:pPr>
      <w:r>
        <w:rPr>
          <w:sz w:val="24"/>
        </w:rPr>
        <w:t>if clause 8A.15.6 applies, clause 6.5.9(b)(2) does not apply to </w:t>
      </w:r>
      <w:r>
        <w:rPr>
          <w:spacing w:val="-4"/>
          <w:sz w:val="24"/>
        </w:rPr>
        <w:t>the </w:t>
      </w:r>
      <w:r>
        <w:rPr>
          <w:sz w:val="24"/>
        </w:rPr>
        <w:t>extent necessary to include a revenue increase or revenue decrease (as the case may be) to the </w:t>
      </w:r>
      <w:r>
        <w:rPr>
          <w:i/>
          <w:sz w:val="24"/>
        </w:rPr>
        <w:t>annual revenue requirement </w:t>
      </w:r>
      <w:r>
        <w:rPr>
          <w:sz w:val="24"/>
        </w:rPr>
        <w:t>or other building block revenue requirement of one or more regulatory years for the subsequent regulatory control period for ActewAGL under clause 8A.15.6(c);</w:t>
      </w:r>
    </w:p>
    <w:p>
      <w:pPr>
        <w:pStyle w:val="ListParagraph"/>
        <w:numPr>
          <w:ilvl w:val="1"/>
          <w:numId w:val="674"/>
        </w:numPr>
        <w:tabs>
          <w:tab w:pos="2486" w:val="left" w:leader="none"/>
        </w:tabs>
        <w:spacing w:line="240" w:lineRule="auto" w:before="120" w:after="0"/>
        <w:ind w:left="2486" w:right="416" w:hanging="567"/>
        <w:jc w:val="both"/>
        <w:rPr>
          <w:sz w:val="24"/>
        </w:rPr>
      </w:pPr>
      <w:r>
        <w:rPr>
          <w:sz w:val="24"/>
        </w:rPr>
        <w:t>if clause 8A.15.4 applies, the reference to 'the other revenue increments or decrements' in clauses 6.4.3(a)(6) and 6.4.3(b)(6) </w:t>
      </w:r>
      <w:r>
        <w:rPr>
          <w:spacing w:val="-7"/>
          <w:sz w:val="24"/>
        </w:rPr>
        <w:t>is </w:t>
      </w:r>
      <w:r>
        <w:rPr>
          <w:sz w:val="24"/>
        </w:rPr>
        <w:t>taken to include such increments or decrements as adjusted to the extent necessary to take into account the application of the substituted total revenue amount under clause 8A.15.4(d);</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674"/>
        </w:numPr>
        <w:tabs>
          <w:tab w:pos="2485" w:val="left" w:leader="none"/>
          <w:tab w:pos="2486" w:val="left" w:leader="none"/>
        </w:tabs>
        <w:spacing w:line="240" w:lineRule="auto" w:before="83" w:after="0"/>
        <w:ind w:left="2486" w:right="414" w:hanging="567"/>
        <w:jc w:val="left"/>
        <w:rPr>
          <w:sz w:val="24"/>
        </w:rPr>
      </w:pPr>
      <w:r>
        <w:rPr>
          <w:sz w:val="24"/>
        </w:rPr>
        <w:t>if clause 8A.15.5 or 8A.15.6 applies, clauses 6A.23.3(e)(5), (f) and </w:t>
      </w:r>
      <w:r>
        <w:rPr>
          <w:spacing w:val="-4"/>
          <w:sz w:val="24"/>
        </w:rPr>
        <w:t>(g) </w:t>
      </w:r>
      <w:r>
        <w:rPr>
          <w:sz w:val="24"/>
        </w:rPr>
        <w:t>do not apply in respect of any transmission variation</w:t>
      </w:r>
      <w:r>
        <w:rPr>
          <w:spacing w:val="-2"/>
          <w:sz w:val="24"/>
        </w:rPr>
        <w:t> </w:t>
      </w:r>
      <w:r>
        <w:rPr>
          <w:sz w:val="24"/>
        </w:rPr>
        <w:t>amount.</w:t>
      </w:r>
    </w:p>
    <w:p>
      <w:pPr>
        <w:spacing w:after="0" w:line="240" w:lineRule="auto"/>
        <w:jc w:val="left"/>
        <w:rPr>
          <w:sz w:val="24"/>
        </w:rPr>
        <w:sectPr>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41"/>
          <w:footerReference w:type="default" r:id="rId142"/>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9</w:t>
                  </w:r>
                </w:p>
              </w:txbxContent>
            </v:textbox>
            <v:fill type="solid"/>
            <v:stroke dashstyle="solid"/>
          </v:shape>
        </w:pict>
      </w:r>
      <w:r>
        <w:rPr>
          <w:position w:val="0"/>
          <w:sz w:val="20"/>
        </w:rPr>
      </w:r>
    </w:p>
    <w:p>
      <w:pPr>
        <w:spacing w:after="0"/>
        <w:jc w:val="left"/>
        <w:rPr>
          <w:sz w:val="20"/>
        </w:rPr>
        <w:sectPr>
          <w:headerReference w:type="default" r:id="rId143"/>
          <w:footerReference w:type="default" r:id="rId144"/>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45"/>
          <w:footerReference w:type="default" r:id="rId146"/>
          <w:pgSz w:w="11910" w:h="16840"/>
          <w:pgMar w:header="0" w:footer="0" w:top="1600" w:bottom="280" w:left="1200" w:right="1000"/>
        </w:sectPr>
      </w:pPr>
    </w:p>
    <w:p>
      <w:pPr>
        <w:pStyle w:val="BodyText"/>
        <w:spacing w:before="3"/>
        <w:ind w:firstLine="0"/>
        <w:jc w:val="left"/>
        <w:rPr>
          <w:sz w:val="20"/>
        </w:rPr>
      </w:pPr>
    </w:p>
    <w:p>
      <w:pPr>
        <w:pStyle w:val="Heading1"/>
        <w:numPr>
          <w:ilvl w:val="0"/>
          <w:numId w:val="54"/>
        </w:numPr>
        <w:tabs>
          <w:tab w:pos="1351" w:val="left" w:leader="none"/>
          <w:tab w:pos="1352" w:val="left" w:leader="none"/>
        </w:tabs>
        <w:spacing w:line="240" w:lineRule="auto" w:before="90" w:after="0"/>
        <w:ind w:left="1352" w:right="1758" w:hanging="1134"/>
        <w:jc w:val="left"/>
      </w:pPr>
      <w:bookmarkStart w:name="9. Jurisdictional Derogations and Transi" w:id="2413"/>
      <w:bookmarkEnd w:id="2413"/>
      <w:r>
        <w:rPr>
          <w:b w:val="0"/>
        </w:rPr>
      </w:r>
      <w:bookmarkStart w:name="_bookmark1009" w:id="2414"/>
      <w:bookmarkEnd w:id="2414"/>
      <w:r>
        <w:rPr>
          <w:b w:val="0"/>
        </w:rPr>
      </w:r>
      <w:bookmarkStart w:name="_bookmark1009" w:id="2415"/>
      <w:bookmarkEnd w:id="2415"/>
      <w:r>
        <w:rPr/>
        <w:t>Jurisdictio</w:t>
      </w:r>
      <w:r>
        <w:rPr/>
        <w:t>nal Derogations and Transitional Arrangements</w:t>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9.1 Purpose and Application" w:id="2416"/>
      <w:bookmarkEnd w:id="2416"/>
      <w:r>
        <w:rPr>
          <w:b w:val="0"/>
        </w:rPr>
      </w:r>
      <w:bookmarkStart w:name="_bookmark1010" w:id="2417"/>
      <w:bookmarkEnd w:id="2417"/>
      <w:r>
        <w:rPr>
          <w:b w:val="0"/>
        </w:rPr>
      </w:r>
      <w:bookmarkStart w:name="_bookmark1010" w:id="2418"/>
      <w:bookmarkEnd w:id="2418"/>
      <w:r>
        <w:rPr/>
        <w:t>P</w:t>
      </w:r>
      <w:r>
        <w:rPr/>
        <w:t>urpose and</w:t>
      </w:r>
      <w:r>
        <w:rPr>
          <w:spacing w:val="-1"/>
        </w:rPr>
        <w:t> </w:t>
      </w:r>
      <w:r>
        <w:rPr/>
        <w:t>Application</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9.1.1 Purpose" w:id="2419"/>
      <w:bookmarkEnd w:id="2419"/>
      <w:r>
        <w:rPr>
          <w:b w:val="0"/>
        </w:rPr>
      </w:r>
      <w:bookmarkStart w:name="_bookmark1011" w:id="2420"/>
      <w:bookmarkEnd w:id="2420"/>
      <w:r>
        <w:rPr>
          <w:b w:val="0"/>
        </w:rPr>
      </w:r>
      <w:bookmarkStart w:name="_bookmark1011" w:id="2421"/>
      <w:bookmarkEnd w:id="2421"/>
      <w:r>
        <w:rPr/>
        <w:t>Purpose</w:t>
      </w:r>
    </w:p>
    <w:p>
      <w:pPr>
        <w:pStyle w:val="ListParagraph"/>
        <w:numPr>
          <w:ilvl w:val="3"/>
          <w:numId w:val="54"/>
        </w:numPr>
        <w:tabs>
          <w:tab w:pos="1919" w:val="left" w:leader="none"/>
        </w:tabs>
        <w:spacing w:line="240" w:lineRule="auto" w:before="120" w:after="0"/>
        <w:ind w:left="1919" w:right="414" w:hanging="567"/>
        <w:jc w:val="both"/>
        <w:rPr>
          <w:sz w:val="24"/>
        </w:rPr>
      </w:pPr>
      <w:r>
        <w:rPr>
          <w:sz w:val="24"/>
        </w:rPr>
        <w:t>This Chapter contains the </w:t>
      </w:r>
      <w:r>
        <w:rPr>
          <w:i/>
          <w:sz w:val="24"/>
        </w:rPr>
        <w:t>jurisdictional derogations </w:t>
      </w:r>
      <w:r>
        <w:rPr>
          <w:sz w:val="24"/>
        </w:rPr>
        <w:t>that apply in relation to each </w:t>
      </w:r>
      <w:r>
        <w:rPr>
          <w:i/>
          <w:sz w:val="24"/>
        </w:rPr>
        <w:t>participating</w:t>
      </w:r>
      <w:r>
        <w:rPr>
          <w:i/>
          <w:spacing w:val="-1"/>
          <w:sz w:val="24"/>
        </w:rPr>
        <w:t> </w:t>
      </w:r>
      <w:r>
        <w:rPr>
          <w:i/>
          <w:sz w:val="24"/>
        </w:rPr>
        <w:t>jurisdiction</w:t>
      </w:r>
      <w:r>
        <w:rPr>
          <w:sz w:val="24"/>
        </w:rPr>
        <w:t>.</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This Chapter prevails over all other Chapters of the</w:t>
      </w:r>
      <w:r>
        <w:rPr>
          <w:spacing w:val="-1"/>
          <w:sz w:val="24"/>
        </w:rPr>
        <w:t> </w:t>
      </w:r>
      <w:r>
        <w:rPr>
          <w:i/>
          <w:sz w:val="24"/>
        </w:rPr>
        <w:t>Rules</w:t>
      </w:r>
      <w:r>
        <w:rPr>
          <w:sz w:val="24"/>
        </w:rPr>
        <w:t>.</w:t>
      </w:r>
    </w:p>
    <w:p>
      <w:pPr>
        <w:pStyle w:val="BodyText"/>
        <w:spacing w:before="10"/>
        <w:ind w:firstLine="0"/>
        <w:jc w:val="left"/>
        <w:rPr>
          <w:sz w:val="20"/>
        </w:rPr>
      </w:pPr>
    </w:p>
    <w:p>
      <w:pPr>
        <w:pStyle w:val="Heading4"/>
        <w:numPr>
          <w:ilvl w:val="2"/>
          <w:numId w:val="54"/>
        </w:numPr>
        <w:tabs>
          <w:tab w:pos="1351" w:val="left" w:leader="none"/>
          <w:tab w:pos="1352" w:val="left" w:leader="none"/>
        </w:tabs>
        <w:spacing w:line="240" w:lineRule="auto" w:before="0" w:after="0"/>
        <w:ind w:left="1351" w:right="0" w:hanging="1134"/>
        <w:jc w:val="left"/>
      </w:pPr>
      <w:bookmarkStart w:name="9.1.2 Jurisdictional Derogations" w:id="2422"/>
      <w:bookmarkEnd w:id="2422"/>
      <w:r>
        <w:rPr>
          <w:b w:val="0"/>
        </w:rPr>
      </w:r>
      <w:bookmarkStart w:name="_bookmark1012" w:id="2423"/>
      <w:bookmarkEnd w:id="2423"/>
      <w:r>
        <w:rPr>
          <w:b w:val="0"/>
        </w:rPr>
      </w:r>
      <w:bookmarkStart w:name="_bookmark1012" w:id="2424"/>
      <w:bookmarkEnd w:id="2424"/>
      <w:r>
        <w:rPr/>
        <w:t>Jurisdiction</w:t>
      </w:r>
      <w:r>
        <w:rPr/>
        <w:t>al</w:t>
      </w:r>
      <w:r>
        <w:rPr>
          <w:spacing w:val="-2"/>
        </w:rPr>
        <w:t> </w:t>
      </w:r>
      <w:r>
        <w:rPr/>
        <w:t>Derogations</w:t>
      </w:r>
    </w:p>
    <w:p>
      <w:pPr>
        <w:spacing w:before="120"/>
        <w:ind w:left="1352" w:right="415" w:firstLine="0"/>
        <w:jc w:val="left"/>
        <w:rPr>
          <w:sz w:val="24"/>
        </w:rPr>
      </w:pPr>
      <w:r>
        <w:rPr>
          <w:sz w:val="24"/>
        </w:rPr>
        <w:t>The </w:t>
      </w:r>
      <w:r>
        <w:rPr>
          <w:i/>
          <w:sz w:val="24"/>
        </w:rPr>
        <w:t>jurisdictional derogations </w:t>
      </w:r>
      <w:r>
        <w:rPr>
          <w:sz w:val="24"/>
        </w:rPr>
        <w:t>that apply in relation to each </w:t>
      </w:r>
      <w:r>
        <w:rPr>
          <w:i/>
          <w:sz w:val="24"/>
        </w:rPr>
        <w:t>participating </w:t>
      </w:r>
      <w:r>
        <w:rPr>
          <w:i/>
          <w:sz w:val="24"/>
        </w:rPr>
        <w:t>jurisdiction </w:t>
      </w:r>
      <w:r>
        <w:rPr>
          <w:sz w:val="24"/>
        </w:rPr>
        <w:t>are set out in this Chapter as follows: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 A -</w:t>
      </w:r>
      <w:r>
        <w:rPr>
          <w:spacing w:val="-2"/>
          <w:sz w:val="24"/>
        </w:rPr>
        <w:t> </w:t>
      </w:r>
      <w:r>
        <w:rPr>
          <w:sz w:val="24"/>
        </w:rPr>
        <w:t>Victoria;</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 B - New South</w:t>
      </w:r>
      <w:r>
        <w:rPr>
          <w:spacing w:val="-3"/>
          <w:sz w:val="24"/>
        </w:rPr>
        <w:t> </w:t>
      </w:r>
      <w:r>
        <w:rPr>
          <w:sz w:val="24"/>
        </w:rPr>
        <w:t>Wales;</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 C - Australian Capital</w:t>
      </w:r>
      <w:r>
        <w:rPr>
          <w:spacing w:val="-2"/>
          <w:sz w:val="24"/>
        </w:rPr>
        <w:t> </w:t>
      </w:r>
      <w:r>
        <w:rPr>
          <w:sz w:val="24"/>
        </w:rPr>
        <w:t>Territory;</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 D - South</w:t>
      </w:r>
      <w:r>
        <w:rPr>
          <w:spacing w:val="-13"/>
          <w:sz w:val="24"/>
        </w:rPr>
        <w:t> </w:t>
      </w:r>
      <w:r>
        <w:rPr>
          <w:sz w:val="24"/>
        </w:rPr>
        <w:t>Australia;</w:t>
      </w:r>
    </w:p>
    <w:p>
      <w:pPr>
        <w:pStyle w:val="ListParagraph"/>
        <w:numPr>
          <w:ilvl w:val="3"/>
          <w:numId w:val="54"/>
        </w:numPr>
        <w:tabs>
          <w:tab w:pos="1918" w:val="left" w:leader="none"/>
          <w:tab w:pos="1919" w:val="left" w:leader="none"/>
        </w:tabs>
        <w:spacing w:line="240" w:lineRule="auto" w:before="120" w:after="0"/>
        <w:ind w:left="1918" w:right="0" w:hanging="567"/>
        <w:jc w:val="left"/>
        <w:rPr>
          <w:sz w:val="24"/>
        </w:rPr>
      </w:pPr>
      <w:r>
        <w:rPr>
          <w:sz w:val="24"/>
        </w:rPr>
        <w:t>Part E - Queensland;</w:t>
      </w:r>
      <w:r>
        <w:rPr>
          <w:spacing w:val="-13"/>
          <w:sz w:val="24"/>
        </w:rPr>
        <w:t> </w:t>
      </w:r>
      <w:r>
        <w:rPr>
          <w:sz w:val="24"/>
        </w:rPr>
        <w:t>and</w:t>
      </w:r>
    </w:p>
    <w:p>
      <w:pPr>
        <w:pStyle w:val="ListParagraph"/>
        <w:numPr>
          <w:ilvl w:val="3"/>
          <w:numId w:val="54"/>
        </w:numPr>
        <w:tabs>
          <w:tab w:pos="1919" w:val="left" w:leader="none"/>
          <w:tab w:pos="1920" w:val="left" w:leader="none"/>
        </w:tabs>
        <w:spacing w:line="240" w:lineRule="auto" w:before="120" w:after="0"/>
        <w:ind w:left="1919" w:right="0" w:hanging="568"/>
        <w:jc w:val="left"/>
        <w:rPr>
          <w:sz w:val="24"/>
        </w:rPr>
      </w:pPr>
      <w:r>
        <w:rPr>
          <w:sz w:val="24"/>
        </w:rPr>
        <w:t>Part F –</w:t>
      </w:r>
      <w:r>
        <w:rPr>
          <w:spacing w:val="-3"/>
          <w:sz w:val="24"/>
        </w:rPr>
        <w:t> </w:t>
      </w:r>
      <w:r>
        <w:rPr>
          <w:sz w:val="24"/>
        </w:rPr>
        <w:t>Tasmania.</w:t>
      </w:r>
    </w:p>
    <w:p>
      <w:pPr>
        <w:pStyle w:val="BodyText"/>
        <w:ind w:left="1352" w:firstLine="0"/>
        <w:jc w:val="left"/>
      </w:pPr>
      <w:r>
        <w:rPr/>
        <w:t>Part G sets out the Schedules to this Chapter 9.</w:t>
      </w:r>
    </w:p>
    <w:p>
      <w:pPr>
        <w:pStyle w:val="BodyText"/>
        <w:spacing w:before="10"/>
        <w:ind w:firstLine="0"/>
        <w:jc w:val="left"/>
        <w:rPr>
          <w:sz w:val="20"/>
        </w:rPr>
      </w:pPr>
    </w:p>
    <w:p>
      <w:pPr>
        <w:tabs>
          <w:tab w:pos="1352" w:val="left" w:leader="none"/>
          <w:tab w:pos="9317" w:val="left" w:leader="none"/>
        </w:tabs>
        <w:spacing w:before="0"/>
        <w:ind w:left="218" w:right="0" w:firstLine="0"/>
        <w:jc w:val="left"/>
        <w:rPr>
          <w:rFonts w:ascii="Arial"/>
          <w:b/>
          <w:sz w:val="28"/>
        </w:rPr>
      </w:pPr>
      <w:bookmarkStart w:name="Part A Jurisdictional Derogations for Vi" w:id="2425"/>
      <w:bookmarkEnd w:id="2425"/>
      <w:r>
        <w:rPr/>
      </w:r>
      <w:bookmarkStart w:name="_bookmark1013" w:id="2426"/>
      <w:bookmarkEnd w:id="2426"/>
      <w:r>
        <w:rPr/>
      </w:r>
      <w:r>
        <w:rPr>
          <w:rFonts w:ascii="Arial"/>
          <w:b/>
          <w:sz w:val="28"/>
          <w:shd w:fill="D9D9D9" w:color="auto" w:val="clear"/>
        </w:rPr>
        <w:t>Part A</w:t>
        <w:tab/>
        <w:t>Jurisdictional Derogations for</w:t>
      </w:r>
      <w:r>
        <w:rPr>
          <w:rFonts w:ascii="Arial"/>
          <w:b/>
          <w:spacing w:val="-21"/>
          <w:sz w:val="28"/>
          <w:shd w:fill="D9D9D9" w:color="auto" w:val="clear"/>
        </w:rPr>
        <w:t> </w:t>
      </w:r>
      <w:r>
        <w:rPr>
          <w:rFonts w:ascii="Arial"/>
          <w:b/>
          <w:sz w:val="28"/>
          <w:shd w:fill="D9D9D9" w:color="auto" w:val="clear"/>
        </w:rPr>
        <w:t>Victoria</w:t>
        <w:tab/>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9.2 [Deleted]" w:id="2427"/>
      <w:bookmarkEnd w:id="2427"/>
      <w:r>
        <w:rPr>
          <w:b w:val="0"/>
        </w:rPr>
      </w:r>
      <w:bookmarkStart w:name="_bookmark1014" w:id="2428"/>
      <w:bookmarkEnd w:id="2428"/>
      <w:r>
        <w:rPr>
          <w:b w:val="0"/>
        </w:rPr>
      </w:r>
      <w:bookmarkStart w:name="_bookmark1014" w:id="2429"/>
      <w:bookmarkEnd w:id="2429"/>
      <w:r>
        <w:rPr/>
        <w:t>[Deleted]</w:t>
      </w:r>
    </w:p>
    <w:p>
      <w:pPr>
        <w:pStyle w:val="Heading3"/>
        <w:numPr>
          <w:ilvl w:val="1"/>
          <w:numId w:val="54"/>
        </w:numPr>
        <w:tabs>
          <w:tab w:pos="1351" w:val="left" w:leader="none"/>
          <w:tab w:pos="1353" w:val="left" w:leader="none"/>
        </w:tabs>
        <w:spacing w:line="240" w:lineRule="auto" w:before="240" w:after="0"/>
        <w:ind w:left="1352" w:right="0" w:hanging="1135"/>
        <w:jc w:val="left"/>
      </w:pPr>
      <w:bookmarkStart w:name="9.3 Definitions" w:id="2430"/>
      <w:bookmarkEnd w:id="2430"/>
      <w:r>
        <w:rPr>
          <w:b w:val="0"/>
        </w:rPr>
      </w:r>
      <w:bookmarkStart w:name="_bookmark1015" w:id="2431"/>
      <w:bookmarkEnd w:id="2431"/>
      <w:r>
        <w:rPr>
          <w:b w:val="0"/>
        </w:rPr>
      </w:r>
      <w:bookmarkStart w:name="_bookmark1015" w:id="2432"/>
      <w:bookmarkEnd w:id="2432"/>
      <w:r>
        <w:rPr/>
        <w:t>Defini</w:t>
      </w:r>
      <w:r>
        <w:rPr/>
        <w:t>tions</w:t>
      </w:r>
    </w:p>
    <w:p>
      <w:pPr>
        <w:pStyle w:val="Heading4"/>
        <w:numPr>
          <w:ilvl w:val="2"/>
          <w:numId w:val="54"/>
        </w:numPr>
        <w:tabs>
          <w:tab w:pos="1351" w:val="left" w:leader="none"/>
          <w:tab w:pos="1352" w:val="left" w:leader="none"/>
        </w:tabs>
        <w:spacing w:line="240" w:lineRule="auto" w:before="240" w:after="0"/>
        <w:ind w:left="1351" w:right="0" w:hanging="1134"/>
        <w:jc w:val="left"/>
      </w:pPr>
      <w:bookmarkStart w:name="9.3.1 General Definitions" w:id="2433"/>
      <w:bookmarkEnd w:id="2433"/>
      <w:r>
        <w:rPr>
          <w:b w:val="0"/>
        </w:rPr>
      </w:r>
      <w:bookmarkStart w:name="_bookmark1016" w:id="2434"/>
      <w:bookmarkEnd w:id="2434"/>
      <w:r>
        <w:rPr>
          <w:b w:val="0"/>
        </w:rPr>
      </w:r>
      <w:bookmarkStart w:name="_bookmark1016" w:id="2435"/>
      <w:bookmarkEnd w:id="2435"/>
      <w:r>
        <w:rPr/>
        <w:t>General</w:t>
      </w:r>
      <w:r>
        <w:rPr>
          <w:spacing w:val="-1"/>
        </w:rPr>
        <w:t> </w:t>
      </w:r>
      <w:r>
        <w:rPr/>
        <w:t>Definitions</w:t>
      </w:r>
    </w:p>
    <w:p>
      <w:pPr>
        <w:pStyle w:val="BodyText"/>
        <w:ind w:left="1352" w:firstLine="0"/>
      </w:pPr>
      <w:r>
        <w:rPr/>
        <w:t>For the purposes of this Part A:</w:t>
      </w:r>
    </w:p>
    <w:p>
      <w:pPr>
        <w:pStyle w:val="ListParagraph"/>
        <w:numPr>
          <w:ilvl w:val="0"/>
          <w:numId w:val="675"/>
        </w:numPr>
        <w:tabs>
          <w:tab w:pos="1919" w:val="left" w:leader="none"/>
        </w:tabs>
        <w:spacing w:line="240" w:lineRule="auto" w:before="120" w:after="0"/>
        <w:ind w:left="1919" w:right="415" w:hanging="567"/>
        <w:jc w:val="both"/>
        <w:rPr>
          <w:sz w:val="24"/>
        </w:rPr>
      </w:pPr>
      <w:r>
        <w:rPr>
          <w:sz w:val="24"/>
        </w:rPr>
        <w:t>a word or expression defined in the glossary in Chapter 10 has the meaning given to it in the glossary unless it is referred to in column 1 of the following table;</w:t>
      </w:r>
      <w:r>
        <w:rPr>
          <w:spacing w:val="-1"/>
          <w:sz w:val="24"/>
        </w:rPr>
        <w:t> </w:t>
      </w:r>
      <w:r>
        <w:rPr>
          <w:sz w:val="24"/>
        </w:rPr>
        <w:t>and</w:t>
      </w:r>
    </w:p>
    <w:p>
      <w:pPr>
        <w:pStyle w:val="ListParagraph"/>
        <w:numPr>
          <w:ilvl w:val="0"/>
          <w:numId w:val="675"/>
        </w:numPr>
        <w:tabs>
          <w:tab w:pos="1919" w:val="left" w:leader="none"/>
        </w:tabs>
        <w:spacing w:line="240" w:lineRule="auto" w:before="120" w:after="0"/>
        <w:ind w:left="1919" w:right="415" w:hanging="567"/>
        <w:jc w:val="both"/>
        <w:rPr>
          <w:sz w:val="24"/>
        </w:rPr>
      </w:pPr>
      <w:r>
        <w:rPr>
          <w:sz w:val="24"/>
        </w:rPr>
        <w:t>a word or expression referred to in column 1 of the following table has the meaning given to it in column 2 of the</w:t>
      </w:r>
      <w:r>
        <w:rPr>
          <w:spacing w:val="-1"/>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778"/>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081" w:right="2062"/>
              <w:jc w:val="center"/>
              <w:rPr>
                <w:rFonts w:ascii="Arial"/>
                <w:b/>
                <w:sz w:val="24"/>
              </w:rPr>
            </w:pPr>
            <w:r>
              <w:rPr>
                <w:rFonts w:ascii="Arial"/>
                <w:b/>
                <w:sz w:val="24"/>
              </w:rPr>
              <w:t>Column 2</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Counterparties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46"/>
              <w:rPr>
                <w:sz w:val="24"/>
              </w:rPr>
            </w:pPr>
            <w:r>
              <w:rPr>
                <w:sz w:val="24"/>
              </w:rPr>
              <w:t>In relation to each Smelter Agreement, means as applicable Portland Smelter Services Pty Ltd, Alcoa of Australia Limited (ACN 004 879 298) or any other party to that Smelter Agreement (other than SEC).</w:t>
            </w:r>
          </w:p>
        </w:tc>
      </w:tr>
      <w:tr>
        <w:trPr>
          <w:trHeight w:val="67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CPI</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right="646"/>
              <w:rPr>
                <w:sz w:val="24"/>
              </w:rPr>
            </w:pPr>
            <w:r>
              <w:rPr>
                <w:sz w:val="24"/>
              </w:rPr>
              <w:t>The Consumer Price Index: All Groups Index Number Melbourne compiled by the Australian</w:t>
            </w:r>
          </w:p>
        </w:tc>
      </w:tr>
    </w:tbl>
    <w:p>
      <w:pPr>
        <w:spacing w:after="0" w:line="270" w:lineRule="atLeast"/>
        <w:rPr>
          <w:sz w:val="24"/>
        </w:rPr>
        <w:sectPr>
          <w:headerReference w:type="default" r:id="rId147"/>
          <w:footerReference w:type="default" r:id="rId148"/>
          <w:pgSz w:w="11910" w:h="16840"/>
          <w:pgMar w:header="686" w:footer="637" w:top="1320" w:bottom="820" w:left="1200" w:right="1000"/>
          <w:pgNumType w:start="735"/>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778"/>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081" w:right="2062"/>
              <w:jc w:val="center"/>
              <w:rPr>
                <w:rFonts w:ascii="Arial"/>
                <w:b/>
                <w:sz w:val="24"/>
              </w:rPr>
            </w:pPr>
            <w:r>
              <w:rPr>
                <w:rFonts w:ascii="Arial"/>
                <w:b/>
                <w:sz w:val="24"/>
              </w:rPr>
              <w:t>Column 2</w:t>
            </w:r>
          </w:p>
        </w:tc>
      </w:tr>
      <w:tr>
        <w:trPr>
          <w:trHeight w:val="395" w:hRule="atLeast"/>
        </w:trPr>
        <w:tc>
          <w:tcPr>
            <w:tcW w:w="2650"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before="0"/>
              <w:rPr>
                <w:sz w:val="24"/>
              </w:rPr>
            </w:pPr>
            <w:r>
              <w:rPr>
                <w:sz w:val="24"/>
              </w:rPr>
              <w:t>Bureau of Statistics.</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distribution licence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 </w:t>
            </w:r>
            <w:r>
              <w:rPr>
                <w:i/>
                <w:sz w:val="24"/>
              </w:rPr>
              <w:t>licence </w:t>
            </w:r>
            <w:r>
              <w:rPr>
                <w:sz w:val="24"/>
              </w:rPr>
              <w:t>to distribute and supply electricity.</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Distributor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 person who holds a distribution </w:t>
            </w:r>
            <w:r>
              <w:rPr>
                <w:i/>
                <w:sz w:val="24"/>
              </w:rPr>
              <w:t>licence</w:t>
            </w:r>
            <w:r>
              <w:rPr>
                <w:sz w:val="24"/>
              </w:rPr>
              <w:t>.</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EI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i/>
                <w:sz w:val="24"/>
              </w:rPr>
              <w:t>Electricity Industry Act 2000 </w:t>
            </w:r>
            <w:r>
              <w:rPr>
                <w:sz w:val="24"/>
              </w:rPr>
              <w:t>(Vic).</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EI (RP)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i/>
                <w:sz w:val="24"/>
              </w:rPr>
              <w:t>Electricity Industry (Residual Provisions) Act 1993</w:t>
            </w:r>
          </w:p>
          <w:p>
            <w:pPr>
              <w:pStyle w:val="TableParagraph"/>
              <w:spacing w:before="0"/>
              <w:rPr>
                <w:sz w:val="24"/>
              </w:rPr>
            </w:pPr>
            <w:r>
              <w:rPr>
                <w:sz w:val="24"/>
              </w:rPr>
              <w:t>(Vic).</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ESC</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2"/>
              <w:rPr>
                <w:sz w:val="24"/>
              </w:rPr>
            </w:pPr>
            <w:r>
              <w:rPr>
                <w:sz w:val="24"/>
              </w:rPr>
              <w:t>The Essential Services Commission established under section 7 of the </w:t>
            </w:r>
            <w:r>
              <w:rPr>
                <w:i/>
                <w:sz w:val="24"/>
              </w:rPr>
              <w:t>ESC Act</w:t>
            </w:r>
            <w:r>
              <w:rPr>
                <w:sz w:val="24"/>
              </w:rPr>
              <w:t>.</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ESC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w:t>
            </w:r>
            <w:r>
              <w:rPr>
                <w:i/>
                <w:sz w:val="24"/>
              </w:rPr>
              <w:t>Essential Services Commission Act 2001 </w:t>
            </w:r>
            <w:r>
              <w:rPr>
                <w:sz w:val="24"/>
              </w:rPr>
              <w:t>(Vic).</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licence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58"/>
              <w:jc w:val="both"/>
              <w:rPr>
                <w:sz w:val="24"/>
              </w:rPr>
            </w:pPr>
            <w:r>
              <w:rPr>
                <w:sz w:val="24"/>
              </w:rPr>
              <w:t>A </w:t>
            </w:r>
            <w:r>
              <w:rPr>
                <w:i/>
                <w:sz w:val="24"/>
              </w:rPr>
              <w:t>licence </w:t>
            </w:r>
            <w:r>
              <w:rPr>
                <w:sz w:val="24"/>
              </w:rPr>
              <w:t>within the meaning of the </w:t>
            </w:r>
            <w:r>
              <w:rPr>
                <w:i/>
                <w:sz w:val="24"/>
              </w:rPr>
              <w:t>EI Act </w:t>
            </w:r>
            <w:r>
              <w:rPr>
                <w:sz w:val="24"/>
              </w:rPr>
              <w:t>or deemed to be issued under the </w:t>
            </w:r>
            <w:r>
              <w:rPr>
                <w:i/>
                <w:sz w:val="24"/>
              </w:rPr>
              <w:t>EI Act </w:t>
            </w:r>
            <w:r>
              <w:rPr>
                <w:sz w:val="24"/>
              </w:rPr>
              <w:t>by operation of clause 5 of Schedule 4 to the </w:t>
            </w:r>
            <w:r>
              <w:rPr>
                <w:i/>
                <w:sz w:val="24"/>
              </w:rPr>
              <w:t>EI (RP) Act</w:t>
            </w:r>
            <w:r>
              <w:rPr>
                <w:sz w:val="24"/>
              </w:rPr>
              <w:t>.</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Quarter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73"/>
              <w:rPr>
                <w:sz w:val="24"/>
              </w:rPr>
            </w:pPr>
            <w:r>
              <w:rPr>
                <w:sz w:val="24"/>
              </w:rPr>
              <w:t>The respective 3 monthly periods adopted by the Australian Bureau of Statistics for the compilation and issue of the CPI.</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SEC</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66"/>
              <w:rPr>
                <w:sz w:val="24"/>
              </w:rPr>
            </w:pPr>
            <w:r>
              <w:rPr>
                <w:sz w:val="24"/>
              </w:rPr>
              <w:t>State Electricity Commission of Victoria established under the </w:t>
            </w:r>
            <w:r>
              <w:rPr>
                <w:i/>
                <w:sz w:val="24"/>
              </w:rPr>
              <w:t>State Electricity Commission Act 1958 </w:t>
            </w:r>
            <w:r>
              <w:rPr>
                <w:sz w:val="24"/>
              </w:rPr>
              <w:t>(Vic).</w:t>
            </w:r>
          </w:p>
        </w:tc>
      </w:tr>
      <w:tr>
        <w:trPr>
          <w:trHeight w:val="217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Smelter Agreements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47"/>
              <w:rPr>
                <w:sz w:val="24"/>
              </w:rPr>
            </w:pPr>
            <w:r>
              <w:rPr>
                <w:sz w:val="24"/>
              </w:rPr>
              <w:t>Each of the agreements, contracts and deeds referred to in Part A of schedule 3 to the </w:t>
            </w:r>
            <w:r>
              <w:rPr>
                <w:i/>
                <w:sz w:val="24"/>
              </w:rPr>
              <w:t>EI (RP) Act </w:t>
            </w:r>
            <w:r>
              <w:rPr>
                <w:sz w:val="24"/>
              </w:rPr>
              <w:t>in their form as at 1 July 1996 (other than the Portland and Point Henry Flexible Tariff Deeds between SEC and the State Trust Corporation of Victoria) in each case until that agreement, contract or deed expires or is terminated.</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Smelter Trader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SEC in its capacity as Smelter Trader.</w:t>
            </w:r>
          </w:p>
        </w:tc>
      </w:tr>
      <w:tr>
        <w:trPr>
          <w:trHeight w:val="1619"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System Code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92"/>
              <w:rPr>
                <w:sz w:val="24"/>
              </w:rPr>
            </w:pPr>
            <w:r>
              <w:rPr>
                <w:sz w:val="24"/>
              </w:rPr>
              <w:t>The code of that name sealed by the Office of the Regulator-General under the </w:t>
            </w:r>
            <w:r>
              <w:rPr>
                <w:i/>
                <w:sz w:val="24"/>
              </w:rPr>
              <w:t>Office of the Regulator- </w:t>
            </w:r>
            <w:r>
              <w:rPr>
                <w:i/>
                <w:sz w:val="24"/>
              </w:rPr>
              <w:t>General Act 1994 </w:t>
            </w:r>
            <w:r>
              <w:rPr>
                <w:sz w:val="24"/>
              </w:rPr>
              <w:t>(Vic) on 3 October 1994 and saved and continued in operation by section 67 of the </w:t>
            </w:r>
            <w:r>
              <w:rPr>
                <w:i/>
                <w:sz w:val="24"/>
              </w:rPr>
              <w:t>ESC </w:t>
            </w:r>
            <w:r>
              <w:rPr>
                <w:i/>
                <w:sz w:val="24"/>
              </w:rPr>
              <w:t>Act</w:t>
            </w:r>
            <w:r>
              <w:rPr>
                <w:sz w:val="24"/>
              </w:rPr>
              <w:t>.</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VENCorp</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13"/>
              <w:rPr>
                <w:sz w:val="24"/>
              </w:rPr>
            </w:pPr>
            <w:r>
              <w:rPr>
                <w:sz w:val="24"/>
              </w:rPr>
              <w:t>Victorian Energy Networks Corporation established under Division 2A of Part 2 of the </w:t>
            </w:r>
            <w:r>
              <w:rPr>
                <w:i/>
                <w:sz w:val="24"/>
              </w:rPr>
              <w:t>Gas Industry Act </w:t>
            </w:r>
            <w:r>
              <w:rPr>
                <w:i/>
                <w:sz w:val="24"/>
              </w:rPr>
              <w:t>1994 </w:t>
            </w:r>
            <w:r>
              <w:rPr>
                <w:sz w:val="24"/>
              </w:rPr>
              <w:t>(Vic) and continued under Part 8 of the </w:t>
            </w:r>
            <w:r>
              <w:rPr>
                <w:i/>
                <w:sz w:val="24"/>
              </w:rPr>
              <w:t>Gas </w:t>
            </w:r>
            <w:r>
              <w:rPr>
                <w:i/>
                <w:sz w:val="24"/>
              </w:rPr>
              <w:t>Industry Act 2001 </w:t>
            </w:r>
            <w:r>
              <w:rPr>
                <w:sz w:val="24"/>
              </w:rPr>
              <w:t>(Vic).</w:t>
            </w:r>
          </w:p>
        </w:tc>
      </w:tr>
      <w:tr>
        <w:trPr>
          <w:trHeight w:val="395" w:hRule="atLeast"/>
        </w:trPr>
        <w:tc>
          <w:tcPr>
            <w:tcW w:w="2650" w:type="dxa"/>
            <w:tcBorders>
              <w:top w:val="single" w:sz="4" w:space="0" w:color="000000"/>
              <w:bottom w:val="single" w:sz="4" w:space="0" w:color="000000"/>
              <w:right w:val="single" w:sz="4" w:space="0" w:color="000000"/>
            </w:tcBorders>
          </w:tcPr>
          <w:p>
            <w:pPr>
              <w:pStyle w:val="TableParagraph"/>
              <w:spacing w:line="256" w:lineRule="exact"/>
              <w:ind w:left="40"/>
              <w:rPr>
                <w:b/>
                <w:sz w:val="24"/>
              </w:rPr>
            </w:pPr>
            <w:r>
              <w:rPr>
                <w:b/>
                <w:sz w:val="24"/>
              </w:rPr>
              <w:t>Victorian Distribution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rPr>
                <w:sz w:val="24"/>
              </w:rPr>
            </w:pPr>
            <w:r>
              <w:rPr>
                <w:sz w:val="24"/>
              </w:rPr>
              <w:t>In relation to a person that holds a distribution</w:t>
            </w:r>
          </w:p>
        </w:tc>
      </w:tr>
    </w:tbl>
    <w:p>
      <w:pPr>
        <w:spacing w:after="0" w:line="256" w:lineRule="exac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778"/>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2081" w:right="2062"/>
              <w:jc w:val="center"/>
              <w:rPr>
                <w:rFonts w:ascii="Arial"/>
                <w:b/>
                <w:sz w:val="24"/>
              </w:rPr>
            </w:pPr>
            <w:r>
              <w:rPr>
                <w:rFonts w:ascii="Arial"/>
                <w:b/>
                <w:sz w:val="24"/>
              </w:rPr>
              <w:t>Column 2</w:t>
            </w:r>
          </w:p>
        </w:tc>
      </w:tr>
      <w:tr>
        <w:trPr>
          <w:trHeight w:val="947" w:hRule="atLeast"/>
        </w:trPr>
        <w:tc>
          <w:tcPr>
            <w:tcW w:w="2650" w:type="dxa"/>
            <w:tcBorders>
              <w:top w:val="single" w:sz="4" w:space="0" w:color="000000"/>
              <w:bottom w:val="single" w:sz="4" w:space="0" w:color="000000"/>
              <w:right w:val="single" w:sz="4" w:space="0" w:color="000000"/>
            </w:tcBorders>
          </w:tcPr>
          <w:p>
            <w:pPr>
              <w:pStyle w:val="TableParagraph"/>
              <w:spacing w:before="0"/>
              <w:ind w:left="40"/>
              <w:rPr>
                <w:b/>
                <w:sz w:val="24"/>
              </w:rPr>
            </w:pPr>
            <w:r>
              <w:rPr>
                <w:b/>
                <w:sz w:val="24"/>
              </w:rPr>
              <w:t>Network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before="0"/>
              <w:ind w:right="159"/>
              <w:rPr>
                <w:sz w:val="24"/>
              </w:rPr>
            </w:pPr>
            <w:r>
              <w:rPr>
                <w:i/>
                <w:sz w:val="24"/>
              </w:rPr>
              <w:t>licence</w:t>
            </w:r>
            <w:r>
              <w:rPr>
                <w:sz w:val="24"/>
              </w:rPr>
              <w:t>, the </w:t>
            </w:r>
            <w:r>
              <w:rPr>
                <w:i/>
                <w:sz w:val="24"/>
              </w:rPr>
              <w:t>distribution systems </w:t>
            </w:r>
            <w:r>
              <w:rPr>
                <w:sz w:val="24"/>
              </w:rPr>
              <w:t>in Victoria to which that </w:t>
            </w:r>
            <w:r>
              <w:rPr>
                <w:i/>
                <w:sz w:val="24"/>
              </w:rPr>
              <w:t>licence </w:t>
            </w:r>
            <w:r>
              <w:rPr>
                <w:sz w:val="24"/>
              </w:rPr>
              <w:t>relates and includes any part of those systems.</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Victorian Minister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Minister who, for the time being, administers the</w:t>
            </w:r>
          </w:p>
          <w:p>
            <w:pPr>
              <w:pStyle w:val="TableParagraph"/>
              <w:spacing w:before="0"/>
              <w:rPr>
                <w:sz w:val="24"/>
              </w:rPr>
            </w:pPr>
            <w:r>
              <w:rPr>
                <w:i/>
                <w:sz w:val="24"/>
              </w:rPr>
              <w:t>National Electricity (Victoria) Act 1997 </w:t>
            </w:r>
            <w:r>
              <w:rPr>
                <w:sz w:val="24"/>
              </w:rPr>
              <w:t>(Vic).</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154"/>
              <w:rPr>
                <w:b/>
                <w:sz w:val="24"/>
              </w:rPr>
            </w:pPr>
            <w:r>
              <w:rPr>
                <w:b/>
                <w:sz w:val="24"/>
              </w:rPr>
              <w:t>Victorian Transmission Network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w:t>
            </w:r>
            <w:r>
              <w:rPr>
                <w:i/>
                <w:sz w:val="24"/>
              </w:rPr>
              <w:t>declared shared network </w:t>
            </w:r>
            <w:r>
              <w:rPr>
                <w:sz w:val="24"/>
              </w:rPr>
              <w:t>of Victoria.</w:t>
            </w:r>
          </w:p>
        </w:tc>
      </w:tr>
      <w:tr>
        <w:trPr>
          <w:trHeight w:val="1343" w:hRule="atLeast"/>
        </w:trPr>
        <w:tc>
          <w:tcPr>
            <w:tcW w:w="2650" w:type="dxa"/>
            <w:tcBorders>
              <w:top w:val="single" w:sz="4" w:space="0" w:color="000000"/>
              <w:right w:val="single" w:sz="4" w:space="0" w:color="000000"/>
            </w:tcBorders>
          </w:tcPr>
          <w:p>
            <w:pPr>
              <w:pStyle w:val="TableParagraph"/>
              <w:ind w:left="40" w:right="515"/>
              <w:rPr>
                <w:b/>
                <w:sz w:val="24"/>
              </w:rPr>
            </w:pPr>
            <w:r>
              <w:rPr>
                <w:b/>
                <w:sz w:val="24"/>
              </w:rPr>
              <w:t>Wholesale Metering Code</w:t>
            </w:r>
          </w:p>
        </w:tc>
        <w:tc>
          <w:tcPr>
            <w:tcW w:w="5287" w:type="dxa"/>
            <w:tcBorders>
              <w:top w:val="single" w:sz="4" w:space="0" w:color="000000"/>
              <w:left w:val="single" w:sz="4" w:space="0" w:color="000000"/>
              <w:right w:val="single" w:sz="4" w:space="0" w:color="000000"/>
            </w:tcBorders>
          </w:tcPr>
          <w:p>
            <w:pPr>
              <w:pStyle w:val="TableParagraph"/>
              <w:ind w:right="138"/>
              <w:rPr>
                <w:sz w:val="24"/>
              </w:rPr>
            </w:pPr>
            <w:r>
              <w:rPr>
                <w:sz w:val="24"/>
              </w:rPr>
              <w:t>The code of that name sealed by the Office of the Regulator-General under the </w:t>
            </w:r>
            <w:r>
              <w:rPr>
                <w:i/>
                <w:sz w:val="24"/>
              </w:rPr>
              <w:t>Office of the Regulator- </w:t>
            </w:r>
            <w:r>
              <w:rPr>
                <w:i/>
                <w:sz w:val="24"/>
              </w:rPr>
              <w:t>General Act 1994 </w:t>
            </w:r>
            <w:r>
              <w:rPr>
                <w:sz w:val="24"/>
              </w:rPr>
              <w:t>(Vic) on 3 October 1994, as in force immediately before </w:t>
            </w:r>
            <w:r>
              <w:rPr>
                <w:i/>
                <w:sz w:val="24"/>
              </w:rPr>
              <w:t>market commencement</w:t>
            </w:r>
            <w:r>
              <w:rPr>
                <w:sz w:val="24"/>
              </w:rPr>
              <w:t>.</w:t>
            </w:r>
          </w:p>
        </w:tc>
      </w:tr>
    </w:tbl>
    <w:p>
      <w:pPr>
        <w:pStyle w:val="BodyText"/>
        <w:spacing w:before="0"/>
        <w:ind w:firstLine="0"/>
        <w:jc w:val="left"/>
        <w:rPr>
          <w:sz w:val="20"/>
        </w:rPr>
      </w:pPr>
    </w:p>
    <w:p>
      <w:pPr>
        <w:pStyle w:val="BodyText"/>
        <w:spacing w:before="10"/>
        <w:ind w:firstLine="0"/>
        <w:jc w:val="left"/>
        <w:rPr>
          <w:sz w:val="16"/>
        </w:rPr>
      </w:pPr>
    </w:p>
    <w:p>
      <w:pPr>
        <w:pStyle w:val="Heading4"/>
        <w:numPr>
          <w:ilvl w:val="2"/>
          <w:numId w:val="54"/>
        </w:numPr>
        <w:tabs>
          <w:tab w:pos="1351" w:val="left" w:leader="none"/>
          <w:tab w:pos="1352" w:val="left" w:leader="none"/>
        </w:tabs>
        <w:spacing w:line="240" w:lineRule="auto" w:before="93" w:after="0"/>
        <w:ind w:left="1351" w:right="0" w:hanging="1134"/>
        <w:jc w:val="left"/>
      </w:pPr>
      <w:bookmarkStart w:name="9.3.2 [Deleted]" w:id="2436"/>
      <w:bookmarkEnd w:id="2436"/>
      <w:r>
        <w:rPr>
          <w:b w:val="0"/>
        </w:rPr>
      </w:r>
      <w:bookmarkStart w:name="_bookmark1017" w:id="2437"/>
      <w:bookmarkEnd w:id="2437"/>
      <w:r>
        <w:rPr>
          <w:b w:val="0"/>
        </w:rPr>
      </w:r>
      <w:bookmarkStart w:name="_bookmark1017" w:id="2438"/>
      <w:bookmarkEnd w:id="2438"/>
      <w:r>
        <w:rPr/>
        <w:t>[Deleted]</w:t>
      </w:r>
    </w:p>
    <w:p>
      <w:pPr>
        <w:pStyle w:val="BodyText"/>
        <w:spacing w:before="10"/>
        <w:ind w:firstLine="0"/>
        <w:jc w:val="left"/>
        <w:rPr>
          <w:rFonts w:ascii="Arial"/>
          <w:b/>
          <w:sz w:val="20"/>
        </w:rPr>
      </w:pPr>
    </w:p>
    <w:p>
      <w:pPr>
        <w:pStyle w:val="Heading3"/>
        <w:numPr>
          <w:ilvl w:val="1"/>
          <w:numId w:val="676"/>
        </w:numPr>
        <w:tabs>
          <w:tab w:pos="581" w:val="left" w:leader="none"/>
          <w:tab w:pos="1351" w:val="left" w:leader="none"/>
        </w:tabs>
        <w:spacing w:line="240" w:lineRule="auto" w:before="0" w:after="0"/>
        <w:ind w:left="580" w:right="0" w:hanging="363"/>
        <w:jc w:val="left"/>
      </w:pPr>
      <w:bookmarkStart w:name="9.3A Fault levels" w:id="2439"/>
      <w:bookmarkEnd w:id="2439"/>
      <w:r>
        <w:rPr>
          <w:b w:val="0"/>
        </w:rPr>
      </w:r>
      <w:bookmarkStart w:name="_bookmark1018" w:id="2440"/>
      <w:bookmarkEnd w:id="2440"/>
      <w:r>
        <w:rPr>
          <w:b w:val="0"/>
        </w:rPr>
      </w:r>
      <w:bookmarkStart w:name="_bookmark1018" w:id="2441"/>
      <w:bookmarkEnd w:id="2441"/>
      <w:r>
        <w:rPr/>
        <w:t>A</w:t>
      </w:r>
      <w:r>
        <w:rPr/>
        <w:tab/>
        <w:t>Fault</w:t>
      </w:r>
      <w:r>
        <w:rPr>
          <w:spacing w:val="-1"/>
        </w:rPr>
        <w:t> </w:t>
      </w:r>
      <w:r>
        <w:rPr/>
        <w:t>levels</w:t>
      </w:r>
    </w:p>
    <w:p>
      <w:pPr>
        <w:spacing w:before="120"/>
        <w:ind w:left="1352" w:right="414" w:firstLine="0"/>
        <w:jc w:val="both"/>
        <w:rPr>
          <w:sz w:val="24"/>
        </w:rPr>
      </w:pPr>
      <w:r>
        <w:rPr>
          <w:sz w:val="24"/>
        </w:rPr>
        <w:t>Subject to the terms of a </w:t>
      </w:r>
      <w:r>
        <w:rPr>
          <w:i/>
          <w:sz w:val="24"/>
        </w:rPr>
        <w:t>connection agreement </w:t>
      </w:r>
      <w:r>
        <w:rPr>
          <w:sz w:val="24"/>
        </w:rPr>
        <w:t>under section 50E(1)(a) of the </w:t>
      </w:r>
      <w:r>
        <w:rPr>
          <w:i/>
          <w:sz w:val="24"/>
        </w:rPr>
        <w:t>National Electricity Law</w:t>
      </w:r>
      <w:r>
        <w:rPr>
          <w:sz w:val="24"/>
        </w:rPr>
        <w:t>, </w:t>
      </w:r>
      <w:r>
        <w:rPr>
          <w:i/>
          <w:sz w:val="24"/>
        </w:rPr>
        <w:t>AEMO </w:t>
      </w:r>
      <w:r>
        <w:rPr>
          <w:sz w:val="24"/>
        </w:rPr>
        <w:t>must, when planning the </w:t>
      </w:r>
      <w:r>
        <w:rPr>
          <w:i/>
          <w:sz w:val="24"/>
        </w:rPr>
        <w:t>declared shared </w:t>
      </w:r>
      <w:r>
        <w:rPr>
          <w:i/>
          <w:sz w:val="24"/>
        </w:rPr>
        <w:t>network</w:t>
      </w:r>
      <w:r>
        <w:rPr>
          <w:sz w:val="24"/>
        </w:rPr>
        <w:t>, use its best endeavours to ensure that fault levels at a </w:t>
      </w:r>
      <w:r>
        <w:rPr>
          <w:i/>
          <w:sz w:val="24"/>
        </w:rPr>
        <w:t>connection point </w:t>
      </w:r>
      <w:r>
        <w:rPr>
          <w:sz w:val="24"/>
        </w:rPr>
        <w:t>will not, as a result of a short circuit at that </w:t>
      </w:r>
      <w:r>
        <w:rPr>
          <w:i/>
          <w:sz w:val="24"/>
        </w:rPr>
        <w:t>connection point</w:t>
      </w:r>
      <w:r>
        <w:rPr>
          <w:sz w:val="24"/>
        </w:rPr>
        <w:t>, exceed the limits set out in the following table:</w:t>
      </w:r>
    </w:p>
    <w:p>
      <w:pPr>
        <w:pStyle w:val="BodyText"/>
        <w:spacing w:before="10"/>
        <w:ind w:firstLine="0"/>
        <w:jc w:val="left"/>
        <w:rPr>
          <w:sz w:val="22"/>
        </w:rPr>
      </w:pPr>
    </w:p>
    <w:p>
      <w:pPr>
        <w:spacing w:before="0"/>
        <w:ind w:left="1352" w:right="0" w:firstLine="0"/>
        <w:jc w:val="both"/>
        <w:rPr>
          <w:rFonts w:ascii="Arial"/>
          <w:b/>
          <w:sz w:val="22"/>
        </w:rPr>
      </w:pPr>
      <w:r>
        <w:rPr>
          <w:rFonts w:ascii="Arial"/>
          <w:b/>
          <w:sz w:val="22"/>
        </w:rPr>
        <w:t>FAULT LEVEL TABLE</w:t>
      </w:r>
    </w:p>
    <w:p>
      <w:pPr>
        <w:pStyle w:val="BodyText"/>
        <w:spacing w:before="2"/>
        <w:ind w:firstLine="0"/>
        <w:jc w:val="left"/>
        <w:rPr>
          <w:rFonts w:ascii="Arial"/>
          <w:b/>
          <w:sz w:val="5"/>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947" w:hRule="atLeast"/>
        </w:trPr>
        <w:tc>
          <w:tcPr>
            <w:tcW w:w="2650" w:type="dxa"/>
            <w:tcBorders>
              <w:bottom w:val="single" w:sz="4" w:space="0" w:color="000000"/>
              <w:right w:val="single" w:sz="4" w:space="0" w:color="000000"/>
            </w:tcBorders>
            <w:shd w:val="clear" w:color="auto" w:fill="D9D9D9"/>
          </w:tcPr>
          <w:p>
            <w:pPr>
              <w:pStyle w:val="TableParagraph"/>
              <w:spacing w:line="270" w:lineRule="atLeast"/>
              <w:ind w:left="40" w:right="228"/>
              <w:rPr>
                <w:rFonts w:ascii="Arial"/>
                <w:b/>
                <w:sz w:val="24"/>
              </w:rPr>
            </w:pPr>
            <w:r>
              <w:rPr>
                <w:rFonts w:ascii="Arial"/>
                <w:b/>
                <w:sz w:val="24"/>
              </w:rPr>
              <w:t>NOMINAL VOLTAGE AT CONNECTION POINT</w:t>
            </w:r>
          </w:p>
        </w:tc>
        <w:tc>
          <w:tcPr>
            <w:tcW w:w="5287" w:type="dxa"/>
            <w:tcBorders>
              <w:left w:val="single" w:sz="4" w:space="0" w:color="000000"/>
              <w:bottom w:val="single" w:sz="4" w:space="0" w:color="000000"/>
              <w:right w:val="single" w:sz="4" w:space="0" w:color="000000"/>
            </w:tcBorders>
            <w:shd w:val="clear" w:color="auto" w:fill="D9D9D9"/>
          </w:tcPr>
          <w:p>
            <w:pPr>
              <w:pStyle w:val="TableParagraph"/>
              <w:ind w:right="118"/>
              <w:rPr>
                <w:rFonts w:ascii="Arial"/>
                <w:b/>
                <w:sz w:val="24"/>
              </w:rPr>
            </w:pPr>
            <w:r>
              <w:rPr>
                <w:rFonts w:ascii="Arial"/>
                <w:b/>
                <w:sz w:val="24"/>
              </w:rPr>
              <w:t>THREE AND SINGLE PHASE DESIGN FAULT LEVEL</w:t>
            </w:r>
          </w:p>
        </w:tc>
      </w:tr>
      <w:tr>
        <w:trPr>
          <w:trHeight w:val="461" w:hRule="atLeast"/>
        </w:trPr>
        <w:tc>
          <w:tcPr>
            <w:tcW w:w="2650" w:type="dxa"/>
            <w:tcBorders>
              <w:top w:val="single" w:sz="4" w:space="0" w:color="000000"/>
              <w:bottom w:val="nil"/>
              <w:right w:val="single" w:sz="4" w:space="0" w:color="000000"/>
            </w:tcBorders>
          </w:tcPr>
          <w:p>
            <w:pPr>
              <w:pStyle w:val="TableParagraph"/>
              <w:ind w:left="40"/>
              <w:rPr>
                <w:b/>
                <w:sz w:val="24"/>
              </w:rPr>
            </w:pPr>
            <w:r>
              <w:rPr>
                <w:b/>
                <w:sz w:val="24"/>
              </w:rPr>
              <w:t>500kV</w:t>
            </w:r>
          </w:p>
        </w:tc>
        <w:tc>
          <w:tcPr>
            <w:tcW w:w="5287" w:type="dxa"/>
            <w:tcBorders>
              <w:top w:val="single" w:sz="4" w:space="0" w:color="000000"/>
              <w:left w:val="single" w:sz="4" w:space="0" w:color="000000"/>
              <w:bottom w:val="nil"/>
              <w:right w:val="single" w:sz="4" w:space="0" w:color="000000"/>
            </w:tcBorders>
          </w:tcPr>
          <w:p>
            <w:pPr>
              <w:pStyle w:val="TableParagraph"/>
              <w:spacing w:before="0"/>
              <w:ind w:left="0"/>
              <w:rPr>
                <w:sz w:val="22"/>
              </w:rPr>
            </w:pPr>
          </w:p>
        </w:tc>
      </w:tr>
      <w:tr>
        <w:trPr>
          <w:trHeight w:val="395" w:hRule="atLeast"/>
        </w:trPr>
        <w:tc>
          <w:tcPr>
            <w:tcW w:w="2650" w:type="dxa"/>
            <w:tcBorders>
              <w:top w:val="nil"/>
              <w:bottom w:val="nil"/>
              <w:right w:val="single" w:sz="4" w:space="0" w:color="000000"/>
            </w:tcBorders>
          </w:tcPr>
          <w:p>
            <w:pPr>
              <w:pStyle w:val="TableParagraph"/>
              <w:spacing w:before="55"/>
              <w:ind w:left="40"/>
              <w:rPr>
                <w:sz w:val="24"/>
              </w:rPr>
            </w:pPr>
            <w:r>
              <w:rPr>
                <w:sz w:val="24"/>
              </w:rPr>
              <w:t>Metro</w:t>
            </w:r>
          </w:p>
        </w:tc>
        <w:tc>
          <w:tcPr>
            <w:tcW w:w="5287" w:type="dxa"/>
            <w:tcBorders>
              <w:top w:val="nil"/>
              <w:left w:val="single" w:sz="4" w:space="0" w:color="000000"/>
              <w:bottom w:val="nil"/>
              <w:right w:val="single" w:sz="4" w:space="0" w:color="000000"/>
            </w:tcBorders>
          </w:tcPr>
          <w:p>
            <w:pPr>
              <w:pStyle w:val="TableParagraph"/>
              <w:spacing w:before="55"/>
              <w:rPr>
                <w:sz w:val="24"/>
              </w:rPr>
            </w:pPr>
            <w:r>
              <w:rPr>
                <w:sz w:val="24"/>
              </w:rPr>
              <w:t>50.0 kA</w:t>
            </w:r>
          </w:p>
        </w:tc>
      </w:tr>
      <w:tr>
        <w:trPr>
          <w:trHeight w:val="395" w:hRule="atLeast"/>
        </w:trPr>
        <w:tc>
          <w:tcPr>
            <w:tcW w:w="2650" w:type="dxa"/>
            <w:tcBorders>
              <w:top w:val="nil"/>
              <w:bottom w:val="nil"/>
              <w:right w:val="single" w:sz="4" w:space="0" w:color="000000"/>
            </w:tcBorders>
          </w:tcPr>
          <w:p>
            <w:pPr>
              <w:pStyle w:val="TableParagraph"/>
              <w:spacing w:before="55"/>
              <w:ind w:left="40"/>
              <w:rPr>
                <w:sz w:val="24"/>
              </w:rPr>
            </w:pPr>
            <w:r>
              <w:rPr>
                <w:sz w:val="24"/>
              </w:rPr>
              <w:t>Latrobe Valley</w:t>
            </w:r>
          </w:p>
        </w:tc>
        <w:tc>
          <w:tcPr>
            <w:tcW w:w="5287" w:type="dxa"/>
            <w:tcBorders>
              <w:top w:val="nil"/>
              <w:left w:val="single" w:sz="4" w:space="0" w:color="000000"/>
              <w:bottom w:val="nil"/>
              <w:right w:val="single" w:sz="4" w:space="0" w:color="000000"/>
            </w:tcBorders>
          </w:tcPr>
          <w:p>
            <w:pPr>
              <w:pStyle w:val="TableParagraph"/>
              <w:spacing w:before="55"/>
              <w:rPr>
                <w:sz w:val="24"/>
              </w:rPr>
            </w:pPr>
            <w:r>
              <w:rPr>
                <w:sz w:val="24"/>
              </w:rPr>
              <w:t>63.0 kA</w:t>
            </w:r>
          </w:p>
        </w:tc>
      </w:tr>
      <w:tr>
        <w:trPr>
          <w:trHeight w:val="450" w:hRule="atLeast"/>
        </w:trPr>
        <w:tc>
          <w:tcPr>
            <w:tcW w:w="2650" w:type="dxa"/>
            <w:tcBorders>
              <w:top w:val="nil"/>
              <w:bottom w:val="single" w:sz="4" w:space="0" w:color="000000"/>
              <w:right w:val="single" w:sz="4" w:space="0" w:color="000000"/>
            </w:tcBorders>
          </w:tcPr>
          <w:p>
            <w:pPr>
              <w:pStyle w:val="TableParagraph"/>
              <w:spacing w:before="55"/>
              <w:ind w:left="40"/>
              <w:rPr>
                <w:sz w:val="24"/>
              </w:rPr>
            </w:pPr>
            <w:r>
              <w:rPr>
                <w:sz w:val="24"/>
              </w:rPr>
              <w:t>Country</w:t>
            </w:r>
          </w:p>
        </w:tc>
        <w:tc>
          <w:tcPr>
            <w:tcW w:w="5287" w:type="dxa"/>
            <w:tcBorders>
              <w:top w:val="nil"/>
              <w:left w:val="single" w:sz="4" w:space="0" w:color="000000"/>
              <w:bottom w:val="single" w:sz="4" w:space="0" w:color="000000"/>
              <w:right w:val="single" w:sz="4" w:space="0" w:color="000000"/>
            </w:tcBorders>
          </w:tcPr>
          <w:p>
            <w:pPr>
              <w:pStyle w:val="TableParagraph"/>
              <w:spacing w:before="55"/>
              <w:rPr>
                <w:sz w:val="24"/>
              </w:rPr>
            </w:pPr>
            <w:r>
              <w:rPr>
                <w:sz w:val="24"/>
              </w:rPr>
              <w:t>40.0 kA</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330kV</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40.0 kA</w:t>
            </w:r>
          </w:p>
        </w:tc>
      </w:tr>
      <w:tr>
        <w:trPr>
          <w:trHeight w:val="461" w:hRule="atLeast"/>
        </w:trPr>
        <w:tc>
          <w:tcPr>
            <w:tcW w:w="2650" w:type="dxa"/>
            <w:tcBorders>
              <w:top w:val="single" w:sz="4" w:space="0" w:color="000000"/>
              <w:bottom w:val="nil"/>
              <w:right w:val="single" w:sz="4" w:space="0" w:color="000000"/>
            </w:tcBorders>
          </w:tcPr>
          <w:p>
            <w:pPr>
              <w:pStyle w:val="TableParagraph"/>
              <w:ind w:left="40"/>
              <w:rPr>
                <w:b/>
                <w:sz w:val="24"/>
              </w:rPr>
            </w:pPr>
            <w:r>
              <w:rPr>
                <w:b/>
                <w:sz w:val="24"/>
              </w:rPr>
              <w:t>220kV</w:t>
            </w:r>
          </w:p>
        </w:tc>
        <w:tc>
          <w:tcPr>
            <w:tcW w:w="5287" w:type="dxa"/>
            <w:tcBorders>
              <w:top w:val="single" w:sz="4" w:space="0" w:color="000000"/>
              <w:left w:val="single" w:sz="4" w:space="0" w:color="000000"/>
              <w:bottom w:val="nil"/>
              <w:right w:val="single" w:sz="4" w:space="0" w:color="000000"/>
            </w:tcBorders>
          </w:tcPr>
          <w:p>
            <w:pPr>
              <w:pStyle w:val="TableParagraph"/>
              <w:spacing w:before="0"/>
              <w:ind w:left="0"/>
              <w:rPr>
                <w:sz w:val="22"/>
              </w:rPr>
            </w:pPr>
          </w:p>
        </w:tc>
      </w:tr>
      <w:tr>
        <w:trPr>
          <w:trHeight w:val="395" w:hRule="atLeast"/>
        </w:trPr>
        <w:tc>
          <w:tcPr>
            <w:tcW w:w="2650" w:type="dxa"/>
            <w:tcBorders>
              <w:top w:val="nil"/>
              <w:bottom w:val="nil"/>
              <w:right w:val="single" w:sz="4" w:space="0" w:color="000000"/>
            </w:tcBorders>
          </w:tcPr>
          <w:p>
            <w:pPr>
              <w:pStyle w:val="TableParagraph"/>
              <w:spacing w:before="55"/>
              <w:ind w:left="40"/>
              <w:rPr>
                <w:sz w:val="24"/>
              </w:rPr>
            </w:pPr>
            <w:r>
              <w:rPr>
                <w:sz w:val="24"/>
              </w:rPr>
              <w:t>Metro</w:t>
            </w:r>
          </w:p>
        </w:tc>
        <w:tc>
          <w:tcPr>
            <w:tcW w:w="5287" w:type="dxa"/>
            <w:tcBorders>
              <w:top w:val="nil"/>
              <w:left w:val="single" w:sz="4" w:space="0" w:color="000000"/>
              <w:bottom w:val="nil"/>
              <w:right w:val="single" w:sz="4" w:space="0" w:color="000000"/>
            </w:tcBorders>
          </w:tcPr>
          <w:p>
            <w:pPr>
              <w:pStyle w:val="TableParagraph"/>
              <w:spacing w:before="55"/>
              <w:rPr>
                <w:sz w:val="24"/>
              </w:rPr>
            </w:pPr>
            <w:r>
              <w:rPr>
                <w:sz w:val="24"/>
              </w:rPr>
              <w:t>40.0 kA</w:t>
            </w:r>
          </w:p>
        </w:tc>
      </w:tr>
      <w:tr>
        <w:trPr>
          <w:trHeight w:val="395" w:hRule="atLeast"/>
        </w:trPr>
        <w:tc>
          <w:tcPr>
            <w:tcW w:w="2650" w:type="dxa"/>
            <w:tcBorders>
              <w:top w:val="nil"/>
              <w:bottom w:val="nil"/>
              <w:right w:val="single" w:sz="4" w:space="0" w:color="000000"/>
            </w:tcBorders>
          </w:tcPr>
          <w:p>
            <w:pPr>
              <w:pStyle w:val="TableParagraph"/>
              <w:spacing w:before="55"/>
              <w:ind w:left="40"/>
              <w:rPr>
                <w:sz w:val="24"/>
              </w:rPr>
            </w:pPr>
            <w:r>
              <w:rPr>
                <w:sz w:val="24"/>
              </w:rPr>
              <w:t>Latrobe Valley</w:t>
            </w:r>
          </w:p>
        </w:tc>
        <w:tc>
          <w:tcPr>
            <w:tcW w:w="5287" w:type="dxa"/>
            <w:tcBorders>
              <w:top w:val="nil"/>
              <w:left w:val="single" w:sz="4" w:space="0" w:color="000000"/>
              <w:bottom w:val="nil"/>
              <w:right w:val="single" w:sz="4" w:space="0" w:color="000000"/>
            </w:tcBorders>
          </w:tcPr>
          <w:p>
            <w:pPr>
              <w:pStyle w:val="TableParagraph"/>
              <w:spacing w:before="55"/>
              <w:rPr>
                <w:sz w:val="24"/>
              </w:rPr>
            </w:pPr>
            <w:r>
              <w:rPr>
                <w:sz w:val="24"/>
              </w:rPr>
              <w:t>40.0 kA</w:t>
            </w:r>
          </w:p>
        </w:tc>
      </w:tr>
      <w:tr>
        <w:trPr>
          <w:trHeight w:val="450" w:hRule="atLeast"/>
        </w:trPr>
        <w:tc>
          <w:tcPr>
            <w:tcW w:w="2650" w:type="dxa"/>
            <w:tcBorders>
              <w:top w:val="nil"/>
              <w:bottom w:val="single" w:sz="4" w:space="0" w:color="000000"/>
              <w:right w:val="single" w:sz="4" w:space="0" w:color="000000"/>
            </w:tcBorders>
          </w:tcPr>
          <w:p>
            <w:pPr>
              <w:pStyle w:val="TableParagraph"/>
              <w:spacing w:before="55"/>
              <w:ind w:left="40"/>
              <w:rPr>
                <w:sz w:val="24"/>
              </w:rPr>
            </w:pPr>
            <w:r>
              <w:rPr>
                <w:sz w:val="24"/>
              </w:rPr>
              <w:t>Country</w:t>
            </w:r>
          </w:p>
        </w:tc>
        <w:tc>
          <w:tcPr>
            <w:tcW w:w="5287" w:type="dxa"/>
            <w:tcBorders>
              <w:top w:val="nil"/>
              <w:left w:val="single" w:sz="4" w:space="0" w:color="000000"/>
              <w:bottom w:val="single" w:sz="4" w:space="0" w:color="000000"/>
              <w:right w:val="single" w:sz="4" w:space="0" w:color="000000"/>
            </w:tcBorders>
          </w:tcPr>
          <w:p>
            <w:pPr>
              <w:pStyle w:val="TableParagraph"/>
              <w:spacing w:before="55"/>
              <w:rPr>
                <w:sz w:val="24"/>
              </w:rPr>
            </w:pPr>
            <w:r>
              <w:rPr>
                <w:sz w:val="24"/>
              </w:rPr>
              <w:t>26.2 kA</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66kV</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21.9 kA</w:t>
            </w:r>
          </w:p>
        </w:tc>
      </w:tr>
      <w:tr>
        <w:trPr>
          <w:trHeight w:val="515" w:hRule="atLeast"/>
        </w:trPr>
        <w:tc>
          <w:tcPr>
            <w:tcW w:w="2650" w:type="dxa"/>
            <w:tcBorders>
              <w:top w:val="single" w:sz="4" w:space="0" w:color="000000"/>
              <w:right w:val="single" w:sz="4" w:space="0" w:color="000000"/>
            </w:tcBorders>
          </w:tcPr>
          <w:p>
            <w:pPr>
              <w:pStyle w:val="TableParagraph"/>
              <w:ind w:left="40"/>
              <w:rPr>
                <w:b/>
                <w:sz w:val="24"/>
              </w:rPr>
            </w:pPr>
            <w:r>
              <w:rPr>
                <w:b/>
                <w:sz w:val="24"/>
              </w:rPr>
              <w:t>22kV</w:t>
            </w:r>
          </w:p>
        </w:tc>
        <w:tc>
          <w:tcPr>
            <w:tcW w:w="5287" w:type="dxa"/>
            <w:tcBorders>
              <w:top w:val="single" w:sz="4" w:space="0" w:color="000000"/>
              <w:left w:val="single" w:sz="4" w:space="0" w:color="000000"/>
              <w:right w:val="single" w:sz="4" w:space="0" w:color="000000"/>
            </w:tcBorders>
          </w:tcPr>
          <w:p>
            <w:pPr>
              <w:pStyle w:val="TableParagraph"/>
              <w:rPr>
                <w:sz w:val="24"/>
              </w:rPr>
            </w:pPr>
            <w:r>
              <w:rPr>
                <w:sz w:val="24"/>
              </w:rPr>
              <w:t>26.2 kA</w:t>
            </w:r>
          </w:p>
        </w:tc>
      </w:tr>
    </w:tbl>
    <w:p>
      <w:pPr>
        <w:spacing w:after="0"/>
        <w:rPr>
          <w:sz w:val="24"/>
        </w:rPr>
        <w:sectPr>
          <w:pgSz w:w="11910" w:h="16840"/>
          <w:pgMar w:header="686" w:footer="637" w:top="1320" w:bottom="820" w:left="1200" w:right="1000"/>
        </w:sectPr>
      </w:pPr>
    </w:p>
    <w:p>
      <w:pPr>
        <w:pStyle w:val="BodyText"/>
        <w:spacing w:before="0"/>
        <w:ind w:firstLine="0"/>
        <w:jc w:val="left"/>
        <w:rPr>
          <w:rFonts w:ascii="Arial"/>
          <w:b/>
          <w:sz w:val="20"/>
        </w:rPr>
      </w:pPr>
    </w:p>
    <w:p>
      <w:pPr>
        <w:pStyle w:val="BodyText"/>
        <w:spacing w:before="1"/>
        <w:ind w:firstLine="0"/>
        <w:jc w:val="left"/>
        <w:rPr>
          <w:rFonts w:ascii="Arial"/>
          <w:b/>
        </w:rPr>
      </w:pPr>
    </w:p>
    <w:p>
      <w:pPr>
        <w:pStyle w:val="Heading3"/>
        <w:numPr>
          <w:ilvl w:val="1"/>
          <w:numId w:val="676"/>
        </w:numPr>
        <w:tabs>
          <w:tab w:pos="1351" w:val="left" w:leader="none"/>
          <w:tab w:pos="1353" w:val="left" w:leader="none"/>
        </w:tabs>
        <w:spacing w:line="240" w:lineRule="auto" w:before="92" w:after="0"/>
        <w:ind w:left="1352" w:right="1694" w:hanging="1134"/>
        <w:jc w:val="left"/>
      </w:pPr>
      <w:bookmarkStart w:name="9.4 Transitional Arrangements for Chapte" w:id="2442"/>
      <w:bookmarkEnd w:id="2442"/>
      <w:r>
        <w:rPr>
          <w:b w:val="0"/>
        </w:rPr>
      </w:r>
      <w:bookmarkStart w:name="_bookmark1019" w:id="2443"/>
      <w:bookmarkEnd w:id="2443"/>
      <w:r>
        <w:rPr>
          <w:b w:val="0"/>
        </w:rPr>
      </w:r>
      <w:bookmarkStart w:name="_bookmark1019" w:id="2444"/>
      <w:bookmarkEnd w:id="2444"/>
      <w:r>
        <w:rPr/>
        <w:t>T</w:t>
      </w:r>
      <w:r>
        <w:rPr/>
        <w:t>ransitional Arrangements for Chapter 2 - Registered Participants, Registration and Cross Border</w:t>
      </w:r>
      <w:r>
        <w:rPr>
          <w:spacing w:val="-30"/>
        </w:rPr>
        <w:t> </w:t>
      </w:r>
      <w:r>
        <w:rPr/>
        <w:t>Networks</w:t>
      </w:r>
    </w:p>
    <w:p>
      <w:pPr>
        <w:pStyle w:val="Heading4"/>
        <w:numPr>
          <w:ilvl w:val="2"/>
          <w:numId w:val="676"/>
        </w:numPr>
        <w:tabs>
          <w:tab w:pos="1351" w:val="left" w:leader="none"/>
          <w:tab w:pos="1352" w:val="left" w:leader="none"/>
        </w:tabs>
        <w:spacing w:line="240" w:lineRule="auto" w:before="240" w:after="0"/>
        <w:ind w:left="1351" w:right="0" w:hanging="1134"/>
        <w:jc w:val="left"/>
      </w:pPr>
      <w:bookmarkStart w:name="9.4.1 [Deleted]" w:id="2445"/>
      <w:bookmarkEnd w:id="2445"/>
      <w:r>
        <w:rPr>
          <w:b w:val="0"/>
        </w:rPr>
      </w:r>
      <w:bookmarkStart w:name="_bookmark1020" w:id="2446"/>
      <w:bookmarkEnd w:id="2446"/>
      <w:r>
        <w:rPr>
          <w:b w:val="0"/>
        </w:rPr>
      </w:r>
      <w:bookmarkStart w:name="_bookmark1020" w:id="2447"/>
      <w:bookmarkEnd w:id="2447"/>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4.2 Smelter Trader" w:id="2448"/>
      <w:bookmarkEnd w:id="2448"/>
      <w:r>
        <w:rPr>
          <w:b w:val="0"/>
        </w:rPr>
      </w:r>
      <w:bookmarkStart w:name="_bookmark1021" w:id="2449"/>
      <w:bookmarkEnd w:id="2449"/>
      <w:r>
        <w:rPr>
          <w:b w:val="0"/>
        </w:rPr>
      </w:r>
      <w:bookmarkStart w:name="_bookmark1021" w:id="2450"/>
      <w:bookmarkEnd w:id="2450"/>
      <w:r>
        <w:rPr/>
        <w:t>Smelter</w:t>
      </w:r>
      <w:r>
        <w:rPr/>
        <w:t> Trader</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For the purposes of the</w:t>
      </w:r>
      <w:r>
        <w:rPr>
          <w:spacing w:val="-2"/>
          <w:sz w:val="24"/>
        </w:rPr>
        <w:t> </w:t>
      </w:r>
      <w:r>
        <w:rPr>
          <w:i/>
          <w:sz w:val="24"/>
        </w:rPr>
        <w:t>Rules</w:t>
      </w:r>
      <w:r>
        <w:rPr>
          <w:sz w:val="24"/>
        </w:rPr>
        <w:t>:</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Smelter Trader is deemed to be entitled to register as a </w:t>
      </w:r>
      <w:r>
        <w:rPr>
          <w:i/>
          <w:sz w:val="24"/>
        </w:rPr>
        <w:t>Customer </w:t>
      </w:r>
      <w:r>
        <w:rPr>
          <w:sz w:val="24"/>
        </w:rPr>
        <w:t>in respect of the </w:t>
      </w:r>
      <w:r>
        <w:rPr>
          <w:i/>
          <w:sz w:val="24"/>
        </w:rPr>
        <w:t>connection points </w:t>
      </w:r>
      <w:r>
        <w:rPr>
          <w:sz w:val="24"/>
        </w:rPr>
        <w:t>used to supply electricity under a Smelter Agreement for so long as those </w:t>
      </w:r>
      <w:r>
        <w:rPr>
          <w:i/>
          <w:sz w:val="24"/>
        </w:rPr>
        <w:t>connection points </w:t>
      </w:r>
      <w:r>
        <w:rPr>
          <w:sz w:val="24"/>
        </w:rPr>
        <w:t>are used to supply electricity under that Smelter</w:t>
      </w:r>
      <w:r>
        <w:rPr>
          <w:spacing w:val="-4"/>
          <w:sz w:val="24"/>
        </w:rPr>
        <w:t> </w:t>
      </w:r>
      <w:r>
        <w:rPr>
          <w:sz w:val="24"/>
        </w:rPr>
        <w:t>Agreement;</w:t>
      </w:r>
    </w:p>
    <w:p>
      <w:pPr>
        <w:pStyle w:val="ListParagraph"/>
        <w:numPr>
          <w:ilvl w:val="4"/>
          <w:numId w:val="676"/>
        </w:numPr>
        <w:tabs>
          <w:tab w:pos="2547" w:val="left" w:leader="none"/>
        </w:tabs>
        <w:spacing w:line="240" w:lineRule="auto" w:before="120" w:after="0"/>
        <w:ind w:left="2486" w:right="415" w:hanging="567"/>
        <w:jc w:val="both"/>
        <w:rPr>
          <w:sz w:val="24"/>
        </w:rPr>
      </w:pPr>
      <w:r>
        <w:rPr/>
        <w:tab/>
      </w:r>
      <w:r>
        <w:rPr>
          <w:sz w:val="24"/>
        </w:rPr>
        <w:t>Smelter Trader is deemed to be registered as a </w:t>
      </w:r>
      <w:r>
        <w:rPr>
          <w:i/>
          <w:sz w:val="24"/>
        </w:rPr>
        <w:t>Customer </w:t>
      </w:r>
      <w:r>
        <w:rPr>
          <w:sz w:val="24"/>
        </w:rPr>
        <w:t>and as a </w:t>
      </w:r>
      <w:r>
        <w:rPr>
          <w:i/>
          <w:sz w:val="24"/>
        </w:rPr>
        <w:t>Market Customer </w:t>
      </w:r>
      <w:r>
        <w:rPr>
          <w:sz w:val="24"/>
        </w:rPr>
        <w:t>in relation to electricity supplied under a Smelter Agreement;</w:t>
      </w:r>
    </w:p>
    <w:p>
      <w:pPr>
        <w:pStyle w:val="ListParagraph"/>
        <w:numPr>
          <w:ilvl w:val="4"/>
          <w:numId w:val="676"/>
        </w:numPr>
        <w:tabs>
          <w:tab w:pos="2486" w:val="left" w:leader="none"/>
        </w:tabs>
        <w:spacing w:line="240" w:lineRule="auto" w:before="120" w:after="0"/>
        <w:ind w:left="2486" w:right="414" w:hanging="567"/>
        <w:jc w:val="both"/>
        <w:rPr>
          <w:sz w:val="24"/>
        </w:rPr>
      </w:pPr>
      <w:r>
        <w:rPr>
          <w:sz w:val="24"/>
        </w:rPr>
        <w:t>the electricity supplied under the Smelter Agreements is deemed to have been classified as a </w:t>
      </w:r>
      <w:r>
        <w:rPr>
          <w:i/>
          <w:sz w:val="24"/>
        </w:rPr>
        <w:t>market load </w:t>
      </w:r>
      <w:r>
        <w:rPr>
          <w:sz w:val="24"/>
        </w:rPr>
        <w:t>and the </w:t>
      </w:r>
      <w:r>
        <w:rPr>
          <w:i/>
          <w:sz w:val="24"/>
        </w:rPr>
        <w:t>connection points </w:t>
      </w:r>
      <w:r>
        <w:rPr>
          <w:sz w:val="24"/>
        </w:rPr>
        <w:t>used to supply that electricity are deemed to have been classified as Smelter Trader's </w:t>
      </w:r>
      <w:r>
        <w:rPr>
          <w:i/>
          <w:sz w:val="24"/>
        </w:rPr>
        <w:t>market connection</w:t>
      </w:r>
      <w:r>
        <w:rPr>
          <w:i/>
          <w:spacing w:val="-2"/>
          <w:sz w:val="24"/>
        </w:rPr>
        <w:t> </w:t>
      </w:r>
      <w:r>
        <w:rPr>
          <w:i/>
          <w:sz w:val="24"/>
        </w:rPr>
        <w:t>points</w:t>
      </w:r>
      <w:r>
        <w:rPr>
          <w:sz w:val="24"/>
        </w:rPr>
        <w:t>;</w:t>
      </w:r>
    </w:p>
    <w:p>
      <w:pPr>
        <w:pStyle w:val="Heading4"/>
        <w:numPr>
          <w:ilvl w:val="4"/>
          <w:numId w:val="676"/>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Alcoa of Australia Limited (ACN 004 879 298) is deemed to be entitled to register as a </w:t>
      </w:r>
      <w:r>
        <w:rPr>
          <w:i/>
          <w:sz w:val="24"/>
        </w:rPr>
        <w:t>Generator </w:t>
      </w:r>
      <w:r>
        <w:rPr>
          <w:sz w:val="24"/>
        </w:rPr>
        <w:t>and a </w:t>
      </w:r>
      <w:r>
        <w:rPr>
          <w:i/>
          <w:sz w:val="24"/>
        </w:rPr>
        <w:t>Market Generator </w:t>
      </w:r>
      <w:r>
        <w:rPr>
          <w:sz w:val="24"/>
        </w:rPr>
        <w:t>in relation to the </w:t>
      </w:r>
      <w:r>
        <w:rPr>
          <w:i/>
          <w:sz w:val="24"/>
        </w:rPr>
        <w:t>generating systems </w:t>
      </w:r>
      <w:r>
        <w:rPr>
          <w:sz w:val="24"/>
        </w:rPr>
        <w:t>forming part of the Anglesea Power Station; and</w:t>
      </w:r>
    </w:p>
    <w:p>
      <w:pPr>
        <w:pStyle w:val="Heading4"/>
        <w:numPr>
          <w:ilvl w:val="4"/>
          <w:numId w:val="676"/>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no Counterparty is or is to be taken to be entitled to become a </w:t>
      </w:r>
      <w:r>
        <w:rPr>
          <w:i/>
          <w:sz w:val="24"/>
        </w:rPr>
        <w:t>Market </w:t>
      </w:r>
      <w:r>
        <w:rPr>
          <w:i/>
          <w:sz w:val="24"/>
        </w:rPr>
        <w:t>Participant</w:t>
      </w:r>
      <w:r>
        <w:rPr>
          <w:sz w:val="24"/>
        </w:rPr>
        <w:t>, an </w:t>
      </w:r>
      <w:r>
        <w:rPr>
          <w:i/>
          <w:sz w:val="24"/>
        </w:rPr>
        <w:t>Intending Participant </w:t>
      </w:r>
      <w:r>
        <w:rPr>
          <w:sz w:val="24"/>
        </w:rPr>
        <w:t>or a </w:t>
      </w:r>
      <w:r>
        <w:rPr>
          <w:i/>
          <w:sz w:val="24"/>
        </w:rPr>
        <w:t>Customer </w:t>
      </w:r>
      <w:r>
        <w:rPr>
          <w:sz w:val="24"/>
        </w:rPr>
        <w:t>in respect of electricity supplied under that Smelter</w:t>
      </w:r>
      <w:r>
        <w:rPr>
          <w:spacing w:val="-3"/>
          <w:sz w:val="24"/>
        </w:rPr>
        <w:t> </w:t>
      </w:r>
      <w:r>
        <w:rPr>
          <w:sz w:val="24"/>
        </w:rPr>
        <w:t>Agreement.</w:t>
      </w:r>
    </w:p>
    <w:p>
      <w:pPr>
        <w:pStyle w:val="Heading4"/>
        <w:numPr>
          <w:ilvl w:val="4"/>
          <w:numId w:val="676"/>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676"/>
        </w:numPr>
        <w:tabs>
          <w:tab w:pos="2547" w:val="left" w:leader="none"/>
        </w:tabs>
        <w:spacing w:line="240" w:lineRule="auto" w:before="120" w:after="0"/>
        <w:ind w:left="2546" w:right="0" w:hanging="628"/>
        <w:jc w:val="both"/>
        <w:rPr>
          <w:b/>
          <w:sz w:val="24"/>
        </w:rPr>
      </w:pPr>
      <w:r>
        <w:rPr>
          <w:b/>
          <w:sz w:val="24"/>
        </w:rPr>
        <w:t>[Deleted]</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This clause 9.4.2 ceases to have effect upon the termination of the last of the Smelter</w:t>
      </w:r>
      <w:r>
        <w:rPr>
          <w:spacing w:val="-1"/>
          <w:sz w:val="24"/>
        </w:rPr>
        <w:t> </w:t>
      </w:r>
      <w:r>
        <w:rPr>
          <w:sz w:val="24"/>
        </w:rPr>
        <w:t>Agreements.</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4.3 Smelter Trader: compliance" w:id="2451"/>
      <w:bookmarkEnd w:id="2451"/>
      <w:r>
        <w:rPr>
          <w:b w:val="0"/>
        </w:rPr>
      </w:r>
      <w:bookmarkStart w:name="_bookmark1022" w:id="2452"/>
      <w:bookmarkEnd w:id="2452"/>
      <w:r>
        <w:rPr>
          <w:b w:val="0"/>
        </w:rPr>
      </w:r>
      <w:bookmarkStart w:name="_bookmark1022" w:id="2453"/>
      <w:bookmarkEnd w:id="2453"/>
      <w:r>
        <w:rPr/>
        <w:t>Smelter</w:t>
      </w:r>
      <w:r>
        <w:rPr/>
        <w:t> Trader:</w:t>
      </w:r>
      <w:r>
        <w:rPr>
          <w:spacing w:val="-2"/>
        </w:rPr>
        <w:t> </w:t>
      </w:r>
      <w:r>
        <w:rPr/>
        <w:t>compliance</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If complying with a requirement of the </w:t>
      </w:r>
      <w:r>
        <w:rPr>
          <w:i/>
          <w:sz w:val="24"/>
        </w:rPr>
        <w:t>Rules </w:t>
      </w:r>
      <w:r>
        <w:rPr>
          <w:sz w:val="24"/>
        </w:rPr>
        <w:t>(the "</w:t>
      </w:r>
      <w:r>
        <w:rPr>
          <w:b/>
          <w:sz w:val="24"/>
        </w:rPr>
        <w:t>Rules Requirement</w:t>
      </w:r>
      <w:r>
        <w:rPr>
          <w:sz w:val="24"/>
        </w:rPr>
        <w:t>") would result in the Smelter Trader being in breach of a provision of one or more of the Smelter Agreements (the "</w:t>
      </w:r>
      <w:r>
        <w:rPr>
          <w:b/>
          <w:sz w:val="24"/>
        </w:rPr>
        <w:t>Contractual Requirement</w:t>
      </w:r>
      <w:r>
        <w:rPr>
          <w:sz w:val="24"/>
        </w:rPr>
        <w:t>"), then the Smelter Trader is not required to comply with the Rules Requirement to the extent of the inconsistency between the Rules Requirement and</w:t>
      </w:r>
      <w:r>
        <w:rPr>
          <w:spacing w:val="24"/>
          <w:sz w:val="24"/>
        </w:rPr>
        <w:t> </w:t>
      </w:r>
      <w:r>
        <w:rPr>
          <w:sz w:val="24"/>
        </w:rPr>
        <w:t>the Contractual</w:t>
      </w:r>
      <w:r>
        <w:rPr>
          <w:spacing w:val="-1"/>
          <w:sz w:val="24"/>
        </w:rPr>
        <w:t> </w:t>
      </w:r>
      <w:r>
        <w:rPr>
          <w:sz w:val="24"/>
        </w:rPr>
        <w:t>Requirement.</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If the Smelter Trader does not comply with a Rules Requirement in the circumstances described in clause 9.4.3(a), then the Smelter Trader</w:t>
      </w:r>
      <w:r>
        <w:rPr>
          <w:spacing w:val="-8"/>
          <w:sz w:val="24"/>
        </w:rPr>
        <w:t> </w:t>
      </w:r>
      <w:r>
        <w:rPr>
          <w:sz w:val="24"/>
        </w:rPr>
        <w:t>must:</w:t>
      </w:r>
    </w:p>
    <w:p>
      <w:pPr>
        <w:pStyle w:val="ListParagraph"/>
        <w:numPr>
          <w:ilvl w:val="4"/>
          <w:numId w:val="676"/>
        </w:numPr>
        <w:tabs>
          <w:tab w:pos="2486" w:val="left" w:leader="none"/>
        </w:tabs>
        <w:spacing w:line="240" w:lineRule="auto" w:before="120" w:after="0"/>
        <w:ind w:left="2485" w:right="0" w:hanging="567"/>
        <w:jc w:val="both"/>
        <w:rPr>
          <w:sz w:val="24"/>
        </w:rPr>
      </w:pPr>
      <w:r>
        <w:rPr>
          <w:sz w:val="24"/>
        </w:rPr>
        <w:t>give written notice to the </w:t>
      </w:r>
      <w:r>
        <w:rPr>
          <w:i/>
          <w:sz w:val="24"/>
        </w:rPr>
        <w:t>AER</w:t>
      </w:r>
      <w:r>
        <w:rPr>
          <w:i/>
          <w:spacing w:val="-3"/>
          <w:sz w:val="24"/>
        </w:rPr>
        <w:t> </w:t>
      </w:r>
      <w:r>
        <w:rPr>
          <w:sz w:val="24"/>
        </w:rPr>
        <w:t>of:</w:t>
      </w:r>
    </w:p>
    <w:p>
      <w:pPr>
        <w:spacing w:after="0" w:line="240" w:lineRule="auto"/>
        <w:jc w:val="both"/>
        <w:rPr>
          <w:sz w:val="24"/>
        </w:rPr>
        <w:sectPr>
          <w:pgSz w:w="11910" w:h="16840"/>
          <w:pgMar w:header="686" w:footer="637" w:top="1320" w:bottom="820" w:left="1200" w:right="1000"/>
        </w:sectPr>
      </w:pPr>
    </w:p>
    <w:p>
      <w:pPr>
        <w:pStyle w:val="ListParagraph"/>
        <w:numPr>
          <w:ilvl w:val="5"/>
          <w:numId w:val="676"/>
        </w:numPr>
        <w:tabs>
          <w:tab w:pos="3053" w:val="left" w:leader="none"/>
        </w:tabs>
        <w:spacing w:line="240" w:lineRule="auto" w:before="83" w:after="0"/>
        <w:ind w:left="3052" w:right="0" w:hanging="567"/>
        <w:jc w:val="both"/>
        <w:rPr>
          <w:sz w:val="24"/>
        </w:rPr>
      </w:pPr>
      <w:r>
        <w:rPr>
          <w:sz w:val="24"/>
        </w:rPr>
        <w:t>the Rules Requirement which has not been complied</w:t>
      </w:r>
      <w:r>
        <w:rPr>
          <w:spacing w:val="-5"/>
          <w:sz w:val="24"/>
        </w:rPr>
        <w:t> </w:t>
      </w:r>
      <w:r>
        <w:rPr>
          <w:sz w:val="24"/>
        </w:rPr>
        <w:t>with;</w:t>
      </w:r>
    </w:p>
    <w:p>
      <w:pPr>
        <w:pStyle w:val="ListParagraph"/>
        <w:numPr>
          <w:ilvl w:val="5"/>
          <w:numId w:val="676"/>
        </w:numPr>
        <w:tabs>
          <w:tab w:pos="3054" w:val="left" w:leader="none"/>
        </w:tabs>
        <w:spacing w:line="240" w:lineRule="auto" w:before="120" w:after="0"/>
        <w:ind w:left="3053" w:right="416" w:hanging="567"/>
        <w:jc w:val="both"/>
        <w:rPr>
          <w:sz w:val="24"/>
        </w:rPr>
      </w:pPr>
      <w:r>
        <w:rPr>
          <w:sz w:val="24"/>
        </w:rPr>
        <w:t>details of each act or omission which partly or</w:t>
      </w:r>
      <w:r>
        <w:rPr>
          <w:spacing w:val="34"/>
          <w:sz w:val="24"/>
        </w:rPr>
        <w:t> </w:t>
      </w:r>
      <w:r>
        <w:rPr>
          <w:sz w:val="24"/>
        </w:rPr>
        <w:t>wholly constitutes non-compliance with that Rules Requirement;</w:t>
      </w:r>
      <w:r>
        <w:rPr>
          <w:spacing w:val="-5"/>
          <w:sz w:val="24"/>
        </w:rPr>
        <w:t> </w:t>
      </w:r>
      <w:r>
        <w:rPr>
          <w:sz w:val="24"/>
        </w:rPr>
        <w:t>and</w:t>
      </w:r>
    </w:p>
    <w:p>
      <w:pPr>
        <w:pStyle w:val="ListParagraph"/>
        <w:numPr>
          <w:ilvl w:val="5"/>
          <w:numId w:val="676"/>
        </w:numPr>
        <w:tabs>
          <w:tab w:pos="3053" w:val="left" w:leader="none"/>
        </w:tabs>
        <w:spacing w:line="240" w:lineRule="auto" w:before="120" w:after="0"/>
        <w:ind w:left="3053" w:right="416" w:hanging="567"/>
        <w:jc w:val="both"/>
        <w:rPr>
          <w:sz w:val="24"/>
        </w:rPr>
      </w:pPr>
      <w:r>
        <w:rPr>
          <w:sz w:val="24"/>
        </w:rPr>
        <w:t>details of each Contractual Requirement which is said by the Smelter Trader to be inconsistent with the Rules</w:t>
      </w:r>
      <w:r>
        <w:rPr>
          <w:spacing w:val="-9"/>
          <w:sz w:val="24"/>
        </w:rPr>
        <w:t> </w:t>
      </w:r>
      <w:r>
        <w:rPr>
          <w:sz w:val="24"/>
        </w:rPr>
        <w:t>Requirement,</w:t>
      </w:r>
    </w:p>
    <w:p>
      <w:pPr>
        <w:pStyle w:val="BodyText"/>
        <w:ind w:left="2486" w:right="416" w:firstLine="0"/>
      </w:pPr>
      <w:r>
        <w:rPr/>
        <w:t>as soon as practicable and in any event within 30 </w:t>
      </w:r>
      <w:r>
        <w:rPr>
          <w:i/>
        </w:rPr>
        <w:t>days </w:t>
      </w:r>
      <w:r>
        <w:rPr/>
        <w:t>after the non- compliance with the Rules Requirement occurs or commences; and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provide the </w:t>
      </w:r>
      <w:r>
        <w:rPr>
          <w:i/>
          <w:sz w:val="24"/>
        </w:rPr>
        <w:t>AER </w:t>
      </w:r>
      <w:r>
        <w:rPr>
          <w:sz w:val="24"/>
        </w:rPr>
        <w:t>with any documents or information in the possession or control of the Smelter Trader which evidence the matters referred  to in clause 9.4.3(b)(1) within 14 </w:t>
      </w:r>
      <w:r>
        <w:rPr>
          <w:i/>
          <w:sz w:val="24"/>
        </w:rPr>
        <w:t>days </w:t>
      </w:r>
      <w:r>
        <w:rPr>
          <w:sz w:val="24"/>
        </w:rPr>
        <w:t>(or any longer period agreed by the </w:t>
      </w:r>
      <w:r>
        <w:rPr>
          <w:i/>
          <w:sz w:val="24"/>
        </w:rPr>
        <w:t>AER</w:t>
      </w:r>
      <w:r>
        <w:rPr>
          <w:sz w:val="24"/>
        </w:rPr>
        <w:t>) of receiving a written request from the</w:t>
      </w:r>
      <w:r>
        <w:rPr>
          <w:spacing w:val="-5"/>
          <w:sz w:val="24"/>
        </w:rPr>
        <w:t> </w:t>
      </w:r>
      <w:r>
        <w:rPr>
          <w:i/>
          <w:sz w:val="24"/>
        </w:rPr>
        <w:t>AER</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the Smelter Trader requires the co-operation of a Counterparty to a Smelter Agreement to comply with a requirement of the</w:t>
      </w:r>
      <w:r>
        <w:rPr>
          <w:spacing w:val="-7"/>
          <w:sz w:val="24"/>
        </w:rPr>
        <w:t> </w:t>
      </w:r>
      <w:r>
        <w:rPr>
          <w:i/>
          <w:sz w:val="24"/>
        </w:rPr>
        <w:t>Rules</w:t>
      </w:r>
      <w:r>
        <w:rPr>
          <w:sz w:val="24"/>
        </w:rPr>
        <w:t>;</w:t>
      </w:r>
    </w:p>
    <w:p>
      <w:pPr>
        <w:pStyle w:val="ListParagraph"/>
        <w:numPr>
          <w:ilvl w:val="4"/>
          <w:numId w:val="676"/>
        </w:numPr>
        <w:tabs>
          <w:tab w:pos="2486" w:val="left" w:leader="none"/>
        </w:tabs>
        <w:spacing w:line="240" w:lineRule="auto" w:before="120" w:after="0"/>
        <w:ind w:left="2486" w:right="414" w:hanging="567"/>
        <w:jc w:val="both"/>
        <w:rPr>
          <w:sz w:val="24"/>
        </w:rPr>
      </w:pPr>
      <w:r>
        <w:rPr>
          <w:sz w:val="24"/>
        </w:rPr>
        <w:t>the Smelter Trader has used reasonable endeavours to obtain the Counterparty's co-operation in order to enable the Smelter Trader to comply with that requirement;</w:t>
      </w:r>
      <w:r>
        <w:rPr>
          <w:spacing w:val="-1"/>
          <w:sz w:val="24"/>
        </w:rPr>
        <w:t> </w:t>
      </w:r>
      <w:r>
        <w:rPr>
          <w:sz w:val="24"/>
        </w:rPr>
        <w:t>and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under the Smelter Agreements, SEC has no ability to require the Counterparty to so co-operate with SEC and the Counterparty is not in breach of the Smelter Agreements by refusing to so co-operate with SEC,</w:t>
      </w:r>
    </w:p>
    <w:p>
      <w:pPr>
        <w:pStyle w:val="BodyText"/>
        <w:ind w:left="1919" w:firstLine="0"/>
      </w:pPr>
      <w:r>
        <w:rPr/>
        <w:t>then the Smelter Trader is not required to comply with that requirement.</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If the Smelter Trader does not comply with a requirement of the </w:t>
      </w:r>
      <w:r>
        <w:rPr>
          <w:i/>
          <w:sz w:val="24"/>
        </w:rPr>
        <w:t>Rules </w:t>
      </w:r>
      <w:r>
        <w:rPr>
          <w:sz w:val="24"/>
        </w:rPr>
        <w:t>in the circumstances described in clause 9.4.3(c), then the Smelter Trader</w:t>
      </w:r>
      <w:r>
        <w:rPr>
          <w:spacing w:val="-8"/>
          <w:sz w:val="24"/>
        </w:rPr>
        <w:t> </w:t>
      </w:r>
      <w:r>
        <w:rPr>
          <w:sz w:val="24"/>
        </w:rPr>
        <w:t>must:</w:t>
      </w:r>
    </w:p>
    <w:p>
      <w:pPr>
        <w:pStyle w:val="ListParagraph"/>
        <w:numPr>
          <w:ilvl w:val="4"/>
          <w:numId w:val="676"/>
        </w:numPr>
        <w:tabs>
          <w:tab w:pos="2486" w:val="left" w:leader="none"/>
        </w:tabs>
        <w:spacing w:line="240" w:lineRule="auto" w:before="120" w:after="0"/>
        <w:ind w:left="2485" w:right="0" w:hanging="567"/>
        <w:jc w:val="both"/>
        <w:rPr>
          <w:sz w:val="24"/>
        </w:rPr>
      </w:pPr>
      <w:r>
        <w:rPr>
          <w:sz w:val="24"/>
        </w:rPr>
        <w:t>give written notice to the </w:t>
      </w:r>
      <w:r>
        <w:rPr>
          <w:i/>
          <w:sz w:val="24"/>
        </w:rPr>
        <w:t>AER</w:t>
      </w:r>
      <w:r>
        <w:rPr>
          <w:i/>
          <w:spacing w:val="-3"/>
          <w:sz w:val="24"/>
        </w:rPr>
        <w:t> </w:t>
      </w:r>
      <w:r>
        <w:rPr>
          <w:sz w:val="24"/>
        </w:rPr>
        <w:t>of:</w:t>
      </w:r>
    </w:p>
    <w:p>
      <w:pPr>
        <w:pStyle w:val="ListParagraph"/>
        <w:numPr>
          <w:ilvl w:val="5"/>
          <w:numId w:val="676"/>
        </w:numPr>
        <w:tabs>
          <w:tab w:pos="3053" w:val="left" w:leader="none"/>
        </w:tabs>
        <w:spacing w:line="240" w:lineRule="auto" w:before="120" w:after="0"/>
        <w:ind w:left="3052" w:right="0" w:hanging="567"/>
        <w:jc w:val="both"/>
        <w:rPr>
          <w:sz w:val="24"/>
        </w:rPr>
      </w:pPr>
      <w:r>
        <w:rPr>
          <w:sz w:val="24"/>
        </w:rPr>
        <w:t>the requirement of the </w:t>
      </w:r>
      <w:r>
        <w:rPr>
          <w:i/>
          <w:sz w:val="24"/>
        </w:rPr>
        <w:t>Rules </w:t>
      </w:r>
      <w:r>
        <w:rPr>
          <w:sz w:val="24"/>
        </w:rPr>
        <w:t>that has not been complied</w:t>
      </w:r>
      <w:r>
        <w:rPr>
          <w:spacing w:val="-4"/>
          <w:sz w:val="24"/>
        </w:rPr>
        <w:t> </w:t>
      </w:r>
      <w:r>
        <w:rPr>
          <w:sz w:val="24"/>
        </w:rPr>
        <w:t>with;</w:t>
      </w:r>
    </w:p>
    <w:p>
      <w:pPr>
        <w:pStyle w:val="ListParagraph"/>
        <w:numPr>
          <w:ilvl w:val="5"/>
          <w:numId w:val="676"/>
        </w:numPr>
        <w:tabs>
          <w:tab w:pos="3054" w:val="left" w:leader="none"/>
        </w:tabs>
        <w:spacing w:line="240" w:lineRule="auto" w:before="120" w:after="0"/>
        <w:ind w:left="3053" w:right="415" w:hanging="567"/>
        <w:jc w:val="both"/>
        <w:rPr>
          <w:sz w:val="24"/>
        </w:rPr>
      </w:pPr>
      <w:r>
        <w:rPr>
          <w:sz w:val="24"/>
        </w:rPr>
        <w:t>details of each act or omission which partly or</w:t>
      </w:r>
      <w:r>
        <w:rPr>
          <w:spacing w:val="34"/>
          <w:sz w:val="24"/>
        </w:rPr>
        <w:t> </w:t>
      </w:r>
      <w:r>
        <w:rPr>
          <w:sz w:val="24"/>
        </w:rPr>
        <w:t>wholly constitutes non-compliance with that requirement of the </w:t>
      </w:r>
      <w:r>
        <w:rPr>
          <w:i/>
          <w:sz w:val="24"/>
        </w:rPr>
        <w:t>Rules</w:t>
      </w:r>
      <w:r>
        <w:rPr>
          <w:sz w:val="24"/>
        </w:rPr>
        <w:t>; and</w:t>
      </w:r>
    </w:p>
    <w:p>
      <w:pPr>
        <w:pStyle w:val="ListParagraph"/>
        <w:numPr>
          <w:ilvl w:val="5"/>
          <w:numId w:val="676"/>
        </w:numPr>
        <w:tabs>
          <w:tab w:pos="3053" w:val="left" w:leader="none"/>
        </w:tabs>
        <w:spacing w:line="240" w:lineRule="auto" w:before="120" w:after="0"/>
        <w:ind w:left="3053" w:right="414" w:hanging="567"/>
        <w:jc w:val="both"/>
        <w:rPr>
          <w:sz w:val="24"/>
        </w:rPr>
      </w:pPr>
      <w:r>
        <w:rPr>
          <w:sz w:val="24"/>
        </w:rPr>
        <w:t>details of the endeavours made by the Smelter Trader to obtain the co-operation of the Counterparty to enable the Smelter Trader to comply with the requirement of the</w:t>
      </w:r>
      <w:r>
        <w:rPr>
          <w:spacing w:val="-4"/>
          <w:sz w:val="24"/>
        </w:rPr>
        <w:t> </w:t>
      </w:r>
      <w:r>
        <w:rPr>
          <w:i/>
          <w:sz w:val="24"/>
        </w:rPr>
        <w:t>Rules</w:t>
      </w:r>
      <w:r>
        <w:rPr>
          <w:sz w:val="24"/>
        </w:rPr>
        <w:t>,</w:t>
      </w:r>
    </w:p>
    <w:p>
      <w:pPr>
        <w:pStyle w:val="BodyText"/>
        <w:ind w:left="2486" w:right="415" w:firstLine="0"/>
      </w:pPr>
      <w:r>
        <w:rPr/>
        <w:t>as soon as reasonably practical and in any event before the expiration of 30 </w:t>
      </w:r>
      <w:r>
        <w:rPr>
          <w:i/>
        </w:rPr>
        <w:t>days </w:t>
      </w:r>
      <w:r>
        <w:rPr/>
        <w:t>after the non-compliance with the requirement of the </w:t>
      </w:r>
      <w:r>
        <w:rPr>
          <w:i/>
        </w:rPr>
        <w:t>Rules </w:t>
      </w:r>
      <w:r>
        <w:rPr/>
        <w:t>occurs or commences; 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spacing w:after="0"/>
        <w:jc w:val="both"/>
        <w:rPr>
          <w:sz w:val="20"/>
        </w:rPr>
        <w:sectPr>
          <w:pgSz w:w="11910" w:h="16840"/>
          <w:pgMar w:header="686" w:footer="637" w:top="1320" w:bottom="820" w:left="1200" w:right="1000"/>
        </w:sectPr>
      </w:pPr>
    </w:p>
    <w:p>
      <w:pPr>
        <w:pStyle w:val="ListParagraph"/>
        <w:numPr>
          <w:ilvl w:val="4"/>
          <w:numId w:val="676"/>
        </w:numPr>
        <w:tabs>
          <w:tab w:pos="2486" w:val="left" w:leader="none"/>
        </w:tabs>
        <w:spacing w:line="240" w:lineRule="auto" w:before="83" w:after="0"/>
        <w:ind w:left="2486" w:right="415" w:hanging="567"/>
        <w:jc w:val="both"/>
        <w:rPr>
          <w:sz w:val="24"/>
        </w:rPr>
      </w:pPr>
      <w:r>
        <w:rPr>
          <w:sz w:val="24"/>
        </w:rPr>
        <w:t>provide the </w:t>
      </w:r>
      <w:r>
        <w:rPr>
          <w:i/>
          <w:sz w:val="24"/>
        </w:rPr>
        <w:t>AER </w:t>
      </w:r>
      <w:r>
        <w:rPr>
          <w:sz w:val="24"/>
        </w:rPr>
        <w:t>with any documents or information in the possession or control of the Smelter Trader which evidence the matters referred  to in clause 9.4.3(d)(1) within 14 </w:t>
      </w:r>
      <w:r>
        <w:rPr>
          <w:i/>
          <w:sz w:val="24"/>
        </w:rPr>
        <w:t>days </w:t>
      </w:r>
      <w:r>
        <w:rPr>
          <w:sz w:val="24"/>
        </w:rPr>
        <w:t>(or any longer period agreed by the </w:t>
      </w:r>
      <w:r>
        <w:rPr>
          <w:i/>
          <w:sz w:val="24"/>
        </w:rPr>
        <w:t>AER</w:t>
      </w:r>
      <w:r>
        <w:rPr>
          <w:sz w:val="24"/>
        </w:rPr>
        <w:t>) of receiving a written request from the</w:t>
      </w:r>
      <w:r>
        <w:rPr>
          <w:spacing w:val="-5"/>
          <w:sz w:val="24"/>
        </w:rPr>
        <w:t> </w:t>
      </w:r>
      <w:r>
        <w:rPr>
          <w:i/>
          <w:sz w:val="24"/>
        </w:rPr>
        <w:t>AER</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To avoid any doubt,</w:t>
      </w:r>
      <w:r>
        <w:rPr>
          <w:spacing w:val="-1"/>
          <w:sz w:val="24"/>
        </w:rPr>
        <w:t> </w:t>
      </w:r>
      <w:r>
        <w:rPr>
          <w:sz w:val="24"/>
        </w:rPr>
        <w:t>if:</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after reviewing any written notice provided by the Smelter Trader under clause 9.4.3(b)(1) and any additional documents or information provided by the Smelter Trader under clause 9.4.3(b)(2), the </w:t>
      </w:r>
      <w:r>
        <w:rPr>
          <w:i/>
          <w:sz w:val="24"/>
        </w:rPr>
        <w:t>AER </w:t>
      </w:r>
      <w:r>
        <w:rPr>
          <w:sz w:val="24"/>
        </w:rPr>
        <w:t>forms the view that compliance with the relevant Rules Requirement would not have resulted in the Smelter Trader being in breach of the relevant Contractual Requirement;</w:t>
      </w:r>
      <w:r>
        <w:rPr>
          <w:spacing w:val="-1"/>
          <w:sz w:val="24"/>
        </w:rPr>
        <w:t> </w:t>
      </w:r>
      <w:r>
        <w:rPr>
          <w:sz w:val="24"/>
        </w:rPr>
        <w:t>or</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after reviewing any written notice provided by the Smelter Trader under clause 9.4.3(d)(1) and any additional documents or information provided by the Smelter Trader under clause 9.4.3(d)(2), the </w:t>
      </w:r>
      <w:r>
        <w:rPr>
          <w:i/>
          <w:sz w:val="24"/>
        </w:rPr>
        <w:t>AER </w:t>
      </w:r>
      <w:r>
        <w:rPr>
          <w:sz w:val="24"/>
        </w:rPr>
        <w:t>forms the view that any of the requirements of clause 9.4.3(c) were not satisfied in respect of the subject of the</w:t>
      </w:r>
      <w:r>
        <w:rPr>
          <w:spacing w:val="-4"/>
          <w:sz w:val="24"/>
        </w:rPr>
        <w:t> </w:t>
      </w:r>
      <w:r>
        <w:rPr>
          <w:sz w:val="24"/>
        </w:rPr>
        <w:t>notice,</w:t>
      </w:r>
    </w:p>
    <w:p>
      <w:pPr>
        <w:pStyle w:val="BodyText"/>
        <w:ind w:left="1919" w:firstLine="0"/>
      </w:pPr>
      <w:r>
        <w:rPr/>
        <w:t>then the matter may be dealt with by the </w:t>
      </w:r>
      <w:r>
        <w:rPr>
          <w:i/>
        </w:rPr>
        <w:t>AER </w:t>
      </w:r>
      <w:r>
        <w:rPr/>
        <w:t>as a breach of the </w:t>
      </w:r>
      <w:r>
        <w:rPr>
          <w:i/>
        </w:rPr>
        <w:t>Rules</w:t>
      </w:r>
      <w:r>
        <w:rPr/>
        <w:t>.</w:t>
      </w:r>
    </w:p>
    <w:p>
      <w:pPr>
        <w:pStyle w:val="ListParagraph"/>
        <w:numPr>
          <w:ilvl w:val="3"/>
          <w:numId w:val="676"/>
        </w:numPr>
        <w:tabs>
          <w:tab w:pos="1920" w:val="left" w:leader="none"/>
        </w:tabs>
        <w:spacing w:line="240" w:lineRule="auto" w:before="120" w:after="0"/>
        <w:ind w:left="1919" w:right="415" w:hanging="567"/>
        <w:jc w:val="both"/>
        <w:rPr>
          <w:sz w:val="24"/>
        </w:rPr>
      </w:pPr>
      <w:r>
        <w:rPr>
          <w:sz w:val="24"/>
        </w:rPr>
        <w:t>The Smelter Trader must give any notice or other information required to be given under this clause 9.4.3 (called in this clause "</w:t>
      </w:r>
      <w:r>
        <w:rPr>
          <w:b/>
          <w:sz w:val="24"/>
        </w:rPr>
        <w:t>required information</w:t>
      </w:r>
      <w:r>
        <w:rPr>
          <w:sz w:val="24"/>
        </w:rPr>
        <w:t>") in advance if it becomes aware of the potential for the circumstances giving rise to its obligation to give the required information to arise. If any required information is given under this clause 9.4.3(f),</w:t>
      </w:r>
      <w:r>
        <w:rPr>
          <w:spacing w:val="-1"/>
          <w:sz w:val="24"/>
        </w:rPr>
        <w:t> </w:t>
      </w:r>
      <w:r>
        <w:rPr>
          <w:sz w:val="24"/>
        </w:rPr>
        <w:t>then:</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the required information is taken to have been given in accordance with this clause 9.4.3;</w:t>
      </w:r>
      <w:r>
        <w:rPr>
          <w:spacing w:val="-2"/>
          <w:sz w:val="24"/>
        </w:rPr>
        <w:t> </w:t>
      </w:r>
      <w:r>
        <w:rPr>
          <w:sz w:val="24"/>
        </w:rPr>
        <w:t>and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notwithstanding clause 9.4.3(f)(1), notice must be given of the non- compliance and further information provided to the </w:t>
      </w:r>
      <w:r>
        <w:rPr>
          <w:i/>
          <w:sz w:val="24"/>
        </w:rPr>
        <w:t>AER </w:t>
      </w:r>
      <w:r>
        <w:rPr>
          <w:sz w:val="24"/>
        </w:rPr>
        <w:t>upon request under clause 9.4.3(b) or clause 9.4.3(d) (as the case may be) after the non-compliance occurs or</w:t>
      </w:r>
      <w:r>
        <w:rPr>
          <w:spacing w:val="-1"/>
          <w:sz w:val="24"/>
        </w:rPr>
        <w:t> </w:t>
      </w:r>
      <w:r>
        <w:rPr>
          <w:sz w:val="24"/>
        </w:rPr>
        <w:t>commences.</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If non-compliance with the </w:t>
      </w:r>
      <w:r>
        <w:rPr>
          <w:i/>
          <w:sz w:val="24"/>
        </w:rPr>
        <w:t>Rules </w:t>
      </w:r>
      <w:r>
        <w:rPr>
          <w:sz w:val="24"/>
        </w:rPr>
        <w:t>is continuing, the notice of non- compliance with the </w:t>
      </w:r>
      <w:r>
        <w:rPr>
          <w:i/>
          <w:sz w:val="24"/>
        </w:rPr>
        <w:t>Rules </w:t>
      </w:r>
      <w:r>
        <w:rPr>
          <w:sz w:val="24"/>
        </w:rPr>
        <w:t>provided under clause 9.4.3(b) or clause 9.4.3(d) (as the case may be) will be effective in relation to that non-compliance until that non-compliance ends if the relevant notice specifies that the non- compliance is continuing. The Smelter Trader must notify the </w:t>
      </w:r>
      <w:r>
        <w:rPr>
          <w:i/>
          <w:sz w:val="24"/>
        </w:rPr>
        <w:t>AER </w:t>
      </w:r>
      <w:r>
        <w:rPr>
          <w:sz w:val="24"/>
        </w:rPr>
        <w:t>of the end of the non-compliance no later than 30 </w:t>
      </w:r>
      <w:r>
        <w:rPr>
          <w:i/>
          <w:sz w:val="24"/>
        </w:rPr>
        <w:t>days </w:t>
      </w:r>
      <w:r>
        <w:rPr>
          <w:sz w:val="24"/>
        </w:rPr>
        <w:t>after the non-compliance ends.</w:t>
      </w:r>
    </w:p>
    <w:p>
      <w:pPr>
        <w:spacing w:after="0" w:line="240" w:lineRule="auto"/>
        <w:jc w:val="both"/>
        <w:rPr>
          <w:sz w:val="24"/>
        </w:rPr>
        <w:sectPr>
          <w:pgSz w:w="11910" w:h="16840"/>
          <w:pgMar w:header="686" w:footer="637" w:top="1320" w:bottom="820" w:left="1200" w:right="1000"/>
        </w:sectPr>
      </w:pPr>
    </w:p>
    <w:p>
      <w:pPr>
        <w:spacing w:before="83"/>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w:t>
      </w:r>
      <w:r>
        <w:rPr>
          <w:spacing w:val="-2"/>
          <w:sz w:val="20"/>
        </w:rPr>
        <w:t> </w:t>
      </w:r>
      <w:r>
        <w:rPr>
          <w:sz w:val="20"/>
        </w:rPr>
        <w:t>Regulations.)</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Clauses 9.4.3(a) and 9.4.3(c) do not affect SEC's obligations with respect to registration with </w:t>
      </w:r>
      <w:r>
        <w:rPr>
          <w:i/>
          <w:sz w:val="24"/>
        </w:rPr>
        <w:t>NEMMCO </w:t>
      </w:r>
      <w:r>
        <w:rPr>
          <w:sz w:val="24"/>
        </w:rPr>
        <w:t>or making payments in respect of </w:t>
      </w:r>
      <w:r>
        <w:rPr>
          <w:i/>
          <w:sz w:val="24"/>
        </w:rPr>
        <w:t>Participant </w:t>
      </w:r>
      <w:r>
        <w:rPr>
          <w:i/>
          <w:sz w:val="24"/>
        </w:rPr>
        <w:t>fees</w:t>
      </w:r>
      <w:r>
        <w:rPr>
          <w:sz w:val="24"/>
        </w:rPr>
        <w:t>, </w:t>
      </w:r>
      <w:r>
        <w:rPr>
          <w:i/>
          <w:sz w:val="24"/>
        </w:rPr>
        <w:t>prudential requirements </w:t>
      </w:r>
      <w:r>
        <w:rPr>
          <w:sz w:val="24"/>
        </w:rPr>
        <w:t>or </w:t>
      </w:r>
      <w:r>
        <w:rPr>
          <w:i/>
          <w:sz w:val="24"/>
        </w:rPr>
        <w:t>settlement</w:t>
      </w:r>
      <w:r>
        <w:rPr>
          <w:i/>
          <w:spacing w:val="-4"/>
          <w:sz w:val="24"/>
        </w:rPr>
        <w:t> </w:t>
      </w:r>
      <w:r>
        <w:rPr>
          <w:i/>
          <w:sz w:val="24"/>
        </w:rPr>
        <w:t>amounts</w:t>
      </w:r>
      <w:r>
        <w:rPr>
          <w:sz w:val="24"/>
        </w:rPr>
        <w:t>.</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4.4 Report from AER" w:id="2454"/>
      <w:bookmarkEnd w:id="2454"/>
      <w:r>
        <w:rPr>
          <w:b w:val="0"/>
        </w:rPr>
      </w:r>
      <w:bookmarkStart w:name="_bookmark1023" w:id="2455"/>
      <w:bookmarkEnd w:id="2455"/>
      <w:r>
        <w:rPr>
          <w:b w:val="0"/>
        </w:rPr>
      </w:r>
      <w:bookmarkStart w:name="_bookmark1023" w:id="2456"/>
      <w:bookmarkEnd w:id="2456"/>
      <w:r>
        <w:rPr/>
        <w:t>Repor</w:t>
      </w:r>
      <w:r>
        <w:rPr/>
        <w:t>t from</w:t>
      </w:r>
      <w:r>
        <w:rPr>
          <w:spacing w:val="-2"/>
        </w:rPr>
        <w:t> </w:t>
      </w:r>
      <w:r>
        <w:rPr/>
        <w:t>AER</w:t>
      </w:r>
    </w:p>
    <w:p>
      <w:pPr>
        <w:spacing w:before="120"/>
        <w:ind w:left="1352" w:right="414" w:firstLine="0"/>
        <w:jc w:val="both"/>
        <w:rPr>
          <w:sz w:val="24"/>
        </w:rPr>
      </w:pPr>
      <w:r>
        <w:rPr>
          <w:sz w:val="24"/>
        </w:rPr>
        <w:t>Within 30 </w:t>
      </w:r>
      <w:r>
        <w:rPr>
          <w:i/>
          <w:sz w:val="24"/>
        </w:rPr>
        <w:t>days </w:t>
      </w:r>
      <w:r>
        <w:rPr>
          <w:sz w:val="24"/>
        </w:rPr>
        <w:t>of the end of each Quarter, the </w:t>
      </w:r>
      <w:r>
        <w:rPr>
          <w:i/>
          <w:sz w:val="24"/>
        </w:rPr>
        <w:t>AER </w:t>
      </w:r>
      <w:r>
        <w:rPr>
          <w:sz w:val="24"/>
        </w:rPr>
        <w:t>must prepare a report for the previous Quarter and make it available on request to all </w:t>
      </w:r>
      <w:r>
        <w:rPr>
          <w:i/>
          <w:sz w:val="24"/>
        </w:rPr>
        <w:t>Registered Participants </w:t>
      </w:r>
      <w:r>
        <w:rPr>
          <w:sz w:val="24"/>
        </w:rPr>
        <w:t>and to those </w:t>
      </w:r>
      <w:r>
        <w:rPr>
          <w:i/>
          <w:sz w:val="24"/>
        </w:rPr>
        <w:t>participating jurisdictions </w:t>
      </w:r>
      <w:r>
        <w:rPr>
          <w:sz w:val="24"/>
        </w:rPr>
        <w:t>that participated in the </w:t>
      </w:r>
      <w:r>
        <w:rPr>
          <w:i/>
          <w:sz w:val="24"/>
        </w:rPr>
        <w:t>market </w:t>
      </w:r>
      <w:r>
        <w:rPr>
          <w:sz w:val="24"/>
        </w:rPr>
        <w:t>during the Quarter covered by the report. The report must include:</w:t>
      </w:r>
    </w:p>
    <w:p>
      <w:pPr>
        <w:pStyle w:val="ListParagraph"/>
        <w:numPr>
          <w:ilvl w:val="3"/>
          <w:numId w:val="676"/>
        </w:numPr>
        <w:tabs>
          <w:tab w:pos="1919" w:val="left" w:leader="none"/>
        </w:tabs>
        <w:spacing w:line="240" w:lineRule="auto" w:before="120" w:after="0"/>
        <w:ind w:left="1919" w:right="416" w:hanging="567"/>
        <w:jc w:val="both"/>
        <w:rPr>
          <w:sz w:val="24"/>
        </w:rPr>
      </w:pPr>
      <w:r>
        <w:rPr>
          <w:sz w:val="24"/>
        </w:rPr>
        <w:t>a summary of the acts or omission of the Smelter Trader constituting non- compliance with any requirement of the </w:t>
      </w:r>
      <w:r>
        <w:rPr>
          <w:i/>
          <w:sz w:val="24"/>
        </w:rPr>
        <w:t>Rules</w:t>
      </w:r>
      <w:r>
        <w:rPr>
          <w:sz w:val="24"/>
        </w:rPr>
        <w:t>, as disclosed in written notices received by the </w:t>
      </w:r>
      <w:r>
        <w:rPr>
          <w:i/>
          <w:sz w:val="24"/>
        </w:rPr>
        <w:t>AER </w:t>
      </w:r>
      <w:r>
        <w:rPr>
          <w:sz w:val="24"/>
        </w:rPr>
        <w:t>under clause 9.4.3 during the Quarter covered by the report;</w:t>
      </w:r>
      <w:r>
        <w:rPr>
          <w:spacing w:val="-1"/>
          <w:sz w:val="24"/>
        </w:rPr>
        <w:t> </w:t>
      </w:r>
      <w:r>
        <w:rPr>
          <w:sz w:val="24"/>
        </w:rPr>
        <w:t>and</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an assessment by the </w:t>
      </w:r>
      <w:r>
        <w:rPr>
          <w:i/>
          <w:sz w:val="24"/>
        </w:rPr>
        <w:t>AER </w:t>
      </w:r>
      <w:r>
        <w:rPr>
          <w:sz w:val="24"/>
        </w:rPr>
        <w:t>of the effect that those acts or omissions have had on the efficient operation of the </w:t>
      </w:r>
      <w:r>
        <w:rPr>
          <w:i/>
          <w:sz w:val="24"/>
        </w:rPr>
        <w:t>market </w:t>
      </w:r>
      <w:r>
        <w:rPr>
          <w:sz w:val="24"/>
        </w:rPr>
        <w:t>during the Quarter covered by the report.</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4.5 Cross Border Networks" w:id="2457"/>
      <w:bookmarkEnd w:id="2457"/>
      <w:r>
        <w:rPr>
          <w:b w:val="0"/>
        </w:rPr>
      </w:r>
      <w:bookmarkStart w:name="_bookmark1024" w:id="2458"/>
      <w:bookmarkEnd w:id="2458"/>
      <w:r>
        <w:rPr>
          <w:b w:val="0"/>
        </w:rPr>
      </w:r>
      <w:bookmarkStart w:name="_bookmark1024" w:id="2459"/>
      <w:bookmarkEnd w:id="2459"/>
      <w:r>
        <w:rPr/>
        <w:t>Cros</w:t>
      </w:r>
      <w:r>
        <w:rPr/>
        <w:t>s Border</w:t>
      </w:r>
      <w:r>
        <w:rPr>
          <w:spacing w:val="-1"/>
        </w:rPr>
        <w:t> </w:t>
      </w:r>
      <w:r>
        <w:rPr/>
        <w:t>Networks</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76"/>
        </w:numPr>
        <w:tabs>
          <w:tab w:pos="2486" w:val="left" w:leader="none"/>
        </w:tabs>
        <w:spacing w:line="240" w:lineRule="auto" w:before="120" w:after="0"/>
        <w:ind w:left="2486" w:right="414" w:hanging="567"/>
        <w:jc w:val="both"/>
        <w:rPr>
          <w:sz w:val="24"/>
        </w:rPr>
      </w:pPr>
      <w:r>
        <w:rPr>
          <w:sz w:val="24"/>
        </w:rPr>
        <w:t>the Victorian Minister considers that a </w:t>
      </w:r>
      <w:r>
        <w:rPr>
          <w:i/>
          <w:sz w:val="24"/>
        </w:rPr>
        <w:t>transmission network </w:t>
      </w:r>
      <w:r>
        <w:rPr>
          <w:sz w:val="24"/>
        </w:rPr>
        <w:t>or </w:t>
      </w:r>
      <w:r>
        <w:rPr>
          <w:i/>
          <w:sz w:val="24"/>
        </w:rPr>
        <w:t>distribution network </w:t>
      </w:r>
      <w:r>
        <w:rPr>
          <w:sz w:val="24"/>
        </w:rPr>
        <w:t>situated in Victoria is a continuation of a </w:t>
      </w:r>
      <w:r>
        <w:rPr>
          <w:i/>
          <w:sz w:val="24"/>
        </w:rPr>
        <w:t>network </w:t>
      </w:r>
      <w:r>
        <w:rPr>
          <w:sz w:val="24"/>
        </w:rPr>
        <w:t>situated in another </w:t>
      </w:r>
      <w:r>
        <w:rPr>
          <w:i/>
          <w:sz w:val="24"/>
        </w:rPr>
        <w:t>participating jurisdiction </w:t>
      </w:r>
      <w:r>
        <w:rPr>
          <w:sz w:val="24"/>
        </w:rPr>
        <w:t>and should be considered to be part of the </w:t>
      </w:r>
      <w:r>
        <w:rPr>
          <w:i/>
          <w:sz w:val="24"/>
        </w:rPr>
        <w:t>network </w:t>
      </w:r>
      <w:r>
        <w:rPr>
          <w:sz w:val="24"/>
        </w:rPr>
        <w:t>of that other </w:t>
      </w:r>
      <w:r>
        <w:rPr>
          <w:i/>
          <w:sz w:val="24"/>
        </w:rPr>
        <w:t>participating jurisdiction</w:t>
      </w:r>
      <w:r>
        <w:rPr>
          <w:sz w:val="24"/>
        </w:rPr>
        <w:t>;</w:t>
      </w:r>
      <w:r>
        <w:rPr>
          <w:spacing w:val="-4"/>
          <w:sz w:val="24"/>
        </w:rPr>
        <w:t> </w:t>
      </w:r>
      <w:r>
        <w:rPr>
          <w:sz w:val="24"/>
        </w:rPr>
        <w:t>and</w:t>
      </w:r>
    </w:p>
    <w:p>
      <w:pPr>
        <w:pStyle w:val="ListParagraph"/>
        <w:numPr>
          <w:ilvl w:val="4"/>
          <w:numId w:val="676"/>
        </w:numPr>
        <w:tabs>
          <w:tab w:pos="2486" w:val="left" w:leader="none"/>
        </w:tabs>
        <w:spacing w:line="240" w:lineRule="auto" w:before="120" w:after="0"/>
        <w:ind w:left="2485" w:right="0" w:hanging="567"/>
        <w:jc w:val="both"/>
        <w:rPr>
          <w:sz w:val="24"/>
        </w:rPr>
      </w:pPr>
      <w:r>
        <w:rPr>
          <w:sz w:val="24"/>
        </w:rPr>
        <w:t>the </w:t>
      </w:r>
      <w:r>
        <w:rPr>
          <w:i/>
          <w:sz w:val="24"/>
        </w:rPr>
        <w:t>Minister </w:t>
      </w:r>
      <w:r>
        <w:rPr>
          <w:sz w:val="24"/>
        </w:rPr>
        <w:t>for that other </w:t>
      </w:r>
      <w:r>
        <w:rPr>
          <w:i/>
          <w:sz w:val="24"/>
        </w:rPr>
        <w:t>participating jurisdiction</w:t>
      </w:r>
      <w:r>
        <w:rPr>
          <w:i/>
          <w:spacing w:val="-2"/>
          <w:sz w:val="24"/>
        </w:rPr>
        <w:t> </w:t>
      </w:r>
      <w:r>
        <w:rPr>
          <w:sz w:val="24"/>
        </w:rPr>
        <w:t>consents,</w:t>
      </w:r>
    </w:p>
    <w:p>
      <w:pPr>
        <w:spacing w:before="120"/>
        <w:ind w:left="1919" w:right="414" w:firstLine="0"/>
        <w:jc w:val="both"/>
        <w:rPr>
          <w:sz w:val="24"/>
        </w:rPr>
      </w:pPr>
      <w:r>
        <w:rPr>
          <w:sz w:val="24"/>
        </w:rPr>
        <w:t>then the Victorian Minister and the </w:t>
      </w:r>
      <w:r>
        <w:rPr>
          <w:i/>
          <w:sz w:val="24"/>
        </w:rPr>
        <w:t>Minister </w:t>
      </w:r>
      <w:r>
        <w:rPr>
          <w:sz w:val="24"/>
        </w:rPr>
        <w:t>for that other </w:t>
      </w:r>
      <w:r>
        <w:rPr>
          <w:i/>
          <w:sz w:val="24"/>
        </w:rPr>
        <w:t>participating </w:t>
      </w:r>
      <w:r>
        <w:rPr>
          <w:i/>
          <w:sz w:val="24"/>
        </w:rPr>
        <w:t>jurisdiction </w:t>
      </w:r>
      <w:r>
        <w:rPr>
          <w:sz w:val="24"/>
        </w:rPr>
        <w:t>may nominate that the </w:t>
      </w:r>
      <w:r>
        <w:rPr>
          <w:i/>
          <w:sz w:val="24"/>
        </w:rPr>
        <w:t>network </w:t>
      </w:r>
      <w:r>
        <w:rPr>
          <w:sz w:val="24"/>
        </w:rPr>
        <w:t>is deemed to be entirely in that other </w:t>
      </w:r>
      <w:r>
        <w:rPr>
          <w:i/>
          <w:sz w:val="24"/>
        </w:rPr>
        <w:t>participating jurisdiction </w:t>
      </w:r>
      <w:r>
        <w:rPr>
          <w:sz w:val="24"/>
        </w:rPr>
        <w:t>and the </w:t>
      </w:r>
      <w:r>
        <w:rPr>
          <w:i/>
          <w:sz w:val="24"/>
        </w:rPr>
        <w:t>Rules </w:t>
      </w:r>
      <w:r>
        <w:rPr>
          <w:sz w:val="24"/>
        </w:rPr>
        <w:t>including any relevant </w:t>
      </w:r>
      <w:r>
        <w:rPr>
          <w:i/>
          <w:sz w:val="24"/>
        </w:rPr>
        <w:t>jurisdictional derogations </w:t>
      </w:r>
      <w:r>
        <w:rPr>
          <w:sz w:val="24"/>
        </w:rPr>
        <w:t>for the other </w:t>
      </w:r>
      <w:r>
        <w:rPr>
          <w:i/>
          <w:sz w:val="24"/>
        </w:rPr>
        <w:t>participating jurisdiction </w:t>
      </w:r>
      <w:r>
        <w:rPr>
          <w:spacing w:val="-4"/>
          <w:sz w:val="24"/>
        </w:rPr>
        <w:t>are</w:t>
      </w:r>
      <w:r>
        <w:rPr>
          <w:spacing w:val="52"/>
          <w:sz w:val="24"/>
        </w:rPr>
        <w:t> </w:t>
      </w:r>
      <w:r>
        <w:rPr>
          <w:sz w:val="24"/>
        </w:rPr>
        <w:t>deemed to apply to the </w:t>
      </w:r>
      <w:r>
        <w:rPr>
          <w:i/>
          <w:sz w:val="24"/>
        </w:rPr>
        <w:t>network </w:t>
      </w:r>
      <w:r>
        <w:rPr>
          <w:sz w:val="24"/>
        </w:rPr>
        <w:t>as if the </w:t>
      </w:r>
      <w:r>
        <w:rPr>
          <w:i/>
          <w:sz w:val="24"/>
        </w:rPr>
        <w:t>network </w:t>
      </w:r>
      <w:r>
        <w:rPr>
          <w:sz w:val="24"/>
        </w:rPr>
        <w:t>were located entirely within that other </w:t>
      </w:r>
      <w:r>
        <w:rPr>
          <w:i/>
          <w:sz w:val="24"/>
        </w:rPr>
        <w:t>participating</w:t>
      </w:r>
      <w:r>
        <w:rPr>
          <w:i/>
          <w:spacing w:val="-2"/>
          <w:sz w:val="24"/>
        </w:rPr>
        <w:t> </w:t>
      </w:r>
      <w:r>
        <w:rPr>
          <w:i/>
          <w:sz w:val="24"/>
        </w:rPr>
        <w:t>jurisdiction</w:t>
      </w:r>
      <w:r>
        <w:rPr>
          <w:sz w:val="24"/>
        </w:rPr>
        <w:t>.</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If a nomination is made under clause 9.4.5(a), then the </w:t>
      </w:r>
      <w:r>
        <w:rPr>
          <w:i/>
          <w:sz w:val="24"/>
        </w:rPr>
        <w:t>jurisdictional </w:t>
      </w:r>
      <w:r>
        <w:rPr>
          <w:i/>
          <w:sz w:val="24"/>
        </w:rPr>
        <w:t>derogations </w:t>
      </w:r>
      <w:r>
        <w:rPr>
          <w:sz w:val="24"/>
        </w:rPr>
        <w:t>for Victoria do not apply to the extended part of the relevant </w:t>
      </w:r>
      <w:r>
        <w:rPr>
          <w:i/>
          <w:sz w:val="24"/>
        </w:rPr>
        <w:t>network </w:t>
      </w:r>
      <w:r>
        <w:rPr>
          <w:sz w:val="24"/>
        </w:rPr>
        <w:t>which is situated in</w:t>
      </w:r>
      <w:r>
        <w:rPr>
          <w:spacing w:val="-2"/>
          <w:sz w:val="24"/>
        </w:rPr>
        <w:t> </w:t>
      </w:r>
      <w:r>
        <w:rPr>
          <w:sz w:val="24"/>
        </w:rPr>
        <w:t>Victoria.</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If the </w:t>
      </w:r>
      <w:r>
        <w:rPr>
          <w:i/>
          <w:sz w:val="24"/>
        </w:rPr>
        <w:t>Minister </w:t>
      </w:r>
      <w:r>
        <w:rPr>
          <w:sz w:val="24"/>
        </w:rPr>
        <w:t>of another </w:t>
      </w:r>
      <w:r>
        <w:rPr>
          <w:i/>
          <w:sz w:val="24"/>
        </w:rPr>
        <w:t>participating jurisdiction </w:t>
      </w:r>
      <w:r>
        <w:rPr>
          <w:sz w:val="24"/>
        </w:rPr>
        <w:t>nominates that the </w:t>
      </w:r>
      <w:r>
        <w:rPr>
          <w:i/>
          <w:sz w:val="24"/>
        </w:rPr>
        <w:t>jurisdictional derogations </w:t>
      </w:r>
      <w:r>
        <w:rPr>
          <w:sz w:val="24"/>
        </w:rPr>
        <w:t>for Victoria should apply to a </w:t>
      </w:r>
      <w:r>
        <w:rPr>
          <w:i/>
          <w:sz w:val="24"/>
        </w:rPr>
        <w:t>network </w:t>
      </w:r>
      <w:r>
        <w:rPr>
          <w:sz w:val="24"/>
        </w:rPr>
        <w:t>part of which is situated in that other </w:t>
      </w:r>
      <w:r>
        <w:rPr>
          <w:i/>
          <w:sz w:val="24"/>
        </w:rPr>
        <w:t>participating jurisdiction</w:t>
      </w:r>
      <w:r>
        <w:rPr>
          <w:sz w:val="24"/>
        </w:rPr>
        <w:t>, then if the  Victorian Minister consents, the </w:t>
      </w:r>
      <w:r>
        <w:rPr>
          <w:i/>
          <w:sz w:val="24"/>
        </w:rPr>
        <w:t>jurisdictional derogations </w:t>
      </w:r>
      <w:r>
        <w:rPr>
          <w:sz w:val="24"/>
        </w:rPr>
        <w:t>for Victoria are also to apply to that part of the </w:t>
      </w:r>
      <w:r>
        <w:rPr>
          <w:i/>
          <w:sz w:val="24"/>
        </w:rPr>
        <w:t>network </w:t>
      </w:r>
      <w:r>
        <w:rPr>
          <w:sz w:val="24"/>
        </w:rPr>
        <w:t>situated in the other </w:t>
      </w:r>
      <w:r>
        <w:rPr>
          <w:i/>
          <w:sz w:val="24"/>
        </w:rPr>
        <w:t>participating </w:t>
      </w:r>
      <w:r>
        <w:rPr>
          <w:i/>
          <w:sz w:val="24"/>
        </w:rPr>
        <w:t>jurisdiction</w:t>
      </w:r>
      <w:r>
        <w:rPr>
          <w:sz w:val="24"/>
        </w:rPr>
        <w:t>.</w:t>
      </w:r>
    </w:p>
    <w:p>
      <w:pPr>
        <w:spacing w:after="0" w:line="240" w:lineRule="auto"/>
        <w:jc w:val="both"/>
        <w:rPr>
          <w:sz w:val="24"/>
        </w:rPr>
        <w:sectPr>
          <w:pgSz w:w="11910" w:h="16840"/>
          <w:pgMar w:header="686" w:footer="637" w:top="1320" w:bottom="820" w:left="1200" w:right="1000"/>
        </w:sectPr>
      </w:pPr>
    </w:p>
    <w:p>
      <w:pPr>
        <w:pStyle w:val="Heading3"/>
        <w:numPr>
          <w:ilvl w:val="1"/>
          <w:numId w:val="676"/>
        </w:numPr>
        <w:tabs>
          <w:tab w:pos="1351" w:val="left" w:leader="none"/>
          <w:tab w:pos="1353" w:val="left" w:leader="none"/>
        </w:tabs>
        <w:spacing w:line="240" w:lineRule="auto" w:before="83" w:after="0"/>
        <w:ind w:left="1352" w:right="0" w:hanging="1135"/>
        <w:jc w:val="left"/>
      </w:pPr>
      <w:bookmarkStart w:name="9.5 [Deleted]" w:id="2460"/>
      <w:bookmarkEnd w:id="2460"/>
      <w:r>
        <w:rPr>
          <w:b w:val="0"/>
        </w:rPr>
      </w:r>
      <w:bookmarkStart w:name="_bookmark1025" w:id="2461"/>
      <w:bookmarkEnd w:id="2461"/>
      <w:r>
        <w:rPr>
          <w:b w:val="0"/>
        </w:rPr>
      </w:r>
      <w:bookmarkStart w:name="_bookmark1025" w:id="2462"/>
      <w:bookmarkEnd w:id="2462"/>
      <w:r>
        <w:rPr/>
        <w:t>[Deleted]</w:t>
      </w:r>
    </w:p>
    <w:p>
      <w:pPr>
        <w:pStyle w:val="Heading3"/>
        <w:numPr>
          <w:ilvl w:val="1"/>
          <w:numId w:val="676"/>
        </w:numPr>
        <w:tabs>
          <w:tab w:pos="1351" w:val="left" w:leader="none"/>
          <w:tab w:pos="1353" w:val="left" w:leader="none"/>
        </w:tabs>
        <w:spacing w:line="240" w:lineRule="auto" w:before="240" w:after="0"/>
        <w:ind w:left="1352" w:right="0" w:hanging="1135"/>
        <w:jc w:val="left"/>
      </w:pPr>
      <w:bookmarkStart w:name="9.6 Transitional Arrangements for Chapte" w:id="2463"/>
      <w:bookmarkEnd w:id="2463"/>
      <w:r>
        <w:rPr>
          <w:b w:val="0"/>
        </w:rPr>
      </w:r>
      <w:bookmarkStart w:name="_bookmark1026" w:id="2464"/>
      <w:bookmarkEnd w:id="2464"/>
      <w:r>
        <w:rPr>
          <w:b w:val="0"/>
        </w:rPr>
      </w:r>
      <w:bookmarkStart w:name="_bookmark1026" w:id="2465"/>
      <w:bookmarkEnd w:id="2465"/>
      <w:r>
        <w:rPr/>
        <w:t>T</w:t>
      </w:r>
      <w:r>
        <w:rPr/>
        <w:t>ransitional Arrangements for Chapter 4 - System</w:t>
      </w:r>
      <w:r>
        <w:rPr>
          <w:spacing w:val="-7"/>
        </w:rPr>
        <w:t> </w:t>
      </w:r>
      <w:r>
        <w:rPr/>
        <w:t>Security</w:t>
      </w:r>
    </w:p>
    <w:p>
      <w:pPr>
        <w:pStyle w:val="Heading4"/>
        <w:numPr>
          <w:ilvl w:val="2"/>
          <w:numId w:val="676"/>
        </w:numPr>
        <w:tabs>
          <w:tab w:pos="1351" w:val="left" w:leader="none"/>
          <w:tab w:pos="1352" w:val="left" w:leader="none"/>
        </w:tabs>
        <w:spacing w:line="240" w:lineRule="auto" w:before="240" w:after="0"/>
        <w:ind w:left="1351" w:right="0" w:hanging="1134"/>
        <w:jc w:val="left"/>
      </w:pPr>
      <w:bookmarkStart w:name="9.6.1 Operating Procedures (clause 4.10." w:id="2466"/>
      <w:bookmarkEnd w:id="2466"/>
      <w:r>
        <w:rPr>
          <w:b w:val="0"/>
        </w:rPr>
      </w:r>
      <w:bookmarkStart w:name="_bookmark1027" w:id="2467"/>
      <w:bookmarkEnd w:id="2467"/>
      <w:r>
        <w:rPr>
          <w:b w:val="0"/>
        </w:rPr>
      </w:r>
      <w:bookmarkStart w:name="_bookmark1027" w:id="2468"/>
      <w:bookmarkEnd w:id="2468"/>
      <w:r>
        <w:rPr/>
        <w:t>Operating</w:t>
      </w:r>
      <w:r>
        <w:rPr/>
        <w:t> Procedures (clause</w:t>
      </w:r>
      <w:r>
        <w:rPr>
          <w:spacing w:val="-2"/>
        </w:rPr>
        <w:t> </w:t>
      </w:r>
      <w:r>
        <w:rPr/>
        <w:t>4.10.1)</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For the purposes of clause 4.10.1(b), the System Operating Procedures as defined in the System Code as at 13 December 1998 (with the necessary changes to be made by VENCorp) are the </w:t>
      </w:r>
      <w:r>
        <w:rPr>
          <w:i/>
          <w:sz w:val="24"/>
        </w:rPr>
        <w:t>regional specific power system </w:t>
      </w:r>
      <w:r>
        <w:rPr>
          <w:i/>
          <w:sz w:val="24"/>
        </w:rPr>
        <w:t>operating procedures </w:t>
      </w:r>
      <w:r>
        <w:rPr>
          <w:sz w:val="24"/>
        </w:rPr>
        <w:t>that apply from that date in respect of the Victorian Transmission</w:t>
      </w:r>
      <w:r>
        <w:rPr>
          <w:spacing w:val="-1"/>
          <w:sz w:val="24"/>
        </w:rPr>
        <w:t> </w:t>
      </w:r>
      <w:r>
        <w:rPr>
          <w:sz w:val="24"/>
        </w:rPr>
        <w:t>Network.</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This clause is not to be taken as limiting in any way the operation of any other provision of the </w:t>
      </w:r>
      <w:r>
        <w:rPr>
          <w:i/>
          <w:sz w:val="24"/>
        </w:rPr>
        <w:t>Rules </w:t>
      </w:r>
      <w:r>
        <w:rPr>
          <w:sz w:val="24"/>
        </w:rPr>
        <w:t>relating to the review, updating and amendment of the </w:t>
      </w:r>
      <w:r>
        <w:rPr>
          <w:i/>
          <w:sz w:val="24"/>
        </w:rPr>
        <w:t>regional specific power system operating</w:t>
      </w:r>
      <w:r>
        <w:rPr>
          <w:i/>
          <w:spacing w:val="-7"/>
          <w:sz w:val="24"/>
        </w:rPr>
        <w:t> </w:t>
      </w:r>
      <w:r>
        <w:rPr>
          <w:i/>
          <w:sz w:val="24"/>
        </w:rPr>
        <w:t>procedures</w:t>
      </w:r>
      <w:r>
        <w:rPr>
          <w:sz w:val="24"/>
        </w:rPr>
        <w:t>.</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6.2 Nomenclature Standards (clause 4.1" w:id="2469"/>
      <w:bookmarkEnd w:id="2469"/>
      <w:r>
        <w:rPr>
          <w:b w:val="0"/>
        </w:rPr>
      </w:r>
      <w:bookmarkStart w:name="_bookmark1028" w:id="2470"/>
      <w:bookmarkEnd w:id="2470"/>
      <w:r>
        <w:rPr>
          <w:b w:val="0"/>
        </w:rPr>
      </w:r>
      <w:bookmarkStart w:name="_bookmark1028" w:id="2471"/>
      <w:bookmarkEnd w:id="2471"/>
      <w:r>
        <w:rPr/>
        <w:t>Nomenclatur</w:t>
      </w:r>
      <w:r>
        <w:rPr/>
        <w:t>e Standards (clause</w:t>
      </w:r>
      <w:r>
        <w:rPr>
          <w:spacing w:val="-2"/>
        </w:rPr>
        <w:t> </w:t>
      </w:r>
      <w:r>
        <w:rPr/>
        <w:t>4.12)</w:t>
      </w:r>
    </w:p>
    <w:p>
      <w:pPr>
        <w:spacing w:before="120"/>
        <w:ind w:left="1352" w:right="415" w:firstLine="0"/>
        <w:jc w:val="both"/>
        <w:rPr>
          <w:sz w:val="24"/>
        </w:rPr>
      </w:pPr>
      <w:r>
        <w:rPr>
          <w:sz w:val="24"/>
        </w:rPr>
        <w:t>For the purposes of clause 4.12, the Nomenclature Standards as defined in the System Code as at 13 December 1998 are taken to be the </w:t>
      </w:r>
      <w:r>
        <w:rPr>
          <w:i/>
          <w:sz w:val="24"/>
        </w:rPr>
        <w:t>nomenclature standards </w:t>
      </w:r>
      <w:r>
        <w:rPr>
          <w:sz w:val="24"/>
        </w:rPr>
        <w:t>agreed between a </w:t>
      </w:r>
      <w:r>
        <w:rPr>
          <w:i/>
          <w:sz w:val="24"/>
        </w:rPr>
        <w:t>Network Service Provider </w:t>
      </w:r>
      <w:r>
        <w:rPr>
          <w:sz w:val="24"/>
        </w:rPr>
        <w:t>in respect of the Victorian Transmission Network or a Victorian Distribution Network and </w:t>
      </w:r>
      <w:r>
        <w:rPr>
          <w:i/>
          <w:sz w:val="24"/>
        </w:rPr>
        <w:t>AEMO </w:t>
      </w:r>
      <w:r>
        <w:rPr>
          <w:sz w:val="24"/>
        </w:rPr>
        <w:t>until </w:t>
      </w:r>
      <w:r>
        <w:rPr>
          <w:i/>
          <w:sz w:val="24"/>
        </w:rPr>
        <w:t>AEMO </w:t>
      </w:r>
      <w:r>
        <w:rPr>
          <w:sz w:val="24"/>
        </w:rPr>
        <w:t>and the relevant </w:t>
      </w:r>
      <w:r>
        <w:rPr>
          <w:i/>
          <w:sz w:val="24"/>
        </w:rPr>
        <w:t>Network Service Provider </w:t>
      </w:r>
      <w:r>
        <w:rPr>
          <w:sz w:val="24"/>
        </w:rPr>
        <w:t>agree otherwise under clause 4.12(a) or </w:t>
      </w:r>
      <w:r>
        <w:rPr>
          <w:i/>
          <w:sz w:val="24"/>
        </w:rPr>
        <w:t>AEMO </w:t>
      </w:r>
      <w:r>
        <w:rPr>
          <w:sz w:val="24"/>
        </w:rPr>
        <w:t>determines otherwise under clause 4.12(a).</w:t>
      </w:r>
    </w:p>
    <w:p>
      <w:pPr>
        <w:pStyle w:val="BodyText"/>
        <w:spacing w:before="10"/>
        <w:ind w:firstLine="0"/>
        <w:jc w:val="left"/>
        <w:rPr>
          <w:sz w:val="20"/>
        </w:rPr>
      </w:pPr>
    </w:p>
    <w:p>
      <w:pPr>
        <w:pStyle w:val="Heading3"/>
        <w:numPr>
          <w:ilvl w:val="1"/>
          <w:numId w:val="676"/>
        </w:numPr>
        <w:tabs>
          <w:tab w:pos="1351" w:val="left" w:leader="none"/>
          <w:tab w:pos="1353" w:val="left" w:leader="none"/>
        </w:tabs>
        <w:spacing w:line="240" w:lineRule="auto" w:before="0" w:after="0"/>
        <w:ind w:left="1352" w:right="0" w:hanging="1135"/>
        <w:jc w:val="left"/>
      </w:pPr>
      <w:bookmarkStart w:name="9.7 Transitional Arrangements for Chapte" w:id="2472"/>
      <w:bookmarkEnd w:id="2472"/>
      <w:r>
        <w:rPr>
          <w:b w:val="0"/>
        </w:rPr>
      </w:r>
      <w:bookmarkStart w:name="_bookmark1029" w:id="2473"/>
      <w:bookmarkEnd w:id="2473"/>
      <w:r>
        <w:rPr>
          <w:b w:val="0"/>
        </w:rPr>
      </w:r>
      <w:bookmarkStart w:name="_bookmark1029" w:id="2474"/>
      <w:bookmarkEnd w:id="2474"/>
      <w:r>
        <w:rPr/>
        <w:t>T</w:t>
      </w:r>
      <w:r>
        <w:rPr/>
        <w:t>ransitional Arrangements for Chapter 5 - Network</w:t>
      </w:r>
      <w:r>
        <w:rPr>
          <w:spacing w:val="-12"/>
        </w:rPr>
        <w:t> </w:t>
      </w:r>
      <w:r>
        <w:rPr/>
        <w:t>Connection</w:t>
      </w:r>
    </w:p>
    <w:p>
      <w:pPr>
        <w:pStyle w:val="Heading4"/>
        <w:numPr>
          <w:ilvl w:val="2"/>
          <w:numId w:val="676"/>
        </w:numPr>
        <w:tabs>
          <w:tab w:pos="1351" w:val="left" w:leader="none"/>
          <w:tab w:pos="1352" w:val="left" w:leader="none"/>
        </w:tabs>
        <w:spacing w:line="240" w:lineRule="auto" w:before="240" w:after="0"/>
        <w:ind w:left="1351" w:right="0" w:hanging="1134"/>
        <w:jc w:val="left"/>
      </w:pPr>
      <w:bookmarkStart w:name="9.7.1 [Deleted]" w:id="2475"/>
      <w:bookmarkEnd w:id="2475"/>
      <w:r>
        <w:rPr>
          <w:b w:val="0"/>
        </w:rPr>
      </w:r>
      <w:bookmarkStart w:name="_bookmark1030" w:id="2476"/>
      <w:bookmarkEnd w:id="2476"/>
      <w:r>
        <w:rPr>
          <w:b w:val="0"/>
        </w:rPr>
      </w:r>
      <w:bookmarkStart w:name="_bookmark1030" w:id="2477"/>
      <w:bookmarkEnd w:id="2477"/>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2 [Deleted]" w:id="2478"/>
      <w:bookmarkEnd w:id="2478"/>
      <w:r>
        <w:rPr>
          <w:b w:val="0"/>
        </w:rPr>
      </w:r>
      <w:bookmarkStart w:name="_bookmark1031" w:id="2479"/>
      <w:bookmarkEnd w:id="2479"/>
      <w:r>
        <w:rPr>
          <w:b w:val="0"/>
        </w:rPr>
      </w:r>
      <w:bookmarkStart w:name="_bookmark1031" w:id="2480"/>
      <w:bookmarkEnd w:id="2480"/>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3 [Deleted]" w:id="2481"/>
      <w:bookmarkEnd w:id="2481"/>
      <w:r>
        <w:rPr>
          <w:b w:val="0"/>
        </w:rPr>
      </w:r>
      <w:bookmarkStart w:name="_bookmark1032" w:id="2482"/>
      <w:bookmarkEnd w:id="2482"/>
      <w:r>
        <w:rPr>
          <w:b w:val="0"/>
        </w:rPr>
      </w:r>
      <w:bookmarkStart w:name="_bookmark1032" w:id="2483"/>
      <w:bookmarkEnd w:id="2483"/>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4 Regulation of Distribution Network" w:id="2484"/>
      <w:bookmarkEnd w:id="2484"/>
      <w:r>
        <w:rPr>
          <w:b w:val="0"/>
        </w:rPr>
      </w:r>
      <w:bookmarkStart w:name="_bookmark1033" w:id="2485"/>
      <w:bookmarkEnd w:id="2485"/>
      <w:r>
        <w:rPr>
          <w:b w:val="0"/>
        </w:rPr>
      </w:r>
      <w:bookmarkStart w:name="_bookmark1033" w:id="2486"/>
      <w:bookmarkEnd w:id="2486"/>
      <w:r>
        <w:rPr/>
        <w:t>Regulatio</w:t>
      </w:r>
      <w:r>
        <w:rPr/>
        <w:t>n of Distribution Network</w:t>
      </w:r>
      <w:r>
        <w:rPr>
          <w:spacing w:val="-5"/>
        </w:rPr>
        <w:t> </w:t>
      </w:r>
      <w:r>
        <w:rPr/>
        <w:t>Connection</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clause:</w:t>
      </w:r>
    </w:p>
    <w:p>
      <w:pPr>
        <w:spacing w:before="120"/>
        <w:ind w:left="1919" w:right="0" w:firstLine="0"/>
        <w:jc w:val="both"/>
        <w:rPr>
          <w:sz w:val="24"/>
        </w:rPr>
      </w:pPr>
      <w:r>
        <w:rPr>
          <w:b/>
          <w:sz w:val="24"/>
        </w:rPr>
        <w:t>appropriate regulator</w:t>
      </w:r>
      <w:r>
        <w:rPr>
          <w:b/>
          <w:spacing w:val="59"/>
          <w:sz w:val="24"/>
        </w:rPr>
        <w:t> </w:t>
      </w:r>
      <w:r>
        <w:rPr>
          <w:sz w:val="24"/>
        </w:rPr>
        <w:t>means:</w:t>
      </w:r>
    </w:p>
    <w:p>
      <w:pPr>
        <w:pStyle w:val="ListParagraph"/>
        <w:numPr>
          <w:ilvl w:val="4"/>
          <w:numId w:val="676"/>
        </w:numPr>
        <w:tabs>
          <w:tab w:pos="2486" w:val="left" w:leader="none"/>
        </w:tabs>
        <w:spacing w:line="240" w:lineRule="auto" w:before="120" w:after="0"/>
        <w:ind w:left="2485" w:right="0" w:hanging="567"/>
        <w:jc w:val="both"/>
        <w:rPr>
          <w:i/>
          <w:sz w:val="24"/>
        </w:rPr>
      </w:pPr>
      <w:r>
        <w:rPr>
          <w:sz w:val="24"/>
        </w:rPr>
        <w:t>if</w:t>
      </w:r>
      <w:r>
        <w:rPr>
          <w:spacing w:val="31"/>
          <w:sz w:val="24"/>
        </w:rPr>
        <w:t> </w:t>
      </w:r>
      <w:r>
        <w:rPr>
          <w:sz w:val="24"/>
        </w:rPr>
        <w:t>there</w:t>
      </w:r>
      <w:r>
        <w:rPr>
          <w:spacing w:val="32"/>
          <w:sz w:val="24"/>
        </w:rPr>
        <w:t> </w:t>
      </w:r>
      <w:r>
        <w:rPr>
          <w:sz w:val="24"/>
        </w:rPr>
        <w:t>has</w:t>
      </w:r>
      <w:r>
        <w:rPr>
          <w:spacing w:val="31"/>
          <w:sz w:val="24"/>
        </w:rPr>
        <w:t> </w:t>
      </w:r>
      <w:r>
        <w:rPr>
          <w:sz w:val="24"/>
        </w:rPr>
        <w:t>been</w:t>
      </w:r>
      <w:r>
        <w:rPr>
          <w:spacing w:val="32"/>
          <w:sz w:val="24"/>
        </w:rPr>
        <w:t> </w:t>
      </w:r>
      <w:r>
        <w:rPr>
          <w:sz w:val="24"/>
        </w:rPr>
        <w:t>no</w:t>
      </w:r>
      <w:r>
        <w:rPr>
          <w:spacing w:val="31"/>
          <w:sz w:val="24"/>
        </w:rPr>
        <w:t> </w:t>
      </w:r>
      <w:r>
        <w:rPr>
          <w:sz w:val="24"/>
        </w:rPr>
        <w:t>transfer</w:t>
      </w:r>
      <w:r>
        <w:rPr>
          <w:spacing w:val="32"/>
          <w:sz w:val="24"/>
        </w:rPr>
        <w:t> </w:t>
      </w:r>
      <w:r>
        <w:rPr>
          <w:sz w:val="24"/>
        </w:rPr>
        <w:t>of</w:t>
      </w:r>
      <w:r>
        <w:rPr>
          <w:spacing w:val="31"/>
          <w:sz w:val="24"/>
        </w:rPr>
        <w:t> </w:t>
      </w:r>
      <w:r>
        <w:rPr>
          <w:sz w:val="24"/>
        </w:rPr>
        <w:t>regulatory</w:t>
      </w:r>
      <w:r>
        <w:rPr>
          <w:spacing w:val="32"/>
          <w:sz w:val="24"/>
        </w:rPr>
        <w:t> </w:t>
      </w:r>
      <w:r>
        <w:rPr>
          <w:sz w:val="24"/>
        </w:rPr>
        <w:t>responsibility</w:t>
      </w:r>
      <w:r>
        <w:rPr>
          <w:spacing w:val="31"/>
          <w:sz w:val="24"/>
        </w:rPr>
        <w:t> </w:t>
      </w:r>
      <w:r>
        <w:rPr>
          <w:sz w:val="24"/>
        </w:rPr>
        <w:t>to</w:t>
      </w:r>
      <w:r>
        <w:rPr>
          <w:spacing w:val="32"/>
          <w:sz w:val="24"/>
        </w:rPr>
        <w:t> </w:t>
      </w:r>
      <w:r>
        <w:rPr>
          <w:sz w:val="24"/>
        </w:rPr>
        <w:t>the</w:t>
      </w:r>
      <w:r>
        <w:rPr>
          <w:spacing w:val="32"/>
          <w:sz w:val="24"/>
        </w:rPr>
        <w:t> </w:t>
      </w:r>
      <w:r>
        <w:rPr>
          <w:i/>
          <w:sz w:val="24"/>
        </w:rPr>
        <w:t>AER</w:t>
      </w:r>
    </w:p>
    <w:p>
      <w:pPr>
        <w:pStyle w:val="BodyText"/>
        <w:spacing w:before="0"/>
        <w:ind w:left="2486" w:firstLine="0"/>
      </w:pPr>
      <w:r>
        <w:rPr/>
        <w:t>under a law of Victoria – the ESC;</w:t>
      </w:r>
    </w:p>
    <w:p>
      <w:pPr>
        <w:pStyle w:val="ListParagraph"/>
        <w:numPr>
          <w:ilvl w:val="4"/>
          <w:numId w:val="676"/>
        </w:numPr>
        <w:tabs>
          <w:tab w:pos="2486" w:val="left" w:leader="none"/>
        </w:tabs>
        <w:spacing w:line="240" w:lineRule="auto" w:before="120" w:after="0"/>
        <w:ind w:left="2485" w:right="0" w:hanging="567"/>
        <w:jc w:val="both"/>
        <w:rPr>
          <w:i/>
          <w:sz w:val="24"/>
        </w:rPr>
      </w:pPr>
      <w:r>
        <w:rPr>
          <w:sz w:val="24"/>
        </w:rPr>
        <w:t>if</w:t>
      </w:r>
      <w:r>
        <w:rPr>
          <w:spacing w:val="43"/>
          <w:sz w:val="24"/>
        </w:rPr>
        <w:t> </w:t>
      </w:r>
      <w:r>
        <w:rPr>
          <w:sz w:val="24"/>
        </w:rPr>
        <w:t>there</w:t>
      </w:r>
      <w:r>
        <w:rPr>
          <w:spacing w:val="44"/>
          <w:sz w:val="24"/>
        </w:rPr>
        <w:t> </w:t>
      </w:r>
      <w:r>
        <w:rPr>
          <w:sz w:val="24"/>
        </w:rPr>
        <w:t>has</w:t>
      </w:r>
      <w:r>
        <w:rPr>
          <w:spacing w:val="44"/>
          <w:sz w:val="24"/>
        </w:rPr>
        <w:t> </w:t>
      </w:r>
      <w:r>
        <w:rPr>
          <w:sz w:val="24"/>
        </w:rPr>
        <w:t>been</w:t>
      </w:r>
      <w:r>
        <w:rPr>
          <w:spacing w:val="43"/>
          <w:sz w:val="24"/>
        </w:rPr>
        <w:t> </w:t>
      </w:r>
      <w:r>
        <w:rPr>
          <w:sz w:val="24"/>
        </w:rPr>
        <w:t>a</w:t>
      </w:r>
      <w:r>
        <w:rPr>
          <w:spacing w:val="44"/>
          <w:sz w:val="24"/>
        </w:rPr>
        <w:t> </w:t>
      </w:r>
      <w:r>
        <w:rPr>
          <w:sz w:val="24"/>
        </w:rPr>
        <w:t>transfer</w:t>
      </w:r>
      <w:r>
        <w:rPr>
          <w:spacing w:val="44"/>
          <w:sz w:val="24"/>
        </w:rPr>
        <w:t> </w:t>
      </w:r>
      <w:r>
        <w:rPr>
          <w:sz w:val="24"/>
        </w:rPr>
        <w:t>of</w:t>
      </w:r>
      <w:r>
        <w:rPr>
          <w:spacing w:val="43"/>
          <w:sz w:val="24"/>
        </w:rPr>
        <w:t> </w:t>
      </w:r>
      <w:r>
        <w:rPr>
          <w:sz w:val="24"/>
        </w:rPr>
        <w:t>regulatory</w:t>
      </w:r>
      <w:r>
        <w:rPr>
          <w:spacing w:val="44"/>
          <w:sz w:val="24"/>
        </w:rPr>
        <w:t> </w:t>
      </w:r>
      <w:r>
        <w:rPr>
          <w:sz w:val="24"/>
        </w:rPr>
        <w:t>responsibility</w:t>
      </w:r>
      <w:r>
        <w:rPr>
          <w:spacing w:val="44"/>
          <w:sz w:val="24"/>
        </w:rPr>
        <w:t> </w:t>
      </w:r>
      <w:r>
        <w:rPr>
          <w:sz w:val="24"/>
        </w:rPr>
        <w:t>to</w:t>
      </w:r>
      <w:r>
        <w:rPr>
          <w:spacing w:val="43"/>
          <w:sz w:val="24"/>
        </w:rPr>
        <w:t> </w:t>
      </w:r>
      <w:r>
        <w:rPr>
          <w:sz w:val="24"/>
        </w:rPr>
        <w:t>the</w:t>
      </w:r>
      <w:r>
        <w:rPr>
          <w:spacing w:val="44"/>
          <w:sz w:val="24"/>
        </w:rPr>
        <w:t> </w:t>
      </w:r>
      <w:r>
        <w:rPr>
          <w:i/>
          <w:sz w:val="24"/>
        </w:rPr>
        <w:t>AER</w:t>
      </w:r>
    </w:p>
    <w:p>
      <w:pPr>
        <w:pStyle w:val="BodyText"/>
        <w:spacing w:before="0"/>
        <w:ind w:left="2486" w:firstLine="0"/>
      </w:pPr>
      <w:r>
        <w:rPr/>
        <w:t>under a law of Victoria – the </w:t>
      </w:r>
      <w:r>
        <w:rPr>
          <w:i/>
        </w:rPr>
        <w:t>AER</w:t>
      </w:r>
      <w:r>
        <w:rPr/>
        <w:t>.</w:t>
      </w:r>
    </w:p>
    <w:p>
      <w:pPr>
        <w:pStyle w:val="ListParagraph"/>
        <w:numPr>
          <w:ilvl w:val="3"/>
          <w:numId w:val="676"/>
        </w:numPr>
        <w:tabs>
          <w:tab w:pos="1919" w:val="left" w:leader="none"/>
        </w:tabs>
        <w:spacing w:line="240" w:lineRule="auto" w:before="120" w:after="0"/>
        <w:ind w:left="1918" w:right="0" w:hanging="567"/>
        <w:jc w:val="both"/>
        <w:rPr>
          <w:sz w:val="24"/>
        </w:rPr>
      </w:pPr>
      <w:r>
        <w:rPr>
          <w:sz w:val="24"/>
        </w:rPr>
        <w:t>This clause 9.7.4:</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applies in respect of the regulation of access to, </w:t>
      </w:r>
      <w:r>
        <w:rPr>
          <w:i/>
          <w:sz w:val="24"/>
        </w:rPr>
        <w:t>connection </w:t>
      </w:r>
      <w:r>
        <w:rPr>
          <w:sz w:val="24"/>
        </w:rPr>
        <w:t>to, the modification of a </w:t>
      </w:r>
      <w:r>
        <w:rPr>
          <w:i/>
          <w:sz w:val="24"/>
        </w:rPr>
        <w:t>connection </w:t>
      </w:r>
      <w:r>
        <w:rPr>
          <w:sz w:val="24"/>
        </w:rPr>
        <w:t>to, the </w:t>
      </w:r>
      <w:r>
        <w:rPr>
          <w:i/>
          <w:sz w:val="24"/>
        </w:rPr>
        <w:t>augmentation </w:t>
      </w:r>
      <w:r>
        <w:rPr>
          <w:sz w:val="24"/>
        </w:rPr>
        <w:t>of, the provision of </w:t>
      </w:r>
      <w:r>
        <w:rPr>
          <w:i/>
          <w:sz w:val="24"/>
        </w:rPr>
        <w:t>network services </w:t>
      </w:r>
      <w:r>
        <w:rPr>
          <w:sz w:val="24"/>
        </w:rPr>
        <w:t>or </w:t>
      </w:r>
      <w:r>
        <w:rPr>
          <w:i/>
          <w:sz w:val="24"/>
        </w:rPr>
        <w:t>distribution use of system services</w:t>
      </w:r>
      <w:r>
        <w:rPr>
          <w:sz w:val="24"/>
        </w:rPr>
        <w:t>, and the modification of the provision of </w:t>
      </w:r>
      <w:r>
        <w:rPr>
          <w:i/>
          <w:sz w:val="24"/>
        </w:rPr>
        <w:t>network services </w:t>
      </w:r>
      <w:r>
        <w:rPr>
          <w:sz w:val="24"/>
        </w:rPr>
        <w:t>or </w:t>
      </w:r>
      <w:r>
        <w:rPr>
          <w:i/>
          <w:sz w:val="24"/>
        </w:rPr>
        <w:t>distribution use of </w:t>
      </w:r>
      <w:r>
        <w:rPr>
          <w:i/>
          <w:sz w:val="24"/>
        </w:rPr>
        <w:t>system services</w:t>
      </w:r>
      <w:r>
        <w:rPr>
          <w:sz w:val="24"/>
        </w:rPr>
        <w:t>, in respect of, a </w:t>
      </w:r>
      <w:r>
        <w:rPr>
          <w:i/>
          <w:sz w:val="24"/>
        </w:rPr>
        <w:t>distribution network </w:t>
      </w:r>
      <w:r>
        <w:rPr>
          <w:sz w:val="24"/>
        </w:rPr>
        <w:t>(including any part of a </w:t>
      </w:r>
      <w:r>
        <w:rPr>
          <w:i/>
          <w:sz w:val="24"/>
        </w:rPr>
        <w:t>distribution network</w:t>
      </w:r>
      <w:r>
        <w:rPr>
          <w:sz w:val="24"/>
        </w:rPr>
        <w:t>) situated in Victoria;</w:t>
      </w:r>
      <w:r>
        <w:rPr>
          <w:spacing w:val="-6"/>
          <w:sz w:val="24"/>
        </w:rPr>
        <w:t> </w:t>
      </w:r>
      <w:r>
        <w:rPr>
          <w:sz w:val="24"/>
        </w:rPr>
        <w:t>and</w:t>
      </w:r>
    </w:p>
    <w:p>
      <w:pPr>
        <w:pStyle w:val="ListParagraph"/>
        <w:numPr>
          <w:ilvl w:val="4"/>
          <w:numId w:val="676"/>
        </w:numPr>
        <w:tabs>
          <w:tab w:pos="2486" w:val="left" w:leader="none"/>
        </w:tabs>
        <w:spacing w:line="240" w:lineRule="auto" w:before="120" w:after="0"/>
        <w:ind w:left="2486" w:right="415" w:hanging="567"/>
        <w:jc w:val="both"/>
        <w:rPr>
          <w:sz w:val="24"/>
        </w:rPr>
      </w:pPr>
      <w:r>
        <w:rPr>
          <w:sz w:val="24"/>
        </w:rPr>
        <w:t>expires on the date fixed under the </w:t>
      </w:r>
      <w:r>
        <w:rPr>
          <w:i/>
          <w:sz w:val="24"/>
        </w:rPr>
        <w:t>National Electricity (Victoria) Act </w:t>
      </w:r>
      <w:r>
        <w:rPr>
          <w:i/>
          <w:sz w:val="24"/>
        </w:rPr>
        <w:t>2005 </w:t>
      </w:r>
      <w:r>
        <w:rPr>
          <w:sz w:val="24"/>
        </w:rPr>
        <w:t>as the Victorian distribution pricing determination end</w:t>
      </w:r>
      <w:r>
        <w:rPr>
          <w:spacing w:val="-4"/>
          <w:sz w:val="24"/>
        </w:rPr>
        <w:t> </w:t>
      </w:r>
      <w:r>
        <w:rPr>
          <w:sz w:val="24"/>
        </w:rPr>
        <w:t>date.</w:t>
      </w:r>
    </w:p>
    <w:p>
      <w:pPr>
        <w:spacing w:after="0" w:line="240" w:lineRule="auto"/>
        <w:jc w:val="both"/>
        <w:rPr>
          <w:sz w:val="24"/>
        </w:rPr>
        <w:sectPr>
          <w:pgSz w:w="11910" w:h="16840"/>
          <w:pgMar w:header="686" w:footer="637" w:top="1320" w:bottom="820" w:left="1200" w:right="1000"/>
        </w:sectPr>
      </w:pPr>
    </w:p>
    <w:p>
      <w:pPr>
        <w:spacing w:before="83"/>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The date is 31 December 2010 or a later date fixed in a Victorian distribution pricing determination as the date on which the determination will cease to have effect.</w:t>
      </w:r>
    </w:p>
    <w:p>
      <w:pPr>
        <w:pStyle w:val="ListParagraph"/>
        <w:numPr>
          <w:ilvl w:val="3"/>
          <w:numId w:val="676"/>
        </w:numPr>
        <w:tabs>
          <w:tab w:pos="1919" w:val="left" w:leader="none"/>
        </w:tabs>
        <w:spacing w:line="240" w:lineRule="auto" w:before="120" w:after="0"/>
        <w:ind w:left="1919" w:right="413" w:hanging="567"/>
        <w:jc w:val="both"/>
        <w:rPr>
          <w:sz w:val="24"/>
        </w:rPr>
      </w:pPr>
      <w:r>
        <w:rPr>
          <w:sz w:val="24"/>
        </w:rPr>
        <w:t>Notwithstanding anything to the contrary in the </w:t>
      </w:r>
      <w:r>
        <w:rPr>
          <w:i/>
          <w:sz w:val="24"/>
        </w:rPr>
        <w:t>Rules</w:t>
      </w:r>
      <w:r>
        <w:rPr>
          <w:sz w:val="24"/>
        </w:rPr>
        <w:t>, the appropriate regulator is responsible for the regulation of access to, </w:t>
      </w:r>
      <w:r>
        <w:rPr>
          <w:i/>
          <w:sz w:val="24"/>
        </w:rPr>
        <w:t>connection </w:t>
      </w:r>
      <w:r>
        <w:rPr>
          <w:sz w:val="24"/>
        </w:rPr>
        <w:t>to, the modification of a </w:t>
      </w:r>
      <w:r>
        <w:rPr>
          <w:i/>
          <w:sz w:val="24"/>
        </w:rPr>
        <w:t>connection </w:t>
      </w:r>
      <w:r>
        <w:rPr>
          <w:sz w:val="24"/>
        </w:rPr>
        <w:t>to, the </w:t>
      </w:r>
      <w:r>
        <w:rPr>
          <w:i/>
          <w:sz w:val="24"/>
        </w:rPr>
        <w:t>augmentation </w:t>
      </w:r>
      <w:r>
        <w:rPr>
          <w:sz w:val="24"/>
        </w:rPr>
        <w:t>of, the provision of </w:t>
      </w:r>
      <w:r>
        <w:rPr>
          <w:i/>
          <w:sz w:val="24"/>
        </w:rPr>
        <w:t>network services </w:t>
      </w:r>
      <w:r>
        <w:rPr>
          <w:sz w:val="24"/>
        </w:rPr>
        <w:t>and </w:t>
      </w:r>
      <w:r>
        <w:rPr>
          <w:i/>
          <w:sz w:val="24"/>
        </w:rPr>
        <w:t>distribution use of system services</w:t>
      </w:r>
      <w:r>
        <w:rPr>
          <w:sz w:val="24"/>
        </w:rPr>
        <w:t>, and the modification of the provision of </w:t>
      </w:r>
      <w:r>
        <w:rPr>
          <w:i/>
          <w:sz w:val="24"/>
        </w:rPr>
        <w:t>network services </w:t>
      </w:r>
      <w:r>
        <w:rPr>
          <w:sz w:val="24"/>
        </w:rPr>
        <w:t>and </w:t>
      </w:r>
      <w:r>
        <w:rPr>
          <w:i/>
          <w:sz w:val="24"/>
        </w:rPr>
        <w:t>distribution use of </w:t>
      </w:r>
      <w:r>
        <w:rPr>
          <w:i/>
          <w:sz w:val="24"/>
        </w:rPr>
        <w:t>system services</w:t>
      </w:r>
      <w:r>
        <w:rPr>
          <w:sz w:val="24"/>
        </w:rPr>
        <w:t>, in respect of, any </w:t>
      </w:r>
      <w:r>
        <w:rPr>
          <w:i/>
          <w:sz w:val="24"/>
        </w:rPr>
        <w:t>distribution network </w:t>
      </w:r>
      <w:r>
        <w:rPr>
          <w:sz w:val="24"/>
        </w:rPr>
        <w:t>to which this clause applies.</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For the purposes of clause 5.3.6(c), any question as to the fairness and reasonableness of an offer to </w:t>
      </w:r>
      <w:r>
        <w:rPr>
          <w:i/>
          <w:sz w:val="24"/>
        </w:rPr>
        <w:t>connect </w:t>
      </w:r>
      <w:r>
        <w:rPr>
          <w:sz w:val="24"/>
        </w:rPr>
        <w:t>in relation to a </w:t>
      </w:r>
      <w:r>
        <w:rPr>
          <w:i/>
          <w:sz w:val="24"/>
        </w:rPr>
        <w:t>distribution network </w:t>
      </w:r>
      <w:r>
        <w:rPr>
          <w:sz w:val="24"/>
        </w:rPr>
        <w:t>to which this clause applies is to be decided by the appropriate regulator on the basis of the appropriate regulator's opinion of the fairness </w:t>
      </w:r>
      <w:r>
        <w:rPr>
          <w:spacing w:val="-5"/>
          <w:sz w:val="24"/>
        </w:rPr>
        <w:t>and </w:t>
      </w:r>
      <w:r>
        <w:rPr>
          <w:sz w:val="24"/>
        </w:rPr>
        <w:t>reasonableness of the</w:t>
      </w:r>
      <w:r>
        <w:rPr>
          <w:spacing w:val="-1"/>
          <w:sz w:val="24"/>
        </w:rPr>
        <w:t> </w:t>
      </w:r>
      <w:r>
        <w:rPr>
          <w:sz w:val="24"/>
        </w:rPr>
        <w:t>offer.</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If a dispute arises in relation to any of access to, </w:t>
      </w:r>
      <w:r>
        <w:rPr>
          <w:i/>
          <w:sz w:val="24"/>
        </w:rPr>
        <w:t>connection </w:t>
      </w:r>
      <w:r>
        <w:rPr>
          <w:sz w:val="24"/>
        </w:rPr>
        <w:t>to, the modification of a </w:t>
      </w:r>
      <w:r>
        <w:rPr>
          <w:i/>
          <w:sz w:val="24"/>
        </w:rPr>
        <w:t>connection </w:t>
      </w:r>
      <w:r>
        <w:rPr>
          <w:sz w:val="24"/>
        </w:rPr>
        <w:t>to, the </w:t>
      </w:r>
      <w:r>
        <w:rPr>
          <w:i/>
          <w:sz w:val="24"/>
        </w:rPr>
        <w:t>augmentation </w:t>
      </w:r>
      <w:r>
        <w:rPr>
          <w:sz w:val="24"/>
        </w:rPr>
        <w:t>of, the provision of </w:t>
      </w:r>
      <w:r>
        <w:rPr>
          <w:i/>
          <w:sz w:val="24"/>
        </w:rPr>
        <w:t>network services </w:t>
      </w:r>
      <w:r>
        <w:rPr>
          <w:sz w:val="24"/>
        </w:rPr>
        <w:t>or </w:t>
      </w:r>
      <w:r>
        <w:rPr>
          <w:i/>
          <w:sz w:val="24"/>
        </w:rPr>
        <w:t>distribution use of system services</w:t>
      </w:r>
      <w:r>
        <w:rPr>
          <w:sz w:val="24"/>
        </w:rPr>
        <w:t>, or the modification of the provision of </w:t>
      </w:r>
      <w:r>
        <w:rPr>
          <w:i/>
          <w:sz w:val="24"/>
        </w:rPr>
        <w:t>network services </w:t>
      </w:r>
      <w:r>
        <w:rPr>
          <w:sz w:val="24"/>
        </w:rPr>
        <w:t>or </w:t>
      </w:r>
      <w:r>
        <w:rPr>
          <w:i/>
          <w:sz w:val="24"/>
        </w:rPr>
        <w:t>distribution use of system services</w:t>
      </w:r>
      <w:r>
        <w:rPr>
          <w:sz w:val="24"/>
        </w:rPr>
        <w:t>, in respect of, any </w:t>
      </w:r>
      <w:r>
        <w:rPr>
          <w:i/>
          <w:sz w:val="24"/>
        </w:rPr>
        <w:t>distribution network </w:t>
      </w:r>
      <w:r>
        <w:rPr>
          <w:sz w:val="24"/>
        </w:rPr>
        <w:t>to which this clause applies, then that dispute must be resolved in accordance with procedures specified by the appropriate regulator and clause 8.2 does not apply to that</w:t>
      </w:r>
      <w:r>
        <w:rPr>
          <w:spacing w:val="-2"/>
          <w:sz w:val="24"/>
        </w:rPr>
        <w:t> </w:t>
      </w:r>
      <w:r>
        <w:rPr>
          <w:sz w:val="24"/>
        </w:rPr>
        <w:t>dispute.</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5 [Deleted]" w:id="2487"/>
      <w:bookmarkEnd w:id="2487"/>
      <w:r>
        <w:rPr>
          <w:b w:val="0"/>
        </w:rPr>
      </w:r>
      <w:bookmarkStart w:name="_bookmark1034" w:id="2488"/>
      <w:bookmarkEnd w:id="2488"/>
      <w:r>
        <w:rPr>
          <w:b w:val="0"/>
        </w:rPr>
      </w:r>
      <w:bookmarkStart w:name="_bookmark1034" w:id="2489"/>
      <w:bookmarkEnd w:id="2489"/>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6 [Deleted]" w:id="2490"/>
      <w:bookmarkEnd w:id="2490"/>
      <w:r>
        <w:rPr>
          <w:b w:val="0"/>
        </w:rPr>
      </w:r>
      <w:bookmarkStart w:name="_bookmark1035" w:id="2491"/>
      <w:bookmarkEnd w:id="2491"/>
      <w:r>
        <w:rPr>
          <w:b w:val="0"/>
        </w:rPr>
      </w:r>
      <w:bookmarkStart w:name="_bookmark1035" w:id="2492"/>
      <w:bookmarkEnd w:id="2492"/>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7.7 [Deleted]" w:id="2493"/>
      <w:bookmarkEnd w:id="2493"/>
      <w:r>
        <w:rPr>
          <w:b w:val="0"/>
        </w:rPr>
      </w:r>
      <w:bookmarkStart w:name="_bookmark1036" w:id="2494"/>
      <w:bookmarkEnd w:id="2494"/>
      <w:r>
        <w:rPr>
          <w:b w:val="0"/>
        </w:rPr>
      </w:r>
      <w:bookmarkStart w:name="_bookmark1036" w:id="2495"/>
      <w:bookmarkEnd w:id="2495"/>
      <w:r>
        <w:rPr/>
        <w:t>[Deleted]</w:t>
      </w:r>
    </w:p>
    <w:p>
      <w:pPr>
        <w:pStyle w:val="BodyText"/>
        <w:spacing w:before="10"/>
        <w:ind w:firstLine="0"/>
        <w:jc w:val="left"/>
        <w:rPr>
          <w:rFonts w:ascii="Arial"/>
          <w:b/>
          <w:sz w:val="20"/>
        </w:rPr>
      </w:pPr>
    </w:p>
    <w:p>
      <w:pPr>
        <w:pStyle w:val="Heading3"/>
        <w:numPr>
          <w:ilvl w:val="1"/>
          <w:numId w:val="676"/>
        </w:numPr>
        <w:tabs>
          <w:tab w:pos="1351" w:val="left" w:leader="none"/>
          <w:tab w:pos="1353" w:val="left" w:leader="none"/>
        </w:tabs>
        <w:spacing w:line="240" w:lineRule="auto" w:before="0" w:after="0"/>
        <w:ind w:left="1352" w:right="0" w:hanging="1135"/>
        <w:jc w:val="left"/>
      </w:pPr>
      <w:bookmarkStart w:name="9.8 Transitional Arrangements for Chapte" w:id="2496"/>
      <w:bookmarkEnd w:id="2496"/>
      <w:r>
        <w:rPr>
          <w:b w:val="0"/>
        </w:rPr>
      </w:r>
      <w:bookmarkStart w:name="_bookmark1037" w:id="2497"/>
      <w:bookmarkEnd w:id="2497"/>
      <w:r>
        <w:rPr>
          <w:b w:val="0"/>
        </w:rPr>
      </w:r>
      <w:bookmarkStart w:name="_bookmark1037" w:id="2498"/>
      <w:bookmarkEnd w:id="2498"/>
      <w:r>
        <w:rPr/>
        <w:t>T</w:t>
      </w:r>
      <w:r>
        <w:rPr/>
        <w:t>ransitional Arrangements for Chapter 6 - Network</w:t>
      </w:r>
      <w:r>
        <w:rPr>
          <w:spacing w:val="-8"/>
        </w:rPr>
        <w:t> </w:t>
      </w:r>
      <w:r>
        <w:rPr/>
        <w:t>Pricing</w:t>
      </w:r>
    </w:p>
    <w:p>
      <w:pPr>
        <w:pStyle w:val="Heading4"/>
        <w:numPr>
          <w:ilvl w:val="2"/>
          <w:numId w:val="676"/>
        </w:numPr>
        <w:tabs>
          <w:tab w:pos="1351" w:val="left" w:leader="none"/>
          <w:tab w:pos="1352" w:val="left" w:leader="none"/>
        </w:tabs>
        <w:spacing w:line="240" w:lineRule="auto" w:before="240" w:after="0"/>
        <w:ind w:left="1351" w:right="0" w:hanging="1134"/>
        <w:jc w:val="left"/>
      </w:pPr>
      <w:bookmarkStart w:name="9.8.1 [Deleted]" w:id="2499"/>
      <w:bookmarkEnd w:id="2499"/>
      <w:r>
        <w:rPr>
          <w:b w:val="0"/>
        </w:rPr>
      </w:r>
      <w:bookmarkStart w:name="_bookmark1038" w:id="2500"/>
      <w:bookmarkEnd w:id="2500"/>
      <w:r>
        <w:rPr>
          <w:b w:val="0"/>
        </w:rPr>
      </w:r>
      <w:bookmarkStart w:name="_bookmark1038" w:id="2501"/>
      <w:bookmarkEnd w:id="2501"/>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8.2 [Deleted]" w:id="2502"/>
      <w:bookmarkEnd w:id="2502"/>
      <w:r>
        <w:rPr>
          <w:b w:val="0"/>
        </w:rPr>
      </w:r>
      <w:bookmarkStart w:name="_bookmark1039" w:id="2503"/>
      <w:bookmarkEnd w:id="2503"/>
      <w:r>
        <w:rPr>
          <w:b w:val="0"/>
        </w:rPr>
      </w:r>
      <w:bookmarkStart w:name="_bookmark1039" w:id="2504"/>
      <w:bookmarkEnd w:id="2504"/>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8.3 [Deleted]" w:id="2505"/>
      <w:bookmarkEnd w:id="2505"/>
      <w:r>
        <w:rPr>
          <w:b w:val="0"/>
        </w:rPr>
      </w:r>
      <w:bookmarkStart w:name="_bookmark1040" w:id="2506"/>
      <w:bookmarkEnd w:id="2506"/>
      <w:r>
        <w:rPr>
          <w:b w:val="0"/>
        </w:rPr>
      </w:r>
      <w:bookmarkStart w:name="_bookmark1040" w:id="2507"/>
      <w:bookmarkEnd w:id="2507"/>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8.4 Transmission Network Pricing" w:id="2508"/>
      <w:bookmarkEnd w:id="2508"/>
      <w:r>
        <w:rPr>
          <w:b w:val="0"/>
        </w:rPr>
      </w:r>
      <w:bookmarkStart w:name="_bookmark1041" w:id="2509"/>
      <w:bookmarkEnd w:id="2509"/>
      <w:r>
        <w:rPr>
          <w:b w:val="0"/>
        </w:rPr>
      </w:r>
      <w:bookmarkStart w:name="_bookmark1041" w:id="2510"/>
      <w:bookmarkEnd w:id="2510"/>
      <w:r>
        <w:rPr/>
        <w:t>Transmission</w:t>
      </w:r>
      <w:r>
        <w:rPr/>
        <w:t> Network</w:t>
      </w:r>
      <w:r>
        <w:rPr>
          <w:spacing w:val="-2"/>
        </w:rPr>
        <w:t> </w:t>
      </w:r>
      <w:r>
        <w:rPr/>
        <w:t>Pricing</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Notwithstanding Chapter 6A, in determining </w:t>
      </w:r>
      <w:r>
        <w:rPr>
          <w:i/>
          <w:sz w:val="24"/>
        </w:rPr>
        <w:t>transmission service </w:t>
      </w:r>
      <w:r>
        <w:rPr>
          <w:sz w:val="24"/>
        </w:rPr>
        <w:t>pricing and revenues in respect of the Victorian Transmission Network or a part of the Victorian Transmission Network, the </w:t>
      </w:r>
      <w:r>
        <w:rPr>
          <w:i/>
          <w:sz w:val="24"/>
        </w:rPr>
        <w:t>AER</w:t>
      </w:r>
      <w:r>
        <w:rPr>
          <w:i/>
          <w:spacing w:val="-3"/>
          <w:sz w:val="24"/>
        </w:rPr>
        <w:t> </w:t>
      </w:r>
      <w:r>
        <w:rPr>
          <w:sz w:val="24"/>
        </w:rPr>
        <w:t>must:</w:t>
      </w:r>
    </w:p>
    <w:p>
      <w:pPr>
        <w:pStyle w:val="Heading4"/>
        <w:numPr>
          <w:ilvl w:val="4"/>
          <w:numId w:val="676"/>
        </w:numPr>
        <w:tabs>
          <w:tab w:pos="2547" w:val="left" w:leader="none"/>
        </w:tabs>
        <w:spacing w:line="240" w:lineRule="auto" w:before="120" w:after="0"/>
        <w:ind w:left="2546" w:right="0" w:hanging="628"/>
        <w:jc w:val="both"/>
        <w:rPr>
          <w:rFonts w:ascii="Times New Roman"/>
        </w:rPr>
      </w:pPr>
      <w:r>
        <w:rPr>
          <w:rFonts w:ascii="Times New Roman"/>
        </w:rPr>
        <w:t>[Deleted]</w:t>
      </w:r>
    </w:p>
    <w:p>
      <w:pPr>
        <w:pStyle w:val="ListParagraph"/>
        <w:numPr>
          <w:ilvl w:val="4"/>
          <w:numId w:val="676"/>
        </w:numPr>
        <w:tabs>
          <w:tab w:pos="2547" w:val="left" w:leader="none"/>
        </w:tabs>
        <w:spacing w:line="240" w:lineRule="auto" w:before="120" w:after="0"/>
        <w:ind w:left="2546" w:right="0" w:hanging="628"/>
        <w:jc w:val="both"/>
        <w:rPr>
          <w:b/>
          <w:sz w:val="24"/>
        </w:rPr>
      </w:pPr>
      <w:r>
        <w:rPr>
          <w:b/>
          <w:sz w:val="24"/>
        </w:rPr>
        <w:t>[Deleted]</w:t>
      </w:r>
    </w:p>
    <w:p>
      <w:pPr>
        <w:pStyle w:val="ListParagraph"/>
        <w:numPr>
          <w:ilvl w:val="4"/>
          <w:numId w:val="676"/>
        </w:numPr>
        <w:tabs>
          <w:tab w:pos="2486" w:val="left" w:leader="none"/>
        </w:tabs>
        <w:spacing w:line="240" w:lineRule="auto" w:before="120" w:after="0"/>
        <w:ind w:left="2486" w:right="414" w:hanging="567"/>
        <w:jc w:val="both"/>
        <w:rPr>
          <w:sz w:val="24"/>
        </w:rPr>
      </w:pPr>
      <w:r>
        <w:rPr>
          <w:sz w:val="24"/>
        </w:rPr>
        <w:t>ensure that each Distributor has the benefit or burden of an equalisation adjustment for each </w:t>
      </w:r>
      <w:r>
        <w:rPr>
          <w:i/>
          <w:sz w:val="24"/>
        </w:rPr>
        <w:t>financial year </w:t>
      </w:r>
      <w:r>
        <w:rPr>
          <w:sz w:val="24"/>
        </w:rPr>
        <w:t>equal to the amount of the adjustment specified for that Distributor in the column headed "Equalisation Adjustment" in the following</w:t>
      </w:r>
      <w:r>
        <w:rPr>
          <w:spacing w:val="-5"/>
          <w:sz w:val="24"/>
        </w:rPr>
        <w:t> </w:t>
      </w:r>
      <w:r>
        <w:rPr>
          <w:sz w:val="24"/>
        </w:rPr>
        <w:t>table:</w:t>
      </w:r>
    </w:p>
    <w:p>
      <w:pPr>
        <w:spacing w:after="0" w:line="240" w:lineRule="auto"/>
        <w:jc w:val="both"/>
        <w:rPr>
          <w:sz w:val="24"/>
        </w:rPr>
        <w:sectPr>
          <w:pgSz w:w="11910" w:h="16840"/>
          <w:pgMar w:header="686" w:footer="637" w:top="1320" w:bottom="820" w:left="1200" w:right="1000"/>
        </w:sectPr>
      </w:pPr>
    </w:p>
    <w:p>
      <w:pPr>
        <w:pStyle w:val="BodyText"/>
        <w:spacing w:before="7" w:after="1"/>
        <w:ind w:firstLine="0"/>
        <w:jc w:val="left"/>
        <w:rPr>
          <w:sz w:val="19"/>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7370" w:type="dxa"/>
            <w:gridSpan w:val="2"/>
            <w:tcBorders>
              <w:right w:val="single" w:sz="4" w:space="0" w:color="000000"/>
            </w:tcBorders>
            <w:shd w:val="clear" w:color="auto" w:fill="D9D9D9"/>
          </w:tcPr>
          <w:p>
            <w:pPr>
              <w:pStyle w:val="TableParagraph"/>
              <w:spacing w:line="256" w:lineRule="exact"/>
              <w:ind w:left="3265" w:right="3250"/>
              <w:jc w:val="center"/>
              <w:rPr>
                <w:rFonts w:ascii="Arial"/>
                <w:b/>
                <w:sz w:val="24"/>
              </w:rPr>
            </w:pPr>
            <w:r>
              <w:rPr>
                <w:rFonts w:ascii="Arial"/>
                <w:b/>
                <w:sz w:val="24"/>
              </w:rPr>
              <w:t>TABLE</w:t>
            </w:r>
          </w:p>
        </w:tc>
      </w:tr>
      <w:tr>
        <w:trPr>
          <w:trHeight w:val="791" w:hRule="atLeast"/>
        </w:trPr>
        <w:tc>
          <w:tcPr>
            <w:tcW w:w="3685" w:type="dxa"/>
            <w:tcBorders>
              <w:bottom w:val="single" w:sz="4" w:space="0" w:color="000000"/>
              <w:right w:val="single" w:sz="4" w:space="0" w:color="000000"/>
            </w:tcBorders>
            <w:shd w:val="clear" w:color="auto" w:fill="D9D9D9"/>
          </w:tcPr>
          <w:p>
            <w:pPr>
              <w:pStyle w:val="TableParagraph"/>
              <w:ind w:left="1288" w:right="1274"/>
              <w:jc w:val="center"/>
              <w:rPr>
                <w:rFonts w:ascii="Arial"/>
                <w:b/>
                <w:sz w:val="24"/>
              </w:rPr>
            </w:pPr>
            <w:r>
              <w:rPr>
                <w:rFonts w:ascii="Arial"/>
                <w:b/>
                <w:sz w:val="24"/>
              </w:rPr>
              <w:t>Business</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390" w:lineRule="atLeast" w:before="6"/>
              <w:ind w:left="1032" w:right="401" w:hanging="592"/>
              <w:rPr>
                <w:rFonts w:ascii="Arial"/>
                <w:b/>
                <w:sz w:val="24"/>
              </w:rPr>
            </w:pPr>
            <w:r>
              <w:rPr>
                <w:rFonts w:ascii="Arial"/>
                <w:b/>
                <w:sz w:val="24"/>
              </w:rPr>
              <w:t>Equalisation Adjustment ($'000) Note 2)</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TXU Electricity Ltd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3"/>
              <w:jc w:val="right"/>
              <w:rPr>
                <w:sz w:val="24"/>
              </w:rPr>
            </w:pPr>
            <w:r>
              <w:rPr>
                <w:sz w:val="24"/>
              </w:rPr>
              <w:t>(4,939)</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Powercor Australia Ltd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3"/>
              <w:jc w:val="right"/>
              <w:rPr>
                <w:sz w:val="24"/>
              </w:rPr>
            </w:pPr>
            <w:r>
              <w:rPr>
                <w:sz w:val="24"/>
              </w:rPr>
              <w:t>(19,011)</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AGL Electricity Limited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4"/>
              <w:jc w:val="right"/>
              <w:rPr>
                <w:sz w:val="24"/>
              </w:rPr>
            </w:pPr>
            <w:r>
              <w:rPr>
                <w:sz w:val="24"/>
              </w:rPr>
              <w:t>5,171</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CitiPower Pty Ltd</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4"/>
              <w:jc w:val="right"/>
              <w:rPr>
                <w:sz w:val="24"/>
              </w:rPr>
            </w:pPr>
            <w:r>
              <w:rPr>
                <w:sz w:val="24"/>
              </w:rPr>
              <w:t>5,920</w:t>
            </w:r>
          </w:p>
        </w:tc>
      </w:tr>
      <w:tr>
        <w:trPr>
          <w:trHeight w:val="515" w:hRule="atLeast"/>
        </w:trPr>
        <w:tc>
          <w:tcPr>
            <w:tcW w:w="3685" w:type="dxa"/>
            <w:tcBorders>
              <w:top w:val="single" w:sz="4" w:space="0" w:color="000000"/>
              <w:right w:val="single" w:sz="4" w:space="0" w:color="000000"/>
            </w:tcBorders>
          </w:tcPr>
          <w:p>
            <w:pPr>
              <w:pStyle w:val="TableParagraph"/>
              <w:ind w:left="40"/>
              <w:rPr>
                <w:sz w:val="24"/>
              </w:rPr>
            </w:pPr>
            <w:r>
              <w:rPr>
                <w:sz w:val="24"/>
              </w:rPr>
              <w:t>United Energy Ltd</w:t>
            </w:r>
          </w:p>
        </w:tc>
        <w:tc>
          <w:tcPr>
            <w:tcW w:w="3685" w:type="dxa"/>
            <w:tcBorders>
              <w:top w:val="single" w:sz="4" w:space="0" w:color="000000"/>
              <w:left w:val="single" w:sz="4" w:space="0" w:color="000000"/>
              <w:right w:val="single" w:sz="4" w:space="0" w:color="000000"/>
            </w:tcBorders>
          </w:tcPr>
          <w:p>
            <w:pPr>
              <w:pStyle w:val="TableParagraph"/>
              <w:ind w:left="0" w:right="24"/>
              <w:jc w:val="right"/>
              <w:rPr>
                <w:sz w:val="24"/>
              </w:rPr>
            </w:pPr>
            <w:r>
              <w:rPr>
                <w:sz w:val="24"/>
              </w:rPr>
              <w:t>12,859</w:t>
            </w:r>
          </w:p>
        </w:tc>
      </w:tr>
    </w:tbl>
    <w:p>
      <w:pPr>
        <w:pStyle w:val="BodyText"/>
        <w:spacing w:before="7"/>
        <w:ind w:firstLine="0"/>
        <w:jc w:val="left"/>
        <w:rPr>
          <w:sz w:val="26"/>
        </w:rPr>
      </w:pPr>
    </w:p>
    <w:p>
      <w:pPr>
        <w:pStyle w:val="BodyText"/>
        <w:spacing w:before="90"/>
        <w:ind w:left="1919" w:right="415" w:firstLine="0"/>
        <w:jc w:val="left"/>
      </w:pPr>
      <w:r>
        <w:rPr/>
        <w:t>multiplied by the relevant factor determined in accordance with the following table:</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7370" w:type="dxa"/>
            <w:gridSpan w:val="2"/>
            <w:tcBorders>
              <w:right w:val="single" w:sz="4" w:space="0" w:color="000000"/>
            </w:tcBorders>
            <w:shd w:val="clear" w:color="auto" w:fill="D9D9D9"/>
          </w:tcPr>
          <w:p>
            <w:pPr>
              <w:pStyle w:val="TableParagraph"/>
              <w:spacing w:line="256" w:lineRule="exact"/>
              <w:ind w:left="3265" w:right="3250"/>
              <w:jc w:val="center"/>
              <w:rPr>
                <w:rFonts w:ascii="Arial"/>
                <w:b/>
                <w:sz w:val="24"/>
              </w:rPr>
            </w:pPr>
            <w:r>
              <w:rPr>
                <w:rFonts w:ascii="Arial"/>
                <w:b/>
                <w:sz w:val="24"/>
              </w:rPr>
              <w:t>TABLE</w:t>
            </w:r>
          </w:p>
        </w:tc>
      </w:tr>
      <w:tr>
        <w:trPr>
          <w:trHeight w:val="671" w:hRule="atLeast"/>
        </w:trPr>
        <w:tc>
          <w:tcPr>
            <w:tcW w:w="3685" w:type="dxa"/>
            <w:tcBorders>
              <w:bottom w:val="single" w:sz="4" w:space="0" w:color="000000"/>
              <w:right w:val="single" w:sz="4" w:space="0" w:color="000000"/>
            </w:tcBorders>
            <w:shd w:val="clear" w:color="auto" w:fill="D9D9D9"/>
          </w:tcPr>
          <w:p>
            <w:pPr>
              <w:pStyle w:val="TableParagraph"/>
              <w:spacing w:line="276" w:lineRule="exact" w:before="124"/>
              <w:ind w:left="1222" w:right="1" w:hanging="1121"/>
              <w:rPr>
                <w:rFonts w:ascii="Arial"/>
                <w:b/>
                <w:sz w:val="24"/>
              </w:rPr>
            </w:pPr>
            <w:r>
              <w:rPr>
                <w:rFonts w:ascii="Arial"/>
                <w:b/>
                <w:sz w:val="24"/>
              </w:rPr>
              <w:t>If the </w:t>
            </w:r>
            <w:r>
              <w:rPr>
                <w:rFonts w:ascii="Arial"/>
                <w:b/>
                <w:i/>
                <w:sz w:val="25"/>
              </w:rPr>
              <w:t>financial year </w:t>
            </w:r>
            <w:r>
              <w:rPr>
                <w:rFonts w:ascii="Arial"/>
                <w:b/>
                <w:sz w:val="24"/>
              </w:rPr>
              <w:t>falls within the period:</w:t>
            </w:r>
          </w:p>
        </w:tc>
        <w:tc>
          <w:tcPr>
            <w:tcW w:w="3685" w:type="dxa"/>
            <w:tcBorders>
              <w:left w:val="single" w:sz="4" w:space="0" w:color="000000"/>
              <w:bottom w:val="single" w:sz="4" w:space="0" w:color="000000"/>
              <w:right w:val="single" w:sz="4" w:space="0" w:color="000000"/>
            </w:tcBorders>
            <w:shd w:val="clear" w:color="auto" w:fill="D9D9D9"/>
          </w:tcPr>
          <w:p>
            <w:pPr>
              <w:pStyle w:val="TableParagraph"/>
              <w:ind w:left="347"/>
              <w:rPr>
                <w:rFonts w:ascii="Arial"/>
                <w:b/>
                <w:sz w:val="24"/>
              </w:rPr>
            </w:pPr>
            <w:r>
              <w:rPr>
                <w:rFonts w:ascii="Arial"/>
                <w:b/>
                <w:sz w:val="24"/>
              </w:rPr>
              <w:t>then the relevant factor is:</w:t>
            </w:r>
          </w:p>
        </w:tc>
      </w:tr>
      <w:tr>
        <w:trPr>
          <w:trHeight w:val="511" w:hRule="atLeast"/>
        </w:trPr>
        <w:tc>
          <w:tcPr>
            <w:tcW w:w="3685" w:type="dxa"/>
            <w:tcBorders>
              <w:top w:val="single" w:sz="4" w:space="0" w:color="000000"/>
              <w:bottom w:val="single" w:sz="4" w:space="0" w:color="000000"/>
              <w:right w:val="single" w:sz="4" w:space="0" w:color="000000"/>
            </w:tcBorders>
          </w:tcPr>
          <w:p>
            <w:pPr>
              <w:pStyle w:val="TableParagraph"/>
              <w:spacing w:before="116"/>
              <w:ind w:left="40"/>
              <w:rPr>
                <w:sz w:val="24"/>
              </w:rPr>
            </w:pPr>
            <w:r>
              <w:rPr>
                <w:sz w:val="24"/>
              </w:rPr>
              <w:t>1 July 2001 - 30 June 2005</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spacing w:before="116"/>
              <w:ind w:left="0" w:right="24"/>
              <w:jc w:val="right"/>
              <w:rPr>
                <w:sz w:val="24"/>
              </w:rPr>
            </w:pPr>
            <w:r>
              <w:rPr>
                <w:sz w:val="24"/>
              </w:rPr>
              <w:t>.80</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1 July 2005 - 30 June 2010</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4"/>
              <w:jc w:val="right"/>
              <w:rPr>
                <w:sz w:val="24"/>
              </w:rPr>
            </w:pPr>
            <w:r>
              <w:rPr>
                <w:sz w:val="24"/>
              </w:rPr>
              <w:t>.60</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1 July 2010 - 30 June 2015</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4"/>
              <w:jc w:val="right"/>
              <w:rPr>
                <w:sz w:val="24"/>
              </w:rPr>
            </w:pPr>
            <w:r>
              <w:rPr>
                <w:sz w:val="24"/>
              </w:rPr>
              <w:t>.40</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1 July 2015 - 30 June 2020</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ind w:left="0" w:right="24"/>
              <w:jc w:val="right"/>
              <w:rPr>
                <w:sz w:val="24"/>
              </w:rPr>
            </w:pPr>
            <w:r>
              <w:rPr>
                <w:sz w:val="24"/>
              </w:rPr>
              <w:t>.20</w:t>
            </w:r>
          </w:p>
        </w:tc>
      </w:tr>
      <w:tr>
        <w:trPr>
          <w:trHeight w:val="515" w:hRule="atLeast"/>
        </w:trPr>
        <w:tc>
          <w:tcPr>
            <w:tcW w:w="3685" w:type="dxa"/>
            <w:tcBorders>
              <w:top w:val="single" w:sz="4" w:space="0" w:color="000000"/>
              <w:right w:val="single" w:sz="4" w:space="0" w:color="000000"/>
            </w:tcBorders>
          </w:tcPr>
          <w:p>
            <w:pPr>
              <w:pStyle w:val="TableParagraph"/>
              <w:ind w:left="40"/>
              <w:rPr>
                <w:sz w:val="24"/>
              </w:rPr>
            </w:pPr>
            <w:r>
              <w:rPr>
                <w:sz w:val="24"/>
              </w:rPr>
              <w:t>thereafter</w:t>
            </w:r>
          </w:p>
        </w:tc>
        <w:tc>
          <w:tcPr>
            <w:tcW w:w="3685" w:type="dxa"/>
            <w:tcBorders>
              <w:top w:val="single" w:sz="4" w:space="0" w:color="000000"/>
              <w:left w:val="single" w:sz="4" w:space="0" w:color="000000"/>
              <w:right w:val="single" w:sz="4" w:space="0" w:color="000000"/>
            </w:tcBorders>
          </w:tcPr>
          <w:p>
            <w:pPr>
              <w:pStyle w:val="TableParagraph"/>
              <w:ind w:left="0" w:right="24"/>
              <w:jc w:val="right"/>
              <w:rPr>
                <w:sz w:val="24"/>
              </w:rPr>
            </w:pPr>
            <w:r>
              <w:rPr>
                <w:sz w:val="24"/>
              </w:rPr>
              <w:t>0</w:t>
            </w:r>
          </w:p>
        </w:tc>
      </w:tr>
    </w:tbl>
    <w:p>
      <w:pPr>
        <w:pStyle w:val="BodyText"/>
        <w:spacing w:before="5"/>
        <w:ind w:firstLine="0"/>
        <w:jc w:val="left"/>
        <w:rPr>
          <w:sz w:val="34"/>
        </w:rPr>
      </w:pPr>
    </w:p>
    <w:p>
      <w:pPr>
        <w:pStyle w:val="ListParagraph"/>
        <w:numPr>
          <w:ilvl w:val="3"/>
          <w:numId w:val="676"/>
        </w:numPr>
        <w:tabs>
          <w:tab w:pos="1919" w:val="left" w:leader="none"/>
        </w:tabs>
        <w:spacing w:line="240" w:lineRule="auto" w:before="0" w:after="0"/>
        <w:ind w:left="1919" w:right="414" w:hanging="567"/>
        <w:jc w:val="both"/>
        <w:rPr>
          <w:sz w:val="24"/>
        </w:rPr>
      </w:pPr>
      <w:r>
        <w:rPr>
          <w:i/>
          <w:sz w:val="24"/>
        </w:rPr>
        <w:t>AEMO </w:t>
      </w:r>
      <w:r>
        <w:rPr>
          <w:sz w:val="24"/>
        </w:rPr>
        <w:t>must, in allocating revenue to be recovered from each </w:t>
      </w:r>
      <w:r>
        <w:rPr>
          <w:i/>
          <w:sz w:val="24"/>
        </w:rPr>
        <w:t>Distributor </w:t>
      </w:r>
      <w:r>
        <w:rPr>
          <w:sz w:val="24"/>
        </w:rPr>
        <w:t>to which it provides </w:t>
      </w:r>
      <w:r>
        <w:rPr>
          <w:i/>
          <w:sz w:val="24"/>
        </w:rPr>
        <w:t>prescribed TUOS services </w:t>
      </w:r>
      <w:r>
        <w:rPr>
          <w:sz w:val="24"/>
        </w:rPr>
        <w:t>and </w:t>
      </w:r>
      <w:r>
        <w:rPr>
          <w:i/>
          <w:sz w:val="24"/>
        </w:rPr>
        <w:t>prescribed common </w:t>
      </w:r>
      <w:r>
        <w:rPr>
          <w:i/>
          <w:sz w:val="24"/>
        </w:rPr>
        <w:t>transmission services </w:t>
      </w:r>
      <w:r>
        <w:rPr>
          <w:sz w:val="24"/>
        </w:rPr>
        <w:t>by means of, or in connection with a </w:t>
      </w:r>
      <w:r>
        <w:rPr>
          <w:i/>
          <w:sz w:val="24"/>
        </w:rPr>
        <w:t>declared shared </w:t>
      </w:r>
      <w:r>
        <w:rPr>
          <w:i/>
          <w:sz w:val="24"/>
        </w:rPr>
        <w:t>network </w:t>
      </w:r>
      <w:r>
        <w:rPr>
          <w:sz w:val="24"/>
        </w:rPr>
        <w:t>in each </w:t>
      </w:r>
      <w:r>
        <w:rPr>
          <w:i/>
          <w:sz w:val="24"/>
        </w:rPr>
        <w:t>financial year </w:t>
      </w:r>
      <w:r>
        <w:rPr>
          <w:sz w:val="24"/>
        </w:rPr>
        <w:t>of a </w:t>
      </w:r>
      <w:r>
        <w:rPr>
          <w:i/>
          <w:sz w:val="24"/>
        </w:rPr>
        <w:t>relevant regulatory period</w:t>
      </w:r>
      <w:r>
        <w:rPr>
          <w:sz w:val="24"/>
        </w:rPr>
        <w:t>, adjust the allocation in accordance with paragraph</w:t>
      </w:r>
      <w:r>
        <w:rPr>
          <w:spacing w:val="-2"/>
          <w:sz w:val="24"/>
        </w:rPr>
        <w:t> </w:t>
      </w:r>
      <w:r>
        <w:rPr>
          <w:sz w:val="24"/>
        </w:rPr>
        <w:t>(a)(3).</w:t>
      </w:r>
    </w:p>
    <w:p>
      <w:pPr>
        <w:spacing w:after="0" w:line="240" w:lineRule="auto"/>
        <w:jc w:val="both"/>
        <w:rPr>
          <w:sz w:val="24"/>
        </w:rPr>
        <w:sectPr>
          <w:pgSz w:w="11910" w:h="16840"/>
          <w:pgMar w:header="686" w:footer="637" w:top="1320" w:bottom="820" w:left="1200" w:right="1000"/>
        </w:sectPr>
      </w:pPr>
    </w:p>
    <w:p>
      <w:pPr>
        <w:pStyle w:val="Heading4"/>
        <w:spacing w:line="448" w:lineRule="auto" w:before="83"/>
        <w:ind w:left="218" w:right="7326" w:firstLine="0"/>
        <w:jc w:val="both"/>
      </w:pPr>
      <w:bookmarkStart w:name="9.8.4A [Deleted]" w:id="2511"/>
      <w:bookmarkEnd w:id="2511"/>
      <w:r>
        <w:rPr>
          <w:b w:val="0"/>
        </w:rPr>
      </w:r>
      <w:bookmarkStart w:name="_bookmark1042" w:id="2512"/>
      <w:bookmarkEnd w:id="2512"/>
      <w:r>
        <w:rPr>
          <w:b w:val="0"/>
        </w:rPr>
      </w:r>
      <w:r>
        <w:rPr/>
        <w:t>9.8.4A [Deleted]</w:t>
      </w:r>
      <w:bookmarkStart w:name="9.8.4B [Deleted]" w:id="2513"/>
      <w:bookmarkEnd w:id="2513"/>
      <w:r>
        <w:rPr/>
      </w:r>
      <w:bookmarkStart w:name="_bookmark1043" w:id="2514"/>
      <w:bookmarkEnd w:id="2514"/>
      <w:r>
        <w:rPr/>
      </w:r>
      <w:r>
        <w:rPr/>
        <w:t> 9.8.4B [Deleted]</w:t>
      </w:r>
      <w:bookmarkStart w:name="9.8.4C [Deleted]" w:id="2515"/>
      <w:bookmarkEnd w:id="2515"/>
      <w:r>
        <w:rPr/>
      </w:r>
      <w:bookmarkStart w:name="_bookmark1044" w:id="2516"/>
      <w:bookmarkEnd w:id="2516"/>
      <w:r>
        <w:rPr/>
      </w:r>
      <w:r>
        <w:rPr/>
        <w:t> 9.8.4C [Deleted]</w:t>
      </w:r>
      <w:bookmarkStart w:name="9.8.4D [Deleted]" w:id="2517"/>
      <w:bookmarkEnd w:id="2517"/>
      <w:r>
        <w:rPr/>
      </w:r>
      <w:bookmarkStart w:name="_bookmark1045" w:id="2518"/>
      <w:bookmarkEnd w:id="2518"/>
      <w:r>
        <w:rPr/>
      </w:r>
      <w:r>
        <w:rPr/>
        <w:t> 9.8.4D [Deleted]</w:t>
      </w:r>
      <w:bookmarkStart w:name="9.8.4E [Deleted]" w:id="2519"/>
      <w:bookmarkEnd w:id="2519"/>
      <w:r>
        <w:rPr/>
      </w:r>
      <w:bookmarkStart w:name="_bookmark1046" w:id="2520"/>
      <w:bookmarkEnd w:id="2520"/>
      <w:r>
        <w:rPr/>
      </w:r>
      <w:r>
        <w:rPr/>
        <w:t> 9.8.4E [Deleted]</w:t>
      </w:r>
    </w:p>
    <w:p>
      <w:pPr>
        <w:pStyle w:val="ListParagraph"/>
        <w:numPr>
          <w:ilvl w:val="2"/>
          <w:numId w:val="677"/>
        </w:numPr>
        <w:tabs>
          <w:tab w:pos="753" w:val="left" w:leader="none"/>
        </w:tabs>
        <w:spacing w:line="448" w:lineRule="auto" w:before="0" w:after="0"/>
        <w:ind w:left="218" w:right="7326" w:firstLine="0"/>
        <w:jc w:val="both"/>
        <w:rPr>
          <w:rFonts w:ascii="Arial"/>
          <w:b/>
          <w:sz w:val="24"/>
        </w:rPr>
      </w:pPr>
      <w:bookmarkStart w:name="9.8.4F [Deleted]" w:id="2521"/>
      <w:bookmarkEnd w:id="2521"/>
      <w:r>
        <w:rPr/>
      </w:r>
      <w:bookmarkStart w:name="_bookmark1047" w:id="2522"/>
      <w:bookmarkEnd w:id="2522"/>
      <w:r>
        <w:rPr/>
      </w:r>
      <w:bookmarkStart w:name="_bookmark1047" w:id="2523"/>
      <w:bookmarkEnd w:id="2523"/>
      <w:r>
        <w:rPr>
          <w:rFonts w:ascii="Arial"/>
          <w:b/>
          <w:sz w:val="24"/>
        </w:rPr>
        <w:t>F</w:t>
      </w:r>
      <w:r>
        <w:rPr>
          <w:rFonts w:ascii="Arial"/>
          <w:b/>
          <w:sz w:val="24"/>
        </w:rPr>
        <w:t> [Deleted]</w:t>
      </w:r>
      <w:bookmarkStart w:name="9.8.4G [Deleted]" w:id="2524"/>
      <w:bookmarkEnd w:id="2524"/>
      <w:r>
        <w:rPr>
          <w:rFonts w:ascii="Arial"/>
          <w:b/>
          <w:sz w:val="24"/>
        </w:rPr>
      </w:r>
      <w:bookmarkStart w:name="_bookmark1048" w:id="2525"/>
      <w:bookmarkEnd w:id="2525"/>
      <w:r>
        <w:rPr>
          <w:rFonts w:ascii="Arial"/>
          <w:b/>
          <w:sz w:val="24"/>
        </w:rPr>
      </w:r>
      <w:r>
        <w:rPr>
          <w:rFonts w:ascii="Arial"/>
          <w:b/>
          <w:sz w:val="24"/>
        </w:rPr>
        <w:t> 9.8.4G</w:t>
      </w:r>
      <w:r>
        <w:rPr>
          <w:rFonts w:ascii="Arial"/>
          <w:b/>
          <w:spacing w:val="63"/>
          <w:sz w:val="24"/>
        </w:rPr>
        <w:t> </w:t>
      </w:r>
      <w:r>
        <w:rPr>
          <w:rFonts w:ascii="Arial"/>
          <w:b/>
          <w:sz w:val="24"/>
        </w:rPr>
        <w:t>[Deleted]</w:t>
      </w:r>
    </w:p>
    <w:p>
      <w:pPr>
        <w:pStyle w:val="Heading4"/>
        <w:numPr>
          <w:ilvl w:val="2"/>
          <w:numId w:val="677"/>
        </w:numPr>
        <w:tabs>
          <w:tab w:pos="1352" w:val="left" w:leader="none"/>
        </w:tabs>
        <w:spacing w:line="240" w:lineRule="auto" w:before="0" w:after="0"/>
        <w:ind w:left="1351" w:right="0" w:hanging="1134"/>
        <w:jc w:val="both"/>
      </w:pPr>
      <w:bookmarkStart w:name="9.8.5 [Deleted]" w:id="2526"/>
      <w:bookmarkEnd w:id="2526"/>
      <w:r>
        <w:rPr>
          <w:b w:val="0"/>
        </w:rPr>
      </w:r>
      <w:bookmarkStart w:name="_bookmark1049" w:id="2527"/>
      <w:bookmarkEnd w:id="2527"/>
      <w:r>
        <w:rPr>
          <w:b w:val="0"/>
        </w:rPr>
      </w:r>
      <w:bookmarkStart w:name="_bookmark1049" w:id="2528"/>
      <w:bookmarkEnd w:id="2528"/>
      <w:r>
        <w:rPr/>
        <w:t>[Deleted]</w:t>
      </w:r>
    </w:p>
    <w:p>
      <w:pPr>
        <w:pStyle w:val="BodyText"/>
        <w:spacing w:before="9"/>
        <w:ind w:firstLine="0"/>
        <w:jc w:val="left"/>
        <w:rPr>
          <w:rFonts w:ascii="Arial"/>
          <w:b/>
          <w:sz w:val="20"/>
        </w:rPr>
      </w:pPr>
    </w:p>
    <w:p>
      <w:pPr>
        <w:pStyle w:val="Heading4"/>
        <w:numPr>
          <w:ilvl w:val="2"/>
          <w:numId w:val="677"/>
        </w:numPr>
        <w:tabs>
          <w:tab w:pos="1352" w:val="left" w:leader="none"/>
        </w:tabs>
        <w:spacing w:line="240" w:lineRule="auto" w:before="1" w:after="0"/>
        <w:ind w:left="1351" w:right="0" w:hanging="1134"/>
        <w:jc w:val="both"/>
      </w:pPr>
      <w:bookmarkStart w:name="9.8.6 [Deleted]" w:id="2529"/>
      <w:bookmarkEnd w:id="2529"/>
      <w:r>
        <w:rPr>
          <w:b w:val="0"/>
        </w:rPr>
      </w:r>
      <w:bookmarkStart w:name="_bookmark1050" w:id="2530"/>
      <w:bookmarkEnd w:id="2530"/>
      <w:r>
        <w:rPr>
          <w:b w:val="0"/>
        </w:rPr>
      </w:r>
      <w:bookmarkStart w:name="_bookmark1050" w:id="2531"/>
      <w:bookmarkEnd w:id="2531"/>
      <w:r>
        <w:rPr/>
        <w:t>[Deleted]</w:t>
      </w:r>
    </w:p>
    <w:p>
      <w:pPr>
        <w:pStyle w:val="BodyText"/>
        <w:spacing w:before="9"/>
        <w:ind w:firstLine="0"/>
        <w:jc w:val="left"/>
        <w:rPr>
          <w:rFonts w:ascii="Arial"/>
          <w:b/>
          <w:sz w:val="20"/>
        </w:rPr>
      </w:pPr>
    </w:p>
    <w:p>
      <w:pPr>
        <w:pStyle w:val="ListParagraph"/>
        <w:numPr>
          <w:ilvl w:val="2"/>
          <w:numId w:val="677"/>
        </w:numPr>
        <w:tabs>
          <w:tab w:pos="1351" w:val="left" w:leader="none"/>
          <w:tab w:pos="1352" w:val="left" w:leader="none"/>
        </w:tabs>
        <w:spacing w:line="240" w:lineRule="auto" w:before="1" w:after="0"/>
        <w:ind w:left="1352" w:right="1138" w:hanging="1134"/>
        <w:jc w:val="left"/>
        <w:rPr>
          <w:rFonts w:ascii="Arial" w:hAnsi="Arial"/>
          <w:b/>
          <w:sz w:val="24"/>
        </w:rPr>
      </w:pPr>
      <w:bookmarkStart w:name="9.8.7 Distribution network pricing – tra" w:id="2532"/>
      <w:bookmarkEnd w:id="2532"/>
      <w:r>
        <w:rPr/>
      </w:r>
      <w:bookmarkStart w:name="_bookmark1051" w:id="2533"/>
      <w:bookmarkEnd w:id="2533"/>
      <w:r>
        <w:rPr/>
      </w:r>
      <w:bookmarkStart w:name="_bookmark1051" w:id="2534"/>
      <w:bookmarkEnd w:id="2534"/>
      <w:r>
        <w:rPr>
          <w:rFonts w:ascii="Arial" w:hAnsi="Arial"/>
          <w:b/>
          <w:sz w:val="24"/>
        </w:rPr>
        <w:t>Distributio</w:t>
      </w:r>
      <w:r>
        <w:rPr>
          <w:rFonts w:ascii="Arial" w:hAnsi="Arial"/>
          <w:b/>
          <w:sz w:val="24"/>
        </w:rPr>
        <w:t>n network pricing – transitional application of former Chapter</w:t>
      </w:r>
      <w:r>
        <w:rPr>
          <w:rFonts w:ascii="Arial" w:hAnsi="Arial"/>
          <w:b/>
          <w:spacing w:val="-2"/>
          <w:sz w:val="24"/>
        </w:rPr>
        <w:t> </w:t>
      </w:r>
      <w:r>
        <w:rPr>
          <w:rFonts w:ascii="Arial" w:hAnsi="Arial"/>
          <w:b/>
          <w:sz w:val="24"/>
        </w:rPr>
        <w:t>6</w:t>
      </w:r>
    </w:p>
    <w:p>
      <w:pPr>
        <w:pStyle w:val="ListParagraph"/>
        <w:numPr>
          <w:ilvl w:val="3"/>
          <w:numId w:val="677"/>
        </w:numPr>
        <w:tabs>
          <w:tab w:pos="1919" w:val="left" w:leader="none"/>
        </w:tabs>
        <w:spacing w:line="240" w:lineRule="auto" w:before="120" w:after="0"/>
        <w:ind w:left="1919" w:right="414" w:hanging="567"/>
        <w:jc w:val="both"/>
        <w:rPr>
          <w:sz w:val="24"/>
        </w:rPr>
      </w:pPr>
      <w:r>
        <w:rPr>
          <w:sz w:val="24"/>
        </w:rPr>
        <w:t>Subject to this clause, the former Chapter 6 continues to apply in relation to Victorian distribution networks during the transitional</w:t>
      </w:r>
      <w:r>
        <w:rPr>
          <w:spacing w:val="-3"/>
          <w:sz w:val="24"/>
        </w:rPr>
        <w:t> </w:t>
      </w:r>
      <w:r>
        <w:rPr>
          <w:sz w:val="24"/>
        </w:rPr>
        <w:t>period.</w:t>
      </w:r>
    </w:p>
    <w:p>
      <w:pPr>
        <w:pStyle w:val="ListParagraph"/>
        <w:numPr>
          <w:ilvl w:val="3"/>
          <w:numId w:val="677"/>
        </w:numPr>
        <w:tabs>
          <w:tab w:pos="1919" w:val="left" w:leader="none"/>
        </w:tabs>
        <w:spacing w:line="240" w:lineRule="auto" w:before="120" w:after="0"/>
        <w:ind w:left="1919" w:right="414" w:hanging="567"/>
        <w:jc w:val="both"/>
        <w:rPr>
          <w:sz w:val="24"/>
        </w:rPr>
      </w:pPr>
      <w:r>
        <w:rPr>
          <w:sz w:val="24"/>
        </w:rPr>
        <w:t>The appropriate regulator has the powers and functions of the </w:t>
      </w:r>
      <w:r>
        <w:rPr>
          <w:i/>
          <w:sz w:val="24"/>
        </w:rPr>
        <w:t>Jurisdictional </w:t>
      </w:r>
      <w:r>
        <w:rPr>
          <w:i/>
          <w:sz w:val="24"/>
        </w:rPr>
        <w:t>Regulator </w:t>
      </w:r>
      <w:r>
        <w:rPr>
          <w:sz w:val="24"/>
        </w:rPr>
        <w:t>under the former Chapter 6 as if appointed for Victoria as the </w:t>
      </w:r>
      <w:r>
        <w:rPr>
          <w:i/>
          <w:sz w:val="24"/>
        </w:rPr>
        <w:t>Jurisdictional Regulator </w:t>
      </w:r>
      <w:r>
        <w:rPr>
          <w:sz w:val="24"/>
        </w:rPr>
        <w:t>for the purposes of clause 6.2.1(b) of the former Chapter 6.</w:t>
      </w:r>
    </w:p>
    <w:p>
      <w:pPr>
        <w:pStyle w:val="ListParagraph"/>
        <w:numPr>
          <w:ilvl w:val="3"/>
          <w:numId w:val="677"/>
        </w:numPr>
        <w:tabs>
          <w:tab w:pos="1919" w:val="left" w:leader="none"/>
        </w:tabs>
        <w:spacing w:line="240" w:lineRule="auto" w:before="120" w:after="0"/>
        <w:ind w:left="1919" w:right="415" w:hanging="567"/>
        <w:jc w:val="both"/>
        <w:rPr>
          <w:sz w:val="24"/>
        </w:rPr>
      </w:pPr>
      <w:r>
        <w:rPr>
          <w:sz w:val="24"/>
        </w:rPr>
        <w:t>The following apply only to the extent they are consistent with clause 2.1 of the </w:t>
      </w:r>
      <w:r>
        <w:rPr>
          <w:i/>
          <w:sz w:val="24"/>
        </w:rPr>
        <w:t>Tariff</w:t>
      </w:r>
      <w:r>
        <w:rPr>
          <w:i/>
          <w:spacing w:val="-2"/>
          <w:sz w:val="24"/>
        </w:rPr>
        <w:t> </w:t>
      </w:r>
      <w:r>
        <w:rPr>
          <w:i/>
          <w:sz w:val="24"/>
        </w:rPr>
        <w:t>Order</w:t>
      </w:r>
      <w:r>
        <w:rPr>
          <w:sz w:val="24"/>
        </w:rPr>
        <w:t>:</w:t>
      </w:r>
    </w:p>
    <w:p>
      <w:pPr>
        <w:pStyle w:val="ListParagraph"/>
        <w:numPr>
          <w:ilvl w:val="4"/>
          <w:numId w:val="677"/>
        </w:numPr>
        <w:tabs>
          <w:tab w:pos="2486" w:val="left" w:leader="none"/>
        </w:tabs>
        <w:spacing w:line="240" w:lineRule="auto" w:before="120" w:after="0"/>
        <w:ind w:left="2486" w:right="415" w:hanging="567"/>
        <w:jc w:val="both"/>
        <w:rPr>
          <w:sz w:val="24"/>
        </w:rPr>
      </w:pPr>
      <w:r>
        <w:rPr>
          <w:sz w:val="24"/>
        </w:rPr>
        <w:t>national guidelines for </w:t>
      </w:r>
      <w:r>
        <w:rPr>
          <w:i/>
          <w:sz w:val="24"/>
        </w:rPr>
        <w:t>distribution service </w:t>
      </w:r>
      <w:r>
        <w:rPr>
          <w:sz w:val="24"/>
        </w:rPr>
        <w:t>pricing (so far as  applicable to Victorian distribution networks) formulated under clause 6.2.1(c) of the former Chapter</w:t>
      </w:r>
      <w:r>
        <w:rPr>
          <w:spacing w:val="-2"/>
          <w:sz w:val="24"/>
        </w:rPr>
        <w:t> </w:t>
      </w:r>
      <w:r>
        <w:rPr>
          <w:sz w:val="24"/>
        </w:rPr>
        <w:t>6;</w:t>
      </w:r>
    </w:p>
    <w:p>
      <w:pPr>
        <w:pStyle w:val="ListParagraph"/>
        <w:numPr>
          <w:ilvl w:val="4"/>
          <w:numId w:val="677"/>
        </w:numPr>
        <w:tabs>
          <w:tab w:pos="2486" w:val="left" w:leader="none"/>
        </w:tabs>
        <w:spacing w:line="240" w:lineRule="auto" w:before="120" w:after="0"/>
        <w:ind w:left="2486" w:right="416" w:hanging="567"/>
        <w:jc w:val="both"/>
        <w:rPr>
          <w:sz w:val="24"/>
        </w:rPr>
      </w:pPr>
      <w:r>
        <w:rPr>
          <w:sz w:val="24"/>
        </w:rPr>
        <w:t>guidelines and rules formulated for Victoria under clause 6.2.1(f) of the former Chapter</w:t>
      </w:r>
      <w:r>
        <w:rPr>
          <w:spacing w:val="-1"/>
          <w:sz w:val="24"/>
        </w:rPr>
        <w:t> </w:t>
      </w:r>
      <w:r>
        <w:rPr>
          <w:sz w:val="24"/>
        </w:rPr>
        <w:t>6,</w:t>
      </w:r>
    </w:p>
    <w:p>
      <w:pPr>
        <w:pStyle w:val="ListParagraph"/>
        <w:numPr>
          <w:ilvl w:val="3"/>
          <w:numId w:val="677"/>
        </w:numPr>
        <w:tabs>
          <w:tab w:pos="1919" w:val="left" w:leader="none"/>
        </w:tabs>
        <w:spacing w:line="240" w:lineRule="auto" w:before="120" w:after="0"/>
        <w:ind w:left="1919" w:right="415" w:hanging="567"/>
        <w:jc w:val="both"/>
        <w:rPr>
          <w:sz w:val="24"/>
        </w:rPr>
      </w:pPr>
      <w:r>
        <w:rPr>
          <w:sz w:val="24"/>
        </w:rPr>
        <w:t>The arrangements outlined in Parts D and E of the former Chapter 6 must also be applied by the appropriate regulator subject to clause 2.1 of the </w:t>
      </w:r>
      <w:r>
        <w:rPr>
          <w:i/>
          <w:sz w:val="24"/>
        </w:rPr>
        <w:t>Tariff</w:t>
      </w:r>
      <w:r>
        <w:rPr>
          <w:i/>
          <w:spacing w:val="-2"/>
          <w:sz w:val="24"/>
        </w:rPr>
        <w:t> </w:t>
      </w:r>
      <w:r>
        <w:rPr>
          <w:i/>
          <w:sz w:val="24"/>
        </w:rPr>
        <w:t>Order</w:t>
      </w:r>
      <w:r>
        <w:rPr>
          <w:sz w:val="24"/>
        </w:rPr>
        <w:t>.</w:t>
      </w:r>
    </w:p>
    <w:p>
      <w:pPr>
        <w:pStyle w:val="ListParagraph"/>
        <w:numPr>
          <w:ilvl w:val="3"/>
          <w:numId w:val="677"/>
        </w:numPr>
        <w:tabs>
          <w:tab w:pos="1919" w:val="left" w:leader="none"/>
        </w:tabs>
        <w:spacing w:line="240" w:lineRule="auto" w:before="120" w:after="0"/>
        <w:ind w:left="1919" w:right="416" w:hanging="567"/>
        <w:jc w:val="both"/>
        <w:rPr>
          <w:sz w:val="24"/>
        </w:rPr>
      </w:pPr>
      <w:r>
        <w:rPr>
          <w:sz w:val="24"/>
        </w:rPr>
        <w:t>The value of sunk assets determined under clause 6.2.3(e)(5)(ii) of the former Chapter 6 must be consistent with clause 2.1 of the </w:t>
      </w:r>
      <w:r>
        <w:rPr>
          <w:i/>
          <w:sz w:val="24"/>
        </w:rPr>
        <w:t>Tariff</w:t>
      </w:r>
      <w:r>
        <w:rPr>
          <w:i/>
          <w:spacing w:val="-8"/>
          <w:sz w:val="24"/>
        </w:rPr>
        <w:t> </w:t>
      </w:r>
      <w:r>
        <w:rPr>
          <w:i/>
          <w:sz w:val="24"/>
        </w:rPr>
        <w:t>Order</w:t>
      </w:r>
      <w:r>
        <w:rPr>
          <w:sz w:val="24"/>
        </w:rPr>
        <w:t>.</w:t>
      </w:r>
    </w:p>
    <w:p>
      <w:pPr>
        <w:pStyle w:val="ListParagraph"/>
        <w:numPr>
          <w:ilvl w:val="3"/>
          <w:numId w:val="677"/>
        </w:numPr>
        <w:tabs>
          <w:tab w:pos="1920" w:val="left" w:leader="none"/>
        </w:tabs>
        <w:spacing w:line="240" w:lineRule="auto" w:before="120" w:after="0"/>
        <w:ind w:left="1919" w:right="416" w:hanging="567"/>
        <w:jc w:val="both"/>
        <w:rPr>
          <w:sz w:val="24"/>
        </w:rPr>
      </w:pPr>
      <w:r>
        <w:rPr>
          <w:sz w:val="24"/>
        </w:rPr>
        <w:t>In regulating </w:t>
      </w:r>
      <w:r>
        <w:rPr>
          <w:i/>
          <w:sz w:val="24"/>
        </w:rPr>
        <w:t>distribution service </w:t>
      </w:r>
      <w:r>
        <w:rPr>
          <w:sz w:val="24"/>
        </w:rPr>
        <w:t>pricing for a Victorian distribution network:</w:t>
      </w:r>
    </w:p>
    <w:p>
      <w:pPr>
        <w:pStyle w:val="ListParagraph"/>
        <w:numPr>
          <w:ilvl w:val="4"/>
          <w:numId w:val="677"/>
        </w:numPr>
        <w:tabs>
          <w:tab w:pos="2486" w:val="left" w:leader="none"/>
        </w:tabs>
        <w:spacing w:line="240" w:lineRule="auto" w:before="120" w:after="0"/>
        <w:ind w:left="2486" w:right="415" w:hanging="567"/>
        <w:jc w:val="both"/>
        <w:rPr>
          <w:sz w:val="24"/>
        </w:rPr>
      </w:pPr>
      <w:r>
        <w:rPr>
          <w:sz w:val="24"/>
        </w:rPr>
        <w:t>the appropriate regulator must specify explicit price capping as the form of economic regulation to be applied in accordance with clause 6.2.5(b) of the former Chapter 6;</w:t>
      </w:r>
      <w:r>
        <w:rPr>
          <w:spacing w:val="-1"/>
          <w:sz w:val="24"/>
        </w:rPr>
        <w:t> </w:t>
      </w:r>
      <w:r>
        <w:rPr>
          <w:sz w:val="24"/>
        </w:rPr>
        <w:t>and</w:t>
      </w:r>
    </w:p>
    <w:p>
      <w:pPr>
        <w:pStyle w:val="ListParagraph"/>
        <w:numPr>
          <w:ilvl w:val="4"/>
          <w:numId w:val="677"/>
        </w:numPr>
        <w:tabs>
          <w:tab w:pos="2486" w:val="left" w:leader="none"/>
        </w:tabs>
        <w:spacing w:line="240" w:lineRule="auto" w:before="120" w:after="0"/>
        <w:ind w:left="2486" w:right="415" w:hanging="567"/>
        <w:jc w:val="both"/>
        <w:rPr>
          <w:sz w:val="24"/>
        </w:rPr>
      </w:pPr>
      <w:r>
        <w:rPr>
          <w:sz w:val="24"/>
        </w:rPr>
        <w:t>the appropriate regulator must comply with clause 2.1 of the </w:t>
      </w:r>
      <w:r>
        <w:rPr>
          <w:i/>
          <w:sz w:val="24"/>
        </w:rPr>
        <w:t>Tariff </w:t>
      </w:r>
      <w:r>
        <w:rPr>
          <w:i/>
          <w:sz w:val="24"/>
        </w:rPr>
        <w:t>Order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677"/>
        </w:numPr>
        <w:tabs>
          <w:tab w:pos="1919" w:val="left" w:leader="none"/>
        </w:tabs>
        <w:spacing w:line="240" w:lineRule="auto" w:before="83" w:after="0"/>
        <w:ind w:left="1919" w:right="415" w:hanging="567"/>
        <w:jc w:val="both"/>
        <w:rPr>
          <w:sz w:val="24"/>
        </w:rPr>
      </w:pPr>
      <w:r>
        <w:rPr>
          <w:sz w:val="24"/>
        </w:rPr>
        <w:t>Neither this clause, nor the provisions of former Chapter 6 as continued in force by this clause, are relevant to a distribution determination that is to have effect after the end of the transitional</w:t>
      </w:r>
      <w:r>
        <w:rPr>
          <w:spacing w:val="-1"/>
          <w:sz w:val="24"/>
        </w:rPr>
        <w:t> </w:t>
      </w:r>
      <w:r>
        <w:rPr>
          <w:sz w:val="24"/>
        </w:rPr>
        <w:t>period.</w:t>
      </w:r>
    </w:p>
    <w:p>
      <w:pPr>
        <w:pStyle w:val="ListParagraph"/>
        <w:numPr>
          <w:ilvl w:val="3"/>
          <w:numId w:val="677"/>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clause:</w:t>
      </w:r>
    </w:p>
    <w:p>
      <w:pPr>
        <w:spacing w:before="120"/>
        <w:ind w:left="1919" w:right="0" w:firstLine="0"/>
        <w:jc w:val="both"/>
        <w:rPr>
          <w:sz w:val="24"/>
        </w:rPr>
      </w:pPr>
      <w:r>
        <w:rPr>
          <w:b/>
          <w:sz w:val="24"/>
        </w:rPr>
        <w:t>appropriate regulator</w:t>
      </w:r>
      <w:r>
        <w:rPr>
          <w:b/>
          <w:spacing w:val="59"/>
          <w:sz w:val="24"/>
        </w:rPr>
        <w:t> </w:t>
      </w:r>
      <w:r>
        <w:rPr>
          <w:sz w:val="24"/>
        </w:rPr>
        <w:t>means:</w:t>
      </w:r>
    </w:p>
    <w:p>
      <w:pPr>
        <w:pStyle w:val="ListParagraph"/>
        <w:numPr>
          <w:ilvl w:val="4"/>
          <w:numId w:val="677"/>
        </w:numPr>
        <w:tabs>
          <w:tab w:pos="2486" w:val="left" w:leader="none"/>
        </w:tabs>
        <w:spacing w:line="240" w:lineRule="auto" w:before="120" w:after="0"/>
        <w:ind w:left="2485" w:right="0" w:hanging="567"/>
        <w:jc w:val="both"/>
        <w:rPr>
          <w:i/>
          <w:sz w:val="24"/>
        </w:rPr>
      </w:pPr>
      <w:r>
        <w:rPr>
          <w:sz w:val="24"/>
        </w:rPr>
        <w:t>if</w:t>
      </w:r>
      <w:r>
        <w:rPr>
          <w:spacing w:val="31"/>
          <w:sz w:val="24"/>
        </w:rPr>
        <w:t> </w:t>
      </w:r>
      <w:r>
        <w:rPr>
          <w:sz w:val="24"/>
        </w:rPr>
        <w:t>there</w:t>
      </w:r>
      <w:r>
        <w:rPr>
          <w:spacing w:val="32"/>
          <w:sz w:val="24"/>
        </w:rPr>
        <w:t> </w:t>
      </w:r>
      <w:r>
        <w:rPr>
          <w:sz w:val="24"/>
        </w:rPr>
        <w:t>has</w:t>
      </w:r>
      <w:r>
        <w:rPr>
          <w:spacing w:val="31"/>
          <w:sz w:val="24"/>
        </w:rPr>
        <w:t> </w:t>
      </w:r>
      <w:r>
        <w:rPr>
          <w:sz w:val="24"/>
        </w:rPr>
        <w:t>been</w:t>
      </w:r>
      <w:r>
        <w:rPr>
          <w:spacing w:val="32"/>
          <w:sz w:val="24"/>
        </w:rPr>
        <w:t> </w:t>
      </w:r>
      <w:r>
        <w:rPr>
          <w:sz w:val="24"/>
        </w:rPr>
        <w:t>no</w:t>
      </w:r>
      <w:r>
        <w:rPr>
          <w:spacing w:val="31"/>
          <w:sz w:val="24"/>
        </w:rPr>
        <w:t> </w:t>
      </w:r>
      <w:r>
        <w:rPr>
          <w:sz w:val="24"/>
        </w:rPr>
        <w:t>transfer</w:t>
      </w:r>
      <w:r>
        <w:rPr>
          <w:spacing w:val="32"/>
          <w:sz w:val="24"/>
        </w:rPr>
        <w:t> </w:t>
      </w:r>
      <w:r>
        <w:rPr>
          <w:sz w:val="24"/>
        </w:rPr>
        <w:t>of</w:t>
      </w:r>
      <w:r>
        <w:rPr>
          <w:spacing w:val="31"/>
          <w:sz w:val="24"/>
        </w:rPr>
        <w:t> </w:t>
      </w:r>
      <w:r>
        <w:rPr>
          <w:sz w:val="24"/>
        </w:rPr>
        <w:t>regulatory</w:t>
      </w:r>
      <w:r>
        <w:rPr>
          <w:spacing w:val="32"/>
          <w:sz w:val="24"/>
        </w:rPr>
        <w:t> </w:t>
      </w:r>
      <w:r>
        <w:rPr>
          <w:sz w:val="24"/>
        </w:rPr>
        <w:t>responsibility</w:t>
      </w:r>
      <w:r>
        <w:rPr>
          <w:spacing w:val="31"/>
          <w:sz w:val="24"/>
        </w:rPr>
        <w:t> </w:t>
      </w:r>
      <w:r>
        <w:rPr>
          <w:sz w:val="24"/>
        </w:rPr>
        <w:t>to</w:t>
      </w:r>
      <w:r>
        <w:rPr>
          <w:spacing w:val="32"/>
          <w:sz w:val="24"/>
        </w:rPr>
        <w:t> </w:t>
      </w:r>
      <w:r>
        <w:rPr>
          <w:sz w:val="24"/>
        </w:rPr>
        <w:t>the</w:t>
      </w:r>
      <w:r>
        <w:rPr>
          <w:spacing w:val="32"/>
          <w:sz w:val="24"/>
        </w:rPr>
        <w:t> </w:t>
      </w:r>
      <w:r>
        <w:rPr>
          <w:i/>
          <w:sz w:val="24"/>
        </w:rPr>
        <w:t>AER</w:t>
      </w:r>
    </w:p>
    <w:p>
      <w:pPr>
        <w:pStyle w:val="BodyText"/>
        <w:spacing w:before="0"/>
        <w:ind w:left="2486" w:firstLine="0"/>
      </w:pPr>
      <w:r>
        <w:rPr/>
        <w:t>under a law of Victoria – the ESC;</w:t>
      </w:r>
    </w:p>
    <w:p>
      <w:pPr>
        <w:pStyle w:val="ListParagraph"/>
        <w:numPr>
          <w:ilvl w:val="4"/>
          <w:numId w:val="677"/>
        </w:numPr>
        <w:tabs>
          <w:tab w:pos="2486" w:val="left" w:leader="none"/>
        </w:tabs>
        <w:spacing w:line="240" w:lineRule="auto" w:before="120" w:after="0"/>
        <w:ind w:left="2485" w:right="0" w:hanging="567"/>
        <w:jc w:val="both"/>
        <w:rPr>
          <w:i/>
          <w:sz w:val="24"/>
        </w:rPr>
      </w:pPr>
      <w:r>
        <w:rPr>
          <w:sz w:val="24"/>
        </w:rPr>
        <w:t>if</w:t>
      </w:r>
      <w:r>
        <w:rPr>
          <w:spacing w:val="40"/>
          <w:sz w:val="24"/>
        </w:rPr>
        <w:t> </w:t>
      </w:r>
      <w:r>
        <w:rPr>
          <w:sz w:val="24"/>
        </w:rPr>
        <w:t>a</w:t>
      </w:r>
      <w:r>
        <w:rPr>
          <w:spacing w:val="41"/>
          <w:sz w:val="24"/>
        </w:rPr>
        <w:t> </w:t>
      </w:r>
      <w:r>
        <w:rPr>
          <w:sz w:val="24"/>
        </w:rPr>
        <w:t>transfer</w:t>
      </w:r>
      <w:r>
        <w:rPr>
          <w:spacing w:val="41"/>
          <w:sz w:val="24"/>
        </w:rPr>
        <w:t> </w:t>
      </w:r>
      <w:r>
        <w:rPr>
          <w:sz w:val="24"/>
        </w:rPr>
        <w:t>of</w:t>
      </w:r>
      <w:r>
        <w:rPr>
          <w:spacing w:val="41"/>
          <w:sz w:val="24"/>
        </w:rPr>
        <w:t> </w:t>
      </w:r>
      <w:r>
        <w:rPr>
          <w:sz w:val="24"/>
        </w:rPr>
        <w:t>regulatory</w:t>
      </w:r>
      <w:r>
        <w:rPr>
          <w:spacing w:val="41"/>
          <w:sz w:val="24"/>
        </w:rPr>
        <w:t> </w:t>
      </w:r>
      <w:r>
        <w:rPr>
          <w:sz w:val="24"/>
        </w:rPr>
        <w:t>responsibility</w:t>
      </w:r>
      <w:r>
        <w:rPr>
          <w:spacing w:val="41"/>
          <w:sz w:val="24"/>
        </w:rPr>
        <w:t> </w:t>
      </w:r>
      <w:r>
        <w:rPr>
          <w:sz w:val="24"/>
        </w:rPr>
        <w:t>has</w:t>
      </w:r>
      <w:r>
        <w:rPr>
          <w:spacing w:val="41"/>
          <w:sz w:val="24"/>
        </w:rPr>
        <w:t> </w:t>
      </w:r>
      <w:r>
        <w:rPr>
          <w:sz w:val="24"/>
        </w:rPr>
        <w:t>been</w:t>
      </w:r>
      <w:r>
        <w:rPr>
          <w:spacing w:val="41"/>
          <w:sz w:val="24"/>
        </w:rPr>
        <w:t> </w:t>
      </w:r>
      <w:r>
        <w:rPr>
          <w:sz w:val="24"/>
        </w:rPr>
        <w:t>made</w:t>
      </w:r>
      <w:r>
        <w:rPr>
          <w:spacing w:val="40"/>
          <w:sz w:val="24"/>
        </w:rPr>
        <w:t> </w:t>
      </w:r>
      <w:r>
        <w:rPr>
          <w:sz w:val="24"/>
        </w:rPr>
        <w:t>to</w:t>
      </w:r>
      <w:r>
        <w:rPr>
          <w:spacing w:val="41"/>
          <w:sz w:val="24"/>
        </w:rPr>
        <w:t> </w:t>
      </w:r>
      <w:r>
        <w:rPr>
          <w:sz w:val="24"/>
        </w:rPr>
        <w:t>the</w:t>
      </w:r>
      <w:r>
        <w:rPr>
          <w:spacing w:val="41"/>
          <w:sz w:val="24"/>
        </w:rPr>
        <w:t> </w:t>
      </w:r>
      <w:r>
        <w:rPr>
          <w:i/>
          <w:sz w:val="24"/>
        </w:rPr>
        <w:t>AER</w:t>
      </w:r>
    </w:p>
    <w:p>
      <w:pPr>
        <w:pStyle w:val="BodyText"/>
        <w:spacing w:before="0"/>
        <w:ind w:left="2486" w:firstLine="0"/>
      </w:pPr>
      <w:r>
        <w:rPr/>
        <w:t>under a law of Victoria – the </w:t>
      </w:r>
      <w:r>
        <w:rPr>
          <w:i/>
        </w:rPr>
        <w:t>AER</w:t>
      </w:r>
      <w:r>
        <w:rPr/>
        <w:t>.</w:t>
      </w:r>
    </w:p>
    <w:p>
      <w:pPr>
        <w:pStyle w:val="BodyText"/>
        <w:ind w:left="1919" w:right="415" w:firstLine="0"/>
      </w:pPr>
      <w:r>
        <w:rPr>
          <w:b/>
        </w:rPr>
        <w:t>transitional period </w:t>
      </w:r>
      <w:r>
        <w:rPr/>
        <w:t>means the period commencing on the commencement of this clause and ending on its</w:t>
      </w:r>
      <w:r>
        <w:rPr>
          <w:spacing w:val="-2"/>
        </w:rPr>
        <w:t> </w:t>
      </w:r>
      <w:r>
        <w:rPr/>
        <w:t>expiry.</w:t>
      </w:r>
    </w:p>
    <w:p>
      <w:pPr>
        <w:spacing w:before="120"/>
        <w:ind w:left="1919" w:right="418" w:firstLine="0"/>
        <w:jc w:val="both"/>
        <w:rPr>
          <w:sz w:val="24"/>
        </w:rPr>
      </w:pPr>
      <w:r>
        <w:rPr>
          <w:b/>
          <w:sz w:val="24"/>
        </w:rPr>
        <w:t>Victorian distribution network </w:t>
      </w:r>
      <w:r>
        <w:rPr>
          <w:sz w:val="24"/>
        </w:rPr>
        <w:t>means a </w:t>
      </w:r>
      <w:r>
        <w:rPr>
          <w:i/>
          <w:sz w:val="24"/>
        </w:rPr>
        <w:t>distribution network </w:t>
      </w:r>
      <w:r>
        <w:rPr>
          <w:sz w:val="24"/>
        </w:rPr>
        <w:t>situated wholly or partly in Victoria.</w:t>
      </w:r>
    </w:p>
    <w:p>
      <w:pPr>
        <w:spacing w:before="120"/>
        <w:ind w:left="1919" w:right="415" w:hanging="567"/>
        <w:jc w:val="both"/>
        <w:rPr>
          <w:sz w:val="24"/>
        </w:rPr>
      </w:pPr>
      <w:r>
        <w:rPr>
          <w:sz w:val="24"/>
        </w:rPr>
        <w:t>(i) This clause expires on the date fixed under  the  </w:t>
      </w:r>
      <w:r>
        <w:rPr>
          <w:i/>
          <w:sz w:val="24"/>
        </w:rPr>
        <w:t>National  Electricity  </w:t>
      </w:r>
      <w:r>
        <w:rPr>
          <w:i/>
          <w:sz w:val="24"/>
        </w:rPr>
        <w:t>(Victoria) Act 2005 </w:t>
      </w:r>
      <w:r>
        <w:rPr>
          <w:sz w:val="24"/>
        </w:rPr>
        <w:t>as the Victorian distribution pricing determination end date.</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date is 31 December 2010 or a later date fixed in a Victorian distribution pricing determination as the date on which the determination will cease to have effect.</w:t>
      </w:r>
    </w:p>
    <w:p>
      <w:pPr>
        <w:pStyle w:val="BodyText"/>
        <w:spacing w:before="10"/>
        <w:ind w:firstLine="0"/>
        <w:jc w:val="left"/>
        <w:rPr>
          <w:sz w:val="20"/>
        </w:rPr>
      </w:pPr>
    </w:p>
    <w:p>
      <w:pPr>
        <w:pStyle w:val="Heading4"/>
        <w:numPr>
          <w:ilvl w:val="2"/>
          <w:numId w:val="677"/>
        </w:numPr>
        <w:tabs>
          <w:tab w:pos="1351" w:val="left" w:leader="none"/>
          <w:tab w:pos="1352" w:val="left" w:leader="none"/>
        </w:tabs>
        <w:spacing w:line="240" w:lineRule="auto" w:before="0" w:after="0"/>
        <w:ind w:left="1352" w:right="975" w:hanging="1134"/>
        <w:jc w:val="left"/>
      </w:pPr>
      <w:bookmarkStart w:name="9.8.8 Exclusion of AER's power to aggreg" w:id="2535"/>
      <w:bookmarkEnd w:id="2535"/>
      <w:r>
        <w:rPr>
          <w:b w:val="0"/>
        </w:rPr>
      </w:r>
      <w:bookmarkStart w:name="_bookmark1052" w:id="2536"/>
      <w:bookmarkEnd w:id="2536"/>
      <w:r>
        <w:rPr>
          <w:b w:val="0"/>
        </w:rPr>
      </w:r>
      <w:bookmarkStart w:name="_bookmark1052" w:id="2537"/>
      <w:bookmarkEnd w:id="2537"/>
      <w:r>
        <w:rPr/>
        <w:t>Exclusion</w:t>
      </w:r>
      <w:r>
        <w:rPr/>
        <w:t> of AER's power to aggregate distribution systems and parts of distribution</w:t>
      </w:r>
      <w:r>
        <w:rPr>
          <w:spacing w:val="-1"/>
        </w:rPr>
        <w:t> </w:t>
      </w:r>
      <w:r>
        <w:rPr/>
        <w:t>systems</w:t>
      </w:r>
    </w:p>
    <w:p>
      <w:pPr>
        <w:pStyle w:val="BodyText"/>
        <w:ind w:left="1352" w:right="415" w:firstLine="0"/>
      </w:pPr>
      <w:r>
        <w:rPr/>
        <w:t>The following provisions of Chapter 6 apply to </w:t>
      </w:r>
      <w:r>
        <w:rPr>
          <w:i/>
        </w:rPr>
        <w:t>distribution systems </w:t>
      </w:r>
      <w:r>
        <w:rPr/>
        <w:t>situated in Victoria as if, in each case, the words "unless the </w:t>
      </w:r>
      <w:r>
        <w:rPr>
          <w:i/>
        </w:rPr>
        <w:t>AER </w:t>
      </w:r>
      <w:r>
        <w:rPr/>
        <w:t>otherwise determines" were omitted:</w:t>
      </w:r>
    </w:p>
    <w:p>
      <w:pPr>
        <w:pStyle w:val="ListParagraph"/>
        <w:numPr>
          <w:ilvl w:val="3"/>
          <w:numId w:val="677"/>
        </w:numPr>
        <w:tabs>
          <w:tab w:pos="1918" w:val="left" w:leader="none"/>
          <w:tab w:pos="1919" w:val="left" w:leader="none"/>
        </w:tabs>
        <w:spacing w:line="240" w:lineRule="auto" w:before="120" w:after="0"/>
        <w:ind w:left="1918" w:right="0" w:hanging="567"/>
        <w:jc w:val="left"/>
        <w:rPr>
          <w:sz w:val="24"/>
        </w:rPr>
      </w:pPr>
      <w:r>
        <w:rPr>
          <w:sz w:val="24"/>
        </w:rPr>
        <w:t>clause 6.2.4(c);</w:t>
      </w:r>
    </w:p>
    <w:p>
      <w:pPr>
        <w:pStyle w:val="ListParagraph"/>
        <w:numPr>
          <w:ilvl w:val="3"/>
          <w:numId w:val="677"/>
        </w:numPr>
        <w:tabs>
          <w:tab w:pos="1918" w:val="left" w:leader="none"/>
          <w:tab w:pos="1919" w:val="left" w:leader="none"/>
        </w:tabs>
        <w:spacing w:line="240" w:lineRule="auto" w:before="120" w:after="0"/>
        <w:ind w:left="1918" w:right="0" w:hanging="567"/>
        <w:jc w:val="left"/>
        <w:rPr>
          <w:sz w:val="24"/>
        </w:rPr>
      </w:pPr>
      <w:r>
        <w:rPr>
          <w:sz w:val="24"/>
        </w:rPr>
        <w:t>clause 6.2.4(d);</w:t>
      </w:r>
    </w:p>
    <w:p>
      <w:pPr>
        <w:pStyle w:val="ListParagraph"/>
        <w:numPr>
          <w:ilvl w:val="3"/>
          <w:numId w:val="677"/>
        </w:numPr>
        <w:tabs>
          <w:tab w:pos="1918" w:val="left" w:leader="none"/>
          <w:tab w:pos="1919" w:val="left" w:leader="none"/>
        </w:tabs>
        <w:spacing w:line="240" w:lineRule="auto" w:before="120" w:after="0"/>
        <w:ind w:left="1918" w:right="0" w:hanging="567"/>
        <w:jc w:val="left"/>
        <w:rPr>
          <w:sz w:val="24"/>
        </w:rPr>
      </w:pPr>
      <w:r>
        <w:rPr>
          <w:sz w:val="24"/>
        </w:rPr>
        <w:t>clause 6.8.2(e);</w:t>
      </w:r>
    </w:p>
    <w:p>
      <w:pPr>
        <w:pStyle w:val="ListParagraph"/>
        <w:numPr>
          <w:ilvl w:val="3"/>
          <w:numId w:val="677"/>
        </w:numPr>
        <w:tabs>
          <w:tab w:pos="1918" w:val="left" w:leader="none"/>
          <w:tab w:pos="1919" w:val="left" w:leader="none"/>
        </w:tabs>
        <w:spacing w:line="240" w:lineRule="auto" w:before="120" w:after="0"/>
        <w:ind w:left="1918" w:right="0" w:hanging="567"/>
        <w:jc w:val="left"/>
        <w:rPr>
          <w:sz w:val="24"/>
        </w:rPr>
      </w:pPr>
      <w:r>
        <w:rPr>
          <w:sz w:val="24"/>
        </w:rPr>
        <w:t>clause 6.8.2(f).</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effect of these modifications is to exclude the AER's power to consolidate, under the ambit of a single distribution determination, 2 or more distribution systems, or 2 or more parts of a single distribution system that had, before the commencement of Chapter 6, been separately</w:t>
      </w:r>
      <w:r>
        <w:rPr>
          <w:spacing w:val="-9"/>
          <w:sz w:val="20"/>
        </w:rPr>
        <w:t> </w:t>
      </w:r>
      <w:r>
        <w:rPr>
          <w:sz w:val="20"/>
        </w:rPr>
        <w:t>regulated.</w:t>
      </w:r>
    </w:p>
    <w:p>
      <w:pPr>
        <w:pStyle w:val="BodyText"/>
        <w:spacing w:before="10"/>
        <w:ind w:firstLine="0"/>
        <w:jc w:val="left"/>
        <w:rPr>
          <w:sz w:val="20"/>
        </w:rPr>
      </w:pPr>
    </w:p>
    <w:p>
      <w:pPr>
        <w:pStyle w:val="Heading3"/>
        <w:numPr>
          <w:ilvl w:val="1"/>
          <w:numId w:val="676"/>
        </w:numPr>
        <w:tabs>
          <w:tab w:pos="1351" w:val="left" w:leader="none"/>
          <w:tab w:pos="1353" w:val="left" w:leader="none"/>
        </w:tabs>
        <w:spacing w:line="240" w:lineRule="auto" w:before="0" w:after="0"/>
        <w:ind w:left="1352" w:right="0" w:hanging="1135"/>
        <w:jc w:val="left"/>
      </w:pPr>
      <w:bookmarkStart w:name="9.9 Transitional Arrangements for Chapte" w:id="2538"/>
      <w:bookmarkEnd w:id="2538"/>
      <w:r>
        <w:rPr>
          <w:b w:val="0"/>
        </w:rPr>
      </w:r>
      <w:bookmarkStart w:name="_bookmark1053" w:id="2539"/>
      <w:bookmarkEnd w:id="2539"/>
      <w:r>
        <w:rPr>
          <w:b w:val="0"/>
        </w:rPr>
      </w:r>
      <w:bookmarkStart w:name="_bookmark1053" w:id="2540"/>
      <w:bookmarkEnd w:id="2540"/>
      <w:r>
        <w:rPr/>
        <w:t>T</w:t>
      </w:r>
      <w:r>
        <w:rPr/>
        <w:t>ransitional Arrangements for Chapter 7 -</w:t>
      </w:r>
      <w:r>
        <w:rPr>
          <w:spacing w:val="-25"/>
        </w:rPr>
        <w:t> </w:t>
      </w:r>
      <w:r>
        <w:rPr/>
        <w:t>Metering</w:t>
      </w:r>
    </w:p>
    <w:p>
      <w:pPr>
        <w:pStyle w:val="Heading4"/>
        <w:numPr>
          <w:ilvl w:val="2"/>
          <w:numId w:val="676"/>
        </w:numPr>
        <w:tabs>
          <w:tab w:pos="1351" w:val="left" w:leader="none"/>
          <w:tab w:pos="1352" w:val="left" w:leader="none"/>
        </w:tabs>
        <w:spacing w:line="240" w:lineRule="auto" w:before="240" w:after="0"/>
        <w:ind w:left="1351" w:right="0" w:hanging="1134"/>
        <w:jc w:val="left"/>
      </w:pPr>
      <w:bookmarkStart w:name="9.9.1 Metering Installations To Which Th" w:id="2541"/>
      <w:bookmarkEnd w:id="2541"/>
      <w:r>
        <w:rPr>
          <w:b w:val="0"/>
        </w:rPr>
      </w:r>
      <w:bookmarkStart w:name="_bookmark1054" w:id="2542"/>
      <w:bookmarkEnd w:id="2542"/>
      <w:r>
        <w:rPr>
          <w:b w:val="0"/>
        </w:rPr>
      </w:r>
      <w:bookmarkStart w:name="_bookmark1054" w:id="2543"/>
      <w:bookmarkEnd w:id="2543"/>
      <w:r>
        <w:rPr/>
        <w:t>Metering</w:t>
      </w:r>
      <w:r>
        <w:rPr/>
        <w:t> Installations To Which This Schedule</w:t>
      </w:r>
      <w:r>
        <w:rPr>
          <w:spacing w:val="-3"/>
        </w:rPr>
        <w:t> </w:t>
      </w:r>
      <w:r>
        <w:rPr/>
        <w:t>Applies</w:t>
      </w:r>
    </w:p>
    <w:p>
      <w:pPr>
        <w:spacing w:before="120"/>
        <w:ind w:left="1352" w:right="413" w:firstLine="0"/>
        <w:jc w:val="both"/>
        <w:rPr>
          <w:sz w:val="24"/>
        </w:rPr>
      </w:pPr>
      <w:r>
        <w:rPr>
          <w:sz w:val="24"/>
        </w:rPr>
        <w:t>The transitional arrangements set out in this clause 9.9 apply in relation to a </w:t>
      </w:r>
      <w:r>
        <w:rPr>
          <w:i/>
          <w:sz w:val="24"/>
        </w:rPr>
        <w:t>metering installation </w:t>
      </w:r>
      <w:r>
        <w:rPr>
          <w:sz w:val="24"/>
        </w:rPr>
        <w:t>(including a </w:t>
      </w:r>
      <w:r>
        <w:rPr>
          <w:i/>
          <w:sz w:val="24"/>
        </w:rPr>
        <w:t>check metering installation</w:t>
      </w:r>
      <w:r>
        <w:rPr>
          <w:sz w:val="24"/>
        </w:rPr>
        <w:t>) in use at </w:t>
      </w:r>
      <w:r>
        <w:rPr>
          <w:i/>
          <w:sz w:val="24"/>
        </w:rPr>
        <w:t>market </w:t>
      </w:r>
      <w:r>
        <w:rPr>
          <w:i/>
          <w:sz w:val="24"/>
        </w:rPr>
        <w:t>commencement </w:t>
      </w:r>
      <w:r>
        <w:rPr>
          <w:sz w:val="24"/>
        </w:rPr>
        <w:t>that was required to comply with, and did comply with, the </w:t>
      </w:r>
      <w:r>
        <w:rPr>
          <w:i/>
          <w:sz w:val="24"/>
        </w:rPr>
        <w:t>Wholesale Metering Code </w:t>
      </w:r>
      <w:r>
        <w:rPr>
          <w:sz w:val="24"/>
        </w:rPr>
        <w:t>at </w:t>
      </w:r>
      <w:r>
        <w:rPr>
          <w:i/>
          <w:sz w:val="24"/>
        </w:rPr>
        <w:t>market commencement</w:t>
      </w:r>
      <w:r>
        <w:rPr>
          <w:sz w:val="24"/>
        </w:rPr>
        <w:t>.</w:t>
      </w:r>
    </w:p>
    <w:p>
      <w:pPr>
        <w:spacing w:after="0"/>
        <w:jc w:val="both"/>
        <w:rPr>
          <w:sz w:val="24"/>
        </w:rPr>
        <w:sectPr>
          <w:pgSz w:w="11910" w:h="16840"/>
          <w:pgMar w:header="686" w:footer="637" w:top="1320" w:bottom="820" w:left="1200" w:right="1000"/>
        </w:sectPr>
      </w:pPr>
    </w:p>
    <w:p>
      <w:pPr>
        <w:pStyle w:val="Heading4"/>
        <w:numPr>
          <w:ilvl w:val="2"/>
          <w:numId w:val="676"/>
        </w:numPr>
        <w:tabs>
          <w:tab w:pos="1351" w:val="left" w:leader="none"/>
          <w:tab w:pos="1352" w:val="left" w:leader="none"/>
        </w:tabs>
        <w:spacing w:line="240" w:lineRule="auto" w:before="83" w:after="0"/>
        <w:ind w:left="1351" w:right="0" w:hanging="1134"/>
        <w:jc w:val="left"/>
      </w:pPr>
      <w:bookmarkStart w:name="9.9.2 [Deleted]" w:id="2544"/>
      <w:bookmarkEnd w:id="2544"/>
      <w:r>
        <w:rPr>
          <w:b w:val="0"/>
        </w:rPr>
      </w:r>
      <w:bookmarkStart w:name="_bookmark1055" w:id="2545"/>
      <w:bookmarkEnd w:id="2545"/>
      <w:r>
        <w:rPr>
          <w:b w:val="0"/>
        </w:rPr>
      </w:r>
      <w:bookmarkStart w:name="_bookmark1055" w:id="2546"/>
      <w:bookmarkEnd w:id="2546"/>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3 [Deleted]" w:id="2547"/>
      <w:bookmarkEnd w:id="2547"/>
      <w:r>
        <w:rPr>
          <w:b w:val="0"/>
        </w:rPr>
      </w:r>
      <w:bookmarkStart w:name="_bookmark1056" w:id="2548"/>
      <w:bookmarkEnd w:id="2548"/>
      <w:r>
        <w:rPr>
          <w:b w:val="0"/>
        </w:rPr>
      </w:r>
      <w:bookmarkStart w:name="_bookmark1056" w:id="2549"/>
      <w:bookmarkEnd w:id="2549"/>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4 [Deleted]" w:id="2550"/>
      <w:bookmarkEnd w:id="2550"/>
      <w:r>
        <w:rPr>
          <w:b w:val="0"/>
        </w:rPr>
      </w:r>
      <w:bookmarkStart w:name="_bookmark1057" w:id="2551"/>
      <w:bookmarkEnd w:id="2551"/>
      <w:r>
        <w:rPr>
          <w:b w:val="0"/>
        </w:rPr>
      </w:r>
      <w:bookmarkStart w:name="_bookmark1057" w:id="2552"/>
      <w:bookmarkEnd w:id="2552"/>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5 [Deleted]" w:id="2553"/>
      <w:bookmarkEnd w:id="2553"/>
      <w:r>
        <w:rPr>
          <w:b w:val="0"/>
        </w:rPr>
      </w:r>
      <w:bookmarkStart w:name="_bookmark1058" w:id="2554"/>
      <w:bookmarkEnd w:id="2554"/>
      <w:r>
        <w:rPr>
          <w:b w:val="0"/>
        </w:rPr>
      </w:r>
      <w:bookmarkStart w:name="_bookmark1058" w:id="2555"/>
      <w:bookmarkEnd w:id="2555"/>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6 [Deleted]" w:id="2556"/>
      <w:bookmarkEnd w:id="2556"/>
      <w:r>
        <w:rPr>
          <w:b w:val="0"/>
        </w:rPr>
      </w:r>
      <w:bookmarkStart w:name="_bookmark1059" w:id="2557"/>
      <w:bookmarkEnd w:id="2557"/>
      <w:r>
        <w:rPr>
          <w:b w:val="0"/>
        </w:rPr>
      </w:r>
      <w:bookmarkStart w:name="_bookmark1059" w:id="2558"/>
      <w:bookmarkEnd w:id="2558"/>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7 [Deleted]" w:id="2559"/>
      <w:bookmarkEnd w:id="2559"/>
      <w:r>
        <w:rPr>
          <w:b w:val="0"/>
        </w:rPr>
      </w:r>
      <w:bookmarkStart w:name="_bookmark1060" w:id="2560"/>
      <w:bookmarkEnd w:id="2560"/>
      <w:r>
        <w:rPr>
          <w:b w:val="0"/>
        </w:rPr>
      </w:r>
      <w:bookmarkStart w:name="_bookmark1060" w:id="2561"/>
      <w:bookmarkEnd w:id="2561"/>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8 [Deleted]" w:id="2562"/>
      <w:bookmarkEnd w:id="2562"/>
      <w:r>
        <w:rPr>
          <w:b w:val="0"/>
        </w:rPr>
      </w:r>
      <w:bookmarkStart w:name="_bookmark1061" w:id="2563"/>
      <w:bookmarkEnd w:id="2563"/>
      <w:r>
        <w:rPr>
          <w:b w:val="0"/>
        </w:rPr>
      </w:r>
      <w:bookmarkStart w:name="_bookmark1061" w:id="2564"/>
      <w:bookmarkEnd w:id="2564"/>
      <w:r>
        <w:rPr/>
        <w:t>[Deleted]</w:t>
      </w:r>
    </w:p>
    <w:p>
      <w:pPr>
        <w:pStyle w:val="BodyText"/>
        <w:spacing w:before="10"/>
        <w:ind w:firstLine="0"/>
        <w:jc w:val="left"/>
        <w:rPr>
          <w:rFonts w:ascii="Arial"/>
          <w:b/>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9 Periodic Energy Metering (clause 7" w:id="2565"/>
      <w:bookmarkEnd w:id="2565"/>
      <w:r>
        <w:rPr>
          <w:b w:val="0"/>
        </w:rPr>
      </w:r>
      <w:bookmarkStart w:name="_bookmark1062" w:id="2566"/>
      <w:bookmarkEnd w:id="2566"/>
      <w:r>
        <w:rPr>
          <w:b w:val="0"/>
        </w:rPr>
      </w:r>
      <w:bookmarkStart w:name="_bookmark1062" w:id="2567"/>
      <w:bookmarkEnd w:id="2567"/>
      <w:r>
        <w:rPr/>
        <w:t>Periodic</w:t>
      </w:r>
      <w:r>
        <w:rPr/>
        <w:t> Energy Metering (clause</w:t>
      </w:r>
      <w:r>
        <w:rPr>
          <w:spacing w:val="-2"/>
        </w:rPr>
        <w:t> </w:t>
      </w:r>
      <w:r>
        <w:rPr/>
        <w:t>7.9.3)</w:t>
      </w:r>
    </w:p>
    <w:p>
      <w:pPr>
        <w:pStyle w:val="ListParagraph"/>
        <w:numPr>
          <w:ilvl w:val="3"/>
          <w:numId w:val="676"/>
        </w:numPr>
        <w:tabs>
          <w:tab w:pos="1919" w:val="left" w:leader="none"/>
        </w:tabs>
        <w:spacing w:line="240" w:lineRule="auto" w:before="120" w:after="0"/>
        <w:ind w:left="1919" w:right="416" w:hanging="567"/>
        <w:jc w:val="both"/>
        <w:rPr>
          <w:sz w:val="24"/>
        </w:rPr>
      </w:pPr>
      <w:r>
        <w:rPr>
          <w:sz w:val="24"/>
        </w:rPr>
        <w:t>Subject to clause 9.9.9(b), for the purposes of clause 7.10.5(a), </w:t>
      </w:r>
      <w:r>
        <w:rPr>
          <w:i/>
          <w:sz w:val="24"/>
        </w:rPr>
        <w:t>AEMO</w:t>
      </w:r>
      <w:r>
        <w:rPr>
          <w:sz w:val="24"/>
        </w:rPr>
        <w:t>, </w:t>
      </w:r>
      <w:r>
        <w:rPr>
          <w:spacing w:val="-4"/>
          <w:sz w:val="24"/>
        </w:rPr>
        <w:t>the </w:t>
      </w:r>
      <w:r>
        <w:rPr>
          <w:i/>
          <w:sz w:val="24"/>
        </w:rPr>
        <w:t>Local Network Service Provider </w:t>
      </w:r>
      <w:r>
        <w:rPr>
          <w:sz w:val="24"/>
        </w:rPr>
        <w:t>and the </w:t>
      </w:r>
      <w:r>
        <w:rPr>
          <w:i/>
          <w:sz w:val="24"/>
        </w:rPr>
        <w:t>Market Participant </w:t>
      </w:r>
      <w:r>
        <w:rPr>
          <w:sz w:val="24"/>
        </w:rPr>
        <w:t>are taken to have agreed that the data referred to in clause 7.10.5(a) which is obtained from a </w:t>
      </w:r>
      <w:r>
        <w:rPr>
          <w:i/>
          <w:sz w:val="24"/>
        </w:rPr>
        <w:t>metering installation </w:t>
      </w:r>
      <w:r>
        <w:rPr>
          <w:sz w:val="24"/>
        </w:rPr>
        <w:t>to which this clause 9.9 applies may be collated in 15 minute</w:t>
      </w:r>
      <w:r>
        <w:rPr>
          <w:spacing w:val="-1"/>
          <w:sz w:val="24"/>
        </w:rPr>
        <w:t> </w:t>
      </w:r>
      <w:r>
        <w:rPr>
          <w:sz w:val="24"/>
        </w:rPr>
        <w:t>intervals.</w:t>
      </w:r>
    </w:p>
    <w:p>
      <w:pPr>
        <w:pStyle w:val="ListParagraph"/>
        <w:numPr>
          <w:ilvl w:val="3"/>
          <w:numId w:val="676"/>
        </w:numPr>
        <w:tabs>
          <w:tab w:pos="1919" w:val="left" w:leader="none"/>
        </w:tabs>
        <w:spacing w:line="240" w:lineRule="auto" w:before="120" w:after="0"/>
        <w:ind w:left="1919" w:right="415" w:hanging="567"/>
        <w:jc w:val="both"/>
        <w:rPr>
          <w:sz w:val="24"/>
        </w:rPr>
      </w:pPr>
      <w:r>
        <w:rPr>
          <w:sz w:val="24"/>
        </w:rPr>
        <w:t>This clause 9.9.9 ceases to apply in respect of a </w:t>
      </w:r>
      <w:r>
        <w:rPr>
          <w:i/>
          <w:sz w:val="24"/>
        </w:rPr>
        <w:t>metering installation </w:t>
      </w:r>
      <w:r>
        <w:rPr>
          <w:sz w:val="24"/>
        </w:rPr>
        <w:t>if </w:t>
      </w:r>
      <w:r>
        <w:rPr>
          <w:i/>
          <w:sz w:val="24"/>
        </w:rPr>
        <w:t>AEMO</w:t>
      </w:r>
      <w:r>
        <w:rPr>
          <w:sz w:val="24"/>
        </w:rPr>
        <w:t>, the relevant </w:t>
      </w:r>
      <w:r>
        <w:rPr>
          <w:i/>
          <w:sz w:val="24"/>
        </w:rPr>
        <w:t>Local Network Service Provider </w:t>
      </w:r>
      <w:r>
        <w:rPr>
          <w:sz w:val="24"/>
        </w:rPr>
        <w:t>or the relevant </w:t>
      </w:r>
      <w:r>
        <w:rPr>
          <w:i/>
          <w:sz w:val="24"/>
        </w:rPr>
        <w:t>Market </w:t>
      </w:r>
      <w:r>
        <w:rPr>
          <w:i/>
          <w:sz w:val="24"/>
        </w:rPr>
        <w:t>Participant </w:t>
      </w:r>
      <w:r>
        <w:rPr>
          <w:sz w:val="24"/>
        </w:rPr>
        <w:t>gives notice requiring an agreement to be reached under </w:t>
      </w:r>
      <w:r>
        <w:rPr>
          <w:spacing w:val="-3"/>
          <w:sz w:val="24"/>
        </w:rPr>
        <w:t>clause </w:t>
      </w:r>
      <w:r>
        <w:rPr>
          <w:sz w:val="24"/>
        </w:rPr>
        <w:t>7.10.5(a).</w:t>
      </w:r>
    </w:p>
    <w:p>
      <w:pPr>
        <w:pStyle w:val="BodyText"/>
        <w:spacing w:before="10"/>
        <w:ind w:firstLine="0"/>
        <w:jc w:val="left"/>
        <w:rPr>
          <w:sz w:val="20"/>
        </w:rPr>
      </w:pPr>
    </w:p>
    <w:p>
      <w:pPr>
        <w:pStyle w:val="Heading4"/>
        <w:numPr>
          <w:ilvl w:val="2"/>
          <w:numId w:val="676"/>
        </w:numPr>
        <w:tabs>
          <w:tab w:pos="1351" w:val="left" w:leader="none"/>
          <w:tab w:pos="1352" w:val="left" w:leader="none"/>
        </w:tabs>
        <w:spacing w:line="240" w:lineRule="auto" w:before="0" w:after="0"/>
        <w:ind w:left="1351" w:right="0" w:hanging="1134"/>
        <w:jc w:val="left"/>
      </w:pPr>
      <w:bookmarkStart w:name="9.9.10 Use of Alternate Technologies (cl" w:id="2568"/>
      <w:bookmarkEnd w:id="2568"/>
      <w:r>
        <w:rPr>
          <w:b w:val="0"/>
        </w:rPr>
      </w:r>
      <w:bookmarkStart w:name="_bookmark1063" w:id="2569"/>
      <w:bookmarkEnd w:id="2569"/>
      <w:r>
        <w:rPr>
          <w:b w:val="0"/>
        </w:rPr>
      </w:r>
      <w:bookmarkStart w:name="_bookmark1063" w:id="2570"/>
      <w:bookmarkEnd w:id="2570"/>
      <w:r>
        <w:rPr/>
        <w:t>Us</w:t>
      </w:r>
      <w:r>
        <w:rPr/>
        <w:t>e of Alternate Technologies (clause</w:t>
      </w:r>
      <w:r>
        <w:rPr>
          <w:spacing w:val="-3"/>
        </w:rPr>
        <w:t> </w:t>
      </w:r>
      <w:r>
        <w:rPr/>
        <w:t>7.13)</w:t>
      </w:r>
    </w:p>
    <w:p>
      <w:pPr>
        <w:pStyle w:val="ListParagraph"/>
        <w:numPr>
          <w:ilvl w:val="3"/>
          <w:numId w:val="676"/>
        </w:numPr>
        <w:tabs>
          <w:tab w:pos="1919" w:val="left" w:leader="none"/>
        </w:tabs>
        <w:spacing w:line="240" w:lineRule="auto" w:before="120" w:after="0"/>
        <w:ind w:left="1919" w:right="414" w:hanging="567"/>
        <w:jc w:val="both"/>
        <w:rPr>
          <w:sz w:val="24"/>
        </w:rPr>
      </w:pPr>
      <w:r>
        <w:rPr>
          <w:sz w:val="24"/>
        </w:rPr>
        <w:t>Subject to this clause 9.9.10, if at </w:t>
      </w:r>
      <w:r>
        <w:rPr>
          <w:i/>
          <w:sz w:val="24"/>
        </w:rPr>
        <w:t>market commencement </w:t>
      </w:r>
      <w:r>
        <w:rPr>
          <w:sz w:val="24"/>
        </w:rPr>
        <w:t>the Wholesale Metering Code provides for the use of alternate technologies or processes for the purpose of calculating the consumption of energy by a non-franchise customer (as defined in the </w:t>
      </w:r>
      <w:r>
        <w:rPr>
          <w:i/>
          <w:sz w:val="24"/>
        </w:rPr>
        <w:t>EI (RP) Act </w:t>
      </w:r>
      <w:r>
        <w:rPr>
          <w:sz w:val="24"/>
        </w:rPr>
        <w:t>and in force immediately before the commencement of section 39(a) of the </w:t>
      </w:r>
      <w:r>
        <w:rPr>
          <w:i/>
          <w:sz w:val="24"/>
        </w:rPr>
        <w:t>Electricity Industry Act 1995 </w:t>
      </w:r>
      <w:r>
        <w:rPr>
          <w:sz w:val="24"/>
        </w:rPr>
        <w:t>(Vic)), then the use of these technologies or processes is taken to have been agreed between the relevant </w:t>
      </w:r>
      <w:r>
        <w:rPr>
          <w:i/>
          <w:sz w:val="24"/>
        </w:rPr>
        <w:t>Market Participant(s)</w:t>
      </w:r>
      <w:r>
        <w:rPr>
          <w:sz w:val="24"/>
        </w:rPr>
        <w:t>, the </w:t>
      </w:r>
      <w:r>
        <w:rPr>
          <w:i/>
          <w:sz w:val="24"/>
        </w:rPr>
        <w:t>Local Network Service </w:t>
      </w:r>
      <w:r>
        <w:rPr>
          <w:i/>
          <w:sz w:val="24"/>
        </w:rPr>
        <w:t>Provider </w:t>
      </w:r>
      <w:r>
        <w:rPr>
          <w:sz w:val="24"/>
        </w:rPr>
        <w:t>and </w:t>
      </w:r>
      <w:r>
        <w:rPr>
          <w:i/>
          <w:sz w:val="24"/>
        </w:rPr>
        <w:t>AEMO </w:t>
      </w:r>
      <w:r>
        <w:rPr>
          <w:sz w:val="24"/>
        </w:rPr>
        <w:t>but only to the extent to which the alternate technology or process was in use at </w:t>
      </w:r>
      <w:r>
        <w:rPr>
          <w:i/>
          <w:sz w:val="24"/>
        </w:rPr>
        <w:t>market commencement </w:t>
      </w:r>
      <w:r>
        <w:rPr>
          <w:sz w:val="24"/>
        </w:rPr>
        <w:t>in relation to that non- franchise</w:t>
      </w:r>
      <w:r>
        <w:rPr>
          <w:spacing w:val="-1"/>
          <w:sz w:val="24"/>
        </w:rPr>
        <w:t> </w:t>
      </w:r>
      <w:r>
        <w:rPr>
          <w:sz w:val="24"/>
        </w:rPr>
        <w:t>customer.</w:t>
      </w:r>
    </w:p>
    <w:p>
      <w:pPr>
        <w:spacing w:after="0" w:line="240" w:lineRule="auto"/>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9.9A [Deleted]" w:id="2571"/>
      <w:bookmarkEnd w:id="2571"/>
      <w:r>
        <w:rPr>
          <w:b w:val="0"/>
        </w:rPr>
      </w:r>
      <w:bookmarkStart w:name="_bookmark1064" w:id="2572"/>
      <w:bookmarkEnd w:id="2572"/>
      <w:r>
        <w:rPr>
          <w:b w:val="0"/>
        </w:rPr>
      </w:r>
      <w:r>
        <w:rPr/>
        <w:t>9.9A</w:t>
        <w:tab/>
        <w:t>[Deleted]</w:t>
      </w:r>
    </w:p>
    <w:p>
      <w:pPr>
        <w:pStyle w:val="Heading3"/>
        <w:tabs>
          <w:tab w:pos="1351" w:val="left" w:leader="none"/>
        </w:tabs>
        <w:spacing w:before="240"/>
        <w:ind w:left="218" w:firstLine="0"/>
      </w:pPr>
      <w:bookmarkStart w:name="9.9B [Deleted]" w:id="2573"/>
      <w:bookmarkEnd w:id="2573"/>
      <w:r>
        <w:rPr>
          <w:b w:val="0"/>
        </w:rPr>
      </w:r>
      <w:bookmarkStart w:name="_bookmark1065" w:id="2574"/>
      <w:bookmarkEnd w:id="2574"/>
      <w:r>
        <w:rPr>
          <w:b w:val="0"/>
        </w:rPr>
      </w:r>
      <w:r>
        <w:rPr/>
        <w:t>9.9B</w:t>
        <w:tab/>
        <w:t>[Deleted]</w:t>
      </w:r>
    </w:p>
    <w:p>
      <w:pPr>
        <w:pStyle w:val="ListParagraph"/>
        <w:numPr>
          <w:ilvl w:val="1"/>
          <w:numId w:val="678"/>
        </w:numPr>
        <w:tabs>
          <w:tab w:pos="581" w:val="left" w:leader="none"/>
          <w:tab w:pos="1351" w:val="left" w:leader="none"/>
          <w:tab w:pos="2485" w:val="left" w:leader="none"/>
        </w:tabs>
        <w:spacing w:line="422" w:lineRule="auto" w:before="240" w:after="0"/>
        <w:ind w:left="218" w:right="6021" w:firstLine="0"/>
        <w:jc w:val="left"/>
        <w:rPr>
          <w:rFonts w:ascii="Arial"/>
          <w:b/>
          <w:sz w:val="28"/>
        </w:rPr>
      </w:pPr>
      <w:bookmarkStart w:name="9.9C [Deleted]" w:id="2575"/>
      <w:bookmarkEnd w:id="2575"/>
      <w:r>
        <w:rPr/>
      </w:r>
      <w:bookmarkStart w:name="_bookmark1066" w:id="2576"/>
      <w:bookmarkEnd w:id="2576"/>
      <w:r>
        <w:rPr/>
      </w:r>
      <w:bookmarkStart w:name="_bookmark1066" w:id="2577"/>
      <w:bookmarkEnd w:id="2577"/>
      <w:r>
        <w:rPr>
          <w:rFonts w:ascii="Arial"/>
          <w:b/>
          <w:sz w:val="26"/>
        </w:rPr>
        <w:t>C</w:t>
      </w:r>
      <w:r>
        <w:rPr>
          <w:rFonts w:ascii="Arial"/>
          <w:b/>
          <w:sz w:val="26"/>
        </w:rPr>
        <w:tab/>
        <w:t>[Deleted]</w:t>
      </w:r>
      <w:bookmarkStart w:name="Schedule 9A1.1 [Deleted]" w:id="2578"/>
      <w:bookmarkEnd w:id="2578"/>
      <w:r>
        <w:rPr>
          <w:rFonts w:ascii="Arial"/>
          <w:b/>
          <w:sz w:val="26"/>
        </w:rPr>
      </w:r>
      <w:r>
        <w:rPr>
          <w:rFonts w:ascii="Arial"/>
          <w:b/>
          <w:sz w:val="26"/>
        </w:rPr>
        <w:t> </w:t>
      </w:r>
      <w:r>
        <w:rPr>
          <w:rFonts w:ascii="Arial"/>
          <w:b/>
          <w:sz w:val="28"/>
        </w:rPr>
        <w:t>Schedule 9A1.1 [Deleted]</w:t>
      </w:r>
      <w:bookmarkStart w:name="Schedule 9A1.2 [Deleted]" w:id="2579"/>
      <w:bookmarkEnd w:id="2579"/>
      <w:r>
        <w:rPr>
          <w:rFonts w:ascii="Arial"/>
          <w:b/>
          <w:sz w:val="28"/>
        </w:rPr>
      </w:r>
      <w:r>
        <w:rPr>
          <w:rFonts w:ascii="Arial"/>
          <w:b/>
          <w:sz w:val="28"/>
        </w:rPr>
        <w:t> Schedule 9A1.2 [Deleted]</w:t>
      </w:r>
      <w:bookmarkStart w:name="Schedule 9A1.3 [Deleted]" w:id="2580"/>
      <w:bookmarkEnd w:id="2580"/>
      <w:r>
        <w:rPr>
          <w:rFonts w:ascii="Arial"/>
          <w:b/>
          <w:sz w:val="28"/>
        </w:rPr>
      </w:r>
      <w:r>
        <w:rPr>
          <w:rFonts w:ascii="Arial"/>
          <w:b/>
          <w:sz w:val="28"/>
        </w:rPr>
        <w:t> Schedule 9A1.3 [Deleted]</w:t>
      </w:r>
      <w:bookmarkStart w:name="Schedule 9A2 [Deleted]" w:id="2581"/>
      <w:bookmarkEnd w:id="2581"/>
      <w:r>
        <w:rPr>
          <w:rFonts w:ascii="Arial"/>
          <w:b/>
          <w:sz w:val="28"/>
        </w:rPr>
      </w:r>
      <w:r>
        <w:rPr>
          <w:rFonts w:ascii="Arial"/>
          <w:b/>
          <w:sz w:val="28"/>
        </w:rPr>
        <w:t> Schedule</w:t>
      </w:r>
      <w:r>
        <w:rPr>
          <w:rFonts w:ascii="Arial"/>
          <w:b/>
          <w:spacing w:val="-1"/>
          <w:sz w:val="28"/>
        </w:rPr>
        <w:t> </w:t>
      </w:r>
      <w:r>
        <w:rPr>
          <w:rFonts w:ascii="Arial"/>
          <w:b/>
          <w:sz w:val="28"/>
        </w:rPr>
        <w:t>9A2</w:t>
        <w:tab/>
      </w:r>
      <w:r>
        <w:rPr>
          <w:rFonts w:ascii="Arial"/>
          <w:b/>
          <w:spacing w:val="-1"/>
          <w:sz w:val="28"/>
        </w:rPr>
        <w:t>[Deleted]</w:t>
      </w:r>
    </w:p>
    <w:p>
      <w:pPr>
        <w:tabs>
          <w:tab w:pos="2485" w:val="left" w:leader="none"/>
        </w:tabs>
        <w:spacing w:line="316" w:lineRule="exact" w:before="0"/>
        <w:ind w:left="218" w:right="0" w:firstLine="0"/>
        <w:jc w:val="left"/>
        <w:rPr>
          <w:rFonts w:ascii="Arial"/>
          <w:b/>
          <w:sz w:val="28"/>
        </w:rPr>
      </w:pPr>
      <w:bookmarkStart w:name="Schedule 9A3 Jurisdictional Derogations " w:id="2582"/>
      <w:bookmarkEnd w:id="2582"/>
      <w:r>
        <w:rPr/>
      </w:r>
      <w:r>
        <w:rPr>
          <w:rFonts w:ascii="Arial"/>
          <w:b/>
          <w:sz w:val="28"/>
        </w:rPr>
        <w:t>Schedule</w:t>
      </w:r>
      <w:r>
        <w:rPr>
          <w:rFonts w:ascii="Arial"/>
          <w:b/>
          <w:spacing w:val="-1"/>
          <w:sz w:val="28"/>
        </w:rPr>
        <w:t> </w:t>
      </w:r>
      <w:r>
        <w:rPr>
          <w:rFonts w:ascii="Arial"/>
          <w:b/>
          <w:sz w:val="28"/>
        </w:rPr>
        <w:t>9A3</w:t>
        <w:tab/>
        <w:t>Jurisdictional Derogations Granted to</w:t>
      </w:r>
      <w:r>
        <w:rPr>
          <w:rFonts w:ascii="Arial"/>
          <w:b/>
          <w:spacing w:val="-8"/>
          <w:sz w:val="28"/>
        </w:rPr>
        <w:t> </w:t>
      </w:r>
      <w:r>
        <w:rPr>
          <w:rFonts w:ascii="Arial"/>
          <w:b/>
          <w:sz w:val="28"/>
        </w:rPr>
        <w:t>Generators</w:t>
      </w:r>
    </w:p>
    <w:p>
      <w:pPr>
        <w:pStyle w:val="Heading4"/>
        <w:numPr>
          <w:ilvl w:val="0"/>
          <w:numId w:val="679"/>
        </w:numPr>
        <w:tabs>
          <w:tab w:pos="1351" w:val="left" w:leader="none"/>
          <w:tab w:pos="1352" w:val="left" w:leader="none"/>
        </w:tabs>
        <w:spacing w:line="240" w:lineRule="auto" w:before="240" w:after="0"/>
        <w:ind w:left="1351" w:right="0" w:hanging="1134"/>
        <w:jc w:val="left"/>
      </w:pPr>
      <w:bookmarkStart w:name="1. Interpretation of tables" w:id="2583"/>
      <w:bookmarkEnd w:id="2583"/>
      <w:r>
        <w:rPr>
          <w:b w:val="0"/>
        </w:rPr>
      </w:r>
      <w:bookmarkStart w:name="_bookmark1067" w:id="2584"/>
      <w:bookmarkEnd w:id="2584"/>
      <w:r>
        <w:rPr>
          <w:b w:val="0"/>
        </w:rPr>
      </w:r>
      <w:bookmarkStart w:name="_bookmark1067" w:id="2585"/>
      <w:bookmarkEnd w:id="2585"/>
      <w:r>
        <w:rPr/>
        <w:t>Interpretation</w:t>
      </w:r>
      <w:r>
        <w:rPr/>
        <w:t> of</w:t>
      </w:r>
      <w:r>
        <w:rPr>
          <w:spacing w:val="-1"/>
        </w:rPr>
        <w:t> </w:t>
      </w:r>
      <w:r>
        <w:rPr/>
        <w:t>tables</w:t>
      </w:r>
    </w:p>
    <w:p>
      <w:pPr>
        <w:pStyle w:val="BodyText"/>
        <w:ind w:left="1352" w:firstLine="0"/>
      </w:pPr>
      <w:r>
        <w:rPr/>
        <w:t>In this schedule</w:t>
      </w:r>
      <w:r>
        <w:rPr>
          <w:spacing w:val="-8"/>
        </w:rPr>
        <w:t> </w:t>
      </w:r>
      <w:r>
        <w:rPr/>
        <w:t>9A3:</w:t>
      </w:r>
    </w:p>
    <w:p>
      <w:pPr>
        <w:pStyle w:val="ListParagraph"/>
        <w:numPr>
          <w:ilvl w:val="1"/>
          <w:numId w:val="679"/>
        </w:numPr>
        <w:tabs>
          <w:tab w:pos="1919" w:val="left" w:leader="none"/>
        </w:tabs>
        <w:spacing w:line="240" w:lineRule="auto" w:before="120" w:after="0"/>
        <w:ind w:left="1918" w:right="0" w:hanging="567"/>
        <w:jc w:val="both"/>
        <w:rPr>
          <w:i/>
          <w:sz w:val="24"/>
        </w:rPr>
      </w:pPr>
      <w:r>
        <w:rPr>
          <w:sz w:val="24"/>
        </w:rPr>
        <w:t>a</w:t>
      </w:r>
      <w:r>
        <w:rPr>
          <w:spacing w:val="34"/>
          <w:sz w:val="24"/>
        </w:rPr>
        <w:t> </w:t>
      </w:r>
      <w:r>
        <w:rPr>
          <w:sz w:val="24"/>
        </w:rPr>
        <w:t>reference</w:t>
      </w:r>
      <w:r>
        <w:rPr>
          <w:spacing w:val="35"/>
          <w:sz w:val="24"/>
        </w:rPr>
        <w:t> </w:t>
      </w:r>
      <w:r>
        <w:rPr>
          <w:sz w:val="24"/>
        </w:rPr>
        <w:t>to</w:t>
      </w:r>
      <w:r>
        <w:rPr>
          <w:spacing w:val="34"/>
          <w:sz w:val="24"/>
        </w:rPr>
        <w:t> </w:t>
      </w:r>
      <w:r>
        <w:rPr>
          <w:sz w:val="24"/>
        </w:rPr>
        <w:t>a</w:t>
      </w:r>
      <w:r>
        <w:rPr>
          <w:spacing w:val="35"/>
          <w:sz w:val="24"/>
        </w:rPr>
        <w:t> </w:t>
      </w:r>
      <w:r>
        <w:rPr>
          <w:i/>
          <w:sz w:val="24"/>
        </w:rPr>
        <w:t>Generator</w:t>
      </w:r>
      <w:r>
        <w:rPr>
          <w:i/>
          <w:spacing w:val="34"/>
          <w:sz w:val="24"/>
        </w:rPr>
        <w:t> </w:t>
      </w:r>
      <w:r>
        <w:rPr>
          <w:sz w:val="24"/>
        </w:rPr>
        <w:t>listed</w:t>
      </w:r>
      <w:r>
        <w:rPr>
          <w:spacing w:val="35"/>
          <w:sz w:val="24"/>
        </w:rPr>
        <w:t> </w:t>
      </w:r>
      <w:r>
        <w:rPr>
          <w:sz w:val="24"/>
        </w:rPr>
        <w:t>in</w:t>
      </w:r>
      <w:r>
        <w:rPr>
          <w:spacing w:val="34"/>
          <w:sz w:val="24"/>
        </w:rPr>
        <w:t> </w:t>
      </w:r>
      <w:r>
        <w:rPr>
          <w:sz w:val="24"/>
        </w:rPr>
        <w:t>a</w:t>
      </w:r>
      <w:r>
        <w:rPr>
          <w:spacing w:val="35"/>
          <w:sz w:val="24"/>
        </w:rPr>
        <w:t> </w:t>
      </w:r>
      <w:r>
        <w:rPr>
          <w:sz w:val="24"/>
        </w:rPr>
        <w:t>table</w:t>
      </w:r>
      <w:r>
        <w:rPr>
          <w:spacing w:val="34"/>
          <w:sz w:val="24"/>
        </w:rPr>
        <w:t> </w:t>
      </w:r>
      <w:r>
        <w:rPr>
          <w:sz w:val="24"/>
        </w:rPr>
        <w:t>is</w:t>
      </w:r>
      <w:r>
        <w:rPr>
          <w:spacing w:val="35"/>
          <w:sz w:val="24"/>
        </w:rPr>
        <w:t> </w:t>
      </w:r>
      <w:r>
        <w:rPr>
          <w:sz w:val="24"/>
        </w:rPr>
        <w:t>a</w:t>
      </w:r>
      <w:r>
        <w:rPr>
          <w:spacing w:val="34"/>
          <w:sz w:val="24"/>
        </w:rPr>
        <w:t> </w:t>
      </w:r>
      <w:r>
        <w:rPr>
          <w:sz w:val="24"/>
        </w:rPr>
        <w:t>reference</w:t>
      </w:r>
      <w:r>
        <w:rPr>
          <w:spacing w:val="35"/>
          <w:sz w:val="24"/>
        </w:rPr>
        <w:t> </w:t>
      </w:r>
      <w:r>
        <w:rPr>
          <w:sz w:val="24"/>
        </w:rPr>
        <w:t>to</w:t>
      </w:r>
      <w:r>
        <w:rPr>
          <w:spacing w:val="34"/>
          <w:sz w:val="24"/>
        </w:rPr>
        <w:t> </w:t>
      </w:r>
      <w:r>
        <w:rPr>
          <w:sz w:val="24"/>
        </w:rPr>
        <w:t>a</w:t>
      </w:r>
      <w:r>
        <w:rPr>
          <w:spacing w:val="35"/>
          <w:sz w:val="24"/>
        </w:rPr>
        <w:t> </w:t>
      </w:r>
      <w:r>
        <w:rPr>
          <w:i/>
          <w:sz w:val="24"/>
        </w:rPr>
        <w:t>Generator</w:t>
      </w:r>
    </w:p>
    <w:p>
      <w:pPr>
        <w:pStyle w:val="BodyText"/>
        <w:spacing w:before="0"/>
        <w:ind w:left="1919" w:firstLine="0"/>
      </w:pPr>
      <w:r>
        <w:rPr/>
        <w:t>listed in column 1 of the relevant table;</w:t>
      </w:r>
    </w:p>
    <w:p>
      <w:pPr>
        <w:pStyle w:val="ListParagraph"/>
        <w:numPr>
          <w:ilvl w:val="1"/>
          <w:numId w:val="679"/>
        </w:numPr>
        <w:tabs>
          <w:tab w:pos="1919" w:val="left" w:leader="none"/>
        </w:tabs>
        <w:spacing w:line="240" w:lineRule="auto" w:before="120" w:after="0"/>
        <w:ind w:left="1919" w:right="415" w:hanging="567"/>
        <w:jc w:val="both"/>
        <w:rPr>
          <w:sz w:val="24"/>
        </w:rPr>
      </w:pPr>
      <w:r>
        <w:rPr>
          <w:sz w:val="24"/>
        </w:rPr>
        <w:t>a reference to a </w:t>
      </w:r>
      <w:r>
        <w:rPr>
          <w:i/>
          <w:sz w:val="24"/>
        </w:rPr>
        <w:t>generating unit </w:t>
      </w:r>
      <w:r>
        <w:rPr>
          <w:sz w:val="24"/>
        </w:rPr>
        <w:t>listed in a table in relation to a </w:t>
      </w:r>
      <w:r>
        <w:rPr>
          <w:i/>
          <w:sz w:val="24"/>
        </w:rPr>
        <w:t>Generator </w:t>
      </w:r>
      <w:r>
        <w:rPr>
          <w:sz w:val="24"/>
        </w:rPr>
        <w:t>is a reference to each </w:t>
      </w:r>
      <w:r>
        <w:rPr>
          <w:i/>
          <w:sz w:val="24"/>
        </w:rPr>
        <w:t>generating unit </w:t>
      </w:r>
      <w:r>
        <w:rPr>
          <w:sz w:val="24"/>
        </w:rPr>
        <w:t>listed opposite the </w:t>
      </w:r>
      <w:r>
        <w:rPr>
          <w:i/>
          <w:sz w:val="24"/>
        </w:rPr>
        <w:t>Generator </w:t>
      </w:r>
      <w:r>
        <w:rPr>
          <w:sz w:val="24"/>
        </w:rPr>
        <w:t>in the relevant table;</w:t>
      </w:r>
    </w:p>
    <w:p>
      <w:pPr>
        <w:pStyle w:val="ListParagraph"/>
        <w:numPr>
          <w:ilvl w:val="1"/>
          <w:numId w:val="679"/>
        </w:numPr>
        <w:tabs>
          <w:tab w:pos="1919" w:val="left" w:leader="none"/>
        </w:tabs>
        <w:spacing w:line="240" w:lineRule="auto" w:before="120" w:after="0"/>
        <w:ind w:left="1919" w:right="415" w:hanging="567"/>
        <w:jc w:val="both"/>
        <w:rPr>
          <w:sz w:val="24"/>
        </w:rPr>
      </w:pPr>
      <w:r>
        <w:rPr>
          <w:sz w:val="24"/>
        </w:rPr>
        <w:t>a reference to a </w:t>
      </w:r>
      <w:r>
        <w:rPr>
          <w:i/>
          <w:sz w:val="24"/>
        </w:rPr>
        <w:t>Network Service Provider </w:t>
      </w:r>
      <w:r>
        <w:rPr>
          <w:sz w:val="24"/>
        </w:rPr>
        <w:t>in relation to a </w:t>
      </w:r>
      <w:r>
        <w:rPr>
          <w:i/>
          <w:sz w:val="24"/>
        </w:rPr>
        <w:t>generating unit </w:t>
      </w:r>
      <w:r>
        <w:rPr>
          <w:sz w:val="24"/>
        </w:rPr>
        <w:t>or a </w:t>
      </w:r>
      <w:r>
        <w:rPr>
          <w:i/>
          <w:sz w:val="24"/>
        </w:rPr>
        <w:t>Generator </w:t>
      </w:r>
      <w:r>
        <w:rPr>
          <w:sz w:val="24"/>
        </w:rPr>
        <w:t>listed in a table is to be taken to</w:t>
      </w:r>
      <w:r>
        <w:rPr>
          <w:spacing w:val="-5"/>
          <w:sz w:val="24"/>
        </w:rPr>
        <w:t> </w:t>
      </w:r>
      <w:r>
        <w:rPr>
          <w:sz w:val="24"/>
        </w:rPr>
        <w:t>be:</w:t>
      </w:r>
    </w:p>
    <w:p>
      <w:pPr>
        <w:pStyle w:val="ListParagraph"/>
        <w:numPr>
          <w:ilvl w:val="2"/>
          <w:numId w:val="679"/>
        </w:numPr>
        <w:tabs>
          <w:tab w:pos="2486" w:val="left" w:leader="none"/>
        </w:tabs>
        <w:spacing w:line="240" w:lineRule="auto" w:before="120" w:after="0"/>
        <w:ind w:left="2486" w:right="417" w:hanging="567"/>
        <w:jc w:val="both"/>
        <w:rPr>
          <w:sz w:val="24"/>
        </w:rPr>
      </w:pPr>
      <w:r>
        <w:rPr>
          <w:sz w:val="24"/>
        </w:rPr>
        <w:t>in the case of a </w:t>
      </w:r>
      <w:r>
        <w:rPr>
          <w:i/>
          <w:sz w:val="24"/>
        </w:rPr>
        <w:t>generating unit connected </w:t>
      </w:r>
      <w:r>
        <w:rPr>
          <w:sz w:val="24"/>
        </w:rPr>
        <w:t>to a </w:t>
      </w:r>
      <w:r>
        <w:rPr>
          <w:i/>
          <w:sz w:val="24"/>
        </w:rPr>
        <w:t>transmission network</w:t>
      </w:r>
      <w:r>
        <w:rPr>
          <w:sz w:val="24"/>
        </w:rPr>
        <w:t>, a reference to VENCorp;</w:t>
      </w:r>
      <w:r>
        <w:rPr>
          <w:spacing w:val="-2"/>
          <w:sz w:val="24"/>
        </w:rPr>
        <w:t> </w:t>
      </w:r>
      <w:r>
        <w:rPr>
          <w:sz w:val="24"/>
        </w:rPr>
        <w:t>and</w:t>
      </w:r>
    </w:p>
    <w:p>
      <w:pPr>
        <w:pStyle w:val="ListParagraph"/>
        <w:numPr>
          <w:ilvl w:val="2"/>
          <w:numId w:val="679"/>
        </w:numPr>
        <w:tabs>
          <w:tab w:pos="2486" w:val="left" w:leader="none"/>
        </w:tabs>
        <w:spacing w:line="240" w:lineRule="auto" w:before="120" w:after="0"/>
        <w:ind w:left="2486" w:right="415" w:hanging="567"/>
        <w:jc w:val="both"/>
        <w:rPr>
          <w:sz w:val="24"/>
        </w:rPr>
      </w:pPr>
      <w:r>
        <w:rPr>
          <w:sz w:val="24"/>
        </w:rPr>
        <w:t>in the case of a </w:t>
      </w:r>
      <w:r>
        <w:rPr>
          <w:i/>
          <w:sz w:val="24"/>
        </w:rPr>
        <w:t>generating unit connected </w:t>
      </w:r>
      <w:r>
        <w:rPr>
          <w:sz w:val="24"/>
        </w:rPr>
        <w:t>to a </w:t>
      </w:r>
      <w:r>
        <w:rPr>
          <w:i/>
          <w:sz w:val="24"/>
        </w:rPr>
        <w:t>distribution network</w:t>
      </w:r>
      <w:r>
        <w:rPr>
          <w:sz w:val="24"/>
        </w:rPr>
        <w:t>, </w:t>
      </w:r>
      <w:r>
        <w:rPr>
          <w:spacing w:val="-16"/>
          <w:sz w:val="24"/>
        </w:rPr>
        <w:t>a </w:t>
      </w:r>
      <w:r>
        <w:rPr>
          <w:sz w:val="24"/>
        </w:rPr>
        <w:t>reference to the person that is the </w:t>
      </w:r>
      <w:r>
        <w:rPr>
          <w:i/>
          <w:sz w:val="24"/>
        </w:rPr>
        <w:t>Network Service Provider </w:t>
      </w:r>
      <w:r>
        <w:rPr>
          <w:sz w:val="24"/>
        </w:rPr>
        <w:t>in </w:t>
      </w:r>
      <w:r>
        <w:rPr>
          <w:spacing w:val="-3"/>
          <w:sz w:val="24"/>
        </w:rPr>
        <w:t>relation </w:t>
      </w:r>
      <w:r>
        <w:rPr>
          <w:sz w:val="24"/>
        </w:rPr>
        <w:t>to that </w:t>
      </w:r>
      <w:r>
        <w:rPr>
          <w:i/>
          <w:sz w:val="24"/>
        </w:rPr>
        <w:t>distribution network</w:t>
      </w:r>
      <w:r>
        <w:rPr>
          <w:sz w:val="24"/>
        </w:rPr>
        <w:t>;</w:t>
      </w:r>
      <w:r>
        <w:rPr>
          <w:spacing w:val="-2"/>
          <w:sz w:val="24"/>
        </w:rPr>
        <w:t> </w:t>
      </w:r>
      <w:r>
        <w:rPr>
          <w:sz w:val="24"/>
        </w:rPr>
        <w:t>and</w:t>
      </w:r>
    </w:p>
    <w:p>
      <w:pPr>
        <w:pStyle w:val="ListParagraph"/>
        <w:numPr>
          <w:ilvl w:val="1"/>
          <w:numId w:val="679"/>
        </w:numPr>
        <w:tabs>
          <w:tab w:pos="1919" w:val="left" w:leader="none"/>
        </w:tabs>
        <w:spacing w:line="240" w:lineRule="auto" w:before="120" w:after="0"/>
        <w:ind w:left="1919" w:right="415" w:hanging="567"/>
        <w:jc w:val="both"/>
        <w:rPr>
          <w:sz w:val="24"/>
        </w:rPr>
      </w:pPr>
      <w:r>
        <w:rPr>
          <w:sz w:val="24"/>
        </w:rPr>
        <w:t>a reference to a modification or variation of the </w:t>
      </w:r>
      <w:r>
        <w:rPr>
          <w:i/>
          <w:sz w:val="24"/>
        </w:rPr>
        <w:t>Rules </w:t>
      </w:r>
      <w:r>
        <w:rPr>
          <w:sz w:val="24"/>
        </w:rPr>
        <w:t>or an item taken to have been agreed for the purposes of the </w:t>
      </w:r>
      <w:r>
        <w:rPr>
          <w:i/>
          <w:sz w:val="24"/>
        </w:rPr>
        <w:t>Rules </w:t>
      </w:r>
      <w:r>
        <w:rPr>
          <w:sz w:val="24"/>
        </w:rPr>
        <w:t>listed in a table applies in respect of each </w:t>
      </w:r>
      <w:r>
        <w:rPr>
          <w:i/>
          <w:sz w:val="24"/>
        </w:rPr>
        <w:t>generating unit </w:t>
      </w:r>
      <w:r>
        <w:rPr>
          <w:sz w:val="24"/>
        </w:rPr>
        <w:t>listed opposite that modification, variation or agreed item in the</w:t>
      </w:r>
      <w:r>
        <w:rPr>
          <w:spacing w:val="-2"/>
          <w:sz w:val="24"/>
        </w:rPr>
        <w:t> </w:t>
      </w:r>
      <w:r>
        <w:rPr>
          <w:sz w:val="24"/>
        </w:rPr>
        <w:t>table.</w:t>
      </w:r>
    </w:p>
    <w:p>
      <w:pPr>
        <w:pStyle w:val="BodyText"/>
        <w:spacing w:before="10"/>
        <w:ind w:firstLine="0"/>
        <w:jc w:val="left"/>
        <w:rPr>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2. Continuing effect" w:id="2586"/>
      <w:bookmarkEnd w:id="2586"/>
      <w:r>
        <w:rPr>
          <w:b w:val="0"/>
        </w:rPr>
      </w:r>
      <w:bookmarkStart w:name="_bookmark1068" w:id="2587"/>
      <w:bookmarkEnd w:id="2587"/>
      <w:r>
        <w:rPr>
          <w:b w:val="0"/>
        </w:rPr>
      </w:r>
      <w:bookmarkStart w:name="_bookmark1068" w:id="2588"/>
      <w:bookmarkEnd w:id="2588"/>
      <w:r>
        <w:rPr/>
        <w:t>Continu</w:t>
      </w:r>
      <w:r>
        <w:rPr/>
        <w:t>ing</w:t>
      </w:r>
      <w:r>
        <w:rPr>
          <w:spacing w:val="-1"/>
        </w:rPr>
        <w:t> </w:t>
      </w:r>
      <w:r>
        <w:rPr/>
        <w:t>effect</w:t>
      </w:r>
    </w:p>
    <w:p>
      <w:pPr>
        <w:pStyle w:val="BodyText"/>
        <w:ind w:left="1352" w:firstLine="0"/>
        <w:jc w:val="left"/>
      </w:pPr>
      <w:r>
        <w:rPr/>
        <w:t>In this schedule 9A3, a reference to:</w:t>
      </w:r>
    </w:p>
    <w:p>
      <w:pPr>
        <w:pStyle w:val="ListParagraph"/>
        <w:numPr>
          <w:ilvl w:val="1"/>
          <w:numId w:val="679"/>
        </w:numPr>
        <w:tabs>
          <w:tab w:pos="1918" w:val="left" w:leader="none"/>
          <w:tab w:pos="1919" w:val="left" w:leader="none"/>
        </w:tabs>
        <w:spacing w:line="240" w:lineRule="auto" w:before="120" w:after="0"/>
        <w:ind w:left="1918" w:right="0" w:hanging="567"/>
        <w:jc w:val="left"/>
        <w:rPr>
          <w:sz w:val="24"/>
        </w:rPr>
      </w:pPr>
      <w:r>
        <w:rPr>
          <w:sz w:val="24"/>
        </w:rPr>
        <w:t>a particular </w:t>
      </w:r>
      <w:r>
        <w:rPr>
          <w:i/>
          <w:sz w:val="24"/>
        </w:rPr>
        <w:t>Generator </w:t>
      </w:r>
      <w:r>
        <w:rPr>
          <w:sz w:val="24"/>
        </w:rPr>
        <w:t>in relation to a </w:t>
      </w:r>
      <w:r>
        <w:rPr>
          <w:i/>
          <w:sz w:val="24"/>
        </w:rPr>
        <w:t>generating unit</w:t>
      </w:r>
      <w:r>
        <w:rPr>
          <w:sz w:val="24"/>
        </w:rPr>
        <w:t>;</w:t>
      </w:r>
      <w:r>
        <w:rPr>
          <w:spacing w:val="-1"/>
          <w:sz w:val="24"/>
        </w:rPr>
        <w:t> </w:t>
      </w:r>
      <w:r>
        <w:rPr>
          <w:sz w:val="24"/>
        </w:rPr>
        <w:t>or</w:t>
      </w:r>
    </w:p>
    <w:p>
      <w:pPr>
        <w:pStyle w:val="ListParagraph"/>
        <w:numPr>
          <w:ilvl w:val="1"/>
          <w:numId w:val="679"/>
        </w:numPr>
        <w:tabs>
          <w:tab w:pos="1918" w:val="left" w:leader="none"/>
          <w:tab w:pos="1919" w:val="left" w:leader="none"/>
        </w:tabs>
        <w:spacing w:line="240" w:lineRule="auto" w:before="120" w:after="0"/>
        <w:ind w:left="1918" w:right="0" w:hanging="567"/>
        <w:jc w:val="left"/>
        <w:rPr>
          <w:sz w:val="24"/>
        </w:rPr>
      </w:pPr>
      <w:r>
        <w:rPr>
          <w:sz w:val="24"/>
        </w:rPr>
        <w:t>a particular </w:t>
      </w:r>
      <w:r>
        <w:rPr>
          <w:i/>
          <w:sz w:val="24"/>
        </w:rPr>
        <w:t>Network Service Provider </w:t>
      </w:r>
      <w:r>
        <w:rPr>
          <w:sz w:val="24"/>
        </w:rPr>
        <w:t>in relation to a</w:t>
      </w:r>
      <w:r>
        <w:rPr>
          <w:spacing w:val="-4"/>
          <w:sz w:val="24"/>
        </w:rPr>
        <w:t> </w:t>
      </w:r>
      <w:r>
        <w:rPr>
          <w:i/>
          <w:sz w:val="24"/>
        </w:rPr>
        <w:t>Generator</w:t>
      </w:r>
      <w:r>
        <w:rPr>
          <w:sz w:val="24"/>
        </w:rPr>
        <w:t>,</w:t>
      </w:r>
    </w:p>
    <w:p>
      <w:pPr>
        <w:spacing w:before="120"/>
        <w:ind w:left="1352" w:right="414" w:firstLine="0"/>
        <w:jc w:val="both"/>
        <w:rPr>
          <w:sz w:val="24"/>
        </w:rPr>
      </w:pPr>
      <w:r>
        <w:rPr>
          <w:sz w:val="24"/>
        </w:rPr>
        <w:t>at any time after the 13 December 1998 is to be taken as a reference to the person or persons who is or are (or who is or are deemed to be) from time to time registered with </w:t>
      </w:r>
      <w:r>
        <w:rPr>
          <w:i/>
          <w:sz w:val="24"/>
        </w:rPr>
        <w:t>AEMO </w:t>
      </w:r>
      <w:r>
        <w:rPr>
          <w:sz w:val="24"/>
        </w:rPr>
        <w:t>as the </w:t>
      </w:r>
      <w:r>
        <w:rPr>
          <w:i/>
          <w:sz w:val="24"/>
        </w:rPr>
        <w:t>Generator </w:t>
      </w:r>
      <w:r>
        <w:rPr>
          <w:sz w:val="24"/>
        </w:rPr>
        <w:t>in respect of that </w:t>
      </w:r>
      <w:r>
        <w:rPr>
          <w:i/>
          <w:sz w:val="24"/>
        </w:rPr>
        <w:t>generating unit </w:t>
      </w:r>
      <w:r>
        <w:rPr>
          <w:sz w:val="24"/>
        </w:rPr>
        <w:t>for the purposes of the </w:t>
      </w:r>
      <w:r>
        <w:rPr>
          <w:i/>
          <w:sz w:val="24"/>
        </w:rPr>
        <w:t>Rules </w:t>
      </w:r>
      <w:r>
        <w:rPr>
          <w:sz w:val="24"/>
        </w:rPr>
        <w:t>or the </w:t>
      </w:r>
      <w:r>
        <w:rPr>
          <w:i/>
          <w:sz w:val="24"/>
        </w:rPr>
        <w:t>Network Service Provider </w:t>
      </w:r>
      <w:r>
        <w:rPr>
          <w:sz w:val="24"/>
        </w:rPr>
        <w:t>from time to time in respect of the </w:t>
      </w:r>
      <w:r>
        <w:rPr>
          <w:i/>
          <w:sz w:val="24"/>
        </w:rPr>
        <w:t>transmission network </w:t>
      </w:r>
      <w:r>
        <w:rPr>
          <w:sz w:val="24"/>
        </w:rPr>
        <w:t>or </w:t>
      </w:r>
      <w:r>
        <w:rPr>
          <w:i/>
          <w:sz w:val="24"/>
        </w:rPr>
        <w:t>distribution network </w:t>
      </w:r>
      <w:r>
        <w:rPr>
          <w:sz w:val="24"/>
        </w:rPr>
        <w:t>to which the </w:t>
      </w:r>
      <w:r>
        <w:rPr>
          <w:i/>
          <w:sz w:val="24"/>
        </w:rPr>
        <w:t>generating unit </w:t>
      </w:r>
      <w:r>
        <w:rPr>
          <w:sz w:val="24"/>
        </w:rPr>
        <w:t>is</w:t>
      </w:r>
      <w:r>
        <w:rPr>
          <w:spacing w:val="-1"/>
          <w:sz w:val="24"/>
        </w:rPr>
        <w:t> </w:t>
      </w:r>
      <w:r>
        <w:rPr>
          <w:i/>
          <w:sz w:val="24"/>
        </w:rPr>
        <w:t>connected</w:t>
      </w:r>
      <w:r>
        <w:rPr>
          <w:sz w:val="24"/>
        </w:rPr>
        <w:t>.</w:t>
      </w:r>
    </w:p>
    <w:p>
      <w:pPr>
        <w:spacing w:after="0"/>
        <w:jc w:val="both"/>
        <w:rPr>
          <w:sz w:val="24"/>
        </w:rPr>
        <w:sectPr>
          <w:pgSz w:w="11910" w:h="16840"/>
          <w:pgMar w:header="686" w:footer="637" w:top="1320" w:bottom="820" w:left="1200" w:right="1000"/>
        </w:sectPr>
      </w:pPr>
    </w:p>
    <w:p>
      <w:pPr>
        <w:pStyle w:val="Heading4"/>
        <w:numPr>
          <w:ilvl w:val="0"/>
          <w:numId w:val="679"/>
        </w:numPr>
        <w:tabs>
          <w:tab w:pos="1351" w:val="left" w:leader="none"/>
          <w:tab w:pos="1352" w:val="left" w:leader="none"/>
        </w:tabs>
        <w:spacing w:line="240" w:lineRule="auto" w:before="83" w:after="0"/>
        <w:ind w:left="1351" w:right="0" w:hanging="1134"/>
        <w:jc w:val="left"/>
      </w:pPr>
      <w:bookmarkStart w:name="3. Subsequent agreement" w:id="2589"/>
      <w:bookmarkEnd w:id="2589"/>
      <w:r>
        <w:rPr>
          <w:b w:val="0"/>
        </w:rPr>
      </w:r>
      <w:bookmarkStart w:name="_bookmark1069" w:id="2590"/>
      <w:bookmarkEnd w:id="2590"/>
      <w:r>
        <w:rPr>
          <w:b w:val="0"/>
        </w:rPr>
      </w:r>
      <w:bookmarkStart w:name="_bookmark1069" w:id="2591"/>
      <w:bookmarkEnd w:id="2591"/>
      <w:r>
        <w:rPr/>
        <w:t>Subsequent</w:t>
      </w:r>
      <w:r>
        <w:rPr>
          <w:spacing w:val="-2"/>
        </w:rPr>
        <w:t> </w:t>
      </w:r>
      <w:r>
        <w:rPr/>
        <w:t>agreement</w:t>
      </w:r>
    </w:p>
    <w:p>
      <w:pPr>
        <w:pStyle w:val="BodyText"/>
        <w:ind w:left="1352" w:right="416" w:firstLine="0"/>
      </w:pPr>
      <w:r>
        <w:rPr/>
        <w:t>Where, under a provision of this schedule 9A3, a particular matter is taken to have been agreed for the purposes of schedule 5.2 of the </w:t>
      </w:r>
      <w:r>
        <w:rPr>
          <w:i/>
        </w:rPr>
        <w:t>Rules </w:t>
      </w:r>
      <w:r>
        <w:rPr/>
        <w:t>in relation to a </w:t>
      </w:r>
      <w:r>
        <w:rPr>
          <w:i/>
        </w:rPr>
        <w:t>generating unit</w:t>
      </w:r>
      <w:r>
        <w:rPr/>
        <w:t>, then that provision ceases to apply in respect of that </w:t>
      </w:r>
      <w:r>
        <w:rPr>
          <w:i/>
        </w:rPr>
        <w:t>generating </w:t>
      </w:r>
      <w:r>
        <w:rPr>
          <w:i/>
        </w:rPr>
        <w:t>unit </w:t>
      </w:r>
      <w:r>
        <w:rPr/>
        <w:t>if all the parties required to reach agreement in relation to that matter under the </w:t>
      </w:r>
      <w:r>
        <w:rPr>
          <w:i/>
        </w:rPr>
        <w:t>Rules </w:t>
      </w:r>
      <w:r>
        <w:rPr/>
        <w:t>so agree expressly in writing.</w:t>
      </w:r>
    </w:p>
    <w:p>
      <w:pPr>
        <w:pStyle w:val="BodyText"/>
        <w:spacing w:before="10"/>
        <w:ind w:firstLine="0"/>
        <w:jc w:val="left"/>
        <w:rPr>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4. [Deleted]" w:id="2592"/>
      <w:bookmarkEnd w:id="2592"/>
      <w:r>
        <w:rPr>
          <w:b w:val="0"/>
        </w:rPr>
      </w:r>
      <w:bookmarkStart w:name="_bookmark1070" w:id="2593"/>
      <w:bookmarkEnd w:id="2593"/>
      <w:r>
        <w:rPr>
          <w:b w:val="0"/>
        </w:rPr>
      </w:r>
      <w:bookmarkStart w:name="_bookmark1070" w:id="2594"/>
      <w:bookmarkEnd w:id="2594"/>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5. Reactive Power Capability (clause S5." w:id="2595"/>
      <w:bookmarkEnd w:id="2595"/>
      <w:r>
        <w:rPr>
          <w:b w:val="0"/>
        </w:rPr>
      </w:r>
      <w:bookmarkStart w:name="_bookmark1071" w:id="2596"/>
      <w:bookmarkEnd w:id="2596"/>
      <w:r>
        <w:rPr>
          <w:b w:val="0"/>
        </w:rPr>
      </w:r>
      <w:bookmarkStart w:name="_bookmark1071" w:id="2597"/>
      <w:bookmarkEnd w:id="2597"/>
      <w:r>
        <w:rPr/>
        <w:t>Rea</w:t>
      </w:r>
      <w:r>
        <w:rPr/>
        <w:t>ctive Power Capability (clause S5.2.5.1 of schedule</w:t>
      </w:r>
      <w:r>
        <w:rPr>
          <w:spacing w:val="-7"/>
        </w:rPr>
        <w:t> </w:t>
      </w:r>
      <w:r>
        <w:rPr/>
        <w:t>5.2)</w:t>
      </w:r>
    </w:p>
    <w:p>
      <w:pPr>
        <w:pStyle w:val="BodyText"/>
        <w:ind w:left="1352" w:right="415" w:firstLine="0"/>
      </w:pPr>
      <w:r>
        <w:rPr/>
        <w:t>Clause S5.2.5.1 of schedule 5.2 of the </w:t>
      </w:r>
      <w:r>
        <w:rPr>
          <w:i/>
        </w:rPr>
        <w:t>Rules </w:t>
      </w:r>
      <w:r>
        <w:rPr/>
        <w:t>is replaced for a </w:t>
      </w:r>
      <w:r>
        <w:rPr>
          <w:i/>
        </w:rPr>
        <w:t>Generator </w:t>
      </w:r>
      <w:r>
        <w:rPr/>
        <w:t>listed in Table 2 in respect of those </w:t>
      </w:r>
      <w:r>
        <w:rPr>
          <w:i/>
        </w:rPr>
        <w:t>generating units </w:t>
      </w:r>
      <w:r>
        <w:rPr/>
        <w:t>listed in column 2 of Table 2 by the following:</w:t>
      </w:r>
    </w:p>
    <w:p>
      <w:pPr>
        <w:pStyle w:val="BodyText"/>
        <w:ind w:left="1352" w:firstLine="0"/>
      </w:pPr>
      <w:r>
        <w:rPr/>
        <w:t>For the purpose of this clause S5.2.5.1:</w:t>
      </w:r>
    </w:p>
    <w:p>
      <w:pPr>
        <w:spacing w:before="120"/>
        <w:ind w:left="1352" w:right="415" w:firstLine="0"/>
        <w:jc w:val="both"/>
        <w:rPr>
          <w:sz w:val="24"/>
        </w:rPr>
      </w:pPr>
      <w:r>
        <w:rPr>
          <w:b/>
          <w:sz w:val="24"/>
        </w:rPr>
        <w:t>rated </w:t>
      </w:r>
      <w:r>
        <w:rPr>
          <w:b/>
          <w:i/>
          <w:sz w:val="24"/>
        </w:rPr>
        <w:t>active power </w:t>
      </w:r>
      <w:r>
        <w:rPr>
          <w:b/>
          <w:sz w:val="24"/>
        </w:rPr>
        <w:t>output </w:t>
      </w:r>
      <w:r>
        <w:rPr>
          <w:sz w:val="24"/>
        </w:rPr>
        <w:t>means the 'Rated MW (Generated)' (as defined in the </w:t>
      </w:r>
      <w:r>
        <w:rPr>
          <w:i/>
          <w:sz w:val="24"/>
        </w:rPr>
        <w:t>Generating System Design Data Sheet</w:t>
      </w:r>
      <w:r>
        <w:rPr>
          <w:sz w:val="24"/>
        </w:rPr>
        <w:t>) for the relevant </w:t>
      </w:r>
      <w:r>
        <w:rPr>
          <w:i/>
          <w:sz w:val="24"/>
        </w:rPr>
        <w:t>synchronous generating </w:t>
      </w:r>
      <w:r>
        <w:rPr>
          <w:i/>
          <w:sz w:val="24"/>
        </w:rPr>
        <w:t>unit</w:t>
      </w:r>
      <w:r>
        <w:rPr>
          <w:sz w:val="24"/>
        </w:rPr>
        <w:t>; and</w:t>
      </w:r>
    </w:p>
    <w:p>
      <w:pPr>
        <w:spacing w:before="120"/>
        <w:ind w:left="1352" w:right="416" w:firstLine="0"/>
        <w:jc w:val="both"/>
        <w:rPr>
          <w:sz w:val="24"/>
        </w:rPr>
      </w:pPr>
      <w:r>
        <w:rPr>
          <w:b/>
          <w:sz w:val="24"/>
        </w:rPr>
        <w:t>nominal terminal </w:t>
      </w:r>
      <w:r>
        <w:rPr>
          <w:b/>
          <w:i/>
          <w:sz w:val="24"/>
        </w:rPr>
        <w:t>voltage </w:t>
      </w:r>
      <w:r>
        <w:rPr>
          <w:sz w:val="24"/>
        </w:rPr>
        <w:t>means the 'Nominal Terminal </w:t>
      </w:r>
      <w:r>
        <w:rPr>
          <w:i/>
          <w:sz w:val="24"/>
        </w:rPr>
        <w:t>Voltage</w:t>
      </w:r>
      <w:r>
        <w:rPr>
          <w:sz w:val="24"/>
        </w:rPr>
        <w:t>' (as defined in the </w:t>
      </w:r>
      <w:r>
        <w:rPr>
          <w:i/>
          <w:sz w:val="24"/>
        </w:rPr>
        <w:t>Generating System Design Data Sheet</w:t>
      </w:r>
      <w:r>
        <w:rPr>
          <w:sz w:val="24"/>
        </w:rPr>
        <w:t>) for the relevant </w:t>
      </w:r>
      <w:r>
        <w:rPr>
          <w:i/>
          <w:sz w:val="24"/>
        </w:rPr>
        <w:t>synchronous </w:t>
      </w:r>
      <w:r>
        <w:rPr>
          <w:i/>
          <w:sz w:val="24"/>
        </w:rPr>
        <w:t>generating unit</w:t>
      </w:r>
      <w:r>
        <w:rPr>
          <w:sz w:val="24"/>
        </w:rPr>
        <w:t>.</w:t>
      </w:r>
    </w:p>
    <w:p>
      <w:pPr>
        <w:pStyle w:val="ListParagraph"/>
        <w:numPr>
          <w:ilvl w:val="1"/>
          <w:numId w:val="679"/>
        </w:numPr>
        <w:tabs>
          <w:tab w:pos="1919" w:val="left" w:leader="none"/>
        </w:tabs>
        <w:spacing w:line="240" w:lineRule="auto" w:before="120" w:after="0"/>
        <w:ind w:left="1918" w:right="0" w:hanging="567"/>
        <w:jc w:val="both"/>
        <w:rPr>
          <w:sz w:val="24"/>
        </w:rPr>
      </w:pPr>
      <w:r>
        <w:rPr>
          <w:sz w:val="24"/>
        </w:rPr>
        <w:t>Each</w:t>
      </w:r>
      <w:r>
        <w:rPr>
          <w:spacing w:val="28"/>
          <w:sz w:val="24"/>
        </w:rPr>
        <w:t> </w:t>
      </w:r>
      <w:r>
        <w:rPr>
          <w:sz w:val="24"/>
        </w:rPr>
        <w:t>of</w:t>
      </w:r>
      <w:r>
        <w:rPr>
          <w:spacing w:val="29"/>
          <w:sz w:val="24"/>
        </w:rPr>
        <w:t> </w:t>
      </w:r>
      <w:r>
        <w:rPr>
          <w:sz w:val="24"/>
        </w:rPr>
        <w:t>the</w:t>
      </w:r>
      <w:r>
        <w:rPr>
          <w:spacing w:val="29"/>
          <w:sz w:val="24"/>
        </w:rPr>
        <w:t> </w:t>
      </w:r>
      <w:r>
        <w:rPr>
          <w:i/>
          <w:sz w:val="24"/>
        </w:rPr>
        <w:t>synchronous</w:t>
      </w:r>
      <w:r>
        <w:rPr>
          <w:i/>
          <w:spacing w:val="28"/>
          <w:sz w:val="24"/>
        </w:rPr>
        <w:t> </w:t>
      </w:r>
      <w:r>
        <w:rPr>
          <w:i/>
          <w:sz w:val="24"/>
        </w:rPr>
        <w:t>generating</w:t>
      </w:r>
      <w:r>
        <w:rPr>
          <w:i/>
          <w:spacing w:val="29"/>
          <w:sz w:val="24"/>
        </w:rPr>
        <w:t> </w:t>
      </w:r>
      <w:r>
        <w:rPr>
          <w:i/>
          <w:sz w:val="24"/>
        </w:rPr>
        <w:t>units</w:t>
      </w:r>
      <w:r>
        <w:rPr>
          <w:sz w:val="24"/>
        </w:rPr>
        <w:t>,</w:t>
      </w:r>
      <w:r>
        <w:rPr>
          <w:spacing w:val="29"/>
          <w:sz w:val="24"/>
        </w:rPr>
        <w:t> </w:t>
      </w:r>
      <w:r>
        <w:rPr>
          <w:sz w:val="24"/>
        </w:rPr>
        <w:t>while</w:t>
      </w:r>
      <w:r>
        <w:rPr>
          <w:spacing w:val="29"/>
          <w:sz w:val="24"/>
        </w:rPr>
        <w:t> </w:t>
      </w:r>
      <w:r>
        <w:rPr>
          <w:sz w:val="24"/>
        </w:rPr>
        <w:t>operating</w:t>
      </w:r>
      <w:r>
        <w:rPr>
          <w:spacing w:val="29"/>
          <w:sz w:val="24"/>
        </w:rPr>
        <w:t> </w:t>
      </w:r>
      <w:r>
        <w:rPr>
          <w:sz w:val="24"/>
        </w:rPr>
        <w:t>at</w:t>
      </w:r>
      <w:r>
        <w:rPr>
          <w:spacing w:val="29"/>
          <w:sz w:val="24"/>
        </w:rPr>
        <w:t> </w:t>
      </w:r>
      <w:r>
        <w:rPr>
          <w:sz w:val="24"/>
        </w:rPr>
        <w:t>any</w:t>
      </w:r>
      <w:r>
        <w:rPr>
          <w:spacing w:val="29"/>
          <w:sz w:val="24"/>
        </w:rPr>
        <w:t> </w:t>
      </w:r>
      <w:r>
        <w:rPr>
          <w:sz w:val="24"/>
        </w:rPr>
        <w:t>level</w:t>
      </w:r>
      <w:r>
        <w:rPr>
          <w:spacing w:val="29"/>
          <w:sz w:val="24"/>
        </w:rPr>
        <w:t> </w:t>
      </w:r>
      <w:r>
        <w:rPr>
          <w:sz w:val="24"/>
        </w:rPr>
        <w:t>of</w:t>
      </w:r>
    </w:p>
    <w:p>
      <w:pPr>
        <w:spacing w:before="0"/>
        <w:ind w:left="1919" w:right="0" w:firstLine="0"/>
        <w:jc w:val="both"/>
        <w:rPr>
          <w:sz w:val="24"/>
        </w:rPr>
      </w:pPr>
      <w:r>
        <w:rPr>
          <w:i/>
          <w:sz w:val="24"/>
        </w:rPr>
        <w:t>active power </w:t>
      </w:r>
      <w:r>
        <w:rPr>
          <w:sz w:val="24"/>
        </w:rPr>
        <w:t>output, must be capable of:</w:t>
      </w:r>
    </w:p>
    <w:p>
      <w:pPr>
        <w:pStyle w:val="ListParagraph"/>
        <w:numPr>
          <w:ilvl w:val="2"/>
          <w:numId w:val="679"/>
        </w:numPr>
        <w:tabs>
          <w:tab w:pos="2486" w:val="left" w:leader="none"/>
        </w:tabs>
        <w:spacing w:line="240" w:lineRule="auto" w:before="120" w:after="0"/>
        <w:ind w:left="2486" w:right="414" w:hanging="567"/>
        <w:jc w:val="both"/>
        <w:rPr>
          <w:sz w:val="24"/>
        </w:rPr>
      </w:pPr>
      <w:r>
        <w:rPr>
          <w:sz w:val="24"/>
        </w:rPr>
        <w:t>supplying at its terminals an amount of </w:t>
      </w:r>
      <w:r>
        <w:rPr>
          <w:i/>
          <w:sz w:val="24"/>
        </w:rPr>
        <w:t>reactive power </w:t>
      </w:r>
      <w:r>
        <w:rPr>
          <w:sz w:val="24"/>
        </w:rPr>
        <w:t>of at least the amount that would be supplied if the </w:t>
      </w:r>
      <w:r>
        <w:rPr>
          <w:i/>
          <w:sz w:val="24"/>
        </w:rPr>
        <w:t>generating unit </w:t>
      </w:r>
      <w:r>
        <w:rPr>
          <w:sz w:val="24"/>
        </w:rPr>
        <w:t>operated at </w:t>
      </w:r>
      <w:r>
        <w:rPr>
          <w:i/>
          <w:sz w:val="24"/>
        </w:rPr>
        <w:t>rated </w:t>
      </w:r>
      <w:r>
        <w:rPr>
          <w:i/>
          <w:sz w:val="24"/>
        </w:rPr>
        <w:t>active power output</w:t>
      </w:r>
      <w:r>
        <w:rPr>
          <w:sz w:val="24"/>
        </w:rPr>
        <w:t>, </w:t>
      </w:r>
      <w:r>
        <w:rPr>
          <w:i/>
          <w:sz w:val="24"/>
        </w:rPr>
        <w:t>nominal terminal voltage </w:t>
      </w:r>
      <w:r>
        <w:rPr>
          <w:sz w:val="24"/>
        </w:rPr>
        <w:t>and a lagging power factor of 0.9;</w:t>
      </w:r>
      <w:r>
        <w:rPr>
          <w:spacing w:val="-1"/>
          <w:sz w:val="24"/>
        </w:rPr>
        <w:t> </w:t>
      </w:r>
      <w:r>
        <w:rPr>
          <w:sz w:val="24"/>
        </w:rPr>
        <w:t>and</w:t>
      </w:r>
    </w:p>
    <w:p>
      <w:pPr>
        <w:pStyle w:val="ListParagraph"/>
        <w:numPr>
          <w:ilvl w:val="2"/>
          <w:numId w:val="679"/>
        </w:numPr>
        <w:tabs>
          <w:tab w:pos="2486" w:val="left" w:leader="none"/>
        </w:tabs>
        <w:spacing w:line="240" w:lineRule="auto" w:before="120" w:after="0"/>
        <w:ind w:left="2486" w:right="415" w:hanging="567"/>
        <w:jc w:val="both"/>
        <w:rPr>
          <w:sz w:val="24"/>
        </w:rPr>
      </w:pPr>
      <w:r>
        <w:rPr>
          <w:sz w:val="24"/>
        </w:rPr>
        <w:t>absorbing at its terminals an amount of </w:t>
      </w:r>
      <w:r>
        <w:rPr>
          <w:i/>
          <w:sz w:val="24"/>
        </w:rPr>
        <w:t>reactive power </w:t>
      </w:r>
      <w:r>
        <w:rPr>
          <w:sz w:val="24"/>
        </w:rPr>
        <w:t>of at least the amount that would be absorbed if the </w:t>
      </w:r>
      <w:r>
        <w:rPr>
          <w:i/>
          <w:sz w:val="24"/>
        </w:rPr>
        <w:t>generating unit </w:t>
      </w:r>
      <w:r>
        <w:rPr>
          <w:sz w:val="24"/>
        </w:rPr>
        <w:t>operated at </w:t>
      </w:r>
      <w:r>
        <w:rPr>
          <w:i/>
          <w:sz w:val="24"/>
        </w:rPr>
        <w:t>rated </w:t>
      </w:r>
      <w:r>
        <w:rPr>
          <w:i/>
          <w:sz w:val="24"/>
        </w:rPr>
        <w:t>active power output</w:t>
      </w:r>
      <w:r>
        <w:rPr>
          <w:sz w:val="24"/>
        </w:rPr>
        <w:t>, </w:t>
      </w:r>
      <w:r>
        <w:rPr>
          <w:i/>
          <w:sz w:val="24"/>
        </w:rPr>
        <w:t>nominal terminal voltage </w:t>
      </w:r>
      <w:r>
        <w:rPr>
          <w:sz w:val="24"/>
        </w:rPr>
        <w:t>and a leading power factor set out in respect of that </w:t>
      </w:r>
      <w:r>
        <w:rPr>
          <w:i/>
          <w:sz w:val="24"/>
        </w:rPr>
        <w:t>generating unit </w:t>
      </w:r>
      <w:r>
        <w:rPr>
          <w:sz w:val="24"/>
        </w:rPr>
        <w:t>in column 3 of Table</w:t>
      </w:r>
      <w:r>
        <w:rPr>
          <w:spacing w:val="-6"/>
          <w:sz w:val="24"/>
        </w:rPr>
        <w:t> </w:t>
      </w:r>
      <w:r>
        <w:rPr>
          <w:sz w:val="24"/>
        </w:rPr>
        <w:t>2.</w:t>
      </w:r>
    </w:p>
    <w:p>
      <w:pPr>
        <w:pStyle w:val="ListParagraph"/>
        <w:numPr>
          <w:ilvl w:val="1"/>
          <w:numId w:val="679"/>
        </w:numPr>
        <w:tabs>
          <w:tab w:pos="1919" w:val="left" w:leader="none"/>
        </w:tabs>
        <w:spacing w:line="240" w:lineRule="auto" w:before="120" w:after="0"/>
        <w:ind w:left="1919" w:right="415" w:hanging="567"/>
        <w:jc w:val="both"/>
        <w:rPr>
          <w:sz w:val="24"/>
        </w:rPr>
      </w:pPr>
      <w:r>
        <w:rPr>
          <w:sz w:val="24"/>
        </w:rPr>
        <w:t>In the event that any of the relevant power  factors  referred  to  in  paragraph (a) above cannot be provided in respect of a </w:t>
      </w:r>
      <w:r>
        <w:rPr>
          <w:i/>
          <w:sz w:val="24"/>
        </w:rPr>
        <w:t>generating unit</w:t>
      </w:r>
      <w:r>
        <w:rPr>
          <w:sz w:val="24"/>
        </w:rPr>
        <w:t>, the relevant </w:t>
      </w:r>
      <w:r>
        <w:rPr>
          <w:i/>
          <w:sz w:val="24"/>
        </w:rPr>
        <w:t>Generator </w:t>
      </w:r>
      <w:r>
        <w:rPr>
          <w:sz w:val="24"/>
        </w:rPr>
        <w:t>must reach a commercial arrangement under its </w:t>
      </w:r>
      <w:r>
        <w:rPr>
          <w:i/>
          <w:sz w:val="24"/>
        </w:rPr>
        <w:t>connection agreement </w:t>
      </w:r>
      <w:r>
        <w:rPr>
          <w:sz w:val="24"/>
        </w:rPr>
        <w:t>with the relevant </w:t>
      </w:r>
      <w:r>
        <w:rPr>
          <w:i/>
          <w:sz w:val="24"/>
        </w:rPr>
        <w:t>Network Service Provider</w:t>
      </w:r>
      <w:r>
        <w:rPr>
          <w:sz w:val="24"/>
        </w:rPr>
        <w:t>, or with another </w:t>
      </w:r>
      <w:r>
        <w:rPr>
          <w:i/>
          <w:sz w:val="24"/>
        </w:rPr>
        <w:t>Registered Participant</w:t>
      </w:r>
      <w:r>
        <w:rPr>
          <w:sz w:val="24"/>
        </w:rPr>
        <w:t>, for the supply of the deficit in</w:t>
      </w:r>
      <w:r>
        <w:rPr>
          <w:spacing w:val="34"/>
          <w:sz w:val="24"/>
        </w:rPr>
        <w:t> </w:t>
      </w:r>
      <w:r>
        <w:rPr>
          <w:i/>
          <w:sz w:val="24"/>
        </w:rPr>
        <w:t>reactive </w:t>
      </w:r>
      <w:r>
        <w:rPr>
          <w:i/>
          <w:sz w:val="24"/>
        </w:rPr>
        <w:t>power </w:t>
      </w:r>
      <w:r>
        <w:rPr>
          <w:sz w:val="24"/>
        </w:rPr>
        <w:t>as measured at that </w:t>
      </w:r>
      <w:r>
        <w:rPr>
          <w:i/>
          <w:sz w:val="24"/>
        </w:rPr>
        <w:t>generating unit's</w:t>
      </w:r>
      <w:r>
        <w:rPr>
          <w:i/>
          <w:spacing w:val="-1"/>
          <w:sz w:val="24"/>
        </w:rPr>
        <w:t> </w:t>
      </w:r>
      <w:r>
        <w:rPr>
          <w:sz w:val="24"/>
        </w:rPr>
        <w:t>terminals.</w:t>
      </w:r>
    </w:p>
    <w:p>
      <w:pPr>
        <w:spacing w:before="120"/>
        <w:ind w:left="1352" w:right="0" w:firstLine="0"/>
        <w:jc w:val="both"/>
        <w:rPr>
          <w:rFonts w:ascii="Arial"/>
          <w:b/>
          <w:sz w:val="22"/>
        </w:rPr>
      </w:pPr>
      <w:r>
        <w:rPr>
          <w:rFonts w:ascii="Arial"/>
          <w:b/>
          <w:sz w:val="22"/>
        </w:rPr>
        <w:t>Table 2:</w:t>
      </w:r>
    </w:p>
    <w:p>
      <w:pPr>
        <w:pStyle w:val="BodyText"/>
        <w:spacing w:before="8"/>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5"/>
        <w:gridCol w:w="2646"/>
        <w:gridCol w:w="2646"/>
      </w:tblGrid>
      <w:tr>
        <w:trPr>
          <w:trHeight w:val="395" w:hRule="atLeast"/>
        </w:trPr>
        <w:tc>
          <w:tcPr>
            <w:tcW w:w="264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Generator</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Generating Unit</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Leading Power Factor</w:t>
            </w:r>
          </w:p>
        </w:tc>
      </w:tr>
      <w:tr>
        <w:trPr>
          <w:trHeight w:val="1067" w:hRule="atLeast"/>
        </w:trPr>
        <w:tc>
          <w:tcPr>
            <w:tcW w:w="2645" w:type="dxa"/>
            <w:tcBorders>
              <w:top w:val="single" w:sz="4" w:space="0" w:color="000000"/>
              <w:right w:val="single" w:sz="4" w:space="0" w:color="000000"/>
            </w:tcBorders>
          </w:tcPr>
          <w:p>
            <w:pPr>
              <w:pStyle w:val="TableParagraph"/>
              <w:ind w:left="40" w:right="323"/>
              <w:rPr>
                <w:sz w:val="24"/>
              </w:rPr>
            </w:pPr>
            <w:r>
              <w:rPr>
                <w:sz w:val="24"/>
              </w:rPr>
              <w:t>Alcoa of Australia Limited (ACN 004 879</w:t>
            </w:r>
          </w:p>
          <w:p>
            <w:pPr>
              <w:pStyle w:val="TableParagraph"/>
              <w:spacing w:before="0"/>
              <w:ind w:left="40"/>
              <w:rPr>
                <w:sz w:val="24"/>
              </w:rPr>
            </w:pPr>
            <w:r>
              <w:rPr>
                <w:sz w:val="24"/>
              </w:rPr>
              <w:t>298)</w:t>
            </w:r>
          </w:p>
        </w:tc>
        <w:tc>
          <w:tcPr>
            <w:tcW w:w="2646" w:type="dxa"/>
            <w:tcBorders>
              <w:top w:val="single" w:sz="4" w:space="0" w:color="000000"/>
              <w:left w:val="single" w:sz="4" w:space="0" w:color="000000"/>
              <w:right w:val="single" w:sz="4" w:space="0" w:color="000000"/>
            </w:tcBorders>
          </w:tcPr>
          <w:p>
            <w:pPr>
              <w:pStyle w:val="TableParagraph"/>
              <w:ind w:right="264"/>
              <w:rPr>
                <w:sz w:val="24"/>
              </w:rPr>
            </w:pPr>
            <w:r>
              <w:rPr>
                <w:sz w:val="24"/>
              </w:rPr>
              <w:t>Anglesea Power Station Unit 1</w:t>
            </w:r>
          </w:p>
        </w:tc>
        <w:tc>
          <w:tcPr>
            <w:tcW w:w="2646" w:type="dxa"/>
            <w:tcBorders>
              <w:top w:val="single" w:sz="4" w:space="0" w:color="000000"/>
              <w:left w:val="single" w:sz="4" w:space="0" w:color="000000"/>
              <w:right w:val="single" w:sz="4" w:space="0" w:color="000000"/>
            </w:tcBorders>
          </w:tcPr>
          <w:p>
            <w:pPr>
              <w:pStyle w:val="TableParagraph"/>
              <w:ind w:left="44"/>
              <w:rPr>
                <w:sz w:val="24"/>
              </w:rPr>
            </w:pPr>
            <w:r>
              <w:rPr>
                <w:sz w:val="24"/>
              </w:rPr>
              <w:t>0.991</w:t>
            </w:r>
          </w:p>
        </w:tc>
      </w:tr>
    </w:tbl>
    <w:p>
      <w:pPr>
        <w:spacing w:after="0"/>
        <w:rPr>
          <w:sz w:val="24"/>
        </w:rPr>
        <w:sectPr>
          <w:pgSz w:w="11910" w:h="16840"/>
          <w:pgMar w:header="686" w:footer="637" w:top="1320" w:bottom="820" w:left="1200" w:right="1000"/>
        </w:sectPr>
      </w:pPr>
    </w:p>
    <w:p>
      <w:pPr>
        <w:pStyle w:val="Heading4"/>
        <w:numPr>
          <w:ilvl w:val="0"/>
          <w:numId w:val="679"/>
        </w:numPr>
        <w:tabs>
          <w:tab w:pos="1351" w:val="left" w:leader="none"/>
          <w:tab w:pos="1352" w:val="left" w:leader="none"/>
        </w:tabs>
        <w:spacing w:line="240" w:lineRule="auto" w:before="83" w:after="0"/>
        <w:ind w:left="1351" w:right="0" w:hanging="1134"/>
        <w:jc w:val="left"/>
      </w:pPr>
      <w:bookmarkStart w:name="6. [Deleted]" w:id="2598"/>
      <w:bookmarkEnd w:id="2598"/>
      <w:r>
        <w:rPr>
          <w:b w:val="0"/>
        </w:rPr>
      </w:r>
      <w:bookmarkStart w:name="_bookmark1072" w:id="2599"/>
      <w:bookmarkEnd w:id="2599"/>
      <w:r>
        <w:rPr>
          <w:b w:val="0"/>
        </w:rPr>
      </w:r>
      <w:bookmarkStart w:name="_bookmark1072" w:id="2600"/>
      <w:bookmarkEnd w:id="2600"/>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7. [Deleted]" w:id="2601"/>
      <w:bookmarkEnd w:id="2601"/>
      <w:r>
        <w:rPr>
          <w:b w:val="0"/>
        </w:rPr>
      </w:r>
      <w:bookmarkStart w:name="_bookmark1073" w:id="2602"/>
      <w:bookmarkEnd w:id="2602"/>
      <w:r>
        <w:rPr>
          <w:b w:val="0"/>
        </w:rPr>
      </w:r>
      <w:bookmarkStart w:name="_bookmark1073" w:id="2603"/>
      <w:bookmarkEnd w:id="2603"/>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8. [Deleted]" w:id="2604"/>
      <w:bookmarkEnd w:id="2604"/>
      <w:r>
        <w:rPr>
          <w:b w:val="0"/>
        </w:rPr>
      </w:r>
      <w:bookmarkStart w:name="_bookmark1074" w:id="2605"/>
      <w:bookmarkEnd w:id="2605"/>
      <w:r>
        <w:rPr>
          <w:b w:val="0"/>
        </w:rPr>
      </w:r>
      <w:bookmarkStart w:name="_bookmark1074" w:id="2606"/>
      <w:bookmarkEnd w:id="2606"/>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9. [Deleted]" w:id="2607"/>
      <w:bookmarkEnd w:id="2607"/>
      <w:r>
        <w:rPr>
          <w:b w:val="0"/>
        </w:rPr>
      </w:r>
      <w:bookmarkStart w:name="_bookmark1075" w:id="2608"/>
      <w:bookmarkEnd w:id="2608"/>
      <w:r>
        <w:rPr>
          <w:b w:val="0"/>
        </w:rPr>
      </w:r>
      <w:bookmarkStart w:name="_bookmark1075" w:id="2609"/>
      <w:bookmarkEnd w:id="2609"/>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0. [Deleted]" w:id="2610"/>
      <w:bookmarkEnd w:id="2610"/>
      <w:r>
        <w:rPr>
          <w:b w:val="0"/>
        </w:rPr>
      </w:r>
      <w:bookmarkStart w:name="_bookmark1076" w:id="2611"/>
      <w:bookmarkEnd w:id="2611"/>
      <w:r>
        <w:rPr>
          <w:b w:val="0"/>
        </w:rPr>
      </w:r>
      <w:bookmarkStart w:name="_bookmark1076" w:id="2612"/>
      <w:bookmarkEnd w:id="2612"/>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1. [Deleted" w:id="2613"/>
      <w:bookmarkEnd w:id="2613"/>
      <w:r>
        <w:rPr>
          <w:b w:val="0"/>
        </w:rPr>
      </w:r>
      <w:bookmarkStart w:name="_bookmark1077" w:id="2614"/>
      <w:bookmarkEnd w:id="2614"/>
      <w:r>
        <w:rPr>
          <w:b w:val="0"/>
        </w:rPr>
      </w:r>
      <w:bookmarkStart w:name="_bookmark1077" w:id="2615"/>
      <w:bookmarkEnd w:id="2615"/>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2. [Deleted]" w:id="2616"/>
      <w:bookmarkEnd w:id="2616"/>
      <w:r>
        <w:rPr>
          <w:b w:val="0"/>
        </w:rPr>
      </w:r>
      <w:bookmarkStart w:name="_bookmark1078" w:id="2617"/>
      <w:bookmarkEnd w:id="2617"/>
      <w:r>
        <w:rPr>
          <w:b w:val="0"/>
        </w:rPr>
      </w:r>
      <w:bookmarkStart w:name="_bookmark1078" w:id="2618"/>
      <w:bookmarkEnd w:id="2618"/>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3. Governor Systems (load control) (cla" w:id="2619"/>
      <w:bookmarkEnd w:id="2619"/>
      <w:r>
        <w:rPr>
          <w:b w:val="0"/>
        </w:rPr>
      </w:r>
      <w:bookmarkStart w:name="_bookmark1079" w:id="2620"/>
      <w:bookmarkEnd w:id="2620"/>
      <w:r>
        <w:rPr>
          <w:b w:val="0"/>
        </w:rPr>
      </w:r>
      <w:bookmarkStart w:name="_bookmark1079" w:id="2621"/>
      <w:bookmarkEnd w:id="2621"/>
      <w:r>
        <w:rPr/>
        <w:t>Governor</w:t>
      </w:r>
      <w:r>
        <w:rPr/>
        <w:t> Systems (load control) (clause S5.2.5.11 of schedule</w:t>
      </w:r>
      <w:r>
        <w:rPr>
          <w:spacing w:val="-12"/>
        </w:rPr>
        <w:t> </w:t>
      </w:r>
      <w:r>
        <w:rPr/>
        <w:t>5.2)</w:t>
      </w:r>
    </w:p>
    <w:p>
      <w:pPr>
        <w:spacing w:before="120"/>
        <w:ind w:left="1352" w:right="415" w:firstLine="0"/>
        <w:jc w:val="both"/>
        <w:rPr>
          <w:sz w:val="24"/>
        </w:rPr>
      </w:pPr>
      <w:r>
        <w:rPr>
          <w:sz w:val="24"/>
        </w:rPr>
        <w:t>For the purposes of clause S5.2.5.11 of schedule 5.2 of the </w:t>
      </w:r>
      <w:r>
        <w:rPr>
          <w:i/>
          <w:sz w:val="24"/>
        </w:rPr>
        <w:t>Rules</w:t>
      </w:r>
      <w:r>
        <w:rPr>
          <w:sz w:val="24"/>
        </w:rPr>
        <w:t>, a </w:t>
      </w:r>
      <w:r>
        <w:rPr>
          <w:i/>
          <w:sz w:val="24"/>
        </w:rPr>
        <w:t>Generator </w:t>
      </w:r>
      <w:r>
        <w:rPr>
          <w:sz w:val="24"/>
        </w:rPr>
        <w:t>listed in Table 10 is not required to include </w:t>
      </w:r>
      <w:r>
        <w:rPr>
          <w:i/>
          <w:sz w:val="24"/>
        </w:rPr>
        <w:t>facilities </w:t>
      </w:r>
      <w:r>
        <w:rPr>
          <w:sz w:val="24"/>
        </w:rPr>
        <w:t>for </w:t>
      </w:r>
      <w:r>
        <w:rPr>
          <w:i/>
          <w:sz w:val="24"/>
        </w:rPr>
        <w:t>load </w:t>
      </w:r>
      <w:r>
        <w:rPr>
          <w:sz w:val="24"/>
        </w:rPr>
        <w:t>control for </w:t>
      </w:r>
      <w:r>
        <w:rPr>
          <w:spacing w:val="-4"/>
          <w:sz w:val="24"/>
        </w:rPr>
        <w:t>the</w:t>
      </w:r>
      <w:r>
        <w:rPr>
          <w:spacing w:val="52"/>
          <w:sz w:val="24"/>
        </w:rPr>
        <w:t> </w:t>
      </w:r>
      <w:r>
        <w:rPr>
          <w:i/>
          <w:sz w:val="24"/>
        </w:rPr>
        <w:t>generating unit </w:t>
      </w:r>
      <w:r>
        <w:rPr>
          <w:sz w:val="24"/>
        </w:rPr>
        <w:t>listed in column 2 of Table 10.</w:t>
      </w:r>
    </w:p>
    <w:p>
      <w:pPr>
        <w:spacing w:before="120"/>
        <w:ind w:left="1352" w:right="0" w:firstLine="0"/>
        <w:jc w:val="both"/>
        <w:rPr>
          <w:rFonts w:ascii="Arial"/>
          <w:b/>
          <w:sz w:val="22"/>
        </w:rPr>
      </w:pPr>
      <w:r>
        <w:rPr>
          <w:rFonts w:ascii="Arial"/>
          <w:b/>
          <w:sz w:val="22"/>
        </w:rPr>
        <w:t>Table 10:</w:t>
      </w:r>
    </w:p>
    <w:p>
      <w:pPr>
        <w:pStyle w:val="BodyText"/>
        <w:spacing w:before="8"/>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68"/>
        <w:gridCol w:w="3969"/>
      </w:tblGrid>
      <w:tr>
        <w:trPr>
          <w:trHeight w:val="395" w:hRule="atLeast"/>
        </w:trPr>
        <w:tc>
          <w:tcPr>
            <w:tcW w:w="3968"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Generator</w:t>
            </w:r>
          </w:p>
        </w:tc>
        <w:tc>
          <w:tcPr>
            <w:tcW w:w="396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Generating Unit</w:t>
            </w:r>
          </w:p>
        </w:tc>
      </w:tr>
      <w:tr>
        <w:trPr>
          <w:trHeight w:val="791" w:hRule="atLeast"/>
        </w:trPr>
        <w:tc>
          <w:tcPr>
            <w:tcW w:w="3968" w:type="dxa"/>
            <w:tcBorders>
              <w:top w:val="single" w:sz="4" w:space="0" w:color="000000"/>
              <w:right w:val="single" w:sz="4" w:space="0" w:color="000000"/>
            </w:tcBorders>
          </w:tcPr>
          <w:p>
            <w:pPr>
              <w:pStyle w:val="TableParagraph"/>
              <w:ind w:left="40" w:right="233"/>
              <w:rPr>
                <w:sz w:val="24"/>
              </w:rPr>
            </w:pPr>
            <w:r>
              <w:rPr>
                <w:sz w:val="24"/>
              </w:rPr>
              <w:t>Alcoa of Australia Limited (ACN 004 879 298)</w:t>
            </w:r>
          </w:p>
        </w:tc>
        <w:tc>
          <w:tcPr>
            <w:tcW w:w="3969" w:type="dxa"/>
            <w:tcBorders>
              <w:top w:val="single" w:sz="4" w:space="0" w:color="000000"/>
              <w:left w:val="single" w:sz="4" w:space="0" w:color="000000"/>
              <w:right w:val="single" w:sz="4" w:space="0" w:color="000000"/>
            </w:tcBorders>
          </w:tcPr>
          <w:p>
            <w:pPr>
              <w:pStyle w:val="TableParagraph"/>
              <w:ind w:left="44"/>
              <w:rPr>
                <w:sz w:val="24"/>
              </w:rPr>
            </w:pPr>
            <w:r>
              <w:rPr>
                <w:sz w:val="24"/>
              </w:rPr>
              <w:t>Anglesea Power Station Unit 1</w:t>
            </w:r>
          </w:p>
        </w:tc>
      </w:tr>
    </w:tbl>
    <w:p>
      <w:pPr>
        <w:pStyle w:val="BodyText"/>
        <w:spacing w:before="0"/>
        <w:ind w:firstLine="0"/>
        <w:jc w:val="left"/>
        <w:rPr>
          <w:rFonts w:ascii="Arial"/>
          <w:b/>
        </w:rPr>
      </w:pP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4. [Deleted]" w:id="2622"/>
      <w:bookmarkEnd w:id="2622"/>
      <w:r>
        <w:rPr>
          <w:b w:val="0"/>
        </w:rPr>
      </w:r>
      <w:bookmarkStart w:name="_bookmark1080" w:id="2623"/>
      <w:bookmarkEnd w:id="2623"/>
      <w:r>
        <w:rPr>
          <w:b w:val="0"/>
        </w:rPr>
      </w:r>
      <w:bookmarkStart w:name="_bookmark1080" w:id="2624"/>
      <w:bookmarkEnd w:id="2624"/>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5. [Deleted]" w:id="2625"/>
      <w:bookmarkEnd w:id="2625"/>
      <w:r>
        <w:rPr>
          <w:b w:val="0"/>
        </w:rPr>
      </w:r>
      <w:bookmarkStart w:name="_bookmark1081" w:id="2626"/>
      <w:bookmarkEnd w:id="2626"/>
      <w:r>
        <w:rPr>
          <w:b w:val="0"/>
        </w:rPr>
      </w:r>
      <w:bookmarkStart w:name="_bookmark1081" w:id="2627"/>
      <w:bookmarkEnd w:id="2627"/>
      <w:r>
        <w:rPr/>
        <w:t>[Deleted]</w:t>
      </w:r>
    </w:p>
    <w:p>
      <w:pPr>
        <w:pStyle w:val="BodyText"/>
        <w:spacing w:before="10"/>
        <w:ind w:firstLine="0"/>
        <w:jc w:val="left"/>
        <w:rPr>
          <w:rFonts w:ascii="Arial"/>
          <w:b/>
          <w:sz w:val="20"/>
        </w:rPr>
      </w:pPr>
    </w:p>
    <w:p>
      <w:pPr>
        <w:pStyle w:val="Heading4"/>
        <w:numPr>
          <w:ilvl w:val="0"/>
          <w:numId w:val="679"/>
        </w:numPr>
        <w:tabs>
          <w:tab w:pos="1351" w:val="left" w:leader="none"/>
          <w:tab w:pos="1352" w:val="left" w:leader="none"/>
        </w:tabs>
        <w:spacing w:line="240" w:lineRule="auto" w:before="0" w:after="0"/>
        <w:ind w:left="1351" w:right="0" w:hanging="1134"/>
        <w:jc w:val="left"/>
      </w:pPr>
      <w:bookmarkStart w:name="16. Excitation Control System (clause S5" w:id="2628"/>
      <w:bookmarkEnd w:id="2628"/>
      <w:r>
        <w:rPr>
          <w:b w:val="0"/>
        </w:rPr>
      </w:r>
      <w:bookmarkStart w:name="_bookmark1082" w:id="2629"/>
      <w:bookmarkEnd w:id="2629"/>
      <w:r>
        <w:rPr>
          <w:b w:val="0"/>
        </w:rPr>
      </w:r>
      <w:bookmarkStart w:name="_bookmark1082" w:id="2630"/>
      <w:bookmarkEnd w:id="2630"/>
      <w:r>
        <w:rPr/>
        <w:t>Excitation</w:t>
      </w:r>
      <w:r>
        <w:rPr/>
        <w:t> Control System (clause S5.2.5.13 of schedule</w:t>
      </w:r>
      <w:r>
        <w:rPr>
          <w:spacing w:val="-7"/>
        </w:rPr>
        <w:t> </w:t>
      </w:r>
      <w:r>
        <w:rPr/>
        <w:t>5.2)</w:t>
      </w:r>
    </w:p>
    <w:p>
      <w:pPr>
        <w:pStyle w:val="BodyText"/>
        <w:ind w:left="1352" w:right="417" w:firstLine="0"/>
      </w:pPr>
      <w:r>
        <w:rPr/>
        <w:t>For the purposes of clause S5.2.5.13(b) of schedule 5.2 of the </w:t>
      </w:r>
      <w:r>
        <w:rPr>
          <w:i/>
        </w:rPr>
        <w:t>Rules</w:t>
      </w:r>
      <w:r>
        <w:rPr/>
        <w:t>, a </w:t>
      </w:r>
      <w:r>
        <w:rPr>
          <w:i/>
        </w:rPr>
        <w:t>Generator </w:t>
      </w:r>
      <w:r>
        <w:rPr/>
        <w:t>listed in Table 13 is not required to provide </w:t>
      </w:r>
      <w:r>
        <w:rPr>
          <w:i/>
        </w:rPr>
        <w:t>power system </w:t>
      </w:r>
      <w:r>
        <w:rPr/>
        <w:t>stabilising action in relation to the </w:t>
      </w:r>
      <w:r>
        <w:rPr>
          <w:i/>
        </w:rPr>
        <w:t>generating unit </w:t>
      </w:r>
      <w:r>
        <w:rPr/>
        <w:t>listed in column 2 of Table 13.</w:t>
      </w:r>
    </w:p>
    <w:p>
      <w:pPr>
        <w:spacing w:before="120"/>
        <w:ind w:left="1352" w:right="0" w:firstLine="0"/>
        <w:jc w:val="both"/>
        <w:rPr>
          <w:rFonts w:ascii="Arial"/>
          <w:b/>
          <w:sz w:val="22"/>
        </w:rPr>
      </w:pPr>
      <w:r>
        <w:rPr>
          <w:rFonts w:ascii="Arial"/>
          <w:b/>
          <w:sz w:val="22"/>
        </w:rPr>
        <w:t>Table 13:</w:t>
      </w:r>
    </w:p>
    <w:p>
      <w:pPr>
        <w:pStyle w:val="BodyText"/>
        <w:spacing w:before="7"/>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68"/>
        <w:gridCol w:w="3969"/>
      </w:tblGrid>
      <w:tr>
        <w:trPr>
          <w:trHeight w:val="395" w:hRule="atLeast"/>
        </w:trPr>
        <w:tc>
          <w:tcPr>
            <w:tcW w:w="3968"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Generator</w:t>
            </w:r>
          </w:p>
        </w:tc>
        <w:tc>
          <w:tcPr>
            <w:tcW w:w="396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Generating Unit</w:t>
            </w:r>
          </w:p>
        </w:tc>
      </w:tr>
      <w:tr>
        <w:trPr>
          <w:trHeight w:val="791" w:hRule="atLeast"/>
        </w:trPr>
        <w:tc>
          <w:tcPr>
            <w:tcW w:w="3968" w:type="dxa"/>
            <w:tcBorders>
              <w:top w:val="single" w:sz="4" w:space="0" w:color="000000"/>
              <w:right w:val="single" w:sz="4" w:space="0" w:color="000000"/>
            </w:tcBorders>
          </w:tcPr>
          <w:p>
            <w:pPr>
              <w:pStyle w:val="TableParagraph"/>
              <w:ind w:left="40" w:right="233"/>
              <w:rPr>
                <w:sz w:val="24"/>
              </w:rPr>
            </w:pPr>
            <w:r>
              <w:rPr>
                <w:sz w:val="24"/>
              </w:rPr>
              <w:t>Alcoa of Australia Limited (ACN 004 879 298)</w:t>
            </w:r>
          </w:p>
        </w:tc>
        <w:tc>
          <w:tcPr>
            <w:tcW w:w="3969" w:type="dxa"/>
            <w:tcBorders>
              <w:top w:val="single" w:sz="4" w:space="0" w:color="000000"/>
              <w:left w:val="single" w:sz="4" w:space="0" w:color="000000"/>
              <w:right w:val="single" w:sz="4" w:space="0" w:color="000000"/>
            </w:tcBorders>
          </w:tcPr>
          <w:p>
            <w:pPr>
              <w:pStyle w:val="TableParagraph"/>
              <w:ind w:left="44"/>
              <w:rPr>
                <w:sz w:val="24"/>
              </w:rPr>
            </w:pPr>
            <w:r>
              <w:rPr>
                <w:sz w:val="24"/>
              </w:rPr>
              <w:t>Anglesea Power Station Unit 1</w:t>
            </w:r>
          </w:p>
        </w:tc>
      </w:tr>
    </w:tbl>
    <w:p>
      <w:pPr>
        <w:spacing w:after="0"/>
        <w:rPr>
          <w:sz w:val="24"/>
        </w:rPr>
        <w:sectPr>
          <w:pgSz w:w="11910" w:h="16840"/>
          <w:pgMar w:header="686" w:footer="637" w:top="1320" w:bottom="820" w:left="1200" w:right="1000"/>
        </w:sectPr>
      </w:pPr>
    </w:p>
    <w:p>
      <w:pPr>
        <w:pStyle w:val="Heading2"/>
        <w:tabs>
          <w:tab w:pos="1352" w:val="left" w:leader="none"/>
          <w:tab w:pos="9317" w:val="left" w:leader="none"/>
        </w:tabs>
        <w:spacing w:before="83"/>
      </w:pPr>
      <w:bookmarkStart w:name="Part B Jurisdictional Derogations for Ne" w:id="2631"/>
      <w:bookmarkEnd w:id="2631"/>
      <w:r>
        <w:rPr>
          <w:b w:val="0"/>
        </w:rPr>
      </w:r>
      <w:bookmarkStart w:name="_bookmark1083" w:id="2632"/>
      <w:bookmarkEnd w:id="2632"/>
      <w:r>
        <w:rPr>
          <w:b w:val="0"/>
        </w:rPr>
      </w:r>
      <w:r>
        <w:rPr>
          <w:shd w:fill="D9D9D9" w:color="auto" w:val="clear"/>
        </w:rPr>
        <w:t>Part B</w:t>
        <w:tab/>
        <w:t>Jurisdictional Derogations for New South</w:t>
      </w:r>
      <w:r>
        <w:rPr>
          <w:spacing w:val="-25"/>
          <w:shd w:fill="D9D9D9" w:color="auto" w:val="clear"/>
        </w:rPr>
        <w:t> </w:t>
      </w:r>
      <w:r>
        <w:rPr>
          <w:shd w:fill="D9D9D9" w:color="auto" w:val="clear"/>
        </w:rPr>
        <w:t>Wales</w:t>
        <w:tab/>
      </w:r>
    </w:p>
    <w:p>
      <w:pPr>
        <w:pStyle w:val="Heading3"/>
        <w:numPr>
          <w:ilvl w:val="1"/>
          <w:numId w:val="678"/>
        </w:numPr>
        <w:tabs>
          <w:tab w:pos="1351" w:val="left" w:leader="none"/>
          <w:tab w:pos="1353" w:val="left" w:leader="none"/>
        </w:tabs>
        <w:spacing w:line="240" w:lineRule="auto" w:before="240" w:after="0"/>
        <w:ind w:left="1352" w:right="0" w:hanging="1135"/>
        <w:jc w:val="left"/>
      </w:pPr>
      <w:bookmarkStart w:name="9.10 [Deleted]" w:id="2633"/>
      <w:bookmarkEnd w:id="2633"/>
      <w:r>
        <w:rPr>
          <w:b w:val="0"/>
        </w:rPr>
      </w:r>
      <w:bookmarkStart w:name="_bookmark1084" w:id="2634"/>
      <w:bookmarkEnd w:id="2634"/>
      <w:r>
        <w:rPr>
          <w:b w:val="0"/>
        </w:rPr>
      </w:r>
      <w:bookmarkStart w:name="_bookmark1084" w:id="2635"/>
      <w:bookmarkEnd w:id="2635"/>
      <w:r>
        <w:rPr/>
        <w:t>[Deleted]</w:t>
      </w:r>
    </w:p>
    <w:p>
      <w:pPr>
        <w:pStyle w:val="Heading3"/>
        <w:numPr>
          <w:ilvl w:val="1"/>
          <w:numId w:val="678"/>
        </w:numPr>
        <w:tabs>
          <w:tab w:pos="1351" w:val="left" w:leader="none"/>
          <w:tab w:pos="1353" w:val="left" w:leader="none"/>
        </w:tabs>
        <w:spacing w:line="240" w:lineRule="auto" w:before="240" w:after="0"/>
        <w:ind w:left="1352" w:right="0" w:hanging="1135"/>
        <w:jc w:val="left"/>
      </w:pPr>
      <w:bookmarkStart w:name="9.11 Definitions" w:id="2636"/>
      <w:bookmarkEnd w:id="2636"/>
      <w:r>
        <w:rPr>
          <w:b w:val="0"/>
        </w:rPr>
      </w:r>
      <w:bookmarkStart w:name="_bookmark1085" w:id="2637"/>
      <w:bookmarkEnd w:id="2637"/>
      <w:r>
        <w:rPr>
          <w:b w:val="0"/>
        </w:rPr>
      </w:r>
      <w:bookmarkStart w:name="_bookmark1085" w:id="2638"/>
      <w:bookmarkEnd w:id="2638"/>
      <w:r>
        <w:rPr/>
        <w:t>Defini</w:t>
      </w:r>
      <w:r>
        <w:rPr/>
        <w:t>tions</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1.1 Definitions used in this Part B" w:id="2639"/>
      <w:bookmarkEnd w:id="2639"/>
      <w:r>
        <w:rPr>
          <w:b w:val="0"/>
        </w:rPr>
      </w:r>
      <w:bookmarkStart w:name="_bookmark1086" w:id="2640"/>
      <w:bookmarkEnd w:id="2640"/>
      <w:r>
        <w:rPr>
          <w:b w:val="0"/>
        </w:rPr>
      </w:r>
      <w:bookmarkStart w:name="_bookmark1086" w:id="2641"/>
      <w:bookmarkEnd w:id="2641"/>
      <w:r>
        <w:rPr/>
        <w:t>Definition</w:t>
      </w:r>
      <w:r>
        <w:rPr/>
        <w:t>s used in this Part</w:t>
      </w:r>
      <w:r>
        <w:rPr>
          <w:spacing w:val="-1"/>
        </w:rPr>
        <w:t> </w:t>
      </w:r>
      <w:r>
        <w:rPr/>
        <w:t>B</w:t>
      </w:r>
    </w:p>
    <w:p>
      <w:pPr>
        <w:pStyle w:val="BodyText"/>
        <w:ind w:left="1352" w:firstLine="0"/>
      </w:pPr>
      <w:r>
        <w:rPr/>
        <w:t>For the purposes of this Part B:</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a word or expression defined in the glossary in Chapter 10 has the meaning given to it in the glossary unless it is referred to in column 1 of the following table;</w:t>
      </w:r>
      <w:r>
        <w:rPr>
          <w:spacing w:val="-1"/>
          <w:sz w:val="24"/>
        </w:rPr>
        <w:t> </w:t>
      </w:r>
      <w:r>
        <w:rPr>
          <w:sz w:val="24"/>
        </w:rPr>
        <w:t>and</w:t>
      </w:r>
    </w:p>
    <w:p>
      <w:pPr>
        <w:pStyle w:val="ListParagraph"/>
        <w:numPr>
          <w:ilvl w:val="3"/>
          <w:numId w:val="678"/>
        </w:numPr>
        <w:tabs>
          <w:tab w:pos="1919" w:val="left" w:leader="none"/>
        </w:tabs>
        <w:spacing w:line="240" w:lineRule="auto" w:before="120" w:after="0"/>
        <w:ind w:left="1919" w:right="414" w:hanging="567"/>
        <w:jc w:val="both"/>
        <w:rPr>
          <w:sz w:val="24"/>
        </w:rPr>
      </w:pPr>
      <w:r>
        <w:rPr>
          <w:sz w:val="24"/>
        </w:rPr>
        <w:t>a word or expression referred to in column 1 of the following table has the meaning given to it in column 2 of the</w:t>
      </w:r>
      <w:r>
        <w:rPr>
          <w:spacing w:val="-1"/>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ES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i/>
                <w:sz w:val="24"/>
              </w:rPr>
              <w:t>Electricity Supply Act 1995 </w:t>
            </w:r>
            <w:r>
              <w:rPr>
                <w:sz w:val="24"/>
              </w:rPr>
              <w:t>(NSW).</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IPART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New South Wales Independent Pricing</w:t>
            </w:r>
          </w:p>
          <w:p>
            <w:pPr>
              <w:pStyle w:val="TableParagraph"/>
              <w:spacing w:before="0"/>
              <w:ind w:right="53"/>
              <w:rPr>
                <w:sz w:val="24"/>
              </w:rPr>
            </w:pPr>
            <w:r>
              <w:rPr>
                <w:sz w:val="24"/>
              </w:rPr>
              <w:t>and Regulatory Tribunal established under the </w:t>
            </w:r>
            <w:r>
              <w:rPr>
                <w:i/>
                <w:sz w:val="24"/>
              </w:rPr>
              <w:t>IPART </w:t>
            </w:r>
            <w:r>
              <w:rPr>
                <w:i/>
                <w:sz w:val="24"/>
              </w:rPr>
              <w:t>Act</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IPART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419"/>
              <w:rPr>
                <w:sz w:val="24"/>
              </w:rPr>
            </w:pPr>
            <w:r>
              <w:rPr>
                <w:i/>
                <w:sz w:val="24"/>
              </w:rPr>
              <w:t>Independent Pricing and Regulatory Tribunal Act </w:t>
            </w:r>
            <w:r>
              <w:rPr>
                <w:i/>
                <w:sz w:val="24"/>
              </w:rPr>
              <w:t>1992 </w:t>
            </w:r>
            <w:r>
              <w:rPr>
                <w:sz w:val="24"/>
              </w:rPr>
              <w:t>(NSW).</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Minister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66"/>
              <w:rPr>
                <w:sz w:val="24"/>
              </w:rPr>
            </w:pPr>
            <w:r>
              <w:rPr>
                <w:sz w:val="24"/>
              </w:rPr>
              <w:t>The Minister administering the </w:t>
            </w:r>
            <w:r>
              <w:rPr>
                <w:i/>
                <w:sz w:val="24"/>
              </w:rPr>
              <w:t>ES Act </w:t>
            </w:r>
            <w:r>
              <w:rPr>
                <w:sz w:val="24"/>
              </w:rPr>
              <w:t>from time to time.</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548"/>
              <w:rPr>
                <w:b/>
                <w:sz w:val="24"/>
              </w:rPr>
            </w:pPr>
            <w:r>
              <w:rPr>
                <w:b/>
                <w:sz w:val="24"/>
              </w:rPr>
              <w:t>Mount Piper Power Station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01"/>
              <w:rPr>
                <w:sz w:val="24"/>
              </w:rPr>
            </w:pPr>
            <w:r>
              <w:rPr>
                <w:sz w:val="24"/>
              </w:rPr>
              <w:t>The </w:t>
            </w:r>
            <w:r>
              <w:rPr>
                <w:i/>
                <w:sz w:val="24"/>
              </w:rPr>
              <w:t>power station </w:t>
            </w:r>
            <w:r>
              <w:rPr>
                <w:sz w:val="24"/>
              </w:rPr>
              <w:t>known as the "Mount Piper Power Station" located at Portland, New South Wales.</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Mount Piper Trader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46"/>
              <w:rPr>
                <w:sz w:val="24"/>
              </w:rPr>
            </w:pPr>
            <w:r>
              <w:rPr>
                <w:sz w:val="24"/>
              </w:rPr>
              <w:t>Delta Electricity or such other of the Mount Piper Participants from time to time which is operating the Mount Piper Power Station.</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69"/>
              <w:rPr>
                <w:b/>
                <w:sz w:val="24"/>
              </w:rPr>
            </w:pPr>
            <w:r>
              <w:rPr>
                <w:b/>
                <w:sz w:val="24"/>
              </w:rPr>
              <w:t>NSW Electricity Market Code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07"/>
              <w:rPr>
                <w:sz w:val="24"/>
              </w:rPr>
            </w:pPr>
            <w:r>
              <w:rPr>
                <w:sz w:val="24"/>
              </w:rPr>
              <w:t>The code entitled NSW State Electricity Market Code, as in force immediately before 13 December 1998.</w:t>
            </w:r>
          </w:p>
        </w:tc>
      </w:tr>
      <w:tr>
        <w:trPr>
          <w:trHeight w:val="3119" w:hRule="atLeast"/>
        </w:trPr>
        <w:tc>
          <w:tcPr>
            <w:tcW w:w="2650" w:type="dxa"/>
            <w:tcBorders>
              <w:top w:val="single" w:sz="4" w:space="0" w:color="000000"/>
              <w:bottom w:val="single" w:sz="4" w:space="0" w:color="000000"/>
              <w:right w:val="single" w:sz="4" w:space="0" w:color="000000"/>
            </w:tcBorders>
          </w:tcPr>
          <w:p>
            <w:pPr>
              <w:pStyle w:val="TableParagraph"/>
              <w:ind w:left="40" w:right="1141"/>
              <w:rPr>
                <w:b/>
                <w:sz w:val="24"/>
              </w:rPr>
            </w:pPr>
            <w:r>
              <w:rPr>
                <w:b/>
                <w:sz w:val="24"/>
              </w:rPr>
              <w:t>Power Supply Agreements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7"/>
              <w:rPr>
                <w:sz w:val="24"/>
              </w:rPr>
            </w:pPr>
            <w:r>
              <w:rPr>
                <w:sz w:val="24"/>
              </w:rPr>
              <w:t>Each of the following agreements in their form as at 1 July 1996:</w:t>
            </w:r>
          </w:p>
          <w:p>
            <w:pPr>
              <w:pStyle w:val="TableParagraph"/>
              <w:numPr>
                <w:ilvl w:val="0"/>
                <w:numId w:val="680"/>
              </w:numPr>
              <w:tabs>
                <w:tab w:pos="611" w:val="left" w:leader="none"/>
                <w:tab w:pos="612" w:val="left" w:leader="none"/>
              </w:tabs>
              <w:spacing w:line="240" w:lineRule="auto" w:before="120" w:after="0"/>
              <w:ind w:left="612" w:right="191" w:hanging="567"/>
              <w:jc w:val="left"/>
              <w:rPr>
                <w:sz w:val="24"/>
              </w:rPr>
            </w:pPr>
            <w:r>
              <w:rPr>
                <w:sz w:val="24"/>
              </w:rPr>
              <w:t>Power Supply Agreement dated 23 January 1991 between Macquarie Generation,</w:t>
            </w:r>
            <w:r>
              <w:rPr>
                <w:spacing w:val="-11"/>
                <w:sz w:val="24"/>
              </w:rPr>
              <w:t> </w:t>
            </w:r>
            <w:r>
              <w:rPr>
                <w:sz w:val="24"/>
              </w:rPr>
              <w:t>Tomago Aluminium Company Pty Ltd and</w:t>
            </w:r>
            <w:r>
              <w:rPr>
                <w:spacing w:val="-5"/>
                <w:sz w:val="24"/>
              </w:rPr>
              <w:t> </w:t>
            </w:r>
            <w:r>
              <w:rPr>
                <w:sz w:val="24"/>
              </w:rPr>
              <w:t>others;</w:t>
            </w:r>
          </w:p>
          <w:p>
            <w:pPr>
              <w:pStyle w:val="TableParagraph"/>
              <w:numPr>
                <w:ilvl w:val="0"/>
                <w:numId w:val="680"/>
              </w:numPr>
              <w:tabs>
                <w:tab w:pos="611" w:val="left" w:leader="none"/>
                <w:tab w:pos="612" w:val="left" w:leader="none"/>
              </w:tabs>
              <w:spacing w:line="270" w:lineRule="atLeast" w:before="120" w:after="0"/>
              <w:ind w:left="612" w:right="91" w:hanging="567"/>
              <w:jc w:val="left"/>
              <w:rPr>
                <w:sz w:val="24"/>
              </w:rPr>
            </w:pPr>
            <w:r>
              <w:rPr>
                <w:sz w:val="24"/>
              </w:rPr>
              <w:t>the contract known as the </w:t>
            </w:r>
            <w:r>
              <w:rPr>
                <w:b/>
                <w:sz w:val="24"/>
              </w:rPr>
              <w:t>BHP Port Kembla Slab and Plate Products Contract </w:t>
            </w:r>
            <w:r>
              <w:rPr>
                <w:sz w:val="24"/>
              </w:rPr>
              <w:t>between Delta Electricity (formerly known as First</w:t>
            </w:r>
            <w:r>
              <w:rPr>
                <w:spacing w:val="-16"/>
                <w:sz w:val="24"/>
              </w:rPr>
              <w:t> </w:t>
            </w:r>
            <w:r>
              <w:rPr>
                <w:sz w:val="24"/>
              </w:rPr>
              <w:t>State Power) and BHP Steel (AIS) Pty Ltd ACN 000 019 625 (formerly known as Australian Iron</w:t>
            </w:r>
            <w:r>
              <w:rPr>
                <w:spacing w:val="-7"/>
                <w:sz w:val="24"/>
              </w:rPr>
              <w:t> </w:t>
            </w:r>
            <w:r>
              <w:rPr>
                <w:sz w:val="24"/>
              </w:rPr>
              <w:t>&amp;</w:t>
            </w:r>
          </w:p>
        </w:tc>
      </w:tr>
    </w:tbl>
    <w:p>
      <w:pPr>
        <w:spacing w:after="0" w:line="270" w:lineRule="atLeast"/>
        <w:jc w:val="lef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1499" w:hRule="atLeast"/>
        </w:trPr>
        <w:tc>
          <w:tcPr>
            <w:tcW w:w="2650"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before="0"/>
              <w:ind w:left="612" w:right="33"/>
              <w:rPr>
                <w:sz w:val="24"/>
              </w:rPr>
            </w:pPr>
            <w:r>
              <w:rPr>
                <w:sz w:val="24"/>
              </w:rPr>
              <w:t>Steel Ltd), being the contract that arises from the two agreements dated 24 May 1955, the agreement dated 27 November 1958 and the agreement dated 1 December 1969 (as amended and supplemented before 1 July 1996).</w:t>
            </w:r>
          </w:p>
        </w:tc>
      </w:tr>
      <w:tr>
        <w:trPr>
          <w:trHeight w:val="1619"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Power Trader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47"/>
              <w:rPr>
                <w:sz w:val="24"/>
              </w:rPr>
            </w:pPr>
            <w:r>
              <w:rPr>
                <w:sz w:val="24"/>
              </w:rPr>
              <w:t>Each of Delta Electricity (formerly known as First State Power), Macquarie Generation and such other person as may be nominated by the Minister to perform any obligation under a Power Supply Agreement.</w:t>
            </w:r>
          </w:p>
        </w:tc>
      </w:tr>
      <w:tr>
        <w:trPr>
          <w:trHeight w:val="1067" w:hRule="atLeast"/>
        </w:trPr>
        <w:tc>
          <w:tcPr>
            <w:tcW w:w="2650" w:type="dxa"/>
            <w:tcBorders>
              <w:top w:val="single" w:sz="4" w:space="0" w:color="000000"/>
              <w:right w:val="single" w:sz="4" w:space="0" w:color="000000"/>
            </w:tcBorders>
          </w:tcPr>
          <w:p>
            <w:pPr>
              <w:pStyle w:val="TableParagraph"/>
              <w:ind w:left="40"/>
              <w:rPr>
                <w:b/>
                <w:sz w:val="24"/>
              </w:rPr>
            </w:pPr>
            <w:r>
              <w:rPr>
                <w:b/>
                <w:sz w:val="24"/>
              </w:rPr>
              <w:t>TransGrid</w:t>
            </w:r>
          </w:p>
        </w:tc>
        <w:tc>
          <w:tcPr>
            <w:tcW w:w="5287" w:type="dxa"/>
            <w:tcBorders>
              <w:top w:val="single" w:sz="4" w:space="0" w:color="000000"/>
              <w:left w:val="single" w:sz="4" w:space="0" w:color="000000"/>
              <w:right w:val="single" w:sz="4" w:space="0" w:color="000000"/>
            </w:tcBorders>
          </w:tcPr>
          <w:p>
            <w:pPr>
              <w:pStyle w:val="TableParagraph"/>
              <w:ind w:right="784"/>
              <w:rPr>
                <w:sz w:val="24"/>
              </w:rPr>
            </w:pPr>
            <w:r>
              <w:rPr>
                <w:sz w:val="24"/>
              </w:rPr>
              <w:t>The energy transmission operator known as "TransGrid" and established under the </w:t>
            </w:r>
            <w:r>
              <w:rPr>
                <w:i/>
                <w:sz w:val="24"/>
              </w:rPr>
              <w:t>Energy </w:t>
            </w:r>
            <w:r>
              <w:rPr>
                <w:i/>
                <w:sz w:val="24"/>
              </w:rPr>
              <w:t>Services Corporations Act 1995 </w:t>
            </w:r>
            <w:r>
              <w:rPr>
                <w:sz w:val="24"/>
              </w:rPr>
              <w:t>(NSW).</w:t>
            </w:r>
          </w:p>
        </w:tc>
      </w:tr>
    </w:tbl>
    <w:p>
      <w:pPr>
        <w:pStyle w:val="BodyText"/>
        <w:spacing w:before="0"/>
        <w:ind w:firstLine="0"/>
        <w:jc w:val="left"/>
        <w:rPr>
          <w:sz w:val="20"/>
        </w:rPr>
      </w:pPr>
    </w:p>
    <w:p>
      <w:pPr>
        <w:pStyle w:val="BodyText"/>
        <w:spacing w:before="11"/>
        <w:ind w:firstLine="0"/>
        <w:jc w:val="left"/>
        <w:rPr>
          <w:sz w:val="16"/>
        </w:rPr>
      </w:pPr>
    </w:p>
    <w:p>
      <w:pPr>
        <w:pStyle w:val="Heading3"/>
        <w:numPr>
          <w:ilvl w:val="1"/>
          <w:numId w:val="678"/>
        </w:numPr>
        <w:tabs>
          <w:tab w:pos="1351" w:val="left" w:leader="none"/>
          <w:tab w:pos="1353" w:val="left" w:leader="none"/>
        </w:tabs>
        <w:spacing w:line="240" w:lineRule="auto" w:before="92" w:after="0"/>
        <w:ind w:left="1352" w:right="1520" w:hanging="1134"/>
        <w:jc w:val="left"/>
      </w:pPr>
      <w:bookmarkStart w:name="9.12 Transitional Arrangements for Chapt" w:id="2642"/>
      <w:bookmarkEnd w:id="2642"/>
      <w:r>
        <w:rPr>
          <w:b w:val="0"/>
        </w:rPr>
      </w:r>
      <w:bookmarkStart w:name="_bookmark1087" w:id="2643"/>
      <w:bookmarkEnd w:id="2643"/>
      <w:r>
        <w:rPr>
          <w:b w:val="0"/>
        </w:rPr>
      </w:r>
      <w:bookmarkStart w:name="_bookmark1087" w:id="2644"/>
      <w:bookmarkEnd w:id="2644"/>
      <w:r>
        <w:rPr/>
        <w:t>T</w:t>
      </w:r>
      <w:r>
        <w:rPr/>
        <w:t>ransitional Arrangements for Chapter 2 - Generators, Registered Participants, Registration and Cross Border Networks</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2.1 [Deleted]" w:id="2645"/>
      <w:bookmarkEnd w:id="2645"/>
      <w:r>
        <w:rPr>
          <w:b w:val="0"/>
        </w:rPr>
      </w:r>
      <w:bookmarkStart w:name="_bookmark1088" w:id="2646"/>
      <w:bookmarkEnd w:id="2646"/>
      <w:r>
        <w:rPr>
          <w:b w:val="0"/>
        </w:rPr>
      </w:r>
      <w:bookmarkStart w:name="_bookmark1088" w:id="2647"/>
      <w:bookmarkEnd w:id="2647"/>
      <w:r>
        <w:rPr/>
        <w:t>[Deleted]</w:t>
      </w:r>
    </w:p>
    <w:p>
      <w:pPr>
        <w:pStyle w:val="BodyText"/>
        <w:spacing w:before="10"/>
        <w:ind w:firstLine="0"/>
        <w:jc w:val="left"/>
        <w:rPr>
          <w:rFonts w:ascii="Arial"/>
          <w:b/>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2.2 Customers" w:id="2648"/>
      <w:bookmarkEnd w:id="2648"/>
      <w:r>
        <w:rPr>
          <w:b w:val="0"/>
        </w:rPr>
      </w:r>
      <w:bookmarkStart w:name="_bookmark1089" w:id="2649"/>
      <w:bookmarkEnd w:id="2649"/>
      <w:r>
        <w:rPr>
          <w:b w:val="0"/>
        </w:rPr>
      </w:r>
      <w:bookmarkStart w:name="_bookmark1089" w:id="2650"/>
      <w:bookmarkEnd w:id="2650"/>
      <w:r>
        <w:rPr/>
        <w:t>Customers</w:t>
      </w:r>
    </w:p>
    <w:p>
      <w:pPr>
        <w:pStyle w:val="BodyText"/>
        <w:ind w:left="1352" w:right="415" w:firstLine="0"/>
      </w:pPr>
      <w:r>
        <w:rPr/>
        <w:t>For the purposes of clause 2.3.1(e), and for the purposes of clause 2.4.2(b) in so far as it relates to </w:t>
      </w:r>
      <w:r>
        <w:rPr>
          <w:i/>
        </w:rPr>
        <w:t>Customers</w:t>
      </w:r>
      <w:r>
        <w:rPr/>
        <w:t>, a person satisfies the requirements of New South Wales for classification of a </w:t>
      </w:r>
      <w:r>
        <w:rPr>
          <w:i/>
        </w:rPr>
        <w:t>connection point </w:t>
      </w:r>
      <w:r>
        <w:rPr/>
        <w:t>of that person if that person is a retailer or is a wholesale customer (as defined in the </w:t>
      </w:r>
      <w:r>
        <w:rPr>
          <w:i/>
        </w:rPr>
        <w:t>ES</w:t>
      </w:r>
      <w:r>
        <w:rPr>
          <w:i/>
          <w:spacing w:val="-4"/>
        </w:rPr>
        <w:t> </w:t>
      </w:r>
      <w:r>
        <w:rPr>
          <w:i/>
        </w:rPr>
        <w:t>Act</w:t>
      </w:r>
      <w:r>
        <w:rPr/>
        <w:t>).</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2.3 Power Traders" w:id="2651"/>
      <w:bookmarkEnd w:id="2651"/>
      <w:r>
        <w:rPr>
          <w:b w:val="0"/>
        </w:rPr>
      </w:r>
      <w:bookmarkStart w:name="_bookmark1090" w:id="2652"/>
      <w:bookmarkEnd w:id="2652"/>
      <w:r>
        <w:rPr>
          <w:b w:val="0"/>
        </w:rPr>
      </w:r>
      <w:bookmarkStart w:name="_bookmark1090" w:id="2653"/>
      <w:bookmarkEnd w:id="2653"/>
      <w:r>
        <w:rPr/>
        <w:t>Power</w:t>
      </w:r>
      <w:r>
        <w:rPr/>
        <w:t> Traders</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Each Power Trader for the purpose of supplying electricity under a Power Supply Agreement (the "</w:t>
      </w:r>
      <w:r>
        <w:rPr>
          <w:b/>
          <w:sz w:val="24"/>
        </w:rPr>
        <w:t>Power Supply Agreement</w:t>
      </w:r>
      <w:r>
        <w:rPr>
          <w:sz w:val="24"/>
        </w:rPr>
        <w:t>") is deemed to be and at all relevant times to have been registered with </w:t>
      </w:r>
      <w:r>
        <w:rPr>
          <w:i/>
          <w:sz w:val="24"/>
        </w:rPr>
        <w:t>AEMO </w:t>
      </w:r>
      <w:r>
        <w:rPr>
          <w:sz w:val="24"/>
        </w:rPr>
        <w:t>as a </w:t>
      </w:r>
      <w:r>
        <w:rPr>
          <w:i/>
          <w:sz w:val="24"/>
        </w:rPr>
        <w:t>Market </w:t>
      </w:r>
      <w:r>
        <w:rPr>
          <w:i/>
          <w:sz w:val="24"/>
        </w:rPr>
        <w:t>Customer </w:t>
      </w:r>
      <w:r>
        <w:rPr>
          <w:sz w:val="24"/>
        </w:rPr>
        <w:t>in relation to electricity supplied under the Power Supply Agreement, which electricity is deemed to be and at all relevant times to have been a </w:t>
      </w:r>
      <w:r>
        <w:rPr>
          <w:i/>
          <w:sz w:val="24"/>
        </w:rPr>
        <w:t>market</w:t>
      </w:r>
      <w:r>
        <w:rPr>
          <w:i/>
          <w:spacing w:val="-2"/>
          <w:sz w:val="24"/>
        </w:rPr>
        <w:t> </w:t>
      </w:r>
      <w:r>
        <w:rPr>
          <w:i/>
          <w:sz w:val="24"/>
        </w:rPr>
        <w:t>load</w:t>
      </w:r>
      <w:r>
        <w:rPr>
          <w:sz w:val="24"/>
        </w:rPr>
        <w:t>.</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If complying with a requirement of the </w:t>
      </w:r>
      <w:r>
        <w:rPr>
          <w:i/>
          <w:sz w:val="24"/>
        </w:rPr>
        <w:t>Rules </w:t>
      </w:r>
      <w:r>
        <w:rPr>
          <w:sz w:val="24"/>
        </w:rPr>
        <w:t>("the </w:t>
      </w:r>
      <w:r>
        <w:rPr>
          <w:b/>
          <w:sz w:val="24"/>
        </w:rPr>
        <w:t>Rules Requirement</w:t>
      </w:r>
      <w:r>
        <w:rPr>
          <w:sz w:val="24"/>
        </w:rPr>
        <w:t>") would result in a Power Trader being in breach of a provision of a Power Supply Agreement to which it is a party ("the </w:t>
      </w:r>
      <w:r>
        <w:rPr>
          <w:b/>
          <w:sz w:val="24"/>
        </w:rPr>
        <w:t>Contractual Requirement</w:t>
      </w:r>
      <w:r>
        <w:rPr>
          <w:sz w:val="24"/>
        </w:rPr>
        <w:t>"), the Power Trader is not required to comply with the Rules Requirement to the extent of the inconsistency between the Rules Requirement and</w:t>
      </w:r>
      <w:r>
        <w:rPr>
          <w:spacing w:val="24"/>
          <w:sz w:val="24"/>
        </w:rPr>
        <w:t> </w:t>
      </w:r>
      <w:r>
        <w:rPr>
          <w:sz w:val="24"/>
        </w:rPr>
        <w:t>the Contractual</w:t>
      </w:r>
      <w:r>
        <w:rPr>
          <w:spacing w:val="-1"/>
          <w:sz w:val="24"/>
        </w:rPr>
        <w:t> </w:t>
      </w:r>
      <w:r>
        <w:rPr>
          <w:sz w:val="24"/>
        </w:rPr>
        <w:t>Requirement.</w:t>
      </w:r>
    </w:p>
    <w:p>
      <w:pPr>
        <w:pStyle w:val="ListParagraph"/>
        <w:numPr>
          <w:ilvl w:val="3"/>
          <w:numId w:val="678"/>
        </w:numPr>
        <w:tabs>
          <w:tab w:pos="1919" w:val="left" w:leader="none"/>
        </w:tabs>
        <w:spacing w:line="240" w:lineRule="auto" w:before="120" w:after="0"/>
        <w:ind w:left="1919" w:right="416" w:hanging="567"/>
        <w:jc w:val="both"/>
        <w:rPr>
          <w:sz w:val="24"/>
        </w:rPr>
      </w:pPr>
      <w:r>
        <w:rPr>
          <w:sz w:val="24"/>
        </w:rPr>
        <w:t>If a Power Trader does not comply with a Rules Requirement in the circumstances described in clause 9.12.3(b), then the Power Trader</w:t>
      </w:r>
      <w:r>
        <w:rPr>
          <w:spacing w:val="-5"/>
          <w:sz w:val="24"/>
        </w:rPr>
        <w:t> </w:t>
      </w:r>
      <w:r>
        <w:rPr>
          <w:sz w:val="24"/>
        </w:rPr>
        <w:t>must:</w:t>
      </w:r>
    </w:p>
    <w:p>
      <w:pPr>
        <w:pStyle w:val="ListParagraph"/>
        <w:numPr>
          <w:ilvl w:val="4"/>
          <w:numId w:val="678"/>
        </w:numPr>
        <w:tabs>
          <w:tab w:pos="2486" w:val="left" w:leader="none"/>
        </w:tabs>
        <w:spacing w:line="240" w:lineRule="auto" w:before="120" w:after="0"/>
        <w:ind w:left="2485" w:right="0" w:hanging="567"/>
        <w:jc w:val="both"/>
        <w:rPr>
          <w:sz w:val="24"/>
        </w:rPr>
      </w:pPr>
      <w:r>
        <w:rPr>
          <w:sz w:val="24"/>
        </w:rPr>
        <w:t>give written notice to the </w:t>
      </w:r>
      <w:r>
        <w:rPr>
          <w:i/>
          <w:sz w:val="24"/>
        </w:rPr>
        <w:t>AER</w:t>
      </w:r>
      <w:r>
        <w:rPr>
          <w:i/>
          <w:spacing w:val="-3"/>
          <w:sz w:val="24"/>
        </w:rPr>
        <w:t> </w:t>
      </w:r>
      <w:r>
        <w:rPr>
          <w:sz w:val="24"/>
        </w:rPr>
        <w:t>of:</w:t>
      </w:r>
    </w:p>
    <w:p>
      <w:pPr>
        <w:pStyle w:val="ListParagraph"/>
        <w:numPr>
          <w:ilvl w:val="5"/>
          <w:numId w:val="678"/>
        </w:numPr>
        <w:tabs>
          <w:tab w:pos="3053" w:val="left" w:leader="none"/>
        </w:tabs>
        <w:spacing w:line="240" w:lineRule="auto" w:before="120" w:after="0"/>
        <w:ind w:left="3052" w:right="0" w:hanging="567"/>
        <w:jc w:val="both"/>
        <w:rPr>
          <w:sz w:val="24"/>
        </w:rPr>
      </w:pPr>
      <w:r>
        <w:rPr>
          <w:sz w:val="24"/>
        </w:rPr>
        <w:t>the Rules Requirement which has not been complied</w:t>
      </w:r>
      <w:r>
        <w:rPr>
          <w:spacing w:val="-5"/>
          <w:sz w:val="24"/>
        </w:rPr>
        <w:t> </w:t>
      </w:r>
      <w:r>
        <w:rPr>
          <w:sz w:val="24"/>
        </w:rPr>
        <w:t>with;</w:t>
      </w:r>
    </w:p>
    <w:p>
      <w:pPr>
        <w:spacing w:after="0" w:line="240" w:lineRule="auto"/>
        <w:jc w:val="both"/>
        <w:rPr>
          <w:sz w:val="24"/>
        </w:rPr>
        <w:sectPr>
          <w:pgSz w:w="11910" w:h="16840"/>
          <w:pgMar w:header="686" w:footer="637" w:top="1320" w:bottom="820" w:left="1200" w:right="1000"/>
        </w:sectPr>
      </w:pPr>
    </w:p>
    <w:p>
      <w:pPr>
        <w:pStyle w:val="ListParagraph"/>
        <w:numPr>
          <w:ilvl w:val="5"/>
          <w:numId w:val="678"/>
        </w:numPr>
        <w:tabs>
          <w:tab w:pos="3052" w:val="left" w:leader="none"/>
          <w:tab w:pos="3054" w:val="left" w:leader="none"/>
        </w:tabs>
        <w:spacing w:line="240" w:lineRule="auto" w:before="83" w:after="0"/>
        <w:ind w:left="3053" w:right="416" w:hanging="567"/>
        <w:jc w:val="left"/>
        <w:rPr>
          <w:sz w:val="24"/>
        </w:rPr>
      </w:pPr>
      <w:r>
        <w:rPr>
          <w:sz w:val="24"/>
        </w:rPr>
        <w:t>details of each act or omission which partly or</w:t>
      </w:r>
      <w:r>
        <w:rPr>
          <w:spacing w:val="34"/>
          <w:sz w:val="24"/>
        </w:rPr>
        <w:t> </w:t>
      </w:r>
      <w:r>
        <w:rPr>
          <w:sz w:val="24"/>
        </w:rPr>
        <w:t>wholly constitutes non-compliance with that Rules Requirement;</w:t>
      </w:r>
      <w:r>
        <w:rPr>
          <w:spacing w:val="-5"/>
          <w:sz w:val="24"/>
        </w:rPr>
        <w:t> </w:t>
      </w:r>
      <w:r>
        <w:rPr>
          <w:sz w:val="24"/>
        </w:rPr>
        <w:t>and</w:t>
      </w:r>
    </w:p>
    <w:p>
      <w:pPr>
        <w:pStyle w:val="ListParagraph"/>
        <w:numPr>
          <w:ilvl w:val="5"/>
          <w:numId w:val="678"/>
        </w:numPr>
        <w:tabs>
          <w:tab w:pos="3052" w:val="left" w:leader="none"/>
          <w:tab w:pos="3053" w:val="left" w:leader="none"/>
        </w:tabs>
        <w:spacing w:line="240" w:lineRule="auto" w:before="120" w:after="0"/>
        <w:ind w:left="3053" w:right="416" w:hanging="567"/>
        <w:jc w:val="left"/>
        <w:rPr>
          <w:sz w:val="24"/>
        </w:rPr>
      </w:pPr>
      <w:r>
        <w:rPr>
          <w:sz w:val="24"/>
        </w:rPr>
        <w:t>details of each Contractual Requirement which is said by the Power Trader to be inconsistent with the Rules</w:t>
      </w:r>
      <w:r>
        <w:rPr>
          <w:spacing w:val="-8"/>
          <w:sz w:val="24"/>
        </w:rPr>
        <w:t> </w:t>
      </w:r>
      <w:r>
        <w:rPr>
          <w:sz w:val="24"/>
        </w:rPr>
        <w:t>Requirement,</w:t>
      </w:r>
    </w:p>
    <w:p>
      <w:pPr>
        <w:pStyle w:val="BodyText"/>
        <w:ind w:left="2486" w:firstLine="0"/>
        <w:jc w:val="left"/>
      </w:pPr>
      <w:r>
        <w:rPr/>
        <w:t>by no later than 7 </w:t>
      </w:r>
      <w:r>
        <w:rPr>
          <w:i/>
        </w:rPr>
        <w:t>days </w:t>
      </w:r>
      <w:r>
        <w:rPr/>
        <w:t>after the non-compliance with the Rules Requirement occurs or commences; and</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provide the </w:t>
      </w:r>
      <w:r>
        <w:rPr>
          <w:i/>
          <w:sz w:val="24"/>
        </w:rPr>
        <w:t>AER </w:t>
      </w:r>
      <w:r>
        <w:rPr>
          <w:sz w:val="24"/>
        </w:rPr>
        <w:t>with any documents or information in the possession or control of the Power Trader which evidence the matters referred to in clause 9.12.3(c)(l), within 14 </w:t>
      </w:r>
      <w:r>
        <w:rPr>
          <w:i/>
          <w:sz w:val="24"/>
        </w:rPr>
        <w:t>days </w:t>
      </w:r>
      <w:r>
        <w:rPr>
          <w:sz w:val="24"/>
        </w:rPr>
        <w:t>(or any further period agreed to by the </w:t>
      </w:r>
      <w:r>
        <w:rPr>
          <w:i/>
          <w:sz w:val="24"/>
        </w:rPr>
        <w:t>AER</w:t>
      </w:r>
      <w:r>
        <w:rPr>
          <w:sz w:val="24"/>
        </w:rPr>
        <w:t>) of receiving a written request from the</w:t>
      </w:r>
      <w:r>
        <w:rPr>
          <w:spacing w:val="-6"/>
          <w:sz w:val="24"/>
        </w:rPr>
        <w:t> </w:t>
      </w:r>
      <w:r>
        <w:rPr>
          <w:i/>
          <w:sz w:val="24"/>
        </w:rPr>
        <w:t>AER</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8"/>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 Power Trader requires the co-operation of any other party to a Power Supply Agreement (a </w:t>
      </w:r>
      <w:r>
        <w:rPr>
          <w:b/>
          <w:sz w:val="24"/>
        </w:rPr>
        <w:t>counterparty</w:t>
      </w:r>
      <w:r>
        <w:rPr>
          <w:sz w:val="24"/>
        </w:rPr>
        <w:t>) to comply with a requirement of the </w:t>
      </w:r>
      <w:r>
        <w:rPr>
          <w:i/>
          <w:sz w:val="24"/>
        </w:rPr>
        <w:t>Rules </w:t>
      </w:r>
      <w:r>
        <w:rPr>
          <w:sz w:val="24"/>
        </w:rPr>
        <w:t>(the </w:t>
      </w:r>
      <w:r>
        <w:rPr>
          <w:b/>
          <w:sz w:val="24"/>
        </w:rPr>
        <w:t>Rules</w:t>
      </w:r>
      <w:r>
        <w:rPr>
          <w:b/>
          <w:spacing w:val="-3"/>
          <w:sz w:val="24"/>
        </w:rPr>
        <w:t> </w:t>
      </w:r>
      <w:r>
        <w:rPr>
          <w:b/>
          <w:sz w:val="24"/>
        </w:rPr>
        <w:t>Requirement</w:t>
      </w:r>
      <w:r>
        <w:rPr>
          <w:sz w:val="24"/>
        </w:rPr>
        <w:t>);</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the Power Trader has used all reasonable endeavours to obtain the counterparty's co-operation in order to enable the Power Trader to comply with the Rules Requirement;</w:t>
      </w:r>
      <w:r>
        <w:rPr>
          <w:spacing w:val="-1"/>
          <w:sz w:val="24"/>
        </w:rPr>
        <w:t> </w:t>
      </w:r>
      <w:r>
        <w:rPr>
          <w:sz w:val="24"/>
        </w:rPr>
        <w:t>and</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under the Power Supply Agreement the Power Trader has no ability to require the counterparty to so co-operate with the Power Trader and the counterparty is not in breach of the Power Supply Agreement by refusing to so co-operate with the Power</w:t>
      </w:r>
      <w:r>
        <w:rPr>
          <w:spacing w:val="-5"/>
          <w:sz w:val="24"/>
        </w:rPr>
        <w:t> </w:t>
      </w:r>
      <w:r>
        <w:rPr>
          <w:sz w:val="24"/>
        </w:rPr>
        <w:t>Trader,</w:t>
      </w:r>
    </w:p>
    <w:p>
      <w:pPr>
        <w:pStyle w:val="BodyText"/>
        <w:ind w:left="1919" w:right="416" w:firstLine="0"/>
      </w:pPr>
      <w:r>
        <w:rPr/>
        <w:t>then the Power Trader is not required to comply with that Rules Requirement.</w:t>
      </w:r>
    </w:p>
    <w:p>
      <w:pPr>
        <w:pStyle w:val="ListParagraph"/>
        <w:numPr>
          <w:ilvl w:val="3"/>
          <w:numId w:val="678"/>
        </w:numPr>
        <w:tabs>
          <w:tab w:pos="1919" w:val="left" w:leader="none"/>
        </w:tabs>
        <w:spacing w:line="240" w:lineRule="auto" w:before="120" w:after="0"/>
        <w:ind w:left="1919" w:right="416" w:hanging="567"/>
        <w:jc w:val="both"/>
        <w:rPr>
          <w:sz w:val="24"/>
        </w:rPr>
      </w:pPr>
      <w:r>
        <w:rPr>
          <w:sz w:val="24"/>
        </w:rPr>
        <w:t>If a Power Trader does not comply with a Rules Requirement in the circumstances described in clause 9.12.3(d), then the Power Trader</w:t>
      </w:r>
      <w:r>
        <w:rPr>
          <w:spacing w:val="-5"/>
          <w:sz w:val="24"/>
        </w:rPr>
        <w:t> </w:t>
      </w:r>
      <w:r>
        <w:rPr>
          <w:sz w:val="24"/>
        </w:rPr>
        <w:t>must:</w:t>
      </w:r>
    </w:p>
    <w:p>
      <w:pPr>
        <w:pStyle w:val="ListParagraph"/>
        <w:numPr>
          <w:ilvl w:val="4"/>
          <w:numId w:val="678"/>
        </w:numPr>
        <w:tabs>
          <w:tab w:pos="2486" w:val="left" w:leader="none"/>
        </w:tabs>
        <w:spacing w:line="240" w:lineRule="auto" w:before="120" w:after="0"/>
        <w:ind w:left="2485" w:right="0" w:hanging="567"/>
        <w:jc w:val="both"/>
        <w:rPr>
          <w:sz w:val="24"/>
        </w:rPr>
      </w:pPr>
      <w:r>
        <w:rPr>
          <w:sz w:val="24"/>
        </w:rPr>
        <w:t>give written notice to the </w:t>
      </w:r>
      <w:r>
        <w:rPr>
          <w:i/>
          <w:sz w:val="24"/>
        </w:rPr>
        <w:t>AER</w:t>
      </w:r>
      <w:r>
        <w:rPr>
          <w:i/>
          <w:spacing w:val="-3"/>
          <w:sz w:val="24"/>
        </w:rPr>
        <w:t> </w:t>
      </w:r>
      <w:r>
        <w:rPr>
          <w:sz w:val="24"/>
        </w:rPr>
        <w:t>of:</w:t>
      </w:r>
    </w:p>
    <w:p>
      <w:pPr>
        <w:pStyle w:val="ListParagraph"/>
        <w:numPr>
          <w:ilvl w:val="5"/>
          <w:numId w:val="678"/>
        </w:numPr>
        <w:tabs>
          <w:tab w:pos="3053" w:val="left" w:leader="none"/>
        </w:tabs>
        <w:spacing w:line="240" w:lineRule="auto" w:before="120" w:after="0"/>
        <w:ind w:left="3052" w:right="0" w:hanging="567"/>
        <w:jc w:val="both"/>
        <w:rPr>
          <w:sz w:val="24"/>
        </w:rPr>
      </w:pPr>
      <w:r>
        <w:rPr>
          <w:sz w:val="24"/>
        </w:rPr>
        <w:t>the Rules Requirement which has not been complied</w:t>
      </w:r>
      <w:r>
        <w:rPr>
          <w:spacing w:val="-5"/>
          <w:sz w:val="24"/>
        </w:rPr>
        <w:t> </w:t>
      </w:r>
      <w:r>
        <w:rPr>
          <w:sz w:val="24"/>
        </w:rPr>
        <w:t>with;</w:t>
      </w:r>
    </w:p>
    <w:p>
      <w:pPr>
        <w:pStyle w:val="ListParagraph"/>
        <w:numPr>
          <w:ilvl w:val="5"/>
          <w:numId w:val="678"/>
        </w:numPr>
        <w:tabs>
          <w:tab w:pos="3054" w:val="left" w:leader="none"/>
        </w:tabs>
        <w:spacing w:line="240" w:lineRule="auto" w:before="120" w:after="0"/>
        <w:ind w:left="3053" w:right="416" w:hanging="567"/>
        <w:jc w:val="both"/>
        <w:rPr>
          <w:sz w:val="24"/>
        </w:rPr>
      </w:pPr>
      <w:r>
        <w:rPr>
          <w:sz w:val="24"/>
        </w:rPr>
        <w:t>details of each act or omission which partly or</w:t>
      </w:r>
      <w:r>
        <w:rPr>
          <w:spacing w:val="34"/>
          <w:sz w:val="24"/>
        </w:rPr>
        <w:t> </w:t>
      </w:r>
      <w:r>
        <w:rPr>
          <w:sz w:val="24"/>
        </w:rPr>
        <w:t>wholly constitutes non-compliance with that Rules Requirement;</w:t>
      </w:r>
      <w:r>
        <w:rPr>
          <w:spacing w:val="-5"/>
          <w:sz w:val="24"/>
        </w:rPr>
        <w:t> </w:t>
      </w:r>
      <w:r>
        <w:rPr>
          <w:sz w:val="24"/>
        </w:rPr>
        <w:t>and</w:t>
      </w:r>
    </w:p>
    <w:p>
      <w:pPr>
        <w:pStyle w:val="ListParagraph"/>
        <w:numPr>
          <w:ilvl w:val="5"/>
          <w:numId w:val="678"/>
        </w:numPr>
        <w:tabs>
          <w:tab w:pos="3053" w:val="left" w:leader="none"/>
        </w:tabs>
        <w:spacing w:line="240" w:lineRule="auto" w:before="120" w:after="0"/>
        <w:ind w:left="3053" w:right="415" w:hanging="567"/>
        <w:jc w:val="both"/>
        <w:rPr>
          <w:sz w:val="24"/>
        </w:rPr>
      </w:pPr>
      <w:r>
        <w:rPr>
          <w:sz w:val="24"/>
        </w:rPr>
        <w:t>details of the endeavours made by the Power Trader to obtain the counterparty's co-operation to enable the Power Trader to comply with the Rules</w:t>
      </w:r>
      <w:r>
        <w:rPr>
          <w:spacing w:val="-1"/>
          <w:sz w:val="24"/>
        </w:rPr>
        <w:t> </w:t>
      </w:r>
      <w:r>
        <w:rPr>
          <w:sz w:val="24"/>
        </w:rPr>
        <w:t>Requirement,</w:t>
      </w:r>
    </w:p>
    <w:p>
      <w:pPr>
        <w:pStyle w:val="BodyText"/>
        <w:ind w:left="2486" w:right="416" w:firstLine="0"/>
      </w:pPr>
      <w:r>
        <w:rPr/>
        <w:t>by no later than 7 </w:t>
      </w:r>
      <w:r>
        <w:rPr>
          <w:i/>
        </w:rPr>
        <w:t>days </w:t>
      </w:r>
      <w:r>
        <w:rPr/>
        <w:t>after the non-compliance with the Rules Requirement occurs or commences; and</w:t>
      </w:r>
    </w:p>
    <w:p>
      <w:pPr>
        <w:spacing w:after="0"/>
        <w:sectPr>
          <w:pgSz w:w="11910" w:h="16840"/>
          <w:pgMar w:header="686" w:footer="637" w:top="1320" w:bottom="820" w:left="1200" w:right="1000"/>
        </w:sectPr>
      </w:pPr>
    </w:p>
    <w:p>
      <w:pPr>
        <w:spacing w:before="83"/>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provide the </w:t>
      </w:r>
      <w:r>
        <w:rPr>
          <w:i/>
          <w:sz w:val="24"/>
        </w:rPr>
        <w:t>AER </w:t>
      </w:r>
      <w:r>
        <w:rPr>
          <w:sz w:val="24"/>
        </w:rPr>
        <w:t>with any documents or information in the possession or control of the Power Trader which evidence the matters referred to in clause 9.12.3(e)(1), within 14 </w:t>
      </w:r>
      <w:r>
        <w:rPr>
          <w:i/>
          <w:sz w:val="24"/>
        </w:rPr>
        <w:t>days </w:t>
      </w:r>
      <w:r>
        <w:rPr>
          <w:sz w:val="24"/>
        </w:rPr>
        <w:t>(or any further period agreed to by the </w:t>
      </w:r>
      <w:r>
        <w:rPr>
          <w:i/>
          <w:sz w:val="24"/>
        </w:rPr>
        <w:t>AER</w:t>
      </w:r>
      <w:r>
        <w:rPr>
          <w:sz w:val="24"/>
        </w:rPr>
        <w:t>) of receiving a written request from the</w:t>
      </w:r>
      <w:r>
        <w:rPr>
          <w:spacing w:val="-6"/>
          <w:sz w:val="24"/>
        </w:rPr>
        <w:t> </w:t>
      </w:r>
      <w:r>
        <w:rPr>
          <w:i/>
          <w:sz w:val="24"/>
        </w:rPr>
        <w:t>AER</w:t>
      </w:r>
      <w:r>
        <w:rPr>
          <w:sz w:val="24"/>
        </w:rPr>
        <w:t>.</w:t>
      </w:r>
    </w:p>
    <w:p>
      <w:pPr>
        <w:spacing w:before="120"/>
        <w:ind w:left="2486" w:right="0" w:firstLine="0"/>
        <w:jc w:val="left"/>
        <w:rPr>
          <w:rFonts w:ascii="Arial"/>
          <w:b/>
          <w:sz w:val="20"/>
        </w:rPr>
      </w:pPr>
      <w:r>
        <w:rPr>
          <w:rFonts w:ascii="Arial"/>
          <w:b/>
          <w:sz w:val="20"/>
        </w:rPr>
        <w:t>Note</w:t>
      </w:r>
    </w:p>
    <w:p>
      <w:pPr>
        <w:spacing w:before="120"/>
        <w:ind w:left="2486"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8"/>
        </w:numPr>
        <w:tabs>
          <w:tab w:pos="1920" w:val="left" w:leader="none"/>
        </w:tabs>
        <w:spacing w:line="240" w:lineRule="auto" w:before="120" w:after="0"/>
        <w:ind w:left="1919" w:right="0" w:hanging="568"/>
        <w:jc w:val="both"/>
        <w:rPr>
          <w:sz w:val="24"/>
        </w:rPr>
      </w:pPr>
      <w:r>
        <w:rPr>
          <w:sz w:val="24"/>
        </w:rPr>
        <w:t>To avoid any doubt,</w:t>
      </w:r>
      <w:r>
        <w:rPr>
          <w:spacing w:val="-1"/>
          <w:sz w:val="24"/>
        </w:rPr>
        <w:t> </w:t>
      </w:r>
      <w:r>
        <w:rPr>
          <w:sz w:val="24"/>
        </w:rPr>
        <w:t>if:</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after reviewing any written notice provided by a Power Trader under clause 9.12.3(c)(1) and any additional documents or information provided by the Power Trader under clause 9.12.3(c)(2), the </w:t>
      </w:r>
      <w:r>
        <w:rPr>
          <w:i/>
          <w:sz w:val="24"/>
        </w:rPr>
        <w:t>AER </w:t>
      </w:r>
      <w:r>
        <w:rPr>
          <w:sz w:val="24"/>
        </w:rPr>
        <w:t>forms the view that compliance with the relevant Rules Requirement would not have resulted in the Power Trader being in breach of the relevant Contractual Requirement;</w:t>
      </w:r>
      <w:r>
        <w:rPr>
          <w:spacing w:val="-1"/>
          <w:sz w:val="24"/>
        </w:rPr>
        <w:t> </w:t>
      </w:r>
      <w:r>
        <w:rPr>
          <w:sz w:val="24"/>
        </w:rPr>
        <w:t>or</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after reviewing any written notice provided by a Power Trader under clause 9.12.3(e)(1) (the </w:t>
      </w:r>
      <w:r>
        <w:rPr>
          <w:b/>
          <w:sz w:val="24"/>
        </w:rPr>
        <w:t>Notice</w:t>
      </w:r>
      <w:r>
        <w:rPr>
          <w:sz w:val="24"/>
        </w:rPr>
        <w:t>) and any additional documents or information provided by the Power Trader under clause 9.12.3(e)(2), the </w:t>
      </w:r>
      <w:r>
        <w:rPr>
          <w:i/>
          <w:sz w:val="24"/>
        </w:rPr>
        <w:t>AER </w:t>
      </w:r>
      <w:r>
        <w:rPr>
          <w:sz w:val="24"/>
        </w:rPr>
        <w:t>forms the view that any of the requirements of clause 9.12.3(d) were not in fact satisfied in respect of the subject matter of the</w:t>
      </w:r>
      <w:r>
        <w:rPr>
          <w:spacing w:val="-1"/>
          <w:sz w:val="24"/>
        </w:rPr>
        <w:t> </w:t>
      </w:r>
      <w:r>
        <w:rPr>
          <w:sz w:val="24"/>
        </w:rPr>
        <w:t>Notice,</w:t>
      </w:r>
    </w:p>
    <w:p>
      <w:pPr>
        <w:pStyle w:val="BodyText"/>
        <w:ind w:left="1919" w:firstLine="0"/>
      </w:pPr>
      <w:r>
        <w:rPr/>
        <w:t>then the matter may be dealt with by the </w:t>
      </w:r>
      <w:r>
        <w:rPr>
          <w:i/>
        </w:rPr>
        <w:t>AER </w:t>
      </w:r>
      <w:r>
        <w:rPr/>
        <w:t>as a breach of the </w:t>
      </w:r>
      <w:r>
        <w:rPr>
          <w:i/>
        </w:rPr>
        <w:t>Rules</w:t>
      </w:r>
      <w:r>
        <w:rPr/>
        <w:t>.</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A Power Trader may provide notice and information to the </w:t>
      </w:r>
      <w:r>
        <w:rPr>
          <w:i/>
          <w:sz w:val="24"/>
        </w:rPr>
        <w:t>AER </w:t>
      </w:r>
      <w:r>
        <w:rPr>
          <w:sz w:val="24"/>
        </w:rPr>
        <w:t>as required in clauses 9.12.3(c) or (e), as the case requires, in advance if it becomes aware of the potential for the circumstances described in clauses 9.12.3(b) or (d) to arise. Such notice and information will be deemed to have been given in accordance with clauses 9.12.3(c) or (e), as the case</w:t>
      </w:r>
      <w:r>
        <w:rPr>
          <w:spacing w:val="-4"/>
          <w:sz w:val="24"/>
        </w:rPr>
        <w:t> </w:t>
      </w:r>
      <w:r>
        <w:rPr>
          <w:sz w:val="24"/>
        </w:rPr>
        <w:t>requires.</w:t>
      </w:r>
    </w:p>
    <w:p>
      <w:pPr>
        <w:pStyle w:val="ListParagraph"/>
        <w:numPr>
          <w:ilvl w:val="3"/>
          <w:numId w:val="678"/>
        </w:numPr>
        <w:tabs>
          <w:tab w:pos="1919" w:val="left" w:leader="none"/>
        </w:tabs>
        <w:spacing w:line="240" w:lineRule="auto" w:before="120" w:after="0"/>
        <w:ind w:left="1919" w:right="414" w:hanging="567"/>
        <w:jc w:val="both"/>
        <w:rPr>
          <w:sz w:val="24"/>
        </w:rPr>
      </w:pPr>
      <w:r>
        <w:rPr>
          <w:sz w:val="24"/>
        </w:rPr>
        <w:t>Notwithstanding the provision of notice and information in advance in accordance with clause 9.12.3(g), the Power Trader must give notice of non- compliance with the </w:t>
      </w:r>
      <w:r>
        <w:rPr>
          <w:i/>
          <w:sz w:val="24"/>
        </w:rPr>
        <w:t>Rules </w:t>
      </w:r>
      <w:r>
        <w:rPr>
          <w:sz w:val="24"/>
        </w:rPr>
        <w:t>and provide such other documents or information as required in accordance with clauses 9.12.3(c) or (e), as the case requires, after such non-compliance has occurred or</w:t>
      </w:r>
      <w:r>
        <w:rPr>
          <w:spacing w:val="-3"/>
          <w:sz w:val="24"/>
        </w:rPr>
        <w:t> </w:t>
      </w:r>
      <w:r>
        <w:rPr>
          <w:sz w:val="24"/>
        </w:rPr>
        <w:t>commenced.</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This clause is classified as a civil penalty provision under the National Electricity (South Australia) Regulations. (See clause 6(1) and Schedule 1 of the National Electricity (South Australia) Regulations.)</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If non-compliance with the </w:t>
      </w:r>
      <w:r>
        <w:rPr>
          <w:i/>
          <w:sz w:val="24"/>
        </w:rPr>
        <w:t>Rules </w:t>
      </w:r>
      <w:r>
        <w:rPr>
          <w:sz w:val="24"/>
        </w:rPr>
        <w:t>is continuing, the notice of non- compliance with the </w:t>
      </w:r>
      <w:r>
        <w:rPr>
          <w:i/>
          <w:sz w:val="24"/>
        </w:rPr>
        <w:t>Rules </w:t>
      </w:r>
      <w:r>
        <w:rPr>
          <w:sz w:val="24"/>
        </w:rPr>
        <w:t>provided under clauses 9.12.3(c) or (e), as the case requires, will be effective in relation to that non-compliance until that non-compliance ends provided</w:t>
      </w:r>
      <w:r>
        <w:rPr>
          <w:spacing w:val="-1"/>
          <w:sz w:val="24"/>
        </w:rPr>
        <w:t> </w:t>
      </w:r>
      <w:r>
        <w:rPr>
          <w:sz w:val="24"/>
        </w:rPr>
        <w:t>that:</w:t>
      </w:r>
    </w:p>
    <w:p>
      <w:pPr>
        <w:pStyle w:val="ListParagraph"/>
        <w:numPr>
          <w:ilvl w:val="4"/>
          <w:numId w:val="678"/>
        </w:numPr>
        <w:tabs>
          <w:tab w:pos="2486" w:val="left" w:leader="none"/>
        </w:tabs>
        <w:spacing w:line="240" w:lineRule="auto" w:before="120" w:after="0"/>
        <w:ind w:left="2485" w:right="0" w:hanging="567"/>
        <w:jc w:val="both"/>
        <w:rPr>
          <w:sz w:val="24"/>
        </w:rPr>
      </w:pPr>
      <w:r>
        <w:rPr>
          <w:sz w:val="24"/>
        </w:rPr>
        <w:t>the notice specifies that the non-compliance is continuing;</w:t>
      </w:r>
      <w:r>
        <w:rPr>
          <w:spacing w:val="-3"/>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678"/>
        </w:numPr>
        <w:tabs>
          <w:tab w:pos="2485" w:val="left" w:leader="none"/>
          <w:tab w:pos="2486" w:val="left" w:leader="none"/>
        </w:tabs>
        <w:spacing w:line="240" w:lineRule="auto" w:before="83" w:after="0"/>
        <w:ind w:left="2486" w:right="415" w:hanging="567"/>
        <w:jc w:val="left"/>
        <w:rPr>
          <w:sz w:val="24"/>
        </w:rPr>
      </w:pPr>
      <w:r>
        <w:rPr>
          <w:sz w:val="24"/>
        </w:rPr>
        <w:t>the Power Trader notifies the </w:t>
      </w:r>
      <w:r>
        <w:rPr>
          <w:i/>
          <w:sz w:val="24"/>
        </w:rPr>
        <w:t>AER </w:t>
      </w:r>
      <w:r>
        <w:rPr>
          <w:sz w:val="24"/>
        </w:rPr>
        <w:t>of the end of the non-compliance no later than 7 </w:t>
      </w:r>
      <w:r>
        <w:rPr>
          <w:i/>
          <w:sz w:val="24"/>
        </w:rPr>
        <w:t>days </w:t>
      </w:r>
      <w:r>
        <w:rPr>
          <w:sz w:val="24"/>
        </w:rPr>
        <w:t>after the non-compliance</w:t>
      </w:r>
      <w:r>
        <w:rPr>
          <w:spacing w:val="-1"/>
          <w:sz w:val="24"/>
        </w:rPr>
        <w:t> </w:t>
      </w:r>
      <w:r>
        <w:rPr>
          <w:sz w:val="24"/>
        </w:rPr>
        <w:t>ends.</w:t>
      </w:r>
    </w:p>
    <w:p>
      <w:pPr>
        <w:pStyle w:val="ListParagraph"/>
        <w:numPr>
          <w:ilvl w:val="3"/>
          <w:numId w:val="678"/>
        </w:numPr>
        <w:tabs>
          <w:tab w:pos="1918" w:val="left" w:leader="none"/>
          <w:tab w:pos="1919" w:val="left" w:leader="none"/>
        </w:tabs>
        <w:spacing w:line="240" w:lineRule="auto" w:before="120" w:after="0"/>
        <w:ind w:left="1919" w:right="416" w:hanging="567"/>
        <w:jc w:val="left"/>
        <w:rPr>
          <w:sz w:val="24"/>
        </w:rPr>
      </w:pPr>
      <w:r>
        <w:rPr>
          <w:sz w:val="24"/>
        </w:rPr>
        <w:t>Clauses 9.12.3(b) and (d) do not affect a Power Trader's obligation with respect to registration with </w:t>
      </w:r>
      <w:r>
        <w:rPr>
          <w:i/>
          <w:sz w:val="24"/>
        </w:rPr>
        <w:t>AEMO </w:t>
      </w:r>
      <w:r>
        <w:rPr>
          <w:sz w:val="24"/>
        </w:rPr>
        <w:t>or making payments in respect</w:t>
      </w:r>
      <w:r>
        <w:rPr>
          <w:spacing w:val="-3"/>
          <w:sz w:val="24"/>
        </w:rPr>
        <w:t> </w:t>
      </w:r>
      <w:r>
        <w:rPr>
          <w:sz w:val="24"/>
        </w:rPr>
        <w:t>of:</w:t>
      </w:r>
    </w:p>
    <w:p>
      <w:pPr>
        <w:pStyle w:val="ListParagraph"/>
        <w:numPr>
          <w:ilvl w:val="4"/>
          <w:numId w:val="678"/>
        </w:numPr>
        <w:tabs>
          <w:tab w:pos="2485" w:val="left" w:leader="none"/>
          <w:tab w:pos="2486" w:val="left" w:leader="none"/>
        </w:tabs>
        <w:spacing w:line="240" w:lineRule="auto" w:before="120" w:after="0"/>
        <w:ind w:left="2485" w:right="0" w:hanging="567"/>
        <w:jc w:val="left"/>
        <w:rPr>
          <w:sz w:val="24"/>
        </w:rPr>
      </w:pPr>
      <w:r>
        <w:rPr>
          <w:i/>
          <w:sz w:val="24"/>
        </w:rPr>
        <w:t>Participant</w:t>
      </w:r>
      <w:r>
        <w:rPr>
          <w:i/>
          <w:spacing w:val="-1"/>
          <w:sz w:val="24"/>
        </w:rPr>
        <w:t> </w:t>
      </w:r>
      <w:r>
        <w:rPr>
          <w:i/>
          <w:sz w:val="24"/>
        </w:rPr>
        <w:t>fees</w:t>
      </w:r>
      <w:r>
        <w:rPr>
          <w:sz w:val="24"/>
        </w:rPr>
        <w:t>;</w:t>
      </w:r>
    </w:p>
    <w:p>
      <w:pPr>
        <w:pStyle w:val="ListParagraph"/>
        <w:numPr>
          <w:ilvl w:val="4"/>
          <w:numId w:val="678"/>
        </w:numPr>
        <w:tabs>
          <w:tab w:pos="2485" w:val="left" w:leader="none"/>
          <w:tab w:pos="2486" w:val="left" w:leader="none"/>
        </w:tabs>
        <w:spacing w:line="240" w:lineRule="auto" w:before="120" w:after="0"/>
        <w:ind w:left="2485" w:right="0" w:hanging="567"/>
        <w:jc w:val="left"/>
        <w:rPr>
          <w:sz w:val="24"/>
        </w:rPr>
      </w:pPr>
      <w:r>
        <w:rPr>
          <w:i/>
          <w:sz w:val="24"/>
        </w:rPr>
        <w:t>prudential requirements</w:t>
      </w:r>
      <w:r>
        <w:rPr>
          <w:sz w:val="24"/>
        </w:rPr>
        <w:t>;</w:t>
      </w:r>
      <w:r>
        <w:rPr>
          <w:spacing w:val="-1"/>
          <w:sz w:val="24"/>
        </w:rPr>
        <w:t> </w:t>
      </w:r>
      <w:r>
        <w:rPr>
          <w:sz w:val="24"/>
        </w:rPr>
        <w:t>or</w:t>
      </w:r>
    </w:p>
    <w:p>
      <w:pPr>
        <w:pStyle w:val="ListParagraph"/>
        <w:numPr>
          <w:ilvl w:val="4"/>
          <w:numId w:val="678"/>
        </w:numPr>
        <w:tabs>
          <w:tab w:pos="2485" w:val="left" w:leader="none"/>
          <w:tab w:pos="2486" w:val="left" w:leader="none"/>
        </w:tabs>
        <w:spacing w:line="240" w:lineRule="auto" w:before="120" w:after="0"/>
        <w:ind w:left="2485" w:right="0" w:hanging="567"/>
        <w:jc w:val="left"/>
        <w:rPr>
          <w:sz w:val="24"/>
        </w:rPr>
      </w:pPr>
      <w:r>
        <w:rPr>
          <w:i/>
          <w:sz w:val="24"/>
        </w:rPr>
        <w:t>settlement</w:t>
      </w:r>
      <w:r>
        <w:rPr>
          <w:i/>
          <w:spacing w:val="-1"/>
          <w:sz w:val="24"/>
        </w:rPr>
        <w:t> </w:t>
      </w:r>
      <w:r>
        <w:rPr>
          <w:i/>
          <w:sz w:val="24"/>
        </w:rPr>
        <w:t>amounts</w:t>
      </w:r>
      <w:r>
        <w:rPr>
          <w:sz w:val="24"/>
        </w:rPr>
        <w:t>.</w:t>
      </w:r>
    </w:p>
    <w:p>
      <w:pPr>
        <w:pStyle w:val="ListParagraph"/>
        <w:numPr>
          <w:ilvl w:val="3"/>
          <w:numId w:val="678"/>
        </w:numPr>
        <w:tabs>
          <w:tab w:pos="1919" w:val="left" w:leader="none"/>
        </w:tabs>
        <w:spacing w:line="240" w:lineRule="auto" w:before="120" w:after="0"/>
        <w:ind w:left="1919" w:right="414" w:hanging="567"/>
        <w:jc w:val="both"/>
        <w:rPr>
          <w:sz w:val="24"/>
        </w:rPr>
      </w:pPr>
      <w:r>
        <w:rPr>
          <w:sz w:val="24"/>
        </w:rPr>
        <w:t>Within 30 </w:t>
      </w:r>
      <w:r>
        <w:rPr>
          <w:i/>
          <w:sz w:val="24"/>
        </w:rPr>
        <w:t>days </w:t>
      </w:r>
      <w:r>
        <w:rPr>
          <w:sz w:val="24"/>
        </w:rPr>
        <w:t>of the end of each quarter in each calendar year, the </w:t>
      </w:r>
      <w:r>
        <w:rPr>
          <w:i/>
          <w:sz w:val="24"/>
        </w:rPr>
        <w:t>AER </w:t>
      </w:r>
      <w:r>
        <w:rPr>
          <w:sz w:val="24"/>
        </w:rPr>
        <w:t>must prepare a quarterly report for the previous quarter and make it available on request to all </w:t>
      </w:r>
      <w:r>
        <w:rPr>
          <w:i/>
          <w:sz w:val="24"/>
        </w:rPr>
        <w:t>Registered Participants </w:t>
      </w:r>
      <w:r>
        <w:rPr>
          <w:sz w:val="24"/>
        </w:rPr>
        <w:t>and to the </w:t>
      </w:r>
      <w:r>
        <w:rPr>
          <w:i/>
          <w:sz w:val="24"/>
        </w:rPr>
        <w:t>participating </w:t>
      </w:r>
      <w:r>
        <w:rPr>
          <w:i/>
          <w:sz w:val="24"/>
        </w:rPr>
        <w:t>jurisdictions </w:t>
      </w:r>
      <w:r>
        <w:rPr>
          <w:sz w:val="24"/>
        </w:rPr>
        <w:t>which participated in the </w:t>
      </w:r>
      <w:r>
        <w:rPr>
          <w:i/>
          <w:sz w:val="24"/>
        </w:rPr>
        <w:t>market </w:t>
      </w:r>
      <w:r>
        <w:rPr>
          <w:sz w:val="24"/>
        </w:rPr>
        <w:t>during the quarter covered by the report. The quarterly report must</w:t>
      </w:r>
      <w:r>
        <w:rPr>
          <w:spacing w:val="-1"/>
          <w:sz w:val="24"/>
        </w:rPr>
        <w:t> </w:t>
      </w:r>
      <w:r>
        <w:rPr>
          <w:sz w:val="24"/>
        </w:rPr>
        <w:t>include:</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 summary of the acts or omissions of Power Traders constituting non-compliance with any Rules Requirement, as disclosed in written notices received by the </w:t>
      </w:r>
      <w:r>
        <w:rPr>
          <w:i/>
          <w:sz w:val="24"/>
        </w:rPr>
        <w:t>AER </w:t>
      </w:r>
      <w:r>
        <w:rPr>
          <w:sz w:val="24"/>
        </w:rPr>
        <w:t>under clauses 9.12.3(c) or (e) during the quarter covered by the report;</w:t>
      </w:r>
      <w:r>
        <w:rPr>
          <w:spacing w:val="-2"/>
          <w:sz w:val="24"/>
        </w:rPr>
        <w:t> </w:t>
      </w:r>
      <w:r>
        <w:rPr>
          <w:sz w:val="24"/>
        </w:rPr>
        <w:t>and</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an assessment by the </w:t>
      </w:r>
      <w:r>
        <w:rPr>
          <w:i/>
          <w:sz w:val="24"/>
        </w:rPr>
        <w:t>AER </w:t>
      </w:r>
      <w:r>
        <w:rPr>
          <w:sz w:val="24"/>
        </w:rPr>
        <w:t>of the effect that those acts or omissions have had on the efficient operation of the </w:t>
      </w:r>
      <w:r>
        <w:rPr>
          <w:i/>
          <w:sz w:val="24"/>
        </w:rPr>
        <w:t>market </w:t>
      </w:r>
      <w:r>
        <w:rPr>
          <w:sz w:val="24"/>
        </w:rPr>
        <w:t>during the quarter covered by the</w:t>
      </w:r>
      <w:r>
        <w:rPr>
          <w:spacing w:val="-1"/>
          <w:sz w:val="24"/>
        </w:rPr>
        <w:t> </w:t>
      </w:r>
      <w:r>
        <w:rPr>
          <w:sz w:val="24"/>
        </w:rPr>
        <w:t>report.</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This clause 9.12.3 ceases to have effect in respect of a Power Supply Agreement upon termination of that</w:t>
      </w:r>
      <w:r>
        <w:rPr>
          <w:spacing w:val="-2"/>
          <w:sz w:val="24"/>
        </w:rPr>
        <w:t> </w:t>
      </w:r>
      <w:r>
        <w:rPr>
          <w:sz w:val="24"/>
        </w:rPr>
        <w:t>agreement.</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2.4 Cross Border Networks" w:id="2654"/>
      <w:bookmarkEnd w:id="2654"/>
      <w:r>
        <w:rPr>
          <w:b w:val="0"/>
        </w:rPr>
      </w:r>
      <w:bookmarkStart w:name="_bookmark1091" w:id="2655"/>
      <w:bookmarkEnd w:id="2655"/>
      <w:r>
        <w:rPr>
          <w:b w:val="0"/>
        </w:rPr>
      </w:r>
      <w:bookmarkStart w:name="_bookmark1091" w:id="2656"/>
      <w:bookmarkEnd w:id="2656"/>
      <w:r>
        <w:rPr/>
        <w:t>Cros</w:t>
      </w:r>
      <w:r>
        <w:rPr/>
        <w:t>s Border</w:t>
      </w:r>
      <w:r>
        <w:rPr>
          <w:spacing w:val="-1"/>
        </w:rPr>
        <w:t> </w:t>
      </w:r>
      <w:r>
        <w:rPr/>
        <w:t>Networks</w:t>
      </w:r>
    </w:p>
    <w:p>
      <w:pPr>
        <w:pStyle w:val="ListParagraph"/>
        <w:numPr>
          <w:ilvl w:val="3"/>
          <w:numId w:val="678"/>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78"/>
        </w:numPr>
        <w:tabs>
          <w:tab w:pos="2486" w:val="left" w:leader="none"/>
        </w:tabs>
        <w:spacing w:line="240" w:lineRule="auto" w:before="120" w:after="0"/>
        <w:ind w:left="2486" w:right="414" w:hanging="567"/>
        <w:jc w:val="both"/>
        <w:rPr>
          <w:sz w:val="24"/>
        </w:rPr>
      </w:pPr>
      <w:r>
        <w:rPr>
          <w:sz w:val="24"/>
        </w:rPr>
        <w:t>the </w:t>
      </w:r>
      <w:r>
        <w:rPr>
          <w:i/>
          <w:sz w:val="24"/>
        </w:rPr>
        <w:t>Minister </w:t>
      </w:r>
      <w:r>
        <w:rPr>
          <w:sz w:val="24"/>
        </w:rPr>
        <w:t>considers that a </w:t>
      </w:r>
      <w:r>
        <w:rPr>
          <w:i/>
          <w:sz w:val="24"/>
        </w:rPr>
        <w:t>transmission network </w:t>
      </w:r>
      <w:r>
        <w:rPr>
          <w:sz w:val="24"/>
        </w:rPr>
        <w:t>or </w:t>
      </w:r>
      <w:r>
        <w:rPr>
          <w:i/>
          <w:sz w:val="24"/>
        </w:rPr>
        <w:t>distribution </w:t>
      </w:r>
      <w:r>
        <w:rPr>
          <w:i/>
          <w:sz w:val="24"/>
        </w:rPr>
        <w:t>network </w:t>
      </w:r>
      <w:r>
        <w:rPr>
          <w:sz w:val="24"/>
        </w:rPr>
        <w:t>situated in New South Wales is a continuation of a </w:t>
      </w:r>
      <w:r>
        <w:rPr>
          <w:i/>
          <w:sz w:val="24"/>
        </w:rPr>
        <w:t>network </w:t>
      </w:r>
      <w:r>
        <w:rPr>
          <w:sz w:val="24"/>
        </w:rPr>
        <w:t>situated in another </w:t>
      </w:r>
      <w:r>
        <w:rPr>
          <w:i/>
          <w:sz w:val="24"/>
        </w:rPr>
        <w:t>participating jurisdiction </w:t>
      </w:r>
      <w:r>
        <w:rPr>
          <w:sz w:val="24"/>
        </w:rPr>
        <w:t>and should be considered to be part of the </w:t>
      </w:r>
      <w:r>
        <w:rPr>
          <w:i/>
          <w:sz w:val="24"/>
        </w:rPr>
        <w:t>network </w:t>
      </w:r>
      <w:r>
        <w:rPr>
          <w:sz w:val="24"/>
        </w:rPr>
        <w:t>of that other </w:t>
      </w:r>
      <w:r>
        <w:rPr>
          <w:i/>
          <w:sz w:val="24"/>
        </w:rPr>
        <w:t>participating jurisdiction</w:t>
      </w:r>
      <w:r>
        <w:rPr>
          <w:sz w:val="24"/>
        </w:rPr>
        <w:t>;</w:t>
      </w:r>
      <w:r>
        <w:rPr>
          <w:spacing w:val="-4"/>
          <w:sz w:val="24"/>
        </w:rPr>
        <w:t> </w:t>
      </w:r>
      <w:r>
        <w:rPr>
          <w:sz w:val="24"/>
        </w:rPr>
        <w:t>and</w:t>
      </w:r>
    </w:p>
    <w:p>
      <w:pPr>
        <w:pStyle w:val="ListParagraph"/>
        <w:numPr>
          <w:ilvl w:val="4"/>
          <w:numId w:val="678"/>
        </w:numPr>
        <w:tabs>
          <w:tab w:pos="2486" w:val="left" w:leader="none"/>
        </w:tabs>
        <w:spacing w:line="240" w:lineRule="auto" w:before="120" w:after="0"/>
        <w:ind w:left="2485" w:right="0" w:hanging="567"/>
        <w:jc w:val="both"/>
        <w:rPr>
          <w:sz w:val="24"/>
        </w:rPr>
      </w:pPr>
      <w:r>
        <w:rPr>
          <w:sz w:val="24"/>
        </w:rPr>
        <w:t>the </w:t>
      </w:r>
      <w:r>
        <w:rPr>
          <w:i/>
          <w:sz w:val="24"/>
        </w:rPr>
        <w:t>Minister </w:t>
      </w:r>
      <w:r>
        <w:rPr>
          <w:sz w:val="24"/>
        </w:rPr>
        <w:t>for that other </w:t>
      </w:r>
      <w:r>
        <w:rPr>
          <w:i/>
          <w:sz w:val="24"/>
        </w:rPr>
        <w:t>participating jurisdiction</w:t>
      </w:r>
      <w:r>
        <w:rPr>
          <w:i/>
          <w:spacing w:val="-2"/>
          <w:sz w:val="24"/>
        </w:rPr>
        <w:t> </w:t>
      </w:r>
      <w:r>
        <w:rPr>
          <w:sz w:val="24"/>
        </w:rPr>
        <w:t>consents,</w:t>
      </w:r>
    </w:p>
    <w:p>
      <w:pPr>
        <w:spacing w:before="120"/>
        <w:ind w:left="1919" w:right="414" w:firstLine="0"/>
        <w:jc w:val="both"/>
        <w:rPr>
          <w:sz w:val="24"/>
        </w:rPr>
      </w:pPr>
      <w:r>
        <w:rPr>
          <w:sz w:val="24"/>
        </w:rPr>
        <w:t>then those </w:t>
      </w:r>
      <w:r>
        <w:rPr>
          <w:i/>
          <w:sz w:val="24"/>
        </w:rPr>
        <w:t>Ministers </w:t>
      </w:r>
      <w:r>
        <w:rPr>
          <w:sz w:val="24"/>
        </w:rPr>
        <w:t>may nominate that the </w:t>
      </w:r>
      <w:r>
        <w:rPr>
          <w:i/>
          <w:sz w:val="24"/>
        </w:rPr>
        <w:t>network </w:t>
      </w:r>
      <w:r>
        <w:rPr>
          <w:sz w:val="24"/>
        </w:rPr>
        <w:t>is deemed to be entirely in that other </w:t>
      </w:r>
      <w:r>
        <w:rPr>
          <w:i/>
          <w:sz w:val="24"/>
        </w:rPr>
        <w:t>participating jurisdiction </w:t>
      </w:r>
      <w:r>
        <w:rPr>
          <w:sz w:val="24"/>
        </w:rPr>
        <w:t>and the </w:t>
      </w:r>
      <w:r>
        <w:rPr>
          <w:i/>
          <w:sz w:val="24"/>
        </w:rPr>
        <w:t>Rules </w:t>
      </w:r>
      <w:r>
        <w:rPr>
          <w:sz w:val="24"/>
        </w:rPr>
        <w:t>including any relevant </w:t>
      </w:r>
      <w:r>
        <w:rPr>
          <w:i/>
          <w:sz w:val="24"/>
        </w:rPr>
        <w:t>jurisdictional derogations </w:t>
      </w:r>
      <w:r>
        <w:rPr>
          <w:sz w:val="24"/>
        </w:rPr>
        <w:t>for the other </w:t>
      </w:r>
      <w:r>
        <w:rPr>
          <w:i/>
          <w:sz w:val="24"/>
        </w:rPr>
        <w:t>participating jurisdiction </w:t>
      </w:r>
      <w:r>
        <w:rPr>
          <w:spacing w:val="-4"/>
          <w:sz w:val="24"/>
        </w:rPr>
        <w:t>are</w:t>
      </w:r>
      <w:r>
        <w:rPr>
          <w:spacing w:val="52"/>
          <w:sz w:val="24"/>
        </w:rPr>
        <w:t> </w:t>
      </w:r>
      <w:r>
        <w:rPr>
          <w:sz w:val="24"/>
        </w:rPr>
        <w:t>deemed to apply to the </w:t>
      </w:r>
      <w:r>
        <w:rPr>
          <w:i/>
          <w:sz w:val="24"/>
        </w:rPr>
        <w:t>network </w:t>
      </w:r>
      <w:r>
        <w:rPr>
          <w:sz w:val="24"/>
        </w:rPr>
        <w:t>as if the </w:t>
      </w:r>
      <w:r>
        <w:rPr>
          <w:i/>
          <w:sz w:val="24"/>
        </w:rPr>
        <w:t>network </w:t>
      </w:r>
      <w:r>
        <w:rPr>
          <w:sz w:val="24"/>
        </w:rPr>
        <w:t>were located entirely within that other </w:t>
      </w:r>
      <w:r>
        <w:rPr>
          <w:i/>
          <w:sz w:val="24"/>
        </w:rPr>
        <w:t>participating</w:t>
      </w:r>
      <w:r>
        <w:rPr>
          <w:i/>
          <w:spacing w:val="-2"/>
          <w:sz w:val="24"/>
        </w:rPr>
        <w:t> </w:t>
      </w:r>
      <w:r>
        <w:rPr>
          <w:i/>
          <w:sz w:val="24"/>
        </w:rPr>
        <w:t>jurisdiction</w:t>
      </w:r>
      <w:r>
        <w:rPr>
          <w:sz w:val="24"/>
        </w:rPr>
        <w:t>.</w:t>
      </w:r>
    </w:p>
    <w:p>
      <w:pPr>
        <w:pStyle w:val="ListParagraph"/>
        <w:numPr>
          <w:ilvl w:val="3"/>
          <w:numId w:val="678"/>
        </w:numPr>
        <w:tabs>
          <w:tab w:pos="1919" w:val="left" w:leader="none"/>
        </w:tabs>
        <w:spacing w:line="240" w:lineRule="auto" w:before="120" w:after="0"/>
        <w:ind w:left="1919" w:right="414" w:hanging="567"/>
        <w:jc w:val="both"/>
        <w:rPr>
          <w:sz w:val="24"/>
        </w:rPr>
      </w:pPr>
      <w:r>
        <w:rPr>
          <w:sz w:val="24"/>
        </w:rPr>
        <w:t>If a nomination is made under clause 9.12.4(a), then the </w:t>
      </w:r>
      <w:r>
        <w:rPr>
          <w:i/>
          <w:sz w:val="24"/>
        </w:rPr>
        <w:t>jurisdictional </w:t>
      </w:r>
      <w:r>
        <w:rPr>
          <w:i/>
          <w:sz w:val="24"/>
        </w:rPr>
        <w:t>derogations </w:t>
      </w:r>
      <w:r>
        <w:rPr>
          <w:sz w:val="24"/>
        </w:rPr>
        <w:t>for New South Wales do not apply to the extended part of the relevant </w:t>
      </w:r>
      <w:r>
        <w:rPr>
          <w:i/>
          <w:sz w:val="24"/>
        </w:rPr>
        <w:t>network </w:t>
      </w:r>
      <w:r>
        <w:rPr>
          <w:sz w:val="24"/>
        </w:rPr>
        <w:t>which is situated in New South</w:t>
      </w:r>
      <w:r>
        <w:rPr>
          <w:spacing w:val="-7"/>
          <w:sz w:val="24"/>
        </w:rPr>
        <w:t> </w:t>
      </w:r>
      <w:r>
        <w:rPr>
          <w:sz w:val="24"/>
        </w:rPr>
        <w:t>Wales.</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If the </w:t>
      </w:r>
      <w:r>
        <w:rPr>
          <w:i/>
          <w:sz w:val="24"/>
        </w:rPr>
        <w:t>Minister </w:t>
      </w:r>
      <w:r>
        <w:rPr>
          <w:sz w:val="24"/>
        </w:rPr>
        <w:t>of another </w:t>
      </w:r>
      <w:r>
        <w:rPr>
          <w:i/>
          <w:sz w:val="24"/>
        </w:rPr>
        <w:t>participating jurisdiction </w:t>
      </w:r>
      <w:r>
        <w:rPr>
          <w:sz w:val="24"/>
        </w:rPr>
        <w:t>nominates that the </w:t>
      </w:r>
      <w:r>
        <w:rPr>
          <w:i/>
          <w:sz w:val="24"/>
        </w:rPr>
        <w:t>jurisdictional derogations </w:t>
      </w:r>
      <w:r>
        <w:rPr>
          <w:sz w:val="24"/>
        </w:rPr>
        <w:t>for New South Wales should apply to a </w:t>
      </w:r>
      <w:r>
        <w:rPr>
          <w:i/>
          <w:sz w:val="24"/>
        </w:rPr>
        <w:t>network </w:t>
      </w:r>
      <w:r>
        <w:rPr>
          <w:sz w:val="24"/>
        </w:rPr>
        <w:t>part of which is situated in that other </w:t>
      </w:r>
      <w:r>
        <w:rPr>
          <w:i/>
          <w:sz w:val="24"/>
        </w:rPr>
        <w:t>participating jurisdiction</w:t>
      </w:r>
      <w:r>
        <w:rPr>
          <w:sz w:val="24"/>
        </w:rPr>
        <w:t>, then if the </w:t>
      </w:r>
      <w:r>
        <w:rPr>
          <w:i/>
          <w:sz w:val="24"/>
        </w:rPr>
        <w:t>Minister </w:t>
      </w:r>
      <w:r>
        <w:rPr>
          <w:sz w:val="24"/>
        </w:rPr>
        <w:t>in respect of New South Wales consents, the </w:t>
      </w:r>
      <w:r>
        <w:rPr>
          <w:i/>
          <w:sz w:val="24"/>
        </w:rPr>
        <w:t>jurisdictional </w:t>
      </w:r>
      <w:r>
        <w:rPr>
          <w:i/>
          <w:sz w:val="24"/>
        </w:rPr>
        <w:t>derogations </w:t>
      </w:r>
      <w:r>
        <w:rPr>
          <w:sz w:val="24"/>
        </w:rPr>
        <w:t>for New South Wales are also to apply to that part of the </w:t>
      </w:r>
      <w:r>
        <w:rPr>
          <w:i/>
          <w:sz w:val="24"/>
        </w:rPr>
        <w:t>network </w:t>
      </w:r>
      <w:r>
        <w:rPr>
          <w:sz w:val="24"/>
        </w:rPr>
        <w:t>situated in the other </w:t>
      </w:r>
      <w:r>
        <w:rPr>
          <w:i/>
          <w:sz w:val="24"/>
        </w:rPr>
        <w:t>participating</w:t>
      </w:r>
      <w:r>
        <w:rPr>
          <w:i/>
          <w:spacing w:val="-1"/>
          <w:sz w:val="24"/>
        </w:rPr>
        <w:t> </w:t>
      </w:r>
      <w:r>
        <w:rPr>
          <w:i/>
          <w:sz w:val="24"/>
        </w:rPr>
        <w:t>jurisdiction</w:t>
      </w:r>
      <w:r>
        <w:rPr>
          <w:sz w:val="24"/>
        </w:rPr>
        <w:t>.</w:t>
      </w:r>
    </w:p>
    <w:p>
      <w:pPr>
        <w:spacing w:after="0" w:line="240" w:lineRule="auto"/>
        <w:jc w:val="both"/>
        <w:rPr>
          <w:sz w:val="24"/>
        </w:rPr>
        <w:sectPr>
          <w:pgSz w:w="11910" w:h="16840"/>
          <w:pgMar w:header="686" w:footer="637" w:top="1320" w:bottom="820" w:left="1200" w:right="1000"/>
        </w:sectPr>
      </w:pPr>
    </w:p>
    <w:p>
      <w:pPr>
        <w:pStyle w:val="Heading3"/>
        <w:numPr>
          <w:ilvl w:val="1"/>
          <w:numId w:val="678"/>
        </w:numPr>
        <w:tabs>
          <w:tab w:pos="1351" w:val="left" w:leader="none"/>
          <w:tab w:pos="1353" w:val="left" w:leader="none"/>
        </w:tabs>
        <w:spacing w:line="240" w:lineRule="auto" w:before="83" w:after="0"/>
        <w:ind w:left="1352" w:right="0" w:hanging="1135"/>
        <w:jc w:val="left"/>
      </w:pPr>
      <w:bookmarkStart w:name="9.13 [Deleted]" w:id="2657"/>
      <w:bookmarkEnd w:id="2657"/>
      <w:r>
        <w:rPr>
          <w:b w:val="0"/>
        </w:rPr>
      </w:r>
      <w:bookmarkStart w:name="_bookmark1092" w:id="2658"/>
      <w:bookmarkEnd w:id="2658"/>
      <w:r>
        <w:rPr>
          <w:b w:val="0"/>
        </w:rPr>
      </w:r>
      <w:bookmarkStart w:name="_bookmark1092" w:id="2659"/>
      <w:bookmarkEnd w:id="2659"/>
      <w:r>
        <w:rPr/>
        <w:t>[Deleted]</w:t>
      </w:r>
    </w:p>
    <w:p>
      <w:pPr>
        <w:pStyle w:val="Heading3"/>
        <w:numPr>
          <w:ilvl w:val="1"/>
          <w:numId w:val="678"/>
        </w:numPr>
        <w:tabs>
          <w:tab w:pos="1351" w:val="left" w:leader="none"/>
          <w:tab w:pos="1353" w:val="left" w:leader="none"/>
        </w:tabs>
        <w:spacing w:line="240" w:lineRule="auto" w:before="240" w:after="0"/>
        <w:ind w:left="1352" w:right="0" w:hanging="1135"/>
        <w:jc w:val="left"/>
      </w:pPr>
      <w:bookmarkStart w:name="9.14 Transitional Arrangements for Chapt" w:id="2660"/>
      <w:bookmarkEnd w:id="2660"/>
      <w:r>
        <w:rPr>
          <w:b w:val="0"/>
        </w:rPr>
      </w:r>
      <w:bookmarkStart w:name="_bookmark1093" w:id="2661"/>
      <w:bookmarkEnd w:id="2661"/>
      <w:r>
        <w:rPr>
          <w:b w:val="0"/>
        </w:rPr>
      </w:r>
      <w:bookmarkStart w:name="_bookmark1093" w:id="2662"/>
      <w:bookmarkEnd w:id="2662"/>
      <w:r>
        <w:rPr/>
        <w:t>T</w:t>
      </w:r>
      <w:r>
        <w:rPr/>
        <w:t>ransitional Arrangements for Chapter 4 - System</w:t>
      </w:r>
      <w:r>
        <w:rPr>
          <w:spacing w:val="-7"/>
        </w:rPr>
        <w:t> </w:t>
      </w:r>
      <w:r>
        <w:rPr/>
        <w:t>Security</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4.1 Power System Operating Procedures" w:id="2663"/>
      <w:bookmarkEnd w:id="2663"/>
      <w:r>
        <w:rPr>
          <w:b w:val="0"/>
        </w:rPr>
      </w:r>
      <w:bookmarkStart w:name="_bookmark1094" w:id="2664"/>
      <w:bookmarkEnd w:id="2664"/>
      <w:r>
        <w:rPr>
          <w:b w:val="0"/>
        </w:rPr>
      </w:r>
      <w:bookmarkStart w:name="_bookmark1094" w:id="2665"/>
      <w:bookmarkEnd w:id="2665"/>
      <w:r>
        <w:rPr/>
        <w:t>Power</w:t>
      </w:r>
      <w:r>
        <w:rPr/>
        <w:t> System Operating Procedures</w:t>
      </w:r>
    </w:p>
    <w:p>
      <w:pPr>
        <w:spacing w:before="120"/>
        <w:ind w:left="1352" w:right="415" w:firstLine="0"/>
        <w:jc w:val="both"/>
        <w:rPr>
          <w:sz w:val="24"/>
        </w:rPr>
      </w:pPr>
      <w:r>
        <w:rPr>
          <w:sz w:val="24"/>
        </w:rPr>
        <w:t>For the purposes of clause 4.10.1, the </w:t>
      </w:r>
      <w:r>
        <w:rPr>
          <w:i/>
          <w:sz w:val="24"/>
        </w:rPr>
        <w:t>regional specific power system operating </w:t>
      </w:r>
      <w:r>
        <w:rPr>
          <w:i/>
          <w:sz w:val="24"/>
        </w:rPr>
        <w:t>procedures </w:t>
      </w:r>
      <w:r>
        <w:rPr>
          <w:sz w:val="24"/>
        </w:rPr>
        <w:t>that apply in respect of operations on the </w:t>
      </w:r>
      <w:r>
        <w:rPr>
          <w:i/>
          <w:sz w:val="24"/>
        </w:rPr>
        <w:t>network </w:t>
      </w:r>
      <w:r>
        <w:rPr>
          <w:sz w:val="24"/>
        </w:rPr>
        <w:t>situated in New South Wales are, with the inclusion of any operating procedures set out in such operating manuals and other documents as are specified by TransGrid and provided to </w:t>
      </w:r>
      <w:r>
        <w:rPr>
          <w:i/>
          <w:sz w:val="24"/>
        </w:rPr>
        <w:t>NEMMCO</w:t>
      </w:r>
      <w:r>
        <w:rPr>
          <w:sz w:val="24"/>
        </w:rPr>
        <w:t>, the </w:t>
      </w:r>
      <w:r>
        <w:rPr>
          <w:i/>
          <w:sz w:val="24"/>
        </w:rPr>
        <w:t>regional specific power system operating procedures </w:t>
      </w:r>
      <w:r>
        <w:rPr>
          <w:sz w:val="24"/>
        </w:rPr>
        <w:t>reviewed and updated under clause 4.10.2(e).</w:t>
      </w:r>
    </w:p>
    <w:p>
      <w:pPr>
        <w:pStyle w:val="BodyText"/>
        <w:spacing w:before="10"/>
        <w:ind w:firstLine="0"/>
        <w:jc w:val="left"/>
        <w:rPr>
          <w:sz w:val="20"/>
        </w:rPr>
      </w:pPr>
    </w:p>
    <w:p>
      <w:pPr>
        <w:pStyle w:val="Heading3"/>
        <w:numPr>
          <w:ilvl w:val="1"/>
          <w:numId w:val="678"/>
        </w:numPr>
        <w:tabs>
          <w:tab w:pos="1351" w:val="left" w:leader="none"/>
          <w:tab w:pos="1353" w:val="left" w:leader="none"/>
        </w:tabs>
        <w:spacing w:line="240" w:lineRule="auto" w:before="0" w:after="0"/>
        <w:ind w:left="1352" w:right="0" w:hanging="1135"/>
        <w:jc w:val="left"/>
      </w:pPr>
      <w:bookmarkStart w:name="9.15 NSW contestable services for Chapte" w:id="2666"/>
      <w:bookmarkEnd w:id="2666"/>
      <w:r>
        <w:rPr>
          <w:b w:val="0"/>
        </w:rPr>
      </w:r>
      <w:bookmarkStart w:name="_bookmark1095" w:id="2667"/>
      <w:bookmarkEnd w:id="2667"/>
      <w:r>
        <w:rPr>
          <w:b w:val="0"/>
        </w:rPr>
      </w:r>
      <w:bookmarkStart w:name="_bookmark1095" w:id="2668"/>
      <w:bookmarkEnd w:id="2668"/>
      <w:r>
        <w:rPr/>
        <w:t>NS</w:t>
      </w:r>
      <w:r>
        <w:rPr/>
        <w:t>W contestable services for Chapter</w:t>
      </w:r>
      <w:r>
        <w:rPr>
          <w:spacing w:val="-5"/>
        </w:rPr>
        <w:t> </w:t>
      </w:r>
      <w:r>
        <w:rPr/>
        <w:t>5A</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5.1 Definitions" w:id="2669"/>
      <w:bookmarkEnd w:id="2669"/>
      <w:r>
        <w:rPr>
          <w:b w:val="0"/>
        </w:rPr>
      </w:r>
      <w:bookmarkStart w:name="_bookmark1096" w:id="2670"/>
      <w:bookmarkEnd w:id="2670"/>
      <w:r>
        <w:rPr>
          <w:b w:val="0"/>
        </w:rPr>
      </w:r>
      <w:bookmarkStart w:name="_bookmark1096" w:id="2671"/>
      <w:bookmarkEnd w:id="2671"/>
      <w:r>
        <w:rPr/>
        <w:t>Definition</w:t>
      </w:r>
      <w:r>
        <w:rPr/>
        <w:t>s</w:t>
      </w:r>
    </w:p>
    <w:p>
      <w:pPr>
        <w:spacing w:before="120"/>
        <w:ind w:left="1352" w:right="0" w:firstLine="0"/>
        <w:jc w:val="both"/>
        <w:rPr>
          <w:sz w:val="24"/>
        </w:rPr>
      </w:pPr>
      <w:r>
        <w:rPr>
          <w:sz w:val="24"/>
        </w:rPr>
        <w:t>In this </w:t>
      </w:r>
      <w:r>
        <w:rPr>
          <w:i/>
          <w:sz w:val="24"/>
        </w:rPr>
        <w:t>rule </w:t>
      </w:r>
      <w:r>
        <w:rPr>
          <w:sz w:val="24"/>
        </w:rPr>
        <w:t>9.15—</w:t>
      </w:r>
    </w:p>
    <w:p>
      <w:pPr>
        <w:pStyle w:val="ListParagraph"/>
        <w:numPr>
          <w:ilvl w:val="3"/>
          <w:numId w:val="678"/>
        </w:numPr>
        <w:tabs>
          <w:tab w:pos="1919" w:val="left" w:leader="none"/>
        </w:tabs>
        <w:spacing w:line="240" w:lineRule="auto" w:before="120" w:after="0"/>
        <w:ind w:left="1918" w:right="0" w:hanging="567"/>
        <w:jc w:val="both"/>
        <w:rPr>
          <w:sz w:val="24"/>
        </w:rPr>
      </w:pPr>
      <w:r>
        <w:rPr>
          <w:b/>
          <w:sz w:val="24"/>
        </w:rPr>
        <w:t>connection service </w:t>
      </w:r>
      <w:r>
        <w:rPr>
          <w:sz w:val="24"/>
        </w:rPr>
        <w:t>has the same meaning as in Chapter</w:t>
      </w:r>
      <w:r>
        <w:rPr>
          <w:spacing w:val="-4"/>
          <w:sz w:val="24"/>
        </w:rPr>
        <w:t> </w:t>
      </w:r>
      <w:r>
        <w:rPr>
          <w:sz w:val="24"/>
        </w:rPr>
        <w:t>5A.</w:t>
      </w:r>
    </w:p>
    <w:p>
      <w:pPr>
        <w:pStyle w:val="ListParagraph"/>
        <w:numPr>
          <w:ilvl w:val="3"/>
          <w:numId w:val="678"/>
        </w:numPr>
        <w:tabs>
          <w:tab w:pos="1919" w:val="left" w:leader="none"/>
        </w:tabs>
        <w:spacing w:line="240" w:lineRule="auto" w:before="120" w:after="0"/>
        <w:ind w:left="1919" w:right="415" w:hanging="567"/>
        <w:jc w:val="both"/>
        <w:rPr>
          <w:sz w:val="24"/>
        </w:rPr>
      </w:pPr>
      <w:r>
        <w:rPr>
          <w:b/>
          <w:sz w:val="24"/>
        </w:rPr>
        <w:t>NSW contestable service </w:t>
      </w:r>
      <w:r>
        <w:rPr>
          <w:sz w:val="24"/>
        </w:rPr>
        <w:t>means a connection service that is contestable under the </w:t>
      </w:r>
      <w:r>
        <w:rPr>
          <w:i/>
          <w:sz w:val="24"/>
        </w:rPr>
        <w:t>jurisdictional electricity legislation </w:t>
      </w:r>
      <w:r>
        <w:rPr>
          <w:sz w:val="24"/>
        </w:rPr>
        <w:t>of NSW, because that legislation permits the service to be provided by more than one supplier as a contestable service or on a competitive</w:t>
      </w:r>
      <w:r>
        <w:rPr>
          <w:spacing w:val="-2"/>
          <w:sz w:val="24"/>
        </w:rPr>
        <w:t> </w:t>
      </w:r>
      <w:r>
        <w:rPr>
          <w:sz w:val="24"/>
        </w:rPr>
        <w:t>basis.</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5.2 Chapter 5A not to apply to certai" w:id="2672"/>
      <w:bookmarkEnd w:id="2672"/>
      <w:r>
        <w:rPr>
          <w:b w:val="0"/>
        </w:rPr>
      </w:r>
      <w:bookmarkStart w:name="_bookmark1097" w:id="2673"/>
      <w:bookmarkEnd w:id="2673"/>
      <w:r>
        <w:rPr>
          <w:b w:val="0"/>
        </w:rPr>
      </w:r>
      <w:bookmarkStart w:name="_bookmark1097" w:id="2674"/>
      <w:bookmarkEnd w:id="2674"/>
      <w:r>
        <w:rPr/>
        <w:t>Chapte</w:t>
      </w:r>
      <w:r>
        <w:rPr/>
        <w:t>r 5A not to apply to certain contestable</w:t>
      </w:r>
      <w:r>
        <w:rPr>
          <w:spacing w:val="-10"/>
        </w:rPr>
        <w:t> </w:t>
      </w:r>
      <w:r>
        <w:rPr/>
        <w:t>services</w:t>
      </w:r>
    </w:p>
    <w:p>
      <w:pPr>
        <w:pStyle w:val="BodyText"/>
        <w:ind w:left="1352" w:firstLine="0"/>
      </w:pPr>
      <w:r>
        <w:rPr/>
        <w:t>Chapter 5A of the </w:t>
      </w:r>
      <w:r>
        <w:rPr>
          <w:i/>
        </w:rPr>
        <w:t>Rules </w:t>
      </w:r>
      <w:r>
        <w:rPr/>
        <w:t>does not apply to a NSW contestable service.</w:t>
      </w:r>
    </w:p>
    <w:p>
      <w:pPr>
        <w:pStyle w:val="BodyText"/>
        <w:spacing w:before="10"/>
        <w:ind w:firstLine="0"/>
        <w:jc w:val="left"/>
        <w:rPr>
          <w:sz w:val="20"/>
        </w:rPr>
      </w:pPr>
    </w:p>
    <w:p>
      <w:pPr>
        <w:pStyle w:val="Heading3"/>
        <w:numPr>
          <w:ilvl w:val="1"/>
          <w:numId w:val="678"/>
        </w:numPr>
        <w:tabs>
          <w:tab w:pos="1351" w:val="left" w:leader="none"/>
          <w:tab w:pos="1353" w:val="left" w:leader="none"/>
        </w:tabs>
        <w:spacing w:line="240" w:lineRule="auto" w:before="0" w:after="0"/>
        <w:ind w:left="1352" w:right="0" w:hanging="1135"/>
        <w:jc w:val="left"/>
      </w:pPr>
      <w:bookmarkStart w:name="9.16 Transitional Arrangements for Chapt" w:id="2675"/>
      <w:bookmarkEnd w:id="2675"/>
      <w:r>
        <w:rPr>
          <w:b w:val="0"/>
        </w:rPr>
      </w:r>
      <w:bookmarkStart w:name="_bookmark1098" w:id="2676"/>
      <w:bookmarkEnd w:id="2676"/>
      <w:r>
        <w:rPr>
          <w:b w:val="0"/>
        </w:rPr>
      </w:r>
      <w:bookmarkStart w:name="_bookmark1098" w:id="2677"/>
      <w:bookmarkEnd w:id="2677"/>
      <w:r>
        <w:rPr/>
        <w:t>T</w:t>
      </w:r>
      <w:r>
        <w:rPr/>
        <w:t>ransitional Arrangements for Chapter 6 - Network</w:t>
      </w:r>
      <w:r>
        <w:rPr>
          <w:spacing w:val="-8"/>
        </w:rPr>
        <w:t> </w:t>
      </w:r>
      <w:r>
        <w:rPr/>
        <w:t>Pricing</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6.1 NSW contestable services" w:id="2678"/>
      <w:bookmarkEnd w:id="2678"/>
      <w:r>
        <w:rPr>
          <w:b w:val="0"/>
        </w:rPr>
      </w:r>
      <w:bookmarkStart w:name="_bookmark1099" w:id="2679"/>
      <w:bookmarkEnd w:id="2679"/>
      <w:r>
        <w:rPr>
          <w:b w:val="0"/>
        </w:rPr>
      </w:r>
      <w:bookmarkStart w:name="_bookmark1099" w:id="2680"/>
      <w:bookmarkEnd w:id="2680"/>
      <w:r>
        <w:rPr/>
        <w:t>NS</w:t>
      </w:r>
      <w:r>
        <w:rPr/>
        <w:t>W contestable</w:t>
      </w:r>
      <w:r>
        <w:rPr>
          <w:spacing w:val="-3"/>
        </w:rPr>
        <w:t> </w:t>
      </w:r>
      <w:r>
        <w:rPr/>
        <w:t>services</w:t>
      </w:r>
    </w:p>
    <w:p>
      <w:pPr>
        <w:pStyle w:val="ListParagraph"/>
        <w:numPr>
          <w:ilvl w:val="3"/>
          <w:numId w:val="678"/>
        </w:numPr>
        <w:tabs>
          <w:tab w:pos="1919" w:val="left" w:leader="none"/>
        </w:tabs>
        <w:spacing w:line="240" w:lineRule="auto" w:before="120" w:after="0"/>
        <w:ind w:left="1918" w:right="0" w:hanging="567"/>
        <w:jc w:val="both"/>
        <w:rPr>
          <w:sz w:val="24"/>
        </w:rPr>
      </w:pPr>
      <w:r>
        <w:rPr>
          <w:sz w:val="24"/>
        </w:rPr>
        <w:t>In this clause</w:t>
      </w:r>
      <w:r>
        <w:rPr>
          <w:spacing w:val="-1"/>
          <w:sz w:val="24"/>
        </w:rPr>
        <w:t> </w:t>
      </w:r>
      <w:r>
        <w:rPr>
          <w:sz w:val="24"/>
        </w:rPr>
        <w:t>9.16.1—</w:t>
      </w:r>
    </w:p>
    <w:p>
      <w:pPr>
        <w:pStyle w:val="ListParagraph"/>
        <w:numPr>
          <w:ilvl w:val="4"/>
          <w:numId w:val="678"/>
        </w:numPr>
        <w:tabs>
          <w:tab w:pos="2486" w:val="left" w:leader="none"/>
        </w:tabs>
        <w:spacing w:line="240" w:lineRule="auto" w:before="120" w:after="0"/>
        <w:ind w:left="2485" w:right="0" w:hanging="567"/>
        <w:jc w:val="both"/>
        <w:rPr>
          <w:sz w:val="24"/>
        </w:rPr>
      </w:pPr>
      <w:r>
        <w:rPr>
          <w:b/>
          <w:sz w:val="24"/>
        </w:rPr>
        <w:t>connection service </w:t>
      </w:r>
      <w:r>
        <w:rPr>
          <w:sz w:val="24"/>
        </w:rPr>
        <w:t>has the same meaning as in Chapter</w:t>
      </w:r>
      <w:r>
        <w:rPr>
          <w:spacing w:val="-5"/>
          <w:sz w:val="24"/>
        </w:rPr>
        <w:t> </w:t>
      </w:r>
      <w:r>
        <w:rPr>
          <w:sz w:val="24"/>
        </w:rPr>
        <w:t>5A.</w:t>
      </w:r>
    </w:p>
    <w:p>
      <w:pPr>
        <w:pStyle w:val="ListParagraph"/>
        <w:numPr>
          <w:ilvl w:val="4"/>
          <w:numId w:val="678"/>
        </w:numPr>
        <w:tabs>
          <w:tab w:pos="2486" w:val="left" w:leader="none"/>
        </w:tabs>
        <w:spacing w:line="240" w:lineRule="auto" w:before="120" w:after="0"/>
        <w:ind w:left="2486" w:right="415" w:hanging="567"/>
        <w:jc w:val="both"/>
        <w:rPr>
          <w:sz w:val="24"/>
        </w:rPr>
      </w:pPr>
      <w:r>
        <w:rPr>
          <w:b/>
          <w:sz w:val="24"/>
        </w:rPr>
        <w:t>NSW contestable service </w:t>
      </w:r>
      <w:r>
        <w:rPr>
          <w:sz w:val="24"/>
        </w:rPr>
        <w:t>means a connection service that</w:t>
      </w:r>
      <w:r>
        <w:rPr>
          <w:spacing w:val="34"/>
          <w:sz w:val="24"/>
        </w:rPr>
        <w:t> </w:t>
      </w:r>
      <w:r>
        <w:rPr>
          <w:sz w:val="24"/>
        </w:rPr>
        <w:t>is contestable under the </w:t>
      </w:r>
      <w:r>
        <w:rPr>
          <w:i/>
          <w:sz w:val="24"/>
        </w:rPr>
        <w:t>jurisdictional electricity legislation </w:t>
      </w:r>
      <w:r>
        <w:rPr>
          <w:sz w:val="24"/>
        </w:rPr>
        <w:t>of NSW, because that legislation permits the service to be provided by more than one supplier as a contestable service or on a competitive</w:t>
      </w:r>
      <w:r>
        <w:rPr>
          <w:spacing w:val="-9"/>
          <w:sz w:val="24"/>
        </w:rPr>
        <w:t> </w:t>
      </w:r>
      <w:r>
        <w:rPr>
          <w:sz w:val="24"/>
        </w:rPr>
        <w:t>basis.</w:t>
      </w:r>
    </w:p>
    <w:p>
      <w:pPr>
        <w:pStyle w:val="ListParagraph"/>
        <w:numPr>
          <w:ilvl w:val="3"/>
          <w:numId w:val="678"/>
        </w:numPr>
        <w:tabs>
          <w:tab w:pos="1919" w:val="left" w:leader="none"/>
        </w:tabs>
        <w:spacing w:line="240" w:lineRule="auto" w:before="120" w:after="0"/>
        <w:ind w:left="1918" w:right="0" w:hanging="567"/>
        <w:jc w:val="both"/>
        <w:rPr>
          <w:sz w:val="24"/>
        </w:rPr>
      </w:pPr>
      <w:r>
        <w:rPr>
          <w:sz w:val="24"/>
        </w:rPr>
        <w:t>Part DA of Chapter 6 does not apply to a NSW contestable</w:t>
      </w:r>
      <w:r>
        <w:rPr>
          <w:spacing w:val="-7"/>
          <w:sz w:val="24"/>
        </w:rPr>
        <w:t> </w:t>
      </w:r>
      <w:r>
        <w:rPr>
          <w:sz w:val="24"/>
        </w:rPr>
        <w:t>service.</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6.2 [Deleted]" w:id="2681"/>
      <w:bookmarkEnd w:id="2681"/>
      <w:r>
        <w:rPr>
          <w:b w:val="0"/>
        </w:rPr>
      </w:r>
      <w:bookmarkStart w:name="_bookmark1100" w:id="2682"/>
      <w:bookmarkEnd w:id="2682"/>
      <w:r>
        <w:rPr>
          <w:b w:val="0"/>
        </w:rPr>
      </w:r>
      <w:bookmarkStart w:name="_bookmark1100" w:id="2683"/>
      <w:bookmarkEnd w:id="2683"/>
      <w:r>
        <w:rPr/>
        <w:t>[Deleted]</w:t>
      </w:r>
    </w:p>
    <w:p>
      <w:pPr>
        <w:pStyle w:val="BodyText"/>
        <w:spacing w:before="10"/>
        <w:ind w:firstLine="0"/>
        <w:jc w:val="left"/>
        <w:rPr>
          <w:rFonts w:ascii="Arial"/>
          <w:b/>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6.3 Jurisdictional Regulator" w:id="2684"/>
      <w:bookmarkEnd w:id="2684"/>
      <w:r>
        <w:rPr>
          <w:b w:val="0"/>
        </w:rPr>
      </w:r>
      <w:bookmarkStart w:name="_bookmark1101" w:id="2685"/>
      <w:bookmarkEnd w:id="2685"/>
      <w:r>
        <w:rPr>
          <w:b w:val="0"/>
        </w:rPr>
      </w:r>
      <w:bookmarkStart w:name="_bookmark1101" w:id="2686"/>
      <w:bookmarkEnd w:id="2686"/>
      <w:r>
        <w:rPr/>
        <w:t>Jurisdiction</w:t>
      </w:r>
      <w:r>
        <w:rPr/>
        <w:t>al</w:t>
      </w:r>
      <w:r>
        <w:rPr>
          <w:spacing w:val="-2"/>
        </w:rPr>
        <w:t> </w:t>
      </w:r>
      <w:r>
        <w:rPr/>
        <w:t>Regulator</w:t>
      </w:r>
    </w:p>
    <w:p>
      <w:pPr>
        <w:pStyle w:val="ListParagraph"/>
        <w:numPr>
          <w:ilvl w:val="3"/>
          <w:numId w:val="678"/>
        </w:numPr>
        <w:tabs>
          <w:tab w:pos="1919" w:val="left" w:leader="none"/>
        </w:tabs>
        <w:spacing w:line="240" w:lineRule="auto" w:before="120" w:after="0"/>
        <w:ind w:left="1918" w:right="0" w:hanging="567"/>
        <w:jc w:val="both"/>
        <w:rPr>
          <w:sz w:val="24"/>
        </w:rPr>
      </w:pPr>
      <w:r>
        <w:rPr>
          <w:b/>
          <w:sz w:val="24"/>
        </w:rPr>
        <w:t>[Deleted]</w:t>
      </w:r>
      <w:r>
        <w:rPr>
          <w:sz w:val="24"/>
        </w:rPr>
        <w:t>I</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However, the definitions of </w:t>
      </w:r>
      <w:r>
        <w:rPr>
          <w:i/>
          <w:sz w:val="24"/>
        </w:rPr>
        <w:t>local area </w:t>
      </w:r>
      <w:r>
        <w:rPr>
          <w:sz w:val="24"/>
        </w:rPr>
        <w:t>and </w:t>
      </w:r>
      <w:r>
        <w:rPr>
          <w:i/>
          <w:sz w:val="24"/>
        </w:rPr>
        <w:t>Local Network Service Provider </w:t>
      </w:r>
      <w:r>
        <w:rPr>
          <w:sz w:val="24"/>
        </w:rPr>
        <w:t>are to be read as if the reference to the authority responsible for administering the jurisdictional electricity legislation in the relevant participating jurisdiction were replaced by a reference to the laws of the State of New South</w:t>
      </w:r>
      <w:r>
        <w:rPr>
          <w:spacing w:val="-4"/>
          <w:sz w:val="24"/>
        </w:rPr>
        <w:t> </w:t>
      </w:r>
      <w:r>
        <w:rPr>
          <w:sz w:val="24"/>
        </w:rPr>
        <w:t>Wales.</w:t>
      </w:r>
    </w:p>
    <w:p>
      <w:pPr>
        <w:pStyle w:val="Heading4"/>
        <w:numPr>
          <w:ilvl w:val="3"/>
          <w:numId w:val="678"/>
        </w:numPr>
        <w:tabs>
          <w:tab w:pos="1980" w:val="left" w:leader="none"/>
        </w:tabs>
        <w:spacing w:line="240" w:lineRule="auto" w:before="120" w:after="0"/>
        <w:ind w:left="1979" w:right="0" w:hanging="628"/>
        <w:jc w:val="both"/>
        <w:rPr>
          <w:rFonts w:ascii="Times New Roman"/>
        </w:rPr>
      </w:pPr>
      <w:r>
        <w:rPr>
          <w:rFonts w:ascii="Times New Roman"/>
        </w:rPr>
        <w:t>[Deleted]</w:t>
      </w:r>
    </w:p>
    <w:p>
      <w:pPr>
        <w:spacing w:after="0" w:line="240" w:lineRule="auto"/>
        <w:jc w:val="both"/>
        <w:rPr>
          <w:rFonts w:ascii="Times New Roman"/>
        </w:rPr>
        <w:sectPr>
          <w:pgSz w:w="11910" w:h="16840"/>
          <w:pgMar w:header="686" w:footer="637" w:top="1320" w:bottom="820" w:left="1200" w:right="1000"/>
        </w:sectPr>
      </w:pPr>
    </w:p>
    <w:p>
      <w:pPr>
        <w:pStyle w:val="Heading4"/>
        <w:numPr>
          <w:ilvl w:val="2"/>
          <w:numId w:val="678"/>
        </w:numPr>
        <w:tabs>
          <w:tab w:pos="1351" w:val="left" w:leader="none"/>
          <w:tab w:pos="1352" w:val="left" w:leader="none"/>
        </w:tabs>
        <w:spacing w:line="240" w:lineRule="auto" w:before="83" w:after="0"/>
        <w:ind w:left="1351" w:right="0" w:hanging="1134"/>
        <w:jc w:val="left"/>
      </w:pPr>
      <w:bookmarkStart w:name="9.16.4 Deemed Regulated Interconnector" w:id="2687"/>
      <w:bookmarkEnd w:id="2687"/>
      <w:r>
        <w:rPr>
          <w:b w:val="0"/>
        </w:rPr>
      </w:r>
      <w:bookmarkStart w:name="_bookmark1102" w:id="2688"/>
      <w:bookmarkEnd w:id="2688"/>
      <w:r>
        <w:rPr>
          <w:b w:val="0"/>
        </w:rPr>
      </w:r>
      <w:bookmarkStart w:name="_bookmark1102" w:id="2689"/>
      <w:bookmarkEnd w:id="2689"/>
      <w:r>
        <w:rPr/>
        <w:t>Dee</w:t>
      </w:r>
      <w:r>
        <w:rPr/>
        <w:t>med Regulated</w:t>
      </w:r>
      <w:r>
        <w:rPr>
          <w:spacing w:val="-3"/>
        </w:rPr>
        <w:t> </w:t>
      </w:r>
      <w:r>
        <w:rPr/>
        <w:t>Interconnector</w:t>
      </w:r>
    </w:p>
    <w:p>
      <w:pPr>
        <w:spacing w:before="120"/>
        <w:ind w:left="1352" w:right="415" w:firstLine="0"/>
        <w:jc w:val="both"/>
        <w:rPr>
          <w:sz w:val="24"/>
        </w:rPr>
      </w:pPr>
      <w:r>
        <w:rPr>
          <w:sz w:val="24"/>
        </w:rPr>
        <w:t>For the purposes of the </w:t>
      </w:r>
      <w:r>
        <w:rPr>
          <w:i/>
          <w:sz w:val="24"/>
        </w:rPr>
        <w:t>Rules</w:t>
      </w:r>
      <w:r>
        <w:rPr>
          <w:sz w:val="24"/>
        </w:rPr>
        <w:t>, the </w:t>
      </w:r>
      <w:r>
        <w:rPr>
          <w:i/>
          <w:sz w:val="24"/>
        </w:rPr>
        <w:t>interconnector </w:t>
      </w:r>
      <w:r>
        <w:rPr>
          <w:sz w:val="24"/>
        </w:rPr>
        <w:t>between Armidale in New South Wales and Tarong in Queensland, to the extent that it forms part of the </w:t>
      </w:r>
      <w:r>
        <w:rPr>
          <w:i/>
          <w:sz w:val="24"/>
        </w:rPr>
        <w:t>power </w:t>
      </w:r>
      <w:r>
        <w:rPr>
          <w:i/>
          <w:sz w:val="24"/>
        </w:rPr>
        <w:t>system </w:t>
      </w:r>
      <w:r>
        <w:rPr>
          <w:sz w:val="24"/>
        </w:rPr>
        <w:t>in New South Wales, is deemed to be a </w:t>
      </w:r>
      <w:r>
        <w:rPr>
          <w:i/>
          <w:sz w:val="24"/>
        </w:rPr>
        <w:t>regulated interconnector</w:t>
      </w:r>
      <w:r>
        <w:rPr>
          <w:sz w:val="24"/>
        </w:rPr>
        <w:t>.</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6.5 [Deleted]" w:id="2690"/>
      <w:bookmarkEnd w:id="2690"/>
      <w:r>
        <w:rPr>
          <w:b w:val="0"/>
        </w:rPr>
      </w:r>
      <w:bookmarkStart w:name="_bookmark1103" w:id="2691"/>
      <w:bookmarkEnd w:id="2691"/>
      <w:r>
        <w:rPr>
          <w:b w:val="0"/>
        </w:rPr>
      </w:r>
      <w:bookmarkStart w:name="_bookmark1103" w:id="2692"/>
      <w:bookmarkEnd w:id="2692"/>
      <w:r>
        <w:rPr/>
        <w:t>[Deleted]</w:t>
      </w:r>
    </w:p>
    <w:p>
      <w:pPr>
        <w:pStyle w:val="BodyText"/>
        <w:spacing w:before="10"/>
        <w:ind w:firstLine="0"/>
        <w:jc w:val="left"/>
        <w:rPr>
          <w:rFonts w:ascii="Arial"/>
          <w:b/>
          <w:sz w:val="20"/>
        </w:rPr>
      </w:pPr>
    </w:p>
    <w:p>
      <w:pPr>
        <w:pStyle w:val="Heading3"/>
        <w:numPr>
          <w:ilvl w:val="1"/>
          <w:numId w:val="678"/>
        </w:numPr>
        <w:tabs>
          <w:tab w:pos="1351" w:val="left" w:leader="none"/>
          <w:tab w:pos="1353" w:val="left" w:leader="none"/>
        </w:tabs>
        <w:spacing w:line="240" w:lineRule="auto" w:before="0" w:after="0"/>
        <w:ind w:left="1352" w:right="0" w:hanging="1135"/>
        <w:jc w:val="left"/>
      </w:pPr>
      <w:bookmarkStart w:name="9.17 Transitional Arrangements for Chapt" w:id="2693"/>
      <w:bookmarkEnd w:id="2693"/>
      <w:r>
        <w:rPr>
          <w:b w:val="0"/>
        </w:rPr>
      </w:r>
      <w:bookmarkStart w:name="_bookmark1104" w:id="2694"/>
      <w:bookmarkEnd w:id="2694"/>
      <w:r>
        <w:rPr>
          <w:b w:val="0"/>
        </w:rPr>
      </w:r>
      <w:bookmarkStart w:name="_bookmark1104" w:id="2695"/>
      <w:bookmarkEnd w:id="2695"/>
      <w:r>
        <w:rPr/>
        <w:t>T</w:t>
      </w:r>
      <w:r>
        <w:rPr/>
        <w:t>ransitional Arrangements for Chapter 7 -</w:t>
      </w:r>
      <w:r>
        <w:rPr>
          <w:spacing w:val="-5"/>
        </w:rPr>
        <w:t> </w:t>
      </w:r>
      <w:r>
        <w:rPr/>
        <w:t>Metering</w:t>
      </w:r>
    </w:p>
    <w:p>
      <w:pPr>
        <w:pStyle w:val="Heading4"/>
        <w:numPr>
          <w:ilvl w:val="2"/>
          <w:numId w:val="678"/>
        </w:numPr>
        <w:tabs>
          <w:tab w:pos="1351" w:val="left" w:leader="none"/>
          <w:tab w:pos="1352" w:val="left" w:leader="none"/>
        </w:tabs>
        <w:spacing w:line="240" w:lineRule="auto" w:before="240" w:after="0"/>
        <w:ind w:left="1351" w:right="0" w:hanging="1134"/>
        <w:jc w:val="left"/>
      </w:pPr>
      <w:bookmarkStart w:name="9.17.1 Extent of Derogations" w:id="2696"/>
      <w:bookmarkEnd w:id="2696"/>
      <w:r>
        <w:rPr>
          <w:b w:val="0"/>
        </w:rPr>
      </w:r>
      <w:bookmarkStart w:name="_bookmark1105" w:id="2697"/>
      <w:bookmarkEnd w:id="2697"/>
      <w:r>
        <w:rPr>
          <w:b w:val="0"/>
        </w:rPr>
      </w:r>
      <w:bookmarkStart w:name="_bookmark1105" w:id="2698"/>
      <w:bookmarkEnd w:id="2698"/>
      <w:r>
        <w:rPr/>
        <w:t>Extent</w:t>
      </w:r>
      <w:r>
        <w:rPr/>
        <w:t> of</w:t>
      </w:r>
      <w:r>
        <w:rPr>
          <w:spacing w:val="-1"/>
        </w:rPr>
        <w:t> </w:t>
      </w:r>
      <w:r>
        <w:rPr/>
        <w:t>Derogations</w:t>
      </w:r>
    </w:p>
    <w:p>
      <w:pPr>
        <w:pStyle w:val="ListParagraph"/>
        <w:numPr>
          <w:ilvl w:val="3"/>
          <w:numId w:val="678"/>
        </w:numPr>
        <w:tabs>
          <w:tab w:pos="1980" w:val="left" w:leader="none"/>
        </w:tabs>
        <w:spacing w:line="240" w:lineRule="auto" w:before="120" w:after="0"/>
        <w:ind w:left="1979" w:right="0" w:hanging="628"/>
        <w:jc w:val="both"/>
        <w:rPr>
          <w:b/>
          <w:sz w:val="24"/>
        </w:rPr>
      </w:pPr>
      <w:r>
        <w:rPr>
          <w:b/>
          <w:sz w:val="24"/>
        </w:rPr>
        <w:t>[Deleted]</w:t>
      </w:r>
    </w:p>
    <w:p>
      <w:pPr>
        <w:pStyle w:val="ListParagraph"/>
        <w:numPr>
          <w:ilvl w:val="3"/>
          <w:numId w:val="678"/>
        </w:numPr>
        <w:tabs>
          <w:tab w:pos="1980" w:val="left" w:leader="none"/>
        </w:tabs>
        <w:spacing w:line="240" w:lineRule="auto" w:before="120" w:after="0"/>
        <w:ind w:left="1979" w:right="0" w:hanging="628"/>
        <w:jc w:val="both"/>
        <w:rPr>
          <w:b/>
          <w:sz w:val="24"/>
        </w:rPr>
      </w:pPr>
      <w:r>
        <w:rPr>
          <w:b/>
          <w:sz w:val="24"/>
        </w:rPr>
        <w:t>[Deleted]</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The transitional arrangements set out in clauses 9.17.2 and 9.17.4 apply to all </w:t>
      </w:r>
      <w:r>
        <w:rPr>
          <w:i/>
          <w:sz w:val="24"/>
        </w:rPr>
        <w:t>metering installations </w:t>
      </w:r>
      <w:r>
        <w:rPr>
          <w:sz w:val="24"/>
        </w:rPr>
        <w:t>(including </w:t>
      </w:r>
      <w:r>
        <w:rPr>
          <w:i/>
          <w:sz w:val="24"/>
        </w:rPr>
        <w:t>check metering installations</w:t>
      </w:r>
      <w:r>
        <w:rPr>
          <w:sz w:val="24"/>
        </w:rPr>
        <w:t>) that were in use at 13 December 1998 and that were required to comply with (and did comply with) the NSW Electricity Market Code as at 13 December</w:t>
      </w:r>
      <w:r>
        <w:rPr>
          <w:spacing w:val="-13"/>
          <w:sz w:val="24"/>
        </w:rPr>
        <w:t> </w:t>
      </w:r>
      <w:r>
        <w:rPr>
          <w:sz w:val="24"/>
        </w:rPr>
        <w:t>1998.</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7.2 Initial Registration (clause 7.1." w:id="2699"/>
      <w:bookmarkEnd w:id="2699"/>
      <w:r>
        <w:rPr>
          <w:b w:val="0"/>
        </w:rPr>
      </w:r>
      <w:bookmarkStart w:name="_bookmark1106" w:id="2700"/>
      <w:bookmarkEnd w:id="2700"/>
      <w:r>
        <w:rPr>
          <w:b w:val="0"/>
        </w:rPr>
      </w:r>
      <w:bookmarkStart w:name="_bookmark1106" w:id="2701"/>
      <w:bookmarkEnd w:id="2701"/>
      <w:r>
        <w:rPr/>
        <w:t>Init</w:t>
      </w:r>
      <w:r>
        <w:rPr/>
        <w:t>ial Registration (clause</w:t>
      </w:r>
      <w:r>
        <w:rPr>
          <w:spacing w:val="-2"/>
        </w:rPr>
        <w:t> </w:t>
      </w:r>
      <w:r>
        <w:rPr/>
        <w:t>7.1.2)</w:t>
      </w:r>
    </w:p>
    <w:p>
      <w:pPr>
        <w:pStyle w:val="ListParagraph"/>
        <w:numPr>
          <w:ilvl w:val="3"/>
          <w:numId w:val="678"/>
        </w:numPr>
        <w:tabs>
          <w:tab w:pos="1919" w:val="left" w:leader="none"/>
        </w:tabs>
        <w:spacing w:line="240" w:lineRule="auto" w:before="120" w:after="0"/>
        <w:ind w:left="1918" w:right="0" w:hanging="567"/>
        <w:jc w:val="both"/>
        <w:rPr>
          <w:sz w:val="24"/>
        </w:rPr>
      </w:pPr>
      <w:r>
        <w:rPr>
          <w:sz w:val="24"/>
        </w:rPr>
        <w:t>Subject to clause 9.17.2(b),</w:t>
      </w:r>
      <w:r>
        <w:rPr>
          <w:spacing w:val="-2"/>
          <w:sz w:val="24"/>
        </w:rPr>
        <w:t> </w:t>
      </w:r>
      <w:r>
        <w:rPr>
          <w:sz w:val="24"/>
        </w:rPr>
        <w:t>if:</w:t>
      </w:r>
    </w:p>
    <w:p>
      <w:pPr>
        <w:pStyle w:val="ListParagraph"/>
        <w:numPr>
          <w:ilvl w:val="4"/>
          <w:numId w:val="678"/>
        </w:numPr>
        <w:tabs>
          <w:tab w:pos="2486" w:val="left" w:leader="none"/>
        </w:tabs>
        <w:spacing w:line="240" w:lineRule="auto" w:before="120" w:after="0"/>
        <w:ind w:left="2486" w:right="415" w:hanging="567"/>
        <w:jc w:val="both"/>
        <w:rPr>
          <w:sz w:val="24"/>
        </w:rPr>
      </w:pPr>
      <w:r>
        <w:rPr>
          <w:sz w:val="24"/>
        </w:rPr>
        <w:t>a </w:t>
      </w:r>
      <w:r>
        <w:rPr>
          <w:i/>
          <w:sz w:val="24"/>
        </w:rPr>
        <w:t>metering installation </w:t>
      </w:r>
      <w:r>
        <w:rPr>
          <w:sz w:val="24"/>
        </w:rPr>
        <w:t>to which this clause 9.17 applies was registered with  TransGrid  under  the  NSW  Electricity  Market  Code  as  at   13 December 1998;</w:t>
      </w:r>
      <w:r>
        <w:rPr>
          <w:spacing w:val="-1"/>
          <w:sz w:val="24"/>
        </w:rPr>
        <w:t> </w:t>
      </w:r>
      <w:r>
        <w:rPr>
          <w:sz w:val="24"/>
        </w:rPr>
        <w:t>and</w:t>
      </w:r>
    </w:p>
    <w:p>
      <w:pPr>
        <w:pStyle w:val="ListParagraph"/>
        <w:numPr>
          <w:ilvl w:val="4"/>
          <w:numId w:val="678"/>
        </w:numPr>
        <w:tabs>
          <w:tab w:pos="2486" w:val="left" w:leader="none"/>
        </w:tabs>
        <w:spacing w:line="240" w:lineRule="auto" w:before="120" w:after="0"/>
        <w:ind w:left="2486" w:right="416" w:hanging="567"/>
        <w:jc w:val="both"/>
        <w:rPr>
          <w:sz w:val="24"/>
        </w:rPr>
      </w:pPr>
      <w:r>
        <w:rPr>
          <w:sz w:val="24"/>
        </w:rPr>
        <w:t>the details registered with TransGrid were provided to </w:t>
      </w:r>
      <w:r>
        <w:rPr>
          <w:i/>
          <w:sz w:val="24"/>
        </w:rPr>
        <w:t>NEMMCO </w:t>
      </w:r>
      <w:r>
        <w:rPr>
          <w:sz w:val="24"/>
        </w:rPr>
        <w:t>on or before 13 December</w:t>
      </w:r>
      <w:r>
        <w:rPr>
          <w:spacing w:val="-1"/>
          <w:sz w:val="24"/>
        </w:rPr>
        <w:t> </w:t>
      </w:r>
      <w:r>
        <w:rPr>
          <w:sz w:val="24"/>
        </w:rPr>
        <w:t>1998,</w:t>
      </w:r>
    </w:p>
    <w:p>
      <w:pPr>
        <w:spacing w:before="120"/>
        <w:ind w:left="1919" w:right="415" w:firstLine="0"/>
        <w:jc w:val="both"/>
        <w:rPr>
          <w:sz w:val="24"/>
        </w:rPr>
      </w:pPr>
      <w:r>
        <w:rPr>
          <w:sz w:val="24"/>
        </w:rPr>
        <w:t>then the </w:t>
      </w:r>
      <w:r>
        <w:rPr>
          <w:i/>
          <w:sz w:val="24"/>
        </w:rPr>
        <w:t>metering installation </w:t>
      </w:r>
      <w:r>
        <w:rPr>
          <w:sz w:val="24"/>
        </w:rPr>
        <w:t>is taken to be registered with </w:t>
      </w:r>
      <w:r>
        <w:rPr>
          <w:i/>
          <w:sz w:val="24"/>
        </w:rPr>
        <w:t>AEMO </w:t>
      </w:r>
      <w:r>
        <w:rPr>
          <w:sz w:val="24"/>
        </w:rPr>
        <w:t>for the purposes of clause 7.1.2(a).</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The </w:t>
      </w:r>
      <w:r>
        <w:rPr>
          <w:i/>
          <w:sz w:val="24"/>
        </w:rPr>
        <w:t>responsible person </w:t>
      </w:r>
      <w:r>
        <w:rPr>
          <w:sz w:val="24"/>
        </w:rPr>
        <w:t>in respect of a </w:t>
      </w:r>
      <w:r>
        <w:rPr>
          <w:i/>
          <w:sz w:val="24"/>
        </w:rPr>
        <w:t>metering installation </w:t>
      </w:r>
      <w:r>
        <w:rPr>
          <w:sz w:val="24"/>
        </w:rPr>
        <w:t>which is taken to be registered under clause 9.17.2(a) must ensure that the requirements for registration  of  a  </w:t>
      </w:r>
      <w:r>
        <w:rPr>
          <w:i/>
          <w:sz w:val="24"/>
        </w:rPr>
        <w:t>metering  installation  </w:t>
      </w:r>
      <w:r>
        <w:rPr>
          <w:sz w:val="24"/>
        </w:rPr>
        <w:t>under  Chapter  7  are  met  by     13 December 1999 or such other time as may be agreed with</w:t>
      </w:r>
      <w:r>
        <w:rPr>
          <w:spacing w:val="-6"/>
          <w:sz w:val="24"/>
        </w:rPr>
        <w:t> </w:t>
      </w:r>
      <w:r>
        <w:rPr>
          <w:i/>
          <w:sz w:val="24"/>
        </w:rPr>
        <w:t>AEMO</w:t>
      </w:r>
      <w:r>
        <w:rPr>
          <w:sz w:val="24"/>
        </w:rPr>
        <w:t>.</w:t>
      </w:r>
    </w:p>
    <w:p>
      <w:pPr>
        <w:pStyle w:val="BodyText"/>
        <w:spacing w:before="10"/>
        <w:ind w:firstLine="0"/>
        <w:jc w:val="left"/>
        <w:rPr>
          <w:sz w:val="20"/>
        </w:rPr>
      </w:pPr>
    </w:p>
    <w:p>
      <w:pPr>
        <w:pStyle w:val="Heading4"/>
        <w:numPr>
          <w:ilvl w:val="2"/>
          <w:numId w:val="678"/>
        </w:numPr>
        <w:tabs>
          <w:tab w:pos="1351" w:val="left" w:leader="none"/>
          <w:tab w:pos="1352" w:val="left" w:leader="none"/>
        </w:tabs>
        <w:spacing w:line="240" w:lineRule="auto" w:before="0" w:after="0"/>
        <w:ind w:left="1351" w:right="0" w:hanging="1134"/>
        <w:jc w:val="left"/>
      </w:pPr>
      <w:bookmarkStart w:name="9.17.3 Amendments to Schedule 9G1" w:id="2702"/>
      <w:bookmarkEnd w:id="2702"/>
      <w:r>
        <w:rPr>
          <w:b w:val="0"/>
        </w:rPr>
      </w:r>
      <w:bookmarkStart w:name="_bookmark1107" w:id="2703"/>
      <w:bookmarkEnd w:id="2703"/>
      <w:r>
        <w:rPr>
          <w:b w:val="0"/>
        </w:rPr>
      </w:r>
      <w:bookmarkStart w:name="_bookmark1107" w:id="2704"/>
      <w:bookmarkEnd w:id="2704"/>
      <w:r>
        <w:rPr/>
        <w:t>Amendment</w:t>
      </w:r>
      <w:r>
        <w:rPr/>
        <w:t>s to Schedule</w:t>
      </w:r>
      <w:r>
        <w:rPr>
          <w:spacing w:val="-1"/>
        </w:rPr>
        <w:t> </w:t>
      </w:r>
      <w:r>
        <w:rPr/>
        <w:t>9G1</w:t>
      </w:r>
    </w:p>
    <w:p>
      <w:pPr>
        <w:pStyle w:val="BodyText"/>
        <w:ind w:left="1352" w:firstLine="0"/>
        <w:jc w:val="left"/>
      </w:pPr>
      <w:r>
        <w:rPr/>
        <w:t>The transitional metering provisions set out in schedule 9G1, amended as follows, apply to New South Wales in respect of Chapter 7:</w:t>
      </w:r>
    </w:p>
    <w:p>
      <w:pPr>
        <w:pStyle w:val="Heading4"/>
        <w:numPr>
          <w:ilvl w:val="3"/>
          <w:numId w:val="678"/>
        </w:numPr>
        <w:tabs>
          <w:tab w:pos="1978" w:val="left" w:leader="none"/>
          <w:tab w:pos="1980" w:val="left" w:leader="none"/>
        </w:tabs>
        <w:spacing w:line="240" w:lineRule="auto" w:before="120" w:after="0"/>
        <w:ind w:left="1979" w:right="0" w:hanging="628"/>
        <w:jc w:val="left"/>
        <w:rPr>
          <w:rFonts w:ascii="Times New Roman"/>
        </w:rPr>
      </w:pPr>
      <w:r>
        <w:rPr>
          <w:rFonts w:ascii="Times New Roman"/>
        </w:rPr>
        <w:t>[Deleted]</w:t>
      </w:r>
    </w:p>
    <w:p>
      <w:pPr>
        <w:pStyle w:val="ListParagraph"/>
        <w:numPr>
          <w:ilvl w:val="3"/>
          <w:numId w:val="678"/>
        </w:numPr>
        <w:tabs>
          <w:tab w:pos="1979" w:val="left" w:leader="none"/>
          <w:tab w:pos="1980" w:val="left" w:leader="none"/>
        </w:tabs>
        <w:spacing w:line="240" w:lineRule="auto" w:before="120" w:after="0"/>
        <w:ind w:left="1979" w:right="0" w:hanging="628"/>
        <w:jc w:val="left"/>
        <w:rPr>
          <w:b/>
          <w:sz w:val="24"/>
        </w:rPr>
      </w:pPr>
      <w:r>
        <w:rPr>
          <w:b/>
          <w:sz w:val="24"/>
        </w:rPr>
        <w:t>[Deleted]</w:t>
      </w:r>
    </w:p>
    <w:p>
      <w:pPr>
        <w:pStyle w:val="ListParagraph"/>
        <w:numPr>
          <w:ilvl w:val="3"/>
          <w:numId w:val="678"/>
        </w:numPr>
        <w:tabs>
          <w:tab w:pos="1919" w:val="left" w:leader="none"/>
        </w:tabs>
        <w:spacing w:line="240" w:lineRule="auto" w:before="120" w:after="0"/>
        <w:ind w:left="1919" w:right="415" w:hanging="567"/>
        <w:jc w:val="both"/>
        <w:rPr>
          <w:sz w:val="24"/>
        </w:rPr>
      </w:pPr>
      <w:r>
        <w:rPr>
          <w:sz w:val="24"/>
        </w:rPr>
        <w:t>If, in respect of a </w:t>
      </w:r>
      <w:r>
        <w:rPr>
          <w:i/>
          <w:sz w:val="24"/>
        </w:rPr>
        <w:t>metering installation </w:t>
      </w:r>
      <w:r>
        <w:rPr>
          <w:sz w:val="24"/>
        </w:rPr>
        <w:t>commissioned before 13 December 1998, the </w:t>
      </w:r>
      <w:r>
        <w:rPr>
          <w:i/>
          <w:sz w:val="24"/>
        </w:rPr>
        <w:t>responsible person </w:t>
      </w:r>
      <w:r>
        <w:rPr>
          <w:sz w:val="24"/>
        </w:rPr>
        <w:t>has obtained an exemption prior to 13 December 1998 from TransGrid pursuant to clause 2.2(c) of Schedule 7.2 of the NSW Electricity Market Code, then that exemption is deemed to continue as an exemption granted by </w:t>
      </w:r>
      <w:r>
        <w:rPr>
          <w:i/>
          <w:sz w:val="24"/>
        </w:rPr>
        <w:t>AEMO </w:t>
      </w:r>
      <w:r>
        <w:rPr>
          <w:sz w:val="24"/>
        </w:rPr>
        <w:t>pursuant to clause S7.2.2(c) of schedule 7.2 of the</w:t>
      </w:r>
      <w:r>
        <w:rPr>
          <w:spacing w:val="-2"/>
          <w:sz w:val="24"/>
        </w:rPr>
        <w:t> </w:t>
      </w:r>
      <w:r>
        <w:rPr>
          <w:i/>
          <w:sz w:val="24"/>
        </w:rPr>
        <w:t>Rules</w:t>
      </w:r>
      <w:r>
        <w:rPr>
          <w:sz w:val="24"/>
        </w:rPr>
        <w:t>.</w:t>
      </w:r>
    </w:p>
    <w:p>
      <w:pPr>
        <w:pStyle w:val="Heading4"/>
        <w:numPr>
          <w:ilvl w:val="3"/>
          <w:numId w:val="678"/>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3"/>
          <w:numId w:val="678"/>
        </w:numPr>
        <w:tabs>
          <w:tab w:pos="1980" w:val="left" w:leader="none"/>
        </w:tabs>
        <w:spacing w:line="240" w:lineRule="auto" w:before="120" w:after="0"/>
        <w:ind w:left="1979" w:right="0" w:hanging="628"/>
        <w:jc w:val="both"/>
        <w:rPr>
          <w:b/>
          <w:sz w:val="24"/>
        </w:rPr>
      </w:pPr>
      <w:r>
        <w:rPr>
          <w:b/>
          <w:sz w:val="24"/>
        </w:rPr>
        <w:t>[Deleted]</w:t>
      </w:r>
    </w:p>
    <w:p>
      <w:pPr>
        <w:spacing w:after="0" w:line="240" w:lineRule="auto"/>
        <w:jc w:val="both"/>
        <w:rPr>
          <w:sz w:val="24"/>
        </w:rPr>
        <w:sectPr>
          <w:pgSz w:w="11910" w:h="16840"/>
          <w:pgMar w:header="686" w:footer="637" w:top="1320" w:bottom="820" w:left="1200" w:right="1000"/>
        </w:sectPr>
      </w:pPr>
    </w:p>
    <w:p>
      <w:pPr>
        <w:pStyle w:val="ListParagraph"/>
        <w:numPr>
          <w:ilvl w:val="3"/>
          <w:numId w:val="678"/>
        </w:numPr>
        <w:tabs>
          <w:tab w:pos="1979" w:val="left" w:leader="none"/>
          <w:tab w:pos="1980" w:val="left" w:leader="none"/>
        </w:tabs>
        <w:spacing w:line="240" w:lineRule="auto" w:before="83" w:after="0"/>
        <w:ind w:left="1979" w:right="0" w:hanging="628"/>
        <w:jc w:val="left"/>
        <w:rPr>
          <w:b/>
          <w:sz w:val="24"/>
        </w:rPr>
      </w:pPr>
      <w:r>
        <w:rPr>
          <w:b/>
          <w:sz w:val="24"/>
        </w:rPr>
        <w:t>[Deleted]</w:t>
      </w:r>
    </w:p>
    <w:p>
      <w:pPr>
        <w:pStyle w:val="BodyText"/>
        <w:spacing w:before="10"/>
        <w:ind w:firstLine="0"/>
        <w:jc w:val="left"/>
        <w:rPr>
          <w:b/>
          <w:sz w:val="20"/>
        </w:rPr>
      </w:pPr>
    </w:p>
    <w:p>
      <w:pPr>
        <w:pStyle w:val="ListParagraph"/>
        <w:numPr>
          <w:ilvl w:val="2"/>
          <w:numId w:val="678"/>
        </w:numPr>
        <w:tabs>
          <w:tab w:pos="1351" w:val="left" w:leader="none"/>
          <w:tab w:pos="1352" w:val="left" w:leader="none"/>
        </w:tabs>
        <w:spacing w:line="240" w:lineRule="auto" w:before="0" w:after="0"/>
        <w:ind w:left="1351" w:right="0" w:hanging="1134"/>
        <w:jc w:val="left"/>
        <w:rPr>
          <w:rFonts w:ascii="Arial"/>
          <w:b/>
          <w:sz w:val="24"/>
        </w:rPr>
      </w:pPr>
      <w:bookmarkStart w:name="9.17.4 Compliance with AS/NZ ISO 9002 (c" w:id="2705"/>
      <w:bookmarkEnd w:id="2705"/>
      <w:r>
        <w:rPr/>
      </w:r>
      <w:bookmarkStart w:name="_bookmark1108" w:id="2706"/>
      <w:bookmarkEnd w:id="2706"/>
      <w:r>
        <w:rPr/>
      </w:r>
      <w:bookmarkStart w:name="_bookmark1108" w:id="2707"/>
      <w:bookmarkEnd w:id="2707"/>
      <w:r>
        <w:rPr>
          <w:rFonts w:ascii="Arial"/>
          <w:b/>
          <w:sz w:val="24"/>
        </w:rPr>
        <w:t>Complianc</w:t>
      </w:r>
      <w:r>
        <w:rPr>
          <w:rFonts w:ascii="Arial"/>
          <w:b/>
          <w:sz w:val="24"/>
        </w:rPr>
        <w:t>e with AS/NZ ISO 9002 (clause S7.4.3(f) of schedule</w:t>
      </w:r>
      <w:r>
        <w:rPr>
          <w:rFonts w:ascii="Arial"/>
          <w:b/>
          <w:spacing w:val="-15"/>
          <w:sz w:val="24"/>
        </w:rPr>
        <w:t> </w:t>
      </w:r>
      <w:r>
        <w:rPr>
          <w:rFonts w:ascii="Arial"/>
          <w:b/>
          <w:sz w:val="24"/>
        </w:rPr>
        <w:t>7.4)</w:t>
      </w:r>
    </w:p>
    <w:p>
      <w:pPr>
        <w:spacing w:before="120"/>
        <w:ind w:left="1352" w:right="415" w:firstLine="0"/>
        <w:jc w:val="both"/>
        <w:rPr>
          <w:sz w:val="24"/>
        </w:rPr>
      </w:pPr>
      <w:r>
        <w:rPr>
          <w:sz w:val="24"/>
        </w:rPr>
        <w:t>Category 1A, 2A and 3A </w:t>
      </w:r>
      <w:r>
        <w:rPr>
          <w:i/>
          <w:sz w:val="24"/>
        </w:rPr>
        <w:t>Metering Providers </w:t>
      </w:r>
      <w:r>
        <w:rPr>
          <w:sz w:val="24"/>
        </w:rPr>
        <w:t>must be able to exhibit the requirements of clause S7.4.3(f)(1) of schedule 7.4 of the </w:t>
      </w:r>
      <w:r>
        <w:rPr>
          <w:i/>
          <w:sz w:val="24"/>
        </w:rPr>
        <w:t>Rules </w:t>
      </w:r>
      <w:r>
        <w:rPr>
          <w:sz w:val="24"/>
        </w:rPr>
        <w:t>by the date which is 2 years after the date the </w:t>
      </w:r>
      <w:r>
        <w:rPr>
          <w:i/>
          <w:sz w:val="24"/>
        </w:rPr>
        <w:t>Metering Provider </w:t>
      </w:r>
      <w:r>
        <w:rPr>
          <w:sz w:val="24"/>
        </w:rPr>
        <w:t>applied to be registered as a </w:t>
      </w:r>
      <w:r>
        <w:rPr>
          <w:i/>
          <w:sz w:val="24"/>
        </w:rPr>
        <w:t>Metering Provider </w:t>
      </w:r>
      <w:r>
        <w:rPr>
          <w:sz w:val="24"/>
        </w:rPr>
        <w:t>with </w:t>
      </w:r>
      <w:r>
        <w:rPr>
          <w:i/>
          <w:sz w:val="24"/>
        </w:rPr>
        <w:t>NEMMCO</w:t>
      </w:r>
      <w:r>
        <w:rPr>
          <w:sz w:val="24"/>
        </w:rPr>
        <w:t>.</w:t>
      </w:r>
    </w:p>
    <w:p>
      <w:pPr>
        <w:pStyle w:val="BodyText"/>
        <w:spacing w:before="10"/>
        <w:ind w:firstLine="0"/>
        <w:jc w:val="left"/>
        <w:rPr>
          <w:sz w:val="20"/>
        </w:rPr>
      </w:pPr>
    </w:p>
    <w:p>
      <w:pPr>
        <w:pStyle w:val="Heading3"/>
        <w:numPr>
          <w:ilvl w:val="1"/>
          <w:numId w:val="681"/>
        </w:numPr>
        <w:tabs>
          <w:tab w:pos="725" w:val="left" w:leader="none"/>
          <w:tab w:pos="1351" w:val="left" w:leader="none"/>
        </w:tabs>
        <w:spacing w:line="240" w:lineRule="auto" w:before="0" w:after="0"/>
        <w:ind w:left="724" w:right="0" w:hanging="507"/>
        <w:jc w:val="left"/>
      </w:pPr>
      <w:bookmarkStart w:name="9.17A [Deleted]" w:id="2708"/>
      <w:bookmarkEnd w:id="2708"/>
      <w:r>
        <w:rPr>
          <w:b w:val="0"/>
        </w:rPr>
      </w:r>
      <w:bookmarkStart w:name="_bookmark1109" w:id="2709"/>
      <w:bookmarkEnd w:id="2709"/>
      <w:r>
        <w:rPr>
          <w:b w:val="0"/>
        </w:rPr>
      </w:r>
      <w:bookmarkStart w:name="_bookmark1109" w:id="2710"/>
      <w:bookmarkEnd w:id="2710"/>
      <w:r>
        <w:rPr/>
        <w:t>A</w:t>
      </w:r>
      <w:r>
        <w:rPr/>
        <w:tab/>
        <w:t>[Deleted]</w:t>
      </w:r>
    </w:p>
    <w:p>
      <w:pPr>
        <w:pStyle w:val="Heading3"/>
        <w:numPr>
          <w:ilvl w:val="1"/>
          <w:numId w:val="681"/>
        </w:numPr>
        <w:tabs>
          <w:tab w:pos="1351" w:val="left" w:leader="none"/>
          <w:tab w:pos="1353" w:val="left" w:leader="none"/>
        </w:tabs>
        <w:spacing w:line="240" w:lineRule="auto" w:before="240" w:after="0"/>
        <w:ind w:left="1352" w:right="0" w:hanging="1135"/>
        <w:jc w:val="left"/>
      </w:pPr>
      <w:bookmarkStart w:name="9.18 [Deleted]" w:id="2711"/>
      <w:bookmarkEnd w:id="2711"/>
      <w:r>
        <w:rPr>
          <w:b w:val="0"/>
        </w:rPr>
      </w:r>
      <w:bookmarkStart w:name="_bookmark1110" w:id="2712"/>
      <w:bookmarkEnd w:id="2712"/>
      <w:r>
        <w:rPr>
          <w:b w:val="0"/>
        </w:rPr>
      </w:r>
      <w:bookmarkStart w:name="_bookmark1110" w:id="2713"/>
      <w:bookmarkEnd w:id="2713"/>
      <w:r>
        <w:rPr/>
        <w:t>[Deleted]</w:t>
      </w:r>
    </w:p>
    <w:p>
      <w:pPr>
        <w:pStyle w:val="BodyText"/>
        <w:spacing w:before="9"/>
        <w:ind w:firstLine="0"/>
        <w:jc w:val="left"/>
        <w:rPr>
          <w:rFonts w:ascii="Arial"/>
          <w:b/>
          <w:sz w:val="18"/>
        </w:rPr>
      </w:pPr>
      <w:r>
        <w:rPr/>
        <w:pict>
          <v:shape style="position:absolute;margin-left:69.450005pt;margin-top:12.026259pt;width:456.45pt;height:32.2pt;mso-position-horizontal-relative:page;mso-position-vertical-relative:paragraph;z-index:-251582464;mso-wrap-distance-left:0;mso-wrap-distance-right:0" type="#_x0000_t202" filled="true" fillcolor="#d9d9d9" stroked="false">
            <v:textbox inset="0,0,0,0">
              <w:txbxContent>
                <w:p>
                  <w:pPr>
                    <w:tabs>
                      <w:tab w:pos="1163" w:val="left" w:leader="none"/>
                    </w:tabs>
                    <w:spacing w:before="0"/>
                    <w:ind w:left="1163" w:right="1027" w:hanging="1134"/>
                    <w:jc w:val="left"/>
                    <w:rPr>
                      <w:rFonts w:ascii="Arial"/>
                      <w:b/>
                      <w:sz w:val="28"/>
                    </w:rPr>
                  </w:pPr>
                  <w:bookmarkStart w:name="Part C Jurisdictional Derogations for th" w:id="2714"/>
                  <w:bookmarkEnd w:id="2714"/>
                  <w:r>
                    <w:rPr/>
                  </w:r>
                  <w:bookmarkStart w:name="_bookmark1111" w:id="2715"/>
                  <w:bookmarkEnd w:id="2715"/>
                  <w:r>
                    <w:rPr/>
                  </w:r>
                  <w:r>
                    <w:rPr>
                      <w:rFonts w:ascii="Arial"/>
                      <w:b/>
                      <w:sz w:val="28"/>
                    </w:rPr>
                    <w:t>Part C</w:t>
                    <w:tab/>
                    <w:t>Jurisdictional Derogations for the Australian</w:t>
                  </w:r>
                  <w:r>
                    <w:rPr>
                      <w:rFonts w:ascii="Arial"/>
                      <w:b/>
                      <w:spacing w:val="-35"/>
                      <w:sz w:val="28"/>
                    </w:rPr>
                    <w:t> </w:t>
                  </w:r>
                  <w:r>
                    <w:rPr>
                      <w:rFonts w:ascii="Arial"/>
                      <w:b/>
                      <w:sz w:val="28"/>
                    </w:rPr>
                    <w:t>Capital Territory</w:t>
                  </w:r>
                </w:p>
              </w:txbxContent>
            </v:textbox>
            <v:fill type="solid"/>
            <w10:wrap type="topAndBottom"/>
          </v:shape>
        </w:pict>
      </w:r>
    </w:p>
    <w:p>
      <w:pPr>
        <w:pStyle w:val="BodyText"/>
        <w:spacing w:before="7"/>
        <w:ind w:firstLine="0"/>
        <w:jc w:val="left"/>
        <w:rPr>
          <w:rFonts w:ascii="Arial"/>
          <w:b/>
          <w:sz w:val="11"/>
        </w:rPr>
      </w:pPr>
    </w:p>
    <w:p>
      <w:pPr>
        <w:pStyle w:val="Heading3"/>
        <w:numPr>
          <w:ilvl w:val="1"/>
          <w:numId w:val="681"/>
        </w:numPr>
        <w:tabs>
          <w:tab w:pos="1351" w:val="left" w:leader="none"/>
          <w:tab w:pos="1353" w:val="left" w:leader="none"/>
        </w:tabs>
        <w:spacing w:line="240" w:lineRule="auto" w:before="91" w:after="0"/>
        <w:ind w:left="1352" w:right="0" w:hanging="1135"/>
        <w:jc w:val="left"/>
      </w:pPr>
      <w:bookmarkStart w:name="9.19 [Deleted]" w:id="2716"/>
      <w:bookmarkEnd w:id="2716"/>
      <w:r>
        <w:rPr>
          <w:b w:val="0"/>
        </w:rPr>
      </w:r>
      <w:bookmarkStart w:name="_bookmark1112" w:id="2717"/>
      <w:bookmarkEnd w:id="2717"/>
      <w:r>
        <w:rPr>
          <w:b w:val="0"/>
        </w:rPr>
      </w:r>
      <w:bookmarkStart w:name="_bookmark1112" w:id="2718"/>
      <w:bookmarkEnd w:id="2718"/>
      <w:r>
        <w:rPr/>
        <w:t>[Deleted]</w:t>
      </w:r>
    </w:p>
    <w:p>
      <w:pPr>
        <w:pStyle w:val="Heading3"/>
        <w:numPr>
          <w:ilvl w:val="1"/>
          <w:numId w:val="681"/>
        </w:numPr>
        <w:tabs>
          <w:tab w:pos="1351" w:val="left" w:leader="none"/>
          <w:tab w:pos="1353" w:val="left" w:leader="none"/>
        </w:tabs>
        <w:spacing w:line="240" w:lineRule="auto" w:before="240" w:after="0"/>
        <w:ind w:left="1352" w:right="929" w:hanging="1134"/>
        <w:jc w:val="left"/>
      </w:pPr>
      <w:bookmarkStart w:name="9.20 Definitions and Transitional Arrang" w:id="2719"/>
      <w:bookmarkEnd w:id="2719"/>
      <w:r>
        <w:rPr>
          <w:b w:val="0"/>
        </w:rPr>
      </w:r>
      <w:bookmarkStart w:name="_bookmark1113" w:id="2720"/>
      <w:bookmarkEnd w:id="2720"/>
      <w:r>
        <w:rPr>
          <w:b w:val="0"/>
        </w:rPr>
      </w:r>
      <w:bookmarkStart w:name="_bookmark1113" w:id="2721"/>
      <w:bookmarkEnd w:id="2721"/>
      <w:r>
        <w:rPr/>
        <w:t>Defini</w:t>
      </w:r>
      <w:r>
        <w:rPr/>
        <w:t>tions and Transitional Arrangements for Cross-Border Networks</w:t>
      </w:r>
    </w:p>
    <w:p>
      <w:pPr>
        <w:pStyle w:val="Heading4"/>
        <w:numPr>
          <w:ilvl w:val="2"/>
          <w:numId w:val="681"/>
        </w:numPr>
        <w:tabs>
          <w:tab w:pos="1351" w:val="left" w:leader="none"/>
          <w:tab w:pos="1352" w:val="left" w:leader="none"/>
        </w:tabs>
        <w:spacing w:line="240" w:lineRule="auto" w:before="240" w:after="0"/>
        <w:ind w:left="1351" w:right="0" w:hanging="1134"/>
        <w:jc w:val="left"/>
      </w:pPr>
      <w:bookmarkStart w:name="9.20.1 Definitions" w:id="2722"/>
      <w:bookmarkEnd w:id="2722"/>
      <w:r>
        <w:rPr>
          <w:b w:val="0"/>
        </w:rPr>
      </w:r>
      <w:bookmarkStart w:name="_bookmark1114" w:id="2723"/>
      <w:bookmarkEnd w:id="2723"/>
      <w:r>
        <w:rPr>
          <w:b w:val="0"/>
        </w:rPr>
      </w:r>
      <w:bookmarkStart w:name="_bookmark1114" w:id="2724"/>
      <w:bookmarkEnd w:id="2724"/>
      <w:r>
        <w:rPr/>
        <w:t>Definition</w:t>
      </w:r>
      <w:r>
        <w:rPr/>
        <w:t>s</w:t>
      </w:r>
    </w:p>
    <w:p>
      <w:pPr>
        <w:pStyle w:val="BodyText"/>
        <w:ind w:left="1352" w:firstLine="0"/>
      </w:pPr>
      <w:r>
        <w:rPr/>
        <w:t>For the purposes of this Part C:</w:t>
      </w:r>
    </w:p>
    <w:p>
      <w:pPr>
        <w:pStyle w:val="ListParagraph"/>
        <w:numPr>
          <w:ilvl w:val="3"/>
          <w:numId w:val="681"/>
        </w:numPr>
        <w:tabs>
          <w:tab w:pos="1919" w:val="left" w:leader="none"/>
        </w:tabs>
        <w:spacing w:line="240" w:lineRule="auto" w:before="120" w:after="0"/>
        <w:ind w:left="1919" w:right="415" w:hanging="567"/>
        <w:jc w:val="both"/>
        <w:rPr>
          <w:sz w:val="24"/>
        </w:rPr>
      </w:pPr>
      <w:r>
        <w:rPr>
          <w:sz w:val="24"/>
        </w:rPr>
        <w:t>a word or expression defined in the glossary in Chapter 10 has the meaning given to it in the glossary unless it is referred to in column 1 of the following table;</w:t>
      </w:r>
      <w:r>
        <w:rPr>
          <w:spacing w:val="-1"/>
          <w:sz w:val="24"/>
        </w:rPr>
        <w:t> </w:t>
      </w:r>
      <w:r>
        <w:rPr>
          <w:sz w:val="24"/>
        </w:rPr>
        <w:t>and</w:t>
      </w:r>
    </w:p>
    <w:p>
      <w:pPr>
        <w:pStyle w:val="ListParagraph"/>
        <w:numPr>
          <w:ilvl w:val="3"/>
          <w:numId w:val="681"/>
        </w:numPr>
        <w:tabs>
          <w:tab w:pos="1919" w:val="left" w:leader="none"/>
        </w:tabs>
        <w:spacing w:line="240" w:lineRule="auto" w:before="120" w:after="0"/>
        <w:ind w:left="1919" w:right="415" w:hanging="567"/>
        <w:jc w:val="both"/>
        <w:rPr>
          <w:sz w:val="24"/>
        </w:rPr>
      </w:pPr>
      <w:r>
        <w:rPr>
          <w:sz w:val="24"/>
        </w:rPr>
        <w:t>a word or expression referred to in column 1 of the following table has the meaning given to it in column 2 of the</w:t>
      </w:r>
      <w:r>
        <w:rPr>
          <w:spacing w:val="-1"/>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1067" w:hRule="atLeast"/>
        </w:trPr>
        <w:tc>
          <w:tcPr>
            <w:tcW w:w="2650" w:type="dxa"/>
            <w:tcBorders>
              <w:top w:val="single" w:sz="4" w:space="0" w:color="000000"/>
              <w:right w:val="single" w:sz="4" w:space="0" w:color="000000"/>
            </w:tcBorders>
          </w:tcPr>
          <w:p>
            <w:pPr>
              <w:pStyle w:val="TableParagraph"/>
              <w:ind w:left="40"/>
              <w:rPr>
                <w:b/>
                <w:sz w:val="24"/>
              </w:rPr>
            </w:pPr>
            <w:r>
              <w:rPr>
                <w:b/>
                <w:sz w:val="24"/>
              </w:rPr>
              <w:t>Minister</w:t>
            </w:r>
          </w:p>
        </w:tc>
        <w:tc>
          <w:tcPr>
            <w:tcW w:w="5287" w:type="dxa"/>
            <w:tcBorders>
              <w:top w:val="single" w:sz="4" w:space="0" w:color="000000"/>
              <w:left w:val="single" w:sz="4" w:space="0" w:color="000000"/>
              <w:right w:val="single" w:sz="4" w:space="0" w:color="000000"/>
            </w:tcBorders>
          </w:tcPr>
          <w:p>
            <w:pPr>
              <w:pStyle w:val="TableParagraph"/>
              <w:ind w:right="438"/>
              <w:jc w:val="both"/>
              <w:rPr>
                <w:sz w:val="24"/>
              </w:rPr>
            </w:pPr>
            <w:r>
              <w:rPr>
                <w:sz w:val="24"/>
              </w:rPr>
              <w:t>The Minister from time to time administering the </w:t>
            </w:r>
            <w:r>
              <w:rPr>
                <w:i/>
                <w:sz w:val="24"/>
              </w:rPr>
              <w:t>Utilities Act 2000 </w:t>
            </w:r>
            <w:r>
              <w:rPr>
                <w:sz w:val="24"/>
              </w:rPr>
              <w:t>(ACT) or other applicable ACT legislation.</w:t>
            </w:r>
          </w:p>
        </w:tc>
      </w:tr>
    </w:tbl>
    <w:p>
      <w:pPr>
        <w:pStyle w:val="BodyText"/>
        <w:spacing w:before="0"/>
        <w:ind w:firstLine="0"/>
        <w:jc w:val="left"/>
        <w:rPr>
          <w:sz w:val="26"/>
        </w:rPr>
      </w:pPr>
    </w:p>
    <w:p>
      <w:pPr>
        <w:pStyle w:val="Heading4"/>
        <w:numPr>
          <w:ilvl w:val="2"/>
          <w:numId w:val="681"/>
        </w:numPr>
        <w:tabs>
          <w:tab w:pos="1351" w:val="left" w:leader="none"/>
          <w:tab w:pos="1352" w:val="left" w:leader="none"/>
        </w:tabs>
        <w:spacing w:line="240" w:lineRule="auto" w:before="217" w:after="0"/>
        <w:ind w:left="1351" w:right="0" w:hanging="1134"/>
        <w:jc w:val="left"/>
      </w:pPr>
      <w:bookmarkStart w:name="9.20.2 Cross Border Networks" w:id="2725"/>
      <w:bookmarkEnd w:id="2725"/>
      <w:r>
        <w:rPr>
          <w:b w:val="0"/>
        </w:rPr>
      </w:r>
      <w:bookmarkStart w:name="_bookmark1115" w:id="2726"/>
      <w:bookmarkEnd w:id="2726"/>
      <w:r>
        <w:rPr>
          <w:b w:val="0"/>
        </w:rPr>
      </w:r>
      <w:bookmarkStart w:name="_bookmark1115" w:id="2727"/>
      <w:bookmarkEnd w:id="2727"/>
      <w:r>
        <w:rPr/>
        <w:t>Cros</w:t>
      </w:r>
      <w:r>
        <w:rPr/>
        <w:t>s Border</w:t>
      </w:r>
      <w:r>
        <w:rPr>
          <w:spacing w:val="-1"/>
        </w:rPr>
        <w:t> </w:t>
      </w:r>
      <w:r>
        <w:rPr/>
        <w:t>Networks</w:t>
      </w:r>
    </w:p>
    <w:p>
      <w:pPr>
        <w:pStyle w:val="ListParagraph"/>
        <w:numPr>
          <w:ilvl w:val="3"/>
          <w:numId w:val="681"/>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81"/>
        </w:numPr>
        <w:tabs>
          <w:tab w:pos="2486" w:val="left" w:leader="none"/>
        </w:tabs>
        <w:spacing w:line="240" w:lineRule="auto" w:before="120" w:after="0"/>
        <w:ind w:left="2486" w:right="414" w:hanging="567"/>
        <w:jc w:val="both"/>
        <w:rPr>
          <w:sz w:val="24"/>
        </w:rPr>
      </w:pPr>
      <w:r>
        <w:rPr>
          <w:sz w:val="24"/>
        </w:rPr>
        <w:t>the </w:t>
      </w:r>
      <w:r>
        <w:rPr>
          <w:i/>
          <w:sz w:val="24"/>
        </w:rPr>
        <w:t>Minister </w:t>
      </w:r>
      <w:r>
        <w:rPr>
          <w:sz w:val="24"/>
        </w:rPr>
        <w:t>considers that a </w:t>
      </w:r>
      <w:r>
        <w:rPr>
          <w:i/>
          <w:sz w:val="24"/>
        </w:rPr>
        <w:t>transmission network </w:t>
      </w:r>
      <w:r>
        <w:rPr>
          <w:sz w:val="24"/>
        </w:rPr>
        <w:t>or </w:t>
      </w:r>
      <w:r>
        <w:rPr>
          <w:i/>
          <w:sz w:val="24"/>
        </w:rPr>
        <w:t>distribution </w:t>
      </w:r>
      <w:r>
        <w:rPr>
          <w:i/>
          <w:sz w:val="24"/>
        </w:rPr>
        <w:t>network </w:t>
      </w:r>
      <w:r>
        <w:rPr>
          <w:sz w:val="24"/>
        </w:rPr>
        <w:t>situated in the Australian Capital Territory is a continuation of a </w:t>
      </w:r>
      <w:r>
        <w:rPr>
          <w:i/>
          <w:sz w:val="24"/>
        </w:rPr>
        <w:t>network </w:t>
      </w:r>
      <w:r>
        <w:rPr>
          <w:sz w:val="24"/>
        </w:rPr>
        <w:t>situated in New South Wales and should be considered to be a part of the New South Wales </w:t>
      </w:r>
      <w:r>
        <w:rPr>
          <w:i/>
          <w:sz w:val="24"/>
        </w:rPr>
        <w:t>network</w:t>
      </w:r>
      <w:r>
        <w:rPr>
          <w:sz w:val="24"/>
        </w:rPr>
        <w:t>;</w:t>
      </w:r>
      <w:r>
        <w:rPr>
          <w:spacing w:val="-5"/>
          <w:sz w:val="24"/>
        </w:rPr>
        <w:t> </w:t>
      </w:r>
      <w:r>
        <w:rPr>
          <w:sz w:val="24"/>
        </w:rPr>
        <w:t>and</w:t>
      </w:r>
    </w:p>
    <w:p>
      <w:pPr>
        <w:pStyle w:val="ListParagraph"/>
        <w:numPr>
          <w:ilvl w:val="4"/>
          <w:numId w:val="681"/>
        </w:numPr>
        <w:tabs>
          <w:tab w:pos="2486" w:val="left" w:leader="none"/>
        </w:tabs>
        <w:spacing w:line="240" w:lineRule="auto" w:before="120" w:after="0"/>
        <w:ind w:left="2485" w:right="0" w:hanging="567"/>
        <w:jc w:val="both"/>
        <w:rPr>
          <w:sz w:val="24"/>
        </w:rPr>
      </w:pPr>
      <w:r>
        <w:rPr>
          <w:sz w:val="24"/>
        </w:rPr>
        <w:t>the </w:t>
      </w:r>
      <w:r>
        <w:rPr>
          <w:i/>
          <w:sz w:val="24"/>
        </w:rPr>
        <w:t>Minister </w:t>
      </w:r>
      <w:r>
        <w:rPr>
          <w:sz w:val="24"/>
        </w:rPr>
        <w:t>for New South Wales</w:t>
      </w:r>
      <w:r>
        <w:rPr>
          <w:spacing w:val="-4"/>
          <w:sz w:val="24"/>
        </w:rPr>
        <w:t> </w:t>
      </w:r>
      <w:r>
        <w:rPr>
          <w:sz w:val="24"/>
        </w:rPr>
        <w:t>consents,</w:t>
      </w:r>
    </w:p>
    <w:p>
      <w:pPr>
        <w:spacing w:before="120"/>
        <w:ind w:left="1919" w:right="415" w:firstLine="0"/>
        <w:jc w:val="both"/>
        <w:rPr>
          <w:sz w:val="24"/>
        </w:rPr>
      </w:pPr>
      <w:r>
        <w:rPr>
          <w:sz w:val="24"/>
        </w:rPr>
        <w:t>then those </w:t>
      </w:r>
      <w:r>
        <w:rPr>
          <w:i/>
          <w:sz w:val="24"/>
        </w:rPr>
        <w:t>Ministers </w:t>
      </w:r>
      <w:r>
        <w:rPr>
          <w:sz w:val="24"/>
        </w:rPr>
        <w:t>may nominate that the </w:t>
      </w:r>
      <w:r>
        <w:rPr>
          <w:i/>
          <w:sz w:val="24"/>
        </w:rPr>
        <w:t>network </w:t>
      </w:r>
      <w:r>
        <w:rPr>
          <w:sz w:val="24"/>
        </w:rPr>
        <w:t>is deemed to be entirely in New South Wales and the </w:t>
      </w:r>
      <w:r>
        <w:rPr>
          <w:i/>
          <w:sz w:val="24"/>
        </w:rPr>
        <w:t>Rules </w:t>
      </w:r>
      <w:r>
        <w:rPr>
          <w:sz w:val="24"/>
        </w:rPr>
        <w:t>including any relevant </w:t>
      </w:r>
      <w:r>
        <w:rPr>
          <w:i/>
          <w:sz w:val="24"/>
        </w:rPr>
        <w:t>jurisdictional </w:t>
      </w:r>
      <w:r>
        <w:rPr>
          <w:i/>
          <w:sz w:val="24"/>
        </w:rPr>
        <w:t>derogations </w:t>
      </w:r>
      <w:r>
        <w:rPr>
          <w:sz w:val="24"/>
        </w:rPr>
        <w:t>for New South Wales are deemed to apply to the </w:t>
      </w:r>
      <w:r>
        <w:rPr>
          <w:i/>
          <w:sz w:val="24"/>
        </w:rPr>
        <w:t>network </w:t>
      </w:r>
      <w:r>
        <w:rPr>
          <w:sz w:val="24"/>
        </w:rPr>
        <w:t>as if the </w:t>
      </w:r>
      <w:r>
        <w:rPr>
          <w:i/>
          <w:sz w:val="24"/>
        </w:rPr>
        <w:t>network </w:t>
      </w:r>
      <w:r>
        <w:rPr>
          <w:sz w:val="24"/>
        </w:rPr>
        <w:t>were located entirely within New South Wales.</w:t>
      </w:r>
    </w:p>
    <w:p>
      <w:pPr>
        <w:spacing w:after="0"/>
        <w:jc w:val="both"/>
        <w:rPr>
          <w:sz w:val="24"/>
        </w:rPr>
        <w:sectPr>
          <w:pgSz w:w="11910" w:h="16840"/>
          <w:pgMar w:header="686" w:footer="637" w:top="1320" w:bottom="820" w:left="1200" w:right="1000"/>
        </w:sectPr>
      </w:pPr>
    </w:p>
    <w:p>
      <w:pPr>
        <w:pStyle w:val="ListParagraph"/>
        <w:numPr>
          <w:ilvl w:val="3"/>
          <w:numId w:val="681"/>
        </w:numPr>
        <w:tabs>
          <w:tab w:pos="1919" w:val="left" w:leader="none"/>
        </w:tabs>
        <w:spacing w:line="240" w:lineRule="auto" w:before="83" w:after="0"/>
        <w:ind w:left="1919" w:right="414" w:hanging="567"/>
        <w:jc w:val="both"/>
        <w:rPr>
          <w:sz w:val="24"/>
        </w:rPr>
      </w:pPr>
      <w:r>
        <w:rPr>
          <w:sz w:val="24"/>
        </w:rPr>
        <w:t>If a nomination is made under clause 9.20.2(a), then the </w:t>
      </w:r>
      <w:r>
        <w:rPr>
          <w:i/>
          <w:sz w:val="24"/>
        </w:rPr>
        <w:t>jurisdictional </w:t>
      </w:r>
      <w:r>
        <w:rPr>
          <w:i/>
          <w:sz w:val="24"/>
        </w:rPr>
        <w:t>derogations </w:t>
      </w:r>
      <w:r>
        <w:rPr>
          <w:sz w:val="24"/>
        </w:rPr>
        <w:t>for the Australian Capital Territory do not apply to the extended part of the relevant </w:t>
      </w:r>
      <w:r>
        <w:rPr>
          <w:i/>
          <w:sz w:val="24"/>
        </w:rPr>
        <w:t>network </w:t>
      </w:r>
      <w:r>
        <w:rPr>
          <w:sz w:val="24"/>
        </w:rPr>
        <w:t>which is situated in the Australian</w:t>
      </w:r>
      <w:r>
        <w:rPr>
          <w:spacing w:val="18"/>
          <w:sz w:val="24"/>
        </w:rPr>
        <w:t> </w:t>
      </w:r>
      <w:r>
        <w:rPr>
          <w:sz w:val="24"/>
        </w:rPr>
        <w:t>Capital Territory.</w:t>
      </w:r>
    </w:p>
    <w:p>
      <w:pPr>
        <w:pStyle w:val="ListParagraph"/>
        <w:numPr>
          <w:ilvl w:val="3"/>
          <w:numId w:val="681"/>
        </w:numPr>
        <w:tabs>
          <w:tab w:pos="1919" w:val="left" w:leader="none"/>
        </w:tabs>
        <w:spacing w:line="240" w:lineRule="auto" w:before="120" w:after="0"/>
        <w:ind w:left="1919" w:right="415" w:hanging="567"/>
        <w:jc w:val="both"/>
        <w:rPr>
          <w:sz w:val="24"/>
        </w:rPr>
      </w:pPr>
      <w:r>
        <w:rPr>
          <w:sz w:val="24"/>
        </w:rPr>
        <w:t>If the </w:t>
      </w:r>
      <w:r>
        <w:rPr>
          <w:i/>
          <w:sz w:val="24"/>
        </w:rPr>
        <w:t>Minister </w:t>
      </w:r>
      <w:r>
        <w:rPr>
          <w:sz w:val="24"/>
        </w:rPr>
        <w:t>for New South Wales nominates that the </w:t>
      </w:r>
      <w:r>
        <w:rPr>
          <w:i/>
          <w:sz w:val="24"/>
        </w:rPr>
        <w:t>jurisdictional </w:t>
      </w:r>
      <w:r>
        <w:rPr>
          <w:i/>
          <w:sz w:val="24"/>
        </w:rPr>
        <w:t>derogations </w:t>
      </w:r>
      <w:r>
        <w:rPr>
          <w:sz w:val="24"/>
        </w:rPr>
        <w:t>for the Australian Capital Territory should apply to a </w:t>
      </w:r>
      <w:r>
        <w:rPr>
          <w:i/>
          <w:sz w:val="24"/>
        </w:rPr>
        <w:t>network </w:t>
      </w:r>
      <w:r>
        <w:rPr>
          <w:sz w:val="24"/>
        </w:rPr>
        <w:t>part of which is situated in New South Wales, then if the </w:t>
      </w:r>
      <w:r>
        <w:rPr>
          <w:i/>
          <w:sz w:val="24"/>
        </w:rPr>
        <w:t>Minister </w:t>
      </w:r>
      <w:r>
        <w:rPr>
          <w:sz w:val="24"/>
        </w:rPr>
        <w:t>for the Australian Capital Territory consents, the </w:t>
      </w:r>
      <w:r>
        <w:rPr>
          <w:i/>
          <w:sz w:val="24"/>
        </w:rPr>
        <w:t>jurisdictional derogations </w:t>
      </w:r>
      <w:r>
        <w:rPr>
          <w:sz w:val="24"/>
        </w:rPr>
        <w:t>for the Australian Capital Territory are also to apply to that part of the </w:t>
      </w:r>
      <w:r>
        <w:rPr>
          <w:i/>
          <w:sz w:val="24"/>
        </w:rPr>
        <w:t>network </w:t>
      </w:r>
      <w:r>
        <w:rPr>
          <w:sz w:val="24"/>
        </w:rPr>
        <w:t>situated in New South</w:t>
      </w:r>
      <w:r>
        <w:rPr>
          <w:spacing w:val="-3"/>
          <w:sz w:val="24"/>
        </w:rPr>
        <w:t> </w:t>
      </w:r>
      <w:r>
        <w:rPr>
          <w:sz w:val="24"/>
        </w:rPr>
        <w:t>Wales.</w:t>
      </w:r>
    </w:p>
    <w:p>
      <w:pPr>
        <w:pStyle w:val="BodyText"/>
        <w:spacing w:before="10"/>
        <w:ind w:firstLine="0"/>
        <w:jc w:val="left"/>
        <w:rPr>
          <w:sz w:val="20"/>
        </w:rPr>
      </w:pPr>
    </w:p>
    <w:p>
      <w:pPr>
        <w:pStyle w:val="Heading3"/>
        <w:numPr>
          <w:ilvl w:val="1"/>
          <w:numId w:val="681"/>
        </w:numPr>
        <w:tabs>
          <w:tab w:pos="1351" w:val="left" w:leader="none"/>
          <w:tab w:pos="1353" w:val="left" w:leader="none"/>
        </w:tabs>
        <w:spacing w:line="240" w:lineRule="auto" w:before="0" w:after="0"/>
        <w:ind w:left="1352" w:right="0" w:hanging="1135"/>
        <w:jc w:val="left"/>
      </w:pPr>
      <w:bookmarkStart w:name="9.21 [Deleted]" w:id="2728"/>
      <w:bookmarkEnd w:id="2728"/>
      <w:r>
        <w:rPr>
          <w:b w:val="0"/>
        </w:rPr>
      </w:r>
      <w:bookmarkStart w:name="_bookmark1116" w:id="2729"/>
      <w:bookmarkEnd w:id="2729"/>
      <w:r>
        <w:rPr>
          <w:b w:val="0"/>
        </w:rPr>
      </w:r>
      <w:bookmarkStart w:name="_bookmark1116" w:id="2730"/>
      <w:bookmarkEnd w:id="2730"/>
      <w:r>
        <w:rPr/>
        <w:t>[Deleted]</w:t>
      </w:r>
    </w:p>
    <w:p>
      <w:pPr>
        <w:pStyle w:val="Heading3"/>
        <w:numPr>
          <w:ilvl w:val="1"/>
          <w:numId w:val="681"/>
        </w:numPr>
        <w:tabs>
          <w:tab w:pos="1351" w:val="left" w:leader="none"/>
          <w:tab w:pos="1353" w:val="left" w:leader="none"/>
        </w:tabs>
        <w:spacing w:line="240" w:lineRule="auto" w:before="240" w:after="0"/>
        <w:ind w:left="1352" w:right="0" w:hanging="1135"/>
        <w:jc w:val="left"/>
      </w:pPr>
      <w:bookmarkStart w:name="9.22 [Deleted]" w:id="2731"/>
      <w:bookmarkEnd w:id="2731"/>
      <w:r>
        <w:rPr>
          <w:b w:val="0"/>
        </w:rPr>
      </w:r>
      <w:bookmarkStart w:name="_bookmark1117" w:id="2732"/>
      <w:bookmarkEnd w:id="2732"/>
      <w:r>
        <w:rPr>
          <w:b w:val="0"/>
        </w:rPr>
      </w:r>
      <w:bookmarkStart w:name="_bookmark1117" w:id="2733"/>
      <w:bookmarkEnd w:id="2733"/>
      <w:r>
        <w:rPr/>
        <w:t>[Deleted]</w:t>
      </w:r>
    </w:p>
    <w:p>
      <w:pPr>
        <w:pStyle w:val="Heading3"/>
        <w:numPr>
          <w:ilvl w:val="1"/>
          <w:numId w:val="681"/>
        </w:numPr>
        <w:tabs>
          <w:tab w:pos="1351" w:val="left" w:leader="none"/>
          <w:tab w:pos="1353" w:val="left" w:leader="none"/>
        </w:tabs>
        <w:spacing w:line="240" w:lineRule="auto" w:before="240" w:after="0"/>
        <w:ind w:left="1352" w:right="0" w:hanging="1135"/>
        <w:jc w:val="left"/>
      </w:pPr>
      <w:bookmarkStart w:name="9.23 Transitional Arrangements for Chapt" w:id="2734"/>
      <w:bookmarkEnd w:id="2734"/>
      <w:r>
        <w:rPr>
          <w:b w:val="0"/>
        </w:rPr>
      </w:r>
      <w:bookmarkStart w:name="_bookmark1118" w:id="2735"/>
      <w:bookmarkEnd w:id="2735"/>
      <w:r>
        <w:rPr>
          <w:b w:val="0"/>
        </w:rPr>
      </w:r>
      <w:bookmarkStart w:name="_bookmark1118" w:id="2736"/>
      <w:bookmarkEnd w:id="2736"/>
      <w:r>
        <w:rPr/>
        <w:t>T</w:t>
      </w:r>
      <w:r>
        <w:rPr/>
        <w:t>ransitional Arrangements for Chapter 6 - Network</w:t>
      </w:r>
      <w:r>
        <w:rPr>
          <w:spacing w:val="-8"/>
        </w:rPr>
        <w:t> </w:t>
      </w:r>
      <w:r>
        <w:rPr/>
        <w:t>Pricing</w:t>
      </w:r>
    </w:p>
    <w:p>
      <w:pPr>
        <w:pStyle w:val="Heading4"/>
        <w:numPr>
          <w:ilvl w:val="2"/>
          <w:numId w:val="681"/>
        </w:numPr>
        <w:tabs>
          <w:tab w:pos="1351" w:val="left" w:leader="none"/>
          <w:tab w:pos="1352" w:val="left" w:leader="none"/>
        </w:tabs>
        <w:spacing w:line="240" w:lineRule="auto" w:before="240" w:after="0"/>
        <w:ind w:left="1351" w:right="0" w:hanging="1134"/>
        <w:jc w:val="left"/>
      </w:pPr>
      <w:bookmarkStart w:name="9.23.1 [Deleted]" w:id="2737"/>
      <w:bookmarkEnd w:id="2737"/>
      <w:r>
        <w:rPr>
          <w:b w:val="0"/>
        </w:rPr>
      </w:r>
      <w:bookmarkStart w:name="_bookmark1119" w:id="2738"/>
      <w:bookmarkEnd w:id="2738"/>
      <w:r>
        <w:rPr>
          <w:b w:val="0"/>
        </w:rPr>
      </w:r>
      <w:bookmarkStart w:name="_bookmark1119" w:id="2739"/>
      <w:bookmarkEnd w:id="2739"/>
      <w:r>
        <w:rPr/>
        <w:t>[Deleted]</w:t>
      </w:r>
    </w:p>
    <w:p>
      <w:pPr>
        <w:pStyle w:val="BodyText"/>
        <w:spacing w:before="10"/>
        <w:ind w:firstLine="0"/>
        <w:jc w:val="left"/>
        <w:rPr>
          <w:rFonts w:ascii="Arial"/>
          <w:b/>
          <w:sz w:val="20"/>
        </w:rPr>
      </w:pPr>
    </w:p>
    <w:p>
      <w:pPr>
        <w:pStyle w:val="Heading4"/>
        <w:numPr>
          <w:ilvl w:val="2"/>
          <w:numId w:val="681"/>
        </w:numPr>
        <w:tabs>
          <w:tab w:pos="1351" w:val="left" w:leader="none"/>
          <w:tab w:pos="1352" w:val="left" w:leader="none"/>
        </w:tabs>
        <w:spacing w:line="240" w:lineRule="auto" w:before="0" w:after="0"/>
        <w:ind w:left="1351" w:right="0" w:hanging="1134"/>
        <w:jc w:val="left"/>
      </w:pPr>
      <w:bookmarkStart w:name="9.23.2 [Deleted]" w:id="2740"/>
      <w:bookmarkEnd w:id="2740"/>
      <w:r>
        <w:rPr>
          <w:b w:val="0"/>
        </w:rPr>
      </w:r>
      <w:bookmarkStart w:name="_bookmark1120" w:id="2741"/>
      <w:bookmarkEnd w:id="2741"/>
      <w:r>
        <w:rPr>
          <w:b w:val="0"/>
        </w:rPr>
      </w:r>
      <w:bookmarkStart w:name="_bookmark1120" w:id="2742"/>
      <w:bookmarkEnd w:id="2742"/>
      <w:r>
        <w:rPr/>
        <w:t>[Deleted]</w:t>
      </w:r>
    </w:p>
    <w:p>
      <w:pPr>
        <w:pStyle w:val="BodyText"/>
        <w:spacing w:before="10"/>
        <w:ind w:firstLine="0"/>
        <w:jc w:val="left"/>
        <w:rPr>
          <w:rFonts w:ascii="Arial"/>
          <w:b/>
          <w:sz w:val="20"/>
        </w:rPr>
      </w:pPr>
    </w:p>
    <w:p>
      <w:pPr>
        <w:pStyle w:val="Heading4"/>
        <w:numPr>
          <w:ilvl w:val="2"/>
          <w:numId w:val="681"/>
        </w:numPr>
        <w:tabs>
          <w:tab w:pos="1351" w:val="left" w:leader="none"/>
          <w:tab w:pos="1352" w:val="left" w:leader="none"/>
        </w:tabs>
        <w:spacing w:line="240" w:lineRule="auto" w:before="0" w:after="0"/>
        <w:ind w:left="1351" w:right="0" w:hanging="1134"/>
        <w:jc w:val="left"/>
      </w:pPr>
      <w:bookmarkStart w:name="9.23.3 [Deleted" w:id="2743"/>
      <w:bookmarkEnd w:id="2743"/>
      <w:r>
        <w:rPr>
          <w:b w:val="0"/>
        </w:rPr>
      </w:r>
      <w:bookmarkStart w:name="_bookmark1121" w:id="2744"/>
      <w:bookmarkEnd w:id="2744"/>
      <w:r>
        <w:rPr>
          <w:b w:val="0"/>
        </w:rPr>
      </w:r>
      <w:bookmarkStart w:name="_bookmark1121" w:id="2745"/>
      <w:bookmarkEnd w:id="2745"/>
      <w:r>
        <w:rPr/>
        <w:t>[Deleted</w:t>
      </w:r>
    </w:p>
    <w:p>
      <w:pPr>
        <w:pStyle w:val="BodyText"/>
        <w:spacing w:before="10"/>
        <w:ind w:firstLine="0"/>
        <w:jc w:val="left"/>
        <w:rPr>
          <w:rFonts w:ascii="Arial"/>
          <w:b/>
          <w:sz w:val="20"/>
        </w:rPr>
      </w:pPr>
    </w:p>
    <w:p>
      <w:pPr>
        <w:pStyle w:val="Heading4"/>
        <w:numPr>
          <w:ilvl w:val="2"/>
          <w:numId w:val="681"/>
        </w:numPr>
        <w:tabs>
          <w:tab w:pos="1351" w:val="left" w:leader="none"/>
          <w:tab w:pos="1352" w:val="left" w:leader="none"/>
        </w:tabs>
        <w:spacing w:line="240" w:lineRule="auto" w:before="0" w:after="0"/>
        <w:ind w:left="1351" w:right="0" w:hanging="1134"/>
        <w:jc w:val="left"/>
      </w:pPr>
      <w:bookmarkStart w:name="9.23.4 [Deleted]" w:id="2746"/>
      <w:bookmarkEnd w:id="2746"/>
      <w:r>
        <w:rPr>
          <w:b w:val="0"/>
        </w:rPr>
      </w:r>
      <w:bookmarkStart w:name="_bookmark1122" w:id="2747"/>
      <w:bookmarkEnd w:id="2747"/>
      <w:r>
        <w:rPr>
          <w:b w:val="0"/>
        </w:rPr>
      </w:r>
      <w:bookmarkStart w:name="_bookmark1122" w:id="2748"/>
      <w:bookmarkEnd w:id="2748"/>
      <w:r>
        <w:rPr/>
        <w:t>[Deleted]</w:t>
      </w:r>
    </w:p>
    <w:p>
      <w:pPr>
        <w:pStyle w:val="BodyText"/>
        <w:spacing w:before="10"/>
        <w:ind w:firstLine="0"/>
        <w:jc w:val="left"/>
        <w:rPr>
          <w:rFonts w:ascii="Arial"/>
          <w:b/>
          <w:sz w:val="20"/>
        </w:rPr>
      </w:pPr>
    </w:p>
    <w:p>
      <w:pPr>
        <w:pStyle w:val="Heading3"/>
        <w:numPr>
          <w:ilvl w:val="1"/>
          <w:numId w:val="681"/>
        </w:numPr>
        <w:tabs>
          <w:tab w:pos="1351" w:val="left" w:leader="none"/>
          <w:tab w:pos="1353" w:val="left" w:leader="none"/>
        </w:tabs>
        <w:spacing w:line="240" w:lineRule="auto" w:before="0" w:after="0"/>
        <w:ind w:left="1352" w:right="0" w:hanging="1135"/>
        <w:jc w:val="left"/>
      </w:pPr>
      <w:bookmarkStart w:name="9.24 Transitional Arrangements" w:id="2749"/>
      <w:bookmarkEnd w:id="2749"/>
      <w:r>
        <w:rPr>
          <w:b w:val="0"/>
        </w:rPr>
      </w:r>
      <w:bookmarkStart w:name="_bookmark1123" w:id="2750"/>
      <w:bookmarkEnd w:id="2750"/>
      <w:r>
        <w:rPr>
          <w:b w:val="0"/>
        </w:rPr>
      </w:r>
      <w:bookmarkStart w:name="_bookmark1123" w:id="2751"/>
      <w:bookmarkEnd w:id="2751"/>
      <w:r>
        <w:rPr/>
        <w:t>T</w:t>
      </w:r>
      <w:r>
        <w:rPr/>
        <w:t>ransitional</w:t>
      </w:r>
      <w:r>
        <w:rPr>
          <w:spacing w:val="-1"/>
        </w:rPr>
        <w:t> </w:t>
      </w:r>
      <w:r>
        <w:rPr/>
        <w:t>Arrangements</w:t>
      </w:r>
    </w:p>
    <w:p>
      <w:pPr>
        <w:pStyle w:val="Heading4"/>
        <w:numPr>
          <w:ilvl w:val="2"/>
          <w:numId w:val="681"/>
        </w:numPr>
        <w:tabs>
          <w:tab w:pos="1351" w:val="left" w:leader="none"/>
          <w:tab w:pos="1352" w:val="left" w:leader="none"/>
        </w:tabs>
        <w:spacing w:line="240" w:lineRule="auto" w:before="240" w:after="0"/>
        <w:ind w:left="1351" w:right="0" w:hanging="1134"/>
        <w:jc w:val="left"/>
      </w:pPr>
      <w:bookmarkStart w:name="9.24.1 Chapter 7 - Metering" w:id="2752"/>
      <w:bookmarkEnd w:id="2752"/>
      <w:r>
        <w:rPr>
          <w:b w:val="0"/>
        </w:rPr>
      </w:r>
      <w:bookmarkStart w:name="_bookmark1124" w:id="2753"/>
      <w:bookmarkEnd w:id="2753"/>
      <w:r>
        <w:rPr>
          <w:b w:val="0"/>
        </w:rPr>
      </w:r>
      <w:bookmarkStart w:name="_bookmark1124" w:id="2754"/>
      <w:bookmarkEnd w:id="2754"/>
      <w:r>
        <w:rPr/>
        <w:t>Chapte</w:t>
      </w:r>
      <w:r>
        <w:rPr/>
        <w:t>r 7 -</w:t>
      </w:r>
      <w:r>
        <w:rPr>
          <w:spacing w:val="-3"/>
        </w:rPr>
        <w:t> </w:t>
      </w:r>
      <w:r>
        <w:rPr/>
        <w:t>Metering</w:t>
      </w:r>
    </w:p>
    <w:p>
      <w:pPr>
        <w:pStyle w:val="BodyText"/>
        <w:ind w:left="1352" w:right="415" w:firstLine="0"/>
        <w:jc w:val="left"/>
      </w:pPr>
      <w:r>
        <w:rPr/>
        <w:t>The transitional metering provisions set out in schedule 9G1 apply to the Australian Capital Territory in respect of Chapter 7.</w:t>
      </w:r>
    </w:p>
    <w:p>
      <w:pPr>
        <w:pStyle w:val="BodyText"/>
        <w:spacing w:before="10"/>
        <w:ind w:firstLine="0"/>
        <w:jc w:val="left"/>
        <w:rPr>
          <w:sz w:val="20"/>
        </w:rPr>
      </w:pPr>
    </w:p>
    <w:p>
      <w:pPr>
        <w:pStyle w:val="Heading4"/>
        <w:numPr>
          <w:ilvl w:val="2"/>
          <w:numId w:val="681"/>
        </w:numPr>
        <w:tabs>
          <w:tab w:pos="1351" w:val="left" w:leader="none"/>
          <w:tab w:pos="1352" w:val="left" w:leader="none"/>
        </w:tabs>
        <w:spacing w:line="240" w:lineRule="auto" w:before="0" w:after="0"/>
        <w:ind w:left="1351" w:right="0" w:hanging="1134"/>
        <w:jc w:val="left"/>
      </w:pPr>
      <w:bookmarkStart w:name="9.24.2 [Deleted]" w:id="2755"/>
      <w:bookmarkEnd w:id="2755"/>
      <w:r>
        <w:rPr>
          <w:b w:val="0"/>
        </w:rPr>
      </w:r>
      <w:bookmarkStart w:name="_bookmark1125" w:id="2756"/>
      <w:bookmarkEnd w:id="2756"/>
      <w:r>
        <w:rPr>
          <w:b w:val="0"/>
        </w:rPr>
      </w:r>
      <w:bookmarkStart w:name="_bookmark1125" w:id="2757"/>
      <w:bookmarkEnd w:id="2757"/>
      <w:r>
        <w:rPr/>
        <w:t>[Deleted]</w:t>
      </w:r>
    </w:p>
    <w:p>
      <w:pPr>
        <w:pStyle w:val="BodyText"/>
        <w:spacing w:before="10"/>
        <w:ind w:firstLine="0"/>
        <w:jc w:val="left"/>
        <w:rPr>
          <w:rFonts w:ascii="Arial"/>
          <w:b/>
          <w:sz w:val="20"/>
        </w:rPr>
      </w:pPr>
    </w:p>
    <w:p>
      <w:pPr>
        <w:pStyle w:val="Heading3"/>
        <w:numPr>
          <w:ilvl w:val="1"/>
          <w:numId w:val="682"/>
        </w:numPr>
        <w:tabs>
          <w:tab w:pos="725" w:val="left" w:leader="none"/>
          <w:tab w:pos="1351" w:val="left" w:leader="none"/>
        </w:tabs>
        <w:spacing w:line="240" w:lineRule="auto" w:before="0" w:after="0"/>
        <w:ind w:left="724" w:right="0" w:hanging="507"/>
        <w:jc w:val="left"/>
      </w:pPr>
      <w:bookmarkStart w:name="9.24A [Deleted]" w:id="2758"/>
      <w:bookmarkEnd w:id="2758"/>
      <w:r>
        <w:rPr>
          <w:b w:val="0"/>
        </w:rPr>
      </w:r>
      <w:bookmarkStart w:name="_bookmark1126" w:id="2759"/>
      <w:bookmarkEnd w:id="2759"/>
      <w:r>
        <w:rPr>
          <w:b w:val="0"/>
        </w:rPr>
      </w:r>
      <w:bookmarkStart w:name="_bookmark1126" w:id="2760"/>
      <w:bookmarkEnd w:id="2760"/>
      <w:r>
        <w:rPr/>
        <w:t>A</w:t>
      </w:r>
      <w:r>
        <w:rPr/>
        <w:tab/>
        <w:t>[Deleted]</w:t>
      </w:r>
    </w:p>
    <w:p>
      <w:pPr>
        <w:tabs>
          <w:tab w:pos="1352" w:val="left" w:leader="none"/>
          <w:tab w:pos="9317" w:val="left" w:leader="none"/>
        </w:tabs>
        <w:spacing w:before="240"/>
        <w:ind w:left="218" w:right="0" w:firstLine="0"/>
        <w:jc w:val="left"/>
        <w:rPr>
          <w:rFonts w:ascii="Arial"/>
          <w:b/>
          <w:sz w:val="28"/>
        </w:rPr>
      </w:pPr>
      <w:bookmarkStart w:name="Part D Jurisdictional Derogations for So" w:id="2761"/>
      <w:bookmarkEnd w:id="2761"/>
      <w:r>
        <w:rPr/>
      </w:r>
      <w:bookmarkStart w:name="_bookmark1127" w:id="2762"/>
      <w:bookmarkEnd w:id="2762"/>
      <w:r>
        <w:rPr/>
      </w:r>
      <w:r>
        <w:rPr>
          <w:rFonts w:ascii="Arial"/>
          <w:b/>
          <w:sz w:val="28"/>
          <w:shd w:fill="D9D9D9" w:color="auto" w:val="clear"/>
        </w:rPr>
        <w:t>Part D</w:t>
        <w:tab/>
        <w:t>Jurisdictional Derogations for South</w:t>
      </w:r>
      <w:r>
        <w:rPr>
          <w:rFonts w:ascii="Arial"/>
          <w:b/>
          <w:spacing w:val="-23"/>
          <w:sz w:val="28"/>
          <w:shd w:fill="D9D9D9" w:color="auto" w:val="clear"/>
        </w:rPr>
        <w:t> </w:t>
      </w:r>
      <w:r>
        <w:rPr>
          <w:rFonts w:ascii="Arial"/>
          <w:b/>
          <w:sz w:val="28"/>
          <w:shd w:fill="D9D9D9" w:color="auto" w:val="clear"/>
        </w:rPr>
        <w:t>Australia</w:t>
        <w:tab/>
      </w:r>
    </w:p>
    <w:p>
      <w:pPr>
        <w:pStyle w:val="Heading3"/>
        <w:numPr>
          <w:ilvl w:val="1"/>
          <w:numId w:val="682"/>
        </w:numPr>
        <w:tabs>
          <w:tab w:pos="1351" w:val="left" w:leader="none"/>
          <w:tab w:pos="1353" w:val="left" w:leader="none"/>
        </w:tabs>
        <w:spacing w:line="240" w:lineRule="auto" w:before="240" w:after="0"/>
        <w:ind w:left="1352" w:right="0" w:hanging="1135"/>
        <w:jc w:val="left"/>
      </w:pPr>
      <w:bookmarkStart w:name="9.25 Definitions" w:id="2763"/>
      <w:bookmarkEnd w:id="2763"/>
      <w:r>
        <w:rPr>
          <w:b w:val="0"/>
        </w:rPr>
      </w:r>
      <w:bookmarkStart w:name="_bookmark1128" w:id="2764"/>
      <w:bookmarkEnd w:id="2764"/>
      <w:r>
        <w:rPr>
          <w:b w:val="0"/>
        </w:rPr>
      </w:r>
      <w:bookmarkStart w:name="_bookmark1128" w:id="2765"/>
      <w:bookmarkEnd w:id="2765"/>
      <w:r>
        <w:rPr/>
        <w:t>Defini</w:t>
      </w:r>
      <w:r>
        <w:rPr/>
        <w:t>tions</w:t>
      </w:r>
    </w:p>
    <w:p>
      <w:pPr>
        <w:pStyle w:val="Heading4"/>
        <w:numPr>
          <w:ilvl w:val="2"/>
          <w:numId w:val="682"/>
        </w:numPr>
        <w:tabs>
          <w:tab w:pos="1351" w:val="left" w:leader="none"/>
          <w:tab w:pos="1352" w:val="left" w:leader="none"/>
        </w:tabs>
        <w:spacing w:line="240" w:lineRule="auto" w:before="240" w:after="0"/>
        <w:ind w:left="1351" w:right="0" w:hanging="1134"/>
        <w:jc w:val="left"/>
      </w:pPr>
      <w:bookmarkStart w:name="9.25.1 [Deleted]" w:id="2766"/>
      <w:bookmarkEnd w:id="2766"/>
      <w:r>
        <w:rPr>
          <w:b w:val="0"/>
        </w:rPr>
      </w:r>
      <w:bookmarkStart w:name="_bookmark1129" w:id="2767"/>
      <w:bookmarkEnd w:id="2767"/>
      <w:r>
        <w:rPr>
          <w:b w:val="0"/>
        </w:rPr>
      </w:r>
      <w:bookmarkStart w:name="_bookmark1129" w:id="2768"/>
      <w:bookmarkEnd w:id="2768"/>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5.2 Definitions" w:id="2769"/>
      <w:bookmarkEnd w:id="2769"/>
      <w:r>
        <w:rPr>
          <w:b w:val="0"/>
        </w:rPr>
      </w:r>
      <w:bookmarkStart w:name="_bookmark1130" w:id="2770"/>
      <w:bookmarkEnd w:id="2770"/>
      <w:r>
        <w:rPr>
          <w:b w:val="0"/>
        </w:rPr>
      </w:r>
      <w:bookmarkStart w:name="_bookmark1130" w:id="2771"/>
      <w:bookmarkEnd w:id="2771"/>
      <w:r>
        <w:rPr/>
        <w:t>Definition</w:t>
      </w:r>
      <w:r>
        <w:rPr/>
        <w:t>s</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For the purposes of this Part D, a word or expression defined in the glossary in Chapter 10 has the meaning given to it in the glossary unless it is referred to in column 1 of the table in clause</w:t>
      </w:r>
      <w:r>
        <w:rPr>
          <w:spacing w:val="-2"/>
          <w:sz w:val="24"/>
        </w:rPr>
        <w:t> </w:t>
      </w:r>
      <w:r>
        <w:rPr>
          <w:sz w:val="24"/>
        </w:rPr>
        <w:t>9.25.2(b).</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For the purposes of this Part D, a word or expression referred to in column 1 of the following table has the meaning given to it in column 2 of the</w:t>
      </w:r>
      <w:r>
        <w:rPr>
          <w:spacing w:val="-5"/>
          <w:sz w:val="24"/>
        </w:rPr>
        <w:t> </w:t>
      </w:r>
      <w:r>
        <w:rPr>
          <w:sz w:val="24"/>
        </w:rPr>
        <w:t>table:</w:t>
      </w:r>
    </w:p>
    <w:p>
      <w:pPr>
        <w:spacing w:after="0" w:line="240" w:lineRule="auto"/>
        <w:jc w:val="both"/>
        <w:rPr>
          <w:sz w:val="24"/>
        </w:rPr>
        <w:sectPr>
          <w:pgSz w:w="11910" w:h="16840"/>
          <w:pgMar w:header="686" w:footer="637" w:top="1320" w:bottom="820" w:left="1200" w:right="1000"/>
        </w:sectPr>
      </w:pPr>
    </w:p>
    <w:p>
      <w:pPr>
        <w:pStyle w:val="BodyText"/>
        <w:spacing w:before="7" w:after="1"/>
        <w:ind w:firstLine="0"/>
        <w:jc w:val="left"/>
        <w:rPr>
          <w:sz w:val="19"/>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customer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sz w:val="24"/>
              </w:rPr>
              <w:t>A customer as defined in the </w:t>
            </w:r>
            <w:r>
              <w:rPr>
                <w:i/>
                <w:sz w:val="24"/>
              </w:rPr>
              <w:t>Electricity Act</w:t>
            </w:r>
          </w:p>
        </w:tc>
      </w:tr>
      <w:tr>
        <w:trPr>
          <w:trHeight w:val="2723" w:hRule="atLeast"/>
        </w:trPr>
        <w:tc>
          <w:tcPr>
            <w:tcW w:w="2650" w:type="dxa"/>
            <w:tcBorders>
              <w:top w:val="single" w:sz="4" w:space="0" w:color="000000"/>
              <w:bottom w:val="single" w:sz="4" w:space="0" w:color="000000"/>
              <w:right w:val="single" w:sz="4" w:space="0" w:color="000000"/>
            </w:tcBorders>
          </w:tcPr>
          <w:p>
            <w:pPr>
              <w:pStyle w:val="TableParagraph"/>
              <w:ind w:left="40" w:right="581"/>
              <w:rPr>
                <w:b/>
                <w:sz w:val="24"/>
              </w:rPr>
            </w:pPr>
            <w:r>
              <w:rPr>
                <w:b/>
                <w:sz w:val="24"/>
              </w:rPr>
              <w:t>Distribution Lessor Corporation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9"/>
              <w:rPr>
                <w:sz w:val="24"/>
              </w:rPr>
            </w:pPr>
            <w:r>
              <w:rPr>
                <w:sz w:val="24"/>
              </w:rPr>
              <w:t>A subsidiary of the Treasurer of the State of South Australia established by the </w:t>
            </w:r>
            <w:r>
              <w:rPr>
                <w:i/>
                <w:sz w:val="24"/>
              </w:rPr>
              <w:t>Public Corporations </w:t>
            </w:r>
            <w:r>
              <w:rPr>
                <w:i/>
                <w:sz w:val="24"/>
              </w:rPr>
              <w:t>(Distribution Lessor Corporation) Regulations 1999 </w:t>
            </w:r>
            <w:r>
              <w:rPr>
                <w:sz w:val="24"/>
              </w:rPr>
              <w:t>and known as "Distribution Lessor Corporation" and includes any entity which replaces or assumes rights or obligations of Distribution Lessor Corporation under a South Australian Distribution Network Lease, by way of succession, assignment, novation, ministerial direction, or otherwise.</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Electricity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i/>
                <w:sz w:val="24"/>
              </w:rPr>
              <w:t>Electricity Act </w:t>
            </w:r>
            <w:r>
              <w:rPr>
                <w:sz w:val="24"/>
              </w:rPr>
              <w:t>1996 (SA).</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ETSA Corporation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59"/>
              <w:rPr>
                <w:sz w:val="24"/>
              </w:rPr>
            </w:pPr>
            <w:r>
              <w:rPr>
                <w:sz w:val="24"/>
              </w:rPr>
              <w:t>The statutory corporation established pursuant to the </w:t>
            </w:r>
            <w:r>
              <w:rPr>
                <w:i/>
                <w:sz w:val="24"/>
              </w:rPr>
              <w:t>Electricity Corporations Act 1994 </w:t>
            </w:r>
            <w:r>
              <w:rPr>
                <w:sz w:val="24"/>
              </w:rPr>
              <w:t>and known as "ETSA Corporation" and includes its successors and assigns</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ETSA Power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73"/>
              <w:rPr>
                <w:sz w:val="24"/>
              </w:rPr>
            </w:pPr>
            <w:r>
              <w:rPr>
                <w:sz w:val="24"/>
              </w:rPr>
              <w:t>The statutory corporation established as a subsidiary of ETSA Corporation by the </w:t>
            </w:r>
            <w:r>
              <w:rPr>
                <w:i/>
                <w:sz w:val="24"/>
              </w:rPr>
              <w:t>Public Corporations </w:t>
            </w:r>
            <w:r>
              <w:rPr>
                <w:i/>
                <w:sz w:val="24"/>
              </w:rPr>
              <w:t>(ETSA Power) Regulations 1995</w:t>
            </w:r>
            <w:r>
              <w:rPr>
                <w:sz w:val="24"/>
              </w:rPr>
              <w:t>, and includes its successors and assigns.</w:t>
            </w:r>
          </w:p>
        </w:tc>
      </w:tr>
      <w:tr>
        <w:trPr>
          <w:trHeight w:val="2447" w:hRule="atLeast"/>
        </w:trPr>
        <w:tc>
          <w:tcPr>
            <w:tcW w:w="2650" w:type="dxa"/>
            <w:tcBorders>
              <w:top w:val="single" w:sz="4" w:space="0" w:color="000000"/>
              <w:bottom w:val="single" w:sz="4" w:space="0" w:color="000000"/>
              <w:right w:val="single" w:sz="4" w:space="0" w:color="000000"/>
            </w:tcBorders>
          </w:tcPr>
          <w:p>
            <w:pPr>
              <w:pStyle w:val="TableParagraph"/>
              <w:ind w:left="40" w:right="501"/>
              <w:rPr>
                <w:b/>
                <w:sz w:val="24"/>
              </w:rPr>
            </w:pPr>
            <w:r>
              <w:rPr>
                <w:b/>
                <w:sz w:val="24"/>
              </w:rPr>
              <w:t>ETSA Transmission Corporation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13"/>
              <w:rPr>
                <w:sz w:val="24"/>
              </w:rPr>
            </w:pPr>
            <w:r>
              <w:rPr>
                <w:sz w:val="24"/>
              </w:rPr>
              <w:t>The statutory corporation established pursuant to the </w:t>
            </w:r>
            <w:r>
              <w:rPr>
                <w:i/>
                <w:sz w:val="24"/>
              </w:rPr>
              <w:t>Electricity Corporations Act 1994 </w:t>
            </w:r>
            <w:r>
              <w:rPr>
                <w:sz w:val="24"/>
              </w:rPr>
              <w:t>and known as "ETSA Transmission Corporation" and includes any party which replaces or assumes rights or obligations of ETSA Transmission Corporation as a party to the South Australian Transmission Lease, by way of succession, assignment, novation, ministerial direction, or otherwise.</w:t>
            </w:r>
          </w:p>
        </w:tc>
      </w:tr>
      <w:tr>
        <w:trPr>
          <w:trHeight w:val="2723" w:hRule="atLeast"/>
        </w:trPr>
        <w:tc>
          <w:tcPr>
            <w:tcW w:w="2650" w:type="dxa"/>
            <w:tcBorders>
              <w:top w:val="single" w:sz="4" w:space="0" w:color="000000"/>
              <w:bottom w:val="single" w:sz="4" w:space="0" w:color="000000"/>
              <w:right w:val="single" w:sz="4" w:space="0" w:color="000000"/>
            </w:tcBorders>
          </w:tcPr>
          <w:p>
            <w:pPr>
              <w:pStyle w:val="TableParagraph"/>
              <w:ind w:left="40" w:right="675"/>
              <w:rPr>
                <w:b/>
                <w:sz w:val="24"/>
              </w:rPr>
            </w:pPr>
            <w:r>
              <w:rPr>
                <w:b/>
                <w:sz w:val="24"/>
              </w:rPr>
              <w:t>Generation Lessor Corporation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59"/>
              <w:rPr>
                <w:sz w:val="24"/>
              </w:rPr>
            </w:pPr>
            <w:r>
              <w:rPr>
                <w:sz w:val="24"/>
              </w:rPr>
              <w:t>A subsidiary of the Treasurer of the State of South Australia established by the </w:t>
            </w:r>
            <w:r>
              <w:rPr>
                <w:i/>
                <w:sz w:val="24"/>
              </w:rPr>
              <w:t>Public Corporations </w:t>
            </w:r>
            <w:r>
              <w:rPr>
                <w:i/>
                <w:sz w:val="24"/>
              </w:rPr>
              <w:t>(Generation Lessor Corporation) Regulations 1999 </w:t>
            </w:r>
            <w:r>
              <w:rPr>
                <w:sz w:val="24"/>
              </w:rPr>
              <w:t>and known as "Generation Lessor Corporation" and includes any entity which replaces or assumes rights or obligations of Generation Lessor Corporation under the South Australian Generation Leases, by way of succession, assignment, novation, ministerial direction, or otherwise.</w:t>
            </w:r>
          </w:p>
        </w:tc>
      </w:tr>
      <w:tr>
        <w:trPr>
          <w:trHeight w:val="1499" w:hRule="atLeast"/>
        </w:trPr>
        <w:tc>
          <w:tcPr>
            <w:tcW w:w="2650" w:type="dxa"/>
            <w:tcBorders>
              <w:top w:val="single" w:sz="4" w:space="0" w:color="000000"/>
              <w:bottom w:val="single" w:sz="4" w:space="0" w:color="000000"/>
              <w:right w:val="single" w:sz="4" w:space="0" w:color="000000"/>
            </w:tcBorders>
          </w:tcPr>
          <w:p>
            <w:pPr>
              <w:pStyle w:val="TableParagraph"/>
              <w:ind w:left="40" w:right="108"/>
              <w:rPr>
                <w:b/>
                <w:sz w:val="24"/>
              </w:rPr>
            </w:pPr>
            <w:r>
              <w:rPr>
                <w:b/>
                <w:sz w:val="24"/>
              </w:rPr>
              <w:t>Northern Power Station agreements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right="50"/>
              <w:rPr>
                <w:sz w:val="24"/>
              </w:rPr>
            </w:pPr>
            <w:r>
              <w:rPr>
                <w:sz w:val="24"/>
              </w:rPr>
              <w:t>The various agreements, documents and deeds in their form as at 1 July 1996 relating to the leasing and ownership of the </w:t>
            </w:r>
            <w:r>
              <w:rPr>
                <w:i/>
                <w:sz w:val="24"/>
              </w:rPr>
              <w:t>generating system </w:t>
            </w:r>
            <w:r>
              <w:rPr>
                <w:sz w:val="24"/>
              </w:rPr>
              <w:t>and associated </w:t>
            </w:r>
            <w:r>
              <w:rPr>
                <w:i/>
                <w:sz w:val="24"/>
              </w:rPr>
              <w:t>generating units </w:t>
            </w:r>
            <w:r>
              <w:rPr>
                <w:sz w:val="24"/>
              </w:rPr>
              <w:t>comprising the Northern Power Station entered into by ETSA Corporation and</w:t>
            </w:r>
            <w:r>
              <w:rPr>
                <w:spacing w:val="-5"/>
                <w:sz w:val="24"/>
              </w:rPr>
              <w:t> </w:t>
            </w:r>
            <w:r>
              <w:rPr>
                <w:sz w:val="24"/>
              </w:rPr>
              <w:t>now</w:t>
            </w:r>
          </w:p>
        </w:tc>
      </w:tr>
    </w:tbl>
    <w:p>
      <w:pPr>
        <w:spacing w:after="0" w:line="270" w:lineRule="atLeas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395" w:hRule="atLeast"/>
        </w:trPr>
        <w:tc>
          <w:tcPr>
            <w:tcW w:w="2650"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before="0"/>
              <w:rPr>
                <w:sz w:val="24"/>
              </w:rPr>
            </w:pPr>
            <w:r>
              <w:rPr>
                <w:sz w:val="24"/>
              </w:rPr>
              <w:t>under the control of SA Generation Corporation</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108"/>
              <w:rPr>
                <w:b/>
                <w:sz w:val="24"/>
              </w:rPr>
            </w:pPr>
            <w:r>
              <w:rPr>
                <w:b/>
                <w:sz w:val="24"/>
              </w:rPr>
              <w:t>Northern Power Station Participants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46"/>
              <w:rPr>
                <w:sz w:val="24"/>
              </w:rPr>
            </w:pPr>
            <w:r>
              <w:rPr>
                <w:sz w:val="24"/>
              </w:rPr>
              <w:t>The parties to the Northern Power Station agreements other than SA Generation Corporation.</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Osborne agreement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80"/>
              <w:rPr>
                <w:sz w:val="24"/>
              </w:rPr>
            </w:pPr>
            <w:r>
              <w:rPr>
                <w:sz w:val="24"/>
              </w:rPr>
              <w:t>The Agreement dated 4 June 1996 (in its form as at 1 July 1996) between ETSA Corporation and Osborne Cogeneration Pty Ltd and known as the "Osborne Power Purchase Agreement".</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368"/>
              <w:rPr>
                <w:b/>
                <w:sz w:val="24"/>
              </w:rPr>
            </w:pPr>
            <w:r>
              <w:rPr>
                <w:b/>
                <w:sz w:val="24"/>
              </w:rPr>
              <w:t>South Australian Distribution Network Lease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39"/>
              <w:rPr>
                <w:sz w:val="24"/>
              </w:rPr>
            </w:pPr>
            <w:r>
              <w:rPr>
                <w:sz w:val="24"/>
              </w:rPr>
              <w:t>Any lease with respect to the electricity </w:t>
            </w:r>
            <w:r>
              <w:rPr>
                <w:i/>
                <w:sz w:val="24"/>
              </w:rPr>
              <w:t>distribution </w:t>
            </w:r>
            <w:r>
              <w:rPr>
                <w:i/>
                <w:sz w:val="24"/>
              </w:rPr>
              <w:t>network</w:t>
            </w:r>
            <w:r>
              <w:rPr>
                <w:sz w:val="24"/>
              </w:rPr>
              <w:t>, plant and equipment owned by Distribution Lessor Corporation from time to time.</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ight="1048"/>
              <w:rPr>
                <w:b/>
                <w:sz w:val="24"/>
              </w:rPr>
            </w:pPr>
            <w:r>
              <w:rPr>
                <w:b/>
                <w:sz w:val="24"/>
              </w:rPr>
              <w:t>SA Generation Corporation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93"/>
              <w:jc w:val="both"/>
              <w:rPr>
                <w:sz w:val="24"/>
              </w:rPr>
            </w:pPr>
            <w:r>
              <w:rPr>
                <w:sz w:val="24"/>
              </w:rPr>
              <w:t>The statutory corporation established pursuant to the </w:t>
            </w:r>
            <w:r>
              <w:rPr>
                <w:i/>
                <w:sz w:val="24"/>
              </w:rPr>
              <w:t>Electricity Corporations Act 1994 </w:t>
            </w:r>
            <w:r>
              <w:rPr>
                <w:sz w:val="24"/>
              </w:rPr>
              <w:t>and known as "SA Generation Corporation" (trading as Optima Energy), and includes its successors and assigns</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675"/>
              <w:rPr>
                <w:b/>
                <w:sz w:val="24"/>
              </w:rPr>
            </w:pPr>
            <w:r>
              <w:rPr>
                <w:b/>
                <w:sz w:val="24"/>
              </w:rPr>
              <w:t>South Australian Generation Leases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66"/>
              <w:rPr>
                <w:sz w:val="24"/>
              </w:rPr>
            </w:pPr>
            <w:r>
              <w:rPr>
                <w:sz w:val="24"/>
              </w:rPr>
              <w:t>Leases with respect to electricity </w:t>
            </w:r>
            <w:r>
              <w:rPr>
                <w:i/>
                <w:sz w:val="24"/>
              </w:rPr>
              <w:t>generating systems </w:t>
            </w:r>
            <w:r>
              <w:rPr>
                <w:sz w:val="24"/>
              </w:rPr>
              <w:t>and associated </w:t>
            </w:r>
            <w:r>
              <w:rPr>
                <w:i/>
                <w:sz w:val="24"/>
              </w:rPr>
              <w:t>generating units </w:t>
            </w:r>
            <w:r>
              <w:rPr>
                <w:sz w:val="24"/>
              </w:rPr>
              <w:t>owned by Generation Lessor Corporation from time to time.</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821"/>
              <w:rPr>
                <w:b/>
                <w:sz w:val="24"/>
              </w:rPr>
            </w:pPr>
            <w:r>
              <w:rPr>
                <w:b/>
                <w:sz w:val="24"/>
              </w:rPr>
              <w:t>South Australian network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86"/>
              <w:rPr>
                <w:sz w:val="24"/>
              </w:rPr>
            </w:pPr>
            <w:r>
              <w:rPr>
                <w:sz w:val="24"/>
              </w:rPr>
              <w:t>A </w:t>
            </w:r>
            <w:r>
              <w:rPr>
                <w:i/>
                <w:sz w:val="24"/>
              </w:rPr>
              <w:t>network </w:t>
            </w:r>
            <w:r>
              <w:rPr>
                <w:sz w:val="24"/>
              </w:rPr>
              <w:t>situated in South Australia or deemed to be situated in South Australia by operation of clause 9.4.5.</w:t>
            </w:r>
          </w:p>
        </w:tc>
      </w:tr>
      <w:tr>
        <w:trPr>
          <w:trHeight w:val="1619" w:hRule="atLeast"/>
        </w:trPr>
        <w:tc>
          <w:tcPr>
            <w:tcW w:w="2650" w:type="dxa"/>
            <w:tcBorders>
              <w:top w:val="single" w:sz="4" w:space="0" w:color="000000"/>
              <w:bottom w:val="single" w:sz="4" w:space="0" w:color="000000"/>
              <w:right w:val="single" w:sz="4" w:space="0" w:color="000000"/>
            </w:tcBorders>
          </w:tcPr>
          <w:p>
            <w:pPr>
              <w:pStyle w:val="TableParagraph"/>
              <w:ind w:left="40" w:right="541"/>
              <w:rPr>
                <w:b/>
                <w:sz w:val="24"/>
              </w:rPr>
            </w:pPr>
            <w:r>
              <w:rPr>
                <w:b/>
                <w:sz w:val="24"/>
              </w:rPr>
              <w:t>South Australian Transmission Lease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44"/>
              <w:rPr>
                <w:sz w:val="24"/>
              </w:rPr>
            </w:pPr>
            <w:r>
              <w:rPr>
                <w:sz w:val="24"/>
              </w:rPr>
              <w:t>The various agreements, documents and deeds in their form as at 31 August 1998 relating to the leasing and ownership of the </w:t>
            </w:r>
            <w:r>
              <w:rPr>
                <w:i/>
                <w:sz w:val="24"/>
              </w:rPr>
              <w:t>transmission network </w:t>
            </w:r>
            <w:r>
              <w:rPr>
                <w:sz w:val="24"/>
              </w:rPr>
              <w:t>in South Australia entered into by ETSA Transmission Corporation.</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541"/>
              <w:rPr>
                <w:b/>
                <w:sz w:val="24"/>
              </w:rPr>
            </w:pPr>
            <w:r>
              <w:rPr>
                <w:b/>
                <w:sz w:val="24"/>
              </w:rPr>
              <w:t>South Australian Transmission Lease Participants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33"/>
              <w:rPr>
                <w:sz w:val="24"/>
              </w:rPr>
            </w:pPr>
            <w:r>
              <w:rPr>
                <w:sz w:val="24"/>
              </w:rPr>
              <w:t>The parties to the South Australian Transmission Lease other than ETSA Transmission Corporation.</w:t>
            </w:r>
          </w:p>
        </w:tc>
      </w:tr>
      <w:tr>
        <w:trPr>
          <w:trHeight w:val="1895" w:hRule="atLeast"/>
        </w:trPr>
        <w:tc>
          <w:tcPr>
            <w:tcW w:w="2650" w:type="dxa"/>
            <w:tcBorders>
              <w:top w:val="single" w:sz="4" w:space="0" w:color="000000"/>
              <w:right w:val="single" w:sz="4" w:space="0" w:color="000000"/>
            </w:tcBorders>
          </w:tcPr>
          <w:p>
            <w:pPr>
              <w:pStyle w:val="TableParagraph"/>
              <w:ind w:left="40" w:right="234"/>
              <w:rPr>
                <w:b/>
                <w:sz w:val="24"/>
              </w:rPr>
            </w:pPr>
            <w:r>
              <w:rPr>
                <w:b/>
                <w:sz w:val="24"/>
              </w:rPr>
              <w:t>South Australian Transmission Network Sub Sub Sub Lease</w:t>
            </w:r>
          </w:p>
        </w:tc>
        <w:tc>
          <w:tcPr>
            <w:tcW w:w="5287" w:type="dxa"/>
            <w:tcBorders>
              <w:top w:val="single" w:sz="4" w:space="0" w:color="000000"/>
              <w:left w:val="single" w:sz="4" w:space="0" w:color="000000"/>
              <w:right w:val="single" w:sz="4" w:space="0" w:color="000000"/>
            </w:tcBorders>
          </w:tcPr>
          <w:p>
            <w:pPr>
              <w:pStyle w:val="TableParagraph"/>
              <w:ind w:right="70"/>
              <w:rPr>
                <w:sz w:val="24"/>
              </w:rPr>
            </w:pPr>
            <w:r>
              <w:rPr>
                <w:sz w:val="24"/>
              </w:rPr>
              <w:t>Any sub sub sub-lease (together with any lease or agreement to lease extending beyond the termination date of such sub sub sub lease) with respect to the electricity </w:t>
            </w:r>
            <w:r>
              <w:rPr>
                <w:i/>
                <w:sz w:val="24"/>
              </w:rPr>
              <w:t>transmission network</w:t>
            </w:r>
            <w:r>
              <w:rPr>
                <w:sz w:val="24"/>
              </w:rPr>
              <w:t>, plant and equipment of which ETSA Transmission Corporation is sub sub sub-lessor from time to time.</w:t>
            </w:r>
          </w:p>
        </w:tc>
      </w:tr>
    </w:tbl>
    <w:p>
      <w:pPr>
        <w:pStyle w:val="BodyText"/>
        <w:spacing w:before="8"/>
        <w:ind w:firstLine="0"/>
        <w:jc w:val="left"/>
        <w:rPr>
          <w:sz w:val="26"/>
        </w:rPr>
      </w:pPr>
    </w:p>
    <w:p>
      <w:pPr>
        <w:pStyle w:val="Heading4"/>
        <w:numPr>
          <w:ilvl w:val="3"/>
          <w:numId w:val="682"/>
        </w:numPr>
        <w:tabs>
          <w:tab w:pos="1978" w:val="left" w:leader="none"/>
          <w:tab w:pos="1980" w:val="left" w:leader="none"/>
        </w:tabs>
        <w:spacing w:line="240" w:lineRule="auto" w:before="90" w:after="0"/>
        <w:ind w:left="1979" w:right="0" w:hanging="628"/>
        <w:jc w:val="left"/>
        <w:rPr>
          <w:rFonts w:ascii="Times New Roman"/>
        </w:rPr>
      </w:pPr>
      <w:r>
        <w:rPr>
          <w:rFonts w:ascii="Times New Roman"/>
        </w:rPr>
        <w:t>[Deleted]</w:t>
      </w:r>
    </w:p>
    <w:p>
      <w:pPr>
        <w:pStyle w:val="ListParagraph"/>
        <w:numPr>
          <w:ilvl w:val="3"/>
          <w:numId w:val="682"/>
        </w:numPr>
        <w:tabs>
          <w:tab w:pos="1918" w:val="left" w:leader="none"/>
          <w:tab w:pos="1919" w:val="left" w:leader="none"/>
        </w:tabs>
        <w:spacing w:line="240" w:lineRule="auto" w:before="120" w:after="0"/>
        <w:ind w:left="1919" w:right="415" w:hanging="567"/>
        <w:jc w:val="left"/>
        <w:rPr>
          <w:sz w:val="24"/>
        </w:rPr>
      </w:pPr>
      <w:r>
        <w:rPr>
          <w:sz w:val="24"/>
        </w:rPr>
        <w:t>For the purposes of the </w:t>
      </w:r>
      <w:r>
        <w:rPr>
          <w:i/>
          <w:sz w:val="24"/>
        </w:rPr>
        <w:t>Rules </w:t>
      </w:r>
      <w:r>
        <w:rPr>
          <w:b/>
          <w:i/>
          <w:sz w:val="24"/>
        </w:rPr>
        <w:t>applicable regulatory instruments </w:t>
      </w:r>
      <w:r>
        <w:rPr>
          <w:sz w:val="24"/>
        </w:rPr>
        <w:t>includes the following South Australian instruments in relation only to the</w:t>
      </w:r>
      <w:r>
        <w:rPr>
          <w:spacing w:val="43"/>
          <w:sz w:val="24"/>
        </w:rPr>
        <w:t> </w:t>
      </w:r>
      <w:r>
        <w:rPr>
          <w:sz w:val="24"/>
        </w:rPr>
        <w:t>regulation</w:t>
      </w:r>
    </w:p>
    <w:p>
      <w:pPr>
        <w:spacing w:after="0" w:line="240" w:lineRule="auto"/>
        <w:jc w:val="left"/>
        <w:rPr>
          <w:sz w:val="24"/>
        </w:rPr>
        <w:sectPr>
          <w:pgSz w:w="11910" w:h="16840"/>
          <w:pgMar w:header="686" w:footer="637" w:top="1320" w:bottom="820" w:left="1200" w:right="1000"/>
        </w:sectPr>
      </w:pPr>
    </w:p>
    <w:p>
      <w:pPr>
        <w:spacing w:before="83"/>
        <w:ind w:left="1919" w:right="415" w:firstLine="0"/>
        <w:jc w:val="left"/>
        <w:rPr>
          <w:sz w:val="24"/>
        </w:rPr>
      </w:pPr>
      <w:r>
        <w:rPr>
          <w:sz w:val="24"/>
        </w:rPr>
        <w:t>of </w:t>
      </w:r>
      <w:r>
        <w:rPr>
          <w:i/>
          <w:sz w:val="24"/>
        </w:rPr>
        <w:t>networks</w:t>
      </w:r>
      <w:r>
        <w:rPr>
          <w:sz w:val="24"/>
        </w:rPr>
        <w:t>, </w:t>
      </w:r>
      <w:r>
        <w:rPr>
          <w:i/>
          <w:sz w:val="24"/>
        </w:rPr>
        <w:t>network services </w:t>
      </w:r>
      <w:r>
        <w:rPr>
          <w:sz w:val="24"/>
        </w:rPr>
        <w:t>and retail sales of electricity in South Australia:</w:t>
      </w:r>
    </w:p>
    <w:p>
      <w:pPr>
        <w:pStyle w:val="ListParagraph"/>
        <w:numPr>
          <w:ilvl w:val="4"/>
          <w:numId w:val="68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w:t>
      </w:r>
      <w:r>
        <w:rPr>
          <w:i/>
          <w:spacing w:val="-1"/>
          <w:sz w:val="24"/>
        </w:rPr>
        <w:t> </w:t>
      </w:r>
      <w:r>
        <w:rPr>
          <w:i/>
          <w:sz w:val="24"/>
        </w:rPr>
        <w:t>Act</w:t>
      </w:r>
      <w:r>
        <w:rPr>
          <w:sz w:val="24"/>
        </w:rPr>
        <w:t>;</w:t>
      </w:r>
    </w:p>
    <w:p>
      <w:pPr>
        <w:pStyle w:val="ListParagraph"/>
        <w:numPr>
          <w:ilvl w:val="4"/>
          <w:numId w:val="682"/>
        </w:numPr>
        <w:tabs>
          <w:tab w:pos="2485" w:val="left" w:leader="none"/>
          <w:tab w:pos="2487" w:val="left" w:leader="none"/>
        </w:tabs>
        <w:spacing w:line="240" w:lineRule="auto" w:before="120" w:after="0"/>
        <w:ind w:left="2486" w:right="0" w:hanging="568"/>
        <w:jc w:val="left"/>
        <w:rPr>
          <w:sz w:val="24"/>
        </w:rPr>
      </w:pPr>
      <w:r>
        <w:rPr>
          <w:sz w:val="24"/>
        </w:rPr>
        <w:t>all codes and regulations made and licences issued under</w:t>
      </w:r>
      <w:r>
        <w:rPr>
          <w:spacing w:val="14"/>
          <w:sz w:val="24"/>
        </w:rPr>
        <w:t> </w:t>
      </w:r>
      <w:r>
        <w:rPr>
          <w:sz w:val="24"/>
        </w:rPr>
        <w:t>the</w:t>
      </w:r>
    </w:p>
    <w:p>
      <w:pPr>
        <w:spacing w:before="0"/>
        <w:ind w:left="2486" w:right="0" w:firstLine="0"/>
        <w:jc w:val="left"/>
        <w:rPr>
          <w:sz w:val="24"/>
        </w:rPr>
      </w:pPr>
      <w:r>
        <w:rPr>
          <w:i/>
          <w:sz w:val="24"/>
        </w:rPr>
        <w:t>Electricity Act</w:t>
      </w:r>
      <w:r>
        <w:rPr>
          <w:sz w:val="24"/>
        </w:rPr>
        <w:t>;</w:t>
      </w:r>
    </w:p>
    <w:p>
      <w:pPr>
        <w:pStyle w:val="ListParagraph"/>
        <w:numPr>
          <w:ilvl w:val="4"/>
          <w:numId w:val="682"/>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those</w:t>
      </w:r>
      <w:r>
        <w:rPr>
          <w:spacing w:val="-2"/>
          <w:sz w:val="24"/>
        </w:rPr>
        <w:t> </w:t>
      </w:r>
      <w:r>
        <w:rPr>
          <w:sz w:val="24"/>
        </w:rPr>
        <w:t>licences;</w:t>
      </w:r>
    </w:p>
    <w:p>
      <w:pPr>
        <w:pStyle w:val="ListParagraph"/>
        <w:numPr>
          <w:ilvl w:val="4"/>
          <w:numId w:val="682"/>
        </w:numPr>
        <w:tabs>
          <w:tab w:pos="2485" w:val="left" w:leader="none"/>
          <w:tab w:pos="2487" w:val="left" w:leader="none"/>
        </w:tabs>
        <w:spacing w:line="240" w:lineRule="auto" w:before="120" w:after="0"/>
        <w:ind w:left="2486" w:right="417" w:hanging="567"/>
        <w:jc w:val="left"/>
        <w:rPr>
          <w:sz w:val="24"/>
        </w:rPr>
      </w:pPr>
      <w:r>
        <w:rPr>
          <w:sz w:val="24"/>
        </w:rPr>
        <w:t>the Electricity Pricing Order made under section 35B of the </w:t>
      </w:r>
      <w:r>
        <w:rPr>
          <w:i/>
          <w:sz w:val="24"/>
        </w:rPr>
        <w:t>Electricity </w:t>
      </w:r>
      <w:r>
        <w:rPr>
          <w:i/>
          <w:sz w:val="24"/>
        </w:rPr>
        <w:t>Act</w:t>
      </w:r>
      <w:r>
        <w:rPr>
          <w:sz w:val="24"/>
        </w:rPr>
        <w:t>;</w:t>
      </w:r>
    </w:p>
    <w:p>
      <w:pPr>
        <w:pStyle w:val="ListParagraph"/>
        <w:numPr>
          <w:ilvl w:val="4"/>
          <w:numId w:val="68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Corporations (Restructuring and Disposal) Act</w:t>
      </w:r>
      <w:r>
        <w:rPr>
          <w:i/>
          <w:spacing w:val="-3"/>
          <w:sz w:val="24"/>
        </w:rPr>
        <w:t> </w:t>
      </w:r>
      <w:r>
        <w:rPr>
          <w:sz w:val="24"/>
        </w:rPr>
        <w:t>1999;</w:t>
      </w:r>
    </w:p>
    <w:p>
      <w:pPr>
        <w:pStyle w:val="ListParagraph"/>
        <w:numPr>
          <w:ilvl w:val="4"/>
          <w:numId w:val="68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Essential Services Commission Act </w:t>
      </w:r>
      <w:r>
        <w:rPr>
          <w:sz w:val="24"/>
        </w:rPr>
        <w:t>2002;</w:t>
      </w:r>
      <w:r>
        <w:rPr>
          <w:spacing w:val="-2"/>
          <w:sz w:val="24"/>
        </w:rPr>
        <w:t> </w:t>
      </w:r>
      <w:r>
        <w:rPr>
          <w:sz w:val="24"/>
        </w:rPr>
        <w:t>and</w:t>
      </w:r>
    </w:p>
    <w:p>
      <w:pPr>
        <w:pStyle w:val="ListParagraph"/>
        <w:numPr>
          <w:ilvl w:val="4"/>
          <w:numId w:val="682"/>
        </w:numPr>
        <w:tabs>
          <w:tab w:pos="2486" w:val="left" w:leader="none"/>
        </w:tabs>
        <w:spacing w:line="240" w:lineRule="auto" w:before="120" w:after="0"/>
        <w:ind w:left="2486" w:right="414" w:hanging="567"/>
        <w:jc w:val="left"/>
        <w:rPr>
          <w:sz w:val="24"/>
        </w:rPr>
      </w:pPr>
      <w:r>
        <w:rPr>
          <w:sz w:val="24"/>
        </w:rPr>
        <w:t>all regulations and determinations made under the </w:t>
      </w:r>
      <w:r>
        <w:rPr>
          <w:i/>
          <w:sz w:val="24"/>
        </w:rPr>
        <w:t>Essential Services </w:t>
      </w:r>
      <w:r>
        <w:rPr>
          <w:i/>
          <w:sz w:val="24"/>
        </w:rPr>
        <w:t>Commission Act </w:t>
      </w:r>
      <w:r>
        <w:rPr>
          <w:sz w:val="24"/>
        </w:rPr>
        <w:t>2002.</w:t>
      </w:r>
    </w:p>
    <w:p>
      <w:pPr>
        <w:pStyle w:val="BodyText"/>
        <w:spacing w:before="10"/>
        <w:ind w:firstLine="0"/>
        <w:jc w:val="left"/>
        <w:rPr>
          <w:sz w:val="20"/>
        </w:rPr>
      </w:pPr>
    </w:p>
    <w:p>
      <w:pPr>
        <w:pStyle w:val="Heading3"/>
        <w:numPr>
          <w:ilvl w:val="1"/>
          <w:numId w:val="682"/>
        </w:numPr>
        <w:tabs>
          <w:tab w:pos="1351" w:val="left" w:leader="none"/>
          <w:tab w:pos="1353" w:val="left" w:leader="none"/>
        </w:tabs>
        <w:spacing w:line="240" w:lineRule="auto" w:before="0" w:after="0"/>
        <w:ind w:left="1352" w:right="1651" w:hanging="1134"/>
        <w:jc w:val="left"/>
      </w:pPr>
      <w:bookmarkStart w:name="9.26 Transitional Arrangements for Chapt" w:id="2772"/>
      <w:bookmarkEnd w:id="2772"/>
      <w:r>
        <w:rPr>
          <w:b w:val="0"/>
        </w:rPr>
      </w:r>
      <w:bookmarkStart w:name="_bookmark1131" w:id="2773"/>
      <w:bookmarkEnd w:id="2773"/>
      <w:r>
        <w:rPr>
          <w:b w:val="0"/>
        </w:rPr>
      </w:r>
      <w:bookmarkStart w:name="_bookmark1131" w:id="2774"/>
      <w:bookmarkEnd w:id="2774"/>
      <w:r>
        <w:rPr/>
        <w:t>T</w:t>
      </w:r>
      <w:r>
        <w:rPr/>
        <w:t>ransitional Arrangements for Chapter 2 - Registered Participants, Registration And Cross Border</w:t>
      </w:r>
      <w:r>
        <w:rPr>
          <w:spacing w:val="-30"/>
        </w:rPr>
        <w:t> </w:t>
      </w:r>
      <w:r>
        <w:rPr/>
        <w:t>Networks</w:t>
      </w:r>
    </w:p>
    <w:p>
      <w:pPr>
        <w:pStyle w:val="Heading4"/>
        <w:numPr>
          <w:ilvl w:val="2"/>
          <w:numId w:val="682"/>
        </w:numPr>
        <w:tabs>
          <w:tab w:pos="1351" w:val="left" w:leader="none"/>
          <w:tab w:pos="1352" w:val="left" w:leader="none"/>
        </w:tabs>
        <w:spacing w:line="240" w:lineRule="auto" w:before="240" w:after="0"/>
        <w:ind w:left="1351" w:right="0" w:hanging="1134"/>
        <w:jc w:val="left"/>
      </w:pPr>
      <w:bookmarkStart w:name="9.26.1 Registration as a Generator" w:id="2775"/>
      <w:bookmarkEnd w:id="2775"/>
      <w:r>
        <w:rPr>
          <w:b w:val="0"/>
        </w:rPr>
      </w:r>
      <w:bookmarkStart w:name="_bookmark1132" w:id="2776"/>
      <w:bookmarkEnd w:id="2776"/>
      <w:r>
        <w:rPr>
          <w:b w:val="0"/>
        </w:rPr>
      </w:r>
      <w:bookmarkStart w:name="_bookmark1132" w:id="2777"/>
      <w:bookmarkEnd w:id="2777"/>
      <w:r>
        <w:rPr/>
        <w:t>Registratio</w:t>
      </w:r>
      <w:r>
        <w:rPr/>
        <w:t>n as a</w:t>
      </w:r>
      <w:r>
        <w:rPr>
          <w:spacing w:val="-4"/>
        </w:rPr>
        <w:t> </w:t>
      </w:r>
      <w:r>
        <w:rPr/>
        <w:t>Generator</w:t>
      </w:r>
    </w:p>
    <w:p>
      <w:pPr>
        <w:pStyle w:val="BodyText"/>
        <w:ind w:left="1352" w:firstLine="0"/>
      </w:pPr>
      <w:r>
        <w:rPr/>
        <w:t>For the purposes of the</w:t>
      </w:r>
      <w:r>
        <w:rPr>
          <w:spacing w:val="-4"/>
        </w:rPr>
        <w:t> </w:t>
      </w:r>
      <w:r>
        <w:rPr>
          <w:i/>
        </w:rPr>
        <w:t>Rules</w:t>
      </w:r>
      <w:r>
        <w:rPr/>
        <w:t>:</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ETSA Power and any one person that replaces or assumes rights or obligations of ETSA Power as party to the Osborne agreement, by way of succession, assignment, novation, ministerial direction, or otherwise, is deemed to be, and at all relevant times to have been, the person who must register as the </w:t>
      </w:r>
      <w:r>
        <w:rPr>
          <w:i/>
          <w:sz w:val="24"/>
        </w:rPr>
        <w:t>Generator </w:t>
      </w:r>
      <w:r>
        <w:rPr>
          <w:sz w:val="24"/>
        </w:rPr>
        <w:t>in relation to the </w:t>
      </w:r>
      <w:r>
        <w:rPr>
          <w:i/>
          <w:sz w:val="24"/>
        </w:rPr>
        <w:t>generating system </w:t>
      </w:r>
      <w:r>
        <w:rPr>
          <w:sz w:val="24"/>
        </w:rPr>
        <w:t>and associated </w:t>
      </w:r>
      <w:r>
        <w:rPr>
          <w:i/>
          <w:sz w:val="24"/>
        </w:rPr>
        <w:t>generating units </w:t>
      </w:r>
      <w:r>
        <w:rPr>
          <w:sz w:val="24"/>
        </w:rPr>
        <w:t>which are the subject of the Osborne</w:t>
      </w:r>
      <w:r>
        <w:rPr>
          <w:spacing w:val="-6"/>
          <w:sz w:val="24"/>
        </w:rPr>
        <w:t> </w:t>
      </w:r>
      <w:r>
        <w:rPr>
          <w:sz w:val="24"/>
        </w:rPr>
        <w:t>agreement;</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Osborne Cogeneration Pty Ltd is not to, and is not to be taken to be entitled to, and is to be taken to have been exempted from the requirement to, register as a </w:t>
      </w:r>
      <w:r>
        <w:rPr>
          <w:i/>
          <w:sz w:val="24"/>
        </w:rPr>
        <w:t>Generator </w:t>
      </w:r>
      <w:r>
        <w:rPr>
          <w:sz w:val="24"/>
        </w:rPr>
        <w:t>in relation to the </w:t>
      </w:r>
      <w:r>
        <w:rPr>
          <w:i/>
          <w:sz w:val="24"/>
        </w:rPr>
        <w:t>generating system </w:t>
      </w:r>
      <w:r>
        <w:rPr>
          <w:sz w:val="24"/>
        </w:rPr>
        <w:t>and associated </w:t>
      </w:r>
      <w:r>
        <w:rPr>
          <w:i/>
          <w:sz w:val="24"/>
        </w:rPr>
        <w:t>generating units </w:t>
      </w:r>
      <w:r>
        <w:rPr>
          <w:sz w:val="24"/>
        </w:rPr>
        <w:t>which are the subject of the Osborne</w:t>
      </w:r>
      <w:r>
        <w:rPr>
          <w:spacing w:val="-6"/>
          <w:sz w:val="24"/>
        </w:rPr>
        <w:t> </w:t>
      </w:r>
      <w:r>
        <w:rPr>
          <w:sz w:val="24"/>
        </w:rPr>
        <w:t>agreement;</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SA Generation Corporation and any person that replaces or assumes rights or obligations of SA Generation Corporation as party to the Northern Power Station agreements, by way of succession, assignment, novation, ministerial direction, or otherwise, is deemed to be, and at all relevant times to have been, the person that must register as the </w:t>
      </w:r>
      <w:r>
        <w:rPr>
          <w:i/>
          <w:sz w:val="24"/>
        </w:rPr>
        <w:t>Generator </w:t>
      </w:r>
      <w:r>
        <w:rPr>
          <w:sz w:val="24"/>
        </w:rPr>
        <w:t>(unless otherwise exempt) in relation to the </w:t>
      </w:r>
      <w:r>
        <w:rPr>
          <w:i/>
          <w:sz w:val="24"/>
        </w:rPr>
        <w:t>generating system </w:t>
      </w:r>
      <w:r>
        <w:rPr>
          <w:sz w:val="24"/>
        </w:rPr>
        <w:t>and associated </w:t>
      </w:r>
      <w:r>
        <w:rPr>
          <w:i/>
          <w:sz w:val="24"/>
        </w:rPr>
        <w:t>generating units </w:t>
      </w:r>
      <w:r>
        <w:rPr>
          <w:sz w:val="24"/>
        </w:rPr>
        <w:t>which are the subject of the Northern Power Station</w:t>
      </w:r>
      <w:r>
        <w:rPr>
          <w:spacing w:val="-13"/>
          <w:sz w:val="24"/>
        </w:rPr>
        <w:t> </w:t>
      </w:r>
      <w:r>
        <w:rPr>
          <w:sz w:val="24"/>
        </w:rPr>
        <w:t>agreements;</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the Northern Power Station Participants are not to, and are not to be taken to be entitled to, and are taken to have been exempted from the requirement to, register as a </w:t>
      </w:r>
      <w:r>
        <w:rPr>
          <w:i/>
          <w:sz w:val="24"/>
        </w:rPr>
        <w:t>Generator </w:t>
      </w:r>
      <w:r>
        <w:rPr>
          <w:sz w:val="24"/>
        </w:rPr>
        <w:t>in relation to the </w:t>
      </w:r>
      <w:r>
        <w:rPr>
          <w:i/>
          <w:sz w:val="24"/>
        </w:rPr>
        <w:t>generating system </w:t>
      </w:r>
      <w:r>
        <w:rPr>
          <w:sz w:val="24"/>
        </w:rPr>
        <w:t>and associated </w:t>
      </w:r>
      <w:r>
        <w:rPr>
          <w:i/>
          <w:sz w:val="24"/>
        </w:rPr>
        <w:t>generating units </w:t>
      </w:r>
      <w:r>
        <w:rPr>
          <w:sz w:val="24"/>
        </w:rPr>
        <w:t>which are the subject of the Northern Power Station agreements;</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clauses 9.26.1(a) and (b) will cease to have effect on the termination of the Osborne</w:t>
      </w:r>
      <w:r>
        <w:rPr>
          <w:spacing w:val="-2"/>
          <w:sz w:val="24"/>
        </w:rPr>
        <w:t> </w:t>
      </w:r>
      <w:r>
        <w:rPr>
          <w:sz w:val="24"/>
        </w:rPr>
        <w:t>agreement;</w:t>
      </w:r>
    </w:p>
    <w:p>
      <w:pPr>
        <w:pStyle w:val="ListParagraph"/>
        <w:numPr>
          <w:ilvl w:val="3"/>
          <w:numId w:val="682"/>
        </w:numPr>
        <w:tabs>
          <w:tab w:pos="1920" w:val="left" w:leader="none"/>
        </w:tabs>
        <w:spacing w:line="240" w:lineRule="auto" w:before="120" w:after="0"/>
        <w:ind w:left="1919" w:right="415" w:hanging="567"/>
        <w:jc w:val="both"/>
        <w:rPr>
          <w:sz w:val="24"/>
        </w:rPr>
      </w:pPr>
      <w:r>
        <w:rPr>
          <w:sz w:val="24"/>
        </w:rPr>
        <w:t>clauses 9.26.1(c) and (d) will cease to have effect on the termination of the last of the Northern Power Station</w:t>
      </w:r>
      <w:r>
        <w:rPr>
          <w:spacing w:val="-4"/>
          <w:sz w:val="24"/>
        </w:rPr>
        <w:t> </w:t>
      </w:r>
      <w:r>
        <w:rPr>
          <w:sz w:val="24"/>
        </w:rPr>
        <w:t>agreements;</w:t>
      </w:r>
    </w:p>
    <w:p>
      <w:pPr>
        <w:spacing w:after="0" w:line="240" w:lineRule="auto"/>
        <w:jc w:val="both"/>
        <w:rPr>
          <w:sz w:val="24"/>
        </w:rPr>
        <w:sectPr>
          <w:pgSz w:w="11910" w:h="16840"/>
          <w:pgMar w:header="686" w:footer="637" w:top="1320" w:bottom="820" w:left="1200" w:right="1000"/>
        </w:sectPr>
      </w:pPr>
    </w:p>
    <w:p>
      <w:pPr>
        <w:pStyle w:val="ListParagraph"/>
        <w:numPr>
          <w:ilvl w:val="3"/>
          <w:numId w:val="682"/>
        </w:numPr>
        <w:tabs>
          <w:tab w:pos="1919" w:val="left" w:leader="none"/>
        </w:tabs>
        <w:spacing w:line="240" w:lineRule="auto" w:before="83" w:after="0"/>
        <w:ind w:left="1919" w:right="415" w:hanging="567"/>
        <w:jc w:val="both"/>
        <w:rPr>
          <w:sz w:val="24"/>
        </w:rPr>
      </w:pPr>
      <w:r>
        <w:rPr>
          <w:sz w:val="24"/>
        </w:rPr>
        <w:t>Generation Lessor Corporation is not obliged to, and is not to be taken to </w:t>
      </w:r>
      <w:r>
        <w:rPr>
          <w:spacing w:val="-7"/>
          <w:sz w:val="24"/>
        </w:rPr>
        <w:t>be </w:t>
      </w:r>
      <w:r>
        <w:rPr>
          <w:sz w:val="24"/>
        </w:rPr>
        <w:t>entitled to, and is to be taken to have been exempted from the requirement to, register as a </w:t>
      </w:r>
      <w:r>
        <w:rPr>
          <w:i/>
          <w:sz w:val="24"/>
        </w:rPr>
        <w:t>Generator </w:t>
      </w:r>
      <w:r>
        <w:rPr>
          <w:sz w:val="24"/>
        </w:rPr>
        <w:t>in relation to the </w:t>
      </w:r>
      <w:r>
        <w:rPr>
          <w:i/>
          <w:sz w:val="24"/>
        </w:rPr>
        <w:t>generating system </w:t>
      </w:r>
      <w:r>
        <w:rPr>
          <w:sz w:val="24"/>
        </w:rPr>
        <w:t>and associated </w:t>
      </w:r>
      <w:r>
        <w:rPr>
          <w:i/>
          <w:sz w:val="24"/>
        </w:rPr>
        <w:t>generating units </w:t>
      </w:r>
      <w:r>
        <w:rPr>
          <w:sz w:val="24"/>
        </w:rPr>
        <w:t>in South Australia which are the subject of the South Australian Generation Leases;</w:t>
      </w:r>
      <w:r>
        <w:rPr>
          <w:spacing w:val="-5"/>
          <w:sz w:val="24"/>
        </w:rPr>
        <w:t> </w:t>
      </w:r>
      <w:r>
        <w:rPr>
          <w:sz w:val="24"/>
        </w:rPr>
        <w:t>and</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clause 9.26.1(g) will apply in respect of each South Australian Generation Lease from the time that lease becomes effective and will cease to have effect on the termination of that lease (or the termination of any renewal of that lease).</w:t>
      </w:r>
    </w:p>
    <w:p>
      <w:pPr>
        <w:pStyle w:val="BodyText"/>
        <w:spacing w:before="10"/>
        <w:ind w:firstLine="0"/>
        <w:jc w:val="left"/>
        <w:rPr>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6.2 Registration as a Customer" w:id="2778"/>
      <w:bookmarkEnd w:id="2778"/>
      <w:r>
        <w:rPr>
          <w:b w:val="0"/>
        </w:rPr>
      </w:r>
      <w:bookmarkStart w:name="_bookmark1133" w:id="2779"/>
      <w:bookmarkEnd w:id="2779"/>
      <w:r>
        <w:rPr>
          <w:b w:val="0"/>
        </w:rPr>
      </w:r>
      <w:bookmarkStart w:name="_bookmark1133" w:id="2780"/>
      <w:bookmarkEnd w:id="2780"/>
      <w:r>
        <w:rPr/>
        <w:t>Registratio</w:t>
      </w:r>
      <w:r>
        <w:rPr/>
        <w:t>n as a</w:t>
      </w:r>
      <w:r>
        <w:rPr>
          <w:spacing w:val="-23"/>
        </w:rPr>
        <w:t> </w:t>
      </w:r>
      <w:r>
        <w:rPr/>
        <w:t>Customer</w:t>
      </w:r>
    </w:p>
    <w:p>
      <w:pPr>
        <w:pStyle w:val="BodyText"/>
        <w:ind w:left="1352" w:right="414" w:firstLine="0"/>
      </w:pPr>
      <w:r>
        <w:rPr/>
        <w:t>For the purposes of clause 2.3.1(e), a person may classify its electricity purchased at a </w:t>
      </w:r>
      <w:r>
        <w:rPr>
          <w:i/>
        </w:rPr>
        <w:t>connection point </w:t>
      </w:r>
      <w:r>
        <w:rPr/>
        <w:t>in South Australia if the person is a </w:t>
      </w:r>
      <w:r>
        <w:rPr>
          <w:i/>
        </w:rPr>
        <w:t>retailer </w:t>
      </w:r>
      <w:r>
        <w:rPr/>
        <w:t>or a customer pursuant to the Electricity Act and</w:t>
      </w:r>
      <w:r>
        <w:rPr>
          <w:spacing w:val="-2"/>
        </w:rPr>
        <w:t> </w:t>
      </w:r>
      <w:r>
        <w:rPr/>
        <w:t>regulations.</w:t>
      </w:r>
    </w:p>
    <w:p>
      <w:pPr>
        <w:pStyle w:val="BodyText"/>
        <w:spacing w:before="10"/>
        <w:ind w:firstLine="0"/>
        <w:jc w:val="left"/>
        <w:rPr>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6.3 Cross Border Networks" w:id="2781"/>
      <w:bookmarkEnd w:id="2781"/>
      <w:r>
        <w:rPr>
          <w:b w:val="0"/>
        </w:rPr>
      </w:r>
      <w:bookmarkStart w:name="_bookmark1134" w:id="2782"/>
      <w:bookmarkEnd w:id="2782"/>
      <w:r>
        <w:rPr>
          <w:b w:val="0"/>
        </w:rPr>
      </w:r>
      <w:bookmarkStart w:name="_bookmark1134" w:id="2783"/>
      <w:bookmarkEnd w:id="2783"/>
      <w:r>
        <w:rPr/>
        <w:t>Cros</w:t>
      </w:r>
      <w:r>
        <w:rPr/>
        <w:t>s Border</w:t>
      </w:r>
      <w:r>
        <w:rPr>
          <w:spacing w:val="-1"/>
        </w:rPr>
        <w:t> </w:t>
      </w:r>
      <w:r>
        <w:rPr/>
        <w:t>Networks</w:t>
      </w:r>
    </w:p>
    <w:p>
      <w:pPr>
        <w:pStyle w:val="ListParagraph"/>
        <w:numPr>
          <w:ilvl w:val="3"/>
          <w:numId w:val="682"/>
        </w:numPr>
        <w:tabs>
          <w:tab w:pos="1919" w:val="left" w:leader="none"/>
        </w:tabs>
        <w:spacing w:line="240" w:lineRule="auto" w:before="120" w:after="0"/>
        <w:ind w:left="1918" w:right="0" w:hanging="567"/>
        <w:jc w:val="both"/>
        <w:rPr>
          <w:sz w:val="24"/>
        </w:rPr>
      </w:pPr>
      <w:r>
        <w:rPr>
          <w:sz w:val="24"/>
        </w:rPr>
        <w:t>If:</w:t>
      </w:r>
    </w:p>
    <w:p>
      <w:pPr>
        <w:pStyle w:val="ListParagraph"/>
        <w:numPr>
          <w:ilvl w:val="0"/>
          <w:numId w:val="683"/>
        </w:numPr>
        <w:tabs>
          <w:tab w:pos="2486" w:val="left" w:leader="none"/>
        </w:tabs>
        <w:spacing w:line="240" w:lineRule="auto" w:before="120" w:after="0"/>
        <w:ind w:left="2486" w:right="414" w:hanging="567"/>
        <w:jc w:val="both"/>
        <w:rPr>
          <w:sz w:val="24"/>
        </w:rPr>
      </w:pPr>
      <w:r>
        <w:rPr>
          <w:sz w:val="24"/>
        </w:rPr>
        <w:t>the </w:t>
      </w:r>
      <w:r>
        <w:rPr>
          <w:i/>
          <w:sz w:val="24"/>
        </w:rPr>
        <w:t>Minister </w:t>
      </w:r>
      <w:r>
        <w:rPr>
          <w:sz w:val="24"/>
        </w:rPr>
        <w:t>considers that a </w:t>
      </w:r>
      <w:r>
        <w:rPr>
          <w:i/>
          <w:sz w:val="24"/>
        </w:rPr>
        <w:t>transmission network </w:t>
      </w:r>
      <w:r>
        <w:rPr>
          <w:sz w:val="24"/>
        </w:rPr>
        <w:t>or </w:t>
      </w:r>
      <w:r>
        <w:rPr>
          <w:i/>
          <w:sz w:val="24"/>
        </w:rPr>
        <w:t>distribution </w:t>
      </w:r>
      <w:r>
        <w:rPr>
          <w:i/>
          <w:sz w:val="24"/>
        </w:rPr>
        <w:t>network </w:t>
      </w:r>
      <w:r>
        <w:rPr>
          <w:sz w:val="24"/>
        </w:rPr>
        <w:t>situated in South Australia is a continuation of a </w:t>
      </w:r>
      <w:r>
        <w:rPr>
          <w:i/>
          <w:sz w:val="24"/>
        </w:rPr>
        <w:t>network </w:t>
      </w:r>
      <w:r>
        <w:rPr>
          <w:sz w:val="24"/>
        </w:rPr>
        <w:t>situated in another </w:t>
      </w:r>
      <w:r>
        <w:rPr>
          <w:i/>
          <w:sz w:val="24"/>
        </w:rPr>
        <w:t>participating jurisdiction </w:t>
      </w:r>
      <w:r>
        <w:rPr>
          <w:sz w:val="24"/>
        </w:rPr>
        <w:t>and should be considered to be part of the </w:t>
      </w:r>
      <w:r>
        <w:rPr>
          <w:i/>
          <w:sz w:val="24"/>
        </w:rPr>
        <w:t>network </w:t>
      </w:r>
      <w:r>
        <w:rPr>
          <w:sz w:val="24"/>
        </w:rPr>
        <w:t>of that other </w:t>
      </w:r>
      <w:r>
        <w:rPr>
          <w:i/>
          <w:sz w:val="24"/>
        </w:rPr>
        <w:t>participating jurisdiction</w:t>
      </w:r>
      <w:r>
        <w:rPr>
          <w:sz w:val="24"/>
        </w:rPr>
        <w:t>;</w:t>
      </w:r>
      <w:r>
        <w:rPr>
          <w:spacing w:val="-4"/>
          <w:sz w:val="24"/>
        </w:rPr>
        <w:t> </w:t>
      </w:r>
      <w:r>
        <w:rPr>
          <w:sz w:val="24"/>
        </w:rPr>
        <w:t>and</w:t>
      </w:r>
    </w:p>
    <w:p>
      <w:pPr>
        <w:pStyle w:val="ListParagraph"/>
        <w:numPr>
          <w:ilvl w:val="0"/>
          <w:numId w:val="683"/>
        </w:numPr>
        <w:tabs>
          <w:tab w:pos="2486" w:val="left" w:leader="none"/>
        </w:tabs>
        <w:spacing w:line="240" w:lineRule="auto" w:before="120" w:after="0"/>
        <w:ind w:left="2485" w:right="0" w:hanging="567"/>
        <w:jc w:val="both"/>
        <w:rPr>
          <w:sz w:val="24"/>
        </w:rPr>
      </w:pPr>
      <w:r>
        <w:rPr>
          <w:sz w:val="24"/>
        </w:rPr>
        <w:t>the </w:t>
      </w:r>
      <w:r>
        <w:rPr>
          <w:i/>
          <w:sz w:val="24"/>
        </w:rPr>
        <w:t>Minister </w:t>
      </w:r>
      <w:r>
        <w:rPr>
          <w:sz w:val="24"/>
        </w:rPr>
        <w:t>for that other </w:t>
      </w:r>
      <w:r>
        <w:rPr>
          <w:i/>
          <w:sz w:val="24"/>
        </w:rPr>
        <w:t>participating jurisdiction</w:t>
      </w:r>
      <w:r>
        <w:rPr>
          <w:i/>
          <w:spacing w:val="-2"/>
          <w:sz w:val="24"/>
        </w:rPr>
        <w:t> </w:t>
      </w:r>
      <w:r>
        <w:rPr>
          <w:sz w:val="24"/>
        </w:rPr>
        <w:t>consents,</w:t>
      </w:r>
    </w:p>
    <w:p>
      <w:pPr>
        <w:spacing w:before="120"/>
        <w:ind w:left="1919" w:right="414" w:firstLine="0"/>
        <w:jc w:val="both"/>
        <w:rPr>
          <w:sz w:val="24"/>
        </w:rPr>
      </w:pPr>
      <w:r>
        <w:rPr>
          <w:sz w:val="24"/>
        </w:rPr>
        <w:t>then those </w:t>
      </w:r>
      <w:r>
        <w:rPr>
          <w:i/>
          <w:sz w:val="24"/>
        </w:rPr>
        <w:t>Ministers </w:t>
      </w:r>
      <w:r>
        <w:rPr>
          <w:sz w:val="24"/>
        </w:rPr>
        <w:t>may nominate that the </w:t>
      </w:r>
      <w:r>
        <w:rPr>
          <w:i/>
          <w:sz w:val="24"/>
        </w:rPr>
        <w:t>network </w:t>
      </w:r>
      <w:r>
        <w:rPr>
          <w:sz w:val="24"/>
        </w:rPr>
        <w:t>is deemed to be entirely in that other </w:t>
      </w:r>
      <w:r>
        <w:rPr>
          <w:i/>
          <w:sz w:val="24"/>
        </w:rPr>
        <w:t>participating jurisdiction </w:t>
      </w:r>
      <w:r>
        <w:rPr>
          <w:sz w:val="24"/>
        </w:rPr>
        <w:t>and the </w:t>
      </w:r>
      <w:r>
        <w:rPr>
          <w:i/>
          <w:sz w:val="24"/>
        </w:rPr>
        <w:t>Rules </w:t>
      </w:r>
      <w:r>
        <w:rPr>
          <w:sz w:val="24"/>
        </w:rPr>
        <w:t>including any relevant </w:t>
      </w:r>
      <w:r>
        <w:rPr>
          <w:i/>
          <w:sz w:val="24"/>
        </w:rPr>
        <w:t>jurisdictional derogations </w:t>
      </w:r>
      <w:r>
        <w:rPr>
          <w:sz w:val="24"/>
        </w:rPr>
        <w:t>for the other </w:t>
      </w:r>
      <w:r>
        <w:rPr>
          <w:i/>
          <w:sz w:val="24"/>
        </w:rPr>
        <w:t>participating jurisdiction </w:t>
      </w:r>
      <w:r>
        <w:rPr>
          <w:spacing w:val="-4"/>
          <w:sz w:val="24"/>
        </w:rPr>
        <w:t>are</w:t>
      </w:r>
      <w:r>
        <w:rPr>
          <w:spacing w:val="52"/>
          <w:sz w:val="24"/>
        </w:rPr>
        <w:t> </w:t>
      </w:r>
      <w:r>
        <w:rPr>
          <w:sz w:val="24"/>
        </w:rPr>
        <w:t>deemed to apply to the </w:t>
      </w:r>
      <w:r>
        <w:rPr>
          <w:i/>
          <w:sz w:val="24"/>
        </w:rPr>
        <w:t>network </w:t>
      </w:r>
      <w:r>
        <w:rPr>
          <w:sz w:val="24"/>
        </w:rPr>
        <w:t>as if the </w:t>
      </w:r>
      <w:r>
        <w:rPr>
          <w:i/>
          <w:sz w:val="24"/>
        </w:rPr>
        <w:t>network </w:t>
      </w:r>
      <w:r>
        <w:rPr>
          <w:sz w:val="24"/>
        </w:rPr>
        <w:t>were located entirely within that other </w:t>
      </w:r>
      <w:r>
        <w:rPr>
          <w:i/>
          <w:sz w:val="24"/>
        </w:rPr>
        <w:t>participating</w:t>
      </w:r>
      <w:r>
        <w:rPr>
          <w:i/>
          <w:spacing w:val="-2"/>
          <w:sz w:val="24"/>
        </w:rPr>
        <w:t> </w:t>
      </w:r>
      <w:r>
        <w:rPr>
          <w:i/>
          <w:sz w:val="24"/>
        </w:rPr>
        <w:t>jurisdiction</w:t>
      </w:r>
      <w:r>
        <w:rPr>
          <w:sz w:val="24"/>
        </w:rPr>
        <w:t>.</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If a nomination is made under clause 9.26.3(a), then the </w:t>
      </w:r>
      <w:r>
        <w:rPr>
          <w:i/>
          <w:sz w:val="24"/>
        </w:rPr>
        <w:t>jurisdictional </w:t>
      </w:r>
      <w:r>
        <w:rPr>
          <w:i/>
          <w:sz w:val="24"/>
        </w:rPr>
        <w:t>derogations </w:t>
      </w:r>
      <w:r>
        <w:rPr>
          <w:sz w:val="24"/>
        </w:rPr>
        <w:t>for South Australia do not apply to the extended part of the relevant </w:t>
      </w:r>
      <w:r>
        <w:rPr>
          <w:i/>
          <w:sz w:val="24"/>
        </w:rPr>
        <w:t>network </w:t>
      </w:r>
      <w:r>
        <w:rPr>
          <w:sz w:val="24"/>
        </w:rPr>
        <w:t>which is situated in South</w:t>
      </w:r>
      <w:r>
        <w:rPr>
          <w:spacing w:val="-6"/>
          <w:sz w:val="24"/>
        </w:rPr>
        <w:t> </w:t>
      </w:r>
      <w:r>
        <w:rPr>
          <w:sz w:val="24"/>
        </w:rPr>
        <w:t>Australia.</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If the </w:t>
      </w:r>
      <w:r>
        <w:rPr>
          <w:i/>
          <w:sz w:val="24"/>
        </w:rPr>
        <w:t>Minister </w:t>
      </w:r>
      <w:r>
        <w:rPr>
          <w:sz w:val="24"/>
        </w:rPr>
        <w:t>of another </w:t>
      </w:r>
      <w:r>
        <w:rPr>
          <w:i/>
          <w:sz w:val="24"/>
        </w:rPr>
        <w:t>participating jurisdiction </w:t>
      </w:r>
      <w:r>
        <w:rPr>
          <w:sz w:val="24"/>
        </w:rPr>
        <w:t>nominates that the </w:t>
      </w:r>
      <w:r>
        <w:rPr>
          <w:i/>
          <w:sz w:val="24"/>
        </w:rPr>
        <w:t>jurisdictional derogations </w:t>
      </w:r>
      <w:r>
        <w:rPr>
          <w:sz w:val="24"/>
        </w:rPr>
        <w:t>for South Australia should apply to a </w:t>
      </w:r>
      <w:r>
        <w:rPr>
          <w:i/>
          <w:sz w:val="24"/>
        </w:rPr>
        <w:t>network  </w:t>
      </w:r>
      <w:r>
        <w:rPr>
          <w:sz w:val="24"/>
        </w:rPr>
        <w:t>part of which is situated in that other </w:t>
      </w:r>
      <w:r>
        <w:rPr>
          <w:i/>
          <w:sz w:val="24"/>
        </w:rPr>
        <w:t>participating jurisdiction</w:t>
      </w:r>
      <w:r>
        <w:rPr>
          <w:sz w:val="24"/>
        </w:rPr>
        <w:t>, then if the </w:t>
      </w:r>
      <w:r>
        <w:rPr>
          <w:i/>
          <w:sz w:val="24"/>
        </w:rPr>
        <w:t>Minister </w:t>
      </w:r>
      <w:r>
        <w:rPr>
          <w:sz w:val="24"/>
        </w:rPr>
        <w:t>in respect of South Australia consents, the </w:t>
      </w:r>
      <w:r>
        <w:rPr>
          <w:i/>
          <w:sz w:val="24"/>
        </w:rPr>
        <w:t>jurisdictional </w:t>
      </w:r>
      <w:r>
        <w:rPr>
          <w:i/>
          <w:sz w:val="24"/>
        </w:rPr>
        <w:t>derogations </w:t>
      </w:r>
      <w:r>
        <w:rPr>
          <w:sz w:val="24"/>
        </w:rPr>
        <w:t>for South Australia are also to apply to that part of the </w:t>
      </w:r>
      <w:r>
        <w:rPr>
          <w:i/>
          <w:sz w:val="24"/>
        </w:rPr>
        <w:t>network </w:t>
      </w:r>
      <w:r>
        <w:rPr>
          <w:sz w:val="24"/>
        </w:rPr>
        <w:t>situated in the other </w:t>
      </w:r>
      <w:r>
        <w:rPr>
          <w:i/>
          <w:sz w:val="24"/>
        </w:rPr>
        <w:t>participating</w:t>
      </w:r>
      <w:r>
        <w:rPr>
          <w:i/>
          <w:spacing w:val="-2"/>
          <w:sz w:val="24"/>
        </w:rPr>
        <w:t> </w:t>
      </w:r>
      <w:r>
        <w:rPr>
          <w:i/>
          <w:sz w:val="24"/>
        </w:rPr>
        <w:t>jurisdiction</w:t>
      </w:r>
      <w:r>
        <w:rPr>
          <w:sz w:val="24"/>
        </w:rPr>
        <w:t>.</w:t>
      </w:r>
    </w:p>
    <w:p>
      <w:pPr>
        <w:pStyle w:val="BodyText"/>
        <w:spacing w:before="10"/>
        <w:ind w:firstLine="0"/>
        <w:jc w:val="left"/>
        <w:rPr>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6.4 [Deleted]" w:id="2784"/>
      <w:bookmarkEnd w:id="2784"/>
      <w:r>
        <w:rPr>
          <w:b w:val="0"/>
        </w:rPr>
      </w:r>
      <w:bookmarkStart w:name="_bookmark1135" w:id="2785"/>
      <w:bookmarkEnd w:id="2785"/>
      <w:r>
        <w:rPr>
          <w:b w:val="0"/>
        </w:rPr>
      </w:r>
      <w:bookmarkStart w:name="_bookmark1135" w:id="2786"/>
      <w:bookmarkEnd w:id="2786"/>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6.5 Registration as a Network Service" w:id="2787"/>
      <w:bookmarkEnd w:id="2787"/>
      <w:r>
        <w:rPr>
          <w:b w:val="0"/>
        </w:rPr>
      </w:r>
      <w:bookmarkStart w:name="_bookmark1136" w:id="2788"/>
      <w:bookmarkEnd w:id="2788"/>
      <w:r>
        <w:rPr>
          <w:b w:val="0"/>
        </w:rPr>
      </w:r>
      <w:bookmarkStart w:name="_bookmark1136" w:id="2789"/>
      <w:bookmarkEnd w:id="2789"/>
      <w:r>
        <w:rPr/>
        <w:t>Registratio</w:t>
      </w:r>
      <w:r>
        <w:rPr/>
        <w:t>n as a Network Service</w:t>
      </w:r>
      <w:r>
        <w:rPr>
          <w:spacing w:val="-7"/>
        </w:rPr>
        <w:t> </w:t>
      </w:r>
      <w:r>
        <w:rPr/>
        <w:t>Provider</w:t>
      </w:r>
    </w:p>
    <w:p>
      <w:pPr>
        <w:pStyle w:val="BodyText"/>
        <w:ind w:left="1352" w:firstLine="0"/>
      </w:pPr>
      <w:r>
        <w:rPr/>
        <w:t>For the purpose of the </w:t>
      </w:r>
      <w:r>
        <w:rPr>
          <w:i/>
        </w:rPr>
        <w:t>Rules</w:t>
      </w:r>
      <w:r>
        <w:rPr/>
        <w:t>:</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the South Australian Transmission Lease Participants are not obliged to, and are taken to have been exempted from the requirement to, register as a </w:t>
      </w:r>
      <w:r>
        <w:rPr>
          <w:i/>
          <w:sz w:val="24"/>
        </w:rPr>
        <w:t>Network Service Provider </w:t>
      </w:r>
      <w:r>
        <w:rPr>
          <w:sz w:val="24"/>
        </w:rPr>
        <w:t>in relation to the </w:t>
      </w:r>
      <w:r>
        <w:rPr>
          <w:i/>
          <w:sz w:val="24"/>
        </w:rPr>
        <w:t>transmission network </w:t>
      </w:r>
      <w:r>
        <w:rPr>
          <w:sz w:val="24"/>
        </w:rPr>
        <w:t>in South Australia which is the subject of the South Australian Transmission</w:t>
      </w:r>
      <w:r>
        <w:rPr>
          <w:spacing w:val="-29"/>
          <w:sz w:val="24"/>
        </w:rPr>
        <w:t> </w:t>
      </w:r>
      <w:r>
        <w:rPr>
          <w:sz w:val="24"/>
        </w:rPr>
        <w:t>Lease.</w:t>
      </w:r>
    </w:p>
    <w:p>
      <w:pPr>
        <w:spacing w:after="0" w:line="240" w:lineRule="auto"/>
        <w:jc w:val="both"/>
        <w:rPr>
          <w:sz w:val="24"/>
        </w:rPr>
        <w:sectPr>
          <w:pgSz w:w="11910" w:h="16840"/>
          <w:pgMar w:header="686" w:footer="637" w:top="1320" w:bottom="820" w:left="1200" w:right="1000"/>
        </w:sectPr>
      </w:pPr>
    </w:p>
    <w:p>
      <w:pPr>
        <w:pStyle w:val="ListParagraph"/>
        <w:numPr>
          <w:ilvl w:val="3"/>
          <w:numId w:val="682"/>
        </w:numPr>
        <w:tabs>
          <w:tab w:pos="1919" w:val="left" w:leader="none"/>
        </w:tabs>
        <w:spacing w:line="240" w:lineRule="auto" w:before="83" w:after="0"/>
        <w:ind w:left="1919" w:right="415" w:hanging="567"/>
        <w:jc w:val="both"/>
        <w:rPr>
          <w:sz w:val="24"/>
        </w:rPr>
      </w:pPr>
      <w:r>
        <w:rPr>
          <w:sz w:val="24"/>
        </w:rPr>
        <w:t>Clause 9.26.5(a) will cease to have effect on the termination, extension or variation of the South Australian Transmission</w:t>
      </w:r>
      <w:r>
        <w:rPr>
          <w:spacing w:val="-3"/>
          <w:sz w:val="24"/>
        </w:rPr>
        <w:t> </w:t>
      </w:r>
      <w:r>
        <w:rPr>
          <w:sz w:val="24"/>
        </w:rPr>
        <w:t>Lease.</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Distribution Lessor Corporation is not obliged to, and is not to be taken to be entitled to, and is to be taken to have been exempted from the requirement to, register as a </w:t>
      </w:r>
      <w:r>
        <w:rPr>
          <w:i/>
          <w:sz w:val="24"/>
        </w:rPr>
        <w:t>Network Service Provider </w:t>
      </w:r>
      <w:r>
        <w:rPr>
          <w:sz w:val="24"/>
        </w:rPr>
        <w:t>in relation to the </w:t>
      </w:r>
      <w:r>
        <w:rPr>
          <w:i/>
          <w:sz w:val="24"/>
        </w:rPr>
        <w:t>distribution network </w:t>
      </w:r>
      <w:r>
        <w:rPr>
          <w:sz w:val="24"/>
        </w:rPr>
        <w:t>in South Australia which is the subject of the South Australian Distribution Network</w:t>
      </w:r>
      <w:r>
        <w:rPr>
          <w:spacing w:val="-3"/>
          <w:sz w:val="24"/>
        </w:rPr>
        <w:t> </w:t>
      </w:r>
      <w:r>
        <w:rPr>
          <w:sz w:val="24"/>
        </w:rPr>
        <w:t>Lease.</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ETSA Transmission Corporation (notwithstanding that it is the owner and sub sub sub lessor of the </w:t>
      </w:r>
      <w:r>
        <w:rPr>
          <w:i/>
          <w:sz w:val="24"/>
        </w:rPr>
        <w:t>transmission network </w:t>
      </w:r>
      <w:r>
        <w:rPr>
          <w:sz w:val="24"/>
        </w:rPr>
        <w:t>in South Australia) is not obliged to, and is not to be taken to be entitled to, and is to be taken to have been exempted from the requirement to, register as a </w:t>
      </w:r>
      <w:r>
        <w:rPr>
          <w:i/>
          <w:sz w:val="24"/>
        </w:rPr>
        <w:t>Network Service </w:t>
      </w:r>
      <w:r>
        <w:rPr>
          <w:i/>
          <w:sz w:val="24"/>
        </w:rPr>
        <w:t>Provider </w:t>
      </w:r>
      <w:r>
        <w:rPr>
          <w:sz w:val="24"/>
        </w:rPr>
        <w:t>in relation to the </w:t>
      </w:r>
      <w:r>
        <w:rPr>
          <w:i/>
          <w:sz w:val="24"/>
        </w:rPr>
        <w:t>transmission network </w:t>
      </w:r>
      <w:r>
        <w:rPr>
          <w:sz w:val="24"/>
        </w:rPr>
        <w:t>in South Australia which is the subject of the South Australian Transmission Network Sub Sub Sub Lease.</w:t>
      </w:r>
    </w:p>
    <w:p>
      <w:pPr>
        <w:pStyle w:val="ListParagraph"/>
        <w:numPr>
          <w:ilvl w:val="3"/>
          <w:numId w:val="682"/>
        </w:numPr>
        <w:tabs>
          <w:tab w:pos="1919" w:val="left" w:leader="none"/>
        </w:tabs>
        <w:spacing w:line="240" w:lineRule="auto" w:before="120" w:after="0"/>
        <w:ind w:left="1919" w:right="416" w:hanging="567"/>
        <w:jc w:val="both"/>
        <w:rPr>
          <w:sz w:val="24"/>
        </w:rPr>
      </w:pPr>
      <w:r>
        <w:rPr>
          <w:sz w:val="24"/>
        </w:rPr>
        <w:t>Clause 9.26.5(c) will have effect for the period of each South Australian Distribution Network Lease (including the period of any</w:t>
      </w:r>
      <w:r>
        <w:rPr>
          <w:spacing w:val="-6"/>
          <w:sz w:val="24"/>
        </w:rPr>
        <w:t> </w:t>
      </w:r>
      <w:r>
        <w:rPr>
          <w:sz w:val="24"/>
        </w:rPr>
        <w:t>renewal).</w:t>
      </w:r>
    </w:p>
    <w:p>
      <w:pPr>
        <w:pStyle w:val="ListParagraph"/>
        <w:numPr>
          <w:ilvl w:val="3"/>
          <w:numId w:val="682"/>
        </w:numPr>
        <w:tabs>
          <w:tab w:pos="1920" w:val="left" w:leader="none"/>
        </w:tabs>
        <w:spacing w:line="240" w:lineRule="auto" w:before="120" w:after="0"/>
        <w:ind w:left="1919" w:right="414" w:hanging="567"/>
        <w:jc w:val="both"/>
        <w:rPr>
          <w:sz w:val="24"/>
        </w:rPr>
      </w:pPr>
      <w:r>
        <w:rPr>
          <w:sz w:val="24"/>
        </w:rPr>
        <w:t>Clause 9.26.5(d) will have effect for the period of each South Australian Transmission Network Sub Sub Sub Lease (including the period of any renewal).</w:t>
      </w:r>
    </w:p>
    <w:p>
      <w:pPr>
        <w:pStyle w:val="BodyText"/>
        <w:spacing w:before="10"/>
        <w:ind w:firstLine="0"/>
        <w:jc w:val="left"/>
        <w:rPr>
          <w:sz w:val="20"/>
        </w:rPr>
      </w:pPr>
    </w:p>
    <w:p>
      <w:pPr>
        <w:pStyle w:val="Heading3"/>
        <w:numPr>
          <w:ilvl w:val="1"/>
          <w:numId w:val="682"/>
        </w:numPr>
        <w:tabs>
          <w:tab w:pos="1351" w:val="left" w:leader="none"/>
          <w:tab w:pos="1353" w:val="left" w:leader="none"/>
        </w:tabs>
        <w:spacing w:line="240" w:lineRule="auto" w:before="0" w:after="0"/>
        <w:ind w:left="1352" w:right="0" w:hanging="1135"/>
        <w:jc w:val="left"/>
      </w:pPr>
      <w:bookmarkStart w:name="9.27 [Deleted]" w:id="2790"/>
      <w:bookmarkEnd w:id="2790"/>
      <w:r>
        <w:rPr>
          <w:b w:val="0"/>
        </w:rPr>
      </w:r>
      <w:bookmarkStart w:name="_bookmark1137" w:id="2791"/>
      <w:bookmarkEnd w:id="2791"/>
      <w:r>
        <w:rPr>
          <w:b w:val="0"/>
        </w:rPr>
      </w:r>
      <w:bookmarkStart w:name="_bookmark1137" w:id="2792"/>
      <w:bookmarkEnd w:id="2792"/>
      <w:r>
        <w:rPr/>
        <w:t>[Deleted]</w:t>
      </w:r>
    </w:p>
    <w:p>
      <w:pPr>
        <w:pStyle w:val="Heading3"/>
        <w:numPr>
          <w:ilvl w:val="1"/>
          <w:numId w:val="682"/>
        </w:numPr>
        <w:tabs>
          <w:tab w:pos="1351" w:val="left" w:leader="none"/>
          <w:tab w:pos="1353" w:val="left" w:leader="none"/>
        </w:tabs>
        <w:spacing w:line="240" w:lineRule="auto" w:before="240" w:after="0"/>
        <w:ind w:left="1352" w:right="0" w:hanging="1135"/>
        <w:jc w:val="left"/>
      </w:pPr>
      <w:bookmarkStart w:name="9.28 Transitional Arrangements for Chapt" w:id="2793"/>
      <w:bookmarkEnd w:id="2793"/>
      <w:r>
        <w:rPr>
          <w:b w:val="0"/>
        </w:rPr>
      </w:r>
      <w:bookmarkStart w:name="_bookmark1138" w:id="2794"/>
      <w:bookmarkEnd w:id="2794"/>
      <w:r>
        <w:rPr>
          <w:b w:val="0"/>
        </w:rPr>
      </w:r>
      <w:bookmarkStart w:name="_bookmark1138" w:id="2795"/>
      <w:bookmarkEnd w:id="2795"/>
      <w:r>
        <w:rPr/>
        <w:t>T</w:t>
      </w:r>
      <w:r>
        <w:rPr/>
        <w:t>ransitional Arrangements for Chapter 5 - Network</w:t>
      </w:r>
      <w:r>
        <w:rPr>
          <w:spacing w:val="-12"/>
        </w:rPr>
        <w:t> </w:t>
      </w:r>
      <w:r>
        <w:rPr/>
        <w:t>Connection</w:t>
      </w:r>
    </w:p>
    <w:p>
      <w:pPr>
        <w:pStyle w:val="Heading4"/>
        <w:numPr>
          <w:ilvl w:val="2"/>
          <w:numId w:val="682"/>
        </w:numPr>
        <w:tabs>
          <w:tab w:pos="1351" w:val="left" w:leader="none"/>
          <w:tab w:pos="1352" w:val="left" w:leader="none"/>
        </w:tabs>
        <w:spacing w:line="240" w:lineRule="auto" w:before="240" w:after="0"/>
        <w:ind w:left="1351" w:right="0" w:hanging="1134"/>
        <w:jc w:val="left"/>
      </w:pPr>
      <w:bookmarkStart w:name="9.28.1 Application of clause 5.2" w:id="2796"/>
      <w:bookmarkEnd w:id="2796"/>
      <w:r>
        <w:rPr>
          <w:b w:val="0"/>
        </w:rPr>
      </w:r>
      <w:bookmarkStart w:name="_bookmark1139" w:id="2797"/>
      <w:bookmarkEnd w:id="2797"/>
      <w:r>
        <w:rPr>
          <w:b w:val="0"/>
        </w:rPr>
      </w:r>
      <w:bookmarkStart w:name="_bookmark1139" w:id="2798"/>
      <w:bookmarkEnd w:id="2798"/>
      <w:r>
        <w:rPr/>
        <w:t>Applicatio</w:t>
      </w:r>
      <w:r>
        <w:rPr/>
        <w:t>n of clause</w:t>
      </w:r>
      <w:r>
        <w:rPr>
          <w:spacing w:val="-2"/>
        </w:rPr>
        <w:t> </w:t>
      </w:r>
      <w:r>
        <w:rPr/>
        <w:t>5.2</w:t>
      </w:r>
    </w:p>
    <w:p>
      <w:pPr>
        <w:pStyle w:val="BodyText"/>
        <w:ind w:left="1352" w:firstLine="0"/>
      </w:pPr>
      <w:r>
        <w:rPr/>
        <w:t>For the purposes of clause 5.2:</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for </w:t>
      </w:r>
      <w:r>
        <w:rPr>
          <w:i/>
          <w:sz w:val="24"/>
        </w:rPr>
        <w:t>facilities </w:t>
      </w:r>
      <w:r>
        <w:rPr>
          <w:sz w:val="24"/>
        </w:rPr>
        <w:t>existing at </w:t>
      </w:r>
      <w:r>
        <w:rPr>
          <w:i/>
          <w:sz w:val="24"/>
        </w:rPr>
        <w:t>market commencement</w:t>
      </w:r>
      <w:r>
        <w:rPr>
          <w:sz w:val="24"/>
        </w:rPr>
        <w:t>, </w:t>
      </w:r>
      <w:r>
        <w:rPr>
          <w:i/>
          <w:sz w:val="24"/>
        </w:rPr>
        <w:t>Registered Participant </w:t>
      </w:r>
      <w:r>
        <w:rPr>
          <w:sz w:val="24"/>
        </w:rPr>
        <w:t>exemptions may be sought from </w:t>
      </w:r>
      <w:r>
        <w:rPr>
          <w:i/>
          <w:sz w:val="24"/>
        </w:rPr>
        <w:t>AEMO </w:t>
      </w:r>
      <w:r>
        <w:rPr>
          <w:sz w:val="24"/>
        </w:rPr>
        <w:t>in accordance with the </w:t>
      </w:r>
      <w:r>
        <w:rPr>
          <w:i/>
          <w:sz w:val="24"/>
        </w:rPr>
        <w:t>Rules </w:t>
      </w:r>
      <w:r>
        <w:rPr>
          <w:sz w:val="24"/>
        </w:rPr>
        <w:t>for particular </w:t>
      </w:r>
      <w:r>
        <w:rPr>
          <w:i/>
          <w:sz w:val="24"/>
        </w:rPr>
        <w:t>facilities </w:t>
      </w:r>
      <w:r>
        <w:rPr>
          <w:sz w:val="24"/>
        </w:rPr>
        <w:t>where material departures from the </w:t>
      </w:r>
      <w:r>
        <w:rPr>
          <w:i/>
          <w:sz w:val="24"/>
        </w:rPr>
        <w:t>Rules </w:t>
      </w:r>
      <w:r>
        <w:rPr>
          <w:sz w:val="24"/>
        </w:rPr>
        <w:t>are reasonably expected. Any necessity to alter the existing arrangements for </w:t>
      </w:r>
      <w:r>
        <w:rPr>
          <w:i/>
          <w:sz w:val="24"/>
        </w:rPr>
        <w:t>facilities </w:t>
      </w:r>
      <w:r>
        <w:rPr>
          <w:sz w:val="24"/>
        </w:rPr>
        <w:t>is to be negotiated and agreed by affected </w:t>
      </w:r>
      <w:r>
        <w:rPr>
          <w:i/>
          <w:sz w:val="24"/>
        </w:rPr>
        <w:t>Registered</w:t>
      </w:r>
      <w:r>
        <w:rPr>
          <w:i/>
          <w:spacing w:val="-1"/>
          <w:sz w:val="24"/>
        </w:rPr>
        <w:t> </w:t>
      </w:r>
      <w:r>
        <w:rPr>
          <w:i/>
          <w:sz w:val="24"/>
        </w:rPr>
        <w:t>Participants</w:t>
      </w:r>
      <w:r>
        <w:rPr>
          <w:sz w:val="24"/>
        </w:rPr>
        <w:t>;</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South Australia reserves the right to seek further exemptions from </w:t>
      </w:r>
      <w:r>
        <w:rPr>
          <w:i/>
          <w:sz w:val="24"/>
        </w:rPr>
        <w:t>AEMO </w:t>
      </w:r>
      <w:r>
        <w:rPr>
          <w:sz w:val="24"/>
        </w:rPr>
        <w:t>in accordance with the </w:t>
      </w:r>
      <w:r>
        <w:rPr>
          <w:i/>
          <w:sz w:val="24"/>
        </w:rPr>
        <w:t>Rules </w:t>
      </w:r>
      <w:r>
        <w:rPr>
          <w:sz w:val="24"/>
        </w:rPr>
        <w:t>for existing </w:t>
      </w:r>
      <w:r>
        <w:rPr>
          <w:i/>
          <w:sz w:val="24"/>
        </w:rPr>
        <w:t>power stations </w:t>
      </w:r>
      <w:r>
        <w:rPr>
          <w:sz w:val="24"/>
        </w:rPr>
        <w:t>if they are unable to meet the requirements of the </w:t>
      </w:r>
      <w:r>
        <w:rPr>
          <w:i/>
          <w:sz w:val="24"/>
        </w:rPr>
        <w:t>Rules </w:t>
      </w:r>
      <w:r>
        <w:rPr>
          <w:sz w:val="24"/>
        </w:rPr>
        <w:t>and those exemptions will not result in system damage;</w:t>
      </w:r>
      <w:r>
        <w:rPr>
          <w:spacing w:val="-2"/>
          <w:sz w:val="24"/>
        </w:rPr>
        <w:t> </w:t>
      </w:r>
      <w:r>
        <w:rPr>
          <w:sz w:val="24"/>
        </w:rPr>
        <w:t>and</w:t>
      </w:r>
    </w:p>
    <w:p>
      <w:pPr>
        <w:pStyle w:val="Heading4"/>
        <w:numPr>
          <w:ilvl w:val="3"/>
          <w:numId w:val="682"/>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3"/>
          <w:numId w:val="682"/>
        </w:numPr>
        <w:tabs>
          <w:tab w:pos="1980" w:val="left" w:leader="none"/>
        </w:tabs>
        <w:spacing w:line="240" w:lineRule="auto" w:before="120" w:after="0"/>
        <w:ind w:left="1979" w:right="0" w:hanging="628"/>
        <w:jc w:val="both"/>
        <w:rPr>
          <w:b/>
          <w:sz w:val="24"/>
        </w:rPr>
      </w:pPr>
      <w:r>
        <w:rPr>
          <w:b/>
          <w:sz w:val="24"/>
        </w:rPr>
        <w:t>[Deleted]</w:t>
      </w:r>
    </w:p>
    <w:p>
      <w:pPr>
        <w:pStyle w:val="ListParagraph"/>
        <w:numPr>
          <w:ilvl w:val="3"/>
          <w:numId w:val="682"/>
        </w:numPr>
        <w:tabs>
          <w:tab w:pos="1919" w:val="left" w:leader="none"/>
        </w:tabs>
        <w:spacing w:line="240" w:lineRule="auto" w:before="120" w:after="0"/>
        <w:ind w:left="1919" w:right="413" w:hanging="567"/>
        <w:jc w:val="both"/>
        <w:rPr>
          <w:sz w:val="24"/>
        </w:rPr>
      </w:pPr>
      <w:r>
        <w:rPr>
          <w:sz w:val="24"/>
        </w:rPr>
        <w:t>the provisions in this clause 9.28 apply until there are corresponding changes to the </w:t>
      </w:r>
      <w:r>
        <w:rPr>
          <w:i/>
          <w:sz w:val="24"/>
        </w:rPr>
        <w:t>Rules </w:t>
      </w:r>
      <w:r>
        <w:rPr>
          <w:sz w:val="24"/>
        </w:rPr>
        <w:t>which deliver equivalent outcomes to the satisfaction of the South Australian</w:t>
      </w:r>
      <w:r>
        <w:rPr>
          <w:spacing w:val="-3"/>
          <w:sz w:val="24"/>
        </w:rPr>
        <w:t> </w:t>
      </w:r>
      <w:r>
        <w:rPr>
          <w:sz w:val="24"/>
        </w:rPr>
        <w:t>Government.</w:t>
      </w:r>
    </w:p>
    <w:p>
      <w:pPr>
        <w:spacing w:after="0" w:line="240" w:lineRule="auto"/>
        <w:jc w:val="both"/>
        <w:rPr>
          <w:sz w:val="24"/>
        </w:rPr>
        <w:sectPr>
          <w:pgSz w:w="11910" w:h="16840"/>
          <w:pgMar w:header="686" w:footer="637" w:top="1320" w:bottom="820" w:left="1200" w:right="1000"/>
        </w:sectPr>
      </w:pPr>
    </w:p>
    <w:p>
      <w:pPr>
        <w:pStyle w:val="Heading4"/>
        <w:numPr>
          <w:ilvl w:val="2"/>
          <w:numId w:val="682"/>
        </w:numPr>
        <w:tabs>
          <w:tab w:pos="1351" w:val="left" w:leader="none"/>
          <w:tab w:pos="1352" w:val="left" w:leader="none"/>
        </w:tabs>
        <w:spacing w:line="240" w:lineRule="auto" w:before="83" w:after="0"/>
        <w:ind w:left="1351" w:right="0" w:hanging="1134"/>
        <w:jc w:val="left"/>
      </w:pPr>
      <w:bookmarkStart w:name="9.28.2 [Deleted]" w:id="2799"/>
      <w:bookmarkEnd w:id="2799"/>
      <w:r>
        <w:rPr>
          <w:b w:val="0"/>
        </w:rPr>
      </w:r>
      <w:bookmarkStart w:name="_bookmark1140" w:id="2800"/>
      <w:bookmarkEnd w:id="2800"/>
      <w:r>
        <w:rPr>
          <w:b w:val="0"/>
        </w:rPr>
      </w:r>
      <w:bookmarkStart w:name="_bookmark1140" w:id="2801"/>
      <w:bookmarkEnd w:id="2801"/>
      <w:r>
        <w:rPr/>
        <w:t>[Deleted]</w:t>
      </w:r>
    </w:p>
    <w:p>
      <w:pPr>
        <w:pStyle w:val="BodyText"/>
        <w:spacing w:before="10"/>
        <w:ind w:firstLine="0"/>
        <w:jc w:val="left"/>
        <w:rPr>
          <w:rFonts w:ascii="Arial"/>
          <w:b/>
          <w:sz w:val="20"/>
        </w:rPr>
      </w:pPr>
    </w:p>
    <w:p>
      <w:pPr>
        <w:pStyle w:val="Heading3"/>
        <w:numPr>
          <w:ilvl w:val="1"/>
          <w:numId w:val="682"/>
        </w:numPr>
        <w:tabs>
          <w:tab w:pos="1351" w:val="left" w:leader="none"/>
          <w:tab w:pos="1353" w:val="left" w:leader="none"/>
        </w:tabs>
        <w:spacing w:line="240" w:lineRule="auto" w:before="0" w:after="0"/>
        <w:ind w:left="1352" w:right="466" w:hanging="1134"/>
        <w:jc w:val="left"/>
      </w:pPr>
      <w:bookmarkStart w:name="9.29 Transitional Arrangements for Chapt" w:id="2802"/>
      <w:bookmarkEnd w:id="2802"/>
      <w:r>
        <w:rPr>
          <w:b w:val="0"/>
        </w:rPr>
      </w:r>
      <w:bookmarkStart w:name="_bookmark1141" w:id="2803"/>
      <w:bookmarkEnd w:id="2803"/>
      <w:r>
        <w:rPr>
          <w:b w:val="0"/>
        </w:rPr>
      </w:r>
      <w:bookmarkStart w:name="_bookmark1141" w:id="2804"/>
      <w:bookmarkEnd w:id="2804"/>
      <w:r>
        <w:rPr/>
        <w:t>T</w:t>
      </w:r>
      <w:r>
        <w:rPr/>
        <w:t>ransitional Arrangements for Chapter 6 - Economic Regulation of Distribution</w:t>
      </w:r>
      <w:r>
        <w:rPr>
          <w:spacing w:val="-1"/>
        </w:rPr>
        <w:t> </w:t>
      </w:r>
      <w:r>
        <w:rPr/>
        <w:t>Services</w:t>
      </w:r>
    </w:p>
    <w:p>
      <w:pPr>
        <w:pStyle w:val="Heading4"/>
        <w:numPr>
          <w:ilvl w:val="2"/>
          <w:numId w:val="682"/>
        </w:numPr>
        <w:tabs>
          <w:tab w:pos="1351" w:val="left" w:leader="none"/>
          <w:tab w:pos="1352" w:val="left" w:leader="none"/>
        </w:tabs>
        <w:spacing w:line="240" w:lineRule="auto" w:before="240" w:after="0"/>
        <w:ind w:left="1351" w:right="0" w:hanging="1134"/>
        <w:jc w:val="left"/>
      </w:pPr>
      <w:bookmarkStart w:name="9.29.1 [Deleted]" w:id="2805"/>
      <w:bookmarkEnd w:id="2805"/>
      <w:r>
        <w:rPr>
          <w:b w:val="0"/>
        </w:rPr>
      </w:r>
      <w:bookmarkStart w:name="_bookmark1142" w:id="2806"/>
      <w:bookmarkEnd w:id="2806"/>
      <w:r>
        <w:rPr>
          <w:b w:val="0"/>
        </w:rPr>
      </w:r>
      <w:bookmarkStart w:name="_bookmark1142" w:id="2807"/>
      <w:bookmarkEnd w:id="2807"/>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2 [Deleted]" w:id="2808"/>
      <w:bookmarkEnd w:id="2808"/>
      <w:r>
        <w:rPr>
          <w:b w:val="0"/>
        </w:rPr>
      </w:r>
      <w:bookmarkStart w:name="_bookmark1143" w:id="2809"/>
      <w:bookmarkEnd w:id="2809"/>
      <w:r>
        <w:rPr>
          <w:b w:val="0"/>
        </w:rPr>
      </w:r>
      <w:bookmarkStart w:name="_bookmark1143" w:id="2810"/>
      <w:bookmarkEnd w:id="2810"/>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3 [Deleted]" w:id="2811"/>
      <w:bookmarkEnd w:id="2811"/>
      <w:r>
        <w:rPr>
          <w:b w:val="0"/>
        </w:rPr>
      </w:r>
      <w:bookmarkStart w:name="_bookmark1144" w:id="2812"/>
      <w:bookmarkEnd w:id="2812"/>
      <w:r>
        <w:rPr>
          <w:b w:val="0"/>
        </w:rPr>
      </w:r>
      <w:bookmarkStart w:name="_bookmark1144" w:id="2813"/>
      <w:bookmarkEnd w:id="2813"/>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4 [Deleted]" w:id="2814"/>
      <w:bookmarkEnd w:id="2814"/>
      <w:r>
        <w:rPr>
          <w:b w:val="0"/>
        </w:rPr>
      </w:r>
      <w:bookmarkStart w:name="_bookmark1145" w:id="2815"/>
      <w:bookmarkEnd w:id="2815"/>
      <w:r>
        <w:rPr>
          <w:b w:val="0"/>
        </w:rPr>
      </w:r>
      <w:bookmarkStart w:name="_bookmark1145" w:id="2816"/>
      <w:bookmarkEnd w:id="2816"/>
      <w:r>
        <w:rPr/>
        <w:t>[Deleted]</w:t>
      </w:r>
    </w:p>
    <w:p>
      <w:pPr>
        <w:pStyle w:val="BodyText"/>
        <w:spacing w:before="10"/>
        <w:ind w:firstLine="0"/>
        <w:jc w:val="left"/>
        <w:rPr>
          <w:rFonts w:ascii="Arial"/>
          <w:b/>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5 Distribution Network Pricing – So" w:id="2817"/>
      <w:bookmarkEnd w:id="2817"/>
      <w:r>
        <w:rPr>
          <w:b w:val="0"/>
        </w:rPr>
      </w:r>
      <w:bookmarkStart w:name="_bookmark1146" w:id="2818"/>
      <w:bookmarkEnd w:id="2818"/>
      <w:r>
        <w:rPr>
          <w:b w:val="0"/>
        </w:rPr>
      </w:r>
      <w:bookmarkStart w:name="_bookmark1146" w:id="2819"/>
      <w:bookmarkEnd w:id="2819"/>
      <w:r>
        <w:rPr/>
        <w:t>Distributio</w:t>
      </w:r>
      <w:r>
        <w:rPr/>
        <w:t>n Network Pricing – South</w:t>
      </w:r>
      <w:r>
        <w:rPr>
          <w:spacing w:val="-6"/>
        </w:rPr>
        <w:t> </w:t>
      </w:r>
      <w:r>
        <w:rPr/>
        <w:t>Australia</w:t>
      </w:r>
    </w:p>
    <w:p>
      <w:pPr>
        <w:pStyle w:val="ListParagraph"/>
        <w:numPr>
          <w:ilvl w:val="3"/>
          <w:numId w:val="682"/>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clause:</w:t>
      </w:r>
    </w:p>
    <w:p>
      <w:pPr>
        <w:spacing w:before="120"/>
        <w:ind w:left="1919" w:right="415" w:firstLine="0"/>
        <w:jc w:val="both"/>
        <w:rPr>
          <w:sz w:val="24"/>
        </w:rPr>
      </w:pPr>
      <w:r>
        <w:rPr>
          <w:b/>
          <w:sz w:val="24"/>
        </w:rPr>
        <w:t>price determination </w:t>
      </w:r>
      <w:r>
        <w:rPr>
          <w:sz w:val="24"/>
        </w:rPr>
        <w:t>means Part B of the 2005–2010 Electricity Distribution Price Determination made under the </w:t>
      </w:r>
      <w:r>
        <w:rPr>
          <w:i/>
          <w:sz w:val="24"/>
        </w:rPr>
        <w:t>Essential Services </w:t>
      </w:r>
      <w:r>
        <w:rPr>
          <w:i/>
          <w:sz w:val="24"/>
        </w:rPr>
        <w:t>Commission Act 2002 </w:t>
      </w:r>
      <w:r>
        <w:rPr>
          <w:sz w:val="24"/>
        </w:rPr>
        <w:t>(SA).</w:t>
      </w:r>
    </w:p>
    <w:p>
      <w:pPr>
        <w:spacing w:before="120"/>
        <w:ind w:left="1919" w:right="0" w:firstLine="0"/>
        <w:jc w:val="both"/>
        <w:rPr>
          <w:sz w:val="24"/>
        </w:rPr>
      </w:pPr>
      <w:r>
        <w:rPr>
          <w:b/>
          <w:sz w:val="24"/>
        </w:rPr>
        <w:t>SA Distributor </w:t>
      </w:r>
      <w:r>
        <w:rPr>
          <w:sz w:val="24"/>
        </w:rPr>
        <w:t>means the </w:t>
      </w:r>
      <w:r>
        <w:rPr>
          <w:i/>
          <w:sz w:val="24"/>
        </w:rPr>
        <w:t>Distribution Network Service Provider </w:t>
      </w:r>
      <w:r>
        <w:rPr>
          <w:sz w:val="24"/>
        </w:rPr>
        <w:t>whose</w:t>
      </w:r>
    </w:p>
    <w:p>
      <w:pPr>
        <w:spacing w:before="0"/>
        <w:ind w:left="1919" w:right="0" w:firstLine="0"/>
        <w:jc w:val="both"/>
        <w:rPr>
          <w:sz w:val="24"/>
        </w:rPr>
      </w:pPr>
      <w:r>
        <w:rPr>
          <w:i/>
          <w:sz w:val="24"/>
        </w:rPr>
        <w:t>distribution network </w:t>
      </w:r>
      <w:r>
        <w:rPr>
          <w:sz w:val="24"/>
        </w:rPr>
        <w:t>is situated in South Australia.</w:t>
      </w:r>
    </w:p>
    <w:p>
      <w:pPr>
        <w:spacing w:before="120"/>
        <w:ind w:left="1919" w:right="416" w:firstLine="0"/>
        <w:jc w:val="both"/>
        <w:rPr>
          <w:sz w:val="24"/>
        </w:rPr>
      </w:pPr>
      <w:r>
        <w:rPr>
          <w:b/>
          <w:sz w:val="24"/>
        </w:rPr>
        <w:t>relevant distribution determination </w:t>
      </w:r>
      <w:r>
        <w:rPr>
          <w:sz w:val="24"/>
        </w:rPr>
        <w:t>means the distribution determination for the SA Distributor for the </w:t>
      </w:r>
      <w:r>
        <w:rPr>
          <w:i/>
          <w:sz w:val="24"/>
        </w:rPr>
        <w:t>regulatory control period </w:t>
      </w:r>
      <w:r>
        <w:rPr>
          <w:sz w:val="24"/>
        </w:rPr>
        <w:t>that commences in 2010.</w:t>
      </w:r>
    </w:p>
    <w:p>
      <w:pPr>
        <w:spacing w:before="120"/>
        <w:ind w:left="1919" w:right="0" w:firstLine="0"/>
        <w:jc w:val="both"/>
        <w:rPr>
          <w:sz w:val="24"/>
        </w:rPr>
      </w:pPr>
      <w:r>
        <w:rPr>
          <w:b/>
          <w:sz w:val="24"/>
        </w:rPr>
        <w:t>small customer </w:t>
      </w:r>
      <w:r>
        <w:rPr>
          <w:sz w:val="24"/>
        </w:rPr>
        <w:t>has the same meaning as in the </w:t>
      </w:r>
      <w:r>
        <w:rPr>
          <w:i/>
          <w:sz w:val="24"/>
        </w:rPr>
        <w:t>Electricity Act 1996 </w:t>
      </w:r>
      <w:r>
        <w:rPr>
          <w:sz w:val="24"/>
        </w:rPr>
        <w:t>(SA).</w:t>
      </w:r>
    </w:p>
    <w:p>
      <w:pPr>
        <w:spacing w:before="120"/>
        <w:ind w:left="1919" w:right="415" w:firstLine="0"/>
        <w:jc w:val="both"/>
        <w:rPr>
          <w:sz w:val="24"/>
        </w:rPr>
      </w:pPr>
      <w:r>
        <w:rPr>
          <w:b/>
          <w:i/>
          <w:sz w:val="24"/>
        </w:rPr>
        <w:t>statement of regulatory intent </w:t>
      </w:r>
      <w:r>
        <w:rPr>
          <w:sz w:val="24"/>
        </w:rPr>
        <w:t>means the </w:t>
      </w:r>
      <w:r>
        <w:rPr>
          <w:i/>
          <w:sz w:val="24"/>
        </w:rPr>
        <w:t>statement of regulatory intent </w:t>
      </w:r>
      <w:r>
        <w:rPr>
          <w:sz w:val="24"/>
        </w:rPr>
        <w:t>in regard to the electricity distribution efficiency carryover mechanism issued by the Essential Services Commission on 23 March 2007 under clause 7.4 of the Electricity Pricing Order made by the Treasurer under section 35B of the </w:t>
      </w:r>
      <w:r>
        <w:rPr>
          <w:i/>
          <w:sz w:val="24"/>
        </w:rPr>
        <w:t>Electricity Act 1996 </w:t>
      </w:r>
      <w:r>
        <w:rPr>
          <w:sz w:val="24"/>
        </w:rPr>
        <w:t>(SA) on 11 October</w:t>
      </w:r>
      <w:r>
        <w:rPr>
          <w:spacing w:val="-3"/>
          <w:sz w:val="24"/>
        </w:rPr>
        <w:t> </w:t>
      </w:r>
      <w:r>
        <w:rPr>
          <w:sz w:val="24"/>
        </w:rPr>
        <w:t>1999.</w:t>
      </w:r>
    </w:p>
    <w:p>
      <w:pPr>
        <w:pStyle w:val="ListParagraph"/>
        <w:numPr>
          <w:ilvl w:val="3"/>
          <w:numId w:val="682"/>
        </w:numPr>
        <w:tabs>
          <w:tab w:pos="1919" w:val="left" w:leader="none"/>
        </w:tabs>
        <w:spacing w:line="240" w:lineRule="auto" w:before="120" w:after="0"/>
        <w:ind w:left="1918" w:right="0" w:hanging="567"/>
        <w:jc w:val="both"/>
        <w:rPr>
          <w:sz w:val="24"/>
        </w:rPr>
      </w:pPr>
      <w:r>
        <w:rPr>
          <w:sz w:val="24"/>
        </w:rPr>
        <w:t>The relevant distribution</w:t>
      </w:r>
      <w:r>
        <w:rPr>
          <w:spacing w:val="-2"/>
          <w:sz w:val="24"/>
        </w:rPr>
        <w:t> </w:t>
      </w:r>
      <w:r>
        <w:rPr>
          <w:sz w:val="24"/>
        </w:rPr>
        <w:t>determination:</w:t>
      </w:r>
    </w:p>
    <w:p>
      <w:pPr>
        <w:pStyle w:val="ListParagraph"/>
        <w:numPr>
          <w:ilvl w:val="0"/>
          <w:numId w:val="684"/>
        </w:numPr>
        <w:tabs>
          <w:tab w:pos="2486" w:val="left" w:leader="none"/>
        </w:tabs>
        <w:spacing w:line="240" w:lineRule="auto" w:before="120" w:after="0"/>
        <w:ind w:left="2486" w:right="414" w:hanging="567"/>
        <w:jc w:val="both"/>
        <w:rPr>
          <w:sz w:val="24"/>
        </w:rPr>
      </w:pPr>
      <w:r>
        <w:rPr>
          <w:sz w:val="24"/>
        </w:rPr>
        <w:t>must incorporate appropriate transitional arrangements to take into account the change from a pre-tax to a </w:t>
      </w:r>
      <w:r>
        <w:rPr>
          <w:i/>
          <w:sz w:val="24"/>
        </w:rPr>
        <w:t>post-tax revenue model </w:t>
      </w:r>
      <w:r>
        <w:rPr>
          <w:sz w:val="24"/>
        </w:rPr>
        <w:t>(which must be consistent with any agreement between the </w:t>
      </w:r>
      <w:r>
        <w:rPr>
          <w:i/>
          <w:sz w:val="24"/>
        </w:rPr>
        <w:t>AER </w:t>
      </w:r>
      <w:r>
        <w:rPr>
          <w:sz w:val="24"/>
        </w:rPr>
        <w:t>and the SA Distributor about the arrangements necessary to deal with the transition);</w:t>
      </w:r>
      <w:r>
        <w:rPr>
          <w:spacing w:val="-1"/>
          <w:sz w:val="24"/>
        </w:rPr>
        <w:t> </w:t>
      </w:r>
      <w:r>
        <w:rPr>
          <w:sz w:val="24"/>
        </w:rPr>
        <w:t>and</w:t>
      </w:r>
    </w:p>
    <w:p>
      <w:pPr>
        <w:pStyle w:val="ListParagraph"/>
        <w:numPr>
          <w:ilvl w:val="0"/>
          <w:numId w:val="684"/>
        </w:numPr>
        <w:tabs>
          <w:tab w:pos="2486" w:val="left" w:leader="none"/>
        </w:tabs>
        <w:spacing w:line="240" w:lineRule="auto" w:before="120" w:after="0"/>
        <w:ind w:left="2486" w:right="414" w:hanging="567"/>
        <w:jc w:val="both"/>
        <w:rPr>
          <w:sz w:val="24"/>
        </w:rPr>
      </w:pPr>
      <w:r>
        <w:rPr>
          <w:sz w:val="24"/>
        </w:rPr>
        <w:t>must allow the SA Distributor to carry forward impacts associated with the calculation of Maximum Average Distribution Revenue under the price determination into the 2010/11 and 2011/12 </w:t>
      </w:r>
      <w:r>
        <w:rPr>
          <w:i/>
          <w:sz w:val="24"/>
        </w:rPr>
        <w:t>regulatory </w:t>
      </w:r>
      <w:r>
        <w:rPr>
          <w:i/>
          <w:sz w:val="24"/>
        </w:rPr>
        <w:t>years</w:t>
      </w:r>
      <w:r>
        <w:rPr>
          <w:sz w:val="24"/>
        </w:rPr>
        <w:t>.</w:t>
      </w:r>
    </w:p>
    <w:p>
      <w:pPr>
        <w:pStyle w:val="ListParagraph"/>
        <w:numPr>
          <w:ilvl w:val="3"/>
          <w:numId w:val="682"/>
        </w:numPr>
        <w:tabs>
          <w:tab w:pos="1919" w:val="left" w:leader="none"/>
        </w:tabs>
        <w:spacing w:line="240" w:lineRule="auto" w:before="120" w:after="0"/>
        <w:ind w:left="1919" w:right="416" w:hanging="567"/>
        <w:jc w:val="both"/>
        <w:rPr>
          <w:sz w:val="24"/>
        </w:rPr>
      </w:pPr>
      <w:r>
        <w:rPr>
          <w:sz w:val="24"/>
        </w:rPr>
        <w:t>The </w:t>
      </w:r>
      <w:r>
        <w:rPr>
          <w:i/>
          <w:sz w:val="24"/>
        </w:rPr>
        <w:t>efficiency benefit sharing scheme </w:t>
      </w:r>
      <w:r>
        <w:rPr>
          <w:sz w:val="24"/>
        </w:rPr>
        <w:t>under the relevant distribution determination must be consistent with the </w:t>
      </w:r>
      <w:r>
        <w:rPr>
          <w:i/>
          <w:sz w:val="24"/>
        </w:rPr>
        <w:t>statement of regulatory</w:t>
      </w:r>
      <w:r>
        <w:rPr>
          <w:i/>
          <w:spacing w:val="-11"/>
          <w:sz w:val="24"/>
        </w:rPr>
        <w:t> </w:t>
      </w:r>
      <w:r>
        <w:rPr>
          <w:i/>
          <w:sz w:val="24"/>
        </w:rPr>
        <w:t>intent</w:t>
      </w:r>
      <w:r>
        <w:rPr>
          <w:sz w:val="24"/>
        </w:rPr>
        <w:t>.</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The following side constraint is to be applied to tariffs for small customers for the </w:t>
      </w:r>
      <w:r>
        <w:rPr>
          <w:i/>
          <w:sz w:val="24"/>
        </w:rPr>
        <w:t>regulatory control period </w:t>
      </w:r>
      <w:r>
        <w:rPr>
          <w:sz w:val="24"/>
        </w:rPr>
        <w:t>to which the relevant distribution determination</w:t>
      </w:r>
      <w:r>
        <w:rPr>
          <w:spacing w:val="-1"/>
          <w:sz w:val="24"/>
        </w:rPr>
        <w:t> </w:t>
      </w:r>
      <w:r>
        <w:rPr>
          <w:sz w:val="24"/>
        </w:rPr>
        <w:t>applies:</w:t>
      </w:r>
    </w:p>
    <w:p>
      <w:pPr>
        <w:pStyle w:val="BodyText"/>
        <w:ind w:left="1919" w:right="414" w:firstLine="0"/>
      </w:pPr>
      <w:r>
        <w:rPr/>
        <w:t>The fixed supply charge component of the tariff must not increase by more than $10 from one </w:t>
      </w:r>
      <w:r>
        <w:rPr>
          <w:i/>
        </w:rPr>
        <w:t>regulatory year </w:t>
      </w:r>
      <w:r>
        <w:rPr/>
        <w:t>to the next.</w:t>
      </w:r>
    </w:p>
    <w:p>
      <w:pPr>
        <w:spacing w:after="0"/>
        <w:sectPr>
          <w:pgSz w:w="11910" w:h="16840"/>
          <w:pgMar w:header="686" w:footer="637" w:top="1320" w:bottom="820" w:left="1200" w:right="1000"/>
        </w:sectPr>
      </w:pPr>
    </w:p>
    <w:p>
      <w:pPr>
        <w:pStyle w:val="ListParagraph"/>
        <w:numPr>
          <w:ilvl w:val="3"/>
          <w:numId w:val="682"/>
        </w:numPr>
        <w:tabs>
          <w:tab w:pos="1919" w:val="left" w:leader="none"/>
        </w:tabs>
        <w:spacing w:line="240" w:lineRule="auto" w:before="83" w:after="0"/>
        <w:ind w:left="1919" w:right="415" w:hanging="567"/>
        <w:jc w:val="both"/>
        <w:rPr>
          <w:sz w:val="24"/>
        </w:rPr>
      </w:pPr>
      <w:r>
        <w:rPr>
          <w:sz w:val="24"/>
        </w:rPr>
        <w:t>In preparing its </w:t>
      </w:r>
      <w:r>
        <w:rPr>
          <w:i/>
          <w:sz w:val="24"/>
        </w:rPr>
        <w:t>framework and approach paper </w:t>
      </w:r>
      <w:r>
        <w:rPr>
          <w:sz w:val="24"/>
        </w:rPr>
        <w:t>for the distribution determination that is to follow the relevant distribution determination, the </w:t>
      </w:r>
      <w:r>
        <w:rPr>
          <w:i/>
          <w:sz w:val="24"/>
        </w:rPr>
        <w:t>AER </w:t>
      </w:r>
      <w:r>
        <w:rPr>
          <w:sz w:val="24"/>
        </w:rPr>
        <w:t>must consider whether the above side constraint should continue with or without</w:t>
      </w:r>
      <w:r>
        <w:rPr>
          <w:spacing w:val="-2"/>
          <w:sz w:val="24"/>
        </w:rPr>
        <w:t> </w:t>
      </w:r>
      <w:r>
        <w:rPr>
          <w:sz w:val="24"/>
        </w:rPr>
        <w:t>modification.</w:t>
      </w:r>
    </w:p>
    <w:p>
      <w:pPr>
        <w:pStyle w:val="ListParagraph"/>
        <w:numPr>
          <w:ilvl w:val="3"/>
          <w:numId w:val="682"/>
        </w:numPr>
        <w:tabs>
          <w:tab w:pos="1920" w:val="left" w:leader="none"/>
        </w:tabs>
        <w:spacing w:line="240" w:lineRule="auto" w:before="120" w:after="0"/>
        <w:ind w:left="1919" w:right="414" w:hanging="567"/>
        <w:jc w:val="both"/>
        <w:rPr>
          <w:sz w:val="24"/>
        </w:rPr>
      </w:pPr>
      <w:r>
        <w:rPr>
          <w:sz w:val="24"/>
        </w:rPr>
        <w:t>Any reduction in </w:t>
      </w:r>
      <w:r>
        <w:rPr>
          <w:i/>
          <w:sz w:val="24"/>
        </w:rPr>
        <w:t>transmission network </w:t>
      </w:r>
      <w:r>
        <w:rPr>
          <w:sz w:val="24"/>
        </w:rPr>
        <w:t>charges as a result of a regulatory reset (excluding reductions resulting from the distribution of </w:t>
      </w:r>
      <w:r>
        <w:rPr>
          <w:i/>
          <w:sz w:val="24"/>
        </w:rPr>
        <w:t>settlements </w:t>
      </w:r>
      <w:r>
        <w:rPr>
          <w:i/>
          <w:sz w:val="24"/>
        </w:rPr>
        <w:t>residue </w:t>
      </w:r>
      <w:r>
        <w:rPr>
          <w:sz w:val="24"/>
        </w:rPr>
        <w:t>and </w:t>
      </w:r>
      <w:r>
        <w:rPr>
          <w:i/>
          <w:sz w:val="24"/>
        </w:rPr>
        <w:t>settlements residue auction </w:t>
      </w:r>
      <w:r>
        <w:rPr>
          <w:sz w:val="24"/>
        </w:rPr>
        <w:t>proceeds) must be paid to all </w:t>
      </w:r>
      <w:r>
        <w:rPr>
          <w:i/>
          <w:sz w:val="24"/>
        </w:rPr>
        <w:t>customers</w:t>
      </w:r>
      <w:r>
        <w:rPr>
          <w:sz w:val="24"/>
        </w:rPr>
        <w:t>.</w:t>
      </w:r>
    </w:p>
    <w:p>
      <w:pPr>
        <w:pStyle w:val="BodyText"/>
        <w:spacing w:before="10"/>
        <w:ind w:firstLine="0"/>
        <w:jc w:val="left"/>
        <w:rPr>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6 Capital contributions, prepayment" w:id="2820"/>
      <w:bookmarkEnd w:id="2820"/>
      <w:r>
        <w:rPr>
          <w:b w:val="0"/>
        </w:rPr>
      </w:r>
      <w:bookmarkStart w:name="_bookmark1147" w:id="2821"/>
      <w:bookmarkEnd w:id="2821"/>
      <w:r>
        <w:rPr>
          <w:b w:val="0"/>
        </w:rPr>
      </w:r>
      <w:bookmarkStart w:name="_bookmark1147" w:id="2822"/>
      <w:bookmarkEnd w:id="2822"/>
      <w:r>
        <w:rPr/>
        <w:t>Capita</w:t>
      </w:r>
      <w:r>
        <w:rPr/>
        <w:t>l contributions, prepayments and financial</w:t>
      </w:r>
      <w:r>
        <w:rPr>
          <w:spacing w:val="-7"/>
        </w:rPr>
        <w:t> </w:t>
      </w:r>
      <w:r>
        <w:rPr/>
        <w:t>guarantees</w:t>
      </w:r>
    </w:p>
    <w:p>
      <w:pPr>
        <w:pStyle w:val="ListParagraph"/>
        <w:numPr>
          <w:ilvl w:val="3"/>
          <w:numId w:val="682"/>
        </w:numPr>
        <w:tabs>
          <w:tab w:pos="1919" w:val="left" w:leader="none"/>
        </w:tabs>
        <w:spacing w:line="240" w:lineRule="auto" w:before="120" w:after="0"/>
        <w:ind w:left="1919" w:right="415" w:hanging="567"/>
        <w:jc w:val="both"/>
        <w:rPr>
          <w:sz w:val="24"/>
        </w:rPr>
      </w:pPr>
      <w:r>
        <w:rPr>
          <w:sz w:val="24"/>
        </w:rPr>
        <w:t>The amount that a South Australian </w:t>
      </w:r>
      <w:r>
        <w:rPr>
          <w:i/>
          <w:sz w:val="24"/>
        </w:rPr>
        <w:t>Distribution Network Service Provider </w:t>
      </w:r>
      <w:r>
        <w:rPr>
          <w:sz w:val="24"/>
        </w:rPr>
        <w:t>may receive by way of capital contribution, prepayment and/or financial guarantee in respect of a South Australian network will be determined by the appropriate regulator in accordance with </w:t>
      </w:r>
      <w:r>
        <w:rPr>
          <w:i/>
          <w:sz w:val="24"/>
        </w:rPr>
        <w:t>applicable regulatory </w:t>
      </w:r>
      <w:r>
        <w:rPr>
          <w:i/>
          <w:sz w:val="24"/>
        </w:rPr>
        <w:t>instruments</w:t>
      </w:r>
      <w:r>
        <w:rPr>
          <w:sz w:val="24"/>
        </w:rPr>
        <w:t>.</w:t>
      </w:r>
    </w:p>
    <w:p>
      <w:pPr>
        <w:pStyle w:val="ListParagraph"/>
        <w:numPr>
          <w:ilvl w:val="3"/>
          <w:numId w:val="682"/>
        </w:numPr>
        <w:tabs>
          <w:tab w:pos="1919" w:val="left" w:leader="none"/>
        </w:tabs>
        <w:spacing w:line="240" w:lineRule="auto" w:before="120" w:after="0"/>
        <w:ind w:left="1919" w:right="414" w:hanging="567"/>
        <w:jc w:val="both"/>
        <w:rPr>
          <w:sz w:val="24"/>
        </w:rPr>
      </w:pPr>
      <w:r>
        <w:rPr>
          <w:sz w:val="24"/>
        </w:rPr>
        <w:t>This clause operates to the exclusion of clause 6.7.2(b) of the former Chapter 6 (as it continues in force under transitional provisions) and clause 6.21.2(2) of the present Chapter</w:t>
      </w:r>
      <w:r>
        <w:rPr>
          <w:spacing w:val="-1"/>
          <w:sz w:val="24"/>
        </w:rPr>
        <w:t> </w:t>
      </w:r>
      <w:r>
        <w:rPr>
          <w:sz w:val="24"/>
        </w:rPr>
        <w:t>6.</w:t>
      </w:r>
    </w:p>
    <w:p>
      <w:pPr>
        <w:pStyle w:val="ListParagraph"/>
        <w:numPr>
          <w:ilvl w:val="3"/>
          <w:numId w:val="682"/>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clause:</w:t>
      </w:r>
    </w:p>
    <w:p>
      <w:pPr>
        <w:spacing w:before="120"/>
        <w:ind w:left="1919" w:right="0" w:firstLine="0"/>
        <w:jc w:val="both"/>
        <w:rPr>
          <w:sz w:val="24"/>
        </w:rPr>
      </w:pPr>
      <w:r>
        <w:rPr>
          <w:b/>
          <w:sz w:val="24"/>
        </w:rPr>
        <w:t>appropriate regulator </w:t>
      </w:r>
      <w:r>
        <w:rPr>
          <w:sz w:val="24"/>
        </w:rPr>
        <w:t>means:</w:t>
      </w:r>
    </w:p>
    <w:p>
      <w:pPr>
        <w:pStyle w:val="ListParagraph"/>
        <w:numPr>
          <w:ilvl w:val="0"/>
          <w:numId w:val="685"/>
        </w:numPr>
        <w:tabs>
          <w:tab w:pos="2486" w:val="left" w:leader="none"/>
        </w:tabs>
        <w:spacing w:line="240" w:lineRule="auto" w:before="120" w:after="0"/>
        <w:ind w:left="2486" w:right="416" w:hanging="567"/>
        <w:jc w:val="both"/>
        <w:rPr>
          <w:sz w:val="24"/>
        </w:rPr>
      </w:pPr>
      <w:r>
        <w:rPr>
          <w:sz w:val="24"/>
        </w:rPr>
        <w:t>if the South Australian Minister has made no transfer of regulatory responsibility to the </w:t>
      </w:r>
      <w:r>
        <w:rPr>
          <w:i/>
          <w:sz w:val="24"/>
        </w:rPr>
        <w:t>AER </w:t>
      </w:r>
      <w:r>
        <w:rPr>
          <w:sz w:val="24"/>
        </w:rPr>
        <w:t>under clause 11.14.4 – the South Australian Essential Services</w:t>
      </w:r>
      <w:r>
        <w:rPr>
          <w:spacing w:val="-3"/>
          <w:sz w:val="24"/>
        </w:rPr>
        <w:t> </w:t>
      </w:r>
      <w:r>
        <w:rPr>
          <w:sz w:val="24"/>
        </w:rPr>
        <w:t>Commission;</w:t>
      </w:r>
    </w:p>
    <w:p>
      <w:pPr>
        <w:pStyle w:val="ListParagraph"/>
        <w:numPr>
          <w:ilvl w:val="0"/>
          <w:numId w:val="685"/>
        </w:numPr>
        <w:tabs>
          <w:tab w:pos="2486" w:val="left" w:leader="none"/>
        </w:tabs>
        <w:spacing w:line="240" w:lineRule="auto" w:before="120" w:after="0"/>
        <w:ind w:left="2486" w:right="416" w:hanging="567"/>
        <w:jc w:val="both"/>
        <w:rPr>
          <w:sz w:val="24"/>
        </w:rPr>
      </w:pPr>
      <w:r>
        <w:rPr>
          <w:sz w:val="24"/>
        </w:rPr>
        <w:t>if the South Australian Minister has made a transfer of regulatory responsibility to the </w:t>
      </w:r>
      <w:r>
        <w:rPr>
          <w:i/>
          <w:sz w:val="24"/>
        </w:rPr>
        <w:t>AER </w:t>
      </w:r>
      <w:r>
        <w:rPr>
          <w:sz w:val="24"/>
        </w:rPr>
        <w:t>under clause 11.14.4 – the</w:t>
      </w:r>
      <w:r>
        <w:rPr>
          <w:spacing w:val="-2"/>
          <w:sz w:val="24"/>
        </w:rPr>
        <w:t> </w:t>
      </w:r>
      <w:r>
        <w:rPr>
          <w:i/>
          <w:sz w:val="24"/>
        </w:rPr>
        <w:t>AER</w:t>
      </w:r>
      <w:r>
        <w:rPr>
          <w:sz w:val="24"/>
        </w:rPr>
        <w:t>.</w:t>
      </w:r>
    </w:p>
    <w:p>
      <w:pPr>
        <w:pStyle w:val="BodyText"/>
        <w:spacing w:before="10"/>
        <w:ind w:firstLine="0"/>
        <w:jc w:val="left"/>
        <w:rPr>
          <w:sz w:val="20"/>
        </w:rPr>
      </w:pPr>
    </w:p>
    <w:p>
      <w:pPr>
        <w:pStyle w:val="Heading4"/>
        <w:numPr>
          <w:ilvl w:val="2"/>
          <w:numId w:val="682"/>
        </w:numPr>
        <w:tabs>
          <w:tab w:pos="1351" w:val="left" w:leader="none"/>
          <w:tab w:pos="1352" w:val="left" w:leader="none"/>
        </w:tabs>
        <w:spacing w:line="240" w:lineRule="auto" w:before="0" w:after="0"/>
        <w:ind w:left="1351" w:right="0" w:hanging="1134"/>
        <w:jc w:val="left"/>
      </w:pPr>
      <w:bookmarkStart w:name="9.29.7 Ring fencing" w:id="2823"/>
      <w:bookmarkEnd w:id="2823"/>
      <w:r>
        <w:rPr>
          <w:b w:val="0"/>
        </w:rPr>
      </w:r>
      <w:bookmarkStart w:name="_bookmark1148" w:id="2824"/>
      <w:bookmarkEnd w:id="2824"/>
      <w:r>
        <w:rPr>
          <w:b w:val="0"/>
        </w:rPr>
      </w:r>
      <w:bookmarkStart w:name="_bookmark1148" w:id="2825"/>
      <w:bookmarkEnd w:id="2825"/>
      <w:r>
        <w:rPr/>
        <w:t>Rin</w:t>
      </w:r>
      <w:r>
        <w:rPr/>
        <w:t>g</w:t>
      </w:r>
      <w:r>
        <w:rPr>
          <w:spacing w:val="-2"/>
        </w:rPr>
        <w:t> </w:t>
      </w:r>
      <w:r>
        <w:rPr/>
        <w:t>fencing</w:t>
      </w:r>
    </w:p>
    <w:p>
      <w:pPr>
        <w:spacing w:before="120"/>
        <w:ind w:left="1352" w:right="414" w:firstLine="0"/>
        <w:jc w:val="both"/>
        <w:rPr>
          <w:sz w:val="24"/>
        </w:rPr>
      </w:pPr>
      <w:r>
        <w:rPr>
          <w:sz w:val="24"/>
        </w:rPr>
        <w:t>On the </w:t>
      </w:r>
      <w:r>
        <w:rPr>
          <w:i/>
          <w:sz w:val="24"/>
        </w:rPr>
        <w:t>AER's </w:t>
      </w:r>
      <w:r>
        <w:rPr>
          <w:sz w:val="24"/>
        </w:rPr>
        <w:t>assumption of responsibility for the economic regulation of </w:t>
      </w:r>
      <w:r>
        <w:rPr>
          <w:i/>
          <w:sz w:val="24"/>
        </w:rPr>
        <w:t>distribution services </w:t>
      </w:r>
      <w:r>
        <w:rPr>
          <w:sz w:val="24"/>
        </w:rPr>
        <w:t>in South Australia, the guidelines entitled </w:t>
      </w:r>
      <w:r>
        <w:rPr>
          <w:i/>
          <w:sz w:val="24"/>
        </w:rPr>
        <w:t>Operational Ring- </w:t>
      </w:r>
      <w:r>
        <w:rPr>
          <w:i/>
          <w:sz w:val="24"/>
        </w:rPr>
        <w:t>fencing Requirements for the SA Electricity Supply Industry: Electricity Industry Guideline No. 9 </w:t>
      </w:r>
      <w:r>
        <w:rPr>
          <w:sz w:val="24"/>
        </w:rPr>
        <w:t>dated June 2003 (including amendments and substitutions made up to the date the </w:t>
      </w:r>
      <w:r>
        <w:rPr>
          <w:i/>
          <w:sz w:val="24"/>
        </w:rPr>
        <w:t>AER </w:t>
      </w:r>
      <w:r>
        <w:rPr>
          <w:sz w:val="24"/>
        </w:rPr>
        <w:t>assumes that responsibility) will be taken to be distribution ring-fencing guidelines issued by the </w:t>
      </w:r>
      <w:r>
        <w:rPr>
          <w:i/>
          <w:sz w:val="24"/>
        </w:rPr>
        <w:t>AER </w:t>
      </w:r>
      <w:r>
        <w:rPr>
          <w:sz w:val="24"/>
        </w:rPr>
        <w:t>under Rule 6.17.</w:t>
      </w:r>
    </w:p>
    <w:p>
      <w:pPr>
        <w:pStyle w:val="BodyText"/>
        <w:spacing w:before="10"/>
        <w:ind w:firstLine="0"/>
        <w:jc w:val="left"/>
        <w:rPr>
          <w:sz w:val="20"/>
        </w:rPr>
      </w:pPr>
    </w:p>
    <w:p>
      <w:pPr>
        <w:pStyle w:val="Heading3"/>
        <w:numPr>
          <w:ilvl w:val="1"/>
          <w:numId w:val="686"/>
        </w:numPr>
        <w:tabs>
          <w:tab w:pos="725" w:val="left" w:leader="none"/>
          <w:tab w:pos="1351" w:val="left" w:leader="none"/>
        </w:tabs>
        <w:spacing w:line="240" w:lineRule="auto" w:before="0" w:after="0"/>
        <w:ind w:left="724" w:right="0" w:hanging="507"/>
        <w:jc w:val="left"/>
      </w:pPr>
      <w:bookmarkStart w:name="9.29A Monitoring and reporting" w:id="2826"/>
      <w:bookmarkEnd w:id="2826"/>
      <w:r>
        <w:rPr>
          <w:b w:val="0"/>
        </w:rPr>
      </w:r>
      <w:bookmarkStart w:name="_bookmark1149" w:id="2827"/>
      <w:bookmarkEnd w:id="2827"/>
      <w:r>
        <w:rPr>
          <w:b w:val="0"/>
        </w:rPr>
      </w:r>
      <w:bookmarkStart w:name="_bookmark1149" w:id="2828"/>
      <w:bookmarkEnd w:id="2828"/>
      <w:r>
        <w:rPr/>
        <w:t>A</w:t>
      </w:r>
      <w:r>
        <w:rPr/>
        <w:tab/>
        <w:t>Monitoring and</w:t>
      </w:r>
      <w:r>
        <w:rPr>
          <w:spacing w:val="-2"/>
        </w:rPr>
        <w:t> </w:t>
      </w:r>
      <w:r>
        <w:rPr/>
        <w:t>reporting</w:t>
      </w:r>
    </w:p>
    <w:p>
      <w:pPr>
        <w:pStyle w:val="ListParagraph"/>
        <w:numPr>
          <w:ilvl w:val="2"/>
          <w:numId w:val="686"/>
        </w:numPr>
        <w:tabs>
          <w:tab w:pos="1918" w:val="left" w:leader="none"/>
          <w:tab w:pos="1919" w:val="left" w:leader="none"/>
        </w:tabs>
        <w:spacing w:line="240" w:lineRule="auto" w:before="120" w:after="0"/>
        <w:ind w:left="1919" w:right="414" w:hanging="567"/>
        <w:jc w:val="left"/>
        <w:rPr>
          <w:sz w:val="24"/>
        </w:rPr>
      </w:pPr>
      <w:r>
        <w:rPr>
          <w:sz w:val="24"/>
        </w:rPr>
        <w:t>This clause applies to information about </w:t>
      </w:r>
      <w:r>
        <w:rPr>
          <w:i/>
          <w:sz w:val="24"/>
        </w:rPr>
        <w:t>interconnectors </w:t>
      </w:r>
      <w:r>
        <w:rPr>
          <w:sz w:val="24"/>
        </w:rPr>
        <w:t>into South Australia or consisting of South Australian market data that</w:t>
      </w:r>
      <w:r>
        <w:rPr>
          <w:spacing w:val="-11"/>
          <w:sz w:val="24"/>
        </w:rPr>
        <w:t> </w:t>
      </w:r>
      <w:r>
        <w:rPr>
          <w:sz w:val="24"/>
        </w:rPr>
        <w:t>is:</w:t>
      </w:r>
    </w:p>
    <w:p>
      <w:pPr>
        <w:pStyle w:val="ListParagraph"/>
        <w:numPr>
          <w:ilvl w:val="3"/>
          <w:numId w:val="686"/>
        </w:numPr>
        <w:tabs>
          <w:tab w:pos="2485" w:val="left" w:leader="none"/>
          <w:tab w:pos="2486" w:val="left" w:leader="none"/>
        </w:tabs>
        <w:spacing w:line="240" w:lineRule="auto" w:before="120" w:after="0"/>
        <w:ind w:left="2485" w:right="0" w:hanging="567"/>
        <w:jc w:val="left"/>
        <w:rPr>
          <w:sz w:val="24"/>
        </w:rPr>
      </w:pPr>
      <w:r>
        <w:rPr>
          <w:sz w:val="24"/>
        </w:rPr>
        <w:t>within </w:t>
      </w:r>
      <w:r>
        <w:rPr>
          <w:i/>
          <w:sz w:val="24"/>
        </w:rPr>
        <w:t>AEMO's </w:t>
      </w:r>
      <w:r>
        <w:rPr>
          <w:sz w:val="24"/>
        </w:rPr>
        <w:t>control;</w:t>
      </w:r>
      <w:r>
        <w:rPr>
          <w:spacing w:val="-2"/>
          <w:sz w:val="24"/>
        </w:rPr>
        <w:t> </w:t>
      </w:r>
      <w:r>
        <w:rPr>
          <w:sz w:val="24"/>
        </w:rPr>
        <w:t>and</w:t>
      </w:r>
    </w:p>
    <w:p>
      <w:pPr>
        <w:pStyle w:val="ListParagraph"/>
        <w:numPr>
          <w:ilvl w:val="3"/>
          <w:numId w:val="686"/>
        </w:numPr>
        <w:tabs>
          <w:tab w:pos="2485" w:val="left" w:leader="none"/>
          <w:tab w:pos="2486" w:val="left" w:leader="none"/>
        </w:tabs>
        <w:spacing w:line="240" w:lineRule="auto" w:before="120" w:after="0"/>
        <w:ind w:left="2486" w:right="416" w:hanging="567"/>
        <w:jc w:val="left"/>
        <w:rPr>
          <w:sz w:val="24"/>
        </w:rPr>
      </w:pPr>
      <w:r>
        <w:rPr>
          <w:sz w:val="24"/>
        </w:rPr>
        <w:t>reasonably required by a relevant South Australian authority to fulfil obligations</w:t>
      </w:r>
      <w:r>
        <w:rPr>
          <w:spacing w:val="-1"/>
          <w:sz w:val="24"/>
        </w:rPr>
        <w:t> </w:t>
      </w:r>
      <w:r>
        <w:rPr>
          <w:sz w:val="24"/>
        </w:rPr>
        <w:t>under:</w:t>
      </w:r>
    </w:p>
    <w:p>
      <w:pPr>
        <w:pStyle w:val="ListParagraph"/>
        <w:numPr>
          <w:ilvl w:val="4"/>
          <w:numId w:val="686"/>
        </w:numPr>
        <w:tabs>
          <w:tab w:pos="3052" w:val="left" w:leader="none"/>
          <w:tab w:pos="3053" w:val="left" w:leader="none"/>
        </w:tabs>
        <w:spacing w:line="240" w:lineRule="auto" w:before="120" w:after="0"/>
        <w:ind w:left="3052" w:right="0" w:hanging="567"/>
        <w:jc w:val="left"/>
        <w:rPr>
          <w:sz w:val="24"/>
        </w:rPr>
      </w:pPr>
      <w:r>
        <w:rPr>
          <w:sz w:val="24"/>
        </w:rPr>
        <w:t>a relevant protocol on the use of emergency powers;</w:t>
      </w:r>
      <w:r>
        <w:rPr>
          <w:spacing w:val="-1"/>
          <w:sz w:val="24"/>
        </w:rPr>
        <w:t> </w:t>
      </w:r>
      <w:r>
        <w:rPr>
          <w:sz w:val="24"/>
        </w:rPr>
        <w:t>or</w:t>
      </w:r>
    </w:p>
    <w:p>
      <w:pPr>
        <w:pStyle w:val="ListParagraph"/>
        <w:numPr>
          <w:ilvl w:val="4"/>
          <w:numId w:val="686"/>
        </w:numPr>
        <w:tabs>
          <w:tab w:pos="3052" w:val="left" w:leader="none"/>
          <w:tab w:pos="3054" w:val="left" w:leader="none"/>
        </w:tabs>
        <w:spacing w:line="240" w:lineRule="auto" w:before="120" w:after="0"/>
        <w:ind w:left="3053" w:right="0" w:hanging="568"/>
        <w:jc w:val="left"/>
        <w:rPr>
          <w:sz w:val="24"/>
        </w:rPr>
      </w:pPr>
      <w:r>
        <w:rPr>
          <w:sz w:val="24"/>
        </w:rPr>
        <w:t>regulations under the </w:t>
      </w:r>
      <w:r>
        <w:rPr>
          <w:i/>
          <w:sz w:val="24"/>
        </w:rPr>
        <w:t>Electricity Act</w:t>
      </w:r>
      <w:r>
        <w:rPr>
          <w:i/>
          <w:spacing w:val="-2"/>
          <w:sz w:val="24"/>
        </w:rPr>
        <w:t> </w:t>
      </w:r>
      <w:r>
        <w:rPr>
          <w:i/>
          <w:sz w:val="24"/>
        </w:rPr>
        <w:t>1996</w:t>
      </w:r>
      <w:r>
        <w:rPr>
          <w:sz w:val="24"/>
        </w:rPr>
        <w:t>(SA).</w:t>
      </w:r>
    </w:p>
    <w:p>
      <w:pPr>
        <w:pStyle w:val="ListParagraph"/>
        <w:numPr>
          <w:ilvl w:val="2"/>
          <w:numId w:val="686"/>
        </w:numPr>
        <w:tabs>
          <w:tab w:pos="1918" w:val="left" w:leader="none"/>
          <w:tab w:pos="1919" w:val="left" w:leader="none"/>
        </w:tabs>
        <w:spacing w:line="240" w:lineRule="auto" w:before="120" w:after="0"/>
        <w:ind w:left="1919" w:right="416" w:hanging="567"/>
        <w:jc w:val="left"/>
        <w:rPr>
          <w:sz w:val="24"/>
        </w:rPr>
      </w:pPr>
      <w:r>
        <w:rPr>
          <w:i/>
          <w:sz w:val="24"/>
        </w:rPr>
        <w:t>AEMO </w:t>
      </w:r>
      <w:r>
        <w:rPr>
          <w:sz w:val="24"/>
        </w:rPr>
        <w:t>must, at the request of a relevant South Australian authority, provide the authority with information to which this clause</w:t>
      </w:r>
      <w:r>
        <w:rPr>
          <w:spacing w:val="-5"/>
          <w:sz w:val="24"/>
        </w:rPr>
        <w:t> </w:t>
      </w:r>
      <w:r>
        <w:rPr>
          <w:sz w:val="24"/>
        </w:rPr>
        <w:t>applies.</w:t>
      </w:r>
    </w:p>
    <w:p>
      <w:pPr>
        <w:spacing w:after="0" w:line="240" w:lineRule="auto"/>
        <w:jc w:val="left"/>
        <w:rPr>
          <w:sz w:val="24"/>
        </w:rPr>
        <w:sectPr>
          <w:pgSz w:w="11910" w:h="16840"/>
          <w:pgMar w:header="686" w:footer="637" w:top="1320" w:bottom="820" w:left="1200" w:right="1000"/>
        </w:sectPr>
      </w:pPr>
    </w:p>
    <w:p>
      <w:pPr>
        <w:pStyle w:val="ListParagraph"/>
        <w:numPr>
          <w:ilvl w:val="2"/>
          <w:numId w:val="686"/>
        </w:numPr>
        <w:tabs>
          <w:tab w:pos="1919" w:val="left" w:leader="none"/>
        </w:tabs>
        <w:spacing w:line="240" w:lineRule="auto" w:before="83" w:after="0"/>
        <w:ind w:left="1919" w:right="413" w:hanging="567"/>
        <w:jc w:val="both"/>
        <w:rPr>
          <w:sz w:val="24"/>
        </w:rPr>
      </w:pPr>
      <w:r>
        <w:rPr>
          <w:sz w:val="24"/>
        </w:rPr>
        <w:t>The information must be provided by way of a real time data link or, if such a link is not available, by the most expeditious means reasonably practicable in the</w:t>
      </w:r>
      <w:r>
        <w:rPr>
          <w:spacing w:val="-1"/>
          <w:sz w:val="24"/>
        </w:rPr>
        <w:t> </w:t>
      </w:r>
      <w:r>
        <w:rPr>
          <w:sz w:val="24"/>
        </w:rPr>
        <w:t>circumstances.</w:t>
      </w:r>
    </w:p>
    <w:p>
      <w:pPr>
        <w:pStyle w:val="ListParagraph"/>
        <w:numPr>
          <w:ilvl w:val="2"/>
          <w:numId w:val="686"/>
        </w:numPr>
        <w:tabs>
          <w:tab w:pos="1919" w:val="left" w:leader="none"/>
        </w:tabs>
        <w:spacing w:line="240" w:lineRule="auto" w:before="120" w:after="0"/>
        <w:ind w:left="1919" w:right="414" w:hanging="567"/>
        <w:jc w:val="both"/>
        <w:rPr>
          <w:sz w:val="24"/>
        </w:rPr>
      </w:pPr>
      <w:r>
        <w:rPr>
          <w:sz w:val="24"/>
        </w:rPr>
        <w:t>If the cost incurred by </w:t>
      </w:r>
      <w:r>
        <w:rPr>
          <w:i/>
          <w:sz w:val="24"/>
        </w:rPr>
        <w:t>AEMO </w:t>
      </w:r>
      <w:r>
        <w:rPr>
          <w:sz w:val="24"/>
        </w:rPr>
        <w:t>in providing information under this clause exceeds the cost usually incurred in providing a </w:t>
      </w:r>
      <w:r>
        <w:rPr>
          <w:i/>
          <w:sz w:val="24"/>
        </w:rPr>
        <w:t>Market Participant </w:t>
      </w:r>
      <w:r>
        <w:rPr>
          <w:sz w:val="24"/>
        </w:rPr>
        <w:t>with information in accordance with the </w:t>
      </w:r>
      <w:r>
        <w:rPr>
          <w:i/>
          <w:sz w:val="24"/>
        </w:rPr>
        <w:t>Rules</w:t>
      </w:r>
      <w:r>
        <w:rPr>
          <w:sz w:val="24"/>
        </w:rPr>
        <w:t>, the relevant South Australian authority that requested the information must pay the</w:t>
      </w:r>
      <w:r>
        <w:rPr>
          <w:spacing w:val="-1"/>
          <w:sz w:val="24"/>
        </w:rPr>
        <w:t> </w:t>
      </w:r>
      <w:r>
        <w:rPr>
          <w:sz w:val="24"/>
        </w:rPr>
        <w:t>excess.</w:t>
      </w:r>
    </w:p>
    <w:p>
      <w:pPr>
        <w:pStyle w:val="ListParagraph"/>
        <w:numPr>
          <w:ilvl w:val="2"/>
          <w:numId w:val="686"/>
        </w:numPr>
        <w:tabs>
          <w:tab w:pos="1919" w:val="left" w:leader="none"/>
        </w:tabs>
        <w:spacing w:line="240" w:lineRule="auto" w:before="120" w:after="0"/>
        <w:ind w:left="1918" w:right="0" w:hanging="567"/>
        <w:jc w:val="both"/>
        <w:rPr>
          <w:sz w:val="24"/>
        </w:rPr>
      </w:pPr>
      <w:r>
        <w:rPr>
          <w:sz w:val="24"/>
        </w:rPr>
        <w:t>In this</w:t>
      </w:r>
      <w:r>
        <w:rPr>
          <w:spacing w:val="-1"/>
          <w:sz w:val="24"/>
        </w:rPr>
        <w:t> </w:t>
      </w:r>
      <w:r>
        <w:rPr>
          <w:i/>
          <w:sz w:val="24"/>
        </w:rPr>
        <w:t>Rule</w:t>
      </w:r>
      <w:r>
        <w:rPr>
          <w:sz w:val="24"/>
        </w:rPr>
        <w:t>:</w:t>
      </w:r>
    </w:p>
    <w:p>
      <w:pPr>
        <w:pStyle w:val="BodyText"/>
        <w:ind w:left="1919" w:right="415" w:firstLine="0"/>
      </w:pPr>
      <w:r>
        <w:rPr>
          <w:b/>
        </w:rPr>
        <w:t>relevant protocol on the use of emergency powers </w:t>
      </w:r>
      <w:r>
        <w:rPr/>
        <w:t>means the National Electricity Market Memorandum of Understanding on the Use of Emergency Powers (as amended from time to time) and includes any later protocol on the use of emergency powers agreed between jurisdictions participating in the National Electricity</w:t>
      </w:r>
      <w:r>
        <w:rPr>
          <w:spacing w:val="-3"/>
        </w:rPr>
        <w:t> </w:t>
      </w:r>
      <w:r>
        <w:rPr/>
        <w:t>Market.</w:t>
      </w:r>
    </w:p>
    <w:p>
      <w:pPr>
        <w:pStyle w:val="Heading4"/>
        <w:spacing w:before="120"/>
        <w:ind w:left="1919" w:firstLine="0"/>
        <w:jc w:val="both"/>
        <w:rPr>
          <w:rFonts w:ascii="Times New Roman"/>
          <w:b w:val="0"/>
        </w:rPr>
      </w:pPr>
      <w:r>
        <w:rPr>
          <w:rFonts w:ascii="Times New Roman"/>
        </w:rPr>
        <w:t>relevant South Australian authority </w:t>
      </w:r>
      <w:r>
        <w:rPr>
          <w:rFonts w:ascii="Times New Roman"/>
          <w:b w:val="0"/>
        </w:rPr>
        <w:t>means:</w:t>
      </w:r>
    </w:p>
    <w:p>
      <w:pPr>
        <w:pStyle w:val="ListParagraph"/>
        <w:numPr>
          <w:ilvl w:val="0"/>
          <w:numId w:val="687"/>
        </w:numPr>
        <w:tabs>
          <w:tab w:pos="2486" w:val="left" w:leader="none"/>
        </w:tabs>
        <w:spacing w:line="240" w:lineRule="auto" w:before="120" w:after="0"/>
        <w:ind w:left="2485" w:right="0" w:hanging="567"/>
        <w:jc w:val="both"/>
        <w:rPr>
          <w:sz w:val="24"/>
        </w:rPr>
      </w:pPr>
      <w:r>
        <w:rPr>
          <w:sz w:val="24"/>
        </w:rPr>
        <w:t>the Technical Regulator;</w:t>
      </w:r>
      <w:r>
        <w:rPr>
          <w:spacing w:val="-1"/>
          <w:sz w:val="24"/>
        </w:rPr>
        <w:t> </w:t>
      </w:r>
      <w:r>
        <w:rPr>
          <w:sz w:val="24"/>
        </w:rPr>
        <w:t>or</w:t>
      </w:r>
    </w:p>
    <w:p>
      <w:pPr>
        <w:pStyle w:val="ListParagraph"/>
        <w:numPr>
          <w:ilvl w:val="0"/>
          <w:numId w:val="687"/>
        </w:numPr>
        <w:tabs>
          <w:tab w:pos="2486" w:val="left" w:leader="none"/>
        </w:tabs>
        <w:spacing w:line="240" w:lineRule="auto" w:before="120" w:after="0"/>
        <w:ind w:left="2486" w:right="416" w:hanging="567"/>
        <w:jc w:val="both"/>
        <w:rPr>
          <w:sz w:val="24"/>
        </w:rPr>
      </w:pPr>
      <w:r>
        <w:rPr>
          <w:sz w:val="24"/>
        </w:rPr>
        <w:t>an officer of the South Australian Public Service nominated by the SA Minister to be a responsible officer for the purpose of fulfilling obligations</w:t>
      </w:r>
      <w:r>
        <w:rPr>
          <w:spacing w:val="-1"/>
          <w:sz w:val="24"/>
        </w:rPr>
        <w:t> </w:t>
      </w:r>
      <w:r>
        <w:rPr>
          <w:sz w:val="24"/>
        </w:rPr>
        <w:t>under:</w:t>
      </w:r>
    </w:p>
    <w:p>
      <w:pPr>
        <w:pStyle w:val="ListParagraph"/>
        <w:numPr>
          <w:ilvl w:val="1"/>
          <w:numId w:val="687"/>
        </w:numPr>
        <w:tabs>
          <w:tab w:pos="3053" w:val="left" w:leader="none"/>
        </w:tabs>
        <w:spacing w:line="240" w:lineRule="auto" w:before="120" w:after="0"/>
        <w:ind w:left="3052" w:right="0" w:hanging="567"/>
        <w:jc w:val="both"/>
        <w:rPr>
          <w:sz w:val="24"/>
        </w:rPr>
      </w:pPr>
      <w:r>
        <w:rPr>
          <w:sz w:val="24"/>
        </w:rPr>
        <w:t>a relevant protocol on the use of emergency powers;</w:t>
      </w:r>
      <w:r>
        <w:rPr>
          <w:spacing w:val="-1"/>
          <w:sz w:val="24"/>
        </w:rPr>
        <w:t> </w:t>
      </w:r>
      <w:r>
        <w:rPr>
          <w:sz w:val="24"/>
        </w:rPr>
        <w:t>or</w:t>
      </w:r>
    </w:p>
    <w:p>
      <w:pPr>
        <w:pStyle w:val="ListParagraph"/>
        <w:numPr>
          <w:ilvl w:val="1"/>
          <w:numId w:val="687"/>
        </w:numPr>
        <w:tabs>
          <w:tab w:pos="3054" w:val="left" w:leader="none"/>
        </w:tabs>
        <w:spacing w:line="240" w:lineRule="auto" w:before="120" w:after="0"/>
        <w:ind w:left="3053" w:right="0" w:hanging="568"/>
        <w:jc w:val="both"/>
        <w:rPr>
          <w:sz w:val="24"/>
        </w:rPr>
      </w:pPr>
      <w:r>
        <w:rPr>
          <w:sz w:val="24"/>
        </w:rPr>
        <w:t>regulations under the </w:t>
      </w:r>
      <w:r>
        <w:rPr>
          <w:i/>
          <w:sz w:val="24"/>
        </w:rPr>
        <w:t>Electricity Act 1996</w:t>
      </w:r>
      <w:r>
        <w:rPr>
          <w:i/>
          <w:spacing w:val="-2"/>
          <w:sz w:val="24"/>
        </w:rPr>
        <w:t> </w:t>
      </w:r>
      <w:r>
        <w:rPr>
          <w:sz w:val="24"/>
        </w:rPr>
        <w:t>(SA).</w:t>
      </w:r>
    </w:p>
    <w:p>
      <w:pPr>
        <w:spacing w:before="120"/>
        <w:ind w:left="1919" w:right="416" w:firstLine="0"/>
        <w:jc w:val="both"/>
        <w:rPr>
          <w:sz w:val="24"/>
        </w:rPr>
      </w:pPr>
      <w:r>
        <w:rPr>
          <w:b/>
          <w:sz w:val="24"/>
        </w:rPr>
        <w:t>Technical Regulator </w:t>
      </w:r>
      <w:r>
        <w:rPr>
          <w:sz w:val="24"/>
        </w:rPr>
        <w:t>means the person holding or acting in the office of Technical Regulator under section 7 of the </w:t>
      </w:r>
      <w:r>
        <w:rPr>
          <w:i/>
          <w:sz w:val="24"/>
        </w:rPr>
        <w:t>Electricity Act 1996 </w:t>
      </w:r>
      <w:r>
        <w:rPr>
          <w:sz w:val="24"/>
        </w:rPr>
        <w:t>(SA).</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30 Transitional Provisions" w:id="2829"/>
      <w:bookmarkEnd w:id="2829"/>
      <w:r>
        <w:rPr>
          <w:b w:val="0"/>
        </w:rPr>
      </w:r>
      <w:bookmarkStart w:name="_bookmark1150" w:id="2830"/>
      <w:bookmarkEnd w:id="2830"/>
      <w:r>
        <w:rPr>
          <w:b w:val="0"/>
        </w:rPr>
      </w:r>
      <w:bookmarkStart w:name="_bookmark1150" w:id="2831"/>
      <w:bookmarkEnd w:id="2831"/>
      <w:r>
        <w:rPr/>
        <w:t>T</w:t>
      </w:r>
      <w:r>
        <w:rPr/>
        <w:t>ransitional</w:t>
      </w:r>
      <w:r>
        <w:rPr>
          <w:spacing w:val="-1"/>
        </w:rPr>
        <w:t> </w:t>
      </w:r>
      <w:r>
        <w:rPr/>
        <w:t>Provisions</w:t>
      </w:r>
    </w:p>
    <w:p>
      <w:pPr>
        <w:pStyle w:val="Heading4"/>
        <w:numPr>
          <w:ilvl w:val="2"/>
          <w:numId w:val="688"/>
        </w:numPr>
        <w:tabs>
          <w:tab w:pos="1351" w:val="left" w:leader="none"/>
          <w:tab w:pos="1352" w:val="left" w:leader="none"/>
        </w:tabs>
        <w:spacing w:line="240" w:lineRule="auto" w:before="240" w:after="0"/>
        <w:ind w:left="1351" w:right="0" w:hanging="1134"/>
        <w:jc w:val="left"/>
      </w:pPr>
      <w:bookmarkStart w:name="9.30.1 Chapter 7 - Metering" w:id="2832"/>
      <w:bookmarkEnd w:id="2832"/>
      <w:r>
        <w:rPr>
          <w:b w:val="0"/>
        </w:rPr>
      </w:r>
      <w:bookmarkStart w:name="_bookmark1151" w:id="2833"/>
      <w:bookmarkEnd w:id="2833"/>
      <w:r>
        <w:rPr>
          <w:b w:val="0"/>
        </w:rPr>
      </w:r>
      <w:bookmarkStart w:name="_bookmark1151" w:id="2834"/>
      <w:bookmarkEnd w:id="2834"/>
      <w:r>
        <w:rPr/>
        <w:t>Chapte</w:t>
      </w:r>
      <w:r>
        <w:rPr/>
        <w:t>r 7 -</w:t>
      </w:r>
      <w:r>
        <w:rPr>
          <w:spacing w:val="-3"/>
        </w:rPr>
        <w:t> </w:t>
      </w:r>
      <w:r>
        <w:rPr/>
        <w:t>Metering</w:t>
      </w:r>
    </w:p>
    <w:p>
      <w:pPr>
        <w:pStyle w:val="ListParagraph"/>
        <w:numPr>
          <w:ilvl w:val="3"/>
          <w:numId w:val="688"/>
        </w:numPr>
        <w:tabs>
          <w:tab w:pos="1919" w:val="left" w:leader="none"/>
        </w:tabs>
        <w:spacing w:line="240" w:lineRule="auto" w:before="120" w:after="0"/>
        <w:ind w:left="1919" w:right="416" w:hanging="567"/>
        <w:jc w:val="both"/>
        <w:rPr>
          <w:sz w:val="24"/>
        </w:rPr>
      </w:pPr>
      <w:r>
        <w:rPr>
          <w:sz w:val="24"/>
        </w:rPr>
        <w:t>The transitional metering provisions set out in schedule 9G1 apply to South Australia in respect of Chapter</w:t>
      </w:r>
      <w:r>
        <w:rPr>
          <w:spacing w:val="-2"/>
          <w:sz w:val="24"/>
        </w:rPr>
        <w:t> </w:t>
      </w:r>
      <w:r>
        <w:rPr>
          <w:sz w:val="24"/>
        </w:rPr>
        <w:t>7.</w:t>
      </w:r>
    </w:p>
    <w:p>
      <w:pPr>
        <w:pStyle w:val="BodyText"/>
        <w:spacing w:before="10"/>
        <w:ind w:firstLine="0"/>
        <w:jc w:val="left"/>
        <w:rPr>
          <w:sz w:val="20"/>
        </w:rPr>
      </w:pPr>
    </w:p>
    <w:p>
      <w:pPr>
        <w:pStyle w:val="Heading2"/>
        <w:tabs>
          <w:tab w:pos="1352" w:val="left" w:leader="none"/>
          <w:tab w:pos="9317" w:val="left" w:leader="none"/>
        </w:tabs>
      </w:pPr>
      <w:bookmarkStart w:name="Part E Jurisdictional Derogations for Qu" w:id="2835"/>
      <w:bookmarkEnd w:id="2835"/>
      <w:r>
        <w:rPr>
          <w:b w:val="0"/>
        </w:rPr>
      </w:r>
      <w:bookmarkStart w:name="_bookmark1152" w:id="2836"/>
      <w:bookmarkEnd w:id="2836"/>
      <w:r>
        <w:rPr>
          <w:b w:val="0"/>
        </w:rPr>
      </w:r>
      <w:r>
        <w:rPr>
          <w:shd w:fill="D9D9D9" w:color="auto" w:val="clear"/>
        </w:rPr>
        <w:t>Part E</w:t>
        <w:tab/>
        <w:t>Jurisdictional Derogations for</w:t>
      </w:r>
      <w:r>
        <w:rPr>
          <w:spacing w:val="-21"/>
          <w:shd w:fill="D9D9D9" w:color="auto" w:val="clear"/>
        </w:rPr>
        <w:t> </w:t>
      </w:r>
      <w:r>
        <w:rPr>
          <w:shd w:fill="D9D9D9" w:color="auto" w:val="clear"/>
        </w:rPr>
        <w:t>Queensland</w:t>
        <w:tab/>
      </w:r>
    </w:p>
    <w:p>
      <w:pPr>
        <w:pStyle w:val="Heading3"/>
        <w:numPr>
          <w:ilvl w:val="1"/>
          <w:numId w:val="686"/>
        </w:numPr>
        <w:tabs>
          <w:tab w:pos="1351" w:val="left" w:leader="none"/>
          <w:tab w:pos="1353" w:val="left" w:leader="none"/>
        </w:tabs>
        <w:spacing w:line="240" w:lineRule="auto" w:before="240" w:after="0"/>
        <w:ind w:left="1352" w:right="0" w:hanging="1135"/>
        <w:jc w:val="left"/>
      </w:pPr>
      <w:bookmarkStart w:name="9.31 [Deleted]" w:id="2837"/>
      <w:bookmarkEnd w:id="2837"/>
      <w:r>
        <w:rPr>
          <w:b w:val="0"/>
        </w:rPr>
      </w:r>
      <w:bookmarkStart w:name="_bookmark1153" w:id="2838"/>
      <w:bookmarkEnd w:id="2838"/>
      <w:r>
        <w:rPr>
          <w:b w:val="0"/>
        </w:rPr>
      </w:r>
      <w:bookmarkStart w:name="_bookmark1153" w:id="2839"/>
      <w:bookmarkEnd w:id="2839"/>
      <w:r>
        <w:rPr/>
        <w:t>[Deleted]</w:t>
      </w:r>
    </w:p>
    <w:p>
      <w:pPr>
        <w:pStyle w:val="Heading3"/>
        <w:numPr>
          <w:ilvl w:val="1"/>
          <w:numId w:val="686"/>
        </w:numPr>
        <w:tabs>
          <w:tab w:pos="1351" w:val="left" w:leader="none"/>
          <w:tab w:pos="1353" w:val="left" w:leader="none"/>
        </w:tabs>
        <w:spacing w:line="240" w:lineRule="auto" w:before="240" w:after="0"/>
        <w:ind w:left="1352" w:right="0" w:hanging="1135"/>
        <w:jc w:val="left"/>
      </w:pPr>
      <w:bookmarkStart w:name="9.32 Definitions and Interpretation" w:id="2840"/>
      <w:bookmarkEnd w:id="2840"/>
      <w:r>
        <w:rPr>
          <w:b w:val="0"/>
        </w:rPr>
      </w:r>
      <w:bookmarkStart w:name="_bookmark1154" w:id="2841"/>
      <w:bookmarkEnd w:id="2841"/>
      <w:r>
        <w:rPr>
          <w:b w:val="0"/>
        </w:rPr>
      </w:r>
      <w:bookmarkStart w:name="_bookmark1154" w:id="2842"/>
      <w:bookmarkEnd w:id="2842"/>
      <w:r>
        <w:rPr/>
        <w:t>Defini</w:t>
      </w:r>
      <w:r>
        <w:rPr/>
        <w:t>tions and</w:t>
      </w:r>
      <w:r>
        <w:rPr>
          <w:spacing w:val="-2"/>
        </w:rPr>
        <w:t> </w:t>
      </w:r>
      <w:r>
        <w:rPr/>
        <w:t>Interpretation</w:t>
      </w:r>
    </w:p>
    <w:p>
      <w:pPr>
        <w:pStyle w:val="Heading4"/>
        <w:numPr>
          <w:ilvl w:val="2"/>
          <w:numId w:val="689"/>
        </w:numPr>
        <w:tabs>
          <w:tab w:pos="1351" w:val="left" w:leader="none"/>
          <w:tab w:pos="1352" w:val="left" w:leader="none"/>
        </w:tabs>
        <w:spacing w:line="240" w:lineRule="auto" w:before="240" w:after="0"/>
        <w:ind w:left="1351" w:right="0" w:hanging="1134"/>
        <w:jc w:val="left"/>
      </w:pPr>
      <w:bookmarkStart w:name="9.32.1 Definitions" w:id="2843"/>
      <w:bookmarkEnd w:id="2843"/>
      <w:r>
        <w:rPr>
          <w:b w:val="0"/>
        </w:rPr>
      </w:r>
      <w:bookmarkStart w:name="_bookmark1155" w:id="2844"/>
      <w:bookmarkEnd w:id="2844"/>
      <w:r>
        <w:rPr>
          <w:b w:val="0"/>
        </w:rPr>
      </w:r>
      <w:bookmarkStart w:name="_bookmark1155" w:id="2845"/>
      <w:bookmarkEnd w:id="2845"/>
      <w:r>
        <w:rPr/>
        <w:t>Definition</w:t>
      </w:r>
      <w:r>
        <w:rPr/>
        <w:t>s</w:t>
      </w:r>
    </w:p>
    <w:p>
      <w:pPr>
        <w:pStyle w:val="ListParagraph"/>
        <w:numPr>
          <w:ilvl w:val="3"/>
          <w:numId w:val="689"/>
        </w:numPr>
        <w:tabs>
          <w:tab w:pos="1919" w:val="left" w:leader="none"/>
        </w:tabs>
        <w:spacing w:line="240" w:lineRule="auto" w:before="120" w:after="0"/>
        <w:ind w:left="1918" w:right="0" w:hanging="567"/>
        <w:jc w:val="both"/>
        <w:rPr>
          <w:sz w:val="24"/>
        </w:rPr>
      </w:pPr>
      <w:r>
        <w:rPr>
          <w:sz w:val="24"/>
        </w:rPr>
        <w:t>For the purposes of this Part</w:t>
      </w:r>
      <w:r>
        <w:rPr>
          <w:spacing w:val="-3"/>
          <w:sz w:val="24"/>
        </w:rPr>
        <w:t> </w:t>
      </w:r>
      <w:r>
        <w:rPr>
          <w:sz w:val="24"/>
        </w:rPr>
        <w:t>E:</w:t>
      </w:r>
    </w:p>
    <w:p>
      <w:pPr>
        <w:pStyle w:val="ListParagraph"/>
        <w:numPr>
          <w:ilvl w:val="4"/>
          <w:numId w:val="689"/>
        </w:numPr>
        <w:tabs>
          <w:tab w:pos="2486" w:val="left" w:leader="none"/>
        </w:tabs>
        <w:spacing w:line="240" w:lineRule="auto" w:before="120" w:after="0"/>
        <w:ind w:left="2486" w:right="415" w:hanging="567"/>
        <w:jc w:val="both"/>
        <w:rPr>
          <w:sz w:val="24"/>
        </w:rPr>
      </w:pPr>
      <w:r>
        <w:rPr>
          <w:sz w:val="24"/>
        </w:rPr>
        <w:t>a word or expression defined in the glossary in Chapter 10 has </w:t>
      </w:r>
      <w:r>
        <w:rPr>
          <w:spacing w:val="-5"/>
          <w:sz w:val="24"/>
        </w:rPr>
        <w:t>the </w:t>
      </w:r>
      <w:r>
        <w:rPr>
          <w:sz w:val="24"/>
        </w:rPr>
        <w:t>meaning given to it in the glossary unless it is referred to in column 1 of the following table;</w:t>
      </w:r>
      <w:r>
        <w:rPr>
          <w:spacing w:val="-1"/>
          <w:sz w:val="24"/>
        </w:rPr>
        <w:t> </w:t>
      </w:r>
      <w:r>
        <w:rPr>
          <w:sz w:val="24"/>
        </w:rPr>
        <w:t>and</w:t>
      </w:r>
    </w:p>
    <w:p>
      <w:pPr>
        <w:pStyle w:val="ListParagraph"/>
        <w:numPr>
          <w:ilvl w:val="4"/>
          <w:numId w:val="689"/>
        </w:numPr>
        <w:tabs>
          <w:tab w:pos="2486" w:val="left" w:leader="none"/>
        </w:tabs>
        <w:spacing w:line="240" w:lineRule="auto" w:before="120" w:after="0"/>
        <w:ind w:left="2486" w:right="415" w:hanging="567"/>
        <w:jc w:val="both"/>
        <w:rPr>
          <w:sz w:val="24"/>
        </w:rPr>
      </w:pPr>
      <w:r>
        <w:rPr>
          <w:sz w:val="24"/>
        </w:rPr>
        <w:t>a word or expression referred to in column 1 of the following table has the meaning given to it in column 2 of the</w:t>
      </w:r>
      <w:r>
        <w:rPr>
          <w:spacing w:val="-1"/>
          <w:sz w:val="24"/>
        </w:rPr>
        <w:t> </w:t>
      </w:r>
      <w:r>
        <w:rPr>
          <w:sz w:val="24"/>
        </w:rPr>
        <w:t>table:</w:t>
      </w:r>
    </w:p>
    <w:p>
      <w:pPr>
        <w:spacing w:after="0" w:line="240" w:lineRule="auto"/>
        <w:jc w:val="both"/>
        <w:rPr>
          <w:sz w:val="24"/>
        </w:rPr>
        <w:sectPr>
          <w:pgSz w:w="11910" w:h="16840"/>
          <w:pgMar w:header="686" w:footer="637" w:top="1320" w:bottom="820" w:left="1200" w:right="1000"/>
        </w:sectPr>
      </w:pPr>
    </w:p>
    <w:p>
      <w:pPr>
        <w:pStyle w:val="BodyText"/>
        <w:spacing w:before="7" w:after="1"/>
        <w:ind w:firstLine="0"/>
        <w:jc w:val="left"/>
        <w:rPr>
          <w:sz w:val="19"/>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connection agreement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70"/>
              <w:rPr>
                <w:sz w:val="24"/>
              </w:rPr>
            </w:pPr>
            <w:r>
              <w:rPr>
                <w:sz w:val="24"/>
              </w:rPr>
              <w:t>Includes all "Connection and Access Agreements" established in Queensland prior to </w:t>
            </w:r>
            <w:r>
              <w:rPr>
                <w:i/>
                <w:sz w:val="24"/>
              </w:rPr>
              <w:t>market </w:t>
            </w:r>
            <w:r>
              <w:rPr>
                <w:i/>
                <w:sz w:val="24"/>
              </w:rPr>
              <w:t>commencement</w:t>
            </w:r>
            <w:r>
              <w:rPr>
                <w:sz w:val="24"/>
              </w:rPr>
              <w:t>.</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Electricity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w:t>
            </w:r>
            <w:r>
              <w:rPr>
                <w:i/>
                <w:sz w:val="24"/>
              </w:rPr>
              <w:t>Electricity Act 1994 </w:t>
            </w:r>
            <w:r>
              <w:rPr>
                <w:sz w:val="24"/>
              </w:rPr>
              <w:t>(Qld).</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excluded customer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53"/>
              <w:rPr>
                <w:sz w:val="24"/>
              </w:rPr>
            </w:pPr>
            <w:r>
              <w:rPr>
                <w:sz w:val="24"/>
              </w:rPr>
              <w:t>An excluded customer as defined in the </w:t>
            </w:r>
            <w:r>
              <w:rPr>
                <w:i/>
                <w:sz w:val="24"/>
              </w:rPr>
              <w:t>Electricity </w:t>
            </w:r>
            <w:r>
              <w:rPr>
                <w:i/>
                <w:sz w:val="24"/>
              </w:rPr>
              <w:t>Act</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exempt seller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93"/>
              <w:rPr>
                <w:sz w:val="24"/>
              </w:rPr>
            </w:pPr>
            <w:r>
              <w:rPr>
                <w:sz w:val="24"/>
              </w:rPr>
              <w:t>An exempt seller as defined in the National Energy Retail Law (Queensland).</w:t>
            </w:r>
          </w:p>
        </w:tc>
      </w:tr>
      <w:tr>
        <w:trPr>
          <w:trHeight w:val="1619" w:hRule="atLeast"/>
        </w:trPr>
        <w:tc>
          <w:tcPr>
            <w:tcW w:w="2650" w:type="dxa"/>
            <w:tcBorders>
              <w:top w:val="single" w:sz="4" w:space="0" w:color="000000"/>
              <w:bottom w:val="single" w:sz="4" w:space="0" w:color="000000"/>
              <w:right w:val="single" w:sz="4" w:space="0" w:color="000000"/>
            </w:tcBorders>
          </w:tcPr>
          <w:p>
            <w:pPr>
              <w:pStyle w:val="TableParagraph"/>
              <w:ind w:left="40" w:right="435"/>
              <w:rPr>
                <w:b/>
                <w:sz w:val="24"/>
              </w:rPr>
            </w:pPr>
            <w:r>
              <w:rPr>
                <w:b/>
                <w:sz w:val="24"/>
              </w:rPr>
              <w:t>exempted generation agreement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3"/>
              <w:rPr>
                <w:sz w:val="24"/>
              </w:rPr>
            </w:pPr>
            <w:r>
              <w:rPr>
                <w:sz w:val="24"/>
              </w:rPr>
              <w:t>An agreement between a State Electricity Entity and the owner or operator of a </w:t>
            </w:r>
            <w:r>
              <w:rPr>
                <w:i/>
                <w:sz w:val="24"/>
              </w:rPr>
              <w:t>generating system</w:t>
            </w:r>
            <w:r>
              <w:rPr>
                <w:sz w:val="24"/>
              </w:rPr>
              <w:t>, as listed at schedule 9E1, and any amendment of such agreement made prior to 13 December 1998 or, if made in accordance with clause 9.34.6(s), thereafter.</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GOC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sz w:val="24"/>
              </w:rPr>
              <w:t>The </w:t>
            </w:r>
            <w:r>
              <w:rPr>
                <w:i/>
                <w:sz w:val="24"/>
              </w:rPr>
              <w:t>Government Owned Corporations Act 1993</w:t>
            </w:r>
          </w:p>
          <w:p>
            <w:pPr>
              <w:pStyle w:val="TableParagraph"/>
              <w:spacing w:before="0"/>
              <w:rPr>
                <w:sz w:val="24"/>
              </w:rPr>
            </w:pPr>
            <w:r>
              <w:rPr>
                <w:sz w:val="24"/>
              </w:rPr>
              <w:t>(Qld).</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Minister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66"/>
              <w:rPr>
                <w:sz w:val="24"/>
              </w:rPr>
            </w:pPr>
            <w:r>
              <w:rPr>
                <w:sz w:val="24"/>
              </w:rPr>
              <w:t>The Minister administering the </w:t>
            </w:r>
            <w:r>
              <w:rPr>
                <w:i/>
                <w:sz w:val="24"/>
              </w:rPr>
              <w:t>Electricity Act </w:t>
            </w:r>
            <w:r>
              <w:rPr>
                <w:sz w:val="24"/>
              </w:rPr>
              <w:t>from time to time.</w:t>
            </w:r>
          </w:p>
        </w:tc>
      </w:tr>
      <w:tr>
        <w:trPr>
          <w:trHeight w:val="134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Nominated Generator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26"/>
              <w:rPr>
                <w:sz w:val="24"/>
              </w:rPr>
            </w:pPr>
            <w:r>
              <w:rPr>
                <w:sz w:val="24"/>
              </w:rPr>
              <w:t>A State Electricity Entity determined by the </w:t>
            </w:r>
            <w:r>
              <w:rPr>
                <w:i/>
                <w:sz w:val="24"/>
              </w:rPr>
              <w:t>Minister </w:t>
            </w:r>
            <w:r>
              <w:rPr>
                <w:sz w:val="24"/>
              </w:rPr>
              <w:t>for the purposes described in clause 9.34.6 for a </w:t>
            </w:r>
            <w:r>
              <w:rPr>
                <w:i/>
                <w:sz w:val="24"/>
              </w:rPr>
              <w:t>generating system </w:t>
            </w:r>
            <w:r>
              <w:rPr>
                <w:sz w:val="24"/>
              </w:rPr>
              <w:t>to which an exempted generation agreement applies.</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Powerlink Queensland</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66"/>
              <w:rPr>
                <w:sz w:val="24"/>
              </w:rPr>
            </w:pPr>
            <w:r>
              <w:rPr>
                <w:sz w:val="24"/>
              </w:rPr>
              <w:t>Queensland Electricity Transmission Corporation Ltd, a corporation established under the GOC Act.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21"/>
              <w:rPr>
                <w:b/>
                <w:sz w:val="24"/>
              </w:rPr>
            </w:pPr>
            <w:r>
              <w:rPr>
                <w:b/>
                <w:sz w:val="24"/>
              </w:rPr>
              <w:t>Queensland Competition Authority</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66"/>
              <w:rPr>
                <w:sz w:val="24"/>
              </w:rPr>
            </w:pPr>
            <w:r>
              <w:rPr>
                <w:sz w:val="24"/>
              </w:rPr>
              <w:t>The Queensland Competition Authority established under the </w:t>
            </w:r>
            <w:r>
              <w:rPr>
                <w:i/>
                <w:sz w:val="24"/>
              </w:rPr>
              <w:t>Queensland Competition Authority Act</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21"/>
              <w:rPr>
                <w:b/>
                <w:sz w:val="24"/>
              </w:rPr>
            </w:pPr>
            <w:r>
              <w:rPr>
                <w:b/>
                <w:sz w:val="24"/>
              </w:rPr>
              <w:t>Queensland Competition Authority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i/>
                <w:sz w:val="24"/>
              </w:rPr>
            </w:pPr>
            <w:r>
              <w:rPr>
                <w:sz w:val="24"/>
              </w:rPr>
              <w:t>The </w:t>
            </w:r>
            <w:r>
              <w:rPr>
                <w:i/>
                <w:sz w:val="24"/>
              </w:rPr>
              <w:t>Queensland Competition Authority Act 1997</w:t>
            </w:r>
          </w:p>
          <w:p>
            <w:pPr>
              <w:pStyle w:val="TableParagraph"/>
              <w:spacing w:before="0"/>
              <w:rPr>
                <w:sz w:val="24"/>
              </w:rPr>
            </w:pPr>
            <w:r>
              <w:rPr>
                <w:sz w:val="24"/>
              </w:rPr>
              <w:t>(Qld).</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87"/>
              <w:rPr>
                <w:b/>
                <w:sz w:val="24"/>
              </w:rPr>
            </w:pPr>
            <w:r>
              <w:rPr>
                <w:b/>
                <w:sz w:val="24"/>
              </w:rPr>
              <w:t>Queensland distribution network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 </w:t>
            </w:r>
            <w:r>
              <w:rPr>
                <w:i/>
                <w:sz w:val="24"/>
              </w:rPr>
              <w:t>distribution network </w:t>
            </w:r>
            <w:r>
              <w:rPr>
                <w:sz w:val="24"/>
              </w:rPr>
              <w:t>(including any part of a</w:t>
            </w:r>
          </w:p>
          <w:p>
            <w:pPr>
              <w:pStyle w:val="TableParagraph"/>
              <w:spacing w:before="0"/>
              <w:rPr>
                <w:sz w:val="24"/>
              </w:rPr>
            </w:pPr>
            <w:r>
              <w:rPr>
                <w:i/>
                <w:sz w:val="24"/>
              </w:rPr>
              <w:t>distribution network</w:t>
            </w:r>
            <w:r>
              <w:rPr>
                <w:sz w:val="24"/>
              </w:rPr>
              <w:t>) situated in Queensland.</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Queensland Grid Code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77"/>
              <w:jc w:val="both"/>
              <w:rPr>
                <w:sz w:val="24"/>
              </w:rPr>
            </w:pPr>
            <w:r>
              <w:rPr>
                <w:sz w:val="24"/>
              </w:rPr>
              <w:t>The Code of that name first issued by the Department of Mines and Energy (Qld) on 28 November 1994, as amended from time to time.</w:t>
            </w:r>
          </w:p>
        </w:tc>
      </w:tr>
      <w:tr>
        <w:trPr>
          <w:trHeight w:val="1223"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Queensland system</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right="25"/>
              <w:rPr>
                <w:i/>
                <w:sz w:val="24"/>
              </w:rPr>
            </w:pPr>
            <w:r>
              <w:rPr>
                <w:sz w:val="24"/>
              </w:rPr>
              <w:t>The sum of the </w:t>
            </w:r>
            <w:r>
              <w:rPr>
                <w:i/>
                <w:sz w:val="24"/>
              </w:rPr>
              <w:t>transmission network </w:t>
            </w:r>
            <w:r>
              <w:rPr>
                <w:sz w:val="24"/>
              </w:rPr>
              <w:t>located in Queensland operating at a nominal </w:t>
            </w:r>
            <w:r>
              <w:rPr>
                <w:i/>
                <w:sz w:val="24"/>
              </w:rPr>
              <w:t>voltage </w:t>
            </w:r>
            <w:r>
              <w:rPr>
                <w:sz w:val="24"/>
              </w:rPr>
              <w:t>of 275</w:t>
            </w:r>
            <w:r>
              <w:rPr>
                <w:spacing w:val="-13"/>
                <w:sz w:val="24"/>
              </w:rPr>
              <w:t> </w:t>
            </w:r>
            <w:r>
              <w:rPr>
                <w:sz w:val="24"/>
              </w:rPr>
              <w:t>kV, the </w:t>
            </w:r>
            <w:r>
              <w:rPr>
                <w:i/>
                <w:sz w:val="24"/>
              </w:rPr>
              <w:t>connection assets </w:t>
            </w:r>
            <w:r>
              <w:rPr>
                <w:sz w:val="24"/>
              </w:rPr>
              <w:t>associated with that </w:t>
            </w:r>
            <w:r>
              <w:rPr>
                <w:i/>
                <w:sz w:val="24"/>
              </w:rPr>
              <w:t>network </w:t>
            </w:r>
            <w:r>
              <w:rPr>
                <w:sz w:val="24"/>
              </w:rPr>
              <w:t>and any </w:t>
            </w:r>
            <w:r>
              <w:rPr>
                <w:i/>
                <w:sz w:val="24"/>
              </w:rPr>
              <w:t>transmission or distribution</w:t>
            </w:r>
            <w:r>
              <w:rPr>
                <w:i/>
                <w:spacing w:val="-2"/>
                <w:sz w:val="24"/>
              </w:rPr>
              <w:t> </w:t>
            </w:r>
            <w:r>
              <w:rPr>
                <w:i/>
                <w:sz w:val="24"/>
              </w:rPr>
              <w:t>system</w:t>
            </w:r>
          </w:p>
        </w:tc>
      </w:tr>
    </w:tbl>
    <w:p>
      <w:pPr>
        <w:spacing w:after="0" w:line="270" w:lineRule="atLeas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671" w:hRule="atLeast"/>
        </w:trPr>
        <w:tc>
          <w:tcPr>
            <w:tcW w:w="2650"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5287" w:type="dxa"/>
            <w:tcBorders>
              <w:top w:val="single" w:sz="4" w:space="0" w:color="000000"/>
              <w:left w:val="single" w:sz="4" w:space="0" w:color="000000"/>
              <w:bottom w:val="single" w:sz="4" w:space="0" w:color="000000"/>
              <w:right w:val="single" w:sz="4" w:space="0" w:color="000000"/>
            </w:tcBorders>
          </w:tcPr>
          <w:p>
            <w:pPr>
              <w:pStyle w:val="TableParagraph"/>
              <w:spacing w:before="0"/>
              <w:ind w:right="886"/>
              <w:rPr>
                <w:sz w:val="24"/>
              </w:rPr>
            </w:pPr>
            <w:r>
              <w:rPr>
                <w:i/>
                <w:sz w:val="24"/>
              </w:rPr>
              <w:t>connected </w:t>
            </w:r>
            <w:r>
              <w:rPr>
                <w:sz w:val="24"/>
              </w:rPr>
              <w:t>to that </w:t>
            </w:r>
            <w:r>
              <w:rPr>
                <w:i/>
                <w:sz w:val="24"/>
              </w:rPr>
              <w:t>network </w:t>
            </w:r>
            <w:r>
              <w:rPr>
                <w:sz w:val="24"/>
              </w:rPr>
              <w:t>and also located in Queensland.</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354"/>
              <w:rPr>
                <w:b/>
                <w:sz w:val="24"/>
              </w:rPr>
            </w:pPr>
            <w:r>
              <w:rPr>
                <w:b/>
                <w:sz w:val="24"/>
              </w:rPr>
              <w:t>Queensland transmission network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 </w:t>
            </w:r>
            <w:r>
              <w:rPr>
                <w:i/>
                <w:sz w:val="24"/>
              </w:rPr>
              <w:t>transmission network </w:t>
            </w:r>
            <w:r>
              <w:rPr>
                <w:sz w:val="24"/>
              </w:rPr>
              <w:t>(including any part of a</w:t>
            </w:r>
          </w:p>
          <w:p>
            <w:pPr>
              <w:pStyle w:val="TableParagraph"/>
              <w:spacing w:before="0"/>
              <w:rPr>
                <w:sz w:val="24"/>
              </w:rPr>
            </w:pPr>
            <w:r>
              <w:rPr>
                <w:i/>
                <w:sz w:val="24"/>
              </w:rPr>
              <w:t>transmission network</w:t>
            </w:r>
            <w:r>
              <w:rPr>
                <w:sz w:val="24"/>
              </w:rPr>
              <w:t>) situated in Queensland.</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Small Generator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6"/>
              <w:rPr>
                <w:sz w:val="24"/>
              </w:rPr>
            </w:pPr>
            <w:r>
              <w:rPr>
                <w:sz w:val="24"/>
              </w:rPr>
              <w:t>A </w:t>
            </w:r>
            <w:r>
              <w:rPr>
                <w:i/>
                <w:sz w:val="24"/>
              </w:rPr>
              <w:t>Generator </w:t>
            </w:r>
            <w:r>
              <w:rPr>
                <w:sz w:val="24"/>
              </w:rPr>
              <w:t>whose </w:t>
            </w:r>
            <w:r>
              <w:rPr>
                <w:i/>
                <w:sz w:val="24"/>
              </w:rPr>
              <w:t>generating system </w:t>
            </w:r>
            <w:r>
              <w:rPr>
                <w:sz w:val="24"/>
              </w:rPr>
              <w:t>is </w:t>
            </w:r>
            <w:r>
              <w:rPr>
                <w:i/>
                <w:sz w:val="24"/>
              </w:rPr>
              <w:t>connected </w:t>
            </w:r>
            <w:r>
              <w:rPr>
                <w:sz w:val="24"/>
              </w:rPr>
              <w:t>to the Queensland system and has a </w:t>
            </w:r>
            <w:r>
              <w:rPr>
                <w:i/>
                <w:sz w:val="24"/>
              </w:rPr>
              <w:t>nameplate rating </w:t>
            </w:r>
            <w:r>
              <w:rPr>
                <w:sz w:val="24"/>
              </w:rPr>
              <w:t>of less than 5MW.</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355"/>
              <w:rPr>
                <w:b/>
                <w:sz w:val="24"/>
              </w:rPr>
            </w:pPr>
            <w:r>
              <w:rPr>
                <w:b/>
                <w:sz w:val="24"/>
              </w:rPr>
              <w:t>Stanwell Corporation Ltd</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 corporation established under the GOC Act.</w:t>
            </w:r>
          </w:p>
        </w:tc>
      </w:tr>
      <w:tr>
        <w:trPr>
          <w:trHeight w:val="2723" w:hRule="atLeast"/>
        </w:trPr>
        <w:tc>
          <w:tcPr>
            <w:tcW w:w="2650" w:type="dxa"/>
            <w:tcBorders>
              <w:top w:val="single" w:sz="4" w:space="0" w:color="000000"/>
              <w:bottom w:val="single" w:sz="4" w:space="0" w:color="000000"/>
              <w:right w:val="single" w:sz="4" w:space="0" w:color="000000"/>
            </w:tcBorders>
          </w:tcPr>
          <w:p>
            <w:pPr>
              <w:pStyle w:val="TableParagraph"/>
              <w:ind w:left="40" w:right="255"/>
              <w:rPr>
                <w:b/>
                <w:sz w:val="24"/>
              </w:rPr>
            </w:pPr>
            <w:r>
              <w:rPr>
                <w:b/>
                <w:sz w:val="24"/>
              </w:rPr>
              <w:t>Stanwell Cross Border Leases</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26"/>
              <w:rPr>
                <w:sz w:val="24"/>
              </w:rPr>
            </w:pPr>
            <w:r>
              <w:rPr>
                <w:sz w:val="24"/>
              </w:rPr>
              <w:t>The various agreements, documents and deeds relating to the leasing, ownership and operation of the </w:t>
            </w:r>
            <w:r>
              <w:rPr>
                <w:i/>
                <w:sz w:val="24"/>
              </w:rPr>
              <w:t>generating systems </w:t>
            </w:r>
            <w:r>
              <w:rPr>
                <w:sz w:val="24"/>
              </w:rPr>
              <w:t>comprising the Stanwell Power Station entered into, or to be entered into, at the request of, or for the benefit of, one or more of Stanwell Corporation Ltd and the State of</w:t>
            </w:r>
            <w:r>
              <w:rPr>
                <w:spacing w:val="-23"/>
                <w:sz w:val="24"/>
              </w:rPr>
              <w:t> </w:t>
            </w:r>
            <w:r>
              <w:rPr>
                <w:sz w:val="24"/>
              </w:rPr>
              <w:t>Queensland and whether or not any of Stanwell Corporation Ltd or the State of Queensland is a party to those agreements, documents and</w:t>
            </w:r>
            <w:r>
              <w:rPr>
                <w:spacing w:val="-1"/>
                <w:sz w:val="24"/>
              </w:rPr>
              <w:t> </w:t>
            </w:r>
            <w:r>
              <w:rPr>
                <w:sz w:val="24"/>
              </w:rPr>
              <w:t>deeds.</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Stanwell Power Station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467"/>
              <w:rPr>
                <w:sz w:val="24"/>
              </w:rPr>
            </w:pPr>
            <w:r>
              <w:rPr>
                <w:sz w:val="24"/>
              </w:rPr>
              <w:t>The </w:t>
            </w:r>
            <w:r>
              <w:rPr>
                <w:i/>
                <w:sz w:val="24"/>
              </w:rPr>
              <w:t>power station </w:t>
            </w:r>
            <w:r>
              <w:rPr>
                <w:sz w:val="24"/>
              </w:rPr>
              <w:t>known as the "Stanwell Power Station" located at Stanwell, Queensland.</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State Electricity Entity</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73"/>
              <w:rPr>
                <w:sz w:val="24"/>
              </w:rPr>
            </w:pPr>
            <w:r>
              <w:rPr>
                <w:sz w:val="24"/>
              </w:rPr>
              <w:t>A State electricity entity as defined in the </w:t>
            </w:r>
            <w:r>
              <w:rPr>
                <w:i/>
                <w:sz w:val="24"/>
              </w:rPr>
              <w:t>Electricity </w:t>
            </w:r>
            <w:r>
              <w:rPr>
                <w:i/>
                <w:sz w:val="24"/>
              </w:rPr>
              <w:t>Act</w:t>
            </w:r>
            <w:r>
              <w:rPr>
                <w:sz w:val="24"/>
              </w:rPr>
              <w:t>.</w:t>
            </w:r>
          </w:p>
        </w:tc>
      </w:tr>
      <w:tr>
        <w:trPr>
          <w:trHeight w:val="791" w:hRule="atLeast"/>
        </w:trPr>
        <w:tc>
          <w:tcPr>
            <w:tcW w:w="2650" w:type="dxa"/>
            <w:tcBorders>
              <w:top w:val="single" w:sz="4" w:space="0" w:color="000000"/>
              <w:right w:val="single" w:sz="4" w:space="0" w:color="000000"/>
            </w:tcBorders>
          </w:tcPr>
          <w:p>
            <w:pPr>
              <w:pStyle w:val="TableParagraph"/>
              <w:ind w:left="40"/>
              <w:rPr>
                <w:b/>
                <w:sz w:val="24"/>
              </w:rPr>
            </w:pPr>
            <w:r>
              <w:rPr>
                <w:b/>
                <w:sz w:val="24"/>
              </w:rPr>
              <w:t>transmission authority</w:t>
            </w:r>
          </w:p>
        </w:tc>
        <w:tc>
          <w:tcPr>
            <w:tcW w:w="5287" w:type="dxa"/>
            <w:tcBorders>
              <w:top w:val="single" w:sz="4" w:space="0" w:color="000000"/>
              <w:left w:val="single" w:sz="4" w:space="0" w:color="000000"/>
              <w:right w:val="single" w:sz="4" w:space="0" w:color="000000"/>
            </w:tcBorders>
          </w:tcPr>
          <w:p>
            <w:pPr>
              <w:pStyle w:val="TableParagraph"/>
              <w:ind w:right="53"/>
              <w:rPr>
                <w:sz w:val="24"/>
              </w:rPr>
            </w:pPr>
            <w:r>
              <w:rPr>
                <w:sz w:val="24"/>
              </w:rPr>
              <w:t>An authority of that name issued under the </w:t>
            </w:r>
            <w:r>
              <w:rPr>
                <w:i/>
                <w:sz w:val="24"/>
              </w:rPr>
              <w:t>Electricity </w:t>
            </w:r>
            <w:r>
              <w:rPr>
                <w:i/>
                <w:sz w:val="24"/>
              </w:rPr>
              <w:t>Act</w:t>
            </w:r>
            <w:r>
              <w:rPr>
                <w:sz w:val="24"/>
              </w:rPr>
              <w:t>.</w:t>
            </w:r>
          </w:p>
        </w:tc>
      </w:tr>
    </w:tbl>
    <w:p>
      <w:pPr>
        <w:pStyle w:val="BodyText"/>
        <w:spacing w:before="8"/>
        <w:ind w:firstLine="0"/>
        <w:jc w:val="left"/>
        <w:rPr>
          <w:sz w:val="26"/>
        </w:rPr>
      </w:pPr>
    </w:p>
    <w:p>
      <w:pPr>
        <w:pStyle w:val="ListParagraph"/>
        <w:numPr>
          <w:ilvl w:val="3"/>
          <w:numId w:val="689"/>
        </w:numPr>
        <w:tabs>
          <w:tab w:pos="1919" w:val="left" w:leader="none"/>
        </w:tabs>
        <w:spacing w:line="240" w:lineRule="auto" w:before="90" w:after="0"/>
        <w:ind w:left="1919" w:right="414" w:hanging="567"/>
        <w:jc w:val="both"/>
        <w:rPr>
          <w:sz w:val="24"/>
        </w:rPr>
      </w:pPr>
      <w:r>
        <w:rPr>
          <w:sz w:val="24"/>
        </w:rPr>
        <w:t>For the purposes of the </w:t>
      </w:r>
      <w:r>
        <w:rPr>
          <w:i/>
          <w:sz w:val="24"/>
        </w:rPr>
        <w:t>Rules</w:t>
      </w:r>
      <w:r>
        <w:rPr>
          <w:sz w:val="24"/>
        </w:rPr>
        <w:t>, to the extent that any </w:t>
      </w:r>
      <w:r>
        <w:rPr>
          <w:i/>
          <w:sz w:val="24"/>
        </w:rPr>
        <w:t>network </w:t>
      </w:r>
      <w:r>
        <w:rPr>
          <w:sz w:val="24"/>
        </w:rPr>
        <w:t>is located in Queensland, a </w:t>
      </w:r>
      <w:r>
        <w:rPr>
          <w:i/>
          <w:sz w:val="24"/>
        </w:rPr>
        <w:t>network </w:t>
      </w:r>
      <w:r>
        <w:rPr>
          <w:sz w:val="24"/>
        </w:rPr>
        <w:t>or part of a </w:t>
      </w:r>
      <w:r>
        <w:rPr>
          <w:i/>
          <w:sz w:val="24"/>
        </w:rPr>
        <w:t>network </w:t>
      </w:r>
      <w:r>
        <w:rPr>
          <w:sz w:val="24"/>
        </w:rPr>
        <w:t>is a </w:t>
      </w:r>
      <w:r>
        <w:rPr>
          <w:i/>
          <w:sz w:val="24"/>
        </w:rPr>
        <w:t>transmission network </w:t>
      </w:r>
      <w:r>
        <w:rPr>
          <w:sz w:val="24"/>
        </w:rPr>
        <w:t>if and only if it satisfies the following definition of "</w:t>
      </w:r>
      <w:r>
        <w:rPr>
          <w:i/>
          <w:sz w:val="24"/>
        </w:rPr>
        <w:t>transmission network</w:t>
      </w:r>
      <w:r>
        <w:rPr>
          <w:sz w:val="24"/>
        </w:rPr>
        <w:t>" and the definition of "</w:t>
      </w:r>
      <w:r>
        <w:rPr>
          <w:i/>
          <w:sz w:val="24"/>
        </w:rPr>
        <w:t>transmission network</w:t>
      </w:r>
      <w:r>
        <w:rPr>
          <w:sz w:val="24"/>
        </w:rPr>
        <w:t>" given in the glossary in Chapter 10 does not apply in those</w:t>
      </w:r>
      <w:r>
        <w:rPr>
          <w:spacing w:val="-1"/>
          <w:sz w:val="24"/>
        </w:rPr>
        <w:t> </w:t>
      </w:r>
      <w:r>
        <w:rPr>
          <w:sz w:val="24"/>
        </w:rPr>
        <w:t>circumstances:</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2603" w:hRule="atLeast"/>
        </w:trPr>
        <w:tc>
          <w:tcPr>
            <w:tcW w:w="2650" w:type="dxa"/>
            <w:tcBorders>
              <w:bottom w:val="single" w:sz="4" w:space="0" w:color="000000"/>
              <w:right w:val="single" w:sz="4" w:space="0" w:color="000000"/>
            </w:tcBorders>
          </w:tcPr>
          <w:p>
            <w:pPr>
              <w:pStyle w:val="TableParagraph"/>
              <w:ind w:left="40"/>
              <w:rPr>
                <w:b/>
                <w:sz w:val="24"/>
              </w:rPr>
            </w:pPr>
            <w:r>
              <w:rPr>
                <w:b/>
                <w:sz w:val="24"/>
              </w:rPr>
              <w:t>transmission network</w:t>
            </w:r>
          </w:p>
        </w:tc>
        <w:tc>
          <w:tcPr>
            <w:tcW w:w="5287" w:type="dxa"/>
            <w:tcBorders>
              <w:left w:val="single" w:sz="4" w:space="0" w:color="000000"/>
              <w:bottom w:val="single" w:sz="4" w:space="0" w:color="000000"/>
              <w:right w:val="single" w:sz="4" w:space="0" w:color="000000"/>
            </w:tcBorders>
          </w:tcPr>
          <w:p>
            <w:pPr>
              <w:pStyle w:val="TableParagraph"/>
              <w:spacing w:line="270" w:lineRule="atLeast"/>
              <w:ind w:right="85"/>
              <w:rPr>
                <w:sz w:val="24"/>
              </w:rPr>
            </w:pPr>
            <w:r>
              <w:rPr>
                <w:sz w:val="24"/>
              </w:rPr>
              <w:t>Despite clause 6A.1.5(b) and the glossary of the </w:t>
            </w:r>
            <w:r>
              <w:rPr>
                <w:i/>
                <w:sz w:val="24"/>
              </w:rPr>
              <w:t>Rules</w:t>
            </w:r>
            <w:r>
              <w:rPr>
                <w:sz w:val="24"/>
              </w:rPr>
              <w:t>, in Queensland the </w:t>
            </w:r>
            <w:r>
              <w:rPr>
                <w:i/>
                <w:sz w:val="24"/>
              </w:rPr>
              <w:t>transmission network </w:t>
            </w:r>
            <w:r>
              <w:rPr>
                <w:sz w:val="24"/>
              </w:rPr>
              <w:t>assets are to be taken to include only those assets owned by Powerlink Queensland or any other </w:t>
            </w:r>
            <w:r>
              <w:rPr>
                <w:i/>
                <w:sz w:val="24"/>
              </w:rPr>
              <w:t>Transmission </w:t>
            </w:r>
            <w:r>
              <w:rPr>
                <w:i/>
                <w:sz w:val="24"/>
              </w:rPr>
              <w:t>Network Service Provider </w:t>
            </w:r>
            <w:r>
              <w:rPr>
                <w:sz w:val="24"/>
              </w:rPr>
              <w:t>that holds a transmission authority irrespective of the </w:t>
            </w:r>
            <w:r>
              <w:rPr>
                <w:i/>
                <w:sz w:val="24"/>
              </w:rPr>
              <w:t>voltage </w:t>
            </w:r>
            <w:r>
              <w:rPr>
                <w:sz w:val="24"/>
              </w:rPr>
              <w:t>level and does not include any assets owned by a </w:t>
            </w:r>
            <w:r>
              <w:rPr>
                <w:i/>
                <w:sz w:val="24"/>
              </w:rPr>
              <w:t>Distribution </w:t>
            </w:r>
            <w:r>
              <w:rPr>
                <w:i/>
                <w:sz w:val="24"/>
              </w:rPr>
              <w:t>Network Service Provider </w:t>
            </w:r>
            <w:r>
              <w:rPr>
                <w:sz w:val="24"/>
              </w:rPr>
              <w:t>whether or not such </w:t>
            </w:r>
            <w:r>
              <w:rPr>
                <w:i/>
                <w:sz w:val="24"/>
              </w:rPr>
              <w:t>distribution </w:t>
            </w:r>
            <w:r>
              <w:rPr>
                <w:sz w:val="24"/>
              </w:rPr>
              <w:t>assets are operated in parallel with the</w:t>
            </w:r>
          </w:p>
        </w:tc>
      </w:tr>
    </w:tbl>
    <w:p>
      <w:pPr>
        <w:spacing w:after="0" w:line="270" w:lineRule="atLeas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tcPr>
          <w:p>
            <w:pPr>
              <w:pStyle w:val="TableParagraph"/>
              <w:spacing w:before="0"/>
              <w:ind w:left="0"/>
              <w:rPr>
                <w:sz w:val="22"/>
              </w:rPr>
            </w:pPr>
          </w:p>
        </w:tc>
        <w:tc>
          <w:tcPr>
            <w:tcW w:w="5287" w:type="dxa"/>
            <w:tcBorders>
              <w:left w:val="single" w:sz="4" w:space="0" w:color="000000"/>
              <w:bottom w:val="single" w:sz="4" w:space="0" w:color="000000"/>
              <w:right w:val="single" w:sz="4" w:space="0" w:color="000000"/>
            </w:tcBorders>
          </w:tcPr>
          <w:p>
            <w:pPr>
              <w:pStyle w:val="TableParagraph"/>
              <w:spacing w:before="0"/>
              <w:rPr>
                <w:sz w:val="24"/>
              </w:rPr>
            </w:pPr>
            <w:r>
              <w:rPr>
                <w:i/>
                <w:sz w:val="24"/>
              </w:rPr>
              <w:t>transmission system</w:t>
            </w:r>
            <w:r>
              <w:rPr>
                <w:sz w:val="24"/>
              </w:rPr>
              <w:t>.</w:t>
            </w:r>
          </w:p>
        </w:tc>
      </w:tr>
    </w:tbl>
    <w:p>
      <w:pPr>
        <w:pStyle w:val="BodyText"/>
        <w:spacing w:before="0"/>
        <w:ind w:firstLine="0"/>
        <w:jc w:val="left"/>
        <w:rPr>
          <w:sz w:val="20"/>
        </w:rPr>
      </w:pPr>
    </w:p>
    <w:p>
      <w:pPr>
        <w:pStyle w:val="BodyText"/>
        <w:spacing w:before="10"/>
        <w:ind w:firstLine="0"/>
        <w:jc w:val="left"/>
        <w:rPr>
          <w:sz w:val="16"/>
        </w:rPr>
      </w:pPr>
    </w:p>
    <w:p>
      <w:pPr>
        <w:pStyle w:val="Heading4"/>
        <w:numPr>
          <w:ilvl w:val="2"/>
          <w:numId w:val="689"/>
        </w:numPr>
        <w:tabs>
          <w:tab w:pos="1351" w:val="left" w:leader="none"/>
          <w:tab w:pos="1352" w:val="left" w:leader="none"/>
        </w:tabs>
        <w:spacing w:line="240" w:lineRule="auto" w:before="93" w:after="0"/>
        <w:ind w:left="1351" w:right="0" w:hanging="1134"/>
        <w:jc w:val="left"/>
      </w:pPr>
      <w:bookmarkStart w:name="9.32.2 Interpretation" w:id="2846"/>
      <w:bookmarkEnd w:id="2846"/>
      <w:r>
        <w:rPr>
          <w:b w:val="0"/>
        </w:rPr>
      </w:r>
      <w:bookmarkStart w:name="_bookmark1156" w:id="2847"/>
      <w:bookmarkEnd w:id="2847"/>
      <w:r>
        <w:rPr>
          <w:b w:val="0"/>
        </w:rPr>
      </w:r>
      <w:bookmarkStart w:name="_bookmark1156" w:id="2848"/>
      <w:bookmarkEnd w:id="2848"/>
      <w:r>
        <w:rPr/>
        <w:t>Interpretation</w:t>
      </w:r>
    </w:p>
    <w:p>
      <w:pPr>
        <w:pStyle w:val="BodyText"/>
        <w:ind w:left="1352" w:right="413" w:firstLine="0"/>
      </w:pPr>
      <w:r>
        <w:rPr/>
        <w:t>In this Part E, a reference to any authority, corporation or body whether statutory or otherwise, in the event of that authority, corporation or body ceasing to exist or being reconstituted, renamed or replaced or its powers, duties or functions being transferred to or assumed by any other authority, corporation or body, will, as the case requires, be taken to refer to the authority, corporation or body replacing it or the authority, corporation or body, succeeding to or assuming the powers, duties or functions of</w:t>
      </w:r>
      <w:r>
        <w:rPr>
          <w:spacing w:val="-1"/>
        </w:rPr>
        <w:t> </w:t>
      </w:r>
      <w:r>
        <w:rPr/>
        <w:t>it.</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33 Transitional Arrangements for Chapt" w:id="2849"/>
      <w:bookmarkEnd w:id="2849"/>
      <w:r>
        <w:rPr>
          <w:b w:val="0"/>
        </w:rPr>
      </w:r>
      <w:bookmarkStart w:name="_bookmark1157" w:id="2850"/>
      <w:bookmarkEnd w:id="2850"/>
      <w:r>
        <w:rPr>
          <w:b w:val="0"/>
        </w:rPr>
      </w:r>
      <w:bookmarkStart w:name="_bookmark1157" w:id="2851"/>
      <w:bookmarkEnd w:id="2851"/>
      <w:r>
        <w:rPr/>
        <w:t>T</w:t>
      </w:r>
      <w:r>
        <w:rPr/>
        <w:t>ransitional Arrangements for Chapter</w:t>
      </w:r>
      <w:r>
        <w:rPr>
          <w:spacing w:val="-2"/>
        </w:rPr>
        <w:t> </w:t>
      </w:r>
      <w:r>
        <w:rPr/>
        <w:t>1</w:t>
      </w:r>
    </w:p>
    <w:p>
      <w:pPr>
        <w:pStyle w:val="Heading4"/>
        <w:tabs>
          <w:tab w:pos="1351" w:val="left" w:leader="none"/>
        </w:tabs>
        <w:spacing w:before="240"/>
        <w:ind w:left="218" w:firstLine="0"/>
      </w:pPr>
      <w:bookmarkStart w:name="9.33.1 [Deleted]" w:id="2852"/>
      <w:bookmarkEnd w:id="2852"/>
      <w:r>
        <w:rPr>
          <w:b w:val="0"/>
        </w:rPr>
      </w:r>
      <w:bookmarkStart w:name="_bookmark1158" w:id="2853"/>
      <w:bookmarkEnd w:id="2853"/>
      <w:r>
        <w:rPr>
          <w:b w:val="0"/>
        </w:rPr>
      </w:r>
      <w:r>
        <w:rPr/>
        <w:t>9.33.1</w:t>
        <w:tab/>
        <w:t>[Deleted]</w:t>
      </w:r>
    </w:p>
    <w:p>
      <w:pPr>
        <w:pStyle w:val="BodyText"/>
        <w:spacing w:before="10"/>
        <w:ind w:firstLine="0"/>
        <w:jc w:val="left"/>
        <w:rPr>
          <w:rFonts w:ascii="Arial"/>
          <w:b/>
          <w:sz w:val="20"/>
        </w:rPr>
      </w:pPr>
    </w:p>
    <w:p>
      <w:pPr>
        <w:pStyle w:val="Heading3"/>
        <w:numPr>
          <w:ilvl w:val="1"/>
          <w:numId w:val="686"/>
        </w:numPr>
        <w:tabs>
          <w:tab w:pos="1351" w:val="left" w:leader="none"/>
          <w:tab w:pos="1353" w:val="left" w:leader="none"/>
        </w:tabs>
        <w:spacing w:line="240" w:lineRule="auto" w:before="0" w:after="0"/>
        <w:ind w:left="1352" w:right="1779" w:hanging="1134"/>
        <w:jc w:val="left"/>
      </w:pPr>
      <w:bookmarkStart w:name="9.34 Transitional Arrangements for Chapt" w:id="2854"/>
      <w:bookmarkEnd w:id="2854"/>
      <w:r>
        <w:rPr>
          <w:b w:val="0"/>
        </w:rPr>
      </w:r>
      <w:bookmarkStart w:name="_bookmark1159" w:id="2855"/>
      <w:bookmarkEnd w:id="2855"/>
      <w:r>
        <w:rPr>
          <w:b w:val="0"/>
        </w:rPr>
      </w:r>
      <w:bookmarkStart w:name="_bookmark1159" w:id="2856"/>
      <w:bookmarkEnd w:id="2856"/>
      <w:r>
        <w:rPr/>
        <w:t>T</w:t>
      </w:r>
      <w:r>
        <w:rPr/>
        <w:t>ransitional Arrangements for Chapter 2 - Registered Participants and</w:t>
      </w:r>
      <w:r>
        <w:rPr>
          <w:spacing w:val="-2"/>
        </w:rPr>
        <w:t> </w:t>
      </w:r>
      <w:r>
        <w:rPr/>
        <w:t>Registration</w:t>
      </w:r>
    </w:p>
    <w:p>
      <w:pPr>
        <w:pStyle w:val="Heading4"/>
        <w:numPr>
          <w:ilvl w:val="2"/>
          <w:numId w:val="690"/>
        </w:numPr>
        <w:tabs>
          <w:tab w:pos="1351" w:val="left" w:leader="none"/>
          <w:tab w:pos="1352" w:val="left" w:leader="none"/>
        </w:tabs>
        <w:spacing w:line="240" w:lineRule="auto" w:before="240" w:after="0"/>
        <w:ind w:left="1351" w:right="0" w:hanging="1134"/>
        <w:jc w:val="left"/>
      </w:pPr>
      <w:bookmarkStart w:name="9.34.1 Application of the Rules in Queen" w:id="2857"/>
      <w:bookmarkEnd w:id="2857"/>
      <w:r>
        <w:rPr>
          <w:b w:val="0"/>
        </w:rPr>
      </w:r>
      <w:bookmarkStart w:name="_bookmark1160" w:id="2858"/>
      <w:bookmarkEnd w:id="2858"/>
      <w:r>
        <w:rPr>
          <w:b w:val="0"/>
        </w:rPr>
      </w:r>
      <w:bookmarkStart w:name="_bookmark1160" w:id="2859"/>
      <w:bookmarkEnd w:id="2859"/>
      <w:r>
        <w:rPr/>
        <w:t>Applicatio</w:t>
      </w:r>
      <w:r>
        <w:rPr/>
        <w:t>n of the Rules in Queensland (clauses 2.2 and</w:t>
      </w:r>
      <w:r>
        <w:rPr>
          <w:spacing w:val="-11"/>
        </w:rPr>
        <w:t> </w:t>
      </w:r>
      <w:r>
        <w:rPr/>
        <w:t>2.5)</w:t>
      </w:r>
    </w:p>
    <w:p>
      <w:pPr>
        <w:pStyle w:val="BodyText"/>
        <w:ind w:left="1352" w:firstLine="0"/>
      </w:pPr>
      <w:r>
        <w:rPr/>
        <w:t>Any person who engages in the activity of owning, controlling or operating:</w:t>
      </w:r>
    </w:p>
    <w:p>
      <w:pPr>
        <w:pStyle w:val="ListParagraph"/>
        <w:numPr>
          <w:ilvl w:val="3"/>
          <w:numId w:val="690"/>
        </w:numPr>
        <w:tabs>
          <w:tab w:pos="1919" w:val="left" w:leader="none"/>
        </w:tabs>
        <w:spacing w:line="240" w:lineRule="auto" w:before="120" w:after="0"/>
        <w:ind w:left="1919" w:right="417" w:hanging="567"/>
        <w:jc w:val="both"/>
        <w:rPr>
          <w:sz w:val="24"/>
        </w:rPr>
      </w:pPr>
      <w:r>
        <w:rPr>
          <w:sz w:val="24"/>
        </w:rPr>
        <w:t>a </w:t>
      </w:r>
      <w:r>
        <w:rPr>
          <w:i/>
          <w:sz w:val="24"/>
        </w:rPr>
        <w:t>generating system </w:t>
      </w:r>
      <w:r>
        <w:rPr>
          <w:sz w:val="24"/>
        </w:rPr>
        <w:t>that </w:t>
      </w:r>
      <w:r>
        <w:rPr>
          <w:i/>
          <w:sz w:val="24"/>
        </w:rPr>
        <w:t>supplies </w:t>
      </w:r>
      <w:r>
        <w:rPr>
          <w:sz w:val="24"/>
        </w:rPr>
        <w:t>electricity to a </w:t>
      </w:r>
      <w:r>
        <w:rPr>
          <w:i/>
          <w:sz w:val="24"/>
        </w:rPr>
        <w:t>transmission or distribution </w:t>
      </w:r>
      <w:r>
        <w:rPr>
          <w:i/>
          <w:sz w:val="24"/>
        </w:rPr>
        <w:t>system </w:t>
      </w:r>
      <w:r>
        <w:rPr>
          <w:sz w:val="24"/>
        </w:rPr>
        <w:t>of a kind referred to in clause 9.34.1(b);</w:t>
      </w:r>
      <w:r>
        <w:rPr>
          <w:spacing w:val="-4"/>
          <w:sz w:val="24"/>
        </w:rPr>
        <w:t> </w:t>
      </w:r>
      <w:r>
        <w:rPr>
          <w:sz w:val="24"/>
        </w:rPr>
        <w:t>or</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a </w:t>
      </w:r>
      <w:r>
        <w:rPr>
          <w:i/>
          <w:sz w:val="24"/>
        </w:rPr>
        <w:t>transmission or distribution system </w:t>
      </w:r>
      <w:r>
        <w:rPr>
          <w:sz w:val="24"/>
        </w:rPr>
        <w:t>in Queensland which does not form part of the </w:t>
      </w:r>
      <w:r>
        <w:rPr>
          <w:i/>
          <w:sz w:val="24"/>
        </w:rPr>
        <w:t>national</w:t>
      </w:r>
      <w:r>
        <w:rPr>
          <w:i/>
          <w:spacing w:val="-1"/>
          <w:sz w:val="24"/>
        </w:rPr>
        <w:t> </w:t>
      </w:r>
      <w:r>
        <w:rPr>
          <w:i/>
          <w:sz w:val="24"/>
        </w:rPr>
        <w:t>grid</w:t>
      </w:r>
      <w:r>
        <w:rPr>
          <w:sz w:val="24"/>
        </w:rPr>
        <w:t>,</w:t>
      </w:r>
    </w:p>
    <w:p>
      <w:pPr>
        <w:pStyle w:val="BodyText"/>
        <w:ind w:left="1352" w:right="414" w:firstLine="0"/>
      </w:pPr>
      <w:r>
        <w:rPr/>
        <w:t>is not to, and is not to be taken to be entitled to, and is taken to have been exempted from the requirement to, register as a </w:t>
      </w:r>
      <w:r>
        <w:rPr>
          <w:i/>
        </w:rPr>
        <w:t>Registered Participant </w:t>
      </w:r>
      <w:r>
        <w:rPr/>
        <w:t>in relation to that activity.</w:t>
      </w:r>
    </w:p>
    <w:p>
      <w:pPr>
        <w:pStyle w:val="BodyText"/>
        <w:spacing w:before="10"/>
        <w:ind w:firstLine="0"/>
        <w:jc w:val="left"/>
        <w:rPr>
          <w:sz w:val="20"/>
        </w:rPr>
      </w:pPr>
    </w:p>
    <w:p>
      <w:pPr>
        <w:pStyle w:val="Heading4"/>
        <w:numPr>
          <w:ilvl w:val="2"/>
          <w:numId w:val="690"/>
        </w:numPr>
        <w:tabs>
          <w:tab w:pos="1351" w:val="left" w:leader="none"/>
          <w:tab w:pos="1352" w:val="left" w:leader="none"/>
        </w:tabs>
        <w:spacing w:line="240" w:lineRule="auto" w:before="0" w:after="0"/>
        <w:ind w:left="1351" w:right="0" w:hanging="1134"/>
        <w:jc w:val="left"/>
      </w:pPr>
      <w:bookmarkStart w:name="9.34.2 Stanwell Cross Border Leases (cla" w:id="2860"/>
      <w:bookmarkEnd w:id="2860"/>
      <w:r>
        <w:rPr>
          <w:b w:val="0"/>
        </w:rPr>
      </w:r>
      <w:bookmarkStart w:name="_bookmark1161" w:id="2861"/>
      <w:bookmarkEnd w:id="2861"/>
      <w:r>
        <w:rPr>
          <w:b w:val="0"/>
        </w:rPr>
      </w:r>
      <w:bookmarkStart w:name="_bookmark1161" w:id="2862"/>
      <w:bookmarkEnd w:id="2862"/>
      <w:r>
        <w:rPr/>
        <w:t>Stanwell</w:t>
      </w:r>
      <w:r>
        <w:rPr/>
        <w:t> Cross Border Leases (clause</w:t>
      </w:r>
      <w:r>
        <w:rPr>
          <w:spacing w:val="-5"/>
        </w:rPr>
        <w:t> </w:t>
      </w:r>
      <w:r>
        <w:rPr/>
        <w:t>2.2)</w:t>
      </w:r>
    </w:p>
    <w:p>
      <w:pPr>
        <w:pStyle w:val="ListParagraph"/>
        <w:numPr>
          <w:ilvl w:val="3"/>
          <w:numId w:val="690"/>
        </w:numPr>
        <w:tabs>
          <w:tab w:pos="1919" w:val="left" w:leader="none"/>
        </w:tabs>
        <w:spacing w:line="240" w:lineRule="auto" w:before="120" w:after="0"/>
        <w:ind w:left="1919" w:right="414" w:hanging="567"/>
        <w:jc w:val="both"/>
        <w:rPr>
          <w:sz w:val="24"/>
        </w:rPr>
      </w:pPr>
      <w:r>
        <w:rPr>
          <w:sz w:val="24"/>
        </w:rPr>
        <w:t>Stanwell Corporation Ltd is deemed to be the person that must register as a </w:t>
      </w:r>
      <w:r>
        <w:rPr>
          <w:i/>
          <w:sz w:val="24"/>
        </w:rPr>
        <w:t>Generator </w:t>
      </w:r>
      <w:r>
        <w:rPr>
          <w:sz w:val="24"/>
        </w:rPr>
        <w:t>in relation to the </w:t>
      </w:r>
      <w:r>
        <w:rPr>
          <w:i/>
          <w:sz w:val="24"/>
        </w:rPr>
        <w:t>generating systems </w:t>
      </w:r>
      <w:r>
        <w:rPr>
          <w:sz w:val="24"/>
        </w:rPr>
        <w:t>which are the subject of the Stanwell Cross Border</w:t>
      </w:r>
      <w:r>
        <w:rPr>
          <w:spacing w:val="-2"/>
          <w:sz w:val="24"/>
        </w:rPr>
        <w:t> </w:t>
      </w:r>
      <w:r>
        <w:rPr>
          <w:sz w:val="24"/>
        </w:rPr>
        <w:t>Leases.</w:t>
      </w:r>
    </w:p>
    <w:p>
      <w:pPr>
        <w:pStyle w:val="ListParagraph"/>
        <w:numPr>
          <w:ilvl w:val="3"/>
          <w:numId w:val="690"/>
        </w:numPr>
        <w:tabs>
          <w:tab w:pos="1919" w:val="left" w:leader="none"/>
        </w:tabs>
        <w:spacing w:line="240" w:lineRule="auto" w:before="120" w:after="0"/>
        <w:ind w:left="1919" w:right="414" w:hanging="567"/>
        <w:jc w:val="both"/>
        <w:rPr>
          <w:sz w:val="24"/>
        </w:rPr>
      </w:pPr>
      <w:r>
        <w:rPr>
          <w:sz w:val="24"/>
        </w:rPr>
        <w:t>The parties (other than Stanwell Corporation Ltd) to the Stanwell Cross Border Leases are not to be and are not to be entitled to, and are taken to have been exempted from the requirement to, register as a </w:t>
      </w:r>
      <w:r>
        <w:rPr>
          <w:i/>
          <w:sz w:val="24"/>
        </w:rPr>
        <w:t>Generator </w:t>
      </w:r>
      <w:r>
        <w:rPr>
          <w:sz w:val="24"/>
        </w:rPr>
        <w:t>in relation to the </w:t>
      </w:r>
      <w:r>
        <w:rPr>
          <w:i/>
          <w:sz w:val="24"/>
        </w:rPr>
        <w:t>generating systems </w:t>
      </w:r>
      <w:r>
        <w:rPr>
          <w:sz w:val="24"/>
        </w:rPr>
        <w:t>which are the subject of the Stanwell Cross Border Leases.</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Clauses 9.34.2(a) and (b) cease to have effect upon the expiry or </w:t>
      </w:r>
      <w:r>
        <w:rPr>
          <w:spacing w:val="-3"/>
          <w:sz w:val="24"/>
        </w:rPr>
        <w:t>earlier </w:t>
      </w:r>
      <w:r>
        <w:rPr>
          <w:sz w:val="24"/>
        </w:rPr>
        <w:t>termination of the last of the Stanwell Cross Border</w:t>
      </w:r>
      <w:r>
        <w:rPr>
          <w:spacing w:val="-5"/>
          <w:sz w:val="24"/>
        </w:rPr>
        <w:t> </w:t>
      </w:r>
      <w:r>
        <w:rPr>
          <w:sz w:val="24"/>
        </w:rPr>
        <w:t>Leases.</w:t>
      </w:r>
    </w:p>
    <w:p>
      <w:pPr>
        <w:pStyle w:val="BodyText"/>
        <w:spacing w:before="10"/>
        <w:ind w:firstLine="0"/>
        <w:jc w:val="left"/>
        <w:rPr>
          <w:sz w:val="20"/>
        </w:rPr>
      </w:pPr>
    </w:p>
    <w:p>
      <w:pPr>
        <w:pStyle w:val="Heading4"/>
        <w:numPr>
          <w:ilvl w:val="2"/>
          <w:numId w:val="690"/>
        </w:numPr>
        <w:tabs>
          <w:tab w:pos="1351" w:val="left" w:leader="none"/>
          <w:tab w:pos="1352" w:val="left" w:leader="none"/>
        </w:tabs>
        <w:spacing w:line="240" w:lineRule="auto" w:before="0" w:after="0"/>
        <w:ind w:left="1351" w:right="0" w:hanging="1134"/>
        <w:jc w:val="left"/>
      </w:pPr>
      <w:bookmarkStart w:name="9.34.3 [Deleted]" w:id="2863"/>
      <w:bookmarkEnd w:id="2863"/>
      <w:r>
        <w:rPr>
          <w:b w:val="0"/>
        </w:rPr>
      </w:r>
      <w:bookmarkStart w:name="_bookmark1162" w:id="2864"/>
      <w:bookmarkEnd w:id="2864"/>
      <w:r>
        <w:rPr>
          <w:b w:val="0"/>
        </w:rPr>
      </w:r>
      <w:bookmarkStart w:name="_bookmark1162" w:id="2865"/>
      <w:bookmarkEnd w:id="2865"/>
      <w:r>
        <w:rPr/>
        <w:t>[Deleted]</w:t>
      </w:r>
    </w:p>
    <w:p>
      <w:pPr>
        <w:pStyle w:val="BodyText"/>
        <w:spacing w:before="10"/>
        <w:ind w:firstLine="0"/>
        <w:jc w:val="left"/>
        <w:rPr>
          <w:rFonts w:ascii="Arial"/>
          <w:b/>
          <w:sz w:val="20"/>
        </w:rPr>
      </w:pPr>
    </w:p>
    <w:p>
      <w:pPr>
        <w:pStyle w:val="Heading4"/>
        <w:numPr>
          <w:ilvl w:val="2"/>
          <w:numId w:val="690"/>
        </w:numPr>
        <w:tabs>
          <w:tab w:pos="1351" w:val="left" w:leader="none"/>
          <w:tab w:pos="1352" w:val="left" w:leader="none"/>
        </w:tabs>
        <w:spacing w:line="240" w:lineRule="auto" w:before="0" w:after="0"/>
        <w:ind w:left="1351" w:right="0" w:hanging="1134"/>
        <w:jc w:val="left"/>
      </w:pPr>
      <w:bookmarkStart w:name="9.34.4 Registration as a Customer (claus" w:id="2866"/>
      <w:bookmarkEnd w:id="2866"/>
      <w:r>
        <w:rPr>
          <w:b w:val="0"/>
        </w:rPr>
      </w:r>
      <w:bookmarkStart w:name="_bookmark1163" w:id="2867"/>
      <w:bookmarkEnd w:id="2867"/>
      <w:r>
        <w:rPr>
          <w:b w:val="0"/>
        </w:rPr>
      </w:r>
      <w:bookmarkStart w:name="_bookmark1163" w:id="2868"/>
      <w:bookmarkEnd w:id="2868"/>
      <w:r>
        <w:rPr/>
        <w:t>Registratio</w:t>
      </w:r>
      <w:r>
        <w:rPr/>
        <w:t>n as a Customer (clause</w:t>
      </w:r>
      <w:r>
        <w:rPr>
          <w:spacing w:val="-5"/>
        </w:rPr>
        <w:t> </w:t>
      </w:r>
      <w:r>
        <w:rPr/>
        <w:t>2.3.1)</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Subject to clause 9.34.4(c), for the purpose of clause 2.3.1(e), a person satisfies the requirements of Queensland for classification of a </w:t>
      </w:r>
      <w:r>
        <w:rPr>
          <w:i/>
          <w:sz w:val="24"/>
        </w:rPr>
        <w:t>connection </w:t>
      </w:r>
      <w:r>
        <w:rPr>
          <w:i/>
          <w:sz w:val="24"/>
        </w:rPr>
        <w:t>point </w:t>
      </w:r>
      <w:r>
        <w:rPr>
          <w:sz w:val="24"/>
        </w:rPr>
        <w:t>if that person</w:t>
      </w:r>
      <w:r>
        <w:rPr>
          <w:spacing w:val="-1"/>
          <w:sz w:val="24"/>
        </w:rPr>
        <w:t> </w:t>
      </w:r>
      <w:r>
        <w:rPr>
          <w:sz w:val="24"/>
        </w:rPr>
        <w:t>is:</w:t>
      </w:r>
    </w:p>
    <w:p>
      <w:pPr>
        <w:spacing w:after="0" w:line="240" w:lineRule="auto"/>
        <w:jc w:val="both"/>
        <w:rPr>
          <w:sz w:val="24"/>
        </w:rPr>
        <w:sectPr>
          <w:pgSz w:w="11910" w:h="16840"/>
          <w:pgMar w:header="686" w:footer="637" w:top="1320" w:bottom="820" w:left="1200" w:right="1000"/>
        </w:sectPr>
      </w:pPr>
    </w:p>
    <w:p>
      <w:pPr>
        <w:pStyle w:val="ListParagraph"/>
        <w:numPr>
          <w:ilvl w:val="4"/>
          <w:numId w:val="690"/>
        </w:numPr>
        <w:tabs>
          <w:tab w:pos="2486" w:val="left" w:leader="none"/>
        </w:tabs>
        <w:spacing w:line="240" w:lineRule="auto" w:before="83" w:after="0"/>
        <w:ind w:left="2485" w:right="0" w:hanging="567"/>
        <w:jc w:val="both"/>
        <w:rPr>
          <w:sz w:val="24"/>
        </w:rPr>
      </w:pPr>
      <w:r>
        <w:rPr>
          <w:sz w:val="24"/>
        </w:rPr>
        <w:t>a</w:t>
      </w:r>
      <w:r>
        <w:rPr>
          <w:spacing w:val="10"/>
          <w:sz w:val="24"/>
        </w:rPr>
        <w:t> </w:t>
      </w:r>
      <w:r>
        <w:rPr>
          <w:sz w:val="24"/>
        </w:rPr>
        <w:t>customer</w:t>
      </w:r>
      <w:r>
        <w:rPr>
          <w:spacing w:val="11"/>
          <w:sz w:val="24"/>
        </w:rPr>
        <w:t> </w:t>
      </w:r>
      <w:r>
        <w:rPr>
          <w:sz w:val="24"/>
        </w:rPr>
        <w:t>(other</w:t>
      </w:r>
      <w:r>
        <w:rPr>
          <w:spacing w:val="11"/>
          <w:sz w:val="24"/>
        </w:rPr>
        <w:t> </w:t>
      </w:r>
      <w:r>
        <w:rPr>
          <w:sz w:val="24"/>
        </w:rPr>
        <w:t>than</w:t>
      </w:r>
      <w:r>
        <w:rPr>
          <w:spacing w:val="11"/>
          <w:sz w:val="24"/>
        </w:rPr>
        <w:t> </w:t>
      </w:r>
      <w:r>
        <w:rPr>
          <w:sz w:val="24"/>
        </w:rPr>
        <w:t>an</w:t>
      </w:r>
      <w:r>
        <w:rPr>
          <w:spacing w:val="10"/>
          <w:sz w:val="24"/>
        </w:rPr>
        <w:t> </w:t>
      </w:r>
      <w:r>
        <w:rPr>
          <w:sz w:val="24"/>
        </w:rPr>
        <w:t>excluded</w:t>
      </w:r>
      <w:r>
        <w:rPr>
          <w:spacing w:val="11"/>
          <w:sz w:val="24"/>
        </w:rPr>
        <w:t> </w:t>
      </w:r>
      <w:r>
        <w:rPr>
          <w:sz w:val="24"/>
        </w:rPr>
        <w:t>customer)</w:t>
      </w:r>
      <w:r>
        <w:rPr>
          <w:spacing w:val="11"/>
          <w:sz w:val="24"/>
        </w:rPr>
        <w:t> </w:t>
      </w:r>
      <w:r>
        <w:rPr>
          <w:sz w:val="24"/>
        </w:rPr>
        <w:t>in</w:t>
      </w:r>
      <w:r>
        <w:rPr>
          <w:spacing w:val="11"/>
          <w:sz w:val="24"/>
        </w:rPr>
        <w:t> </w:t>
      </w:r>
      <w:r>
        <w:rPr>
          <w:sz w:val="24"/>
        </w:rPr>
        <w:t>relation</w:t>
      </w:r>
      <w:r>
        <w:rPr>
          <w:spacing w:val="10"/>
          <w:sz w:val="24"/>
        </w:rPr>
        <w:t> </w:t>
      </w:r>
      <w:r>
        <w:rPr>
          <w:sz w:val="24"/>
        </w:rPr>
        <w:t>to</w:t>
      </w:r>
      <w:r>
        <w:rPr>
          <w:spacing w:val="11"/>
          <w:sz w:val="24"/>
        </w:rPr>
        <w:t> </w:t>
      </w:r>
      <w:r>
        <w:rPr>
          <w:sz w:val="24"/>
        </w:rPr>
        <w:t>that</w:t>
      </w:r>
    </w:p>
    <w:p>
      <w:pPr>
        <w:spacing w:before="0"/>
        <w:ind w:left="2486" w:right="0" w:firstLine="0"/>
        <w:jc w:val="both"/>
        <w:rPr>
          <w:sz w:val="24"/>
        </w:rPr>
      </w:pPr>
      <w:r>
        <w:rPr>
          <w:i/>
          <w:sz w:val="24"/>
        </w:rPr>
        <w:t>connection point</w:t>
      </w:r>
      <w:r>
        <w:rPr>
          <w:sz w:val="24"/>
        </w:rPr>
        <w:t>; or</w:t>
      </w:r>
    </w:p>
    <w:p>
      <w:pPr>
        <w:pStyle w:val="ListParagraph"/>
        <w:numPr>
          <w:ilvl w:val="4"/>
          <w:numId w:val="690"/>
        </w:numPr>
        <w:tabs>
          <w:tab w:pos="2486" w:val="left" w:leader="none"/>
        </w:tabs>
        <w:spacing w:line="240" w:lineRule="auto" w:before="120" w:after="0"/>
        <w:ind w:left="2485" w:right="0" w:hanging="567"/>
        <w:jc w:val="both"/>
        <w:rPr>
          <w:i/>
          <w:sz w:val="24"/>
        </w:rPr>
      </w:pPr>
      <w:r>
        <w:rPr>
          <w:sz w:val="24"/>
        </w:rPr>
        <w:t>a</w:t>
      </w:r>
      <w:r>
        <w:rPr>
          <w:spacing w:val="14"/>
          <w:sz w:val="24"/>
        </w:rPr>
        <w:t> </w:t>
      </w:r>
      <w:r>
        <w:rPr>
          <w:i/>
          <w:sz w:val="24"/>
        </w:rPr>
        <w:t>retailer</w:t>
      </w:r>
      <w:r>
        <w:rPr>
          <w:i/>
          <w:spacing w:val="14"/>
          <w:sz w:val="24"/>
        </w:rPr>
        <w:t> </w:t>
      </w:r>
      <w:r>
        <w:rPr>
          <w:sz w:val="24"/>
        </w:rPr>
        <w:t>who</w:t>
      </w:r>
      <w:r>
        <w:rPr>
          <w:spacing w:val="14"/>
          <w:sz w:val="24"/>
        </w:rPr>
        <w:t> </w:t>
      </w:r>
      <w:r>
        <w:rPr>
          <w:sz w:val="24"/>
        </w:rPr>
        <w:t>is</w:t>
      </w:r>
      <w:r>
        <w:rPr>
          <w:spacing w:val="14"/>
          <w:sz w:val="24"/>
        </w:rPr>
        <w:t> </w:t>
      </w:r>
      <w:r>
        <w:rPr>
          <w:sz w:val="24"/>
        </w:rPr>
        <w:t>authorised</w:t>
      </w:r>
      <w:r>
        <w:rPr>
          <w:spacing w:val="14"/>
          <w:sz w:val="24"/>
        </w:rPr>
        <w:t> </w:t>
      </w:r>
      <w:r>
        <w:rPr>
          <w:sz w:val="24"/>
        </w:rPr>
        <w:t>to</w:t>
      </w:r>
      <w:r>
        <w:rPr>
          <w:spacing w:val="14"/>
          <w:sz w:val="24"/>
        </w:rPr>
        <w:t> </w:t>
      </w:r>
      <w:r>
        <w:rPr>
          <w:sz w:val="24"/>
        </w:rPr>
        <w:t>sell</w:t>
      </w:r>
      <w:r>
        <w:rPr>
          <w:spacing w:val="14"/>
          <w:sz w:val="24"/>
        </w:rPr>
        <w:t> </w:t>
      </w:r>
      <w:r>
        <w:rPr>
          <w:sz w:val="24"/>
        </w:rPr>
        <w:t>electricity</w:t>
      </w:r>
      <w:r>
        <w:rPr>
          <w:spacing w:val="14"/>
          <w:sz w:val="24"/>
        </w:rPr>
        <w:t> </w:t>
      </w:r>
      <w:r>
        <w:rPr>
          <w:sz w:val="24"/>
        </w:rPr>
        <w:t>to</w:t>
      </w:r>
      <w:r>
        <w:rPr>
          <w:spacing w:val="14"/>
          <w:sz w:val="24"/>
        </w:rPr>
        <w:t> </w:t>
      </w:r>
      <w:r>
        <w:rPr>
          <w:sz w:val="24"/>
        </w:rPr>
        <w:t>the</w:t>
      </w:r>
      <w:r>
        <w:rPr>
          <w:spacing w:val="14"/>
          <w:sz w:val="24"/>
        </w:rPr>
        <w:t> </w:t>
      </w:r>
      <w:r>
        <w:rPr>
          <w:sz w:val="24"/>
        </w:rPr>
        <w:t>person</w:t>
      </w:r>
      <w:r>
        <w:rPr>
          <w:spacing w:val="14"/>
          <w:sz w:val="24"/>
        </w:rPr>
        <w:t> </w:t>
      </w:r>
      <w:r>
        <w:rPr>
          <w:i/>
          <w:sz w:val="24"/>
        </w:rPr>
        <w:t>connected</w:t>
      </w:r>
    </w:p>
    <w:p>
      <w:pPr>
        <w:spacing w:before="0"/>
        <w:ind w:left="2486" w:right="0" w:firstLine="0"/>
        <w:jc w:val="both"/>
        <w:rPr>
          <w:sz w:val="24"/>
        </w:rPr>
      </w:pPr>
      <w:r>
        <w:rPr>
          <w:sz w:val="24"/>
        </w:rPr>
        <w:t>at that </w:t>
      </w:r>
      <w:r>
        <w:rPr>
          <w:i/>
          <w:sz w:val="24"/>
        </w:rPr>
        <w:t>connection point</w:t>
      </w:r>
      <w:r>
        <w:rPr>
          <w:sz w:val="24"/>
        </w:rPr>
        <w:t>; or</w:t>
      </w:r>
    </w:p>
    <w:p>
      <w:pPr>
        <w:pStyle w:val="ListParagraph"/>
        <w:numPr>
          <w:ilvl w:val="4"/>
          <w:numId w:val="690"/>
        </w:numPr>
        <w:tabs>
          <w:tab w:pos="2486" w:val="left" w:leader="none"/>
        </w:tabs>
        <w:spacing w:line="240" w:lineRule="auto" w:before="120" w:after="0"/>
        <w:ind w:left="2485" w:right="0" w:hanging="567"/>
        <w:jc w:val="both"/>
        <w:rPr>
          <w:sz w:val="24"/>
        </w:rPr>
      </w:pPr>
      <w:r>
        <w:rPr>
          <w:sz w:val="24"/>
        </w:rPr>
        <w:t>an exempt seller;</w:t>
      </w:r>
      <w:r>
        <w:rPr>
          <w:spacing w:val="-1"/>
          <w:sz w:val="24"/>
        </w:rPr>
        <w:t> </w:t>
      </w:r>
      <w:r>
        <w:rPr>
          <w:sz w:val="24"/>
        </w:rPr>
        <w:t>or</w:t>
      </w:r>
    </w:p>
    <w:p>
      <w:pPr>
        <w:pStyle w:val="ListParagraph"/>
        <w:numPr>
          <w:ilvl w:val="4"/>
          <w:numId w:val="690"/>
        </w:numPr>
        <w:tabs>
          <w:tab w:pos="2486" w:val="left" w:leader="none"/>
        </w:tabs>
        <w:spacing w:line="240" w:lineRule="auto" w:before="120" w:after="0"/>
        <w:ind w:left="2485" w:right="0" w:hanging="567"/>
        <w:jc w:val="both"/>
        <w:rPr>
          <w:i/>
          <w:sz w:val="24"/>
        </w:rPr>
      </w:pPr>
      <w:r>
        <w:rPr>
          <w:sz w:val="24"/>
        </w:rPr>
        <w:t>a person exempted under the </w:t>
      </w:r>
      <w:r>
        <w:rPr>
          <w:i/>
          <w:sz w:val="24"/>
        </w:rPr>
        <w:t>National Energy Retail</w:t>
      </w:r>
      <w:r>
        <w:rPr>
          <w:i/>
          <w:spacing w:val="14"/>
          <w:sz w:val="24"/>
        </w:rPr>
        <w:t> </w:t>
      </w:r>
      <w:r>
        <w:rPr>
          <w:i/>
          <w:sz w:val="24"/>
        </w:rPr>
        <w:t>Law</w:t>
      </w:r>
    </w:p>
    <w:p>
      <w:pPr>
        <w:pStyle w:val="BodyText"/>
        <w:spacing w:before="0"/>
        <w:ind w:left="2486" w:firstLine="0"/>
      </w:pPr>
      <w:r>
        <w:rPr/>
        <w:t>(Queensland), from the operation of section 88 of that Act.</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For the purpose of clause 2.3.1(e), a person does not satisfy</w:t>
      </w:r>
      <w:r>
        <w:rPr>
          <w:spacing w:val="31"/>
          <w:sz w:val="24"/>
        </w:rPr>
        <w:t> </w:t>
      </w:r>
      <w:r>
        <w:rPr>
          <w:sz w:val="24"/>
        </w:rPr>
        <w:t>the requirements of Queensland for classification of its electricity purchased at  a </w:t>
      </w:r>
      <w:r>
        <w:rPr>
          <w:i/>
          <w:sz w:val="24"/>
        </w:rPr>
        <w:t>connection point </w:t>
      </w:r>
      <w:r>
        <w:rPr>
          <w:sz w:val="24"/>
        </w:rPr>
        <w:t>in Queensland if the electricity is </w:t>
      </w:r>
      <w:r>
        <w:rPr>
          <w:i/>
          <w:sz w:val="24"/>
        </w:rPr>
        <w:t>supplied </w:t>
      </w:r>
      <w:r>
        <w:rPr>
          <w:sz w:val="24"/>
        </w:rPr>
        <w:t>through a </w:t>
      </w:r>
      <w:r>
        <w:rPr>
          <w:i/>
          <w:sz w:val="24"/>
        </w:rPr>
        <w:t>transmission system </w:t>
      </w:r>
      <w:r>
        <w:rPr>
          <w:sz w:val="24"/>
        </w:rPr>
        <w:t>which does not form part of the </w:t>
      </w:r>
      <w:r>
        <w:rPr>
          <w:i/>
          <w:sz w:val="24"/>
        </w:rPr>
        <w:t>national</w:t>
      </w:r>
      <w:r>
        <w:rPr>
          <w:i/>
          <w:spacing w:val="-2"/>
          <w:sz w:val="24"/>
        </w:rPr>
        <w:t> </w:t>
      </w:r>
      <w:r>
        <w:rPr>
          <w:i/>
          <w:sz w:val="24"/>
        </w:rPr>
        <w:t>grid</w:t>
      </w:r>
      <w:r>
        <w:rPr>
          <w:sz w:val="24"/>
        </w:rPr>
        <w:t>.</w:t>
      </w:r>
    </w:p>
    <w:p>
      <w:pPr>
        <w:pStyle w:val="BodyText"/>
        <w:spacing w:before="10"/>
        <w:ind w:firstLine="0"/>
        <w:jc w:val="left"/>
        <w:rPr>
          <w:sz w:val="20"/>
        </w:rPr>
      </w:pPr>
    </w:p>
    <w:p>
      <w:pPr>
        <w:pStyle w:val="Heading4"/>
        <w:numPr>
          <w:ilvl w:val="2"/>
          <w:numId w:val="690"/>
        </w:numPr>
        <w:tabs>
          <w:tab w:pos="1351" w:val="left" w:leader="none"/>
          <w:tab w:pos="1352" w:val="left" w:leader="none"/>
        </w:tabs>
        <w:spacing w:line="240" w:lineRule="auto" w:before="0" w:after="0"/>
        <w:ind w:left="1351" w:right="0" w:hanging="1134"/>
        <w:jc w:val="left"/>
      </w:pPr>
      <w:bookmarkStart w:name="9.34.5 There is no clause 9.34.5" w:id="2869"/>
      <w:bookmarkEnd w:id="2869"/>
      <w:r>
        <w:rPr>
          <w:b w:val="0"/>
        </w:rPr>
      </w:r>
      <w:bookmarkStart w:name="_bookmark1164" w:id="2870"/>
      <w:bookmarkEnd w:id="2870"/>
      <w:r>
        <w:rPr>
          <w:b w:val="0"/>
        </w:rPr>
      </w:r>
      <w:bookmarkStart w:name="_bookmark1164" w:id="2871"/>
      <w:bookmarkEnd w:id="2871"/>
      <w:r>
        <w:rPr/>
        <w:t>There</w:t>
      </w:r>
      <w:r>
        <w:rPr/>
        <w:t> is no clause</w:t>
      </w:r>
      <w:r>
        <w:rPr>
          <w:spacing w:val="-2"/>
        </w:rPr>
        <w:t> </w:t>
      </w:r>
      <w:r>
        <w:rPr/>
        <w:t>9.34.5</w:t>
      </w:r>
    </w:p>
    <w:p>
      <w:pPr>
        <w:pStyle w:val="BodyText"/>
        <w:spacing w:before="10"/>
        <w:ind w:firstLine="0"/>
        <w:jc w:val="left"/>
        <w:rPr>
          <w:rFonts w:ascii="Arial"/>
          <w:b/>
          <w:sz w:val="20"/>
        </w:rPr>
      </w:pPr>
    </w:p>
    <w:p>
      <w:pPr>
        <w:pStyle w:val="Heading4"/>
        <w:numPr>
          <w:ilvl w:val="2"/>
          <w:numId w:val="690"/>
        </w:numPr>
        <w:tabs>
          <w:tab w:pos="1351" w:val="left" w:leader="none"/>
          <w:tab w:pos="1352" w:val="left" w:leader="none"/>
        </w:tabs>
        <w:spacing w:line="240" w:lineRule="auto" w:before="0" w:after="0"/>
        <w:ind w:left="1351" w:right="0" w:hanging="1134"/>
        <w:jc w:val="left"/>
      </w:pPr>
      <w:bookmarkStart w:name="9.34.6 Exempted generation agreements (c" w:id="2872"/>
      <w:bookmarkEnd w:id="2872"/>
      <w:r>
        <w:rPr>
          <w:b w:val="0"/>
        </w:rPr>
      </w:r>
      <w:bookmarkStart w:name="_bookmark1165" w:id="2873"/>
      <w:bookmarkEnd w:id="2873"/>
      <w:r>
        <w:rPr>
          <w:b w:val="0"/>
        </w:rPr>
      </w:r>
      <w:bookmarkStart w:name="_bookmark1165" w:id="2874"/>
      <w:bookmarkEnd w:id="2874"/>
      <w:r>
        <w:rPr/>
        <w:t>Exempted</w:t>
      </w:r>
      <w:r>
        <w:rPr/>
        <w:t> generation agreements (clause</w:t>
      </w:r>
      <w:r>
        <w:rPr>
          <w:spacing w:val="-2"/>
        </w:rPr>
        <w:t> </w:t>
      </w:r>
      <w:r>
        <w:rPr/>
        <w:t>2.2)</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For the purpose of supplying electricity under any exempted generation agreement, for each </w:t>
      </w:r>
      <w:r>
        <w:rPr>
          <w:i/>
          <w:sz w:val="24"/>
        </w:rPr>
        <w:t>generating system </w:t>
      </w:r>
      <w:r>
        <w:rPr>
          <w:sz w:val="24"/>
        </w:rPr>
        <w:t>which forms part of one of the </w:t>
      </w:r>
      <w:r>
        <w:rPr>
          <w:i/>
          <w:sz w:val="24"/>
        </w:rPr>
        <w:t>power </w:t>
      </w:r>
      <w:r>
        <w:rPr>
          <w:i/>
          <w:sz w:val="24"/>
        </w:rPr>
        <w:t>stations </w:t>
      </w:r>
      <w:r>
        <w:rPr>
          <w:sz w:val="24"/>
        </w:rPr>
        <w:t>listed in schedule 9E1 the Minister may determine, in consultation in each case with the owner of the relevant </w:t>
      </w:r>
      <w:r>
        <w:rPr>
          <w:i/>
          <w:sz w:val="24"/>
        </w:rPr>
        <w:t>generating system</w:t>
      </w:r>
      <w:r>
        <w:rPr>
          <w:sz w:val="24"/>
        </w:rPr>
        <w:t>, whether a State Electricity Entity (the "</w:t>
      </w:r>
      <w:r>
        <w:rPr>
          <w:b/>
          <w:sz w:val="24"/>
        </w:rPr>
        <w:t>Nominated Generator</w:t>
      </w:r>
      <w:r>
        <w:rPr>
          <w:sz w:val="24"/>
        </w:rPr>
        <w:t>"), rather than another person engaging in the activity of owning, operating or controlling the </w:t>
      </w:r>
      <w:r>
        <w:rPr>
          <w:i/>
          <w:sz w:val="24"/>
        </w:rPr>
        <w:t>generating system</w:t>
      </w:r>
      <w:r>
        <w:rPr>
          <w:sz w:val="24"/>
        </w:rPr>
        <w:t>, should be the </w:t>
      </w:r>
      <w:r>
        <w:rPr>
          <w:i/>
          <w:sz w:val="24"/>
        </w:rPr>
        <w:t>Generator </w:t>
      </w:r>
      <w:r>
        <w:rPr>
          <w:sz w:val="24"/>
        </w:rPr>
        <w:t>in respect of the </w:t>
      </w:r>
      <w:r>
        <w:rPr>
          <w:i/>
          <w:sz w:val="24"/>
        </w:rPr>
        <w:t>generating </w:t>
      </w:r>
      <w:r>
        <w:rPr>
          <w:i/>
          <w:sz w:val="24"/>
        </w:rPr>
        <w:t>system</w:t>
      </w:r>
      <w:r>
        <w:rPr>
          <w:sz w:val="24"/>
        </w:rPr>
        <w:t>.</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For the purposes of the </w:t>
      </w:r>
      <w:r>
        <w:rPr>
          <w:i/>
          <w:sz w:val="24"/>
        </w:rPr>
        <w:t>Rules </w:t>
      </w:r>
      <w:r>
        <w:rPr>
          <w:sz w:val="24"/>
        </w:rPr>
        <w:t>if the Minister has determined a Nominated Generator for any </w:t>
      </w:r>
      <w:r>
        <w:rPr>
          <w:i/>
          <w:sz w:val="24"/>
        </w:rPr>
        <w:t>generating system </w:t>
      </w:r>
      <w:r>
        <w:rPr>
          <w:sz w:val="24"/>
        </w:rPr>
        <w:t>as described in clause</w:t>
      </w:r>
      <w:r>
        <w:rPr>
          <w:spacing w:val="-9"/>
          <w:sz w:val="24"/>
        </w:rPr>
        <w:t> </w:t>
      </w:r>
      <w:r>
        <w:rPr>
          <w:sz w:val="24"/>
        </w:rPr>
        <w:t>9.34.6(a):</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the Nominated Generator is taken to be, and at all relevant times to have been, and is the person that must register as, a </w:t>
      </w:r>
      <w:r>
        <w:rPr>
          <w:i/>
          <w:sz w:val="24"/>
        </w:rPr>
        <w:t>Generator </w:t>
      </w:r>
      <w:r>
        <w:rPr>
          <w:sz w:val="24"/>
        </w:rPr>
        <w:t>in relation to that </w:t>
      </w:r>
      <w:r>
        <w:rPr>
          <w:i/>
          <w:sz w:val="24"/>
        </w:rPr>
        <w:t>generating system</w:t>
      </w:r>
      <w:r>
        <w:rPr>
          <w:sz w:val="24"/>
        </w:rPr>
        <w:t>;</w:t>
      </w:r>
      <w:r>
        <w:rPr>
          <w:spacing w:val="-1"/>
          <w:sz w:val="24"/>
        </w:rPr>
        <w:t> </w:t>
      </w:r>
      <w:r>
        <w:rPr>
          <w:sz w:val="24"/>
        </w:rPr>
        <w:t>and</w:t>
      </w:r>
    </w:p>
    <w:p>
      <w:pPr>
        <w:pStyle w:val="ListParagraph"/>
        <w:numPr>
          <w:ilvl w:val="4"/>
          <w:numId w:val="690"/>
        </w:numPr>
        <w:tabs>
          <w:tab w:pos="2486" w:val="left" w:leader="none"/>
        </w:tabs>
        <w:spacing w:line="240" w:lineRule="auto" w:before="120" w:after="0"/>
        <w:ind w:left="2486" w:right="414" w:hanging="567"/>
        <w:jc w:val="both"/>
        <w:rPr>
          <w:sz w:val="24"/>
        </w:rPr>
      </w:pPr>
      <w:r>
        <w:rPr>
          <w:sz w:val="24"/>
        </w:rPr>
        <w:t>any person engaging in the activity of owning, controlling </w:t>
      </w:r>
      <w:r>
        <w:rPr>
          <w:spacing w:val="-7"/>
          <w:sz w:val="24"/>
        </w:rPr>
        <w:t>or</w:t>
      </w:r>
      <w:r>
        <w:rPr>
          <w:spacing w:val="46"/>
          <w:sz w:val="24"/>
        </w:rPr>
        <w:t> </w:t>
      </w:r>
      <w:r>
        <w:rPr>
          <w:sz w:val="24"/>
        </w:rPr>
        <w:t>operating that </w:t>
      </w:r>
      <w:r>
        <w:rPr>
          <w:i/>
          <w:sz w:val="24"/>
        </w:rPr>
        <w:t>generating system</w:t>
      </w:r>
      <w:r>
        <w:rPr>
          <w:sz w:val="24"/>
        </w:rPr>
        <w:t>, not being the Nominated Generator, is not to, is not entitled to, and is taken to have been exempted </w:t>
      </w:r>
      <w:r>
        <w:rPr>
          <w:spacing w:val="-3"/>
          <w:sz w:val="24"/>
        </w:rPr>
        <w:t>from </w:t>
      </w:r>
      <w:r>
        <w:rPr>
          <w:sz w:val="24"/>
        </w:rPr>
        <w:t>the requirement to, register as a </w:t>
      </w:r>
      <w:r>
        <w:rPr>
          <w:i/>
          <w:sz w:val="24"/>
        </w:rPr>
        <w:t>Generator </w:t>
      </w:r>
      <w:r>
        <w:rPr>
          <w:sz w:val="24"/>
        </w:rPr>
        <w:t>in relation to that </w:t>
      </w:r>
      <w:r>
        <w:rPr>
          <w:i/>
          <w:sz w:val="24"/>
        </w:rPr>
        <w:t>generating</w:t>
      </w:r>
      <w:r>
        <w:rPr>
          <w:i/>
          <w:spacing w:val="-1"/>
          <w:sz w:val="24"/>
        </w:rPr>
        <w:t> </w:t>
      </w:r>
      <w:r>
        <w:rPr>
          <w:i/>
          <w:sz w:val="24"/>
        </w:rPr>
        <w:t>system</w:t>
      </w:r>
      <w:r>
        <w:rPr>
          <w:sz w:val="24"/>
        </w:rPr>
        <w:t>.</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If complying with a requirement of the </w:t>
      </w:r>
      <w:r>
        <w:rPr>
          <w:i/>
          <w:sz w:val="24"/>
        </w:rPr>
        <w:t>Rules </w:t>
      </w:r>
      <w:r>
        <w:rPr>
          <w:sz w:val="24"/>
        </w:rPr>
        <w:t>("the </w:t>
      </w:r>
      <w:r>
        <w:rPr>
          <w:b/>
          <w:i/>
          <w:sz w:val="24"/>
        </w:rPr>
        <w:t>Rules </w:t>
      </w:r>
      <w:r>
        <w:rPr>
          <w:b/>
          <w:sz w:val="24"/>
        </w:rPr>
        <w:t>Requirement</w:t>
      </w:r>
      <w:r>
        <w:rPr>
          <w:sz w:val="24"/>
        </w:rPr>
        <w:t>") would result in a Nominated Generator being in breach of a provision of an exempted generation agreement to which it is a party (the </w:t>
      </w:r>
      <w:r>
        <w:rPr>
          <w:b/>
          <w:sz w:val="24"/>
        </w:rPr>
        <w:t>contractual requirement</w:t>
      </w:r>
      <w:r>
        <w:rPr>
          <w:sz w:val="24"/>
        </w:rPr>
        <w:t>), the Nominated Generator is not required to comply with the </w:t>
      </w:r>
      <w:r>
        <w:rPr>
          <w:i/>
          <w:sz w:val="24"/>
        </w:rPr>
        <w:t>Rules </w:t>
      </w:r>
      <w:r>
        <w:rPr>
          <w:sz w:val="24"/>
        </w:rPr>
        <w:t>requirement to the extent of the inconsistency between the</w:t>
      </w:r>
      <w:r>
        <w:rPr>
          <w:spacing w:val="29"/>
          <w:sz w:val="24"/>
        </w:rPr>
        <w:t> </w:t>
      </w:r>
      <w:r>
        <w:rPr>
          <w:i/>
          <w:sz w:val="24"/>
        </w:rPr>
        <w:t>Rules </w:t>
      </w:r>
      <w:r>
        <w:rPr>
          <w:sz w:val="24"/>
        </w:rPr>
        <w:t>requirement  and  the  contractual   requirement   provided   that   this  clause 9.34.6(c) must not be interpreted to relieve a Nominated Generator </w:t>
      </w:r>
      <w:r>
        <w:rPr>
          <w:spacing w:val="-6"/>
          <w:sz w:val="24"/>
        </w:rPr>
        <w:t>of </w:t>
      </w:r>
      <w:r>
        <w:rPr>
          <w:sz w:val="24"/>
        </w:rPr>
        <w:t>the obligation to submit offers in respect of a </w:t>
      </w:r>
      <w:r>
        <w:rPr>
          <w:i/>
          <w:sz w:val="24"/>
        </w:rPr>
        <w:t>scheduled generating unit </w:t>
      </w:r>
      <w:r>
        <w:rPr>
          <w:sz w:val="24"/>
        </w:rPr>
        <w:t>or to operate the </w:t>
      </w:r>
      <w:r>
        <w:rPr>
          <w:i/>
          <w:sz w:val="24"/>
        </w:rPr>
        <w:t>generating unit </w:t>
      </w:r>
      <w:r>
        <w:rPr>
          <w:sz w:val="24"/>
        </w:rPr>
        <w:t>in accordance with </w:t>
      </w:r>
      <w:r>
        <w:rPr>
          <w:i/>
          <w:sz w:val="24"/>
        </w:rPr>
        <w:t>dispatch instructions </w:t>
      </w:r>
      <w:r>
        <w:rPr>
          <w:sz w:val="24"/>
        </w:rPr>
        <w:t>determined under Chapter</w:t>
      </w:r>
      <w:r>
        <w:rPr>
          <w:spacing w:val="-1"/>
          <w:sz w:val="24"/>
        </w:rPr>
        <w:t> </w:t>
      </w:r>
      <w:r>
        <w:rPr>
          <w:sz w:val="24"/>
        </w:rPr>
        <w:t>3.</w:t>
      </w:r>
    </w:p>
    <w:p>
      <w:pPr>
        <w:pStyle w:val="ListParagraph"/>
        <w:numPr>
          <w:ilvl w:val="3"/>
          <w:numId w:val="690"/>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a Nominated Generator requires the co-operation of one or more of  the parties to an exempted generation agreement (a</w:t>
      </w:r>
      <w:r>
        <w:rPr>
          <w:spacing w:val="32"/>
          <w:sz w:val="24"/>
        </w:rPr>
        <w:t> </w:t>
      </w:r>
      <w:r>
        <w:rPr>
          <w:sz w:val="24"/>
        </w:rPr>
        <w:t>"</w:t>
      </w:r>
      <w:r>
        <w:rPr>
          <w:b/>
          <w:sz w:val="24"/>
        </w:rPr>
        <w:t>counterparty</w:t>
      </w:r>
      <w:r>
        <w:rPr>
          <w:sz w:val="24"/>
        </w:rPr>
        <w:t>")</w:t>
      </w:r>
    </w:p>
    <w:p>
      <w:pPr>
        <w:spacing w:after="0" w:line="240" w:lineRule="auto"/>
        <w:jc w:val="both"/>
        <w:rPr>
          <w:sz w:val="24"/>
        </w:rPr>
        <w:sectPr>
          <w:pgSz w:w="11910" w:h="16840"/>
          <w:pgMar w:header="686" w:footer="637" w:top="1320" w:bottom="820" w:left="1200" w:right="1000"/>
        </w:sectPr>
      </w:pPr>
    </w:p>
    <w:p>
      <w:pPr>
        <w:pStyle w:val="BodyText"/>
        <w:spacing w:before="83"/>
        <w:ind w:left="2486" w:firstLine="0"/>
        <w:jc w:val="left"/>
        <w:rPr>
          <w:i/>
        </w:rPr>
      </w:pPr>
      <w:r>
        <w:rPr/>
        <w:t>in order to enable the Nominated Generator to comply with the </w:t>
      </w:r>
      <w:r>
        <w:rPr>
          <w:i/>
        </w:rPr>
        <w:t>Rules</w:t>
      </w:r>
    </w:p>
    <w:p>
      <w:pPr>
        <w:pStyle w:val="BodyText"/>
        <w:spacing w:before="0"/>
        <w:ind w:left="2486" w:firstLine="0"/>
        <w:jc w:val="left"/>
      </w:pPr>
      <w:r>
        <w:rPr/>
        <w:t>requirement;</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the Nominated Generator has used its reasonable endeavours to obtain the counterparty's co-operation in order to enable the Nominated Generator to comply with the </w:t>
      </w:r>
      <w:r>
        <w:rPr>
          <w:i/>
          <w:sz w:val="24"/>
        </w:rPr>
        <w:t>Rules </w:t>
      </w:r>
      <w:r>
        <w:rPr>
          <w:sz w:val="24"/>
        </w:rPr>
        <w:t>requirement;</w:t>
      </w:r>
      <w:r>
        <w:rPr>
          <w:spacing w:val="-6"/>
          <w:sz w:val="24"/>
        </w:rPr>
        <w:t> </w:t>
      </w:r>
      <w:r>
        <w:rPr>
          <w:sz w:val="24"/>
        </w:rPr>
        <w:t>and</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the Nominated Generator has no ability to require the counterparty to so co-operate with the Nominated Generator and the counterparty is not in breach of the exempted generation agreement by refusing to so co-operate,</w:t>
      </w:r>
    </w:p>
    <w:p>
      <w:pPr>
        <w:pStyle w:val="BodyText"/>
        <w:ind w:left="1919" w:firstLine="0"/>
        <w:jc w:val="left"/>
        <w:rPr>
          <w:i/>
        </w:rPr>
      </w:pPr>
      <w:r>
        <w:rPr/>
        <w:t>then the Nominated Generator is not required to comply with the </w:t>
      </w:r>
      <w:r>
        <w:rPr>
          <w:i/>
        </w:rPr>
        <w:t>Rules</w:t>
      </w:r>
    </w:p>
    <w:p>
      <w:pPr>
        <w:pStyle w:val="BodyText"/>
        <w:spacing w:before="0"/>
        <w:ind w:left="1919" w:firstLine="0"/>
        <w:jc w:val="left"/>
      </w:pPr>
      <w:r>
        <w:rPr/>
        <w:t>requirement.</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If a Nominated Generator does not comply with a </w:t>
      </w:r>
      <w:r>
        <w:rPr>
          <w:i/>
          <w:sz w:val="24"/>
        </w:rPr>
        <w:t>Rules </w:t>
      </w:r>
      <w:r>
        <w:rPr>
          <w:sz w:val="24"/>
        </w:rPr>
        <w:t>requirement in the circumstances set out in clause 9.34.6(c) or (d), the Nominated Generator must:</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give notice to the </w:t>
      </w:r>
      <w:r>
        <w:rPr>
          <w:i/>
          <w:sz w:val="24"/>
        </w:rPr>
        <w:t>AER </w:t>
      </w:r>
      <w:r>
        <w:rPr>
          <w:sz w:val="24"/>
        </w:rPr>
        <w:t>as soon as practicable, and in any event before the expiration of 7 </w:t>
      </w:r>
      <w:r>
        <w:rPr>
          <w:i/>
          <w:sz w:val="24"/>
        </w:rPr>
        <w:t>days </w:t>
      </w:r>
      <w:r>
        <w:rPr>
          <w:sz w:val="24"/>
        </w:rPr>
        <w:t>after the non-compliance with the </w:t>
      </w:r>
      <w:r>
        <w:rPr>
          <w:i/>
          <w:sz w:val="24"/>
        </w:rPr>
        <w:t>Rules </w:t>
      </w:r>
      <w:r>
        <w:rPr>
          <w:sz w:val="24"/>
        </w:rPr>
        <w:t>requirement occurs or commences,</w:t>
      </w:r>
      <w:r>
        <w:rPr>
          <w:spacing w:val="-1"/>
          <w:sz w:val="24"/>
        </w:rPr>
        <w:t> </w:t>
      </w:r>
      <w:r>
        <w:rPr>
          <w:sz w:val="24"/>
        </w:rPr>
        <w:t>of:</w:t>
      </w:r>
    </w:p>
    <w:p>
      <w:pPr>
        <w:pStyle w:val="ListParagraph"/>
        <w:numPr>
          <w:ilvl w:val="5"/>
          <w:numId w:val="690"/>
        </w:numPr>
        <w:tabs>
          <w:tab w:pos="3053" w:val="left" w:leader="none"/>
        </w:tabs>
        <w:spacing w:line="240" w:lineRule="auto" w:before="120" w:after="0"/>
        <w:ind w:left="3053" w:right="416" w:hanging="567"/>
        <w:jc w:val="both"/>
        <w:rPr>
          <w:sz w:val="24"/>
        </w:rPr>
      </w:pPr>
      <w:r>
        <w:rPr>
          <w:sz w:val="24"/>
        </w:rPr>
        <w:t>details of the </w:t>
      </w:r>
      <w:r>
        <w:rPr>
          <w:i/>
          <w:sz w:val="24"/>
        </w:rPr>
        <w:t>Rules </w:t>
      </w:r>
      <w:r>
        <w:rPr>
          <w:sz w:val="24"/>
        </w:rPr>
        <w:t>requirement which has not been or will not be complied</w:t>
      </w:r>
      <w:r>
        <w:rPr>
          <w:spacing w:val="-1"/>
          <w:sz w:val="24"/>
        </w:rPr>
        <w:t> </w:t>
      </w:r>
      <w:r>
        <w:rPr>
          <w:sz w:val="24"/>
        </w:rPr>
        <w:t>with;</w:t>
      </w:r>
    </w:p>
    <w:p>
      <w:pPr>
        <w:pStyle w:val="ListParagraph"/>
        <w:numPr>
          <w:ilvl w:val="5"/>
          <w:numId w:val="690"/>
        </w:numPr>
        <w:tabs>
          <w:tab w:pos="3053" w:val="left" w:leader="none"/>
        </w:tabs>
        <w:spacing w:line="240" w:lineRule="auto" w:before="120" w:after="0"/>
        <w:ind w:left="3053" w:right="416" w:hanging="567"/>
        <w:jc w:val="both"/>
        <w:rPr>
          <w:sz w:val="24"/>
        </w:rPr>
      </w:pPr>
      <w:r>
        <w:rPr>
          <w:sz w:val="24"/>
        </w:rPr>
        <w:t>details of each act or omission which partly or</w:t>
      </w:r>
      <w:r>
        <w:rPr>
          <w:spacing w:val="35"/>
          <w:sz w:val="24"/>
        </w:rPr>
        <w:t> </w:t>
      </w:r>
      <w:r>
        <w:rPr>
          <w:sz w:val="24"/>
        </w:rPr>
        <w:t>wholly constitutes non-compliance with that </w:t>
      </w:r>
      <w:r>
        <w:rPr>
          <w:i/>
          <w:sz w:val="24"/>
        </w:rPr>
        <w:t>Rules</w:t>
      </w:r>
      <w:r>
        <w:rPr>
          <w:i/>
          <w:spacing w:val="-3"/>
          <w:sz w:val="24"/>
        </w:rPr>
        <w:t> </w:t>
      </w:r>
      <w:r>
        <w:rPr>
          <w:sz w:val="24"/>
        </w:rPr>
        <w:t>requirement;</w:t>
      </w:r>
    </w:p>
    <w:p>
      <w:pPr>
        <w:pStyle w:val="ListParagraph"/>
        <w:numPr>
          <w:ilvl w:val="5"/>
          <w:numId w:val="690"/>
        </w:numPr>
        <w:tabs>
          <w:tab w:pos="3053" w:val="left" w:leader="none"/>
        </w:tabs>
        <w:spacing w:line="240" w:lineRule="auto" w:before="120" w:after="0"/>
        <w:ind w:left="3053" w:right="415" w:hanging="567"/>
        <w:jc w:val="both"/>
        <w:rPr>
          <w:sz w:val="24"/>
        </w:rPr>
      </w:pPr>
      <w:r>
        <w:rPr>
          <w:sz w:val="24"/>
        </w:rPr>
        <w:t>in the case of circumstances described in clause 9.34.6(c), unless explicitly prohibited by the terms of the relevant exempted generation agreement, details of each contractual requirement which is considered by the Nominated Generator to be inconsistent with the </w:t>
      </w:r>
      <w:r>
        <w:rPr>
          <w:i/>
          <w:sz w:val="24"/>
        </w:rPr>
        <w:t>Rules </w:t>
      </w:r>
      <w:r>
        <w:rPr>
          <w:sz w:val="24"/>
        </w:rPr>
        <w:t>requirement;</w:t>
      </w:r>
      <w:r>
        <w:rPr>
          <w:spacing w:val="-4"/>
          <w:sz w:val="24"/>
        </w:rPr>
        <w:t> </w:t>
      </w:r>
      <w:r>
        <w:rPr>
          <w:sz w:val="24"/>
        </w:rPr>
        <w:t>and</w:t>
      </w:r>
    </w:p>
    <w:p>
      <w:pPr>
        <w:pStyle w:val="ListParagraph"/>
        <w:numPr>
          <w:ilvl w:val="5"/>
          <w:numId w:val="690"/>
        </w:numPr>
        <w:tabs>
          <w:tab w:pos="3053" w:val="left" w:leader="none"/>
        </w:tabs>
        <w:spacing w:line="240" w:lineRule="auto" w:before="120" w:after="0"/>
        <w:ind w:left="3053" w:right="415" w:hanging="567"/>
        <w:jc w:val="both"/>
        <w:rPr>
          <w:sz w:val="24"/>
        </w:rPr>
      </w:pPr>
      <w:r>
        <w:rPr>
          <w:sz w:val="24"/>
        </w:rPr>
        <w:t>in the case of circumstances described in clause 9.34.6(d), details of the endeavours made by the Nominated Generator to obtain the counterparty's co-operation to enable the Nominated Generator to comply with the </w:t>
      </w:r>
      <w:r>
        <w:rPr>
          <w:i/>
          <w:sz w:val="24"/>
        </w:rPr>
        <w:t>Rules </w:t>
      </w:r>
      <w:r>
        <w:rPr>
          <w:sz w:val="24"/>
        </w:rPr>
        <w:t>requirement;</w:t>
      </w:r>
      <w:r>
        <w:rPr>
          <w:spacing w:val="-7"/>
          <w:sz w:val="24"/>
        </w:rPr>
        <w:t> </w:t>
      </w:r>
      <w:r>
        <w:rPr>
          <w:sz w:val="24"/>
        </w:rPr>
        <w:t>and</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unless explicitly prohibited by the terms of the relevant exempted generation agreement, give the </w:t>
      </w:r>
      <w:r>
        <w:rPr>
          <w:i/>
          <w:sz w:val="24"/>
        </w:rPr>
        <w:t>AER </w:t>
      </w:r>
      <w:r>
        <w:rPr>
          <w:sz w:val="24"/>
        </w:rPr>
        <w:t>any documents or information in the possession or control of the Nominated Generator which evidence the matters referred to in clause 9.34.6(e)(1) within 14 </w:t>
      </w:r>
      <w:r>
        <w:rPr>
          <w:i/>
          <w:sz w:val="24"/>
        </w:rPr>
        <w:t>days </w:t>
      </w:r>
      <w:r>
        <w:rPr>
          <w:sz w:val="24"/>
        </w:rPr>
        <w:t>(or any further period agreed to by the </w:t>
      </w:r>
      <w:r>
        <w:rPr>
          <w:i/>
          <w:sz w:val="24"/>
        </w:rPr>
        <w:t>AER</w:t>
      </w:r>
      <w:r>
        <w:rPr>
          <w:sz w:val="24"/>
        </w:rPr>
        <w:t>) of receiving a written request from the</w:t>
      </w:r>
      <w:r>
        <w:rPr>
          <w:spacing w:val="-1"/>
          <w:sz w:val="24"/>
        </w:rPr>
        <w:t> </w:t>
      </w:r>
      <w:r>
        <w:rPr>
          <w:i/>
          <w:sz w:val="24"/>
        </w:rPr>
        <w:t>AER</w:t>
      </w:r>
      <w:r>
        <w:rPr>
          <w:sz w:val="24"/>
        </w:rPr>
        <w:t>.</w:t>
      </w:r>
    </w:p>
    <w:p>
      <w:pPr>
        <w:pStyle w:val="ListParagraph"/>
        <w:numPr>
          <w:ilvl w:val="3"/>
          <w:numId w:val="690"/>
        </w:numPr>
        <w:tabs>
          <w:tab w:pos="1920" w:val="left" w:leader="none"/>
        </w:tabs>
        <w:spacing w:line="240" w:lineRule="auto" w:before="120" w:after="0"/>
        <w:ind w:left="1919" w:right="415" w:hanging="567"/>
        <w:jc w:val="both"/>
        <w:rPr>
          <w:sz w:val="24"/>
        </w:rPr>
      </w:pPr>
      <w:r>
        <w:rPr>
          <w:sz w:val="24"/>
        </w:rPr>
        <w:t>To avoid any doubt, if after reviewing a notice and any documents or information given by the Nominated Generator under clause 9.34.6(e), the </w:t>
      </w:r>
      <w:r>
        <w:rPr>
          <w:i/>
          <w:sz w:val="24"/>
        </w:rPr>
        <w:t>AER </w:t>
      </w:r>
      <w:r>
        <w:rPr>
          <w:sz w:val="24"/>
        </w:rPr>
        <w:t>forms the view</w:t>
      </w:r>
      <w:r>
        <w:rPr>
          <w:spacing w:val="-1"/>
          <w:sz w:val="24"/>
        </w:rPr>
        <w:t> </w:t>
      </w:r>
      <w:r>
        <w:rPr>
          <w:sz w:val="24"/>
        </w:rPr>
        <w:t>that:</w:t>
      </w:r>
    </w:p>
    <w:p>
      <w:pPr>
        <w:pStyle w:val="ListParagraph"/>
        <w:numPr>
          <w:ilvl w:val="4"/>
          <w:numId w:val="690"/>
        </w:numPr>
        <w:tabs>
          <w:tab w:pos="2486" w:val="left" w:leader="none"/>
        </w:tabs>
        <w:spacing w:line="240" w:lineRule="auto" w:before="120" w:after="0"/>
        <w:ind w:left="2486" w:right="414" w:hanging="567"/>
        <w:jc w:val="both"/>
        <w:rPr>
          <w:sz w:val="24"/>
        </w:rPr>
      </w:pPr>
      <w:r>
        <w:rPr>
          <w:sz w:val="24"/>
        </w:rPr>
        <w:t>in the case of circumstances described in clause 9.34.6(c), compliance with the </w:t>
      </w:r>
      <w:r>
        <w:rPr>
          <w:i/>
          <w:sz w:val="24"/>
        </w:rPr>
        <w:t>Rules </w:t>
      </w:r>
      <w:r>
        <w:rPr>
          <w:sz w:val="24"/>
        </w:rPr>
        <w:t>requirement would not have resulted in the Nominated Generator being in breach of the relevant contractual requirement;</w:t>
      </w:r>
      <w:r>
        <w:rPr>
          <w:spacing w:val="-12"/>
          <w:sz w:val="24"/>
        </w:rPr>
        <w:t> </w:t>
      </w:r>
      <w:r>
        <w:rPr>
          <w:sz w:val="24"/>
        </w:rPr>
        <w:t>or</w:t>
      </w:r>
    </w:p>
    <w:p>
      <w:pPr>
        <w:pStyle w:val="ListParagraph"/>
        <w:numPr>
          <w:ilvl w:val="4"/>
          <w:numId w:val="690"/>
        </w:numPr>
        <w:tabs>
          <w:tab w:pos="2486" w:val="left" w:leader="none"/>
        </w:tabs>
        <w:spacing w:line="240" w:lineRule="auto" w:before="120" w:after="0"/>
        <w:ind w:left="2486" w:right="414" w:hanging="567"/>
        <w:jc w:val="both"/>
        <w:rPr>
          <w:sz w:val="24"/>
        </w:rPr>
      </w:pPr>
      <w:r>
        <w:rPr>
          <w:sz w:val="24"/>
        </w:rPr>
        <w:t>in the case of circumstances described in clause 9.34.6(d), any of the requirements of clause 9.34.6(d) were not in fact</w:t>
      </w:r>
      <w:r>
        <w:rPr>
          <w:spacing w:val="-5"/>
          <w:sz w:val="24"/>
        </w:rPr>
        <w:t> </w:t>
      </w:r>
      <w:r>
        <w:rPr>
          <w:sz w:val="24"/>
        </w:rPr>
        <w:t>satisfied,</w:t>
      </w:r>
    </w:p>
    <w:p>
      <w:pPr>
        <w:spacing w:after="0" w:line="240" w:lineRule="auto"/>
        <w:jc w:val="both"/>
        <w:rPr>
          <w:sz w:val="24"/>
        </w:rPr>
        <w:sectPr>
          <w:pgSz w:w="11910" w:h="16840"/>
          <w:pgMar w:header="686" w:footer="637" w:top="1320" w:bottom="820" w:left="1200" w:right="1000"/>
        </w:sectPr>
      </w:pPr>
    </w:p>
    <w:p>
      <w:pPr>
        <w:pStyle w:val="BodyText"/>
        <w:spacing w:before="83"/>
        <w:ind w:left="1919" w:firstLine="0"/>
      </w:pPr>
      <w:r>
        <w:rPr/>
        <w:t>then the matter may be dealt with by the </w:t>
      </w:r>
      <w:r>
        <w:rPr>
          <w:i/>
        </w:rPr>
        <w:t>AER </w:t>
      </w:r>
      <w:r>
        <w:rPr/>
        <w:t>as a breach of the </w:t>
      </w:r>
      <w:r>
        <w:rPr>
          <w:i/>
        </w:rPr>
        <w:t>Rules</w:t>
      </w:r>
      <w:r>
        <w:rPr/>
        <w:t>.</w:t>
      </w:r>
    </w:p>
    <w:p>
      <w:pPr>
        <w:pStyle w:val="Heading4"/>
        <w:numPr>
          <w:ilvl w:val="3"/>
          <w:numId w:val="690"/>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3"/>
          <w:numId w:val="690"/>
        </w:numPr>
        <w:tabs>
          <w:tab w:pos="1919" w:val="left" w:leader="none"/>
        </w:tabs>
        <w:spacing w:line="240" w:lineRule="auto" w:before="120" w:after="0"/>
        <w:ind w:left="1919" w:right="414" w:hanging="567"/>
        <w:jc w:val="both"/>
        <w:rPr>
          <w:sz w:val="24"/>
        </w:rPr>
      </w:pPr>
      <w:r>
        <w:rPr>
          <w:sz w:val="24"/>
        </w:rPr>
        <w:t>A Nominated Generator may give notice and information to the </w:t>
      </w:r>
      <w:r>
        <w:rPr>
          <w:i/>
          <w:sz w:val="24"/>
        </w:rPr>
        <w:t>AER </w:t>
      </w:r>
      <w:r>
        <w:rPr>
          <w:sz w:val="24"/>
        </w:rPr>
        <w:t>as required in clause 9.34.6(e) in advance if it becomes aware of the potential for the circumstances described in clause 9.34.6(c) or 9.34.6(d) to arise, and the giving of that notice and information will be taken to satisfy the requirements of the Nominated Generator in clause 9.34.6(e)(1) in respect  of those</w:t>
      </w:r>
      <w:r>
        <w:rPr>
          <w:spacing w:val="-1"/>
          <w:sz w:val="24"/>
        </w:rPr>
        <w:t> </w:t>
      </w:r>
      <w:r>
        <w:rPr>
          <w:sz w:val="24"/>
        </w:rPr>
        <w:t>circumstances.</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Notwithstanding the provision of notice and information in advance in accordance with clause 9.34.6(h), the Nominated Generator must provide such other documents or information as may be required in accordance with clause 9.34.6(e) after such non-compliance has occurred or</w:t>
      </w:r>
      <w:r>
        <w:rPr>
          <w:spacing w:val="-5"/>
          <w:sz w:val="24"/>
        </w:rPr>
        <w:t> </w:t>
      </w:r>
      <w:r>
        <w:rPr>
          <w:sz w:val="24"/>
        </w:rPr>
        <w:t>commenced.</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If non-compliance with the </w:t>
      </w:r>
      <w:r>
        <w:rPr>
          <w:i/>
          <w:sz w:val="24"/>
        </w:rPr>
        <w:t>Rules </w:t>
      </w:r>
      <w:r>
        <w:rPr>
          <w:sz w:val="24"/>
        </w:rPr>
        <w:t>is continuing, the notice of non- compliance with the </w:t>
      </w:r>
      <w:r>
        <w:rPr>
          <w:i/>
          <w:sz w:val="24"/>
        </w:rPr>
        <w:t>Rules </w:t>
      </w:r>
      <w:r>
        <w:rPr>
          <w:sz w:val="24"/>
        </w:rPr>
        <w:t>provided under clause 9.34.6(e) will be effective in relation to that non-compliance until that non-compliance ends provided that:</w:t>
      </w:r>
    </w:p>
    <w:p>
      <w:pPr>
        <w:pStyle w:val="ListParagraph"/>
        <w:numPr>
          <w:ilvl w:val="4"/>
          <w:numId w:val="690"/>
        </w:numPr>
        <w:tabs>
          <w:tab w:pos="2486" w:val="left" w:leader="none"/>
        </w:tabs>
        <w:spacing w:line="240" w:lineRule="auto" w:before="120" w:after="0"/>
        <w:ind w:left="2485" w:right="0" w:hanging="567"/>
        <w:jc w:val="both"/>
        <w:rPr>
          <w:sz w:val="24"/>
        </w:rPr>
      </w:pPr>
      <w:r>
        <w:rPr>
          <w:sz w:val="24"/>
        </w:rPr>
        <w:t>the notice specifies that the non-compliance is continuing;</w:t>
      </w:r>
      <w:r>
        <w:rPr>
          <w:spacing w:val="-3"/>
          <w:sz w:val="24"/>
        </w:rPr>
        <w:t> </w:t>
      </w:r>
      <w:r>
        <w:rPr>
          <w:sz w:val="24"/>
        </w:rPr>
        <w:t>and</w:t>
      </w:r>
    </w:p>
    <w:p>
      <w:pPr>
        <w:pStyle w:val="ListParagraph"/>
        <w:numPr>
          <w:ilvl w:val="4"/>
          <w:numId w:val="690"/>
        </w:numPr>
        <w:tabs>
          <w:tab w:pos="2486" w:val="left" w:leader="none"/>
        </w:tabs>
        <w:spacing w:line="240" w:lineRule="auto" w:before="120" w:after="0"/>
        <w:ind w:left="2486" w:right="416" w:hanging="567"/>
        <w:jc w:val="both"/>
        <w:rPr>
          <w:sz w:val="24"/>
        </w:rPr>
      </w:pPr>
      <w:r>
        <w:rPr>
          <w:sz w:val="24"/>
        </w:rPr>
        <w:t>the Nominated Generator notifies the </w:t>
      </w:r>
      <w:r>
        <w:rPr>
          <w:i/>
          <w:sz w:val="24"/>
        </w:rPr>
        <w:t>AER </w:t>
      </w:r>
      <w:r>
        <w:rPr>
          <w:sz w:val="24"/>
        </w:rPr>
        <w:t>of the end of the non- compliance no later than 7 days after the non-compliance</w:t>
      </w:r>
      <w:r>
        <w:rPr>
          <w:spacing w:val="-2"/>
          <w:sz w:val="24"/>
        </w:rPr>
        <w:t> </w:t>
      </w:r>
      <w:r>
        <w:rPr>
          <w:sz w:val="24"/>
        </w:rPr>
        <w:t>ends.</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Clauses 9.34.6(c) and 9.34.6(d) do not affect the obligations of a Nominated Generator with respect to registration with </w:t>
      </w:r>
      <w:r>
        <w:rPr>
          <w:i/>
          <w:sz w:val="24"/>
        </w:rPr>
        <w:t>AEMO </w:t>
      </w:r>
      <w:r>
        <w:rPr>
          <w:sz w:val="24"/>
        </w:rPr>
        <w:t>or to making payments under the provisions of the </w:t>
      </w:r>
      <w:r>
        <w:rPr>
          <w:i/>
          <w:sz w:val="24"/>
        </w:rPr>
        <w:t>Rules </w:t>
      </w:r>
      <w:r>
        <w:rPr>
          <w:sz w:val="24"/>
        </w:rPr>
        <w:t>in respect</w:t>
      </w:r>
      <w:r>
        <w:rPr>
          <w:spacing w:val="-1"/>
          <w:sz w:val="24"/>
        </w:rPr>
        <w:t> </w:t>
      </w:r>
      <w:r>
        <w:rPr>
          <w:sz w:val="24"/>
        </w:rPr>
        <w:t>of:</w:t>
      </w:r>
    </w:p>
    <w:p>
      <w:pPr>
        <w:pStyle w:val="ListParagraph"/>
        <w:numPr>
          <w:ilvl w:val="4"/>
          <w:numId w:val="690"/>
        </w:numPr>
        <w:tabs>
          <w:tab w:pos="2485" w:val="left" w:leader="none"/>
          <w:tab w:pos="2486" w:val="left" w:leader="none"/>
        </w:tabs>
        <w:spacing w:line="240" w:lineRule="auto" w:before="120" w:after="0"/>
        <w:ind w:left="2485" w:right="0" w:hanging="567"/>
        <w:jc w:val="left"/>
        <w:rPr>
          <w:sz w:val="24"/>
        </w:rPr>
      </w:pPr>
      <w:r>
        <w:rPr>
          <w:i/>
          <w:sz w:val="24"/>
        </w:rPr>
        <w:t>Participant</w:t>
      </w:r>
      <w:r>
        <w:rPr>
          <w:i/>
          <w:spacing w:val="-1"/>
          <w:sz w:val="24"/>
        </w:rPr>
        <w:t> </w:t>
      </w:r>
      <w:r>
        <w:rPr>
          <w:i/>
          <w:sz w:val="24"/>
        </w:rPr>
        <w:t>fees</w:t>
      </w:r>
      <w:r>
        <w:rPr>
          <w:sz w:val="24"/>
        </w:rPr>
        <w:t>;</w:t>
      </w:r>
    </w:p>
    <w:p>
      <w:pPr>
        <w:pStyle w:val="ListParagraph"/>
        <w:numPr>
          <w:ilvl w:val="4"/>
          <w:numId w:val="690"/>
        </w:numPr>
        <w:tabs>
          <w:tab w:pos="2485" w:val="left" w:leader="none"/>
          <w:tab w:pos="2486" w:val="left" w:leader="none"/>
        </w:tabs>
        <w:spacing w:line="240" w:lineRule="auto" w:before="120" w:after="0"/>
        <w:ind w:left="2485" w:right="0" w:hanging="567"/>
        <w:jc w:val="left"/>
        <w:rPr>
          <w:sz w:val="24"/>
        </w:rPr>
      </w:pPr>
      <w:r>
        <w:rPr>
          <w:i/>
          <w:sz w:val="24"/>
        </w:rPr>
        <w:t>prudential requirements</w:t>
      </w:r>
      <w:r>
        <w:rPr>
          <w:sz w:val="24"/>
        </w:rPr>
        <w:t>;</w:t>
      </w:r>
      <w:r>
        <w:rPr>
          <w:spacing w:val="-1"/>
          <w:sz w:val="24"/>
        </w:rPr>
        <w:t> </w:t>
      </w:r>
      <w:r>
        <w:rPr>
          <w:sz w:val="24"/>
        </w:rPr>
        <w:t>or</w:t>
      </w:r>
    </w:p>
    <w:p>
      <w:pPr>
        <w:pStyle w:val="ListParagraph"/>
        <w:numPr>
          <w:ilvl w:val="4"/>
          <w:numId w:val="690"/>
        </w:numPr>
        <w:tabs>
          <w:tab w:pos="2485" w:val="left" w:leader="none"/>
          <w:tab w:pos="2486" w:val="left" w:leader="none"/>
        </w:tabs>
        <w:spacing w:line="240" w:lineRule="auto" w:before="120" w:after="0"/>
        <w:ind w:left="2485" w:right="0" w:hanging="567"/>
        <w:jc w:val="left"/>
        <w:rPr>
          <w:sz w:val="24"/>
        </w:rPr>
      </w:pPr>
      <w:r>
        <w:rPr>
          <w:i/>
          <w:sz w:val="24"/>
        </w:rPr>
        <w:t>settlement</w:t>
      </w:r>
      <w:r>
        <w:rPr>
          <w:i/>
          <w:spacing w:val="-1"/>
          <w:sz w:val="24"/>
        </w:rPr>
        <w:t> </w:t>
      </w:r>
      <w:r>
        <w:rPr>
          <w:i/>
          <w:sz w:val="24"/>
        </w:rPr>
        <w:t>amounts</w:t>
      </w:r>
      <w:r>
        <w:rPr>
          <w:sz w:val="24"/>
        </w:rPr>
        <w:t>.</w:t>
      </w:r>
    </w:p>
    <w:p>
      <w:pPr>
        <w:pStyle w:val="ListParagraph"/>
        <w:numPr>
          <w:ilvl w:val="3"/>
          <w:numId w:val="690"/>
        </w:numPr>
        <w:tabs>
          <w:tab w:pos="1919" w:val="left" w:leader="none"/>
        </w:tabs>
        <w:spacing w:line="240" w:lineRule="auto" w:before="120" w:after="0"/>
        <w:ind w:left="1919" w:right="414" w:hanging="567"/>
        <w:jc w:val="both"/>
        <w:rPr>
          <w:sz w:val="24"/>
        </w:rPr>
      </w:pPr>
      <w:r>
        <w:rPr>
          <w:sz w:val="24"/>
        </w:rPr>
        <w:t>Within 30 </w:t>
      </w:r>
      <w:r>
        <w:rPr>
          <w:i/>
          <w:sz w:val="24"/>
        </w:rPr>
        <w:t>days </w:t>
      </w:r>
      <w:r>
        <w:rPr>
          <w:sz w:val="24"/>
        </w:rPr>
        <w:t>of the end of each quarter in each calendar year, the </w:t>
      </w:r>
      <w:r>
        <w:rPr>
          <w:i/>
          <w:sz w:val="24"/>
        </w:rPr>
        <w:t>AER </w:t>
      </w:r>
      <w:r>
        <w:rPr>
          <w:sz w:val="24"/>
        </w:rPr>
        <w:t>must prepare a quarterly report for the previous quarter and make it available upon request to all </w:t>
      </w:r>
      <w:r>
        <w:rPr>
          <w:i/>
          <w:sz w:val="24"/>
        </w:rPr>
        <w:t>Registered Participants </w:t>
      </w:r>
      <w:r>
        <w:rPr>
          <w:sz w:val="24"/>
        </w:rPr>
        <w:t>and those </w:t>
      </w:r>
      <w:r>
        <w:rPr>
          <w:i/>
          <w:sz w:val="24"/>
        </w:rPr>
        <w:t>participating </w:t>
      </w:r>
      <w:r>
        <w:rPr>
          <w:i/>
          <w:sz w:val="24"/>
        </w:rPr>
        <w:t>jurisdictions </w:t>
      </w:r>
      <w:r>
        <w:rPr>
          <w:sz w:val="24"/>
        </w:rPr>
        <w:t>that participated in the </w:t>
      </w:r>
      <w:r>
        <w:rPr>
          <w:i/>
          <w:sz w:val="24"/>
        </w:rPr>
        <w:t>market </w:t>
      </w:r>
      <w:r>
        <w:rPr>
          <w:sz w:val="24"/>
        </w:rPr>
        <w:t>during the quarter covered by the report. The quarterly report must</w:t>
      </w:r>
      <w:r>
        <w:rPr>
          <w:spacing w:val="-1"/>
          <w:sz w:val="24"/>
        </w:rPr>
        <w:t> </w:t>
      </w:r>
      <w:r>
        <w:rPr>
          <w:sz w:val="24"/>
        </w:rPr>
        <w:t>include:</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a summary of the acts or omissions of the Nominated Generator constituting non-compliance with any requirement of the </w:t>
      </w:r>
      <w:r>
        <w:rPr>
          <w:i/>
          <w:sz w:val="24"/>
        </w:rPr>
        <w:t>Rules</w:t>
      </w:r>
      <w:r>
        <w:rPr>
          <w:sz w:val="24"/>
        </w:rPr>
        <w:t>, </w:t>
      </w:r>
      <w:r>
        <w:rPr>
          <w:spacing w:val="-7"/>
          <w:sz w:val="24"/>
        </w:rPr>
        <w:t>as </w:t>
      </w:r>
      <w:r>
        <w:rPr>
          <w:sz w:val="24"/>
        </w:rPr>
        <w:t>disclosed</w:t>
      </w:r>
      <w:r>
        <w:rPr>
          <w:spacing w:val="47"/>
          <w:sz w:val="24"/>
        </w:rPr>
        <w:t> </w:t>
      </w:r>
      <w:r>
        <w:rPr>
          <w:sz w:val="24"/>
        </w:rPr>
        <w:t>in</w:t>
      </w:r>
      <w:r>
        <w:rPr>
          <w:spacing w:val="47"/>
          <w:sz w:val="24"/>
        </w:rPr>
        <w:t> </w:t>
      </w:r>
      <w:r>
        <w:rPr>
          <w:sz w:val="24"/>
        </w:rPr>
        <w:t>written</w:t>
      </w:r>
      <w:r>
        <w:rPr>
          <w:spacing w:val="47"/>
          <w:sz w:val="24"/>
        </w:rPr>
        <w:t> </w:t>
      </w:r>
      <w:r>
        <w:rPr>
          <w:sz w:val="24"/>
        </w:rPr>
        <w:t>notices</w:t>
      </w:r>
      <w:r>
        <w:rPr>
          <w:spacing w:val="47"/>
          <w:sz w:val="24"/>
        </w:rPr>
        <w:t> </w:t>
      </w:r>
      <w:r>
        <w:rPr>
          <w:sz w:val="24"/>
        </w:rPr>
        <w:t>received</w:t>
      </w:r>
      <w:r>
        <w:rPr>
          <w:spacing w:val="47"/>
          <w:sz w:val="24"/>
        </w:rPr>
        <w:t> </w:t>
      </w:r>
      <w:r>
        <w:rPr>
          <w:sz w:val="24"/>
        </w:rPr>
        <w:t>by</w:t>
      </w:r>
      <w:r>
        <w:rPr>
          <w:spacing w:val="47"/>
          <w:sz w:val="24"/>
        </w:rPr>
        <w:t> </w:t>
      </w:r>
      <w:r>
        <w:rPr>
          <w:sz w:val="24"/>
        </w:rPr>
        <w:t>the</w:t>
      </w:r>
      <w:r>
        <w:rPr>
          <w:spacing w:val="47"/>
          <w:sz w:val="24"/>
        </w:rPr>
        <w:t> </w:t>
      </w:r>
      <w:r>
        <w:rPr>
          <w:i/>
          <w:sz w:val="24"/>
        </w:rPr>
        <w:t>AER</w:t>
      </w:r>
      <w:r>
        <w:rPr>
          <w:i/>
          <w:spacing w:val="47"/>
          <w:sz w:val="24"/>
        </w:rPr>
        <w:t> </w:t>
      </w:r>
      <w:r>
        <w:rPr>
          <w:sz w:val="24"/>
        </w:rPr>
        <w:t>under</w:t>
      </w:r>
      <w:r>
        <w:rPr>
          <w:spacing w:val="48"/>
          <w:sz w:val="24"/>
        </w:rPr>
        <w:t> </w:t>
      </w:r>
      <w:r>
        <w:rPr>
          <w:sz w:val="24"/>
        </w:rPr>
        <w:t>this</w:t>
      </w:r>
      <w:r>
        <w:rPr>
          <w:spacing w:val="47"/>
          <w:sz w:val="24"/>
        </w:rPr>
        <w:t> </w:t>
      </w:r>
      <w:r>
        <w:rPr>
          <w:sz w:val="24"/>
        </w:rPr>
        <w:t>clause</w:t>
      </w:r>
    </w:p>
    <w:p>
      <w:pPr>
        <w:pStyle w:val="BodyText"/>
        <w:spacing w:before="0"/>
        <w:ind w:left="2486" w:firstLine="0"/>
      </w:pPr>
      <w:r>
        <w:rPr/>
        <w:t>9.34.6 during the quarter covered by the report: and</w:t>
      </w:r>
    </w:p>
    <w:p>
      <w:pPr>
        <w:pStyle w:val="ListParagraph"/>
        <w:numPr>
          <w:ilvl w:val="3"/>
          <w:numId w:val="688"/>
        </w:numPr>
        <w:tabs>
          <w:tab w:pos="2486" w:val="left" w:leader="none"/>
        </w:tabs>
        <w:spacing w:line="240" w:lineRule="auto" w:before="120" w:after="0"/>
        <w:ind w:left="2486" w:right="415" w:hanging="567"/>
        <w:jc w:val="both"/>
        <w:rPr>
          <w:sz w:val="24"/>
        </w:rPr>
      </w:pPr>
      <w:r>
        <w:rPr>
          <w:sz w:val="24"/>
        </w:rPr>
        <w:t>an assessment by the </w:t>
      </w:r>
      <w:r>
        <w:rPr>
          <w:i/>
          <w:sz w:val="24"/>
        </w:rPr>
        <w:t>AER </w:t>
      </w:r>
      <w:r>
        <w:rPr>
          <w:sz w:val="24"/>
        </w:rPr>
        <w:t>of the effect that those acts or omissions have had on the efficient operation, during the quarter covered by the report, of the </w:t>
      </w:r>
      <w:r>
        <w:rPr>
          <w:i/>
          <w:sz w:val="24"/>
        </w:rPr>
        <w:t>spot</w:t>
      </w:r>
      <w:r>
        <w:rPr>
          <w:i/>
          <w:spacing w:val="-2"/>
          <w:sz w:val="24"/>
        </w:rPr>
        <w:t> </w:t>
      </w:r>
      <w:r>
        <w:rPr>
          <w:i/>
          <w:sz w:val="24"/>
        </w:rPr>
        <w:t>market</w:t>
      </w:r>
      <w:r>
        <w:rPr>
          <w:sz w:val="24"/>
        </w:rPr>
        <w:t>.</w:t>
      </w:r>
    </w:p>
    <w:p>
      <w:pPr>
        <w:pStyle w:val="Heading4"/>
        <w:numPr>
          <w:ilvl w:val="3"/>
          <w:numId w:val="690"/>
        </w:numPr>
        <w:tabs>
          <w:tab w:pos="1979" w:val="left" w:leader="none"/>
        </w:tabs>
        <w:spacing w:line="240" w:lineRule="auto" w:before="120" w:after="0"/>
        <w:ind w:left="1978" w:right="0" w:hanging="627"/>
        <w:jc w:val="both"/>
        <w:rPr>
          <w:rFonts w:ascii="Times New Roman"/>
        </w:rPr>
      </w:pPr>
      <w:r>
        <w:rPr>
          <w:rFonts w:ascii="Times New Roman"/>
        </w:rPr>
        <w:t>[Deleted]</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No amendment, other than an amendment to correct a typographical error, may be made to an exempted generation agreement unless the parties to the exempted generation agreement submit to the</w:t>
      </w:r>
      <w:r>
        <w:rPr>
          <w:spacing w:val="-2"/>
          <w:sz w:val="24"/>
        </w:rPr>
        <w:t> </w:t>
      </w:r>
      <w:r>
        <w:rPr>
          <w:i/>
          <w:sz w:val="24"/>
        </w:rPr>
        <w:t>AER</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690"/>
        </w:numPr>
        <w:tabs>
          <w:tab w:pos="2486" w:val="left" w:leader="none"/>
        </w:tabs>
        <w:spacing w:line="240" w:lineRule="auto" w:before="83" w:after="0"/>
        <w:ind w:left="2486" w:right="414" w:hanging="567"/>
        <w:jc w:val="both"/>
        <w:rPr>
          <w:sz w:val="24"/>
        </w:rPr>
      </w:pPr>
      <w:r>
        <w:rPr>
          <w:sz w:val="24"/>
        </w:rPr>
        <w:t>the proposed amendment, a copy of the exempted generation agreement and such supporting information as the parties consider necessary (the </w:t>
      </w:r>
      <w:r>
        <w:rPr>
          <w:b/>
          <w:sz w:val="24"/>
        </w:rPr>
        <w:t>EGA amendment</w:t>
      </w:r>
      <w:r>
        <w:rPr>
          <w:b/>
          <w:spacing w:val="-2"/>
          <w:sz w:val="24"/>
        </w:rPr>
        <w:t> </w:t>
      </w:r>
      <w:r>
        <w:rPr>
          <w:b/>
          <w:sz w:val="24"/>
        </w:rPr>
        <w:t>material</w:t>
      </w:r>
      <w:r>
        <w:rPr>
          <w:sz w:val="24"/>
        </w:rPr>
        <w:t>);</w:t>
      </w:r>
    </w:p>
    <w:p>
      <w:pPr>
        <w:pStyle w:val="ListParagraph"/>
        <w:numPr>
          <w:ilvl w:val="4"/>
          <w:numId w:val="690"/>
        </w:numPr>
        <w:tabs>
          <w:tab w:pos="2486" w:val="left" w:leader="none"/>
        </w:tabs>
        <w:spacing w:line="240" w:lineRule="auto" w:before="120" w:after="0"/>
        <w:ind w:left="2485" w:right="0" w:hanging="567"/>
        <w:jc w:val="both"/>
        <w:rPr>
          <w:sz w:val="24"/>
        </w:rPr>
      </w:pPr>
      <w:r>
        <w:rPr>
          <w:sz w:val="24"/>
        </w:rPr>
        <w:t>a</w:t>
      </w:r>
      <w:r>
        <w:rPr>
          <w:spacing w:val="17"/>
          <w:sz w:val="24"/>
        </w:rPr>
        <w:t> </w:t>
      </w:r>
      <w:r>
        <w:rPr>
          <w:sz w:val="24"/>
        </w:rPr>
        <w:t>request</w:t>
      </w:r>
      <w:r>
        <w:rPr>
          <w:spacing w:val="17"/>
          <w:sz w:val="24"/>
        </w:rPr>
        <w:t> </w:t>
      </w:r>
      <w:r>
        <w:rPr>
          <w:sz w:val="24"/>
        </w:rPr>
        <w:t>that</w:t>
      </w:r>
      <w:r>
        <w:rPr>
          <w:spacing w:val="18"/>
          <w:sz w:val="24"/>
        </w:rPr>
        <w:t> </w:t>
      </w:r>
      <w:r>
        <w:rPr>
          <w:sz w:val="24"/>
        </w:rPr>
        <w:t>the</w:t>
      </w:r>
      <w:r>
        <w:rPr>
          <w:spacing w:val="17"/>
          <w:sz w:val="24"/>
        </w:rPr>
        <w:t> </w:t>
      </w:r>
      <w:r>
        <w:rPr>
          <w:i/>
          <w:sz w:val="24"/>
        </w:rPr>
        <w:t>AER</w:t>
      </w:r>
      <w:r>
        <w:rPr>
          <w:i/>
          <w:spacing w:val="18"/>
          <w:sz w:val="24"/>
        </w:rPr>
        <w:t> </w:t>
      </w:r>
      <w:r>
        <w:rPr>
          <w:sz w:val="24"/>
        </w:rPr>
        <w:t>seek</w:t>
      </w:r>
      <w:r>
        <w:rPr>
          <w:spacing w:val="17"/>
          <w:sz w:val="24"/>
        </w:rPr>
        <w:t> </w:t>
      </w:r>
      <w:r>
        <w:rPr>
          <w:sz w:val="24"/>
        </w:rPr>
        <w:t>advice</w:t>
      </w:r>
      <w:r>
        <w:rPr>
          <w:spacing w:val="18"/>
          <w:sz w:val="24"/>
        </w:rPr>
        <w:t> </w:t>
      </w:r>
      <w:r>
        <w:rPr>
          <w:sz w:val="24"/>
        </w:rPr>
        <w:t>from</w:t>
      </w:r>
      <w:r>
        <w:rPr>
          <w:spacing w:val="17"/>
          <w:sz w:val="24"/>
        </w:rPr>
        <w:t> </w:t>
      </w:r>
      <w:r>
        <w:rPr>
          <w:sz w:val="24"/>
        </w:rPr>
        <w:t>the</w:t>
      </w:r>
      <w:r>
        <w:rPr>
          <w:spacing w:val="18"/>
          <w:sz w:val="24"/>
        </w:rPr>
        <w:t> </w:t>
      </w:r>
      <w:r>
        <w:rPr>
          <w:i/>
          <w:sz w:val="24"/>
        </w:rPr>
        <w:t>ACCC</w:t>
      </w:r>
      <w:r>
        <w:rPr>
          <w:i/>
          <w:spacing w:val="17"/>
          <w:sz w:val="24"/>
        </w:rPr>
        <w:t> </w:t>
      </w:r>
      <w:r>
        <w:rPr>
          <w:sz w:val="24"/>
        </w:rPr>
        <w:t>as</w:t>
      </w:r>
      <w:r>
        <w:rPr>
          <w:spacing w:val="18"/>
          <w:sz w:val="24"/>
        </w:rPr>
        <w:t> </w:t>
      </w:r>
      <w:r>
        <w:rPr>
          <w:sz w:val="24"/>
        </w:rPr>
        <w:t>to</w:t>
      </w:r>
      <w:r>
        <w:rPr>
          <w:spacing w:val="17"/>
          <w:sz w:val="24"/>
        </w:rPr>
        <w:t> </w:t>
      </w:r>
      <w:r>
        <w:rPr>
          <w:sz w:val="24"/>
        </w:rPr>
        <w:t>whether</w:t>
      </w:r>
      <w:r>
        <w:rPr>
          <w:spacing w:val="18"/>
          <w:sz w:val="24"/>
        </w:rPr>
        <w:t> </w:t>
      </w:r>
      <w:r>
        <w:rPr>
          <w:sz w:val="24"/>
        </w:rPr>
        <w:t>the</w:t>
      </w:r>
    </w:p>
    <w:p>
      <w:pPr>
        <w:pStyle w:val="BodyText"/>
        <w:spacing w:before="0"/>
        <w:ind w:left="2486" w:firstLine="0"/>
        <w:jc w:val="left"/>
      </w:pPr>
      <w:r>
        <w:rPr>
          <w:i/>
        </w:rPr>
        <w:t>ACCC </w:t>
      </w:r>
      <w:r>
        <w:rPr/>
        <w:t>considers that the proposed amendment would or may:</w:t>
      </w:r>
    </w:p>
    <w:p>
      <w:pPr>
        <w:pStyle w:val="Heading4"/>
        <w:numPr>
          <w:ilvl w:val="0"/>
          <w:numId w:val="691"/>
        </w:numPr>
        <w:tabs>
          <w:tab w:pos="3112" w:val="left" w:leader="none"/>
          <w:tab w:pos="3114" w:val="left" w:leader="none"/>
        </w:tabs>
        <w:spacing w:line="240" w:lineRule="auto" w:before="120" w:after="0"/>
        <w:ind w:left="3113" w:right="0" w:hanging="628"/>
        <w:jc w:val="left"/>
        <w:rPr>
          <w:rFonts w:ascii="Times New Roman"/>
        </w:rPr>
      </w:pPr>
      <w:r>
        <w:rPr>
          <w:rFonts w:ascii="Times New Roman"/>
        </w:rPr>
        <w:t>[Deleted]</w:t>
      </w:r>
    </w:p>
    <w:p>
      <w:pPr>
        <w:pStyle w:val="ListParagraph"/>
        <w:numPr>
          <w:ilvl w:val="0"/>
          <w:numId w:val="691"/>
        </w:numPr>
        <w:tabs>
          <w:tab w:pos="3112" w:val="left" w:leader="none"/>
          <w:tab w:pos="3114" w:val="left" w:leader="none"/>
        </w:tabs>
        <w:spacing w:line="240" w:lineRule="auto" w:before="120" w:after="0"/>
        <w:ind w:left="3113" w:right="0" w:hanging="628"/>
        <w:jc w:val="left"/>
        <w:rPr>
          <w:b/>
          <w:sz w:val="24"/>
        </w:rPr>
      </w:pPr>
      <w:r>
        <w:rPr>
          <w:b/>
          <w:sz w:val="24"/>
        </w:rPr>
        <w:t>[Deleted]</w:t>
      </w:r>
    </w:p>
    <w:p>
      <w:pPr>
        <w:pStyle w:val="ListParagraph"/>
        <w:numPr>
          <w:ilvl w:val="0"/>
          <w:numId w:val="691"/>
        </w:numPr>
        <w:tabs>
          <w:tab w:pos="3053" w:val="left" w:leader="none"/>
        </w:tabs>
        <w:spacing w:line="240" w:lineRule="auto" w:before="120" w:after="0"/>
        <w:ind w:left="3053" w:right="415" w:hanging="567"/>
        <w:jc w:val="both"/>
        <w:rPr>
          <w:sz w:val="24"/>
        </w:rPr>
      </w:pPr>
      <w:r>
        <w:rPr>
          <w:sz w:val="24"/>
        </w:rPr>
        <w:t>contravene a provision of the </w:t>
      </w:r>
      <w:r>
        <w:rPr>
          <w:i/>
          <w:sz w:val="24"/>
        </w:rPr>
        <w:t>Competition and Consumer Act </w:t>
      </w:r>
      <w:r>
        <w:rPr>
          <w:i/>
          <w:sz w:val="24"/>
        </w:rPr>
        <w:t>2010 </w:t>
      </w:r>
      <w:r>
        <w:rPr>
          <w:sz w:val="24"/>
        </w:rPr>
        <w:t>(Cth) or the Competition Code of a </w:t>
      </w:r>
      <w:r>
        <w:rPr>
          <w:i/>
          <w:sz w:val="24"/>
        </w:rPr>
        <w:t>participating </w:t>
      </w:r>
      <w:r>
        <w:rPr>
          <w:i/>
          <w:sz w:val="24"/>
        </w:rPr>
        <w:t>jurisdiction</w:t>
      </w:r>
      <w:r>
        <w:rPr>
          <w:sz w:val="24"/>
        </w:rPr>
        <w:t>;</w:t>
      </w:r>
      <w:r>
        <w:rPr>
          <w:spacing w:val="-1"/>
          <w:sz w:val="24"/>
        </w:rPr>
        <w:t> </w:t>
      </w:r>
      <w:r>
        <w:rPr>
          <w:sz w:val="24"/>
        </w:rPr>
        <w:t>and</w:t>
      </w:r>
    </w:p>
    <w:p>
      <w:pPr>
        <w:pStyle w:val="ListParagraph"/>
        <w:numPr>
          <w:ilvl w:val="4"/>
          <w:numId w:val="690"/>
        </w:numPr>
        <w:tabs>
          <w:tab w:pos="2486" w:val="left" w:leader="none"/>
        </w:tabs>
        <w:spacing w:line="240" w:lineRule="auto" w:before="120" w:after="0"/>
        <w:ind w:left="2486" w:right="416" w:hanging="567"/>
        <w:jc w:val="both"/>
        <w:rPr>
          <w:sz w:val="24"/>
        </w:rPr>
      </w:pPr>
      <w:r>
        <w:rPr>
          <w:sz w:val="24"/>
        </w:rPr>
        <w:t>if requested by the </w:t>
      </w:r>
      <w:r>
        <w:rPr>
          <w:i/>
          <w:sz w:val="24"/>
        </w:rPr>
        <w:t>AER </w:t>
      </w:r>
      <w:r>
        <w:rPr>
          <w:sz w:val="24"/>
        </w:rPr>
        <w:t>to do so, such further information as may be required by the </w:t>
      </w:r>
      <w:r>
        <w:rPr>
          <w:i/>
          <w:sz w:val="24"/>
        </w:rPr>
        <w:t>AER </w:t>
      </w:r>
      <w:r>
        <w:rPr>
          <w:sz w:val="24"/>
        </w:rPr>
        <w:t>in order for the </w:t>
      </w:r>
      <w:r>
        <w:rPr>
          <w:i/>
          <w:sz w:val="24"/>
        </w:rPr>
        <w:t>ACCC </w:t>
      </w:r>
      <w:r>
        <w:rPr>
          <w:sz w:val="24"/>
        </w:rPr>
        <w:t>to consider the matters referred to in clause</w:t>
      </w:r>
      <w:r>
        <w:rPr>
          <w:spacing w:val="-1"/>
          <w:sz w:val="24"/>
        </w:rPr>
        <w:t> </w:t>
      </w:r>
      <w:r>
        <w:rPr>
          <w:sz w:val="24"/>
        </w:rPr>
        <w:t>9.34.6(n)(2),</w:t>
      </w:r>
    </w:p>
    <w:p>
      <w:pPr>
        <w:pStyle w:val="BodyText"/>
        <w:ind w:left="1919" w:firstLine="0"/>
      </w:pPr>
      <w:r>
        <w:rPr/>
        <w:t>and the proposed amendment is not prohibited under clause 9.34.6(q).</w:t>
      </w:r>
    </w:p>
    <w:p>
      <w:pPr>
        <w:pStyle w:val="ListParagraph"/>
        <w:numPr>
          <w:ilvl w:val="3"/>
          <w:numId w:val="690"/>
        </w:numPr>
        <w:tabs>
          <w:tab w:pos="1919" w:val="left" w:leader="none"/>
        </w:tabs>
        <w:spacing w:line="240" w:lineRule="auto" w:before="120" w:after="0"/>
        <w:ind w:left="1919" w:right="416" w:hanging="567"/>
        <w:jc w:val="both"/>
        <w:rPr>
          <w:sz w:val="24"/>
        </w:rPr>
      </w:pPr>
      <w:r>
        <w:rPr>
          <w:sz w:val="24"/>
        </w:rPr>
        <w:t>When the parties to an exempted generation agreement submit EGA amendment material to the </w:t>
      </w:r>
      <w:r>
        <w:rPr>
          <w:i/>
          <w:sz w:val="24"/>
        </w:rPr>
        <w:t>AER </w:t>
      </w:r>
      <w:r>
        <w:rPr>
          <w:sz w:val="24"/>
        </w:rPr>
        <w:t>in accordance with clause 9.34.6(n), they may include as part of the material submitted a written request that the </w:t>
      </w:r>
      <w:r>
        <w:rPr>
          <w:i/>
          <w:sz w:val="24"/>
        </w:rPr>
        <w:t>AER </w:t>
      </w:r>
      <w:r>
        <w:rPr>
          <w:sz w:val="24"/>
        </w:rPr>
        <w:t>and the </w:t>
      </w:r>
      <w:r>
        <w:rPr>
          <w:i/>
          <w:sz w:val="24"/>
        </w:rPr>
        <w:t>ACCC </w:t>
      </w:r>
      <w:r>
        <w:rPr>
          <w:sz w:val="24"/>
        </w:rPr>
        <w:t>treat the EGA amendment material as confidential. In such a case the</w:t>
      </w:r>
      <w:r>
        <w:rPr>
          <w:spacing w:val="-1"/>
          <w:sz w:val="24"/>
        </w:rPr>
        <w:t> </w:t>
      </w:r>
      <w:r>
        <w:rPr>
          <w:i/>
          <w:sz w:val="24"/>
        </w:rPr>
        <w:t>AER</w:t>
      </w:r>
      <w:r>
        <w:rPr>
          <w:sz w:val="24"/>
        </w:rPr>
        <w:t>:</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must comply with that request until such time as the parties to the exempted generation agreement notify the </w:t>
      </w:r>
      <w:r>
        <w:rPr>
          <w:i/>
          <w:sz w:val="24"/>
        </w:rPr>
        <w:t>AER </w:t>
      </w:r>
      <w:r>
        <w:rPr>
          <w:sz w:val="24"/>
        </w:rPr>
        <w:t>in writing that the </w:t>
      </w:r>
      <w:r>
        <w:rPr>
          <w:i/>
          <w:sz w:val="24"/>
        </w:rPr>
        <w:t>AER </w:t>
      </w:r>
      <w:r>
        <w:rPr>
          <w:sz w:val="24"/>
        </w:rPr>
        <w:t>is no longer under an obligation to do so;</w:t>
      </w:r>
      <w:r>
        <w:rPr>
          <w:spacing w:val="-3"/>
          <w:sz w:val="24"/>
        </w:rPr>
        <w:t> </w:t>
      </w:r>
      <w:r>
        <w:rPr>
          <w:sz w:val="24"/>
        </w:rPr>
        <w:t>and</w:t>
      </w:r>
    </w:p>
    <w:p>
      <w:pPr>
        <w:pStyle w:val="ListParagraph"/>
        <w:numPr>
          <w:ilvl w:val="4"/>
          <w:numId w:val="690"/>
        </w:numPr>
        <w:tabs>
          <w:tab w:pos="2486" w:val="left" w:leader="none"/>
        </w:tabs>
        <w:spacing w:line="240" w:lineRule="auto" w:before="120" w:after="0"/>
        <w:ind w:left="2486" w:right="414" w:hanging="567"/>
        <w:jc w:val="both"/>
        <w:rPr>
          <w:sz w:val="24"/>
        </w:rPr>
      </w:pPr>
      <w:r>
        <w:rPr>
          <w:sz w:val="24"/>
        </w:rPr>
        <w:t>must not provide any EGA amendment material to the </w:t>
      </w:r>
      <w:r>
        <w:rPr>
          <w:i/>
          <w:sz w:val="24"/>
        </w:rPr>
        <w:t>ACCC </w:t>
      </w:r>
      <w:r>
        <w:rPr>
          <w:sz w:val="24"/>
        </w:rPr>
        <w:t>unless the parties to the exempted generation agreement have notified the </w:t>
      </w:r>
      <w:r>
        <w:rPr>
          <w:i/>
          <w:sz w:val="24"/>
        </w:rPr>
        <w:t>AER </w:t>
      </w:r>
      <w:r>
        <w:rPr>
          <w:sz w:val="24"/>
        </w:rPr>
        <w:t>in writing that they have agreed acceptable confidentiality arrangements in relation to the EGA amendment material with the </w:t>
      </w:r>
      <w:r>
        <w:rPr>
          <w:i/>
          <w:sz w:val="24"/>
        </w:rPr>
        <w:t>ACCC </w:t>
      </w:r>
      <w:r>
        <w:rPr>
          <w:sz w:val="24"/>
        </w:rPr>
        <w:t>and that the </w:t>
      </w:r>
      <w:r>
        <w:rPr>
          <w:i/>
          <w:sz w:val="24"/>
        </w:rPr>
        <w:t>AER </w:t>
      </w:r>
      <w:r>
        <w:rPr>
          <w:sz w:val="24"/>
        </w:rPr>
        <w:t>should provide the EGA amendment material to the</w:t>
      </w:r>
      <w:r>
        <w:rPr>
          <w:spacing w:val="-1"/>
          <w:sz w:val="24"/>
        </w:rPr>
        <w:t> </w:t>
      </w:r>
      <w:r>
        <w:rPr>
          <w:i/>
          <w:sz w:val="24"/>
        </w:rPr>
        <w:t>ACCC</w:t>
      </w:r>
      <w:r>
        <w:rPr>
          <w:sz w:val="24"/>
        </w:rPr>
        <w:t>.</w:t>
      </w:r>
    </w:p>
    <w:p>
      <w:pPr>
        <w:pStyle w:val="Heading4"/>
        <w:numPr>
          <w:ilvl w:val="3"/>
          <w:numId w:val="690"/>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If, within 10 </w:t>
      </w:r>
      <w:r>
        <w:rPr>
          <w:i/>
          <w:sz w:val="24"/>
        </w:rPr>
        <w:t>business days </w:t>
      </w:r>
      <w:r>
        <w:rPr>
          <w:sz w:val="24"/>
        </w:rPr>
        <w:t>of receiving the material referred to in clause 9.34.6(n) or such other period as is agreed between the </w:t>
      </w:r>
      <w:r>
        <w:rPr>
          <w:i/>
          <w:sz w:val="24"/>
        </w:rPr>
        <w:t>AER </w:t>
      </w:r>
      <w:r>
        <w:rPr>
          <w:sz w:val="24"/>
        </w:rPr>
        <w:t>and the parties to the exempted generation agreement, the </w:t>
      </w:r>
      <w:r>
        <w:rPr>
          <w:i/>
          <w:sz w:val="24"/>
        </w:rPr>
        <w:t>AER </w:t>
      </w:r>
      <w:r>
        <w:rPr>
          <w:sz w:val="24"/>
        </w:rPr>
        <w:t>responds</w:t>
      </w:r>
      <w:r>
        <w:rPr>
          <w:spacing w:val="-2"/>
          <w:sz w:val="24"/>
        </w:rPr>
        <w:t> </w:t>
      </w:r>
      <w:r>
        <w:rPr>
          <w:sz w:val="24"/>
        </w:rPr>
        <w:t>that:</w:t>
      </w:r>
    </w:p>
    <w:p>
      <w:pPr>
        <w:pStyle w:val="ListParagraph"/>
        <w:numPr>
          <w:ilvl w:val="4"/>
          <w:numId w:val="690"/>
        </w:numPr>
        <w:tabs>
          <w:tab w:pos="2486" w:val="left" w:leader="none"/>
        </w:tabs>
        <w:spacing w:line="240" w:lineRule="auto" w:before="120" w:after="0"/>
        <w:ind w:left="2486" w:right="415" w:hanging="567"/>
        <w:jc w:val="both"/>
        <w:rPr>
          <w:sz w:val="24"/>
        </w:rPr>
      </w:pPr>
      <w:r>
        <w:rPr>
          <w:sz w:val="24"/>
        </w:rPr>
        <w:t>the </w:t>
      </w:r>
      <w:r>
        <w:rPr>
          <w:i/>
          <w:sz w:val="24"/>
        </w:rPr>
        <w:t>ACCC </w:t>
      </w:r>
      <w:r>
        <w:rPr>
          <w:sz w:val="24"/>
        </w:rPr>
        <w:t>considers that the proposed amendment would or may have any or all of the effects referred to in clause 9.34.6(n)(2);</w:t>
      </w:r>
      <w:r>
        <w:rPr>
          <w:spacing w:val="-4"/>
          <w:sz w:val="24"/>
        </w:rPr>
        <w:t> </w:t>
      </w:r>
      <w:r>
        <w:rPr>
          <w:sz w:val="24"/>
        </w:rPr>
        <w:t>or</w:t>
      </w:r>
    </w:p>
    <w:p>
      <w:pPr>
        <w:pStyle w:val="ListParagraph"/>
        <w:numPr>
          <w:ilvl w:val="4"/>
          <w:numId w:val="690"/>
        </w:numPr>
        <w:tabs>
          <w:tab w:pos="2486" w:val="left" w:leader="none"/>
        </w:tabs>
        <w:spacing w:line="240" w:lineRule="auto" w:before="120" w:after="0"/>
        <w:ind w:left="2485" w:right="0" w:hanging="567"/>
        <w:jc w:val="both"/>
        <w:rPr>
          <w:sz w:val="24"/>
        </w:rPr>
      </w:pPr>
      <w:r>
        <w:rPr>
          <w:sz w:val="24"/>
        </w:rPr>
        <w:t>the </w:t>
      </w:r>
      <w:r>
        <w:rPr>
          <w:i/>
          <w:sz w:val="24"/>
        </w:rPr>
        <w:t>ACCC </w:t>
      </w:r>
      <w:r>
        <w:rPr>
          <w:sz w:val="24"/>
        </w:rPr>
        <w:t>considers that it is unable, because</w:t>
      </w:r>
      <w:r>
        <w:rPr>
          <w:spacing w:val="-2"/>
          <w:sz w:val="24"/>
        </w:rPr>
        <w:t> </w:t>
      </w:r>
      <w:r>
        <w:rPr>
          <w:sz w:val="24"/>
        </w:rPr>
        <w:t>of:</w:t>
      </w:r>
    </w:p>
    <w:p>
      <w:pPr>
        <w:pStyle w:val="ListParagraph"/>
        <w:numPr>
          <w:ilvl w:val="0"/>
          <w:numId w:val="692"/>
        </w:numPr>
        <w:tabs>
          <w:tab w:pos="3053" w:val="left" w:leader="none"/>
        </w:tabs>
        <w:spacing w:line="240" w:lineRule="auto" w:before="120" w:after="0"/>
        <w:ind w:left="3052" w:right="0" w:hanging="567"/>
        <w:jc w:val="both"/>
        <w:rPr>
          <w:sz w:val="24"/>
        </w:rPr>
      </w:pPr>
      <w:r>
        <w:rPr>
          <w:sz w:val="24"/>
        </w:rPr>
        <w:t>insufficient information before it;</w:t>
      </w:r>
      <w:r>
        <w:rPr>
          <w:spacing w:val="-1"/>
          <w:sz w:val="24"/>
        </w:rPr>
        <w:t> </w:t>
      </w:r>
      <w:r>
        <w:rPr>
          <w:sz w:val="24"/>
        </w:rPr>
        <w:t>or</w:t>
      </w:r>
    </w:p>
    <w:p>
      <w:pPr>
        <w:pStyle w:val="ListParagraph"/>
        <w:numPr>
          <w:ilvl w:val="0"/>
          <w:numId w:val="692"/>
        </w:numPr>
        <w:tabs>
          <w:tab w:pos="3054" w:val="left" w:leader="none"/>
        </w:tabs>
        <w:spacing w:line="240" w:lineRule="auto" w:before="120" w:after="0"/>
        <w:ind w:left="3053" w:right="415" w:hanging="567"/>
        <w:jc w:val="both"/>
        <w:rPr>
          <w:sz w:val="24"/>
        </w:rPr>
      </w:pPr>
      <w:r>
        <w:rPr>
          <w:sz w:val="24"/>
        </w:rPr>
        <w:t>any confidentiality arrangements in relation to the EGA amendment material agreed between the </w:t>
      </w:r>
      <w:r>
        <w:rPr>
          <w:i/>
          <w:sz w:val="24"/>
        </w:rPr>
        <w:t>ACCC </w:t>
      </w:r>
      <w:r>
        <w:rPr>
          <w:sz w:val="24"/>
        </w:rPr>
        <w:t>and the parties to the exempted generation</w:t>
      </w:r>
      <w:r>
        <w:rPr>
          <w:spacing w:val="-1"/>
          <w:sz w:val="24"/>
        </w:rPr>
        <w:t> </w:t>
      </w:r>
      <w:r>
        <w:rPr>
          <w:sz w:val="24"/>
        </w:rPr>
        <w:t>agreement,</w:t>
      </w:r>
    </w:p>
    <w:p>
      <w:pPr>
        <w:pStyle w:val="BodyText"/>
        <w:ind w:left="2486" w:right="416" w:firstLine="0"/>
      </w:pPr>
      <w:r>
        <w:rPr/>
        <w:t>to reasonably consider whether the proposed amendment would have any or all of the effects referred to in clause 9.34.6(n)(2),</w:t>
      </w:r>
    </w:p>
    <w:p>
      <w:pPr>
        <w:pStyle w:val="BodyText"/>
        <w:ind w:left="1919" w:firstLine="0"/>
      </w:pPr>
      <w:r>
        <w:rPr/>
        <w:t>then the proposed amendment must not be made.</w:t>
      </w:r>
    </w:p>
    <w:p>
      <w:pPr>
        <w:spacing w:after="0"/>
        <w:sectPr>
          <w:pgSz w:w="11910" w:h="16840"/>
          <w:pgMar w:header="686" w:footer="637" w:top="1320" w:bottom="820" w:left="1200" w:right="1000"/>
        </w:sectPr>
      </w:pPr>
    </w:p>
    <w:p>
      <w:pPr>
        <w:pStyle w:val="ListParagraph"/>
        <w:numPr>
          <w:ilvl w:val="3"/>
          <w:numId w:val="690"/>
        </w:numPr>
        <w:tabs>
          <w:tab w:pos="1919" w:val="left" w:leader="none"/>
          <w:tab w:pos="1920" w:val="left" w:leader="none"/>
        </w:tabs>
        <w:spacing w:line="240" w:lineRule="auto" w:before="83" w:after="0"/>
        <w:ind w:left="1919" w:right="416" w:hanging="567"/>
        <w:jc w:val="left"/>
        <w:rPr>
          <w:sz w:val="24"/>
        </w:rPr>
      </w:pPr>
      <w:r>
        <w:rPr>
          <w:sz w:val="24"/>
        </w:rPr>
        <w:t>If the </w:t>
      </w:r>
      <w:r>
        <w:rPr>
          <w:i/>
          <w:sz w:val="24"/>
        </w:rPr>
        <w:t>AER </w:t>
      </w:r>
      <w:r>
        <w:rPr>
          <w:sz w:val="24"/>
        </w:rPr>
        <w:t>has not provided a response to a request made in accordance with clause 9.34.6(n)(2)</w:t>
      </w:r>
      <w:r>
        <w:rPr>
          <w:spacing w:val="-2"/>
          <w:sz w:val="24"/>
        </w:rPr>
        <w:t> </w:t>
      </w:r>
      <w:r>
        <w:rPr>
          <w:sz w:val="24"/>
        </w:rPr>
        <w:t>within:</w:t>
      </w:r>
    </w:p>
    <w:p>
      <w:pPr>
        <w:pStyle w:val="ListParagraph"/>
        <w:numPr>
          <w:ilvl w:val="4"/>
          <w:numId w:val="690"/>
        </w:numPr>
        <w:tabs>
          <w:tab w:pos="2485" w:val="left" w:leader="none"/>
          <w:tab w:pos="2486" w:val="left" w:leader="none"/>
        </w:tabs>
        <w:spacing w:line="240" w:lineRule="auto" w:before="120" w:after="0"/>
        <w:ind w:left="2486" w:right="415" w:hanging="567"/>
        <w:jc w:val="left"/>
        <w:rPr>
          <w:sz w:val="24"/>
        </w:rPr>
      </w:pPr>
      <w:r>
        <w:rPr>
          <w:sz w:val="24"/>
        </w:rPr>
        <w:t>10 </w:t>
      </w:r>
      <w:r>
        <w:rPr>
          <w:i/>
          <w:sz w:val="24"/>
        </w:rPr>
        <w:t>business days </w:t>
      </w:r>
      <w:r>
        <w:rPr>
          <w:sz w:val="24"/>
        </w:rPr>
        <w:t>of receiving the material referred to in clause 9.34.6(n); or</w:t>
      </w:r>
    </w:p>
    <w:p>
      <w:pPr>
        <w:pStyle w:val="ListParagraph"/>
        <w:numPr>
          <w:ilvl w:val="4"/>
          <w:numId w:val="690"/>
        </w:numPr>
        <w:tabs>
          <w:tab w:pos="2485" w:val="left" w:leader="none"/>
          <w:tab w:pos="2486" w:val="left" w:leader="none"/>
        </w:tabs>
        <w:spacing w:line="240" w:lineRule="auto" w:before="120" w:after="0"/>
        <w:ind w:left="2486" w:right="415" w:hanging="567"/>
        <w:jc w:val="left"/>
        <w:rPr>
          <w:sz w:val="24"/>
        </w:rPr>
      </w:pPr>
      <w:r>
        <w:rPr>
          <w:sz w:val="24"/>
        </w:rPr>
        <w:t>such other period as is agreed between the </w:t>
      </w:r>
      <w:r>
        <w:rPr>
          <w:i/>
          <w:sz w:val="24"/>
        </w:rPr>
        <w:t>AER </w:t>
      </w:r>
      <w:r>
        <w:rPr>
          <w:sz w:val="24"/>
        </w:rPr>
        <w:t>and the parties to </w:t>
      </w:r>
      <w:r>
        <w:rPr>
          <w:spacing w:val="-4"/>
          <w:sz w:val="24"/>
        </w:rPr>
        <w:t>the </w:t>
      </w:r>
      <w:r>
        <w:rPr>
          <w:sz w:val="24"/>
        </w:rPr>
        <w:t>exempted generation</w:t>
      </w:r>
      <w:r>
        <w:rPr>
          <w:spacing w:val="-1"/>
          <w:sz w:val="24"/>
        </w:rPr>
        <w:t> </w:t>
      </w:r>
      <w:r>
        <w:rPr>
          <w:sz w:val="24"/>
        </w:rPr>
        <w:t>agreement,</w:t>
      </w:r>
    </w:p>
    <w:p>
      <w:pPr>
        <w:pStyle w:val="BodyText"/>
        <w:ind w:left="1919" w:firstLine="0"/>
        <w:jc w:val="left"/>
      </w:pPr>
      <w:r>
        <w:rPr/>
        <w:t>the </w:t>
      </w:r>
      <w:r>
        <w:rPr>
          <w:i/>
        </w:rPr>
        <w:t>ACCC </w:t>
      </w:r>
      <w:r>
        <w:rPr/>
        <w:t>is deemed to have no objection to the proposed amendment.</w:t>
      </w:r>
    </w:p>
    <w:p>
      <w:pPr>
        <w:pStyle w:val="ListParagraph"/>
        <w:numPr>
          <w:ilvl w:val="3"/>
          <w:numId w:val="690"/>
        </w:numPr>
        <w:tabs>
          <w:tab w:pos="1920" w:val="left" w:leader="none"/>
        </w:tabs>
        <w:spacing w:line="240" w:lineRule="auto" w:before="120" w:after="0"/>
        <w:ind w:left="1919" w:right="414" w:hanging="567"/>
        <w:jc w:val="both"/>
        <w:rPr>
          <w:sz w:val="24"/>
        </w:rPr>
      </w:pPr>
      <w:r>
        <w:rPr>
          <w:sz w:val="24"/>
        </w:rPr>
        <w:t>If the </w:t>
      </w:r>
      <w:r>
        <w:rPr>
          <w:i/>
          <w:sz w:val="24"/>
        </w:rPr>
        <w:t>AER </w:t>
      </w:r>
      <w:r>
        <w:rPr>
          <w:sz w:val="24"/>
        </w:rPr>
        <w:t>notifies the parties to the exempted generation agreement that the </w:t>
      </w:r>
      <w:r>
        <w:rPr>
          <w:i/>
          <w:sz w:val="24"/>
        </w:rPr>
        <w:t>ACCC </w:t>
      </w:r>
      <w:r>
        <w:rPr>
          <w:sz w:val="24"/>
        </w:rPr>
        <w:t>has no objection to the proposed amendment, or if the </w:t>
      </w:r>
      <w:r>
        <w:rPr>
          <w:i/>
          <w:sz w:val="24"/>
        </w:rPr>
        <w:t>ACCC </w:t>
      </w:r>
      <w:r>
        <w:rPr>
          <w:sz w:val="24"/>
        </w:rPr>
        <w:t>is deemed under clause 9.34.6(r) to have no objection to the proposed amendment, the parties to the exempted generation agreement may make the proposed</w:t>
      </w:r>
      <w:r>
        <w:rPr>
          <w:spacing w:val="-1"/>
          <w:sz w:val="24"/>
        </w:rPr>
        <w:t> </w:t>
      </w:r>
      <w:r>
        <w:rPr>
          <w:sz w:val="24"/>
        </w:rPr>
        <w:t>amendment.</w:t>
      </w:r>
    </w:p>
    <w:p>
      <w:pPr>
        <w:pStyle w:val="ListParagraph"/>
        <w:numPr>
          <w:ilvl w:val="3"/>
          <w:numId w:val="690"/>
        </w:numPr>
        <w:tabs>
          <w:tab w:pos="1919" w:val="left" w:leader="none"/>
        </w:tabs>
        <w:spacing w:line="240" w:lineRule="auto" w:before="120" w:after="0"/>
        <w:ind w:left="1919" w:right="415" w:hanging="567"/>
        <w:jc w:val="both"/>
        <w:rPr>
          <w:sz w:val="24"/>
        </w:rPr>
      </w:pPr>
      <w:r>
        <w:rPr>
          <w:sz w:val="24"/>
        </w:rPr>
        <w:t>This clause 9.34.6 ceases to have effect in respect of a </w:t>
      </w:r>
      <w:r>
        <w:rPr>
          <w:i/>
          <w:sz w:val="24"/>
        </w:rPr>
        <w:t>generating system </w:t>
      </w:r>
      <w:r>
        <w:rPr>
          <w:sz w:val="24"/>
        </w:rPr>
        <w:t>the subject of an exempted generation agreement upon the termination of that agreement.</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35 [Deleted]" w:id="2875"/>
      <w:bookmarkEnd w:id="2875"/>
      <w:r>
        <w:rPr>
          <w:b w:val="0"/>
        </w:rPr>
      </w:r>
      <w:bookmarkStart w:name="_bookmark1166" w:id="2876"/>
      <w:bookmarkEnd w:id="2876"/>
      <w:r>
        <w:rPr>
          <w:b w:val="0"/>
        </w:rPr>
      </w:r>
      <w:bookmarkStart w:name="_bookmark1166" w:id="2877"/>
      <w:bookmarkEnd w:id="2877"/>
      <w:r>
        <w:rPr/>
        <w:t>[Deleted]</w:t>
      </w:r>
    </w:p>
    <w:p>
      <w:pPr>
        <w:pStyle w:val="Heading3"/>
        <w:numPr>
          <w:ilvl w:val="1"/>
          <w:numId w:val="686"/>
        </w:numPr>
        <w:tabs>
          <w:tab w:pos="1351" w:val="left" w:leader="none"/>
          <w:tab w:pos="1353" w:val="left" w:leader="none"/>
        </w:tabs>
        <w:spacing w:line="240" w:lineRule="auto" w:before="240" w:after="0"/>
        <w:ind w:left="1352" w:right="0" w:hanging="1135"/>
        <w:jc w:val="left"/>
      </w:pPr>
      <w:bookmarkStart w:name="9.36 [Deleted]" w:id="2878"/>
      <w:bookmarkEnd w:id="2878"/>
      <w:r>
        <w:rPr>
          <w:b w:val="0"/>
        </w:rPr>
      </w:r>
      <w:bookmarkStart w:name="_bookmark1167" w:id="2879"/>
      <w:bookmarkEnd w:id="2879"/>
      <w:r>
        <w:rPr>
          <w:b w:val="0"/>
        </w:rPr>
      </w:r>
      <w:bookmarkStart w:name="_bookmark1167" w:id="2880"/>
      <w:bookmarkEnd w:id="2880"/>
      <w:r>
        <w:rPr/>
        <w:t>[Deleted]</w:t>
      </w:r>
    </w:p>
    <w:p>
      <w:pPr>
        <w:pStyle w:val="Heading3"/>
        <w:numPr>
          <w:ilvl w:val="1"/>
          <w:numId w:val="686"/>
        </w:numPr>
        <w:tabs>
          <w:tab w:pos="1351" w:val="left" w:leader="none"/>
          <w:tab w:pos="1353" w:val="left" w:leader="none"/>
        </w:tabs>
        <w:spacing w:line="240" w:lineRule="auto" w:before="240" w:after="0"/>
        <w:ind w:left="1352" w:right="0" w:hanging="1135"/>
        <w:jc w:val="left"/>
      </w:pPr>
      <w:bookmarkStart w:name="9.37 Transitional Arrangements for Chapt" w:id="2881"/>
      <w:bookmarkEnd w:id="2881"/>
      <w:r>
        <w:rPr>
          <w:b w:val="0"/>
        </w:rPr>
      </w:r>
      <w:bookmarkStart w:name="_bookmark1168" w:id="2882"/>
      <w:bookmarkEnd w:id="2882"/>
      <w:r>
        <w:rPr>
          <w:b w:val="0"/>
        </w:rPr>
      </w:r>
      <w:bookmarkStart w:name="_bookmark1168" w:id="2883"/>
      <w:bookmarkEnd w:id="2883"/>
      <w:r>
        <w:rPr/>
        <w:t>T</w:t>
      </w:r>
      <w:r>
        <w:rPr/>
        <w:t>ransitional Arrangements for Chapter 5 - Network</w:t>
      </w:r>
      <w:r>
        <w:rPr>
          <w:spacing w:val="-12"/>
        </w:rPr>
        <w:t> </w:t>
      </w:r>
      <w:r>
        <w:rPr/>
        <w:t>Connection</w:t>
      </w:r>
    </w:p>
    <w:p>
      <w:pPr>
        <w:pStyle w:val="Heading4"/>
        <w:numPr>
          <w:ilvl w:val="2"/>
          <w:numId w:val="693"/>
        </w:numPr>
        <w:tabs>
          <w:tab w:pos="1351" w:val="left" w:leader="none"/>
          <w:tab w:pos="1352" w:val="left" w:leader="none"/>
        </w:tabs>
        <w:spacing w:line="240" w:lineRule="auto" w:before="240" w:after="0"/>
        <w:ind w:left="1351" w:right="0" w:hanging="1134"/>
        <w:jc w:val="left"/>
      </w:pPr>
      <w:bookmarkStart w:name="9.37.1 [Deleted]" w:id="2884"/>
      <w:bookmarkEnd w:id="2884"/>
      <w:r>
        <w:rPr>
          <w:b w:val="0"/>
        </w:rPr>
      </w:r>
      <w:bookmarkStart w:name="_bookmark1169" w:id="2885"/>
      <w:bookmarkEnd w:id="2885"/>
      <w:r>
        <w:rPr>
          <w:b w:val="0"/>
        </w:rPr>
      </w:r>
      <w:bookmarkStart w:name="_bookmark1169" w:id="2886"/>
      <w:bookmarkEnd w:id="2886"/>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2 Existing connection and access ag" w:id="2887"/>
      <w:bookmarkEnd w:id="2887"/>
      <w:r>
        <w:rPr>
          <w:b w:val="0"/>
        </w:rPr>
      </w:r>
      <w:bookmarkStart w:name="_bookmark1170" w:id="2888"/>
      <w:bookmarkEnd w:id="2888"/>
      <w:r>
        <w:rPr>
          <w:b w:val="0"/>
        </w:rPr>
      </w:r>
      <w:bookmarkStart w:name="_bookmark1170" w:id="2889"/>
      <w:bookmarkEnd w:id="2889"/>
      <w:r>
        <w:rPr/>
        <w:t>Existing</w:t>
      </w:r>
      <w:r>
        <w:rPr/>
        <w:t> connection and access agreements (clause</w:t>
      </w:r>
      <w:r>
        <w:rPr>
          <w:spacing w:val="-7"/>
        </w:rPr>
        <w:t> </w:t>
      </w:r>
      <w:r>
        <w:rPr/>
        <w:t>5.2)</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The technical connection and network pricing requirements of the Interconnection and Power Pooling Agreement dated 30 March 1994 between the owners of the Gladstone Power Station and the Queensland Electricity Commission (as amended prior to 18 January 1998) are to be taken to be a </w:t>
      </w:r>
      <w:r>
        <w:rPr>
          <w:i/>
          <w:sz w:val="24"/>
        </w:rPr>
        <w:t>connection agreement </w:t>
      </w:r>
      <w:r>
        <w:rPr>
          <w:sz w:val="24"/>
        </w:rPr>
        <w:t>in respect of both the Gladstone Power Station and the Boyne Island aluminium smelter unless replacement </w:t>
      </w:r>
      <w:r>
        <w:rPr>
          <w:i/>
          <w:sz w:val="24"/>
        </w:rPr>
        <w:t>connection agreements </w:t>
      </w:r>
      <w:r>
        <w:rPr>
          <w:sz w:val="24"/>
        </w:rPr>
        <w:t>are entered into in respect of the power station and smelter.</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Despite anything to the contrary in clause 5.2.2, if the </w:t>
      </w:r>
      <w:r>
        <w:rPr>
          <w:i/>
          <w:sz w:val="24"/>
        </w:rPr>
        <w:t>generating system </w:t>
      </w:r>
      <w:r>
        <w:rPr>
          <w:sz w:val="24"/>
        </w:rPr>
        <w:t>at Gladstone Power Station meets the technical connection requirements of the Interconnection and Power Pooling Agreement, or the</w:t>
      </w:r>
      <w:r>
        <w:rPr>
          <w:spacing w:val="38"/>
          <w:sz w:val="24"/>
        </w:rPr>
        <w:t> </w:t>
      </w:r>
      <w:r>
        <w:rPr>
          <w:sz w:val="24"/>
        </w:rPr>
        <w:t>technical requirements of a replacement </w:t>
      </w:r>
      <w:r>
        <w:rPr>
          <w:i/>
          <w:sz w:val="24"/>
        </w:rPr>
        <w:t>connection agreement </w:t>
      </w:r>
      <w:r>
        <w:rPr>
          <w:sz w:val="24"/>
        </w:rPr>
        <w:t>no less onerous than those in the Interconnection and Power Pooling Agreement, the relevant </w:t>
      </w:r>
      <w:r>
        <w:rPr>
          <w:i/>
          <w:sz w:val="24"/>
        </w:rPr>
        <w:t>generating system </w:t>
      </w:r>
      <w:r>
        <w:rPr>
          <w:sz w:val="24"/>
        </w:rPr>
        <w:t>is to be deemed to comply with all the technical connection requirements of the </w:t>
      </w:r>
      <w:r>
        <w:rPr>
          <w:i/>
          <w:sz w:val="24"/>
        </w:rPr>
        <w:t>Rules </w:t>
      </w:r>
      <w:r>
        <w:rPr>
          <w:sz w:val="24"/>
        </w:rPr>
        <w:t>in respect of the Gladstone Power Station.</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Despite anything to the contrary in clause 5.2.2, if the Boyne Island aluminium smelter meets the technical connection requirements of the Interconnection and Power Pooling Agreement, or the</w:t>
      </w:r>
      <w:r>
        <w:rPr>
          <w:spacing w:val="38"/>
          <w:sz w:val="24"/>
        </w:rPr>
        <w:t> </w:t>
      </w:r>
      <w:r>
        <w:rPr>
          <w:sz w:val="24"/>
        </w:rPr>
        <w:t>technical requirements of a replacement </w:t>
      </w:r>
      <w:r>
        <w:rPr>
          <w:i/>
          <w:sz w:val="24"/>
        </w:rPr>
        <w:t>connection agreement </w:t>
      </w:r>
      <w:r>
        <w:rPr>
          <w:sz w:val="24"/>
        </w:rPr>
        <w:t>no less onerous than those in the Interconnection and Power Pooling Agreement, the Boyne Island</w:t>
      </w:r>
      <w:r>
        <w:rPr>
          <w:spacing w:val="21"/>
          <w:sz w:val="24"/>
        </w:rPr>
        <w:t> </w:t>
      </w:r>
      <w:r>
        <w:rPr>
          <w:sz w:val="24"/>
        </w:rPr>
        <w:t>aluminium</w:t>
      </w:r>
      <w:r>
        <w:rPr>
          <w:spacing w:val="21"/>
          <w:sz w:val="24"/>
        </w:rPr>
        <w:t> </w:t>
      </w:r>
      <w:r>
        <w:rPr>
          <w:sz w:val="24"/>
        </w:rPr>
        <w:t>smelter</w:t>
      </w:r>
      <w:r>
        <w:rPr>
          <w:spacing w:val="22"/>
          <w:sz w:val="24"/>
        </w:rPr>
        <w:t> </w:t>
      </w:r>
      <w:r>
        <w:rPr>
          <w:sz w:val="24"/>
        </w:rPr>
        <w:t>is</w:t>
      </w:r>
      <w:r>
        <w:rPr>
          <w:spacing w:val="21"/>
          <w:sz w:val="24"/>
        </w:rPr>
        <w:t> </w:t>
      </w:r>
      <w:r>
        <w:rPr>
          <w:sz w:val="24"/>
        </w:rPr>
        <w:t>to</w:t>
      </w:r>
      <w:r>
        <w:rPr>
          <w:spacing w:val="21"/>
          <w:sz w:val="24"/>
        </w:rPr>
        <w:t> </w:t>
      </w:r>
      <w:r>
        <w:rPr>
          <w:sz w:val="24"/>
        </w:rPr>
        <w:t>be</w:t>
      </w:r>
      <w:r>
        <w:rPr>
          <w:spacing w:val="22"/>
          <w:sz w:val="24"/>
        </w:rPr>
        <w:t> </w:t>
      </w:r>
      <w:r>
        <w:rPr>
          <w:sz w:val="24"/>
        </w:rPr>
        <w:t>deemed</w:t>
      </w:r>
      <w:r>
        <w:rPr>
          <w:spacing w:val="21"/>
          <w:sz w:val="24"/>
        </w:rPr>
        <w:t> </w:t>
      </w:r>
      <w:r>
        <w:rPr>
          <w:sz w:val="24"/>
        </w:rPr>
        <w:t>to</w:t>
      </w:r>
      <w:r>
        <w:rPr>
          <w:spacing w:val="21"/>
          <w:sz w:val="24"/>
        </w:rPr>
        <w:t> </w:t>
      </w:r>
      <w:r>
        <w:rPr>
          <w:sz w:val="24"/>
        </w:rPr>
        <w:t>comply</w:t>
      </w:r>
      <w:r>
        <w:rPr>
          <w:spacing w:val="21"/>
          <w:sz w:val="24"/>
        </w:rPr>
        <w:t> </w:t>
      </w:r>
      <w:r>
        <w:rPr>
          <w:sz w:val="24"/>
        </w:rPr>
        <w:t>with</w:t>
      </w:r>
      <w:r>
        <w:rPr>
          <w:spacing w:val="21"/>
          <w:sz w:val="24"/>
        </w:rPr>
        <w:t> </w:t>
      </w:r>
      <w:r>
        <w:rPr>
          <w:sz w:val="24"/>
        </w:rPr>
        <w:t>all</w:t>
      </w:r>
      <w:r>
        <w:rPr>
          <w:spacing w:val="21"/>
          <w:sz w:val="24"/>
        </w:rPr>
        <w:t> </w:t>
      </w:r>
      <w:r>
        <w:rPr>
          <w:sz w:val="24"/>
        </w:rPr>
        <w:t>the</w:t>
      </w:r>
      <w:r>
        <w:rPr>
          <w:spacing w:val="21"/>
          <w:sz w:val="24"/>
        </w:rPr>
        <w:t> </w:t>
      </w:r>
      <w:r>
        <w:rPr>
          <w:sz w:val="24"/>
        </w:rPr>
        <w:t>technical</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connection requirements of the </w:t>
      </w:r>
      <w:r>
        <w:rPr>
          <w:i/>
        </w:rPr>
        <w:t>Rules </w:t>
      </w:r>
      <w:r>
        <w:rPr/>
        <w:t>in respect of the Boyne Island aluminium smelter.</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Despite anything to the contrary in clause 5.2.2, if Queensland </w:t>
      </w:r>
      <w:r>
        <w:rPr>
          <w:spacing w:val="-3"/>
          <w:sz w:val="24"/>
        </w:rPr>
        <w:t>Rail  </w:t>
      </w:r>
      <w:r>
        <w:rPr>
          <w:sz w:val="24"/>
        </w:rPr>
        <w:t>complies with the technical requirements in the </w:t>
      </w:r>
      <w:r>
        <w:rPr>
          <w:i/>
          <w:sz w:val="24"/>
        </w:rPr>
        <w:t>connection agreements </w:t>
      </w:r>
      <w:r>
        <w:rPr>
          <w:sz w:val="24"/>
        </w:rPr>
        <w:t>for Queensland Rail </w:t>
      </w:r>
      <w:r>
        <w:rPr>
          <w:i/>
          <w:sz w:val="24"/>
        </w:rPr>
        <w:t>connections </w:t>
      </w:r>
      <w:r>
        <w:rPr>
          <w:sz w:val="24"/>
        </w:rPr>
        <w:t>as at 18 January 1998, Queensland Rail is to be deemed to comply with all the technical connection requirements of the </w:t>
      </w:r>
      <w:r>
        <w:rPr>
          <w:i/>
          <w:sz w:val="24"/>
        </w:rPr>
        <w:t>Rules</w:t>
      </w:r>
      <w:r>
        <w:rPr>
          <w:sz w:val="24"/>
        </w:rPr>
        <w:t>.</w:t>
      </w:r>
    </w:p>
    <w:p>
      <w:pPr>
        <w:pStyle w:val="ListParagraph"/>
        <w:numPr>
          <w:ilvl w:val="3"/>
          <w:numId w:val="693"/>
        </w:numPr>
        <w:tabs>
          <w:tab w:pos="1919" w:val="left" w:leader="none"/>
        </w:tabs>
        <w:spacing w:line="240" w:lineRule="auto" w:before="120" w:after="0"/>
        <w:ind w:left="1918" w:right="0" w:hanging="567"/>
        <w:jc w:val="both"/>
        <w:rPr>
          <w:sz w:val="24"/>
        </w:rPr>
      </w:pPr>
      <w:r>
        <w:rPr>
          <w:sz w:val="24"/>
        </w:rPr>
        <w:t>Small</w:t>
      </w:r>
      <w:r>
        <w:rPr>
          <w:spacing w:val="31"/>
          <w:sz w:val="24"/>
        </w:rPr>
        <w:t> </w:t>
      </w:r>
      <w:r>
        <w:rPr>
          <w:sz w:val="24"/>
        </w:rPr>
        <w:t>Generators</w:t>
      </w:r>
      <w:r>
        <w:rPr>
          <w:spacing w:val="32"/>
          <w:sz w:val="24"/>
        </w:rPr>
        <w:t> </w:t>
      </w:r>
      <w:r>
        <w:rPr>
          <w:sz w:val="24"/>
        </w:rPr>
        <w:t>are</w:t>
      </w:r>
      <w:r>
        <w:rPr>
          <w:spacing w:val="32"/>
          <w:sz w:val="24"/>
        </w:rPr>
        <w:t> </w:t>
      </w:r>
      <w:r>
        <w:rPr>
          <w:sz w:val="24"/>
        </w:rPr>
        <w:t>not</w:t>
      </w:r>
      <w:r>
        <w:rPr>
          <w:spacing w:val="32"/>
          <w:sz w:val="24"/>
        </w:rPr>
        <w:t> </w:t>
      </w:r>
      <w:r>
        <w:rPr>
          <w:sz w:val="24"/>
        </w:rPr>
        <w:t>required</w:t>
      </w:r>
      <w:r>
        <w:rPr>
          <w:spacing w:val="31"/>
          <w:sz w:val="24"/>
        </w:rPr>
        <w:t> </w:t>
      </w:r>
      <w:r>
        <w:rPr>
          <w:sz w:val="24"/>
        </w:rPr>
        <w:t>to</w:t>
      </w:r>
      <w:r>
        <w:rPr>
          <w:spacing w:val="32"/>
          <w:sz w:val="24"/>
        </w:rPr>
        <w:t> </w:t>
      </w:r>
      <w:r>
        <w:rPr>
          <w:sz w:val="24"/>
        </w:rPr>
        <w:t>comply</w:t>
      </w:r>
      <w:r>
        <w:rPr>
          <w:spacing w:val="32"/>
          <w:sz w:val="24"/>
        </w:rPr>
        <w:t> </w:t>
      </w:r>
      <w:r>
        <w:rPr>
          <w:sz w:val="24"/>
        </w:rPr>
        <w:t>with</w:t>
      </w:r>
      <w:r>
        <w:rPr>
          <w:spacing w:val="32"/>
          <w:sz w:val="24"/>
        </w:rPr>
        <w:t> </w:t>
      </w:r>
      <w:r>
        <w:rPr>
          <w:sz w:val="24"/>
        </w:rPr>
        <w:t>the</w:t>
      </w:r>
      <w:r>
        <w:rPr>
          <w:spacing w:val="31"/>
          <w:sz w:val="24"/>
        </w:rPr>
        <w:t> </w:t>
      </w:r>
      <w:r>
        <w:rPr>
          <w:sz w:val="24"/>
        </w:rPr>
        <w:t>conditions</w:t>
      </w:r>
      <w:r>
        <w:rPr>
          <w:spacing w:val="32"/>
          <w:sz w:val="24"/>
        </w:rPr>
        <w:t> </w:t>
      </w:r>
      <w:r>
        <w:rPr>
          <w:sz w:val="24"/>
        </w:rPr>
        <w:t>of</w:t>
      </w:r>
    </w:p>
    <w:p>
      <w:pPr>
        <w:spacing w:before="0"/>
        <w:ind w:left="1919" w:right="0" w:firstLine="0"/>
        <w:jc w:val="both"/>
        <w:rPr>
          <w:sz w:val="24"/>
        </w:rPr>
      </w:pPr>
      <w:r>
        <w:rPr>
          <w:i/>
          <w:sz w:val="24"/>
        </w:rPr>
        <w:t>connection </w:t>
      </w:r>
      <w:r>
        <w:rPr>
          <w:sz w:val="24"/>
        </w:rPr>
        <w:t>set out in schedule 5.2 of the </w:t>
      </w:r>
      <w:r>
        <w:rPr>
          <w:i/>
          <w:sz w:val="24"/>
        </w:rPr>
        <w:t>Rules</w:t>
      </w:r>
      <w:r>
        <w:rPr>
          <w:sz w:val="24"/>
        </w:rPr>
        <w:t>.</w:t>
      </w:r>
    </w:p>
    <w:p>
      <w:pPr>
        <w:pStyle w:val="BodyText"/>
        <w:spacing w:before="10"/>
        <w:ind w:firstLine="0"/>
        <w:jc w:val="left"/>
        <w:rPr>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3 [Deleted]" w:id="2890"/>
      <w:bookmarkEnd w:id="2890"/>
      <w:r>
        <w:rPr>
          <w:b w:val="0"/>
        </w:rPr>
      </w:r>
      <w:bookmarkStart w:name="_bookmark1171" w:id="2891"/>
      <w:bookmarkEnd w:id="2891"/>
      <w:r>
        <w:rPr>
          <w:b w:val="0"/>
        </w:rPr>
      </w:r>
      <w:bookmarkStart w:name="_bookmark1171" w:id="2892"/>
      <w:bookmarkEnd w:id="2892"/>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4 [Deleted]" w:id="2893"/>
      <w:bookmarkEnd w:id="2893"/>
      <w:r>
        <w:rPr>
          <w:b w:val="0"/>
        </w:rPr>
      </w:r>
      <w:bookmarkStart w:name="_bookmark1172" w:id="2894"/>
      <w:bookmarkEnd w:id="2894"/>
      <w:r>
        <w:rPr>
          <w:b w:val="0"/>
        </w:rPr>
      </w:r>
      <w:bookmarkStart w:name="_bookmark1172" w:id="2895"/>
      <w:bookmarkEnd w:id="2895"/>
      <w:r>
        <w:rPr/>
        <w:t>[Deleted]</w:t>
      </w:r>
    </w:p>
    <w:p>
      <w:pPr>
        <w:pStyle w:val="BodyText"/>
        <w:spacing w:before="10"/>
        <w:ind w:firstLine="0"/>
        <w:jc w:val="left"/>
        <w:rPr>
          <w:rFonts w:ascii="Arial"/>
          <w:b/>
          <w:sz w:val="20"/>
        </w:rPr>
      </w:pPr>
    </w:p>
    <w:p>
      <w:pPr>
        <w:pStyle w:val="ListParagraph"/>
        <w:numPr>
          <w:ilvl w:val="2"/>
          <w:numId w:val="693"/>
        </w:numPr>
        <w:tabs>
          <w:tab w:pos="1351" w:val="left" w:leader="none"/>
          <w:tab w:pos="1352" w:val="left" w:leader="none"/>
        </w:tabs>
        <w:spacing w:line="240" w:lineRule="auto" w:before="0" w:after="0"/>
        <w:ind w:left="1352" w:right="965" w:hanging="1134"/>
        <w:jc w:val="left"/>
        <w:rPr>
          <w:rFonts w:ascii="Arial"/>
          <w:b/>
          <w:sz w:val="24"/>
        </w:rPr>
      </w:pPr>
      <w:bookmarkStart w:name="9.37.5 Forecasts for connection points t" w:id="2896"/>
      <w:bookmarkEnd w:id="2896"/>
      <w:r>
        <w:rPr/>
      </w:r>
      <w:bookmarkStart w:name="_bookmark1173" w:id="2897"/>
      <w:bookmarkEnd w:id="2897"/>
      <w:r>
        <w:rPr/>
      </w:r>
      <w:bookmarkStart w:name="_bookmark1173" w:id="2898"/>
      <w:bookmarkEnd w:id="2898"/>
      <w:r>
        <w:rPr>
          <w:rFonts w:ascii="Arial"/>
          <w:b/>
          <w:sz w:val="24"/>
        </w:rPr>
        <w:t>Forecasts</w:t>
      </w:r>
      <w:r>
        <w:rPr>
          <w:rFonts w:ascii="Arial"/>
          <w:b/>
          <w:sz w:val="24"/>
        </w:rPr>
        <w:t> for connection points to transmission network (clause 5.11.1)</w:t>
      </w:r>
    </w:p>
    <w:p>
      <w:pPr>
        <w:spacing w:before="120"/>
        <w:ind w:left="1352" w:right="414" w:firstLine="0"/>
        <w:jc w:val="both"/>
        <w:rPr>
          <w:sz w:val="24"/>
        </w:rPr>
      </w:pPr>
      <w:r>
        <w:rPr>
          <w:sz w:val="24"/>
        </w:rPr>
        <w:t>If a </w:t>
      </w:r>
      <w:r>
        <w:rPr>
          <w:i/>
          <w:sz w:val="24"/>
        </w:rPr>
        <w:t>Network Service Provider</w:t>
      </w:r>
      <w:r>
        <w:rPr>
          <w:sz w:val="24"/>
        </w:rPr>
        <w:t>, on the Queensland system, modifies forecast information in accordance with clause 5.11.1(d), then that </w:t>
      </w:r>
      <w:r>
        <w:rPr>
          <w:i/>
          <w:sz w:val="24"/>
        </w:rPr>
        <w:t>Network Service </w:t>
      </w:r>
      <w:r>
        <w:rPr>
          <w:i/>
          <w:sz w:val="24"/>
        </w:rPr>
        <w:t>Provider </w:t>
      </w:r>
      <w:r>
        <w:rPr>
          <w:sz w:val="24"/>
        </w:rPr>
        <w:t>is not required to notify the relevant </w:t>
      </w:r>
      <w:r>
        <w:rPr>
          <w:i/>
          <w:sz w:val="24"/>
        </w:rPr>
        <w:t>Registered Participant </w:t>
      </w:r>
      <w:r>
        <w:rPr>
          <w:sz w:val="24"/>
        </w:rPr>
        <w:t>if it has conflicting confidentiality obligations to other </w:t>
      </w:r>
      <w:r>
        <w:rPr>
          <w:i/>
          <w:sz w:val="24"/>
        </w:rPr>
        <w:t>Registered Participants</w:t>
      </w:r>
      <w:r>
        <w:rPr>
          <w:sz w:val="24"/>
        </w:rPr>
        <w:t>.</w:t>
      </w:r>
    </w:p>
    <w:p>
      <w:pPr>
        <w:pStyle w:val="BodyText"/>
        <w:spacing w:before="10"/>
        <w:ind w:firstLine="0"/>
        <w:jc w:val="left"/>
        <w:rPr>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6 There is no clause 9.37.6" w:id="2899"/>
      <w:bookmarkEnd w:id="2899"/>
      <w:r>
        <w:rPr>
          <w:b w:val="0"/>
        </w:rPr>
      </w:r>
      <w:bookmarkStart w:name="_bookmark1174" w:id="2900"/>
      <w:bookmarkEnd w:id="2900"/>
      <w:r>
        <w:rPr>
          <w:b w:val="0"/>
        </w:rPr>
      </w:r>
      <w:bookmarkStart w:name="_bookmark1174" w:id="2901"/>
      <w:bookmarkEnd w:id="2901"/>
      <w:r>
        <w:rPr/>
        <w:t>There</w:t>
      </w:r>
      <w:r>
        <w:rPr/>
        <w:t> is no clause</w:t>
      </w:r>
      <w:r>
        <w:rPr>
          <w:spacing w:val="-2"/>
        </w:rPr>
        <w:t> </w:t>
      </w:r>
      <w:r>
        <w:rPr/>
        <w:t>9.37.6</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7 Cross Border Networks" w:id="2902"/>
      <w:bookmarkEnd w:id="2902"/>
      <w:r>
        <w:rPr>
          <w:b w:val="0"/>
        </w:rPr>
      </w:r>
      <w:bookmarkStart w:name="_bookmark1175" w:id="2903"/>
      <w:bookmarkEnd w:id="2903"/>
      <w:r>
        <w:rPr>
          <w:b w:val="0"/>
        </w:rPr>
      </w:r>
      <w:bookmarkStart w:name="_bookmark1175" w:id="2904"/>
      <w:bookmarkEnd w:id="2904"/>
      <w:r>
        <w:rPr/>
        <w:t>Cros</w:t>
      </w:r>
      <w:r>
        <w:rPr/>
        <w:t>s Border</w:t>
      </w:r>
      <w:r>
        <w:rPr>
          <w:spacing w:val="-1"/>
        </w:rPr>
        <w:t> </w:t>
      </w:r>
      <w:r>
        <w:rPr/>
        <w:t>Networks</w:t>
      </w:r>
    </w:p>
    <w:p>
      <w:pPr>
        <w:pStyle w:val="ListParagraph"/>
        <w:numPr>
          <w:ilvl w:val="3"/>
          <w:numId w:val="693"/>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693"/>
        </w:numPr>
        <w:tabs>
          <w:tab w:pos="2486" w:val="left" w:leader="none"/>
        </w:tabs>
        <w:spacing w:line="240" w:lineRule="auto" w:before="120" w:after="0"/>
        <w:ind w:left="2486" w:right="414" w:hanging="567"/>
        <w:jc w:val="both"/>
        <w:rPr>
          <w:sz w:val="24"/>
        </w:rPr>
      </w:pPr>
      <w:r>
        <w:rPr>
          <w:sz w:val="24"/>
        </w:rPr>
        <w:t>the </w:t>
      </w:r>
      <w:r>
        <w:rPr>
          <w:i/>
          <w:sz w:val="24"/>
        </w:rPr>
        <w:t>Minister </w:t>
      </w:r>
      <w:r>
        <w:rPr>
          <w:sz w:val="24"/>
        </w:rPr>
        <w:t>considers that a </w:t>
      </w:r>
      <w:r>
        <w:rPr>
          <w:i/>
          <w:sz w:val="24"/>
        </w:rPr>
        <w:t>transmission network </w:t>
      </w:r>
      <w:r>
        <w:rPr>
          <w:sz w:val="24"/>
        </w:rPr>
        <w:t>or </w:t>
      </w:r>
      <w:r>
        <w:rPr>
          <w:i/>
          <w:sz w:val="24"/>
        </w:rPr>
        <w:t>distribution </w:t>
      </w:r>
      <w:r>
        <w:rPr>
          <w:i/>
          <w:sz w:val="24"/>
        </w:rPr>
        <w:t>network </w:t>
      </w:r>
      <w:r>
        <w:rPr>
          <w:sz w:val="24"/>
        </w:rPr>
        <w:t>situated in Queensland is a continuation of a </w:t>
      </w:r>
      <w:r>
        <w:rPr>
          <w:i/>
          <w:sz w:val="24"/>
        </w:rPr>
        <w:t>network </w:t>
      </w:r>
      <w:r>
        <w:rPr>
          <w:sz w:val="24"/>
        </w:rPr>
        <w:t>situated in another </w:t>
      </w:r>
      <w:r>
        <w:rPr>
          <w:i/>
          <w:sz w:val="24"/>
        </w:rPr>
        <w:t>participating jurisdiction </w:t>
      </w:r>
      <w:r>
        <w:rPr>
          <w:sz w:val="24"/>
        </w:rPr>
        <w:t>and should be considered to be part of the </w:t>
      </w:r>
      <w:r>
        <w:rPr>
          <w:i/>
          <w:sz w:val="24"/>
        </w:rPr>
        <w:t>network </w:t>
      </w:r>
      <w:r>
        <w:rPr>
          <w:sz w:val="24"/>
        </w:rPr>
        <w:t>of that other </w:t>
      </w:r>
      <w:r>
        <w:rPr>
          <w:i/>
          <w:sz w:val="24"/>
        </w:rPr>
        <w:t>participating jurisdiction</w:t>
      </w:r>
      <w:r>
        <w:rPr>
          <w:sz w:val="24"/>
        </w:rPr>
        <w:t>;</w:t>
      </w:r>
      <w:r>
        <w:rPr>
          <w:spacing w:val="-2"/>
          <w:sz w:val="24"/>
        </w:rPr>
        <w:t> </w:t>
      </w:r>
      <w:r>
        <w:rPr>
          <w:sz w:val="24"/>
        </w:rPr>
        <w:t>and</w:t>
      </w:r>
    </w:p>
    <w:p>
      <w:pPr>
        <w:pStyle w:val="ListParagraph"/>
        <w:numPr>
          <w:ilvl w:val="4"/>
          <w:numId w:val="693"/>
        </w:numPr>
        <w:tabs>
          <w:tab w:pos="2486" w:val="left" w:leader="none"/>
        </w:tabs>
        <w:spacing w:line="240" w:lineRule="auto" w:before="120" w:after="0"/>
        <w:ind w:left="2485" w:right="0" w:hanging="567"/>
        <w:jc w:val="both"/>
        <w:rPr>
          <w:sz w:val="24"/>
        </w:rPr>
      </w:pPr>
      <w:r>
        <w:rPr>
          <w:sz w:val="24"/>
        </w:rPr>
        <w:t>the </w:t>
      </w:r>
      <w:r>
        <w:rPr>
          <w:i/>
          <w:sz w:val="24"/>
        </w:rPr>
        <w:t>Minister </w:t>
      </w:r>
      <w:r>
        <w:rPr>
          <w:sz w:val="24"/>
        </w:rPr>
        <w:t>for that other </w:t>
      </w:r>
      <w:r>
        <w:rPr>
          <w:i/>
          <w:sz w:val="24"/>
        </w:rPr>
        <w:t>participating jurisdiction</w:t>
      </w:r>
      <w:r>
        <w:rPr>
          <w:i/>
          <w:spacing w:val="-2"/>
          <w:sz w:val="24"/>
        </w:rPr>
        <w:t> </w:t>
      </w:r>
      <w:r>
        <w:rPr>
          <w:sz w:val="24"/>
        </w:rPr>
        <w:t>consents,</w:t>
      </w:r>
    </w:p>
    <w:p>
      <w:pPr>
        <w:spacing w:before="120"/>
        <w:ind w:left="1919" w:right="414" w:firstLine="0"/>
        <w:jc w:val="both"/>
        <w:rPr>
          <w:sz w:val="24"/>
        </w:rPr>
      </w:pPr>
      <w:r>
        <w:rPr>
          <w:sz w:val="24"/>
        </w:rPr>
        <w:t>then those </w:t>
      </w:r>
      <w:r>
        <w:rPr>
          <w:i/>
          <w:sz w:val="24"/>
        </w:rPr>
        <w:t>Ministers </w:t>
      </w:r>
      <w:r>
        <w:rPr>
          <w:sz w:val="24"/>
        </w:rPr>
        <w:t>may nominate that the </w:t>
      </w:r>
      <w:r>
        <w:rPr>
          <w:i/>
          <w:sz w:val="24"/>
        </w:rPr>
        <w:t>network </w:t>
      </w:r>
      <w:r>
        <w:rPr>
          <w:sz w:val="24"/>
        </w:rPr>
        <w:t>is deemed to be entirely in that other </w:t>
      </w:r>
      <w:r>
        <w:rPr>
          <w:i/>
          <w:sz w:val="24"/>
        </w:rPr>
        <w:t>participating jurisdiction </w:t>
      </w:r>
      <w:r>
        <w:rPr>
          <w:sz w:val="24"/>
        </w:rPr>
        <w:t>and the </w:t>
      </w:r>
      <w:r>
        <w:rPr>
          <w:i/>
          <w:sz w:val="24"/>
        </w:rPr>
        <w:t>Rules </w:t>
      </w:r>
      <w:r>
        <w:rPr>
          <w:sz w:val="24"/>
        </w:rPr>
        <w:t>including any relevant </w:t>
      </w:r>
      <w:r>
        <w:rPr>
          <w:i/>
          <w:sz w:val="24"/>
        </w:rPr>
        <w:t>jurisdictional derogations </w:t>
      </w:r>
      <w:r>
        <w:rPr>
          <w:sz w:val="24"/>
        </w:rPr>
        <w:t>for the other </w:t>
      </w:r>
      <w:r>
        <w:rPr>
          <w:i/>
          <w:sz w:val="24"/>
        </w:rPr>
        <w:t>participating jurisdiction </w:t>
      </w:r>
      <w:r>
        <w:rPr>
          <w:spacing w:val="-4"/>
          <w:sz w:val="24"/>
        </w:rPr>
        <w:t>are</w:t>
      </w:r>
      <w:r>
        <w:rPr>
          <w:spacing w:val="52"/>
          <w:sz w:val="24"/>
        </w:rPr>
        <w:t> </w:t>
      </w:r>
      <w:r>
        <w:rPr>
          <w:sz w:val="24"/>
        </w:rPr>
        <w:t>deemed to apply to the </w:t>
      </w:r>
      <w:r>
        <w:rPr>
          <w:i/>
          <w:sz w:val="24"/>
        </w:rPr>
        <w:t>network </w:t>
      </w:r>
      <w:r>
        <w:rPr>
          <w:sz w:val="24"/>
        </w:rPr>
        <w:t>as if the </w:t>
      </w:r>
      <w:r>
        <w:rPr>
          <w:i/>
          <w:sz w:val="24"/>
        </w:rPr>
        <w:t>network </w:t>
      </w:r>
      <w:r>
        <w:rPr>
          <w:sz w:val="24"/>
        </w:rPr>
        <w:t>were located entirely within that other </w:t>
      </w:r>
      <w:r>
        <w:rPr>
          <w:i/>
          <w:sz w:val="24"/>
        </w:rPr>
        <w:t>participating</w:t>
      </w:r>
      <w:r>
        <w:rPr>
          <w:i/>
          <w:spacing w:val="-2"/>
          <w:sz w:val="24"/>
        </w:rPr>
        <w:t> </w:t>
      </w:r>
      <w:r>
        <w:rPr>
          <w:i/>
          <w:sz w:val="24"/>
        </w:rPr>
        <w:t>jurisdiction</w:t>
      </w:r>
      <w:r>
        <w:rPr>
          <w:sz w:val="24"/>
        </w:rPr>
        <w:t>.</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If a nomination is made under clause 9.37.7(a), then the </w:t>
      </w:r>
      <w:r>
        <w:rPr>
          <w:i/>
          <w:sz w:val="24"/>
        </w:rPr>
        <w:t>jurisdictional </w:t>
      </w:r>
      <w:r>
        <w:rPr>
          <w:i/>
          <w:sz w:val="24"/>
        </w:rPr>
        <w:t>derogations </w:t>
      </w:r>
      <w:r>
        <w:rPr>
          <w:sz w:val="24"/>
        </w:rPr>
        <w:t>for Queensland do not apply to the continuation of the relevant </w:t>
      </w:r>
      <w:r>
        <w:rPr>
          <w:i/>
          <w:sz w:val="24"/>
        </w:rPr>
        <w:t>network </w:t>
      </w:r>
      <w:r>
        <w:rPr>
          <w:sz w:val="24"/>
        </w:rPr>
        <w:t>which is situated in</w:t>
      </w:r>
      <w:r>
        <w:rPr>
          <w:spacing w:val="-3"/>
          <w:sz w:val="24"/>
        </w:rPr>
        <w:t> </w:t>
      </w:r>
      <w:r>
        <w:rPr>
          <w:sz w:val="24"/>
        </w:rPr>
        <w:t>Queensland.</w:t>
      </w:r>
    </w:p>
    <w:p>
      <w:pPr>
        <w:pStyle w:val="ListParagraph"/>
        <w:numPr>
          <w:ilvl w:val="3"/>
          <w:numId w:val="693"/>
        </w:numPr>
        <w:tabs>
          <w:tab w:pos="1919" w:val="left" w:leader="none"/>
        </w:tabs>
        <w:spacing w:line="240" w:lineRule="auto" w:before="120" w:after="0"/>
        <w:ind w:left="1919" w:right="415" w:hanging="567"/>
        <w:jc w:val="both"/>
        <w:rPr>
          <w:sz w:val="24"/>
        </w:rPr>
      </w:pPr>
      <w:r>
        <w:rPr>
          <w:sz w:val="24"/>
        </w:rPr>
        <w:t>If the </w:t>
      </w:r>
      <w:r>
        <w:rPr>
          <w:i/>
          <w:sz w:val="24"/>
        </w:rPr>
        <w:t>Minister </w:t>
      </w:r>
      <w:r>
        <w:rPr>
          <w:sz w:val="24"/>
        </w:rPr>
        <w:t>of another </w:t>
      </w:r>
      <w:r>
        <w:rPr>
          <w:i/>
          <w:sz w:val="24"/>
        </w:rPr>
        <w:t>participating jurisdiction </w:t>
      </w:r>
      <w:r>
        <w:rPr>
          <w:sz w:val="24"/>
        </w:rPr>
        <w:t>nominates that the </w:t>
      </w:r>
      <w:r>
        <w:rPr>
          <w:i/>
          <w:sz w:val="24"/>
        </w:rPr>
        <w:t>jurisdictional derogations </w:t>
      </w:r>
      <w:r>
        <w:rPr>
          <w:sz w:val="24"/>
        </w:rPr>
        <w:t>for Queensland should apply to a </w:t>
      </w:r>
      <w:r>
        <w:rPr>
          <w:i/>
          <w:sz w:val="24"/>
        </w:rPr>
        <w:t>network </w:t>
      </w:r>
      <w:r>
        <w:rPr>
          <w:sz w:val="24"/>
        </w:rPr>
        <w:t>part of which is situated in that other </w:t>
      </w:r>
      <w:r>
        <w:rPr>
          <w:i/>
          <w:sz w:val="24"/>
        </w:rPr>
        <w:t>participating jurisdiction</w:t>
      </w:r>
      <w:r>
        <w:rPr>
          <w:sz w:val="24"/>
        </w:rPr>
        <w:t>, then if the </w:t>
      </w:r>
      <w:r>
        <w:rPr>
          <w:i/>
          <w:sz w:val="24"/>
        </w:rPr>
        <w:t>Minister </w:t>
      </w:r>
      <w:r>
        <w:rPr>
          <w:sz w:val="24"/>
        </w:rPr>
        <w:t>in respect of Queensland consents, the </w:t>
      </w:r>
      <w:r>
        <w:rPr>
          <w:i/>
          <w:sz w:val="24"/>
        </w:rPr>
        <w:t>jurisdictional derogations </w:t>
      </w:r>
      <w:r>
        <w:rPr>
          <w:sz w:val="24"/>
        </w:rPr>
        <w:t>for Queensland are also to apply to that part of the </w:t>
      </w:r>
      <w:r>
        <w:rPr>
          <w:i/>
          <w:sz w:val="24"/>
        </w:rPr>
        <w:t>network </w:t>
      </w:r>
      <w:r>
        <w:rPr>
          <w:sz w:val="24"/>
        </w:rPr>
        <w:t>situated in the other </w:t>
      </w:r>
      <w:r>
        <w:rPr>
          <w:i/>
          <w:sz w:val="24"/>
        </w:rPr>
        <w:t>participating</w:t>
      </w:r>
      <w:r>
        <w:rPr>
          <w:i/>
          <w:spacing w:val="-1"/>
          <w:sz w:val="24"/>
        </w:rPr>
        <w:t> </w:t>
      </w:r>
      <w:r>
        <w:rPr>
          <w:i/>
          <w:sz w:val="24"/>
        </w:rPr>
        <w:t>jurisdiction</w:t>
      </w:r>
      <w:r>
        <w:rPr>
          <w:sz w:val="24"/>
        </w:rPr>
        <w:t>.</w:t>
      </w:r>
    </w:p>
    <w:p>
      <w:pPr>
        <w:spacing w:after="0" w:line="240" w:lineRule="auto"/>
        <w:jc w:val="both"/>
        <w:rPr>
          <w:sz w:val="24"/>
        </w:rPr>
        <w:sectPr>
          <w:pgSz w:w="11910" w:h="16840"/>
          <w:pgMar w:header="686" w:footer="637" w:top="1320" w:bottom="820" w:left="1200" w:right="1000"/>
        </w:sectPr>
      </w:pPr>
    </w:p>
    <w:p>
      <w:pPr>
        <w:pStyle w:val="Heading4"/>
        <w:numPr>
          <w:ilvl w:val="2"/>
          <w:numId w:val="693"/>
        </w:numPr>
        <w:tabs>
          <w:tab w:pos="1351" w:val="left" w:leader="none"/>
          <w:tab w:pos="1352" w:val="left" w:leader="none"/>
        </w:tabs>
        <w:spacing w:line="240" w:lineRule="auto" w:before="83" w:after="0"/>
        <w:ind w:left="1351" w:right="0" w:hanging="1134"/>
        <w:jc w:val="left"/>
      </w:pPr>
      <w:bookmarkStart w:name="9.37.8 [Deleted]" w:id="2905"/>
      <w:bookmarkEnd w:id="2905"/>
      <w:r>
        <w:rPr>
          <w:b w:val="0"/>
        </w:rPr>
      </w:r>
      <w:bookmarkStart w:name="_bookmark1176" w:id="2906"/>
      <w:bookmarkEnd w:id="2906"/>
      <w:r>
        <w:rPr>
          <w:b w:val="0"/>
        </w:rPr>
      </w:r>
      <w:bookmarkStart w:name="_bookmark1176" w:id="2907"/>
      <w:bookmarkEnd w:id="2907"/>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9 Credible contingency events (clau" w:id="2908"/>
      <w:bookmarkEnd w:id="2908"/>
      <w:r>
        <w:rPr>
          <w:b w:val="0"/>
        </w:rPr>
      </w:r>
      <w:bookmarkStart w:name="_bookmark1177" w:id="2909"/>
      <w:bookmarkEnd w:id="2909"/>
      <w:r>
        <w:rPr>
          <w:b w:val="0"/>
        </w:rPr>
      </w:r>
      <w:bookmarkStart w:name="_bookmark1177" w:id="2910"/>
      <w:bookmarkEnd w:id="2910"/>
      <w:r>
        <w:rPr/>
        <w:t>Credibl</w:t>
      </w:r>
      <w:r>
        <w:rPr/>
        <w:t>e contingency events (clause S5.1.2.1 of schedule</w:t>
      </w:r>
      <w:r>
        <w:rPr>
          <w:spacing w:val="-9"/>
        </w:rPr>
        <w:t> </w:t>
      </w:r>
      <w:r>
        <w:rPr/>
        <w:t>5.1)</w:t>
      </w:r>
    </w:p>
    <w:p>
      <w:pPr>
        <w:pStyle w:val="ListParagraph"/>
        <w:numPr>
          <w:ilvl w:val="3"/>
          <w:numId w:val="693"/>
        </w:numPr>
        <w:tabs>
          <w:tab w:pos="1919" w:val="left" w:leader="none"/>
        </w:tabs>
        <w:spacing w:line="240" w:lineRule="auto" w:before="120" w:after="0"/>
        <w:ind w:left="1919" w:right="415" w:hanging="567"/>
        <w:jc w:val="both"/>
        <w:rPr>
          <w:sz w:val="24"/>
        </w:rPr>
      </w:pPr>
      <w:r>
        <w:rPr>
          <w:sz w:val="24"/>
        </w:rPr>
        <w:t>The </w:t>
      </w:r>
      <w:r>
        <w:rPr>
          <w:i/>
          <w:sz w:val="24"/>
        </w:rPr>
        <w:t>protection systems </w:t>
      </w:r>
      <w:r>
        <w:rPr>
          <w:sz w:val="24"/>
        </w:rPr>
        <w:t>installed on any 110/132kV lines located in Queensland and existing at </w:t>
      </w:r>
      <w:r>
        <w:rPr>
          <w:i/>
          <w:sz w:val="24"/>
        </w:rPr>
        <w:t>market commencement </w:t>
      </w:r>
      <w:r>
        <w:rPr>
          <w:sz w:val="24"/>
        </w:rPr>
        <w:t>are deemed to comply with clause S5.1.2.1(d) of schedule 5.1 of the </w:t>
      </w:r>
      <w:r>
        <w:rPr>
          <w:i/>
          <w:sz w:val="24"/>
        </w:rPr>
        <w:t>Rules </w:t>
      </w:r>
      <w:r>
        <w:rPr>
          <w:sz w:val="24"/>
        </w:rPr>
        <w:t>except where such </w:t>
      </w:r>
      <w:r>
        <w:rPr>
          <w:i/>
          <w:sz w:val="24"/>
        </w:rPr>
        <w:t>protection system </w:t>
      </w:r>
      <w:r>
        <w:rPr>
          <w:sz w:val="24"/>
        </w:rPr>
        <w:t>has a material effect in degrading the stability and security of the Queensland system or the </w:t>
      </w:r>
      <w:r>
        <w:rPr>
          <w:i/>
          <w:sz w:val="24"/>
        </w:rPr>
        <w:t>power</w:t>
      </w:r>
      <w:r>
        <w:rPr>
          <w:i/>
          <w:spacing w:val="-3"/>
          <w:sz w:val="24"/>
        </w:rPr>
        <w:t> </w:t>
      </w:r>
      <w:r>
        <w:rPr>
          <w:i/>
          <w:sz w:val="24"/>
        </w:rPr>
        <w:t>system</w:t>
      </w:r>
      <w:r>
        <w:rPr>
          <w:sz w:val="24"/>
        </w:rPr>
        <w:t>.</w:t>
      </w:r>
    </w:p>
    <w:p>
      <w:pPr>
        <w:pStyle w:val="BodyText"/>
        <w:spacing w:before="10"/>
        <w:ind w:firstLine="0"/>
        <w:jc w:val="left"/>
        <w:rPr>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0 Reactive power capability (claus" w:id="2911"/>
      <w:bookmarkEnd w:id="2911"/>
      <w:r>
        <w:rPr>
          <w:b w:val="0"/>
        </w:rPr>
      </w:r>
      <w:bookmarkStart w:name="_bookmark1178" w:id="2912"/>
      <w:bookmarkEnd w:id="2912"/>
      <w:r>
        <w:rPr>
          <w:b w:val="0"/>
        </w:rPr>
      </w:r>
      <w:bookmarkStart w:name="_bookmark1178" w:id="2913"/>
      <w:bookmarkEnd w:id="2913"/>
      <w:r>
        <w:rPr/>
        <w:t>Rea</w:t>
      </w:r>
      <w:r>
        <w:rPr/>
        <w:t>ctive power capability (clause S5.2.5.1 of schedule</w:t>
      </w:r>
      <w:r>
        <w:rPr>
          <w:spacing w:val="-5"/>
        </w:rPr>
        <w:t> </w:t>
      </w:r>
      <w:r>
        <w:rPr/>
        <w:t>5.2)</w:t>
      </w:r>
    </w:p>
    <w:p>
      <w:pPr>
        <w:spacing w:before="120"/>
        <w:ind w:left="1352" w:right="416" w:firstLine="0"/>
        <w:jc w:val="both"/>
        <w:rPr>
          <w:sz w:val="24"/>
        </w:rPr>
      </w:pPr>
      <w:r>
        <w:rPr>
          <w:sz w:val="24"/>
        </w:rPr>
        <w:t>Clause S5.2.5.1 of schedule 5.2 of the </w:t>
      </w:r>
      <w:r>
        <w:rPr>
          <w:i/>
          <w:sz w:val="24"/>
        </w:rPr>
        <w:t>Rules </w:t>
      </w:r>
      <w:r>
        <w:rPr>
          <w:sz w:val="24"/>
        </w:rPr>
        <w:t>is replaced for each of the </w:t>
      </w:r>
      <w:r>
        <w:rPr>
          <w:i/>
          <w:sz w:val="24"/>
        </w:rPr>
        <w:t>generating </w:t>
      </w:r>
      <w:r>
        <w:rPr>
          <w:i/>
          <w:sz w:val="24"/>
        </w:rPr>
        <w:t>units </w:t>
      </w:r>
      <w:r>
        <w:rPr>
          <w:sz w:val="24"/>
        </w:rPr>
        <w:t>situated at the relevant </w:t>
      </w:r>
      <w:r>
        <w:rPr>
          <w:i/>
          <w:sz w:val="24"/>
        </w:rPr>
        <w:t>power station </w:t>
      </w:r>
      <w:r>
        <w:rPr>
          <w:sz w:val="24"/>
        </w:rPr>
        <w:t>listed in the following table by the following:</w:t>
      </w:r>
    </w:p>
    <w:p>
      <w:pPr>
        <w:pStyle w:val="BodyText"/>
        <w:ind w:left="1352" w:firstLine="0"/>
      </w:pPr>
      <w:r>
        <w:rPr/>
        <w:t>For the purpose of this clause S5.2.5.1:</w:t>
      </w:r>
    </w:p>
    <w:p>
      <w:pPr>
        <w:spacing w:before="120"/>
        <w:ind w:left="1352" w:right="416" w:firstLine="0"/>
        <w:jc w:val="both"/>
        <w:rPr>
          <w:sz w:val="24"/>
        </w:rPr>
      </w:pPr>
      <w:r>
        <w:rPr>
          <w:b/>
          <w:sz w:val="24"/>
        </w:rPr>
        <w:t>rated </w:t>
      </w:r>
      <w:r>
        <w:rPr>
          <w:b/>
          <w:i/>
          <w:sz w:val="24"/>
        </w:rPr>
        <w:t>active power </w:t>
      </w:r>
      <w:r>
        <w:rPr>
          <w:b/>
          <w:sz w:val="24"/>
        </w:rPr>
        <w:t>output </w:t>
      </w:r>
      <w:r>
        <w:rPr>
          <w:sz w:val="24"/>
        </w:rPr>
        <w:t>means the 'Rated MW Generated)' (as defined in the </w:t>
      </w:r>
      <w:r>
        <w:rPr>
          <w:i/>
          <w:sz w:val="24"/>
        </w:rPr>
        <w:t>Generating System Design Data Sheet</w:t>
      </w:r>
      <w:r>
        <w:rPr>
          <w:sz w:val="24"/>
        </w:rPr>
        <w:t>) for the relevant </w:t>
      </w:r>
      <w:r>
        <w:rPr>
          <w:i/>
          <w:sz w:val="24"/>
        </w:rPr>
        <w:t>synchronous generating </w:t>
      </w:r>
      <w:r>
        <w:rPr>
          <w:i/>
          <w:sz w:val="24"/>
        </w:rPr>
        <w:t>unit</w:t>
      </w:r>
      <w:r>
        <w:rPr>
          <w:sz w:val="24"/>
        </w:rPr>
        <w:t>; and</w:t>
      </w:r>
    </w:p>
    <w:p>
      <w:pPr>
        <w:spacing w:before="120"/>
        <w:ind w:left="1352" w:right="416" w:firstLine="0"/>
        <w:jc w:val="both"/>
        <w:rPr>
          <w:sz w:val="24"/>
        </w:rPr>
      </w:pPr>
      <w:r>
        <w:rPr>
          <w:b/>
          <w:sz w:val="24"/>
        </w:rPr>
        <w:t>nominal terminal </w:t>
      </w:r>
      <w:r>
        <w:rPr>
          <w:b/>
          <w:i/>
          <w:sz w:val="24"/>
        </w:rPr>
        <w:t>voltage </w:t>
      </w:r>
      <w:r>
        <w:rPr>
          <w:sz w:val="24"/>
        </w:rPr>
        <w:t>means the 'Nominal Terminal </w:t>
      </w:r>
      <w:r>
        <w:rPr>
          <w:i/>
          <w:sz w:val="24"/>
        </w:rPr>
        <w:t>Voltage</w:t>
      </w:r>
      <w:r>
        <w:rPr>
          <w:sz w:val="24"/>
        </w:rPr>
        <w:t>' (as defined in the </w:t>
      </w:r>
      <w:r>
        <w:rPr>
          <w:i/>
          <w:sz w:val="24"/>
        </w:rPr>
        <w:t>Generating System Design Data Sheet</w:t>
      </w:r>
      <w:r>
        <w:rPr>
          <w:sz w:val="24"/>
        </w:rPr>
        <w:t>) for the relevant </w:t>
      </w:r>
      <w:r>
        <w:rPr>
          <w:i/>
          <w:sz w:val="24"/>
        </w:rPr>
        <w:t>synchronous </w:t>
      </w:r>
      <w:r>
        <w:rPr>
          <w:i/>
          <w:sz w:val="24"/>
        </w:rPr>
        <w:t>generating unit</w:t>
      </w:r>
      <w:r>
        <w:rPr>
          <w:sz w:val="24"/>
        </w:rPr>
        <w:t>.</w:t>
      </w:r>
    </w:p>
    <w:p>
      <w:pPr>
        <w:pStyle w:val="ListParagraph"/>
        <w:numPr>
          <w:ilvl w:val="3"/>
          <w:numId w:val="693"/>
        </w:numPr>
        <w:tabs>
          <w:tab w:pos="1919" w:val="left" w:leader="none"/>
        </w:tabs>
        <w:spacing w:line="240" w:lineRule="auto" w:before="120" w:after="0"/>
        <w:ind w:left="1918" w:right="0" w:hanging="567"/>
        <w:jc w:val="both"/>
        <w:rPr>
          <w:i/>
          <w:sz w:val="24"/>
        </w:rPr>
      </w:pPr>
      <w:r>
        <w:rPr>
          <w:sz w:val="24"/>
        </w:rPr>
        <w:t>Each</w:t>
      </w:r>
      <w:r>
        <w:rPr>
          <w:spacing w:val="25"/>
          <w:sz w:val="24"/>
        </w:rPr>
        <w:t> </w:t>
      </w:r>
      <w:r>
        <w:rPr>
          <w:sz w:val="24"/>
        </w:rPr>
        <w:t>of</w:t>
      </w:r>
      <w:r>
        <w:rPr>
          <w:spacing w:val="25"/>
          <w:sz w:val="24"/>
        </w:rPr>
        <w:t> </w:t>
      </w:r>
      <w:r>
        <w:rPr>
          <w:sz w:val="24"/>
        </w:rPr>
        <w:t>the</w:t>
      </w:r>
      <w:r>
        <w:rPr>
          <w:spacing w:val="26"/>
          <w:sz w:val="24"/>
        </w:rPr>
        <w:t> </w:t>
      </w:r>
      <w:r>
        <w:rPr>
          <w:i/>
          <w:sz w:val="24"/>
        </w:rPr>
        <w:t>generating</w:t>
      </w:r>
      <w:r>
        <w:rPr>
          <w:i/>
          <w:spacing w:val="25"/>
          <w:sz w:val="24"/>
        </w:rPr>
        <w:t> </w:t>
      </w:r>
      <w:r>
        <w:rPr>
          <w:i/>
          <w:sz w:val="24"/>
        </w:rPr>
        <w:t>units</w:t>
      </w:r>
      <w:r>
        <w:rPr>
          <w:sz w:val="24"/>
        </w:rPr>
        <w:t>,</w:t>
      </w:r>
      <w:r>
        <w:rPr>
          <w:spacing w:val="26"/>
          <w:sz w:val="24"/>
        </w:rPr>
        <w:t> </w:t>
      </w:r>
      <w:r>
        <w:rPr>
          <w:sz w:val="24"/>
        </w:rPr>
        <w:t>while</w:t>
      </w:r>
      <w:r>
        <w:rPr>
          <w:spacing w:val="25"/>
          <w:sz w:val="24"/>
        </w:rPr>
        <w:t> </w:t>
      </w:r>
      <w:r>
        <w:rPr>
          <w:sz w:val="24"/>
        </w:rPr>
        <w:t>operating</w:t>
      </w:r>
      <w:r>
        <w:rPr>
          <w:spacing w:val="26"/>
          <w:sz w:val="24"/>
        </w:rPr>
        <w:t> </w:t>
      </w:r>
      <w:r>
        <w:rPr>
          <w:sz w:val="24"/>
        </w:rPr>
        <w:t>at</w:t>
      </w:r>
      <w:r>
        <w:rPr>
          <w:spacing w:val="25"/>
          <w:sz w:val="24"/>
        </w:rPr>
        <w:t> </w:t>
      </w:r>
      <w:r>
        <w:rPr>
          <w:sz w:val="24"/>
        </w:rPr>
        <w:t>any</w:t>
      </w:r>
      <w:r>
        <w:rPr>
          <w:spacing w:val="26"/>
          <w:sz w:val="24"/>
        </w:rPr>
        <w:t> </w:t>
      </w:r>
      <w:r>
        <w:rPr>
          <w:sz w:val="24"/>
        </w:rPr>
        <w:t>level</w:t>
      </w:r>
      <w:r>
        <w:rPr>
          <w:spacing w:val="25"/>
          <w:sz w:val="24"/>
        </w:rPr>
        <w:t> </w:t>
      </w:r>
      <w:r>
        <w:rPr>
          <w:sz w:val="24"/>
        </w:rPr>
        <w:t>of</w:t>
      </w:r>
      <w:r>
        <w:rPr>
          <w:spacing w:val="26"/>
          <w:sz w:val="24"/>
        </w:rPr>
        <w:t> </w:t>
      </w:r>
      <w:r>
        <w:rPr>
          <w:i/>
          <w:sz w:val="24"/>
        </w:rPr>
        <w:t>active</w:t>
      </w:r>
      <w:r>
        <w:rPr>
          <w:i/>
          <w:spacing w:val="25"/>
          <w:sz w:val="24"/>
        </w:rPr>
        <w:t> </w:t>
      </w:r>
      <w:r>
        <w:rPr>
          <w:i/>
          <w:sz w:val="24"/>
        </w:rPr>
        <w:t>power</w:t>
      </w:r>
    </w:p>
    <w:p>
      <w:pPr>
        <w:pStyle w:val="BodyText"/>
        <w:spacing w:before="0"/>
        <w:ind w:left="1919" w:firstLine="0"/>
      </w:pPr>
      <w:r>
        <w:rPr/>
        <w:t>output, must be capable of:</w:t>
      </w:r>
    </w:p>
    <w:p>
      <w:pPr>
        <w:pStyle w:val="ListParagraph"/>
        <w:numPr>
          <w:ilvl w:val="4"/>
          <w:numId w:val="693"/>
        </w:numPr>
        <w:tabs>
          <w:tab w:pos="2486" w:val="left" w:leader="none"/>
        </w:tabs>
        <w:spacing w:line="240" w:lineRule="auto" w:before="120" w:after="0"/>
        <w:ind w:left="2486" w:right="415" w:hanging="567"/>
        <w:jc w:val="both"/>
        <w:rPr>
          <w:sz w:val="24"/>
        </w:rPr>
      </w:pPr>
      <w:r>
        <w:rPr>
          <w:sz w:val="24"/>
        </w:rPr>
        <w:t>supplying at its terminals an amount of </w:t>
      </w:r>
      <w:r>
        <w:rPr>
          <w:i/>
          <w:sz w:val="24"/>
        </w:rPr>
        <w:t>reactive power </w:t>
      </w:r>
      <w:r>
        <w:rPr>
          <w:sz w:val="24"/>
        </w:rPr>
        <w:t>of at least the amount that would be supplied if the </w:t>
      </w:r>
      <w:r>
        <w:rPr>
          <w:i/>
          <w:sz w:val="24"/>
        </w:rPr>
        <w:t>generating unit </w:t>
      </w:r>
      <w:r>
        <w:rPr>
          <w:sz w:val="24"/>
        </w:rPr>
        <w:t>operated at rated </w:t>
      </w:r>
      <w:r>
        <w:rPr>
          <w:i/>
          <w:sz w:val="24"/>
        </w:rPr>
        <w:t>active power </w:t>
      </w:r>
      <w:r>
        <w:rPr>
          <w:sz w:val="24"/>
        </w:rPr>
        <w:t>output, nominal terminal voltage and a lagging power factor of 0.9;</w:t>
      </w:r>
      <w:r>
        <w:rPr>
          <w:spacing w:val="-1"/>
          <w:sz w:val="24"/>
        </w:rPr>
        <w:t> </w:t>
      </w:r>
      <w:r>
        <w:rPr>
          <w:sz w:val="24"/>
        </w:rPr>
        <w:t>and</w:t>
      </w:r>
    </w:p>
    <w:p>
      <w:pPr>
        <w:pStyle w:val="ListParagraph"/>
        <w:numPr>
          <w:ilvl w:val="4"/>
          <w:numId w:val="693"/>
        </w:numPr>
        <w:tabs>
          <w:tab w:pos="2486" w:val="left" w:leader="none"/>
        </w:tabs>
        <w:spacing w:line="240" w:lineRule="auto" w:before="120" w:after="0"/>
        <w:ind w:left="2486" w:right="414" w:hanging="567"/>
        <w:jc w:val="both"/>
        <w:rPr>
          <w:sz w:val="24"/>
        </w:rPr>
      </w:pPr>
      <w:r>
        <w:rPr>
          <w:sz w:val="24"/>
        </w:rPr>
        <w:t>absorbing at its terminals an amount of </w:t>
      </w:r>
      <w:r>
        <w:rPr>
          <w:i/>
          <w:sz w:val="24"/>
        </w:rPr>
        <w:t>reactive power </w:t>
      </w:r>
      <w:r>
        <w:rPr>
          <w:sz w:val="24"/>
        </w:rPr>
        <w:t>of at least the amount that would be absorbed if the </w:t>
      </w:r>
      <w:r>
        <w:rPr>
          <w:i/>
          <w:sz w:val="24"/>
        </w:rPr>
        <w:t>generating unit </w:t>
      </w:r>
      <w:r>
        <w:rPr>
          <w:sz w:val="24"/>
        </w:rPr>
        <w:t>operated at rated </w:t>
      </w:r>
      <w:r>
        <w:rPr>
          <w:i/>
          <w:sz w:val="24"/>
        </w:rPr>
        <w:t>active power </w:t>
      </w:r>
      <w:r>
        <w:rPr>
          <w:sz w:val="24"/>
        </w:rPr>
        <w:t>output, nominal terminal </w:t>
      </w:r>
      <w:r>
        <w:rPr>
          <w:i/>
          <w:sz w:val="24"/>
        </w:rPr>
        <w:t>voltage </w:t>
      </w:r>
      <w:r>
        <w:rPr>
          <w:sz w:val="24"/>
        </w:rPr>
        <w:t>and a leading power factor set out in respect of that </w:t>
      </w:r>
      <w:r>
        <w:rPr>
          <w:i/>
          <w:sz w:val="24"/>
        </w:rPr>
        <w:t>generating unit </w:t>
      </w:r>
      <w:r>
        <w:rPr>
          <w:sz w:val="24"/>
        </w:rPr>
        <w:t>in column 3 of the following</w:t>
      </w:r>
      <w:r>
        <w:rPr>
          <w:spacing w:val="-1"/>
          <w:sz w:val="24"/>
        </w:rPr>
        <w:t> </w:t>
      </w:r>
      <w:r>
        <w:rPr>
          <w:sz w:val="24"/>
        </w:rPr>
        <w:t>table.</w:t>
      </w:r>
    </w:p>
    <w:p>
      <w:pPr>
        <w:pStyle w:val="ListParagraph"/>
        <w:numPr>
          <w:ilvl w:val="3"/>
          <w:numId w:val="693"/>
        </w:numPr>
        <w:tabs>
          <w:tab w:pos="1919" w:val="left" w:leader="none"/>
        </w:tabs>
        <w:spacing w:line="240" w:lineRule="auto" w:before="120" w:after="0"/>
        <w:ind w:left="1918" w:right="0" w:hanging="567"/>
        <w:jc w:val="both"/>
        <w:rPr>
          <w:sz w:val="24"/>
        </w:rPr>
      </w:pPr>
      <w:r>
        <w:rPr>
          <w:sz w:val="24"/>
        </w:rPr>
        <w:t>In</w:t>
      </w:r>
      <w:r>
        <w:rPr>
          <w:spacing w:val="18"/>
          <w:sz w:val="24"/>
        </w:rPr>
        <w:t> </w:t>
      </w:r>
      <w:r>
        <w:rPr>
          <w:sz w:val="24"/>
        </w:rPr>
        <w:t>the</w:t>
      </w:r>
      <w:r>
        <w:rPr>
          <w:spacing w:val="20"/>
          <w:sz w:val="24"/>
        </w:rPr>
        <w:t> </w:t>
      </w:r>
      <w:r>
        <w:rPr>
          <w:sz w:val="24"/>
        </w:rPr>
        <w:t>event</w:t>
      </w:r>
      <w:r>
        <w:rPr>
          <w:spacing w:val="19"/>
          <w:sz w:val="24"/>
        </w:rPr>
        <w:t> </w:t>
      </w:r>
      <w:r>
        <w:rPr>
          <w:sz w:val="24"/>
        </w:rPr>
        <w:t>that</w:t>
      </w:r>
      <w:r>
        <w:rPr>
          <w:spacing w:val="19"/>
          <w:sz w:val="24"/>
        </w:rPr>
        <w:t> </w:t>
      </w:r>
      <w:r>
        <w:rPr>
          <w:sz w:val="24"/>
        </w:rPr>
        <w:t>any</w:t>
      </w:r>
      <w:r>
        <w:rPr>
          <w:spacing w:val="19"/>
          <w:sz w:val="24"/>
        </w:rPr>
        <w:t> </w:t>
      </w:r>
      <w:r>
        <w:rPr>
          <w:sz w:val="24"/>
        </w:rPr>
        <w:t>of</w:t>
      </w:r>
      <w:r>
        <w:rPr>
          <w:spacing w:val="19"/>
          <w:sz w:val="24"/>
        </w:rPr>
        <w:t> </w:t>
      </w:r>
      <w:r>
        <w:rPr>
          <w:sz w:val="24"/>
        </w:rPr>
        <w:t>the</w:t>
      </w:r>
      <w:r>
        <w:rPr>
          <w:spacing w:val="20"/>
          <w:sz w:val="24"/>
        </w:rPr>
        <w:t> </w:t>
      </w:r>
      <w:r>
        <w:rPr>
          <w:sz w:val="24"/>
        </w:rPr>
        <w:t>relevant</w:t>
      </w:r>
      <w:r>
        <w:rPr>
          <w:spacing w:val="20"/>
          <w:sz w:val="24"/>
        </w:rPr>
        <w:t> </w:t>
      </w:r>
      <w:r>
        <w:rPr>
          <w:sz w:val="24"/>
        </w:rPr>
        <w:t>power</w:t>
      </w:r>
      <w:r>
        <w:rPr>
          <w:spacing w:val="19"/>
          <w:sz w:val="24"/>
        </w:rPr>
        <w:t> </w:t>
      </w:r>
      <w:r>
        <w:rPr>
          <w:sz w:val="24"/>
        </w:rPr>
        <w:t>factors</w:t>
      </w:r>
      <w:r>
        <w:rPr>
          <w:spacing w:val="19"/>
          <w:sz w:val="24"/>
        </w:rPr>
        <w:t> </w:t>
      </w:r>
      <w:r>
        <w:rPr>
          <w:sz w:val="24"/>
        </w:rPr>
        <w:t>referred</w:t>
      </w:r>
      <w:r>
        <w:rPr>
          <w:spacing w:val="20"/>
          <w:sz w:val="24"/>
        </w:rPr>
        <w:t> </w:t>
      </w:r>
      <w:r>
        <w:rPr>
          <w:sz w:val="24"/>
        </w:rPr>
        <w:t>to</w:t>
      </w:r>
      <w:r>
        <w:rPr>
          <w:spacing w:val="20"/>
          <w:sz w:val="24"/>
        </w:rPr>
        <w:t> </w:t>
      </w:r>
      <w:r>
        <w:rPr>
          <w:sz w:val="24"/>
        </w:rPr>
        <w:t>in</w:t>
      </w:r>
      <w:r>
        <w:rPr>
          <w:spacing w:val="20"/>
          <w:sz w:val="24"/>
        </w:rPr>
        <w:t> </w:t>
      </w:r>
      <w:r>
        <w:rPr>
          <w:sz w:val="24"/>
        </w:rPr>
        <w:t>paragraph</w:t>
      </w:r>
    </w:p>
    <w:p>
      <w:pPr>
        <w:spacing w:before="0"/>
        <w:ind w:left="1919" w:right="415" w:firstLine="0"/>
        <w:jc w:val="both"/>
        <w:rPr>
          <w:sz w:val="24"/>
        </w:rPr>
      </w:pPr>
      <w:r>
        <w:rPr>
          <w:sz w:val="24"/>
        </w:rPr>
        <w:t>(a) above cannot be provided in respect of a </w:t>
      </w:r>
      <w:r>
        <w:rPr>
          <w:i/>
          <w:sz w:val="24"/>
        </w:rPr>
        <w:t>generating unit</w:t>
      </w:r>
      <w:r>
        <w:rPr>
          <w:sz w:val="24"/>
        </w:rPr>
        <w:t>, the relevant </w:t>
      </w:r>
      <w:r>
        <w:rPr>
          <w:i/>
          <w:sz w:val="24"/>
        </w:rPr>
        <w:t>Generator </w:t>
      </w:r>
      <w:r>
        <w:rPr>
          <w:sz w:val="24"/>
        </w:rPr>
        <w:t>must reach a commercial arrangement under its </w:t>
      </w:r>
      <w:r>
        <w:rPr>
          <w:i/>
          <w:sz w:val="24"/>
        </w:rPr>
        <w:t>connection </w:t>
      </w:r>
      <w:r>
        <w:rPr>
          <w:i/>
          <w:sz w:val="24"/>
        </w:rPr>
        <w:t>agreement </w:t>
      </w:r>
      <w:r>
        <w:rPr>
          <w:sz w:val="24"/>
        </w:rPr>
        <w:t>with the relevant </w:t>
      </w:r>
      <w:r>
        <w:rPr>
          <w:i/>
          <w:sz w:val="24"/>
        </w:rPr>
        <w:t>Network Service Provider</w:t>
      </w:r>
      <w:r>
        <w:rPr>
          <w:sz w:val="24"/>
        </w:rPr>
        <w:t>, or with another </w:t>
      </w:r>
      <w:r>
        <w:rPr>
          <w:i/>
          <w:sz w:val="24"/>
        </w:rPr>
        <w:t>Registered Participant</w:t>
      </w:r>
      <w:r>
        <w:rPr>
          <w:sz w:val="24"/>
        </w:rPr>
        <w:t>, for the supply of the deficit in </w:t>
      </w:r>
      <w:r>
        <w:rPr>
          <w:i/>
          <w:sz w:val="24"/>
        </w:rPr>
        <w:t>reactive power </w:t>
      </w:r>
      <w:r>
        <w:rPr>
          <w:sz w:val="24"/>
        </w:rPr>
        <w:t>as measured at that </w:t>
      </w:r>
      <w:r>
        <w:rPr>
          <w:i/>
          <w:sz w:val="24"/>
        </w:rPr>
        <w:t>generating unit's </w:t>
      </w:r>
      <w:r>
        <w:rPr>
          <w:sz w:val="24"/>
        </w:rPr>
        <w:t>terminals.</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5"/>
        <w:gridCol w:w="2646"/>
        <w:gridCol w:w="2646"/>
      </w:tblGrid>
      <w:tr>
        <w:trPr>
          <w:trHeight w:val="395" w:hRule="atLeast"/>
        </w:trPr>
        <w:tc>
          <w:tcPr>
            <w:tcW w:w="264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Power station</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Generating units</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Leading power factor</w:t>
            </w:r>
          </w:p>
        </w:tc>
      </w:tr>
      <w:tr>
        <w:trPr>
          <w:trHeight w:val="515" w:hRule="atLeast"/>
        </w:trPr>
        <w:tc>
          <w:tcPr>
            <w:tcW w:w="2645" w:type="dxa"/>
            <w:tcBorders>
              <w:top w:val="single" w:sz="4" w:space="0" w:color="000000"/>
              <w:bottom w:val="single" w:sz="4" w:space="0" w:color="000000"/>
              <w:right w:val="single" w:sz="4" w:space="0" w:color="000000"/>
            </w:tcBorders>
          </w:tcPr>
          <w:p>
            <w:pPr>
              <w:pStyle w:val="TableParagraph"/>
              <w:ind w:left="40"/>
              <w:rPr>
                <w:sz w:val="24"/>
              </w:rPr>
            </w:pPr>
            <w:r>
              <w:rPr>
                <w:sz w:val="24"/>
              </w:rPr>
              <w:t>Gladstone</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Units 1 to 4</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ind w:left="1097" w:right="1078"/>
              <w:jc w:val="center"/>
              <w:rPr>
                <w:sz w:val="24"/>
              </w:rPr>
            </w:pPr>
            <w:r>
              <w:rPr>
                <w:sz w:val="24"/>
              </w:rPr>
              <w:t>0.99</w:t>
            </w:r>
          </w:p>
        </w:tc>
      </w:tr>
      <w:tr>
        <w:trPr>
          <w:trHeight w:val="515" w:hRule="atLeast"/>
        </w:trPr>
        <w:tc>
          <w:tcPr>
            <w:tcW w:w="2645" w:type="dxa"/>
            <w:tcBorders>
              <w:top w:val="single" w:sz="4" w:space="0" w:color="000000"/>
              <w:bottom w:val="single" w:sz="4" w:space="0" w:color="000000"/>
              <w:right w:val="single" w:sz="4" w:space="0" w:color="000000"/>
            </w:tcBorders>
          </w:tcPr>
          <w:p>
            <w:pPr>
              <w:pStyle w:val="TableParagraph"/>
              <w:ind w:left="40"/>
              <w:rPr>
                <w:sz w:val="24"/>
              </w:rPr>
            </w:pPr>
            <w:r>
              <w:rPr>
                <w:sz w:val="24"/>
              </w:rPr>
              <w:t>Gladstone</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Units 5 &amp; 6</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ind w:left="1097" w:right="1078"/>
              <w:jc w:val="center"/>
              <w:rPr>
                <w:sz w:val="24"/>
              </w:rPr>
            </w:pPr>
            <w:r>
              <w:rPr>
                <w:sz w:val="24"/>
              </w:rPr>
              <w:t>0.94</w:t>
            </w:r>
          </w:p>
        </w:tc>
      </w:tr>
      <w:tr>
        <w:trPr>
          <w:trHeight w:val="515" w:hRule="atLeast"/>
        </w:trPr>
        <w:tc>
          <w:tcPr>
            <w:tcW w:w="2645" w:type="dxa"/>
            <w:tcBorders>
              <w:top w:val="single" w:sz="4" w:space="0" w:color="000000"/>
              <w:right w:val="single" w:sz="4" w:space="0" w:color="000000"/>
            </w:tcBorders>
          </w:tcPr>
          <w:p>
            <w:pPr>
              <w:pStyle w:val="TableParagraph"/>
              <w:ind w:left="40"/>
              <w:rPr>
                <w:sz w:val="24"/>
              </w:rPr>
            </w:pPr>
            <w:r>
              <w:rPr>
                <w:sz w:val="24"/>
              </w:rPr>
              <w:t>Collinsville</w:t>
            </w:r>
          </w:p>
        </w:tc>
        <w:tc>
          <w:tcPr>
            <w:tcW w:w="2646" w:type="dxa"/>
            <w:tcBorders>
              <w:top w:val="single" w:sz="4" w:space="0" w:color="000000"/>
              <w:left w:val="single" w:sz="4" w:space="0" w:color="000000"/>
              <w:right w:val="single" w:sz="4" w:space="0" w:color="000000"/>
            </w:tcBorders>
          </w:tcPr>
          <w:p>
            <w:pPr>
              <w:pStyle w:val="TableParagraph"/>
              <w:rPr>
                <w:sz w:val="24"/>
              </w:rPr>
            </w:pPr>
            <w:r>
              <w:rPr>
                <w:sz w:val="24"/>
              </w:rPr>
              <w:t>Units 1 to 5</w:t>
            </w:r>
          </w:p>
        </w:tc>
        <w:tc>
          <w:tcPr>
            <w:tcW w:w="2646" w:type="dxa"/>
            <w:tcBorders>
              <w:top w:val="single" w:sz="4" w:space="0" w:color="000000"/>
              <w:left w:val="single" w:sz="4" w:space="0" w:color="000000"/>
              <w:right w:val="single" w:sz="4" w:space="0" w:color="000000"/>
            </w:tcBorders>
          </w:tcPr>
          <w:p>
            <w:pPr>
              <w:pStyle w:val="TableParagraph"/>
              <w:ind w:left="1097" w:right="1078"/>
              <w:jc w:val="center"/>
              <w:rPr>
                <w:sz w:val="24"/>
              </w:rPr>
            </w:pPr>
            <w:r>
              <w:rPr>
                <w:sz w:val="24"/>
              </w:rPr>
              <w:t>0.95</w:t>
            </w:r>
          </w:p>
        </w:tc>
      </w:tr>
    </w:tbl>
    <w:p>
      <w:pPr>
        <w:spacing w:after="0"/>
        <w:jc w:val="center"/>
        <w:rPr>
          <w:sz w:val="24"/>
        </w:rPr>
        <w:sectPr>
          <w:pgSz w:w="11910" w:h="16840"/>
          <w:pgMar w:header="686" w:footer="637" w:top="1320" w:bottom="820" w:left="1200" w:right="1000"/>
        </w:sectPr>
      </w:pPr>
    </w:p>
    <w:p>
      <w:pPr>
        <w:pStyle w:val="Heading4"/>
        <w:numPr>
          <w:ilvl w:val="2"/>
          <w:numId w:val="693"/>
        </w:numPr>
        <w:tabs>
          <w:tab w:pos="1351" w:val="left" w:leader="none"/>
          <w:tab w:pos="1352" w:val="left" w:leader="none"/>
        </w:tabs>
        <w:spacing w:line="240" w:lineRule="auto" w:before="83" w:after="0"/>
        <w:ind w:left="1351" w:right="0" w:hanging="1134"/>
        <w:jc w:val="left"/>
      </w:pPr>
      <w:bookmarkStart w:name="9.37.11 [Deleted]" w:id="2914"/>
      <w:bookmarkEnd w:id="2914"/>
      <w:r>
        <w:rPr>
          <w:b w:val="0"/>
        </w:rPr>
      </w:r>
      <w:bookmarkStart w:name="_bookmark1179" w:id="2915"/>
      <w:bookmarkEnd w:id="2915"/>
      <w:r>
        <w:rPr>
          <w:b w:val="0"/>
        </w:rPr>
      </w:r>
      <w:bookmarkStart w:name="_bookmark1179" w:id="2916"/>
      <w:bookmarkEnd w:id="2916"/>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2 Voltage fluctuations (clause S5." w:id="2917"/>
      <w:bookmarkEnd w:id="2917"/>
      <w:r>
        <w:rPr>
          <w:b w:val="0"/>
        </w:rPr>
      </w:r>
      <w:bookmarkStart w:name="_bookmark1180" w:id="2918"/>
      <w:bookmarkEnd w:id="2918"/>
      <w:r>
        <w:rPr>
          <w:b w:val="0"/>
        </w:rPr>
      </w:r>
      <w:bookmarkStart w:name="_bookmark1180" w:id="2919"/>
      <w:bookmarkEnd w:id="2919"/>
      <w:r>
        <w:rPr/>
        <w:t>Voltage</w:t>
      </w:r>
      <w:r>
        <w:rPr/>
        <w:t> fluctuations (clause S5.1.5 of schedule</w:t>
      </w:r>
      <w:r>
        <w:rPr>
          <w:spacing w:val="-2"/>
        </w:rPr>
        <w:t> </w:t>
      </w:r>
      <w:r>
        <w:rPr/>
        <w:t>5.1)</w:t>
      </w:r>
    </w:p>
    <w:p>
      <w:pPr>
        <w:pStyle w:val="BodyText"/>
        <w:ind w:left="1352" w:right="416" w:firstLine="0"/>
      </w:pPr>
      <w:r>
        <w:rPr/>
        <w:t>For application in Queensland, clause S5.1.5 of schedule 5.1 of the </w:t>
      </w:r>
      <w:r>
        <w:rPr>
          <w:i/>
        </w:rPr>
        <w:t>Rules </w:t>
      </w:r>
      <w:r>
        <w:rPr/>
        <w:t>is replaced with the following:</w:t>
      </w:r>
    </w:p>
    <w:p>
      <w:pPr>
        <w:spacing w:before="120"/>
        <w:ind w:left="1352" w:right="415" w:firstLine="0"/>
        <w:jc w:val="both"/>
        <w:rPr>
          <w:sz w:val="24"/>
        </w:rPr>
      </w:pPr>
      <w:r>
        <w:rPr>
          <w:sz w:val="24"/>
        </w:rPr>
        <w:t>"A </w:t>
      </w:r>
      <w:r>
        <w:rPr>
          <w:i/>
          <w:sz w:val="24"/>
        </w:rPr>
        <w:t>Network Service Provider </w:t>
      </w:r>
      <w:r>
        <w:rPr>
          <w:sz w:val="24"/>
        </w:rPr>
        <w:t>whose </w:t>
      </w:r>
      <w:r>
        <w:rPr>
          <w:i/>
          <w:sz w:val="24"/>
        </w:rPr>
        <w:t>network </w:t>
      </w:r>
      <w:r>
        <w:rPr>
          <w:sz w:val="24"/>
        </w:rPr>
        <w:t>is a Queensland transmission network or a Queensland distribution network must include conditions in </w:t>
      </w:r>
      <w:r>
        <w:rPr>
          <w:i/>
          <w:sz w:val="24"/>
        </w:rPr>
        <w:t>connection agreements </w:t>
      </w:r>
      <w:r>
        <w:rPr>
          <w:sz w:val="24"/>
        </w:rPr>
        <w:t>in relation to the permissible variation with time of the power </w:t>
      </w:r>
      <w:r>
        <w:rPr>
          <w:i/>
          <w:sz w:val="24"/>
        </w:rPr>
        <w:t>generated </w:t>
      </w:r>
      <w:r>
        <w:rPr>
          <w:sz w:val="24"/>
        </w:rPr>
        <w:t>or </w:t>
      </w:r>
      <w:r>
        <w:rPr>
          <w:i/>
          <w:sz w:val="24"/>
        </w:rPr>
        <w:t>load </w:t>
      </w:r>
      <w:r>
        <w:rPr>
          <w:sz w:val="24"/>
        </w:rPr>
        <w:t>taken by a </w:t>
      </w:r>
      <w:r>
        <w:rPr>
          <w:i/>
          <w:sz w:val="24"/>
        </w:rPr>
        <w:t>Registered Participant </w:t>
      </w:r>
      <w:r>
        <w:rPr>
          <w:sz w:val="24"/>
        </w:rPr>
        <w:t>to ensure that other </w:t>
      </w:r>
      <w:r>
        <w:rPr>
          <w:i/>
          <w:sz w:val="24"/>
        </w:rPr>
        <w:t>Registered Participants </w:t>
      </w:r>
      <w:r>
        <w:rPr>
          <w:sz w:val="24"/>
        </w:rPr>
        <w:t>are supplied with a power-</w:t>
      </w:r>
      <w:r>
        <w:rPr>
          <w:i/>
          <w:sz w:val="24"/>
        </w:rPr>
        <w:t>frequency voltage </w:t>
      </w:r>
      <w:r>
        <w:rPr>
          <w:sz w:val="24"/>
        </w:rPr>
        <w:t>which fluctuates to an extent that is less than the limit defined by the "Threshold of Perceptibility" or the "Threshold of Irritability" as the case may be for the conditions specified in the paragraph below, in Figure 1 of </w:t>
      </w:r>
      <w:r>
        <w:rPr>
          <w:i/>
          <w:sz w:val="24"/>
        </w:rPr>
        <w:t>Australian Standard </w:t>
      </w:r>
      <w:r>
        <w:rPr>
          <w:sz w:val="24"/>
        </w:rPr>
        <w:t>AS2279, Part 4.</w:t>
      </w:r>
    </w:p>
    <w:p>
      <w:pPr>
        <w:spacing w:before="120"/>
        <w:ind w:left="1352" w:right="416" w:firstLine="0"/>
        <w:jc w:val="both"/>
        <w:rPr>
          <w:sz w:val="24"/>
        </w:rPr>
      </w:pPr>
      <w:r>
        <w:rPr>
          <w:sz w:val="24"/>
        </w:rPr>
        <w:t>A </w:t>
      </w:r>
      <w:r>
        <w:rPr>
          <w:i/>
          <w:sz w:val="24"/>
        </w:rPr>
        <w:t>Network Service Provider </w:t>
      </w:r>
      <w:r>
        <w:rPr>
          <w:sz w:val="24"/>
        </w:rPr>
        <w:t>whose </w:t>
      </w:r>
      <w:r>
        <w:rPr>
          <w:i/>
          <w:sz w:val="24"/>
        </w:rPr>
        <w:t>network </w:t>
      </w:r>
      <w:r>
        <w:rPr>
          <w:sz w:val="24"/>
        </w:rPr>
        <w:t>is a Queensland transmission network or a Queensland distribution network must ensure that </w:t>
      </w:r>
      <w:r>
        <w:rPr>
          <w:i/>
          <w:sz w:val="24"/>
        </w:rPr>
        <w:t>voltage </w:t>
      </w:r>
      <w:r>
        <w:rPr>
          <w:sz w:val="24"/>
        </w:rPr>
        <w:t>fluctuations caused by the switching or operation of </w:t>
      </w:r>
      <w:r>
        <w:rPr>
          <w:i/>
          <w:sz w:val="24"/>
        </w:rPr>
        <w:t>network plant </w:t>
      </w:r>
      <w:r>
        <w:rPr>
          <w:sz w:val="24"/>
        </w:rPr>
        <w:t>does not exceed the following amounts referenced to Figure 1 of </w:t>
      </w:r>
      <w:r>
        <w:rPr>
          <w:i/>
          <w:sz w:val="24"/>
        </w:rPr>
        <w:t>Australian Standard </w:t>
      </w:r>
      <w:r>
        <w:rPr>
          <w:sz w:val="24"/>
        </w:rPr>
        <w:t>AS 2279, Part 4:</w:t>
      </w:r>
    </w:p>
    <w:p>
      <w:pPr>
        <w:pStyle w:val="ListParagraph"/>
        <w:numPr>
          <w:ilvl w:val="0"/>
          <w:numId w:val="694"/>
        </w:numPr>
        <w:tabs>
          <w:tab w:pos="1919" w:val="left" w:leader="none"/>
        </w:tabs>
        <w:spacing w:line="240" w:lineRule="auto" w:before="120" w:after="0"/>
        <w:ind w:left="1918" w:right="0" w:hanging="567"/>
        <w:jc w:val="both"/>
        <w:rPr>
          <w:sz w:val="24"/>
        </w:rPr>
      </w:pPr>
      <w:r>
        <w:rPr>
          <w:sz w:val="24"/>
        </w:rPr>
        <w:t>Above 66kV:</w:t>
      </w:r>
    </w:p>
    <w:p>
      <w:pPr>
        <w:pStyle w:val="ListParagraph"/>
        <w:numPr>
          <w:ilvl w:val="1"/>
          <w:numId w:val="694"/>
        </w:numPr>
        <w:tabs>
          <w:tab w:pos="2486" w:val="left" w:leader="none"/>
        </w:tabs>
        <w:spacing w:line="240" w:lineRule="auto" w:before="120" w:after="0"/>
        <w:ind w:left="2486" w:right="417" w:hanging="567"/>
        <w:jc w:val="both"/>
        <w:rPr>
          <w:sz w:val="24"/>
        </w:rPr>
      </w:pPr>
      <w:r>
        <w:rPr>
          <w:sz w:val="24"/>
        </w:rPr>
        <w:t>the "Threshold of Perceptibility" when all </w:t>
      </w:r>
      <w:r>
        <w:rPr>
          <w:i/>
          <w:sz w:val="24"/>
        </w:rPr>
        <w:t>network plant </w:t>
      </w:r>
      <w:r>
        <w:rPr>
          <w:sz w:val="24"/>
        </w:rPr>
        <w:t>is in service; and</w:t>
      </w:r>
    </w:p>
    <w:p>
      <w:pPr>
        <w:pStyle w:val="ListParagraph"/>
        <w:numPr>
          <w:ilvl w:val="1"/>
          <w:numId w:val="694"/>
        </w:numPr>
        <w:tabs>
          <w:tab w:pos="2487" w:val="left" w:leader="none"/>
        </w:tabs>
        <w:spacing w:line="240" w:lineRule="auto" w:before="120" w:after="0"/>
        <w:ind w:left="2486" w:right="0" w:hanging="568"/>
        <w:jc w:val="both"/>
        <w:rPr>
          <w:i/>
          <w:sz w:val="24"/>
        </w:rPr>
      </w:pPr>
      <w:r>
        <w:rPr>
          <w:sz w:val="24"/>
        </w:rPr>
        <w:t>the</w:t>
      </w:r>
      <w:r>
        <w:rPr>
          <w:spacing w:val="29"/>
          <w:sz w:val="24"/>
        </w:rPr>
        <w:t> </w:t>
      </w:r>
      <w:r>
        <w:rPr>
          <w:sz w:val="24"/>
        </w:rPr>
        <w:t>"Threshold</w:t>
      </w:r>
      <w:r>
        <w:rPr>
          <w:spacing w:val="30"/>
          <w:sz w:val="24"/>
        </w:rPr>
        <w:t> </w:t>
      </w:r>
      <w:r>
        <w:rPr>
          <w:sz w:val="24"/>
        </w:rPr>
        <w:t>of</w:t>
      </w:r>
      <w:r>
        <w:rPr>
          <w:spacing w:val="30"/>
          <w:sz w:val="24"/>
        </w:rPr>
        <w:t> </w:t>
      </w:r>
      <w:r>
        <w:rPr>
          <w:sz w:val="24"/>
        </w:rPr>
        <w:t>Irritability"</w:t>
      </w:r>
      <w:r>
        <w:rPr>
          <w:spacing w:val="30"/>
          <w:sz w:val="24"/>
        </w:rPr>
        <w:t> </w:t>
      </w:r>
      <w:r>
        <w:rPr>
          <w:sz w:val="24"/>
        </w:rPr>
        <w:t>during</w:t>
      </w:r>
      <w:r>
        <w:rPr>
          <w:spacing w:val="29"/>
          <w:sz w:val="24"/>
        </w:rPr>
        <w:t> </w:t>
      </w:r>
      <w:r>
        <w:rPr>
          <w:sz w:val="24"/>
        </w:rPr>
        <w:t>any</w:t>
      </w:r>
      <w:r>
        <w:rPr>
          <w:spacing w:val="30"/>
          <w:sz w:val="24"/>
        </w:rPr>
        <w:t> </w:t>
      </w:r>
      <w:r>
        <w:rPr>
          <w:i/>
          <w:sz w:val="24"/>
        </w:rPr>
        <w:t>credible</w:t>
      </w:r>
      <w:r>
        <w:rPr>
          <w:i/>
          <w:spacing w:val="30"/>
          <w:sz w:val="24"/>
        </w:rPr>
        <w:t> </w:t>
      </w:r>
      <w:r>
        <w:rPr>
          <w:i/>
          <w:sz w:val="24"/>
        </w:rPr>
        <w:t>contingency</w:t>
      </w:r>
      <w:r>
        <w:rPr>
          <w:i/>
          <w:spacing w:val="30"/>
          <w:sz w:val="24"/>
        </w:rPr>
        <w:t> </w:t>
      </w:r>
      <w:r>
        <w:rPr>
          <w:i/>
          <w:sz w:val="24"/>
        </w:rPr>
        <w:t>event</w:t>
      </w:r>
    </w:p>
    <w:p>
      <w:pPr>
        <w:pStyle w:val="BodyText"/>
        <w:spacing w:before="0"/>
        <w:ind w:left="2486" w:firstLine="0"/>
      </w:pPr>
      <w:r>
        <w:rPr/>
        <w:t>which is reasonably expected to be of short duration;</w:t>
      </w:r>
    </w:p>
    <w:p>
      <w:pPr>
        <w:pStyle w:val="ListParagraph"/>
        <w:numPr>
          <w:ilvl w:val="0"/>
          <w:numId w:val="694"/>
        </w:numPr>
        <w:tabs>
          <w:tab w:pos="1919" w:val="left" w:leader="none"/>
        </w:tabs>
        <w:spacing w:line="240" w:lineRule="auto" w:before="120" w:after="0"/>
        <w:ind w:left="1919" w:right="416" w:hanging="567"/>
        <w:jc w:val="both"/>
        <w:rPr>
          <w:sz w:val="24"/>
        </w:rPr>
      </w:pPr>
      <w:r>
        <w:rPr>
          <w:sz w:val="24"/>
        </w:rPr>
        <w:t>66kV and below: the "Threshold of Irritability" when all </w:t>
      </w:r>
      <w:r>
        <w:rPr>
          <w:i/>
          <w:sz w:val="24"/>
        </w:rPr>
        <w:t>network plant </w:t>
      </w:r>
      <w:r>
        <w:rPr>
          <w:sz w:val="24"/>
        </w:rPr>
        <w:t>is in service.</w:t>
      </w:r>
    </w:p>
    <w:p>
      <w:pPr>
        <w:pStyle w:val="BodyText"/>
        <w:ind w:left="1352" w:right="414" w:firstLine="0"/>
      </w:pPr>
      <w:r>
        <w:rPr/>
        <w:t>The requirements of paragraphs (1) and (2) above do not apply to events such as switching of </w:t>
      </w:r>
      <w:r>
        <w:rPr>
          <w:i/>
        </w:rPr>
        <w:t>network plant </w:t>
      </w:r>
      <w:r>
        <w:rPr/>
        <w:t>to or from an abnormal state or to </w:t>
      </w:r>
      <w:r>
        <w:rPr>
          <w:i/>
        </w:rPr>
        <w:t>network </w:t>
      </w:r>
      <w:r>
        <w:rPr/>
        <w:t>faults which occur infrequently (ie. less than one event per</w:t>
      </w:r>
      <w:r>
        <w:rPr>
          <w:spacing w:val="-4"/>
        </w:rPr>
        <w:t> </w:t>
      </w:r>
      <w:r>
        <w:rPr/>
        <w:t>day).</w:t>
      </w:r>
    </w:p>
    <w:p>
      <w:pPr>
        <w:pStyle w:val="BodyText"/>
        <w:ind w:left="1352" w:right="415" w:firstLine="0"/>
      </w:pPr>
      <w:r>
        <w:rPr/>
        <w:t>Where the </w:t>
      </w:r>
      <w:r>
        <w:rPr>
          <w:i/>
        </w:rPr>
        <w:t>Rules </w:t>
      </w:r>
      <w:r>
        <w:rPr/>
        <w:t>(other than this Part E) refer to clause S5.1.5(a) or (b) of schedule 5.1 of the </w:t>
      </w:r>
      <w:r>
        <w:rPr>
          <w:i/>
        </w:rPr>
        <w:t>Rules </w:t>
      </w:r>
      <w:r>
        <w:rPr/>
        <w:t>then, in so far as that reference relates to a </w:t>
      </w:r>
      <w:r>
        <w:rPr>
          <w:i/>
        </w:rPr>
        <w:t>Network </w:t>
      </w:r>
      <w:r>
        <w:rPr>
          <w:i/>
        </w:rPr>
        <w:t>Service Provider </w:t>
      </w:r>
      <w:r>
        <w:rPr/>
        <w:t>whose </w:t>
      </w:r>
      <w:r>
        <w:rPr>
          <w:i/>
        </w:rPr>
        <w:t>network </w:t>
      </w:r>
      <w:r>
        <w:rPr/>
        <w:t>is a Queensland transmission network or a Queensland distribution network or to a </w:t>
      </w:r>
      <w:r>
        <w:rPr>
          <w:i/>
        </w:rPr>
        <w:t>network </w:t>
      </w:r>
      <w:r>
        <w:rPr/>
        <w:t>which is a Queensland transmission network or a Queensland distribution network, that reference must  be construed as a reference to the immediately preceding</w:t>
      </w:r>
      <w:r>
        <w:rPr>
          <w:spacing w:val="-3"/>
        </w:rPr>
        <w:t> </w:t>
      </w:r>
      <w:r>
        <w:rPr/>
        <w:t>paragraph.</w:t>
      </w:r>
    </w:p>
    <w:p>
      <w:pPr>
        <w:spacing w:before="120"/>
        <w:ind w:left="1352" w:right="415" w:firstLine="0"/>
        <w:jc w:val="both"/>
        <w:rPr>
          <w:sz w:val="24"/>
        </w:rPr>
      </w:pPr>
      <w:r>
        <w:rPr>
          <w:sz w:val="24"/>
        </w:rPr>
        <w:t>A </w:t>
      </w:r>
      <w:r>
        <w:rPr>
          <w:i/>
          <w:sz w:val="24"/>
        </w:rPr>
        <w:t>Network Service Provider </w:t>
      </w:r>
      <w:r>
        <w:rPr>
          <w:sz w:val="24"/>
        </w:rPr>
        <w:t>whose </w:t>
      </w:r>
      <w:r>
        <w:rPr>
          <w:i/>
          <w:sz w:val="24"/>
        </w:rPr>
        <w:t>network </w:t>
      </w:r>
      <w:r>
        <w:rPr>
          <w:sz w:val="24"/>
        </w:rPr>
        <w:t>is a Queensland transmission network or a Queensland distribution network is responsible only for excursions in </w:t>
      </w:r>
      <w:r>
        <w:rPr>
          <w:i/>
          <w:sz w:val="24"/>
        </w:rPr>
        <w:t>voltage </w:t>
      </w:r>
      <w:r>
        <w:rPr>
          <w:sz w:val="24"/>
        </w:rPr>
        <w:t>fluctuations outside the range defined in the first two paragraphs of this clause S5.1.5 caused by </w:t>
      </w:r>
      <w:r>
        <w:rPr>
          <w:i/>
          <w:sz w:val="24"/>
        </w:rPr>
        <w:t>network plant </w:t>
      </w:r>
      <w:r>
        <w:rPr>
          <w:sz w:val="24"/>
        </w:rPr>
        <w:t>and the pursuit of all reasonable measures available under the </w:t>
      </w:r>
      <w:r>
        <w:rPr>
          <w:i/>
          <w:sz w:val="24"/>
        </w:rPr>
        <w:t>Rules </w:t>
      </w:r>
      <w:r>
        <w:rPr>
          <w:sz w:val="24"/>
        </w:rPr>
        <w:t>to remedy the situation in respect of </w:t>
      </w:r>
      <w:r>
        <w:rPr>
          <w:i/>
          <w:sz w:val="24"/>
        </w:rPr>
        <w:t>Registered </w:t>
      </w:r>
      <w:r>
        <w:rPr>
          <w:i/>
          <w:sz w:val="24"/>
        </w:rPr>
        <w:t>Participants </w:t>
      </w:r>
      <w:r>
        <w:rPr>
          <w:sz w:val="24"/>
        </w:rPr>
        <w:t>whose </w:t>
      </w:r>
      <w:r>
        <w:rPr>
          <w:i/>
          <w:sz w:val="24"/>
        </w:rPr>
        <w:t>plant </w:t>
      </w:r>
      <w:r>
        <w:rPr>
          <w:sz w:val="24"/>
        </w:rPr>
        <w:t>does not perform to the standards defined by clause S5.2.5.2(c) of schedule 5.2 of the </w:t>
      </w:r>
      <w:r>
        <w:rPr>
          <w:i/>
          <w:sz w:val="24"/>
        </w:rPr>
        <w:t>Rules </w:t>
      </w:r>
      <w:r>
        <w:rPr>
          <w:sz w:val="24"/>
        </w:rPr>
        <w:t>for </w:t>
      </w:r>
      <w:r>
        <w:rPr>
          <w:i/>
          <w:sz w:val="24"/>
        </w:rPr>
        <w:t>Generators</w:t>
      </w:r>
      <w:r>
        <w:rPr>
          <w:sz w:val="24"/>
        </w:rPr>
        <w:t>, the standards set out in the first paragraph below for </w:t>
      </w:r>
      <w:r>
        <w:rPr>
          <w:i/>
          <w:sz w:val="24"/>
        </w:rPr>
        <w:t>Customers </w:t>
      </w:r>
      <w:r>
        <w:rPr>
          <w:sz w:val="24"/>
        </w:rPr>
        <w:t>and the standards set out in the second paragraph below for </w:t>
      </w:r>
      <w:r>
        <w:rPr>
          <w:i/>
          <w:sz w:val="24"/>
        </w:rPr>
        <w:t>Market Network Service</w:t>
      </w:r>
      <w:r>
        <w:rPr>
          <w:i/>
          <w:spacing w:val="-1"/>
          <w:sz w:val="24"/>
        </w:rPr>
        <w:t> </w:t>
      </w:r>
      <w:r>
        <w:rPr>
          <w:i/>
          <w:sz w:val="24"/>
        </w:rPr>
        <w:t>Providers</w:t>
      </w:r>
      <w:r>
        <w:rPr>
          <w:sz w:val="24"/>
        </w:rPr>
        <w:t>.</w:t>
      </w:r>
    </w:p>
    <w:p>
      <w:pPr>
        <w:spacing w:before="120"/>
        <w:ind w:left="1352" w:right="413" w:firstLine="0"/>
        <w:jc w:val="both"/>
        <w:rPr>
          <w:sz w:val="24"/>
        </w:rPr>
      </w:pPr>
      <w:r>
        <w:rPr>
          <w:sz w:val="24"/>
        </w:rPr>
        <w:t>Each </w:t>
      </w:r>
      <w:r>
        <w:rPr>
          <w:i/>
          <w:sz w:val="24"/>
        </w:rPr>
        <w:t>Customer </w:t>
      </w:r>
      <w:r>
        <w:rPr>
          <w:sz w:val="24"/>
        </w:rPr>
        <w:t>must ensure that variations in current at each of its </w:t>
      </w:r>
      <w:r>
        <w:rPr>
          <w:i/>
          <w:sz w:val="24"/>
        </w:rPr>
        <w:t>connection </w:t>
      </w:r>
      <w:r>
        <w:rPr>
          <w:i/>
          <w:sz w:val="24"/>
        </w:rPr>
        <w:t>points </w:t>
      </w:r>
      <w:r>
        <w:rPr>
          <w:sz w:val="24"/>
        </w:rPr>
        <w:t>including those arising from the </w:t>
      </w:r>
      <w:r>
        <w:rPr>
          <w:i/>
          <w:sz w:val="24"/>
        </w:rPr>
        <w:t>energisation</w:t>
      </w:r>
      <w:r>
        <w:rPr>
          <w:sz w:val="24"/>
        </w:rPr>
        <w:t>, de-energisation or operation of any </w:t>
      </w:r>
      <w:r>
        <w:rPr>
          <w:i/>
          <w:sz w:val="24"/>
        </w:rPr>
        <w:t>plant </w:t>
      </w:r>
      <w:r>
        <w:rPr>
          <w:sz w:val="24"/>
        </w:rPr>
        <w:t>within or supplied from the </w:t>
      </w:r>
      <w:r>
        <w:rPr>
          <w:i/>
          <w:sz w:val="24"/>
        </w:rPr>
        <w:t>Customer's substation </w:t>
      </w:r>
      <w:r>
        <w:rPr>
          <w:sz w:val="24"/>
        </w:rPr>
        <w:t>are such that the</w:t>
      </w:r>
    </w:p>
    <w:p>
      <w:pPr>
        <w:spacing w:after="0"/>
        <w:jc w:val="both"/>
        <w:rPr>
          <w:sz w:val="24"/>
        </w:rPr>
        <w:sectPr>
          <w:pgSz w:w="11910" w:h="16840"/>
          <w:pgMar w:header="686" w:footer="637" w:top="1320" w:bottom="820" w:left="1200" w:right="1000"/>
        </w:sectPr>
      </w:pPr>
    </w:p>
    <w:p>
      <w:pPr>
        <w:pStyle w:val="BodyText"/>
        <w:spacing w:before="83"/>
        <w:ind w:left="1352" w:firstLine="0"/>
        <w:rPr>
          <w:i/>
        </w:rPr>
      </w:pPr>
      <w:r>
        <w:rPr/>
        <w:t>contribution to the magnitude and rate of occurrence of the resulting </w:t>
      </w:r>
      <w:r>
        <w:rPr>
          <w:i/>
        </w:rPr>
        <w:t>voltage</w:t>
      </w:r>
    </w:p>
    <w:p>
      <w:pPr>
        <w:pStyle w:val="BodyText"/>
        <w:spacing w:before="0"/>
        <w:ind w:left="1352" w:firstLine="0"/>
      </w:pPr>
      <w:r>
        <w:rPr/>
        <w:t>disturbance does not exceed the following limits:</w:t>
      </w:r>
    </w:p>
    <w:p>
      <w:pPr>
        <w:pStyle w:val="ListParagraph"/>
        <w:numPr>
          <w:ilvl w:val="0"/>
          <w:numId w:val="695"/>
        </w:numPr>
        <w:tabs>
          <w:tab w:pos="1919" w:val="left" w:leader="none"/>
        </w:tabs>
        <w:spacing w:line="240" w:lineRule="auto" w:before="120" w:after="0"/>
        <w:ind w:left="1919" w:right="415" w:hanging="567"/>
        <w:jc w:val="both"/>
        <w:rPr>
          <w:sz w:val="24"/>
        </w:rPr>
      </w:pPr>
      <w:r>
        <w:rPr>
          <w:sz w:val="24"/>
        </w:rPr>
        <w:t>where only one </w:t>
      </w:r>
      <w:r>
        <w:rPr>
          <w:i/>
          <w:sz w:val="24"/>
        </w:rPr>
        <w:t>Customer </w:t>
      </w:r>
      <w:r>
        <w:rPr>
          <w:sz w:val="24"/>
        </w:rPr>
        <w:t>has a </w:t>
      </w:r>
      <w:r>
        <w:rPr>
          <w:i/>
          <w:sz w:val="24"/>
        </w:rPr>
        <w:t>connection point </w:t>
      </w:r>
      <w:r>
        <w:rPr>
          <w:sz w:val="24"/>
        </w:rPr>
        <w:t>associated with the point of </w:t>
      </w:r>
      <w:r>
        <w:rPr>
          <w:i/>
          <w:sz w:val="24"/>
        </w:rPr>
        <w:t>supply</w:t>
      </w:r>
      <w:r>
        <w:rPr>
          <w:sz w:val="24"/>
        </w:rPr>
        <w:t>, the limit is 80% of the threshold of perceptibility set out in Figure 1 of </w:t>
      </w:r>
      <w:r>
        <w:rPr>
          <w:i/>
          <w:sz w:val="24"/>
        </w:rPr>
        <w:t>Australian Standard </w:t>
      </w:r>
      <w:r>
        <w:rPr>
          <w:sz w:val="24"/>
        </w:rPr>
        <w:t>AS2279, Part 4;</w:t>
      </w:r>
      <w:r>
        <w:rPr>
          <w:spacing w:val="-4"/>
          <w:sz w:val="24"/>
        </w:rPr>
        <w:t> </w:t>
      </w:r>
      <w:r>
        <w:rPr>
          <w:sz w:val="24"/>
        </w:rPr>
        <w:t>or</w:t>
      </w:r>
    </w:p>
    <w:p>
      <w:pPr>
        <w:pStyle w:val="ListParagraph"/>
        <w:numPr>
          <w:ilvl w:val="0"/>
          <w:numId w:val="695"/>
        </w:numPr>
        <w:tabs>
          <w:tab w:pos="1920" w:val="left" w:leader="none"/>
        </w:tabs>
        <w:spacing w:line="240" w:lineRule="auto" w:before="120" w:after="0"/>
        <w:ind w:left="1919" w:right="414" w:hanging="567"/>
        <w:jc w:val="both"/>
        <w:rPr>
          <w:sz w:val="24"/>
        </w:rPr>
      </w:pPr>
      <w:r>
        <w:rPr>
          <w:sz w:val="24"/>
        </w:rPr>
        <w:t>where two or more </w:t>
      </w:r>
      <w:r>
        <w:rPr>
          <w:i/>
          <w:sz w:val="24"/>
        </w:rPr>
        <w:t>Distribution Network Service Providers </w:t>
      </w:r>
      <w:r>
        <w:rPr>
          <w:sz w:val="24"/>
        </w:rPr>
        <w:t>or </w:t>
      </w:r>
      <w:r>
        <w:rPr>
          <w:i/>
          <w:sz w:val="24"/>
        </w:rPr>
        <w:t>Customers </w:t>
      </w:r>
      <w:r>
        <w:rPr>
          <w:sz w:val="24"/>
        </w:rPr>
        <w:t>causing </w:t>
      </w:r>
      <w:r>
        <w:rPr>
          <w:i/>
          <w:sz w:val="24"/>
        </w:rPr>
        <w:t>voltage </w:t>
      </w:r>
      <w:r>
        <w:rPr>
          <w:sz w:val="24"/>
        </w:rPr>
        <w:t>fluctuations have a </w:t>
      </w:r>
      <w:r>
        <w:rPr>
          <w:i/>
          <w:sz w:val="24"/>
        </w:rPr>
        <w:t>connection point </w:t>
      </w:r>
      <w:r>
        <w:rPr>
          <w:sz w:val="24"/>
        </w:rPr>
        <w:t>associated with a point of </w:t>
      </w:r>
      <w:r>
        <w:rPr>
          <w:i/>
          <w:sz w:val="24"/>
        </w:rPr>
        <w:t>supply</w:t>
      </w:r>
      <w:r>
        <w:rPr>
          <w:sz w:val="24"/>
        </w:rPr>
        <w:t>, the threshold of perceptibility limit is to be shared in a manner to be agreed between the </w:t>
      </w:r>
      <w:r>
        <w:rPr>
          <w:i/>
          <w:sz w:val="24"/>
        </w:rPr>
        <w:t>Distribution Network Service Provider </w:t>
      </w:r>
      <w:r>
        <w:rPr>
          <w:sz w:val="24"/>
        </w:rPr>
        <w:t>and the </w:t>
      </w:r>
      <w:r>
        <w:rPr>
          <w:i/>
          <w:sz w:val="24"/>
        </w:rPr>
        <w:t>Registered Participant </w:t>
      </w:r>
      <w:r>
        <w:rPr>
          <w:sz w:val="24"/>
        </w:rPr>
        <w:t>in accordance with </w:t>
      </w:r>
      <w:r>
        <w:rPr>
          <w:i/>
          <w:sz w:val="24"/>
        </w:rPr>
        <w:t>good electricity industry practice </w:t>
      </w:r>
      <w:r>
        <w:rPr>
          <w:sz w:val="24"/>
        </w:rPr>
        <w:t>that recognises the number of </w:t>
      </w:r>
      <w:r>
        <w:rPr>
          <w:i/>
          <w:sz w:val="24"/>
        </w:rPr>
        <w:t>Registered Participants </w:t>
      </w:r>
      <w:r>
        <w:rPr>
          <w:sz w:val="24"/>
        </w:rPr>
        <w:t>in the vicinity that may produce </w:t>
      </w:r>
      <w:r>
        <w:rPr>
          <w:i/>
          <w:sz w:val="24"/>
        </w:rPr>
        <w:t>voltage</w:t>
      </w:r>
      <w:r>
        <w:rPr>
          <w:i/>
          <w:spacing w:val="-2"/>
          <w:sz w:val="24"/>
        </w:rPr>
        <w:t> </w:t>
      </w:r>
      <w:r>
        <w:rPr>
          <w:sz w:val="24"/>
        </w:rPr>
        <w:t>fluctuations.</w:t>
      </w:r>
    </w:p>
    <w:p>
      <w:pPr>
        <w:spacing w:before="120"/>
        <w:ind w:left="1352" w:right="414" w:firstLine="0"/>
        <w:jc w:val="both"/>
        <w:rPr>
          <w:sz w:val="24"/>
        </w:rPr>
      </w:pPr>
      <w:r>
        <w:rPr>
          <w:sz w:val="24"/>
        </w:rPr>
        <w:t>Each </w:t>
      </w:r>
      <w:r>
        <w:rPr>
          <w:i/>
          <w:sz w:val="24"/>
        </w:rPr>
        <w:t>Market Network Service Provider </w:t>
      </w:r>
      <w:r>
        <w:rPr>
          <w:sz w:val="24"/>
        </w:rPr>
        <w:t>must ensure that variations in current at each of its </w:t>
      </w:r>
      <w:r>
        <w:rPr>
          <w:i/>
          <w:sz w:val="24"/>
        </w:rPr>
        <w:t>connection points </w:t>
      </w:r>
      <w:r>
        <w:rPr>
          <w:sz w:val="24"/>
        </w:rPr>
        <w:t>arising from the </w:t>
      </w:r>
      <w:r>
        <w:rPr>
          <w:i/>
          <w:sz w:val="24"/>
        </w:rPr>
        <w:t>energisation</w:t>
      </w:r>
      <w:r>
        <w:rPr>
          <w:sz w:val="24"/>
        </w:rPr>
        <w:t>, de-energisation or operation of any of its </w:t>
      </w:r>
      <w:r>
        <w:rPr>
          <w:i/>
          <w:sz w:val="24"/>
        </w:rPr>
        <w:t>plant </w:t>
      </w:r>
      <w:r>
        <w:rPr>
          <w:sz w:val="24"/>
        </w:rPr>
        <w:t>involved in the provision of </w:t>
      </w:r>
      <w:r>
        <w:rPr>
          <w:i/>
          <w:sz w:val="24"/>
        </w:rPr>
        <w:t>market network services </w:t>
      </w:r>
      <w:r>
        <w:rPr>
          <w:sz w:val="24"/>
        </w:rPr>
        <w:t>are such that the contribution to the magnitude and rate of occurrence of the resulting </w:t>
      </w:r>
      <w:r>
        <w:rPr>
          <w:i/>
          <w:sz w:val="24"/>
        </w:rPr>
        <w:t>voltage </w:t>
      </w:r>
      <w:r>
        <w:rPr>
          <w:sz w:val="24"/>
        </w:rPr>
        <w:t>disturbance does not exceed the following limits:</w:t>
      </w:r>
    </w:p>
    <w:p>
      <w:pPr>
        <w:pStyle w:val="ListParagraph"/>
        <w:numPr>
          <w:ilvl w:val="0"/>
          <w:numId w:val="696"/>
        </w:numPr>
        <w:tabs>
          <w:tab w:pos="1919" w:val="left" w:leader="none"/>
        </w:tabs>
        <w:spacing w:line="240" w:lineRule="auto" w:before="120" w:after="0"/>
        <w:ind w:left="1919" w:right="415" w:hanging="567"/>
        <w:jc w:val="both"/>
        <w:rPr>
          <w:sz w:val="24"/>
        </w:rPr>
      </w:pPr>
      <w:r>
        <w:rPr>
          <w:sz w:val="24"/>
        </w:rPr>
        <w:t>where only one </w:t>
      </w:r>
      <w:r>
        <w:rPr>
          <w:i/>
          <w:sz w:val="24"/>
        </w:rPr>
        <w:t>Market Network Service Provider </w:t>
      </w:r>
      <w:r>
        <w:rPr>
          <w:sz w:val="24"/>
        </w:rPr>
        <w:t>has a </w:t>
      </w:r>
      <w:r>
        <w:rPr>
          <w:i/>
          <w:sz w:val="24"/>
        </w:rPr>
        <w:t>connection </w:t>
      </w:r>
      <w:r>
        <w:rPr>
          <w:i/>
          <w:spacing w:val="-3"/>
          <w:sz w:val="24"/>
        </w:rPr>
        <w:t>point</w:t>
      </w:r>
      <w:r>
        <w:rPr>
          <w:i/>
          <w:spacing w:val="54"/>
          <w:sz w:val="24"/>
        </w:rPr>
        <w:t> </w:t>
      </w:r>
      <w:r>
        <w:rPr>
          <w:sz w:val="24"/>
        </w:rPr>
        <w:t>associated with the point of </w:t>
      </w:r>
      <w:r>
        <w:rPr>
          <w:i/>
          <w:sz w:val="24"/>
        </w:rPr>
        <w:t>supply</w:t>
      </w:r>
      <w:r>
        <w:rPr>
          <w:sz w:val="24"/>
        </w:rPr>
        <w:t>, the limit is 80% of the threshold of perceptibility set out in Figure 1 of </w:t>
      </w:r>
      <w:r>
        <w:rPr>
          <w:i/>
          <w:sz w:val="24"/>
        </w:rPr>
        <w:t>Australian Standard </w:t>
      </w:r>
      <w:r>
        <w:rPr>
          <w:sz w:val="24"/>
        </w:rPr>
        <w:t>AS2279, Part 4;</w:t>
      </w:r>
      <w:r>
        <w:rPr>
          <w:spacing w:val="-19"/>
          <w:sz w:val="24"/>
        </w:rPr>
        <w:t> </w:t>
      </w:r>
      <w:r>
        <w:rPr>
          <w:sz w:val="24"/>
        </w:rPr>
        <w:t>or</w:t>
      </w:r>
    </w:p>
    <w:p>
      <w:pPr>
        <w:pStyle w:val="ListParagraph"/>
        <w:numPr>
          <w:ilvl w:val="0"/>
          <w:numId w:val="696"/>
        </w:numPr>
        <w:tabs>
          <w:tab w:pos="1920" w:val="left" w:leader="none"/>
        </w:tabs>
        <w:spacing w:line="240" w:lineRule="auto" w:before="120" w:after="0"/>
        <w:ind w:left="1919" w:right="415" w:hanging="567"/>
        <w:jc w:val="both"/>
        <w:rPr>
          <w:sz w:val="24"/>
        </w:rPr>
      </w:pPr>
      <w:r>
        <w:rPr>
          <w:sz w:val="24"/>
        </w:rPr>
        <w:t>where two or more </w:t>
      </w:r>
      <w:r>
        <w:rPr>
          <w:i/>
          <w:sz w:val="24"/>
        </w:rPr>
        <w:t>Distribution Network Service Providers</w:t>
      </w:r>
      <w:r>
        <w:rPr>
          <w:sz w:val="24"/>
        </w:rPr>
        <w:t>, </w:t>
      </w:r>
      <w:r>
        <w:rPr>
          <w:i/>
          <w:sz w:val="24"/>
        </w:rPr>
        <w:t>Market </w:t>
      </w:r>
      <w:r>
        <w:rPr>
          <w:i/>
          <w:sz w:val="24"/>
        </w:rPr>
        <w:t>Network Service Providers </w:t>
      </w:r>
      <w:r>
        <w:rPr>
          <w:sz w:val="24"/>
        </w:rPr>
        <w:t>or </w:t>
      </w:r>
      <w:r>
        <w:rPr>
          <w:i/>
          <w:sz w:val="24"/>
        </w:rPr>
        <w:t>Customers </w:t>
      </w:r>
      <w:r>
        <w:rPr>
          <w:sz w:val="24"/>
        </w:rPr>
        <w:t>causing </w:t>
      </w:r>
      <w:r>
        <w:rPr>
          <w:i/>
          <w:sz w:val="24"/>
        </w:rPr>
        <w:t>voltage </w:t>
      </w:r>
      <w:r>
        <w:rPr>
          <w:sz w:val="24"/>
        </w:rPr>
        <w:t>fluctuations have a </w:t>
      </w:r>
      <w:r>
        <w:rPr>
          <w:i/>
          <w:sz w:val="24"/>
        </w:rPr>
        <w:t>connection point </w:t>
      </w:r>
      <w:r>
        <w:rPr>
          <w:sz w:val="24"/>
        </w:rPr>
        <w:t>associated with a point of </w:t>
      </w:r>
      <w:r>
        <w:rPr>
          <w:i/>
          <w:sz w:val="24"/>
        </w:rPr>
        <w:t>supply</w:t>
      </w:r>
      <w:r>
        <w:rPr>
          <w:sz w:val="24"/>
        </w:rPr>
        <w:t>, the threshold of perceptibility limit is to be shared in a manner to be agreed between the </w:t>
      </w:r>
      <w:r>
        <w:rPr>
          <w:i/>
          <w:sz w:val="24"/>
        </w:rPr>
        <w:t>Distribution Network Service Provider </w:t>
      </w:r>
      <w:r>
        <w:rPr>
          <w:sz w:val="24"/>
        </w:rPr>
        <w:t>and the </w:t>
      </w:r>
      <w:r>
        <w:rPr>
          <w:i/>
          <w:sz w:val="24"/>
        </w:rPr>
        <w:t>Registered Participant </w:t>
      </w:r>
      <w:r>
        <w:rPr>
          <w:sz w:val="24"/>
        </w:rPr>
        <w:t>in accordance with </w:t>
      </w:r>
      <w:r>
        <w:rPr>
          <w:i/>
          <w:sz w:val="24"/>
        </w:rPr>
        <w:t>good electricity industry practice </w:t>
      </w:r>
      <w:r>
        <w:rPr>
          <w:sz w:val="24"/>
        </w:rPr>
        <w:t>that recognises the number of </w:t>
      </w:r>
      <w:r>
        <w:rPr>
          <w:i/>
          <w:sz w:val="24"/>
        </w:rPr>
        <w:t>Registered Participants </w:t>
      </w:r>
      <w:r>
        <w:rPr>
          <w:sz w:val="24"/>
        </w:rPr>
        <w:t>in the vicinity that may produce </w:t>
      </w:r>
      <w:r>
        <w:rPr>
          <w:i/>
          <w:sz w:val="24"/>
        </w:rPr>
        <w:t>voltage </w:t>
      </w:r>
      <w:r>
        <w:rPr>
          <w:sz w:val="24"/>
        </w:rPr>
        <w:t>fluctuations.</w:t>
      </w:r>
    </w:p>
    <w:p>
      <w:pPr>
        <w:pStyle w:val="BodyText"/>
        <w:ind w:left="1352" w:right="415" w:firstLine="0"/>
      </w:pPr>
      <w:r>
        <w:rPr/>
        <w:t>For these purposes, references to </w:t>
      </w:r>
      <w:r>
        <w:rPr>
          <w:i/>
        </w:rPr>
        <w:t>Australian Standard </w:t>
      </w:r>
      <w:r>
        <w:rPr/>
        <w:t>AS2279 are references to that standard as it existed prior to it being superseded by AS/NZS 61000.3.7:2001."</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See clause 11.10.7.</w:t>
      </w:r>
    </w:p>
    <w:p>
      <w:pPr>
        <w:spacing w:after="0"/>
        <w:jc w:val="both"/>
        <w:rPr>
          <w:sz w:val="20"/>
        </w:rPr>
        <w:sectPr>
          <w:pgSz w:w="11910" w:h="16840"/>
          <w:pgMar w:header="686" w:footer="637" w:top="1320" w:bottom="820" w:left="1200" w:right="1000"/>
        </w:sectPr>
      </w:pPr>
    </w:p>
    <w:p>
      <w:pPr>
        <w:pStyle w:val="Heading4"/>
        <w:numPr>
          <w:ilvl w:val="2"/>
          <w:numId w:val="693"/>
        </w:numPr>
        <w:tabs>
          <w:tab w:pos="1351" w:val="left" w:leader="none"/>
          <w:tab w:pos="1352" w:val="left" w:leader="none"/>
        </w:tabs>
        <w:spacing w:line="240" w:lineRule="auto" w:before="83" w:after="0"/>
        <w:ind w:left="1351" w:right="0" w:hanging="1134"/>
        <w:jc w:val="left"/>
      </w:pPr>
      <w:bookmarkStart w:name="9.37.13 [Deleted]" w:id="2920"/>
      <w:bookmarkEnd w:id="2920"/>
      <w:r>
        <w:rPr>
          <w:b w:val="0"/>
        </w:rPr>
      </w:r>
      <w:bookmarkStart w:name="_bookmark1181" w:id="2921"/>
      <w:bookmarkEnd w:id="2921"/>
      <w:r>
        <w:rPr>
          <w:b w:val="0"/>
        </w:rPr>
      </w:r>
      <w:bookmarkStart w:name="_bookmark1181" w:id="2922"/>
      <w:bookmarkEnd w:id="2922"/>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4 [Deleted]" w:id="2923"/>
      <w:bookmarkEnd w:id="2923"/>
      <w:r>
        <w:rPr>
          <w:b w:val="0"/>
        </w:rPr>
      </w:r>
      <w:bookmarkStart w:name="_bookmark1182" w:id="2924"/>
      <w:bookmarkEnd w:id="2924"/>
      <w:r>
        <w:rPr>
          <w:b w:val="0"/>
        </w:rPr>
      </w:r>
      <w:bookmarkStart w:name="_bookmark1182" w:id="2925"/>
      <w:bookmarkEnd w:id="2925"/>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5 [Deleted]" w:id="2926"/>
      <w:bookmarkEnd w:id="2926"/>
      <w:r>
        <w:rPr>
          <w:b w:val="0"/>
        </w:rPr>
      </w:r>
      <w:bookmarkStart w:name="_bookmark1183" w:id="2927"/>
      <w:bookmarkEnd w:id="2927"/>
      <w:r>
        <w:rPr>
          <w:b w:val="0"/>
        </w:rPr>
      </w:r>
      <w:bookmarkStart w:name="_bookmark1183" w:id="2928"/>
      <w:bookmarkEnd w:id="2928"/>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6 [Deleted]" w:id="2929"/>
      <w:bookmarkEnd w:id="2929"/>
      <w:r>
        <w:rPr>
          <w:b w:val="0"/>
        </w:rPr>
      </w:r>
      <w:bookmarkStart w:name="_bookmark1184" w:id="2930"/>
      <w:bookmarkEnd w:id="2930"/>
      <w:r>
        <w:rPr>
          <w:b w:val="0"/>
        </w:rPr>
      </w:r>
      <w:bookmarkStart w:name="_bookmark1184" w:id="2931"/>
      <w:bookmarkEnd w:id="2931"/>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7 [Deleted]" w:id="2932"/>
      <w:bookmarkEnd w:id="2932"/>
      <w:r>
        <w:rPr>
          <w:b w:val="0"/>
        </w:rPr>
      </w:r>
      <w:bookmarkStart w:name="_bookmark1185" w:id="2933"/>
      <w:bookmarkEnd w:id="2933"/>
      <w:r>
        <w:rPr>
          <w:b w:val="0"/>
        </w:rPr>
      </w:r>
      <w:bookmarkStart w:name="_bookmark1185" w:id="2934"/>
      <w:bookmarkEnd w:id="2934"/>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18 [Deleted]" w:id="2935"/>
      <w:bookmarkEnd w:id="2935"/>
      <w:r>
        <w:rPr>
          <w:b w:val="0"/>
        </w:rPr>
      </w:r>
      <w:bookmarkStart w:name="_bookmark1186" w:id="2936"/>
      <w:bookmarkEnd w:id="2936"/>
      <w:r>
        <w:rPr>
          <w:b w:val="0"/>
        </w:rPr>
      </w:r>
      <w:bookmarkStart w:name="_bookmark1186" w:id="2937"/>
      <w:bookmarkEnd w:id="2937"/>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2" w:right="1444" w:hanging="1134"/>
        <w:jc w:val="left"/>
      </w:pPr>
      <w:bookmarkStart w:name="9.37.19 Generating unit response to dist" w:id="2938"/>
      <w:bookmarkEnd w:id="2938"/>
      <w:r>
        <w:rPr>
          <w:b w:val="0"/>
        </w:rPr>
      </w:r>
      <w:bookmarkStart w:name="_bookmark1187" w:id="2939"/>
      <w:bookmarkEnd w:id="2939"/>
      <w:r>
        <w:rPr>
          <w:b w:val="0"/>
        </w:rPr>
      </w:r>
      <w:bookmarkStart w:name="_bookmark1187" w:id="2940"/>
      <w:bookmarkEnd w:id="2940"/>
      <w:r>
        <w:rPr/>
        <w:t>Generating</w:t>
      </w:r>
      <w:r>
        <w:rPr/>
        <w:t> unit response to disturbances (clause S5.2.5.3 of schedule</w:t>
      </w:r>
      <w:r>
        <w:rPr>
          <w:spacing w:val="-2"/>
        </w:rPr>
        <w:t> </w:t>
      </w:r>
      <w:r>
        <w:rPr/>
        <w:t>5.2)</w:t>
      </w:r>
    </w:p>
    <w:p>
      <w:pPr>
        <w:pStyle w:val="ListParagraph"/>
        <w:numPr>
          <w:ilvl w:val="3"/>
          <w:numId w:val="693"/>
        </w:numPr>
        <w:tabs>
          <w:tab w:pos="1919" w:val="left" w:leader="none"/>
        </w:tabs>
        <w:spacing w:line="240" w:lineRule="auto" w:before="120" w:after="0"/>
        <w:ind w:left="1919" w:right="414" w:hanging="567"/>
        <w:jc w:val="both"/>
        <w:rPr>
          <w:sz w:val="24"/>
        </w:rPr>
      </w:pPr>
      <w:r>
        <w:rPr>
          <w:sz w:val="24"/>
        </w:rPr>
        <w:t>Despite the provisions of clause S5.2.5.3 of schedule 5.2 of the </w:t>
      </w:r>
      <w:r>
        <w:rPr>
          <w:i/>
          <w:sz w:val="24"/>
        </w:rPr>
        <w:t>Rules</w:t>
      </w:r>
      <w:r>
        <w:rPr>
          <w:sz w:val="24"/>
        </w:rPr>
        <w:t>, the </w:t>
      </w:r>
      <w:r>
        <w:rPr>
          <w:i/>
          <w:sz w:val="24"/>
        </w:rPr>
        <w:t>generating units </w:t>
      </w:r>
      <w:r>
        <w:rPr>
          <w:sz w:val="24"/>
        </w:rPr>
        <w:t>listed in the following table are not required to operate continuously outside the corresponding </w:t>
      </w:r>
      <w:r>
        <w:rPr>
          <w:i/>
          <w:sz w:val="24"/>
        </w:rPr>
        <w:t>frequency </w:t>
      </w:r>
      <w:r>
        <w:rPr>
          <w:sz w:val="24"/>
        </w:rPr>
        <w:t>band specified in column three of the following</w:t>
      </w:r>
      <w:r>
        <w:rPr>
          <w:spacing w:val="-1"/>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5"/>
        <w:gridCol w:w="2646"/>
        <w:gridCol w:w="2646"/>
      </w:tblGrid>
      <w:tr>
        <w:trPr>
          <w:trHeight w:val="395" w:hRule="atLeast"/>
        </w:trPr>
        <w:tc>
          <w:tcPr>
            <w:tcW w:w="264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Power station</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Generating units</w:t>
            </w:r>
          </w:p>
        </w:tc>
        <w:tc>
          <w:tcPr>
            <w:tcW w:w="2646"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Frequency band</w:t>
            </w:r>
          </w:p>
        </w:tc>
      </w:tr>
      <w:tr>
        <w:trPr>
          <w:trHeight w:val="515" w:hRule="atLeast"/>
        </w:trPr>
        <w:tc>
          <w:tcPr>
            <w:tcW w:w="2645" w:type="dxa"/>
            <w:tcBorders>
              <w:top w:val="single" w:sz="4" w:space="0" w:color="000000"/>
              <w:bottom w:val="single" w:sz="4" w:space="0" w:color="000000"/>
              <w:right w:val="single" w:sz="4" w:space="0" w:color="000000"/>
            </w:tcBorders>
          </w:tcPr>
          <w:p>
            <w:pPr>
              <w:pStyle w:val="TableParagraph"/>
              <w:ind w:left="40"/>
              <w:rPr>
                <w:sz w:val="24"/>
              </w:rPr>
            </w:pPr>
            <w:r>
              <w:rPr>
                <w:sz w:val="24"/>
              </w:rPr>
              <w:t>Gladstone</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Units 1 to 6</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47.5 Hz to 51.5 Hz</w:t>
            </w:r>
          </w:p>
        </w:tc>
      </w:tr>
      <w:tr>
        <w:trPr>
          <w:trHeight w:val="515" w:hRule="atLeast"/>
        </w:trPr>
        <w:tc>
          <w:tcPr>
            <w:tcW w:w="2645" w:type="dxa"/>
            <w:tcBorders>
              <w:top w:val="single" w:sz="4" w:space="0" w:color="000000"/>
              <w:bottom w:val="single" w:sz="4" w:space="0" w:color="000000"/>
              <w:right w:val="single" w:sz="4" w:space="0" w:color="000000"/>
            </w:tcBorders>
          </w:tcPr>
          <w:p>
            <w:pPr>
              <w:pStyle w:val="TableParagraph"/>
              <w:ind w:left="40"/>
              <w:rPr>
                <w:sz w:val="24"/>
              </w:rPr>
            </w:pPr>
            <w:r>
              <w:rPr>
                <w:sz w:val="24"/>
              </w:rPr>
              <w:t>Collinsville</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Units 1 to 4</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48.0 Hz to 51 Hz</w:t>
            </w:r>
          </w:p>
        </w:tc>
      </w:tr>
      <w:tr>
        <w:trPr>
          <w:trHeight w:val="515" w:hRule="atLeast"/>
        </w:trPr>
        <w:tc>
          <w:tcPr>
            <w:tcW w:w="2645" w:type="dxa"/>
            <w:tcBorders>
              <w:top w:val="single" w:sz="4" w:space="0" w:color="000000"/>
              <w:right w:val="single" w:sz="4" w:space="0" w:color="000000"/>
            </w:tcBorders>
          </w:tcPr>
          <w:p>
            <w:pPr>
              <w:pStyle w:val="TableParagraph"/>
              <w:ind w:left="40"/>
              <w:rPr>
                <w:sz w:val="24"/>
              </w:rPr>
            </w:pPr>
            <w:r>
              <w:rPr>
                <w:sz w:val="24"/>
              </w:rPr>
              <w:t>Collinsville</w:t>
            </w:r>
          </w:p>
        </w:tc>
        <w:tc>
          <w:tcPr>
            <w:tcW w:w="2646" w:type="dxa"/>
            <w:tcBorders>
              <w:top w:val="single" w:sz="4" w:space="0" w:color="000000"/>
              <w:left w:val="single" w:sz="4" w:space="0" w:color="000000"/>
              <w:right w:val="single" w:sz="4" w:space="0" w:color="000000"/>
            </w:tcBorders>
          </w:tcPr>
          <w:p>
            <w:pPr>
              <w:pStyle w:val="TableParagraph"/>
              <w:rPr>
                <w:sz w:val="24"/>
              </w:rPr>
            </w:pPr>
            <w:r>
              <w:rPr>
                <w:sz w:val="24"/>
              </w:rPr>
              <w:t>Unit 5</w:t>
            </w:r>
          </w:p>
        </w:tc>
        <w:tc>
          <w:tcPr>
            <w:tcW w:w="2646" w:type="dxa"/>
            <w:tcBorders>
              <w:top w:val="single" w:sz="4" w:space="0" w:color="000000"/>
              <w:left w:val="single" w:sz="4" w:space="0" w:color="000000"/>
              <w:right w:val="single" w:sz="4" w:space="0" w:color="000000"/>
            </w:tcBorders>
          </w:tcPr>
          <w:p>
            <w:pPr>
              <w:pStyle w:val="TableParagraph"/>
              <w:ind w:left="44"/>
              <w:rPr>
                <w:sz w:val="24"/>
              </w:rPr>
            </w:pPr>
            <w:r>
              <w:rPr>
                <w:sz w:val="24"/>
              </w:rPr>
              <w:t>48.0 Hz to 52 Hz</w:t>
            </w:r>
          </w:p>
        </w:tc>
      </w:tr>
    </w:tbl>
    <w:p>
      <w:pPr>
        <w:pStyle w:val="BodyText"/>
        <w:spacing w:before="5"/>
        <w:ind w:firstLine="0"/>
        <w:jc w:val="left"/>
        <w:rPr>
          <w:sz w:val="34"/>
        </w:rPr>
      </w:pPr>
    </w:p>
    <w:p>
      <w:pPr>
        <w:pStyle w:val="Heading4"/>
        <w:numPr>
          <w:ilvl w:val="3"/>
          <w:numId w:val="693"/>
        </w:numPr>
        <w:tabs>
          <w:tab w:pos="1980" w:val="left" w:leader="none"/>
        </w:tabs>
        <w:spacing w:line="240" w:lineRule="auto" w:before="0" w:after="0"/>
        <w:ind w:left="1979" w:right="0" w:hanging="628"/>
        <w:jc w:val="both"/>
        <w:rPr>
          <w:rFonts w:ascii="Times New Roman"/>
        </w:rPr>
      </w:pPr>
      <w:r>
        <w:rPr>
          <w:rFonts w:ascii="Times New Roman"/>
        </w:rPr>
        <w:t>[Deleted]</w:t>
      </w:r>
    </w:p>
    <w:p>
      <w:pPr>
        <w:tabs>
          <w:tab w:pos="1978" w:val="left" w:leader="none"/>
        </w:tabs>
        <w:spacing w:before="120"/>
        <w:ind w:left="1352" w:right="0" w:firstLine="0"/>
        <w:jc w:val="left"/>
        <w:rPr>
          <w:b/>
          <w:sz w:val="24"/>
        </w:rPr>
      </w:pPr>
      <w:r>
        <w:rPr>
          <w:sz w:val="24"/>
        </w:rPr>
        <w:t>(b1)</w:t>
        <w:tab/>
      </w:r>
      <w:r>
        <w:rPr>
          <w:b/>
          <w:sz w:val="24"/>
        </w:rPr>
        <w:t>[Deleted]</w:t>
      </w:r>
    </w:p>
    <w:p>
      <w:pPr>
        <w:pStyle w:val="BodyText"/>
        <w:spacing w:before="10"/>
        <w:ind w:firstLine="0"/>
        <w:jc w:val="left"/>
        <w:rPr>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20 [Deleted]" w:id="2941"/>
      <w:bookmarkEnd w:id="2941"/>
      <w:r>
        <w:rPr>
          <w:b w:val="0"/>
        </w:rPr>
      </w:r>
      <w:bookmarkStart w:name="_bookmark1188" w:id="2942"/>
      <w:bookmarkEnd w:id="2942"/>
      <w:r>
        <w:rPr>
          <w:b w:val="0"/>
        </w:rPr>
      </w:r>
      <w:bookmarkStart w:name="_bookmark1188" w:id="2943"/>
      <w:bookmarkEnd w:id="2943"/>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21 Excitation control system (claus" w:id="2944"/>
      <w:bookmarkEnd w:id="2944"/>
      <w:r>
        <w:rPr>
          <w:b w:val="0"/>
        </w:rPr>
      </w:r>
      <w:bookmarkStart w:name="_bookmark1189" w:id="2945"/>
      <w:bookmarkEnd w:id="2945"/>
      <w:r>
        <w:rPr>
          <w:b w:val="0"/>
        </w:rPr>
      </w:r>
      <w:bookmarkStart w:name="_bookmark1189" w:id="2946"/>
      <w:bookmarkEnd w:id="2946"/>
      <w:r>
        <w:rPr/>
        <w:t>Excitation</w:t>
      </w:r>
      <w:r>
        <w:rPr/>
        <w:t> control system (clause S.5.2.5.13 of schedule</w:t>
      </w:r>
      <w:r>
        <w:rPr>
          <w:spacing w:val="-6"/>
        </w:rPr>
        <w:t> </w:t>
      </w:r>
      <w:r>
        <w:rPr/>
        <w:t>5.2)</w:t>
      </w:r>
    </w:p>
    <w:p>
      <w:pPr>
        <w:pStyle w:val="ListParagraph"/>
        <w:numPr>
          <w:ilvl w:val="3"/>
          <w:numId w:val="693"/>
        </w:numPr>
        <w:tabs>
          <w:tab w:pos="1919" w:val="left" w:leader="none"/>
        </w:tabs>
        <w:spacing w:line="240" w:lineRule="auto" w:before="120" w:after="0"/>
        <w:ind w:left="1918" w:right="0" w:hanging="567"/>
        <w:jc w:val="both"/>
        <w:rPr>
          <w:sz w:val="24"/>
        </w:rPr>
      </w:pPr>
      <w:r>
        <w:rPr>
          <w:sz w:val="24"/>
        </w:rPr>
        <w:t>For each of the </w:t>
      </w:r>
      <w:r>
        <w:rPr>
          <w:i/>
          <w:sz w:val="24"/>
        </w:rPr>
        <w:t>generating units </w:t>
      </w:r>
      <w:r>
        <w:rPr>
          <w:sz w:val="24"/>
        </w:rPr>
        <w:t>listed in the following</w:t>
      </w:r>
      <w:r>
        <w:rPr>
          <w:spacing w:val="-1"/>
          <w:sz w:val="24"/>
        </w:rPr>
        <w:t> </w:t>
      </w:r>
      <w:r>
        <w:rPr>
          <w:sz w:val="24"/>
        </w:rPr>
        <w:t>table:</w:t>
      </w:r>
    </w:p>
    <w:p>
      <w:pPr>
        <w:pStyle w:val="ListParagraph"/>
        <w:numPr>
          <w:ilvl w:val="4"/>
          <w:numId w:val="693"/>
        </w:numPr>
        <w:tabs>
          <w:tab w:pos="2486" w:val="left" w:leader="none"/>
        </w:tabs>
        <w:spacing w:line="240" w:lineRule="auto" w:before="120" w:after="0"/>
        <w:ind w:left="2486" w:right="415" w:hanging="567"/>
        <w:jc w:val="both"/>
        <w:rPr>
          <w:sz w:val="24"/>
        </w:rPr>
      </w:pPr>
      <w:r>
        <w:rPr>
          <w:sz w:val="24"/>
        </w:rPr>
        <w:t>the application of clause S5.2.5.13(a) of schedule 5.2 of the </w:t>
      </w:r>
      <w:r>
        <w:rPr>
          <w:i/>
          <w:sz w:val="24"/>
        </w:rPr>
        <w:t>Rules </w:t>
      </w:r>
      <w:r>
        <w:rPr>
          <w:sz w:val="24"/>
        </w:rPr>
        <w:t>is modified by amending it to ensure that the short-time average </w:t>
      </w:r>
      <w:r>
        <w:rPr>
          <w:i/>
          <w:sz w:val="24"/>
        </w:rPr>
        <w:t>generating unit </w:t>
      </w:r>
      <w:r>
        <w:rPr>
          <w:sz w:val="24"/>
        </w:rPr>
        <w:t>stator </w:t>
      </w:r>
      <w:r>
        <w:rPr>
          <w:i/>
          <w:sz w:val="24"/>
        </w:rPr>
        <w:t>voltage </w:t>
      </w:r>
      <w:r>
        <w:rPr>
          <w:sz w:val="24"/>
        </w:rPr>
        <w:t>at highest rated power output level is  not required to be more than 5% above nominal stator </w:t>
      </w:r>
      <w:r>
        <w:rPr>
          <w:i/>
          <w:sz w:val="24"/>
        </w:rPr>
        <w:t>voltage</w:t>
      </w:r>
      <w:r>
        <w:rPr>
          <w:sz w:val="24"/>
        </w:rPr>
        <w:t>;</w:t>
      </w:r>
      <w:r>
        <w:rPr>
          <w:spacing w:val="-4"/>
          <w:sz w:val="24"/>
        </w:rPr>
        <w:t> </w:t>
      </w:r>
      <w:r>
        <w:rPr>
          <w:sz w:val="24"/>
        </w:rPr>
        <w:t>and</w:t>
      </w:r>
    </w:p>
    <w:p>
      <w:pPr>
        <w:pStyle w:val="ListParagraph"/>
        <w:numPr>
          <w:ilvl w:val="4"/>
          <w:numId w:val="693"/>
        </w:numPr>
        <w:tabs>
          <w:tab w:pos="2486" w:val="left" w:leader="none"/>
        </w:tabs>
        <w:spacing w:line="240" w:lineRule="auto" w:before="120" w:after="0"/>
        <w:ind w:left="2486" w:right="415" w:hanging="567"/>
        <w:jc w:val="both"/>
        <w:rPr>
          <w:sz w:val="24"/>
        </w:rPr>
      </w:pPr>
      <w:r>
        <w:rPr>
          <w:sz w:val="24"/>
        </w:rPr>
        <w:t>the application of clause S5.2.5.13(b) of schedule 5.2 of the </w:t>
      </w:r>
      <w:r>
        <w:rPr>
          <w:i/>
          <w:sz w:val="24"/>
        </w:rPr>
        <w:t>Rules </w:t>
      </w:r>
      <w:r>
        <w:rPr>
          <w:sz w:val="24"/>
        </w:rPr>
        <w:t>is modified by deleting the words "all operating conditions" and replacing them with the words "all normal operating conditions and any </w:t>
      </w:r>
      <w:r>
        <w:rPr>
          <w:i/>
          <w:sz w:val="24"/>
        </w:rPr>
        <w:t>credible contingency</w:t>
      </w:r>
      <w:r>
        <w:rPr>
          <w:i/>
          <w:spacing w:val="-1"/>
          <w:sz w:val="24"/>
        </w:rPr>
        <w:t> </w:t>
      </w:r>
      <w:r>
        <w:rPr>
          <w:i/>
          <w:sz w:val="24"/>
        </w:rPr>
        <w:t>event</w:t>
      </w:r>
      <w:r>
        <w:rPr>
          <w:sz w:val="24"/>
        </w:rPr>
        <w:t>".</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5"/>
        <w:gridCol w:w="3685"/>
      </w:tblGrid>
      <w:tr>
        <w:trPr>
          <w:trHeight w:val="395" w:hRule="atLeast"/>
        </w:trPr>
        <w:tc>
          <w:tcPr>
            <w:tcW w:w="36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Power station</w:t>
            </w:r>
          </w:p>
        </w:tc>
        <w:tc>
          <w:tcPr>
            <w:tcW w:w="3685"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Generating units</w:t>
            </w:r>
          </w:p>
        </w:tc>
      </w:tr>
      <w:tr>
        <w:trPr>
          <w:trHeight w:val="515" w:hRule="atLeast"/>
        </w:trPr>
        <w:tc>
          <w:tcPr>
            <w:tcW w:w="3685" w:type="dxa"/>
            <w:tcBorders>
              <w:top w:val="single" w:sz="4" w:space="0" w:color="000000"/>
              <w:bottom w:val="single" w:sz="4" w:space="0" w:color="000000"/>
              <w:right w:val="single" w:sz="4" w:space="0" w:color="000000"/>
            </w:tcBorders>
          </w:tcPr>
          <w:p>
            <w:pPr>
              <w:pStyle w:val="TableParagraph"/>
              <w:ind w:left="40"/>
              <w:rPr>
                <w:sz w:val="24"/>
              </w:rPr>
            </w:pPr>
            <w:r>
              <w:rPr>
                <w:sz w:val="24"/>
              </w:rPr>
              <w:t>Gladstone</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Units 1 to 6</w:t>
            </w:r>
          </w:p>
        </w:tc>
      </w:tr>
      <w:tr>
        <w:trPr>
          <w:trHeight w:val="515" w:hRule="atLeast"/>
        </w:trPr>
        <w:tc>
          <w:tcPr>
            <w:tcW w:w="3685" w:type="dxa"/>
            <w:tcBorders>
              <w:top w:val="single" w:sz="4" w:space="0" w:color="000000"/>
              <w:right w:val="single" w:sz="4" w:space="0" w:color="000000"/>
            </w:tcBorders>
          </w:tcPr>
          <w:p>
            <w:pPr>
              <w:pStyle w:val="TableParagraph"/>
              <w:ind w:left="40"/>
              <w:rPr>
                <w:sz w:val="24"/>
              </w:rPr>
            </w:pPr>
            <w:r>
              <w:rPr>
                <w:sz w:val="24"/>
              </w:rPr>
              <w:t>Collinsville</w:t>
            </w:r>
          </w:p>
        </w:tc>
        <w:tc>
          <w:tcPr>
            <w:tcW w:w="3685" w:type="dxa"/>
            <w:tcBorders>
              <w:top w:val="single" w:sz="4" w:space="0" w:color="000000"/>
              <w:left w:val="single" w:sz="4" w:space="0" w:color="000000"/>
              <w:right w:val="single" w:sz="4" w:space="0" w:color="000000"/>
            </w:tcBorders>
          </w:tcPr>
          <w:p>
            <w:pPr>
              <w:pStyle w:val="TableParagraph"/>
              <w:rPr>
                <w:sz w:val="24"/>
              </w:rPr>
            </w:pPr>
            <w:r>
              <w:rPr>
                <w:sz w:val="24"/>
              </w:rPr>
              <w:t>Units 1 to 5</w:t>
            </w:r>
          </w:p>
        </w:tc>
      </w:tr>
    </w:tbl>
    <w:p>
      <w:pPr>
        <w:spacing w:after="0"/>
        <w:rPr>
          <w:sz w:val="24"/>
        </w:rPr>
        <w:sectPr>
          <w:pgSz w:w="11910" w:h="16840"/>
          <w:pgMar w:header="686" w:footer="637" w:top="1320" w:bottom="820" w:left="1200" w:right="1000"/>
        </w:sectPr>
      </w:pPr>
    </w:p>
    <w:p>
      <w:pPr>
        <w:pStyle w:val="BodyText"/>
        <w:spacing w:before="0"/>
        <w:ind w:firstLine="0"/>
        <w:jc w:val="left"/>
        <w:rPr>
          <w:sz w:val="20"/>
        </w:rPr>
      </w:pPr>
    </w:p>
    <w:p>
      <w:pPr>
        <w:pStyle w:val="BodyText"/>
        <w:spacing w:before="7"/>
        <w:ind w:firstLine="0"/>
        <w:jc w:val="left"/>
        <w:rPr>
          <w:sz w:val="21"/>
        </w:rPr>
      </w:pPr>
    </w:p>
    <w:p>
      <w:pPr>
        <w:pStyle w:val="Heading4"/>
        <w:numPr>
          <w:ilvl w:val="3"/>
          <w:numId w:val="693"/>
        </w:numPr>
        <w:tabs>
          <w:tab w:pos="1980" w:val="left" w:leader="none"/>
        </w:tabs>
        <w:spacing w:line="240" w:lineRule="auto" w:before="1" w:after="0"/>
        <w:ind w:left="1979" w:right="0" w:hanging="628"/>
        <w:jc w:val="both"/>
        <w:rPr>
          <w:rFonts w:ascii="Times New Roman"/>
        </w:rPr>
      </w:pPr>
      <w:r>
        <w:rPr>
          <w:rFonts w:ascii="Times New Roman"/>
        </w:rPr>
        <w:t>[Deleted]</w:t>
      </w:r>
    </w:p>
    <w:p>
      <w:pPr>
        <w:pStyle w:val="ListParagraph"/>
        <w:numPr>
          <w:ilvl w:val="3"/>
          <w:numId w:val="693"/>
        </w:numPr>
        <w:tabs>
          <w:tab w:pos="1980" w:val="left" w:leader="none"/>
        </w:tabs>
        <w:spacing w:line="240" w:lineRule="auto" w:before="120" w:after="0"/>
        <w:ind w:left="1979" w:right="0" w:hanging="628"/>
        <w:jc w:val="both"/>
        <w:rPr>
          <w:b/>
          <w:sz w:val="24"/>
        </w:rPr>
      </w:pPr>
      <w:r>
        <w:rPr>
          <w:b/>
          <w:sz w:val="24"/>
        </w:rPr>
        <w:t>[Deleted]</w:t>
      </w:r>
    </w:p>
    <w:p>
      <w:pPr>
        <w:pStyle w:val="ListParagraph"/>
        <w:numPr>
          <w:ilvl w:val="3"/>
          <w:numId w:val="693"/>
        </w:numPr>
        <w:tabs>
          <w:tab w:pos="1919" w:val="left" w:leader="none"/>
        </w:tabs>
        <w:spacing w:line="240" w:lineRule="auto" w:before="120" w:after="0"/>
        <w:ind w:left="1919" w:right="415" w:hanging="567"/>
        <w:jc w:val="both"/>
        <w:rPr>
          <w:sz w:val="24"/>
        </w:rPr>
      </w:pPr>
      <w:r>
        <w:rPr>
          <w:sz w:val="24"/>
        </w:rPr>
        <w:t>For Collinsville Power Station, any variation to the minimum performance requirements specified in clause S5.2.5.13 of schedule 5.2 of the </w:t>
      </w:r>
      <w:r>
        <w:rPr>
          <w:i/>
          <w:sz w:val="24"/>
        </w:rPr>
        <w:t>Rules </w:t>
      </w:r>
      <w:r>
        <w:rPr>
          <w:sz w:val="24"/>
        </w:rPr>
        <w:t>is to be limited to figures agreed with the </w:t>
      </w:r>
      <w:r>
        <w:rPr>
          <w:i/>
          <w:sz w:val="24"/>
        </w:rPr>
        <w:t>Network Service Provider </w:t>
      </w:r>
      <w:r>
        <w:rPr>
          <w:sz w:val="24"/>
        </w:rPr>
        <w:t>to whose </w:t>
      </w:r>
      <w:r>
        <w:rPr>
          <w:i/>
          <w:sz w:val="24"/>
        </w:rPr>
        <w:t>network </w:t>
      </w:r>
      <w:r>
        <w:rPr>
          <w:sz w:val="24"/>
        </w:rPr>
        <w:t>the Collinsville Power Station is</w:t>
      </w:r>
      <w:r>
        <w:rPr>
          <w:spacing w:val="-1"/>
          <w:sz w:val="24"/>
        </w:rPr>
        <w:t> </w:t>
      </w:r>
      <w:r>
        <w:rPr>
          <w:i/>
          <w:sz w:val="24"/>
        </w:rPr>
        <w:t>connected</w:t>
      </w:r>
      <w:r>
        <w:rPr>
          <w:sz w:val="24"/>
        </w:rPr>
        <w:t>.</w:t>
      </w:r>
    </w:p>
    <w:p>
      <w:pPr>
        <w:pStyle w:val="ListParagraph"/>
        <w:numPr>
          <w:ilvl w:val="3"/>
          <w:numId w:val="693"/>
        </w:numPr>
        <w:tabs>
          <w:tab w:pos="1919" w:val="left" w:leader="none"/>
        </w:tabs>
        <w:spacing w:line="240" w:lineRule="auto" w:before="120" w:after="0"/>
        <w:ind w:left="1919" w:right="415" w:hanging="567"/>
        <w:jc w:val="both"/>
        <w:rPr>
          <w:sz w:val="24"/>
        </w:rPr>
      </w:pPr>
      <w:r>
        <w:rPr>
          <w:sz w:val="24"/>
        </w:rPr>
        <w:t>A </w:t>
      </w:r>
      <w:r>
        <w:rPr>
          <w:i/>
          <w:sz w:val="24"/>
        </w:rPr>
        <w:t>Generator </w:t>
      </w:r>
      <w:r>
        <w:rPr>
          <w:sz w:val="24"/>
        </w:rPr>
        <w:t>whose </w:t>
      </w:r>
      <w:r>
        <w:rPr>
          <w:i/>
          <w:sz w:val="24"/>
        </w:rPr>
        <w:t>generating unit </w:t>
      </w:r>
      <w:r>
        <w:rPr>
          <w:sz w:val="24"/>
        </w:rPr>
        <w:t>is situated in Queensland must ensure that each new </w:t>
      </w:r>
      <w:r>
        <w:rPr>
          <w:i/>
          <w:sz w:val="24"/>
        </w:rPr>
        <w:t>synchronous generating unit </w:t>
      </w:r>
      <w:r>
        <w:rPr>
          <w:sz w:val="24"/>
        </w:rPr>
        <w:t>of greater than 100MW is fitted with a </w:t>
      </w:r>
      <w:r>
        <w:rPr>
          <w:i/>
          <w:sz w:val="24"/>
        </w:rPr>
        <w:t>static excitation system </w:t>
      </w:r>
      <w:r>
        <w:rPr>
          <w:sz w:val="24"/>
        </w:rPr>
        <w:t>or some other </w:t>
      </w:r>
      <w:r>
        <w:rPr>
          <w:i/>
          <w:sz w:val="24"/>
        </w:rPr>
        <w:t>excitation control system </w:t>
      </w:r>
      <w:r>
        <w:rPr>
          <w:sz w:val="24"/>
        </w:rPr>
        <w:t>which will provide </w:t>
      </w:r>
      <w:r>
        <w:rPr>
          <w:i/>
          <w:sz w:val="24"/>
        </w:rPr>
        <w:t>voltage </w:t>
      </w:r>
      <w:r>
        <w:rPr>
          <w:sz w:val="24"/>
        </w:rPr>
        <w:t>regulation to within 0.5% of the selected setpoint value unless otherwise agreed with the relevant </w:t>
      </w:r>
      <w:r>
        <w:rPr>
          <w:i/>
          <w:sz w:val="24"/>
        </w:rPr>
        <w:t>Network Service</w:t>
      </w:r>
      <w:r>
        <w:rPr>
          <w:i/>
          <w:spacing w:val="-4"/>
          <w:sz w:val="24"/>
        </w:rPr>
        <w:t> </w:t>
      </w:r>
      <w:r>
        <w:rPr>
          <w:i/>
          <w:sz w:val="24"/>
        </w:rPr>
        <w:t>Provider</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See clause 11.10.7.</w:t>
      </w:r>
    </w:p>
    <w:p>
      <w:pPr>
        <w:pStyle w:val="BodyText"/>
        <w:spacing w:before="10"/>
        <w:ind w:firstLine="0"/>
        <w:jc w:val="left"/>
        <w:rPr>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22 [Deleted]" w:id="2947"/>
      <w:bookmarkEnd w:id="2947"/>
      <w:r>
        <w:rPr>
          <w:b w:val="0"/>
        </w:rPr>
      </w:r>
      <w:bookmarkStart w:name="_bookmark1190" w:id="2948"/>
      <w:bookmarkEnd w:id="2948"/>
      <w:r>
        <w:rPr>
          <w:b w:val="0"/>
        </w:rPr>
      </w:r>
      <w:bookmarkStart w:name="_bookmark1190" w:id="2949"/>
      <w:bookmarkEnd w:id="2949"/>
      <w:r>
        <w:rPr/>
        <w:t>[Deleted]</w:t>
      </w:r>
    </w:p>
    <w:p>
      <w:pPr>
        <w:pStyle w:val="BodyText"/>
        <w:spacing w:before="10"/>
        <w:ind w:firstLine="0"/>
        <w:jc w:val="left"/>
        <w:rPr>
          <w:rFonts w:ascii="Arial"/>
          <w:b/>
          <w:sz w:val="20"/>
        </w:rPr>
      </w:pPr>
    </w:p>
    <w:p>
      <w:pPr>
        <w:pStyle w:val="Heading4"/>
        <w:numPr>
          <w:ilvl w:val="2"/>
          <w:numId w:val="693"/>
        </w:numPr>
        <w:tabs>
          <w:tab w:pos="1351" w:val="left" w:leader="none"/>
          <w:tab w:pos="1352" w:val="left" w:leader="none"/>
        </w:tabs>
        <w:spacing w:line="240" w:lineRule="auto" w:before="0" w:after="0"/>
        <w:ind w:left="1351" w:right="0" w:hanging="1134"/>
        <w:jc w:val="left"/>
      </w:pPr>
      <w:bookmarkStart w:name="9.37.23 Annual forecast information for " w:id="2950"/>
      <w:bookmarkEnd w:id="2950"/>
      <w:r>
        <w:rPr>
          <w:b w:val="0"/>
        </w:rPr>
      </w:r>
      <w:bookmarkStart w:name="_bookmark1191" w:id="2951"/>
      <w:bookmarkEnd w:id="2951"/>
      <w:r>
        <w:rPr>
          <w:b w:val="0"/>
        </w:rPr>
      </w:r>
      <w:bookmarkStart w:name="_bookmark1191" w:id="2952"/>
      <w:bookmarkEnd w:id="2952"/>
      <w:r>
        <w:rPr/>
        <w:t>Annua</w:t>
      </w:r>
      <w:r>
        <w:rPr/>
        <w:t>l forecast information for planning purposes (schedule</w:t>
      </w:r>
      <w:r>
        <w:rPr>
          <w:spacing w:val="-9"/>
        </w:rPr>
        <w:t> </w:t>
      </w:r>
      <w:r>
        <w:rPr/>
        <w:t>5.7)</w:t>
      </w:r>
    </w:p>
    <w:p>
      <w:pPr>
        <w:spacing w:before="120"/>
        <w:ind w:left="1352" w:right="414" w:firstLine="0"/>
        <w:jc w:val="both"/>
        <w:rPr>
          <w:sz w:val="24"/>
        </w:rPr>
      </w:pPr>
      <w:r>
        <w:rPr>
          <w:sz w:val="24"/>
        </w:rPr>
        <w:t>Each </w:t>
      </w:r>
      <w:r>
        <w:rPr>
          <w:i/>
          <w:sz w:val="24"/>
        </w:rPr>
        <w:t>Registered Participant </w:t>
      </w:r>
      <w:r>
        <w:rPr>
          <w:sz w:val="24"/>
        </w:rPr>
        <w:t>that has a </w:t>
      </w:r>
      <w:r>
        <w:rPr>
          <w:i/>
          <w:sz w:val="24"/>
        </w:rPr>
        <w:t>connection point </w:t>
      </w:r>
      <w:r>
        <w:rPr>
          <w:sz w:val="24"/>
        </w:rPr>
        <w:t>to a Queensland </w:t>
      </w:r>
      <w:r>
        <w:rPr>
          <w:i/>
          <w:sz w:val="24"/>
        </w:rPr>
        <w:t>transmission network </w:t>
      </w:r>
      <w:r>
        <w:rPr>
          <w:sz w:val="24"/>
        </w:rPr>
        <w:t>must submit to the relevant Queensland </w:t>
      </w:r>
      <w:r>
        <w:rPr>
          <w:i/>
          <w:sz w:val="24"/>
        </w:rPr>
        <w:t>Transmission </w:t>
      </w:r>
      <w:r>
        <w:rPr>
          <w:i/>
          <w:sz w:val="24"/>
        </w:rPr>
        <w:t>Network Service Provider </w:t>
      </w:r>
      <w:r>
        <w:rPr>
          <w:sz w:val="24"/>
        </w:rPr>
        <w:t>a forecast of the annual </w:t>
      </w:r>
      <w:r>
        <w:rPr>
          <w:i/>
          <w:sz w:val="24"/>
        </w:rPr>
        <w:t>energy </w:t>
      </w:r>
      <w:r>
        <w:rPr>
          <w:sz w:val="24"/>
        </w:rPr>
        <w:t>consumption associated with each </w:t>
      </w:r>
      <w:r>
        <w:rPr>
          <w:i/>
          <w:sz w:val="24"/>
        </w:rPr>
        <w:t>connection point </w:t>
      </w:r>
      <w:r>
        <w:rPr>
          <w:sz w:val="24"/>
        </w:rPr>
        <w:t>together with the information set out in schedule 5.7 of the </w:t>
      </w:r>
      <w:r>
        <w:rPr>
          <w:i/>
          <w:sz w:val="24"/>
        </w:rPr>
        <w:t>Rules</w:t>
      </w:r>
      <w:r>
        <w:rPr>
          <w:sz w:val="24"/>
        </w:rPr>
        <w:t>.</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38 Transitional Arrangements for Chapt" w:id="2953"/>
      <w:bookmarkEnd w:id="2953"/>
      <w:r>
        <w:rPr>
          <w:b w:val="0"/>
        </w:rPr>
      </w:r>
      <w:bookmarkStart w:name="_bookmark1192" w:id="2954"/>
      <w:bookmarkEnd w:id="2954"/>
      <w:r>
        <w:rPr>
          <w:b w:val="0"/>
        </w:rPr>
      </w:r>
      <w:bookmarkStart w:name="_bookmark1192" w:id="2955"/>
      <w:bookmarkEnd w:id="2955"/>
      <w:r>
        <w:rPr/>
        <w:t>T</w:t>
      </w:r>
      <w:r>
        <w:rPr/>
        <w:t>ransitional Arrangements for Chapter 6 - Network</w:t>
      </w:r>
      <w:r>
        <w:rPr>
          <w:spacing w:val="-8"/>
        </w:rPr>
        <w:t> </w:t>
      </w:r>
      <w:r>
        <w:rPr/>
        <w:t>Pricing</w:t>
      </w:r>
    </w:p>
    <w:p>
      <w:pPr>
        <w:pStyle w:val="Heading4"/>
        <w:numPr>
          <w:ilvl w:val="2"/>
          <w:numId w:val="697"/>
        </w:numPr>
        <w:tabs>
          <w:tab w:pos="1351" w:val="left" w:leader="none"/>
          <w:tab w:pos="1352" w:val="left" w:leader="none"/>
        </w:tabs>
        <w:spacing w:line="240" w:lineRule="auto" w:before="240" w:after="0"/>
        <w:ind w:left="1351" w:right="0" w:hanging="1134"/>
        <w:jc w:val="left"/>
      </w:pPr>
      <w:bookmarkStart w:name="9.38.1 [Deleted]" w:id="2956"/>
      <w:bookmarkEnd w:id="2956"/>
      <w:r>
        <w:rPr>
          <w:b w:val="0"/>
        </w:rPr>
      </w:r>
      <w:bookmarkStart w:name="_bookmark1193" w:id="2957"/>
      <w:bookmarkEnd w:id="2957"/>
      <w:r>
        <w:rPr>
          <w:b w:val="0"/>
        </w:rPr>
      </w:r>
      <w:bookmarkStart w:name="_bookmark1193" w:id="2958"/>
      <w:bookmarkEnd w:id="2958"/>
      <w:r>
        <w:rPr/>
        <w:t>[Deleted]</w:t>
      </w:r>
    </w:p>
    <w:p>
      <w:pPr>
        <w:pStyle w:val="BodyText"/>
        <w:spacing w:before="10"/>
        <w:ind w:firstLine="0"/>
        <w:jc w:val="left"/>
        <w:rPr>
          <w:rFonts w:ascii="Arial"/>
          <w:b/>
          <w:sz w:val="20"/>
        </w:rPr>
      </w:pPr>
    </w:p>
    <w:p>
      <w:pPr>
        <w:pStyle w:val="Heading4"/>
        <w:numPr>
          <w:ilvl w:val="2"/>
          <w:numId w:val="697"/>
        </w:numPr>
        <w:tabs>
          <w:tab w:pos="1351" w:val="left" w:leader="none"/>
          <w:tab w:pos="1352" w:val="left" w:leader="none"/>
        </w:tabs>
        <w:spacing w:line="240" w:lineRule="auto" w:before="0" w:after="0"/>
        <w:ind w:left="1351" w:right="0" w:hanging="1134"/>
        <w:jc w:val="left"/>
      </w:pPr>
      <w:bookmarkStart w:name="9.38.2 [Deleted]" w:id="2959"/>
      <w:bookmarkEnd w:id="2959"/>
      <w:r>
        <w:rPr>
          <w:b w:val="0"/>
        </w:rPr>
      </w:r>
      <w:bookmarkStart w:name="_bookmark1194" w:id="2960"/>
      <w:bookmarkEnd w:id="2960"/>
      <w:r>
        <w:rPr>
          <w:b w:val="0"/>
        </w:rPr>
      </w:r>
      <w:bookmarkStart w:name="_bookmark1194" w:id="2961"/>
      <w:bookmarkEnd w:id="2961"/>
      <w:r>
        <w:rPr/>
        <w:t>[Deleted]</w:t>
      </w:r>
    </w:p>
    <w:p>
      <w:pPr>
        <w:pStyle w:val="BodyText"/>
        <w:spacing w:before="10"/>
        <w:ind w:firstLine="0"/>
        <w:jc w:val="left"/>
        <w:rPr>
          <w:rFonts w:ascii="Arial"/>
          <w:b/>
          <w:sz w:val="20"/>
        </w:rPr>
      </w:pPr>
    </w:p>
    <w:p>
      <w:pPr>
        <w:pStyle w:val="Heading4"/>
        <w:numPr>
          <w:ilvl w:val="2"/>
          <w:numId w:val="697"/>
        </w:numPr>
        <w:tabs>
          <w:tab w:pos="1351" w:val="left" w:leader="none"/>
          <w:tab w:pos="1352" w:val="left" w:leader="none"/>
        </w:tabs>
        <w:spacing w:line="240" w:lineRule="auto" w:before="0" w:after="0"/>
        <w:ind w:left="1351" w:right="0" w:hanging="1134"/>
        <w:jc w:val="left"/>
      </w:pPr>
      <w:bookmarkStart w:name="9.38.3 [Deleted]" w:id="2962"/>
      <w:bookmarkEnd w:id="2962"/>
      <w:r>
        <w:rPr>
          <w:b w:val="0"/>
        </w:rPr>
      </w:r>
      <w:bookmarkStart w:name="_bookmark1195" w:id="2963"/>
      <w:bookmarkEnd w:id="2963"/>
      <w:r>
        <w:rPr>
          <w:b w:val="0"/>
        </w:rPr>
      </w:r>
      <w:bookmarkStart w:name="_bookmark1195" w:id="2964"/>
      <w:bookmarkEnd w:id="2964"/>
      <w:r>
        <w:rPr/>
        <w:t>[Deleted]</w:t>
      </w:r>
    </w:p>
    <w:p>
      <w:pPr>
        <w:pStyle w:val="BodyText"/>
        <w:spacing w:before="10"/>
        <w:ind w:firstLine="0"/>
        <w:jc w:val="left"/>
        <w:rPr>
          <w:rFonts w:ascii="Arial"/>
          <w:b/>
          <w:sz w:val="20"/>
        </w:rPr>
      </w:pPr>
    </w:p>
    <w:p>
      <w:pPr>
        <w:pStyle w:val="Heading4"/>
        <w:numPr>
          <w:ilvl w:val="2"/>
          <w:numId w:val="697"/>
        </w:numPr>
        <w:tabs>
          <w:tab w:pos="1351" w:val="left" w:leader="none"/>
          <w:tab w:pos="1352" w:val="left" w:leader="none"/>
        </w:tabs>
        <w:spacing w:line="240" w:lineRule="auto" w:before="0" w:after="0"/>
        <w:ind w:left="1351" w:right="0" w:hanging="1134"/>
        <w:jc w:val="left"/>
      </w:pPr>
      <w:bookmarkStart w:name="9.38.4 Interconnectors between regions" w:id="2965"/>
      <w:bookmarkEnd w:id="2965"/>
      <w:r>
        <w:rPr>
          <w:b w:val="0"/>
        </w:rPr>
      </w:r>
      <w:bookmarkStart w:name="_bookmark1196" w:id="2966"/>
      <w:bookmarkEnd w:id="2966"/>
      <w:r>
        <w:rPr>
          <w:b w:val="0"/>
        </w:rPr>
      </w:r>
      <w:bookmarkStart w:name="_bookmark1196" w:id="2967"/>
      <w:bookmarkEnd w:id="2967"/>
      <w:r>
        <w:rPr/>
        <w:t>Interconnectors</w:t>
      </w:r>
      <w:r>
        <w:rPr/>
        <w:t> between</w:t>
      </w:r>
      <w:r>
        <w:rPr>
          <w:spacing w:val="-1"/>
        </w:rPr>
        <w:t> </w:t>
      </w:r>
      <w:r>
        <w:rPr/>
        <w:t>regions</w:t>
      </w:r>
    </w:p>
    <w:p>
      <w:pPr>
        <w:spacing w:before="120"/>
        <w:ind w:left="1352" w:right="415" w:firstLine="0"/>
        <w:jc w:val="both"/>
        <w:rPr>
          <w:sz w:val="24"/>
        </w:rPr>
      </w:pPr>
      <w:r>
        <w:rPr>
          <w:sz w:val="24"/>
        </w:rPr>
        <w:t>For the purposes of the </w:t>
      </w:r>
      <w:r>
        <w:rPr>
          <w:i/>
          <w:sz w:val="24"/>
        </w:rPr>
        <w:t>Rules</w:t>
      </w:r>
      <w:r>
        <w:rPr>
          <w:sz w:val="24"/>
        </w:rPr>
        <w:t>, the </w:t>
      </w:r>
      <w:r>
        <w:rPr>
          <w:i/>
          <w:sz w:val="24"/>
        </w:rPr>
        <w:t>interconnector </w:t>
      </w:r>
      <w:r>
        <w:rPr>
          <w:sz w:val="24"/>
        </w:rPr>
        <w:t>between Armidale in New South Wales and Tarong in Queensland, to the extent that it forms part of the Queensland system, is deemed to be a </w:t>
      </w:r>
      <w:r>
        <w:rPr>
          <w:i/>
          <w:sz w:val="24"/>
        </w:rPr>
        <w:t>regulated</w:t>
      </w:r>
      <w:r>
        <w:rPr>
          <w:i/>
          <w:spacing w:val="-9"/>
          <w:sz w:val="24"/>
        </w:rPr>
        <w:t> </w:t>
      </w:r>
      <w:r>
        <w:rPr>
          <w:i/>
          <w:sz w:val="24"/>
        </w:rPr>
        <w:t>interconnector</w:t>
      </w:r>
      <w:r>
        <w:rPr>
          <w:sz w:val="24"/>
        </w:rPr>
        <w:t>.</w:t>
      </w:r>
    </w:p>
    <w:p>
      <w:pPr>
        <w:pStyle w:val="BodyText"/>
        <w:spacing w:before="10"/>
        <w:ind w:firstLine="0"/>
        <w:jc w:val="left"/>
        <w:rPr>
          <w:sz w:val="20"/>
        </w:rPr>
      </w:pPr>
    </w:p>
    <w:p>
      <w:pPr>
        <w:pStyle w:val="Heading4"/>
        <w:numPr>
          <w:ilvl w:val="2"/>
          <w:numId w:val="697"/>
        </w:numPr>
        <w:tabs>
          <w:tab w:pos="1351" w:val="left" w:leader="none"/>
          <w:tab w:pos="1352" w:val="left" w:leader="none"/>
        </w:tabs>
        <w:spacing w:line="240" w:lineRule="auto" w:before="0" w:after="0"/>
        <w:ind w:left="1351" w:right="0" w:hanging="1134"/>
        <w:jc w:val="left"/>
      </w:pPr>
      <w:bookmarkStart w:name="9.38.5 Transmission pricing for exempted" w:id="2968"/>
      <w:bookmarkEnd w:id="2968"/>
      <w:r>
        <w:rPr>
          <w:b w:val="0"/>
        </w:rPr>
      </w:r>
      <w:bookmarkStart w:name="_bookmark1197" w:id="2969"/>
      <w:bookmarkEnd w:id="2969"/>
      <w:r>
        <w:rPr>
          <w:b w:val="0"/>
        </w:rPr>
      </w:r>
      <w:bookmarkStart w:name="_bookmark1197" w:id="2970"/>
      <w:bookmarkEnd w:id="2970"/>
      <w:r>
        <w:rPr/>
        <w:t>Transmission</w:t>
      </w:r>
      <w:r>
        <w:rPr/>
        <w:t> pricing for exempted generation</w:t>
      </w:r>
      <w:r>
        <w:rPr>
          <w:spacing w:val="-3"/>
        </w:rPr>
        <w:t> </w:t>
      </w:r>
      <w:r>
        <w:rPr/>
        <w:t>agreements</w:t>
      </w:r>
    </w:p>
    <w:p>
      <w:pPr>
        <w:pStyle w:val="ListParagraph"/>
        <w:numPr>
          <w:ilvl w:val="3"/>
          <w:numId w:val="697"/>
        </w:numPr>
        <w:tabs>
          <w:tab w:pos="1919" w:val="left" w:leader="none"/>
        </w:tabs>
        <w:spacing w:line="240" w:lineRule="auto" w:before="120" w:after="0"/>
        <w:ind w:left="1919" w:right="414" w:hanging="567"/>
        <w:jc w:val="both"/>
        <w:rPr>
          <w:sz w:val="24"/>
        </w:rPr>
      </w:pPr>
      <w:r>
        <w:rPr>
          <w:sz w:val="24"/>
        </w:rPr>
        <w:t>Notwithstanding the provisions of Chapter 6, the amounts payable for </w:t>
      </w:r>
      <w:r>
        <w:rPr>
          <w:i/>
          <w:sz w:val="24"/>
        </w:rPr>
        <w:t>transmission services </w:t>
      </w:r>
      <w:r>
        <w:rPr>
          <w:sz w:val="24"/>
        </w:rPr>
        <w:t>in respect of a </w:t>
      </w:r>
      <w:r>
        <w:rPr>
          <w:i/>
          <w:sz w:val="24"/>
        </w:rPr>
        <w:t>generating system </w:t>
      </w:r>
      <w:r>
        <w:rPr>
          <w:sz w:val="24"/>
        </w:rPr>
        <w:t>or a </w:t>
      </w:r>
      <w:r>
        <w:rPr>
          <w:i/>
          <w:sz w:val="24"/>
        </w:rPr>
        <w:t>load </w:t>
      </w:r>
      <w:r>
        <w:rPr>
          <w:sz w:val="24"/>
        </w:rPr>
        <w:t>the subject of an exempted generation agreement by a </w:t>
      </w:r>
      <w:r>
        <w:rPr>
          <w:i/>
          <w:sz w:val="24"/>
        </w:rPr>
        <w:t>Generator </w:t>
      </w:r>
      <w:r>
        <w:rPr>
          <w:sz w:val="24"/>
        </w:rPr>
        <w:t>or </w:t>
      </w:r>
      <w:r>
        <w:rPr>
          <w:i/>
          <w:sz w:val="24"/>
        </w:rPr>
        <w:t>Customer </w:t>
      </w:r>
      <w:r>
        <w:rPr>
          <w:sz w:val="24"/>
        </w:rPr>
        <w:t>which is referred to in an exempted generation agreement, or the relevant State Electricity Entity nominated pursuant to clause 9.34.6(a), as the case may be, will be the amounts payable under the </w:t>
      </w:r>
      <w:r>
        <w:rPr>
          <w:i/>
          <w:sz w:val="24"/>
        </w:rPr>
        <w:t>connection agreement </w:t>
      </w:r>
      <w:r>
        <w:rPr>
          <w:sz w:val="24"/>
        </w:rPr>
        <w:t>in respect of that </w:t>
      </w:r>
      <w:r>
        <w:rPr>
          <w:i/>
          <w:sz w:val="24"/>
        </w:rPr>
        <w:t>generating system </w:t>
      </w:r>
      <w:r>
        <w:rPr>
          <w:sz w:val="24"/>
        </w:rPr>
        <w:t>or</w:t>
      </w:r>
      <w:r>
        <w:rPr>
          <w:spacing w:val="-2"/>
          <w:sz w:val="24"/>
        </w:rPr>
        <w:t> </w:t>
      </w:r>
      <w:r>
        <w:rPr>
          <w:i/>
          <w:sz w:val="24"/>
        </w:rPr>
        <w:t>load</w:t>
      </w:r>
      <w:r>
        <w:rPr>
          <w:sz w:val="24"/>
        </w:rPr>
        <w:t>.</w:t>
      </w:r>
    </w:p>
    <w:p>
      <w:pPr>
        <w:pStyle w:val="ListParagraph"/>
        <w:numPr>
          <w:ilvl w:val="3"/>
          <w:numId w:val="697"/>
        </w:numPr>
        <w:tabs>
          <w:tab w:pos="1919" w:val="left" w:leader="none"/>
        </w:tabs>
        <w:spacing w:line="240" w:lineRule="auto" w:before="120" w:after="0"/>
        <w:ind w:left="1919" w:right="414" w:hanging="567"/>
        <w:jc w:val="both"/>
        <w:rPr>
          <w:sz w:val="24"/>
        </w:rPr>
      </w:pPr>
      <w:r>
        <w:rPr>
          <w:sz w:val="24"/>
        </w:rPr>
        <w:t>If the amounts payable for </w:t>
      </w:r>
      <w:r>
        <w:rPr>
          <w:i/>
          <w:sz w:val="24"/>
        </w:rPr>
        <w:t>transmission services </w:t>
      </w:r>
      <w:r>
        <w:rPr>
          <w:sz w:val="24"/>
        </w:rPr>
        <w:t>under clause</w:t>
      </w:r>
      <w:r>
        <w:rPr>
          <w:spacing w:val="35"/>
          <w:sz w:val="24"/>
        </w:rPr>
        <w:t> </w:t>
      </w:r>
      <w:r>
        <w:rPr>
          <w:sz w:val="24"/>
        </w:rPr>
        <w:t>9.38.5(a) differ to those that would have been payable if the amounts had</w:t>
      </w:r>
      <w:r>
        <w:rPr>
          <w:spacing w:val="29"/>
          <w:sz w:val="24"/>
        </w:rPr>
        <w:t> </w:t>
      </w:r>
      <w:r>
        <w:rPr>
          <w:sz w:val="24"/>
        </w:rPr>
        <w:t>been</w:t>
      </w:r>
    </w:p>
    <w:p>
      <w:pPr>
        <w:spacing w:after="0" w:line="240" w:lineRule="auto"/>
        <w:jc w:val="both"/>
        <w:rPr>
          <w:sz w:val="24"/>
        </w:rPr>
        <w:sectPr>
          <w:pgSz w:w="11910" w:h="16840"/>
          <w:pgMar w:header="686" w:footer="637" w:top="1320" w:bottom="820" w:left="1200" w:right="1000"/>
        </w:sectPr>
      </w:pPr>
    </w:p>
    <w:p>
      <w:pPr>
        <w:pStyle w:val="BodyText"/>
        <w:spacing w:before="83"/>
        <w:ind w:left="1919" w:right="414" w:firstLine="0"/>
      </w:pPr>
      <w:r>
        <w:rPr/>
        <w:t>calculated in accordance with the provisions of Chapter 6 (as modified by this clause 9.38) then the amount of that difference is to be recovered in accordance with clause 6.5.6(a).</w:t>
      </w:r>
    </w:p>
    <w:p>
      <w:pPr>
        <w:pStyle w:val="ListParagraph"/>
        <w:numPr>
          <w:ilvl w:val="3"/>
          <w:numId w:val="697"/>
        </w:numPr>
        <w:tabs>
          <w:tab w:pos="1919" w:val="left" w:leader="none"/>
        </w:tabs>
        <w:spacing w:line="240" w:lineRule="auto" w:before="120" w:after="0"/>
        <w:ind w:left="1919" w:right="415" w:hanging="567"/>
        <w:jc w:val="both"/>
        <w:rPr>
          <w:sz w:val="24"/>
        </w:rPr>
      </w:pPr>
      <w:r>
        <w:rPr>
          <w:sz w:val="24"/>
        </w:rPr>
        <w:t>For the purpose of clause 9.38.5(b), the amount of any difference is to be recovered from </w:t>
      </w:r>
      <w:r>
        <w:rPr>
          <w:i/>
          <w:sz w:val="24"/>
        </w:rPr>
        <w:t>Transmission Customers </w:t>
      </w:r>
      <w:r>
        <w:rPr>
          <w:sz w:val="24"/>
        </w:rPr>
        <w:t>located in Queensland and connected to the Queensland system and is not otherwise to be taken into account in determining </w:t>
      </w:r>
      <w:r>
        <w:rPr>
          <w:i/>
          <w:sz w:val="24"/>
        </w:rPr>
        <w:t>Transmission Customer common service </w:t>
      </w:r>
      <w:r>
        <w:rPr>
          <w:sz w:val="24"/>
        </w:rPr>
        <w:t>charges under clause</w:t>
      </w:r>
      <w:r>
        <w:rPr>
          <w:spacing w:val="-2"/>
          <w:sz w:val="24"/>
        </w:rPr>
        <w:t> </w:t>
      </w:r>
      <w:r>
        <w:rPr>
          <w:sz w:val="24"/>
        </w:rPr>
        <w:t>6.5.6(a).</w:t>
      </w:r>
    </w:p>
    <w:p>
      <w:pPr>
        <w:pStyle w:val="ListParagraph"/>
        <w:numPr>
          <w:ilvl w:val="3"/>
          <w:numId w:val="697"/>
        </w:numPr>
        <w:tabs>
          <w:tab w:pos="1919" w:val="left" w:leader="none"/>
        </w:tabs>
        <w:spacing w:line="240" w:lineRule="auto" w:before="120" w:after="0"/>
        <w:ind w:left="1919" w:right="415" w:hanging="567"/>
        <w:jc w:val="both"/>
        <w:rPr>
          <w:sz w:val="24"/>
        </w:rPr>
      </w:pPr>
      <w:r>
        <w:rPr>
          <w:sz w:val="24"/>
        </w:rPr>
        <w:t>For the application of clause 9.38.5(a) to the </w:t>
      </w:r>
      <w:r>
        <w:rPr>
          <w:i/>
          <w:sz w:val="24"/>
        </w:rPr>
        <w:t>generating system </w:t>
      </w:r>
      <w:r>
        <w:rPr>
          <w:sz w:val="24"/>
        </w:rPr>
        <w:t>at Gladstone Power Station and the </w:t>
      </w:r>
      <w:r>
        <w:rPr>
          <w:i/>
          <w:sz w:val="24"/>
        </w:rPr>
        <w:t>load </w:t>
      </w:r>
      <w:r>
        <w:rPr>
          <w:sz w:val="24"/>
        </w:rPr>
        <w:t>at the Boyne Island aluminium smelter, the </w:t>
      </w:r>
      <w:r>
        <w:rPr>
          <w:i/>
          <w:sz w:val="24"/>
        </w:rPr>
        <w:t>connection agreement </w:t>
      </w:r>
      <w:r>
        <w:rPr>
          <w:sz w:val="24"/>
        </w:rPr>
        <w:t>referred to is the Interconnection and Power Pooling Agreement dated 30 March 1994 between the owners of the</w:t>
      </w:r>
      <w:r>
        <w:rPr>
          <w:spacing w:val="18"/>
          <w:sz w:val="24"/>
        </w:rPr>
        <w:t> </w:t>
      </w:r>
      <w:r>
        <w:rPr>
          <w:sz w:val="24"/>
        </w:rPr>
        <w:t>Gladstone Power Station and the Queensland Electricity Commission (as amended prior to 18 January 1998), or any </w:t>
      </w:r>
      <w:r>
        <w:rPr>
          <w:i/>
          <w:sz w:val="24"/>
        </w:rPr>
        <w:t>connection agreements </w:t>
      </w:r>
      <w:r>
        <w:rPr>
          <w:sz w:val="24"/>
        </w:rPr>
        <w:t>entered into in respect of those </w:t>
      </w:r>
      <w:r>
        <w:rPr>
          <w:i/>
          <w:sz w:val="24"/>
        </w:rPr>
        <w:t>connection points </w:t>
      </w:r>
      <w:r>
        <w:rPr>
          <w:sz w:val="24"/>
        </w:rPr>
        <w:t>in replacement of that agreement, provided that in the latter case any difference to be recovered pursuant </w:t>
      </w:r>
      <w:r>
        <w:rPr>
          <w:spacing w:val="-6"/>
          <w:sz w:val="24"/>
        </w:rPr>
        <w:t>to </w:t>
      </w:r>
      <w:r>
        <w:rPr>
          <w:sz w:val="24"/>
        </w:rPr>
        <w:t>clause 9.38.5(b) must not exceed that which would have applied had that agreement</w:t>
      </w:r>
      <w:r>
        <w:rPr>
          <w:spacing w:val="-1"/>
          <w:sz w:val="24"/>
        </w:rPr>
        <w:t> </w:t>
      </w:r>
      <w:r>
        <w:rPr>
          <w:sz w:val="24"/>
        </w:rPr>
        <w:t>continued.</w:t>
      </w:r>
    </w:p>
    <w:p>
      <w:pPr>
        <w:pStyle w:val="ListParagraph"/>
        <w:numPr>
          <w:ilvl w:val="3"/>
          <w:numId w:val="697"/>
        </w:numPr>
        <w:tabs>
          <w:tab w:pos="1919" w:val="left" w:leader="none"/>
        </w:tabs>
        <w:spacing w:line="240" w:lineRule="auto" w:before="120" w:after="0"/>
        <w:ind w:left="1919" w:right="415" w:hanging="567"/>
        <w:jc w:val="both"/>
        <w:rPr>
          <w:sz w:val="24"/>
        </w:rPr>
      </w:pPr>
      <w:r>
        <w:rPr>
          <w:sz w:val="24"/>
        </w:rPr>
        <w:t>Clause 9.38.5(a) continues to apply in respect of the </w:t>
      </w:r>
      <w:r>
        <w:rPr>
          <w:i/>
          <w:sz w:val="24"/>
        </w:rPr>
        <w:t>generating system </w:t>
      </w:r>
      <w:r>
        <w:rPr>
          <w:sz w:val="24"/>
        </w:rPr>
        <w:t>at Gladstone Power Station and the </w:t>
      </w:r>
      <w:r>
        <w:rPr>
          <w:i/>
          <w:sz w:val="24"/>
        </w:rPr>
        <w:t>load </w:t>
      </w:r>
      <w:r>
        <w:rPr>
          <w:sz w:val="24"/>
        </w:rPr>
        <w:t>at the Boyne Island aluminium smelter despite the entering into </w:t>
      </w:r>
      <w:r>
        <w:rPr>
          <w:i/>
          <w:sz w:val="24"/>
        </w:rPr>
        <w:t>connection agreements </w:t>
      </w:r>
      <w:r>
        <w:rPr>
          <w:sz w:val="24"/>
        </w:rPr>
        <w:t>in replacement of the Interconnection and Power Pooling Agreement as envisaged in clause 9.38.5(d).</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39 Transitional Arrangements for Chapt" w:id="2971"/>
      <w:bookmarkEnd w:id="2971"/>
      <w:r>
        <w:rPr>
          <w:b w:val="0"/>
        </w:rPr>
      </w:r>
      <w:bookmarkStart w:name="_bookmark1198" w:id="2972"/>
      <w:bookmarkEnd w:id="2972"/>
      <w:r>
        <w:rPr>
          <w:b w:val="0"/>
        </w:rPr>
      </w:r>
      <w:bookmarkStart w:name="_bookmark1198" w:id="2973"/>
      <w:bookmarkEnd w:id="2973"/>
      <w:r>
        <w:rPr/>
        <w:t>T</w:t>
      </w:r>
      <w:r>
        <w:rPr/>
        <w:t>ransitional Arrangements for Chapter 7 -</w:t>
      </w:r>
      <w:r>
        <w:rPr>
          <w:spacing w:val="-5"/>
        </w:rPr>
        <w:t> </w:t>
      </w:r>
      <w:r>
        <w:rPr/>
        <w:t>Metering</w:t>
      </w:r>
    </w:p>
    <w:p>
      <w:pPr>
        <w:pStyle w:val="Heading4"/>
        <w:numPr>
          <w:ilvl w:val="2"/>
          <w:numId w:val="698"/>
        </w:numPr>
        <w:tabs>
          <w:tab w:pos="1351" w:val="left" w:leader="none"/>
          <w:tab w:pos="1352" w:val="left" w:leader="none"/>
        </w:tabs>
        <w:spacing w:line="240" w:lineRule="auto" w:before="240" w:after="0"/>
        <w:ind w:left="1351" w:right="0" w:hanging="1134"/>
        <w:jc w:val="left"/>
      </w:pPr>
      <w:bookmarkStart w:name="9.39.1 Metering installations to which t" w:id="2974"/>
      <w:bookmarkEnd w:id="2974"/>
      <w:r>
        <w:rPr>
          <w:b w:val="0"/>
        </w:rPr>
      </w:r>
      <w:bookmarkStart w:name="_bookmark1199" w:id="2975"/>
      <w:bookmarkEnd w:id="2975"/>
      <w:r>
        <w:rPr>
          <w:b w:val="0"/>
        </w:rPr>
      </w:r>
      <w:bookmarkStart w:name="_bookmark1199" w:id="2976"/>
      <w:bookmarkEnd w:id="2976"/>
      <w:r>
        <w:rPr/>
        <w:t>Metering</w:t>
      </w:r>
      <w:r>
        <w:rPr/>
        <w:t> installations to which this clause</w:t>
      </w:r>
      <w:r>
        <w:rPr>
          <w:spacing w:val="-4"/>
        </w:rPr>
        <w:t> </w:t>
      </w:r>
      <w:r>
        <w:rPr/>
        <w:t>applies</w:t>
      </w:r>
    </w:p>
    <w:p>
      <w:pPr>
        <w:pStyle w:val="ListParagraph"/>
        <w:numPr>
          <w:ilvl w:val="3"/>
          <w:numId w:val="698"/>
        </w:numPr>
        <w:tabs>
          <w:tab w:pos="1919" w:val="left" w:leader="none"/>
        </w:tabs>
        <w:spacing w:line="240" w:lineRule="auto" w:before="120" w:after="0"/>
        <w:ind w:left="1919" w:right="416" w:hanging="567"/>
        <w:jc w:val="both"/>
        <w:rPr>
          <w:sz w:val="24"/>
        </w:rPr>
      </w:pPr>
      <w:r>
        <w:rPr>
          <w:sz w:val="24"/>
        </w:rPr>
        <w:t>The transitional </w:t>
      </w:r>
      <w:r>
        <w:rPr>
          <w:i/>
          <w:sz w:val="24"/>
        </w:rPr>
        <w:t>metering </w:t>
      </w:r>
      <w:r>
        <w:rPr>
          <w:sz w:val="24"/>
        </w:rPr>
        <w:t>provisions set out in schedule 9G1 apply to Queensland in respect of Chapter</w:t>
      </w:r>
      <w:r>
        <w:rPr>
          <w:spacing w:val="-2"/>
          <w:sz w:val="24"/>
        </w:rPr>
        <w:t> </w:t>
      </w:r>
      <w:r>
        <w:rPr>
          <w:sz w:val="24"/>
        </w:rPr>
        <w:t>7.</w:t>
      </w:r>
    </w:p>
    <w:p>
      <w:pPr>
        <w:pStyle w:val="ListParagraph"/>
        <w:numPr>
          <w:ilvl w:val="3"/>
          <w:numId w:val="698"/>
        </w:numPr>
        <w:tabs>
          <w:tab w:pos="1919" w:val="left" w:leader="none"/>
        </w:tabs>
        <w:spacing w:line="240" w:lineRule="auto" w:before="120" w:after="0"/>
        <w:ind w:left="1919" w:right="415" w:hanging="567"/>
        <w:jc w:val="both"/>
        <w:rPr>
          <w:sz w:val="24"/>
        </w:rPr>
      </w:pPr>
      <w:r>
        <w:rPr>
          <w:sz w:val="24"/>
        </w:rPr>
        <w:t>Notwithstanding the application of schedule 9G1 in Queensland, the transitional arrangements set out in this clause 9.39 apply in relation to a </w:t>
      </w:r>
      <w:r>
        <w:rPr>
          <w:i/>
          <w:sz w:val="24"/>
        </w:rPr>
        <w:t>metering installation </w:t>
      </w:r>
      <w:r>
        <w:rPr>
          <w:sz w:val="24"/>
        </w:rPr>
        <w:t>(including a </w:t>
      </w:r>
      <w:r>
        <w:rPr>
          <w:i/>
          <w:sz w:val="24"/>
        </w:rPr>
        <w:t>check metering installation</w:t>
      </w:r>
      <w:r>
        <w:rPr>
          <w:sz w:val="24"/>
        </w:rPr>
        <w:t>) that meets the following</w:t>
      </w:r>
      <w:r>
        <w:rPr>
          <w:spacing w:val="-1"/>
          <w:sz w:val="24"/>
        </w:rPr>
        <w:t> </w:t>
      </w:r>
      <w:r>
        <w:rPr>
          <w:sz w:val="24"/>
        </w:rPr>
        <w:t>criteria:</w:t>
      </w:r>
    </w:p>
    <w:p>
      <w:pPr>
        <w:pStyle w:val="ListParagraph"/>
        <w:numPr>
          <w:ilvl w:val="4"/>
          <w:numId w:val="698"/>
        </w:numPr>
        <w:tabs>
          <w:tab w:pos="2486" w:val="left" w:leader="none"/>
        </w:tabs>
        <w:spacing w:line="240" w:lineRule="auto" w:before="120" w:after="0"/>
        <w:ind w:left="2485" w:right="0" w:hanging="567"/>
        <w:jc w:val="both"/>
        <w:rPr>
          <w:sz w:val="24"/>
        </w:rPr>
      </w:pPr>
      <w:r>
        <w:rPr>
          <w:sz w:val="24"/>
        </w:rPr>
        <w:t>at 1 October 1997, the </w:t>
      </w:r>
      <w:r>
        <w:rPr>
          <w:i/>
          <w:sz w:val="24"/>
        </w:rPr>
        <w:t>metering</w:t>
      </w:r>
      <w:r>
        <w:rPr>
          <w:i/>
          <w:spacing w:val="-3"/>
          <w:sz w:val="24"/>
        </w:rPr>
        <w:t> </w:t>
      </w:r>
      <w:r>
        <w:rPr>
          <w:i/>
          <w:sz w:val="24"/>
        </w:rPr>
        <w:t>installation</w:t>
      </w:r>
      <w:r>
        <w:rPr>
          <w:sz w:val="24"/>
        </w:rPr>
        <w:t>:</w:t>
      </w:r>
    </w:p>
    <w:p>
      <w:pPr>
        <w:pStyle w:val="ListParagraph"/>
        <w:numPr>
          <w:ilvl w:val="5"/>
          <w:numId w:val="698"/>
        </w:numPr>
        <w:tabs>
          <w:tab w:pos="3053" w:val="left" w:leader="none"/>
        </w:tabs>
        <w:spacing w:line="240" w:lineRule="auto" w:before="120" w:after="0"/>
        <w:ind w:left="3053" w:right="415" w:hanging="567"/>
        <w:jc w:val="both"/>
        <w:rPr>
          <w:sz w:val="24"/>
        </w:rPr>
      </w:pPr>
      <w:r>
        <w:rPr>
          <w:sz w:val="24"/>
        </w:rPr>
        <w:t>was a </w:t>
      </w:r>
      <w:r>
        <w:rPr>
          <w:i/>
          <w:sz w:val="24"/>
        </w:rPr>
        <w:t>metering installation </w:t>
      </w:r>
      <w:r>
        <w:rPr>
          <w:sz w:val="24"/>
        </w:rPr>
        <w:t>to which the Queensland Grid Code applied;</w:t>
      </w:r>
      <w:r>
        <w:rPr>
          <w:spacing w:val="-1"/>
          <w:sz w:val="24"/>
        </w:rPr>
        <w:t> </w:t>
      </w:r>
      <w:r>
        <w:rPr>
          <w:sz w:val="24"/>
        </w:rPr>
        <w:t>and</w:t>
      </w:r>
    </w:p>
    <w:p>
      <w:pPr>
        <w:pStyle w:val="ListParagraph"/>
        <w:numPr>
          <w:ilvl w:val="5"/>
          <w:numId w:val="698"/>
        </w:numPr>
        <w:tabs>
          <w:tab w:pos="3054" w:val="left" w:leader="none"/>
        </w:tabs>
        <w:spacing w:line="240" w:lineRule="auto" w:before="120" w:after="0"/>
        <w:ind w:left="3053" w:right="416" w:hanging="567"/>
        <w:jc w:val="both"/>
        <w:rPr>
          <w:sz w:val="24"/>
        </w:rPr>
      </w:pPr>
      <w:r>
        <w:rPr>
          <w:sz w:val="24"/>
        </w:rPr>
        <w:t>complied with the metering requirements of the Queensland Grid Code;</w:t>
      </w:r>
      <w:r>
        <w:rPr>
          <w:spacing w:val="-2"/>
          <w:sz w:val="24"/>
        </w:rPr>
        <w:t> </w:t>
      </w:r>
      <w:r>
        <w:rPr>
          <w:sz w:val="24"/>
        </w:rPr>
        <w:t>and</w:t>
      </w:r>
    </w:p>
    <w:p>
      <w:pPr>
        <w:pStyle w:val="ListParagraph"/>
        <w:numPr>
          <w:ilvl w:val="4"/>
          <w:numId w:val="698"/>
        </w:numPr>
        <w:tabs>
          <w:tab w:pos="2486" w:val="left" w:leader="none"/>
        </w:tabs>
        <w:spacing w:line="240" w:lineRule="auto" w:before="120" w:after="0"/>
        <w:ind w:left="2486" w:right="415" w:hanging="567"/>
        <w:jc w:val="both"/>
        <w:rPr>
          <w:sz w:val="24"/>
        </w:rPr>
      </w:pPr>
      <w:r>
        <w:rPr>
          <w:sz w:val="24"/>
        </w:rPr>
        <w:t>excepting normal repair and maintenance, no part of the </w:t>
      </w:r>
      <w:r>
        <w:rPr>
          <w:i/>
          <w:sz w:val="24"/>
        </w:rPr>
        <w:t>metering </w:t>
      </w:r>
      <w:r>
        <w:rPr>
          <w:i/>
          <w:sz w:val="24"/>
        </w:rPr>
        <w:t>installation </w:t>
      </w:r>
      <w:r>
        <w:rPr>
          <w:sz w:val="24"/>
        </w:rPr>
        <w:t>has been modified or replaced since 1 October</w:t>
      </w:r>
      <w:r>
        <w:rPr>
          <w:spacing w:val="-7"/>
          <w:sz w:val="24"/>
        </w:rPr>
        <w:t> </w:t>
      </w:r>
      <w:r>
        <w:rPr>
          <w:sz w:val="24"/>
        </w:rPr>
        <w:t>1997.</w:t>
      </w:r>
    </w:p>
    <w:p>
      <w:pPr>
        <w:spacing w:after="0" w:line="240" w:lineRule="auto"/>
        <w:jc w:val="both"/>
        <w:rPr>
          <w:sz w:val="24"/>
        </w:rPr>
        <w:sectPr>
          <w:pgSz w:w="11910" w:h="16840"/>
          <w:pgMar w:header="686" w:footer="637" w:top="1320" w:bottom="820" w:left="1200" w:right="1000"/>
        </w:sectPr>
      </w:pPr>
    </w:p>
    <w:p>
      <w:pPr>
        <w:pStyle w:val="Heading4"/>
        <w:numPr>
          <w:ilvl w:val="2"/>
          <w:numId w:val="698"/>
        </w:numPr>
        <w:tabs>
          <w:tab w:pos="1351" w:val="left" w:leader="none"/>
          <w:tab w:pos="1352" w:val="left" w:leader="none"/>
        </w:tabs>
        <w:spacing w:line="240" w:lineRule="auto" w:before="83" w:after="0"/>
        <w:ind w:left="1351" w:right="0" w:hanging="1134"/>
        <w:jc w:val="left"/>
      </w:pPr>
      <w:bookmarkStart w:name="9.39.2 [Deleted]" w:id="2977"/>
      <w:bookmarkEnd w:id="2977"/>
      <w:r>
        <w:rPr>
          <w:b w:val="0"/>
        </w:rPr>
      </w:r>
      <w:bookmarkStart w:name="_bookmark1200" w:id="2978"/>
      <w:bookmarkEnd w:id="2978"/>
      <w:r>
        <w:rPr>
          <w:b w:val="0"/>
        </w:rPr>
      </w:r>
      <w:bookmarkStart w:name="_bookmark1200" w:id="2979"/>
      <w:bookmarkEnd w:id="2979"/>
      <w:r>
        <w:rPr/>
        <w:t>[Deleted]</w:t>
      </w:r>
    </w:p>
    <w:p>
      <w:pPr>
        <w:pStyle w:val="BodyText"/>
        <w:spacing w:before="10"/>
        <w:ind w:firstLine="0"/>
        <w:jc w:val="left"/>
        <w:rPr>
          <w:rFonts w:ascii="Arial"/>
          <w:b/>
          <w:sz w:val="20"/>
        </w:rPr>
      </w:pPr>
    </w:p>
    <w:p>
      <w:pPr>
        <w:pStyle w:val="Heading4"/>
        <w:numPr>
          <w:ilvl w:val="2"/>
          <w:numId w:val="698"/>
        </w:numPr>
        <w:tabs>
          <w:tab w:pos="1351" w:val="left" w:leader="none"/>
          <w:tab w:pos="1352" w:val="left" w:leader="none"/>
        </w:tabs>
        <w:spacing w:line="240" w:lineRule="auto" w:before="0" w:after="0"/>
        <w:ind w:left="1351" w:right="0" w:hanging="1134"/>
        <w:jc w:val="left"/>
      </w:pPr>
      <w:bookmarkStart w:name="9.39.3 [Deleted]" w:id="2980"/>
      <w:bookmarkEnd w:id="2980"/>
      <w:r>
        <w:rPr>
          <w:b w:val="0"/>
        </w:rPr>
      </w:r>
      <w:bookmarkStart w:name="_bookmark1201" w:id="2981"/>
      <w:bookmarkEnd w:id="2981"/>
      <w:r>
        <w:rPr>
          <w:b w:val="0"/>
        </w:rPr>
      </w:r>
      <w:bookmarkStart w:name="_bookmark1201" w:id="2982"/>
      <w:bookmarkEnd w:id="2982"/>
      <w:r>
        <w:rPr/>
        <w:t>[Deleted]</w:t>
      </w:r>
    </w:p>
    <w:p>
      <w:pPr>
        <w:pStyle w:val="BodyText"/>
        <w:spacing w:before="10"/>
        <w:ind w:firstLine="0"/>
        <w:jc w:val="left"/>
        <w:rPr>
          <w:rFonts w:ascii="Arial"/>
          <w:b/>
          <w:sz w:val="20"/>
        </w:rPr>
      </w:pPr>
    </w:p>
    <w:p>
      <w:pPr>
        <w:pStyle w:val="Heading4"/>
        <w:numPr>
          <w:ilvl w:val="2"/>
          <w:numId w:val="698"/>
        </w:numPr>
        <w:tabs>
          <w:tab w:pos="1351" w:val="left" w:leader="none"/>
          <w:tab w:pos="1352" w:val="left" w:leader="none"/>
        </w:tabs>
        <w:spacing w:line="240" w:lineRule="auto" w:before="0" w:after="0"/>
        <w:ind w:left="1351" w:right="0" w:hanging="1134"/>
        <w:jc w:val="left"/>
      </w:pPr>
      <w:bookmarkStart w:name="9.39.4 [Deleted]" w:id="2983"/>
      <w:bookmarkEnd w:id="2983"/>
      <w:r>
        <w:rPr>
          <w:b w:val="0"/>
        </w:rPr>
      </w:r>
      <w:bookmarkStart w:name="_bookmark1202" w:id="2984"/>
      <w:bookmarkEnd w:id="2984"/>
      <w:r>
        <w:rPr>
          <w:b w:val="0"/>
        </w:rPr>
      </w:r>
      <w:bookmarkStart w:name="_bookmark1202" w:id="2985"/>
      <w:bookmarkEnd w:id="2985"/>
      <w:r>
        <w:rPr/>
        <w:t>[Deleted]</w:t>
      </w:r>
    </w:p>
    <w:p>
      <w:pPr>
        <w:pStyle w:val="BodyText"/>
        <w:spacing w:before="10"/>
        <w:ind w:firstLine="0"/>
        <w:jc w:val="left"/>
        <w:rPr>
          <w:rFonts w:ascii="Arial"/>
          <w:b/>
          <w:sz w:val="20"/>
        </w:rPr>
      </w:pPr>
    </w:p>
    <w:p>
      <w:pPr>
        <w:pStyle w:val="Heading4"/>
        <w:numPr>
          <w:ilvl w:val="2"/>
          <w:numId w:val="698"/>
        </w:numPr>
        <w:tabs>
          <w:tab w:pos="1351" w:val="left" w:leader="none"/>
          <w:tab w:pos="1352" w:val="left" w:leader="none"/>
        </w:tabs>
        <w:spacing w:line="240" w:lineRule="auto" w:before="0" w:after="0"/>
        <w:ind w:left="1351" w:right="0" w:hanging="1134"/>
        <w:jc w:val="left"/>
      </w:pPr>
      <w:bookmarkStart w:name="9.39.5 [Deleted]" w:id="2986"/>
      <w:bookmarkEnd w:id="2986"/>
      <w:r>
        <w:rPr>
          <w:b w:val="0"/>
        </w:rPr>
      </w:r>
      <w:bookmarkStart w:name="_bookmark1203" w:id="2987"/>
      <w:bookmarkEnd w:id="2987"/>
      <w:r>
        <w:rPr>
          <w:b w:val="0"/>
        </w:rPr>
      </w:r>
      <w:bookmarkStart w:name="_bookmark1203" w:id="2988"/>
      <w:bookmarkEnd w:id="2988"/>
      <w:r>
        <w:rPr/>
        <w:t>[Deleted]</w:t>
      </w:r>
    </w:p>
    <w:p>
      <w:pPr>
        <w:pStyle w:val="BodyText"/>
        <w:spacing w:before="10"/>
        <w:ind w:firstLine="0"/>
        <w:jc w:val="left"/>
        <w:rPr>
          <w:rFonts w:ascii="Arial"/>
          <w:b/>
          <w:sz w:val="20"/>
        </w:rPr>
      </w:pPr>
    </w:p>
    <w:p>
      <w:pPr>
        <w:pStyle w:val="Heading3"/>
        <w:numPr>
          <w:ilvl w:val="1"/>
          <w:numId w:val="686"/>
        </w:numPr>
        <w:tabs>
          <w:tab w:pos="1351" w:val="left" w:leader="none"/>
          <w:tab w:pos="1353" w:val="left" w:leader="none"/>
        </w:tabs>
        <w:spacing w:line="240" w:lineRule="auto" w:before="0" w:after="0"/>
        <w:ind w:left="1352" w:right="1290" w:hanging="1134"/>
        <w:jc w:val="left"/>
      </w:pPr>
      <w:bookmarkStart w:name="9.40 Transitional Arrangements for Chapt" w:id="2989"/>
      <w:bookmarkEnd w:id="2989"/>
      <w:r>
        <w:rPr>
          <w:b w:val="0"/>
        </w:rPr>
      </w:r>
      <w:bookmarkStart w:name="_bookmark1204" w:id="2990"/>
      <w:bookmarkEnd w:id="2990"/>
      <w:r>
        <w:rPr>
          <w:b w:val="0"/>
        </w:rPr>
      </w:r>
      <w:bookmarkStart w:name="_bookmark1204" w:id="2991"/>
      <w:bookmarkEnd w:id="2991"/>
      <w:r>
        <w:rPr/>
        <w:t>T</w:t>
      </w:r>
      <w:r>
        <w:rPr/>
        <w:t>ransitional Arrangements for Chapter 8 - Administration Functions</w:t>
      </w:r>
    </w:p>
    <w:p>
      <w:pPr>
        <w:pStyle w:val="Heading4"/>
        <w:numPr>
          <w:ilvl w:val="2"/>
          <w:numId w:val="699"/>
        </w:numPr>
        <w:tabs>
          <w:tab w:pos="1351" w:val="left" w:leader="none"/>
          <w:tab w:pos="1352" w:val="left" w:leader="none"/>
        </w:tabs>
        <w:spacing w:line="240" w:lineRule="auto" w:before="240" w:after="0"/>
        <w:ind w:left="1351" w:right="0" w:hanging="1134"/>
        <w:jc w:val="left"/>
      </w:pPr>
      <w:bookmarkStart w:name="9.40.1 [Deleted]" w:id="2992"/>
      <w:bookmarkEnd w:id="2992"/>
      <w:r>
        <w:rPr>
          <w:b w:val="0"/>
        </w:rPr>
      </w:r>
      <w:bookmarkStart w:name="_bookmark1205" w:id="2993"/>
      <w:bookmarkEnd w:id="2993"/>
      <w:r>
        <w:rPr>
          <w:b w:val="0"/>
        </w:rPr>
      </w:r>
      <w:bookmarkStart w:name="_bookmark1205" w:id="2994"/>
      <w:bookmarkEnd w:id="2994"/>
      <w:r>
        <w:rPr/>
        <w:t>[Deleted]</w:t>
      </w:r>
    </w:p>
    <w:p>
      <w:pPr>
        <w:pStyle w:val="BodyText"/>
        <w:spacing w:before="10"/>
        <w:ind w:firstLine="0"/>
        <w:jc w:val="left"/>
        <w:rPr>
          <w:rFonts w:ascii="Arial"/>
          <w:b/>
          <w:sz w:val="20"/>
        </w:rPr>
      </w:pPr>
    </w:p>
    <w:p>
      <w:pPr>
        <w:pStyle w:val="Heading4"/>
        <w:numPr>
          <w:ilvl w:val="2"/>
          <w:numId w:val="699"/>
        </w:numPr>
        <w:tabs>
          <w:tab w:pos="1351" w:val="left" w:leader="none"/>
          <w:tab w:pos="1352" w:val="left" w:leader="none"/>
        </w:tabs>
        <w:spacing w:line="240" w:lineRule="auto" w:before="0" w:after="0"/>
        <w:ind w:left="1351" w:right="0" w:hanging="1134"/>
        <w:jc w:val="left"/>
      </w:pPr>
      <w:bookmarkStart w:name="9.40.2 [Deleted]" w:id="2995"/>
      <w:bookmarkEnd w:id="2995"/>
      <w:r>
        <w:rPr>
          <w:b w:val="0"/>
        </w:rPr>
      </w:r>
      <w:bookmarkStart w:name="_bookmark1206" w:id="2996"/>
      <w:bookmarkEnd w:id="2996"/>
      <w:r>
        <w:rPr>
          <w:b w:val="0"/>
        </w:rPr>
      </w:r>
      <w:bookmarkStart w:name="_bookmark1206" w:id="2997"/>
      <w:bookmarkEnd w:id="2997"/>
      <w:r>
        <w:rPr/>
        <w:t>[Deleted]</w:t>
      </w:r>
    </w:p>
    <w:p>
      <w:pPr>
        <w:pStyle w:val="BodyText"/>
        <w:spacing w:before="10"/>
        <w:ind w:firstLine="0"/>
        <w:jc w:val="left"/>
        <w:rPr>
          <w:rFonts w:ascii="Arial"/>
          <w:b/>
          <w:sz w:val="20"/>
        </w:rPr>
      </w:pPr>
    </w:p>
    <w:p>
      <w:pPr>
        <w:pStyle w:val="Heading4"/>
        <w:numPr>
          <w:ilvl w:val="2"/>
          <w:numId w:val="699"/>
        </w:numPr>
        <w:tabs>
          <w:tab w:pos="1351" w:val="left" w:leader="none"/>
          <w:tab w:pos="1352" w:val="left" w:leader="none"/>
        </w:tabs>
        <w:spacing w:line="240" w:lineRule="auto" w:before="0" w:after="0"/>
        <w:ind w:left="1351" w:right="0" w:hanging="1134"/>
        <w:jc w:val="left"/>
      </w:pPr>
      <w:bookmarkStart w:name="9.40.3 [Deleted]" w:id="2998"/>
      <w:bookmarkEnd w:id="2998"/>
      <w:r>
        <w:rPr>
          <w:b w:val="0"/>
        </w:rPr>
      </w:r>
      <w:bookmarkStart w:name="_bookmark1207" w:id="2999"/>
      <w:bookmarkEnd w:id="2999"/>
      <w:r>
        <w:rPr>
          <w:b w:val="0"/>
        </w:rPr>
      </w:r>
      <w:bookmarkStart w:name="_bookmark1207" w:id="3000"/>
      <w:bookmarkEnd w:id="3000"/>
      <w:r>
        <w:rPr/>
        <w:t>[Deleted]</w:t>
      </w:r>
    </w:p>
    <w:p>
      <w:pPr>
        <w:pStyle w:val="BodyText"/>
        <w:spacing w:before="10"/>
        <w:ind w:firstLine="0"/>
        <w:jc w:val="left"/>
        <w:rPr>
          <w:rFonts w:ascii="Arial"/>
          <w:b/>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41 [Deleted]" w:id="3001"/>
      <w:bookmarkEnd w:id="3001"/>
      <w:r>
        <w:rPr>
          <w:b w:val="0"/>
        </w:rPr>
      </w:r>
      <w:bookmarkStart w:name="_bookmark1208" w:id="3002"/>
      <w:bookmarkEnd w:id="3002"/>
      <w:r>
        <w:rPr>
          <w:b w:val="0"/>
        </w:rPr>
      </w:r>
      <w:bookmarkStart w:name="_bookmark1208" w:id="3003"/>
      <w:bookmarkEnd w:id="3003"/>
      <w:r>
        <w:rPr/>
        <w:t>[Deleted]</w:t>
      </w:r>
    </w:p>
    <w:p>
      <w:pPr>
        <w:tabs>
          <w:tab w:pos="2485" w:val="left" w:leader="none"/>
        </w:tabs>
        <w:spacing w:before="240"/>
        <w:ind w:left="218" w:right="0" w:firstLine="0"/>
        <w:jc w:val="left"/>
        <w:rPr>
          <w:rFonts w:ascii="Arial"/>
          <w:b/>
          <w:sz w:val="28"/>
        </w:rPr>
      </w:pPr>
      <w:bookmarkStart w:name="Schedule 9E1 Exempted Generation Agreeme" w:id="3004"/>
      <w:bookmarkEnd w:id="3004"/>
      <w:r>
        <w:rPr/>
      </w:r>
      <w:r>
        <w:rPr>
          <w:rFonts w:ascii="Arial"/>
          <w:b/>
          <w:sz w:val="28"/>
        </w:rPr>
        <w:t>Schedule</w:t>
      </w:r>
      <w:r>
        <w:rPr>
          <w:rFonts w:ascii="Arial"/>
          <w:b/>
          <w:spacing w:val="-1"/>
          <w:sz w:val="28"/>
        </w:rPr>
        <w:t> </w:t>
      </w:r>
      <w:r>
        <w:rPr>
          <w:rFonts w:ascii="Arial"/>
          <w:b/>
          <w:sz w:val="28"/>
        </w:rPr>
        <w:t>9E1</w:t>
        <w:tab/>
        <w:t>Exempted Generation</w:t>
      </w:r>
      <w:r>
        <w:rPr>
          <w:rFonts w:ascii="Arial"/>
          <w:b/>
          <w:spacing w:val="-1"/>
          <w:sz w:val="28"/>
        </w:rPr>
        <w:t> </w:t>
      </w:r>
      <w:r>
        <w:rPr>
          <w:rFonts w:ascii="Arial"/>
          <w:b/>
          <w:sz w:val="28"/>
        </w:rPr>
        <w:t>Agreements</w:t>
      </w:r>
    </w:p>
    <w:p>
      <w:pPr>
        <w:pStyle w:val="BodyText"/>
        <w:spacing w:before="8"/>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8"/>
        <w:gridCol w:w="3962"/>
        <w:gridCol w:w="1987"/>
      </w:tblGrid>
      <w:tr>
        <w:trPr>
          <w:trHeight w:val="671" w:hRule="atLeast"/>
        </w:trPr>
        <w:tc>
          <w:tcPr>
            <w:tcW w:w="1988" w:type="dxa"/>
            <w:tcBorders>
              <w:bottom w:val="single" w:sz="4" w:space="0" w:color="000000"/>
              <w:right w:val="single" w:sz="4" w:space="0" w:color="000000"/>
            </w:tcBorders>
            <w:shd w:val="clear" w:color="auto" w:fill="D9D9D9"/>
          </w:tcPr>
          <w:p>
            <w:pPr>
              <w:pStyle w:val="TableParagraph"/>
              <w:ind w:left="40"/>
              <w:rPr>
                <w:rFonts w:ascii="Arial"/>
                <w:b/>
                <w:sz w:val="24"/>
              </w:rPr>
            </w:pPr>
            <w:r>
              <w:rPr>
                <w:rFonts w:ascii="Arial"/>
                <w:b/>
                <w:sz w:val="24"/>
              </w:rPr>
              <w:t>Station Name</w:t>
            </w:r>
          </w:p>
        </w:tc>
        <w:tc>
          <w:tcPr>
            <w:tcW w:w="3962" w:type="dxa"/>
            <w:tcBorders>
              <w:left w:val="single" w:sz="4" w:space="0" w:color="000000"/>
              <w:bottom w:val="single" w:sz="4" w:space="0" w:color="000000"/>
              <w:right w:val="single" w:sz="4" w:space="0" w:color="000000"/>
            </w:tcBorders>
            <w:shd w:val="clear" w:color="auto" w:fill="D9D9D9"/>
          </w:tcPr>
          <w:p>
            <w:pPr>
              <w:pStyle w:val="TableParagraph"/>
              <w:rPr>
                <w:rFonts w:ascii="Arial"/>
                <w:b/>
                <w:sz w:val="24"/>
              </w:rPr>
            </w:pPr>
            <w:r>
              <w:rPr>
                <w:rFonts w:ascii="Arial"/>
                <w:b/>
                <w:sz w:val="24"/>
              </w:rPr>
              <w:t>Owner or Operator of Station</w:t>
            </w:r>
          </w:p>
        </w:tc>
        <w:tc>
          <w:tcPr>
            <w:tcW w:w="1987"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right="658"/>
              <w:rPr>
                <w:rFonts w:ascii="Arial"/>
                <w:b/>
                <w:sz w:val="24"/>
              </w:rPr>
            </w:pPr>
            <w:r>
              <w:rPr>
                <w:rFonts w:ascii="Arial"/>
                <w:b/>
                <w:sz w:val="24"/>
              </w:rPr>
              <w:t>Date of Agreement</w:t>
            </w:r>
          </w:p>
        </w:tc>
      </w:tr>
      <w:tr>
        <w:trPr>
          <w:trHeight w:val="791" w:hRule="atLeast"/>
        </w:trPr>
        <w:tc>
          <w:tcPr>
            <w:tcW w:w="1988" w:type="dxa"/>
            <w:tcBorders>
              <w:top w:val="single" w:sz="4" w:space="0" w:color="000000"/>
              <w:bottom w:val="single" w:sz="4" w:space="0" w:color="000000"/>
              <w:right w:val="single" w:sz="4" w:space="0" w:color="000000"/>
            </w:tcBorders>
          </w:tcPr>
          <w:p>
            <w:pPr>
              <w:pStyle w:val="TableParagraph"/>
              <w:ind w:left="40" w:right="266"/>
              <w:rPr>
                <w:sz w:val="24"/>
              </w:rPr>
            </w:pPr>
            <w:r>
              <w:rPr>
                <w:sz w:val="24"/>
              </w:rPr>
              <w:t>Gladstone Power Station</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24"/>
              </w:rPr>
              <w:t>GPS Participants</w:t>
            </w:r>
            <w:r>
              <w:rPr>
                <w:position w:val="7"/>
                <w:sz w:val="16"/>
              </w:rPr>
              <w:t>1</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 March 1994</w:t>
            </w:r>
          </w:p>
        </w:tc>
      </w:tr>
      <w:tr>
        <w:trPr>
          <w:trHeight w:val="791" w:hRule="atLeast"/>
        </w:trPr>
        <w:tc>
          <w:tcPr>
            <w:tcW w:w="1988" w:type="dxa"/>
            <w:tcBorders>
              <w:top w:val="single" w:sz="4" w:space="0" w:color="000000"/>
              <w:bottom w:val="single" w:sz="4" w:space="0" w:color="000000"/>
              <w:right w:val="single" w:sz="4" w:space="0" w:color="000000"/>
            </w:tcBorders>
          </w:tcPr>
          <w:p>
            <w:pPr>
              <w:pStyle w:val="TableParagraph"/>
              <w:ind w:left="40" w:right="119"/>
              <w:rPr>
                <w:sz w:val="24"/>
              </w:rPr>
            </w:pPr>
            <w:r>
              <w:rPr>
                <w:sz w:val="24"/>
              </w:rPr>
              <w:t>Collinsville Power Station</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24"/>
              </w:rPr>
              <w:t>Collinsville Participants</w:t>
            </w:r>
            <w:r>
              <w:rPr>
                <w:position w:val="7"/>
                <w:sz w:val="16"/>
              </w:rPr>
              <w:t>2</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30 November 1995</w:t>
            </w:r>
          </w:p>
        </w:tc>
      </w:tr>
      <w:tr>
        <w:trPr>
          <w:trHeight w:val="791" w:hRule="atLeast"/>
        </w:trPr>
        <w:tc>
          <w:tcPr>
            <w:tcW w:w="1988" w:type="dxa"/>
            <w:tcBorders>
              <w:top w:val="single" w:sz="4" w:space="0" w:color="000000"/>
              <w:bottom w:val="single" w:sz="4" w:space="0" w:color="000000"/>
              <w:right w:val="single" w:sz="4" w:space="0" w:color="000000"/>
            </w:tcBorders>
          </w:tcPr>
          <w:p>
            <w:pPr>
              <w:pStyle w:val="TableParagraph"/>
              <w:ind w:left="40" w:right="159"/>
              <w:rPr>
                <w:sz w:val="24"/>
              </w:rPr>
            </w:pPr>
            <w:r>
              <w:rPr>
                <w:sz w:val="24"/>
              </w:rPr>
              <w:t>Townsville Power Station</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ind w:right="240"/>
              <w:rPr>
                <w:sz w:val="24"/>
              </w:rPr>
            </w:pPr>
            <w:r>
              <w:rPr>
                <w:sz w:val="24"/>
              </w:rPr>
              <w:t>Transfield Townsville Pty Ltd A.C.N. 075 001 991</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 August 1996</w:t>
            </w:r>
          </w:p>
        </w:tc>
      </w:tr>
      <w:tr>
        <w:trPr>
          <w:trHeight w:val="911" w:hRule="atLeast"/>
        </w:trPr>
        <w:tc>
          <w:tcPr>
            <w:tcW w:w="1988" w:type="dxa"/>
            <w:tcBorders>
              <w:top w:val="single" w:sz="4" w:space="0" w:color="000000"/>
              <w:bottom w:val="single" w:sz="4" w:space="0" w:color="000000"/>
              <w:right w:val="single" w:sz="4" w:space="0" w:color="000000"/>
            </w:tcBorders>
          </w:tcPr>
          <w:p>
            <w:pPr>
              <w:pStyle w:val="TableParagraph"/>
              <w:ind w:left="40" w:right="613"/>
              <w:rPr>
                <w:sz w:val="24"/>
              </w:rPr>
            </w:pPr>
            <w:r>
              <w:rPr>
                <w:sz w:val="24"/>
              </w:rPr>
              <w:t>Oakey Power Station</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Oakey Power Pty Ltd</w:t>
            </w:r>
          </w:p>
          <w:p>
            <w:pPr>
              <w:pStyle w:val="TableParagraph"/>
              <w:rPr>
                <w:sz w:val="24"/>
              </w:rPr>
            </w:pPr>
            <w:r>
              <w:rPr>
                <w:sz w:val="24"/>
              </w:rPr>
              <w:t>A.C.N. 075 258 114</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10 September 1996</w:t>
            </w:r>
          </w:p>
        </w:tc>
      </w:tr>
      <w:tr>
        <w:trPr>
          <w:trHeight w:val="1619" w:hRule="atLeast"/>
        </w:trPr>
        <w:tc>
          <w:tcPr>
            <w:tcW w:w="1988" w:type="dxa"/>
            <w:tcBorders>
              <w:top w:val="single" w:sz="4" w:space="0" w:color="000000"/>
              <w:bottom w:val="single" w:sz="4" w:space="0" w:color="000000"/>
              <w:right w:val="single" w:sz="4" w:space="0" w:color="000000"/>
            </w:tcBorders>
          </w:tcPr>
          <w:p>
            <w:pPr>
              <w:pStyle w:val="TableParagraph"/>
              <w:ind w:left="40" w:right="326"/>
              <w:rPr>
                <w:sz w:val="24"/>
              </w:rPr>
            </w:pPr>
            <w:r>
              <w:rPr>
                <w:sz w:val="24"/>
              </w:rPr>
              <w:t>Mt Stuart Power Station</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ind w:right="168"/>
              <w:rPr>
                <w:sz w:val="24"/>
              </w:rPr>
            </w:pPr>
            <w:r>
              <w:rPr>
                <w:sz w:val="24"/>
              </w:rPr>
              <w:t>Origin Energy Mt Stuart, a general partnership between Origin Energy Mt Stuart BV (ARBN 079 232 572) &amp;</w:t>
            </w:r>
          </w:p>
          <w:p>
            <w:pPr>
              <w:pStyle w:val="TableParagraph"/>
              <w:spacing w:before="0"/>
              <w:ind w:right="234"/>
              <w:rPr>
                <w:sz w:val="24"/>
              </w:rPr>
            </w:pPr>
            <w:r>
              <w:rPr>
                <w:sz w:val="24"/>
              </w:rPr>
              <w:t>Origin Energy Australia Holdings BV (ARBN 079 234 165)</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5 August 1996</w:t>
            </w:r>
          </w:p>
        </w:tc>
      </w:tr>
      <w:tr>
        <w:trPr>
          <w:trHeight w:val="791" w:hRule="atLeast"/>
        </w:trPr>
        <w:tc>
          <w:tcPr>
            <w:tcW w:w="1988" w:type="dxa"/>
            <w:tcBorders>
              <w:top w:val="single" w:sz="4" w:space="0" w:color="000000"/>
              <w:bottom w:val="single" w:sz="4" w:space="0" w:color="000000"/>
              <w:right w:val="single" w:sz="4" w:space="0" w:color="000000"/>
            </w:tcBorders>
          </w:tcPr>
          <w:p>
            <w:pPr>
              <w:pStyle w:val="TableParagraph"/>
              <w:ind w:left="40" w:right="533"/>
              <w:rPr>
                <w:sz w:val="24"/>
              </w:rPr>
            </w:pPr>
            <w:r>
              <w:rPr>
                <w:sz w:val="24"/>
              </w:rPr>
              <w:t>Various Sugar Mills</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Queensland Sugar Power Pool Pty Ltd</w:t>
            </w:r>
          </w:p>
          <w:p>
            <w:pPr>
              <w:pStyle w:val="TableParagraph"/>
              <w:spacing w:before="0"/>
              <w:rPr>
                <w:sz w:val="24"/>
              </w:rPr>
            </w:pPr>
            <w:r>
              <w:rPr>
                <w:sz w:val="24"/>
              </w:rPr>
              <w:t>A.C.N. 072 003 537</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21 December 1995</w:t>
            </w:r>
          </w:p>
        </w:tc>
      </w:tr>
      <w:tr>
        <w:trPr>
          <w:trHeight w:val="911" w:hRule="atLeast"/>
        </w:trPr>
        <w:tc>
          <w:tcPr>
            <w:tcW w:w="1988" w:type="dxa"/>
            <w:tcBorders>
              <w:top w:val="single" w:sz="4" w:space="0" w:color="000000"/>
              <w:bottom w:val="single" w:sz="4" w:space="0" w:color="000000"/>
              <w:right w:val="single" w:sz="4" w:space="0" w:color="000000"/>
            </w:tcBorders>
          </w:tcPr>
          <w:p>
            <w:pPr>
              <w:pStyle w:val="TableParagraph"/>
              <w:ind w:left="40" w:right="493"/>
              <w:rPr>
                <w:sz w:val="24"/>
              </w:rPr>
            </w:pPr>
            <w:r>
              <w:rPr>
                <w:sz w:val="24"/>
              </w:rPr>
              <w:t>Somerset Dam Hydro</w:t>
            </w:r>
          </w:p>
        </w:tc>
        <w:tc>
          <w:tcPr>
            <w:tcW w:w="3962"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Hydro Power Pty Ltd</w:t>
            </w:r>
          </w:p>
          <w:p>
            <w:pPr>
              <w:pStyle w:val="TableParagraph"/>
              <w:rPr>
                <w:sz w:val="24"/>
              </w:rPr>
            </w:pPr>
            <w:r>
              <w:rPr>
                <w:sz w:val="24"/>
              </w:rPr>
              <w:t>A.C.N. 010 669 351</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1 June 1996</w:t>
            </w:r>
          </w:p>
        </w:tc>
      </w:tr>
      <w:tr>
        <w:trPr>
          <w:trHeight w:val="1067" w:hRule="atLeast"/>
        </w:trPr>
        <w:tc>
          <w:tcPr>
            <w:tcW w:w="1988" w:type="dxa"/>
            <w:tcBorders>
              <w:top w:val="single" w:sz="4" w:space="0" w:color="000000"/>
              <w:right w:val="single" w:sz="4" w:space="0" w:color="000000"/>
            </w:tcBorders>
          </w:tcPr>
          <w:p>
            <w:pPr>
              <w:pStyle w:val="TableParagraph"/>
              <w:ind w:left="40" w:right="519"/>
              <w:rPr>
                <w:sz w:val="24"/>
              </w:rPr>
            </w:pPr>
            <w:r>
              <w:rPr>
                <w:sz w:val="24"/>
              </w:rPr>
              <w:t>Browns Plains Landfill Gas</w:t>
            </w:r>
          </w:p>
        </w:tc>
        <w:tc>
          <w:tcPr>
            <w:tcW w:w="3962" w:type="dxa"/>
            <w:tcBorders>
              <w:top w:val="single" w:sz="4" w:space="0" w:color="000000"/>
              <w:left w:val="single" w:sz="4" w:space="0" w:color="000000"/>
              <w:right w:val="single" w:sz="4" w:space="0" w:color="000000"/>
            </w:tcBorders>
          </w:tcPr>
          <w:p>
            <w:pPr>
              <w:pStyle w:val="TableParagraph"/>
              <w:rPr>
                <w:sz w:val="24"/>
              </w:rPr>
            </w:pPr>
            <w:r>
              <w:rPr>
                <w:sz w:val="24"/>
              </w:rPr>
              <w:t>EDL LFG (QLD) Pty Ltd A.C.N.</w:t>
            </w:r>
            <w:r>
              <w:rPr>
                <w:spacing w:val="-9"/>
                <w:sz w:val="24"/>
              </w:rPr>
              <w:t> </w:t>
            </w:r>
            <w:r>
              <w:rPr>
                <w:sz w:val="24"/>
              </w:rPr>
              <w:t>071</w:t>
            </w:r>
          </w:p>
          <w:p>
            <w:pPr>
              <w:pStyle w:val="TableParagraph"/>
              <w:spacing w:before="0"/>
              <w:rPr>
                <w:sz w:val="24"/>
              </w:rPr>
            </w:pPr>
            <w:r>
              <w:rPr>
                <w:sz w:val="24"/>
              </w:rPr>
              <w:t>089 579 and Energex Limited</w:t>
            </w:r>
            <w:r>
              <w:rPr>
                <w:spacing w:val="-2"/>
                <w:sz w:val="24"/>
              </w:rPr>
              <w:t> </w:t>
            </w:r>
            <w:r>
              <w:rPr>
                <w:sz w:val="24"/>
              </w:rPr>
              <w:t>A.C.N.</w:t>
            </w:r>
          </w:p>
          <w:p>
            <w:pPr>
              <w:pStyle w:val="TableParagraph"/>
              <w:spacing w:before="0"/>
              <w:rPr>
                <w:sz w:val="24"/>
              </w:rPr>
            </w:pPr>
            <w:r>
              <w:rPr>
                <w:sz w:val="24"/>
              </w:rPr>
              <w:t>078 849 055</w:t>
            </w:r>
          </w:p>
        </w:tc>
        <w:tc>
          <w:tcPr>
            <w:tcW w:w="1987" w:type="dxa"/>
            <w:tcBorders>
              <w:top w:val="single" w:sz="4" w:space="0" w:color="000000"/>
              <w:left w:val="single" w:sz="4" w:space="0" w:color="000000"/>
              <w:right w:val="single" w:sz="4" w:space="0" w:color="000000"/>
            </w:tcBorders>
          </w:tcPr>
          <w:p>
            <w:pPr>
              <w:pStyle w:val="TableParagraph"/>
              <w:rPr>
                <w:sz w:val="24"/>
              </w:rPr>
            </w:pPr>
            <w:r>
              <w:rPr>
                <w:sz w:val="24"/>
              </w:rPr>
              <w:t>31 July 1996</w:t>
            </w:r>
          </w:p>
        </w:tc>
      </w:tr>
    </w:tbl>
    <w:p>
      <w:pPr>
        <w:spacing w:after="0"/>
        <w:rPr>
          <w:sz w:val="24"/>
        </w:rPr>
        <w:sectPr>
          <w:pgSz w:w="11910" w:h="16840"/>
          <w:pgMar w:header="686" w:footer="637" w:top="1320" w:bottom="820" w:left="1200" w:right="1000"/>
        </w:sectPr>
      </w:pPr>
    </w:p>
    <w:p>
      <w:pPr>
        <w:pStyle w:val="BodyText"/>
        <w:spacing w:before="0"/>
        <w:ind w:firstLine="0"/>
        <w:jc w:val="left"/>
        <w:rPr>
          <w:rFonts w:ascii="Arial"/>
          <w:b/>
          <w:sz w:val="20"/>
        </w:rPr>
      </w:pPr>
    </w:p>
    <w:p>
      <w:pPr>
        <w:pStyle w:val="BodyText"/>
        <w:spacing w:before="2"/>
        <w:ind w:firstLine="0"/>
        <w:jc w:val="left"/>
        <w:rPr>
          <w:rFonts w:ascii="Arial"/>
          <w:b/>
          <w:sz w:val="26"/>
        </w:rPr>
      </w:pPr>
    </w:p>
    <w:p>
      <w:pPr>
        <w:spacing w:after="0"/>
        <w:jc w:val="left"/>
        <w:rPr>
          <w:rFonts w:ascii="Arial"/>
          <w:sz w:val="26"/>
        </w:rPr>
        <w:sectPr>
          <w:pgSz w:w="11910" w:h="16840"/>
          <w:pgMar w:header="686" w:footer="637" w:top="1320" w:bottom="820" w:left="1200" w:right="1000"/>
        </w:sectPr>
      </w:pPr>
    </w:p>
    <w:p>
      <w:pPr>
        <w:spacing w:before="91"/>
        <w:ind w:left="1392" w:right="0" w:firstLine="0"/>
        <w:jc w:val="left"/>
        <w:rPr>
          <w:sz w:val="24"/>
        </w:rPr>
      </w:pPr>
      <w:r>
        <w:rPr>
          <w:position w:val="7"/>
          <w:sz w:val="16"/>
        </w:rPr>
        <w:t>1 </w:t>
      </w:r>
      <w:r>
        <w:rPr>
          <w:sz w:val="24"/>
        </w:rPr>
        <w:t>GPS</w:t>
      </w:r>
    </w:p>
    <w:p>
      <w:pPr>
        <w:pStyle w:val="BodyText"/>
        <w:spacing w:before="0"/>
        <w:ind w:left="1392" w:firstLine="0"/>
        <w:jc w:val="left"/>
      </w:pPr>
      <w:r>
        <w:rPr>
          <w:spacing w:val="-1"/>
        </w:rPr>
        <w:t>Participants</w:t>
      </w:r>
    </w:p>
    <w:p>
      <w:pPr>
        <w:pStyle w:val="BodyText"/>
        <w:spacing w:line="343" w:lineRule="auto" w:before="91"/>
        <w:ind w:left="1485" w:right="1539" w:hanging="890"/>
        <w:jc w:val="left"/>
      </w:pPr>
      <w:r>
        <w:rPr/>
        <w:br w:type="column"/>
      </w:r>
      <w:r>
        <w:rPr/>
        <w:t>Each of: GPS Power Pty Ltd, A.C.N. 009 103 422; GPS Energy Pty Ltd, A.C.N. 063 207 456;</w:t>
      </w:r>
    </w:p>
    <w:p>
      <w:pPr>
        <w:pStyle w:val="BodyText"/>
        <w:spacing w:before="3"/>
        <w:ind w:left="1485" w:firstLine="0"/>
        <w:jc w:val="left"/>
      </w:pPr>
      <w:r>
        <w:rPr/>
        <w:t>Sunshine State Power B.V., A.R.B.N. 062 295</w:t>
      </w:r>
      <w:r>
        <w:rPr>
          <w:spacing w:val="-26"/>
        </w:rPr>
        <w:t> </w:t>
      </w:r>
      <w:r>
        <w:rPr/>
        <w:t>425;</w:t>
      </w:r>
    </w:p>
    <w:p>
      <w:pPr>
        <w:pStyle w:val="BodyText"/>
        <w:ind w:left="1485" w:firstLine="0"/>
        <w:jc w:val="left"/>
      </w:pPr>
      <w:r>
        <w:rPr/>
        <w:t>Sunshine State Power (No 2) B.V., ARBN 063</w:t>
      </w:r>
      <w:r>
        <w:rPr>
          <w:spacing w:val="-22"/>
        </w:rPr>
        <w:t> </w:t>
      </w:r>
      <w:r>
        <w:rPr/>
        <w:t>382</w:t>
      </w:r>
    </w:p>
    <w:p>
      <w:pPr>
        <w:pStyle w:val="BodyText"/>
        <w:spacing w:before="0"/>
        <w:ind w:left="1485" w:firstLine="0"/>
        <w:jc w:val="left"/>
      </w:pPr>
      <w:r>
        <w:rPr/>
        <w:t>829;</w:t>
      </w:r>
    </w:p>
    <w:p>
      <w:pPr>
        <w:pStyle w:val="BodyText"/>
        <w:ind w:left="1485" w:firstLine="0"/>
        <w:jc w:val="left"/>
      </w:pPr>
      <w:r>
        <w:rPr/>
        <w:t>SLMA GPS Pty Ltd, A.C.N. 063 779 028;</w:t>
      </w:r>
    </w:p>
    <w:p>
      <w:pPr>
        <w:pStyle w:val="BodyText"/>
        <w:ind w:left="1485" w:firstLine="0"/>
        <w:jc w:val="left"/>
      </w:pPr>
      <w:r>
        <w:rPr/>
        <w:t>Ryowa II GPS Pty Ltd, A.C.N. 063 780 058; and</w:t>
      </w:r>
    </w:p>
    <w:p>
      <w:pPr>
        <w:pStyle w:val="BodyText"/>
        <w:ind w:left="1485" w:right="846" w:firstLine="0"/>
        <w:jc w:val="left"/>
      </w:pPr>
      <w:r>
        <w:rPr/>
        <w:t>YKK GPS (Queensland) Pty Ltd, A.C.N. 062 905 275.</w:t>
      </w:r>
    </w:p>
    <w:p>
      <w:pPr>
        <w:spacing w:after="0"/>
        <w:jc w:val="left"/>
        <w:sectPr>
          <w:type w:val="continuous"/>
          <w:pgSz w:w="11910" w:h="16840"/>
          <w:pgMar w:top="1360" w:bottom="280" w:left="1200" w:right="1000"/>
          <w:cols w:num="2" w:equalWidth="0">
            <w:col w:w="2525" w:space="40"/>
            <w:col w:w="7145"/>
          </w:cols>
        </w:sectPr>
      </w:pPr>
    </w:p>
    <w:p>
      <w:pPr>
        <w:pStyle w:val="BodyText"/>
        <w:spacing w:before="0"/>
        <w:ind w:firstLine="0"/>
        <w:jc w:val="left"/>
        <w:rPr>
          <w:sz w:val="20"/>
        </w:rPr>
      </w:pPr>
    </w:p>
    <w:p>
      <w:pPr>
        <w:pStyle w:val="BodyText"/>
        <w:spacing w:before="0"/>
        <w:ind w:firstLine="0"/>
        <w:jc w:val="left"/>
        <w:rPr>
          <w:sz w:val="20"/>
        </w:rPr>
      </w:pPr>
    </w:p>
    <w:p>
      <w:pPr>
        <w:pStyle w:val="BodyText"/>
        <w:spacing w:before="9"/>
        <w:ind w:firstLine="0"/>
        <w:jc w:val="left"/>
        <w:rPr>
          <w:sz w:val="17"/>
        </w:rPr>
      </w:pPr>
    </w:p>
    <w:p>
      <w:pPr>
        <w:spacing w:after="0"/>
        <w:jc w:val="left"/>
        <w:rPr>
          <w:sz w:val="17"/>
        </w:rPr>
        <w:sectPr>
          <w:type w:val="continuous"/>
          <w:pgSz w:w="11910" w:h="16840"/>
          <w:pgMar w:top="1360" w:bottom="280" w:left="1200" w:right="1000"/>
        </w:sectPr>
      </w:pPr>
    </w:p>
    <w:p>
      <w:pPr>
        <w:pStyle w:val="BodyText"/>
        <w:spacing w:before="91"/>
        <w:ind w:left="1392" w:firstLine="60"/>
        <w:jc w:val="left"/>
      </w:pPr>
      <w:r>
        <w:rPr>
          <w:position w:val="7"/>
          <w:sz w:val="16"/>
        </w:rPr>
        <w:t>2 </w:t>
      </w:r>
      <w:r>
        <w:rPr/>
        <w:t>Collinsville Participants</w:t>
      </w:r>
    </w:p>
    <w:p>
      <w:pPr>
        <w:pStyle w:val="BodyText"/>
        <w:spacing w:before="91"/>
        <w:ind w:left="1297" w:right="284" w:hanging="890"/>
        <w:jc w:val="left"/>
      </w:pPr>
      <w:r>
        <w:rPr/>
        <w:br w:type="column"/>
      </w:r>
      <w:r>
        <w:rPr/>
        <w:t>Each of: Transfield Collinsville Pty Ltd, A.C.N. 058 436 847; and</w:t>
      </w:r>
    </w:p>
    <w:p>
      <w:pPr>
        <w:pStyle w:val="BodyText"/>
        <w:ind w:left="1297" w:right="640" w:firstLine="0"/>
        <w:jc w:val="left"/>
      </w:pPr>
      <w:r>
        <w:rPr/>
        <w:t>Transfield Services Collinsville B.V., A.R.B.N. 070 968 606.</w:t>
      </w:r>
    </w:p>
    <w:p>
      <w:pPr>
        <w:spacing w:after="0"/>
        <w:jc w:val="left"/>
        <w:sectPr>
          <w:type w:val="continuous"/>
          <w:pgSz w:w="11910" w:h="16840"/>
          <w:pgMar w:top="1360" w:bottom="280" w:left="1200" w:right="1000"/>
          <w:cols w:num="2" w:equalWidth="0">
            <w:col w:w="2713" w:space="40"/>
            <w:col w:w="6957"/>
          </w:cols>
        </w:sectPr>
      </w:pPr>
    </w:p>
    <w:p>
      <w:pPr>
        <w:pStyle w:val="BodyText"/>
        <w:spacing w:before="0"/>
        <w:ind w:firstLine="0"/>
        <w:jc w:val="left"/>
        <w:rPr>
          <w:sz w:val="20"/>
        </w:rPr>
      </w:pPr>
    </w:p>
    <w:p>
      <w:pPr>
        <w:pStyle w:val="BodyText"/>
        <w:spacing w:before="5"/>
        <w:ind w:firstLine="0"/>
        <w:jc w:val="left"/>
        <w:rPr>
          <w:sz w:val="27"/>
        </w:rPr>
      </w:pPr>
    </w:p>
    <w:p>
      <w:pPr>
        <w:pStyle w:val="Heading2"/>
        <w:tabs>
          <w:tab w:pos="1352" w:val="left" w:leader="none"/>
          <w:tab w:pos="9317" w:val="left" w:leader="none"/>
        </w:tabs>
        <w:spacing w:before="91"/>
      </w:pPr>
      <w:bookmarkStart w:name="Part F Jurisdictional Derogations for Ta" w:id="3005"/>
      <w:bookmarkEnd w:id="3005"/>
      <w:r>
        <w:rPr>
          <w:b w:val="0"/>
        </w:rPr>
      </w:r>
      <w:bookmarkStart w:name="_bookmark1209" w:id="3006"/>
      <w:bookmarkEnd w:id="3006"/>
      <w:r>
        <w:rPr>
          <w:b w:val="0"/>
        </w:rPr>
      </w:r>
      <w:r>
        <w:rPr>
          <w:shd w:fill="D9D9D9" w:color="auto" w:val="clear"/>
        </w:rPr>
        <w:t>Part F</w:t>
        <w:tab/>
        <w:t>Jurisdictional Derogations for</w:t>
      </w:r>
      <w:r>
        <w:rPr>
          <w:spacing w:val="-22"/>
          <w:shd w:fill="D9D9D9" w:color="auto" w:val="clear"/>
        </w:rPr>
        <w:t> </w:t>
      </w:r>
      <w:r>
        <w:rPr>
          <w:shd w:fill="D9D9D9" w:color="auto" w:val="clear"/>
        </w:rPr>
        <w:t>Tasmania</w:t>
        <w:tab/>
      </w:r>
    </w:p>
    <w:p>
      <w:pPr>
        <w:pStyle w:val="Heading3"/>
        <w:numPr>
          <w:ilvl w:val="1"/>
          <w:numId w:val="686"/>
        </w:numPr>
        <w:tabs>
          <w:tab w:pos="1351" w:val="left" w:leader="none"/>
          <w:tab w:pos="1353" w:val="left" w:leader="none"/>
        </w:tabs>
        <w:spacing w:line="240" w:lineRule="auto" w:before="240" w:after="0"/>
        <w:ind w:left="1352" w:right="0" w:hanging="1135"/>
        <w:jc w:val="left"/>
      </w:pPr>
      <w:bookmarkStart w:name="9.42 Definitions and interpretation" w:id="3007"/>
      <w:bookmarkEnd w:id="3007"/>
      <w:r>
        <w:rPr>
          <w:b w:val="0"/>
        </w:rPr>
      </w:r>
      <w:bookmarkStart w:name="_bookmark1210" w:id="3008"/>
      <w:bookmarkEnd w:id="3008"/>
      <w:r>
        <w:rPr>
          <w:b w:val="0"/>
        </w:rPr>
      </w:r>
      <w:bookmarkStart w:name="_bookmark1210" w:id="3009"/>
      <w:bookmarkEnd w:id="3009"/>
      <w:r>
        <w:rPr/>
        <w:t>Defini</w:t>
      </w:r>
      <w:r>
        <w:rPr/>
        <w:t>tions and</w:t>
      </w:r>
      <w:r>
        <w:rPr>
          <w:spacing w:val="-2"/>
        </w:rPr>
        <w:t> </w:t>
      </w:r>
      <w:r>
        <w:rPr/>
        <w:t>interpretation</w:t>
      </w:r>
    </w:p>
    <w:p>
      <w:pPr>
        <w:pStyle w:val="Heading4"/>
        <w:numPr>
          <w:ilvl w:val="2"/>
          <w:numId w:val="700"/>
        </w:numPr>
        <w:tabs>
          <w:tab w:pos="1351" w:val="left" w:leader="none"/>
          <w:tab w:pos="1352" w:val="left" w:leader="none"/>
        </w:tabs>
        <w:spacing w:line="240" w:lineRule="auto" w:before="240" w:after="0"/>
        <w:ind w:left="1351" w:right="0" w:hanging="1134"/>
        <w:jc w:val="left"/>
      </w:pPr>
      <w:bookmarkStart w:name="9.42.1 Definitions" w:id="3010"/>
      <w:bookmarkEnd w:id="3010"/>
      <w:r>
        <w:rPr>
          <w:b w:val="0"/>
        </w:rPr>
      </w:r>
      <w:bookmarkStart w:name="_bookmark1211" w:id="3011"/>
      <w:bookmarkEnd w:id="3011"/>
      <w:r>
        <w:rPr>
          <w:b w:val="0"/>
        </w:rPr>
      </w:r>
      <w:bookmarkStart w:name="_bookmark1211" w:id="3012"/>
      <w:bookmarkEnd w:id="3012"/>
      <w:r>
        <w:rPr/>
        <w:t>Definition</w:t>
      </w:r>
      <w:r>
        <w:rPr/>
        <w:t>s</w:t>
      </w:r>
    </w:p>
    <w:p>
      <w:pPr>
        <w:pStyle w:val="BodyText"/>
        <w:ind w:left="1352" w:firstLine="0"/>
      </w:pPr>
      <w:r>
        <w:rPr/>
        <w:t>For the purposes of this Part F:</w:t>
      </w:r>
    </w:p>
    <w:p>
      <w:pPr>
        <w:pStyle w:val="ListParagraph"/>
        <w:numPr>
          <w:ilvl w:val="3"/>
          <w:numId w:val="700"/>
        </w:numPr>
        <w:tabs>
          <w:tab w:pos="1919" w:val="left" w:leader="none"/>
        </w:tabs>
        <w:spacing w:line="240" w:lineRule="auto" w:before="120" w:after="0"/>
        <w:ind w:left="1919" w:right="415" w:hanging="567"/>
        <w:jc w:val="both"/>
        <w:rPr>
          <w:sz w:val="24"/>
        </w:rPr>
      </w:pPr>
      <w:r>
        <w:rPr>
          <w:sz w:val="24"/>
        </w:rPr>
        <w:t>a word or expression defined in the glossary in chapter 10 has the meaning given to it in the glossary, unless it is referred to in column 1 of </w:t>
      </w:r>
      <w:r>
        <w:rPr>
          <w:spacing w:val="-4"/>
          <w:sz w:val="24"/>
        </w:rPr>
        <w:t>the </w:t>
      </w:r>
      <w:r>
        <w:rPr>
          <w:sz w:val="24"/>
        </w:rPr>
        <w:t>following table;</w:t>
      </w:r>
      <w:r>
        <w:rPr>
          <w:spacing w:val="-1"/>
          <w:sz w:val="24"/>
        </w:rPr>
        <w:t> </w:t>
      </w:r>
      <w:r>
        <w:rPr>
          <w:sz w:val="24"/>
        </w:rPr>
        <w:t>and</w:t>
      </w:r>
    </w:p>
    <w:p>
      <w:pPr>
        <w:pStyle w:val="ListParagraph"/>
        <w:numPr>
          <w:ilvl w:val="3"/>
          <w:numId w:val="700"/>
        </w:numPr>
        <w:tabs>
          <w:tab w:pos="1919" w:val="left" w:leader="none"/>
        </w:tabs>
        <w:spacing w:line="240" w:lineRule="auto" w:before="120" w:after="0"/>
        <w:ind w:left="1919" w:right="415" w:hanging="567"/>
        <w:jc w:val="both"/>
        <w:rPr>
          <w:sz w:val="24"/>
        </w:rPr>
      </w:pPr>
      <w:r>
        <w:rPr>
          <w:sz w:val="24"/>
        </w:rPr>
        <w:t>a word or expression referred to in column 1 of the following table has the meaning given to it in column 2 of the</w:t>
      </w:r>
      <w:r>
        <w:rPr>
          <w:spacing w:val="-1"/>
          <w:sz w:val="24"/>
        </w:rPr>
        <w:t> </w:t>
      </w:r>
      <w:r>
        <w:rPr>
          <w:sz w:val="24"/>
        </w:rPr>
        <w:t>table:</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Aurora</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Aurora Energy Pty Ltd (ABN 85 082 464 622).</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Basslink</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13"/>
              <w:rPr>
                <w:sz w:val="24"/>
              </w:rPr>
            </w:pPr>
            <w:r>
              <w:rPr>
                <w:sz w:val="24"/>
              </w:rPr>
              <w:t>The project for the interconnection, by means of a DC electricity transmission link, of the Victorian and Tasmanian </w:t>
            </w:r>
            <w:r>
              <w:rPr>
                <w:i/>
                <w:sz w:val="24"/>
              </w:rPr>
              <w:t>transmission systems</w:t>
            </w:r>
            <w:r>
              <w:rPr>
                <w:sz w:val="24"/>
              </w:rPr>
              <w:t>.</w:t>
            </w:r>
          </w:p>
        </w:tc>
      </w:tr>
      <w:tr>
        <w:trPr>
          <w:trHeight w:val="515"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ESI Act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w:t>
            </w:r>
            <w:r>
              <w:rPr>
                <w:i/>
                <w:sz w:val="24"/>
              </w:rPr>
              <w:t>Electricity Supply Industry Act 1995 </w:t>
            </w:r>
            <w:r>
              <w:rPr>
                <w:sz w:val="24"/>
              </w:rPr>
              <w:t>(Tas).</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George Town Substation</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59"/>
              <w:rPr>
                <w:sz w:val="24"/>
              </w:rPr>
            </w:pPr>
            <w:r>
              <w:rPr>
                <w:sz w:val="24"/>
              </w:rPr>
              <w:t>The electricity substation located on the land comprised in Certificate of Title Volume 34076 Folio 1.</w:t>
            </w:r>
          </w:p>
        </w:tc>
      </w:tr>
    </w:tbl>
    <w:p>
      <w:pPr>
        <w:spacing w:after="0"/>
        <w:rPr>
          <w:sz w:val="24"/>
        </w:rPr>
        <w:sectPr>
          <w:type w:val="continuous"/>
          <w:pgSz w:w="11910" w:h="16840"/>
          <w:pgMar w:top="1360" w:bottom="280" w:left="1200" w:right="1000"/>
        </w:sectPr>
      </w:pPr>
    </w:p>
    <w:p>
      <w:pPr>
        <w:pStyle w:val="BodyText"/>
        <w:spacing w:before="2"/>
        <w:ind w:firstLine="0"/>
        <w:jc w:val="left"/>
        <w:rPr>
          <w:sz w:val="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0"/>
        <w:gridCol w:w="5287"/>
      </w:tblGrid>
      <w:tr>
        <w:trPr>
          <w:trHeight w:val="395" w:hRule="atLeast"/>
        </w:trPr>
        <w:tc>
          <w:tcPr>
            <w:tcW w:w="265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Column 1</w:t>
            </w:r>
          </w:p>
        </w:tc>
        <w:tc>
          <w:tcPr>
            <w:tcW w:w="5287"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Column 2</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Hydro Tasmania</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The Hydro-Electric Corporation (ABN 48 072 377</w:t>
            </w:r>
          </w:p>
          <w:p>
            <w:pPr>
              <w:pStyle w:val="TableParagraph"/>
              <w:spacing w:before="0"/>
              <w:rPr>
                <w:sz w:val="24"/>
              </w:rPr>
            </w:pPr>
            <w:r>
              <w:rPr>
                <w:sz w:val="24"/>
              </w:rPr>
              <w:t>158).</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Minister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699"/>
              <w:rPr>
                <w:sz w:val="24"/>
              </w:rPr>
            </w:pPr>
            <w:r>
              <w:rPr>
                <w:sz w:val="24"/>
              </w:rPr>
              <w:t>The Minister for the time being responsible for administering the </w:t>
            </w:r>
            <w:r>
              <w:rPr>
                <w:i/>
                <w:sz w:val="24"/>
              </w:rPr>
              <w:t>ESI Act</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Tasmanian Code</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93"/>
              <w:rPr>
                <w:sz w:val="24"/>
              </w:rPr>
            </w:pPr>
            <w:r>
              <w:rPr>
                <w:sz w:val="24"/>
              </w:rPr>
              <w:t>The Tasmanian Electricity Code issued under section 49A of the </w:t>
            </w:r>
            <w:r>
              <w:rPr>
                <w:i/>
                <w:sz w:val="24"/>
              </w:rPr>
              <w:t>ESI Act</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834"/>
              <w:rPr>
                <w:b/>
                <w:sz w:val="24"/>
              </w:rPr>
            </w:pPr>
            <w:r>
              <w:rPr>
                <w:b/>
                <w:sz w:val="24"/>
              </w:rPr>
              <w:t>Tasmanian Code Participant</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786"/>
              <w:rPr>
                <w:sz w:val="24"/>
              </w:rPr>
            </w:pPr>
            <w:r>
              <w:rPr>
                <w:sz w:val="24"/>
              </w:rPr>
              <w:t>A person who is a Code Participant within the meaning of the </w:t>
            </w:r>
            <w:r>
              <w:rPr>
                <w:i/>
                <w:sz w:val="24"/>
              </w:rPr>
              <w:t>Tasmanian Code</w:t>
            </w:r>
            <w:r>
              <w:rPr>
                <w:sz w:val="24"/>
              </w:rPr>
              <w:t>.</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ight="301"/>
              <w:rPr>
                <w:b/>
                <w:sz w:val="24"/>
              </w:rPr>
            </w:pPr>
            <w:r>
              <w:rPr>
                <w:b/>
                <w:sz w:val="24"/>
              </w:rPr>
              <w:t>Tasmanian Electricity Regulator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340"/>
              <w:rPr>
                <w:sz w:val="24"/>
              </w:rPr>
            </w:pPr>
            <w:r>
              <w:rPr>
                <w:sz w:val="24"/>
              </w:rPr>
              <w:t>The office of the Regulator established pursuant to section 5 of the </w:t>
            </w:r>
            <w:r>
              <w:rPr>
                <w:i/>
                <w:sz w:val="24"/>
              </w:rPr>
              <w:t>ESI Act</w:t>
            </w:r>
            <w:r>
              <w:rPr>
                <w:sz w:val="24"/>
              </w:rPr>
              <w:t>.</w:t>
            </w:r>
          </w:p>
        </w:tc>
      </w:tr>
      <w:tr>
        <w:trPr>
          <w:trHeight w:val="1067" w:hRule="atLeast"/>
        </w:trPr>
        <w:tc>
          <w:tcPr>
            <w:tcW w:w="2650" w:type="dxa"/>
            <w:tcBorders>
              <w:top w:val="single" w:sz="4" w:space="0" w:color="000000"/>
              <w:bottom w:val="single" w:sz="4" w:space="0" w:color="000000"/>
              <w:right w:val="single" w:sz="4" w:space="0" w:color="000000"/>
            </w:tcBorders>
          </w:tcPr>
          <w:p>
            <w:pPr>
              <w:pStyle w:val="TableParagraph"/>
              <w:ind w:left="40" w:right="474"/>
              <w:rPr>
                <w:b/>
                <w:sz w:val="24"/>
              </w:rPr>
            </w:pPr>
            <w:r>
              <w:rPr>
                <w:b/>
                <w:sz w:val="24"/>
              </w:rPr>
              <w:t>Tasmanian Network Service Provider</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ind w:right="93"/>
              <w:rPr>
                <w:sz w:val="24"/>
              </w:rPr>
            </w:pPr>
            <w:r>
              <w:rPr>
                <w:sz w:val="24"/>
              </w:rPr>
              <w:t>A person who is a </w:t>
            </w:r>
            <w:r>
              <w:rPr>
                <w:i/>
                <w:sz w:val="24"/>
              </w:rPr>
              <w:t>Network Service Provider </w:t>
            </w:r>
            <w:r>
              <w:rPr>
                <w:sz w:val="24"/>
              </w:rPr>
              <w:t>in respect of a </w:t>
            </w:r>
            <w:r>
              <w:rPr>
                <w:i/>
                <w:sz w:val="24"/>
              </w:rPr>
              <w:t>network </w:t>
            </w:r>
            <w:r>
              <w:rPr>
                <w:sz w:val="24"/>
              </w:rPr>
              <w:t>located in Tasmania (including the </w:t>
            </w:r>
            <w:r>
              <w:rPr>
                <w:i/>
                <w:sz w:val="24"/>
              </w:rPr>
              <w:t>Network Service Provider </w:t>
            </w:r>
            <w:r>
              <w:rPr>
                <w:sz w:val="24"/>
              </w:rPr>
              <w:t>in respect of Basslink).</w:t>
            </w:r>
          </w:p>
        </w:tc>
      </w:tr>
      <w:tr>
        <w:trPr>
          <w:trHeight w:val="791" w:hRule="atLeast"/>
        </w:trPr>
        <w:tc>
          <w:tcPr>
            <w:tcW w:w="2650" w:type="dxa"/>
            <w:tcBorders>
              <w:top w:val="single" w:sz="4" w:space="0" w:color="000000"/>
              <w:bottom w:val="single" w:sz="4" w:space="0" w:color="000000"/>
              <w:right w:val="single" w:sz="4" w:space="0" w:color="000000"/>
            </w:tcBorders>
          </w:tcPr>
          <w:p>
            <w:pPr>
              <w:pStyle w:val="TableParagraph"/>
              <w:ind w:left="40"/>
              <w:rPr>
                <w:b/>
                <w:sz w:val="24"/>
              </w:rPr>
            </w:pPr>
            <w:r>
              <w:rPr>
                <w:b/>
                <w:sz w:val="24"/>
              </w:rPr>
              <w:t>Transend</w:t>
            </w:r>
          </w:p>
        </w:tc>
        <w:tc>
          <w:tcPr>
            <w:tcW w:w="528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Transend Networks Pty Limited (ABN 57 082 586</w:t>
            </w:r>
          </w:p>
          <w:p>
            <w:pPr>
              <w:pStyle w:val="TableParagraph"/>
              <w:spacing w:before="0"/>
              <w:rPr>
                <w:sz w:val="24"/>
              </w:rPr>
            </w:pPr>
            <w:r>
              <w:rPr>
                <w:sz w:val="24"/>
              </w:rPr>
              <w:t>892).</w:t>
            </w:r>
          </w:p>
        </w:tc>
      </w:tr>
      <w:tr>
        <w:trPr>
          <w:trHeight w:val="1067" w:hRule="atLeast"/>
        </w:trPr>
        <w:tc>
          <w:tcPr>
            <w:tcW w:w="2650" w:type="dxa"/>
            <w:tcBorders>
              <w:top w:val="single" w:sz="4" w:space="0" w:color="000000"/>
              <w:right w:val="single" w:sz="4" w:space="0" w:color="000000"/>
            </w:tcBorders>
          </w:tcPr>
          <w:p>
            <w:pPr>
              <w:pStyle w:val="TableParagraph"/>
              <w:ind w:left="40"/>
              <w:rPr>
                <w:b/>
                <w:sz w:val="24"/>
              </w:rPr>
            </w:pPr>
            <w:r>
              <w:rPr>
                <w:b/>
                <w:sz w:val="24"/>
              </w:rPr>
              <w:t>Transition Date</w:t>
            </w:r>
          </w:p>
        </w:tc>
        <w:tc>
          <w:tcPr>
            <w:tcW w:w="5287" w:type="dxa"/>
            <w:tcBorders>
              <w:top w:val="single" w:sz="4" w:space="0" w:color="000000"/>
              <w:left w:val="single" w:sz="4" w:space="0" w:color="000000"/>
              <w:right w:val="single" w:sz="4" w:space="0" w:color="000000"/>
            </w:tcBorders>
          </w:tcPr>
          <w:p>
            <w:pPr>
              <w:pStyle w:val="TableParagraph"/>
              <w:ind w:right="293"/>
              <w:rPr>
                <w:sz w:val="24"/>
              </w:rPr>
            </w:pPr>
            <w:r>
              <w:rPr>
                <w:sz w:val="24"/>
              </w:rPr>
              <w:t>The date on and from which section 6 of the </w:t>
            </w:r>
            <w:r>
              <w:rPr>
                <w:i/>
                <w:sz w:val="24"/>
              </w:rPr>
              <w:t>Electricity - National Scheme (Tasmania) Act 1999 </w:t>
            </w:r>
            <w:r>
              <w:rPr>
                <w:sz w:val="24"/>
              </w:rPr>
              <w:t>commences.</w:t>
            </w:r>
          </w:p>
        </w:tc>
      </w:tr>
    </w:tbl>
    <w:p>
      <w:pPr>
        <w:pStyle w:val="BodyText"/>
        <w:spacing w:before="0"/>
        <w:ind w:firstLine="0"/>
        <w:jc w:val="left"/>
        <w:rPr>
          <w:sz w:val="20"/>
        </w:rPr>
      </w:pPr>
    </w:p>
    <w:p>
      <w:pPr>
        <w:pStyle w:val="BodyText"/>
        <w:spacing w:before="10"/>
        <w:ind w:firstLine="0"/>
        <w:jc w:val="left"/>
        <w:rPr>
          <w:sz w:val="16"/>
        </w:rPr>
      </w:pPr>
    </w:p>
    <w:p>
      <w:pPr>
        <w:pStyle w:val="Heading4"/>
        <w:numPr>
          <w:ilvl w:val="2"/>
          <w:numId w:val="700"/>
        </w:numPr>
        <w:tabs>
          <w:tab w:pos="1351" w:val="left" w:leader="none"/>
          <w:tab w:pos="1352" w:val="left" w:leader="none"/>
        </w:tabs>
        <w:spacing w:line="240" w:lineRule="auto" w:before="93" w:after="0"/>
        <w:ind w:left="1351" w:right="0" w:hanging="1134"/>
        <w:jc w:val="left"/>
      </w:pPr>
      <w:bookmarkStart w:name="9.42.2 Interpretation" w:id="3013"/>
      <w:bookmarkEnd w:id="3013"/>
      <w:r>
        <w:rPr>
          <w:b w:val="0"/>
        </w:rPr>
      </w:r>
      <w:bookmarkStart w:name="_bookmark1212" w:id="3014"/>
      <w:bookmarkEnd w:id="3014"/>
      <w:r>
        <w:rPr>
          <w:b w:val="0"/>
        </w:rPr>
      </w:r>
      <w:bookmarkStart w:name="_bookmark1212" w:id="3015"/>
      <w:bookmarkEnd w:id="3015"/>
      <w:r>
        <w:rPr/>
        <w:t>Interpretation</w:t>
      </w:r>
    </w:p>
    <w:p>
      <w:pPr>
        <w:pStyle w:val="BodyText"/>
        <w:ind w:left="1352" w:right="415" w:firstLine="0"/>
      </w:pPr>
      <w:r>
        <w:rPr/>
        <w:t>In this Part F, references to Tasmania do not include King Island or Flinders Island unless the context otherwise</w:t>
      </w:r>
      <w:r>
        <w:rPr>
          <w:spacing w:val="-2"/>
        </w:rPr>
        <w:t> </w:t>
      </w:r>
      <w:r>
        <w:rPr/>
        <w:t>requires.</w:t>
      </w:r>
    </w:p>
    <w:p>
      <w:pPr>
        <w:pStyle w:val="BodyText"/>
        <w:spacing w:before="10"/>
        <w:ind w:firstLine="0"/>
        <w:jc w:val="left"/>
        <w:rPr>
          <w:sz w:val="20"/>
        </w:rPr>
      </w:pPr>
    </w:p>
    <w:p>
      <w:pPr>
        <w:pStyle w:val="Heading4"/>
        <w:numPr>
          <w:ilvl w:val="2"/>
          <w:numId w:val="700"/>
        </w:numPr>
        <w:tabs>
          <w:tab w:pos="1351" w:val="left" w:leader="none"/>
          <w:tab w:pos="1352" w:val="left" w:leader="none"/>
        </w:tabs>
        <w:spacing w:line="240" w:lineRule="auto" w:before="0" w:after="0"/>
        <w:ind w:left="1351" w:right="0" w:hanging="1134"/>
        <w:jc w:val="left"/>
      </w:pPr>
      <w:bookmarkStart w:name="9.42.3 National grid, power system and r" w:id="3016"/>
      <w:bookmarkEnd w:id="3016"/>
      <w:r>
        <w:rPr>
          <w:b w:val="0"/>
        </w:rPr>
      </w:r>
      <w:bookmarkStart w:name="_bookmark1213" w:id="3017"/>
      <w:bookmarkEnd w:id="3017"/>
      <w:r>
        <w:rPr>
          <w:b w:val="0"/>
        </w:rPr>
      </w:r>
      <w:bookmarkStart w:name="_bookmark1213" w:id="3018"/>
      <w:bookmarkEnd w:id="3018"/>
      <w:r>
        <w:rPr/>
        <w:t>Nationa</w:t>
      </w:r>
      <w:r>
        <w:rPr/>
        <w:t>l grid, power system and related</w:t>
      </w:r>
      <w:r>
        <w:rPr>
          <w:spacing w:val="-9"/>
        </w:rPr>
        <w:t> </w:t>
      </w:r>
      <w:r>
        <w:rPr/>
        <w:t>expressions</w:t>
      </w:r>
    </w:p>
    <w:p>
      <w:pPr>
        <w:pStyle w:val="BodyText"/>
        <w:ind w:left="1352" w:right="417" w:firstLine="0"/>
      </w:pPr>
      <w:r>
        <w:rPr/>
        <w:t>Notwithstanding anything else in the </w:t>
      </w:r>
      <w:r>
        <w:rPr>
          <w:i/>
        </w:rPr>
        <w:t>Rules</w:t>
      </w:r>
      <w:r>
        <w:rPr/>
        <w:t>, but subject to the other provisions of this Part F, on and from the Transition Date:</w:t>
      </w:r>
    </w:p>
    <w:p>
      <w:pPr>
        <w:pStyle w:val="ListParagraph"/>
        <w:numPr>
          <w:ilvl w:val="3"/>
          <w:numId w:val="700"/>
        </w:numPr>
        <w:tabs>
          <w:tab w:pos="1919" w:val="left" w:leader="none"/>
        </w:tabs>
        <w:spacing w:line="240" w:lineRule="auto" w:before="120" w:after="0"/>
        <w:ind w:left="1919" w:right="414" w:hanging="567"/>
        <w:jc w:val="both"/>
        <w:rPr>
          <w:sz w:val="24"/>
        </w:rPr>
      </w:pPr>
      <w:r>
        <w:rPr>
          <w:sz w:val="24"/>
        </w:rPr>
        <w:t>the </w:t>
      </w:r>
      <w:r>
        <w:rPr>
          <w:i/>
          <w:sz w:val="24"/>
        </w:rPr>
        <w:t>connected transmission systems </w:t>
      </w:r>
      <w:r>
        <w:rPr>
          <w:sz w:val="24"/>
        </w:rPr>
        <w:t>and </w:t>
      </w:r>
      <w:r>
        <w:rPr>
          <w:i/>
          <w:sz w:val="24"/>
        </w:rPr>
        <w:t>distribution systems </w:t>
      </w:r>
      <w:r>
        <w:rPr>
          <w:sz w:val="24"/>
        </w:rPr>
        <w:t>located in Tasmania are to be treated as forming part of the </w:t>
      </w:r>
      <w:r>
        <w:rPr>
          <w:i/>
          <w:sz w:val="24"/>
        </w:rPr>
        <w:t>national grid </w:t>
      </w:r>
      <w:r>
        <w:rPr>
          <w:sz w:val="24"/>
        </w:rPr>
        <w:t>and the interconnected </w:t>
      </w:r>
      <w:r>
        <w:rPr>
          <w:i/>
          <w:sz w:val="24"/>
        </w:rPr>
        <w:t>transmission </w:t>
      </w:r>
      <w:r>
        <w:rPr>
          <w:sz w:val="24"/>
        </w:rPr>
        <w:t>and </w:t>
      </w:r>
      <w:r>
        <w:rPr>
          <w:i/>
          <w:sz w:val="24"/>
        </w:rPr>
        <w:t>distribution networks</w:t>
      </w:r>
      <w:r>
        <w:rPr>
          <w:sz w:val="24"/>
        </w:rPr>
        <w:t>;</w:t>
      </w:r>
      <w:r>
        <w:rPr>
          <w:spacing w:val="-1"/>
          <w:sz w:val="24"/>
        </w:rPr>
        <w:t> </w:t>
      </w:r>
      <w:r>
        <w:rPr>
          <w:sz w:val="24"/>
        </w:rPr>
        <w:t>and</w:t>
      </w:r>
    </w:p>
    <w:p>
      <w:pPr>
        <w:pStyle w:val="ListParagraph"/>
        <w:numPr>
          <w:ilvl w:val="3"/>
          <w:numId w:val="700"/>
        </w:numPr>
        <w:tabs>
          <w:tab w:pos="1919" w:val="left" w:leader="none"/>
        </w:tabs>
        <w:spacing w:line="240" w:lineRule="auto" w:before="120" w:after="0"/>
        <w:ind w:left="1919" w:right="415" w:hanging="567"/>
        <w:jc w:val="both"/>
        <w:rPr>
          <w:sz w:val="24"/>
        </w:rPr>
      </w:pPr>
      <w:r>
        <w:rPr>
          <w:sz w:val="24"/>
        </w:rPr>
        <w:t>the electricity power system located in Tasmania, including associated </w:t>
      </w:r>
      <w:r>
        <w:rPr>
          <w:i/>
          <w:sz w:val="24"/>
        </w:rPr>
        <w:t>generation </w:t>
      </w:r>
      <w:r>
        <w:rPr>
          <w:sz w:val="24"/>
        </w:rPr>
        <w:t>and </w:t>
      </w:r>
      <w:r>
        <w:rPr>
          <w:i/>
          <w:sz w:val="24"/>
        </w:rPr>
        <w:t>transmission </w:t>
      </w:r>
      <w:r>
        <w:rPr>
          <w:sz w:val="24"/>
        </w:rPr>
        <w:t>and </w:t>
      </w:r>
      <w:r>
        <w:rPr>
          <w:i/>
          <w:sz w:val="24"/>
        </w:rPr>
        <w:t>distribution networks </w:t>
      </w:r>
      <w:r>
        <w:rPr>
          <w:sz w:val="24"/>
        </w:rPr>
        <w:t>for the </w:t>
      </w:r>
      <w:r>
        <w:rPr>
          <w:i/>
          <w:sz w:val="24"/>
        </w:rPr>
        <w:t>supply </w:t>
      </w:r>
      <w:r>
        <w:rPr>
          <w:sz w:val="24"/>
        </w:rPr>
        <w:t>of electricity, is to be treated as forming part of the </w:t>
      </w:r>
      <w:r>
        <w:rPr>
          <w:i/>
          <w:sz w:val="24"/>
        </w:rPr>
        <w:t>power system </w:t>
      </w:r>
      <w:r>
        <w:rPr>
          <w:sz w:val="24"/>
        </w:rPr>
        <w:t>and the electricity</w:t>
      </w:r>
      <w:r>
        <w:rPr>
          <w:spacing w:val="-1"/>
          <w:sz w:val="24"/>
        </w:rPr>
        <w:t> </w:t>
      </w:r>
      <w:r>
        <w:rPr>
          <w:sz w:val="24"/>
        </w:rPr>
        <w:t>system,</w:t>
      </w:r>
    </w:p>
    <w:p>
      <w:pPr>
        <w:spacing w:before="120"/>
        <w:ind w:left="1352" w:right="414" w:firstLine="0"/>
        <w:jc w:val="both"/>
        <w:rPr>
          <w:sz w:val="24"/>
        </w:rPr>
      </w:pPr>
      <w:r>
        <w:rPr>
          <w:sz w:val="24"/>
        </w:rPr>
        <w:t>even if they are not </w:t>
      </w:r>
      <w:r>
        <w:rPr>
          <w:i/>
          <w:sz w:val="24"/>
        </w:rPr>
        <w:t>connected </w:t>
      </w:r>
      <w:r>
        <w:rPr>
          <w:sz w:val="24"/>
        </w:rPr>
        <w:t>to a </w:t>
      </w:r>
      <w:r>
        <w:rPr>
          <w:i/>
          <w:sz w:val="24"/>
        </w:rPr>
        <w:t>network </w:t>
      </w:r>
      <w:r>
        <w:rPr>
          <w:sz w:val="24"/>
        </w:rPr>
        <w:t>or </w:t>
      </w:r>
      <w:r>
        <w:rPr>
          <w:i/>
          <w:sz w:val="24"/>
        </w:rPr>
        <w:t>networks </w:t>
      </w:r>
      <w:r>
        <w:rPr>
          <w:sz w:val="24"/>
        </w:rPr>
        <w:t>in other </w:t>
      </w:r>
      <w:r>
        <w:rPr>
          <w:i/>
          <w:sz w:val="24"/>
        </w:rPr>
        <w:t>participating </w:t>
      </w:r>
      <w:r>
        <w:rPr>
          <w:i/>
          <w:sz w:val="24"/>
        </w:rPr>
        <w:t>jurisdictions</w:t>
      </w:r>
      <w:r>
        <w:rPr>
          <w:sz w:val="24"/>
        </w:rPr>
        <w:t>.</w:t>
      </w:r>
    </w:p>
    <w:p>
      <w:pPr>
        <w:spacing w:after="0"/>
        <w:jc w:val="both"/>
        <w:rPr>
          <w:sz w:val="24"/>
        </w:rPr>
        <w:sectPr>
          <w:pgSz w:w="11910" w:h="16840"/>
          <w:pgMar w:header="686" w:footer="637" w:top="1320" w:bottom="820" w:left="1200" w:right="1000"/>
        </w:sectPr>
      </w:pPr>
    </w:p>
    <w:p>
      <w:pPr>
        <w:pStyle w:val="Heading3"/>
        <w:numPr>
          <w:ilvl w:val="1"/>
          <w:numId w:val="686"/>
        </w:numPr>
        <w:tabs>
          <w:tab w:pos="1351" w:val="left" w:leader="none"/>
          <w:tab w:pos="1353" w:val="left" w:leader="none"/>
        </w:tabs>
        <w:spacing w:line="240" w:lineRule="auto" w:before="83" w:after="0"/>
        <w:ind w:left="1352" w:right="0" w:hanging="1135"/>
        <w:jc w:val="left"/>
      </w:pPr>
      <w:bookmarkStart w:name="9.43 [Deleted]" w:id="3019"/>
      <w:bookmarkEnd w:id="3019"/>
      <w:r>
        <w:rPr>
          <w:b w:val="0"/>
        </w:rPr>
      </w:r>
      <w:bookmarkStart w:name="_bookmark1214" w:id="3020"/>
      <w:bookmarkEnd w:id="3020"/>
      <w:r>
        <w:rPr>
          <w:b w:val="0"/>
        </w:rPr>
      </w:r>
      <w:bookmarkStart w:name="_bookmark1214" w:id="3021"/>
      <w:bookmarkEnd w:id="3021"/>
      <w:r>
        <w:rPr/>
        <w:t>[Deleted]</w:t>
      </w:r>
    </w:p>
    <w:p>
      <w:pPr>
        <w:pStyle w:val="Heading3"/>
        <w:numPr>
          <w:ilvl w:val="1"/>
          <w:numId w:val="686"/>
        </w:numPr>
        <w:tabs>
          <w:tab w:pos="1351" w:val="left" w:leader="none"/>
          <w:tab w:pos="1353" w:val="left" w:leader="none"/>
        </w:tabs>
        <w:spacing w:line="240" w:lineRule="auto" w:before="240" w:after="0"/>
        <w:ind w:left="1352" w:right="1130" w:hanging="1134"/>
        <w:jc w:val="left"/>
      </w:pPr>
      <w:bookmarkStart w:name="9.44 Transitional arrangements for Chapt" w:id="3022"/>
      <w:bookmarkEnd w:id="3022"/>
      <w:r>
        <w:rPr>
          <w:b w:val="0"/>
        </w:rPr>
      </w:r>
      <w:bookmarkStart w:name="_bookmark1215" w:id="3023"/>
      <w:bookmarkEnd w:id="3023"/>
      <w:r>
        <w:rPr>
          <w:b w:val="0"/>
        </w:rPr>
      </w:r>
      <w:bookmarkStart w:name="_bookmark1215" w:id="3024"/>
      <w:bookmarkEnd w:id="3024"/>
      <w:r>
        <w:rPr/>
        <w:t>T</w:t>
      </w:r>
      <w:r>
        <w:rPr/>
        <w:t>ransitional arrangements for Chapter 2 – Registered Participants and Registration - Customers (clause</w:t>
      </w:r>
      <w:r>
        <w:rPr>
          <w:spacing w:val="-29"/>
        </w:rPr>
        <w:t> </w:t>
      </w:r>
      <w:r>
        <w:rPr/>
        <w:t>2.3.1(e))</w:t>
      </w:r>
    </w:p>
    <w:p>
      <w:pPr>
        <w:pStyle w:val="BodyText"/>
        <w:ind w:left="1352" w:right="415" w:firstLine="0"/>
      </w:pPr>
      <w:r>
        <w:rPr/>
        <w:t>For the purposes of clause 2.3.1(e), and for the purposes of clause 2.4.2(b) in so far as it relates to </w:t>
      </w:r>
      <w:r>
        <w:rPr>
          <w:i/>
        </w:rPr>
        <w:t>Customers</w:t>
      </w:r>
      <w:r>
        <w:rPr/>
        <w:t>, a person satisfies the requirements of Tasmania for classification of a </w:t>
      </w:r>
      <w:r>
        <w:rPr>
          <w:i/>
        </w:rPr>
        <w:t>connection point </w:t>
      </w:r>
      <w:r>
        <w:rPr/>
        <w:t>of that person if that person is a </w:t>
      </w:r>
      <w:r>
        <w:rPr>
          <w:i/>
        </w:rPr>
        <w:t>retailer </w:t>
      </w:r>
      <w:r>
        <w:rPr/>
        <w:t>or is a contestable customer within the meaning of the ESI Act in respect of that </w:t>
      </w:r>
      <w:r>
        <w:rPr>
          <w:i/>
        </w:rPr>
        <w:t>connection point</w:t>
      </w:r>
      <w:r>
        <w:rPr/>
        <w:t>.</w:t>
      </w:r>
    </w:p>
    <w:p>
      <w:pPr>
        <w:pStyle w:val="BodyText"/>
        <w:spacing w:before="10"/>
        <w:ind w:firstLine="0"/>
        <w:jc w:val="left"/>
        <w:rPr>
          <w:sz w:val="20"/>
        </w:rPr>
      </w:pPr>
    </w:p>
    <w:p>
      <w:pPr>
        <w:pStyle w:val="Heading3"/>
        <w:numPr>
          <w:ilvl w:val="1"/>
          <w:numId w:val="686"/>
        </w:numPr>
        <w:tabs>
          <w:tab w:pos="1351" w:val="left" w:leader="none"/>
          <w:tab w:pos="1353" w:val="left" w:leader="none"/>
        </w:tabs>
        <w:spacing w:line="240" w:lineRule="auto" w:before="0" w:after="0"/>
        <w:ind w:left="1352" w:right="0" w:hanging="1135"/>
        <w:jc w:val="left"/>
      </w:pPr>
      <w:bookmarkStart w:name="9.45 Tasmanian Region (clause 3.5)" w:id="3025"/>
      <w:bookmarkEnd w:id="3025"/>
      <w:r>
        <w:rPr>
          <w:b w:val="0"/>
        </w:rPr>
      </w:r>
      <w:bookmarkStart w:name="_bookmark1216" w:id="3026"/>
      <w:bookmarkEnd w:id="3026"/>
      <w:r>
        <w:rPr>
          <w:b w:val="0"/>
        </w:rPr>
      </w:r>
      <w:bookmarkStart w:name="_bookmark1216" w:id="3027"/>
      <w:bookmarkEnd w:id="3027"/>
      <w:r>
        <w:rPr/>
        <w:t>T</w:t>
      </w:r>
      <w:r>
        <w:rPr/>
        <w:t>asmanian Region (clause</w:t>
      </w:r>
      <w:r>
        <w:rPr>
          <w:spacing w:val="-2"/>
        </w:rPr>
        <w:t> </w:t>
      </w:r>
      <w:r>
        <w:rPr/>
        <w:t>3.5)</w:t>
      </w:r>
    </w:p>
    <w:p>
      <w:pPr>
        <w:pStyle w:val="BodyText"/>
        <w:ind w:left="1352" w:right="415" w:firstLine="0"/>
      </w:pPr>
      <w:r>
        <w:rPr/>
        <w:t>Notwithstanding Chapter 2A, the State of Tasmania is, and must be, one </w:t>
      </w:r>
      <w:r>
        <w:rPr>
          <w:i/>
        </w:rPr>
        <w:t>region </w:t>
      </w:r>
      <w:r>
        <w:rPr/>
        <w:t>and that </w:t>
      </w:r>
      <w:r>
        <w:rPr>
          <w:i/>
        </w:rPr>
        <w:t>region </w:t>
      </w:r>
      <w:r>
        <w:rPr/>
        <w:t>must not include any areas which fall outside of the State of Tasmania.</w:t>
      </w:r>
    </w:p>
    <w:p>
      <w:pPr>
        <w:pStyle w:val="BodyText"/>
        <w:spacing w:before="10"/>
        <w:ind w:firstLine="0"/>
        <w:jc w:val="left"/>
        <w:rPr>
          <w:sz w:val="20"/>
        </w:rPr>
      </w:pPr>
    </w:p>
    <w:p>
      <w:pPr>
        <w:pStyle w:val="Heading3"/>
        <w:numPr>
          <w:ilvl w:val="1"/>
          <w:numId w:val="701"/>
        </w:numPr>
        <w:tabs>
          <w:tab w:pos="1351" w:val="left" w:leader="none"/>
          <w:tab w:pos="1353" w:val="left" w:leader="none"/>
        </w:tabs>
        <w:spacing w:line="240" w:lineRule="auto" w:before="0" w:after="0"/>
        <w:ind w:left="1352" w:right="0" w:hanging="1135"/>
        <w:jc w:val="left"/>
      </w:pPr>
      <w:bookmarkStart w:name="9.47 Transitional arrangements for Chapt" w:id="3028"/>
      <w:bookmarkEnd w:id="3028"/>
      <w:r>
        <w:rPr>
          <w:b w:val="0"/>
        </w:rPr>
      </w:r>
      <w:bookmarkStart w:name="_bookmark1217" w:id="3029"/>
      <w:bookmarkEnd w:id="3029"/>
      <w:r>
        <w:rPr>
          <w:b w:val="0"/>
        </w:rPr>
      </w:r>
      <w:bookmarkStart w:name="_bookmark1217" w:id="3030"/>
      <w:bookmarkEnd w:id="3030"/>
      <w:r>
        <w:rPr/>
        <w:t>T</w:t>
      </w:r>
      <w:r>
        <w:rPr/>
        <w:t>ransitional arrangements for Chapter 5- Network</w:t>
      </w:r>
      <w:r>
        <w:rPr>
          <w:spacing w:val="-13"/>
        </w:rPr>
        <w:t> </w:t>
      </w:r>
      <w:r>
        <w:rPr/>
        <w:t>Connection</w:t>
      </w:r>
    </w:p>
    <w:p>
      <w:pPr>
        <w:pStyle w:val="Heading4"/>
        <w:numPr>
          <w:ilvl w:val="2"/>
          <w:numId w:val="701"/>
        </w:numPr>
        <w:tabs>
          <w:tab w:pos="1351" w:val="left" w:leader="none"/>
          <w:tab w:pos="1352" w:val="left" w:leader="none"/>
        </w:tabs>
        <w:spacing w:line="240" w:lineRule="auto" w:before="240" w:after="0"/>
        <w:ind w:left="1351" w:right="0" w:hanging="1134"/>
        <w:jc w:val="left"/>
      </w:pPr>
      <w:bookmarkStart w:name="9.47.1 Existing Connection Agreements" w:id="3031"/>
      <w:bookmarkEnd w:id="3031"/>
      <w:r>
        <w:rPr>
          <w:b w:val="0"/>
        </w:rPr>
      </w:r>
      <w:bookmarkStart w:name="_bookmark1218" w:id="3032"/>
      <w:bookmarkEnd w:id="3032"/>
      <w:r>
        <w:rPr>
          <w:b w:val="0"/>
        </w:rPr>
      </w:r>
      <w:bookmarkStart w:name="_bookmark1218" w:id="3033"/>
      <w:bookmarkEnd w:id="3033"/>
      <w:r>
        <w:rPr/>
        <w:t>Existing</w:t>
      </w:r>
      <w:r>
        <w:rPr/>
        <w:t> Connection</w:t>
      </w:r>
      <w:r>
        <w:rPr>
          <w:spacing w:val="-1"/>
        </w:rPr>
        <w:t> </w:t>
      </w:r>
      <w:r>
        <w:rPr/>
        <w:t>Agreements</w:t>
      </w:r>
    </w:p>
    <w:p>
      <w:pPr>
        <w:pStyle w:val="BodyText"/>
        <w:ind w:left="1352" w:right="415" w:firstLine="0"/>
        <w:jc w:val="left"/>
      </w:pPr>
      <w:r>
        <w:rPr/>
        <w:t>The following agreements are each to be taken to be a </w:t>
      </w:r>
      <w:r>
        <w:rPr>
          <w:i/>
        </w:rPr>
        <w:t>connection agreement </w:t>
      </w:r>
      <w:r>
        <w:rPr/>
        <w:t>for the purposes of clause 5.2:</w:t>
      </w:r>
    </w:p>
    <w:p>
      <w:pPr>
        <w:pStyle w:val="ListParagraph"/>
        <w:numPr>
          <w:ilvl w:val="3"/>
          <w:numId w:val="701"/>
        </w:numPr>
        <w:tabs>
          <w:tab w:pos="1918" w:val="left" w:leader="none"/>
          <w:tab w:pos="1919" w:val="left" w:leader="none"/>
        </w:tabs>
        <w:spacing w:line="240" w:lineRule="auto" w:before="120" w:after="0"/>
        <w:ind w:left="1919" w:right="418" w:hanging="567"/>
        <w:jc w:val="left"/>
        <w:rPr>
          <w:sz w:val="24"/>
        </w:rPr>
      </w:pPr>
      <w:r>
        <w:rPr>
          <w:sz w:val="24"/>
        </w:rPr>
        <w:t>the Connection Agreement dated 1 July 1998 between Aurora and Hydro Tasmania;</w:t>
      </w:r>
    </w:p>
    <w:p>
      <w:pPr>
        <w:pStyle w:val="ListParagraph"/>
        <w:numPr>
          <w:ilvl w:val="3"/>
          <w:numId w:val="701"/>
        </w:numPr>
        <w:tabs>
          <w:tab w:pos="1918" w:val="left" w:leader="none"/>
          <w:tab w:pos="1919" w:val="left" w:leader="none"/>
        </w:tabs>
        <w:spacing w:line="240" w:lineRule="auto" w:before="120" w:after="0"/>
        <w:ind w:left="1919" w:right="418" w:hanging="567"/>
        <w:jc w:val="left"/>
        <w:rPr>
          <w:sz w:val="24"/>
        </w:rPr>
      </w:pPr>
      <w:r>
        <w:rPr>
          <w:sz w:val="24"/>
        </w:rPr>
        <w:t>the Connection and Network Services Agreement dated 1 July 1998 between Transend and</w:t>
      </w:r>
      <w:r>
        <w:rPr>
          <w:spacing w:val="-1"/>
          <w:sz w:val="24"/>
        </w:rPr>
        <w:t> </w:t>
      </w:r>
      <w:r>
        <w:rPr>
          <w:sz w:val="24"/>
        </w:rPr>
        <w:t>Aurora;</w:t>
      </w:r>
    </w:p>
    <w:p>
      <w:pPr>
        <w:pStyle w:val="ListParagraph"/>
        <w:numPr>
          <w:ilvl w:val="3"/>
          <w:numId w:val="701"/>
        </w:numPr>
        <w:tabs>
          <w:tab w:pos="1918" w:val="left" w:leader="none"/>
          <w:tab w:pos="1919" w:val="left" w:leader="none"/>
        </w:tabs>
        <w:spacing w:line="240" w:lineRule="auto" w:before="120" w:after="0"/>
        <w:ind w:left="1919" w:right="418" w:hanging="567"/>
        <w:jc w:val="left"/>
        <w:rPr>
          <w:sz w:val="24"/>
        </w:rPr>
      </w:pPr>
      <w:r>
        <w:rPr>
          <w:sz w:val="24"/>
        </w:rPr>
        <w:t>the Connection and Network Services Agreement dated 1 July 1998 between Transend and Hydro</w:t>
      </w:r>
      <w:r>
        <w:rPr>
          <w:spacing w:val="-2"/>
          <w:sz w:val="24"/>
        </w:rPr>
        <w:t> </w:t>
      </w:r>
      <w:r>
        <w:rPr>
          <w:sz w:val="24"/>
        </w:rPr>
        <w:t>Tasmania;</w:t>
      </w:r>
    </w:p>
    <w:p>
      <w:pPr>
        <w:pStyle w:val="ListParagraph"/>
        <w:numPr>
          <w:ilvl w:val="3"/>
          <w:numId w:val="701"/>
        </w:numPr>
        <w:tabs>
          <w:tab w:pos="1918" w:val="left" w:leader="none"/>
          <w:tab w:pos="1919" w:val="left" w:leader="none"/>
        </w:tabs>
        <w:spacing w:line="240" w:lineRule="auto" w:before="120" w:after="0"/>
        <w:ind w:left="1919" w:right="416" w:hanging="567"/>
        <w:jc w:val="left"/>
        <w:rPr>
          <w:sz w:val="24"/>
        </w:rPr>
      </w:pPr>
      <w:r>
        <w:rPr>
          <w:sz w:val="24"/>
        </w:rPr>
        <w:t>the Basslink Connection Agreement dated 28 January 2000 between National Grid International Limited and Transend;</w:t>
      </w:r>
      <w:r>
        <w:rPr>
          <w:spacing w:val="-3"/>
          <w:sz w:val="24"/>
        </w:rPr>
        <w:t> </w:t>
      </w:r>
      <w:r>
        <w:rPr>
          <w:sz w:val="24"/>
        </w:rPr>
        <w:t>and</w:t>
      </w:r>
    </w:p>
    <w:p>
      <w:pPr>
        <w:pStyle w:val="ListParagraph"/>
        <w:numPr>
          <w:ilvl w:val="3"/>
          <w:numId w:val="701"/>
        </w:numPr>
        <w:tabs>
          <w:tab w:pos="1918" w:val="left" w:leader="none"/>
          <w:tab w:pos="1919" w:val="left" w:leader="none"/>
        </w:tabs>
        <w:spacing w:line="240" w:lineRule="auto" w:before="120" w:after="0"/>
        <w:ind w:left="1919" w:right="415" w:hanging="567"/>
        <w:jc w:val="left"/>
        <w:rPr>
          <w:sz w:val="24"/>
        </w:rPr>
      </w:pPr>
      <w:r>
        <w:rPr>
          <w:sz w:val="24"/>
        </w:rPr>
        <w:t>any other connection agreement entered into prior to the Transition Date in accordance with the </w:t>
      </w:r>
      <w:r>
        <w:rPr>
          <w:i/>
          <w:sz w:val="24"/>
        </w:rPr>
        <w:t>Tasmanian</w:t>
      </w:r>
      <w:r>
        <w:rPr>
          <w:i/>
          <w:spacing w:val="-3"/>
          <w:sz w:val="24"/>
        </w:rPr>
        <w:t> </w:t>
      </w:r>
      <w:r>
        <w:rPr>
          <w:i/>
          <w:sz w:val="24"/>
        </w:rPr>
        <w:t>Code</w:t>
      </w:r>
      <w:r>
        <w:rPr>
          <w:sz w:val="24"/>
        </w:rPr>
        <w:t>.</w:t>
      </w:r>
    </w:p>
    <w:p>
      <w:pPr>
        <w:pStyle w:val="BodyText"/>
        <w:spacing w:before="10"/>
        <w:ind w:firstLine="0"/>
        <w:jc w:val="left"/>
        <w:rPr>
          <w:sz w:val="20"/>
        </w:rPr>
      </w:pPr>
    </w:p>
    <w:p>
      <w:pPr>
        <w:pStyle w:val="Heading3"/>
        <w:numPr>
          <w:ilvl w:val="1"/>
          <w:numId w:val="701"/>
        </w:numPr>
        <w:tabs>
          <w:tab w:pos="1351" w:val="left" w:leader="none"/>
          <w:tab w:pos="1353" w:val="left" w:leader="none"/>
        </w:tabs>
        <w:spacing w:line="240" w:lineRule="auto" w:before="0" w:after="0"/>
        <w:ind w:left="1352" w:right="1101" w:hanging="1134"/>
        <w:jc w:val="left"/>
      </w:pPr>
      <w:bookmarkStart w:name="9.48 Transitional arrangements - Transmi" w:id="3034"/>
      <w:bookmarkEnd w:id="3034"/>
      <w:r>
        <w:rPr>
          <w:b w:val="0"/>
        </w:rPr>
      </w:r>
      <w:bookmarkStart w:name="_bookmark1219" w:id="3035"/>
      <w:bookmarkEnd w:id="3035"/>
      <w:r>
        <w:rPr>
          <w:b w:val="0"/>
        </w:rPr>
      </w:r>
      <w:bookmarkStart w:name="_bookmark1219" w:id="3036"/>
      <w:bookmarkEnd w:id="3036"/>
      <w:r>
        <w:rPr/>
        <w:t>T</w:t>
      </w:r>
      <w:r>
        <w:rPr/>
        <w:t>ransitional arrangements - Transmission and Distribution Pricing</w:t>
      </w:r>
    </w:p>
    <w:p>
      <w:pPr>
        <w:pStyle w:val="Heading4"/>
        <w:numPr>
          <w:ilvl w:val="2"/>
          <w:numId w:val="702"/>
        </w:numPr>
        <w:tabs>
          <w:tab w:pos="887" w:val="left" w:leader="none"/>
          <w:tab w:pos="1351" w:val="left" w:leader="none"/>
        </w:tabs>
        <w:spacing w:line="240" w:lineRule="auto" w:before="240" w:after="0"/>
        <w:ind w:left="886" w:right="0" w:hanging="669"/>
        <w:jc w:val="left"/>
      </w:pPr>
      <w:bookmarkStart w:name="9.48.4A Ring fencing" w:id="3037"/>
      <w:bookmarkEnd w:id="3037"/>
      <w:r>
        <w:rPr>
          <w:b w:val="0"/>
        </w:rPr>
      </w:r>
      <w:bookmarkStart w:name="_bookmark1220" w:id="3038"/>
      <w:bookmarkEnd w:id="3038"/>
      <w:r>
        <w:rPr>
          <w:b w:val="0"/>
        </w:rPr>
      </w:r>
      <w:bookmarkStart w:name="_bookmark1220" w:id="3039"/>
      <w:bookmarkEnd w:id="3039"/>
      <w:r>
        <w:rPr/>
        <w:t>A</w:t>
      </w:r>
      <w:r>
        <w:rPr/>
        <w:tab/>
        <w:t>Ring</w:t>
      </w:r>
      <w:r>
        <w:rPr>
          <w:spacing w:val="-2"/>
        </w:rPr>
        <w:t> </w:t>
      </w:r>
      <w:r>
        <w:rPr/>
        <w:t>fencing</w:t>
      </w:r>
    </w:p>
    <w:p>
      <w:pPr>
        <w:pStyle w:val="BodyText"/>
        <w:ind w:left="1352" w:right="415" w:firstLine="0"/>
      </w:pPr>
      <w:r>
        <w:rPr/>
        <w:t>On the </w:t>
      </w:r>
      <w:r>
        <w:rPr>
          <w:i/>
        </w:rPr>
        <w:t>AER's </w:t>
      </w:r>
      <w:r>
        <w:rPr/>
        <w:t>assumption of responsibility for the economic regulation of </w:t>
      </w:r>
      <w:r>
        <w:rPr>
          <w:i/>
        </w:rPr>
        <w:t>distribution services </w:t>
      </w:r>
      <w:r>
        <w:rPr/>
        <w:t>in Tasmania, the following guidelines (as amended or substituted from time to time) will be taken to be distribution ring-fencing guidelines issued by the </w:t>
      </w:r>
      <w:r>
        <w:rPr>
          <w:i/>
        </w:rPr>
        <w:t>AER </w:t>
      </w:r>
      <w:r>
        <w:rPr/>
        <w:t>under Rule 6.17:</w:t>
      </w:r>
    </w:p>
    <w:p>
      <w:pPr>
        <w:pStyle w:val="ListParagraph"/>
        <w:numPr>
          <w:ilvl w:val="3"/>
          <w:numId w:val="702"/>
        </w:numPr>
        <w:tabs>
          <w:tab w:pos="1919" w:val="left" w:leader="none"/>
        </w:tabs>
        <w:spacing w:line="240" w:lineRule="auto" w:before="120" w:after="0"/>
        <w:ind w:left="1918" w:right="0" w:hanging="567"/>
        <w:jc w:val="both"/>
        <w:rPr>
          <w:i/>
          <w:sz w:val="24"/>
        </w:rPr>
      </w:pPr>
      <w:r>
        <w:rPr>
          <w:i/>
          <w:sz w:val="24"/>
        </w:rPr>
        <w:t>Guideline for Ring-fencing in the Tasmanian Electricity Supply</w:t>
      </w:r>
      <w:r>
        <w:rPr>
          <w:i/>
          <w:spacing w:val="-6"/>
          <w:sz w:val="24"/>
        </w:rPr>
        <w:t> </w:t>
      </w:r>
      <w:r>
        <w:rPr>
          <w:i/>
          <w:sz w:val="24"/>
        </w:rPr>
        <w:t>Industry</w:t>
      </w:r>
    </w:p>
    <w:p>
      <w:pPr>
        <w:pStyle w:val="BodyText"/>
        <w:spacing w:before="0"/>
        <w:ind w:left="1919" w:firstLine="0"/>
      </w:pPr>
      <w:r>
        <w:rPr/>
        <w:t>(dated October 2004); and</w:t>
      </w:r>
    </w:p>
    <w:p>
      <w:pPr>
        <w:pStyle w:val="ListParagraph"/>
        <w:numPr>
          <w:ilvl w:val="3"/>
          <w:numId w:val="702"/>
        </w:numPr>
        <w:tabs>
          <w:tab w:pos="1919" w:val="left" w:leader="none"/>
        </w:tabs>
        <w:spacing w:line="240" w:lineRule="auto" w:before="120" w:after="0"/>
        <w:ind w:left="1919" w:right="415" w:hanging="567"/>
        <w:jc w:val="both"/>
        <w:rPr>
          <w:sz w:val="24"/>
        </w:rPr>
      </w:pPr>
      <w:r>
        <w:rPr>
          <w:i/>
          <w:sz w:val="24"/>
        </w:rPr>
        <w:t>Electricity Distribution and Retail Accounting Ring-fencing Guidelines: </w:t>
      </w:r>
      <w:r>
        <w:rPr>
          <w:i/>
          <w:sz w:val="24"/>
        </w:rPr>
        <w:t>Electricity Guideline No 2.2, Issue No 5, March</w:t>
      </w:r>
      <w:r>
        <w:rPr>
          <w:i/>
          <w:spacing w:val="-2"/>
          <w:sz w:val="24"/>
        </w:rPr>
        <w:t> </w:t>
      </w:r>
      <w:r>
        <w:rPr>
          <w:i/>
          <w:sz w:val="24"/>
        </w:rPr>
        <w:t>2011</w:t>
      </w:r>
      <w:r>
        <w:rPr>
          <w:sz w:val="24"/>
        </w:rPr>
        <w:t>.</w:t>
      </w:r>
    </w:p>
    <w:p>
      <w:pPr>
        <w:spacing w:after="0" w:line="240" w:lineRule="auto"/>
        <w:jc w:val="both"/>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The </w:t>
      </w:r>
      <w:r>
        <w:rPr>
          <w:i/>
          <w:sz w:val="20"/>
        </w:rPr>
        <w:t>AER </w:t>
      </w:r>
      <w:r>
        <w:rPr>
          <w:sz w:val="20"/>
        </w:rPr>
        <w:t>will assume responsibility for the economic regulation of </w:t>
      </w:r>
      <w:r>
        <w:rPr>
          <w:i/>
          <w:sz w:val="20"/>
        </w:rPr>
        <w:t>distribution services </w:t>
      </w:r>
      <w:r>
        <w:rPr>
          <w:sz w:val="20"/>
        </w:rPr>
        <w:t>on the transfer of regulatory responsibility under clause 11.14.4.</w:t>
      </w:r>
    </w:p>
    <w:p>
      <w:pPr>
        <w:pStyle w:val="BodyText"/>
        <w:spacing w:before="10"/>
        <w:ind w:firstLine="0"/>
        <w:jc w:val="left"/>
        <w:rPr>
          <w:sz w:val="20"/>
        </w:rPr>
      </w:pPr>
    </w:p>
    <w:p>
      <w:pPr>
        <w:pStyle w:val="Heading4"/>
        <w:numPr>
          <w:ilvl w:val="2"/>
          <w:numId w:val="703"/>
        </w:numPr>
        <w:tabs>
          <w:tab w:pos="887" w:val="left" w:leader="none"/>
          <w:tab w:pos="1351" w:val="left" w:leader="none"/>
        </w:tabs>
        <w:spacing w:line="240" w:lineRule="auto" w:before="0" w:after="0"/>
        <w:ind w:left="886" w:right="0" w:hanging="669"/>
        <w:jc w:val="left"/>
      </w:pPr>
      <w:bookmarkStart w:name="9.48.4B Uniformity of tariffs for small " w:id="3040"/>
      <w:bookmarkEnd w:id="3040"/>
      <w:r>
        <w:rPr>
          <w:b w:val="0"/>
        </w:rPr>
      </w:r>
      <w:bookmarkStart w:name="_bookmark1221" w:id="3041"/>
      <w:bookmarkEnd w:id="3041"/>
      <w:r>
        <w:rPr>
          <w:b w:val="0"/>
        </w:rPr>
      </w:r>
      <w:bookmarkStart w:name="_bookmark1221" w:id="3042"/>
      <w:bookmarkEnd w:id="3042"/>
      <w:r>
        <w:rPr/>
        <w:t>B</w:t>
      </w:r>
      <w:r>
        <w:rPr/>
        <w:tab/>
        <w:t>Uniformity of tariffs for small</w:t>
      </w:r>
      <w:r>
        <w:rPr>
          <w:spacing w:val="-4"/>
        </w:rPr>
        <w:t> </w:t>
      </w:r>
      <w:r>
        <w:rPr/>
        <w:t>customers</w:t>
      </w:r>
    </w:p>
    <w:p>
      <w:pPr>
        <w:pStyle w:val="ListParagraph"/>
        <w:numPr>
          <w:ilvl w:val="3"/>
          <w:numId w:val="703"/>
        </w:numPr>
        <w:tabs>
          <w:tab w:pos="1919" w:val="left" w:leader="none"/>
        </w:tabs>
        <w:spacing w:line="240" w:lineRule="auto" w:before="120" w:after="0"/>
        <w:ind w:left="1919" w:right="415" w:hanging="567"/>
        <w:jc w:val="both"/>
        <w:rPr>
          <w:sz w:val="24"/>
        </w:rPr>
      </w:pPr>
      <w:r>
        <w:rPr>
          <w:sz w:val="24"/>
        </w:rPr>
        <w:t>In making a distribution determination or approving a </w:t>
      </w:r>
      <w:r>
        <w:rPr>
          <w:i/>
          <w:sz w:val="24"/>
        </w:rPr>
        <w:t>pricing proposal </w:t>
      </w:r>
      <w:r>
        <w:rPr>
          <w:sz w:val="24"/>
        </w:rPr>
        <w:t>for a Tasmanian </w:t>
      </w:r>
      <w:r>
        <w:rPr>
          <w:i/>
          <w:sz w:val="24"/>
        </w:rPr>
        <w:t>Distribution Network Service Provider</w:t>
      </w:r>
      <w:r>
        <w:rPr>
          <w:sz w:val="24"/>
        </w:rPr>
        <w:t>, the </w:t>
      </w:r>
      <w:r>
        <w:rPr>
          <w:i/>
          <w:sz w:val="24"/>
        </w:rPr>
        <w:t>AER </w:t>
      </w:r>
      <w:r>
        <w:rPr>
          <w:sz w:val="24"/>
        </w:rPr>
        <w:t>must ensure that distribution tariffs for small customers of a particular class are uniform regardless of where in mainland Tasmania the customer is supplied with electricity.</w:t>
      </w:r>
    </w:p>
    <w:p>
      <w:pPr>
        <w:pStyle w:val="ListParagraph"/>
        <w:numPr>
          <w:ilvl w:val="3"/>
          <w:numId w:val="703"/>
        </w:numPr>
        <w:tabs>
          <w:tab w:pos="1919" w:val="left" w:leader="none"/>
        </w:tabs>
        <w:spacing w:line="240" w:lineRule="auto" w:before="120" w:after="0"/>
        <w:ind w:left="1919" w:right="415" w:hanging="567"/>
        <w:jc w:val="both"/>
        <w:rPr>
          <w:sz w:val="24"/>
        </w:rPr>
      </w:pPr>
      <w:r>
        <w:rPr>
          <w:sz w:val="24"/>
        </w:rPr>
        <w:t>In this clause, small </w:t>
      </w:r>
      <w:r>
        <w:rPr>
          <w:i/>
          <w:sz w:val="24"/>
        </w:rPr>
        <w:t>customer </w:t>
      </w:r>
      <w:r>
        <w:rPr>
          <w:sz w:val="24"/>
        </w:rPr>
        <w:t>has the same meaning as under the </w:t>
      </w:r>
      <w:r>
        <w:rPr>
          <w:i/>
          <w:sz w:val="24"/>
        </w:rPr>
        <w:t>National </w:t>
      </w:r>
      <w:r>
        <w:rPr>
          <w:i/>
          <w:sz w:val="24"/>
        </w:rPr>
        <w:t>Energy Retail Law (Tasmania) Regulations</w:t>
      </w:r>
      <w:r>
        <w:rPr>
          <w:i/>
          <w:spacing w:val="-2"/>
          <w:sz w:val="24"/>
        </w:rPr>
        <w:t> </w:t>
      </w:r>
      <w:r>
        <w:rPr>
          <w:i/>
          <w:sz w:val="24"/>
        </w:rPr>
        <w:t>2012</w:t>
      </w:r>
      <w:r>
        <w:rPr>
          <w:sz w:val="24"/>
        </w:rPr>
        <w:t>.</w:t>
      </w:r>
    </w:p>
    <w:p>
      <w:pPr>
        <w:pStyle w:val="BodyText"/>
        <w:spacing w:before="10"/>
        <w:ind w:firstLine="0"/>
        <w:jc w:val="left"/>
        <w:rPr>
          <w:sz w:val="20"/>
        </w:rPr>
      </w:pPr>
    </w:p>
    <w:p>
      <w:pPr>
        <w:pStyle w:val="Heading4"/>
        <w:numPr>
          <w:ilvl w:val="2"/>
          <w:numId w:val="703"/>
        </w:numPr>
        <w:tabs>
          <w:tab w:pos="1351" w:val="left" w:leader="none"/>
          <w:tab w:pos="1352" w:val="left" w:leader="none"/>
        </w:tabs>
        <w:spacing w:line="240" w:lineRule="auto" w:before="0" w:after="0"/>
        <w:ind w:left="1351" w:right="0" w:hanging="1134"/>
        <w:jc w:val="left"/>
      </w:pPr>
      <w:bookmarkStart w:name="9.48.5 Transmission network" w:id="3043"/>
      <w:bookmarkEnd w:id="3043"/>
      <w:r>
        <w:rPr>
          <w:b w:val="0"/>
        </w:rPr>
      </w:r>
      <w:bookmarkStart w:name="_bookmark1222" w:id="3044"/>
      <w:bookmarkEnd w:id="3044"/>
      <w:r>
        <w:rPr>
          <w:b w:val="0"/>
        </w:rPr>
      </w:r>
      <w:bookmarkStart w:name="_bookmark1222" w:id="3045"/>
      <w:bookmarkEnd w:id="3045"/>
      <w:r>
        <w:rPr/>
        <w:t>Transmission</w:t>
      </w:r>
      <w:r>
        <w:rPr>
          <w:spacing w:val="-1"/>
        </w:rPr>
        <w:t> </w:t>
      </w:r>
      <w:r>
        <w:rPr/>
        <w:t>network</w:t>
      </w:r>
    </w:p>
    <w:p>
      <w:pPr>
        <w:spacing w:before="120"/>
        <w:ind w:left="1352" w:right="417" w:firstLine="0"/>
        <w:jc w:val="both"/>
        <w:rPr>
          <w:sz w:val="24"/>
        </w:rPr>
      </w:pPr>
      <w:r>
        <w:rPr>
          <w:sz w:val="24"/>
        </w:rPr>
        <w:t>For the purpose of the </w:t>
      </w:r>
      <w:r>
        <w:rPr>
          <w:i/>
          <w:sz w:val="24"/>
        </w:rPr>
        <w:t>Rules</w:t>
      </w:r>
      <w:r>
        <w:rPr>
          <w:sz w:val="24"/>
        </w:rPr>
        <w:t>, a </w:t>
      </w:r>
      <w:r>
        <w:rPr>
          <w:i/>
          <w:sz w:val="24"/>
        </w:rPr>
        <w:t>network </w:t>
      </w:r>
      <w:r>
        <w:rPr>
          <w:sz w:val="24"/>
        </w:rPr>
        <w:t>operating at "extra high voltage" (as that term is defined in the </w:t>
      </w:r>
      <w:r>
        <w:rPr>
          <w:i/>
          <w:sz w:val="24"/>
        </w:rPr>
        <w:t>ESI Act</w:t>
      </w:r>
      <w:r>
        <w:rPr>
          <w:sz w:val="24"/>
        </w:rPr>
        <w:t>) is deemed to be a </w:t>
      </w:r>
      <w:r>
        <w:rPr>
          <w:i/>
          <w:sz w:val="24"/>
        </w:rPr>
        <w:t>transmission network</w:t>
      </w:r>
      <w:r>
        <w:rPr>
          <w:sz w:val="24"/>
        </w:rPr>
        <w:t>.</w:t>
      </w:r>
    </w:p>
    <w:p>
      <w:pPr>
        <w:pStyle w:val="BodyText"/>
        <w:spacing w:before="10"/>
        <w:ind w:firstLine="0"/>
        <w:jc w:val="left"/>
        <w:rPr>
          <w:sz w:val="20"/>
        </w:rPr>
      </w:pPr>
    </w:p>
    <w:p>
      <w:pPr>
        <w:pStyle w:val="Heading4"/>
        <w:numPr>
          <w:ilvl w:val="2"/>
          <w:numId w:val="703"/>
        </w:numPr>
        <w:tabs>
          <w:tab w:pos="1351" w:val="left" w:leader="none"/>
          <w:tab w:pos="1352" w:val="left" w:leader="none"/>
        </w:tabs>
        <w:spacing w:line="240" w:lineRule="auto" w:before="0" w:after="0"/>
        <w:ind w:left="1351" w:right="0" w:hanging="1134"/>
        <w:jc w:val="left"/>
      </w:pPr>
      <w:bookmarkStart w:name="9.48.6 Deemed regulated interconnector" w:id="3046"/>
      <w:bookmarkEnd w:id="3046"/>
      <w:r>
        <w:rPr>
          <w:b w:val="0"/>
        </w:rPr>
      </w:r>
      <w:bookmarkStart w:name="_bookmark1223" w:id="3047"/>
      <w:bookmarkEnd w:id="3047"/>
      <w:r>
        <w:rPr>
          <w:b w:val="0"/>
        </w:rPr>
      </w:r>
      <w:bookmarkStart w:name="_bookmark1223" w:id="3048"/>
      <w:bookmarkEnd w:id="3048"/>
      <w:r>
        <w:rPr/>
        <w:t>Dee</w:t>
      </w:r>
      <w:r>
        <w:rPr/>
        <w:t>med regulated</w:t>
      </w:r>
      <w:r>
        <w:rPr>
          <w:spacing w:val="-3"/>
        </w:rPr>
        <w:t> </w:t>
      </w:r>
      <w:r>
        <w:rPr/>
        <w:t>interconnector</w:t>
      </w:r>
    </w:p>
    <w:p>
      <w:pPr>
        <w:spacing w:before="120"/>
        <w:ind w:left="1352" w:right="415" w:firstLine="0"/>
        <w:jc w:val="both"/>
        <w:rPr>
          <w:sz w:val="24"/>
        </w:rPr>
      </w:pPr>
      <w:r>
        <w:rPr>
          <w:sz w:val="24"/>
        </w:rPr>
        <w:t>For the purposes of the </w:t>
      </w:r>
      <w:r>
        <w:rPr>
          <w:i/>
          <w:sz w:val="24"/>
        </w:rPr>
        <w:t>Rules</w:t>
      </w:r>
      <w:r>
        <w:rPr>
          <w:sz w:val="24"/>
        </w:rPr>
        <w:t>, any </w:t>
      </w:r>
      <w:r>
        <w:rPr>
          <w:i/>
          <w:sz w:val="24"/>
        </w:rPr>
        <w:t>interconnector </w:t>
      </w:r>
      <w:r>
        <w:rPr>
          <w:sz w:val="24"/>
        </w:rPr>
        <w:t>between </w:t>
      </w:r>
      <w:r>
        <w:rPr>
          <w:i/>
          <w:sz w:val="24"/>
        </w:rPr>
        <w:t>regions </w:t>
      </w:r>
      <w:r>
        <w:rPr>
          <w:sz w:val="24"/>
        </w:rPr>
        <w:t>in Tasmania in existence when those </w:t>
      </w:r>
      <w:r>
        <w:rPr>
          <w:i/>
          <w:sz w:val="24"/>
        </w:rPr>
        <w:t>regions </w:t>
      </w:r>
      <w:r>
        <w:rPr>
          <w:sz w:val="24"/>
        </w:rPr>
        <w:t>are established, to the extent that it forms part of the </w:t>
      </w:r>
      <w:r>
        <w:rPr>
          <w:i/>
          <w:sz w:val="24"/>
        </w:rPr>
        <w:t>power system </w:t>
      </w:r>
      <w:r>
        <w:rPr>
          <w:sz w:val="24"/>
        </w:rPr>
        <w:t>in Tasmania, is deemed to be a </w:t>
      </w:r>
      <w:r>
        <w:rPr>
          <w:i/>
          <w:sz w:val="24"/>
        </w:rPr>
        <w:t>regulated interconnector</w:t>
      </w:r>
      <w:r>
        <w:rPr>
          <w:sz w:val="24"/>
        </w:rPr>
        <w:t>.</w:t>
      </w:r>
    </w:p>
    <w:p>
      <w:pPr>
        <w:pStyle w:val="BodyText"/>
        <w:spacing w:before="10"/>
        <w:ind w:firstLine="0"/>
        <w:jc w:val="left"/>
        <w:rPr>
          <w:sz w:val="20"/>
        </w:rPr>
      </w:pPr>
    </w:p>
    <w:p>
      <w:pPr>
        <w:pStyle w:val="Heading2"/>
        <w:tabs>
          <w:tab w:pos="1352" w:val="left" w:leader="none"/>
          <w:tab w:pos="2485" w:val="left" w:leader="none"/>
          <w:tab w:pos="9317" w:val="left" w:leader="none"/>
        </w:tabs>
        <w:spacing w:line="420" w:lineRule="auto"/>
        <w:ind w:right="388"/>
      </w:pPr>
      <w:bookmarkStart w:name="Part G Schedules to Chapter 9" w:id="3049"/>
      <w:bookmarkEnd w:id="3049"/>
      <w:r>
        <w:rPr>
          <w:b w:val="0"/>
        </w:rPr>
      </w:r>
      <w:bookmarkStart w:name="_bookmark1224" w:id="3050"/>
      <w:bookmarkEnd w:id="3050"/>
      <w:r>
        <w:rPr>
          <w:b w:val="0"/>
        </w:rPr>
      </w:r>
      <w:r>
        <w:rPr>
          <w:shd w:fill="D9D9D9" w:color="auto" w:val="clear"/>
        </w:rPr>
        <w:t>Part G</w:t>
        <w:tab/>
        <w:t>Schedules to</w:t>
      </w:r>
      <w:r>
        <w:rPr>
          <w:spacing w:val="-3"/>
          <w:shd w:fill="D9D9D9" w:color="auto" w:val="clear"/>
        </w:rPr>
        <w:t> </w:t>
      </w:r>
      <w:r>
        <w:rPr>
          <w:shd w:fill="D9D9D9" w:color="auto" w:val="clear"/>
        </w:rPr>
        <w:t>Chapter</w:t>
      </w:r>
      <w:r>
        <w:rPr>
          <w:spacing w:val="-1"/>
          <w:shd w:fill="D9D9D9" w:color="auto" w:val="clear"/>
        </w:rPr>
        <w:t> </w:t>
      </w:r>
      <w:r>
        <w:rPr>
          <w:shd w:fill="D9D9D9" w:color="auto" w:val="clear"/>
        </w:rPr>
        <w:t>9</w:t>
        <w:tab/>
      </w:r>
      <w:r>
        <w:rPr/>
        <w:t> </w:t>
      </w:r>
      <w:bookmarkStart w:name="Schedule 9G1 Metering Transitional Arran" w:id="3051"/>
      <w:bookmarkEnd w:id="3051"/>
      <w:r>
        <w:rPr/>
      </w:r>
      <w:r>
        <w:rPr/>
        <w:t>Schedule</w:t>
      </w:r>
      <w:r>
        <w:rPr>
          <w:spacing w:val="-1"/>
        </w:rPr>
        <w:t> </w:t>
      </w:r>
      <w:r>
        <w:rPr/>
        <w:t>9G1</w:t>
        <w:tab/>
        <w:t>Metering Transitional</w:t>
      </w:r>
      <w:r>
        <w:rPr>
          <w:spacing w:val="-2"/>
        </w:rPr>
        <w:t> </w:t>
      </w:r>
      <w:r>
        <w:rPr/>
        <w:t>Arrangements</w:t>
      </w:r>
    </w:p>
    <w:p>
      <w:pPr>
        <w:pStyle w:val="Heading4"/>
        <w:numPr>
          <w:ilvl w:val="0"/>
          <w:numId w:val="704"/>
        </w:numPr>
        <w:tabs>
          <w:tab w:pos="1351" w:val="left" w:leader="none"/>
          <w:tab w:pos="1352" w:val="left" w:leader="none"/>
        </w:tabs>
        <w:spacing w:line="273" w:lineRule="exact" w:before="0" w:after="0"/>
        <w:ind w:left="1351" w:right="0" w:hanging="1134"/>
        <w:jc w:val="left"/>
      </w:pPr>
      <w:bookmarkStart w:name="1. Introduction" w:id="3052"/>
      <w:bookmarkEnd w:id="3052"/>
      <w:r>
        <w:rPr>
          <w:b w:val="0"/>
        </w:rPr>
      </w:r>
      <w:bookmarkStart w:name="_bookmark1225" w:id="3053"/>
      <w:bookmarkEnd w:id="3053"/>
      <w:r>
        <w:rPr>
          <w:b w:val="0"/>
        </w:rPr>
      </w:r>
      <w:bookmarkStart w:name="_bookmark1225" w:id="3054"/>
      <w:bookmarkEnd w:id="3054"/>
      <w:r>
        <w:rPr/>
        <w:t>Introd</w:t>
      </w:r>
      <w:r>
        <w:rPr/>
        <w:t>uction</w:t>
      </w:r>
    </w:p>
    <w:p>
      <w:pPr>
        <w:pStyle w:val="ListParagraph"/>
        <w:numPr>
          <w:ilvl w:val="1"/>
          <w:numId w:val="704"/>
        </w:numPr>
        <w:tabs>
          <w:tab w:pos="1919" w:val="left" w:leader="none"/>
        </w:tabs>
        <w:spacing w:line="240" w:lineRule="auto" w:before="120" w:after="0"/>
        <w:ind w:left="1919" w:right="416" w:hanging="567"/>
        <w:jc w:val="both"/>
        <w:rPr>
          <w:sz w:val="24"/>
        </w:rPr>
      </w:pPr>
      <w:r>
        <w:rPr>
          <w:sz w:val="24"/>
        </w:rPr>
        <w:t>The following minimum requirements apply in respect of</w:t>
      </w:r>
      <w:r>
        <w:rPr>
          <w:spacing w:val="33"/>
          <w:sz w:val="24"/>
        </w:rPr>
        <w:t> </w:t>
      </w:r>
      <w:r>
        <w:rPr>
          <w:i/>
          <w:sz w:val="24"/>
        </w:rPr>
        <w:t>metering </w:t>
      </w:r>
      <w:r>
        <w:rPr>
          <w:i/>
          <w:sz w:val="24"/>
        </w:rPr>
        <w:t>installations </w:t>
      </w:r>
      <w:r>
        <w:rPr>
          <w:sz w:val="24"/>
        </w:rPr>
        <w:t>commissioned before 13 December</w:t>
      </w:r>
      <w:r>
        <w:rPr>
          <w:spacing w:val="-2"/>
          <w:sz w:val="24"/>
        </w:rPr>
        <w:t> </w:t>
      </w:r>
      <w:r>
        <w:rPr>
          <w:sz w:val="24"/>
        </w:rPr>
        <w:t>1998.</w:t>
      </w:r>
    </w:p>
    <w:p>
      <w:pPr>
        <w:pStyle w:val="Heading4"/>
        <w:numPr>
          <w:ilvl w:val="1"/>
          <w:numId w:val="704"/>
        </w:numPr>
        <w:tabs>
          <w:tab w:pos="1979" w:val="left" w:leader="none"/>
          <w:tab w:pos="1980" w:val="left" w:leader="none"/>
        </w:tabs>
        <w:spacing w:line="240" w:lineRule="auto" w:before="120" w:after="0"/>
        <w:ind w:left="1979" w:right="0" w:hanging="628"/>
        <w:jc w:val="left"/>
        <w:rPr>
          <w:rFonts w:ascii="Times New Roman"/>
        </w:rPr>
      </w:pPr>
      <w:r>
        <w:rPr>
          <w:rFonts w:ascii="Times New Roman"/>
        </w:rPr>
        <w:t>[Deleted]</w:t>
      </w:r>
    </w:p>
    <w:p>
      <w:pPr>
        <w:pStyle w:val="BodyText"/>
        <w:spacing w:before="10"/>
        <w:ind w:firstLine="0"/>
        <w:jc w:val="left"/>
        <w:rPr>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2. [Deleted]" w:id="3055"/>
      <w:bookmarkEnd w:id="3055"/>
      <w:r>
        <w:rPr>
          <w:b w:val="0"/>
        </w:rPr>
      </w:r>
      <w:bookmarkStart w:name="_bookmark1226" w:id="3056"/>
      <w:bookmarkEnd w:id="3056"/>
      <w:r>
        <w:rPr>
          <w:b w:val="0"/>
        </w:rPr>
      </w:r>
      <w:bookmarkStart w:name="_bookmark1226" w:id="3057"/>
      <w:bookmarkEnd w:id="3057"/>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3. General Principle" w:id="3058"/>
      <w:bookmarkEnd w:id="3058"/>
      <w:r>
        <w:rPr>
          <w:b w:val="0"/>
        </w:rPr>
      </w:r>
      <w:bookmarkStart w:name="_bookmark1227" w:id="3059"/>
      <w:bookmarkEnd w:id="3059"/>
      <w:r>
        <w:rPr>
          <w:b w:val="0"/>
        </w:rPr>
      </w:r>
      <w:bookmarkStart w:name="_bookmark1227" w:id="3060"/>
      <w:bookmarkEnd w:id="3060"/>
      <w:r>
        <w:rPr/>
        <w:t>General</w:t>
      </w:r>
      <w:r>
        <w:rPr>
          <w:spacing w:val="-1"/>
        </w:rPr>
        <w:t> </w:t>
      </w:r>
      <w:r>
        <w:rPr/>
        <w:t>Principle</w:t>
      </w:r>
    </w:p>
    <w:p>
      <w:pPr>
        <w:spacing w:before="120"/>
        <w:ind w:left="1352" w:right="415" w:firstLine="0"/>
        <w:jc w:val="both"/>
        <w:rPr>
          <w:sz w:val="24"/>
        </w:rPr>
      </w:pPr>
      <w:r>
        <w:rPr>
          <w:sz w:val="24"/>
        </w:rPr>
        <w:t>The general principle is that </w:t>
      </w:r>
      <w:r>
        <w:rPr>
          <w:i/>
          <w:sz w:val="24"/>
        </w:rPr>
        <w:t>meters </w:t>
      </w:r>
      <w:r>
        <w:rPr>
          <w:sz w:val="24"/>
        </w:rPr>
        <w:t>are required and a </w:t>
      </w:r>
      <w:r>
        <w:rPr>
          <w:i/>
          <w:sz w:val="24"/>
        </w:rPr>
        <w:t>metering installation(s) </w:t>
      </w:r>
      <w:r>
        <w:rPr>
          <w:sz w:val="24"/>
        </w:rPr>
        <w:t>capable of recording half-hour </w:t>
      </w:r>
      <w:r>
        <w:rPr>
          <w:i/>
          <w:sz w:val="24"/>
        </w:rPr>
        <w:t>energy </w:t>
      </w:r>
      <w:r>
        <w:rPr>
          <w:sz w:val="24"/>
        </w:rPr>
        <w:t>flows and of providing electronic data for transfer to the </w:t>
      </w:r>
      <w:r>
        <w:rPr>
          <w:i/>
          <w:sz w:val="24"/>
        </w:rPr>
        <w:t>metering database </w:t>
      </w:r>
      <w:r>
        <w:rPr>
          <w:sz w:val="24"/>
        </w:rPr>
        <w:t>is to be in place for each </w:t>
      </w:r>
      <w:r>
        <w:rPr>
          <w:i/>
          <w:sz w:val="24"/>
        </w:rPr>
        <w:t>Market Participant's </w:t>
      </w:r>
      <w:r>
        <w:rPr>
          <w:i/>
          <w:sz w:val="24"/>
        </w:rPr>
        <w:t>connection point(s) </w:t>
      </w:r>
      <w:r>
        <w:rPr>
          <w:sz w:val="24"/>
        </w:rPr>
        <w:t>before the </w:t>
      </w:r>
      <w:r>
        <w:rPr>
          <w:i/>
          <w:sz w:val="24"/>
        </w:rPr>
        <w:t>Market Participant </w:t>
      </w:r>
      <w:r>
        <w:rPr>
          <w:sz w:val="24"/>
        </w:rPr>
        <w:t>is permitted to participate in the </w:t>
      </w:r>
      <w:r>
        <w:rPr>
          <w:i/>
          <w:sz w:val="24"/>
        </w:rPr>
        <w:t>market</w:t>
      </w:r>
      <w:r>
        <w:rPr>
          <w:sz w:val="24"/>
        </w:rPr>
        <w:t>, and there will be no relaxation of this principle in the </w:t>
      </w:r>
      <w:r>
        <w:rPr>
          <w:i/>
          <w:sz w:val="24"/>
        </w:rPr>
        <w:t>jurisdictional </w:t>
      </w:r>
      <w:r>
        <w:rPr>
          <w:i/>
          <w:sz w:val="24"/>
        </w:rPr>
        <w:t>derogations</w:t>
      </w:r>
      <w:r>
        <w:rPr>
          <w:sz w:val="24"/>
        </w:rPr>
        <w:t>.</w:t>
      </w:r>
    </w:p>
    <w:p>
      <w:pPr>
        <w:spacing w:after="0"/>
        <w:jc w:val="both"/>
        <w:rPr>
          <w:sz w:val="24"/>
        </w:rPr>
        <w:sectPr>
          <w:pgSz w:w="11910" w:h="16840"/>
          <w:pgMar w:header="686" w:footer="637" w:top="1320" w:bottom="820" w:left="1200" w:right="1000"/>
        </w:sectPr>
      </w:pPr>
    </w:p>
    <w:p>
      <w:pPr>
        <w:pStyle w:val="Heading4"/>
        <w:numPr>
          <w:ilvl w:val="0"/>
          <w:numId w:val="704"/>
        </w:numPr>
        <w:tabs>
          <w:tab w:pos="1351" w:val="left" w:leader="none"/>
          <w:tab w:pos="1352" w:val="left" w:leader="none"/>
        </w:tabs>
        <w:spacing w:line="240" w:lineRule="auto" w:before="83" w:after="0"/>
        <w:ind w:left="1351" w:right="0" w:hanging="1134"/>
        <w:jc w:val="left"/>
      </w:pPr>
      <w:bookmarkStart w:name="4. [Deleted]" w:id="3061"/>
      <w:bookmarkEnd w:id="3061"/>
      <w:r>
        <w:rPr>
          <w:b w:val="0"/>
        </w:rPr>
      </w:r>
      <w:bookmarkStart w:name="_bookmark1228" w:id="3062"/>
      <w:bookmarkEnd w:id="3062"/>
      <w:r>
        <w:rPr>
          <w:b w:val="0"/>
        </w:rPr>
      </w:r>
      <w:bookmarkStart w:name="_bookmark1228" w:id="3063"/>
      <w:bookmarkEnd w:id="3063"/>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5. Accuracy Requirements" w:id="3064"/>
      <w:bookmarkEnd w:id="3064"/>
      <w:r>
        <w:rPr>
          <w:b w:val="0"/>
        </w:rPr>
      </w:r>
      <w:bookmarkStart w:name="_bookmark1229" w:id="3065"/>
      <w:bookmarkEnd w:id="3065"/>
      <w:r>
        <w:rPr>
          <w:b w:val="0"/>
        </w:rPr>
      </w:r>
      <w:bookmarkStart w:name="_bookmark1229" w:id="3066"/>
      <w:bookmarkEnd w:id="3066"/>
      <w:r>
        <w:rPr/>
        <w:t>Accur</w:t>
      </w:r>
      <w:r>
        <w:rPr/>
        <w:t>acy</w:t>
      </w:r>
      <w:r>
        <w:rPr>
          <w:spacing w:val="-2"/>
        </w:rPr>
        <w:t> </w:t>
      </w:r>
      <w:r>
        <w:rPr/>
        <w:t>Requirements</w:t>
      </w:r>
    </w:p>
    <w:p>
      <w:pPr>
        <w:pStyle w:val="BodyText"/>
        <w:spacing w:before="10"/>
        <w:ind w:firstLine="0"/>
        <w:jc w:val="left"/>
        <w:rPr>
          <w:rFonts w:ascii="Arial"/>
          <w:b/>
          <w:sz w:val="20"/>
        </w:rPr>
      </w:pPr>
    </w:p>
    <w:p>
      <w:pPr>
        <w:pStyle w:val="ListParagraph"/>
        <w:numPr>
          <w:ilvl w:val="1"/>
          <w:numId w:val="705"/>
        </w:numPr>
        <w:tabs>
          <w:tab w:pos="1351" w:val="left" w:leader="none"/>
          <w:tab w:pos="1352" w:val="left" w:leader="none"/>
        </w:tabs>
        <w:spacing w:line="240" w:lineRule="auto" w:before="0" w:after="0"/>
        <w:ind w:left="1351" w:right="0" w:hanging="1134"/>
        <w:jc w:val="left"/>
        <w:rPr>
          <w:rFonts w:ascii="Arial"/>
          <w:b/>
          <w:sz w:val="24"/>
        </w:rPr>
      </w:pPr>
      <w:bookmarkStart w:name="5.1 Existing Metering Installations Tran" w:id="3067"/>
      <w:bookmarkEnd w:id="3067"/>
      <w:r>
        <w:rPr/>
      </w:r>
      <w:bookmarkStart w:name="5.1 Existing Metering Installations Tran" w:id="3068"/>
      <w:bookmarkEnd w:id="3068"/>
      <w:r>
        <w:rPr>
          <w:rFonts w:ascii="Arial"/>
          <w:b/>
          <w:sz w:val="24"/>
        </w:rPr>
        <w:t>Existing</w:t>
      </w:r>
      <w:r>
        <w:rPr>
          <w:rFonts w:ascii="Arial"/>
          <w:b/>
          <w:sz w:val="24"/>
        </w:rPr>
        <w:t> Metering Installations Transitional</w:t>
      </w:r>
      <w:r>
        <w:rPr>
          <w:rFonts w:ascii="Arial"/>
          <w:b/>
          <w:spacing w:val="-2"/>
          <w:sz w:val="24"/>
        </w:rPr>
        <w:t> </w:t>
      </w:r>
      <w:r>
        <w:rPr>
          <w:rFonts w:ascii="Arial"/>
          <w:b/>
          <w:sz w:val="24"/>
        </w:rPr>
        <w:t>Exemptions</w:t>
      </w:r>
    </w:p>
    <w:p>
      <w:pPr>
        <w:pStyle w:val="BodyText"/>
        <w:ind w:left="1352" w:right="415" w:firstLine="0"/>
      </w:pPr>
      <w:r>
        <w:rPr/>
        <w:t>In addition to those allowances in clause S7.2.2 of schedule 7.2 - "Metering installations commissioned prior to 13 December 1998", the following conditions/exemptions apply:</w:t>
      </w:r>
    </w:p>
    <w:p>
      <w:pPr>
        <w:pStyle w:val="ListParagraph"/>
        <w:numPr>
          <w:ilvl w:val="2"/>
          <w:numId w:val="705"/>
        </w:numPr>
        <w:tabs>
          <w:tab w:pos="1919" w:val="left" w:leader="none"/>
        </w:tabs>
        <w:spacing w:line="240" w:lineRule="auto" w:before="120" w:after="0"/>
        <w:ind w:left="1919" w:right="415" w:hanging="567"/>
        <w:jc w:val="both"/>
        <w:rPr>
          <w:sz w:val="24"/>
        </w:rPr>
      </w:pPr>
      <w:r>
        <w:rPr>
          <w:sz w:val="24"/>
        </w:rPr>
        <w:t>For </w:t>
      </w:r>
      <w:r>
        <w:rPr>
          <w:i/>
          <w:sz w:val="24"/>
        </w:rPr>
        <w:t>Generators</w:t>
      </w:r>
      <w:r>
        <w:rPr>
          <w:sz w:val="24"/>
        </w:rPr>
        <w:t>, </w:t>
      </w:r>
      <w:r>
        <w:rPr>
          <w:i/>
          <w:sz w:val="24"/>
        </w:rPr>
        <w:t>generated </w:t>
      </w:r>
      <w:r>
        <w:rPr>
          <w:sz w:val="24"/>
        </w:rPr>
        <w:t>quantities together with estimates for </w:t>
      </w:r>
      <w:r>
        <w:rPr>
          <w:i/>
          <w:sz w:val="24"/>
        </w:rPr>
        <w:t>generating </w:t>
      </w:r>
      <w:r>
        <w:rPr>
          <w:i/>
          <w:sz w:val="24"/>
        </w:rPr>
        <w:t>unit </w:t>
      </w:r>
      <w:r>
        <w:rPr>
          <w:sz w:val="24"/>
        </w:rPr>
        <w:t>auxiliary loads may be used provided there is an agreed method with </w:t>
      </w:r>
      <w:r>
        <w:rPr>
          <w:i/>
          <w:sz w:val="24"/>
        </w:rPr>
        <w:t>NEMMCO </w:t>
      </w:r>
      <w:r>
        <w:rPr>
          <w:sz w:val="24"/>
        </w:rPr>
        <w:t>for determining </w:t>
      </w:r>
      <w:r>
        <w:rPr>
          <w:i/>
          <w:sz w:val="24"/>
        </w:rPr>
        <w:t>sent-out </w:t>
      </w:r>
      <w:r>
        <w:rPr>
          <w:sz w:val="24"/>
        </w:rPr>
        <w:t>energy. [refer to clause</w:t>
      </w:r>
      <w:r>
        <w:rPr>
          <w:spacing w:val="-6"/>
          <w:sz w:val="24"/>
        </w:rPr>
        <w:t> </w:t>
      </w:r>
      <w:r>
        <w:rPr>
          <w:sz w:val="24"/>
        </w:rPr>
        <w:t>7.3.2]</w:t>
      </w:r>
    </w:p>
    <w:p>
      <w:pPr>
        <w:pStyle w:val="ListParagraph"/>
        <w:numPr>
          <w:ilvl w:val="2"/>
          <w:numId w:val="705"/>
        </w:numPr>
        <w:tabs>
          <w:tab w:pos="1919" w:val="left" w:leader="none"/>
        </w:tabs>
        <w:spacing w:line="240" w:lineRule="auto" w:before="120" w:after="0"/>
        <w:ind w:left="1919" w:right="416" w:hanging="567"/>
        <w:jc w:val="both"/>
        <w:rPr>
          <w:sz w:val="24"/>
        </w:rPr>
      </w:pPr>
      <w:r>
        <w:rPr>
          <w:sz w:val="24"/>
        </w:rPr>
        <w:t>The </w:t>
      </w:r>
      <w:r>
        <w:rPr>
          <w:i/>
          <w:sz w:val="24"/>
        </w:rPr>
        <w:t>check metering </w:t>
      </w:r>
      <w:r>
        <w:rPr>
          <w:sz w:val="24"/>
        </w:rPr>
        <w:t>requirements of the </w:t>
      </w:r>
      <w:r>
        <w:rPr>
          <w:i/>
          <w:sz w:val="24"/>
        </w:rPr>
        <w:t>Rules </w:t>
      </w:r>
      <w:r>
        <w:rPr>
          <w:sz w:val="24"/>
        </w:rPr>
        <w:t>do not have to be met for Type 1 </w:t>
      </w:r>
      <w:r>
        <w:rPr>
          <w:i/>
          <w:sz w:val="24"/>
        </w:rPr>
        <w:t>metering installations</w:t>
      </w:r>
      <w:r>
        <w:rPr>
          <w:sz w:val="24"/>
        </w:rPr>
        <w:t>. A minimum of partial </w:t>
      </w:r>
      <w:r>
        <w:rPr>
          <w:i/>
          <w:sz w:val="24"/>
        </w:rPr>
        <w:t>check metering</w:t>
      </w:r>
      <w:r>
        <w:rPr>
          <w:i/>
          <w:spacing w:val="19"/>
          <w:sz w:val="24"/>
        </w:rPr>
        <w:t> </w:t>
      </w:r>
      <w:r>
        <w:rPr>
          <w:sz w:val="24"/>
        </w:rPr>
        <w:t>is required for Types 1 and 2 </w:t>
      </w:r>
      <w:r>
        <w:rPr>
          <w:i/>
          <w:sz w:val="24"/>
        </w:rPr>
        <w:t>metering installations</w:t>
      </w:r>
      <w:r>
        <w:rPr>
          <w:sz w:val="24"/>
        </w:rPr>
        <w:t>. [refer to clause S7.2.4 of schedule 7.2 of Chapter</w:t>
      </w:r>
      <w:r>
        <w:rPr>
          <w:spacing w:val="-2"/>
          <w:sz w:val="24"/>
        </w:rPr>
        <w:t> </w:t>
      </w:r>
      <w:r>
        <w:rPr>
          <w:sz w:val="24"/>
        </w:rPr>
        <w:t>7]</w:t>
      </w:r>
    </w:p>
    <w:p>
      <w:pPr>
        <w:pStyle w:val="ListParagraph"/>
        <w:numPr>
          <w:ilvl w:val="2"/>
          <w:numId w:val="705"/>
        </w:numPr>
        <w:tabs>
          <w:tab w:pos="1919" w:val="left" w:leader="none"/>
        </w:tabs>
        <w:spacing w:line="240" w:lineRule="auto" w:before="120" w:after="0"/>
        <w:ind w:left="1919" w:right="416" w:hanging="567"/>
        <w:jc w:val="both"/>
        <w:rPr>
          <w:sz w:val="24"/>
        </w:rPr>
      </w:pPr>
      <w:r>
        <w:rPr>
          <w:sz w:val="24"/>
        </w:rPr>
        <w:t>Joint use of secondary circuits is permitted for Type 1 </w:t>
      </w:r>
      <w:r>
        <w:rPr>
          <w:i/>
          <w:sz w:val="24"/>
        </w:rPr>
        <w:t>metering </w:t>
      </w:r>
      <w:r>
        <w:rPr>
          <w:i/>
          <w:sz w:val="24"/>
        </w:rPr>
        <w:t>installations</w:t>
      </w:r>
      <w:r>
        <w:rPr>
          <w:sz w:val="24"/>
        </w:rPr>
        <w:t>. [refer to cl.S7.2.6.1(a) of schedule 7.2 of Chapter</w:t>
      </w:r>
      <w:r>
        <w:rPr>
          <w:spacing w:val="-2"/>
          <w:sz w:val="24"/>
        </w:rPr>
        <w:t> </w:t>
      </w:r>
      <w:r>
        <w:rPr>
          <w:sz w:val="24"/>
        </w:rPr>
        <w:t>7]</w:t>
      </w:r>
    </w:p>
    <w:p>
      <w:pPr>
        <w:pStyle w:val="BodyText"/>
        <w:spacing w:before="10"/>
        <w:ind w:firstLine="0"/>
        <w:jc w:val="left"/>
        <w:rPr>
          <w:sz w:val="20"/>
        </w:rPr>
      </w:pPr>
    </w:p>
    <w:p>
      <w:pPr>
        <w:pStyle w:val="Heading4"/>
        <w:numPr>
          <w:ilvl w:val="1"/>
          <w:numId w:val="705"/>
        </w:numPr>
        <w:tabs>
          <w:tab w:pos="1351" w:val="left" w:leader="none"/>
          <w:tab w:pos="1352" w:val="left" w:leader="none"/>
        </w:tabs>
        <w:spacing w:line="240" w:lineRule="auto" w:before="0" w:after="0"/>
        <w:ind w:left="1351" w:right="0" w:hanging="1134"/>
        <w:jc w:val="left"/>
      </w:pPr>
      <w:bookmarkStart w:name="5.2 [Deleted]" w:id="3069"/>
      <w:bookmarkEnd w:id="3069"/>
      <w:r>
        <w:rPr>
          <w:b w:val="0"/>
        </w:rPr>
      </w:r>
      <w:bookmarkStart w:name="5.2 [Deleted]" w:id="3070"/>
      <w:bookmarkEnd w:id="3070"/>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6. [Deleted]" w:id="3071"/>
      <w:bookmarkEnd w:id="3071"/>
      <w:r>
        <w:rPr>
          <w:b w:val="0"/>
        </w:rPr>
      </w:r>
      <w:bookmarkStart w:name="_bookmark1230" w:id="3072"/>
      <w:bookmarkEnd w:id="3072"/>
      <w:r>
        <w:rPr>
          <w:b w:val="0"/>
        </w:rPr>
      </w:r>
      <w:bookmarkStart w:name="_bookmark1230" w:id="3073"/>
      <w:bookmarkEnd w:id="3073"/>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7. [Deleted]" w:id="3074"/>
      <w:bookmarkEnd w:id="3074"/>
      <w:r>
        <w:rPr>
          <w:b w:val="0"/>
        </w:rPr>
      </w:r>
      <w:bookmarkStart w:name="_bookmark1231" w:id="3075"/>
      <w:bookmarkEnd w:id="3075"/>
      <w:r>
        <w:rPr>
          <w:b w:val="0"/>
        </w:rPr>
      </w:r>
      <w:bookmarkStart w:name="_bookmark1231" w:id="3076"/>
      <w:bookmarkEnd w:id="3076"/>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8. [Deleted]" w:id="3077"/>
      <w:bookmarkEnd w:id="3077"/>
      <w:r>
        <w:rPr>
          <w:b w:val="0"/>
        </w:rPr>
      </w:r>
      <w:bookmarkStart w:name="_bookmark1232" w:id="3078"/>
      <w:bookmarkEnd w:id="3078"/>
      <w:r>
        <w:rPr>
          <w:b w:val="0"/>
        </w:rPr>
      </w:r>
      <w:bookmarkStart w:name="_bookmark1232" w:id="3079"/>
      <w:bookmarkEnd w:id="3079"/>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9. [Deleted]" w:id="3080"/>
      <w:bookmarkEnd w:id="3080"/>
      <w:r>
        <w:rPr>
          <w:b w:val="0"/>
        </w:rPr>
      </w:r>
      <w:bookmarkStart w:name="_bookmark1233" w:id="3081"/>
      <w:bookmarkEnd w:id="3081"/>
      <w:r>
        <w:rPr>
          <w:b w:val="0"/>
        </w:rPr>
      </w:r>
      <w:bookmarkStart w:name="_bookmark1233" w:id="3082"/>
      <w:bookmarkEnd w:id="3082"/>
      <w:r>
        <w:rPr/>
        <w:t>[Deleted]</w:t>
      </w:r>
    </w:p>
    <w:p>
      <w:pPr>
        <w:pStyle w:val="BodyText"/>
        <w:spacing w:before="10"/>
        <w:ind w:firstLine="0"/>
        <w:jc w:val="left"/>
        <w:rPr>
          <w:rFonts w:ascii="Arial"/>
          <w:b/>
          <w:sz w:val="20"/>
        </w:rPr>
      </w:pPr>
    </w:p>
    <w:p>
      <w:pPr>
        <w:pStyle w:val="Heading4"/>
        <w:numPr>
          <w:ilvl w:val="0"/>
          <w:numId w:val="704"/>
        </w:numPr>
        <w:tabs>
          <w:tab w:pos="1351" w:val="left" w:leader="none"/>
          <w:tab w:pos="1352" w:val="left" w:leader="none"/>
        </w:tabs>
        <w:spacing w:line="240" w:lineRule="auto" w:before="0" w:after="0"/>
        <w:ind w:left="1351" w:right="0" w:hanging="1134"/>
        <w:jc w:val="left"/>
      </w:pPr>
      <w:bookmarkStart w:name="10. [Deleted]" w:id="3083"/>
      <w:bookmarkEnd w:id="3083"/>
      <w:r>
        <w:rPr>
          <w:b w:val="0"/>
        </w:rPr>
      </w:r>
      <w:bookmarkStart w:name="_bookmark1234" w:id="3084"/>
      <w:bookmarkEnd w:id="3084"/>
      <w:r>
        <w:rPr>
          <w:b w:val="0"/>
        </w:rPr>
      </w:r>
      <w:bookmarkStart w:name="_bookmark1234" w:id="3085"/>
      <w:bookmarkEnd w:id="3085"/>
      <w:r>
        <w:rPr/>
        <w:t>[Deleted]</w:t>
      </w:r>
    </w:p>
    <w:p>
      <w:pPr>
        <w:spacing w:after="0" w:line="240" w:lineRule="auto"/>
        <w:jc w:val="left"/>
        <w:sectPr>
          <w:pgSz w:w="11910" w:h="16840"/>
          <w:pgMar w:header="686" w:footer="637" w:top="1320" w:bottom="820" w:left="1200" w:right="1000"/>
        </w:sectPr>
      </w:pPr>
    </w:p>
    <w:p>
      <w:pPr>
        <w:pStyle w:val="BodyText"/>
        <w:spacing w:before="0"/>
        <w:ind w:firstLine="0"/>
        <w:jc w:val="left"/>
        <w:rPr>
          <w:rFonts w:ascii="Arial"/>
          <w:b/>
          <w:sz w:val="20"/>
        </w:rPr>
      </w:pPr>
    </w:p>
    <w:p>
      <w:pPr>
        <w:pStyle w:val="BodyText"/>
        <w:spacing w:before="1"/>
        <w:ind w:firstLine="0"/>
        <w:jc w:val="left"/>
        <w:rPr>
          <w:rFonts w:ascii="Arial"/>
          <w:b/>
          <w:sz w:val="10"/>
        </w:rPr>
      </w:pPr>
    </w:p>
    <w:p>
      <w:pPr>
        <w:pStyle w:val="BodyText"/>
        <w:spacing w:before="0"/>
        <w:ind w:left="99" w:firstLine="0"/>
        <w:jc w:val="left"/>
        <w:rPr>
          <w:rFonts w:ascii="Arial"/>
          <w:sz w:val="20"/>
        </w:rPr>
      </w:pPr>
      <w:r>
        <w:rPr>
          <w:rFonts w:ascii="Arial"/>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10</w:t>
                  </w:r>
                </w:p>
              </w:txbxContent>
            </v:textbox>
            <v:fill type="solid"/>
            <v:stroke dashstyle="solid"/>
          </v:shape>
        </w:pict>
      </w:r>
      <w:r>
        <w:rPr>
          <w:rFonts w:ascii="Arial"/>
          <w:position w:val="0"/>
          <w:sz w:val="20"/>
        </w:rPr>
      </w:r>
    </w:p>
    <w:p>
      <w:pPr>
        <w:spacing w:after="0"/>
        <w:jc w:val="left"/>
        <w:rPr>
          <w:rFonts w:ascii="Arial"/>
          <w:sz w:val="20"/>
        </w:rPr>
        <w:sectPr>
          <w:headerReference w:type="default" r:id="rId149"/>
          <w:footerReference w:type="default" r:id="rId150"/>
          <w:pgSz w:w="11910" w:h="16840"/>
          <w:pgMar w:header="686" w:footer="637" w:top="1320" w:bottom="820" w:left="1200" w:right="1000"/>
          <w:pgNumType w:start="789"/>
        </w:sectPr>
      </w:pPr>
    </w:p>
    <w:p>
      <w:pPr>
        <w:pStyle w:val="BodyText"/>
        <w:spacing w:before="4"/>
        <w:ind w:firstLine="0"/>
        <w:jc w:val="left"/>
        <w:rPr>
          <w:rFonts w:ascii="Arial"/>
          <w:b/>
          <w:sz w:val="17"/>
        </w:rPr>
      </w:pPr>
    </w:p>
    <w:p>
      <w:pPr>
        <w:spacing w:after="0"/>
        <w:jc w:val="left"/>
        <w:rPr>
          <w:rFonts w:ascii="Arial"/>
          <w:sz w:val="17"/>
        </w:rPr>
        <w:sectPr>
          <w:headerReference w:type="default" r:id="rId151"/>
          <w:footerReference w:type="default" r:id="rId152"/>
          <w:pgSz w:w="11910" w:h="16840"/>
          <w:pgMar w:header="0" w:footer="0" w:top="1600" w:bottom="280" w:left="1200" w:right="1000"/>
        </w:sectPr>
      </w:pPr>
    </w:p>
    <w:p>
      <w:pPr>
        <w:pStyle w:val="BodyText"/>
        <w:spacing w:before="3"/>
        <w:ind w:firstLine="0"/>
        <w:jc w:val="left"/>
        <w:rPr>
          <w:rFonts w:ascii="Arial"/>
          <w:b/>
          <w:sz w:val="20"/>
        </w:rPr>
      </w:pPr>
    </w:p>
    <w:p>
      <w:pPr>
        <w:pStyle w:val="Heading1"/>
        <w:numPr>
          <w:ilvl w:val="0"/>
          <w:numId w:val="706"/>
        </w:numPr>
        <w:tabs>
          <w:tab w:pos="1351" w:val="left" w:leader="none"/>
          <w:tab w:pos="1352" w:val="left" w:leader="none"/>
        </w:tabs>
        <w:spacing w:line="240" w:lineRule="auto" w:before="90" w:after="0"/>
        <w:ind w:left="1351" w:right="0" w:hanging="1134"/>
        <w:jc w:val="left"/>
      </w:pPr>
      <w:bookmarkStart w:name="10. Glossary" w:id="3086"/>
      <w:bookmarkEnd w:id="3086"/>
      <w:r>
        <w:rPr>
          <w:b w:val="0"/>
        </w:rPr>
      </w:r>
      <w:bookmarkStart w:name="_bookmark1235" w:id="3087"/>
      <w:bookmarkEnd w:id="3087"/>
      <w:r>
        <w:rPr>
          <w:b w:val="0"/>
        </w:rPr>
      </w:r>
      <w:bookmarkStart w:name="_bookmark1235" w:id="3088"/>
      <w:bookmarkEnd w:id="3088"/>
      <w:r>
        <w:rPr/>
        <w:t>G</w:t>
      </w:r>
      <w:r>
        <w:rPr/>
        <w:t>lossary</w:t>
      </w:r>
    </w:p>
    <w:p>
      <w:pPr>
        <w:pStyle w:val="BodyText"/>
        <w:spacing w:before="2"/>
        <w:ind w:firstLine="0"/>
        <w:jc w:val="left"/>
        <w:rPr>
          <w:rFonts w:ascii="Arial"/>
          <w:b/>
          <w:sz w:val="52"/>
        </w:rPr>
      </w:pPr>
    </w:p>
    <w:p>
      <w:pPr>
        <w:pStyle w:val="Heading5"/>
        <w:spacing w:before="0"/>
        <w:rPr>
          <w:i/>
        </w:rPr>
      </w:pPr>
      <w:r>
        <w:rPr>
          <w:i/>
        </w:rPr>
        <w:t>1st regulatory control period</w:t>
      </w:r>
    </w:p>
    <w:p>
      <w:pPr>
        <w:pStyle w:val="BodyText"/>
        <w:ind w:left="1352" w:right="414" w:firstLine="0"/>
      </w:pPr>
      <w:r>
        <w:rPr/>
        <w:t>In relation to a </w:t>
      </w:r>
      <w:r>
        <w:rPr>
          <w:i/>
        </w:rPr>
        <w:t>Network Service Provider </w:t>
      </w:r>
      <w:r>
        <w:rPr/>
        <w:t>in this jurisdiction, means the first period during which the provider will be or is subject to a control mechanism imposed by a distribution determination, being the period from 1 July 2019 to 30 June</w:t>
      </w:r>
      <w:r>
        <w:rPr>
          <w:spacing w:val="-2"/>
        </w:rPr>
        <w:t> </w:t>
      </w:r>
      <w:r>
        <w:rPr/>
        <w:t>2024.</w:t>
      </w:r>
    </w:p>
    <w:p>
      <w:pPr>
        <w:pStyle w:val="Heading5"/>
        <w:rPr>
          <w:i/>
        </w:rPr>
      </w:pPr>
      <w:r>
        <w:rPr>
          <w:i/>
        </w:rPr>
        <w:t>2nd regulatory control period</w:t>
      </w:r>
    </w:p>
    <w:p>
      <w:pPr>
        <w:pStyle w:val="BodyText"/>
        <w:ind w:left="1352" w:right="414" w:firstLine="0"/>
      </w:pPr>
      <w:r>
        <w:rPr/>
        <w:t>In relation to a </w:t>
      </w:r>
      <w:r>
        <w:rPr>
          <w:i/>
        </w:rPr>
        <w:t>Network Service Provider </w:t>
      </w:r>
      <w:r>
        <w:rPr/>
        <w:t>in this jurisdiction, means the second period during which the provider will be or is subject to a control mechanism imposed by a distribution determination, being the period from 1 July 2024 to 30 June 2029.</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This definition expires on 1 July 2029.</w:t>
      </w:r>
    </w:p>
    <w:p>
      <w:pPr>
        <w:pStyle w:val="Heading5"/>
        <w:rPr>
          <w:i/>
        </w:rPr>
      </w:pPr>
      <w:r>
        <w:rPr>
          <w:i/>
        </w:rPr>
        <w:t>2009-14 NT regulatory control period</w:t>
      </w:r>
    </w:p>
    <w:p>
      <w:pPr>
        <w:spacing w:before="120"/>
        <w:ind w:left="1352" w:right="416" w:firstLine="0"/>
        <w:jc w:val="both"/>
        <w:rPr>
          <w:sz w:val="24"/>
        </w:rPr>
      </w:pPr>
      <w:r>
        <w:rPr>
          <w:sz w:val="24"/>
        </w:rPr>
        <w:t>The regulatory control period that commenced on 1 July 2009 under the </w:t>
      </w:r>
      <w:r>
        <w:rPr>
          <w:i/>
          <w:sz w:val="24"/>
        </w:rPr>
        <w:t>NT </w:t>
      </w:r>
      <w:r>
        <w:rPr>
          <w:i/>
          <w:sz w:val="24"/>
        </w:rPr>
        <w:t>Network Access Code</w:t>
      </w:r>
      <w:r>
        <w:rPr>
          <w:sz w:val="24"/>
        </w:rPr>
        <w:t>.</w:t>
      </w:r>
    </w:p>
    <w:p>
      <w:pPr>
        <w:pStyle w:val="Heading5"/>
        <w:rPr>
          <w:i/>
        </w:rPr>
      </w:pPr>
      <w:r>
        <w:rPr>
          <w:i/>
        </w:rPr>
        <w:t>2014-19 NT regulatory control period</w:t>
      </w:r>
    </w:p>
    <w:p>
      <w:pPr>
        <w:spacing w:before="120"/>
        <w:ind w:left="1352" w:right="416" w:firstLine="0"/>
        <w:jc w:val="both"/>
        <w:rPr>
          <w:sz w:val="24"/>
        </w:rPr>
      </w:pPr>
      <w:r>
        <w:rPr>
          <w:sz w:val="24"/>
        </w:rPr>
        <w:t>The regulatory control period that commenced on 1 July 2014 under the </w:t>
      </w:r>
      <w:r>
        <w:rPr>
          <w:i/>
          <w:sz w:val="24"/>
        </w:rPr>
        <w:t>NT </w:t>
      </w:r>
      <w:r>
        <w:rPr>
          <w:i/>
          <w:sz w:val="24"/>
        </w:rPr>
        <w:t>Network Access Code</w:t>
      </w:r>
      <w:r>
        <w:rPr>
          <w:sz w:val="24"/>
        </w:rPr>
        <w:t>.</w:t>
      </w:r>
    </w:p>
    <w:p>
      <w:pPr>
        <w:pStyle w:val="Heading5"/>
        <w:rPr>
          <w:i/>
        </w:rPr>
      </w:pPr>
      <w:r>
        <w:rPr>
          <w:i/>
        </w:rPr>
        <w:t>2014 NT Ministerial Direction</w:t>
      </w:r>
    </w:p>
    <w:p>
      <w:pPr>
        <w:pStyle w:val="BodyText"/>
        <w:ind w:left="1352" w:right="416" w:firstLine="0"/>
      </w:pPr>
      <w:r>
        <w:rPr/>
        <w:t>The direction issued by the shareholding Minister of Power and Water Corporation ABN 15 947 352 360 to the board of the Corporation under section 8(4)(a) of the </w:t>
      </w:r>
      <w:r>
        <w:rPr>
          <w:i/>
        </w:rPr>
        <w:t>Government Owned Corporations Act </w:t>
      </w:r>
      <w:r>
        <w:rPr/>
        <w:t>(NT), dated 19 June</w:t>
      </w:r>
      <w:r>
        <w:rPr>
          <w:spacing w:val="-9"/>
        </w:rPr>
        <w:t> </w:t>
      </w:r>
      <w:r>
        <w:rPr/>
        <w:t>2014.</w:t>
      </w:r>
    </w:p>
    <w:p>
      <w:pPr>
        <w:pStyle w:val="Heading5"/>
        <w:rPr>
          <w:i/>
        </w:rPr>
      </w:pPr>
      <w:r>
        <w:rPr>
          <w:i/>
        </w:rPr>
        <w:t>2014 NT Network Price Determination</w:t>
      </w:r>
    </w:p>
    <w:p>
      <w:pPr>
        <w:spacing w:before="120"/>
        <w:ind w:left="1352" w:right="415" w:firstLine="0"/>
        <w:jc w:val="both"/>
        <w:rPr>
          <w:sz w:val="24"/>
        </w:rPr>
      </w:pPr>
      <w:r>
        <w:rPr>
          <w:sz w:val="24"/>
        </w:rPr>
        <w:t>The "2014 Network Price Determination" made by the </w:t>
      </w:r>
      <w:r>
        <w:rPr>
          <w:i/>
          <w:sz w:val="24"/>
        </w:rPr>
        <w:t>Utilities Commission </w:t>
      </w:r>
      <w:r>
        <w:rPr>
          <w:sz w:val="24"/>
        </w:rPr>
        <w:t>under the </w:t>
      </w:r>
      <w:r>
        <w:rPr>
          <w:i/>
          <w:sz w:val="24"/>
        </w:rPr>
        <w:t>Utilities Commission Act </w:t>
      </w:r>
      <w:r>
        <w:rPr>
          <w:sz w:val="24"/>
        </w:rPr>
        <w:t>(NT), </w:t>
      </w:r>
      <w:r>
        <w:rPr>
          <w:i/>
          <w:sz w:val="24"/>
        </w:rPr>
        <w:t>Electricity Reform Act </w:t>
      </w:r>
      <w:r>
        <w:rPr>
          <w:sz w:val="24"/>
        </w:rPr>
        <w:t>(NT) and Chapter 6 of the </w:t>
      </w:r>
      <w:r>
        <w:rPr>
          <w:i/>
          <w:sz w:val="24"/>
        </w:rPr>
        <w:t>NT Network Access Code </w:t>
      </w:r>
      <w:r>
        <w:rPr>
          <w:sz w:val="24"/>
        </w:rPr>
        <w:t>that:</w:t>
      </w:r>
    </w:p>
    <w:p>
      <w:pPr>
        <w:pStyle w:val="ListParagraph"/>
        <w:numPr>
          <w:ilvl w:val="1"/>
          <w:numId w:val="706"/>
        </w:numPr>
        <w:tabs>
          <w:tab w:pos="1919" w:val="left" w:leader="none"/>
        </w:tabs>
        <w:spacing w:line="240" w:lineRule="auto" w:before="120" w:after="0"/>
        <w:ind w:left="1918" w:right="0" w:hanging="567"/>
        <w:jc w:val="both"/>
        <w:rPr>
          <w:sz w:val="24"/>
        </w:rPr>
      </w:pPr>
      <w:r>
        <w:rPr>
          <w:sz w:val="24"/>
        </w:rPr>
        <w:t>applies, or applied, from 1 July 2014 to 30 June 2019;</w:t>
      </w:r>
      <w:r>
        <w:rPr>
          <w:spacing w:val="-4"/>
          <w:sz w:val="24"/>
        </w:rPr>
        <w:t> </w:t>
      </w:r>
      <w:r>
        <w:rPr>
          <w:sz w:val="24"/>
        </w:rPr>
        <w:t>and</w:t>
      </w:r>
    </w:p>
    <w:p>
      <w:pPr>
        <w:pStyle w:val="ListParagraph"/>
        <w:numPr>
          <w:ilvl w:val="1"/>
          <w:numId w:val="706"/>
        </w:numPr>
        <w:tabs>
          <w:tab w:pos="1919" w:val="left" w:leader="none"/>
        </w:tabs>
        <w:spacing w:line="240" w:lineRule="auto" w:before="120" w:after="0"/>
        <w:ind w:left="1919" w:right="415" w:hanging="567"/>
        <w:jc w:val="both"/>
        <w:rPr>
          <w:sz w:val="24"/>
        </w:rPr>
      </w:pPr>
      <w:r>
        <w:rPr>
          <w:sz w:val="24"/>
        </w:rPr>
        <w:t>because of section 57 of the </w:t>
      </w:r>
      <w:r>
        <w:rPr>
          <w:i/>
          <w:sz w:val="24"/>
        </w:rPr>
        <w:t>Electricity Networks (Third Party Access) Act </w:t>
      </w:r>
      <w:r>
        <w:rPr>
          <w:sz w:val="24"/>
        </w:rPr>
        <w:t>(NT), is, or was, a network pricing determination made under section 6A(1) of that</w:t>
      </w:r>
      <w:r>
        <w:rPr>
          <w:spacing w:val="-1"/>
          <w:sz w:val="24"/>
        </w:rPr>
        <w:t> </w:t>
      </w:r>
      <w:r>
        <w:rPr>
          <w:sz w:val="24"/>
        </w:rPr>
        <w:t>Act,</w:t>
      </w:r>
    </w:p>
    <w:p>
      <w:pPr>
        <w:pStyle w:val="BodyText"/>
        <w:ind w:left="1352" w:firstLine="0"/>
      </w:pPr>
      <w:r>
        <w:rPr/>
        <w:t>as amended, varied or substituted from time to time.</w:t>
      </w:r>
    </w:p>
    <w:p>
      <w:pPr>
        <w:pStyle w:val="Heading5"/>
        <w:jc w:val="left"/>
        <w:rPr>
          <w:i/>
        </w:rPr>
      </w:pPr>
      <w:r>
        <w:rPr>
          <w:i/>
        </w:rPr>
        <w:t>AARR</w:t>
      </w:r>
    </w:p>
    <w:p>
      <w:pPr>
        <w:spacing w:before="120"/>
        <w:ind w:left="1352" w:right="0" w:firstLine="0"/>
        <w:jc w:val="left"/>
        <w:rPr>
          <w:sz w:val="24"/>
        </w:rPr>
      </w:pPr>
      <w:r>
        <w:rPr>
          <w:sz w:val="24"/>
        </w:rPr>
        <w:t>The </w:t>
      </w:r>
      <w:r>
        <w:rPr>
          <w:i/>
          <w:sz w:val="24"/>
        </w:rPr>
        <w:t>aggregate annual revenue requirement </w:t>
      </w:r>
      <w:r>
        <w:rPr>
          <w:sz w:val="24"/>
        </w:rPr>
        <w:t>for </w:t>
      </w:r>
      <w:r>
        <w:rPr>
          <w:i/>
          <w:sz w:val="24"/>
        </w:rPr>
        <w:t>prescribed transmission services</w:t>
      </w:r>
      <w:r>
        <w:rPr>
          <w:sz w:val="24"/>
        </w:rPr>
        <w:t>.</w:t>
      </w:r>
    </w:p>
    <w:p>
      <w:pPr>
        <w:pStyle w:val="Heading5"/>
        <w:jc w:val="left"/>
        <w:rPr>
          <w:i/>
        </w:rPr>
      </w:pPr>
      <w:r>
        <w:rPr>
          <w:i/>
        </w:rPr>
        <w:t>abnormal conditions</w:t>
      </w:r>
    </w:p>
    <w:p>
      <w:pPr>
        <w:pStyle w:val="BodyText"/>
        <w:ind w:left="1352" w:firstLine="0"/>
        <w:jc w:val="left"/>
      </w:pPr>
      <w:r>
        <w:rPr/>
        <w:t>A condition described in clause 4.2.3A(a).</w:t>
      </w:r>
    </w:p>
    <w:p>
      <w:pPr>
        <w:spacing w:after="0"/>
        <w:jc w:val="left"/>
        <w:sectPr>
          <w:headerReference w:type="default" r:id="rId153"/>
          <w:footerReference w:type="default" r:id="rId154"/>
          <w:pgSz w:w="11910" w:h="16840"/>
          <w:pgMar w:header="686" w:footer="637" w:top="1320" w:bottom="820" w:left="1200" w:right="1000"/>
        </w:sectPr>
      </w:pPr>
    </w:p>
    <w:p>
      <w:pPr>
        <w:pStyle w:val="Heading5"/>
        <w:spacing w:before="83"/>
        <w:rPr>
          <w:i/>
        </w:rPr>
      </w:pPr>
      <w:r>
        <w:rPr>
          <w:i/>
        </w:rPr>
        <w:t>above-standard system shared transmission service</w:t>
      </w:r>
    </w:p>
    <w:p>
      <w:pPr>
        <w:spacing w:before="120"/>
        <w:ind w:left="1352" w:right="416" w:firstLine="0"/>
        <w:jc w:val="both"/>
        <w:rPr>
          <w:sz w:val="24"/>
        </w:rPr>
      </w:pPr>
      <w:r>
        <w:rPr>
          <w:sz w:val="24"/>
        </w:rPr>
        <w:t>A </w:t>
      </w:r>
      <w:r>
        <w:rPr>
          <w:i/>
          <w:sz w:val="24"/>
        </w:rPr>
        <w:t>shared transmission service </w:t>
      </w:r>
      <w:r>
        <w:rPr>
          <w:sz w:val="24"/>
        </w:rPr>
        <w:t>that exceeds the requirements referred to in paragraph (a)(1) or (2) of the definition of </w:t>
      </w:r>
      <w:r>
        <w:rPr>
          <w:i/>
          <w:sz w:val="24"/>
        </w:rPr>
        <w:t>negotiated transmission service </w:t>
      </w:r>
      <w:r>
        <w:rPr>
          <w:sz w:val="24"/>
        </w:rPr>
        <w:t>principally as a consequence of investments that have </w:t>
      </w:r>
      <w:r>
        <w:rPr>
          <w:i/>
          <w:sz w:val="24"/>
        </w:rPr>
        <w:t>system-wide benefits</w:t>
      </w:r>
      <w:r>
        <w:rPr>
          <w:sz w:val="24"/>
        </w:rPr>
        <w:t>.</w:t>
      </w:r>
    </w:p>
    <w:p>
      <w:pPr>
        <w:spacing w:after="0"/>
        <w:jc w:val="both"/>
        <w:rPr>
          <w:sz w:val="24"/>
        </w:rPr>
        <w:sectPr>
          <w:headerReference w:type="default" r:id="rId155"/>
          <w:footerReference w:type="default" r:id="rId156"/>
          <w:pgSz w:w="11910" w:h="16840"/>
          <w:pgMar w:header="686" w:footer="637" w:top="1320" w:bottom="820" w:left="1200" w:right="1000"/>
          <w:pgNumType w:start="792"/>
        </w:sectPr>
      </w:pPr>
    </w:p>
    <w:p>
      <w:pPr>
        <w:pStyle w:val="Heading5"/>
        <w:jc w:val="left"/>
        <w:rPr>
          <w:i/>
        </w:rPr>
      </w:pPr>
      <w:r>
        <w:rPr>
          <w:i/>
        </w:rPr>
        <w:t>ACCC</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Australian Competition and Consumer Commission as established under the</w:t>
      </w:r>
    </w:p>
    <w:p>
      <w:pPr>
        <w:spacing w:before="0"/>
        <w:ind w:left="218" w:right="0" w:firstLine="0"/>
        <w:jc w:val="left"/>
        <w:rPr>
          <w:sz w:val="24"/>
        </w:rPr>
      </w:pPr>
      <w:r>
        <w:rPr>
          <w:i/>
          <w:sz w:val="24"/>
        </w:rPr>
        <w:t>Competition and Consumer Act 2010 </w:t>
      </w:r>
      <w:r>
        <w:rPr>
          <w:sz w:val="24"/>
        </w:rPr>
        <w:t>(Cth).</w:t>
      </w:r>
    </w:p>
    <w:p>
      <w:pPr>
        <w:spacing w:after="0"/>
        <w:jc w:val="left"/>
        <w:rPr>
          <w:sz w:val="24"/>
        </w:rPr>
        <w:sectPr>
          <w:type w:val="continuous"/>
          <w:pgSz w:w="11910" w:h="16840"/>
          <w:pgMar w:top="1360" w:bottom="280" w:left="1200" w:right="1000"/>
          <w:cols w:num="2" w:equalWidth="0">
            <w:col w:w="899" w:space="235"/>
            <w:col w:w="8576"/>
          </w:cols>
        </w:sectPr>
      </w:pPr>
    </w:p>
    <w:p>
      <w:pPr>
        <w:pStyle w:val="Heading5"/>
        <w:rPr>
          <w:i/>
        </w:rPr>
      </w:pPr>
      <w:r>
        <w:rPr>
          <w:i/>
        </w:rPr>
        <w:t>acceptable credit criteria</w:t>
      </w:r>
    </w:p>
    <w:p>
      <w:pPr>
        <w:pStyle w:val="BodyText"/>
        <w:ind w:left="1352" w:firstLine="0"/>
      </w:pPr>
      <w:r>
        <w:rPr/>
        <w:t>The credit criteria defined in clause 3.3.3.</w:t>
      </w:r>
    </w:p>
    <w:p>
      <w:pPr>
        <w:pStyle w:val="Heading5"/>
        <w:rPr>
          <w:i/>
        </w:rPr>
      </w:pPr>
      <w:r>
        <w:rPr>
          <w:i/>
        </w:rPr>
        <w:t>acceptable credit rating</w:t>
      </w:r>
    </w:p>
    <w:p>
      <w:pPr>
        <w:pStyle w:val="BodyText"/>
        <w:ind w:left="1352" w:firstLine="0"/>
      </w:pPr>
      <w:r>
        <w:rPr/>
        <w:t>The credit rating determined by </w:t>
      </w:r>
      <w:r>
        <w:rPr>
          <w:i/>
        </w:rPr>
        <w:t>AEMO </w:t>
      </w:r>
      <w:r>
        <w:rPr/>
        <w:t>under clause 3.3.4.</w:t>
      </w:r>
    </w:p>
    <w:p>
      <w:pPr>
        <w:pStyle w:val="Heading5"/>
        <w:rPr>
          <w:i/>
        </w:rPr>
      </w:pPr>
      <w:r>
        <w:rPr>
          <w:i/>
        </w:rPr>
        <w:t>accepted restriction offer</w:t>
      </w:r>
    </w:p>
    <w:p>
      <w:pPr>
        <w:spacing w:before="120"/>
        <w:ind w:left="1352" w:right="415" w:firstLine="0"/>
        <w:jc w:val="both"/>
        <w:rPr>
          <w:sz w:val="24"/>
        </w:rPr>
      </w:pPr>
      <w:r>
        <w:rPr>
          <w:sz w:val="24"/>
        </w:rPr>
        <w:t>A </w:t>
      </w:r>
      <w:r>
        <w:rPr>
          <w:i/>
          <w:sz w:val="24"/>
        </w:rPr>
        <w:t>restriction offer </w:t>
      </w:r>
      <w:r>
        <w:rPr>
          <w:sz w:val="24"/>
        </w:rPr>
        <w:t>accepted by </w:t>
      </w:r>
      <w:r>
        <w:rPr>
          <w:i/>
          <w:sz w:val="24"/>
        </w:rPr>
        <w:t>AEMO </w:t>
      </w:r>
      <w:r>
        <w:rPr>
          <w:sz w:val="24"/>
        </w:rPr>
        <w:t>in accordance with the </w:t>
      </w:r>
      <w:r>
        <w:rPr>
          <w:i/>
          <w:sz w:val="24"/>
        </w:rPr>
        <w:t>restriction offer </w:t>
      </w:r>
      <w:r>
        <w:rPr>
          <w:i/>
          <w:sz w:val="24"/>
        </w:rPr>
        <w:t>procedures</w:t>
      </w:r>
      <w:r>
        <w:rPr>
          <w:sz w:val="24"/>
        </w:rPr>
        <w:t>.</w:t>
      </w:r>
    </w:p>
    <w:p>
      <w:pPr>
        <w:pStyle w:val="Heading5"/>
        <w:rPr>
          <w:i/>
        </w:rPr>
      </w:pPr>
      <w:r>
        <w:rPr>
          <w:i/>
        </w:rPr>
        <w:t>access charge</w:t>
      </w:r>
    </w:p>
    <w:p>
      <w:pPr>
        <w:spacing w:before="120"/>
        <w:ind w:left="1352" w:right="0" w:firstLine="0"/>
        <w:jc w:val="both"/>
        <w:rPr>
          <w:sz w:val="24"/>
        </w:rPr>
      </w:pPr>
      <w:r>
        <w:rPr>
          <w:sz w:val="24"/>
        </w:rPr>
        <w:t>For a </w:t>
      </w:r>
      <w:r>
        <w:rPr>
          <w:i/>
          <w:sz w:val="24"/>
        </w:rPr>
        <w:t>Distribution Network Service Provider </w:t>
      </w:r>
      <w:r>
        <w:rPr>
          <w:sz w:val="24"/>
        </w:rPr>
        <w:t>- in respect of access to:</w:t>
      </w:r>
    </w:p>
    <w:p>
      <w:pPr>
        <w:pStyle w:val="ListParagraph"/>
        <w:numPr>
          <w:ilvl w:val="0"/>
          <w:numId w:val="707"/>
        </w:numPr>
        <w:tabs>
          <w:tab w:pos="1919" w:val="left" w:leader="none"/>
        </w:tabs>
        <w:spacing w:line="240" w:lineRule="auto" w:before="120" w:after="0"/>
        <w:ind w:left="1919" w:right="416" w:hanging="567"/>
        <w:jc w:val="both"/>
        <w:rPr>
          <w:sz w:val="24"/>
        </w:rPr>
      </w:pPr>
      <w:r>
        <w:rPr>
          <w:i/>
          <w:sz w:val="24"/>
        </w:rPr>
        <w:t>negotiated distribution services </w:t>
      </w:r>
      <w:r>
        <w:rPr>
          <w:sz w:val="24"/>
        </w:rPr>
        <w:t>which would have been </w:t>
      </w:r>
      <w:r>
        <w:rPr>
          <w:i/>
          <w:sz w:val="24"/>
        </w:rPr>
        <w:t>negotiated </w:t>
      </w:r>
      <w:r>
        <w:rPr>
          <w:i/>
          <w:sz w:val="24"/>
        </w:rPr>
        <w:t>distribution services </w:t>
      </w:r>
      <w:r>
        <w:rPr>
          <w:sz w:val="24"/>
        </w:rPr>
        <w:t>regardless of the operation of clause 6.24.2(c), an amount described in clause</w:t>
      </w:r>
      <w:r>
        <w:rPr>
          <w:spacing w:val="-2"/>
          <w:sz w:val="24"/>
        </w:rPr>
        <w:t> </w:t>
      </w:r>
      <w:r>
        <w:rPr>
          <w:sz w:val="24"/>
        </w:rPr>
        <w:t>5.3AA(f)(4).</w:t>
      </w:r>
    </w:p>
    <w:p>
      <w:pPr>
        <w:pStyle w:val="Heading4"/>
        <w:numPr>
          <w:ilvl w:val="0"/>
          <w:numId w:val="707"/>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Heading5"/>
        <w:rPr>
          <w:i/>
        </w:rPr>
      </w:pPr>
      <w:r>
        <w:rPr>
          <w:i/>
        </w:rPr>
        <w:t>access party</w:t>
      </w:r>
    </w:p>
    <w:p>
      <w:pPr>
        <w:pStyle w:val="BodyText"/>
        <w:ind w:left="1352" w:right="416" w:firstLine="0"/>
      </w:pPr>
      <w:r>
        <w:rPr/>
        <w:t>In respect of a service that is listed in column 1 of Table S7.5.1.1, the party listed in column 3 of Table S7.5.1.1.</w:t>
      </w:r>
    </w:p>
    <w:p>
      <w:pPr>
        <w:pStyle w:val="Heading5"/>
        <w:rPr>
          <w:i/>
        </w:rPr>
      </w:pPr>
      <w:r>
        <w:rPr>
          <w:i/>
        </w:rPr>
        <w:t>access policy</w:t>
      </w:r>
    </w:p>
    <w:p>
      <w:pPr>
        <w:spacing w:before="120"/>
        <w:ind w:left="1352" w:right="0" w:firstLine="0"/>
        <w:jc w:val="both"/>
        <w:rPr>
          <w:sz w:val="24"/>
        </w:rPr>
      </w:pPr>
      <w:r>
        <w:rPr>
          <w:sz w:val="24"/>
        </w:rPr>
        <w:t>An access policy as required for </w:t>
      </w:r>
      <w:r>
        <w:rPr>
          <w:i/>
          <w:sz w:val="24"/>
        </w:rPr>
        <w:t>large DCA services </w:t>
      </w:r>
      <w:r>
        <w:rPr>
          <w:sz w:val="24"/>
        </w:rPr>
        <w:t>under clause 5.2A.8.</w:t>
      </w:r>
    </w:p>
    <w:p>
      <w:pPr>
        <w:pStyle w:val="Heading5"/>
        <w:rPr>
          <w:i/>
        </w:rPr>
      </w:pPr>
      <w:r>
        <w:rPr>
          <w:i/>
        </w:rPr>
        <w:t>access standard</w:t>
      </w:r>
    </w:p>
    <w:p>
      <w:pPr>
        <w:spacing w:before="120"/>
        <w:ind w:left="1352" w:right="0" w:firstLine="0"/>
        <w:jc w:val="both"/>
        <w:rPr>
          <w:sz w:val="24"/>
        </w:rPr>
      </w:pPr>
      <w:r>
        <w:rPr>
          <w:sz w:val="24"/>
        </w:rPr>
        <w:t>A particular technical requirement as recorded in a </w:t>
      </w:r>
      <w:r>
        <w:rPr>
          <w:i/>
          <w:sz w:val="24"/>
        </w:rPr>
        <w:t>connection agreement</w:t>
      </w:r>
      <w:r>
        <w:rPr>
          <w:sz w:val="24"/>
        </w:rPr>
        <w:t>.</w:t>
      </w:r>
    </w:p>
    <w:p>
      <w:pPr>
        <w:pStyle w:val="Heading5"/>
        <w:rPr>
          <w:i/>
        </w:rPr>
      </w:pPr>
      <w:r>
        <w:rPr>
          <w:i/>
        </w:rPr>
        <w:t>Accredited Service Provider category</w:t>
      </w:r>
    </w:p>
    <w:p>
      <w:pPr>
        <w:spacing w:before="120"/>
        <w:ind w:left="1352" w:right="414" w:firstLine="0"/>
        <w:jc w:val="both"/>
        <w:rPr>
          <w:sz w:val="24"/>
        </w:rPr>
      </w:pPr>
      <w:r>
        <w:rPr>
          <w:sz w:val="24"/>
        </w:rPr>
        <w:t>A category of registration of a </w:t>
      </w:r>
      <w:r>
        <w:rPr>
          <w:i/>
          <w:sz w:val="24"/>
        </w:rPr>
        <w:t>Metering Provider </w:t>
      </w:r>
      <w:r>
        <w:rPr>
          <w:sz w:val="24"/>
        </w:rPr>
        <w:t>established by </w:t>
      </w:r>
      <w:r>
        <w:rPr>
          <w:i/>
          <w:sz w:val="24"/>
        </w:rPr>
        <w:t>AEMO </w:t>
      </w:r>
      <w:r>
        <w:rPr>
          <w:sz w:val="24"/>
        </w:rPr>
        <w:t>under S7.2.2(b) as a consequence of requirements of a </w:t>
      </w:r>
      <w:r>
        <w:rPr>
          <w:i/>
          <w:sz w:val="24"/>
        </w:rPr>
        <w:t>participating jurisdiction </w:t>
      </w:r>
      <w:r>
        <w:rPr>
          <w:sz w:val="24"/>
        </w:rPr>
        <w:t>to install </w:t>
      </w:r>
      <w:r>
        <w:rPr>
          <w:i/>
          <w:sz w:val="24"/>
        </w:rPr>
        <w:t>metering</w:t>
      </w:r>
      <w:r>
        <w:rPr>
          <w:i/>
          <w:spacing w:val="-2"/>
          <w:sz w:val="24"/>
        </w:rPr>
        <w:t> </w:t>
      </w:r>
      <w:r>
        <w:rPr>
          <w:i/>
          <w:sz w:val="24"/>
        </w:rPr>
        <w:t>installations</w:t>
      </w:r>
      <w:r>
        <w:rPr>
          <w:sz w:val="24"/>
        </w:rPr>
        <w:t>.</w:t>
      </w:r>
    </w:p>
    <w:p>
      <w:pPr>
        <w:pStyle w:val="Heading5"/>
        <w:rPr>
          <w:i/>
        </w:rPr>
      </w:pPr>
      <w:r>
        <w:rPr>
          <w:i/>
        </w:rPr>
        <w:t>accumulated energy data</w:t>
      </w:r>
    </w:p>
    <w:p>
      <w:pPr>
        <w:spacing w:before="120"/>
        <w:ind w:left="1352" w:right="415" w:firstLine="0"/>
        <w:jc w:val="both"/>
        <w:rPr>
          <w:sz w:val="24"/>
        </w:rPr>
      </w:pPr>
      <w:r>
        <w:rPr>
          <w:sz w:val="24"/>
        </w:rPr>
        <w:t>The data that results from the measurement of the flow of electricity in a power conductor where the data represents a period in excess of a </w:t>
      </w:r>
      <w:r>
        <w:rPr>
          <w:i/>
          <w:sz w:val="24"/>
        </w:rPr>
        <w:t>recording interval</w:t>
      </w:r>
      <w:r>
        <w:rPr>
          <w:sz w:val="24"/>
        </w:rPr>
        <w:t>. </w:t>
      </w:r>
      <w:r>
        <w:rPr>
          <w:i/>
          <w:sz w:val="24"/>
        </w:rPr>
        <w:t>Accumulated energy data </w:t>
      </w:r>
      <w:r>
        <w:rPr>
          <w:sz w:val="24"/>
        </w:rPr>
        <w:t>is held in the </w:t>
      </w:r>
      <w:r>
        <w:rPr>
          <w:i/>
          <w:sz w:val="24"/>
        </w:rPr>
        <w:t>metering installation</w:t>
      </w:r>
      <w:r>
        <w:rPr>
          <w:sz w:val="24"/>
        </w:rPr>
        <w:t>. The measurement is carried out at a </w:t>
      </w:r>
      <w:r>
        <w:rPr>
          <w:i/>
          <w:sz w:val="24"/>
        </w:rPr>
        <w:t>metering point</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accumulated metering data</w:t>
      </w:r>
    </w:p>
    <w:p>
      <w:pPr>
        <w:spacing w:before="120"/>
        <w:ind w:left="1352" w:right="415" w:firstLine="0"/>
        <w:jc w:val="both"/>
        <w:rPr>
          <w:sz w:val="24"/>
        </w:rPr>
      </w:pPr>
      <w:r>
        <w:rPr>
          <w:sz w:val="24"/>
        </w:rPr>
        <w:t>The </w:t>
      </w:r>
      <w:r>
        <w:rPr>
          <w:i/>
          <w:sz w:val="24"/>
        </w:rPr>
        <w:t>accumulated energy data</w:t>
      </w:r>
      <w:r>
        <w:rPr>
          <w:sz w:val="24"/>
        </w:rPr>
        <w:t>, once collected from a </w:t>
      </w:r>
      <w:r>
        <w:rPr>
          <w:i/>
          <w:sz w:val="24"/>
        </w:rPr>
        <w:t>metering installation</w:t>
      </w:r>
      <w:r>
        <w:rPr>
          <w:sz w:val="24"/>
        </w:rPr>
        <w:t>, is </w:t>
      </w:r>
      <w:r>
        <w:rPr>
          <w:i/>
          <w:sz w:val="24"/>
        </w:rPr>
        <w:t>accumulated metering data</w:t>
      </w:r>
      <w:r>
        <w:rPr>
          <w:sz w:val="24"/>
        </w:rPr>
        <w:t>. </w:t>
      </w:r>
      <w:r>
        <w:rPr>
          <w:i/>
          <w:sz w:val="24"/>
        </w:rPr>
        <w:t>Accumulated metering data </w:t>
      </w:r>
      <w:r>
        <w:rPr>
          <w:sz w:val="24"/>
        </w:rPr>
        <w:t>is held in a </w:t>
      </w:r>
      <w:r>
        <w:rPr>
          <w:i/>
          <w:sz w:val="24"/>
        </w:rPr>
        <w:t>metering data </w:t>
      </w:r>
      <w:r>
        <w:rPr>
          <w:i/>
          <w:sz w:val="24"/>
        </w:rPr>
        <w:t>services</w:t>
      </w:r>
      <w:r>
        <w:rPr>
          <w:i/>
          <w:spacing w:val="-2"/>
          <w:sz w:val="24"/>
        </w:rPr>
        <w:t> </w:t>
      </w:r>
      <w:r>
        <w:rPr>
          <w:i/>
          <w:sz w:val="24"/>
        </w:rPr>
        <w:t>database</w:t>
      </w:r>
      <w:r>
        <w:rPr>
          <w:sz w:val="24"/>
        </w:rPr>
        <w:t>.</w:t>
      </w:r>
    </w:p>
    <w:p>
      <w:pPr>
        <w:pStyle w:val="Heading5"/>
        <w:rPr>
          <w:i/>
        </w:rPr>
      </w:pPr>
      <w:r>
        <w:rPr>
          <w:i/>
        </w:rPr>
        <w:t>activate, activated,</w:t>
      </w:r>
      <w:r>
        <w:rPr>
          <w:i/>
          <w:spacing w:val="-3"/>
        </w:rPr>
        <w:t> </w:t>
      </w:r>
      <w:r>
        <w:rPr>
          <w:i/>
        </w:rPr>
        <w:t>activation</w:t>
      </w:r>
    </w:p>
    <w:p>
      <w:pPr>
        <w:spacing w:before="120"/>
        <w:ind w:left="1352" w:right="415" w:firstLine="0"/>
        <w:jc w:val="both"/>
        <w:rPr>
          <w:sz w:val="24"/>
        </w:rPr>
      </w:pPr>
      <w:r>
        <w:rPr>
          <w:sz w:val="24"/>
        </w:rPr>
        <w:t>The operation of a </w:t>
      </w:r>
      <w:r>
        <w:rPr>
          <w:i/>
          <w:sz w:val="24"/>
        </w:rPr>
        <w:t>generating unit </w:t>
      </w:r>
      <w:r>
        <w:rPr>
          <w:sz w:val="24"/>
        </w:rPr>
        <w:t>(other than a </w:t>
      </w:r>
      <w:r>
        <w:rPr>
          <w:i/>
          <w:sz w:val="24"/>
        </w:rPr>
        <w:t>scheduled generating unit</w:t>
      </w:r>
      <w:r>
        <w:rPr>
          <w:sz w:val="24"/>
        </w:rPr>
        <w:t>) at an increased </w:t>
      </w:r>
      <w:r>
        <w:rPr>
          <w:i/>
          <w:sz w:val="24"/>
        </w:rPr>
        <w:t>loading level </w:t>
      </w:r>
      <w:r>
        <w:rPr>
          <w:sz w:val="24"/>
        </w:rPr>
        <w:t>or reduction in demand (other than a </w:t>
      </w:r>
      <w:r>
        <w:rPr>
          <w:i/>
          <w:sz w:val="24"/>
        </w:rPr>
        <w:t>scheduled load</w:t>
      </w:r>
      <w:r>
        <w:rPr>
          <w:sz w:val="24"/>
        </w:rPr>
        <w:t>) undertaken in response to a request by </w:t>
      </w:r>
      <w:r>
        <w:rPr>
          <w:i/>
          <w:sz w:val="24"/>
        </w:rPr>
        <w:t>AEMO </w:t>
      </w:r>
      <w:r>
        <w:rPr>
          <w:sz w:val="24"/>
        </w:rPr>
        <w:t>in accordance with an </w:t>
      </w:r>
      <w:r>
        <w:rPr>
          <w:i/>
          <w:sz w:val="24"/>
        </w:rPr>
        <w:t>unscheduled </w:t>
      </w:r>
      <w:r>
        <w:rPr>
          <w:i/>
          <w:sz w:val="24"/>
        </w:rPr>
        <w:t>reserve contract</w:t>
      </w:r>
      <w:r>
        <w:rPr>
          <w:sz w:val="24"/>
        </w:rPr>
        <w:t>.</w:t>
      </w:r>
    </w:p>
    <w:p>
      <w:pPr>
        <w:pStyle w:val="Heading5"/>
        <w:rPr>
          <w:i/>
        </w:rPr>
      </w:pPr>
      <w:r>
        <w:rPr>
          <w:i/>
        </w:rPr>
        <w:t>active energy</w:t>
      </w:r>
    </w:p>
    <w:p>
      <w:pPr>
        <w:pStyle w:val="BodyText"/>
        <w:ind w:left="1352" w:right="414" w:firstLine="0"/>
      </w:pPr>
      <w:r>
        <w:rPr/>
        <w:t>A measure of electrical energy flow, being the time integral of the product of </w:t>
      </w:r>
      <w:r>
        <w:rPr>
          <w:i/>
        </w:rPr>
        <w:t>voltage </w:t>
      </w:r>
      <w:r>
        <w:rPr/>
        <w:t>and the in-phase component of current flow across a </w:t>
      </w:r>
      <w:r>
        <w:rPr>
          <w:i/>
        </w:rPr>
        <w:t>connection point</w:t>
      </w:r>
      <w:r>
        <w:rPr/>
        <w:t>, expressed in watthour (Wh).</w:t>
      </w:r>
    </w:p>
    <w:p>
      <w:pPr>
        <w:pStyle w:val="Heading5"/>
        <w:rPr>
          <w:i/>
        </w:rPr>
      </w:pPr>
      <w:r>
        <w:rPr>
          <w:i/>
        </w:rPr>
        <w:t>active power</w:t>
      </w:r>
    </w:p>
    <w:p>
      <w:pPr>
        <w:spacing w:before="120"/>
        <w:ind w:left="1352" w:right="0" w:firstLine="0"/>
        <w:jc w:val="both"/>
        <w:rPr>
          <w:sz w:val="24"/>
        </w:rPr>
      </w:pPr>
      <w:r>
        <w:rPr>
          <w:sz w:val="24"/>
        </w:rPr>
        <w:t>The rate at which </w:t>
      </w:r>
      <w:r>
        <w:rPr>
          <w:i/>
          <w:sz w:val="24"/>
        </w:rPr>
        <w:t>active energy </w:t>
      </w:r>
      <w:r>
        <w:rPr>
          <w:sz w:val="24"/>
        </w:rPr>
        <w:t>is transferred.</w:t>
      </w:r>
    </w:p>
    <w:p>
      <w:pPr>
        <w:pStyle w:val="Heading5"/>
        <w:rPr>
          <w:i/>
        </w:rPr>
      </w:pPr>
      <w:r>
        <w:rPr>
          <w:i/>
        </w:rPr>
        <w:t>active power capability</w:t>
      </w:r>
    </w:p>
    <w:p>
      <w:pPr>
        <w:spacing w:before="120"/>
        <w:ind w:left="1352" w:right="415" w:firstLine="0"/>
        <w:jc w:val="both"/>
        <w:rPr>
          <w:sz w:val="24"/>
        </w:rPr>
      </w:pPr>
      <w:r>
        <w:rPr>
          <w:sz w:val="24"/>
        </w:rPr>
        <w:t>The maximum rate at which </w:t>
      </w:r>
      <w:r>
        <w:rPr>
          <w:i/>
          <w:sz w:val="24"/>
        </w:rPr>
        <w:t>active energy </w:t>
      </w:r>
      <w:r>
        <w:rPr>
          <w:sz w:val="24"/>
        </w:rPr>
        <w:t>may be transferred from a </w:t>
      </w:r>
      <w:r>
        <w:rPr>
          <w:i/>
          <w:sz w:val="24"/>
        </w:rPr>
        <w:t>generating </w:t>
      </w:r>
      <w:r>
        <w:rPr>
          <w:i/>
          <w:sz w:val="24"/>
        </w:rPr>
        <w:t>unit </w:t>
      </w:r>
      <w:r>
        <w:rPr>
          <w:sz w:val="24"/>
        </w:rPr>
        <w:t>to a </w:t>
      </w:r>
      <w:r>
        <w:rPr>
          <w:i/>
          <w:sz w:val="24"/>
        </w:rPr>
        <w:t>connection point </w:t>
      </w:r>
      <w:r>
        <w:rPr>
          <w:sz w:val="24"/>
        </w:rPr>
        <w:t>as specified or proposed to be specified in a </w:t>
      </w:r>
      <w:r>
        <w:rPr>
          <w:i/>
          <w:sz w:val="24"/>
        </w:rPr>
        <w:t>connection </w:t>
      </w:r>
      <w:r>
        <w:rPr>
          <w:i/>
          <w:sz w:val="24"/>
        </w:rPr>
        <w:t>agreement </w:t>
      </w:r>
      <w:r>
        <w:rPr>
          <w:sz w:val="24"/>
        </w:rPr>
        <w:t>(as the case may be).</w:t>
      </w:r>
    </w:p>
    <w:p>
      <w:pPr>
        <w:pStyle w:val="Heading5"/>
        <w:rPr>
          <w:i/>
        </w:rPr>
      </w:pPr>
      <w:r>
        <w:rPr>
          <w:i/>
        </w:rPr>
        <w:t>additional intervention claim</w:t>
      </w:r>
    </w:p>
    <w:p>
      <w:pPr>
        <w:pStyle w:val="BodyText"/>
        <w:ind w:left="1352" w:firstLine="0"/>
      </w:pPr>
      <w:r>
        <w:rPr/>
        <w:t>Has the meaning given in clause 3.12.2(k).</w:t>
      </w:r>
    </w:p>
    <w:p>
      <w:pPr>
        <w:pStyle w:val="Heading5"/>
        <w:rPr>
          <w:i/>
        </w:rPr>
      </w:pPr>
      <w:r>
        <w:rPr>
          <w:i/>
        </w:rPr>
        <w:t>adequately damped</w:t>
      </w:r>
    </w:p>
    <w:p>
      <w:pPr>
        <w:pStyle w:val="BodyText"/>
        <w:ind w:left="1352" w:right="415" w:firstLine="0"/>
      </w:pPr>
      <w:r>
        <w:rPr/>
        <w:t>In relation to a </w:t>
      </w:r>
      <w:r>
        <w:rPr>
          <w:i/>
        </w:rPr>
        <w:t>control system</w:t>
      </w:r>
      <w:r>
        <w:rPr/>
        <w:t>, when tested with a step change of a feedback input or corresponding reference, or otherwise observed, any oscillatory response at a </w:t>
      </w:r>
      <w:r>
        <w:rPr>
          <w:i/>
        </w:rPr>
        <w:t>frequency </w:t>
      </w:r>
      <w:r>
        <w:rPr/>
        <w:t>of:</w:t>
      </w:r>
    </w:p>
    <w:p>
      <w:pPr>
        <w:pStyle w:val="ListParagraph"/>
        <w:numPr>
          <w:ilvl w:val="0"/>
          <w:numId w:val="708"/>
        </w:numPr>
        <w:tabs>
          <w:tab w:pos="1919" w:val="left" w:leader="none"/>
        </w:tabs>
        <w:spacing w:line="240" w:lineRule="auto" w:before="120" w:after="0"/>
        <w:ind w:left="1918" w:right="0" w:hanging="567"/>
        <w:jc w:val="both"/>
        <w:rPr>
          <w:sz w:val="24"/>
        </w:rPr>
      </w:pPr>
      <w:r>
        <w:rPr>
          <w:sz w:val="24"/>
        </w:rPr>
        <w:t>0.05 Hz or less, has a damping ratio of at least</w:t>
      </w:r>
      <w:r>
        <w:rPr>
          <w:spacing w:val="-3"/>
          <w:sz w:val="24"/>
        </w:rPr>
        <w:t> </w:t>
      </w:r>
      <w:r>
        <w:rPr>
          <w:sz w:val="24"/>
        </w:rPr>
        <w:t>0.4;</w:t>
      </w:r>
    </w:p>
    <w:p>
      <w:pPr>
        <w:pStyle w:val="ListParagraph"/>
        <w:numPr>
          <w:ilvl w:val="0"/>
          <w:numId w:val="708"/>
        </w:numPr>
        <w:tabs>
          <w:tab w:pos="1919" w:val="left" w:leader="none"/>
        </w:tabs>
        <w:spacing w:line="240" w:lineRule="auto" w:before="120" w:after="0"/>
        <w:ind w:left="1919" w:right="416" w:hanging="567"/>
        <w:jc w:val="both"/>
        <w:rPr>
          <w:sz w:val="24"/>
        </w:rPr>
      </w:pPr>
      <w:r>
        <w:rPr>
          <w:sz w:val="24"/>
        </w:rPr>
        <w:t>between 0.05 Hz and 0.6 Hz, has a halving time of 5 seconds or</w:t>
      </w:r>
      <w:r>
        <w:rPr>
          <w:spacing w:val="37"/>
          <w:sz w:val="24"/>
        </w:rPr>
        <w:t> </w:t>
      </w:r>
      <w:r>
        <w:rPr>
          <w:sz w:val="24"/>
        </w:rPr>
        <w:t>less (equivalent to a damping coefficient –0.14 nepers per second or less);</w:t>
      </w:r>
      <w:r>
        <w:rPr>
          <w:spacing w:val="-10"/>
          <w:sz w:val="24"/>
        </w:rPr>
        <w:t> </w:t>
      </w:r>
      <w:r>
        <w:rPr>
          <w:sz w:val="24"/>
        </w:rPr>
        <w:t>and</w:t>
      </w:r>
    </w:p>
    <w:p>
      <w:pPr>
        <w:pStyle w:val="ListParagraph"/>
        <w:numPr>
          <w:ilvl w:val="0"/>
          <w:numId w:val="708"/>
        </w:numPr>
        <w:tabs>
          <w:tab w:pos="1919" w:val="left" w:leader="none"/>
        </w:tabs>
        <w:spacing w:line="240" w:lineRule="auto" w:before="120" w:after="0"/>
        <w:ind w:left="1919" w:right="416" w:hanging="567"/>
        <w:jc w:val="both"/>
        <w:rPr>
          <w:sz w:val="24"/>
        </w:rPr>
      </w:pPr>
      <w:r>
        <w:rPr>
          <w:sz w:val="24"/>
        </w:rPr>
        <w:t>0.6 Hz or more, has a damping ratio of at least 0.05 in relation to a </w:t>
      </w:r>
      <w:r>
        <w:rPr>
          <w:i/>
          <w:sz w:val="24"/>
        </w:rPr>
        <w:t>minimum </w:t>
      </w:r>
      <w:r>
        <w:rPr>
          <w:i/>
          <w:sz w:val="24"/>
        </w:rPr>
        <w:t>access standard </w:t>
      </w:r>
      <w:r>
        <w:rPr>
          <w:sz w:val="24"/>
        </w:rPr>
        <w:t>and a damping ratio of at least 0.1</w:t>
      </w:r>
      <w:r>
        <w:rPr>
          <w:spacing w:val="-5"/>
          <w:sz w:val="24"/>
        </w:rPr>
        <w:t> </w:t>
      </w:r>
      <w:r>
        <w:rPr>
          <w:sz w:val="24"/>
        </w:rPr>
        <w:t>otherwise.</w:t>
      </w:r>
    </w:p>
    <w:p>
      <w:pPr>
        <w:pStyle w:val="Heading5"/>
        <w:rPr>
          <w:i/>
        </w:rPr>
      </w:pPr>
      <w:r>
        <w:rPr>
          <w:i/>
        </w:rPr>
        <w:t>adjusted gross energy</w:t>
      </w:r>
    </w:p>
    <w:p>
      <w:pPr>
        <w:spacing w:before="120"/>
        <w:ind w:left="1352" w:right="414" w:firstLine="0"/>
        <w:jc w:val="both"/>
        <w:rPr>
          <w:sz w:val="24"/>
        </w:rPr>
      </w:pPr>
      <w:r>
        <w:rPr>
          <w:sz w:val="24"/>
        </w:rPr>
        <w:t>The </w:t>
      </w:r>
      <w:r>
        <w:rPr>
          <w:i/>
          <w:sz w:val="24"/>
        </w:rPr>
        <w:t>energy </w:t>
      </w:r>
      <w:r>
        <w:rPr>
          <w:sz w:val="24"/>
        </w:rPr>
        <w:t>adjusted in accordance with clause 3.15.5 (for a </w:t>
      </w:r>
      <w:r>
        <w:rPr>
          <w:i/>
          <w:sz w:val="24"/>
        </w:rPr>
        <w:t>transmission network </w:t>
      </w:r>
      <w:r>
        <w:rPr>
          <w:i/>
          <w:sz w:val="24"/>
        </w:rPr>
        <w:t>connection point</w:t>
      </w:r>
      <w:r>
        <w:rPr>
          <w:sz w:val="24"/>
        </w:rPr>
        <w:t>) or clause 3.15.5A (for a </w:t>
      </w:r>
      <w:r>
        <w:rPr>
          <w:i/>
          <w:sz w:val="24"/>
        </w:rPr>
        <w:t>virtual transmission node</w:t>
      </w:r>
      <w:r>
        <w:rPr>
          <w:sz w:val="24"/>
        </w:rPr>
        <w:t>) or clause</w:t>
      </w:r>
    </w:p>
    <w:p>
      <w:pPr>
        <w:spacing w:before="0"/>
        <w:ind w:left="1352" w:right="0" w:firstLine="0"/>
        <w:jc w:val="both"/>
        <w:rPr>
          <w:sz w:val="24"/>
        </w:rPr>
      </w:pPr>
      <w:r>
        <w:rPr>
          <w:sz w:val="24"/>
        </w:rPr>
        <w:t>3.15.4 (for any other </w:t>
      </w:r>
      <w:r>
        <w:rPr>
          <w:i/>
          <w:sz w:val="24"/>
        </w:rPr>
        <w:t>connection point</w:t>
      </w:r>
      <w:r>
        <w:rPr>
          <w:sz w:val="24"/>
        </w:rPr>
        <w:t>).</w:t>
      </w:r>
    </w:p>
    <w:p>
      <w:pPr>
        <w:pStyle w:val="Heading5"/>
        <w:rPr>
          <w:i/>
        </w:rPr>
      </w:pPr>
      <w:r>
        <w:rPr>
          <w:i/>
        </w:rPr>
        <w:t>adjusted locational component</w:t>
      </w:r>
    </w:p>
    <w:p>
      <w:pPr>
        <w:pStyle w:val="BodyText"/>
        <w:ind w:left="1352" w:firstLine="0"/>
      </w:pPr>
      <w:r>
        <w:rPr/>
        <w:t>Has the meaning given to it in clause 6A.23.3(b).</w:t>
      </w:r>
    </w:p>
    <w:p>
      <w:pPr>
        <w:pStyle w:val="Heading5"/>
        <w:rPr>
          <w:i/>
        </w:rPr>
      </w:pPr>
      <w:r>
        <w:rPr>
          <w:i/>
        </w:rPr>
        <w:t>adjusted non-locational component</w:t>
      </w:r>
    </w:p>
    <w:p>
      <w:pPr>
        <w:pStyle w:val="BodyText"/>
        <w:ind w:left="1352" w:firstLine="0"/>
      </w:pPr>
      <w:r>
        <w:rPr/>
        <w:t>Has the meaning given to it in clause 6A.23.3(e).</w:t>
      </w:r>
    </w:p>
    <w:p>
      <w:pPr>
        <w:spacing w:after="0"/>
        <w:sectPr>
          <w:pgSz w:w="11910" w:h="16840"/>
          <w:pgMar w:header="686" w:footer="637" w:top="1320" w:bottom="820" w:left="1200" w:right="1000"/>
        </w:sectPr>
      </w:pPr>
    </w:p>
    <w:p>
      <w:pPr>
        <w:pStyle w:val="Heading5"/>
        <w:spacing w:before="83"/>
        <w:rPr>
          <w:i/>
        </w:rPr>
      </w:pPr>
      <w:r>
        <w:rPr>
          <w:i/>
        </w:rPr>
        <w:t>administered floor price</w:t>
      </w:r>
    </w:p>
    <w:p>
      <w:pPr>
        <w:pStyle w:val="BodyText"/>
        <w:ind w:left="1352" w:right="415" w:firstLine="0"/>
      </w:pPr>
      <w:r>
        <w:rPr/>
        <w:t>A price floor to apply to a </w:t>
      </w:r>
      <w:r>
        <w:rPr>
          <w:i/>
        </w:rPr>
        <w:t>regional reference price</w:t>
      </w:r>
      <w:r>
        <w:rPr/>
        <w:t>, with the levels of the price floor being administered under clause 3.14.1 and the circumstances under which it can be invoked by </w:t>
      </w:r>
      <w:r>
        <w:rPr>
          <w:i/>
        </w:rPr>
        <w:t>AEMO </w:t>
      </w:r>
      <w:r>
        <w:rPr/>
        <w:t>being determined as set out in clause 3.14.2.</w:t>
      </w:r>
    </w:p>
    <w:p>
      <w:pPr>
        <w:pStyle w:val="Heading5"/>
        <w:rPr>
          <w:i/>
        </w:rPr>
      </w:pPr>
      <w:r>
        <w:rPr>
          <w:i/>
        </w:rPr>
        <w:t>administered price cap</w:t>
      </w:r>
    </w:p>
    <w:p>
      <w:pPr>
        <w:spacing w:before="120"/>
        <w:ind w:left="1352" w:right="416" w:firstLine="0"/>
        <w:jc w:val="both"/>
        <w:rPr>
          <w:sz w:val="24"/>
        </w:rPr>
      </w:pPr>
      <w:r>
        <w:rPr>
          <w:sz w:val="24"/>
        </w:rPr>
        <w:t>A price cap to apply to a </w:t>
      </w:r>
      <w:r>
        <w:rPr>
          <w:i/>
          <w:sz w:val="24"/>
        </w:rPr>
        <w:t>dispatch price</w:t>
      </w:r>
      <w:r>
        <w:rPr>
          <w:sz w:val="24"/>
        </w:rPr>
        <w:t>, </w:t>
      </w:r>
      <w:r>
        <w:rPr>
          <w:i/>
          <w:sz w:val="24"/>
        </w:rPr>
        <w:t>regional reference price </w:t>
      </w:r>
      <w:r>
        <w:rPr>
          <w:sz w:val="24"/>
        </w:rPr>
        <w:t>or </w:t>
      </w:r>
      <w:r>
        <w:rPr>
          <w:i/>
          <w:sz w:val="24"/>
        </w:rPr>
        <w:t>ancillary </w:t>
      </w:r>
      <w:r>
        <w:rPr>
          <w:i/>
          <w:sz w:val="24"/>
        </w:rPr>
        <w:t>service price </w:t>
      </w:r>
      <w:r>
        <w:rPr>
          <w:sz w:val="24"/>
        </w:rPr>
        <w:t>as specified in clause 3.14.1.</w:t>
      </w:r>
    </w:p>
    <w:p>
      <w:pPr>
        <w:pStyle w:val="Heading5"/>
        <w:rPr>
          <w:i/>
        </w:rPr>
      </w:pPr>
      <w:r>
        <w:rPr>
          <w:i/>
        </w:rPr>
        <w:t>administered price period</w:t>
      </w:r>
    </w:p>
    <w:p>
      <w:pPr>
        <w:pStyle w:val="BodyText"/>
        <w:ind w:left="1352" w:firstLine="0"/>
      </w:pPr>
      <w:r>
        <w:rPr/>
        <w:t>A period declared by </w:t>
      </w:r>
      <w:r>
        <w:rPr>
          <w:i/>
        </w:rPr>
        <w:t>AEMO</w:t>
      </w:r>
      <w:r>
        <w:rPr/>
        <w:t>, in accordance with clause 3.14.2, in which an</w:t>
      </w:r>
    </w:p>
    <w:p>
      <w:pPr>
        <w:spacing w:before="0"/>
        <w:ind w:left="1352" w:right="0" w:firstLine="0"/>
        <w:jc w:val="both"/>
        <w:rPr>
          <w:sz w:val="24"/>
        </w:rPr>
      </w:pPr>
      <w:r>
        <w:rPr>
          <w:i/>
          <w:sz w:val="24"/>
        </w:rPr>
        <w:t>administered price cap </w:t>
      </w:r>
      <w:r>
        <w:rPr>
          <w:sz w:val="24"/>
        </w:rPr>
        <w:t>may be invoked.</w:t>
      </w:r>
    </w:p>
    <w:p>
      <w:pPr>
        <w:pStyle w:val="Heading5"/>
        <w:rPr>
          <w:i/>
        </w:rPr>
      </w:pPr>
      <w:r>
        <w:rPr>
          <w:i/>
        </w:rPr>
        <w:t>adoptive jurisdiction</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adverse system strength impact</w:t>
      </w:r>
    </w:p>
    <w:p>
      <w:pPr>
        <w:spacing w:before="120"/>
        <w:ind w:left="1352" w:right="415" w:firstLine="0"/>
        <w:jc w:val="both"/>
        <w:rPr>
          <w:sz w:val="24"/>
        </w:rPr>
      </w:pPr>
      <w:r>
        <w:rPr>
          <w:sz w:val="24"/>
        </w:rPr>
        <w:t>An adverse impact, assessed in accordance with the </w:t>
      </w:r>
      <w:r>
        <w:rPr>
          <w:i/>
          <w:sz w:val="24"/>
        </w:rPr>
        <w:t>system strength impact </w:t>
      </w:r>
      <w:r>
        <w:rPr>
          <w:i/>
          <w:sz w:val="24"/>
        </w:rPr>
        <w:t>assessment guidelines</w:t>
      </w:r>
      <w:r>
        <w:rPr>
          <w:sz w:val="24"/>
        </w:rPr>
        <w:t>, on the ability under different operating conditions of:</w:t>
      </w:r>
    </w:p>
    <w:p>
      <w:pPr>
        <w:pStyle w:val="ListParagraph"/>
        <w:numPr>
          <w:ilvl w:val="3"/>
          <w:numId w:val="703"/>
        </w:numPr>
        <w:tabs>
          <w:tab w:pos="1919" w:val="left" w:leader="none"/>
        </w:tabs>
        <w:spacing w:line="240" w:lineRule="auto" w:before="120" w:after="0"/>
        <w:ind w:left="1919" w:right="415" w:hanging="567"/>
        <w:jc w:val="both"/>
        <w:rPr>
          <w:sz w:val="24"/>
        </w:rPr>
      </w:pPr>
      <w:r>
        <w:rPr>
          <w:sz w:val="24"/>
        </w:rPr>
        <w:t>the </w:t>
      </w:r>
      <w:r>
        <w:rPr>
          <w:i/>
          <w:sz w:val="24"/>
        </w:rPr>
        <w:t>power system </w:t>
      </w:r>
      <w:r>
        <w:rPr>
          <w:sz w:val="24"/>
        </w:rPr>
        <w:t>to maintain system stability in accordance with clause S5.1a.3;</w:t>
      </w:r>
      <w:r>
        <w:rPr>
          <w:spacing w:val="-2"/>
          <w:sz w:val="24"/>
        </w:rPr>
        <w:t> </w:t>
      </w:r>
      <w:r>
        <w:rPr>
          <w:sz w:val="24"/>
        </w:rPr>
        <w:t>or</w:t>
      </w:r>
    </w:p>
    <w:p>
      <w:pPr>
        <w:pStyle w:val="ListParagraph"/>
        <w:numPr>
          <w:ilvl w:val="3"/>
          <w:numId w:val="703"/>
        </w:numPr>
        <w:tabs>
          <w:tab w:pos="1919" w:val="left" w:leader="none"/>
        </w:tabs>
        <w:spacing w:line="240" w:lineRule="auto" w:before="120" w:after="0"/>
        <w:ind w:left="1919" w:right="416" w:hanging="567"/>
        <w:jc w:val="both"/>
        <w:rPr>
          <w:sz w:val="24"/>
        </w:rPr>
      </w:pPr>
      <w:r>
        <w:rPr>
          <w:sz w:val="24"/>
        </w:rPr>
        <w:t>a </w:t>
      </w:r>
      <w:r>
        <w:rPr>
          <w:i/>
          <w:sz w:val="24"/>
        </w:rPr>
        <w:t>generating system </w:t>
      </w:r>
      <w:r>
        <w:rPr>
          <w:sz w:val="24"/>
        </w:rPr>
        <w:t>or </w:t>
      </w:r>
      <w:r>
        <w:rPr>
          <w:i/>
          <w:sz w:val="24"/>
        </w:rPr>
        <w:t>market network service facility </w:t>
      </w:r>
      <w:r>
        <w:rPr>
          <w:sz w:val="24"/>
        </w:rPr>
        <w:t>forming part of the </w:t>
      </w:r>
      <w:r>
        <w:rPr>
          <w:i/>
          <w:sz w:val="24"/>
        </w:rPr>
        <w:t>power system </w:t>
      </w:r>
      <w:r>
        <w:rPr>
          <w:sz w:val="24"/>
        </w:rPr>
        <w:t>to maintain stable operation including following any </w:t>
      </w:r>
      <w:r>
        <w:rPr>
          <w:i/>
          <w:sz w:val="24"/>
        </w:rPr>
        <w:t>credible </w:t>
      </w:r>
      <w:r>
        <w:rPr>
          <w:i/>
          <w:sz w:val="24"/>
        </w:rPr>
        <w:t>contingency event </w:t>
      </w:r>
      <w:r>
        <w:rPr>
          <w:sz w:val="24"/>
        </w:rPr>
        <w:t>or </w:t>
      </w:r>
      <w:r>
        <w:rPr>
          <w:i/>
          <w:sz w:val="24"/>
        </w:rPr>
        <w:t>protected</w:t>
      </w:r>
      <w:r>
        <w:rPr>
          <w:i/>
          <w:spacing w:val="-2"/>
          <w:sz w:val="24"/>
        </w:rPr>
        <w:t> </w:t>
      </w:r>
      <w:r>
        <w:rPr>
          <w:i/>
          <w:sz w:val="24"/>
        </w:rPr>
        <w:t>event</w:t>
      </w:r>
      <w:r>
        <w:rPr>
          <w:sz w:val="24"/>
        </w:rPr>
        <w:t>,</w:t>
      </w:r>
    </w:p>
    <w:p>
      <w:pPr>
        <w:spacing w:before="120"/>
        <w:ind w:left="1352" w:right="0" w:firstLine="0"/>
        <w:jc w:val="both"/>
        <w:rPr>
          <w:sz w:val="24"/>
        </w:rPr>
      </w:pPr>
      <w:r>
        <w:rPr>
          <w:sz w:val="24"/>
        </w:rPr>
        <w:t>so as to maintain the power system in a </w:t>
      </w:r>
      <w:r>
        <w:rPr>
          <w:i/>
          <w:sz w:val="24"/>
        </w:rPr>
        <w:t>secure operating state</w:t>
      </w:r>
      <w:r>
        <w:rPr>
          <w:sz w:val="24"/>
        </w:rPr>
        <w:t>.</w:t>
      </w:r>
    </w:p>
    <w:p>
      <w:pPr>
        <w:pStyle w:val="Heading5"/>
        <w:jc w:val="left"/>
        <w:rPr>
          <w:i/>
        </w:rPr>
      </w:pPr>
      <w:r>
        <w:rPr>
          <w:i/>
        </w:rPr>
        <w:t>Adviser</w:t>
      </w:r>
    </w:p>
    <w:p>
      <w:pPr>
        <w:pStyle w:val="BodyText"/>
        <w:ind w:left="1352" w:firstLine="0"/>
        <w:jc w:val="left"/>
      </w:pPr>
      <w:r>
        <w:rPr/>
        <w:t>The Dispute Resolution Adviser specified in clause 8.2.2(a).</w:t>
      </w:r>
    </w:p>
    <w:p>
      <w:pPr>
        <w:pStyle w:val="Heading5"/>
        <w:ind w:left="0" w:right="7043"/>
        <w:jc w:val="center"/>
        <w:rPr>
          <w:i/>
        </w:rPr>
      </w:pPr>
      <w:r>
        <w:rPr>
          <w:i/>
        </w:rPr>
        <w:t>Adviser referral notice</w:t>
      </w:r>
    </w:p>
    <w:p>
      <w:pPr>
        <w:pStyle w:val="BodyText"/>
        <w:ind w:left="924" w:right="769" w:firstLine="0"/>
        <w:jc w:val="center"/>
      </w:pPr>
      <w:r>
        <w:rPr/>
        <w:t>A notice referring a dispute to the </w:t>
      </w:r>
      <w:r>
        <w:rPr>
          <w:i/>
        </w:rPr>
        <w:t>Adviser </w:t>
      </w:r>
      <w:r>
        <w:rPr/>
        <w:t>for the purposes of clause 8.2.5.</w:t>
      </w:r>
    </w:p>
    <w:p>
      <w:pPr>
        <w:spacing w:after="0"/>
        <w:jc w:val="center"/>
        <w:sectPr>
          <w:pgSz w:w="11910" w:h="16840"/>
          <w:pgMar w:header="686" w:footer="637" w:top="1320" w:bottom="820" w:left="1200" w:right="1000"/>
        </w:sectPr>
      </w:pPr>
    </w:p>
    <w:p>
      <w:pPr>
        <w:pStyle w:val="Heading5"/>
        <w:jc w:val="left"/>
        <w:rPr>
          <w:i/>
        </w:rPr>
      </w:pPr>
      <w:r>
        <w:rPr>
          <w:i/>
        </w:rPr>
        <w:t>AEMC</w:t>
      </w:r>
    </w:p>
    <w:p>
      <w:pPr>
        <w:pStyle w:val="BodyText"/>
        <w:spacing w:before="0"/>
        <w:ind w:firstLine="0"/>
        <w:jc w:val="left"/>
        <w:rPr>
          <w:b/>
          <w:i/>
          <w:sz w:val="26"/>
        </w:rPr>
      </w:pPr>
    </w:p>
    <w:p>
      <w:pPr>
        <w:pStyle w:val="BodyText"/>
        <w:spacing w:before="0"/>
        <w:ind w:firstLine="0"/>
        <w:jc w:val="left"/>
        <w:rPr>
          <w:b/>
          <w:i/>
          <w:sz w:val="26"/>
        </w:rPr>
      </w:pPr>
    </w:p>
    <w:p>
      <w:pPr>
        <w:spacing w:before="194"/>
        <w:ind w:left="218" w:right="0" w:firstLine="0"/>
        <w:jc w:val="left"/>
        <w:rPr>
          <w:b/>
          <w:i/>
          <w:sz w:val="24"/>
        </w:rPr>
      </w:pPr>
      <w:r>
        <w:rPr>
          <w:b/>
          <w:i/>
          <w:sz w:val="24"/>
        </w:rPr>
        <w:t>AEMO</w:t>
      </w:r>
    </w:p>
    <w:p>
      <w:pPr>
        <w:pStyle w:val="BodyText"/>
        <w:spacing w:before="0"/>
        <w:ind w:firstLine="0"/>
        <w:jc w:val="left"/>
        <w:rPr>
          <w:b/>
          <w:i/>
          <w:sz w:val="26"/>
        </w:rPr>
      </w:pPr>
      <w:r>
        <w:rPr/>
        <w:br w:type="column"/>
      </w:r>
      <w:r>
        <w:rPr>
          <w:b/>
          <w:i/>
          <w:sz w:val="26"/>
        </w:rPr>
      </w:r>
    </w:p>
    <w:p>
      <w:pPr>
        <w:spacing w:before="217"/>
        <w:ind w:left="218" w:right="407" w:firstLine="0"/>
        <w:jc w:val="left"/>
        <w:rPr>
          <w:sz w:val="24"/>
        </w:rPr>
      </w:pPr>
      <w:r>
        <w:rPr>
          <w:sz w:val="24"/>
        </w:rPr>
        <w:t>The Australian Energy Market Commission, which is established under section 5 of the </w:t>
      </w:r>
      <w:r>
        <w:rPr>
          <w:i/>
          <w:sz w:val="24"/>
        </w:rPr>
        <w:t>Australian Energy Market Commission Establishment Act 2004 </w:t>
      </w:r>
      <w:r>
        <w:rPr>
          <w:sz w:val="24"/>
        </w:rPr>
        <w:t>(SA).</w:t>
      </w:r>
    </w:p>
    <w:p>
      <w:pPr>
        <w:pStyle w:val="BodyText"/>
        <w:spacing w:before="0"/>
        <w:ind w:firstLine="0"/>
        <w:jc w:val="left"/>
        <w:rPr>
          <w:sz w:val="26"/>
        </w:rPr>
      </w:pPr>
    </w:p>
    <w:p>
      <w:pPr>
        <w:pStyle w:val="BodyText"/>
        <w:spacing w:before="217"/>
        <w:ind w:left="218" w:firstLine="0"/>
        <w:jc w:val="left"/>
      </w:pPr>
      <w:r>
        <w:rPr/>
        <w:t>Means Australian Energy Market Operator Limited (ACN 072 010 327)</w:t>
      </w:r>
    </w:p>
    <w:p>
      <w:pPr>
        <w:spacing w:before="120"/>
        <w:ind w:left="218" w:right="0" w:firstLine="0"/>
        <w:jc w:val="left"/>
        <w:rPr>
          <w:rFonts w:ascii="Arial"/>
          <w:b/>
          <w:sz w:val="20"/>
        </w:rPr>
      </w:pPr>
      <w:r>
        <w:rPr>
          <w:rFonts w:ascii="Arial"/>
          <w:b/>
          <w:sz w:val="20"/>
        </w:rPr>
        <w:t>Note</w:t>
      </w:r>
    </w:p>
    <w:p>
      <w:pPr>
        <w:spacing w:before="120"/>
        <w:ind w:left="218" w:right="0" w:firstLine="0"/>
        <w:jc w:val="left"/>
        <w:rPr>
          <w:sz w:val="20"/>
        </w:rPr>
      </w:pPr>
      <w:r>
        <w:rPr>
          <w:sz w:val="20"/>
        </w:rPr>
        <w:t>Before its change of name, AEMO was known as NEMMCO.</w:t>
      </w:r>
    </w:p>
    <w:p>
      <w:pPr>
        <w:spacing w:after="0"/>
        <w:jc w:val="left"/>
        <w:rPr>
          <w:sz w:val="20"/>
        </w:rPr>
        <w:sectPr>
          <w:type w:val="continuous"/>
          <w:pgSz w:w="11910" w:h="16840"/>
          <w:pgMar w:top="1360" w:bottom="280" w:left="1200" w:right="1000"/>
          <w:cols w:num="2" w:equalWidth="0">
            <w:col w:w="965" w:space="169"/>
            <w:col w:w="8576"/>
          </w:cols>
        </w:sectPr>
      </w:pPr>
    </w:p>
    <w:p>
      <w:pPr>
        <w:pStyle w:val="Heading5"/>
        <w:rPr>
          <w:i/>
        </w:rPr>
      </w:pPr>
      <w:r>
        <w:rPr>
          <w:i/>
        </w:rPr>
        <w:t>AEMO advisory matter</w:t>
      </w:r>
    </w:p>
    <w:p>
      <w:pPr>
        <w:spacing w:before="120"/>
        <w:ind w:left="1352" w:right="415" w:firstLine="0"/>
        <w:jc w:val="both"/>
        <w:rPr>
          <w:sz w:val="24"/>
        </w:rPr>
      </w:pPr>
      <w:r>
        <w:rPr>
          <w:sz w:val="24"/>
        </w:rPr>
        <w:t>A matter that relates to </w:t>
      </w:r>
      <w:r>
        <w:rPr>
          <w:i/>
          <w:sz w:val="24"/>
        </w:rPr>
        <w:t>AEMO</w:t>
      </w:r>
      <w:r>
        <w:rPr>
          <w:sz w:val="24"/>
        </w:rPr>
        <w:t>'s functions under the </w:t>
      </w:r>
      <w:r>
        <w:rPr>
          <w:i/>
          <w:sz w:val="24"/>
        </w:rPr>
        <w:t>National Electricity Law </w:t>
      </w:r>
      <w:r>
        <w:rPr>
          <w:sz w:val="24"/>
        </w:rPr>
        <w:t>and a matter in which </w:t>
      </w:r>
      <w:r>
        <w:rPr>
          <w:i/>
          <w:sz w:val="24"/>
        </w:rPr>
        <w:t>AEMO </w:t>
      </w:r>
      <w:r>
        <w:rPr>
          <w:sz w:val="24"/>
        </w:rPr>
        <w:t>has a role under clause 5.3.4B or in schedules 5.1a, 5.1, 5.2, 5.3 and 5.3a. Advice on the acceptability of </w:t>
      </w:r>
      <w:r>
        <w:rPr>
          <w:i/>
          <w:sz w:val="24"/>
        </w:rPr>
        <w:t>negotiated access standards </w:t>
      </w:r>
      <w:r>
        <w:rPr>
          <w:sz w:val="24"/>
        </w:rPr>
        <w:t>under the following clauses are deemed to be </w:t>
      </w:r>
      <w:r>
        <w:rPr>
          <w:i/>
          <w:sz w:val="24"/>
        </w:rPr>
        <w:t>AEMO advisory matters</w:t>
      </w:r>
      <w:r>
        <w:rPr>
          <w:sz w:val="24"/>
        </w:rPr>
        <w:t>: S5.1.9, S5.2.5.1,</w:t>
      </w:r>
      <w:r>
        <w:rPr>
          <w:spacing w:val="10"/>
          <w:sz w:val="24"/>
        </w:rPr>
        <w:t> </w:t>
      </w:r>
      <w:r>
        <w:rPr>
          <w:sz w:val="24"/>
        </w:rPr>
        <w:t>S5.2.5.3</w:t>
      </w:r>
      <w:r>
        <w:rPr>
          <w:spacing w:val="10"/>
          <w:sz w:val="24"/>
        </w:rPr>
        <w:t> </w:t>
      </w:r>
      <w:r>
        <w:rPr>
          <w:sz w:val="24"/>
        </w:rPr>
        <w:t>to</w:t>
      </w:r>
      <w:r>
        <w:rPr>
          <w:spacing w:val="11"/>
          <w:sz w:val="24"/>
        </w:rPr>
        <w:t> </w:t>
      </w:r>
      <w:r>
        <w:rPr>
          <w:sz w:val="24"/>
        </w:rPr>
        <w:t>S5.2.5.5,</w:t>
      </w:r>
      <w:r>
        <w:rPr>
          <w:spacing w:val="10"/>
          <w:sz w:val="24"/>
        </w:rPr>
        <w:t> </w:t>
      </w:r>
      <w:r>
        <w:rPr>
          <w:sz w:val="24"/>
        </w:rPr>
        <w:t>S5.2.5.7</w:t>
      </w:r>
      <w:r>
        <w:rPr>
          <w:spacing w:val="10"/>
          <w:sz w:val="24"/>
        </w:rPr>
        <w:t> </w:t>
      </w:r>
      <w:r>
        <w:rPr>
          <w:sz w:val="24"/>
        </w:rPr>
        <w:t>to</w:t>
      </w:r>
      <w:r>
        <w:rPr>
          <w:spacing w:val="11"/>
          <w:sz w:val="24"/>
        </w:rPr>
        <w:t> </w:t>
      </w:r>
      <w:r>
        <w:rPr>
          <w:sz w:val="24"/>
        </w:rPr>
        <w:t>S5.2.5.14,</w:t>
      </w:r>
      <w:r>
        <w:rPr>
          <w:spacing w:val="10"/>
          <w:sz w:val="24"/>
        </w:rPr>
        <w:t> </w:t>
      </w:r>
      <w:r>
        <w:rPr>
          <w:sz w:val="24"/>
        </w:rPr>
        <w:t>S5.2.6.1,</w:t>
      </w:r>
      <w:r>
        <w:rPr>
          <w:spacing w:val="10"/>
          <w:sz w:val="24"/>
        </w:rPr>
        <w:t> </w:t>
      </w:r>
      <w:r>
        <w:rPr>
          <w:sz w:val="24"/>
        </w:rPr>
        <w:t>S5.2.6.2,</w:t>
      </w:r>
      <w:r>
        <w:rPr>
          <w:spacing w:val="11"/>
          <w:sz w:val="24"/>
        </w:rPr>
        <w:t> </w:t>
      </w:r>
      <w:r>
        <w:rPr>
          <w:sz w:val="24"/>
        </w:rPr>
        <w:t>S5.3a.4.1</w:t>
      </w:r>
    </w:p>
    <w:p>
      <w:pPr>
        <w:pStyle w:val="BodyText"/>
        <w:spacing w:before="0"/>
        <w:ind w:left="1352" w:firstLine="0"/>
      </w:pPr>
      <w:r>
        <w:rPr/>
        <w:t>and S5.3a.14.</w:t>
      </w:r>
    </w:p>
    <w:p>
      <w:pPr>
        <w:spacing w:after="0"/>
        <w:sectPr>
          <w:type w:val="continuous"/>
          <w:pgSz w:w="11910" w:h="16840"/>
          <w:pgMar w:top="1360" w:bottom="280" w:left="1200" w:right="1000"/>
        </w:sectPr>
      </w:pPr>
    </w:p>
    <w:p>
      <w:pPr>
        <w:pStyle w:val="Heading5"/>
        <w:spacing w:before="83"/>
        <w:jc w:val="left"/>
        <w:rPr>
          <w:i/>
        </w:rPr>
      </w:pPr>
      <w:r>
        <w:rPr>
          <w:i/>
        </w:rPr>
        <w:t>AEMO co-ordinating centre</w:t>
      </w:r>
    </w:p>
    <w:p>
      <w:pPr>
        <w:pStyle w:val="BodyText"/>
        <w:ind w:left="1352" w:firstLine="0"/>
        <w:jc w:val="left"/>
      </w:pPr>
      <w:r>
        <w:rPr/>
        <w:t>The control centre from which </w:t>
      </w:r>
      <w:r>
        <w:rPr>
          <w:i/>
        </w:rPr>
        <w:t>AEMO </w:t>
      </w:r>
      <w:r>
        <w:rPr/>
        <w:t>conducts </w:t>
      </w:r>
      <w:r>
        <w:rPr>
          <w:i/>
        </w:rPr>
        <w:t>market </w:t>
      </w:r>
      <w:r>
        <w:rPr/>
        <w:t>related activities and the coordination of the operation of the </w:t>
      </w:r>
      <w:r>
        <w:rPr>
          <w:i/>
        </w:rPr>
        <w:t>national grid</w:t>
      </w:r>
      <w:r>
        <w:rPr/>
        <w:t>.</w:t>
      </w:r>
    </w:p>
    <w:p>
      <w:pPr>
        <w:pStyle w:val="Heading5"/>
        <w:jc w:val="left"/>
        <w:rPr>
          <w:i/>
        </w:rPr>
      </w:pPr>
      <w:r>
        <w:rPr>
          <w:i/>
        </w:rPr>
        <w:t>AEMO intervention event</w:t>
      </w:r>
    </w:p>
    <w:p>
      <w:pPr>
        <w:spacing w:before="120"/>
        <w:ind w:left="1352" w:right="0" w:firstLine="0"/>
        <w:jc w:val="left"/>
        <w:rPr>
          <w:sz w:val="24"/>
        </w:rPr>
      </w:pPr>
      <w:r>
        <w:rPr>
          <w:sz w:val="24"/>
        </w:rPr>
        <w:t>An event where </w:t>
      </w:r>
      <w:r>
        <w:rPr>
          <w:i/>
          <w:sz w:val="24"/>
        </w:rPr>
        <w:t>AEMO </w:t>
      </w:r>
      <w:r>
        <w:rPr>
          <w:sz w:val="24"/>
        </w:rPr>
        <w:t>intervenes in the </w:t>
      </w:r>
      <w:r>
        <w:rPr>
          <w:i/>
          <w:sz w:val="24"/>
        </w:rPr>
        <w:t>market </w:t>
      </w:r>
      <w:r>
        <w:rPr>
          <w:sz w:val="24"/>
        </w:rPr>
        <w:t>under the </w:t>
      </w:r>
      <w:r>
        <w:rPr>
          <w:i/>
          <w:sz w:val="24"/>
        </w:rPr>
        <w:t>Rules </w:t>
      </w:r>
      <w:r>
        <w:rPr>
          <w:sz w:val="24"/>
        </w:rPr>
        <w:t>by:</w:t>
      </w:r>
    </w:p>
    <w:p>
      <w:pPr>
        <w:pStyle w:val="ListParagraph"/>
        <w:numPr>
          <w:ilvl w:val="0"/>
          <w:numId w:val="709"/>
        </w:numPr>
        <w:tabs>
          <w:tab w:pos="1918" w:val="left" w:leader="none"/>
          <w:tab w:pos="1919" w:val="left" w:leader="none"/>
        </w:tabs>
        <w:spacing w:line="240" w:lineRule="auto" w:before="120" w:after="0"/>
        <w:ind w:left="1918" w:right="0" w:hanging="567"/>
        <w:jc w:val="left"/>
        <w:rPr>
          <w:sz w:val="24"/>
        </w:rPr>
      </w:pPr>
      <w:r>
        <w:rPr>
          <w:sz w:val="24"/>
        </w:rPr>
        <w:t>issuing a </w:t>
      </w:r>
      <w:r>
        <w:rPr>
          <w:i/>
          <w:sz w:val="24"/>
        </w:rPr>
        <w:t>direction </w:t>
      </w:r>
      <w:r>
        <w:rPr>
          <w:sz w:val="24"/>
        </w:rPr>
        <w:t>in accordance with clause 4.8.9;</w:t>
      </w:r>
      <w:r>
        <w:rPr>
          <w:spacing w:val="-2"/>
          <w:sz w:val="24"/>
        </w:rPr>
        <w:t> </w:t>
      </w:r>
      <w:r>
        <w:rPr>
          <w:sz w:val="24"/>
        </w:rPr>
        <w:t>or</w:t>
      </w:r>
    </w:p>
    <w:p>
      <w:pPr>
        <w:pStyle w:val="ListParagraph"/>
        <w:numPr>
          <w:ilvl w:val="0"/>
          <w:numId w:val="709"/>
        </w:numPr>
        <w:tabs>
          <w:tab w:pos="1918" w:val="left" w:leader="none"/>
          <w:tab w:pos="1919" w:val="left" w:leader="none"/>
        </w:tabs>
        <w:spacing w:line="240" w:lineRule="auto" w:before="120" w:after="0"/>
        <w:ind w:left="1919" w:right="415" w:hanging="567"/>
        <w:jc w:val="left"/>
        <w:rPr>
          <w:sz w:val="24"/>
        </w:rPr>
      </w:pPr>
      <w:r>
        <w:rPr>
          <w:sz w:val="24"/>
        </w:rPr>
        <w:t>exercising the </w:t>
      </w:r>
      <w:r>
        <w:rPr>
          <w:i/>
          <w:sz w:val="24"/>
        </w:rPr>
        <w:t>reliability and emergency reserve trader </w:t>
      </w:r>
      <w:r>
        <w:rPr>
          <w:sz w:val="24"/>
        </w:rPr>
        <w:t>in accordance with rule 3.20 by:</w:t>
      </w:r>
    </w:p>
    <w:p>
      <w:pPr>
        <w:pStyle w:val="ListParagraph"/>
        <w:numPr>
          <w:ilvl w:val="1"/>
          <w:numId w:val="709"/>
        </w:numPr>
        <w:tabs>
          <w:tab w:pos="2485" w:val="left" w:leader="none"/>
          <w:tab w:pos="2486" w:val="left" w:leader="none"/>
        </w:tabs>
        <w:spacing w:line="240" w:lineRule="auto" w:before="120" w:after="0"/>
        <w:ind w:left="2485" w:right="0" w:hanging="567"/>
        <w:jc w:val="left"/>
        <w:rPr>
          <w:sz w:val="24"/>
        </w:rPr>
      </w:pPr>
      <w:r>
        <w:rPr>
          <w:i/>
          <w:sz w:val="24"/>
        </w:rPr>
        <w:t>dispatching scheduled generating units</w:t>
      </w:r>
      <w:r>
        <w:rPr>
          <w:sz w:val="24"/>
        </w:rPr>
        <w:t>, </w:t>
      </w:r>
      <w:r>
        <w:rPr>
          <w:i/>
          <w:sz w:val="24"/>
        </w:rPr>
        <w:t>scheduled network services</w:t>
      </w:r>
      <w:r>
        <w:rPr>
          <w:i/>
          <w:spacing w:val="18"/>
          <w:sz w:val="24"/>
        </w:rPr>
        <w:t> </w:t>
      </w:r>
      <w:r>
        <w:rPr>
          <w:sz w:val="24"/>
        </w:rPr>
        <w:t>or</w:t>
      </w:r>
    </w:p>
    <w:p>
      <w:pPr>
        <w:spacing w:before="0"/>
        <w:ind w:left="2486" w:right="0" w:firstLine="0"/>
        <w:jc w:val="left"/>
        <w:rPr>
          <w:sz w:val="24"/>
        </w:rPr>
      </w:pPr>
      <w:r>
        <w:rPr>
          <w:i/>
          <w:sz w:val="24"/>
        </w:rPr>
        <w:t>scheduled loads </w:t>
      </w:r>
      <w:r>
        <w:rPr>
          <w:sz w:val="24"/>
        </w:rPr>
        <w:t>in accordance with a </w:t>
      </w:r>
      <w:r>
        <w:rPr>
          <w:i/>
          <w:sz w:val="24"/>
        </w:rPr>
        <w:t>scheduled reserve contract</w:t>
      </w:r>
      <w:r>
        <w:rPr>
          <w:sz w:val="24"/>
        </w:rPr>
        <w:t>; or</w:t>
      </w:r>
    </w:p>
    <w:p>
      <w:pPr>
        <w:pStyle w:val="ListParagraph"/>
        <w:numPr>
          <w:ilvl w:val="1"/>
          <w:numId w:val="709"/>
        </w:numPr>
        <w:tabs>
          <w:tab w:pos="2485" w:val="left" w:leader="none"/>
          <w:tab w:pos="2486" w:val="left" w:leader="none"/>
        </w:tabs>
        <w:spacing w:line="240" w:lineRule="auto" w:before="120" w:after="0"/>
        <w:ind w:left="2486" w:right="415" w:hanging="567"/>
        <w:jc w:val="left"/>
        <w:rPr>
          <w:sz w:val="24"/>
        </w:rPr>
      </w:pPr>
      <w:r>
        <w:rPr>
          <w:i/>
          <w:sz w:val="24"/>
        </w:rPr>
        <w:t>activating loads </w:t>
      </w:r>
      <w:r>
        <w:rPr>
          <w:sz w:val="24"/>
        </w:rPr>
        <w:t>or </w:t>
      </w:r>
      <w:r>
        <w:rPr>
          <w:i/>
          <w:sz w:val="24"/>
        </w:rPr>
        <w:t>generating units </w:t>
      </w:r>
      <w:r>
        <w:rPr>
          <w:sz w:val="24"/>
        </w:rPr>
        <w:t>under an </w:t>
      </w:r>
      <w:r>
        <w:rPr>
          <w:i/>
          <w:sz w:val="24"/>
        </w:rPr>
        <w:t>unscheduled reserve </w:t>
      </w:r>
      <w:r>
        <w:rPr>
          <w:i/>
          <w:sz w:val="24"/>
        </w:rPr>
        <w:t>contract</w:t>
      </w:r>
      <w:r>
        <w:rPr>
          <w:sz w:val="24"/>
        </w:rPr>
        <w:t>.</w:t>
      </w:r>
    </w:p>
    <w:p>
      <w:pPr>
        <w:pStyle w:val="Heading5"/>
        <w:jc w:val="left"/>
        <w:rPr>
          <w:i/>
        </w:rPr>
      </w:pPr>
      <w:r>
        <w:rPr>
          <w:i/>
        </w:rPr>
        <w:t>AEMO Member</w:t>
      </w:r>
    </w:p>
    <w:p>
      <w:pPr>
        <w:pStyle w:val="BodyText"/>
        <w:ind w:left="1352" w:right="565" w:firstLine="0"/>
        <w:jc w:val="left"/>
      </w:pPr>
      <w:r>
        <w:rPr/>
        <w:t>A person appointed as a </w:t>
      </w:r>
      <w:r>
        <w:rPr>
          <w:i/>
        </w:rPr>
        <w:t>Member </w:t>
      </w:r>
      <w:r>
        <w:rPr/>
        <w:t>by </w:t>
      </w:r>
      <w:r>
        <w:rPr>
          <w:i/>
        </w:rPr>
        <w:t>AEMO </w:t>
      </w:r>
      <w:r>
        <w:rPr/>
        <w:t>to represent </w:t>
      </w:r>
      <w:r>
        <w:rPr>
          <w:i/>
        </w:rPr>
        <w:t>AEMO </w:t>
      </w:r>
      <w:r>
        <w:rPr/>
        <w:t>in </w:t>
      </w:r>
      <w:r>
        <w:rPr>
          <w:spacing w:val="-3"/>
        </w:rPr>
        <w:t>accordance </w:t>
      </w:r>
      <w:r>
        <w:rPr/>
        <w:t>with clause</w:t>
      </w:r>
      <w:r>
        <w:rPr>
          <w:spacing w:val="-3"/>
        </w:rPr>
        <w:t> </w:t>
      </w:r>
      <w:r>
        <w:rPr/>
        <w:t>7.17.10(c).</w:t>
      </w:r>
    </w:p>
    <w:p>
      <w:pPr>
        <w:pStyle w:val="Heading5"/>
        <w:jc w:val="left"/>
        <w:rPr>
          <w:i/>
        </w:rPr>
      </w:pPr>
      <w:r>
        <w:rPr>
          <w:i/>
        </w:rPr>
        <w:t>AEMO power system security responsibilities</w:t>
      </w:r>
    </w:p>
    <w:p>
      <w:pPr>
        <w:pStyle w:val="BodyText"/>
        <w:ind w:left="1352" w:firstLine="0"/>
        <w:jc w:val="left"/>
      </w:pPr>
      <w:r>
        <w:rPr/>
        <w:t>The responsibilities described in clause 4.3.1.</w:t>
      </w:r>
    </w:p>
    <w:p>
      <w:pPr>
        <w:spacing w:after="0"/>
        <w:jc w:val="left"/>
        <w:sectPr>
          <w:pgSz w:w="11910" w:h="16840"/>
          <w:pgMar w:header="686" w:footer="637" w:top="1320" w:bottom="820" w:left="1200" w:right="1000"/>
        </w:sectPr>
      </w:pPr>
    </w:p>
    <w:p>
      <w:pPr>
        <w:pStyle w:val="Heading5"/>
        <w:jc w:val="left"/>
        <w:rPr>
          <w:i/>
        </w:rPr>
      </w:pPr>
      <w:r>
        <w:rPr>
          <w:i/>
        </w:rPr>
        <w:t>AER</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The Australian Energy Regulator, which is established by section 44AE of the</w:t>
      </w:r>
    </w:p>
    <w:p>
      <w:pPr>
        <w:spacing w:before="0"/>
        <w:ind w:left="218" w:right="0" w:firstLine="0"/>
        <w:jc w:val="left"/>
        <w:rPr>
          <w:sz w:val="24"/>
        </w:rPr>
      </w:pPr>
      <w:r>
        <w:rPr>
          <w:i/>
          <w:sz w:val="24"/>
        </w:rPr>
        <w:t>Competition and Consumer Act 2010 </w:t>
      </w:r>
      <w:r>
        <w:rPr>
          <w:sz w:val="24"/>
        </w:rPr>
        <w:t>(Cth).</w:t>
      </w:r>
    </w:p>
    <w:p>
      <w:pPr>
        <w:spacing w:after="0"/>
        <w:jc w:val="left"/>
        <w:rPr>
          <w:sz w:val="24"/>
        </w:rPr>
        <w:sectPr>
          <w:type w:val="continuous"/>
          <w:pgSz w:w="11910" w:h="16840"/>
          <w:pgMar w:top="1360" w:bottom="280" w:left="1200" w:right="1000"/>
          <w:cols w:num="2" w:equalWidth="0">
            <w:col w:w="739" w:space="395"/>
            <w:col w:w="8576"/>
          </w:cols>
        </w:sectPr>
      </w:pPr>
    </w:p>
    <w:p>
      <w:pPr>
        <w:pStyle w:val="Heading5"/>
        <w:rPr>
          <w:i/>
        </w:rPr>
      </w:pPr>
      <w:r>
        <w:rPr>
          <w:i/>
        </w:rPr>
        <w:t>AER PoLR report</w:t>
      </w:r>
    </w:p>
    <w:p>
      <w:pPr>
        <w:pStyle w:val="BodyText"/>
        <w:ind w:left="1352" w:firstLine="0"/>
      </w:pPr>
      <w:r>
        <w:rPr/>
        <w:t>Has the meaning given in clause 4A.F.8(a).</w:t>
      </w:r>
    </w:p>
    <w:p>
      <w:pPr>
        <w:pStyle w:val="Heading5"/>
        <w:rPr>
          <w:i/>
        </w:rPr>
      </w:pPr>
      <w:r>
        <w:rPr>
          <w:i/>
        </w:rPr>
        <w:t>affected participant's adjustment claim</w:t>
      </w:r>
    </w:p>
    <w:p>
      <w:pPr>
        <w:pStyle w:val="BodyText"/>
        <w:ind w:left="1352" w:firstLine="0"/>
      </w:pPr>
      <w:r>
        <w:rPr/>
        <w:t>Has the meaning given in clause 3.12.2(g)(3).</w:t>
      </w:r>
    </w:p>
    <w:p>
      <w:pPr>
        <w:pStyle w:val="Heading5"/>
        <w:rPr>
          <w:i/>
        </w:rPr>
      </w:pPr>
      <w:r>
        <w:rPr>
          <w:i/>
        </w:rPr>
        <w:t>Affected Participant</w:t>
      </w:r>
    </w:p>
    <w:p>
      <w:pPr>
        <w:pStyle w:val="ListParagraph"/>
        <w:numPr>
          <w:ilvl w:val="0"/>
          <w:numId w:val="710"/>
        </w:numPr>
        <w:tabs>
          <w:tab w:pos="1919" w:val="left" w:leader="none"/>
        </w:tabs>
        <w:spacing w:line="240" w:lineRule="auto" w:before="120" w:after="0"/>
        <w:ind w:left="1918" w:right="0" w:hanging="567"/>
        <w:jc w:val="both"/>
        <w:rPr>
          <w:sz w:val="24"/>
        </w:rPr>
      </w:pPr>
      <w:r>
        <w:rPr>
          <w:sz w:val="24"/>
        </w:rPr>
        <w:t>In respect of a particular </w:t>
      </w:r>
      <w:r>
        <w:rPr>
          <w:i/>
          <w:sz w:val="24"/>
        </w:rPr>
        <w:t>direction </w:t>
      </w:r>
      <w:r>
        <w:rPr>
          <w:sz w:val="24"/>
        </w:rPr>
        <w:t>in an </w:t>
      </w:r>
      <w:r>
        <w:rPr>
          <w:i/>
          <w:sz w:val="24"/>
        </w:rPr>
        <w:t>intervention price trading</w:t>
      </w:r>
      <w:r>
        <w:rPr>
          <w:i/>
          <w:spacing w:val="-4"/>
          <w:sz w:val="24"/>
        </w:rPr>
        <w:t> </w:t>
      </w:r>
      <w:r>
        <w:rPr>
          <w:i/>
          <w:sz w:val="24"/>
        </w:rPr>
        <w:t>interval</w:t>
      </w:r>
      <w:r>
        <w:rPr>
          <w:sz w:val="24"/>
        </w:rPr>
        <w:t>:</w:t>
      </w:r>
    </w:p>
    <w:p>
      <w:pPr>
        <w:pStyle w:val="ListParagraph"/>
        <w:numPr>
          <w:ilvl w:val="1"/>
          <w:numId w:val="710"/>
        </w:numPr>
        <w:tabs>
          <w:tab w:pos="2486" w:val="left" w:leader="none"/>
        </w:tabs>
        <w:spacing w:line="240" w:lineRule="auto" w:before="120" w:after="0"/>
        <w:ind w:left="2485" w:right="0" w:hanging="567"/>
        <w:jc w:val="both"/>
        <w:rPr>
          <w:sz w:val="24"/>
        </w:rPr>
      </w:pPr>
      <w:r>
        <w:rPr>
          <w:sz w:val="24"/>
        </w:rPr>
        <w:t>a </w:t>
      </w:r>
      <w:r>
        <w:rPr>
          <w:i/>
          <w:sz w:val="24"/>
        </w:rPr>
        <w:t>Scheduled Generator </w:t>
      </w:r>
      <w:r>
        <w:rPr>
          <w:sz w:val="24"/>
        </w:rPr>
        <w:t>or </w:t>
      </w:r>
      <w:r>
        <w:rPr>
          <w:i/>
          <w:sz w:val="24"/>
        </w:rPr>
        <w:t>Scheduled Network Service</w:t>
      </w:r>
      <w:r>
        <w:rPr>
          <w:i/>
          <w:spacing w:val="-4"/>
          <w:sz w:val="24"/>
        </w:rPr>
        <w:t> </w:t>
      </w:r>
      <w:r>
        <w:rPr>
          <w:i/>
          <w:sz w:val="24"/>
        </w:rPr>
        <w:t>Provider</w:t>
      </w:r>
      <w:r>
        <w:rPr>
          <w:sz w:val="24"/>
        </w:rPr>
        <w:t>:</w:t>
      </w:r>
    </w:p>
    <w:p>
      <w:pPr>
        <w:pStyle w:val="ListParagraph"/>
        <w:numPr>
          <w:ilvl w:val="2"/>
          <w:numId w:val="710"/>
        </w:numPr>
        <w:tabs>
          <w:tab w:pos="3053" w:val="left" w:leader="none"/>
        </w:tabs>
        <w:spacing w:line="240" w:lineRule="auto" w:before="120" w:after="0"/>
        <w:ind w:left="3052" w:right="0" w:hanging="567"/>
        <w:jc w:val="both"/>
        <w:rPr>
          <w:sz w:val="24"/>
        </w:rPr>
      </w:pPr>
      <w:r>
        <w:rPr>
          <w:sz w:val="24"/>
        </w:rPr>
        <w:t>which</w:t>
      </w:r>
      <w:r>
        <w:rPr>
          <w:spacing w:val="43"/>
          <w:sz w:val="24"/>
        </w:rPr>
        <w:t> </w:t>
      </w:r>
      <w:r>
        <w:rPr>
          <w:sz w:val="24"/>
        </w:rPr>
        <w:t>was</w:t>
      </w:r>
      <w:r>
        <w:rPr>
          <w:spacing w:val="43"/>
          <w:sz w:val="24"/>
        </w:rPr>
        <w:t> </w:t>
      </w:r>
      <w:r>
        <w:rPr>
          <w:sz w:val="24"/>
        </w:rPr>
        <w:t>not</w:t>
      </w:r>
      <w:r>
        <w:rPr>
          <w:spacing w:val="43"/>
          <w:sz w:val="24"/>
        </w:rPr>
        <w:t> </w:t>
      </w:r>
      <w:r>
        <w:rPr>
          <w:sz w:val="24"/>
        </w:rPr>
        <w:t>the</w:t>
      </w:r>
      <w:r>
        <w:rPr>
          <w:spacing w:val="43"/>
          <w:sz w:val="24"/>
        </w:rPr>
        <w:t> </w:t>
      </w:r>
      <w:r>
        <w:rPr>
          <w:sz w:val="24"/>
        </w:rPr>
        <w:t>subject</w:t>
      </w:r>
      <w:r>
        <w:rPr>
          <w:spacing w:val="43"/>
          <w:sz w:val="24"/>
        </w:rPr>
        <w:t> </w:t>
      </w:r>
      <w:r>
        <w:rPr>
          <w:sz w:val="24"/>
        </w:rPr>
        <w:t>of</w:t>
      </w:r>
      <w:r>
        <w:rPr>
          <w:spacing w:val="43"/>
          <w:sz w:val="24"/>
        </w:rPr>
        <w:t> </w:t>
      </w:r>
      <w:r>
        <w:rPr>
          <w:sz w:val="24"/>
        </w:rPr>
        <w:t>the</w:t>
      </w:r>
      <w:r>
        <w:rPr>
          <w:spacing w:val="43"/>
          <w:sz w:val="24"/>
        </w:rPr>
        <w:t> </w:t>
      </w:r>
      <w:r>
        <w:rPr>
          <w:i/>
          <w:sz w:val="24"/>
        </w:rPr>
        <w:t>direction</w:t>
      </w:r>
      <w:r>
        <w:rPr>
          <w:sz w:val="24"/>
        </w:rPr>
        <w:t>,</w:t>
      </w:r>
      <w:r>
        <w:rPr>
          <w:spacing w:val="44"/>
          <w:sz w:val="24"/>
        </w:rPr>
        <w:t> </w:t>
      </w:r>
      <w:r>
        <w:rPr>
          <w:sz w:val="24"/>
        </w:rPr>
        <w:t>that</w:t>
      </w:r>
      <w:r>
        <w:rPr>
          <w:spacing w:val="43"/>
          <w:sz w:val="24"/>
        </w:rPr>
        <w:t> </w:t>
      </w:r>
      <w:r>
        <w:rPr>
          <w:sz w:val="24"/>
        </w:rPr>
        <w:t>had</w:t>
      </w:r>
      <w:r>
        <w:rPr>
          <w:spacing w:val="43"/>
          <w:sz w:val="24"/>
        </w:rPr>
        <w:t> </w:t>
      </w:r>
      <w:r>
        <w:rPr>
          <w:sz w:val="24"/>
        </w:rPr>
        <w:t>its</w:t>
      </w:r>
    </w:p>
    <w:p>
      <w:pPr>
        <w:spacing w:before="0"/>
        <w:ind w:left="3053" w:right="0" w:firstLine="0"/>
        <w:jc w:val="both"/>
        <w:rPr>
          <w:sz w:val="24"/>
        </w:rPr>
      </w:pPr>
      <w:r>
        <w:rPr>
          <w:i/>
          <w:sz w:val="24"/>
        </w:rPr>
        <w:t>dispatched </w:t>
      </w:r>
      <w:r>
        <w:rPr>
          <w:sz w:val="24"/>
        </w:rPr>
        <w:t>quantity affected by that </w:t>
      </w:r>
      <w:r>
        <w:rPr>
          <w:i/>
          <w:sz w:val="24"/>
        </w:rPr>
        <w:t>direction</w:t>
      </w:r>
      <w:r>
        <w:rPr>
          <w:sz w:val="24"/>
        </w:rPr>
        <w:t>; or</w:t>
      </w:r>
    </w:p>
    <w:p>
      <w:pPr>
        <w:pStyle w:val="ListParagraph"/>
        <w:numPr>
          <w:ilvl w:val="2"/>
          <w:numId w:val="710"/>
        </w:numPr>
        <w:tabs>
          <w:tab w:pos="3054" w:val="left" w:leader="none"/>
        </w:tabs>
        <w:spacing w:line="240" w:lineRule="auto" w:before="120" w:after="0"/>
        <w:ind w:left="3053" w:right="415" w:hanging="567"/>
        <w:jc w:val="both"/>
        <w:rPr>
          <w:sz w:val="24"/>
        </w:rPr>
      </w:pPr>
      <w:r>
        <w:rPr>
          <w:sz w:val="24"/>
        </w:rPr>
        <w:t>which was the subject of the </w:t>
      </w:r>
      <w:r>
        <w:rPr>
          <w:i/>
          <w:sz w:val="24"/>
        </w:rPr>
        <w:t>direction</w:t>
      </w:r>
      <w:r>
        <w:rPr>
          <w:sz w:val="24"/>
        </w:rPr>
        <w:t>, that had its </w:t>
      </w:r>
      <w:r>
        <w:rPr>
          <w:i/>
          <w:sz w:val="24"/>
        </w:rPr>
        <w:t>dispatched </w:t>
      </w:r>
      <w:r>
        <w:rPr>
          <w:sz w:val="24"/>
        </w:rPr>
        <w:t>quantity for other </w:t>
      </w:r>
      <w:r>
        <w:rPr>
          <w:i/>
          <w:sz w:val="24"/>
        </w:rPr>
        <w:t>generating units </w:t>
      </w:r>
      <w:r>
        <w:rPr>
          <w:sz w:val="24"/>
        </w:rPr>
        <w:t>or other services which were not the subject of that </w:t>
      </w:r>
      <w:r>
        <w:rPr>
          <w:i/>
          <w:sz w:val="24"/>
        </w:rPr>
        <w:t>direction </w:t>
      </w:r>
      <w:r>
        <w:rPr>
          <w:sz w:val="24"/>
        </w:rPr>
        <w:t>affected by that </w:t>
      </w:r>
      <w:r>
        <w:rPr>
          <w:i/>
          <w:sz w:val="24"/>
        </w:rPr>
        <w:t>direction</w:t>
      </w:r>
      <w:r>
        <w:rPr>
          <w:sz w:val="24"/>
        </w:rPr>
        <w:t>, however, the </w:t>
      </w:r>
      <w:r>
        <w:rPr>
          <w:i/>
          <w:sz w:val="24"/>
        </w:rPr>
        <w:t>Scheduled Generator </w:t>
      </w:r>
      <w:r>
        <w:rPr>
          <w:sz w:val="24"/>
        </w:rPr>
        <w:t>or </w:t>
      </w:r>
      <w:r>
        <w:rPr>
          <w:i/>
          <w:sz w:val="24"/>
        </w:rPr>
        <w:t>Scheduled</w:t>
      </w:r>
      <w:r>
        <w:rPr>
          <w:i/>
          <w:spacing w:val="36"/>
          <w:sz w:val="24"/>
        </w:rPr>
        <w:t> </w:t>
      </w:r>
      <w:r>
        <w:rPr>
          <w:i/>
          <w:sz w:val="24"/>
        </w:rPr>
        <w:t>Network </w:t>
      </w:r>
      <w:r>
        <w:rPr>
          <w:i/>
          <w:sz w:val="24"/>
        </w:rPr>
        <w:t>Service Provider </w:t>
      </w:r>
      <w:r>
        <w:rPr>
          <w:sz w:val="24"/>
        </w:rPr>
        <w:t>is only an </w:t>
      </w:r>
      <w:r>
        <w:rPr>
          <w:i/>
          <w:sz w:val="24"/>
        </w:rPr>
        <w:t>Affected Participant </w:t>
      </w:r>
      <w:r>
        <w:rPr>
          <w:sz w:val="24"/>
        </w:rPr>
        <w:t>in respect </w:t>
      </w:r>
      <w:r>
        <w:rPr>
          <w:spacing w:val="-7"/>
          <w:sz w:val="24"/>
        </w:rPr>
        <w:t>of </w:t>
      </w:r>
      <w:r>
        <w:rPr>
          <w:sz w:val="24"/>
        </w:rPr>
        <w:t>those </w:t>
      </w:r>
      <w:r>
        <w:rPr>
          <w:i/>
          <w:sz w:val="24"/>
        </w:rPr>
        <w:t>generating units </w:t>
      </w:r>
      <w:r>
        <w:rPr>
          <w:sz w:val="24"/>
        </w:rPr>
        <w:t>and services which were not the subject of that </w:t>
      </w:r>
      <w:r>
        <w:rPr>
          <w:i/>
          <w:sz w:val="24"/>
        </w:rPr>
        <w:t>direction</w:t>
      </w:r>
      <w:r>
        <w:rPr>
          <w:sz w:val="24"/>
        </w:rPr>
        <w:t>;</w:t>
      </w:r>
      <w:r>
        <w:rPr>
          <w:spacing w:val="-1"/>
          <w:sz w:val="24"/>
        </w:rPr>
        <w:t> </w:t>
      </w:r>
      <w:r>
        <w:rPr>
          <w:sz w:val="24"/>
        </w:rPr>
        <w:t>or</w:t>
      </w:r>
    </w:p>
    <w:p>
      <w:pPr>
        <w:pStyle w:val="ListParagraph"/>
        <w:numPr>
          <w:ilvl w:val="1"/>
          <w:numId w:val="710"/>
        </w:numPr>
        <w:tabs>
          <w:tab w:pos="2486" w:val="left" w:leader="none"/>
        </w:tabs>
        <w:spacing w:line="240" w:lineRule="auto" w:before="120" w:after="0"/>
        <w:ind w:left="2486" w:right="415" w:hanging="567"/>
        <w:jc w:val="both"/>
        <w:rPr>
          <w:sz w:val="24"/>
        </w:rPr>
      </w:pPr>
      <w:r>
        <w:rPr>
          <w:sz w:val="24"/>
        </w:rPr>
        <w:t>an </w:t>
      </w:r>
      <w:r>
        <w:rPr>
          <w:i/>
          <w:sz w:val="24"/>
        </w:rPr>
        <w:t>eligible person </w:t>
      </w:r>
      <w:r>
        <w:rPr>
          <w:sz w:val="24"/>
        </w:rPr>
        <w:t>entitled to receive an amount from </w:t>
      </w:r>
      <w:r>
        <w:rPr>
          <w:i/>
          <w:sz w:val="24"/>
        </w:rPr>
        <w:t>AEMO </w:t>
      </w:r>
      <w:r>
        <w:rPr>
          <w:sz w:val="24"/>
        </w:rPr>
        <w:t>pursuant to clause 3.18.1(b)(1) where there has been a change in flow of </w:t>
      </w:r>
      <w:r>
        <w:rPr>
          <w:spacing w:val="-11"/>
          <w:sz w:val="24"/>
        </w:rPr>
        <w:t>a </w:t>
      </w:r>
      <w:r>
        <w:rPr>
          <w:i/>
          <w:sz w:val="24"/>
        </w:rPr>
        <w:t>directional</w:t>
      </w:r>
      <w:r>
        <w:rPr>
          <w:i/>
          <w:spacing w:val="-1"/>
          <w:sz w:val="24"/>
        </w:rPr>
        <w:t> </w:t>
      </w:r>
      <w:r>
        <w:rPr>
          <w:i/>
          <w:sz w:val="24"/>
        </w:rPr>
        <w:t>interconnector</w:t>
      </w:r>
      <w:r>
        <w:rPr>
          <w:sz w:val="24"/>
        </w:rPr>
        <w:t>,</w:t>
      </w:r>
      <w:r>
        <w:rPr>
          <w:spacing w:val="38"/>
          <w:sz w:val="24"/>
        </w:rPr>
        <w:t> </w:t>
      </w:r>
      <w:r>
        <w:rPr>
          <w:sz w:val="24"/>
        </w:rPr>
        <w:t>for</w:t>
      </w:r>
      <w:r>
        <w:rPr>
          <w:spacing w:val="38"/>
          <w:sz w:val="24"/>
        </w:rPr>
        <w:t> </w:t>
      </w:r>
      <w:r>
        <w:rPr>
          <w:sz w:val="24"/>
        </w:rPr>
        <w:t>which</w:t>
      </w:r>
      <w:r>
        <w:rPr>
          <w:spacing w:val="38"/>
          <w:sz w:val="24"/>
        </w:rPr>
        <w:t> </w:t>
      </w:r>
      <w:r>
        <w:rPr>
          <w:sz w:val="24"/>
        </w:rPr>
        <w:t>the</w:t>
      </w:r>
      <w:r>
        <w:rPr>
          <w:spacing w:val="38"/>
          <w:sz w:val="24"/>
        </w:rPr>
        <w:t> </w:t>
      </w:r>
      <w:r>
        <w:rPr>
          <w:i/>
          <w:sz w:val="24"/>
        </w:rPr>
        <w:t>eligible</w:t>
      </w:r>
      <w:r>
        <w:rPr>
          <w:i/>
          <w:spacing w:val="38"/>
          <w:sz w:val="24"/>
        </w:rPr>
        <w:t> </w:t>
      </w:r>
      <w:r>
        <w:rPr>
          <w:i/>
          <w:sz w:val="24"/>
        </w:rPr>
        <w:t>person</w:t>
      </w:r>
      <w:r>
        <w:rPr>
          <w:i/>
          <w:spacing w:val="38"/>
          <w:sz w:val="24"/>
        </w:rPr>
        <w:t> </w:t>
      </w:r>
      <w:r>
        <w:rPr>
          <w:sz w:val="24"/>
        </w:rPr>
        <w:t>holds</w:t>
      </w:r>
      <w:r>
        <w:rPr>
          <w:spacing w:val="38"/>
          <w:sz w:val="24"/>
        </w:rPr>
        <w:t> </w:t>
      </w:r>
      <w:r>
        <w:rPr>
          <w:sz w:val="24"/>
        </w:rPr>
        <w:t>units</w:t>
      </w:r>
    </w:p>
    <w:p>
      <w:pPr>
        <w:spacing w:after="0" w:line="240" w:lineRule="auto"/>
        <w:jc w:val="both"/>
        <w:rPr>
          <w:sz w:val="24"/>
        </w:rPr>
        <w:sectPr>
          <w:type w:val="continuous"/>
          <w:pgSz w:w="11910" w:h="16840"/>
          <w:pgMar w:top="1360" w:bottom="280" w:left="1200" w:right="1000"/>
        </w:sectPr>
      </w:pPr>
    </w:p>
    <w:p>
      <w:pPr>
        <w:spacing w:before="83"/>
        <w:ind w:left="2486" w:right="414" w:firstLine="0"/>
        <w:jc w:val="both"/>
        <w:rPr>
          <w:sz w:val="24"/>
        </w:rPr>
      </w:pPr>
      <w:r>
        <w:rPr>
          <w:sz w:val="24"/>
        </w:rPr>
        <w:t>for the </w:t>
      </w:r>
      <w:r>
        <w:rPr>
          <w:i/>
          <w:sz w:val="24"/>
        </w:rPr>
        <w:t>intervention price trading interval</w:t>
      </w:r>
      <w:r>
        <w:rPr>
          <w:sz w:val="24"/>
        </w:rPr>
        <w:t>, as a result of the </w:t>
      </w:r>
      <w:r>
        <w:rPr>
          <w:i/>
          <w:sz w:val="24"/>
        </w:rPr>
        <w:t>direction</w:t>
      </w:r>
      <w:r>
        <w:rPr>
          <w:sz w:val="24"/>
        </w:rPr>
        <w:t>; and</w:t>
      </w:r>
    </w:p>
    <w:p>
      <w:pPr>
        <w:pStyle w:val="ListParagraph"/>
        <w:numPr>
          <w:ilvl w:val="0"/>
          <w:numId w:val="710"/>
        </w:numPr>
        <w:tabs>
          <w:tab w:pos="1919" w:val="left" w:leader="none"/>
        </w:tabs>
        <w:spacing w:line="240" w:lineRule="auto" w:before="120" w:after="0"/>
        <w:ind w:left="1918" w:right="0" w:hanging="567"/>
        <w:jc w:val="both"/>
        <w:rPr>
          <w:sz w:val="24"/>
        </w:rPr>
      </w:pPr>
      <w:r>
        <w:rPr>
          <w:sz w:val="24"/>
        </w:rPr>
        <w:t>in relation to the exercise of the </w:t>
      </w:r>
      <w:r>
        <w:rPr>
          <w:i/>
          <w:sz w:val="24"/>
        </w:rPr>
        <w:t>RERT </w:t>
      </w:r>
      <w:r>
        <w:rPr>
          <w:sz w:val="24"/>
        </w:rPr>
        <w:t>under rule</w:t>
      </w:r>
      <w:r>
        <w:rPr>
          <w:spacing w:val="-2"/>
          <w:sz w:val="24"/>
        </w:rPr>
        <w:t> </w:t>
      </w:r>
      <w:r>
        <w:rPr>
          <w:sz w:val="24"/>
        </w:rPr>
        <w:t>3.20:</w:t>
      </w:r>
    </w:p>
    <w:p>
      <w:pPr>
        <w:pStyle w:val="ListParagraph"/>
        <w:numPr>
          <w:ilvl w:val="1"/>
          <w:numId w:val="710"/>
        </w:numPr>
        <w:tabs>
          <w:tab w:pos="2486" w:val="left" w:leader="none"/>
        </w:tabs>
        <w:spacing w:line="240" w:lineRule="auto" w:before="120" w:after="0"/>
        <w:ind w:left="2485" w:right="0" w:hanging="567"/>
        <w:jc w:val="both"/>
        <w:rPr>
          <w:sz w:val="24"/>
        </w:rPr>
      </w:pPr>
      <w:r>
        <w:rPr>
          <w:sz w:val="24"/>
        </w:rPr>
        <w:t>a </w:t>
      </w:r>
      <w:r>
        <w:rPr>
          <w:i/>
          <w:sz w:val="24"/>
        </w:rPr>
        <w:t>Scheduled Generator </w:t>
      </w:r>
      <w:r>
        <w:rPr>
          <w:sz w:val="24"/>
        </w:rPr>
        <w:t>or </w:t>
      </w:r>
      <w:r>
        <w:rPr>
          <w:i/>
          <w:sz w:val="24"/>
        </w:rPr>
        <w:t>Scheduled Network Service</w:t>
      </w:r>
      <w:r>
        <w:rPr>
          <w:i/>
          <w:spacing w:val="-4"/>
          <w:sz w:val="24"/>
        </w:rPr>
        <w:t> </w:t>
      </w:r>
      <w:r>
        <w:rPr>
          <w:i/>
          <w:sz w:val="24"/>
        </w:rPr>
        <w:t>Provider</w:t>
      </w:r>
      <w:r>
        <w:rPr>
          <w:sz w:val="24"/>
        </w:rPr>
        <w:t>:</w:t>
      </w:r>
    </w:p>
    <w:p>
      <w:pPr>
        <w:pStyle w:val="ListParagraph"/>
        <w:numPr>
          <w:ilvl w:val="2"/>
          <w:numId w:val="710"/>
        </w:numPr>
        <w:tabs>
          <w:tab w:pos="3053" w:val="left" w:leader="none"/>
        </w:tabs>
        <w:spacing w:line="240" w:lineRule="auto" w:before="120" w:after="0"/>
        <w:ind w:left="3053" w:right="416" w:hanging="567"/>
        <w:jc w:val="both"/>
        <w:rPr>
          <w:sz w:val="24"/>
        </w:rPr>
      </w:pPr>
      <w:r>
        <w:rPr>
          <w:sz w:val="24"/>
        </w:rPr>
        <w:t>whose </w:t>
      </w:r>
      <w:r>
        <w:rPr>
          <w:i/>
          <w:sz w:val="24"/>
        </w:rPr>
        <w:t>plant </w:t>
      </w:r>
      <w:r>
        <w:rPr>
          <w:sz w:val="24"/>
        </w:rPr>
        <w:t>or </w:t>
      </w:r>
      <w:r>
        <w:rPr>
          <w:i/>
          <w:sz w:val="24"/>
        </w:rPr>
        <w:t>scheduled network service </w:t>
      </w:r>
      <w:r>
        <w:rPr>
          <w:sz w:val="24"/>
        </w:rPr>
        <w:t>was not </w:t>
      </w:r>
      <w:r>
        <w:rPr>
          <w:i/>
          <w:sz w:val="24"/>
        </w:rPr>
        <w:t>dispatched </w:t>
      </w:r>
      <w:r>
        <w:rPr>
          <w:sz w:val="24"/>
        </w:rPr>
        <w:t>under a </w:t>
      </w:r>
      <w:r>
        <w:rPr>
          <w:i/>
          <w:sz w:val="24"/>
        </w:rPr>
        <w:t>scheduled reserve contract</w:t>
      </w:r>
      <w:r>
        <w:rPr>
          <w:sz w:val="24"/>
        </w:rPr>
        <w:t>, that had its </w:t>
      </w:r>
      <w:r>
        <w:rPr>
          <w:i/>
          <w:sz w:val="24"/>
        </w:rPr>
        <w:t>dispatched </w:t>
      </w:r>
      <w:r>
        <w:rPr>
          <w:sz w:val="24"/>
        </w:rPr>
        <w:t>quantity affected by the </w:t>
      </w:r>
      <w:r>
        <w:rPr>
          <w:i/>
          <w:sz w:val="24"/>
        </w:rPr>
        <w:t>dispatch </w:t>
      </w:r>
      <w:r>
        <w:rPr>
          <w:sz w:val="24"/>
        </w:rPr>
        <w:t>of </w:t>
      </w:r>
      <w:r>
        <w:rPr>
          <w:i/>
          <w:sz w:val="24"/>
        </w:rPr>
        <w:t>plant </w:t>
      </w:r>
      <w:r>
        <w:rPr>
          <w:sz w:val="24"/>
        </w:rPr>
        <w:t>or </w:t>
      </w:r>
      <w:r>
        <w:rPr>
          <w:i/>
          <w:sz w:val="24"/>
        </w:rPr>
        <w:t>scheduled network </w:t>
      </w:r>
      <w:r>
        <w:rPr>
          <w:i/>
          <w:sz w:val="24"/>
        </w:rPr>
        <w:t>service </w:t>
      </w:r>
      <w:r>
        <w:rPr>
          <w:sz w:val="24"/>
        </w:rPr>
        <w:t>under that </w:t>
      </w:r>
      <w:r>
        <w:rPr>
          <w:i/>
          <w:sz w:val="24"/>
        </w:rPr>
        <w:t>scheduled reserve contract</w:t>
      </w:r>
      <w:r>
        <w:rPr>
          <w:sz w:val="24"/>
        </w:rPr>
        <w:t>;</w:t>
      </w:r>
      <w:r>
        <w:rPr>
          <w:spacing w:val="-5"/>
          <w:sz w:val="24"/>
        </w:rPr>
        <w:t> </w:t>
      </w:r>
      <w:r>
        <w:rPr>
          <w:sz w:val="24"/>
        </w:rPr>
        <w:t>and</w:t>
      </w:r>
    </w:p>
    <w:p>
      <w:pPr>
        <w:pStyle w:val="ListParagraph"/>
        <w:numPr>
          <w:ilvl w:val="2"/>
          <w:numId w:val="710"/>
        </w:numPr>
        <w:tabs>
          <w:tab w:pos="3054" w:val="left" w:leader="none"/>
        </w:tabs>
        <w:spacing w:line="240" w:lineRule="auto" w:before="120" w:after="0"/>
        <w:ind w:left="3053" w:right="415" w:hanging="567"/>
        <w:jc w:val="both"/>
        <w:rPr>
          <w:sz w:val="24"/>
        </w:rPr>
      </w:pPr>
      <w:r>
        <w:rPr>
          <w:sz w:val="24"/>
        </w:rPr>
        <w:t>who was not the subject of </w:t>
      </w:r>
      <w:r>
        <w:rPr>
          <w:i/>
          <w:sz w:val="24"/>
        </w:rPr>
        <w:t>activation </w:t>
      </w:r>
      <w:r>
        <w:rPr>
          <w:sz w:val="24"/>
        </w:rPr>
        <w:t>under an </w:t>
      </w:r>
      <w:r>
        <w:rPr>
          <w:i/>
          <w:sz w:val="24"/>
        </w:rPr>
        <w:t>unscheduled </w:t>
      </w:r>
      <w:r>
        <w:rPr>
          <w:i/>
          <w:sz w:val="24"/>
        </w:rPr>
        <w:t>reserve contract</w:t>
      </w:r>
      <w:r>
        <w:rPr>
          <w:sz w:val="24"/>
        </w:rPr>
        <w:t>, that had its </w:t>
      </w:r>
      <w:r>
        <w:rPr>
          <w:i/>
          <w:sz w:val="24"/>
        </w:rPr>
        <w:t>dispatched </w:t>
      </w:r>
      <w:r>
        <w:rPr>
          <w:sz w:val="24"/>
        </w:rPr>
        <w:t>quantity affected by the </w:t>
      </w:r>
      <w:r>
        <w:rPr>
          <w:i/>
          <w:sz w:val="24"/>
        </w:rPr>
        <w:t>activation </w:t>
      </w:r>
      <w:r>
        <w:rPr>
          <w:sz w:val="24"/>
        </w:rPr>
        <w:t>of </w:t>
      </w:r>
      <w:r>
        <w:rPr>
          <w:i/>
          <w:sz w:val="24"/>
        </w:rPr>
        <w:t>generating units </w:t>
      </w:r>
      <w:r>
        <w:rPr>
          <w:sz w:val="24"/>
        </w:rPr>
        <w:t>or </w:t>
      </w:r>
      <w:r>
        <w:rPr>
          <w:i/>
          <w:sz w:val="24"/>
        </w:rPr>
        <w:t>loads </w:t>
      </w:r>
      <w:r>
        <w:rPr>
          <w:sz w:val="24"/>
        </w:rPr>
        <w:t>under that </w:t>
      </w:r>
      <w:r>
        <w:rPr>
          <w:i/>
          <w:sz w:val="24"/>
        </w:rPr>
        <w:t>unscheduled </w:t>
      </w:r>
      <w:r>
        <w:rPr>
          <w:i/>
          <w:sz w:val="24"/>
        </w:rPr>
        <w:t>reserve</w:t>
      </w:r>
      <w:r>
        <w:rPr>
          <w:i/>
          <w:spacing w:val="-2"/>
          <w:sz w:val="24"/>
        </w:rPr>
        <w:t> </w:t>
      </w:r>
      <w:r>
        <w:rPr>
          <w:i/>
          <w:sz w:val="24"/>
        </w:rPr>
        <w:t>contract</w:t>
      </w:r>
      <w:r>
        <w:rPr>
          <w:sz w:val="24"/>
        </w:rPr>
        <w:t>;</w:t>
      </w:r>
    </w:p>
    <w:p>
      <w:pPr>
        <w:pStyle w:val="ListParagraph"/>
        <w:numPr>
          <w:ilvl w:val="1"/>
          <w:numId w:val="710"/>
        </w:numPr>
        <w:tabs>
          <w:tab w:pos="2486" w:val="left" w:leader="none"/>
        </w:tabs>
        <w:spacing w:line="240" w:lineRule="auto" w:before="120" w:after="0"/>
        <w:ind w:left="2486" w:right="414" w:hanging="567"/>
        <w:jc w:val="both"/>
        <w:rPr>
          <w:sz w:val="24"/>
        </w:rPr>
      </w:pPr>
      <w:r>
        <w:rPr>
          <w:sz w:val="24"/>
        </w:rPr>
        <w:t>a </w:t>
      </w:r>
      <w:r>
        <w:rPr>
          <w:i/>
          <w:sz w:val="24"/>
        </w:rPr>
        <w:t>Scheduled Generator </w:t>
      </w:r>
      <w:r>
        <w:rPr>
          <w:sz w:val="24"/>
        </w:rPr>
        <w:t>or </w:t>
      </w:r>
      <w:r>
        <w:rPr>
          <w:i/>
          <w:sz w:val="24"/>
        </w:rPr>
        <w:t>Scheduled Network Service Provider </w:t>
      </w:r>
      <w:r>
        <w:rPr>
          <w:sz w:val="24"/>
        </w:rPr>
        <w:t>whose </w:t>
      </w:r>
      <w:r>
        <w:rPr>
          <w:i/>
          <w:sz w:val="24"/>
        </w:rPr>
        <w:t>plant </w:t>
      </w:r>
      <w:r>
        <w:rPr>
          <w:sz w:val="24"/>
        </w:rPr>
        <w:t>or </w:t>
      </w:r>
      <w:r>
        <w:rPr>
          <w:i/>
          <w:sz w:val="24"/>
        </w:rPr>
        <w:t>scheduled network service </w:t>
      </w:r>
      <w:r>
        <w:rPr>
          <w:sz w:val="24"/>
        </w:rPr>
        <w:t>was </w:t>
      </w:r>
      <w:r>
        <w:rPr>
          <w:i/>
          <w:sz w:val="24"/>
        </w:rPr>
        <w:t>dispatched </w:t>
      </w:r>
      <w:r>
        <w:rPr>
          <w:sz w:val="24"/>
        </w:rPr>
        <w:t>under a </w:t>
      </w:r>
      <w:r>
        <w:rPr>
          <w:i/>
          <w:sz w:val="24"/>
        </w:rPr>
        <w:t>scheduled </w:t>
      </w:r>
      <w:r>
        <w:rPr>
          <w:i/>
          <w:sz w:val="24"/>
        </w:rPr>
        <w:t>reserve contract</w:t>
      </w:r>
      <w:r>
        <w:rPr>
          <w:sz w:val="24"/>
        </w:rPr>
        <w:t>, that had its </w:t>
      </w:r>
      <w:r>
        <w:rPr>
          <w:i/>
          <w:sz w:val="24"/>
        </w:rPr>
        <w:t>dispatched </w:t>
      </w:r>
      <w:r>
        <w:rPr>
          <w:sz w:val="24"/>
        </w:rPr>
        <w:t>quantity for other </w:t>
      </w:r>
      <w:r>
        <w:rPr>
          <w:i/>
          <w:sz w:val="24"/>
        </w:rPr>
        <w:t>generating </w:t>
      </w:r>
      <w:r>
        <w:rPr>
          <w:i/>
          <w:sz w:val="24"/>
        </w:rPr>
        <w:t>units </w:t>
      </w:r>
      <w:r>
        <w:rPr>
          <w:sz w:val="24"/>
        </w:rPr>
        <w:t>or other services which were not </w:t>
      </w:r>
      <w:r>
        <w:rPr>
          <w:i/>
          <w:sz w:val="24"/>
        </w:rPr>
        <w:t>dispatched </w:t>
      </w:r>
      <w:r>
        <w:rPr>
          <w:sz w:val="24"/>
        </w:rPr>
        <w:t>under the </w:t>
      </w:r>
      <w:r>
        <w:rPr>
          <w:i/>
          <w:sz w:val="24"/>
        </w:rPr>
        <w:t>scheduled </w:t>
      </w:r>
      <w:r>
        <w:rPr>
          <w:i/>
          <w:sz w:val="24"/>
        </w:rPr>
        <w:t>reserve contract </w:t>
      </w:r>
      <w:r>
        <w:rPr>
          <w:sz w:val="24"/>
        </w:rPr>
        <w:t>affected by that </w:t>
      </w:r>
      <w:r>
        <w:rPr>
          <w:i/>
          <w:sz w:val="24"/>
        </w:rPr>
        <w:t>dispatch </w:t>
      </w:r>
      <w:r>
        <w:rPr>
          <w:sz w:val="24"/>
        </w:rPr>
        <w:t>of </w:t>
      </w:r>
      <w:r>
        <w:rPr>
          <w:i/>
          <w:sz w:val="24"/>
        </w:rPr>
        <w:t>plant </w:t>
      </w:r>
      <w:r>
        <w:rPr>
          <w:sz w:val="24"/>
        </w:rPr>
        <w:t>or </w:t>
      </w:r>
      <w:r>
        <w:rPr>
          <w:i/>
          <w:sz w:val="24"/>
        </w:rPr>
        <w:t>scheduled </w:t>
      </w:r>
      <w:r>
        <w:rPr>
          <w:i/>
          <w:sz w:val="24"/>
        </w:rPr>
        <w:t>network service </w:t>
      </w:r>
      <w:r>
        <w:rPr>
          <w:sz w:val="24"/>
        </w:rPr>
        <w:t>under that </w:t>
      </w:r>
      <w:r>
        <w:rPr>
          <w:i/>
          <w:sz w:val="24"/>
        </w:rPr>
        <w:t>scheduled reserve contract</w:t>
      </w:r>
      <w:r>
        <w:rPr>
          <w:sz w:val="24"/>
        </w:rPr>
        <w:t>, however, the </w:t>
      </w:r>
      <w:r>
        <w:rPr>
          <w:i/>
          <w:sz w:val="24"/>
        </w:rPr>
        <w:t>Scheduled Generator </w:t>
      </w:r>
      <w:r>
        <w:rPr>
          <w:sz w:val="24"/>
        </w:rPr>
        <w:t>or </w:t>
      </w:r>
      <w:r>
        <w:rPr>
          <w:i/>
          <w:sz w:val="24"/>
        </w:rPr>
        <w:t>Scheduled Network Service Provider </w:t>
      </w:r>
      <w:r>
        <w:rPr>
          <w:sz w:val="24"/>
        </w:rPr>
        <w:t>is only an </w:t>
      </w:r>
      <w:r>
        <w:rPr>
          <w:i/>
          <w:sz w:val="24"/>
        </w:rPr>
        <w:t>Affected Participant </w:t>
      </w:r>
      <w:r>
        <w:rPr>
          <w:sz w:val="24"/>
        </w:rPr>
        <w:t>in respect of those </w:t>
      </w:r>
      <w:r>
        <w:rPr>
          <w:i/>
          <w:sz w:val="24"/>
        </w:rPr>
        <w:t>generating units </w:t>
      </w:r>
      <w:r>
        <w:rPr>
          <w:sz w:val="24"/>
        </w:rPr>
        <w:t>and services which were not </w:t>
      </w:r>
      <w:r>
        <w:rPr>
          <w:i/>
          <w:sz w:val="24"/>
        </w:rPr>
        <w:t>dispatched </w:t>
      </w:r>
      <w:r>
        <w:rPr>
          <w:sz w:val="24"/>
        </w:rPr>
        <w:t>under that </w:t>
      </w:r>
      <w:r>
        <w:rPr>
          <w:i/>
          <w:sz w:val="24"/>
        </w:rPr>
        <w:t>scheduled reserve </w:t>
      </w:r>
      <w:r>
        <w:rPr>
          <w:i/>
          <w:sz w:val="24"/>
        </w:rPr>
        <w:t>contract</w:t>
      </w:r>
      <w:r>
        <w:rPr>
          <w:sz w:val="24"/>
        </w:rPr>
        <w:t>;</w:t>
      </w:r>
      <w:r>
        <w:rPr>
          <w:spacing w:val="-1"/>
          <w:sz w:val="24"/>
        </w:rPr>
        <w:t> </w:t>
      </w:r>
      <w:r>
        <w:rPr>
          <w:sz w:val="24"/>
        </w:rPr>
        <w:t>or</w:t>
      </w:r>
    </w:p>
    <w:p>
      <w:pPr>
        <w:pStyle w:val="ListParagraph"/>
        <w:numPr>
          <w:ilvl w:val="1"/>
          <w:numId w:val="710"/>
        </w:numPr>
        <w:tabs>
          <w:tab w:pos="2486" w:val="left" w:leader="none"/>
        </w:tabs>
        <w:spacing w:line="240" w:lineRule="auto" w:before="120" w:after="0"/>
        <w:ind w:left="2486" w:right="415" w:hanging="567"/>
        <w:jc w:val="both"/>
        <w:rPr>
          <w:sz w:val="24"/>
        </w:rPr>
      </w:pPr>
      <w:r>
        <w:rPr>
          <w:sz w:val="24"/>
        </w:rPr>
        <w:t>an </w:t>
      </w:r>
      <w:r>
        <w:rPr>
          <w:i/>
          <w:sz w:val="24"/>
        </w:rPr>
        <w:t>eligible person </w:t>
      </w:r>
      <w:r>
        <w:rPr>
          <w:sz w:val="24"/>
        </w:rPr>
        <w:t>entitled to receive an amount from </w:t>
      </w:r>
      <w:r>
        <w:rPr>
          <w:i/>
          <w:sz w:val="24"/>
        </w:rPr>
        <w:t>AEMO </w:t>
      </w:r>
      <w:r>
        <w:rPr>
          <w:sz w:val="24"/>
        </w:rPr>
        <w:t>pursuant to clause 3.18.1(b)(1) where there has been a change in flow of </w:t>
      </w:r>
      <w:r>
        <w:rPr>
          <w:spacing w:val="-11"/>
          <w:sz w:val="24"/>
        </w:rPr>
        <w:t>a </w:t>
      </w:r>
      <w:r>
        <w:rPr>
          <w:i/>
          <w:sz w:val="24"/>
        </w:rPr>
        <w:t>directional interconnector</w:t>
      </w:r>
      <w:r>
        <w:rPr>
          <w:sz w:val="24"/>
        </w:rPr>
        <w:t>, for which the </w:t>
      </w:r>
      <w:r>
        <w:rPr>
          <w:i/>
          <w:sz w:val="24"/>
        </w:rPr>
        <w:t>eligible person </w:t>
      </w:r>
      <w:r>
        <w:rPr>
          <w:sz w:val="24"/>
        </w:rPr>
        <w:t>holds units for the </w:t>
      </w:r>
      <w:r>
        <w:rPr>
          <w:i/>
          <w:sz w:val="24"/>
        </w:rPr>
        <w:t>intervention price trading interval</w:t>
      </w:r>
      <w:r>
        <w:rPr>
          <w:sz w:val="24"/>
        </w:rPr>
        <w:t>, as a result of the </w:t>
      </w:r>
      <w:r>
        <w:rPr>
          <w:i/>
          <w:sz w:val="24"/>
        </w:rPr>
        <w:t>dispatch  </w:t>
      </w:r>
      <w:r>
        <w:rPr>
          <w:sz w:val="24"/>
        </w:rPr>
        <w:t>of </w:t>
      </w:r>
      <w:r>
        <w:rPr>
          <w:i/>
          <w:sz w:val="24"/>
        </w:rPr>
        <w:t>plant </w:t>
      </w:r>
      <w:r>
        <w:rPr>
          <w:sz w:val="24"/>
        </w:rPr>
        <w:t>or </w:t>
      </w:r>
      <w:r>
        <w:rPr>
          <w:i/>
          <w:sz w:val="24"/>
        </w:rPr>
        <w:t>scheduled network service </w:t>
      </w:r>
      <w:r>
        <w:rPr>
          <w:sz w:val="24"/>
        </w:rPr>
        <w:t>under a </w:t>
      </w:r>
      <w:r>
        <w:rPr>
          <w:i/>
          <w:sz w:val="24"/>
        </w:rPr>
        <w:t>scheduled reserve </w:t>
      </w:r>
      <w:r>
        <w:rPr>
          <w:i/>
          <w:sz w:val="24"/>
        </w:rPr>
        <w:t>contract </w:t>
      </w:r>
      <w:r>
        <w:rPr>
          <w:sz w:val="24"/>
        </w:rPr>
        <w:t>or the </w:t>
      </w:r>
      <w:r>
        <w:rPr>
          <w:i/>
          <w:sz w:val="24"/>
        </w:rPr>
        <w:t>activation </w:t>
      </w:r>
      <w:r>
        <w:rPr>
          <w:sz w:val="24"/>
        </w:rPr>
        <w:t>of </w:t>
      </w:r>
      <w:r>
        <w:rPr>
          <w:i/>
          <w:sz w:val="24"/>
        </w:rPr>
        <w:t>generating units </w:t>
      </w:r>
      <w:r>
        <w:rPr>
          <w:sz w:val="24"/>
        </w:rPr>
        <w:t>or </w:t>
      </w:r>
      <w:r>
        <w:rPr>
          <w:i/>
          <w:sz w:val="24"/>
        </w:rPr>
        <w:t>loads </w:t>
      </w:r>
      <w:r>
        <w:rPr>
          <w:sz w:val="24"/>
        </w:rPr>
        <w:t>under </w:t>
      </w:r>
      <w:r>
        <w:rPr>
          <w:spacing w:val="-7"/>
          <w:sz w:val="24"/>
        </w:rPr>
        <w:t>an </w:t>
      </w:r>
      <w:r>
        <w:rPr>
          <w:i/>
          <w:sz w:val="24"/>
        </w:rPr>
        <w:t>unscheduled reserve</w:t>
      </w:r>
      <w:r>
        <w:rPr>
          <w:i/>
          <w:spacing w:val="-2"/>
          <w:sz w:val="24"/>
        </w:rPr>
        <w:t> </w:t>
      </w:r>
      <w:r>
        <w:rPr>
          <w:i/>
          <w:sz w:val="24"/>
        </w:rPr>
        <w:t>contract</w:t>
      </w:r>
      <w:r>
        <w:rPr>
          <w:sz w:val="24"/>
        </w:rPr>
        <w:t>.</w:t>
      </w:r>
    </w:p>
    <w:p>
      <w:pPr>
        <w:pStyle w:val="Heading5"/>
        <w:rPr>
          <w:i/>
        </w:rPr>
      </w:pPr>
      <w:r>
        <w:rPr>
          <w:i/>
        </w:rPr>
        <w:t>aggregate annual revenue requirement</w:t>
      </w:r>
    </w:p>
    <w:p>
      <w:pPr>
        <w:pStyle w:val="BodyText"/>
        <w:ind w:left="1352" w:right="415" w:firstLine="0"/>
      </w:pPr>
      <w:r>
        <w:rPr/>
        <w:t>For </w:t>
      </w:r>
      <w:r>
        <w:rPr>
          <w:i/>
        </w:rPr>
        <w:t>prescribed transmission services</w:t>
      </w:r>
      <w:r>
        <w:rPr/>
        <w:t>, the meaning in clause 6A.22.1 and for any other service, the calculated total annual revenue to be earned by an entity for a defined class or classes of service.</w:t>
      </w:r>
    </w:p>
    <w:p>
      <w:pPr>
        <w:pStyle w:val="Heading5"/>
        <w:rPr>
          <w:i/>
        </w:rPr>
      </w:pPr>
      <w:r>
        <w:rPr>
          <w:i/>
        </w:rPr>
        <w:t>aggregate payment due</w:t>
      </w:r>
    </w:p>
    <w:p>
      <w:pPr>
        <w:spacing w:before="120"/>
        <w:ind w:left="1352" w:right="414" w:firstLine="0"/>
        <w:jc w:val="both"/>
        <w:rPr>
          <w:sz w:val="24"/>
        </w:rPr>
      </w:pPr>
      <w:r>
        <w:rPr>
          <w:sz w:val="24"/>
        </w:rPr>
        <w:t>The aggregate of the net amounts payable by </w:t>
      </w:r>
      <w:r>
        <w:rPr>
          <w:i/>
          <w:sz w:val="24"/>
        </w:rPr>
        <w:t>AEMO </w:t>
      </w:r>
      <w:r>
        <w:rPr>
          <w:sz w:val="24"/>
        </w:rPr>
        <w:t>to each of the </w:t>
      </w:r>
      <w:r>
        <w:rPr>
          <w:i/>
          <w:sz w:val="24"/>
        </w:rPr>
        <w:t>Market </w:t>
      </w:r>
      <w:r>
        <w:rPr>
          <w:i/>
          <w:sz w:val="24"/>
        </w:rPr>
        <w:t>Participants </w:t>
      </w:r>
      <w:r>
        <w:rPr>
          <w:sz w:val="24"/>
        </w:rPr>
        <w:t>to whom payments are to be made in relation to </w:t>
      </w:r>
      <w:r>
        <w:rPr>
          <w:i/>
          <w:sz w:val="24"/>
        </w:rPr>
        <w:t>spot market </w:t>
      </w:r>
      <w:r>
        <w:rPr>
          <w:i/>
          <w:sz w:val="24"/>
        </w:rPr>
        <w:t>transactions </w:t>
      </w:r>
      <w:r>
        <w:rPr>
          <w:sz w:val="24"/>
        </w:rPr>
        <w:t>or </w:t>
      </w:r>
      <w:r>
        <w:rPr>
          <w:i/>
          <w:sz w:val="24"/>
        </w:rPr>
        <w:t>reallocation transactions </w:t>
      </w:r>
      <w:r>
        <w:rPr>
          <w:sz w:val="24"/>
        </w:rPr>
        <w:t>in respect of a </w:t>
      </w:r>
      <w:r>
        <w:rPr>
          <w:i/>
          <w:sz w:val="24"/>
        </w:rPr>
        <w:t>billing period </w:t>
      </w:r>
      <w:r>
        <w:rPr>
          <w:sz w:val="24"/>
        </w:rPr>
        <w:t>determined in accordance with clause 3.15.22(c).</w:t>
      </w:r>
    </w:p>
    <w:p>
      <w:pPr>
        <w:pStyle w:val="Heading5"/>
        <w:rPr>
          <w:i/>
        </w:rPr>
      </w:pPr>
      <w:r>
        <w:rPr>
          <w:i/>
        </w:rPr>
        <w:t>agreed capability</w:t>
      </w:r>
    </w:p>
    <w:p>
      <w:pPr>
        <w:spacing w:before="120"/>
        <w:ind w:left="1352" w:right="415" w:firstLine="0"/>
        <w:jc w:val="both"/>
        <w:rPr>
          <w:sz w:val="24"/>
        </w:rPr>
      </w:pPr>
      <w:r>
        <w:rPr>
          <w:sz w:val="24"/>
        </w:rPr>
        <w:t>In relation to a </w:t>
      </w:r>
      <w:r>
        <w:rPr>
          <w:i/>
          <w:sz w:val="24"/>
        </w:rPr>
        <w:t>connection point</w:t>
      </w:r>
      <w:r>
        <w:rPr>
          <w:sz w:val="24"/>
        </w:rPr>
        <w:t>, the capability to receive or send out power for that </w:t>
      </w:r>
      <w:r>
        <w:rPr>
          <w:i/>
          <w:sz w:val="24"/>
        </w:rPr>
        <w:t>connection point </w:t>
      </w:r>
      <w:r>
        <w:rPr>
          <w:sz w:val="24"/>
        </w:rPr>
        <w:t>determined in accordance with the relevant </w:t>
      </w:r>
      <w:r>
        <w:rPr>
          <w:i/>
          <w:sz w:val="24"/>
        </w:rPr>
        <w:t>connection </w:t>
      </w:r>
      <w:r>
        <w:rPr>
          <w:i/>
          <w:sz w:val="24"/>
        </w:rPr>
        <w:t>agreement</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allowed imputation credits</w:t>
      </w:r>
    </w:p>
    <w:p>
      <w:pPr>
        <w:spacing w:before="120"/>
        <w:ind w:left="1352" w:right="415" w:firstLine="0"/>
        <w:jc w:val="both"/>
        <w:rPr>
          <w:sz w:val="24"/>
        </w:rPr>
      </w:pPr>
      <w:r>
        <w:rPr>
          <w:sz w:val="24"/>
        </w:rPr>
        <w:t>for a </w:t>
      </w:r>
      <w:r>
        <w:rPr>
          <w:i/>
          <w:sz w:val="24"/>
        </w:rPr>
        <w:t>Network Service Provider </w:t>
      </w:r>
      <w:r>
        <w:rPr>
          <w:sz w:val="24"/>
        </w:rPr>
        <w:t>for a </w:t>
      </w:r>
      <w:r>
        <w:rPr>
          <w:i/>
          <w:sz w:val="24"/>
        </w:rPr>
        <w:t>regulatory year </w:t>
      </w:r>
      <w:r>
        <w:rPr>
          <w:sz w:val="24"/>
        </w:rPr>
        <w:t>means the value of imputation credits for the </w:t>
      </w:r>
      <w:r>
        <w:rPr>
          <w:i/>
          <w:sz w:val="24"/>
        </w:rPr>
        <w:t>regulatory year </w:t>
      </w:r>
      <w:r>
        <w:rPr>
          <w:sz w:val="24"/>
        </w:rPr>
        <w:t>stated, or calculated in the way stated, in the </w:t>
      </w:r>
      <w:r>
        <w:rPr>
          <w:i/>
          <w:sz w:val="24"/>
        </w:rPr>
        <w:t>applicable rate of return instrument </w:t>
      </w:r>
      <w:r>
        <w:rPr>
          <w:sz w:val="24"/>
        </w:rPr>
        <w:t>for the </w:t>
      </w:r>
      <w:r>
        <w:rPr>
          <w:i/>
          <w:sz w:val="24"/>
        </w:rPr>
        <w:t>Network Service Provider </w:t>
      </w:r>
      <w:r>
        <w:rPr>
          <w:sz w:val="24"/>
        </w:rPr>
        <w:t>for the </w:t>
      </w:r>
      <w:r>
        <w:rPr>
          <w:i/>
          <w:sz w:val="24"/>
        </w:rPr>
        <w:t>regulatory</w:t>
      </w:r>
      <w:r>
        <w:rPr>
          <w:i/>
          <w:spacing w:val="-1"/>
          <w:sz w:val="24"/>
        </w:rPr>
        <w:t> </w:t>
      </w:r>
      <w:r>
        <w:rPr>
          <w:i/>
          <w:sz w:val="24"/>
        </w:rPr>
        <w:t>year</w:t>
      </w:r>
      <w:r>
        <w:rPr>
          <w:sz w:val="24"/>
        </w:rPr>
        <w:t>.</w:t>
      </w:r>
    </w:p>
    <w:p>
      <w:pPr>
        <w:pStyle w:val="Heading5"/>
        <w:rPr>
          <w:i/>
        </w:rPr>
      </w:pPr>
      <w:r>
        <w:rPr>
          <w:i/>
        </w:rPr>
        <w:t>allowed rate of return</w:t>
      </w:r>
    </w:p>
    <w:p>
      <w:pPr>
        <w:spacing w:before="120"/>
        <w:ind w:left="1352" w:right="416" w:firstLine="0"/>
        <w:jc w:val="both"/>
        <w:rPr>
          <w:sz w:val="24"/>
        </w:rPr>
      </w:pPr>
      <w:r>
        <w:rPr>
          <w:sz w:val="24"/>
        </w:rPr>
        <w:t>for a </w:t>
      </w:r>
      <w:r>
        <w:rPr>
          <w:i/>
          <w:sz w:val="24"/>
        </w:rPr>
        <w:t>Network Service Provider </w:t>
      </w:r>
      <w:r>
        <w:rPr>
          <w:sz w:val="24"/>
        </w:rPr>
        <w:t>for a </w:t>
      </w:r>
      <w:r>
        <w:rPr>
          <w:i/>
          <w:sz w:val="24"/>
        </w:rPr>
        <w:t>regulatory year </w:t>
      </w:r>
      <w:r>
        <w:rPr>
          <w:sz w:val="24"/>
        </w:rPr>
        <w:t>means the rate of return calculated in the way stated in the </w:t>
      </w:r>
      <w:r>
        <w:rPr>
          <w:i/>
          <w:sz w:val="24"/>
        </w:rPr>
        <w:t>applicable rate of return instrument </w:t>
      </w:r>
      <w:r>
        <w:rPr>
          <w:sz w:val="24"/>
        </w:rPr>
        <w:t>for the </w:t>
      </w:r>
      <w:r>
        <w:rPr>
          <w:i/>
          <w:sz w:val="24"/>
        </w:rPr>
        <w:t>Network Service Provider </w:t>
      </w:r>
      <w:r>
        <w:rPr>
          <w:sz w:val="24"/>
        </w:rPr>
        <w:t>for the </w:t>
      </w:r>
      <w:r>
        <w:rPr>
          <w:i/>
          <w:sz w:val="24"/>
        </w:rPr>
        <w:t>regulatory year</w:t>
      </w:r>
      <w:r>
        <w:rPr>
          <w:sz w:val="24"/>
        </w:rPr>
        <w:t>.</w:t>
      </w:r>
    </w:p>
    <w:p>
      <w:pPr>
        <w:pStyle w:val="Heading5"/>
        <w:rPr>
          <w:i/>
        </w:rPr>
      </w:pPr>
      <w:r>
        <w:rPr>
          <w:i/>
        </w:rPr>
        <w:t>alternative control service</w:t>
      </w:r>
    </w:p>
    <w:p>
      <w:pPr>
        <w:spacing w:before="120"/>
        <w:ind w:left="1352" w:right="416" w:firstLine="0"/>
        <w:jc w:val="both"/>
        <w:rPr>
          <w:sz w:val="24"/>
        </w:rPr>
      </w:pPr>
      <w:r>
        <w:rPr>
          <w:sz w:val="24"/>
        </w:rPr>
        <w:t>A </w:t>
      </w:r>
      <w:r>
        <w:rPr>
          <w:i/>
          <w:sz w:val="24"/>
        </w:rPr>
        <w:t>distribution service </w:t>
      </w:r>
      <w:r>
        <w:rPr>
          <w:sz w:val="24"/>
        </w:rPr>
        <w:t>that is a </w:t>
      </w:r>
      <w:r>
        <w:rPr>
          <w:i/>
          <w:sz w:val="24"/>
        </w:rPr>
        <w:t>direct control service </w:t>
      </w:r>
      <w:r>
        <w:rPr>
          <w:sz w:val="24"/>
        </w:rPr>
        <w:t>but not a </w:t>
      </w:r>
      <w:r>
        <w:rPr>
          <w:i/>
          <w:sz w:val="24"/>
        </w:rPr>
        <w:t>standard control </w:t>
      </w:r>
      <w:r>
        <w:rPr>
          <w:i/>
          <w:sz w:val="24"/>
        </w:rPr>
        <w:t>service</w:t>
      </w:r>
      <w:r>
        <w:rPr>
          <w:sz w:val="24"/>
        </w:rPr>
        <w:t>.</w:t>
      </w:r>
    </w:p>
    <w:p>
      <w:pPr>
        <w:pStyle w:val="Heading5"/>
        <w:rPr>
          <w:i/>
        </w:rPr>
      </w:pPr>
      <w:r>
        <w:rPr>
          <w:i/>
        </w:rPr>
        <w:t>alternative network constraint formulation</w:t>
      </w:r>
    </w:p>
    <w:p>
      <w:pPr>
        <w:spacing w:before="120"/>
        <w:ind w:left="1352" w:right="415" w:firstLine="0"/>
        <w:jc w:val="both"/>
        <w:rPr>
          <w:sz w:val="24"/>
        </w:rPr>
      </w:pPr>
      <w:r>
        <w:rPr>
          <w:sz w:val="24"/>
        </w:rPr>
        <w:t>A </w:t>
      </w:r>
      <w:r>
        <w:rPr>
          <w:i/>
          <w:sz w:val="24"/>
        </w:rPr>
        <w:t>network constraint </w:t>
      </w:r>
      <w:r>
        <w:rPr>
          <w:sz w:val="24"/>
        </w:rPr>
        <w:t>equation formulation used by </w:t>
      </w:r>
      <w:r>
        <w:rPr>
          <w:i/>
          <w:sz w:val="24"/>
        </w:rPr>
        <w:t>AEMO </w:t>
      </w:r>
      <w:r>
        <w:rPr>
          <w:sz w:val="24"/>
        </w:rPr>
        <w:t>other than a </w:t>
      </w:r>
      <w:r>
        <w:rPr>
          <w:i/>
          <w:sz w:val="24"/>
        </w:rPr>
        <w:t>fully co- </w:t>
      </w:r>
      <w:r>
        <w:rPr>
          <w:i/>
          <w:sz w:val="24"/>
        </w:rPr>
        <w:t>optimised network constraint formulation</w:t>
      </w:r>
      <w:r>
        <w:rPr>
          <w:sz w:val="24"/>
        </w:rPr>
        <w:t>.</w:t>
      </w:r>
    </w:p>
    <w:p>
      <w:pPr>
        <w:pStyle w:val="Heading5"/>
        <w:rPr>
          <w:i/>
        </w:rPr>
      </w:pPr>
      <w:r>
        <w:rPr>
          <w:i/>
        </w:rPr>
        <w:t>Amending Rule</w:t>
      </w:r>
    </w:p>
    <w:p>
      <w:pPr>
        <w:pStyle w:val="BodyText"/>
        <w:ind w:left="1352" w:right="415" w:firstLine="0"/>
      </w:pPr>
      <w:r>
        <w:rPr/>
        <w:t>A Rule made by the </w:t>
      </w:r>
      <w:r>
        <w:rPr>
          <w:i/>
        </w:rPr>
        <w:t>AEMC </w:t>
      </w:r>
      <w:r>
        <w:rPr/>
        <w:t>under section 103 of the </w:t>
      </w:r>
      <w:r>
        <w:rPr>
          <w:i/>
        </w:rPr>
        <w:t>National Electricity Law </w:t>
      </w:r>
      <w:r>
        <w:rPr/>
        <w:t>on and from the date of commencement of the operation of that Rule, or parts of that Rule.</w:t>
      </w:r>
    </w:p>
    <w:p>
      <w:pPr>
        <w:pStyle w:val="Heading5"/>
        <w:rPr>
          <w:i/>
        </w:rPr>
      </w:pPr>
      <w:r>
        <w:rPr>
          <w:i/>
        </w:rPr>
        <w:t>ancillary service fees</w:t>
      </w:r>
    </w:p>
    <w:p>
      <w:pPr>
        <w:spacing w:before="120"/>
        <w:ind w:left="1352" w:right="0" w:firstLine="0"/>
        <w:jc w:val="both"/>
        <w:rPr>
          <w:sz w:val="24"/>
        </w:rPr>
      </w:pPr>
      <w:r>
        <w:rPr>
          <w:sz w:val="24"/>
        </w:rPr>
        <w:t>The fees determined by </w:t>
      </w:r>
      <w:r>
        <w:rPr>
          <w:i/>
          <w:sz w:val="24"/>
        </w:rPr>
        <w:t>AEMO </w:t>
      </w:r>
      <w:r>
        <w:rPr>
          <w:sz w:val="24"/>
        </w:rPr>
        <w:t>under Chapter 2 in relation to </w:t>
      </w:r>
      <w:r>
        <w:rPr>
          <w:i/>
          <w:sz w:val="24"/>
        </w:rPr>
        <w:t>ancillary services</w:t>
      </w:r>
      <w:r>
        <w:rPr>
          <w:sz w:val="24"/>
        </w:rPr>
        <w:t>.</w:t>
      </w:r>
    </w:p>
    <w:p>
      <w:pPr>
        <w:pStyle w:val="Heading5"/>
        <w:rPr>
          <w:i/>
        </w:rPr>
      </w:pPr>
      <w:r>
        <w:rPr>
          <w:i/>
        </w:rPr>
        <w:t>ancillary service generating unit</w:t>
      </w:r>
    </w:p>
    <w:p>
      <w:pPr>
        <w:spacing w:before="120"/>
        <w:ind w:left="1352" w:right="0" w:firstLine="0"/>
        <w:jc w:val="both"/>
        <w:rPr>
          <w:sz w:val="24"/>
        </w:rPr>
      </w:pPr>
      <w:r>
        <w:rPr>
          <w:sz w:val="24"/>
        </w:rPr>
        <w:t>A </w:t>
      </w:r>
      <w:r>
        <w:rPr>
          <w:i/>
          <w:sz w:val="24"/>
        </w:rPr>
        <w:t>generating unit </w:t>
      </w:r>
      <w:r>
        <w:rPr>
          <w:sz w:val="24"/>
        </w:rPr>
        <w:t>which has been classified in accordance with Chapter 2 as an</w:t>
      </w:r>
    </w:p>
    <w:p>
      <w:pPr>
        <w:spacing w:before="0"/>
        <w:ind w:left="1352" w:right="0" w:firstLine="0"/>
        <w:jc w:val="both"/>
        <w:rPr>
          <w:sz w:val="24"/>
        </w:rPr>
      </w:pPr>
      <w:r>
        <w:rPr>
          <w:i/>
          <w:sz w:val="24"/>
        </w:rPr>
        <w:t>ancillary service generating unit</w:t>
      </w:r>
      <w:r>
        <w:rPr>
          <w:sz w:val="24"/>
        </w:rPr>
        <w:t>.</w:t>
      </w:r>
    </w:p>
    <w:p>
      <w:pPr>
        <w:pStyle w:val="Heading5"/>
        <w:rPr>
          <w:i/>
        </w:rPr>
      </w:pPr>
      <w:r>
        <w:rPr>
          <w:i/>
        </w:rPr>
        <w:t>ancillary service load</w:t>
      </w:r>
    </w:p>
    <w:p>
      <w:pPr>
        <w:spacing w:before="120"/>
        <w:ind w:left="1352" w:right="416" w:firstLine="0"/>
        <w:jc w:val="both"/>
        <w:rPr>
          <w:sz w:val="24"/>
        </w:rPr>
      </w:pPr>
      <w:r>
        <w:rPr>
          <w:sz w:val="24"/>
        </w:rPr>
        <w:t>A </w:t>
      </w:r>
      <w:r>
        <w:rPr>
          <w:i/>
          <w:sz w:val="24"/>
        </w:rPr>
        <w:t>market load </w:t>
      </w:r>
      <w:r>
        <w:rPr>
          <w:sz w:val="24"/>
        </w:rPr>
        <w:t>or </w:t>
      </w:r>
      <w:r>
        <w:rPr>
          <w:i/>
          <w:sz w:val="24"/>
        </w:rPr>
        <w:t>load </w:t>
      </w:r>
      <w:r>
        <w:rPr>
          <w:sz w:val="24"/>
        </w:rPr>
        <w:t>which has been classified in accordance with Chapter 2 as an </w:t>
      </w:r>
      <w:r>
        <w:rPr>
          <w:i/>
          <w:sz w:val="24"/>
        </w:rPr>
        <w:t>ancillary service load</w:t>
      </w:r>
      <w:r>
        <w:rPr>
          <w:sz w:val="24"/>
        </w:rPr>
        <w:t>.</w:t>
      </w:r>
    </w:p>
    <w:p>
      <w:pPr>
        <w:pStyle w:val="Heading5"/>
        <w:rPr>
          <w:i/>
        </w:rPr>
      </w:pPr>
      <w:r>
        <w:rPr>
          <w:i/>
        </w:rPr>
        <w:t>ancillary service</w:t>
      </w:r>
      <w:r>
        <w:rPr>
          <w:i/>
          <w:spacing w:val="-6"/>
        </w:rPr>
        <w:t> </w:t>
      </w:r>
      <w:r>
        <w:rPr>
          <w:i/>
        </w:rPr>
        <w:t>price</w:t>
      </w:r>
    </w:p>
    <w:p>
      <w:pPr>
        <w:spacing w:before="120"/>
        <w:ind w:left="1352" w:right="415" w:firstLine="0"/>
        <w:jc w:val="both"/>
        <w:rPr>
          <w:sz w:val="24"/>
        </w:rPr>
      </w:pPr>
      <w:r>
        <w:rPr>
          <w:sz w:val="24"/>
        </w:rPr>
        <w:t>In respect of a </w:t>
      </w:r>
      <w:r>
        <w:rPr>
          <w:i/>
          <w:sz w:val="24"/>
        </w:rPr>
        <w:t>dispatch interval</w:t>
      </w:r>
      <w:r>
        <w:rPr>
          <w:sz w:val="24"/>
        </w:rPr>
        <w:t>, for a </w:t>
      </w:r>
      <w:r>
        <w:rPr>
          <w:i/>
          <w:sz w:val="24"/>
        </w:rPr>
        <w:t>market ancillary service</w:t>
      </w:r>
      <w:r>
        <w:rPr>
          <w:sz w:val="24"/>
        </w:rPr>
        <w:t>, the common clearing price for the </w:t>
      </w:r>
      <w:r>
        <w:rPr>
          <w:i/>
          <w:sz w:val="24"/>
        </w:rPr>
        <w:t>market ancillary service </w:t>
      </w:r>
      <w:r>
        <w:rPr>
          <w:sz w:val="24"/>
        </w:rPr>
        <w:t>determined in accordance with clause</w:t>
      </w:r>
      <w:r>
        <w:rPr>
          <w:spacing w:val="-1"/>
          <w:sz w:val="24"/>
        </w:rPr>
        <w:t> </w:t>
      </w:r>
      <w:r>
        <w:rPr>
          <w:sz w:val="24"/>
        </w:rPr>
        <w:t>3.9.</w:t>
      </w:r>
    </w:p>
    <w:p>
      <w:pPr>
        <w:pStyle w:val="Heading5"/>
        <w:rPr>
          <w:i/>
        </w:rPr>
      </w:pPr>
      <w:r>
        <w:rPr>
          <w:i/>
        </w:rPr>
        <w:t>Ancillary Service Provider</w:t>
      </w:r>
    </w:p>
    <w:p>
      <w:pPr>
        <w:spacing w:before="120"/>
        <w:ind w:left="1352" w:right="415" w:firstLine="0"/>
        <w:jc w:val="both"/>
        <w:rPr>
          <w:sz w:val="24"/>
        </w:rPr>
      </w:pPr>
      <w:r>
        <w:rPr>
          <w:sz w:val="24"/>
        </w:rPr>
        <w:t>A person who engages in the activity of owning, controlling or operating a </w:t>
      </w:r>
      <w:r>
        <w:rPr>
          <w:i/>
          <w:sz w:val="24"/>
        </w:rPr>
        <w:t>generating unit</w:t>
      </w:r>
      <w:r>
        <w:rPr>
          <w:sz w:val="24"/>
        </w:rPr>
        <w:t>, </w:t>
      </w:r>
      <w:r>
        <w:rPr>
          <w:i/>
          <w:sz w:val="24"/>
        </w:rPr>
        <w:t>load </w:t>
      </w:r>
      <w:r>
        <w:rPr>
          <w:sz w:val="24"/>
        </w:rPr>
        <w:t>or </w:t>
      </w:r>
      <w:r>
        <w:rPr>
          <w:i/>
          <w:sz w:val="24"/>
        </w:rPr>
        <w:t>market load </w:t>
      </w:r>
      <w:r>
        <w:rPr>
          <w:sz w:val="24"/>
        </w:rPr>
        <w:t>classified in accordance with Chapter 2 as an </w:t>
      </w:r>
      <w:r>
        <w:rPr>
          <w:i/>
          <w:sz w:val="24"/>
        </w:rPr>
        <w:t>ancillary service generating unit </w:t>
      </w:r>
      <w:r>
        <w:rPr>
          <w:sz w:val="24"/>
        </w:rPr>
        <w:t>or </w:t>
      </w:r>
      <w:r>
        <w:rPr>
          <w:i/>
          <w:sz w:val="24"/>
        </w:rPr>
        <w:t>ancillary service load</w:t>
      </w:r>
      <w:r>
        <w:rPr>
          <w:sz w:val="24"/>
        </w:rPr>
        <w:t>, as the case may be.</w:t>
      </w:r>
    </w:p>
    <w:p>
      <w:pPr>
        <w:pStyle w:val="Heading5"/>
        <w:rPr>
          <w:i/>
        </w:rPr>
      </w:pPr>
      <w:r>
        <w:rPr>
          <w:i/>
        </w:rPr>
        <w:t>ancillary services</w:t>
      </w:r>
    </w:p>
    <w:p>
      <w:pPr>
        <w:spacing w:before="120"/>
        <w:ind w:left="1352" w:right="0" w:firstLine="0"/>
        <w:jc w:val="both"/>
        <w:rPr>
          <w:sz w:val="24"/>
        </w:rPr>
      </w:pPr>
      <w:r>
        <w:rPr>
          <w:i/>
          <w:sz w:val="24"/>
        </w:rPr>
        <w:t>Market ancillary services </w:t>
      </w:r>
      <w:r>
        <w:rPr>
          <w:sz w:val="24"/>
        </w:rPr>
        <w:t>and </w:t>
      </w:r>
      <w:r>
        <w:rPr>
          <w:i/>
          <w:sz w:val="24"/>
        </w:rPr>
        <w:t>non-market ancillary services</w:t>
      </w:r>
      <w:r>
        <w:rPr>
          <w:sz w:val="24"/>
        </w:rPr>
        <w:t>.</w:t>
      </w:r>
    </w:p>
    <w:p>
      <w:pPr>
        <w:pStyle w:val="Heading5"/>
        <w:rPr>
          <w:i/>
        </w:rPr>
      </w:pPr>
      <w:r>
        <w:rPr>
          <w:i/>
        </w:rPr>
        <w:t>ancillary services agreement</w:t>
      </w:r>
    </w:p>
    <w:p>
      <w:pPr>
        <w:spacing w:before="120"/>
        <w:ind w:left="1352" w:right="415" w:firstLine="0"/>
        <w:jc w:val="both"/>
        <w:rPr>
          <w:sz w:val="24"/>
        </w:rPr>
      </w:pPr>
      <w:r>
        <w:rPr>
          <w:sz w:val="24"/>
        </w:rPr>
        <w:t>An agreement under which an </w:t>
      </w:r>
      <w:r>
        <w:rPr>
          <w:i/>
          <w:sz w:val="24"/>
        </w:rPr>
        <w:t>NMAS provider </w:t>
      </w:r>
      <w:r>
        <w:rPr>
          <w:sz w:val="24"/>
        </w:rPr>
        <w:t>agrees to provide one or more </w:t>
      </w:r>
      <w:r>
        <w:rPr>
          <w:i/>
          <w:sz w:val="24"/>
        </w:rPr>
        <w:t>non- </w:t>
      </w:r>
      <w:r>
        <w:rPr>
          <w:i/>
          <w:sz w:val="24"/>
        </w:rPr>
        <w:t>market ancillary services </w:t>
      </w:r>
      <w:r>
        <w:rPr>
          <w:sz w:val="24"/>
        </w:rPr>
        <w:t>to </w:t>
      </w:r>
      <w:r>
        <w:rPr>
          <w:i/>
          <w:sz w:val="24"/>
        </w:rPr>
        <w:t>AEMO</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annual benchmarking report</w:t>
      </w:r>
    </w:p>
    <w:p>
      <w:pPr>
        <w:pStyle w:val="BodyText"/>
        <w:ind w:left="1352" w:firstLine="0"/>
      </w:pPr>
      <w:r>
        <w:rPr/>
        <w:t>Has the meaning given to it by clause 6.27 or clause 6A.31, as the case may be.</w:t>
      </w:r>
    </w:p>
    <w:p>
      <w:pPr>
        <w:pStyle w:val="Heading5"/>
        <w:rPr>
          <w:i/>
        </w:rPr>
      </w:pPr>
      <w:r>
        <w:rPr>
          <w:i/>
        </w:rPr>
        <w:t>annual building block revenue requirement</w:t>
      </w:r>
    </w:p>
    <w:p>
      <w:pPr>
        <w:spacing w:before="120"/>
        <w:ind w:left="1352" w:right="416" w:firstLine="0"/>
        <w:jc w:val="both"/>
        <w:rPr>
          <w:sz w:val="24"/>
        </w:rPr>
      </w:pPr>
      <w:r>
        <w:rPr>
          <w:sz w:val="24"/>
        </w:rPr>
        <w:t>The amount representing the revenue requirement of a </w:t>
      </w:r>
      <w:r>
        <w:rPr>
          <w:i/>
          <w:sz w:val="24"/>
        </w:rPr>
        <w:t>Transmission Network </w:t>
      </w:r>
      <w:r>
        <w:rPr>
          <w:i/>
          <w:sz w:val="24"/>
        </w:rPr>
        <w:t>Service Provider </w:t>
      </w:r>
      <w:r>
        <w:rPr>
          <w:sz w:val="24"/>
        </w:rPr>
        <w:t>for each </w:t>
      </w:r>
      <w:r>
        <w:rPr>
          <w:i/>
          <w:sz w:val="24"/>
        </w:rPr>
        <w:t>regulatory year </w:t>
      </w:r>
      <w:r>
        <w:rPr>
          <w:sz w:val="24"/>
        </w:rPr>
        <w:t>of a </w:t>
      </w:r>
      <w:r>
        <w:rPr>
          <w:i/>
          <w:sz w:val="24"/>
        </w:rPr>
        <w:t>regulatory control period </w:t>
      </w:r>
      <w:r>
        <w:rPr>
          <w:sz w:val="24"/>
        </w:rPr>
        <w:t>calculated in accordance with clause</w:t>
      </w:r>
      <w:r>
        <w:rPr>
          <w:spacing w:val="-1"/>
          <w:sz w:val="24"/>
        </w:rPr>
        <w:t> </w:t>
      </w:r>
      <w:r>
        <w:rPr>
          <w:sz w:val="24"/>
        </w:rPr>
        <w:t>6A.5.4.</w:t>
      </w:r>
    </w:p>
    <w:p>
      <w:pPr>
        <w:pStyle w:val="Heading5"/>
        <w:rPr>
          <w:i/>
        </w:rPr>
      </w:pPr>
      <w:r>
        <w:rPr>
          <w:i/>
        </w:rPr>
        <w:t>annual revenue requirement</w:t>
      </w:r>
    </w:p>
    <w:p>
      <w:pPr>
        <w:spacing w:before="120"/>
        <w:ind w:left="1352" w:right="416" w:firstLine="0"/>
        <w:jc w:val="both"/>
        <w:rPr>
          <w:sz w:val="24"/>
        </w:rPr>
      </w:pPr>
      <w:r>
        <w:rPr>
          <w:sz w:val="24"/>
        </w:rPr>
        <w:t>An amount representing revenue for a </w:t>
      </w:r>
      <w:r>
        <w:rPr>
          <w:i/>
          <w:sz w:val="24"/>
        </w:rPr>
        <w:t>Distribution Network Service Provider</w:t>
      </w:r>
      <w:r>
        <w:rPr>
          <w:sz w:val="24"/>
        </w:rPr>
        <w:t>, for each </w:t>
      </w:r>
      <w:r>
        <w:rPr>
          <w:i/>
          <w:sz w:val="24"/>
        </w:rPr>
        <w:t>regulatory year </w:t>
      </w:r>
      <w:r>
        <w:rPr>
          <w:sz w:val="24"/>
        </w:rPr>
        <w:t>of a </w:t>
      </w:r>
      <w:r>
        <w:rPr>
          <w:i/>
          <w:sz w:val="24"/>
        </w:rPr>
        <w:t>regulatory control period</w:t>
      </w:r>
      <w:r>
        <w:rPr>
          <w:sz w:val="24"/>
        </w:rPr>
        <w:t>, calculated in accordance with Part C of Chapter 6.</w:t>
      </w:r>
    </w:p>
    <w:p>
      <w:pPr>
        <w:pStyle w:val="Heading5"/>
        <w:rPr>
          <w:i/>
        </w:rPr>
      </w:pPr>
      <w:r>
        <w:rPr>
          <w:i/>
        </w:rPr>
        <w:t>annual service revenue requirement (or "ASRR")</w:t>
      </w:r>
    </w:p>
    <w:p>
      <w:pPr>
        <w:pStyle w:val="BodyText"/>
        <w:ind w:left="1352" w:firstLine="0"/>
      </w:pPr>
      <w:r>
        <w:rPr/>
        <w:t>Has the meaning set out in clause 6A.22.2.</w:t>
      </w:r>
    </w:p>
    <w:p>
      <w:pPr>
        <w:pStyle w:val="Heading5"/>
        <w:rPr>
          <w:i/>
        </w:rPr>
      </w:pPr>
      <w:r>
        <w:rPr>
          <w:i/>
        </w:rPr>
        <w:t>apparent power</w:t>
      </w:r>
    </w:p>
    <w:p>
      <w:pPr>
        <w:spacing w:before="120"/>
        <w:ind w:left="1352" w:right="416" w:firstLine="0"/>
        <w:jc w:val="both"/>
        <w:rPr>
          <w:sz w:val="24"/>
        </w:rPr>
      </w:pPr>
      <w:r>
        <w:rPr>
          <w:sz w:val="24"/>
        </w:rPr>
        <w:t>The square root of the sum of the squares of the </w:t>
      </w:r>
      <w:r>
        <w:rPr>
          <w:i/>
          <w:sz w:val="24"/>
        </w:rPr>
        <w:t>active power </w:t>
      </w:r>
      <w:r>
        <w:rPr>
          <w:sz w:val="24"/>
        </w:rPr>
        <w:t>and the </w:t>
      </w:r>
      <w:r>
        <w:rPr>
          <w:i/>
          <w:sz w:val="24"/>
        </w:rPr>
        <w:t>reactive </w:t>
      </w:r>
      <w:r>
        <w:rPr>
          <w:i/>
          <w:sz w:val="24"/>
        </w:rPr>
        <w:t>power</w:t>
      </w:r>
      <w:r>
        <w:rPr>
          <w:sz w:val="24"/>
        </w:rPr>
        <w:t>.</w:t>
      </w:r>
    </w:p>
    <w:p>
      <w:pPr>
        <w:pStyle w:val="Heading5"/>
        <w:rPr>
          <w:i/>
        </w:rPr>
      </w:pPr>
      <w:r>
        <w:rPr>
          <w:i/>
        </w:rPr>
        <w:t>applicable rate of return instrument</w:t>
      </w:r>
    </w:p>
    <w:p>
      <w:pPr>
        <w:spacing w:before="120"/>
        <w:ind w:left="1352" w:right="416" w:firstLine="0"/>
        <w:jc w:val="both"/>
        <w:rPr>
          <w:sz w:val="24"/>
        </w:rPr>
      </w:pPr>
      <w:r>
        <w:rPr>
          <w:sz w:val="24"/>
        </w:rPr>
        <w:t>for a </w:t>
      </w:r>
      <w:r>
        <w:rPr>
          <w:i/>
          <w:sz w:val="24"/>
        </w:rPr>
        <w:t>Network Service Provider </w:t>
      </w:r>
      <w:r>
        <w:rPr>
          <w:sz w:val="24"/>
        </w:rPr>
        <w:t>for a </w:t>
      </w:r>
      <w:r>
        <w:rPr>
          <w:i/>
          <w:sz w:val="24"/>
        </w:rPr>
        <w:t>regulatory year </w:t>
      </w:r>
      <w:r>
        <w:rPr>
          <w:sz w:val="24"/>
        </w:rPr>
        <w:t>means the rate of return instrument in force when the network revenue or pricing determination for the </w:t>
      </w:r>
      <w:r>
        <w:rPr>
          <w:i/>
          <w:sz w:val="24"/>
        </w:rPr>
        <w:t>Network Service Provider </w:t>
      </w:r>
      <w:r>
        <w:rPr>
          <w:sz w:val="24"/>
        </w:rPr>
        <w:t>for the </w:t>
      </w:r>
      <w:r>
        <w:rPr>
          <w:i/>
          <w:sz w:val="24"/>
        </w:rPr>
        <w:t>regulatory control period </w:t>
      </w:r>
      <w:r>
        <w:rPr>
          <w:sz w:val="24"/>
        </w:rPr>
        <w:t>to which the </w:t>
      </w:r>
      <w:r>
        <w:rPr>
          <w:i/>
          <w:sz w:val="24"/>
        </w:rPr>
        <w:t>regulatory </w:t>
      </w:r>
      <w:r>
        <w:rPr>
          <w:sz w:val="24"/>
        </w:rPr>
        <w:t>year belongs is made (disregarding any determination made in substitution for an earlier determination for the </w:t>
      </w:r>
      <w:r>
        <w:rPr>
          <w:i/>
          <w:sz w:val="24"/>
        </w:rPr>
        <w:t>Network Service Provider </w:t>
      </w:r>
      <w:r>
        <w:rPr>
          <w:sz w:val="24"/>
        </w:rPr>
        <w:t>for that </w:t>
      </w:r>
      <w:r>
        <w:rPr>
          <w:i/>
          <w:sz w:val="24"/>
        </w:rPr>
        <w:t>regulatory control period</w:t>
      </w:r>
      <w:r>
        <w:rPr>
          <w:sz w:val="24"/>
        </w:rPr>
        <w:t>).</w:t>
      </w:r>
    </w:p>
    <w:p>
      <w:pPr>
        <w:pStyle w:val="Heading5"/>
        <w:rPr>
          <w:i/>
        </w:rPr>
      </w:pPr>
      <w:r>
        <w:rPr>
          <w:i/>
        </w:rPr>
        <w:t>applicable regulatory instruments</w:t>
      </w:r>
    </w:p>
    <w:p>
      <w:pPr>
        <w:spacing w:before="120"/>
        <w:ind w:left="1352" w:right="415" w:firstLine="0"/>
        <w:jc w:val="both"/>
        <w:rPr>
          <w:sz w:val="24"/>
        </w:rPr>
      </w:pPr>
      <w:r>
        <w:rPr>
          <w:sz w:val="24"/>
        </w:rPr>
        <w:t>All laws, regulations, orders, licences, codes, determinations and other regulatory instruments (other than the </w:t>
      </w:r>
      <w:r>
        <w:rPr>
          <w:i/>
          <w:sz w:val="24"/>
        </w:rPr>
        <w:t>Rules</w:t>
      </w:r>
      <w:r>
        <w:rPr>
          <w:sz w:val="24"/>
        </w:rPr>
        <w:t>) which apply to </w:t>
      </w:r>
      <w:r>
        <w:rPr>
          <w:i/>
          <w:sz w:val="24"/>
        </w:rPr>
        <w:t>Registered Participants </w:t>
      </w:r>
      <w:r>
        <w:rPr>
          <w:sz w:val="24"/>
        </w:rPr>
        <w:t>from time to time, including those applicable in each </w:t>
      </w:r>
      <w:r>
        <w:rPr>
          <w:i/>
          <w:sz w:val="24"/>
        </w:rPr>
        <w:t>participating jurisdiction </w:t>
      </w:r>
      <w:r>
        <w:rPr>
          <w:sz w:val="24"/>
        </w:rPr>
        <w:t>as listed below, to the extent that they regulate or contain terms and conditions relating to access to a </w:t>
      </w:r>
      <w:r>
        <w:rPr>
          <w:i/>
          <w:sz w:val="24"/>
        </w:rPr>
        <w:t>network</w:t>
      </w:r>
      <w:r>
        <w:rPr>
          <w:sz w:val="24"/>
        </w:rPr>
        <w:t>, </w:t>
      </w:r>
      <w:r>
        <w:rPr>
          <w:i/>
          <w:sz w:val="24"/>
        </w:rPr>
        <w:t>connection </w:t>
      </w:r>
      <w:r>
        <w:rPr>
          <w:sz w:val="24"/>
        </w:rPr>
        <w:t>to a </w:t>
      </w:r>
      <w:r>
        <w:rPr>
          <w:i/>
          <w:sz w:val="24"/>
        </w:rPr>
        <w:t>network</w:t>
      </w:r>
      <w:r>
        <w:rPr>
          <w:sz w:val="24"/>
        </w:rPr>
        <w:t>, the provision of </w:t>
      </w:r>
      <w:r>
        <w:rPr>
          <w:i/>
          <w:sz w:val="24"/>
        </w:rPr>
        <w:t>network services</w:t>
      </w:r>
      <w:r>
        <w:rPr>
          <w:sz w:val="24"/>
        </w:rPr>
        <w:t>, </w:t>
      </w:r>
      <w:r>
        <w:rPr>
          <w:i/>
          <w:sz w:val="24"/>
        </w:rPr>
        <w:t>network service </w:t>
      </w:r>
      <w:r>
        <w:rPr>
          <w:sz w:val="24"/>
        </w:rPr>
        <w:t>price or </w:t>
      </w:r>
      <w:r>
        <w:rPr>
          <w:i/>
          <w:sz w:val="24"/>
        </w:rPr>
        <w:t>augmentation </w:t>
      </w:r>
      <w:r>
        <w:rPr>
          <w:sz w:val="24"/>
        </w:rPr>
        <w:t>of a </w:t>
      </w:r>
      <w:r>
        <w:rPr>
          <w:i/>
          <w:sz w:val="24"/>
        </w:rPr>
        <w:t>network</w:t>
      </w:r>
      <w:r>
        <w:rPr>
          <w:sz w:val="24"/>
        </w:rPr>
        <w:t>.</w:t>
      </w:r>
    </w:p>
    <w:p>
      <w:pPr>
        <w:pStyle w:val="ListParagraph"/>
        <w:numPr>
          <w:ilvl w:val="0"/>
          <w:numId w:val="711"/>
        </w:numPr>
        <w:tabs>
          <w:tab w:pos="1919" w:val="left" w:leader="none"/>
        </w:tabs>
        <w:spacing w:line="240" w:lineRule="auto" w:before="120" w:after="0"/>
        <w:ind w:left="1918" w:right="0" w:hanging="567"/>
        <w:jc w:val="both"/>
        <w:rPr>
          <w:sz w:val="24"/>
        </w:rPr>
      </w:pPr>
      <w:r>
        <w:rPr>
          <w:sz w:val="24"/>
        </w:rPr>
        <w:t>New South</w:t>
      </w:r>
      <w:r>
        <w:rPr>
          <w:spacing w:val="-2"/>
          <w:sz w:val="24"/>
        </w:rPr>
        <w:t> </w:t>
      </w:r>
      <w:r>
        <w:rPr>
          <w:sz w:val="24"/>
        </w:rPr>
        <w:t>Wales:</w:t>
      </w:r>
    </w:p>
    <w:p>
      <w:pPr>
        <w:pStyle w:val="ListParagraph"/>
        <w:numPr>
          <w:ilvl w:val="1"/>
          <w:numId w:val="711"/>
        </w:numPr>
        <w:tabs>
          <w:tab w:pos="2486" w:val="left" w:leader="none"/>
        </w:tabs>
        <w:spacing w:line="240" w:lineRule="auto" w:before="120" w:after="0"/>
        <w:ind w:left="2485" w:right="0" w:hanging="567"/>
        <w:jc w:val="both"/>
        <w:rPr>
          <w:sz w:val="24"/>
        </w:rPr>
      </w:pPr>
      <w:r>
        <w:rPr>
          <w:sz w:val="24"/>
        </w:rPr>
        <w:t>the </w:t>
      </w:r>
      <w:r>
        <w:rPr>
          <w:i/>
          <w:sz w:val="24"/>
        </w:rPr>
        <w:t>Electricity Supply Act 1995 </w:t>
      </w:r>
      <w:r>
        <w:rPr>
          <w:sz w:val="24"/>
        </w:rPr>
        <w:t>(</w:t>
      </w:r>
      <w:r>
        <w:rPr>
          <w:b/>
          <w:sz w:val="24"/>
        </w:rPr>
        <w:t>ES</w:t>
      </w:r>
      <w:r>
        <w:rPr>
          <w:b/>
          <w:spacing w:val="-2"/>
          <w:sz w:val="24"/>
        </w:rPr>
        <w:t> </w:t>
      </w:r>
      <w:r>
        <w:rPr>
          <w:b/>
          <w:sz w:val="24"/>
        </w:rPr>
        <w:t>Act</w:t>
      </w:r>
      <w:r>
        <w:rPr>
          <w:sz w:val="24"/>
        </w:rPr>
        <w:t>);</w:t>
      </w:r>
    </w:p>
    <w:p>
      <w:pPr>
        <w:pStyle w:val="ListParagraph"/>
        <w:numPr>
          <w:ilvl w:val="1"/>
          <w:numId w:val="711"/>
        </w:numPr>
        <w:tabs>
          <w:tab w:pos="2486" w:val="left" w:leader="none"/>
        </w:tabs>
        <w:spacing w:line="240" w:lineRule="auto" w:before="120" w:after="0"/>
        <w:ind w:left="2485" w:right="0" w:hanging="567"/>
        <w:jc w:val="both"/>
        <w:rPr>
          <w:sz w:val="24"/>
        </w:rPr>
      </w:pPr>
      <w:r>
        <w:rPr>
          <w:sz w:val="24"/>
        </w:rPr>
        <w:t>all regulations made and licences (</w:t>
      </w:r>
      <w:r>
        <w:rPr>
          <w:b/>
          <w:sz w:val="24"/>
        </w:rPr>
        <w:t>Licences</w:t>
      </w:r>
      <w:r>
        <w:rPr>
          <w:sz w:val="24"/>
        </w:rPr>
        <w:t>) issued under the ES</w:t>
      </w:r>
      <w:r>
        <w:rPr>
          <w:spacing w:val="-5"/>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6" w:right="416" w:hanging="567"/>
        <w:jc w:val="left"/>
        <w:rPr>
          <w:sz w:val="24"/>
        </w:rPr>
      </w:pPr>
      <w:r>
        <w:rPr>
          <w:sz w:val="24"/>
        </w:rPr>
        <w:t>the </w:t>
      </w:r>
      <w:r>
        <w:rPr>
          <w:i/>
          <w:sz w:val="24"/>
        </w:rPr>
        <w:t>Independent Pricing and Regulatory Tribunal Act 1992 </w:t>
      </w:r>
      <w:r>
        <w:rPr>
          <w:sz w:val="24"/>
        </w:rPr>
        <w:t>(</w:t>
      </w:r>
      <w:r>
        <w:rPr>
          <w:b/>
          <w:sz w:val="24"/>
        </w:rPr>
        <w:t>IPART 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and determinations made under the IPART</w:t>
      </w:r>
      <w:r>
        <w:rPr>
          <w:spacing w:val="-3"/>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the Licences;</w:t>
      </w:r>
      <w:r>
        <w:rPr>
          <w:spacing w:val="-1"/>
          <w:sz w:val="24"/>
        </w:rPr>
        <w:t> </w:t>
      </w:r>
      <w:r>
        <w:rPr>
          <w:sz w:val="24"/>
        </w:rPr>
        <w:t>and</w:t>
      </w:r>
    </w:p>
    <w:p>
      <w:pPr>
        <w:pStyle w:val="ListParagraph"/>
        <w:numPr>
          <w:ilvl w:val="1"/>
          <w:numId w:val="711"/>
        </w:numPr>
        <w:tabs>
          <w:tab w:pos="2486" w:val="left" w:leader="none"/>
          <w:tab w:pos="2487" w:val="left" w:leader="none"/>
        </w:tabs>
        <w:spacing w:line="240" w:lineRule="auto" w:before="120" w:after="0"/>
        <w:ind w:left="2486" w:right="0" w:hanging="568"/>
        <w:jc w:val="left"/>
        <w:rPr>
          <w:sz w:val="24"/>
        </w:rPr>
      </w:pPr>
      <w:r>
        <w:rPr>
          <w:i/>
          <w:sz w:val="24"/>
        </w:rPr>
        <w:t>Commercial Arbitration Act</w:t>
      </w:r>
      <w:r>
        <w:rPr>
          <w:i/>
          <w:spacing w:val="-3"/>
          <w:sz w:val="24"/>
        </w:rPr>
        <w:t> </w:t>
      </w:r>
      <w:r>
        <w:rPr>
          <w:i/>
          <w:sz w:val="24"/>
        </w:rPr>
        <w:t>2010</w:t>
      </w:r>
      <w:r>
        <w:rPr>
          <w:sz w:val="24"/>
        </w:rPr>
        <w:t>.</w:t>
      </w:r>
    </w:p>
    <w:p>
      <w:pPr>
        <w:pStyle w:val="ListParagraph"/>
        <w:numPr>
          <w:ilvl w:val="0"/>
          <w:numId w:val="711"/>
        </w:numPr>
        <w:tabs>
          <w:tab w:pos="1918" w:val="left" w:leader="none"/>
          <w:tab w:pos="1919" w:val="left" w:leader="none"/>
        </w:tabs>
        <w:spacing w:line="240" w:lineRule="auto" w:before="120" w:after="0"/>
        <w:ind w:left="1918" w:right="0" w:hanging="567"/>
        <w:jc w:val="left"/>
        <w:rPr>
          <w:sz w:val="24"/>
        </w:rPr>
      </w:pPr>
      <w:r>
        <w:rPr>
          <w:sz w:val="24"/>
        </w:rPr>
        <w:t>Victoria:</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Industry Act 2000 </w:t>
      </w:r>
      <w:r>
        <w:rPr>
          <w:sz w:val="24"/>
        </w:rPr>
        <w:t>(</w:t>
      </w:r>
      <w:r>
        <w:rPr>
          <w:b/>
          <w:sz w:val="24"/>
        </w:rPr>
        <w:t>EI</w:t>
      </w:r>
      <w:r>
        <w:rPr>
          <w:b/>
          <w:spacing w:val="-1"/>
          <w:sz w:val="24"/>
        </w:rPr>
        <w:t> </w:t>
      </w:r>
      <w:r>
        <w:rPr>
          <w:b/>
          <w:sz w:val="24"/>
        </w:rPr>
        <w:t>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made and licences (</w:t>
      </w:r>
      <w:r>
        <w:rPr>
          <w:b/>
          <w:sz w:val="24"/>
        </w:rPr>
        <w:t>Licences</w:t>
      </w:r>
      <w:r>
        <w:rPr>
          <w:sz w:val="24"/>
        </w:rPr>
        <w:t>) issued under the EI</w:t>
      </w:r>
      <w:r>
        <w:rPr>
          <w:spacing w:val="-5"/>
          <w:sz w:val="24"/>
        </w:rPr>
        <w:t> </w:t>
      </w:r>
      <w:r>
        <w:rPr>
          <w:sz w:val="24"/>
        </w:rPr>
        <w:t>Act;</w:t>
      </w:r>
    </w:p>
    <w:p>
      <w:pPr>
        <w:spacing w:after="0" w:line="240" w:lineRule="auto"/>
        <w:jc w:val="left"/>
        <w:rPr>
          <w:sz w:val="24"/>
        </w:rPr>
        <w:sectPr>
          <w:pgSz w:w="11910" w:h="16840"/>
          <w:pgMar w:header="686" w:footer="637" w:top="1320" w:bottom="820" w:left="1200" w:right="1000"/>
        </w:sectPr>
      </w:pPr>
    </w:p>
    <w:p>
      <w:pPr>
        <w:pStyle w:val="ListParagraph"/>
        <w:numPr>
          <w:ilvl w:val="1"/>
          <w:numId w:val="711"/>
        </w:numPr>
        <w:tabs>
          <w:tab w:pos="2485" w:val="left" w:leader="none"/>
          <w:tab w:pos="2486" w:val="left" w:leader="none"/>
        </w:tabs>
        <w:spacing w:line="240" w:lineRule="auto" w:before="83" w:after="0"/>
        <w:ind w:left="2485" w:right="0" w:hanging="567"/>
        <w:jc w:val="left"/>
        <w:rPr>
          <w:sz w:val="24"/>
        </w:rPr>
      </w:pPr>
      <w:r>
        <w:rPr>
          <w:sz w:val="24"/>
        </w:rPr>
        <w:t>the </w:t>
      </w:r>
      <w:r>
        <w:rPr>
          <w:i/>
          <w:sz w:val="24"/>
        </w:rPr>
        <w:t>Essential Services Commission Act 2001 </w:t>
      </w:r>
      <w:r>
        <w:rPr>
          <w:sz w:val="24"/>
        </w:rPr>
        <w:t>(</w:t>
      </w:r>
      <w:r>
        <w:rPr>
          <w:b/>
          <w:sz w:val="24"/>
        </w:rPr>
        <w:t>ESCV</w:t>
      </w:r>
      <w:r>
        <w:rPr>
          <w:b/>
          <w:spacing w:val="-3"/>
          <w:sz w:val="24"/>
        </w:rPr>
        <w:t> </w:t>
      </w:r>
      <w:r>
        <w:rPr>
          <w:b/>
          <w:sz w:val="24"/>
        </w:rPr>
        <w:t>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and determinations made under the ESCV</w:t>
      </w:r>
      <w:r>
        <w:rPr>
          <w:spacing w:val="-3"/>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the Licences;</w:t>
      </w:r>
      <w:r>
        <w:rPr>
          <w:spacing w:val="-1"/>
          <w:sz w:val="24"/>
        </w:rPr>
        <w:t> </w:t>
      </w:r>
      <w:r>
        <w:rPr>
          <w:sz w:val="24"/>
        </w:rPr>
        <w:t>and</w:t>
      </w:r>
    </w:p>
    <w:p>
      <w:pPr>
        <w:pStyle w:val="ListParagraph"/>
        <w:numPr>
          <w:ilvl w:val="1"/>
          <w:numId w:val="711"/>
        </w:numPr>
        <w:tabs>
          <w:tab w:pos="2487" w:val="left" w:leader="none"/>
        </w:tabs>
        <w:spacing w:line="240" w:lineRule="auto" w:before="120" w:after="0"/>
        <w:ind w:left="2486" w:right="414" w:hanging="567"/>
        <w:jc w:val="both"/>
        <w:rPr>
          <w:sz w:val="24"/>
        </w:rPr>
      </w:pPr>
      <w:r>
        <w:rPr>
          <w:sz w:val="24"/>
        </w:rPr>
        <w:t>the Tariff Order made under section 158A(1) of the </w:t>
      </w:r>
      <w:r>
        <w:rPr>
          <w:i/>
          <w:sz w:val="24"/>
        </w:rPr>
        <w:t>Electricity </w:t>
      </w:r>
      <w:r>
        <w:rPr>
          <w:i/>
          <w:sz w:val="24"/>
        </w:rPr>
        <w:t>Industry Act 1993 </w:t>
      </w:r>
      <w:r>
        <w:rPr>
          <w:sz w:val="24"/>
        </w:rPr>
        <w:t>and continued in effect by clause 6(1) of Schedule 4 to the </w:t>
      </w:r>
      <w:r>
        <w:rPr>
          <w:i/>
          <w:sz w:val="24"/>
        </w:rPr>
        <w:t>Electricity Industry (Residual Provisions) Act 1993</w:t>
      </w:r>
      <w:r>
        <w:rPr>
          <w:sz w:val="24"/>
        </w:rPr>
        <w:t>, as amended or varied in accordance with section 14 of the EI</w:t>
      </w:r>
      <w:r>
        <w:rPr>
          <w:spacing w:val="-7"/>
          <w:sz w:val="24"/>
        </w:rPr>
        <w:t> </w:t>
      </w:r>
      <w:r>
        <w:rPr>
          <w:sz w:val="24"/>
        </w:rPr>
        <w:t>Act.</w:t>
      </w:r>
    </w:p>
    <w:p>
      <w:pPr>
        <w:pStyle w:val="ListParagraph"/>
        <w:numPr>
          <w:ilvl w:val="0"/>
          <w:numId w:val="711"/>
        </w:numPr>
        <w:tabs>
          <w:tab w:pos="1919" w:val="left" w:leader="none"/>
        </w:tabs>
        <w:spacing w:line="240" w:lineRule="auto" w:before="120" w:after="0"/>
        <w:ind w:left="1918" w:right="0" w:hanging="567"/>
        <w:jc w:val="both"/>
        <w:rPr>
          <w:sz w:val="24"/>
        </w:rPr>
      </w:pPr>
      <w:r>
        <w:rPr>
          <w:sz w:val="24"/>
        </w:rPr>
        <w:t>South</w:t>
      </w:r>
      <w:r>
        <w:rPr>
          <w:spacing w:val="-1"/>
          <w:sz w:val="24"/>
        </w:rPr>
        <w:t> </w:t>
      </w:r>
      <w:r>
        <w:rPr>
          <w:sz w:val="24"/>
        </w:rPr>
        <w:t>Australia:</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Act</w:t>
      </w:r>
      <w:r>
        <w:rPr>
          <w:i/>
          <w:spacing w:val="-1"/>
          <w:sz w:val="24"/>
        </w:rPr>
        <w:t> </w:t>
      </w:r>
      <w:r>
        <w:rPr>
          <w:i/>
          <w:sz w:val="24"/>
        </w:rPr>
        <w:t>1996</w:t>
      </w:r>
      <w:r>
        <w:rPr>
          <w:sz w:val="24"/>
        </w:rPr>
        <w:t>;</w:t>
      </w:r>
    </w:p>
    <w:p>
      <w:pPr>
        <w:pStyle w:val="ListParagraph"/>
        <w:numPr>
          <w:ilvl w:val="1"/>
          <w:numId w:val="711"/>
        </w:numPr>
        <w:tabs>
          <w:tab w:pos="2485" w:val="left" w:leader="none"/>
          <w:tab w:pos="2486" w:val="left" w:leader="none"/>
        </w:tabs>
        <w:spacing w:line="240" w:lineRule="auto" w:before="120" w:after="0"/>
        <w:ind w:left="2486" w:right="415" w:hanging="567"/>
        <w:jc w:val="left"/>
        <w:rPr>
          <w:sz w:val="24"/>
        </w:rPr>
      </w:pPr>
      <w:r>
        <w:rPr>
          <w:sz w:val="24"/>
        </w:rPr>
        <w:t>all regulations made and licences (</w:t>
      </w:r>
      <w:r>
        <w:rPr>
          <w:b/>
          <w:sz w:val="24"/>
        </w:rPr>
        <w:t>Licences</w:t>
      </w:r>
      <w:r>
        <w:rPr>
          <w:sz w:val="24"/>
        </w:rPr>
        <w:t>) issued under the Electricity</w:t>
      </w:r>
      <w:r>
        <w:rPr>
          <w:spacing w:val="-1"/>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Essential Services Commission Act 2002 </w:t>
      </w:r>
      <w:r>
        <w:rPr>
          <w:sz w:val="24"/>
        </w:rPr>
        <w:t>(</w:t>
      </w:r>
      <w:r>
        <w:rPr>
          <w:b/>
          <w:sz w:val="24"/>
        </w:rPr>
        <w:t>ESCSA</w:t>
      </w:r>
      <w:r>
        <w:rPr>
          <w:b/>
          <w:spacing w:val="-4"/>
          <w:sz w:val="24"/>
        </w:rPr>
        <w:t> </w:t>
      </w:r>
      <w:r>
        <w:rPr>
          <w:b/>
          <w:sz w:val="24"/>
        </w:rPr>
        <w:t>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and determinations made under the ESCSA</w:t>
      </w:r>
      <w:r>
        <w:rPr>
          <w:spacing w:val="-3"/>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the Licences;</w:t>
      </w:r>
      <w:r>
        <w:rPr>
          <w:spacing w:val="-1"/>
          <w:sz w:val="24"/>
        </w:rPr>
        <w:t> </w:t>
      </w:r>
      <w:r>
        <w:rPr>
          <w:sz w:val="24"/>
        </w:rPr>
        <w:t>and</w:t>
      </w:r>
    </w:p>
    <w:p>
      <w:pPr>
        <w:pStyle w:val="ListParagraph"/>
        <w:numPr>
          <w:ilvl w:val="1"/>
          <w:numId w:val="711"/>
        </w:numPr>
        <w:tabs>
          <w:tab w:pos="2486" w:val="left" w:leader="none"/>
          <w:tab w:pos="2487" w:val="left" w:leader="none"/>
        </w:tabs>
        <w:spacing w:line="240" w:lineRule="auto" w:before="120" w:after="0"/>
        <w:ind w:left="2486" w:right="417" w:hanging="567"/>
        <w:jc w:val="left"/>
        <w:rPr>
          <w:sz w:val="24"/>
        </w:rPr>
      </w:pPr>
      <w:r>
        <w:rPr>
          <w:sz w:val="24"/>
        </w:rPr>
        <w:t>the Electricity Pricing Order made under section 35B of the Electricity Act.</w:t>
      </w:r>
    </w:p>
    <w:p>
      <w:pPr>
        <w:pStyle w:val="ListParagraph"/>
        <w:numPr>
          <w:ilvl w:val="0"/>
          <w:numId w:val="711"/>
        </w:numPr>
        <w:tabs>
          <w:tab w:pos="566" w:val="left" w:leader="none"/>
          <w:tab w:pos="1919" w:val="left" w:leader="none"/>
        </w:tabs>
        <w:spacing w:line="240" w:lineRule="auto" w:before="120" w:after="0"/>
        <w:ind w:left="1918" w:right="5039" w:hanging="1919"/>
        <w:jc w:val="right"/>
        <w:rPr>
          <w:sz w:val="24"/>
        </w:rPr>
      </w:pPr>
      <w:r>
        <w:rPr>
          <w:sz w:val="24"/>
        </w:rPr>
        <w:t>Australian Capital</w:t>
      </w:r>
      <w:r>
        <w:rPr>
          <w:spacing w:val="-2"/>
          <w:sz w:val="24"/>
        </w:rPr>
        <w:t> </w:t>
      </w:r>
      <w:r>
        <w:rPr>
          <w:sz w:val="24"/>
        </w:rPr>
        <w:t>Territory:</w:t>
      </w:r>
    </w:p>
    <w:p>
      <w:pPr>
        <w:pStyle w:val="ListParagraph"/>
        <w:numPr>
          <w:ilvl w:val="1"/>
          <w:numId w:val="711"/>
        </w:numPr>
        <w:tabs>
          <w:tab w:pos="566" w:val="left" w:leader="none"/>
          <w:tab w:pos="567" w:val="left" w:leader="none"/>
        </w:tabs>
        <w:spacing w:line="240" w:lineRule="auto" w:before="120" w:after="0"/>
        <w:ind w:left="2485" w:right="5105" w:hanging="2486"/>
        <w:jc w:val="right"/>
        <w:rPr>
          <w:sz w:val="24"/>
        </w:rPr>
      </w:pPr>
      <w:r>
        <w:rPr>
          <w:sz w:val="24"/>
        </w:rPr>
        <w:t>the </w:t>
      </w:r>
      <w:r>
        <w:rPr>
          <w:i/>
          <w:sz w:val="24"/>
        </w:rPr>
        <w:t>Utilities Act</w:t>
      </w:r>
      <w:r>
        <w:rPr>
          <w:i/>
          <w:spacing w:val="-6"/>
          <w:sz w:val="24"/>
        </w:rPr>
        <w:t> </w:t>
      </w:r>
      <w:r>
        <w:rPr>
          <w:i/>
          <w:sz w:val="24"/>
        </w:rPr>
        <w:t>2000</w:t>
      </w:r>
      <w:r>
        <w:rPr>
          <w:sz w:val="24"/>
        </w:rPr>
        <w:t>;</w:t>
      </w:r>
    </w:p>
    <w:p>
      <w:pPr>
        <w:pStyle w:val="ListParagraph"/>
        <w:numPr>
          <w:ilvl w:val="1"/>
          <w:numId w:val="711"/>
        </w:numPr>
        <w:tabs>
          <w:tab w:pos="2485" w:val="left" w:leader="none"/>
          <w:tab w:pos="2486" w:val="left" w:leader="none"/>
        </w:tabs>
        <w:spacing w:line="240" w:lineRule="auto" w:before="120" w:after="0"/>
        <w:ind w:left="2486" w:right="414" w:hanging="567"/>
        <w:jc w:val="left"/>
        <w:rPr>
          <w:sz w:val="24"/>
        </w:rPr>
      </w:pPr>
      <w:r>
        <w:rPr>
          <w:sz w:val="24"/>
        </w:rPr>
        <w:t>all regulations made and licences (</w:t>
      </w:r>
      <w:r>
        <w:rPr>
          <w:b/>
          <w:sz w:val="24"/>
        </w:rPr>
        <w:t>Licences</w:t>
      </w:r>
      <w:r>
        <w:rPr>
          <w:sz w:val="24"/>
        </w:rPr>
        <w:t>) issued under the Utilities Act;</w:t>
      </w:r>
    </w:p>
    <w:p>
      <w:pPr>
        <w:pStyle w:val="ListParagraph"/>
        <w:numPr>
          <w:ilvl w:val="1"/>
          <w:numId w:val="711"/>
        </w:numPr>
        <w:tabs>
          <w:tab w:pos="2485" w:val="left" w:leader="none"/>
          <w:tab w:pos="2486" w:val="left" w:leader="none"/>
        </w:tabs>
        <w:spacing w:line="240" w:lineRule="auto" w:before="120" w:after="0"/>
        <w:ind w:left="2485" w:right="0" w:hanging="567"/>
        <w:jc w:val="left"/>
        <w:rPr>
          <w:i/>
          <w:sz w:val="24"/>
        </w:rPr>
      </w:pPr>
      <w:r>
        <w:rPr>
          <w:sz w:val="24"/>
        </w:rPr>
        <w:t>the</w:t>
      </w:r>
      <w:r>
        <w:rPr>
          <w:spacing w:val="42"/>
          <w:sz w:val="24"/>
        </w:rPr>
        <w:t> </w:t>
      </w:r>
      <w:r>
        <w:rPr>
          <w:i/>
          <w:sz w:val="24"/>
        </w:rPr>
        <w:t>Independent</w:t>
      </w:r>
      <w:r>
        <w:rPr>
          <w:i/>
          <w:spacing w:val="42"/>
          <w:sz w:val="24"/>
        </w:rPr>
        <w:t> </w:t>
      </w:r>
      <w:r>
        <w:rPr>
          <w:i/>
          <w:sz w:val="24"/>
        </w:rPr>
        <w:t>Competition</w:t>
      </w:r>
      <w:r>
        <w:rPr>
          <w:i/>
          <w:spacing w:val="43"/>
          <w:sz w:val="24"/>
        </w:rPr>
        <w:t> </w:t>
      </w:r>
      <w:r>
        <w:rPr>
          <w:i/>
          <w:sz w:val="24"/>
        </w:rPr>
        <w:t>and</w:t>
      </w:r>
      <w:r>
        <w:rPr>
          <w:i/>
          <w:spacing w:val="42"/>
          <w:sz w:val="24"/>
        </w:rPr>
        <w:t> </w:t>
      </w:r>
      <w:r>
        <w:rPr>
          <w:i/>
          <w:sz w:val="24"/>
        </w:rPr>
        <w:t>Regulatory</w:t>
      </w:r>
      <w:r>
        <w:rPr>
          <w:i/>
          <w:spacing w:val="42"/>
          <w:sz w:val="24"/>
        </w:rPr>
        <w:t> </w:t>
      </w:r>
      <w:r>
        <w:rPr>
          <w:i/>
          <w:sz w:val="24"/>
        </w:rPr>
        <w:t>Commission</w:t>
      </w:r>
      <w:r>
        <w:rPr>
          <w:i/>
          <w:spacing w:val="43"/>
          <w:sz w:val="24"/>
        </w:rPr>
        <w:t> </w:t>
      </w:r>
      <w:r>
        <w:rPr>
          <w:i/>
          <w:sz w:val="24"/>
        </w:rPr>
        <w:t>Act</w:t>
      </w:r>
      <w:r>
        <w:rPr>
          <w:i/>
          <w:spacing w:val="42"/>
          <w:sz w:val="24"/>
        </w:rPr>
        <w:t> </w:t>
      </w:r>
      <w:r>
        <w:rPr>
          <w:i/>
          <w:sz w:val="24"/>
        </w:rPr>
        <w:t>1997</w:t>
      </w:r>
    </w:p>
    <w:p>
      <w:pPr>
        <w:spacing w:before="0"/>
        <w:ind w:left="2486" w:right="0" w:firstLine="0"/>
        <w:jc w:val="left"/>
        <w:rPr>
          <w:sz w:val="24"/>
        </w:rPr>
      </w:pPr>
      <w:r>
        <w:rPr>
          <w:sz w:val="24"/>
        </w:rPr>
        <w:t>(</w:t>
      </w:r>
      <w:r>
        <w:rPr>
          <w:b/>
          <w:sz w:val="24"/>
        </w:rPr>
        <w:t>ICRC 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and determinations made under the ICRC Act;</w:t>
      </w:r>
      <w:r>
        <w:rPr>
          <w:spacing w:val="-4"/>
          <w:sz w:val="24"/>
        </w:rPr>
        <w:t> </w:t>
      </w:r>
      <w:r>
        <w:rPr>
          <w:sz w:val="24"/>
        </w:rPr>
        <w:t>and</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the</w:t>
      </w:r>
      <w:r>
        <w:rPr>
          <w:spacing w:val="-1"/>
          <w:sz w:val="24"/>
        </w:rPr>
        <w:t> </w:t>
      </w:r>
      <w:r>
        <w:rPr>
          <w:sz w:val="24"/>
        </w:rPr>
        <w:t>Licences.</w:t>
      </w:r>
    </w:p>
    <w:p>
      <w:pPr>
        <w:pStyle w:val="ListParagraph"/>
        <w:numPr>
          <w:ilvl w:val="0"/>
          <w:numId w:val="711"/>
        </w:numPr>
        <w:tabs>
          <w:tab w:pos="1918" w:val="left" w:leader="none"/>
          <w:tab w:pos="1919" w:val="left" w:leader="none"/>
        </w:tabs>
        <w:spacing w:line="240" w:lineRule="auto" w:before="120" w:after="0"/>
        <w:ind w:left="1918" w:right="0" w:hanging="567"/>
        <w:jc w:val="left"/>
        <w:rPr>
          <w:sz w:val="24"/>
        </w:rPr>
      </w:pPr>
      <w:r>
        <w:rPr>
          <w:sz w:val="24"/>
        </w:rPr>
        <w:t>Queensland:</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Act</w:t>
      </w:r>
      <w:r>
        <w:rPr>
          <w:i/>
          <w:spacing w:val="-1"/>
          <w:sz w:val="24"/>
        </w:rPr>
        <w:t> </w:t>
      </w:r>
      <w:r>
        <w:rPr>
          <w:i/>
          <w:sz w:val="24"/>
        </w:rPr>
        <w:t>1994</w:t>
      </w:r>
      <w:r>
        <w:rPr>
          <w:sz w:val="24"/>
        </w:rPr>
        <w:t>;</w:t>
      </w:r>
    </w:p>
    <w:p>
      <w:pPr>
        <w:pStyle w:val="ListParagraph"/>
        <w:numPr>
          <w:ilvl w:val="1"/>
          <w:numId w:val="711"/>
        </w:numPr>
        <w:tabs>
          <w:tab w:pos="2485" w:val="left" w:leader="none"/>
          <w:tab w:pos="2486" w:val="left" w:leader="none"/>
        </w:tabs>
        <w:spacing w:line="240" w:lineRule="auto" w:before="120" w:after="0"/>
        <w:ind w:left="2486" w:right="415" w:hanging="567"/>
        <w:jc w:val="left"/>
        <w:rPr>
          <w:sz w:val="24"/>
        </w:rPr>
      </w:pPr>
      <w:r>
        <w:rPr>
          <w:sz w:val="24"/>
        </w:rPr>
        <w:t>all regulations made and authorities and special approvals (</w:t>
      </w:r>
      <w:r>
        <w:rPr>
          <w:b/>
          <w:sz w:val="24"/>
        </w:rPr>
        <w:t>Licences</w:t>
      </w:r>
      <w:r>
        <w:rPr>
          <w:sz w:val="24"/>
        </w:rPr>
        <w:t>) granted under the Electricity</w:t>
      </w:r>
      <w:r>
        <w:rPr>
          <w:spacing w:val="-1"/>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Queensland Competition Authority Act 1997 </w:t>
      </w:r>
      <w:r>
        <w:rPr>
          <w:sz w:val="24"/>
        </w:rPr>
        <w:t>(</w:t>
      </w:r>
      <w:r>
        <w:rPr>
          <w:b/>
          <w:sz w:val="24"/>
        </w:rPr>
        <w:t>QCA</w:t>
      </w:r>
      <w:r>
        <w:rPr>
          <w:b/>
          <w:spacing w:val="-4"/>
          <w:sz w:val="24"/>
        </w:rPr>
        <w:t> </w:t>
      </w:r>
      <w:r>
        <w:rPr>
          <w:b/>
          <w:sz w:val="24"/>
        </w:rPr>
        <w:t>Act</w:t>
      </w:r>
      <w:r>
        <w:rPr>
          <w:sz w:val="24"/>
        </w:rPr>
        <w: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regulations and determinations made under the QCA</w:t>
      </w:r>
      <w:r>
        <w:rPr>
          <w:spacing w:val="-10"/>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all regulatory instruments applicable under the Licences;</w:t>
      </w:r>
      <w:r>
        <w:rPr>
          <w:spacing w:val="-4"/>
          <w:sz w:val="24"/>
        </w:rPr>
        <w:t> </w:t>
      </w:r>
      <w:r>
        <w:rPr>
          <w:sz w:val="24"/>
        </w:rPr>
        <w:t>and</w:t>
      </w:r>
    </w:p>
    <w:p>
      <w:pPr>
        <w:pStyle w:val="ListParagraph"/>
        <w:numPr>
          <w:ilvl w:val="1"/>
          <w:numId w:val="711"/>
        </w:numPr>
        <w:tabs>
          <w:tab w:pos="2486" w:val="left" w:leader="none"/>
          <w:tab w:pos="2487" w:val="left" w:leader="none"/>
        </w:tabs>
        <w:spacing w:line="240" w:lineRule="auto" w:before="120" w:after="0"/>
        <w:ind w:left="2486" w:right="415" w:hanging="567"/>
        <w:jc w:val="left"/>
        <w:rPr>
          <w:sz w:val="24"/>
        </w:rPr>
      </w:pPr>
      <w:r>
        <w:rPr>
          <w:sz w:val="24"/>
        </w:rPr>
        <w:t>the </w:t>
      </w:r>
      <w:r>
        <w:rPr>
          <w:i/>
          <w:sz w:val="24"/>
        </w:rPr>
        <w:t>Gladstone Power Station Agreement Act 1993 </w:t>
      </w:r>
      <w:r>
        <w:rPr>
          <w:sz w:val="24"/>
        </w:rPr>
        <w:t>and associated agreements.</w:t>
      </w:r>
    </w:p>
    <w:p>
      <w:pPr>
        <w:pStyle w:val="ListParagraph"/>
        <w:numPr>
          <w:ilvl w:val="0"/>
          <w:numId w:val="711"/>
        </w:numPr>
        <w:tabs>
          <w:tab w:pos="1918" w:val="left" w:leader="none"/>
          <w:tab w:pos="1919" w:val="left" w:leader="none"/>
        </w:tabs>
        <w:spacing w:line="240" w:lineRule="auto" w:before="120" w:after="0"/>
        <w:ind w:left="1918" w:right="0" w:hanging="567"/>
        <w:jc w:val="left"/>
        <w:rPr>
          <w:sz w:val="24"/>
        </w:rPr>
      </w:pPr>
      <w:r>
        <w:rPr>
          <w:sz w:val="24"/>
        </w:rPr>
        <w:t>Tasmania:</w:t>
      </w:r>
    </w:p>
    <w:p>
      <w:pPr>
        <w:pStyle w:val="ListParagraph"/>
        <w:numPr>
          <w:ilvl w:val="1"/>
          <w:numId w:val="711"/>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Supply Industry Act</w:t>
      </w:r>
      <w:r>
        <w:rPr>
          <w:i/>
          <w:spacing w:val="-3"/>
          <w:sz w:val="24"/>
        </w:rPr>
        <w:t> </w:t>
      </w:r>
      <w:r>
        <w:rPr>
          <w:i/>
          <w:sz w:val="24"/>
        </w:rPr>
        <w:t>1995</w:t>
      </w:r>
      <w:r>
        <w:rPr>
          <w:sz w:val="24"/>
        </w:rPr>
        <w:t>;</w:t>
      </w:r>
    </w:p>
    <w:p>
      <w:pPr>
        <w:pStyle w:val="ListParagraph"/>
        <w:numPr>
          <w:ilvl w:val="1"/>
          <w:numId w:val="711"/>
        </w:numPr>
        <w:tabs>
          <w:tab w:pos="2485" w:val="left" w:leader="none"/>
          <w:tab w:pos="2486" w:val="left" w:leader="none"/>
        </w:tabs>
        <w:spacing w:line="240" w:lineRule="auto" w:before="120" w:after="0"/>
        <w:ind w:left="2486" w:right="415" w:hanging="567"/>
        <w:jc w:val="left"/>
        <w:rPr>
          <w:sz w:val="24"/>
        </w:rPr>
      </w:pPr>
      <w:r>
        <w:rPr>
          <w:sz w:val="24"/>
        </w:rPr>
        <w:t>all regulations made and licences (</w:t>
      </w:r>
      <w:r>
        <w:rPr>
          <w:b/>
          <w:sz w:val="24"/>
        </w:rPr>
        <w:t>Licences</w:t>
      </w:r>
      <w:r>
        <w:rPr>
          <w:sz w:val="24"/>
        </w:rPr>
        <w:t>) issued under the Electricity Supply Industry</w:t>
      </w:r>
      <w:r>
        <w:rPr>
          <w:spacing w:val="-2"/>
          <w:sz w:val="24"/>
        </w:rPr>
        <w:t> </w:t>
      </w:r>
      <w:r>
        <w:rPr>
          <w:sz w:val="24"/>
        </w:rPr>
        <w:t>Act;</w:t>
      </w:r>
    </w:p>
    <w:p>
      <w:pPr>
        <w:pStyle w:val="ListParagraph"/>
        <w:numPr>
          <w:ilvl w:val="1"/>
          <w:numId w:val="711"/>
        </w:numPr>
        <w:tabs>
          <w:tab w:pos="2485" w:val="left" w:leader="none"/>
          <w:tab w:pos="2486" w:val="left" w:leader="none"/>
        </w:tabs>
        <w:spacing w:line="240" w:lineRule="auto" w:before="120" w:after="0"/>
        <w:ind w:left="2486" w:right="414" w:hanging="567"/>
        <w:jc w:val="left"/>
        <w:rPr>
          <w:sz w:val="24"/>
        </w:rPr>
      </w:pPr>
      <w:r>
        <w:rPr>
          <w:sz w:val="24"/>
        </w:rPr>
        <w:t>all regulatory instruments under the Electricity Supply Industry Act or the</w:t>
      </w:r>
      <w:r>
        <w:rPr>
          <w:spacing w:val="16"/>
          <w:sz w:val="24"/>
        </w:rPr>
        <w:t> </w:t>
      </w:r>
      <w:r>
        <w:rPr>
          <w:sz w:val="24"/>
        </w:rPr>
        <w:t>Licences</w:t>
      </w:r>
      <w:r>
        <w:rPr>
          <w:spacing w:val="16"/>
          <w:sz w:val="24"/>
        </w:rPr>
        <w:t> </w:t>
      </w:r>
      <w:r>
        <w:rPr>
          <w:sz w:val="24"/>
        </w:rPr>
        <w:t>(including,</w:t>
      </w:r>
      <w:r>
        <w:rPr>
          <w:spacing w:val="16"/>
          <w:sz w:val="24"/>
        </w:rPr>
        <w:t> </w:t>
      </w:r>
      <w:r>
        <w:rPr>
          <w:sz w:val="24"/>
        </w:rPr>
        <w:t>without</w:t>
      </w:r>
      <w:r>
        <w:rPr>
          <w:spacing w:val="17"/>
          <w:sz w:val="24"/>
        </w:rPr>
        <w:t> </w:t>
      </w:r>
      <w:r>
        <w:rPr>
          <w:sz w:val="24"/>
        </w:rPr>
        <w:t>limitation,</w:t>
      </w:r>
      <w:r>
        <w:rPr>
          <w:spacing w:val="16"/>
          <w:sz w:val="24"/>
        </w:rPr>
        <w:t> </w:t>
      </w:r>
      <w:r>
        <w:rPr>
          <w:sz w:val="24"/>
        </w:rPr>
        <w:t>determinations</w:t>
      </w:r>
      <w:r>
        <w:rPr>
          <w:spacing w:val="16"/>
          <w:sz w:val="24"/>
        </w:rPr>
        <w:t> </w:t>
      </w:r>
      <w:r>
        <w:rPr>
          <w:sz w:val="24"/>
        </w:rPr>
        <w:t>of</w:t>
      </w:r>
      <w:r>
        <w:rPr>
          <w:spacing w:val="17"/>
          <w:sz w:val="24"/>
        </w:rPr>
        <w:t> </w:t>
      </w:r>
      <w:r>
        <w:rPr>
          <w:sz w:val="24"/>
        </w:rPr>
        <w:t>the</w:t>
      </w:r>
    </w:p>
    <w:p>
      <w:pPr>
        <w:spacing w:after="0" w:line="240" w:lineRule="auto"/>
        <w:jc w:val="left"/>
        <w:rPr>
          <w:sz w:val="24"/>
        </w:rPr>
        <w:sectPr>
          <w:pgSz w:w="11910" w:h="16840"/>
          <w:pgMar w:header="686" w:footer="637" w:top="1320" w:bottom="820" w:left="1200" w:right="1000"/>
        </w:sectPr>
      </w:pPr>
    </w:p>
    <w:p>
      <w:pPr>
        <w:spacing w:before="83"/>
        <w:ind w:left="2486" w:right="0" w:firstLine="0"/>
        <w:jc w:val="left"/>
        <w:rPr>
          <w:sz w:val="24"/>
        </w:rPr>
      </w:pPr>
      <w:r>
        <w:rPr>
          <w:sz w:val="24"/>
        </w:rPr>
        <w:t>Tasmanian Electricity Regulator under the </w:t>
      </w:r>
      <w:r>
        <w:rPr>
          <w:i/>
          <w:sz w:val="24"/>
        </w:rPr>
        <w:t>Electricity Supply Industry </w:t>
      </w:r>
      <w:r>
        <w:rPr>
          <w:i/>
          <w:sz w:val="24"/>
        </w:rPr>
        <w:t>(Price Control) Regulations</w:t>
      </w:r>
      <w:r>
        <w:rPr>
          <w:sz w:val="24"/>
        </w:rPr>
        <w:t>); and</w:t>
      </w:r>
    </w:p>
    <w:p>
      <w:pPr>
        <w:pStyle w:val="ListParagraph"/>
        <w:numPr>
          <w:ilvl w:val="1"/>
          <w:numId w:val="711"/>
        </w:numPr>
        <w:tabs>
          <w:tab w:pos="2485" w:val="left" w:leader="none"/>
          <w:tab w:pos="2486" w:val="left" w:leader="none"/>
        </w:tabs>
        <w:spacing w:line="240" w:lineRule="auto" w:before="120" w:after="0"/>
        <w:ind w:left="2486" w:right="416" w:hanging="567"/>
        <w:jc w:val="left"/>
        <w:rPr>
          <w:sz w:val="24"/>
        </w:rPr>
      </w:pPr>
      <w:r>
        <w:rPr>
          <w:sz w:val="24"/>
        </w:rPr>
        <w:t>the Tasmanian Electricity Code issued under section 49A of the Electricity Supply Industry</w:t>
      </w:r>
      <w:r>
        <w:rPr>
          <w:spacing w:val="-2"/>
          <w:sz w:val="24"/>
        </w:rPr>
        <w:t> </w:t>
      </w:r>
      <w:r>
        <w:rPr>
          <w:sz w:val="24"/>
        </w:rPr>
        <w:t>Act.</w:t>
      </w:r>
    </w:p>
    <w:p>
      <w:pPr>
        <w:pStyle w:val="BodyText"/>
        <w:ind w:left="1352" w:firstLine="0"/>
        <w:jc w:val="left"/>
      </w:pPr>
      <w:r>
        <w:rPr/>
        <w:t>(6A) Northern Territory:</w:t>
      </w:r>
    </w:p>
    <w:p>
      <w:pPr>
        <w:pStyle w:val="ListParagraph"/>
        <w:numPr>
          <w:ilvl w:val="0"/>
          <w:numId w:val="71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Electricity Reform Act</w:t>
      </w:r>
      <w:r>
        <w:rPr>
          <w:i/>
          <w:spacing w:val="-1"/>
          <w:sz w:val="24"/>
        </w:rPr>
        <w:t> </w:t>
      </w:r>
      <w:r>
        <w:rPr>
          <w:sz w:val="24"/>
        </w:rPr>
        <w:t>(NT);</w:t>
      </w:r>
    </w:p>
    <w:p>
      <w:pPr>
        <w:pStyle w:val="ListParagraph"/>
        <w:numPr>
          <w:ilvl w:val="0"/>
          <w:numId w:val="712"/>
        </w:numPr>
        <w:tabs>
          <w:tab w:pos="2485" w:val="left" w:leader="none"/>
          <w:tab w:pos="2486" w:val="left" w:leader="none"/>
        </w:tabs>
        <w:spacing w:line="240" w:lineRule="auto" w:before="120" w:after="0"/>
        <w:ind w:left="2486" w:right="415" w:hanging="567"/>
        <w:jc w:val="left"/>
        <w:rPr>
          <w:sz w:val="24"/>
        </w:rPr>
      </w:pPr>
      <w:r>
        <w:rPr>
          <w:sz w:val="24"/>
        </w:rPr>
        <w:t>all instruments made and licences granted under the </w:t>
      </w:r>
      <w:r>
        <w:rPr>
          <w:i/>
          <w:sz w:val="24"/>
        </w:rPr>
        <w:t>Electricity  </w:t>
      </w:r>
      <w:r>
        <w:rPr>
          <w:i/>
          <w:sz w:val="24"/>
        </w:rPr>
        <w:t>Reform Act</w:t>
      </w:r>
      <w:r>
        <w:rPr>
          <w:i/>
          <w:spacing w:val="-2"/>
          <w:sz w:val="24"/>
        </w:rPr>
        <w:t> </w:t>
      </w:r>
      <w:r>
        <w:rPr>
          <w:sz w:val="24"/>
        </w:rPr>
        <w:t>(NT);</w:t>
      </w:r>
    </w:p>
    <w:p>
      <w:pPr>
        <w:pStyle w:val="ListParagraph"/>
        <w:numPr>
          <w:ilvl w:val="0"/>
          <w:numId w:val="712"/>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Utilities Commission Act </w:t>
      </w:r>
      <w:r>
        <w:rPr>
          <w:sz w:val="24"/>
        </w:rPr>
        <w:t>(NT);</w:t>
      </w:r>
      <w:r>
        <w:rPr>
          <w:spacing w:val="-2"/>
          <w:sz w:val="24"/>
        </w:rPr>
        <w:t> </w:t>
      </w:r>
      <w:r>
        <w:rPr>
          <w:sz w:val="24"/>
        </w:rPr>
        <w:t>and</w:t>
      </w:r>
    </w:p>
    <w:p>
      <w:pPr>
        <w:pStyle w:val="ListParagraph"/>
        <w:numPr>
          <w:ilvl w:val="0"/>
          <w:numId w:val="712"/>
        </w:numPr>
        <w:tabs>
          <w:tab w:pos="2485" w:val="left" w:leader="none"/>
          <w:tab w:pos="2486" w:val="left" w:leader="none"/>
        </w:tabs>
        <w:spacing w:line="240" w:lineRule="auto" w:before="120" w:after="0"/>
        <w:ind w:left="2485" w:right="0" w:hanging="567"/>
        <w:jc w:val="left"/>
        <w:rPr>
          <w:sz w:val="24"/>
        </w:rPr>
      </w:pPr>
      <w:r>
        <w:rPr>
          <w:sz w:val="24"/>
        </w:rPr>
        <w:t>all instruments made under the </w:t>
      </w:r>
      <w:r>
        <w:rPr>
          <w:i/>
          <w:sz w:val="24"/>
        </w:rPr>
        <w:t>Utilities Commission Act</w:t>
      </w:r>
      <w:r>
        <w:rPr>
          <w:i/>
          <w:spacing w:val="-4"/>
          <w:sz w:val="24"/>
        </w:rPr>
        <w:t> </w:t>
      </w:r>
      <w:r>
        <w:rPr>
          <w:sz w:val="24"/>
        </w:rPr>
        <w:t>(NT).</w:t>
      </w:r>
    </w:p>
    <w:p>
      <w:pPr>
        <w:pStyle w:val="Heading5"/>
        <w:jc w:val="left"/>
        <w:rPr>
          <w:i/>
        </w:rPr>
      </w:pPr>
      <w:r>
        <w:rPr>
          <w:i/>
        </w:rPr>
        <w:t>application to connect</w:t>
      </w:r>
    </w:p>
    <w:p>
      <w:pPr>
        <w:spacing w:before="120"/>
        <w:ind w:left="1352" w:right="415" w:firstLine="0"/>
        <w:jc w:val="both"/>
        <w:rPr>
          <w:sz w:val="24"/>
        </w:rPr>
      </w:pPr>
      <w:r>
        <w:rPr>
          <w:sz w:val="24"/>
        </w:rPr>
        <w:t>An application made by a </w:t>
      </w:r>
      <w:r>
        <w:rPr>
          <w:i/>
          <w:sz w:val="24"/>
        </w:rPr>
        <w:t>Connection Applicant </w:t>
      </w:r>
      <w:r>
        <w:rPr>
          <w:sz w:val="24"/>
        </w:rPr>
        <w:t>in accordance with Chapter 5, Part A for </w:t>
      </w:r>
      <w:r>
        <w:rPr>
          <w:i/>
          <w:sz w:val="24"/>
        </w:rPr>
        <w:t>connection </w:t>
      </w:r>
      <w:r>
        <w:rPr>
          <w:sz w:val="24"/>
        </w:rPr>
        <w:t>to a </w:t>
      </w:r>
      <w:r>
        <w:rPr>
          <w:i/>
          <w:sz w:val="24"/>
        </w:rPr>
        <w:t>network </w:t>
      </w:r>
      <w:r>
        <w:rPr>
          <w:sz w:val="24"/>
        </w:rPr>
        <w:t>and/or the provision of </w:t>
      </w:r>
      <w:r>
        <w:rPr>
          <w:i/>
          <w:sz w:val="24"/>
        </w:rPr>
        <w:t>network services </w:t>
      </w:r>
      <w:r>
        <w:rPr>
          <w:sz w:val="24"/>
        </w:rPr>
        <w:t>or modification of a </w:t>
      </w:r>
      <w:r>
        <w:rPr>
          <w:i/>
          <w:sz w:val="24"/>
        </w:rPr>
        <w:t>connection </w:t>
      </w:r>
      <w:r>
        <w:rPr>
          <w:sz w:val="24"/>
        </w:rPr>
        <w:t>to a </w:t>
      </w:r>
      <w:r>
        <w:rPr>
          <w:i/>
          <w:sz w:val="24"/>
        </w:rPr>
        <w:t>network </w:t>
      </w:r>
      <w:r>
        <w:rPr>
          <w:sz w:val="24"/>
        </w:rPr>
        <w:t>and/or the provision of </w:t>
      </w:r>
      <w:r>
        <w:rPr>
          <w:i/>
          <w:sz w:val="24"/>
        </w:rPr>
        <w:t>network </w:t>
      </w:r>
      <w:r>
        <w:rPr>
          <w:i/>
          <w:sz w:val="24"/>
        </w:rPr>
        <w:t>services</w:t>
      </w:r>
      <w:r>
        <w:rPr>
          <w:sz w:val="24"/>
        </w:rPr>
        <w:t>.</w:t>
      </w:r>
    </w:p>
    <w:p>
      <w:pPr>
        <w:pStyle w:val="Heading5"/>
        <w:rPr>
          <w:i/>
        </w:rPr>
      </w:pPr>
      <w:r>
        <w:rPr>
          <w:i/>
        </w:rPr>
        <w:t>approved jurisdictional scheme</w:t>
      </w:r>
    </w:p>
    <w:p>
      <w:pPr>
        <w:spacing w:before="120"/>
        <w:ind w:left="1352" w:right="415" w:firstLine="0"/>
        <w:jc w:val="left"/>
        <w:rPr>
          <w:sz w:val="24"/>
        </w:rPr>
      </w:pPr>
      <w:r>
        <w:rPr>
          <w:sz w:val="24"/>
        </w:rPr>
        <w:t>For a </w:t>
      </w:r>
      <w:r>
        <w:rPr>
          <w:i/>
          <w:sz w:val="24"/>
        </w:rPr>
        <w:t>Distribution Network Service Provider</w:t>
      </w:r>
      <w:r>
        <w:rPr>
          <w:sz w:val="24"/>
        </w:rPr>
        <w:t>, means a </w:t>
      </w:r>
      <w:r>
        <w:rPr>
          <w:i/>
          <w:sz w:val="24"/>
        </w:rPr>
        <w:t>jurisdictional scheme </w:t>
      </w:r>
      <w:r>
        <w:rPr>
          <w:sz w:val="24"/>
        </w:rPr>
        <w:t>in relation to which the </w:t>
      </w:r>
      <w:r>
        <w:rPr>
          <w:i/>
          <w:sz w:val="24"/>
        </w:rPr>
        <w:t>AER</w:t>
      </w:r>
      <w:r>
        <w:rPr>
          <w:sz w:val="24"/>
        </w:rPr>
        <w:t>:</w:t>
      </w:r>
    </w:p>
    <w:p>
      <w:pPr>
        <w:pStyle w:val="ListParagraph"/>
        <w:numPr>
          <w:ilvl w:val="0"/>
          <w:numId w:val="713"/>
        </w:numPr>
        <w:tabs>
          <w:tab w:pos="1918" w:val="left" w:leader="none"/>
          <w:tab w:pos="1919" w:val="left" w:leader="none"/>
        </w:tabs>
        <w:spacing w:line="240" w:lineRule="auto" w:before="120" w:after="0"/>
        <w:ind w:left="1918" w:right="0" w:hanging="567"/>
        <w:jc w:val="left"/>
        <w:rPr>
          <w:sz w:val="24"/>
        </w:rPr>
      </w:pPr>
      <w:r>
        <w:rPr>
          <w:sz w:val="24"/>
        </w:rPr>
        <w:t>has made a decision under clause</w:t>
      </w:r>
      <w:r>
        <w:rPr>
          <w:spacing w:val="-1"/>
          <w:sz w:val="24"/>
        </w:rPr>
        <w:t> </w:t>
      </w:r>
      <w:r>
        <w:rPr>
          <w:sz w:val="24"/>
        </w:rPr>
        <w:t>6.12.1(20);</w:t>
      </w:r>
    </w:p>
    <w:p>
      <w:pPr>
        <w:pStyle w:val="ListParagraph"/>
        <w:numPr>
          <w:ilvl w:val="0"/>
          <w:numId w:val="713"/>
        </w:numPr>
        <w:tabs>
          <w:tab w:pos="1918" w:val="left" w:leader="none"/>
          <w:tab w:pos="1919" w:val="left" w:leader="none"/>
        </w:tabs>
        <w:spacing w:line="240" w:lineRule="auto" w:before="120" w:after="0"/>
        <w:ind w:left="1918" w:right="0" w:hanging="567"/>
        <w:jc w:val="left"/>
        <w:rPr>
          <w:sz w:val="24"/>
        </w:rPr>
      </w:pPr>
      <w:r>
        <w:rPr>
          <w:sz w:val="24"/>
        </w:rPr>
        <w:t>has made a determination under clause 6.6.1A(e);</w:t>
      </w:r>
      <w:r>
        <w:rPr>
          <w:spacing w:val="-1"/>
          <w:sz w:val="24"/>
        </w:rPr>
        <w:t> </w:t>
      </w:r>
      <w:r>
        <w:rPr>
          <w:sz w:val="24"/>
        </w:rPr>
        <w:t>or</w:t>
      </w:r>
    </w:p>
    <w:p>
      <w:pPr>
        <w:pStyle w:val="ListParagraph"/>
        <w:numPr>
          <w:ilvl w:val="0"/>
          <w:numId w:val="713"/>
        </w:numPr>
        <w:tabs>
          <w:tab w:pos="1918" w:val="left" w:leader="none"/>
          <w:tab w:pos="1919" w:val="left" w:leader="none"/>
        </w:tabs>
        <w:spacing w:line="240" w:lineRule="auto" w:before="120" w:after="0"/>
        <w:ind w:left="1918" w:right="0" w:hanging="567"/>
        <w:jc w:val="left"/>
        <w:rPr>
          <w:sz w:val="24"/>
        </w:rPr>
      </w:pPr>
      <w:r>
        <w:rPr>
          <w:sz w:val="24"/>
        </w:rPr>
        <w:t>is taken to have made a determination under clause</w:t>
      </w:r>
      <w:r>
        <w:rPr>
          <w:spacing w:val="-2"/>
          <w:sz w:val="24"/>
        </w:rPr>
        <w:t> </w:t>
      </w:r>
      <w:r>
        <w:rPr>
          <w:sz w:val="24"/>
        </w:rPr>
        <w:t>6.6.1A(f).</w:t>
      </w:r>
    </w:p>
    <w:p>
      <w:pPr>
        <w:pStyle w:val="Heading5"/>
        <w:jc w:val="left"/>
        <w:rPr>
          <w:i/>
        </w:rPr>
      </w:pPr>
      <w:r>
        <w:rPr>
          <w:i/>
        </w:rPr>
        <w:t>approved pass through amount</w:t>
      </w:r>
    </w:p>
    <w:p>
      <w:pPr>
        <w:spacing w:before="120"/>
        <w:ind w:left="1352" w:right="565" w:firstLine="0"/>
        <w:jc w:val="left"/>
        <w:rPr>
          <w:sz w:val="24"/>
        </w:rPr>
      </w:pPr>
      <w:r>
        <w:rPr>
          <w:sz w:val="24"/>
        </w:rPr>
        <w:t>In respect of a </w:t>
      </w:r>
      <w:r>
        <w:rPr>
          <w:i/>
          <w:sz w:val="24"/>
        </w:rPr>
        <w:t>positive change event </w:t>
      </w:r>
      <w:r>
        <w:rPr>
          <w:sz w:val="24"/>
        </w:rPr>
        <w:t>for a </w:t>
      </w:r>
      <w:r>
        <w:rPr>
          <w:i/>
          <w:sz w:val="24"/>
        </w:rPr>
        <w:t>Transmission Network Service </w:t>
      </w:r>
      <w:r>
        <w:rPr>
          <w:i/>
          <w:sz w:val="24"/>
        </w:rPr>
        <w:t>Provider</w:t>
      </w:r>
      <w:r>
        <w:rPr>
          <w:sz w:val="24"/>
        </w:rPr>
        <w:t>:</w:t>
      </w:r>
    </w:p>
    <w:p>
      <w:pPr>
        <w:pStyle w:val="ListParagraph"/>
        <w:numPr>
          <w:ilvl w:val="0"/>
          <w:numId w:val="714"/>
        </w:numPr>
        <w:tabs>
          <w:tab w:pos="1918" w:val="left" w:leader="none"/>
          <w:tab w:pos="1919" w:val="left" w:leader="none"/>
        </w:tabs>
        <w:spacing w:line="240" w:lineRule="auto" w:before="120" w:after="0"/>
        <w:ind w:left="1918" w:right="0" w:hanging="567"/>
        <w:jc w:val="left"/>
        <w:rPr>
          <w:sz w:val="24"/>
        </w:rPr>
      </w:pPr>
      <w:r>
        <w:rPr>
          <w:sz w:val="24"/>
        </w:rPr>
        <w:t>the</w:t>
      </w:r>
      <w:r>
        <w:rPr>
          <w:spacing w:val="33"/>
          <w:sz w:val="24"/>
        </w:rPr>
        <w:t> </w:t>
      </w:r>
      <w:r>
        <w:rPr>
          <w:sz w:val="24"/>
        </w:rPr>
        <w:t>amount</w:t>
      </w:r>
      <w:r>
        <w:rPr>
          <w:spacing w:val="33"/>
          <w:sz w:val="24"/>
        </w:rPr>
        <w:t> </w:t>
      </w:r>
      <w:r>
        <w:rPr>
          <w:sz w:val="24"/>
        </w:rPr>
        <w:t>which</w:t>
      </w:r>
      <w:r>
        <w:rPr>
          <w:spacing w:val="33"/>
          <w:sz w:val="24"/>
        </w:rPr>
        <w:t> </w:t>
      </w:r>
      <w:r>
        <w:rPr>
          <w:sz w:val="24"/>
        </w:rPr>
        <w:t>the</w:t>
      </w:r>
      <w:r>
        <w:rPr>
          <w:spacing w:val="33"/>
          <w:sz w:val="24"/>
        </w:rPr>
        <w:t> </w:t>
      </w:r>
      <w:r>
        <w:rPr>
          <w:i/>
          <w:sz w:val="24"/>
        </w:rPr>
        <w:t>AER</w:t>
      </w:r>
      <w:r>
        <w:rPr>
          <w:i/>
          <w:spacing w:val="33"/>
          <w:sz w:val="24"/>
        </w:rPr>
        <w:t> </w:t>
      </w:r>
      <w:r>
        <w:rPr>
          <w:sz w:val="24"/>
        </w:rPr>
        <w:t>determines</w:t>
      </w:r>
      <w:r>
        <w:rPr>
          <w:spacing w:val="33"/>
          <w:sz w:val="24"/>
        </w:rPr>
        <w:t> </w:t>
      </w:r>
      <w:r>
        <w:rPr>
          <w:sz w:val="24"/>
        </w:rPr>
        <w:t>should</w:t>
      </w:r>
      <w:r>
        <w:rPr>
          <w:spacing w:val="33"/>
          <w:sz w:val="24"/>
        </w:rPr>
        <w:t> </w:t>
      </w:r>
      <w:r>
        <w:rPr>
          <w:sz w:val="24"/>
        </w:rPr>
        <w:t>be</w:t>
      </w:r>
      <w:r>
        <w:rPr>
          <w:spacing w:val="33"/>
          <w:sz w:val="24"/>
        </w:rPr>
        <w:t> </w:t>
      </w:r>
      <w:r>
        <w:rPr>
          <w:sz w:val="24"/>
        </w:rPr>
        <w:t>passed</w:t>
      </w:r>
      <w:r>
        <w:rPr>
          <w:spacing w:val="33"/>
          <w:sz w:val="24"/>
        </w:rPr>
        <w:t> </w:t>
      </w:r>
      <w:r>
        <w:rPr>
          <w:sz w:val="24"/>
        </w:rPr>
        <w:t>through</w:t>
      </w:r>
      <w:r>
        <w:rPr>
          <w:spacing w:val="33"/>
          <w:sz w:val="24"/>
        </w:rPr>
        <w:t> </w:t>
      </w:r>
      <w:r>
        <w:rPr>
          <w:sz w:val="24"/>
        </w:rPr>
        <w:t>to</w:t>
      </w:r>
    </w:p>
    <w:p>
      <w:pPr>
        <w:spacing w:before="0"/>
        <w:ind w:left="1919" w:right="0" w:firstLine="0"/>
        <w:jc w:val="left"/>
        <w:rPr>
          <w:sz w:val="24"/>
        </w:rPr>
      </w:pPr>
      <w:r>
        <w:rPr>
          <w:i/>
          <w:sz w:val="24"/>
        </w:rPr>
        <w:t>Transmission Network Users </w:t>
      </w:r>
      <w:r>
        <w:rPr>
          <w:sz w:val="24"/>
        </w:rPr>
        <w:t>under clause 6A.7.3(d)(2); or</w:t>
      </w:r>
    </w:p>
    <w:p>
      <w:pPr>
        <w:pStyle w:val="ListParagraph"/>
        <w:numPr>
          <w:ilvl w:val="0"/>
          <w:numId w:val="714"/>
        </w:numPr>
        <w:tabs>
          <w:tab w:pos="1918" w:val="left" w:leader="none"/>
          <w:tab w:pos="1919" w:val="left" w:leader="none"/>
        </w:tabs>
        <w:spacing w:line="240" w:lineRule="auto" w:before="120" w:after="0"/>
        <w:ind w:left="1919" w:right="415" w:hanging="567"/>
        <w:jc w:val="left"/>
        <w:rPr>
          <w:sz w:val="24"/>
        </w:rPr>
      </w:pPr>
      <w:r>
        <w:rPr>
          <w:sz w:val="24"/>
        </w:rPr>
        <w:t>the amount which the </w:t>
      </w:r>
      <w:r>
        <w:rPr>
          <w:i/>
          <w:sz w:val="24"/>
        </w:rPr>
        <w:t>AER </w:t>
      </w:r>
      <w:r>
        <w:rPr>
          <w:sz w:val="24"/>
        </w:rPr>
        <w:t>is taken to have determined under clause 6A.7.3(e)(1),</w:t>
      </w:r>
    </w:p>
    <w:p>
      <w:pPr>
        <w:pStyle w:val="BodyText"/>
        <w:ind w:left="1352" w:firstLine="0"/>
        <w:jc w:val="left"/>
      </w:pPr>
      <w:r>
        <w:rPr/>
        <w:t>as the case may be.</w:t>
      </w:r>
    </w:p>
    <w:p>
      <w:pPr>
        <w:spacing w:before="120"/>
        <w:ind w:left="1352" w:right="0" w:firstLine="0"/>
        <w:jc w:val="left"/>
        <w:rPr>
          <w:sz w:val="24"/>
        </w:rPr>
      </w:pPr>
      <w:r>
        <w:rPr>
          <w:sz w:val="24"/>
        </w:rPr>
        <w:t>In respect of a </w:t>
      </w:r>
      <w:r>
        <w:rPr>
          <w:i/>
          <w:sz w:val="24"/>
        </w:rPr>
        <w:t>positive change event </w:t>
      </w:r>
      <w:r>
        <w:rPr>
          <w:sz w:val="24"/>
        </w:rPr>
        <w:t>or </w:t>
      </w:r>
      <w:r>
        <w:rPr>
          <w:i/>
          <w:sz w:val="24"/>
        </w:rPr>
        <w:t>NT positive change event </w:t>
      </w:r>
      <w:r>
        <w:rPr>
          <w:sz w:val="24"/>
        </w:rPr>
        <w:t>for a</w:t>
      </w:r>
    </w:p>
    <w:p>
      <w:pPr>
        <w:spacing w:before="0"/>
        <w:ind w:left="1352" w:right="0" w:firstLine="0"/>
        <w:jc w:val="left"/>
        <w:rPr>
          <w:sz w:val="24"/>
        </w:rPr>
      </w:pPr>
      <w:r>
        <w:rPr>
          <w:i/>
          <w:sz w:val="24"/>
        </w:rPr>
        <w:t>Distribution Network Service Provider</w:t>
      </w:r>
      <w:r>
        <w:rPr>
          <w:sz w:val="24"/>
        </w:rPr>
        <w:t>:</w:t>
      </w:r>
    </w:p>
    <w:p>
      <w:pPr>
        <w:pStyle w:val="ListParagraph"/>
        <w:numPr>
          <w:ilvl w:val="0"/>
          <w:numId w:val="715"/>
        </w:numPr>
        <w:tabs>
          <w:tab w:pos="1918" w:val="left" w:leader="none"/>
          <w:tab w:pos="1919" w:val="left" w:leader="none"/>
        </w:tabs>
        <w:spacing w:line="240" w:lineRule="auto" w:before="120" w:after="0"/>
        <w:ind w:left="1919" w:right="416" w:hanging="567"/>
        <w:jc w:val="left"/>
        <w:rPr>
          <w:sz w:val="24"/>
        </w:rPr>
      </w:pPr>
      <w:r>
        <w:rPr>
          <w:sz w:val="24"/>
        </w:rPr>
        <w:t>the amount the </w:t>
      </w:r>
      <w:r>
        <w:rPr>
          <w:i/>
          <w:sz w:val="24"/>
        </w:rPr>
        <w:t>AER </w:t>
      </w:r>
      <w:r>
        <w:rPr>
          <w:sz w:val="24"/>
        </w:rPr>
        <w:t>determines should be passed through to </w:t>
      </w:r>
      <w:r>
        <w:rPr>
          <w:i/>
          <w:sz w:val="24"/>
        </w:rPr>
        <w:t>Distribution </w:t>
      </w:r>
      <w:r>
        <w:rPr>
          <w:i/>
          <w:sz w:val="24"/>
        </w:rPr>
        <w:t>Network Users </w:t>
      </w:r>
      <w:r>
        <w:rPr>
          <w:sz w:val="24"/>
        </w:rPr>
        <w:t>under clause 6.6.1(d)(2) or clause 6.6.1AB(d)(2);</w:t>
      </w:r>
      <w:r>
        <w:rPr>
          <w:spacing w:val="-4"/>
          <w:sz w:val="24"/>
        </w:rPr>
        <w:t> </w:t>
      </w:r>
      <w:r>
        <w:rPr>
          <w:sz w:val="24"/>
        </w:rPr>
        <w:t>or</w:t>
      </w:r>
    </w:p>
    <w:p>
      <w:pPr>
        <w:pStyle w:val="ListParagraph"/>
        <w:numPr>
          <w:ilvl w:val="0"/>
          <w:numId w:val="715"/>
        </w:numPr>
        <w:tabs>
          <w:tab w:pos="1918" w:val="left" w:leader="none"/>
          <w:tab w:pos="1919" w:val="left" w:leader="none"/>
        </w:tabs>
        <w:spacing w:line="240" w:lineRule="auto" w:before="120" w:after="0"/>
        <w:ind w:left="1919" w:right="415" w:hanging="567"/>
        <w:jc w:val="left"/>
        <w:rPr>
          <w:sz w:val="24"/>
        </w:rPr>
      </w:pPr>
      <w:r>
        <w:rPr>
          <w:sz w:val="24"/>
        </w:rPr>
        <w:t>the amount the </w:t>
      </w:r>
      <w:r>
        <w:rPr>
          <w:i/>
          <w:sz w:val="24"/>
        </w:rPr>
        <w:t>AER </w:t>
      </w:r>
      <w:r>
        <w:rPr>
          <w:sz w:val="24"/>
        </w:rPr>
        <w:t>is taken to have determined under clause 6.6.1(e)(1) </w:t>
      </w:r>
      <w:r>
        <w:rPr>
          <w:spacing w:val="-6"/>
          <w:sz w:val="24"/>
        </w:rPr>
        <w:t>or </w:t>
      </w:r>
      <w:r>
        <w:rPr>
          <w:sz w:val="24"/>
        </w:rPr>
        <w:t>6.6.1AB(e)(1),</w:t>
      </w:r>
    </w:p>
    <w:p>
      <w:pPr>
        <w:pStyle w:val="BodyText"/>
        <w:ind w:left="1352" w:firstLine="0"/>
        <w:jc w:val="left"/>
      </w:pPr>
      <w:r>
        <w:rPr/>
        <w:t>as the case may be.</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modification to this definition expires on 1 July 2024.</w:t>
      </w:r>
    </w:p>
    <w:p>
      <w:pPr>
        <w:spacing w:after="0"/>
        <w:jc w:val="both"/>
        <w:rPr>
          <w:sz w:val="20"/>
        </w:rPr>
        <w:sectPr>
          <w:pgSz w:w="11910" w:h="16840"/>
          <w:pgMar w:header="686" w:footer="637" w:top="1320" w:bottom="820" w:left="1200" w:right="1000"/>
        </w:sectPr>
      </w:pPr>
    </w:p>
    <w:p>
      <w:pPr>
        <w:pStyle w:val="Heading5"/>
        <w:spacing w:before="83"/>
        <w:jc w:val="left"/>
        <w:rPr>
          <w:i/>
        </w:rPr>
      </w:pPr>
      <w:r>
        <w:rPr>
          <w:i/>
        </w:rPr>
        <w:t>approved pricing proposal</w:t>
      </w:r>
    </w:p>
    <w:p>
      <w:pPr>
        <w:spacing w:before="120"/>
        <w:ind w:left="1352" w:right="0" w:firstLine="0"/>
        <w:jc w:val="left"/>
        <w:rPr>
          <w:sz w:val="24"/>
        </w:rPr>
      </w:pPr>
      <w:r>
        <w:rPr>
          <w:sz w:val="24"/>
        </w:rPr>
        <w:t>A </w:t>
      </w:r>
      <w:r>
        <w:rPr>
          <w:i/>
          <w:sz w:val="24"/>
        </w:rPr>
        <w:t>pricing proposal </w:t>
      </w:r>
      <w:r>
        <w:rPr>
          <w:sz w:val="24"/>
        </w:rPr>
        <w:t>approved by the </w:t>
      </w:r>
      <w:r>
        <w:rPr>
          <w:i/>
          <w:sz w:val="24"/>
        </w:rPr>
        <w:t>AER</w:t>
      </w:r>
      <w:r>
        <w:rPr>
          <w:sz w:val="24"/>
        </w:rPr>
        <w:t>.</w:t>
      </w:r>
    </w:p>
    <w:p>
      <w:pPr>
        <w:pStyle w:val="Heading5"/>
        <w:jc w:val="left"/>
        <w:rPr>
          <w:i/>
        </w:rPr>
      </w:pPr>
      <w:r>
        <w:rPr>
          <w:i/>
        </w:rPr>
        <w:t>ASRR</w:t>
      </w:r>
    </w:p>
    <w:p>
      <w:pPr>
        <w:spacing w:before="120"/>
        <w:ind w:left="1352" w:right="0" w:firstLine="0"/>
        <w:jc w:val="left"/>
        <w:rPr>
          <w:sz w:val="24"/>
        </w:rPr>
      </w:pPr>
      <w:r>
        <w:rPr>
          <w:sz w:val="24"/>
        </w:rPr>
        <w:t>The </w:t>
      </w:r>
      <w:r>
        <w:rPr>
          <w:i/>
          <w:sz w:val="24"/>
        </w:rPr>
        <w:t>annual service revenue requirement</w:t>
      </w:r>
      <w:r>
        <w:rPr>
          <w:sz w:val="24"/>
        </w:rPr>
        <w:t>.</w:t>
      </w:r>
    </w:p>
    <w:p>
      <w:pPr>
        <w:pStyle w:val="Heading5"/>
        <w:jc w:val="left"/>
        <w:rPr>
          <w:i/>
        </w:rPr>
      </w:pPr>
      <w:r>
        <w:rPr>
          <w:i/>
        </w:rPr>
        <w:t>asset exemption</w:t>
      </w:r>
    </w:p>
    <w:p>
      <w:pPr>
        <w:pStyle w:val="BodyText"/>
        <w:ind w:left="1352" w:firstLine="0"/>
        <w:jc w:val="left"/>
      </w:pPr>
      <w:r>
        <w:rPr/>
        <w:t>Has the meaning given in clause 6.4B.1(a).</w:t>
      </w:r>
    </w:p>
    <w:p>
      <w:pPr>
        <w:pStyle w:val="Heading5"/>
        <w:jc w:val="left"/>
        <w:rPr>
          <w:i/>
        </w:rPr>
      </w:pPr>
      <w:r>
        <w:rPr>
          <w:i/>
        </w:rPr>
        <w:t>Asset Exemption Guidelines</w:t>
      </w:r>
    </w:p>
    <w:p>
      <w:pPr>
        <w:pStyle w:val="BodyText"/>
        <w:ind w:left="1352" w:right="415" w:firstLine="0"/>
        <w:jc w:val="left"/>
      </w:pPr>
      <w:r>
        <w:rPr/>
        <w:t>Guidelines developed, maintained and </w:t>
      </w:r>
      <w:r>
        <w:rPr>
          <w:i/>
        </w:rPr>
        <w:t>published </w:t>
      </w:r>
      <w:r>
        <w:rPr/>
        <w:t>by the </w:t>
      </w:r>
      <w:r>
        <w:rPr>
          <w:i/>
        </w:rPr>
        <w:t>AER </w:t>
      </w:r>
      <w:r>
        <w:rPr/>
        <w:t>under clause 6.4B.1(c).</w:t>
      </w:r>
    </w:p>
    <w:p>
      <w:pPr>
        <w:pStyle w:val="Heading5"/>
        <w:jc w:val="left"/>
        <w:rPr>
          <w:i/>
        </w:rPr>
      </w:pPr>
      <w:r>
        <w:rPr>
          <w:i/>
        </w:rPr>
        <w:t>asynchronous generating unit</w:t>
      </w:r>
    </w:p>
    <w:p>
      <w:pPr>
        <w:spacing w:before="120"/>
        <w:ind w:left="1352" w:right="0" w:firstLine="0"/>
        <w:jc w:val="left"/>
        <w:rPr>
          <w:sz w:val="24"/>
        </w:rPr>
      </w:pPr>
      <w:r>
        <w:rPr>
          <w:sz w:val="24"/>
        </w:rPr>
        <w:t>A </w:t>
      </w:r>
      <w:r>
        <w:rPr>
          <w:i/>
          <w:sz w:val="24"/>
        </w:rPr>
        <w:t>generating unit </w:t>
      </w:r>
      <w:r>
        <w:rPr>
          <w:sz w:val="24"/>
        </w:rPr>
        <w:t>that is not a </w:t>
      </w:r>
      <w:r>
        <w:rPr>
          <w:i/>
          <w:sz w:val="24"/>
        </w:rPr>
        <w:t>synchronous generating unit</w:t>
      </w:r>
      <w:r>
        <w:rPr>
          <w:sz w:val="24"/>
        </w:rPr>
        <w:t>.</w:t>
      </w:r>
    </w:p>
    <w:p>
      <w:pPr>
        <w:pStyle w:val="Heading5"/>
        <w:jc w:val="left"/>
        <w:rPr>
          <w:i/>
        </w:rPr>
      </w:pPr>
      <w:r>
        <w:rPr>
          <w:i/>
        </w:rPr>
        <w:t>attributable connection point cost share</w:t>
      </w:r>
    </w:p>
    <w:p>
      <w:pPr>
        <w:pStyle w:val="BodyText"/>
        <w:ind w:left="1352" w:firstLine="0"/>
        <w:jc w:val="left"/>
      </w:pPr>
      <w:r>
        <w:rPr/>
        <w:t>Has the meaning set out in clause 6A.22.4.</w:t>
      </w:r>
    </w:p>
    <w:p>
      <w:pPr>
        <w:pStyle w:val="Heading5"/>
        <w:jc w:val="left"/>
        <w:rPr>
          <w:i/>
        </w:rPr>
      </w:pPr>
      <w:r>
        <w:rPr>
          <w:i/>
        </w:rPr>
        <w:t>attributable cost share</w:t>
      </w:r>
    </w:p>
    <w:p>
      <w:pPr>
        <w:pStyle w:val="BodyText"/>
        <w:ind w:left="1352" w:firstLine="0"/>
        <w:jc w:val="left"/>
      </w:pPr>
      <w:r>
        <w:rPr/>
        <w:t>Has the meaning set out in clause 6A.22.3.</w:t>
      </w:r>
    </w:p>
    <w:p>
      <w:pPr>
        <w:pStyle w:val="Heading5"/>
        <w:jc w:val="left"/>
        <w:rPr>
          <w:i/>
        </w:rPr>
      </w:pPr>
      <w:r>
        <w:rPr>
          <w:i/>
        </w:rPr>
        <w:t>auction</w:t>
      </w:r>
    </w:p>
    <w:p>
      <w:pPr>
        <w:spacing w:before="120"/>
        <w:ind w:left="1352" w:right="0" w:firstLine="0"/>
        <w:jc w:val="left"/>
        <w:rPr>
          <w:sz w:val="24"/>
        </w:rPr>
      </w:pPr>
      <w:r>
        <w:rPr>
          <w:sz w:val="24"/>
        </w:rPr>
        <w:t>A </w:t>
      </w:r>
      <w:r>
        <w:rPr>
          <w:i/>
          <w:sz w:val="24"/>
        </w:rPr>
        <w:t>settlement residue </w:t>
      </w:r>
      <w:r>
        <w:rPr>
          <w:sz w:val="24"/>
        </w:rPr>
        <w:t>auction held under clause 3.18.</w:t>
      </w:r>
    </w:p>
    <w:p>
      <w:pPr>
        <w:pStyle w:val="Heading5"/>
        <w:jc w:val="left"/>
        <w:rPr>
          <w:i/>
        </w:rPr>
      </w:pPr>
      <w:r>
        <w:rPr>
          <w:i/>
        </w:rPr>
        <w:t>auction amounts</w:t>
      </w:r>
    </w:p>
    <w:p>
      <w:pPr>
        <w:pStyle w:val="BodyText"/>
        <w:ind w:left="1352" w:firstLine="0"/>
        <w:jc w:val="left"/>
      </w:pPr>
      <w:r>
        <w:rPr/>
        <w:t>All amounts:</w:t>
      </w:r>
    </w:p>
    <w:p>
      <w:pPr>
        <w:pStyle w:val="ListParagraph"/>
        <w:numPr>
          <w:ilvl w:val="0"/>
          <w:numId w:val="716"/>
        </w:numPr>
        <w:tabs>
          <w:tab w:pos="1918" w:val="left" w:leader="none"/>
          <w:tab w:pos="1919" w:val="left" w:leader="none"/>
        </w:tabs>
        <w:spacing w:line="240" w:lineRule="auto" w:before="120" w:after="0"/>
        <w:ind w:left="1918" w:right="0" w:hanging="567"/>
        <w:jc w:val="left"/>
        <w:rPr>
          <w:sz w:val="24"/>
        </w:rPr>
      </w:pPr>
      <w:r>
        <w:rPr>
          <w:sz w:val="24"/>
        </w:rPr>
        <w:t>payable by </w:t>
      </w:r>
      <w:r>
        <w:rPr>
          <w:i/>
          <w:sz w:val="24"/>
        </w:rPr>
        <w:t>AEMO </w:t>
      </w:r>
      <w:r>
        <w:rPr>
          <w:sz w:val="24"/>
        </w:rPr>
        <w:t>to </w:t>
      </w:r>
      <w:r>
        <w:rPr>
          <w:i/>
          <w:sz w:val="24"/>
        </w:rPr>
        <w:t>eligible persons </w:t>
      </w:r>
      <w:r>
        <w:rPr>
          <w:sz w:val="24"/>
        </w:rPr>
        <w:t>under </w:t>
      </w:r>
      <w:r>
        <w:rPr>
          <w:i/>
          <w:sz w:val="24"/>
        </w:rPr>
        <w:t>SRD agreements</w:t>
      </w:r>
      <w:r>
        <w:rPr>
          <w:sz w:val="24"/>
        </w:rPr>
        <w:t>;</w:t>
      </w:r>
      <w:r>
        <w:rPr>
          <w:spacing w:val="-4"/>
          <w:sz w:val="24"/>
        </w:rPr>
        <w:t> </w:t>
      </w:r>
      <w:r>
        <w:rPr>
          <w:sz w:val="24"/>
        </w:rPr>
        <w:t>or</w:t>
      </w:r>
    </w:p>
    <w:p>
      <w:pPr>
        <w:pStyle w:val="ListParagraph"/>
        <w:numPr>
          <w:ilvl w:val="0"/>
          <w:numId w:val="716"/>
        </w:numPr>
        <w:tabs>
          <w:tab w:pos="1918" w:val="left" w:leader="none"/>
          <w:tab w:pos="1919" w:val="left" w:leader="none"/>
        </w:tabs>
        <w:spacing w:line="240" w:lineRule="auto" w:before="120" w:after="0"/>
        <w:ind w:left="1918" w:right="0" w:hanging="567"/>
        <w:jc w:val="left"/>
        <w:rPr>
          <w:sz w:val="24"/>
        </w:rPr>
      </w:pPr>
      <w:r>
        <w:rPr>
          <w:sz w:val="24"/>
        </w:rPr>
        <w:t>distributed to </w:t>
      </w:r>
      <w:r>
        <w:rPr>
          <w:i/>
          <w:sz w:val="24"/>
        </w:rPr>
        <w:t>Network Service Providers </w:t>
      </w:r>
      <w:r>
        <w:rPr>
          <w:sz w:val="24"/>
        </w:rPr>
        <w:t>under clause 3.18.4;</w:t>
      </w:r>
      <w:r>
        <w:rPr>
          <w:spacing w:val="-1"/>
          <w:sz w:val="24"/>
        </w:rPr>
        <w:t> </w:t>
      </w:r>
      <w:r>
        <w:rPr>
          <w:sz w:val="24"/>
        </w:rPr>
        <w:t>or</w:t>
      </w:r>
    </w:p>
    <w:p>
      <w:pPr>
        <w:pStyle w:val="ListParagraph"/>
        <w:numPr>
          <w:ilvl w:val="0"/>
          <w:numId w:val="716"/>
        </w:numPr>
        <w:tabs>
          <w:tab w:pos="1918" w:val="left" w:leader="none"/>
          <w:tab w:pos="1919" w:val="left" w:leader="none"/>
        </w:tabs>
        <w:spacing w:line="240" w:lineRule="auto" w:before="120" w:after="0"/>
        <w:ind w:left="1919" w:right="414" w:hanging="567"/>
        <w:jc w:val="left"/>
        <w:rPr>
          <w:sz w:val="24"/>
        </w:rPr>
      </w:pPr>
      <w:r>
        <w:rPr>
          <w:sz w:val="24"/>
        </w:rPr>
        <w:t>recovered by </w:t>
      </w:r>
      <w:r>
        <w:rPr>
          <w:i/>
          <w:sz w:val="24"/>
        </w:rPr>
        <w:t>AEMO </w:t>
      </w:r>
      <w:r>
        <w:rPr>
          <w:sz w:val="24"/>
        </w:rPr>
        <w:t>under clause 3.18.4, clause 3.18.4A or the </w:t>
      </w:r>
      <w:r>
        <w:rPr>
          <w:i/>
          <w:sz w:val="24"/>
        </w:rPr>
        <w:t>auction </w:t>
      </w:r>
      <w:r>
        <w:rPr>
          <w:i/>
          <w:sz w:val="24"/>
        </w:rPr>
        <w:t>rules</w:t>
      </w:r>
      <w:r>
        <w:rPr>
          <w:sz w:val="24"/>
        </w:rPr>
        <w:t>, including </w:t>
      </w:r>
      <w:r>
        <w:rPr>
          <w:i/>
          <w:sz w:val="24"/>
        </w:rPr>
        <w:t>auction expense fees</w:t>
      </w:r>
      <w:r>
        <w:rPr>
          <w:sz w:val="24"/>
        </w:rPr>
        <w:t>;</w:t>
      </w:r>
      <w:r>
        <w:rPr>
          <w:spacing w:val="-2"/>
          <w:sz w:val="24"/>
        </w:rPr>
        <w:t> </w:t>
      </w:r>
      <w:r>
        <w:rPr>
          <w:sz w:val="24"/>
        </w:rPr>
        <w:t>or</w:t>
      </w:r>
    </w:p>
    <w:p>
      <w:pPr>
        <w:pStyle w:val="ListParagraph"/>
        <w:numPr>
          <w:ilvl w:val="0"/>
          <w:numId w:val="716"/>
        </w:numPr>
        <w:tabs>
          <w:tab w:pos="1918" w:val="left" w:leader="none"/>
          <w:tab w:pos="1919" w:val="left" w:leader="none"/>
        </w:tabs>
        <w:spacing w:line="240" w:lineRule="auto" w:before="120" w:after="0"/>
        <w:ind w:left="1919" w:right="415" w:hanging="567"/>
        <w:jc w:val="left"/>
        <w:rPr>
          <w:sz w:val="24"/>
        </w:rPr>
      </w:pPr>
      <w:r>
        <w:rPr>
          <w:sz w:val="24"/>
        </w:rPr>
        <w:t>payable by </w:t>
      </w:r>
      <w:r>
        <w:rPr>
          <w:i/>
          <w:sz w:val="24"/>
        </w:rPr>
        <w:t>eligible persons </w:t>
      </w:r>
      <w:r>
        <w:rPr>
          <w:sz w:val="24"/>
        </w:rPr>
        <w:t>to </w:t>
      </w:r>
      <w:r>
        <w:rPr>
          <w:i/>
          <w:sz w:val="24"/>
        </w:rPr>
        <w:t>AEMO </w:t>
      </w:r>
      <w:r>
        <w:rPr>
          <w:sz w:val="24"/>
        </w:rPr>
        <w:t>under </w:t>
      </w:r>
      <w:r>
        <w:rPr>
          <w:i/>
          <w:sz w:val="24"/>
        </w:rPr>
        <w:t>SRD agreements </w:t>
      </w:r>
      <w:r>
        <w:rPr>
          <w:sz w:val="24"/>
        </w:rPr>
        <w:t>including any margin referred to in clause</w:t>
      </w:r>
      <w:r>
        <w:rPr>
          <w:spacing w:val="-1"/>
          <w:sz w:val="24"/>
        </w:rPr>
        <w:t> </w:t>
      </w:r>
      <w:r>
        <w:rPr>
          <w:sz w:val="24"/>
        </w:rPr>
        <w:t>3.18.4A(b).</w:t>
      </w:r>
    </w:p>
    <w:p>
      <w:pPr>
        <w:pStyle w:val="Heading5"/>
        <w:jc w:val="left"/>
        <w:rPr>
          <w:i/>
        </w:rPr>
      </w:pPr>
      <w:r>
        <w:rPr>
          <w:i/>
        </w:rPr>
        <w:t>auction expense fees</w:t>
      </w:r>
    </w:p>
    <w:p>
      <w:pPr>
        <w:pStyle w:val="BodyText"/>
        <w:ind w:left="1352" w:firstLine="0"/>
        <w:jc w:val="left"/>
      </w:pPr>
      <w:r>
        <w:rPr/>
        <w:t>The costs and expenses incurred by </w:t>
      </w:r>
      <w:r>
        <w:rPr>
          <w:i/>
        </w:rPr>
        <w:t>AEMO </w:t>
      </w:r>
      <w:r>
        <w:rPr/>
        <w:t>referred to in clause 3.18.4(b).</w:t>
      </w:r>
    </w:p>
    <w:p>
      <w:pPr>
        <w:pStyle w:val="Heading5"/>
        <w:jc w:val="left"/>
        <w:rPr>
          <w:i/>
        </w:rPr>
      </w:pPr>
      <w:r>
        <w:rPr>
          <w:i/>
        </w:rPr>
        <w:t>auction participation agreement</w:t>
      </w:r>
    </w:p>
    <w:p>
      <w:pPr>
        <w:pStyle w:val="BodyText"/>
        <w:ind w:left="1352" w:firstLine="0"/>
        <w:jc w:val="left"/>
      </w:pPr>
      <w:r>
        <w:rPr/>
        <w:t>Has the meaning given in clause 3.18.1(a).</w:t>
      </w:r>
    </w:p>
    <w:p>
      <w:pPr>
        <w:pStyle w:val="Heading5"/>
        <w:jc w:val="left"/>
        <w:rPr>
          <w:i/>
        </w:rPr>
      </w:pPr>
      <w:r>
        <w:rPr>
          <w:i/>
        </w:rPr>
        <w:t>auction rules</w:t>
      </w:r>
    </w:p>
    <w:p>
      <w:pPr>
        <w:pStyle w:val="BodyText"/>
        <w:ind w:left="1352" w:right="415" w:firstLine="0"/>
        <w:jc w:val="left"/>
      </w:pPr>
      <w:r>
        <w:rPr/>
        <w:t>The rules developed by </w:t>
      </w:r>
      <w:r>
        <w:rPr>
          <w:i/>
        </w:rPr>
        <w:t>AEMO </w:t>
      </w:r>
      <w:r>
        <w:rPr/>
        <w:t>under clause 3.18.3, as amended from time to time in accordance with that clause.</w:t>
      </w:r>
    </w:p>
    <w:p>
      <w:pPr>
        <w:pStyle w:val="Heading5"/>
        <w:jc w:val="left"/>
        <w:rPr>
          <w:i/>
        </w:rPr>
      </w:pPr>
      <w:r>
        <w:rPr>
          <w:i/>
        </w:rPr>
        <w:t>augmentation</w:t>
      </w:r>
    </w:p>
    <w:p>
      <w:pPr>
        <w:spacing w:before="120"/>
        <w:ind w:left="1352" w:right="0" w:firstLine="0"/>
        <w:jc w:val="left"/>
        <w:rPr>
          <w:sz w:val="24"/>
        </w:rPr>
      </w:pPr>
      <w:r>
        <w:rPr>
          <w:sz w:val="24"/>
        </w:rPr>
        <w:t>Has the meaning given in the </w:t>
      </w:r>
      <w:r>
        <w:rPr>
          <w:i/>
          <w:sz w:val="24"/>
        </w:rPr>
        <w:t>National Electricity Law</w:t>
      </w:r>
      <w:r>
        <w:rPr>
          <w:sz w:val="24"/>
        </w:rPr>
        <w:t>.</w:t>
      </w:r>
    </w:p>
    <w:p>
      <w:pPr>
        <w:pStyle w:val="Heading5"/>
        <w:jc w:val="left"/>
        <w:rPr>
          <w:i/>
        </w:rPr>
      </w:pPr>
      <w:r>
        <w:rPr>
          <w:i/>
        </w:rPr>
        <w:t>augmentation technical report</w:t>
      </w:r>
    </w:p>
    <w:p>
      <w:pPr>
        <w:spacing w:before="120"/>
        <w:ind w:left="1352" w:right="0" w:firstLine="0"/>
        <w:jc w:val="left"/>
        <w:rPr>
          <w:sz w:val="24"/>
        </w:rPr>
      </w:pPr>
      <w:r>
        <w:rPr>
          <w:sz w:val="24"/>
        </w:rPr>
        <w:t>A report on </w:t>
      </w:r>
      <w:r>
        <w:rPr>
          <w:i/>
          <w:sz w:val="24"/>
        </w:rPr>
        <w:t>augmentation </w:t>
      </w:r>
      <w:r>
        <w:rPr>
          <w:sz w:val="24"/>
        </w:rPr>
        <w:t>under rule 5.21.</w:t>
      </w:r>
    </w:p>
    <w:p>
      <w:pPr>
        <w:spacing w:after="0"/>
        <w:jc w:val="left"/>
        <w:rPr>
          <w:sz w:val="24"/>
        </w:rPr>
        <w:sectPr>
          <w:pgSz w:w="11910" w:h="16840"/>
          <w:pgMar w:header="686" w:footer="637" w:top="1320" w:bottom="820" w:left="1200" w:right="1000"/>
        </w:sectPr>
      </w:pPr>
    </w:p>
    <w:p>
      <w:pPr>
        <w:pStyle w:val="Heading5"/>
        <w:spacing w:before="83"/>
        <w:jc w:val="left"/>
        <w:rPr>
          <w:i/>
        </w:rPr>
      </w:pPr>
      <w:r>
        <w:rPr>
          <w:i/>
        </w:rPr>
        <w:t>Australian Central Standard Time (ACST)</w:t>
      </w:r>
    </w:p>
    <w:p>
      <w:pPr>
        <w:spacing w:before="120"/>
        <w:ind w:left="1352" w:right="415" w:firstLine="0"/>
        <w:jc w:val="left"/>
        <w:rPr>
          <w:sz w:val="24"/>
        </w:rPr>
      </w:pPr>
      <w:r>
        <w:rPr>
          <w:sz w:val="24"/>
        </w:rPr>
        <w:t>The time that is set at 9 hours and 30 minutes in advance of </w:t>
      </w:r>
      <w:r>
        <w:rPr>
          <w:i/>
          <w:sz w:val="24"/>
        </w:rPr>
        <w:t>Co-ordinated </w:t>
      </w:r>
      <w:r>
        <w:rPr>
          <w:i/>
          <w:sz w:val="24"/>
        </w:rPr>
        <w:t>Universal Time</w:t>
      </w:r>
      <w:r>
        <w:rPr>
          <w:sz w:val="24"/>
        </w:rPr>
        <w:t>.</w:t>
      </w:r>
    </w:p>
    <w:p>
      <w:pPr>
        <w:pStyle w:val="Heading5"/>
        <w:jc w:val="left"/>
        <w:rPr>
          <w:i/>
        </w:rPr>
      </w:pPr>
      <w:r>
        <w:rPr>
          <w:i/>
        </w:rPr>
        <w:t>Australian Standard (AS)</w:t>
      </w:r>
    </w:p>
    <w:p>
      <w:pPr>
        <w:pStyle w:val="BodyText"/>
        <w:ind w:left="1352" w:right="415" w:firstLine="0"/>
        <w:jc w:val="left"/>
      </w:pPr>
      <w:r>
        <w:rPr/>
        <w:t>The most recent edition of a standard publication by Standards Australia (Standards Association of Australia).</w:t>
      </w:r>
    </w:p>
    <w:p>
      <w:pPr>
        <w:pStyle w:val="Heading5"/>
        <w:jc w:val="left"/>
        <w:rPr>
          <w:i/>
        </w:rPr>
      </w:pPr>
      <w:r>
        <w:rPr>
          <w:i/>
        </w:rPr>
        <w:t>Australian Government's National Greenhouse and Energy Reporting Framework</w:t>
      </w:r>
    </w:p>
    <w:p>
      <w:pPr>
        <w:pStyle w:val="BodyText"/>
        <w:ind w:left="1352" w:firstLine="0"/>
        <w:jc w:val="left"/>
      </w:pPr>
      <w:r>
        <w:rPr/>
        <w:t>The reporting framework developed under the National Greenhouse and Energy Reporting Act 2007 (Cth).</w:t>
      </w:r>
    </w:p>
    <w:p>
      <w:pPr>
        <w:spacing w:after="0"/>
        <w:jc w:val="left"/>
        <w:sectPr>
          <w:pgSz w:w="11910" w:h="16840"/>
          <w:pgMar w:header="686" w:footer="637" w:top="1320" w:bottom="820" w:left="1200" w:right="1000"/>
        </w:sectPr>
      </w:pPr>
    </w:p>
    <w:p>
      <w:pPr>
        <w:pStyle w:val="Heading5"/>
        <w:jc w:val="left"/>
        <w:rPr>
          <w:i/>
        </w:rPr>
      </w:pPr>
      <w:r>
        <w:rPr>
          <w:i/>
        </w:rPr>
        <w:t>Authority</w:t>
      </w:r>
    </w:p>
    <w:p>
      <w:pPr>
        <w:pStyle w:val="BodyText"/>
        <w:spacing w:before="0"/>
        <w:ind w:firstLine="0"/>
        <w:jc w:val="left"/>
        <w:rPr>
          <w:b/>
          <w:i/>
          <w:sz w:val="26"/>
        </w:rPr>
      </w:pPr>
      <w:r>
        <w:rPr/>
        <w:br w:type="column"/>
      </w:r>
      <w:r>
        <w:rPr>
          <w:b/>
          <w:i/>
          <w:sz w:val="26"/>
        </w:rPr>
      </w:r>
    </w:p>
    <w:p>
      <w:pPr>
        <w:pStyle w:val="BodyText"/>
        <w:spacing w:before="217"/>
        <w:ind w:left="146" w:right="415" w:firstLine="0"/>
      </w:pPr>
      <w:r>
        <w:rPr/>
        <w:t>Any government, government department, instrumentality, </w:t>
      </w:r>
      <w:r>
        <w:rPr>
          <w:i/>
        </w:rPr>
        <w:t>Minister</w:t>
      </w:r>
      <w:r>
        <w:rPr/>
        <w:t>, agency, statutory authority or other body in which a government has a controlling interest, and includes the </w:t>
      </w:r>
      <w:r>
        <w:rPr>
          <w:i/>
        </w:rPr>
        <w:t>AEMC</w:t>
      </w:r>
      <w:r>
        <w:rPr/>
        <w:t>, </w:t>
      </w:r>
      <w:r>
        <w:rPr>
          <w:i/>
        </w:rPr>
        <w:t>AEMO</w:t>
      </w:r>
      <w:r>
        <w:rPr/>
        <w:t>, the </w:t>
      </w:r>
      <w:r>
        <w:rPr>
          <w:i/>
        </w:rPr>
        <w:t>AER </w:t>
      </w:r>
      <w:r>
        <w:rPr/>
        <w:t>and the </w:t>
      </w:r>
      <w:r>
        <w:rPr>
          <w:i/>
        </w:rPr>
        <w:t>ACCC </w:t>
      </w:r>
      <w:r>
        <w:rPr/>
        <w:t>and their successors.</w:t>
      </w:r>
    </w:p>
    <w:p>
      <w:pPr>
        <w:spacing w:after="0"/>
        <w:sectPr>
          <w:type w:val="continuous"/>
          <w:pgSz w:w="11910" w:h="16840"/>
          <w:pgMar w:top="1360" w:bottom="280" w:left="1200" w:right="1000"/>
          <w:cols w:num="2" w:equalWidth="0">
            <w:col w:w="1166" w:space="40"/>
            <w:col w:w="8504"/>
          </w:cols>
        </w:sectPr>
      </w:pPr>
    </w:p>
    <w:p>
      <w:pPr>
        <w:pStyle w:val="Heading5"/>
        <w:rPr>
          <w:i/>
        </w:rPr>
      </w:pPr>
      <w:r>
        <w:rPr>
          <w:i/>
        </w:rPr>
        <w:t>automatic access standard</w:t>
      </w:r>
    </w:p>
    <w:p>
      <w:pPr>
        <w:pStyle w:val="BodyText"/>
        <w:ind w:left="1352" w:right="415" w:firstLine="0"/>
      </w:pPr>
      <w:r>
        <w:rPr/>
        <w:t>In relation to a technical requirement of access, a standard of performance, identified in a schedule of Chapter 5 as an automatic access standard for that technical requirement, such that a </w:t>
      </w:r>
      <w:r>
        <w:rPr>
          <w:i/>
        </w:rPr>
        <w:t>plant </w:t>
      </w:r>
      <w:r>
        <w:rPr/>
        <w:t>that meets that standard would not be denied access because of that technical requirement.</w:t>
      </w:r>
    </w:p>
    <w:p>
      <w:pPr>
        <w:pStyle w:val="Heading5"/>
        <w:rPr>
          <w:i/>
        </w:rPr>
      </w:pPr>
      <w:r>
        <w:rPr>
          <w:i/>
        </w:rPr>
        <w:t>automatic generation control system (AGC)</w:t>
      </w:r>
    </w:p>
    <w:p>
      <w:pPr>
        <w:spacing w:before="120"/>
        <w:ind w:left="1352" w:right="416" w:firstLine="0"/>
        <w:jc w:val="both"/>
        <w:rPr>
          <w:sz w:val="24"/>
        </w:rPr>
      </w:pPr>
      <w:r>
        <w:rPr>
          <w:sz w:val="24"/>
        </w:rPr>
        <w:t>The system into which the </w:t>
      </w:r>
      <w:r>
        <w:rPr>
          <w:i/>
          <w:sz w:val="24"/>
        </w:rPr>
        <w:t>loading levels </w:t>
      </w:r>
      <w:r>
        <w:rPr>
          <w:sz w:val="24"/>
        </w:rPr>
        <w:t>from economic </w:t>
      </w:r>
      <w:r>
        <w:rPr>
          <w:i/>
          <w:sz w:val="24"/>
        </w:rPr>
        <w:t>dispatch </w:t>
      </w:r>
      <w:r>
        <w:rPr>
          <w:sz w:val="24"/>
        </w:rPr>
        <w:t>will be entered for </w:t>
      </w:r>
      <w:r>
        <w:rPr>
          <w:i/>
          <w:sz w:val="24"/>
        </w:rPr>
        <w:t>generating units </w:t>
      </w:r>
      <w:r>
        <w:rPr>
          <w:sz w:val="24"/>
        </w:rPr>
        <w:t>operating on automatic generation control in accordance with clause 3.8.21(d).</w:t>
      </w:r>
    </w:p>
    <w:p>
      <w:pPr>
        <w:pStyle w:val="Heading5"/>
        <w:rPr>
          <w:i/>
        </w:rPr>
      </w:pPr>
      <w:r>
        <w:rPr>
          <w:i/>
        </w:rPr>
        <w:t>automatic reclose equipment</w:t>
      </w:r>
    </w:p>
    <w:p>
      <w:pPr>
        <w:spacing w:before="120"/>
        <w:ind w:left="1352" w:right="415" w:firstLine="0"/>
        <w:jc w:val="both"/>
        <w:rPr>
          <w:sz w:val="24"/>
        </w:rPr>
      </w:pPr>
      <w:r>
        <w:rPr>
          <w:sz w:val="24"/>
        </w:rPr>
        <w:t>In relation to a </w:t>
      </w:r>
      <w:r>
        <w:rPr>
          <w:i/>
          <w:sz w:val="24"/>
        </w:rPr>
        <w:t>transmission line </w:t>
      </w:r>
      <w:r>
        <w:rPr>
          <w:sz w:val="24"/>
        </w:rPr>
        <w:t>or </w:t>
      </w:r>
      <w:r>
        <w:rPr>
          <w:i/>
          <w:sz w:val="24"/>
        </w:rPr>
        <w:t>distribution line</w:t>
      </w:r>
      <w:r>
        <w:rPr>
          <w:sz w:val="24"/>
        </w:rPr>
        <w:t>, the equipment which automatically recloses the relevant line's circuit breaker(s) following their opening as a result of the detection of a fault in the </w:t>
      </w:r>
      <w:r>
        <w:rPr>
          <w:i/>
          <w:sz w:val="24"/>
        </w:rPr>
        <w:t>transmission line </w:t>
      </w:r>
      <w:r>
        <w:rPr>
          <w:sz w:val="24"/>
        </w:rPr>
        <w:t>or the </w:t>
      </w:r>
      <w:r>
        <w:rPr>
          <w:i/>
          <w:sz w:val="24"/>
        </w:rPr>
        <w:t>distribution </w:t>
      </w:r>
      <w:r>
        <w:rPr>
          <w:i/>
          <w:sz w:val="24"/>
        </w:rPr>
        <w:t>line </w:t>
      </w:r>
      <w:r>
        <w:rPr>
          <w:sz w:val="24"/>
        </w:rPr>
        <w:t>(as the case may</w:t>
      </w:r>
      <w:r>
        <w:rPr>
          <w:spacing w:val="-4"/>
          <w:sz w:val="24"/>
        </w:rPr>
        <w:t> </w:t>
      </w:r>
      <w:r>
        <w:rPr>
          <w:sz w:val="24"/>
        </w:rPr>
        <w:t>be).</w:t>
      </w:r>
    </w:p>
    <w:p>
      <w:pPr>
        <w:pStyle w:val="Heading5"/>
        <w:rPr>
          <w:i/>
        </w:rPr>
      </w:pPr>
      <w:r>
        <w:rPr>
          <w:i/>
        </w:rPr>
        <w:t>available capacity</w:t>
      </w:r>
    </w:p>
    <w:p>
      <w:pPr>
        <w:spacing w:before="120"/>
        <w:ind w:left="1352" w:right="416" w:firstLine="0"/>
        <w:jc w:val="both"/>
        <w:rPr>
          <w:sz w:val="24"/>
        </w:rPr>
      </w:pPr>
      <w:r>
        <w:rPr>
          <w:sz w:val="24"/>
        </w:rPr>
        <w:t>The total MW capacity available for </w:t>
      </w:r>
      <w:r>
        <w:rPr>
          <w:i/>
          <w:sz w:val="24"/>
        </w:rPr>
        <w:t>dispatch </w:t>
      </w:r>
      <w:r>
        <w:rPr>
          <w:sz w:val="24"/>
        </w:rPr>
        <w:t>by a </w:t>
      </w:r>
      <w:r>
        <w:rPr>
          <w:i/>
          <w:sz w:val="24"/>
        </w:rPr>
        <w:t>scheduled generating unit</w:t>
      </w:r>
      <w:r>
        <w:rPr>
          <w:sz w:val="24"/>
        </w:rPr>
        <w:t>, </w:t>
      </w:r>
      <w:r>
        <w:rPr>
          <w:i/>
          <w:sz w:val="24"/>
        </w:rPr>
        <w:t>semi-scheduled generating unit </w:t>
      </w:r>
      <w:r>
        <w:rPr>
          <w:sz w:val="24"/>
        </w:rPr>
        <w:t>or </w:t>
      </w:r>
      <w:r>
        <w:rPr>
          <w:i/>
          <w:sz w:val="24"/>
        </w:rPr>
        <w:t>scheduled load </w:t>
      </w:r>
      <w:r>
        <w:rPr>
          <w:sz w:val="24"/>
        </w:rPr>
        <w:t>(i.e. maximum plant availability) or, in relation to a specified </w:t>
      </w:r>
      <w:r>
        <w:rPr>
          <w:i/>
          <w:sz w:val="24"/>
        </w:rPr>
        <w:t>price band</w:t>
      </w:r>
      <w:r>
        <w:rPr>
          <w:sz w:val="24"/>
        </w:rPr>
        <w:t>, the MW capacity within that </w:t>
      </w:r>
      <w:r>
        <w:rPr>
          <w:i/>
          <w:sz w:val="24"/>
        </w:rPr>
        <w:t>price band </w:t>
      </w:r>
      <w:r>
        <w:rPr>
          <w:sz w:val="24"/>
        </w:rPr>
        <w:t>available for </w:t>
      </w:r>
      <w:r>
        <w:rPr>
          <w:i/>
          <w:sz w:val="24"/>
        </w:rPr>
        <w:t>dispatch </w:t>
      </w:r>
      <w:r>
        <w:rPr>
          <w:sz w:val="24"/>
        </w:rPr>
        <w:t>(i.e. availability at each price band).</w:t>
      </w:r>
    </w:p>
    <w:p>
      <w:pPr>
        <w:pStyle w:val="Heading5"/>
        <w:rPr>
          <w:i/>
        </w:rPr>
      </w:pPr>
      <w:r>
        <w:rPr>
          <w:i/>
        </w:rPr>
        <w:t>average electrical energy loss</w:t>
      </w:r>
    </w:p>
    <w:p>
      <w:pPr>
        <w:spacing w:before="120"/>
        <w:ind w:left="1352" w:right="0" w:firstLine="0"/>
        <w:jc w:val="both"/>
        <w:rPr>
          <w:sz w:val="24"/>
        </w:rPr>
      </w:pPr>
      <w:r>
        <w:rPr>
          <w:sz w:val="24"/>
        </w:rPr>
        <w:t>The volume-weighted average of the </w:t>
      </w:r>
      <w:r>
        <w:rPr>
          <w:i/>
          <w:sz w:val="24"/>
        </w:rPr>
        <w:t>electrical energy losses </w:t>
      </w:r>
      <w:r>
        <w:rPr>
          <w:sz w:val="24"/>
        </w:rPr>
        <w:t>incurred in each</w:t>
      </w:r>
    </w:p>
    <w:p>
      <w:pPr>
        <w:spacing w:before="0"/>
        <w:ind w:left="1352" w:right="0" w:firstLine="0"/>
        <w:jc w:val="both"/>
        <w:rPr>
          <w:sz w:val="24"/>
        </w:rPr>
      </w:pPr>
      <w:r>
        <w:rPr>
          <w:i/>
          <w:sz w:val="24"/>
        </w:rPr>
        <w:t>trading interval </w:t>
      </w:r>
      <w:r>
        <w:rPr>
          <w:sz w:val="24"/>
        </w:rPr>
        <w:t>over all </w:t>
      </w:r>
      <w:r>
        <w:rPr>
          <w:i/>
          <w:sz w:val="24"/>
        </w:rPr>
        <w:t>trading intervals </w:t>
      </w:r>
      <w:r>
        <w:rPr>
          <w:sz w:val="24"/>
        </w:rPr>
        <w:t>in a defined period of time</w:t>
      </w:r>
    </w:p>
    <w:p>
      <w:pPr>
        <w:pStyle w:val="Heading5"/>
        <w:rPr>
          <w:i/>
        </w:rPr>
      </w:pPr>
      <w:r>
        <w:rPr>
          <w:i/>
        </w:rPr>
        <w:t>average loss factor</w:t>
      </w:r>
    </w:p>
    <w:p>
      <w:pPr>
        <w:spacing w:before="120"/>
        <w:ind w:left="1352" w:right="415" w:firstLine="0"/>
        <w:jc w:val="both"/>
        <w:rPr>
          <w:sz w:val="24"/>
        </w:rPr>
      </w:pPr>
      <w:r>
        <w:rPr>
          <w:sz w:val="24"/>
        </w:rPr>
        <w:t>A multiplier used to describe the </w:t>
      </w:r>
      <w:r>
        <w:rPr>
          <w:i/>
          <w:sz w:val="24"/>
        </w:rPr>
        <w:t>average electrical energy loss </w:t>
      </w:r>
      <w:r>
        <w:rPr>
          <w:sz w:val="24"/>
        </w:rPr>
        <w:t>for electricity used or</w:t>
      </w:r>
      <w:r>
        <w:rPr>
          <w:spacing w:val="-1"/>
          <w:sz w:val="24"/>
        </w:rPr>
        <w:t> </w:t>
      </w:r>
      <w:r>
        <w:rPr>
          <w:sz w:val="24"/>
        </w:rPr>
        <w:t>transmitted.</w:t>
      </w:r>
    </w:p>
    <w:p>
      <w:pPr>
        <w:pStyle w:val="Heading5"/>
        <w:rPr>
          <w:i/>
        </w:rPr>
      </w:pPr>
      <w:r>
        <w:rPr>
          <w:i/>
        </w:rPr>
        <w:t>avoided Customer TUOS charges</w:t>
      </w:r>
    </w:p>
    <w:p>
      <w:pPr>
        <w:pStyle w:val="BodyText"/>
        <w:ind w:left="1352" w:firstLine="0"/>
      </w:pPr>
      <w:r>
        <w:rPr/>
        <w:t>The charges described in rule 5.3AA(h).</w:t>
      </w:r>
    </w:p>
    <w:p>
      <w:pPr>
        <w:spacing w:after="0"/>
        <w:sectPr>
          <w:type w:val="continuous"/>
          <w:pgSz w:w="11910" w:h="16840"/>
          <w:pgMar w:top="1360" w:bottom="280" w:left="1200" w:right="1000"/>
        </w:sectPr>
      </w:pPr>
    </w:p>
    <w:p>
      <w:pPr>
        <w:pStyle w:val="Heading5"/>
        <w:spacing w:before="83"/>
        <w:jc w:val="left"/>
        <w:rPr>
          <w:i/>
        </w:rPr>
      </w:pPr>
      <w:r>
        <w:rPr>
          <w:i/>
        </w:rPr>
        <w:t>B2B Change Party</w:t>
      </w:r>
    </w:p>
    <w:p>
      <w:pPr>
        <w:spacing w:before="120"/>
        <w:ind w:left="1352" w:right="415" w:firstLine="0"/>
        <w:jc w:val="left"/>
        <w:rPr>
          <w:sz w:val="24"/>
        </w:rPr>
      </w:pPr>
      <w:r>
        <w:rPr>
          <w:sz w:val="24"/>
        </w:rPr>
        <w:t>A person who has provided a change proposal to the </w:t>
      </w:r>
      <w:r>
        <w:rPr>
          <w:i/>
          <w:sz w:val="24"/>
        </w:rPr>
        <w:t>Information Exchange </w:t>
      </w:r>
      <w:r>
        <w:rPr>
          <w:i/>
          <w:sz w:val="24"/>
        </w:rPr>
        <w:t>Committee </w:t>
      </w:r>
      <w:r>
        <w:rPr>
          <w:sz w:val="24"/>
        </w:rPr>
        <w:t>under clause 7.17.4(f) and is not otherwise a </w:t>
      </w:r>
      <w:r>
        <w:rPr>
          <w:i/>
          <w:sz w:val="24"/>
        </w:rPr>
        <w:t>B2B Party</w:t>
      </w:r>
      <w:r>
        <w:rPr>
          <w:sz w:val="24"/>
        </w:rPr>
        <w:t>.</w:t>
      </w:r>
    </w:p>
    <w:p>
      <w:pPr>
        <w:pStyle w:val="Heading5"/>
        <w:jc w:val="left"/>
        <w:rPr>
          <w:i/>
        </w:rPr>
      </w:pPr>
      <w:r>
        <w:rPr>
          <w:i/>
        </w:rPr>
        <w:t>B2B Communications</w:t>
      </w:r>
    </w:p>
    <w:p>
      <w:pPr>
        <w:spacing w:before="120"/>
        <w:ind w:left="1352" w:right="0" w:firstLine="0"/>
        <w:jc w:val="left"/>
        <w:rPr>
          <w:sz w:val="24"/>
        </w:rPr>
      </w:pPr>
      <w:r>
        <w:rPr>
          <w:sz w:val="24"/>
        </w:rPr>
        <w:t>Communications between </w:t>
      </w:r>
      <w:r>
        <w:rPr>
          <w:i/>
          <w:sz w:val="24"/>
        </w:rPr>
        <w:t>B2B Parties </w:t>
      </w:r>
      <w:r>
        <w:rPr>
          <w:sz w:val="24"/>
        </w:rPr>
        <w:t>relating to end-users or </w:t>
      </w:r>
      <w:r>
        <w:rPr>
          <w:i/>
          <w:sz w:val="24"/>
        </w:rPr>
        <w:t>supply </w:t>
      </w:r>
      <w:r>
        <w:rPr>
          <w:sz w:val="24"/>
        </w:rPr>
        <w:t>to end-users provided for in the </w:t>
      </w:r>
      <w:r>
        <w:rPr>
          <w:i/>
          <w:sz w:val="24"/>
        </w:rPr>
        <w:t>B2B Procedures</w:t>
      </w:r>
      <w:r>
        <w:rPr>
          <w:sz w:val="24"/>
        </w:rPr>
        <w:t>.</w:t>
      </w:r>
    </w:p>
    <w:p>
      <w:pPr>
        <w:spacing w:after="0"/>
        <w:jc w:val="left"/>
        <w:rPr>
          <w:sz w:val="24"/>
        </w:rPr>
        <w:sectPr>
          <w:pgSz w:w="11910" w:h="16840"/>
          <w:pgMar w:header="686" w:footer="637" w:top="1320" w:bottom="820" w:left="1200" w:right="1000"/>
        </w:sectPr>
      </w:pPr>
    </w:p>
    <w:p>
      <w:pPr>
        <w:pStyle w:val="Heading5"/>
        <w:jc w:val="left"/>
        <w:rPr>
          <w:i/>
        </w:rPr>
      </w:pPr>
      <w:r>
        <w:rPr>
          <w:i/>
        </w:rPr>
        <w:t>B2B </w:t>
      </w:r>
      <w:r>
        <w:rPr>
          <w:i/>
          <w:spacing w:val="-4"/>
        </w:rPr>
        <w:t>costs</w:t>
      </w: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2"/>
        <w:ind w:firstLine="0"/>
        <w:jc w:val="left"/>
        <w:rPr>
          <w:b/>
          <w:i/>
          <w:sz w:val="32"/>
        </w:rPr>
      </w:pPr>
    </w:p>
    <w:p>
      <w:pPr>
        <w:spacing w:before="0"/>
        <w:ind w:left="218" w:right="0" w:firstLine="0"/>
        <w:jc w:val="left"/>
        <w:rPr>
          <w:b/>
          <w:i/>
          <w:sz w:val="24"/>
        </w:rPr>
      </w:pPr>
      <w:r>
        <w:rPr>
          <w:b/>
          <w:i/>
          <w:sz w:val="24"/>
        </w:rPr>
        <w:t>B2B </w:t>
      </w:r>
      <w:r>
        <w:rPr>
          <w:b/>
          <w:i/>
          <w:spacing w:val="-5"/>
          <w:sz w:val="24"/>
        </w:rPr>
        <w:t>Data</w:t>
      </w:r>
    </w:p>
    <w:p>
      <w:pPr>
        <w:pStyle w:val="BodyText"/>
        <w:spacing w:before="0"/>
        <w:ind w:firstLine="0"/>
        <w:jc w:val="left"/>
        <w:rPr>
          <w:b/>
          <w:i/>
          <w:sz w:val="26"/>
        </w:rPr>
      </w:pPr>
      <w:r>
        <w:rPr/>
        <w:br w:type="column"/>
      </w:r>
      <w:r>
        <w:rPr>
          <w:b/>
          <w:i/>
          <w:sz w:val="26"/>
        </w:rPr>
      </w:r>
    </w:p>
    <w:p>
      <w:pPr>
        <w:pStyle w:val="BodyText"/>
        <w:spacing w:before="217"/>
        <w:ind w:left="113" w:firstLine="0"/>
      </w:pPr>
      <w:r>
        <w:rPr/>
        <w:t>The following costs incurred by </w:t>
      </w:r>
      <w:r>
        <w:rPr>
          <w:i/>
        </w:rPr>
        <w:t>AEMO</w:t>
      </w:r>
      <w:r>
        <w:rPr/>
        <w:t>:</w:t>
      </w:r>
    </w:p>
    <w:p>
      <w:pPr>
        <w:pStyle w:val="ListParagraph"/>
        <w:numPr>
          <w:ilvl w:val="0"/>
          <w:numId w:val="717"/>
        </w:numPr>
        <w:tabs>
          <w:tab w:pos="681" w:val="left" w:leader="none"/>
        </w:tabs>
        <w:spacing w:line="240" w:lineRule="auto" w:before="120" w:after="0"/>
        <w:ind w:left="680" w:right="0" w:hanging="568"/>
        <w:jc w:val="both"/>
        <w:rPr>
          <w:sz w:val="24"/>
        </w:rPr>
      </w:pPr>
      <w:r>
        <w:rPr>
          <w:sz w:val="24"/>
        </w:rPr>
        <w:t>the costs of the development of the </w:t>
      </w:r>
      <w:r>
        <w:rPr>
          <w:i/>
          <w:sz w:val="24"/>
        </w:rPr>
        <w:t>B2B</w:t>
      </w:r>
      <w:r>
        <w:rPr>
          <w:i/>
          <w:spacing w:val="-2"/>
          <w:sz w:val="24"/>
        </w:rPr>
        <w:t> </w:t>
      </w:r>
      <w:r>
        <w:rPr>
          <w:i/>
          <w:sz w:val="24"/>
        </w:rPr>
        <w:t>Procedures</w:t>
      </w:r>
      <w:r>
        <w:rPr>
          <w:sz w:val="24"/>
        </w:rPr>
        <w:t>;</w:t>
      </w:r>
    </w:p>
    <w:p>
      <w:pPr>
        <w:pStyle w:val="ListParagraph"/>
        <w:numPr>
          <w:ilvl w:val="0"/>
          <w:numId w:val="717"/>
        </w:numPr>
        <w:tabs>
          <w:tab w:pos="681" w:val="left" w:leader="none"/>
        </w:tabs>
        <w:spacing w:line="240" w:lineRule="auto" w:before="120" w:after="0"/>
        <w:ind w:left="680" w:right="414" w:hanging="567"/>
        <w:jc w:val="both"/>
        <w:rPr>
          <w:sz w:val="24"/>
        </w:rPr>
      </w:pPr>
      <w:r>
        <w:rPr>
          <w:sz w:val="24"/>
        </w:rPr>
        <w:t>the costs of the establishment and operation of the </w:t>
      </w:r>
      <w:r>
        <w:rPr>
          <w:i/>
          <w:sz w:val="24"/>
        </w:rPr>
        <w:t>Information Exchange </w:t>
      </w:r>
      <w:r>
        <w:rPr>
          <w:i/>
          <w:sz w:val="24"/>
        </w:rPr>
        <w:t>Committee </w:t>
      </w:r>
      <w:r>
        <w:rPr>
          <w:sz w:val="24"/>
        </w:rPr>
        <w:t>(including the engagement costs of specialist advisers), all of which must be set out in the budget prepared by the </w:t>
      </w:r>
      <w:r>
        <w:rPr>
          <w:i/>
          <w:sz w:val="24"/>
        </w:rPr>
        <w:t>Information Exchange </w:t>
      </w:r>
      <w:r>
        <w:rPr>
          <w:i/>
          <w:sz w:val="24"/>
        </w:rPr>
        <w:t>Committee </w:t>
      </w:r>
      <w:r>
        <w:rPr>
          <w:sz w:val="24"/>
        </w:rPr>
        <w:t>pursuant to clause 7.17.7(d) and the </w:t>
      </w:r>
      <w:r>
        <w:rPr>
          <w:i/>
          <w:sz w:val="24"/>
        </w:rPr>
        <w:t>Information Exchange </w:t>
      </w:r>
      <w:r>
        <w:rPr>
          <w:i/>
          <w:sz w:val="24"/>
        </w:rPr>
        <w:t>Committee Annual Report</w:t>
      </w:r>
      <w:r>
        <w:rPr>
          <w:sz w:val="24"/>
        </w:rPr>
        <w:t>;</w:t>
      </w:r>
      <w:r>
        <w:rPr>
          <w:spacing w:val="-1"/>
          <w:sz w:val="24"/>
        </w:rPr>
        <w:t> </w:t>
      </w:r>
      <w:r>
        <w:rPr>
          <w:sz w:val="24"/>
        </w:rPr>
        <w:t>and</w:t>
      </w:r>
    </w:p>
    <w:p>
      <w:pPr>
        <w:pStyle w:val="ListParagraph"/>
        <w:numPr>
          <w:ilvl w:val="0"/>
          <w:numId w:val="717"/>
        </w:numPr>
        <w:tabs>
          <w:tab w:pos="681" w:val="left" w:leader="none"/>
        </w:tabs>
        <w:spacing w:line="240" w:lineRule="auto" w:before="120" w:after="0"/>
        <w:ind w:left="680" w:right="415" w:hanging="567"/>
        <w:jc w:val="both"/>
        <w:rPr>
          <w:sz w:val="24"/>
        </w:rPr>
      </w:pPr>
      <w:r>
        <w:rPr>
          <w:sz w:val="24"/>
        </w:rPr>
        <w:t>the operational costs associated with any service provided by </w:t>
      </w:r>
      <w:r>
        <w:rPr>
          <w:i/>
          <w:sz w:val="24"/>
        </w:rPr>
        <w:t>AEMO </w:t>
      </w:r>
      <w:r>
        <w:rPr>
          <w:sz w:val="24"/>
        </w:rPr>
        <w:t>to facilitate </w:t>
      </w:r>
      <w:r>
        <w:rPr>
          <w:i/>
          <w:sz w:val="24"/>
        </w:rPr>
        <w:t>B2B Communications </w:t>
      </w:r>
      <w:r>
        <w:rPr>
          <w:sz w:val="24"/>
        </w:rPr>
        <w:t>(including providing, maintaining, upgrading and operating a </w:t>
      </w:r>
      <w:r>
        <w:rPr>
          <w:i/>
          <w:sz w:val="24"/>
        </w:rPr>
        <w:t>B2B</w:t>
      </w:r>
      <w:r>
        <w:rPr>
          <w:i/>
          <w:spacing w:val="-2"/>
          <w:sz w:val="24"/>
        </w:rPr>
        <w:t> </w:t>
      </w:r>
      <w:r>
        <w:rPr>
          <w:i/>
          <w:sz w:val="24"/>
        </w:rPr>
        <w:t>e-Hub</w:t>
      </w:r>
      <w:r>
        <w:rPr>
          <w:sz w:val="24"/>
        </w:rPr>
        <w:t>).</w:t>
      </w:r>
    </w:p>
    <w:p>
      <w:pPr>
        <w:pStyle w:val="BodyText"/>
        <w:spacing w:before="0"/>
        <w:ind w:firstLine="0"/>
        <w:jc w:val="left"/>
        <w:rPr>
          <w:sz w:val="26"/>
        </w:rPr>
      </w:pPr>
    </w:p>
    <w:p>
      <w:pPr>
        <w:spacing w:before="217"/>
        <w:ind w:left="113" w:right="0" w:firstLine="0"/>
        <w:jc w:val="both"/>
        <w:rPr>
          <w:sz w:val="24"/>
        </w:rPr>
      </w:pPr>
      <w:r>
        <w:rPr>
          <w:sz w:val="24"/>
        </w:rPr>
        <w:t>Data relating to </w:t>
      </w:r>
      <w:r>
        <w:rPr>
          <w:i/>
          <w:sz w:val="24"/>
        </w:rPr>
        <w:t>B2B Communications</w:t>
      </w:r>
      <w:r>
        <w:rPr>
          <w:sz w:val="24"/>
        </w:rPr>
        <w:t>.</w:t>
      </w:r>
    </w:p>
    <w:p>
      <w:pPr>
        <w:spacing w:after="0"/>
        <w:jc w:val="both"/>
        <w:rPr>
          <w:sz w:val="24"/>
        </w:rPr>
        <w:sectPr>
          <w:type w:val="continuous"/>
          <w:pgSz w:w="11910" w:h="16840"/>
          <w:pgMar w:top="1360" w:bottom="280" w:left="1200" w:right="1000"/>
          <w:cols w:num="2" w:equalWidth="0">
            <w:col w:w="1199" w:space="40"/>
            <w:col w:w="8471"/>
          </w:cols>
        </w:sectPr>
      </w:pPr>
    </w:p>
    <w:p>
      <w:pPr>
        <w:pStyle w:val="Heading5"/>
        <w:jc w:val="left"/>
        <w:rPr>
          <w:i/>
        </w:rPr>
      </w:pPr>
      <w:r>
        <w:rPr>
          <w:i/>
        </w:rPr>
        <w:t>B2B Decision</w:t>
      </w:r>
    </w:p>
    <w:p>
      <w:pPr>
        <w:spacing w:before="120"/>
        <w:ind w:left="1352" w:right="415" w:firstLine="0"/>
        <w:jc w:val="left"/>
        <w:rPr>
          <w:sz w:val="24"/>
        </w:rPr>
      </w:pPr>
      <w:r>
        <w:rPr>
          <w:sz w:val="24"/>
        </w:rPr>
        <w:t>A decision of </w:t>
      </w:r>
      <w:r>
        <w:rPr>
          <w:i/>
          <w:sz w:val="24"/>
        </w:rPr>
        <w:t>AEMO </w:t>
      </w:r>
      <w:r>
        <w:rPr>
          <w:sz w:val="24"/>
        </w:rPr>
        <w:t>to approve or not approve an </w:t>
      </w:r>
      <w:r>
        <w:rPr>
          <w:i/>
          <w:sz w:val="24"/>
        </w:rPr>
        <w:t>Information Exchange </w:t>
      </w:r>
      <w:r>
        <w:rPr>
          <w:i/>
          <w:sz w:val="24"/>
        </w:rPr>
        <w:t>Committee Recommendation</w:t>
      </w:r>
      <w:r>
        <w:rPr>
          <w:sz w:val="24"/>
        </w:rPr>
        <w:t>.</w:t>
      </w:r>
    </w:p>
    <w:p>
      <w:pPr>
        <w:pStyle w:val="Heading5"/>
        <w:jc w:val="left"/>
        <w:rPr>
          <w:i/>
        </w:rPr>
      </w:pPr>
      <w:r>
        <w:rPr>
          <w:i/>
        </w:rPr>
        <w:t>B2B Determination Dispute</w:t>
      </w:r>
    </w:p>
    <w:p>
      <w:pPr>
        <w:spacing w:before="120"/>
        <w:ind w:left="1352" w:right="415" w:firstLine="0"/>
        <w:jc w:val="left"/>
        <w:rPr>
          <w:sz w:val="24"/>
        </w:rPr>
      </w:pPr>
      <w:r>
        <w:rPr>
          <w:sz w:val="24"/>
        </w:rPr>
        <w:t>A dispute in relation to either a </w:t>
      </w:r>
      <w:r>
        <w:rPr>
          <w:i/>
          <w:sz w:val="24"/>
        </w:rPr>
        <w:t>B2B Decision </w:t>
      </w:r>
      <w:r>
        <w:rPr>
          <w:sz w:val="24"/>
        </w:rPr>
        <w:t>or an </w:t>
      </w:r>
      <w:r>
        <w:rPr>
          <w:i/>
          <w:sz w:val="24"/>
        </w:rPr>
        <w:t>Information Exchange </w:t>
      </w:r>
      <w:r>
        <w:rPr>
          <w:i/>
          <w:sz w:val="24"/>
        </w:rPr>
        <w:t>Committee Recommendation</w:t>
      </w:r>
      <w:r>
        <w:rPr>
          <w:sz w:val="24"/>
        </w:rPr>
        <w:t>.</w:t>
      </w:r>
    </w:p>
    <w:p>
      <w:pPr>
        <w:spacing w:after="0"/>
        <w:jc w:val="left"/>
        <w:rPr>
          <w:sz w:val="24"/>
        </w:rPr>
        <w:sectPr>
          <w:type w:val="continuous"/>
          <w:pgSz w:w="11910" w:h="16840"/>
          <w:pgMar w:top="1360" w:bottom="280" w:left="1200" w:right="1000"/>
        </w:sectPr>
      </w:pPr>
    </w:p>
    <w:p>
      <w:pPr>
        <w:pStyle w:val="Heading5"/>
        <w:jc w:val="left"/>
        <w:rPr>
          <w:i/>
        </w:rPr>
      </w:pPr>
      <w:r>
        <w:rPr>
          <w:i/>
        </w:rPr>
        <w:t>B2B e-Hub</w:t>
      </w:r>
    </w:p>
    <w:p>
      <w:pPr>
        <w:pStyle w:val="BodyText"/>
        <w:spacing w:before="0"/>
        <w:ind w:firstLine="0"/>
        <w:jc w:val="left"/>
        <w:rPr>
          <w:b/>
          <w:i/>
          <w:sz w:val="26"/>
        </w:rPr>
      </w:pPr>
      <w:r>
        <w:rPr/>
        <w:br w:type="column"/>
      </w:r>
      <w:r>
        <w:rPr>
          <w:b/>
          <w:i/>
          <w:sz w:val="26"/>
        </w:rPr>
      </w:r>
    </w:p>
    <w:p>
      <w:pPr>
        <w:pStyle w:val="BodyText"/>
        <w:spacing w:before="217"/>
        <w:ind w:left="-34" w:right="400" w:firstLine="0"/>
        <w:jc w:val="left"/>
      </w:pPr>
      <w:r>
        <w:rPr/>
        <w:t>An electronic information exchange platform provided, maintained and operated by </w:t>
      </w:r>
      <w:r>
        <w:rPr>
          <w:i/>
        </w:rPr>
        <w:t>AEMO </w:t>
      </w:r>
      <w:r>
        <w:rPr/>
        <w:t>to facilitate </w:t>
      </w:r>
      <w:r>
        <w:rPr>
          <w:i/>
        </w:rPr>
        <w:t>B2B Communications</w:t>
      </w:r>
      <w:r>
        <w:rPr/>
        <w:t>.</w:t>
      </w:r>
    </w:p>
    <w:p>
      <w:pPr>
        <w:spacing w:after="0"/>
        <w:jc w:val="left"/>
        <w:sectPr>
          <w:type w:val="continuous"/>
          <w:pgSz w:w="11910" w:h="16840"/>
          <w:pgMar w:top="1360" w:bottom="280" w:left="1200" w:right="1000"/>
          <w:cols w:num="2" w:equalWidth="0">
            <w:col w:w="1346" w:space="40"/>
            <w:col w:w="8324"/>
          </w:cols>
        </w:sectPr>
      </w:pPr>
    </w:p>
    <w:p>
      <w:pPr>
        <w:pStyle w:val="Heading5"/>
        <w:rPr>
          <w:i/>
        </w:rPr>
      </w:pPr>
      <w:r>
        <w:rPr>
          <w:i/>
        </w:rPr>
        <w:t>B2B e-Hub Participant</w:t>
      </w:r>
    </w:p>
    <w:p>
      <w:pPr>
        <w:spacing w:before="120"/>
        <w:ind w:left="1352" w:right="415" w:firstLine="0"/>
        <w:jc w:val="both"/>
        <w:rPr>
          <w:sz w:val="24"/>
        </w:rPr>
      </w:pPr>
      <w:r>
        <w:rPr>
          <w:sz w:val="24"/>
        </w:rPr>
        <w:t>A person who has been accredited by </w:t>
      </w:r>
      <w:r>
        <w:rPr>
          <w:i/>
          <w:sz w:val="24"/>
        </w:rPr>
        <w:t>AEMO </w:t>
      </w:r>
      <w:r>
        <w:rPr>
          <w:sz w:val="24"/>
        </w:rPr>
        <w:t>as a </w:t>
      </w:r>
      <w:r>
        <w:rPr>
          <w:i/>
          <w:sz w:val="24"/>
        </w:rPr>
        <w:t>B2B e-Hub Participant </w:t>
      </w:r>
      <w:r>
        <w:rPr>
          <w:sz w:val="24"/>
        </w:rPr>
        <w:t>under clause 7.17.2.</w:t>
      </w:r>
    </w:p>
    <w:p>
      <w:pPr>
        <w:pStyle w:val="Heading5"/>
        <w:rPr>
          <w:i/>
        </w:rPr>
      </w:pPr>
      <w:r>
        <w:rPr>
          <w:i/>
        </w:rPr>
        <w:t>B2B factors</w:t>
      </w:r>
    </w:p>
    <w:p>
      <w:pPr>
        <w:pStyle w:val="BodyText"/>
        <w:ind w:left="1352" w:firstLine="0"/>
      </w:pPr>
      <w:r>
        <w:rPr/>
        <w:t>The following factors:</w:t>
      </w:r>
    </w:p>
    <w:p>
      <w:pPr>
        <w:pStyle w:val="ListParagraph"/>
        <w:numPr>
          <w:ilvl w:val="0"/>
          <w:numId w:val="718"/>
        </w:numPr>
        <w:tabs>
          <w:tab w:pos="1919" w:val="left" w:leader="none"/>
        </w:tabs>
        <w:spacing w:line="240" w:lineRule="auto" w:before="120" w:after="0"/>
        <w:ind w:left="1919" w:right="415" w:hanging="567"/>
        <w:jc w:val="both"/>
        <w:rPr>
          <w:sz w:val="24"/>
        </w:rPr>
      </w:pPr>
      <w:r>
        <w:rPr>
          <w:sz w:val="24"/>
        </w:rPr>
        <w:t>The reasonable costs of compliance by </w:t>
      </w:r>
      <w:r>
        <w:rPr>
          <w:i/>
          <w:sz w:val="24"/>
        </w:rPr>
        <w:t>AEMO </w:t>
      </w:r>
      <w:r>
        <w:rPr>
          <w:sz w:val="24"/>
        </w:rPr>
        <w:t>and </w:t>
      </w:r>
      <w:r>
        <w:rPr>
          <w:i/>
          <w:sz w:val="24"/>
        </w:rPr>
        <w:t>B2B Parties </w:t>
      </w:r>
      <w:r>
        <w:rPr>
          <w:sz w:val="24"/>
        </w:rPr>
        <w:t>with the </w:t>
      </w:r>
      <w:r>
        <w:rPr>
          <w:i/>
          <w:sz w:val="24"/>
        </w:rPr>
        <w:t>B2B Procedures </w:t>
      </w:r>
      <w:r>
        <w:rPr>
          <w:sz w:val="24"/>
        </w:rPr>
        <w:t>compared with the likely benefits from </w:t>
      </w:r>
      <w:r>
        <w:rPr>
          <w:i/>
          <w:sz w:val="24"/>
        </w:rPr>
        <w:t>B2B </w:t>
      </w:r>
      <w:r>
        <w:rPr>
          <w:i/>
          <w:sz w:val="24"/>
        </w:rPr>
        <w:t>Communications</w:t>
      </w:r>
      <w:r>
        <w:rPr>
          <w:sz w:val="24"/>
        </w:rPr>
        <w:t>;</w:t>
      </w:r>
    </w:p>
    <w:p>
      <w:pPr>
        <w:pStyle w:val="ListParagraph"/>
        <w:numPr>
          <w:ilvl w:val="0"/>
          <w:numId w:val="718"/>
        </w:numPr>
        <w:tabs>
          <w:tab w:pos="1919" w:val="left" w:leader="none"/>
        </w:tabs>
        <w:spacing w:line="240" w:lineRule="auto" w:before="120" w:after="0"/>
        <w:ind w:left="1919" w:right="413" w:hanging="567"/>
        <w:jc w:val="both"/>
        <w:rPr>
          <w:sz w:val="24"/>
        </w:rPr>
      </w:pPr>
      <w:r>
        <w:rPr>
          <w:sz w:val="24"/>
        </w:rPr>
        <w:t>The likely impacts on innovation in and barriers to entry to the markets for services facilitated by advanced meters resulting from changing the existing </w:t>
      </w:r>
      <w:r>
        <w:rPr>
          <w:i/>
          <w:sz w:val="24"/>
        </w:rPr>
        <w:t>B2B Procedures</w:t>
      </w:r>
      <w:r>
        <w:rPr>
          <w:sz w:val="24"/>
        </w:rPr>
        <w:t>;</w:t>
      </w:r>
      <w:r>
        <w:rPr>
          <w:spacing w:val="-1"/>
          <w:sz w:val="24"/>
        </w:rPr>
        <w:t> </w:t>
      </w:r>
      <w:r>
        <w:rPr>
          <w:sz w:val="24"/>
        </w:rPr>
        <w:t>and</w:t>
      </w:r>
    </w:p>
    <w:p>
      <w:pPr>
        <w:spacing w:after="0" w:line="240" w:lineRule="auto"/>
        <w:jc w:val="both"/>
        <w:rPr>
          <w:sz w:val="24"/>
        </w:rPr>
        <w:sectPr>
          <w:type w:val="continuous"/>
          <w:pgSz w:w="11910" w:h="16840"/>
          <w:pgMar w:top="1360" w:bottom="280" w:left="1200" w:right="1000"/>
        </w:sectPr>
      </w:pPr>
    </w:p>
    <w:p>
      <w:pPr>
        <w:pStyle w:val="BodyText"/>
        <w:spacing w:before="0"/>
        <w:ind w:firstLine="0"/>
        <w:jc w:val="left"/>
        <w:rPr>
          <w:sz w:val="26"/>
        </w:rPr>
      </w:pPr>
    </w:p>
    <w:p>
      <w:pPr>
        <w:pStyle w:val="BodyText"/>
        <w:spacing w:before="0"/>
        <w:ind w:firstLine="0"/>
        <w:jc w:val="left"/>
        <w:rPr>
          <w:sz w:val="26"/>
        </w:rPr>
      </w:pPr>
    </w:p>
    <w:p>
      <w:pPr>
        <w:pStyle w:val="BodyText"/>
        <w:spacing w:before="7"/>
        <w:ind w:firstLine="0"/>
        <w:jc w:val="left"/>
        <w:rPr>
          <w:sz w:val="37"/>
        </w:rPr>
      </w:pPr>
    </w:p>
    <w:p>
      <w:pPr>
        <w:pStyle w:val="Heading5"/>
        <w:spacing w:before="1"/>
        <w:jc w:val="left"/>
        <w:rPr>
          <w:i/>
        </w:rPr>
      </w:pPr>
      <w:r>
        <w:rPr>
          <w:i/>
        </w:rPr>
        <w:t>B2B Party</w:t>
      </w:r>
    </w:p>
    <w:p>
      <w:pPr>
        <w:pStyle w:val="ListParagraph"/>
        <w:numPr>
          <w:ilvl w:val="0"/>
          <w:numId w:val="718"/>
        </w:numPr>
        <w:tabs>
          <w:tab w:pos="628" w:val="left" w:leader="none"/>
        </w:tabs>
        <w:spacing w:line="240" w:lineRule="auto" w:before="83" w:after="0"/>
        <w:ind w:left="627" w:right="415" w:hanging="567"/>
        <w:jc w:val="both"/>
        <w:rPr>
          <w:sz w:val="24"/>
        </w:rPr>
      </w:pPr>
      <w:r>
        <w:rPr>
          <w:sz w:val="24"/>
        </w:rPr>
        <w:br w:type="column"/>
        <w:t>The implementation timeframe reasonably necessary for </w:t>
      </w:r>
      <w:r>
        <w:rPr>
          <w:i/>
          <w:sz w:val="24"/>
        </w:rPr>
        <w:t>AEMO </w:t>
      </w:r>
      <w:r>
        <w:rPr>
          <w:sz w:val="24"/>
        </w:rPr>
        <w:t>and </w:t>
      </w:r>
      <w:r>
        <w:rPr>
          <w:i/>
          <w:sz w:val="24"/>
        </w:rPr>
        <w:t>B2B </w:t>
      </w:r>
      <w:r>
        <w:rPr>
          <w:i/>
          <w:sz w:val="24"/>
        </w:rPr>
        <w:t>Parties </w:t>
      </w:r>
      <w:r>
        <w:rPr>
          <w:sz w:val="24"/>
        </w:rPr>
        <w:t>to implement systems or other changes required to be compliant with any change to existing </w:t>
      </w:r>
      <w:r>
        <w:rPr>
          <w:i/>
          <w:sz w:val="24"/>
        </w:rPr>
        <w:t>B2B</w:t>
      </w:r>
      <w:r>
        <w:rPr>
          <w:i/>
          <w:spacing w:val="-2"/>
          <w:sz w:val="24"/>
        </w:rPr>
        <w:t> </w:t>
      </w:r>
      <w:r>
        <w:rPr>
          <w:i/>
          <w:sz w:val="24"/>
        </w:rPr>
        <w:t>Procedures</w:t>
      </w:r>
      <w:r>
        <w:rPr>
          <w:sz w:val="24"/>
        </w:rPr>
        <w:t>.</w:t>
      </w:r>
    </w:p>
    <w:p>
      <w:pPr>
        <w:pStyle w:val="BodyText"/>
        <w:spacing w:before="0"/>
        <w:ind w:firstLine="0"/>
        <w:jc w:val="left"/>
        <w:rPr>
          <w:sz w:val="26"/>
        </w:rPr>
      </w:pPr>
    </w:p>
    <w:p>
      <w:pPr>
        <w:spacing w:before="217"/>
        <w:ind w:left="60" w:right="414" w:firstLine="0"/>
        <w:jc w:val="both"/>
        <w:rPr>
          <w:sz w:val="24"/>
        </w:rPr>
      </w:pPr>
      <w:r>
        <w:rPr>
          <w:i/>
          <w:sz w:val="24"/>
        </w:rPr>
        <w:t>Distribution Network Service Providers</w:t>
      </w:r>
      <w:r>
        <w:rPr>
          <w:sz w:val="24"/>
        </w:rPr>
        <w:t>, </w:t>
      </w:r>
      <w:r>
        <w:rPr>
          <w:i/>
          <w:sz w:val="24"/>
        </w:rPr>
        <w:t>retailers</w:t>
      </w:r>
      <w:r>
        <w:rPr>
          <w:sz w:val="24"/>
        </w:rPr>
        <w:t>, </w:t>
      </w:r>
      <w:r>
        <w:rPr>
          <w:i/>
          <w:sz w:val="24"/>
        </w:rPr>
        <w:t>Local Retailers</w:t>
      </w:r>
      <w:r>
        <w:rPr>
          <w:sz w:val="24"/>
        </w:rPr>
        <w:t>, </w:t>
      </w:r>
      <w:r>
        <w:rPr>
          <w:i/>
          <w:sz w:val="24"/>
        </w:rPr>
        <w:t>Metering </w:t>
      </w:r>
      <w:r>
        <w:rPr>
          <w:i/>
          <w:sz w:val="24"/>
        </w:rPr>
        <w:t>Coordinators</w:t>
      </w:r>
      <w:r>
        <w:rPr>
          <w:sz w:val="24"/>
        </w:rPr>
        <w:t>, </w:t>
      </w:r>
      <w:r>
        <w:rPr>
          <w:i/>
          <w:sz w:val="24"/>
        </w:rPr>
        <w:t>Metering Providers</w:t>
      </w:r>
      <w:r>
        <w:rPr>
          <w:sz w:val="24"/>
        </w:rPr>
        <w:t>, </w:t>
      </w:r>
      <w:r>
        <w:rPr>
          <w:i/>
          <w:sz w:val="24"/>
        </w:rPr>
        <w:t>Metering Data Providers</w:t>
      </w:r>
      <w:r>
        <w:rPr>
          <w:sz w:val="24"/>
        </w:rPr>
        <w:t>, </w:t>
      </w:r>
      <w:r>
        <w:rPr>
          <w:i/>
          <w:sz w:val="24"/>
        </w:rPr>
        <w:t>Embedded Network </w:t>
      </w:r>
      <w:r>
        <w:rPr>
          <w:i/>
          <w:sz w:val="24"/>
        </w:rPr>
        <w:t>Managers </w:t>
      </w:r>
      <w:r>
        <w:rPr>
          <w:sz w:val="24"/>
        </w:rPr>
        <w:t>and other </w:t>
      </w:r>
      <w:r>
        <w:rPr>
          <w:i/>
          <w:sz w:val="24"/>
        </w:rPr>
        <w:t>Third Party B2B Participants</w:t>
      </w:r>
      <w:r>
        <w:rPr>
          <w:sz w:val="24"/>
        </w:rPr>
        <w:t>.</w:t>
      </w:r>
    </w:p>
    <w:p>
      <w:pPr>
        <w:spacing w:after="0"/>
        <w:jc w:val="both"/>
        <w:rPr>
          <w:sz w:val="24"/>
        </w:rPr>
        <w:sectPr>
          <w:pgSz w:w="11910" w:h="16840"/>
          <w:pgMar w:header="686" w:footer="637" w:top="1320" w:bottom="820" w:left="1200" w:right="1000"/>
          <w:cols w:num="2" w:equalWidth="0">
            <w:col w:w="1252" w:space="40"/>
            <w:col w:w="8418"/>
          </w:cols>
        </w:sectPr>
      </w:pPr>
    </w:p>
    <w:p>
      <w:pPr>
        <w:pStyle w:val="Heading5"/>
        <w:rPr>
          <w:i/>
        </w:rPr>
      </w:pPr>
      <w:r>
        <w:rPr>
          <w:i/>
        </w:rPr>
        <w:t>B2B Principles</w:t>
      </w:r>
    </w:p>
    <w:p>
      <w:pPr>
        <w:pStyle w:val="BodyText"/>
        <w:ind w:left="1352" w:firstLine="0"/>
      </w:pPr>
      <w:r>
        <w:rPr/>
        <w:t>The following principles:</w:t>
      </w:r>
    </w:p>
    <w:p>
      <w:pPr>
        <w:pStyle w:val="ListParagraph"/>
        <w:numPr>
          <w:ilvl w:val="1"/>
          <w:numId w:val="718"/>
        </w:numPr>
        <w:tabs>
          <w:tab w:pos="1919" w:val="left" w:leader="none"/>
        </w:tabs>
        <w:spacing w:line="240" w:lineRule="auto" w:before="120" w:after="0"/>
        <w:ind w:left="1919" w:right="415" w:hanging="567"/>
        <w:jc w:val="both"/>
        <w:rPr>
          <w:sz w:val="24"/>
        </w:rPr>
      </w:pPr>
      <w:r>
        <w:rPr>
          <w:i/>
          <w:sz w:val="24"/>
        </w:rPr>
        <w:t>B2B Procedures </w:t>
      </w:r>
      <w:r>
        <w:rPr>
          <w:sz w:val="24"/>
        </w:rPr>
        <w:t>should provide a uniform approach to </w:t>
      </w:r>
      <w:r>
        <w:rPr>
          <w:i/>
          <w:sz w:val="24"/>
        </w:rPr>
        <w:t>B2B </w:t>
      </w:r>
      <w:r>
        <w:rPr>
          <w:i/>
          <w:sz w:val="24"/>
        </w:rPr>
        <w:t>Communications </w:t>
      </w:r>
      <w:r>
        <w:rPr>
          <w:sz w:val="24"/>
        </w:rPr>
        <w:t>in </w:t>
      </w:r>
      <w:r>
        <w:rPr>
          <w:i/>
          <w:sz w:val="24"/>
        </w:rPr>
        <w:t>participating</w:t>
      </w:r>
      <w:r>
        <w:rPr>
          <w:i/>
          <w:spacing w:val="-1"/>
          <w:sz w:val="24"/>
        </w:rPr>
        <w:t> </w:t>
      </w:r>
      <w:r>
        <w:rPr>
          <w:i/>
          <w:sz w:val="24"/>
        </w:rPr>
        <w:t>jurisdictions</w:t>
      </w:r>
      <w:r>
        <w:rPr>
          <w:sz w:val="24"/>
        </w:rPr>
        <w:t>;</w:t>
      </w:r>
    </w:p>
    <w:p>
      <w:pPr>
        <w:pStyle w:val="ListParagraph"/>
        <w:numPr>
          <w:ilvl w:val="1"/>
          <w:numId w:val="718"/>
        </w:numPr>
        <w:tabs>
          <w:tab w:pos="1919" w:val="left" w:leader="none"/>
        </w:tabs>
        <w:spacing w:line="240" w:lineRule="auto" w:before="120" w:after="0"/>
        <w:ind w:left="1919" w:right="415" w:hanging="567"/>
        <w:jc w:val="both"/>
        <w:rPr>
          <w:sz w:val="24"/>
        </w:rPr>
      </w:pPr>
      <w:r>
        <w:rPr>
          <w:i/>
          <w:sz w:val="24"/>
        </w:rPr>
        <w:t>B2B Procedures </w:t>
      </w:r>
      <w:r>
        <w:rPr>
          <w:sz w:val="24"/>
        </w:rPr>
        <w:t>should detail operational and procedural matters and technical requirements that result in efficient, effective and reliable </w:t>
      </w:r>
      <w:r>
        <w:rPr>
          <w:i/>
          <w:sz w:val="24"/>
        </w:rPr>
        <w:t>B2B </w:t>
      </w:r>
      <w:r>
        <w:rPr>
          <w:i/>
          <w:sz w:val="24"/>
        </w:rPr>
        <w:t>Communications</w:t>
      </w:r>
      <w:r>
        <w:rPr>
          <w:sz w:val="24"/>
        </w:rPr>
        <w:t>;</w:t>
      </w:r>
    </w:p>
    <w:p>
      <w:pPr>
        <w:pStyle w:val="ListParagraph"/>
        <w:numPr>
          <w:ilvl w:val="1"/>
          <w:numId w:val="718"/>
        </w:numPr>
        <w:tabs>
          <w:tab w:pos="1919" w:val="left" w:leader="none"/>
        </w:tabs>
        <w:spacing w:line="240" w:lineRule="auto" w:before="120" w:after="0"/>
        <w:ind w:left="1919" w:right="415" w:hanging="567"/>
        <w:jc w:val="both"/>
        <w:rPr>
          <w:sz w:val="24"/>
        </w:rPr>
      </w:pPr>
      <w:r>
        <w:rPr>
          <w:i/>
          <w:sz w:val="24"/>
        </w:rPr>
        <w:t>B2B Procedures </w:t>
      </w:r>
      <w:r>
        <w:rPr>
          <w:sz w:val="24"/>
        </w:rPr>
        <w:t>should avoid unreasonable discrimination between </w:t>
      </w:r>
      <w:r>
        <w:rPr>
          <w:i/>
          <w:sz w:val="24"/>
        </w:rPr>
        <w:t>B2B </w:t>
      </w:r>
      <w:r>
        <w:rPr>
          <w:i/>
          <w:sz w:val="24"/>
        </w:rPr>
        <w:t>Parties</w:t>
      </w:r>
      <w:r>
        <w:rPr>
          <w:sz w:val="24"/>
        </w:rPr>
        <w:t>; and</w:t>
      </w:r>
    </w:p>
    <w:p>
      <w:pPr>
        <w:pStyle w:val="ListParagraph"/>
        <w:numPr>
          <w:ilvl w:val="1"/>
          <w:numId w:val="718"/>
        </w:numPr>
        <w:tabs>
          <w:tab w:pos="1919" w:val="left" w:leader="none"/>
        </w:tabs>
        <w:spacing w:line="240" w:lineRule="auto" w:before="120" w:after="0"/>
        <w:ind w:left="1919" w:right="415" w:hanging="567"/>
        <w:jc w:val="both"/>
        <w:rPr>
          <w:sz w:val="24"/>
        </w:rPr>
      </w:pPr>
      <w:r>
        <w:rPr>
          <w:i/>
          <w:sz w:val="24"/>
        </w:rPr>
        <w:t>B2B Procedures </w:t>
      </w:r>
      <w:r>
        <w:rPr>
          <w:sz w:val="24"/>
        </w:rPr>
        <w:t>should protect the confidentiality of commercially sensitive information.</w:t>
      </w:r>
    </w:p>
    <w:p>
      <w:pPr>
        <w:pStyle w:val="Heading5"/>
        <w:jc w:val="left"/>
        <w:rPr>
          <w:i/>
        </w:rPr>
      </w:pPr>
      <w:r>
        <w:rPr>
          <w:i/>
        </w:rPr>
        <w:t>B2B Procedures</w:t>
      </w:r>
    </w:p>
    <w:p>
      <w:pPr>
        <w:pStyle w:val="BodyText"/>
        <w:ind w:left="1352" w:right="415" w:firstLine="0"/>
        <w:jc w:val="left"/>
      </w:pPr>
      <w:r>
        <w:rPr/>
        <w:t>The </w:t>
      </w:r>
      <w:r>
        <w:rPr>
          <w:i/>
        </w:rPr>
        <w:t>B2B Procedures </w:t>
      </w:r>
      <w:r>
        <w:rPr/>
        <w:t>made under Part H with the content required under clause 7.17.3.</w:t>
      </w:r>
    </w:p>
    <w:p>
      <w:pPr>
        <w:pStyle w:val="Heading5"/>
        <w:jc w:val="left"/>
        <w:rPr>
          <w:i/>
        </w:rPr>
      </w:pPr>
      <w:r>
        <w:rPr>
          <w:i/>
        </w:rPr>
        <w:t>B2B Procedures Change Pack</w:t>
      </w:r>
    </w:p>
    <w:p>
      <w:pPr>
        <w:pStyle w:val="BodyText"/>
        <w:ind w:left="1352" w:firstLine="0"/>
        <w:jc w:val="left"/>
      </w:pPr>
      <w:r>
        <w:rPr/>
        <w:t>A document consisting of:</w:t>
      </w:r>
    </w:p>
    <w:p>
      <w:pPr>
        <w:pStyle w:val="ListParagraph"/>
        <w:numPr>
          <w:ilvl w:val="0"/>
          <w:numId w:val="719"/>
        </w:numPr>
        <w:tabs>
          <w:tab w:pos="1918" w:val="left" w:leader="none"/>
          <w:tab w:pos="1919" w:val="left" w:leader="none"/>
        </w:tabs>
        <w:spacing w:line="240" w:lineRule="auto" w:before="120" w:after="0"/>
        <w:ind w:left="1918" w:right="0" w:hanging="567"/>
        <w:jc w:val="left"/>
        <w:rPr>
          <w:sz w:val="24"/>
        </w:rPr>
      </w:pPr>
      <w:r>
        <w:rPr>
          <w:sz w:val="24"/>
        </w:rPr>
        <w:t>a </w:t>
      </w:r>
      <w:r>
        <w:rPr>
          <w:i/>
          <w:sz w:val="24"/>
        </w:rPr>
        <w:t>B2B Proposal</w:t>
      </w:r>
      <w:r>
        <w:rPr>
          <w:sz w:val="24"/>
        </w:rPr>
        <w:t>;</w:t>
      </w:r>
    </w:p>
    <w:p>
      <w:pPr>
        <w:pStyle w:val="ListParagraph"/>
        <w:numPr>
          <w:ilvl w:val="0"/>
          <w:numId w:val="719"/>
        </w:numPr>
        <w:tabs>
          <w:tab w:pos="1918" w:val="left" w:leader="none"/>
          <w:tab w:pos="1919" w:val="left" w:leader="none"/>
        </w:tabs>
        <w:spacing w:line="240" w:lineRule="auto" w:before="120" w:after="0"/>
        <w:ind w:left="1918" w:right="0" w:hanging="567"/>
        <w:jc w:val="left"/>
        <w:rPr>
          <w:sz w:val="24"/>
        </w:rPr>
      </w:pPr>
      <w:r>
        <w:rPr>
          <w:sz w:val="24"/>
        </w:rPr>
        <w:t>a report setting out an overview of the likely impact of the </w:t>
      </w:r>
      <w:r>
        <w:rPr>
          <w:i/>
          <w:sz w:val="24"/>
        </w:rPr>
        <w:t>B2B Proposal</w:t>
      </w:r>
      <w:r>
        <w:rPr>
          <w:i/>
          <w:spacing w:val="51"/>
          <w:sz w:val="24"/>
        </w:rPr>
        <w:t> </w:t>
      </w:r>
      <w:r>
        <w:rPr>
          <w:sz w:val="24"/>
        </w:rPr>
        <w:t>on</w:t>
      </w:r>
    </w:p>
    <w:p>
      <w:pPr>
        <w:spacing w:before="0"/>
        <w:ind w:left="1919" w:right="0" w:firstLine="0"/>
        <w:jc w:val="left"/>
        <w:rPr>
          <w:sz w:val="24"/>
        </w:rPr>
      </w:pPr>
      <w:r>
        <w:rPr>
          <w:i/>
          <w:sz w:val="24"/>
        </w:rPr>
        <w:t>AEMO </w:t>
      </w:r>
      <w:r>
        <w:rPr>
          <w:sz w:val="24"/>
        </w:rPr>
        <w:t>and </w:t>
      </w:r>
      <w:r>
        <w:rPr>
          <w:i/>
          <w:sz w:val="24"/>
        </w:rPr>
        <w:t>B2B Parties</w:t>
      </w:r>
      <w:r>
        <w:rPr>
          <w:sz w:val="24"/>
        </w:rPr>
        <w:t>;</w:t>
      </w:r>
    </w:p>
    <w:p>
      <w:pPr>
        <w:pStyle w:val="ListParagraph"/>
        <w:numPr>
          <w:ilvl w:val="0"/>
          <w:numId w:val="719"/>
        </w:numPr>
        <w:tabs>
          <w:tab w:pos="1919" w:val="left" w:leader="none"/>
        </w:tabs>
        <w:spacing w:line="240" w:lineRule="auto" w:before="120" w:after="0"/>
        <w:ind w:left="1919" w:right="417" w:hanging="567"/>
        <w:jc w:val="both"/>
        <w:rPr>
          <w:sz w:val="24"/>
        </w:rPr>
      </w:pPr>
      <w:r>
        <w:rPr>
          <w:sz w:val="24"/>
        </w:rPr>
        <w:t>draft </w:t>
      </w:r>
      <w:r>
        <w:rPr>
          <w:i/>
          <w:sz w:val="24"/>
        </w:rPr>
        <w:t>B2B Procedures </w:t>
      </w:r>
      <w:r>
        <w:rPr>
          <w:sz w:val="24"/>
        </w:rPr>
        <w:t>(incorporating proposed changes in mark up, where appropriate);</w:t>
      </w:r>
      <w:r>
        <w:rPr>
          <w:spacing w:val="-1"/>
          <w:sz w:val="24"/>
        </w:rPr>
        <w:t> </w:t>
      </w:r>
      <w:r>
        <w:rPr>
          <w:sz w:val="24"/>
        </w:rPr>
        <w:t>and</w:t>
      </w:r>
    </w:p>
    <w:p>
      <w:pPr>
        <w:pStyle w:val="ListParagraph"/>
        <w:numPr>
          <w:ilvl w:val="0"/>
          <w:numId w:val="719"/>
        </w:numPr>
        <w:tabs>
          <w:tab w:pos="1919" w:val="left" w:leader="none"/>
        </w:tabs>
        <w:spacing w:line="240" w:lineRule="auto" w:before="120" w:after="0"/>
        <w:ind w:left="1918" w:right="0" w:hanging="567"/>
        <w:jc w:val="both"/>
        <w:rPr>
          <w:sz w:val="24"/>
        </w:rPr>
      </w:pPr>
      <w:r>
        <w:rPr>
          <w:sz w:val="24"/>
        </w:rPr>
        <w:t>an issues paper explaining why the </w:t>
      </w:r>
      <w:r>
        <w:rPr>
          <w:i/>
          <w:sz w:val="24"/>
        </w:rPr>
        <w:t>B2B Proposal </w:t>
      </w:r>
      <w:r>
        <w:rPr>
          <w:sz w:val="24"/>
        </w:rPr>
        <w:t>is being</w:t>
      </w:r>
      <w:r>
        <w:rPr>
          <w:spacing w:val="-5"/>
          <w:sz w:val="24"/>
        </w:rPr>
        <w:t> </w:t>
      </w:r>
      <w:r>
        <w:rPr>
          <w:sz w:val="24"/>
        </w:rPr>
        <w:t>presented.</w:t>
      </w:r>
    </w:p>
    <w:p>
      <w:pPr>
        <w:pStyle w:val="Heading5"/>
        <w:rPr>
          <w:i/>
        </w:rPr>
      </w:pPr>
      <w:r>
        <w:rPr>
          <w:i/>
        </w:rPr>
        <w:t>B2B Proposal</w:t>
      </w:r>
    </w:p>
    <w:p>
      <w:pPr>
        <w:spacing w:before="120"/>
        <w:ind w:left="1352" w:right="415" w:firstLine="0"/>
        <w:jc w:val="both"/>
        <w:rPr>
          <w:sz w:val="24"/>
        </w:rPr>
      </w:pPr>
      <w:r>
        <w:rPr>
          <w:sz w:val="24"/>
        </w:rPr>
        <w:t>A proposal for </w:t>
      </w:r>
      <w:r>
        <w:rPr>
          <w:i/>
          <w:sz w:val="24"/>
        </w:rPr>
        <w:t>B2B Procedures</w:t>
      </w:r>
      <w:r>
        <w:rPr>
          <w:sz w:val="24"/>
        </w:rPr>
        <w:t>, or a change to the </w:t>
      </w:r>
      <w:r>
        <w:rPr>
          <w:i/>
          <w:sz w:val="24"/>
        </w:rPr>
        <w:t>B2B Procedures</w:t>
      </w:r>
      <w:r>
        <w:rPr>
          <w:sz w:val="24"/>
        </w:rPr>
        <w:t>, which is the subject of consultation by the </w:t>
      </w:r>
      <w:r>
        <w:rPr>
          <w:i/>
          <w:sz w:val="24"/>
        </w:rPr>
        <w:t>Information Exchange Committee</w:t>
      </w:r>
      <w:r>
        <w:rPr>
          <w:sz w:val="24"/>
        </w:rPr>
        <w:t>.</w:t>
      </w:r>
    </w:p>
    <w:p>
      <w:pPr>
        <w:pStyle w:val="Heading5"/>
        <w:rPr>
          <w:i/>
        </w:rPr>
      </w:pPr>
      <w:r>
        <w:rPr>
          <w:i/>
        </w:rPr>
        <w:t>bank bill rate</w:t>
      </w:r>
    </w:p>
    <w:p>
      <w:pPr>
        <w:pStyle w:val="BodyText"/>
        <w:ind w:left="1352" w:right="415" w:firstLine="0"/>
      </w:pPr>
      <w:r>
        <w:rPr/>
        <w:t>On any </w:t>
      </w:r>
      <w:r>
        <w:rPr>
          <w:i/>
        </w:rPr>
        <w:t>day</w:t>
      </w:r>
      <w:r>
        <w:rPr/>
        <w:t>, the rate determined by </w:t>
      </w:r>
      <w:r>
        <w:rPr>
          <w:i/>
        </w:rPr>
        <w:t>AEMO </w:t>
      </w:r>
      <w:r>
        <w:rPr/>
        <w:t>(having regard to such market indicators as </w:t>
      </w:r>
      <w:r>
        <w:rPr>
          <w:i/>
        </w:rPr>
        <w:t>AEMO </w:t>
      </w:r>
      <w:r>
        <w:rPr/>
        <w:t>in its discretion selects) to be the market rate as at 10.00 am on that </w:t>
      </w:r>
      <w:r>
        <w:rPr>
          <w:i/>
        </w:rPr>
        <w:t>day </w:t>
      </w:r>
      <w:r>
        <w:rPr/>
        <w:t>(or if not a </w:t>
      </w:r>
      <w:r>
        <w:rPr>
          <w:i/>
        </w:rPr>
        <w:t>business day</w:t>
      </w:r>
      <w:r>
        <w:rPr/>
        <w:t>, on the previous </w:t>
      </w:r>
      <w:r>
        <w:rPr>
          <w:i/>
        </w:rPr>
        <w:t>business day</w:t>
      </w:r>
      <w:r>
        <w:rPr/>
        <w:t>) for Australian dollar denominated bank accepted bills of exchange having a tenor of 30 </w:t>
      </w:r>
      <w:r>
        <w:rPr>
          <w:i/>
        </w:rPr>
        <w:t>days</w:t>
      </w:r>
      <w:r>
        <w:rPr/>
        <w:t>.</w:t>
      </w:r>
    </w:p>
    <w:p>
      <w:pPr>
        <w:pStyle w:val="Heading5"/>
        <w:rPr>
          <w:i/>
        </w:rPr>
      </w:pPr>
      <w:r>
        <w:rPr>
          <w:i/>
        </w:rPr>
        <w:t>basic connection service</w:t>
      </w:r>
    </w:p>
    <w:p>
      <w:pPr>
        <w:pStyle w:val="BodyText"/>
        <w:ind w:left="1352" w:firstLine="0"/>
      </w:pPr>
      <w:r>
        <w:rPr/>
        <w:t>Has (in the context of Chapter 5A) the meaning given in clause 5A.A.1.</w:t>
      </w:r>
    </w:p>
    <w:p>
      <w:pPr>
        <w:spacing w:after="0"/>
        <w:sectPr>
          <w:type w:val="continuous"/>
          <w:pgSz w:w="11910" w:h="16840"/>
          <w:pgMar w:top="1360" w:bottom="280" w:left="1200" w:right="1000"/>
        </w:sectPr>
      </w:pPr>
    </w:p>
    <w:p>
      <w:pPr>
        <w:pStyle w:val="Heading5"/>
        <w:spacing w:before="83"/>
        <w:rPr>
          <w:i/>
        </w:rPr>
      </w:pPr>
      <w:r>
        <w:rPr>
          <w:i/>
        </w:rPr>
        <w:t>basic micro EG connection service</w:t>
      </w:r>
    </w:p>
    <w:p>
      <w:pPr>
        <w:pStyle w:val="BodyText"/>
        <w:ind w:left="1352" w:firstLine="0"/>
      </w:pPr>
      <w:r>
        <w:rPr/>
        <w:t>Has (in the context of Chapter 5A) the meaning given in clause 5A.A.1.</w:t>
      </w:r>
    </w:p>
    <w:p>
      <w:pPr>
        <w:pStyle w:val="Heading5"/>
        <w:rPr>
          <w:i/>
        </w:rPr>
      </w:pPr>
      <w:r>
        <w:rPr>
          <w:i/>
        </w:rPr>
        <w:t>bid and offer validation data</w:t>
      </w:r>
    </w:p>
    <w:p>
      <w:pPr>
        <w:spacing w:before="120"/>
        <w:ind w:left="1352" w:right="416" w:firstLine="0"/>
        <w:jc w:val="both"/>
        <w:rPr>
          <w:sz w:val="24"/>
        </w:rPr>
      </w:pPr>
      <w:r>
        <w:rPr>
          <w:sz w:val="24"/>
        </w:rPr>
        <w:t>Data submitted by </w:t>
      </w:r>
      <w:r>
        <w:rPr>
          <w:i/>
          <w:sz w:val="24"/>
        </w:rPr>
        <w:t>Scheduled Generators</w:t>
      </w:r>
      <w:r>
        <w:rPr>
          <w:sz w:val="24"/>
        </w:rPr>
        <w:t>, </w:t>
      </w:r>
      <w:r>
        <w:rPr>
          <w:i/>
          <w:sz w:val="24"/>
        </w:rPr>
        <w:t>Semi-Scheduled Generators </w:t>
      </w:r>
      <w:r>
        <w:rPr>
          <w:sz w:val="24"/>
        </w:rPr>
        <w:t>and </w:t>
      </w:r>
      <w:r>
        <w:rPr>
          <w:i/>
          <w:sz w:val="24"/>
        </w:rPr>
        <w:t>Market </w:t>
      </w:r>
      <w:r>
        <w:rPr>
          <w:i/>
          <w:sz w:val="24"/>
        </w:rPr>
        <w:t>Participants </w:t>
      </w:r>
      <w:r>
        <w:rPr>
          <w:sz w:val="24"/>
        </w:rPr>
        <w:t>to </w:t>
      </w:r>
      <w:r>
        <w:rPr>
          <w:i/>
          <w:sz w:val="24"/>
        </w:rPr>
        <w:t>AEMO </w:t>
      </w:r>
      <w:r>
        <w:rPr>
          <w:sz w:val="24"/>
        </w:rPr>
        <w:t>in relation to their </w:t>
      </w:r>
      <w:r>
        <w:rPr>
          <w:i/>
          <w:sz w:val="24"/>
        </w:rPr>
        <w:t>scheduled loads</w:t>
      </w:r>
      <w:r>
        <w:rPr>
          <w:sz w:val="24"/>
        </w:rPr>
        <w:t>, </w:t>
      </w:r>
      <w:r>
        <w:rPr>
          <w:i/>
          <w:sz w:val="24"/>
        </w:rPr>
        <w:t>scheduled generating </w:t>
      </w:r>
      <w:r>
        <w:rPr>
          <w:i/>
          <w:sz w:val="24"/>
        </w:rPr>
        <w:t>units</w:t>
      </w:r>
      <w:r>
        <w:rPr>
          <w:sz w:val="24"/>
        </w:rPr>
        <w:t>, </w:t>
      </w:r>
      <w:r>
        <w:rPr>
          <w:i/>
          <w:sz w:val="24"/>
        </w:rPr>
        <w:t>semi-scheduled generating units </w:t>
      </w:r>
      <w:r>
        <w:rPr>
          <w:sz w:val="24"/>
        </w:rPr>
        <w:t>and </w:t>
      </w:r>
      <w:r>
        <w:rPr>
          <w:i/>
          <w:sz w:val="24"/>
        </w:rPr>
        <w:t>scheduled market network services </w:t>
      </w:r>
      <w:r>
        <w:rPr>
          <w:sz w:val="24"/>
        </w:rPr>
        <w:t>in accordance with schedule 3.1.</w:t>
      </w:r>
    </w:p>
    <w:p>
      <w:pPr>
        <w:pStyle w:val="Heading5"/>
        <w:rPr>
          <w:i/>
        </w:rPr>
      </w:pPr>
      <w:r>
        <w:rPr>
          <w:i/>
        </w:rPr>
        <w:t>billed but unpaid charges</w:t>
      </w:r>
    </w:p>
    <w:p>
      <w:pPr>
        <w:spacing w:before="120"/>
        <w:ind w:left="1352" w:right="416" w:firstLine="0"/>
        <w:jc w:val="both"/>
        <w:rPr>
          <w:sz w:val="24"/>
        </w:rPr>
      </w:pPr>
      <w:r>
        <w:rPr>
          <w:sz w:val="24"/>
        </w:rPr>
        <w:t>For a </w:t>
      </w:r>
      <w:r>
        <w:rPr>
          <w:i/>
          <w:sz w:val="24"/>
        </w:rPr>
        <w:t>Distribution Network Service Provider</w:t>
      </w:r>
      <w:r>
        <w:rPr>
          <w:sz w:val="24"/>
        </w:rPr>
        <w:t>, </w:t>
      </w:r>
      <w:r>
        <w:rPr>
          <w:i/>
          <w:sz w:val="24"/>
        </w:rPr>
        <w:t>network charges </w:t>
      </w:r>
      <w:r>
        <w:rPr>
          <w:sz w:val="24"/>
        </w:rPr>
        <w:t>that have been billed to a </w:t>
      </w:r>
      <w:r>
        <w:rPr>
          <w:i/>
          <w:sz w:val="24"/>
        </w:rPr>
        <w:t>failed retailer </w:t>
      </w:r>
      <w:r>
        <w:rPr>
          <w:sz w:val="24"/>
        </w:rPr>
        <w:t>by the </w:t>
      </w:r>
      <w:r>
        <w:rPr>
          <w:i/>
          <w:sz w:val="24"/>
        </w:rPr>
        <w:t>Distribution Network Service Provider</w:t>
      </w:r>
      <w:r>
        <w:rPr>
          <w:sz w:val="24"/>
        </w:rPr>
        <w:t>, but that the </w:t>
      </w:r>
      <w:r>
        <w:rPr>
          <w:i/>
          <w:sz w:val="24"/>
        </w:rPr>
        <w:t>failed retailer </w:t>
      </w:r>
      <w:r>
        <w:rPr>
          <w:sz w:val="24"/>
        </w:rPr>
        <w:t>has not yet paid (whether before or after the relevant due date for payment).</w:t>
      </w:r>
    </w:p>
    <w:p>
      <w:pPr>
        <w:pStyle w:val="Heading5"/>
        <w:rPr>
          <w:i/>
        </w:rPr>
      </w:pPr>
      <w:r>
        <w:rPr>
          <w:i/>
        </w:rPr>
        <w:t>billing period</w:t>
      </w:r>
    </w:p>
    <w:p>
      <w:pPr>
        <w:spacing w:before="120"/>
        <w:ind w:left="1352" w:right="415" w:firstLine="0"/>
        <w:jc w:val="both"/>
        <w:rPr>
          <w:sz w:val="24"/>
        </w:rPr>
      </w:pPr>
      <w:r>
        <w:rPr>
          <w:sz w:val="24"/>
        </w:rPr>
        <w:t>The period of 7 </w:t>
      </w:r>
      <w:r>
        <w:rPr>
          <w:i/>
          <w:sz w:val="24"/>
        </w:rPr>
        <w:t>days </w:t>
      </w:r>
      <w:r>
        <w:rPr>
          <w:sz w:val="24"/>
        </w:rPr>
        <w:t>commencing at the start of the </w:t>
      </w:r>
      <w:r>
        <w:rPr>
          <w:i/>
          <w:sz w:val="24"/>
        </w:rPr>
        <w:t>trading interval </w:t>
      </w:r>
      <w:r>
        <w:rPr>
          <w:sz w:val="24"/>
        </w:rPr>
        <w:t>ending 12.30 am Sunday.</w:t>
      </w:r>
    </w:p>
    <w:p>
      <w:pPr>
        <w:pStyle w:val="Heading5"/>
        <w:rPr>
          <w:i/>
        </w:rPr>
      </w:pPr>
      <w:r>
        <w:rPr>
          <w:i/>
        </w:rPr>
        <w:t>billing transaction</w:t>
      </w:r>
    </w:p>
    <w:p>
      <w:pPr>
        <w:pStyle w:val="BodyText"/>
        <w:ind w:left="1352" w:right="415" w:firstLine="0"/>
      </w:pPr>
      <w:r>
        <w:rPr/>
        <w:t>The activity of producing bills and credit notes in </w:t>
      </w:r>
      <w:r>
        <w:rPr>
          <w:i/>
        </w:rPr>
        <w:t>markets </w:t>
      </w:r>
      <w:r>
        <w:rPr/>
        <w:t>that are not operated or administered by </w:t>
      </w:r>
      <w:r>
        <w:rPr>
          <w:i/>
        </w:rPr>
        <w:t>NTESMO</w:t>
      </w:r>
      <w:r>
        <w:rPr/>
        <w:t>.</w:t>
      </w:r>
    </w:p>
    <w:p>
      <w:pPr>
        <w:pStyle w:val="BodyText"/>
        <w:spacing w:before="0"/>
        <w:ind w:firstLine="0"/>
        <w:jc w:val="left"/>
        <w:rPr>
          <w:sz w:val="26"/>
        </w:rPr>
      </w:pPr>
    </w:p>
    <w:p>
      <w:pPr>
        <w:pStyle w:val="Heading5"/>
        <w:spacing w:before="217"/>
        <w:jc w:val="left"/>
        <w:rPr>
          <w:i/>
        </w:rPr>
      </w:pPr>
      <w:r>
        <w:rPr>
          <w:i/>
        </w:rPr>
        <w:t>black start capability</w:t>
      </w:r>
    </w:p>
    <w:p>
      <w:pPr>
        <w:spacing w:before="120"/>
        <w:ind w:left="1352" w:right="0" w:firstLine="0"/>
        <w:jc w:val="left"/>
        <w:rPr>
          <w:sz w:val="24"/>
        </w:rPr>
      </w:pPr>
      <w:r>
        <w:rPr>
          <w:sz w:val="24"/>
        </w:rPr>
        <w:t>A capability that allows a </w:t>
      </w:r>
      <w:r>
        <w:rPr>
          <w:i/>
          <w:sz w:val="24"/>
        </w:rPr>
        <w:t>generating unit</w:t>
      </w:r>
      <w:r>
        <w:rPr>
          <w:sz w:val="24"/>
        </w:rPr>
        <w:t>, following its </w:t>
      </w:r>
      <w:r>
        <w:rPr>
          <w:i/>
          <w:sz w:val="24"/>
        </w:rPr>
        <w:t>disconnection </w:t>
      </w:r>
      <w:r>
        <w:rPr>
          <w:sz w:val="24"/>
        </w:rPr>
        <w:t>from the</w:t>
      </w:r>
    </w:p>
    <w:p>
      <w:pPr>
        <w:spacing w:before="0"/>
        <w:ind w:left="1352" w:right="0" w:firstLine="0"/>
        <w:jc w:val="left"/>
        <w:rPr>
          <w:sz w:val="24"/>
        </w:rPr>
      </w:pPr>
      <w:r>
        <w:rPr>
          <w:i/>
          <w:sz w:val="24"/>
        </w:rPr>
        <w:t>power system</w:t>
      </w:r>
      <w:r>
        <w:rPr>
          <w:sz w:val="24"/>
        </w:rPr>
        <w:t>, to be able to deliver electricity to either:</w:t>
      </w:r>
    </w:p>
    <w:p>
      <w:pPr>
        <w:pStyle w:val="ListParagraph"/>
        <w:numPr>
          <w:ilvl w:val="0"/>
          <w:numId w:val="720"/>
        </w:numPr>
        <w:tabs>
          <w:tab w:pos="1918" w:val="left" w:leader="none"/>
          <w:tab w:pos="1919" w:val="left" w:leader="none"/>
        </w:tabs>
        <w:spacing w:line="240" w:lineRule="auto" w:before="120" w:after="0"/>
        <w:ind w:left="1918" w:right="0" w:hanging="567"/>
        <w:jc w:val="left"/>
        <w:rPr>
          <w:sz w:val="24"/>
        </w:rPr>
      </w:pPr>
      <w:r>
        <w:rPr>
          <w:sz w:val="24"/>
        </w:rPr>
        <w:t>its </w:t>
      </w:r>
      <w:r>
        <w:rPr>
          <w:i/>
          <w:sz w:val="24"/>
        </w:rPr>
        <w:t>connection point</w:t>
      </w:r>
      <w:r>
        <w:rPr>
          <w:sz w:val="24"/>
        </w:rPr>
        <w:t>;</w:t>
      </w:r>
      <w:r>
        <w:rPr>
          <w:spacing w:val="-1"/>
          <w:sz w:val="24"/>
        </w:rPr>
        <w:t> </w:t>
      </w:r>
      <w:r>
        <w:rPr>
          <w:sz w:val="24"/>
        </w:rPr>
        <w:t>or</w:t>
      </w:r>
    </w:p>
    <w:p>
      <w:pPr>
        <w:pStyle w:val="ListParagraph"/>
        <w:numPr>
          <w:ilvl w:val="0"/>
          <w:numId w:val="720"/>
        </w:numPr>
        <w:tabs>
          <w:tab w:pos="1918" w:val="left" w:leader="none"/>
          <w:tab w:pos="1919" w:val="left" w:leader="none"/>
        </w:tabs>
        <w:spacing w:line="240" w:lineRule="auto" w:before="120" w:after="0"/>
        <w:ind w:left="1919" w:right="416" w:hanging="567"/>
        <w:jc w:val="left"/>
        <w:rPr>
          <w:sz w:val="24"/>
        </w:rPr>
      </w:pPr>
      <w:r>
        <w:rPr>
          <w:sz w:val="24"/>
        </w:rPr>
        <w:t>a suitable point in the </w:t>
      </w:r>
      <w:r>
        <w:rPr>
          <w:i/>
          <w:sz w:val="24"/>
        </w:rPr>
        <w:t>network </w:t>
      </w:r>
      <w:r>
        <w:rPr>
          <w:sz w:val="24"/>
        </w:rPr>
        <w:t>from which </w:t>
      </w:r>
      <w:r>
        <w:rPr>
          <w:i/>
          <w:sz w:val="24"/>
        </w:rPr>
        <w:t>supply </w:t>
      </w:r>
      <w:r>
        <w:rPr>
          <w:sz w:val="24"/>
        </w:rPr>
        <w:t>can be made available to other </w:t>
      </w:r>
      <w:r>
        <w:rPr>
          <w:i/>
          <w:sz w:val="24"/>
        </w:rPr>
        <w:t>generating</w:t>
      </w:r>
      <w:r>
        <w:rPr>
          <w:i/>
          <w:spacing w:val="-1"/>
          <w:sz w:val="24"/>
        </w:rPr>
        <w:t> </w:t>
      </w:r>
      <w:r>
        <w:rPr>
          <w:i/>
          <w:sz w:val="24"/>
        </w:rPr>
        <w:t>units</w:t>
      </w:r>
      <w:r>
        <w:rPr>
          <w:sz w:val="24"/>
        </w:rPr>
        <w:t>,</w:t>
      </w:r>
    </w:p>
    <w:p>
      <w:pPr>
        <w:spacing w:before="120"/>
        <w:ind w:left="1352" w:right="0" w:firstLine="0"/>
        <w:jc w:val="left"/>
        <w:rPr>
          <w:sz w:val="24"/>
        </w:rPr>
      </w:pPr>
      <w:r>
        <w:rPr>
          <w:sz w:val="24"/>
        </w:rPr>
        <w:t>without taking </w:t>
      </w:r>
      <w:r>
        <w:rPr>
          <w:i/>
          <w:sz w:val="24"/>
        </w:rPr>
        <w:t>supply </w:t>
      </w:r>
      <w:r>
        <w:rPr>
          <w:sz w:val="24"/>
        </w:rPr>
        <w:t>from any part of the </w:t>
      </w:r>
      <w:r>
        <w:rPr>
          <w:i/>
          <w:sz w:val="24"/>
        </w:rPr>
        <w:t>power system </w:t>
      </w:r>
      <w:r>
        <w:rPr>
          <w:sz w:val="24"/>
        </w:rPr>
        <w:t>following </w:t>
      </w:r>
      <w:r>
        <w:rPr>
          <w:i/>
          <w:sz w:val="24"/>
        </w:rPr>
        <w:t>disconnection</w:t>
      </w:r>
      <w:r>
        <w:rPr>
          <w:sz w:val="24"/>
        </w:rPr>
        <w:t>.</w:t>
      </w:r>
    </w:p>
    <w:p>
      <w:pPr>
        <w:pStyle w:val="Heading5"/>
        <w:jc w:val="left"/>
        <w:rPr>
          <w:i/>
        </w:rPr>
      </w:pPr>
      <w:r>
        <w:rPr>
          <w:i/>
        </w:rPr>
        <w:t>black system</w:t>
      </w:r>
    </w:p>
    <w:p>
      <w:pPr>
        <w:spacing w:before="120"/>
        <w:ind w:left="1352" w:right="416" w:firstLine="0"/>
        <w:jc w:val="both"/>
        <w:rPr>
          <w:sz w:val="24"/>
        </w:rPr>
      </w:pPr>
      <w:r>
        <w:rPr>
          <w:sz w:val="24"/>
        </w:rPr>
        <w:t>The absence of </w:t>
      </w:r>
      <w:r>
        <w:rPr>
          <w:i/>
          <w:sz w:val="24"/>
        </w:rPr>
        <w:t>voltage </w:t>
      </w:r>
      <w:r>
        <w:rPr>
          <w:sz w:val="24"/>
        </w:rPr>
        <w:t>on all or a significant part of the </w:t>
      </w:r>
      <w:r>
        <w:rPr>
          <w:i/>
          <w:sz w:val="24"/>
        </w:rPr>
        <w:t>transmission system </w:t>
      </w:r>
      <w:r>
        <w:rPr>
          <w:sz w:val="24"/>
        </w:rPr>
        <w:t>or within a </w:t>
      </w:r>
      <w:r>
        <w:rPr>
          <w:i/>
          <w:sz w:val="24"/>
        </w:rPr>
        <w:t>region </w:t>
      </w:r>
      <w:r>
        <w:rPr>
          <w:sz w:val="24"/>
        </w:rPr>
        <w:t>during a </w:t>
      </w:r>
      <w:r>
        <w:rPr>
          <w:i/>
          <w:sz w:val="24"/>
        </w:rPr>
        <w:t>major supply disruption </w:t>
      </w:r>
      <w:r>
        <w:rPr>
          <w:sz w:val="24"/>
        </w:rPr>
        <w:t>affecting a significant number of customers.</w:t>
      </w:r>
    </w:p>
    <w:p>
      <w:pPr>
        <w:pStyle w:val="Heading5"/>
        <w:rPr>
          <w:i/>
        </w:rPr>
      </w:pPr>
      <w:r>
        <w:rPr>
          <w:i/>
        </w:rPr>
        <w:t>book build</w:t>
      </w:r>
      <w:r>
        <w:rPr>
          <w:i/>
          <w:spacing w:val="-1"/>
        </w:rPr>
        <w:t> </w:t>
      </w:r>
      <w:r>
        <w:rPr>
          <w:i/>
        </w:rPr>
        <w:t>participant</w:t>
      </w:r>
    </w:p>
    <w:p>
      <w:pPr>
        <w:pStyle w:val="BodyText"/>
        <w:ind w:left="1352" w:right="415" w:firstLine="0"/>
      </w:pPr>
      <w:r>
        <w:rPr/>
        <w:t>A person who is accredited by </w:t>
      </w:r>
      <w:r>
        <w:rPr>
          <w:i/>
        </w:rPr>
        <w:t>AEMO </w:t>
      </w:r>
      <w:r>
        <w:rPr/>
        <w:t>to participate in a voluntary book build under clause 4A.H.4.</w:t>
      </w:r>
    </w:p>
    <w:p>
      <w:pPr>
        <w:pStyle w:val="Heading5"/>
        <w:rPr>
          <w:i/>
        </w:rPr>
      </w:pPr>
      <w:r>
        <w:rPr>
          <w:i/>
        </w:rPr>
        <w:t>breaker fail</w:t>
      </w:r>
    </w:p>
    <w:p>
      <w:pPr>
        <w:spacing w:before="120"/>
        <w:ind w:left="1352" w:right="414" w:firstLine="0"/>
        <w:jc w:val="both"/>
        <w:rPr>
          <w:sz w:val="24"/>
        </w:rPr>
      </w:pPr>
      <w:r>
        <w:rPr>
          <w:sz w:val="24"/>
        </w:rPr>
        <w:t>In relation to a </w:t>
      </w:r>
      <w:r>
        <w:rPr>
          <w:i/>
          <w:sz w:val="24"/>
        </w:rPr>
        <w:t>protection system</w:t>
      </w:r>
      <w:r>
        <w:rPr>
          <w:sz w:val="24"/>
        </w:rPr>
        <w:t>, that part of the </w:t>
      </w:r>
      <w:r>
        <w:rPr>
          <w:i/>
          <w:sz w:val="24"/>
        </w:rPr>
        <w:t>protection system </w:t>
      </w:r>
      <w:r>
        <w:rPr>
          <w:sz w:val="24"/>
        </w:rPr>
        <w:t>that protects a </w:t>
      </w:r>
      <w:r>
        <w:rPr>
          <w:i/>
          <w:sz w:val="24"/>
        </w:rPr>
        <w:t>Market Participant's facilities </w:t>
      </w:r>
      <w:r>
        <w:rPr>
          <w:sz w:val="24"/>
        </w:rPr>
        <w:t>against the non-operation of a circuit breaker that is required to open.</w:t>
      </w:r>
    </w:p>
    <w:p>
      <w:pPr>
        <w:pStyle w:val="Heading5"/>
        <w:rPr>
          <w:i/>
        </w:rPr>
      </w:pPr>
      <w:r>
        <w:rPr>
          <w:i/>
        </w:rPr>
        <w:t>breaker fail protection system</w:t>
      </w:r>
    </w:p>
    <w:p>
      <w:pPr>
        <w:spacing w:before="120"/>
        <w:ind w:left="1352" w:right="415" w:firstLine="0"/>
        <w:jc w:val="both"/>
        <w:rPr>
          <w:sz w:val="24"/>
        </w:rPr>
      </w:pPr>
      <w:r>
        <w:rPr>
          <w:sz w:val="24"/>
        </w:rPr>
        <w:t>A </w:t>
      </w:r>
      <w:r>
        <w:rPr>
          <w:i/>
          <w:sz w:val="24"/>
        </w:rPr>
        <w:t>protection system </w:t>
      </w:r>
      <w:r>
        <w:rPr>
          <w:sz w:val="24"/>
        </w:rPr>
        <w:t>that protects a </w:t>
      </w:r>
      <w:r>
        <w:rPr>
          <w:i/>
          <w:sz w:val="24"/>
        </w:rPr>
        <w:t>facility </w:t>
      </w:r>
      <w:r>
        <w:rPr>
          <w:sz w:val="24"/>
        </w:rPr>
        <w:t>against the non-operation of a circuit breaker that is required to open to clear a fault.</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building block determination</w:t>
      </w:r>
    </w:p>
    <w:p>
      <w:pPr>
        <w:pStyle w:val="BodyText"/>
        <w:ind w:left="1352" w:firstLine="0"/>
        <w:jc w:val="left"/>
      </w:pPr>
      <w:r>
        <w:rPr/>
        <w:t>The component of a distribution determination relevant to the regulation of</w:t>
      </w:r>
    </w:p>
    <w:p>
      <w:pPr>
        <w:spacing w:before="0"/>
        <w:ind w:left="1352" w:right="0" w:firstLine="0"/>
        <w:jc w:val="left"/>
        <w:rPr>
          <w:sz w:val="24"/>
        </w:rPr>
      </w:pPr>
      <w:r>
        <w:rPr>
          <w:i/>
          <w:sz w:val="24"/>
        </w:rPr>
        <w:t>standard control services </w:t>
      </w:r>
      <w:r>
        <w:rPr>
          <w:sz w:val="24"/>
        </w:rPr>
        <w:t>(See rule 6.3).</w:t>
      </w:r>
    </w:p>
    <w:p>
      <w:pPr>
        <w:pStyle w:val="Heading5"/>
        <w:jc w:val="left"/>
        <w:rPr>
          <w:i/>
        </w:rPr>
      </w:pPr>
      <w:r>
        <w:rPr>
          <w:i/>
        </w:rPr>
        <w:t>building block proposal</w:t>
      </w:r>
    </w:p>
    <w:p>
      <w:pPr>
        <w:spacing w:before="120"/>
        <w:ind w:left="1352" w:right="0" w:firstLine="0"/>
        <w:jc w:val="left"/>
        <w:rPr>
          <w:sz w:val="24"/>
        </w:rPr>
      </w:pPr>
      <w:r>
        <w:rPr>
          <w:sz w:val="24"/>
        </w:rPr>
        <w:t>For a </w:t>
      </w:r>
      <w:r>
        <w:rPr>
          <w:i/>
          <w:sz w:val="24"/>
        </w:rPr>
        <w:t>Distribution Network Service Provider</w:t>
      </w:r>
      <w:r>
        <w:rPr>
          <w:sz w:val="24"/>
        </w:rPr>
        <w:t>, the part of the provider's </w:t>
      </w:r>
      <w:r>
        <w:rPr>
          <w:i/>
          <w:sz w:val="24"/>
        </w:rPr>
        <w:t>regulatory </w:t>
      </w:r>
      <w:r>
        <w:rPr>
          <w:i/>
          <w:sz w:val="24"/>
        </w:rPr>
        <w:t>proposal </w:t>
      </w:r>
      <w:r>
        <w:rPr>
          <w:sz w:val="24"/>
        </w:rPr>
        <w:t>relevant to the regulation of </w:t>
      </w:r>
      <w:r>
        <w:rPr>
          <w:i/>
          <w:sz w:val="24"/>
        </w:rPr>
        <w:t>standard control services </w:t>
      </w:r>
      <w:r>
        <w:rPr>
          <w:sz w:val="24"/>
        </w:rPr>
        <w:t>(See clause 6.3.1).</w:t>
      </w:r>
    </w:p>
    <w:p>
      <w:pPr>
        <w:spacing w:after="0"/>
        <w:jc w:val="left"/>
        <w:rPr>
          <w:sz w:val="24"/>
        </w:rPr>
        <w:sectPr>
          <w:pgSz w:w="11910" w:h="16840"/>
          <w:pgMar w:header="686" w:footer="637" w:top="1320" w:bottom="820" w:left="1200" w:right="1000"/>
        </w:sectPr>
      </w:pPr>
    </w:p>
    <w:p>
      <w:pPr>
        <w:pStyle w:val="Heading5"/>
        <w:jc w:val="left"/>
        <w:rPr>
          <w:i/>
        </w:rPr>
      </w:pPr>
      <w:r>
        <w:rPr>
          <w:i/>
        </w:rPr>
        <w:t>busbar</w:t>
      </w:r>
    </w:p>
    <w:p>
      <w:pPr>
        <w:pStyle w:val="BodyText"/>
        <w:spacing w:before="0"/>
        <w:ind w:firstLine="0"/>
        <w:jc w:val="left"/>
        <w:rPr>
          <w:b/>
          <w:i/>
          <w:sz w:val="26"/>
        </w:rPr>
      </w:pPr>
      <w:r>
        <w:rPr/>
        <w:br w:type="column"/>
      </w:r>
      <w:r>
        <w:rPr>
          <w:b/>
          <w:i/>
          <w:sz w:val="26"/>
        </w:rPr>
      </w:r>
    </w:p>
    <w:p>
      <w:pPr>
        <w:spacing w:before="217"/>
        <w:ind w:left="218" w:right="407" w:firstLine="0"/>
        <w:jc w:val="left"/>
        <w:rPr>
          <w:sz w:val="24"/>
        </w:rPr>
      </w:pPr>
      <w:r>
        <w:rPr>
          <w:sz w:val="24"/>
        </w:rPr>
        <w:t>A common </w:t>
      </w:r>
      <w:r>
        <w:rPr>
          <w:i/>
          <w:sz w:val="24"/>
        </w:rPr>
        <w:t>connection point </w:t>
      </w:r>
      <w:r>
        <w:rPr>
          <w:sz w:val="24"/>
        </w:rPr>
        <w:t>in a </w:t>
      </w:r>
      <w:r>
        <w:rPr>
          <w:i/>
          <w:sz w:val="24"/>
        </w:rPr>
        <w:t>power station switchyard </w:t>
      </w:r>
      <w:r>
        <w:rPr>
          <w:sz w:val="24"/>
        </w:rPr>
        <w:t>or a </w:t>
      </w:r>
      <w:r>
        <w:rPr>
          <w:i/>
          <w:sz w:val="24"/>
        </w:rPr>
        <w:t>transmission </w:t>
      </w:r>
      <w:r>
        <w:rPr>
          <w:i/>
          <w:sz w:val="24"/>
        </w:rPr>
        <w:t>network substation</w:t>
      </w:r>
      <w:r>
        <w:rPr>
          <w:sz w:val="24"/>
        </w:rPr>
        <w:t>.</w:t>
      </w:r>
    </w:p>
    <w:p>
      <w:pPr>
        <w:spacing w:after="0"/>
        <w:jc w:val="left"/>
        <w:rPr>
          <w:sz w:val="24"/>
        </w:rPr>
        <w:sectPr>
          <w:type w:val="continuous"/>
          <w:pgSz w:w="11910" w:h="16840"/>
          <w:pgMar w:top="1360" w:bottom="280" w:left="1200" w:right="1000"/>
          <w:cols w:num="2" w:equalWidth="0">
            <w:col w:w="939" w:space="195"/>
            <w:col w:w="8576"/>
          </w:cols>
        </w:sectPr>
      </w:pPr>
    </w:p>
    <w:p>
      <w:pPr>
        <w:pStyle w:val="Heading5"/>
        <w:rPr>
          <w:i/>
        </w:rPr>
      </w:pPr>
      <w:r>
        <w:rPr>
          <w:i/>
        </w:rPr>
        <w:t>business day</w:t>
      </w:r>
    </w:p>
    <w:p>
      <w:pPr>
        <w:pStyle w:val="BodyText"/>
        <w:ind w:left="1352" w:firstLine="0"/>
      </w:pPr>
      <w:r>
        <w:rPr/>
        <w:t>A day that is not:</w:t>
      </w:r>
    </w:p>
    <w:p>
      <w:pPr>
        <w:pStyle w:val="ListParagraph"/>
        <w:numPr>
          <w:ilvl w:val="0"/>
          <w:numId w:val="721"/>
        </w:numPr>
        <w:tabs>
          <w:tab w:pos="1919" w:val="left" w:leader="none"/>
        </w:tabs>
        <w:spacing w:line="240" w:lineRule="auto" w:before="120" w:after="0"/>
        <w:ind w:left="1918" w:right="0" w:hanging="567"/>
        <w:jc w:val="both"/>
        <w:rPr>
          <w:sz w:val="24"/>
        </w:rPr>
      </w:pPr>
      <w:r>
        <w:rPr>
          <w:sz w:val="24"/>
        </w:rPr>
        <w:t>a Saturday or Sunday;</w:t>
      </w:r>
      <w:r>
        <w:rPr>
          <w:spacing w:val="-3"/>
          <w:sz w:val="24"/>
        </w:rPr>
        <w:t> </w:t>
      </w:r>
      <w:r>
        <w:rPr>
          <w:sz w:val="24"/>
        </w:rPr>
        <w:t>or</w:t>
      </w:r>
    </w:p>
    <w:p>
      <w:pPr>
        <w:pStyle w:val="ListParagraph"/>
        <w:numPr>
          <w:ilvl w:val="0"/>
          <w:numId w:val="721"/>
        </w:numPr>
        <w:tabs>
          <w:tab w:pos="1919" w:val="left" w:leader="none"/>
        </w:tabs>
        <w:spacing w:line="240" w:lineRule="auto" w:before="120" w:after="0"/>
        <w:ind w:left="1919" w:right="416" w:hanging="567"/>
        <w:jc w:val="both"/>
        <w:rPr>
          <w:sz w:val="24"/>
        </w:rPr>
      </w:pPr>
      <w:r>
        <w:rPr>
          <w:sz w:val="24"/>
        </w:rPr>
        <w:t>a public holiday as defined in section 17 of the </w:t>
      </w:r>
      <w:r>
        <w:rPr>
          <w:i/>
          <w:sz w:val="24"/>
        </w:rPr>
        <w:t>Interpretation Act </w:t>
      </w:r>
      <w:r>
        <w:rPr>
          <w:sz w:val="24"/>
        </w:rPr>
        <w:t>(NT) (other than a public holiday that is part of a day) in the City of</w:t>
      </w:r>
      <w:r>
        <w:rPr>
          <w:spacing w:val="-9"/>
          <w:sz w:val="24"/>
        </w:rPr>
        <w:t> </w:t>
      </w:r>
      <w:r>
        <w:rPr>
          <w:sz w:val="24"/>
        </w:rPr>
        <w:t>Darwin.</w:t>
      </w:r>
    </w:p>
    <w:p>
      <w:pPr>
        <w:pStyle w:val="Heading5"/>
        <w:rPr>
          <w:i/>
        </w:rPr>
      </w:pPr>
      <w:r>
        <w:rPr>
          <w:i/>
        </w:rPr>
        <w:t>calculated metering data</w:t>
      </w:r>
    </w:p>
    <w:p>
      <w:pPr>
        <w:spacing w:before="120"/>
        <w:ind w:left="1352" w:right="414" w:firstLine="0"/>
        <w:jc w:val="both"/>
        <w:rPr>
          <w:sz w:val="24"/>
        </w:rPr>
      </w:pPr>
      <w:r>
        <w:rPr>
          <w:sz w:val="24"/>
        </w:rPr>
        <w:t>The recording interval data corresponding to the calculation of consumed energy for a type 7 </w:t>
      </w:r>
      <w:r>
        <w:rPr>
          <w:i/>
          <w:sz w:val="24"/>
        </w:rPr>
        <w:t>metering installation </w:t>
      </w:r>
      <w:r>
        <w:rPr>
          <w:sz w:val="24"/>
        </w:rPr>
        <w:t>in accordance with schedule 7A.7. </w:t>
      </w:r>
      <w:r>
        <w:rPr>
          <w:i/>
          <w:sz w:val="24"/>
        </w:rPr>
        <w:t>Calculated </w:t>
      </w:r>
      <w:r>
        <w:rPr>
          <w:i/>
          <w:sz w:val="24"/>
        </w:rPr>
        <w:t>metering data </w:t>
      </w:r>
      <w:r>
        <w:rPr>
          <w:sz w:val="24"/>
        </w:rPr>
        <w:t>is held in the </w:t>
      </w:r>
      <w:r>
        <w:rPr>
          <w:i/>
          <w:sz w:val="24"/>
        </w:rPr>
        <w:t>metering data services database</w:t>
      </w:r>
      <w:r>
        <w:rPr>
          <w:sz w:val="24"/>
        </w:rPr>
        <w:t>.</w:t>
      </w:r>
    </w:p>
    <w:p>
      <w:pPr>
        <w:pStyle w:val="Heading5"/>
        <w:rPr>
          <w:i/>
        </w:rPr>
      </w:pPr>
      <w:r>
        <w:rPr>
          <w:i/>
        </w:rPr>
        <w:t>call amount</w:t>
      </w:r>
    </w:p>
    <w:p>
      <w:pPr>
        <w:spacing w:before="120"/>
        <w:ind w:left="1352" w:right="415" w:firstLine="0"/>
        <w:jc w:val="both"/>
        <w:rPr>
          <w:sz w:val="24"/>
        </w:rPr>
      </w:pPr>
      <w:r>
        <w:rPr>
          <w:sz w:val="24"/>
        </w:rPr>
        <w:t>The amount determined pursuant to the formula in clause 3.3.11 for the purposes of a </w:t>
      </w:r>
      <w:r>
        <w:rPr>
          <w:i/>
          <w:sz w:val="24"/>
        </w:rPr>
        <w:t>call notice </w:t>
      </w:r>
      <w:r>
        <w:rPr>
          <w:sz w:val="24"/>
        </w:rPr>
        <w:t>where the </w:t>
      </w:r>
      <w:r>
        <w:rPr>
          <w:i/>
          <w:sz w:val="24"/>
        </w:rPr>
        <w:t>outstandings </w:t>
      </w:r>
      <w:r>
        <w:rPr>
          <w:sz w:val="24"/>
        </w:rPr>
        <w:t>of a </w:t>
      </w:r>
      <w:r>
        <w:rPr>
          <w:i/>
          <w:sz w:val="24"/>
        </w:rPr>
        <w:t>Market Participant </w:t>
      </w:r>
      <w:r>
        <w:rPr>
          <w:sz w:val="24"/>
        </w:rPr>
        <w:t>exceed its </w:t>
      </w:r>
      <w:r>
        <w:rPr>
          <w:i/>
          <w:sz w:val="24"/>
        </w:rPr>
        <w:t>trading </w:t>
      </w:r>
      <w:r>
        <w:rPr>
          <w:i/>
          <w:sz w:val="24"/>
        </w:rPr>
        <w:t>limit</w:t>
      </w:r>
      <w:r>
        <w:rPr>
          <w:sz w:val="24"/>
        </w:rPr>
        <w:t>.</w:t>
      </w:r>
    </w:p>
    <w:p>
      <w:pPr>
        <w:spacing w:after="0"/>
        <w:jc w:val="both"/>
        <w:rPr>
          <w:sz w:val="24"/>
        </w:rPr>
        <w:sectPr>
          <w:type w:val="continuous"/>
          <w:pgSz w:w="11910" w:h="16840"/>
          <w:pgMar w:top="1360" w:bottom="280" w:left="1200" w:right="1000"/>
        </w:sectPr>
      </w:pPr>
    </w:p>
    <w:p>
      <w:pPr>
        <w:pStyle w:val="Heading5"/>
        <w:jc w:val="left"/>
        <w:rPr>
          <w:i/>
        </w:rPr>
      </w:pPr>
      <w:r>
        <w:rPr>
          <w:i/>
        </w:rPr>
        <w:t>call notice</w:t>
      </w:r>
    </w:p>
    <w:p>
      <w:pPr>
        <w:pStyle w:val="BodyText"/>
        <w:spacing w:before="0"/>
        <w:ind w:firstLine="0"/>
        <w:jc w:val="left"/>
        <w:rPr>
          <w:b/>
          <w:i/>
          <w:sz w:val="26"/>
        </w:rPr>
      </w:pPr>
      <w:r>
        <w:rPr/>
        <w:br w:type="column"/>
      </w:r>
      <w:r>
        <w:rPr>
          <w:b/>
          <w:i/>
          <w:sz w:val="26"/>
        </w:rPr>
      </w:r>
    </w:p>
    <w:p>
      <w:pPr>
        <w:spacing w:before="217"/>
        <w:ind w:left="74" w:right="0" w:firstLine="0"/>
        <w:jc w:val="left"/>
        <w:rPr>
          <w:sz w:val="24"/>
        </w:rPr>
      </w:pPr>
      <w:r>
        <w:rPr>
          <w:sz w:val="24"/>
        </w:rPr>
        <w:t>A notice issued by </w:t>
      </w:r>
      <w:r>
        <w:rPr>
          <w:i/>
          <w:sz w:val="24"/>
        </w:rPr>
        <w:t>AEMO </w:t>
      </w:r>
      <w:r>
        <w:rPr>
          <w:sz w:val="24"/>
        </w:rPr>
        <w:t>pursuant to clause 3.3.11 where the </w:t>
      </w:r>
      <w:r>
        <w:rPr>
          <w:i/>
          <w:sz w:val="24"/>
        </w:rPr>
        <w:t>outstandings </w:t>
      </w:r>
      <w:r>
        <w:rPr>
          <w:sz w:val="24"/>
        </w:rPr>
        <w:t>of a</w:t>
      </w:r>
    </w:p>
    <w:p>
      <w:pPr>
        <w:spacing w:before="0"/>
        <w:ind w:left="74" w:right="0" w:firstLine="0"/>
        <w:jc w:val="left"/>
        <w:rPr>
          <w:sz w:val="24"/>
        </w:rPr>
      </w:pPr>
      <w:r>
        <w:rPr>
          <w:i/>
          <w:sz w:val="24"/>
        </w:rPr>
        <w:t>Market Participant </w:t>
      </w:r>
      <w:r>
        <w:rPr>
          <w:sz w:val="24"/>
        </w:rPr>
        <w:t>exceed its </w:t>
      </w:r>
      <w:r>
        <w:rPr>
          <w:i/>
          <w:sz w:val="24"/>
        </w:rPr>
        <w:t>trading limit</w:t>
      </w:r>
      <w:r>
        <w:rPr>
          <w:sz w:val="24"/>
        </w:rPr>
        <w:t>.</w:t>
      </w:r>
    </w:p>
    <w:p>
      <w:pPr>
        <w:spacing w:after="0"/>
        <w:jc w:val="left"/>
        <w:rPr>
          <w:sz w:val="24"/>
        </w:rPr>
        <w:sectPr>
          <w:type w:val="continuous"/>
          <w:pgSz w:w="11910" w:h="16840"/>
          <w:pgMar w:top="1360" w:bottom="280" w:left="1200" w:right="1000"/>
          <w:cols w:num="2" w:equalWidth="0">
            <w:col w:w="1238" w:space="40"/>
            <w:col w:w="8432"/>
          </w:cols>
        </w:sectPr>
      </w:pPr>
    </w:p>
    <w:p>
      <w:pPr>
        <w:pStyle w:val="Heading5"/>
        <w:rPr>
          <w:i/>
        </w:rPr>
      </w:pPr>
      <w:r>
        <w:rPr>
          <w:i/>
        </w:rPr>
        <w:t>capacitor bank</w:t>
      </w:r>
    </w:p>
    <w:p>
      <w:pPr>
        <w:spacing w:before="120"/>
        <w:ind w:left="1352" w:right="0" w:firstLine="0"/>
        <w:jc w:val="both"/>
        <w:rPr>
          <w:sz w:val="24"/>
        </w:rPr>
      </w:pPr>
      <w:r>
        <w:rPr>
          <w:sz w:val="24"/>
        </w:rPr>
        <w:t>Electrical equipment used to generate </w:t>
      </w:r>
      <w:r>
        <w:rPr>
          <w:i/>
          <w:sz w:val="24"/>
        </w:rPr>
        <w:t>reactive power </w:t>
      </w:r>
      <w:r>
        <w:rPr>
          <w:sz w:val="24"/>
        </w:rPr>
        <w:t>and therefore support</w:t>
      </w:r>
    </w:p>
    <w:p>
      <w:pPr>
        <w:spacing w:before="0"/>
        <w:ind w:left="1352" w:right="0" w:firstLine="0"/>
        <w:jc w:val="both"/>
        <w:rPr>
          <w:sz w:val="24"/>
        </w:rPr>
      </w:pPr>
      <w:r>
        <w:rPr>
          <w:i/>
          <w:sz w:val="24"/>
        </w:rPr>
        <w:t>voltage </w:t>
      </w:r>
      <w:r>
        <w:rPr>
          <w:sz w:val="24"/>
        </w:rPr>
        <w:t>levels on </w:t>
      </w:r>
      <w:r>
        <w:rPr>
          <w:i/>
          <w:sz w:val="24"/>
        </w:rPr>
        <w:t>distribution </w:t>
      </w:r>
      <w:r>
        <w:rPr>
          <w:sz w:val="24"/>
        </w:rPr>
        <w:t>and </w:t>
      </w:r>
      <w:r>
        <w:rPr>
          <w:i/>
          <w:sz w:val="24"/>
        </w:rPr>
        <w:t>transmission lines </w:t>
      </w:r>
      <w:r>
        <w:rPr>
          <w:sz w:val="24"/>
        </w:rPr>
        <w:t>in periods of high </w:t>
      </w:r>
      <w:r>
        <w:rPr>
          <w:i/>
          <w:sz w:val="24"/>
        </w:rPr>
        <w:t>load</w:t>
      </w:r>
      <w:r>
        <w:rPr>
          <w:sz w:val="24"/>
        </w:rPr>
        <w:t>.</w:t>
      </w:r>
    </w:p>
    <w:p>
      <w:pPr>
        <w:pStyle w:val="Heading5"/>
        <w:rPr>
          <w:i/>
        </w:rPr>
      </w:pPr>
      <w:r>
        <w:rPr>
          <w:i/>
        </w:rPr>
        <w:t>capacity reserve</w:t>
      </w:r>
    </w:p>
    <w:p>
      <w:pPr>
        <w:pStyle w:val="BodyText"/>
        <w:ind w:left="1352" w:right="415" w:firstLine="0"/>
      </w:pPr>
      <w:r>
        <w:rPr/>
        <w:t>At any time, the amount of surplus or unused generating capacity indicated by the relevant </w:t>
      </w:r>
      <w:r>
        <w:rPr>
          <w:i/>
        </w:rPr>
        <w:t>Generators </w:t>
      </w:r>
      <w:r>
        <w:rPr/>
        <w:t>as being available in the relevant timeframe minus the capacity requirement to meet the current forecast </w:t>
      </w:r>
      <w:r>
        <w:rPr>
          <w:i/>
        </w:rPr>
        <w:t>load </w:t>
      </w:r>
      <w:r>
        <w:rPr/>
        <w:t>demand, taking into account the known or historical levels of demand</w:t>
      </w:r>
      <w:r>
        <w:rPr>
          <w:spacing w:val="-3"/>
        </w:rPr>
        <w:t> </w:t>
      </w:r>
      <w:r>
        <w:rPr/>
        <w:t>management.</w:t>
      </w:r>
    </w:p>
    <w:p>
      <w:pPr>
        <w:pStyle w:val="Heading5"/>
        <w:rPr>
          <w:i/>
        </w:rPr>
      </w:pPr>
      <w:r>
        <w:rPr>
          <w:i/>
        </w:rPr>
        <w:t>capital expenditure criteria</w:t>
      </w:r>
    </w:p>
    <w:p>
      <w:pPr>
        <w:spacing w:before="120"/>
        <w:ind w:left="1352" w:right="415" w:firstLine="0"/>
        <w:jc w:val="both"/>
        <w:rPr>
          <w:sz w:val="24"/>
        </w:rPr>
      </w:pPr>
      <w:r>
        <w:rPr>
          <w:sz w:val="24"/>
        </w:rPr>
        <w:t>For a </w:t>
      </w:r>
      <w:r>
        <w:rPr>
          <w:i/>
          <w:sz w:val="24"/>
        </w:rPr>
        <w:t>Transmission Network Service Provider </w:t>
      </w:r>
      <w:r>
        <w:rPr>
          <w:sz w:val="24"/>
        </w:rPr>
        <w:t>– the matters listed in clause 6A.6.7(c)(1)–(3).</w:t>
      </w:r>
    </w:p>
    <w:p>
      <w:pPr>
        <w:spacing w:before="120"/>
        <w:ind w:left="1352" w:right="415" w:firstLine="0"/>
        <w:jc w:val="both"/>
        <w:rPr>
          <w:sz w:val="24"/>
        </w:rPr>
      </w:pPr>
      <w:r>
        <w:rPr>
          <w:sz w:val="24"/>
        </w:rPr>
        <w:t>For a </w:t>
      </w:r>
      <w:r>
        <w:rPr>
          <w:i/>
          <w:sz w:val="24"/>
        </w:rPr>
        <w:t>Distribution Network Service Provider </w:t>
      </w:r>
      <w:r>
        <w:rPr>
          <w:sz w:val="24"/>
        </w:rPr>
        <w:t>– the matters listed in clause 6.5.7(c)(1)–(3).</w:t>
      </w:r>
    </w:p>
    <w:p>
      <w:pPr>
        <w:spacing w:after="0"/>
        <w:jc w:val="both"/>
        <w:rPr>
          <w:sz w:val="24"/>
        </w:rPr>
        <w:sectPr>
          <w:type w:val="continuous"/>
          <w:pgSz w:w="11910" w:h="16840"/>
          <w:pgMar w:top="1360" w:bottom="280" w:left="1200" w:right="1000"/>
        </w:sectPr>
      </w:pPr>
    </w:p>
    <w:p>
      <w:pPr>
        <w:pStyle w:val="Heading5"/>
        <w:spacing w:before="83"/>
        <w:rPr>
          <w:i/>
        </w:rPr>
      </w:pPr>
      <w:r>
        <w:rPr>
          <w:i/>
        </w:rPr>
        <w:t>capital expenditure factors</w:t>
      </w:r>
    </w:p>
    <w:p>
      <w:pPr>
        <w:spacing w:before="120"/>
        <w:ind w:left="1352" w:right="415" w:firstLine="0"/>
        <w:jc w:val="both"/>
        <w:rPr>
          <w:sz w:val="24"/>
        </w:rPr>
      </w:pPr>
      <w:r>
        <w:rPr>
          <w:sz w:val="24"/>
        </w:rPr>
        <w:t>For a </w:t>
      </w:r>
      <w:r>
        <w:rPr>
          <w:i/>
          <w:sz w:val="24"/>
        </w:rPr>
        <w:t>Transmission Network Service Provider </w:t>
      </w:r>
      <w:r>
        <w:rPr>
          <w:sz w:val="24"/>
        </w:rPr>
        <w:t>- the factors listed in clause 6A.6.7(e)(1)-(14).</w:t>
      </w:r>
    </w:p>
    <w:p>
      <w:pPr>
        <w:spacing w:before="120"/>
        <w:ind w:left="1352" w:right="415" w:firstLine="0"/>
        <w:jc w:val="both"/>
        <w:rPr>
          <w:sz w:val="24"/>
        </w:rPr>
      </w:pPr>
      <w:r>
        <w:rPr>
          <w:sz w:val="24"/>
        </w:rPr>
        <w:t>For a </w:t>
      </w:r>
      <w:r>
        <w:rPr>
          <w:i/>
          <w:sz w:val="24"/>
        </w:rPr>
        <w:t>Distribution Network Service Provider </w:t>
      </w:r>
      <w:r>
        <w:rPr>
          <w:sz w:val="24"/>
        </w:rPr>
        <w:t>- the factors listed in clause 6.5.7(e)(1)-(12).</w:t>
      </w:r>
    </w:p>
    <w:p>
      <w:pPr>
        <w:pStyle w:val="Heading5"/>
        <w:rPr>
          <w:i/>
        </w:rPr>
      </w:pPr>
      <w:r>
        <w:rPr>
          <w:i/>
        </w:rPr>
        <w:t>Capital Expenditure Incentive Guidelines</w:t>
      </w:r>
    </w:p>
    <w:p>
      <w:pPr>
        <w:pStyle w:val="BodyText"/>
        <w:ind w:left="1352" w:right="415" w:firstLine="0"/>
      </w:pPr>
      <w:r>
        <w:rPr/>
        <w:t>Guidelines made by the </w:t>
      </w:r>
      <w:r>
        <w:rPr>
          <w:i/>
        </w:rPr>
        <w:t>AER </w:t>
      </w:r>
      <w:r>
        <w:rPr/>
        <w:t>under clause 6.4A(b) or clause 6A.5A(b), as the case may be.</w:t>
      </w:r>
    </w:p>
    <w:p>
      <w:pPr>
        <w:pStyle w:val="Heading5"/>
        <w:rPr>
          <w:i/>
        </w:rPr>
      </w:pPr>
      <w:r>
        <w:rPr>
          <w:i/>
        </w:rPr>
        <w:t>capital expenditure incentive objective</w:t>
      </w:r>
    </w:p>
    <w:p>
      <w:pPr>
        <w:pStyle w:val="BodyText"/>
        <w:ind w:left="1352" w:right="416" w:firstLine="0"/>
      </w:pPr>
      <w:r>
        <w:rPr/>
        <w:t>Has the meaning given to it by clause 6.4A(a) or clause 6A.5A(a), as the case may be.</w:t>
      </w:r>
    </w:p>
    <w:p>
      <w:pPr>
        <w:pStyle w:val="Heading5"/>
        <w:rPr>
          <w:i/>
        </w:rPr>
      </w:pPr>
      <w:r>
        <w:rPr>
          <w:i/>
        </w:rPr>
        <w:t>capital expenditure objectives</w:t>
      </w:r>
    </w:p>
    <w:p>
      <w:pPr>
        <w:spacing w:before="120"/>
        <w:ind w:left="1352" w:right="416" w:firstLine="0"/>
        <w:jc w:val="both"/>
        <w:rPr>
          <w:sz w:val="24"/>
        </w:rPr>
      </w:pPr>
      <w:r>
        <w:rPr>
          <w:sz w:val="24"/>
        </w:rPr>
        <w:t>For a </w:t>
      </w:r>
      <w:r>
        <w:rPr>
          <w:i/>
          <w:sz w:val="24"/>
        </w:rPr>
        <w:t>Transmission Network Service Provider </w:t>
      </w:r>
      <w:r>
        <w:rPr>
          <w:sz w:val="24"/>
        </w:rPr>
        <w:t>– the objectives set out in clause 6A.6.7(a).</w:t>
      </w:r>
    </w:p>
    <w:p>
      <w:pPr>
        <w:spacing w:before="120"/>
        <w:ind w:left="1352" w:right="417" w:firstLine="0"/>
        <w:jc w:val="both"/>
        <w:rPr>
          <w:sz w:val="24"/>
        </w:rPr>
      </w:pPr>
      <w:r>
        <w:rPr>
          <w:sz w:val="24"/>
        </w:rPr>
        <w:t>For a </w:t>
      </w:r>
      <w:r>
        <w:rPr>
          <w:i/>
          <w:sz w:val="24"/>
        </w:rPr>
        <w:t>Distribution Network Service Provider </w:t>
      </w:r>
      <w:r>
        <w:rPr>
          <w:sz w:val="24"/>
        </w:rPr>
        <w:t>– the objectives set out in clause 6.5.7(a).</w:t>
      </w:r>
    </w:p>
    <w:p>
      <w:pPr>
        <w:pStyle w:val="Heading5"/>
        <w:rPr>
          <w:i/>
        </w:rPr>
      </w:pPr>
      <w:r>
        <w:rPr>
          <w:i/>
        </w:rPr>
        <w:t>capital expenditure sharing scheme</w:t>
      </w:r>
    </w:p>
    <w:p>
      <w:pPr>
        <w:pStyle w:val="BodyText"/>
        <w:ind w:left="1352" w:right="415" w:firstLine="0"/>
      </w:pPr>
      <w:r>
        <w:rPr/>
        <w:t>A scheme developed and </w:t>
      </w:r>
      <w:r>
        <w:rPr>
          <w:i/>
        </w:rPr>
        <w:t>published </w:t>
      </w:r>
      <w:r>
        <w:rPr/>
        <w:t>by the </w:t>
      </w:r>
      <w:r>
        <w:rPr>
          <w:i/>
        </w:rPr>
        <w:t>AER </w:t>
      </w:r>
      <w:r>
        <w:rPr/>
        <w:t>in accordance with clause 6.5.8A or clause 6A.6.5A, as the case may be.</w:t>
      </w:r>
    </w:p>
    <w:p>
      <w:pPr>
        <w:pStyle w:val="Heading5"/>
        <w:rPr>
          <w:i/>
        </w:rPr>
      </w:pPr>
      <w:r>
        <w:rPr>
          <w:i/>
        </w:rPr>
        <w:t>capital expenditure sharing scheme principles</w:t>
      </w:r>
    </w:p>
    <w:p>
      <w:pPr>
        <w:pStyle w:val="BodyText"/>
        <w:ind w:left="1352" w:right="415" w:firstLine="0"/>
      </w:pPr>
      <w:r>
        <w:rPr/>
        <w:t>Has the meaning given to it by clause 6.5.8A(c) or clause 6A.6.5(c), as the case may be.</w:t>
      </w:r>
    </w:p>
    <w:p>
      <w:pPr>
        <w:pStyle w:val="Heading5"/>
        <w:rPr>
          <w:i/>
        </w:rPr>
      </w:pPr>
      <w:r>
        <w:rPr>
          <w:i/>
        </w:rPr>
        <w:t>capitalisation requirement</w:t>
      </w:r>
    </w:p>
    <w:p>
      <w:pPr>
        <w:pStyle w:val="BodyText"/>
        <w:ind w:left="1352" w:right="416" w:firstLine="0"/>
      </w:pPr>
      <w:r>
        <w:rPr/>
        <w:t>The requirement set out in clause S6.2.2A(e) or clause S6A.2.2A(e), as the case may be.</w:t>
      </w:r>
    </w:p>
    <w:p>
      <w:pPr>
        <w:pStyle w:val="Heading5"/>
        <w:rPr>
          <w:i/>
        </w:rPr>
      </w:pPr>
      <w:r>
        <w:rPr>
          <w:i/>
        </w:rPr>
        <w:t>carbon dioxide equivalent intensity index</w:t>
      </w:r>
    </w:p>
    <w:p>
      <w:pPr>
        <w:pStyle w:val="BodyText"/>
        <w:ind w:left="1352" w:firstLine="0"/>
      </w:pPr>
      <w:r>
        <w:rPr/>
        <w:t>The index published by </w:t>
      </w:r>
      <w:r>
        <w:rPr>
          <w:i/>
        </w:rPr>
        <w:t>AEMO </w:t>
      </w:r>
      <w:r>
        <w:rPr/>
        <w:t>in accordance with clause 3.13.14(f).</w:t>
      </w:r>
    </w:p>
    <w:p>
      <w:pPr>
        <w:pStyle w:val="Heading5"/>
        <w:rPr>
          <w:i/>
        </w:rPr>
      </w:pPr>
      <w:r>
        <w:rPr>
          <w:i/>
        </w:rPr>
        <w:t>carbon dioxide equivalent intensity index procedures</w:t>
      </w:r>
    </w:p>
    <w:p>
      <w:pPr>
        <w:pStyle w:val="BodyText"/>
        <w:ind w:left="1352" w:firstLine="0"/>
      </w:pPr>
      <w:r>
        <w:rPr/>
        <w:t>The procedures published by </w:t>
      </w:r>
      <w:r>
        <w:rPr>
          <w:i/>
        </w:rPr>
        <w:t>AEMO </w:t>
      </w:r>
      <w:r>
        <w:rPr/>
        <w:t>in accordance with clause 3.13.14(a).</w:t>
      </w:r>
    </w:p>
    <w:p>
      <w:pPr>
        <w:pStyle w:val="Heading5"/>
        <w:rPr>
          <w:i/>
        </w:rPr>
      </w:pPr>
      <w:r>
        <w:rPr>
          <w:i/>
        </w:rPr>
        <w:t>cascading outage</w:t>
      </w:r>
    </w:p>
    <w:p>
      <w:pPr>
        <w:pStyle w:val="BodyText"/>
        <w:ind w:left="1352" w:right="415" w:firstLine="0"/>
      </w:pPr>
      <w:r>
        <w:rPr/>
        <w:t>The occurrence of an uncontrollable succession of </w:t>
      </w:r>
      <w:r>
        <w:rPr>
          <w:i/>
        </w:rPr>
        <w:t>outages</w:t>
      </w:r>
      <w:r>
        <w:rPr/>
        <w:t>, each of which is initiated by conditions (e.g. instability or overloading) arising or made worse as a result of the event preceding it.</w:t>
      </w:r>
    </w:p>
    <w:p>
      <w:pPr>
        <w:pStyle w:val="Heading5"/>
        <w:rPr>
          <w:i/>
        </w:rPr>
      </w:pPr>
      <w:r>
        <w:rPr>
          <w:i/>
        </w:rPr>
        <w:t>categories of prescribed transmission services</w:t>
      </w:r>
    </w:p>
    <w:p>
      <w:pPr>
        <w:spacing w:before="120"/>
        <w:ind w:left="1352" w:right="0" w:firstLine="0"/>
        <w:jc w:val="left"/>
        <w:rPr>
          <w:sz w:val="24"/>
        </w:rPr>
      </w:pPr>
      <w:r>
        <w:rPr>
          <w:sz w:val="24"/>
        </w:rPr>
        <w:t>For the purposes of pricing for </w:t>
      </w:r>
      <w:r>
        <w:rPr>
          <w:i/>
          <w:sz w:val="24"/>
        </w:rPr>
        <w:t>prescribed transmission services</w:t>
      </w:r>
      <w:r>
        <w:rPr>
          <w:sz w:val="24"/>
        </w:rPr>
        <w:t>:</w:t>
      </w:r>
    </w:p>
    <w:p>
      <w:pPr>
        <w:pStyle w:val="ListParagraph"/>
        <w:numPr>
          <w:ilvl w:val="0"/>
          <w:numId w:val="722"/>
        </w:numPr>
        <w:tabs>
          <w:tab w:pos="1918" w:val="left" w:leader="none"/>
          <w:tab w:pos="1919" w:val="left" w:leader="none"/>
        </w:tabs>
        <w:spacing w:line="240" w:lineRule="auto" w:before="120" w:after="0"/>
        <w:ind w:left="1918" w:right="0" w:hanging="567"/>
        <w:jc w:val="left"/>
        <w:rPr>
          <w:sz w:val="24"/>
        </w:rPr>
      </w:pPr>
      <w:r>
        <w:rPr>
          <w:i/>
          <w:sz w:val="24"/>
        </w:rPr>
        <w:t>prescribed entry</w:t>
      </w:r>
      <w:r>
        <w:rPr>
          <w:i/>
          <w:spacing w:val="-1"/>
          <w:sz w:val="24"/>
        </w:rPr>
        <w:t> </w:t>
      </w:r>
      <w:r>
        <w:rPr>
          <w:i/>
          <w:sz w:val="24"/>
        </w:rPr>
        <w:t>services</w:t>
      </w:r>
      <w:r>
        <w:rPr>
          <w:sz w:val="24"/>
        </w:rPr>
        <w:t>;</w:t>
      </w:r>
    </w:p>
    <w:p>
      <w:pPr>
        <w:pStyle w:val="ListParagraph"/>
        <w:numPr>
          <w:ilvl w:val="0"/>
          <w:numId w:val="722"/>
        </w:numPr>
        <w:tabs>
          <w:tab w:pos="1918" w:val="left" w:leader="none"/>
          <w:tab w:pos="1919" w:val="left" w:leader="none"/>
        </w:tabs>
        <w:spacing w:line="240" w:lineRule="auto" w:before="120" w:after="0"/>
        <w:ind w:left="1918" w:right="0" w:hanging="567"/>
        <w:jc w:val="left"/>
        <w:rPr>
          <w:sz w:val="24"/>
        </w:rPr>
      </w:pPr>
      <w:r>
        <w:rPr>
          <w:i/>
          <w:sz w:val="24"/>
        </w:rPr>
        <w:t>prescribed exit</w:t>
      </w:r>
      <w:r>
        <w:rPr>
          <w:i/>
          <w:spacing w:val="-1"/>
          <w:sz w:val="24"/>
        </w:rPr>
        <w:t> </w:t>
      </w:r>
      <w:r>
        <w:rPr>
          <w:i/>
          <w:sz w:val="24"/>
        </w:rPr>
        <w:t>services</w:t>
      </w:r>
      <w:r>
        <w:rPr>
          <w:sz w:val="24"/>
        </w:rPr>
        <w:t>;</w:t>
      </w:r>
    </w:p>
    <w:p>
      <w:pPr>
        <w:pStyle w:val="ListParagraph"/>
        <w:numPr>
          <w:ilvl w:val="0"/>
          <w:numId w:val="722"/>
        </w:numPr>
        <w:tabs>
          <w:tab w:pos="1918" w:val="left" w:leader="none"/>
          <w:tab w:pos="1919" w:val="left" w:leader="none"/>
        </w:tabs>
        <w:spacing w:line="240" w:lineRule="auto" w:before="120" w:after="0"/>
        <w:ind w:left="1918" w:right="0" w:hanging="567"/>
        <w:jc w:val="left"/>
        <w:rPr>
          <w:sz w:val="24"/>
        </w:rPr>
      </w:pPr>
      <w:r>
        <w:rPr>
          <w:i/>
          <w:sz w:val="24"/>
        </w:rPr>
        <w:t>prescribed common transmission services</w:t>
      </w:r>
      <w:r>
        <w:rPr>
          <w:sz w:val="24"/>
        </w:rPr>
        <w:t>;</w:t>
      </w:r>
      <w:r>
        <w:rPr>
          <w:spacing w:val="-3"/>
          <w:sz w:val="24"/>
        </w:rPr>
        <w:t> </w:t>
      </w:r>
      <w:r>
        <w:rPr>
          <w:sz w:val="24"/>
        </w:rPr>
        <w:t>and</w:t>
      </w:r>
    </w:p>
    <w:p>
      <w:pPr>
        <w:pStyle w:val="ListParagraph"/>
        <w:numPr>
          <w:ilvl w:val="0"/>
          <w:numId w:val="722"/>
        </w:numPr>
        <w:tabs>
          <w:tab w:pos="1918" w:val="left" w:leader="none"/>
          <w:tab w:pos="1919" w:val="left" w:leader="none"/>
        </w:tabs>
        <w:spacing w:line="240" w:lineRule="auto" w:before="120" w:after="0"/>
        <w:ind w:left="1918" w:right="0" w:hanging="567"/>
        <w:jc w:val="left"/>
        <w:rPr>
          <w:sz w:val="24"/>
        </w:rPr>
      </w:pPr>
      <w:r>
        <w:rPr>
          <w:i/>
          <w:sz w:val="24"/>
        </w:rPr>
        <w:t>prescribed TUOS</w:t>
      </w:r>
      <w:r>
        <w:rPr>
          <w:i/>
          <w:spacing w:val="-2"/>
          <w:sz w:val="24"/>
        </w:rPr>
        <w:t> </w:t>
      </w:r>
      <w:r>
        <w:rPr>
          <w:i/>
          <w:sz w:val="24"/>
        </w:rPr>
        <w:t>services</w:t>
      </w:r>
      <w:r>
        <w:rPr>
          <w:sz w:val="24"/>
        </w:rPr>
        <w:t>.</w:t>
      </w:r>
    </w:p>
    <w:p>
      <w:pPr>
        <w:spacing w:after="0" w:line="240" w:lineRule="auto"/>
        <w:jc w:val="left"/>
        <w:rPr>
          <w:sz w:val="24"/>
        </w:rPr>
        <w:sectPr>
          <w:pgSz w:w="11910" w:h="16840"/>
          <w:pgMar w:header="686" w:footer="637" w:top="1320" w:bottom="820" w:left="1200" w:right="1000"/>
        </w:sectPr>
      </w:pPr>
    </w:p>
    <w:p>
      <w:pPr>
        <w:pStyle w:val="Heading5"/>
        <w:spacing w:before="83"/>
        <w:rPr>
          <w:i/>
        </w:rPr>
      </w:pPr>
      <w:r>
        <w:rPr>
          <w:i/>
        </w:rPr>
        <w:t>central dispatch</w:t>
      </w:r>
    </w:p>
    <w:p>
      <w:pPr>
        <w:spacing w:before="120"/>
        <w:ind w:left="1352" w:right="415" w:firstLine="0"/>
        <w:jc w:val="both"/>
        <w:rPr>
          <w:sz w:val="24"/>
        </w:rPr>
      </w:pPr>
      <w:r>
        <w:rPr>
          <w:sz w:val="24"/>
        </w:rPr>
        <w:t>The process managed by </w:t>
      </w:r>
      <w:r>
        <w:rPr>
          <w:i/>
          <w:sz w:val="24"/>
        </w:rPr>
        <w:t>AEMO </w:t>
      </w:r>
      <w:r>
        <w:rPr>
          <w:sz w:val="24"/>
        </w:rPr>
        <w:t>for the </w:t>
      </w:r>
      <w:r>
        <w:rPr>
          <w:i/>
          <w:sz w:val="24"/>
        </w:rPr>
        <w:t>dispatch </w:t>
      </w:r>
      <w:r>
        <w:rPr>
          <w:sz w:val="24"/>
        </w:rPr>
        <w:t>of </w:t>
      </w:r>
      <w:r>
        <w:rPr>
          <w:i/>
          <w:sz w:val="24"/>
        </w:rPr>
        <w:t>scheduled generating units</w:t>
      </w:r>
      <w:r>
        <w:rPr>
          <w:sz w:val="24"/>
        </w:rPr>
        <w:t>, </w:t>
      </w:r>
      <w:r>
        <w:rPr>
          <w:i/>
          <w:sz w:val="24"/>
        </w:rPr>
        <w:t>semi-scheduled generating units</w:t>
      </w:r>
      <w:r>
        <w:rPr>
          <w:sz w:val="24"/>
        </w:rPr>
        <w:t>, </w:t>
      </w:r>
      <w:r>
        <w:rPr>
          <w:i/>
          <w:sz w:val="24"/>
        </w:rPr>
        <w:t>scheduled loads</w:t>
      </w:r>
      <w:r>
        <w:rPr>
          <w:sz w:val="24"/>
        </w:rPr>
        <w:t>, </w:t>
      </w:r>
      <w:r>
        <w:rPr>
          <w:i/>
          <w:sz w:val="24"/>
        </w:rPr>
        <w:t>scheduled network services </w:t>
      </w:r>
      <w:r>
        <w:rPr>
          <w:sz w:val="24"/>
        </w:rPr>
        <w:t>and </w:t>
      </w:r>
      <w:r>
        <w:rPr>
          <w:i/>
          <w:sz w:val="24"/>
        </w:rPr>
        <w:t>market ancillary services </w:t>
      </w:r>
      <w:r>
        <w:rPr>
          <w:sz w:val="24"/>
        </w:rPr>
        <w:t>in accordance with rule 3.8.</w:t>
      </w:r>
    </w:p>
    <w:p>
      <w:pPr>
        <w:pStyle w:val="Heading5"/>
        <w:jc w:val="left"/>
        <w:rPr>
          <w:i/>
        </w:rPr>
      </w:pPr>
      <w:r>
        <w:rPr>
          <w:i/>
        </w:rPr>
        <w:t>change</w:t>
      </w:r>
    </w:p>
    <w:p>
      <w:pPr>
        <w:pStyle w:val="BodyText"/>
        <w:ind w:left="1352" w:firstLine="0"/>
        <w:jc w:val="left"/>
      </w:pPr>
      <w:r>
        <w:rPr/>
        <w:t>Includes amendment, alteration, addition or deletion.</w:t>
      </w:r>
    </w:p>
    <w:p>
      <w:pPr>
        <w:pStyle w:val="Heading5"/>
        <w:rPr>
          <w:i/>
        </w:rPr>
      </w:pPr>
      <w:r>
        <w:rPr>
          <w:i/>
        </w:rPr>
        <w:t>changeover date</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charging parameters</w:t>
      </w:r>
    </w:p>
    <w:p>
      <w:pPr>
        <w:pStyle w:val="BodyText"/>
        <w:ind w:left="1352" w:firstLine="0"/>
      </w:pPr>
      <w:r>
        <w:rPr/>
        <w:t>The constituent elements of a tariff.</w:t>
      </w:r>
    </w:p>
    <w:p>
      <w:pPr>
        <w:pStyle w:val="Heading5"/>
        <w:rPr>
          <w:i/>
        </w:rPr>
      </w:pPr>
      <w:r>
        <w:rPr>
          <w:i/>
        </w:rPr>
        <w:t>check meter</w:t>
      </w:r>
    </w:p>
    <w:p>
      <w:pPr>
        <w:spacing w:before="120"/>
        <w:ind w:left="1352" w:right="0" w:firstLine="0"/>
        <w:jc w:val="both"/>
        <w:rPr>
          <w:sz w:val="24"/>
        </w:rPr>
      </w:pPr>
      <w:r>
        <w:rPr>
          <w:sz w:val="24"/>
        </w:rPr>
        <w:t>An additional meter used as a source of </w:t>
      </w:r>
      <w:r>
        <w:rPr>
          <w:i/>
          <w:sz w:val="24"/>
        </w:rPr>
        <w:t>check metering data </w:t>
      </w:r>
      <w:r>
        <w:rPr>
          <w:sz w:val="24"/>
        </w:rPr>
        <w:t>for type 1 and type 2</w:t>
      </w:r>
    </w:p>
    <w:p>
      <w:pPr>
        <w:spacing w:before="0"/>
        <w:ind w:left="1352" w:right="0" w:firstLine="0"/>
        <w:jc w:val="both"/>
        <w:rPr>
          <w:sz w:val="24"/>
        </w:rPr>
      </w:pPr>
      <w:r>
        <w:rPr>
          <w:i/>
          <w:sz w:val="24"/>
        </w:rPr>
        <w:t>metering installations </w:t>
      </w:r>
      <w:r>
        <w:rPr>
          <w:sz w:val="24"/>
        </w:rPr>
        <w:t>as specified in schedule 7A.4.</w:t>
      </w:r>
    </w:p>
    <w:p>
      <w:pPr>
        <w:pStyle w:val="Heading5"/>
        <w:rPr>
          <w:i/>
        </w:rPr>
      </w:pPr>
      <w:r>
        <w:rPr>
          <w:i/>
        </w:rPr>
        <w:t>check metering data</w:t>
      </w:r>
    </w:p>
    <w:p>
      <w:pPr>
        <w:spacing w:before="120"/>
        <w:ind w:left="1352" w:right="414" w:firstLine="0"/>
        <w:jc w:val="both"/>
        <w:rPr>
          <w:sz w:val="24"/>
        </w:rPr>
      </w:pPr>
      <w:r>
        <w:rPr>
          <w:sz w:val="24"/>
        </w:rPr>
        <w:t>The </w:t>
      </w:r>
      <w:r>
        <w:rPr>
          <w:i/>
          <w:sz w:val="24"/>
        </w:rPr>
        <w:t>energy data</w:t>
      </w:r>
      <w:r>
        <w:rPr>
          <w:sz w:val="24"/>
        </w:rPr>
        <w:t>, once collected from a </w:t>
      </w:r>
      <w:r>
        <w:rPr>
          <w:i/>
          <w:sz w:val="24"/>
        </w:rPr>
        <w:t>check metering installation</w:t>
      </w:r>
      <w:r>
        <w:rPr>
          <w:sz w:val="24"/>
        </w:rPr>
        <w:t>, is </w:t>
      </w:r>
      <w:r>
        <w:rPr>
          <w:i/>
          <w:sz w:val="24"/>
        </w:rPr>
        <w:t>check </w:t>
      </w:r>
      <w:r>
        <w:rPr>
          <w:i/>
          <w:sz w:val="24"/>
        </w:rPr>
        <w:t>metering data</w:t>
      </w:r>
      <w:r>
        <w:rPr>
          <w:sz w:val="24"/>
        </w:rPr>
        <w:t>. </w:t>
      </w:r>
      <w:r>
        <w:rPr>
          <w:i/>
          <w:sz w:val="24"/>
        </w:rPr>
        <w:t>Check metering data </w:t>
      </w:r>
      <w:r>
        <w:rPr>
          <w:sz w:val="24"/>
        </w:rPr>
        <w:t>is held in a </w:t>
      </w:r>
      <w:r>
        <w:rPr>
          <w:i/>
          <w:sz w:val="24"/>
        </w:rPr>
        <w:t>metering data services database</w:t>
      </w:r>
      <w:r>
        <w:rPr>
          <w:sz w:val="24"/>
        </w:rPr>
        <w:t>.</w:t>
      </w:r>
    </w:p>
    <w:p>
      <w:pPr>
        <w:pStyle w:val="Heading5"/>
        <w:rPr>
          <w:i/>
        </w:rPr>
      </w:pPr>
      <w:r>
        <w:rPr>
          <w:i/>
        </w:rPr>
        <w:t>check metering installation</w:t>
      </w:r>
    </w:p>
    <w:p>
      <w:pPr>
        <w:spacing w:before="120"/>
        <w:ind w:left="1352" w:right="0" w:firstLine="0"/>
        <w:jc w:val="both"/>
        <w:rPr>
          <w:sz w:val="24"/>
        </w:rPr>
      </w:pPr>
      <w:r>
        <w:rPr>
          <w:sz w:val="24"/>
        </w:rPr>
        <w:t>A </w:t>
      </w:r>
      <w:r>
        <w:rPr>
          <w:i/>
          <w:sz w:val="24"/>
        </w:rPr>
        <w:t>metering installation </w:t>
      </w:r>
      <w:r>
        <w:rPr>
          <w:sz w:val="24"/>
        </w:rPr>
        <w:t>that includes a </w:t>
      </w:r>
      <w:r>
        <w:rPr>
          <w:i/>
          <w:sz w:val="24"/>
        </w:rPr>
        <w:t>check meter </w:t>
      </w:r>
      <w:r>
        <w:rPr>
          <w:sz w:val="24"/>
        </w:rPr>
        <w:t>which is used as the source of</w:t>
      </w:r>
    </w:p>
    <w:p>
      <w:pPr>
        <w:spacing w:before="0"/>
        <w:ind w:left="1352" w:right="0" w:firstLine="0"/>
        <w:jc w:val="both"/>
        <w:rPr>
          <w:sz w:val="24"/>
        </w:rPr>
      </w:pPr>
      <w:r>
        <w:rPr>
          <w:i/>
          <w:sz w:val="24"/>
        </w:rPr>
        <w:t>check metering data </w:t>
      </w:r>
      <w:r>
        <w:rPr>
          <w:sz w:val="24"/>
        </w:rPr>
        <w:t>for data validation.</w:t>
      </w:r>
    </w:p>
    <w:p>
      <w:pPr>
        <w:pStyle w:val="Heading5"/>
        <w:rPr>
          <w:i/>
        </w:rPr>
      </w:pPr>
      <w:r>
        <w:rPr>
          <w:i/>
        </w:rPr>
        <w:t>child connection point</w:t>
      </w:r>
    </w:p>
    <w:p>
      <w:pPr>
        <w:spacing w:before="120"/>
        <w:ind w:left="1352" w:right="415" w:firstLine="0"/>
        <w:jc w:val="both"/>
        <w:rPr>
          <w:sz w:val="24"/>
        </w:rPr>
      </w:pPr>
      <w:r>
        <w:rPr>
          <w:sz w:val="24"/>
        </w:rPr>
        <w:t>The agreed point of </w:t>
      </w:r>
      <w:r>
        <w:rPr>
          <w:i/>
          <w:sz w:val="24"/>
        </w:rPr>
        <w:t>supply </w:t>
      </w:r>
      <w:r>
        <w:rPr>
          <w:sz w:val="24"/>
        </w:rPr>
        <w:t>between an </w:t>
      </w:r>
      <w:r>
        <w:rPr>
          <w:i/>
          <w:sz w:val="24"/>
        </w:rPr>
        <w:t>embedded network </w:t>
      </w:r>
      <w:r>
        <w:rPr>
          <w:sz w:val="24"/>
        </w:rPr>
        <w:t>and an electrical installation, </w:t>
      </w:r>
      <w:r>
        <w:rPr>
          <w:i/>
          <w:sz w:val="24"/>
        </w:rPr>
        <w:t>generating unit </w:t>
      </w:r>
      <w:r>
        <w:rPr>
          <w:sz w:val="24"/>
        </w:rPr>
        <w:t>or other </w:t>
      </w:r>
      <w:r>
        <w:rPr>
          <w:i/>
          <w:sz w:val="24"/>
        </w:rPr>
        <w:t>network connected </w:t>
      </w:r>
      <w:r>
        <w:rPr>
          <w:sz w:val="24"/>
        </w:rPr>
        <w:t>to that </w:t>
      </w:r>
      <w:r>
        <w:rPr>
          <w:i/>
          <w:sz w:val="24"/>
        </w:rPr>
        <w:t>embedded network</w:t>
      </w:r>
      <w:r>
        <w:rPr>
          <w:sz w:val="24"/>
        </w:rPr>
        <w:t>, for which a </w:t>
      </w:r>
      <w:r>
        <w:rPr>
          <w:i/>
          <w:sz w:val="24"/>
        </w:rPr>
        <w:t>Market Participant </w:t>
      </w:r>
      <w:r>
        <w:rPr>
          <w:sz w:val="24"/>
        </w:rPr>
        <w:t>is, or proposes to be, </w:t>
      </w:r>
      <w:r>
        <w:rPr>
          <w:i/>
          <w:sz w:val="24"/>
        </w:rPr>
        <w:t>financially responsible</w:t>
      </w:r>
      <w:r>
        <w:rPr>
          <w:sz w:val="24"/>
        </w:rPr>
        <w:t>.</w:t>
      </w:r>
    </w:p>
    <w:p>
      <w:pPr>
        <w:pStyle w:val="Heading5"/>
        <w:rPr>
          <w:i/>
        </w:rPr>
      </w:pPr>
      <w:r>
        <w:rPr>
          <w:i/>
        </w:rPr>
        <w:t>clause 4.8.9 instruction</w:t>
      </w:r>
    </w:p>
    <w:p>
      <w:pPr>
        <w:pStyle w:val="BodyText"/>
        <w:ind w:left="1352" w:firstLine="0"/>
      </w:pPr>
      <w:r>
        <w:rPr/>
        <w:t>Has the meaning given in clause 4.8.9(a1)(2).</w:t>
      </w:r>
    </w:p>
    <w:p>
      <w:pPr>
        <w:pStyle w:val="Heading5"/>
        <w:rPr>
          <w:i/>
        </w:rPr>
      </w:pPr>
      <w:r>
        <w:rPr>
          <w:i/>
        </w:rPr>
        <w:t>closure date</w:t>
      </w:r>
    </w:p>
    <w:p>
      <w:pPr>
        <w:pStyle w:val="BodyText"/>
        <w:ind w:left="1352" w:firstLine="0"/>
      </w:pPr>
      <w:r>
        <w:rPr/>
        <w:t>Has the meaning given in clause 2.10.1(c1).</w:t>
      </w:r>
    </w:p>
    <w:p>
      <w:pPr>
        <w:pStyle w:val="Heading5"/>
        <w:rPr>
          <w:i/>
        </w:rPr>
      </w:pPr>
      <w:r>
        <w:rPr>
          <w:i/>
        </w:rPr>
        <w:t>commercial arbitrator</w:t>
      </w:r>
    </w:p>
    <w:p>
      <w:pPr>
        <w:pStyle w:val="BodyText"/>
        <w:ind w:left="1352" w:right="416" w:firstLine="0"/>
      </w:pPr>
      <w:r>
        <w:rPr/>
        <w:t>A dispute resolution panel (within the meaning of section 2 of the </w:t>
      </w:r>
      <w:r>
        <w:rPr>
          <w:i/>
        </w:rPr>
        <w:t>National </w:t>
      </w:r>
      <w:r>
        <w:rPr>
          <w:i/>
        </w:rPr>
        <w:t>Electricity Law</w:t>
      </w:r>
      <w:r>
        <w:rPr/>
        <w:t>) established pursuant to clause 6A.30.2(b).</w:t>
      </w:r>
    </w:p>
    <w:p>
      <w:pPr>
        <w:pStyle w:val="Heading5"/>
        <w:jc w:val="left"/>
        <w:rPr>
          <w:i/>
        </w:rPr>
      </w:pPr>
      <w:r>
        <w:rPr>
          <w:i/>
        </w:rPr>
        <w:t>commitment</w:t>
      </w:r>
    </w:p>
    <w:p>
      <w:pPr>
        <w:spacing w:before="120"/>
        <w:ind w:left="1352" w:right="415" w:firstLine="0"/>
        <w:jc w:val="left"/>
        <w:rPr>
          <w:sz w:val="24"/>
        </w:rPr>
      </w:pPr>
      <w:r>
        <w:rPr>
          <w:sz w:val="24"/>
        </w:rPr>
        <w:t>The commencement of the process of starting up and </w:t>
      </w:r>
      <w:r>
        <w:rPr>
          <w:i/>
          <w:sz w:val="24"/>
        </w:rPr>
        <w:t>synchronising </w:t>
      </w:r>
      <w:r>
        <w:rPr>
          <w:sz w:val="24"/>
        </w:rPr>
        <w:t>a </w:t>
      </w:r>
      <w:r>
        <w:rPr>
          <w:i/>
          <w:sz w:val="24"/>
        </w:rPr>
        <w:t>generating </w:t>
      </w:r>
      <w:r>
        <w:rPr>
          <w:i/>
          <w:sz w:val="24"/>
        </w:rPr>
        <w:t>unit </w:t>
      </w:r>
      <w:r>
        <w:rPr>
          <w:sz w:val="24"/>
        </w:rPr>
        <w:t>to the </w:t>
      </w:r>
      <w:r>
        <w:rPr>
          <w:i/>
          <w:sz w:val="24"/>
        </w:rPr>
        <w:t>power system</w:t>
      </w:r>
      <w:r>
        <w:rPr>
          <w:sz w:val="24"/>
        </w:rPr>
        <w:t>.</w:t>
      </w:r>
    </w:p>
    <w:p>
      <w:pPr>
        <w:pStyle w:val="Heading5"/>
        <w:jc w:val="left"/>
        <w:rPr>
          <w:i/>
        </w:rPr>
      </w:pPr>
      <w:r>
        <w:rPr>
          <w:i/>
        </w:rPr>
        <w:t>communications interface</w:t>
      </w:r>
    </w:p>
    <w:p>
      <w:pPr>
        <w:spacing w:before="120"/>
        <w:ind w:left="1352" w:right="415" w:firstLine="0"/>
        <w:jc w:val="both"/>
        <w:rPr>
          <w:sz w:val="24"/>
        </w:rPr>
      </w:pPr>
      <w:r>
        <w:rPr>
          <w:sz w:val="24"/>
        </w:rPr>
        <w:t>The modem and other devices and processes that facilitate the connection between the </w:t>
      </w:r>
      <w:r>
        <w:rPr>
          <w:i/>
          <w:sz w:val="24"/>
        </w:rPr>
        <w:t>metering installation </w:t>
      </w:r>
      <w:r>
        <w:rPr>
          <w:sz w:val="24"/>
        </w:rPr>
        <w:t>and the </w:t>
      </w:r>
      <w:r>
        <w:rPr>
          <w:i/>
          <w:sz w:val="24"/>
        </w:rPr>
        <w:t>telecommunications network </w:t>
      </w:r>
      <w:r>
        <w:rPr>
          <w:sz w:val="24"/>
        </w:rPr>
        <w:t>for the purpose of the </w:t>
      </w:r>
      <w:r>
        <w:rPr>
          <w:i/>
          <w:sz w:val="24"/>
        </w:rPr>
        <w:t>remote acquisition </w:t>
      </w:r>
      <w:r>
        <w:rPr>
          <w:sz w:val="24"/>
        </w:rPr>
        <w:t>of </w:t>
      </w:r>
      <w:r>
        <w:rPr>
          <w:i/>
          <w:sz w:val="24"/>
        </w:rPr>
        <w:t>energy data</w:t>
      </w:r>
      <w:r>
        <w:rPr>
          <w:sz w:val="24"/>
        </w:rPr>
        <w:t>.</w:t>
      </w:r>
    </w:p>
    <w:p>
      <w:pPr>
        <w:pStyle w:val="Heading5"/>
        <w:rPr>
          <w:i/>
        </w:rPr>
      </w:pPr>
      <w:r>
        <w:rPr>
          <w:i/>
        </w:rPr>
        <w:t>compensation recovery amount</w:t>
      </w:r>
    </w:p>
    <w:p>
      <w:pPr>
        <w:pStyle w:val="BodyText"/>
        <w:ind w:left="1352" w:firstLine="0"/>
      </w:pPr>
      <w:r>
        <w:rPr/>
        <w:t>Has the meaning given in clause 3.15.8(a).</w:t>
      </w:r>
    </w:p>
    <w:p>
      <w:pPr>
        <w:spacing w:after="0"/>
        <w:sectPr>
          <w:pgSz w:w="11910" w:h="16840"/>
          <w:pgMar w:header="686" w:footer="637" w:top="1320" w:bottom="820" w:left="1200" w:right="1000"/>
        </w:sectPr>
      </w:pPr>
    </w:p>
    <w:p>
      <w:pPr>
        <w:pStyle w:val="Heading5"/>
        <w:spacing w:before="83"/>
        <w:rPr>
          <w:i/>
        </w:rPr>
      </w:pPr>
      <w:r>
        <w:rPr>
          <w:i/>
        </w:rPr>
        <w:t>confidential information</w:t>
      </w:r>
    </w:p>
    <w:p>
      <w:pPr>
        <w:spacing w:before="120"/>
        <w:ind w:left="1352" w:right="415" w:firstLine="0"/>
        <w:jc w:val="both"/>
        <w:rPr>
          <w:sz w:val="24"/>
        </w:rPr>
      </w:pPr>
      <w:r>
        <w:rPr>
          <w:sz w:val="24"/>
        </w:rPr>
        <w:t>In relation to a </w:t>
      </w:r>
      <w:r>
        <w:rPr>
          <w:i/>
          <w:sz w:val="24"/>
        </w:rPr>
        <w:t>Registered Participant </w:t>
      </w:r>
      <w:r>
        <w:rPr>
          <w:sz w:val="24"/>
        </w:rPr>
        <w:t>or </w:t>
      </w:r>
      <w:r>
        <w:rPr>
          <w:i/>
          <w:sz w:val="24"/>
        </w:rPr>
        <w:t>AEMO</w:t>
      </w:r>
      <w:r>
        <w:rPr>
          <w:sz w:val="24"/>
        </w:rPr>
        <w:t>, information which is or has been provided to that </w:t>
      </w:r>
      <w:r>
        <w:rPr>
          <w:i/>
          <w:sz w:val="24"/>
        </w:rPr>
        <w:t>Registered Participant </w:t>
      </w:r>
      <w:r>
        <w:rPr>
          <w:sz w:val="24"/>
        </w:rPr>
        <w:t>or </w:t>
      </w:r>
      <w:r>
        <w:rPr>
          <w:i/>
          <w:sz w:val="24"/>
        </w:rPr>
        <w:t>AEMO </w:t>
      </w:r>
      <w:r>
        <w:rPr>
          <w:sz w:val="24"/>
        </w:rPr>
        <w:t>under or in connection with the </w:t>
      </w:r>
      <w:r>
        <w:rPr>
          <w:i/>
          <w:sz w:val="24"/>
        </w:rPr>
        <w:t>Rules </w:t>
      </w:r>
      <w:r>
        <w:rPr>
          <w:sz w:val="24"/>
        </w:rPr>
        <w:t>and which is stated under the </w:t>
      </w:r>
      <w:r>
        <w:rPr>
          <w:i/>
          <w:sz w:val="24"/>
        </w:rPr>
        <w:t>Rules</w:t>
      </w:r>
      <w:r>
        <w:rPr>
          <w:sz w:val="24"/>
        </w:rPr>
        <w:t>, or by </w:t>
      </w:r>
      <w:r>
        <w:rPr>
          <w:i/>
          <w:sz w:val="24"/>
        </w:rPr>
        <w:t>AEMO</w:t>
      </w:r>
      <w:r>
        <w:rPr>
          <w:sz w:val="24"/>
        </w:rPr>
        <w:t>, the </w:t>
      </w:r>
      <w:r>
        <w:rPr>
          <w:i/>
          <w:sz w:val="24"/>
        </w:rPr>
        <w:t>AER </w:t>
      </w:r>
      <w:r>
        <w:rPr>
          <w:sz w:val="24"/>
        </w:rPr>
        <w:t>or the </w:t>
      </w:r>
      <w:r>
        <w:rPr>
          <w:i/>
          <w:sz w:val="24"/>
        </w:rPr>
        <w:t>AEMC</w:t>
      </w:r>
      <w:r>
        <w:rPr>
          <w:sz w:val="24"/>
        </w:rPr>
        <w:t>, to be </w:t>
      </w:r>
      <w:r>
        <w:rPr>
          <w:i/>
          <w:sz w:val="24"/>
        </w:rPr>
        <w:t>confidential information </w:t>
      </w:r>
      <w:r>
        <w:rPr>
          <w:sz w:val="24"/>
        </w:rPr>
        <w:t>or is otherwise confidential or commercially sensitive. It also includes any information which is derived from such information.</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In the context of Chapter 5A, the above definition has been displaced by a definition specifically applicable to that Chapter. See clause 5A.A.1.</w:t>
      </w:r>
    </w:p>
    <w:p>
      <w:pPr>
        <w:pStyle w:val="Heading5"/>
        <w:rPr>
          <w:i/>
        </w:rPr>
      </w:pPr>
      <w:r>
        <w:rPr>
          <w:i/>
        </w:rPr>
        <w:t>congestion information resource</w:t>
      </w:r>
    </w:p>
    <w:p>
      <w:pPr>
        <w:pStyle w:val="BodyText"/>
        <w:ind w:left="1352" w:firstLine="0"/>
      </w:pPr>
      <w:r>
        <w:rPr/>
        <w:t>The information resource developed, </w:t>
      </w:r>
      <w:r>
        <w:rPr>
          <w:i/>
        </w:rPr>
        <w:t>published </w:t>
      </w:r>
      <w:r>
        <w:rPr/>
        <w:t>and amended from time to time by</w:t>
      </w:r>
    </w:p>
    <w:p>
      <w:pPr>
        <w:pStyle w:val="BodyText"/>
        <w:spacing w:before="0"/>
        <w:ind w:left="1352" w:firstLine="0"/>
      </w:pPr>
      <w:r>
        <w:rPr>
          <w:i/>
        </w:rPr>
        <w:t>AEMO </w:t>
      </w:r>
      <w:r>
        <w:rPr/>
        <w:t>in accordance with rule 3.7A.</w:t>
      </w:r>
    </w:p>
    <w:p>
      <w:pPr>
        <w:pStyle w:val="Heading5"/>
        <w:rPr>
          <w:i/>
        </w:rPr>
      </w:pPr>
      <w:r>
        <w:rPr>
          <w:i/>
        </w:rPr>
        <w:t>congestion information resource guidelines</w:t>
      </w:r>
    </w:p>
    <w:p>
      <w:pPr>
        <w:pStyle w:val="BodyText"/>
        <w:ind w:left="1352" w:right="416" w:firstLine="0"/>
      </w:pPr>
      <w:r>
        <w:rPr/>
        <w:t>Guidelines developed and </w:t>
      </w:r>
      <w:r>
        <w:rPr>
          <w:i/>
        </w:rPr>
        <w:t>published </w:t>
      </w:r>
      <w:r>
        <w:rPr/>
        <w:t>by </w:t>
      </w:r>
      <w:r>
        <w:rPr>
          <w:i/>
        </w:rPr>
        <w:t>AEMO </w:t>
      </w:r>
      <w:r>
        <w:rPr/>
        <w:t>in accordance with rules 3.7A(k) to (m).</w:t>
      </w:r>
    </w:p>
    <w:p>
      <w:pPr>
        <w:pStyle w:val="Heading5"/>
        <w:rPr>
          <w:i/>
        </w:rPr>
      </w:pPr>
      <w:r>
        <w:rPr>
          <w:i/>
        </w:rPr>
        <w:t>congestion information resource objective</w:t>
      </w:r>
    </w:p>
    <w:p>
      <w:pPr>
        <w:spacing w:before="120"/>
        <w:ind w:left="1352" w:right="414" w:firstLine="0"/>
        <w:jc w:val="both"/>
        <w:rPr>
          <w:sz w:val="24"/>
        </w:rPr>
      </w:pPr>
      <w:r>
        <w:rPr>
          <w:sz w:val="24"/>
        </w:rPr>
        <w:t>The objective of the </w:t>
      </w:r>
      <w:r>
        <w:rPr>
          <w:i/>
          <w:sz w:val="24"/>
        </w:rPr>
        <w:t>congestion information resource </w:t>
      </w:r>
      <w:r>
        <w:rPr>
          <w:sz w:val="24"/>
        </w:rPr>
        <w:t>which is set out in rule 3.7A(a).</w:t>
      </w:r>
    </w:p>
    <w:p>
      <w:pPr>
        <w:pStyle w:val="Heading5"/>
        <w:rPr>
          <w:i/>
        </w:rPr>
      </w:pPr>
      <w:r>
        <w:rPr>
          <w:i/>
        </w:rPr>
        <w:t>connect, connected, connection</w:t>
      </w:r>
    </w:p>
    <w:p>
      <w:pPr>
        <w:spacing w:before="120"/>
        <w:ind w:left="1352" w:right="415" w:firstLine="0"/>
        <w:jc w:val="both"/>
        <w:rPr>
          <w:sz w:val="24"/>
        </w:rPr>
      </w:pPr>
      <w:r>
        <w:rPr>
          <w:sz w:val="24"/>
        </w:rPr>
        <w:t>To form a physical link to or through a </w:t>
      </w:r>
      <w:r>
        <w:rPr>
          <w:i/>
          <w:sz w:val="24"/>
        </w:rPr>
        <w:t>transmission network </w:t>
      </w:r>
      <w:r>
        <w:rPr>
          <w:sz w:val="24"/>
        </w:rPr>
        <w:t>(including to a </w:t>
      </w:r>
      <w:r>
        <w:rPr>
          <w:i/>
          <w:sz w:val="24"/>
        </w:rPr>
        <w:t>network connection asset </w:t>
      </w:r>
      <w:r>
        <w:rPr>
          <w:sz w:val="24"/>
        </w:rPr>
        <w:t>or a </w:t>
      </w:r>
      <w:r>
        <w:rPr>
          <w:i/>
          <w:sz w:val="24"/>
        </w:rPr>
        <w:t>dedicated connection asset </w:t>
      </w:r>
      <w:r>
        <w:rPr>
          <w:sz w:val="24"/>
        </w:rPr>
        <w:t>that is physically linked to that </w:t>
      </w:r>
      <w:r>
        <w:rPr>
          <w:i/>
          <w:sz w:val="24"/>
        </w:rPr>
        <w:t>transmission network</w:t>
      </w:r>
      <w:r>
        <w:rPr>
          <w:sz w:val="24"/>
        </w:rPr>
        <w:t>) or </w:t>
      </w:r>
      <w:r>
        <w:rPr>
          <w:i/>
          <w:sz w:val="24"/>
        </w:rPr>
        <w:t>distribution network</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In the context of Chapter 5A, the above definition has been displaced by a definition specifically applicable to that Chapter. See clause 5A.A.1.</w:t>
      </w:r>
    </w:p>
    <w:p>
      <w:pPr>
        <w:pStyle w:val="Heading5"/>
        <w:rPr>
          <w:i/>
        </w:rPr>
      </w:pPr>
      <w:r>
        <w:rPr>
          <w:i/>
        </w:rPr>
        <w:t>connection agreement</w:t>
      </w:r>
    </w:p>
    <w:p>
      <w:pPr>
        <w:spacing w:before="120"/>
        <w:ind w:left="1352" w:right="415" w:firstLine="0"/>
        <w:jc w:val="both"/>
        <w:rPr>
          <w:sz w:val="24"/>
        </w:rPr>
      </w:pPr>
      <w:r>
        <w:rPr>
          <w:sz w:val="24"/>
        </w:rPr>
        <w:t>An agreement between a </w:t>
      </w:r>
      <w:r>
        <w:rPr>
          <w:i/>
          <w:sz w:val="24"/>
        </w:rPr>
        <w:t>Network Service Provider </w:t>
      </w:r>
      <w:r>
        <w:rPr>
          <w:sz w:val="24"/>
        </w:rPr>
        <w:t>and a </w:t>
      </w:r>
      <w:r>
        <w:rPr>
          <w:i/>
          <w:sz w:val="24"/>
        </w:rPr>
        <w:t>Registered Participant </w:t>
      </w:r>
      <w:r>
        <w:rPr>
          <w:sz w:val="24"/>
        </w:rPr>
        <w:t>or other person by which the </w:t>
      </w:r>
      <w:r>
        <w:rPr>
          <w:i/>
          <w:sz w:val="24"/>
        </w:rPr>
        <w:t>Registered Participant </w:t>
      </w:r>
      <w:r>
        <w:rPr>
          <w:sz w:val="24"/>
        </w:rPr>
        <w:t>or other person is </w:t>
      </w:r>
      <w:r>
        <w:rPr>
          <w:i/>
          <w:sz w:val="24"/>
        </w:rPr>
        <w:t>connected </w:t>
      </w:r>
      <w:r>
        <w:rPr>
          <w:sz w:val="24"/>
        </w:rPr>
        <w:t>to the </w:t>
      </w:r>
      <w:r>
        <w:rPr>
          <w:i/>
          <w:sz w:val="24"/>
        </w:rPr>
        <w:t>Network Service Provider's transmission </w:t>
      </w:r>
      <w:r>
        <w:rPr>
          <w:sz w:val="24"/>
        </w:rPr>
        <w:t>or </w:t>
      </w:r>
      <w:r>
        <w:rPr>
          <w:i/>
          <w:sz w:val="24"/>
        </w:rPr>
        <w:t>distribution network </w:t>
      </w:r>
      <w:r>
        <w:rPr>
          <w:sz w:val="24"/>
        </w:rPr>
        <w:t>and/or receives </w:t>
      </w:r>
      <w:r>
        <w:rPr>
          <w:i/>
          <w:sz w:val="24"/>
        </w:rPr>
        <w:t>transmission services </w:t>
      </w:r>
      <w:r>
        <w:rPr>
          <w:sz w:val="24"/>
        </w:rPr>
        <w:t>or </w:t>
      </w:r>
      <w:r>
        <w:rPr>
          <w:i/>
          <w:sz w:val="24"/>
        </w:rPr>
        <w:t>distribution services</w:t>
      </w:r>
      <w:r>
        <w:rPr>
          <w:sz w:val="24"/>
        </w:rPr>
        <w:t>. In some </w:t>
      </w:r>
      <w:r>
        <w:rPr>
          <w:i/>
          <w:sz w:val="24"/>
        </w:rPr>
        <w:t>participating </w:t>
      </w:r>
      <w:r>
        <w:rPr>
          <w:i/>
          <w:sz w:val="24"/>
        </w:rPr>
        <w:t>jurisdictions</w:t>
      </w:r>
      <w:r>
        <w:rPr>
          <w:sz w:val="24"/>
        </w:rPr>
        <w:t>, the </w:t>
      </w:r>
      <w:r>
        <w:rPr>
          <w:i/>
          <w:sz w:val="24"/>
        </w:rPr>
        <w:t>Registered Participant </w:t>
      </w:r>
      <w:r>
        <w:rPr>
          <w:sz w:val="24"/>
        </w:rPr>
        <w:t>or other person may have one </w:t>
      </w:r>
      <w:r>
        <w:rPr>
          <w:i/>
          <w:sz w:val="24"/>
        </w:rPr>
        <w:t>connection </w:t>
      </w:r>
      <w:r>
        <w:rPr>
          <w:i/>
          <w:sz w:val="24"/>
        </w:rPr>
        <w:t>agreement </w:t>
      </w:r>
      <w:r>
        <w:rPr>
          <w:sz w:val="24"/>
        </w:rPr>
        <w:t>with a </w:t>
      </w:r>
      <w:r>
        <w:rPr>
          <w:i/>
          <w:sz w:val="24"/>
        </w:rPr>
        <w:t>Network Service Provider </w:t>
      </w:r>
      <w:r>
        <w:rPr>
          <w:sz w:val="24"/>
        </w:rPr>
        <w:t>for </w:t>
      </w:r>
      <w:r>
        <w:rPr>
          <w:i/>
          <w:sz w:val="24"/>
        </w:rPr>
        <w:t>connection services </w:t>
      </w:r>
      <w:r>
        <w:rPr>
          <w:sz w:val="24"/>
        </w:rPr>
        <w:t>and another agreement with a different </w:t>
      </w:r>
      <w:r>
        <w:rPr>
          <w:i/>
          <w:sz w:val="24"/>
        </w:rPr>
        <w:t>Network Service Provider </w:t>
      </w:r>
      <w:r>
        <w:rPr>
          <w:sz w:val="24"/>
        </w:rPr>
        <w:t>for </w:t>
      </w:r>
      <w:r>
        <w:rPr>
          <w:i/>
          <w:sz w:val="24"/>
        </w:rPr>
        <w:t>network services </w:t>
      </w:r>
      <w:r>
        <w:rPr>
          <w:sz w:val="24"/>
        </w:rPr>
        <w:t>provided by the </w:t>
      </w:r>
      <w:r>
        <w:rPr>
          <w:i/>
          <w:sz w:val="24"/>
        </w:rPr>
        <w:t>transmission network</w:t>
      </w:r>
      <w:r>
        <w:rPr>
          <w:sz w:val="24"/>
        </w:rPr>
        <w:t>.</w:t>
      </w:r>
    </w:p>
    <w:p>
      <w:pPr>
        <w:pStyle w:val="Heading5"/>
        <w:rPr>
          <w:i/>
        </w:rPr>
      </w:pPr>
      <w:r>
        <w:rPr>
          <w:i/>
        </w:rPr>
        <w:t>connection alteration</w:t>
      </w:r>
    </w:p>
    <w:p>
      <w:pPr>
        <w:pStyle w:val="BodyText"/>
        <w:ind w:left="1352" w:firstLine="0"/>
      </w:pPr>
      <w:r>
        <w:rPr/>
        <w:t>Has (in the context of Chapters 5A and 7A) the meaning given in clause 5A.A.1.</w:t>
      </w:r>
    </w:p>
    <w:p>
      <w:pPr>
        <w:pStyle w:val="Heading5"/>
        <w:rPr>
          <w:i/>
        </w:rPr>
      </w:pPr>
      <w:r>
        <w:rPr>
          <w:i/>
        </w:rPr>
        <w:t>Connection Applicant</w:t>
      </w:r>
    </w:p>
    <w:p>
      <w:pPr>
        <w:spacing w:before="120"/>
        <w:ind w:left="1352" w:right="414" w:firstLine="0"/>
        <w:jc w:val="both"/>
        <w:rPr>
          <w:sz w:val="24"/>
        </w:rPr>
      </w:pPr>
      <w:r>
        <w:rPr>
          <w:sz w:val="24"/>
        </w:rPr>
        <w:t>A person who wants to establish or modify </w:t>
      </w:r>
      <w:r>
        <w:rPr>
          <w:i/>
          <w:sz w:val="24"/>
        </w:rPr>
        <w:t>connection </w:t>
      </w:r>
      <w:r>
        <w:rPr>
          <w:sz w:val="24"/>
        </w:rPr>
        <w:t>to a </w:t>
      </w:r>
      <w:r>
        <w:rPr>
          <w:i/>
          <w:sz w:val="24"/>
        </w:rPr>
        <w:t>transmission network </w:t>
      </w:r>
      <w:r>
        <w:rPr>
          <w:sz w:val="24"/>
        </w:rPr>
        <w:t>or </w:t>
      </w:r>
      <w:r>
        <w:rPr>
          <w:i/>
          <w:sz w:val="24"/>
        </w:rPr>
        <w:t>distribution network </w:t>
      </w:r>
      <w:r>
        <w:rPr>
          <w:sz w:val="24"/>
        </w:rPr>
        <w:t>and/or who wishes to receive </w:t>
      </w:r>
      <w:r>
        <w:rPr>
          <w:i/>
          <w:sz w:val="24"/>
        </w:rPr>
        <w:t>network services </w:t>
      </w:r>
      <w:r>
        <w:rPr>
          <w:sz w:val="24"/>
        </w:rPr>
        <w:t>and who makes a </w:t>
      </w:r>
      <w:r>
        <w:rPr>
          <w:i/>
          <w:sz w:val="24"/>
        </w:rPr>
        <w:t>connection enquiry </w:t>
      </w:r>
      <w:r>
        <w:rPr>
          <w:sz w:val="24"/>
        </w:rPr>
        <w:t>as described in clause 5.3.2 or clause 5.3A.5.</w:t>
      </w:r>
    </w:p>
    <w:p>
      <w:pPr>
        <w:spacing w:before="120"/>
        <w:ind w:left="1352" w:right="414" w:firstLine="0"/>
        <w:jc w:val="both"/>
        <w:rPr>
          <w:sz w:val="24"/>
        </w:rPr>
      </w:pPr>
      <w:r>
        <w:rPr>
          <w:sz w:val="24"/>
        </w:rPr>
        <w:t>In respect of establishing or modifying a </w:t>
      </w:r>
      <w:r>
        <w:rPr>
          <w:i/>
          <w:sz w:val="24"/>
        </w:rPr>
        <w:t>connection </w:t>
      </w:r>
      <w:r>
        <w:rPr>
          <w:sz w:val="24"/>
        </w:rPr>
        <w:t>to a </w:t>
      </w:r>
      <w:r>
        <w:rPr>
          <w:i/>
          <w:sz w:val="24"/>
        </w:rPr>
        <w:t>transmission network </w:t>
      </w:r>
      <w:r>
        <w:rPr>
          <w:sz w:val="24"/>
        </w:rPr>
        <w:t>of a </w:t>
      </w:r>
      <w:r>
        <w:rPr>
          <w:i/>
          <w:sz w:val="24"/>
        </w:rPr>
        <w:t>Primary Transmission Network Service Provider</w:t>
      </w:r>
      <w:r>
        <w:rPr>
          <w:sz w:val="24"/>
        </w:rPr>
        <w:t>, a </w:t>
      </w:r>
      <w:r>
        <w:rPr>
          <w:i/>
          <w:sz w:val="24"/>
        </w:rPr>
        <w:t>Connection Applicant </w:t>
      </w:r>
      <w:r>
        <w:rPr>
          <w:sz w:val="24"/>
        </w:rPr>
        <w:t>includes:</w:t>
      </w:r>
    </w:p>
    <w:p>
      <w:pPr>
        <w:spacing w:after="0"/>
        <w:jc w:val="both"/>
        <w:rPr>
          <w:sz w:val="24"/>
        </w:rPr>
        <w:sectPr>
          <w:pgSz w:w="11910" w:h="16840"/>
          <w:pgMar w:header="686" w:footer="637" w:top="1320" w:bottom="820" w:left="1200" w:right="1000"/>
        </w:sectPr>
      </w:pPr>
    </w:p>
    <w:p>
      <w:pPr>
        <w:pStyle w:val="ListParagraph"/>
        <w:numPr>
          <w:ilvl w:val="0"/>
          <w:numId w:val="723"/>
        </w:numPr>
        <w:tabs>
          <w:tab w:pos="1919" w:val="left" w:leader="none"/>
        </w:tabs>
        <w:spacing w:line="240" w:lineRule="auto" w:before="83" w:after="0"/>
        <w:ind w:left="1919" w:right="414" w:hanging="567"/>
        <w:jc w:val="both"/>
        <w:rPr>
          <w:sz w:val="24"/>
        </w:rPr>
      </w:pPr>
      <w:r>
        <w:rPr>
          <w:sz w:val="24"/>
        </w:rPr>
        <w:t>a person seeking to </w:t>
      </w:r>
      <w:r>
        <w:rPr>
          <w:i/>
          <w:sz w:val="24"/>
        </w:rPr>
        <w:t>connect </w:t>
      </w:r>
      <w:r>
        <w:rPr>
          <w:sz w:val="24"/>
        </w:rPr>
        <w:t>its </w:t>
      </w:r>
      <w:r>
        <w:rPr>
          <w:i/>
          <w:sz w:val="24"/>
        </w:rPr>
        <w:t>facilities </w:t>
      </w:r>
      <w:r>
        <w:rPr>
          <w:sz w:val="24"/>
        </w:rPr>
        <w:t>to a </w:t>
      </w:r>
      <w:r>
        <w:rPr>
          <w:i/>
          <w:sz w:val="24"/>
        </w:rPr>
        <w:t>dedicated connection asset </w:t>
      </w:r>
      <w:r>
        <w:rPr>
          <w:sz w:val="24"/>
        </w:rPr>
        <w:t>that is or will be </w:t>
      </w:r>
      <w:r>
        <w:rPr>
          <w:i/>
          <w:sz w:val="24"/>
        </w:rPr>
        <w:t>connected </w:t>
      </w:r>
      <w:r>
        <w:rPr>
          <w:sz w:val="24"/>
        </w:rPr>
        <w:t>to the </w:t>
      </w:r>
      <w:r>
        <w:rPr>
          <w:i/>
          <w:sz w:val="24"/>
        </w:rPr>
        <w:t>transmission network </w:t>
      </w:r>
      <w:r>
        <w:rPr>
          <w:sz w:val="24"/>
        </w:rPr>
        <w:t>of that </w:t>
      </w:r>
      <w:r>
        <w:rPr>
          <w:i/>
          <w:sz w:val="24"/>
        </w:rPr>
        <w:t>Primary </w:t>
      </w:r>
      <w:r>
        <w:rPr>
          <w:i/>
          <w:sz w:val="24"/>
        </w:rPr>
        <w:t>Transmission Network Service Provider</w:t>
      </w:r>
      <w:r>
        <w:rPr>
          <w:sz w:val="24"/>
        </w:rPr>
        <w:t>;</w:t>
      </w:r>
      <w:r>
        <w:rPr>
          <w:spacing w:val="-2"/>
          <w:sz w:val="24"/>
        </w:rPr>
        <w:t> </w:t>
      </w:r>
      <w:r>
        <w:rPr>
          <w:sz w:val="24"/>
        </w:rPr>
        <w:t>and</w:t>
      </w:r>
    </w:p>
    <w:p>
      <w:pPr>
        <w:pStyle w:val="ListParagraph"/>
        <w:numPr>
          <w:ilvl w:val="0"/>
          <w:numId w:val="723"/>
        </w:numPr>
        <w:tabs>
          <w:tab w:pos="1919" w:val="left" w:leader="none"/>
        </w:tabs>
        <w:spacing w:line="240" w:lineRule="auto" w:before="120" w:after="0"/>
        <w:ind w:left="1919" w:right="416" w:hanging="567"/>
        <w:jc w:val="both"/>
        <w:rPr>
          <w:sz w:val="24"/>
        </w:rPr>
      </w:pPr>
      <w:r>
        <w:rPr>
          <w:sz w:val="24"/>
        </w:rPr>
        <w:t>a person seeking to negotiate a </w:t>
      </w:r>
      <w:r>
        <w:rPr>
          <w:i/>
          <w:sz w:val="24"/>
        </w:rPr>
        <w:t>network operating agreement </w:t>
      </w:r>
      <w:r>
        <w:rPr>
          <w:sz w:val="24"/>
        </w:rPr>
        <w:t>for a </w:t>
      </w:r>
      <w:r>
        <w:rPr>
          <w:i/>
          <w:sz w:val="24"/>
        </w:rPr>
        <w:t>third </w:t>
      </w:r>
      <w:r>
        <w:rPr>
          <w:i/>
          <w:sz w:val="24"/>
        </w:rPr>
        <w:t>party IUSA</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both"/>
        <w:rPr>
          <w:i/>
          <w:sz w:val="20"/>
        </w:rPr>
      </w:pPr>
      <w:r>
        <w:rPr>
          <w:sz w:val="20"/>
        </w:rPr>
        <w:t>A person seeking access to </w:t>
      </w:r>
      <w:r>
        <w:rPr>
          <w:i/>
          <w:sz w:val="20"/>
        </w:rPr>
        <w:t>large DCA services </w:t>
      </w:r>
      <w:r>
        <w:rPr>
          <w:sz w:val="20"/>
        </w:rPr>
        <w:t>from a </w:t>
      </w:r>
      <w:r>
        <w:rPr>
          <w:i/>
          <w:sz w:val="20"/>
        </w:rPr>
        <w:t>third party DCA </w:t>
      </w:r>
      <w:r>
        <w:rPr>
          <w:sz w:val="20"/>
        </w:rPr>
        <w:t>under an </w:t>
      </w:r>
      <w:r>
        <w:rPr>
          <w:i/>
          <w:sz w:val="20"/>
        </w:rPr>
        <w:t>access policy</w:t>
      </w:r>
    </w:p>
    <w:p>
      <w:pPr>
        <w:spacing w:before="0"/>
        <w:ind w:left="1352" w:right="0" w:firstLine="0"/>
        <w:jc w:val="both"/>
        <w:rPr>
          <w:sz w:val="20"/>
        </w:rPr>
      </w:pPr>
      <w:r>
        <w:rPr>
          <w:sz w:val="20"/>
        </w:rPr>
        <w:t>may also need to negotiate with the </w:t>
      </w:r>
      <w:r>
        <w:rPr>
          <w:i/>
          <w:sz w:val="20"/>
        </w:rPr>
        <w:t>Primary Transmission Network Service Provider</w:t>
      </w:r>
      <w:r>
        <w:rPr>
          <w:sz w:val="20"/>
        </w:rPr>
        <w:t>.</w:t>
      </w:r>
    </w:p>
    <w:p>
      <w:pPr>
        <w:spacing w:before="120"/>
        <w:ind w:left="1352" w:right="415" w:firstLine="0"/>
        <w:jc w:val="both"/>
        <w:rPr>
          <w:sz w:val="20"/>
        </w:rPr>
      </w:pPr>
      <w:r>
        <w:rPr>
          <w:sz w:val="20"/>
        </w:rPr>
        <w:t>In the context of Chapter 5A, the above definition has been displaced by a definition specifically applicable to that Chapter. See clause 5A.A.1.</w:t>
      </w:r>
    </w:p>
    <w:p>
      <w:pPr>
        <w:pStyle w:val="Heading5"/>
        <w:rPr>
          <w:i/>
        </w:rPr>
      </w:pPr>
      <w:r>
        <w:rPr>
          <w:i/>
        </w:rPr>
        <w:t>connection application</w:t>
      </w:r>
    </w:p>
    <w:p>
      <w:pPr>
        <w:pStyle w:val="BodyText"/>
        <w:ind w:left="1352" w:firstLine="0"/>
      </w:pPr>
      <w:r>
        <w:rPr/>
        <w:t>Has (in the context of Chapter 5A) the meaning given in clause 5A.A.1.</w:t>
      </w:r>
    </w:p>
    <w:p>
      <w:pPr>
        <w:pStyle w:val="Heading5"/>
        <w:rPr>
          <w:i/>
        </w:rPr>
      </w:pPr>
      <w:r>
        <w:rPr>
          <w:i/>
        </w:rPr>
        <w:t>connection assets</w:t>
      </w:r>
    </w:p>
    <w:p>
      <w:pPr>
        <w:spacing w:before="120"/>
        <w:ind w:left="1352" w:right="415" w:firstLine="0"/>
        <w:jc w:val="both"/>
        <w:rPr>
          <w:sz w:val="24"/>
        </w:rPr>
      </w:pPr>
      <w:r>
        <w:rPr>
          <w:sz w:val="24"/>
        </w:rPr>
        <w:t>For the </w:t>
      </w:r>
      <w:r>
        <w:rPr>
          <w:i/>
          <w:sz w:val="24"/>
        </w:rPr>
        <w:t>declared transmission system </w:t>
      </w:r>
      <w:r>
        <w:rPr>
          <w:sz w:val="24"/>
        </w:rPr>
        <w:t>of an </w:t>
      </w:r>
      <w:r>
        <w:rPr>
          <w:i/>
          <w:sz w:val="24"/>
        </w:rPr>
        <w:t>adoptive jurisdiction</w:t>
      </w:r>
      <w:r>
        <w:rPr>
          <w:sz w:val="24"/>
        </w:rPr>
        <w:t>, and a </w:t>
      </w:r>
      <w:r>
        <w:rPr>
          <w:i/>
          <w:sz w:val="24"/>
        </w:rPr>
        <w:t>distribution system</w:t>
      </w:r>
      <w:r>
        <w:rPr>
          <w:sz w:val="24"/>
        </w:rPr>
        <w:t>, those components of a </w:t>
      </w:r>
      <w:r>
        <w:rPr>
          <w:i/>
          <w:sz w:val="24"/>
        </w:rPr>
        <w:t>transmission or distribution system </w:t>
      </w:r>
      <w:r>
        <w:rPr>
          <w:sz w:val="24"/>
        </w:rPr>
        <w:t>which are used to provide </w:t>
      </w:r>
      <w:r>
        <w:rPr>
          <w:i/>
          <w:sz w:val="24"/>
        </w:rPr>
        <w:t>connection</w:t>
      </w:r>
      <w:r>
        <w:rPr>
          <w:i/>
          <w:spacing w:val="-3"/>
          <w:sz w:val="24"/>
        </w:rPr>
        <w:t> </w:t>
      </w:r>
      <w:r>
        <w:rPr>
          <w:i/>
          <w:sz w:val="24"/>
        </w:rPr>
        <w:t>services</w:t>
      </w:r>
      <w:r>
        <w:rPr>
          <w:sz w:val="24"/>
        </w:rPr>
        <w:t>.</w:t>
      </w:r>
    </w:p>
    <w:p>
      <w:pPr>
        <w:spacing w:before="120"/>
        <w:ind w:left="1352" w:right="415" w:firstLine="0"/>
        <w:jc w:val="both"/>
        <w:rPr>
          <w:sz w:val="24"/>
        </w:rPr>
      </w:pPr>
      <w:r>
        <w:rPr>
          <w:sz w:val="24"/>
        </w:rPr>
        <w:t>For other </w:t>
      </w:r>
      <w:r>
        <w:rPr>
          <w:i/>
          <w:sz w:val="24"/>
        </w:rPr>
        <w:t>transmission systems</w:t>
      </w:r>
      <w:r>
        <w:rPr>
          <w:sz w:val="24"/>
        </w:rPr>
        <w:t>, </w:t>
      </w:r>
      <w:r>
        <w:rPr>
          <w:i/>
          <w:sz w:val="24"/>
        </w:rPr>
        <w:t>dedicated connection assets </w:t>
      </w:r>
      <w:r>
        <w:rPr>
          <w:sz w:val="24"/>
        </w:rPr>
        <w:t>and </w:t>
      </w:r>
      <w:r>
        <w:rPr>
          <w:i/>
          <w:sz w:val="24"/>
        </w:rPr>
        <w:t>network </w:t>
      </w:r>
      <w:r>
        <w:rPr>
          <w:i/>
          <w:sz w:val="24"/>
        </w:rPr>
        <w:t>connection assets</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A </w:t>
      </w:r>
      <w:r>
        <w:rPr>
          <w:i/>
          <w:sz w:val="20"/>
        </w:rPr>
        <w:t>third party DCA </w:t>
      </w:r>
      <w:r>
        <w:rPr>
          <w:sz w:val="20"/>
        </w:rPr>
        <w:t>is a </w:t>
      </w:r>
      <w:r>
        <w:rPr>
          <w:i/>
          <w:sz w:val="20"/>
        </w:rPr>
        <w:t>connection asset </w:t>
      </w:r>
      <w:r>
        <w:rPr>
          <w:sz w:val="20"/>
        </w:rPr>
        <w:t>but for the purpose of registration under Chapter 2 also constitutes a </w:t>
      </w:r>
      <w:r>
        <w:rPr>
          <w:i/>
          <w:sz w:val="20"/>
        </w:rPr>
        <w:t>transmission system</w:t>
      </w:r>
      <w:r>
        <w:rPr>
          <w:sz w:val="20"/>
        </w:rPr>
        <w:t>.</w:t>
      </w:r>
    </w:p>
    <w:p>
      <w:pPr>
        <w:pStyle w:val="Heading5"/>
        <w:rPr>
          <w:i/>
        </w:rPr>
      </w:pPr>
      <w:r>
        <w:rPr>
          <w:i/>
        </w:rPr>
        <w:t>connection charge</w:t>
      </w:r>
    </w:p>
    <w:p>
      <w:pPr>
        <w:pStyle w:val="BodyText"/>
        <w:ind w:left="1352" w:firstLine="0"/>
      </w:pPr>
      <w:r>
        <w:rPr/>
        <w:t>Has the meaning given in clause 5A.A.1.</w:t>
      </w:r>
    </w:p>
    <w:p>
      <w:pPr>
        <w:pStyle w:val="Heading5"/>
        <w:rPr>
          <w:i/>
        </w:rPr>
      </w:pPr>
      <w:r>
        <w:rPr>
          <w:i/>
        </w:rPr>
        <w:t>connection charge guidelines</w:t>
      </w:r>
    </w:p>
    <w:p>
      <w:pPr>
        <w:pStyle w:val="BodyText"/>
        <w:ind w:left="1352" w:firstLine="0"/>
      </w:pPr>
      <w:r>
        <w:rPr/>
        <w:t>Has the meaning given in clause 5A.E.3.</w:t>
      </w:r>
    </w:p>
    <w:p>
      <w:pPr>
        <w:pStyle w:val="Heading5"/>
        <w:rPr>
          <w:i/>
        </w:rPr>
      </w:pPr>
      <w:r>
        <w:rPr>
          <w:i/>
        </w:rPr>
        <w:t>connection charge principles</w:t>
      </w:r>
    </w:p>
    <w:p>
      <w:pPr>
        <w:pStyle w:val="BodyText"/>
        <w:ind w:left="1352" w:firstLine="0"/>
      </w:pPr>
      <w:r>
        <w:rPr/>
        <w:t>Has the meaning given in clause 5A.E.1.</w:t>
      </w:r>
    </w:p>
    <w:p>
      <w:pPr>
        <w:pStyle w:val="Heading5"/>
        <w:rPr>
          <w:i/>
        </w:rPr>
      </w:pPr>
      <w:r>
        <w:rPr>
          <w:i/>
        </w:rPr>
        <w:t>connection contract</w:t>
      </w:r>
    </w:p>
    <w:p>
      <w:pPr>
        <w:pStyle w:val="BodyText"/>
        <w:ind w:left="1352" w:firstLine="0"/>
      </w:pPr>
      <w:r>
        <w:rPr/>
        <w:t>Has (in the context of Chapters 5A and 7A) the meaning given in clause 5A.A.1.</w:t>
      </w:r>
    </w:p>
    <w:p>
      <w:pPr>
        <w:pStyle w:val="Heading5"/>
        <w:rPr>
          <w:i/>
        </w:rPr>
      </w:pPr>
      <w:r>
        <w:rPr>
          <w:i/>
        </w:rPr>
        <w:t>connection offer</w:t>
      </w:r>
    </w:p>
    <w:p>
      <w:pPr>
        <w:pStyle w:val="BodyText"/>
        <w:ind w:left="1352" w:firstLine="0"/>
      </w:pPr>
      <w:r>
        <w:rPr/>
        <w:t>Has (in the context of Chapter 5A) the meaning given in clause 5A.A.1.</w:t>
      </w:r>
    </w:p>
    <w:p>
      <w:pPr>
        <w:pStyle w:val="Heading5"/>
        <w:rPr>
          <w:i/>
        </w:rPr>
      </w:pPr>
      <w:r>
        <w:rPr>
          <w:i/>
        </w:rPr>
        <w:t>connection point</w:t>
      </w:r>
    </w:p>
    <w:p>
      <w:pPr>
        <w:spacing w:before="120"/>
        <w:ind w:left="1352" w:right="415" w:firstLine="0"/>
        <w:jc w:val="both"/>
        <w:rPr>
          <w:sz w:val="24"/>
        </w:rPr>
      </w:pPr>
      <w:r>
        <w:rPr>
          <w:sz w:val="24"/>
        </w:rPr>
        <w:t>The agreed point of </w:t>
      </w:r>
      <w:r>
        <w:rPr>
          <w:i/>
          <w:sz w:val="24"/>
        </w:rPr>
        <w:t>supply </w:t>
      </w:r>
      <w:r>
        <w:rPr>
          <w:sz w:val="24"/>
        </w:rPr>
        <w:t>established between </w:t>
      </w:r>
      <w:r>
        <w:rPr>
          <w:i/>
          <w:sz w:val="24"/>
        </w:rPr>
        <w:t>Network Service Provider</w:t>
      </w:r>
      <w:r>
        <w:rPr>
          <w:sz w:val="24"/>
        </w:rPr>
        <w:t>(s) and another </w:t>
      </w:r>
      <w:r>
        <w:rPr>
          <w:i/>
          <w:sz w:val="24"/>
        </w:rPr>
        <w:t>Registered Participant</w:t>
      </w:r>
      <w:r>
        <w:rPr>
          <w:sz w:val="24"/>
        </w:rPr>
        <w:t>, </w:t>
      </w:r>
      <w:r>
        <w:rPr>
          <w:i/>
          <w:sz w:val="24"/>
        </w:rPr>
        <w:t>Non-Registered Customer </w:t>
      </w:r>
      <w:r>
        <w:rPr>
          <w:sz w:val="24"/>
        </w:rPr>
        <w:t>or </w:t>
      </w:r>
      <w:r>
        <w:rPr>
          <w:i/>
          <w:sz w:val="24"/>
        </w:rPr>
        <w:t>franchise customer</w:t>
      </w:r>
      <w:r>
        <w:rPr>
          <w:sz w:val="24"/>
        </w:rPr>
        <w:t>.</w:t>
      </w:r>
    </w:p>
    <w:p>
      <w:pPr>
        <w:pStyle w:val="Heading5"/>
        <w:rPr>
          <w:i/>
        </w:rPr>
      </w:pPr>
      <w:r>
        <w:rPr>
          <w:i/>
        </w:rPr>
        <w:t>connection policy</w:t>
      </w:r>
    </w:p>
    <w:p>
      <w:pPr>
        <w:pStyle w:val="BodyText"/>
        <w:ind w:left="1352" w:firstLine="0"/>
      </w:pPr>
      <w:r>
        <w:rPr/>
        <w:t>Has the meaning given in clause 5A.A.1.</w:t>
      </w:r>
    </w:p>
    <w:p>
      <w:pPr>
        <w:pStyle w:val="Heading5"/>
        <w:rPr>
          <w:i/>
        </w:rPr>
      </w:pPr>
      <w:r>
        <w:rPr>
          <w:i/>
        </w:rPr>
        <w:t>connection service</w:t>
      </w:r>
    </w:p>
    <w:p>
      <w:pPr>
        <w:spacing w:before="120"/>
        <w:ind w:left="1352" w:right="416" w:firstLine="0"/>
        <w:jc w:val="both"/>
        <w:rPr>
          <w:sz w:val="24"/>
        </w:rPr>
      </w:pPr>
      <w:r>
        <w:rPr>
          <w:sz w:val="24"/>
        </w:rPr>
        <w:t>An </w:t>
      </w:r>
      <w:r>
        <w:rPr>
          <w:i/>
          <w:sz w:val="24"/>
        </w:rPr>
        <w:t>entry service </w:t>
      </w:r>
      <w:r>
        <w:rPr>
          <w:sz w:val="24"/>
        </w:rPr>
        <w:t>(being a service provided to serve a </w:t>
      </w:r>
      <w:r>
        <w:rPr>
          <w:i/>
          <w:sz w:val="24"/>
        </w:rPr>
        <w:t>Generator </w:t>
      </w:r>
      <w:r>
        <w:rPr>
          <w:sz w:val="24"/>
        </w:rPr>
        <w:t>or a group of </w:t>
      </w:r>
      <w:r>
        <w:rPr>
          <w:i/>
          <w:sz w:val="24"/>
        </w:rPr>
        <w:t>Generators</w:t>
      </w:r>
      <w:r>
        <w:rPr>
          <w:sz w:val="24"/>
        </w:rPr>
        <w:t>, or a </w:t>
      </w:r>
      <w:r>
        <w:rPr>
          <w:i/>
          <w:sz w:val="24"/>
        </w:rPr>
        <w:t>Network Service Provider </w:t>
      </w:r>
      <w:r>
        <w:rPr>
          <w:sz w:val="24"/>
        </w:rPr>
        <w:t>or a group of </w:t>
      </w:r>
      <w:r>
        <w:rPr>
          <w:i/>
          <w:sz w:val="24"/>
        </w:rPr>
        <w:t>Network Service </w:t>
      </w:r>
      <w:r>
        <w:rPr>
          <w:i/>
          <w:sz w:val="24"/>
        </w:rPr>
        <w:t>Providers</w:t>
      </w:r>
      <w:r>
        <w:rPr>
          <w:sz w:val="24"/>
        </w:rPr>
        <w:t>, at a single </w:t>
      </w:r>
      <w:r>
        <w:rPr>
          <w:i/>
          <w:sz w:val="24"/>
        </w:rPr>
        <w:t>connection point</w:t>
      </w:r>
      <w:r>
        <w:rPr>
          <w:sz w:val="24"/>
        </w:rPr>
        <w:t>) or an </w:t>
      </w:r>
      <w:r>
        <w:rPr>
          <w:i/>
          <w:sz w:val="24"/>
        </w:rPr>
        <w:t>exit service </w:t>
      </w:r>
      <w:r>
        <w:rPr>
          <w:sz w:val="24"/>
        </w:rPr>
        <w:t>(being a service</w:t>
      </w:r>
    </w:p>
    <w:p>
      <w:pPr>
        <w:spacing w:after="0"/>
        <w:jc w:val="both"/>
        <w:rPr>
          <w:sz w:val="24"/>
        </w:rPr>
        <w:sectPr>
          <w:pgSz w:w="11910" w:h="16840"/>
          <w:pgMar w:header="686" w:footer="637" w:top="1320" w:bottom="820" w:left="1200" w:right="1000"/>
        </w:sectPr>
      </w:pPr>
    </w:p>
    <w:p>
      <w:pPr>
        <w:spacing w:before="83"/>
        <w:ind w:left="1352" w:right="416" w:firstLine="0"/>
        <w:jc w:val="both"/>
        <w:rPr>
          <w:sz w:val="24"/>
        </w:rPr>
      </w:pPr>
      <w:r>
        <w:rPr>
          <w:sz w:val="24"/>
        </w:rPr>
        <w:t>provided to serve a </w:t>
      </w:r>
      <w:r>
        <w:rPr>
          <w:i/>
          <w:sz w:val="24"/>
        </w:rPr>
        <w:t>Transmission Customer </w:t>
      </w:r>
      <w:r>
        <w:rPr>
          <w:sz w:val="24"/>
        </w:rPr>
        <w:t>or </w:t>
      </w:r>
      <w:r>
        <w:rPr>
          <w:i/>
          <w:sz w:val="24"/>
        </w:rPr>
        <w:t>Distribution Customer </w:t>
      </w:r>
      <w:r>
        <w:rPr>
          <w:sz w:val="24"/>
        </w:rPr>
        <w:t>or a group of </w:t>
      </w:r>
      <w:r>
        <w:rPr>
          <w:i/>
          <w:sz w:val="24"/>
        </w:rPr>
        <w:t>Transmission Customers </w:t>
      </w:r>
      <w:r>
        <w:rPr>
          <w:sz w:val="24"/>
        </w:rPr>
        <w:t>or </w:t>
      </w:r>
      <w:r>
        <w:rPr>
          <w:i/>
          <w:sz w:val="24"/>
        </w:rPr>
        <w:t>Distribution Customers</w:t>
      </w:r>
      <w:r>
        <w:rPr>
          <w:sz w:val="24"/>
        </w:rPr>
        <w:t>, or a </w:t>
      </w:r>
      <w:r>
        <w:rPr>
          <w:i/>
          <w:sz w:val="24"/>
        </w:rPr>
        <w:t>Network Service </w:t>
      </w:r>
      <w:r>
        <w:rPr>
          <w:i/>
          <w:sz w:val="24"/>
        </w:rPr>
        <w:t>Provider </w:t>
      </w:r>
      <w:r>
        <w:rPr>
          <w:sz w:val="24"/>
        </w:rPr>
        <w:t>or a group of </w:t>
      </w:r>
      <w:r>
        <w:rPr>
          <w:i/>
          <w:sz w:val="24"/>
        </w:rPr>
        <w:t>Network Service Providers</w:t>
      </w:r>
      <w:r>
        <w:rPr>
          <w:sz w:val="24"/>
        </w:rPr>
        <w:t>, at a single </w:t>
      </w:r>
      <w:r>
        <w:rPr>
          <w:i/>
          <w:sz w:val="24"/>
        </w:rPr>
        <w:t>connection</w:t>
      </w:r>
      <w:r>
        <w:rPr>
          <w:i/>
          <w:spacing w:val="-9"/>
          <w:sz w:val="24"/>
        </w:rPr>
        <w:t> </w:t>
      </w:r>
      <w:r>
        <w:rPr>
          <w:i/>
          <w:sz w:val="24"/>
        </w:rPr>
        <w:t>point</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In the context of Chapter 5A and Part DA of Chapter 6, the above definition has been displaced by a definition specifically applicable to that Chapter. See clause 5A.A.1.</w:t>
      </w:r>
    </w:p>
    <w:p>
      <w:pPr>
        <w:pStyle w:val="Heading5"/>
        <w:jc w:val="left"/>
        <w:rPr>
          <w:i/>
        </w:rPr>
      </w:pPr>
      <w:r>
        <w:rPr>
          <w:i/>
        </w:rPr>
        <w:t>considered project</w:t>
      </w:r>
    </w:p>
    <w:p>
      <w:pPr>
        <w:pStyle w:val="ListParagraph"/>
        <w:numPr>
          <w:ilvl w:val="0"/>
          <w:numId w:val="724"/>
        </w:numPr>
        <w:tabs>
          <w:tab w:pos="1918" w:val="left" w:leader="none"/>
          <w:tab w:pos="1919" w:val="left" w:leader="none"/>
        </w:tabs>
        <w:spacing w:line="240" w:lineRule="auto" w:before="120" w:after="0"/>
        <w:ind w:left="1919" w:right="415" w:hanging="567"/>
        <w:jc w:val="left"/>
        <w:rPr>
          <w:sz w:val="24"/>
        </w:rPr>
      </w:pPr>
      <w:r>
        <w:rPr>
          <w:sz w:val="24"/>
        </w:rPr>
        <w:t>In respect of a </w:t>
      </w:r>
      <w:r>
        <w:rPr>
          <w:i/>
          <w:sz w:val="24"/>
        </w:rPr>
        <w:t>transmission network augmentation</w:t>
      </w:r>
      <w:r>
        <w:rPr>
          <w:sz w:val="24"/>
        </w:rPr>
        <w:t>, a project that meets the following</w:t>
      </w:r>
      <w:r>
        <w:rPr>
          <w:spacing w:val="-1"/>
          <w:sz w:val="24"/>
        </w:rPr>
        <w:t> </w:t>
      </w:r>
      <w:r>
        <w:rPr>
          <w:sz w:val="24"/>
        </w:rPr>
        <w:t>criteria:</w:t>
      </w:r>
    </w:p>
    <w:p>
      <w:pPr>
        <w:pStyle w:val="ListParagraph"/>
        <w:numPr>
          <w:ilvl w:val="1"/>
          <w:numId w:val="724"/>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Network Service Provider </w:t>
      </w:r>
      <w:r>
        <w:rPr>
          <w:sz w:val="24"/>
        </w:rPr>
        <w:t>has acquired the necessary land and easements;</w:t>
      </w:r>
    </w:p>
    <w:p>
      <w:pPr>
        <w:pStyle w:val="ListParagraph"/>
        <w:numPr>
          <w:ilvl w:val="1"/>
          <w:numId w:val="724"/>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Network Service Provider </w:t>
      </w:r>
      <w:r>
        <w:rPr>
          <w:sz w:val="24"/>
        </w:rPr>
        <w:t>has obtained all necessary planning </w:t>
      </w:r>
      <w:r>
        <w:rPr>
          <w:spacing w:val="-4"/>
          <w:sz w:val="24"/>
        </w:rPr>
        <w:t>and </w:t>
      </w:r>
      <w:r>
        <w:rPr>
          <w:sz w:val="24"/>
        </w:rPr>
        <w:t>development</w:t>
      </w:r>
      <w:r>
        <w:rPr>
          <w:spacing w:val="-1"/>
          <w:sz w:val="24"/>
        </w:rPr>
        <w:t> </w:t>
      </w:r>
      <w:r>
        <w:rPr>
          <w:sz w:val="24"/>
        </w:rPr>
        <w:t>approvals;</w:t>
      </w:r>
    </w:p>
    <w:p>
      <w:pPr>
        <w:pStyle w:val="ListParagraph"/>
        <w:numPr>
          <w:ilvl w:val="1"/>
          <w:numId w:val="724"/>
        </w:numPr>
        <w:tabs>
          <w:tab w:pos="2485" w:val="left" w:leader="none"/>
          <w:tab w:pos="2486" w:val="left" w:leader="none"/>
        </w:tabs>
        <w:spacing w:line="240" w:lineRule="auto" w:before="120" w:after="0"/>
        <w:ind w:left="2485" w:right="0" w:hanging="567"/>
        <w:jc w:val="left"/>
        <w:rPr>
          <w:sz w:val="24"/>
        </w:rPr>
      </w:pPr>
      <w:r>
        <w:rPr>
          <w:sz w:val="24"/>
        </w:rPr>
        <w:t>as</w:t>
      </w:r>
      <w:r>
        <w:rPr>
          <w:spacing w:val="-1"/>
          <w:sz w:val="24"/>
        </w:rPr>
        <w:t> </w:t>
      </w:r>
      <w:r>
        <w:rPr>
          <w:sz w:val="24"/>
        </w:rPr>
        <w:t>applicable:</w:t>
      </w:r>
    </w:p>
    <w:p>
      <w:pPr>
        <w:pStyle w:val="ListParagraph"/>
        <w:numPr>
          <w:ilvl w:val="2"/>
          <w:numId w:val="724"/>
        </w:numPr>
        <w:tabs>
          <w:tab w:pos="3053" w:val="left" w:leader="none"/>
        </w:tabs>
        <w:spacing w:line="240" w:lineRule="auto" w:before="120" w:after="0"/>
        <w:ind w:left="3053" w:right="416" w:hanging="567"/>
        <w:jc w:val="both"/>
        <w:rPr>
          <w:sz w:val="24"/>
        </w:rPr>
      </w:pPr>
      <w:r>
        <w:rPr>
          <w:sz w:val="24"/>
        </w:rPr>
        <w:t>the </w:t>
      </w:r>
      <w:r>
        <w:rPr>
          <w:i/>
          <w:sz w:val="24"/>
        </w:rPr>
        <w:t>augmentation </w:t>
      </w:r>
      <w:r>
        <w:rPr>
          <w:sz w:val="24"/>
        </w:rPr>
        <w:t>project has passed the </w:t>
      </w:r>
      <w:r>
        <w:rPr>
          <w:i/>
          <w:sz w:val="24"/>
        </w:rPr>
        <w:t>regulatory investment </w:t>
      </w:r>
      <w:r>
        <w:rPr>
          <w:i/>
          <w:sz w:val="24"/>
        </w:rPr>
        <w:t>test for</w:t>
      </w:r>
      <w:r>
        <w:rPr>
          <w:i/>
          <w:spacing w:val="-1"/>
          <w:sz w:val="24"/>
        </w:rPr>
        <w:t> </w:t>
      </w:r>
      <w:r>
        <w:rPr>
          <w:i/>
          <w:sz w:val="24"/>
        </w:rPr>
        <w:t>transmission</w:t>
      </w:r>
      <w:r>
        <w:rPr>
          <w:sz w:val="24"/>
        </w:rPr>
        <w:t>;</w:t>
      </w:r>
    </w:p>
    <w:p>
      <w:pPr>
        <w:pStyle w:val="ListParagraph"/>
        <w:numPr>
          <w:ilvl w:val="2"/>
          <w:numId w:val="724"/>
        </w:numPr>
        <w:tabs>
          <w:tab w:pos="3054" w:val="left" w:leader="none"/>
        </w:tabs>
        <w:spacing w:line="240" w:lineRule="auto" w:before="120" w:after="0"/>
        <w:ind w:left="3053" w:right="415" w:hanging="567"/>
        <w:jc w:val="both"/>
        <w:rPr>
          <w:sz w:val="24"/>
        </w:rPr>
      </w:pPr>
      <w:r>
        <w:rPr>
          <w:sz w:val="24"/>
        </w:rPr>
        <w:t>the </w:t>
      </w:r>
      <w:r>
        <w:rPr>
          <w:i/>
          <w:sz w:val="24"/>
        </w:rPr>
        <w:t>augmentation </w:t>
      </w:r>
      <w:r>
        <w:rPr>
          <w:sz w:val="24"/>
        </w:rPr>
        <w:t>has passed the </w:t>
      </w:r>
      <w:r>
        <w:rPr>
          <w:i/>
          <w:sz w:val="24"/>
        </w:rPr>
        <w:t>regulatory investment test for </w:t>
      </w:r>
      <w:r>
        <w:rPr>
          <w:i/>
          <w:sz w:val="24"/>
        </w:rPr>
        <w:t>distribution</w:t>
      </w:r>
      <w:r>
        <w:rPr>
          <w:sz w:val="24"/>
        </w:rPr>
        <w:t>;</w:t>
      </w:r>
    </w:p>
    <w:p>
      <w:pPr>
        <w:pStyle w:val="ListParagraph"/>
        <w:numPr>
          <w:ilvl w:val="2"/>
          <w:numId w:val="724"/>
        </w:numPr>
        <w:tabs>
          <w:tab w:pos="3053" w:val="left" w:leader="none"/>
        </w:tabs>
        <w:spacing w:line="240" w:lineRule="auto" w:before="120" w:after="0"/>
        <w:ind w:left="3053" w:right="415" w:hanging="567"/>
        <w:jc w:val="both"/>
        <w:rPr>
          <w:sz w:val="24"/>
        </w:rPr>
      </w:pPr>
      <w:r>
        <w:rPr>
          <w:sz w:val="24"/>
        </w:rPr>
        <w:t>in respect of a </w:t>
      </w:r>
      <w:r>
        <w:rPr>
          <w:i/>
          <w:sz w:val="24"/>
        </w:rPr>
        <w:t>transmission investment </w:t>
      </w:r>
      <w:r>
        <w:rPr>
          <w:sz w:val="24"/>
        </w:rPr>
        <w:t>which has not been subject to a </w:t>
      </w:r>
      <w:r>
        <w:rPr>
          <w:i/>
          <w:sz w:val="24"/>
        </w:rPr>
        <w:t>regulatory investment test for transmission </w:t>
      </w:r>
      <w:r>
        <w:rPr>
          <w:sz w:val="24"/>
        </w:rPr>
        <w:t>or the </w:t>
      </w:r>
      <w:r>
        <w:rPr>
          <w:i/>
          <w:sz w:val="24"/>
        </w:rPr>
        <w:t>regulatory investment test for distribution</w:t>
      </w:r>
      <w:r>
        <w:rPr>
          <w:sz w:val="24"/>
        </w:rPr>
        <w:t>, an intention to proceed with the project has been published in the </w:t>
      </w:r>
      <w:r>
        <w:rPr>
          <w:i/>
          <w:sz w:val="24"/>
        </w:rPr>
        <w:t>Network </w:t>
      </w:r>
      <w:r>
        <w:rPr>
          <w:i/>
          <w:sz w:val="24"/>
        </w:rPr>
        <w:t>Service Provider's Transmission Annual Planning Report </w:t>
      </w:r>
      <w:r>
        <w:rPr>
          <w:sz w:val="24"/>
        </w:rPr>
        <w:t>or </w:t>
      </w:r>
      <w:r>
        <w:rPr>
          <w:i/>
          <w:sz w:val="24"/>
        </w:rPr>
        <w:t>Distribution Annual Planning Report </w:t>
      </w:r>
      <w:r>
        <w:rPr>
          <w:sz w:val="24"/>
        </w:rPr>
        <w:t>(as the case may be);</w:t>
      </w:r>
      <w:r>
        <w:rPr>
          <w:spacing w:val="-11"/>
          <w:sz w:val="24"/>
        </w:rPr>
        <w:t> </w:t>
      </w:r>
      <w:r>
        <w:rPr>
          <w:sz w:val="24"/>
        </w:rPr>
        <w:t>or</w:t>
      </w:r>
    </w:p>
    <w:p>
      <w:pPr>
        <w:pStyle w:val="ListParagraph"/>
        <w:numPr>
          <w:ilvl w:val="1"/>
          <w:numId w:val="724"/>
        </w:numPr>
        <w:tabs>
          <w:tab w:pos="2486" w:val="left" w:leader="none"/>
        </w:tabs>
        <w:spacing w:line="240" w:lineRule="auto" w:before="120" w:after="0"/>
        <w:ind w:left="2485" w:right="0" w:hanging="567"/>
        <w:jc w:val="both"/>
        <w:rPr>
          <w:i/>
          <w:sz w:val="24"/>
        </w:rPr>
      </w:pPr>
      <w:r>
        <w:rPr>
          <w:sz w:val="24"/>
        </w:rPr>
        <w:t>construction</w:t>
      </w:r>
      <w:r>
        <w:rPr>
          <w:spacing w:val="29"/>
          <w:sz w:val="24"/>
        </w:rPr>
        <w:t> </w:t>
      </w:r>
      <w:r>
        <w:rPr>
          <w:sz w:val="24"/>
        </w:rPr>
        <w:t>has</w:t>
      </w:r>
      <w:r>
        <w:rPr>
          <w:spacing w:val="30"/>
          <w:sz w:val="24"/>
        </w:rPr>
        <w:t> </w:t>
      </w:r>
      <w:r>
        <w:rPr>
          <w:sz w:val="24"/>
        </w:rPr>
        <w:t>either</w:t>
      </w:r>
      <w:r>
        <w:rPr>
          <w:spacing w:val="30"/>
          <w:sz w:val="24"/>
        </w:rPr>
        <w:t> </w:t>
      </w:r>
      <w:r>
        <w:rPr>
          <w:sz w:val="24"/>
        </w:rPr>
        <w:t>commenced</w:t>
      </w:r>
      <w:r>
        <w:rPr>
          <w:spacing w:val="29"/>
          <w:sz w:val="24"/>
        </w:rPr>
        <w:t> </w:t>
      </w:r>
      <w:r>
        <w:rPr>
          <w:sz w:val="24"/>
        </w:rPr>
        <w:t>or</w:t>
      </w:r>
      <w:r>
        <w:rPr>
          <w:spacing w:val="30"/>
          <w:sz w:val="24"/>
        </w:rPr>
        <w:t> </w:t>
      </w:r>
      <w:r>
        <w:rPr>
          <w:sz w:val="24"/>
        </w:rPr>
        <w:t>the</w:t>
      </w:r>
      <w:r>
        <w:rPr>
          <w:spacing w:val="30"/>
          <w:sz w:val="24"/>
        </w:rPr>
        <w:t> </w:t>
      </w:r>
      <w:r>
        <w:rPr>
          <w:i/>
          <w:sz w:val="24"/>
        </w:rPr>
        <w:t>Network</w:t>
      </w:r>
      <w:r>
        <w:rPr>
          <w:i/>
          <w:spacing w:val="29"/>
          <w:sz w:val="24"/>
        </w:rPr>
        <w:t> </w:t>
      </w:r>
      <w:r>
        <w:rPr>
          <w:i/>
          <w:sz w:val="24"/>
        </w:rPr>
        <w:t>Service</w:t>
      </w:r>
      <w:r>
        <w:rPr>
          <w:i/>
          <w:spacing w:val="30"/>
          <w:sz w:val="24"/>
        </w:rPr>
        <w:t> </w:t>
      </w:r>
      <w:r>
        <w:rPr>
          <w:i/>
          <w:sz w:val="24"/>
        </w:rPr>
        <w:t>Provider</w:t>
      </w:r>
    </w:p>
    <w:p>
      <w:pPr>
        <w:pStyle w:val="BodyText"/>
        <w:spacing w:before="0"/>
        <w:ind w:left="2486" w:firstLine="0"/>
      </w:pPr>
      <w:r>
        <w:rPr/>
        <w:t>has set a firm date for it to commence.</w:t>
      </w:r>
    </w:p>
    <w:p>
      <w:pPr>
        <w:pStyle w:val="ListParagraph"/>
        <w:numPr>
          <w:ilvl w:val="0"/>
          <w:numId w:val="724"/>
        </w:numPr>
        <w:tabs>
          <w:tab w:pos="1919" w:val="left" w:leader="none"/>
        </w:tabs>
        <w:spacing w:line="240" w:lineRule="auto" w:before="120" w:after="0"/>
        <w:ind w:left="1919" w:right="416" w:hanging="567"/>
        <w:jc w:val="both"/>
        <w:rPr>
          <w:sz w:val="24"/>
        </w:rPr>
      </w:pPr>
      <w:r>
        <w:rPr>
          <w:sz w:val="24"/>
        </w:rPr>
        <w:t>In respect of a </w:t>
      </w:r>
      <w:r>
        <w:rPr>
          <w:i/>
          <w:sz w:val="24"/>
        </w:rPr>
        <w:t>distribution network augmentation</w:t>
      </w:r>
      <w:r>
        <w:rPr>
          <w:sz w:val="24"/>
        </w:rPr>
        <w:t>, a project that meets the following</w:t>
      </w:r>
      <w:r>
        <w:rPr>
          <w:spacing w:val="-1"/>
          <w:sz w:val="24"/>
        </w:rPr>
        <w:t> </w:t>
      </w:r>
      <w:r>
        <w:rPr>
          <w:sz w:val="24"/>
        </w:rPr>
        <w:t>criteria:</w:t>
      </w:r>
    </w:p>
    <w:p>
      <w:pPr>
        <w:pStyle w:val="ListParagraph"/>
        <w:numPr>
          <w:ilvl w:val="1"/>
          <w:numId w:val="724"/>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Network Service Provider </w:t>
      </w:r>
      <w:r>
        <w:rPr>
          <w:sz w:val="24"/>
        </w:rPr>
        <w:t>has acquired the necessary land and easements;</w:t>
      </w:r>
    </w:p>
    <w:p>
      <w:pPr>
        <w:pStyle w:val="ListParagraph"/>
        <w:numPr>
          <w:ilvl w:val="1"/>
          <w:numId w:val="724"/>
        </w:numPr>
        <w:tabs>
          <w:tab w:pos="2485" w:val="left" w:leader="none"/>
          <w:tab w:pos="2486" w:val="left" w:leader="none"/>
        </w:tabs>
        <w:spacing w:line="240" w:lineRule="auto" w:before="120" w:after="0"/>
        <w:ind w:left="2486" w:right="415" w:hanging="567"/>
        <w:jc w:val="left"/>
        <w:rPr>
          <w:sz w:val="24"/>
        </w:rPr>
      </w:pPr>
      <w:r>
        <w:rPr>
          <w:sz w:val="24"/>
        </w:rPr>
        <w:t>the </w:t>
      </w:r>
      <w:r>
        <w:rPr>
          <w:i/>
          <w:sz w:val="24"/>
        </w:rPr>
        <w:t>Network Service Provider </w:t>
      </w:r>
      <w:r>
        <w:rPr>
          <w:sz w:val="24"/>
        </w:rPr>
        <w:t>has obtained all necessary planning </w:t>
      </w:r>
      <w:r>
        <w:rPr>
          <w:spacing w:val="-4"/>
          <w:sz w:val="24"/>
        </w:rPr>
        <w:t>and </w:t>
      </w:r>
      <w:r>
        <w:rPr>
          <w:sz w:val="24"/>
        </w:rPr>
        <w:t>development approvals;</w:t>
      </w:r>
      <w:r>
        <w:rPr>
          <w:spacing w:val="-1"/>
          <w:sz w:val="24"/>
        </w:rPr>
        <w:t> </w:t>
      </w:r>
      <w:r>
        <w:rPr>
          <w:sz w:val="24"/>
        </w:rPr>
        <w:t>and</w:t>
      </w:r>
    </w:p>
    <w:p>
      <w:pPr>
        <w:pStyle w:val="ListParagraph"/>
        <w:numPr>
          <w:ilvl w:val="1"/>
          <w:numId w:val="724"/>
        </w:numPr>
        <w:tabs>
          <w:tab w:pos="2485" w:val="left" w:leader="none"/>
          <w:tab w:pos="2486" w:val="left" w:leader="none"/>
        </w:tabs>
        <w:spacing w:line="240" w:lineRule="auto" w:before="120" w:after="0"/>
        <w:ind w:left="2485" w:right="0" w:hanging="567"/>
        <w:jc w:val="left"/>
        <w:rPr>
          <w:i/>
          <w:sz w:val="24"/>
        </w:rPr>
      </w:pPr>
      <w:r>
        <w:rPr>
          <w:sz w:val="24"/>
        </w:rPr>
        <w:t>construction</w:t>
      </w:r>
      <w:r>
        <w:rPr>
          <w:spacing w:val="29"/>
          <w:sz w:val="24"/>
        </w:rPr>
        <w:t> </w:t>
      </w:r>
      <w:r>
        <w:rPr>
          <w:sz w:val="24"/>
        </w:rPr>
        <w:t>has</w:t>
      </w:r>
      <w:r>
        <w:rPr>
          <w:spacing w:val="30"/>
          <w:sz w:val="24"/>
        </w:rPr>
        <w:t> </w:t>
      </w:r>
      <w:r>
        <w:rPr>
          <w:sz w:val="24"/>
        </w:rPr>
        <w:t>either</w:t>
      </w:r>
      <w:r>
        <w:rPr>
          <w:spacing w:val="30"/>
          <w:sz w:val="24"/>
        </w:rPr>
        <w:t> </w:t>
      </w:r>
      <w:r>
        <w:rPr>
          <w:sz w:val="24"/>
        </w:rPr>
        <w:t>commenced</w:t>
      </w:r>
      <w:r>
        <w:rPr>
          <w:spacing w:val="29"/>
          <w:sz w:val="24"/>
        </w:rPr>
        <w:t> </w:t>
      </w:r>
      <w:r>
        <w:rPr>
          <w:sz w:val="24"/>
        </w:rPr>
        <w:t>or</w:t>
      </w:r>
      <w:r>
        <w:rPr>
          <w:spacing w:val="30"/>
          <w:sz w:val="24"/>
        </w:rPr>
        <w:t> </w:t>
      </w:r>
      <w:r>
        <w:rPr>
          <w:sz w:val="24"/>
        </w:rPr>
        <w:t>the</w:t>
      </w:r>
      <w:r>
        <w:rPr>
          <w:spacing w:val="30"/>
          <w:sz w:val="24"/>
        </w:rPr>
        <w:t> </w:t>
      </w:r>
      <w:r>
        <w:rPr>
          <w:i/>
          <w:sz w:val="24"/>
        </w:rPr>
        <w:t>Network</w:t>
      </w:r>
      <w:r>
        <w:rPr>
          <w:i/>
          <w:spacing w:val="29"/>
          <w:sz w:val="24"/>
        </w:rPr>
        <w:t> </w:t>
      </w:r>
      <w:r>
        <w:rPr>
          <w:i/>
          <w:sz w:val="24"/>
        </w:rPr>
        <w:t>Service</w:t>
      </w:r>
      <w:r>
        <w:rPr>
          <w:i/>
          <w:spacing w:val="30"/>
          <w:sz w:val="24"/>
        </w:rPr>
        <w:t> </w:t>
      </w:r>
      <w:r>
        <w:rPr>
          <w:i/>
          <w:sz w:val="24"/>
        </w:rPr>
        <w:t>Provider</w:t>
      </w:r>
    </w:p>
    <w:p>
      <w:pPr>
        <w:pStyle w:val="BodyText"/>
        <w:spacing w:before="0"/>
        <w:ind w:left="2486" w:firstLine="0"/>
        <w:jc w:val="left"/>
      </w:pPr>
      <w:r>
        <w:rPr/>
        <w:t>has set a firm date for it to commence.</w:t>
      </w:r>
    </w:p>
    <w:p>
      <w:pPr>
        <w:pStyle w:val="Heading5"/>
        <w:rPr>
          <w:i/>
        </w:rPr>
      </w:pPr>
      <w:r>
        <w:rPr>
          <w:i/>
        </w:rPr>
        <w:t>constrained off</w:t>
      </w:r>
    </w:p>
    <w:p>
      <w:pPr>
        <w:spacing w:before="120"/>
        <w:ind w:left="1352" w:right="416" w:firstLine="0"/>
        <w:jc w:val="both"/>
        <w:rPr>
          <w:sz w:val="24"/>
        </w:rPr>
      </w:pPr>
      <w:r>
        <w:rPr>
          <w:sz w:val="24"/>
        </w:rPr>
        <w:t>In respect of a </w:t>
      </w:r>
      <w:r>
        <w:rPr>
          <w:i/>
          <w:sz w:val="24"/>
        </w:rPr>
        <w:t>generating unit</w:t>
      </w:r>
      <w:r>
        <w:rPr>
          <w:sz w:val="24"/>
        </w:rPr>
        <w:t>, the state where, due to a </w:t>
      </w:r>
      <w:r>
        <w:rPr>
          <w:i/>
          <w:sz w:val="24"/>
        </w:rPr>
        <w:t>constraint </w:t>
      </w:r>
      <w:r>
        <w:rPr>
          <w:sz w:val="24"/>
        </w:rPr>
        <w:t>on a </w:t>
      </w:r>
      <w:r>
        <w:rPr>
          <w:i/>
          <w:sz w:val="24"/>
        </w:rPr>
        <w:t>network</w:t>
      </w:r>
      <w:r>
        <w:rPr>
          <w:sz w:val="24"/>
        </w:rPr>
        <w:t>, the output of that </w:t>
      </w:r>
      <w:r>
        <w:rPr>
          <w:i/>
          <w:sz w:val="24"/>
        </w:rPr>
        <w:t>generating unit </w:t>
      </w:r>
      <w:r>
        <w:rPr>
          <w:sz w:val="24"/>
        </w:rPr>
        <w:t>is limited below the level to which it would otherwise have been </w:t>
      </w:r>
      <w:r>
        <w:rPr>
          <w:i/>
          <w:sz w:val="24"/>
        </w:rPr>
        <w:t>dispatched </w:t>
      </w:r>
      <w:r>
        <w:rPr>
          <w:sz w:val="24"/>
        </w:rPr>
        <w:t>by </w:t>
      </w:r>
      <w:r>
        <w:rPr>
          <w:i/>
          <w:sz w:val="24"/>
        </w:rPr>
        <w:t>AEMO </w:t>
      </w:r>
      <w:r>
        <w:rPr>
          <w:sz w:val="24"/>
        </w:rPr>
        <w:t>on the basis of its </w:t>
      </w:r>
      <w:r>
        <w:rPr>
          <w:i/>
          <w:sz w:val="24"/>
        </w:rPr>
        <w:t>dispatch offer</w:t>
      </w:r>
      <w:r>
        <w:rPr>
          <w:sz w:val="24"/>
        </w:rPr>
        <w:t>.</w:t>
      </w:r>
    </w:p>
    <w:p>
      <w:pPr>
        <w:pStyle w:val="Heading5"/>
        <w:rPr>
          <w:i/>
        </w:rPr>
      </w:pPr>
      <w:r>
        <w:rPr>
          <w:i/>
        </w:rPr>
        <w:t>constrained on</w:t>
      </w:r>
    </w:p>
    <w:p>
      <w:pPr>
        <w:spacing w:before="120"/>
        <w:ind w:left="1352" w:right="416" w:firstLine="0"/>
        <w:jc w:val="both"/>
        <w:rPr>
          <w:sz w:val="24"/>
        </w:rPr>
      </w:pPr>
      <w:r>
        <w:rPr>
          <w:sz w:val="24"/>
        </w:rPr>
        <w:t>In respect of a </w:t>
      </w:r>
      <w:r>
        <w:rPr>
          <w:i/>
          <w:sz w:val="24"/>
        </w:rPr>
        <w:t>generating unit</w:t>
      </w:r>
      <w:r>
        <w:rPr>
          <w:sz w:val="24"/>
        </w:rPr>
        <w:t>, the state where, due to a </w:t>
      </w:r>
      <w:r>
        <w:rPr>
          <w:i/>
          <w:sz w:val="24"/>
        </w:rPr>
        <w:t>constraint </w:t>
      </w:r>
      <w:r>
        <w:rPr>
          <w:sz w:val="24"/>
        </w:rPr>
        <w:t>on a </w:t>
      </w:r>
      <w:r>
        <w:rPr>
          <w:i/>
          <w:sz w:val="24"/>
        </w:rPr>
        <w:t>network </w:t>
      </w:r>
      <w:r>
        <w:rPr>
          <w:sz w:val="24"/>
        </w:rPr>
        <w:t>or in order to provide </w:t>
      </w:r>
      <w:r>
        <w:rPr>
          <w:i/>
          <w:sz w:val="24"/>
        </w:rPr>
        <w:t>inertia network services </w:t>
      </w:r>
      <w:r>
        <w:rPr>
          <w:sz w:val="24"/>
        </w:rPr>
        <w:t>under an </w:t>
      </w:r>
      <w:r>
        <w:rPr>
          <w:i/>
          <w:sz w:val="24"/>
        </w:rPr>
        <w:t>inertia services agreement </w:t>
      </w:r>
      <w:r>
        <w:rPr>
          <w:sz w:val="24"/>
        </w:rPr>
        <w:t>or </w:t>
      </w:r>
      <w:r>
        <w:rPr>
          <w:i/>
          <w:sz w:val="24"/>
        </w:rPr>
        <w:t>system strength services </w:t>
      </w:r>
      <w:r>
        <w:rPr>
          <w:sz w:val="24"/>
        </w:rPr>
        <w:t>under a </w:t>
      </w:r>
      <w:r>
        <w:rPr>
          <w:i/>
          <w:sz w:val="24"/>
        </w:rPr>
        <w:t>system strength services agreement</w:t>
      </w:r>
      <w:r>
        <w:rPr>
          <w:sz w:val="24"/>
        </w:rPr>
        <w:t>, the output of</w:t>
      </w:r>
    </w:p>
    <w:p>
      <w:pPr>
        <w:spacing w:after="0"/>
        <w:jc w:val="both"/>
        <w:rPr>
          <w:sz w:val="24"/>
        </w:rPr>
        <w:sectPr>
          <w:pgSz w:w="11910" w:h="16840"/>
          <w:pgMar w:header="686" w:footer="637" w:top="1320" w:bottom="820" w:left="1200" w:right="1000"/>
        </w:sectPr>
      </w:pPr>
    </w:p>
    <w:p>
      <w:pPr>
        <w:spacing w:before="83"/>
        <w:ind w:left="1352" w:right="416" w:firstLine="0"/>
        <w:jc w:val="both"/>
        <w:rPr>
          <w:sz w:val="24"/>
        </w:rPr>
      </w:pPr>
      <w:r>
        <w:rPr>
          <w:sz w:val="24"/>
        </w:rPr>
        <w:t>that </w:t>
      </w:r>
      <w:r>
        <w:rPr>
          <w:i/>
          <w:sz w:val="24"/>
        </w:rPr>
        <w:t>generating unit </w:t>
      </w:r>
      <w:r>
        <w:rPr>
          <w:sz w:val="24"/>
        </w:rPr>
        <w:t>is limited above the level to which it would otherwise have been </w:t>
      </w:r>
      <w:r>
        <w:rPr>
          <w:i/>
          <w:sz w:val="24"/>
        </w:rPr>
        <w:t>dispatched </w:t>
      </w:r>
      <w:r>
        <w:rPr>
          <w:sz w:val="24"/>
        </w:rPr>
        <w:t>by </w:t>
      </w:r>
      <w:r>
        <w:rPr>
          <w:i/>
          <w:sz w:val="24"/>
        </w:rPr>
        <w:t>AEMO </w:t>
      </w:r>
      <w:r>
        <w:rPr>
          <w:sz w:val="24"/>
        </w:rPr>
        <w:t>on the basis of its </w:t>
      </w:r>
      <w:r>
        <w:rPr>
          <w:i/>
          <w:sz w:val="24"/>
        </w:rPr>
        <w:t>dispatch offer</w:t>
      </w:r>
      <w:r>
        <w:rPr>
          <w:sz w:val="24"/>
        </w:rPr>
        <w:t>.</w:t>
      </w:r>
    </w:p>
    <w:p>
      <w:pPr>
        <w:pStyle w:val="Heading5"/>
        <w:rPr>
          <w:i/>
        </w:rPr>
      </w:pPr>
      <w:r>
        <w:rPr>
          <w:i/>
        </w:rPr>
        <w:t>constraint, constrained</w:t>
      </w:r>
    </w:p>
    <w:p>
      <w:pPr>
        <w:pStyle w:val="BodyText"/>
        <w:ind w:left="1352" w:right="415" w:firstLine="0"/>
      </w:pPr>
      <w:r>
        <w:rPr/>
        <w:t>A limitation on the capability of a </w:t>
      </w:r>
      <w:r>
        <w:rPr>
          <w:i/>
        </w:rPr>
        <w:t>network</w:t>
      </w:r>
      <w:r>
        <w:rPr/>
        <w:t>, </w:t>
      </w:r>
      <w:r>
        <w:rPr>
          <w:i/>
        </w:rPr>
        <w:t>load </w:t>
      </w:r>
      <w:r>
        <w:rPr/>
        <w:t>or a </w:t>
      </w:r>
      <w:r>
        <w:rPr>
          <w:i/>
        </w:rPr>
        <w:t>generating unit </w:t>
      </w:r>
      <w:r>
        <w:rPr/>
        <w:t>such that it is unacceptable to either transfer, consume or generate the level of electrical power that would occur if the limitation was removed.</w:t>
      </w:r>
    </w:p>
    <w:p>
      <w:pPr>
        <w:pStyle w:val="Heading5"/>
        <w:rPr>
          <w:i/>
        </w:rPr>
      </w:pPr>
      <w:r>
        <w:rPr>
          <w:i/>
        </w:rPr>
        <w:t>consulting party</w:t>
      </w:r>
    </w:p>
    <w:p>
      <w:pPr>
        <w:spacing w:before="120"/>
        <w:ind w:left="1352" w:right="0" w:firstLine="0"/>
        <w:jc w:val="both"/>
        <w:rPr>
          <w:sz w:val="24"/>
        </w:rPr>
      </w:pPr>
      <w:r>
        <w:rPr>
          <w:sz w:val="24"/>
        </w:rPr>
        <w:t>The person who is required to comply with the </w:t>
      </w:r>
      <w:r>
        <w:rPr>
          <w:i/>
          <w:sz w:val="24"/>
        </w:rPr>
        <w:t>Rules consultation procedures</w:t>
      </w:r>
      <w:r>
        <w:rPr>
          <w:sz w:val="24"/>
        </w:rPr>
        <w:t>.</w:t>
      </w:r>
    </w:p>
    <w:p>
      <w:pPr>
        <w:pStyle w:val="Heading5"/>
        <w:rPr>
          <w:i/>
        </w:rPr>
      </w:pPr>
      <w:r>
        <w:rPr>
          <w:i/>
        </w:rPr>
        <w:t>Consumer Member</w:t>
      </w:r>
    </w:p>
    <w:p>
      <w:pPr>
        <w:spacing w:before="120"/>
        <w:ind w:left="1352" w:right="414" w:firstLine="0"/>
        <w:jc w:val="both"/>
        <w:rPr>
          <w:sz w:val="24"/>
        </w:rPr>
      </w:pPr>
      <w:r>
        <w:rPr>
          <w:sz w:val="24"/>
        </w:rPr>
        <w:t>A person appointed by </w:t>
      </w:r>
      <w:r>
        <w:rPr>
          <w:i/>
          <w:sz w:val="24"/>
        </w:rPr>
        <w:t>AEMO </w:t>
      </w:r>
      <w:r>
        <w:rPr>
          <w:sz w:val="24"/>
        </w:rPr>
        <w:t>as a </w:t>
      </w:r>
      <w:r>
        <w:rPr>
          <w:i/>
          <w:sz w:val="24"/>
        </w:rPr>
        <w:t>Member </w:t>
      </w:r>
      <w:r>
        <w:rPr>
          <w:sz w:val="24"/>
        </w:rPr>
        <w:t>to represent </w:t>
      </w:r>
      <w:r>
        <w:rPr>
          <w:i/>
          <w:sz w:val="24"/>
        </w:rPr>
        <w:t>small customers </w:t>
      </w:r>
      <w:r>
        <w:rPr>
          <w:sz w:val="24"/>
        </w:rPr>
        <w:t>in accordance with the </w:t>
      </w:r>
      <w:r>
        <w:rPr>
          <w:i/>
          <w:sz w:val="24"/>
        </w:rPr>
        <w:t>Rules </w:t>
      </w:r>
      <w:r>
        <w:rPr>
          <w:sz w:val="24"/>
        </w:rPr>
        <w:t>(including clause 7.17.10(b)).</w:t>
      </w:r>
    </w:p>
    <w:p>
      <w:pPr>
        <w:spacing w:after="0"/>
        <w:jc w:val="both"/>
        <w:rPr>
          <w:sz w:val="24"/>
        </w:rPr>
        <w:sectPr>
          <w:pgSz w:w="11910" w:h="16840"/>
          <w:pgMar w:header="686" w:footer="637" w:top="1320" w:bottom="820" w:left="1200" w:right="1000"/>
        </w:sectPr>
      </w:pPr>
    </w:p>
    <w:p>
      <w:pPr>
        <w:pStyle w:val="Heading5"/>
        <w:jc w:val="left"/>
        <w:rPr>
          <w:i/>
        </w:rPr>
      </w:pPr>
      <w:r>
        <w:rPr>
          <w:i/>
        </w:rPr>
        <w:t>contestable</w:t>
      </w:r>
    </w:p>
    <w:p>
      <w:pPr>
        <w:pStyle w:val="BodyText"/>
        <w:spacing w:before="0"/>
        <w:ind w:firstLine="0"/>
        <w:jc w:val="left"/>
        <w:rPr>
          <w:b/>
          <w:i/>
          <w:sz w:val="26"/>
        </w:rPr>
      </w:pPr>
      <w:r>
        <w:rPr/>
        <w:br w:type="column"/>
      </w:r>
      <w:r>
        <w:rPr>
          <w:b/>
          <w:i/>
          <w:sz w:val="26"/>
        </w:rPr>
      </w:r>
    </w:p>
    <w:p>
      <w:pPr>
        <w:pStyle w:val="ListParagraph"/>
        <w:numPr>
          <w:ilvl w:val="0"/>
          <w:numId w:val="725"/>
        </w:numPr>
        <w:tabs>
          <w:tab w:pos="554" w:val="left" w:leader="none"/>
        </w:tabs>
        <w:spacing w:line="240" w:lineRule="auto" w:before="217" w:after="0"/>
        <w:ind w:left="554" w:right="415" w:hanging="567"/>
        <w:jc w:val="both"/>
        <w:rPr>
          <w:sz w:val="24"/>
        </w:rPr>
      </w:pPr>
      <w:r>
        <w:rPr>
          <w:sz w:val="24"/>
        </w:rPr>
        <w:t>In relation to </w:t>
      </w:r>
      <w:r>
        <w:rPr>
          <w:i/>
          <w:sz w:val="24"/>
        </w:rPr>
        <w:t>transmission services </w:t>
      </w:r>
      <w:r>
        <w:rPr>
          <w:sz w:val="24"/>
        </w:rPr>
        <w:t>a service which is permitted by the laws of the relevant </w:t>
      </w:r>
      <w:r>
        <w:rPr>
          <w:i/>
          <w:sz w:val="24"/>
        </w:rPr>
        <w:t>participating jurisdiction </w:t>
      </w:r>
      <w:r>
        <w:rPr>
          <w:sz w:val="24"/>
        </w:rPr>
        <w:t>to be provided by more than one </w:t>
      </w:r>
      <w:r>
        <w:rPr>
          <w:i/>
          <w:sz w:val="24"/>
        </w:rPr>
        <w:t>Transmission Network Service Provider </w:t>
      </w:r>
      <w:r>
        <w:rPr>
          <w:sz w:val="24"/>
        </w:rPr>
        <w:t>as a contestable service or on a competitive</w:t>
      </w:r>
      <w:r>
        <w:rPr>
          <w:spacing w:val="-1"/>
          <w:sz w:val="24"/>
        </w:rPr>
        <w:t> </w:t>
      </w:r>
      <w:r>
        <w:rPr>
          <w:sz w:val="24"/>
        </w:rPr>
        <w:t>basis.</w:t>
      </w:r>
    </w:p>
    <w:p>
      <w:pPr>
        <w:pStyle w:val="ListParagraph"/>
        <w:numPr>
          <w:ilvl w:val="0"/>
          <w:numId w:val="725"/>
        </w:numPr>
        <w:tabs>
          <w:tab w:pos="554" w:val="left" w:leader="none"/>
        </w:tabs>
        <w:spacing w:line="240" w:lineRule="auto" w:before="120" w:after="0"/>
        <w:ind w:left="554" w:right="415" w:hanging="567"/>
        <w:jc w:val="both"/>
        <w:rPr>
          <w:sz w:val="24"/>
        </w:rPr>
      </w:pPr>
      <w:r>
        <w:rPr>
          <w:sz w:val="24"/>
        </w:rPr>
        <w:t>In relation to </w:t>
      </w:r>
      <w:r>
        <w:rPr>
          <w:i/>
          <w:sz w:val="24"/>
        </w:rPr>
        <w:t>distribution services</w:t>
      </w:r>
      <w:r>
        <w:rPr>
          <w:sz w:val="24"/>
        </w:rPr>
        <w:t>, a service which is permitted by the laws of the relevant </w:t>
      </w:r>
      <w:r>
        <w:rPr>
          <w:i/>
          <w:sz w:val="24"/>
        </w:rPr>
        <w:t>participating jurisdiction </w:t>
      </w:r>
      <w:r>
        <w:rPr>
          <w:sz w:val="24"/>
        </w:rPr>
        <w:t>to be provided by more than one </w:t>
      </w:r>
      <w:r>
        <w:rPr>
          <w:i/>
          <w:sz w:val="24"/>
        </w:rPr>
        <w:t>Distribution Network Service Provider </w:t>
      </w:r>
      <w:r>
        <w:rPr>
          <w:sz w:val="24"/>
        </w:rPr>
        <w:t>as a contestable service or on a competitive</w:t>
      </w:r>
      <w:r>
        <w:rPr>
          <w:spacing w:val="-1"/>
          <w:sz w:val="24"/>
        </w:rPr>
        <w:t> </w:t>
      </w:r>
      <w:r>
        <w:rPr>
          <w:sz w:val="24"/>
        </w:rPr>
        <w:t>basis.</w:t>
      </w:r>
    </w:p>
    <w:p>
      <w:pPr>
        <w:spacing w:after="0" w:line="240" w:lineRule="auto"/>
        <w:jc w:val="both"/>
        <w:rPr>
          <w:sz w:val="24"/>
        </w:rPr>
        <w:sectPr>
          <w:type w:val="continuous"/>
          <w:pgSz w:w="11910" w:h="16840"/>
          <w:pgMar w:top="1360" w:bottom="280" w:left="1200" w:right="1000"/>
          <w:cols w:num="2" w:equalWidth="0">
            <w:col w:w="1325" w:space="40"/>
            <w:col w:w="8345"/>
          </w:cols>
        </w:sectPr>
      </w:pP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In the context of Chapter 5A, the above definition has been displaced by a definition specifically applicable to that Chapter. See clause 5A.A.1.</w:t>
      </w:r>
    </w:p>
    <w:p>
      <w:pPr>
        <w:pStyle w:val="Heading5"/>
        <w:rPr>
          <w:i/>
        </w:rPr>
      </w:pPr>
      <w:r>
        <w:rPr>
          <w:i/>
        </w:rPr>
        <w:t>contestable IUSA components</w:t>
      </w:r>
    </w:p>
    <w:p>
      <w:pPr>
        <w:spacing w:before="120"/>
        <w:ind w:left="1352" w:right="417" w:firstLine="0"/>
        <w:jc w:val="both"/>
        <w:rPr>
          <w:sz w:val="24"/>
        </w:rPr>
      </w:pPr>
      <w:r>
        <w:rPr>
          <w:sz w:val="24"/>
        </w:rPr>
        <w:t>Those components of the </w:t>
      </w:r>
      <w:r>
        <w:rPr>
          <w:i/>
          <w:sz w:val="24"/>
        </w:rPr>
        <w:t>identified user shared asset </w:t>
      </w:r>
      <w:r>
        <w:rPr>
          <w:sz w:val="24"/>
        </w:rPr>
        <w:t>that satisfy the criteria set out in clause 5.2A.4(c).</w:t>
      </w:r>
    </w:p>
    <w:p>
      <w:pPr>
        <w:pStyle w:val="Heading5"/>
        <w:rPr>
          <w:i/>
        </w:rPr>
      </w:pPr>
      <w:r>
        <w:rPr>
          <w:i/>
        </w:rPr>
        <w:t>contingency capacity reserve</w:t>
      </w:r>
    </w:p>
    <w:p>
      <w:pPr>
        <w:spacing w:before="120"/>
        <w:ind w:left="1352" w:right="415" w:firstLine="0"/>
        <w:jc w:val="both"/>
        <w:rPr>
          <w:sz w:val="24"/>
        </w:rPr>
      </w:pPr>
      <w:r>
        <w:rPr>
          <w:sz w:val="24"/>
        </w:rPr>
        <w:t>Actual </w:t>
      </w:r>
      <w:r>
        <w:rPr>
          <w:i/>
          <w:sz w:val="24"/>
        </w:rPr>
        <w:t>active </w:t>
      </w:r>
      <w:r>
        <w:rPr>
          <w:sz w:val="24"/>
        </w:rPr>
        <w:t>and </w:t>
      </w:r>
      <w:r>
        <w:rPr>
          <w:i/>
          <w:sz w:val="24"/>
        </w:rPr>
        <w:t>reactive energy </w:t>
      </w:r>
      <w:r>
        <w:rPr>
          <w:sz w:val="24"/>
        </w:rPr>
        <w:t>capacity, </w:t>
      </w:r>
      <w:r>
        <w:rPr>
          <w:i/>
          <w:sz w:val="24"/>
        </w:rPr>
        <w:t>interruptible load </w:t>
      </w:r>
      <w:r>
        <w:rPr>
          <w:sz w:val="24"/>
        </w:rPr>
        <w:t>arrangements and other arrangements organised to be available to be utilised on the actual occurrence of one or more </w:t>
      </w:r>
      <w:r>
        <w:rPr>
          <w:i/>
          <w:sz w:val="24"/>
        </w:rPr>
        <w:t>contingency events </w:t>
      </w:r>
      <w:r>
        <w:rPr>
          <w:sz w:val="24"/>
        </w:rPr>
        <w:t>to allow the restoration and maintenance of </w:t>
      </w:r>
      <w:r>
        <w:rPr>
          <w:i/>
          <w:sz w:val="24"/>
        </w:rPr>
        <w:t>power system</w:t>
      </w:r>
      <w:r>
        <w:rPr>
          <w:i/>
          <w:spacing w:val="-2"/>
          <w:sz w:val="24"/>
        </w:rPr>
        <w:t> </w:t>
      </w:r>
      <w:r>
        <w:rPr>
          <w:i/>
          <w:sz w:val="24"/>
        </w:rPr>
        <w:t>security</w:t>
      </w:r>
      <w:r>
        <w:rPr>
          <w:sz w:val="24"/>
        </w:rPr>
        <w:t>.</w:t>
      </w:r>
    </w:p>
    <w:p>
      <w:pPr>
        <w:pStyle w:val="Heading5"/>
        <w:rPr>
          <w:i/>
        </w:rPr>
      </w:pPr>
      <w:r>
        <w:rPr>
          <w:i/>
        </w:rPr>
        <w:t>contingency capacity reserve standards</w:t>
      </w:r>
    </w:p>
    <w:p>
      <w:pPr>
        <w:spacing w:before="120"/>
        <w:ind w:left="1352" w:right="415" w:firstLine="0"/>
        <w:jc w:val="both"/>
        <w:rPr>
          <w:sz w:val="24"/>
        </w:rPr>
      </w:pPr>
      <w:r>
        <w:rPr>
          <w:sz w:val="24"/>
        </w:rPr>
        <w:t>The standards set out in the </w:t>
      </w:r>
      <w:r>
        <w:rPr>
          <w:i/>
          <w:sz w:val="24"/>
        </w:rPr>
        <w:t>power system security standards </w:t>
      </w:r>
      <w:r>
        <w:rPr>
          <w:sz w:val="24"/>
        </w:rPr>
        <w:t>to be used by </w:t>
      </w:r>
      <w:r>
        <w:rPr>
          <w:i/>
          <w:sz w:val="24"/>
        </w:rPr>
        <w:t>AEMO </w:t>
      </w:r>
      <w:r>
        <w:rPr>
          <w:sz w:val="24"/>
        </w:rPr>
        <w:t>to determine the levels of </w:t>
      </w:r>
      <w:r>
        <w:rPr>
          <w:i/>
          <w:sz w:val="24"/>
        </w:rPr>
        <w:t>contingency capacity reserves </w:t>
      </w:r>
      <w:r>
        <w:rPr>
          <w:sz w:val="24"/>
        </w:rPr>
        <w:t>necessary for </w:t>
      </w:r>
      <w:r>
        <w:rPr>
          <w:i/>
          <w:sz w:val="24"/>
        </w:rPr>
        <w:t>power </w:t>
      </w:r>
      <w:r>
        <w:rPr>
          <w:i/>
          <w:sz w:val="24"/>
        </w:rPr>
        <w:t>system security</w:t>
      </w:r>
      <w:r>
        <w:rPr>
          <w:sz w:val="24"/>
        </w:rPr>
        <w:t>.</w:t>
      </w:r>
    </w:p>
    <w:p>
      <w:pPr>
        <w:pStyle w:val="Heading5"/>
        <w:rPr>
          <w:i/>
        </w:rPr>
      </w:pPr>
      <w:r>
        <w:rPr>
          <w:i/>
        </w:rPr>
        <w:t>contingency event</w:t>
      </w:r>
    </w:p>
    <w:p>
      <w:pPr>
        <w:pStyle w:val="BodyText"/>
        <w:ind w:left="1352" w:firstLine="0"/>
      </w:pPr>
      <w:r>
        <w:rPr/>
        <w:t>An event described in clause 4.2.3(a).</w:t>
      </w:r>
    </w:p>
    <w:p>
      <w:pPr>
        <w:pStyle w:val="Heading5"/>
        <w:rPr>
          <w:i/>
        </w:rPr>
      </w:pPr>
      <w:r>
        <w:rPr>
          <w:i/>
        </w:rPr>
        <w:t>contingent project</w:t>
      </w:r>
    </w:p>
    <w:p>
      <w:pPr>
        <w:spacing w:before="120"/>
        <w:ind w:left="1352" w:right="415" w:firstLine="0"/>
        <w:jc w:val="both"/>
        <w:rPr>
          <w:sz w:val="24"/>
        </w:rPr>
      </w:pPr>
      <w:r>
        <w:rPr>
          <w:sz w:val="24"/>
        </w:rPr>
        <w:t>In relation to a distribution determination, a </w:t>
      </w:r>
      <w:r>
        <w:rPr>
          <w:i/>
          <w:sz w:val="24"/>
        </w:rPr>
        <w:t>proposed contingent project </w:t>
      </w:r>
      <w:r>
        <w:rPr>
          <w:sz w:val="24"/>
        </w:rPr>
        <w:t>that is determined by the </w:t>
      </w:r>
      <w:r>
        <w:rPr>
          <w:i/>
          <w:sz w:val="24"/>
        </w:rPr>
        <w:t>AER</w:t>
      </w:r>
      <w:r>
        <w:rPr>
          <w:sz w:val="24"/>
        </w:rPr>
        <w:t>, in accordance with clause 6.6A.1(b), to be a </w:t>
      </w:r>
      <w:r>
        <w:rPr>
          <w:i/>
          <w:sz w:val="24"/>
        </w:rPr>
        <w:t>contingent </w:t>
      </w:r>
      <w:r>
        <w:rPr>
          <w:i/>
          <w:sz w:val="24"/>
        </w:rPr>
        <w:t>project </w:t>
      </w:r>
      <w:r>
        <w:rPr>
          <w:sz w:val="24"/>
        </w:rPr>
        <w:t>for the purposes of that distribution determination.</w:t>
      </w:r>
    </w:p>
    <w:p>
      <w:pPr>
        <w:spacing w:after="0"/>
        <w:jc w:val="both"/>
        <w:rPr>
          <w:sz w:val="24"/>
        </w:rPr>
        <w:sectPr>
          <w:type w:val="continuous"/>
          <w:pgSz w:w="11910" w:h="16840"/>
          <w:pgMar w:top="1360" w:bottom="280" w:left="1200" w:right="1000"/>
        </w:sectPr>
      </w:pPr>
    </w:p>
    <w:p>
      <w:pPr>
        <w:spacing w:before="83"/>
        <w:ind w:left="1352" w:right="415" w:firstLine="0"/>
        <w:jc w:val="both"/>
        <w:rPr>
          <w:sz w:val="24"/>
        </w:rPr>
      </w:pPr>
      <w:r>
        <w:rPr>
          <w:sz w:val="24"/>
        </w:rPr>
        <w:t>In relation to a </w:t>
      </w:r>
      <w:r>
        <w:rPr>
          <w:i/>
          <w:sz w:val="24"/>
        </w:rPr>
        <w:t>revenue determination</w:t>
      </w:r>
      <w:r>
        <w:rPr>
          <w:sz w:val="24"/>
        </w:rPr>
        <w:t>, a </w:t>
      </w:r>
      <w:r>
        <w:rPr>
          <w:i/>
          <w:sz w:val="24"/>
        </w:rPr>
        <w:t>proposed contingent project </w:t>
      </w:r>
      <w:r>
        <w:rPr>
          <w:sz w:val="24"/>
        </w:rPr>
        <w:t>that is determined by the </w:t>
      </w:r>
      <w:r>
        <w:rPr>
          <w:i/>
          <w:sz w:val="24"/>
        </w:rPr>
        <w:t>AER</w:t>
      </w:r>
      <w:r>
        <w:rPr>
          <w:sz w:val="24"/>
        </w:rPr>
        <w:t>, in accordance with clause 6A.8.1(b), to be a </w:t>
      </w:r>
      <w:r>
        <w:rPr>
          <w:i/>
          <w:sz w:val="24"/>
        </w:rPr>
        <w:t>contingent </w:t>
      </w:r>
      <w:r>
        <w:rPr>
          <w:i/>
          <w:sz w:val="24"/>
        </w:rPr>
        <w:t>project </w:t>
      </w:r>
      <w:r>
        <w:rPr>
          <w:sz w:val="24"/>
        </w:rPr>
        <w:t>for the purposes of that </w:t>
      </w:r>
      <w:r>
        <w:rPr>
          <w:i/>
          <w:sz w:val="24"/>
        </w:rPr>
        <w:t>revenue determination</w:t>
      </w:r>
      <w:r>
        <w:rPr>
          <w:sz w:val="24"/>
        </w:rPr>
        <w:t>.</w:t>
      </w:r>
    </w:p>
    <w:p>
      <w:pPr>
        <w:pStyle w:val="Heading5"/>
        <w:rPr>
          <w:i/>
        </w:rPr>
      </w:pPr>
      <w:r>
        <w:rPr>
          <w:i/>
        </w:rPr>
        <w:t>continuous uninterrupted operation</w:t>
      </w:r>
    </w:p>
    <w:p>
      <w:pPr>
        <w:spacing w:before="120"/>
        <w:ind w:left="1352" w:right="416" w:firstLine="0"/>
        <w:jc w:val="both"/>
        <w:rPr>
          <w:sz w:val="24"/>
        </w:rPr>
      </w:pPr>
      <w:r>
        <w:rPr>
          <w:sz w:val="24"/>
        </w:rPr>
        <w:t>In respect of a </w:t>
      </w:r>
      <w:r>
        <w:rPr>
          <w:i/>
          <w:sz w:val="24"/>
        </w:rPr>
        <w:t>generating system </w:t>
      </w:r>
      <w:r>
        <w:rPr>
          <w:sz w:val="24"/>
        </w:rPr>
        <w:t>or </w:t>
      </w:r>
      <w:r>
        <w:rPr>
          <w:i/>
          <w:sz w:val="24"/>
        </w:rPr>
        <w:t>generating unit </w:t>
      </w:r>
      <w:r>
        <w:rPr>
          <w:sz w:val="24"/>
        </w:rPr>
        <w:t>operating immediately prior to a </w:t>
      </w:r>
      <w:r>
        <w:rPr>
          <w:i/>
          <w:sz w:val="24"/>
        </w:rPr>
        <w:t>power system</w:t>
      </w:r>
      <w:r>
        <w:rPr>
          <w:i/>
          <w:spacing w:val="-2"/>
          <w:sz w:val="24"/>
        </w:rPr>
        <w:t> </w:t>
      </w:r>
      <w:r>
        <w:rPr>
          <w:sz w:val="24"/>
        </w:rPr>
        <w:t>disturbance:</w:t>
      </w:r>
    </w:p>
    <w:p>
      <w:pPr>
        <w:pStyle w:val="ListParagraph"/>
        <w:numPr>
          <w:ilvl w:val="1"/>
          <w:numId w:val="725"/>
        </w:numPr>
        <w:tabs>
          <w:tab w:pos="1919" w:val="left" w:leader="none"/>
        </w:tabs>
        <w:spacing w:line="240" w:lineRule="auto" w:before="120" w:after="0"/>
        <w:ind w:left="1919" w:right="415" w:hanging="567"/>
        <w:jc w:val="both"/>
        <w:rPr>
          <w:sz w:val="24"/>
        </w:rPr>
      </w:pPr>
      <w:r>
        <w:rPr>
          <w:sz w:val="24"/>
        </w:rPr>
        <w:t>not </w:t>
      </w:r>
      <w:r>
        <w:rPr>
          <w:i/>
          <w:sz w:val="24"/>
        </w:rPr>
        <w:t>disconnecting </w:t>
      </w:r>
      <w:r>
        <w:rPr>
          <w:sz w:val="24"/>
        </w:rPr>
        <w:t>from the </w:t>
      </w:r>
      <w:r>
        <w:rPr>
          <w:i/>
          <w:sz w:val="24"/>
        </w:rPr>
        <w:t>power system </w:t>
      </w:r>
      <w:r>
        <w:rPr>
          <w:sz w:val="24"/>
        </w:rPr>
        <w:t>except under its </w:t>
      </w:r>
      <w:r>
        <w:rPr>
          <w:i/>
          <w:sz w:val="24"/>
        </w:rPr>
        <w:t>performance </w:t>
      </w:r>
      <w:r>
        <w:rPr>
          <w:i/>
          <w:sz w:val="24"/>
        </w:rPr>
        <w:t>standards </w:t>
      </w:r>
      <w:r>
        <w:rPr>
          <w:sz w:val="24"/>
        </w:rPr>
        <w:t>established under clauses S5.2.5.8 and</w:t>
      </w:r>
      <w:r>
        <w:rPr>
          <w:spacing w:val="-7"/>
          <w:sz w:val="24"/>
        </w:rPr>
        <w:t> </w:t>
      </w:r>
      <w:r>
        <w:rPr>
          <w:sz w:val="24"/>
        </w:rPr>
        <w:t>S5.2.5.9;</w:t>
      </w:r>
    </w:p>
    <w:p>
      <w:pPr>
        <w:pStyle w:val="ListParagraph"/>
        <w:numPr>
          <w:ilvl w:val="1"/>
          <w:numId w:val="725"/>
        </w:numPr>
        <w:tabs>
          <w:tab w:pos="1919" w:val="left" w:leader="none"/>
        </w:tabs>
        <w:spacing w:line="240" w:lineRule="auto" w:before="120" w:after="0"/>
        <w:ind w:left="1919" w:right="414" w:hanging="567"/>
        <w:jc w:val="both"/>
        <w:rPr>
          <w:sz w:val="24"/>
        </w:rPr>
      </w:pPr>
      <w:r>
        <w:rPr>
          <w:sz w:val="24"/>
        </w:rPr>
        <w:t>during the disturbance contributing active and reactive current as required by its </w:t>
      </w:r>
      <w:r>
        <w:rPr>
          <w:i/>
          <w:sz w:val="24"/>
        </w:rPr>
        <w:t>performance standards </w:t>
      </w:r>
      <w:r>
        <w:rPr>
          <w:sz w:val="24"/>
        </w:rPr>
        <w:t>established under clause</w:t>
      </w:r>
      <w:r>
        <w:rPr>
          <w:spacing w:val="-6"/>
          <w:sz w:val="24"/>
        </w:rPr>
        <w:t> </w:t>
      </w:r>
      <w:r>
        <w:rPr>
          <w:sz w:val="24"/>
        </w:rPr>
        <w:t>S5.2.5.5;</w:t>
      </w:r>
    </w:p>
    <w:p>
      <w:pPr>
        <w:pStyle w:val="ListParagraph"/>
        <w:numPr>
          <w:ilvl w:val="1"/>
          <w:numId w:val="725"/>
        </w:numPr>
        <w:tabs>
          <w:tab w:pos="1919" w:val="left" w:leader="none"/>
        </w:tabs>
        <w:spacing w:line="240" w:lineRule="auto" w:before="120" w:after="0"/>
        <w:ind w:left="1919" w:right="415" w:hanging="567"/>
        <w:jc w:val="both"/>
        <w:rPr>
          <w:sz w:val="24"/>
        </w:rPr>
      </w:pPr>
      <w:r>
        <w:rPr>
          <w:sz w:val="24"/>
        </w:rPr>
        <w:t>after clearance of any electrical fault that caused the disturbance, </w:t>
      </w:r>
      <w:r>
        <w:rPr>
          <w:spacing w:val="-4"/>
          <w:sz w:val="24"/>
        </w:rPr>
        <w:t>only </w:t>
      </w:r>
      <w:r>
        <w:rPr>
          <w:sz w:val="24"/>
        </w:rPr>
        <w:t>substantially varying its </w:t>
      </w:r>
      <w:r>
        <w:rPr>
          <w:i/>
          <w:sz w:val="24"/>
        </w:rPr>
        <w:t>active power </w:t>
      </w:r>
      <w:r>
        <w:rPr>
          <w:sz w:val="24"/>
        </w:rPr>
        <w:t>and </w:t>
      </w:r>
      <w:r>
        <w:rPr>
          <w:i/>
          <w:sz w:val="24"/>
        </w:rPr>
        <w:t>reactive power </w:t>
      </w:r>
      <w:r>
        <w:rPr>
          <w:sz w:val="24"/>
        </w:rPr>
        <w:t>as required or permitted</w:t>
      </w:r>
      <w:r>
        <w:rPr>
          <w:spacing w:val="18"/>
          <w:sz w:val="24"/>
        </w:rPr>
        <w:t> </w:t>
      </w:r>
      <w:r>
        <w:rPr>
          <w:sz w:val="24"/>
        </w:rPr>
        <w:t>by</w:t>
      </w:r>
      <w:r>
        <w:rPr>
          <w:spacing w:val="19"/>
          <w:sz w:val="24"/>
        </w:rPr>
        <w:t> </w:t>
      </w:r>
      <w:r>
        <w:rPr>
          <w:sz w:val="24"/>
        </w:rPr>
        <w:t>its</w:t>
      </w:r>
      <w:r>
        <w:rPr>
          <w:spacing w:val="18"/>
          <w:sz w:val="24"/>
        </w:rPr>
        <w:t> </w:t>
      </w:r>
      <w:r>
        <w:rPr>
          <w:i/>
          <w:sz w:val="24"/>
        </w:rPr>
        <w:t>performance</w:t>
      </w:r>
      <w:r>
        <w:rPr>
          <w:i/>
          <w:spacing w:val="19"/>
          <w:sz w:val="24"/>
        </w:rPr>
        <w:t> </w:t>
      </w:r>
      <w:r>
        <w:rPr>
          <w:i/>
          <w:sz w:val="24"/>
        </w:rPr>
        <w:t>standards</w:t>
      </w:r>
      <w:r>
        <w:rPr>
          <w:i/>
          <w:spacing w:val="19"/>
          <w:sz w:val="24"/>
        </w:rPr>
        <w:t> </w:t>
      </w:r>
      <w:r>
        <w:rPr>
          <w:sz w:val="24"/>
        </w:rPr>
        <w:t>established</w:t>
      </w:r>
      <w:r>
        <w:rPr>
          <w:spacing w:val="18"/>
          <w:sz w:val="24"/>
        </w:rPr>
        <w:t> </w:t>
      </w:r>
      <w:r>
        <w:rPr>
          <w:sz w:val="24"/>
        </w:rPr>
        <w:t>under</w:t>
      </w:r>
      <w:r>
        <w:rPr>
          <w:spacing w:val="19"/>
          <w:sz w:val="24"/>
        </w:rPr>
        <w:t> </w:t>
      </w:r>
      <w:r>
        <w:rPr>
          <w:sz w:val="24"/>
        </w:rPr>
        <w:t>clauses</w:t>
      </w:r>
      <w:r>
        <w:rPr>
          <w:spacing w:val="18"/>
          <w:sz w:val="24"/>
        </w:rPr>
        <w:t> </w:t>
      </w:r>
      <w:r>
        <w:rPr>
          <w:sz w:val="24"/>
        </w:rPr>
        <w:t>S5.2.5.5,</w:t>
      </w:r>
    </w:p>
    <w:p>
      <w:pPr>
        <w:pStyle w:val="BodyText"/>
        <w:spacing w:before="0"/>
        <w:ind w:left="1919" w:firstLine="0"/>
      </w:pPr>
      <w:r>
        <w:rPr/>
        <w:t>S5.2.5.11, S5.2.5.13 and S5.2.5.14; and</w:t>
      </w:r>
    </w:p>
    <w:p>
      <w:pPr>
        <w:pStyle w:val="ListParagraph"/>
        <w:numPr>
          <w:ilvl w:val="1"/>
          <w:numId w:val="725"/>
        </w:numPr>
        <w:tabs>
          <w:tab w:pos="1919" w:val="left" w:leader="none"/>
        </w:tabs>
        <w:spacing w:line="240" w:lineRule="auto" w:before="120" w:after="0"/>
        <w:ind w:left="1919" w:right="415" w:hanging="567"/>
        <w:jc w:val="both"/>
        <w:rPr>
          <w:sz w:val="24"/>
        </w:rPr>
      </w:pPr>
      <w:r>
        <w:rPr>
          <w:sz w:val="24"/>
        </w:rPr>
        <w:t>not exacerbating or prolonging the disturbance or causing a subsequent disturbance for other </w:t>
      </w:r>
      <w:r>
        <w:rPr>
          <w:i/>
          <w:sz w:val="24"/>
        </w:rPr>
        <w:t>connected plant</w:t>
      </w:r>
      <w:r>
        <w:rPr>
          <w:sz w:val="24"/>
        </w:rPr>
        <w:t>, except as required or permitted by its </w:t>
      </w:r>
      <w:r>
        <w:rPr>
          <w:i/>
          <w:sz w:val="24"/>
        </w:rPr>
        <w:t>performance</w:t>
      </w:r>
      <w:r>
        <w:rPr>
          <w:i/>
          <w:spacing w:val="-1"/>
          <w:sz w:val="24"/>
        </w:rPr>
        <w:t> </w:t>
      </w:r>
      <w:r>
        <w:rPr>
          <w:i/>
          <w:sz w:val="24"/>
        </w:rPr>
        <w:t>standards</w:t>
      </w:r>
      <w:r>
        <w:rPr>
          <w:sz w:val="24"/>
        </w:rPr>
        <w:t>,</w:t>
      </w:r>
    </w:p>
    <w:p>
      <w:pPr>
        <w:spacing w:before="120"/>
        <w:ind w:left="1352" w:right="0" w:firstLine="0"/>
        <w:jc w:val="both"/>
        <w:rPr>
          <w:sz w:val="24"/>
        </w:rPr>
      </w:pPr>
      <w:r>
        <w:rPr>
          <w:sz w:val="24"/>
        </w:rPr>
        <w:t>with all essential auxiliary and </w:t>
      </w:r>
      <w:r>
        <w:rPr>
          <w:i/>
          <w:sz w:val="24"/>
        </w:rPr>
        <w:t>reactive plant </w:t>
      </w:r>
      <w:r>
        <w:rPr>
          <w:sz w:val="24"/>
        </w:rPr>
        <w:t>remaining in service.</w:t>
      </w:r>
    </w:p>
    <w:p>
      <w:pPr>
        <w:pStyle w:val="Heading5"/>
        <w:rPr>
          <w:i/>
        </w:rPr>
      </w:pPr>
      <w:r>
        <w:rPr>
          <w:i/>
        </w:rPr>
        <w:t>control centre</w:t>
      </w:r>
    </w:p>
    <w:p>
      <w:pPr>
        <w:spacing w:before="120"/>
        <w:ind w:left="1352" w:right="416" w:firstLine="0"/>
        <w:jc w:val="both"/>
        <w:rPr>
          <w:sz w:val="24"/>
        </w:rPr>
      </w:pPr>
      <w:r>
        <w:rPr>
          <w:sz w:val="24"/>
        </w:rPr>
        <w:t>The </w:t>
      </w:r>
      <w:r>
        <w:rPr>
          <w:i/>
          <w:sz w:val="24"/>
        </w:rPr>
        <w:t>facilities </w:t>
      </w:r>
      <w:r>
        <w:rPr>
          <w:sz w:val="24"/>
        </w:rPr>
        <w:t>used by </w:t>
      </w:r>
      <w:r>
        <w:rPr>
          <w:i/>
          <w:sz w:val="24"/>
        </w:rPr>
        <w:t>NTESMO </w:t>
      </w:r>
      <w:r>
        <w:rPr>
          <w:sz w:val="24"/>
        </w:rPr>
        <w:t>for managing </w:t>
      </w:r>
      <w:r>
        <w:rPr>
          <w:i/>
          <w:sz w:val="24"/>
        </w:rPr>
        <w:t>power system security </w:t>
      </w:r>
      <w:r>
        <w:rPr>
          <w:sz w:val="24"/>
        </w:rPr>
        <w:t>and administering a </w:t>
      </w:r>
      <w:r>
        <w:rPr>
          <w:i/>
          <w:sz w:val="24"/>
        </w:rPr>
        <w:t>market</w:t>
      </w:r>
      <w:r>
        <w:rPr>
          <w:sz w:val="24"/>
        </w:rPr>
        <w:t>.</w:t>
      </w:r>
    </w:p>
    <w:p>
      <w:pPr>
        <w:pStyle w:val="Heading5"/>
        <w:rPr>
          <w:i/>
        </w:rPr>
      </w:pPr>
      <w:r>
        <w:rPr>
          <w:i/>
        </w:rPr>
        <w:t>control system</w:t>
      </w:r>
    </w:p>
    <w:p>
      <w:pPr>
        <w:spacing w:before="120"/>
        <w:ind w:left="1352" w:right="414" w:firstLine="0"/>
        <w:jc w:val="both"/>
        <w:rPr>
          <w:sz w:val="24"/>
        </w:rPr>
      </w:pPr>
      <w:r>
        <w:rPr>
          <w:sz w:val="24"/>
        </w:rPr>
        <w:t>Means of monitoring and controlling the operation of the </w:t>
      </w:r>
      <w:r>
        <w:rPr>
          <w:i/>
          <w:sz w:val="24"/>
        </w:rPr>
        <w:t>power system </w:t>
      </w:r>
      <w:r>
        <w:rPr>
          <w:sz w:val="24"/>
        </w:rPr>
        <w:t>or equipment including </w:t>
      </w:r>
      <w:r>
        <w:rPr>
          <w:i/>
          <w:sz w:val="24"/>
        </w:rPr>
        <w:t>generating units connected </w:t>
      </w:r>
      <w:r>
        <w:rPr>
          <w:sz w:val="24"/>
        </w:rPr>
        <w:t>to a </w:t>
      </w:r>
      <w:r>
        <w:rPr>
          <w:i/>
          <w:sz w:val="24"/>
        </w:rPr>
        <w:t>transmission </w:t>
      </w:r>
      <w:r>
        <w:rPr>
          <w:sz w:val="24"/>
        </w:rPr>
        <w:t>or </w:t>
      </w:r>
      <w:r>
        <w:rPr>
          <w:i/>
          <w:sz w:val="24"/>
        </w:rPr>
        <w:t>distribution </w:t>
      </w:r>
      <w:r>
        <w:rPr>
          <w:i/>
          <w:sz w:val="24"/>
        </w:rPr>
        <w:t>network</w:t>
      </w:r>
      <w:r>
        <w:rPr>
          <w:sz w:val="24"/>
        </w:rPr>
        <w:t>.</w:t>
      </w:r>
    </w:p>
    <w:p>
      <w:pPr>
        <w:pStyle w:val="Heading5"/>
        <w:rPr>
          <w:i/>
        </w:rPr>
      </w:pPr>
      <w:r>
        <w:rPr>
          <w:i/>
        </w:rPr>
        <w:t>cooling off period</w:t>
      </w:r>
    </w:p>
    <w:p>
      <w:pPr>
        <w:pStyle w:val="BodyText"/>
        <w:ind w:left="1352" w:firstLine="0"/>
      </w:pPr>
      <w:r>
        <w:rPr/>
        <w:t>Has the same meaning as in rule 47(2) of the </w:t>
      </w:r>
      <w:r>
        <w:rPr>
          <w:i/>
        </w:rPr>
        <w:t>NERR</w:t>
      </w:r>
      <w:r>
        <w:rPr/>
        <w:t>.</w:t>
      </w:r>
    </w:p>
    <w:p>
      <w:pPr>
        <w:pStyle w:val="Heading5"/>
        <w:rPr>
          <w:i/>
        </w:rPr>
      </w:pPr>
      <w:r>
        <w:rPr>
          <w:i/>
        </w:rPr>
        <w:t>Co-ordinated Universal Time (UTC)</w:t>
      </w:r>
    </w:p>
    <w:p>
      <w:pPr>
        <w:pStyle w:val="BodyText"/>
        <w:ind w:left="1352" w:right="415" w:firstLine="0"/>
      </w:pPr>
      <w:r>
        <w:rPr/>
        <w:t>The time as determined by the International Bureau of Weights and Measures and maintained under section 8AA of the </w:t>
      </w:r>
      <w:r>
        <w:rPr>
          <w:i/>
        </w:rPr>
        <w:t>National Measurement Act</w:t>
      </w:r>
      <w:r>
        <w:rPr/>
        <w:t>.</w:t>
      </w:r>
    </w:p>
    <w:p>
      <w:pPr>
        <w:pStyle w:val="Heading5"/>
        <w:rPr>
          <w:i/>
        </w:rPr>
      </w:pPr>
      <w:r>
        <w:rPr>
          <w:i/>
        </w:rPr>
        <w:t>Co-ordinating Network Service Provider</w:t>
      </w:r>
    </w:p>
    <w:p>
      <w:pPr>
        <w:spacing w:before="120"/>
        <w:ind w:left="1352" w:right="415" w:firstLine="0"/>
        <w:jc w:val="both"/>
        <w:rPr>
          <w:sz w:val="24"/>
        </w:rPr>
      </w:pPr>
      <w:r>
        <w:rPr>
          <w:sz w:val="24"/>
        </w:rPr>
        <w:t>A </w:t>
      </w:r>
      <w:r>
        <w:rPr>
          <w:i/>
          <w:sz w:val="24"/>
        </w:rPr>
        <w:t>Network Service Provider </w:t>
      </w:r>
      <w:r>
        <w:rPr>
          <w:sz w:val="24"/>
        </w:rPr>
        <w:t>appointed by multiple </w:t>
      </w:r>
      <w:r>
        <w:rPr>
          <w:i/>
          <w:sz w:val="24"/>
        </w:rPr>
        <w:t>Transmission Network Service </w:t>
      </w:r>
      <w:r>
        <w:rPr>
          <w:i/>
          <w:sz w:val="24"/>
        </w:rPr>
        <w:t>Providers </w:t>
      </w:r>
      <w:r>
        <w:rPr>
          <w:sz w:val="24"/>
        </w:rPr>
        <w:t>to allocate </w:t>
      </w:r>
      <w:r>
        <w:rPr>
          <w:i/>
          <w:sz w:val="24"/>
        </w:rPr>
        <w:t>AARR </w:t>
      </w:r>
      <w:r>
        <w:rPr>
          <w:sz w:val="24"/>
        </w:rPr>
        <w:t>in accordance with rule 6A.29.</w:t>
      </w:r>
    </w:p>
    <w:p>
      <w:pPr>
        <w:pStyle w:val="Heading5"/>
        <w:rPr>
          <w:i/>
        </w:rPr>
      </w:pPr>
      <w:r>
        <w:rPr>
          <w:i/>
        </w:rPr>
        <w:t>Cost Allocation</w:t>
      </w:r>
      <w:r>
        <w:rPr>
          <w:i/>
          <w:spacing w:val="-3"/>
        </w:rPr>
        <w:t> </w:t>
      </w:r>
      <w:r>
        <w:rPr>
          <w:i/>
        </w:rPr>
        <w:t>Guidelines</w:t>
      </w:r>
    </w:p>
    <w:p>
      <w:pPr>
        <w:spacing w:before="120"/>
        <w:ind w:left="1352" w:right="416" w:firstLine="0"/>
        <w:jc w:val="both"/>
        <w:rPr>
          <w:sz w:val="24"/>
        </w:rPr>
      </w:pPr>
      <w:r>
        <w:rPr>
          <w:sz w:val="24"/>
        </w:rPr>
        <w:t>For a </w:t>
      </w:r>
      <w:r>
        <w:rPr>
          <w:i/>
          <w:sz w:val="24"/>
        </w:rPr>
        <w:t>Transmission Network Service Provider </w:t>
      </w:r>
      <w:r>
        <w:rPr>
          <w:sz w:val="24"/>
        </w:rPr>
        <w:t>– the guidelines referred to</w:t>
      </w:r>
      <w:r>
        <w:rPr>
          <w:spacing w:val="21"/>
          <w:sz w:val="24"/>
        </w:rPr>
        <w:t> </w:t>
      </w:r>
      <w:r>
        <w:rPr>
          <w:sz w:val="24"/>
        </w:rPr>
        <w:t>in clause</w:t>
      </w:r>
      <w:r>
        <w:rPr>
          <w:spacing w:val="-2"/>
          <w:sz w:val="24"/>
        </w:rPr>
        <w:t> </w:t>
      </w:r>
      <w:r>
        <w:rPr>
          <w:sz w:val="24"/>
        </w:rPr>
        <w:t>6A.19.3.</w:t>
      </w:r>
    </w:p>
    <w:p>
      <w:pPr>
        <w:spacing w:before="120"/>
        <w:ind w:left="1352" w:right="415" w:firstLine="0"/>
        <w:jc w:val="both"/>
        <w:rPr>
          <w:sz w:val="24"/>
        </w:rPr>
      </w:pPr>
      <w:r>
        <w:rPr>
          <w:sz w:val="24"/>
        </w:rPr>
        <w:t>For a </w:t>
      </w:r>
      <w:r>
        <w:rPr>
          <w:i/>
          <w:sz w:val="24"/>
        </w:rPr>
        <w:t>Distribution Network Service Provider </w:t>
      </w:r>
      <w:r>
        <w:rPr>
          <w:sz w:val="24"/>
        </w:rPr>
        <w:t>– the guidelines referred to in clause 6.15.3.</w:t>
      </w:r>
    </w:p>
    <w:p>
      <w:pPr>
        <w:pStyle w:val="Heading5"/>
        <w:rPr>
          <w:i/>
        </w:rPr>
      </w:pPr>
      <w:r>
        <w:rPr>
          <w:i/>
        </w:rPr>
        <w:t>Cost Allocation Method</w:t>
      </w:r>
    </w:p>
    <w:p>
      <w:pPr>
        <w:spacing w:before="120"/>
        <w:ind w:left="1352" w:right="415" w:firstLine="0"/>
        <w:jc w:val="both"/>
        <w:rPr>
          <w:sz w:val="24"/>
        </w:rPr>
      </w:pPr>
      <w:r>
        <w:rPr>
          <w:sz w:val="24"/>
        </w:rPr>
        <w:t>For a </w:t>
      </w:r>
      <w:r>
        <w:rPr>
          <w:i/>
          <w:sz w:val="24"/>
        </w:rPr>
        <w:t>Distribution Network Service Provider</w:t>
      </w:r>
      <w:r>
        <w:rPr>
          <w:sz w:val="24"/>
        </w:rPr>
        <w:t>, the Cost Allocation Method approved by the </w:t>
      </w:r>
      <w:r>
        <w:rPr>
          <w:i/>
          <w:sz w:val="24"/>
        </w:rPr>
        <w:t>AER </w:t>
      </w:r>
      <w:r>
        <w:rPr>
          <w:sz w:val="24"/>
        </w:rPr>
        <w:t>for that </w:t>
      </w:r>
      <w:r>
        <w:rPr>
          <w:i/>
          <w:sz w:val="24"/>
        </w:rPr>
        <w:t>Distribution Network Service Provider </w:t>
      </w:r>
      <w:r>
        <w:rPr>
          <w:sz w:val="24"/>
        </w:rPr>
        <w:t>under clause</w:t>
      </w:r>
    </w:p>
    <w:p>
      <w:pPr>
        <w:spacing w:after="0"/>
        <w:jc w:val="both"/>
        <w:rPr>
          <w:sz w:val="24"/>
        </w:rPr>
        <w:sectPr>
          <w:pgSz w:w="11910" w:h="16840"/>
          <w:pgMar w:header="686" w:footer="637" w:top="1320" w:bottom="820" w:left="1200" w:right="1000"/>
        </w:sectPr>
      </w:pPr>
    </w:p>
    <w:p>
      <w:pPr>
        <w:pStyle w:val="BodyText"/>
        <w:spacing w:before="83"/>
        <w:ind w:left="1352" w:right="415" w:firstLine="0"/>
      </w:pPr>
      <w:r>
        <w:rPr/>
        <w:t>6.15.4(c) and (d) as amended from time to time in accordance with clause 6.15.4(f) and (g).</w:t>
      </w:r>
    </w:p>
    <w:p>
      <w:pPr>
        <w:pStyle w:val="Heading5"/>
        <w:rPr>
          <w:i/>
        </w:rPr>
      </w:pPr>
      <w:r>
        <w:rPr>
          <w:i/>
        </w:rPr>
        <w:t>Cost Allocation Methodology</w:t>
      </w:r>
    </w:p>
    <w:p>
      <w:pPr>
        <w:spacing w:before="120"/>
        <w:ind w:left="1352" w:right="414" w:firstLine="0"/>
        <w:jc w:val="both"/>
        <w:rPr>
          <w:sz w:val="24"/>
        </w:rPr>
      </w:pPr>
      <w:r>
        <w:rPr>
          <w:sz w:val="24"/>
        </w:rPr>
        <w:t>For a </w:t>
      </w:r>
      <w:r>
        <w:rPr>
          <w:i/>
          <w:sz w:val="24"/>
        </w:rPr>
        <w:t>Transmission Network Service Provider</w:t>
      </w:r>
      <w:r>
        <w:rPr>
          <w:sz w:val="24"/>
        </w:rPr>
        <w:t>, the Cost Allocation Methodology approved or taken to be approved by the </w:t>
      </w:r>
      <w:r>
        <w:rPr>
          <w:i/>
          <w:sz w:val="24"/>
        </w:rPr>
        <w:t>AER </w:t>
      </w:r>
      <w:r>
        <w:rPr>
          <w:sz w:val="24"/>
        </w:rPr>
        <w:t>for that </w:t>
      </w:r>
      <w:r>
        <w:rPr>
          <w:i/>
          <w:sz w:val="24"/>
        </w:rPr>
        <w:t>Transmission Network </w:t>
      </w:r>
      <w:r>
        <w:rPr>
          <w:i/>
          <w:sz w:val="24"/>
        </w:rPr>
        <w:t>Service Provider </w:t>
      </w:r>
      <w:r>
        <w:rPr>
          <w:sz w:val="24"/>
        </w:rPr>
        <w:t>under clauses 6A.19.4(c) and (d) as amended from time to time in accordance with clauses 6A.19.4(f) and (g).</w:t>
      </w:r>
    </w:p>
    <w:p>
      <w:pPr>
        <w:pStyle w:val="Heading5"/>
        <w:rPr>
          <w:i/>
        </w:rPr>
      </w:pPr>
      <w:r>
        <w:rPr>
          <w:i/>
        </w:rPr>
        <w:t>Cost Allocation Principles</w:t>
      </w:r>
    </w:p>
    <w:p>
      <w:pPr>
        <w:spacing w:before="120"/>
        <w:ind w:left="1352" w:right="416" w:firstLine="0"/>
        <w:jc w:val="both"/>
        <w:rPr>
          <w:sz w:val="24"/>
        </w:rPr>
      </w:pPr>
      <w:r>
        <w:rPr>
          <w:sz w:val="24"/>
        </w:rPr>
        <w:t>For a </w:t>
      </w:r>
      <w:r>
        <w:rPr>
          <w:i/>
          <w:sz w:val="24"/>
        </w:rPr>
        <w:t>Transmission Network Service Provider </w:t>
      </w:r>
      <w:r>
        <w:rPr>
          <w:sz w:val="24"/>
        </w:rPr>
        <w:t>– the principles set out in clause 6A.19.2.</w:t>
      </w:r>
    </w:p>
    <w:p>
      <w:pPr>
        <w:spacing w:before="120"/>
        <w:ind w:left="1352" w:right="416" w:firstLine="0"/>
        <w:jc w:val="both"/>
        <w:rPr>
          <w:sz w:val="24"/>
        </w:rPr>
      </w:pPr>
      <w:r>
        <w:rPr>
          <w:sz w:val="24"/>
        </w:rPr>
        <w:t>For a </w:t>
      </w:r>
      <w:r>
        <w:rPr>
          <w:i/>
          <w:sz w:val="24"/>
        </w:rPr>
        <w:t>Distribution Network Service Provider </w:t>
      </w:r>
      <w:r>
        <w:rPr>
          <w:sz w:val="24"/>
        </w:rPr>
        <w:t>– the principles set out in clause 6.15.2.</w:t>
      </w:r>
    </w:p>
    <w:p>
      <w:pPr>
        <w:pStyle w:val="Heading5"/>
        <w:ind w:left="0" w:right="2760"/>
        <w:jc w:val="right"/>
        <w:rPr>
          <w:i/>
        </w:rPr>
      </w:pPr>
      <w:r>
        <w:rPr>
          <w:i/>
        </w:rPr>
        <w:t>cost reflective network pricing methodology or CRNP methodology</w:t>
      </w:r>
    </w:p>
    <w:p>
      <w:pPr>
        <w:pStyle w:val="BodyText"/>
        <w:ind w:right="2692" w:firstLine="0"/>
        <w:jc w:val="right"/>
      </w:pPr>
      <w:r>
        <w:rPr/>
        <w:t>The cost allocation methodology set out in clause S6A.3.2.</w:t>
      </w:r>
    </w:p>
    <w:p>
      <w:pPr>
        <w:spacing w:after="0"/>
        <w:jc w:val="right"/>
        <w:sectPr>
          <w:pgSz w:w="11910" w:h="16840"/>
          <w:pgMar w:header="686" w:footer="637" w:top="1320" w:bottom="820" w:left="1200" w:right="1000"/>
        </w:sectPr>
      </w:pPr>
    </w:p>
    <w:p>
      <w:pPr>
        <w:pStyle w:val="Heading5"/>
        <w:jc w:val="left"/>
        <w:rPr>
          <w:i/>
        </w:rPr>
      </w:pPr>
      <w:r>
        <w:rPr>
          <w:i/>
        </w:rPr>
        <w:t>CPI</w:t>
      </w:r>
    </w:p>
    <w:p>
      <w:pPr>
        <w:pStyle w:val="BodyText"/>
        <w:spacing w:before="0"/>
        <w:ind w:firstLine="0"/>
        <w:jc w:val="left"/>
        <w:rPr>
          <w:b/>
          <w:i/>
          <w:sz w:val="26"/>
        </w:rPr>
      </w:pPr>
      <w:r>
        <w:rPr/>
        <w:br w:type="column"/>
      </w:r>
      <w:r>
        <w:rPr>
          <w:b/>
          <w:i/>
          <w:sz w:val="26"/>
        </w:rPr>
      </w:r>
    </w:p>
    <w:p>
      <w:pPr>
        <w:pStyle w:val="BodyText"/>
        <w:spacing w:before="217"/>
        <w:ind w:left="218" w:right="416" w:firstLine="0"/>
      </w:pPr>
      <w:r>
        <w:rPr/>
        <w:t>As at a particular time, the Consumer Price Index: All Groups Index Number, weighted average of eight capital cities published by the Australian Bureau of Statistics for the most recent quarter that precedes that particular time and for which the index referred to has been published by the Australian Bureau of Statistics as at that time. If that index ceases to be published or is substantially changed, </w:t>
      </w:r>
      <w:r>
        <w:rPr>
          <w:i/>
        </w:rPr>
        <w:t>CPI </w:t>
      </w:r>
      <w:r>
        <w:rPr/>
        <w:t>will be such other index as is determined by the </w:t>
      </w:r>
      <w:r>
        <w:rPr>
          <w:i/>
        </w:rPr>
        <w:t>AER </w:t>
      </w:r>
      <w:r>
        <w:rPr/>
        <w:t>as a suitable benchmark for recording general movements in prices.</w:t>
      </w:r>
    </w:p>
    <w:p>
      <w:pPr>
        <w:spacing w:after="0"/>
        <w:sectPr>
          <w:type w:val="continuous"/>
          <w:pgSz w:w="11910" w:h="16840"/>
          <w:pgMar w:top="1360" w:bottom="280" w:left="1200" w:right="1000"/>
          <w:cols w:num="2" w:equalWidth="0">
            <w:col w:w="659" w:space="475"/>
            <w:col w:w="8576"/>
          </w:cols>
        </w:sectPr>
      </w:pPr>
    </w:p>
    <w:p>
      <w:pPr>
        <w:pStyle w:val="Heading5"/>
        <w:rPr>
          <w:i/>
        </w:rPr>
      </w:pPr>
      <w:r>
        <w:rPr>
          <w:i/>
        </w:rPr>
        <w:t>credible contingency event</w:t>
      </w:r>
    </w:p>
    <w:p>
      <w:pPr>
        <w:pStyle w:val="BodyText"/>
        <w:ind w:left="1352" w:right="415" w:firstLine="0"/>
      </w:pPr>
      <w:r>
        <w:rPr/>
        <w:t>An event described in clause 4.2.3(b), certain examples of which are set out in schedule 5.1.</w:t>
      </w:r>
    </w:p>
    <w:p>
      <w:pPr>
        <w:pStyle w:val="Heading5"/>
        <w:rPr>
          <w:i/>
        </w:rPr>
      </w:pPr>
      <w:r>
        <w:rPr>
          <w:i/>
        </w:rPr>
        <w:t>credit support</w:t>
      </w:r>
    </w:p>
    <w:p>
      <w:pPr>
        <w:pStyle w:val="BodyText"/>
        <w:ind w:left="1352" w:right="415" w:firstLine="0"/>
      </w:pPr>
      <w:r>
        <w:rPr/>
        <w:t>For the purposes of Chapter 3—an obligation owed to </w:t>
      </w:r>
      <w:r>
        <w:rPr>
          <w:i/>
        </w:rPr>
        <w:t>AEMO </w:t>
      </w:r>
      <w:r>
        <w:rPr/>
        <w:t>by a third party supporting the obligations of a </w:t>
      </w:r>
      <w:r>
        <w:rPr>
          <w:i/>
        </w:rPr>
        <w:t>Market Participant </w:t>
      </w:r>
      <w:r>
        <w:rPr/>
        <w:t>and having the characteristics required by clause 3.3.2.</w:t>
      </w:r>
    </w:p>
    <w:p>
      <w:pPr>
        <w:pStyle w:val="BodyText"/>
        <w:ind w:left="1352" w:firstLine="0"/>
      </w:pPr>
      <w:r>
        <w:rPr/>
        <w:t>For the purposes of Chapter 6B—a security supporting the obligations of a</w:t>
      </w:r>
    </w:p>
    <w:p>
      <w:pPr>
        <w:spacing w:before="0"/>
        <w:ind w:left="1352" w:right="0" w:firstLine="0"/>
        <w:jc w:val="both"/>
        <w:rPr>
          <w:sz w:val="24"/>
        </w:rPr>
      </w:pPr>
      <w:r>
        <w:rPr>
          <w:i/>
          <w:sz w:val="24"/>
        </w:rPr>
        <w:t>retailer </w:t>
      </w:r>
      <w:r>
        <w:rPr>
          <w:sz w:val="24"/>
        </w:rPr>
        <w:t>to a </w:t>
      </w:r>
      <w:r>
        <w:rPr>
          <w:i/>
          <w:sz w:val="24"/>
        </w:rPr>
        <w:t>Distribution Network Service Provider </w:t>
      </w:r>
      <w:r>
        <w:rPr>
          <w:sz w:val="24"/>
        </w:rPr>
        <w:t>under Chapter 6B.</w:t>
      </w:r>
    </w:p>
    <w:p>
      <w:pPr>
        <w:pStyle w:val="Heading5"/>
        <w:rPr>
          <w:i/>
        </w:rPr>
      </w:pPr>
      <w:r>
        <w:rPr>
          <w:i/>
        </w:rPr>
        <w:t>credit support provider</w:t>
      </w:r>
    </w:p>
    <w:p>
      <w:pPr>
        <w:spacing w:before="120"/>
        <w:ind w:left="1352" w:right="0" w:firstLine="0"/>
        <w:jc w:val="both"/>
        <w:rPr>
          <w:sz w:val="24"/>
        </w:rPr>
      </w:pPr>
      <w:r>
        <w:rPr>
          <w:sz w:val="24"/>
        </w:rPr>
        <w:t>The issuing party that assumes obligations to </w:t>
      </w:r>
      <w:r>
        <w:rPr>
          <w:i/>
          <w:sz w:val="24"/>
        </w:rPr>
        <w:t>AEMO </w:t>
      </w:r>
      <w:r>
        <w:rPr>
          <w:sz w:val="24"/>
        </w:rPr>
        <w:t>pursuant to a </w:t>
      </w:r>
      <w:r>
        <w:rPr>
          <w:i/>
          <w:sz w:val="24"/>
        </w:rPr>
        <w:t>credit support</w:t>
      </w:r>
      <w:r>
        <w:rPr>
          <w:sz w:val="24"/>
        </w:rPr>
        <w:t>.</w:t>
      </w:r>
    </w:p>
    <w:p>
      <w:pPr>
        <w:pStyle w:val="Heading5"/>
        <w:rPr>
          <w:i/>
        </w:rPr>
      </w:pPr>
      <w:r>
        <w:rPr>
          <w:i/>
        </w:rPr>
        <w:t>cumulative price threshold</w:t>
      </w:r>
    </w:p>
    <w:p>
      <w:pPr>
        <w:spacing w:before="120"/>
        <w:ind w:left="1352" w:right="414" w:firstLine="0"/>
        <w:jc w:val="both"/>
        <w:rPr>
          <w:sz w:val="24"/>
        </w:rPr>
      </w:pPr>
      <w:r>
        <w:rPr>
          <w:sz w:val="24"/>
        </w:rPr>
        <w:t>The threshold for imposition of an </w:t>
      </w:r>
      <w:r>
        <w:rPr>
          <w:i/>
          <w:sz w:val="24"/>
        </w:rPr>
        <w:t>administered price cap </w:t>
      </w:r>
      <w:r>
        <w:rPr>
          <w:sz w:val="24"/>
        </w:rPr>
        <w:t>as defined in clause 3.14.1.</w:t>
      </w:r>
    </w:p>
    <w:p>
      <w:pPr>
        <w:pStyle w:val="Heading5"/>
        <w:rPr>
          <w:i/>
        </w:rPr>
      </w:pPr>
      <w:r>
        <w:rPr>
          <w:i/>
        </w:rPr>
        <w:t>current rating</w:t>
      </w:r>
    </w:p>
    <w:p>
      <w:pPr>
        <w:spacing w:before="120"/>
        <w:ind w:left="1352" w:right="414" w:firstLine="0"/>
        <w:jc w:val="both"/>
        <w:rPr>
          <w:sz w:val="24"/>
        </w:rPr>
      </w:pPr>
      <w:r>
        <w:rPr>
          <w:sz w:val="24"/>
        </w:rPr>
        <w:t>The maximum current that may be permitted to flow (under defined conditions) through a </w:t>
      </w:r>
      <w:r>
        <w:rPr>
          <w:i/>
          <w:sz w:val="24"/>
        </w:rPr>
        <w:t>transmission line </w:t>
      </w:r>
      <w:r>
        <w:rPr>
          <w:sz w:val="24"/>
        </w:rPr>
        <w:t>or </w:t>
      </w:r>
      <w:r>
        <w:rPr>
          <w:i/>
          <w:sz w:val="24"/>
        </w:rPr>
        <w:t>distribution line </w:t>
      </w:r>
      <w:r>
        <w:rPr>
          <w:sz w:val="24"/>
        </w:rPr>
        <w:t>or other item of equipment that forms part of a </w:t>
      </w:r>
      <w:r>
        <w:rPr>
          <w:i/>
          <w:sz w:val="24"/>
        </w:rPr>
        <w:t>power system</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current transformer (CT)</w:t>
      </w:r>
    </w:p>
    <w:p>
      <w:pPr>
        <w:pStyle w:val="BodyText"/>
        <w:ind w:left="1352" w:right="415" w:firstLine="0"/>
      </w:pPr>
      <w:r>
        <w:rPr/>
        <w:t>A </w:t>
      </w:r>
      <w:r>
        <w:rPr>
          <w:i/>
        </w:rPr>
        <w:t>transformer </w:t>
      </w:r>
      <w:r>
        <w:rPr/>
        <w:t>for use with </w:t>
      </w:r>
      <w:r>
        <w:rPr>
          <w:i/>
        </w:rPr>
        <w:t>meters </w:t>
      </w:r>
      <w:r>
        <w:rPr/>
        <w:t>and/or protection devices in which the current in the secondary winding is, within prescribed error limits, proportional to and in phase with the current in the primary winding.</w:t>
      </w:r>
    </w:p>
    <w:p>
      <w:pPr>
        <w:spacing w:after="0"/>
        <w:sectPr>
          <w:pgSz w:w="11910" w:h="16840"/>
          <w:pgMar w:header="686" w:footer="637" w:top="1320" w:bottom="820" w:left="1200" w:right="1000"/>
        </w:sectPr>
      </w:pPr>
    </w:p>
    <w:p>
      <w:pPr>
        <w:pStyle w:val="Heading5"/>
        <w:jc w:val="left"/>
        <w:rPr>
          <w:i/>
        </w:rPr>
      </w:pPr>
      <w:r>
        <w:rPr>
          <w:i/>
        </w:rPr>
        <w:t>Customer</w:t>
      </w:r>
    </w:p>
    <w:p>
      <w:pPr>
        <w:pStyle w:val="BodyText"/>
        <w:spacing w:before="0"/>
        <w:ind w:firstLine="0"/>
        <w:jc w:val="left"/>
        <w:rPr>
          <w:b/>
          <w:i/>
          <w:sz w:val="26"/>
        </w:rPr>
      </w:pPr>
      <w:r>
        <w:rPr/>
        <w:br w:type="column"/>
      </w:r>
      <w:r>
        <w:rPr>
          <w:b/>
          <w:i/>
          <w:sz w:val="26"/>
        </w:rPr>
      </w:r>
    </w:p>
    <w:p>
      <w:pPr>
        <w:pStyle w:val="BodyText"/>
        <w:spacing w:before="217"/>
        <w:ind w:left="133" w:firstLine="0"/>
        <w:jc w:val="left"/>
      </w:pPr>
      <w:r>
        <w:rPr/>
        <w:t>A person who:</w:t>
      </w:r>
    </w:p>
    <w:p>
      <w:pPr>
        <w:pStyle w:val="ListParagraph"/>
        <w:numPr>
          <w:ilvl w:val="0"/>
          <w:numId w:val="726"/>
        </w:numPr>
        <w:tabs>
          <w:tab w:pos="700" w:val="left" w:leader="none"/>
          <w:tab w:pos="701" w:val="left" w:leader="none"/>
        </w:tabs>
        <w:spacing w:line="240" w:lineRule="auto" w:before="120" w:after="0"/>
        <w:ind w:left="700" w:right="415" w:hanging="567"/>
        <w:jc w:val="left"/>
        <w:rPr>
          <w:sz w:val="24"/>
        </w:rPr>
      </w:pPr>
      <w:r>
        <w:rPr>
          <w:sz w:val="24"/>
        </w:rPr>
        <w:t>under Part 3 of the </w:t>
      </w:r>
      <w:r>
        <w:rPr>
          <w:i/>
          <w:sz w:val="24"/>
        </w:rPr>
        <w:t>Electricity Reform Act </w:t>
      </w:r>
      <w:r>
        <w:rPr>
          <w:sz w:val="24"/>
        </w:rPr>
        <w:t>(NT), holds a licence authorising the selling of electricity ;</w:t>
      </w:r>
      <w:r>
        <w:rPr>
          <w:spacing w:val="-1"/>
          <w:sz w:val="24"/>
        </w:rPr>
        <w:t> </w:t>
      </w:r>
      <w:r>
        <w:rPr>
          <w:sz w:val="24"/>
        </w:rPr>
        <w:t>but</w:t>
      </w:r>
    </w:p>
    <w:p>
      <w:pPr>
        <w:pStyle w:val="ListParagraph"/>
        <w:numPr>
          <w:ilvl w:val="0"/>
          <w:numId w:val="726"/>
        </w:numPr>
        <w:tabs>
          <w:tab w:pos="700" w:val="left" w:leader="none"/>
          <w:tab w:pos="701" w:val="left" w:leader="none"/>
        </w:tabs>
        <w:spacing w:line="240" w:lineRule="auto" w:before="120" w:after="0"/>
        <w:ind w:left="700" w:right="416" w:hanging="567"/>
        <w:jc w:val="left"/>
        <w:rPr>
          <w:sz w:val="24"/>
        </w:rPr>
      </w:pPr>
      <w:r>
        <w:rPr>
          <w:sz w:val="24"/>
        </w:rPr>
        <w:t>does not hold a licence authorising the ownership or operation of an electricity network under that</w:t>
      </w:r>
      <w:r>
        <w:rPr>
          <w:spacing w:val="-1"/>
          <w:sz w:val="24"/>
        </w:rPr>
        <w:t> </w:t>
      </w:r>
      <w:r>
        <w:rPr>
          <w:sz w:val="24"/>
        </w:rPr>
        <w:t>Part.</w:t>
      </w:r>
    </w:p>
    <w:p>
      <w:pPr>
        <w:spacing w:after="0" w:line="240" w:lineRule="auto"/>
        <w:jc w:val="left"/>
        <w:rPr>
          <w:sz w:val="24"/>
        </w:rPr>
        <w:sectPr>
          <w:type w:val="continuous"/>
          <w:pgSz w:w="11910" w:h="16840"/>
          <w:pgMar w:top="1360" w:bottom="280" w:left="1200" w:right="1000"/>
          <w:cols w:num="2" w:equalWidth="0">
            <w:col w:w="1179" w:space="40"/>
            <w:col w:w="8491"/>
          </w:cols>
        </w:sectPr>
      </w:pPr>
    </w:p>
    <w:p>
      <w:pPr>
        <w:pStyle w:val="Heading5"/>
        <w:rPr>
          <w:i/>
        </w:rPr>
      </w:pPr>
      <w:r>
        <w:rPr>
          <w:i/>
        </w:rPr>
        <w:t>customer authorised representative</w:t>
      </w:r>
    </w:p>
    <w:p>
      <w:pPr>
        <w:spacing w:before="120"/>
        <w:ind w:left="1352" w:right="414" w:firstLine="0"/>
        <w:jc w:val="both"/>
        <w:rPr>
          <w:sz w:val="24"/>
        </w:rPr>
      </w:pPr>
      <w:r>
        <w:rPr>
          <w:sz w:val="24"/>
        </w:rPr>
        <w:t>A person authorised by a </w:t>
      </w:r>
      <w:r>
        <w:rPr>
          <w:i/>
          <w:sz w:val="24"/>
        </w:rPr>
        <w:t>retail customer </w:t>
      </w:r>
      <w:r>
        <w:rPr>
          <w:sz w:val="24"/>
        </w:rPr>
        <w:t>to request and receive information under Chapter 7A on the </w:t>
      </w:r>
      <w:r>
        <w:rPr>
          <w:i/>
          <w:sz w:val="24"/>
        </w:rPr>
        <w:t>retail customer's </w:t>
      </w:r>
      <w:r>
        <w:rPr>
          <w:sz w:val="24"/>
        </w:rPr>
        <w:t>behalf.</w:t>
      </w:r>
    </w:p>
    <w:p>
      <w:pPr>
        <w:pStyle w:val="Heading5"/>
        <w:rPr>
          <w:i/>
        </w:rPr>
      </w:pPr>
      <w:r>
        <w:rPr>
          <w:i/>
        </w:rPr>
        <w:t>customer connection service</w:t>
      </w:r>
    </w:p>
    <w:p>
      <w:pPr>
        <w:pStyle w:val="BodyText"/>
        <w:ind w:left="1352" w:firstLine="0"/>
      </w:pPr>
      <w:r>
        <w:rPr/>
        <w:t>Has (in the context of Chapter 6B) the meaning given in clause 6B.A1.2.</w:t>
      </w:r>
    </w:p>
    <w:p>
      <w:pPr>
        <w:pStyle w:val="Heading5"/>
        <w:ind w:right="417"/>
      </w:pPr>
      <w:r>
        <w:rPr>
          <w:i/>
        </w:rPr>
        <w:t>Customer transmission use of system, Customer transmission use of system, Customer </w:t>
      </w:r>
      <w:r>
        <w:rPr/>
        <w:t>transmission use of system service</w:t>
      </w:r>
    </w:p>
    <w:p>
      <w:pPr>
        <w:spacing w:before="120"/>
        <w:ind w:left="1352" w:right="415" w:firstLine="0"/>
        <w:jc w:val="both"/>
        <w:rPr>
          <w:sz w:val="24"/>
        </w:rPr>
      </w:pPr>
      <w:r>
        <w:rPr>
          <w:sz w:val="24"/>
        </w:rPr>
        <w:t>A service provided to a </w:t>
      </w:r>
      <w:r>
        <w:rPr>
          <w:i/>
          <w:sz w:val="24"/>
        </w:rPr>
        <w:t>Transmission Network User </w:t>
      </w:r>
      <w:r>
        <w:rPr>
          <w:sz w:val="24"/>
        </w:rPr>
        <w:t>for use of the </w:t>
      </w:r>
      <w:r>
        <w:rPr>
          <w:i/>
          <w:sz w:val="24"/>
        </w:rPr>
        <w:t>transmission </w:t>
      </w:r>
      <w:r>
        <w:rPr>
          <w:i/>
          <w:sz w:val="24"/>
        </w:rPr>
        <w:t>network </w:t>
      </w:r>
      <w:r>
        <w:rPr>
          <w:sz w:val="24"/>
        </w:rPr>
        <w:t>for the conveyance of electricity that can be reasonably allocated to a </w:t>
      </w:r>
      <w:r>
        <w:rPr>
          <w:i/>
          <w:sz w:val="24"/>
        </w:rPr>
        <w:t>Transmission Network User </w:t>
      </w:r>
      <w:r>
        <w:rPr>
          <w:sz w:val="24"/>
        </w:rPr>
        <w:t>on a locational basis, but does not include </w:t>
      </w:r>
      <w:r>
        <w:rPr>
          <w:i/>
          <w:sz w:val="24"/>
        </w:rPr>
        <w:t>Generator </w:t>
      </w:r>
      <w:r>
        <w:rPr>
          <w:i/>
          <w:sz w:val="24"/>
        </w:rPr>
        <w:t>transmission use of system services</w:t>
      </w:r>
      <w:r>
        <w:rPr>
          <w:sz w:val="24"/>
        </w:rPr>
        <w:t>.</w:t>
      </w:r>
    </w:p>
    <w:p>
      <w:pPr>
        <w:pStyle w:val="Heading5"/>
        <w:rPr>
          <w:i/>
        </w:rPr>
      </w:pPr>
      <w:r>
        <w:rPr>
          <w:i/>
        </w:rPr>
        <w:t>date of issue</w:t>
      </w:r>
    </w:p>
    <w:p>
      <w:pPr>
        <w:pStyle w:val="BodyText"/>
        <w:ind w:left="1352" w:firstLine="0"/>
      </w:pPr>
      <w:r>
        <w:rPr/>
        <w:t>Has (in the context of Chapter 6B) the meaning given in clause 6B.A1.2.</w:t>
      </w:r>
    </w:p>
    <w:p>
      <w:pPr>
        <w:spacing w:after="0"/>
        <w:sectPr>
          <w:type w:val="continuous"/>
          <w:pgSz w:w="11910" w:h="16840"/>
          <w:pgMar w:top="1360" w:bottom="280" w:left="1200" w:right="1000"/>
        </w:sectPr>
      </w:pPr>
    </w:p>
    <w:p>
      <w:pPr>
        <w:pStyle w:val="Heading5"/>
        <w:jc w:val="left"/>
        <w:rPr>
          <w:i/>
        </w:rPr>
      </w:pPr>
      <w:r>
        <w:rPr>
          <w:i/>
        </w:rPr>
        <w:t>day</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Unless otherwise specified, the 24 hour period beginning and ending at midnight</w:t>
      </w:r>
    </w:p>
    <w:p>
      <w:pPr>
        <w:spacing w:before="0"/>
        <w:ind w:left="218" w:right="0" w:firstLine="0"/>
        <w:jc w:val="left"/>
        <w:rPr>
          <w:sz w:val="24"/>
        </w:rPr>
      </w:pPr>
      <w:r>
        <w:rPr>
          <w:i/>
          <w:sz w:val="24"/>
        </w:rPr>
        <w:t>Australian Central Standard Time</w:t>
      </w:r>
      <w:r>
        <w:rPr>
          <w:sz w:val="24"/>
        </w:rPr>
        <w:t>.</w:t>
      </w:r>
    </w:p>
    <w:p>
      <w:pPr>
        <w:spacing w:after="0"/>
        <w:jc w:val="left"/>
        <w:rPr>
          <w:sz w:val="24"/>
        </w:rPr>
        <w:sectPr>
          <w:type w:val="continuous"/>
          <w:pgSz w:w="11910" w:h="16840"/>
          <w:pgMar w:top="1360" w:bottom="280" w:left="1200" w:right="1000"/>
          <w:cols w:num="2" w:equalWidth="0">
            <w:col w:w="605" w:space="529"/>
            <w:col w:w="8576"/>
          </w:cols>
        </w:sectPr>
      </w:pPr>
    </w:p>
    <w:p>
      <w:pPr>
        <w:pStyle w:val="Heading5"/>
        <w:jc w:val="left"/>
        <w:rPr>
          <w:i/>
        </w:rPr>
      </w:pPr>
      <w:r>
        <w:rPr>
          <w:i/>
        </w:rPr>
        <w:t>declared NEM project</w:t>
      </w:r>
    </w:p>
    <w:p>
      <w:pPr>
        <w:pStyle w:val="BodyText"/>
        <w:ind w:left="1352" w:firstLine="0"/>
        <w:jc w:val="left"/>
      </w:pPr>
      <w:r>
        <w:rPr/>
        <w:t>A project determined to be a declared NEM project under clause 2.11.1(ba) or 2.11.1(bd), for which there is special treatment in the timing of cost recovery.</w:t>
      </w:r>
    </w:p>
    <w:p>
      <w:pPr>
        <w:pStyle w:val="Heading5"/>
        <w:jc w:val="left"/>
        <w:rPr>
          <w:i/>
        </w:rPr>
      </w:pPr>
      <w:r>
        <w:rPr>
          <w:i/>
        </w:rPr>
        <w:t>declared network functions</w:t>
      </w:r>
    </w:p>
    <w:p>
      <w:pPr>
        <w:spacing w:before="120"/>
        <w:ind w:left="1352" w:right="0" w:firstLine="0"/>
        <w:jc w:val="left"/>
        <w:rPr>
          <w:sz w:val="24"/>
        </w:rPr>
      </w:pPr>
      <w:r>
        <w:rPr>
          <w:sz w:val="24"/>
        </w:rPr>
        <w:t>Has the meaning given in the </w:t>
      </w:r>
      <w:r>
        <w:rPr>
          <w:i/>
          <w:sz w:val="24"/>
        </w:rPr>
        <w:t>National Electricity Law</w:t>
      </w:r>
      <w:r>
        <w:rPr>
          <w:sz w:val="24"/>
        </w:rPr>
        <w:t>.</w:t>
      </w:r>
    </w:p>
    <w:p>
      <w:pPr>
        <w:pStyle w:val="Heading5"/>
        <w:jc w:val="left"/>
        <w:rPr>
          <w:i/>
        </w:rPr>
      </w:pPr>
      <w:r>
        <w:rPr>
          <w:i/>
        </w:rPr>
        <w:t>declared shared network</w:t>
      </w:r>
    </w:p>
    <w:p>
      <w:pPr>
        <w:spacing w:before="120"/>
        <w:ind w:left="1352" w:right="0" w:firstLine="0"/>
        <w:jc w:val="left"/>
        <w:rPr>
          <w:sz w:val="24"/>
        </w:rPr>
      </w:pPr>
      <w:r>
        <w:rPr>
          <w:sz w:val="24"/>
        </w:rPr>
        <w:t>Has the meaning given in the </w:t>
      </w:r>
      <w:r>
        <w:rPr>
          <w:i/>
          <w:sz w:val="24"/>
        </w:rPr>
        <w:t>National Electricity Law</w:t>
      </w:r>
      <w:r>
        <w:rPr>
          <w:sz w:val="24"/>
        </w:rPr>
        <w:t>.</w:t>
      </w:r>
    </w:p>
    <w:p>
      <w:pPr>
        <w:pStyle w:val="Heading5"/>
        <w:jc w:val="left"/>
        <w:rPr>
          <w:i/>
        </w:rPr>
      </w:pPr>
      <w:r>
        <w:rPr>
          <w:i/>
        </w:rPr>
        <w:t>declared transmission system</w:t>
      </w:r>
    </w:p>
    <w:p>
      <w:pPr>
        <w:spacing w:before="120"/>
        <w:ind w:left="1352" w:right="0" w:firstLine="0"/>
        <w:jc w:val="left"/>
        <w:rPr>
          <w:sz w:val="24"/>
        </w:rPr>
      </w:pPr>
      <w:r>
        <w:rPr>
          <w:sz w:val="24"/>
        </w:rPr>
        <w:t>Has the meaning given in the </w:t>
      </w:r>
      <w:r>
        <w:rPr>
          <w:i/>
          <w:sz w:val="24"/>
        </w:rPr>
        <w:t>National Electricity Law</w:t>
      </w:r>
      <w:r>
        <w:rPr>
          <w:sz w:val="24"/>
        </w:rPr>
        <w:t>.</w:t>
      </w:r>
    </w:p>
    <w:p>
      <w:pPr>
        <w:pStyle w:val="Heading5"/>
        <w:jc w:val="left"/>
        <w:rPr>
          <w:i/>
        </w:rPr>
      </w:pPr>
      <w:r>
        <w:rPr>
          <w:i/>
        </w:rPr>
        <w:t>declared transmission system operator</w:t>
      </w:r>
    </w:p>
    <w:p>
      <w:pPr>
        <w:spacing w:before="120"/>
        <w:ind w:left="1352" w:right="0" w:firstLine="0"/>
        <w:jc w:val="left"/>
        <w:rPr>
          <w:sz w:val="24"/>
        </w:rPr>
      </w:pPr>
      <w:r>
        <w:rPr>
          <w:sz w:val="24"/>
        </w:rPr>
        <w:t>Has the meaning given in the </w:t>
      </w:r>
      <w:r>
        <w:rPr>
          <w:i/>
          <w:sz w:val="24"/>
        </w:rPr>
        <w:t>National Electricity Law</w:t>
      </w:r>
      <w:r>
        <w:rPr>
          <w:sz w:val="24"/>
        </w:rPr>
        <w:t>.</w:t>
      </w:r>
    </w:p>
    <w:p>
      <w:pPr>
        <w:spacing w:after="0"/>
        <w:jc w:val="left"/>
        <w:rPr>
          <w:sz w:val="24"/>
        </w:rPr>
        <w:sectPr>
          <w:type w:val="continuous"/>
          <w:pgSz w:w="11910" w:h="16840"/>
          <w:pgMar w:top="1360" w:bottom="280" w:left="1200" w:right="1000"/>
        </w:sectPr>
      </w:pPr>
    </w:p>
    <w:p>
      <w:pPr>
        <w:pStyle w:val="Heading5"/>
        <w:spacing w:before="83"/>
        <w:jc w:val="left"/>
        <w:rPr>
          <w:i/>
        </w:rPr>
      </w:pPr>
      <w:r>
        <w:rPr>
          <w:i/>
        </w:rPr>
        <w:t>decommission, decommit</w:t>
      </w:r>
    </w:p>
    <w:p>
      <w:pPr>
        <w:pStyle w:val="BodyText"/>
        <w:ind w:left="1352" w:firstLine="0"/>
        <w:jc w:val="left"/>
      </w:pPr>
      <w:r>
        <w:rPr/>
        <w:t>In respect of a </w:t>
      </w:r>
      <w:r>
        <w:rPr>
          <w:i/>
        </w:rPr>
        <w:t>generating unit</w:t>
      </w:r>
      <w:r>
        <w:rPr/>
        <w:t>, ceasing to generate and disconnecting from a</w:t>
      </w:r>
    </w:p>
    <w:p>
      <w:pPr>
        <w:spacing w:before="0"/>
        <w:ind w:left="1352" w:right="0" w:firstLine="0"/>
        <w:jc w:val="left"/>
        <w:rPr>
          <w:sz w:val="24"/>
        </w:rPr>
      </w:pPr>
      <w:r>
        <w:rPr>
          <w:i/>
          <w:sz w:val="24"/>
        </w:rPr>
        <w:t>network</w:t>
      </w:r>
      <w:r>
        <w:rPr>
          <w:sz w:val="24"/>
        </w:rPr>
        <w:t>.</w:t>
      </w:r>
    </w:p>
    <w:p>
      <w:pPr>
        <w:pStyle w:val="Heading5"/>
        <w:jc w:val="left"/>
        <w:rPr>
          <w:i/>
        </w:rPr>
      </w:pPr>
      <w:r>
        <w:rPr>
          <w:i/>
        </w:rPr>
        <w:t>dedicated connection asset</w:t>
      </w:r>
    </w:p>
    <w:p>
      <w:pPr>
        <w:pStyle w:val="BodyText"/>
        <w:ind w:left="1352" w:firstLine="0"/>
        <w:jc w:val="left"/>
      </w:pPr>
      <w:r>
        <w:rPr/>
        <w:t>The apparatus, equipment, plant and buildings that:</w:t>
      </w:r>
    </w:p>
    <w:p>
      <w:pPr>
        <w:pStyle w:val="ListParagraph"/>
        <w:numPr>
          <w:ilvl w:val="1"/>
          <w:numId w:val="726"/>
        </w:numPr>
        <w:tabs>
          <w:tab w:pos="1918" w:val="left" w:leader="none"/>
          <w:tab w:pos="1919" w:val="left" w:leader="none"/>
        </w:tabs>
        <w:spacing w:line="240" w:lineRule="auto" w:before="120" w:after="0"/>
        <w:ind w:left="1919" w:right="414" w:hanging="567"/>
        <w:jc w:val="left"/>
        <w:rPr>
          <w:sz w:val="24"/>
        </w:rPr>
      </w:pPr>
      <w:r>
        <w:rPr>
          <w:sz w:val="24"/>
        </w:rPr>
        <w:t>are used for the purpose of </w:t>
      </w:r>
      <w:r>
        <w:rPr>
          <w:i/>
          <w:sz w:val="24"/>
        </w:rPr>
        <w:t>connecting </w:t>
      </w:r>
      <w:r>
        <w:rPr>
          <w:sz w:val="24"/>
        </w:rPr>
        <w:t>an </w:t>
      </w:r>
      <w:r>
        <w:rPr>
          <w:i/>
          <w:sz w:val="24"/>
        </w:rPr>
        <w:t>identified user group </w:t>
      </w:r>
      <w:r>
        <w:rPr>
          <w:sz w:val="24"/>
        </w:rPr>
        <w:t>to an existing </w:t>
      </w:r>
      <w:r>
        <w:rPr>
          <w:i/>
          <w:sz w:val="24"/>
        </w:rPr>
        <w:t>transmission</w:t>
      </w:r>
      <w:r>
        <w:rPr>
          <w:i/>
          <w:spacing w:val="-2"/>
          <w:sz w:val="24"/>
        </w:rPr>
        <w:t> </w:t>
      </w:r>
      <w:r>
        <w:rPr>
          <w:i/>
          <w:sz w:val="24"/>
        </w:rPr>
        <w:t>network</w:t>
      </w:r>
      <w:r>
        <w:rPr>
          <w:sz w:val="24"/>
        </w:rPr>
        <w:t>;</w:t>
      </w:r>
    </w:p>
    <w:p>
      <w:pPr>
        <w:pStyle w:val="ListParagraph"/>
        <w:numPr>
          <w:ilvl w:val="1"/>
          <w:numId w:val="726"/>
        </w:numPr>
        <w:tabs>
          <w:tab w:pos="1918" w:val="left" w:leader="none"/>
          <w:tab w:pos="1919" w:val="left" w:leader="none"/>
        </w:tabs>
        <w:spacing w:line="240" w:lineRule="auto" w:before="120" w:after="0"/>
        <w:ind w:left="1918" w:right="0" w:hanging="567"/>
        <w:jc w:val="left"/>
        <w:rPr>
          <w:sz w:val="24"/>
        </w:rPr>
      </w:pPr>
      <w:r>
        <w:rPr>
          <w:sz w:val="24"/>
        </w:rPr>
        <w:t>are used exclusively by the </w:t>
      </w:r>
      <w:r>
        <w:rPr>
          <w:i/>
          <w:sz w:val="24"/>
        </w:rPr>
        <w:t>identified user</w:t>
      </w:r>
      <w:r>
        <w:rPr>
          <w:i/>
          <w:spacing w:val="-1"/>
          <w:sz w:val="24"/>
        </w:rPr>
        <w:t> </w:t>
      </w:r>
      <w:r>
        <w:rPr>
          <w:i/>
          <w:sz w:val="24"/>
        </w:rPr>
        <w:t>group</w:t>
      </w:r>
      <w:r>
        <w:rPr>
          <w:sz w:val="24"/>
        </w:rPr>
        <w:t>;</w:t>
      </w:r>
    </w:p>
    <w:p>
      <w:pPr>
        <w:pStyle w:val="ListParagraph"/>
        <w:numPr>
          <w:ilvl w:val="1"/>
          <w:numId w:val="726"/>
        </w:numPr>
        <w:tabs>
          <w:tab w:pos="1919" w:val="left" w:leader="none"/>
        </w:tabs>
        <w:spacing w:line="240" w:lineRule="auto" w:before="120" w:after="0"/>
        <w:ind w:left="1919" w:right="415" w:hanging="567"/>
        <w:jc w:val="both"/>
        <w:rPr>
          <w:sz w:val="24"/>
        </w:rPr>
      </w:pPr>
      <w:r>
        <w:rPr>
          <w:sz w:val="24"/>
        </w:rPr>
        <w:t>can be electrically isolated from the </w:t>
      </w:r>
      <w:r>
        <w:rPr>
          <w:i/>
          <w:sz w:val="24"/>
        </w:rPr>
        <w:t>transmission network </w:t>
      </w:r>
      <w:r>
        <w:rPr>
          <w:sz w:val="24"/>
        </w:rPr>
        <w:t>without affecting the provision of </w:t>
      </w:r>
      <w:r>
        <w:rPr>
          <w:i/>
          <w:sz w:val="24"/>
        </w:rPr>
        <w:t>shared transmission services </w:t>
      </w:r>
      <w:r>
        <w:rPr>
          <w:sz w:val="24"/>
        </w:rPr>
        <w:t>to persons who are not members of the </w:t>
      </w:r>
      <w:r>
        <w:rPr>
          <w:i/>
          <w:sz w:val="24"/>
        </w:rPr>
        <w:t>identified user group</w:t>
      </w:r>
      <w:r>
        <w:rPr>
          <w:sz w:val="24"/>
        </w:rPr>
        <w:t>;</w:t>
      </w:r>
      <w:r>
        <w:rPr>
          <w:spacing w:val="-1"/>
          <w:sz w:val="24"/>
        </w:rPr>
        <w:t> </w:t>
      </w:r>
      <w:r>
        <w:rPr>
          <w:sz w:val="24"/>
        </w:rPr>
        <w:t>and</w:t>
      </w:r>
    </w:p>
    <w:p>
      <w:pPr>
        <w:pStyle w:val="ListParagraph"/>
        <w:numPr>
          <w:ilvl w:val="1"/>
          <w:numId w:val="726"/>
        </w:numPr>
        <w:tabs>
          <w:tab w:pos="1919" w:val="left" w:leader="none"/>
        </w:tabs>
        <w:spacing w:line="240" w:lineRule="auto" w:before="120" w:after="0"/>
        <w:ind w:left="1918" w:right="0" w:hanging="567"/>
        <w:jc w:val="both"/>
        <w:rPr>
          <w:sz w:val="24"/>
        </w:rPr>
      </w:pPr>
      <w:r>
        <w:rPr>
          <w:sz w:val="24"/>
        </w:rPr>
        <w:t>are not:</w:t>
      </w:r>
    </w:p>
    <w:p>
      <w:pPr>
        <w:pStyle w:val="ListParagraph"/>
        <w:numPr>
          <w:ilvl w:val="2"/>
          <w:numId w:val="726"/>
        </w:numPr>
        <w:tabs>
          <w:tab w:pos="2485" w:val="left" w:leader="none"/>
          <w:tab w:pos="2486" w:val="left" w:leader="none"/>
        </w:tabs>
        <w:spacing w:line="240" w:lineRule="auto" w:before="120" w:after="0"/>
        <w:ind w:left="2485" w:right="0" w:hanging="567"/>
        <w:jc w:val="left"/>
        <w:rPr>
          <w:sz w:val="24"/>
        </w:rPr>
      </w:pPr>
      <w:r>
        <w:rPr>
          <w:i/>
          <w:sz w:val="24"/>
        </w:rPr>
        <w:t>network connection</w:t>
      </w:r>
      <w:r>
        <w:rPr>
          <w:i/>
          <w:spacing w:val="-1"/>
          <w:sz w:val="24"/>
        </w:rPr>
        <w:t> </w:t>
      </w:r>
      <w:r>
        <w:rPr>
          <w:i/>
          <w:sz w:val="24"/>
        </w:rPr>
        <w:t>assets</w:t>
      </w:r>
      <w:r>
        <w:rPr>
          <w:sz w:val="24"/>
        </w:rPr>
        <w:t>;</w:t>
      </w:r>
    </w:p>
    <w:p>
      <w:pPr>
        <w:pStyle w:val="ListParagraph"/>
        <w:numPr>
          <w:ilvl w:val="2"/>
          <w:numId w:val="726"/>
        </w:numPr>
        <w:tabs>
          <w:tab w:pos="2485" w:val="left" w:leader="none"/>
          <w:tab w:pos="2486" w:val="left" w:leader="none"/>
        </w:tabs>
        <w:spacing w:line="240" w:lineRule="auto" w:before="120" w:after="0"/>
        <w:ind w:left="2485" w:right="0" w:hanging="567"/>
        <w:jc w:val="left"/>
        <w:rPr>
          <w:sz w:val="24"/>
        </w:rPr>
      </w:pPr>
      <w:r>
        <w:rPr>
          <w:sz w:val="24"/>
        </w:rPr>
        <w:t>part of a </w:t>
      </w:r>
      <w:r>
        <w:rPr>
          <w:i/>
          <w:sz w:val="24"/>
        </w:rPr>
        <w:t>generating</w:t>
      </w:r>
      <w:r>
        <w:rPr>
          <w:i/>
          <w:spacing w:val="-1"/>
          <w:sz w:val="24"/>
        </w:rPr>
        <w:t> </w:t>
      </w:r>
      <w:r>
        <w:rPr>
          <w:i/>
          <w:sz w:val="24"/>
        </w:rPr>
        <w:t>system</w:t>
      </w:r>
      <w:r>
        <w:rPr>
          <w:sz w:val="24"/>
        </w:rPr>
        <w:t>;</w:t>
      </w:r>
    </w:p>
    <w:p>
      <w:pPr>
        <w:pStyle w:val="ListParagraph"/>
        <w:numPr>
          <w:ilvl w:val="2"/>
          <w:numId w:val="726"/>
        </w:numPr>
        <w:tabs>
          <w:tab w:pos="2485" w:val="left" w:leader="none"/>
          <w:tab w:pos="2486" w:val="left" w:leader="none"/>
        </w:tabs>
        <w:spacing w:line="240" w:lineRule="auto" w:before="120" w:after="0"/>
        <w:ind w:left="2485" w:right="0" w:hanging="567"/>
        <w:jc w:val="left"/>
        <w:rPr>
          <w:sz w:val="24"/>
        </w:rPr>
      </w:pPr>
      <w:r>
        <w:rPr>
          <w:sz w:val="24"/>
        </w:rPr>
        <w:t>part of a </w:t>
      </w:r>
      <w:r>
        <w:rPr>
          <w:i/>
          <w:sz w:val="24"/>
        </w:rPr>
        <w:t>distribution</w:t>
      </w:r>
      <w:r>
        <w:rPr>
          <w:i/>
          <w:spacing w:val="-1"/>
          <w:sz w:val="24"/>
        </w:rPr>
        <w:t> </w:t>
      </w:r>
      <w:r>
        <w:rPr>
          <w:i/>
          <w:sz w:val="24"/>
        </w:rPr>
        <w:t>system</w:t>
      </w:r>
      <w:r>
        <w:rPr>
          <w:sz w:val="24"/>
        </w:rPr>
        <w:t>;</w:t>
      </w:r>
    </w:p>
    <w:p>
      <w:pPr>
        <w:pStyle w:val="ListParagraph"/>
        <w:numPr>
          <w:ilvl w:val="2"/>
          <w:numId w:val="726"/>
        </w:numPr>
        <w:tabs>
          <w:tab w:pos="2485" w:val="left" w:leader="none"/>
          <w:tab w:pos="2486" w:val="left" w:leader="none"/>
        </w:tabs>
        <w:spacing w:line="240" w:lineRule="auto" w:before="120" w:after="0"/>
        <w:ind w:left="2486" w:right="415" w:hanging="567"/>
        <w:jc w:val="left"/>
        <w:rPr>
          <w:sz w:val="24"/>
        </w:rPr>
      </w:pPr>
      <w:r>
        <w:rPr>
          <w:sz w:val="24"/>
        </w:rPr>
        <w:t>part of a </w:t>
      </w:r>
      <w:r>
        <w:rPr>
          <w:i/>
          <w:sz w:val="24"/>
        </w:rPr>
        <w:t>transmission system </w:t>
      </w:r>
      <w:r>
        <w:rPr>
          <w:sz w:val="24"/>
        </w:rPr>
        <w:t>for which a </w:t>
      </w:r>
      <w:r>
        <w:rPr>
          <w:i/>
          <w:sz w:val="24"/>
        </w:rPr>
        <w:t>Market Network Service </w:t>
      </w:r>
      <w:r>
        <w:rPr>
          <w:i/>
          <w:sz w:val="24"/>
        </w:rPr>
        <w:t>Provider </w:t>
      </w:r>
      <w:r>
        <w:rPr>
          <w:sz w:val="24"/>
        </w:rPr>
        <w:t>is registered under Chapter</w:t>
      </w:r>
      <w:r>
        <w:rPr>
          <w:spacing w:val="-1"/>
          <w:sz w:val="24"/>
        </w:rPr>
        <w:t> </w:t>
      </w:r>
      <w:r>
        <w:rPr>
          <w:sz w:val="24"/>
        </w:rPr>
        <w:t>2;</w:t>
      </w:r>
    </w:p>
    <w:p>
      <w:pPr>
        <w:pStyle w:val="ListParagraph"/>
        <w:numPr>
          <w:ilvl w:val="2"/>
          <w:numId w:val="726"/>
        </w:numPr>
        <w:tabs>
          <w:tab w:pos="2485" w:val="left" w:leader="none"/>
          <w:tab w:pos="2486" w:val="left" w:leader="none"/>
        </w:tabs>
        <w:spacing w:line="240" w:lineRule="auto" w:before="120" w:after="0"/>
        <w:ind w:left="2485" w:right="0" w:hanging="567"/>
        <w:jc w:val="left"/>
        <w:rPr>
          <w:sz w:val="24"/>
        </w:rPr>
      </w:pPr>
      <w:r>
        <w:rPr>
          <w:sz w:val="24"/>
        </w:rPr>
        <w:t>part</w:t>
      </w:r>
      <w:r>
        <w:rPr>
          <w:spacing w:val="23"/>
          <w:sz w:val="24"/>
        </w:rPr>
        <w:t> </w:t>
      </w:r>
      <w:r>
        <w:rPr>
          <w:sz w:val="24"/>
        </w:rPr>
        <w:t>of</w:t>
      </w:r>
      <w:r>
        <w:rPr>
          <w:spacing w:val="24"/>
          <w:sz w:val="24"/>
        </w:rPr>
        <w:t> </w:t>
      </w:r>
      <w:r>
        <w:rPr>
          <w:sz w:val="24"/>
        </w:rPr>
        <w:t>a</w:t>
      </w:r>
      <w:r>
        <w:rPr>
          <w:spacing w:val="24"/>
          <w:sz w:val="24"/>
        </w:rPr>
        <w:t> </w:t>
      </w:r>
      <w:r>
        <w:rPr>
          <w:i/>
          <w:sz w:val="24"/>
        </w:rPr>
        <w:t>Transmission</w:t>
      </w:r>
      <w:r>
        <w:rPr>
          <w:i/>
          <w:spacing w:val="24"/>
          <w:sz w:val="24"/>
        </w:rPr>
        <w:t> </w:t>
      </w:r>
      <w:r>
        <w:rPr>
          <w:i/>
          <w:sz w:val="24"/>
        </w:rPr>
        <w:t>Customer's</w:t>
      </w:r>
      <w:r>
        <w:rPr>
          <w:i/>
          <w:spacing w:val="24"/>
          <w:sz w:val="24"/>
        </w:rPr>
        <w:t> </w:t>
      </w:r>
      <w:r>
        <w:rPr>
          <w:i/>
          <w:sz w:val="24"/>
        </w:rPr>
        <w:t>facility</w:t>
      </w:r>
      <w:r>
        <w:rPr>
          <w:i/>
          <w:spacing w:val="23"/>
          <w:sz w:val="24"/>
        </w:rPr>
        <w:t> </w:t>
      </w:r>
      <w:r>
        <w:rPr>
          <w:sz w:val="24"/>
        </w:rPr>
        <w:t>that</w:t>
      </w:r>
      <w:r>
        <w:rPr>
          <w:spacing w:val="24"/>
          <w:sz w:val="24"/>
        </w:rPr>
        <w:t> </w:t>
      </w:r>
      <w:r>
        <w:rPr>
          <w:sz w:val="24"/>
        </w:rPr>
        <w:t>utilises</w:t>
      </w:r>
      <w:r>
        <w:rPr>
          <w:spacing w:val="25"/>
          <w:sz w:val="24"/>
        </w:rPr>
        <w:t> </w:t>
      </w:r>
      <w:r>
        <w:rPr>
          <w:sz w:val="24"/>
        </w:rPr>
        <w:t>electrical</w:t>
      </w:r>
    </w:p>
    <w:p>
      <w:pPr>
        <w:spacing w:before="0"/>
        <w:ind w:left="2486" w:right="0" w:firstLine="0"/>
        <w:jc w:val="left"/>
        <w:rPr>
          <w:sz w:val="24"/>
        </w:rPr>
      </w:pPr>
      <w:r>
        <w:rPr>
          <w:i/>
          <w:sz w:val="24"/>
        </w:rPr>
        <w:t>energy</w:t>
      </w:r>
      <w:r>
        <w:rPr>
          <w:sz w:val="24"/>
        </w:rPr>
        <w:t>; or</w:t>
      </w:r>
    </w:p>
    <w:p>
      <w:pPr>
        <w:pStyle w:val="ListParagraph"/>
        <w:numPr>
          <w:ilvl w:val="2"/>
          <w:numId w:val="726"/>
        </w:numPr>
        <w:tabs>
          <w:tab w:pos="2485" w:val="left" w:leader="none"/>
          <w:tab w:pos="2486" w:val="left" w:leader="none"/>
        </w:tabs>
        <w:spacing w:line="240" w:lineRule="auto" w:before="120" w:after="0"/>
        <w:ind w:left="2485" w:right="0" w:hanging="567"/>
        <w:jc w:val="left"/>
        <w:rPr>
          <w:sz w:val="24"/>
        </w:rPr>
      </w:pPr>
      <w:r>
        <w:rPr>
          <w:sz w:val="24"/>
        </w:rPr>
        <w:t>part of the </w:t>
      </w:r>
      <w:r>
        <w:rPr>
          <w:i/>
          <w:sz w:val="24"/>
        </w:rPr>
        <w:t>declared transmission system </w:t>
      </w:r>
      <w:r>
        <w:rPr>
          <w:sz w:val="24"/>
        </w:rPr>
        <w:t>of an </w:t>
      </w:r>
      <w:r>
        <w:rPr>
          <w:i/>
          <w:sz w:val="24"/>
        </w:rPr>
        <w:t>adoptive</w:t>
      </w:r>
      <w:r>
        <w:rPr>
          <w:i/>
          <w:spacing w:val="-9"/>
          <w:sz w:val="24"/>
        </w:rPr>
        <w:t> </w:t>
      </w:r>
      <w:r>
        <w:rPr>
          <w:i/>
          <w:sz w:val="24"/>
        </w:rPr>
        <w:t>jurisdiction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Where a </w:t>
      </w:r>
      <w:r>
        <w:rPr>
          <w:i/>
          <w:sz w:val="20"/>
        </w:rPr>
        <w:t>Primary Transmission Network Service Provider </w:t>
      </w:r>
      <w:r>
        <w:rPr>
          <w:sz w:val="20"/>
        </w:rPr>
        <w:t>is registered in respect of a </w:t>
      </w:r>
      <w:r>
        <w:rPr>
          <w:i/>
          <w:sz w:val="20"/>
        </w:rPr>
        <w:t>dedicated </w:t>
      </w:r>
      <w:r>
        <w:rPr>
          <w:i/>
          <w:sz w:val="20"/>
        </w:rPr>
        <w:t>connection asset </w:t>
      </w:r>
      <w:r>
        <w:rPr>
          <w:sz w:val="20"/>
        </w:rPr>
        <w:t>operating at distribution </w:t>
      </w:r>
      <w:r>
        <w:rPr>
          <w:i/>
          <w:sz w:val="20"/>
        </w:rPr>
        <w:t>voltage</w:t>
      </w:r>
      <w:r>
        <w:rPr>
          <w:sz w:val="20"/>
        </w:rPr>
        <w:t>, it will not be a </w:t>
      </w:r>
      <w:r>
        <w:rPr>
          <w:i/>
          <w:sz w:val="20"/>
        </w:rPr>
        <w:t>distribution system </w:t>
      </w:r>
      <w:r>
        <w:rPr>
          <w:sz w:val="20"/>
        </w:rPr>
        <w:t>and will constitute part of its </w:t>
      </w:r>
      <w:r>
        <w:rPr>
          <w:i/>
          <w:sz w:val="20"/>
        </w:rPr>
        <w:t>transmission system </w:t>
      </w:r>
      <w:r>
        <w:rPr>
          <w:sz w:val="20"/>
        </w:rPr>
        <w:t>for which it is registered. See definitions of </w:t>
      </w:r>
      <w:r>
        <w:rPr>
          <w:i/>
          <w:sz w:val="20"/>
        </w:rPr>
        <w:t>distribution </w:t>
      </w:r>
      <w:r>
        <w:rPr>
          <w:i/>
          <w:sz w:val="20"/>
        </w:rPr>
        <w:t>system </w:t>
      </w:r>
      <w:r>
        <w:rPr>
          <w:sz w:val="20"/>
        </w:rPr>
        <w:t>and </w:t>
      </w:r>
      <w:r>
        <w:rPr>
          <w:i/>
          <w:sz w:val="20"/>
        </w:rPr>
        <w:t>transmission system</w:t>
      </w:r>
      <w:r>
        <w:rPr>
          <w:sz w:val="20"/>
        </w:rPr>
        <w:t>.</w:t>
      </w:r>
    </w:p>
    <w:p>
      <w:pPr>
        <w:pStyle w:val="Heading5"/>
        <w:rPr>
          <w:i/>
        </w:rPr>
      </w:pPr>
      <w:r>
        <w:rPr>
          <w:i/>
        </w:rPr>
        <w:t>Dedicated Connection Asset Service Provider</w:t>
      </w:r>
    </w:p>
    <w:p>
      <w:pPr>
        <w:spacing w:before="120"/>
        <w:ind w:left="1352" w:right="415" w:firstLine="0"/>
        <w:jc w:val="both"/>
        <w:rPr>
          <w:sz w:val="24"/>
        </w:rPr>
      </w:pPr>
      <w:r>
        <w:rPr>
          <w:sz w:val="24"/>
        </w:rPr>
        <w:t>A </w:t>
      </w:r>
      <w:r>
        <w:rPr>
          <w:i/>
          <w:sz w:val="24"/>
        </w:rPr>
        <w:t>Transmission Network Service Provider </w:t>
      </w:r>
      <w:r>
        <w:rPr>
          <w:sz w:val="24"/>
        </w:rPr>
        <w:t>to the extent that it owns or operates a </w:t>
      </w:r>
      <w:r>
        <w:rPr>
          <w:i/>
          <w:sz w:val="24"/>
        </w:rPr>
        <w:t>dedicated connection asset </w:t>
      </w:r>
      <w:r>
        <w:rPr>
          <w:sz w:val="24"/>
        </w:rPr>
        <w:t>in accordance with a licence under the </w:t>
      </w:r>
      <w:r>
        <w:rPr>
          <w:i/>
          <w:sz w:val="24"/>
        </w:rPr>
        <w:t>Electricity </w:t>
      </w:r>
      <w:r>
        <w:rPr>
          <w:i/>
          <w:sz w:val="24"/>
        </w:rPr>
        <w:t>Reform Act 2000 </w:t>
      </w:r>
      <w:r>
        <w:rPr>
          <w:sz w:val="24"/>
        </w:rPr>
        <w:t>(NT).</w:t>
      </w:r>
    </w:p>
    <w:p>
      <w:pPr>
        <w:pStyle w:val="Heading5"/>
        <w:rPr>
          <w:i/>
        </w:rPr>
      </w:pPr>
      <w:r>
        <w:rPr>
          <w:i/>
        </w:rPr>
        <w:t>default dispatch bid</w:t>
      </w:r>
    </w:p>
    <w:p>
      <w:pPr>
        <w:spacing w:before="120"/>
        <w:ind w:left="1352" w:right="0" w:firstLine="0"/>
        <w:jc w:val="both"/>
        <w:rPr>
          <w:sz w:val="24"/>
        </w:rPr>
      </w:pPr>
      <w:r>
        <w:rPr>
          <w:sz w:val="24"/>
        </w:rPr>
        <w:t>A </w:t>
      </w:r>
      <w:r>
        <w:rPr>
          <w:i/>
          <w:sz w:val="24"/>
        </w:rPr>
        <w:t>dispatch bid </w:t>
      </w:r>
      <w:r>
        <w:rPr>
          <w:sz w:val="24"/>
        </w:rPr>
        <w:t>made pursuant to clause 3.8.9.</w:t>
      </w:r>
    </w:p>
    <w:p>
      <w:pPr>
        <w:pStyle w:val="Heading5"/>
        <w:rPr>
          <w:i/>
        </w:rPr>
      </w:pPr>
      <w:r>
        <w:rPr>
          <w:i/>
        </w:rPr>
        <w:t>default dispatch offer</w:t>
      </w:r>
    </w:p>
    <w:p>
      <w:pPr>
        <w:spacing w:before="120"/>
        <w:ind w:left="1352" w:right="0" w:firstLine="0"/>
        <w:jc w:val="both"/>
        <w:rPr>
          <w:sz w:val="24"/>
        </w:rPr>
      </w:pPr>
      <w:r>
        <w:rPr>
          <w:sz w:val="24"/>
        </w:rPr>
        <w:t>A </w:t>
      </w:r>
      <w:r>
        <w:rPr>
          <w:i/>
          <w:sz w:val="24"/>
        </w:rPr>
        <w:t>dispatch offer </w:t>
      </w:r>
      <w:r>
        <w:rPr>
          <w:sz w:val="24"/>
        </w:rPr>
        <w:t>made pursuant to clause 3.8.9.</w:t>
      </w:r>
    </w:p>
    <w:p>
      <w:pPr>
        <w:pStyle w:val="Heading5"/>
        <w:rPr>
          <w:i/>
        </w:rPr>
      </w:pPr>
      <w:r>
        <w:rPr>
          <w:i/>
        </w:rPr>
        <w:t>default event</w:t>
      </w:r>
    </w:p>
    <w:p>
      <w:pPr>
        <w:pStyle w:val="BodyText"/>
        <w:ind w:left="1352" w:firstLine="0"/>
      </w:pPr>
      <w:r>
        <w:rPr/>
        <w:t>An event defined as such in clause 3.15.21(a).</w:t>
      </w:r>
    </w:p>
    <w:p>
      <w:pPr>
        <w:pStyle w:val="Heading5"/>
        <w:rPr>
          <w:i/>
        </w:rPr>
      </w:pPr>
      <w:r>
        <w:rPr>
          <w:i/>
        </w:rPr>
        <w:t>default notice</w:t>
      </w:r>
    </w:p>
    <w:p>
      <w:pPr>
        <w:pStyle w:val="BodyText"/>
        <w:ind w:left="1352" w:firstLine="0"/>
      </w:pPr>
      <w:r>
        <w:rPr/>
        <w:t>A notice issued by </w:t>
      </w:r>
      <w:r>
        <w:rPr>
          <w:i/>
        </w:rPr>
        <w:t>AEMO </w:t>
      </w:r>
      <w:r>
        <w:rPr/>
        <w:t>pursuant to clause 3.15.21(b)(1).</w:t>
      </w:r>
    </w:p>
    <w:p>
      <w:pPr>
        <w:pStyle w:val="Heading5"/>
        <w:rPr>
          <w:i/>
        </w:rPr>
      </w:pPr>
      <w:r>
        <w:rPr>
          <w:i/>
        </w:rPr>
        <w:t>default rate</w:t>
      </w:r>
    </w:p>
    <w:p>
      <w:pPr>
        <w:pStyle w:val="BodyText"/>
        <w:ind w:left="1352" w:firstLine="0"/>
      </w:pPr>
      <w:r>
        <w:rPr/>
        <w:t>Has (in the context of Chapter 6B) the meaning given in clause 6B.A1.2.</w:t>
      </w:r>
    </w:p>
    <w:p>
      <w:pPr>
        <w:spacing w:after="0"/>
        <w:sectPr>
          <w:pgSz w:w="11910" w:h="16840"/>
          <w:pgMar w:header="686" w:footer="637" w:top="1320" w:bottom="820" w:left="1200" w:right="1000"/>
        </w:sectPr>
      </w:pPr>
    </w:p>
    <w:p>
      <w:pPr>
        <w:pStyle w:val="Heading5"/>
        <w:spacing w:before="83"/>
        <w:rPr>
          <w:i/>
        </w:rPr>
      </w:pPr>
      <w:r>
        <w:rPr>
          <w:i/>
        </w:rPr>
        <w:t>defaulting Market Participant</w:t>
      </w:r>
    </w:p>
    <w:p>
      <w:pPr>
        <w:spacing w:before="120"/>
        <w:ind w:left="1352" w:right="0" w:firstLine="0"/>
        <w:jc w:val="both"/>
        <w:rPr>
          <w:sz w:val="24"/>
        </w:rPr>
      </w:pPr>
      <w:r>
        <w:rPr>
          <w:sz w:val="24"/>
        </w:rPr>
        <w:t>A </w:t>
      </w:r>
      <w:r>
        <w:rPr>
          <w:i/>
          <w:sz w:val="24"/>
        </w:rPr>
        <w:t>Market Participant </w:t>
      </w:r>
      <w:r>
        <w:rPr>
          <w:sz w:val="24"/>
        </w:rPr>
        <w:t>in relation to which a </w:t>
      </w:r>
      <w:r>
        <w:rPr>
          <w:i/>
          <w:sz w:val="24"/>
        </w:rPr>
        <w:t>default event </w:t>
      </w:r>
      <w:r>
        <w:rPr>
          <w:sz w:val="24"/>
        </w:rPr>
        <w:t>has occurred.</w:t>
      </w:r>
    </w:p>
    <w:p>
      <w:pPr>
        <w:pStyle w:val="Heading5"/>
        <w:rPr>
          <w:i/>
        </w:rPr>
      </w:pPr>
      <w:r>
        <w:rPr>
          <w:i/>
        </w:rPr>
        <w:t>delayed lower service</w:t>
      </w:r>
    </w:p>
    <w:p>
      <w:pPr>
        <w:spacing w:before="120"/>
        <w:ind w:left="1352" w:right="415" w:firstLine="0"/>
        <w:jc w:val="both"/>
        <w:rPr>
          <w:sz w:val="24"/>
        </w:rPr>
      </w:pPr>
      <w:r>
        <w:rPr>
          <w:sz w:val="24"/>
        </w:rPr>
        <w:t>The service of providing, in accordance with the </w:t>
      </w:r>
      <w:r>
        <w:rPr>
          <w:i/>
          <w:sz w:val="24"/>
        </w:rPr>
        <w:t>market ancillary service </w:t>
      </w:r>
      <w:r>
        <w:rPr>
          <w:i/>
          <w:sz w:val="24"/>
        </w:rPr>
        <w:t>specification</w:t>
      </w:r>
      <w:r>
        <w:rPr>
          <w:sz w:val="24"/>
        </w:rPr>
        <w:t>, the capability of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a change in the </w:t>
      </w:r>
      <w:r>
        <w:rPr>
          <w:i/>
          <w:sz w:val="24"/>
        </w:rPr>
        <w:t>frequency </w:t>
      </w:r>
      <w:r>
        <w:rPr>
          <w:sz w:val="24"/>
        </w:rPr>
        <w:t>of the </w:t>
      </w:r>
      <w:r>
        <w:rPr>
          <w:i/>
          <w:sz w:val="24"/>
        </w:rPr>
        <w:t>power system </w:t>
      </w:r>
      <w:r>
        <w:rPr>
          <w:sz w:val="24"/>
        </w:rPr>
        <w:t>beyond a threshold or in accordance with electronic signals from </w:t>
      </w:r>
      <w:r>
        <w:rPr>
          <w:i/>
          <w:sz w:val="24"/>
        </w:rPr>
        <w:t>AEMO </w:t>
      </w:r>
      <w:r>
        <w:rPr>
          <w:sz w:val="24"/>
        </w:rPr>
        <w:t>in order to lower that </w:t>
      </w:r>
      <w:r>
        <w:rPr>
          <w:i/>
          <w:sz w:val="24"/>
        </w:rPr>
        <w:t>frequency </w:t>
      </w:r>
      <w:r>
        <w:rPr>
          <w:sz w:val="24"/>
        </w:rPr>
        <w:t>to within the </w:t>
      </w:r>
      <w:r>
        <w:rPr>
          <w:i/>
          <w:sz w:val="24"/>
        </w:rPr>
        <w:t>normal operating frequency </w:t>
      </w:r>
      <w:r>
        <w:rPr>
          <w:i/>
          <w:sz w:val="24"/>
        </w:rPr>
        <w:t>band</w:t>
      </w:r>
      <w:r>
        <w:rPr>
          <w:sz w:val="24"/>
        </w:rPr>
        <w:t>.</w:t>
      </w:r>
    </w:p>
    <w:p>
      <w:pPr>
        <w:pStyle w:val="Heading5"/>
        <w:rPr>
          <w:i/>
        </w:rPr>
      </w:pPr>
      <w:r>
        <w:rPr>
          <w:i/>
        </w:rPr>
        <w:t>delayed raise service</w:t>
      </w:r>
    </w:p>
    <w:p>
      <w:pPr>
        <w:spacing w:before="120"/>
        <w:ind w:left="1352" w:right="415" w:firstLine="0"/>
        <w:jc w:val="both"/>
        <w:rPr>
          <w:sz w:val="24"/>
        </w:rPr>
      </w:pPr>
      <w:r>
        <w:rPr>
          <w:sz w:val="24"/>
        </w:rPr>
        <w:t>The service of providing, in accordance with the </w:t>
      </w:r>
      <w:r>
        <w:rPr>
          <w:i/>
          <w:sz w:val="24"/>
        </w:rPr>
        <w:t>market ancillary service </w:t>
      </w:r>
      <w:r>
        <w:rPr>
          <w:i/>
          <w:sz w:val="24"/>
        </w:rPr>
        <w:t>specification</w:t>
      </w:r>
      <w:r>
        <w:rPr>
          <w:sz w:val="24"/>
        </w:rPr>
        <w:t>, the capability of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a change in the </w:t>
      </w:r>
      <w:r>
        <w:rPr>
          <w:i/>
          <w:sz w:val="24"/>
        </w:rPr>
        <w:t>frequency </w:t>
      </w:r>
      <w:r>
        <w:rPr>
          <w:sz w:val="24"/>
        </w:rPr>
        <w:t>of the </w:t>
      </w:r>
      <w:r>
        <w:rPr>
          <w:i/>
          <w:sz w:val="24"/>
        </w:rPr>
        <w:t>power system </w:t>
      </w:r>
      <w:r>
        <w:rPr>
          <w:sz w:val="24"/>
        </w:rPr>
        <w:t>beyond a threshold or in accordance with electronic signals from </w:t>
      </w:r>
      <w:r>
        <w:rPr>
          <w:i/>
          <w:sz w:val="24"/>
        </w:rPr>
        <w:t>AEMO </w:t>
      </w:r>
      <w:r>
        <w:rPr>
          <w:sz w:val="24"/>
        </w:rPr>
        <w:t>in order to raise that </w:t>
      </w:r>
      <w:r>
        <w:rPr>
          <w:i/>
          <w:sz w:val="24"/>
        </w:rPr>
        <w:t>frequency </w:t>
      </w:r>
      <w:r>
        <w:rPr>
          <w:sz w:val="24"/>
        </w:rPr>
        <w:t>to within the </w:t>
      </w:r>
      <w:r>
        <w:rPr>
          <w:i/>
          <w:sz w:val="24"/>
        </w:rPr>
        <w:t>normal operating frequency </w:t>
      </w:r>
      <w:r>
        <w:rPr>
          <w:i/>
          <w:sz w:val="24"/>
        </w:rPr>
        <w:t>band</w:t>
      </w:r>
      <w:r>
        <w:rPr>
          <w:sz w:val="24"/>
        </w:rPr>
        <w:t>.</w:t>
      </w:r>
    </w:p>
    <w:p>
      <w:pPr>
        <w:pStyle w:val="Heading5"/>
        <w:rPr>
          <w:i/>
        </w:rPr>
      </w:pPr>
      <w:r>
        <w:rPr>
          <w:i/>
        </w:rPr>
        <w:t>delayed response capacity reserve</w:t>
      </w:r>
    </w:p>
    <w:p>
      <w:pPr>
        <w:spacing w:before="120"/>
        <w:ind w:left="1352" w:right="415" w:firstLine="0"/>
        <w:jc w:val="both"/>
        <w:rPr>
          <w:sz w:val="24"/>
        </w:rPr>
      </w:pPr>
      <w:r>
        <w:rPr>
          <w:sz w:val="24"/>
        </w:rPr>
        <w:t>That part of the </w:t>
      </w:r>
      <w:r>
        <w:rPr>
          <w:i/>
          <w:sz w:val="24"/>
        </w:rPr>
        <w:t>contingency capacity reserve </w:t>
      </w:r>
      <w:r>
        <w:rPr>
          <w:sz w:val="24"/>
        </w:rPr>
        <w:t>capable of realisation within 5 minutes of a major </w:t>
      </w:r>
      <w:r>
        <w:rPr>
          <w:i/>
          <w:sz w:val="24"/>
        </w:rPr>
        <w:t>frequency </w:t>
      </w:r>
      <w:r>
        <w:rPr>
          <w:sz w:val="24"/>
        </w:rPr>
        <w:t>decline in the </w:t>
      </w:r>
      <w:r>
        <w:rPr>
          <w:i/>
          <w:sz w:val="24"/>
        </w:rPr>
        <w:t>power system </w:t>
      </w:r>
      <w:r>
        <w:rPr>
          <w:sz w:val="24"/>
        </w:rPr>
        <w:t>as described further in the </w:t>
      </w:r>
      <w:r>
        <w:rPr>
          <w:i/>
          <w:sz w:val="24"/>
        </w:rPr>
        <w:t>power system security standards</w:t>
      </w:r>
      <w:r>
        <w:rPr>
          <w:sz w:val="24"/>
        </w:rPr>
        <w:t>.</w:t>
      </w:r>
    </w:p>
    <w:p>
      <w:pPr>
        <w:pStyle w:val="Heading5"/>
        <w:rPr>
          <w:i/>
        </w:rPr>
      </w:pPr>
      <w:r>
        <w:rPr>
          <w:i/>
        </w:rPr>
        <w:t>delayed service</w:t>
      </w:r>
    </w:p>
    <w:p>
      <w:pPr>
        <w:spacing w:before="120"/>
        <w:ind w:left="1352" w:right="0" w:firstLine="0"/>
        <w:jc w:val="both"/>
        <w:rPr>
          <w:sz w:val="24"/>
        </w:rPr>
      </w:pPr>
      <w:r>
        <w:rPr>
          <w:sz w:val="24"/>
        </w:rPr>
        <w:t>A </w:t>
      </w:r>
      <w:r>
        <w:rPr>
          <w:i/>
          <w:sz w:val="24"/>
        </w:rPr>
        <w:t>delayed raise service </w:t>
      </w:r>
      <w:r>
        <w:rPr>
          <w:sz w:val="24"/>
        </w:rPr>
        <w:t>or a </w:t>
      </w:r>
      <w:r>
        <w:rPr>
          <w:i/>
          <w:sz w:val="24"/>
        </w:rPr>
        <w:t>delayed lower service</w:t>
      </w:r>
      <w:r>
        <w:rPr>
          <w:sz w:val="24"/>
        </w:rPr>
        <w:t>.</w:t>
      </w:r>
    </w:p>
    <w:p>
      <w:pPr>
        <w:pStyle w:val="Heading5"/>
        <w:rPr>
          <w:i/>
        </w:rPr>
      </w:pPr>
      <w:r>
        <w:rPr>
          <w:i/>
        </w:rPr>
        <w:t>demand based price</w:t>
      </w:r>
    </w:p>
    <w:p>
      <w:pPr>
        <w:pStyle w:val="BodyText"/>
        <w:ind w:left="1352" w:right="415" w:firstLine="0"/>
      </w:pPr>
      <w:r>
        <w:rPr/>
        <w:t>A price expressed in dollars per kilowatt per time period or dollars per kilovolt ampere per time period.</w:t>
      </w:r>
    </w:p>
    <w:p>
      <w:pPr>
        <w:pStyle w:val="Heading5"/>
        <w:rPr>
          <w:i/>
        </w:rPr>
      </w:pPr>
      <w:r>
        <w:rPr>
          <w:i/>
        </w:rPr>
        <w:t>demand management incentive scheme</w:t>
      </w:r>
    </w:p>
    <w:p>
      <w:pPr>
        <w:spacing w:before="120"/>
        <w:ind w:left="1352" w:right="0" w:firstLine="0"/>
        <w:jc w:val="both"/>
        <w:rPr>
          <w:sz w:val="24"/>
        </w:rPr>
      </w:pPr>
      <w:r>
        <w:rPr>
          <w:sz w:val="24"/>
        </w:rPr>
        <w:t>A scheme developed and </w:t>
      </w:r>
      <w:r>
        <w:rPr>
          <w:i/>
          <w:sz w:val="24"/>
        </w:rPr>
        <w:t>published </w:t>
      </w:r>
      <w:r>
        <w:rPr>
          <w:sz w:val="24"/>
        </w:rPr>
        <w:t>by the </w:t>
      </w:r>
      <w:r>
        <w:rPr>
          <w:i/>
          <w:sz w:val="24"/>
        </w:rPr>
        <w:t>AER </w:t>
      </w:r>
      <w:r>
        <w:rPr>
          <w:sz w:val="24"/>
        </w:rPr>
        <w:t>under clause 6.6.3.</w:t>
      </w:r>
    </w:p>
    <w:p>
      <w:pPr>
        <w:pStyle w:val="Heading5"/>
        <w:rPr>
          <w:i/>
        </w:rPr>
      </w:pPr>
      <w:r>
        <w:rPr>
          <w:i/>
        </w:rPr>
        <w:t>demand management incentive scheme objective</w:t>
      </w:r>
    </w:p>
    <w:p>
      <w:pPr>
        <w:pStyle w:val="BodyText"/>
        <w:ind w:left="1352" w:firstLine="0"/>
      </w:pPr>
      <w:r>
        <w:rPr/>
        <w:t>Has the meaning given to it by clause 6.6.3(b).</w:t>
      </w:r>
    </w:p>
    <w:p>
      <w:pPr>
        <w:pStyle w:val="Heading5"/>
        <w:rPr>
          <w:i/>
        </w:rPr>
      </w:pPr>
      <w:r>
        <w:rPr>
          <w:i/>
        </w:rPr>
        <w:t>demand management innovation allowance mechanism</w:t>
      </w:r>
    </w:p>
    <w:p>
      <w:pPr>
        <w:spacing w:before="120"/>
        <w:ind w:left="1352" w:right="0" w:firstLine="0"/>
        <w:jc w:val="both"/>
        <w:rPr>
          <w:sz w:val="24"/>
        </w:rPr>
      </w:pPr>
      <w:r>
        <w:rPr>
          <w:sz w:val="24"/>
        </w:rPr>
        <w:t>A mechanism developed and </w:t>
      </w:r>
      <w:r>
        <w:rPr>
          <w:i/>
          <w:sz w:val="24"/>
        </w:rPr>
        <w:t>published </w:t>
      </w:r>
      <w:r>
        <w:rPr>
          <w:sz w:val="24"/>
        </w:rPr>
        <w:t>by the </w:t>
      </w:r>
      <w:r>
        <w:rPr>
          <w:i/>
          <w:sz w:val="24"/>
        </w:rPr>
        <w:t>AER </w:t>
      </w:r>
      <w:r>
        <w:rPr>
          <w:sz w:val="24"/>
        </w:rPr>
        <w:t>under clause 6.6.3A.</w:t>
      </w:r>
    </w:p>
    <w:p>
      <w:pPr>
        <w:pStyle w:val="Heading5"/>
        <w:rPr>
          <w:i/>
        </w:rPr>
      </w:pPr>
      <w:r>
        <w:rPr>
          <w:i/>
        </w:rPr>
        <w:t>demand management innovation allowance objective</w:t>
      </w:r>
    </w:p>
    <w:p>
      <w:pPr>
        <w:pStyle w:val="BodyText"/>
        <w:ind w:left="1352" w:firstLine="0"/>
      </w:pPr>
      <w:r>
        <w:rPr/>
        <w:t>Has the meaning given to it by clause 6.6.3A(b).</w:t>
      </w:r>
    </w:p>
    <w:p>
      <w:pPr>
        <w:pStyle w:val="Heading5"/>
        <w:rPr>
          <w:i/>
        </w:rPr>
      </w:pPr>
      <w:r>
        <w:rPr>
          <w:i/>
        </w:rPr>
        <w:t>deprival value</w:t>
      </w:r>
    </w:p>
    <w:p>
      <w:pPr>
        <w:pStyle w:val="BodyText"/>
        <w:ind w:left="1352" w:right="415" w:firstLine="0"/>
      </w:pPr>
      <w:r>
        <w:rPr/>
        <w:t>A value ascribed to assets which is the lower of economic value or optimised depreciated replacement value.</w:t>
      </w:r>
    </w:p>
    <w:p>
      <w:pPr>
        <w:pStyle w:val="Heading5"/>
        <w:rPr>
          <w:i/>
        </w:rPr>
      </w:pPr>
      <w:r>
        <w:rPr>
          <w:i/>
        </w:rPr>
        <w:t>designated pricing proposal charges</w:t>
      </w:r>
    </w:p>
    <w:p>
      <w:pPr>
        <w:pStyle w:val="BodyText"/>
        <w:ind w:left="1352" w:firstLine="0"/>
      </w:pPr>
      <w:r>
        <w:rPr/>
        <w:t>Any of the following:</w:t>
      </w:r>
    </w:p>
    <w:p>
      <w:pPr>
        <w:pStyle w:val="ListParagraph"/>
        <w:numPr>
          <w:ilvl w:val="0"/>
          <w:numId w:val="727"/>
        </w:numPr>
        <w:tabs>
          <w:tab w:pos="1919" w:val="left" w:leader="none"/>
        </w:tabs>
        <w:spacing w:line="240" w:lineRule="auto" w:before="120" w:after="0"/>
        <w:ind w:left="1918" w:right="0" w:hanging="567"/>
        <w:jc w:val="both"/>
        <w:rPr>
          <w:sz w:val="24"/>
        </w:rPr>
      </w:pPr>
      <w:r>
        <w:rPr>
          <w:sz w:val="24"/>
        </w:rPr>
        <w:t>charges for </w:t>
      </w:r>
      <w:r>
        <w:rPr>
          <w:i/>
          <w:sz w:val="24"/>
        </w:rPr>
        <w:t>designated pricing proposal</w:t>
      </w:r>
      <w:r>
        <w:rPr>
          <w:i/>
          <w:spacing w:val="-1"/>
          <w:sz w:val="24"/>
        </w:rPr>
        <w:t> </w:t>
      </w:r>
      <w:r>
        <w:rPr>
          <w:i/>
          <w:sz w:val="24"/>
        </w:rPr>
        <w:t>services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0"/>
          <w:numId w:val="727"/>
        </w:numPr>
        <w:tabs>
          <w:tab w:pos="1918" w:val="left" w:leader="none"/>
          <w:tab w:pos="1919" w:val="left" w:leader="none"/>
        </w:tabs>
        <w:spacing w:line="240" w:lineRule="auto" w:before="83" w:after="0"/>
        <w:ind w:left="1918" w:right="0" w:hanging="567"/>
        <w:jc w:val="left"/>
        <w:rPr>
          <w:sz w:val="24"/>
        </w:rPr>
      </w:pPr>
      <w:r>
        <w:rPr>
          <w:i/>
          <w:sz w:val="24"/>
        </w:rPr>
        <w:t>avoided Customer TUOS</w:t>
      </w:r>
      <w:r>
        <w:rPr>
          <w:i/>
          <w:spacing w:val="-1"/>
          <w:sz w:val="24"/>
        </w:rPr>
        <w:t> </w:t>
      </w:r>
      <w:r>
        <w:rPr>
          <w:i/>
          <w:sz w:val="24"/>
        </w:rPr>
        <w:t>charges</w:t>
      </w:r>
      <w:r>
        <w:rPr>
          <w:sz w:val="24"/>
        </w:rPr>
        <w:t>;</w:t>
      </w:r>
    </w:p>
    <w:p>
      <w:pPr>
        <w:pStyle w:val="ListParagraph"/>
        <w:numPr>
          <w:ilvl w:val="0"/>
          <w:numId w:val="727"/>
        </w:numPr>
        <w:tabs>
          <w:tab w:pos="1918" w:val="left" w:leader="none"/>
          <w:tab w:pos="1919" w:val="left" w:leader="none"/>
        </w:tabs>
        <w:spacing w:line="240" w:lineRule="auto" w:before="120" w:after="0"/>
        <w:ind w:left="1919" w:right="417" w:hanging="567"/>
        <w:jc w:val="left"/>
        <w:rPr>
          <w:sz w:val="24"/>
        </w:rPr>
      </w:pPr>
      <w:r>
        <w:rPr>
          <w:sz w:val="24"/>
        </w:rPr>
        <w:t>charges for </w:t>
      </w:r>
      <w:r>
        <w:rPr>
          <w:i/>
          <w:sz w:val="24"/>
        </w:rPr>
        <w:t>distribution services </w:t>
      </w:r>
      <w:r>
        <w:rPr>
          <w:sz w:val="24"/>
        </w:rPr>
        <w:t>provided by another </w:t>
      </w:r>
      <w:r>
        <w:rPr>
          <w:i/>
          <w:sz w:val="24"/>
        </w:rPr>
        <w:t>Distribution Network </w:t>
      </w:r>
      <w:r>
        <w:rPr>
          <w:i/>
          <w:sz w:val="24"/>
        </w:rPr>
        <w:t>Service Provider</w:t>
      </w:r>
      <w:r>
        <w:rPr>
          <w:sz w:val="24"/>
        </w:rPr>
        <w:t>, but only to the extent those charges</w:t>
      </w:r>
      <w:r>
        <w:rPr>
          <w:spacing w:val="-3"/>
          <w:sz w:val="24"/>
        </w:rPr>
        <w:t> </w:t>
      </w:r>
      <w:r>
        <w:rPr>
          <w:sz w:val="24"/>
        </w:rPr>
        <w:t>comprise:</w:t>
      </w:r>
    </w:p>
    <w:p>
      <w:pPr>
        <w:pStyle w:val="ListParagraph"/>
        <w:numPr>
          <w:ilvl w:val="1"/>
          <w:numId w:val="727"/>
        </w:numPr>
        <w:tabs>
          <w:tab w:pos="2485" w:val="left" w:leader="none"/>
          <w:tab w:pos="2486" w:val="left" w:leader="none"/>
        </w:tabs>
        <w:spacing w:line="240" w:lineRule="auto" w:before="120" w:after="0"/>
        <w:ind w:left="2485" w:right="0" w:hanging="567"/>
        <w:jc w:val="left"/>
        <w:rPr>
          <w:sz w:val="24"/>
        </w:rPr>
      </w:pPr>
      <w:r>
        <w:rPr>
          <w:sz w:val="24"/>
        </w:rPr>
        <w:t>charges</w:t>
      </w:r>
      <w:r>
        <w:rPr>
          <w:spacing w:val="43"/>
          <w:sz w:val="24"/>
        </w:rPr>
        <w:t> </w:t>
      </w:r>
      <w:r>
        <w:rPr>
          <w:sz w:val="24"/>
        </w:rPr>
        <w:t>incurred</w:t>
      </w:r>
      <w:r>
        <w:rPr>
          <w:spacing w:val="44"/>
          <w:sz w:val="24"/>
        </w:rPr>
        <w:t> </w:t>
      </w:r>
      <w:r>
        <w:rPr>
          <w:sz w:val="24"/>
        </w:rPr>
        <w:t>by</w:t>
      </w:r>
      <w:r>
        <w:rPr>
          <w:spacing w:val="44"/>
          <w:sz w:val="24"/>
        </w:rPr>
        <w:t> </w:t>
      </w:r>
      <w:r>
        <w:rPr>
          <w:sz w:val="24"/>
        </w:rPr>
        <w:t>that</w:t>
      </w:r>
      <w:r>
        <w:rPr>
          <w:spacing w:val="44"/>
          <w:sz w:val="24"/>
        </w:rPr>
        <w:t> </w:t>
      </w:r>
      <w:r>
        <w:rPr>
          <w:i/>
          <w:sz w:val="24"/>
        </w:rPr>
        <w:t>Distribution</w:t>
      </w:r>
      <w:r>
        <w:rPr>
          <w:i/>
          <w:spacing w:val="44"/>
          <w:sz w:val="24"/>
        </w:rPr>
        <w:t> </w:t>
      </w:r>
      <w:r>
        <w:rPr>
          <w:i/>
          <w:sz w:val="24"/>
        </w:rPr>
        <w:t>Network</w:t>
      </w:r>
      <w:r>
        <w:rPr>
          <w:i/>
          <w:spacing w:val="44"/>
          <w:sz w:val="24"/>
        </w:rPr>
        <w:t> </w:t>
      </w:r>
      <w:r>
        <w:rPr>
          <w:i/>
          <w:sz w:val="24"/>
        </w:rPr>
        <w:t>Service</w:t>
      </w:r>
      <w:r>
        <w:rPr>
          <w:i/>
          <w:spacing w:val="44"/>
          <w:sz w:val="24"/>
        </w:rPr>
        <w:t> </w:t>
      </w:r>
      <w:r>
        <w:rPr>
          <w:i/>
          <w:sz w:val="24"/>
        </w:rPr>
        <w:t>Provider</w:t>
      </w:r>
      <w:r>
        <w:rPr>
          <w:i/>
          <w:spacing w:val="44"/>
          <w:sz w:val="24"/>
        </w:rPr>
        <w:t> </w:t>
      </w:r>
      <w:r>
        <w:rPr>
          <w:sz w:val="24"/>
        </w:rPr>
        <w:t>for</w:t>
      </w:r>
    </w:p>
    <w:p>
      <w:pPr>
        <w:spacing w:before="0"/>
        <w:ind w:left="2486" w:right="0" w:firstLine="0"/>
        <w:jc w:val="left"/>
        <w:rPr>
          <w:sz w:val="24"/>
        </w:rPr>
      </w:pPr>
      <w:r>
        <w:rPr>
          <w:i/>
          <w:sz w:val="24"/>
        </w:rPr>
        <w:t>designated pricing proposal services</w:t>
      </w:r>
      <w:r>
        <w:rPr>
          <w:sz w:val="24"/>
        </w:rPr>
        <w:t>; or</w:t>
      </w:r>
    </w:p>
    <w:p>
      <w:pPr>
        <w:pStyle w:val="ListParagraph"/>
        <w:numPr>
          <w:ilvl w:val="1"/>
          <w:numId w:val="727"/>
        </w:numPr>
        <w:tabs>
          <w:tab w:pos="566" w:val="left" w:leader="none"/>
          <w:tab w:pos="2486" w:val="left" w:leader="none"/>
        </w:tabs>
        <w:spacing w:line="240" w:lineRule="auto" w:before="120" w:after="0"/>
        <w:ind w:left="2485" w:right="3579" w:hanging="2486"/>
        <w:jc w:val="right"/>
        <w:rPr>
          <w:sz w:val="24"/>
        </w:rPr>
      </w:pPr>
      <w:r>
        <w:rPr>
          <w:sz w:val="24"/>
        </w:rPr>
        <w:t>charges for </w:t>
      </w:r>
      <w:r>
        <w:rPr>
          <w:i/>
          <w:sz w:val="24"/>
        </w:rPr>
        <w:t>standard control</w:t>
      </w:r>
      <w:r>
        <w:rPr>
          <w:i/>
          <w:spacing w:val="-16"/>
          <w:sz w:val="24"/>
        </w:rPr>
        <w:t> </w:t>
      </w:r>
      <w:r>
        <w:rPr>
          <w:i/>
          <w:sz w:val="24"/>
        </w:rPr>
        <w:t>services</w:t>
      </w:r>
      <w:r>
        <w:rPr>
          <w:sz w:val="24"/>
        </w:rPr>
        <w:t>;</w:t>
      </w:r>
    </w:p>
    <w:p>
      <w:pPr>
        <w:pStyle w:val="ListParagraph"/>
        <w:numPr>
          <w:ilvl w:val="0"/>
          <w:numId w:val="727"/>
        </w:numPr>
        <w:tabs>
          <w:tab w:pos="566" w:val="left" w:leader="none"/>
          <w:tab w:pos="567" w:val="left" w:leader="none"/>
        </w:tabs>
        <w:spacing w:line="240" w:lineRule="auto" w:before="120" w:after="0"/>
        <w:ind w:left="1918" w:right="3547" w:hanging="1919"/>
        <w:jc w:val="right"/>
        <w:rPr>
          <w:sz w:val="24"/>
        </w:rPr>
      </w:pPr>
      <w:r>
        <w:rPr>
          <w:sz w:val="24"/>
        </w:rPr>
        <w:t>charges or payments specified in rule</w:t>
      </w:r>
      <w:r>
        <w:rPr>
          <w:spacing w:val="-5"/>
          <w:sz w:val="24"/>
        </w:rPr>
        <w:t> </w:t>
      </w:r>
      <w:r>
        <w:rPr>
          <w:sz w:val="24"/>
        </w:rPr>
        <w:t>11.39.</w:t>
      </w:r>
    </w:p>
    <w:p>
      <w:pPr>
        <w:pStyle w:val="Heading5"/>
        <w:jc w:val="left"/>
        <w:rPr>
          <w:i/>
        </w:rPr>
      </w:pPr>
      <w:r>
        <w:rPr>
          <w:i/>
        </w:rPr>
        <w:t>designated pricing proposal services</w:t>
      </w:r>
    </w:p>
    <w:p>
      <w:pPr>
        <w:pStyle w:val="BodyText"/>
        <w:ind w:left="1352" w:firstLine="0"/>
        <w:jc w:val="left"/>
      </w:pPr>
      <w:r>
        <w:rPr/>
        <w:t>Any of the following services:</w:t>
      </w:r>
    </w:p>
    <w:p>
      <w:pPr>
        <w:pStyle w:val="ListParagraph"/>
        <w:numPr>
          <w:ilvl w:val="0"/>
          <w:numId w:val="728"/>
        </w:numPr>
        <w:tabs>
          <w:tab w:pos="1918" w:val="left" w:leader="none"/>
          <w:tab w:pos="1919" w:val="left" w:leader="none"/>
        </w:tabs>
        <w:spacing w:line="240" w:lineRule="auto" w:before="120" w:after="0"/>
        <w:ind w:left="1918" w:right="0" w:hanging="567"/>
        <w:jc w:val="left"/>
        <w:rPr>
          <w:sz w:val="24"/>
        </w:rPr>
      </w:pPr>
      <w:r>
        <w:rPr>
          <w:i/>
          <w:sz w:val="24"/>
        </w:rPr>
        <w:t>prescribed exit</w:t>
      </w:r>
      <w:r>
        <w:rPr>
          <w:i/>
          <w:spacing w:val="-1"/>
          <w:sz w:val="24"/>
        </w:rPr>
        <w:t> </w:t>
      </w:r>
      <w:r>
        <w:rPr>
          <w:i/>
          <w:sz w:val="24"/>
        </w:rPr>
        <w:t>services</w:t>
      </w:r>
      <w:r>
        <w:rPr>
          <w:sz w:val="24"/>
        </w:rPr>
        <w:t>;</w:t>
      </w:r>
    </w:p>
    <w:p>
      <w:pPr>
        <w:pStyle w:val="ListParagraph"/>
        <w:numPr>
          <w:ilvl w:val="0"/>
          <w:numId w:val="728"/>
        </w:numPr>
        <w:tabs>
          <w:tab w:pos="1918" w:val="left" w:leader="none"/>
          <w:tab w:pos="1919" w:val="left" w:leader="none"/>
        </w:tabs>
        <w:spacing w:line="240" w:lineRule="auto" w:before="120" w:after="0"/>
        <w:ind w:left="1918" w:right="0" w:hanging="567"/>
        <w:jc w:val="left"/>
        <w:rPr>
          <w:sz w:val="24"/>
        </w:rPr>
      </w:pPr>
      <w:r>
        <w:rPr>
          <w:i/>
          <w:sz w:val="24"/>
        </w:rPr>
        <w:t>prescribed common transmission services</w:t>
      </w:r>
      <w:r>
        <w:rPr>
          <w:sz w:val="24"/>
        </w:rPr>
        <w:t>;</w:t>
      </w:r>
      <w:r>
        <w:rPr>
          <w:spacing w:val="-3"/>
          <w:sz w:val="24"/>
        </w:rPr>
        <w:t> </w:t>
      </w:r>
      <w:r>
        <w:rPr>
          <w:sz w:val="24"/>
        </w:rPr>
        <w:t>and</w:t>
      </w:r>
    </w:p>
    <w:p>
      <w:pPr>
        <w:pStyle w:val="ListParagraph"/>
        <w:numPr>
          <w:ilvl w:val="0"/>
          <w:numId w:val="728"/>
        </w:numPr>
        <w:tabs>
          <w:tab w:pos="1918" w:val="left" w:leader="none"/>
          <w:tab w:pos="1919" w:val="left" w:leader="none"/>
        </w:tabs>
        <w:spacing w:line="240" w:lineRule="auto" w:before="120" w:after="0"/>
        <w:ind w:left="1918" w:right="0" w:hanging="567"/>
        <w:jc w:val="left"/>
        <w:rPr>
          <w:sz w:val="24"/>
        </w:rPr>
      </w:pPr>
      <w:r>
        <w:rPr>
          <w:i/>
          <w:sz w:val="24"/>
        </w:rPr>
        <w:t>prescribed TUOS</w:t>
      </w:r>
      <w:r>
        <w:rPr>
          <w:i/>
          <w:spacing w:val="-2"/>
          <w:sz w:val="24"/>
        </w:rPr>
        <w:t> </w:t>
      </w:r>
      <w:r>
        <w:rPr>
          <w:i/>
          <w:sz w:val="24"/>
        </w:rPr>
        <w:t>services</w:t>
      </w:r>
      <w:r>
        <w:rPr>
          <w:sz w:val="24"/>
        </w:rPr>
        <w:t>.</w:t>
      </w:r>
    </w:p>
    <w:p>
      <w:pPr>
        <w:pStyle w:val="Heading5"/>
        <w:jc w:val="left"/>
        <w:rPr>
          <w:i/>
        </w:rPr>
      </w:pPr>
      <w:r>
        <w:rPr>
          <w:i/>
        </w:rPr>
        <w:t>de-synchronising / de-synchronisation</w:t>
      </w:r>
    </w:p>
    <w:p>
      <w:pPr>
        <w:spacing w:before="120"/>
        <w:ind w:left="1352" w:right="0" w:firstLine="0"/>
        <w:jc w:val="left"/>
        <w:rPr>
          <w:sz w:val="24"/>
        </w:rPr>
      </w:pPr>
      <w:r>
        <w:rPr>
          <w:sz w:val="24"/>
        </w:rPr>
        <w:t>The act of </w:t>
      </w:r>
      <w:r>
        <w:rPr>
          <w:i/>
          <w:sz w:val="24"/>
        </w:rPr>
        <w:t>disconnection </w:t>
      </w:r>
      <w:r>
        <w:rPr>
          <w:sz w:val="24"/>
        </w:rPr>
        <w:t>of a </w:t>
      </w:r>
      <w:r>
        <w:rPr>
          <w:i/>
          <w:sz w:val="24"/>
        </w:rPr>
        <w:t>generating unit </w:t>
      </w:r>
      <w:r>
        <w:rPr>
          <w:sz w:val="24"/>
        </w:rPr>
        <w:t>from the </w:t>
      </w:r>
      <w:r>
        <w:rPr>
          <w:i/>
          <w:sz w:val="24"/>
        </w:rPr>
        <w:t>connection point </w:t>
      </w:r>
      <w:r>
        <w:rPr>
          <w:sz w:val="24"/>
        </w:rPr>
        <w:t>with the</w:t>
      </w:r>
    </w:p>
    <w:p>
      <w:pPr>
        <w:spacing w:before="0"/>
        <w:ind w:left="1352" w:right="0" w:firstLine="0"/>
        <w:jc w:val="left"/>
        <w:rPr>
          <w:sz w:val="24"/>
        </w:rPr>
      </w:pPr>
      <w:r>
        <w:rPr>
          <w:i/>
          <w:sz w:val="24"/>
        </w:rPr>
        <w:t>power system</w:t>
      </w:r>
      <w:r>
        <w:rPr>
          <w:sz w:val="24"/>
        </w:rPr>
        <w:t>, normally under controlled circumstances.</w:t>
      </w:r>
    </w:p>
    <w:p>
      <w:pPr>
        <w:pStyle w:val="Heading5"/>
        <w:jc w:val="left"/>
        <w:rPr>
          <w:i/>
        </w:rPr>
      </w:pPr>
      <w:r>
        <w:rPr>
          <w:i/>
        </w:rPr>
        <w:t>direct control service</w:t>
      </w:r>
    </w:p>
    <w:p>
      <w:pPr>
        <w:pStyle w:val="BodyText"/>
        <w:ind w:left="1352" w:right="565" w:firstLine="0"/>
        <w:jc w:val="left"/>
      </w:pPr>
      <w:r>
        <w:rPr/>
        <w:t>A </w:t>
      </w:r>
      <w:r>
        <w:rPr>
          <w:i/>
        </w:rPr>
        <w:t>distribution service </w:t>
      </w:r>
      <w:r>
        <w:rPr/>
        <w:t>that is a direct control network service within the meaning of section 2B of the Law.</w:t>
      </w:r>
    </w:p>
    <w:p>
      <w:pPr>
        <w:pStyle w:val="Heading5"/>
        <w:jc w:val="left"/>
        <w:rPr>
          <w:i/>
        </w:rPr>
      </w:pPr>
      <w:r>
        <w:rPr>
          <w:i/>
        </w:rPr>
        <w:t>Directed Participant</w:t>
      </w:r>
    </w:p>
    <w:p>
      <w:pPr>
        <w:spacing w:before="120"/>
        <w:ind w:left="1352" w:right="414" w:firstLine="0"/>
        <w:jc w:val="both"/>
        <w:rPr>
          <w:i/>
          <w:sz w:val="24"/>
        </w:rPr>
      </w:pPr>
      <w:r>
        <w:rPr>
          <w:sz w:val="24"/>
        </w:rPr>
        <w:t>A </w:t>
      </w:r>
      <w:r>
        <w:rPr>
          <w:i/>
          <w:sz w:val="24"/>
        </w:rPr>
        <w:t>Scheduled Generator, Semi-Scheduled Generator, Market Generator, Market </w:t>
      </w:r>
      <w:r>
        <w:rPr>
          <w:i/>
          <w:sz w:val="24"/>
        </w:rPr>
        <w:t>Ancillary Service Provider, Scheduled Network Service Provider </w:t>
      </w:r>
      <w:r>
        <w:rPr>
          <w:sz w:val="24"/>
        </w:rPr>
        <w:t>or </w:t>
      </w:r>
      <w:r>
        <w:rPr>
          <w:i/>
          <w:sz w:val="24"/>
        </w:rPr>
        <w:t>Market </w:t>
      </w:r>
      <w:r>
        <w:rPr>
          <w:i/>
          <w:sz w:val="24"/>
        </w:rPr>
        <w:t>Customer </w:t>
      </w:r>
      <w:r>
        <w:rPr>
          <w:sz w:val="24"/>
        </w:rPr>
        <w:t>the subject of a </w:t>
      </w:r>
      <w:r>
        <w:rPr>
          <w:i/>
          <w:sz w:val="24"/>
        </w:rPr>
        <w:t>direction.</w:t>
      </w:r>
    </w:p>
    <w:p>
      <w:pPr>
        <w:pStyle w:val="Heading5"/>
        <w:jc w:val="left"/>
        <w:rPr>
          <w:i/>
        </w:rPr>
      </w:pPr>
      <w:r>
        <w:rPr>
          <w:i/>
        </w:rPr>
        <w:t>direction</w:t>
      </w:r>
    </w:p>
    <w:p>
      <w:pPr>
        <w:pStyle w:val="BodyText"/>
        <w:ind w:left="1352" w:firstLine="0"/>
        <w:jc w:val="left"/>
      </w:pPr>
      <w:r>
        <w:rPr/>
        <w:t>Has the meaning given in clause 4.8.9(a1)(1).</w:t>
      </w:r>
    </w:p>
    <w:p>
      <w:pPr>
        <w:pStyle w:val="Heading5"/>
        <w:jc w:val="left"/>
        <w:rPr>
          <w:i/>
        </w:rPr>
      </w:pPr>
      <w:r>
        <w:rPr>
          <w:i/>
        </w:rPr>
        <w:t>directional interconnector</w:t>
      </w:r>
    </w:p>
    <w:p>
      <w:pPr>
        <w:pStyle w:val="BodyText"/>
        <w:ind w:left="1352" w:firstLine="0"/>
        <w:jc w:val="left"/>
      </w:pPr>
      <w:r>
        <w:rPr/>
        <w:t>Has the meaning given in clause 3.18.1(c).</w:t>
      </w:r>
    </w:p>
    <w:p>
      <w:pPr>
        <w:spacing w:after="0"/>
        <w:jc w:val="left"/>
        <w:sectPr>
          <w:pgSz w:w="11910" w:h="16840"/>
          <w:pgMar w:header="686" w:footer="637" w:top="1320" w:bottom="820" w:left="1200" w:right="1000"/>
        </w:sectPr>
      </w:pPr>
    </w:p>
    <w:p>
      <w:pPr>
        <w:pStyle w:val="Heading5"/>
        <w:jc w:val="left"/>
        <w:rPr>
          <w:i/>
        </w:rPr>
      </w:pPr>
      <w:r>
        <w:rPr>
          <w:i/>
          <w:spacing w:val="-1"/>
        </w:rPr>
        <w:t>Disclosee</w:t>
      </w:r>
    </w:p>
    <w:p>
      <w:pPr>
        <w:pStyle w:val="BodyText"/>
        <w:spacing w:before="0"/>
        <w:ind w:firstLine="0"/>
        <w:jc w:val="left"/>
        <w:rPr>
          <w:b/>
          <w:i/>
          <w:sz w:val="26"/>
        </w:rPr>
      </w:pPr>
      <w:r>
        <w:rPr/>
        <w:br w:type="column"/>
      </w:r>
      <w:r>
        <w:rPr>
          <w:b/>
          <w:i/>
          <w:sz w:val="26"/>
        </w:rPr>
      </w:r>
    </w:p>
    <w:p>
      <w:pPr>
        <w:spacing w:before="217"/>
        <w:ind w:left="161" w:right="299" w:firstLine="0"/>
        <w:jc w:val="left"/>
        <w:rPr>
          <w:sz w:val="24"/>
        </w:rPr>
      </w:pPr>
      <w:r>
        <w:rPr>
          <w:sz w:val="24"/>
        </w:rPr>
        <w:t>In relation to a </w:t>
      </w:r>
      <w:r>
        <w:rPr>
          <w:i/>
          <w:sz w:val="24"/>
        </w:rPr>
        <w:t>Registered Participant</w:t>
      </w:r>
      <w:r>
        <w:rPr>
          <w:sz w:val="24"/>
        </w:rPr>
        <w:t>, a person to whom that </w:t>
      </w:r>
      <w:r>
        <w:rPr>
          <w:i/>
          <w:sz w:val="24"/>
        </w:rPr>
        <w:t>Registered </w:t>
      </w:r>
      <w:r>
        <w:rPr>
          <w:i/>
          <w:sz w:val="24"/>
        </w:rPr>
        <w:t>Participant </w:t>
      </w:r>
      <w:r>
        <w:rPr>
          <w:sz w:val="24"/>
        </w:rPr>
        <w:t>discloses </w:t>
      </w:r>
      <w:r>
        <w:rPr>
          <w:i/>
          <w:sz w:val="24"/>
        </w:rPr>
        <w:t>confidential information</w:t>
      </w:r>
      <w:r>
        <w:rPr>
          <w:sz w:val="24"/>
        </w:rPr>
        <w:t>.</w:t>
      </w:r>
    </w:p>
    <w:p>
      <w:pPr>
        <w:spacing w:after="0"/>
        <w:jc w:val="left"/>
        <w:rPr>
          <w:sz w:val="24"/>
        </w:rPr>
        <w:sectPr>
          <w:type w:val="continuous"/>
          <w:pgSz w:w="11910" w:h="16840"/>
          <w:pgMar w:top="1360" w:bottom="280" w:left="1200" w:right="1000"/>
          <w:cols w:num="2" w:equalWidth="0">
            <w:col w:w="1151" w:space="40"/>
            <w:col w:w="8519"/>
          </w:cols>
        </w:sectPr>
      </w:pPr>
    </w:p>
    <w:p>
      <w:pPr>
        <w:pStyle w:val="Heading5"/>
        <w:rPr>
          <w:i/>
        </w:rPr>
      </w:pPr>
      <w:r>
        <w:rPr>
          <w:i/>
        </w:rPr>
        <w:t>disconnect, disconnected, disconnection</w:t>
      </w:r>
    </w:p>
    <w:p>
      <w:pPr>
        <w:pStyle w:val="BodyText"/>
        <w:ind w:left="1352" w:right="414" w:firstLine="0"/>
      </w:pPr>
      <w:r>
        <w:rPr/>
        <w:t>The operation of switching equipment or other action so as to prevent the flow of electricity at a </w:t>
      </w:r>
      <w:r>
        <w:rPr>
          <w:i/>
        </w:rPr>
        <w:t>connection point</w:t>
      </w:r>
      <w:r>
        <w:rPr/>
        <w:t>.</w:t>
      </w:r>
    </w:p>
    <w:p>
      <w:pPr>
        <w:pStyle w:val="Heading5"/>
        <w:rPr>
          <w:i/>
        </w:rPr>
      </w:pPr>
      <w:r>
        <w:rPr>
          <w:i/>
        </w:rPr>
        <w:t>Discretionary Member</w:t>
      </w:r>
    </w:p>
    <w:p>
      <w:pPr>
        <w:pStyle w:val="BodyText"/>
        <w:ind w:left="1352" w:right="414" w:firstLine="0"/>
      </w:pPr>
      <w:r>
        <w:rPr/>
        <w:t>A person appointed as a </w:t>
      </w:r>
      <w:r>
        <w:rPr>
          <w:i/>
        </w:rPr>
        <w:t>Member </w:t>
      </w:r>
      <w:r>
        <w:rPr/>
        <w:t>by </w:t>
      </w:r>
      <w:r>
        <w:rPr>
          <w:i/>
        </w:rPr>
        <w:t>AEMO </w:t>
      </w:r>
      <w:r>
        <w:rPr/>
        <w:t>to represent a class or classes of persons who have an interest in the </w:t>
      </w:r>
      <w:r>
        <w:rPr>
          <w:i/>
        </w:rPr>
        <w:t>B2B Procedures </w:t>
      </w:r>
      <w:r>
        <w:rPr/>
        <w:t>in accordance with the </w:t>
      </w:r>
      <w:r>
        <w:rPr>
          <w:i/>
        </w:rPr>
        <w:t>Rules </w:t>
      </w:r>
      <w:r>
        <w:rPr/>
        <w:t>(including clause 7.17.10(d)).</w:t>
      </w:r>
    </w:p>
    <w:p>
      <w:pPr>
        <w:spacing w:after="0"/>
        <w:sectPr>
          <w:type w:val="continuous"/>
          <w:pgSz w:w="11910" w:h="16840"/>
          <w:pgMar w:top="1360" w:bottom="280" w:left="1200" w:right="1000"/>
        </w:sectPr>
      </w:pPr>
    </w:p>
    <w:p>
      <w:pPr>
        <w:pStyle w:val="Heading5"/>
        <w:jc w:val="left"/>
        <w:rPr>
          <w:i/>
        </w:rPr>
      </w:pPr>
      <w:r>
        <w:rPr>
          <w:i/>
        </w:rPr>
        <w:t>dispatch</w:t>
      </w:r>
    </w:p>
    <w:p>
      <w:pPr>
        <w:pStyle w:val="BodyText"/>
        <w:spacing w:before="0"/>
        <w:ind w:firstLine="0"/>
        <w:jc w:val="left"/>
        <w:rPr>
          <w:b/>
          <w:i/>
          <w:sz w:val="26"/>
        </w:rPr>
      </w:pPr>
      <w:r>
        <w:rPr/>
        <w:br w:type="column"/>
      </w:r>
      <w:r>
        <w:rPr>
          <w:b/>
          <w:i/>
          <w:sz w:val="26"/>
        </w:rPr>
      </w:r>
    </w:p>
    <w:p>
      <w:pPr>
        <w:spacing w:before="217"/>
        <w:ind w:left="218" w:right="407" w:firstLine="0"/>
        <w:jc w:val="left"/>
        <w:rPr>
          <w:sz w:val="24"/>
        </w:rPr>
      </w:pPr>
      <w:r>
        <w:rPr>
          <w:sz w:val="24"/>
        </w:rPr>
        <w:t>The act of initiating or enabling all or part of the response to an instruction issued to a </w:t>
      </w:r>
      <w:r>
        <w:rPr>
          <w:i/>
          <w:sz w:val="24"/>
        </w:rPr>
        <w:t>Generator </w:t>
      </w:r>
      <w:r>
        <w:rPr>
          <w:sz w:val="24"/>
        </w:rPr>
        <w:t>to </w:t>
      </w:r>
      <w:r>
        <w:rPr>
          <w:i/>
          <w:sz w:val="24"/>
        </w:rPr>
        <w:t>synchronise</w:t>
      </w:r>
      <w:r>
        <w:rPr>
          <w:sz w:val="24"/>
        </w:rPr>
        <w:t>, supply </w:t>
      </w:r>
      <w:r>
        <w:rPr>
          <w:i/>
          <w:sz w:val="24"/>
        </w:rPr>
        <w:t>ancillary services</w:t>
      </w:r>
      <w:r>
        <w:rPr>
          <w:sz w:val="24"/>
        </w:rPr>
        <w:t>, or supply </w:t>
      </w:r>
      <w:r>
        <w:rPr>
          <w:i/>
          <w:sz w:val="24"/>
        </w:rPr>
        <w:t>energy</w:t>
      </w:r>
      <w:r>
        <w:rPr>
          <w:sz w:val="24"/>
        </w:rPr>
        <w:t>.</w:t>
      </w:r>
    </w:p>
    <w:p>
      <w:pPr>
        <w:spacing w:after="0"/>
        <w:jc w:val="left"/>
        <w:rPr>
          <w:sz w:val="24"/>
        </w:rPr>
        <w:sectPr>
          <w:type w:val="continuous"/>
          <w:pgSz w:w="11910" w:h="16840"/>
          <w:pgMar w:top="1360" w:bottom="280" w:left="1200" w:right="1000"/>
          <w:cols w:num="2" w:equalWidth="0">
            <w:col w:w="1085" w:space="49"/>
            <w:col w:w="8576"/>
          </w:cols>
        </w:sectPr>
      </w:pPr>
    </w:p>
    <w:p>
      <w:pPr>
        <w:pStyle w:val="Heading5"/>
        <w:spacing w:before="83"/>
        <w:rPr>
          <w:i/>
        </w:rPr>
      </w:pPr>
      <w:r>
        <w:rPr>
          <w:i/>
        </w:rPr>
        <w:t>dispatch algorithm</w:t>
      </w:r>
    </w:p>
    <w:p>
      <w:pPr>
        <w:spacing w:before="120"/>
        <w:ind w:left="1352" w:right="415" w:firstLine="0"/>
        <w:jc w:val="both"/>
        <w:rPr>
          <w:sz w:val="24"/>
        </w:rPr>
      </w:pPr>
      <w:r>
        <w:rPr>
          <w:sz w:val="24"/>
        </w:rPr>
        <w:t>The algorithm used to determine </w:t>
      </w:r>
      <w:r>
        <w:rPr>
          <w:i/>
          <w:sz w:val="24"/>
        </w:rPr>
        <w:t>central dispatch </w:t>
      </w:r>
      <w:r>
        <w:rPr>
          <w:sz w:val="24"/>
        </w:rPr>
        <w:t>developed by </w:t>
      </w:r>
      <w:r>
        <w:rPr>
          <w:i/>
          <w:sz w:val="24"/>
        </w:rPr>
        <w:t>AEMO </w:t>
      </w:r>
      <w:r>
        <w:rPr>
          <w:sz w:val="24"/>
        </w:rPr>
        <w:t>in accordance with clause 3.8.1(d).</w:t>
      </w:r>
    </w:p>
    <w:p>
      <w:pPr>
        <w:pStyle w:val="Heading5"/>
        <w:rPr>
          <w:i/>
        </w:rPr>
      </w:pPr>
      <w:r>
        <w:rPr>
          <w:i/>
        </w:rPr>
        <w:t>dispatch bid</w:t>
      </w:r>
    </w:p>
    <w:p>
      <w:pPr>
        <w:spacing w:before="120"/>
        <w:ind w:left="1352" w:right="0" w:firstLine="0"/>
        <w:jc w:val="both"/>
        <w:rPr>
          <w:sz w:val="24"/>
        </w:rPr>
      </w:pPr>
      <w:r>
        <w:rPr>
          <w:sz w:val="24"/>
        </w:rPr>
        <w:t>A notice submitted by a </w:t>
      </w:r>
      <w:r>
        <w:rPr>
          <w:i/>
          <w:sz w:val="24"/>
        </w:rPr>
        <w:t>Market Participant </w:t>
      </w:r>
      <w:r>
        <w:rPr>
          <w:sz w:val="24"/>
        </w:rPr>
        <w:t>to </w:t>
      </w:r>
      <w:r>
        <w:rPr>
          <w:i/>
          <w:sz w:val="24"/>
        </w:rPr>
        <w:t>AEMO </w:t>
      </w:r>
      <w:r>
        <w:rPr>
          <w:sz w:val="24"/>
        </w:rPr>
        <w:t>relating to the </w:t>
      </w:r>
      <w:r>
        <w:rPr>
          <w:i/>
          <w:sz w:val="24"/>
        </w:rPr>
        <w:t>dispatch </w:t>
      </w:r>
      <w:r>
        <w:rPr>
          <w:sz w:val="24"/>
        </w:rPr>
        <w:t>of a</w:t>
      </w:r>
    </w:p>
    <w:p>
      <w:pPr>
        <w:spacing w:before="0"/>
        <w:ind w:left="1352" w:right="0" w:firstLine="0"/>
        <w:jc w:val="both"/>
        <w:rPr>
          <w:sz w:val="24"/>
        </w:rPr>
      </w:pPr>
      <w:r>
        <w:rPr>
          <w:i/>
          <w:sz w:val="24"/>
        </w:rPr>
        <w:t>scheduled load </w:t>
      </w:r>
      <w:r>
        <w:rPr>
          <w:sz w:val="24"/>
        </w:rPr>
        <w:t>in accordance with clause 3.8.7.</w:t>
      </w:r>
    </w:p>
    <w:p>
      <w:pPr>
        <w:pStyle w:val="Heading5"/>
        <w:rPr>
          <w:i/>
        </w:rPr>
      </w:pPr>
      <w:r>
        <w:rPr>
          <w:i/>
        </w:rPr>
        <w:t>dispatch inflexibility profile</w:t>
      </w:r>
    </w:p>
    <w:p>
      <w:pPr>
        <w:spacing w:before="120"/>
        <w:ind w:left="1352" w:right="416" w:firstLine="0"/>
        <w:jc w:val="both"/>
        <w:rPr>
          <w:sz w:val="24"/>
        </w:rPr>
      </w:pPr>
      <w:r>
        <w:rPr>
          <w:sz w:val="24"/>
        </w:rPr>
        <w:t>Data which may be provided to </w:t>
      </w:r>
      <w:r>
        <w:rPr>
          <w:i/>
          <w:sz w:val="24"/>
        </w:rPr>
        <w:t>AEMO </w:t>
      </w:r>
      <w:r>
        <w:rPr>
          <w:sz w:val="24"/>
        </w:rPr>
        <w:t>by </w:t>
      </w:r>
      <w:r>
        <w:rPr>
          <w:i/>
          <w:sz w:val="24"/>
        </w:rPr>
        <w:t>Market Participants</w:t>
      </w:r>
      <w:r>
        <w:rPr>
          <w:sz w:val="24"/>
        </w:rPr>
        <w:t>, in accordance with clause 3.8.19, to specify </w:t>
      </w:r>
      <w:r>
        <w:rPr>
          <w:i/>
          <w:sz w:val="24"/>
        </w:rPr>
        <w:t>dispatch inflexibilities </w:t>
      </w:r>
      <w:r>
        <w:rPr>
          <w:sz w:val="24"/>
        </w:rPr>
        <w:t>in respect of </w:t>
      </w:r>
      <w:r>
        <w:rPr>
          <w:i/>
          <w:sz w:val="24"/>
        </w:rPr>
        <w:t>scheduled loads </w:t>
      </w:r>
      <w:r>
        <w:rPr>
          <w:sz w:val="24"/>
        </w:rPr>
        <w:t>or </w:t>
      </w:r>
      <w:r>
        <w:rPr>
          <w:i/>
          <w:sz w:val="24"/>
        </w:rPr>
        <w:t>scheduled generating units </w:t>
      </w:r>
      <w:r>
        <w:rPr>
          <w:sz w:val="24"/>
        </w:rPr>
        <w:t>which are not </w:t>
      </w:r>
      <w:r>
        <w:rPr>
          <w:i/>
          <w:sz w:val="24"/>
        </w:rPr>
        <w:t>slow start generating</w:t>
      </w:r>
      <w:r>
        <w:rPr>
          <w:i/>
          <w:spacing w:val="-13"/>
          <w:sz w:val="24"/>
        </w:rPr>
        <w:t> </w:t>
      </w:r>
      <w:r>
        <w:rPr>
          <w:i/>
          <w:sz w:val="24"/>
        </w:rPr>
        <w:t>units</w:t>
      </w:r>
      <w:r>
        <w:rPr>
          <w:sz w:val="24"/>
        </w:rPr>
        <w:t>.</w:t>
      </w:r>
    </w:p>
    <w:p>
      <w:pPr>
        <w:pStyle w:val="Heading5"/>
        <w:rPr>
          <w:i/>
        </w:rPr>
      </w:pPr>
      <w:r>
        <w:rPr>
          <w:i/>
        </w:rPr>
        <w:t>dispatch instruction</w:t>
      </w:r>
    </w:p>
    <w:p>
      <w:pPr>
        <w:spacing w:before="120"/>
        <w:ind w:left="1352" w:right="414" w:firstLine="0"/>
        <w:jc w:val="both"/>
        <w:rPr>
          <w:sz w:val="24"/>
        </w:rPr>
      </w:pPr>
      <w:r>
        <w:rPr>
          <w:sz w:val="24"/>
        </w:rPr>
        <w:t>An instruction given to a </w:t>
      </w:r>
      <w:r>
        <w:rPr>
          <w:i/>
          <w:sz w:val="24"/>
        </w:rPr>
        <w:t>Registered Participant </w:t>
      </w:r>
      <w:r>
        <w:rPr>
          <w:sz w:val="24"/>
        </w:rPr>
        <w:t>under clauses 4.9.2,</w:t>
      </w:r>
      <w:r>
        <w:rPr>
          <w:spacing w:val="26"/>
          <w:sz w:val="24"/>
        </w:rPr>
        <w:t> </w:t>
      </w:r>
      <w:r>
        <w:rPr>
          <w:sz w:val="24"/>
        </w:rPr>
        <w:t>4.9.2A, 4.9.3, 4.9.3A, or to an </w:t>
      </w:r>
      <w:r>
        <w:rPr>
          <w:i/>
          <w:sz w:val="24"/>
        </w:rPr>
        <w:t>NMAS provider </w:t>
      </w:r>
      <w:r>
        <w:rPr>
          <w:sz w:val="24"/>
        </w:rPr>
        <w:t>under clause</w:t>
      </w:r>
      <w:r>
        <w:rPr>
          <w:spacing w:val="-2"/>
          <w:sz w:val="24"/>
        </w:rPr>
        <w:t> </w:t>
      </w:r>
      <w:r>
        <w:rPr>
          <w:sz w:val="24"/>
        </w:rPr>
        <w:t>4.9.3A.</w:t>
      </w:r>
    </w:p>
    <w:p>
      <w:pPr>
        <w:pStyle w:val="Heading5"/>
        <w:rPr>
          <w:i/>
        </w:rPr>
      </w:pPr>
      <w:r>
        <w:rPr>
          <w:i/>
        </w:rPr>
        <w:t>dispatch interval</w:t>
      </w:r>
    </w:p>
    <w:p>
      <w:pPr>
        <w:pStyle w:val="BodyText"/>
        <w:ind w:left="1352" w:right="415" w:firstLine="0"/>
      </w:pPr>
      <w:r>
        <w:rPr/>
        <w:t>A period defined in clause 3.8.21(a1) in which the </w:t>
      </w:r>
      <w:r>
        <w:rPr>
          <w:i/>
        </w:rPr>
        <w:t>dispatch algorithm </w:t>
      </w:r>
      <w:r>
        <w:rPr/>
        <w:t>is run in accordance with clause 3.8.21(b).</w:t>
      </w:r>
    </w:p>
    <w:p>
      <w:pPr>
        <w:pStyle w:val="Heading5"/>
        <w:rPr>
          <w:i/>
        </w:rPr>
      </w:pPr>
      <w:r>
        <w:rPr>
          <w:i/>
        </w:rPr>
        <w:t>dispatch level</w:t>
      </w:r>
    </w:p>
    <w:p>
      <w:pPr>
        <w:pStyle w:val="BodyText"/>
        <w:ind w:left="1352" w:firstLine="0"/>
        <w:jc w:val="left"/>
      </w:pPr>
      <w:r>
        <w:rPr/>
        <w:t>Means:</w:t>
      </w:r>
    </w:p>
    <w:p>
      <w:pPr>
        <w:pStyle w:val="ListParagraph"/>
        <w:numPr>
          <w:ilvl w:val="0"/>
          <w:numId w:val="729"/>
        </w:numPr>
        <w:tabs>
          <w:tab w:pos="1919" w:val="left" w:leader="none"/>
        </w:tabs>
        <w:spacing w:line="240" w:lineRule="auto" w:before="120" w:after="0"/>
        <w:ind w:left="1919" w:right="415" w:hanging="567"/>
        <w:jc w:val="both"/>
        <w:rPr>
          <w:sz w:val="24"/>
        </w:rPr>
      </w:pPr>
      <w:r>
        <w:rPr>
          <w:sz w:val="24"/>
        </w:rPr>
        <w:t>for a </w:t>
      </w:r>
      <w:r>
        <w:rPr>
          <w:i/>
          <w:sz w:val="24"/>
        </w:rPr>
        <w:t>semi-dispatch interval</w:t>
      </w:r>
      <w:r>
        <w:rPr>
          <w:sz w:val="24"/>
        </w:rPr>
        <w:t>, the amount of electricity specified in a </w:t>
      </w:r>
      <w:r>
        <w:rPr>
          <w:i/>
          <w:sz w:val="24"/>
        </w:rPr>
        <w:t>dispatch </w:t>
      </w:r>
      <w:r>
        <w:rPr>
          <w:i/>
          <w:sz w:val="24"/>
        </w:rPr>
        <w:t>instruction </w:t>
      </w:r>
      <w:r>
        <w:rPr>
          <w:sz w:val="24"/>
        </w:rPr>
        <w:t>as the </w:t>
      </w:r>
      <w:r>
        <w:rPr>
          <w:i/>
          <w:sz w:val="24"/>
        </w:rPr>
        <w:t>semi-scheduled generating unit's </w:t>
      </w:r>
      <w:r>
        <w:rPr>
          <w:sz w:val="24"/>
        </w:rPr>
        <w:t>maximum permissible </w:t>
      </w:r>
      <w:r>
        <w:rPr>
          <w:i/>
          <w:sz w:val="24"/>
        </w:rPr>
        <w:t>active power </w:t>
      </w:r>
      <w:r>
        <w:rPr>
          <w:sz w:val="24"/>
        </w:rPr>
        <w:t>at the end of the </w:t>
      </w:r>
      <w:r>
        <w:rPr>
          <w:i/>
          <w:sz w:val="24"/>
        </w:rPr>
        <w:t>dispatch interval </w:t>
      </w:r>
      <w:r>
        <w:rPr>
          <w:sz w:val="24"/>
        </w:rPr>
        <w:t>specified in the </w:t>
      </w:r>
      <w:r>
        <w:rPr>
          <w:i/>
          <w:sz w:val="24"/>
        </w:rPr>
        <w:t>dispatch </w:t>
      </w:r>
      <w:r>
        <w:rPr>
          <w:i/>
          <w:sz w:val="24"/>
        </w:rPr>
        <w:t>instruction</w:t>
      </w:r>
      <w:r>
        <w:rPr>
          <w:sz w:val="24"/>
        </w:rPr>
        <w:t>;</w:t>
      </w:r>
      <w:r>
        <w:rPr>
          <w:spacing w:val="-1"/>
          <w:sz w:val="24"/>
        </w:rPr>
        <w:t> </w:t>
      </w:r>
      <w:r>
        <w:rPr>
          <w:sz w:val="24"/>
        </w:rPr>
        <w:t>and</w:t>
      </w:r>
    </w:p>
    <w:p>
      <w:pPr>
        <w:pStyle w:val="ListParagraph"/>
        <w:numPr>
          <w:ilvl w:val="0"/>
          <w:numId w:val="729"/>
        </w:numPr>
        <w:tabs>
          <w:tab w:pos="1919" w:val="left" w:leader="none"/>
        </w:tabs>
        <w:spacing w:line="240" w:lineRule="auto" w:before="120" w:after="0"/>
        <w:ind w:left="1919" w:right="416" w:hanging="567"/>
        <w:jc w:val="both"/>
        <w:rPr>
          <w:sz w:val="24"/>
        </w:rPr>
      </w:pPr>
      <w:r>
        <w:rPr>
          <w:sz w:val="24"/>
        </w:rPr>
        <w:t>for a </w:t>
      </w:r>
      <w:r>
        <w:rPr>
          <w:i/>
          <w:sz w:val="24"/>
        </w:rPr>
        <w:t>non semi-dispatch interval</w:t>
      </w:r>
      <w:r>
        <w:rPr>
          <w:sz w:val="24"/>
        </w:rPr>
        <w:t>, an estimate of the </w:t>
      </w:r>
      <w:r>
        <w:rPr>
          <w:i/>
          <w:sz w:val="24"/>
        </w:rPr>
        <w:t>active power </w:t>
      </w:r>
      <w:r>
        <w:rPr>
          <w:sz w:val="24"/>
        </w:rPr>
        <w:t>at the end of the </w:t>
      </w:r>
      <w:r>
        <w:rPr>
          <w:i/>
          <w:sz w:val="24"/>
        </w:rPr>
        <w:t>dispatch interval </w:t>
      </w:r>
      <w:r>
        <w:rPr>
          <w:sz w:val="24"/>
        </w:rPr>
        <w:t>specified in the </w:t>
      </w:r>
      <w:r>
        <w:rPr>
          <w:i/>
          <w:sz w:val="24"/>
        </w:rPr>
        <w:t>dispatch</w:t>
      </w:r>
      <w:r>
        <w:rPr>
          <w:i/>
          <w:spacing w:val="-4"/>
          <w:sz w:val="24"/>
        </w:rPr>
        <w:t> </w:t>
      </w:r>
      <w:r>
        <w:rPr>
          <w:i/>
          <w:sz w:val="24"/>
        </w:rPr>
        <w:t>instruction</w:t>
      </w:r>
      <w:r>
        <w:rPr>
          <w:sz w:val="24"/>
        </w:rPr>
        <w:t>.</w:t>
      </w:r>
    </w:p>
    <w:p>
      <w:pPr>
        <w:pStyle w:val="Heading5"/>
        <w:rPr>
          <w:i/>
        </w:rPr>
      </w:pPr>
      <w:r>
        <w:rPr>
          <w:i/>
        </w:rPr>
        <w:t>dispatch offer</w:t>
      </w:r>
    </w:p>
    <w:p>
      <w:pPr>
        <w:spacing w:before="120"/>
        <w:ind w:left="1352" w:right="0" w:firstLine="0"/>
        <w:jc w:val="both"/>
        <w:rPr>
          <w:sz w:val="24"/>
        </w:rPr>
      </w:pPr>
      <w:r>
        <w:rPr>
          <w:sz w:val="24"/>
        </w:rPr>
        <w:t>A </w:t>
      </w:r>
      <w:r>
        <w:rPr>
          <w:i/>
          <w:sz w:val="24"/>
        </w:rPr>
        <w:t>generation dispatch offer </w:t>
      </w:r>
      <w:r>
        <w:rPr>
          <w:sz w:val="24"/>
        </w:rPr>
        <w:t>or a </w:t>
      </w:r>
      <w:r>
        <w:rPr>
          <w:i/>
          <w:sz w:val="24"/>
        </w:rPr>
        <w:t>network dispatch offer</w:t>
      </w:r>
      <w:r>
        <w:rPr>
          <w:sz w:val="24"/>
        </w:rPr>
        <w:t>.</w:t>
      </w:r>
    </w:p>
    <w:p>
      <w:pPr>
        <w:pStyle w:val="Heading5"/>
        <w:rPr>
          <w:i/>
        </w:rPr>
      </w:pPr>
      <w:r>
        <w:rPr>
          <w:i/>
        </w:rPr>
        <w:t>dispatch offer price</w:t>
      </w:r>
    </w:p>
    <w:p>
      <w:pPr>
        <w:spacing w:before="120"/>
        <w:ind w:left="1352" w:right="415" w:firstLine="0"/>
        <w:jc w:val="both"/>
        <w:rPr>
          <w:sz w:val="24"/>
        </w:rPr>
      </w:pPr>
      <w:r>
        <w:rPr>
          <w:sz w:val="24"/>
        </w:rPr>
        <w:t>The price submitted by a </w:t>
      </w:r>
      <w:r>
        <w:rPr>
          <w:i/>
          <w:sz w:val="24"/>
        </w:rPr>
        <w:t>Scheduled Generator</w:t>
      </w:r>
      <w:r>
        <w:rPr>
          <w:sz w:val="24"/>
        </w:rPr>
        <w:t>, </w:t>
      </w:r>
      <w:r>
        <w:rPr>
          <w:i/>
          <w:sz w:val="24"/>
        </w:rPr>
        <w:t>Semi-Scheduled Generator </w:t>
      </w:r>
      <w:r>
        <w:rPr>
          <w:sz w:val="24"/>
        </w:rPr>
        <w:t>or a </w:t>
      </w:r>
      <w:r>
        <w:rPr>
          <w:i/>
          <w:sz w:val="24"/>
        </w:rPr>
        <w:t>Scheduled Network Service Provider </w:t>
      </w:r>
      <w:r>
        <w:rPr>
          <w:sz w:val="24"/>
        </w:rPr>
        <w:t>for a </w:t>
      </w:r>
      <w:r>
        <w:rPr>
          <w:i/>
          <w:sz w:val="24"/>
        </w:rPr>
        <w:t>price band </w:t>
      </w:r>
      <w:r>
        <w:rPr>
          <w:sz w:val="24"/>
        </w:rPr>
        <w:t>and a </w:t>
      </w:r>
      <w:r>
        <w:rPr>
          <w:i/>
          <w:sz w:val="24"/>
        </w:rPr>
        <w:t>trading interval </w:t>
      </w:r>
      <w:r>
        <w:rPr>
          <w:sz w:val="24"/>
        </w:rPr>
        <w:t>in a </w:t>
      </w:r>
      <w:r>
        <w:rPr>
          <w:i/>
          <w:sz w:val="24"/>
        </w:rPr>
        <w:t>dispatch offer</w:t>
      </w:r>
      <w:r>
        <w:rPr>
          <w:sz w:val="24"/>
        </w:rPr>
        <w:t>.</w:t>
      </w:r>
    </w:p>
    <w:p>
      <w:pPr>
        <w:pStyle w:val="Heading5"/>
        <w:rPr>
          <w:i/>
        </w:rPr>
      </w:pPr>
      <w:r>
        <w:rPr>
          <w:i/>
        </w:rPr>
        <w:t>dispatch price</w:t>
      </w:r>
    </w:p>
    <w:p>
      <w:pPr>
        <w:spacing w:before="120"/>
        <w:ind w:left="1352" w:right="0" w:firstLine="0"/>
        <w:jc w:val="both"/>
        <w:rPr>
          <w:i/>
          <w:sz w:val="24"/>
        </w:rPr>
      </w:pPr>
      <w:r>
        <w:rPr>
          <w:sz w:val="24"/>
        </w:rPr>
        <w:t>The price determined for each </w:t>
      </w:r>
      <w:r>
        <w:rPr>
          <w:i/>
          <w:sz w:val="24"/>
        </w:rPr>
        <w:t>regional reference node </w:t>
      </w:r>
      <w:r>
        <w:rPr>
          <w:sz w:val="24"/>
        </w:rPr>
        <w:t>by the </w:t>
      </w:r>
      <w:r>
        <w:rPr>
          <w:i/>
          <w:sz w:val="24"/>
        </w:rPr>
        <w:t>dispatch algorithm</w:t>
      </w:r>
    </w:p>
    <w:p>
      <w:pPr>
        <w:pStyle w:val="BodyText"/>
        <w:spacing w:before="0"/>
        <w:ind w:left="1352" w:firstLine="0"/>
      </w:pPr>
      <w:r>
        <w:rPr/>
        <w:t>each time it is run by </w:t>
      </w:r>
      <w:r>
        <w:rPr>
          <w:i/>
        </w:rPr>
        <w:t>AEMO</w:t>
      </w:r>
      <w:r>
        <w:rPr/>
        <w:t>.</w:t>
      </w:r>
    </w:p>
    <w:p>
      <w:pPr>
        <w:pStyle w:val="Heading5"/>
        <w:rPr>
          <w:i/>
        </w:rPr>
      </w:pPr>
      <w:r>
        <w:rPr>
          <w:i/>
        </w:rPr>
        <w:t>dispatchable unit identifier</w:t>
      </w:r>
    </w:p>
    <w:p>
      <w:pPr>
        <w:spacing w:before="120"/>
        <w:ind w:left="1352" w:right="415" w:firstLine="0"/>
        <w:jc w:val="both"/>
        <w:rPr>
          <w:sz w:val="24"/>
        </w:rPr>
      </w:pPr>
      <w:r>
        <w:rPr>
          <w:sz w:val="24"/>
        </w:rPr>
        <w:t>An unique reference label allocated by </w:t>
      </w:r>
      <w:r>
        <w:rPr>
          <w:i/>
          <w:sz w:val="24"/>
        </w:rPr>
        <w:t>AEMO </w:t>
      </w:r>
      <w:r>
        <w:rPr>
          <w:sz w:val="24"/>
        </w:rPr>
        <w:t>for each </w:t>
      </w:r>
      <w:r>
        <w:rPr>
          <w:i/>
          <w:sz w:val="24"/>
        </w:rPr>
        <w:t>scheduled generating unit</w:t>
      </w:r>
      <w:r>
        <w:rPr>
          <w:sz w:val="24"/>
        </w:rPr>
        <w:t>, </w:t>
      </w:r>
      <w:r>
        <w:rPr>
          <w:i/>
          <w:sz w:val="24"/>
        </w:rPr>
        <w:t>semi-scheduled generating unit</w:t>
      </w:r>
      <w:r>
        <w:rPr>
          <w:sz w:val="24"/>
        </w:rPr>
        <w:t>, </w:t>
      </w:r>
      <w:r>
        <w:rPr>
          <w:i/>
          <w:sz w:val="24"/>
        </w:rPr>
        <w:t>scheduled load</w:t>
      </w:r>
      <w:r>
        <w:rPr>
          <w:sz w:val="24"/>
        </w:rPr>
        <w:t>, and </w:t>
      </w:r>
      <w:r>
        <w:rPr>
          <w:i/>
          <w:sz w:val="24"/>
        </w:rPr>
        <w:t>scheduled network service</w:t>
      </w:r>
      <w:r>
        <w:rPr>
          <w:sz w:val="24"/>
        </w:rPr>
        <w:t>.</w:t>
      </w:r>
    </w:p>
    <w:p>
      <w:pPr>
        <w:pStyle w:val="Heading5"/>
        <w:rPr>
          <w:i/>
        </w:rPr>
      </w:pPr>
      <w:r>
        <w:rPr>
          <w:i/>
        </w:rPr>
        <w:t>dispatched generating unit</w:t>
      </w:r>
    </w:p>
    <w:p>
      <w:pPr>
        <w:spacing w:before="120"/>
        <w:ind w:left="1352" w:right="415" w:firstLine="0"/>
        <w:jc w:val="both"/>
        <w:rPr>
          <w:sz w:val="24"/>
        </w:rPr>
      </w:pPr>
      <w:r>
        <w:rPr>
          <w:sz w:val="24"/>
        </w:rPr>
        <w:t>A </w:t>
      </w:r>
      <w:r>
        <w:rPr>
          <w:i/>
          <w:sz w:val="24"/>
        </w:rPr>
        <w:t>scheduled generating unit </w:t>
      </w:r>
      <w:r>
        <w:rPr>
          <w:sz w:val="24"/>
        </w:rPr>
        <w:t>which has received instructions from </w:t>
      </w:r>
      <w:r>
        <w:rPr>
          <w:i/>
          <w:sz w:val="24"/>
        </w:rPr>
        <w:t>AEMO </w:t>
      </w:r>
      <w:r>
        <w:rPr>
          <w:sz w:val="24"/>
        </w:rPr>
        <w:t>in accordance with a </w:t>
      </w:r>
      <w:r>
        <w:rPr>
          <w:i/>
          <w:sz w:val="24"/>
        </w:rPr>
        <w:t>dispatch </w:t>
      </w:r>
      <w:r>
        <w:rPr>
          <w:sz w:val="24"/>
        </w:rPr>
        <w:t>schedule.</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dispatched generation</w:t>
      </w:r>
    </w:p>
    <w:p>
      <w:pPr>
        <w:spacing w:before="120"/>
        <w:ind w:left="1352" w:right="0" w:firstLine="0"/>
        <w:jc w:val="left"/>
        <w:rPr>
          <w:sz w:val="24"/>
        </w:rPr>
      </w:pPr>
      <w:r>
        <w:rPr>
          <w:sz w:val="24"/>
        </w:rPr>
        <w:t>The </w:t>
      </w:r>
      <w:r>
        <w:rPr>
          <w:i/>
          <w:sz w:val="24"/>
        </w:rPr>
        <w:t>generation </w:t>
      </w:r>
      <w:r>
        <w:rPr>
          <w:sz w:val="24"/>
        </w:rPr>
        <w:t>which has been </w:t>
      </w:r>
      <w:r>
        <w:rPr>
          <w:i/>
          <w:sz w:val="24"/>
        </w:rPr>
        <w:t>dispatched </w:t>
      </w:r>
      <w:r>
        <w:rPr>
          <w:sz w:val="24"/>
        </w:rPr>
        <w:t>as part of </w:t>
      </w:r>
      <w:r>
        <w:rPr>
          <w:i/>
          <w:sz w:val="24"/>
        </w:rPr>
        <w:t>central dispatch</w:t>
      </w:r>
      <w:r>
        <w:rPr>
          <w:sz w:val="24"/>
        </w:rPr>
        <w:t>.</w:t>
      </w:r>
    </w:p>
    <w:p>
      <w:pPr>
        <w:pStyle w:val="Heading5"/>
        <w:jc w:val="left"/>
        <w:rPr>
          <w:i/>
        </w:rPr>
      </w:pPr>
      <w:r>
        <w:rPr>
          <w:i/>
        </w:rPr>
        <w:t>dispatched Generator</w:t>
      </w:r>
    </w:p>
    <w:p>
      <w:pPr>
        <w:spacing w:before="120"/>
        <w:ind w:left="1352" w:right="0" w:firstLine="0"/>
        <w:jc w:val="left"/>
        <w:rPr>
          <w:sz w:val="24"/>
        </w:rPr>
      </w:pPr>
      <w:r>
        <w:rPr>
          <w:sz w:val="24"/>
        </w:rPr>
        <w:t>A </w:t>
      </w:r>
      <w:r>
        <w:rPr>
          <w:i/>
          <w:sz w:val="24"/>
        </w:rPr>
        <w:t>Generator </w:t>
      </w:r>
      <w:r>
        <w:rPr>
          <w:sz w:val="24"/>
        </w:rPr>
        <w:t>who has received a </w:t>
      </w:r>
      <w:r>
        <w:rPr>
          <w:i/>
          <w:sz w:val="24"/>
        </w:rPr>
        <w:t>dispatch instruction </w:t>
      </w:r>
      <w:r>
        <w:rPr>
          <w:sz w:val="24"/>
        </w:rPr>
        <w:t>from </w:t>
      </w:r>
      <w:r>
        <w:rPr>
          <w:i/>
          <w:sz w:val="24"/>
        </w:rPr>
        <w:t>AEMO</w:t>
      </w:r>
      <w:r>
        <w:rPr>
          <w:sz w:val="24"/>
        </w:rPr>
        <w:t>.</w:t>
      </w:r>
    </w:p>
    <w:p>
      <w:pPr>
        <w:pStyle w:val="Heading5"/>
        <w:jc w:val="left"/>
        <w:rPr>
          <w:i/>
        </w:rPr>
      </w:pPr>
      <w:r>
        <w:rPr>
          <w:i/>
        </w:rPr>
        <w:t>dispatched load</w:t>
      </w:r>
    </w:p>
    <w:p>
      <w:pPr>
        <w:spacing w:before="120"/>
        <w:ind w:left="1352" w:right="0" w:firstLine="0"/>
        <w:jc w:val="left"/>
        <w:rPr>
          <w:sz w:val="24"/>
        </w:rPr>
      </w:pPr>
      <w:r>
        <w:rPr>
          <w:sz w:val="24"/>
        </w:rPr>
        <w:t>The </w:t>
      </w:r>
      <w:r>
        <w:rPr>
          <w:i/>
          <w:sz w:val="24"/>
        </w:rPr>
        <w:t>load </w:t>
      </w:r>
      <w:r>
        <w:rPr>
          <w:sz w:val="24"/>
        </w:rPr>
        <w:t>which has been </w:t>
      </w:r>
      <w:r>
        <w:rPr>
          <w:i/>
          <w:sz w:val="24"/>
        </w:rPr>
        <w:t>dispatched </w:t>
      </w:r>
      <w:r>
        <w:rPr>
          <w:sz w:val="24"/>
        </w:rPr>
        <w:t>as part of </w:t>
      </w:r>
      <w:r>
        <w:rPr>
          <w:i/>
          <w:sz w:val="24"/>
        </w:rPr>
        <w:t>central dispatch</w:t>
      </w:r>
      <w:r>
        <w:rPr>
          <w:sz w:val="24"/>
        </w:rPr>
        <w:t>.</w:t>
      </w:r>
    </w:p>
    <w:p>
      <w:pPr>
        <w:pStyle w:val="Heading5"/>
        <w:jc w:val="left"/>
        <w:rPr>
          <w:i/>
        </w:rPr>
      </w:pPr>
      <w:r>
        <w:rPr>
          <w:i/>
        </w:rPr>
        <w:t>dispute management system</w:t>
      </w:r>
    </w:p>
    <w:p>
      <w:pPr>
        <w:spacing w:before="120"/>
        <w:ind w:left="1352" w:right="0" w:firstLine="0"/>
        <w:jc w:val="left"/>
        <w:rPr>
          <w:i/>
          <w:sz w:val="24"/>
        </w:rPr>
      </w:pPr>
      <w:r>
        <w:rPr>
          <w:sz w:val="24"/>
        </w:rPr>
        <w:t>The dispute management system which each </w:t>
      </w:r>
      <w:r>
        <w:rPr>
          <w:i/>
          <w:sz w:val="24"/>
        </w:rPr>
        <w:t>Registered Participant </w:t>
      </w:r>
      <w:r>
        <w:rPr>
          <w:sz w:val="24"/>
        </w:rPr>
        <w:t>and </w:t>
      </w:r>
      <w:r>
        <w:rPr>
          <w:i/>
          <w:sz w:val="24"/>
        </w:rPr>
        <w:t>AEMO</w:t>
      </w:r>
    </w:p>
    <w:p>
      <w:pPr>
        <w:pStyle w:val="BodyText"/>
        <w:spacing w:before="0"/>
        <w:ind w:left="1352" w:firstLine="0"/>
        <w:jc w:val="left"/>
      </w:pPr>
      <w:r>
        <w:rPr/>
        <w:t>must adopt in accordance with clause 8.2.3.</w:t>
      </w:r>
    </w:p>
    <w:p>
      <w:pPr>
        <w:pStyle w:val="Heading5"/>
        <w:jc w:val="left"/>
        <w:rPr>
          <w:i/>
        </w:rPr>
      </w:pPr>
      <w:r>
        <w:rPr>
          <w:i/>
        </w:rPr>
        <w:t>dispute resolution panel</w:t>
      </w:r>
    </w:p>
    <w:p>
      <w:pPr>
        <w:pStyle w:val="BodyText"/>
        <w:ind w:left="1352" w:firstLine="0"/>
        <w:jc w:val="left"/>
      </w:pPr>
      <w:r>
        <w:rPr/>
        <w:t>A dispute resolution panel established pursuant to clause 8.2.6A.</w:t>
      </w:r>
    </w:p>
    <w:p>
      <w:pPr>
        <w:pStyle w:val="Heading5"/>
        <w:jc w:val="left"/>
        <w:rPr>
          <w:i/>
        </w:rPr>
      </w:pPr>
      <w:r>
        <w:rPr>
          <w:i/>
        </w:rPr>
        <w:t>distribution</w:t>
      </w:r>
    </w:p>
    <w:p>
      <w:pPr>
        <w:spacing w:before="120"/>
        <w:ind w:left="1352" w:right="415" w:firstLine="0"/>
        <w:jc w:val="left"/>
        <w:rPr>
          <w:sz w:val="24"/>
        </w:rPr>
      </w:pPr>
      <w:r>
        <w:rPr>
          <w:sz w:val="24"/>
        </w:rPr>
        <w:t>Activities pertaining to a </w:t>
      </w:r>
      <w:r>
        <w:rPr>
          <w:i/>
          <w:sz w:val="24"/>
        </w:rPr>
        <w:t>distribution system </w:t>
      </w:r>
      <w:r>
        <w:rPr>
          <w:sz w:val="24"/>
        </w:rPr>
        <w:t>including the conveyance of electricity through that </w:t>
      </w:r>
      <w:r>
        <w:rPr>
          <w:i/>
          <w:sz w:val="24"/>
        </w:rPr>
        <w:t>distribution system</w:t>
      </w:r>
      <w:r>
        <w:rPr>
          <w:sz w:val="24"/>
        </w:rPr>
        <w:t>.</w:t>
      </w:r>
    </w:p>
    <w:p>
      <w:pPr>
        <w:pStyle w:val="Heading5"/>
        <w:jc w:val="left"/>
        <w:rPr>
          <w:i/>
        </w:rPr>
      </w:pPr>
      <w:r>
        <w:rPr>
          <w:i/>
        </w:rPr>
        <w:t>Distribution Annual Planning Report</w:t>
      </w:r>
    </w:p>
    <w:p>
      <w:pPr>
        <w:spacing w:before="120"/>
        <w:ind w:left="1352" w:right="565" w:firstLine="0"/>
        <w:jc w:val="left"/>
        <w:rPr>
          <w:sz w:val="24"/>
        </w:rPr>
      </w:pPr>
      <w:r>
        <w:rPr>
          <w:sz w:val="24"/>
        </w:rPr>
        <w:t>A report prepared by a </w:t>
      </w:r>
      <w:r>
        <w:rPr>
          <w:i/>
          <w:sz w:val="24"/>
        </w:rPr>
        <w:t>Distribution Network Service Provider </w:t>
      </w:r>
      <w:r>
        <w:rPr>
          <w:sz w:val="24"/>
        </w:rPr>
        <w:t>under clause 5.13.2.</w:t>
      </w:r>
    </w:p>
    <w:p>
      <w:pPr>
        <w:pStyle w:val="Heading5"/>
        <w:jc w:val="left"/>
        <w:rPr>
          <w:i/>
        </w:rPr>
      </w:pPr>
      <w:r>
        <w:rPr>
          <w:i/>
        </w:rPr>
        <w:t>Distribution Confidentiality Guidelines</w:t>
      </w:r>
    </w:p>
    <w:p>
      <w:pPr>
        <w:pStyle w:val="BodyText"/>
        <w:ind w:left="1352" w:firstLine="0"/>
        <w:jc w:val="left"/>
      </w:pPr>
      <w:r>
        <w:rPr/>
        <w:t>Guidelines made by the </w:t>
      </w:r>
      <w:r>
        <w:rPr>
          <w:i/>
        </w:rPr>
        <w:t>AER </w:t>
      </w:r>
      <w:r>
        <w:rPr/>
        <w:t>under clause 6.14A.</w:t>
      </w:r>
    </w:p>
    <w:p>
      <w:pPr>
        <w:pStyle w:val="Heading5"/>
        <w:jc w:val="left"/>
        <w:rPr>
          <w:i/>
        </w:rPr>
      </w:pPr>
      <w:r>
        <w:rPr>
          <w:i/>
        </w:rPr>
        <w:t>distribution connection assets</w:t>
      </w:r>
    </w:p>
    <w:p>
      <w:pPr>
        <w:spacing w:before="120"/>
        <w:ind w:left="1352" w:right="415" w:firstLine="0"/>
        <w:jc w:val="both"/>
        <w:rPr>
          <w:sz w:val="24"/>
        </w:rPr>
      </w:pPr>
      <w:r>
        <w:rPr>
          <w:sz w:val="24"/>
        </w:rPr>
        <w:t>Those components of the </w:t>
      </w:r>
      <w:r>
        <w:rPr>
          <w:i/>
          <w:sz w:val="24"/>
        </w:rPr>
        <w:t>distribution system </w:t>
      </w:r>
      <w:r>
        <w:rPr>
          <w:sz w:val="24"/>
        </w:rPr>
        <w:t>which are used to provide </w:t>
      </w:r>
      <w:r>
        <w:rPr>
          <w:i/>
          <w:sz w:val="24"/>
        </w:rPr>
        <w:t>connection services </w:t>
      </w:r>
      <w:r>
        <w:rPr>
          <w:sz w:val="24"/>
        </w:rPr>
        <w:t>to a </w:t>
      </w:r>
      <w:r>
        <w:rPr>
          <w:i/>
          <w:sz w:val="24"/>
        </w:rPr>
        <w:t>Distribution Network User </w:t>
      </w:r>
      <w:r>
        <w:rPr>
          <w:sz w:val="24"/>
        </w:rPr>
        <w:t>or a group of </w:t>
      </w:r>
      <w:r>
        <w:rPr>
          <w:i/>
          <w:sz w:val="24"/>
        </w:rPr>
        <w:t>Distribution </w:t>
      </w:r>
      <w:r>
        <w:rPr>
          <w:i/>
          <w:sz w:val="24"/>
        </w:rPr>
        <w:t>Network Users </w:t>
      </w:r>
      <w:r>
        <w:rPr>
          <w:sz w:val="24"/>
        </w:rPr>
        <w:t>or a </w:t>
      </w:r>
      <w:r>
        <w:rPr>
          <w:i/>
          <w:sz w:val="24"/>
        </w:rPr>
        <w:t>Network Service Provider </w:t>
      </w:r>
      <w:r>
        <w:rPr>
          <w:sz w:val="24"/>
        </w:rPr>
        <w:t>or a group of </w:t>
      </w:r>
      <w:r>
        <w:rPr>
          <w:i/>
          <w:sz w:val="24"/>
        </w:rPr>
        <w:t>Network Service </w:t>
      </w:r>
      <w:r>
        <w:rPr>
          <w:i/>
          <w:sz w:val="24"/>
        </w:rPr>
        <w:t>Providers</w:t>
      </w:r>
      <w:r>
        <w:rPr>
          <w:sz w:val="24"/>
        </w:rPr>
        <w:t>.</w:t>
      </w:r>
    </w:p>
    <w:p>
      <w:pPr>
        <w:pStyle w:val="Heading5"/>
        <w:rPr>
          <w:i/>
        </w:rPr>
      </w:pPr>
      <w:r>
        <w:rPr>
          <w:i/>
        </w:rPr>
        <w:t>distribution consultation procedures</w:t>
      </w:r>
    </w:p>
    <w:p>
      <w:pPr>
        <w:pStyle w:val="BodyText"/>
        <w:ind w:left="1352" w:firstLine="0"/>
      </w:pPr>
      <w:r>
        <w:rPr/>
        <w:t>The procedures set out in Part G of Chapter 6.</w:t>
      </w:r>
    </w:p>
    <w:p>
      <w:pPr>
        <w:pStyle w:val="Heading5"/>
        <w:rPr>
          <w:i/>
        </w:rPr>
      </w:pPr>
      <w:r>
        <w:rPr>
          <w:i/>
        </w:rPr>
        <w:t>Distribution Customer</w:t>
      </w:r>
    </w:p>
    <w:p>
      <w:pPr>
        <w:spacing w:before="120"/>
        <w:ind w:left="1352" w:right="415" w:firstLine="0"/>
        <w:jc w:val="both"/>
        <w:rPr>
          <w:sz w:val="24"/>
        </w:rPr>
      </w:pPr>
      <w:r>
        <w:rPr>
          <w:sz w:val="24"/>
        </w:rPr>
        <w:t>A </w:t>
      </w:r>
      <w:r>
        <w:rPr>
          <w:i/>
          <w:sz w:val="24"/>
        </w:rPr>
        <w:t>Customer</w:t>
      </w:r>
      <w:r>
        <w:rPr>
          <w:sz w:val="24"/>
        </w:rPr>
        <w:t>, </w:t>
      </w:r>
      <w:r>
        <w:rPr>
          <w:i/>
          <w:sz w:val="24"/>
        </w:rPr>
        <w:t>Distribution Network Service Provider</w:t>
      </w:r>
      <w:r>
        <w:rPr>
          <w:sz w:val="24"/>
        </w:rPr>
        <w:t>, </w:t>
      </w:r>
      <w:r>
        <w:rPr>
          <w:i/>
          <w:sz w:val="24"/>
        </w:rPr>
        <w:t>Non-Registered Customer</w:t>
      </w:r>
      <w:r>
        <w:rPr>
          <w:sz w:val="24"/>
        </w:rPr>
        <w:t>, </w:t>
      </w:r>
      <w:r>
        <w:rPr>
          <w:i/>
          <w:sz w:val="24"/>
        </w:rPr>
        <w:t>franchise customer</w:t>
      </w:r>
      <w:r>
        <w:rPr>
          <w:sz w:val="24"/>
        </w:rPr>
        <w:t>, or </w:t>
      </w:r>
      <w:r>
        <w:rPr>
          <w:i/>
          <w:sz w:val="24"/>
        </w:rPr>
        <w:t>retail customer </w:t>
      </w:r>
      <w:r>
        <w:rPr>
          <w:sz w:val="24"/>
        </w:rPr>
        <w:t>having a </w:t>
      </w:r>
      <w:r>
        <w:rPr>
          <w:i/>
          <w:sz w:val="24"/>
        </w:rPr>
        <w:t>connection point </w:t>
      </w:r>
      <w:r>
        <w:rPr>
          <w:sz w:val="24"/>
        </w:rPr>
        <w:t>with a </w:t>
      </w:r>
      <w:r>
        <w:rPr>
          <w:i/>
          <w:sz w:val="24"/>
        </w:rPr>
        <w:t>distribution network</w:t>
      </w:r>
      <w:r>
        <w:rPr>
          <w:sz w:val="24"/>
        </w:rPr>
        <w:t>.</w:t>
      </w:r>
    </w:p>
    <w:p>
      <w:pPr>
        <w:pStyle w:val="Heading5"/>
        <w:rPr>
          <w:i/>
        </w:rPr>
      </w:pPr>
      <w:r>
        <w:rPr>
          <w:i/>
        </w:rPr>
        <w:t>distribution line</w:t>
      </w:r>
    </w:p>
    <w:p>
      <w:pPr>
        <w:spacing w:before="120"/>
        <w:ind w:left="1352" w:right="0" w:firstLine="0"/>
        <w:jc w:val="both"/>
        <w:rPr>
          <w:sz w:val="24"/>
        </w:rPr>
      </w:pPr>
      <w:r>
        <w:rPr>
          <w:sz w:val="24"/>
        </w:rPr>
        <w:t>A power line, including underground cables, that is part of a </w:t>
      </w:r>
      <w:r>
        <w:rPr>
          <w:i/>
          <w:sz w:val="24"/>
        </w:rPr>
        <w:t>distribution network</w:t>
      </w:r>
      <w:r>
        <w:rPr>
          <w:sz w:val="24"/>
        </w:rPr>
        <w:t>.</w:t>
      </w:r>
    </w:p>
    <w:p>
      <w:pPr>
        <w:pStyle w:val="Heading5"/>
        <w:rPr>
          <w:i/>
        </w:rPr>
      </w:pPr>
      <w:r>
        <w:rPr>
          <w:i/>
        </w:rPr>
        <w:t>distribution loss factor</w:t>
      </w:r>
    </w:p>
    <w:p>
      <w:pPr>
        <w:spacing w:before="120"/>
        <w:ind w:left="1352" w:right="414" w:firstLine="0"/>
        <w:jc w:val="both"/>
        <w:rPr>
          <w:sz w:val="24"/>
        </w:rPr>
      </w:pPr>
      <w:r>
        <w:rPr>
          <w:sz w:val="24"/>
        </w:rPr>
        <w:t>An </w:t>
      </w:r>
      <w:r>
        <w:rPr>
          <w:i/>
          <w:sz w:val="24"/>
        </w:rPr>
        <w:t>average loss factor </w:t>
      </w:r>
      <w:r>
        <w:rPr>
          <w:sz w:val="24"/>
        </w:rPr>
        <w:t>calculated according to clause 3.6.3 or, in the case of </w:t>
      </w:r>
      <w:r>
        <w:rPr>
          <w:i/>
          <w:sz w:val="24"/>
        </w:rPr>
        <w:t>child </w:t>
      </w:r>
      <w:r>
        <w:rPr>
          <w:i/>
          <w:sz w:val="24"/>
        </w:rPr>
        <w:t>connection points</w:t>
      </w:r>
      <w:r>
        <w:rPr>
          <w:sz w:val="24"/>
        </w:rPr>
        <w:t>, in accordance with guidelines developed by the </w:t>
      </w:r>
      <w:r>
        <w:rPr>
          <w:i/>
          <w:sz w:val="24"/>
        </w:rPr>
        <w:t>AER </w:t>
      </w:r>
      <w:r>
        <w:rPr>
          <w:sz w:val="24"/>
        </w:rPr>
        <w:t>under clause 2.5.1(d) and the </w:t>
      </w:r>
      <w:r>
        <w:rPr>
          <w:i/>
          <w:sz w:val="24"/>
        </w:rPr>
        <w:t>ENM service level procedures</w:t>
      </w:r>
      <w:r>
        <w:rPr>
          <w:sz w:val="24"/>
        </w:rPr>
        <w:t>.</w:t>
      </w:r>
    </w:p>
    <w:p>
      <w:pPr>
        <w:pStyle w:val="Heading5"/>
        <w:rPr>
          <w:i/>
        </w:rPr>
      </w:pPr>
      <w:r>
        <w:rPr>
          <w:i/>
        </w:rPr>
        <w:t>distribution losses</w:t>
      </w:r>
    </w:p>
    <w:p>
      <w:pPr>
        <w:spacing w:before="120"/>
        <w:ind w:left="1352" w:right="414" w:firstLine="0"/>
        <w:jc w:val="both"/>
        <w:rPr>
          <w:sz w:val="24"/>
        </w:rPr>
      </w:pPr>
      <w:r>
        <w:rPr>
          <w:i/>
          <w:sz w:val="24"/>
        </w:rPr>
        <w:t>Electrical energy losses </w:t>
      </w:r>
      <w:r>
        <w:rPr>
          <w:sz w:val="24"/>
        </w:rPr>
        <w:t>incurred in distributing electricity over a </w:t>
      </w:r>
      <w:r>
        <w:rPr>
          <w:i/>
          <w:sz w:val="24"/>
        </w:rPr>
        <w:t>distribution </w:t>
      </w:r>
      <w:r>
        <w:rPr>
          <w:i/>
          <w:sz w:val="24"/>
        </w:rPr>
        <w:t>network</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distribution network</w:t>
      </w:r>
    </w:p>
    <w:p>
      <w:pPr>
        <w:spacing w:before="120"/>
        <w:ind w:left="1352" w:right="0" w:firstLine="0"/>
        <w:jc w:val="both"/>
        <w:rPr>
          <w:sz w:val="24"/>
        </w:rPr>
      </w:pPr>
      <w:r>
        <w:rPr>
          <w:sz w:val="24"/>
        </w:rPr>
        <w:t>A </w:t>
      </w:r>
      <w:r>
        <w:rPr>
          <w:i/>
          <w:sz w:val="24"/>
        </w:rPr>
        <w:t>network </w:t>
      </w:r>
      <w:r>
        <w:rPr>
          <w:sz w:val="24"/>
        </w:rPr>
        <w:t>which is not a </w:t>
      </w:r>
      <w:r>
        <w:rPr>
          <w:i/>
          <w:sz w:val="24"/>
        </w:rPr>
        <w:t>transmission network</w:t>
      </w:r>
      <w:r>
        <w:rPr>
          <w:sz w:val="24"/>
        </w:rPr>
        <w:t>.</w:t>
      </w:r>
    </w:p>
    <w:p>
      <w:pPr>
        <w:pStyle w:val="Heading5"/>
        <w:rPr>
          <w:i/>
        </w:rPr>
      </w:pPr>
      <w:r>
        <w:rPr>
          <w:i/>
        </w:rPr>
        <w:t>distribution network connection point</w:t>
      </w:r>
    </w:p>
    <w:p>
      <w:pPr>
        <w:spacing w:before="120"/>
        <w:ind w:left="1352" w:right="0" w:firstLine="0"/>
        <w:jc w:val="both"/>
        <w:rPr>
          <w:sz w:val="24"/>
        </w:rPr>
      </w:pPr>
      <w:r>
        <w:rPr>
          <w:sz w:val="24"/>
        </w:rPr>
        <w:t>A </w:t>
      </w:r>
      <w:r>
        <w:rPr>
          <w:i/>
          <w:sz w:val="24"/>
        </w:rPr>
        <w:t>connection point </w:t>
      </w:r>
      <w:r>
        <w:rPr>
          <w:sz w:val="24"/>
        </w:rPr>
        <w:t>on a </w:t>
      </w:r>
      <w:r>
        <w:rPr>
          <w:i/>
          <w:sz w:val="24"/>
        </w:rPr>
        <w:t>distribution network</w:t>
      </w:r>
      <w:r>
        <w:rPr>
          <w:sz w:val="24"/>
        </w:rPr>
        <w:t>.</w:t>
      </w:r>
    </w:p>
    <w:p>
      <w:pPr>
        <w:pStyle w:val="Heading5"/>
        <w:rPr>
          <w:i/>
        </w:rPr>
      </w:pPr>
      <w:r>
        <w:rPr>
          <w:i/>
        </w:rPr>
        <w:t>Distribution Network Service Provider</w:t>
      </w:r>
    </w:p>
    <w:p>
      <w:pPr>
        <w:pStyle w:val="BodyText"/>
        <w:ind w:left="1352" w:firstLine="0"/>
      </w:pPr>
      <w:r>
        <w:rPr/>
        <w:t>A person who:</w:t>
      </w:r>
    </w:p>
    <w:p>
      <w:pPr>
        <w:pStyle w:val="ListParagraph"/>
        <w:numPr>
          <w:ilvl w:val="0"/>
          <w:numId w:val="730"/>
        </w:numPr>
        <w:tabs>
          <w:tab w:pos="1919" w:val="left" w:leader="none"/>
        </w:tabs>
        <w:spacing w:line="240" w:lineRule="auto" w:before="120" w:after="0"/>
        <w:ind w:left="1919" w:right="415" w:hanging="567"/>
        <w:jc w:val="both"/>
        <w:rPr>
          <w:sz w:val="24"/>
        </w:rPr>
      </w:pPr>
      <w:r>
        <w:rPr>
          <w:sz w:val="24"/>
        </w:rPr>
        <w:t>engages in the activity of owning, controlling, or operating a </w:t>
      </w:r>
      <w:r>
        <w:rPr>
          <w:i/>
          <w:sz w:val="24"/>
        </w:rPr>
        <w:t>distribution </w:t>
      </w:r>
      <w:r>
        <w:rPr>
          <w:i/>
          <w:sz w:val="24"/>
        </w:rPr>
        <w:t>system</w:t>
      </w:r>
      <w:r>
        <w:rPr>
          <w:sz w:val="24"/>
        </w:rPr>
        <w:t>;</w:t>
      </w:r>
      <w:r>
        <w:rPr>
          <w:spacing w:val="-1"/>
          <w:sz w:val="24"/>
        </w:rPr>
        <w:t> </w:t>
      </w:r>
      <w:r>
        <w:rPr>
          <w:sz w:val="24"/>
        </w:rPr>
        <w:t>and</w:t>
      </w:r>
    </w:p>
    <w:p>
      <w:pPr>
        <w:pStyle w:val="ListParagraph"/>
        <w:numPr>
          <w:ilvl w:val="0"/>
          <w:numId w:val="730"/>
        </w:numPr>
        <w:tabs>
          <w:tab w:pos="1919" w:val="left" w:leader="none"/>
        </w:tabs>
        <w:spacing w:line="240" w:lineRule="auto" w:before="120" w:after="0"/>
        <w:ind w:left="1919" w:right="415" w:hanging="567"/>
        <w:jc w:val="both"/>
        <w:rPr>
          <w:sz w:val="24"/>
        </w:rPr>
      </w:pPr>
      <w:r>
        <w:rPr>
          <w:sz w:val="24"/>
        </w:rPr>
        <w:t>under Part 3 of the </w:t>
      </w:r>
      <w:r>
        <w:rPr>
          <w:i/>
          <w:sz w:val="24"/>
        </w:rPr>
        <w:t>Electricity Reform Act </w:t>
      </w:r>
      <w:r>
        <w:rPr>
          <w:sz w:val="24"/>
        </w:rPr>
        <w:t>(NT), holds a licence authorising the ownership or operation of an electricity</w:t>
      </w:r>
      <w:r>
        <w:rPr>
          <w:spacing w:val="-1"/>
          <w:sz w:val="24"/>
        </w:rPr>
        <w:t> </w:t>
      </w:r>
      <w:r>
        <w:rPr>
          <w:sz w:val="24"/>
        </w:rPr>
        <w:t>network.</w:t>
      </w:r>
    </w:p>
    <w:p>
      <w:pPr>
        <w:pStyle w:val="Heading5"/>
        <w:rPr>
          <w:i/>
        </w:rPr>
      </w:pPr>
      <w:r>
        <w:rPr>
          <w:i/>
        </w:rPr>
        <w:t>Distribution Network Service Provider Member</w:t>
      </w:r>
    </w:p>
    <w:p>
      <w:pPr>
        <w:spacing w:before="120"/>
        <w:ind w:left="1352" w:right="415" w:firstLine="0"/>
        <w:jc w:val="both"/>
        <w:rPr>
          <w:sz w:val="24"/>
        </w:rPr>
      </w:pPr>
      <w:r>
        <w:rPr>
          <w:sz w:val="24"/>
        </w:rPr>
        <w:t>A person nominated and elected as a </w:t>
      </w:r>
      <w:r>
        <w:rPr>
          <w:i/>
          <w:sz w:val="24"/>
        </w:rPr>
        <w:t>Member </w:t>
      </w:r>
      <w:r>
        <w:rPr>
          <w:sz w:val="24"/>
        </w:rPr>
        <w:t>by </w:t>
      </w:r>
      <w:r>
        <w:rPr>
          <w:i/>
          <w:sz w:val="24"/>
        </w:rPr>
        <w:t>Distribution Network Service </w:t>
      </w:r>
      <w:r>
        <w:rPr>
          <w:i/>
          <w:sz w:val="24"/>
        </w:rPr>
        <w:t>Providers </w:t>
      </w:r>
      <w:r>
        <w:rPr>
          <w:sz w:val="24"/>
        </w:rPr>
        <w:t>to represent </w:t>
      </w:r>
      <w:r>
        <w:rPr>
          <w:i/>
          <w:sz w:val="24"/>
        </w:rPr>
        <w:t>Distribution Network Service Providers </w:t>
      </w:r>
      <w:r>
        <w:rPr>
          <w:sz w:val="24"/>
        </w:rPr>
        <w:t>in accordance with the </w:t>
      </w:r>
      <w:r>
        <w:rPr>
          <w:i/>
          <w:sz w:val="24"/>
        </w:rPr>
        <w:t>Rules </w:t>
      </w:r>
      <w:r>
        <w:rPr>
          <w:sz w:val="24"/>
        </w:rPr>
        <w:t>(including clause 7.17.10(e)) and </w:t>
      </w:r>
      <w:r>
        <w:rPr>
          <w:i/>
          <w:sz w:val="24"/>
        </w:rPr>
        <w:t>Information Exchange Committee </w:t>
      </w:r>
      <w:r>
        <w:rPr>
          <w:i/>
          <w:sz w:val="24"/>
        </w:rPr>
        <w:t>Election Procedures</w:t>
      </w:r>
      <w:r>
        <w:rPr>
          <w:sz w:val="24"/>
        </w:rPr>
        <w:t>.</w:t>
      </w:r>
    </w:p>
    <w:p>
      <w:pPr>
        <w:pStyle w:val="Heading5"/>
        <w:rPr>
          <w:i/>
        </w:rPr>
      </w:pPr>
      <w:r>
        <w:rPr>
          <w:i/>
        </w:rPr>
        <w:t>Distribution Network User</w:t>
      </w:r>
    </w:p>
    <w:p>
      <w:pPr>
        <w:spacing w:before="120"/>
        <w:ind w:left="1352" w:right="0" w:firstLine="0"/>
        <w:jc w:val="both"/>
        <w:rPr>
          <w:sz w:val="24"/>
        </w:rPr>
      </w:pPr>
      <w:r>
        <w:rPr>
          <w:sz w:val="24"/>
        </w:rPr>
        <w:t>A </w:t>
      </w:r>
      <w:r>
        <w:rPr>
          <w:i/>
          <w:sz w:val="24"/>
        </w:rPr>
        <w:t>Distribution Customer </w:t>
      </w:r>
      <w:r>
        <w:rPr>
          <w:sz w:val="24"/>
        </w:rPr>
        <w:t>or an </w:t>
      </w:r>
      <w:r>
        <w:rPr>
          <w:i/>
          <w:sz w:val="24"/>
        </w:rPr>
        <w:t>Embedded Generator</w:t>
      </w:r>
      <w:r>
        <w:rPr>
          <w:sz w:val="24"/>
        </w:rPr>
        <w:t>.</w:t>
      </w:r>
    </w:p>
    <w:p>
      <w:pPr>
        <w:pStyle w:val="Heading5"/>
        <w:rPr>
          <w:i/>
        </w:rPr>
      </w:pPr>
      <w:r>
        <w:rPr>
          <w:i/>
        </w:rPr>
        <w:t>distribution network user access</w:t>
      </w:r>
    </w:p>
    <w:p>
      <w:pPr>
        <w:spacing w:before="120"/>
        <w:ind w:left="1352" w:right="0" w:firstLine="0"/>
        <w:jc w:val="left"/>
        <w:rPr>
          <w:sz w:val="24"/>
        </w:rPr>
      </w:pPr>
      <w:r>
        <w:rPr>
          <w:sz w:val="24"/>
        </w:rPr>
        <w:t>The </w:t>
      </w:r>
      <w:r>
        <w:rPr>
          <w:i/>
          <w:sz w:val="24"/>
        </w:rPr>
        <w:t>power transfer capability </w:t>
      </w:r>
      <w:r>
        <w:rPr>
          <w:sz w:val="24"/>
        </w:rPr>
        <w:t>of the </w:t>
      </w:r>
      <w:r>
        <w:rPr>
          <w:i/>
          <w:sz w:val="24"/>
        </w:rPr>
        <w:t>distribution network </w:t>
      </w:r>
      <w:r>
        <w:rPr>
          <w:sz w:val="24"/>
        </w:rPr>
        <w:t>in respect of:</w:t>
      </w:r>
    </w:p>
    <w:p>
      <w:pPr>
        <w:pStyle w:val="ListParagraph"/>
        <w:numPr>
          <w:ilvl w:val="0"/>
          <w:numId w:val="731"/>
        </w:numPr>
        <w:tabs>
          <w:tab w:pos="1918" w:val="left" w:leader="none"/>
          <w:tab w:pos="1919" w:val="left" w:leader="none"/>
        </w:tabs>
        <w:spacing w:line="240" w:lineRule="auto" w:before="120" w:after="0"/>
        <w:ind w:left="1918" w:right="0" w:hanging="567"/>
        <w:jc w:val="left"/>
        <w:rPr>
          <w:sz w:val="24"/>
        </w:rPr>
      </w:pPr>
      <w:r>
        <w:rPr>
          <w:i/>
          <w:sz w:val="24"/>
        </w:rPr>
        <w:t>generating units </w:t>
      </w:r>
      <w:r>
        <w:rPr>
          <w:sz w:val="24"/>
        </w:rPr>
        <w:t>or a group of </w:t>
      </w:r>
      <w:r>
        <w:rPr>
          <w:i/>
          <w:sz w:val="24"/>
        </w:rPr>
        <w:t>generating units</w:t>
      </w:r>
      <w:r>
        <w:rPr>
          <w:sz w:val="24"/>
        </w:rPr>
        <w:t>;</w:t>
      </w:r>
      <w:r>
        <w:rPr>
          <w:spacing w:val="-1"/>
          <w:sz w:val="24"/>
        </w:rPr>
        <w:t> </w:t>
      </w:r>
      <w:r>
        <w:rPr>
          <w:sz w:val="24"/>
        </w:rPr>
        <w:t>and</w:t>
      </w:r>
    </w:p>
    <w:p>
      <w:pPr>
        <w:pStyle w:val="ListParagraph"/>
        <w:numPr>
          <w:ilvl w:val="0"/>
          <w:numId w:val="731"/>
        </w:numPr>
        <w:tabs>
          <w:tab w:pos="1918" w:val="left" w:leader="none"/>
          <w:tab w:pos="1919" w:val="left" w:leader="none"/>
        </w:tabs>
        <w:spacing w:line="240" w:lineRule="auto" w:before="120" w:after="0"/>
        <w:ind w:left="1918" w:right="0" w:hanging="567"/>
        <w:jc w:val="left"/>
        <w:rPr>
          <w:sz w:val="24"/>
        </w:rPr>
      </w:pPr>
      <w:r>
        <w:rPr>
          <w:i/>
          <w:sz w:val="24"/>
        </w:rPr>
        <w:t>network elements</w:t>
      </w:r>
      <w:r>
        <w:rPr>
          <w:sz w:val="24"/>
        </w:rPr>
        <w:t>,</w:t>
      </w:r>
    </w:p>
    <w:p>
      <w:pPr>
        <w:pStyle w:val="BodyText"/>
        <w:ind w:left="1352" w:right="565" w:firstLine="0"/>
        <w:jc w:val="left"/>
      </w:pPr>
      <w:r>
        <w:rPr/>
        <w:t>at a </w:t>
      </w:r>
      <w:r>
        <w:rPr>
          <w:i/>
        </w:rPr>
        <w:t>connection point </w:t>
      </w:r>
      <w:r>
        <w:rPr/>
        <w:t>which has been negotiated in accordance with rules 5.3, 5.3A and 5.3AA.</w:t>
      </w:r>
    </w:p>
    <w:p>
      <w:pPr>
        <w:spacing w:before="120"/>
        <w:ind w:left="1352" w:right="0" w:firstLine="0"/>
        <w:jc w:val="left"/>
        <w:rPr>
          <w:rFonts w:ascii="Arial"/>
          <w:b/>
          <w:sz w:val="20"/>
        </w:rPr>
      </w:pPr>
      <w:r>
        <w:rPr>
          <w:rFonts w:ascii="Arial"/>
          <w:b/>
          <w:sz w:val="20"/>
        </w:rPr>
        <w:t>Note:</w:t>
      </w:r>
    </w:p>
    <w:p>
      <w:pPr>
        <w:spacing w:before="120"/>
        <w:ind w:left="1352" w:right="0" w:firstLine="0"/>
        <w:jc w:val="left"/>
        <w:rPr>
          <w:i/>
          <w:sz w:val="20"/>
        </w:rPr>
      </w:pPr>
      <w:r>
        <w:rPr>
          <w:sz w:val="20"/>
        </w:rPr>
        <w:t>For the avoidance of doubt, </w:t>
      </w:r>
      <w:r>
        <w:rPr>
          <w:i/>
          <w:sz w:val="20"/>
        </w:rPr>
        <w:t>distribution network user access </w:t>
      </w:r>
      <w:r>
        <w:rPr>
          <w:sz w:val="20"/>
        </w:rPr>
        <w:t>extends to the </w:t>
      </w:r>
      <w:r>
        <w:rPr>
          <w:i/>
          <w:sz w:val="20"/>
        </w:rPr>
        <w:t>transmission network</w:t>
      </w:r>
    </w:p>
    <w:p>
      <w:pPr>
        <w:spacing w:before="0"/>
        <w:ind w:left="1352" w:right="0" w:firstLine="0"/>
        <w:jc w:val="left"/>
        <w:rPr>
          <w:sz w:val="20"/>
        </w:rPr>
      </w:pPr>
      <w:r>
        <w:rPr>
          <w:sz w:val="20"/>
        </w:rPr>
        <w:t>for the purposes of Chapter 6.</w:t>
      </w:r>
    </w:p>
    <w:p>
      <w:pPr>
        <w:pStyle w:val="Heading5"/>
        <w:jc w:val="left"/>
        <w:rPr>
          <w:i/>
        </w:rPr>
      </w:pPr>
      <w:r>
        <w:rPr>
          <w:i/>
        </w:rPr>
        <w:t>Distribution Reliability Measures Guidelines</w:t>
      </w:r>
    </w:p>
    <w:p>
      <w:pPr>
        <w:pStyle w:val="BodyText"/>
        <w:ind w:left="1352" w:firstLine="0"/>
        <w:jc w:val="left"/>
      </w:pPr>
      <w:r>
        <w:rPr/>
        <w:t>Guidelines made by the </w:t>
      </w:r>
      <w:r>
        <w:rPr>
          <w:i/>
        </w:rPr>
        <w:t>AER </w:t>
      </w:r>
      <w:r>
        <w:rPr/>
        <w:t>under clause 6.28.</w:t>
      </w:r>
    </w:p>
    <w:p>
      <w:pPr>
        <w:pStyle w:val="Heading5"/>
        <w:jc w:val="left"/>
        <w:rPr>
          <w:i/>
        </w:rPr>
      </w:pPr>
      <w:r>
        <w:rPr>
          <w:i/>
        </w:rPr>
        <w:t>Distribution Ring-Fencing Guidelines</w:t>
      </w:r>
    </w:p>
    <w:p>
      <w:pPr>
        <w:pStyle w:val="BodyText"/>
        <w:ind w:left="1352" w:firstLine="0"/>
        <w:jc w:val="left"/>
      </w:pPr>
      <w:r>
        <w:rPr/>
        <w:t>The guidelines developed by the </w:t>
      </w:r>
      <w:r>
        <w:rPr>
          <w:i/>
        </w:rPr>
        <w:t>AER </w:t>
      </w:r>
      <w:r>
        <w:rPr/>
        <w:t>under clause 6.17.2.</w:t>
      </w:r>
    </w:p>
    <w:p>
      <w:pPr>
        <w:pStyle w:val="Heading5"/>
        <w:jc w:val="left"/>
        <w:rPr>
          <w:i/>
        </w:rPr>
      </w:pPr>
      <w:r>
        <w:rPr>
          <w:i/>
        </w:rPr>
        <w:t>distribution service</w:t>
      </w:r>
    </w:p>
    <w:p>
      <w:pPr>
        <w:spacing w:before="120"/>
        <w:ind w:left="1352" w:right="0" w:firstLine="0"/>
        <w:jc w:val="left"/>
        <w:rPr>
          <w:sz w:val="24"/>
        </w:rPr>
      </w:pPr>
      <w:r>
        <w:rPr>
          <w:sz w:val="24"/>
        </w:rPr>
        <w:t>A service provided by means of, or in connection with, a </w:t>
      </w:r>
      <w:r>
        <w:rPr>
          <w:i/>
          <w:sz w:val="24"/>
        </w:rPr>
        <w:t>distribution system</w:t>
      </w:r>
      <w:r>
        <w:rPr>
          <w:sz w:val="24"/>
        </w:rPr>
        <w:t>.</w:t>
      </w:r>
    </w:p>
    <w:p>
      <w:pPr>
        <w:pStyle w:val="Heading5"/>
        <w:jc w:val="left"/>
        <w:rPr>
          <w:i/>
        </w:rPr>
      </w:pPr>
      <w:r>
        <w:rPr>
          <w:i/>
        </w:rPr>
        <w:t>distribution services access dispute</w:t>
      </w:r>
    </w:p>
    <w:p>
      <w:pPr>
        <w:pStyle w:val="BodyText"/>
        <w:ind w:left="1352" w:firstLine="0"/>
        <w:jc w:val="left"/>
      </w:pPr>
      <w:r>
        <w:rPr/>
        <w:t>A dispute referred to in clause 6.22.1.</w:t>
      </w:r>
    </w:p>
    <w:p>
      <w:pPr>
        <w:pStyle w:val="Heading5"/>
        <w:jc w:val="left"/>
        <w:rPr>
          <w:i/>
        </w:rPr>
      </w:pPr>
      <w:r>
        <w:rPr>
          <w:i/>
        </w:rPr>
        <w:t>Distribution Service Classification Guidelines</w:t>
      </w:r>
    </w:p>
    <w:p>
      <w:pPr>
        <w:pStyle w:val="BodyText"/>
        <w:ind w:left="1352" w:firstLine="0"/>
        <w:jc w:val="left"/>
      </w:pPr>
      <w:r>
        <w:rPr/>
        <w:t>Guidelines developed, maintained and </w:t>
      </w:r>
      <w:r>
        <w:rPr>
          <w:i/>
        </w:rPr>
        <w:t>published </w:t>
      </w:r>
      <w:r>
        <w:rPr/>
        <w:t>by the </w:t>
      </w:r>
      <w:r>
        <w:rPr>
          <w:i/>
        </w:rPr>
        <w:t>AER </w:t>
      </w:r>
      <w:r>
        <w:rPr/>
        <w:t>under clause 6.2.3A.</w:t>
      </w:r>
    </w:p>
    <w:p>
      <w:pPr>
        <w:pStyle w:val="Heading5"/>
        <w:jc w:val="left"/>
        <w:rPr>
          <w:i/>
        </w:rPr>
      </w:pPr>
      <w:r>
        <w:rPr>
          <w:i/>
        </w:rPr>
        <w:t>distribution standard control service revenue</w:t>
      </w:r>
    </w:p>
    <w:p>
      <w:pPr>
        <w:pStyle w:val="BodyText"/>
        <w:ind w:left="1352" w:firstLine="0"/>
        <w:jc w:val="left"/>
      </w:pPr>
      <w:r>
        <w:rPr/>
        <w:t>Has the meaning given in rule 6.26(b)(2).</w:t>
      </w:r>
    </w:p>
    <w:p>
      <w:pPr>
        <w:spacing w:after="0"/>
        <w:jc w:val="left"/>
        <w:sectPr>
          <w:pgSz w:w="11910" w:h="16840"/>
          <w:pgMar w:header="686" w:footer="637" w:top="1320" w:bottom="820" w:left="1200" w:right="1000"/>
        </w:sectPr>
      </w:pPr>
    </w:p>
    <w:p>
      <w:pPr>
        <w:pStyle w:val="Heading5"/>
        <w:spacing w:before="83"/>
        <w:ind w:left="0" w:right="7626"/>
        <w:jc w:val="right"/>
        <w:rPr>
          <w:i/>
        </w:rPr>
      </w:pPr>
      <w:r>
        <w:rPr>
          <w:i/>
        </w:rPr>
        <w:t>distribution</w:t>
      </w:r>
      <w:r>
        <w:rPr>
          <w:i/>
          <w:spacing w:val="-6"/>
        </w:rPr>
        <w:t> </w:t>
      </w:r>
      <w:r>
        <w:rPr>
          <w:i/>
        </w:rPr>
        <w:t>system</w:t>
      </w:r>
    </w:p>
    <w:p>
      <w:pPr>
        <w:pStyle w:val="BodyText"/>
        <w:ind w:right="7646" w:firstLine="0"/>
        <w:jc w:val="right"/>
      </w:pPr>
      <w:r>
        <w:rPr>
          <w:spacing w:val="-1"/>
        </w:rPr>
        <w:t>Means:</w:t>
      </w:r>
    </w:p>
    <w:p>
      <w:pPr>
        <w:pStyle w:val="ListParagraph"/>
        <w:numPr>
          <w:ilvl w:val="0"/>
          <w:numId w:val="732"/>
        </w:numPr>
        <w:tabs>
          <w:tab w:pos="1919" w:val="left" w:leader="none"/>
        </w:tabs>
        <w:spacing w:line="240" w:lineRule="auto" w:before="120" w:after="0"/>
        <w:ind w:left="1919" w:right="415" w:hanging="567"/>
        <w:jc w:val="both"/>
        <w:rPr>
          <w:sz w:val="24"/>
        </w:rPr>
      </w:pPr>
      <w:r>
        <w:rPr>
          <w:sz w:val="24"/>
        </w:rPr>
        <w:t>a </w:t>
      </w:r>
      <w:r>
        <w:rPr>
          <w:i/>
          <w:sz w:val="24"/>
        </w:rPr>
        <w:t>distribution network</w:t>
      </w:r>
      <w:r>
        <w:rPr>
          <w:sz w:val="24"/>
        </w:rPr>
        <w:t>, together with the </w:t>
      </w:r>
      <w:r>
        <w:rPr>
          <w:i/>
          <w:sz w:val="24"/>
        </w:rPr>
        <w:t>connection assets </w:t>
      </w:r>
      <w:r>
        <w:rPr>
          <w:sz w:val="24"/>
        </w:rPr>
        <w:t>associated with the </w:t>
      </w:r>
      <w:r>
        <w:rPr>
          <w:i/>
          <w:sz w:val="24"/>
        </w:rPr>
        <w:t>distribution network</w:t>
      </w:r>
      <w:r>
        <w:rPr>
          <w:sz w:val="24"/>
        </w:rPr>
        <w:t>, which is connected to another </w:t>
      </w:r>
      <w:r>
        <w:rPr>
          <w:i/>
          <w:sz w:val="24"/>
        </w:rPr>
        <w:t>transmission</w:t>
      </w:r>
      <w:r>
        <w:rPr>
          <w:i/>
          <w:spacing w:val="26"/>
          <w:sz w:val="24"/>
        </w:rPr>
        <w:t> </w:t>
      </w:r>
      <w:r>
        <w:rPr>
          <w:i/>
          <w:sz w:val="24"/>
        </w:rPr>
        <w:t>or </w:t>
      </w:r>
      <w:r>
        <w:rPr>
          <w:i/>
          <w:sz w:val="24"/>
        </w:rPr>
        <w:t>distribution system </w:t>
      </w:r>
      <w:r>
        <w:rPr>
          <w:sz w:val="24"/>
        </w:rPr>
        <w:t>within the other </w:t>
      </w:r>
      <w:r>
        <w:rPr>
          <w:i/>
          <w:sz w:val="24"/>
        </w:rPr>
        <w:t>participating jurisdictions</w:t>
      </w:r>
      <w:r>
        <w:rPr>
          <w:sz w:val="24"/>
        </w:rPr>
        <w:t>;</w:t>
      </w:r>
      <w:r>
        <w:rPr>
          <w:spacing w:val="-4"/>
          <w:sz w:val="24"/>
        </w:rPr>
        <w:t> </w:t>
      </w:r>
      <w:r>
        <w:rPr>
          <w:sz w:val="24"/>
        </w:rPr>
        <w:t>or</w:t>
      </w:r>
    </w:p>
    <w:p>
      <w:pPr>
        <w:pStyle w:val="ListParagraph"/>
        <w:numPr>
          <w:ilvl w:val="0"/>
          <w:numId w:val="732"/>
        </w:numPr>
        <w:tabs>
          <w:tab w:pos="1919" w:val="left" w:leader="none"/>
        </w:tabs>
        <w:spacing w:line="240" w:lineRule="auto" w:before="120" w:after="0"/>
        <w:ind w:left="1919" w:right="416" w:hanging="567"/>
        <w:jc w:val="both"/>
        <w:rPr>
          <w:sz w:val="24"/>
        </w:rPr>
      </w:pPr>
      <w:r>
        <w:rPr>
          <w:sz w:val="24"/>
        </w:rPr>
        <w:t>a </w:t>
      </w:r>
      <w:r>
        <w:rPr>
          <w:i/>
          <w:sz w:val="24"/>
        </w:rPr>
        <w:t>distribution network </w:t>
      </w:r>
      <w:r>
        <w:rPr>
          <w:sz w:val="24"/>
        </w:rPr>
        <w:t>that forms part or all of a local electricity system, together with the </w:t>
      </w:r>
      <w:r>
        <w:rPr>
          <w:i/>
          <w:sz w:val="24"/>
        </w:rPr>
        <w:t>connection assets </w:t>
      </w:r>
      <w:r>
        <w:rPr>
          <w:sz w:val="24"/>
        </w:rPr>
        <w:t>associated with the </w:t>
      </w:r>
      <w:r>
        <w:rPr>
          <w:i/>
          <w:sz w:val="24"/>
        </w:rPr>
        <w:t>distribution</w:t>
      </w:r>
      <w:r>
        <w:rPr>
          <w:i/>
          <w:spacing w:val="-7"/>
          <w:sz w:val="24"/>
        </w:rPr>
        <w:t> </w:t>
      </w:r>
      <w:r>
        <w:rPr>
          <w:i/>
          <w:sz w:val="24"/>
        </w:rPr>
        <w:t>network</w:t>
      </w:r>
      <w:r>
        <w:rPr>
          <w:sz w:val="24"/>
        </w:rPr>
        <w:t>.</w:t>
      </w:r>
    </w:p>
    <w:p>
      <w:pPr>
        <w:spacing w:before="120"/>
        <w:ind w:left="1352" w:right="0" w:firstLine="0"/>
        <w:jc w:val="both"/>
        <w:rPr>
          <w:sz w:val="24"/>
        </w:rPr>
      </w:pPr>
      <w:r>
        <w:rPr>
          <w:i/>
          <w:sz w:val="24"/>
        </w:rPr>
        <w:t>Connection assets </w:t>
      </w:r>
      <w:r>
        <w:rPr>
          <w:sz w:val="24"/>
        </w:rPr>
        <w:t>on their own do not constitute a </w:t>
      </w:r>
      <w:r>
        <w:rPr>
          <w:i/>
          <w:sz w:val="24"/>
        </w:rPr>
        <w:t>distribution system</w:t>
      </w:r>
      <w:r>
        <w:rPr>
          <w:sz w:val="24"/>
        </w:rPr>
        <w:t>.</w:t>
      </w:r>
    </w:p>
    <w:p>
      <w:pPr>
        <w:pStyle w:val="Heading5"/>
        <w:rPr>
          <w:i/>
        </w:rPr>
      </w:pPr>
      <w:r>
        <w:rPr>
          <w:i/>
        </w:rPr>
        <w:t>Distribution System Operator</w:t>
      </w:r>
    </w:p>
    <w:p>
      <w:pPr>
        <w:spacing w:before="120"/>
        <w:ind w:left="1352" w:right="415" w:firstLine="0"/>
        <w:jc w:val="both"/>
        <w:rPr>
          <w:sz w:val="24"/>
        </w:rPr>
      </w:pPr>
      <w:r>
        <w:rPr>
          <w:sz w:val="24"/>
        </w:rPr>
        <w:t>A person who is responsible, under the </w:t>
      </w:r>
      <w:r>
        <w:rPr>
          <w:i/>
          <w:sz w:val="24"/>
        </w:rPr>
        <w:t>Rules </w:t>
      </w:r>
      <w:r>
        <w:rPr>
          <w:sz w:val="24"/>
        </w:rPr>
        <w:t>or otherwise, for controlling or operating any portion of a </w:t>
      </w:r>
      <w:r>
        <w:rPr>
          <w:i/>
          <w:sz w:val="24"/>
        </w:rPr>
        <w:t>distribution system </w:t>
      </w:r>
      <w:r>
        <w:rPr>
          <w:sz w:val="24"/>
        </w:rPr>
        <w:t>(including being responsible for directing its operations during </w:t>
      </w:r>
      <w:r>
        <w:rPr>
          <w:i/>
          <w:sz w:val="24"/>
        </w:rPr>
        <w:t>power system </w:t>
      </w:r>
      <w:r>
        <w:rPr>
          <w:sz w:val="24"/>
        </w:rPr>
        <w:t>emergencies) and who is registered by </w:t>
      </w:r>
      <w:r>
        <w:rPr>
          <w:i/>
          <w:sz w:val="24"/>
        </w:rPr>
        <w:t>AEMO </w:t>
      </w:r>
      <w:r>
        <w:rPr>
          <w:sz w:val="24"/>
        </w:rPr>
        <w:t>as a </w:t>
      </w:r>
      <w:r>
        <w:rPr>
          <w:i/>
          <w:sz w:val="24"/>
        </w:rPr>
        <w:t>Distribution System Operator </w:t>
      </w:r>
      <w:r>
        <w:rPr>
          <w:sz w:val="24"/>
        </w:rPr>
        <w:t>under Chapter</w:t>
      </w:r>
      <w:r>
        <w:rPr>
          <w:spacing w:val="-5"/>
          <w:sz w:val="24"/>
        </w:rPr>
        <w:t> </w:t>
      </w:r>
      <w:r>
        <w:rPr>
          <w:sz w:val="24"/>
        </w:rPr>
        <w:t>2.</w:t>
      </w:r>
    </w:p>
    <w:p>
      <w:pPr>
        <w:pStyle w:val="Heading5"/>
        <w:rPr>
          <w:i/>
        </w:rPr>
      </w:pPr>
      <w:r>
        <w:rPr>
          <w:i/>
        </w:rPr>
        <w:t>distribution use of system, distribution use of system service</w:t>
      </w:r>
    </w:p>
    <w:p>
      <w:pPr>
        <w:spacing w:before="120"/>
        <w:ind w:left="1352" w:right="415" w:firstLine="0"/>
        <w:jc w:val="both"/>
        <w:rPr>
          <w:sz w:val="24"/>
        </w:rPr>
      </w:pPr>
      <w:r>
        <w:rPr>
          <w:sz w:val="24"/>
        </w:rPr>
        <w:t>A service provided to a </w:t>
      </w:r>
      <w:r>
        <w:rPr>
          <w:i/>
          <w:sz w:val="24"/>
        </w:rPr>
        <w:t>Distribution Network User </w:t>
      </w:r>
      <w:r>
        <w:rPr>
          <w:sz w:val="24"/>
        </w:rPr>
        <w:t>for use of the </w:t>
      </w:r>
      <w:r>
        <w:rPr>
          <w:i/>
          <w:sz w:val="24"/>
        </w:rPr>
        <w:t>distribution </w:t>
      </w:r>
      <w:r>
        <w:rPr>
          <w:i/>
          <w:sz w:val="24"/>
        </w:rPr>
        <w:t>network </w:t>
      </w:r>
      <w:r>
        <w:rPr>
          <w:sz w:val="24"/>
        </w:rPr>
        <w:t>for the conveyance of electricity that can be reasonably allocated on a locational and/or </w:t>
      </w:r>
      <w:r>
        <w:rPr>
          <w:i/>
          <w:sz w:val="24"/>
        </w:rPr>
        <w:t>voltage </w:t>
      </w:r>
      <w:r>
        <w:rPr>
          <w:sz w:val="24"/>
        </w:rPr>
        <w:t>basis.</w:t>
      </w:r>
    </w:p>
    <w:p>
      <w:pPr>
        <w:pStyle w:val="Heading5"/>
        <w:jc w:val="left"/>
        <w:rPr>
          <w:i/>
        </w:rPr>
      </w:pPr>
      <w:r>
        <w:rPr>
          <w:i/>
        </w:rPr>
        <w:t>DMS</w:t>
      </w:r>
    </w:p>
    <w:p>
      <w:pPr>
        <w:spacing w:before="120"/>
        <w:ind w:left="1352" w:right="0" w:firstLine="0"/>
        <w:jc w:val="left"/>
        <w:rPr>
          <w:sz w:val="24"/>
        </w:rPr>
      </w:pPr>
      <w:r>
        <w:rPr>
          <w:sz w:val="24"/>
        </w:rPr>
        <w:t>A </w:t>
      </w:r>
      <w:r>
        <w:rPr>
          <w:i/>
          <w:sz w:val="24"/>
        </w:rPr>
        <w:t>dispute management system</w:t>
      </w:r>
      <w:r>
        <w:rPr>
          <w:sz w:val="24"/>
        </w:rPr>
        <w:t>.</w:t>
      </w:r>
    </w:p>
    <w:p>
      <w:pPr>
        <w:pStyle w:val="Heading5"/>
        <w:jc w:val="left"/>
        <w:rPr>
          <w:i/>
        </w:rPr>
      </w:pPr>
      <w:r>
        <w:rPr>
          <w:i/>
        </w:rPr>
        <w:t>DMS Contact</w:t>
      </w:r>
    </w:p>
    <w:p>
      <w:pPr>
        <w:spacing w:before="120"/>
        <w:ind w:left="1352" w:right="415" w:firstLine="0"/>
        <w:jc w:val="left"/>
        <w:rPr>
          <w:sz w:val="24"/>
        </w:rPr>
      </w:pPr>
      <w:r>
        <w:rPr>
          <w:sz w:val="24"/>
        </w:rPr>
        <w:t>A person appointed by a </w:t>
      </w:r>
      <w:r>
        <w:rPr>
          <w:i/>
          <w:sz w:val="24"/>
        </w:rPr>
        <w:t>Registered Participant </w:t>
      </w:r>
      <w:r>
        <w:rPr>
          <w:sz w:val="24"/>
        </w:rPr>
        <w:t>or </w:t>
      </w:r>
      <w:r>
        <w:rPr>
          <w:i/>
          <w:sz w:val="24"/>
        </w:rPr>
        <w:t>AEMO </w:t>
      </w:r>
      <w:r>
        <w:rPr>
          <w:sz w:val="24"/>
        </w:rPr>
        <w:t>pursuant to its </w:t>
      </w:r>
      <w:r>
        <w:rPr>
          <w:i/>
          <w:sz w:val="24"/>
        </w:rPr>
        <w:t>DMS </w:t>
      </w:r>
      <w:r>
        <w:rPr>
          <w:sz w:val="24"/>
        </w:rPr>
        <w:t>to be the first point of contact for the notification of disputes under clause 8.2.</w:t>
      </w:r>
    </w:p>
    <w:p>
      <w:pPr>
        <w:pStyle w:val="Heading5"/>
        <w:jc w:val="left"/>
        <w:rPr>
          <w:i/>
        </w:rPr>
      </w:pPr>
      <w:r>
        <w:rPr>
          <w:i/>
        </w:rPr>
        <w:t>DMS referral notice</w:t>
      </w:r>
    </w:p>
    <w:p>
      <w:pPr>
        <w:pStyle w:val="BodyText"/>
        <w:ind w:left="1352" w:firstLine="0"/>
        <w:jc w:val="left"/>
      </w:pPr>
      <w:r>
        <w:rPr/>
        <w:t>A notice served on a </w:t>
      </w:r>
      <w:r>
        <w:rPr>
          <w:i/>
        </w:rPr>
        <w:t>DMS Contact </w:t>
      </w:r>
      <w:r>
        <w:rPr/>
        <w:t>pursuant to clause 8.2.4(a).</w:t>
      </w:r>
    </w:p>
    <w:p>
      <w:pPr>
        <w:pStyle w:val="Heading5"/>
        <w:jc w:val="left"/>
        <w:rPr>
          <w:i/>
        </w:rPr>
      </w:pPr>
      <w:r>
        <w:rPr>
          <w:i/>
        </w:rPr>
        <w:t>DRP</w:t>
      </w:r>
    </w:p>
    <w:p>
      <w:pPr>
        <w:spacing w:before="120"/>
        <w:ind w:left="1352" w:right="0" w:firstLine="0"/>
        <w:jc w:val="left"/>
        <w:rPr>
          <w:sz w:val="24"/>
        </w:rPr>
      </w:pPr>
      <w:r>
        <w:rPr>
          <w:sz w:val="24"/>
        </w:rPr>
        <w:t>A </w:t>
      </w:r>
      <w:r>
        <w:rPr>
          <w:i/>
          <w:sz w:val="24"/>
        </w:rPr>
        <w:t>dispute resolution panel</w:t>
      </w:r>
      <w:r>
        <w:rPr>
          <w:sz w:val="24"/>
        </w:rPr>
        <w:t>.</w:t>
      </w:r>
    </w:p>
    <w:p>
      <w:pPr>
        <w:pStyle w:val="Heading5"/>
        <w:rPr>
          <w:i/>
        </w:rPr>
      </w:pPr>
      <w:r>
        <w:rPr>
          <w:i/>
        </w:rPr>
        <w:t>dual function asset</w:t>
      </w:r>
    </w:p>
    <w:p>
      <w:pPr>
        <w:spacing w:before="120"/>
        <w:ind w:left="1352" w:right="415" w:firstLine="0"/>
        <w:jc w:val="both"/>
        <w:rPr>
          <w:sz w:val="24"/>
        </w:rPr>
      </w:pPr>
      <w:r>
        <w:rPr>
          <w:sz w:val="24"/>
        </w:rPr>
        <w:t>Means any part of a </w:t>
      </w:r>
      <w:r>
        <w:rPr>
          <w:i/>
          <w:sz w:val="24"/>
        </w:rPr>
        <w:t>network </w:t>
      </w:r>
      <w:r>
        <w:rPr>
          <w:sz w:val="24"/>
        </w:rPr>
        <w:t>owned, operated or controlled by a </w:t>
      </w:r>
      <w:r>
        <w:rPr>
          <w:i/>
          <w:sz w:val="24"/>
        </w:rPr>
        <w:t>Distribution </w:t>
      </w:r>
      <w:r>
        <w:rPr>
          <w:i/>
          <w:sz w:val="24"/>
        </w:rPr>
        <w:t>Network Service Provider </w:t>
      </w:r>
      <w:r>
        <w:rPr>
          <w:sz w:val="24"/>
        </w:rPr>
        <w:t>which operates between 66 kV and 220 kV and which operates in parallel, and provides support, to the higher voltage </w:t>
      </w:r>
      <w:r>
        <w:rPr>
          <w:i/>
          <w:sz w:val="24"/>
        </w:rPr>
        <w:t>transmission </w:t>
      </w:r>
      <w:r>
        <w:rPr>
          <w:i/>
          <w:sz w:val="24"/>
        </w:rPr>
        <w:t>network </w:t>
      </w:r>
      <w:r>
        <w:rPr>
          <w:sz w:val="24"/>
        </w:rPr>
        <w:t>which is deemed by clause 6.24.2(a) to be a </w:t>
      </w:r>
      <w:r>
        <w:rPr>
          <w:i/>
          <w:sz w:val="24"/>
        </w:rPr>
        <w:t>dual function asset</w:t>
      </w:r>
      <w:r>
        <w:rPr>
          <w:sz w:val="24"/>
        </w:rPr>
        <w:t>. For the avoidance of doubt:</w:t>
      </w:r>
    </w:p>
    <w:p>
      <w:pPr>
        <w:pStyle w:val="ListParagraph"/>
        <w:numPr>
          <w:ilvl w:val="0"/>
          <w:numId w:val="733"/>
        </w:numPr>
        <w:tabs>
          <w:tab w:pos="1919" w:val="left" w:leader="none"/>
        </w:tabs>
        <w:spacing w:line="240" w:lineRule="auto" w:before="120" w:after="0"/>
        <w:ind w:left="1919" w:right="415" w:hanging="567"/>
        <w:jc w:val="both"/>
        <w:rPr>
          <w:sz w:val="24"/>
        </w:rPr>
      </w:pPr>
      <w:r>
        <w:rPr>
          <w:sz w:val="24"/>
        </w:rPr>
        <w:t>a </w:t>
      </w:r>
      <w:r>
        <w:rPr>
          <w:i/>
          <w:sz w:val="24"/>
        </w:rPr>
        <w:t>dual function asset </w:t>
      </w:r>
      <w:r>
        <w:rPr>
          <w:sz w:val="24"/>
        </w:rPr>
        <w:t>can only be an asset which forms part of a </w:t>
      </w:r>
      <w:r>
        <w:rPr>
          <w:i/>
          <w:sz w:val="24"/>
        </w:rPr>
        <w:t>network </w:t>
      </w:r>
      <w:r>
        <w:rPr>
          <w:sz w:val="24"/>
        </w:rPr>
        <w:t>that is predominantly a </w:t>
      </w:r>
      <w:r>
        <w:rPr>
          <w:i/>
          <w:sz w:val="24"/>
        </w:rPr>
        <w:t>distribution network</w:t>
      </w:r>
      <w:r>
        <w:rPr>
          <w:sz w:val="24"/>
        </w:rPr>
        <w:t>;</w:t>
      </w:r>
      <w:r>
        <w:rPr>
          <w:spacing w:val="-1"/>
          <w:sz w:val="24"/>
        </w:rPr>
        <w:t> </w:t>
      </w:r>
      <w:r>
        <w:rPr>
          <w:sz w:val="24"/>
        </w:rPr>
        <w:t>and</w:t>
      </w:r>
    </w:p>
    <w:p>
      <w:pPr>
        <w:pStyle w:val="ListParagraph"/>
        <w:numPr>
          <w:ilvl w:val="0"/>
          <w:numId w:val="733"/>
        </w:numPr>
        <w:tabs>
          <w:tab w:pos="1919" w:val="left" w:leader="none"/>
        </w:tabs>
        <w:spacing w:line="240" w:lineRule="auto" w:before="120" w:after="0"/>
        <w:ind w:left="1918" w:right="0" w:hanging="567"/>
        <w:jc w:val="both"/>
        <w:rPr>
          <w:sz w:val="24"/>
        </w:rPr>
      </w:pPr>
      <w:r>
        <w:rPr>
          <w:sz w:val="24"/>
        </w:rPr>
        <w:t>an</w:t>
      </w:r>
      <w:r>
        <w:rPr>
          <w:spacing w:val="45"/>
          <w:sz w:val="24"/>
        </w:rPr>
        <w:t> </w:t>
      </w:r>
      <w:r>
        <w:rPr>
          <w:sz w:val="24"/>
        </w:rPr>
        <w:t>asset</w:t>
      </w:r>
      <w:r>
        <w:rPr>
          <w:spacing w:val="44"/>
          <w:sz w:val="24"/>
        </w:rPr>
        <w:t> </w:t>
      </w:r>
      <w:r>
        <w:rPr>
          <w:sz w:val="24"/>
        </w:rPr>
        <w:t>which</w:t>
      </w:r>
      <w:r>
        <w:rPr>
          <w:spacing w:val="44"/>
          <w:sz w:val="24"/>
        </w:rPr>
        <w:t> </w:t>
      </w:r>
      <w:r>
        <w:rPr>
          <w:sz w:val="24"/>
        </w:rPr>
        <w:t>forms</w:t>
      </w:r>
      <w:r>
        <w:rPr>
          <w:spacing w:val="44"/>
          <w:sz w:val="24"/>
        </w:rPr>
        <w:t> </w:t>
      </w:r>
      <w:r>
        <w:rPr>
          <w:sz w:val="24"/>
        </w:rPr>
        <w:t>part</w:t>
      </w:r>
      <w:r>
        <w:rPr>
          <w:spacing w:val="44"/>
          <w:sz w:val="24"/>
        </w:rPr>
        <w:t> </w:t>
      </w:r>
      <w:r>
        <w:rPr>
          <w:sz w:val="24"/>
        </w:rPr>
        <w:t>of</w:t>
      </w:r>
      <w:r>
        <w:rPr>
          <w:spacing w:val="44"/>
          <w:sz w:val="24"/>
        </w:rPr>
        <w:t> </w:t>
      </w:r>
      <w:r>
        <w:rPr>
          <w:sz w:val="24"/>
        </w:rPr>
        <w:t>a</w:t>
      </w:r>
      <w:r>
        <w:rPr>
          <w:spacing w:val="44"/>
          <w:sz w:val="24"/>
        </w:rPr>
        <w:t> </w:t>
      </w:r>
      <w:r>
        <w:rPr>
          <w:i/>
          <w:sz w:val="24"/>
        </w:rPr>
        <w:t>network</w:t>
      </w:r>
      <w:r>
        <w:rPr>
          <w:i/>
          <w:spacing w:val="44"/>
          <w:sz w:val="24"/>
        </w:rPr>
        <w:t> </w:t>
      </w:r>
      <w:r>
        <w:rPr>
          <w:sz w:val="24"/>
        </w:rPr>
        <w:t>which</w:t>
      </w:r>
      <w:r>
        <w:rPr>
          <w:spacing w:val="45"/>
          <w:sz w:val="24"/>
        </w:rPr>
        <w:t> </w:t>
      </w:r>
      <w:r>
        <w:rPr>
          <w:sz w:val="24"/>
        </w:rPr>
        <w:t>is</w:t>
      </w:r>
      <w:r>
        <w:rPr>
          <w:spacing w:val="44"/>
          <w:sz w:val="24"/>
        </w:rPr>
        <w:t> </w:t>
      </w:r>
      <w:r>
        <w:rPr>
          <w:sz w:val="24"/>
        </w:rPr>
        <w:t>predominantly</w:t>
      </w:r>
      <w:r>
        <w:rPr>
          <w:spacing w:val="44"/>
          <w:sz w:val="24"/>
        </w:rPr>
        <w:t> </w:t>
      </w:r>
      <w:r>
        <w:rPr>
          <w:sz w:val="24"/>
        </w:rPr>
        <w:t>a</w:t>
      </w:r>
    </w:p>
    <w:p>
      <w:pPr>
        <w:spacing w:line="343" w:lineRule="auto" w:before="0"/>
        <w:ind w:left="1352" w:right="1052" w:firstLine="567"/>
        <w:jc w:val="both"/>
        <w:rPr>
          <w:sz w:val="24"/>
        </w:rPr>
      </w:pPr>
      <w:r>
        <w:rPr>
          <w:i/>
          <w:sz w:val="24"/>
        </w:rPr>
        <w:t>transmission network </w:t>
      </w:r>
      <w:r>
        <w:rPr>
          <w:sz w:val="24"/>
        </w:rPr>
        <w:t>cannot be characterised as a </w:t>
      </w:r>
      <w:r>
        <w:rPr>
          <w:i/>
          <w:sz w:val="24"/>
        </w:rPr>
        <w:t>dual function asset</w:t>
      </w:r>
      <w:r>
        <w:rPr>
          <w:sz w:val="24"/>
        </w:rPr>
        <w:t>, through the operation of clause 6.24.2(a).</w:t>
      </w:r>
    </w:p>
    <w:p>
      <w:pPr>
        <w:pStyle w:val="Heading5"/>
        <w:spacing w:before="3"/>
        <w:rPr>
          <w:i/>
        </w:rPr>
      </w:pPr>
      <w:r>
        <w:rPr>
          <w:i/>
        </w:rPr>
        <w:t>due date for payment</w:t>
      </w:r>
    </w:p>
    <w:p>
      <w:pPr>
        <w:pStyle w:val="BodyText"/>
        <w:ind w:left="1352" w:firstLine="0"/>
      </w:pPr>
      <w:r>
        <w:rPr/>
        <w:t>Has (in the context of Chapter 6B) the meaning given in clause 6B.A1.2.</w:t>
      </w:r>
    </w:p>
    <w:p>
      <w:pPr>
        <w:spacing w:after="0"/>
        <w:sectPr>
          <w:pgSz w:w="11910" w:h="16840"/>
          <w:pgMar w:header="686" w:footer="637" w:top="1320" w:bottom="820" w:left="1200" w:right="1000"/>
        </w:sectPr>
      </w:pPr>
    </w:p>
    <w:p>
      <w:pPr>
        <w:pStyle w:val="Heading5"/>
        <w:spacing w:before="83"/>
        <w:rPr>
          <w:i/>
        </w:rPr>
      </w:pPr>
      <w:r>
        <w:rPr>
          <w:i/>
        </w:rPr>
        <w:t>dynamic performance</w:t>
      </w:r>
    </w:p>
    <w:p>
      <w:pPr>
        <w:spacing w:before="120"/>
        <w:ind w:left="1352" w:right="0" w:firstLine="0"/>
        <w:jc w:val="both"/>
        <w:rPr>
          <w:sz w:val="24"/>
        </w:rPr>
      </w:pPr>
      <w:r>
        <w:rPr>
          <w:sz w:val="24"/>
        </w:rPr>
        <w:t>The response and behaviour of </w:t>
      </w:r>
      <w:r>
        <w:rPr>
          <w:i/>
          <w:sz w:val="24"/>
        </w:rPr>
        <w:t>networks </w:t>
      </w:r>
      <w:r>
        <w:rPr>
          <w:sz w:val="24"/>
        </w:rPr>
        <w:t>and </w:t>
      </w:r>
      <w:r>
        <w:rPr>
          <w:i/>
          <w:sz w:val="24"/>
        </w:rPr>
        <w:t>facilities </w:t>
      </w:r>
      <w:r>
        <w:rPr>
          <w:sz w:val="24"/>
        </w:rPr>
        <w:t>which are </w:t>
      </w:r>
      <w:r>
        <w:rPr>
          <w:i/>
          <w:sz w:val="24"/>
        </w:rPr>
        <w:t>connected </w:t>
      </w:r>
      <w:r>
        <w:rPr>
          <w:sz w:val="24"/>
        </w:rPr>
        <w:t>to the</w:t>
      </w:r>
    </w:p>
    <w:p>
      <w:pPr>
        <w:spacing w:before="0"/>
        <w:ind w:left="1352" w:right="0" w:firstLine="0"/>
        <w:jc w:val="both"/>
        <w:rPr>
          <w:sz w:val="24"/>
        </w:rPr>
      </w:pPr>
      <w:r>
        <w:rPr>
          <w:i/>
          <w:sz w:val="24"/>
        </w:rPr>
        <w:t>networks </w:t>
      </w:r>
      <w:r>
        <w:rPr>
          <w:sz w:val="24"/>
        </w:rPr>
        <w:t>when the </w:t>
      </w:r>
      <w:r>
        <w:rPr>
          <w:i/>
          <w:sz w:val="24"/>
        </w:rPr>
        <w:t>satisfactory operating state </w:t>
      </w:r>
      <w:r>
        <w:rPr>
          <w:sz w:val="24"/>
        </w:rPr>
        <w:t>of the </w:t>
      </w:r>
      <w:r>
        <w:rPr>
          <w:i/>
          <w:sz w:val="24"/>
        </w:rPr>
        <w:t>power system </w:t>
      </w:r>
      <w:r>
        <w:rPr>
          <w:sz w:val="24"/>
        </w:rPr>
        <w:t>is disturbed.</w:t>
      </w:r>
    </w:p>
    <w:p>
      <w:pPr>
        <w:pStyle w:val="Heading5"/>
        <w:rPr>
          <w:i/>
        </w:rPr>
      </w:pPr>
      <w:r>
        <w:rPr>
          <w:i/>
        </w:rPr>
        <w:t>EAAP guidelines</w:t>
      </w:r>
    </w:p>
    <w:p>
      <w:pPr>
        <w:spacing w:before="120"/>
        <w:ind w:left="1352" w:right="0" w:firstLine="0"/>
        <w:jc w:val="both"/>
        <w:rPr>
          <w:i/>
          <w:sz w:val="24"/>
        </w:rPr>
      </w:pPr>
      <w:r>
        <w:rPr>
          <w:sz w:val="24"/>
        </w:rPr>
        <w:t>The guidelines </w:t>
      </w:r>
      <w:r>
        <w:rPr>
          <w:i/>
          <w:sz w:val="24"/>
        </w:rPr>
        <w:t>published </w:t>
      </w:r>
      <w:r>
        <w:rPr>
          <w:sz w:val="24"/>
        </w:rPr>
        <w:t>by </w:t>
      </w:r>
      <w:r>
        <w:rPr>
          <w:i/>
          <w:sz w:val="24"/>
        </w:rPr>
        <w:t>AEMO </w:t>
      </w:r>
      <w:r>
        <w:rPr>
          <w:sz w:val="24"/>
        </w:rPr>
        <w:t>in accordance with clause 3.7C(k) that </w:t>
      </w:r>
      <w:r>
        <w:rPr>
          <w:i/>
          <w:sz w:val="24"/>
        </w:rPr>
        <w:t>AEMO</w:t>
      </w:r>
    </w:p>
    <w:p>
      <w:pPr>
        <w:pStyle w:val="BodyText"/>
        <w:spacing w:before="0"/>
        <w:ind w:left="1352" w:firstLine="0"/>
      </w:pPr>
      <w:r>
        <w:rPr/>
        <w:t>must comply with in preparing the </w:t>
      </w:r>
      <w:r>
        <w:rPr>
          <w:i/>
        </w:rPr>
        <w:t>EAAP</w:t>
      </w:r>
      <w:r>
        <w:rPr/>
        <w:t>.</w:t>
      </w:r>
    </w:p>
    <w:p>
      <w:pPr>
        <w:pStyle w:val="Heading5"/>
        <w:rPr>
          <w:i/>
        </w:rPr>
      </w:pPr>
      <w:r>
        <w:rPr>
          <w:i/>
        </w:rPr>
        <w:t>EAAP principles</w:t>
      </w:r>
    </w:p>
    <w:p>
      <w:pPr>
        <w:spacing w:before="120"/>
        <w:ind w:left="1352" w:right="415" w:firstLine="0"/>
        <w:jc w:val="both"/>
        <w:rPr>
          <w:sz w:val="24"/>
        </w:rPr>
      </w:pPr>
      <w:r>
        <w:rPr>
          <w:sz w:val="24"/>
        </w:rPr>
        <w:t>The principles referred to in clause 3.7C(b) that </w:t>
      </w:r>
      <w:r>
        <w:rPr>
          <w:i/>
          <w:sz w:val="24"/>
        </w:rPr>
        <w:t>AEMO </w:t>
      </w:r>
      <w:r>
        <w:rPr>
          <w:sz w:val="24"/>
        </w:rPr>
        <w:t>must comply with in preparing the </w:t>
      </w:r>
      <w:r>
        <w:rPr>
          <w:i/>
          <w:sz w:val="24"/>
        </w:rPr>
        <w:t>EAAP </w:t>
      </w:r>
      <w:r>
        <w:rPr>
          <w:sz w:val="24"/>
        </w:rPr>
        <w:t>and the </w:t>
      </w:r>
      <w:r>
        <w:rPr>
          <w:i/>
          <w:sz w:val="24"/>
        </w:rPr>
        <w:t>EAAP guidelines</w:t>
      </w:r>
      <w:r>
        <w:rPr>
          <w:sz w:val="24"/>
        </w:rPr>
        <w:t>.</w:t>
      </w:r>
    </w:p>
    <w:p>
      <w:pPr>
        <w:pStyle w:val="Heading5"/>
        <w:rPr>
          <w:i/>
        </w:rPr>
      </w:pPr>
      <w:r>
        <w:rPr>
          <w:i/>
        </w:rPr>
        <w:t>Eastern Standard Time (EST)</w:t>
      </w:r>
    </w:p>
    <w:p>
      <w:pPr>
        <w:spacing w:before="120"/>
        <w:ind w:left="1352" w:right="0" w:firstLine="0"/>
        <w:jc w:val="both"/>
        <w:rPr>
          <w:sz w:val="24"/>
        </w:rPr>
      </w:pPr>
      <w:r>
        <w:rPr>
          <w:sz w:val="24"/>
        </w:rPr>
        <w:t>The time which is set at 10 hours in advance of </w:t>
      </w:r>
      <w:r>
        <w:rPr>
          <w:i/>
          <w:sz w:val="24"/>
        </w:rPr>
        <w:t>Co-ordinated Universal Time</w:t>
      </w:r>
      <w:r>
        <w:rPr>
          <w:sz w:val="24"/>
        </w:rPr>
        <w:t>.</w:t>
      </w:r>
    </w:p>
    <w:p>
      <w:pPr>
        <w:pStyle w:val="Heading5"/>
        <w:rPr>
          <w:i/>
        </w:rPr>
      </w:pPr>
      <w:r>
        <w:rPr>
          <w:i/>
        </w:rPr>
        <w:t>EFCS settings schedule</w:t>
      </w:r>
    </w:p>
    <w:p>
      <w:pPr>
        <w:spacing w:before="120"/>
        <w:ind w:left="1352" w:right="415" w:firstLine="0"/>
        <w:jc w:val="both"/>
        <w:rPr>
          <w:sz w:val="24"/>
        </w:rPr>
      </w:pPr>
      <w:r>
        <w:rPr>
          <w:sz w:val="24"/>
        </w:rPr>
        <w:t>The schedules developed by </w:t>
      </w:r>
      <w:r>
        <w:rPr>
          <w:i/>
          <w:sz w:val="24"/>
        </w:rPr>
        <w:t>AEMO </w:t>
      </w:r>
      <w:r>
        <w:rPr>
          <w:sz w:val="24"/>
        </w:rPr>
        <w:t>for each </w:t>
      </w:r>
      <w:r>
        <w:rPr>
          <w:i/>
          <w:sz w:val="24"/>
        </w:rPr>
        <w:t>participating jurisdiction </w:t>
      </w:r>
      <w:r>
        <w:rPr>
          <w:sz w:val="24"/>
        </w:rPr>
        <w:t>in accordance with clause 4.3.2(h)(2) specifying the settings for </w:t>
      </w:r>
      <w:r>
        <w:rPr>
          <w:i/>
          <w:sz w:val="24"/>
        </w:rPr>
        <w:t>emergency </w:t>
      </w:r>
      <w:r>
        <w:rPr>
          <w:i/>
          <w:sz w:val="24"/>
        </w:rPr>
        <w:t>frequency control schemes </w:t>
      </w:r>
      <w:r>
        <w:rPr>
          <w:sz w:val="24"/>
        </w:rPr>
        <w:t>affecting </w:t>
      </w:r>
      <w:r>
        <w:rPr>
          <w:i/>
          <w:sz w:val="24"/>
        </w:rPr>
        <w:t>regions </w:t>
      </w:r>
      <w:r>
        <w:rPr>
          <w:sz w:val="24"/>
        </w:rPr>
        <w:t>in the </w:t>
      </w:r>
      <w:r>
        <w:rPr>
          <w:i/>
          <w:sz w:val="24"/>
        </w:rPr>
        <w:t>participating</w:t>
      </w:r>
      <w:r>
        <w:rPr>
          <w:i/>
          <w:spacing w:val="-10"/>
          <w:sz w:val="24"/>
        </w:rPr>
        <w:t> </w:t>
      </w:r>
      <w:r>
        <w:rPr>
          <w:i/>
          <w:sz w:val="24"/>
        </w:rPr>
        <w:t>jurisdiction</w:t>
      </w:r>
      <w:r>
        <w:rPr>
          <w:sz w:val="24"/>
        </w:rPr>
        <w:t>.</w:t>
      </w:r>
    </w:p>
    <w:p>
      <w:pPr>
        <w:pStyle w:val="Heading5"/>
        <w:rPr>
          <w:i/>
        </w:rPr>
      </w:pPr>
      <w:r>
        <w:rPr>
          <w:i/>
        </w:rPr>
        <w:t>efficiency benefit sharing scheme</w:t>
      </w:r>
    </w:p>
    <w:p>
      <w:pPr>
        <w:spacing w:before="120"/>
        <w:ind w:left="1352" w:right="0" w:firstLine="0"/>
        <w:jc w:val="left"/>
        <w:rPr>
          <w:sz w:val="24"/>
        </w:rPr>
      </w:pPr>
      <w:r>
        <w:rPr>
          <w:sz w:val="24"/>
        </w:rPr>
        <w:t>For a </w:t>
      </w:r>
      <w:r>
        <w:rPr>
          <w:i/>
          <w:sz w:val="24"/>
        </w:rPr>
        <w:t>Transmission Network Service Provider </w:t>
      </w:r>
      <w:r>
        <w:rPr>
          <w:sz w:val="24"/>
        </w:rPr>
        <w:t>– a scheme developed and</w:t>
      </w:r>
    </w:p>
    <w:p>
      <w:pPr>
        <w:spacing w:before="0"/>
        <w:ind w:left="1352" w:right="0" w:firstLine="0"/>
        <w:jc w:val="left"/>
        <w:rPr>
          <w:sz w:val="24"/>
        </w:rPr>
      </w:pPr>
      <w:r>
        <w:rPr>
          <w:i/>
          <w:sz w:val="24"/>
        </w:rPr>
        <w:t>published </w:t>
      </w:r>
      <w:r>
        <w:rPr>
          <w:sz w:val="24"/>
        </w:rPr>
        <w:t>by the </w:t>
      </w:r>
      <w:r>
        <w:rPr>
          <w:i/>
          <w:sz w:val="24"/>
        </w:rPr>
        <w:t>AER </w:t>
      </w:r>
      <w:r>
        <w:rPr>
          <w:sz w:val="24"/>
        </w:rPr>
        <w:t>under clause 6A.5.</w:t>
      </w:r>
    </w:p>
    <w:p>
      <w:pPr>
        <w:spacing w:before="120"/>
        <w:ind w:left="1352" w:right="0" w:firstLine="0"/>
        <w:jc w:val="left"/>
        <w:rPr>
          <w:i/>
          <w:sz w:val="24"/>
        </w:rPr>
      </w:pPr>
      <w:r>
        <w:rPr>
          <w:sz w:val="24"/>
        </w:rPr>
        <w:t>For a </w:t>
      </w:r>
      <w:r>
        <w:rPr>
          <w:i/>
          <w:sz w:val="24"/>
        </w:rPr>
        <w:t>Distribution Network Service Provider </w:t>
      </w:r>
      <w:r>
        <w:rPr>
          <w:sz w:val="24"/>
        </w:rPr>
        <w:t>– a scheme developed and </w:t>
      </w:r>
      <w:r>
        <w:rPr>
          <w:i/>
          <w:sz w:val="24"/>
        </w:rPr>
        <w:t>published</w:t>
      </w:r>
    </w:p>
    <w:p>
      <w:pPr>
        <w:pStyle w:val="BodyText"/>
        <w:spacing w:before="0"/>
        <w:ind w:left="1352" w:firstLine="0"/>
        <w:jc w:val="left"/>
      </w:pPr>
      <w:r>
        <w:rPr/>
        <w:t>by the </w:t>
      </w:r>
      <w:r>
        <w:rPr>
          <w:i/>
        </w:rPr>
        <w:t>AER </w:t>
      </w:r>
      <w:r>
        <w:rPr/>
        <w:t>under clause 6.5.8.</w:t>
      </w:r>
    </w:p>
    <w:p>
      <w:pPr>
        <w:pStyle w:val="Heading5"/>
        <w:jc w:val="left"/>
        <w:rPr>
          <w:i/>
        </w:rPr>
      </w:pPr>
      <w:r>
        <w:rPr>
          <w:i/>
        </w:rPr>
        <w:t>efficiency benefit sharing scheme parameters</w:t>
      </w:r>
    </w:p>
    <w:p>
      <w:pPr>
        <w:spacing w:before="120"/>
        <w:ind w:left="1352" w:right="415" w:firstLine="0"/>
        <w:jc w:val="left"/>
        <w:rPr>
          <w:sz w:val="24"/>
        </w:rPr>
      </w:pPr>
      <w:r>
        <w:rPr>
          <w:sz w:val="24"/>
        </w:rPr>
        <w:t>For an </w:t>
      </w:r>
      <w:r>
        <w:rPr>
          <w:i/>
          <w:sz w:val="24"/>
        </w:rPr>
        <w:t>efficiency benefit sharing scheme</w:t>
      </w:r>
      <w:r>
        <w:rPr>
          <w:sz w:val="24"/>
        </w:rPr>
        <w:t>, those parameters that are </w:t>
      </w:r>
      <w:r>
        <w:rPr>
          <w:i/>
          <w:sz w:val="24"/>
        </w:rPr>
        <w:t>published </w:t>
      </w:r>
      <w:r>
        <w:rPr>
          <w:sz w:val="24"/>
        </w:rPr>
        <w:t>by the </w:t>
      </w:r>
      <w:r>
        <w:rPr>
          <w:i/>
          <w:sz w:val="24"/>
        </w:rPr>
        <w:t>AER </w:t>
      </w:r>
      <w:r>
        <w:rPr>
          <w:sz w:val="24"/>
        </w:rPr>
        <w:t>in respect of that scheme pursuant to clause 6A.6.5(c).</w:t>
      </w:r>
    </w:p>
    <w:p>
      <w:pPr>
        <w:pStyle w:val="Heading5"/>
        <w:jc w:val="left"/>
        <w:rPr>
          <w:i/>
        </w:rPr>
      </w:pPr>
      <w:r>
        <w:rPr>
          <w:i/>
        </w:rPr>
        <w:t>electrical energy loss</w:t>
      </w:r>
    </w:p>
    <w:p>
      <w:pPr>
        <w:pStyle w:val="BodyText"/>
        <w:ind w:left="1352" w:firstLine="0"/>
        <w:jc w:val="left"/>
      </w:pPr>
      <w:r>
        <w:rPr>
          <w:i/>
        </w:rPr>
        <w:t>Energy </w:t>
      </w:r>
      <w:r>
        <w:rPr/>
        <w:t>loss incurred in the production, transportation and/or use of electricity.</w:t>
      </w:r>
    </w:p>
    <w:p>
      <w:pPr>
        <w:pStyle w:val="Heading5"/>
        <w:jc w:val="left"/>
        <w:rPr>
          <w:i/>
        </w:rPr>
      </w:pPr>
      <w:r>
        <w:rPr>
          <w:i/>
        </w:rPr>
        <w:t>electrical sub-network</w:t>
      </w:r>
    </w:p>
    <w:p>
      <w:pPr>
        <w:spacing w:before="120"/>
        <w:ind w:left="1352" w:right="565" w:firstLine="0"/>
        <w:jc w:val="left"/>
        <w:rPr>
          <w:sz w:val="24"/>
        </w:rPr>
      </w:pPr>
      <w:r>
        <w:rPr>
          <w:sz w:val="24"/>
        </w:rPr>
        <w:t>A part of the </w:t>
      </w:r>
      <w:r>
        <w:rPr>
          <w:i/>
          <w:sz w:val="24"/>
        </w:rPr>
        <w:t>national grid </w:t>
      </w:r>
      <w:r>
        <w:rPr>
          <w:sz w:val="24"/>
        </w:rPr>
        <w:t>determined by </w:t>
      </w:r>
      <w:r>
        <w:rPr>
          <w:i/>
          <w:sz w:val="24"/>
        </w:rPr>
        <w:t>AEMO </w:t>
      </w:r>
      <w:r>
        <w:rPr>
          <w:sz w:val="24"/>
        </w:rPr>
        <w:t>in accordance with</w:t>
      </w:r>
      <w:r>
        <w:rPr>
          <w:spacing w:val="29"/>
          <w:sz w:val="24"/>
        </w:rPr>
        <w:t> </w:t>
      </w:r>
      <w:r>
        <w:rPr>
          <w:sz w:val="24"/>
        </w:rPr>
        <w:t>clause 3.11.8.</w:t>
      </w:r>
    </w:p>
    <w:p>
      <w:pPr>
        <w:pStyle w:val="Heading5"/>
        <w:jc w:val="left"/>
        <w:rPr>
          <w:i/>
        </w:rPr>
      </w:pPr>
      <w:r>
        <w:rPr>
          <w:i/>
        </w:rPr>
        <w:t>Electricity Procedures</w:t>
      </w:r>
    </w:p>
    <w:p>
      <w:pPr>
        <w:pStyle w:val="BodyText"/>
        <w:ind w:left="1352" w:firstLine="0"/>
        <w:jc w:val="left"/>
      </w:pPr>
      <w:r>
        <w:rPr/>
        <w:t>Procedures made under these </w:t>
      </w:r>
      <w:r>
        <w:rPr>
          <w:i/>
        </w:rPr>
        <w:t>Rules </w:t>
      </w:r>
      <w:r>
        <w:rPr/>
        <w:t>including:</w:t>
      </w:r>
    </w:p>
    <w:p>
      <w:pPr>
        <w:pStyle w:val="ListParagraph"/>
        <w:numPr>
          <w:ilvl w:val="0"/>
          <w:numId w:val="734"/>
        </w:numPr>
        <w:tabs>
          <w:tab w:pos="1918" w:val="left" w:leader="none"/>
          <w:tab w:pos="1919" w:val="left" w:leader="none"/>
        </w:tabs>
        <w:spacing w:line="240" w:lineRule="auto" w:before="120" w:after="0"/>
        <w:ind w:left="1918" w:right="0" w:hanging="567"/>
        <w:jc w:val="left"/>
        <w:rPr>
          <w:sz w:val="24"/>
        </w:rPr>
      </w:pPr>
      <w:r>
        <w:rPr>
          <w:i/>
          <w:sz w:val="24"/>
        </w:rPr>
        <w:t>Retail Market Procedures</w:t>
      </w:r>
      <w:r>
        <w:rPr>
          <w:sz w:val="24"/>
        </w:rPr>
        <w:t>;</w:t>
      </w:r>
      <w:r>
        <w:rPr>
          <w:spacing w:val="-1"/>
          <w:sz w:val="24"/>
        </w:rPr>
        <w:t> </w:t>
      </w:r>
      <w:r>
        <w:rPr>
          <w:sz w:val="24"/>
        </w:rPr>
        <w:t>and</w:t>
      </w:r>
    </w:p>
    <w:p>
      <w:pPr>
        <w:pStyle w:val="ListParagraph"/>
        <w:numPr>
          <w:ilvl w:val="0"/>
          <w:numId w:val="734"/>
        </w:numPr>
        <w:tabs>
          <w:tab w:pos="1918" w:val="left" w:leader="none"/>
          <w:tab w:pos="1919" w:val="left" w:leader="none"/>
        </w:tabs>
        <w:spacing w:line="240" w:lineRule="auto" w:before="120" w:after="0"/>
        <w:ind w:left="1918" w:right="0" w:hanging="567"/>
        <w:jc w:val="left"/>
        <w:rPr>
          <w:sz w:val="24"/>
        </w:rPr>
      </w:pPr>
      <w:r>
        <w:rPr>
          <w:sz w:val="24"/>
        </w:rPr>
        <w:t>procedures governing the operation of the </w:t>
      </w:r>
      <w:r>
        <w:rPr>
          <w:i/>
          <w:sz w:val="24"/>
        </w:rPr>
        <w:t>National Electricity Market</w:t>
      </w:r>
      <w:r>
        <w:rPr>
          <w:sz w:val="24"/>
        </w:rPr>
        <w:t>;</w:t>
      </w:r>
      <w:r>
        <w:rPr>
          <w:spacing w:val="-3"/>
          <w:sz w:val="24"/>
        </w:rPr>
        <w:t> </w:t>
      </w:r>
      <w:r>
        <w:rPr>
          <w:sz w:val="24"/>
        </w:rPr>
        <w:t>and</w:t>
      </w:r>
    </w:p>
    <w:p>
      <w:pPr>
        <w:pStyle w:val="ListParagraph"/>
        <w:numPr>
          <w:ilvl w:val="0"/>
          <w:numId w:val="734"/>
        </w:numPr>
        <w:tabs>
          <w:tab w:pos="1918" w:val="left" w:leader="none"/>
          <w:tab w:pos="1919" w:val="left" w:leader="none"/>
        </w:tabs>
        <w:spacing w:line="240" w:lineRule="auto" w:before="120" w:after="0"/>
        <w:ind w:left="1918" w:right="0" w:hanging="567"/>
        <w:jc w:val="left"/>
        <w:rPr>
          <w:sz w:val="24"/>
        </w:rPr>
      </w:pPr>
      <w:r>
        <w:rPr>
          <w:i/>
          <w:sz w:val="24"/>
        </w:rPr>
        <w:t>RoLR procedures </w:t>
      </w:r>
      <w:r>
        <w:rPr>
          <w:sz w:val="24"/>
        </w:rPr>
        <w:t>for electricity;</w:t>
      </w:r>
      <w:r>
        <w:rPr>
          <w:spacing w:val="-1"/>
          <w:sz w:val="24"/>
        </w:rPr>
        <w:t> </w:t>
      </w:r>
      <w:r>
        <w:rPr>
          <w:sz w:val="24"/>
        </w:rPr>
        <w:t>and</w:t>
      </w:r>
    </w:p>
    <w:p>
      <w:pPr>
        <w:pStyle w:val="ListParagraph"/>
        <w:numPr>
          <w:ilvl w:val="0"/>
          <w:numId w:val="734"/>
        </w:numPr>
        <w:tabs>
          <w:tab w:pos="1918" w:val="left" w:leader="none"/>
          <w:tab w:pos="1919" w:val="left" w:leader="none"/>
        </w:tabs>
        <w:spacing w:line="240" w:lineRule="auto" w:before="120" w:after="0"/>
        <w:ind w:left="1919" w:right="416" w:hanging="567"/>
        <w:jc w:val="left"/>
        <w:rPr>
          <w:sz w:val="24"/>
        </w:rPr>
      </w:pPr>
      <w:r>
        <w:rPr>
          <w:sz w:val="24"/>
        </w:rPr>
        <w:t>procedures dealing with any other subject on which these </w:t>
      </w:r>
      <w:r>
        <w:rPr>
          <w:i/>
          <w:sz w:val="24"/>
        </w:rPr>
        <w:t>Rules </w:t>
      </w:r>
      <w:r>
        <w:rPr>
          <w:sz w:val="24"/>
        </w:rPr>
        <w:t>empower the making of</w:t>
      </w:r>
      <w:r>
        <w:rPr>
          <w:spacing w:val="-1"/>
          <w:sz w:val="24"/>
        </w:rPr>
        <w:t> </w:t>
      </w:r>
      <w:r>
        <w:rPr>
          <w:sz w:val="24"/>
        </w:rPr>
        <w:t>procedures.</w:t>
      </w:r>
    </w:p>
    <w:p>
      <w:pPr>
        <w:pStyle w:val="Heading5"/>
        <w:jc w:val="left"/>
        <w:rPr>
          <w:i/>
        </w:rPr>
      </w:pPr>
      <w:r>
        <w:rPr>
          <w:i/>
        </w:rPr>
        <w:t>electricity retail supply code</w:t>
      </w:r>
    </w:p>
    <w:p>
      <w:pPr>
        <w:spacing w:before="120"/>
        <w:ind w:left="1352" w:right="416" w:firstLine="0"/>
        <w:jc w:val="both"/>
        <w:rPr>
          <w:sz w:val="24"/>
        </w:rPr>
      </w:pPr>
      <w:r>
        <w:rPr>
          <w:sz w:val="24"/>
        </w:rPr>
        <w:t>The </w:t>
      </w:r>
      <w:r>
        <w:rPr>
          <w:i/>
          <w:sz w:val="24"/>
        </w:rPr>
        <w:t>Electricity Retail Supply Code </w:t>
      </w:r>
      <w:r>
        <w:rPr>
          <w:sz w:val="24"/>
        </w:rPr>
        <w:t>made by the Utilities Commission under section 24 of the </w:t>
      </w:r>
      <w:r>
        <w:rPr>
          <w:i/>
          <w:sz w:val="24"/>
        </w:rPr>
        <w:t>Utilities Commission Act 2000 </w:t>
      </w:r>
      <w:r>
        <w:rPr>
          <w:sz w:val="24"/>
        </w:rPr>
        <w:t>(NT) (as published by the Utilities Commission from time to</w:t>
      </w:r>
      <w:r>
        <w:rPr>
          <w:spacing w:val="-1"/>
          <w:sz w:val="24"/>
        </w:rPr>
        <w:t> </w:t>
      </w:r>
      <w:r>
        <w:rPr>
          <w:sz w:val="24"/>
        </w:rPr>
        <w:t>time).</w:t>
      </w:r>
    </w:p>
    <w:p>
      <w:pPr>
        <w:spacing w:after="0"/>
        <w:jc w:val="both"/>
        <w:rPr>
          <w:sz w:val="24"/>
        </w:rPr>
        <w:sectPr>
          <w:pgSz w:w="11910" w:h="16840"/>
          <w:pgMar w:header="686" w:footer="637" w:top="1320" w:bottom="820" w:left="1200" w:right="1000"/>
        </w:sectPr>
      </w:pPr>
    </w:p>
    <w:p>
      <w:pPr>
        <w:pStyle w:val="Heading5"/>
        <w:spacing w:before="83"/>
        <w:rPr>
          <w:i/>
        </w:rPr>
      </w:pPr>
      <w:r>
        <w:rPr>
          <w:i/>
        </w:rPr>
        <w:t>electronic communication system</w:t>
      </w:r>
    </w:p>
    <w:p>
      <w:pPr>
        <w:spacing w:before="120"/>
        <w:ind w:left="1352" w:right="415" w:firstLine="0"/>
        <w:jc w:val="both"/>
        <w:rPr>
          <w:sz w:val="24"/>
        </w:rPr>
      </w:pPr>
      <w:r>
        <w:rPr>
          <w:sz w:val="24"/>
        </w:rPr>
        <w:t>Includes the electronic communication and the </w:t>
      </w:r>
      <w:r>
        <w:rPr>
          <w:i/>
          <w:sz w:val="24"/>
        </w:rPr>
        <w:t>electronic data transfer </w:t>
      </w:r>
      <w:r>
        <w:rPr>
          <w:sz w:val="24"/>
        </w:rPr>
        <w:t>system provided to </w:t>
      </w:r>
      <w:r>
        <w:rPr>
          <w:i/>
          <w:sz w:val="24"/>
        </w:rPr>
        <w:t>Registered Participants </w:t>
      </w:r>
      <w:r>
        <w:rPr>
          <w:sz w:val="24"/>
        </w:rPr>
        <w:t>by </w:t>
      </w:r>
      <w:r>
        <w:rPr>
          <w:i/>
          <w:sz w:val="24"/>
        </w:rPr>
        <w:t>AEMO</w:t>
      </w:r>
      <w:r>
        <w:rPr>
          <w:sz w:val="24"/>
        </w:rPr>
        <w:t>.</w:t>
      </w:r>
    </w:p>
    <w:p>
      <w:pPr>
        <w:pStyle w:val="Heading5"/>
        <w:rPr>
          <w:i/>
        </w:rPr>
      </w:pPr>
      <w:r>
        <w:rPr>
          <w:i/>
        </w:rPr>
        <w:t>electronic data transfer</w:t>
      </w:r>
    </w:p>
    <w:p>
      <w:pPr>
        <w:pStyle w:val="BodyText"/>
        <w:ind w:left="1352" w:firstLine="0"/>
      </w:pPr>
      <w:r>
        <w:rPr/>
        <w:t>The transfer of data by electronic means from one location to another.</w:t>
      </w:r>
    </w:p>
    <w:p>
      <w:pPr>
        <w:pStyle w:val="Heading5"/>
        <w:rPr>
          <w:i/>
        </w:rPr>
      </w:pPr>
      <w:r>
        <w:rPr>
          <w:i/>
        </w:rPr>
        <w:t>eligible pass through amount</w:t>
      </w:r>
    </w:p>
    <w:p>
      <w:pPr>
        <w:spacing w:before="120"/>
        <w:ind w:left="1352" w:right="413" w:firstLine="0"/>
        <w:jc w:val="both"/>
        <w:rPr>
          <w:sz w:val="24"/>
        </w:rPr>
      </w:pPr>
      <w:r>
        <w:rPr>
          <w:sz w:val="24"/>
        </w:rPr>
        <w:t>In respect of a </w:t>
      </w:r>
      <w:r>
        <w:rPr>
          <w:i/>
          <w:sz w:val="24"/>
        </w:rPr>
        <w:t>positive change event </w:t>
      </w:r>
      <w:r>
        <w:rPr>
          <w:sz w:val="24"/>
        </w:rPr>
        <w:t>for a </w:t>
      </w:r>
      <w:r>
        <w:rPr>
          <w:i/>
          <w:sz w:val="24"/>
        </w:rPr>
        <w:t>Transmission Network Service </w:t>
      </w:r>
      <w:r>
        <w:rPr>
          <w:i/>
          <w:sz w:val="24"/>
        </w:rPr>
        <w:t>Provider</w:t>
      </w:r>
      <w:r>
        <w:rPr>
          <w:sz w:val="24"/>
        </w:rPr>
        <w:t>, the increase in costs in the provision of </w:t>
      </w:r>
      <w:r>
        <w:rPr>
          <w:i/>
          <w:sz w:val="24"/>
        </w:rPr>
        <w:t>prescribed transmission services </w:t>
      </w:r>
      <w:r>
        <w:rPr>
          <w:sz w:val="24"/>
        </w:rPr>
        <w:t>that, as a result of that </w:t>
      </w:r>
      <w:r>
        <w:rPr>
          <w:i/>
          <w:sz w:val="24"/>
        </w:rPr>
        <w:t>positive change event</w:t>
      </w:r>
      <w:r>
        <w:rPr>
          <w:sz w:val="24"/>
        </w:rPr>
        <w:t>, the </w:t>
      </w:r>
      <w:r>
        <w:rPr>
          <w:i/>
          <w:sz w:val="24"/>
        </w:rPr>
        <w:t>Transmission Network Service </w:t>
      </w:r>
      <w:r>
        <w:rPr>
          <w:i/>
          <w:sz w:val="24"/>
        </w:rPr>
        <w:t>Provider </w:t>
      </w:r>
      <w:r>
        <w:rPr>
          <w:sz w:val="24"/>
        </w:rPr>
        <w:t>has incurred and is likely to incur (as opposed to the revenue impact of that event)</w:t>
      </w:r>
      <w:r>
        <w:rPr>
          <w:spacing w:val="-2"/>
          <w:sz w:val="24"/>
        </w:rPr>
        <w:t> </w:t>
      </w:r>
      <w:r>
        <w:rPr>
          <w:sz w:val="24"/>
        </w:rPr>
        <w:t>until:</w:t>
      </w:r>
    </w:p>
    <w:p>
      <w:pPr>
        <w:pStyle w:val="ListParagraph"/>
        <w:numPr>
          <w:ilvl w:val="0"/>
          <w:numId w:val="735"/>
        </w:numPr>
        <w:tabs>
          <w:tab w:pos="1919" w:val="left" w:leader="none"/>
        </w:tabs>
        <w:spacing w:line="240" w:lineRule="auto" w:before="120" w:after="0"/>
        <w:ind w:left="1919" w:right="415" w:hanging="567"/>
        <w:jc w:val="both"/>
        <w:rPr>
          <w:sz w:val="24"/>
        </w:rPr>
      </w:pPr>
      <w:r>
        <w:rPr>
          <w:sz w:val="24"/>
        </w:rPr>
        <w:t>unless paragraph(b) applies – the end of the </w:t>
      </w:r>
      <w:r>
        <w:rPr>
          <w:i/>
          <w:sz w:val="24"/>
        </w:rPr>
        <w:t>regulatory control period </w:t>
      </w:r>
      <w:r>
        <w:rPr>
          <w:sz w:val="24"/>
        </w:rPr>
        <w:t>in which the </w:t>
      </w:r>
      <w:r>
        <w:rPr>
          <w:i/>
          <w:sz w:val="24"/>
        </w:rPr>
        <w:t>positive change event </w:t>
      </w:r>
      <w:r>
        <w:rPr>
          <w:sz w:val="24"/>
        </w:rPr>
        <w:t>occurred;</w:t>
      </w:r>
      <w:r>
        <w:rPr>
          <w:spacing w:val="-4"/>
          <w:sz w:val="24"/>
        </w:rPr>
        <w:t> </w:t>
      </w:r>
      <w:r>
        <w:rPr>
          <w:sz w:val="24"/>
        </w:rPr>
        <w:t>or</w:t>
      </w:r>
    </w:p>
    <w:p>
      <w:pPr>
        <w:pStyle w:val="ListParagraph"/>
        <w:numPr>
          <w:ilvl w:val="0"/>
          <w:numId w:val="735"/>
        </w:numPr>
        <w:tabs>
          <w:tab w:pos="1919" w:val="left" w:leader="none"/>
        </w:tabs>
        <w:spacing w:line="240" w:lineRule="auto" w:before="120" w:after="0"/>
        <w:ind w:left="1919" w:right="415" w:hanging="567"/>
        <w:jc w:val="both"/>
        <w:rPr>
          <w:sz w:val="24"/>
        </w:rPr>
      </w:pPr>
      <w:r>
        <w:rPr>
          <w:sz w:val="24"/>
        </w:rPr>
        <w:t>if the </w:t>
      </w:r>
      <w:r>
        <w:rPr>
          <w:i/>
          <w:sz w:val="24"/>
        </w:rPr>
        <w:t>transmission determination </w:t>
      </w:r>
      <w:r>
        <w:rPr>
          <w:sz w:val="24"/>
        </w:rPr>
        <w:t>for the </w:t>
      </w:r>
      <w:r>
        <w:rPr>
          <w:i/>
          <w:sz w:val="24"/>
        </w:rPr>
        <w:t>regulatory control period </w:t>
      </w:r>
      <w:r>
        <w:rPr>
          <w:sz w:val="24"/>
        </w:rPr>
        <w:t>following that in which the </w:t>
      </w:r>
      <w:r>
        <w:rPr>
          <w:i/>
          <w:sz w:val="24"/>
        </w:rPr>
        <w:t>positive change event </w:t>
      </w:r>
      <w:r>
        <w:rPr>
          <w:sz w:val="24"/>
        </w:rPr>
        <w:t>occurred does not </w:t>
      </w:r>
      <w:r>
        <w:rPr>
          <w:spacing w:val="-4"/>
          <w:sz w:val="24"/>
        </w:rPr>
        <w:t>make</w:t>
      </w:r>
      <w:r>
        <w:rPr>
          <w:spacing w:val="52"/>
          <w:sz w:val="24"/>
        </w:rPr>
        <w:t> </w:t>
      </w:r>
      <w:r>
        <w:rPr>
          <w:sz w:val="24"/>
        </w:rPr>
        <w:t>any allowance for the recovery of that increase in costs (whether or not </w:t>
      </w:r>
      <w:r>
        <w:rPr>
          <w:spacing w:val="-7"/>
          <w:sz w:val="24"/>
        </w:rPr>
        <w:t>in </w:t>
      </w:r>
      <w:r>
        <w:rPr>
          <w:sz w:val="24"/>
        </w:rPr>
        <w:t>the forecast operating expenditure or forecast capital expenditure accepted or substituted by the </w:t>
      </w:r>
      <w:r>
        <w:rPr>
          <w:i/>
          <w:sz w:val="24"/>
        </w:rPr>
        <w:t>AER </w:t>
      </w:r>
      <w:r>
        <w:rPr>
          <w:sz w:val="24"/>
        </w:rPr>
        <w:t>for that </w:t>
      </w:r>
      <w:r>
        <w:rPr>
          <w:i/>
          <w:sz w:val="24"/>
        </w:rPr>
        <w:t>regulatory control period</w:t>
      </w:r>
      <w:r>
        <w:rPr>
          <w:sz w:val="24"/>
        </w:rPr>
        <w:t>) – the end of the </w:t>
      </w:r>
      <w:r>
        <w:rPr>
          <w:i/>
          <w:sz w:val="24"/>
        </w:rPr>
        <w:t>regulatory control period </w:t>
      </w:r>
      <w:r>
        <w:rPr>
          <w:sz w:val="24"/>
        </w:rPr>
        <w:t>following that in which the </w:t>
      </w:r>
      <w:r>
        <w:rPr>
          <w:i/>
          <w:sz w:val="24"/>
        </w:rPr>
        <w:t>positive change event </w:t>
      </w:r>
      <w:r>
        <w:rPr>
          <w:sz w:val="24"/>
        </w:rPr>
        <w:t>occurred.</w:t>
      </w:r>
    </w:p>
    <w:p>
      <w:pPr>
        <w:spacing w:before="120"/>
        <w:ind w:left="1352" w:right="414" w:firstLine="0"/>
        <w:jc w:val="both"/>
        <w:rPr>
          <w:sz w:val="24"/>
        </w:rPr>
      </w:pPr>
      <w:r>
        <w:rPr>
          <w:sz w:val="24"/>
        </w:rPr>
        <w:t>In respect of a </w:t>
      </w:r>
      <w:r>
        <w:rPr>
          <w:i/>
          <w:sz w:val="24"/>
        </w:rPr>
        <w:t>positive change event </w:t>
      </w:r>
      <w:r>
        <w:rPr>
          <w:sz w:val="24"/>
        </w:rPr>
        <w:t>for a </w:t>
      </w:r>
      <w:r>
        <w:rPr>
          <w:i/>
          <w:sz w:val="24"/>
        </w:rPr>
        <w:t>Distribution Network Service Provider</w:t>
      </w:r>
      <w:r>
        <w:rPr>
          <w:sz w:val="24"/>
        </w:rPr>
        <w:t>, the increase in costs in the provision of </w:t>
      </w:r>
      <w:r>
        <w:rPr>
          <w:i/>
          <w:sz w:val="24"/>
        </w:rPr>
        <w:t>direct control services </w:t>
      </w:r>
      <w:r>
        <w:rPr>
          <w:sz w:val="24"/>
        </w:rPr>
        <w:t>that, as a result of that </w:t>
      </w:r>
      <w:r>
        <w:rPr>
          <w:i/>
          <w:sz w:val="24"/>
        </w:rPr>
        <w:t>positive change event</w:t>
      </w:r>
      <w:r>
        <w:rPr>
          <w:sz w:val="24"/>
        </w:rPr>
        <w:t>, the </w:t>
      </w:r>
      <w:r>
        <w:rPr>
          <w:i/>
          <w:sz w:val="24"/>
        </w:rPr>
        <w:t>Distribution Network Service Provider </w:t>
      </w:r>
      <w:r>
        <w:rPr>
          <w:sz w:val="24"/>
        </w:rPr>
        <w:t>has incurred and is likely to incur (as opposed to the revenue impact of that event) until:</w:t>
      </w:r>
    </w:p>
    <w:p>
      <w:pPr>
        <w:pStyle w:val="ListParagraph"/>
        <w:numPr>
          <w:ilvl w:val="0"/>
          <w:numId w:val="736"/>
        </w:numPr>
        <w:tabs>
          <w:tab w:pos="1919" w:val="left" w:leader="none"/>
        </w:tabs>
        <w:spacing w:line="240" w:lineRule="auto" w:before="120" w:after="0"/>
        <w:ind w:left="1919" w:right="415" w:hanging="567"/>
        <w:jc w:val="both"/>
        <w:rPr>
          <w:sz w:val="24"/>
        </w:rPr>
      </w:pPr>
      <w:r>
        <w:rPr>
          <w:sz w:val="24"/>
        </w:rPr>
        <w:t>unless paragraph(b) applies – the end of the </w:t>
      </w:r>
      <w:r>
        <w:rPr>
          <w:i/>
          <w:sz w:val="24"/>
        </w:rPr>
        <w:t>regulatory control period </w:t>
      </w:r>
      <w:r>
        <w:rPr>
          <w:sz w:val="24"/>
        </w:rPr>
        <w:t>in which the </w:t>
      </w:r>
      <w:r>
        <w:rPr>
          <w:i/>
          <w:sz w:val="24"/>
        </w:rPr>
        <w:t>positive change event </w:t>
      </w:r>
      <w:r>
        <w:rPr>
          <w:sz w:val="24"/>
        </w:rPr>
        <w:t>occurred;</w:t>
      </w:r>
      <w:r>
        <w:rPr>
          <w:spacing w:val="-4"/>
          <w:sz w:val="24"/>
        </w:rPr>
        <w:t> </w:t>
      </w:r>
      <w:r>
        <w:rPr>
          <w:sz w:val="24"/>
        </w:rPr>
        <w:t>or</w:t>
      </w:r>
    </w:p>
    <w:p>
      <w:pPr>
        <w:pStyle w:val="ListParagraph"/>
        <w:numPr>
          <w:ilvl w:val="0"/>
          <w:numId w:val="736"/>
        </w:numPr>
        <w:tabs>
          <w:tab w:pos="1919" w:val="left" w:leader="none"/>
        </w:tabs>
        <w:spacing w:line="240" w:lineRule="auto" w:before="120" w:after="0"/>
        <w:ind w:left="1919" w:right="415" w:hanging="567"/>
        <w:jc w:val="both"/>
        <w:rPr>
          <w:sz w:val="24"/>
        </w:rPr>
      </w:pPr>
      <w:r>
        <w:rPr>
          <w:sz w:val="24"/>
        </w:rPr>
        <w:t>if the distribution determination for the </w:t>
      </w:r>
      <w:r>
        <w:rPr>
          <w:i/>
          <w:sz w:val="24"/>
        </w:rPr>
        <w:t>regulatory control period </w:t>
      </w:r>
      <w:r>
        <w:rPr>
          <w:sz w:val="24"/>
        </w:rPr>
        <w:t>following that in which the </w:t>
      </w:r>
      <w:r>
        <w:rPr>
          <w:i/>
          <w:sz w:val="24"/>
        </w:rPr>
        <w:t>positive change event </w:t>
      </w:r>
      <w:r>
        <w:rPr>
          <w:sz w:val="24"/>
        </w:rPr>
        <w:t>occurred does not make any allowance for the recovery of that increase in costs (whether or not in </w:t>
      </w:r>
      <w:r>
        <w:rPr>
          <w:spacing w:val="-4"/>
          <w:sz w:val="24"/>
        </w:rPr>
        <w:t>the </w:t>
      </w:r>
      <w:r>
        <w:rPr>
          <w:sz w:val="24"/>
        </w:rPr>
        <w:t>forecast operating expenditure or forecast capital expenditure accepted or substituted by the </w:t>
      </w:r>
      <w:r>
        <w:rPr>
          <w:i/>
          <w:sz w:val="24"/>
        </w:rPr>
        <w:t>AER </w:t>
      </w:r>
      <w:r>
        <w:rPr>
          <w:sz w:val="24"/>
        </w:rPr>
        <w:t>for that </w:t>
      </w:r>
      <w:r>
        <w:rPr>
          <w:i/>
          <w:sz w:val="24"/>
        </w:rPr>
        <w:t>regulatory control period</w:t>
      </w:r>
      <w:r>
        <w:rPr>
          <w:sz w:val="24"/>
        </w:rPr>
        <w:t>) – the end of the </w:t>
      </w:r>
      <w:r>
        <w:rPr>
          <w:i/>
          <w:sz w:val="24"/>
        </w:rPr>
        <w:t>regulatory control period </w:t>
      </w:r>
      <w:r>
        <w:rPr>
          <w:sz w:val="24"/>
        </w:rPr>
        <w:t>following that in which the </w:t>
      </w:r>
      <w:r>
        <w:rPr>
          <w:i/>
          <w:sz w:val="24"/>
        </w:rPr>
        <w:t>positive change event </w:t>
      </w:r>
      <w:r>
        <w:rPr>
          <w:sz w:val="24"/>
        </w:rPr>
        <w:t>occurred.</w:t>
      </w:r>
    </w:p>
    <w:p>
      <w:pPr>
        <w:spacing w:before="120"/>
        <w:ind w:left="1352" w:right="414" w:firstLine="0"/>
        <w:jc w:val="both"/>
        <w:rPr>
          <w:sz w:val="24"/>
        </w:rPr>
      </w:pPr>
      <w:r>
        <w:rPr>
          <w:sz w:val="24"/>
        </w:rPr>
        <w:t>In respect of an </w:t>
      </w:r>
      <w:r>
        <w:rPr>
          <w:i/>
          <w:sz w:val="24"/>
        </w:rPr>
        <w:t>NT positive change event </w:t>
      </w:r>
      <w:r>
        <w:rPr>
          <w:sz w:val="24"/>
        </w:rPr>
        <w:t>for a </w:t>
      </w:r>
      <w:r>
        <w:rPr>
          <w:i/>
          <w:sz w:val="24"/>
        </w:rPr>
        <w:t>Distribution Network Service </w:t>
      </w:r>
      <w:r>
        <w:rPr>
          <w:i/>
          <w:sz w:val="24"/>
        </w:rPr>
        <w:t>Provider</w:t>
      </w:r>
      <w:r>
        <w:rPr>
          <w:sz w:val="24"/>
        </w:rPr>
        <w:t>, the increase in costs in the provision of </w:t>
      </w:r>
      <w:r>
        <w:rPr>
          <w:i/>
          <w:sz w:val="24"/>
        </w:rPr>
        <w:t>direct control services </w:t>
      </w:r>
      <w:r>
        <w:rPr>
          <w:sz w:val="24"/>
        </w:rPr>
        <w:t>or </w:t>
      </w:r>
      <w:r>
        <w:rPr>
          <w:i/>
          <w:sz w:val="24"/>
        </w:rPr>
        <w:t>NT </w:t>
      </w:r>
      <w:r>
        <w:rPr>
          <w:i/>
          <w:sz w:val="24"/>
        </w:rPr>
        <w:t>equivalent services </w:t>
      </w:r>
      <w:r>
        <w:rPr>
          <w:sz w:val="24"/>
        </w:rPr>
        <w:t>that, as a result of that </w:t>
      </w:r>
      <w:r>
        <w:rPr>
          <w:i/>
          <w:sz w:val="24"/>
        </w:rPr>
        <w:t>NT positive change event</w:t>
      </w:r>
      <w:r>
        <w:rPr>
          <w:sz w:val="24"/>
        </w:rPr>
        <w:t>, the </w:t>
      </w:r>
      <w:r>
        <w:rPr>
          <w:i/>
          <w:sz w:val="24"/>
        </w:rPr>
        <w:t>Distribution Network Service Provider </w:t>
      </w:r>
      <w:r>
        <w:rPr>
          <w:sz w:val="24"/>
        </w:rPr>
        <w:t>has incurred and is likely to incur (as opposed to the revenue impact of that event) until the end of the </w:t>
      </w:r>
      <w:r>
        <w:rPr>
          <w:i/>
          <w:sz w:val="24"/>
        </w:rPr>
        <w:t>1st regulatory </w:t>
      </w:r>
      <w:r>
        <w:rPr>
          <w:i/>
          <w:sz w:val="24"/>
        </w:rPr>
        <w:t>control period</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modification to this definition expires on 1 July 2024.</w:t>
      </w:r>
    </w:p>
    <w:p>
      <w:pPr>
        <w:pStyle w:val="Heading5"/>
        <w:jc w:val="left"/>
        <w:rPr>
          <w:i/>
        </w:rPr>
      </w:pPr>
      <w:r>
        <w:rPr>
          <w:i/>
        </w:rPr>
        <w:t>eligible person</w:t>
      </w:r>
    </w:p>
    <w:p>
      <w:pPr>
        <w:pStyle w:val="BodyText"/>
        <w:ind w:left="1352" w:firstLine="0"/>
        <w:jc w:val="left"/>
      </w:pPr>
      <w:r>
        <w:rPr/>
        <w:t>Has the meaning given in clause 3.18.2(b).</w:t>
      </w:r>
    </w:p>
    <w:p>
      <w:pPr>
        <w:spacing w:after="0"/>
        <w:jc w:val="left"/>
        <w:sectPr>
          <w:pgSz w:w="11910" w:h="16840"/>
          <w:pgMar w:header="686" w:footer="637" w:top="1320" w:bottom="820" w:left="1200" w:right="1000"/>
        </w:sectPr>
      </w:pPr>
    </w:p>
    <w:p>
      <w:pPr>
        <w:pStyle w:val="Heading5"/>
        <w:spacing w:before="83"/>
        <w:jc w:val="left"/>
        <w:rPr>
          <w:i/>
        </w:rPr>
      </w:pPr>
      <w:r>
        <w:rPr>
          <w:i/>
        </w:rPr>
        <w:t>embedded generating unit</w:t>
      </w:r>
    </w:p>
    <w:p>
      <w:pPr>
        <w:spacing w:before="120"/>
        <w:ind w:left="1352" w:right="415" w:firstLine="0"/>
        <w:jc w:val="left"/>
        <w:rPr>
          <w:sz w:val="24"/>
        </w:rPr>
      </w:pPr>
      <w:r>
        <w:rPr>
          <w:sz w:val="24"/>
        </w:rPr>
        <w:t>A </w:t>
      </w:r>
      <w:r>
        <w:rPr>
          <w:i/>
          <w:sz w:val="24"/>
        </w:rPr>
        <w:t>generating unit connected </w:t>
      </w:r>
      <w:r>
        <w:rPr>
          <w:sz w:val="24"/>
        </w:rPr>
        <w:t>within a </w:t>
      </w:r>
      <w:r>
        <w:rPr>
          <w:i/>
          <w:sz w:val="24"/>
        </w:rPr>
        <w:t>distribution network </w:t>
      </w:r>
      <w:r>
        <w:rPr>
          <w:sz w:val="24"/>
        </w:rPr>
        <w:t>and not having direct access to the </w:t>
      </w:r>
      <w:r>
        <w:rPr>
          <w:i/>
          <w:sz w:val="24"/>
        </w:rPr>
        <w:t>transmission network</w:t>
      </w:r>
      <w:r>
        <w:rPr>
          <w:sz w:val="24"/>
        </w:rPr>
        <w:t>.</w:t>
      </w:r>
    </w:p>
    <w:p>
      <w:pPr>
        <w:pStyle w:val="Heading5"/>
        <w:jc w:val="left"/>
        <w:rPr>
          <w:i/>
        </w:rPr>
      </w:pPr>
      <w:r>
        <w:rPr>
          <w:i/>
        </w:rPr>
        <w:t>Embedded Generator</w:t>
      </w:r>
    </w:p>
    <w:p>
      <w:pPr>
        <w:spacing w:before="120"/>
        <w:ind w:left="1352" w:right="0" w:firstLine="0"/>
        <w:jc w:val="left"/>
        <w:rPr>
          <w:sz w:val="24"/>
        </w:rPr>
      </w:pPr>
      <w:r>
        <w:rPr>
          <w:sz w:val="24"/>
        </w:rPr>
        <w:t>A </w:t>
      </w:r>
      <w:r>
        <w:rPr>
          <w:i/>
          <w:sz w:val="24"/>
        </w:rPr>
        <w:t>Generator </w:t>
      </w:r>
      <w:r>
        <w:rPr>
          <w:sz w:val="24"/>
        </w:rPr>
        <w:t>who owns, operates or controls an </w:t>
      </w:r>
      <w:r>
        <w:rPr>
          <w:i/>
          <w:sz w:val="24"/>
        </w:rPr>
        <w:t>embedded generating unit</w:t>
      </w:r>
      <w:r>
        <w:rPr>
          <w:sz w:val="24"/>
        </w:rPr>
        <w:t>.</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In the context of Chapter 5A, the above definition has been displaced by the definition "embedded generator" specifically applicable to that Chapter. See clause 5A.A.1.</w:t>
      </w:r>
    </w:p>
    <w:p>
      <w:pPr>
        <w:pStyle w:val="Heading5"/>
        <w:rPr>
          <w:i/>
        </w:rPr>
      </w:pPr>
      <w:r>
        <w:rPr>
          <w:i/>
        </w:rPr>
        <w:t>embedded network</w:t>
      </w:r>
    </w:p>
    <w:p>
      <w:pPr>
        <w:spacing w:before="120"/>
        <w:ind w:left="1352" w:right="415" w:firstLine="0"/>
        <w:jc w:val="both"/>
        <w:rPr>
          <w:sz w:val="24"/>
        </w:rPr>
      </w:pPr>
      <w:r>
        <w:rPr>
          <w:sz w:val="24"/>
        </w:rPr>
        <w:t>A </w:t>
      </w:r>
      <w:r>
        <w:rPr>
          <w:i/>
          <w:sz w:val="24"/>
        </w:rPr>
        <w:t>distribution system </w:t>
      </w:r>
      <w:r>
        <w:rPr>
          <w:sz w:val="24"/>
        </w:rPr>
        <w:t>that is </w:t>
      </w:r>
      <w:r>
        <w:rPr>
          <w:i/>
          <w:sz w:val="24"/>
        </w:rPr>
        <w:t>connected </w:t>
      </w:r>
      <w:r>
        <w:rPr>
          <w:sz w:val="24"/>
        </w:rPr>
        <w:t>to a </w:t>
      </w:r>
      <w:r>
        <w:rPr>
          <w:i/>
          <w:sz w:val="24"/>
        </w:rPr>
        <w:t>distribution system </w:t>
      </w:r>
      <w:r>
        <w:rPr>
          <w:sz w:val="24"/>
        </w:rPr>
        <w:t>controlled or operated by the </w:t>
      </w:r>
      <w:r>
        <w:rPr>
          <w:i/>
          <w:sz w:val="24"/>
        </w:rPr>
        <w:t>Local Network Service Provider </w:t>
      </w:r>
      <w:r>
        <w:rPr>
          <w:sz w:val="24"/>
        </w:rPr>
        <w:t>(other than a </w:t>
      </w:r>
      <w:r>
        <w:rPr>
          <w:i/>
          <w:sz w:val="24"/>
        </w:rPr>
        <w:t>distribution system </w:t>
      </w:r>
      <w:r>
        <w:rPr>
          <w:sz w:val="24"/>
        </w:rPr>
        <w:t>that is owned, controlled or operated by the </w:t>
      </w:r>
      <w:r>
        <w:rPr>
          <w:i/>
          <w:sz w:val="24"/>
        </w:rPr>
        <w:t>Local Network Service Provider</w:t>
      </w:r>
      <w:r>
        <w:rPr>
          <w:sz w:val="24"/>
        </w:rPr>
        <w:t>).</w:t>
      </w:r>
    </w:p>
    <w:p>
      <w:pPr>
        <w:pStyle w:val="Heading5"/>
        <w:rPr>
          <w:i/>
        </w:rPr>
      </w:pPr>
      <w:r>
        <w:rPr>
          <w:i/>
        </w:rPr>
        <w:t>embedded network management services</w:t>
      </w:r>
    </w:p>
    <w:p>
      <w:pPr>
        <w:pStyle w:val="BodyText"/>
        <w:ind w:left="1352" w:right="415" w:firstLine="0"/>
      </w:pPr>
      <w:r>
        <w:rPr/>
        <w:t>Services that involve carrying out the roles, discharging the responsibilities and complying with the obligations of an </w:t>
      </w:r>
      <w:r>
        <w:rPr>
          <w:i/>
        </w:rPr>
        <w:t>Embedded Network Manager </w:t>
      </w:r>
      <w:r>
        <w:rPr/>
        <w:t>under the </w:t>
      </w:r>
      <w:r>
        <w:rPr>
          <w:i/>
        </w:rPr>
        <w:t>Rules </w:t>
      </w:r>
      <w:r>
        <w:rPr/>
        <w:t>and procedures authorised under the</w:t>
      </w:r>
      <w:r>
        <w:rPr>
          <w:spacing w:val="-1"/>
        </w:rPr>
        <w:t> </w:t>
      </w:r>
      <w:r>
        <w:rPr>
          <w:i/>
        </w:rPr>
        <w:t>Rules</w:t>
      </w:r>
      <w:r>
        <w:rPr/>
        <w:t>.</w:t>
      </w:r>
    </w:p>
    <w:p>
      <w:pPr>
        <w:pStyle w:val="Heading5"/>
        <w:rPr>
          <w:i/>
        </w:rPr>
      </w:pPr>
      <w:r>
        <w:rPr>
          <w:i/>
        </w:rPr>
        <w:t>Embedded Network Manager</w:t>
      </w:r>
    </w:p>
    <w:p>
      <w:pPr>
        <w:pStyle w:val="BodyText"/>
        <w:ind w:left="1352" w:firstLine="0"/>
        <w:jc w:val="left"/>
      </w:pPr>
      <w:r>
        <w:rPr/>
        <w:t>A person:</w:t>
      </w:r>
    </w:p>
    <w:p>
      <w:pPr>
        <w:pStyle w:val="ListParagraph"/>
        <w:numPr>
          <w:ilvl w:val="0"/>
          <w:numId w:val="737"/>
        </w:numPr>
        <w:tabs>
          <w:tab w:pos="1918" w:val="left" w:leader="none"/>
          <w:tab w:pos="1919" w:val="left" w:leader="none"/>
        </w:tabs>
        <w:spacing w:line="240" w:lineRule="auto" w:before="120" w:after="0"/>
        <w:ind w:left="1919" w:right="415" w:hanging="567"/>
        <w:jc w:val="left"/>
        <w:rPr>
          <w:sz w:val="24"/>
        </w:rPr>
      </w:pPr>
      <w:r>
        <w:rPr>
          <w:sz w:val="24"/>
        </w:rPr>
        <w:t>who meets the requirements listed in schedule 7.7 and has been accredited and registered by </w:t>
      </w:r>
      <w:r>
        <w:rPr>
          <w:i/>
          <w:sz w:val="24"/>
        </w:rPr>
        <w:t>AEMO </w:t>
      </w:r>
      <w:r>
        <w:rPr>
          <w:sz w:val="24"/>
        </w:rPr>
        <w:t>as an </w:t>
      </w:r>
      <w:r>
        <w:rPr>
          <w:i/>
          <w:sz w:val="24"/>
        </w:rPr>
        <w:t>Embedded Network Manager</w:t>
      </w:r>
      <w:r>
        <w:rPr>
          <w:sz w:val="24"/>
        </w:rPr>
        <w:t>;</w:t>
      </w:r>
      <w:r>
        <w:rPr>
          <w:spacing w:val="-1"/>
          <w:sz w:val="24"/>
        </w:rPr>
        <w:t> </w:t>
      </w:r>
      <w:r>
        <w:rPr>
          <w:sz w:val="24"/>
        </w:rPr>
        <w:t>and</w:t>
      </w:r>
    </w:p>
    <w:p>
      <w:pPr>
        <w:pStyle w:val="ListParagraph"/>
        <w:numPr>
          <w:ilvl w:val="0"/>
          <w:numId w:val="737"/>
        </w:numPr>
        <w:tabs>
          <w:tab w:pos="1918" w:val="left" w:leader="none"/>
          <w:tab w:pos="1919" w:val="left" w:leader="none"/>
        </w:tabs>
        <w:spacing w:line="240" w:lineRule="auto" w:before="120" w:after="0"/>
        <w:ind w:left="1918" w:right="0" w:hanging="567"/>
        <w:jc w:val="left"/>
        <w:rPr>
          <w:i/>
          <w:sz w:val="24"/>
        </w:rPr>
      </w:pPr>
      <w:r>
        <w:rPr>
          <w:sz w:val="24"/>
        </w:rPr>
        <w:t>who has not been deregistered by </w:t>
      </w:r>
      <w:r>
        <w:rPr>
          <w:i/>
          <w:sz w:val="24"/>
        </w:rPr>
        <w:t>AEMO </w:t>
      </w:r>
      <w:r>
        <w:rPr>
          <w:sz w:val="24"/>
        </w:rPr>
        <w:t>as an </w:t>
      </w:r>
      <w:r>
        <w:rPr>
          <w:i/>
          <w:sz w:val="24"/>
        </w:rPr>
        <w:t>Embedded Network</w:t>
      </w:r>
      <w:r>
        <w:rPr>
          <w:i/>
          <w:spacing w:val="-2"/>
          <w:sz w:val="24"/>
        </w:rPr>
        <w:t> </w:t>
      </w:r>
      <w:r>
        <w:rPr>
          <w:i/>
          <w:sz w:val="24"/>
        </w:rPr>
        <w:t>Manager</w:t>
      </w:r>
    </w:p>
    <w:p>
      <w:pPr>
        <w:pStyle w:val="BodyText"/>
        <w:spacing w:before="0"/>
        <w:ind w:left="1919" w:firstLine="0"/>
        <w:jc w:val="left"/>
      </w:pPr>
      <w:r>
        <w:rPr/>
        <w:t>under clause 7.4.4(d).</w:t>
      </w:r>
    </w:p>
    <w:p>
      <w:pPr>
        <w:pStyle w:val="Heading5"/>
        <w:jc w:val="left"/>
        <w:rPr>
          <w:i/>
        </w:rPr>
      </w:pPr>
      <w:r>
        <w:rPr>
          <w:i/>
        </w:rPr>
        <w:t>emergency frequency control scheme</w:t>
      </w:r>
    </w:p>
    <w:p>
      <w:pPr>
        <w:spacing w:before="120"/>
        <w:ind w:left="1352" w:right="415" w:firstLine="0"/>
        <w:jc w:val="both"/>
        <w:rPr>
          <w:sz w:val="24"/>
        </w:rPr>
      </w:pPr>
      <w:r>
        <w:rPr>
          <w:i/>
          <w:sz w:val="24"/>
        </w:rPr>
        <w:t>Facilities </w:t>
      </w:r>
      <w:r>
        <w:rPr>
          <w:sz w:val="24"/>
        </w:rPr>
        <w:t>for initiating automatic </w:t>
      </w:r>
      <w:r>
        <w:rPr>
          <w:i/>
          <w:sz w:val="24"/>
        </w:rPr>
        <w:t>load shedding </w:t>
      </w:r>
      <w:r>
        <w:rPr>
          <w:sz w:val="24"/>
        </w:rPr>
        <w:t>or automatic </w:t>
      </w:r>
      <w:r>
        <w:rPr>
          <w:i/>
          <w:sz w:val="24"/>
        </w:rPr>
        <w:t>generation shedding </w:t>
      </w:r>
      <w:r>
        <w:rPr>
          <w:sz w:val="24"/>
        </w:rPr>
        <w:t>to prevent or arrest uncontrolled increases or decreases in </w:t>
      </w:r>
      <w:r>
        <w:rPr>
          <w:i/>
          <w:sz w:val="24"/>
        </w:rPr>
        <w:t>frequency </w:t>
      </w:r>
      <w:r>
        <w:rPr>
          <w:sz w:val="24"/>
        </w:rPr>
        <w:t>(alone or in combination) leading to </w:t>
      </w:r>
      <w:r>
        <w:rPr>
          <w:i/>
          <w:sz w:val="24"/>
        </w:rPr>
        <w:t>cascading outages </w:t>
      </w:r>
      <w:r>
        <w:rPr>
          <w:sz w:val="24"/>
        </w:rPr>
        <w:t>or </w:t>
      </w:r>
      <w:r>
        <w:rPr>
          <w:i/>
          <w:sz w:val="24"/>
        </w:rPr>
        <w:t>major supply disruptions</w:t>
      </w:r>
      <w:r>
        <w:rPr>
          <w:sz w:val="24"/>
        </w:rPr>
        <w:t>.</w:t>
      </w:r>
    </w:p>
    <w:p>
      <w:pPr>
        <w:pStyle w:val="Heading5"/>
        <w:rPr>
          <w:i/>
        </w:rPr>
      </w:pPr>
      <w:r>
        <w:rPr>
          <w:i/>
        </w:rPr>
        <w:t>emergency priority procedures</w:t>
      </w:r>
    </w:p>
    <w:p>
      <w:pPr>
        <w:pStyle w:val="BodyText"/>
        <w:ind w:left="1352" w:right="415" w:firstLine="0"/>
      </w:pPr>
      <w:r>
        <w:rPr/>
        <w:t>The procedures developed and </w:t>
      </w:r>
      <w:r>
        <w:rPr>
          <w:i/>
        </w:rPr>
        <w:t>published </w:t>
      </w:r>
      <w:r>
        <w:rPr/>
        <w:t>by </w:t>
      </w:r>
      <w:r>
        <w:rPr>
          <w:i/>
        </w:rPr>
        <w:t>AEMO </w:t>
      </w:r>
      <w:r>
        <w:rPr/>
        <w:t>in accordance with clause 7.8.5(b).</w:t>
      </w:r>
    </w:p>
    <w:p>
      <w:pPr>
        <w:pStyle w:val="Heading5"/>
        <w:rPr>
          <w:i/>
        </w:rPr>
      </w:pPr>
      <w:r>
        <w:rPr>
          <w:i/>
        </w:rPr>
        <w:t>emission factor</w:t>
      </w:r>
    </w:p>
    <w:p>
      <w:pPr>
        <w:pStyle w:val="BodyText"/>
        <w:ind w:left="1352" w:right="415" w:firstLine="0"/>
      </w:pPr>
      <w:r>
        <w:rPr/>
        <w:t>The factor representing the amount of greenhouse gas emissions per unit of electricity (t CO</w:t>
      </w:r>
      <w:r>
        <w:rPr>
          <w:vertAlign w:val="subscript"/>
        </w:rPr>
        <w:t>2</w:t>
      </w:r>
      <w:r>
        <w:rPr>
          <w:vertAlign w:val="baseline"/>
        </w:rPr>
        <w:t>-e/MWh) of energy produced by each </w:t>
      </w:r>
      <w:r>
        <w:rPr>
          <w:i/>
          <w:vertAlign w:val="baseline"/>
        </w:rPr>
        <w:t>power station</w:t>
      </w:r>
      <w:r>
        <w:rPr>
          <w:vertAlign w:val="baseline"/>
        </w:rPr>
        <w:t>.</w:t>
      </w:r>
    </w:p>
    <w:p>
      <w:pPr>
        <w:pStyle w:val="Heading5"/>
        <w:rPr>
          <w:i/>
        </w:rPr>
      </w:pPr>
      <w:r>
        <w:rPr>
          <w:i/>
        </w:rPr>
        <w:t>enabled, enable</w:t>
      </w:r>
    </w:p>
    <w:p>
      <w:pPr>
        <w:spacing w:before="120"/>
        <w:ind w:left="1352" w:right="416" w:firstLine="0"/>
        <w:jc w:val="both"/>
        <w:rPr>
          <w:sz w:val="24"/>
        </w:rPr>
      </w:pPr>
      <w:r>
        <w:rPr>
          <w:sz w:val="24"/>
        </w:rPr>
        <w:t>A </w:t>
      </w:r>
      <w:r>
        <w:rPr>
          <w:i/>
          <w:sz w:val="24"/>
        </w:rPr>
        <w:t>market ancillary service </w:t>
      </w:r>
      <w:r>
        <w:rPr>
          <w:sz w:val="24"/>
        </w:rPr>
        <w:t>is enabled when </w:t>
      </w:r>
      <w:r>
        <w:rPr>
          <w:i/>
          <w:sz w:val="24"/>
        </w:rPr>
        <w:t>AEMO </w:t>
      </w:r>
      <w:r>
        <w:rPr>
          <w:sz w:val="24"/>
        </w:rPr>
        <w:t>has selected the relevant </w:t>
      </w:r>
      <w:r>
        <w:rPr>
          <w:i/>
          <w:sz w:val="24"/>
        </w:rPr>
        <w:t>generating unit </w:t>
      </w:r>
      <w:r>
        <w:rPr>
          <w:sz w:val="24"/>
        </w:rPr>
        <w:t>or </w:t>
      </w:r>
      <w:r>
        <w:rPr>
          <w:i/>
          <w:sz w:val="24"/>
        </w:rPr>
        <w:t>load </w:t>
      </w:r>
      <w:r>
        <w:rPr>
          <w:sz w:val="24"/>
        </w:rPr>
        <w:t>for the provision of the </w:t>
      </w:r>
      <w:r>
        <w:rPr>
          <w:i/>
          <w:sz w:val="24"/>
        </w:rPr>
        <w:t>market ancillary service </w:t>
      </w:r>
      <w:r>
        <w:rPr>
          <w:sz w:val="24"/>
        </w:rPr>
        <w:t>and has notified the relevant </w:t>
      </w:r>
      <w:r>
        <w:rPr>
          <w:i/>
          <w:sz w:val="24"/>
        </w:rPr>
        <w:t>Market Participant </w:t>
      </w:r>
      <w:r>
        <w:rPr>
          <w:sz w:val="24"/>
        </w:rPr>
        <w:t>accordingly.</w:t>
      </w:r>
    </w:p>
    <w:p>
      <w:pPr>
        <w:spacing w:before="120"/>
        <w:ind w:left="1352" w:right="415" w:firstLine="0"/>
        <w:jc w:val="both"/>
        <w:rPr>
          <w:sz w:val="24"/>
        </w:rPr>
      </w:pPr>
      <w:r>
        <w:rPr>
          <w:sz w:val="24"/>
        </w:rPr>
        <w:t>An </w:t>
      </w:r>
      <w:r>
        <w:rPr>
          <w:i/>
          <w:sz w:val="24"/>
        </w:rPr>
        <w:t>inertia network service </w:t>
      </w:r>
      <w:r>
        <w:rPr>
          <w:sz w:val="24"/>
        </w:rPr>
        <w:t>is enabled when </w:t>
      </w:r>
      <w:r>
        <w:rPr>
          <w:i/>
          <w:sz w:val="24"/>
        </w:rPr>
        <w:t>AEMO </w:t>
      </w:r>
      <w:r>
        <w:rPr>
          <w:sz w:val="24"/>
        </w:rPr>
        <w:t>has selected the relevant </w:t>
      </w:r>
      <w:r>
        <w:rPr>
          <w:i/>
          <w:sz w:val="24"/>
        </w:rPr>
        <w:t>inertia network service </w:t>
      </w:r>
      <w:r>
        <w:rPr>
          <w:sz w:val="24"/>
        </w:rPr>
        <w:t>and the service is providing </w:t>
      </w:r>
      <w:r>
        <w:rPr>
          <w:i/>
          <w:sz w:val="24"/>
        </w:rPr>
        <w:t>inertia </w:t>
      </w:r>
      <w:r>
        <w:rPr>
          <w:sz w:val="24"/>
        </w:rPr>
        <w:t>to an </w:t>
      </w:r>
      <w:r>
        <w:rPr>
          <w:i/>
          <w:sz w:val="24"/>
        </w:rPr>
        <w:t>inertia sub- </w:t>
      </w:r>
      <w:r>
        <w:rPr>
          <w:i/>
          <w:sz w:val="24"/>
        </w:rPr>
        <w:t>network</w:t>
      </w:r>
      <w:r>
        <w:rPr>
          <w:sz w:val="24"/>
        </w:rPr>
        <w:t>.</w:t>
      </w:r>
    </w:p>
    <w:p>
      <w:pPr>
        <w:spacing w:after="0"/>
        <w:jc w:val="both"/>
        <w:rPr>
          <w:sz w:val="24"/>
        </w:rPr>
        <w:sectPr>
          <w:pgSz w:w="11910" w:h="16840"/>
          <w:pgMar w:header="686" w:footer="637" w:top="1320" w:bottom="820" w:left="1200" w:right="1000"/>
        </w:sectPr>
      </w:pPr>
    </w:p>
    <w:p>
      <w:pPr>
        <w:pStyle w:val="BodyText"/>
        <w:spacing w:before="83"/>
        <w:ind w:left="1352" w:right="414" w:firstLine="0"/>
      </w:pPr>
      <w:r>
        <w:rPr/>
        <w:t>An activity approved by </w:t>
      </w:r>
      <w:r>
        <w:rPr>
          <w:i/>
        </w:rPr>
        <w:t>AEMO </w:t>
      </w:r>
      <w:r>
        <w:rPr/>
        <w:t>under clause 5.20B.5(a) is enabled when </w:t>
      </w:r>
      <w:r>
        <w:rPr>
          <w:i/>
        </w:rPr>
        <w:t>AEMO </w:t>
      </w:r>
      <w:r>
        <w:rPr/>
        <w:t>has selected the relevant activity and the activity is performing and available in accordance with any conditions of that approval.</w:t>
      </w:r>
    </w:p>
    <w:p>
      <w:pPr>
        <w:spacing w:before="120"/>
        <w:ind w:left="1352" w:right="415" w:firstLine="0"/>
        <w:jc w:val="both"/>
        <w:rPr>
          <w:sz w:val="24"/>
        </w:rPr>
      </w:pPr>
      <w:r>
        <w:rPr>
          <w:sz w:val="24"/>
        </w:rPr>
        <w:t>A </w:t>
      </w:r>
      <w:r>
        <w:rPr>
          <w:i/>
          <w:sz w:val="24"/>
        </w:rPr>
        <w:t>system strength service </w:t>
      </w:r>
      <w:r>
        <w:rPr>
          <w:sz w:val="24"/>
        </w:rPr>
        <w:t>is enabled when </w:t>
      </w:r>
      <w:r>
        <w:rPr>
          <w:i/>
          <w:sz w:val="24"/>
        </w:rPr>
        <w:t>AEMO </w:t>
      </w:r>
      <w:r>
        <w:rPr>
          <w:sz w:val="24"/>
        </w:rPr>
        <w:t>has selected the relevant </w:t>
      </w:r>
      <w:r>
        <w:rPr>
          <w:i/>
          <w:sz w:val="24"/>
        </w:rPr>
        <w:t>system </w:t>
      </w:r>
      <w:r>
        <w:rPr>
          <w:i/>
          <w:sz w:val="24"/>
        </w:rPr>
        <w:t>strength service </w:t>
      </w:r>
      <w:r>
        <w:rPr>
          <w:sz w:val="24"/>
        </w:rPr>
        <w:t>and the service is contributing to the </w:t>
      </w:r>
      <w:r>
        <w:rPr>
          <w:i/>
          <w:sz w:val="24"/>
        </w:rPr>
        <w:t>three phase fault level </w:t>
      </w:r>
      <w:r>
        <w:rPr>
          <w:sz w:val="24"/>
        </w:rPr>
        <w:t>at the relevant </w:t>
      </w:r>
      <w:r>
        <w:rPr>
          <w:i/>
          <w:sz w:val="24"/>
        </w:rPr>
        <w:t>fault level node</w:t>
      </w:r>
      <w:r>
        <w:rPr>
          <w:sz w:val="24"/>
        </w:rPr>
        <w:t>.</w:t>
      </w:r>
    </w:p>
    <w:p>
      <w:pPr>
        <w:pStyle w:val="Heading5"/>
        <w:rPr>
          <w:i/>
        </w:rPr>
      </w:pPr>
      <w:r>
        <w:rPr>
          <w:i/>
        </w:rPr>
        <w:t>enablement limit</w:t>
      </w:r>
    </w:p>
    <w:p>
      <w:pPr>
        <w:spacing w:before="120"/>
        <w:ind w:left="1352" w:right="416" w:firstLine="0"/>
        <w:jc w:val="both"/>
        <w:rPr>
          <w:sz w:val="24"/>
        </w:rPr>
      </w:pPr>
      <w:r>
        <w:rPr>
          <w:sz w:val="24"/>
        </w:rPr>
        <w:t>In relation to any </w:t>
      </w:r>
      <w:r>
        <w:rPr>
          <w:i/>
          <w:sz w:val="24"/>
        </w:rPr>
        <w:t>market ancillary service offer</w:t>
      </w:r>
      <w:r>
        <w:rPr>
          <w:sz w:val="24"/>
        </w:rPr>
        <w:t>, the level of associated </w:t>
      </w:r>
      <w:r>
        <w:rPr>
          <w:i/>
          <w:sz w:val="24"/>
        </w:rPr>
        <w:t>generation </w:t>
      </w:r>
      <w:r>
        <w:rPr>
          <w:sz w:val="24"/>
        </w:rPr>
        <w:t>or </w:t>
      </w:r>
      <w:r>
        <w:rPr>
          <w:i/>
          <w:sz w:val="24"/>
        </w:rPr>
        <w:t>load </w:t>
      </w:r>
      <w:r>
        <w:rPr>
          <w:sz w:val="24"/>
        </w:rPr>
        <w:t>(in MW) above or below which no response is specified as being available.</w:t>
      </w:r>
    </w:p>
    <w:p>
      <w:pPr>
        <w:pStyle w:val="Heading5"/>
        <w:rPr>
          <w:i/>
        </w:rPr>
      </w:pPr>
      <w:r>
        <w:rPr>
          <w:i/>
        </w:rPr>
        <w:t>enabling price</w:t>
      </w:r>
    </w:p>
    <w:p>
      <w:pPr>
        <w:pStyle w:val="BodyText"/>
        <w:ind w:left="1352" w:firstLine="0"/>
      </w:pPr>
      <w:r>
        <w:rPr/>
        <w:t>Has the meaning given in clause 3.8.7A(d).</w:t>
      </w:r>
    </w:p>
    <w:p>
      <w:pPr>
        <w:pStyle w:val="Heading5"/>
        <w:jc w:val="left"/>
        <w:rPr>
          <w:i/>
        </w:rPr>
      </w:pPr>
      <w:r>
        <w:rPr>
          <w:i/>
        </w:rPr>
        <w:t>energise/energisation</w:t>
      </w:r>
    </w:p>
    <w:p>
      <w:pPr>
        <w:spacing w:before="120"/>
        <w:ind w:left="1352" w:right="416" w:firstLine="0"/>
        <w:jc w:val="both"/>
        <w:rPr>
          <w:sz w:val="24"/>
        </w:rPr>
      </w:pPr>
      <w:r>
        <w:rPr>
          <w:sz w:val="24"/>
        </w:rPr>
        <w:t>The act of operation of switching equipment or the start-up of a </w:t>
      </w:r>
      <w:r>
        <w:rPr>
          <w:i/>
          <w:sz w:val="24"/>
        </w:rPr>
        <w:t>generating unit</w:t>
      </w:r>
      <w:r>
        <w:rPr>
          <w:sz w:val="24"/>
        </w:rPr>
        <w:t>, which results in there being a non-zero </w:t>
      </w:r>
      <w:r>
        <w:rPr>
          <w:i/>
          <w:sz w:val="24"/>
        </w:rPr>
        <w:t>voltage </w:t>
      </w:r>
      <w:r>
        <w:rPr>
          <w:sz w:val="24"/>
        </w:rPr>
        <w:t>beyond a </w:t>
      </w:r>
      <w:r>
        <w:rPr>
          <w:i/>
          <w:sz w:val="24"/>
        </w:rPr>
        <w:t>connection point </w:t>
      </w:r>
      <w:r>
        <w:rPr>
          <w:sz w:val="24"/>
        </w:rPr>
        <w:t>or part of the </w:t>
      </w:r>
      <w:r>
        <w:rPr>
          <w:i/>
          <w:sz w:val="24"/>
        </w:rPr>
        <w:t>transmission </w:t>
      </w:r>
      <w:r>
        <w:rPr>
          <w:sz w:val="24"/>
        </w:rPr>
        <w:t>or </w:t>
      </w:r>
      <w:r>
        <w:rPr>
          <w:i/>
          <w:sz w:val="24"/>
        </w:rPr>
        <w:t>distribution network</w:t>
      </w:r>
      <w:r>
        <w:rPr>
          <w:sz w:val="24"/>
        </w:rPr>
        <w:t>.</w:t>
      </w:r>
    </w:p>
    <w:p>
      <w:pPr>
        <w:pStyle w:val="Heading5"/>
        <w:jc w:val="left"/>
        <w:rPr>
          <w:i/>
        </w:rPr>
      </w:pPr>
      <w:r>
        <w:rPr>
          <w:i/>
        </w:rPr>
        <w:t>energy</w:t>
      </w:r>
    </w:p>
    <w:p>
      <w:pPr>
        <w:spacing w:before="120"/>
        <w:ind w:left="1352" w:right="0" w:firstLine="0"/>
        <w:jc w:val="left"/>
        <w:rPr>
          <w:sz w:val="24"/>
        </w:rPr>
      </w:pPr>
      <w:r>
        <w:rPr>
          <w:i/>
          <w:sz w:val="24"/>
        </w:rPr>
        <w:t>Active energy </w:t>
      </w:r>
      <w:r>
        <w:rPr>
          <w:sz w:val="24"/>
        </w:rPr>
        <w:t>and/or </w:t>
      </w:r>
      <w:r>
        <w:rPr>
          <w:i/>
          <w:sz w:val="24"/>
        </w:rPr>
        <w:t>reactive</w:t>
      </w:r>
      <w:r>
        <w:rPr>
          <w:i/>
          <w:spacing w:val="-5"/>
          <w:sz w:val="24"/>
        </w:rPr>
        <w:t> </w:t>
      </w:r>
      <w:r>
        <w:rPr>
          <w:i/>
          <w:sz w:val="24"/>
        </w:rPr>
        <w:t>energy</w:t>
      </w:r>
      <w:r>
        <w:rPr>
          <w:sz w:val="24"/>
        </w:rPr>
        <w:t>.</w:t>
      </w:r>
    </w:p>
    <w:p>
      <w:pPr>
        <w:pStyle w:val="Heading5"/>
        <w:rPr>
          <w:i/>
        </w:rPr>
      </w:pPr>
      <w:r>
        <w:rPr>
          <w:i/>
        </w:rPr>
        <w:t>energy adequacy assessment projection</w:t>
      </w:r>
      <w:r>
        <w:rPr>
          <w:i/>
          <w:spacing w:val="-10"/>
        </w:rPr>
        <w:t> </w:t>
      </w:r>
      <w:r>
        <w:rPr>
          <w:i/>
        </w:rPr>
        <w:t>(EAAP)</w:t>
      </w:r>
    </w:p>
    <w:p>
      <w:pPr>
        <w:spacing w:before="120"/>
        <w:ind w:left="1352" w:right="415" w:firstLine="0"/>
        <w:jc w:val="both"/>
        <w:rPr>
          <w:sz w:val="24"/>
        </w:rPr>
      </w:pPr>
      <w:r>
        <w:rPr>
          <w:sz w:val="24"/>
        </w:rPr>
        <w:t>A projection of </w:t>
      </w:r>
      <w:r>
        <w:rPr>
          <w:i/>
          <w:sz w:val="24"/>
        </w:rPr>
        <w:t>AEMO's </w:t>
      </w:r>
      <w:r>
        <w:rPr>
          <w:sz w:val="24"/>
        </w:rPr>
        <w:t>assessment of </w:t>
      </w:r>
      <w:r>
        <w:rPr>
          <w:i/>
          <w:sz w:val="24"/>
        </w:rPr>
        <w:t>energy </w:t>
      </w:r>
      <w:r>
        <w:rPr>
          <w:sz w:val="24"/>
        </w:rPr>
        <w:t>availability that accounts for </w:t>
      </w:r>
      <w:r>
        <w:rPr>
          <w:i/>
          <w:sz w:val="24"/>
        </w:rPr>
        <w:t>energy constraints </w:t>
      </w:r>
      <w:r>
        <w:rPr>
          <w:sz w:val="24"/>
        </w:rPr>
        <w:t>for each month over a 24 month period, which is prepared and </w:t>
      </w:r>
      <w:r>
        <w:rPr>
          <w:i/>
          <w:sz w:val="24"/>
        </w:rPr>
        <w:t>published </w:t>
      </w:r>
      <w:r>
        <w:rPr>
          <w:sz w:val="24"/>
        </w:rPr>
        <w:t>in accordance with rule 3.7C and is measured as </w:t>
      </w:r>
      <w:r>
        <w:rPr>
          <w:i/>
          <w:sz w:val="24"/>
        </w:rPr>
        <w:t>unserved energy </w:t>
      </w:r>
      <w:r>
        <w:rPr>
          <w:sz w:val="24"/>
        </w:rPr>
        <w:t>for each</w:t>
      </w:r>
      <w:r>
        <w:rPr>
          <w:spacing w:val="-1"/>
          <w:sz w:val="24"/>
        </w:rPr>
        <w:t> </w:t>
      </w:r>
      <w:r>
        <w:rPr>
          <w:i/>
          <w:sz w:val="24"/>
        </w:rPr>
        <w:t>region</w:t>
      </w:r>
      <w:r>
        <w:rPr>
          <w:sz w:val="24"/>
        </w:rPr>
        <w:t>.</w:t>
      </w:r>
    </w:p>
    <w:p>
      <w:pPr>
        <w:pStyle w:val="Heading5"/>
        <w:rPr>
          <w:i/>
        </w:rPr>
      </w:pPr>
      <w:r>
        <w:rPr>
          <w:i/>
        </w:rPr>
        <w:t>energy based price</w:t>
      </w:r>
    </w:p>
    <w:p>
      <w:pPr>
        <w:pStyle w:val="BodyText"/>
        <w:ind w:left="1352" w:firstLine="0"/>
      </w:pPr>
      <w:r>
        <w:rPr/>
        <w:t>A price expressed in cents per kilowatt hour of </w:t>
      </w:r>
      <w:r>
        <w:rPr>
          <w:i/>
        </w:rPr>
        <w:t>energy</w:t>
      </w:r>
      <w:r>
        <w:rPr/>
        <w:t>.</w:t>
      </w:r>
    </w:p>
    <w:p>
      <w:pPr>
        <w:pStyle w:val="Heading5"/>
        <w:rPr>
          <w:i/>
        </w:rPr>
      </w:pPr>
      <w:r>
        <w:rPr>
          <w:i/>
        </w:rPr>
        <w:t>energy constrained scheduled generating unit</w:t>
      </w:r>
    </w:p>
    <w:p>
      <w:pPr>
        <w:spacing w:before="120"/>
        <w:ind w:left="1352" w:right="415" w:firstLine="0"/>
        <w:jc w:val="both"/>
        <w:rPr>
          <w:sz w:val="24"/>
        </w:rPr>
      </w:pPr>
      <w:r>
        <w:rPr>
          <w:sz w:val="24"/>
        </w:rPr>
        <w:t>A </w:t>
      </w:r>
      <w:r>
        <w:rPr>
          <w:i/>
          <w:sz w:val="24"/>
        </w:rPr>
        <w:t>scheduled generating unit </w:t>
      </w:r>
      <w:r>
        <w:rPr>
          <w:sz w:val="24"/>
        </w:rPr>
        <w:t>in respect of which the amount of electricity it is capable of </w:t>
      </w:r>
      <w:r>
        <w:rPr>
          <w:i/>
          <w:sz w:val="24"/>
        </w:rPr>
        <w:t>supplying </w:t>
      </w:r>
      <w:r>
        <w:rPr>
          <w:sz w:val="24"/>
        </w:rPr>
        <w:t>on a </w:t>
      </w:r>
      <w:r>
        <w:rPr>
          <w:i/>
          <w:sz w:val="24"/>
        </w:rPr>
        <w:t>trading day </w:t>
      </w:r>
      <w:r>
        <w:rPr>
          <w:sz w:val="24"/>
        </w:rPr>
        <w:t>is less than the amount of electricity it would </w:t>
      </w:r>
      <w:r>
        <w:rPr>
          <w:i/>
          <w:sz w:val="24"/>
        </w:rPr>
        <w:t>supply </w:t>
      </w:r>
      <w:r>
        <w:rPr>
          <w:sz w:val="24"/>
        </w:rPr>
        <w:t>on that </w:t>
      </w:r>
      <w:r>
        <w:rPr>
          <w:i/>
          <w:sz w:val="24"/>
        </w:rPr>
        <w:t>trading day </w:t>
      </w:r>
      <w:r>
        <w:rPr>
          <w:sz w:val="24"/>
        </w:rPr>
        <w:t>if it were </w:t>
      </w:r>
      <w:r>
        <w:rPr>
          <w:i/>
          <w:sz w:val="24"/>
        </w:rPr>
        <w:t>dispatched </w:t>
      </w:r>
      <w:r>
        <w:rPr>
          <w:sz w:val="24"/>
        </w:rPr>
        <w:t>to its full nominated availability for the whole </w:t>
      </w:r>
      <w:r>
        <w:rPr>
          <w:i/>
          <w:sz w:val="24"/>
        </w:rPr>
        <w:t>trading day</w:t>
      </w:r>
      <w:r>
        <w:rPr>
          <w:sz w:val="24"/>
        </w:rPr>
        <w:t>.</w:t>
      </w:r>
    </w:p>
    <w:p>
      <w:pPr>
        <w:pStyle w:val="Heading5"/>
        <w:rPr>
          <w:i/>
        </w:rPr>
      </w:pPr>
      <w:r>
        <w:rPr>
          <w:i/>
        </w:rPr>
        <w:t>energy constrained scheduled load</w:t>
      </w:r>
    </w:p>
    <w:p>
      <w:pPr>
        <w:pStyle w:val="BodyText"/>
        <w:ind w:left="1352" w:firstLine="0"/>
      </w:pPr>
      <w:r>
        <w:rPr/>
        <w:t>A </w:t>
      </w:r>
      <w:r>
        <w:rPr>
          <w:i/>
        </w:rPr>
        <w:t>scheduled load </w:t>
      </w:r>
      <w:r>
        <w:rPr/>
        <w:t>in respect of which the amount of electricity it can take in a</w:t>
      </w:r>
    </w:p>
    <w:p>
      <w:pPr>
        <w:spacing w:before="0"/>
        <w:ind w:left="1352" w:right="0" w:firstLine="0"/>
        <w:jc w:val="both"/>
        <w:rPr>
          <w:sz w:val="24"/>
        </w:rPr>
      </w:pPr>
      <w:r>
        <w:rPr>
          <w:i/>
          <w:sz w:val="24"/>
        </w:rPr>
        <w:t>trading day</w:t>
      </w:r>
      <w:r>
        <w:rPr>
          <w:sz w:val="24"/>
        </w:rPr>
        <w:t>, if </w:t>
      </w:r>
      <w:r>
        <w:rPr>
          <w:i/>
          <w:sz w:val="24"/>
        </w:rPr>
        <w:t>normally off</w:t>
      </w:r>
      <w:r>
        <w:rPr>
          <w:sz w:val="24"/>
        </w:rPr>
        <w:t>, or it can </w:t>
      </w:r>
      <w:r>
        <w:rPr>
          <w:i/>
          <w:sz w:val="24"/>
        </w:rPr>
        <w:t>off-load</w:t>
      </w:r>
      <w:r>
        <w:rPr>
          <w:sz w:val="24"/>
        </w:rPr>
        <w:t>, if </w:t>
      </w:r>
      <w:r>
        <w:rPr>
          <w:i/>
          <w:sz w:val="24"/>
        </w:rPr>
        <w:t>normally on</w:t>
      </w:r>
      <w:r>
        <w:rPr>
          <w:sz w:val="24"/>
        </w:rPr>
        <w:t>, is </w:t>
      </w:r>
      <w:r>
        <w:rPr>
          <w:i/>
          <w:sz w:val="24"/>
        </w:rPr>
        <w:t>constrained</w:t>
      </w:r>
      <w:r>
        <w:rPr>
          <w:sz w:val="24"/>
        </w:rPr>
        <w:t>.</w:t>
      </w:r>
    </w:p>
    <w:p>
      <w:pPr>
        <w:pStyle w:val="Heading5"/>
        <w:rPr>
          <w:i/>
        </w:rPr>
      </w:pPr>
      <w:r>
        <w:rPr>
          <w:i/>
        </w:rPr>
        <w:t>energy constraint</w:t>
      </w:r>
    </w:p>
    <w:p>
      <w:pPr>
        <w:pStyle w:val="BodyText"/>
        <w:ind w:left="1352" w:right="415" w:firstLine="0"/>
      </w:pPr>
      <w:r>
        <w:rPr/>
        <w:t>A limitation on the ability of a </w:t>
      </w:r>
      <w:r>
        <w:rPr>
          <w:i/>
        </w:rPr>
        <w:t>generating unit </w:t>
      </w:r>
      <w:r>
        <w:rPr/>
        <w:t>or group of </w:t>
      </w:r>
      <w:r>
        <w:rPr>
          <w:i/>
        </w:rPr>
        <w:t>generating units </w:t>
      </w:r>
      <w:r>
        <w:rPr/>
        <w:t>to generate </w:t>
      </w:r>
      <w:r>
        <w:rPr>
          <w:i/>
        </w:rPr>
        <w:t>active power </w:t>
      </w:r>
      <w:r>
        <w:rPr/>
        <w:t>due to the restrictions in the availability of fuel or other necessary expendable resources such as, but not limited to, gas, coal, or water for operating turbines or for cooling.</w:t>
      </w:r>
    </w:p>
    <w:p>
      <w:pPr>
        <w:pStyle w:val="Heading5"/>
        <w:rPr>
          <w:i/>
        </w:rPr>
      </w:pPr>
      <w:r>
        <w:rPr>
          <w:i/>
        </w:rPr>
        <w:t>energy conversion model</w:t>
      </w:r>
    </w:p>
    <w:p>
      <w:pPr>
        <w:spacing w:before="120"/>
        <w:ind w:left="1352" w:right="415" w:firstLine="0"/>
        <w:jc w:val="both"/>
        <w:rPr>
          <w:sz w:val="24"/>
        </w:rPr>
      </w:pPr>
      <w:r>
        <w:rPr>
          <w:sz w:val="24"/>
        </w:rPr>
        <w:t>The model that defines how the </w:t>
      </w:r>
      <w:r>
        <w:rPr>
          <w:i/>
          <w:sz w:val="24"/>
        </w:rPr>
        <w:t>intermittent </w:t>
      </w:r>
      <w:r>
        <w:rPr>
          <w:sz w:val="24"/>
        </w:rPr>
        <w:t>input energy source (such as wind) is converted by the </w:t>
      </w:r>
      <w:r>
        <w:rPr>
          <w:i/>
          <w:sz w:val="24"/>
        </w:rPr>
        <w:t>semi-scheduled generating unit </w:t>
      </w:r>
      <w:r>
        <w:rPr>
          <w:sz w:val="24"/>
        </w:rPr>
        <w:t>into electrical output. That</w:t>
      </w:r>
    </w:p>
    <w:p>
      <w:pPr>
        <w:spacing w:after="0"/>
        <w:jc w:val="both"/>
        <w:rPr>
          <w:sz w:val="24"/>
        </w:rPr>
        <w:sectPr>
          <w:pgSz w:w="11910" w:h="16840"/>
          <w:pgMar w:header="686" w:footer="637" w:top="1320" w:bottom="820" w:left="1200" w:right="1000"/>
        </w:sectPr>
      </w:pPr>
    </w:p>
    <w:p>
      <w:pPr>
        <w:pStyle w:val="BodyText"/>
        <w:spacing w:before="83"/>
        <w:ind w:left="1352" w:firstLine="0"/>
        <w:jc w:val="left"/>
        <w:rPr>
          <w:i/>
        </w:rPr>
      </w:pPr>
      <w:r>
        <w:rPr/>
        <w:t>model must contain the information set out in the guidelines </w:t>
      </w:r>
      <w:r>
        <w:rPr>
          <w:i/>
        </w:rPr>
        <w:t>published </w:t>
      </w:r>
      <w:r>
        <w:rPr/>
        <w:t>by </w:t>
      </w:r>
      <w:r>
        <w:rPr>
          <w:i/>
        </w:rPr>
        <w:t>AEMO</w:t>
      </w:r>
    </w:p>
    <w:p>
      <w:pPr>
        <w:pStyle w:val="BodyText"/>
        <w:spacing w:before="0"/>
        <w:ind w:left="1352" w:firstLine="0"/>
        <w:jc w:val="left"/>
      </w:pPr>
      <w:r>
        <w:rPr/>
        <w:t>in accordance with clause 2.2.7(d).</w:t>
      </w:r>
    </w:p>
    <w:p>
      <w:pPr>
        <w:pStyle w:val="Heading5"/>
        <w:jc w:val="left"/>
        <w:rPr>
          <w:i/>
        </w:rPr>
      </w:pPr>
      <w:r>
        <w:rPr>
          <w:i/>
        </w:rPr>
        <w:t>energy data</w:t>
      </w:r>
    </w:p>
    <w:p>
      <w:pPr>
        <w:spacing w:before="120"/>
        <w:ind w:left="1352" w:right="0" w:firstLine="0"/>
        <w:jc w:val="left"/>
        <w:rPr>
          <w:sz w:val="24"/>
        </w:rPr>
      </w:pPr>
      <w:r>
        <w:rPr>
          <w:i/>
          <w:sz w:val="24"/>
        </w:rPr>
        <w:t>Interval energy data </w:t>
      </w:r>
      <w:r>
        <w:rPr>
          <w:sz w:val="24"/>
        </w:rPr>
        <w:t>or </w:t>
      </w:r>
      <w:r>
        <w:rPr>
          <w:i/>
          <w:sz w:val="24"/>
        </w:rPr>
        <w:t>accumulated energy data</w:t>
      </w:r>
      <w:r>
        <w:rPr>
          <w:sz w:val="24"/>
        </w:rPr>
        <w:t>.</w:t>
      </w:r>
    </w:p>
    <w:p>
      <w:pPr>
        <w:pStyle w:val="Heading5"/>
        <w:jc w:val="left"/>
        <w:rPr>
          <w:i/>
        </w:rPr>
      </w:pPr>
      <w:r>
        <w:rPr>
          <w:i/>
        </w:rPr>
        <w:t>energy laws</w:t>
      </w:r>
    </w:p>
    <w:p>
      <w:pPr>
        <w:pStyle w:val="BodyText"/>
        <w:ind w:left="1352" w:firstLine="0"/>
        <w:jc w:val="left"/>
      </w:pPr>
      <w:r>
        <w:rPr/>
        <w:t>Means:</w:t>
      </w:r>
    </w:p>
    <w:p>
      <w:pPr>
        <w:pStyle w:val="ListParagraph"/>
        <w:numPr>
          <w:ilvl w:val="0"/>
          <w:numId w:val="738"/>
        </w:numPr>
        <w:tabs>
          <w:tab w:pos="1918" w:val="left" w:leader="none"/>
          <w:tab w:pos="1919" w:val="left" w:leader="none"/>
        </w:tabs>
        <w:spacing w:line="240" w:lineRule="auto" w:before="120" w:after="0"/>
        <w:ind w:left="1918" w:right="0" w:hanging="567"/>
        <w:jc w:val="left"/>
        <w:rPr>
          <w:sz w:val="24"/>
        </w:rPr>
      </w:pPr>
      <w:r>
        <w:rPr>
          <w:sz w:val="24"/>
        </w:rPr>
        <w:t>the national electricity legislation as defined in the </w:t>
      </w:r>
      <w:r>
        <w:rPr>
          <w:i/>
          <w:sz w:val="24"/>
        </w:rPr>
        <w:t>National Electricity</w:t>
      </w:r>
      <w:r>
        <w:rPr>
          <w:i/>
          <w:spacing w:val="-7"/>
          <w:sz w:val="24"/>
        </w:rPr>
        <w:t> </w:t>
      </w:r>
      <w:r>
        <w:rPr>
          <w:i/>
          <w:sz w:val="24"/>
        </w:rPr>
        <w:t>Law</w:t>
      </w:r>
      <w:r>
        <w:rPr>
          <w:sz w:val="24"/>
        </w:rPr>
        <w:t>;</w:t>
      </w:r>
    </w:p>
    <w:p>
      <w:pPr>
        <w:pStyle w:val="ListParagraph"/>
        <w:numPr>
          <w:ilvl w:val="0"/>
          <w:numId w:val="738"/>
        </w:numPr>
        <w:tabs>
          <w:tab w:pos="1918" w:val="left" w:leader="none"/>
          <w:tab w:pos="1919" w:val="left" w:leader="none"/>
        </w:tabs>
        <w:spacing w:line="240" w:lineRule="auto" w:before="120" w:after="0"/>
        <w:ind w:left="1918" w:right="0" w:hanging="567"/>
        <w:jc w:val="left"/>
        <w:rPr>
          <w:sz w:val="24"/>
        </w:rPr>
      </w:pPr>
      <w:r>
        <w:rPr>
          <w:sz w:val="24"/>
        </w:rPr>
        <w:t>these Rules and instruments made under these</w:t>
      </w:r>
      <w:r>
        <w:rPr>
          <w:spacing w:val="-2"/>
          <w:sz w:val="24"/>
        </w:rPr>
        <w:t> </w:t>
      </w:r>
      <w:r>
        <w:rPr>
          <w:sz w:val="24"/>
        </w:rPr>
        <w:t>Rules;</w:t>
      </w:r>
    </w:p>
    <w:p>
      <w:pPr>
        <w:pStyle w:val="ListParagraph"/>
        <w:numPr>
          <w:ilvl w:val="0"/>
          <w:numId w:val="738"/>
        </w:numPr>
        <w:tabs>
          <w:tab w:pos="1918" w:val="left" w:leader="none"/>
          <w:tab w:pos="1919" w:val="left" w:leader="none"/>
        </w:tabs>
        <w:spacing w:line="240" w:lineRule="auto" w:before="120" w:after="0"/>
        <w:ind w:left="1918" w:right="0" w:hanging="567"/>
        <w:jc w:val="left"/>
        <w:rPr>
          <w:sz w:val="24"/>
        </w:rPr>
      </w:pPr>
      <w:r>
        <w:rPr>
          <w:sz w:val="24"/>
        </w:rPr>
        <w:t>the national gas legislation as defined in the National Gas (NT)</w:t>
      </w:r>
      <w:r>
        <w:rPr>
          <w:spacing w:val="-7"/>
          <w:sz w:val="24"/>
        </w:rPr>
        <w:t> </w:t>
      </w:r>
      <w:r>
        <w:rPr>
          <w:sz w:val="24"/>
        </w:rPr>
        <w:t>Law;</w:t>
      </w:r>
    </w:p>
    <w:p>
      <w:pPr>
        <w:pStyle w:val="ListParagraph"/>
        <w:numPr>
          <w:ilvl w:val="0"/>
          <w:numId w:val="738"/>
        </w:numPr>
        <w:tabs>
          <w:tab w:pos="1918" w:val="left" w:leader="none"/>
          <w:tab w:pos="1919" w:val="left" w:leader="none"/>
        </w:tabs>
        <w:spacing w:line="240" w:lineRule="auto" w:before="120" w:after="0"/>
        <w:ind w:left="1919" w:right="415" w:hanging="567"/>
        <w:jc w:val="left"/>
        <w:rPr>
          <w:sz w:val="24"/>
        </w:rPr>
      </w:pPr>
      <w:r>
        <w:rPr>
          <w:sz w:val="24"/>
        </w:rPr>
        <w:t>the National Gas Rules as defined in the National Gas (NT) Law and instruments made under those Rules;</w:t>
      </w:r>
      <w:r>
        <w:rPr>
          <w:spacing w:val="-1"/>
          <w:sz w:val="24"/>
        </w:rPr>
        <w:t> </w:t>
      </w:r>
      <w:r>
        <w:rPr>
          <w:sz w:val="24"/>
        </w:rPr>
        <w:t>and</w:t>
      </w:r>
    </w:p>
    <w:p>
      <w:pPr>
        <w:pStyle w:val="ListParagraph"/>
        <w:numPr>
          <w:ilvl w:val="0"/>
          <w:numId w:val="738"/>
        </w:numPr>
        <w:tabs>
          <w:tab w:pos="1918" w:val="left" w:leader="none"/>
          <w:tab w:pos="1919" w:val="left" w:leader="none"/>
        </w:tabs>
        <w:spacing w:line="240" w:lineRule="auto" w:before="120" w:after="0"/>
        <w:ind w:left="1918" w:right="0" w:hanging="567"/>
        <w:jc w:val="left"/>
        <w:rPr>
          <w:sz w:val="24"/>
        </w:rPr>
      </w:pPr>
      <w:r>
        <w:rPr>
          <w:sz w:val="24"/>
        </w:rPr>
        <w:t>any other Northern Territory legislation that regulates</w:t>
      </w:r>
      <w:r>
        <w:rPr>
          <w:spacing w:val="-3"/>
          <w:sz w:val="24"/>
        </w:rPr>
        <w:t> </w:t>
      </w:r>
      <w:r>
        <w:rPr>
          <w:sz w:val="24"/>
        </w:rPr>
        <w:t>energy.</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modifications to this definition expire when the </w:t>
      </w:r>
      <w:r>
        <w:rPr>
          <w:i/>
          <w:sz w:val="20"/>
        </w:rPr>
        <w:t>National Energy Retail Law </w:t>
      </w:r>
      <w:r>
        <w:rPr>
          <w:sz w:val="20"/>
        </w:rPr>
        <w:t>is applied as a law of this</w:t>
      </w:r>
      <w:r>
        <w:rPr>
          <w:spacing w:val="-1"/>
          <w:sz w:val="20"/>
        </w:rPr>
        <w:t> </w:t>
      </w:r>
      <w:r>
        <w:rPr>
          <w:sz w:val="20"/>
        </w:rPr>
        <w:t>jurisdiction.</w:t>
      </w:r>
    </w:p>
    <w:p>
      <w:pPr>
        <w:pStyle w:val="Heading5"/>
        <w:rPr>
          <w:i/>
        </w:rPr>
      </w:pPr>
      <w:r>
        <w:rPr>
          <w:i/>
        </w:rPr>
        <w:t>energy ombudsman</w:t>
      </w:r>
    </w:p>
    <w:p>
      <w:pPr>
        <w:pStyle w:val="BodyText"/>
        <w:ind w:left="1352" w:right="416" w:firstLine="0"/>
      </w:pPr>
      <w:r>
        <w:rPr/>
        <w:t>The person holder or occupying the office of Ombudsman for the Northern Territory established by section 9 of the </w:t>
      </w:r>
      <w:r>
        <w:rPr>
          <w:i/>
        </w:rPr>
        <w:t>Ombudsman Act 2009 </w:t>
      </w:r>
      <w:r>
        <w:rPr/>
        <w:t>(NT).</w:t>
      </w:r>
    </w:p>
    <w:p>
      <w:pPr>
        <w:pStyle w:val="Heading5"/>
        <w:rPr>
          <w:i/>
        </w:rPr>
      </w:pPr>
      <w:r>
        <w:rPr>
          <w:i/>
        </w:rPr>
        <w:t>energy support arrangement</w:t>
      </w:r>
    </w:p>
    <w:p>
      <w:pPr>
        <w:spacing w:before="120"/>
        <w:ind w:left="1352" w:right="415" w:firstLine="0"/>
        <w:jc w:val="both"/>
        <w:rPr>
          <w:sz w:val="24"/>
        </w:rPr>
      </w:pPr>
      <w:r>
        <w:rPr>
          <w:sz w:val="24"/>
        </w:rPr>
        <w:t>A contractual arrangement between a </w:t>
      </w:r>
      <w:r>
        <w:rPr>
          <w:i/>
          <w:sz w:val="24"/>
        </w:rPr>
        <w:t>Generator </w:t>
      </w:r>
      <w:r>
        <w:rPr>
          <w:sz w:val="24"/>
        </w:rPr>
        <w:t>or </w:t>
      </w:r>
      <w:r>
        <w:rPr>
          <w:i/>
          <w:sz w:val="24"/>
        </w:rPr>
        <w:t>Network Service Provider </w:t>
      </w:r>
      <w:r>
        <w:rPr>
          <w:sz w:val="24"/>
        </w:rPr>
        <w:t>on the one hand, and a customer or </w:t>
      </w:r>
      <w:r>
        <w:rPr>
          <w:i/>
          <w:sz w:val="24"/>
        </w:rPr>
        <w:t>participating jurisdiction </w:t>
      </w:r>
      <w:r>
        <w:rPr>
          <w:sz w:val="24"/>
        </w:rPr>
        <w:t>on the other, under which </w:t>
      </w:r>
      <w:r>
        <w:rPr>
          <w:i/>
          <w:sz w:val="24"/>
        </w:rPr>
        <w:t>facilities </w:t>
      </w:r>
      <w:r>
        <w:rPr>
          <w:sz w:val="24"/>
        </w:rPr>
        <w:t>not subject to an </w:t>
      </w:r>
      <w:r>
        <w:rPr>
          <w:i/>
          <w:sz w:val="24"/>
        </w:rPr>
        <w:t>ancillary services agreement </w:t>
      </w:r>
      <w:r>
        <w:rPr>
          <w:sz w:val="24"/>
        </w:rPr>
        <w:t>for the provision of </w:t>
      </w:r>
      <w:r>
        <w:rPr>
          <w:i/>
          <w:sz w:val="24"/>
        </w:rPr>
        <w:t>system restart ancillary services </w:t>
      </w:r>
      <w:r>
        <w:rPr>
          <w:sz w:val="24"/>
        </w:rPr>
        <w:t>are used to assist </w:t>
      </w:r>
      <w:r>
        <w:rPr>
          <w:i/>
          <w:sz w:val="24"/>
        </w:rPr>
        <w:t>supply </w:t>
      </w:r>
      <w:r>
        <w:rPr>
          <w:sz w:val="24"/>
        </w:rPr>
        <w:t>to a customer during a </w:t>
      </w:r>
      <w:r>
        <w:rPr>
          <w:i/>
          <w:sz w:val="24"/>
        </w:rPr>
        <w:t>major supply disruption </w:t>
      </w:r>
      <w:r>
        <w:rPr>
          <w:sz w:val="24"/>
        </w:rPr>
        <w:t>affecting that customer, or customers generally in the </w:t>
      </w:r>
      <w:r>
        <w:rPr>
          <w:i/>
          <w:sz w:val="24"/>
        </w:rPr>
        <w:t>participating jurisdictions</w:t>
      </w:r>
      <w:r>
        <w:rPr>
          <w:sz w:val="24"/>
        </w:rPr>
        <w:t>, as the case may be.</w:t>
      </w:r>
    </w:p>
    <w:p>
      <w:pPr>
        <w:pStyle w:val="Heading5"/>
        <w:rPr>
          <w:i/>
        </w:rPr>
      </w:pPr>
      <w:r>
        <w:rPr>
          <w:i/>
        </w:rPr>
        <w:t>ENM conditions</w:t>
      </w:r>
    </w:p>
    <w:p>
      <w:pPr>
        <w:spacing w:before="120"/>
        <w:ind w:left="1352" w:right="0" w:firstLine="0"/>
        <w:jc w:val="both"/>
        <w:rPr>
          <w:sz w:val="24"/>
        </w:rPr>
      </w:pPr>
      <w:r>
        <w:rPr>
          <w:sz w:val="24"/>
        </w:rPr>
        <w:t>An </w:t>
      </w:r>
      <w:r>
        <w:rPr>
          <w:i/>
          <w:sz w:val="24"/>
        </w:rPr>
        <w:t>Exempt Embedded Network Service Provider </w:t>
      </w:r>
      <w:r>
        <w:rPr>
          <w:sz w:val="24"/>
        </w:rPr>
        <w:t>must:</w:t>
      </w:r>
    </w:p>
    <w:p>
      <w:pPr>
        <w:pStyle w:val="ListParagraph"/>
        <w:numPr>
          <w:ilvl w:val="0"/>
          <w:numId w:val="739"/>
        </w:numPr>
        <w:tabs>
          <w:tab w:pos="1919" w:val="left" w:leader="none"/>
        </w:tabs>
        <w:spacing w:line="240" w:lineRule="auto" w:before="120" w:after="0"/>
        <w:ind w:left="1919" w:right="414" w:hanging="567"/>
        <w:jc w:val="both"/>
        <w:rPr>
          <w:sz w:val="24"/>
        </w:rPr>
      </w:pPr>
      <w:r>
        <w:rPr>
          <w:sz w:val="24"/>
        </w:rPr>
        <w:t>act as the </w:t>
      </w:r>
      <w:r>
        <w:rPr>
          <w:i/>
          <w:sz w:val="24"/>
        </w:rPr>
        <w:t>Embedded Network Manager </w:t>
      </w:r>
      <w:r>
        <w:rPr>
          <w:sz w:val="24"/>
        </w:rPr>
        <w:t>for the relevant </w:t>
      </w:r>
      <w:r>
        <w:rPr>
          <w:i/>
          <w:sz w:val="24"/>
        </w:rPr>
        <w:t>embedded network</w:t>
      </w:r>
      <w:r>
        <w:rPr>
          <w:sz w:val="24"/>
        </w:rPr>
        <w:t>; or</w:t>
      </w:r>
    </w:p>
    <w:p>
      <w:pPr>
        <w:pStyle w:val="ListParagraph"/>
        <w:numPr>
          <w:ilvl w:val="0"/>
          <w:numId w:val="739"/>
        </w:numPr>
        <w:tabs>
          <w:tab w:pos="1919" w:val="left" w:leader="none"/>
        </w:tabs>
        <w:spacing w:line="240" w:lineRule="auto" w:before="120" w:after="0"/>
        <w:ind w:left="1919" w:right="414" w:hanging="567"/>
        <w:jc w:val="both"/>
        <w:rPr>
          <w:sz w:val="24"/>
        </w:rPr>
      </w:pPr>
      <w:r>
        <w:rPr>
          <w:sz w:val="24"/>
        </w:rPr>
        <w:t>engage an </w:t>
      </w:r>
      <w:r>
        <w:rPr>
          <w:i/>
          <w:sz w:val="24"/>
        </w:rPr>
        <w:t>Embedded Network Manager </w:t>
      </w:r>
      <w:r>
        <w:rPr>
          <w:sz w:val="24"/>
        </w:rPr>
        <w:t>to provide </w:t>
      </w:r>
      <w:r>
        <w:rPr>
          <w:i/>
          <w:sz w:val="24"/>
        </w:rPr>
        <w:t>embedded network </w:t>
      </w:r>
      <w:r>
        <w:rPr>
          <w:i/>
          <w:sz w:val="24"/>
        </w:rPr>
        <w:t>management services </w:t>
      </w:r>
      <w:r>
        <w:rPr>
          <w:sz w:val="24"/>
        </w:rPr>
        <w:t>for the relevant </w:t>
      </w:r>
      <w:r>
        <w:rPr>
          <w:i/>
          <w:sz w:val="24"/>
        </w:rPr>
        <w:t>embedded network</w:t>
      </w:r>
      <w:r>
        <w:rPr>
          <w:sz w:val="24"/>
        </w:rPr>
        <w:t>;</w:t>
      </w:r>
      <w:r>
        <w:rPr>
          <w:spacing w:val="-8"/>
          <w:sz w:val="24"/>
        </w:rPr>
        <w:t> </w:t>
      </w:r>
      <w:r>
        <w:rPr>
          <w:sz w:val="24"/>
        </w:rPr>
        <w:t>and</w:t>
      </w:r>
    </w:p>
    <w:p>
      <w:pPr>
        <w:pStyle w:val="ListParagraph"/>
        <w:numPr>
          <w:ilvl w:val="0"/>
          <w:numId w:val="739"/>
        </w:numPr>
        <w:tabs>
          <w:tab w:pos="1919" w:val="left" w:leader="none"/>
        </w:tabs>
        <w:spacing w:line="240" w:lineRule="auto" w:before="120" w:after="0"/>
        <w:ind w:left="1919" w:right="415" w:hanging="567"/>
        <w:jc w:val="both"/>
        <w:rPr>
          <w:sz w:val="24"/>
        </w:rPr>
      </w:pPr>
      <w:r>
        <w:rPr>
          <w:sz w:val="24"/>
        </w:rPr>
        <w:t>enter into an agreement with an </w:t>
      </w:r>
      <w:r>
        <w:rPr>
          <w:i/>
          <w:sz w:val="24"/>
        </w:rPr>
        <w:t>Embedded Network Manager </w:t>
      </w:r>
      <w:r>
        <w:rPr>
          <w:sz w:val="24"/>
        </w:rPr>
        <w:t>for the provision of </w:t>
      </w:r>
      <w:r>
        <w:rPr>
          <w:i/>
          <w:sz w:val="24"/>
        </w:rPr>
        <w:t>embedded network management services </w:t>
      </w:r>
      <w:r>
        <w:rPr>
          <w:sz w:val="24"/>
        </w:rPr>
        <w:t>where that person has engaged an </w:t>
      </w:r>
      <w:r>
        <w:rPr>
          <w:i/>
          <w:sz w:val="24"/>
        </w:rPr>
        <w:t>Embedded Network Manager </w:t>
      </w:r>
      <w:r>
        <w:rPr>
          <w:sz w:val="24"/>
        </w:rPr>
        <w:t>under paragraph</w:t>
      </w:r>
      <w:r>
        <w:rPr>
          <w:spacing w:val="-1"/>
          <w:sz w:val="24"/>
        </w:rPr>
        <w:t> </w:t>
      </w:r>
      <w:r>
        <w:rPr>
          <w:sz w:val="24"/>
        </w:rPr>
        <w:t>(b).</w:t>
      </w:r>
    </w:p>
    <w:p>
      <w:pPr>
        <w:pStyle w:val="Heading5"/>
        <w:rPr>
          <w:i/>
        </w:rPr>
      </w:pPr>
      <w:r>
        <w:rPr>
          <w:i/>
        </w:rPr>
        <w:t>ENM conditions trigger</w:t>
      </w:r>
    </w:p>
    <w:p>
      <w:pPr>
        <w:spacing w:before="120"/>
        <w:ind w:left="1352" w:right="415" w:firstLine="0"/>
        <w:jc w:val="both"/>
        <w:rPr>
          <w:sz w:val="24"/>
        </w:rPr>
      </w:pPr>
      <w:r>
        <w:rPr>
          <w:sz w:val="24"/>
        </w:rPr>
        <w:t>In relation to a </w:t>
      </w:r>
      <w:r>
        <w:rPr>
          <w:i/>
          <w:sz w:val="24"/>
        </w:rPr>
        <w:t>small customer</w:t>
      </w:r>
      <w:r>
        <w:rPr>
          <w:sz w:val="24"/>
        </w:rPr>
        <w:t>, when the </w:t>
      </w:r>
      <w:r>
        <w:rPr>
          <w:i/>
          <w:sz w:val="24"/>
        </w:rPr>
        <w:t>small customer </w:t>
      </w:r>
      <w:r>
        <w:rPr>
          <w:sz w:val="24"/>
        </w:rPr>
        <w:t>enters a </w:t>
      </w:r>
      <w:r>
        <w:rPr>
          <w:i/>
          <w:sz w:val="24"/>
        </w:rPr>
        <w:t>market retail </w:t>
      </w:r>
      <w:r>
        <w:rPr>
          <w:i/>
          <w:sz w:val="24"/>
        </w:rPr>
        <w:t>contract </w:t>
      </w:r>
      <w:r>
        <w:rPr>
          <w:sz w:val="24"/>
        </w:rPr>
        <w:t>for the sale of energy at the relevant </w:t>
      </w:r>
      <w:r>
        <w:rPr>
          <w:i/>
          <w:sz w:val="24"/>
        </w:rPr>
        <w:t>child connection point </w:t>
      </w:r>
      <w:r>
        <w:rPr>
          <w:sz w:val="24"/>
        </w:rPr>
        <w:t>and the </w:t>
      </w:r>
      <w:r>
        <w:rPr>
          <w:i/>
          <w:sz w:val="24"/>
        </w:rPr>
        <w:t>cooling off period </w:t>
      </w:r>
      <w:r>
        <w:rPr>
          <w:sz w:val="24"/>
        </w:rPr>
        <w:t>in relation to that contract has expired.</w:t>
      </w:r>
    </w:p>
    <w:p>
      <w:pPr>
        <w:spacing w:before="120"/>
        <w:ind w:left="1352" w:right="414" w:firstLine="0"/>
        <w:jc w:val="both"/>
        <w:rPr>
          <w:sz w:val="24"/>
        </w:rPr>
      </w:pPr>
      <w:r>
        <w:rPr>
          <w:sz w:val="24"/>
        </w:rPr>
        <w:t>In relation to a </w:t>
      </w:r>
      <w:r>
        <w:rPr>
          <w:i/>
          <w:sz w:val="24"/>
        </w:rPr>
        <w:t>large customer</w:t>
      </w:r>
      <w:r>
        <w:rPr>
          <w:sz w:val="24"/>
        </w:rPr>
        <w:t>, when the </w:t>
      </w:r>
      <w:r>
        <w:rPr>
          <w:i/>
          <w:sz w:val="24"/>
        </w:rPr>
        <w:t>large customer </w:t>
      </w:r>
      <w:r>
        <w:rPr>
          <w:sz w:val="24"/>
        </w:rPr>
        <w:t>has entered a contract for the sale of energy at the relevant </w:t>
      </w:r>
      <w:r>
        <w:rPr>
          <w:i/>
          <w:sz w:val="24"/>
        </w:rPr>
        <w:t>child connection point</w:t>
      </w:r>
      <w:r>
        <w:rPr>
          <w:sz w:val="24"/>
        </w:rPr>
        <w:t>.</w:t>
      </w:r>
    </w:p>
    <w:p>
      <w:pPr>
        <w:spacing w:after="0"/>
        <w:jc w:val="both"/>
        <w:rPr>
          <w:sz w:val="24"/>
        </w:rPr>
        <w:sectPr>
          <w:pgSz w:w="11910" w:h="16840"/>
          <w:pgMar w:header="686" w:footer="637" w:top="1320" w:bottom="820" w:left="1200" w:right="1000"/>
        </w:sectPr>
      </w:pPr>
    </w:p>
    <w:p>
      <w:pPr>
        <w:pStyle w:val="Heading5"/>
        <w:spacing w:before="83"/>
        <w:ind w:left="0" w:right="6316"/>
        <w:jc w:val="center"/>
        <w:rPr>
          <w:i/>
        </w:rPr>
      </w:pPr>
      <w:r>
        <w:rPr>
          <w:i/>
        </w:rPr>
        <w:t>ENM service level procedures</w:t>
      </w:r>
    </w:p>
    <w:p>
      <w:pPr>
        <w:pStyle w:val="BodyText"/>
        <w:ind w:left="924" w:right="862" w:firstLine="0"/>
        <w:jc w:val="center"/>
      </w:pPr>
      <w:r>
        <w:rPr/>
        <w:t>The procedures established by </w:t>
      </w:r>
      <w:r>
        <w:rPr>
          <w:i/>
        </w:rPr>
        <w:t>AEMO </w:t>
      </w:r>
      <w:r>
        <w:rPr/>
        <w:t>in accordance with clause 7.16.6A.</w:t>
      </w:r>
    </w:p>
    <w:p>
      <w:pPr>
        <w:pStyle w:val="Heading5"/>
        <w:jc w:val="left"/>
        <w:rPr>
          <w:i/>
        </w:rPr>
      </w:pPr>
      <w:r>
        <w:rPr>
          <w:i/>
        </w:rPr>
        <w:t>enquiry</w:t>
      </w:r>
    </w:p>
    <w:p>
      <w:pPr>
        <w:pStyle w:val="BodyText"/>
        <w:ind w:left="1352" w:firstLine="0"/>
        <w:jc w:val="left"/>
      </w:pPr>
      <w:r>
        <w:rPr/>
        <w:t>Has (in the context of Chapter 5A) the meaning given in clause 5A.A.1</w:t>
      </w:r>
    </w:p>
    <w:p>
      <w:pPr>
        <w:pStyle w:val="Heading5"/>
        <w:jc w:val="left"/>
        <w:rPr>
          <w:i/>
        </w:rPr>
      </w:pPr>
      <w:r>
        <w:rPr>
          <w:i/>
        </w:rPr>
        <w:t>entry charge</w:t>
      </w:r>
    </w:p>
    <w:p>
      <w:pPr>
        <w:spacing w:before="120"/>
        <w:ind w:left="1352" w:right="0" w:firstLine="0"/>
        <w:jc w:val="left"/>
        <w:rPr>
          <w:sz w:val="24"/>
        </w:rPr>
      </w:pPr>
      <w:r>
        <w:rPr>
          <w:sz w:val="24"/>
        </w:rPr>
        <w:t>The charge payable by an </w:t>
      </w:r>
      <w:r>
        <w:rPr>
          <w:i/>
          <w:sz w:val="24"/>
        </w:rPr>
        <w:t>Embedded Generator </w:t>
      </w:r>
      <w:r>
        <w:rPr>
          <w:sz w:val="24"/>
        </w:rPr>
        <w:t>to a </w:t>
      </w:r>
      <w:r>
        <w:rPr>
          <w:i/>
          <w:sz w:val="24"/>
        </w:rPr>
        <w:t>Distribution Network Service </w:t>
      </w:r>
      <w:r>
        <w:rPr>
          <w:i/>
          <w:sz w:val="24"/>
        </w:rPr>
        <w:t>Provider </w:t>
      </w:r>
      <w:r>
        <w:rPr>
          <w:sz w:val="24"/>
        </w:rPr>
        <w:t>for an </w:t>
      </w:r>
      <w:r>
        <w:rPr>
          <w:i/>
          <w:sz w:val="24"/>
        </w:rPr>
        <w:t>entry service </w:t>
      </w:r>
      <w:r>
        <w:rPr>
          <w:sz w:val="24"/>
        </w:rPr>
        <w:t>at a </w:t>
      </w:r>
      <w:r>
        <w:rPr>
          <w:i/>
          <w:sz w:val="24"/>
        </w:rPr>
        <w:t>distribution network connection point</w:t>
      </w:r>
      <w:r>
        <w:rPr>
          <w:sz w:val="24"/>
        </w:rPr>
        <w:t>.</w:t>
      </w:r>
    </w:p>
    <w:p>
      <w:pPr>
        <w:spacing w:after="0"/>
        <w:jc w:val="left"/>
        <w:rPr>
          <w:sz w:val="24"/>
        </w:rPr>
        <w:sectPr>
          <w:pgSz w:w="11910" w:h="16840"/>
          <w:pgMar w:header="686" w:footer="637" w:top="1320" w:bottom="820" w:left="1200" w:right="1000"/>
        </w:sectPr>
      </w:pPr>
    </w:p>
    <w:p>
      <w:pPr>
        <w:pStyle w:val="Heading5"/>
        <w:jc w:val="left"/>
        <w:rPr>
          <w:i/>
        </w:rPr>
      </w:pPr>
      <w:r>
        <w:rPr>
          <w:i/>
        </w:rPr>
        <w:t>entry cost</w:t>
      </w:r>
    </w:p>
    <w:p>
      <w:pPr>
        <w:pStyle w:val="BodyText"/>
        <w:spacing w:before="0"/>
        <w:ind w:firstLine="0"/>
        <w:jc w:val="left"/>
        <w:rPr>
          <w:b/>
          <w:i/>
          <w:sz w:val="26"/>
        </w:rPr>
      </w:pPr>
      <w:r>
        <w:rPr/>
        <w:br w:type="column"/>
      </w:r>
      <w:r>
        <w:rPr>
          <w:b/>
          <w:i/>
          <w:sz w:val="26"/>
        </w:rPr>
      </w:r>
    </w:p>
    <w:p>
      <w:pPr>
        <w:spacing w:before="217"/>
        <w:ind w:left="140" w:right="415" w:firstLine="0"/>
        <w:jc w:val="both"/>
        <w:rPr>
          <w:sz w:val="24"/>
        </w:rPr>
      </w:pPr>
      <w:r>
        <w:rPr>
          <w:sz w:val="24"/>
        </w:rPr>
        <w:t>For each </w:t>
      </w:r>
      <w:r>
        <w:rPr>
          <w:i/>
          <w:sz w:val="24"/>
        </w:rPr>
        <w:t>distribution network connection point</w:t>
      </w:r>
      <w:r>
        <w:rPr>
          <w:sz w:val="24"/>
        </w:rPr>
        <w:t>, the amount of the </w:t>
      </w:r>
      <w:r>
        <w:rPr>
          <w:i/>
          <w:sz w:val="24"/>
        </w:rPr>
        <w:t>aggregate </w:t>
      </w:r>
      <w:r>
        <w:rPr>
          <w:i/>
          <w:sz w:val="24"/>
        </w:rPr>
        <w:t>annual revenue requirement </w:t>
      </w:r>
      <w:r>
        <w:rPr>
          <w:sz w:val="24"/>
        </w:rPr>
        <w:t>for all individual assets classified as </w:t>
      </w:r>
      <w:r>
        <w:rPr>
          <w:i/>
          <w:sz w:val="24"/>
        </w:rPr>
        <w:t>entry service </w:t>
      </w:r>
      <w:r>
        <w:rPr>
          <w:sz w:val="24"/>
        </w:rPr>
        <w:t>assets which provide </w:t>
      </w:r>
      <w:r>
        <w:rPr>
          <w:i/>
          <w:sz w:val="24"/>
        </w:rPr>
        <w:t>entry service </w:t>
      </w:r>
      <w:r>
        <w:rPr>
          <w:sz w:val="24"/>
        </w:rPr>
        <w:t>for the </w:t>
      </w:r>
      <w:r>
        <w:rPr>
          <w:i/>
          <w:sz w:val="24"/>
        </w:rPr>
        <w:t>connection point</w:t>
      </w:r>
      <w:r>
        <w:rPr>
          <w:sz w:val="24"/>
        </w:rPr>
        <w:t>.</w:t>
      </w:r>
    </w:p>
    <w:p>
      <w:pPr>
        <w:spacing w:after="0"/>
        <w:jc w:val="both"/>
        <w:rPr>
          <w:sz w:val="24"/>
        </w:rPr>
        <w:sectPr>
          <w:type w:val="continuous"/>
          <w:pgSz w:w="11910" w:h="16840"/>
          <w:pgMar w:top="1360" w:bottom="280" w:left="1200" w:right="1000"/>
          <w:cols w:num="2" w:equalWidth="0">
            <w:col w:w="1172" w:space="40"/>
            <w:col w:w="8498"/>
          </w:cols>
        </w:sectPr>
      </w:pPr>
    </w:p>
    <w:p>
      <w:pPr>
        <w:pStyle w:val="Heading5"/>
        <w:rPr>
          <w:i/>
        </w:rPr>
      </w:pPr>
      <w:r>
        <w:rPr>
          <w:i/>
        </w:rPr>
        <w:t>entry service</w:t>
      </w:r>
    </w:p>
    <w:p>
      <w:pPr>
        <w:spacing w:before="120"/>
        <w:ind w:left="1352" w:right="416" w:firstLine="0"/>
        <w:jc w:val="both"/>
        <w:rPr>
          <w:sz w:val="24"/>
        </w:rPr>
      </w:pPr>
      <w:r>
        <w:rPr>
          <w:sz w:val="24"/>
        </w:rPr>
        <w:t>A service provided to serve a </w:t>
      </w:r>
      <w:r>
        <w:rPr>
          <w:i/>
          <w:sz w:val="24"/>
        </w:rPr>
        <w:t>Generator </w:t>
      </w:r>
      <w:r>
        <w:rPr>
          <w:sz w:val="24"/>
        </w:rPr>
        <w:t>or a group of </w:t>
      </w:r>
      <w:r>
        <w:rPr>
          <w:i/>
          <w:sz w:val="24"/>
        </w:rPr>
        <w:t>Generators</w:t>
      </w:r>
      <w:r>
        <w:rPr>
          <w:sz w:val="24"/>
        </w:rPr>
        <w:t>, or a </w:t>
      </w:r>
      <w:r>
        <w:rPr>
          <w:i/>
          <w:sz w:val="24"/>
        </w:rPr>
        <w:t>Network </w:t>
      </w:r>
      <w:r>
        <w:rPr>
          <w:i/>
          <w:sz w:val="24"/>
        </w:rPr>
        <w:t>Service Provider </w:t>
      </w:r>
      <w:r>
        <w:rPr>
          <w:sz w:val="24"/>
        </w:rPr>
        <w:t>or a group of </w:t>
      </w:r>
      <w:r>
        <w:rPr>
          <w:i/>
          <w:sz w:val="24"/>
        </w:rPr>
        <w:t>Network Service Providers</w:t>
      </w:r>
      <w:r>
        <w:rPr>
          <w:sz w:val="24"/>
        </w:rPr>
        <w:t>, at a single </w:t>
      </w:r>
      <w:r>
        <w:rPr>
          <w:i/>
          <w:sz w:val="24"/>
        </w:rPr>
        <w:t>connection </w:t>
      </w:r>
      <w:r>
        <w:rPr>
          <w:i/>
          <w:sz w:val="24"/>
        </w:rPr>
        <w:t>point</w:t>
      </w:r>
      <w:r>
        <w:rPr>
          <w:sz w:val="24"/>
        </w:rPr>
        <w:t>.</w:t>
      </w:r>
    </w:p>
    <w:p>
      <w:pPr>
        <w:pStyle w:val="Heading5"/>
        <w:rPr>
          <w:i/>
        </w:rPr>
      </w:pPr>
      <w:r>
        <w:rPr>
          <w:i/>
        </w:rPr>
        <w:t>EN wiring information</w:t>
      </w:r>
    </w:p>
    <w:p>
      <w:pPr>
        <w:spacing w:before="120"/>
        <w:ind w:left="1352" w:right="0" w:firstLine="0"/>
        <w:jc w:val="both"/>
        <w:rPr>
          <w:sz w:val="24"/>
        </w:rPr>
      </w:pPr>
      <w:r>
        <w:rPr>
          <w:sz w:val="24"/>
        </w:rPr>
        <w:t>Panel layouts and wiring diagrams relevant to an </w:t>
      </w:r>
      <w:r>
        <w:rPr>
          <w:i/>
          <w:sz w:val="24"/>
        </w:rPr>
        <w:t>embedded network</w:t>
      </w:r>
      <w:r>
        <w:rPr>
          <w:sz w:val="24"/>
        </w:rPr>
        <w:t>.</w:t>
      </w:r>
    </w:p>
    <w:p>
      <w:pPr>
        <w:pStyle w:val="Heading5"/>
        <w:rPr>
          <w:i/>
        </w:rPr>
      </w:pPr>
      <w:r>
        <w:rPr>
          <w:i/>
        </w:rPr>
        <w:t>estimated metering data</w:t>
      </w:r>
    </w:p>
    <w:p>
      <w:pPr>
        <w:spacing w:before="120"/>
        <w:ind w:left="1352" w:right="417" w:firstLine="0"/>
        <w:jc w:val="both"/>
        <w:rPr>
          <w:sz w:val="24"/>
        </w:rPr>
      </w:pPr>
      <w:r>
        <w:rPr>
          <w:sz w:val="24"/>
        </w:rPr>
        <w:t>The estimated values of </w:t>
      </w:r>
      <w:r>
        <w:rPr>
          <w:i/>
          <w:sz w:val="24"/>
        </w:rPr>
        <w:t>accumulated metering data</w:t>
      </w:r>
      <w:r>
        <w:rPr>
          <w:sz w:val="24"/>
        </w:rPr>
        <w:t>, </w:t>
      </w:r>
      <w:r>
        <w:rPr>
          <w:i/>
          <w:sz w:val="24"/>
        </w:rPr>
        <w:t>interval metering data </w:t>
      </w:r>
      <w:r>
        <w:rPr>
          <w:sz w:val="24"/>
        </w:rPr>
        <w:t>or </w:t>
      </w:r>
      <w:r>
        <w:rPr>
          <w:i/>
          <w:sz w:val="24"/>
        </w:rPr>
        <w:t>calculated metering data </w:t>
      </w:r>
      <w:r>
        <w:rPr>
          <w:sz w:val="24"/>
        </w:rPr>
        <w:t>that have been prepared in accordance with schedule 7A.7. </w:t>
      </w:r>
      <w:r>
        <w:rPr>
          <w:i/>
          <w:sz w:val="24"/>
        </w:rPr>
        <w:t>Estimated metering data </w:t>
      </w:r>
      <w:r>
        <w:rPr>
          <w:sz w:val="24"/>
        </w:rPr>
        <w:t>is held in a </w:t>
      </w:r>
      <w:r>
        <w:rPr>
          <w:i/>
          <w:sz w:val="24"/>
        </w:rPr>
        <w:t>metering data services database</w:t>
      </w:r>
      <w:r>
        <w:rPr>
          <w:sz w:val="24"/>
        </w:rPr>
        <w:t>.</w:t>
      </w:r>
    </w:p>
    <w:p>
      <w:pPr>
        <w:pStyle w:val="Heading5"/>
        <w:rPr>
          <w:i/>
        </w:rPr>
      </w:pPr>
      <w:r>
        <w:rPr>
          <w:i/>
        </w:rPr>
        <w:t>excitation control system</w:t>
      </w:r>
    </w:p>
    <w:p>
      <w:pPr>
        <w:spacing w:before="120"/>
        <w:ind w:left="1352" w:right="415" w:firstLine="0"/>
        <w:jc w:val="both"/>
        <w:rPr>
          <w:sz w:val="24"/>
        </w:rPr>
      </w:pPr>
      <w:r>
        <w:rPr>
          <w:sz w:val="24"/>
        </w:rPr>
        <w:t>In relation to a </w:t>
      </w:r>
      <w:r>
        <w:rPr>
          <w:i/>
          <w:sz w:val="24"/>
        </w:rPr>
        <w:t>generating unit</w:t>
      </w:r>
      <w:r>
        <w:rPr>
          <w:sz w:val="24"/>
        </w:rPr>
        <w:t>, the automatic </w:t>
      </w:r>
      <w:r>
        <w:rPr>
          <w:i/>
          <w:sz w:val="24"/>
        </w:rPr>
        <w:t>control system </w:t>
      </w:r>
      <w:r>
        <w:rPr>
          <w:sz w:val="24"/>
        </w:rPr>
        <w:t>that provides the field excitation for the generator of the </w:t>
      </w:r>
      <w:r>
        <w:rPr>
          <w:i/>
          <w:sz w:val="24"/>
        </w:rPr>
        <w:t>generating unit </w:t>
      </w:r>
      <w:r>
        <w:rPr>
          <w:sz w:val="24"/>
        </w:rPr>
        <w:t>(including </w:t>
      </w:r>
      <w:r>
        <w:rPr>
          <w:spacing w:val="-3"/>
          <w:sz w:val="24"/>
        </w:rPr>
        <w:t>excitation </w:t>
      </w:r>
      <w:r>
        <w:rPr>
          <w:sz w:val="24"/>
        </w:rPr>
        <w:t>limiting devices and any </w:t>
      </w:r>
      <w:r>
        <w:rPr>
          <w:i/>
          <w:sz w:val="24"/>
        </w:rPr>
        <w:t>power system</w:t>
      </w:r>
      <w:r>
        <w:rPr>
          <w:i/>
          <w:spacing w:val="-4"/>
          <w:sz w:val="24"/>
        </w:rPr>
        <w:t> </w:t>
      </w:r>
      <w:r>
        <w:rPr>
          <w:sz w:val="24"/>
        </w:rPr>
        <w:t>stabiliser).</w:t>
      </w:r>
    </w:p>
    <w:p>
      <w:pPr>
        <w:pStyle w:val="Heading5"/>
        <w:rPr>
          <w:i/>
        </w:rPr>
      </w:pPr>
      <w:r>
        <w:rPr>
          <w:i/>
        </w:rPr>
        <w:t>Exempt Embedded Network Service Provider</w:t>
      </w:r>
    </w:p>
    <w:p>
      <w:pPr>
        <w:spacing w:before="120"/>
        <w:ind w:left="1352" w:right="415" w:firstLine="0"/>
        <w:jc w:val="both"/>
        <w:rPr>
          <w:sz w:val="24"/>
        </w:rPr>
      </w:pPr>
      <w:r>
        <w:rPr>
          <w:sz w:val="24"/>
        </w:rPr>
        <w:t>A person who engages in the activity of owning, controlling or operating an </w:t>
      </w:r>
      <w:r>
        <w:rPr>
          <w:i/>
          <w:sz w:val="24"/>
        </w:rPr>
        <w:t>embedded network </w:t>
      </w:r>
      <w:r>
        <w:rPr>
          <w:sz w:val="24"/>
        </w:rPr>
        <w:t>under an exemption granted or deemed to be granted by the </w:t>
      </w:r>
      <w:r>
        <w:rPr>
          <w:i/>
          <w:sz w:val="24"/>
        </w:rPr>
        <w:t>AER </w:t>
      </w:r>
      <w:r>
        <w:rPr>
          <w:sz w:val="24"/>
        </w:rPr>
        <w:t>under section 13 of the </w:t>
      </w:r>
      <w:r>
        <w:rPr>
          <w:i/>
          <w:sz w:val="24"/>
        </w:rPr>
        <w:t>National Electricity Law </w:t>
      </w:r>
      <w:r>
        <w:rPr>
          <w:sz w:val="24"/>
        </w:rPr>
        <w:t>and clause 2.5.1(d).</w:t>
      </w:r>
    </w:p>
    <w:p>
      <w:pPr>
        <w:pStyle w:val="Heading5"/>
        <w:rPr>
          <w:i/>
        </w:rPr>
      </w:pPr>
      <w:r>
        <w:rPr>
          <w:i/>
        </w:rPr>
        <w:t>exemption application</w:t>
      </w:r>
    </w:p>
    <w:p>
      <w:pPr>
        <w:pStyle w:val="BodyText"/>
        <w:ind w:left="1352" w:firstLine="0"/>
      </w:pPr>
      <w:r>
        <w:rPr/>
        <w:t>Has the meaning given in clause 6.4B.2(a).</w:t>
      </w:r>
    </w:p>
    <w:p>
      <w:pPr>
        <w:spacing w:after="0"/>
        <w:sectPr>
          <w:type w:val="continuous"/>
          <w:pgSz w:w="11910" w:h="16840"/>
          <w:pgMar w:top="1360" w:bottom="280" w:left="1200" w:right="1000"/>
        </w:sectPr>
      </w:pPr>
    </w:p>
    <w:p>
      <w:pPr>
        <w:pStyle w:val="Heading5"/>
        <w:jc w:val="left"/>
        <w:rPr>
          <w:i/>
        </w:rPr>
      </w:pPr>
      <w:r>
        <w:rPr>
          <w:i/>
        </w:rPr>
        <w:t>exit charge</w:t>
      </w:r>
    </w:p>
    <w:p>
      <w:pPr>
        <w:pStyle w:val="BodyText"/>
        <w:spacing w:before="0"/>
        <w:ind w:firstLine="0"/>
        <w:jc w:val="left"/>
        <w:rPr>
          <w:b/>
          <w:i/>
          <w:sz w:val="26"/>
        </w:rPr>
      </w:pPr>
    </w:p>
    <w:p>
      <w:pPr>
        <w:pStyle w:val="BodyText"/>
        <w:spacing w:before="0"/>
        <w:ind w:firstLine="0"/>
        <w:jc w:val="left"/>
        <w:rPr>
          <w:b/>
          <w:i/>
          <w:sz w:val="26"/>
        </w:rPr>
      </w:pPr>
    </w:p>
    <w:p>
      <w:pPr>
        <w:spacing w:before="194"/>
        <w:ind w:left="218" w:right="0" w:firstLine="0"/>
        <w:jc w:val="left"/>
        <w:rPr>
          <w:b/>
          <w:i/>
          <w:sz w:val="24"/>
        </w:rPr>
      </w:pPr>
      <w:r>
        <w:rPr>
          <w:b/>
          <w:i/>
          <w:sz w:val="24"/>
        </w:rPr>
        <w:t>exit cost</w:t>
      </w:r>
    </w:p>
    <w:p>
      <w:pPr>
        <w:pStyle w:val="BodyText"/>
        <w:spacing w:before="0"/>
        <w:ind w:firstLine="0"/>
        <w:jc w:val="left"/>
        <w:rPr>
          <w:b/>
          <w:i/>
          <w:sz w:val="26"/>
        </w:rPr>
      </w:pPr>
      <w:r>
        <w:rPr/>
        <w:br w:type="column"/>
      </w:r>
      <w:r>
        <w:rPr>
          <w:b/>
          <w:i/>
          <w:sz w:val="26"/>
        </w:rPr>
      </w:r>
    </w:p>
    <w:p>
      <w:pPr>
        <w:spacing w:before="217"/>
        <w:ind w:left="-7" w:right="417" w:firstLine="0"/>
        <w:jc w:val="both"/>
        <w:rPr>
          <w:sz w:val="24"/>
        </w:rPr>
      </w:pPr>
      <w:r>
        <w:rPr>
          <w:sz w:val="24"/>
        </w:rPr>
        <w:t>The charge payable by a </w:t>
      </w:r>
      <w:r>
        <w:rPr>
          <w:i/>
          <w:sz w:val="24"/>
        </w:rPr>
        <w:t>Distribution Customer </w:t>
      </w:r>
      <w:r>
        <w:rPr>
          <w:sz w:val="24"/>
        </w:rPr>
        <w:t>to a </w:t>
      </w:r>
      <w:r>
        <w:rPr>
          <w:i/>
          <w:sz w:val="24"/>
        </w:rPr>
        <w:t>Distribution Network Service </w:t>
      </w:r>
      <w:r>
        <w:rPr>
          <w:i/>
          <w:sz w:val="24"/>
        </w:rPr>
        <w:t>Provider </w:t>
      </w:r>
      <w:r>
        <w:rPr>
          <w:sz w:val="24"/>
        </w:rPr>
        <w:t>for </w:t>
      </w:r>
      <w:r>
        <w:rPr>
          <w:i/>
          <w:sz w:val="24"/>
        </w:rPr>
        <w:t>exit service </w:t>
      </w:r>
      <w:r>
        <w:rPr>
          <w:sz w:val="24"/>
        </w:rPr>
        <w:t>at a </w:t>
      </w:r>
      <w:r>
        <w:rPr>
          <w:i/>
          <w:sz w:val="24"/>
        </w:rPr>
        <w:t>distribution network connection point</w:t>
      </w:r>
      <w:r>
        <w:rPr>
          <w:sz w:val="24"/>
        </w:rPr>
        <w:t>.</w:t>
      </w:r>
    </w:p>
    <w:p>
      <w:pPr>
        <w:pStyle w:val="BodyText"/>
        <w:spacing w:before="0"/>
        <w:ind w:firstLine="0"/>
        <w:jc w:val="left"/>
        <w:rPr>
          <w:sz w:val="26"/>
        </w:rPr>
      </w:pPr>
    </w:p>
    <w:p>
      <w:pPr>
        <w:spacing w:before="217"/>
        <w:ind w:left="-7" w:right="415" w:firstLine="0"/>
        <w:jc w:val="both"/>
        <w:rPr>
          <w:sz w:val="24"/>
        </w:rPr>
      </w:pPr>
      <w:r>
        <w:rPr>
          <w:sz w:val="24"/>
        </w:rPr>
        <w:t>For each </w:t>
      </w:r>
      <w:r>
        <w:rPr>
          <w:i/>
          <w:sz w:val="24"/>
        </w:rPr>
        <w:t>distribution network connection point</w:t>
      </w:r>
      <w:r>
        <w:rPr>
          <w:sz w:val="24"/>
        </w:rPr>
        <w:t>, the amount of the </w:t>
      </w:r>
      <w:r>
        <w:rPr>
          <w:i/>
          <w:sz w:val="24"/>
        </w:rPr>
        <w:t>aggregate </w:t>
      </w:r>
      <w:r>
        <w:rPr>
          <w:i/>
          <w:sz w:val="24"/>
        </w:rPr>
        <w:t>annual revenue requirement </w:t>
      </w:r>
      <w:r>
        <w:rPr>
          <w:sz w:val="24"/>
        </w:rPr>
        <w:t>for all individual assets classified as </w:t>
      </w:r>
      <w:r>
        <w:rPr>
          <w:i/>
          <w:sz w:val="24"/>
        </w:rPr>
        <w:t>exit service </w:t>
      </w:r>
      <w:r>
        <w:rPr>
          <w:sz w:val="24"/>
        </w:rPr>
        <w:t>assets which provide </w:t>
      </w:r>
      <w:r>
        <w:rPr>
          <w:i/>
          <w:sz w:val="24"/>
        </w:rPr>
        <w:t>exit service </w:t>
      </w:r>
      <w:r>
        <w:rPr>
          <w:sz w:val="24"/>
        </w:rPr>
        <w:t>for the </w:t>
      </w:r>
      <w:r>
        <w:rPr>
          <w:i/>
          <w:sz w:val="24"/>
        </w:rPr>
        <w:t>connection point</w:t>
      </w:r>
      <w:r>
        <w:rPr>
          <w:sz w:val="24"/>
        </w:rPr>
        <w:t>.</w:t>
      </w:r>
    </w:p>
    <w:p>
      <w:pPr>
        <w:spacing w:after="0"/>
        <w:jc w:val="both"/>
        <w:rPr>
          <w:sz w:val="24"/>
        </w:rPr>
        <w:sectPr>
          <w:type w:val="continuous"/>
          <w:pgSz w:w="11910" w:h="16840"/>
          <w:pgMar w:top="1360" w:bottom="280" w:left="1200" w:right="1000"/>
          <w:cols w:num="2" w:equalWidth="0">
            <w:col w:w="1319" w:space="40"/>
            <w:col w:w="8351"/>
          </w:cols>
        </w:sectPr>
      </w:pPr>
    </w:p>
    <w:p>
      <w:pPr>
        <w:pStyle w:val="Heading5"/>
        <w:spacing w:before="83"/>
        <w:jc w:val="left"/>
        <w:rPr>
          <w:i/>
        </w:rPr>
      </w:pPr>
      <w:r>
        <w:rPr>
          <w:i/>
        </w:rPr>
        <w:t>exit service</w:t>
      </w:r>
    </w:p>
    <w:p>
      <w:pPr>
        <w:pStyle w:val="BodyText"/>
        <w:spacing w:before="0"/>
        <w:ind w:firstLine="0"/>
        <w:jc w:val="left"/>
        <w:rPr>
          <w:b/>
          <w:i/>
          <w:sz w:val="26"/>
        </w:rPr>
      </w:pPr>
      <w:r>
        <w:rPr/>
        <w:br w:type="column"/>
      </w:r>
      <w:r>
        <w:rPr>
          <w:b/>
          <w:i/>
          <w:sz w:val="26"/>
        </w:rPr>
      </w:r>
    </w:p>
    <w:p>
      <w:pPr>
        <w:spacing w:before="180"/>
        <w:ind w:left="-6" w:right="416" w:firstLine="0"/>
        <w:jc w:val="both"/>
        <w:rPr>
          <w:sz w:val="24"/>
        </w:rPr>
      </w:pPr>
      <w:r>
        <w:rPr>
          <w:sz w:val="24"/>
        </w:rPr>
        <w:t>A service provided to serve a </w:t>
      </w:r>
      <w:r>
        <w:rPr>
          <w:i/>
          <w:sz w:val="24"/>
        </w:rPr>
        <w:t>Transmission Customer </w:t>
      </w:r>
      <w:r>
        <w:rPr>
          <w:sz w:val="24"/>
        </w:rPr>
        <w:t>or </w:t>
      </w:r>
      <w:r>
        <w:rPr>
          <w:i/>
          <w:sz w:val="24"/>
        </w:rPr>
        <w:t>Distribution Customer </w:t>
      </w:r>
      <w:r>
        <w:rPr>
          <w:sz w:val="24"/>
        </w:rPr>
        <w:t>or a group of </w:t>
      </w:r>
      <w:r>
        <w:rPr>
          <w:i/>
          <w:sz w:val="24"/>
        </w:rPr>
        <w:t>Transmission Customers </w:t>
      </w:r>
      <w:r>
        <w:rPr>
          <w:sz w:val="24"/>
        </w:rPr>
        <w:t>or </w:t>
      </w:r>
      <w:r>
        <w:rPr>
          <w:i/>
          <w:sz w:val="24"/>
        </w:rPr>
        <w:t>Distribution Customers</w:t>
      </w:r>
      <w:r>
        <w:rPr>
          <w:sz w:val="24"/>
        </w:rPr>
        <w:t>, or a </w:t>
      </w:r>
      <w:r>
        <w:rPr>
          <w:i/>
          <w:sz w:val="24"/>
        </w:rPr>
        <w:t>Network </w:t>
      </w:r>
      <w:r>
        <w:rPr>
          <w:i/>
          <w:sz w:val="24"/>
        </w:rPr>
        <w:t>Service Provider </w:t>
      </w:r>
      <w:r>
        <w:rPr>
          <w:sz w:val="24"/>
        </w:rPr>
        <w:t>or a group of </w:t>
      </w:r>
      <w:r>
        <w:rPr>
          <w:i/>
          <w:sz w:val="24"/>
        </w:rPr>
        <w:t>Network Service Providers</w:t>
      </w:r>
      <w:r>
        <w:rPr>
          <w:sz w:val="24"/>
        </w:rPr>
        <w:t>, at a single </w:t>
      </w:r>
      <w:r>
        <w:rPr>
          <w:i/>
          <w:sz w:val="24"/>
        </w:rPr>
        <w:t>connection </w:t>
      </w:r>
      <w:r>
        <w:rPr>
          <w:i/>
          <w:sz w:val="24"/>
        </w:rPr>
        <w:t>point</w:t>
      </w:r>
      <w:r>
        <w:rPr>
          <w:sz w:val="24"/>
        </w:rPr>
        <w:t>.</w:t>
      </w:r>
    </w:p>
    <w:p>
      <w:pPr>
        <w:spacing w:after="0"/>
        <w:jc w:val="both"/>
        <w:rPr>
          <w:sz w:val="24"/>
        </w:rPr>
        <w:sectPr>
          <w:pgSz w:w="11910" w:h="16840"/>
          <w:pgMar w:header="686" w:footer="637" w:top="1320" w:bottom="820" w:left="1200" w:right="1000"/>
          <w:cols w:num="2" w:equalWidth="0">
            <w:col w:w="1318" w:space="40"/>
            <w:col w:w="8352"/>
          </w:cols>
        </w:sectPr>
      </w:pPr>
    </w:p>
    <w:p>
      <w:pPr>
        <w:pStyle w:val="Heading5"/>
        <w:jc w:val="left"/>
        <w:rPr>
          <w:i/>
        </w:rPr>
      </w:pPr>
      <w:r>
        <w:rPr>
          <w:i/>
        </w:rPr>
        <w:t>expected closure year</w:t>
      </w:r>
    </w:p>
    <w:p>
      <w:pPr>
        <w:pStyle w:val="BodyText"/>
        <w:ind w:left="1352" w:firstLine="0"/>
        <w:jc w:val="left"/>
      </w:pPr>
      <w:r>
        <w:rPr/>
        <w:t>Has the meaning given in clause 2.2.1(e)(2A).</w:t>
      </w:r>
    </w:p>
    <w:p>
      <w:pPr>
        <w:pStyle w:val="Heading5"/>
        <w:jc w:val="left"/>
        <w:rPr>
          <w:i/>
        </w:rPr>
      </w:pPr>
      <w:r>
        <w:rPr>
          <w:i/>
        </w:rPr>
        <w:t>expenditure for a restricted asset</w:t>
      </w:r>
    </w:p>
    <w:p>
      <w:pPr>
        <w:pStyle w:val="BodyText"/>
        <w:ind w:left="1352" w:firstLine="0"/>
        <w:jc w:val="left"/>
      </w:pPr>
      <w:r>
        <w:rPr/>
        <w:t>Capital expenditure for a </w:t>
      </w:r>
      <w:r>
        <w:rPr>
          <w:i/>
        </w:rPr>
        <w:t>restricted asset</w:t>
      </w:r>
      <w:r>
        <w:rPr/>
        <w:t>, excluding capital expenditure for the refurbishment of that asset.</w:t>
      </w:r>
    </w:p>
    <w:p>
      <w:pPr>
        <w:pStyle w:val="Heading5"/>
        <w:jc w:val="left"/>
        <w:rPr>
          <w:i/>
        </w:rPr>
      </w:pPr>
      <w:r>
        <w:rPr>
          <w:i/>
        </w:rPr>
        <w:t>Expenditure Forecast Assessment Guidelines</w:t>
      </w:r>
    </w:p>
    <w:p>
      <w:pPr>
        <w:pStyle w:val="BodyText"/>
        <w:ind w:left="1352" w:right="415" w:firstLine="0"/>
        <w:jc w:val="left"/>
      </w:pPr>
      <w:r>
        <w:rPr/>
        <w:t>Guidelines made by the </w:t>
      </w:r>
      <w:r>
        <w:rPr>
          <w:i/>
        </w:rPr>
        <w:t>AER </w:t>
      </w:r>
      <w:r>
        <w:rPr/>
        <w:t>under clause 6.4.5(a) or clause 6A.5.6(a), as the case may be.</w:t>
      </w:r>
    </w:p>
    <w:p>
      <w:pPr>
        <w:spacing w:after="0"/>
        <w:jc w:val="left"/>
        <w:sectPr>
          <w:type w:val="continuous"/>
          <w:pgSz w:w="11910" w:h="16840"/>
          <w:pgMar w:top="1360" w:bottom="280" w:left="1200" w:right="1000"/>
        </w:sectPr>
      </w:pPr>
    </w:p>
    <w:p>
      <w:pPr>
        <w:pStyle w:val="Heading5"/>
        <w:jc w:val="left"/>
        <w:rPr>
          <w:i/>
        </w:rPr>
      </w:pPr>
      <w:r>
        <w:rPr>
          <w:i/>
        </w:rPr>
        <w:t>extension</w:t>
      </w:r>
    </w:p>
    <w:p>
      <w:pPr>
        <w:pStyle w:val="BodyText"/>
        <w:spacing w:before="0"/>
        <w:ind w:firstLine="0"/>
        <w:jc w:val="left"/>
        <w:rPr>
          <w:b/>
          <w:i/>
          <w:sz w:val="26"/>
        </w:rPr>
      </w:pPr>
      <w:r>
        <w:rPr/>
        <w:br w:type="column"/>
      </w:r>
      <w:r>
        <w:rPr>
          <w:b/>
          <w:i/>
          <w:sz w:val="26"/>
        </w:rPr>
      </w:r>
    </w:p>
    <w:p>
      <w:pPr>
        <w:spacing w:before="217"/>
        <w:ind w:left="146" w:right="415" w:firstLine="0"/>
        <w:jc w:val="both"/>
        <w:rPr>
          <w:sz w:val="24"/>
        </w:rPr>
      </w:pPr>
      <w:r>
        <w:rPr>
          <w:sz w:val="24"/>
        </w:rPr>
        <w:t>An </w:t>
      </w:r>
      <w:r>
        <w:rPr>
          <w:i/>
          <w:sz w:val="24"/>
        </w:rPr>
        <w:t>augmentation </w:t>
      </w:r>
      <w:r>
        <w:rPr>
          <w:sz w:val="24"/>
        </w:rPr>
        <w:t>that requires the </w:t>
      </w:r>
      <w:r>
        <w:rPr>
          <w:i/>
          <w:sz w:val="24"/>
        </w:rPr>
        <w:t>connection </w:t>
      </w:r>
      <w:r>
        <w:rPr>
          <w:sz w:val="24"/>
        </w:rPr>
        <w:t>of a power line or </w:t>
      </w:r>
      <w:r>
        <w:rPr>
          <w:i/>
          <w:sz w:val="24"/>
        </w:rPr>
        <w:t>facility </w:t>
      </w:r>
      <w:r>
        <w:rPr>
          <w:sz w:val="24"/>
        </w:rPr>
        <w:t>outside the present boundaries of the </w:t>
      </w:r>
      <w:r>
        <w:rPr>
          <w:i/>
          <w:sz w:val="24"/>
        </w:rPr>
        <w:t>transmission </w:t>
      </w:r>
      <w:r>
        <w:rPr>
          <w:sz w:val="24"/>
        </w:rPr>
        <w:t>or </w:t>
      </w:r>
      <w:r>
        <w:rPr>
          <w:i/>
          <w:sz w:val="24"/>
        </w:rPr>
        <w:t>distribution network </w:t>
      </w:r>
      <w:r>
        <w:rPr>
          <w:sz w:val="24"/>
        </w:rPr>
        <w:t>owned, controlled or operated by a </w:t>
      </w:r>
      <w:r>
        <w:rPr>
          <w:i/>
          <w:sz w:val="24"/>
        </w:rPr>
        <w:t>Network Service</w:t>
      </w:r>
      <w:r>
        <w:rPr>
          <w:i/>
          <w:spacing w:val="-3"/>
          <w:sz w:val="24"/>
        </w:rPr>
        <w:t> </w:t>
      </w:r>
      <w:r>
        <w:rPr>
          <w:i/>
          <w:sz w:val="24"/>
        </w:rPr>
        <w:t>Provider</w:t>
      </w:r>
      <w:r>
        <w:rPr>
          <w:sz w:val="24"/>
        </w:rPr>
        <w:t>.</w:t>
      </w:r>
    </w:p>
    <w:p>
      <w:pPr>
        <w:spacing w:after="0"/>
        <w:jc w:val="both"/>
        <w:rPr>
          <w:sz w:val="24"/>
        </w:rPr>
        <w:sectPr>
          <w:type w:val="continuous"/>
          <w:pgSz w:w="11910" w:h="16840"/>
          <w:pgMar w:top="1360" w:bottom="280" w:left="1200" w:right="1000"/>
          <w:cols w:num="2" w:equalWidth="0">
            <w:col w:w="1166" w:space="40"/>
            <w:col w:w="8504"/>
          </w:cols>
        </w:sectPr>
      </w:pPr>
    </w:p>
    <w:p>
      <w:pPr>
        <w:pStyle w:val="Heading5"/>
        <w:jc w:val="left"/>
        <w:rPr>
          <w:i/>
        </w:rPr>
      </w:pPr>
      <w:r>
        <w:rPr>
          <w:i/>
        </w:rPr>
        <w:t>external administration default event</w:t>
      </w:r>
    </w:p>
    <w:p>
      <w:pPr>
        <w:pStyle w:val="BodyText"/>
        <w:ind w:left="1352" w:firstLine="0"/>
        <w:jc w:val="left"/>
      </w:pPr>
      <w:r>
        <w:rPr/>
        <w:t>A </w:t>
      </w:r>
      <w:r>
        <w:rPr>
          <w:i/>
        </w:rPr>
        <w:t>default event </w:t>
      </w:r>
      <w:r>
        <w:rPr/>
        <w:t>of a type referred to in subparagraphs 3.15.21(a)(10) or (11).</w:t>
      </w:r>
    </w:p>
    <w:p>
      <w:pPr>
        <w:pStyle w:val="Heading5"/>
        <w:jc w:val="left"/>
        <w:rPr>
          <w:i/>
        </w:rPr>
      </w:pPr>
      <w:r>
        <w:rPr>
          <w:i/>
        </w:rPr>
        <w:t>extreme frequency excursion tolerance limits</w:t>
      </w:r>
    </w:p>
    <w:p>
      <w:pPr>
        <w:spacing w:before="120"/>
        <w:ind w:left="1352" w:right="413" w:firstLine="0"/>
        <w:jc w:val="left"/>
        <w:rPr>
          <w:sz w:val="24"/>
        </w:rPr>
      </w:pPr>
      <w:r>
        <w:rPr>
          <w:sz w:val="24"/>
        </w:rPr>
        <w:t>In relation to the </w:t>
      </w:r>
      <w:r>
        <w:rPr>
          <w:i/>
          <w:sz w:val="24"/>
        </w:rPr>
        <w:t>frequency </w:t>
      </w:r>
      <w:r>
        <w:rPr>
          <w:sz w:val="24"/>
        </w:rPr>
        <w:t>of the </w:t>
      </w:r>
      <w:r>
        <w:rPr>
          <w:i/>
          <w:sz w:val="24"/>
        </w:rPr>
        <w:t>power system</w:t>
      </w:r>
      <w:r>
        <w:rPr>
          <w:sz w:val="24"/>
        </w:rPr>
        <w:t>, means the limits so described and specified in the </w:t>
      </w:r>
      <w:r>
        <w:rPr>
          <w:i/>
          <w:sz w:val="24"/>
        </w:rPr>
        <w:t>power system security standards</w:t>
      </w:r>
      <w:r>
        <w:rPr>
          <w:sz w:val="24"/>
        </w:rPr>
        <w:t>.</w:t>
      </w:r>
    </w:p>
    <w:p>
      <w:pPr>
        <w:spacing w:after="0"/>
        <w:jc w:val="left"/>
        <w:rPr>
          <w:sz w:val="24"/>
        </w:rPr>
        <w:sectPr>
          <w:type w:val="continuous"/>
          <w:pgSz w:w="11910" w:h="16840"/>
          <w:pgMar w:top="1360" w:bottom="280" w:left="1200" w:right="1000"/>
        </w:sectPr>
      </w:pPr>
    </w:p>
    <w:p>
      <w:pPr>
        <w:pStyle w:val="Heading5"/>
        <w:jc w:val="left"/>
        <w:rPr>
          <w:i/>
        </w:rPr>
      </w:pPr>
      <w:r>
        <w:rPr>
          <w:i/>
        </w:rPr>
        <w:t>facilities</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A generic term associated with the apparatus, equipment, buildings and necessary associated supporting resources provided at, typically:</w:t>
      </w:r>
    </w:p>
    <w:p>
      <w:pPr>
        <w:pStyle w:val="ListParagraph"/>
        <w:numPr>
          <w:ilvl w:val="0"/>
          <w:numId w:val="740"/>
        </w:numPr>
        <w:tabs>
          <w:tab w:pos="784" w:val="left" w:leader="none"/>
          <w:tab w:pos="785" w:val="left" w:leader="none"/>
        </w:tabs>
        <w:spacing w:line="240" w:lineRule="auto" w:before="120" w:after="0"/>
        <w:ind w:left="784" w:right="0" w:hanging="567"/>
        <w:jc w:val="left"/>
        <w:rPr>
          <w:sz w:val="24"/>
        </w:rPr>
      </w:pPr>
      <w:r>
        <w:rPr>
          <w:sz w:val="24"/>
        </w:rPr>
        <w:t>a </w:t>
      </w:r>
      <w:r>
        <w:rPr>
          <w:i/>
          <w:sz w:val="24"/>
        </w:rPr>
        <w:t>power station </w:t>
      </w:r>
      <w:r>
        <w:rPr>
          <w:sz w:val="24"/>
        </w:rPr>
        <w:t>or </w:t>
      </w:r>
      <w:r>
        <w:rPr>
          <w:i/>
          <w:sz w:val="24"/>
        </w:rPr>
        <w:t>generating</w:t>
      </w:r>
      <w:r>
        <w:rPr>
          <w:i/>
          <w:spacing w:val="-2"/>
          <w:sz w:val="24"/>
        </w:rPr>
        <w:t> </w:t>
      </w:r>
      <w:r>
        <w:rPr>
          <w:i/>
          <w:sz w:val="24"/>
        </w:rPr>
        <w:t>unit</w:t>
      </w:r>
      <w:r>
        <w:rPr>
          <w:sz w:val="24"/>
        </w:rPr>
        <w:t>;</w:t>
      </w:r>
    </w:p>
    <w:p>
      <w:pPr>
        <w:pStyle w:val="ListParagraph"/>
        <w:numPr>
          <w:ilvl w:val="0"/>
          <w:numId w:val="740"/>
        </w:numPr>
        <w:tabs>
          <w:tab w:pos="784" w:val="left" w:leader="none"/>
          <w:tab w:pos="785" w:val="left" w:leader="none"/>
        </w:tabs>
        <w:spacing w:line="240" w:lineRule="auto" w:before="120" w:after="0"/>
        <w:ind w:left="784" w:right="0" w:hanging="567"/>
        <w:jc w:val="left"/>
        <w:rPr>
          <w:sz w:val="24"/>
        </w:rPr>
      </w:pPr>
      <w:r>
        <w:rPr>
          <w:sz w:val="24"/>
        </w:rPr>
        <w:t>a </w:t>
      </w:r>
      <w:r>
        <w:rPr>
          <w:i/>
          <w:sz w:val="24"/>
        </w:rPr>
        <w:t>substation </w:t>
      </w:r>
      <w:r>
        <w:rPr>
          <w:sz w:val="24"/>
        </w:rPr>
        <w:t>or </w:t>
      </w:r>
      <w:r>
        <w:rPr>
          <w:i/>
          <w:sz w:val="24"/>
        </w:rPr>
        <w:t>power station</w:t>
      </w:r>
      <w:r>
        <w:rPr>
          <w:i/>
          <w:spacing w:val="-3"/>
          <w:sz w:val="24"/>
        </w:rPr>
        <w:t> </w:t>
      </w:r>
      <w:r>
        <w:rPr>
          <w:i/>
          <w:sz w:val="24"/>
        </w:rPr>
        <w:t>switchyard</w:t>
      </w:r>
      <w:r>
        <w:rPr>
          <w:sz w:val="24"/>
        </w:rPr>
        <w:t>;</w:t>
      </w:r>
    </w:p>
    <w:p>
      <w:pPr>
        <w:pStyle w:val="ListParagraph"/>
        <w:numPr>
          <w:ilvl w:val="0"/>
          <w:numId w:val="740"/>
        </w:numPr>
        <w:tabs>
          <w:tab w:pos="784" w:val="left" w:leader="none"/>
          <w:tab w:pos="785" w:val="left" w:leader="none"/>
        </w:tabs>
        <w:spacing w:line="240" w:lineRule="auto" w:before="120" w:after="0"/>
        <w:ind w:left="784" w:right="0" w:hanging="567"/>
        <w:jc w:val="left"/>
        <w:rPr>
          <w:sz w:val="24"/>
        </w:rPr>
      </w:pPr>
      <w:r>
        <w:rPr>
          <w:sz w:val="24"/>
        </w:rPr>
        <w:t>a</w:t>
      </w:r>
      <w:r>
        <w:rPr>
          <w:spacing w:val="49"/>
          <w:sz w:val="24"/>
        </w:rPr>
        <w:t> </w:t>
      </w:r>
      <w:r>
        <w:rPr>
          <w:i/>
          <w:sz w:val="24"/>
        </w:rPr>
        <w:t>control</w:t>
      </w:r>
      <w:r>
        <w:rPr>
          <w:i/>
          <w:spacing w:val="50"/>
          <w:sz w:val="24"/>
        </w:rPr>
        <w:t> </w:t>
      </w:r>
      <w:r>
        <w:rPr>
          <w:i/>
          <w:sz w:val="24"/>
        </w:rPr>
        <w:t>centre</w:t>
      </w:r>
      <w:r>
        <w:rPr>
          <w:i/>
          <w:spacing w:val="50"/>
          <w:sz w:val="24"/>
        </w:rPr>
        <w:t> </w:t>
      </w:r>
      <w:r>
        <w:rPr>
          <w:sz w:val="24"/>
        </w:rPr>
        <w:t>(being</w:t>
      </w:r>
      <w:r>
        <w:rPr>
          <w:spacing w:val="50"/>
          <w:sz w:val="24"/>
        </w:rPr>
        <w:t> </w:t>
      </w:r>
      <w:r>
        <w:rPr>
          <w:sz w:val="24"/>
        </w:rPr>
        <w:t>an</w:t>
      </w:r>
      <w:r>
        <w:rPr>
          <w:spacing w:val="50"/>
          <w:sz w:val="24"/>
        </w:rPr>
        <w:t> </w:t>
      </w:r>
      <w:r>
        <w:rPr>
          <w:i/>
          <w:sz w:val="24"/>
        </w:rPr>
        <w:t>NTESMO</w:t>
      </w:r>
      <w:r>
        <w:rPr>
          <w:i/>
          <w:spacing w:val="49"/>
          <w:sz w:val="24"/>
        </w:rPr>
        <w:t> </w:t>
      </w:r>
      <w:r>
        <w:rPr>
          <w:i/>
          <w:sz w:val="24"/>
        </w:rPr>
        <w:t>control</w:t>
      </w:r>
      <w:r>
        <w:rPr>
          <w:i/>
          <w:spacing w:val="50"/>
          <w:sz w:val="24"/>
        </w:rPr>
        <w:t> </w:t>
      </w:r>
      <w:r>
        <w:rPr>
          <w:i/>
          <w:sz w:val="24"/>
        </w:rPr>
        <w:t>centre</w:t>
      </w:r>
      <w:r>
        <w:rPr>
          <w:sz w:val="24"/>
        </w:rPr>
        <w:t>,</w:t>
      </w:r>
      <w:r>
        <w:rPr>
          <w:spacing w:val="50"/>
          <w:sz w:val="24"/>
        </w:rPr>
        <w:t> </w:t>
      </w:r>
      <w:r>
        <w:rPr>
          <w:sz w:val="24"/>
        </w:rPr>
        <w:t>or</w:t>
      </w:r>
      <w:r>
        <w:rPr>
          <w:spacing w:val="50"/>
          <w:sz w:val="24"/>
        </w:rPr>
        <w:t> </w:t>
      </w:r>
      <w:r>
        <w:rPr>
          <w:sz w:val="24"/>
        </w:rPr>
        <w:t>a</w:t>
      </w:r>
      <w:r>
        <w:rPr>
          <w:spacing w:val="50"/>
          <w:sz w:val="24"/>
        </w:rPr>
        <w:t> </w:t>
      </w:r>
      <w:r>
        <w:rPr>
          <w:i/>
          <w:sz w:val="24"/>
        </w:rPr>
        <w:t>distribution</w:t>
      </w:r>
      <w:r>
        <w:rPr>
          <w:i/>
          <w:spacing w:val="49"/>
          <w:sz w:val="24"/>
        </w:rPr>
        <w:t> </w:t>
      </w:r>
      <w:r>
        <w:rPr>
          <w:sz w:val="24"/>
        </w:rPr>
        <w:t>or</w:t>
      </w:r>
    </w:p>
    <w:p>
      <w:pPr>
        <w:spacing w:before="0"/>
        <w:ind w:left="785" w:right="0" w:firstLine="0"/>
        <w:jc w:val="left"/>
        <w:rPr>
          <w:sz w:val="24"/>
        </w:rPr>
      </w:pPr>
      <w:r>
        <w:rPr>
          <w:i/>
          <w:sz w:val="24"/>
        </w:rPr>
        <w:t>transmission network control centre</w:t>
      </w:r>
      <w:r>
        <w:rPr>
          <w:sz w:val="24"/>
        </w:rPr>
        <w:t>);</w:t>
      </w:r>
    </w:p>
    <w:p>
      <w:pPr>
        <w:pStyle w:val="ListParagraph"/>
        <w:numPr>
          <w:ilvl w:val="0"/>
          <w:numId w:val="740"/>
        </w:numPr>
        <w:tabs>
          <w:tab w:pos="784" w:val="left" w:leader="none"/>
          <w:tab w:pos="785" w:val="left" w:leader="none"/>
        </w:tabs>
        <w:spacing w:line="240" w:lineRule="auto" w:before="120" w:after="0"/>
        <w:ind w:left="784" w:right="0" w:hanging="567"/>
        <w:jc w:val="left"/>
        <w:rPr>
          <w:sz w:val="24"/>
        </w:rPr>
      </w:pPr>
      <w:r>
        <w:rPr>
          <w:sz w:val="24"/>
        </w:rPr>
        <w:t>facilities providing an </w:t>
      </w:r>
      <w:r>
        <w:rPr>
          <w:i/>
          <w:sz w:val="24"/>
        </w:rPr>
        <w:t>exit</w:t>
      </w:r>
      <w:r>
        <w:rPr>
          <w:i/>
          <w:spacing w:val="-1"/>
          <w:sz w:val="24"/>
        </w:rPr>
        <w:t> </w:t>
      </w:r>
      <w:r>
        <w:rPr>
          <w:i/>
          <w:sz w:val="24"/>
        </w:rPr>
        <w:t>service</w:t>
      </w:r>
      <w:r>
        <w:rPr>
          <w:sz w:val="24"/>
        </w:rPr>
        <w:t>.</w:t>
      </w:r>
    </w:p>
    <w:p>
      <w:pPr>
        <w:spacing w:after="0" w:line="240" w:lineRule="auto"/>
        <w:jc w:val="left"/>
        <w:rPr>
          <w:sz w:val="24"/>
        </w:rPr>
        <w:sectPr>
          <w:type w:val="continuous"/>
          <w:pgSz w:w="11910" w:h="16840"/>
          <w:pgMar w:top="1360" w:bottom="280" w:left="1200" w:right="1000"/>
          <w:cols w:num="2" w:equalWidth="0">
            <w:col w:w="1058" w:space="76"/>
            <w:col w:w="8576"/>
          </w:cols>
        </w:sectPr>
      </w:pPr>
    </w:p>
    <w:p>
      <w:pPr>
        <w:pStyle w:val="Heading5"/>
        <w:rPr>
          <w:i/>
        </w:rPr>
      </w:pPr>
      <w:r>
        <w:rPr>
          <w:i/>
        </w:rPr>
        <w:t>failed retailer</w:t>
      </w:r>
    </w:p>
    <w:p>
      <w:pPr>
        <w:spacing w:before="120"/>
        <w:ind w:left="1352" w:right="0" w:firstLine="0"/>
        <w:jc w:val="both"/>
        <w:rPr>
          <w:sz w:val="24"/>
        </w:rPr>
      </w:pPr>
      <w:r>
        <w:rPr>
          <w:sz w:val="24"/>
        </w:rPr>
        <w:t>Has the meaning given in the </w:t>
      </w:r>
      <w:r>
        <w:rPr>
          <w:i/>
          <w:sz w:val="24"/>
        </w:rPr>
        <w:t>National Energy Retail Law</w:t>
      </w:r>
      <w:r>
        <w:rPr>
          <w:sz w:val="24"/>
        </w:rPr>
        <w:t>.</w:t>
      </w:r>
    </w:p>
    <w:p>
      <w:pPr>
        <w:pStyle w:val="Heading5"/>
        <w:rPr>
          <w:i/>
        </w:rPr>
      </w:pPr>
      <w:r>
        <w:rPr>
          <w:i/>
        </w:rPr>
        <w:t>fast lower service</w:t>
      </w:r>
    </w:p>
    <w:p>
      <w:pPr>
        <w:spacing w:before="120"/>
        <w:ind w:left="1352" w:right="415" w:firstLine="0"/>
        <w:jc w:val="both"/>
        <w:rPr>
          <w:sz w:val="24"/>
        </w:rPr>
      </w:pPr>
      <w:r>
        <w:rPr>
          <w:sz w:val="24"/>
        </w:rPr>
        <w:t>The service of providing, in accordance with the requirements of the </w:t>
      </w:r>
      <w:r>
        <w:rPr>
          <w:i/>
          <w:sz w:val="24"/>
        </w:rPr>
        <w:t>market </w:t>
      </w:r>
      <w:r>
        <w:rPr>
          <w:i/>
          <w:sz w:val="24"/>
        </w:rPr>
        <w:t>ancillary service specification</w:t>
      </w:r>
      <w:r>
        <w:rPr>
          <w:sz w:val="24"/>
        </w:rPr>
        <w:t>, the capability of rapidly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the locally sensed </w:t>
      </w:r>
      <w:r>
        <w:rPr>
          <w:i/>
          <w:sz w:val="24"/>
        </w:rPr>
        <w:t>frequency </w:t>
      </w:r>
      <w:r>
        <w:rPr>
          <w:sz w:val="24"/>
        </w:rPr>
        <w:t>of the </w:t>
      </w:r>
      <w:r>
        <w:rPr>
          <w:i/>
          <w:sz w:val="24"/>
        </w:rPr>
        <w:t>power system </w:t>
      </w:r>
      <w:r>
        <w:rPr>
          <w:sz w:val="24"/>
        </w:rPr>
        <w:t>in order to arrest a rise in that </w:t>
      </w:r>
      <w:r>
        <w:rPr>
          <w:i/>
          <w:sz w:val="24"/>
        </w:rPr>
        <w:t>frequency</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fast raise service</w:t>
      </w:r>
    </w:p>
    <w:p>
      <w:pPr>
        <w:spacing w:before="120"/>
        <w:ind w:left="1352" w:right="415" w:firstLine="0"/>
        <w:jc w:val="both"/>
        <w:rPr>
          <w:sz w:val="24"/>
        </w:rPr>
      </w:pPr>
      <w:r>
        <w:rPr>
          <w:sz w:val="24"/>
        </w:rPr>
        <w:t>The service of providing, in accordance with the requirements of the </w:t>
      </w:r>
      <w:r>
        <w:rPr>
          <w:i/>
          <w:sz w:val="24"/>
        </w:rPr>
        <w:t>market </w:t>
      </w:r>
      <w:r>
        <w:rPr>
          <w:i/>
          <w:sz w:val="24"/>
        </w:rPr>
        <w:t>ancillary service specification</w:t>
      </w:r>
      <w:r>
        <w:rPr>
          <w:sz w:val="24"/>
        </w:rPr>
        <w:t>, the capability of rapidly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the locally sensed </w:t>
      </w:r>
      <w:r>
        <w:rPr>
          <w:i/>
          <w:sz w:val="24"/>
        </w:rPr>
        <w:t>frequency </w:t>
      </w:r>
      <w:r>
        <w:rPr>
          <w:sz w:val="24"/>
        </w:rPr>
        <w:t>of the </w:t>
      </w:r>
      <w:r>
        <w:rPr>
          <w:i/>
          <w:sz w:val="24"/>
        </w:rPr>
        <w:t>power system </w:t>
      </w:r>
      <w:r>
        <w:rPr>
          <w:sz w:val="24"/>
        </w:rPr>
        <w:t>in order to arrest a fall in that </w:t>
      </w:r>
      <w:r>
        <w:rPr>
          <w:i/>
          <w:sz w:val="24"/>
        </w:rPr>
        <w:t>frequency</w:t>
      </w:r>
      <w:r>
        <w:rPr>
          <w:sz w:val="24"/>
        </w:rPr>
        <w:t>.</w:t>
      </w:r>
    </w:p>
    <w:p>
      <w:pPr>
        <w:pStyle w:val="Heading5"/>
        <w:rPr>
          <w:i/>
        </w:rPr>
      </w:pPr>
      <w:r>
        <w:rPr>
          <w:i/>
        </w:rPr>
        <w:t>fault clearance time</w:t>
      </w:r>
    </w:p>
    <w:p>
      <w:pPr>
        <w:spacing w:before="120"/>
        <w:ind w:left="1352" w:right="415" w:firstLine="0"/>
        <w:jc w:val="both"/>
        <w:rPr>
          <w:sz w:val="24"/>
        </w:rPr>
      </w:pPr>
      <w:r>
        <w:rPr>
          <w:sz w:val="24"/>
        </w:rPr>
        <w:t>In respect of a </w:t>
      </w:r>
      <w:r>
        <w:rPr>
          <w:i/>
          <w:sz w:val="24"/>
        </w:rPr>
        <w:t>fault type</w:t>
      </w:r>
      <w:r>
        <w:rPr>
          <w:sz w:val="24"/>
        </w:rPr>
        <w:t>, the time within which the </w:t>
      </w:r>
      <w:r>
        <w:rPr>
          <w:i/>
          <w:sz w:val="24"/>
        </w:rPr>
        <w:t>protection system </w:t>
      </w:r>
      <w:r>
        <w:rPr>
          <w:sz w:val="24"/>
        </w:rPr>
        <w:t>is designed, operated and maintained to clear a </w:t>
      </w:r>
      <w:r>
        <w:rPr>
          <w:i/>
          <w:sz w:val="24"/>
        </w:rPr>
        <w:t>short circuit fault </w:t>
      </w:r>
      <w:r>
        <w:rPr>
          <w:sz w:val="24"/>
        </w:rPr>
        <w:t>of that </w:t>
      </w:r>
      <w:r>
        <w:rPr>
          <w:i/>
          <w:sz w:val="24"/>
        </w:rPr>
        <w:t>fault type </w:t>
      </w:r>
      <w:r>
        <w:rPr>
          <w:sz w:val="24"/>
        </w:rPr>
        <w:t>within its protection zone.</w:t>
      </w:r>
    </w:p>
    <w:p>
      <w:pPr>
        <w:pStyle w:val="Heading5"/>
        <w:rPr>
          <w:i/>
        </w:rPr>
      </w:pPr>
      <w:r>
        <w:rPr>
          <w:i/>
        </w:rPr>
        <w:t>fault level node</w:t>
      </w:r>
    </w:p>
    <w:p>
      <w:pPr>
        <w:spacing w:before="120"/>
        <w:ind w:left="1352" w:right="0" w:firstLine="0"/>
        <w:jc w:val="both"/>
        <w:rPr>
          <w:i/>
          <w:sz w:val="24"/>
        </w:rPr>
      </w:pPr>
      <w:r>
        <w:rPr>
          <w:sz w:val="24"/>
        </w:rPr>
        <w:t>A location on a </w:t>
      </w:r>
      <w:r>
        <w:rPr>
          <w:i/>
          <w:sz w:val="24"/>
        </w:rPr>
        <w:t>transmission network </w:t>
      </w:r>
      <w:r>
        <w:rPr>
          <w:sz w:val="24"/>
        </w:rPr>
        <w:t>that </w:t>
      </w:r>
      <w:r>
        <w:rPr>
          <w:i/>
          <w:sz w:val="24"/>
        </w:rPr>
        <w:t>AEMO </w:t>
      </w:r>
      <w:r>
        <w:rPr>
          <w:sz w:val="24"/>
        </w:rPr>
        <w:t>determines is a </w:t>
      </w:r>
      <w:r>
        <w:rPr>
          <w:i/>
          <w:sz w:val="24"/>
        </w:rPr>
        <w:t>fault level node</w:t>
      </w:r>
    </w:p>
    <w:p>
      <w:pPr>
        <w:spacing w:before="0"/>
        <w:ind w:left="1352" w:right="0" w:firstLine="0"/>
        <w:jc w:val="both"/>
        <w:rPr>
          <w:sz w:val="24"/>
        </w:rPr>
      </w:pPr>
      <w:r>
        <w:rPr>
          <w:sz w:val="24"/>
        </w:rPr>
        <w:t>in its determination of </w:t>
      </w:r>
      <w:r>
        <w:rPr>
          <w:i/>
          <w:sz w:val="24"/>
        </w:rPr>
        <w:t>system strength requirements </w:t>
      </w:r>
      <w:r>
        <w:rPr>
          <w:sz w:val="24"/>
        </w:rPr>
        <w:t>under clause 5.20C.1(a).</w:t>
      </w:r>
    </w:p>
    <w:p>
      <w:pPr>
        <w:pStyle w:val="Heading5"/>
        <w:rPr>
          <w:i/>
        </w:rPr>
      </w:pPr>
      <w:r>
        <w:rPr>
          <w:i/>
        </w:rPr>
        <w:t>fault level shortfall</w:t>
      </w:r>
    </w:p>
    <w:p>
      <w:pPr>
        <w:spacing w:before="120"/>
        <w:ind w:left="1352" w:right="415" w:firstLine="0"/>
        <w:jc w:val="both"/>
        <w:rPr>
          <w:sz w:val="24"/>
        </w:rPr>
      </w:pPr>
      <w:r>
        <w:rPr>
          <w:sz w:val="24"/>
        </w:rPr>
        <w:t>A shortfall in the </w:t>
      </w:r>
      <w:r>
        <w:rPr>
          <w:i/>
          <w:sz w:val="24"/>
        </w:rPr>
        <w:t>three phase fault level </w:t>
      </w:r>
      <w:r>
        <w:rPr>
          <w:sz w:val="24"/>
        </w:rPr>
        <w:t>typically provided at a </w:t>
      </w:r>
      <w:r>
        <w:rPr>
          <w:i/>
          <w:sz w:val="24"/>
        </w:rPr>
        <w:t>fault level node </w:t>
      </w:r>
      <w:r>
        <w:rPr>
          <w:sz w:val="24"/>
        </w:rPr>
        <w:t>in a </w:t>
      </w:r>
      <w:r>
        <w:rPr>
          <w:i/>
          <w:sz w:val="24"/>
        </w:rPr>
        <w:t>region </w:t>
      </w:r>
      <w:r>
        <w:rPr>
          <w:sz w:val="24"/>
        </w:rPr>
        <w:t>(having regard to typical patterns of </w:t>
      </w:r>
      <w:r>
        <w:rPr>
          <w:i/>
          <w:sz w:val="24"/>
        </w:rPr>
        <w:t>dispatched generation </w:t>
      </w:r>
      <w:r>
        <w:rPr>
          <w:sz w:val="24"/>
        </w:rPr>
        <w:t>in </w:t>
      </w:r>
      <w:r>
        <w:rPr>
          <w:i/>
          <w:sz w:val="24"/>
        </w:rPr>
        <w:t>central </w:t>
      </w:r>
      <w:r>
        <w:rPr>
          <w:i/>
          <w:sz w:val="24"/>
        </w:rPr>
        <w:t>dispatch</w:t>
      </w:r>
      <w:r>
        <w:rPr>
          <w:sz w:val="24"/>
        </w:rPr>
        <w:t>) compared to the minimum </w:t>
      </w:r>
      <w:r>
        <w:rPr>
          <w:i/>
          <w:sz w:val="24"/>
        </w:rPr>
        <w:t>three phase fault level </w:t>
      </w:r>
      <w:r>
        <w:rPr>
          <w:sz w:val="24"/>
        </w:rPr>
        <w:t>most recently determined by </w:t>
      </w:r>
      <w:r>
        <w:rPr>
          <w:i/>
          <w:sz w:val="24"/>
        </w:rPr>
        <w:t>AEMO </w:t>
      </w:r>
      <w:r>
        <w:rPr>
          <w:sz w:val="24"/>
        </w:rPr>
        <w:t>for the </w:t>
      </w:r>
      <w:r>
        <w:rPr>
          <w:i/>
          <w:sz w:val="24"/>
        </w:rPr>
        <w:t>fault level</w:t>
      </w:r>
      <w:r>
        <w:rPr>
          <w:i/>
          <w:spacing w:val="-1"/>
          <w:sz w:val="24"/>
        </w:rPr>
        <w:t> </w:t>
      </w:r>
      <w:r>
        <w:rPr>
          <w:i/>
          <w:sz w:val="24"/>
        </w:rPr>
        <w:t>node</w:t>
      </w:r>
      <w:r>
        <w:rPr>
          <w:sz w:val="24"/>
        </w:rPr>
        <w:t>.</w:t>
      </w:r>
    </w:p>
    <w:p>
      <w:pPr>
        <w:pStyle w:val="Heading5"/>
        <w:rPr>
          <w:i/>
        </w:rPr>
      </w:pPr>
      <w:r>
        <w:rPr>
          <w:i/>
        </w:rPr>
        <w:t>fault level shortfall event</w:t>
      </w:r>
    </w:p>
    <w:p>
      <w:pPr>
        <w:spacing w:before="120"/>
        <w:ind w:left="1352" w:right="414" w:firstLine="0"/>
        <w:jc w:val="both"/>
        <w:rPr>
          <w:sz w:val="24"/>
        </w:rPr>
      </w:pPr>
      <w:r>
        <w:rPr>
          <w:sz w:val="24"/>
        </w:rPr>
        <w:t>A </w:t>
      </w:r>
      <w:r>
        <w:rPr>
          <w:i/>
          <w:sz w:val="24"/>
        </w:rPr>
        <w:t>Transmission Network Service Provider </w:t>
      </w:r>
      <w:r>
        <w:rPr>
          <w:sz w:val="24"/>
        </w:rPr>
        <w:t>is required to make </w:t>
      </w:r>
      <w:r>
        <w:rPr>
          <w:i/>
          <w:sz w:val="24"/>
        </w:rPr>
        <w:t>system strength </w:t>
      </w:r>
      <w:r>
        <w:rPr>
          <w:i/>
          <w:sz w:val="24"/>
        </w:rPr>
        <w:t>services </w:t>
      </w:r>
      <w:r>
        <w:rPr>
          <w:sz w:val="24"/>
        </w:rPr>
        <w:t>available under clause 5.20C.3 as a consequence of an assessment by </w:t>
      </w:r>
      <w:r>
        <w:rPr>
          <w:i/>
          <w:sz w:val="24"/>
        </w:rPr>
        <w:t>AEMO </w:t>
      </w:r>
      <w:r>
        <w:rPr>
          <w:sz w:val="24"/>
        </w:rPr>
        <w:t>under clause 5.20C.2(c) that there is a </w:t>
      </w:r>
      <w:r>
        <w:rPr>
          <w:i/>
          <w:sz w:val="24"/>
        </w:rPr>
        <w:t>fault level shortfall </w:t>
      </w:r>
      <w:r>
        <w:rPr>
          <w:sz w:val="24"/>
        </w:rPr>
        <w:t>at a </w:t>
      </w:r>
      <w:r>
        <w:rPr>
          <w:i/>
          <w:sz w:val="24"/>
        </w:rPr>
        <w:t>fault level </w:t>
      </w:r>
      <w:r>
        <w:rPr>
          <w:i/>
          <w:sz w:val="24"/>
        </w:rPr>
        <w:t>node </w:t>
      </w:r>
      <w:r>
        <w:rPr>
          <w:sz w:val="24"/>
        </w:rPr>
        <w:t>in a </w:t>
      </w:r>
      <w:r>
        <w:rPr>
          <w:i/>
          <w:sz w:val="24"/>
        </w:rPr>
        <w:t>region </w:t>
      </w:r>
      <w:r>
        <w:rPr>
          <w:sz w:val="24"/>
        </w:rPr>
        <w:t>for which the </w:t>
      </w:r>
      <w:r>
        <w:rPr>
          <w:i/>
          <w:sz w:val="24"/>
        </w:rPr>
        <w:t>Transmission Network Service Provider </w:t>
      </w:r>
      <w:r>
        <w:rPr>
          <w:sz w:val="24"/>
        </w:rPr>
        <w:t>is the </w:t>
      </w:r>
      <w:r>
        <w:rPr>
          <w:i/>
          <w:sz w:val="24"/>
        </w:rPr>
        <w:t>System Strength Service Provider </w:t>
      </w:r>
      <w:r>
        <w:rPr>
          <w:sz w:val="24"/>
        </w:rPr>
        <w:t>or to cease making </w:t>
      </w:r>
      <w:r>
        <w:rPr>
          <w:i/>
          <w:sz w:val="24"/>
        </w:rPr>
        <w:t>system strength services </w:t>
      </w:r>
      <w:r>
        <w:rPr>
          <w:sz w:val="24"/>
        </w:rPr>
        <w:t>available under clause 5.20C.3 as a consequence of an assessment by </w:t>
      </w:r>
      <w:r>
        <w:rPr>
          <w:i/>
          <w:sz w:val="24"/>
        </w:rPr>
        <w:t>AEMO </w:t>
      </w:r>
      <w:r>
        <w:rPr>
          <w:sz w:val="24"/>
        </w:rPr>
        <w:t>under clause 5.20C.2(d) that a </w:t>
      </w:r>
      <w:r>
        <w:rPr>
          <w:i/>
          <w:sz w:val="24"/>
        </w:rPr>
        <w:t>fault level shortfall </w:t>
      </w:r>
      <w:r>
        <w:rPr>
          <w:sz w:val="24"/>
        </w:rPr>
        <w:t>at a </w:t>
      </w:r>
      <w:r>
        <w:rPr>
          <w:i/>
          <w:sz w:val="24"/>
        </w:rPr>
        <w:t>fault level node </w:t>
      </w:r>
      <w:r>
        <w:rPr>
          <w:sz w:val="24"/>
        </w:rPr>
        <w:t>has ceased and:</w:t>
      </w:r>
    </w:p>
    <w:p>
      <w:pPr>
        <w:pStyle w:val="ListParagraph"/>
        <w:numPr>
          <w:ilvl w:val="1"/>
          <w:numId w:val="740"/>
        </w:numPr>
        <w:tabs>
          <w:tab w:pos="1919" w:val="left" w:leader="none"/>
        </w:tabs>
        <w:spacing w:line="240" w:lineRule="auto" w:before="120" w:after="0"/>
        <w:ind w:left="1919" w:right="415" w:hanging="567"/>
        <w:jc w:val="both"/>
        <w:rPr>
          <w:sz w:val="24"/>
        </w:rPr>
      </w:pPr>
      <w:r>
        <w:rPr>
          <w:sz w:val="24"/>
        </w:rPr>
        <w:t>the </w:t>
      </w:r>
      <w:r>
        <w:rPr>
          <w:i/>
          <w:sz w:val="24"/>
        </w:rPr>
        <w:t>Transmission Network Service Provider </w:t>
      </w:r>
      <w:r>
        <w:rPr>
          <w:sz w:val="24"/>
        </w:rPr>
        <w:t>is required to provide, or </w:t>
      </w:r>
      <w:r>
        <w:rPr>
          <w:spacing w:val="-3"/>
          <w:sz w:val="24"/>
        </w:rPr>
        <w:t>cease </w:t>
      </w:r>
      <w:r>
        <w:rPr>
          <w:sz w:val="24"/>
        </w:rPr>
        <w:t>providing, </w:t>
      </w:r>
      <w:r>
        <w:rPr>
          <w:i/>
          <w:sz w:val="24"/>
        </w:rPr>
        <w:t>system strength services </w:t>
      </w:r>
      <w:r>
        <w:rPr>
          <w:sz w:val="24"/>
        </w:rPr>
        <w:t>during the course of a </w:t>
      </w:r>
      <w:r>
        <w:rPr>
          <w:i/>
          <w:sz w:val="24"/>
        </w:rPr>
        <w:t>regulatory control </w:t>
      </w:r>
      <w:r>
        <w:rPr>
          <w:i/>
          <w:sz w:val="24"/>
        </w:rPr>
        <w:t>period</w:t>
      </w:r>
      <w:r>
        <w:rPr>
          <w:sz w:val="24"/>
        </w:rPr>
        <w:t>; and</w:t>
      </w:r>
    </w:p>
    <w:p>
      <w:pPr>
        <w:pStyle w:val="ListParagraph"/>
        <w:numPr>
          <w:ilvl w:val="1"/>
          <w:numId w:val="740"/>
        </w:numPr>
        <w:tabs>
          <w:tab w:pos="1919" w:val="left" w:leader="none"/>
        </w:tabs>
        <w:spacing w:line="240" w:lineRule="auto" w:before="120" w:after="0"/>
        <w:ind w:left="1919" w:right="415" w:hanging="567"/>
        <w:jc w:val="both"/>
        <w:rPr>
          <w:sz w:val="24"/>
        </w:rPr>
      </w:pPr>
      <w:r>
        <w:rPr>
          <w:sz w:val="24"/>
        </w:rPr>
        <w:t>making </w:t>
      </w:r>
      <w:r>
        <w:rPr>
          <w:i/>
          <w:sz w:val="24"/>
        </w:rPr>
        <w:t>system strength services </w:t>
      </w:r>
      <w:r>
        <w:rPr>
          <w:sz w:val="24"/>
        </w:rPr>
        <w:t>available or ceasing to make </w:t>
      </w:r>
      <w:r>
        <w:rPr>
          <w:i/>
          <w:sz w:val="24"/>
        </w:rPr>
        <w:t>system </w:t>
      </w:r>
      <w:r>
        <w:rPr>
          <w:i/>
          <w:sz w:val="24"/>
        </w:rPr>
        <w:t>strength services </w:t>
      </w:r>
      <w:r>
        <w:rPr>
          <w:sz w:val="24"/>
        </w:rPr>
        <w:t>available </w:t>
      </w:r>
      <w:r>
        <w:rPr>
          <w:i/>
          <w:sz w:val="24"/>
        </w:rPr>
        <w:t>materially </w:t>
      </w:r>
      <w:r>
        <w:rPr>
          <w:sz w:val="24"/>
        </w:rPr>
        <w:t>increases or </w:t>
      </w:r>
      <w:r>
        <w:rPr>
          <w:i/>
          <w:sz w:val="24"/>
        </w:rPr>
        <w:t>materially </w:t>
      </w:r>
      <w:r>
        <w:rPr>
          <w:sz w:val="24"/>
        </w:rPr>
        <w:t>decreases the </w:t>
      </w:r>
      <w:r>
        <w:rPr>
          <w:i/>
          <w:sz w:val="24"/>
        </w:rPr>
        <w:t>Transmission Network Service Provider's </w:t>
      </w:r>
      <w:r>
        <w:rPr>
          <w:sz w:val="24"/>
        </w:rPr>
        <w:t>costs of providing </w:t>
      </w:r>
      <w:r>
        <w:rPr>
          <w:i/>
          <w:sz w:val="24"/>
        </w:rPr>
        <w:t>prescribed </w:t>
      </w:r>
      <w:r>
        <w:rPr>
          <w:i/>
          <w:sz w:val="24"/>
        </w:rPr>
        <w:t>transmission</w:t>
      </w:r>
      <w:r>
        <w:rPr>
          <w:i/>
          <w:spacing w:val="-1"/>
          <w:sz w:val="24"/>
        </w:rPr>
        <w:t> </w:t>
      </w:r>
      <w:r>
        <w:rPr>
          <w:i/>
          <w:sz w:val="24"/>
        </w:rPr>
        <w:t>services</w:t>
      </w:r>
      <w:r>
        <w:rPr>
          <w:sz w:val="24"/>
        </w:rPr>
        <w:t>.</w:t>
      </w:r>
    </w:p>
    <w:p>
      <w:pPr>
        <w:spacing w:after="0" w:line="240" w:lineRule="auto"/>
        <w:jc w:val="both"/>
        <w:rPr>
          <w:sz w:val="24"/>
        </w:rPr>
        <w:sectPr>
          <w:pgSz w:w="11910" w:h="16840"/>
          <w:pgMar w:header="686" w:footer="637" w:top="1320" w:bottom="820" w:left="1200" w:right="1000"/>
        </w:sectPr>
      </w:pPr>
    </w:p>
    <w:p>
      <w:pPr>
        <w:pStyle w:val="Heading5"/>
        <w:jc w:val="left"/>
        <w:rPr>
          <w:i/>
        </w:rPr>
      </w:pPr>
      <w:r>
        <w:rPr>
          <w:i/>
        </w:rPr>
        <w:t>fault type</w:t>
      </w:r>
    </w:p>
    <w:p>
      <w:pPr>
        <w:pStyle w:val="BodyText"/>
        <w:spacing w:before="0"/>
        <w:ind w:firstLine="0"/>
        <w:jc w:val="left"/>
        <w:rPr>
          <w:b/>
          <w:i/>
          <w:sz w:val="26"/>
        </w:rPr>
      </w:pPr>
      <w:r>
        <w:rPr/>
        <w:br w:type="column"/>
      </w:r>
      <w:r>
        <w:rPr>
          <w:b/>
          <w:i/>
          <w:sz w:val="26"/>
        </w:rPr>
      </w:r>
    </w:p>
    <w:p>
      <w:pPr>
        <w:pStyle w:val="BodyText"/>
        <w:spacing w:before="217"/>
        <w:ind w:left="167" w:firstLine="0"/>
        <w:jc w:val="left"/>
      </w:pPr>
      <w:r>
        <w:rPr/>
        <w:t>One of the following types of electrical fault:</w:t>
      </w:r>
    </w:p>
    <w:p>
      <w:pPr>
        <w:pStyle w:val="ListParagraph"/>
        <w:numPr>
          <w:ilvl w:val="0"/>
          <w:numId w:val="741"/>
        </w:numPr>
        <w:tabs>
          <w:tab w:pos="734" w:val="left" w:leader="none"/>
          <w:tab w:pos="735" w:val="left" w:leader="none"/>
        </w:tabs>
        <w:spacing w:line="240" w:lineRule="auto" w:before="120" w:after="0"/>
        <w:ind w:left="734" w:right="0" w:hanging="568"/>
        <w:jc w:val="left"/>
        <w:rPr>
          <w:sz w:val="24"/>
        </w:rPr>
      </w:pPr>
      <w:r>
        <w:rPr>
          <w:sz w:val="24"/>
        </w:rPr>
        <w:t>three phase to ground</w:t>
      </w:r>
      <w:r>
        <w:rPr>
          <w:spacing w:val="-1"/>
          <w:sz w:val="24"/>
        </w:rPr>
        <w:t> </w:t>
      </w:r>
      <w:r>
        <w:rPr>
          <w:sz w:val="24"/>
        </w:rPr>
        <w:t>fault;</w:t>
      </w:r>
    </w:p>
    <w:p>
      <w:pPr>
        <w:pStyle w:val="ListParagraph"/>
        <w:numPr>
          <w:ilvl w:val="0"/>
          <w:numId w:val="741"/>
        </w:numPr>
        <w:tabs>
          <w:tab w:pos="734" w:val="left" w:leader="none"/>
          <w:tab w:pos="735" w:val="left" w:leader="none"/>
        </w:tabs>
        <w:spacing w:line="240" w:lineRule="auto" w:before="120" w:after="0"/>
        <w:ind w:left="734" w:right="0" w:hanging="568"/>
        <w:jc w:val="left"/>
        <w:rPr>
          <w:sz w:val="24"/>
        </w:rPr>
      </w:pPr>
      <w:r>
        <w:rPr>
          <w:sz w:val="24"/>
        </w:rPr>
        <w:t>three phase</w:t>
      </w:r>
      <w:r>
        <w:rPr>
          <w:spacing w:val="-1"/>
          <w:sz w:val="24"/>
        </w:rPr>
        <w:t> </w:t>
      </w:r>
      <w:r>
        <w:rPr>
          <w:sz w:val="24"/>
        </w:rPr>
        <w:t>fault;</w:t>
      </w:r>
    </w:p>
    <w:p>
      <w:pPr>
        <w:pStyle w:val="ListParagraph"/>
        <w:numPr>
          <w:ilvl w:val="0"/>
          <w:numId w:val="741"/>
        </w:numPr>
        <w:tabs>
          <w:tab w:pos="734" w:val="left" w:leader="none"/>
          <w:tab w:pos="735" w:val="left" w:leader="none"/>
        </w:tabs>
        <w:spacing w:line="240" w:lineRule="auto" w:before="120" w:after="0"/>
        <w:ind w:left="734" w:right="0" w:hanging="568"/>
        <w:jc w:val="left"/>
        <w:rPr>
          <w:sz w:val="24"/>
        </w:rPr>
      </w:pPr>
      <w:r>
        <w:rPr>
          <w:sz w:val="24"/>
        </w:rPr>
        <w:t>two phase to ground</w:t>
      </w:r>
      <w:r>
        <w:rPr>
          <w:spacing w:val="-1"/>
          <w:sz w:val="24"/>
        </w:rPr>
        <w:t> </w:t>
      </w:r>
      <w:r>
        <w:rPr>
          <w:sz w:val="24"/>
        </w:rPr>
        <w:t>fault;</w:t>
      </w:r>
    </w:p>
    <w:p>
      <w:pPr>
        <w:pStyle w:val="ListParagraph"/>
        <w:numPr>
          <w:ilvl w:val="0"/>
          <w:numId w:val="741"/>
        </w:numPr>
        <w:tabs>
          <w:tab w:pos="734" w:val="left" w:leader="none"/>
          <w:tab w:pos="735" w:val="left" w:leader="none"/>
        </w:tabs>
        <w:spacing w:line="240" w:lineRule="auto" w:before="120" w:after="0"/>
        <w:ind w:left="734" w:right="0" w:hanging="568"/>
        <w:jc w:val="left"/>
        <w:rPr>
          <w:sz w:val="24"/>
        </w:rPr>
      </w:pPr>
      <w:r>
        <w:rPr>
          <w:sz w:val="24"/>
        </w:rPr>
        <w:t>phase to phase fault;</w:t>
      </w:r>
      <w:r>
        <w:rPr>
          <w:spacing w:val="-2"/>
          <w:sz w:val="24"/>
        </w:rPr>
        <w:t> </w:t>
      </w:r>
      <w:r>
        <w:rPr>
          <w:sz w:val="24"/>
        </w:rPr>
        <w:t>and</w:t>
      </w:r>
    </w:p>
    <w:p>
      <w:pPr>
        <w:pStyle w:val="ListParagraph"/>
        <w:numPr>
          <w:ilvl w:val="0"/>
          <w:numId w:val="741"/>
        </w:numPr>
        <w:tabs>
          <w:tab w:pos="734" w:val="left" w:leader="none"/>
          <w:tab w:pos="735" w:val="left" w:leader="none"/>
        </w:tabs>
        <w:spacing w:line="240" w:lineRule="auto" w:before="120" w:after="0"/>
        <w:ind w:left="734" w:right="0" w:hanging="568"/>
        <w:jc w:val="left"/>
        <w:rPr>
          <w:sz w:val="24"/>
        </w:rPr>
      </w:pPr>
      <w:r>
        <w:rPr>
          <w:sz w:val="24"/>
        </w:rPr>
        <w:t>one phase to ground fault.</w:t>
      </w:r>
    </w:p>
    <w:p>
      <w:pPr>
        <w:spacing w:after="0" w:line="240" w:lineRule="auto"/>
        <w:jc w:val="left"/>
        <w:rPr>
          <w:sz w:val="24"/>
        </w:rPr>
        <w:sectPr>
          <w:type w:val="continuous"/>
          <w:pgSz w:w="11910" w:h="16840"/>
          <w:pgMar w:top="1360" w:bottom="280" w:left="1200" w:right="1000"/>
          <w:cols w:num="2" w:equalWidth="0">
            <w:col w:w="1145" w:space="40"/>
            <w:col w:w="8525"/>
          </w:cols>
        </w:sectPr>
      </w:pPr>
    </w:p>
    <w:p>
      <w:pPr>
        <w:pStyle w:val="Heading5"/>
        <w:ind w:left="0" w:right="7795"/>
        <w:jc w:val="center"/>
        <w:rPr>
          <w:i/>
        </w:rPr>
      </w:pPr>
      <w:r>
        <w:rPr>
          <w:i/>
        </w:rPr>
        <w:t>final statement</w:t>
      </w:r>
    </w:p>
    <w:p>
      <w:pPr>
        <w:spacing w:before="120"/>
        <w:ind w:left="924" w:right="662" w:firstLine="0"/>
        <w:jc w:val="center"/>
        <w:rPr>
          <w:sz w:val="24"/>
        </w:rPr>
      </w:pPr>
      <w:r>
        <w:rPr>
          <w:sz w:val="24"/>
        </w:rPr>
        <w:t>A statement issued by </w:t>
      </w:r>
      <w:r>
        <w:rPr>
          <w:i/>
          <w:sz w:val="24"/>
        </w:rPr>
        <w:t>AEMO </w:t>
      </w:r>
      <w:r>
        <w:rPr>
          <w:sz w:val="24"/>
        </w:rPr>
        <w:t>under clause 3.15.15 to a </w:t>
      </w:r>
      <w:r>
        <w:rPr>
          <w:i/>
          <w:sz w:val="24"/>
        </w:rPr>
        <w:t>Market Participant</w:t>
      </w:r>
      <w:r>
        <w:rPr>
          <w:sz w:val="24"/>
        </w:rPr>
        <w:t>.</w:t>
      </w:r>
    </w:p>
    <w:p>
      <w:pPr>
        <w:spacing w:after="0"/>
        <w:jc w:val="center"/>
        <w:rPr>
          <w:sz w:val="24"/>
        </w:rPr>
        <w:sectPr>
          <w:type w:val="continuous"/>
          <w:pgSz w:w="11910" w:h="16840"/>
          <w:pgMar w:top="1360" w:bottom="280" w:left="1200" w:right="1000"/>
        </w:sectPr>
      </w:pPr>
    </w:p>
    <w:p>
      <w:pPr>
        <w:pStyle w:val="Heading5"/>
        <w:spacing w:before="83"/>
        <w:jc w:val="left"/>
        <w:rPr>
          <w:i/>
        </w:rPr>
      </w:pPr>
      <w:r>
        <w:rPr>
          <w:i/>
        </w:rPr>
        <w:t>financial year</w:t>
      </w:r>
    </w:p>
    <w:p>
      <w:pPr>
        <w:pStyle w:val="BodyText"/>
        <w:ind w:left="1352" w:right="415" w:firstLine="0"/>
        <w:jc w:val="left"/>
      </w:pPr>
      <w:r>
        <w:rPr/>
        <w:t>A period commencing on 1 July in one calendar year and terminating on 30 June in the following calendar year.</w:t>
      </w:r>
    </w:p>
    <w:p>
      <w:pPr>
        <w:pStyle w:val="Heading5"/>
        <w:jc w:val="left"/>
        <w:rPr>
          <w:i/>
        </w:rPr>
      </w:pPr>
      <w:r>
        <w:rPr>
          <w:i/>
        </w:rPr>
        <w:t>financially responsible</w:t>
      </w:r>
    </w:p>
    <w:p>
      <w:pPr>
        <w:pStyle w:val="BodyText"/>
        <w:ind w:left="1352" w:right="415" w:firstLine="0"/>
        <w:jc w:val="left"/>
      </w:pPr>
      <w:r>
        <w:rPr/>
        <w:t>In relation to a </w:t>
      </w:r>
      <w:r>
        <w:rPr>
          <w:i/>
        </w:rPr>
        <w:t>connection point</w:t>
      </w:r>
      <w:r>
        <w:rPr/>
        <w:t>, a term which is used to describe the person authorised to have either:</w:t>
      </w:r>
    </w:p>
    <w:p>
      <w:pPr>
        <w:pStyle w:val="ListParagraph"/>
        <w:numPr>
          <w:ilvl w:val="1"/>
          <w:numId w:val="741"/>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load connected </w:t>
      </w:r>
      <w:r>
        <w:rPr>
          <w:sz w:val="24"/>
        </w:rPr>
        <w:t>at that </w:t>
      </w:r>
      <w:r>
        <w:rPr>
          <w:i/>
          <w:sz w:val="24"/>
        </w:rPr>
        <w:t>connection point</w:t>
      </w:r>
      <w:r>
        <w:rPr>
          <w:sz w:val="24"/>
        </w:rPr>
        <w:t>;</w:t>
      </w:r>
      <w:r>
        <w:rPr>
          <w:spacing w:val="-2"/>
          <w:sz w:val="24"/>
        </w:rPr>
        <w:t> </w:t>
      </w:r>
      <w:r>
        <w:rPr>
          <w:sz w:val="24"/>
        </w:rPr>
        <w:t>or</w:t>
      </w:r>
    </w:p>
    <w:p>
      <w:pPr>
        <w:pStyle w:val="ListParagraph"/>
        <w:numPr>
          <w:ilvl w:val="1"/>
          <w:numId w:val="741"/>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generating unit connected </w:t>
      </w:r>
      <w:r>
        <w:rPr>
          <w:sz w:val="24"/>
        </w:rPr>
        <w:t>at that </w:t>
      </w:r>
      <w:r>
        <w:rPr>
          <w:i/>
          <w:sz w:val="24"/>
        </w:rPr>
        <w:t>connection</w:t>
      </w:r>
      <w:r>
        <w:rPr>
          <w:i/>
          <w:spacing w:val="-1"/>
          <w:sz w:val="24"/>
        </w:rPr>
        <w:t> </w:t>
      </w:r>
      <w:r>
        <w:rPr>
          <w:i/>
          <w:sz w:val="24"/>
        </w:rPr>
        <w:t>point</w:t>
      </w:r>
      <w:r>
        <w:rPr>
          <w:sz w:val="24"/>
        </w:rPr>
        <w:t>.</w:t>
      </w:r>
    </w:p>
    <w:p>
      <w:pPr>
        <w:spacing w:before="120"/>
        <w:ind w:left="1919" w:right="0" w:firstLine="0"/>
        <w:jc w:val="left"/>
        <w:rPr>
          <w:rFonts w:ascii="Arial"/>
          <w:b/>
          <w:sz w:val="20"/>
        </w:rPr>
      </w:pPr>
      <w:r>
        <w:rPr>
          <w:rFonts w:ascii="Arial"/>
          <w:b/>
          <w:sz w:val="20"/>
        </w:rPr>
        <w:t>Note:</w:t>
      </w:r>
    </w:p>
    <w:p>
      <w:pPr>
        <w:spacing w:before="120"/>
        <w:ind w:left="1919" w:right="415" w:firstLine="0"/>
        <w:jc w:val="both"/>
        <w:rPr>
          <w:sz w:val="20"/>
        </w:rPr>
      </w:pPr>
      <w:r>
        <w:rPr>
          <w:sz w:val="20"/>
        </w:rPr>
        <w:t>The obligations on </w:t>
      </w:r>
      <w:r>
        <w:rPr>
          <w:i/>
          <w:sz w:val="20"/>
        </w:rPr>
        <w:t>Customers </w:t>
      </w:r>
      <w:r>
        <w:rPr>
          <w:sz w:val="20"/>
        </w:rPr>
        <w:t>(including </w:t>
      </w:r>
      <w:r>
        <w:rPr>
          <w:i/>
          <w:sz w:val="20"/>
        </w:rPr>
        <w:t>retailers</w:t>
      </w:r>
      <w:r>
        <w:rPr>
          <w:sz w:val="20"/>
        </w:rPr>
        <w:t>) and </w:t>
      </w:r>
      <w:r>
        <w:rPr>
          <w:i/>
          <w:sz w:val="20"/>
        </w:rPr>
        <w:t>Generators </w:t>
      </w:r>
      <w:r>
        <w:rPr>
          <w:sz w:val="20"/>
        </w:rPr>
        <w:t>in relation to the authorisation of, respectively, </w:t>
      </w:r>
      <w:r>
        <w:rPr>
          <w:i/>
          <w:sz w:val="20"/>
        </w:rPr>
        <w:t>load </w:t>
      </w:r>
      <w:r>
        <w:rPr>
          <w:sz w:val="20"/>
        </w:rPr>
        <w:t>or </w:t>
      </w:r>
      <w:r>
        <w:rPr>
          <w:i/>
          <w:sz w:val="20"/>
        </w:rPr>
        <w:t>generating units connected </w:t>
      </w:r>
      <w:r>
        <w:rPr>
          <w:sz w:val="20"/>
        </w:rPr>
        <w:t>at a </w:t>
      </w:r>
      <w:r>
        <w:rPr>
          <w:i/>
          <w:sz w:val="20"/>
        </w:rPr>
        <w:t>connection point </w:t>
      </w:r>
      <w:r>
        <w:rPr>
          <w:sz w:val="20"/>
        </w:rPr>
        <w:t>will be considered as part of the phased implementation of the </w:t>
      </w:r>
      <w:r>
        <w:rPr>
          <w:i/>
          <w:sz w:val="20"/>
        </w:rPr>
        <w:t>Rules </w:t>
      </w:r>
      <w:r>
        <w:rPr>
          <w:sz w:val="20"/>
        </w:rPr>
        <w:t>in this jurisdiction.</w:t>
      </w:r>
    </w:p>
    <w:p>
      <w:pPr>
        <w:pStyle w:val="Heading5"/>
        <w:rPr>
          <w:i/>
        </w:rPr>
      </w:pPr>
      <w:r>
        <w:rPr>
          <w:i/>
        </w:rPr>
        <w:t>First-Tier Customer</w:t>
      </w:r>
    </w:p>
    <w:p>
      <w:pPr>
        <w:spacing w:before="120"/>
        <w:ind w:left="1352" w:right="414" w:firstLine="0"/>
        <w:jc w:val="both"/>
        <w:rPr>
          <w:sz w:val="24"/>
        </w:rPr>
      </w:pPr>
      <w:r>
        <w:rPr>
          <w:sz w:val="24"/>
        </w:rPr>
        <w:t>A </w:t>
      </w:r>
      <w:r>
        <w:rPr>
          <w:i/>
          <w:sz w:val="24"/>
        </w:rPr>
        <w:t>Customer </w:t>
      </w:r>
      <w:r>
        <w:rPr>
          <w:sz w:val="24"/>
        </w:rPr>
        <w:t>which has classified any </w:t>
      </w:r>
      <w:r>
        <w:rPr>
          <w:i/>
          <w:sz w:val="24"/>
        </w:rPr>
        <w:t>load </w:t>
      </w:r>
      <w:r>
        <w:rPr>
          <w:sz w:val="24"/>
        </w:rPr>
        <w:t>as a </w:t>
      </w:r>
      <w:r>
        <w:rPr>
          <w:i/>
          <w:sz w:val="24"/>
        </w:rPr>
        <w:t>first-tier load </w:t>
      </w:r>
      <w:r>
        <w:rPr>
          <w:sz w:val="24"/>
        </w:rPr>
        <w:t>in accordance with Chapter 2.</w:t>
      </w:r>
    </w:p>
    <w:p>
      <w:pPr>
        <w:pStyle w:val="Heading5"/>
        <w:rPr>
          <w:i/>
        </w:rPr>
      </w:pPr>
      <w:r>
        <w:rPr>
          <w:i/>
        </w:rPr>
        <w:t>first-tier load</w:t>
      </w:r>
    </w:p>
    <w:p>
      <w:pPr>
        <w:spacing w:before="120"/>
        <w:ind w:left="1352" w:right="414" w:firstLine="0"/>
        <w:jc w:val="both"/>
        <w:rPr>
          <w:sz w:val="24"/>
        </w:rPr>
      </w:pPr>
      <w:r>
        <w:rPr>
          <w:sz w:val="24"/>
        </w:rPr>
        <w:t>Electricity purchased at a </w:t>
      </w:r>
      <w:r>
        <w:rPr>
          <w:i/>
          <w:sz w:val="24"/>
        </w:rPr>
        <w:t>connection point </w:t>
      </w:r>
      <w:r>
        <w:rPr>
          <w:sz w:val="24"/>
        </w:rPr>
        <w:t>directly and in its entirety from the </w:t>
      </w:r>
      <w:r>
        <w:rPr>
          <w:i/>
          <w:sz w:val="24"/>
        </w:rPr>
        <w:t>Local Retailer </w:t>
      </w:r>
      <w:r>
        <w:rPr>
          <w:sz w:val="24"/>
        </w:rPr>
        <w:t>and which is classified as a </w:t>
      </w:r>
      <w:r>
        <w:rPr>
          <w:i/>
          <w:sz w:val="24"/>
        </w:rPr>
        <w:t>first-tier load </w:t>
      </w:r>
      <w:r>
        <w:rPr>
          <w:sz w:val="24"/>
        </w:rPr>
        <w:t>in accordance with Chapter 2.</w:t>
      </w:r>
    </w:p>
    <w:p>
      <w:pPr>
        <w:pStyle w:val="Heading5"/>
        <w:rPr>
          <w:i/>
        </w:rPr>
      </w:pPr>
      <w:r>
        <w:rPr>
          <w:i/>
        </w:rPr>
        <w:t>forecast reliability gap</w:t>
      </w:r>
    </w:p>
    <w:p>
      <w:pPr>
        <w:spacing w:before="120"/>
        <w:ind w:left="1352" w:right="416" w:firstLine="0"/>
        <w:jc w:val="both"/>
        <w:rPr>
          <w:sz w:val="24"/>
        </w:rPr>
      </w:pPr>
      <w:r>
        <w:rPr>
          <w:sz w:val="24"/>
        </w:rPr>
        <w:t>Has the meaning given in the </w:t>
      </w:r>
      <w:r>
        <w:rPr>
          <w:i/>
          <w:sz w:val="24"/>
        </w:rPr>
        <w:t>National Electricity Law </w:t>
      </w:r>
      <w:r>
        <w:rPr>
          <w:sz w:val="24"/>
        </w:rPr>
        <w:t>and as determined in accordance with clause 4A.A.2.</w:t>
      </w:r>
    </w:p>
    <w:p>
      <w:pPr>
        <w:pStyle w:val="Heading5"/>
        <w:rPr>
          <w:i/>
        </w:rPr>
      </w:pPr>
      <w:r>
        <w:rPr>
          <w:i/>
        </w:rPr>
        <w:t>former Chapter 6A</w:t>
      </w:r>
    </w:p>
    <w:p>
      <w:pPr>
        <w:spacing w:before="120"/>
        <w:ind w:left="1352" w:right="415" w:firstLine="0"/>
        <w:jc w:val="both"/>
        <w:rPr>
          <w:sz w:val="24"/>
        </w:rPr>
      </w:pPr>
      <w:r>
        <w:rPr>
          <w:sz w:val="24"/>
        </w:rPr>
        <w:t>Chapter 6A of the </w:t>
      </w:r>
      <w:r>
        <w:rPr>
          <w:i/>
          <w:sz w:val="24"/>
        </w:rPr>
        <w:t>Rules </w:t>
      </w:r>
      <w:r>
        <w:rPr>
          <w:sz w:val="24"/>
        </w:rPr>
        <w:t>as in force immediately prior to the commencement of Schedules 1, 2, 4, 5 and 6 of the </w:t>
      </w:r>
      <w:r>
        <w:rPr>
          <w:i/>
          <w:sz w:val="24"/>
        </w:rPr>
        <w:t>National Electricity Amendment (Transmission </w:t>
      </w:r>
      <w:r>
        <w:rPr>
          <w:i/>
          <w:sz w:val="24"/>
        </w:rPr>
        <w:t>Connection and Planning Arrangements) Rule 2017 No.4 </w:t>
      </w:r>
      <w:r>
        <w:rPr>
          <w:sz w:val="24"/>
        </w:rPr>
        <w:t>and which is applicable for a </w:t>
      </w:r>
      <w:r>
        <w:rPr>
          <w:i/>
          <w:sz w:val="24"/>
        </w:rPr>
        <w:t>declared transmission system </w:t>
      </w:r>
      <w:r>
        <w:rPr>
          <w:sz w:val="24"/>
        </w:rPr>
        <w:t>of an </w:t>
      </w:r>
      <w:r>
        <w:rPr>
          <w:i/>
          <w:sz w:val="24"/>
        </w:rPr>
        <w:t>adoptive jurisdiction </w:t>
      </w:r>
      <w:r>
        <w:rPr>
          <w:sz w:val="24"/>
        </w:rPr>
        <w:t>under clause 11.98.8, as amended from time to time.</w:t>
      </w:r>
    </w:p>
    <w:p>
      <w:pPr>
        <w:pStyle w:val="Heading5"/>
        <w:rPr>
          <w:i/>
        </w:rPr>
      </w:pPr>
      <w:r>
        <w:rPr>
          <w:i/>
        </w:rPr>
        <w:t>framework and approach paper</w:t>
      </w:r>
    </w:p>
    <w:p>
      <w:pPr>
        <w:pStyle w:val="BodyText"/>
        <w:ind w:left="1352" w:right="414" w:firstLine="0"/>
      </w:pPr>
      <w:r>
        <w:rPr/>
        <w:t>A document prepared and issued as a framework and approach paper under clause 6.8.1.</w:t>
      </w:r>
    </w:p>
    <w:p>
      <w:pPr>
        <w:pStyle w:val="Heading5"/>
        <w:rPr>
          <w:i/>
        </w:rPr>
      </w:pPr>
      <w:r>
        <w:rPr>
          <w:i/>
        </w:rPr>
        <w:t>franchise customer</w:t>
      </w:r>
    </w:p>
    <w:p>
      <w:pPr>
        <w:pStyle w:val="BodyText"/>
        <w:ind w:left="1352" w:right="416" w:firstLine="0"/>
      </w:pPr>
      <w:r>
        <w:rPr/>
        <w:t>A person who does not meet its local jurisdiction requirements to make it eligible to be registered by </w:t>
      </w:r>
      <w:r>
        <w:rPr>
          <w:i/>
        </w:rPr>
        <w:t>AEMO </w:t>
      </w:r>
      <w:r>
        <w:rPr/>
        <w:t>as a </w:t>
      </w:r>
      <w:r>
        <w:rPr>
          <w:i/>
        </w:rPr>
        <w:t>Customer </w:t>
      </w:r>
      <w:r>
        <w:rPr/>
        <w:t>for a </w:t>
      </w:r>
      <w:r>
        <w:rPr>
          <w:i/>
        </w:rPr>
        <w:t>load</w:t>
      </w:r>
      <w:r>
        <w:rPr/>
        <w:t>.</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There are no franchise customers in this jurisdiction.</w:t>
      </w:r>
    </w:p>
    <w:p>
      <w:pPr>
        <w:spacing w:after="0"/>
        <w:jc w:val="both"/>
        <w:rPr>
          <w:sz w:val="20"/>
        </w:rPr>
        <w:sectPr>
          <w:pgSz w:w="11910" w:h="16840"/>
          <w:pgMar w:header="686" w:footer="637" w:top="1320" w:bottom="820" w:left="1200" w:right="1000"/>
        </w:sectPr>
      </w:pPr>
    </w:p>
    <w:p>
      <w:pPr>
        <w:pStyle w:val="Heading5"/>
        <w:jc w:val="left"/>
        <w:rPr>
          <w:i/>
        </w:rPr>
      </w:pPr>
      <w:r>
        <w:rPr>
          <w:i/>
        </w:rPr>
        <w:t>frequency</w:t>
      </w:r>
    </w:p>
    <w:p>
      <w:pPr>
        <w:pStyle w:val="BodyText"/>
        <w:spacing w:before="0"/>
        <w:ind w:firstLine="0"/>
        <w:jc w:val="left"/>
        <w:rPr>
          <w:b/>
          <w:i/>
          <w:sz w:val="26"/>
        </w:rPr>
      </w:pPr>
      <w:r>
        <w:rPr/>
        <w:br w:type="column"/>
      </w:r>
      <w:r>
        <w:rPr>
          <w:b/>
          <w:i/>
          <w:sz w:val="26"/>
        </w:rPr>
      </w:r>
    </w:p>
    <w:p>
      <w:pPr>
        <w:pStyle w:val="BodyText"/>
        <w:spacing w:before="217"/>
        <w:ind w:left="107" w:right="188" w:firstLine="0"/>
        <w:jc w:val="left"/>
      </w:pPr>
      <w:r>
        <w:rPr/>
        <w:t>For alternating current electricity, the number of cycles occurring in each second. The term Hertz (Hz) corresponds to cycles per second.</w:t>
      </w:r>
    </w:p>
    <w:p>
      <w:pPr>
        <w:spacing w:after="0"/>
        <w:jc w:val="left"/>
        <w:sectPr>
          <w:type w:val="continuous"/>
          <w:pgSz w:w="11910" w:h="16840"/>
          <w:pgMar w:top="1360" w:bottom="280" w:left="1200" w:right="1000"/>
          <w:cols w:num="2" w:equalWidth="0">
            <w:col w:w="1205" w:space="40"/>
            <w:col w:w="8465"/>
          </w:cols>
        </w:sectPr>
      </w:pPr>
    </w:p>
    <w:p>
      <w:pPr>
        <w:pStyle w:val="Heading5"/>
        <w:spacing w:before="83"/>
        <w:rPr>
          <w:i/>
        </w:rPr>
      </w:pPr>
      <w:r>
        <w:rPr>
          <w:i/>
        </w:rPr>
        <w:t>frequency operating standard</w:t>
      </w:r>
    </w:p>
    <w:p>
      <w:pPr>
        <w:spacing w:before="120"/>
        <w:ind w:left="1352" w:right="417" w:firstLine="0"/>
        <w:jc w:val="both"/>
        <w:rPr>
          <w:sz w:val="24"/>
        </w:rPr>
      </w:pPr>
      <w:r>
        <w:rPr>
          <w:sz w:val="24"/>
        </w:rPr>
        <w:t>The standards which specify the </w:t>
      </w:r>
      <w:r>
        <w:rPr>
          <w:i/>
          <w:sz w:val="24"/>
        </w:rPr>
        <w:t>frequency </w:t>
      </w:r>
      <w:r>
        <w:rPr>
          <w:sz w:val="24"/>
        </w:rPr>
        <w:t>levels for the operation of the </w:t>
      </w:r>
      <w:r>
        <w:rPr>
          <w:i/>
          <w:sz w:val="24"/>
        </w:rPr>
        <w:t>power </w:t>
      </w:r>
      <w:r>
        <w:rPr>
          <w:i/>
          <w:sz w:val="24"/>
        </w:rPr>
        <w:t>system </w:t>
      </w:r>
      <w:r>
        <w:rPr>
          <w:sz w:val="24"/>
        </w:rPr>
        <w:t>set out in the </w:t>
      </w:r>
      <w:r>
        <w:rPr>
          <w:i/>
          <w:sz w:val="24"/>
        </w:rPr>
        <w:t>power system security standards</w:t>
      </w:r>
      <w:r>
        <w:rPr>
          <w:sz w:val="24"/>
        </w:rPr>
        <w:t>.</w:t>
      </w:r>
    </w:p>
    <w:p>
      <w:pPr>
        <w:pStyle w:val="Heading5"/>
        <w:rPr>
          <w:i/>
        </w:rPr>
      </w:pPr>
      <w:r>
        <w:rPr>
          <w:i/>
        </w:rPr>
        <w:t>frequency response mode</w:t>
      </w:r>
    </w:p>
    <w:p>
      <w:pPr>
        <w:spacing w:before="120"/>
        <w:ind w:left="1352" w:right="415" w:firstLine="0"/>
        <w:jc w:val="both"/>
        <w:rPr>
          <w:sz w:val="24"/>
        </w:rPr>
      </w:pPr>
      <w:r>
        <w:rPr>
          <w:sz w:val="24"/>
        </w:rPr>
        <w:t>The mode of operation of a </w:t>
      </w:r>
      <w:r>
        <w:rPr>
          <w:i/>
          <w:sz w:val="24"/>
        </w:rPr>
        <w:t>generating unit </w:t>
      </w:r>
      <w:r>
        <w:rPr>
          <w:sz w:val="24"/>
        </w:rPr>
        <w:t>which allows automatic changes to the generated power when the </w:t>
      </w:r>
      <w:r>
        <w:rPr>
          <w:i/>
          <w:sz w:val="24"/>
        </w:rPr>
        <w:t>frequency </w:t>
      </w:r>
      <w:r>
        <w:rPr>
          <w:sz w:val="24"/>
        </w:rPr>
        <w:t>of the </w:t>
      </w:r>
      <w:r>
        <w:rPr>
          <w:i/>
          <w:sz w:val="24"/>
        </w:rPr>
        <w:t>power system </w:t>
      </w:r>
      <w:r>
        <w:rPr>
          <w:sz w:val="24"/>
        </w:rPr>
        <w:t>changes.</w:t>
      </w:r>
    </w:p>
    <w:p>
      <w:pPr>
        <w:pStyle w:val="Heading5"/>
        <w:rPr>
          <w:i/>
        </w:rPr>
      </w:pPr>
      <w:r>
        <w:rPr>
          <w:i/>
        </w:rPr>
        <w:t>fully co-optimised network constraint formulation</w:t>
      </w:r>
    </w:p>
    <w:p>
      <w:pPr>
        <w:pStyle w:val="BodyText"/>
        <w:ind w:left="1352" w:right="414" w:firstLine="0"/>
      </w:pPr>
      <w:r>
        <w:rPr/>
        <w:t>A </w:t>
      </w:r>
      <w:r>
        <w:rPr>
          <w:i/>
        </w:rPr>
        <w:t>network constraint </w:t>
      </w:r>
      <w:r>
        <w:rPr/>
        <w:t>equation formulation that allows </w:t>
      </w:r>
      <w:r>
        <w:rPr>
          <w:i/>
        </w:rPr>
        <w:t>AEMO</w:t>
      </w:r>
      <w:r>
        <w:rPr/>
        <w:t>, through direct physical representation, to control all the variables within the equation that can be determined through the </w:t>
      </w:r>
      <w:r>
        <w:rPr>
          <w:i/>
        </w:rPr>
        <w:t>central dispatch </w:t>
      </w:r>
      <w:r>
        <w:rPr/>
        <w:t>process. Some variables may not be included in accordance with clause 3.8.10(c) of the </w:t>
      </w:r>
      <w:r>
        <w:rPr>
          <w:i/>
        </w:rPr>
        <w:t>Rules </w:t>
      </w:r>
      <w:r>
        <w:rPr/>
        <w:t>if control of such variables would not materially enhance the security of the </w:t>
      </w:r>
      <w:r>
        <w:rPr>
          <w:i/>
        </w:rPr>
        <w:t>power system </w:t>
      </w:r>
      <w:r>
        <w:rPr/>
        <w:t>due to the small size of their coefficients.</w:t>
      </w:r>
    </w:p>
    <w:p>
      <w:pPr>
        <w:pStyle w:val="Heading5"/>
        <w:rPr>
          <w:i/>
        </w:rPr>
      </w:pPr>
      <w:r>
        <w:rPr>
          <w:i/>
        </w:rPr>
        <w:t>funded augmentation</w:t>
      </w:r>
    </w:p>
    <w:p>
      <w:pPr>
        <w:spacing w:before="120"/>
        <w:ind w:left="1352" w:right="416" w:firstLine="0"/>
        <w:jc w:val="both"/>
        <w:rPr>
          <w:sz w:val="24"/>
        </w:rPr>
      </w:pPr>
      <w:r>
        <w:rPr>
          <w:sz w:val="24"/>
        </w:rPr>
        <w:t>A </w:t>
      </w:r>
      <w:r>
        <w:rPr>
          <w:i/>
          <w:sz w:val="24"/>
        </w:rPr>
        <w:t>transmission network augmentation </w:t>
      </w:r>
      <w:r>
        <w:rPr>
          <w:sz w:val="24"/>
        </w:rPr>
        <w:t>for which the </w:t>
      </w:r>
      <w:r>
        <w:rPr>
          <w:i/>
          <w:sz w:val="24"/>
        </w:rPr>
        <w:t>Transmission Network </w:t>
      </w:r>
      <w:r>
        <w:rPr>
          <w:i/>
          <w:sz w:val="24"/>
        </w:rPr>
        <w:t>Service Provider </w:t>
      </w:r>
      <w:r>
        <w:rPr>
          <w:sz w:val="24"/>
        </w:rPr>
        <w:t>is not entitled to receive a charge pursuant to Chapter 6.</w:t>
      </w:r>
    </w:p>
    <w:p>
      <w:pPr>
        <w:pStyle w:val="Heading5"/>
        <w:rPr>
          <w:i/>
        </w:rPr>
      </w:pPr>
      <w:r>
        <w:rPr>
          <w:i/>
        </w:rPr>
        <w:t>GELF parameters</w:t>
      </w:r>
    </w:p>
    <w:p>
      <w:pPr>
        <w:spacing w:before="120"/>
        <w:ind w:left="1352" w:right="417" w:firstLine="0"/>
        <w:jc w:val="both"/>
        <w:rPr>
          <w:sz w:val="24"/>
        </w:rPr>
      </w:pPr>
      <w:r>
        <w:rPr>
          <w:sz w:val="24"/>
        </w:rPr>
        <w:t>Variable parameters specific to a </w:t>
      </w:r>
      <w:r>
        <w:rPr>
          <w:i/>
          <w:sz w:val="24"/>
        </w:rPr>
        <w:t>Generator Energy Limitation Framework </w:t>
      </w:r>
      <w:r>
        <w:rPr>
          <w:sz w:val="24"/>
        </w:rPr>
        <w:t>(</w:t>
      </w:r>
      <w:r>
        <w:rPr>
          <w:i/>
          <w:sz w:val="24"/>
        </w:rPr>
        <w:t>GELF</w:t>
      </w:r>
      <w:r>
        <w:rPr>
          <w:sz w:val="24"/>
        </w:rPr>
        <w:t>) which are defined in the </w:t>
      </w:r>
      <w:r>
        <w:rPr>
          <w:i/>
          <w:sz w:val="24"/>
        </w:rPr>
        <w:t>EAAP guidelines </w:t>
      </w:r>
      <w:r>
        <w:rPr>
          <w:sz w:val="24"/>
        </w:rPr>
        <w:t>and supplement the </w:t>
      </w:r>
      <w:r>
        <w:rPr>
          <w:i/>
          <w:sz w:val="24"/>
        </w:rPr>
        <w:t>GELF</w:t>
      </w:r>
      <w:r>
        <w:rPr>
          <w:sz w:val="24"/>
        </w:rPr>
        <w:t>, and are submitted by a </w:t>
      </w:r>
      <w:r>
        <w:rPr>
          <w:i/>
          <w:sz w:val="24"/>
        </w:rPr>
        <w:t>Scheduled Generator </w:t>
      </w:r>
      <w:r>
        <w:rPr>
          <w:sz w:val="24"/>
        </w:rPr>
        <w:t>and updated in accordance with rule 3.7C for the purpose of the </w:t>
      </w:r>
      <w:r>
        <w:rPr>
          <w:i/>
          <w:sz w:val="24"/>
        </w:rPr>
        <w:t>EAAP</w:t>
      </w:r>
      <w:r>
        <w:rPr>
          <w:sz w:val="24"/>
        </w:rPr>
        <w:t>.</w:t>
      </w:r>
    </w:p>
    <w:p>
      <w:pPr>
        <w:pStyle w:val="Heading5"/>
        <w:rPr>
          <w:i/>
        </w:rPr>
      </w:pPr>
      <w:r>
        <w:rPr>
          <w:i/>
        </w:rPr>
        <w:t>general regulatory information order</w:t>
      </w:r>
    </w:p>
    <w:p>
      <w:pPr>
        <w:spacing w:before="120"/>
        <w:ind w:left="1352" w:right="0" w:firstLine="0"/>
        <w:jc w:val="both"/>
        <w:rPr>
          <w:sz w:val="24"/>
        </w:rPr>
      </w:pPr>
      <w:r>
        <w:rPr>
          <w:sz w:val="24"/>
        </w:rPr>
        <w:t>Has the meaning given in the </w:t>
      </w:r>
      <w:r>
        <w:rPr>
          <w:i/>
          <w:sz w:val="24"/>
        </w:rPr>
        <w:t>National Electricity Law</w:t>
      </w:r>
      <w:r>
        <w:rPr>
          <w:sz w:val="24"/>
        </w:rPr>
        <w:t>.</w:t>
      </w:r>
    </w:p>
    <w:p>
      <w:pPr>
        <w:spacing w:after="0"/>
        <w:jc w:val="both"/>
        <w:rPr>
          <w:sz w:val="24"/>
        </w:rPr>
        <w:sectPr>
          <w:pgSz w:w="11910" w:h="16840"/>
          <w:pgMar w:header="686" w:footer="637" w:top="1320" w:bottom="820" w:left="1200" w:right="1000"/>
        </w:sectPr>
      </w:pPr>
    </w:p>
    <w:p>
      <w:pPr>
        <w:pStyle w:val="Heading5"/>
        <w:jc w:val="left"/>
        <w:rPr>
          <w:i/>
        </w:rPr>
      </w:pPr>
      <w:r>
        <w:rPr>
          <w:i/>
        </w:rPr>
        <w:t>generated</w:t>
      </w:r>
    </w:p>
    <w:p>
      <w:pPr>
        <w:pStyle w:val="BodyText"/>
        <w:spacing w:before="0"/>
        <w:ind w:firstLine="0"/>
        <w:jc w:val="left"/>
        <w:rPr>
          <w:b/>
          <w:i/>
          <w:sz w:val="26"/>
        </w:rPr>
      </w:pPr>
      <w:r>
        <w:rPr/>
        <w:br w:type="column"/>
      </w:r>
      <w:r>
        <w:rPr>
          <w:b/>
          <w:i/>
          <w:sz w:val="26"/>
        </w:rPr>
      </w:r>
    </w:p>
    <w:p>
      <w:pPr>
        <w:pStyle w:val="BodyText"/>
        <w:spacing w:before="217"/>
        <w:ind w:left="120" w:firstLine="0"/>
        <w:jc w:val="left"/>
      </w:pPr>
      <w:r>
        <w:rPr/>
        <w:t>In relation to a </w:t>
      </w:r>
      <w:r>
        <w:rPr>
          <w:i/>
        </w:rPr>
        <w:t>generating unit</w:t>
      </w:r>
      <w:r>
        <w:rPr/>
        <w:t>, the amount of electricity produced by the</w:t>
      </w:r>
    </w:p>
    <w:p>
      <w:pPr>
        <w:spacing w:before="0"/>
        <w:ind w:left="120" w:right="0" w:firstLine="0"/>
        <w:jc w:val="left"/>
        <w:rPr>
          <w:sz w:val="24"/>
        </w:rPr>
      </w:pPr>
      <w:r>
        <w:rPr>
          <w:i/>
          <w:sz w:val="24"/>
        </w:rPr>
        <w:t>generating unit </w:t>
      </w:r>
      <w:r>
        <w:rPr>
          <w:sz w:val="24"/>
        </w:rPr>
        <w:t>as measured at its terminals.</w:t>
      </w:r>
    </w:p>
    <w:p>
      <w:pPr>
        <w:spacing w:after="0"/>
        <w:jc w:val="left"/>
        <w:rPr>
          <w:sz w:val="24"/>
        </w:rPr>
        <w:sectPr>
          <w:type w:val="continuous"/>
          <w:pgSz w:w="11910" w:h="16840"/>
          <w:pgMar w:top="1360" w:bottom="280" w:left="1200" w:right="1000"/>
          <w:cols w:num="2" w:equalWidth="0">
            <w:col w:w="1192" w:space="40"/>
            <w:col w:w="8478"/>
          </w:cols>
        </w:sectPr>
      </w:pPr>
    </w:p>
    <w:p>
      <w:pPr>
        <w:pStyle w:val="Heading5"/>
        <w:rPr>
          <w:i/>
        </w:rPr>
      </w:pPr>
      <w:r>
        <w:rPr>
          <w:i/>
        </w:rPr>
        <w:t>generating plant</w:t>
      </w:r>
    </w:p>
    <w:p>
      <w:pPr>
        <w:spacing w:before="120"/>
        <w:ind w:left="1352" w:right="415" w:firstLine="0"/>
        <w:jc w:val="both"/>
        <w:rPr>
          <w:sz w:val="24"/>
        </w:rPr>
      </w:pPr>
      <w:r>
        <w:rPr>
          <w:sz w:val="24"/>
        </w:rPr>
        <w:t>In relation to a </w:t>
      </w:r>
      <w:r>
        <w:rPr>
          <w:i/>
          <w:sz w:val="24"/>
        </w:rPr>
        <w:t>connection point</w:t>
      </w:r>
      <w:r>
        <w:rPr>
          <w:sz w:val="24"/>
        </w:rPr>
        <w:t>, includes all equipment involved in generating electrical </w:t>
      </w:r>
      <w:r>
        <w:rPr>
          <w:i/>
          <w:sz w:val="24"/>
        </w:rPr>
        <w:t>energy</w:t>
      </w:r>
      <w:r>
        <w:rPr>
          <w:sz w:val="24"/>
        </w:rPr>
        <w:t>.</w:t>
      </w:r>
    </w:p>
    <w:p>
      <w:pPr>
        <w:pStyle w:val="Heading5"/>
        <w:rPr>
          <w:i/>
        </w:rPr>
      </w:pPr>
      <w:r>
        <w:rPr>
          <w:i/>
        </w:rPr>
        <w:t>generating system</w:t>
      </w:r>
    </w:p>
    <w:p>
      <w:pPr>
        <w:pStyle w:val="ListParagraph"/>
        <w:numPr>
          <w:ilvl w:val="0"/>
          <w:numId w:val="742"/>
        </w:numPr>
        <w:tabs>
          <w:tab w:pos="1919" w:val="left" w:leader="none"/>
        </w:tabs>
        <w:spacing w:line="240" w:lineRule="auto" w:before="120" w:after="0"/>
        <w:ind w:left="1919" w:right="415" w:hanging="567"/>
        <w:jc w:val="both"/>
        <w:rPr>
          <w:sz w:val="24"/>
        </w:rPr>
      </w:pPr>
      <w:r>
        <w:rPr>
          <w:sz w:val="24"/>
        </w:rPr>
        <w:t>Subject to paragraph (b), for the purposes of the </w:t>
      </w:r>
      <w:r>
        <w:rPr>
          <w:i/>
          <w:sz w:val="24"/>
        </w:rPr>
        <w:t>Rules</w:t>
      </w:r>
      <w:r>
        <w:rPr>
          <w:sz w:val="24"/>
        </w:rPr>
        <w:t>, a system comprising one or more </w:t>
      </w:r>
      <w:r>
        <w:rPr>
          <w:i/>
          <w:sz w:val="24"/>
        </w:rPr>
        <w:t>generating</w:t>
      </w:r>
      <w:r>
        <w:rPr>
          <w:i/>
          <w:spacing w:val="-1"/>
          <w:sz w:val="24"/>
        </w:rPr>
        <w:t> </w:t>
      </w:r>
      <w:r>
        <w:rPr>
          <w:i/>
          <w:sz w:val="24"/>
        </w:rPr>
        <w:t>units</w:t>
      </w:r>
      <w:r>
        <w:rPr>
          <w:sz w:val="24"/>
        </w:rPr>
        <w:t>.</w:t>
      </w:r>
    </w:p>
    <w:p>
      <w:pPr>
        <w:pStyle w:val="ListParagraph"/>
        <w:numPr>
          <w:ilvl w:val="0"/>
          <w:numId w:val="742"/>
        </w:numPr>
        <w:tabs>
          <w:tab w:pos="1919" w:val="left" w:leader="none"/>
        </w:tabs>
        <w:spacing w:line="240" w:lineRule="auto" w:before="120" w:after="0"/>
        <w:ind w:left="1919" w:right="415" w:hanging="567"/>
        <w:jc w:val="both"/>
        <w:rPr>
          <w:sz w:val="24"/>
        </w:rPr>
      </w:pPr>
      <w:r>
        <w:rPr>
          <w:sz w:val="24"/>
        </w:rPr>
        <w:t>For the purposes of Chapter 5, a system comprising one or more </w:t>
      </w:r>
      <w:r>
        <w:rPr>
          <w:i/>
          <w:sz w:val="24"/>
        </w:rPr>
        <w:t>generating </w:t>
      </w:r>
      <w:r>
        <w:rPr>
          <w:i/>
          <w:sz w:val="24"/>
        </w:rPr>
        <w:t>units </w:t>
      </w:r>
      <w:r>
        <w:rPr>
          <w:sz w:val="24"/>
        </w:rPr>
        <w:t>and includes auxiliary or </w:t>
      </w:r>
      <w:r>
        <w:rPr>
          <w:i/>
          <w:sz w:val="24"/>
        </w:rPr>
        <w:t>reactive plant </w:t>
      </w:r>
      <w:r>
        <w:rPr>
          <w:sz w:val="24"/>
        </w:rPr>
        <w:t>that is located on the </w:t>
      </w:r>
      <w:r>
        <w:rPr>
          <w:i/>
          <w:sz w:val="24"/>
        </w:rPr>
        <w:t>Generator’s </w:t>
      </w:r>
      <w:r>
        <w:rPr>
          <w:sz w:val="24"/>
        </w:rPr>
        <w:t>side of the </w:t>
      </w:r>
      <w:r>
        <w:rPr>
          <w:i/>
          <w:sz w:val="24"/>
        </w:rPr>
        <w:t>connection point </w:t>
      </w:r>
      <w:r>
        <w:rPr>
          <w:sz w:val="24"/>
        </w:rPr>
        <w:t>and is necessary for the </w:t>
      </w:r>
      <w:r>
        <w:rPr>
          <w:i/>
          <w:sz w:val="24"/>
        </w:rPr>
        <w:t>generating </w:t>
      </w:r>
      <w:r>
        <w:rPr>
          <w:i/>
          <w:sz w:val="24"/>
        </w:rPr>
        <w:t>system </w:t>
      </w:r>
      <w:r>
        <w:rPr>
          <w:sz w:val="24"/>
        </w:rPr>
        <w:t>to meet its </w:t>
      </w:r>
      <w:r>
        <w:rPr>
          <w:i/>
          <w:sz w:val="24"/>
        </w:rPr>
        <w:t>performance</w:t>
      </w:r>
      <w:r>
        <w:rPr>
          <w:i/>
          <w:spacing w:val="-2"/>
          <w:sz w:val="24"/>
        </w:rPr>
        <w:t> </w:t>
      </w:r>
      <w:r>
        <w:rPr>
          <w:i/>
          <w:sz w:val="24"/>
        </w:rPr>
        <w:t>obligations</w:t>
      </w:r>
      <w:r>
        <w:rPr>
          <w:sz w:val="24"/>
        </w:rPr>
        <w:t>.</w:t>
      </w:r>
    </w:p>
    <w:p>
      <w:pPr>
        <w:pStyle w:val="Heading5"/>
        <w:jc w:val="left"/>
        <w:rPr>
          <w:i/>
        </w:rPr>
      </w:pPr>
      <w:r>
        <w:rPr>
          <w:i/>
        </w:rPr>
        <w:t>generating unit</w:t>
      </w:r>
    </w:p>
    <w:p>
      <w:pPr>
        <w:pStyle w:val="BodyText"/>
        <w:ind w:left="1352" w:right="415" w:firstLine="0"/>
        <w:jc w:val="left"/>
      </w:pPr>
      <w:r>
        <w:rPr/>
        <w:t>The plant used in the production of electricity and all related equipment essential to its functioning as a single entity.</w:t>
      </w:r>
    </w:p>
    <w:p>
      <w:pPr>
        <w:spacing w:after="0"/>
        <w:jc w:val="left"/>
        <w:sectPr>
          <w:type w:val="continuous"/>
          <w:pgSz w:w="11910" w:h="16840"/>
          <w:pgMar w:top="1360" w:bottom="280" w:left="1200" w:right="1000"/>
        </w:sectPr>
      </w:pPr>
    </w:p>
    <w:p>
      <w:pPr>
        <w:pStyle w:val="Heading5"/>
        <w:spacing w:before="83"/>
        <w:rPr>
          <w:i/>
        </w:rPr>
      </w:pPr>
      <w:r>
        <w:rPr>
          <w:i/>
        </w:rPr>
        <w:t>generating unit minimum ramp rate requirement</w:t>
      </w:r>
    </w:p>
    <w:p>
      <w:pPr>
        <w:pStyle w:val="ListParagraph"/>
        <w:numPr>
          <w:ilvl w:val="0"/>
          <w:numId w:val="743"/>
        </w:numPr>
        <w:tabs>
          <w:tab w:pos="1919" w:val="left" w:leader="none"/>
        </w:tabs>
        <w:spacing w:line="240" w:lineRule="auto" w:before="120" w:after="0"/>
        <w:ind w:left="1919" w:right="415" w:hanging="567"/>
        <w:jc w:val="both"/>
        <w:rPr>
          <w:sz w:val="24"/>
        </w:rPr>
      </w:pPr>
      <w:r>
        <w:rPr>
          <w:sz w:val="24"/>
        </w:rPr>
        <w:t>in relation to a </w:t>
      </w:r>
      <w:r>
        <w:rPr>
          <w:i/>
          <w:sz w:val="24"/>
        </w:rPr>
        <w:t>generating unit </w:t>
      </w:r>
      <w:r>
        <w:rPr>
          <w:sz w:val="24"/>
        </w:rPr>
        <w:t>that has not been aggregated in accordance with clause 3.8.3, the lower of 3MW/minute or 3% of the maximum </w:t>
      </w:r>
      <w:r>
        <w:rPr>
          <w:i/>
          <w:sz w:val="24"/>
        </w:rPr>
        <w:t>generation </w:t>
      </w:r>
      <w:r>
        <w:rPr>
          <w:sz w:val="24"/>
        </w:rPr>
        <w:t>provided in accordance with clause 3.13.3(b);</w:t>
      </w:r>
      <w:r>
        <w:rPr>
          <w:spacing w:val="-4"/>
          <w:sz w:val="24"/>
        </w:rPr>
        <w:t> </w:t>
      </w:r>
      <w:r>
        <w:rPr>
          <w:sz w:val="24"/>
        </w:rPr>
        <w:t>or</w:t>
      </w:r>
    </w:p>
    <w:p>
      <w:pPr>
        <w:pStyle w:val="ListParagraph"/>
        <w:numPr>
          <w:ilvl w:val="0"/>
          <w:numId w:val="743"/>
        </w:numPr>
        <w:tabs>
          <w:tab w:pos="1919" w:val="left" w:leader="none"/>
        </w:tabs>
        <w:spacing w:line="240" w:lineRule="auto" w:before="120" w:after="0"/>
        <w:ind w:left="1919" w:right="415" w:hanging="567"/>
        <w:jc w:val="both"/>
        <w:rPr>
          <w:sz w:val="24"/>
        </w:rPr>
      </w:pPr>
      <w:r>
        <w:rPr>
          <w:sz w:val="24"/>
        </w:rPr>
        <w:t>in relation to a </w:t>
      </w:r>
      <w:r>
        <w:rPr>
          <w:i/>
          <w:sz w:val="24"/>
        </w:rPr>
        <w:t>generating unit </w:t>
      </w:r>
      <w:r>
        <w:rPr>
          <w:sz w:val="24"/>
        </w:rPr>
        <w:t>that has been aggregated in accordance with clause 3.8.3, the lower of 3 MW/minute or 3% of the maximum </w:t>
      </w:r>
      <w:r>
        <w:rPr>
          <w:i/>
          <w:sz w:val="24"/>
        </w:rPr>
        <w:t>generation </w:t>
      </w:r>
      <w:r>
        <w:rPr>
          <w:sz w:val="24"/>
        </w:rPr>
        <w:t>provided in accordance with clause</w:t>
      </w:r>
      <w:r>
        <w:rPr>
          <w:spacing w:val="-1"/>
          <w:sz w:val="24"/>
        </w:rPr>
        <w:t> </w:t>
      </w:r>
      <w:r>
        <w:rPr>
          <w:sz w:val="24"/>
        </w:rPr>
        <w:t>3.13.3(b1),</w:t>
      </w:r>
    </w:p>
    <w:p>
      <w:pPr>
        <w:pStyle w:val="BodyText"/>
        <w:ind w:left="1919" w:right="415" w:firstLine="0"/>
      </w:pPr>
      <w:r>
        <w:rPr/>
        <w:t>expressed as MW/minute rounded down to the nearest whole number except where this would result in the nearest whole number being zero, in which case the generating unit minimum ramp rate requirement is 1 MW/minute.</w:t>
      </w:r>
    </w:p>
    <w:p>
      <w:pPr>
        <w:spacing w:after="0"/>
        <w:sectPr>
          <w:pgSz w:w="11910" w:h="16840"/>
          <w:pgMar w:header="686" w:footer="637" w:top="1320" w:bottom="820" w:left="1200" w:right="1000"/>
        </w:sectPr>
      </w:pPr>
    </w:p>
    <w:p>
      <w:pPr>
        <w:pStyle w:val="Heading5"/>
        <w:jc w:val="left"/>
        <w:rPr>
          <w:i/>
        </w:rPr>
      </w:pPr>
      <w:r>
        <w:rPr>
          <w:i/>
        </w:rPr>
        <w:t>generation</w:t>
      </w:r>
    </w:p>
    <w:p>
      <w:pPr>
        <w:pStyle w:val="BodyText"/>
        <w:spacing w:before="0"/>
        <w:ind w:firstLine="0"/>
        <w:jc w:val="left"/>
        <w:rPr>
          <w:b/>
          <w:i/>
          <w:sz w:val="26"/>
        </w:rPr>
      </w:pPr>
      <w:r>
        <w:rPr/>
        <w:br w:type="column"/>
      </w:r>
      <w:r>
        <w:rPr>
          <w:b/>
          <w:i/>
          <w:sz w:val="26"/>
        </w:rPr>
      </w:r>
    </w:p>
    <w:p>
      <w:pPr>
        <w:pStyle w:val="BodyText"/>
        <w:spacing w:before="217"/>
        <w:ind w:left="27" w:firstLine="0"/>
        <w:jc w:val="left"/>
      </w:pPr>
      <w:r>
        <w:rPr/>
        <w:t>The production of electrical power by converting another form of energy in a</w:t>
      </w:r>
    </w:p>
    <w:p>
      <w:pPr>
        <w:spacing w:before="0"/>
        <w:ind w:left="27" w:right="0" w:firstLine="0"/>
        <w:jc w:val="left"/>
        <w:rPr>
          <w:sz w:val="24"/>
        </w:rPr>
      </w:pPr>
      <w:r>
        <w:rPr>
          <w:i/>
          <w:sz w:val="24"/>
        </w:rPr>
        <w:t>generating unit</w:t>
      </w:r>
      <w:r>
        <w:rPr>
          <w:sz w:val="24"/>
        </w:rPr>
        <w:t>.</w:t>
      </w:r>
    </w:p>
    <w:p>
      <w:pPr>
        <w:spacing w:after="0"/>
        <w:jc w:val="left"/>
        <w:rPr>
          <w:sz w:val="24"/>
        </w:rPr>
        <w:sectPr>
          <w:type w:val="continuous"/>
          <w:pgSz w:w="11910" w:h="16840"/>
          <w:pgMar w:top="1360" w:bottom="280" w:left="1200" w:right="1000"/>
          <w:cols w:num="2" w:equalWidth="0">
            <w:col w:w="1285" w:space="40"/>
            <w:col w:w="8385"/>
          </w:cols>
        </w:sectPr>
      </w:pPr>
    </w:p>
    <w:p>
      <w:pPr>
        <w:pStyle w:val="Heading5"/>
        <w:rPr>
          <w:i/>
        </w:rPr>
      </w:pPr>
      <w:r>
        <w:rPr>
          <w:i/>
        </w:rPr>
        <w:t>generation centre</w:t>
      </w:r>
    </w:p>
    <w:p>
      <w:pPr>
        <w:spacing w:before="120"/>
        <w:ind w:left="1352" w:right="416" w:firstLine="0"/>
        <w:jc w:val="both"/>
        <w:rPr>
          <w:sz w:val="24"/>
        </w:rPr>
      </w:pPr>
      <w:r>
        <w:rPr>
          <w:sz w:val="24"/>
        </w:rPr>
        <w:t>A geographically concentrated area containing a </w:t>
      </w:r>
      <w:r>
        <w:rPr>
          <w:i/>
          <w:sz w:val="24"/>
        </w:rPr>
        <w:t>generating unit </w:t>
      </w:r>
      <w:r>
        <w:rPr>
          <w:sz w:val="24"/>
        </w:rPr>
        <w:t>or </w:t>
      </w:r>
      <w:r>
        <w:rPr>
          <w:i/>
          <w:sz w:val="24"/>
        </w:rPr>
        <w:t>generating </w:t>
      </w:r>
      <w:r>
        <w:rPr>
          <w:i/>
          <w:sz w:val="24"/>
        </w:rPr>
        <w:t>units </w:t>
      </w:r>
      <w:r>
        <w:rPr>
          <w:sz w:val="24"/>
        </w:rPr>
        <w:t>with significant combined generating capability.</w:t>
      </w:r>
    </w:p>
    <w:p>
      <w:pPr>
        <w:pStyle w:val="Heading5"/>
        <w:rPr>
          <w:i/>
        </w:rPr>
      </w:pPr>
      <w:r>
        <w:rPr>
          <w:i/>
        </w:rPr>
        <w:t>generation dispatch offer</w:t>
      </w:r>
    </w:p>
    <w:p>
      <w:pPr>
        <w:spacing w:before="120"/>
        <w:ind w:left="1352" w:right="416" w:firstLine="0"/>
        <w:jc w:val="both"/>
        <w:rPr>
          <w:sz w:val="24"/>
        </w:rPr>
      </w:pPr>
      <w:r>
        <w:rPr>
          <w:sz w:val="24"/>
        </w:rPr>
        <w:t>A notice submitted by a </w:t>
      </w:r>
      <w:r>
        <w:rPr>
          <w:i/>
          <w:sz w:val="24"/>
        </w:rPr>
        <w:t>Scheduled Generator </w:t>
      </w:r>
      <w:r>
        <w:rPr>
          <w:sz w:val="24"/>
        </w:rPr>
        <w:t>or </w:t>
      </w:r>
      <w:r>
        <w:rPr>
          <w:i/>
          <w:sz w:val="24"/>
        </w:rPr>
        <w:t>Semi-Scheduled Generator </w:t>
      </w:r>
      <w:r>
        <w:rPr>
          <w:sz w:val="24"/>
        </w:rPr>
        <w:t>to </w:t>
      </w:r>
      <w:r>
        <w:rPr>
          <w:i/>
          <w:sz w:val="24"/>
        </w:rPr>
        <w:t>AEMO </w:t>
      </w:r>
      <w:r>
        <w:rPr>
          <w:sz w:val="24"/>
        </w:rPr>
        <w:t>relating to the </w:t>
      </w:r>
      <w:r>
        <w:rPr>
          <w:i/>
          <w:sz w:val="24"/>
        </w:rPr>
        <w:t>dispatch </w:t>
      </w:r>
      <w:r>
        <w:rPr>
          <w:sz w:val="24"/>
        </w:rPr>
        <w:t>of a </w:t>
      </w:r>
      <w:r>
        <w:rPr>
          <w:i/>
          <w:sz w:val="24"/>
        </w:rPr>
        <w:t>scheduled generating unit </w:t>
      </w:r>
      <w:r>
        <w:rPr>
          <w:sz w:val="24"/>
        </w:rPr>
        <w:t>or a </w:t>
      </w:r>
      <w:r>
        <w:rPr>
          <w:i/>
          <w:sz w:val="24"/>
        </w:rPr>
        <w:t>semi-scheduled </w:t>
      </w:r>
      <w:r>
        <w:rPr>
          <w:i/>
          <w:sz w:val="24"/>
        </w:rPr>
        <w:t>generating unit </w:t>
      </w:r>
      <w:r>
        <w:rPr>
          <w:sz w:val="24"/>
        </w:rPr>
        <w:t>in accordance with clause 3.8.6.</w:t>
      </w:r>
    </w:p>
    <w:p>
      <w:pPr>
        <w:pStyle w:val="Heading5"/>
        <w:rPr>
          <w:i/>
        </w:rPr>
      </w:pPr>
      <w:r>
        <w:rPr>
          <w:i/>
        </w:rPr>
        <w:t>generation shedding</w:t>
      </w:r>
    </w:p>
    <w:p>
      <w:pPr>
        <w:spacing w:before="120"/>
        <w:ind w:left="1352" w:right="416" w:firstLine="0"/>
        <w:jc w:val="both"/>
        <w:rPr>
          <w:sz w:val="24"/>
        </w:rPr>
      </w:pPr>
      <w:r>
        <w:rPr>
          <w:i/>
          <w:sz w:val="24"/>
        </w:rPr>
        <w:t>Disconnecting</w:t>
      </w:r>
      <w:r>
        <w:rPr>
          <w:sz w:val="24"/>
        </w:rPr>
        <w:t>, or reducing the transfer of </w:t>
      </w:r>
      <w:r>
        <w:rPr>
          <w:i/>
          <w:sz w:val="24"/>
        </w:rPr>
        <w:t>active power </w:t>
      </w:r>
      <w:r>
        <w:rPr>
          <w:sz w:val="24"/>
        </w:rPr>
        <w:t>to the </w:t>
      </w:r>
      <w:r>
        <w:rPr>
          <w:i/>
          <w:sz w:val="24"/>
        </w:rPr>
        <w:t>power system </w:t>
      </w:r>
      <w:r>
        <w:rPr>
          <w:sz w:val="24"/>
        </w:rPr>
        <w:t>from, one or more </w:t>
      </w:r>
      <w:r>
        <w:rPr>
          <w:i/>
          <w:sz w:val="24"/>
        </w:rPr>
        <w:t>generating systems </w:t>
      </w:r>
      <w:r>
        <w:rPr>
          <w:sz w:val="24"/>
        </w:rPr>
        <w:t>or </w:t>
      </w:r>
      <w:r>
        <w:rPr>
          <w:i/>
          <w:sz w:val="24"/>
        </w:rPr>
        <w:t>generating units</w:t>
      </w:r>
      <w:r>
        <w:rPr>
          <w:sz w:val="24"/>
        </w:rPr>
        <w:t>.</w:t>
      </w:r>
    </w:p>
    <w:p>
      <w:pPr>
        <w:spacing w:after="0"/>
        <w:jc w:val="both"/>
        <w:rPr>
          <w:sz w:val="24"/>
        </w:rPr>
        <w:sectPr>
          <w:type w:val="continuous"/>
          <w:pgSz w:w="11910" w:h="16840"/>
          <w:pgMar w:top="1360" w:bottom="280" w:left="1200" w:right="1000"/>
        </w:sectPr>
      </w:pPr>
    </w:p>
    <w:p>
      <w:pPr>
        <w:pStyle w:val="Heading5"/>
        <w:jc w:val="left"/>
        <w:rPr>
          <w:i/>
        </w:rPr>
      </w:pPr>
      <w:r>
        <w:rPr>
          <w:i/>
          <w:spacing w:val="-1"/>
        </w:rPr>
        <w:t>Generator</w:t>
      </w:r>
    </w:p>
    <w:p>
      <w:pPr>
        <w:pStyle w:val="BodyText"/>
        <w:spacing w:before="0"/>
        <w:ind w:firstLine="0"/>
        <w:jc w:val="left"/>
        <w:rPr>
          <w:b/>
          <w:i/>
          <w:sz w:val="26"/>
        </w:rPr>
      </w:pPr>
      <w:r>
        <w:rPr/>
        <w:br w:type="column"/>
      </w:r>
      <w:r>
        <w:rPr>
          <w:b/>
          <w:i/>
          <w:sz w:val="26"/>
        </w:rPr>
      </w:r>
    </w:p>
    <w:p>
      <w:pPr>
        <w:pStyle w:val="BodyText"/>
        <w:spacing w:before="217"/>
        <w:ind w:left="81" w:firstLine="0"/>
      </w:pPr>
      <w:r>
        <w:rPr/>
        <w:t>A person who:</w:t>
      </w:r>
    </w:p>
    <w:p>
      <w:pPr>
        <w:pStyle w:val="ListParagraph"/>
        <w:numPr>
          <w:ilvl w:val="0"/>
          <w:numId w:val="744"/>
        </w:numPr>
        <w:tabs>
          <w:tab w:pos="649" w:val="left" w:leader="none"/>
        </w:tabs>
        <w:spacing w:line="240" w:lineRule="auto" w:before="120" w:after="0"/>
        <w:ind w:left="648" w:right="415" w:hanging="567"/>
        <w:jc w:val="both"/>
        <w:rPr>
          <w:sz w:val="24"/>
        </w:rPr>
      </w:pPr>
      <w:r>
        <w:rPr>
          <w:sz w:val="24"/>
        </w:rPr>
        <w:t>engages in the activity of owning, controlling or operating a </w:t>
      </w:r>
      <w:r>
        <w:rPr>
          <w:i/>
          <w:spacing w:val="-3"/>
          <w:sz w:val="24"/>
        </w:rPr>
        <w:t>generating </w:t>
      </w:r>
      <w:r>
        <w:rPr>
          <w:i/>
          <w:sz w:val="24"/>
        </w:rPr>
        <w:t>system </w:t>
      </w:r>
      <w:r>
        <w:rPr>
          <w:sz w:val="24"/>
        </w:rPr>
        <w:t>that is </w:t>
      </w:r>
      <w:r>
        <w:rPr>
          <w:i/>
          <w:sz w:val="24"/>
        </w:rPr>
        <w:t>connected </w:t>
      </w:r>
      <w:r>
        <w:rPr>
          <w:sz w:val="24"/>
        </w:rPr>
        <w:t>to, or who otherwise </w:t>
      </w:r>
      <w:r>
        <w:rPr>
          <w:i/>
          <w:sz w:val="24"/>
        </w:rPr>
        <w:t>supplies </w:t>
      </w:r>
      <w:r>
        <w:rPr>
          <w:sz w:val="24"/>
        </w:rPr>
        <w:t>electricity to, a </w:t>
      </w:r>
      <w:r>
        <w:rPr>
          <w:i/>
          <w:sz w:val="24"/>
        </w:rPr>
        <w:t>transmission </w:t>
      </w:r>
      <w:r>
        <w:rPr>
          <w:sz w:val="24"/>
        </w:rPr>
        <w:t>or </w:t>
      </w:r>
      <w:r>
        <w:rPr>
          <w:i/>
          <w:sz w:val="24"/>
        </w:rPr>
        <w:t>distribution system</w:t>
      </w:r>
      <w:r>
        <w:rPr>
          <w:sz w:val="24"/>
        </w:rPr>
        <w:t>;</w:t>
      </w:r>
      <w:r>
        <w:rPr>
          <w:spacing w:val="-1"/>
          <w:sz w:val="24"/>
        </w:rPr>
        <w:t> </w:t>
      </w:r>
      <w:r>
        <w:rPr>
          <w:sz w:val="24"/>
        </w:rPr>
        <w:t>and</w:t>
      </w:r>
    </w:p>
    <w:p>
      <w:pPr>
        <w:pStyle w:val="ListParagraph"/>
        <w:numPr>
          <w:ilvl w:val="0"/>
          <w:numId w:val="744"/>
        </w:numPr>
        <w:tabs>
          <w:tab w:pos="649" w:val="left" w:leader="none"/>
        </w:tabs>
        <w:spacing w:line="240" w:lineRule="auto" w:before="120" w:after="0"/>
        <w:ind w:left="648" w:right="0" w:hanging="568"/>
        <w:jc w:val="both"/>
        <w:rPr>
          <w:i/>
          <w:sz w:val="24"/>
        </w:rPr>
      </w:pPr>
      <w:r>
        <w:rPr>
          <w:sz w:val="24"/>
        </w:rPr>
        <w:t>is</w:t>
      </w:r>
      <w:r>
        <w:rPr>
          <w:spacing w:val="17"/>
          <w:sz w:val="24"/>
        </w:rPr>
        <w:t> </w:t>
      </w:r>
      <w:r>
        <w:rPr>
          <w:sz w:val="24"/>
        </w:rPr>
        <w:t>a</w:t>
      </w:r>
      <w:r>
        <w:rPr>
          <w:spacing w:val="17"/>
          <w:sz w:val="24"/>
        </w:rPr>
        <w:t> </w:t>
      </w:r>
      <w:r>
        <w:rPr>
          <w:i/>
          <w:sz w:val="24"/>
        </w:rPr>
        <w:t>Registered</w:t>
      </w:r>
      <w:r>
        <w:rPr>
          <w:i/>
          <w:spacing w:val="18"/>
          <w:sz w:val="24"/>
        </w:rPr>
        <w:t> </w:t>
      </w:r>
      <w:r>
        <w:rPr>
          <w:i/>
          <w:sz w:val="24"/>
        </w:rPr>
        <w:t>Participant</w:t>
      </w:r>
      <w:r>
        <w:rPr>
          <w:i/>
          <w:spacing w:val="17"/>
          <w:sz w:val="24"/>
        </w:rPr>
        <w:t> </w:t>
      </w:r>
      <w:r>
        <w:rPr>
          <w:sz w:val="24"/>
        </w:rPr>
        <w:t>who,</w:t>
      </w:r>
      <w:r>
        <w:rPr>
          <w:spacing w:val="17"/>
          <w:sz w:val="24"/>
        </w:rPr>
        <w:t> </w:t>
      </w:r>
      <w:r>
        <w:rPr>
          <w:sz w:val="24"/>
        </w:rPr>
        <w:t>under</w:t>
      </w:r>
      <w:r>
        <w:rPr>
          <w:spacing w:val="18"/>
          <w:sz w:val="24"/>
        </w:rPr>
        <w:t> </w:t>
      </w:r>
      <w:r>
        <w:rPr>
          <w:sz w:val="24"/>
        </w:rPr>
        <w:t>Part</w:t>
      </w:r>
      <w:r>
        <w:rPr>
          <w:spacing w:val="16"/>
          <w:sz w:val="24"/>
        </w:rPr>
        <w:t> </w:t>
      </w:r>
      <w:r>
        <w:rPr>
          <w:sz w:val="24"/>
        </w:rPr>
        <w:t>3</w:t>
      </w:r>
      <w:r>
        <w:rPr>
          <w:spacing w:val="18"/>
          <w:sz w:val="24"/>
        </w:rPr>
        <w:t> </w:t>
      </w:r>
      <w:r>
        <w:rPr>
          <w:sz w:val="24"/>
        </w:rPr>
        <w:t>of</w:t>
      </w:r>
      <w:r>
        <w:rPr>
          <w:spacing w:val="17"/>
          <w:sz w:val="24"/>
        </w:rPr>
        <w:t> </w:t>
      </w:r>
      <w:r>
        <w:rPr>
          <w:sz w:val="24"/>
        </w:rPr>
        <w:t>the</w:t>
      </w:r>
      <w:r>
        <w:rPr>
          <w:spacing w:val="17"/>
          <w:sz w:val="24"/>
        </w:rPr>
        <w:t> </w:t>
      </w:r>
      <w:r>
        <w:rPr>
          <w:i/>
          <w:sz w:val="24"/>
        </w:rPr>
        <w:t>Electricity</w:t>
      </w:r>
      <w:r>
        <w:rPr>
          <w:i/>
          <w:spacing w:val="18"/>
          <w:sz w:val="24"/>
        </w:rPr>
        <w:t> </w:t>
      </w:r>
      <w:r>
        <w:rPr>
          <w:i/>
          <w:sz w:val="24"/>
        </w:rPr>
        <w:t>Reform</w:t>
      </w:r>
      <w:r>
        <w:rPr>
          <w:i/>
          <w:spacing w:val="17"/>
          <w:sz w:val="24"/>
        </w:rPr>
        <w:t> </w:t>
      </w:r>
      <w:r>
        <w:rPr>
          <w:i/>
          <w:sz w:val="24"/>
        </w:rPr>
        <w:t>Act</w:t>
      </w:r>
    </w:p>
    <w:p>
      <w:pPr>
        <w:pStyle w:val="BodyText"/>
        <w:spacing w:before="0"/>
        <w:ind w:left="648" w:firstLine="0"/>
      </w:pPr>
      <w:r>
        <w:rPr/>
        <w:t>2000 (NT), holds a licence authorising the generation of electricity.</w:t>
      </w:r>
    </w:p>
    <w:p>
      <w:pPr>
        <w:pStyle w:val="BodyText"/>
        <w:ind w:left="81" w:firstLine="0"/>
        <w:jc w:val="left"/>
      </w:pPr>
      <w:r>
        <w:rPr/>
        <w:t>For the purposes of Chapter 5, the term includes a person who:</w:t>
      </w:r>
    </w:p>
    <w:p>
      <w:pPr>
        <w:pStyle w:val="ListParagraph"/>
        <w:numPr>
          <w:ilvl w:val="0"/>
          <w:numId w:val="745"/>
        </w:numPr>
        <w:tabs>
          <w:tab w:pos="648" w:val="left" w:leader="none"/>
          <w:tab w:pos="649" w:val="left" w:leader="none"/>
        </w:tabs>
        <w:spacing w:line="240" w:lineRule="auto" w:before="120" w:after="0"/>
        <w:ind w:left="648" w:right="414" w:hanging="567"/>
        <w:jc w:val="left"/>
        <w:rPr>
          <w:sz w:val="24"/>
        </w:rPr>
      </w:pPr>
      <w:r>
        <w:rPr>
          <w:sz w:val="24"/>
        </w:rPr>
        <w:t>is required or intends to hold a licence authorising the </w:t>
      </w:r>
      <w:r>
        <w:rPr>
          <w:i/>
          <w:sz w:val="24"/>
        </w:rPr>
        <w:t>generation </w:t>
      </w:r>
      <w:r>
        <w:rPr>
          <w:sz w:val="24"/>
        </w:rPr>
        <w:t>of electricity;</w:t>
      </w:r>
    </w:p>
    <w:p>
      <w:pPr>
        <w:pStyle w:val="ListParagraph"/>
        <w:numPr>
          <w:ilvl w:val="0"/>
          <w:numId w:val="745"/>
        </w:numPr>
        <w:tabs>
          <w:tab w:pos="648" w:val="left" w:leader="none"/>
          <w:tab w:pos="649" w:val="left" w:leader="none"/>
        </w:tabs>
        <w:spacing w:line="240" w:lineRule="auto" w:before="120" w:after="0"/>
        <w:ind w:left="648" w:right="0" w:hanging="568"/>
        <w:jc w:val="left"/>
        <w:rPr>
          <w:sz w:val="24"/>
        </w:rPr>
      </w:pPr>
      <w:r>
        <w:rPr>
          <w:sz w:val="24"/>
        </w:rPr>
        <w:t>is</w:t>
      </w:r>
      <w:r>
        <w:rPr>
          <w:spacing w:val="22"/>
          <w:sz w:val="24"/>
        </w:rPr>
        <w:t> </w:t>
      </w:r>
      <w:r>
        <w:rPr>
          <w:sz w:val="24"/>
        </w:rPr>
        <w:t>covered</w:t>
      </w:r>
      <w:r>
        <w:rPr>
          <w:spacing w:val="23"/>
          <w:sz w:val="24"/>
        </w:rPr>
        <w:t> </w:t>
      </w:r>
      <w:r>
        <w:rPr>
          <w:sz w:val="24"/>
        </w:rPr>
        <w:t>by</w:t>
      </w:r>
      <w:r>
        <w:rPr>
          <w:spacing w:val="23"/>
          <w:sz w:val="24"/>
        </w:rPr>
        <w:t> </w:t>
      </w:r>
      <w:r>
        <w:rPr>
          <w:sz w:val="24"/>
        </w:rPr>
        <w:t>an</w:t>
      </w:r>
      <w:r>
        <w:rPr>
          <w:spacing w:val="23"/>
          <w:sz w:val="24"/>
        </w:rPr>
        <w:t> </w:t>
      </w:r>
      <w:r>
        <w:rPr>
          <w:sz w:val="24"/>
        </w:rPr>
        <w:t>exemption</w:t>
      </w:r>
      <w:r>
        <w:rPr>
          <w:spacing w:val="23"/>
          <w:sz w:val="24"/>
        </w:rPr>
        <w:t> </w:t>
      </w:r>
      <w:r>
        <w:rPr>
          <w:sz w:val="24"/>
        </w:rPr>
        <w:t>from</w:t>
      </w:r>
      <w:r>
        <w:rPr>
          <w:spacing w:val="22"/>
          <w:sz w:val="24"/>
        </w:rPr>
        <w:t> </w:t>
      </w:r>
      <w:r>
        <w:rPr>
          <w:sz w:val="24"/>
        </w:rPr>
        <w:t>the</w:t>
      </w:r>
      <w:r>
        <w:rPr>
          <w:spacing w:val="22"/>
          <w:sz w:val="24"/>
        </w:rPr>
        <w:t> </w:t>
      </w:r>
      <w:r>
        <w:rPr>
          <w:sz w:val="24"/>
        </w:rPr>
        <w:t>requirement</w:t>
      </w:r>
      <w:r>
        <w:rPr>
          <w:spacing w:val="23"/>
          <w:sz w:val="24"/>
        </w:rPr>
        <w:t> </w:t>
      </w:r>
      <w:r>
        <w:rPr>
          <w:sz w:val="24"/>
        </w:rPr>
        <w:t>to</w:t>
      </w:r>
      <w:r>
        <w:rPr>
          <w:spacing w:val="23"/>
          <w:sz w:val="24"/>
        </w:rPr>
        <w:t> </w:t>
      </w:r>
      <w:r>
        <w:rPr>
          <w:sz w:val="24"/>
        </w:rPr>
        <w:t>hold</w:t>
      </w:r>
      <w:r>
        <w:rPr>
          <w:spacing w:val="22"/>
          <w:sz w:val="24"/>
        </w:rPr>
        <w:t> </w:t>
      </w:r>
      <w:r>
        <w:rPr>
          <w:sz w:val="24"/>
        </w:rPr>
        <w:t>a</w:t>
      </w:r>
      <w:r>
        <w:rPr>
          <w:spacing w:val="23"/>
          <w:sz w:val="24"/>
        </w:rPr>
        <w:t> </w:t>
      </w:r>
      <w:r>
        <w:rPr>
          <w:sz w:val="24"/>
        </w:rPr>
        <w:t>licence</w:t>
      </w:r>
      <w:r>
        <w:rPr>
          <w:spacing w:val="23"/>
          <w:sz w:val="24"/>
        </w:rPr>
        <w:t> </w:t>
      </w:r>
      <w:r>
        <w:rPr>
          <w:sz w:val="24"/>
        </w:rPr>
        <w:t>for</w:t>
      </w:r>
      <w:r>
        <w:rPr>
          <w:spacing w:val="22"/>
          <w:sz w:val="24"/>
        </w:rPr>
        <w:t> </w:t>
      </w:r>
      <w:r>
        <w:rPr>
          <w:sz w:val="24"/>
        </w:rPr>
        <w:t>the</w:t>
      </w:r>
    </w:p>
    <w:p>
      <w:pPr>
        <w:spacing w:before="0"/>
        <w:ind w:left="648" w:right="0" w:firstLine="0"/>
        <w:jc w:val="left"/>
        <w:rPr>
          <w:sz w:val="24"/>
        </w:rPr>
      </w:pPr>
      <w:r>
        <w:rPr>
          <w:i/>
          <w:sz w:val="24"/>
        </w:rPr>
        <w:t>generation </w:t>
      </w:r>
      <w:r>
        <w:rPr>
          <w:sz w:val="24"/>
        </w:rPr>
        <w:t>of electricity;</w:t>
      </w:r>
    </w:p>
    <w:p>
      <w:pPr>
        <w:pStyle w:val="ListParagraph"/>
        <w:numPr>
          <w:ilvl w:val="0"/>
          <w:numId w:val="745"/>
        </w:numPr>
        <w:tabs>
          <w:tab w:pos="648" w:val="left" w:leader="none"/>
          <w:tab w:pos="649" w:val="left" w:leader="none"/>
        </w:tabs>
        <w:spacing w:line="240" w:lineRule="auto" w:before="120" w:after="0"/>
        <w:ind w:left="648" w:right="416" w:hanging="567"/>
        <w:jc w:val="left"/>
        <w:rPr>
          <w:sz w:val="24"/>
        </w:rPr>
      </w:pPr>
      <w:r>
        <w:rPr>
          <w:sz w:val="24"/>
        </w:rPr>
        <w:t>is a non-registered embedded generator (as defined in clause 5A.A.1) who has made an election under clause 5A.A.2(c);</w:t>
      </w:r>
      <w:r>
        <w:rPr>
          <w:spacing w:val="-1"/>
          <w:sz w:val="24"/>
        </w:rPr>
        <w:t> </w:t>
      </w:r>
      <w:r>
        <w:rPr>
          <w:sz w:val="24"/>
        </w:rPr>
        <w:t>or</w:t>
      </w:r>
    </w:p>
    <w:p>
      <w:pPr>
        <w:pStyle w:val="ListParagraph"/>
        <w:numPr>
          <w:ilvl w:val="0"/>
          <w:numId w:val="745"/>
        </w:numPr>
        <w:tabs>
          <w:tab w:pos="648" w:val="left" w:leader="none"/>
          <w:tab w:pos="649" w:val="left" w:leader="none"/>
        </w:tabs>
        <w:spacing w:line="240" w:lineRule="auto" w:before="120" w:after="0"/>
        <w:ind w:left="648" w:right="415" w:hanging="567"/>
        <w:jc w:val="left"/>
        <w:rPr>
          <w:sz w:val="24"/>
        </w:rPr>
      </w:pPr>
      <w:r>
        <w:rPr>
          <w:sz w:val="24"/>
        </w:rPr>
        <w:t>is a non-registered embedded generator (as defined in clause 5A.A.1) above the relevant materiality threshold (as defined in Chapter</w:t>
      </w:r>
      <w:r>
        <w:rPr>
          <w:spacing w:val="-1"/>
          <w:sz w:val="24"/>
        </w:rPr>
        <w:t> </w:t>
      </w:r>
      <w:r>
        <w:rPr>
          <w:sz w:val="24"/>
        </w:rPr>
        <w:t>5).</w:t>
      </w:r>
    </w:p>
    <w:p>
      <w:pPr>
        <w:spacing w:after="0" w:line="240" w:lineRule="auto"/>
        <w:jc w:val="left"/>
        <w:rPr>
          <w:sz w:val="24"/>
        </w:rPr>
        <w:sectPr>
          <w:type w:val="continuous"/>
          <w:pgSz w:w="11910" w:h="16840"/>
          <w:pgMar w:top="1360" w:bottom="280" w:left="1200" w:right="1000"/>
          <w:cols w:num="2" w:equalWidth="0">
            <w:col w:w="1231" w:space="40"/>
            <w:col w:w="8439"/>
          </w:cols>
        </w:sectPr>
      </w:pPr>
    </w:p>
    <w:p>
      <w:pPr>
        <w:pStyle w:val="Heading5"/>
        <w:spacing w:before="83"/>
        <w:rPr>
          <w:i/>
        </w:rPr>
      </w:pPr>
      <w:r>
        <w:rPr>
          <w:i/>
        </w:rPr>
        <w:t>Generator Energy Limitation Framework (GELF)</w:t>
      </w:r>
    </w:p>
    <w:p>
      <w:pPr>
        <w:spacing w:before="120"/>
        <w:ind w:left="1352" w:right="415" w:firstLine="0"/>
        <w:jc w:val="both"/>
        <w:rPr>
          <w:sz w:val="24"/>
        </w:rPr>
      </w:pPr>
      <w:r>
        <w:rPr>
          <w:sz w:val="24"/>
        </w:rPr>
        <w:t>A description of the </w:t>
      </w:r>
      <w:r>
        <w:rPr>
          <w:i/>
          <w:sz w:val="24"/>
        </w:rPr>
        <w:t>energy constraints </w:t>
      </w:r>
      <w:r>
        <w:rPr>
          <w:sz w:val="24"/>
        </w:rPr>
        <w:t>that affect the ability of a </w:t>
      </w:r>
      <w:r>
        <w:rPr>
          <w:i/>
          <w:sz w:val="24"/>
        </w:rPr>
        <w:t>scheduled </w:t>
      </w:r>
      <w:r>
        <w:rPr>
          <w:i/>
          <w:sz w:val="24"/>
        </w:rPr>
        <w:t>generating unit </w:t>
      </w:r>
      <w:r>
        <w:rPr>
          <w:sz w:val="24"/>
        </w:rPr>
        <w:t>to generate electricity prepared in accordance with the </w:t>
      </w:r>
      <w:r>
        <w:rPr>
          <w:i/>
          <w:sz w:val="24"/>
        </w:rPr>
        <w:t>EAAP </w:t>
      </w:r>
      <w:r>
        <w:rPr>
          <w:i/>
          <w:sz w:val="24"/>
        </w:rPr>
        <w:t>guidelines</w:t>
      </w:r>
      <w:r>
        <w:rPr>
          <w:sz w:val="24"/>
        </w:rPr>
        <w:t>.</w:t>
      </w:r>
    </w:p>
    <w:p>
      <w:pPr>
        <w:pStyle w:val="Heading5"/>
        <w:rPr>
          <w:i/>
        </w:rPr>
      </w:pPr>
      <w:r>
        <w:rPr>
          <w:i/>
        </w:rPr>
        <w:t>Generator transmission use of system, Generator transmission use of system service</w:t>
      </w:r>
    </w:p>
    <w:p>
      <w:pPr>
        <w:spacing w:before="120"/>
        <w:ind w:left="1352" w:right="0" w:firstLine="0"/>
        <w:jc w:val="both"/>
        <w:rPr>
          <w:sz w:val="24"/>
        </w:rPr>
      </w:pPr>
      <w:r>
        <w:rPr>
          <w:sz w:val="24"/>
        </w:rPr>
        <w:t>A service provided to a </w:t>
      </w:r>
      <w:r>
        <w:rPr>
          <w:i/>
          <w:sz w:val="24"/>
        </w:rPr>
        <w:t>Generator </w:t>
      </w:r>
      <w:r>
        <w:rPr>
          <w:sz w:val="24"/>
        </w:rPr>
        <w:t>for:</w:t>
      </w:r>
    </w:p>
    <w:p>
      <w:pPr>
        <w:pStyle w:val="Heading4"/>
        <w:numPr>
          <w:ilvl w:val="1"/>
          <w:numId w:val="745"/>
        </w:numPr>
        <w:tabs>
          <w:tab w:pos="1980" w:val="left" w:leader="none"/>
        </w:tabs>
        <w:spacing w:line="240" w:lineRule="auto" w:before="120" w:after="0"/>
        <w:ind w:left="1979" w:right="0" w:hanging="628"/>
        <w:jc w:val="both"/>
        <w:rPr>
          <w:rFonts w:ascii="Times New Roman"/>
        </w:rPr>
      </w:pPr>
      <w:r>
        <w:rPr>
          <w:rFonts w:ascii="Times New Roman"/>
        </w:rPr>
        <w:t>[Deleted]</w:t>
      </w:r>
    </w:p>
    <w:p>
      <w:pPr>
        <w:pStyle w:val="ListParagraph"/>
        <w:numPr>
          <w:ilvl w:val="1"/>
          <w:numId w:val="745"/>
        </w:numPr>
        <w:tabs>
          <w:tab w:pos="1919" w:val="left" w:leader="none"/>
        </w:tabs>
        <w:spacing w:line="240" w:lineRule="auto" w:before="120" w:after="0"/>
        <w:ind w:left="1919" w:right="413" w:hanging="567"/>
        <w:jc w:val="both"/>
        <w:rPr>
          <w:sz w:val="24"/>
        </w:rPr>
      </w:pPr>
      <w:r>
        <w:rPr>
          <w:sz w:val="24"/>
        </w:rPr>
        <w:t>use of a </w:t>
      </w:r>
      <w:r>
        <w:rPr>
          <w:i/>
          <w:sz w:val="24"/>
        </w:rPr>
        <w:t>transmission investment </w:t>
      </w:r>
      <w:r>
        <w:rPr>
          <w:sz w:val="24"/>
        </w:rPr>
        <w:t>for the conveyance of electricity that can be reasonably allocated to a </w:t>
      </w:r>
      <w:r>
        <w:rPr>
          <w:i/>
          <w:sz w:val="24"/>
        </w:rPr>
        <w:t>Generator </w:t>
      </w:r>
      <w:r>
        <w:rPr>
          <w:sz w:val="24"/>
        </w:rPr>
        <w:t>on a locational</w:t>
      </w:r>
      <w:r>
        <w:rPr>
          <w:spacing w:val="-4"/>
          <w:sz w:val="24"/>
        </w:rPr>
        <w:t> </w:t>
      </w:r>
      <w:r>
        <w:rPr>
          <w:sz w:val="24"/>
        </w:rPr>
        <w:t>basis.</w:t>
      </w:r>
    </w:p>
    <w:p>
      <w:pPr>
        <w:pStyle w:val="Heading5"/>
        <w:rPr>
          <w:i/>
        </w:rPr>
      </w:pPr>
      <w:r>
        <w:rPr>
          <w:i/>
        </w:rPr>
        <w:t>global market ancillary service requirement</w:t>
      </w:r>
    </w:p>
    <w:p>
      <w:pPr>
        <w:pStyle w:val="BodyText"/>
        <w:ind w:left="1352" w:firstLine="0"/>
      </w:pPr>
      <w:r>
        <w:rPr/>
        <w:t>Has the meaning given to it by clause 3.8.1(e2).</w:t>
      </w:r>
    </w:p>
    <w:p>
      <w:pPr>
        <w:pStyle w:val="Heading5"/>
        <w:rPr>
          <w:i/>
        </w:rPr>
      </w:pPr>
      <w:r>
        <w:rPr>
          <w:i/>
        </w:rPr>
        <w:t>good electricity industry practice</w:t>
      </w:r>
    </w:p>
    <w:p>
      <w:pPr>
        <w:spacing w:before="120"/>
        <w:ind w:left="1352" w:right="415" w:firstLine="0"/>
        <w:jc w:val="both"/>
        <w:rPr>
          <w:sz w:val="24"/>
        </w:rPr>
      </w:pPr>
      <w:r>
        <w:rPr>
          <w:sz w:val="24"/>
        </w:rPr>
        <w:t>The exercise of that degree of skill, diligence, prudence and foresight that reasonably would be expected from a significant proportion of operators of </w:t>
      </w:r>
      <w:r>
        <w:rPr>
          <w:i/>
          <w:sz w:val="24"/>
        </w:rPr>
        <w:t>facilities </w:t>
      </w:r>
      <w:r>
        <w:rPr>
          <w:sz w:val="24"/>
        </w:rPr>
        <w:t>forming part of the </w:t>
      </w:r>
      <w:r>
        <w:rPr>
          <w:i/>
          <w:sz w:val="24"/>
        </w:rPr>
        <w:t>power system </w:t>
      </w:r>
      <w:r>
        <w:rPr>
          <w:sz w:val="24"/>
        </w:rPr>
        <w:t>for the </w:t>
      </w:r>
      <w:r>
        <w:rPr>
          <w:i/>
          <w:sz w:val="24"/>
        </w:rPr>
        <w:t>generation</w:t>
      </w:r>
      <w:r>
        <w:rPr>
          <w:sz w:val="24"/>
        </w:rPr>
        <w:t>, </w:t>
      </w:r>
      <w:r>
        <w:rPr>
          <w:i/>
          <w:sz w:val="24"/>
        </w:rPr>
        <w:t>transmission </w:t>
      </w:r>
      <w:r>
        <w:rPr>
          <w:sz w:val="24"/>
        </w:rPr>
        <w:t>or </w:t>
      </w:r>
      <w:r>
        <w:rPr>
          <w:i/>
          <w:sz w:val="24"/>
        </w:rPr>
        <w:t>supply </w:t>
      </w:r>
      <w:r>
        <w:rPr>
          <w:sz w:val="24"/>
        </w:rPr>
        <w:t>of electricity under conditions comparable to those applicable to the relevant </w:t>
      </w:r>
      <w:r>
        <w:rPr>
          <w:i/>
          <w:sz w:val="24"/>
        </w:rPr>
        <w:t>facility </w:t>
      </w:r>
      <w:r>
        <w:rPr>
          <w:sz w:val="24"/>
        </w:rPr>
        <w:t>consistent with </w:t>
      </w:r>
      <w:r>
        <w:rPr>
          <w:i/>
          <w:sz w:val="24"/>
        </w:rPr>
        <w:t>applicable regulatory instruments</w:t>
      </w:r>
      <w:r>
        <w:rPr>
          <w:sz w:val="24"/>
        </w:rPr>
        <w:t>, </w:t>
      </w:r>
      <w:r>
        <w:rPr>
          <w:i/>
          <w:sz w:val="24"/>
        </w:rPr>
        <w:t>reliability</w:t>
      </w:r>
      <w:r>
        <w:rPr>
          <w:sz w:val="24"/>
        </w:rPr>
        <w:t>, safety and environmental protection. The determination of comparable conditions is to take into account factors such as the relative size, duty, age and technological status of the relevant </w:t>
      </w:r>
      <w:r>
        <w:rPr>
          <w:i/>
          <w:sz w:val="24"/>
        </w:rPr>
        <w:t>facility </w:t>
      </w:r>
      <w:r>
        <w:rPr>
          <w:sz w:val="24"/>
        </w:rPr>
        <w:t>and the </w:t>
      </w:r>
      <w:r>
        <w:rPr>
          <w:i/>
          <w:sz w:val="24"/>
        </w:rPr>
        <w:t>applicable regulatory instruments</w:t>
      </w:r>
      <w:r>
        <w:rPr>
          <w:sz w:val="24"/>
        </w:rPr>
        <w:t>.</w:t>
      </w:r>
    </w:p>
    <w:p>
      <w:pPr>
        <w:pStyle w:val="Heading5"/>
        <w:rPr>
          <w:i/>
        </w:rPr>
      </w:pPr>
      <w:r>
        <w:rPr>
          <w:i/>
        </w:rPr>
        <w:t>high voltage (HV)</w:t>
      </w:r>
    </w:p>
    <w:p>
      <w:pPr>
        <w:spacing w:before="120"/>
        <w:ind w:left="1352" w:right="0" w:firstLine="0"/>
        <w:jc w:val="both"/>
        <w:rPr>
          <w:sz w:val="24"/>
        </w:rPr>
      </w:pPr>
      <w:r>
        <w:rPr>
          <w:sz w:val="24"/>
        </w:rPr>
        <w:t>A </w:t>
      </w:r>
      <w:r>
        <w:rPr>
          <w:i/>
          <w:sz w:val="24"/>
        </w:rPr>
        <w:t>voltage </w:t>
      </w:r>
      <w:r>
        <w:rPr>
          <w:sz w:val="24"/>
        </w:rPr>
        <w:t>greater than 1 kV.</w:t>
      </w:r>
    </w:p>
    <w:p>
      <w:pPr>
        <w:pStyle w:val="Heading5"/>
        <w:rPr>
          <w:i/>
        </w:rPr>
      </w:pPr>
      <w:r>
        <w:rPr>
          <w:i/>
        </w:rPr>
        <w:t>identified need</w:t>
      </w:r>
    </w:p>
    <w:p>
      <w:pPr>
        <w:spacing w:before="120"/>
        <w:ind w:left="1352" w:right="414" w:firstLine="0"/>
        <w:jc w:val="both"/>
        <w:rPr>
          <w:sz w:val="24"/>
        </w:rPr>
      </w:pPr>
      <w:r>
        <w:rPr>
          <w:sz w:val="24"/>
        </w:rPr>
        <w:t>The objective a </w:t>
      </w:r>
      <w:r>
        <w:rPr>
          <w:i/>
          <w:sz w:val="24"/>
        </w:rPr>
        <w:t>Network Service Provider </w:t>
      </w:r>
      <w:r>
        <w:rPr>
          <w:sz w:val="24"/>
        </w:rPr>
        <w:t>(or in the case of a need identified through joint planning under clause 5.14.1(d)(3) or clause 5.14.2(a) or clause 5.14.3(a), a group of </w:t>
      </w:r>
      <w:r>
        <w:rPr>
          <w:i/>
          <w:sz w:val="24"/>
        </w:rPr>
        <w:t>Network Service Providers</w:t>
      </w:r>
      <w:r>
        <w:rPr>
          <w:sz w:val="24"/>
        </w:rPr>
        <w:t>) seeks to achieve by investing in the </w:t>
      </w:r>
      <w:r>
        <w:rPr>
          <w:i/>
          <w:sz w:val="24"/>
        </w:rPr>
        <w:t>network</w:t>
      </w:r>
      <w:r>
        <w:rPr>
          <w:sz w:val="24"/>
        </w:rPr>
        <w:t>.</w:t>
      </w:r>
    </w:p>
    <w:p>
      <w:pPr>
        <w:pStyle w:val="Heading5"/>
        <w:rPr>
          <w:i/>
        </w:rPr>
      </w:pPr>
      <w:r>
        <w:rPr>
          <w:i/>
        </w:rPr>
        <w:t>identified user group</w:t>
      </w:r>
    </w:p>
    <w:p>
      <w:pPr>
        <w:spacing w:before="120"/>
        <w:ind w:left="1352" w:right="415" w:firstLine="0"/>
        <w:jc w:val="both"/>
        <w:rPr>
          <w:i/>
          <w:sz w:val="24"/>
        </w:rPr>
      </w:pPr>
      <w:r>
        <w:rPr>
          <w:sz w:val="24"/>
        </w:rPr>
        <w:t>One or more persons (other than a </w:t>
      </w:r>
      <w:r>
        <w:rPr>
          <w:i/>
          <w:sz w:val="24"/>
        </w:rPr>
        <w:t>Network Service Provider </w:t>
      </w:r>
      <w:r>
        <w:rPr>
          <w:sz w:val="24"/>
        </w:rPr>
        <w:t>who is not a </w:t>
      </w:r>
      <w:r>
        <w:rPr>
          <w:i/>
          <w:sz w:val="24"/>
        </w:rPr>
        <w:t>Market </w:t>
      </w:r>
      <w:r>
        <w:rPr>
          <w:i/>
          <w:sz w:val="24"/>
        </w:rPr>
        <w:t>Network Service Provider</w:t>
      </w:r>
      <w:r>
        <w:rPr>
          <w:sz w:val="24"/>
        </w:rPr>
        <w:t>) who, from time to time, are </w:t>
      </w:r>
      <w:r>
        <w:rPr>
          <w:i/>
          <w:sz w:val="24"/>
        </w:rPr>
        <w:t>connected </w:t>
      </w:r>
      <w:r>
        <w:rPr>
          <w:sz w:val="24"/>
        </w:rPr>
        <w:t>to a </w:t>
      </w:r>
      <w:r>
        <w:rPr>
          <w:i/>
          <w:sz w:val="24"/>
        </w:rPr>
        <w:t>transmission network </w:t>
      </w:r>
      <w:r>
        <w:rPr>
          <w:sz w:val="24"/>
        </w:rPr>
        <w:t>at the same single </w:t>
      </w:r>
      <w:r>
        <w:rPr>
          <w:i/>
          <w:sz w:val="24"/>
        </w:rPr>
        <w:t>connection</w:t>
      </w:r>
      <w:r>
        <w:rPr>
          <w:i/>
          <w:spacing w:val="-4"/>
          <w:sz w:val="24"/>
        </w:rPr>
        <w:t> </w:t>
      </w:r>
      <w:r>
        <w:rPr>
          <w:i/>
          <w:sz w:val="24"/>
        </w:rPr>
        <w:t>point.</w:t>
      </w:r>
    </w:p>
    <w:p>
      <w:pPr>
        <w:pStyle w:val="Heading5"/>
        <w:rPr>
          <w:i/>
        </w:rPr>
      </w:pPr>
      <w:r>
        <w:rPr>
          <w:i/>
        </w:rPr>
        <w:t>identified user shared asset</w:t>
      </w:r>
    </w:p>
    <w:p>
      <w:pPr>
        <w:pStyle w:val="BodyText"/>
        <w:ind w:left="1352" w:firstLine="0"/>
        <w:jc w:val="left"/>
      </w:pPr>
      <w:r>
        <w:rPr/>
        <w:t>The apparatus, equipment, plant and buildings that:</w:t>
      </w:r>
    </w:p>
    <w:p>
      <w:pPr>
        <w:pStyle w:val="ListParagraph"/>
        <w:numPr>
          <w:ilvl w:val="0"/>
          <w:numId w:val="746"/>
        </w:numPr>
        <w:tabs>
          <w:tab w:pos="1918" w:val="left" w:leader="none"/>
          <w:tab w:pos="1919" w:val="left" w:leader="none"/>
        </w:tabs>
        <w:spacing w:line="240" w:lineRule="auto" w:before="120" w:after="0"/>
        <w:ind w:left="1919" w:right="415" w:hanging="567"/>
        <w:jc w:val="left"/>
        <w:rPr>
          <w:sz w:val="24"/>
        </w:rPr>
      </w:pPr>
      <w:r>
        <w:rPr>
          <w:sz w:val="24"/>
        </w:rPr>
        <w:t>are used for the purpose of </w:t>
      </w:r>
      <w:r>
        <w:rPr>
          <w:i/>
          <w:sz w:val="24"/>
        </w:rPr>
        <w:t>connecting </w:t>
      </w:r>
      <w:r>
        <w:rPr>
          <w:sz w:val="24"/>
        </w:rPr>
        <w:t>one or more </w:t>
      </w:r>
      <w:r>
        <w:rPr>
          <w:i/>
          <w:sz w:val="24"/>
        </w:rPr>
        <w:t>identified user groups </w:t>
      </w:r>
      <w:r>
        <w:rPr>
          <w:sz w:val="24"/>
        </w:rPr>
        <w:t>to an existing </w:t>
      </w:r>
      <w:r>
        <w:rPr>
          <w:i/>
          <w:sz w:val="24"/>
        </w:rPr>
        <w:t>transmission</w:t>
      </w:r>
      <w:r>
        <w:rPr>
          <w:i/>
          <w:spacing w:val="-2"/>
          <w:sz w:val="24"/>
        </w:rPr>
        <w:t> </w:t>
      </w:r>
      <w:r>
        <w:rPr>
          <w:i/>
          <w:sz w:val="24"/>
        </w:rPr>
        <w:t>network</w:t>
      </w:r>
      <w:r>
        <w:rPr>
          <w:sz w:val="24"/>
        </w:rPr>
        <w:t>;</w:t>
      </w:r>
    </w:p>
    <w:p>
      <w:pPr>
        <w:pStyle w:val="ListParagraph"/>
        <w:numPr>
          <w:ilvl w:val="0"/>
          <w:numId w:val="746"/>
        </w:numPr>
        <w:tabs>
          <w:tab w:pos="1918" w:val="left" w:leader="none"/>
          <w:tab w:pos="1919" w:val="left" w:leader="none"/>
        </w:tabs>
        <w:spacing w:line="240" w:lineRule="auto" w:before="120" w:after="0"/>
        <w:ind w:left="1918" w:right="0" w:hanging="567"/>
        <w:jc w:val="left"/>
        <w:rPr>
          <w:sz w:val="24"/>
        </w:rPr>
      </w:pPr>
      <w:r>
        <w:rPr>
          <w:sz w:val="24"/>
        </w:rPr>
        <w:t>are not used exclusively by the relevant </w:t>
      </w:r>
      <w:r>
        <w:rPr>
          <w:i/>
          <w:sz w:val="24"/>
        </w:rPr>
        <w:t>identified user</w:t>
      </w:r>
      <w:r>
        <w:rPr>
          <w:i/>
          <w:spacing w:val="-1"/>
          <w:sz w:val="24"/>
        </w:rPr>
        <w:t> </w:t>
      </w:r>
      <w:r>
        <w:rPr>
          <w:i/>
          <w:sz w:val="24"/>
        </w:rPr>
        <w:t>groups</w:t>
      </w:r>
      <w:r>
        <w:rPr>
          <w:sz w:val="24"/>
        </w:rPr>
        <w:t>;</w:t>
      </w:r>
    </w:p>
    <w:p>
      <w:pPr>
        <w:pStyle w:val="ListParagraph"/>
        <w:numPr>
          <w:ilvl w:val="0"/>
          <w:numId w:val="746"/>
        </w:numPr>
        <w:tabs>
          <w:tab w:pos="1919" w:val="left" w:leader="none"/>
        </w:tabs>
        <w:spacing w:line="240" w:lineRule="auto" w:before="120" w:after="0"/>
        <w:ind w:left="1919" w:right="414" w:hanging="567"/>
        <w:jc w:val="both"/>
        <w:rPr>
          <w:sz w:val="24"/>
        </w:rPr>
      </w:pPr>
      <w:r>
        <w:rPr>
          <w:sz w:val="24"/>
        </w:rPr>
        <w:t>under normal operating conditions, cannot be electrically isolated from the </w:t>
      </w:r>
      <w:r>
        <w:rPr>
          <w:i/>
          <w:sz w:val="24"/>
        </w:rPr>
        <w:t>transmission network </w:t>
      </w:r>
      <w:r>
        <w:rPr>
          <w:sz w:val="24"/>
        </w:rPr>
        <w:t>without affecting the provision of </w:t>
      </w:r>
      <w:r>
        <w:rPr>
          <w:i/>
          <w:sz w:val="24"/>
        </w:rPr>
        <w:t>shared transmission </w:t>
      </w:r>
      <w:r>
        <w:rPr>
          <w:i/>
          <w:sz w:val="24"/>
        </w:rPr>
        <w:t>services </w:t>
      </w:r>
      <w:r>
        <w:rPr>
          <w:sz w:val="24"/>
        </w:rPr>
        <w:t>to persons who are not members of the relevant </w:t>
      </w:r>
      <w:r>
        <w:rPr>
          <w:i/>
          <w:sz w:val="24"/>
        </w:rPr>
        <w:t>identified user </w:t>
      </w:r>
      <w:r>
        <w:rPr>
          <w:i/>
          <w:sz w:val="24"/>
        </w:rPr>
        <w:t>groups</w:t>
      </w:r>
      <w:r>
        <w:rPr>
          <w:sz w:val="24"/>
        </w:rPr>
        <w:t>; and</w:t>
      </w:r>
    </w:p>
    <w:p>
      <w:pPr>
        <w:pStyle w:val="ListParagraph"/>
        <w:numPr>
          <w:ilvl w:val="0"/>
          <w:numId w:val="746"/>
        </w:numPr>
        <w:tabs>
          <w:tab w:pos="1919" w:val="left" w:leader="none"/>
        </w:tabs>
        <w:spacing w:line="240" w:lineRule="auto" w:before="120" w:after="0"/>
        <w:ind w:left="1918" w:right="0" w:hanging="567"/>
        <w:jc w:val="both"/>
        <w:rPr>
          <w:sz w:val="24"/>
        </w:rPr>
      </w:pPr>
      <w:r>
        <w:rPr>
          <w:sz w:val="24"/>
        </w:rPr>
        <w:t>are not part of the </w:t>
      </w:r>
      <w:r>
        <w:rPr>
          <w:i/>
          <w:sz w:val="24"/>
        </w:rPr>
        <w:t>declared transmission system </w:t>
      </w:r>
      <w:r>
        <w:rPr>
          <w:sz w:val="24"/>
        </w:rPr>
        <w:t>of an </w:t>
      </w:r>
      <w:r>
        <w:rPr>
          <w:i/>
          <w:sz w:val="24"/>
        </w:rPr>
        <w:t>adoptive</w:t>
      </w:r>
      <w:r>
        <w:rPr>
          <w:i/>
          <w:spacing w:val="-6"/>
          <w:sz w:val="24"/>
        </w:rPr>
        <w:t> </w:t>
      </w:r>
      <w:r>
        <w:rPr>
          <w:i/>
          <w:sz w:val="24"/>
        </w:rPr>
        <w:t>jurisdiction</w:t>
      </w:r>
      <w:r>
        <w:rPr>
          <w:sz w:val="24"/>
        </w:rPr>
        <w:t>.</w:t>
      </w:r>
    </w:p>
    <w:p>
      <w:pPr>
        <w:spacing w:after="0" w:line="240" w:lineRule="auto"/>
        <w:jc w:val="both"/>
        <w:rPr>
          <w:sz w:val="24"/>
        </w:rPr>
        <w:sectPr>
          <w:pgSz w:w="11910" w:h="16840"/>
          <w:pgMar w:header="686" w:footer="637" w:top="1320" w:bottom="820" w:left="1200" w:right="1000"/>
        </w:sectPr>
      </w:pPr>
    </w:p>
    <w:p>
      <w:pPr>
        <w:pStyle w:val="Heading5"/>
        <w:spacing w:before="83"/>
        <w:jc w:val="left"/>
        <w:rPr>
          <w:i/>
        </w:rPr>
      </w:pPr>
      <w:r>
        <w:rPr>
          <w:i/>
        </w:rPr>
        <w:t>Incoming Retailer</w:t>
      </w:r>
    </w:p>
    <w:p>
      <w:pPr>
        <w:spacing w:before="120"/>
        <w:ind w:left="1352" w:right="0" w:firstLine="0"/>
        <w:jc w:val="left"/>
        <w:rPr>
          <w:sz w:val="24"/>
        </w:rPr>
      </w:pPr>
      <w:r>
        <w:rPr>
          <w:sz w:val="24"/>
        </w:rPr>
        <w:t>A </w:t>
      </w:r>
      <w:r>
        <w:rPr>
          <w:i/>
          <w:sz w:val="24"/>
        </w:rPr>
        <w:t>retailer </w:t>
      </w:r>
      <w:r>
        <w:rPr>
          <w:sz w:val="24"/>
        </w:rPr>
        <w:t>that:</w:t>
      </w:r>
    </w:p>
    <w:p>
      <w:pPr>
        <w:pStyle w:val="ListParagraph"/>
        <w:numPr>
          <w:ilvl w:val="0"/>
          <w:numId w:val="747"/>
        </w:numPr>
        <w:tabs>
          <w:tab w:pos="1918" w:val="left" w:leader="none"/>
          <w:tab w:pos="1919" w:val="left" w:leader="none"/>
        </w:tabs>
        <w:spacing w:line="240" w:lineRule="auto" w:before="120" w:after="0"/>
        <w:ind w:left="1918" w:right="0" w:hanging="567"/>
        <w:jc w:val="left"/>
        <w:rPr>
          <w:sz w:val="24"/>
        </w:rPr>
      </w:pPr>
      <w:r>
        <w:rPr>
          <w:sz w:val="24"/>
        </w:rPr>
        <w:t>that has a contract with a customer at a </w:t>
      </w:r>
      <w:r>
        <w:rPr>
          <w:i/>
          <w:sz w:val="24"/>
        </w:rPr>
        <w:t>connection point</w:t>
      </w:r>
      <w:r>
        <w:rPr>
          <w:sz w:val="24"/>
        </w:rPr>
        <w:t>;</w:t>
      </w:r>
      <w:r>
        <w:rPr>
          <w:spacing w:val="-4"/>
          <w:sz w:val="24"/>
        </w:rPr>
        <w:t> </w:t>
      </w:r>
      <w:r>
        <w:rPr>
          <w:sz w:val="24"/>
        </w:rPr>
        <w:t>and</w:t>
      </w:r>
    </w:p>
    <w:p>
      <w:pPr>
        <w:pStyle w:val="ListParagraph"/>
        <w:numPr>
          <w:ilvl w:val="0"/>
          <w:numId w:val="747"/>
        </w:numPr>
        <w:tabs>
          <w:tab w:pos="1918" w:val="left" w:leader="none"/>
          <w:tab w:pos="1919" w:val="left" w:leader="none"/>
        </w:tabs>
        <w:spacing w:line="240" w:lineRule="auto" w:before="120" w:after="0"/>
        <w:ind w:left="1919" w:right="414" w:hanging="567"/>
        <w:jc w:val="left"/>
        <w:rPr>
          <w:sz w:val="24"/>
        </w:rPr>
      </w:pPr>
      <w:r>
        <w:rPr>
          <w:sz w:val="24"/>
        </w:rPr>
        <w:t>has initiated the customer transfer process in accordance with the </w:t>
      </w:r>
      <w:r>
        <w:rPr>
          <w:i/>
          <w:sz w:val="24"/>
        </w:rPr>
        <w:t>electricity </w:t>
      </w:r>
      <w:r>
        <w:rPr>
          <w:i/>
          <w:sz w:val="24"/>
        </w:rPr>
        <w:t>retail supply</w:t>
      </w:r>
      <w:r>
        <w:rPr>
          <w:i/>
          <w:spacing w:val="-2"/>
          <w:sz w:val="24"/>
        </w:rPr>
        <w:t> </w:t>
      </w:r>
      <w:r>
        <w:rPr>
          <w:i/>
          <w:sz w:val="24"/>
        </w:rPr>
        <w:t>code</w:t>
      </w:r>
      <w:r>
        <w:rPr>
          <w:sz w:val="24"/>
        </w:rPr>
        <w:t>,</w:t>
      </w:r>
    </w:p>
    <w:p>
      <w:pPr>
        <w:spacing w:before="120"/>
        <w:ind w:left="1352" w:right="0" w:firstLine="0"/>
        <w:jc w:val="left"/>
        <w:rPr>
          <w:sz w:val="24"/>
        </w:rPr>
      </w:pPr>
      <w:r>
        <w:rPr>
          <w:sz w:val="24"/>
        </w:rPr>
        <w:t>but which is not yet designated the </w:t>
      </w:r>
      <w:r>
        <w:rPr>
          <w:i/>
          <w:sz w:val="24"/>
        </w:rPr>
        <w:t>financially responsible </w:t>
      </w:r>
      <w:r>
        <w:rPr>
          <w:sz w:val="24"/>
        </w:rPr>
        <w:t>participant for that</w:t>
      </w:r>
    </w:p>
    <w:p>
      <w:pPr>
        <w:spacing w:before="0"/>
        <w:ind w:left="1352" w:right="0" w:firstLine="0"/>
        <w:jc w:val="left"/>
        <w:rPr>
          <w:sz w:val="24"/>
        </w:rPr>
      </w:pPr>
      <w:r>
        <w:rPr>
          <w:i/>
          <w:sz w:val="24"/>
        </w:rPr>
        <w:t>connection point</w:t>
      </w:r>
      <w:r>
        <w:rPr>
          <w:sz w:val="24"/>
        </w:rPr>
        <w:t>.</w:t>
      </w:r>
    </w:p>
    <w:p>
      <w:pPr>
        <w:pStyle w:val="Heading5"/>
        <w:jc w:val="left"/>
        <w:rPr>
          <w:i/>
        </w:rPr>
      </w:pPr>
      <w:r>
        <w:rPr>
          <w:i/>
        </w:rPr>
        <w:t>Independent Engineer</w:t>
      </w:r>
    </w:p>
    <w:p>
      <w:pPr>
        <w:pStyle w:val="BodyText"/>
        <w:ind w:left="1352" w:firstLine="0"/>
        <w:jc w:val="left"/>
      </w:pPr>
      <w:r>
        <w:rPr/>
        <w:t>A person appointed under rule 5.4.</w:t>
      </w:r>
    </w:p>
    <w:p>
      <w:pPr>
        <w:pStyle w:val="Heading5"/>
        <w:jc w:val="left"/>
        <w:rPr>
          <w:i/>
        </w:rPr>
      </w:pPr>
      <w:r>
        <w:rPr>
          <w:i/>
        </w:rPr>
        <w:t>independent person</w:t>
      </w:r>
    </w:p>
    <w:p>
      <w:pPr>
        <w:pStyle w:val="BodyText"/>
        <w:ind w:left="1352" w:firstLine="0"/>
        <w:jc w:val="left"/>
      </w:pPr>
      <w:r>
        <w:rPr/>
        <w:t>A person who:</w:t>
      </w:r>
    </w:p>
    <w:p>
      <w:pPr>
        <w:pStyle w:val="ListParagraph"/>
        <w:numPr>
          <w:ilvl w:val="0"/>
          <w:numId w:val="748"/>
        </w:numPr>
        <w:tabs>
          <w:tab w:pos="1918" w:val="left" w:leader="none"/>
          <w:tab w:pos="1919" w:val="left" w:leader="none"/>
        </w:tabs>
        <w:spacing w:line="240" w:lineRule="auto" w:before="120" w:after="0"/>
        <w:ind w:left="1918" w:right="0" w:hanging="567"/>
        <w:jc w:val="left"/>
        <w:rPr>
          <w:sz w:val="24"/>
        </w:rPr>
      </w:pPr>
      <w:r>
        <w:rPr>
          <w:sz w:val="24"/>
        </w:rPr>
        <w:t>is not a member, employee or member of staff of the </w:t>
      </w:r>
      <w:r>
        <w:rPr>
          <w:i/>
          <w:sz w:val="24"/>
        </w:rPr>
        <w:t>AER </w:t>
      </w:r>
      <w:r>
        <w:rPr>
          <w:sz w:val="24"/>
        </w:rPr>
        <w:t>or the</w:t>
      </w:r>
      <w:r>
        <w:rPr>
          <w:spacing w:val="-6"/>
          <w:sz w:val="24"/>
        </w:rPr>
        <w:t> </w:t>
      </w:r>
      <w:r>
        <w:rPr>
          <w:i/>
          <w:sz w:val="24"/>
        </w:rPr>
        <w:t>AEMC</w:t>
      </w:r>
      <w:r>
        <w:rPr>
          <w:sz w:val="24"/>
        </w:rPr>
        <w:t>;</w:t>
      </w:r>
    </w:p>
    <w:p>
      <w:pPr>
        <w:pStyle w:val="ListParagraph"/>
        <w:numPr>
          <w:ilvl w:val="0"/>
          <w:numId w:val="748"/>
        </w:numPr>
        <w:tabs>
          <w:tab w:pos="1918" w:val="left" w:leader="none"/>
          <w:tab w:pos="1919" w:val="left" w:leader="none"/>
        </w:tabs>
        <w:spacing w:line="240" w:lineRule="auto" w:before="120" w:after="0"/>
        <w:ind w:left="1918" w:right="0" w:hanging="567"/>
        <w:jc w:val="left"/>
        <w:rPr>
          <w:sz w:val="24"/>
        </w:rPr>
      </w:pPr>
      <w:r>
        <w:rPr>
          <w:sz w:val="24"/>
        </w:rPr>
        <w:t>is not a director or employee of</w:t>
      </w:r>
      <w:r>
        <w:rPr>
          <w:spacing w:val="-2"/>
          <w:sz w:val="24"/>
        </w:rPr>
        <w:t> </w:t>
      </w:r>
      <w:r>
        <w:rPr>
          <w:i/>
          <w:sz w:val="24"/>
        </w:rPr>
        <w:t>AEMO</w:t>
      </w:r>
      <w:r>
        <w:rPr>
          <w:sz w:val="24"/>
        </w:rPr>
        <w:t>;</w:t>
      </w:r>
    </w:p>
    <w:p>
      <w:pPr>
        <w:pStyle w:val="ListParagraph"/>
        <w:numPr>
          <w:ilvl w:val="0"/>
          <w:numId w:val="748"/>
        </w:numPr>
        <w:tabs>
          <w:tab w:pos="1918" w:val="left" w:leader="none"/>
          <w:tab w:pos="1919" w:val="left" w:leader="none"/>
        </w:tabs>
        <w:spacing w:line="240" w:lineRule="auto" w:before="120" w:after="0"/>
        <w:ind w:left="1918" w:right="0" w:hanging="567"/>
        <w:jc w:val="left"/>
        <w:rPr>
          <w:sz w:val="24"/>
        </w:rPr>
      </w:pPr>
      <w:r>
        <w:rPr>
          <w:sz w:val="24"/>
        </w:rPr>
        <w:t>is not a director or employee of, or partner in, a </w:t>
      </w:r>
      <w:r>
        <w:rPr>
          <w:i/>
          <w:sz w:val="24"/>
        </w:rPr>
        <w:t>Registered</w:t>
      </w:r>
      <w:r>
        <w:rPr>
          <w:i/>
          <w:spacing w:val="-3"/>
          <w:sz w:val="24"/>
        </w:rPr>
        <w:t> </w:t>
      </w:r>
      <w:r>
        <w:rPr>
          <w:i/>
          <w:sz w:val="24"/>
        </w:rPr>
        <w:t>Participant</w:t>
      </w:r>
      <w:r>
        <w:rPr>
          <w:sz w:val="24"/>
        </w:rPr>
        <w:t>;</w:t>
      </w:r>
    </w:p>
    <w:p>
      <w:pPr>
        <w:pStyle w:val="ListParagraph"/>
        <w:numPr>
          <w:ilvl w:val="0"/>
          <w:numId w:val="748"/>
        </w:numPr>
        <w:tabs>
          <w:tab w:pos="1919" w:val="left" w:leader="none"/>
        </w:tabs>
        <w:spacing w:line="240" w:lineRule="auto" w:before="120" w:after="0"/>
        <w:ind w:left="1919" w:right="414" w:hanging="567"/>
        <w:jc w:val="both"/>
        <w:rPr>
          <w:sz w:val="24"/>
        </w:rPr>
      </w:pPr>
      <w:r>
        <w:rPr>
          <w:sz w:val="24"/>
        </w:rPr>
        <w:t>does not have a direct or indirect financial interest (whether as shareholder, partner or other equity participant) in any </w:t>
      </w:r>
      <w:r>
        <w:rPr>
          <w:i/>
          <w:sz w:val="24"/>
        </w:rPr>
        <w:t>Registered Participant </w:t>
      </w:r>
      <w:r>
        <w:rPr>
          <w:sz w:val="24"/>
        </w:rPr>
        <w:t>or a </w:t>
      </w:r>
      <w:r>
        <w:rPr>
          <w:i/>
          <w:sz w:val="24"/>
        </w:rPr>
        <w:t>related body corporate </w:t>
      </w:r>
      <w:r>
        <w:rPr>
          <w:sz w:val="24"/>
        </w:rPr>
        <w:t>of any </w:t>
      </w:r>
      <w:r>
        <w:rPr>
          <w:i/>
          <w:sz w:val="24"/>
        </w:rPr>
        <w:t>Registered Participant</w:t>
      </w:r>
      <w:r>
        <w:rPr>
          <w:sz w:val="24"/>
        </w:rPr>
        <w:t>, other than an interest of less than 0.1% of the net shareholders funds of that entity (as determined at the date the relevant person is appointed to carry out a function under the </w:t>
      </w:r>
      <w:r>
        <w:rPr>
          <w:i/>
          <w:sz w:val="24"/>
        </w:rPr>
        <w:t>Rules</w:t>
      </w:r>
      <w:r>
        <w:rPr>
          <w:sz w:val="24"/>
        </w:rPr>
        <w:t>); or</w:t>
      </w:r>
    </w:p>
    <w:p>
      <w:pPr>
        <w:pStyle w:val="ListParagraph"/>
        <w:numPr>
          <w:ilvl w:val="0"/>
          <w:numId w:val="748"/>
        </w:numPr>
        <w:tabs>
          <w:tab w:pos="1919" w:val="left" w:leader="none"/>
        </w:tabs>
        <w:spacing w:line="240" w:lineRule="auto" w:before="120" w:after="0"/>
        <w:ind w:left="1919" w:right="414" w:hanging="567"/>
        <w:jc w:val="both"/>
        <w:rPr>
          <w:sz w:val="24"/>
        </w:rPr>
      </w:pPr>
      <w:r>
        <w:rPr>
          <w:sz w:val="24"/>
        </w:rPr>
        <w:t>is not a director or employee of a </w:t>
      </w:r>
      <w:r>
        <w:rPr>
          <w:i/>
          <w:sz w:val="24"/>
        </w:rPr>
        <w:t>related body corporate </w:t>
      </w:r>
      <w:r>
        <w:rPr>
          <w:sz w:val="24"/>
        </w:rPr>
        <w:t>of any </w:t>
      </w:r>
      <w:r>
        <w:rPr>
          <w:i/>
          <w:sz w:val="24"/>
        </w:rPr>
        <w:t>Registered </w:t>
      </w:r>
      <w:r>
        <w:rPr>
          <w:i/>
          <w:sz w:val="24"/>
        </w:rPr>
        <w:t>Participant</w:t>
      </w:r>
      <w:r>
        <w:rPr>
          <w:sz w:val="24"/>
        </w:rPr>
        <w:t>.</w:t>
      </w:r>
    </w:p>
    <w:p>
      <w:pPr>
        <w:pStyle w:val="Heading5"/>
        <w:rPr>
          <w:i/>
        </w:rPr>
      </w:pPr>
      <w:r>
        <w:rPr>
          <w:i/>
        </w:rPr>
        <w:t>independently controllable two-terminal link</w:t>
      </w:r>
    </w:p>
    <w:p>
      <w:pPr>
        <w:spacing w:before="120"/>
        <w:ind w:left="1352" w:right="414" w:firstLine="0"/>
        <w:jc w:val="both"/>
        <w:rPr>
          <w:sz w:val="24"/>
        </w:rPr>
      </w:pPr>
      <w:r>
        <w:rPr>
          <w:sz w:val="24"/>
        </w:rPr>
        <w:t>A </w:t>
      </w:r>
      <w:r>
        <w:rPr>
          <w:i/>
          <w:sz w:val="24"/>
        </w:rPr>
        <w:t>two-terminal link </w:t>
      </w:r>
      <w:r>
        <w:rPr>
          <w:sz w:val="24"/>
        </w:rPr>
        <w:t>through which the </w:t>
      </w:r>
      <w:r>
        <w:rPr>
          <w:i/>
          <w:sz w:val="24"/>
        </w:rPr>
        <w:t>power transfer </w:t>
      </w:r>
      <w:r>
        <w:rPr>
          <w:sz w:val="24"/>
        </w:rPr>
        <w:t>can be independently controlled within a range determined by the </w:t>
      </w:r>
      <w:r>
        <w:rPr>
          <w:i/>
          <w:sz w:val="24"/>
        </w:rPr>
        <w:t>power transfer capability </w:t>
      </w:r>
      <w:r>
        <w:rPr>
          <w:sz w:val="24"/>
        </w:rPr>
        <w:t>of the </w:t>
      </w:r>
      <w:r>
        <w:rPr>
          <w:i/>
          <w:sz w:val="24"/>
        </w:rPr>
        <w:t>two- </w:t>
      </w:r>
      <w:r>
        <w:rPr>
          <w:i/>
          <w:sz w:val="24"/>
        </w:rPr>
        <w:t>terminal link </w:t>
      </w:r>
      <w:r>
        <w:rPr>
          <w:sz w:val="24"/>
        </w:rPr>
        <w:t>and the conditions prevailing in the rest of the </w:t>
      </w:r>
      <w:r>
        <w:rPr>
          <w:i/>
          <w:sz w:val="24"/>
        </w:rPr>
        <w:t>power system</w:t>
      </w:r>
      <w:r>
        <w:rPr>
          <w:sz w:val="24"/>
        </w:rPr>
        <w:t>.</w:t>
      </w:r>
    </w:p>
    <w:p>
      <w:pPr>
        <w:pStyle w:val="Heading5"/>
        <w:rPr>
          <w:i/>
        </w:rPr>
      </w:pPr>
      <w:r>
        <w:rPr>
          <w:i/>
        </w:rPr>
        <w:t>indexed amount</w:t>
      </w:r>
    </w:p>
    <w:p>
      <w:pPr>
        <w:pStyle w:val="BodyText"/>
        <w:ind w:left="1352" w:right="413" w:firstLine="0"/>
        <w:jc w:val="left"/>
      </w:pPr>
      <w:r>
        <w:rPr/>
        <w:t>As at any time and in relation to a dollar value that is expressly set out in Part C of Chapter 6 or Part C of Chapter 6A, that dollar value multiplied by CPI</w:t>
      </w:r>
      <w:r>
        <w:rPr>
          <w:vertAlign w:val="subscript"/>
        </w:rPr>
        <w:t>a</w:t>
      </w:r>
      <w:r>
        <w:rPr>
          <w:vertAlign w:val="baseline"/>
        </w:rPr>
        <w:t>/CPI</w:t>
      </w:r>
      <w:r>
        <w:rPr>
          <w:vertAlign w:val="subscript"/>
        </w:rPr>
        <w:t>b</w:t>
      </w:r>
    </w:p>
    <w:p>
      <w:pPr>
        <w:pStyle w:val="BodyText"/>
        <w:ind w:left="1352" w:firstLine="0"/>
        <w:jc w:val="left"/>
      </w:pPr>
      <w:r>
        <w:rPr/>
        <w:t>where:</w:t>
      </w:r>
    </w:p>
    <w:p>
      <w:pPr>
        <w:pStyle w:val="BodyText"/>
        <w:ind w:left="1352" w:firstLine="0"/>
        <w:jc w:val="left"/>
      </w:pPr>
      <w:r>
        <w:rPr/>
        <w:t>CPI</w:t>
      </w:r>
      <w:r>
        <w:rPr>
          <w:vertAlign w:val="subscript"/>
        </w:rPr>
        <w:t>a</w:t>
      </w:r>
      <w:r>
        <w:rPr>
          <w:vertAlign w:val="baseline"/>
        </w:rPr>
        <w:t> is the </w:t>
      </w:r>
      <w:r>
        <w:rPr>
          <w:i/>
          <w:vertAlign w:val="baseline"/>
        </w:rPr>
        <w:t>CPI </w:t>
      </w:r>
      <w:r>
        <w:rPr>
          <w:vertAlign w:val="baseline"/>
        </w:rPr>
        <w:t>as at that time; and</w:t>
      </w:r>
    </w:p>
    <w:p>
      <w:pPr>
        <w:pStyle w:val="BodyText"/>
        <w:ind w:left="1352" w:right="416" w:firstLine="0"/>
      </w:pPr>
      <w:r>
        <w:rPr/>
        <w:t>CPI</w:t>
      </w:r>
      <w:r>
        <w:rPr>
          <w:vertAlign w:val="subscript"/>
        </w:rPr>
        <w:t>b</w:t>
      </w:r>
      <w:r>
        <w:rPr>
          <w:vertAlign w:val="baseline"/>
        </w:rPr>
        <w:t> is the Consumer Price Index: All Groups Index Number, weighted average of eight capital cities published by the Australian Bureau of Statistics for the quarter ending 30 June</w:t>
      </w:r>
      <w:r>
        <w:rPr>
          <w:spacing w:val="-2"/>
          <w:vertAlign w:val="baseline"/>
        </w:rPr>
        <w:t> </w:t>
      </w:r>
      <w:r>
        <w:rPr>
          <w:vertAlign w:val="baseline"/>
        </w:rPr>
        <w:t>2006.</w:t>
      </w:r>
    </w:p>
    <w:p>
      <w:pPr>
        <w:pStyle w:val="Heading5"/>
        <w:rPr>
          <w:i/>
        </w:rPr>
      </w:pPr>
      <w:r>
        <w:rPr>
          <w:i/>
        </w:rPr>
        <w:t>indicative pricing schedule</w:t>
      </w:r>
    </w:p>
    <w:p>
      <w:pPr>
        <w:spacing w:before="120"/>
        <w:ind w:left="1352" w:right="417" w:firstLine="0"/>
        <w:jc w:val="both"/>
        <w:rPr>
          <w:sz w:val="24"/>
        </w:rPr>
      </w:pPr>
      <w:r>
        <w:rPr>
          <w:sz w:val="24"/>
        </w:rPr>
        <w:t>For a </w:t>
      </w:r>
      <w:r>
        <w:rPr>
          <w:i/>
          <w:sz w:val="24"/>
        </w:rPr>
        <w:t>Distribution Network Service Provider</w:t>
      </w:r>
      <w:r>
        <w:rPr>
          <w:sz w:val="24"/>
        </w:rPr>
        <w:t>, means the schedule of indicative price levels as referred to in paragraph 6.18.1A(e).</w:t>
      </w:r>
    </w:p>
    <w:p>
      <w:pPr>
        <w:spacing w:after="0"/>
        <w:jc w:val="both"/>
        <w:rPr>
          <w:sz w:val="24"/>
        </w:rPr>
        <w:sectPr>
          <w:pgSz w:w="11910" w:h="16840"/>
          <w:pgMar w:header="686" w:footer="637" w:top="1320" w:bottom="820" w:left="1200" w:right="1000"/>
        </w:sectPr>
      </w:pPr>
    </w:p>
    <w:p>
      <w:pPr>
        <w:pStyle w:val="Heading5"/>
        <w:spacing w:before="83"/>
        <w:rPr>
          <w:i/>
        </w:rPr>
      </w:pPr>
      <w:r>
        <w:rPr>
          <w:i/>
        </w:rPr>
        <w:t>indicative reliability forecast</w:t>
      </w:r>
    </w:p>
    <w:p>
      <w:pPr>
        <w:spacing w:before="120"/>
        <w:ind w:left="1352" w:right="415" w:firstLine="0"/>
        <w:jc w:val="both"/>
        <w:rPr>
          <w:sz w:val="24"/>
        </w:rPr>
      </w:pPr>
      <w:r>
        <w:rPr>
          <w:sz w:val="24"/>
        </w:rPr>
        <w:t>For a </w:t>
      </w:r>
      <w:r>
        <w:rPr>
          <w:i/>
          <w:sz w:val="24"/>
        </w:rPr>
        <w:t>region </w:t>
      </w:r>
      <w:r>
        <w:rPr>
          <w:sz w:val="24"/>
        </w:rPr>
        <w:t>for a </w:t>
      </w:r>
      <w:r>
        <w:rPr>
          <w:i/>
          <w:sz w:val="24"/>
        </w:rPr>
        <w:t>financial year </w:t>
      </w:r>
      <w:r>
        <w:rPr>
          <w:sz w:val="24"/>
        </w:rPr>
        <w:t>in the last 5 years of a </w:t>
      </w:r>
      <w:r>
        <w:rPr>
          <w:i/>
          <w:sz w:val="24"/>
        </w:rPr>
        <w:t>statement of opportunities</w:t>
      </w:r>
      <w:r>
        <w:rPr>
          <w:sz w:val="24"/>
        </w:rPr>
        <w:t>, means the forecast of whether there is a </w:t>
      </w:r>
      <w:r>
        <w:rPr>
          <w:i/>
          <w:sz w:val="24"/>
        </w:rPr>
        <w:t>forecast reliability gap </w:t>
      </w:r>
      <w:r>
        <w:rPr>
          <w:sz w:val="24"/>
        </w:rPr>
        <w:t>for that </w:t>
      </w:r>
      <w:r>
        <w:rPr>
          <w:i/>
          <w:sz w:val="24"/>
        </w:rPr>
        <w:t>region </w:t>
      </w:r>
      <w:r>
        <w:rPr>
          <w:sz w:val="24"/>
        </w:rPr>
        <w:t>in that year.</w:t>
      </w:r>
    </w:p>
    <w:p>
      <w:pPr>
        <w:spacing w:after="0"/>
        <w:jc w:val="both"/>
        <w:rPr>
          <w:sz w:val="24"/>
        </w:rPr>
        <w:sectPr>
          <w:pgSz w:w="11910" w:h="16840"/>
          <w:pgMar w:header="686" w:footer="637" w:top="1320" w:bottom="820" w:left="1200" w:right="1000"/>
        </w:sectPr>
      </w:pPr>
    </w:p>
    <w:p>
      <w:pPr>
        <w:pStyle w:val="Heading5"/>
        <w:jc w:val="left"/>
        <w:rPr>
          <w:i/>
        </w:rPr>
      </w:pPr>
      <w:r>
        <w:rPr>
          <w:i/>
        </w:rPr>
        <w:t>inertia</w:t>
      </w:r>
    </w:p>
    <w:p>
      <w:pPr>
        <w:pStyle w:val="BodyText"/>
        <w:spacing w:before="0"/>
        <w:ind w:firstLine="0"/>
        <w:jc w:val="left"/>
        <w:rPr>
          <w:b/>
          <w:i/>
          <w:sz w:val="26"/>
        </w:rPr>
      </w:pPr>
      <w:r>
        <w:rPr/>
        <w:br w:type="column"/>
      </w:r>
      <w:r>
        <w:rPr>
          <w:b/>
          <w:i/>
          <w:sz w:val="26"/>
        </w:rPr>
      </w:r>
    </w:p>
    <w:p>
      <w:pPr>
        <w:spacing w:before="217"/>
        <w:ind w:left="218" w:right="414" w:firstLine="0"/>
        <w:jc w:val="both"/>
        <w:rPr>
          <w:sz w:val="24"/>
        </w:rPr>
      </w:pPr>
      <w:r>
        <w:rPr>
          <w:sz w:val="24"/>
        </w:rPr>
        <w:t>Contribution to the capability of the </w:t>
      </w:r>
      <w:r>
        <w:rPr>
          <w:i/>
          <w:sz w:val="24"/>
        </w:rPr>
        <w:t>power system </w:t>
      </w:r>
      <w:r>
        <w:rPr>
          <w:sz w:val="24"/>
        </w:rPr>
        <w:t>to resist changes in </w:t>
      </w:r>
      <w:r>
        <w:rPr>
          <w:i/>
          <w:sz w:val="24"/>
        </w:rPr>
        <w:t>frequency </w:t>
      </w:r>
      <w:r>
        <w:rPr>
          <w:sz w:val="24"/>
        </w:rPr>
        <w:t>by means of an inertial response from a </w:t>
      </w:r>
      <w:r>
        <w:rPr>
          <w:i/>
          <w:sz w:val="24"/>
        </w:rPr>
        <w:t>generating unit</w:t>
      </w:r>
      <w:r>
        <w:rPr>
          <w:sz w:val="24"/>
        </w:rPr>
        <w:t>, </w:t>
      </w:r>
      <w:r>
        <w:rPr>
          <w:i/>
          <w:sz w:val="24"/>
        </w:rPr>
        <w:t>network element </w:t>
      </w:r>
      <w:r>
        <w:rPr>
          <w:sz w:val="24"/>
        </w:rPr>
        <w:t>or other equipment that is electro-magnetically coupled with the </w:t>
      </w:r>
      <w:r>
        <w:rPr>
          <w:i/>
          <w:sz w:val="24"/>
        </w:rPr>
        <w:t>power system </w:t>
      </w:r>
      <w:r>
        <w:rPr>
          <w:sz w:val="24"/>
        </w:rPr>
        <w:t>and </w:t>
      </w:r>
      <w:r>
        <w:rPr>
          <w:i/>
          <w:sz w:val="24"/>
        </w:rPr>
        <w:t>synchronised </w:t>
      </w:r>
      <w:r>
        <w:rPr>
          <w:sz w:val="24"/>
        </w:rPr>
        <w:t>to the </w:t>
      </w:r>
      <w:r>
        <w:rPr>
          <w:i/>
          <w:sz w:val="24"/>
        </w:rPr>
        <w:t>frequency </w:t>
      </w:r>
      <w:r>
        <w:rPr>
          <w:sz w:val="24"/>
        </w:rPr>
        <w:t>of the </w:t>
      </w:r>
      <w:r>
        <w:rPr>
          <w:i/>
          <w:sz w:val="24"/>
        </w:rPr>
        <w:t>power system</w:t>
      </w:r>
      <w:r>
        <w:rPr>
          <w:sz w:val="24"/>
        </w:rPr>
        <w:t>.</w:t>
      </w:r>
    </w:p>
    <w:p>
      <w:pPr>
        <w:spacing w:after="0"/>
        <w:jc w:val="both"/>
        <w:rPr>
          <w:sz w:val="24"/>
        </w:rPr>
        <w:sectPr>
          <w:type w:val="continuous"/>
          <w:pgSz w:w="11910" w:h="16840"/>
          <w:pgMar w:top="1360" w:bottom="280" w:left="1200" w:right="1000"/>
          <w:cols w:num="2" w:equalWidth="0">
            <w:col w:w="913" w:space="221"/>
            <w:col w:w="8576"/>
          </w:cols>
        </w:sectPr>
      </w:pPr>
    </w:p>
    <w:p>
      <w:pPr>
        <w:pStyle w:val="Heading5"/>
        <w:rPr>
          <w:i/>
        </w:rPr>
      </w:pPr>
      <w:r>
        <w:rPr>
          <w:i/>
        </w:rPr>
        <w:t>inertia generating unit</w:t>
      </w:r>
    </w:p>
    <w:p>
      <w:pPr>
        <w:spacing w:before="120"/>
        <w:ind w:left="1352" w:right="0" w:firstLine="0"/>
        <w:jc w:val="both"/>
        <w:rPr>
          <w:sz w:val="24"/>
        </w:rPr>
      </w:pPr>
      <w:r>
        <w:rPr>
          <w:sz w:val="24"/>
        </w:rPr>
        <w:t>A </w:t>
      </w:r>
      <w:r>
        <w:rPr>
          <w:i/>
          <w:sz w:val="24"/>
        </w:rPr>
        <w:t>generating unit </w:t>
      </w:r>
      <w:r>
        <w:rPr>
          <w:sz w:val="24"/>
        </w:rPr>
        <w:t>registered with </w:t>
      </w:r>
      <w:r>
        <w:rPr>
          <w:i/>
          <w:sz w:val="24"/>
        </w:rPr>
        <w:t>AEMO </w:t>
      </w:r>
      <w:r>
        <w:rPr>
          <w:sz w:val="24"/>
        </w:rPr>
        <w:t>under clause 5.20B.6(b).</w:t>
      </w:r>
    </w:p>
    <w:p>
      <w:pPr>
        <w:pStyle w:val="Heading5"/>
        <w:rPr>
          <w:i/>
        </w:rPr>
      </w:pPr>
      <w:r>
        <w:rPr>
          <w:i/>
        </w:rPr>
        <w:t>inertia network service</w:t>
      </w:r>
    </w:p>
    <w:p>
      <w:pPr>
        <w:spacing w:before="120"/>
        <w:ind w:left="1352" w:right="0" w:firstLine="0"/>
        <w:jc w:val="both"/>
        <w:rPr>
          <w:sz w:val="24"/>
        </w:rPr>
      </w:pPr>
      <w:r>
        <w:rPr>
          <w:sz w:val="24"/>
        </w:rPr>
        <w:t>A service for the provision of </w:t>
      </w:r>
      <w:r>
        <w:rPr>
          <w:i/>
          <w:sz w:val="24"/>
        </w:rPr>
        <w:t>inertia </w:t>
      </w:r>
      <w:r>
        <w:rPr>
          <w:sz w:val="24"/>
        </w:rPr>
        <w:t>to a </w:t>
      </w:r>
      <w:r>
        <w:rPr>
          <w:i/>
          <w:sz w:val="24"/>
        </w:rPr>
        <w:t>transmission system</w:t>
      </w:r>
      <w:r>
        <w:rPr>
          <w:sz w:val="24"/>
        </w:rPr>
        <w:t>.</w:t>
      </w:r>
    </w:p>
    <w:p>
      <w:pPr>
        <w:pStyle w:val="Heading5"/>
        <w:rPr>
          <w:i/>
        </w:rPr>
      </w:pPr>
      <w:r>
        <w:rPr>
          <w:i/>
        </w:rPr>
        <w:t>inertia requirements</w:t>
      </w:r>
    </w:p>
    <w:p>
      <w:pPr>
        <w:spacing w:before="120"/>
        <w:ind w:left="1352" w:right="0" w:firstLine="0"/>
        <w:jc w:val="both"/>
        <w:rPr>
          <w:i/>
          <w:sz w:val="24"/>
        </w:rPr>
      </w:pPr>
      <w:r>
        <w:rPr>
          <w:sz w:val="24"/>
        </w:rPr>
        <w:t>The </w:t>
      </w:r>
      <w:r>
        <w:rPr>
          <w:i/>
          <w:sz w:val="24"/>
        </w:rPr>
        <w:t>minimum threshold level of inertia </w:t>
      </w:r>
      <w:r>
        <w:rPr>
          <w:sz w:val="24"/>
        </w:rPr>
        <w:t>and the </w:t>
      </w:r>
      <w:r>
        <w:rPr>
          <w:i/>
          <w:sz w:val="24"/>
        </w:rPr>
        <w:t>secure operating level of inertia</w:t>
      </w:r>
    </w:p>
    <w:p>
      <w:pPr>
        <w:spacing w:before="0"/>
        <w:ind w:left="1352" w:right="0" w:firstLine="0"/>
        <w:jc w:val="both"/>
        <w:rPr>
          <w:sz w:val="24"/>
        </w:rPr>
      </w:pPr>
      <w:r>
        <w:rPr>
          <w:sz w:val="24"/>
        </w:rPr>
        <w:t>for an </w:t>
      </w:r>
      <w:r>
        <w:rPr>
          <w:i/>
          <w:sz w:val="24"/>
        </w:rPr>
        <w:t>inertia sub-network </w:t>
      </w:r>
      <w:r>
        <w:rPr>
          <w:sz w:val="24"/>
        </w:rPr>
        <w:t>determined by </w:t>
      </w:r>
      <w:r>
        <w:rPr>
          <w:i/>
          <w:sz w:val="24"/>
        </w:rPr>
        <w:t>AEMO </w:t>
      </w:r>
      <w:r>
        <w:rPr>
          <w:sz w:val="24"/>
        </w:rPr>
        <w:t>under clause 5.20B.2(a).</w:t>
      </w:r>
    </w:p>
    <w:p>
      <w:pPr>
        <w:pStyle w:val="Heading5"/>
        <w:rPr>
          <w:i/>
        </w:rPr>
      </w:pPr>
      <w:r>
        <w:rPr>
          <w:i/>
        </w:rPr>
        <w:t>inertia requirements methodology</w:t>
      </w:r>
    </w:p>
    <w:p>
      <w:pPr>
        <w:spacing w:before="120"/>
        <w:ind w:left="1352" w:right="415" w:firstLine="0"/>
        <w:jc w:val="both"/>
        <w:rPr>
          <w:sz w:val="24"/>
        </w:rPr>
      </w:pPr>
      <w:r>
        <w:rPr>
          <w:sz w:val="24"/>
        </w:rPr>
        <w:t>The process </w:t>
      </w:r>
      <w:r>
        <w:rPr>
          <w:i/>
          <w:sz w:val="24"/>
        </w:rPr>
        <w:t>AEMO </w:t>
      </w:r>
      <w:r>
        <w:rPr>
          <w:sz w:val="24"/>
        </w:rPr>
        <w:t>uses to determine the </w:t>
      </w:r>
      <w:r>
        <w:rPr>
          <w:i/>
          <w:sz w:val="24"/>
        </w:rPr>
        <w:t>inertia requirements </w:t>
      </w:r>
      <w:r>
        <w:rPr>
          <w:sz w:val="24"/>
        </w:rPr>
        <w:t>for each </w:t>
      </w:r>
      <w:r>
        <w:rPr>
          <w:i/>
          <w:sz w:val="24"/>
        </w:rPr>
        <w:t>inertia </w:t>
      </w:r>
      <w:r>
        <w:rPr>
          <w:i/>
          <w:sz w:val="24"/>
        </w:rPr>
        <w:t>sub-network</w:t>
      </w:r>
      <w:r>
        <w:rPr>
          <w:sz w:val="24"/>
        </w:rPr>
        <w:t>, </w:t>
      </w:r>
      <w:r>
        <w:rPr>
          <w:i/>
          <w:sz w:val="24"/>
        </w:rPr>
        <w:t>published </w:t>
      </w:r>
      <w:r>
        <w:rPr>
          <w:sz w:val="24"/>
        </w:rPr>
        <w:t>by </w:t>
      </w:r>
      <w:r>
        <w:rPr>
          <w:i/>
          <w:sz w:val="24"/>
        </w:rPr>
        <w:t>AEMO </w:t>
      </w:r>
      <w:r>
        <w:rPr>
          <w:sz w:val="24"/>
        </w:rPr>
        <w:t>under clause 5.20.1(a)(3).</w:t>
      </w:r>
    </w:p>
    <w:p>
      <w:pPr>
        <w:pStyle w:val="Heading5"/>
        <w:rPr>
          <w:i/>
        </w:rPr>
      </w:pPr>
      <w:r>
        <w:rPr>
          <w:i/>
        </w:rPr>
        <w:t>inertia service payment</w:t>
      </w:r>
    </w:p>
    <w:p>
      <w:pPr>
        <w:spacing w:before="120"/>
        <w:ind w:left="1352" w:right="415" w:firstLine="0"/>
        <w:jc w:val="both"/>
        <w:rPr>
          <w:sz w:val="24"/>
        </w:rPr>
      </w:pPr>
      <w:r>
        <w:rPr>
          <w:sz w:val="24"/>
        </w:rPr>
        <w:t>A payment by a </w:t>
      </w:r>
      <w:r>
        <w:rPr>
          <w:i/>
          <w:sz w:val="24"/>
        </w:rPr>
        <w:t>Transmission Network Service Provider </w:t>
      </w:r>
      <w:r>
        <w:rPr>
          <w:sz w:val="24"/>
        </w:rPr>
        <w:t>made under an </w:t>
      </w:r>
      <w:r>
        <w:rPr>
          <w:i/>
          <w:sz w:val="24"/>
        </w:rPr>
        <w:t>inertia </w:t>
      </w:r>
      <w:r>
        <w:rPr>
          <w:i/>
          <w:sz w:val="24"/>
        </w:rPr>
        <w:t>services agreement </w:t>
      </w:r>
      <w:r>
        <w:rPr>
          <w:sz w:val="24"/>
        </w:rPr>
        <w:t>where:</w:t>
      </w:r>
    </w:p>
    <w:p>
      <w:pPr>
        <w:pStyle w:val="ListParagraph"/>
        <w:numPr>
          <w:ilvl w:val="0"/>
          <w:numId w:val="749"/>
        </w:numPr>
        <w:tabs>
          <w:tab w:pos="1919" w:val="left" w:leader="none"/>
        </w:tabs>
        <w:spacing w:line="240" w:lineRule="auto" w:before="120" w:after="0"/>
        <w:ind w:left="1919" w:right="414" w:hanging="567"/>
        <w:jc w:val="both"/>
        <w:rPr>
          <w:sz w:val="24"/>
        </w:rPr>
      </w:pPr>
      <w:r>
        <w:rPr>
          <w:sz w:val="24"/>
        </w:rPr>
        <w:t>the payment is made for </w:t>
      </w:r>
      <w:r>
        <w:rPr>
          <w:i/>
          <w:sz w:val="24"/>
        </w:rPr>
        <w:t>inertia network services </w:t>
      </w:r>
      <w:r>
        <w:rPr>
          <w:sz w:val="24"/>
        </w:rPr>
        <w:t>or </w:t>
      </w:r>
      <w:r>
        <w:rPr>
          <w:i/>
          <w:sz w:val="24"/>
        </w:rPr>
        <w:t>inertia support activities </w:t>
      </w:r>
      <w:r>
        <w:rPr>
          <w:sz w:val="24"/>
        </w:rPr>
        <w:t>to be made available or provided as a service to the </w:t>
      </w:r>
      <w:r>
        <w:rPr>
          <w:i/>
          <w:sz w:val="24"/>
        </w:rPr>
        <w:t>Transmission Network </w:t>
      </w:r>
      <w:r>
        <w:rPr>
          <w:i/>
          <w:sz w:val="24"/>
        </w:rPr>
        <w:t>Service Provider </w:t>
      </w:r>
      <w:r>
        <w:rPr>
          <w:sz w:val="24"/>
        </w:rPr>
        <w:t>in its capacity as an </w:t>
      </w:r>
      <w:r>
        <w:rPr>
          <w:i/>
          <w:sz w:val="24"/>
        </w:rPr>
        <w:t>Inertia Service Provider </w:t>
      </w:r>
      <w:r>
        <w:rPr>
          <w:sz w:val="24"/>
        </w:rPr>
        <w:t>to (in the case of </w:t>
      </w:r>
      <w:r>
        <w:rPr>
          <w:i/>
          <w:sz w:val="24"/>
        </w:rPr>
        <w:t>inertia network services</w:t>
      </w:r>
      <w:r>
        <w:rPr>
          <w:sz w:val="24"/>
        </w:rPr>
        <w:t>) satisfy an obligation under clause 5.20B.4 or (in the case of </w:t>
      </w:r>
      <w:r>
        <w:rPr>
          <w:i/>
          <w:sz w:val="24"/>
        </w:rPr>
        <w:t>inertia support activities</w:t>
      </w:r>
      <w:r>
        <w:rPr>
          <w:sz w:val="24"/>
        </w:rPr>
        <w:t>) resulting in an adjustment to the </w:t>
      </w:r>
      <w:r>
        <w:rPr>
          <w:i/>
          <w:sz w:val="24"/>
        </w:rPr>
        <w:t>minimum threshold level of inertia </w:t>
      </w:r>
      <w:r>
        <w:rPr>
          <w:sz w:val="24"/>
        </w:rPr>
        <w:t>or the </w:t>
      </w:r>
      <w:r>
        <w:rPr>
          <w:i/>
          <w:sz w:val="24"/>
        </w:rPr>
        <w:t>secure operating level of inertia</w:t>
      </w:r>
      <w:r>
        <w:rPr>
          <w:sz w:val="24"/>
        </w:rPr>
        <w:t>; and</w:t>
      </w:r>
    </w:p>
    <w:p>
      <w:pPr>
        <w:pStyle w:val="ListParagraph"/>
        <w:numPr>
          <w:ilvl w:val="0"/>
          <w:numId w:val="749"/>
        </w:numPr>
        <w:tabs>
          <w:tab w:pos="1919" w:val="left" w:leader="none"/>
        </w:tabs>
        <w:spacing w:line="240" w:lineRule="auto" w:before="120" w:after="0"/>
        <w:ind w:left="1919" w:right="415" w:hanging="567"/>
        <w:jc w:val="both"/>
        <w:rPr>
          <w:sz w:val="24"/>
        </w:rPr>
      </w:pPr>
      <w:r>
        <w:rPr>
          <w:sz w:val="24"/>
        </w:rPr>
        <w:t>the </w:t>
      </w:r>
      <w:r>
        <w:rPr>
          <w:i/>
          <w:sz w:val="24"/>
        </w:rPr>
        <w:t>inertia network services </w:t>
      </w:r>
      <w:r>
        <w:rPr>
          <w:sz w:val="24"/>
        </w:rPr>
        <w:t>are made available or provided, or the </w:t>
      </w:r>
      <w:r>
        <w:rPr>
          <w:i/>
          <w:sz w:val="24"/>
        </w:rPr>
        <w:t>inertia </w:t>
      </w:r>
      <w:r>
        <w:rPr>
          <w:i/>
          <w:sz w:val="24"/>
        </w:rPr>
        <w:t>support activity </w:t>
      </w:r>
      <w:r>
        <w:rPr>
          <w:sz w:val="24"/>
        </w:rPr>
        <w:t>is undertaken, in accordance</w:t>
      </w:r>
      <w:r>
        <w:rPr>
          <w:spacing w:val="-3"/>
          <w:sz w:val="24"/>
        </w:rPr>
        <w:t> </w:t>
      </w:r>
      <w:r>
        <w:rPr>
          <w:sz w:val="24"/>
        </w:rPr>
        <w:t>with:</w:t>
      </w:r>
    </w:p>
    <w:p>
      <w:pPr>
        <w:pStyle w:val="ListParagraph"/>
        <w:numPr>
          <w:ilvl w:val="1"/>
          <w:numId w:val="749"/>
        </w:numPr>
        <w:tabs>
          <w:tab w:pos="2486" w:val="left" w:leader="none"/>
        </w:tabs>
        <w:spacing w:line="240" w:lineRule="auto" w:before="120" w:after="0"/>
        <w:ind w:left="2486" w:right="416" w:hanging="567"/>
        <w:jc w:val="both"/>
        <w:rPr>
          <w:sz w:val="24"/>
        </w:rPr>
      </w:pPr>
      <w:r>
        <w:rPr>
          <w:sz w:val="24"/>
        </w:rPr>
        <w:t>applicable technical specifications and performance standards approved by </w:t>
      </w:r>
      <w:r>
        <w:rPr>
          <w:i/>
          <w:sz w:val="24"/>
        </w:rPr>
        <w:t>AEMO</w:t>
      </w:r>
      <w:r>
        <w:rPr>
          <w:sz w:val="24"/>
        </w:rPr>
        <w:t>;</w:t>
      </w:r>
      <w:r>
        <w:rPr>
          <w:spacing w:val="-1"/>
          <w:sz w:val="24"/>
        </w:rPr>
        <w:t> </w:t>
      </w:r>
      <w:r>
        <w:rPr>
          <w:sz w:val="24"/>
        </w:rPr>
        <w:t>and</w:t>
      </w:r>
    </w:p>
    <w:p>
      <w:pPr>
        <w:pStyle w:val="ListParagraph"/>
        <w:numPr>
          <w:ilvl w:val="1"/>
          <w:numId w:val="749"/>
        </w:numPr>
        <w:tabs>
          <w:tab w:pos="2486" w:val="left" w:leader="none"/>
        </w:tabs>
        <w:spacing w:line="240" w:lineRule="auto" w:before="120" w:after="0"/>
        <w:ind w:left="2485" w:right="0" w:hanging="567"/>
        <w:jc w:val="both"/>
        <w:rPr>
          <w:i/>
          <w:sz w:val="24"/>
        </w:rPr>
      </w:pPr>
      <w:r>
        <w:rPr>
          <w:sz w:val="24"/>
        </w:rPr>
        <w:t>in</w:t>
      </w:r>
      <w:r>
        <w:rPr>
          <w:spacing w:val="28"/>
          <w:sz w:val="24"/>
        </w:rPr>
        <w:t> </w:t>
      </w:r>
      <w:r>
        <w:rPr>
          <w:sz w:val="24"/>
        </w:rPr>
        <w:t>the</w:t>
      </w:r>
      <w:r>
        <w:rPr>
          <w:spacing w:val="28"/>
          <w:sz w:val="24"/>
        </w:rPr>
        <w:t> </w:t>
      </w:r>
      <w:r>
        <w:rPr>
          <w:sz w:val="24"/>
        </w:rPr>
        <w:t>case</w:t>
      </w:r>
      <w:r>
        <w:rPr>
          <w:spacing w:val="29"/>
          <w:sz w:val="24"/>
        </w:rPr>
        <w:t> </w:t>
      </w:r>
      <w:r>
        <w:rPr>
          <w:sz w:val="24"/>
        </w:rPr>
        <w:t>of</w:t>
      </w:r>
      <w:r>
        <w:rPr>
          <w:spacing w:val="28"/>
          <w:sz w:val="24"/>
        </w:rPr>
        <w:t> </w:t>
      </w:r>
      <w:r>
        <w:rPr>
          <w:sz w:val="24"/>
        </w:rPr>
        <w:t>an</w:t>
      </w:r>
      <w:r>
        <w:rPr>
          <w:spacing w:val="28"/>
          <w:sz w:val="24"/>
        </w:rPr>
        <w:t> </w:t>
      </w:r>
      <w:r>
        <w:rPr>
          <w:i/>
          <w:sz w:val="24"/>
        </w:rPr>
        <w:t>inertia</w:t>
      </w:r>
      <w:r>
        <w:rPr>
          <w:i/>
          <w:spacing w:val="29"/>
          <w:sz w:val="24"/>
        </w:rPr>
        <w:t> </w:t>
      </w:r>
      <w:r>
        <w:rPr>
          <w:i/>
          <w:sz w:val="24"/>
        </w:rPr>
        <w:t>support</w:t>
      </w:r>
      <w:r>
        <w:rPr>
          <w:i/>
          <w:spacing w:val="28"/>
          <w:sz w:val="24"/>
        </w:rPr>
        <w:t> </w:t>
      </w:r>
      <w:r>
        <w:rPr>
          <w:i/>
          <w:sz w:val="24"/>
        </w:rPr>
        <w:t>activity</w:t>
      </w:r>
      <w:r>
        <w:rPr>
          <w:sz w:val="24"/>
        </w:rPr>
        <w:t>,</w:t>
      </w:r>
      <w:r>
        <w:rPr>
          <w:spacing w:val="28"/>
          <w:sz w:val="24"/>
        </w:rPr>
        <w:t> </w:t>
      </w:r>
      <w:r>
        <w:rPr>
          <w:sz w:val="24"/>
        </w:rPr>
        <w:t>any</w:t>
      </w:r>
      <w:r>
        <w:rPr>
          <w:spacing w:val="29"/>
          <w:sz w:val="24"/>
        </w:rPr>
        <w:t> </w:t>
      </w:r>
      <w:r>
        <w:rPr>
          <w:sz w:val="24"/>
        </w:rPr>
        <w:t>conditions</w:t>
      </w:r>
      <w:r>
        <w:rPr>
          <w:spacing w:val="28"/>
          <w:sz w:val="24"/>
        </w:rPr>
        <w:t> </w:t>
      </w:r>
      <w:r>
        <w:rPr>
          <w:sz w:val="24"/>
        </w:rPr>
        <w:t>of</w:t>
      </w:r>
      <w:r>
        <w:rPr>
          <w:spacing w:val="29"/>
          <w:sz w:val="24"/>
        </w:rPr>
        <w:t> </w:t>
      </w:r>
      <w:r>
        <w:rPr>
          <w:i/>
          <w:sz w:val="24"/>
        </w:rPr>
        <w:t>AEMO's</w:t>
      </w:r>
    </w:p>
    <w:p>
      <w:pPr>
        <w:pStyle w:val="BodyText"/>
        <w:spacing w:before="0"/>
        <w:ind w:left="2486" w:firstLine="0"/>
      </w:pPr>
      <w:r>
        <w:rPr/>
        <w:t>approval under clause 5.20B.5(a).</w:t>
      </w:r>
    </w:p>
    <w:p>
      <w:pPr>
        <w:pStyle w:val="Heading5"/>
        <w:rPr>
          <w:i/>
        </w:rPr>
      </w:pPr>
      <w:r>
        <w:rPr>
          <w:i/>
        </w:rPr>
        <w:t>Inertia Service Provider</w:t>
      </w:r>
    </w:p>
    <w:p>
      <w:pPr>
        <w:spacing w:before="120"/>
        <w:ind w:left="1352" w:right="416" w:firstLine="0"/>
        <w:jc w:val="both"/>
        <w:rPr>
          <w:sz w:val="24"/>
        </w:rPr>
      </w:pPr>
      <w:r>
        <w:rPr>
          <w:sz w:val="24"/>
        </w:rPr>
        <w:t>The </w:t>
      </w:r>
      <w:r>
        <w:rPr>
          <w:i/>
          <w:sz w:val="24"/>
        </w:rPr>
        <w:t>Inertia Service Provider </w:t>
      </w:r>
      <w:r>
        <w:rPr>
          <w:sz w:val="24"/>
        </w:rPr>
        <w:t>for an </w:t>
      </w:r>
      <w:r>
        <w:rPr>
          <w:i/>
          <w:sz w:val="24"/>
        </w:rPr>
        <w:t>inertia sub-network </w:t>
      </w:r>
      <w:r>
        <w:rPr>
          <w:sz w:val="24"/>
        </w:rPr>
        <w:t>as specified under clause 5.20B.4(a).</w:t>
      </w:r>
    </w:p>
    <w:p>
      <w:pPr>
        <w:spacing w:after="0"/>
        <w:jc w:val="both"/>
        <w:rPr>
          <w:sz w:val="24"/>
        </w:rPr>
        <w:sectPr>
          <w:type w:val="continuous"/>
          <w:pgSz w:w="11910" w:h="16840"/>
          <w:pgMar w:top="1360" w:bottom="280" w:left="1200" w:right="1000"/>
        </w:sectPr>
      </w:pPr>
    </w:p>
    <w:p>
      <w:pPr>
        <w:pStyle w:val="Heading5"/>
        <w:spacing w:before="83"/>
        <w:rPr>
          <w:i/>
        </w:rPr>
      </w:pPr>
      <w:r>
        <w:rPr>
          <w:i/>
        </w:rPr>
        <w:t>inertia services agreement</w:t>
      </w:r>
    </w:p>
    <w:p>
      <w:pPr>
        <w:spacing w:before="120"/>
        <w:ind w:left="1352" w:right="415" w:firstLine="0"/>
        <w:jc w:val="both"/>
        <w:rPr>
          <w:sz w:val="24"/>
        </w:rPr>
      </w:pPr>
      <w:r>
        <w:rPr>
          <w:sz w:val="24"/>
        </w:rPr>
        <w:t>An agreement under which a person agrees to provide one or more </w:t>
      </w:r>
      <w:r>
        <w:rPr>
          <w:i/>
          <w:sz w:val="24"/>
        </w:rPr>
        <w:t>inertia  </w:t>
      </w:r>
      <w:r>
        <w:rPr>
          <w:i/>
          <w:sz w:val="24"/>
        </w:rPr>
        <w:t>network services </w:t>
      </w:r>
      <w:r>
        <w:rPr>
          <w:sz w:val="24"/>
        </w:rPr>
        <w:t>to an </w:t>
      </w:r>
      <w:r>
        <w:rPr>
          <w:i/>
          <w:sz w:val="24"/>
        </w:rPr>
        <w:t>Inertia Service Provider </w:t>
      </w:r>
      <w:r>
        <w:rPr>
          <w:sz w:val="24"/>
        </w:rPr>
        <w:t>or to undertake an </w:t>
      </w:r>
      <w:r>
        <w:rPr>
          <w:i/>
          <w:sz w:val="24"/>
        </w:rPr>
        <w:t>inertia support </w:t>
      </w:r>
      <w:r>
        <w:rPr>
          <w:i/>
          <w:sz w:val="24"/>
        </w:rPr>
        <w:t>activity</w:t>
      </w:r>
      <w:r>
        <w:rPr>
          <w:sz w:val="24"/>
        </w:rPr>
        <w:t>.</w:t>
      </w:r>
    </w:p>
    <w:p>
      <w:pPr>
        <w:pStyle w:val="Heading5"/>
        <w:rPr>
          <w:i/>
        </w:rPr>
      </w:pPr>
      <w:r>
        <w:rPr>
          <w:i/>
        </w:rPr>
        <w:t>inertia shortfall</w:t>
      </w:r>
    </w:p>
    <w:p>
      <w:pPr>
        <w:spacing w:before="120"/>
        <w:ind w:left="1352" w:right="415" w:firstLine="0"/>
        <w:jc w:val="both"/>
        <w:rPr>
          <w:sz w:val="24"/>
        </w:rPr>
      </w:pPr>
      <w:r>
        <w:rPr>
          <w:sz w:val="24"/>
        </w:rPr>
        <w:t>A shortfall in the level of </w:t>
      </w:r>
      <w:r>
        <w:rPr>
          <w:i/>
          <w:sz w:val="24"/>
        </w:rPr>
        <w:t>inertia </w:t>
      </w:r>
      <w:r>
        <w:rPr>
          <w:sz w:val="24"/>
        </w:rPr>
        <w:t>typically provided in an </w:t>
      </w:r>
      <w:r>
        <w:rPr>
          <w:i/>
          <w:sz w:val="24"/>
        </w:rPr>
        <w:t>inertia sub-network </w:t>
      </w:r>
      <w:r>
        <w:rPr>
          <w:sz w:val="24"/>
        </w:rPr>
        <w:t>(having regard to typical patterns of </w:t>
      </w:r>
      <w:r>
        <w:rPr>
          <w:i/>
          <w:sz w:val="24"/>
        </w:rPr>
        <w:t>dispatched generation </w:t>
      </w:r>
      <w:r>
        <w:rPr>
          <w:sz w:val="24"/>
        </w:rPr>
        <w:t>in </w:t>
      </w:r>
      <w:r>
        <w:rPr>
          <w:i/>
          <w:sz w:val="24"/>
        </w:rPr>
        <w:t>central </w:t>
      </w:r>
      <w:r>
        <w:rPr>
          <w:i/>
          <w:spacing w:val="-3"/>
          <w:sz w:val="24"/>
        </w:rPr>
        <w:t>dispatch</w:t>
      </w:r>
      <w:r>
        <w:rPr>
          <w:spacing w:val="-3"/>
          <w:sz w:val="24"/>
        </w:rPr>
        <w:t>)</w:t>
      </w:r>
      <w:r>
        <w:rPr>
          <w:spacing w:val="54"/>
          <w:sz w:val="24"/>
        </w:rPr>
        <w:t> </w:t>
      </w:r>
      <w:r>
        <w:rPr>
          <w:sz w:val="24"/>
        </w:rPr>
        <w:t>compared to the </w:t>
      </w:r>
      <w:r>
        <w:rPr>
          <w:i/>
          <w:sz w:val="24"/>
        </w:rPr>
        <w:t>secure operating level of inertia </w:t>
      </w:r>
      <w:r>
        <w:rPr>
          <w:sz w:val="24"/>
        </w:rPr>
        <w:t>most recently determined by </w:t>
      </w:r>
      <w:r>
        <w:rPr>
          <w:i/>
          <w:sz w:val="24"/>
        </w:rPr>
        <w:t>AEMO </w:t>
      </w:r>
      <w:r>
        <w:rPr>
          <w:sz w:val="24"/>
        </w:rPr>
        <w:t>for the </w:t>
      </w:r>
      <w:r>
        <w:rPr>
          <w:i/>
          <w:sz w:val="24"/>
        </w:rPr>
        <w:t>inertia sub-network</w:t>
      </w:r>
      <w:r>
        <w:rPr>
          <w:sz w:val="24"/>
        </w:rPr>
        <w:t>.</w:t>
      </w:r>
    </w:p>
    <w:p>
      <w:pPr>
        <w:pStyle w:val="Heading5"/>
        <w:rPr>
          <w:i/>
        </w:rPr>
      </w:pPr>
      <w:r>
        <w:rPr>
          <w:i/>
        </w:rPr>
        <w:t>inertia shortfall event</w:t>
      </w:r>
    </w:p>
    <w:p>
      <w:pPr>
        <w:spacing w:before="120"/>
        <w:ind w:left="1352" w:right="414" w:firstLine="0"/>
        <w:jc w:val="both"/>
        <w:rPr>
          <w:sz w:val="24"/>
        </w:rPr>
      </w:pPr>
      <w:r>
        <w:rPr>
          <w:sz w:val="24"/>
        </w:rPr>
        <w:t>A </w:t>
      </w:r>
      <w:r>
        <w:rPr>
          <w:i/>
          <w:sz w:val="24"/>
        </w:rPr>
        <w:t>Transmission Network Service Provider </w:t>
      </w:r>
      <w:r>
        <w:rPr>
          <w:sz w:val="24"/>
        </w:rPr>
        <w:t>is required to make </w:t>
      </w:r>
      <w:r>
        <w:rPr>
          <w:i/>
          <w:sz w:val="24"/>
        </w:rPr>
        <w:t>inertia network </w:t>
      </w:r>
      <w:r>
        <w:rPr>
          <w:i/>
          <w:sz w:val="24"/>
        </w:rPr>
        <w:t>services </w:t>
      </w:r>
      <w:r>
        <w:rPr>
          <w:sz w:val="24"/>
        </w:rPr>
        <w:t>available under clause 5.20B.4 as a consequence of an assessment by </w:t>
      </w:r>
      <w:r>
        <w:rPr>
          <w:i/>
          <w:sz w:val="24"/>
        </w:rPr>
        <w:t>AEMO </w:t>
      </w:r>
      <w:r>
        <w:rPr>
          <w:sz w:val="24"/>
        </w:rPr>
        <w:t>under clause 5.20B.3(c) that there is an </w:t>
      </w:r>
      <w:r>
        <w:rPr>
          <w:i/>
          <w:sz w:val="24"/>
        </w:rPr>
        <w:t>inertia shortfall </w:t>
      </w:r>
      <w:r>
        <w:rPr>
          <w:sz w:val="24"/>
        </w:rPr>
        <w:t>in an </w:t>
      </w:r>
      <w:r>
        <w:rPr>
          <w:i/>
          <w:sz w:val="24"/>
        </w:rPr>
        <w:t>inertia sub- </w:t>
      </w:r>
      <w:r>
        <w:rPr>
          <w:i/>
          <w:sz w:val="24"/>
        </w:rPr>
        <w:t>network </w:t>
      </w:r>
      <w:r>
        <w:rPr>
          <w:sz w:val="24"/>
        </w:rPr>
        <w:t>for which the </w:t>
      </w:r>
      <w:r>
        <w:rPr>
          <w:i/>
          <w:sz w:val="24"/>
        </w:rPr>
        <w:t>Transmission Network Service Provider </w:t>
      </w:r>
      <w:r>
        <w:rPr>
          <w:sz w:val="24"/>
        </w:rPr>
        <w:t>is the </w:t>
      </w:r>
      <w:r>
        <w:rPr>
          <w:i/>
          <w:sz w:val="24"/>
        </w:rPr>
        <w:t>Inertia </w:t>
      </w:r>
      <w:r>
        <w:rPr>
          <w:i/>
          <w:sz w:val="24"/>
        </w:rPr>
        <w:t>Service Provider </w:t>
      </w:r>
      <w:r>
        <w:rPr>
          <w:sz w:val="24"/>
        </w:rPr>
        <w:t>or to cease making </w:t>
      </w:r>
      <w:r>
        <w:rPr>
          <w:i/>
          <w:sz w:val="24"/>
        </w:rPr>
        <w:t>inertia network services </w:t>
      </w:r>
      <w:r>
        <w:rPr>
          <w:sz w:val="24"/>
        </w:rPr>
        <w:t>available under clause 5.20B.4 as a consequence of an assessment by </w:t>
      </w:r>
      <w:r>
        <w:rPr>
          <w:i/>
          <w:sz w:val="24"/>
        </w:rPr>
        <w:t>AEMO </w:t>
      </w:r>
      <w:r>
        <w:rPr>
          <w:sz w:val="24"/>
        </w:rPr>
        <w:t>under clause 5.20B.3(d) that an </w:t>
      </w:r>
      <w:r>
        <w:rPr>
          <w:i/>
          <w:sz w:val="24"/>
        </w:rPr>
        <w:t>inertia shortfall </w:t>
      </w:r>
      <w:r>
        <w:rPr>
          <w:sz w:val="24"/>
        </w:rPr>
        <w:t>in the </w:t>
      </w:r>
      <w:r>
        <w:rPr>
          <w:i/>
          <w:sz w:val="24"/>
        </w:rPr>
        <w:t>inertia sub-network </w:t>
      </w:r>
      <w:r>
        <w:rPr>
          <w:sz w:val="24"/>
        </w:rPr>
        <w:t>has ceased and:</w:t>
      </w:r>
    </w:p>
    <w:p>
      <w:pPr>
        <w:pStyle w:val="ListParagraph"/>
        <w:numPr>
          <w:ilvl w:val="0"/>
          <w:numId w:val="750"/>
        </w:numPr>
        <w:tabs>
          <w:tab w:pos="1919" w:val="left" w:leader="none"/>
        </w:tabs>
        <w:spacing w:line="240" w:lineRule="auto" w:before="120" w:after="0"/>
        <w:ind w:left="1919" w:right="415" w:hanging="567"/>
        <w:jc w:val="both"/>
        <w:rPr>
          <w:sz w:val="24"/>
        </w:rPr>
      </w:pPr>
      <w:r>
        <w:rPr>
          <w:sz w:val="24"/>
        </w:rPr>
        <w:t>the </w:t>
      </w:r>
      <w:r>
        <w:rPr>
          <w:i/>
          <w:sz w:val="24"/>
        </w:rPr>
        <w:t>Transmission Network Service Provider </w:t>
      </w:r>
      <w:r>
        <w:rPr>
          <w:sz w:val="24"/>
        </w:rPr>
        <w:t>is required to provide, or </w:t>
      </w:r>
      <w:r>
        <w:rPr>
          <w:spacing w:val="-3"/>
          <w:sz w:val="24"/>
        </w:rPr>
        <w:t>cease </w:t>
      </w:r>
      <w:r>
        <w:rPr>
          <w:sz w:val="24"/>
        </w:rPr>
        <w:t>providing, </w:t>
      </w:r>
      <w:r>
        <w:rPr>
          <w:i/>
          <w:sz w:val="24"/>
        </w:rPr>
        <w:t>inertia network services </w:t>
      </w:r>
      <w:r>
        <w:rPr>
          <w:sz w:val="24"/>
        </w:rPr>
        <w:t>during the course of a </w:t>
      </w:r>
      <w:r>
        <w:rPr>
          <w:i/>
          <w:sz w:val="24"/>
        </w:rPr>
        <w:t>regulatory control </w:t>
      </w:r>
      <w:r>
        <w:rPr>
          <w:i/>
          <w:sz w:val="24"/>
        </w:rPr>
        <w:t>period</w:t>
      </w:r>
      <w:r>
        <w:rPr>
          <w:sz w:val="24"/>
        </w:rPr>
        <w:t>; and</w:t>
      </w:r>
    </w:p>
    <w:p>
      <w:pPr>
        <w:pStyle w:val="ListParagraph"/>
        <w:numPr>
          <w:ilvl w:val="0"/>
          <w:numId w:val="750"/>
        </w:numPr>
        <w:tabs>
          <w:tab w:pos="1919" w:val="left" w:leader="none"/>
        </w:tabs>
        <w:spacing w:line="240" w:lineRule="auto" w:before="120" w:after="0"/>
        <w:ind w:left="1919" w:right="415" w:hanging="567"/>
        <w:jc w:val="both"/>
        <w:rPr>
          <w:sz w:val="24"/>
        </w:rPr>
      </w:pPr>
      <w:r>
        <w:rPr>
          <w:sz w:val="24"/>
        </w:rPr>
        <w:t>making </w:t>
      </w:r>
      <w:r>
        <w:rPr>
          <w:i/>
          <w:sz w:val="24"/>
        </w:rPr>
        <w:t>inertia network services </w:t>
      </w:r>
      <w:r>
        <w:rPr>
          <w:sz w:val="24"/>
        </w:rPr>
        <w:t>available or ceasing to make </w:t>
      </w:r>
      <w:r>
        <w:rPr>
          <w:i/>
          <w:sz w:val="24"/>
        </w:rPr>
        <w:t>inertia </w:t>
      </w:r>
      <w:r>
        <w:rPr>
          <w:i/>
          <w:sz w:val="24"/>
        </w:rPr>
        <w:t>network services </w:t>
      </w:r>
      <w:r>
        <w:rPr>
          <w:sz w:val="24"/>
        </w:rPr>
        <w:t>available </w:t>
      </w:r>
      <w:r>
        <w:rPr>
          <w:i/>
          <w:sz w:val="24"/>
        </w:rPr>
        <w:t>materially </w:t>
      </w:r>
      <w:r>
        <w:rPr>
          <w:sz w:val="24"/>
        </w:rPr>
        <w:t>increases or </w:t>
      </w:r>
      <w:r>
        <w:rPr>
          <w:i/>
          <w:sz w:val="24"/>
        </w:rPr>
        <w:t>materially </w:t>
      </w:r>
      <w:r>
        <w:rPr>
          <w:sz w:val="24"/>
        </w:rPr>
        <w:t>decreases the </w:t>
      </w:r>
      <w:r>
        <w:rPr>
          <w:i/>
          <w:sz w:val="24"/>
        </w:rPr>
        <w:t>Transmission Network Service Provider's </w:t>
      </w:r>
      <w:r>
        <w:rPr>
          <w:sz w:val="24"/>
        </w:rPr>
        <w:t>costs of providing </w:t>
      </w:r>
      <w:r>
        <w:rPr>
          <w:i/>
          <w:sz w:val="24"/>
        </w:rPr>
        <w:t>prescribed </w:t>
      </w:r>
      <w:r>
        <w:rPr>
          <w:i/>
          <w:sz w:val="24"/>
        </w:rPr>
        <w:t>transmission</w:t>
      </w:r>
      <w:r>
        <w:rPr>
          <w:i/>
          <w:spacing w:val="-1"/>
          <w:sz w:val="24"/>
        </w:rPr>
        <w:t> </w:t>
      </w:r>
      <w:r>
        <w:rPr>
          <w:i/>
          <w:sz w:val="24"/>
        </w:rPr>
        <w:t>services</w:t>
      </w:r>
      <w:r>
        <w:rPr>
          <w:sz w:val="24"/>
        </w:rPr>
        <w:t>.</w:t>
      </w:r>
    </w:p>
    <w:p>
      <w:pPr>
        <w:pStyle w:val="Heading5"/>
        <w:rPr>
          <w:i/>
        </w:rPr>
      </w:pPr>
      <w:r>
        <w:rPr>
          <w:i/>
        </w:rPr>
        <w:t>inertia</w:t>
      </w:r>
      <w:r>
        <w:rPr>
          <w:i/>
          <w:spacing w:val="-11"/>
        </w:rPr>
        <w:t> </w:t>
      </w:r>
      <w:r>
        <w:rPr>
          <w:i/>
        </w:rPr>
        <w:t>sub-network</w:t>
      </w:r>
    </w:p>
    <w:p>
      <w:pPr>
        <w:spacing w:before="120"/>
        <w:ind w:left="1352" w:right="415" w:firstLine="0"/>
        <w:jc w:val="both"/>
        <w:rPr>
          <w:sz w:val="24"/>
        </w:rPr>
      </w:pPr>
      <w:r>
        <w:rPr>
          <w:sz w:val="24"/>
        </w:rPr>
        <w:t>A part of the </w:t>
      </w:r>
      <w:r>
        <w:rPr>
          <w:i/>
          <w:sz w:val="24"/>
        </w:rPr>
        <w:t>national grid </w:t>
      </w:r>
      <w:r>
        <w:rPr>
          <w:sz w:val="24"/>
        </w:rPr>
        <w:t>determined by </w:t>
      </w:r>
      <w:r>
        <w:rPr>
          <w:i/>
          <w:sz w:val="24"/>
        </w:rPr>
        <w:t>AEMO </w:t>
      </w:r>
      <w:r>
        <w:rPr>
          <w:sz w:val="24"/>
        </w:rPr>
        <w:t>in accordance with</w:t>
      </w:r>
      <w:r>
        <w:rPr>
          <w:spacing w:val="29"/>
          <w:sz w:val="24"/>
        </w:rPr>
        <w:t> </w:t>
      </w:r>
      <w:r>
        <w:rPr>
          <w:sz w:val="24"/>
        </w:rPr>
        <w:t>clause 5.20B.1.</w:t>
      </w:r>
    </w:p>
    <w:p>
      <w:pPr>
        <w:pStyle w:val="Heading5"/>
        <w:rPr>
          <w:i/>
        </w:rPr>
      </w:pPr>
      <w:r>
        <w:rPr>
          <w:i/>
        </w:rPr>
        <w:t>inertia support activity</w:t>
      </w:r>
    </w:p>
    <w:p>
      <w:pPr>
        <w:pStyle w:val="BodyText"/>
        <w:ind w:left="1352" w:firstLine="0"/>
      </w:pPr>
      <w:r>
        <w:rPr/>
        <w:t>An activity approved by </w:t>
      </w:r>
      <w:r>
        <w:rPr>
          <w:i/>
        </w:rPr>
        <w:t>AEMO </w:t>
      </w:r>
      <w:r>
        <w:rPr/>
        <w:t>under clause 5.20B.5(a).</w:t>
      </w:r>
    </w:p>
    <w:p>
      <w:pPr>
        <w:pStyle w:val="Heading5"/>
        <w:rPr>
          <w:i/>
        </w:rPr>
      </w:pPr>
      <w:r>
        <w:rPr>
          <w:i/>
        </w:rPr>
        <w:t>inflexible, inflexibility</w:t>
      </w:r>
    </w:p>
    <w:p>
      <w:pPr>
        <w:spacing w:before="120"/>
        <w:ind w:left="1352" w:right="415" w:firstLine="0"/>
        <w:jc w:val="both"/>
        <w:rPr>
          <w:sz w:val="24"/>
        </w:rPr>
      </w:pPr>
      <w:r>
        <w:rPr>
          <w:sz w:val="24"/>
        </w:rPr>
        <w:t>In respect of a </w:t>
      </w:r>
      <w:r>
        <w:rPr>
          <w:i/>
          <w:sz w:val="24"/>
        </w:rPr>
        <w:t>scheduled generating unit</w:t>
      </w:r>
      <w:r>
        <w:rPr>
          <w:sz w:val="24"/>
        </w:rPr>
        <w:t>, </w:t>
      </w:r>
      <w:r>
        <w:rPr>
          <w:i/>
          <w:sz w:val="24"/>
        </w:rPr>
        <w:t>scheduled load </w:t>
      </w:r>
      <w:r>
        <w:rPr>
          <w:sz w:val="24"/>
        </w:rPr>
        <w:t>or </w:t>
      </w:r>
      <w:r>
        <w:rPr>
          <w:i/>
          <w:sz w:val="24"/>
        </w:rPr>
        <w:t>scheduled network </w:t>
      </w:r>
      <w:r>
        <w:rPr>
          <w:i/>
          <w:sz w:val="24"/>
        </w:rPr>
        <w:t>service </w:t>
      </w:r>
      <w:r>
        <w:rPr>
          <w:sz w:val="24"/>
        </w:rPr>
        <w:t>for a </w:t>
      </w:r>
      <w:r>
        <w:rPr>
          <w:i/>
          <w:sz w:val="24"/>
        </w:rPr>
        <w:t>trading interval </w:t>
      </w:r>
      <w:r>
        <w:rPr>
          <w:sz w:val="24"/>
        </w:rPr>
        <w:t>means that the </w:t>
      </w:r>
      <w:r>
        <w:rPr>
          <w:i/>
          <w:sz w:val="24"/>
        </w:rPr>
        <w:t>scheduled generating unit</w:t>
      </w:r>
      <w:r>
        <w:rPr>
          <w:sz w:val="24"/>
        </w:rPr>
        <w:t>, </w:t>
      </w:r>
      <w:r>
        <w:rPr>
          <w:i/>
          <w:sz w:val="24"/>
        </w:rPr>
        <w:t>scheduled </w:t>
      </w:r>
      <w:r>
        <w:rPr>
          <w:i/>
          <w:sz w:val="24"/>
        </w:rPr>
        <w:t>load </w:t>
      </w:r>
      <w:r>
        <w:rPr>
          <w:sz w:val="24"/>
        </w:rPr>
        <w:t>or </w:t>
      </w:r>
      <w:r>
        <w:rPr>
          <w:i/>
          <w:sz w:val="24"/>
        </w:rPr>
        <w:t>scheduled network service </w:t>
      </w:r>
      <w:r>
        <w:rPr>
          <w:sz w:val="24"/>
        </w:rPr>
        <w:t>is only able to be </w:t>
      </w:r>
      <w:r>
        <w:rPr>
          <w:i/>
          <w:sz w:val="24"/>
        </w:rPr>
        <w:t>dispatched </w:t>
      </w:r>
      <w:r>
        <w:rPr>
          <w:sz w:val="24"/>
        </w:rPr>
        <w:t>in the </w:t>
      </w:r>
      <w:r>
        <w:rPr>
          <w:i/>
          <w:sz w:val="24"/>
        </w:rPr>
        <w:t>trading </w:t>
      </w:r>
      <w:r>
        <w:rPr>
          <w:i/>
          <w:sz w:val="24"/>
        </w:rPr>
        <w:t>interval </w:t>
      </w:r>
      <w:r>
        <w:rPr>
          <w:sz w:val="24"/>
        </w:rPr>
        <w:t>at a fixed </w:t>
      </w:r>
      <w:r>
        <w:rPr>
          <w:i/>
          <w:sz w:val="24"/>
        </w:rPr>
        <w:t>loading level </w:t>
      </w:r>
      <w:r>
        <w:rPr>
          <w:sz w:val="24"/>
        </w:rPr>
        <w:t>specified in accordance with clause 3.8.19(a).</w:t>
      </w:r>
    </w:p>
    <w:p>
      <w:pPr>
        <w:pStyle w:val="Heading5"/>
        <w:rPr>
          <w:i/>
        </w:rPr>
      </w:pPr>
      <w:r>
        <w:rPr>
          <w:i/>
        </w:rPr>
        <w:t>Information Exchange Committee</w:t>
      </w:r>
    </w:p>
    <w:p>
      <w:pPr>
        <w:pStyle w:val="BodyText"/>
        <w:ind w:left="1352" w:firstLine="0"/>
      </w:pPr>
      <w:r>
        <w:rPr/>
        <w:t>The committee established under clause 7.17.6(a).</w:t>
      </w:r>
    </w:p>
    <w:p>
      <w:pPr>
        <w:pStyle w:val="Heading5"/>
        <w:rPr>
          <w:i/>
        </w:rPr>
      </w:pPr>
      <w:r>
        <w:rPr>
          <w:i/>
        </w:rPr>
        <w:t>Information Exchange Committee Annual Report</w:t>
      </w:r>
    </w:p>
    <w:p>
      <w:pPr>
        <w:spacing w:before="120"/>
        <w:ind w:left="1352" w:right="415" w:firstLine="0"/>
        <w:jc w:val="both"/>
        <w:rPr>
          <w:sz w:val="24"/>
        </w:rPr>
      </w:pPr>
      <w:r>
        <w:rPr>
          <w:sz w:val="24"/>
        </w:rPr>
        <w:t>The annual report prepared by the </w:t>
      </w:r>
      <w:r>
        <w:rPr>
          <w:i/>
          <w:sz w:val="24"/>
        </w:rPr>
        <w:t>Information Exchange Committee </w:t>
      </w:r>
      <w:r>
        <w:rPr>
          <w:sz w:val="24"/>
        </w:rPr>
        <w:t>in accordance with the </w:t>
      </w:r>
      <w:r>
        <w:rPr>
          <w:i/>
          <w:sz w:val="24"/>
        </w:rPr>
        <w:t>Information Exchange Committee Operating Manual </w:t>
      </w:r>
      <w:r>
        <w:rPr>
          <w:sz w:val="24"/>
        </w:rPr>
        <w:t>and the </w:t>
      </w:r>
      <w:r>
        <w:rPr>
          <w:i/>
          <w:sz w:val="24"/>
        </w:rPr>
        <w:t>Rules</w:t>
      </w:r>
      <w:r>
        <w:rPr>
          <w:sz w:val="24"/>
        </w:rPr>
        <w:t>.</w:t>
      </w:r>
    </w:p>
    <w:p>
      <w:pPr>
        <w:pStyle w:val="Heading5"/>
        <w:rPr>
          <w:i/>
        </w:rPr>
      </w:pPr>
      <w:r>
        <w:rPr>
          <w:i/>
        </w:rPr>
        <w:t>Information Exchange Committee Election Procedures</w:t>
      </w:r>
    </w:p>
    <w:p>
      <w:pPr>
        <w:pStyle w:val="BodyText"/>
        <w:ind w:left="1352" w:firstLine="0"/>
      </w:pPr>
      <w:r>
        <w:rPr/>
        <w:t>The procedures of that title which set out the process for election of </w:t>
      </w:r>
      <w:r>
        <w:rPr>
          <w:i/>
        </w:rPr>
        <w:t>Members</w:t>
      </w:r>
      <w:r>
        <w:rPr/>
        <w:t>.</w:t>
      </w:r>
    </w:p>
    <w:p>
      <w:pPr>
        <w:spacing w:after="0"/>
        <w:sectPr>
          <w:pgSz w:w="11910" w:h="16840"/>
          <w:pgMar w:header="686" w:footer="637" w:top="1320" w:bottom="820" w:left="1200" w:right="1000"/>
        </w:sectPr>
      </w:pPr>
    </w:p>
    <w:p>
      <w:pPr>
        <w:pStyle w:val="Heading5"/>
        <w:spacing w:before="83"/>
        <w:rPr>
          <w:i/>
        </w:rPr>
      </w:pPr>
      <w:r>
        <w:rPr>
          <w:i/>
        </w:rPr>
        <w:t>Information Exchange Committee Operating Manual</w:t>
      </w:r>
    </w:p>
    <w:p>
      <w:pPr>
        <w:spacing w:before="120"/>
        <w:ind w:left="1352" w:right="416" w:firstLine="0"/>
        <w:jc w:val="both"/>
        <w:rPr>
          <w:sz w:val="24"/>
        </w:rPr>
      </w:pPr>
      <w:r>
        <w:rPr>
          <w:sz w:val="24"/>
        </w:rPr>
        <w:t>The manual of that title prepared by the </w:t>
      </w:r>
      <w:r>
        <w:rPr>
          <w:i/>
          <w:sz w:val="24"/>
        </w:rPr>
        <w:t>Information Exchange Committee </w:t>
      </w:r>
      <w:r>
        <w:rPr>
          <w:sz w:val="24"/>
        </w:rPr>
        <w:t>which sets out the processes pursuant to which the </w:t>
      </w:r>
      <w:r>
        <w:rPr>
          <w:i/>
          <w:sz w:val="24"/>
        </w:rPr>
        <w:t>Information Exchange Committee </w:t>
      </w:r>
      <w:r>
        <w:rPr>
          <w:sz w:val="24"/>
        </w:rPr>
        <w:t>operates.</w:t>
      </w:r>
    </w:p>
    <w:p>
      <w:pPr>
        <w:pStyle w:val="Heading5"/>
        <w:rPr>
          <w:i/>
        </w:rPr>
      </w:pPr>
      <w:r>
        <w:rPr>
          <w:i/>
        </w:rPr>
        <w:t>Information Exchange Committee</w:t>
      </w:r>
      <w:r>
        <w:rPr>
          <w:i/>
          <w:spacing w:val="-13"/>
        </w:rPr>
        <w:t> </w:t>
      </w:r>
      <w:r>
        <w:rPr>
          <w:i/>
        </w:rPr>
        <w:t>Recommendation</w:t>
      </w:r>
    </w:p>
    <w:p>
      <w:pPr>
        <w:pStyle w:val="ListParagraph"/>
        <w:numPr>
          <w:ilvl w:val="0"/>
          <w:numId w:val="751"/>
        </w:numPr>
        <w:tabs>
          <w:tab w:pos="1919" w:val="left" w:leader="none"/>
        </w:tabs>
        <w:spacing w:line="240" w:lineRule="auto" w:before="120" w:after="0"/>
        <w:ind w:left="1919" w:right="415" w:hanging="567"/>
        <w:jc w:val="both"/>
        <w:rPr>
          <w:sz w:val="24"/>
        </w:rPr>
      </w:pPr>
      <w:r>
        <w:rPr>
          <w:sz w:val="24"/>
        </w:rPr>
        <w:t>For the purposes of Chapter 8 and any applicable definitions, a decision made by the </w:t>
      </w:r>
      <w:r>
        <w:rPr>
          <w:i/>
          <w:sz w:val="24"/>
        </w:rPr>
        <w:t>Information Exchange Committee </w:t>
      </w:r>
      <w:r>
        <w:rPr>
          <w:sz w:val="24"/>
        </w:rPr>
        <w:t>under clauses 7.17.4(n)(1) </w:t>
      </w:r>
      <w:r>
        <w:rPr>
          <w:spacing w:val="-7"/>
          <w:sz w:val="24"/>
        </w:rPr>
        <w:t>or </w:t>
      </w:r>
      <w:r>
        <w:rPr>
          <w:sz w:val="24"/>
        </w:rPr>
        <w:t>7.17.4(n)(2).</w:t>
      </w:r>
    </w:p>
    <w:p>
      <w:pPr>
        <w:pStyle w:val="ListParagraph"/>
        <w:numPr>
          <w:ilvl w:val="0"/>
          <w:numId w:val="751"/>
        </w:numPr>
        <w:tabs>
          <w:tab w:pos="1919" w:val="left" w:leader="none"/>
        </w:tabs>
        <w:spacing w:line="240" w:lineRule="auto" w:before="120" w:after="0"/>
        <w:ind w:left="1919" w:right="415" w:hanging="567"/>
        <w:jc w:val="both"/>
        <w:rPr>
          <w:sz w:val="24"/>
        </w:rPr>
      </w:pPr>
      <w:r>
        <w:rPr>
          <w:sz w:val="24"/>
        </w:rPr>
        <w:t>Otherwise, a decision made by the </w:t>
      </w:r>
      <w:r>
        <w:rPr>
          <w:i/>
          <w:sz w:val="24"/>
        </w:rPr>
        <w:t>Information Exchange Committee </w:t>
      </w:r>
      <w:r>
        <w:rPr>
          <w:spacing w:val="-3"/>
          <w:sz w:val="24"/>
        </w:rPr>
        <w:t>under </w:t>
      </w:r>
      <w:r>
        <w:rPr>
          <w:sz w:val="24"/>
        </w:rPr>
        <w:t>clause 7.17.4(n)(2).</w:t>
      </w:r>
    </w:p>
    <w:p>
      <w:pPr>
        <w:pStyle w:val="Heading5"/>
        <w:rPr>
          <w:i/>
        </w:rPr>
      </w:pPr>
      <w:r>
        <w:rPr>
          <w:i/>
        </w:rPr>
        <w:t>Information Exchange Committee Working Groups</w:t>
      </w:r>
    </w:p>
    <w:p>
      <w:pPr>
        <w:spacing w:before="120"/>
        <w:ind w:left="1352" w:right="0" w:firstLine="0"/>
        <w:jc w:val="both"/>
        <w:rPr>
          <w:sz w:val="24"/>
        </w:rPr>
      </w:pPr>
      <w:r>
        <w:rPr>
          <w:sz w:val="24"/>
        </w:rPr>
        <w:t>The groups established by the </w:t>
      </w:r>
      <w:r>
        <w:rPr>
          <w:i/>
          <w:sz w:val="24"/>
        </w:rPr>
        <w:t>Information Exchange Committee </w:t>
      </w:r>
      <w:r>
        <w:rPr>
          <w:sz w:val="24"/>
        </w:rPr>
        <w:t>to assist with the</w:t>
      </w:r>
    </w:p>
    <w:p>
      <w:pPr>
        <w:spacing w:before="0"/>
        <w:ind w:left="1352" w:right="0" w:firstLine="0"/>
        <w:jc w:val="both"/>
        <w:rPr>
          <w:sz w:val="24"/>
        </w:rPr>
      </w:pPr>
      <w:r>
        <w:rPr>
          <w:i/>
          <w:sz w:val="24"/>
        </w:rPr>
        <w:t>Information Exchange Committee Works Programme</w:t>
      </w:r>
      <w:r>
        <w:rPr>
          <w:sz w:val="24"/>
        </w:rPr>
        <w:t>.</w:t>
      </w:r>
    </w:p>
    <w:p>
      <w:pPr>
        <w:pStyle w:val="Heading5"/>
        <w:rPr>
          <w:i/>
        </w:rPr>
      </w:pPr>
      <w:r>
        <w:rPr>
          <w:i/>
        </w:rPr>
        <w:t>Information Exchange Committee Works Programme</w:t>
      </w:r>
    </w:p>
    <w:p>
      <w:pPr>
        <w:spacing w:before="120"/>
        <w:ind w:left="1352" w:right="414" w:firstLine="0"/>
        <w:jc w:val="both"/>
        <w:rPr>
          <w:sz w:val="24"/>
        </w:rPr>
      </w:pPr>
      <w:r>
        <w:rPr>
          <w:sz w:val="24"/>
        </w:rPr>
        <w:t>The work programme prepared by the </w:t>
      </w:r>
      <w:r>
        <w:rPr>
          <w:i/>
          <w:sz w:val="24"/>
        </w:rPr>
        <w:t>Information Exchange Committee </w:t>
      </w:r>
      <w:r>
        <w:rPr>
          <w:sz w:val="24"/>
        </w:rPr>
        <w:t>in  respect of the development, implementation and operation of the </w:t>
      </w:r>
      <w:r>
        <w:rPr>
          <w:i/>
          <w:sz w:val="24"/>
        </w:rPr>
        <w:t>B2B Procedures </w:t>
      </w:r>
      <w:r>
        <w:rPr>
          <w:sz w:val="24"/>
        </w:rPr>
        <w:t>and other matters which are incidental to effective and efficient </w:t>
      </w:r>
      <w:r>
        <w:rPr>
          <w:i/>
          <w:sz w:val="24"/>
        </w:rPr>
        <w:t>B2B </w:t>
      </w:r>
      <w:r>
        <w:rPr>
          <w:i/>
          <w:sz w:val="24"/>
        </w:rPr>
        <w:t>Communications</w:t>
      </w:r>
      <w:r>
        <w:rPr>
          <w:sz w:val="24"/>
        </w:rPr>
        <w:t>.</w:t>
      </w:r>
    </w:p>
    <w:p>
      <w:pPr>
        <w:pStyle w:val="Heading5"/>
        <w:rPr>
          <w:i/>
        </w:rPr>
      </w:pPr>
      <w:r>
        <w:rPr>
          <w:i/>
        </w:rPr>
        <w:t>information guidelines</w:t>
      </w:r>
    </w:p>
    <w:p>
      <w:pPr>
        <w:spacing w:before="120"/>
        <w:ind w:left="1352" w:right="416" w:firstLine="0"/>
        <w:jc w:val="both"/>
        <w:rPr>
          <w:sz w:val="24"/>
        </w:rPr>
      </w:pPr>
      <w:r>
        <w:rPr>
          <w:sz w:val="24"/>
        </w:rPr>
        <w:t>Guidelines made by the </w:t>
      </w:r>
      <w:r>
        <w:rPr>
          <w:i/>
          <w:sz w:val="24"/>
        </w:rPr>
        <w:t>AER </w:t>
      </w:r>
      <w:r>
        <w:rPr>
          <w:sz w:val="24"/>
        </w:rPr>
        <w:t>for the purpose of guiding a </w:t>
      </w:r>
      <w:r>
        <w:rPr>
          <w:i/>
          <w:sz w:val="24"/>
        </w:rPr>
        <w:t>Transmission Network </w:t>
      </w:r>
      <w:r>
        <w:rPr>
          <w:i/>
          <w:sz w:val="24"/>
        </w:rPr>
        <w:t>Service Provider </w:t>
      </w:r>
      <w:r>
        <w:rPr>
          <w:sz w:val="24"/>
        </w:rPr>
        <w:t>in the submission of certified annual statements and other related information in accordance with clause 6A.17.2.</w:t>
      </w:r>
    </w:p>
    <w:p>
      <w:pPr>
        <w:pStyle w:val="Heading5"/>
        <w:rPr>
          <w:i/>
        </w:rPr>
      </w:pPr>
      <w:r>
        <w:rPr>
          <w:i/>
        </w:rPr>
        <w:t>insolvency official</w:t>
      </w:r>
    </w:p>
    <w:p>
      <w:pPr>
        <w:pStyle w:val="BodyText"/>
        <w:ind w:left="1352" w:right="413" w:firstLine="0"/>
      </w:pPr>
      <w:r>
        <w:rPr/>
        <w:t>A receiver, receiver and manager, administrator, provisional liquidator, liquidator, trustee in bankruptcy or person having a similar or analogous function.</w:t>
      </w:r>
    </w:p>
    <w:p>
      <w:pPr>
        <w:pStyle w:val="Heading5"/>
        <w:rPr>
          <w:i/>
        </w:rPr>
      </w:pPr>
      <w:r>
        <w:rPr>
          <w:i/>
        </w:rPr>
        <w:t>instrument transformer</w:t>
      </w:r>
    </w:p>
    <w:p>
      <w:pPr>
        <w:spacing w:before="120"/>
        <w:ind w:left="1352" w:right="0" w:firstLine="0"/>
        <w:jc w:val="both"/>
        <w:rPr>
          <w:sz w:val="24"/>
        </w:rPr>
      </w:pPr>
      <w:r>
        <w:rPr>
          <w:sz w:val="24"/>
        </w:rPr>
        <w:t>Either a </w:t>
      </w:r>
      <w:r>
        <w:rPr>
          <w:i/>
          <w:sz w:val="24"/>
        </w:rPr>
        <w:t>current transformer </w:t>
      </w:r>
      <w:r>
        <w:rPr>
          <w:sz w:val="24"/>
        </w:rPr>
        <w:t>(</w:t>
      </w:r>
      <w:r>
        <w:rPr>
          <w:i/>
          <w:sz w:val="24"/>
        </w:rPr>
        <w:t>CT</w:t>
      </w:r>
      <w:r>
        <w:rPr>
          <w:sz w:val="24"/>
        </w:rPr>
        <w:t>) or a </w:t>
      </w:r>
      <w:r>
        <w:rPr>
          <w:i/>
          <w:sz w:val="24"/>
        </w:rPr>
        <w:t>voltage transformer </w:t>
      </w:r>
      <w:r>
        <w:rPr>
          <w:sz w:val="24"/>
        </w:rPr>
        <w:t>(</w:t>
      </w:r>
      <w:r>
        <w:rPr>
          <w:i/>
          <w:sz w:val="24"/>
        </w:rPr>
        <w:t>VT</w:t>
      </w:r>
      <w:r>
        <w:rPr>
          <w:sz w:val="24"/>
        </w:rPr>
        <w:t>).</w:t>
      </w:r>
    </w:p>
    <w:p>
      <w:pPr>
        <w:pStyle w:val="Heading5"/>
        <w:rPr>
          <w:i/>
        </w:rPr>
      </w:pPr>
      <w:r>
        <w:rPr>
          <w:i/>
        </w:rPr>
        <w:t>insurance event</w:t>
      </w:r>
    </w:p>
    <w:p>
      <w:pPr>
        <w:spacing w:before="120"/>
        <w:ind w:left="1352" w:right="415" w:firstLine="0"/>
        <w:jc w:val="both"/>
        <w:rPr>
          <w:sz w:val="24"/>
        </w:rPr>
      </w:pPr>
      <w:r>
        <w:rPr>
          <w:sz w:val="24"/>
        </w:rPr>
        <w:t>An event for which the risk of its occurrence is the subject of insurance taken out by or for a </w:t>
      </w:r>
      <w:r>
        <w:rPr>
          <w:i/>
          <w:sz w:val="24"/>
        </w:rPr>
        <w:t>Transmission Network Service Provider</w:t>
      </w:r>
      <w:r>
        <w:rPr>
          <w:sz w:val="24"/>
        </w:rPr>
        <w:t>, for which an allowance is provided in the </w:t>
      </w:r>
      <w:r>
        <w:rPr>
          <w:i/>
          <w:sz w:val="24"/>
        </w:rPr>
        <w:t>total revenue cap </w:t>
      </w:r>
      <w:r>
        <w:rPr>
          <w:sz w:val="24"/>
        </w:rPr>
        <w:t>for the </w:t>
      </w:r>
      <w:r>
        <w:rPr>
          <w:i/>
          <w:sz w:val="24"/>
        </w:rPr>
        <w:t>Transmission Network Service Provider </w:t>
      </w:r>
      <w:r>
        <w:rPr>
          <w:sz w:val="24"/>
        </w:rPr>
        <w:t>and in respect of which:</w:t>
      </w:r>
    </w:p>
    <w:p>
      <w:pPr>
        <w:pStyle w:val="ListParagraph"/>
        <w:numPr>
          <w:ilvl w:val="0"/>
          <w:numId w:val="752"/>
        </w:numPr>
        <w:tabs>
          <w:tab w:pos="1919" w:val="left" w:leader="none"/>
        </w:tabs>
        <w:spacing w:line="240" w:lineRule="auto" w:before="120" w:after="0"/>
        <w:ind w:left="1919" w:right="414" w:hanging="567"/>
        <w:jc w:val="both"/>
        <w:rPr>
          <w:sz w:val="24"/>
        </w:rPr>
      </w:pPr>
      <w:r>
        <w:rPr>
          <w:sz w:val="24"/>
        </w:rPr>
        <w:t>the cost of the premium paid or required to be paid by the </w:t>
      </w:r>
      <w:r>
        <w:rPr>
          <w:i/>
          <w:sz w:val="24"/>
        </w:rPr>
        <w:t>Transmission </w:t>
      </w:r>
      <w:r>
        <w:rPr>
          <w:i/>
          <w:sz w:val="24"/>
        </w:rPr>
        <w:t>Network Service Provider </w:t>
      </w:r>
      <w:r>
        <w:rPr>
          <w:sz w:val="24"/>
        </w:rPr>
        <w:t>in the </w:t>
      </w:r>
      <w:r>
        <w:rPr>
          <w:i/>
          <w:sz w:val="24"/>
        </w:rPr>
        <w:t>regulatory year </w:t>
      </w:r>
      <w:r>
        <w:rPr>
          <w:sz w:val="24"/>
        </w:rPr>
        <w:t>in which the cost of the premium changes is higher or lower than the premium that is provided for in the </w:t>
      </w:r>
      <w:r>
        <w:rPr>
          <w:i/>
          <w:sz w:val="24"/>
        </w:rPr>
        <w:t>maximum allowed revenue </w:t>
      </w:r>
      <w:r>
        <w:rPr>
          <w:sz w:val="24"/>
        </w:rPr>
        <w:t>for the provider for that </w:t>
      </w:r>
      <w:r>
        <w:rPr>
          <w:i/>
          <w:sz w:val="24"/>
        </w:rPr>
        <w:t>regulatory year </w:t>
      </w:r>
      <w:r>
        <w:rPr>
          <w:sz w:val="24"/>
        </w:rPr>
        <w:t>by an amount of more than 1% of the </w:t>
      </w:r>
      <w:r>
        <w:rPr>
          <w:i/>
          <w:sz w:val="24"/>
        </w:rPr>
        <w:t>maximum allowed revenue </w:t>
      </w:r>
      <w:r>
        <w:rPr>
          <w:sz w:val="24"/>
        </w:rPr>
        <w:t>for the provider for that </w:t>
      </w:r>
      <w:r>
        <w:rPr>
          <w:i/>
          <w:sz w:val="24"/>
        </w:rPr>
        <w:t>regulatory</w:t>
      </w:r>
      <w:r>
        <w:rPr>
          <w:i/>
          <w:spacing w:val="-2"/>
          <w:sz w:val="24"/>
        </w:rPr>
        <w:t> </w:t>
      </w:r>
      <w:r>
        <w:rPr>
          <w:i/>
          <w:sz w:val="24"/>
        </w:rPr>
        <w:t>year</w:t>
      </w:r>
      <w:r>
        <w:rPr>
          <w:sz w:val="24"/>
        </w:rPr>
        <w:t>;</w:t>
      </w:r>
    </w:p>
    <w:p>
      <w:pPr>
        <w:pStyle w:val="ListParagraph"/>
        <w:numPr>
          <w:ilvl w:val="0"/>
          <w:numId w:val="752"/>
        </w:numPr>
        <w:tabs>
          <w:tab w:pos="1919" w:val="left" w:leader="none"/>
        </w:tabs>
        <w:spacing w:line="240" w:lineRule="auto" w:before="120" w:after="0"/>
        <w:ind w:left="1919" w:right="414" w:hanging="567"/>
        <w:jc w:val="both"/>
        <w:rPr>
          <w:sz w:val="24"/>
        </w:rPr>
      </w:pPr>
      <w:r>
        <w:rPr>
          <w:sz w:val="24"/>
        </w:rPr>
        <w:t>the risk eventuates and, as a consequence, the </w:t>
      </w:r>
      <w:r>
        <w:rPr>
          <w:i/>
          <w:sz w:val="24"/>
        </w:rPr>
        <w:t>Transmission Network  </w:t>
      </w:r>
      <w:r>
        <w:rPr>
          <w:i/>
          <w:sz w:val="24"/>
        </w:rPr>
        <w:t>Service Provider </w:t>
      </w:r>
      <w:r>
        <w:rPr>
          <w:sz w:val="24"/>
        </w:rPr>
        <w:t>incurs or will incur all or part of a deductible where the amount so incurred or to be so incurred in a </w:t>
      </w:r>
      <w:r>
        <w:rPr>
          <w:i/>
          <w:sz w:val="24"/>
        </w:rPr>
        <w:t>regulatory year </w:t>
      </w:r>
      <w:r>
        <w:rPr>
          <w:sz w:val="24"/>
        </w:rPr>
        <w:t>is higher or lower</w:t>
      </w:r>
      <w:r>
        <w:rPr>
          <w:spacing w:val="22"/>
          <w:sz w:val="24"/>
        </w:rPr>
        <w:t> </w:t>
      </w:r>
      <w:r>
        <w:rPr>
          <w:sz w:val="24"/>
        </w:rPr>
        <w:t>than</w:t>
      </w:r>
      <w:r>
        <w:rPr>
          <w:spacing w:val="23"/>
          <w:sz w:val="24"/>
        </w:rPr>
        <w:t> </w:t>
      </w:r>
      <w:r>
        <w:rPr>
          <w:sz w:val="24"/>
        </w:rPr>
        <w:t>the</w:t>
      </w:r>
      <w:r>
        <w:rPr>
          <w:spacing w:val="22"/>
          <w:sz w:val="24"/>
        </w:rPr>
        <w:t> </w:t>
      </w:r>
      <w:r>
        <w:rPr>
          <w:sz w:val="24"/>
        </w:rPr>
        <w:t>allowance</w:t>
      </w:r>
      <w:r>
        <w:rPr>
          <w:spacing w:val="23"/>
          <w:sz w:val="24"/>
        </w:rPr>
        <w:t> </w:t>
      </w:r>
      <w:r>
        <w:rPr>
          <w:sz w:val="24"/>
        </w:rPr>
        <w:t>for</w:t>
      </w:r>
      <w:r>
        <w:rPr>
          <w:spacing w:val="22"/>
          <w:sz w:val="24"/>
        </w:rPr>
        <w:t> </w:t>
      </w:r>
      <w:r>
        <w:rPr>
          <w:sz w:val="24"/>
        </w:rPr>
        <w:t>the</w:t>
      </w:r>
      <w:r>
        <w:rPr>
          <w:spacing w:val="23"/>
          <w:sz w:val="24"/>
        </w:rPr>
        <w:t> </w:t>
      </w:r>
      <w:r>
        <w:rPr>
          <w:sz w:val="24"/>
        </w:rPr>
        <w:t>deductible</w:t>
      </w:r>
      <w:r>
        <w:rPr>
          <w:spacing w:val="22"/>
          <w:sz w:val="24"/>
        </w:rPr>
        <w:t> </w:t>
      </w:r>
      <w:r>
        <w:rPr>
          <w:sz w:val="24"/>
        </w:rPr>
        <w:t>(if</w:t>
      </w:r>
      <w:r>
        <w:rPr>
          <w:spacing w:val="23"/>
          <w:sz w:val="24"/>
        </w:rPr>
        <w:t> </w:t>
      </w:r>
      <w:r>
        <w:rPr>
          <w:sz w:val="24"/>
        </w:rPr>
        <w:t>any)</w:t>
      </w:r>
      <w:r>
        <w:rPr>
          <w:spacing w:val="22"/>
          <w:sz w:val="24"/>
        </w:rPr>
        <w:t> </w:t>
      </w:r>
      <w:r>
        <w:rPr>
          <w:sz w:val="24"/>
        </w:rPr>
        <w:t>that</w:t>
      </w:r>
      <w:r>
        <w:rPr>
          <w:spacing w:val="23"/>
          <w:sz w:val="24"/>
        </w:rPr>
        <w:t> </w:t>
      </w:r>
      <w:r>
        <w:rPr>
          <w:sz w:val="24"/>
        </w:rPr>
        <w:t>is</w:t>
      </w:r>
      <w:r>
        <w:rPr>
          <w:spacing w:val="22"/>
          <w:sz w:val="24"/>
        </w:rPr>
        <w:t> </w:t>
      </w:r>
      <w:r>
        <w:rPr>
          <w:sz w:val="24"/>
        </w:rPr>
        <w:t>provided</w:t>
      </w:r>
      <w:r>
        <w:rPr>
          <w:spacing w:val="23"/>
          <w:sz w:val="24"/>
        </w:rPr>
        <w:t> </w:t>
      </w:r>
      <w:r>
        <w:rPr>
          <w:sz w:val="24"/>
        </w:rPr>
        <w:t>for</w:t>
      </w:r>
      <w:r>
        <w:rPr>
          <w:spacing w:val="23"/>
          <w:sz w:val="24"/>
        </w:rPr>
        <w:t> </w:t>
      </w:r>
      <w:r>
        <w:rPr>
          <w:sz w:val="24"/>
        </w:rPr>
        <w:t>in</w:t>
      </w:r>
    </w:p>
    <w:p>
      <w:pPr>
        <w:spacing w:after="0" w:line="240" w:lineRule="auto"/>
        <w:jc w:val="both"/>
        <w:rPr>
          <w:sz w:val="24"/>
        </w:rPr>
        <w:sectPr>
          <w:pgSz w:w="11910" w:h="16840"/>
          <w:pgMar w:header="686" w:footer="637" w:top="1320" w:bottom="820" w:left="1200" w:right="1000"/>
        </w:sectPr>
      </w:pPr>
    </w:p>
    <w:p>
      <w:pPr>
        <w:spacing w:before="83"/>
        <w:ind w:left="1919" w:right="416" w:firstLine="0"/>
        <w:jc w:val="both"/>
        <w:rPr>
          <w:sz w:val="24"/>
        </w:rPr>
      </w:pPr>
      <w:r>
        <w:rPr>
          <w:sz w:val="24"/>
        </w:rPr>
        <w:t>the </w:t>
      </w:r>
      <w:r>
        <w:rPr>
          <w:i/>
          <w:sz w:val="24"/>
        </w:rPr>
        <w:t>maximum allowed revenue </w:t>
      </w:r>
      <w:r>
        <w:rPr>
          <w:sz w:val="24"/>
        </w:rPr>
        <w:t>for the provider for that </w:t>
      </w:r>
      <w:r>
        <w:rPr>
          <w:i/>
          <w:sz w:val="24"/>
        </w:rPr>
        <w:t>regulatory year </w:t>
      </w:r>
      <w:r>
        <w:rPr>
          <w:sz w:val="24"/>
        </w:rPr>
        <w:t>by an amount of more than 1% of the </w:t>
      </w:r>
      <w:r>
        <w:rPr>
          <w:i/>
          <w:sz w:val="24"/>
        </w:rPr>
        <w:t>maximum allowed revenue </w:t>
      </w:r>
      <w:r>
        <w:rPr>
          <w:sz w:val="24"/>
        </w:rPr>
        <w:t>for the provider for that </w:t>
      </w:r>
      <w:r>
        <w:rPr>
          <w:i/>
          <w:sz w:val="24"/>
        </w:rPr>
        <w:t>regulatory</w:t>
      </w:r>
      <w:r>
        <w:rPr>
          <w:i/>
          <w:spacing w:val="-2"/>
          <w:sz w:val="24"/>
        </w:rPr>
        <w:t> </w:t>
      </w:r>
      <w:r>
        <w:rPr>
          <w:i/>
          <w:sz w:val="24"/>
        </w:rPr>
        <w:t>year</w:t>
      </w:r>
      <w:r>
        <w:rPr>
          <w:sz w:val="24"/>
        </w:rPr>
        <w:t>;</w:t>
      </w:r>
    </w:p>
    <w:p>
      <w:pPr>
        <w:pStyle w:val="ListParagraph"/>
        <w:numPr>
          <w:ilvl w:val="0"/>
          <w:numId w:val="752"/>
        </w:numPr>
        <w:tabs>
          <w:tab w:pos="1919" w:val="left" w:leader="none"/>
        </w:tabs>
        <w:spacing w:line="240" w:lineRule="auto" w:before="120" w:after="0"/>
        <w:ind w:left="1919" w:right="416" w:hanging="567"/>
        <w:jc w:val="both"/>
        <w:rPr>
          <w:sz w:val="24"/>
        </w:rPr>
      </w:pPr>
      <w:r>
        <w:rPr>
          <w:sz w:val="24"/>
        </w:rPr>
        <w:t>insurance becomes unavailable to the </w:t>
      </w:r>
      <w:r>
        <w:rPr>
          <w:i/>
          <w:sz w:val="24"/>
        </w:rPr>
        <w:t>Transmission Network Service </w:t>
      </w:r>
      <w:r>
        <w:rPr>
          <w:i/>
          <w:sz w:val="24"/>
        </w:rPr>
        <w:t>Provider</w:t>
      </w:r>
      <w:r>
        <w:rPr>
          <w:sz w:val="24"/>
        </w:rPr>
        <w:t>; or</w:t>
      </w:r>
    </w:p>
    <w:p>
      <w:pPr>
        <w:pStyle w:val="ListParagraph"/>
        <w:numPr>
          <w:ilvl w:val="0"/>
          <w:numId w:val="752"/>
        </w:numPr>
        <w:tabs>
          <w:tab w:pos="1919" w:val="left" w:leader="none"/>
        </w:tabs>
        <w:spacing w:line="240" w:lineRule="auto" w:before="120" w:after="0"/>
        <w:ind w:left="1919" w:right="415" w:hanging="567"/>
        <w:jc w:val="both"/>
        <w:rPr>
          <w:sz w:val="24"/>
        </w:rPr>
      </w:pPr>
      <w:r>
        <w:rPr>
          <w:sz w:val="24"/>
        </w:rPr>
        <w:t>insurance becomes available to the </w:t>
      </w:r>
      <w:r>
        <w:rPr>
          <w:i/>
          <w:sz w:val="24"/>
        </w:rPr>
        <w:t>Transmission Network Service Provider </w:t>
      </w:r>
      <w:r>
        <w:rPr>
          <w:sz w:val="24"/>
        </w:rPr>
        <w:t>on terms materially different to those existing as at the time the </w:t>
      </w:r>
      <w:r>
        <w:rPr>
          <w:i/>
          <w:sz w:val="24"/>
        </w:rPr>
        <w:t>revenue </w:t>
      </w:r>
      <w:r>
        <w:rPr>
          <w:i/>
          <w:sz w:val="24"/>
        </w:rPr>
        <w:t>determination </w:t>
      </w:r>
      <w:r>
        <w:rPr>
          <w:sz w:val="24"/>
        </w:rPr>
        <w:t>was made (other than as a result of any act or omission of the provider which is inconsistent with good electricity industry</w:t>
      </w:r>
      <w:r>
        <w:rPr>
          <w:spacing w:val="-7"/>
          <w:sz w:val="24"/>
        </w:rPr>
        <w:t> </w:t>
      </w:r>
      <w:r>
        <w:rPr>
          <w:sz w:val="24"/>
        </w:rPr>
        <w:t>practice).</w:t>
      </w:r>
    </w:p>
    <w:p>
      <w:pPr>
        <w:pStyle w:val="Heading5"/>
        <w:rPr>
          <w:i/>
        </w:rPr>
      </w:pPr>
      <w:r>
        <w:rPr>
          <w:i/>
        </w:rPr>
        <w:t>intending load</w:t>
      </w:r>
    </w:p>
    <w:p>
      <w:pPr>
        <w:pStyle w:val="BodyText"/>
        <w:ind w:left="1352" w:right="415" w:firstLine="0"/>
      </w:pPr>
      <w:r>
        <w:rPr/>
        <w:t>A proposed purchase of electricity at a </w:t>
      </w:r>
      <w:r>
        <w:rPr>
          <w:i/>
        </w:rPr>
        <w:t>connection point </w:t>
      </w:r>
      <w:r>
        <w:rPr/>
        <w:t>(the location of which may be undefined) which is classified as an </w:t>
      </w:r>
      <w:r>
        <w:rPr>
          <w:i/>
        </w:rPr>
        <w:t>intending load </w:t>
      </w:r>
      <w:r>
        <w:rPr/>
        <w:t>in accordance with Chapter 2.</w:t>
      </w:r>
    </w:p>
    <w:p>
      <w:pPr>
        <w:pStyle w:val="Heading5"/>
        <w:rPr>
          <w:i/>
        </w:rPr>
      </w:pPr>
      <w:r>
        <w:rPr>
          <w:i/>
        </w:rPr>
        <w:t>Intending</w:t>
      </w:r>
      <w:r>
        <w:rPr>
          <w:i/>
          <w:spacing w:val="-9"/>
        </w:rPr>
        <w:t> </w:t>
      </w:r>
      <w:r>
        <w:rPr>
          <w:i/>
        </w:rPr>
        <w:t>Participant</w:t>
      </w:r>
    </w:p>
    <w:p>
      <w:pPr>
        <w:spacing w:before="120"/>
        <w:ind w:left="1352" w:right="415" w:firstLine="0"/>
        <w:jc w:val="both"/>
        <w:rPr>
          <w:sz w:val="24"/>
        </w:rPr>
      </w:pPr>
      <w:r>
        <w:rPr>
          <w:sz w:val="24"/>
        </w:rPr>
        <w:t>A person who is registered by </w:t>
      </w:r>
      <w:r>
        <w:rPr>
          <w:i/>
          <w:sz w:val="24"/>
        </w:rPr>
        <w:t>AEMO </w:t>
      </w:r>
      <w:r>
        <w:rPr>
          <w:sz w:val="24"/>
        </w:rPr>
        <w:t>as an </w:t>
      </w:r>
      <w:r>
        <w:rPr>
          <w:i/>
          <w:sz w:val="24"/>
        </w:rPr>
        <w:t>Intending Participant </w:t>
      </w:r>
      <w:r>
        <w:rPr>
          <w:sz w:val="24"/>
        </w:rPr>
        <w:t>under Chapter 2.</w:t>
      </w:r>
    </w:p>
    <w:p>
      <w:pPr>
        <w:pStyle w:val="Heading5"/>
        <w:rPr>
          <w:i/>
        </w:rPr>
      </w:pPr>
      <w:r>
        <w:rPr>
          <w:i/>
        </w:rPr>
        <w:t>interconnection, interconnector, interconnect, interconnected</w:t>
      </w:r>
    </w:p>
    <w:p>
      <w:pPr>
        <w:spacing w:before="120"/>
        <w:ind w:left="1352" w:right="414" w:firstLine="0"/>
        <w:jc w:val="both"/>
        <w:rPr>
          <w:sz w:val="24"/>
        </w:rPr>
      </w:pPr>
      <w:r>
        <w:rPr>
          <w:sz w:val="24"/>
        </w:rPr>
        <w:t>A </w:t>
      </w:r>
      <w:r>
        <w:rPr>
          <w:i/>
          <w:sz w:val="24"/>
        </w:rPr>
        <w:t>transmission line </w:t>
      </w:r>
      <w:r>
        <w:rPr>
          <w:sz w:val="24"/>
        </w:rPr>
        <w:t>or group of </w:t>
      </w:r>
      <w:r>
        <w:rPr>
          <w:i/>
          <w:sz w:val="24"/>
        </w:rPr>
        <w:t>transmission lines </w:t>
      </w:r>
      <w:r>
        <w:rPr>
          <w:sz w:val="24"/>
        </w:rPr>
        <w:t>that </w:t>
      </w:r>
      <w:r>
        <w:rPr>
          <w:i/>
          <w:sz w:val="24"/>
        </w:rPr>
        <w:t>connects </w:t>
      </w:r>
      <w:r>
        <w:rPr>
          <w:sz w:val="24"/>
        </w:rPr>
        <w:t>the </w:t>
      </w:r>
      <w:r>
        <w:rPr>
          <w:i/>
          <w:sz w:val="24"/>
        </w:rPr>
        <w:t>transmission </w:t>
      </w:r>
      <w:r>
        <w:rPr>
          <w:i/>
          <w:sz w:val="24"/>
        </w:rPr>
        <w:t>networks </w:t>
      </w:r>
      <w:r>
        <w:rPr>
          <w:sz w:val="24"/>
        </w:rPr>
        <w:t>in adjacent </w:t>
      </w:r>
      <w:r>
        <w:rPr>
          <w:i/>
          <w:sz w:val="24"/>
        </w:rPr>
        <w:t>regions</w:t>
      </w:r>
      <w:r>
        <w:rPr>
          <w:sz w:val="24"/>
        </w:rPr>
        <w:t>.</w:t>
      </w:r>
    </w:p>
    <w:p>
      <w:pPr>
        <w:pStyle w:val="Heading5"/>
        <w:rPr>
          <w:i/>
        </w:rPr>
      </w:pPr>
      <w:r>
        <w:rPr>
          <w:i/>
        </w:rPr>
        <w:t>interconnector flow</w:t>
      </w:r>
    </w:p>
    <w:p>
      <w:pPr>
        <w:pStyle w:val="BodyText"/>
        <w:ind w:left="1352" w:firstLine="0"/>
      </w:pPr>
      <w:r>
        <w:rPr/>
        <w:t>The quantity of electricity in MW being transmitted by an </w:t>
      </w:r>
      <w:r>
        <w:rPr>
          <w:i/>
        </w:rPr>
        <w:t>interconnector</w:t>
      </w:r>
      <w:r>
        <w:rPr/>
        <w:t>.</w:t>
      </w:r>
    </w:p>
    <w:p>
      <w:pPr>
        <w:pStyle w:val="Heading5"/>
        <w:rPr>
          <w:i/>
        </w:rPr>
      </w:pPr>
      <w:r>
        <w:rPr>
          <w:i/>
        </w:rPr>
        <w:t>interested party</w:t>
      </w:r>
    </w:p>
    <w:p>
      <w:pPr>
        <w:pStyle w:val="ListParagraph"/>
        <w:numPr>
          <w:ilvl w:val="0"/>
          <w:numId w:val="753"/>
        </w:numPr>
        <w:tabs>
          <w:tab w:pos="1919" w:val="left" w:leader="none"/>
        </w:tabs>
        <w:spacing w:line="240" w:lineRule="auto" w:before="120" w:after="0"/>
        <w:ind w:left="1919" w:right="415" w:hanging="567"/>
        <w:jc w:val="both"/>
        <w:rPr>
          <w:sz w:val="24"/>
        </w:rPr>
      </w:pPr>
      <w:r>
        <w:rPr>
          <w:sz w:val="24"/>
        </w:rPr>
        <w:t>In Chapter 5, a person including an end user or its </w:t>
      </w:r>
      <w:r>
        <w:rPr>
          <w:i/>
          <w:sz w:val="24"/>
        </w:rPr>
        <w:t>representative </w:t>
      </w:r>
      <w:r>
        <w:rPr>
          <w:sz w:val="24"/>
        </w:rPr>
        <w:t>who, in </w:t>
      </w:r>
      <w:r>
        <w:rPr>
          <w:i/>
          <w:sz w:val="24"/>
        </w:rPr>
        <w:t>AEMO's </w:t>
      </w:r>
      <w:r>
        <w:rPr>
          <w:sz w:val="24"/>
        </w:rPr>
        <w:t>opinion, has or identifies itself to </w:t>
      </w:r>
      <w:r>
        <w:rPr>
          <w:i/>
          <w:sz w:val="24"/>
        </w:rPr>
        <w:t>AEMO </w:t>
      </w:r>
      <w:r>
        <w:rPr>
          <w:sz w:val="24"/>
        </w:rPr>
        <w:t>as having an interest in relation to the </w:t>
      </w:r>
      <w:r>
        <w:rPr>
          <w:i/>
          <w:sz w:val="24"/>
        </w:rPr>
        <w:t>network </w:t>
      </w:r>
      <w:r>
        <w:rPr>
          <w:sz w:val="24"/>
        </w:rPr>
        <w:t>planning and development activities covered under Part B of Chapter 5 or in the determination of </w:t>
      </w:r>
      <w:r>
        <w:rPr>
          <w:i/>
          <w:sz w:val="24"/>
        </w:rPr>
        <w:t>plant standards </w:t>
      </w:r>
      <w:r>
        <w:rPr>
          <w:sz w:val="24"/>
        </w:rPr>
        <w:t>covered under clause 5.3.3(b2).</w:t>
      </w:r>
    </w:p>
    <w:p>
      <w:pPr>
        <w:pStyle w:val="ListParagraph"/>
        <w:numPr>
          <w:ilvl w:val="0"/>
          <w:numId w:val="753"/>
        </w:numPr>
        <w:tabs>
          <w:tab w:pos="1919" w:val="left" w:leader="none"/>
        </w:tabs>
        <w:spacing w:line="240" w:lineRule="auto" w:before="120" w:after="0"/>
        <w:ind w:left="1919" w:right="415" w:hanging="567"/>
        <w:jc w:val="both"/>
        <w:rPr>
          <w:sz w:val="24"/>
        </w:rPr>
      </w:pPr>
      <w:r>
        <w:rPr>
          <w:sz w:val="24"/>
        </w:rPr>
        <w:t>Despite the definition in (a) above, in clauses 5.16.4, 5.16.5, 5.17.4 </w:t>
      </w:r>
      <w:r>
        <w:rPr>
          <w:spacing w:val="-5"/>
          <w:sz w:val="24"/>
        </w:rPr>
        <w:t>and </w:t>
      </w:r>
      <w:r>
        <w:rPr>
          <w:sz w:val="24"/>
        </w:rPr>
        <w:t>5.17.5, the meaning given to it in clause</w:t>
      </w:r>
      <w:r>
        <w:rPr>
          <w:spacing w:val="-2"/>
          <w:sz w:val="24"/>
        </w:rPr>
        <w:t> </w:t>
      </w:r>
      <w:r>
        <w:rPr>
          <w:sz w:val="24"/>
        </w:rPr>
        <w:t>5.15.1.</w:t>
      </w:r>
    </w:p>
    <w:p>
      <w:pPr>
        <w:pStyle w:val="ListParagraph"/>
        <w:numPr>
          <w:ilvl w:val="0"/>
          <w:numId w:val="753"/>
        </w:numPr>
        <w:tabs>
          <w:tab w:pos="1919" w:val="left" w:leader="none"/>
        </w:tabs>
        <w:spacing w:line="240" w:lineRule="auto" w:before="120" w:after="0"/>
        <w:ind w:left="1919" w:right="414" w:hanging="567"/>
        <w:jc w:val="both"/>
        <w:rPr>
          <w:sz w:val="24"/>
        </w:rPr>
      </w:pPr>
      <w:r>
        <w:rPr>
          <w:sz w:val="24"/>
        </w:rPr>
        <w:t>In Chapter 6 or Chapter 6A, a person (not being a </w:t>
      </w:r>
      <w:r>
        <w:rPr>
          <w:i/>
          <w:sz w:val="24"/>
        </w:rPr>
        <w:t>Registered Participant </w:t>
      </w:r>
      <w:r>
        <w:rPr>
          <w:sz w:val="24"/>
        </w:rPr>
        <w:t>or </w:t>
      </w:r>
      <w:r>
        <w:rPr>
          <w:i/>
          <w:sz w:val="24"/>
        </w:rPr>
        <w:t>AEMO</w:t>
      </w:r>
      <w:r>
        <w:rPr>
          <w:sz w:val="24"/>
        </w:rPr>
        <w:t>) that has, in the </w:t>
      </w:r>
      <w:r>
        <w:rPr>
          <w:i/>
          <w:sz w:val="24"/>
        </w:rPr>
        <w:t>AER's </w:t>
      </w:r>
      <w:r>
        <w:rPr>
          <w:sz w:val="24"/>
        </w:rPr>
        <w:t>opinion, or identifies itself to the </w:t>
      </w:r>
      <w:r>
        <w:rPr>
          <w:i/>
          <w:sz w:val="24"/>
        </w:rPr>
        <w:t>AER </w:t>
      </w:r>
      <w:r>
        <w:rPr>
          <w:sz w:val="24"/>
        </w:rPr>
        <w:t>as having, an interest in the </w:t>
      </w:r>
      <w:r>
        <w:rPr>
          <w:i/>
          <w:sz w:val="24"/>
        </w:rPr>
        <w:t>Transmission Ring-Fencing Guidelines </w:t>
      </w:r>
      <w:r>
        <w:rPr>
          <w:sz w:val="24"/>
        </w:rPr>
        <w:t>or the </w:t>
      </w:r>
      <w:r>
        <w:rPr>
          <w:i/>
          <w:sz w:val="24"/>
        </w:rPr>
        <w:t>Distribution Ring-Fencing</w:t>
      </w:r>
      <w:r>
        <w:rPr>
          <w:i/>
          <w:spacing w:val="-2"/>
          <w:sz w:val="24"/>
        </w:rPr>
        <w:t> </w:t>
      </w:r>
      <w:r>
        <w:rPr>
          <w:i/>
          <w:sz w:val="24"/>
        </w:rPr>
        <w:t>Guidelines</w:t>
      </w:r>
      <w:r>
        <w:rPr>
          <w:sz w:val="24"/>
        </w:rPr>
        <w:t>.</w:t>
      </w:r>
    </w:p>
    <w:p>
      <w:pPr>
        <w:pStyle w:val="ListParagraph"/>
        <w:numPr>
          <w:ilvl w:val="0"/>
          <w:numId w:val="753"/>
        </w:numPr>
        <w:tabs>
          <w:tab w:pos="1919" w:val="left" w:leader="none"/>
        </w:tabs>
        <w:spacing w:line="240" w:lineRule="auto" w:before="120" w:after="0"/>
        <w:ind w:left="1919" w:right="415" w:hanging="567"/>
        <w:jc w:val="both"/>
        <w:rPr>
          <w:sz w:val="24"/>
        </w:rPr>
      </w:pPr>
      <w:r>
        <w:rPr>
          <w:sz w:val="24"/>
        </w:rPr>
        <w:t>In Chapter 2, a person including an end user or its </w:t>
      </w:r>
      <w:r>
        <w:rPr>
          <w:i/>
          <w:sz w:val="24"/>
        </w:rPr>
        <w:t>representative </w:t>
      </w:r>
      <w:r>
        <w:rPr>
          <w:sz w:val="24"/>
        </w:rPr>
        <w:t>who, in </w:t>
      </w:r>
      <w:r>
        <w:rPr>
          <w:i/>
          <w:sz w:val="24"/>
        </w:rPr>
        <w:t>AEMO's </w:t>
      </w:r>
      <w:r>
        <w:rPr>
          <w:sz w:val="24"/>
        </w:rPr>
        <w:t>opinion, has or identifies itself to </w:t>
      </w:r>
      <w:r>
        <w:rPr>
          <w:i/>
          <w:sz w:val="24"/>
        </w:rPr>
        <w:t>AEMO </w:t>
      </w:r>
      <w:r>
        <w:rPr>
          <w:sz w:val="24"/>
        </w:rPr>
        <w:t>as having an interest in relation to the structure of </w:t>
      </w:r>
      <w:r>
        <w:rPr>
          <w:i/>
          <w:sz w:val="24"/>
        </w:rPr>
        <w:t>Participant</w:t>
      </w:r>
      <w:r>
        <w:rPr>
          <w:i/>
          <w:spacing w:val="-2"/>
          <w:sz w:val="24"/>
        </w:rPr>
        <w:t> </w:t>
      </w:r>
      <w:r>
        <w:rPr>
          <w:i/>
          <w:sz w:val="24"/>
        </w:rPr>
        <w:t>fees</w:t>
      </w:r>
      <w:r>
        <w:rPr>
          <w:sz w:val="24"/>
        </w:rPr>
        <w:t>.</w:t>
      </w:r>
    </w:p>
    <w:p>
      <w:pPr>
        <w:pStyle w:val="ListParagraph"/>
        <w:numPr>
          <w:ilvl w:val="0"/>
          <w:numId w:val="753"/>
        </w:numPr>
        <w:tabs>
          <w:tab w:pos="1919" w:val="left" w:leader="none"/>
        </w:tabs>
        <w:spacing w:line="240" w:lineRule="auto" w:before="120" w:after="0"/>
        <w:ind w:left="1918" w:right="0" w:hanging="567"/>
        <w:jc w:val="both"/>
        <w:rPr>
          <w:sz w:val="24"/>
        </w:rPr>
      </w:pPr>
      <w:r>
        <w:rPr>
          <w:sz w:val="24"/>
        </w:rPr>
        <w:t>In</w:t>
      </w:r>
      <w:r>
        <w:rPr>
          <w:spacing w:val="30"/>
          <w:sz w:val="24"/>
        </w:rPr>
        <w:t> </w:t>
      </w:r>
      <w:r>
        <w:rPr>
          <w:sz w:val="24"/>
        </w:rPr>
        <w:t>Chapter</w:t>
      </w:r>
      <w:r>
        <w:rPr>
          <w:spacing w:val="31"/>
          <w:sz w:val="24"/>
        </w:rPr>
        <w:t> </w:t>
      </w:r>
      <w:r>
        <w:rPr>
          <w:sz w:val="24"/>
        </w:rPr>
        <w:t>7,</w:t>
      </w:r>
      <w:r>
        <w:rPr>
          <w:spacing w:val="31"/>
          <w:sz w:val="24"/>
        </w:rPr>
        <w:t> </w:t>
      </w:r>
      <w:r>
        <w:rPr>
          <w:sz w:val="24"/>
        </w:rPr>
        <w:t>a</w:t>
      </w:r>
      <w:r>
        <w:rPr>
          <w:spacing w:val="32"/>
          <w:sz w:val="24"/>
        </w:rPr>
        <w:t> </w:t>
      </w:r>
      <w:r>
        <w:rPr>
          <w:sz w:val="24"/>
        </w:rPr>
        <w:t>person</w:t>
      </w:r>
      <w:r>
        <w:rPr>
          <w:spacing w:val="31"/>
          <w:sz w:val="24"/>
        </w:rPr>
        <w:t> </w:t>
      </w:r>
      <w:r>
        <w:rPr>
          <w:sz w:val="24"/>
        </w:rPr>
        <w:t>that</w:t>
      </w:r>
      <w:r>
        <w:rPr>
          <w:spacing w:val="30"/>
          <w:sz w:val="24"/>
        </w:rPr>
        <w:t> </w:t>
      </w:r>
      <w:r>
        <w:rPr>
          <w:sz w:val="24"/>
        </w:rPr>
        <w:t>has,</w:t>
      </w:r>
      <w:r>
        <w:rPr>
          <w:spacing w:val="31"/>
          <w:sz w:val="24"/>
        </w:rPr>
        <w:t> </w:t>
      </w:r>
      <w:r>
        <w:rPr>
          <w:sz w:val="24"/>
        </w:rPr>
        <w:t>in</w:t>
      </w:r>
      <w:r>
        <w:rPr>
          <w:spacing w:val="31"/>
          <w:sz w:val="24"/>
        </w:rPr>
        <w:t> </w:t>
      </w:r>
      <w:r>
        <w:rPr>
          <w:i/>
          <w:sz w:val="24"/>
        </w:rPr>
        <w:t>AEMO's</w:t>
      </w:r>
      <w:r>
        <w:rPr>
          <w:i/>
          <w:spacing w:val="31"/>
          <w:sz w:val="24"/>
        </w:rPr>
        <w:t> </w:t>
      </w:r>
      <w:r>
        <w:rPr>
          <w:sz w:val="24"/>
        </w:rPr>
        <w:t>opinion,</w:t>
      </w:r>
      <w:r>
        <w:rPr>
          <w:spacing w:val="31"/>
          <w:sz w:val="24"/>
        </w:rPr>
        <w:t> </w:t>
      </w:r>
      <w:r>
        <w:rPr>
          <w:sz w:val="24"/>
        </w:rPr>
        <w:t>or</w:t>
      </w:r>
      <w:r>
        <w:rPr>
          <w:spacing w:val="31"/>
          <w:sz w:val="24"/>
        </w:rPr>
        <w:t> </w:t>
      </w:r>
      <w:r>
        <w:rPr>
          <w:sz w:val="24"/>
        </w:rPr>
        <w:t>identifies</w:t>
      </w:r>
      <w:r>
        <w:rPr>
          <w:spacing w:val="31"/>
          <w:sz w:val="24"/>
        </w:rPr>
        <w:t> </w:t>
      </w:r>
      <w:r>
        <w:rPr>
          <w:sz w:val="24"/>
        </w:rPr>
        <w:t>itself</w:t>
      </w:r>
      <w:r>
        <w:rPr>
          <w:spacing w:val="31"/>
          <w:sz w:val="24"/>
        </w:rPr>
        <w:t> </w:t>
      </w:r>
      <w:r>
        <w:rPr>
          <w:sz w:val="24"/>
        </w:rPr>
        <w:t>to</w:t>
      </w:r>
    </w:p>
    <w:p>
      <w:pPr>
        <w:pStyle w:val="BodyText"/>
        <w:spacing w:before="0"/>
        <w:ind w:left="1919" w:firstLine="0"/>
      </w:pPr>
      <w:r>
        <w:rPr>
          <w:i/>
        </w:rPr>
        <w:t>AEMO </w:t>
      </w:r>
      <w:r>
        <w:rPr/>
        <w:t>as having, an interest in the relevant procedure in Chapter 7.</w:t>
      </w:r>
    </w:p>
    <w:p>
      <w:pPr>
        <w:pStyle w:val="Heading5"/>
        <w:rPr>
          <w:i/>
        </w:rPr>
      </w:pPr>
      <w:r>
        <w:rPr>
          <w:i/>
        </w:rPr>
        <w:t>interim statement</w:t>
      </w:r>
    </w:p>
    <w:p>
      <w:pPr>
        <w:pStyle w:val="BodyText"/>
        <w:ind w:left="1352" w:firstLine="0"/>
      </w:pPr>
      <w:r>
        <w:rPr/>
        <w:t>Has the meaning given in clause 3.3.11(a)(1).</w:t>
      </w:r>
    </w:p>
    <w:p>
      <w:pPr>
        <w:spacing w:after="0"/>
        <w:sectPr>
          <w:pgSz w:w="11910" w:h="16840"/>
          <w:pgMar w:header="686" w:footer="637" w:top="1320" w:bottom="820" w:left="1200" w:right="1000"/>
        </w:sectPr>
      </w:pPr>
    </w:p>
    <w:p>
      <w:pPr>
        <w:pStyle w:val="Heading5"/>
        <w:spacing w:before="83"/>
        <w:jc w:val="left"/>
        <w:rPr>
          <w:i/>
        </w:rPr>
      </w:pPr>
      <w:r>
        <w:rPr>
          <w:i/>
        </w:rPr>
        <w:t>intermediary</w:t>
      </w:r>
    </w:p>
    <w:p>
      <w:pPr>
        <w:spacing w:before="120"/>
        <w:ind w:left="1352" w:right="415" w:firstLine="0"/>
        <w:jc w:val="both"/>
        <w:rPr>
          <w:sz w:val="24"/>
        </w:rPr>
      </w:pPr>
      <w:r>
        <w:rPr>
          <w:sz w:val="24"/>
        </w:rPr>
        <w:t>A person who is registered by </w:t>
      </w:r>
      <w:r>
        <w:rPr>
          <w:i/>
          <w:sz w:val="24"/>
        </w:rPr>
        <w:t>AEMO </w:t>
      </w:r>
      <w:r>
        <w:rPr>
          <w:sz w:val="24"/>
        </w:rPr>
        <w:t>as a </w:t>
      </w:r>
      <w:r>
        <w:rPr>
          <w:i/>
          <w:sz w:val="24"/>
        </w:rPr>
        <w:t>Generator </w:t>
      </w:r>
      <w:r>
        <w:rPr>
          <w:sz w:val="24"/>
        </w:rPr>
        <w:t>or a </w:t>
      </w:r>
      <w:r>
        <w:rPr>
          <w:i/>
          <w:sz w:val="24"/>
        </w:rPr>
        <w:t>Network Service </w:t>
      </w:r>
      <w:r>
        <w:rPr>
          <w:i/>
          <w:sz w:val="24"/>
        </w:rPr>
        <w:t>Provider </w:t>
      </w:r>
      <w:r>
        <w:rPr>
          <w:sz w:val="24"/>
        </w:rPr>
        <w:t>instead of another person who, in the absence of an exemption under clause 2.9.3, would be required to be registered as such under the </w:t>
      </w:r>
      <w:r>
        <w:rPr>
          <w:i/>
          <w:sz w:val="24"/>
        </w:rPr>
        <w:t>Rules</w:t>
      </w:r>
      <w:r>
        <w:rPr>
          <w:sz w:val="24"/>
        </w:rPr>
        <w:t>.</w:t>
      </w:r>
    </w:p>
    <w:p>
      <w:pPr>
        <w:pStyle w:val="Heading5"/>
        <w:jc w:val="left"/>
        <w:rPr>
          <w:i/>
        </w:rPr>
      </w:pPr>
      <w:r>
        <w:rPr>
          <w:i/>
        </w:rPr>
        <w:t>intermittent</w:t>
      </w:r>
    </w:p>
    <w:p>
      <w:pPr>
        <w:pStyle w:val="BodyText"/>
        <w:ind w:left="1352" w:right="416" w:firstLine="0"/>
      </w:pPr>
      <w:r>
        <w:rPr/>
        <w:t>A description of a </w:t>
      </w:r>
      <w:r>
        <w:rPr>
          <w:i/>
        </w:rPr>
        <w:t>generating unit </w:t>
      </w:r>
      <w:r>
        <w:rPr/>
        <w:t>whose output is not readily predictable, including, without limitation, solar generators, wave turbine generators, wind turbine generators and hydro-generators without any material storage capability.</w:t>
      </w:r>
    </w:p>
    <w:p>
      <w:pPr>
        <w:pStyle w:val="Heading5"/>
        <w:rPr>
          <w:i/>
        </w:rPr>
      </w:pPr>
      <w:r>
        <w:rPr>
          <w:i/>
        </w:rPr>
        <w:t>inter-network test</w:t>
      </w:r>
    </w:p>
    <w:p>
      <w:pPr>
        <w:spacing w:before="120"/>
        <w:ind w:left="1352" w:right="414" w:firstLine="0"/>
        <w:jc w:val="both"/>
        <w:rPr>
          <w:sz w:val="24"/>
        </w:rPr>
      </w:pPr>
      <w:r>
        <w:rPr>
          <w:sz w:val="24"/>
        </w:rPr>
        <w:t>A test conducted for the purpose of verifying the magnitude of the </w:t>
      </w:r>
      <w:r>
        <w:rPr>
          <w:i/>
          <w:sz w:val="24"/>
        </w:rPr>
        <w:t>power transfer </w:t>
      </w:r>
      <w:r>
        <w:rPr>
          <w:i/>
          <w:sz w:val="24"/>
        </w:rPr>
        <w:t>capability </w:t>
      </w:r>
      <w:r>
        <w:rPr>
          <w:sz w:val="24"/>
        </w:rPr>
        <w:t>of more than one </w:t>
      </w:r>
      <w:r>
        <w:rPr>
          <w:i/>
          <w:sz w:val="24"/>
        </w:rPr>
        <w:t>transmission network </w:t>
      </w:r>
      <w:r>
        <w:rPr>
          <w:sz w:val="24"/>
        </w:rPr>
        <w:t>in accordance with clause 5.7.7.</w:t>
      </w:r>
    </w:p>
    <w:p>
      <w:pPr>
        <w:pStyle w:val="Heading5"/>
        <w:rPr>
          <w:i/>
        </w:rPr>
      </w:pPr>
      <w:r>
        <w:rPr>
          <w:i/>
        </w:rPr>
        <w:t>inter-network testing constraint</w:t>
      </w:r>
    </w:p>
    <w:p>
      <w:pPr>
        <w:spacing w:before="120"/>
        <w:ind w:left="1352" w:right="0" w:firstLine="0"/>
        <w:jc w:val="both"/>
        <w:rPr>
          <w:sz w:val="24"/>
        </w:rPr>
      </w:pPr>
      <w:r>
        <w:rPr>
          <w:sz w:val="24"/>
        </w:rPr>
        <w:t>A </w:t>
      </w:r>
      <w:r>
        <w:rPr>
          <w:i/>
          <w:sz w:val="24"/>
        </w:rPr>
        <w:t>constraint </w:t>
      </w:r>
      <w:r>
        <w:rPr>
          <w:sz w:val="24"/>
        </w:rPr>
        <w:t>on a </w:t>
      </w:r>
      <w:r>
        <w:rPr>
          <w:i/>
          <w:sz w:val="24"/>
        </w:rPr>
        <w:t>transmission network </w:t>
      </w:r>
      <w:r>
        <w:rPr>
          <w:sz w:val="24"/>
        </w:rPr>
        <w:t>as contemplated by clause 5.7.7.</w:t>
      </w:r>
    </w:p>
    <w:p>
      <w:pPr>
        <w:pStyle w:val="Heading5"/>
        <w:jc w:val="left"/>
        <w:rPr>
          <w:i/>
        </w:rPr>
      </w:pPr>
      <w:r>
        <w:rPr>
          <w:i/>
        </w:rPr>
        <w:t>inter-regional</w:t>
      </w:r>
    </w:p>
    <w:p>
      <w:pPr>
        <w:spacing w:before="120"/>
        <w:ind w:left="1352" w:right="0" w:firstLine="0"/>
        <w:jc w:val="left"/>
        <w:rPr>
          <w:sz w:val="24"/>
        </w:rPr>
      </w:pPr>
      <w:r>
        <w:rPr>
          <w:sz w:val="24"/>
        </w:rPr>
        <w:t>Between </w:t>
      </w:r>
      <w:r>
        <w:rPr>
          <w:i/>
          <w:sz w:val="24"/>
        </w:rPr>
        <w:t>regions</w:t>
      </w:r>
      <w:r>
        <w:rPr>
          <w:sz w:val="24"/>
        </w:rPr>
        <w:t>.</w:t>
      </w:r>
    </w:p>
    <w:p>
      <w:pPr>
        <w:pStyle w:val="Heading5"/>
        <w:jc w:val="left"/>
        <w:rPr>
          <w:i/>
        </w:rPr>
      </w:pPr>
      <w:r>
        <w:rPr>
          <w:i/>
        </w:rPr>
        <w:t>inter-regional loss factor</w:t>
      </w:r>
    </w:p>
    <w:p>
      <w:pPr>
        <w:spacing w:before="120"/>
        <w:ind w:left="1352" w:right="0" w:firstLine="0"/>
        <w:jc w:val="left"/>
        <w:rPr>
          <w:sz w:val="24"/>
        </w:rPr>
      </w:pPr>
      <w:r>
        <w:rPr>
          <w:sz w:val="24"/>
        </w:rPr>
        <w:t>A </w:t>
      </w:r>
      <w:r>
        <w:rPr>
          <w:i/>
          <w:sz w:val="24"/>
        </w:rPr>
        <w:t>marginal loss factor </w:t>
      </w:r>
      <w:r>
        <w:rPr>
          <w:sz w:val="24"/>
        </w:rPr>
        <w:t>determined according to clause 3.6.1.</w:t>
      </w:r>
    </w:p>
    <w:p>
      <w:pPr>
        <w:pStyle w:val="Heading5"/>
        <w:jc w:val="left"/>
        <w:rPr>
          <w:i/>
        </w:rPr>
      </w:pPr>
      <w:r>
        <w:rPr>
          <w:i/>
        </w:rPr>
        <w:t>inter-regional losses</w:t>
      </w:r>
    </w:p>
    <w:p>
      <w:pPr>
        <w:pStyle w:val="BodyText"/>
        <w:ind w:left="1352" w:firstLine="0"/>
        <w:jc w:val="left"/>
      </w:pPr>
      <w:r>
        <w:rPr/>
        <w:t>Has the meaning given to it by clause 3.6.1(a).</w:t>
      </w:r>
    </w:p>
    <w:p>
      <w:pPr>
        <w:pStyle w:val="Heading5"/>
        <w:jc w:val="left"/>
        <w:rPr>
          <w:i/>
        </w:rPr>
      </w:pPr>
      <w:r>
        <w:rPr>
          <w:i/>
        </w:rPr>
        <w:t>interruptible load</w:t>
      </w:r>
    </w:p>
    <w:p>
      <w:pPr>
        <w:spacing w:before="120"/>
        <w:ind w:left="1352" w:right="415" w:firstLine="0"/>
        <w:jc w:val="both"/>
        <w:rPr>
          <w:sz w:val="24"/>
        </w:rPr>
      </w:pPr>
      <w:r>
        <w:rPr>
          <w:sz w:val="24"/>
        </w:rPr>
        <w:t>A </w:t>
      </w:r>
      <w:r>
        <w:rPr>
          <w:i/>
          <w:sz w:val="24"/>
        </w:rPr>
        <w:t>load </w:t>
      </w:r>
      <w:r>
        <w:rPr>
          <w:sz w:val="24"/>
        </w:rPr>
        <w:t>which is able to be </w:t>
      </w:r>
      <w:r>
        <w:rPr>
          <w:i/>
          <w:sz w:val="24"/>
        </w:rPr>
        <w:t>disconnected</w:t>
      </w:r>
      <w:r>
        <w:rPr>
          <w:sz w:val="24"/>
        </w:rPr>
        <w:t>, either manually or automatically initiated, which is  provided  for  the  restoration  or  control  of  the  </w:t>
      </w:r>
      <w:r>
        <w:rPr>
          <w:i/>
          <w:sz w:val="24"/>
        </w:rPr>
        <w:t>power  </w:t>
      </w:r>
      <w:r>
        <w:rPr>
          <w:i/>
          <w:sz w:val="24"/>
        </w:rPr>
        <w:t>system frequency </w:t>
      </w:r>
      <w:r>
        <w:rPr>
          <w:sz w:val="24"/>
        </w:rPr>
        <w:t>by </w:t>
      </w:r>
      <w:r>
        <w:rPr>
          <w:i/>
          <w:sz w:val="24"/>
        </w:rPr>
        <w:t>AEMO </w:t>
      </w:r>
      <w:r>
        <w:rPr>
          <w:sz w:val="24"/>
        </w:rPr>
        <w:t>to cater for </w:t>
      </w:r>
      <w:r>
        <w:rPr>
          <w:i/>
          <w:sz w:val="24"/>
        </w:rPr>
        <w:t>contingency events </w:t>
      </w:r>
      <w:r>
        <w:rPr>
          <w:sz w:val="24"/>
        </w:rPr>
        <w:t>or shortages of</w:t>
      </w:r>
      <w:r>
        <w:rPr>
          <w:spacing w:val="-24"/>
          <w:sz w:val="24"/>
        </w:rPr>
        <w:t> </w:t>
      </w:r>
      <w:r>
        <w:rPr>
          <w:i/>
          <w:sz w:val="24"/>
        </w:rPr>
        <w:t>supply</w:t>
      </w:r>
      <w:r>
        <w:rPr>
          <w:sz w:val="24"/>
        </w:rPr>
        <w:t>.</w:t>
      </w:r>
    </w:p>
    <w:p>
      <w:pPr>
        <w:pStyle w:val="Heading5"/>
        <w:rPr>
          <w:i/>
        </w:rPr>
      </w:pPr>
      <w:r>
        <w:rPr>
          <w:i/>
        </w:rPr>
        <w:t>interval energy data</w:t>
      </w:r>
    </w:p>
    <w:p>
      <w:pPr>
        <w:spacing w:before="120"/>
        <w:ind w:left="1352" w:right="414" w:firstLine="0"/>
        <w:jc w:val="both"/>
        <w:rPr>
          <w:sz w:val="24"/>
        </w:rPr>
      </w:pPr>
      <w:r>
        <w:rPr>
          <w:sz w:val="24"/>
        </w:rPr>
        <w:t>The data that results from the measurement of the flow of electricity in a power conductor where the data is prepared and recorded by the </w:t>
      </w:r>
      <w:r>
        <w:rPr>
          <w:i/>
          <w:sz w:val="24"/>
        </w:rPr>
        <w:t>metering installation </w:t>
      </w:r>
      <w:r>
        <w:rPr>
          <w:sz w:val="24"/>
        </w:rPr>
        <w:t>in intervals which correspond to a </w:t>
      </w:r>
      <w:r>
        <w:rPr>
          <w:i/>
          <w:sz w:val="24"/>
        </w:rPr>
        <w:t>recording interval </w:t>
      </w:r>
      <w:r>
        <w:rPr>
          <w:sz w:val="24"/>
        </w:rPr>
        <w:t>or are submultiples of a </w:t>
      </w:r>
      <w:r>
        <w:rPr>
          <w:i/>
          <w:sz w:val="24"/>
        </w:rPr>
        <w:t>recording interval</w:t>
      </w:r>
      <w:r>
        <w:rPr>
          <w:sz w:val="24"/>
        </w:rPr>
        <w:t>. </w:t>
      </w:r>
      <w:r>
        <w:rPr>
          <w:i/>
          <w:sz w:val="24"/>
        </w:rPr>
        <w:t>Interval energy data </w:t>
      </w:r>
      <w:r>
        <w:rPr>
          <w:sz w:val="24"/>
        </w:rPr>
        <w:t>is held in the </w:t>
      </w:r>
      <w:r>
        <w:rPr>
          <w:i/>
          <w:sz w:val="24"/>
        </w:rPr>
        <w:t>metering installation</w:t>
      </w:r>
      <w:r>
        <w:rPr>
          <w:sz w:val="24"/>
        </w:rPr>
        <w:t>.</w:t>
      </w:r>
    </w:p>
    <w:p>
      <w:pPr>
        <w:pStyle w:val="Heading5"/>
        <w:rPr>
          <w:i/>
        </w:rPr>
      </w:pPr>
      <w:r>
        <w:rPr>
          <w:i/>
        </w:rPr>
        <w:t>interval meter</w:t>
      </w:r>
    </w:p>
    <w:p>
      <w:pPr>
        <w:spacing w:before="120"/>
        <w:ind w:left="1352" w:right="0" w:firstLine="0"/>
        <w:jc w:val="both"/>
        <w:rPr>
          <w:sz w:val="24"/>
        </w:rPr>
      </w:pPr>
      <w:r>
        <w:rPr>
          <w:sz w:val="24"/>
        </w:rPr>
        <w:t>A meter that records </w:t>
      </w:r>
      <w:r>
        <w:rPr>
          <w:i/>
          <w:sz w:val="24"/>
        </w:rPr>
        <w:t>interval energy data</w:t>
      </w:r>
      <w:r>
        <w:rPr>
          <w:sz w:val="24"/>
        </w:rPr>
        <w:t>.</w:t>
      </w:r>
    </w:p>
    <w:p>
      <w:pPr>
        <w:pStyle w:val="Heading5"/>
        <w:rPr>
          <w:i/>
        </w:rPr>
      </w:pPr>
      <w:r>
        <w:rPr>
          <w:i/>
        </w:rPr>
        <w:t>interval metering data</w:t>
      </w:r>
    </w:p>
    <w:p>
      <w:pPr>
        <w:spacing w:before="120"/>
        <w:ind w:left="1352" w:right="415" w:firstLine="0"/>
        <w:jc w:val="both"/>
        <w:rPr>
          <w:sz w:val="24"/>
        </w:rPr>
      </w:pPr>
      <w:r>
        <w:rPr>
          <w:sz w:val="24"/>
        </w:rPr>
        <w:t>The </w:t>
      </w:r>
      <w:r>
        <w:rPr>
          <w:i/>
          <w:sz w:val="24"/>
        </w:rPr>
        <w:t>interval energy data</w:t>
      </w:r>
      <w:r>
        <w:rPr>
          <w:sz w:val="24"/>
        </w:rPr>
        <w:t>, once collected from a </w:t>
      </w:r>
      <w:r>
        <w:rPr>
          <w:i/>
          <w:sz w:val="24"/>
        </w:rPr>
        <w:t>metering installation</w:t>
      </w:r>
      <w:r>
        <w:rPr>
          <w:sz w:val="24"/>
        </w:rPr>
        <w:t>, is </w:t>
      </w:r>
      <w:r>
        <w:rPr>
          <w:i/>
          <w:sz w:val="24"/>
        </w:rPr>
        <w:t>interval </w:t>
      </w:r>
      <w:r>
        <w:rPr>
          <w:i/>
          <w:sz w:val="24"/>
        </w:rPr>
        <w:t>metering data</w:t>
      </w:r>
      <w:r>
        <w:rPr>
          <w:sz w:val="24"/>
        </w:rPr>
        <w:t>. </w:t>
      </w:r>
      <w:r>
        <w:rPr>
          <w:i/>
          <w:sz w:val="24"/>
        </w:rPr>
        <w:t>Interval metering data </w:t>
      </w:r>
      <w:r>
        <w:rPr>
          <w:sz w:val="24"/>
        </w:rPr>
        <w:t>is held in a </w:t>
      </w:r>
      <w:r>
        <w:rPr>
          <w:i/>
          <w:sz w:val="24"/>
        </w:rPr>
        <w:t>metering data services </w:t>
      </w:r>
      <w:r>
        <w:rPr>
          <w:i/>
          <w:sz w:val="24"/>
        </w:rPr>
        <w:t>database</w:t>
      </w:r>
      <w:r>
        <w:rPr>
          <w:sz w:val="24"/>
        </w:rPr>
        <w:t>.</w:t>
      </w:r>
    </w:p>
    <w:p>
      <w:pPr>
        <w:pStyle w:val="Heading5"/>
        <w:rPr>
          <w:i/>
        </w:rPr>
      </w:pPr>
      <w:r>
        <w:rPr>
          <w:i/>
        </w:rPr>
        <w:t>intervention price dispatch interval</w:t>
      </w:r>
    </w:p>
    <w:p>
      <w:pPr>
        <w:spacing w:before="120"/>
        <w:ind w:left="1352" w:right="416" w:firstLine="0"/>
        <w:jc w:val="both"/>
        <w:rPr>
          <w:sz w:val="24"/>
        </w:rPr>
      </w:pPr>
      <w:r>
        <w:rPr>
          <w:sz w:val="24"/>
        </w:rPr>
        <w:t>A </w:t>
      </w:r>
      <w:r>
        <w:rPr>
          <w:i/>
          <w:sz w:val="24"/>
        </w:rPr>
        <w:t>dispatch interval </w:t>
      </w:r>
      <w:r>
        <w:rPr>
          <w:sz w:val="24"/>
        </w:rPr>
        <w:t>declared by </w:t>
      </w:r>
      <w:r>
        <w:rPr>
          <w:i/>
          <w:sz w:val="24"/>
        </w:rPr>
        <w:t>AEMO </w:t>
      </w:r>
      <w:r>
        <w:rPr>
          <w:sz w:val="24"/>
        </w:rPr>
        <w:t>to be an </w:t>
      </w:r>
      <w:r>
        <w:rPr>
          <w:i/>
          <w:sz w:val="24"/>
        </w:rPr>
        <w:t>intervention price dispatch </w:t>
      </w:r>
      <w:r>
        <w:rPr>
          <w:i/>
          <w:sz w:val="24"/>
        </w:rPr>
        <w:t>interval </w:t>
      </w:r>
      <w:r>
        <w:rPr>
          <w:sz w:val="24"/>
        </w:rPr>
        <w:t>in accordance with clause 3.9.3.</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intervention price trading interval</w:t>
      </w:r>
    </w:p>
    <w:p>
      <w:pPr>
        <w:spacing w:before="120"/>
        <w:ind w:left="1352" w:right="415" w:firstLine="0"/>
        <w:jc w:val="left"/>
        <w:rPr>
          <w:sz w:val="24"/>
        </w:rPr>
      </w:pPr>
      <w:r>
        <w:rPr>
          <w:sz w:val="24"/>
        </w:rPr>
        <w:t>A </w:t>
      </w:r>
      <w:r>
        <w:rPr>
          <w:i/>
          <w:sz w:val="24"/>
        </w:rPr>
        <w:t>trading interval </w:t>
      </w:r>
      <w:r>
        <w:rPr>
          <w:sz w:val="24"/>
        </w:rPr>
        <w:t>in which </w:t>
      </w:r>
      <w:r>
        <w:rPr>
          <w:i/>
          <w:sz w:val="24"/>
        </w:rPr>
        <w:t>AEMO </w:t>
      </w:r>
      <w:r>
        <w:rPr>
          <w:sz w:val="24"/>
        </w:rPr>
        <w:t>has declared an </w:t>
      </w:r>
      <w:r>
        <w:rPr>
          <w:i/>
          <w:sz w:val="24"/>
        </w:rPr>
        <w:t>intervention price dispatch </w:t>
      </w:r>
      <w:r>
        <w:rPr>
          <w:i/>
          <w:sz w:val="24"/>
        </w:rPr>
        <w:t>interval </w:t>
      </w:r>
      <w:r>
        <w:rPr>
          <w:sz w:val="24"/>
        </w:rPr>
        <w:t>in accordance with clause 3.9.3.</w:t>
      </w:r>
    </w:p>
    <w:p>
      <w:pPr>
        <w:pStyle w:val="Heading5"/>
        <w:jc w:val="left"/>
        <w:rPr>
          <w:i/>
        </w:rPr>
      </w:pPr>
      <w:r>
        <w:rPr>
          <w:i/>
        </w:rPr>
        <w:t>intervention settlement timetable</w:t>
      </w:r>
    </w:p>
    <w:p>
      <w:pPr>
        <w:pStyle w:val="BodyText"/>
        <w:ind w:left="1352" w:firstLine="0"/>
        <w:jc w:val="left"/>
      </w:pPr>
      <w:r>
        <w:rPr/>
        <w:t>Has the meaning given in clause 3.12.1(b).</w:t>
      </w:r>
    </w:p>
    <w:p>
      <w:pPr>
        <w:pStyle w:val="Heading5"/>
        <w:jc w:val="left"/>
        <w:rPr>
          <w:i/>
        </w:rPr>
      </w:pPr>
      <w:r>
        <w:rPr>
          <w:i/>
        </w:rPr>
        <w:t>intra-regional</w:t>
      </w:r>
    </w:p>
    <w:p>
      <w:pPr>
        <w:spacing w:before="120"/>
        <w:ind w:left="1352" w:right="0" w:firstLine="0"/>
        <w:jc w:val="left"/>
        <w:rPr>
          <w:sz w:val="24"/>
        </w:rPr>
      </w:pPr>
      <w:r>
        <w:rPr>
          <w:sz w:val="24"/>
        </w:rPr>
        <w:t>Within a </w:t>
      </w:r>
      <w:r>
        <w:rPr>
          <w:i/>
          <w:sz w:val="24"/>
        </w:rPr>
        <w:t>region</w:t>
      </w:r>
      <w:r>
        <w:rPr>
          <w:sz w:val="24"/>
        </w:rPr>
        <w:t>.</w:t>
      </w:r>
    </w:p>
    <w:p>
      <w:pPr>
        <w:pStyle w:val="Heading5"/>
        <w:jc w:val="left"/>
        <w:rPr>
          <w:i/>
        </w:rPr>
      </w:pPr>
      <w:r>
        <w:rPr>
          <w:i/>
        </w:rPr>
        <w:t>intra-regional loss factor</w:t>
      </w:r>
    </w:p>
    <w:p>
      <w:pPr>
        <w:spacing w:before="120"/>
        <w:ind w:left="1352" w:right="0" w:firstLine="0"/>
        <w:jc w:val="left"/>
        <w:rPr>
          <w:sz w:val="24"/>
        </w:rPr>
      </w:pPr>
      <w:r>
        <w:rPr>
          <w:sz w:val="24"/>
        </w:rPr>
        <w:t>A </w:t>
      </w:r>
      <w:r>
        <w:rPr>
          <w:i/>
          <w:sz w:val="24"/>
        </w:rPr>
        <w:t>marginal loss factor </w:t>
      </w:r>
      <w:r>
        <w:rPr>
          <w:sz w:val="24"/>
        </w:rPr>
        <w:t>determined according to clause 3.6.2.</w:t>
      </w:r>
    </w:p>
    <w:p>
      <w:pPr>
        <w:pStyle w:val="Heading5"/>
        <w:jc w:val="left"/>
        <w:rPr>
          <w:i/>
        </w:rPr>
      </w:pPr>
      <w:r>
        <w:rPr>
          <w:i/>
        </w:rPr>
        <w:t>intra-regional losses</w:t>
      </w:r>
    </w:p>
    <w:p>
      <w:pPr>
        <w:pStyle w:val="BodyText"/>
        <w:ind w:left="1352" w:firstLine="0"/>
        <w:jc w:val="left"/>
      </w:pPr>
      <w:r>
        <w:rPr/>
        <w:t>Has the meaning given to it by clause 3.6.2(a).</w:t>
      </w:r>
    </w:p>
    <w:p>
      <w:pPr>
        <w:pStyle w:val="Heading5"/>
        <w:jc w:val="left"/>
        <w:rPr>
          <w:i/>
        </w:rPr>
      </w:pPr>
      <w:r>
        <w:rPr>
          <w:i/>
        </w:rPr>
        <w:t>invoiced amount</w:t>
      </w:r>
    </w:p>
    <w:p>
      <w:pPr>
        <w:spacing w:before="120"/>
        <w:ind w:left="1352" w:right="415" w:firstLine="0"/>
        <w:jc w:val="both"/>
        <w:rPr>
          <w:sz w:val="24"/>
        </w:rPr>
      </w:pPr>
      <w:r>
        <w:rPr>
          <w:sz w:val="24"/>
        </w:rPr>
        <w:t>The aggregate of the </w:t>
      </w:r>
      <w:r>
        <w:rPr>
          <w:i/>
          <w:sz w:val="24"/>
        </w:rPr>
        <w:t>settlement statements</w:t>
      </w:r>
      <w:r>
        <w:rPr>
          <w:sz w:val="24"/>
        </w:rPr>
        <w:t>, </w:t>
      </w:r>
      <w:r>
        <w:rPr>
          <w:i/>
          <w:sz w:val="24"/>
        </w:rPr>
        <w:t>interim</w:t>
      </w:r>
      <w:r>
        <w:rPr>
          <w:sz w:val="24"/>
        </w:rPr>
        <w:t>, </w:t>
      </w:r>
      <w:r>
        <w:rPr>
          <w:i/>
          <w:sz w:val="24"/>
        </w:rPr>
        <w:t>preliminary </w:t>
      </w:r>
      <w:r>
        <w:rPr>
          <w:sz w:val="24"/>
        </w:rPr>
        <w:t>or </w:t>
      </w:r>
      <w:r>
        <w:rPr>
          <w:i/>
          <w:sz w:val="24"/>
        </w:rPr>
        <w:t>final</w:t>
      </w:r>
      <w:r>
        <w:rPr>
          <w:sz w:val="24"/>
        </w:rPr>
        <w:t>, which at the time of issue of a </w:t>
      </w:r>
      <w:r>
        <w:rPr>
          <w:i/>
          <w:sz w:val="24"/>
        </w:rPr>
        <w:t>call notice </w:t>
      </w:r>
      <w:r>
        <w:rPr>
          <w:sz w:val="24"/>
        </w:rPr>
        <w:t>are unpaid by the </w:t>
      </w:r>
      <w:r>
        <w:rPr>
          <w:i/>
          <w:sz w:val="24"/>
        </w:rPr>
        <w:t>Market Participant</w:t>
      </w:r>
      <w:r>
        <w:rPr>
          <w:sz w:val="24"/>
        </w:rPr>
        <w:t>, notwithstanding that the usual time for issue or payment of those </w:t>
      </w:r>
      <w:r>
        <w:rPr>
          <w:i/>
          <w:sz w:val="24"/>
        </w:rPr>
        <w:t>settlement </w:t>
      </w:r>
      <w:r>
        <w:rPr>
          <w:i/>
          <w:sz w:val="24"/>
        </w:rPr>
        <w:t>statements </w:t>
      </w:r>
      <w:r>
        <w:rPr>
          <w:sz w:val="24"/>
        </w:rPr>
        <w:t>has not been reached.</w:t>
      </w:r>
    </w:p>
    <w:p>
      <w:pPr>
        <w:spacing w:after="0"/>
        <w:jc w:val="both"/>
        <w:rPr>
          <w:sz w:val="24"/>
        </w:rPr>
        <w:sectPr>
          <w:pgSz w:w="11910" w:h="16840"/>
          <w:pgMar w:header="686" w:footer="637" w:top="1320" w:bottom="820" w:left="1200" w:right="1000"/>
        </w:sectPr>
      </w:pPr>
    </w:p>
    <w:p>
      <w:pPr>
        <w:pStyle w:val="Heading5"/>
        <w:jc w:val="left"/>
        <w:rPr>
          <w:i/>
        </w:rPr>
      </w:pPr>
      <w:r>
        <w:rPr>
          <w:i/>
        </w:rPr>
        <w:t>isolation</w:t>
      </w:r>
    </w:p>
    <w:p>
      <w:pPr>
        <w:pStyle w:val="BodyText"/>
        <w:spacing w:before="0"/>
        <w:ind w:firstLine="0"/>
        <w:jc w:val="left"/>
        <w:rPr>
          <w:b/>
          <w:i/>
          <w:sz w:val="26"/>
        </w:rPr>
      </w:pPr>
      <w:r>
        <w:rPr/>
        <w:br w:type="column"/>
      </w:r>
      <w:r>
        <w:rPr>
          <w:b/>
          <w:i/>
          <w:sz w:val="26"/>
        </w:rPr>
      </w:r>
    </w:p>
    <w:p>
      <w:pPr>
        <w:pStyle w:val="BodyText"/>
        <w:spacing w:before="217"/>
        <w:ind w:left="218" w:right="407" w:firstLine="0"/>
        <w:jc w:val="left"/>
      </w:pPr>
      <w:r>
        <w:rPr/>
        <w:t>Electrical isolation of one part of a communication system from another but where the passage of </w:t>
      </w:r>
      <w:r>
        <w:rPr>
          <w:i/>
        </w:rPr>
        <w:t>electronic data transfer </w:t>
      </w:r>
      <w:r>
        <w:rPr/>
        <w:t>is not prevented.</w:t>
      </w:r>
    </w:p>
    <w:p>
      <w:pPr>
        <w:spacing w:after="0"/>
        <w:jc w:val="left"/>
        <w:sectPr>
          <w:type w:val="continuous"/>
          <w:pgSz w:w="11910" w:h="16840"/>
          <w:pgMar w:top="1360" w:bottom="280" w:left="1200" w:right="1000"/>
          <w:cols w:num="2" w:equalWidth="0">
            <w:col w:w="1072" w:space="62"/>
            <w:col w:w="8576"/>
          </w:cols>
        </w:sectPr>
      </w:pPr>
    </w:p>
    <w:p>
      <w:pPr>
        <w:pStyle w:val="Heading5"/>
        <w:rPr>
          <w:i/>
        </w:rPr>
      </w:pPr>
      <w:r>
        <w:rPr>
          <w:i/>
        </w:rPr>
        <w:t>islanded, islanding</w:t>
      </w:r>
    </w:p>
    <w:p>
      <w:pPr>
        <w:spacing w:before="120"/>
        <w:ind w:left="1352" w:right="415" w:firstLine="0"/>
        <w:jc w:val="both"/>
        <w:rPr>
          <w:sz w:val="24"/>
        </w:rPr>
      </w:pPr>
      <w:r>
        <w:rPr>
          <w:sz w:val="24"/>
        </w:rPr>
        <w:t>In relation to an </w:t>
      </w:r>
      <w:r>
        <w:rPr>
          <w:i/>
          <w:sz w:val="24"/>
        </w:rPr>
        <w:t>inertia sub-network </w:t>
      </w:r>
      <w:r>
        <w:rPr>
          <w:sz w:val="24"/>
        </w:rPr>
        <w:t>or a combination of two or more </w:t>
      </w:r>
      <w:r>
        <w:rPr>
          <w:i/>
          <w:sz w:val="24"/>
        </w:rPr>
        <w:t>inertia sub- </w:t>
      </w:r>
      <w:r>
        <w:rPr>
          <w:i/>
          <w:sz w:val="24"/>
        </w:rPr>
        <w:t>networks</w:t>
      </w:r>
      <w:r>
        <w:rPr>
          <w:sz w:val="24"/>
        </w:rPr>
        <w:t>, temporary loss of synchronous </w:t>
      </w:r>
      <w:r>
        <w:rPr>
          <w:i/>
          <w:sz w:val="24"/>
        </w:rPr>
        <w:t>connection </w:t>
      </w:r>
      <w:r>
        <w:rPr>
          <w:sz w:val="24"/>
        </w:rPr>
        <w:t>to all adjacent parts of the </w:t>
      </w:r>
      <w:r>
        <w:rPr>
          <w:i/>
          <w:sz w:val="24"/>
        </w:rPr>
        <w:t>national</w:t>
      </w:r>
      <w:r>
        <w:rPr>
          <w:i/>
          <w:spacing w:val="-1"/>
          <w:sz w:val="24"/>
        </w:rPr>
        <w:t> </w:t>
      </w:r>
      <w:r>
        <w:rPr>
          <w:i/>
          <w:sz w:val="24"/>
        </w:rPr>
        <w:t>grid</w:t>
      </w:r>
      <w:r>
        <w:rPr>
          <w:sz w:val="24"/>
        </w:rPr>
        <w:t>.</w:t>
      </w:r>
    </w:p>
    <w:p>
      <w:pPr>
        <w:pStyle w:val="Heading5"/>
        <w:rPr>
          <w:i/>
        </w:rPr>
      </w:pPr>
      <w:r>
        <w:rPr>
          <w:i/>
        </w:rPr>
        <w:t>jurisdictional</w:t>
      </w:r>
      <w:r>
        <w:rPr>
          <w:i/>
          <w:spacing w:val="-3"/>
        </w:rPr>
        <w:t> </w:t>
      </w:r>
      <w:r>
        <w:rPr>
          <w:i/>
        </w:rPr>
        <w:t>derogation</w:t>
      </w:r>
    </w:p>
    <w:p>
      <w:pPr>
        <w:spacing w:before="120"/>
        <w:ind w:left="1352" w:right="415" w:firstLine="0"/>
        <w:jc w:val="both"/>
        <w:rPr>
          <w:sz w:val="24"/>
        </w:rPr>
      </w:pPr>
      <w:r>
        <w:rPr>
          <w:sz w:val="24"/>
        </w:rPr>
        <w:t>Has the meaning given in the </w:t>
      </w:r>
      <w:r>
        <w:rPr>
          <w:i/>
          <w:sz w:val="24"/>
        </w:rPr>
        <w:t>National Electricity Law</w:t>
      </w:r>
      <w:r>
        <w:rPr>
          <w:sz w:val="24"/>
        </w:rPr>
        <w:t>. The jurisdictional derogations are included in Chapter 9.</w:t>
      </w:r>
    </w:p>
    <w:p>
      <w:pPr>
        <w:pStyle w:val="Heading5"/>
        <w:rPr>
          <w:i/>
        </w:rPr>
      </w:pPr>
      <w:r>
        <w:rPr>
          <w:i/>
        </w:rPr>
        <w:t>jurisdictional electricity legislation</w:t>
      </w:r>
    </w:p>
    <w:p>
      <w:pPr>
        <w:spacing w:before="120"/>
        <w:ind w:left="1352" w:right="0" w:firstLine="0"/>
        <w:jc w:val="both"/>
        <w:rPr>
          <w:sz w:val="24"/>
        </w:rPr>
      </w:pPr>
      <w:r>
        <w:rPr>
          <w:sz w:val="24"/>
        </w:rPr>
        <w:t>Has the meaning given to that term in the </w:t>
      </w:r>
      <w:r>
        <w:rPr>
          <w:i/>
          <w:sz w:val="24"/>
        </w:rPr>
        <w:t>National Electricity Law</w:t>
      </w:r>
      <w:r>
        <w:rPr>
          <w:sz w:val="24"/>
        </w:rPr>
        <w:t>.</w:t>
      </w:r>
    </w:p>
    <w:p>
      <w:pPr>
        <w:pStyle w:val="Heading5"/>
        <w:rPr>
          <w:i/>
        </w:rPr>
      </w:pPr>
      <w:r>
        <w:rPr>
          <w:i/>
        </w:rPr>
        <w:t>jurisdictional metrology material</w:t>
      </w:r>
    </w:p>
    <w:p>
      <w:pPr>
        <w:spacing w:before="120"/>
        <w:ind w:left="1352" w:right="415" w:firstLine="0"/>
        <w:jc w:val="both"/>
        <w:rPr>
          <w:sz w:val="24"/>
        </w:rPr>
      </w:pPr>
      <w:r>
        <w:rPr>
          <w:sz w:val="24"/>
        </w:rPr>
        <w:t>Jurisdictional metrology matters that are to be included in the </w:t>
      </w:r>
      <w:r>
        <w:rPr>
          <w:i/>
          <w:sz w:val="24"/>
        </w:rPr>
        <w:t>metrology </w:t>
      </w:r>
      <w:r>
        <w:rPr>
          <w:i/>
          <w:sz w:val="24"/>
        </w:rPr>
        <w:t>procedure </w:t>
      </w:r>
      <w:r>
        <w:rPr>
          <w:sz w:val="24"/>
        </w:rPr>
        <w:t>for one or more of the </w:t>
      </w:r>
      <w:r>
        <w:rPr>
          <w:i/>
          <w:sz w:val="24"/>
        </w:rPr>
        <w:t>participating jurisdictions </w:t>
      </w:r>
      <w:r>
        <w:rPr>
          <w:sz w:val="24"/>
        </w:rPr>
        <w:t>and which is submitted by the </w:t>
      </w:r>
      <w:r>
        <w:rPr>
          <w:i/>
          <w:sz w:val="24"/>
        </w:rPr>
        <w:t>Ministers </w:t>
      </w:r>
      <w:r>
        <w:rPr>
          <w:sz w:val="24"/>
        </w:rPr>
        <w:t>of </w:t>
      </w:r>
      <w:r>
        <w:rPr>
          <w:i/>
          <w:sz w:val="24"/>
        </w:rPr>
        <w:t>the MCE </w:t>
      </w:r>
      <w:r>
        <w:rPr>
          <w:sz w:val="24"/>
        </w:rPr>
        <w:t>to </w:t>
      </w:r>
      <w:r>
        <w:rPr>
          <w:i/>
          <w:sz w:val="24"/>
        </w:rPr>
        <w:t>AEMO </w:t>
      </w:r>
      <w:r>
        <w:rPr>
          <w:sz w:val="24"/>
        </w:rPr>
        <w:t>under clause</w:t>
      </w:r>
      <w:r>
        <w:rPr>
          <w:spacing w:val="-6"/>
          <w:sz w:val="24"/>
        </w:rPr>
        <w:t> </w:t>
      </w:r>
      <w:r>
        <w:rPr>
          <w:sz w:val="24"/>
        </w:rPr>
        <w:t>7.16.4.</w:t>
      </w:r>
    </w:p>
    <w:p>
      <w:pPr>
        <w:pStyle w:val="Heading5"/>
        <w:rPr>
          <w:i/>
        </w:rPr>
      </w:pPr>
      <w:r>
        <w:rPr>
          <w:i/>
        </w:rPr>
        <w:t>Jurisdictional NMI Standing Data schedule</w:t>
      </w:r>
    </w:p>
    <w:p>
      <w:pPr>
        <w:pStyle w:val="BodyText"/>
        <w:ind w:left="1352" w:right="415" w:firstLine="0"/>
      </w:pPr>
      <w:r>
        <w:rPr/>
        <w:t>The schedules described in clause 3.13.12(a), as amended from time to time in accordance with clause 3.13.12(b).</w:t>
      </w:r>
    </w:p>
    <w:p>
      <w:pPr>
        <w:pStyle w:val="Heading5"/>
        <w:rPr>
          <w:i/>
        </w:rPr>
      </w:pPr>
      <w:r>
        <w:rPr>
          <w:i/>
        </w:rPr>
        <w:t>Jurisdictional NMI Standing Data suppliers</w:t>
      </w:r>
    </w:p>
    <w:p>
      <w:pPr>
        <w:spacing w:before="120"/>
        <w:ind w:left="1352" w:right="415" w:firstLine="0"/>
        <w:jc w:val="both"/>
        <w:rPr>
          <w:sz w:val="24"/>
        </w:rPr>
      </w:pPr>
      <w:r>
        <w:rPr>
          <w:i/>
          <w:sz w:val="24"/>
        </w:rPr>
        <w:t>Registered Participants </w:t>
      </w:r>
      <w:r>
        <w:rPr>
          <w:sz w:val="24"/>
        </w:rPr>
        <w:t>which are required by the relevant </w:t>
      </w:r>
      <w:r>
        <w:rPr>
          <w:i/>
          <w:sz w:val="24"/>
        </w:rPr>
        <w:t>participating </w:t>
      </w:r>
      <w:r>
        <w:rPr>
          <w:i/>
          <w:sz w:val="24"/>
        </w:rPr>
        <w:t>jurisdiction's </w:t>
      </w:r>
      <w:r>
        <w:rPr>
          <w:sz w:val="24"/>
        </w:rPr>
        <w:t>legislation or licensing requirements to supply </w:t>
      </w:r>
      <w:r>
        <w:rPr>
          <w:i/>
          <w:sz w:val="24"/>
        </w:rPr>
        <w:t>NMI Standing Data </w:t>
      </w:r>
      <w:r>
        <w:rPr>
          <w:sz w:val="24"/>
        </w:rPr>
        <w:t>in respect of </w:t>
      </w:r>
      <w:r>
        <w:rPr>
          <w:i/>
          <w:sz w:val="24"/>
        </w:rPr>
        <w:t>connection points </w:t>
      </w:r>
      <w:r>
        <w:rPr>
          <w:sz w:val="24"/>
        </w:rPr>
        <w:t>in that </w:t>
      </w:r>
      <w:r>
        <w:rPr>
          <w:i/>
          <w:sz w:val="24"/>
        </w:rPr>
        <w:t>participating jurisdiction </w:t>
      </w:r>
      <w:r>
        <w:rPr>
          <w:sz w:val="24"/>
        </w:rPr>
        <w:t>to</w:t>
      </w:r>
      <w:r>
        <w:rPr>
          <w:spacing w:val="-3"/>
          <w:sz w:val="24"/>
        </w:rPr>
        <w:t> </w:t>
      </w:r>
      <w:r>
        <w:rPr>
          <w:i/>
          <w:sz w:val="24"/>
        </w:rPr>
        <w:t>AEMO</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jurisdictional planning body</w:t>
      </w:r>
    </w:p>
    <w:p>
      <w:pPr>
        <w:spacing w:before="120"/>
        <w:ind w:left="1352" w:right="414" w:firstLine="0"/>
        <w:jc w:val="both"/>
        <w:rPr>
          <w:sz w:val="24"/>
        </w:rPr>
      </w:pPr>
      <w:r>
        <w:rPr>
          <w:sz w:val="24"/>
        </w:rPr>
        <w:t>The entity nominated by the relevant </w:t>
      </w:r>
      <w:r>
        <w:rPr>
          <w:i/>
          <w:sz w:val="24"/>
        </w:rPr>
        <w:t>Minister of a participating jurisdiction </w:t>
      </w:r>
      <w:r>
        <w:rPr>
          <w:sz w:val="24"/>
        </w:rPr>
        <w:t>as having </w:t>
      </w:r>
      <w:r>
        <w:rPr>
          <w:i/>
          <w:sz w:val="24"/>
        </w:rPr>
        <w:t>transmission system </w:t>
      </w:r>
      <w:r>
        <w:rPr>
          <w:sz w:val="24"/>
        </w:rPr>
        <w:t>planning responsibility in that </w:t>
      </w:r>
      <w:r>
        <w:rPr>
          <w:i/>
          <w:sz w:val="24"/>
        </w:rPr>
        <w:t>participating </w:t>
      </w:r>
      <w:r>
        <w:rPr>
          <w:i/>
          <w:sz w:val="24"/>
        </w:rPr>
        <w:t>jurisdiction</w:t>
      </w:r>
      <w:r>
        <w:rPr>
          <w:sz w:val="24"/>
        </w:rPr>
        <w:t>.</w:t>
      </w:r>
    </w:p>
    <w:p>
      <w:pPr>
        <w:pStyle w:val="Heading5"/>
        <w:rPr>
          <w:i/>
        </w:rPr>
      </w:pPr>
      <w:r>
        <w:rPr>
          <w:i/>
        </w:rPr>
        <w:t>jurisdictional planning representative</w:t>
      </w:r>
    </w:p>
    <w:p>
      <w:pPr>
        <w:spacing w:before="120"/>
        <w:ind w:left="1352" w:right="415" w:firstLine="0"/>
        <w:jc w:val="both"/>
        <w:rPr>
          <w:sz w:val="24"/>
        </w:rPr>
      </w:pPr>
      <w:r>
        <w:rPr>
          <w:sz w:val="24"/>
        </w:rPr>
        <w:t>The </w:t>
      </w:r>
      <w:r>
        <w:rPr>
          <w:i/>
          <w:sz w:val="24"/>
        </w:rPr>
        <w:t>representative </w:t>
      </w:r>
      <w:r>
        <w:rPr>
          <w:sz w:val="24"/>
        </w:rPr>
        <w:t>from the </w:t>
      </w:r>
      <w:r>
        <w:rPr>
          <w:i/>
          <w:sz w:val="24"/>
        </w:rPr>
        <w:t>jurisdictional planning body </w:t>
      </w:r>
      <w:r>
        <w:rPr>
          <w:sz w:val="24"/>
        </w:rPr>
        <w:t>for a </w:t>
      </w:r>
      <w:r>
        <w:rPr>
          <w:i/>
          <w:sz w:val="24"/>
        </w:rPr>
        <w:t>participating </w:t>
      </w:r>
      <w:r>
        <w:rPr>
          <w:i/>
          <w:sz w:val="24"/>
        </w:rPr>
        <w:t>jurisdiction </w:t>
      </w:r>
      <w:r>
        <w:rPr>
          <w:sz w:val="24"/>
        </w:rPr>
        <w:t>nominated by that </w:t>
      </w:r>
      <w:r>
        <w:rPr>
          <w:i/>
          <w:sz w:val="24"/>
        </w:rPr>
        <w:t>jurisdictional planning body </w:t>
      </w:r>
      <w:r>
        <w:rPr>
          <w:sz w:val="24"/>
        </w:rPr>
        <w:t>as the </w:t>
      </w:r>
      <w:r>
        <w:rPr>
          <w:i/>
          <w:sz w:val="24"/>
        </w:rPr>
        <w:t>jurisdictional </w:t>
      </w:r>
      <w:r>
        <w:rPr>
          <w:i/>
          <w:sz w:val="24"/>
        </w:rPr>
        <w:t>planning representative </w:t>
      </w:r>
      <w:r>
        <w:rPr>
          <w:sz w:val="24"/>
        </w:rPr>
        <w:t>for that </w:t>
      </w:r>
      <w:r>
        <w:rPr>
          <w:i/>
          <w:sz w:val="24"/>
        </w:rPr>
        <w:t>participating jurisdiction</w:t>
      </w:r>
      <w:r>
        <w:rPr>
          <w:sz w:val="24"/>
        </w:rPr>
        <w:t>.</w:t>
      </w:r>
    </w:p>
    <w:p>
      <w:pPr>
        <w:pStyle w:val="Heading5"/>
        <w:rPr>
          <w:i/>
        </w:rPr>
      </w:pPr>
      <w:r>
        <w:rPr>
          <w:i/>
        </w:rPr>
        <w:t>Jurisdictional Regulator</w:t>
      </w:r>
    </w:p>
    <w:p>
      <w:pPr>
        <w:spacing w:before="120"/>
        <w:ind w:left="1352" w:right="415" w:firstLine="0"/>
        <w:jc w:val="both"/>
        <w:rPr>
          <w:sz w:val="24"/>
        </w:rPr>
      </w:pPr>
      <w:r>
        <w:rPr>
          <w:sz w:val="24"/>
        </w:rPr>
        <w:t>The person authorised by a </w:t>
      </w:r>
      <w:r>
        <w:rPr>
          <w:i/>
          <w:sz w:val="24"/>
        </w:rPr>
        <w:t>participating jurisdiction </w:t>
      </w:r>
      <w:r>
        <w:rPr>
          <w:sz w:val="24"/>
        </w:rPr>
        <w:t>to regulate </w:t>
      </w:r>
      <w:r>
        <w:rPr>
          <w:i/>
          <w:sz w:val="24"/>
        </w:rPr>
        <w:t>distribution </w:t>
      </w:r>
      <w:r>
        <w:rPr>
          <w:i/>
          <w:sz w:val="24"/>
        </w:rPr>
        <w:t>service </w:t>
      </w:r>
      <w:r>
        <w:rPr>
          <w:sz w:val="24"/>
        </w:rPr>
        <w:t>prices in that jurisdiction.</w:t>
      </w:r>
    </w:p>
    <w:p>
      <w:pPr>
        <w:pStyle w:val="Heading5"/>
        <w:rPr>
          <w:i/>
        </w:rPr>
      </w:pPr>
      <w:r>
        <w:rPr>
          <w:i/>
        </w:rPr>
        <w:t>jurisdictional scheme</w:t>
      </w:r>
    </w:p>
    <w:p>
      <w:pPr>
        <w:pStyle w:val="BodyText"/>
        <w:ind w:left="1352" w:firstLine="0"/>
      </w:pPr>
      <w:r>
        <w:rPr/>
        <w:t>Has the meaning given in clause 6.18.7A(d).</w:t>
      </w:r>
    </w:p>
    <w:p>
      <w:pPr>
        <w:pStyle w:val="Heading5"/>
        <w:rPr>
          <w:i/>
        </w:rPr>
      </w:pPr>
      <w:r>
        <w:rPr>
          <w:i/>
        </w:rPr>
        <w:t>jurisdictional scheme amounts</w:t>
      </w:r>
    </w:p>
    <w:p>
      <w:pPr>
        <w:spacing w:before="120"/>
        <w:ind w:left="1352" w:right="0" w:firstLine="0"/>
        <w:jc w:val="left"/>
        <w:rPr>
          <w:sz w:val="24"/>
        </w:rPr>
      </w:pPr>
      <w:r>
        <w:rPr>
          <w:sz w:val="24"/>
        </w:rPr>
        <w:t>In respect of a </w:t>
      </w:r>
      <w:r>
        <w:rPr>
          <w:i/>
          <w:sz w:val="24"/>
        </w:rPr>
        <w:t>jurisdictional scheme</w:t>
      </w:r>
      <w:r>
        <w:rPr>
          <w:sz w:val="24"/>
        </w:rPr>
        <w:t>, the amounts a </w:t>
      </w:r>
      <w:r>
        <w:rPr>
          <w:i/>
          <w:sz w:val="24"/>
        </w:rPr>
        <w:t>Distribution Network Service </w:t>
      </w:r>
      <w:r>
        <w:rPr>
          <w:i/>
          <w:sz w:val="24"/>
        </w:rPr>
        <w:t>Provider </w:t>
      </w:r>
      <w:r>
        <w:rPr>
          <w:sz w:val="24"/>
        </w:rPr>
        <w:t>is required under the </w:t>
      </w:r>
      <w:r>
        <w:rPr>
          <w:i/>
          <w:sz w:val="24"/>
        </w:rPr>
        <w:t>jurisdictional scheme obligations </w:t>
      </w:r>
      <w:r>
        <w:rPr>
          <w:sz w:val="24"/>
        </w:rPr>
        <w:t>to:</w:t>
      </w:r>
    </w:p>
    <w:p>
      <w:pPr>
        <w:pStyle w:val="ListParagraph"/>
        <w:numPr>
          <w:ilvl w:val="0"/>
          <w:numId w:val="754"/>
        </w:numPr>
        <w:tabs>
          <w:tab w:pos="1918" w:val="left" w:leader="none"/>
          <w:tab w:pos="1919" w:val="left" w:leader="none"/>
        </w:tabs>
        <w:spacing w:line="240" w:lineRule="auto" w:before="120" w:after="0"/>
        <w:ind w:left="1918" w:right="0" w:hanging="567"/>
        <w:jc w:val="left"/>
        <w:rPr>
          <w:sz w:val="24"/>
        </w:rPr>
      </w:pPr>
      <w:r>
        <w:rPr>
          <w:sz w:val="24"/>
        </w:rPr>
        <w:t>pay to a person;</w:t>
      </w:r>
    </w:p>
    <w:p>
      <w:pPr>
        <w:pStyle w:val="ListParagraph"/>
        <w:numPr>
          <w:ilvl w:val="0"/>
          <w:numId w:val="754"/>
        </w:numPr>
        <w:tabs>
          <w:tab w:pos="1918" w:val="left" w:leader="none"/>
          <w:tab w:pos="1919" w:val="left" w:leader="none"/>
        </w:tabs>
        <w:spacing w:line="240" w:lineRule="auto" w:before="120" w:after="0"/>
        <w:ind w:left="1918" w:right="0" w:hanging="567"/>
        <w:jc w:val="left"/>
        <w:rPr>
          <w:sz w:val="24"/>
        </w:rPr>
      </w:pPr>
      <w:r>
        <w:rPr>
          <w:sz w:val="24"/>
        </w:rPr>
        <w:t>pay into a fund established under an Act of a </w:t>
      </w:r>
      <w:r>
        <w:rPr>
          <w:i/>
          <w:sz w:val="24"/>
        </w:rPr>
        <w:t>participating</w:t>
      </w:r>
      <w:r>
        <w:rPr>
          <w:i/>
          <w:spacing w:val="-5"/>
          <w:sz w:val="24"/>
        </w:rPr>
        <w:t> </w:t>
      </w:r>
      <w:r>
        <w:rPr>
          <w:i/>
          <w:sz w:val="24"/>
        </w:rPr>
        <w:t>jurisdiction</w:t>
      </w:r>
      <w:r>
        <w:rPr>
          <w:sz w:val="24"/>
        </w:rPr>
        <w:t>;</w:t>
      </w:r>
    </w:p>
    <w:p>
      <w:pPr>
        <w:pStyle w:val="ListParagraph"/>
        <w:numPr>
          <w:ilvl w:val="0"/>
          <w:numId w:val="754"/>
        </w:numPr>
        <w:tabs>
          <w:tab w:pos="1918" w:val="left" w:leader="none"/>
          <w:tab w:pos="1919" w:val="left" w:leader="none"/>
        </w:tabs>
        <w:spacing w:line="240" w:lineRule="auto" w:before="120" w:after="0"/>
        <w:ind w:left="1918" w:right="0" w:hanging="567"/>
        <w:jc w:val="left"/>
        <w:rPr>
          <w:sz w:val="24"/>
        </w:rPr>
      </w:pPr>
      <w:r>
        <w:rPr>
          <w:sz w:val="24"/>
        </w:rPr>
        <w:t>credit against charges payable by a person;</w:t>
      </w:r>
      <w:r>
        <w:rPr>
          <w:spacing w:val="-3"/>
          <w:sz w:val="24"/>
        </w:rPr>
        <w:t> </w:t>
      </w:r>
      <w:r>
        <w:rPr>
          <w:sz w:val="24"/>
        </w:rPr>
        <w:t>or</w:t>
      </w:r>
    </w:p>
    <w:p>
      <w:pPr>
        <w:pStyle w:val="ListParagraph"/>
        <w:numPr>
          <w:ilvl w:val="0"/>
          <w:numId w:val="754"/>
        </w:numPr>
        <w:tabs>
          <w:tab w:pos="1918" w:val="left" w:leader="none"/>
          <w:tab w:pos="1919" w:val="left" w:leader="none"/>
        </w:tabs>
        <w:spacing w:line="240" w:lineRule="auto" w:before="120" w:after="0"/>
        <w:ind w:left="1918" w:right="0" w:hanging="567"/>
        <w:jc w:val="left"/>
        <w:rPr>
          <w:sz w:val="24"/>
        </w:rPr>
      </w:pPr>
      <w:r>
        <w:rPr>
          <w:sz w:val="24"/>
        </w:rPr>
        <w:t>reimburse a</w:t>
      </w:r>
      <w:r>
        <w:rPr>
          <w:spacing w:val="-1"/>
          <w:sz w:val="24"/>
        </w:rPr>
        <w:t> </w:t>
      </w:r>
      <w:r>
        <w:rPr>
          <w:sz w:val="24"/>
        </w:rPr>
        <w:t>person,</w:t>
      </w:r>
    </w:p>
    <w:p>
      <w:pPr>
        <w:spacing w:before="120"/>
        <w:ind w:left="1352" w:right="565" w:firstLine="0"/>
        <w:jc w:val="left"/>
        <w:rPr>
          <w:sz w:val="24"/>
        </w:rPr>
      </w:pPr>
      <w:r>
        <w:rPr>
          <w:sz w:val="24"/>
        </w:rPr>
        <w:t>less any amounts recovered by the </w:t>
      </w:r>
      <w:r>
        <w:rPr>
          <w:i/>
          <w:sz w:val="24"/>
        </w:rPr>
        <w:t>Distribution Network Service Provider </w:t>
      </w:r>
      <w:r>
        <w:rPr>
          <w:sz w:val="24"/>
        </w:rPr>
        <w:t>from any person in respect of those amounts other than under these </w:t>
      </w:r>
      <w:r>
        <w:rPr>
          <w:i/>
          <w:sz w:val="24"/>
        </w:rPr>
        <w:t>Rules</w:t>
      </w:r>
      <w:r>
        <w:rPr>
          <w:sz w:val="24"/>
        </w:rPr>
        <w:t>.</w:t>
      </w:r>
    </w:p>
    <w:p>
      <w:pPr>
        <w:pStyle w:val="Heading5"/>
        <w:jc w:val="left"/>
        <w:rPr>
          <w:i/>
        </w:rPr>
      </w:pPr>
      <w:r>
        <w:rPr>
          <w:i/>
        </w:rPr>
        <w:t>jurisdictional scheme eligibility criteria</w:t>
      </w:r>
    </w:p>
    <w:p>
      <w:pPr>
        <w:pStyle w:val="BodyText"/>
        <w:ind w:left="1352" w:firstLine="0"/>
        <w:jc w:val="left"/>
      </w:pPr>
      <w:r>
        <w:rPr/>
        <w:t>The criteria specified in clause 6.18.7A(x)</w:t>
      </w:r>
    </w:p>
    <w:p>
      <w:pPr>
        <w:pStyle w:val="Heading5"/>
        <w:jc w:val="left"/>
        <w:rPr>
          <w:i/>
        </w:rPr>
      </w:pPr>
      <w:r>
        <w:rPr>
          <w:i/>
        </w:rPr>
        <w:t>jurisdictional scheme obligations</w:t>
      </w:r>
    </w:p>
    <w:p>
      <w:pPr>
        <w:spacing w:before="120"/>
        <w:ind w:left="1352" w:right="0" w:firstLine="0"/>
        <w:jc w:val="both"/>
        <w:rPr>
          <w:sz w:val="24"/>
        </w:rPr>
      </w:pPr>
      <w:r>
        <w:rPr>
          <w:sz w:val="24"/>
        </w:rPr>
        <w:t>Obligations imposed on a </w:t>
      </w:r>
      <w:r>
        <w:rPr>
          <w:i/>
          <w:sz w:val="24"/>
        </w:rPr>
        <w:t>Distribution Network Service Provider </w:t>
      </w:r>
      <w:r>
        <w:rPr>
          <w:sz w:val="24"/>
        </w:rPr>
        <w:t>under:</w:t>
      </w:r>
    </w:p>
    <w:p>
      <w:pPr>
        <w:pStyle w:val="ListParagraph"/>
        <w:numPr>
          <w:ilvl w:val="0"/>
          <w:numId w:val="755"/>
        </w:numPr>
        <w:tabs>
          <w:tab w:pos="1919" w:val="left" w:leader="none"/>
        </w:tabs>
        <w:spacing w:line="240" w:lineRule="auto" w:before="120" w:after="0"/>
        <w:ind w:left="1919" w:right="415" w:hanging="567"/>
        <w:jc w:val="both"/>
        <w:rPr>
          <w:sz w:val="24"/>
        </w:rPr>
      </w:pPr>
      <w:r>
        <w:rPr>
          <w:sz w:val="24"/>
        </w:rPr>
        <w:t>an Act of a </w:t>
      </w:r>
      <w:r>
        <w:rPr>
          <w:i/>
          <w:sz w:val="24"/>
        </w:rPr>
        <w:t>participating jurisdiction </w:t>
      </w:r>
      <w:r>
        <w:rPr>
          <w:sz w:val="24"/>
        </w:rPr>
        <w:t>or an instrument, direction or </w:t>
      </w:r>
      <w:r>
        <w:rPr>
          <w:spacing w:val="-3"/>
          <w:sz w:val="24"/>
        </w:rPr>
        <w:t>order</w:t>
      </w:r>
      <w:r>
        <w:rPr>
          <w:spacing w:val="54"/>
          <w:sz w:val="24"/>
        </w:rPr>
        <w:t> </w:t>
      </w:r>
      <w:r>
        <w:rPr>
          <w:sz w:val="24"/>
        </w:rPr>
        <w:t>made under an Act of a </w:t>
      </w:r>
      <w:r>
        <w:rPr>
          <w:i/>
          <w:sz w:val="24"/>
        </w:rPr>
        <w:t>participating jurisdiction </w:t>
      </w:r>
      <w:r>
        <w:rPr>
          <w:sz w:val="24"/>
        </w:rPr>
        <w:t>(other than the </w:t>
      </w:r>
      <w:r>
        <w:rPr>
          <w:i/>
          <w:sz w:val="24"/>
        </w:rPr>
        <w:t>National </w:t>
      </w:r>
      <w:r>
        <w:rPr>
          <w:i/>
          <w:sz w:val="24"/>
        </w:rPr>
        <w:t>Electricity Law </w:t>
      </w:r>
      <w:r>
        <w:rPr>
          <w:sz w:val="24"/>
        </w:rPr>
        <w:t>and these </w:t>
      </w:r>
      <w:r>
        <w:rPr>
          <w:i/>
          <w:sz w:val="24"/>
        </w:rPr>
        <w:t>Rules</w:t>
      </w:r>
      <w:r>
        <w:rPr>
          <w:sz w:val="24"/>
        </w:rPr>
        <w:t>);</w:t>
      </w:r>
      <w:r>
        <w:rPr>
          <w:spacing w:val="-2"/>
          <w:sz w:val="24"/>
        </w:rPr>
        <w:t> </w:t>
      </w:r>
      <w:r>
        <w:rPr>
          <w:sz w:val="24"/>
        </w:rPr>
        <w:t>or</w:t>
      </w:r>
    </w:p>
    <w:p>
      <w:pPr>
        <w:pStyle w:val="ListParagraph"/>
        <w:numPr>
          <w:ilvl w:val="0"/>
          <w:numId w:val="755"/>
        </w:numPr>
        <w:tabs>
          <w:tab w:pos="1919" w:val="left" w:leader="none"/>
        </w:tabs>
        <w:spacing w:line="240" w:lineRule="auto" w:before="120" w:after="0"/>
        <w:ind w:left="1919" w:right="415" w:hanging="567"/>
        <w:jc w:val="both"/>
        <w:rPr>
          <w:sz w:val="24"/>
        </w:rPr>
      </w:pPr>
      <w:r>
        <w:rPr>
          <w:sz w:val="24"/>
        </w:rPr>
        <w:t>a condition of a distribution licence or authority held by a </w:t>
      </w:r>
      <w:r>
        <w:rPr>
          <w:i/>
          <w:sz w:val="24"/>
        </w:rPr>
        <w:t>Distribution </w:t>
      </w:r>
      <w:r>
        <w:rPr>
          <w:i/>
          <w:sz w:val="24"/>
        </w:rPr>
        <w:t>Network Service Provider </w:t>
      </w:r>
      <w:r>
        <w:rPr>
          <w:sz w:val="24"/>
        </w:rPr>
        <w:t>in a </w:t>
      </w:r>
      <w:r>
        <w:rPr>
          <w:i/>
          <w:sz w:val="24"/>
        </w:rPr>
        <w:t>participating</w:t>
      </w:r>
      <w:r>
        <w:rPr>
          <w:i/>
          <w:spacing w:val="-2"/>
          <w:sz w:val="24"/>
        </w:rPr>
        <w:t> </w:t>
      </w:r>
      <w:r>
        <w:rPr>
          <w:i/>
          <w:sz w:val="24"/>
        </w:rPr>
        <w:t>jurisdiction</w:t>
      </w:r>
      <w:r>
        <w:rPr>
          <w:sz w:val="24"/>
        </w:rPr>
        <w:t>.</w:t>
      </w:r>
    </w:p>
    <w:p>
      <w:pPr>
        <w:pStyle w:val="Heading5"/>
        <w:rPr>
          <w:i/>
        </w:rPr>
      </w:pPr>
      <w:r>
        <w:rPr>
          <w:i/>
        </w:rPr>
        <w:t>Jurisdictional System Security Coordinator</w:t>
      </w:r>
    </w:p>
    <w:p>
      <w:pPr>
        <w:spacing w:before="120"/>
        <w:ind w:left="1352" w:right="415" w:firstLine="0"/>
        <w:jc w:val="both"/>
        <w:rPr>
          <w:sz w:val="24"/>
        </w:rPr>
      </w:pPr>
      <w:r>
        <w:rPr>
          <w:sz w:val="24"/>
        </w:rPr>
        <w:t>A person appointed by the </w:t>
      </w:r>
      <w:r>
        <w:rPr>
          <w:i/>
          <w:sz w:val="24"/>
        </w:rPr>
        <w:t>Minister </w:t>
      </w:r>
      <w:r>
        <w:rPr>
          <w:sz w:val="24"/>
        </w:rPr>
        <w:t>of a </w:t>
      </w:r>
      <w:r>
        <w:rPr>
          <w:i/>
          <w:sz w:val="24"/>
        </w:rPr>
        <w:t>participating jurisdiction </w:t>
      </w:r>
      <w:r>
        <w:rPr>
          <w:sz w:val="24"/>
        </w:rPr>
        <w:t>in accordance with section 110 of the </w:t>
      </w:r>
      <w:r>
        <w:rPr>
          <w:i/>
          <w:sz w:val="24"/>
        </w:rPr>
        <w:t>National Electricity Law</w:t>
      </w:r>
      <w:r>
        <w:rPr>
          <w:sz w:val="24"/>
        </w:rPr>
        <w:t>.</w:t>
      </w:r>
    </w:p>
    <w:p>
      <w:pPr>
        <w:pStyle w:val="Heading5"/>
        <w:rPr>
          <w:i/>
        </w:rPr>
      </w:pPr>
      <w:r>
        <w:rPr>
          <w:i/>
        </w:rPr>
        <w:t>lack of reserve (LOR)</w:t>
      </w:r>
    </w:p>
    <w:p>
      <w:pPr>
        <w:pStyle w:val="BodyText"/>
        <w:ind w:left="1352" w:firstLine="0"/>
      </w:pPr>
      <w:r>
        <w:rPr/>
        <w:t>A condition declared by </w:t>
      </w:r>
      <w:r>
        <w:rPr>
          <w:i/>
        </w:rPr>
        <w:t>AEMO </w:t>
      </w:r>
      <w:r>
        <w:rPr/>
        <w:t>under clause 4.8.4(b).</w:t>
      </w:r>
    </w:p>
    <w:p>
      <w:pPr>
        <w:spacing w:after="0"/>
        <w:sectPr>
          <w:pgSz w:w="11910" w:h="16840"/>
          <w:pgMar w:header="686" w:footer="637" w:top="1320" w:bottom="820" w:left="1200" w:right="1000"/>
        </w:sectPr>
      </w:pPr>
    </w:p>
    <w:p>
      <w:pPr>
        <w:pStyle w:val="Heading5"/>
        <w:spacing w:before="83"/>
        <w:rPr>
          <w:i/>
        </w:rPr>
      </w:pPr>
      <w:r>
        <w:rPr>
          <w:i/>
        </w:rPr>
        <w:t>large customer</w:t>
      </w:r>
    </w:p>
    <w:p>
      <w:pPr>
        <w:pStyle w:val="ListParagraph"/>
        <w:numPr>
          <w:ilvl w:val="0"/>
          <w:numId w:val="756"/>
        </w:numPr>
        <w:tabs>
          <w:tab w:pos="1919" w:val="left" w:leader="none"/>
        </w:tabs>
        <w:spacing w:line="240" w:lineRule="auto" w:before="120" w:after="0"/>
        <w:ind w:left="1919" w:right="415" w:hanging="567"/>
        <w:jc w:val="both"/>
        <w:rPr>
          <w:sz w:val="24"/>
        </w:rPr>
      </w:pPr>
      <w:r>
        <w:rPr>
          <w:sz w:val="24"/>
        </w:rPr>
        <w:t>In a </w:t>
      </w:r>
      <w:r>
        <w:rPr>
          <w:i/>
          <w:sz w:val="24"/>
        </w:rPr>
        <w:t>participating jurisdiction </w:t>
      </w:r>
      <w:r>
        <w:rPr>
          <w:sz w:val="24"/>
        </w:rPr>
        <w:t>where the </w:t>
      </w:r>
      <w:r>
        <w:rPr>
          <w:i/>
          <w:sz w:val="24"/>
        </w:rPr>
        <w:t>National Energy Retail Law </w:t>
      </w:r>
      <w:r>
        <w:rPr>
          <w:sz w:val="24"/>
        </w:rPr>
        <w:t>applies as a law of that </w:t>
      </w:r>
      <w:r>
        <w:rPr>
          <w:i/>
          <w:sz w:val="24"/>
        </w:rPr>
        <w:t>participating jurisdiction</w:t>
      </w:r>
      <w:r>
        <w:rPr>
          <w:sz w:val="24"/>
        </w:rPr>
        <w:t>, has the meaning given in </w:t>
      </w:r>
      <w:r>
        <w:rPr>
          <w:spacing w:val="-5"/>
          <w:sz w:val="24"/>
        </w:rPr>
        <w:t>the </w:t>
      </w:r>
      <w:r>
        <w:rPr>
          <w:i/>
          <w:sz w:val="24"/>
        </w:rPr>
        <w:t>National Energy Retail</w:t>
      </w:r>
      <w:r>
        <w:rPr>
          <w:i/>
          <w:spacing w:val="-2"/>
          <w:sz w:val="24"/>
        </w:rPr>
        <w:t> </w:t>
      </w:r>
      <w:r>
        <w:rPr>
          <w:i/>
          <w:sz w:val="24"/>
        </w:rPr>
        <w:t>Law</w:t>
      </w:r>
      <w:r>
        <w:rPr>
          <w:sz w:val="24"/>
        </w:rPr>
        <w:t>.</w:t>
      </w:r>
    </w:p>
    <w:p>
      <w:pPr>
        <w:pStyle w:val="ListParagraph"/>
        <w:numPr>
          <w:ilvl w:val="0"/>
          <w:numId w:val="756"/>
        </w:numPr>
        <w:tabs>
          <w:tab w:pos="1919" w:val="left" w:leader="none"/>
        </w:tabs>
        <w:spacing w:line="240" w:lineRule="auto" w:before="120" w:after="0"/>
        <w:ind w:left="1919" w:right="414" w:hanging="567"/>
        <w:jc w:val="both"/>
        <w:rPr>
          <w:sz w:val="24"/>
        </w:rPr>
      </w:pPr>
      <w:r>
        <w:rPr>
          <w:sz w:val="24"/>
        </w:rPr>
        <w:t>Otherwise, has the meaning given in </w:t>
      </w:r>
      <w:r>
        <w:rPr>
          <w:i/>
          <w:sz w:val="24"/>
        </w:rPr>
        <w:t>jurisdictional electricity legislation</w:t>
      </w:r>
      <w:r>
        <w:rPr>
          <w:sz w:val="24"/>
        </w:rPr>
        <w:t>, or a </w:t>
      </w:r>
      <w:r>
        <w:rPr>
          <w:i/>
          <w:sz w:val="24"/>
        </w:rPr>
        <w:t>retail customer </w:t>
      </w:r>
      <w:r>
        <w:rPr>
          <w:sz w:val="24"/>
        </w:rPr>
        <w:t>that is not a </w:t>
      </w:r>
      <w:r>
        <w:rPr>
          <w:i/>
          <w:sz w:val="24"/>
        </w:rPr>
        <w:t>small</w:t>
      </w:r>
      <w:r>
        <w:rPr>
          <w:i/>
          <w:spacing w:val="-4"/>
          <w:sz w:val="24"/>
        </w:rPr>
        <w:t> </w:t>
      </w:r>
      <w:r>
        <w:rPr>
          <w:i/>
          <w:sz w:val="24"/>
        </w:rPr>
        <w:t>customer</w:t>
      </w:r>
      <w:r>
        <w:rPr>
          <w:sz w:val="24"/>
        </w:rPr>
        <w:t>.</w:t>
      </w:r>
    </w:p>
    <w:p>
      <w:pPr>
        <w:pStyle w:val="Heading5"/>
        <w:rPr>
          <w:i/>
        </w:rPr>
      </w:pPr>
      <w:r>
        <w:rPr>
          <w:i/>
        </w:rPr>
        <w:t>large DCA service</w:t>
      </w:r>
    </w:p>
    <w:p>
      <w:pPr>
        <w:spacing w:before="120"/>
        <w:ind w:left="1352" w:right="0" w:firstLine="0"/>
        <w:jc w:val="both"/>
        <w:rPr>
          <w:sz w:val="24"/>
        </w:rPr>
      </w:pPr>
      <w:r>
        <w:rPr>
          <w:sz w:val="24"/>
        </w:rPr>
        <w:t>A service provided by means of a </w:t>
      </w:r>
      <w:r>
        <w:rPr>
          <w:i/>
          <w:sz w:val="24"/>
        </w:rPr>
        <w:t>large dedicated connection asset</w:t>
      </w:r>
      <w:r>
        <w:rPr>
          <w:sz w:val="24"/>
        </w:rPr>
        <w:t>.</w:t>
      </w:r>
    </w:p>
    <w:p>
      <w:pPr>
        <w:pStyle w:val="Heading5"/>
        <w:rPr>
          <w:i/>
        </w:rPr>
      </w:pPr>
      <w:r>
        <w:rPr>
          <w:i/>
        </w:rPr>
        <w:t>large DCA services access dispute</w:t>
      </w:r>
    </w:p>
    <w:p>
      <w:pPr>
        <w:spacing w:before="120"/>
        <w:ind w:left="1352" w:right="415" w:firstLine="0"/>
        <w:jc w:val="both"/>
        <w:rPr>
          <w:sz w:val="24"/>
        </w:rPr>
      </w:pPr>
      <w:r>
        <w:rPr>
          <w:sz w:val="24"/>
        </w:rPr>
        <w:t>A dispute between a </w:t>
      </w:r>
      <w:r>
        <w:rPr>
          <w:i/>
          <w:sz w:val="24"/>
        </w:rPr>
        <w:t>Dedicated Connection Asset Service Provider </w:t>
      </w:r>
      <w:r>
        <w:rPr>
          <w:sz w:val="24"/>
        </w:rPr>
        <w:t>and a person seeking access to </w:t>
      </w:r>
      <w:r>
        <w:rPr>
          <w:i/>
          <w:sz w:val="24"/>
        </w:rPr>
        <w:t>large DCA services </w:t>
      </w:r>
      <w:r>
        <w:rPr>
          <w:sz w:val="24"/>
        </w:rPr>
        <w:t>as referred to in clause 5.5.1(c), that is for determination by a </w:t>
      </w:r>
      <w:r>
        <w:rPr>
          <w:i/>
          <w:sz w:val="24"/>
        </w:rPr>
        <w:t>commercial arbitrator </w:t>
      </w:r>
      <w:r>
        <w:rPr>
          <w:sz w:val="24"/>
        </w:rPr>
        <w:t>under rule 5.5.</w:t>
      </w:r>
    </w:p>
    <w:p>
      <w:pPr>
        <w:pStyle w:val="Heading5"/>
        <w:rPr>
          <w:i/>
        </w:rPr>
      </w:pPr>
      <w:r>
        <w:rPr>
          <w:i/>
        </w:rPr>
        <w:t>large dedicated connection asset</w:t>
      </w:r>
    </w:p>
    <w:p>
      <w:pPr>
        <w:spacing w:before="120"/>
        <w:ind w:left="1352" w:right="415" w:firstLine="0"/>
        <w:jc w:val="both"/>
        <w:rPr>
          <w:sz w:val="24"/>
        </w:rPr>
      </w:pPr>
      <w:r>
        <w:rPr>
          <w:sz w:val="24"/>
        </w:rPr>
        <w:t>A </w:t>
      </w:r>
      <w:r>
        <w:rPr>
          <w:i/>
          <w:sz w:val="24"/>
        </w:rPr>
        <w:t>dedicated connection asset </w:t>
      </w:r>
      <w:r>
        <w:rPr>
          <w:sz w:val="24"/>
        </w:rPr>
        <w:t>where the total route length for any power lines forming part of the </w:t>
      </w:r>
      <w:r>
        <w:rPr>
          <w:i/>
          <w:sz w:val="24"/>
        </w:rPr>
        <w:t>dedicated connection asset </w:t>
      </w:r>
      <w:r>
        <w:rPr>
          <w:sz w:val="24"/>
        </w:rPr>
        <w:t>is 30 kilometres or longer.</w:t>
      </w:r>
    </w:p>
    <w:p>
      <w:pPr>
        <w:pStyle w:val="Heading5"/>
        <w:rPr>
          <w:i/>
        </w:rPr>
      </w:pPr>
      <w:r>
        <w:rPr>
          <w:i/>
        </w:rPr>
        <w:t>last jurisdictional scheme approval</w:t>
      </w:r>
      <w:r>
        <w:rPr>
          <w:i/>
          <w:spacing w:val="-7"/>
        </w:rPr>
        <w:t> </w:t>
      </w:r>
      <w:r>
        <w:rPr>
          <w:i/>
        </w:rPr>
        <w:t>date</w:t>
      </w:r>
    </w:p>
    <w:p>
      <w:pPr>
        <w:spacing w:before="120"/>
        <w:ind w:left="1352" w:right="416" w:firstLine="0"/>
        <w:jc w:val="both"/>
        <w:rPr>
          <w:sz w:val="24"/>
        </w:rPr>
      </w:pPr>
      <w:r>
        <w:rPr>
          <w:sz w:val="24"/>
        </w:rPr>
        <w:t>For an </w:t>
      </w:r>
      <w:r>
        <w:rPr>
          <w:i/>
          <w:sz w:val="24"/>
        </w:rPr>
        <w:t>approved jurisdictional scheme </w:t>
      </w:r>
      <w:r>
        <w:rPr>
          <w:sz w:val="24"/>
        </w:rPr>
        <w:t>of a </w:t>
      </w:r>
      <w:r>
        <w:rPr>
          <w:i/>
          <w:sz w:val="24"/>
        </w:rPr>
        <w:t>Distribution Network Service </w:t>
      </w:r>
      <w:r>
        <w:rPr>
          <w:i/>
          <w:sz w:val="24"/>
        </w:rPr>
        <w:t>Provider</w:t>
      </w:r>
      <w:r>
        <w:rPr>
          <w:sz w:val="24"/>
        </w:rPr>
        <w:t>, means the later</w:t>
      </w:r>
      <w:r>
        <w:rPr>
          <w:spacing w:val="-1"/>
          <w:sz w:val="24"/>
        </w:rPr>
        <w:t> </w:t>
      </w:r>
      <w:r>
        <w:rPr>
          <w:sz w:val="24"/>
        </w:rPr>
        <w:t>of:</w:t>
      </w:r>
    </w:p>
    <w:p>
      <w:pPr>
        <w:pStyle w:val="ListParagraph"/>
        <w:numPr>
          <w:ilvl w:val="0"/>
          <w:numId w:val="757"/>
        </w:numPr>
        <w:tabs>
          <w:tab w:pos="1919" w:val="left" w:leader="none"/>
        </w:tabs>
        <w:spacing w:line="240" w:lineRule="auto" w:before="120" w:after="0"/>
        <w:ind w:left="1919" w:right="414" w:hanging="567"/>
        <w:jc w:val="both"/>
        <w:rPr>
          <w:sz w:val="24"/>
        </w:rPr>
      </w:pPr>
      <w:r>
        <w:rPr>
          <w:sz w:val="24"/>
        </w:rPr>
        <w:t>if the </w:t>
      </w:r>
      <w:r>
        <w:rPr>
          <w:i/>
          <w:sz w:val="24"/>
        </w:rPr>
        <w:t>approved jurisdictional scheme </w:t>
      </w:r>
      <w:r>
        <w:rPr>
          <w:sz w:val="24"/>
        </w:rPr>
        <w:t>is a </w:t>
      </w:r>
      <w:r>
        <w:rPr>
          <w:i/>
          <w:sz w:val="24"/>
        </w:rPr>
        <w:t>jurisdictional scheme </w:t>
      </w:r>
      <w:r>
        <w:rPr>
          <w:sz w:val="24"/>
        </w:rPr>
        <w:t>referred to in clause 6.18.7A(e), 1 July</w:t>
      </w:r>
      <w:r>
        <w:rPr>
          <w:spacing w:val="-3"/>
          <w:sz w:val="24"/>
        </w:rPr>
        <w:t> </w:t>
      </w:r>
      <w:r>
        <w:rPr>
          <w:sz w:val="24"/>
        </w:rPr>
        <w:t>2010;</w:t>
      </w:r>
    </w:p>
    <w:p>
      <w:pPr>
        <w:pStyle w:val="ListParagraph"/>
        <w:numPr>
          <w:ilvl w:val="0"/>
          <w:numId w:val="757"/>
        </w:numPr>
        <w:tabs>
          <w:tab w:pos="1919" w:val="left" w:leader="none"/>
        </w:tabs>
        <w:spacing w:line="240" w:lineRule="auto" w:before="120" w:after="0"/>
        <w:ind w:left="1919" w:right="416" w:hanging="567"/>
        <w:jc w:val="both"/>
        <w:rPr>
          <w:sz w:val="24"/>
        </w:rPr>
      </w:pPr>
      <w:r>
        <w:rPr>
          <w:sz w:val="24"/>
        </w:rPr>
        <w:t>if the </w:t>
      </w:r>
      <w:r>
        <w:rPr>
          <w:i/>
          <w:sz w:val="24"/>
        </w:rPr>
        <w:t>approved jurisdictional scheme </w:t>
      </w:r>
      <w:r>
        <w:rPr>
          <w:sz w:val="24"/>
        </w:rPr>
        <w:t>is not a </w:t>
      </w:r>
      <w:r>
        <w:rPr>
          <w:i/>
          <w:sz w:val="24"/>
        </w:rPr>
        <w:t>jurisdictional scheme </w:t>
      </w:r>
      <w:r>
        <w:rPr>
          <w:sz w:val="24"/>
        </w:rPr>
        <w:t>referred to in paragraph (a), the date on which the </w:t>
      </w:r>
      <w:r>
        <w:rPr>
          <w:i/>
          <w:sz w:val="24"/>
        </w:rPr>
        <w:t>AER </w:t>
      </w:r>
      <w:r>
        <w:rPr>
          <w:sz w:val="24"/>
        </w:rPr>
        <w:t>determined under clause 6.18.7A(l) that the scheme was a </w:t>
      </w:r>
      <w:r>
        <w:rPr>
          <w:i/>
          <w:sz w:val="24"/>
        </w:rPr>
        <w:t>jurisdictional</w:t>
      </w:r>
      <w:r>
        <w:rPr>
          <w:i/>
          <w:spacing w:val="-6"/>
          <w:sz w:val="24"/>
        </w:rPr>
        <w:t> </w:t>
      </w:r>
      <w:r>
        <w:rPr>
          <w:i/>
          <w:sz w:val="24"/>
        </w:rPr>
        <w:t>scheme</w:t>
      </w:r>
      <w:r>
        <w:rPr>
          <w:sz w:val="24"/>
        </w:rPr>
        <w:t>;</w:t>
      </w:r>
    </w:p>
    <w:p>
      <w:pPr>
        <w:pStyle w:val="ListParagraph"/>
        <w:numPr>
          <w:ilvl w:val="0"/>
          <w:numId w:val="757"/>
        </w:numPr>
        <w:tabs>
          <w:tab w:pos="1919" w:val="left" w:leader="none"/>
        </w:tabs>
        <w:spacing w:line="240" w:lineRule="auto" w:before="120" w:after="0"/>
        <w:ind w:left="1919" w:right="415" w:hanging="567"/>
        <w:jc w:val="both"/>
        <w:rPr>
          <w:sz w:val="24"/>
        </w:rPr>
      </w:pPr>
      <w:r>
        <w:rPr>
          <w:sz w:val="24"/>
        </w:rPr>
        <w:t>if the </w:t>
      </w:r>
      <w:r>
        <w:rPr>
          <w:i/>
          <w:sz w:val="24"/>
        </w:rPr>
        <w:t>approved jurisdictional scheme </w:t>
      </w:r>
      <w:r>
        <w:rPr>
          <w:sz w:val="24"/>
        </w:rPr>
        <w:t>is a </w:t>
      </w:r>
      <w:r>
        <w:rPr>
          <w:i/>
          <w:sz w:val="24"/>
        </w:rPr>
        <w:t>jurisdictional scheme </w:t>
      </w:r>
      <w:r>
        <w:rPr>
          <w:sz w:val="24"/>
        </w:rPr>
        <w:t>in respect of which:</w:t>
      </w:r>
    </w:p>
    <w:p>
      <w:pPr>
        <w:pStyle w:val="ListParagraph"/>
        <w:numPr>
          <w:ilvl w:val="1"/>
          <w:numId w:val="757"/>
        </w:numPr>
        <w:tabs>
          <w:tab w:pos="2485" w:val="left" w:leader="none"/>
          <w:tab w:pos="2486" w:val="left" w:leader="none"/>
        </w:tabs>
        <w:spacing w:line="240" w:lineRule="auto" w:before="120" w:after="0"/>
        <w:ind w:left="2486" w:right="415" w:hanging="567"/>
        <w:jc w:val="left"/>
        <w:rPr>
          <w:sz w:val="24"/>
        </w:rPr>
      </w:pPr>
      <w:r>
        <w:rPr>
          <w:sz w:val="24"/>
        </w:rPr>
        <w:t>a request has been made under clause 6.18.7A(o) or an assessment initiated under clause 6.18.7A(r);</w:t>
      </w:r>
      <w:r>
        <w:rPr>
          <w:spacing w:val="-1"/>
          <w:sz w:val="24"/>
        </w:rPr>
        <w:t> </w:t>
      </w:r>
      <w:r>
        <w:rPr>
          <w:sz w:val="24"/>
        </w:rPr>
        <w:t>and</w:t>
      </w:r>
    </w:p>
    <w:p>
      <w:pPr>
        <w:pStyle w:val="ListParagraph"/>
        <w:numPr>
          <w:ilvl w:val="1"/>
          <w:numId w:val="757"/>
        </w:numPr>
        <w:tabs>
          <w:tab w:pos="2485" w:val="left" w:leader="none"/>
          <w:tab w:pos="2487" w:val="left" w:leader="none"/>
        </w:tabs>
        <w:spacing w:line="240" w:lineRule="auto" w:before="120" w:after="0"/>
        <w:ind w:left="2486" w:right="416" w:hanging="567"/>
        <w:jc w:val="left"/>
        <w:rPr>
          <w:sz w:val="24"/>
        </w:rPr>
      </w:pPr>
      <w:r>
        <w:rPr>
          <w:sz w:val="24"/>
        </w:rPr>
        <w:t>the </w:t>
      </w:r>
      <w:r>
        <w:rPr>
          <w:i/>
          <w:sz w:val="24"/>
        </w:rPr>
        <w:t>AER </w:t>
      </w:r>
      <w:r>
        <w:rPr>
          <w:sz w:val="24"/>
        </w:rPr>
        <w:t>has determined under clause 6.18.7A(u) that the scheme should not cease to be a </w:t>
      </w:r>
      <w:r>
        <w:rPr>
          <w:i/>
          <w:sz w:val="24"/>
        </w:rPr>
        <w:t>jurisdictional</w:t>
      </w:r>
      <w:r>
        <w:rPr>
          <w:i/>
          <w:spacing w:val="-4"/>
          <w:sz w:val="24"/>
        </w:rPr>
        <w:t> </w:t>
      </w:r>
      <w:r>
        <w:rPr>
          <w:i/>
          <w:sz w:val="24"/>
        </w:rPr>
        <w:t>scheme</w:t>
      </w:r>
      <w:r>
        <w:rPr>
          <w:sz w:val="24"/>
        </w:rPr>
        <w:t>,</w:t>
      </w:r>
    </w:p>
    <w:p>
      <w:pPr>
        <w:pStyle w:val="BodyText"/>
        <w:ind w:left="1919" w:firstLine="0"/>
        <w:jc w:val="left"/>
      </w:pPr>
      <w:r>
        <w:rPr/>
        <w:t>the date of that determination; or</w:t>
      </w:r>
    </w:p>
    <w:p>
      <w:pPr>
        <w:pStyle w:val="ListParagraph"/>
        <w:numPr>
          <w:ilvl w:val="0"/>
          <w:numId w:val="757"/>
        </w:numPr>
        <w:tabs>
          <w:tab w:pos="1919" w:val="left" w:leader="none"/>
        </w:tabs>
        <w:spacing w:line="240" w:lineRule="auto" w:before="120" w:after="0"/>
        <w:ind w:left="1919" w:right="414" w:hanging="567"/>
        <w:jc w:val="both"/>
        <w:rPr>
          <w:sz w:val="24"/>
        </w:rPr>
      </w:pPr>
      <w:r>
        <w:rPr>
          <w:sz w:val="24"/>
        </w:rPr>
        <w:t>if in a previous </w:t>
      </w:r>
      <w:r>
        <w:rPr>
          <w:i/>
          <w:sz w:val="24"/>
        </w:rPr>
        <w:t>pricing proposal </w:t>
      </w:r>
      <w:r>
        <w:rPr>
          <w:sz w:val="24"/>
        </w:rPr>
        <w:t>the </w:t>
      </w:r>
      <w:r>
        <w:rPr>
          <w:i/>
          <w:sz w:val="24"/>
        </w:rPr>
        <w:t>Distribution Network Service Provider </w:t>
      </w:r>
      <w:r>
        <w:rPr>
          <w:sz w:val="24"/>
        </w:rPr>
        <w:t>provided information in respect of that </w:t>
      </w:r>
      <w:r>
        <w:rPr>
          <w:i/>
          <w:sz w:val="24"/>
        </w:rPr>
        <w:t>approved jurisdictional scheme </w:t>
      </w:r>
      <w:r>
        <w:rPr>
          <w:sz w:val="24"/>
        </w:rPr>
        <w:t>to the </w:t>
      </w:r>
      <w:r>
        <w:rPr>
          <w:i/>
          <w:sz w:val="24"/>
        </w:rPr>
        <w:t>AER </w:t>
      </w:r>
      <w:r>
        <w:rPr>
          <w:sz w:val="24"/>
        </w:rPr>
        <w:t>under clause 6.18.2(b)(6B), the date that such a </w:t>
      </w:r>
      <w:r>
        <w:rPr>
          <w:i/>
          <w:sz w:val="24"/>
        </w:rPr>
        <w:t>pricing proposal </w:t>
      </w:r>
      <w:r>
        <w:rPr>
          <w:sz w:val="24"/>
        </w:rPr>
        <w:t>was</w:t>
      </w:r>
      <w:r>
        <w:rPr>
          <w:spacing w:val="-2"/>
          <w:sz w:val="24"/>
        </w:rPr>
        <w:t> </w:t>
      </w:r>
      <w:r>
        <w:rPr>
          <w:sz w:val="24"/>
        </w:rPr>
        <w:t>submitted.</w:t>
      </w:r>
    </w:p>
    <w:p>
      <w:pPr>
        <w:pStyle w:val="Heading5"/>
        <w:rPr>
          <w:i/>
        </w:rPr>
      </w:pPr>
      <w:r>
        <w:rPr>
          <w:i/>
        </w:rPr>
        <w:t>last resort planning power</w:t>
      </w:r>
    </w:p>
    <w:p>
      <w:pPr>
        <w:spacing w:before="120"/>
        <w:ind w:left="1352" w:right="0" w:firstLine="0"/>
        <w:jc w:val="both"/>
        <w:rPr>
          <w:sz w:val="24"/>
        </w:rPr>
      </w:pPr>
      <w:r>
        <w:rPr>
          <w:sz w:val="24"/>
        </w:rPr>
        <w:t>The </w:t>
      </w:r>
      <w:r>
        <w:rPr>
          <w:i/>
          <w:sz w:val="24"/>
        </w:rPr>
        <w:t>AEMC's </w:t>
      </w:r>
      <w:r>
        <w:rPr>
          <w:sz w:val="24"/>
        </w:rPr>
        <w:t>power to direct a </w:t>
      </w:r>
      <w:r>
        <w:rPr>
          <w:i/>
          <w:sz w:val="24"/>
        </w:rPr>
        <w:t>Registered Participant </w:t>
      </w:r>
      <w:r>
        <w:rPr>
          <w:sz w:val="24"/>
        </w:rPr>
        <w:t>under rule 5.22(c).</w:t>
      </w:r>
    </w:p>
    <w:p>
      <w:pPr>
        <w:pStyle w:val="Heading5"/>
        <w:rPr>
          <w:i/>
        </w:rPr>
      </w:pPr>
      <w:r>
        <w:rPr>
          <w:i/>
        </w:rPr>
        <w:t>last resort planning power guidelines</w:t>
      </w:r>
    </w:p>
    <w:p>
      <w:pPr>
        <w:spacing w:before="120"/>
        <w:ind w:left="1352" w:right="416" w:firstLine="0"/>
        <w:jc w:val="both"/>
        <w:rPr>
          <w:sz w:val="24"/>
        </w:rPr>
      </w:pPr>
      <w:r>
        <w:rPr>
          <w:sz w:val="24"/>
        </w:rPr>
        <w:t>The guidelines made by the </w:t>
      </w:r>
      <w:r>
        <w:rPr>
          <w:i/>
          <w:sz w:val="24"/>
        </w:rPr>
        <w:t>AEMC </w:t>
      </w:r>
      <w:r>
        <w:rPr>
          <w:sz w:val="24"/>
        </w:rPr>
        <w:t>relating to the exercise of the </w:t>
      </w:r>
      <w:r>
        <w:rPr>
          <w:i/>
          <w:sz w:val="24"/>
        </w:rPr>
        <w:t>last resort </w:t>
      </w:r>
      <w:r>
        <w:rPr>
          <w:i/>
          <w:sz w:val="24"/>
        </w:rPr>
        <w:t>planning power </w:t>
      </w:r>
      <w:r>
        <w:rPr>
          <w:sz w:val="24"/>
        </w:rPr>
        <w:t>and referred to in rule 5.22(n) to (q).</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late rebidding period</w:t>
      </w:r>
    </w:p>
    <w:p>
      <w:pPr>
        <w:spacing w:before="120"/>
        <w:ind w:left="1352" w:right="0" w:firstLine="0"/>
        <w:jc w:val="left"/>
        <w:rPr>
          <w:sz w:val="24"/>
        </w:rPr>
      </w:pPr>
      <w:r>
        <w:rPr>
          <w:sz w:val="24"/>
        </w:rPr>
        <w:t>In respect of a </w:t>
      </w:r>
      <w:r>
        <w:rPr>
          <w:i/>
          <w:sz w:val="24"/>
        </w:rPr>
        <w:t>trading interval</w:t>
      </w:r>
      <w:r>
        <w:rPr>
          <w:sz w:val="24"/>
        </w:rPr>
        <w:t>, the period beginning 15 minutes before the commencement of the </w:t>
      </w:r>
      <w:r>
        <w:rPr>
          <w:i/>
          <w:sz w:val="24"/>
        </w:rPr>
        <w:t>trading interval</w:t>
      </w:r>
      <w:r>
        <w:rPr>
          <w:sz w:val="24"/>
        </w:rPr>
        <w:t>.</w:t>
      </w:r>
    </w:p>
    <w:p>
      <w:pPr>
        <w:spacing w:after="0"/>
        <w:jc w:val="left"/>
        <w:rPr>
          <w:sz w:val="24"/>
        </w:rPr>
        <w:sectPr>
          <w:pgSz w:w="11910" w:h="16840"/>
          <w:pgMar w:header="686" w:footer="637" w:top="1320" w:bottom="820" w:left="1200" w:right="1000"/>
        </w:sectPr>
      </w:pPr>
    </w:p>
    <w:p>
      <w:pPr>
        <w:pStyle w:val="Heading5"/>
        <w:jc w:val="left"/>
        <w:rPr>
          <w:i/>
        </w:rPr>
      </w:pPr>
      <w:r>
        <w:rPr>
          <w:i/>
        </w:rPr>
        <w:t>load</w:t>
      </w: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10"/>
        <w:ind w:firstLine="0"/>
        <w:jc w:val="left"/>
        <w:rPr>
          <w:b/>
          <w:i/>
          <w:sz w:val="38"/>
        </w:rPr>
      </w:pPr>
    </w:p>
    <w:p>
      <w:pPr>
        <w:spacing w:before="0"/>
        <w:ind w:left="218" w:right="0" w:firstLine="0"/>
        <w:jc w:val="left"/>
        <w:rPr>
          <w:b/>
          <w:i/>
          <w:sz w:val="24"/>
        </w:rPr>
      </w:pPr>
      <w:r>
        <w:rPr>
          <w:b/>
          <w:i/>
          <w:sz w:val="24"/>
        </w:rPr>
        <w:t>load centre</w:t>
      </w:r>
    </w:p>
    <w:p>
      <w:pPr>
        <w:pStyle w:val="BodyText"/>
        <w:spacing w:before="0"/>
        <w:ind w:firstLine="0"/>
        <w:jc w:val="left"/>
        <w:rPr>
          <w:b/>
          <w:i/>
          <w:sz w:val="26"/>
        </w:rPr>
      </w:pPr>
      <w:r>
        <w:rPr/>
        <w:br w:type="column"/>
      </w:r>
      <w:r>
        <w:rPr>
          <w:b/>
          <w:i/>
          <w:sz w:val="26"/>
        </w:rPr>
      </w:r>
    </w:p>
    <w:p>
      <w:pPr>
        <w:spacing w:before="217"/>
        <w:ind w:left="-7" w:right="415" w:firstLine="0"/>
        <w:jc w:val="both"/>
        <w:rPr>
          <w:sz w:val="24"/>
        </w:rPr>
      </w:pPr>
      <w:r>
        <w:rPr>
          <w:sz w:val="24"/>
        </w:rPr>
        <w:t>A </w:t>
      </w:r>
      <w:r>
        <w:rPr>
          <w:i/>
          <w:sz w:val="24"/>
        </w:rPr>
        <w:t>connection point </w:t>
      </w:r>
      <w:r>
        <w:rPr>
          <w:sz w:val="24"/>
        </w:rPr>
        <w:t>or defined set of </w:t>
      </w:r>
      <w:r>
        <w:rPr>
          <w:i/>
          <w:sz w:val="24"/>
        </w:rPr>
        <w:t>connection points </w:t>
      </w:r>
      <w:r>
        <w:rPr>
          <w:sz w:val="24"/>
        </w:rPr>
        <w:t>at which electrical power is delivered to a person or to another </w:t>
      </w:r>
      <w:r>
        <w:rPr>
          <w:i/>
          <w:sz w:val="24"/>
        </w:rPr>
        <w:t>network </w:t>
      </w:r>
      <w:r>
        <w:rPr>
          <w:sz w:val="24"/>
        </w:rPr>
        <w:t>or the amount of electrical power delivered at a defined instant at a </w:t>
      </w:r>
      <w:r>
        <w:rPr>
          <w:i/>
          <w:sz w:val="24"/>
        </w:rPr>
        <w:t>connection point</w:t>
      </w:r>
      <w:r>
        <w:rPr>
          <w:sz w:val="24"/>
        </w:rPr>
        <w:t>, or aggregated over a defined set of </w:t>
      </w:r>
      <w:r>
        <w:rPr>
          <w:i/>
          <w:sz w:val="24"/>
        </w:rPr>
        <w:t>connection points</w:t>
      </w:r>
      <w:r>
        <w:rPr>
          <w:sz w:val="24"/>
        </w:rPr>
        <w:t>.</w:t>
      </w:r>
    </w:p>
    <w:p>
      <w:pPr>
        <w:pStyle w:val="BodyText"/>
        <w:spacing w:before="0"/>
        <w:ind w:firstLine="0"/>
        <w:jc w:val="left"/>
        <w:rPr>
          <w:sz w:val="26"/>
        </w:rPr>
      </w:pPr>
    </w:p>
    <w:p>
      <w:pPr>
        <w:pStyle w:val="BodyText"/>
        <w:spacing w:before="217"/>
        <w:ind w:left="-7" w:right="416" w:firstLine="0"/>
      </w:pPr>
      <w:r>
        <w:rPr/>
        <w:t>A geographically concentrated area containing </w:t>
      </w:r>
      <w:r>
        <w:rPr>
          <w:i/>
        </w:rPr>
        <w:t>load </w:t>
      </w:r>
      <w:r>
        <w:rPr/>
        <w:t>or </w:t>
      </w:r>
      <w:r>
        <w:rPr>
          <w:i/>
        </w:rPr>
        <w:t>loads </w:t>
      </w:r>
      <w:r>
        <w:rPr/>
        <w:t>with a significant combined consumption capability.</w:t>
      </w:r>
    </w:p>
    <w:p>
      <w:pPr>
        <w:spacing w:after="0"/>
        <w:sectPr>
          <w:type w:val="continuous"/>
          <w:pgSz w:w="11910" w:h="16840"/>
          <w:pgMar w:top="1360" w:bottom="280" w:left="1200" w:right="1000"/>
          <w:cols w:num="2" w:equalWidth="0">
            <w:col w:w="1319" w:space="40"/>
            <w:col w:w="8351"/>
          </w:cols>
        </w:sectPr>
      </w:pPr>
    </w:p>
    <w:p>
      <w:pPr>
        <w:pStyle w:val="Heading5"/>
        <w:rPr>
          <w:i/>
        </w:rPr>
      </w:pPr>
      <w:r>
        <w:rPr>
          <w:i/>
        </w:rPr>
        <w:t>load shedding</w:t>
      </w:r>
    </w:p>
    <w:p>
      <w:pPr>
        <w:spacing w:before="120"/>
        <w:ind w:left="1352" w:right="0" w:firstLine="0"/>
        <w:jc w:val="both"/>
        <w:rPr>
          <w:sz w:val="24"/>
        </w:rPr>
      </w:pPr>
      <w:r>
        <w:rPr>
          <w:sz w:val="24"/>
        </w:rPr>
        <w:t>Reducing or </w:t>
      </w:r>
      <w:r>
        <w:rPr>
          <w:i/>
          <w:sz w:val="24"/>
        </w:rPr>
        <w:t>disconnecting load </w:t>
      </w:r>
      <w:r>
        <w:rPr>
          <w:sz w:val="24"/>
        </w:rPr>
        <w:t>from the </w:t>
      </w:r>
      <w:r>
        <w:rPr>
          <w:i/>
          <w:sz w:val="24"/>
        </w:rPr>
        <w:t>power system</w:t>
      </w:r>
      <w:r>
        <w:rPr>
          <w:sz w:val="24"/>
        </w:rPr>
        <w:t>.</w:t>
      </w:r>
    </w:p>
    <w:p>
      <w:pPr>
        <w:pStyle w:val="Heading5"/>
        <w:rPr>
          <w:i/>
        </w:rPr>
      </w:pPr>
      <w:r>
        <w:rPr>
          <w:i/>
        </w:rPr>
        <w:t>load shedding procedures</w:t>
      </w:r>
    </w:p>
    <w:p>
      <w:pPr>
        <w:spacing w:before="120"/>
        <w:ind w:left="1352" w:right="415" w:firstLine="0"/>
        <w:jc w:val="both"/>
        <w:rPr>
          <w:sz w:val="24"/>
        </w:rPr>
      </w:pPr>
      <w:r>
        <w:rPr>
          <w:sz w:val="24"/>
        </w:rPr>
        <w:t>The procedures developed by </w:t>
      </w:r>
      <w:r>
        <w:rPr>
          <w:i/>
          <w:sz w:val="24"/>
        </w:rPr>
        <w:t>AEMO </w:t>
      </w:r>
      <w:r>
        <w:rPr>
          <w:sz w:val="24"/>
        </w:rPr>
        <w:t>for each </w:t>
      </w:r>
      <w:r>
        <w:rPr>
          <w:i/>
          <w:sz w:val="24"/>
        </w:rPr>
        <w:t>participating jurisdiction </w:t>
      </w:r>
      <w:r>
        <w:rPr>
          <w:sz w:val="24"/>
        </w:rPr>
        <w:t>in accordance with clause 4.3.2(h)(1) for the implementation of the </w:t>
      </w:r>
      <w:r>
        <w:rPr>
          <w:i/>
          <w:sz w:val="24"/>
        </w:rPr>
        <w:t>load shedding </w:t>
      </w:r>
      <w:r>
        <w:rPr>
          <w:sz w:val="24"/>
        </w:rPr>
        <w:t>priority and </w:t>
      </w:r>
      <w:r>
        <w:rPr>
          <w:i/>
          <w:sz w:val="24"/>
        </w:rPr>
        <w:t>sensitive load </w:t>
      </w:r>
      <w:r>
        <w:rPr>
          <w:sz w:val="24"/>
        </w:rPr>
        <w:t>priority advised by that </w:t>
      </w:r>
      <w:r>
        <w:rPr>
          <w:i/>
          <w:sz w:val="24"/>
        </w:rPr>
        <w:t>Jurisdictional System Security </w:t>
      </w:r>
      <w:r>
        <w:rPr>
          <w:i/>
          <w:sz w:val="24"/>
        </w:rPr>
        <w:t>Coordinator </w:t>
      </w:r>
      <w:r>
        <w:rPr>
          <w:sz w:val="24"/>
        </w:rPr>
        <w:t>under clauses 4.3.2(f)(1) and (2).</w:t>
      </w:r>
    </w:p>
    <w:p>
      <w:pPr>
        <w:pStyle w:val="Heading5"/>
        <w:rPr>
          <w:i/>
        </w:rPr>
      </w:pPr>
      <w:r>
        <w:rPr>
          <w:i/>
        </w:rPr>
        <w:t>loading level</w:t>
      </w:r>
    </w:p>
    <w:p>
      <w:pPr>
        <w:spacing w:before="120"/>
        <w:ind w:left="1352" w:right="415" w:firstLine="0"/>
        <w:jc w:val="both"/>
        <w:rPr>
          <w:sz w:val="24"/>
        </w:rPr>
      </w:pPr>
      <w:r>
        <w:rPr>
          <w:sz w:val="24"/>
        </w:rPr>
        <w:t>The level of output, consumption or power flow (in MW) of a </w:t>
      </w:r>
      <w:r>
        <w:rPr>
          <w:i/>
          <w:sz w:val="24"/>
        </w:rPr>
        <w:t>generating unit</w:t>
      </w:r>
      <w:r>
        <w:rPr>
          <w:sz w:val="24"/>
        </w:rPr>
        <w:t>, </w:t>
      </w:r>
      <w:r>
        <w:rPr>
          <w:i/>
          <w:sz w:val="24"/>
        </w:rPr>
        <w:t>load </w:t>
      </w:r>
      <w:r>
        <w:rPr>
          <w:sz w:val="24"/>
        </w:rPr>
        <w:t>or </w:t>
      </w:r>
      <w:r>
        <w:rPr>
          <w:i/>
          <w:sz w:val="24"/>
        </w:rPr>
        <w:t>scheduled network service</w:t>
      </w:r>
      <w:r>
        <w:rPr>
          <w:sz w:val="24"/>
        </w:rPr>
        <w:t>.</w:t>
      </w:r>
    </w:p>
    <w:p>
      <w:pPr>
        <w:pStyle w:val="Heading5"/>
        <w:rPr>
          <w:i/>
        </w:rPr>
      </w:pPr>
      <w:r>
        <w:rPr>
          <w:i/>
        </w:rPr>
        <w:t>loading price</w:t>
      </w:r>
    </w:p>
    <w:p>
      <w:pPr>
        <w:spacing w:before="120"/>
        <w:ind w:left="1352" w:right="415" w:firstLine="0"/>
        <w:jc w:val="both"/>
        <w:rPr>
          <w:sz w:val="24"/>
        </w:rPr>
      </w:pPr>
      <w:r>
        <w:rPr>
          <w:sz w:val="24"/>
        </w:rPr>
        <w:t>The price specified for a </w:t>
      </w:r>
      <w:r>
        <w:rPr>
          <w:i/>
          <w:sz w:val="24"/>
        </w:rPr>
        <w:t>price band </w:t>
      </w:r>
      <w:r>
        <w:rPr>
          <w:sz w:val="24"/>
        </w:rPr>
        <w:t>and a </w:t>
      </w:r>
      <w:r>
        <w:rPr>
          <w:i/>
          <w:sz w:val="24"/>
        </w:rPr>
        <w:t>trading interval </w:t>
      </w:r>
      <w:r>
        <w:rPr>
          <w:sz w:val="24"/>
        </w:rPr>
        <w:t>in a </w:t>
      </w:r>
      <w:r>
        <w:rPr>
          <w:i/>
          <w:sz w:val="24"/>
        </w:rPr>
        <w:t>dispatch offer</w:t>
      </w:r>
      <w:r>
        <w:rPr>
          <w:sz w:val="24"/>
        </w:rPr>
        <w:t>, in accordance with clause 3.8.6, for the </w:t>
      </w:r>
      <w:r>
        <w:rPr>
          <w:i/>
          <w:sz w:val="24"/>
        </w:rPr>
        <w:t>dispatch </w:t>
      </w:r>
      <w:r>
        <w:rPr>
          <w:sz w:val="24"/>
        </w:rPr>
        <w:t>of a </w:t>
      </w:r>
      <w:r>
        <w:rPr>
          <w:i/>
          <w:sz w:val="24"/>
        </w:rPr>
        <w:t>scheduled generating unit </w:t>
      </w:r>
      <w:r>
        <w:rPr>
          <w:sz w:val="24"/>
        </w:rPr>
        <w:t>at a level above its </w:t>
      </w:r>
      <w:r>
        <w:rPr>
          <w:i/>
          <w:sz w:val="24"/>
        </w:rPr>
        <w:t>self-dispatch level</w:t>
      </w:r>
      <w:r>
        <w:rPr>
          <w:sz w:val="24"/>
        </w:rPr>
        <w:t>.</w:t>
      </w:r>
    </w:p>
    <w:p>
      <w:pPr>
        <w:pStyle w:val="Heading5"/>
        <w:rPr>
          <w:i/>
        </w:rPr>
      </w:pPr>
      <w:r>
        <w:rPr>
          <w:i/>
        </w:rPr>
        <w:t>local area/local</w:t>
      </w:r>
    </w:p>
    <w:p>
      <w:pPr>
        <w:spacing w:before="120"/>
        <w:ind w:left="1352" w:right="415" w:firstLine="0"/>
        <w:jc w:val="both"/>
        <w:rPr>
          <w:sz w:val="24"/>
        </w:rPr>
      </w:pPr>
      <w:r>
        <w:rPr>
          <w:sz w:val="24"/>
        </w:rPr>
        <w:t>The geographical area allocated to a </w:t>
      </w:r>
      <w:r>
        <w:rPr>
          <w:i/>
          <w:sz w:val="24"/>
        </w:rPr>
        <w:t>Network Service Provider </w:t>
      </w:r>
      <w:r>
        <w:rPr>
          <w:sz w:val="24"/>
        </w:rPr>
        <w:t>by the </w:t>
      </w:r>
      <w:r>
        <w:rPr>
          <w:spacing w:val="-3"/>
          <w:sz w:val="24"/>
        </w:rPr>
        <w:t>authority</w:t>
      </w:r>
      <w:r>
        <w:rPr>
          <w:spacing w:val="54"/>
          <w:sz w:val="24"/>
        </w:rPr>
        <w:t> </w:t>
      </w:r>
      <w:r>
        <w:rPr>
          <w:sz w:val="24"/>
        </w:rPr>
        <w:t>responsible for administering the </w:t>
      </w:r>
      <w:r>
        <w:rPr>
          <w:i/>
          <w:sz w:val="24"/>
        </w:rPr>
        <w:t>jurisdictional electricity legislation </w:t>
      </w:r>
      <w:r>
        <w:rPr>
          <w:sz w:val="24"/>
        </w:rPr>
        <w:t>in the relevant </w:t>
      </w:r>
      <w:r>
        <w:rPr>
          <w:i/>
          <w:sz w:val="24"/>
        </w:rPr>
        <w:t>participating jurisdiction</w:t>
      </w:r>
      <w:r>
        <w:rPr>
          <w:sz w:val="24"/>
        </w:rPr>
        <w:t>.</w:t>
      </w:r>
    </w:p>
    <w:p>
      <w:pPr>
        <w:pStyle w:val="Heading5"/>
        <w:rPr>
          <w:i/>
        </w:rPr>
      </w:pPr>
      <w:r>
        <w:rPr>
          <w:i/>
        </w:rPr>
        <w:t>local black system procedures</w:t>
      </w:r>
    </w:p>
    <w:p>
      <w:pPr>
        <w:pStyle w:val="BodyText"/>
        <w:ind w:left="1352" w:right="414" w:firstLine="0"/>
      </w:pPr>
      <w:r>
        <w:rPr/>
        <w:t>The procedures, described in clause 4.8.12, applicable to a </w:t>
      </w:r>
      <w:r>
        <w:rPr>
          <w:i/>
        </w:rPr>
        <w:t>local area </w:t>
      </w:r>
      <w:r>
        <w:rPr/>
        <w:t>as approved by </w:t>
      </w:r>
      <w:r>
        <w:rPr>
          <w:i/>
        </w:rPr>
        <w:t>AEMO </w:t>
      </w:r>
      <w:r>
        <w:rPr/>
        <w:t>from time to time.</w:t>
      </w:r>
    </w:p>
    <w:p>
      <w:pPr>
        <w:pStyle w:val="Heading5"/>
        <w:rPr>
          <w:i/>
        </w:rPr>
      </w:pPr>
      <w:r>
        <w:rPr>
          <w:i/>
        </w:rPr>
        <w:t>local market ancillary service requirement</w:t>
      </w:r>
    </w:p>
    <w:p>
      <w:pPr>
        <w:pStyle w:val="BodyText"/>
        <w:ind w:left="1352" w:firstLine="0"/>
      </w:pPr>
      <w:r>
        <w:rPr/>
        <w:t>Has the meaning given to it by clause 3.8.1(e2).</w:t>
      </w:r>
    </w:p>
    <w:p>
      <w:pPr>
        <w:pStyle w:val="Heading5"/>
        <w:rPr>
          <w:i/>
        </w:rPr>
      </w:pPr>
      <w:r>
        <w:rPr>
          <w:i/>
        </w:rPr>
        <w:t>Local Network Service Provider</w:t>
      </w:r>
    </w:p>
    <w:p>
      <w:pPr>
        <w:pStyle w:val="BodyText"/>
        <w:ind w:left="1352" w:firstLine="0"/>
      </w:pPr>
      <w:r>
        <w:rPr/>
        <w:t>Power and Water Corporation ABN 15 947 352 360.</w:t>
      </w:r>
    </w:p>
    <w:p>
      <w:pPr>
        <w:pStyle w:val="Heading5"/>
        <w:rPr>
          <w:i/>
        </w:rPr>
      </w:pPr>
      <w:r>
        <w:rPr>
          <w:i/>
        </w:rPr>
        <w:t>Local Retailer</w:t>
      </w:r>
    </w:p>
    <w:p>
      <w:pPr>
        <w:spacing w:before="120"/>
        <w:ind w:left="1352" w:right="0" w:firstLine="0"/>
        <w:jc w:val="both"/>
        <w:rPr>
          <w:sz w:val="24"/>
        </w:rPr>
      </w:pPr>
      <w:r>
        <w:rPr>
          <w:sz w:val="24"/>
        </w:rPr>
        <w:t>In relation to a </w:t>
      </w:r>
      <w:r>
        <w:rPr>
          <w:i/>
          <w:sz w:val="24"/>
        </w:rPr>
        <w:t>local area</w:t>
      </w:r>
      <w:r>
        <w:rPr>
          <w:sz w:val="24"/>
        </w:rPr>
        <w:t>, the </w:t>
      </w:r>
      <w:r>
        <w:rPr>
          <w:i/>
          <w:sz w:val="24"/>
        </w:rPr>
        <w:t>Customer </w:t>
      </w:r>
      <w:r>
        <w:rPr>
          <w:sz w:val="24"/>
        </w:rPr>
        <w:t>who is:</w:t>
      </w:r>
    </w:p>
    <w:p>
      <w:pPr>
        <w:pStyle w:val="ListParagraph"/>
        <w:numPr>
          <w:ilvl w:val="0"/>
          <w:numId w:val="758"/>
        </w:numPr>
        <w:tabs>
          <w:tab w:pos="1919" w:val="left" w:leader="none"/>
        </w:tabs>
        <w:spacing w:line="240" w:lineRule="auto" w:before="120" w:after="0"/>
        <w:ind w:left="1919" w:right="416" w:hanging="567"/>
        <w:jc w:val="both"/>
        <w:rPr>
          <w:sz w:val="24"/>
        </w:rPr>
      </w:pPr>
      <w:r>
        <w:rPr>
          <w:sz w:val="24"/>
        </w:rPr>
        <w:t>a business unit or </w:t>
      </w:r>
      <w:r>
        <w:rPr>
          <w:i/>
          <w:sz w:val="24"/>
        </w:rPr>
        <w:t>related body corporate </w:t>
      </w:r>
      <w:r>
        <w:rPr>
          <w:sz w:val="24"/>
        </w:rPr>
        <w:t>of the relevant </w:t>
      </w:r>
      <w:r>
        <w:rPr>
          <w:i/>
          <w:sz w:val="24"/>
        </w:rPr>
        <w:t>Local Network </w:t>
      </w:r>
      <w:r>
        <w:rPr>
          <w:i/>
          <w:sz w:val="24"/>
        </w:rPr>
        <w:t>Service Provider</w:t>
      </w:r>
      <w:r>
        <w:rPr>
          <w:sz w:val="24"/>
        </w:rPr>
        <w:t>;</w:t>
      </w:r>
      <w:r>
        <w:rPr>
          <w:spacing w:val="-1"/>
          <w:sz w:val="24"/>
        </w:rPr>
        <w:t> </w:t>
      </w:r>
      <w:r>
        <w:rPr>
          <w:sz w:val="24"/>
        </w:rPr>
        <w:t>or</w:t>
      </w:r>
    </w:p>
    <w:p>
      <w:pPr>
        <w:spacing w:after="0" w:line="240" w:lineRule="auto"/>
        <w:jc w:val="both"/>
        <w:rPr>
          <w:sz w:val="24"/>
        </w:rPr>
        <w:sectPr>
          <w:type w:val="continuous"/>
          <w:pgSz w:w="11910" w:h="16840"/>
          <w:pgMar w:top="1360" w:bottom="280" w:left="1200" w:right="1000"/>
        </w:sectPr>
      </w:pPr>
    </w:p>
    <w:p>
      <w:pPr>
        <w:pStyle w:val="ListParagraph"/>
        <w:numPr>
          <w:ilvl w:val="0"/>
          <w:numId w:val="758"/>
        </w:numPr>
        <w:tabs>
          <w:tab w:pos="1918" w:val="left" w:leader="none"/>
          <w:tab w:pos="1919" w:val="left" w:leader="none"/>
        </w:tabs>
        <w:spacing w:line="240" w:lineRule="auto" w:before="83" w:after="0"/>
        <w:ind w:left="1918" w:right="0" w:hanging="567"/>
        <w:jc w:val="left"/>
        <w:rPr>
          <w:sz w:val="24"/>
        </w:rPr>
      </w:pPr>
      <w:r>
        <w:rPr>
          <w:sz w:val="24"/>
        </w:rPr>
        <w:t>responsible</w:t>
      </w:r>
      <w:r>
        <w:rPr>
          <w:spacing w:val="19"/>
          <w:sz w:val="24"/>
        </w:rPr>
        <w:t> </w:t>
      </w:r>
      <w:r>
        <w:rPr>
          <w:sz w:val="24"/>
        </w:rPr>
        <w:t>under</w:t>
      </w:r>
      <w:r>
        <w:rPr>
          <w:spacing w:val="19"/>
          <w:sz w:val="24"/>
        </w:rPr>
        <w:t> </w:t>
      </w:r>
      <w:r>
        <w:rPr>
          <w:sz w:val="24"/>
        </w:rPr>
        <w:t>the</w:t>
      </w:r>
      <w:r>
        <w:rPr>
          <w:spacing w:val="19"/>
          <w:sz w:val="24"/>
        </w:rPr>
        <w:t> </w:t>
      </w:r>
      <w:r>
        <w:rPr>
          <w:sz w:val="24"/>
        </w:rPr>
        <w:t>laws</w:t>
      </w:r>
      <w:r>
        <w:rPr>
          <w:spacing w:val="19"/>
          <w:sz w:val="24"/>
        </w:rPr>
        <w:t> </w:t>
      </w:r>
      <w:r>
        <w:rPr>
          <w:sz w:val="24"/>
        </w:rPr>
        <w:t>of</w:t>
      </w:r>
      <w:r>
        <w:rPr>
          <w:spacing w:val="19"/>
          <w:sz w:val="24"/>
        </w:rPr>
        <w:t> </w:t>
      </w:r>
      <w:r>
        <w:rPr>
          <w:sz w:val="24"/>
        </w:rPr>
        <w:t>the</w:t>
      </w:r>
      <w:r>
        <w:rPr>
          <w:spacing w:val="19"/>
          <w:sz w:val="24"/>
        </w:rPr>
        <w:t> </w:t>
      </w:r>
      <w:r>
        <w:rPr>
          <w:sz w:val="24"/>
        </w:rPr>
        <w:t>relevant</w:t>
      </w:r>
      <w:r>
        <w:rPr>
          <w:spacing w:val="18"/>
          <w:sz w:val="24"/>
        </w:rPr>
        <w:t> </w:t>
      </w:r>
      <w:r>
        <w:rPr>
          <w:i/>
          <w:sz w:val="24"/>
        </w:rPr>
        <w:t>participating</w:t>
      </w:r>
      <w:r>
        <w:rPr>
          <w:i/>
          <w:spacing w:val="19"/>
          <w:sz w:val="24"/>
        </w:rPr>
        <w:t> </w:t>
      </w:r>
      <w:r>
        <w:rPr>
          <w:i/>
          <w:sz w:val="24"/>
        </w:rPr>
        <w:t>jurisdiction</w:t>
      </w:r>
      <w:r>
        <w:rPr>
          <w:i/>
          <w:spacing w:val="19"/>
          <w:sz w:val="24"/>
        </w:rPr>
        <w:t> </w:t>
      </w:r>
      <w:r>
        <w:rPr>
          <w:sz w:val="24"/>
        </w:rPr>
        <w:t>for</w:t>
      </w:r>
      <w:r>
        <w:rPr>
          <w:spacing w:val="18"/>
          <w:sz w:val="24"/>
        </w:rPr>
        <w:t> </w:t>
      </w:r>
      <w:r>
        <w:rPr>
          <w:sz w:val="24"/>
        </w:rPr>
        <w:t>the</w:t>
      </w:r>
    </w:p>
    <w:p>
      <w:pPr>
        <w:spacing w:before="0"/>
        <w:ind w:left="1919" w:right="0" w:firstLine="0"/>
        <w:jc w:val="left"/>
        <w:rPr>
          <w:sz w:val="24"/>
        </w:rPr>
      </w:pPr>
      <w:r>
        <w:rPr>
          <w:i/>
          <w:sz w:val="24"/>
        </w:rPr>
        <w:t>supply </w:t>
      </w:r>
      <w:r>
        <w:rPr>
          <w:sz w:val="24"/>
        </w:rPr>
        <w:t>of electricity to </w:t>
      </w:r>
      <w:r>
        <w:rPr>
          <w:i/>
          <w:sz w:val="24"/>
        </w:rPr>
        <w:t>franchise customers </w:t>
      </w:r>
      <w:r>
        <w:rPr>
          <w:sz w:val="24"/>
        </w:rPr>
        <w:t>in that </w:t>
      </w:r>
      <w:r>
        <w:rPr>
          <w:i/>
          <w:sz w:val="24"/>
        </w:rPr>
        <w:t>local area</w:t>
      </w:r>
      <w:r>
        <w:rPr>
          <w:sz w:val="24"/>
        </w:rPr>
        <w:t>; or</w:t>
      </w:r>
    </w:p>
    <w:p>
      <w:pPr>
        <w:pStyle w:val="ListParagraph"/>
        <w:numPr>
          <w:ilvl w:val="0"/>
          <w:numId w:val="758"/>
        </w:numPr>
        <w:tabs>
          <w:tab w:pos="1918" w:val="left" w:leader="none"/>
          <w:tab w:pos="1919" w:val="left" w:leader="none"/>
        </w:tabs>
        <w:spacing w:line="240" w:lineRule="auto" w:before="120" w:after="0"/>
        <w:ind w:left="1919" w:right="416" w:hanging="567"/>
        <w:jc w:val="left"/>
        <w:rPr>
          <w:sz w:val="24"/>
        </w:rPr>
      </w:pPr>
      <w:r>
        <w:rPr>
          <w:sz w:val="24"/>
        </w:rPr>
        <w:t>if neither 1 or 2 is applicable, such other </w:t>
      </w:r>
      <w:r>
        <w:rPr>
          <w:i/>
          <w:sz w:val="24"/>
        </w:rPr>
        <w:t>Customer </w:t>
      </w:r>
      <w:r>
        <w:rPr>
          <w:sz w:val="24"/>
        </w:rPr>
        <w:t>as </w:t>
      </w:r>
      <w:r>
        <w:rPr>
          <w:i/>
          <w:sz w:val="24"/>
        </w:rPr>
        <w:t>AEMO </w:t>
      </w:r>
      <w:r>
        <w:rPr>
          <w:sz w:val="24"/>
        </w:rPr>
        <w:t>may determine.</w:t>
      </w:r>
    </w:p>
    <w:p>
      <w:pPr>
        <w:pStyle w:val="Heading5"/>
        <w:rPr>
          <w:i/>
        </w:rPr>
      </w:pPr>
      <w:r>
        <w:rPr>
          <w:i/>
        </w:rPr>
        <w:t>local spot price</w:t>
      </w:r>
    </w:p>
    <w:p>
      <w:pPr>
        <w:pStyle w:val="BodyText"/>
        <w:ind w:left="1352" w:firstLine="0"/>
      </w:pPr>
      <w:r>
        <w:rPr/>
        <w:t>A price determined according to clause 3.9.1(c).</w:t>
      </w:r>
    </w:p>
    <w:p>
      <w:pPr>
        <w:pStyle w:val="Heading5"/>
        <w:rPr>
          <w:i/>
        </w:rPr>
      </w:pPr>
      <w:r>
        <w:rPr>
          <w:i/>
        </w:rPr>
        <w:t>long run marginal cost</w:t>
      </w:r>
    </w:p>
    <w:p>
      <w:pPr>
        <w:spacing w:before="120"/>
        <w:ind w:left="1352" w:right="415" w:firstLine="0"/>
        <w:jc w:val="both"/>
        <w:rPr>
          <w:sz w:val="24"/>
        </w:rPr>
      </w:pPr>
      <w:r>
        <w:rPr>
          <w:sz w:val="24"/>
        </w:rPr>
        <w:t>For the purposes of clause 6.18.5, the cost of an incremental change in demand for </w:t>
      </w:r>
      <w:r>
        <w:rPr>
          <w:i/>
          <w:sz w:val="24"/>
        </w:rPr>
        <w:t>direct control services </w:t>
      </w:r>
      <w:r>
        <w:rPr>
          <w:sz w:val="24"/>
        </w:rPr>
        <w:t>provided by a </w:t>
      </w:r>
      <w:r>
        <w:rPr>
          <w:i/>
          <w:sz w:val="24"/>
        </w:rPr>
        <w:t>Distribution Network Service Provider </w:t>
      </w:r>
      <w:r>
        <w:rPr>
          <w:sz w:val="24"/>
        </w:rPr>
        <w:t>over a period of time in which all factors of production required to provide those </w:t>
      </w:r>
      <w:r>
        <w:rPr>
          <w:i/>
          <w:sz w:val="24"/>
        </w:rPr>
        <w:t>direct </w:t>
      </w:r>
      <w:r>
        <w:rPr>
          <w:i/>
          <w:sz w:val="24"/>
        </w:rPr>
        <w:t>control services </w:t>
      </w:r>
      <w:r>
        <w:rPr>
          <w:sz w:val="24"/>
        </w:rPr>
        <w:t>can be</w:t>
      </w:r>
      <w:r>
        <w:rPr>
          <w:spacing w:val="-1"/>
          <w:sz w:val="24"/>
        </w:rPr>
        <w:t> </w:t>
      </w:r>
      <w:r>
        <w:rPr>
          <w:sz w:val="24"/>
        </w:rPr>
        <w:t>varied.</w:t>
      </w:r>
    </w:p>
    <w:p>
      <w:pPr>
        <w:spacing w:after="0"/>
        <w:jc w:val="both"/>
        <w:rPr>
          <w:sz w:val="24"/>
        </w:rPr>
        <w:sectPr>
          <w:pgSz w:w="11910" w:h="16840"/>
          <w:pgMar w:header="686" w:footer="637" w:top="1320" w:bottom="820" w:left="1200" w:right="1000"/>
        </w:sectPr>
      </w:pPr>
    </w:p>
    <w:p>
      <w:pPr>
        <w:pStyle w:val="Heading5"/>
        <w:jc w:val="left"/>
        <w:rPr>
          <w:i/>
        </w:rPr>
      </w:pPr>
      <w:r>
        <w:rPr>
          <w:i/>
        </w:rPr>
        <w:t>loss factor</w:t>
      </w:r>
    </w:p>
    <w:p>
      <w:pPr>
        <w:pStyle w:val="BodyText"/>
        <w:spacing w:before="0"/>
        <w:ind w:firstLine="0"/>
        <w:jc w:val="left"/>
        <w:rPr>
          <w:b/>
          <w:i/>
          <w:sz w:val="26"/>
        </w:rPr>
      </w:pPr>
    </w:p>
    <w:p>
      <w:pPr>
        <w:pStyle w:val="BodyText"/>
        <w:spacing w:before="0"/>
        <w:ind w:firstLine="0"/>
        <w:jc w:val="left"/>
        <w:rPr>
          <w:b/>
          <w:i/>
          <w:sz w:val="26"/>
        </w:rPr>
      </w:pPr>
    </w:p>
    <w:p>
      <w:pPr>
        <w:spacing w:before="194"/>
        <w:ind w:left="218" w:right="0" w:firstLine="0"/>
        <w:jc w:val="left"/>
        <w:rPr>
          <w:b/>
          <w:i/>
          <w:sz w:val="24"/>
        </w:rPr>
      </w:pPr>
      <w:r>
        <w:rPr>
          <w:b/>
          <w:i/>
          <w:sz w:val="24"/>
        </w:rPr>
        <w:t>low </w:t>
      </w:r>
      <w:r>
        <w:rPr>
          <w:b/>
          <w:i/>
          <w:spacing w:val="-3"/>
          <w:sz w:val="24"/>
        </w:rPr>
        <w:t>reserve</w:t>
      </w:r>
    </w:p>
    <w:p>
      <w:pPr>
        <w:pStyle w:val="BodyText"/>
        <w:spacing w:before="0"/>
        <w:ind w:firstLine="0"/>
        <w:jc w:val="left"/>
        <w:rPr>
          <w:b/>
          <w:i/>
          <w:sz w:val="26"/>
        </w:rPr>
      </w:pPr>
      <w:r>
        <w:rPr/>
        <w:br w:type="column"/>
      </w:r>
      <w:r>
        <w:rPr>
          <w:b/>
          <w:i/>
          <w:sz w:val="26"/>
        </w:rPr>
      </w:r>
    </w:p>
    <w:p>
      <w:pPr>
        <w:spacing w:before="217"/>
        <w:ind w:left="-19" w:right="0" w:firstLine="0"/>
        <w:jc w:val="left"/>
        <w:rPr>
          <w:sz w:val="24"/>
        </w:rPr>
      </w:pPr>
      <w:r>
        <w:rPr>
          <w:sz w:val="24"/>
        </w:rPr>
        <w:t>A multiplier used to describe the </w:t>
      </w:r>
      <w:r>
        <w:rPr>
          <w:i/>
          <w:sz w:val="24"/>
        </w:rPr>
        <w:t>electrical energy loss </w:t>
      </w:r>
      <w:r>
        <w:rPr>
          <w:sz w:val="24"/>
        </w:rPr>
        <w:t>for electricity used or transmitted.</w:t>
      </w:r>
    </w:p>
    <w:p>
      <w:pPr>
        <w:pStyle w:val="BodyText"/>
        <w:spacing w:before="0"/>
        <w:ind w:firstLine="0"/>
        <w:jc w:val="left"/>
        <w:rPr>
          <w:sz w:val="26"/>
        </w:rPr>
      </w:pPr>
    </w:p>
    <w:p>
      <w:pPr>
        <w:pStyle w:val="BodyText"/>
        <w:spacing w:before="217"/>
        <w:ind w:left="-19" w:firstLine="0"/>
        <w:jc w:val="left"/>
      </w:pPr>
      <w:r>
        <w:rPr/>
        <w:t>The conditions described in clause 4.8.4(a).</w:t>
      </w:r>
    </w:p>
    <w:p>
      <w:pPr>
        <w:spacing w:after="0"/>
        <w:jc w:val="left"/>
        <w:sectPr>
          <w:type w:val="continuous"/>
          <w:pgSz w:w="11910" w:h="16840"/>
          <w:pgMar w:top="1360" w:bottom="280" w:left="1200" w:right="1000"/>
          <w:cols w:num="2" w:equalWidth="0">
            <w:col w:w="1331" w:space="40"/>
            <w:col w:w="8339"/>
          </w:cols>
        </w:sectPr>
      </w:pPr>
    </w:p>
    <w:p>
      <w:pPr>
        <w:pStyle w:val="Heading5"/>
        <w:rPr>
          <w:i/>
        </w:rPr>
      </w:pPr>
      <w:r>
        <w:rPr>
          <w:i/>
        </w:rPr>
        <w:t>major supply disruption</w:t>
      </w:r>
    </w:p>
    <w:p>
      <w:pPr>
        <w:spacing w:before="120"/>
        <w:ind w:left="1352" w:right="416" w:firstLine="0"/>
        <w:jc w:val="both"/>
        <w:rPr>
          <w:sz w:val="24"/>
        </w:rPr>
      </w:pPr>
      <w:r>
        <w:rPr>
          <w:sz w:val="24"/>
        </w:rPr>
        <w:t>The unplanned absence of </w:t>
      </w:r>
      <w:r>
        <w:rPr>
          <w:i/>
          <w:sz w:val="24"/>
        </w:rPr>
        <w:t>voltage </w:t>
      </w:r>
      <w:r>
        <w:rPr>
          <w:sz w:val="24"/>
        </w:rPr>
        <w:t>on a part of the </w:t>
      </w:r>
      <w:r>
        <w:rPr>
          <w:i/>
          <w:sz w:val="24"/>
        </w:rPr>
        <w:t>transmission system </w:t>
      </w:r>
      <w:r>
        <w:rPr>
          <w:sz w:val="24"/>
        </w:rPr>
        <w:t>affecting one or more </w:t>
      </w:r>
      <w:r>
        <w:rPr>
          <w:i/>
          <w:sz w:val="24"/>
        </w:rPr>
        <w:t>power stations </w:t>
      </w:r>
      <w:r>
        <w:rPr>
          <w:sz w:val="24"/>
        </w:rPr>
        <w:t>and which leads to a loss of </w:t>
      </w:r>
      <w:r>
        <w:rPr>
          <w:i/>
          <w:sz w:val="24"/>
        </w:rPr>
        <w:t>supply </w:t>
      </w:r>
      <w:r>
        <w:rPr>
          <w:sz w:val="24"/>
        </w:rPr>
        <w:t>to one or more </w:t>
      </w:r>
      <w:r>
        <w:rPr>
          <w:i/>
          <w:sz w:val="24"/>
        </w:rPr>
        <w:t>loads</w:t>
      </w:r>
      <w:r>
        <w:rPr>
          <w:sz w:val="24"/>
        </w:rPr>
        <w:t>.</w:t>
      </w:r>
    </w:p>
    <w:p>
      <w:pPr>
        <w:pStyle w:val="Heading5"/>
        <w:rPr>
          <w:i/>
        </w:rPr>
      </w:pPr>
      <w:r>
        <w:rPr>
          <w:i/>
        </w:rPr>
        <w:t>mandatory restrictions</w:t>
      </w:r>
    </w:p>
    <w:p>
      <w:pPr>
        <w:spacing w:before="120"/>
        <w:ind w:left="1352" w:right="415" w:firstLine="0"/>
        <w:jc w:val="both"/>
        <w:rPr>
          <w:sz w:val="24"/>
        </w:rPr>
      </w:pPr>
      <w:r>
        <w:rPr>
          <w:sz w:val="24"/>
        </w:rPr>
        <w:t>Restrictions imposed by a </w:t>
      </w:r>
      <w:r>
        <w:rPr>
          <w:i/>
          <w:sz w:val="24"/>
        </w:rPr>
        <w:t>participating jurisdiction </w:t>
      </w:r>
      <w:r>
        <w:rPr>
          <w:sz w:val="24"/>
        </w:rPr>
        <w:t>by a relevant law, other than the </w:t>
      </w:r>
      <w:r>
        <w:rPr>
          <w:i/>
          <w:sz w:val="24"/>
        </w:rPr>
        <w:t>Rules</w:t>
      </w:r>
      <w:r>
        <w:rPr>
          <w:sz w:val="24"/>
        </w:rPr>
        <w:t>, on the use of electricity in a </w:t>
      </w:r>
      <w:r>
        <w:rPr>
          <w:i/>
          <w:sz w:val="24"/>
        </w:rPr>
        <w:t>region</w:t>
      </w:r>
      <w:r>
        <w:rPr>
          <w:sz w:val="24"/>
        </w:rPr>
        <w:t>.</w:t>
      </w:r>
    </w:p>
    <w:p>
      <w:pPr>
        <w:pStyle w:val="Heading5"/>
        <w:rPr>
          <w:i/>
        </w:rPr>
      </w:pPr>
      <w:r>
        <w:rPr>
          <w:i/>
        </w:rPr>
        <w:t>mandatory restriction period</w:t>
      </w:r>
    </w:p>
    <w:p>
      <w:pPr>
        <w:spacing w:before="120"/>
        <w:ind w:left="1352" w:right="0" w:firstLine="0"/>
        <w:jc w:val="both"/>
        <w:rPr>
          <w:sz w:val="24"/>
        </w:rPr>
      </w:pPr>
      <w:r>
        <w:rPr>
          <w:sz w:val="24"/>
        </w:rPr>
        <w:t>The period of </w:t>
      </w:r>
      <w:r>
        <w:rPr>
          <w:i/>
          <w:sz w:val="24"/>
        </w:rPr>
        <w:t>mandatory restrictions</w:t>
      </w:r>
      <w:r>
        <w:rPr>
          <w:sz w:val="24"/>
        </w:rPr>
        <w:t>.</w:t>
      </w:r>
    </w:p>
    <w:p>
      <w:pPr>
        <w:pStyle w:val="Heading5"/>
        <w:rPr>
          <w:i/>
        </w:rPr>
      </w:pPr>
      <w:r>
        <w:rPr>
          <w:i/>
        </w:rPr>
        <w:t>mandatory restriction schedule</w:t>
      </w:r>
    </w:p>
    <w:p>
      <w:pPr>
        <w:pStyle w:val="BodyText"/>
        <w:ind w:left="1352" w:firstLine="0"/>
      </w:pPr>
      <w:r>
        <w:rPr/>
        <w:t>A schedule prepared in accordance with clause 3.12A.2.</w:t>
      </w:r>
    </w:p>
    <w:p>
      <w:pPr>
        <w:pStyle w:val="Heading5"/>
        <w:rPr>
          <w:i/>
        </w:rPr>
      </w:pPr>
      <w:r>
        <w:rPr>
          <w:i/>
        </w:rPr>
        <w:t>margin requirement</w:t>
      </w:r>
    </w:p>
    <w:p>
      <w:pPr>
        <w:pStyle w:val="BodyText"/>
        <w:ind w:left="1352" w:right="416" w:firstLine="0"/>
      </w:pPr>
      <w:r>
        <w:rPr/>
        <w:t>The requirement set out in clause S6.2.2A(d) or clause S6A.2.2A(d), as the case may be.</w:t>
      </w:r>
    </w:p>
    <w:p>
      <w:pPr>
        <w:pStyle w:val="Heading5"/>
        <w:rPr>
          <w:i/>
        </w:rPr>
      </w:pPr>
      <w:r>
        <w:rPr>
          <w:i/>
        </w:rPr>
        <w:t>marginal electrical energy loss</w:t>
      </w:r>
    </w:p>
    <w:p>
      <w:pPr>
        <w:pStyle w:val="BodyText"/>
        <w:ind w:left="1352" w:right="414" w:firstLine="0"/>
      </w:pPr>
      <w:r>
        <w:rPr/>
        <w:t>The </w:t>
      </w:r>
      <w:r>
        <w:rPr>
          <w:i/>
        </w:rPr>
        <w:t>electrical energy loss </w:t>
      </w:r>
      <w:r>
        <w:rPr/>
        <w:t>associated with an infinitesimal increment in electricity produced, transported and/or used.</w:t>
      </w:r>
    </w:p>
    <w:p>
      <w:pPr>
        <w:pStyle w:val="Heading5"/>
        <w:rPr>
          <w:i/>
        </w:rPr>
      </w:pPr>
      <w:r>
        <w:rPr>
          <w:i/>
        </w:rPr>
        <w:t>marginal loss factor</w:t>
      </w:r>
    </w:p>
    <w:p>
      <w:pPr>
        <w:spacing w:before="120"/>
        <w:ind w:left="1352" w:right="415" w:firstLine="0"/>
        <w:jc w:val="both"/>
        <w:rPr>
          <w:sz w:val="24"/>
        </w:rPr>
      </w:pPr>
      <w:r>
        <w:rPr>
          <w:sz w:val="24"/>
        </w:rPr>
        <w:t>A multiplier used to describe the </w:t>
      </w:r>
      <w:r>
        <w:rPr>
          <w:i/>
          <w:sz w:val="24"/>
        </w:rPr>
        <w:t>marginal electrical energy loss </w:t>
      </w:r>
      <w:r>
        <w:rPr>
          <w:sz w:val="24"/>
        </w:rPr>
        <w:t>for electricity used or transmitted.</w:t>
      </w:r>
    </w:p>
    <w:p>
      <w:pPr>
        <w:spacing w:after="0"/>
        <w:jc w:val="both"/>
        <w:rPr>
          <w:sz w:val="24"/>
        </w:rPr>
        <w:sectPr>
          <w:type w:val="continuous"/>
          <w:pgSz w:w="11910" w:h="16840"/>
          <w:pgMar w:top="1360" w:bottom="280" w:left="1200" w:right="1000"/>
        </w:sectPr>
      </w:pPr>
    </w:p>
    <w:p>
      <w:pPr>
        <w:pStyle w:val="Heading5"/>
        <w:jc w:val="left"/>
        <w:rPr>
          <w:i/>
        </w:rPr>
      </w:pPr>
      <w:r>
        <w:rPr>
          <w:i/>
        </w:rPr>
        <w:t>market</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Means:</w:t>
      </w:r>
    </w:p>
    <w:p>
      <w:pPr>
        <w:pStyle w:val="ListParagraph"/>
        <w:numPr>
          <w:ilvl w:val="0"/>
          <w:numId w:val="759"/>
        </w:numPr>
        <w:tabs>
          <w:tab w:pos="784" w:val="left" w:leader="none"/>
          <w:tab w:pos="785" w:val="left" w:leader="none"/>
        </w:tabs>
        <w:spacing w:line="240" w:lineRule="auto" w:before="120" w:after="0"/>
        <w:ind w:left="784" w:right="0" w:hanging="567"/>
        <w:jc w:val="left"/>
        <w:rPr>
          <w:sz w:val="24"/>
        </w:rPr>
      </w:pPr>
      <w:r>
        <w:rPr>
          <w:sz w:val="24"/>
        </w:rPr>
        <w:t>except for the purposes of Chapter</w:t>
      </w:r>
      <w:r>
        <w:rPr>
          <w:spacing w:val="-1"/>
          <w:sz w:val="24"/>
        </w:rPr>
        <w:t> </w:t>
      </w:r>
      <w:r>
        <w:rPr>
          <w:sz w:val="24"/>
        </w:rPr>
        <w:t>7A:</w:t>
      </w:r>
    </w:p>
    <w:p>
      <w:pPr>
        <w:spacing w:after="0" w:line="240" w:lineRule="auto"/>
        <w:jc w:val="left"/>
        <w:rPr>
          <w:sz w:val="24"/>
        </w:rPr>
        <w:sectPr>
          <w:type w:val="continuous"/>
          <w:pgSz w:w="11910" w:h="16840"/>
          <w:pgMar w:top="1360" w:bottom="280" w:left="1200" w:right="1000"/>
          <w:cols w:num="2" w:equalWidth="0">
            <w:col w:w="952" w:space="182"/>
            <w:col w:w="8576"/>
          </w:cols>
        </w:sectPr>
      </w:pPr>
    </w:p>
    <w:p>
      <w:pPr>
        <w:pStyle w:val="ListParagraph"/>
        <w:numPr>
          <w:ilvl w:val="1"/>
          <w:numId w:val="759"/>
        </w:numPr>
        <w:tabs>
          <w:tab w:pos="2485" w:val="left" w:leader="none"/>
          <w:tab w:pos="2486" w:val="left" w:leader="none"/>
        </w:tabs>
        <w:spacing w:line="240" w:lineRule="auto" w:before="83" w:after="0"/>
        <w:ind w:left="2486" w:right="415" w:hanging="567"/>
        <w:jc w:val="left"/>
        <w:rPr>
          <w:sz w:val="24"/>
        </w:rPr>
      </w:pPr>
      <w:r>
        <w:rPr>
          <w:sz w:val="24"/>
        </w:rPr>
        <w:t>a market or exchange operated or administered by </w:t>
      </w:r>
      <w:r>
        <w:rPr>
          <w:i/>
          <w:sz w:val="24"/>
        </w:rPr>
        <w:t>NTESMO</w:t>
      </w:r>
      <w:r>
        <w:rPr>
          <w:sz w:val="24"/>
        </w:rPr>
        <w:t>, whether being a market for </w:t>
      </w:r>
      <w:r>
        <w:rPr>
          <w:i/>
          <w:sz w:val="24"/>
        </w:rPr>
        <w:t>energy </w:t>
      </w:r>
      <w:r>
        <w:rPr>
          <w:sz w:val="24"/>
        </w:rPr>
        <w:t>or any other market or exchange;</w:t>
      </w:r>
      <w:r>
        <w:rPr>
          <w:spacing w:val="-2"/>
          <w:sz w:val="24"/>
        </w:rPr>
        <w:t> </w:t>
      </w:r>
      <w:r>
        <w:rPr>
          <w:sz w:val="24"/>
        </w:rPr>
        <w:t>or</w:t>
      </w:r>
    </w:p>
    <w:p>
      <w:pPr>
        <w:pStyle w:val="ListParagraph"/>
        <w:numPr>
          <w:ilvl w:val="1"/>
          <w:numId w:val="759"/>
        </w:numPr>
        <w:tabs>
          <w:tab w:pos="2485" w:val="left" w:leader="none"/>
          <w:tab w:pos="2487" w:val="left" w:leader="none"/>
        </w:tabs>
        <w:spacing w:line="240" w:lineRule="auto" w:before="120" w:after="0"/>
        <w:ind w:left="2486" w:right="415" w:hanging="567"/>
        <w:jc w:val="left"/>
        <w:rPr>
          <w:sz w:val="24"/>
        </w:rPr>
      </w:pPr>
      <w:r>
        <w:rPr>
          <w:sz w:val="24"/>
        </w:rPr>
        <w:t>a market or exchange for </w:t>
      </w:r>
      <w:r>
        <w:rPr>
          <w:i/>
          <w:sz w:val="24"/>
        </w:rPr>
        <w:t>energy </w:t>
      </w:r>
      <w:r>
        <w:rPr>
          <w:sz w:val="24"/>
        </w:rPr>
        <w:t>that is not operated or administered by </w:t>
      </w:r>
      <w:r>
        <w:rPr>
          <w:i/>
          <w:sz w:val="24"/>
        </w:rPr>
        <w:t>NTESMO</w:t>
      </w:r>
      <w:r>
        <w:rPr>
          <w:sz w:val="24"/>
        </w:rPr>
        <w:t>; and</w:t>
      </w:r>
    </w:p>
    <w:p>
      <w:pPr>
        <w:pStyle w:val="ListParagraph"/>
        <w:numPr>
          <w:ilvl w:val="0"/>
          <w:numId w:val="759"/>
        </w:numPr>
        <w:tabs>
          <w:tab w:pos="1919" w:val="left" w:leader="none"/>
        </w:tabs>
        <w:spacing w:line="240" w:lineRule="auto" w:before="120" w:after="0"/>
        <w:ind w:left="1918" w:right="0" w:hanging="567"/>
        <w:jc w:val="both"/>
        <w:rPr>
          <w:sz w:val="24"/>
        </w:rPr>
      </w:pPr>
      <w:r>
        <w:rPr>
          <w:sz w:val="24"/>
        </w:rPr>
        <w:t>for the purposes of Chapter 7A, a market or exchange for</w:t>
      </w:r>
      <w:r>
        <w:rPr>
          <w:spacing w:val="-1"/>
          <w:sz w:val="24"/>
        </w:rPr>
        <w:t> </w:t>
      </w:r>
      <w:r>
        <w:rPr>
          <w:i/>
          <w:sz w:val="24"/>
        </w:rPr>
        <w:t>energy</w:t>
      </w:r>
      <w:r>
        <w:rPr>
          <w:sz w:val="24"/>
        </w:rPr>
        <w:t>.</w:t>
      </w:r>
    </w:p>
    <w:p>
      <w:pPr>
        <w:pStyle w:val="Heading5"/>
        <w:rPr>
          <w:i/>
        </w:rPr>
      </w:pPr>
      <w:r>
        <w:rPr>
          <w:i/>
        </w:rPr>
        <w:t>market ancillary service</w:t>
      </w:r>
    </w:p>
    <w:p>
      <w:pPr>
        <w:pStyle w:val="BodyText"/>
        <w:ind w:left="1352" w:firstLine="0"/>
      </w:pPr>
      <w:r>
        <w:rPr/>
        <w:t>A service identified in clause 3.11.2(a).</w:t>
      </w:r>
    </w:p>
    <w:p>
      <w:pPr>
        <w:pStyle w:val="Heading5"/>
        <w:rPr>
          <w:i/>
        </w:rPr>
      </w:pPr>
      <w:r>
        <w:rPr>
          <w:i/>
        </w:rPr>
        <w:t>market ancillary service offer</w:t>
      </w:r>
    </w:p>
    <w:p>
      <w:pPr>
        <w:spacing w:before="120"/>
        <w:ind w:left="1352" w:right="0" w:firstLine="0"/>
        <w:jc w:val="both"/>
        <w:rPr>
          <w:sz w:val="24"/>
        </w:rPr>
      </w:pPr>
      <w:r>
        <w:rPr>
          <w:sz w:val="24"/>
        </w:rPr>
        <w:t>A notice submitted by an </w:t>
      </w:r>
      <w:r>
        <w:rPr>
          <w:i/>
          <w:sz w:val="24"/>
        </w:rPr>
        <w:t>Ancillary Service Provider </w:t>
      </w:r>
      <w:r>
        <w:rPr>
          <w:sz w:val="24"/>
        </w:rPr>
        <w:t>to </w:t>
      </w:r>
      <w:r>
        <w:rPr>
          <w:i/>
          <w:sz w:val="24"/>
        </w:rPr>
        <w:t>AEMO </w:t>
      </w:r>
      <w:r>
        <w:rPr>
          <w:sz w:val="24"/>
        </w:rPr>
        <w:t>in respect of a</w:t>
      </w:r>
    </w:p>
    <w:p>
      <w:pPr>
        <w:spacing w:before="0"/>
        <w:ind w:left="1352" w:right="0" w:firstLine="0"/>
        <w:jc w:val="both"/>
        <w:rPr>
          <w:sz w:val="24"/>
        </w:rPr>
      </w:pPr>
      <w:r>
        <w:rPr>
          <w:i/>
          <w:sz w:val="24"/>
        </w:rPr>
        <w:t>market ancillary service </w:t>
      </w:r>
      <w:r>
        <w:rPr>
          <w:sz w:val="24"/>
        </w:rPr>
        <w:t>in accordance with clause 3.8.7A.</w:t>
      </w:r>
    </w:p>
    <w:p>
      <w:pPr>
        <w:pStyle w:val="Heading5"/>
        <w:rPr>
          <w:i/>
        </w:rPr>
      </w:pPr>
      <w:r>
        <w:rPr>
          <w:i/>
        </w:rPr>
        <w:t>Market Ancillary Service Provider</w:t>
      </w:r>
    </w:p>
    <w:p>
      <w:pPr>
        <w:spacing w:before="120"/>
        <w:ind w:left="1352" w:right="415" w:firstLine="0"/>
        <w:jc w:val="both"/>
        <w:rPr>
          <w:sz w:val="24"/>
        </w:rPr>
      </w:pPr>
      <w:r>
        <w:rPr>
          <w:sz w:val="24"/>
        </w:rPr>
        <w:t>A person who offers and provides </w:t>
      </w:r>
      <w:r>
        <w:rPr>
          <w:i/>
          <w:sz w:val="24"/>
        </w:rPr>
        <w:t>load </w:t>
      </w:r>
      <w:r>
        <w:rPr>
          <w:sz w:val="24"/>
        </w:rPr>
        <w:t>as a </w:t>
      </w:r>
      <w:r>
        <w:rPr>
          <w:i/>
          <w:sz w:val="24"/>
        </w:rPr>
        <w:t>market ancillary service </w:t>
      </w:r>
      <w:r>
        <w:rPr>
          <w:sz w:val="24"/>
        </w:rPr>
        <w:t>under Chapter 2 and who is registered by </w:t>
      </w:r>
      <w:r>
        <w:rPr>
          <w:i/>
          <w:sz w:val="24"/>
        </w:rPr>
        <w:t>AEMO </w:t>
      </w:r>
      <w:r>
        <w:rPr>
          <w:sz w:val="24"/>
        </w:rPr>
        <w:t>as a </w:t>
      </w:r>
      <w:r>
        <w:rPr>
          <w:i/>
          <w:sz w:val="24"/>
        </w:rPr>
        <w:t>Market Ancillary Service Provider </w:t>
      </w:r>
      <w:r>
        <w:rPr>
          <w:sz w:val="24"/>
        </w:rPr>
        <w:t>under Chapter 2. The relevant person does not need to be the </w:t>
      </w:r>
      <w:r>
        <w:rPr>
          <w:i/>
          <w:sz w:val="24"/>
        </w:rPr>
        <w:t>Market Customer </w:t>
      </w:r>
      <w:r>
        <w:rPr>
          <w:sz w:val="24"/>
        </w:rPr>
        <w:t>for the relevant</w:t>
      </w:r>
      <w:r>
        <w:rPr>
          <w:spacing w:val="-1"/>
          <w:sz w:val="24"/>
        </w:rPr>
        <w:t> </w:t>
      </w:r>
      <w:r>
        <w:rPr>
          <w:i/>
          <w:sz w:val="24"/>
        </w:rPr>
        <w:t>load</w:t>
      </w:r>
      <w:r>
        <w:rPr>
          <w:sz w:val="24"/>
        </w:rPr>
        <w:t>.</w:t>
      </w:r>
    </w:p>
    <w:p>
      <w:pPr>
        <w:pStyle w:val="Heading5"/>
        <w:rPr>
          <w:i/>
        </w:rPr>
      </w:pPr>
      <w:r>
        <w:rPr>
          <w:i/>
        </w:rPr>
        <w:t>market ancillary service specification</w:t>
      </w:r>
    </w:p>
    <w:p>
      <w:pPr>
        <w:pStyle w:val="BodyText"/>
        <w:ind w:left="1352" w:firstLine="0"/>
      </w:pPr>
      <w:r>
        <w:rPr/>
        <w:t>Has the meaning given in clause 3.11.2(b).</w:t>
      </w:r>
    </w:p>
    <w:p>
      <w:pPr>
        <w:pStyle w:val="Heading5"/>
        <w:rPr>
          <w:i/>
        </w:rPr>
      </w:pPr>
      <w:r>
        <w:rPr>
          <w:i/>
        </w:rPr>
        <w:t>market auditor</w:t>
      </w:r>
    </w:p>
    <w:p>
      <w:pPr>
        <w:pStyle w:val="BodyText"/>
        <w:ind w:left="1352" w:firstLine="0"/>
      </w:pPr>
      <w:r>
        <w:rPr/>
        <w:t>A person appointed by </w:t>
      </w:r>
      <w:r>
        <w:rPr>
          <w:i/>
        </w:rPr>
        <w:t>AEMO </w:t>
      </w:r>
      <w:r>
        <w:rPr/>
        <w:t>to carry out a </w:t>
      </w:r>
      <w:r>
        <w:rPr>
          <w:i/>
        </w:rPr>
        <w:t>review </w:t>
      </w:r>
      <w:r>
        <w:rPr/>
        <w:t>under clause 3.13.10(a).</w:t>
      </w:r>
    </w:p>
    <w:p>
      <w:pPr>
        <w:pStyle w:val="Heading5"/>
        <w:rPr>
          <w:i/>
        </w:rPr>
      </w:pPr>
      <w:r>
        <w:rPr>
          <w:i/>
        </w:rPr>
        <w:t>market commencement</w:t>
      </w:r>
    </w:p>
    <w:p>
      <w:pPr>
        <w:pStyle w:val="BodyText"/>
        <w:ind w:left="1352" w:firstLine="0"/>
      </w:pPr>
      <w:r>
        <w:rPr/>
        <w:t>The date declared as such by </w:t>
      </w:r>
      <w:r>
        <w:rPr>
          <w:i/>
        </w:rPr>
        <w:t>AEMO</w:t>
      </w:r>
      <w:r>
        <w:rPr/>
        <w:t>, on which trading in the </w:t>
      </w:r>
      <w:r>
        <w:rPr>
          <w:i/>
        </w:rPr>
        <w:t>market </w:t>
      </w:r>
      <w:r>
        <w:rPr/>
        <w:t>commences.</w:t>
      </w:r>
    </w:p>
    <w:p>
      <w:pPr>
        <w:pStyle w:val="Heading5"/>
        <w:rPr>
          <w:i/>
        </w:rPr>
      </w:pPr>
      <w:r>
        <w:rPr>
          <w:i/>
        </w:rPr>
        <w:t>market connection point</w:t>
      </w:r>
    </w:p>
    <w:p>
      <w:pPr>
        <w:spacing w:before="120"/>
        <w:ind w:left="1352" w:right="415" w:firstLine="0"/>
        <w:jc w:val="both"/>
        <w:rPr>
          <w:sz w:val="24"/>
        </w:rPr>
      </w:pPr>
      <w:r>
        <w:rPr>
          <w:sz w:val="24"/>
        </w:rPr>
        <w:t>A </w:t>
      </w:r>
      <w:r>
        <w:rPr>
          <w:i/>
          <w:sz w:val="24"/>
        </w:rPr>
        <w:t>connection point </w:t>
      </w:r>
      <w:r>
        <w:rPr>
          <w:sz w:val="24"/>
        </w:rPr>
        <w:t>where any </w:t>
      </w:r>
      <w:r>
        <w:rPr>
          <w:i/>
          <w:sz w:val="24"/>
        </w:rPr>
        <w:t>load </w:t>
      </w:r>
      <w:r>
        <w:rPr>
          <w:sz w:val="24"/>
        </w:rPr>
        <w:t>is classified in accordance with Chapter 2 as a </w:t>
      </w:r>
      <w:r>
        <w:rPr>
          <w:i/>
          <w:sz w:val="24"/>
        </w:rPr>
        <w:t>market load </w:t>
      </w:r>
      <w:r>
        <w:rPr>
          <w:sz w:val="24"/>
        </w:rPr>
        <w:t>or which </w:t>
      </w:r>
      <w:r>
        <w:rPr>
          <w:i/>
          <w:sz w:val="24"/>
        </w:rPr>
        <w:t>connects </w:t>
      </w:r>
      <w:r>
        <w:rPr>
          <w:sz w:val="24"/>
        </w:rPr>
        <w:t>any </w:t>
      </w:r>
      <w:r>
        <w:rPr>
          <w:i/>
          <w:sz w:val="24"/>
        </w:rPr>
        <w:t>market generating unit </w:t>
      </w:r>
      <w:r>
        <w:rPr>
          <w:sz w:val="24"/>
        </w:rPr>
        <w:t>to the </w:t>
      </w:r>
      <w:r>
        <w:rPr>
          <w:i/>
          <w:sz w:val="24"/>
        </w:rPr>
        <w:t>national grid</w:t>
      </w:r>
      <w:r>
        <w:rPr>
          <w:sz w:val="24"/>
        </w:rPr>
        <w:t>, or where the </w:t>
      </w:r>
      <w:r>
        <w:rPr>
          <w:i/>
          <w:sz w:val="24"/>
        </w:rPr>
        <w:t>network service connected </w:t>
      </w:r>
      <w:r>
        <w:rPr>
          <w:sz w:val="24"/>
        </w:rPr>
        <w:t>at that </w:t>
      </w:r>
      <w:r>
        <w:rPr>
          <w:i/>
          <w:sz w:val="24"/>
        </w:rPr>
        <w:t>connection point </w:t>
      </w:r>
      <w:r>
        <w:rPr>
          <w:sz w:val="24"/>
        </w:rPr>
        <w:t>is a </w:t>
      </w:r>
      <w:r>
        <w:rPr>
          <w:i/>
          <w:sz w:val="24"/>
        </w:rPr>
        <w:t>market network </w:t>
      </w:r>
      <w:r>
        <w:rPr>
          <w:i/>
          <w:sz w:val="24"/>
        </w:rPr>
        <w:t>service</w:t>
      </w:r>
      <w:r>
        <w:rPr>
          <w:sz w:val="24"/>
        </w:rPr>
        <w:t>.</w:t>
      </w:r>
    </w:p>
    <w:p>
      <w:pPr>
        <w:pStyle w:val="Heading5"/>
        <w:rPr>
          <w:i/>
        </w:rPr>
      </w:pPr>
      <w:r>
        <w:rPr>
          <w:i/>
        </w:rPr>
        <w:t>Market Customer</w:t>
      </w:r>
    </w:p>
    <w:p>
      <w:pPr>
        <w:spacing w:before="120"/>
        <w:ind w:left="1352" w:right="414" w:firstLine="0"/>
        <w:jc w:val="both"/>
        <w:rPr>
          <w:sz w:val="24"/>
        </w:rPr>
      </w:pPr>
      <w:r>
        <w:rPr>
          <w:sz w:val="24"/>
        </w:rPr>
        <w:t>A </w:t>
      </w:r>
      <w:r>
        <w:rPr>
          <w:i/>
          <w:sz w:val="24"/>
        </w:rPr>
        <w:t>Customer </w:t>
      </w:r>
      <w:r>
        <w:rPr>
          <w:sz w:val="24"/>
        </w:rPr>
        <w:t>who has classified any of its </w:t>
      </w:r>
      <w:r>
        <w:rPr>
          <w:i/>
          <w:sz w:val="24"/>
        </w:rPr>
        <w:t>loads </w:t>
      </w:r>
      <w:r>
        <w:rPr>
          <w:sz w:val="24"/>
        </w:rPr>
        <w:t>as a </w:t>
      </w:r>
      <w:r>
        <w:rPr>
          <w:i/>
          <w:sz w:val="24"/>
        </w:rPr>
        <w:t>market load </w:t>
      </w:r>
      <w:r>
        <w:rPr>
          <w:sz w:val="24"/>
        </w:rPr>
        <w:t>and who is also registered by </w:t>
      </w:r>
      <w:r>
        <w:rPr>
          <w:i/>
          <w:sz w:val="24"/>
        </w:rPr>
        <w:t>AEMO </w:t>
      </w:r>
      <w:r>
        <w:rPr>
          <w:sz w:val="24"/>
        </w:rPr>
        <w:t>as a </w:t>
      </w:r>
      <w:r>
        <w:rPr>
          <w:i/>
          <w:sz w:val="24"/>
        </w:rPr>
        <w:t>Market Customer </w:t>
      </w:r>
      <w:r>
        <w:rPr>
          <w:sz w:val="24"/>
        </w:rPr>
        <w:t>under Chapter 2.</w:t>
      </w:r>
    </w:p>
    <w:p>
      <w:pPr>
        <w:pStyle w:val="Heading5"/>
        <w:rPr>
          <w:i/>
        </w:rPr>
      </w:pPr>
      <w:r>
        <w:rPr>
          <w:i/>
        </w:rPr>
        <w:t>market customer's additional claim</w:t>
      </w:r>
    </w:p>
    <w:p>
      <w:pPr>
        <w:pStyle w:val="BodyText"/>
        <w:ind w:left="1352" w:firstLine="0"/>
      </w:pPr>
      <w:r>
        <w:rPr/>
        <w:t>Has the meaning given in clause 3.12.2(g)(4).</w:t>
      </w:r>
    </w:p>
    <w:p>
      <w:pPr>
        <w:pStyle w:val="Heading5"/>
        <w:rPr>
          <w:i/>
        </w:rPr>
      </w:pPr>
      <w:r>
        <w:rPr>
          <w:i/>
        </w:rPr>
        <w:t>market floor price</w:t>
      </w:r>
    </w:p>
    <w:p>
      <w:pPr>
        <w:spacing w:before="120"/>
        <w:ind w:left="1352" w:right="0" w:firstLine="0"/>
        <w:jc w:val="both"/>
        <w:rPr>
          <w:sz w:val="24"/>
        </w:rPr>
      </w:pPr>
      <w:r>
        <w:rPr>
          <w:sz w:val="24"/>
        </w:rPr>
        <w:t>A price floor on </w:t>
      </w:r>
      <w:r>
        <w:rPr>
          <w:i/>
          <w:sz w:val="24"/>
        </w:rPr>
        <w:t>regional reference prices </w:t>
      </w:r>
      <w:r>
        <w:rPr>
          <w:sz w:val="24"/>
        </w:rPr>
        <w:t>as described in clause 3.9.6.</w:t>
      </w:r>
    </w:p>
    <w:p>
      <w:pPr>
        <w:pStyle w:val="Heading5"/>
        <w:rPr>
          <w:i/>
        </w:rPr>
      </w:pPr>
      <w:r>
        <w:rPr>
          <w:i/>
        </w:rPr>
        <w:t>market generating unit</w:t>
      </w:r>
    </w:p>
    <w:p>
      <w:pPr>
        <w:spacing w:before="120"/>
        <w:ind w:left="1352" w:right="415" w:firstLine="0"/>
        <w:jc w:val="both"/>
        <w:rPr>
          <w:sz w:val="24"/>
        </w:rPr>
      </w:pPr>
      <w:r>
        <w:rPr>
          <w:sz w:val="24"/>
        </w:rPr>
        <w:t>A </w:t>
      </w:r>
      <w:r>
        <w:rPr>
          <w:i/>
          <w:sz w:val="24"/>
        </w:rPr>
        <w:t>generating unit </w:t>
      </w:r>
      <w:r>
        <w:rPr>
          <w:sz w:val="24"/>
        </w:rPr>
        <w:t>whose </w:t>
      </w:r>
      <w:r>
        <w:rPr>
          <w:i/>
          <w:sz w:val="24"/>
        </w:rPr>
        <w:t>sent out generation </w:t>
      </w:r>
      <w:r>
        <w:rPr>
          <w:sz w:val="24"/>
        </w:rPr>
        <w:t>is not purchased in its entirety by the </w:t>
      </w:r>
      <w:r>
        <w:rPr>
          <w:i/>
          <w:sz w:val="24"/>
        </w:rPr>
        <w:t>Local Retailer </w:t>
      </w:r>
      <w:r>
        <w:rPr>
          <w:sz w:val="24"/>
        </w:rPr>
        <w:t>or by a </w:t>
      </w:r>
      <w:r>
        <w:rPr>
          <w:i/>
          <w:sz w:val="24"/>
        </w:rPr>
        <w:t>Customer </w:t>
      </w:r>
      <w:r>
        <w:rPr>
          <w:sz w:val="24"/>
        </w:rPr>
        <w:t>located at the same </w:t>
      </w:r>
      <w:r>
        <w:rPr>
          <w:i/>
          <w:sz w:val="24"/>
        </w:rPr>
        <w:t>connection point </w:t>
      </w:r>
      <w:r>
        <w:rPr>
          <w:sz w:val="24"/>
        </w:rPr>
        <w:t>and which has been classified as such in accordance with Chapter 2.</w:t>
      </w:r>
    </w:p>
    <w:p>
      <w:pPr>
        <w:spacing w:after="0"/>
        <w:jc w:val="both"/>
        <w:rPr>
          <w:sz w:val="24"/>
        </w:rPr>
        <w:sectPr>
          <w:pgSz w:w="11910" w:h="16840"/>
          <w:pgMar w:header="686" w:footer="637" w:top="1320" w:bottom="820" w:left="1200" w:right="1000"/>
        </w:sectPr>
      </w:pPr>
    </w:p>
    <w:p>
      <w:pPr>
        <w:pStyle w:val="Heading5"/>
        <w:spacing w:before="83"/>
        <w:rPr>
          <w:i/>
        </w:rPr>
      </w:pPr>
      <w:r>
        <w:rPr>
          <w:i/>
        </w:rPr>
        <w:t>Market Generator</w:t>
      </w:r>
    </w:p>
    <w:p>
      <w:pPr>
        <w:spacing w:before="120"/>
        <w:ind w:left="1352" w:right="416" w:firstLine="0"/>
        <w:jc w:val="both"/>
        <w:rPr>
          <w:sz w:val="24"/>
        </w:rPr>
      </w:pPr>
      <w:r>
        <w:rPr>
          <w:sz w:val="24"/>
        </w:rPr>
        <w:t>A </w:t>
      </w:r>
      <w:r>
        <w:rPr>
          <w:i/>
          <w:sz w:val="24"/>
        </w:rPr>
        <w:t>Generator </w:t>
      </w:r>
      <w:r>
        <w:rPr>
          <w:sz w:val="24"/>
        </w:rPr>
        <w:t>who has classified at least one </w:t>
      </w:r>
      <w:r>
        <w:rPr>
          <w:i/>
          <w:sz w:val="24"/>
        </w:rPr>
        <w:t>generating unit </w:t>
      </w:r>
      <w:r>
        <w:rPr>
          <w:sz w:val="24"/>
        </w:rPr>
        <w:t>as a </w:t>
      </w:r>
      <w:r>
        <w:rPr>
          <w:i/>
          <w:sz w:val="24"/>
        </w:rPr>
        <w:t>market </w:t>
      </w:r>
      <w:r>
        <w:rPr>
          <w:i/>
          <w:sz w:val="24"/>
        </w:rPr>
        <w:t>generating unit </w:t>
      </w:r>
      <w:r>
        <w:rPr>
          <w:sz w:val="24"/>
        </w:rPr>
        <w:t>in accordance with Chapter 2 and who is also registered by </w:t>
      </w:r>
      <w:r>
        <w:rPr>
          <w:i/>
          <w:sz w:val="24"/>
        </w:rPr>
        <w:t>AEMO </w:t>
      </w:r>
      <w:r>
        <w:rPr>
          <w:sz w:val="24"/>
        </w:rPr>
        <w:t>as a </w:t>
      </w:r>
      <w:r>
        <w:rPr>
          <w:i/>
          <w:sz w:val="24"/>
        </w:rPr>
        <w:t>Market Generator </w:t>
      </w:r>
      <w:r>
        <w:rPr>
          <w:sz w:val="24"/>
        </w:rPr>
        <w:t>under Chapter</w:t>
      </w:r>
      <w:r>
        <w:rPr>
          <w:spacing w:val="-1"/>
          <w:sz w:val="24"/>
        </w:rPr>
        <w:t> </w:t>
      </w:r>
      <w:r>
        <w:rPr>
          <w:sz w:val="24"/>
        </w:rPr>
        <w:t>2.</w:t>
      </w:r>
    </w:p>
    <w:p>
      <w:pPr>
        <w:pStyle w:val="Heading5"/>
        <w:rPr>
          <w:i/>
        </w:rPr>
      </w:pPr>
      <w:r>
        <w:rPr>
          <w:i/>
        </w:rPr>
        <w:t>market information</w:t>
      </w:r>
    </w:p>
    <w:p>
      <w:pPr>
        <w:spacing w:before="120"/>
        <w:ind w:left="1352" w:right="414" w:firstLine="0"/>
        <w:jc w:val="both"/>
        <w:rPr>
          <w:sz w:val="24"/>
        </w:rPr>
      </w:pPr>
      <w:r>
        <w:rPr>
          <w:sz w:val="24"/>
        </w:rPr>
        <w:t>Information, other than </w:t>
      </w:r>
      <w:r>
        <w:rPr>
          <w:i/>
          <w:sz w:val="24"/>
        </w:rPr>
        <w:t>confidential information</w:t>
      </w:r>
      <w:r>
        <w:rPr>
          <w:sz w:val="24"/>
        </w:rPr>
        <w:t>, concerning the operation of the </w:t>
      </w:r>
      <w:r>
        <w:rPr>
          <w:i/>
          <w:sz w:val="24"/>
        </w:rPr>
        <w:t>spot market </w:t>
      </w:r>
      <w:r>
        <w:rPr>
          <w:sz w:val="24"/>
        </w:rPr>
        <w:t>or relating to the operation of, inputs to, or outputs from the </w:t>
      </w:r>
      <w:r>
        <w:rPr>
          <w:i/>
          <w:sz w:val="24"/>
        </w:rPr>
        <w:t>central </w:t>
      </w:r>
      <w:r>
        <w:rPr>
          <w:i/>
          <w:sz w:val="24"/>
        </w:rPr>
        <w:t>dispatch </w:t>
      </w:r>
      <w:r>
        <w:rPr>
          <w:sz w:val="24"/>
        </w:rPr>
        <w:t>process.</w:t>
      </w:r>
    </w:p>
    <w:p>
      <w:pPr>
        <w:pStyle w:val="Heading5"/>
        <w:rPr>
          <w:i/>
        </w:rPr>
      </w:pPr>
      <w:r>
        <w:rPr>
          <w:i/>
        </w:rPr>
        <w:t>market information bulletin board</w:t>
      </w:r>
    </w:p>
    <w:p>
      <w:pPr>
        <w:spacing w:before="120"/>
        <w:ind w:left="1352" w:right="414" w:firstLine="0"/>
        <w:jc w:val="both"/>
        <w:rPr>
          <w:sz w:val="24"/>
        </w:rPr>
      </w:pPr>
      <w:r>
        <w:rPr>
          <w:sz w:val="24"/>
        </w:rPr>
        <w:t>A facility established by </w:t>
      </w:r>
      <w:r>
        <w:rPr>
          <w:i/>
          <w:sz w:val="24"/>
        </w:rPr>
        <w:t>AEMO </w:t>
      </w:r>
      <w:r>
        <w:rPr>
          <w:sz w:val="24"/>
        </w:rPr>
        <w:t>on the </w:t>
      </w:r>
      <w:r>
        <w:rPr>
          <w:i/>
          <w:sz w:val="24"/>
        </w:rPr>
        <w:t>electronic communication system </w:t>
      </w:r>
      <w:r>
        <w:rPr>
          <w:sz w:val="24"/>
        </w:rPr>
        <w:t>for the posting of information which may then be available to </w:t>
      </w:r>
      <w:r>
        <w:rPr>
          <w:i/>
          <w:sz w:val="24"/>
        </w:rPr>
        <w:t>Registered Participants</w:t>
      </w:r>
      <w:r>
        <w:rPr>
          <w:sz w:val="24"/>
        </w:rPr>
        <w:t>.</w:t>
      </w:r>
    </w:p>
    <w:p>
      <w:pPr>
        <w:pStyle w:val="Heading5"/>
        <w:rPr>
          <w:i/>
        </w:rPr>
      </w:pPr>
      <w:r>
        <w:rPr>
          <w:i/>
        </w:rPr>
        <w:t>market load</w:t>
      </w:r>
    </w:p>
    <w:p>
      <w:pPr>
        <w:spacing w:before="120"/>
        <w:ind w:left="1352" w:right="415" w:firstLine="0"/>
        <w:jc w:val="both"/>
        <w:rPr>
          <w:sz w:val="24"/>
        </w:rPr>
      </w:pPr>
      <w:r>
        <w:rPr>
          <w:sz w:val="24"/>
        </w:rPr>
        <w:t>A </w:t>
      </w:r>
      <w:r>
        <w:rPr>
          <w:i/>
          <w:sz w:val="24"/>
        </w:rPr>
        <w:t>load </w:t>
      </w:r>
      <w:r>
        <w:rPr>
          <w:sz w:val="24"/>
        </w:rPr>
        <w:t>for an </w:t>
      </w:r>
      <w:r>
        <w:rPr>
          <w:i/>
          <w:sz w:val="24"/>
        </w:rPr>
        <w:t>NMI </w:t>
      </w:r>
      <w:r>
        <w:rPr>
          <w:sz w:val="24"/>
        </w:rPr>
        <w:t>classified by the relevant </w:t>
      </w:r>
      <w:r>
        <w:rPr>
          <w:i/>
          <w:sz w:val="24"/>
        </w:rPr>
        <w:t>retailer </w:t>
      </w:r>
      <w:r>
        <w:rPr>
          <w:sz w:val="24"/>
        </w:rPr>
        <w:t>or, with the consent of the </w:t>
      </w:r>
      <w:r>
        <w:rPr>
          <w:i/>
          <w:sz w:val="24"/>
        </w:rPr>
        <w:t>financially responsible </w:t>
      </w:r>
      <w:r>
        <w:rPr>
          <w:sz w:val="24"/>
        </w:rPr>
        <w:t>person for that </w:t>
      </w:r>
      <w:r>
        <w:rPr>
          <w:i/>
          <w:sz w:val="24"/>
        </w:rPr>
        <w:t>load</w:t>
      </w:r>
      <w:r>
        <w:rPr>
          <w:sz w:val="24"/>
        </w:rPr>
        <w:t>, by some other person, as a </w:t>
      </w:r>
      <w:r>
        <w:rPr>
          <w:i/>
          <w:sz w:val="24"/>
        </w:rPr>
        <w:t>market </w:t>
      </w:r>
      <w:r>
        <w:rPr>
          <w:i/>
          <w:sz w:val="24"/>
        </w:rPr>
        <w:t>load</w:t>
      </w:r>
      <w:r>
        <w:rPr>
          <w:sz w:val="24"/>
        </w:rPr>
        <w:t>. There can be more than one </w:t>
      </w:r>
      <w:r>
        <w:rPr>
          <w:i/>
          <w:sz w:val="24"/>
        </w:rPr>
        <w:t>market load </w:t>
      </w:r>
      <w:r>
        <w:rPr>
          <w:sz w:val="24"/>
        </w:rPr>
        <w:t>at any one </w:t>
      </w:r>
      <w:r>
        <w:rPr>
          <w:i/>
          <w:sz w:val="24"/>
        </w:rPr>
        <w:t>connection point</w:t>
      </w:r>
      <w:r>
        <w:rPr>
          <w:sz w:val="24"/>
        </w:rPr>
        <w:t>.</w:t>
      </w:r>
    </w:p>
    <w:p>
      <w:pPr>
        <w:pStyle w:val="Heading5"/>
        <w:rPr>
          <w:i/>
        </w:rPr>
      </w:pPr>
      <w:r>
        <w:rPr>
          <w:i/>
        </w:rPr>
        <w:t>market management systems</w:t>
      </w:r>
    </w:p>
    <w:p>
      <w:pPr>
        <w:spacing w:before="120"/>
        <w:ind w:left="1352" w:right="415" w:firstLine="0"/>
        <w:jc w:val="both"/>
        <w:rPr>
          <w:sz w:val="24"/>
        </w:rPr>
      </w:pPr>
      <w:r>
        <w:rPr>
          <w:i/>
          <w:sz w:val="24"/>
        </w:rPr>
        <w:t>AEMO's market information </w:t>
      </w:r>
      <w:r>
        <w:rPr>
          <w:sz w:val="24"/>
        </w:rPr>
        <w:t>systems and associated communications networks used to support the electronic communication by </w:t>
      </w:r>
      <w:r>
        <w:rPr>
          <w:i/>
          <w:sz w:val="24"/>
        </w:rPr>
        <w:t>Registered Participants </w:t>
      </w:r>
      <w:r>
        <w:rPr>
          <w:sz w:val="24"/>
        </w:rPr>
        <w:t>and others connected to or making use of the systems and networks in the operation of the </w:t>
      </w:r>
      <w:r>
        <w:rPr>
          <w:i/>
          <w:sz w:val="24"/>
        </w:rPr>
        <w:t>market</w:t>
      </w:r>
      <w:r>
        <w:rPr>
          <w:sz w:val="24"/>
        </w:rPr>
        <w:t>.</w:t>
      </w:r>
    </w:p>
    <w:p>
      <w:pPr>
        <w:pStyle w:val="Heading5"/>
        <w:rPr>
          <w:i/>
        </w:rPr>
      </w:pPr>
      <w:r>
        <w:rPr>
          <w:i/>
        </w:rPr>
        <w:t>Market Management Systems Access Procedures</w:t>
      </w:r>
    </w:p>
    <w:p>
      <w:pPr>
        <w:spacing w:before="120"/>
        <w:ind w:left="1352" w:right="415" w:firstLine="0"/>
        <w:jc w:val="both"/>
        <w:rPr>
          <w:sz w:val="24"/>
        </w:rPr>
      </w:pPr>
      <w:r>
        <w:rPr>
          <w:sz w:val="24"/>
        </w:rPr>
        <w:t>The procedures to be followed by </w:t>
      </w:r>
      <w:r>
        <w:rPr>
          <w:i/>
          <w:sz w:val="24"/>
        </w:rPr>
        <w:t>Registered Participants</w:t>
      </w:r>
      <w:r>
        <w:rPr>
          <w:sz w:val="24"/>
        </w:rPr>
        <w:t>, </w:t>
      </w:r>
      <w:r>
        <w:rPr>
          <w:i/>
          <w:sz w:val="24"/>
        </w:rPr>
        <w:t>Metering Providers </w:t>
      </w:r>
      <w:r>
        <w:rPr>
          <w:sz w:val="24"/>
        </w:rPr>
        <w:t>and </w:t>
      </w:r>
      <w:r>
        <w:rPr>
          <w:i/>
          <w:sz w:val="24"/>
        </w:rPr>
        <w:t>Metering Data Providers </w:t>
      </w:r>
      <w:r>
        <w:rPr>
          <w:sz w:val="24"/>
        </w:rPr>
        <w:t>in connecting to and making use of the </w:t>
      </w:r>
      <w:r>
        <w:rPr>
          <w:i/>
          <w:sz w:val="24"/>
        </w:rPr>
        <w:t>market </w:t>
      </w:r>
      <w:r>
        <w:rPr>
          <w:i/>
          <w:sz w:val="24"/>
        </w:rPr>
        <w:t>management systems </w:t>
      </w:r>
      <w:r>
        <w:rPr>
          <w:sz w:val="24"/>
        </w:rPr>
        <w:t>from time to time </w:t>
      </w:r>
      <w:r>
        <w:rPr>
          <w:i/>
          <w:sz w:val="24"/>
        </w:rPr>
        <w:t>published </w:t>
      </w:r>
      <w:r>
        <w:rPr>
          <w:sz w:val="24"/>
        </w:rPr>
        <w:t>by </w:t>
      </w:r>
      <w:r>
        <w:rPr>
          <w:i/>
          <w:sz w:val="24"/>
        </w:rPr>
        <w:t>AEMO </w:t>
      </w:r>
      <w:r>
        <w:rPr>
          <w:sz w:val="24"/>
        </w:rPr>
        <w:t>under rule</w:t>
      </w:r>
      <w:r>
        <w:rPr>
          <w:spacing w:val="-12"/>
          <w:sz w:val="24"/>
        </w:rPr>
        <w:t> </w:t>
      </w:r>
      <w:r>
        <w:rPr>
          <w:sz w:val="24"/>
        </w:rPr>
        <w:t>3.19.</w:t>
      </w:r>
    </w:p>
    <w:p>
      <w:pPr>
        <w:pStyle w:val="Heading5"/>
        <w:rPr>
          <w:i/>
        </w:rPr>
      </w:pPr>
      <w:r>
        <w:rPr>
          <w:i/>
        </w:rPr>
        <w:t>market network service</w:t>
      </w:r>
    </w:p>
    <w:p>
      <w:pPr>
        <w:spacing w:before="120"/>
        <w:ind w:left="1352" w:right="417" w:firstLine="0"/>
        <w:jc w:val="both"/>
        <w:rPr>
          <w:sz w:val="24"/>
        </w:rPr>
      </w:pPr>
      <w:r>
        <w:rPr>
          <w:sz w:val="24"/>
        </w:rPr>
        <w:t>A </w:t>
      </w:r>
      <w:r>
        <w:rPr>
          <w:i/>
          <w:sz w:val="24"/>
        </w:rPr>
        <w:t>network service </w:t>
      </w:r>
      <w:r>
        <w:rPr>
          <w:sz w:val="24"/>
        </w:rPr>
        <w:t>which is classified as a </w:t>
      </w:r>
      <w:r>
        <w:rPr>
          <w:i/>
          <w:sz w:val="24"/>
        </w:rPr>
        <w:t>market network service </w:t>
      </w:r>
      <w:r>
        <w:rPr>
          <w:sz w:val="24"/>
        </w:rPr>
        <w:t>in accordance with clause 2.5.2.</w:t>
      </w:r>
    </w:p>
    <w:p>
      <w:pPr>
        <w:pStyle w:val="Heading5"/>
        <w:rPr>
          <w:i/>
        </w:rPr>
      </w:pPr>
      <w:r>
        <w:rPr>
          <w:i/>
        </w:rPr>
        <w:t>Market Network Service Provider</w:t>
      </w:r>
    </w:p>
    <w:p>
      <w:pPr>
        <w:spacing w:before="120"/>
        <w:ind w:left="1352" w:right="415" w:firstLine="0"/>
        <w:jc w:val="both"/>
        <w:rPr>
          <w:sz w:val="24"/>
        </w:rPr>
      </w:pPr>
      <w:r>
        <w:rPr>
          <w:sz w:val="24"/>
        </w:rPr>
        <w:t>A </w:t>
      </w:r>
      <w:r>
        <w:rPr>
          <w:i/>
          <w:sz w:val="24"/>
        </w:rPr>
        <w:t>Network Service Provider </w:t>
      </w:r>
      <w:r>
        <w:rPr>
          <w:sz w:val="24"/>
        </w:rPr>
        <w:t>who has classified any of its </w:t>
      </w:r>
      <w:r>
        <w:rPr>
          <w:i/>
          <w:sz w:val="24"/>
        </w:rPr>
        <w:t>network services </w:t>
      </w:r>
      <w:r>
        <w:rPr>
          <w:sz w:val="24"/>
        </w:rPr>
        <w:t>as a </w:t>
      </w:r>
      <w:r>
        <w:rPr>
          <w:i/>
          <w:sz w:val="24"/>
        </w:rPr>
        <w:t>market network service </w:t>
      </w:r>
      <w:r>
        <w:rPr>
          <w:sz w:val="24"/>
        </w:rPr>
        <w:t>in accordance with Chapter 2 and who is also registered by </w:t>
      </w:r>
      <w:r>
        <w:rPr>
          <w:i/>
          <w:sz w:val="24"/>
        </w:rPr>
        <w:t>AEMO </w:t>
      </w:r>
      <w:r>
        <w:rPr>
          <w:sz w:val="24"/>
        </w:rPr>
        <w:t>as a </w:t>
      </w:r>
      <w:r>
        <w:rPr>
          <w:i/>
          <w:sz w:val="24"/>
        </w:rPr>
        <w:t>Market Network Service Provider </w:t>
      </w:r>
      <w:r>
        <w:rPr>
          <w:sz w:val="24"/>
        </w:rPr>
        <w:t>under Chapter</w:t>
      </w:r>
      <w:r>
        <w:rPr>
          <w:spacing w:val="-3"/>
          <w:sz w:val="24"/>
        </w:rPr>
        <w:t> </w:t>
      </w:r>
      <w:r>
        <w:rPr>
          <w:sz w:val="24"/>
        </w:rPr>
        <w:t>2.</w:t>
      </w:r>
    </w:p>
    <w:p>
      <w:pPr>
        <w:pStyle w:val="Heading5"/>
        <w:rPr>
          <w:i/>
        </w:rPr>
      </w:pPr>
      <w:r>
        <w:rPr>
          <w:i/>
        </w:rPr>
        <w:t>Market Participant</w:t>
      </w:r>
    </w:p>
    <w:p>
      <w:pPr>
        <w:spacing w:before="120"/>
        <w:ind w:left="1352" w:right="415" w:firstLine="0"/>
        <w:jc w:val="both"/>
        <w:rPr>
          <w:sz w:val="24"/>
        </w:rPr>
      </w:pPr>
      <w:r>
        <w:rPr>
          <w:sz w:val="24"/>
        </w:rPr>
        <w:t>A person who is registered by </w:t>
      </w:r>
      <w:r>
        <w:rPr>
          <w:i/>
          <w:sz w:val="24"/>
        </w:rPr>
        <w:t>AEMO </w:t>
      </w:r>
      <w:r>
        <w:rPr>
          <w:sz w:val="24"/>
        </w:rPr>
        <w:t>as  a  </w:t>
      </w:r>
      <w:r>
        <w:rPr>
          <w:i/>
          <w:sz w:val="24"/>
        </w:rPr>
        <w:t>Market  Generator, Market  </w:t>
      </w:r>
      <w:r>
        <w:rPr>
          <w:i/>
          <w:sz w:val="24"/>
        </w:rPr>
        <w:t>Customer, Market Small Generation Aggregator, Market Ancillary Service Provider </w:t>
      </w:r>
      <w:r>
        <w:rPr>
          <w:sz w:val="24"/>
        </w:rPr>
        <w:t>or </w:t>
      </w:r>
      <w:r>
        <w:rPr>
          <w:i/>
          <w:sz w:val="24"/>
        </w:rPr>
        <w:t>Market Network Service Provider </w:t>
      </w:r>
      <w:r>
        <w:rPr>
          <w:sz w:val="24"/>
        </w:rPr>
        <w:t>under Chapter</w:t>
      </w:r>
      <w:r>
        <w:rPr>
          <w:spacing w:val="-3"/>
          <w:sz w:val="24"/>
        </w:rPr>
        <w:t> </w:t>
      </w:r>
      <w:r>
        <w:rPr>
          <w:sz w:val="24"/>
        </w:rPr>
        <w:t>2.</w:t>
      </w:r>
    </w:p>
    <w:p>
      <w:pPr>
        <w:pStyle w:val="Heading5"/>
        <w:rPr>
          <w:i/>
        </w:rPr>
      </w:pPr>
      <w:r>
        <w:rPr>
          <w:i/>
        </w:rPr>
        <w:t>Market Participant registered data</w:t>
      </w:r>
    </w:p>
    <w:p>
      <w:pPr>
        <w:pStyle w:val="BodyText"/>
        <w:ind w:left="1352" w:firstLine="0"/>
      </w:pPr>
      <w:r>
        <w:rPr/>
        <w:t>The data kept on the register in accordance with schedule 5.5.</w:t>
      </w:r>
    </w:p>
    <w:p>
      <w:pPr>
        <w:pStyle w:val="Heading5"/>
        <w:rPr>
          <w:i/>
        </w:rPr>
      </w:pPr>
      <w:r>
        <w:rPr>
          <w:i/>
        </w:rPr>
        <w:t>market price cap</w:t>
      </w:r>
    </w:p>
    <w:p>
      <w:pPr>
        <w:spacing w:before="120"/>
        <w:ind w:left="1352" w:right="0" w:firstLine="0"/>
        <w:jc w:val="both"/>
        <w:rPr>
          <w:sz w:val="24"/>
        </w:rPr>
      </w:pPr>
      <w:r>
        <w:rPr>
          <w:sz w:val="24"/>
        </w:rPr>
        <w:t>A price cap on </w:t>
      </w:r>
      <w:r>
        <w:rPr>
          <w:i/>
          <w:sz w:val="24"/>
        </w:rPr>
        <w:t>regional reference prices </w:t>
      </w:r>
      <w:r>
        <w:rPr>
          <w:sz w:val="24"/>
        </w:rPr>
        <w:t>as described in clause 3.9.4.</w:t>
      </w:r>
    </w:p>
    <w:p>
      <w:pPr>
        <w:spacing w:after="0"/>
        <w:jc w:val="both"/>
        <w:rPr>
          <w:sz w:val="24"/>
        </w:rPr>
        <w:sectPr>
          <w:pgSz w:w="11910" w:h="16840"/>
          <w:pgMar w:header="686" w:footer="637" w:top="1320" w:bottom="820" w:left="1200" w:right="1000"/>
        </w:sectPr>
      </w:pPr>
    </w:p>
    <w:p>
      <w:pPr>
        <w:pStyle w:val="Heading5"/>
        <w:spacing w:before="83"/>
        <w:rPr>
          <w:i/>
        </w:rPr>
      </w:pPr>
      <w:r>
        <w:rPr>
          <w:i/>
        </w:rPr>
        <w:t>market retail contract</w:t>
      </w:r>
    </w:p>
    <w:p>
      <w:pPr>
        <w:pStyle w:val="BodyText"/>
        <w:ind w:left="1352" w:firstLine="0"/>
      </w:pPr>
      <w:r>
        <w:rPr/>
        <w:t>Has the same meaning as in the </w:t>
      </w:r>
      <w:r>
        <w:rPr>
          <w:i/>
        </w:rPr>
        <w:t>NERL</w:t>
      </w:r>
      <w:r>
        <w:rPr/>
        <w:t>.</w:t>
      </w:r>
    </w:p>
    <w:p>
      <w:pPr>
        <w:pStyle w:val="Heading5"/>
        <w:rPr>
          <w:i/>
        </w:rPr>
      </w:pPr>
      <w:r>
        <w:rPr>
          <w:i/>
        </w:rPr>
        <w:t>Market Settlement and Transfer Solution Procedures</w:t>
      </w:r>
    </w:p>
    <w:p>
      <w:pPr>
        <w:spacing w:before="120"/>
        <w:ind w:left="1352" w:right="415" w:firstLine="0"/>
        <w:jc w:val="both"/>
        <w:rPr>
          <w:sz w:val="24"/>
        </w:rPr>
      </w:pPr>
      <w:r>
        <w:rPr>
          <w:sz w:val="24"/>
        </w:rPr>
        <w:t>The procedures from time to time </w:t>
      </w:r>
      <w:r>
        <w:rPr>
          <w:i/>
          <w:sz w:val="24"/>
        </w:rPr>
        <w:t>published </w:t>
      </w:r>
      <w:r>
        <w:rPr>
          <w:sz w:val="24"/>
        </w:rPr>
        <w:t>by </w:t>
      </w:r>
      <w:r>
        <w:rPr>
          <w:i/>
          <w:sz w:val="24"/>
        </w:rPr>
        <w:t>AEMO </w:t>
      </w:r>
      <w:r>
        <w:rPr>
          <w:sz w:val="24"/>
        </w:rPr>
        <w:t>under clause 7.16.2 which include those governing the recording of financial responsibility for </w:t>
      </w:r>
      <w:r>
        <w:rPr>
          <w:i/>
          <w:sz w:val="24"/>
        </w:rPr>
        <w:t>energy </w:t>
      </w:r>
      <w:r>
        <w:rPr>
          <w:sz w:val="24"/>
        </w:rPr>
        <w:t>flows at a </w:t>
      </w:r>
      <w:r>
        <w:rPr>
          <w:i/>
          <w:sz w:val="24"/>
        </w:rPr>
        <w:t>connection point</w:t>
      </w:r>
      <w:r>
        <w:rPr>
          <w:sz w:val="24"/>
        </w:rPr>
        <w:t>, the transfer of that responsibility between </w:t>
      </w:r>
      <w:r>
        <w:rPr>
          <w:i/>
          <w:sz w:val="24"/>
        </w:rPr>
        <w:t>Market </w:t>
      </w:r>
      <w:r>
        <w:rPr>
          <w:i/>
          <w:sz w:val="24"/>
        </w:rPr>
        <w:t>Participants </w:t>
      </w:r>
      <w:r>
        <w:rPr>
          <w:sz w:val="24"/>
        </w:rPr>
        <w:t>and the recording of </w:t>
      </w:r>
      <w:r>
        <w:rPr>
          <w:i/>
          <w:sz w:val="24"/>
        </w:rPr>
        <w:t>energy </w:t>
      </w:r>
      <w:r>
        <w:rPr>
          <w:sz w:val="24"/>
        </w:rPr>
        <w:t>flows at a </w:t>
      </w:r>
      <w:r>
        <w:rPr>
          <w:i/>
          <w:sz w:val="24"/>
        </w:rPr>
        <w:t>connection point</w:t>
      </w:r>
      <w:r>
        <w:rPr>
          <w:sz w:val="24"/>
        </w:rPr>
        <w:t>.</w:t>
      </w:r>
    </w:p>
    <w:p>
      <w:pPr>
        <w:pStyle w:val="Heading5"/>
        <w:ind w:left="0" w:right="5557"/>
        <w:jc w:val="center"/>
        <w:rPr>
          <w:i/>
        </w:rPr>
      </w:pPr>
      <w:r>
        <w:rPr>
          <w:i/>
        </w:rPr>
        <w:t>Market Small Generation Aggregator</w:t>
      </w:r>
    </w:p>
    <w:p>
      <w:pPr>
        <w:pStyle w:val="BodyText"/>
        <w:ind w:left="924" w:right="6512" w:firstLine="0"/>
        <w:jc w:val="center"/>
      </w:pPr>
      <w:r>
        <w:rPr/>
        <w:t>A person who:</w:t>
      </w:r>
    </w:p>
    <w:p>
      <w:pPr>
        <w:pStyle w:val="ListParagraph"/>
        <w:numPr>
          <w:ilvl w:val="0"/>
          <w:numId w:val="760"/>
        </w:numPr>
        <w:tabs>
          <w:tab w:pos="1919" w:val="left" w:leader="none"/>
        </w:tabs>
        <w:spacing w:line="240" w:lineRule="auto" w:before="120" w:after="0"/>
        <w:ind w:left="1919" w:right="416" w:hanging="567"/>
        <w:jc w:val="both"/>
        <w:rPr>
          <w:sz w:val="24"/>
        </w:rPr>
      </w:pPr>
      <w:r>
        <w:rPr>
          <w:sz w:val="24"/>
        </w:rPr>
        <w:t>has classified one or more </w:t>
      </w:r>
      <w:r>
        <w:rPr>
          <w:i/>
          <w:sz w:val="24"/>
        </w:rPr>
        <w:t>small generating units </w:t>
      </w:r>
      <w:r>
        <w:rPr>
          <w:sz w:val="24"/>
        </w:rPr>
        <w:t>as a </w:t>
      </w:r>
      <w:r>
        <w:rPr>
          <w:i/>
          <w:sz w:val="24"/>
        </w:rPr>
        <w:t>market generating </w:t>
      </w:r>
      <w:r>
        <w:rPr>
          <w:i/>
          <w:sz w:val="24"/>
        </w:rPr>
        <w:t>unit</w:t>
      </w:r>
      <w:r>
        <w:rPr>
          <w:sz w:val="24"/>
        </w:rPr>
        <w:t>; and</w:t>
      </w:r>
    </w:p>
    <w:p>
      <w:pPr>
        <w:pStyle w:val="ListParagraph"/>
        <w:numPr>
          <w:ilvl w:val="0"/>
          <w:numId w:val="760"/>
        </w:numPr>
        <w:tabs>
          <w:tab w:pos="1919" w:val="left" w:leader="none"/>
        </w:tabs>
        <w:spacing w:line="240" w:lineRule="auto" w:before="120" w:after="0"/>
        <w:ind w:left="1919" w:right="415" w:hanging="567"/>
        <w:jc w:val="both"/>
        <w:rPr>
          <w:sz w:val="24"/>
        </w:rPr>
      </w:pPr>
      <w:r>
        <w:rPr>
          <w:sz w:val="24"/>
        </w:rPr>
        <w:t>is registered by </w:t>
      </w:r>
      <w:r>
        <w:rPr>
          <w:i/>
          <w:sz w:val="24"/>
        </w:rPr>
        <w:t>AEMO </w:t>
      </w:r>
      <w:r>
        <w:rPr>
          <w:sz w:val="24"/>
        </w:rPr>
        <w:t>as a </w:t>
      </w:r>
      <w:r>
        <w:rPr>
          <w:i/>
          <w:sz w:val="24"/>
        </w:rPr>
        <w:t>Market Small Generation Aggregator </w:t>
      </w:r>
      <w:r>
        <w:rPr>
          <w:sz w:val="24"/>
        </w:rPr>
        <w:t>under Chapter 2.</w:t>
      </w:r>
    </w:p>
    <w:p>
      <w:pPr>
        <w:pStyle w:val="Heading5"/>
        <w:rPr>
          <w:i/>
        </w:rPr>
      </w:pPr>
      <w:r>
        <w:rPr>
          <w:i/>
        </w:rPr>
        <w:t>market suspension</w:t>
      </w:r>
    </w:p>
    <w:p>
      <w:pPr>
        <w:spacing w:before="120"/>
        <w:ind w:left="1352" w:right="0" w:firstLine="0"/>
        <w:jc w:val="both"/>
        <w:rPr>
          <w:sz w:val="24"/>
        </w:rPr>
      </w:pPr>
      <w:r>
        <w:rPr>
          <w:sz w:val="24"/>
        </w:rPr>
        <w:t>Suspension of the </w:t>
      </w:r>
      <w:r>
        <w:rPr>
          <w:i/>
          <w:sz w:val="24"/>
        </w:rPr>
        <w:t>spot market </w:t>
      </w:r>
      <w:r>
        <w:rPr>
          <w:sz w:val="24"/>
        </w:rPr>
        <w:t>by </w:t>
      </w:r>
      <w:r>
        <w:rPr>
          <w:i/>
          <w:sz w:val="24"/>
        </w:rPr>
        <w:t>AEMO </w:t>
      </w:r>
      <w:r>
        <w:rPr>
          <w:sz w:val="24"/>
        </w:rPr>
        <w:t>in accordance with clause 3.14.3.</w:t>
      </w:r>
    </w:p>
    <w:p>
      <w:pPr>
        <w:pStyle w:val="Heading5"/>
        <w:rPr>
          <w:i/>
        </w:rPr>
      </w:pPr>
      <w:r>
        <w:rPr>
          <w:i/>
        </w:rPr>
        <w:t>Market Suspension Compensation Claimant</w:t>
      </w:r>
    </w:p>
    <w:p>
      <w:pPr>
        <w:pStyle w:val="ListParagraph"/>
        <w:numPr>
          <w:ilvl w:val="0"/>
          <w:numId w:val="761"/>
        </w:numPr>
        <w:tabs>
          <w:tab w:pos="1919" w:val="left" w:leader="none"/>
        </w:tabs>
        <w:spacing w:line="240" w:lineRule="auto" w:before="120" w:after="0"/>
        <w:ind w:left="1919" w:right="417" w:hanging="567"/>
        <w:jc w:val="both"/>
        <w:rPr>
          <w:sz w:val="24"/>
        </w:rPr>
      </w:pPr>
      <w:r>
        <w:rPr>
          <w:sz w:val="24"/>
        </w:rPr>
        <w:t>A </w:t>
      </w:r>
      <w:r>
        <w:rPr>
          <w:i/>
          <w:sz w:val="24"/>
        </w:rPr>
        <w:t>Scheduled Generator </w:t>
      </w:r>
      <w:r>
        <w:rPr>
          <w:sz w:val="24"/>
        </w:rPr>
        <w:t>who supplied </w:t>
      </w:r>
      <w:r>
        <w:rPr>
          <w:i/>
          <w:sz w:val="24"/>
        </w:rPr>
        <w:t>energy </w:t>
      </w:r>
      <w:r>
        <w:rPr>
          <w:sz w:val="24"/>
        </w:rPr>
        <w:t>during a </w:t>
      </w:r>
      <w:r>
        <w:rPr>
          <w:i/>
          <w:sz w:val="24"/>
        </w:rPr>
        <w:t>market suspension </w:t>
      </w:r>
      <w:r>
        <w:rPr>
          <w:i/>
          <w:sz w:val="24"/>
        </w:rPr>
        <w:t>pricing schedule</w:t>
      </w:r>
      <w:r>
        <w:rPr>
          <w:i/>
          <w:spacing w:val="-1"/>
          <w:sz w:val="24"/>
        </w:rPr>
        <w:t> </w:t>
      </w:r>
      <w:r>
        <w:rPr>
          <w:i/>
          <w:sz w:val="24"/>
        </w:rPr>
        <w:t>period</w:t>
      </w:r>
      <w:r>
        <w:rPr>
          <w:sz w:val="24"/>
        </w:rPr>
        <w:t>:</w:t>
      </w:r>
    </w:p>
    <w:p>
      <w:pPr>
        <w:pStyle w:val="ListParagraph"/>
        <w:numPr>
          <w:ilvl w:val="1"/>
          <w:numId w:val="761"/>
        </w:numPr>
        <w:tabs>
          <w:tab w:pos="2486" w:val="left" w:leader="none"/>
        </w:tabs>
        <w:spacing w:line="240" w:lineRule="auto" w:before="120" w:after="0"/>
        <w:ind w:left="2485" w:right="0" w:hanging="567"/>
        <w:jc w:val="both"/>
        <w:rPr>
          <w:sz w:val="24"/>
        </w:rPr>
      </w:pPr>
      <w:r>
        <w:rPr>
          <w:sz w:val="24"/>
        </w:rPr>
        <w:t>in a </w:t>
      </w:r>
      <w:r>
        <w:rPr>
          <w:i/>
          <w:sz w:val="24"/>
        </w:rPr>
        <w:t>suspended region</w:t>
      </w:r>
      <w:r>
        <w:rPr>
          <w:sz w:val="24"/>
        </w:rPr>
        <w:t>;</w:t>
      </w:r>
      <w:r>
        <w:rPr>
          <w:spacing w:val="-2"/>
          <w:sz w:val="24"/>
        </w:rPr>
        <w:t> </w:t>
      </w:r>
      <w:r>
        <w:rPr>
          <w:sz w:val="24"/>
        </w:rPr>
        <w:t>or</w:t>
      </w:r>
    </w:p>
    <w:p>
      <w:pPr>
        <w:pStyle w:val="ListParagraph"/>
        <w:numPr>
          <w:ilvl w:val="1"/>
          <w:numId w:val="761"/>
        </w:numPr>
        <w:tabs>
          <w:tab w:pos="2486" w:val="left" w:leader="none"/>
        </w:tabs>
        <w:spacing w:line="240" w:lineRule="auto" w:before="120" w:after="0"/>
        <w:ind w:left="2486" w:right="416" w:hanging="567"/>
        <w:jc w:val="both"/>
        <w:rPr>
          <w:sz w:val="24"/>
        </w:rPr>
      </w:pPr>
      <w:r>
        <w:rPr>
          <w:sz w:val="24"/>
        </w:rPr>
        <w:t>in a </w:t>
      </w:r>
      <w:r>
        <w:rPr>
          <w:i/>
          <w:sz w:val="24"/>
        </w:rPr>
        <w:t>region </w:t>
      </w:r>
      <w:r>
        <w:rPr>
          <w:sz w:val="24"/>
        </w:rPr>
        <w:t>where </w:t>
      </w:r>
      <w:r>
        <w:rPr>
          <w:i/>
          <w:sz w:val="24"/>
        </w:rPr>
        <w:t>dispatch prices </w:t>
      </w:r>
      <w:r>
        <w:rPr>
          <w:sz w:val="24"/>
        </w:rPr>
        <w:t>were affected in accordance with clause 3.14.5(f);</w:t>
      </w:r>
      <w:r>
        <w:rPr>
          <w:spacing w:val="-1"/>
          <w:sz w:val="24"/>
        </w:rPr>
        <w:t> </w:t>
      </w:r>
      <w:r>
        <w:rPr>
          <w:sz w:val="24"/>
        </w:rPr>
        <w:t>or</w:t>
      </w:r>
    </w:p>
    <w:p>
      <w:pPr>
        <w:pStyle w:val="ListParagraph"/>
        <w:numPr>
          <w:ilvl w:val="0"/>
          <w:numId w:val="761"/>
        </w:numPr>
        <w:tabs>
          <w:tab w:pos="1919" w:val="left" w:leader="none"/>
        </w:tabs>
        <w:spacing w:line="240" w:lineRule="auto" w:before="120" w:after="0"/>
        <w:ind w:left="1919" w:right="415" w:hanging="567"/>
        <w:jc w:val="both"/>
        <w:rPr>
          <w:sz w:val="24"/>
        </w:rPr>
      </w:pPr>
      <w:r>
        <w:rPr>
          <w:sz w:val="24"/>
        </w:rPr>
        <w:t>an </w:t>
      </w:r>
      <w:r>
        <w:rPr>
          <w:i/>
          <w:sz w:val="24"/>
        </w:rPr>
        <w:t>Ancillary Service Provider </w:t>
      </w:r>
      <w:r>
        <w:rPr>
          <w:sz w:val="24"/>
        </w:rPr>
        <w:t>in a </w:t>
      </w:r>
      <w:r>
        <w:rPr>
          <w:i/>
          <w:sz w:val="24"/>
        </w:rPr>
        <w:t>suspended region</w:t>
      </w:r>
      <w:r>
        <w:rPr>
          <w:sz w:val="24"/>
        </w:rPr>
        <w:t>, in respect of an </w:t>
      </w:r>
      <w:r>
        <w:rPr>
          <w:i/>
          <w:sz w:val="24"/>
        </w:rPr>
        <w:t>ancillary service generating unit </w:t>
      </w:r>
      <w:r>
        <w:rPr>
          <w:sz w:val="24"/>
        </w:rPr>
        <w:t>which is also a </w:t>
      </w:r>
      <w:r>
        <w:rPr>
          <w:i/>
          <w:sz w:val="24"/>
        </w:rPr>
        <w:t>scheduled generating unit</w:t>
      </w:r>
      <w:r>
        <w:rPr>
          <w:sz w:val="24"/>
        </w:rPr>
        <w:t>, who provided </w:t>
      </w:r>
      <w:r>
        <w:rPr>
          <w:i/>
          <w:sz w:val="24"/>
        </w:rPr>
        <w:t>market ancillary services </w:t>
      </w:r>
      <w:r>
        <w:rPr>
          <w:sz w:val="24"/>
        </w:rPr>
        <w:t>during a </w:t>
      </w:r>
      <w:r>
        <w:rPr>
          <w:i/>
          <w:sz w:val="24"/>
        </w:rPr>
        <w:t>market suspension pricing </w:t>
      </w:r>
      <w:r>
        <w:rPr>
          <w:i/>
          <w:sz w:val="24"/>
        </w:rPr>
        <w:t>schedule</w:t>
      </w:r>
      <w:r>
        <w:rPr>
          <w:i/>
          <w:spacing w:val="-2"/>
          <w:sz w:val="24"/>
        </w:rPr>
        <w:t> </w:t>
      </w:r>
      <w:r>
        <w:rPr>
          <w:i/>
          <w:sz w:val="24"/>
        </w:rPr>
        <w:t>period</w:t>
      </w:r>
      <w:r>
        <w:rPr>
          <w:sz w:val="24"/>
        </w:rPr>
        <w:t>.</w:t>
      </w:r>
    </w:p>
    <w:p>
      <w:pPr>
        <w:pStyle w:val="Heading5"/>
        <w:rPr>
          <w:i/>
        </w:rPr>
      </w:pPr>
      <w:r>
        <w:rPr>
          <w:i/>
        </w:rPr>
        <w:t>market suspension compensation methodology</w:t>
      </w:r>
    </w:p>
    <w:p>
      <w:pPr>
        <w:pStyle w:val="BodyText"/>
        <w:ind w:left="1352" w:firstLine="0"/>
      </w:pPr>
      <w:r>
        <w:rPr/>
        <w:t>Has the meaning given in clause 3.14.5A(h).</w:t>
      </w:r>
    </w:p>
    <w:p>
      <w:pPr>
        <w:pStyle w:val="Heading5"/>
        <w:rPr>
          <w:i/>
        </w:rPr>
      </w:pPr>
      <w:r>
        <w:rPr>
          <w:i/>
        </w:rPr>
        <w:t>market suspension compensation recovery amount</w:t>
      </w:r>
    </w:p>
    <w:p>
      <w:pPr>
        <w:pStyle w:val="BodyText"/>
        <w:ind w:left="1352" w:firstLine="0"/>
      </w:pPr>
      <w:r>
        <w:rPr/>
        <w:t>Has the meaning given in clause 3.15.8A(a).</w:t>
      </w:r>
    </w:p>
    <w:p>
      <w:pPr>
        <w:pStyle w:val="Heading5"/>
        <w:rPr>
          <w:i/>
        </w:rPr>
      </w:pPr>
      <w:r>
        <w:rPr>
          <w:i/>
        </w:rPr>
        <w:t>market suspension pricing methodology</w:t>
      </w:r>
    </w:p>
    <w:p>
      <w:pPr>
        <w:pStyle w:val="BodyText"/>
        <w:ind w:left="1352" w:firstLine="0"/>
      </w:pPr>
      <w:r>
        <w:rPr/>
        <w:t>Has the meaning given in clause 3.14.5(e)(1).</w:t>
      </w:r>
    </w:p>
    <w:p>
      <w:pPr>
        <w:pStyle w:val="Heading5"/>
        <w:rPr>
          <w:i/>
        </w:rPr>
      </w:pPr>
      <w:r>
        <w:rPr>
          <w:i/>
        </w:rPr>
        <w:t>market suspension pricing schedule</w:t>
      </w:r>
    </w:p>
    <w:p>
      <w:pPr>
        <w:pStyle w:val="BodyText"/>
        <w:ind w:left="1352" w:firstLine="0"/>
      </w:pPr>
      <w:r>
        <w:rPr/>
        <w:t>Has the meaning given in clause 3.14.5(e)(1).</w:t>
      </w:r>
    </w:p>
    <w:p>
      <w:pPr>
        <w:pStyle w:val="Heading5"/>
        <w:rPr>
          <w:i/>
        </w:rPr>
      </w:pPr>
      <w:r>
        <w:rPr>
          <w:i/>
        </w:rPr>
        <w:t>market suspension pricing schedule period</w:t>
      </w:r>
    </w:p>
    <w:p>
      <w:pPr>
        <w:pStyle w:val="ListParagraph"/>
        <w:numPr>
          <w:ilvl w:val="0"/>
          <w:numId w:val="762"/>
        </w:numPr>
        <w:tabs>
          <w:tab w:pos="1919" w:val="left" w:leader="none"/>
        </w:tabs>
        <w:spacing w:line="240" w:lineRule="auto" w:before="120" w:after="0"/>
        <w:ind w:left="1919" w:right="415" w:hanging="567"/>
        <w:jc w:val="both"/>
        <w:rPr>
          <w:sz w:val="24"/>
        </w:rPr>
      </w:pPr>
      <w:r>
        <w:rPr>
          <w:sz w:val="24"/>
        </w:rPr>
        <w:t>For a </w:t>
      </w:r>
      <w:r>
        <w:rPr>
          <w:i/>
          <w:sz w:val="24"/>
        </w:rPr>
        <w:t>Market Suspension Compensation Claimant </w:t>
      </w:r>
      <w:r>
        <w:rPr>
          <w:sz w:val="24"/>
        </w:rPr>
        <w:t>of a type referred to in subparagraph (a)(1) or paragraph (b) of the definition of </w:t>
      </w:r>
      <w:r>
        <w:rPr>
          <w:i/>
          <w:sz w:val="24"/>
        </w:rPr>
        <w:t>Market Suspension </w:t>
      </w:r>
      <w:r>
        <w:rPr>
          <w:i/>
          <w:sz w:val="24"/>
        </w:rPr>
        <w:t>Compensation Claimant</w:t>
      </w:r>
      <w:r>
        <w:rPr>
          <w:sz w:val="24"/>
        </w:rPr>
        <w:t>, the period starting at the beginning of the first </w:t>
      </w:r>
      <w:r>
        <w:rPr>
          <w:i/>
          <w:sz w:val="24"/>
        </w:rPr>
        <w:t>dispatch interval </w:t>
      </w:r>
      <w:r>
        <w:rPr>
          <w:sz w:val="24"/>
        </w:rPr>
        <w:t>and ending at the end of the final </w:t>
      </w:r>
      <w:r>
        <w:rPr>
          <w:i/>
          <w:sz w:val="24"/>
        </w:rPr>
        <w:t>dispatch interval </w:t>
      </w:r>
      <w:r>
        <w:rPr>
          <w:sz w:val="24"/>
        </w:rPr>
        <w:t>in which:</w:t>
      </w:r>
    </w:p>
    <w:p>
      <w:pPr>
        <w:spacing w:after="0" w:line="240" w:lineRule="auto"/>
        <w:jc w:val="both"/>
        <w:rPr>
          <w:sz w:val="24"/>
        </w:rPr>
        <w:sectPr>
          <w:pgSz w:w="11910" w:h="16840"/>
          <w:pgMar w:header="686" w:footer="637" w:top="1320" w:bottom="820" w:left="1200" w:right="1000"/>
        </w:sectPr>
      </w:pPr>
    </w:p>
    <w:p>
      <w:pPr>
        <w:pStyle w:val="ListParagraph"/>
        <w:numPr>
          <w:ilvl w:val="1"/>
          <w:numId w:val="762"/>
        </w:numPr>
        <w:tabs>
          <w:tab w:pos="2486" w:val="left" w:leader="none"/>
        </w:tabs>
        <w:spacing w:line="240" w:lineRule="auto" w:before="83" w:after="0"/>
        <w:ind w:left="2486" w:right="416" w:hanging="567"/>
        <w:jc w:val="both"/>
        <w:rPr>
          <w:sz w:val="24"/>
        </w:rPr>
      </w:pPr>
      <w:r>
        <w:rPr>
          <w:sz w:val="24"/>
        </w:rPr>
        <w:t>for </w:t>
      </w:r>
      <w:r>
        <w:rPr>
          <w:i/>
          <w:sz w:val="24"/>
        </w:rPr>
        <w:t>Scheduled Generators</w:t>
      </w:r>
      <w:r>
        <w:rPr>
          <w:sz w:val="24"/>
        </w:rPr>
        <w:t>, the </w:t>
      </w:r>
      <w:r>
        <w:rPr>
          <w:i/>
          <w:sz w:val="24"/>
        </w:rPr>
        <w:t>dispatch price </w:t>
      </w:r>
      <w:r>
        <w:rPr>
          <w:sz w:val="24"/>
        </w:rPr>
        <w:t>for a </w:t>
      </w:r>
      <w:r>
        <w:rPr>
          <w:i/>
          <w:sz w:val="24"/>
        </w:rPr>
        <w:t>dispatch interval </w:t>
      </w:r>
      <w:r>
        <w:rPr>
          <w:sz w:val="24"/>
        </w:rPr>
        <w:t>is set by </w:t>
      </w:r>
      <w:r>
        <w:rPr>
          <w:i/>
          <w:sz w:val="24"/>
        </w:rPr>
        <w:t>AEMO </w:t>
      </w:r>
      <w:r>
        <w:rPr>
          <w:sz w:val="24"/>
        </w:rPr>
        <w:t>in accordance with the </w:t>
      </w:r>
      <w:r>
        <w:rPr>
          <w:i/>
          <w:sz w:val="24"/>
        </w:rPr>
        <w:t>market suspension pricing </w:t>
      </w:r>
      <w:r>
        <w:rPr>
          <w:i/>
          <w:sz w:val="24"/>
        </w:rPr>
        <w:t>schedule</w:t>
      </w:r>
      <w:r>
        <w:rPr>
          <w:sz w:val="24"/>
        </w:rPr>
        <w:t>;</w:t>
      </w:r>
      <w:r>
        <w:rPr>
          <w:spacing w:val="-1"/>
          <w:sz w:val="24"/>
        </w:rPr>
        <w:t> </w:t>
      </w:r>
      <w:r>
        <w:rPr>
          <w:sz w:val="24"/>
        </w:rPr>
        <w:t>or</w:t>
      </w:r>
    </w:p>
    <w:p>
      <w:pPr>
        <w:pStyle w:val="ListParagraph"/>
        <w:numPr>
          <w:ilvl w:val="1"/>
          <w:numId w:val="762"/>
        </w:numPr>
        <w:tabs>
          <w:tab w:pos="2486" w:val="left" w:leader="none"/>
        </w:tabs>
        <w:spacing w:line="240" w:lineRule="auto" w:before="120" w:after="0"/>
        <w:ind w:left="2486" w:right="415" w:hanging="567"/>
        <w:jc w:val="both"/>
        <w:rPr>
          <w:sz w:val="24"/>
        </w:rPr>
      </w:pPr>
      <w:r>
        <w:rPr>
          <w:sz w:val="24"/>
        </w:rPr>
        <w:t>for </w:t>
      </w:r>
      <w:r>
        <w:rPr>
          <w:i/>
          <w:sz w:val="24"/>
        </w:rPr>
        <w:t>Ancillary Service Providers</w:t>
      </w:r>
      <w:r>
        <w:rPr>
          <w:sz w:val="24"/>
        </w:rPr>
        <w:t>, in respect of an </w:t>
      </w:r>
      <w:r>
        <w:rPr>
          <w:i/>
          <w:sz w:val="24"/>
        </w:rPr>
        <w:t>ancillary service </w:t>
      </w:r>
      <w:r>
        <w:rPr>
          <w:i/>
          <w:sz w:val="24"/>
        </w:rPr>
        <w:t>generating unit</w:t>
      </w:r>
      <w:r>
        <w:rPr>
          <w:sz w:val="24"/>
        </w:rPr>
        <w:t>, the </w:t>
      </w:r>
      <w:r>
        <w:rPr>
          <w:i/>
          <w:sz w:val="24"/>
        </w:rPr>
        <w:t>ancillary service price </w:t>
      </w:r>
      <w:r>
        <w:rPr>
          <w:sz w:val="24"/>
        </w:rPr>
        <w:t>for a </w:t>
      </w:r>
      <w:r>
        <w:rPr>
          <w:i/>
          <w:sz w:val="24"/>
        </w:rPr>
        <w:t>dispatch interval </w:t>
      </w:r>
      <w:r>
        <w:rPr>
          <w:sz w:val="24"/>
        </w:rPr>
        <w:t>is set by </w:t>
      </w:r>
      <w:r>
        <w:rPr>
          <w:i/>
          <w:sz w:val="24"/>
        </w:rPr>
        <w:t>AEMO </w:t>
      </w:r>
      <w:r>
        <w:rPr>
          <w:sz w:val="24"/>
        </w:rPr>
        <w:t>in accordance with the </w:t>
      </w:r>
      <w:r>
        <w:rPr>
          <w:i/>
          <w:sz w:val="24"/>
        </w:rPr>
        <w:t>market suspension pricing </w:t>
      </w:r>
      <w:r>
        <w:rPr>
          <w:i/>
          <w:sz w:val="24"/>
        </w:rPr>
        <w:t>schedule</w:t>
      </w:r>
      <w:r>
        <w:rPr>
          <w:sz w:val="24"/>
        </w:rPr>
        <w:t>.</w:t>
      </w:r>
    </w:p>
    <w:p>
      <w:pPr>
        <w:pStyle w:val="ListParagraph"/>
        <w:numPr>
          <w:ilvl w:val="0"/>
          <w:numId w:val="762"/>
        </w:numPr>
        <w:tabs>
          <w:tab w:pos="1919" w:val="left" w:leader="none"/>
        </w:tabs>
        <w:spacing w:line="240" w:lineRule="auto" w:before="120" w:after="0"/>
        <w:ind w:left="1919" w:right="416" w:hanging="567"/>
        <w:jc w:val="both"/>
        <w:rPr>
          <w:sz w:val="24"/>
        </w:rPr>
      </w:pPr>
      <w:r>
        <w:rPr>
          <w:sz w:val="24"/>
        </w:rPr>
        <w:t>For a </w:t>
      </w:r>
      <w:r>
        <w:rPr>
          <w:i/>
          <w:sz w:val="24"/>
        </w:rPr>
        <w:t>Market Suspension Compensation Claimant </w:t>
      </w:r>
      <w:r>
        <w:rPr>
          <w:sz w:val="24"/>
        </w:rPr>
        <w:t>of a type referred to in subparagraph (a)(2) of the definition of </w:t>
      </w:r>
      <w:r>
        <w:rPr>
          <w:i/>
          <w:sz w:val="24"/>
        </w:rPr>
        <w:t>Market Suspension Compensation </w:t>
      </w:r>
      <w:r>
        <w:rPr>
          <w:i/>
          <w:sz w:val="24"/>
        </w:rPr>
        <w:t>Claimant</w:t>
      </w:r>
      <w:r>
        <w:rPr>
          <w:sz w:val="24"/>
        </w:rPr>
        <w:t>, includes only those </w:t>
      </w:r>
      <w:r>
        <w:rPr>
          <w:i/>
          <w:sz w:val="24"/>
        </w:rPr>
        <w:t>dispatch</w:t>
      </w:r>
      <w:r>
        <w:rPr>
          <w:i/>
          <w:spacing w:val="-1"/>
          <w:sz w:val="24"/>
        </w:rPr>
        <w:t> </w:t>
      </w:r>
      <w:r>
        <w:rPr>
          <w:i/>
          <w:sz w:val="24"/>
        </w:rPr>
        <w:t>intervals</w:t>
      </w:r>
      <w:r>
        <w:rPr>
          <w:sz w:val="24"/>
        </w:rPr>
        <w:t>:</w:t>
      </w:r>
    </w:p>
    <w:p>
      <w:pPr>
        <w:pStyle w:val="ListParagraph"/>
        <w:numPr>
          <w:ilvl w:val="1"/>
          <w:numId w:val="762"/>
        </w:numPr>
        <w:tabs>
          <w:tab w:pos="2486" w:val="left" w:leader="none"/>
        </w:tabs>
        <w:spacing w:line="240" w:lineRule="auto" w:before="120" w:after="0"/>
        <w:ind w:left="2485" w:right="0" w:hanging="567"/>
        <w:jc w:val="both"/>
        <w:rPr>
          <w:sz w:val="24"/>
        </w:rPr>
      </w:pPr>
      <w:r>
        <w:rPr>
          <w:sz w:val="24"/>
        </w:rPr>
        <w:t>that occur during the period described in paragraph (a) above;</w:t>
      </w:r>
      <w:r>
        <w:rPr>
          <w:spacing w:val="-2"/>
          <w:sz w:val="24"/>
        </w:rPr>
        <w:t> </w:t>
      </w:r>
      <w:r>
        <w:rPr>
          <w:sz w:val="24"/>
        </w:rPr>
        <w:t>and</w:t>
      </w:r>
    </w:p>
    <w:p>
      <w:pPr>
        <w:pStyle w:val="ListParagraph"/>
        <w:numPr>
          <w:ilvl w:val="1"/>
          <w:numId w:val="762"/>
        </w:numPr>
        <w:tabs>
          <w:tab w:pos="2486" w:val="left" w:leader="none"/>
        </w:tabs>
        <w:spacing w:line="240" w:lineRule="auto" w:before="120" w:after="0"/>
        <w:ind w:left="2486" w:right="415" w:hanging="567"/>
        <w:jc w:val="both"/>
        <w:rPr>
          <w:sz w:val="24"/>
        </w:rPr>
      </w:pPr>
      <w:r>
        <w:rPr>
          <w:sz w:val="24"/>
        </w:rPr>
        <w:t>during which </w:t>
      </w:r>
      <w:r>
        <w:rPr>
          <w:i/>
          <w:sz w:val="24"/>
        </w:rPr>
        <w:t>dispatch prices </w:t>
      </w:r>
      <w:r>
        <w:rPr>
          <w:sz w:val="24"/>
        </w:rPr>
        <w:t>were affected in accordance with clause 3.14.5(f).</w:t>
      </w:r>
    </w:p>
    <w:p>
      <w:pPr>
        <w:pStyle w:val="Heading5"/>
        <w:rPr>
          <w:i/>
        </w:rPr>
      </w:pPr>
      <w:r>
        <w:rPr>
          <w:i/>
        </w:rPr>
        <w:t>material inter-network impact</w:t>
      </w:r>
    </w:p>
    <w:p>
      <w:pPr>
        <w:spacing w:before="120"/>
        <w:ind w:left="1352" w:right="415" w:firstLine="0"/>
        <w:jc w:val="both"/>
        <w:rPr>
          <w:sz w:val="24"/>
        </w:rPr>
      </w:pPr>
      <w:r>
        <w:rPr>
          <w:sz w:val="24"/>
        </w:rPr>
        <w:t>A material impact on another </w:t>
      </w:r>
      <w:r>
        <w:rPr>
          <w:i/>
          <w:sz w:val="24"/>
        </w:rPr>
        <w:t>Transmission Network Service Provider's network</w:t>
      </w:r>
      <w:r>
        <w:rPr>
          <w:sz w:val="24"/>
        </w:rPr>
        <w:t>, which impact may include (without limitation):</w:t>
      </w:r>
    </w:p>
    <w:p>
      <w:pPr>
        <w:pStyle w:val="ListParagraph"/>
        <w:numPr>
          <w:ilvl w:val="0"/>
          <w:numId w:val="763"/>
        </w:numPr>
        <w:tabs>
          <w:tab w:pos="1919" w:val="left" w:leader="none"/>
        </w:tabs>
        <w:spacing w:line="240" w:lineRule="auto" w:before="120" w:after="0"/>
        <w:ind w:left="1919" w:right="414" w:hanging="567"/>
        <w:jc w:val="both"/>
        <w:rPr>
          <w:sz w:val="24"/>
        </w:rPr>
      </w:pPr>
      <w:r>
        <w:rPr>
          <w:sz w:val="24"/>
        </w:rPr>
        <w:t>the imposition of </w:t>
      </w:r>
      <w:r>
        <w:rPr>
          <w:i/>
          <w:sz w:val="24"/>
        </w:rPr>
        <w:t>power transfer constraints </w:t>
      </w:r>
      <w:r>
        <w:rPr>
          <w:sz w:val="24"/>
        </w:rPr>
        <w:t>within another </w:t>
      </w:r>
      <w:r>
        <w:rPr>
          <w:i/>
          <w:sz w:val="24"/>
        </w:rPr>
        <w:t>Transmission </w:t>
      </w:r>
      <w:r>
        <w:rPr>
          <w:i/>
          <w:sz w:val="24"/>
        </w:rPr>
        <w:t>Network Service Provider's network</w:t>
      </w:r>
      <w:r>
        <w:rPr>
          <w:sz w:val="24"/>
        </w:rPr>
        <w:t>;</w:t>
      </w:r>
      <w:r>
        <w:rPr>
          <w:spacing w:val="-2"/>
          <w:sz w:val="24"/>
        </w:rPr>
        <w:t> </w:t>
      </w:r>
      <w:r>
        <w:rPr>
          <w:sz w:val="24"/>
        </w:rPr>
        <w:t>or</w:t>
      </w:r>
    </w:p>
    <w:p>
      <w:pPr>
        <w:pStyle w:val="ListParagraph"/>
        <w:numPr>
          <w:ilvl w:val="0"/>
          <w:numId w:val="763"/>
        </w:numPr>
        <w:tabs>
          <w:tab w:pos="1919" w:val="left" w:leader="none"/>
        </w:tabs>
        <w:spacing w:line="240" w:lineRule="auto" w:before="120" w:after="0"/>
        <w:ind w:left="1919" w:right="415" w:hanging="567"/>
        <w:jc w:val="both"/>
        <w:rPr>
          <w:sz w:val="24"/>
        </w:rPr>
      </w:pPr>
      <w:r>
        <w:rPr>
          <w:sz w:val="24"/>
        </w:rPr>
        <w:t>an adverse impact on the quality of </w:t>
      </w:r>
      <w:r>
        <w:rPr>
          <w:i/>
          <w:sz w:val="24"/>
        </w:rPr>
        <w:t>supply </w:t>
      </w:r>
      <w:r>
        <w:rPr>
          <w:sz w:val="24"/>
        </w:rPr>
        <w:t>in another </w:t>
      </w:r>
      <w:r>
        <w:rPr>
          <w:i/>
          <w:sz w:val="24"/>
        </w:rPr>
        <w:t>Transmission Network </w:t>
      </w:r>
      <w:r>
        <w:rPr>
          <w:i/>
          <w:sz w:val="24"/>
        </w:rPr>
        <w:t>Service Provider's</w:t>
      </w:r>
      <w:r>
        <w:rPr>
          <w:i/>
          <w:spacing w:val="-1"/>
          <w:sz w:val="24"/>
        </w:rPr>
        <w:t> </w:t>
      </w:r>
      <w:r>
        <w:rPr>
          <w:i/>
          <w:sz w:val="24"/>
        </w:rPr>
        <w:t>network</w:t>
      </w:r>
      <w:r>
        <w:rPr>
          <w:sz w:val="24"/>
        </w:rPr>
        <w:t>.</w:t>
      </w:r>
    </w:p>
    <w:p>
      <w:pPr>
        <w:spacing w:after="0" w:line="240" w:lineRule="auto"/>
        <w:jc w:val="both"/>
        <w:rPr>
          <w:sz w:val="24"/>
        </w:rPr>
        <w:sectPr>
          <w:pgSz w:w="11910" w:h="16840"/>
          <w:pgMar w:header="686" w:footer="637" w:top="1320" w:bottom="820" w:left="1200" w:right="1000"/>
        </w:sectPr>
      </w:pPr>
    </w:p>
    <w:p>
      <w:pPr>
        <w:pStyle w:val="Heading5"/>
        <w:jc w:val="left"/>
        <w:rPr>
          <w:i/>
        </w:rPr>
      </w:pPr>
      <w:r>
        <w:rPr>
          <w:i/>
        </w:rPr>
        <w:t>materially</w:t>
      </w:r>
    </w:p>
    <w:p>
      <w:pPr>
        <w:pStyle w:val="BodyText"/>
        <w:spacing w:before="0"/>
        <w:ind w:firstLine="0"/>
        <w:jc w:val="left"/>
        <w:rPr>
          <w:b/>
          <w:i/>
          <w:sz w:val="26"/>
        </w:rPr>
      </w:pPr>
      <w:r>
        <w:rPr/>
        <w:br w:type="column"/>
      </w:r>
      <w:r>
        <w:rPr>
          <w:b/>
          <w:i/>
          <w:sz w:val="26"/>
        </w:rPr>
      </w:r>
    </w:p>
    <w:p>
      <w:pPr>
        <w:spacing w:before="217"/>
        <w:ind w:left="93" w:right="414" w:firstLine="0"/>
        <w:jc w:val="both"/>
        <w:rPr>
          <w:sz w:val="24"/>
        </w:rPr>
      </w:pPr>
      <w:r>
        <w:rPr>
          <w:sz w:val="24"/>
        </w:rPr>
        <w:t>For the purposes of the application of clause 6.6.1, an event results in a </w:t>
      </w:r>
      <w:r>
        <w:rPr>
          <w:i/>
          <w:sz w:val="24"/>
        </w:rPr>
        <w:t>Distribution Network Service Provider </w:t>
      </w:r>
      <w:r>
        <w:rPr>
          <w:sz w:val="24"/>
        </w:rPr>
        <w:t>incurring materially higher or materially lower costs if the change in costs (as opposed to the revenue impact) that the </w:t>
      </w:r>
      <w:r>
        <w:rPr>
          <w:i/>
          <w:sz w:val="24"/>
        </w:rPr>
        <w:t>Distribution Network Service Provider </w:t>
      </w:r>
      <w:r>
        <w:rPr>
          <w:sz w:val="24"/>
        </w:rPr>
        <w:t>has incurred and is likely to incur in any </w:t>
      </w:r>
      <w:r>
        <w:rPr>
          <w:i/>
          <w:sz w:val="24"/>
        </w:rPr>
        <w:t>regulatory year </w:t>
      </w:r>
      <w:r>
        <w:rPr>
          <w:sz w:val="24"/>
        </w:rPr>
        <w:t>of a </w:t>
      </w:r>
      <w:r>
        <w:rPr>
          <w:i/>
          <w:sz w:val="24"/>
        </w:rPr>
        <w:t>regulatory control period</w:t>
      </w:r>
      <w:r>
        <w:rPr>
          <w:sz w:val="24"/>
        </w:rPr>
        <w:t>, as a result of that event, exceeds 1% of the </w:t>
      </w:r>
      <w:r>
        <w:rPr>
          <w:i/>
          <w:sz w:val="24"/>
        </w:rPr>
        <w:t>annual revenue requirement </w:t>
      </w:r>
      <w:r>
        <w:rPr>
          <w:sz w:val="24"/>
        </w:rPr>
        <w:t>for the </w:t>
      </w:r>
      <w:r>
        <w:rPr>
          <w:i/>
          <w:sz w:val="24"/>
        </w:rPr>
        <w:t>Distribution Network Service </w:t>
      </w:r>
      <w:r>
        <w:rPr>
          <w:i/>
          <w:sz w:val="24"/>
        </w:rPr>
        <w:t>Provider </w:t>
      </w:r>
      <w:r>
        <w:rPr>
          <w:sz w:val="24"/>
        </w:rPr>
        <w:t>for that </w:t>
      </w:r>
      <w:r>
        <w:rPr>
          <w:i/>
          <w:sz w:val="24"/>
        </w:rPr>
        <w:t>regulatory year</w:t>
      </w:r>
      <w:r>
        <w:rPr>
          <w:sz w:val="24"/>
        </w:rPr>
        <w:t>.</w:t>
      </w:r>
    </w:p>
    <w:p>
      <w:pPr>
        <w:spacing w:before="120"/>
        <w:ind w:left="93" w:right="413" w:firstLine="0"/>
        <w:jc w:val="both"/>
        <w:rPr>
          <w:sz w:val="24"/>
        </w:rPr>
      </w:pPr>
      <w:r>
        <w:rPr>
          <w:sz w:val="24"/>
        </w:rPr>
        <w:t>For the purposes of the application of clause 6A.7.3, an event (other than a </w:t>
      </w:r>
      <w:r>
        <w:rPr>
          <w:i/>
          <w:sz w:val="24"/>
        </w:rPr>
        <w:t>network support event</w:t>
      </w:r>
      <w:r>
        <w:rPr>
          <w:sz w:val="24"/>
        </w:rPr>
        <w:t>) results in a </w:t>
      </w:r>
      <w:r>
        <w:rPr>
          <w:i/>
          <w:sz w:val="24"/>
        </w:rPr>
        <w:t>Transmission Network Service Provider </w:t>
      </w:r>
      <w:r>
        <w:rPr>
          <w:sz w:val="24"/>
        </w:rPr>
        <w:t>incurring materially higher or materially lower costs if the change in costs (as opposed to the revenue impact) that the </w:t>
      </w:r>
      <w:r>
        <w:rPr>
          <w:i/>
          <w:sz w:val="24"/>
        </w:rPr>
        <w:t>Transmission Network Service Provider </w:t>
      </w:r>
      <w:r>
        <w:rPr>
          <w:sz w:val="24"/>
        </w:rPr>
        <w:t>has incurred and is likely to incur in any </w:t>
      </w:r>
      <w:r>
        <w:rPr>
          <w:i/>
          <w:sz w:val="24"/>
        </w:rPr>
        <w:t>regulatory year </w:t>
      </w:r>
      <w:r>
        <w:rPr>
          <w:sz w:val="24"/>
        </w:rPr>
        <w:t>of a </w:t>
      </w:r>
      <w:r>
        <w:rPr>
          <w:i/>
          <w:sz w:val="24"/>
        </w:rPr>
        <w:t>regulatory control </w:t>
      </w:r>
      <w:r>
        <w:rPr>
          <w:i/>
          <w:sz w:val="24"/>
        </w:rPr>
        <w:t>period</w:t>
      </w:r>
      <w:r>
        <w:rPr>
          <w:sz w:val="24"/>
        </w:rPr>
        <w:t>, as a result of that event, exceeds 1% of the </w:t>
      </w:r>
      <w:r>
        <w:rPr>
          <w:i/>
          <w:sz w:val="24"/>
        </w:rPr>
        <w:t>maximum allowed revenue </w:t>
      </w:r>
      <w:r>
        <w:rPr>
          <w:sz w:val="24"/>
        </w:rPr>
        <w:t>for the </w:t>
      </w:r>
      <w:r>
        <w:rPr>
          <w:i/>
          <w:sz w:val="24"/>
        </w:rPr>
        <w:t>Transmission Network Service Provider </w:t>
      </w:r>
      <w:r>
        <w:rPr>
          <w:sz w:val="24"/>
        </w:rPr>
        <w:t>for that </w:t>
      </w:r>
      <w:r>
        <w:rPr>
          <w:i/>
          <w:sz w:val="24"/>
        </w:rPr>
        <w:t>regulatory year</w:t>
      </w:r>
      <w:r>
        <w:rPr>
          <w:sz w:val="24"/>
        </w:rPr>
        <w:t>.</w:t>
      </w:r>
    </w:p>
    <w:p>
      <w:pPr>
        <w:pStyle w:val="BodyText"/>
        <w:ind w:left="93" w:firstLine="0"/>
      </w:pPr>
      <w:r>
        <w:rPr/>
        <w:t>In other contexts, the word has its ordinary meaning.</w:t>
      </w:r>
    </w:p>
    <w:p>
      <w:pPr>
        <w:spacing w:after="0"/>
        <w:sectPr>
          <w:type w:val="continuous"/>
          <w:pgSz w:w="11910" w:h="16840"/>
          <w:pgMar w:top="1360" w:bottom="280" w:left="1200" w:right="1000"/>
          <w:cols w:num="2" w:equalWidth="0">
            <w:col w:w="1219" w:space="40"/>
            <w:col w:w="8451"/>
          </w:cols>
        </w:sectPr>
      </w:pPr>
    </w:p>
    <w:p>
      <w:pPr>
        <w:pStyle w:val="Heading5"/>
        <w:jc w:val="left"/>
        <w:rPr>
          <w:i/>
        </w:rPr>
      </w:pPr>
      <w:r>
        <w:rPr>
          <w:i/>
        </w:rPr>
        <w:t>maximum allowed revenue</w:t>
      </w:r>
    </w:p>
    <w:p>
      <w:pPr>
        <w:spacing w:before="120"/>
        <w:ind w:left="1352" w:right="0" w:firstLine="0"/>
        <w:jc w:val="left"/>
        <w:rPr>
          <w:sz w:val="24"/>
        </w:rPr>
      </w:pPr>
      <w:r>
        <w:rPr>
          <w:sz w:val="24"/>
        </w:rPr>
        <w:t>For a </w:t>
      </w:r>
      <w:r>
        <w:rPr>
          <w:i/>
          <w:sz w:val="24"/>
        </w:rPr>
        <w:t>Transmission Network Service Provider</w:t>
      </w:r>
      <w:r>
        <w:rPr>
          <w:sz w:val="24"/>
        </w:rPr>
        <w:t>: the amount calculated as such for a</w:t>
      </w:r>
    </w:p>
    <w:p>
      <w:pPr>
        <w:spacing w:before="0"/>
        <w:ind w:left="1352" w:right="0" w:firstLine="0"/>
        <w:jc w:val="left"/>
        <w:rPr>
          <w:sz w:val="24"/>
        </w:rPr>
      </w:pPr>
      <w:r>
        <w:rPr>
          <w:i/>
          <w:sz w:val="24"/>
        </w:rPr>
        <w:t>regulatory year </w:t>
      </w:r>
      <w:r>
        <w:rPr>
          <w:sz w:val="24"/>
        </w:rPr>
        <w:t>of a </w:t>
      </w:r>
      <w:r>
        <w:rPr>
          <w:i/>
          <w:sz w:val="24"/>
        </w:rPr>
        <w:t>regulatory control period </w:t>
      </w:r>
      <w:r>
        <w:rPr>
          <w:sz w:val="24"/>
        </w:rPr>
        <w:t>in accordance with rule 6A.3.</w:t>
      </w:r>
    </w:p>
    <w:p>
      <w:pPr>
        <w:spacing w:before="120"/>
        <w:ind w:left="1352" w:right="415" w:firstLine="0"/>
        <w:jc w:val="left"/>
        <w:rPr>
          <w:sz w:val="24"/>
        </w:rPr>
      </w:pPr>
      <w:r>
        <w:rPr>
          <w:sz w:val="24"/>
        </w:rPr>
        <w:t>For </w:t>
      </w:r>
      <w:r>
        <w:rPr>
          <w:i/>
          <w:sz w:val="24"/>
        </w:rPr>
        <w:t>AEMO</w:t>
      </w:r>
      <w:r>
        <w:rPr>
          <w:sz w:val="24"/>
        </w:rPr>
        <w:t>: the amount calculated as such for a </w:t>
      </w:r>
      <w:r>
        <w:rPr>
          <w:i/>
          <w:sz w:val="24"/>
        </w:rPr>
        <w:t>regulatory year </w:t>
      </w:r>
      <w:r>
        <w:rPr>
          <w:sz w:val="24"/>
        </w:rPr>
        <w:t>of a </w:t>
      </w:r>
      <w:r>
        <w:rPr>
          <w:i/>
          <w:sz w:val="24"/>
        </w:rPr>
        <w:t>regulatory </w:t>
      </w:r>
      <w:r>
        <w:rPr>
          <w:i/>
          <w:sz w:val="24"/>
        </w:rPr>
        <w:t>control period </w:t>
      </w:r>
      <w:r>
        <w:rPr>
          <w:sz w:val="24"/>
        </w:rPr>
        <w:t>in accordance with clause S6A.4.2(c)(4).</w:t>
      </w:r>
    </w:p>
    <w:p>
      <w:pPr>
        <w:pStyle w:val="Heading5"/>
        <w:jc w:val="left"/>
        <w:rPr>
          <w:i/>
        </w:rPr>
      </w:pPr>
      <w:r>
        <w:rPr>
          <w:i/>
        </w:rPr>
        <w:t>maximum credit allowance</w:t>
      </w:r>
    </w:p>
    <w:p>
      <w:pPr>
        <w:pStyle w:val="BodyText"/>
        <w:ind w:left="1352" w:firstLine="0"/>
        <w:jc w:val="left"/>
      </w:pPr>
      <w:r>
        <w:rPr/>
        <w:t>Has (in the context of Chapter 6B) the meaning given in clause 6B.B1.2.</w:t>
      </w:r>
    </w:p>
    <w:p>
      <w:pPr>
        <w:spacing w:after="0"/>
        <w:jc w:val="left"/>
        <w:sectPr>
          <w:type w:val="continuous"/>
          <w:pgSz w:w="11910" w:h="16840"/>
          <w:pgMar w:top="1360" w:bottom="280" w:left="1200" w:right="1000"/>
        </w:sectPr>
      </w:pPr>
    </w:p>
    <w:p>
      <w:pPr>
        <w:pStyle w:val="Heading5"/>
        <w:spacing w:before="83"/>
        <w:rPr>
          <w:i/>
        </w:rPr>
      </w:pPr>
      <w:r>
        <w:rPr>
          <w:i/>
        </w:rPr>
        <w:t>maximum demand</w:t>
      </w:r>
    </w:p>
    <w:p>
      <w:pPr>
        <w:pStyle w:val="BodyText"/>
        <w:ind w:left="1352" w:right="415" w:firstLine="0"/>
      </w:pPr>
      <w:r>
        <w:rPr/>
        <w:t>The highest amount of electrical power delivered, or forecast to be delivered, over a defined period (</w:t>
      </w:r>
      <w:r>
        <w:rPr>
          <w:i/>
        </w:rPr>
        <w:t>day</w:t>
      </w:r>
      <w:r>
        <w:rPr/>
        <w:t>, week, month, season or year) either at a </w:t>
      </w:r>
      <w:r>
        <w:rPr>
          <w:i/>
        </w:rPr>
        <w:t>connection point</w:t>
      </w:r>
      <w:r>
        <w:rPr/>
        <w:t>, or simultaneously at a defined set of </w:t>
      </w:r>
      <w:r>
        <w:rPr>
          <w:i/>
        </w:rPr>
        <w:t>connection</w:t>
      </w:r>
      <w:r>
        <w:rPr>
          <w:i/>
          <w:spacing w:val="-3"/>
        </w:rPr>
        <w:t> </w:t>
      </w:r>
      <w:r>
        <w:rPr>
          <w:i/>
        </w:rPr>
        <w:t>points</w:t>
      </w:r>
      <w:r>
        <w:rPr/>
        <w:t>.</w:t>
      </w:r>
    </w:p>
    <w:p>
      <w:pPr>
        <w:pStyle w:val="Heading5"/>
        <w:rPr>
          <w:i/>
        </w:rPr>
      </w:pPr>
      <w:r>
        <w:rPr>
          <w:i/>
        </w:rPr>
        <w:t>maximum power input (MPI)</w:t>
      </w:r>
    </w:p>
    <w:p>
      <w:pPr>
        <w:spacing w:before="120"/>
        <w:ind w:left="1352" w:right="415" w:firstLine="0"/>
        <w:jc w:val="both"/>
        <w:rPr>
          <w:sz w:val="24"/>
        </w:rPr>
      </w:pPr>
      <w:r>
        <w:rPr>
          <w:sz w:val="24"/>
        </w:rPr>
        <w:t>The largest single </w:t>
      </w:r>
      <w:r>
        <w:rPr>
          <w:i/>
          <w:sz w:val="24"/>
        </w:rPr>
        <w:t>supply </w:t>
      </w:r>
      <w:r>
        <w:rPr>
          <w:sz w:val="24"/>
        </w:rPr>
        <w:t>input to a particular location or </w:t>
      </w:r>
      <w:r>
        <w:rPr>
          <w:i/>
          <w:sz w:val="24"/>
        </w:rPr>
        <w:t>region</w:t>
      </w:r>
      <w:r>
        <w:rPr>
          <w:sz w:val="24"/>
        </w:rPr>
        <w:t>, typically the output of the largest single </w:t>
      </w:r>
      <w:r>
        <w:rPr>
          <w:i/>
          <w:sz w:val="24"/>
        </w:rPr>
        <w:t>generating unit </w:t>
      </w:r>
      <w:r>
        <w:rPr>
          <w:sz w:val="24"/>
        </w:rPr>
        <w:t>or group of </w:t>
      </w:r>
      <w:r>
        <w:rPr>
          <w:i/>
          <w:sz w:val="24"/>
        </w:rPr>
        <w:t>generating units </w:t>
      </w:r>
      <w:r>
        <w:rPr>
          <w:sz w:val="24"/>
        </w:rPr>
        <w:t>or the highest </w:t>
      </w:r>
      <w:r>
        <w:rPr>
          <w:i/>
          <w:sz w:val="24"/>
        </w:rPr>
        <w:t>power transfer </w:t>
      </w:r>
      <w:r>
        <w:rPr>
          <w:sz w:val="24"/>
        </w:rPr>
        <w:t>of a single </w:t>
      </w:r>
      <w:r>
        <w:rPr>
          <w:i/>
          <w:sz w:val="24"/>
        </w:rPr>
        <w:t>transmission line </w:t>
      </w:r>
      <w:r>
        <w:rPr>
          <w:sz w:val="24"/>
        </w:rPr>
        <w:t>or </w:t>
      </w:r>
      <w:r>
        <w:rPr>
          <w:i/>
          <w:sz w:val="24"/>
        </w:rPr>
        <w:t>interconnection</w:t>
      </w:r>
      <w:r>
        <w:rPr>
          <w:sz w:val="24"/>
        </w:rPr>
        <w:t>.</w:t>
      </w:r>
    </w:p>
    <w:p>
      <w:pPr>
        <w:pStyle w:val="Heading5"/>
        <w:rPr>
          <w:i/>
        </w:rPr>
      </w:pPr>
      <w:r>
        <w:rPr>
          <w:i/>
        </w:rPr>
        <w:t>maximum ramp rate</w:t>
      </w:r>
    </w:p>
    <w:p>
      <w:pPr>
        <w:pStyle w:val="BodyText"/>
        <w:ind w:left="1352" w:right="416" w:firstLine="0"/>
      </w:pPr>
      <w:r>
        <w:rPr/>
        <w:t>The </w:t>
      </w:r>
      <w:r>
        <w:rPr>
          <w:i/>
        </w:rPr>
        <w:t>maximum ramp rate </w:t>
      </w:r>
      <w:r>
        <w:rPr/>
        <w:t>that an item of equipment is capable of achieving in normal circumstances. This may be:</w:t>
      </w:r>
    </w:p>
    <w:p>
      <w:pPr>
        <w:pStyle w:val="ListParagraph"/>
        <w:numPr>
          <w:ilvl w:val="0"/>
          <w:numId w:val="764"/>
        </w:numPr>
        <w:tabs>
          <w:tab w:pos="1919" w:val="left" w:leader="none"/>
        </w:tabs>
        <w:spacing w:line="240" w:lineRule="auto" w:before="120" w:after="0"/>
        <w:ind w:left="1918" w:right="0" w:hanging="567"/>
        <w:jc w:val="both"/>
        <w:rPr>
          <w:sz w:val="24"/>
        </w:rPr>
      </w:pPr>
      <w:r>
        <w:rPr>
          <w:sz w:val="24"/>
        </w:rPr>
        <w:t>as specified by the manufacturer;</w:t>
      </w:r>
      <w:r>
        <w:rPr>
          <w:spacing w:val="-3"/>
          <w:sz w:val="24"/>
        </w:rPr>
        <w:t> </w:t>
      </w:r>
      <w:r>
        <w:rPr>
          <w:sz w:val="24"/>
        </w:rPr>
        <w:t>or</w:t>
      </w:r>
    </w:p>
    <w:p>
      <w:pPr>
        <w:pStyle w:val="ListParagraph"/>
        <w:numPr>
          <w:ilvl w:val="0"/>
          <w:numId w:val="764"/>
        </w:numPr>
        <w:tabs>
          <w:tab w:pos="1919" w:val="left" w:leader="none"/>
        </w:tabs>
        <w:spacing w:line="240" w:lineRule="auto" w:before="120" w:after="0"/>
        <w:ind w:left="1919" w:right="416" w:hanging="567"/>
        <w:jc w:val="both"/>
        <w:rPr>
          <w:sz w:val="24"/>
        </w:rPr>
      </w:pPr>
      <w:r>
        <w:rPr>
          <w:sz w:val="24"/>
        </w:rPr>
        <w:t>as independently certified from time to time to reflect changes in </w:t>
      </w:r>
      <w:r>
        <w:rPr>
          <w:spacing w:val="-5"/>
          <w:sz w:val="24"/>
        </w:rPr>
        <w:t>the </w:t>
      </w:r>
      <w:r>
        <w:rPr>
          <w:sz w:val="24"/>
        </w:rPr>
        <w:t>physical capabilities of the</w:t>
      </w:r>
      <w:r>
        <w:rPr>
          <w:spacing w:val="-1"/>
          <w:sz w:val="24"/>
        </w:rPr>
        <w:t> </w:t>
      </w:r>
      <w:r>
        <w:rPr>
          <w:sz w:val="24"/>
        </w:rPr>
        <w:t>equipment.</w:t>
      </w:r>
    </w:p>
    <w:p>
      <w:pPr>
        <w:pStyle w:val="Heading5"/>
        <w:rPr>
          <w:i/>
        </w:rPr>
      </w:pPr>
      <w:r>
        <w:rPr>
          <w:i/>
        </w:rPr>
        <w:t>maximum total payment</w:t>
      </w:r>
    </w:p>
    <w:p>
      <w:pPr>
        <w:pStyle w:val="BodyText"/>
        <w:ind w:left="1352" w:firstLine="0"/>
      </w:pPr>
      <w:r>
        <w:rPr/>
        <w:t>The amount determined in accordance with clause 3.15.22.</w:t>
      </w:r>
    </w:p>
    <w:p>
      <w:pPr>
        <w:pStyle w:val="Heading5"/>
        <w:rPr>
          <w:i/>
        </w:rPr>
      </w:pPr>
      <w:r>
        <w:rPr>
          <w:i/>
        </w:rPr>
        <w:t>measurement element</w:t>
      </w:r>
    </w:p>
    <w:p>
      <w:pPr>
        <w:pStyle w:val="BodyText"/>
        <w:ind w:left="1352" w:right="414" w:firstLine="0"/>
      </w:pPr>
      <w:r>
        <w:rPr/>
        <w:t>An energy measuring component which converts the flow of electricity in a power conductor into an electronic signal and / or a mechanically recorded electrical measurement.</w:t>
      </w:r>
    </w:p>
    <w:p>
      <w:pPr>
        <w:pStyle w:val="Heading5"/>
        <w:rPr>
          <w:i/>
        </w:rPr>
      </w:pPr>
      <w:r>
        <w:rPr>
          <w:i/>
        </w:rPr>
        <w:t>medium term PASA</w:t>
      </w:r>
    </w:p>
    <w:p>
      <w:pPr>
        <w:pStyle w:val="BodyText"/>
        <w:ind w:left="1352" w:right="415" w:firstLine="0"/>
      </w:pPr>
      <w:r>
        <w:rPr/>
        <w:t>The </w:t>
      </w:r>
      <w:r>
        <w:rPr>
          <w:i/>
        </w:rPr>
        <w:t>PASA </w:t>
      </w:r>
      <w:r>
        <w:rPr/>
        <w:t>in respect of the period described in clause 3.7.2(a), as described under clause 3.7.2.</w:t>
      </w:r>
    </w:p>
    <w:p>
      <w:pPr>
        <w:pStyle w:val="Heading5"/>
        <w:rPr>
          <w:i/>
        </w:rPr>
      </w:pPr>
      <w:r>
        <w:rPr>
          <w:i/>
        </w:rPr>
        <w:t>medium term PASA inputs</w:t>
      </w:r>
    </w:p>
    <w:p>
      <w:pPr>
        <w:pStyle w:val="BodyText"/>
        <w:ind w:left="1352" w:firstLine="0"/>
      </w:pPr>
      <w:r>
        <w:rPr/>
        <w:t>The inputs to be prepared in accordance with clauses 3.7.2(c) and (d).</w:t>
      </w:r>
    </w:p>
    <w:p>
      <w:pPr>
        <w:spacing w:after="0"/>
        <w:sectPr>
          <w:pgSz w:w="11910" w:h="16840"/>
          <w:pgMar w:header="686" w:footer="637" w:top="1320" w:bottom="820" w:left="1200" w:right="1000"/>
        </w:sectPr>
      </w:pPr>
    </w:p>
    <w:p>
      <w:pPr>
        <w:pStyle w:val="Heading5"/>
        <w:jc w:val="left"/>
        <w:rPr>
          <w:i/>
        </w:rPr>
      </w:pPr>
      <w:r>
        <w:rPr>
          <w:i/>
        </w:rPr>
        <w:t>Member</w:t>
      </w:r>
    </w:p>
    <w:p>
      <w:pPr>
        <w:pStyle w:val="BodyText"/>
        <w:spacing w:before="0"/>
        <w:ind w:firstLine="0"/>
        <w:jc w:val="left"/>
        <w:rPr>
          <w:b/>
          <w:i/>
          <w:sz w:val="26"/>
        </w:rPr>
      </w:pPr>
    </w:p>
    <w:p>
      <w:pPr>
        <w:pStyle w:val="BodyText"/>
        <w:spacing w:before="0"/>
        <w:ind w:firstLine="0"/>
        <w:jc w:val="left"/>
        <w:rPr>
          <w:b/>
          <w:i/>
          <w:sz w:val="26"/>
        </w:rPr>
      </w:pPr>
    </w:p>
    <w:p>
      <w:pPr>
        <w:pStyle w:val="BodyText"/>
        <w:spacing w:before="0"/>
        <w:ind w:firstLine="0"/>
        <w:jc w:val="left"/>
        <w:rPr>
          <w:b/>
          <w:i/>
          <w:sz w:val="26"/>
        </w:rPr>
      </w:pPr>
    </w:p>
    <w:p>
      <w:pPr>
        <w:pStyle w:val="BodyText"/>
        <w:spacing w:before="10"/>
        <w:ind w:firstLine="0"/>
        <w:jc w:val="left"/>
        <w:rPr>
          <w:b/>
          <w:i/>
          <w:sz w:val="38"/>
        </w:rPr>
      </w:pPr>
    </w:p>
    <w:p>
      <w:pPr>
        <w:spacing w:before="0"/>
        <w:ind w:left="218" w:right="0" w:firstLine="0"/>
        <w:jc w:val="left"/>
        <w:rPr>
          <w:b/>
          <w:i/>
          <w:sz w:val="24"/>
        </w:rPr>
      </w:pPr>
      <w:r>
        <w:rPr>
          <w:b/>
          <w:i/>
          <w:sz w:val="24"/>
        </w:rPr>
        <w:t>meter</w:t>
      </w:r>
    </w:p>
    <w:p>
      <w:pPr>
        <w:pStyle w:val="BodyText"/>
        <w:spacing w:before="0"/>
        <w:ind w:firstLine="0"/>
        <w:jc w:val="left"/>
        <w:rPr>
          <w:b/>
          <w:i/>
          <w:sz w:val="26"/>
        </w:rPr>
      </w:pPr>
      <w:r>
        <w:rPr/>
        <w:br w:type="column"/>
      </w:r>
      <w:r>
        <w:rPr>
          <w:b/>
          <w:i/>
          <w:sz w:val="26"/>
        </w:rPr>
      </w:r>
    </w:p>
    <w:p>
      <w:pPr>
        <w:spacing w:before="217"/>
        <w:ind w:left="218" w:right="413" w:firstLine="0"/>
        <w:jc w:val="both"/>
        <w:rPr>
          <w:sz w:val="24"/>
        </w:rPr>
      </w:pPr>
      <w:r>
        <w:rPr>
          <w:sz w:val="24"/>
        </w:rPr>
        <w:t>A person appointed or elected (as the case may be) to the </w:t>
      </w:r>
      <w:r>
        <w:rPr>
          <w:i/>
          <w:sz w:val="24"/>
        </w:rPr>
        <w:t>Information Exchange </w:t>
      </w:r>
      <w:r>
        <w:rPr>
          <w:i/>
          <w:sz w:val="24"/>
        </w:rPr>
        <w:t>Committee </w:t>
      </w:r>
      <w:r>
        <w:rPr>
          <w:sz w:val="24"/>
        </w:rPr>
        <w:t>pursuant to the </w:t>
      </w:r>
      <w:r>
        <w:rPr>
          <w:i/>
          <w:sz w:val="24"/>
        </w:rPr>
        <w:t>Information Exchange Committee Election Procedures </w:t>
      </w:r>
      <w:r>
        <w:rPr>
          <w:sz w:val="24"/>
        </w:rPr>
        <w:t>and </w:t>
      </w:r>
      <w:r>
        <w:rPr>
          <w:i/>
          <w:sz w:val="24"/>
        </w:rPr>
        <w:t>Rules</w:t>
      </w:r>
      <w:r>
        <w:rPr>
          <w:sz w:val="24"/>
        </w:rPr>
        <w:t>, and includes all membership categories, unless a contrary intention appears.</w:t>
      </w:r>
    </w:p>
    <w:p>
      <w:pPr>
        <w:pStyle w:val="BodyText"/>
        <w:spacing w:before="0"/>
        <w:ind w:firstLine="0"/>
        <w:jc w:val="left"/>
        <w:rPr>
          <w:sz w:val="26"/>
        </w:rPr>
      </w:pPr>
    </w:p>
    <w:p>
      <w:pPr>
        <w:spacing w:before="217"/>
        <w:ind w:left="218" w:right="415" w:firstLine="0"/>
        <w:jc w:val="both"/>
        <w:rPr>
          <w:sz w:val="24"/>
        </w:rPr>
      </w:pPr>
      <w:r>
        <w:rPr>
          <w:sz w:val="24"/>
        </w:rPr>
        <w:t>A device complying with </w:t>
      </w:r>
      <w:r>
        <w:rPr>
          <w:i/>
          <w:sz w:val="24"/>
        </w:rPr>
        <w:t>Australian Standards </w:t>
      </w:r>
      <w:r>
        <w:rPr>
          <w:sz w:val="24"/>
        </w:rPr>
        <w:t>which measures and records the production or consumption of electrical </w:t>
      </w:r>
      <w:r>
        <w:rPr>
          <w:i/>
          <w:sz w:val="24"/>
        </w:rPr>
        <w:t>energy</w:t>
      </w:r>
      <w:r>
        <w:rPr>
          <w:sz w:val="24"/>
        </w:rPr>
        <w:t>.</w:t>
      </w:r>
    </w:p>
    <w:p>
      <w:pPr>
        <w:spacing w:after="0"/>
        <w:jc w:val="both"/>
        <w:rPr>
          <w:sz w:val="24"/>
        </w:rPr>
        <w:sectPr>
          <w:type w:val="continuous"/>
          <w:pgSz w:w="11910" w:h="16840"/>
          <w:pgMar w:top="1360" w:bottom="280" w:left="1200" w:right="1000"/>
          <w:cols w:num="2" w:equalWidth="0">
            <w:col w:w="1085" w:space="49"/>
            <w:col w:w="8576"/>
          </w:cols>
        </w:sectPr>
      </w:pPr>
    </w:p>
    <w:p>
      <w:pPr>
        <w:pStyle w:val="Heading5"/>
        <w:jc w:val="left"/>
        <w:rPr>
          <w:i/>
        </w:rPr>
      </w:pPr>
      <w:r>
        <w:rPr>
          <w:i/>
        </w:rPr>
        <w:t>meter churn procedures</w:t>
      </w:r>
    </w:p>
    <w:p>
      <w:pPr>
        <w:pStyle w:val="BodyText"/>
        <w:ind w:left="1352" w:firstLine="0"/>
        <w:jc w:val="left"/>
      </w:pPr>
      <w:r>
        <w:rPr/>
        <w:t>The procedures established by </w:t>
      </w:r>
      <w:r>
        <w:rPr>
          <w:i/>
        </w:rPr>
        <w:t>AEMO </w:t>
      </w:r>
      <w:r>
        <w:rPr/>
        <w:t>under clause 7.8.9(f).</w:t>
      </w:r>
    </w:p>
    <w:p>
      <w:pPr>
        <w:pStyle w:val="Heading5"/>
        <w:jc w:val="left"/>
        <w:rPr>
          <w:i/>
        </w:rPr>
      </w:pPr>
      <w:r>
        <w:rPr>
          <w:i/>
        </w:rPr>
        <w:t>metering</w:t>
      </w:r>
    </w:p>
    <w:p>
      <w:pPr>
        <w:pStyle w:val="BodyText"/>
        <w:ind w:left="1352" w:firstLine="0"/>
        <w:jc w:val="left"/>
      </w:pPr>
      <w:r>
        <w:rPr/>
        <w:t>Recording the production or consumption of electrical </w:t>
      </w:r>
      <w:r>
        <w:rPr>
          <w:i/>
        </w:rPr>
        <w:t>energy</w:t>
      </w:r>
      <w:r>
        <w:rPr/>
        <w:t>.</w:t>
      </w:r>
    </w:p>
    <w:p>
      <w:pPr>
        <w:pStyle w:val="Heading5"/>
        <w:ind w:left="0" w:right="7089"/>
        <w:jc w:val="center"/>
        <w:rPr>
          <w:i/>
        </w:rPr>
      </w:pPr>
      <w:r>
        <w:rPr>
          <w:i/>
        </w:rPr>
        <w:t>Metering Coordinator</w:t>
      </w:r>
    </w:p>
    <w:p>
      <w:pPr>
        <w:spacing w:before="120"/>
        <w:ind w:left="924" w:right="687" w:firstLine="0"/>
        <w:jc w:val="center"/>
        <w:rPr>
          <w:sz w:val="24"/>
        </w:rPr>
      </w:pPr>
      <w:r>
        <w:rPr>
          <w:sz w:val="24"/>
        </w:rPr>
        <w:t>A person appointed to the role of </w:t>
      </w:r>
      <w:r>
        <w:rPr>
          <w:i/>
          <w:sz w:val="24"/>
        </w:rPr>
        <w:t>Metering Coordinator </w:t>
      </w:r>
      <w:r>
        <w:rPr>
          <w:sz w:val="24"/>
        </w:rPr>
        <w:t>in this jurisdiction.</w:t>
      </w:r>
    </w:p>
    <w:p>
      <w:pPr>
        <w:spacing w:after="0"/>
        <w:jc w:val="center"/>
        <w:rPr>
          <w:sz w:val="24"/>
        </w:rPr>
        <w:sectPr>
          <w:type w:val="continuous"/>
          <w:pgSz w:w="11910" w:h="16840"/>
          <w:pgMar w:top="1360" w:bottom="280" w:left="1200" w:right="1000"/>
        </w:sectPr>
      </w:pPr>
    </w:p>
    <w:p>
      <w:pPr>
        <w:pStyle w:val="Heading5"/>
        <w:spacing w:before="83"/>
        <w:rPr>
          <w:i/>
        </w:rPr>
      </w:pPr>
      <w:r>
        <w:rPr>
          <w:i/>
        </w:rPr>
        <w:t>Metering Coordinator default event</w:t>
      </w:r>
    </w:p>
    <w:p>
      <w:pPr>
        <w:spacing w:before="120"/>
        <w:ind w:left="1352" w:right="415" w:firstLine="0"/>
        <w:jc w:val="both"/>
        <w:rPr>
          <w:sz w:val="24"/>
        </w:rPr>
      </w:pPr>
      <w:r>
        <w:rPr>
          <w:sz w:val="24"/>
        </w:rPr>
        <w:t>In relation to a </w:t>
      </w:r>
      <w:r>
        <w:rPr>
          <w:i/>
          <w:sz w:val="24"/>
        </w:rPr>
        <w:t>Metering Coordinator</w:t>
      </w:r>
      <w:r>
        <w:rPr>
          <w:sz w:val="24"/>
        </w:rPr>
        <w:t>, means any of the following events or  circumstances:</w:t>
      </w:r>
    </w:p>
    <w:p>
      <w:pPr>
        <w:pStyle w:val="ListParagraph"/>
        <w:numPr>
          <w:ilvl w:val="0"/>
          <w:numId w:val="765"/>
        </w:numPr>
        <w:tabs>
          <w:tab w:pos="1919" w:val="left" w:leader="none"/>
        </w:tabs>
        <w:spacing w:line="240" w:lineRule="auto" w:before="120" w:after="0"/>
        <w:ind w:left="1919" w:right="415" w:hanging="567"/>
        <w:jc w:val="both"/>
        <w:rPr>
          <w:sz w:val="24"/>
        </w:rPr>
      </w:pPr>
      <w:r>
        <w:rPr>
          <w:sz w:val="24"/>
        </w:rPr>
        <w:t>the </w:t>
      </w:r>
      <w:r>
        <w:rPr>
          <w:i/>
          <w:sz w:val="24"/>
        </w:rPr>
        <w:t>Metering Coordinator </w:t>
      </w:r>
      <w:r>
        <w:rPr>
          <w:sz w:val="24"/>
        </w:rPr>
        <w:t>ceases to be registered by </w:t>
      </w:r>
      <w:r>
        <w:rPr>
          <w:i/>
          <w:sz w:val="24"/>
        </w:rPr>
        <w:t>AEMO </w:t>
      </w:r>
      <w:r>
        <w:rPr>
          <w:sz w:val="24"/>
        </w:rPr>
        <w:t>as a </w:t>
      </w:r>
      <w:r>
        <w:rPr>
          <w:i/>
          <w:sz w:val="24"/>
        </w:rPr>
        <w:t>Metering </w:t>
      </w:r>
      <w:r>
        <w:rPr>
          <w:i/>
          <w:sz w:val="24"/>
        </w:rPr>
        <w:t>Coordinator </w:t>
      </w:r>
      <w:r>
        <w:rPr>
          <w:sz w:val="24"/>
        </w:rPr>
        <w:t>under Chapter</w:t>
      </w:r>
      <w:r>
        <w:rPr>
          <w:spacing w:val="-1"/>
          <w:sz w:val="24"/>
        </w:rPr>
        <w:t> </w:t>
      </w:r>
      <w:r>
        <w:rPr>
          <w:sz w:val="24"/>
        </w:rPr>
        <w:t>2;</w:t>
      </w:r>
    </w:p>
    <w:p>
      <w:pPr>
        <w:pStyle w:val="ListParagraph"/>
        <w:numPr>
          <w:ilvl w:val="0"/>
          <w:numId w:val="765"/>
        </w:numPr>
        <w:tabs>
          <w:tab w:pos="1919" w:val="left" w:leader="none"/>
        </w:tabs>
        <w:spacing w:line="240" w:lineRule="auto" w:before="120" w:after="0"/>
        <w:ind w:left="1919" w:right="415" w:hanging="567"/>
        <w:jc w:val="both"/>
        <w:rPr>
          <w:sz w:val="24"/>
        </w:rPr>
      </w:pPr>
      <w:r>
        <w:rPr>
          <w:sz w:val="24"/>
        </w:rPr>
        <w:t>an </w:t>
      </w:r>
      <w:r>
        <w:rPr>
          <w:i/>
          <w:sz w:val="24"/>
        </w:rPr>
        <w:t>insolvency official </w:t>
      </w:r>
      <w:r>
        <w:rPr>
          <w:sz w:val="24"/>
        </w:rPr>
        <w:t>is appointed in respect of the </w:t>
      </w:r>
      <w:r>
        <w:rPr>
          <w:i/>
          <w:sz w:val="24"/>
        </w:rPr>
        <w:t>Metering Coordinator </w:t>
      </w:r>
      <w:r>
        <w:rPr>
          <w:sz w:val="24"/>
        </w:rPr>
        <w:t>or any property of the </w:t>
      </w:r>
      <w:r>
        <w:rPr>
          <w:i/>
          <w:sz w:val="24"/>
        </w:rPr>
        <w:t>Metering Coordinator</w:t>
      </w:r>
      <w:r>
        <w:rPr>
          <w:sz w:val="24"/>
        </w:rPr>
        <w:t>;</w:t>
      </w:r>
      <w:r>
        <w:rPr>
          <w:spacing w:val="-2"/>
          <w:sz w:val="24"/>
        </w:rPr>
        <w:t> </w:t>
      </w:r>
      <w:r>
        <w:rPr>
          <w:sz w:val="24"/>
        </w:rPr>
        <w:t>or</w:t>
      </w:r>
    </w:p>
    <w:p>
      <w:pPr>
        <w:pStyle w:val="ListParagraph"/>
        <w:numPr>
          <w:ilvl w:val="0"/>
          <w:numId w:val="765"/>
        </w:numPr>
        <w:tabs>
          <w:tab w:pos="1919" w:val="left" w:leader="none"/>
        </w:tabs>
        <w:spacing w:line="240" w:lineRule="auto" w:before="120" w:after="0"/>
        <w:ind w:left="1919" w:right="415" w:hanging="567"/>
        <w:jc w:val="both"/>
        <w:rPr>
          <w:sz w:val="24"/>
        </w:rPr>
      </w:pPr>
      <w:r>
        <w:rPr>
          <w:sz w:val="24"/>
        </w:rPr>
        <w:t>an order is made for the winding up of the </w:t>
      </w:r>
      <w:r>
        <w:rPr>
          <w:i/>
          <w:sz w:val="24"/>
        </w:rPr>
        <w:t>Metering Coordinator </w:t>
      </w:r>
      <w:r>
        <w:rPr>
          <w:sz w:val="24"/>
        </w:rPr>
        <w:t>or a resolution is passed for the winding up of </w:t>
      </w:r>
      <w:r>
        <w:rPr>
          <w:i/>
          <w:sz w:val="24"/>
        </w:rPr>
        <w:t>Metering Coordinator</w:t>
      </w:r>
      <w:r>
        <w:rPr>
          <w:sz w:val="24"/>
        </w:rPr>
        <w:t>;</w:t>
      </w:r>
      <w:r>
        <w:rPr>
          <w:spacing w:val="-8"/>
          <w:sz w:val="24"/>
        </w:rPr>
        <w:t> </w:t>
      </w:r>
      <w:r>
        <w:rPr>
          <w:sz w:val="24"/>
        </w:rPr>
        <w:t>or</w:t>
      </w:r>
    </w:p>
    <w:p>
      <w:pPr>
        <w:pStyle w:val="ListParagraph"/>
        <w:numPr>
          <w:ilvl w:val="0"/>
          <w:numId w:val="765"/>
        </w:numPr>
        <w:tabs>
          <w:tab w:pos="1919" w:val="left" w:leader="none"/>
        </w:tabs>
        <w:spacing w:line="240" w:lineRule="auto" w:before="120" w:after="0"/>
        <w:ind w:left="1919" w:right="415" w:hanging="567"/>
        <w:jc w:val="both"/>
        <w:rPr>
          <w:sz w:val="24"/>
        </w:rPr>
      </w:pPr>
      <w:r>
        <w:rPr>
          <w:sz w:val="24"/>
        </w:rPr>
        <w:t>a breach of the </w:t>
      </w:r>
      <w:r>
        <w:rPr>
          <w:i/>
          <w:sz w:val="24"/>
        </w:rPr>
        <w:t>Rules </w:t>
      </w:r>
      <w:r>
        <w:rPr>
          <w:sz w:val="24"/>
        </w:rPr>
        <w:t>or applicable procedures made under the </w:t>
      </w:r>
      <w:r>
        <w:rPr>
          <w:i/>
          <w:sz w:val="24"/>
        </w:rPr>
        <w:t>Rules </w:t>
      </w:r>
      <w:r>
        <w:rPr>
          <w:sz w:val="24"/>
        </w:rPr>
        <w:t>in relation to which </w:t>
      </w:r>
      <w:r>
        <w:rPr>
          <w:i/>
          <w:sz w:val="24"/>
        </w:rPr>
        <w:t>AEMO </w:t>
      </w:r>
      <w:r>
        <w:rPr>
          <w:sz w:val="24"/>
        </w:rPr>
        <w:t>has issued a </w:t>
      </w:r>
      <w:r>
        <w:rPr>
          <w:i/>
          <w:sz w:val="24"/>
        </w:rPr>
        <w:t>Metering Coordinator default notice </w:t>
      </w:r>
      <w:r>
        <w:rPr>
          <w:sz w:val="24"/>
        </w:rPr>
        <w:t>under clause</w:t>
      </w:r>
      <w:r>
        <w:rPr>
          <w:spacing w:val="-2"/>
          <w:sz w:val="24"/>
        </w:rPr>
        <w:t> </w:t>
      </w:r>
      <w:r>
        <w:rPr>
          <w:sz w:val="24"/>
        </w:rPr>
        <w:t>7.7.3(c)(3).</w:t>
      </w:r>
    </w:p>
    <w:p>
      <w:pPr>
        <w:pStyle w:val="Heading5"/>
        <w:rPr>
          <w:i/>
        </w:rPr>
      </w:pPr>
      <w:r>
        <w:rPr>
          <w:i/>
        </w:rPr>
        <w:t>Metering Coordinator default notice</w:t>
      </w:r>
    </w:p>
    <w:p>
      <w:pPr>
        <w:pStyle w:val="BodyText"/>
        <w:ind w:left="1352" w:firstLine="0"/>
      </w:pPr>
      <w:r>
        <w:rPr/>
        <w:t>A notice issued by </w:t>
      </w:r>
      <w:r>
        <w:rPr>
          <w:i/>
        </w:rPr>
        <w:t>AEMO </w:t>
      </w:r>
      <w:r>
        <w:rPr/>
        <w:t>under clause 7.7.3(c)(3).</w:t>
      </w:r>
    </w:p>
    <w:p>
      <w:pPr>
        <w:pStyle w:val="Heading5"/>
        <w:rPr>
          <w:i/>
        </w:rPr>
      </w:pPr>
      <w:r>
        <w:rPr>
          <w:i/>
        </w:rPr>
        <w:t>metering data</w:t>
      </w:r>
    </w:p>
    <w:p>
      <w:pPr>
        <w:spacing w:before="120"/>
        <w:ind w:left="1352" w:right="416" w:firstLine="0"/>
        <w:jc w:val="both"/>
        <w:rPr>
          <w:sz w:val="24"/>
        </w:rPr>
      </w:pPr>
      <w:r>
        <w:rPr>
          <w:i/>
          <w:sz w:val="24"/>
        </w:rPr>
        <w:t>Accumulated metering data</w:t>
      </w:r>
      <w:r>
        <w:rPr>
          <w:sz w:val="24"/>
        </w:rPr>
        <w:t>, </w:t>
      </w:r>
      <w:r>
        <w:rPr>
          <w:i/>
          <w:sz w:val="24"/>
        </w:rPr>
        <w:t>interval metering data</w:t>
      </w:r>
      <w:r>
        <w:rPr>
          <w:sz w:val="24"/>
        </w:rPr>
        <w:t>, </w:t>
      </w:r>
      <w:r>
        <w:rPr>
          <w:i/>
          <w:sz w:val="24"/>
        </w:rPr>
        <w:t>calculated metering data</w:t>
      </w:r>
      <w:r>
        <w:rPr>
          <w:sz w:val="24"/>
        </w:rPr>
        <w:t>, </w:t>
      </w:r>
      <w:r>
        <w:rPr>
          <w:i/>
          <w:sz w:val="24"/>
        </w:rPr>
        <w:t>substituted metering data</w:t>
      </w:r>
      <w:r>
        <w:rPr>
          <w:sz w:val="24"/>
        </w:rPr>
        <w:t>, </w:t>
      </w:r>
      <w:r>
        <w:rPr>
          <w:i/>
          <w:sz w:val="24"/>
        </w:rPr>
        <w:t>estimated metering data </w:t>
      </w:r>
      <w:r>
        <w:rPr>
          <w:sz w:val="24"/>
        </w:rPr>
        <w:t>and </w:t>
      </w:r>
      <w:r>
        <w:rPr>
          <w:i/>
          <w:sz w:val="24"/>
        </w:rPr>
        <w:t>check metering data</w:t>
      </w:r>
      <w:r>
        <w:rPr>
          <w:sz w:val="24"/>
        </w:rPr>
        <w:t>.</w:t>
      </w:r>
    </w:p>
    <w:p>
      <w:pPr>
        <w:pStyle w:val="Heading5"/>
        <w:rPr>
          <w:i/>
        </w:rPr>
      </w:pPr>
      <w:r>
        <w:rPr>
          <w:i/>
        </w:rPr>
        <w:t>Metering Data Provider</w:t>
      </w:r>
    </w:p>
    <w:p>
      <w:pPr>
        <w:spacing w:before="120"/>
        <w:ind w:left="1352" w:right="0" w:firstLine="0"/>
        <w:jc w:val="both"/>
        <w:rPr>
          <w:sz w:val="24"/>
        </w:rPr>
      </w:pPr>
      <w:r>
        <w:rPr>
          <w:sz w:val="24"/>
        </w:rPr>
        <w:t>A person appointed to be a </w:t>
      </w:r>
      <w:r>
        <w:rPr>
          <w:i/>
          <w:sz w:val="24"/>
        </w:rPr>
        <w:t>Metering Data Provider </w:t>
      </w:r>
      <w:r>
        <w:rPr>
          <w:sz w:val="24"/>
        </w:rPr>
        <w:t>for a </w:t>
      </w:r>
      <w:r>
        <w:rPr>
          <w:i/>
          <w:sz w:val="24"/>
        </w:rPr>
        <w:t>connection point</w:t>
      </w:r>
      <w:r>
        <w:rPr>
          <w:sz w:val="24"/>
        </w:rPr>
        <w:t>.</w:t>
      </w:r>
    </w:p>
    <w:p>
      <w:pPr>
        <w:pStyle w:val="Heading5"/>
        <w:rPr>
          <w:i/>
        </w:rPr>
      </w:pPr>
      <w:r>
        <w:rPr>
          <w:i/>
        </w:rPr>
        <w:t>metering data services</w:t>
      </w:r>
    </w:p>
    <w:p>
      <w:pPr>
        <w:pStyle w:val="BodyText"/>
        <w:ind w:left="1352" w:right="415" w:firstLine="0"/>
      </w:pPr>
      <w:r>
        <w:rPr/>
        <w:t>The services that involve the collection, processing, storage and delivery of </w:t>
      </w:r>
      <w:r>
        <w:rPr>
          <w:i/>
        </w:rPr>
        <w:t>metering data </w:t>
      </w:r>
      <w:r>
        <w:rPr/>
        <w:t>and the management of relevant </w:t>
      </w:r>
      <w:r>
        <w:rPr>
          <w:i/>
        </w:rPr>
        <w:t>NT NMI Data </w:t>
      </w:r>
      <w:r>
        <w:rPr/>
        <w:t>in accordance with the </w:t>
      </w:r>
      <w:r>
        <w:rPr>
          <w:i/>
        </w:rPr>
        <w:t>Rules</w:t>
      </w:r>
      <w:r>
        <w:rPr/>
        <w:t>.</w:t>
      </w:r>
    </w:p>
    <w:p>
      <w:pPr>
        <w:pStyle w:val="Heading5"/>
        <w:rPr>
          <w:i/>
        </w:rPr>
      </w:pPr>
      <w:r>
        <w:rPr>
          <w:i/>
        </w:rPr>
        <w:t>metering data provision procedures</w:t>
      </w:r>
    </w:p>
    <w:p>
      <w:pPr>
        <w:spacing w:before="120"/>
        <w:ind w:left="1352" w:right="418" w:firstLine="0"/>
        <w:jc w:val="both"/>
        <w:rPr>
          <w:sz w:val="24"/>
        </w:rPr>
      </w:pPr>
      <w:r>
        <w:rPr>
          <w:sz w:val="24"/>
        </w:rPr>
        <w:t>Procedures for the provision of </w:t>
      </w:r>
      <w:r>
        <w:rPr>
          <w:i/>
          <w:sz w:val="24"/>
        </w:rPr>
        <w:t>metering data </w:t>
      </w:r>
      <w:r>
        <w:rPr>
          <w:sz w:val="24"/>
        </w:rPr>
        <w:t>requested under rule 7.14, developed and </w:t>
      </w:r>
      <w:r>
        <w:rPr>
          <w:i/>
          <w:sz w:val="24"/>
        </w:rPr>
        <w:t>published </w:t>
      </w:r>
      <w:r>
        <w:rPr>
          <w:sz w:val="24"/>
        </w:rPr>
        <w:t>by</w:t>
      </w:r>
      <w:r>
        <w:rPr>
          <w:spacing w:val="-1"/>
          <w:sz w:val="24"/>
        </w:rPr>
        <w:t> </w:t>
      </w:r>
      <w:r>
        <w:rPr>
          <w:i/>
          <w:sz w:val="24"/>
        </w:rPr>
        <w:t>AEMO</w:t>
      </w:r>
      <w:r>
        <w:rPr>
          <w:sz w:val="24"/>
        </w:rPr>
        <w:t>.</w:t>
      </w:r>
    </w:p>
    <w:p>
      <w:pPr>
        <w:pStyle w:val="Heading5"/>
        <w:rPr>
          <w:i/>
        </w:rPr>
      </w:pPr>
      <w:r>
        <w:rPr>
          <w:i/>
        </w:rPr>
        <w:t>metering data services database</w:t>
      </w:r>
    </w:p>
    <w:p>
      <w:pPr>
        <w:spacing w:before="120"/>
        <w:ind w:left="1352" w:right="414" w:firstLine="0"/>
        <w:jc w:val="both"/>
        <w:rPr>
          <w:sz w:val="24"/>
        </w:rPr>
      </w:pPr>
      <w:r>
        <w:rPr>
          <w:sz w:val="24"/>
        </w:rPr>
        <w:t>The database established and maintained by the </w:t>
      </w:r>
      <w:r>
        <w:rPr>
          <w:i/>
          <w:sz w:val="24"/>
        </w:rPr>
        <w:t>Metering Data Provider </w:t>
      </w:r>
      <w:r>
        <w:rPr>
          <w:sz w:val="24"/>
        </w:rPr>
        <w:t>that holds </w:t>
      </w:r>
      <w:r>
        <w:rPr>
          <w:i/>
          <w:sz w:val="24"/>
        </w:rPr>
        <w:t>metering data </w:t>
      </w:r>
      <w:r>
        <w:rPr>
          <w:sz w:val="24"/>
        </w:rPr>
        <w:t>and </w:t>
      </w:r>
      <w:r>
        <w:rPr>
          <w:i/>
          <w:sz w:val="24"/>
        </w:rPr>
        <w:t>NT NMI data </w:t>
      </w:r>
      <w:r>
        <w:rPr>
          <w:sz w:val="24"/>
        </w:rPr>
        <w:t>relating to each </w:t>
      </w:r>
      <w:r>
        <w:rPr>
          <w:i/>
          <w:sz w:val="24"/>
        </w:rPr>
        <w:t>metering installation </w:t>
      </w:r>
      <w:r>
        <w:rPr>
          <w:sz w:val="24"/>
        </w:rPr>
        <w:t>for which the </w:t>
      </w:r>
      <w:r>
        <w:rPr>
          <w:i/>
          <w:sz w:val="24"/>
        </w:rPr>
        <w:t>Metering Coordinator </w:t>
      </w:r>
      <w:r>
        <w:rPr>
          <w:sz w:val="24"/>
        </w:rPr>
        <w:t>has appointed the </w:t>
      </w:r>
      <w:r>
        <w:rPr>
          <w:i/>
          <w:sz w:val="24"/>
        </w:rPr>
        <w:t>Metering Data Provider </w:t>
      </w:r>
      <w:r>
        <w:rPr>
          <w:sz w:val="24"/>
        </w:rPr>
        <w:t>to provide </w:t>
      </w:r>
      <w:r>
        <w:rPr>
          <w:i/>
          <w:sz w:val="24"/>
        </w:rPr>
        <w:t>metering data</w:t>
      </w:r>
      <w:r>
        <w:rPr>
          <w:i/>
          <w:spacing w:val="-1"/>
          <w:sz w:val="24"/>
        </w:rPr>
        <w:t> </w:t>
      </w:r>
      <w:r>
        <w:rPr>
          <w:i/>
          <w:sz w:val="24"/>
        </w:rPr>
        <w:t>services</w:t>
      </w:r>
      <w:r>
        <w:rPr>
          <w:sz w:val="24"/>
        </w:rPr>
        <w:t>.</w:t>
      </w:r>
    </w:p>
    <w:p>
      <w:pPr>
        <w:pStyle w:val="Heading5"/>
        <w:rPr>
          <w:i/>
        </w:rPr>
      </w:pPr>
      <w:r>
        <w:rPr>
          <w:i/>
        </w:rPr>
        <w:t>metering database</w:t>
      </w:r>
    </w:p>
    <w:p>
      <w:pPr>
        <w:spacing w:before="120"/>
        <w:ind w:left="1352" w:right="416" w:firstLine="0"/>
        <w:jc w:val="both"/>
        <w:rPr>
          <w:sz w:val="24"/>
        </w:rPr>
      </w:pPr>
      <w:r>
        <w:rPr>
          <w:sz w:val="24"/>
        </w:rPr>
        <w:t>A database of </w:t>
      </w:r>
      <w:r>
        <w:rPr>
          <w:i/>
          <w:sz w:val="24"/>
        </w:rPr>
        <w:t>metering data </w:t>
      </w:r>
      <w:r>
        <w:rPr>
          <w:sz w:val="24"/>
        </w:rPr>
        <w:t>and </w:t>
      </w:r>
      <w:r>
        <w:rPr>
          <w:i/>
          <w:sz w:val="24"/>
        </w:rPr>
        <w:t>settlements ready data </w:t>
      </w:r>
      <w:r>
        <w:rPr>
          <w:sz w:val="24"/>
        </w:rPr>
        <w:t>maintained and administered by </w:t>
      </w:r>
      <w:r>
        <w:rPr>
          <w:i/>
          <w:sz w:val="24"/>
        </w:rPr>
        <w:t>AEMO </w:t>
      </w:r>
      <w:r>
        <w:rPr>
          <w:sz w:val="24"/>
        </w:rPr>
        <w:t>in accordance with clause 7.11.</w:t>
      </w:r>
    </w:p>
    <w:p>
      <w:pPr>
        <w:pStyle w:val="Heading5"/>
        <w:rPr>
          <w:i/>
        </w:rPr>
      </w:pPr>
      <w:r>
        <w:rPr>
          <w:i/>
        </w:rPr>
        <w:t>metering installation</w:t>
      </w:r>
    </w:p>
    <w:p>
      <w:pPr>
        <w:spacing w:before="120"/>
        <w:ind w:left="1352" w:right="414" w:firstLine="0"/>
        <w:jc w:val="both"/>
        <w:rPr>
          <w:sz w:val="24"/>
        </w:rPr>
      </w:pPr>
      <w:r>
        <w:rPr>
          <w:sz w:val="24"/>
        </w:rPr>
        <w:t>The assembly of components including the </w:t>
      </w:r>
      <w:r>
        <w:rPr>
          <w:i/>
          <w:sz w:val="24"/>
        </w:rPr>
        <w:t>instrument transformer</w:t>
      </w:r>
      <w:r>
        <w:rPr>
          <w:sz w:val="24"/>
        </w:rPr>
        <w:t>, if any, measurement element(s) and processes, if any, recording and display equipment, </w:t>
      </w:r>
      <w:r>
        <w:rPr>
          <w:i/>
          <w:sz w:val="24"/>
        </w:rPr>
        <w:t>communications interface</w:t>
      </w:r>
      <w:r>
        <w:rPr>
          <w:sz w:val="24"/>
        </w:rPr>
        <w:t>, if any, that are controlled for the purpose of metrology and which lie between the </w:t>
      </w:r>
      <w:r>
        <w:rPr>
          <w:i/>
          <w:sz w:val="24"/>
        </w:rPr>
        <w:t>metering point(s) </w:t>
      </w:r>
      <w:r>
        <w:rPr>
          <w:sz w:val="24"/>
        </w:rPr>
        <w:t>and the point at or near the </w:t>
      </w:r>
      <w:r>
        <w:rPr>
          <w:i/>
          <w:sz w:val="24"/>
        </w:rPr>
        <w:t>metering </w:t>
      </w:r>
      <w:r>
        <w:rPr>
          <w:i/>
          <w:sz w:val="24"/>
        </w:rPr>
        <w:t>point(s) </w:t>
      </w:r>
      <w:r>
        <w:rPr>
          <w:sz w:val="24"/>
        </w:rPr>
        <w:t>where the </w:t>
      </w:r>
      <w:r>
        <w:rPr>
          <w:i/>
          <w:sz w:val="24"/>
        </w:rPr>
        <w:t>energy data </w:t>
      </w:r>
      <w:r>
        <w:rPr>
          <w:sz w:val="24"/>
        </w:rPr>
        <w:t>is made available for collection.</w:t>
      </w:r>
    </w:p>
    <w:p>
      <w:pPr>
        <w:spacing w:after="0"/>
        <w:jc w:val="both"/>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pStyle w:val="ListParagraph"/>
        <w:numPr>
          <w:ilvl w:val="0"/>
          <w:numId w:val="766"/>
        </w:numPr>
        <w:tabs>
          <w:tab w:pos="1658" w:val="left" w:leader="none"/>
        </w:tabs>
        <w:spacing w:line="240" w:lineRule="auto" w:before="120" w:after="0"/>
        <w:ind w:left="1352" w:right="415" w:firstLine="0"/>
        <w:jc w:val="left"/>
        <w:rPr>
          <w:sz w:val="20"/>
        </w:rPr>
      </w:pPr>
      <w:r>
        <w:rPr>
          <w:sz w:val="20"/>
        </w:rPr>
        <w:t>The assembly of components may include the combination of several </w:t>
      </w:r>
      <w:r>
        <w:rPr>
          <w:i/>
          <w:sz w:val="20"/>
        </w:rPr>
        <w:t>metering points </w:t>
      </w:r>
      <w:r>
        <w:rPr>
          <w:sz w:val="20"/>
        </w:rPr>
        <w:t>to derive the </w:t>
      </w:r>
      <w:r>
        <w:rPr>
          <w:i/>
          <w:sz w:val="20"/>
        </w:rPr>
        <w:t>metering data </w:t>
      </w:r>
      <w:r>
        <w:rPr>
          <w:sz w:val="20"/>
        </w:rPr>
        <w:t>for a </w:t>
      </w:r>
      <w:r>
        <w:rPr>
          <w:i/>
          <w:sz w:val="20"/>
        </w:rPr>
        <w:t>connection</w:t>
      </w:r>
      <w:r>
        <w:rPr>
          <w:i/>
          <w:spacing w:val="-1"/>
          <w:sz w:val="20"/>
        </w:rPr>
        <w:t> </w:t>
      </w:r>
      <w:r>
        <w:rPr>
          <w:i/>
          <w:sz w:val="20"/>
        </w:rPr>
        <w:t>point</w:t>
      </w:r>
      <w:r>
        <w:rPr>
          <w:sz w:val="20"/>
        </w:rPr>
        <w:t>.</w:t>
      </w:r>
    </w:p>
    <w:p>
      <w:pPr>
        <w:pStyle w:val="ListParagraph"/>
        <w:numPr>
          <w:ilvl w:val="0"/>
          <w:numId w:val="766"/>
        </w:numPr>
        <w:tabs>
          <w:tab w:pos="1658" w:val="left" w:leader="none"/>
        </w:tabs>
        <w:spacing w:line="240" w:lineRule="auto" w:before="120" w:after="0"/>
        <w:ind w:left="1352" w:right="414" w:firstLine="0"/>
        <w:jc w:val="left"/>
        <w:rPr>
          <w:sz w:val="20"/>
        </w:rPr>
      </w:pPr>
      <w:r>
        <w:rPr>
          <w:sz w:val="20"/>
        </w:rPr>
        <w:t>The </w:t>
      </w:r>
      <w:r>
        <w:rPr>
          <w:i/>
          <w:sz w:val="20"/>
        </w:rPr>
        <w:t>metering installation </w:t>
      </w:r>
      <w:r>
        <w:rPr>
          <w:sz w:val="20"/>
        </w:rPr>
        <w:t>must be classified as being for revenue purposes and/or as a </w:t>
      </w:r>
      <w:r>
        <w:rPr>
          <w:i/>
          <w:sz w:val="20"/>
        </w:rPr>
        <w:t>check </w:t>
      </w:r>
      <w:r>
        <w:rPr>
          <w:i/>
          <w:sz w:val="20"/>
        </w:rPr>
        <w:t>metering</w:t>
      </w:r>
      <w:r>
        <w:rPr>
          <w:i/>
          <w:spacing w:val="-2"/>
          <w:sz w:val="20"/>
        </w:rPr>
        <w:t> </w:t>
      </w:r>
      <w:r>
        <w:rPr>
          <w:i/>
          <w:sz w:val="20"/>
        </w:rPr>
        <w:t>installation</w:t>
      </w:r>
      <w:r>
        <w:rPr>
          <w:sz w:val="20"/>
        </w:rPr>
        <w:t>.</w:t>
      </w:r>
    </w:p>
    <w:p>
      <w:pPr>
        <w:pStyle w:val="Heading5"/>
        <w:jc w:val="left"/>
        <w:rPr>
          <w:i/>
        </w:rPr>
      </w:pPr>
      <w:r>
        <w:rPr>
          <w:i/>
        </w:rPr>
        <w:t>metering installation malfunction</w:t>
      </w:r>
    </w:p>
    <w:p>
      <w:pPr>
        <w:spacing w:before="120"/>
        <w:ind w:left="1352" w:right="0" w:firstLine="0"/>
        <w:jc w:val="left"/>
        <w:rPr>
          <w:sz w:val="24"/>
        </w:rPr>
      </w:pPr>
      <w:r>
        <w:rPr>
          <w:sz w:val="24"/>
        </w:rPr>
        <w:t>The full or partial failure of the </w:t>
      </w:r>
      <w:r>
        <w:rPr>
          <w:i/>
          <w:sz w:val="24"/>
        </w:rPr>
        <w:t>metering installation </w:t>
      </w:r>
      <w:r>
        <w:rPr>
          <w:sz w:val="24"/>
        </w:rPr>
        <w:t>in which the </w:t>
      </w:r>
      <w:r>
        <w:rPr>
          <w:i/>
          <w:sz w:val="24"/>
        </w:rPr>
        <w:t>metering </w:t>
      </w:r>
      <w:r>
        <w:rPr>
          <w:i/>
          <w:sz w:val="24"/>
        </w:rPr>
        <w:t>installation</w:t>
      </w:r>
      <w:r>
        <w:rPr>
          <w:sz w:val="24"/>
        </w:rPr>
        <w:t>:</w:t>
      </w:r>
    </w:p>
    <w:p>
      <w:pPr>
        <w:pStyle w:val="ListParagraph"/>
        <w:numPr>
          <w:ilvl w:val="0"/>
          <w:numId w:val="767"/>
        </w:numPr>
        <w:tabs>
          <w:tab w:pos="1918" w:val="left" w:leader="none"/>
          <w:tab w:pos="1919" w:val="left" w:leader="none"/>
        </w:tabs>
        <w:spacing w:line="240" w:lineRule="auto" w:before="120" w:after="0"/>
        <w:ind w:left="1918" w:right="0" w:hanging="567"/>
        <w:jc w:val="left"/>
        <w:rPr>
          <w:sz w:val="24"/>
        </w:rPr>
      </w:pPr>
      <w:r>
        <w:rPr>
          <w:sz w:val="24"/>
        </w:rPr>
        <w:t>does not meet the requirements of schedule</w:t>
      </w:r>
      <w:r>
        <w:rPr>
          <w:spacing w:val="-1"/>
          <w:sz w:val="24"/>
        </w:rPr>
        <w:t> </w:t>
      </w:r>
      <w:r>
        <w:rPr>
          <w:sz w:val="24"/>
        </w:rPr>
        <w:t>7A.4;</w:t>
      </w:r>
    </w:p>
    <w:p>
      <w:pPr>
        <w:pStyle w:val="ListParagraph"/>
        <w:numPr>
          <w:ilvl w:val="0"/>
          <w:numId w:val="767"/>
        </w:numPr>
        <w:tabs>
          <w:tab w:pos="1918" w:val="left" w:leader="none"/>
          <w:tab w:pos="1919" w:val="left" w:leader="none"/>
        </w:tabs>
        <w:spacing w:line="240" w:lineRule="auto" w:before="120" w:after="0"/>
        <w:ind w:left="1918" w:right="0" w:hanging="567"/>
        <w:jc w:val="left"/>
        <w:rPr>
          <w:sz w:val="24"/>
        </w:rPr>
      </w:pPr>
      <w:r>
        <w:rPr>
          <w:sz w:val="24"/>
        </w:rPr>
        <w:t>does not record, or incorrectly records, </w:t>
      </w:r>
      <w:r>
        <w:rPr>
          <w:i/>
          <w:sz w:val="24"/>
        </w:rPr>
        <w:t>energy data</w:t>
      </w:r>
      <w:r>
        <w:rPr>
          <w:sz w:val="24"/>
        </w:rPr>
        <w:t>;</w:t>
      </w:r>
      <w:r>
        <w:rPr>
          <w:spacing w:val="-1"/>
          <w:sz w:val="24"/>
        </w:rPr>
        <w:t> </w:t>
      </w:r>
      <w:r>
        <w:rPr>
          <w:sz w:val="24"/>
        </w:rPr>
        <w:t>or</w:t>
      </w:r>
    </w:p>
    <w:p>
      <w:pPr>
        <w:pStyle w:val="ListParagraph"/>
        <w:numPr>
          <w:ilvl w:val="0"/>
          <w:numId w:val="767"/>
        </w:numPr>
        <w:tabs>
          <w:tab w:pos="1918" w:val="left" w:leader="none"/>
          <w:tab w:pos="1919" w:val="left" w:leader="none"/>
        </w:tabs>
        <w:spacing w:line="240" w:lineRule="auto" w:before="120" w:after="0"/>
        <w:ind w:left="1918" w:right="0" w:hanging="567"/>
        <w:jc w:val="left"/>
        <w:rPr>
          <w:sz w:val="24"/>
        </w:rPr>
      </w:pPr>
      <w:r>
        <w:rPr>
          <w:sz w:val="24"/>
        </w:rPr>
        <w:t>does not allow, or provide for, collection of </w:t>
      </w:r>
      <w:r>
        <w:rPr>
          <w:i/>
          <w:sz w:val="24"/>
        </w:rPr>
        <w:t>energy</w:t>
      </w:r>
      <w:r>
        <w:rPr>
          <w:i/>
          <w:spacing w:val="-2"/>
          <w:sz w:val="24"/>
        </w:rPr>
        <w:t> </w:t>
      </w:r>
      <w:r>
        <w:rPr>
          <w:i/>
          <w:sz w:val="24"/>
        </w:rPr>
        <w:t>data</w:t>
      </w:r>
      <w:r>
        <w:rPr>
          <w:sz w:val="24"/>
        </w:rPr>
        <w:t>.</w:t>
      </w:r>
    </w:p>
    <w:p>
      <w:pPr>
        <w:pStyle w:val="Heading5"/>
        <w:jc w:val="left"/>
        <w:rPr>
          <w:i/>
        </w:rPr>
      </w:pPr>
      <w:r>
        <w:rPr>
          <w:i/>
        </w:rPr>
        <w:t>Metering Member</w:t>
      </w:r>
    </w:p>
    <w:p>
      <w:pPr>
        <w:spacing w:before="120"/>
        <w:ind w:left="1352" w:right="415" w:firstLine="0"/>
        <w:jc w:val="both"/>
        <w:rPr>
          <w:sz w:val="24"/>
        </w:rPr>
      </w:pPr>
      <w:r>
        <w:rPr>
          <w:sz w:val="24"/>
        </w:rPr>
        <w:t>A person nominated and elected as a </w:t>
      </w:r>
      <w:r>
        <w:rPr>
          <w:i/>
          <w:sz w:val="24"/>
        </w:rPr>
        <w:t>Member </w:t>
      </w:r>
      <w:r>
        <w:rPr>
          <w:sz w:val="24"/>
        </w:rPr>
        <w:t>by </w:t>
      </w:r>
      <w:r>
        <w:rPr>
          <w:i/>
          <w:sz w:val="24"/>
        </w:rPr>
        <w:t>Metering Member Voters </w:t>
      </w:r>
      <w:r>
        <w:rPr>
          <w:sz w:val="24"/>
        </w:rPr>
        <w:t>to represent </w:t>
      </w:r>
      <w:r>
        <w:rPr>
          <w:i/>
          <w:sz w:val="24"/>
        </w:rPr>
        <w:t>Metering Member Voters </w:t>
      </w:r>
      <w:r>
        <w:rPr>
          <w:sz w:val="24"/>
        </w:rPr>
        <w:t>in accordance with the </w:t>
      </w:r>
      <w:r>
        <w:rPr>
          <w:i/>
          <w:sz w:val="24"/>
        </w:rPr>
        <w:t>Rules </w:t>
      </w:r>
      <w:r>
        <w:rPr>
          <w:sz w:val="24"/>
        </w:rPr>
        <w:t>(including clause 7.17.10(g)) and the </w:t>
      </w:r>
      <w:r>
        <w:rPr>
          <w:i/>
          <w:sz w:val="24"/>
        </w:rPr>
        <w:t>Information Exchange Committee Election Procedures</w:t>
      </w:r>
      <w:r>
        <w:rPr>
          <w:sz w:val="24"/>
        </w:rPr>
        <w:t>.</w:t>
      </w:r>
    </w:p>
    <w:p>
      <w:pPr>
        <w:pStyle w:val="Heading5"/>
        <w:rPr>
          <w:i/>
        </w:rPr>
      </w:pPr>
      <w:r>
        <w:rPr>
          <w:i/>
        </w:rPr>
        <w:t>Metering Member Voters</w:t>
      </w:r>
    </w:p>
    <w:p>
      <w:pPr>
        <w:spacing w:before="120"/>
        <w:ind w:left="1352" w:right="0" w:firstLine="0"/>
        <w:jc w:val="both"/>
        <w:rPr>
          <w:sz w:val="24"/>
        </w:rPr>
      </w:pPr>
      <w:r>
        <w:rPr>
          <w:i/>
          <w:sz w:val="24"/>
        </w:rPr>
        <w:t>Metering Coordinators</w:t>
      </w:r>
      <w:r>
        <w:rPr>
          <w:sz w:val="24"/>
        </w:rPr>
        <w:t>, </w:t>
      </w:r>
      <w:r>
        <w:rPr>
          <w:i/>
          <w:sz w:val="24"/>
        </w:rPr>
        <w:t>Metering Providers </w:t>
      </w:r>
      <w:r>
        <w:rPr>
          <w:sz w:val="24"/>
        </w:rPr>
        <w:t>and </w:t>
      </w:r>
      <w:r>
        <w:rPr>
          <w:i/>
          <w:sz w:val="24"/>
        </w:rPr>
        <w:t>Metering Data Providers</w:t>
      </w:r>
      <w:r>
        <w:rPr>
          <w:sz w:val="24"/>
        </w:rPr>
        <w:t>.</w:t>
      </w:r>
    </w:p>
    <w:p>
      <w:pPr>
        <w:pStyle w:val="Heading5"/>
        <w:rPr>
          <w:i/>
        </w:rPr>
      </w:pPr>
      <w:r>
        <w:rPr>
          <w:i/>
        </w:rPr>
        <w:t>metering point</w:t>
      </w:r>
    </w:p>
    <w:p>
      <w:pPr>
        <w:pStyle w:val="BodyText"/>
        <w:ind w:left="1352" w:right="415" w:firstLine="0"/>
      </w:pPr>
      <w:r>
        <w:rPr/>
        <w:t>The point of physical connection of the device measuring the current in the power conductor.</w:t>
      </w:r>
    </w:p>
    <w:p>
      <w:pPr>
        <w:pStyle w:val="Heading5"/>
        <w:rPr>
          <w:i/>
        </w:rPr>
      </w:pPr>
      <w:r>
        <w:rPr>
          <w:i/>
        </w:rPr>
        <w:t>Metering Provider</w:t>
      </w:r>
    </w:p>
    <w:p>
      <w:pPr>
        <w:spacing w:before="120"/>
        <w:ind w:left="1352" w:right="0" w:firstLine="0"/>
        <w:jc w:val="both"/>
        <w:rPr>
          <w:sz w:val="24"/>
        </w:rPr>
      </w:pPr>
      <w:r>
        <w:rPr>
          <w:sz w:val="24"/>
        </w:rPr>
        <w:t>A person appointed to be a </w:t>
      </w:r>
      <w:r>
        <w:rPr>
          <w:i/>
          <w:sz w:val="24"/>
        </w:rPr>
        <w:t>Metering Provider </w:t>
      </w:r>
      <w:r>
        <w:rPr>
          <w:sz w:val="24"/>
        </w:rPr>
        <w:t>for a </w:t>
      </w:r>
      <w:r>
        <w:rPr>
          <w:i/>
          <w:sz w:val="24"/>
        </w:rPr>
        <w:t>connection point</w:t>
      </w:r>
      <w:r>
        <w:rPr>
          <w:sz w:val="24"/>
        </w:rPr>
        <w:t>.</w:t>
      </w:r>
    </w:p>
    <w:p>
      <w:pPr>
        <w:pStyle w:val="Heading5"/>
        <w:rPr>
          <w:i/>
        </w:rPr>
      </w:pPr>
      <w:r>
        <w:rPr>
          <w:i/>
        </w:rPr>
        <w:t>metering register</w:t>
      </w:r>
    </w:p>
    <w:p>
      <w:pPr>
        <w:spacing w:before="120"/>
        <w:ind w:left="1352" w:right="416" w:firstLine="0"/>
        <w:jc w:val="both"/>
        <w:rPr>
          <w:sz w:val="24"/>
        </w:rPr>
      </w:pPr>
      <w:r>
        <w:rPr>
          <w:sz w:val="24"/>
        </w:rPr>
        <w:t>A register of information associated with a </w:t>
      </w:r>
      <w:r>
        <w:rPr>
          <w:i/>
          <w:sz w:val="24"/>
        </w:rPr>
        <w:t>metering installation </w:t>
      </w:r>
      <w:r>
        <w:rPr>
          <w:sz w:val="24"/>
        </w:rPr>
        <w:t>as required by schedule 7A.1.</w:t>
      </w:r>
    </w:p>
    <w:p>
      <w:pPr>
        <w:pStyle w:val="Heading5"/>
        <w:rPr>
          <w:i/>
        </w:rPr>
      </w:pPr>
      <w:r>
        <w:rPr>
          <w:i/>
        </w:rPr>
        <w:t>metering system</w:t>
      </w:r>
    </w:p>
    <w:p>
      <w:pPr>
        <w:spacing w:before="120"/>
        <w:ind w:left="1352" w:right="413" w:firstLine="0"/>
        <w:jc w:val="both"/>
        <w:rPr>
          <w:sz w:val="24"/>
        </w:rPr>
      </w:pPr>
      <w:r>
        <w:rPr>
          <w:sz w:val="24"/>
        </w:rPr>
        <w:t>The collection of all components and arrangements installed or existing between each </w:t>
      </w:r>
      <w:r>
        <w:rPr>
          <w:i/>
          <w:sz w:val="24"/>
        </w:rPr>
        <w:t>metering point </w:t>
      </w:r>
      <w:r>
        <w:rPr>
          <w:sz w:val="24"/>
        </w:rPr>
        <w:t>and the </w:t>
      </w:r>
      <w:r>
        <w:rPr>
          <w:i/>
          <w:sz w:val="24"/>
        </w:rPr>
        <w:t>metering database</w:t>
      </w:r>
      <w:r>
        <w:rPr>
          <w:sz w:val="24"/>
        </w:rPr>
        <w:t>.</w:t>
      </w:r>
    </w:p>
    <w:p>
      <w:pPr>
        <w:pStyle w:val="Heading5"/>
        <w:rPr>
          <w:i/>
        </w:rPr>
      </w:pPr>
      <w:r>
        <w:rPr>
          <w:i/>
        </w:rPr>
        <w:t>metrology procedure</w:t>
      </w:r>
    </w:p>
    <w:p>
      <w:pPr>
        <w:pStyle w:val="BodyText"/>
        <w:ind w:left="1352" w:firstLine="0"/>
      </w:pPr>
      <w:r>
        <w:rPr/>
        <w:t>The procedure developed and </w:t>
      </w:r>
      <w:r>
        <w:rPr>
          <w:i/>
        </w:rPr>
        <w:t>published </w:t>
      </w:r>
      <w:r>
        <w:rPr/>
        <w:t>by </w:t>
      </w:r>
      <w:r>
        <w:rPr>
          <w:i/>
        </w:rPr>
        <w:t>AEMO </w:t>
      </w:r>
      <w:r>
        <w:rPr/>
        <w:t>in accordance with rule 7.16.</w:t>
      </w:r>
    </w:p>
    <w:p>
      <w:pPr>
        <w:pStyle w:val="Heading5"/>
        <w:rPr>
          <w:i/>
        </w:rPr>
      </w:pPr>
      <w:r>
        <w:rPr>
          <w:i/>
        </w:rPr>
        <w:t>micro EG connection</w:t>
      </w:r>
    </w:p>
    <w:p>
      <w:pPr>
        <w:pStyle w:val="BodyText"/>
        <w:ind w:left="1352" w:firstLine="0"/>
      </w:pPr>
      <w:r>
        <w:rPr/>
        <w:t>Has (in the context of Chapter 5A) the meaning given in clause 5A.A.1</w:t>
      </w:r>
    </w:p>
    <w:p>
      <w:pPr>
        <w:pStyle w:val="Heading5"/>
        <w:rPr>
          <w:i/>
        </w:rPr>
      </w:pPr>
      <w:r>
        <w:rPr>
          <w:i/>
        </w:rPr>
        <w:t>micro embedded generator</w:t>
      </w:r>
    </w:p>
    <w:p>
      <w:pPr>
        <w:pStyle w:val="BodyText"/>
        <w:ind w:left="1352" w:firstLine="0"/>
      </w:pPr>
      <w:r>
        <w:rPr/>
        <w:t>Has (in the context of Chapter 5A) the meaning given in clause 5A.A.1</w:t>
      </w:r>
    </w:p>
    <w:p>
      <w:pPr>
        <w:pStyle w:val="Heading5"/>
        <w:rPr>
          <w:i/>
        </w:rPr>
      </w:pPr>
      <w:r>
        <w:rPr>
          <w:i/>
        </w:rPr>
        <w:t>minimum access standard</w:t>
      </w:r>
    </w:p>
    <w:p>
      <w:pPr>
        <w:pStyle w:val="BodyText"/>
        <w:ind w:left="1352" w:right="415" w:firstLine="0"/>
      </w:pPr>
      <w:r>
        <w:rPr/>
        <w:t>In relation to a technical requirement of access, a standard of performance, identified in a schedule of Chapter 5 as a minimum access standard for that technical requirement, such that a </w:t>
      </w:r>
      <w:r>
        <w:rPr>
          <w:i/>
        </w:rPr>
        <w:t>plant </w:t>
      </w:r>
      <w:r>
        <w:rPr/>
        <w:t>that does not meet that standard will be denied access because of that technical requirement.</w:t>
      </w:r>
    </w:p>
    <w:p>
      <w:pPr>
        <w:spacing w:after="0"/>
        <w:sectPr>
          <w:pgSz w:w="11910" w:h="16840"/>
          <w:pgMar w:header="686" w:footer="637" w:top="1320" w:bottom="820" w:left="1200" w:right="1000"/>
        </w:sectPr>
      </w:pPr>
    </w:p>
    <w:p>
      <w:pPr>
        <w:pStyle w:val="Heading5"/>
        <w:spacing w:before="83"/>
        <w:jc w:val="left"/>
        <w:rPr>
          <w:i/>
        </w:rPr>
      </w:pPr>
      <w:r>
        <w:rPr>
          <w:i/>
        </w:rPr>
        <w:t>minimum services specification</w:t>
      </w:r>
    </w:p>
    <w:p>
      <w:pPr>
        <w:spacing w:before="120"/>
        <w:ind w:left="1352" w:right="0" w:firstLine="0"/>
        <w:jc w:val="left"/>
        <w:rPr>
          <w:sz w:val="24"/>
        </w:rPr>
      </w:pPr>
      <w:r>
        <w:rPr>
          <w:sz w:val="24"/>
        </w:rPr>
        <w:t>The requirements in respect of a </w:t>
      </w:r>
      <w:r>
        <w:rPr>
          <w:i/>
          <w:sz w:val="24"/>
        </w:rPr>
        <w:t>metering installation </w:t>
      </w:r>
      <w:r>
        <w:rPr>
          <w:sz w:val="24"/>
        </w:rPr>
        <w:t>set out in Schedule 7.5.</w:t>
      </w:r>
    </w:p>
    <w:p>
      <w:pPr>
        <w:pStyle w:val="Heading5"/>
        <w:jc w:val="left"/>
        <w:rPr>
          <w:i/>
        </w:rPr>
      </w:pPr>
      <w:r>
        <w:rPr>
          <w:i/>
        </w:rPr>
        <w:t>minimum threshold level of inertia</w:t>
      </w:r>
    </w:p>
    <w:p>
      <w:pPr>
        <w:spacing w:before="120"/>
        <w:ind w:left="1352" w:right="0" w:firstLine="0"/>
        <w:jc w:val="left"/>
        <w:rPr>
          <w:sz w:val="24"/>
        </w:rPr>
      </w:pPr>
      <w:r>
        <w:rPr>
          <w:sz w:val="24"/>
        </w:rPr>
        <w:t>For an </w:t>
      </w:r>
      <w:r>
        <w:rPr>
          <w:i/>
          <w:sz w:val="24"/>
        </w:rPr>
        <w:t>inertia sub-network</w:t>
      </w:r>
      <w:r>
        <w:rPr>
          <w:sz w:val="24"/>
        </w:rPr>
        <w:t>, the </w:t>
      </w:r>
      <w:r>
        <w:rPr>
          <w:i/>
          <w:sz w:val="24"/>
        </w:rPr>
        <w:t>minimum threshold level of inertia </w:t>
      </w:r>
      <w:r>
        <w:rPr>
          <w:sz w:val="24"/>
        </w:rPr>
        <w:t>determined by</w:t>
      </w:r>
    </w:p>
    <w:p>
      <w:pPr>
        <w:pStyle w:val="BodyText"/>
        <w:spacing w:before="0"/>
        <w:ind w:left="1352" w:firstLine="0"/>
        <w:jc w:val="left"/>
      </w:pPr>
      <w:r>
        <w:rPr>
          <w:i/>
        </w:rPr>
        <w:t>AEMO </w:t>
      </w:r>
      <w:r>
        <w:rPr/>
        <w:t>and referred to in clause 5.20B.2(b)(1).</w:t>
      </w:r>
    </w:p>
    <w:p>
      <w:pPr>
        <w:pStyle w:val="Heading5"/>
        <w:jc w:val="left"/>
        <w:rPr>
          <w:i/>
        </w:rPr>
      </w:pPr>
      <w:r>
        <w:rPr>
          <w:i/>
        </w:rPr>
        <w:t>Minister</w:t>
      </w:r>
    </w:p>
    <w:p>
      <w:pPr>
        <w:spacing w:before="120"/>
        <w:ind w:left="1352" w:right="0" w:firstLine="0"/>
        <w:jc w:val="left"/>
        <w:rPr>
          <w:sz w:val="24"/>
        </w:rPr>
      </w:pPr>
      <w:r>
        <w:rPr>
          <w:sz w:val="24"/>
        </w:rPr>
        <w:t>A Minister that is a "Minister" under the </w:t>
      </w:r>
      <w:r>
        <w:rPr>
          <w:i/>
          <w:sz w:val="24"/>
        </w:rPr>
        <w:t>National Electricity Law</w:t>
      </w:r>
      <w:r>
        <w:rPr>
          <w:sz w:val="24"/>
        </w:rPr>
        <w:t>.</w:t>
      </w:r>
    </w:p>
    <w:p>
      <w:pPr>
        <w:pStyle w:val="Heading5"/>
        <w:jc w:val="left"/>
        <w:rPr>
          <w:i/>
        </w:rPr>
      </w:pPr>
      <w:r>
        <w:rPr>
          <w:i/>
        </w:rPr>
        <w:t>Minister of (a, that, another, or other, etc) participating jurisdiction</w:t>
      </w:r>
    </w:p>
    <w:p>
      <w:pPr>
        <w:pStyle w:val="BodyText"/>
        <w:ind w:left="1352" w:firstLine="0"/>
        <w:jc w:val="left"/>
      </w:pPr>
      <w:r>
        <w:rPr/>
        <w:t>Has the same meaning as Minister of a participating jurisdiction has in the</w:t>
      </w:r>
    </w:p>
    <w:p>
      <w:pPr>
        <w:spacing w:before="0"/>
        <w:ind w:left="1352" w:right="0" w:firstLine="0"/>
        <w:jc w:val="left"/>
        <w:rPr>
          <w:sz w:val="24"/>
        </w:rPr>
      </w:pPr>
      <w:r>
        <w:rPr>
          <w:i/>
          <w:sz w:val="24"/>
        </w:rPr>
        <w:t>National Electricity Law</w:t>
      </w:r>
      <w:r>
        <w:rPr>
          <w:sz w:val="24"/>
        </w:rPr>
        <w:t>.</w:t>
      </w:r>
    </w:p>
    <w:p>
      <w:pPr>
        <w:pStyle w:val="Heading5"/>
        <w:jc w:val="left"/>
        <w:rPr>
          <w:i/>
        </w:rPr>
      </w:pPr>
      <w:r>
        <w:rPr>
          <w:i/>
        </w:rPr>
        <w:t>Ministers of the MCE</w:t>
      </w:r>
    </w:p>
    <w:p>
      <w:pPr>
        <w:spacing w:before="120"/>
        <w:ind w:left="1352" w:right="415" w:firstLine="0"/>
        <w:jc w:val="left"/>
        <w:rPr>
          <w:sz w:val="24"/>
        </w:rPr>
      </w:pPr>
      <w:r>
        <w:rPr>
          <w:i/>
          <w:sz w:val="24"/>
        </w:rPr>
        <w:t>Ministers of the participating jurisdictions </w:t>
      </w:r>
      <w:r>
        <w:rPr>
          <w:sz w:val="24"/>
        </w:rPr>
        <w:t>acting as the MCE where MCE has the same meaning as in the </w:t>
      </w:r>
      <w:r>
        <w:rPr>
          <w:i/>
          <w:sz w:val="24"/>
        </w:rPr>
        <w:t>National Electricity Law</w:t>
      </w:r>
      <w:r>
        <w:rPr>
          <w:sz w:val="24"/>
        </w:rPr>
        <w:t>.</w:t>
      </w:r>
    </w:p>
    <w:p>
      <w:pPr>
        <w:pStyle w:val="Heading5"/>
        <w:jc w:val="left"/>
        <w:rPr>
          <w:i/>
        </w:rPr>
      </w:pPr>
      <w:r>
        <w:rPr>
          <w:i/>
        </w:rPr>
        <w:t>mis-pricing</w:t>
      </w:r>
    </w:p>
    <w:p>
      <w:pPr>
        <w:pStyle w:val="BodyText"/>
        <w:ind w:left="1352" w:firstLine="0"/>
      </w:pPr>
      <w:r>
        <w:rPr/>
        <w:t>For a particular </w:t>
      </w:r>
      <w:r>
        <w:rPr>
          <w:i/>
        </w:rPr>
        <w:t>network </w:t>
      </w:r>
      <w:r>
        <w:rPr/>
        <w:t>node within a nominated </w:t>
      </w:r>
      <w:r>
        <w:rPr>
          <w:i/>
        </w:rPr>
        <w:t>region</w:t>
      </w:r>
      <w:r>
        <w:rPr/>
        <w:t>, the difference between:</w:t>
      </w:r>
    </w:p>
    <w:p>
      <w:pPr>
        <w:pStyle w:val="ListParagraph"/>
        <w:numPr>
          <w:ilvl w:val="0"/>
          <w:numId w:val="768"/>
        </w:numPr>
        <w:tabs>
          <w:tab w:pos="1919" w:val="left" w:leader="none"/>
        </w:tabs>
        <w:spacing w:line="240" w:lineRule="auto" w:before="120" w:after="0"/>
        <w:ind w:left="1918" w:right="0" w:hanging="567"/>
        <w:jc w:val="both"/>
        <w:rPr>
          <w:sz w:val="24"/>
        </w:rPr>
      </w:pPr>
      <w:r>
        <w:rPr>
          <w:sz w:val="24"/>
        </w:rPr>
        <w:t>the </w:t>
      </w:r>
      <w:r>
        <w:rPr>
          <w:i/>
          <w:sz w:val="24"/>
        </w:rPr>
        <w:t>regional reference price </w:t>
      </w:r>
      <w:r>
        <w:rPr>
          <w:sz w:val="24"/>
        </w:rPr>
        <w:t>for the </w:t>
      </w:r>
      <w:r>
        <w:rPr>
          <w:i/>
          <w:sz w:val="24"/>
        </w:rPr>
        <w:t>region</w:t>
      </w:r>
      <w:r>
        <w:rPr>
          <w:sz w:val="24"/>
        </w:rPr>
        <w:t>;</w:t>
      </w:r>
      <w:r>
        <w:rPr>
          <w:spacing w:val="-4"/>
          <w:sz w:val="24"/>
        </w:rPr>
        <w:t> </w:t>
      </w:r>
      <w:r>
        <w:rPr>
          <w:sz w:val="24"/>
        </w:rPr>
        <w:t>and</w:t>
      </w:r>
    </w:p>
    <w:p>
      <w:pPr>
        <w:pStyle w:val="ListParagraph"/>
        <w:numPr>
          <w:ilvl w:val="0"/>
          <w:numId w:val="768"/>
        </w:numPr>
        <w:tabs>
          <w:tab w:pos="1919" w:val="left" w:leader="none"/>
        </w:tabs>
        <w:spacing w:line="240" w:lineRule="auto" w:before="120" w:after="0"/>
        <w:ind w:left="1919" w:right="415" w:hanging="567"/>
        <w:jc w:val="both"/>
        <w:rPr>
          <w:sz w:val="24"/>
        </w:rPr>
      </w:pPr>
      <w:r>
        <w:rPr>
          <w:sz w:val="24"/>
        </w:rPr>
        <w:t>an estimate of the marginal value of </w:t>
      </w:r>
      <w:r>
        <w:rPr>
          <w:i/>
          <w:sz w:val="24"/>
        </w:rPr>
        <w:t>supply </w:t>
      </w:r>
      <w:r>
        <w:rPr>
          <w:sz w:val="24"/>
        </w:rPr>
        <w:t>at the </w:t>
      </w:r>
      <w:r>
        <w:rPr>
          <w:i/>
          <w:sz w:val="24"/>
        </w:rPr>
        <w:t>network </w:t>
      </w:r>
      <w:r>
        <w:rPr>
          <w:sz w:val="24"/>
        </w:rPr>
        <w:t>node, which marginal value is determined as the price of meeting an incremental change in </w:t>
      </w:r>
      <w:r>
        <w:rPr>
          <w:i/>
          <w:sz w:val="24"/>
        </w:rPr>
        <w:t>load </w:t>
      </w:r>
      <w:r>
        <w:rPr>
          <w:sz w:val="24"/>
        </w:rPr>
        <w:t>at that </w:t>
      </w:r>
      <w:r>
        <w:rPr>
          <w:i/>
          <w:sz w:val="24"/>
        </w:rPr>
        <w:t>network</w:t>
      </w:r>
      <w:r>
        <w:rPr>
          <w:i/>
          <w:spacing w:val="-2"/>
          <w:sz w:val="24"/>
        </w:rPr>
        <w:t> </w:t>
      </w:r>
      <w:r>
        <w:rPr>
          <w:sz w:val="24"/>
        </w:rPr>
        <w:t>node.</w:t>
      </w:r>
    </w:p>
    <w:p>
      <w:pPr>
        <w:pStyle w:val="Heading5"/>
        <w:jc w:val="left"/>
        <w:rPr>
          <w:i/>
        </w:rPr>
      </w:pPr>
      <w:r>
        <w:rPr>
          <w:i/>
        </w:rPr>
        <w:t>MLEC CRNP Methodology</w:t>
      </w:r>
    </w:p>
    <w:p>
      <w:pPr>
        <w:spacing w:before="120"/>
        <w:ind w:left="1352" w:right="414" w:firstLine="0"/>
        <w:jc w:val="both"/>
        <w:rPr>
          <w:sz w:val="24"/>
        </w:rPr>
      </w:pPr>
      <w:r>
        <w:rPr>
          <w:sz w:val="24"/>
        </w:rPr>
        <w:t>For the purposes of calculating the </w:t>
      </w:r>
      <w:r>
        <w:rPr>
          <w:i/>
          <w:sz w:val="24"/>
        </w:rPr>
        <w:t>modified load export charges</w:t>
      </w:r>
      <w:r>
        <w:rPr>
          <w:sz w:val="24"/>
        </w:rPr>
        <w:t>, the </w:t>
      </w:r>
      <w:r>
        <w:rPr>
          <w:i/>
          <w:sz w:val="24"/>
        </w:rPr>
        <w:t>CRNP </w:t>
      </w:r>
      <w:r>
        <w:rPr>
          <w:i/>
          <w:sz w:val="24"/>
        </w:rPr>
        <w:t>Methodology </w:t>
      </w:r>
      <w:r>
        <w:rPr>
          <w:sz w:val="24"/>
        </w:rPr>
        <w:t>(and for the avoidance of doubt, not the </w:t>
      </w:r>
      <w:r>
        <w:rPr>
          <w:i/>
          <w:sz w:val="24"/>
        </w:rPr>
        <w:t>modified CRNP </w:t>
      </w:r>
      <w:r>
        <w:rPr>
          <w:i/>
          <w:sz w:val="24"/>
        </w:rPr>
        <w:t>Methodology</w:t>
      </w:r>
      <w:r>
        <w:rPr>
          <w:sz w:val="24"/>
        </w:rPr>
        <w:t>) provided that each of the following is satisfied:</w:t>
      </w:r>
    </w:p>
    <w:p>
      <w:pPr>
        <w:pStyle w:val="ListParagraph"/>
        <w:numPr>
          <w:ilvl w:val="0"/>
          <w:numId w:val="769"/>
        </w:numPr>
        <w:tabs>
          <w:tab w:pos="1919" w:val="left" w:leader="none"/>
        </w:tabs>
        <w:spacing w:line="240" w:lineRule="auto" w:before="120" w:after="0"/>
        <w:ind w:left="1919" w:right="415" w:hanging="567"/>
        <w:jc w:val="both"/>
        <w:rPr>
          <w:sz w:val="24"/>
        </w:rPr>
      </w:pPr>
      <w:r>
        <w:rPr>
          <w:sz w:val="24"/>
        </w:rPr>
        <w:t>for the purposes of clause S6A.3.2(1), network 'costs' are attributed to </w:t>
      </w:r>
      <w:r>
        <w:rPr>
          <w:spacing w:val="-4"/>
          <w:sz w:val="24"/>
        </w:rPr>
        <w:t>all </w:t>
      </w:r>
      <w:r>
        <w:rPr>
          <w:i/>
          <w:sz w:val="24"/>
        </w:rPr>
        <w:t>transmission systems </w:t>
      </w:r>
      <w:r>
        <w:rPr>
          <w:sz w:val="24"/>
        </w:rPr>
        <w:t>assets of the relevant </w:t>
      </w:r>
      <w:r>
        <w:rPr>
          <w:i/>
          <w:sz w:val="24"/>
        </w:rPr>
        <w:t>Transmission Network Service </w:t>
      </w:r>
      <w:r>
        <w:rPr>
          <w:i/>
          <w:sz w:val="24"/>
        </w:rPr>
        <w:t>Provider</w:t>
      </w:r>
      <w:r>
        <w:rPr>
          <w:sz w:val="24"/>
        </w:rPr>
        <w:t>; and</w:t>
      </w:r>
    </w:p>
    <w:p>
      <w:pPr>
        <w:pStyle w:val="ListParagraph"/>
        <w:numPr>
          <w:ilvl w:val="0"/>
          <w:numId w:val="769"/>
        </w:numPr>
        <w:tabs>
          <w:tab w:pos="1919" w:val="left" w:leader="none"/>
        </w:tabs>
        <w:spacing w:line="240" w:lineRule="auto" w:before="120" w:after="0"/>
        <w:ind w:left="1918" w:right="0" w:hanging="567"/>
        <w:jc w:val="both"/>
        <w:rPr>
          <w:sz w:val="24"/>
        </w:rPr>
      </w:pPr>
      <w:r>
        <w:rPr>
          <w:sz w:val="24"/>
        </w:rPr>
        <w:t>for the purposes of clause</w:t>
      </w:r>
      <w:r>
        <w:rPr>
          <w:spacing w:val="-1"/>
          <w:sz w:val="24"/>
        </w:rPr>
        <w:t> </w:t>
      </w:r>
      <w:r>
        <w:rPr>
          <w:sz w:val="24"/>
        </w:rPr>
        <w:t>S6A.3.2(3):</w:t>
      </w:r>
    </w:p>
    <w:p>
      <w:pPr>
        <w:pStyle w:val="ListParagraph"/>
        <w:numPr>
          <w:ilvl w:val="1"/>
          <w:numId w:val="769"/>
        </w:numPr>
        <w:tabs>
          <w:tab w:pos="2486" w:val="left" w:leader="none"/>
        </w:tabs>
        <w:spacing w:line="240" w:lineRule="auto" w:before="120" w:after="0"/>
        <w:ind w:left="2486" w:right="415" w:hanging="567"/>
        <w:jc w:val="both"/>
        <w:rPr>
          <w:sz w:val="24"/>
        </w:rPr>
      </w:pPr>
      <w:r>
        <w:rPr>
          <w:sz w:val="24"/>
        </w:rPr>
        <w:t>every </w:t>
      </w:r>
      <w:r>
        <w:rPr>
          <w:i/>
          <w:sz w:val="24"/>
        </w:rPr>
        <w:t>trading interval </w:t>
      </w:r>
      <w:r>
        <w:rPr>
          <w:sz w:val="24"/>
        </w:rPr>
        <w:t>of the previous </w:t>
      </w:r>
      <w:r>
        <w:rPr>
          <w:i/>
          <w:sz w:val="24"/>
        </w:rPr>
        <w:t>regulatory year </w:t>
      </w:r>
      <w:r>
        <w:rPr>
          <w:sz w:val="24"/>
        </w:rPr>
        <w:t>in order</w:t>
      </w:r>
      <w:r>
        <w:rPr>
          <w:spacing w:val="18"/>
          <w:sz w:val="24"/>
        </w:rPr>
        <w:t> </w:t>
      </w:r>
      <w:r>
        <w:rPr>
          <w:sz w:val="24"/>
        </w:rPr>
        <w:t>to determine the range of actual operating conditions from the previous </w:t>
      </w:r>
      <w:r>
        <w:rPr>
          <w:i/>
          <w:sz w:val="24"/>
        </w:rPr>
        <w:t>regulatory year</w:t>
      </w:r>
      <w:r>
        <w:rPr>
          <w:sz w:val="24"/>
        </w:rPr>
        <w:t>;</w:t>
      </w:r>
      <w:r>
        <w:rPr>
          <w:spacing w:val="-2"/>
          <w:sz w:val="24"/>
        </w:rPr>
        <w:t> </w:t>
      </w:r>
      <w:r>
        <w:rPr>
          <w:sz w:val="24"/>
        </w:rPr>
        <w:t>and</w:t>
      </w:r>
    </w:p>
    <w:p>
      <w:pPr>
        <w:pStyle w:val="ListParagraph"/>
        <w:numPr>
          <w:ilvl w:val="1"/>
          <w:numId w:val="769"/>
        </w:numPr>
        <w:tabs>
          <w:tab w:pos="2486" w:val="left" w:leader="none"/>
        </w:tabs>
        <w:spacing w:line="240" w:lineRule="auto" w:before="120" w:after="0"/>
        <w:ind w:left="2486" w:right="415" w:hanging="567"/>
        <w:jc w:val="both"/>
        <w:rPr>
          <w:sz w:val="24"/>
        </w:rPr>
      </w:pPr>
      <w:r>
        <w:rPr>
          <w:sz w:val="24"/>
        </w:rPr>
        <w:t>the peak usage of each </w:t>
      </w:r>
      <w:r>
        <w:rPr>
          <w:i/>
          <w:sz w:val="24"/>
        </w:rPr>
        <w:t>transmission system </w:t>
      </w:r>
      <w:r>
        <w:rPr>
          <w:sz w:val="24"/>
        </w:rPr>
        <w:t>asset by each </w:t>
      </w:r>
      <w:r>
        <w:rPr>
          <w:i/>
          <w:sz w:val="24"/>
        </w:rPr>
        <w:t>load </w:t>
      </w:r>
      <w:r>
        <w:rPr>
          <w:sz w:val="24"/>
        </w:rPr>
        <w:t>is used to determine the allocation of dispatched </w:t>
      </w:r>
      <w:r>
        <w:rPr>
          <w:i/>
          <w:sz w:val="24"/>
        </w:rPr>
        <w:t>generation </w:t>
      </w:r>
      <w:r>
        <w:rPr>
          <w:sz w:val="24"/>
        </w:rPr>
        <w:t>to loads from the previous </w:t>
      </w:r>
      <w:r>
        <w:rPr>
          <w:i/>
          <w:sz w:val="24"/>
        </w:rPr>
        <w:t>regulatory</w:t>
      </w:r>
      <w:r>
        <w:rPr>
          <w:i/>
          <w:spacing w:val="-2"/>
          <w:sz w:val="24"/>
        </w:rPr>
        <w:t> </w:t>
      </w:r>
      <w:r>
        <w:rPr>
          <w:i/>
          <w:sz w:val="24"/>
        </w:rPr>
        <w:t>year</w:t>
      </w:r>
      <w:r>
        <w:rPr>
          <w:sz w:val="24"/>
        </w:rPr>
        <w:t>.</w:t>
      </w:r>
    </w:p>
    <w:p>
      <w:pPr>
        <w:pStyle w:val="Heading5"/>
        <w:jc w:val="left"/>
        <w:rPr>
          <w:i/>
        </w:rPr>
      </w:pPr>
      <w:r>
        <w:rPr>
          <w:i/>
        </w:rPr>
        <w:t>model standing offer</w:t>
      </w:r>
    </w:p>
    <w:p>
      <w:pPr>
        <w:pStyle w:val="BodyText"/>
        <w:ind w:left="1352" w:firstLine="0"/>
        <w:jc w:val="left"/>
      </w:pPr>
      <w:r>
        <w:rPr/>
        <w:t>Has (in the context of Chapter 5A) the meaning given in clause 5A.A.1.</w:t>
      </w:r>
    </w:p>
    <w:p>
      <w:pPr>
        <w:pStyle w:val="Heading5"/>
        <w:jc w:val="left"/>
        <w:rPr>
          <w:i/>
        </w:rPr>
      </w:pPr>
      <w:r>
        <w:rPr>
          <w:i/>
        </w:rPr>
        <w:t>modified CRNP methodology</w:t>
      </w:r>
    </w:p>
    <w:p>
      <w:pPr>
        <w:pStyle w:val="BodyText"/>
        <w:ind w:left="1352" w:firstLine="0"/>
        <w:jc w:val="left"/>
      </w:pPr>
      <w:r>
        <w:rPr/>
        <w:t>The cost allocation methodology set out in clause S6A.3.3.</w:t>
      </w:r>
    </w:p>
    <w:p>
      <w:pPr>
        <w:spacing w:after="0"/>
        <w:jc w:val="left"/>
        <w:sectPr>
          <w:pgSz w:w="11910" w:h="16840"/>
          <w:pgMar w:header="686" w:footer="637" w:top="1320" w:bottom="820" w:left="1200" w:right="1000"/>
        </w:sectPr>
      </w:pPr>
    </w:p>
    <w:p>
      <w:pPr>
        <w:pStyle w:val="Heading5"/>
        <w:spacing w:before="83"/>
        <w:rPr>
          <w:i/>
        </w:rPr>
      </w:pPr>
      <w:r>
        <w:rPr>
          <w:i/>
        </w:rPr>
        <w:t>modified load export charges</w:t>
      </w:r>
    </w:p>
    <w:p>
      <w:pPr>
        <w:spacing w:before="120"/>
        <w:ind w:left="1352" w:right="415" w:firstLine="0"/>
        <w:jc w:val="both"/>
        <w:rPr>
          <w:sz w:val="24"/>
        </w:rPr>
      </w:pPr>
      <w:r>
        <w:rPr>
          <w:sz w:val="24"/>
        </w:rPr>
        <w:t>Charges received by or payable to the </w:t>
      </w:r>
      <w:r>
        <w:rPr>
          <w:i/>
          <w:sz w:val="24"/>
        </w:rPr>
        <w:t>Co-ordinating Network Service Provider </w:t>
      </w:r>
      <w:r>
        <w:rPr>
          <w:sz w:val="24"/>
        </w:rPr>
        <w:t>in a </w:t>
      </w:r>
      <w:r>
        <w:rPr>
          <w:i/>
          <w:sz w:val="24"/>
        </w:rPr>
        <w:t>region </w:t>
      </w:r>
      <w:r>
        <w:rPr>
          <w:sz w:val="24"/>
        </w:rPr>
        <w:t>by or to a </w:t>
      </w:r>
      <w:r>
        <w:rPr>
          <w:i/>
          <w:sz w:val="24"/>
        </w:rPr>
        <w:t>Co-ordinating Network Service Provider </w:t>
      </w:r>
      <w:r>
        <w:rPr>
          <w:sz w:val="24"/>
        </w:rPr>
        <w:t>in an </w:t>
      </w:r>
      <w:r>
        <w:rPr>
          <w:i/>
          <w:sz w:val="24"/>
        </w:rPr>
        <w:t>interconnected </w:t>
      </w:r>
      <w:r>
        <w:rPr>
          <w:i/>
          <w:sz w:val="24"/>
        </w:rPr>
        <w:t>region </w:t>
      </w:r>
      <w:r>
        <w:rPr>
          <w:sz w:val="24"/>
        </w:rPr>
        <w:t>calculated under rule 6A.29A.2.</w:t>
      </w:r>
    </w:p>
    <w:p>
      <w:pPr>
        <w:pStyle w:val="Heading5"/>
        <w:rPr>
          <w:i/>
        </w:rPr>
      </w:pPr>
      <w:r>
        <w:rPr>
          <w:i/>
        </w:rPr>
        <w:t>monitoring equipment</w:t>
      </w:r>
    </w:p>
    <w:p>
      <w:pPr>
        <w:pStyle w:val="BodyText"/>
        <w:ind w:left="1352" w:right="415" w:firstLine="0"/>
      </w:pPr>
      <w:r>
        <w:rPr/>
        <w:t>The testing instruments and devices used to record the performance of </w:t>
      </w:r>
      <w:r>
        <w:rPr>
          <w:i/>
        </w:rPr>
        <w:t>plant </w:t>
      </w:r>
      <w:r>
        <w:rPr/>
        <w:t>for comparison with expected performance.</w:t>
      </w:r>
    </w:p>
    <w:p>
      <w:pPr>
        <w:spacing w:after="0"/>
        <w:sectPr>
          <w:pgSz w:w="11910" w:h="16840"/>
          <w:pgMar w:header="686" w:footer="637" w:top="1320" w:bottom="820" w:left="1200" w:right="1000"/>
        </w:sectPr>
      </w:pPr>
    </w:p>
    <w:p>
      <w:pPr>
        <w:pStyle w:val="Heading5"/>
        <w:jc w:val="left"/>
        <w:rPr>
          <w:i/>
        </w:rPr>
      </w:pPr>
      <w:r>
        <w:rPr>
          <w:i/>
        </w:rPr>
        <w:t>month</w:t>
      </w:r>
    </w:p>
    <w:p>
      <w:pPr>
        <w:pStyle w:val="BodyText"/>
        <w:spacing w:before="0"/>
        <w:ind w:firstLine="0"/>
        <w:jc w:val="left"/>
        <w:rPr>
          <w:b/>
          <w:i/>
          <w:sz w:val="26"/>
        </w:rPr>
      </w:pPr>
      <w:r>
        <w:rPr/>
        <w:br w:type="column"/>
      </w:r>
      <w:r>
        <w:rPr>
          <w:b/>
          <w:i/>
          <w:sz w:val="26"/>
        </w:rPr>
      </w:r>
    </w:p>
    <w:p>
      <w:pPr>
        <w:pStyle w:val="BodyText"/>
        <w:spacing w:before="217"/>
        <w:ind w:left="218" w:right="415" w:firstLine="0"/>
      </w:pPr>
      <w:r>
        <w:rPr/>
        <w:t>Unless otherwise specified, the period beginning at 4.30 am on the relevant commencement date and ending at 4.30 am on the date in the next calendar month corresponding to the commencement date of the period.</w:t>
      </w:r>
    </w:p>
    <w:p>
      <w:pPr>
        <w:spacing w:after="0"/>
        <w:sectPr>
          <w:type w:val="continuous"/>
          <w:pgSz w:w="11910" w:h="16840"/>
          <w:pgMar w:top="1360" w:bottom="280" w:left="1200" w:right="1000"/>
          <w:cols w:num="2" w:equalWidth="0">
            <w:col w:w="899" w:space="235"/>
            <w:col w:w="8576"/>
          </w:cols>
        </w:sectPr>
      </w:pPr>
    </w:p>
    <w:p>
      <w:pPr>
        <w:pStyle w:val="Heading5"/>
        <w:jc w:val="left"/>
        <w:rPr>
          <w:i/>
        </w:rPr>
      </w:pPr>
      <w:r>
        <w:rPr>
          <w:i/>
        </w:rPr>
        <w:t>nameplate rating</w:t>
      </w:r>
    </w:p>
    <w:p>
      <w:pPr>
        <w:pStyle w:val="BodyText"/>
        <w:ind w:left="1352" w:right="415" w:firstLine="0"/>
        <w:jc w:val="left"/>
      </w:pPr>
      <w:r>
        <w:rPr/>
        <w:t>The maximum continuous output or consumption in MW of an item of equipment as specified by the manufacturer, or as subsequently modified.</w:t>
      </w:r>
    </w:p>
    <w:p>
      <w:pPr>
        <w:pStyle w:val="Heading5"/>
        <w:jc w:val="left"/>
        <w:rPr>
          <w:i/>
        </w:rPr>
      </w:pPr>
      <w:r>
        <w:rPr>
          <w:i/>
        </w:rPr>
        <w:t>NATA</w:t>
      </w:r>
    </w:p>
    <w:p>
      <w:pPr>
        <w:pStyle w:val="BodyText"/>
        <w:ind w:left="1352" w:firstLine="0"/>
        <w:jc w:val="left"/>
      </w:pPr>
      <w:r>
        <w:rPr/>
        <w:t>National Association of Testing Authorities.</w:t>
      </w:r>
    </w:p>
    <w:p>
      <w:pPr>
        <w:pStyle w:val="Heading5"/>
        <w:jc w:val="left"/>
        <w:rPr>
          <w:i/>
        </w:rPr>
      </w:pPr>
      <w:r>
        <w:rPr>
          <w:i/>
        </w:rPr>
        <w:t>National Electricity Law</w:t>
      </w:r>
    </w:p>
    <w:p>
      <w:pPr>
        <w:pStyle w:val="BodyText"/>
        <w:ind w:left="1352" w:firstLine="0"/>
        <w:jc w:val="left"/>
      </w:pPr>
      <w:r>
        <w:rPr/>
        <w:t>The National Electricity (NT) Law.</w:t>
      </w:r>
    </w:p>
    <w:p>
      <w:pPr>
        <w:pStyle w:val="Heading5"/>
        <w:jc w:val="left"/>
        <w:rPr>
          <w:i/>
        </w:rPr>
      </w:pPr>
      <w:r>
        <w:rPr>
          <w:i/>
        </w:rPr>
        <w:t>National Electricity Market</w:t>
      </w:r>
    </w:p>
    <w:p>
      <w:pPr>
        <w:spacing w:before="120"/>
        <w:ind w:left="1352" w:right="0" w:firstLine="0"/>
        <w:jc w:val="left"/>
        <w:rPr>
          <w:sz w:val="24"/>
        </w:rPr>
      </w:pPr>
      <w:r>
        <w:rPr>
          <w:sz w:val="24"/>
        </w:rPr>
        <w:t>Has the same meaning as in the </w:t>
      </w:r>
      <w:r>
        <w:rPr>
          <w:i/>
          <w:sz w:val="24"/>
        </w:rPr>
        <w:t>National Electricity Law</w:t>
      </w:r>
      <w:r>
        <w:rPr>
          <w:sz w:val="24"/>
        </w:rPr>
        <w:t>.</w:t>
      </w:r>
    </w:p>
    <w:p>
      <w:pPr>
        <w:pStyle w:val="Heading5"/>
        <w:jc w:val="left"/>
        <w:rPr>
          <w:i/>
        </w:rPr>
      </w:pPr>
      <w:r>
        <w:rPr>
          <w:i/>
        </w:rPr>
        <w:t>national electricity objective</w:t>
      </w:r>
    </w:p>
    <w:p>
      <w:pPr>
        <w:pStyle w:val="BodyText"/>
        <w:ind w:left="1352" w:firstLine="0"/>
        <w:jc w:val="left"/>
      </w:pPr>
      <w:r>
        <w:rPr/>
        <w:t>The objective stated in section 7 of the Law.</w:t>
      </w:r>
    </w:p>
    <w:p>
      <w:pPr>
        <w:pStyle w:val="Heading5"/>
        <w:jc w:val="left"/>
        <w:rPr>
          <w:i/>
        </w:rPr>
      </w:pPr>
      <w:r>
        <w:rPr>
          <w:i/>
        </w:rPr>
        <w:t>National Energy Retail Law</w:t>
      </w:r>
    </w:p>
    <w:p>
      <w:pPr>
        <w:spacing w:before="120"/>
        <w:ind w:left="1352" w:right="415" w:firstLine="0"/>
        <w:jc w:val="left"/>
        <w:rPr>
          <w:sz w:val="24"/>
        </w:rPr>
      </w:pPr>
      <w:r>
        <w:rPr>
          <w:sz w:val="24"/>
        </w:rPr>
        <w:t>Means the </w:t>
      </w:r>
      <w:r>
        <w:rPr>
          <w:i/>
          <w:sz w:val="24"/>
        </w:rPr>
        <w:t>National Energy Retail Law </w:t>
      </w:r>
      <w:r>
        <w:rPr>
          <w:sz w:val="24"/>
        </w:rPr>
        <w:t>set out in the Schedule to the </w:t>
      </w:r>
      <w:r>
        <w:rPr>
          <w:i/>
          <w:sz w:val="24"/>
        </w:rPr>
        <w:t>National </w:t>
      </w:r>
      <w:r>
        <w:rPr>
          <w:i/>
          <w:sz w:val="24"/>
        </w:rPr>
        <w:t>Energy Retail Law (South Australia) Act 2012 </w:t>
      </w:r>
      <w:r>
        <w:rPr>
          <w:sz w:val="24"/>
        </w:rPr>
        <w:t>of South Australia.</w:t>
      </w:r>
    </w:p>
    <w:p>
      <w:pPr>
        <w:pStyle w:val="Heading5"/>
        <w:jc w:val="left"/>
        <w:rPr>
          <w:i/>
        </w:rPr>
      </w:pPr>
      <w:r>
        <w:rPr>
          <w:i/>
        </w:rPr>
        <w:t>National Energy Retail Rules</w:t>
      </w:r>
    </w:p>
    <w:p>
      <w:pPr>
        <w:spacing w:before="120"/>
        <w:ind w:left="1352" w:right="0" w:firstLine="0"/>
        <w:jc w:val="left"/>
        <w:rPr>
          <w:sz w:val="24"/>
        </w:rPr>
      </w:pPr>
      <w:r>
        <w:rPr>
          <w:sz w:val="24"/>
        </w:rPr>
        <w:t>Has the same meaning as in the </w:t>
      </w:r>
      <w:r>
        <w:rPr>
          <w:i/>
          <w:sz w:val="24"/>
        </w:rPr>
        <w:t>National Energy Retail Law</w:t>
      </w:r>
      <w:r>
        <w:rPr>
          <w:sz w:val="24"/>
        </w:rPr>
        <w:t>.</w:t>
      </w:r>
    </w:p>
    <w:p>
      <w:pPr>
        <w:pStyle w:val="Heading5"/>
        <w:jc w:val="left"/>
        <w:rPr>
          <w:i/>
        </w:rPr>
      </w:pPr>
      <w:r>
        <w:rPr>
          <w:i/>
        </w:rPr>
        <w:t>national grid</w:t>
      </w:r>
    </w:p>
    <w:p>
      <w:pPr>
        <w:pStyle w:val="BodyText"/>
        <w:ind w:left="1352" w:firstLine="0"/>
        <w:jc w:val="left"/>
      </w:pPr>
      <w:r>
        <w:rPr/>
        <w:t>The sum of:</w:t>
      </w:r>
    </w:p>
    <w:p>
      <w:pPr>
        <w:pStyle w:val="ListParagraph"/>
        <w:numPr>
          <w:ilvl w:val="0"/>
          <w:numId w:val="770"/>
        </w:numPr>
        <w:tabs>
          <w:tab w:pos="1918" w:val="left" w:leader="none"/>
          <w:tab w:pos="1919" w:val="left" w:leader="none"/>
        </w:tabs>
        <w:spacing w:line="240" w:lineRule="auto" w:before="120" w:after="0"/>
        <w:ind w:left="1918" w:right="0" w:hanging="567"/>
        <w:jc w:val="left"/>
        <w:rPr>
          <w:sz w:val="24"/>
        </w:rPr>
      </w:pPr>
      <w:r>
        <w:rPr>
          <w:sz w:val="24"/>
        </w:rPr>
        <w:t>all </w:t>
      </w:r>
      <w:r>
        <w:rPr>
          <w:i/>
          <w:sz w:val="24"/>
        </w:rPr>
        <w:t>connected transmission systems </w:t>
      </w:r>
      <w:r>
        <w:rPr>
          <w:sz w:val="24"/>
        </w:rPr>
        <w:t>and </w:t>
      </w:r>
      <w:r>
        <w:rPr>
          <w:i/>
          <w:sz w:val="24"/>
        </w:rPr>
        <w:t>distribution systems </w:t>
      </w:r>
      <w:r>
        <w:rPr>
          <w:sz w:val="24"/>
        </w:rPr>
        <w:t>within the</w:t>
      </w:r>
      <w:r>
        <w:rPr>
          <w:spacing w:val="47"/>
          <w:sz w:val="24"/>
        </w:rPr>
        <w:t> </w:t>
      </w:r>
      <w:r>
        <w:rPr>
          <w:sz w:val="24"/>
        </w:rPr>
        <w:t>other</w:t>
      </w:r>
    </w:p>
    <w:p>
      <w:pPr>
        <w:spacing w:before="0"/>
        <w:ind w:left="1919" w:right="0" w:firstLine="0"/>
        <w:jc w:val="left"/>
        <w:rPr>
          <w:sz w:val="24"/>
        </w:rPr>
      </w:pPr>
      <w:r>
        <w:rPr>
          <w:i/>
          <w:sz w:val="24"/>
        </w:rPr>
        <w:t>participating jurisdictions</w:t>
      </w:r>
      <w:r>
        <w:rPr>
          <w:sz w:val="24"/>
        </w:rPr>
        <w:t>; and</w:t>
      </w:r>
    </w:p>
    <w:p>
      <w:pPr>
        <w:pStyle w:val="ListParagraph"/>
        <w:numPr>
          <w:ilvl w:val="0"/>
          <w:numId w:val="770"/>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transmission systems </w:t>
      </w:r>
      <w:r>
        <w:rPr>
          <w:sz w:val="24"/>
        </w:rPr>
        <w:t>and </w:t>
      </w:r>
      <w:r>
        <w:rPr>
          <w:i/>
          <w:sz w:val="24"/>
        </w:rPr>
        <w:t>distribution systems </w:t>
      </w:r>
      <w:r>
        <w:rPr>
          <w:sz w:val="24"/>
        </w:rPr>
        <w:t>in this</w:t>
      </w:r>
      <w:r>
        <w:rPr>
          <w:spacing w:val="-7"/>
          <w:sz w:val="24"/>
        </w:rPr>
        <w:t> </w:t>
      </w:r>
      <w:r>
        <w:rPr>
          <w:sz w:val="24"/>
        </w:rPr>
        <w:t>jurisdiction.</w:t>
      </w:r>
    </w:p>
    <w:p>
      <w:pPr>
        <w:pStyle w:val="Heading5"/>
        <w:jc w:val="left"/>
        <w:rPr>
          <w:i/>
        </w:rPr>
      </w:pPr>
      <w:r>
        <w:rPr>
          <w:i/>
        </w:rPr>
        <w:t>National Measurement Act</w:t>
      </w:r>
    </w:p>
    <w:p>
      <w:pPr>
        <w:spacing w:before="120"/>
        <w:ind w:left="1352" w:right="565" w:firstLine="0"/>
        <w:jc w:val="left"/>
        <w:rPr>
          <w:sz w:val="24"/>
        </w:rPr>
      </w:pPr>
      <w:r>
        <w:rPr>
          <w:sz w:val="24"/>
        </w:rPr>
        <w:t>The </w:t>
      </w:r>
      <w:r>
        <w:rPr>
          <w:i/>
          <w:sz w:val="24"/>
        </w:rPr>
        <w:t>National Measurement Act 1960 </w:t>
      </w:r>
      <w:r>
        <w:rPr>
          <w:sz w:val="24"/>
        </w:rPr>
        <w:t>of the Commonwealth as amended from time to</w:t>
      </w:r>
      <w:r>
        <w:rPr>
          <w:spacing w:val="-1"/>
          <w:sz w:val="24"/>
        </w:rPr>
        <w:t> </w:t>
      </w:r>
      <w:r>
        <w:rPr>
          <w:sz w:val="24"/>
        </w:rPr>
        <w:t>time.</w:t>
      </w:r>
    </w:p>
    <w:p>
      <w:pPr>
        <w:pStyle w:val="Heading5"/>
        <w:jc w:val="left"/>
        <w:rPr>
          <w:i/>
        </w:rPr>
      </w:pPr>
      <w:r>
        <w:rPr>
          <w:i/>
        </w:rPr>
        <w:t>national transmission flow path</w:t>
      </w:r>
    </w:p>
    <w:p>
      <w:pPr>
        <w:spacing w:before="120"/>
        <w:ind w:left="1352" w:right="0" w:firstLine="0"/>
        <w:jc w:val="left"/>
        <w:rPr>
          <w:sz w:val="24"/>
        </w:rPr>
      </w:pPr>
      <w:r>
        <w:rPr>
          <w:sz w:val="24"/>
        </w:rPr>
        <w:t>That portion of a </w:t>
      </w:r>
      <w:r>
        <w:rPr>
          <w:i/>
          <w:sz w:val="24"/>
        </w:rPr>
        <w:t>transmission network </w:t>
      </w:r>
      <w:r>
        <w:rPr>
          <w:sz w:val="24"/>
        </w:rPr>
        <w:t>or </w:t>
      </w:r>
      <w:r>
        <w:rPr>
          <w:i/>
          <w:sz w:val="24"/>
        </w:rPr>
        <w:t>transmission networks </w:t>
      </w:r>
      <w:r>
        <w:rPr>
          <w:sz w:val="24"/>
        </w:rPr>
        <w:t>used to transport significant amounts of electricity between </w:t>
      </w:r>
      <w:r>
        <w:rPr>
          <w:i/>
          <w:sz w:val="24"/>
        </w:rPr>
        <w:t>generation centres </w:t>
      </w:r>
      <w:r>
        <w:rPr>
          <w:sz w:val="24"/>
        </w:rPr>
        <w:t>and </w:t>
      </w:r>
      <w:r>
        <w:rPr>
          <w:i/>
          <w:sz w:val="24"/>
        </w:rPr>
        <w:t>load centres</w:t>
      </w:r>
      <w:r>
        <w:rPr>
          <w:sz w:val="24"/>
        </w:rPr>
        <w:t>.</w:t>
      </w:r>
    </w:p>
    <w:p>
      <w:pPr>
        <w:spacing w:after="0"/>
        <w:jc w:val="left"/>
        <w:rPr>
          <w:sz w:val="24"/>
        </w:rPr>
        <w:sectPr>
          <w:type w:val="continuous"/>
          <w:pgSz w:w="11910" w:h="16840"/>
          <w:pgMar w:top="1360" w:bottom="280" w:left="1200" w:right="1000"/>
        </w:sectPr>
      </w:pPr>
    </w:p>
    <w:p>
      <w:pPr>
        <w:pStyle w:val="Heading5"/>
        <w:spacing w:before="83"/>
        <w:rPr>
          <w:i/>
        </w:rPr>
      </w:pPr>
      <w:r>
        <w:rPr>
          <w:i/>
        </w:rPr>
        <w:t>national transmission grid</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negative change event</w:t>
      </w:r>
    </w:p>
    <w:p>
      <w:pPr>
        <w:spacing w:before="120"/>
        <w:ind w:left="1352" w:right="416" w:firstLine="0"/>
        <w:jc w:val="both"/>
        <w:rPr>
          <w:sz w:val="24"/>
        </w:rPr>
      </w:pPr>
      <w:r>
        <w:rPr>
          <w:sz w:val="24"/>
        </w:rPr>
        <w:t>For a </w:t>
      </w:r>
      <w:r>
        <w:rPr>
          <w:i/>
          <w:sz w:val="24"/>
        </w:rPr>
        <w:t>Distribution Network Service Provider</w:t>
      </w:r>
      <w:r>
        <w:rPr>
          <w:sz w:val="24"/>
        </w:rPr>
        <w:t>, a </w:t>
      </w:r>
      <w:r>
        <w:rPr>
          <w:i/>
          <w:sz w:val="24"/>
        </w:rPr>
        <w:t>pass through event </w:t>
      </w:r>
      <w:r>
        <w:rPr>
          <w:sz w:val="24"/>
        </w:rPr>
        <w:t>which entails the </w:t>
      </w:r>
      <w:r>
        <w:rPr>
          <w:i/>
          <w:sz w:val="24"/>
        </w:rPr>
        <w:t>Distribution Network Service Provider </w:t>
      </w:r>
      <w:r>
        <w:rPr>
          <w:sz w:val="24"/>
        </w:rPr>
        <w:t>incurring </w:t>
      </w:r>
      <w:r>
        <w:rPr>
          <w:i/>
          <w:sz w:val="24"/>
        </w:rPr>
        <w:t>materially </w:t>
      </w:r>
      <w:r>
        <w:rPr>
          <w:sz w:val="24"/>
        </w:rPr>
        <w:t>lower costs in providing </w:t>
      </w:r>
      <w:r>
        <w:rPr>
          <w:i/>
          <w:sz w:val="24"/>
        </w:rPr>
        <w:t>direct control services </w:t>
      </w:r>
      <w:r>
        <w:rPr>
          <w:sz w:val="24"/>
        </w:rPr>
        <w:t>than it would have incurred but for that event.</w:t>
      </w:r>
    </w:p>
    <w:p>
      <w:pPr>
        <w:spacing w:before="120"/>
        <w:ind w:left="1352" w:right="415" w:firstLine="0"/>
        <w:jc w:val="both"/>
        <w:rPr>
          <w:sz w:val="24"/>
        </w:rPr>
      </w:pPr>
      <w:r>
        <w:rPr>
          <w:sz w:val="24"/>
        </w:rPr>
        <w:t>For a </w:t>
      </w:r>
      <w:r>
        <w:rPr>
          <w:i/>
          <w:sz w:val="24"/>
        </w:rPr>
        <w:t>Transmission Network Service Provider</w:t>
      </w:r>
      <w:r>
        <w:rPr>
          <w:sz w:val="24"/>
        </w:rPr>
        <w:t>, a </w:t>
      </w:r>
      <w:r>
        <w:rPr>
          <w:i/>
          <w:sz w:val="24"/>
        </w:rPr>
        <w:t>pass through event </w:t>
      </w:r>
      <w:r>
        <w:rPr>
          <w:sz w:val="24"/>
        </w:rPr>
        <w:t>which entails the </w:t>
      </w:r>
      <w:r>
        <w:rPr>
          <w:i/>
          <w:sz w:val="24"/>
        </w:rPr>
        <w:t>Transmission Network Service Provider </w:t>
      </w:r>
      <w:r>
        <w:rPr>
          <w:sz w:val="24"/>
        </w:rPr>
        <w:t>incurring </w:t>
      </w:r>
      <w:r>
        <w:rPr>
          <w:i/>
          <w:sz w:val="24"/>
        </w:rPr>
        <w:t>materially </w:t>
      </w:r>
      <w:r>
        <w:rPr>
          <w:sz w:val="24"/>
        </w:rPr>
        <w:t>lower costs in providing </w:t>
      </w:r>
      <w:r>
        <w:rPr>
          <w:i/>
          <w:sz w:val="24"/>
        </w:rPr>
        <w:t>prescribed transmission services </w:t>
      </w:r>
      <w:r>
        <w:rPr>
          <w:sz w:val="24"/>
        </w:rPr>
        <w:t>than it would have incurred but for that</w:t>
      </w:r>
      <w:r>
        <w:rPr>
          <w:spacing w:val="-1"/>
          <w:sz w:val="24"/>
        </w:rPr>
        <w:t> </w:t>
      </w:r>
      <w:r>
        <w:rPr>
          <w:sz w:val="24"/>
        </w:rPr>
        <w:t>event.</w:t>
      </w:r>
    </w:p>
    <w:p>
      <w:pPr>
        <w:pStyle w:val="Heading5"/>
        <w:rPr>
          <w:i/>
        </w:rPr>
      </w:pPr>
      <w:r>
        <w:rPr>
          <w:i/>
        </w:rPr>
        <w:t>negative network support event</w:t>
      </w:r>
    </w:p>
    <w:p>
      <w:pPr>
        <w:spacing w:before="120"/>
        <w:ind w:left="1352" w:right="415" w:firstLine="0"/>
        <w:jc w:val="both"/>
        <w:rPr>
          <w:sz w:val="24"/>
        </w:rPr>
      </w:pPr>
      <w:r>
        <w:rPr>
          <w:sz w:val="24"/>
        </w:rPr>
        <w:t>A </w:t>
      </w:r>
      <w:r>
        <w:rPr>
          <w:i/>
          <w:sz w:val="24"/>
        </w:rPr>
        <w:t>network support event </w:t>
      </w:r>
      <w:r>
        <w:rPr>
          <w:sz w:val="24"/>
        </w:rPr>
        <w:t>which entails a </w:t>
      </w:r>
      <w:r>
        <w:rPr>
          <w:i/>
          <w:sz w:val="24"/>
        </w:rPr>
        <w:t>Transmission Network Service Provider </w:t>
      </w:r>
      <w:r>
        <w:rPr>
          <w:sz w:val="24"/>
        </w:rPr>
        <w:t>making lower </w:t>
      </w:r>
      <w:r>
        <w:rPr>
          <w:i/>
          <w:sz w:val="24"/>
        </w:rPr>
        <w:t>network support payments </w:t>
      </w:r>
      <w:r>
        <w:rPr>
          <w:sz w:val="24"/>
        </w:rPr>
        <w:t>in the preceding </w:t>
      </w:r>
      <w:r>
        <w:rPr>
          <w:i/>
          <w:sz w:val="24"/>
        </w:rPr>
        <w:t>regulatory year </w:t>
      </w:r>
      <w:r>
        <w:rPr>
          <w:sz w:val="24"/>
        </w:rPr>
        <w:t>than the amount of the </w:t>
      </w:r>
      <w:r>
        <w:rPr>
          <w:i/>
          <w:sz w:val="24"/>
        </w:rPr>
        <w:t>network support payment allowance </w:t>
      </w:r>
      <w:r>
        <w:rPr>
          <w:sz w:val="24"/>
        </w:rPr>
        <w:t>(if any) for that provider for that preceding </w:t>
      </w:r>
      <w:r>
        <w:rPr>
          <w:i/>
          <w:sz w:val="24"/>
        </w:rPr>
        <w:t>regulatory year</w:t>
      </w:r>
      <w:r>
        <w:rPr>
          <w:sz w:val="24"/>
        </w:rPr>
        <w:t>.</w:t>
      </w:r>
    </w:p>
    <w:p>
      <w:pPr>
        <w:pStyle w:val="Heading5"/>
        <w:rPr>
          <w:i/>
        </w:rPr>
      </w:pPr>
      <w:r>
        <w:rPr>
          <w:i/>
        </w:rPr>
        <w:t>negative pass through amount</w:t>
      </w:r>
    </w:p>
    <w:p>
      <w:pPr>
        <w:spacing w:before="120"/>
        <w:ind w:left="1352" w:right="415" w:firstLine="0"/>
        <w:jc w:val="both"/>
        <w:rPr>
          <w:sz w:val="24"/>
        </w:rPr>
      </w:pPr>
      <w:r>
        <w:rPr>
          <w:sz w:val="24"/>
        </w:rPr>
        <w:t>In respect of a </w:t>
      </w:r>
      <w:r>
        <w:rPr>
          <w:i/>
          <w:sz w:val="24"/>
        </w:rPr>
        <w:t>negative change event </w:t>
      </w:r>
      <w:r>
        <w:rPr>
          <w:sz w:val="24"/>
        </w:rPr>
        <w:t>for a </w:t>
      </w:r>
      <w:r>
        <w:rPr>
          <w:i/>
          <w:sz w:val="24"/>
        </w:rPr>
        <w:t>Transmission Network Service </w:t>
      </w:r>
      <w:r>
        <w:rPr>
          <w:i/>
          <w:sz w:val="24"/>
        </w:rPr>
        <w:t>Provider</w:t>
      </w:r>
      <w:r>
        <w:rPr>
          <w:sz w:val="24"/>
        </w:rPr>
        <w:t>, an amount that is not greater than a </w:t>
      </w:r>
      <w:r>
        <w:rPr>
          <w:i/>
          <w:sz w:val="24"/>
        </w:rPr>
        <w:t>required pass through amount </w:t>
      </w:r>
      <w:r>
        <w:rPr>
          <w:sz w:val="24"/>
        </w:rPr>
        <w:t>as determined by the </w:t>
      </w:r>
      <w:r>
        <w:rPr>
          <w:i/>
          <w:sz w:val="24"/>
        </w:rPr>
        <w:t>AER </w:t>
      </w:r>
      <w:r>
        <w:rPr>
          <w:sz w:val="24"/>
        </w:rPr>
        <w:t>under clause 6A.7.3(g).</w:t>
      </w:r>
    </w:p>
    <w:p>
      <w:pPr>
        <w:spacing w:before="120"/>
        <w:ind w:left="1352" w:right="415" w:firstLine="0"/>
        <w:jc w:val="both"/>
        <w:rPr>
          <w:sz w:val="24"/>
        </w:rPr>
      </w:pPr>
      <w:r>
        <w:rPr>
          <w:sz w:val="24"/>
        </w:rPr>
        <w:t>In respect of a </w:t>
      </w:r>
      <w:r>
        <w:rPr>
          <w:i/>
          <w:sz w:val="24"/>
        </w:rPr>
        <w:t>negative change event </w:t>
      </w:r>
      <w:r>
        <w:rPr>
          <w:sz w:val="24"/>
        </w:rPr>
        <w:t>or </w:t>
      </w:r>
      <w:r>
        <w:rPr>
          <w:i/>
          <w:sz w:val="24"/>
        </w:rPr>
        <w:t>NT negative change event </w:t>
      </w:r>
      <w:r>
        <w:rPr>
          <w:sz w:val="24"/>
        </w:rPr>
        <w:t>for a </w:t>
      </w:r>
      <w:r>
        <w:rPr>
          <w:i/>
          <w:sz w:val="24"/>
        </w:rPr>
        <w:t>Distribution Network Service Provider</w:t>
      </w:r>
      <w:r>
        <w:rPr>
          <w:sz w:val="24"/>
        </w:rPr>
        <w:t>, an amount that is not greater than a </w:t>
      </w:r>
      <w:r>
        <w:rPr>
          <w:i/>
          <w:sz w:val="24"/>
        </w:rPr>
        <w:t>required pass through amount </w:t>
      </w:r>
      <w:r>
        <w:rPr>
          <w:sz w:val="24"/>
        </w:rPr>
        <w:t>as determined by the </w:t>
      </w:r>
      <w:r>
        <w:rPr>
          <w:i/>
          <w:sz w:val="24"/>
        </w:rPr>
        <w:t>AER </w:t>
      </w:r>
      <w:r>
        <w:rPr>
          <w:sz w:val="24"/>
        </w:rPr>
        <w:t>under clause 6.6.1(g) or 6.6.1AB(g).</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modification to this definition expires on 1 July 2024.</w:t>
      </w:r>
    </w:p>
    <w:p>
      <w:pPr>
        <w:pStyle w:val="Heading5"/>
        <w:rPr>
          <w:i/>
        </w:rPr>
      </w:pPr>
      <w:r>
        <w:rPr>
          <w:i/>
        </w:rPr>
        <w:t>negotiable service</w:t>
      </w:r>
    </w:p>
    <w:p>
      <w:pPr>
        <w:pStyle w:val="ListParagraph"/>
        <w:numPr>
          <w:ilvl w:val="0"/>
          <w:numId w:val="771"/>
        </w:numPr>
        <w:tabs>
          <w:tab w:pos="1919" w:val="left" w:leader="none"/>
        </w:tabs>
        <w:spacing w:line="240" w:lineRule="auto" w:before="120" w:after="0"/>
        <w:ind w:left="1918" w:right="0" w:hanging="567"/>
        <w:jc w:val="both"/>
        <w:rPr>
          <w:sz w:val="24"/>
        </w:rPr>
      </w:pPr>
      <w:r>
        <w:rPr>
          <w:sz w:val="24"/>
        </w:rPr>
        <w:t>In relation to </w:t>
      </w:r>
      <w:r>
        <w:rPr>
          <w:i/>
          <w:sz w:val="24"/>
        </w:rPr>
        <w:t>transmission services </w:t>
      </w:r>
      <w:r>
        <w:rPr>
          <w:sz w:val="24"/>
        </w:rPr>
        <w:t>means </w:t>
      </w:r>
      <w:r>
        <w:rPr>
          <w:i/>
          <w:sz w:val="24"/>
        </w:rPr>
        <w:t>negotiated transmission</w:t>
      </w:r>
      <w:r>
        <w:rPr>
          <w:i/>
          <w:spacing w:val="-18"/>
          <w:sz w:val="24"/>
        </w:rPr>
        <w:t> </w:t>
      </w:r>
      <w:r>
        <w:rPr>
          <w:i/>
          <w:sz w:val="24"/>
        </w:rPr>
        <w:t>services</w:t>
      </w:r>
      <w:r>
        <w:rPr>
          <w:sz w:val="24"/>
        </w:rPr>
        <w:t>.</w:t>
      </w:r>
    </w:p>
    <w:p>
      <w:pPr>
        <w:pStyle w:val="ListParagraph"/>
        <w:numPr>
          <w:ilvl w:val="0"/>
          <w:numId w:val="771"/>
        </w:numPr>
        <w:tabs>
          <w:tab w:pos="1919" w:val="left" w:leader="none"/>
        </w:tabs>
        <w:spacing w:line="240" w:lineRule="auto" w:before="120" w:after="0"/>
        <w:ind w:left="1918" w:right="0" w:hanging="567"/>
        <w:jc w:val="both"/>
        <w:rPr>
          <w:sz w:val="24"/>
        </w:rPr>
      </w:pPr>
      <w:r>
        <w:rPr>
          <w:sz w:val="24"/>
        </w:rPr>
        <w:t>In relation to </w:t>
      </w:r>
      <w:r>
        <w:rPr>
          <w:i/>
          <w:sz w:val="24"/>
        </w:rPr>
        <w:t>distribution services </w:t>
      </w:r>
      <w:r>
        <w:rPr>
          <w:sz w:val="24"/>
        </w:rPr>
        <w:t>means </w:t>
      </w:r>
      <w:r>
        <w:rPr>
          <w:i/>
          <w:sz w:val="24"/>
        </w:rPr>
        <w:t>negotiated distribution</w:t>
      </w:r>
      <w:r>
        <w:rPr>
          <w:i/>
          <w:spacing w:val="-14"/>
          <w:sz w:val="24"/>
        </w:rPr>
        <w:t> </w:t>
      </w:r>
      <w:r>
        <w:rPr>
          <w:i/>
          <w:sz w:val="24"/>
        </w:rPr>
        <w:t>services</w:t>
      </w:r>
      <w:r>
        <w:rPr>
          <w:sz w:val="24"/>
        </w:rPr>
        <w:t>.</w:t>
      </w:r>
    </w:p>
    <w:p>
      <w:pPr>
        <w:pStyle w:val="Heading5"/>
        <w:rPr>
          <w:i/>
        </w:rPr>
      </w:pPr>
      <w:r>
        <w:rPr>
          <w:i/>
        </w:rPr>
        <w:t>negotiated access standard</w:t>
      </w:r>
    </w:p>
    <w:p>
      <w:pPr>
        <w:pStyle w:val="BodyText"/>
        <w:ind w:left="1352" w:right="415" w:firstLine="0"/>
      </w:pPr>
      <w:r>
        <w:rPr/>
        <w:t>In relation to a technical requirement of access for a particular </w:t>
      </w:r>
      <w:r>
        <w:rPr>
          <w:i/>
        </w:rPr>
        <w:t>plant</w:t>
      </w:r>
      <w:r>
        <w:rPr/>
        <w:t>, an agreed standard of performance determined in accordance with clause 5.3.4A and identified as a negotiated access standard for that technical requirement in a </w:t>
      </w:r>
      <w:r>
        <w:rPr>
          <w:i/>
        </w:rPr>
        <w:t>connection agreement</w:t>
      </w:r>
      <w:r>
        <w:rPr/>
        <w:t>.</w:t>
      </w:r>
    </w:p>
    <w:p>
      <w:pPr>
        <w:pStyle w:val="Heading5"/>
        <w:rPr>
          <w:i/>
        </w:rPr>
      </w:pPr>
      <w:r>
        <w:rPr>
          <w:i/>
        </w:rPr>
        <w:t>negotiated distribution service</w:t>
      </w:r>
    </w:p>
    <w:p>
      <w:pPr>
        <w:spacing w:before="120"/>
        <w:ind w:left="1352" w:right="416" w:firstLine="0"/>
        <w:jc w:val="both"/>
        <w:rPr>
          <w:sz w:val="24"/>
        </w:rPr>
      </w:pPr>
      <w:r>
        <w:rPr>
          <w:sz w:val="24"/>
        </w:rPr>
        <w:t>A </w:t>
      </w:r>
      <w:r>
        <w:rPr>
          <w:i/>
          <w:sz w:val="24"/>
        </w:rPr>
        <w:t>distribution service </w:t>
      </w:r>
      <w:r>
        <w:rPr>
          <w:sz w:val="24"/>
        </w:rPr>
        <w:t>that is a negotiated network service within the meaning of section 2C of the Law;</w:t>
      </w:r>
    </w:p>
    <w:p>
      <w:pPr>
        <w:pStyle w:val="Heading5"/>
        <w:rPr>
          <w:i/>
        </w:rPr>
      </w:pPr>
      <w:r>
        <w:rPr>
          <w:i/>
        </w:rPr>
        <w:t>Negotiated Distribution Service Criteria</w:t>
      </w:r>
    </w:p>
    <w:p>
      <w:pPr>
        <w:pStyle w:val="BodyText"/>
        <w:ind w:left="1352" w:right="415" w:firstLine="0"/>
      </w:pPr>
      <w:r>
        <w:rPr/>
        <w:t>The criteria specified in a distribution determination in accordance with clause 6.7.4.</w:t>
      </w:r>
    </w:p>
    <w:p>
      <w:pPr>
        <w:pStyle w:val="Heading5"/>
        <w:rPr>
          <w:i/>
        </w:rPr>
      </w:pPr>
      <w:r>
        <w:rPr>
          <w:i/>
        </w:rPr>
        <w:t>Negotiated Distribution Service Principles</w:t>
      </w:r>
    </w:p>
    <w:p>
      <w:pPr>
        <w:pStyle w:val="BodyText"/>
        <w:ind w:left="1352" w:firstLine="0"/>
      </w:pPr>
      <w:r>
        <w:rPr/>
        <w:t>The principles set out in clause 6.7.1.</w:t>
      </w:r>
    </w:p>
    <w:p>
      <w:pPr>
        <w:spacing w:after="0"/>
        <w:sectPr>
          <w:pgSz w:w="11910" w:h="16840"/>
          <w:pgMar w:header="686" w:footer="637" w:top="1320" w:bottom="820" w:left="1200" w:right="1000"/>
        </w:sectPr>
      </w:pPr>
    </w:p>
    <w:p>
      <w:pPr>
        <w:pStyle w:val="Heading5"/>
        <w:spacing w:before="83"/>
        <w:rPr>
          <w:i/>
        </w:rPr>
      </w:pPr>
      <w:r>
        <w:rPr>
          <w:i/>
        </w:rPr>
        <w:t>negotiated transmission service</w:t>
      </w:r>
    </w:p>
    <w:p>
      <w:pPr>
        <w:pStyle w:val="BodyText"/>
        <w:ind w:left="1352" w:firstLine="0"/>
      </w:pPr>
      <w:r>
        <w:rPr/>
        <w:t>Any of the following services:</w:t>
      </w:r>
    </w:p>
    <w:p>
      <w:pPr>
        <w:pStyle w:val="ListParagraph"/>
        <w:numPr>
          <w:ilvl w:val="0"/>
          <w:numId w:val="772"/>
        </w:numPr>
        <w:tabs>
          <w:tab w:pos="1919" w:val="left" w:leader="none"/>
        </w:tabs>
        <w:spacing w:line="240" w:lineRule="auto" w:before="120" w:after="0"/>
        <w:ind w:left="1918" w:right="0" w:hanging="567"/>
        <w:jc w:val="both"/>
        <w:rPr>
          <w:sz w:val="24"/>
        </w:rPr>
      </w:pPr>
      <w:r>
        <w:rPr>
          <w:sz w:val="24"/>
        </w:rPr>
        <w:t>a </w:t>
      </w:r>
      <w:r>
        <w:rPr>
          <w:i/>
          <w:sz w:val="24"/>
        </w:rPr>
        <w:t>shared transmission service</w:t>
      </w:r>
      <w:r>
        <w:rPr>
          <w:i/>
          <w:spacing w:val="-3"/>
          <w:sz w:val="24"/>
        </w:rPr>
        <w:t> </w:t>
      </w:r>
      <w:r>
        <w:rPr>
          <w:sz w:val="24"/>
        </w:rPr>
        <w:t>that:</w:t>
      </w:r>
    </w:p>
    <w:p>
      <w:pPr>
        <w:pStyle w:val="ListParagraph"/>
        <w:numPr>
          <w:ilvl w:val="1"/>
          <w:numId w:val="772"/>
        </w:numPr>
        <w:tabs>
          <w:tab w:pos="2486" w:val="left" w:leader="none"/>
        </w:tabs>
        <w:spacing w:line="240" w:lineRule="auto" w:before="120" w:after="0"/>
        <w:ind w:left="2486" w:right="415" w:hanging="567"/>
        <w:jc w:val="both"/>
        <w:rPr>
          <w:sz w:val="24"/>
        </w:rPr>
      </w:pPr>
      <w:r>
        <w:rPr>
          <w:sz w:val="24"/>
        </w:rPr>
        <w:t>exceeds the </w:t>
      </w:r>
      <w:r>
        <w:rPr>
          <w:i/>
          <w:sz w:val="24"/>
        </w:rPr>
        <w:t>network </w:t>
      </w:r>
      <w:r>
        <w:rPr>
          <w:sz w:val="24"/>
        </w:rPr>
        <w:t>performance requirements (whether as to quality or quantity) (if any) as that </w:t>
      </w:r>
      <w:r>
        <w:rPr>
          <w:i/>
          <w:sz w:val="24"/>
        </w:rPr>
        <w:t>shared transmission service </w:t>
      </w:r>
      <w:r>
        <w:rPr>
          <w:sz w:val="24"/>
        </w:rPr>
        <w:t>is required to meet under any </w:t>
      </w:r>
      <w:r>
        <w:rPr>
          <w:i/>
          <w:sz w:val="24"/>
        </w:rPr>
        <w:t>jurisdictional electricity legislation</w:t>
      </w:r>
      <w:r>
        <w:rPr>
          <w:sz w:val="24"/>
        </w:rPr>
        <w:t>;</w:t>
      </w:r>
      <w:r>
        <w:rPr>
          <w:spacing w:val="-2"/>
          <w:sz w:val="24"/>
        </w:rPr>
        <w:t> </w:t>
      </w:r>
      <w:r>
        <w:rPr>
          <w:sz w:val="24"/>
        </w:rPr>
        <w:t>or</w:t>
      </w:r>
    </w:p>
    <w:p>
      <w:pPr>
        <w:pStyle w:val="ListParagraph"/>
        <w:numPr>
          <w:ilvl w:val="1"/>
          <w:numId w:val="772"/>
        </w:numPr>
        <w:tabs>
          <w:tab w:pos="2486" w:val="left" w:leader="none"/>
        </w:tabs>
        <w:spacing w:line="240" w:lineRule="auto" w:before="120" w:after="0"/>
        <w:ind w:left="2486" w:right="414" w:hanging="567"/>
        <w:jc w:val="both"/>
        <w:rPr>
          <w:sz w:val="24"/>
        </w:rPr>
      </w:pPr>
      <w:r>
        <w:rPr>
          <w:sz w:val="24"/>
        </w:rPr>
        <w:t>except to the extent that the </w:t>
      </w:r>
      <w:r>
        <w:rPr>
          <w:i/>
          <w:sz w:val="24"/>
        </w:rPr>
        <w:t>network </w:t>
      </w:r>
      <w:r>
        <w:rPr>
          <w:sz w:val="24"/>
        </w:rPr>
        <w:t>performance requirements which that </w:t>
      </w:r>
      <w:r>
        <w:rPr>
          <w:i/>
          <w:sz w:val="24"/>
        </w:rPr>
        <w:t>shared transmission service </w:t>
      </w:r>
      <w:r>
        <w:rPr>
          <w:sz w:val="24"/>
        </w:rPr>
        <w:t>is required to meet are prescribed under any </w:t>
      </w:r>
      <w:r>
        <w:rPr>
          <w:i/>
          <w:sz w:val="24"/>
        </w:rPr>
        <w:t>jurisdictional electricity legislation</w:t>
      </w:r>
      <w:r>
        <w:rPr>
          <w:sz w:val="24"/>
        </w:rPr>
        <w:t>, exceeds or does not meet the </w:t>
      </w:r>
      <w:r>
        <w:rPr>
          <w:i/>
          <w:sz w:val="24"/>
        </w:rPr>
        <w:t>network </w:t>
      </w:r>
      <w:r>
        <w:rPr>
          <w:sz w:val="24"/>
        </w:rPr>
        <w:t>performance requirements (whether as to quality or quantity) as are set out in schedule 5.1a or</w:t>
      </w:r>
      <w:r>
        <w:rPr>
          <w:spacing w:val="-2"/>
          <w:sz w:val="24"/>
        </w:rPr>
        <w:t> </w:t>
      </w:r>
      <w:r>
        <w:rPr>
          <w:sz w:val="24"/>
        </w:rPr>
        <w:t>5.1;</w:t>
      </w:r>
    </w:p>
    <w:p>
      <w:pPr>
        <w:pStyle w:val="ListParagraph"/>
        <w:numPr>
          <w:ilvl w:val="0"/>
          <w:numId w:val="772"/>
        </w:numPr>
        <w:tabs>
          <w:tab w:pos="1919" w:val="left" w:leader="none"/>
        </w:tabs>
        <w:spacing w:line="240" w:lineRule="auto" w:before="120" w:after="0"/>
        <w:ind w:left="1919" w:right="415" w:hanging="567"/>
        <w:jc w:val="both"/>
        <w:rPr>
          <w:sz w:val="24"/>
        </w:rPr>
      </w:pPr>
      <w:r>
        <w:rPr>
          <w:i/>
          <w:sz w:val="24"/>
        </w:rPr>
        <w:t>connection services </w:t>
      </w:r>
      <w:r>
        <w:rPr>
          <w:sz w:val="24"/>
        </w:rPr>
        <w:t>that are provided to serve a </w:t>
      </w:r>
      <w:r>
        <w:rPr>
          <w:i/>
          <w:sz w:val="24"/>
        </w:rPr>
        <w:t>Transmission Network User</w:t>
      </w:r>
      <w:r>
        <w:rPr>
          <w:sz w:val="24"/>
        </w:rPr>
        <w:t>, or group of </w:t>
      </w:r>
      <w:r>
        <w:rPr>
          <w:i/>
          <w:sz w:val="24"/>
        </w:rPr>
        <w:t>Transmission Network Users</w:t>
      </w:r>
      <w:r>
        <w:rPr>
          <w:sz w:val="24"/>
        </w:rPr>
        <w:t>, at a </w:t>
      </w:r>
      <w:r>
        <w:rPr>
          <w:i/>
          <w:sz w:val="24"/>
        </w:rPr>
        <w:t>single transmission network </w:t>
      </w:r>
      <w:r>
        <w:rPr>
          <w:i/>
          <w:sz w:val="24"/>
        </w:rPr>
        <w:t>connection point</w:t>
      </w:r>
      <w:r>
        <w:rPr>
          <w:sz w:val="24"/>
        </w:rPr>
        <w:t>, other than </w:t>
      </w:r>
      <w:r>
        <w:rPr>
          <w:i/>
          <w:sz w:val="24"/>
        </w:rPr>
        <w:t>connection services </w:t>
      </w:r>
      <w:r>
        <w:rPr>
          <w:sz w:val="24"/>
        </w:rPr>
        <w:t>that are provided by one </w:t>
      </w:r>
      <w:r>
        <w:rPr>
          <w:i/>
          <w:sz w:val="24"/>
        </w:rPr>
        <w:t>Network Service Provider </w:t>
      </w:r>
      <w:r>
        <w:rPr>
          <w:sz w:val="24"/>
        </w:rPr>
        <w:t>to another </w:t>
      </w:r>
      <w:r>
        <w:rPr>
          <w:i/>
          <w:sz w:val="24"/>
        </w:rPr>
        <w:t>Network Service Provider </w:t>
      </w:r>
      <w:r>
        <w:rPr>
          <w:sz w:val="24"/>
        </w:rPr>
        <w:t>to </w:t>
      </w:r>
      <w:r>
        <w:rPr>
          <w:i/>
          <w:spacing w:val="-3"/>
          <w:sz w:val="24"/>
        </w:rPr>
        <w:t>connect </w:t>
      </w:r>
      <w:r>
        <w:rPr>
          <w:sz w:val="24"/>
        </w:rPr>
        <w:t>their </w:t>
      </w:r>
      <w:r>
        <w:rPr>
          <w:i/>
          <w:sz w:val="24"/>
        </w:rPr>
        <w:t>networks </w:t>
      </w:r>
      <w:r>
        <w:rPr>
          <w:sz w:val="24"/>
        </w:rPr>
        <w:t>where neither of the </w:t>
      </w:r>
      <w:r>
        <w:rPr>
          <w:i/>
          <w:sz w:val="24"/>
        </w:rPr>
        <w:t>Network Service Providers </w:t>
      </w:r>
      <w:r>
        <w:rPr>
          <w:sz w:val="24"/>
        </w:rPr>
        <w:t>is a </w:t>
      </w:r>
      <w:r>
        <w:rPr>
          <w:i/>
          <w:sz w:val="24"/>
        </w:rPr>
        <w:t>Market </w:t>
      </w:r>
      <w:r>
        <w:rPr>
          <w:i/>
          <w:sz w:val="24"/>
        </w:rPr>
        <w:t>Network Service</w:t>
      </w:r>
      <w:r>
        <w:rPr>
          <w:i/>
          <w:spacing w:val="-1"/>
          <w:sz w:val="24"/>
        </w:rPr>
        <w:t> </w:t>
      </w:r>
      <w:r>
        <w:rPr>
          <w:i/>
          <w:sz w:val="24"/>
        </w:rPr>
        <w:t>Provider</w:t>
      </w:r>
      <w:r>
        <w:rPr>
          <w:sz w:val="24"/>
        </w:rPr>
        <w:t>;</w:t>
      </w:r>
    </w:p>
    <w:p>
      <w:pPr>
        <w:pStyle w:val="ListParagraph"/>
        <w:numPr>
          <w:ilvl w:val="0"/>
          <w:numId w:val="772"/>
        </w:numPr>
        <w:tabs>
          <w:tab w:pos="1919" w:val="left" w:leader="none"/>
        </w:tabs>
        <w:spacing w:line="240" w:lineRule="auto" w:before="120" w:after="0"/>
        <w:ind w:left="1919" w:right="417" w:hanging="567"/>
        <w:jc w:val="both"/>
        <w:rPr>
          <w:sz w:val="24"/>
        </w:rPr>
      </w:pPr>
      <w:r>
        <w:rPr>
          <w:sz w:val="24"/>
        </w:rPr>
        <w:t>services specified to be </w:t>
      </w:r>
      <w:r>
        <w:rPr>
          <w:i/>
          <w:sz w:val="24"/>
        </w:rPr>
        <w:t>negotiated transmission services </w:t>
      </w:r>
      <w:r>
        <w:rPr>
          <w:sz w:val="24"/>
        </w:rPr>
        <w:t>under rule 5.2A.4; or</w:t>
      </w:r>
    </w:p>
    <w:p>
      <w:pPr>
        <w:pStyle w:val="ListParagraph"/>
        <w:numPr>
          <w:ilvl w:val="0"/>
          <w:numId w:val="772"/>
        </w:numPr>
        <w:tabs>
          <w:tab w:pos="1919" w:val="left" w:leader="none"/>
        </w:tabs>
        <w:spacing w:line="240" w:lineRule="auto" w:before="120" w:after="0"/>
        <w:ind w:left="1918" w:right="0" w:hanging="567"/>
        <w:jc w:val="both"/>
        <w:rPr>
          <w:sz w:val="24"/>
        </w:rPr>
      </w:pPr>
      <w:r>
        <w:rPr>
          <w:sz w:val="24"/>
        </w:rPr>
        <w:t>undertaking </w:t>
      </w:r>
      <w:r>
        <w:rPr>
          <w:i/>
          <w:sz w:val="24"/>
        </w:rPr>
        <w:t>system strength connection</w:t>
      </w:r>
      <w:r>
        <w:rPr>
          <w:i/>
          <w:spacing w:val="-3"/>
          <w:sz w:val="24"/>
        </w:rPr>
        <w:t> </w:t>
      </w:r>
      <w:r>
        <w:rPr>
          <w:i/>
          <w:sz w:val="24"/>
        </w:rPr>
        <w:t>works</w:t>
      </w:r>
      <w:r>
        <w:rPr>
          <w:sz w:val="24"/>
        </w:rPr>
        <w:t>,</w:t>
      </w:r>
    </w:p>
    <w:p>
      <w:pPr>
        <w:spacing w:before="120"/>
        <w:ind w:left="1352" w:right="0" w:firstLine="0"/>
        <w:jc w:val="both"/>
        <w:rPr>
          <w:sz w:val="24"/>
        </w:rPr>
      </w:pPr>
      <w:r>
        <w:rPr>
          <w:sz w:val="24"/>
        </w:rPr>
        <w:t>but does not include an </w:t>
      </w:r>
      <w:r>
        <w:rPr>
          <w:i/>
          <w:sz w:val="24"/>
        </w:rPr>
        <w:t>above-standard system shared transmission service </w:t>
      </w:r>
      <w:r>
        <w:rPr>
          <w:sz w:val="24"/>
        </w:rPr>
        <w:t>or a</w:t>
      </w:r>
    </w:p>
    <w:p>
      <w:pPr>
        <w:spacing w:before="0"/>
        <w:ind w:left="1352" w:right="0" w:firstLine="0"/>
        <w:jc w:val="both"/>
        <w:rPr>
          <w:sz w:val="24"/>
        </w:rPr>
      </w:pPr>
      <w:r>
        <w:rPr>
          <w:i/>
          <w:sz w:val="24"/>
        </w:rPr>
        <w:t>market network service</w:t>
      </w:r>
      <w:r>
        <w:rPr>
          <w:sz w:val="24"/>
        </w:rPr>
        <w:t>.</w:t>
      </w:r>
    </w:p>
    <w:p>
      <w:pPr>
        <w:pStyle w:val="Heading5"/>
        <w:rPr>
          <w:i/>
        </w:rPr>
      </w:pPr>
      <w:r>
        <w:rPr>
          <w:i/>
        </w:rPr>
        <w:t>negotiated use of system charges</w:t>
      </w:r>
    </w:p>
    <w:p>
      <w:pPr>
        <w:pStyle w:val="BodyText"/>
        <w:ind w:left="1352" w:firstLine="0"/>
      </w:pPr>
      <w:r>
        <w:rPr/>
        <w:t>The charges described in clause 5.3AA(f)(3).</w:t>
      </w:r>
    </w:p>
    <w:p>
      <w:pPr>
        <w:pStyle w:val="Heading5"/>
        <w:rPr>
          <w:i/>
        </w:rPr>
      </w:pPr>
      <w:r>
        <w:rPr>
          <w:i/>
        </w:rPr>
        <w:t>negotiated use of system service</w:t>
      </w:r>
    </w:p>
    <w:p>
      <w:pPr>
        <w:spacing w:before="120"/>
        <w:ind w:left="1352" w:right="0" w:firstLine="0"/>
        <w:jc w:val="both"/>
        <w:rPr>
          <w:sz w:val="24"/>
        </w:rPr>
      </w:pPr>
      <w:r>
        <w:rPr>
          <w:sz w:val="24"/>
        </w:rPr>
        <w:t>A </w:t>
      </w:r>
      <w:r>
        <w:rPr>
          <w:i/>
          <w:sz w:val="24"/>
        </w:rPr>
        <w:t>use of system service </w:t>
      </w:r>
      <w:r>
        <w:rPr>
          <w:sz w:val="24"/>
        </w:rPr>
        <w:t>in respect of which:</w:t>
      </w:r>
    </w:p>
    <w:p>
      <w:pPr>
        <w:pStyle w:val="ListParagraph"/>
        <w:numPr>
          <w:ilvl w:val="0"/>
          <w:numId w:val="773"/>
        </w:numPr>
        <w:tabs>
          <w:tab w:pos="1919" w:val="left" w:leader="none"/>
        </w:tabs>
        <w:spacing w:line="240" w:lineRule="auto" w:before="120" w:after="0"/>
        <w:ind w:left="1919" w:right="416" w:hanging="567"/>
        <w:jc w:val="both"/>
        <w:rPr>
          <w:sz w:val="24"/>
        </w:rPr>
      </w:pPr>
      <w:r>
        <w:rPr>
          <w:sz w:val="24"/>
        </w:rPr>
        <w:t>an </w:t>
      </w:r>
      <w:r>
        <w:rPr>
          <w:i/>
          <w:sz w:val="24"/>
        </w:rPr>
        <w:t>Embedded Generator </w:t>
      </w:r>
      <w:r>
        <w:rPr>
          <w:sz w:val="24"/>
        </w:rPr>
        <w:t>may negotiate with a </w:t>
      </w:r>
      <w:r>
        <w:rPr>
          <w:i/>
          <w:sz w:val="24"/>
        </w:rPr>
        <w:t>Distribution Network Service </w:t>
      </w:r>
      <w:r>
        <w:rPr>
          <w:i/>
          <w:sz w:val="24"/>
        </w:rPr>
        <w:t>Provider</w:t>
      </w:r>
      <w:r>
        <w:rPr>
          <w:sz w:val="24"/>
        </w:rPr>
        <w:t>; or</w:t>
      </w:r>
    </w:p>
    <w:p>
      <w:pPr>
        <w:pStyle w:val="ListParagraph"/>
        <w:numPr>
          <w:ilvl w:val="0"/>
          <w:numId w:val="773"/>
        </w:numPr>
        <w:tabs>
          <w:tab w:pos="1919" w:val="left" w:leader="none"/>
        </w:tabs>
        <w:spacing w:line="240" w:lineRule="auto" w:before="120" w:after="0"/>
        <w:ind w:left="1919" w:right="416" w:hanging="567"/>
        <w:jc w:val="both"/>
        <w:rPr>
          <w:sz w:val="24"/>
        </w:rPr>
      </w:pPr>
      <w:r>
        <w:rPr>
          <w:sz w:val="24"/>
        </w:rPr>
        <w:t>a </w:t>
      </w:r>
      <w:r>
        <w:rPr>
          <w:i/>
          <w:sz w:val="24"/>
        </w:rPr>
        <w:t>Market Network Service Provider </w:t>
      </w:r>
      <w:r>
        <w:rPr>
          <w:sz w:val="24"/>
        </w:rPr>
        <w:t>may negotiate with a </w:t>
      </w:r>
      <w:r>
        <w:rPr>
          <w:i/>
          <w:sz w:val="24"/>
        </w:rPr>
        <w:t>Distribution </w:t>
      </w:r>
      <w:r>
        <w:rPr>
          <w:i/>
          <w:sz w:val="24"/>
        </w:rPr>
        <w:t>Network Service</w:t>
      </w:r>
      <w:r>
        <w:rPr>
          <w:i/>
          <w:spacing w:val="-1"/>
          <w:sz w:val="24"/>
        </w:rPr>
        <w:t> </w:t>
      </w:r>
      <w:r>
        <w:rPr>
          <w:i/>
          <w:sz w:val="24"/>
        </w:rPr>
        <w:t>Provider</w:t>
      </w:r>
      <w:r>
        <w:rPr>
          <w:sz w:val="24"/>
        </w:rPr>
        <w:t>,</w:t>
      </w:r>
    </w:p>
    <w:p>
      <w:pPr>
        <w:pStyle w:val="BodyText"/>
        <w:ind w:left="1352" w:firstLine="0"/>
      </w:pPr>
      <w:r>
        <w:rPr/>
        <w:t>in accordance with clause 5.3AA(f)(3).</w:t>
      </w:r>
    </w:p>
    <w:p>
      <w:pPr>
        <w:pStyle w:val="Heading5"/>
        <w:rPr>
          <w:i/>
        </w:rPr>
      </w:pPr>
      <w:r>
        <w:rPr>
          <w:i/>
        </w:rPr>
        <w:t>negotiating framework</w:t>
      </w:r>
    </w:p>
    <w:p>
      <w:pPr>
        <w:spacing w:before="120"/>
        <w:ind w:left="1352" w:right="416" w:firstLine="0"/>
        <w:jc w:val="both"/>
        <w:rPr>
          <w:sz w:val="24"/>
        </w:rPr>
      </w:pPr>
      <w:r>
        <w:rPr>
          <w:sz w:val="24"/>
        </w:rPr>
        <w:t>For a </w:t>
      </w:r>
      <w:r>
        <w:rPr>
          <w:i/>
          <w:sz w:val="24"/>
        </w:rPr>
        <w:t>Distribution Network Service Provider</w:t>
      </w:r>
      <w:r>
        <w:rPr>
          <w:sz w:val="24"/>
        </w:rPr>
        <w:t>, a negotiating framework as approved or substituted by the </w:t>
      </w:r>
      <w:r>
        <w:rPr>
          <w:i/>
          <w:sz w:val="24"/>
        </w:rPr>
        <w:t>AER </w:t>
      </w:r>
      <w:r>
        <w:rPr>
          <w:sz w:val="24"/>
        </w:rPr>
        <w:t>in its final decision under clause</w:t>
      </w:r>
      <w:r>
        <w:rPr>
          <w:spacing w:val="-9"/>
          <w:sz w:val="24"/>
        </w:rPr>
        <w:t> </w:t>
      </w:r>
      <w:r>
        <w:rPr>
          <w:sz w:val="24"/>
        </w:rPr>
        <w:t>6.12.1(15).</w:t>
      </w:r>
    </w:p>
    <w:p>
      <w:pPr>
        <w:pStyle w:val="Heading5"/>
        <w:rPr>
          <w:i/>
        </w:rPr>
      </w:pPr>
      <w:r>
        <w:rPr>
          <w:i/>
        </w:rPr>
        <w:t>negotiating principles</w:t>
      </w:r>
    </w:p>
    <w:p>
      <w:pPr>
        <w:pStyle w:val="BodyText"/>
        <w:ind w:left="1352" w:firstLine="0"/>
      </w:pPr>
      <w:r>
        <w:rPr/>
        <w:t>Those negotiating principles set out in schedule 5.11.</w:t>
      </w:r>
    </w:p>
    <w:p>
      <w:pPr>
        <w:spacing w:after="0"/>
        <w:sectPr>
          <w:pgSz w:w="11910" w:h="16840"/>
          <w:pgMar w:header="686" w:footer="637" w:top="1320" w:bottom="820" w:left="1200" w:right="1000"/>
        </w:sectPr>
      </w:pPr>
    </w:p>
    <w:p>
      <w:pPr>
        <w:pStyle w:val="Heading5"/>
        <w:spacing w:line="688" w:lineRule="auto"/>
        <w:ind w:right="-20"/>
        <w:jc w:val="left"/>
      </w:pPr>
      <w:r>
        <w:rPr>
          <w:i/>
        </w:rPr>
        <w:t>NEM </w:t>
      </w:r>
      <w:r>
        <w:rPr/>
        <w:t>NEMMCO</w:t>
      </w:r>
    </w:p>
    <w:p>
      <w:pPr>
        <w:pStyle w:val="BodyText"/>
        <w:spacing w:before="0"/>
        <w:ind w:firstLine="0"/>
        <w:jc w:val="left"/>
        <w:rPr>
          <w:b/>
          <w:i/>
          <w:sz w:val="26"/>
        </w:rPr>
      </w:pPr>
      <w:r>
        <w:rPr/>
        <w:br w:type="column"/>
      </w:r>
      <w:r>
        <w:rPr>
          <w:b/>
          <w:i/>
          <w:sz w:val="26"/>
        </w:rPr>
      </w:r>
    </w:p>
    <w:p>
      <w:pPr>
        <w:spacing w:before="217"/>
        <w:ind w:left="0" w:right="0" w:firstLine="0"/>
        <w:jc w:val="left"/>
        <w:rPr>
          <w:sz w:val="24"/>
        </w:rPr>
      </w:pPr>
      <w:r>
        <w:rPr>
          <w:sz w:val="24"/>
        </w:rPr>
        <w:t>The </w:t>
      </w:r>
      <w:r>
        <w:rPr>
          <w:i/>
          <w:sz w:val="24"/>
        </w:rPr>
        <w:t>National Electricity Market</w:t>
      </w:r>
      <w:r>
        <w:rPr>
          <w:sz w:val="24"/>
        </w:rPr>
        <w:t>.</w:t>
      </w:r>
    </w:p>
    <w:p>
      <w:pPr>
        <w:pStyle w:val="BodyText"/>
        <w:spacing w:before="0"/>
        <w:ind w:firstLine="0"/>
        <w:jc w:val="left"/>
        <w:rPr>
          <w:sz w:val="26"/>
        </w:rPr>
      </w:pPr>
    </w:p>
    <w:p>
      <w:pPr>
        <w:spacing w:before="217"/>
        <w:ind w:left="0" w:right="0" w:firstLine="0"/>
        <w:jc w:val="left"/>
        <w:rPr>
          <w:sz w:val="24"/>
        </w:rPr>
      </w:pPr>
      <w:r>
        <w:rPr>
          <w:sz w:val="24"/>
        </w:rPr>
        <w:t>Has the meaning given in the </w:t>
      </w:r>
      <w:r>
        <w:rPr>
          <w:i/>
          <w:sz w:val="24"/>
        </w:rPr>
        <w:t>National Electricity Law</w:t>
      </w:r>
      <w:r>
        <w:rPr>
          <w:sz w:val="24"/>
        </w:rPr>
        <w:t>.</w:t>
      </w:r>
    </w:p>
    <w:p>
      <w:pPr>
        <w:spacing w:after="0"/>
        <w:jc w:val="left"/>
        <w:rPr>
          <w:sz w:val="24"/>
        </w:rPr>
        <w:sectPr>
          <w:type w:val="continuous"/>
          <w:pgSz w:w="11910" w:h="16840"/>
          <w:pgMar w:top="1360" w:bottom="280" w:left="1200" w:right="1000"/>
          <w:cols w:num="2" w:equalWidth="0">
            <w:col w:w="1312" w:space="40"/>
            <w:col w:w="8358"/>
          </w:cols>
        </w:sectPr>
      </w:pPr>
    </w:p>
    <w:p>
      <w:pPr>
        <w:pStyle w:val="Heading5"/>
        <w:spacing w:line="688" w:lineRule="auto" w:before="83"/>
        <w:ind w:right="166"/>
        <w:jc w:val="left"/>
      </w:pPr>
      <w:r>
        <w:rPr>
          <w:i/>
        </w:rPr>
        <w:t>NERL </w:t>
      </w:r>
      <w:r>
        <w:rPr/>
        <w:t>NERR</w:t>
      </w:r>
    </w:p>
    <w:p>
      <w:pPr>
        <w:spacing w:before="0"/>
        <w:ind w:left="218" w:right="0" w:firstLine="0"/>
        <w:jc w:val="left"/>
        <w:rPr>
          <w:b/>
          <w:i/>
          <w:sz w:val="24"/>
        </w:rPr>
      </w:pPr>
      <w:r>
        <w:rPr>
          <w:b/>
          <w:i/>
          <w:sz w:val="24"/>
        </w:rPr>
        <w:t>network</w:t>
      </w:r>
    </w:p>
    <w:p>
      <w:pPr>
        <w:pStyle w:val="BodyText"/>
        <w:spacing w:before="0"/>
        <w:ind w:firstLine="0"/>
        <w:jc w:val="left"/>
        <w:rPr>
          <w:b/>
          <w:i/>
          <w:sz w:val="26"/>
        </w:rPr>
      </w:pPr>
      <w:r>
        <w:rPr/>
        <w:br w:type="column"/>
      </w:r>
      <w:r>
        <w:rPr>
          <w:b/>
          <w:i/>
          <w:sz w:val="26"/>
        </w:rPr>
      </w:r>
    </w:p>
    <w:p>
      <w:pPr>
        <w:spacing w:line="688" w:lineRule="auto" w:before="180"/>
        <w:ind w:left="218" w:right="5458" w:firstLine="0"/>
        <w:jc w:val="left"/>
        <w:rPr>
          <w:sz w:val="24"/>
        </w:rPr>
      </w:pPr>
      <w:r>
        <w:rPr>
          <w:i/>
          <w:sz w:val="24"/>
        </w:rPr>
        <w:t>National Energy Retail Law</w:t>
      </w:r>
      <w:r>
        <w:rPr>
          <w:sz w:val="24"/>
        </w:rPr>
        <w:t>. </w:t>
      </w:r>
      <w:r>
        <w:rPr>
          <w:i/>
          <w:sz w:val="24"/>
        </w:rPr>
        <w:t>National Energy Retail Rules</w:t>
      </w:r>
      <w:r>
        <w:rPr>
          <w:sz w:val="24"/>
        </w:rPr>
        <w:t>.</w:t>
      </w:r>
    </w:p>
    <w:p>
      <w:pPr>
        <w:spacing w:before="0"/>
        <w:ind w:left="218" w:right="415" w:firstLine="0"/>
        <w:jc w:val="both"/>
        <w:rPr>
          <w:sz w:val="24"/>
        </w:rPr>
      </w:pPr>
      <w:r>
        <w:rPr>
          <w:sz w:val="24"/>
        </w:rPr>
        <w:t>The apparatus, equipment, plant and buildings used to convey, and control the conveyance of, electricity to customers (whether wholesale or retail) excluding any </w:t>
      </w:r>
      <w:r>
        <w:rPr>
          <w:i/>
          <w:sz w:val="24"/>
        </w:rPr>
        <w:t>connection assets</w:t>
      </w:r>
      <w:r>
        <w:rPr>
          <w:sz w:val="24"/>
        </w:rPr>
        <w:t>. In relation to a </w:t>
      </w:r>
      <w:r>
        <w:rPr>
          <w:i/>
          <w:sz w:val="24"/>
        </w:rPr>
        <w:t>Network Service Provider</w:t>
      </w:r>
      <w:r>
        <w:rPr>
          <w:sz w:val="24"/>
        </w:rPr>
        <w:t>, a </w:t>
      </w:r>
      <w:r>
        <w:rPr>
          <w:i/>
          <w:sz w:val="24"/>
        </w:rPr>
        <w:t>network </w:t>
      </w:r>
      <w:r>
        <w:rPr>
          <w:sz w:val="24"/>
        </w:rPr>
        <w:t>owned, operated or controlled by that </w:t>
      </w:r>
      <w:r>
        <w:rPr>
          <w:i/>
          <w:sz w:val="24"/>
        </w:rPr>
        <w:t>Network Service</w:t>
      </w:r>
      <w:r>
        <w:rPr>
          <w:i/>
          <w:spacing w:val="-1"/>
          <w:sz w:val="24"/>
        </w:rPr>
        <w:t> </w:t>
      </w:r>
      <w:r>
        <w:rPr>
          <w:i/>
          <w:sz w:val="24"/>
        </w:rPr>
        <w:t>Provider</w:t>
      </w:r>
      <w:r>
        <w:rPr>
          <w:sz w:val="24"/>
        </w:rPr>
        <w:t>.</w:t>
      </w:r>
    </w:p>
    <w:p>
      <w:pPr>
        <w:spacing w:after="0"/>
        <w:jc w:val="both"/>
        <w:rPr>
          <w:sz w:val="24"/>
        </w:rPr>
        <w:sectPr>
          <w:pgSz w:w="11910" w:h="16840"/>
          <w:pgMar w:header="686" w:footer="637" w:top="1320" w:bottom="820" w:left="1200" w:right="1000"/>
          <w:cols w:num="2" w:equalWidth="0">
            <w:col w:w="1058" w:space="76"/>
            <w:col w:w="8576"/>
          </w:cols>
        </w:sectPr>
      </w:pPr>
    </w:p>
    <w:p>
      <w:pPr>
        <w:pStyle w:val="Heading5"/>
        <w:rPr>
          <w:i/>
        </w:rPr>
      </w:pPr>
      <w:r>
        <w:rPr>
          <w:i/>
        </w:rPr>
        <w:t>network agreement</w:t>
      </w:r>
    </w:p>
    <w:p>
      <w:pPr>
        <w:pStyle w:val="BodyText"/>
        <w:ind w:left="1352" w:firstLine="0"/>
      </w:pPr>
      <w:r>
        <w:rPr/>
        <w:t>has the meaning given in the National Electricity Law.</w:t>
      </w:r>
    </w:p>
    <w:p>
      <w:pPr>
        <w:pStyle w:val="Heading5"/>
        <w:rPr>
          <w:i/>
        </w:rPr>
      </w:pPr>
      <w:r>
        <w:rPr>
          <w:i/>
        </w:rPr>
        <w:t>network capability</w:t>
      </w:r>
    </w:p>
    <w:p>
      <w:pPr>
        <w:pStyle w:val="BodyText"/>
        <w:ind w:left="1352" w:right="414" w:firstLine="0"/>
      </w:pPr>
      <w:r>
        <w:rPr/>
        <w:t>The capability of the </w:t>
      </w:r>
      <w:r>
        <w:rPr>
          <w:i/>
        </w:rPr>
        <w:t>network </w:t>
      </w:r>
      <w:r>
        <w:rPr/>
        <w:t>or part of the </w:t>
      </w:r>
      <w:r>
        <w:rPr>
          <w:i/>
        </w:rPr>
        <w:t>network </w:t>
      </w:r>
      <w:r>
        <w:rPr/>
        <w:t>to transfer electricity from one location to</w:t>
      </w:r>
      <w:r>
        <w:rPr>
          <w:spacing w:val="-1"/>
        </w:rPr>
        <w:t> </w:t>
      </w:r>
      <w:r>
        <w:rPr/>
        <w:t>another.</w:t>
      </w:r>
    </w:p>
    <w:p>
      <w:pPr>
        <w:pStyle w:val="Heading5"/>
        <w:rPr>
          <w:i/>
        </w:rPr>
      </w:pPr>
      <w:r>
        <w:rPr>
          <w:i/>
        </w:rPr>
        <w:t>network charges</w:t>
      </w:r>
    </w:p>
    <w:p>
      <w:pPr>
        <w:pStyle w:val="BodyText"/>
        <w:ind w:left="1352" w:firstLine="0"/>
      </w:pPr>
      <w:r>
        <w:rPr/>
        <w:t>Has (in the context of Chapter 6B) the meaning given in clause 6B.A1.2.</w:t>
      </w:r>
    </w:p>
    <w:p>
      <w:pPr>
        <w:pStyle w:val="Heading5"/>
        <w:rPr>
          <w:i/>
        </w:rPr>
      </w:pPr>
      <w:r>
        <w:rPr>
          <w:i/>
        </w:rPr>
        <w:t>network connection</w:t>
      </w:r>
    </w:p>
    <w:p>
      <w:pPr>
        <w:spacing w:before="120"/>
        <w:ind w:left="1352" w:right="415" w:firstLine="0"/>
        <w:jc w:val="both"/>
        <w:rPr>
          <w:sz w:val="24"/>
        </w:rPr>
      </w:pPr>
      <w:r>
        <w:rPr>
          <w:sz w:val="24"/>
        </w:rPr>
        <w:t>The formation of a physical link between the </w:t>
      </w:r>
      <w:r>
        <w:rPr>
          <w:i/>
          <w:sz w:val="24"/>
        </w:rPr>
        <w:t>facilities </w:t>
      </w:r>
      <w:r>
        <w:rPr>
          <w:sz w:val="24"/>
        </w:rPr>
        <w:t>of two </w:t>
      </w:r>
      <w:r>
        <w:rPr>
          <w:i/>
          <w:sz w:val="24"/>
        </w:rPr>
        <w:t>Registered </w:t>
      </w:r>
      <w:r>
        <w:rPr>
          <w:i/>
          <w:sz w:val="24"/>
        </w:rPr>
        <w:t>Participants </w:t>
      </w:r>
      <w:r>
        <w:rPr>
          <w:sz w:val="24"/>
        </w:rPr>
        <w:t>or a </w:t>
      </w:r>
      <w:r>
        <w:rPr>
          <w:i/>
          <w:sz w:val="24"/>
        </w:rPr>
        <w:t>Registered Participant </w:t>
      </w:r>
      <w:r>
        <w:rPr>
          <w:sz w:val="24"/>
        </w:rPr>
        <w:t>and a customer being a </w:t>
      </w:r>
      <w:r>
        <w:rPr>
          <w:i/>
          <w:sz w:val="24"/>
        </w:rPr>
        <w:t>connection </w:t>
      </w:r>
      <w:r>
        <w:rPr>
          <w:sz w:val="24"/>
        </w:rPr>
        <w:t>to a </w:t>
      </w:r>
      <w:r>
        <w:rPr>
          <w:i/>
          <w:sz w:val="24"/>
        </w:rPr>
        <w:t>transmission </w:t>
      </w:r>
      <w:r>
        <w:rPr>
          <w:sz w:val="24"/>
        </w:rPr>
        <w:t>or </w:t>
      </w:r>
      <w:r>
        <w:rPr>
          <w:i/>
          <w:sz w:val="24"/>
        </w:rPr>
        <w:t>distribution network </w:t>
      </w:r>
      <w:r>
        <w:rPr>
          <w:sz w:val="24"/>
        </w:rPr>
        <w:t>via </w:t>
      </w:r>
      <w:r>
        <w:rPr>
          <w:i/>
          <w:sz w:val="24"/>
        </w:rPr>
        <w:t>connection assets</w:t>
      </w:r>
      <w:r>
        <w:rPr>
          <w:sz w:val="24"/>
        </w:rPr>
        <w:t>.</w:t>
      </w:r>
    </w:p>
    <w:p>
      <w:pPr>
        <w:pStyle w:val="Heading5"/>
        <w:rPr>
          <w:i/>
        </w:rPr>
      </w:pPr>
      <w:r>
        <w:rPr>
          <w:i/>
        </w:rPr>
        <w:t>network connection asset</w:t>
      </w:r>
    </w:p>
    <w:p>
      <w:pPr>
        <w:spacing w:before="120"/>
        <w:ind w:left="1352" w:right="414" w:firstLine="0"/>
        <w:jc w:val="both"/>
        <w:rPr>
          <w:sz w:val="24"/>
        </w:rPr>
      </w:pPr>
      <w:r>
        <w:rPr>
          <w:sz w:val="24"/>
        </w:rPr>
        <w:t>Those components of a </w:t>
      </w:r>
      <w:r>
        <w:rPr>
          <w:i/>
          <w:sz w:val="24"/>
        </w:rPr>
        <w:t>transmission system </w:t>
      </w:r>
      <w:r>
        <w:rPr>
          <w:sz w:val="24"/>
        </w:rPr>
        <w:t>which are used to provide </w:t>
      </w:r>
      <w:r>
        <w:rPr>
          <w:i/>
          <w:sz w:val="24"/>
        </w:rPr>
        <w:t>connection </w:t>
      </w:r>
      <w:r>
        <w:rPr>
          <w:i/>
          <w:sz w:val="24"/>
        </w:rPr>
        <w:t>services </w:t>
      </w:r>
      <w:r>
        <w:rPr>
          <w:sz w:val="24"/>
        </w:rPr>
        <w:t>between </w:t>
      </w:r>
      <w:r>
        <w:rPr>
          <w:i/>
          <w:sz w:val="24"/>
        </w:rPr>
        <w:t>Network Service Providers </w:t>
      </w:r>
      <w:r>
        <w:rPr>
          <w:sz w:val="24"/>
        </w:rPr>
        <w:t>(excluding a </w:t>
      </w:r>
      <w:r>
        <w:rPr>
          <w:i/>
          <w:sz w:val="24"/>
        </w:rPr>
        <w:t>Market Network Service </w:t>
      </w:r>
      <w:r>
        <w:rPr>
          <w:i/>
          <w:sz w:val="24"/>
        </w:rPr>
        <w:t>Provider</w:t>
      </w:r>
      <w:r>
        <w:rPr>
          <w:sz w:val="24"/>
        </w:rPr>
        <w:t>).</w:t>
      </w:r>
    </w:p>
    <w:p>
      <w:pPr>
        <w:pStyle w:val="Heading5"/>
        <w:rPr>
          <w:i/>
        </w:rPr>
      </w:pPr>
      <w:r>
        <w:rPr>
          <w:i/>
        </w:rPr>
        <w:t>network constraint</w:t>
      </w:r>
    </w:p>
    <w:p>
      <w:pPr>
        <w:spacing w:before="120"/>
        <w:ind w:left="1352" w:right="0" w:firstLine="0"/>
        <w:jc w:val="both"/>
        <w:rPr>
          <w:sz w:val="24"/>
        </w:rPr>
      </w:pPr>
      <w:r>
        <w:rPr>
          <w:sz w:val="24"/>
        </w:rPr>
        <w:t>A </w:t>
      </w:r>
      <w:r>
        <w:rPr>
          <w:i/>
          <w:sz w:val="24"/>
        </w:rPr>
        <w:t>constraint </w:t>
      </w:r>
      <w:r>
        <w:rPr>
          <w:sz w:val="24"/>
        </w:rPr>
        <w:t>on a </w:t>
      </w:r>
      <w:r>
        <w:rPr>
          <w:i/>
          <w:sz w:val="24"/>
        </w:rPr>
        <w:t>transmission network </w:t>
      </w:r>
      <w:r>
        <w:rPr>
          <w:sz w:val="24"/>
        </w:rPr>
        <w:t>or </w:t>
      </w:r>
      <w:r>
        <w:rPr>
          <w:i/>
          <w:sz w:val="24"/>
        </w:rPr>
        <w:t>distribution network</w:t>
      </w:r>
      <w:r>
        <w:rPr>
          <w:sz w:val="24"/>
        </w:rPr>
        <w:t>.</w:t>
      </w:r>
    </w:p>
    <w:p>
      <w:pPr>
        <w:pStyle w:val="Heading5"/>
        <w:rPr>
          <w:i/>
        </w:rPr>
      </w:pPr>
      <w:r>
        <w:rPr>
          <w:i/>
        </w:rPr>
        <w:t>network coupling point</w:t>
      </w:r>
    </w:p>
    <w:p>
      <w:pPr>
        <w:spacing w:before="120"/>
        <w:ind w:left="1352" w:right="416" w:firstLine="0"/>
        <w:jc w:val="both"/>
        <w:rPr>
          <w:sz w:val="24"/>
        </w:rPr>
      </w:pPr>
      <w:r>
        <w:rPr>
          <w:sz w:val="24"/>
        </w:rPr>
        <w:t>The point at which </w:t>
      </w:r>
      <w:r>
        <w:rPr>
          <w:i/>
          <w:sz w:val="24"/>
        </w:rPr>
        <w:t>connection assets </w:t>
      </w:r>
      <w:r>
        <w:rPr>
          <w:sz w:val="24"/>
        </w:rPr>
        <w:t>join a </w:t>
      </w:r>
      <w:r>
        <w:rPr>
          <w:i/>
          <w:sz w:val="24"/>
        </w:rPr>
        <w:t>distribution network</w:t>
      </w:r>
      <w:r>
        <w:rPr>
          <w:sz w:val="24"/>
        </w:rPr>
        <w:t>, used to identify the </w:t>
      </w:r>
      <w:r>
        <w:rPr>
          <w:i/>
          <w:sz w:val="24"/>
        </w:rPr>
        <w:t>distribution service </w:t>
      </w:r>
      <w:r>
        <w:rPr>
          <w:sz w:val="24"/>
        </w:rPr>
        <w:t>price payable by a </w:t>
      </w:r>
      <w:r>
        <w:rPr>
          <w:i/>
          <w:sz w:val="24"/>
        </w:rPr>
        <w:t>Customer</w:t>
      </w:r>
      <w:r>
        <w:rPr>
          <w:sz w:val="24"/>
        </w:rPr>
        <w:t>.</w:t>
      </w:r>
    </w:p>
    <w:p>
      <w:pPr>
        <w:pStyle w:val="Heading5"/>
        <w:rPr>
          <w:i/>
        </w:rPr>
      </w:pPr>
      <w:r>
        <w:rPr>
          <w:i/>
        </w:rPr>
        <w:t>network device</w:t>
      </w:r>
    </w:p>
    <w:p>
      <w:pPr>
        <w:pStyle w:val="BodyText"/>
        <w:ind w:left="1352" w:firstLine="0"/>
      </w:pPr>
      <w:r>
        <w:rPr/>
        <w:t>Apparatus or equipment</w:t>
      </w:r>
      <w:r>
        <w:rPr>
          <w:spacing w:val="-10"/>
        </w:rPr>
        <w:t> </w:t>
      </w:r>
      <w:r>
        <w:rPr/>
        <w:t>that:</w:t>
      </w:r>
    </w:p>
    <w:p>
      <w:pPr>
        <w:pStyle w:val="ListParagraph"/>
        <w:numPr>
          <w:ilvl w:val="0"/>
          <w:numId w:val="774"/>
        </w:numPr>
        <w:tabs>
          <w:tab w:pos="1919" w:val="left" w:leader="none"/>
        </w:tabs>
        <w:spacing w:line="240" w:lineRule="auto" w:before="120" w:after="0"/>
        <w:ind w:left="1919" w:right="414" w:hanging="567"/>
        <w:jc w:val="both"/>
        <w:rPr>
          <w:sz w:val="24"/>
        </w:rPr>
      </w:pPr>
      <w:r>
        <w:rPr>
          <w:sz w:val="24"/>
        </w:rPr>
        <w:t>enables a </w:t>
      </w:r>
      <w:r>
        <w:rPr>
          <w:i/>
          <w:sz w:val="24"/>
        </w:rPr>
        <w:t>Local Network Service Provider </w:t>
      </w:r>
      <w:r>
        <w:rPr>
          <w:sz w:val="24"/>
        </w:rPr>
        <w:t>to monitor, operate or control the </w:t>
      </w:r>
      <w:r>
        <w:rPr>
          <w:i/>
          <w:sz w:val="24"/>
        </w:rPr>
        <w:t>network </w:t>
      </w:r>
      <w:r>
        <w:rPr>
          <w:sz w:val="24"/>
        </w:rPr>
        <w:t>for the purposes of providing </w:t>
      </w:r>
      <w:r>
        <w:rPr>
          <w:i/>
          <w:sz w:val="24"/>
        </w:rPr>
        <w:t>network services</w:t>
      </w:r>
      <w:r>
        <w:rPr>
          <w:sz w:val="24"/>
        </w:rPr>
        <w:t>, which may include switching devices, measurement equipment and control</w:t>
      </w:r>
      <w:r>
        <w:rPr>
          <w:spacing w:val="-6"/>
          <w:sz w:val="24"/>
        </w:rPr>
        <w:t> </w:t>
      </w:r>
      <w:r>
        <w:rPr>
          <w:sz w:val="24"/>
        </w:rPr>
        <w:t>equipment;</w:t>
      </w:r>
    </w:p>
    <w:p>
      <w:pPr>
        <w:pStyle w:val="ListParagraph"/>
        <w:numPr>
          <w:ilvl w:val="0"/>
          <w:numId w:val="774"/>
        </w:numPr>
        <w:tabs>
          <w:tab w:pos="1919" w:val="left" w:leader="none"/>
        </w:tabs>
        <w:spacing w:line="240" w:lineRule="auto" w:before="120" w:after="0"/>
        <w:ind w:left="1919" w:right="415" w:hanging="567"/>
        <w:jc w:val="both"/>
        <w:rPr>
          <w:sz w:val="24"/>
        </w:rPr>
      </w:pPr>
      <w:r>
        <w:rPr>
          <w:sz w:val="24"/>
        </w:rPr>
        <w:t>is located at or adjacent to a </w:t>
      </w:r>
      <w:r>
        <w:rPr>
          <w:i/>
          <w:sz w:val="24"/>
        </w:rPr>
        <w:t>metering installation </w:t>
      </w:r>
      <w:r>
        <w:rPr>
          <w:sz w:val="24"/>
        </w:rPr>
        <w:t>at the </w:t>
      </w:r>
      <w:r>
        <w:rPr>
          <w:i/>
          <w:sz w:val="24"/>
        </w:rPr>
        <w:t>connection point </w:t>
      </w:r>
      <w:r>
        <w:rPr>
          <w:sz w:val="24"/>
        </w:rPr>
        <w:t>of a </w:t>
      </w:r>
      <w:r>
        <w:rPr>
          <w:i/>
          <w:sz w:val="24"/>
        </w:rPr>
        <w:t>retail customer</w:t>
      </w:r>
      <w:r>
        <w:rPr>
          <w:sz w:val="24"/>
        </w:rPr>
        <w:t>;</w:t>
      </w:r>
      <w:r>
        <w:rPr>
          <w:spacing w:val="-2"/>
          <w:sz w:val="24"/>
        </w:rPr>
        <w:t> </w:t>
      </w:r>
      <w:r>
        <w:rPr>
          <w:sz w:val="24"/>
        </w:rPr>
        <w:t>and</w:t>
      </w:r>
    </w:p>
    <w:p>
      <w:pPr>
        <w:pStyle w:val="ListParagraph"/>
        <w:numPr>
          <w:ilvl w:val="0"/>
          <w:numId w:val="774"/>
        </w:numPr>
        <w:tabs>
          <w:tab w:pos="1919" w:val="left" w:leader="none"/>
        </w:tabs>
        <w:spacing w:line="240" w:lineRule="auto" w:before="120" w:after="0"/>
        <w:ind w:left="1918" w:right="0" w:hanging="567"/>
        <w:jc w:val="both"/>
        <w:rPr>
          <w:sz w:val="24"/>
        </w:rPr>
      </w:pPr>
      <w:r>
        <w:rPr>
          <w:sz w:val="24"/>
        </w:rPr>
        <w:t>does not have the capability to generate</w:t>
      </w:r>
      <w:r>
        <w:rPr>
          <w:spacing w:val="-2"/>
          <w:sz w:val="24"/>
        </w:rPr>
        <w:t> </w:t>
      </w:r>
      <w:r>
        <w:rPr>
          <w:sz w:val="24"/>
        </w:rPr>
        <w:t>electricity.</w:t>
      </w:r>
    </w:p>
    <w:p>
      <w:pPr>
        <w:spacing w:after="0" w:line="240" w:lineRule="auto"/>
        <w:jc w:val="both"/>
        <w:rPr>
          <w:sz w:val="24"/>
        </w:rPr>
        <w:sectPr>
          <w:type w:val="continuous"/>
          <w:pgSz w:w="11910" w:h="16840"/>
          <w:pgMar w:top="1360" w:bottom="280" w:left="1200" w:right="1000"/>
        </w:sectPr>
      </w:pPr>
    </w:p>
    <w:p>
      <w:pPr>
        <w:pStyle w:val="Heading5"/>
        <w:spacing w:before="83"/>
        <w:rPr>
          <w:i/>
        </w:rPr>
      </w:pPr>
      <w:r>
        <w:rPr>
          <w:i/>
        </w:rPr>
        <w:t>network dispatch offer</w:t>
      </w:r>
    </w:p>
    <w:p>
      <w:pPr>
        <w:spacing w:before="120"/>
        <w:ind w:left="1352" w:right="416" w:firstLine="0"/>
        <w:jc w:val="both"/>
        <w:rPr>
          <w:sz w:val="24"/>
        </w:rPr>
      </w:pPr>
      <w:r>
        <w:rPr>
          <w:sz w:val="24"/>
        </w:rPr>
        <w:t>An notice submitted by a </w:t>
      </w:r>
      <w:r>
        <w:rPr>
          <w:i/>
          <w:sz w:val="24"/>
        </w:rPr>
        <w:t>Scheduled Network Service Provider </w:t>
      </w:r>
      <w:r>
        <w:rPr>
          <w:sz w:val="24"/>
        </w:rPr>
        <w:t>to </w:t>
      </w:r>
      <w:r>
        <w:rPr>
          <w:i/>
          <w:sz w:val="24"/>
        </w:rPr>
        <w:t>AEMO </w:t>
      </w:r>
      <w:r>
        <w:rPr>
          <w:sz w:val="24"/>
        </w:rPr>
        <w:t>relating to the </w:t>
      </w:r>
      <w:r>
        <w:rPr>
          <w:i/>
          <w:sz w:val="24"/>
        </w:rPr>
        <w:t>dispatch </w:t>
      </w:r>
      <w:r>
        <w:rPr>
          <w:sz w:val="24"/>
        </w:rPr>
        <w:t>of a </w:t>
      </w:r>
      <w:r>
        <w:rPr>
          <w:i/>
          <w:sz w:val="24"/>
        </w:rPr>
        <w:t>scheduled network service </w:t>
      </w:r>
      <w:r>
        <w:rPr>
          <w:sz w:val="24"/>
        </w:rPr>
        <w:t>in accordance with clause 3.8.6A.</w:t>
      </w:r>
    </w:p>
    <w:p>
      <w:pPr>
        <w:pStyle w:val="Heading5"/>
        <w:rPr>
          <w:i/>
        </w:rPr>
      </w:pPr>
      <w:r>
        <w:rPr>
          <w:i/>
        </w:rPr>
        <w:t>network element</w:t>
      </w:r>
    </w:p>
    <w:p>
      <w:pPr>
        <w:spacing w:before="120"/>
        <w:ind w:left="1352" w:right="416" w:firstLine="0"/>
        <w:jc w:val="both"/>
        <w:rPr>
          <w:sz w:val="24"/>
        </w:rPr>
      </w:pPr>
      <w:r>
        <w:rPr>
          <w:sz w:val="24"/>
        </w:rPr>
        <w:t>A single identifiable major component of a </w:t>
      </w:r>
      <w:r>
        <w:rPr>
          <w:i/>
          <w:sz w:val="24"/>
        </w:rPr>
        <w:t>transmission system </w:t>
      </w:r>
      <w:r>
        <w:rPr>
          <w:sz w:val="24"/>
        </w:rPr>
        <w:t>or </w:t>
      </w:r>
      <w:r>
        <w:rPr>
          <w:i/>
          <w:sz w:val="24"/>
        </w:rPr>
        <w:t>distribution </w:t>
      </w:r>
      <w:r>
        <w:rPr>
          <w:i/>
          <w:sz w:val="24"/>
        </w:rPr>
        <w:t>system </w:t>
      </w:r>
      <w:r>
        <w:rPr>
          <w:sz w:val="24"/>
        </w:rPr>
        <w:t>involving:</w:t>
      </w:r>
    </w:p>
    <w:p>
      <w:pPr>
        <w:pStyle w:val="ListParagraph"/>
        <w:numPr>
          <w:ilvl w:val="0"/>
          <w:numId w:val="775"/>
        </w:numPr>
        <w:tabs>
          <w:tab w:pos="1919" w:val="left" w:leader="none"/>
        </w:tabs>
        <w:spacing w:line="240" w:lineRule="auto" w:before="120" w:after="0"/>
        <w:ind w:left="1919" w:right="415" w:hanging="567"/>
        <w:jc w:val="both"/>
        <w:rPr>
          <w:sz w:val="24"/>
        </w:rPr>
      </w:pPr>
      <w:r>
        <w:rPr>
          <w:sz w:val="24"/>
        </w:rPr>
        <w:t>an individual </w:t>
      </w:r>
      <w:r>
        <w:rPr>
          <w:i/>
          <w:sz w:val="24"/>
        </w:rPr>
        <w:t>transmission </w:t>
      </w:r>
      <w:r>
        <w:rPr>
          <w:sz w:val="24"/>
        </w:rPr>
        <w:t>or </w:t>
      </w:r>
      <w:r>
        <w:rPr>
          <w:i/>
          <w:sz w:val="24"/>
        </w:rPr>
        <w:t>distribution </w:t>
      </w:r>
      <w:r>
        <w:rPr>
          <w:sz w:val="24"/>
        </w:rPr>
        <w:t>circuit or a phase of that circuit;  or</w:t>
      </w:r>
    </w:p>
    <w:p>
      <w:pPr>
        <w:pStyle w:val="ListParagraph"/>
        <w:numPr>
          <w:ilvl w:val="0"/>
          <w:numId w:val="775"/>
        </w:numPr>
        <w:tabs>
          <w:tab w:pos="1919" w:val="left" w:leader="none"/>
        </w:tabs>
        <w:spacing w:line="240" w:lineRule="auto" w:before="120" w:after="0"/>
        <w:ind w:left="1919" w:right="415" w:hanging="567"/>
        <w:jc w:val="both"/>
        <w:rPr>
          <w:sz w:val="24"/>
        </w:rPr>
      </w:pPr>
      <w:r>
        <w:rPr>
          <w:sz w:val="24"/>
        </w:rPr>
        <w:t>a major item of apparatus or equipment associated with the function or operation of a </w:t>
      </w:r>
      <w:r>
        <w:rPr>
          <w:i/>
          <w:sz w:val="24"/>
        </w:rPr>
        <w:t>transmission line</w:t>
      </w:r>
      <w:r>
        <w:rPr>
          <w:sz w:val="24"/>
        </w:rPr>
        <w:t>, </w:t>
      </w:r>
      <w:r>
        <w:rPr>
          <w:i/>
          <w:sz w:val="24"/>
        </w:rPr>
        <w:t>distribution line </w:t>
      </w:r>
      <w:r>
        <w:rPr>
          <w:sz w:val="24"/>
        </w:rPr>
        <w:t>or an associated </w:t>
      </w:r>
      <w:r>
        <w:rPr>
          <w:i/>
          <w:sz w:val="24"/>
        </w:rPr>
        <w:t>substation </w:t>
      </w:r>
      <w:r>
        <w:rPr>
          <w:sz w:val="24"/>
        </w:rPr>
        <w:t>or </w:t>
      </w:r>
      <w:r>
        <w:rPr>
          <w:i/>
          <w:sz w:val="24"/>
        </w:rPr>
        <w:t>switchyard </w:t>
      </w:r>
      <w:r>
        <w:rPr>
          <w:sz w:val="24"/>
        </w:rPr>
        <w:t>which may include </w:t>
      </w:r>
      <w:r>
        <w:rPr>
          <w:i/>
          <w:sz w:val="24"/>
        </w:rPr>
        <w:t>transformers</w:t>
      </w:r>
      <w:r>
        <w:rPr>
          <w:sz w:val="24"/>
        </w:rPr>
        <w:t>, circuit breakers, </w:t>
      </w:r>
      <w:r>
        <w:rPr>
          <w:i/>
          <w:sz w:val="24"/>
        </w:rPr>
        <w:t>synchronous condensors</w:t>
      </w:r>
      <w:r>
        <w:rPr>
          <w:sz w:val="24"/>
        </w:rPr>
        <w:t>, </w:t>
      </w:r>
      <w:r>
        <w:rPr>
          <w:i/>
          <w:sz w:val="24"/>
        </w:rPr>
        <w:t>reactive plant </w:t>
      </w:r>
      <w:r>
        <w:rPr>
          <w:sz w:val="24"/>
        </w:rPr>
        <w:t>and </w:t>
      </w:r>
      <w:r>
        <w:rPr>
          <w:i/>
          <w:sz w:val="24"/>
        </w:rPr>
        <w:t>monitoring equipment </w:t>
      </w:r>
      <w:r>
        <w:rPr>
          <w:sz w:val="24"/>
        </w:rPr>
        <w:t>and control</w:t>
      </w:r>
      <w:r>
        <w:rPr>
          <w:spacing w:val="-1"/>
          <w:sz w:val="24"/>
        </w:rPr>
        <w:t> </w:t>
      </w:r>
      <w:r>
        <w:rPr>
          <w:sz w:val="24"/>
        </w:rPr>
        <w:t>equipment.</w:t>
      </w:r>
    </w:p>
    <w:p>
      <w:pPr>
        <w:pStyle w:val="Heading5"/>
        <w:rPr>
          <w:i/>
        </w:rPr>
      </w:pPr>
      <w:r>
        <w:rPr>
          <w:i/>
        </w:rPr>
        <w:t>network loop</w:t>
      </w:r>
    </w:p>
    <w:p>
      <w:pPr>
        <w:pStyle w:val="BodyText"/>
        <w:ind w:left="1352" w:right="415" w:firstLine="0"/>
      </w:pPr>
      <w:r>
        <w:rPr/>
        <w:t>A set of </w:t>
      </w:r>
      <w:r>
        <w:rPr>
          <w:i/>
        </w:rPr>
        <w:t>network elements </w:t>
      </w:r>
      <w:r>
        <w:rPr/>
        <w:t>that are </w:t>
      </w:r>
      <w:r>
        <w:rPr>
          <w:i/>
        </w:rPr>
        <w:t>connected </w:t>
      </w:r>
      <w:r>
        <w:rPr/>
        <w:t>together in the form of a closed path, that is in such a way that by progressing from each element to the next it is possible to return to the starting point.</w:t>
      </w:r>
    </w:p>
    <w:p>
      <w:pPr>
        <w:pStyle w:val="Heading5"/>
        <w:rPr>
          <w:i/>
        </w:rPr>
      </w:pPr>
      <w:r>
        <w:rPr>
          <w:i/>
        </w:rPr>
        <w:t>network losses</w:t>
      </w:r>
    </w:p>
    <w:p>
      <w:pPr>
        <w:spacing w:before="120"/>
        <w:ind w:left="1352" w:right="0" w:firstLine="0"/>
        <w:jc w:val="both"/>
        <w:rPr>
          <w:sz w:val="24"/>
        </w:rPr>
      </w:pPr>
      <w:r>
        <w:rPr>
          <w:i/>
          <w:sz w:val="24"/>
        </w:rPr>
        <w:t>Energy </w:t>
      </w:r>
      <w:r>
        <w:rPr>
          <w:sz w:val="24"/>
        </w:rPr>
        <w:t>losses incurred in the transfer of electricity over a </w:t>
      </w:r>
      <w:r>
        <w:rPr>
          <w:i/>
          <w:sz w:val="24"/>
        </w:rPr>
        <w:t>transmission network </w:t>
      </w:r>
      <w:r>
        <w:rPr>
          <w:sz w:val="24"/>
        </w:rPr>
        <w:t>or</w:t>
      </w:r>
    </w:p>
    <w:p>
      <w:pPr>
        <w:spacing w:before="0"/>
        <w:ind w:left="1352" w:right="0" w:firstLine="0"/>
        <w:jc w:val="both"/>
        <w:rPr>
          <w:sz w:val="24"/>
        </w:rPr>
      </w:pPr>
      <w:r>
        <w:rPr>
          <w:i/>
          <w:sz w:val="24"/>
        </w:rPr>
        <w:t>distribution network</w:t>
      </w:r>
      <w:r>
        <w:rPr>
          <w:sz w:val="24"/>
        </w:rPr>
        <w:t>.</w:t>
      </w:r>
    </w:p>
    <w:p>
      <w:pPr>
        <w:pStyle w:val="Heading5"/>
        <w:rPr>
          <w:i/>
        </w:rPr>
      </w:pPr>
      <w:r>
        <w:rPr>
          <w:i/>
        </w:rPr>
        <w:t>network operating agreement</w:t>
      </w:r>
    </w:p>
    <w:p>
      <w:pPr>
        <w:pStyle w:val="BodyText"/>
        <w:ind w:left="1352" w:firstLine="0"/>
      </w:pPr>
      <w:r>
        <w:rPr/>
        <w:t>An agreement described in clause 5.2A.7.</w:t>
      </w:r>
    </w:p>
    <w:p>
      <w:pPr>
        <w:pStyle w:val="Heading5"/>
        <w:rPr>
          <w:i/>
        </w:rPr>
      </w:pPr>
      <w:r>
        <w:rPr>
          <w:i/>
        </w:rPr>
        <w:t>network option</w:t>
      </w:r>
    </w:p>
    <w:p>
      <w:pPr>
        <w:spacing w:before="120"/>
        <w:ind w:left="1352" w:right="415" w:firstLine="0"/>
        <w:jc w:val="both"/>
        <w:rPr>
          <w:sz w:val="24"/>
        </w:rPr>
      </w:pPr>
      <w:r>
        <w:rPr>
          <w:sz w:val="24"/>
        </w:rPr>
        <w:t>A means by which an </w:t>
      </w:r>
      <w:r>
        <w:rPr>
          <w:i/>
          <w:sz w:val="24"/>
        </w:rPr>
        <w:t>identified need </w:t>
      </w:r>
      <w:r>
        <w:rPr>
          <w:sz w:val="24"/>
        </w:rPr>
        <w:t>can be fully or partly addressed by expenditure on a transmission asset or a distribution asset which is undertaken by a </w:t>
      </w:r>
      <w:r>
        <w:rPr>
          <w:i/>
          <w:sz w:val="24"/>
        </w:rPr>
        <w:t>Network Service</w:t>
      </w:r>
      <w:r>
        <w:rPr>
          <w:i/>
          <w:spacing w:val="-1"/>
          <w:sz w:val="24"/>
        </w:rPr>
        <w:t> </w:t>
      </w:r>
      <w:r>
        <w:rPr>
          <w:i/>
          <w:sz w:val="24"/>
        </w:rPr>
        <w:t>Provider</w:t>
      </w:r>
      <w:r>
        <w:rPr>
          <w:sz w:val="24"/>
        </w:rPr>
        <w:t>.</w:t>
      </w:r>
    </w:p>
    <w:p>
      <w:pPr>
        <w:spacing w:before="120"/>
        <w:ind w:left="1352" w:right="417" w:firstLine="0"/>
        <w:jc w:val="both"/>
        <w:rPr>
          <w:sz w:val="24"/>
        </w:rPr>
      </w:pPr>
      <w:r>
        <w:rPr>
          <w:sz w:val="24"/>
        </w:rPr>
        <w:t>For the purposes of this definition, </w:t>
      </w:r>
      <w:r>
        <w:rPr>
          <w:b/>
          <w:sz w:val="24"/>
        </w:rPr>
        <w:t>transmission asset </w:t>
      </w:r>
      <w:r>
        <w:rPr>
          <w:sz w:val="24"/>
        </w:rPr>
        <w:t>and </w:t>
      </w:r>
      <w:r>
        <w:rPr>
          <w:b/>
          <w:sz w:val="24"/>
        </w:rPr>
        <w:t>distribution asset </w:t>
      </w:r>
      <w:r>
        <w:rPr>
          <w:sz w:val="24"/>
        </w:rPr>
        <w:t>has the same meaning as in clause 5.10.2.</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modification to this definition expires on 1 July 2017.</w:t>
      </w:r>
    </w:p>
    <w:p>
      <w:pPr>
        <w:pStyle w:val="Heading5"/>
        <w:jc w:val="left"/>
        <w:rPr>
          <w:i/>
        </w:rPr>
      </w:pPr>
      <w:r>
        <w:rPr>
          <w:i/>
        </w:rPr>
        <w:t>network pricing objective</w:t>
      </w:r>
    </w:p>
    <w:p>
      <w:pPr>
        <w:pStyle w:val="BodyText"/>
        <w:ind w:left="1352" w:firstLine="0"/>
        <w:jc w:val="left"/>
      </w:pPr>
      <w:r>
        <w:rPr/>
        <w:t>The network pricing objective set out in paragraph 6.18.5(a).</w:t>
      </w:r>
    </w:p>
    <w:p>
      <w:pPr>
        <w:pStyle w:val="Heading5"/>
        <w:jc w:val="left"/>
        <w:rPr>
          <w:i/>
        </w:rPr>
      </w:pPr>
      <w:r>
        <w:rPr>
          <w:i/>
        </w:rPr>
        <w:t>network service</w:t>
      </w:r>
    </w:p>
    <w:p>
      <w:pPr>
        <w:spacing w:before="120"/>
        <w:ind w:left="1352" w:right="0" w:firstLine="0"/>
        <w:jc w:val="left"/>
        <w:rPr>
          <w:sz w:val="24"/>
        </w:rPr>
      </w:pPr>
      <w:r>
        <w:rPr>
          <w:i/>
          <w:sz w:val="24"/>
        </w:rPr>
        <w:t>Transmission service </w:t>
      </w:r>
      <w:r>
        <w:rPr>
          <w:sz w:val="24"/>
        </w:rPr>
        <w:t>or </w:t>
      </w:r>
      <w:r>
        <w:rPr>
          <w:i/>
          <w:sz w:val="24"/>
        </w:rPr>
        <w:t>distribution service </w:t>
      </w:r>
      <w:r>
        <w:rPr>
          <w:sz w:val="24"/>
        </w:rPr>
        <w:t>associated with the conveyance, and controlling the conveyance, of electricity through the </w:t>
      </w:r>
      <w:r>
        <w:rPr>
          <w:i/>
          <w:sz w:val="24"/>
        </w:rPr>
        <w:t>network</w:t>
      </w:r>
      <w:r>
        <w:rPr>
          <w:sz w:val="24"/>
        </w:rPr>
        <w:t>.</w:t>
      </w:r>
    </w:p>
    <w:p>
      <w:pPr>
        <w:pStyle w:val="Heading5"/>
        <w:jc w:val="left"/>
        <w:rPr>
          <w:i/>
        </w:rPr>
      </w:pPr>
      <w:r>
        <w:rPr>
          <w:i/>
        </w:rPr>
        <w:t>Network Service Provider</w:t>
      </w:r>
    </w:p>
    <w:p>
      <w:pPr>
        <w:spacing w:before="120"/>
        <w:ind w:left="1352" w:right="415" w:firstLine="0"/>
        <w:jc w:val="left"/>
        <w:rPr>
          <w:sz w:val="24"/>
        </w:rPr>
      </w:pPr>
      <w:r>
        <w:rPr>
          <w:sz w:val="24"/>
        </w:rPr>
        <w:t>A </w:t>
      </w:r>
      <w:r>
        <w:rPr>
          <w:i/>
          <w:sz w:val="24"/>
        </w:rPr>
        <w:t>Distribution Network Service Provider </w:t>
      </w:r>
      <w:r>
        <w:rPr>
          <w:sz w:val="24"/>
        </w:rPr>
        <w:t>or </w:t>
      </w:r>
      <w:r>
        <w:rPr>
          <w:i/>
          <w:sz w:val="24"/>
        </w:rPr>
        <w:t>Transmission Network Service </w:t>
      </w:r>
      <w:r>
        <w:rPr>
          <w:i/>
          <w:sz w:val="24"/>
        </w:rPr>
        <w:t>Provider</w:t>
      </w:r>
      <w:r>
        <w:rPr>
          <w:sz w:val="24"/>
        </w:rPr>
        <w:t>.</w:t>
      </w:r>
    </w:p>
    <w:p>
      <w:pPr>
        <w:pStyle w:val="Heading5"/>
        <w:jc w:val="left"/>
        <w:rPr>
          <w:i/>
        </w:rPr>
      </w:pPr>
      <w:r>
        <w:rPr>
          <w:i/>
        </w:rPr>
        <w:t>network service provider performance report</w:t>
      </w:r>
    </w:p>
    <w:p>
      <w:pPr>
        <w:pStyle w:val="BodyText"/>
        <w:ind w:left="1352" w:firstLine="0"/>
        <w:jc w:val="left"/>
      </w:pPr>
      <w:r>
        <w:rPr/>
        <w:t>A report prepared by the </w:t>
      </w:r>
      <w:r>
        <w:rPr>
          <w:i/>
        </w:rPr>
        <w:t>AER </w:t>
      </w:r>
      <w:r>
        <w:rPr/>
        <w:t>under section 28V of the Law.</w:t>
      </w:r>
    </w:p>
    <w:p>
      <w:pPr>
        <w:spacing w:after="0"/>
        <w:jc w:val="left"/>
        <w:sectPr>
          <w:pgSz w:w="11910" w:h="16840"/>
          <w:pgMar w:header="686" w:footer="637" w:top="1320" w:bottom="820" w:left="1200" w:right="1000"/>
        </w:sectPr>
      </w:pPr>
    </w:p>
    <w:p>
      <w:pPr>
        <w:pStyle w:val="Heading5"/>
        <w:spacing w:before="83"/>
        <w:rPr>
          <w:i/>
        </w:rPr>
      </w:pPr>
      <w:r>
        <w:rPr>
          <w:i/>
        </w:rPr>
        <w:t>network support agreement</w:t>
      </w:r>
    </w:p>
    <w:p>
      <w:pPr>
        <w:spacing w:before="120"/>
        <w:ind w:left="1352" w:right="415" w:firstLine="0"/>
        <w:jc w:val="both"/>
        <w:rPr>
          <w:sz w:val="24"/>
        </w:rPr>
      </w:pPr>
      <w:r>
        <w:rPr>
          <w:sz w:val="24"/>
        </w:rPr>
        <w:t>An agreement under which a person agrees to provide one or more</w:t>
      </w:r>
      <w:r>
        <w:rPr>
          <w:spacing w:val="28"/>
          <w:sz w:val="24"/>
        </w:rPr>
        <w:t> </w:t>
      </w:r>
      <w:r>
        <w:rPr>
          <w:i/>
          <w:sz w:val="24"/>
        </w:rPr>
        <w:t>network </w:t>
      </w:r>
      <w:r>
        <w:rPr>
          <w:i/>
          <w:sz w:val="24"/>
        </w:rPr>
        <w:t>support and control ancillary services </w:t>
      </w:r>
      <w:r>
        <w:rPr>
          <w:sz w:val="24"/>
        </w:rPr>
        <w:t>to a </w:t>
      </w:r>
      <w:r>
        <w:rPr>
          <w:i/>
          <w:sz w:val="24"/>
        </w:rPr>
        <w:t>Network Service Provider</w:t>
      </w:r>
      <w:r>
        <w:rPr>
          <w:sz w:val="24"/>
        </w:rPr>
        <w:t>, including </w:t>
      </w:r>
      <w:r>
        <w:rPr>
          <w:i/>
          <w:sz w:val="24"/>
        </w:rPr>
        <w:t>network </w:t>
      </w:r>
      <w:r>
        <w:rPr>
          <w:sz w:val="24"/>
        </w:rPr>
        <w:t>support services to improve </w:t>
      </w:r>
      <w:r>
        <w:rPr>
          <w:i/>
          <w:sz w:val="24"/>
        </w:rPr>
        <w:t>network capability </w:t>
      </w:r>
      <w:r>
        <w:rPr>
          <w:sz w:val="24"/>
        </w:rPr>
        <w:t>by providing a non- </w:t>
      </w:r>
      <w:r>
        <w:rPr>
          <w:i/>
          <w:sz w:val="24"/>
        </w:rPr>
        <w:t>network </w:t>
      </w:r>
      <w:r>
        <w:rPr>
          <w:sz w:val="24"/>
        </w:rPr>
        <w:t>alternative to a </w:t>
      </w:r>
      <w:r>
        <w:rPr>
          <w:i/>
          <w:sz w:val="24"/>
        </w:rPr>
        <w:t>network</w:t>
      </w:r>
      <w:r>
        <w:rPr>
          <w:i/>
          <w:spacing w:val="-2"/>
          <w:sz w:val="24"/>
        </w:rPr>
        <w:t> </w:t>
      </w:r>
      <w:r>
        <w:rPr>
          <w:i/>
          <w:sz w:val="24"/>
        </w:rPr>
        <w:t>augmentation</w:t>
      </w:r>
      <w:r>
        <w:rPr>
          <w:sz w:val="24"/>
        </w:rPr>
        <w:t>.</w:t>
      </w:r>
    </w:p>
    <w:p>
      <w:pPr>
        <w:pStyle w:val="Heading5"/>
        <w:rPr>
          <w:i/>
        </w:rPr>
      </w:pPr>
      <w:r>
        <w:rPr>
          <w:i/>
        </w:rPr>
        <w:t>network support and control ancillary service  or</w:t>
      </w:r>
      <w:r>
        <w:rPr>
          <w:i/>
          <w:spacing w:val="29"/>
        </w:rPr>
        <w:t> </w:t>
      </w:r>
      <w:r>
        <w:rPr>
          <w:i/>
        </w:rPr>
        <w:t>NSCAS</w:t>
      </w:r>
    </w:p>
    <w:p>
      <w:pPr>
        <w:spacing w:before="120"/>
        <w:ind w:left="1352" w:right="415" w:firstLine="0"/>
        <w:jc w:val="both"/>
        <w:rPr>
          <w:sz w:val="24"/>
        </w:rPr>
      </w:pPr>
      <w:r>
        <w:rPr>
          <w:sz w:val="24"/>
        </w:rPr>
        <w:t>A service (excluding an </w:t>
      </w:r>
      <w:r>
        <w:rPr>
          <w:i/>
          <w:sz w:val="24"/>
        </w:rPr>
        <w:t>inertia network service </w:t>
      </w:r>
      <w:r>
        <w:rPr>
          <w:sz w:val="24"/>
        </w:rPr>
        <w:t>or </w:t>
      </w:r>
      <w:r>
        <w:rPr>
          <w:i/>
          <w:sz w:val="24"/>
        </w:rPr>
        <w:t>system strength service</w:t>
      </w:r>
      <w:r>
        <w:rPr>
          <w:sz w:val="24"/>
        </w:rPr>
        <w:t>) with the capability to control the </w:t>
      </w:r>
      <w:r>
        <w:rPr>
          <w:i/>
          <w:sz w:val="24"/>
        </w:rPr>
        <w:t>active power </w:t>
      </w:r>
      <w:r>
        <w:rPr>
          <w:sz w:val="24"/>
        </w:rPr>
        <w:t>or </w:t>
      </w:r>
      <w:r>
        <w:rPr>
          <w:i/>
          <w:sz w:val="24"/>
        </w:rPr>
        <w:t>reactive power </w:t>
      </w:r>
      <w:r>
        <w:rPr>
          <w:sz w:val="24"/>
        </w:rPr>
        <w:t>flow into or out of a </w:t>
      </w:r>
      <w:r>
        <w:rPr>
          <w:i/>
          <w:sz w:val="24"/>
        </w:rPr>
        <w:t>transmission network </w:t>
      </w:r>
      <w:r>
        <w:rPr>
          <w:sz w:val="24"/>
        </w:rPr>
        <w:t>to address an </w:t>
      </w:r>
      <w:r>
        <w:rPr>
          <w:i/>
          <w:sz w:val="24"/>
        </w:rPr>
        <w:t>NSCAS need</w:t>
      </w:r>
      <w:r>
        <w:rPr>
          <w:sz w:val="24"/>
        </w:rPr>
        <w:t>.</w:t>
      </w:r>
    </w:p>
    <w:p>
      <w:pPr>
        <w:pStyle w:val="Heading5"/>
        <w:rPr>
          <w:i/>
        </w:rPr>
      </w:pPr>
      <w:r>
        <w:rPr>
          <w:i/>
        </w:rPr>
        <w:t>network support event</w:t>
      </w:r>
    </w:p>
    <w:p>
      <w:pPr>
        <w:pStyle w:val="ListParagraph"/>
        <w:numPr>
          <w:ilvl w:val="0"/>
          <w:numId w:val="776"/>
        </w:numPr>
        <w:tabs>
          <w:tab w:pos="1919" w:val="left" w:leader="none"/>
        </w:tabs>
        <w:spacing w:line="240" w:lineRule="auto" w:before="120" w:after="0"/>
        <w:ind w:left="1919" w:right="415" w:hanging="567"/>
        <w:jc w:val="both"/>
        <w:rPr>
          <w:sz w:val="24"/>
        </w:rPr>
      </w:pPr>
      <w:r>
        <w:rPr>
          <w:sz w:val="24"/>
        </w:rPr>
        <w:t>If, at the end of a </w:t>
      </w:r>
      <w:r>
        <w:rPr>
          <w:i/>
          <w:sz w:val="24"/>
        </w:rPr>
        <w:t>regulatory year </w:t>
      </w:r>
      <w:r>
        <w:rPr>
          <w:sz w:val="24"/>
        </w:rPr>
        <w:t>of a </w:t>
      </w:r>
      <w:r>
        <w:rPr>
          <w:i/>
          <w:sz w:val="24"/>
        </w:rPr>
        <w:t>regulatory control period</w:t>
      </w:r>
      <w:r>
        <w:rPr>
          <w:sz w:val="24"/>
        </w:rPr>
        <w:t>, the amount of </w:t>
      </w:r>
      <w:r>
        <w:rPr>
          <w:i/>
          <w:sz w:val="24"/>
        </w:rPr>
        <w:t>network support payments </w:t>
      </w:r>
      <w:r>
        <w:rPr>
          <w:sz w:val="24"/>
        </w:rPr>
        <w:t>made by a </w:t>
      </w:r>
      <w:r>
        <w:rPr>
          <w:i/>
          <w:sz w:val="24"/>
        </w:rPr>
        <w:t>Transmission Network Service </w:t>
      </w:r>
      <w:r>
        <w:rPr>
          <w:i/>
          <w:sz w:val="24"/>
        </w:rPr>
        <w:t>Provider </w:t>
      </w:r>
      <w:r>
        <w:rPr>
          <w:sz w:val="24"/>
        </w:rPr>
        <w:t>for that previous </w:t>
      </w:r>
      <w:r>
        <w:rPr>
          <w:i/>
          <w:sz w:val="24"/>
        </w:rPr>
        <w:t>regulatory year </w:t>
      </w:r>
      <w:r>
        <w:rPr>
          <w:sz w:val="24"/>
        </w:rPr>
        <w:t>is higher or lower than the amount of the </w:t>
      </w:r>
      <w:r>
        <w:rPr>
          <w:i/>
          <w:sz w:val="24"/>
        </w:rPr>
        <w:t>network support payment allowance </w:t>
      </w:r>
      <w:r>
        <w:rPr>
          <w:sz w:val="24"/>
        </w:rPr>
        <w:t>(if any) for the </w:t>
      </w:r>
      <w:r>
        <w:rPr>
          <w:i/>
          <w:sz w:val="24"/>
        </w:rPr>
        <w:t>Transmission Network Service Provider </w:t>
      </w:r>
      <w:r>
        <w:rPr>
          <w:sz w:val="24"/>
        </w:rPr>
        <w:t>for that previous </w:t>
      </w:r>
      <w:r>
        <w:rPr>
          <w:i/>
          <w:sz w:val="24"/>
        </w:rPr>
        <w:t>regulatory year</w:t>
      </w:r>
      <w:r>
        <w:rPr>
          <w:sz w:val="24"/>
        </w:rPr>
        <w:t>, this constitutes a </w:t>
      </w:r>
      <w:r>
        <w:rPr>
          <w:i/>
          <w:sz w:val="24"/>
        </w:rPr>
        <w:t>network support</w:t>
      </w:r>
      <w:r>
        <w:rPr>
          <w:i/>
          <w:spacing w:val="-2"/>
          <w:sz w:val="24"/>
        </w:rPr>
        <w:t> </w:t>
      </w:r>
      <w:r>
        <w:rPr>
          <w:i/>
          <w:sz w:val="24"/>
        </w:rPr>
        <w:t>event</w:t>
      </w:r>
      <w:r>
        <w:rPr>
          <w:sz w:val="24"/>
        </w:rPr>
        <w:t>.</w:t>
      </w:r>
    </w:p>
    <w:p>
      <w:pPr>
        <w:pStyle w:val="ListParagraph"/>
        <w:numPr>
          <w:ilvl w:val="0"/>
          <w:numId w:val="776"/>
        </w:numPr>
        <w:tabs>
          <w:tab w:pos="1919" w:val="left" w:leader="none"/>
        </w:tabs>
        <w:spacing w:line="240" w:lineRule="auto" w:before="120" w:after="0"/>
        <w:ind w:left="1919" w:right="415" w:hanging="567"/>
        <w:jc w:val="both"/>
        <w:rPr>
          <w:sz w:val="24"/>
        </w:rPr>
      </w:pPr>
      <w:r>
        <w:rPr>
          <w:sz w:val="24"/>
        </w:rPr>
        <w:t>In calculating the amount for the purposes of a </w:t>
      </w:r>
      <w:r>
        <w:rPr>
          <w:i/>
          <w:sz w:val="24"/>
        </w:rPr>
        <w:t>network support event </w:t>
      </w:r>
      <w:r>
        <w:rPr>
          <w:sz w:val="24"/>
        </w:rPr>
        <w:t>referred to in paragraph (a), the amount of </w:t>
      </w:r>
      <w:r>
        <w:rPr>
          <w:i/>
          <w:sz w:val="24"/>
        </w:rPr>
        <w:t>network support payments </w:t>
      </w:r>
      <w:r>
        <w:rPr>
          <w:sz w:val="24"/>
        </w:rPr>
        <w:t>made by a </w:t>
      </w:r>
      <w:r>
        <w:rPr>
          <w:i/>
          <w:sz w:val="24"/>
        </w:rPr>
        <w:t>Transmission Network Service Provider </w:t>
      </w:r>
      <w:r>
        <w:rPr>
          <w:sz w:val="24"/>
        </w:rPr>
        <w:t>must not include an amount of </w:t>
      </w:r>
      <w:r>
        <w:rPr>
          <w:i/>
          <w:sz w:val="24"/>
        </w:rPr>
        <w:t>network support payments </w:t>
      </w:r>
      <w:r>
        <w:rPr>
          <w:sz w:val="24"/>
        </w:rPr>
        <w:t>that are a substitute for a </w:t>
      </w:r>
      <w:r>
        <w:rPr>
          <w:i/>
          <w:sz w:val="24"/>
        </w:rPr>
        <w:t>network augmentation </w:t>
      </w:r>
      <w:r>
        <w:rPr>
          <w:sz w:val="24"/>
        </w:rPr>
        <w:t>where an allowance for capital expenditure in relation to that </w:t>
      </w:r>
      <w:r>
        <w:rPr>
          <w:i/>
          <w:sz w:val="24"/>
        </w:rPr>
        <w:t>network </w:t>
      </w:r>
      <w:r>
        <w:rPr>
          <w:i/>
          <w:sz w:val="24"/>
        </w:rPr>
        <w:t>augmentation </w:t>
      </w:r>
      <w:r>
        <w:rPr>
          <w:sz w:val="24"/>
        </w:rPr>
        <w:t>has been provided for in the </w:t>
      </w:r>
      <w:r>
        <w:rPr>
          <w:i/>
          <w:sz w:val="24"/>
        </w:rPr>
        <w:t>revenue determination </w:t>
      </w:r>
      <w:r>
        <w:rPr>
          <w:sz w:val="24"/>
        </w:rPr>
        <w:t>or </w:t>
      </w:r>
      <w:r>
        <w:rPr>
          <w:spacing w:val="-7"/>
          <w:sz w:val="24"/>
        </w:rPr>
        <w:t>an </w:t>
      </w:r>
      <w:r>
        <w:rPr>
          <w:i/>
          <w:sz w:val="24"/>
        </w:rPr>
        <w:t>approved pass through amount </w:t>
      </w:r>
      <w:r>
        <w:rPr>
          <w:sz w:val="24"/>
        </w:rPr>
        <w:t>arising from an </w:t>
      </w:r>
      <w:r>
        <w:rPr>
          <w:i/>
          <w:sz w:val="24"/>
        </w:rPr>
        <w:t>inertia shortfall event </w:t>
      </w:r>
      <w:r>
        <w:rPr>
          <w:sz w:val="24"/>
        </w:rPr>
        <w:t>or a </w:t>
      </w:r>
      <w:r>
        <w:rPr>
          <w:i/>
          <w:sz w:val="24"/>
        </w:rPr>
        <w:t>fault level shortfall</w:t>
      </w:r>
      <w:r>
        <w:rPr>
          <w:i/>
          <w:spacing w:val="-1"/>
          <w:sz w:val="24"/>
        </w:rPr>
        <w:t> </w:t>
      </w:r>
      <w:r>
        <w:rPr>
          <w:i/>
          <w:sz w:val="24"/>
        </w:rPr>
        <w:t>event</w:t>
      </w:r>
      <w:r>
        <w:rPr>
          <w:sz w:val="24"/>
        </w:rPr>
        <w:t>.</w:t>
      </w:r>
    </w:p>
    <w:p>
      <w:pPr>
        <w:pStyle w:val="Heading5"/>
        <w:rPr>
          <w:i/>
        </w:rPr>
      </w:pPr>
      <w:r>
        <w:rPr>
          <w:i/>
        </w:rPr>
        <w:t>network support pass through amount</w:t>
      </w:r>
    </w:p>
    <w:p>
      <w:pPr>
        <w:spacing w:before="120"/>
        <w:ind w:left="1352" w:right="414" w:firstLine="0"/>
        <w:jc w:val="both"/>
        <w:rPr>
          <w:sz w:val="24"/>
        </w:rPr>
      </w:pPr>
      <w:r>
        <w:rPr>
          <w:sz w:val="24"/>
        </w:rPr>
        <w:t>The amount that should be passed through to </w:t>
      </w:r>
      <w:r>
        <w:rPr>
          <w:i/>
          <w:sz w:val="24"/>
        </w:rPr>
        <w:t>Transmission Network Users </w:t>
      </w:r>
      <w:r>
        <w:rPr>
          <w:sz w:val="24"/>
        </w:rPr>
        <w:t>in the </w:t>
      </w:r>
      <w:r>
        <w:rPr>
          <w:i/>
          <w:sz w:val="24"/>
        </w:rPr>
        <w:t>regulatory year </w:t>
      </w:r>
      <w:r>
        <w:rPr>
          <w:sz w:val="24"/>
        </w:rPr>
        <w:t>following the preceding </w:t>
      </w:r>
      <w:r>
        <w:rPr>
          <w:i/>
          <w:sz w:val="24"/>
        </w:rPr>
        <w:t>regulatory year</w:t>
      </w:r>
      <w:r>
        <w:rPr>
          <w:sz w:val="24"/>
        </w:rPr>
        <w:t>, in respect of a </w:t>
      </w:r>
      <w:r>
        <w:rPr>
          <w:i/>
          <w:sz w:val="24"/>
        </w:rPr>
        <w:t>network </w:t>
      </w:r>
      <w:r>
        <w:rPr>
          <w:i/>
          <w:sz w:val="24"/>
        </w:rPr>
        <w:t>support event </w:t>
      </w:r>
      <w:r>
        <w:rPr>
          <w:sz w:val="24"/>
        </w:rPr>
        <w:t>for a </w:t>
      </w:r>
      <w:r>
        <w:rPr>
          <w:i/>
          <w:sz w:val="24"/>
        </w:rPr>
        <w:t>Transmission Network Service Provider</w:t>
      </w:r>
      <w:r>
        <w:rPr>
          <w:sz w:val="24"/>
        </w:rPr>
        <w:t>.</w:t>
      </w:r>
    </w:p>
    <w:p>
      <w:pPr>
        <w:pStyle w:val="Heading5"/>
        <w:rPr>
          <w:i/>
        </w:rPr>
      </w:pPr>
      <w:r>
        <w:rPr>
          <w:i/>
        </w:rPr>
        <w:t>network support payment</w:t>
      </w:r>
    </w:p>
    <w:p>
      <w:pPr>
        <w:pStyle w:val="BodyText"/>
        <w:ind w:left="1352" w:firstLine="0"/>
      </w:pPr>
      <w:r>
        <w:rPr/>
        <w:t>Any of the following payments:</w:t>
      </w:r>
    </w:p>
    <w:p>
      <w:pPr>
        <w:pStyle w:val="ListParagraph"/>
        <w:numPr>
          <w:ilvl w:val="0"/>
          <w:numId w:val="777"/>
        </w:numPr>
        <w:tabs>
          <w:tab w:pos="1919" w:val="left" w:leader="none"/>
        </w:tabs>
        <w:spacing w:line="240" w:lineRule="auto" w:before="120" w:after="0"/>
        <w:ind w:left="1918" w:right="0" w:hanging="567"/>
        <w:jc w:val="both"/>
        <w:rPr>
          <w:sz w:val="24"/>
        </w:rPr>
      </w:pPr>
      <w:r>
        <w:rPr>
          <w:sz w:val="24"/>
        </w:rPr>
        <w:t>a payment made by a </w:t>
      </w:r>
      <w:r>
        <w:rPr>
          <w:i/>
          <w:sz w:val="24"/>
        </w:rPr>
        <w:t>Transmission Network Service Provider</w:t>
      </w:r>
      <w:r>
        <w:rPr>
          <w:i/>
          <w:spacing w:val="-5"/>
          <w:sz w:val="24"/>
        </w:rPr>
        <w:t> </w:t>
      </w:r>
      <w:r>
        <w:rPr>
          <w:sz w:val="24"/>
        </w:rPr>
        <w:t>to:</w:t>
      </w:r>
    </w:p>
    <w:p>
      <w:pPr>
        <w:pStyle w:val="ListParagraph"/>
        <w:numPr>
          <w:ilvl w:val="1"/>
          <w:numId w:val="777"/>
        </w:numPr>
        <w:tabs>
          <w:tab w:pos="2486" w:val="left" w:leader="none"/>
        </w:tabs>
        <w:spacing w:line="240" w:lineRule="auto" w:before="120" w:after="0"/>
        <w:ind w:left="2486" w:right="417" w:hanging="567"/>
        <w:jc w:val="both"/>
        <w:rPr>
          <w:sz w:val="24"/>
        </w:rPr>
      </w:pPr>
      <w:r>
        <w:rPr>
          <w:sz w:val="24"/>
        </w:rPr>
        <w:t>any </w:t>
      </w:r>
      <w:r>
        <w:rPr>
          <w:i/>
          <w:sz w:val="24"/>
        </w:rPr>
        <w:t>Generator </w:t>
      </w:r>
      <w:r>
        <w:rPr>
          <w:sz w:val="24"/>
        </w:rPr>
        <w:t>providing </w:t>
      </w:r>
      <w:r>
        <w:rPr>
          <w:i/>
          <w:sz w:val="24"/>
        </w:rPr>
        <w:t>network </w:t>
      </w:r>
      <w:r>
        <w:rPr>
          <w:sz w:val="24"/>
        </w:rPr>
        <w:t>support services in accordance with rule 5.3A.12; or</w:t>
      </w:r>
    </w:p>
    <w:p>
      <w:pPr>
        <w:pStyle w:val="ListParagraph"/>
        <w:numPr>
          <w:ilvl w:val="1"/>
          <w:numId w:val="777"/>
        </w:numPr>
        <w:tabs>
          <w:tab w:pos="2486" w:val="left" w:leader="none"/>
        </w:tabs>
        <w:spacing w:line="240" w:lineRule="auto" w:before="120" w:after="0"/>
        <w:ind w:left="2486" w:right="416" w:hanging="567"/>
        <w:jc w:val="both"/>
        <w:rPr>
          <w:sz w:val="24"/>
        </w:rPr>
      </w:pPr>
      <w:r>
        <w:rPr>
          <w:sz w:val="24"/>
        </w:rPr>
        <w:t>any other person providing a </w:t>
      </w:r>
      <w:r>
        <w:rPr>
          <w:i/>
          <w:sz w:val="24"/>
        </w:rPr>
        <w:t>network </w:t>
      </w:r>
      <w:r>
        <w:rPr>
          <w:sz w:val="24"/>
        </w:rPr>
        <w:t>support service that is an alternative to </w:t>
      </w:r>
      <w:r>
        <w:rPr>
          <w:i/>
          <w:sz w:val="24"/>
        </w:rPr>
        <w:t>network</w:t>
      </w:r>
      <w:r>
        <w:rPr>
          <w:i/>
          <w:spacing w:val="-1"/>
          <w:sz w:val="24"/>
        </w:rPr>
        <w:t> </w:t>
      </w:r>
      <w:r>
        <w:rPr>
          <w:i/>
          <w:sz w:val="24"/>
        </w:rPr>
        <w:t>augmentation</w:t>
      </w:r>
      <w:r>
        <w:rPr>
          <w:sz w:val="24"/>
        </w:rPr>
        <w:t>;</w:t>
      </w:r>
    </w:p>
    <w:p>
      <w:pPr>
        <w:pStyle w:val="ListParagraph"/>
        <w:numPr>
          <w:ilvl w:val="0"/>
          <w:numId w:val="777"/>
        </w:numPr>
        <w:tabs>
          <w:tab w:pos="1919" w:val="left" w:leader="none"/>
        </w:tabs>
        <w:spacing w:line="240" w:lineRule="auto" w:before="120" w:after="0"/>
        <w:ind w:left="1918" w:right="0" w:hanging="567"/>
        <w:jc w:val="both"/>
        <w:rPr>
          <w:sz w:val="24"/>
        </w:rPr>
      </w:pPr>
      <w:r>
        <w:rPr>
          <w:sz w:val="24"/>
        </w:rPr>
        <w:t>an </w:t>
      </w:r>
      <w:r>
        <w:rPr>
          <w:i/>
          <w:sz w:val="24"/>
        </w:rPr>
        <w:t>inertia service payment</w:t>
      </w:r>
      <w:r>
        <w:rPr>
          <w:sz w:val="24"/>
        </w:rPr>
        <w:t>;</w:t>
      </w:r>
      <w:r>
        <w:rPr>
          <w:spacing w:val="-2"/>
          <w:sz w:val="24"/>
        </w:rPr>
        <w:t> </w:t>
      </w:r>
      <w:r>
        <w:rPr>
          <w:sz w:val="24"/>
        </w:rPr>
        <w:t>and</w:t>
      </w:r>
    </w:p>
    <w:p>
      <w:pPr>
        <w:pStyle w:val="ListParagraph"/>
        <w:numPr>
          <w:ilvl w:val="0"/>
          <w:numId w:val="777"/>
        </w:numPr>
        <w:tabs>
          <w:tab w:pos="1919" w:val="left" w:leader="none"/>
        </w:tabs>
        <w:spacing w:line="240" w:lineRule="auto" w:before="120" w:after="0"/>
        <w:ind w:left="1918" w:right="0" w:hanging="567"/>
        <w:jc w:val="both"/>
        <w:rPr>
          <w:sz w:val="24"/>
        </w:rPr>
      </w:pPr>
      <w:r>
        <w:rPr>
          <w:sz w:val="24"/>
        </w:rPr>
        <w:t>a </w:t>
      </w:r>
      <w:r>
        <w:rPr>
          <w:i/>
          <w:sz w:val="24"/>
        </w:rPr>
        <w:t>system strength service</w:t>
      </w:r>
      <w:r>
        <w:rPr>
          <w:i/>
          <w:spacing w:val="-3"/>
          <w:sz w:val="24"/>
        </w:rPr>
        <w:t> </w:t>
      </w:r>
      <w:r>
        <w:rPr>
          <w:i/>
          <w:sz w:val="24"/>
        </w:rPr>
        <w:t>payment</w:t>
      </w:r>
      <w:r>
        <w:rPr>
          <w:sz w:val="24"/>
        </w:rPr>
        <w:t>.</w:t>
      </w:r>
    </w:p>
    <w:p>
      <w:pPr>
        <w:pStyle w:val="Heading5"/>
        <w:rPr>
          <w:i/>
        </w:rPr>
      </w:pPr>
      <w:r>
        <w:rPr>
          <w:i/>
        </w:rPr>
        <w:t>network support payment allowance</w:t>
      </w:r>
    </w:p>
    <w:p>
      <w:pPr>
        <w:spacing w:before="120"/>
        <w:ind w:left="1352" w:right="0" w:firstLine="0"/>
        <w:jc w:val="both"/>
        <w:rPr>
          <w:sz w:val="24"/>
        </w:rPr>
      </w:pPr>
      <w:r>
        <w:rPr>
          <w:sz w:val="24"/>
        </w:rPr>
        <w:t>The amount of </w:t>
      </w:r>
      <w:r>
        <w:rPr>
          <w:i/>
          <w:sz w:val="24"/>
        </w:rPr>
        <w:t>network support payments </w:t>
      </w:r>
      <w:r>
        <w:rPr>
          <w:sz w:val="24"/>
        </w:rPr>
        <w:t>(if any) that is provided for a</w:t>
      </w:r>
    </w:p>
    <w:p>
      <w:pPr>
        <w:spacing w:before="0"/>
        <w:ind w:left="1352" w:right="0" w:firstLine="0"/>
        <w:jc w:val="both"/>
        <w:rPr>
          <w:sz w:val="24"/>
        </w:rPr>
      </w:pPr>
      <w:r>
        <w:rPr>
          <w:i/>
          <w:sz w:val="24"/>
        </w:rPr>
        <w:t>Transmission Network Service Provider </w:t>
      </w:r>
      <w:r>
        <w:rPr>
          <w:sz w:val="24"/>
        </w:rPr>
        <w:t>for a </w:t>
      </w:r>
      <w:r>
        <w:rPr>
          <w:i/>
          <w:sz w:val="24"/>
        </w:rPr>
        <w:t>regulatory year </w:t>
      </w:r>
      <w:r>
        <w:rPr>
          <w:sz w:val="24"/>
        </w:rPr>
        <w:t>in:</w:t>
      </w:r>
    </w:p>
    <w:p>
      <w:pPr>
        <w:pStyle w:val="ListParagraph"/>
        <w:numPr>
          <w:ilvl w:val="0"/>
          <w:numId w:val="778"/>
        </w:numPr>
        <w:tabs>
          <w:tab w:pos="1919" w:val="left" w:leader="none"/>
        </w:tabs>
        <w:spacing w:line="240" w:lineRule="auto" w:before="120" w:after="0"/>
        <w:ind w:left="1919" w:right="417" w:hanging="567"/>
        <w:jc w:val="both"/>
        <w:rPr>
          <w:sz w:val="24"/>
        </w:rPr>
      </w:pPr>
      <w:r>
        <w:rPr>
          <w:sz w:val="24"/>
        </w:rPr>
        <w:t>the </w:t>
      </w:r>
      <w:r>
        <w:rPr>
          <w:i/>
          <w:sz w:val="24"/>
        </w:rPr>
        <w:t>annual building block revenue requirement </w:t>
      </w:r>
      <w:r>
        <w:rPr>
          <w:sz w:val="24"/>
        </w:rPr>
        <w:t>for the </w:t>
      </w:r>
      <w:r>
        <w:rPr>
          <w:i/>
          <w:sz w:val="24"/>
        </w:rPr>
        <w:t>Transmission </w:t>
      </w:r>
      <w:r>
        <w:rPr>
          <w:i/>
          <w:sz w:val="24"/>
        </w:rPr>
        <w:t>Network Service Provider </w:t>
      </w:r>
      <w:r>
        <w:rPr>
          <w:sz w:val="24"/>
        </w:rPr>
        <w:t>for that </w:t>
      </w:r>
      <w:r>
        <w:rPr>
          <w:i/>
          <w:sz w:val="24"/>
        </w:rPr>
        <w:t>regulatory year</w:t>
      </w:r>
      <w:r>
        <w:rPr>
          <w:sz w:val="24"/>
        </w:rPr>
        <w:t>;</w:t>
      </w:r>
      <w:r>
        <w:rPr>
          <w:spacing w:val="-3"/>
          <w:sz w:val="24"/>
        </w:rPr>
        <w:t> </w:t>
      </w:r>
      <w:r>
        <w:rPr>
          <w:sz w:val="24"/>
        </w:rPr>
        <w:t>or</w:t>
      </w:r>
    </w:p>
    <w:p>
      <w:pPr>
        <w:spacing w:after="0" w:line="240" w:lineRule="auto"/>
        <w:jc w:val="both"/>
        <w:rPr>
          <w:sz w:val="24"/>
        </w:rPr>
        <w:sectPr>
          <w:pgSz w:w="11910" w:h="16840"/>
          <w:pgMar w:header="686" w:footer="637" w:top="1320" w:bottom="820" w:left="1200" w:right="1000"/>
        </w:sectPr>
      </w:pPr>
    </w:p>
    <w:p>
      <w:pPr>
        <w:pStyle w:val="ListParagraph"/>
        <w:numPr>
          <w:ilvl w:val="0"/>
          <w:numId w:val="778"/>
        </w:numPr>
        <w:tabs>
          <w:tab w:pos="1919" w:val="left" w:leader="none"/>
        </w:tabs>
        <w:spacing w:line="240" w:lineRule="auto" w:before="83" w:after="0"/>
        <w:ind w:left="1919" w:right="415" w:hanging="567"/>
        <w:jc w:val="both"/>
        <w:rPr>
          <w:sz w:val="24"/>
        </w:rPr>
      </w:pPr>
      <w:r>
        <w:rPr>
          <w:sz w:val="24"/>
        </w:rPr>
        <w:t>any </w:t>
      </w:r>
      <w:r>
        <w:rPr>
          <w:i/>
          <w:sz w:val="24"/>
        </w:rPr>
        <w:t>approved pass through amount </w:t>
      </w:r>
      <w:r>
        <w:rPr>
          <w:sz w:val="24"/>
        </w:rPr>
        <w:t>for the </w:t>
      </w:r>
      <w:r>
        <w:rPr>
          <w:i/>
          <w:sz w:val="24"/>
        </w:rPr>
        <w:t>Transmission Network Service </w:t>
      </w:r>
      <w:r>
        <w:rPr>
          <w:i/>
          <w:sz w:val="24"/>
        </w:rPr>
        <w:t>Provider </w:t>
      </w:r>
      <w:r>
        <w:rPr>
          <w:sz w:val="24"/>
        </w:rPr>
        <w:t>for that </w:t>
      </w:r>
      <w:r>
        <w:rPr>
          <w:i/>
          <w:sz w:val="24"/>
        </w:rPr>
        <w:t>regulatory year </w:t>
      </w:r>
      <w:r>
        <w:rPr>
          <w:sz w:val="24"/>
        </w:rPr>
        <w:t>arising from an </w:t>
      </w:r>
      <w:r>
        <w:rPr>
          <w:i/>
          <w:sz w:val="24"/>
        </w:rPr>
        <w:t>inertia shortfall event </w:t>
      </w:r>
      <w:r>
        <w:rPr>
          <w:sz w:val="24"/>
        </w:rPr>
        <w:t>or a </w:t>
      </w:r>
      <w:r>
        <w:rPr>
          <w:i/>
          <w:sz w:val="24"/>
        </w:rPr>
        <w:t>fault level shortfall</w:t>
      </w:r>
      <w:r>
        <w:rPr>
          <w:i/>
          <w:spacing w:val="-1"/>
          <w:sz w:val="24"/>
        </w:rPr>
        <w:t> </w:t>
      </w:r>
      <w:r>
        <w:rPr>
          <w:i/>
          <w:sz w:val="24"/>
        </w:rPr>
        <w:t>event</w:t>
      </w:r>
      <w:r>
        <w:rPr>
          <w:sz w:val="24"/>
        </w:rPr>
        <w:t>,</w:t>
      </w:r>
    </w:p>
    <w:p>
      <w:pPr>
        <w:spacing w:before="120"/>
        <w:ind w:left="1352" w:right="415" w:firstLine="0"/>
        <w:jc w:val="both"/>
        <w:rPr>
          <w:sz w:val="24"/>
        </w:rPr>
      </w:pPr>
      <w:r>
        <w:rPr>
          <w:sz w:val="24"/>
        </w:rPr>
        <w:t>less the amount (expressed as a positive) of avoided </w:t>
      </w:r>
      <w:r>
        <w:rPr>
          <w:i/>
          <w:sz w:val="24"/>
        </w:rPr>
        <w:t>network support payments </w:t>
      </w:r>
      <w:r>
        <w:rPr>
          <w:sz w:val="24"/>
        </w:rPr>
        <w:t>(if any) that is provided for in any </w:t>
      </w:r>
      <w:r>
        <w:rPr>
          <w:i/>
          <w:sz w:val="24"/>
        </w:rPr>
        <w:t>required pass through amount </w:t>
      </w:r>
      <w:r>
        <w:rPr>
          <w:sz w:val="24"/>
        </w:rPr>
        <w:t>for the </w:t>
      </w:r>
      <w:r>
        <w:rPr>
          <w:i/>
          <w:sz w:val="24"/>
        </w:rPr>
        <w:t>Transmission Network Service Provider </w:t>
      </w:r>
      <w:r>
        <w:rPr>
          <w:sz w:val="24"/>
        </w:rPr>
        <w:t>for that </w:t>
      </w:r>
      <w:r>
        <w:rPr>
          <w:i/>
          <w:sz w:val="24"/>
        </w:rPr>
        <w:t>regulatory year </w:t>
      </w:r>
      <w:r>
        <w:rPr>
          <w:sz w:val="24"/>
        </w:rPr>
        <w:t>arising from an </w:t>
      </w:r>
      <w:r>
        <w:rPr>
          <w:i/>
          <w:sz w:val="24"/>
        </w:rPr>
        <w:t>inertia shortfall event </w:t>
      </w:r>
      <w:r>
        <w:rPr>
          <w:sz w:val="24"/>
        </w:rPr>
        <w:t>or a </w:t>
      </w:r>
      <w:r>
        <w:rPr>
          <w:i/>
          <w:sz w:val="24"/>
        </w:rPr>
        <w:t>fault level shortfall</w:t>
      </w:r>
      <w:r>
        <w:rPr>
          <w:i/>
          <w:spacing w:val="-5"/>
          <w:sz w:val="24"/>
        </w:rPr>
        <w:t> </w:t>
      </w:r>
      <w:r>
        <w:rPr>
          <w:i/>
          <w:sz w:val="24"/>
        </w:rPr>
        <w:t>event</w:t>
      </w:r>
      <w:r>
        <w:rPr>
          <w:sz w:val="24"/>
        </w:rPr>
        <w:t>.</w:t>
      </w:r>
    </w:p>
    <w:p>
      <w:pPr>
        <w:pStyle w:val="Heading5"/>
        <w:rPr>
          <w:i/>
        </w:rPr>
      </w:pPr>
      <w:r>
        <w:rPr>
          <w:i/>
        </w:rPr>
        <w:t>Network User</w:t>
      </w:r>
    </w:p>
    <w:p>
      <w:pPr>
        <w:spacing w:before="120"/>
        <w:ind w:left="1352" w:right="416" w:firstLine="0"/>
        <w:jc w:val="both"/>
        <w:rPr>
          <w:sz w:val="24"/>
        </w:rPr>
      </w:pPr>
      <w:r>
        <w:rPr>
          <w:sz w:val="24"/>
        </w:rPr>
        <w:t>A </w:t>
      </w:r>
      <w:r>
        <w:rPr>
          <w:i/>
          <w:sz w:val="24"/>
        </w:rPr>
        <w:t>Generator</w:t>
      </w:r>
      <w:r>
        <w:rPr>
          <w:sz w:val="24"/>
        </w:rPr>
        <w:t>, a </w:t>
      </w:r>
      <w:r>
        <w:rPr>
          <w:i/>
          <w:sz w:val="24"/>
        </w:rPr>
        <w:t>Transmission Customer</w:t>
      </w:r>
      <w:r>
        <w:rPr>
          <w:sz w:val="24"/>
        </w:rPr>
        <w:t>, a </w:t>
      </w:r>
      <w:r>
        <w:rPr>
          <w:i/>
          <w:sz w:val="24"/>
        </w:rPr>
        <w:t>Distribution Customer </w:t>
      </w:r>
      <w:r>
        <w:rPr>
          <w:sz w:val="24"/>
        </w:rPr>
        <w:t>or a </w:t>
      </w:r>
      <w:r>
        <w:rPr>
          <w:i/>
          <w:sz w:val="24"/>
        </w:rPr>
        <w:t>Market </w:t>
      </w:r>
      <w:r>
        <w:rPr>
          <w:i/>
          <w:sz w:val="24"/>
        </w:rPr>
        <w:t>Network Service Provider</w:t>
      </w:r>
      <w:r>
        <w:rPr>
          <w:sz w:val="24"/>
        </w:rPr>
        <w:t>.</w:t>
      </w:r>
    </w:p>
    <w:p>
      <w:pPr>
        <w:pStyle w:val="Heading5"/>
        <w:rPr>
          <w:i/>
        </w:rPr>
      </w:pPr>
      <w:r>
        <w:rPr>
          <w:i/>
        </w:rPr>
        <w:t>new connection</w:t>
      </w:r>
    </w:p>
    <w:p>
      <w:pPr>
        <w:pStyle w:val="BodyText"/>
        <w:ind w:left="1352" w:firstLine="0"/>
      </w:pPr>
      <w:r>
        <w:rPr/>
        <w:t>Has (in the context of Chapter 5A) the meaning given in clause 5A.A.1</w:t>
      </w:r>
    </w:p>
    <w:p>
      <w:pPr>
        <w:pStyle w:val="Heading5"/>
        <w:rPr>
          <w:i/>
        </w:rPr>
      </w:pPr>
      <w:r>
        <w:rPr>
          <w:i/>
        </w:rPr>
        <w:t>new meter deployment</w:t>
      </w:r>
    </w:p>
    <w:p>
      <w:pPr>
        <w:pStyle w:val="BodyText"/>
        <w:ind w:left="1352" w:firstLine="0"/>
        <w:rPr>
          <w:i/>
        </w:rPr>
      </w:pPr>
      <w:r>
        <w:rPr/>
        <w:t>The replacement of an existing electricity meter of one or more </w:t>
      </w:r>
      <w:r>
        <w:rPr>
          <w:i/>
        </w:rPr>
        <w:t>small customers</w:t>
      </w:r>
    </w:p>
    <w:p>
      <w:pPr>
        <w:pStyle w:val="BodyText"/>
        <w:spacing w:before="0"/>
        <w:ind w:left="1352" w:firstLine="0"/>
      </w:pPr>
      <w:r>
        <w:rPr/>
        <w:t>which is arranged by a </w:t>
      </w:r>
      <w:r>
        <w:rPr>
          <w:i/>
        </w:rPr>
        <w:t>retailer</w:t>
      </w:r>
      <w:r>
        <w:rPr/>
        <w:t>, other than where the replacement is:</w:t>
      </w:r>
    </w:p>
    <w:p>
      <w:pPr>
        <w:pStyle w:val="ListParagraph"/>
        <w:numPr>
          <w:ilvl w:val="0"/>
          <w:numId w:val="779"/>
        </w:numPr>
        <w:tabs>
          <w:tab w:pos="1919" w:val="left" w:leader="none"/>
        </w:tabs>
        <w:spacing w:line="240" w:lineRule="auto" w:before="120" w:after="0"/>
        <w:ind w:left="1919" w:right="415" w:hanging="567"/>
        <w:jc w:val="both"/>
        <w:rPr>
          <w:sz w:val="24"/>
        </w:rPr>
      </w:pPr>
      <w:r>
        <w:rPr>
          <w:sz w:val="24"/>
        </w:rPr>
        <w:t>at the request of the relevant </w:t>
      </w:r>
      <w:r>
        <w:rPr>
          <w:i/>
          <w:sz w:val="24"/>
        </w:rPr>
        <w:t>small customer </w:t>
      </w:r>
      <w:r>
        <w:rPr>
          <w:sz w:val="24"/>
        </w:rPr>
        <w:t>or to enable the provision of a product or service the customer has agreed to acquire from the </w:t>
      </w:r>
      <w:r>
        <w:rPr>
          <w:i/>
          <w:sz w:val="24"/>
        </w:rPr>
        <w:t>retailer </w:t>
      </w:r>
      <w:r>
        <w:rPr>
          <w:sz w:val="24"/>
        </w:rPr>
        <w:t>or any other</w:t>
      </w:r>
      <w:r>
        <w:rPr>
          <w:spacing w:val="-1"/>
          <w:sz w:val="24"/>
        </w:rPr>
        <w:t> </w:t>
      </w:r>
      <w:r>
        <w:rPr>
          <w:sz w:val="24"/>
        </w:rPr>
        <w:t>person;</w:t>
      </w:r>
    </w:p>
    <w:p>
      <w:pPr>
        <w:pStyle w:val="ListParagraph"/>
        <w:numPr>
          <w:ilvl w:val="0"/>
          <w:numId w:val="779"/>
        </w:numPr>
        <w:tabs>
          <w:tab w:pos="1919" w:val="left" w:leader="none"/>
        </w:tabs>
        <w:spacing w:line="240" w:lineRule="auto" w:before="120" w:after="0"/>
        <w:ind w:left="1918" w:right="0" w:hanging="567"/>
        <w:jc w:val="both"/>
        <w:rPr>
          <w:sz w:val="24"/>
        </w:rPr>
      </w:pPr>
      <w:r>
        <w:rPr>
          <w:sz w:val="24"/>
        </w:rPr>
        <w:t>a maintenance replacement;</w:t>
      </w:r>
      <w:r>
        <w:rPr>
          <w:spacing w:val="-1"/>
          <w:sz w:val="24"/>
        </w:rPr>
        <w:t> </w:t>
      </w:r>
      <w:r>
        <w:rPr>
          <w:sz w:val="24"/>
        </w:rPr>
        <w:t>or</w:t>
      </w:r>
    </w:p>
    <w:p>
      <w:pPr>
        <w:pStyle w:val="ListParagraph"/>
        <w:numPr>
          <w:ilvl w:val="0"/>
          <w:numId w:val="779"/>
        </w:numPr>
        <w:tabs>
          <w:tab w:pos="1919" w:val="left" w:leader="none"/>
        </w:tabs>
        <w:spacing w:line="240" w:lineRule="auto" w:before="120" w:after="0"/>
        <w:ind w:left="1918" w:right="0" w:hanging="567"/>
        <w:jc w:val="both"/>
        <w:rPr>
          <w:sz w:val="24"/>
        </w:rPr>
      </w:pPr>
      <w:r>
        <w:rPr>
          <w:sz w:val="24"/>
        </w:rPr>
        <w:t>required as a result of a </w:t>
      </w:r>
      <w:r>
        <w:rPr>
          <w:i/>
          <w:sz w:val="24"/>
        </w:rPr>
        <w:t>metering installation</w:t>
      </w:r>
      <w:r>
        <w:rPr>
          <w:i/>
          <w:spacing w:val="-4"/>
          <w:sz w:val="24"/>
        </w:rPr>
        <w:t> </w:t>
      </w:r>
      <w:r>
        <w:rPr>
          <w:i/>
          <w:sz w:val="24"/>
        </w:rPr>
        <w:t>malfunction</w:t>
      </w:r>
      <w:r>
        <w:rPr>
          <w:sz w:val="24"/>
        </w:rPr>
        <w:t>.</w:t>
      </w:r>
    </w:p>
    <w:p>
      <w:pPr>
        <w:pStyle w:val="Heading5"/>
        <w:rPr>
          <w:i/>
        </w:rPr>
      </w:pPr>
      <w:r>
        <w:rPr>
          <w:i/>
        </w:rPr>
        <w:t>NMAS provider</w:t>
      </w:r>
    </w:p>
    <w:p>
      <w:pPr>
        <w:spacing w:before="120"/>
        <w:ind w:left="1352" w:right="0" w:firstLine="0"/>
        <w:jc w:val="both"/>
        <w:rPr>
          <w:sz w:val="24"/>
        </w:rPr>
      </w:pPr>
      <w:r>
        <w:rPr>
          <w:sz w:val="24"/>
        </w:rPr>
        <w:t>A person who agrees to provide one or more </w:t>
      </w:r>
      <w:r>
        <w:rPr>
          <w:i/>
          <w:sz w:val="24"/>
        </w:rPr>
        <w:t>non-market ancillary services </w:t>
      </w:r>
      <w:r>
        <w:rPr>
          <w:sz w:val="24"/>
        </w:rPr>
        <w:t>to</w:t>
      </w:r>
    </w:p>
    <w:p>
      <w:pPr>
        <w:spacing w:before="0"/>
        <w:ind w:left="1352" w:right="0" w:firstLine="0"/>
        <w:jc w:val="both"/>
        <w:rPr>
          <w:sz w:val="24"/>
        </w:rPr>
      </w:pPr>
      <w:r>
        <w:rPr>
          <w:i/>
          <w:sz w:val="24"/>
        </w:rPr>
        <w:t>AEMO </w:t>
      </w:r>
      <w:r>
        <w:rPr>
          <w:sz w:val="24"/>
        </w:rPr>
        <w:t>under an </w:t>
      </w:r>
      <w:r>
        <w:rPr>
          <w:i/>
          <w:sz w:val="24"/>
        </w:rPr>
        <w:t>ancillary services agreement</w:t>
      </w:r>
      <w:r>
        <w:rPr>
          <w:sz w:val="24"/>
        </w:rPr>
        <w:t>.</w:t>
      </w:r>
    </w:p>
    <w:p>
      <w:pPr>
        <w:pStyle w:val="Heading5"/>
        <w:jc w:val="left"/>
        <w:rPr>
          <w:i/>
        </w:rPr>
      </w:pPr>
      <w:r>
        <w:rPr>
          <w:i/>
        </w:rPr>
        <w:t>NMI</w:t>
      </w:r>
    </w:p>
    <w:p>
      <w:pPr>
        <w:spacing w:before="120"/>
        <w:ind w:left="1352" w:right="0" w:firstLine="0"/>
        <w:jc w:val="left"/>
        <w:rPr>
          <w:sz w:val="24"/>
        </w:rPr>
      </w:pPr>
      <w:r>
        <w:rPr>
          <w:sz w:val="24"/>
        </w:rPr>
        <w:t>A National Metering Identifier issued by the relevant </w:t>
      </w:r>
      <w:r>
        <w:rPr>
          <w:i/>
          <w:sz w:val="24"/>
        </w:rPr>
        <w:t>Network Service Provider</w:t>
      </w:r>
      <w:r>
        <w:rPr>
          <w:sz w:val="24"/>
        </w:rPr>
        <w:t>.</w:t>
      </w:r>
    </w:p>
    <w:p>
      <w:pPr>
        <w:pStyle w:val="Heading5"/>
        <w:jc w:val="left"/>
        <w:rPr>
          <w:i/>
        </w:rPr>
      </w:pPr>
      <w:r>
        <w:rPr>
          <w:i/>
        </w:rPr>
        <w:t>NMI Standing Data</w:t>
      </w:r>
    </w:p>
    <w:p>
      <w:pPr>
        <w:spacing w:before="120"/>
        <w:ind w:left="1352" w:right="0" w:firstLine="0"/>
        <w:jc w:val="both"/>
        <w:rPr>
          <w:sz w:val="24"/>
        </w:rPr>
      </w:pPr>
      <w:r>
        <w:rPr>
          <w:sz w:val="24"/>
        </w:rPr>
        <w:t>The following data in respect of a </w:t>
      </w:r>
      <w:r>
        <w:rPr>
          <w:i/>
          <w:sz w:val="24"/>
        </w:rPr>
        <w:t>connection point</w:t>
      </w:r>
      <w:r>
        <w:rPr>
          <w:sz w:val="24"/>
        </w:rPr>
        <w:t>:</w:t>
      </w:r>
    </w:p>
    <w:p>
      <w:pPr>
        <w:pStyle w:val="ListParagraph"/>
        <w:numPr>
          <w:ilvl w:val="0"/>
          <w:numId w:val="780"/>
        </w:numPr>
        <w:tabs>
          <w:tab w:pos="1919" w:val="left" w:leader="none"/>
        </w:tabs>
        <w:spacing w:line="240" w:lineRule="auto" w:before="120" w:after="0"/>
        <w:ind w:left="1918" w:right="0" w:hanging="567"/>
        <w:jc w:val="both"/>
        <w:rPr>
          <w:sz w:val="24"/>
        </w:rPr>
      </w:pPr>
      <w:r>
        <w:rPr>
          <w:sz w:val="24"/>
        </w:rPr>
        <w:t>the </w:t>
      </w:r>
      <w:r>
        <w:rPr>
          <w:i/>
          <w:sz w:val="24"/>
        </w:rPr>
        <w:t>NMI </w:t>
      </w:r>
      <w:r>
        <w:rPr>
          <w:sz w:val="24"/>
        </w:rPr>
        <w:t>of the </w:t>
      </w:r>
      <w:r>
        <w:rPr>
          <w:i/>
          <w:sz w:val="24"/>
        </w:rPr>
        <w:t>connection point </w:t>
      </w:r>
      <w:r>
        <w:rPr>
          <w:sz w:val="24"/>
        </w:rPr>
        <w:t>and the street address of the</w:t>
      </w:r>
      <w:r>
        <w:rPr>
          <w:spacing w:val="3"/>
          <w:sz w:val="24"/>
        </w:rPr>
        <w:t> </w:t>
      </w:r>
      <w:r>
        <w:rPr>
          <w:sz w:val="24"/>
        </w:rPr>
        <w:t>relevant</w:t>
      </w:r>
    </w:p>
    <w:p>
      <w:pPr>
        <w:spacing w:before="0"/>
        <w:ind w:left="1919" w:right="0" w:firstLine="0"/>
        <w:jc w:val="both"/>
        <w:rPr>
          <w:sz w:val="24"/>
        </w:rPr>
      </w:pPr>
      <w:r>
        <w:rPr>
          <w:i/>
          <w:sz w:val="24"/>
        </w:rPr>
        <w:t>connection point </w:t>
      </w:r>
      <w:r>
        <w:rPr>
          <w:sz w:val="24"/>
        </w:rPr>
        <w:t>to which that </w:t>
      </w:r>
      <w:r>
        <w:rPr>
          <w:i/>
          <w:sz w:val="24"/>
        </w:rPr>
        <w:t>NMI </w:t>
      </w:r>
      <w:r>
        <w:rPr>
          <w:sz w:val="24"/>
        </w:rPr>
        <w:t>is referable;</w:t>
      </w:r>
    </w:p>
    <w:p>
      <w:pPr>
        <w:pStyle w:val="ListParagraph"/>
        <w:numPr>
          <w:ilvl w:val="0"/>
          <w:numId w:val="780"/>
        </w:numPr>
        <w:tabs>
          <w:tab w:pos="1919" w:val="left" w:leader="none"/>
        </w:tabs>
        <w:spacing w:line="240" w:lineRule="auto" w:before="120" w:after="0"/>
        <w:ind w:left="1918" w:right="0" w:hanging="567"/>
        <w:jc w:val="both"/>
        <w:rPr>
          <w:sz w:val="24"/>
        </w:rPr>
      </w:pPr>
      <w:r>
        <w:rPr>
          <w:sz w:val="24"/>
        </w:rPr>
        <w:t>the </w:t>
      </w:r>
      <w:r>
        <w:rPr>
          <w:i/>
          <w:sz w:val="24"/>
        </w:rPr>
        <w:t>NMI </w:t>
      </w:r>
      <w:r>
        <w:rPr>
          <w:sz w:val="24"/>
        </w:rPr>
        <w:t>checksum for the </w:t>
      </w:r>
      <w:r>
        <w:rPr>
          <w:i/>
          <w:sz w:val="24"/>
        </w:rPr>
        <w:t>connection</w:t>
      </w:r>
      <w:r>
        <w:rPr>
          <w:i/>
          <w:spacing w:val="-2"/>
          <w:sz w:val="24"/>
        </w:rPr>
        <w:t> </w:t>
      </w:r>
      <w:r>
        <w:rPr>
          <w:i/>
          <w:sz w:val="24"/>
        </w:rPr>
        <w:t>point</w:t>
      </w:r>
      <w:r>
        <w:rPr>
          <w:sz w:val="24"/>
        </w:rPr>
        <w:t>;</w:t>
      </w:r>
    </w:p>
    <w:p>
      <w:pPr>
        <w:pStyle w:val="ListParagraph"/>
        <w:numPr>
          <w:ilvl w:val="0"/>
          <w:numId w:val="780"/>
        </w:numPr>
        <w:tabs>
          <w:tab w:pos="1919" w:val="left" w:leader="none"/>
        </w:tabs>
        <w:spacing w:line="240" w:lineRule="auto" w:before="120" w:after="0"/>
        <w:ind w:left="1919" w:right="414" w:hanging="567"/>
        <w:jc w:val="both"/>
        <w:rPr>
          <w:sz w:val="24"/>
        </w:rPr>
      </w:pPr>
      <w:r>
        <w:rPr>
          <w:sz w:val="24"/>
        </w:rPr>
        <w:t>the identity of the </w:t>
      </w:r>
      <w:r>
        <w:rPr>
          <w:i/>
          <w:sz w:val="24"/>
        </w:rPr>
        <w:t>Local Network Service Provider </w:t>
      </w:r>
      <w:r>
        <w:rPr>
          <w:sz w:val="24"/>
        </w:rPr>
        <w:t>or, if the </w:t>
      </w:r>
      <w:r>
        <w:rPr>
          <w:i/>
          <w:sz w:val="24"/>
        </w:rPr>
        <w:t>connection </w:t>
      </w:r>
      <w:r>
        <w:rPr>
          <w:i/>
          <w:sz w:val="24"/>
        </w:rPr>
        <w:t>point </w:t>
      </w:r>
      <w:r>
        <w:rPr>
          <w:sz w:val="24"/>
        </w:rPr>
        <w:t>is a </w:t>
      </w:r>
      <w:r>
        <w:rPr>
          <w:i/>
          <w:sz w:val="24"/>
        </w:rPr>
        <w:t>child connection point</w:t>
      </w:r>
      <w:r>
        <w:rPr>
          <w:sz w:val="24"/>
        </w:rPr>
        <w:t>, the identity of the </w:t>
      </w:r>
      <w:r>
        <w:rPr>
          <w:i/>
          <w:sz w:val="24"/>
        </w:rPr>
        <w:t>Embedded </w:t>
      </w:r>
      <w:r>
        <w:rPr>
          <w:i/>
          <w:spacing w:val="-3"/>
          <w:sz w:val="24"/>
        </w:rPr>
        <w:t>Network </w:t>
      </w:r>
      <w:r>
        <w:rPr>
          <w:i/>
          <w:sz w:val="24"/>
        </w:rPr>
        <w:t>Manager </w:t>
      </w:r>
      <w:r>
        <w:rPr>
          <w:sz w:val="24"/>
        </w:rPr>
        <w:t>and the </w:t>
      </w:r>
      <w:r>
        <w:rPr>
          <w:i/>
          <w:sz w:val="24"/>
        </w:rPr>
        <w:t>Exempt Embedded Network Service</w:t>
      </w:r>
      <w:r>
        <w:rPr>
          <w:i/>
          <w:spacing w:val="-2"/>
          <w:sz w:val="24"/>
        </w:rPr>
        <w:t> </w:t>
      </w:r>
      <w:r>
        <w:rPr>
          <w:i/>
          <w:sz w:val="24"/>
        </w:rPr>
        <w:t>Provider</w:t>
      </w:r>
      <w:r>
        <w:rPr>
          <w:sz w:val="24"/>
        </w:rPr>
        <w:t>;</w:t>
      </w:r>
    </w:p>
    <w:p>
      <w:pPr>
        <w:pStyle w:val="ListParagraph"/>
        <w:numPr>
          <w:ilvl w:val="0"/>
          <w:numId w:val="780"/>
        </w:numPr>
        <w:tabs>
          <w:tab w:pos="1919" w:val="left" w:leader="none"/>
        </w:tabs>
        <w:spacing w:line="240" w:lineRule="auto" w:before="120" w:after="0"/>
        <w:ind w:left="1919" w:right="414" w:hanging="567"/>
        <w:jc w:val="both"/>
        <w:rPr>
          <w:sz w:val="24"/>
        </w:rPr>
      </w:pPr>
      <w:r>
        <w:rPr>
          <w:sz w:val="24"/>
        </w:rPr>
        <w:t>the code (known as a TNI) identifying the relevant </w:t>
      </w:r>
      <w:r>
        <w:rPr>
          <w:i/>
          <w:sz w:val="24"/>
        </w:rPr>
        <w:t>transmission node </w:t>
      </w:r>
      <w:r>
        <w:rPr>
          <w:sz w:val="24"/>
        </w:rPr>
        <w:t>which identifies the </w:t>
      </w:r>
      <w:r>
        <w:rPr>
          <w:i/>
          <w:sz w:val="24"/>
        </w:rPr>
        <w:t>transmission loss factor </w:t>
      </w:r>
      <w:r>
        <w:rPr>
          <w:sz w:val="24"/>
        </w:rPr>
        <w:t>and/or </w:t>
      </w:r>
      <w:r>
        <w:rPr>
          <w:i/>
          <w:sz w:val="24"/>
        </w:rPr>
        <w:t>transmission use of system </w:t>
      </w:r>
      <w:r>
        <w:rPr>
          <w:sz w:val="24"/>
        </w:rPr>
        <w:t>charge for the </w:t>
      </w:r>
      <w:r>
        <w:rPr>
          <w:i/>
          <w:sz w:val="24"/>
        </w:rPr>
        <w:t>connection point </w:t>
      </w:r>
      <w:r>
        <w:rPr>
          <w:sz w:val="24"/>
        </w:rPr>
        <w:t>and, if the </w:t>
      </w:r>
      <w:r>
        <w:rPr>
          <w:i/>
          <w:sz w:val="24"/>
        </w:rPr>
        <w:t>connection point </w:t>
      </w:r>
      <w:r>
        <w:rPr>
          <w:sz w:val="24"/>
        </w:rPr>
        <w:t>is a </w:t>
      </w:r>
      <w:r>
        <w:rPr>
          <w:i/>
          <w:sz w:val="24"/>
        </w:rPr>
        <w:t>child </w:t>
      </w:r>
      <w:r>
        <w:rPr>
          <w:i/>
          <w:sz w:val="24"/>
        </w:rPr>
        <w:t>connection point</w:t>
      </w:r>
      <w:r>
        <w:rPr>
          <w:sz w:val="24"/>
        </w:rPr>
        <w:t>, the </w:t>
      </w:r>
      <w:r>
        <w:rPr>
          <w:i/>
          <w:sz w:val="24"/>
        </w:rPr>
        <w:t>NMI </w:t>
      </w:r>
      <w:r>
        <w:rPr>
          <w:sz w:val="24"/>
        </w:rPr>
        <w:t>of the </w:t>
      </w:r>
      <w:r>
        <w:rPr>
          <w:i/>
          <w:sz w:val="24"/>
        </w:rPr>
        <w:t>parent connection point </w:t>
      </w:r>
      <w:r>
        <w:rPr>
          <w:sz w:val="24"/>
        </w:rPr>
        <w:t>on that </w:t>
      </w:r>
      <w:r>
        <w:rPr>
          <w:i/>
          <w:sz w:val="24"/>
        </w:rPr>
        <w:t>embedded </w:t>
      </w:r>
      <w:r>
        <w:rPr>
          <w:i/>
          <w:sz w:val="24"/>
        </w:rPr>
        <w:t>network</w:t>
      </w:r>
      <w:r>
        <w:rPr>
          <w:sz w:val="24"/>
        </w:rPr>
        <w:t>;</w:t>
      </w:r>
    </w:p>
    <w:p>
      <w:pPr>
        <w:pStyle w:val="ListParagraph"/>
        <w:numPr>
          <w:ilvl w:val="0"/>
          <w:numId w:val="780"/>
        </w:numPr>
        <w:tabs>
          <w:tab w:pos="1919" w:val="left" w:leader="none"/>
        </w:tabs>
        <w:spacing w:line="240" w:lineRule="auto" w:before="120" w:after="0"/>
        <w:ind w:left="1918" w:right="0" w:hanging="567"/>
        <w:jc w:val="both"/>
        <w:rPr>
          <w:sz w:val="24"/>
        </w:rPr>
      </w:pPr>
      <w:r>
        <w:rPr>
          <w:sz w:val="24"/>
        </w:rPr>
        <w:t>the relevant </w:t>
      </w:r>
      <w:r>
        <w:rPr>
          <w:i/>
          <w:sz w:val="24"/>
        </w:rPr>
        <w:t>distribution loss factor </w:t>
      </w:r>
      <w:r>
        <w:rPr>
          <w:sz w:val="24"/>
        </w:rPr>
        <w:t>applicable to the </w:t>
      </w:r>
      <w:r>
        <w:rPr>
          <w:i/>
          <w:sz w:val="24"/>
        </w:rPr>
        <w:t>connection</w:t>
      </w:r>
      <w:r>
        <w:rPr>
          <w:i/>
          <w:spacing w:val="-3"/>
          <w:sz w:val="24"/>
        </w:rPr>
        <w:t> </w:t>
      </w:r>
      <w:r>
        <w:rPr>
          <w:i/>
          <w:sz w:val="24"/>
        </w:rPr>
        <w:t>point</w:t>
      </w:r>
      <w:r>
        <w:rPr>
          <w:sz w:val="24"/>
        </w:rPr>
        <w:t>;</w:t>
      </w:r>
    </w:p>
    <w:p>
      <w:pPr>
        <w:pStyle w:val="ListParagraph"/>
        <w:numPr>
          <w:ilvl w:val="0"/>
          <w:numId w:val="780"/>
        </w:numPr>
        <w:tabs>
          <w:tab w:pos="1920" w:val="left" w:leader="none"/>
        </w:tabs>
        <w:spacing w:line="240" w:lineRule="auto" w:before="120" w:after="0"/>
        <w:ind w:left="1919" w:right="0" w:hanging="568"/>
        <w:jc w:val="both"/>
        <w:rPr>
          <w:sz w:val="24"/>
        </w:rPr>
      </w:pPr>
      <w:r>
        <w:rPr>
          <w:sz w:val="24"/>
        </w:rPr>
        <w:t>the</w:t>
      </w:r>
      <w:r>
        <w:rPr>
          <w:spacing w:val="11"/>
          <w:sz w:val="24"/>
        </w:rPr>
        <w:t> </w:t>
      </w:r>
      <w:r>
        <w:rPr>
          <w:sz w:val="24"/>
        </w:rPr>
        <w:t>Network</w:t>
      </w:r>
      <w:r>
        <w:rPr>
          <w:spacing w:val="12"/>
          <w:sz w:val="24"/>
        </w:rPr>
        <w:t> </w:t>
      </w:r>
      <w:r>
        <w:rPr>
          <w:sz w:val="24"/>
        </w:rPr>
        <w:t>Tariff</w:t>
      </w:r>
      <w:r>
        <w:rPr>
          <w:spacing w:val="11"/>
          <w:sz w:val="24"/>
        </w:rPr>
        <w:t> </w:t>
      </w:r>
      <w:r>
        <w:rPr>
          <w:sz w:val="24"/>
        </w:rPr>
        <w:t>(identified</w:t>
      </w:r>
      <w:r>
        <w:rPr>
          <w:spacing w:val="12"/>
          <w:sz w:val="24"/>
        </w:rPr>
        <w:t> </w:t>
      </w:r>
      <w:r>
        <w:rPr>
          <w:sz w:val="24"/>
        </w:rPr>
        <w:t>by</w:t>
      </w:r>
      <w:r>
        <w:rPr>
          <w:spacing w:val="12"/>
          <w:sz w:val="24"/>
        </w:rPr>
        <w:t> </w:t>
      </w:r>
      <w:r>
        <w:rPr>
          <w:sz w:val="24"/>
        </w:rPr>
        <w:t>a</w:t>
      </w:r>
      <w:r>
        <w:rPr>
          <w:spacing w:val="11"/>
          <w:sz w:val="24"/>
        </w:rPr>
        <w:t> </w:t>
      </w:r>
      <w:r>
        <w:rPr>
          <w:sz w:val="24"/>
        </w:rPr>
        <w:t>code)</w:t>
      </w:r>
      <w:r>
        <w:rPr>
          <w:spacing w:val="12"/>
          <w:sz w:val="24"/>
        </w:rPr>
        <w:t> </w:t>
      </w:r>
      <w:r>
        <w:rPr>
          <w:sz w:val="24"/>
        </w:rPr>
        <w:t>applicable</w:t>
      </w:r>
      <w:r>
        <w:rPr>
          <w:spacing w:val="12"/>
          <w:sz w:val="24"/>
        </w:rPr>
        <w:t> </w:t>
      </w:r>
      <w:r>
        <w:rPr>
          <w:sz w:val="24"/>
        </w:rPr>
        <w:t>in</w:t>
      </w:r>
      <w:r>
        <w:rPr>
          <w:spacing w:val="11"/>
          <w:sz w:val="24"/>
        </w:rPr>
        <w:t> </w:t>
      </w:r>
      <w:r>
        <w:rPr>
          <w:sz w:val="24"/>
        </w:rPr>
        <w:t>respect</w:t>
      </w:r>
      <w:r>
        <w:rPr>
          <w:spacing w:val="12"/>
          <w:sz w:val="24"/>
        </w:rPr>
        <w:t> </w:t>
      </w:r>
      <w:r>
        <w:rPr>
          <w:sz w:val="24"/>
        </w:rPr>
        <w:t>of</w:t>
      </w:r>
      <w:r>
        <w:rPr>
          <w:spacing w:val="12"/>
          <w:sz w:val="24"/>
        </w:rPr>
        <w:t> </w:t>
      </w:r>
      <w:r>
        <w:rPr>
          <w:sz w:val="24"/>
        </w:rPr>
        <w:t>the</w:t>
      </w:r>
    </w:p>
    <w:p>
      <w:pPr>
        <w:spacing w:before="0"/>
        <w:ind w:left="1919" w:right="0" w:firstLine="0"/>
        <w:jc w:val="both"/>
        <w:rPr>
          <w:sz w:val="24"/>
        </w:rPr>
      </w:pPr>
      <w:r>
        <w:rPr>
          <w:i/>
          <w:sz w:val="24"/>
        </w:rPr>
        <w:t>connection point</w:t>
      </w:r>
      <w:r>
        <w:rPr>
          <w:sz w:val="24"/>
        </w:rPr>
        <w:t>;</w:t>
      </w:r>
    </w:p>
    <w:p>
      <w:pPr>
        <w:spacing w:after="0"/>
        <w:jc w:val="both"/>
        <w:rPr>
          <w:sz w:val="24"/>
        </w:rPr>
        <w:sectPr>
          <w:pgSz w:w="11910" w:h="16840"/>
          <w:pgMar w:header="686" w:footer="637" w:top="1320" w:bottom="820" w:left="1200" w:right="1000"/>
        </w:sectPr>
      </w:pPr>
    </w:p>
    <w:p>
      <w:pPr>
        <w:pStyle w:val="ListParagraph"/>
        <w:numPr>
          <w:ilvl w:val="0"/>
          <w:numId w:val="780"/>
        </w:numPr>
        <w:tabs>
          <w:tab w:pos="1919" w:val="left" w:leader="none"/>
        </w:tabs>
        <w:spacing w:line="240" w:lineRule="auto" w:before="83" w:after="0"/>
        <w:ind w:left="1919" w:right="416" w:hanging="567"/>
        <w:jc w:val="both"/>
        <w:rPr>
          <w:sz w:val="24"/>
        </w:rPr>
      </w:pPr>
      <w:r>
        <w:rPr>
          <w:sz w:val="24"/>
        </w:rPr>
        <w:t>the </w:t>
      </w:r>
      <w:r>
        <w:rPr>
          <w:i/>
          <w:sz w:val="24"/>
        </w:rPr>
        <w:t>NMI </w:t>
      </w:r>
      <w:r>
        <w:rPr>
          <w:sz w:val="24"/>
        </w:rPr>
        <w:t>classification code (as set out in the </w:t>
      </w:r>
      <w:r>
        <w:rPr>
          <w:i/>
          <w:sz w:val="24"/>
        </w:rPr>
        <w:t>Market Settlement and </w:t>
      </w:r>
      <w:r>
        <w:rPr>
          <w:i/>
          <w:sz w:val="24"/>
        </w:rPr>
        <w:t>Transfer Solution Procedures</w:t>
      </w:r>
      <w:r>
        <w:rPr>
          <w:sz w:val="24"/>
        </w:rPr>
        <w:t>) of the </w:t>
      </w:r>
      <w:r>
        <w:rPr>
          <w:i/>
          <w:sz w:val="24"/>
        </w:rPr>
        <w:t>connection</w:t>
      </w:r>
      <w:r>
        <w:rPr>
          <w:i/>
          <w:spacing w:val="-4"/>
          <w:sz w:val="24"/>
        </w:rPr>
        <w:t> </w:t>
      </w:r>
      <w:r>
        <w:rPr>
          <w:i/>
          <w:sz w:val="24"/>
        </w:rPr>
        <w:t>point</w:t>
      </w:r>
      <w:r>
        <w:rPr>
          <w:sz w:val="24"/>
        </w:rPr>
        <w:t>;</w:t>
      </w:r>
    </w:p>
    <w:p>
      <w:pPr>
        <w:pStyle w:val="ListParagraph"/>
        <w:numPr>
          <w:ilvl w:val="0"/>
          <w:numId w:val="780"/>
        </w:numPr>
        <w:tabs>
          <w:tab w:pos="1919" w:val="left" w:leader="none"/>
        </w:tabs>
        <w:spacing w:line="240" w:lineRule="auto" w:before="120" w:after="0"/>
        <w:ind w:left="1919" w:right="416" w:hanging="567"/>
        <w:jc w:val="both"/>
        <w:rPr>
          <w:sz w:val="24"/>
        </w:rPr>
      </w:pPr>
      <w:r>
        <w:rPr>
          <w:sz w:val="24"/>
        </w:rPr>
        <w:t>the read cycle date, or date of next scheduled read or date in a relevant code representing the read cycle date or date of next scheduled read, for that </w:t>
      </w:r>
      <w:r>
        <w:rPr>
          <w:i/>
          <w:sz w:val="24"/>
        </w:rPr>
        <w:t>connection</w:t>
      </w:r>
      <w:r>
        <w:rPr>
          <w:i/>
          <w:spacing w:val="-1"/>
          <w:sz w:val="24"/>
        </w:rPr>
        <w:t> </w:t>
      </w:r>
      <w:r>
        <w:rPr>
          <w:i/>
          <w:sz w:val="24"/>
        </w:rPr>
        <w:t>point</w:t>
      </w:r>
      <w:r>
        <w:rPr>
          <w:sz w:val="24"/>
        </w:rPr>
        <w:t>;</w:t>
      </w:r>
    </w:p>
    <w:p>
      <w:pPr>
        <w:pStyle w:val="ListParagraph"/>
        <w:numPr>
          <w:ilvl w:val="0"/>
          <w:numId w:val="780"/>
        </w:numPr>
        <w:tabs>
          <w:tab w:pos="1919" w:val="left" w:leader="none"/>
        </w:tabs>
        <w:spacing w:line="240" w:lineRule="auto" w:before="120" w:after="0"/>
        <w:ind w:left="1918" w:right="0" w:hanging="567"/>
        <w:jc w:val="both"/>
        <w:rPr>
          <w:sz w:val="24"/>
        </w:rPr>
      </w:pPr>
      <w:r>
        <w:rPr>
          <w:sz w:val="24"/>
        </w:rPr>
        <w:t>the profile type applicable to the </w:t>
      </w:r>
      <w:r>
        <w:rPr>
          <w:i/>
          <w:sz w:val="24"/>
        </w:rPr>
        <w:t>connection point</w:t>
      </w:r>
      <w:r>
        <w:rPr>
          <w:sz w:val="24"/>
        </w:rPr>
        <w:t>;</w:t>
      </w:r>
      <w:r>
        <w:rPr>
          <w:spacing w:val="-2"/>
          <w:sz w:val="24"/>
        </w:rPr>
        <w:t> </w:t>
      </w:r>
      <w:r>
        <w:rPr>
          <w:sz w:val="24"/>
        </w:rPr>
        <w:t>and</w:t>
      </w:r>
    </w:p>
    <w:p>
      <w:pPr>
        <w:pStyle w:val="ListParagraph"/>
        <w:numPr>
          <w:ilvl w:val="0"/>
          <w:numId w:val="780"/>
        </w:numPr>
        <w:tabs>
          <w:tab w:pos="1919" w:val="left" w:leader="none"/>
        </w:tabs>
        <w:spacing w:line="240" w:lineRule="auto" w:before="120" w:after="0"/>
        <w:ind w:left="1919" w:right="415" w:hanging="567"/>
        <w:jc w:val="both"/>
        <w:rPr>
          <w:sz w:val="24"/>
        </w:rPr>
      </w:pPr>
      <w:r>
        <w:rPr>
          <w:sz w:val="24"/>
        </w:rPr>
        <w:t>such other categories of data as may be referred to in the </w:t>
      </w:r>
      <w:r>
        <w:rPr>
          <w:i/>
          <w:sz w:val="24"/>
        </w:rPr>
        <w:t>Market Settlement </w:t>
      </w:r>
      <w:r>
        <w:rPr>
          <w:i/>
          <w:sz w:val="24"/>
        </w:rPr>
        <w:t>and Transfer Solution Procedures </w:t>
      </w:r>
      <w:r>
        <w:rPr>
          <w:sz w:val="24"/>
        </w:rPr>
        <w:t>as forming </w:t>
      </w:r>
      <w:r>
        <w:rPr>
          <w:i/>
          <w:sz w:val="24"/>
        </w:rPr>
        <w:t>NMI Standing</w:t>
      </w:r>
      <w:r>
        <w:rPr>
          <w:i/>
          <w:spacing w:val="-5"/>
          <w:sz w:val="24"/>
        </w:rPr>
        <w:t> </w:t>
      </w:r>
      <w:r>
        <w:rPr>
          <w:i/>
          <w:sz w:val="24"/>
        </w:rPr>
        <w:t>Data</w:t>
      </w:r>
      <w:r>
        <w:rPr>
          <w:sz w:val="24"/>
        </w:rPr>
        <w:t>,</w:t>
      </w:r>
    </w:p>
    <w:p>
      <w:pPr>
        <w:spacing w:before="120"/>
        <w:ind w:left="1352" w:right="415" w:firstLine="0"/>
        <w:jc w:val="both"/>
        <w:rPr>
          <w:sz w:val="24"/>
        </w:rPr>
      </w:pPr>
      <w:r>
        <w:rPr>
          <w:sz w:val="24"/>
        </w:rPr>
        <w:t>and, for the avoidance of doubt, does not include any </w:t>
      </w:r>
      <w:r>
        <w:rPr>
          <w:i/>
          <w:sz w:val="24"/>
        </w:rPr>
        <w:t>metering data </w:t>
      </w:r>
      <w:r>
        <w:rPr>
          <w:sz w:val="24"/>
        </w:rPr>
        <w:t>or other details of an end-user's consumption at that </w:t>
      </w:r>
      <w:r>
        <w:rPr>
          <w:i/>
          <w:sz w:val="24"/>
        </w:rPr>
        <w:t>connection</w:t>
      </w:r>
      <w:r>
        <w:rPr>
          <w:i/>
          <w:spacing w:val="-2"/>
          <w:sz w:val="24"/>
        </w:rPr>
        <w:t> </w:t>
      </w:r>
      <w:r>
        <w:rPr>
          <w:i/>
          <w:sz w:val="24"/>
        </w:rPr>
        <w:t>point</w:t>
      </w:r>
      <w:r>
        <w:rPr>
          <w:sz w:val="24"/>
        </w:rPr>
        <w:t>.</w:t>
      </w:r>
    </w:p>
    <w:p>
      <w:pPr>
        <w:pStyle w:val="Heading5"/>
        <w:rPr>
          <w:i/>
        </w:rPr>
      </w:pPr>
      <w:r>
        <w:rPr>
          <w:i/>
        </w:rPr>
        <w:t>nomenclature standards</w:t>
      </w:r>
    </w:p>
    <w:p>
      <w:pPr>
        <w:spacing w:before="120"/>
        <w:ind w:left="1352" w:right="414" w:firstLine="0"/>
        <w:jc w:val="both"/>
        <w:rPr>
          <w:sz w:val="24"/>
        </w:rPr>
      </w:pPr>
      <w:r>
        <w:rPr>
          <w:sz w:val="24"/>
        </w:rPr>
        <w:t>The standards approved by </w:t>
      </w:r>
      <w:r>
        <w:rPr>
          <w:i/>
          <w:sz w:val="24"/>
        </w:rPr>
        <w:t>AEMO </w:t>
      </w:r>
      <w:r>
        <w:rPr>
          <w:sz w:val="24"/>
        </w:rPr>
        <w:t>in conjunction with the </w:t>
      </w:r>
      <w:r>
        <w:rPr>
          <w:i/>
          <w:sz w:val="24"/>
        </w:rPr>
        <w:t>Network Service </w:t>
      </w:r>
      <w:r>
        <w:rPr>
          <w:i/>
          <w:sz w:val="24"/>
        </w:rPr>
        <w:t>Providers </w:t>
      </w:r>
      <w:r>
        <w:rPr>
          <w:sz w:val="24"/>
        </w:rPr>
        <w:t>relating to numbering, terminology and abbreviations used for information transfer between </w:t>
      </w:r>
      <w:r>
        <w:rPr>
          <w:i/>
          <w:sz w:val="24"/>
        </w:rPr>
        <w:t>Registered Participant </w:t>
      </w:r>
      <w:r>
        <w:rPr>
          <w:sz w:val="24"/>
        </w:rPr>
        <w:t>as provided for in clause 4.12.</w:t>
      </w:r>
    </w:p>
    <w:p>
      <w:pPr>
        <w:pStyle w:val="Heading5"/>
        <w:rPr>
          <w:i/>
        </w:rPr>
      </w:pPr>
      <w:r>
        <w:rPr>
          <w:i/>
        </w:rPr>
        <w:t>nominal</w:t>
      </w:r>
      <w:r>
        <w:rPr>
          <w:i/>
          <w:spacing w:val="-8"/>
        </w:rPr>
        <w:t> </w:t>
      </w:r>
      <w:r>
        <w:rPr>
          <w:i/>
        </w:rPr>
        <w:t>voltage</w:t>
      </w:r>
    </w:p>
    <w:p>
      <w:pPr>
        <w:pStyle w:val="BodyText"/>
        <w:ind w:left="1352" w:right="414" w:firstLine="0"/>
      </w:pPr>
      <w:r>
        <w:rPr/>
        <w:t>The design </w:t>
      </w:r>
      <w:r>
        <w:rPr>
          <w:i/>
        </w:rPr>
        <w:t>voltage </w:t>
      </w:r>
      <w:r>
        <w:rPr/>
        <w:t>level, nominated for a particular location on the </w:t>
      </w:r>
      <w:r>
        <w:rPr>
          <w:i/>
        </w:rPr>
        <w:t>power system</w:t>
      </w:r>
      <w:r>
        <w:rPr/>
        <w:t>, such that power lines and circuits that are electrically connected other than through transformers have the same </w:t>
      </w:r>
      <w:r>
        <w:rPr>
          <w:i/>
        </w:rPr>
        <w:t>nominal voltage </w:t>
      </w:r>
      <w:r>
        <w:rPr/>
        <w:t>regardless of operating </w:t>
      </w:r>
      <w:r>
        <w:rPr>
          <w:i/>
        </w:rPr>
        <w:t>voltage</w:t>
      </w:r>
      <w:r>
        <w:rPr/>
        <w:t>.</w:t>
      </w:r>
    </w:p>
    <w:p>
      <w:pPr>
        <w:pStyle w:val="Heading5"/>
        <w:rPr>
          <w:i/>
        </w:rPr>
      </w:pPr>
      <w:r>
        <w:rPr>
          <w:i/>
        </w:rPr>
        <w:t>nominated pass through event considerations</w:t>
      </w:r>
    </w:p>
    <w:p>
      <w:pPr>
        <w:spacing w:before="120"/>
        <w:ind w:left="1352" w:right="0" w:firstLine="0"/>
        <w:jc w:val="both"/>
        <w:rPr>
          <w:sz w:val="24"/>
        </w:rPr>
      </w:pPr>
      <w:r>
        <w:rPr>
          <w:sz w:val="24"/>
        </w:rPr>
        <w:t>The </w:t>
      </w:r>
      <w:r>
        <w:rPr>
          <w:i/>
          <w:sz w:val="24"/>
        </w:rPr>
        <w:t>nominated pass through event considerations </w:t>
      </w:r>
      <w:r>
        <w:rPr>
          <w:sz w:val="24"/>
        </w:rPr>
        <w:t>are:</w:t>
      </w:r>
    </w:p>
    <w:p>
      <w:pPr>
        <w:pStyle w:val="ListParagraph"/>
        <w:numPr>
          <w:ilvl w:val="0"/>
          <w:numId w:val="781"/>
        </w:numPr>
        <w:tabs>
          <w:tab w:pos="1919" w:val="left" w:leader="none"/>
        </w:tabs>
        <w:spacing w:line="240" w:lineRule="auto" w:before="120" w:after="0"/>
        <w:ind w:left="1919" w:right="414" w:hanging="567"/>
        <w:jc w:val="both"/>
        <w:rPr>
          <w:sz w:val="24"/>
        </w:rPr>
      </w:pPr>
      <w:r>
        <w:rPr>
          <w:sz w:val="24"/>
        </w:rPr>
        <w:t>whether the event proposed is an event covered by a category of </w:t>
      </w:r>
      <w:r>
        <w:rPr>
          <w:i/>
          <w:sz w:val="24"/>
        </w:rPr>
        <w:t>pass </w:t>
      </w:r>
      <w:r>
        <w:rPr>
          <w:i/>
          <w:sz w:val="24"/>
        </w:rPr>
        <w:t>through event </w:t>
      </w:r>
      <w:r>
        <w:rPr>
          <w:sz w:val="24"/>
        </w:rPr>
        <w:t>specified in clause 6.6.1(a1)(1AA) to(4) (in the case of a distribution determination) or clause 6A.7.3(a1)(1) to(4) (in the case of a </w:t>
      </w:r>
      <w:r>
        <w:rPr>
          <w:i/>
          <w:sz w:val="24"/>
        </w:rPr>
        <w:t>transmission determination</w:t>
      </w:r>
      <w:r>
        <w:rPr>
          <w:sz w:val="24"/>
        </w:rPr>
        <w:t>);</w:t>
      </w:r>
    </w:p>
    <w:p>
      <w:pPr>
        <w:pStyle w:val="ListParagraph"/>
        <w:numPr>
          <w:ilvl w:val="0"/>
          <w:numId w:val="781"/>
        </w:numPr>
        <w:tabs>
          <w:tab w:pos="1919" w:val="left" w:leader="none"/>
        </w:tabs>
        <w:spacing w:line="240" w:lineRule="auto" w:before="120" w:after="0"/>
        <w:ind w:left="1919" w:right="415" w:hanging="567"/>
        <w:jc w:val="both"/>
        <w:rPr>
          <w:sz w:val="24"/>
        </w:rPr>
      </w:pPr>
      <w:r>
        <w:rPr>
          <w:sz w:val="24"/>
        </w:rPr>
        <w:t>whether the nature or type of event can be clearly identified at the time the determination is made for the service</w:t>
      </w:r>
      <w:r>
        <w:rPr>
          <w:spacing w:val="-2"/>
          <w:sz w:val="24"/>
        </w:rPr>
        <w:t> </w:t>
      </w:r>
      <w:r>
        <w:rPr>
          <w:sz w:val="24"/>
        </w:rPr>
        <w:t>provider;</w:t>
      </w:r>
    </w:p>
    <w:p>
      <w:pPr>
        <w:pStyle w:val="ListParagraph"/>
        <w:numPr>
          <w:ilvl w:val="0"/>
          <w:numId w:val="781"/>
        </w:numPr>
        <w:tabs>
          <w:tab w:pos="1919" w:val="left" w:leader="none"/>
        </w:tabs>
        <w:spacing w:line="240" w:lineRule="auto" w:before="120" w:after="0"/>
        <w:ind w:left="1919" w:right="416" w:hanging="567"/>
        <w:jc w:val="both"/>
        <w:rPr>
          <w:sz w:val="24"/>
        </w:rPr>
      </w:pPr>
      <w:r>
        <w:rPr>
          <w:sz w:val="24"/>
        </w:rPr>
        <w:t>whether a prudent service provider could reasonably prevent an event of that nature or type from occurring or substantially mitigate the cost impact of such an</w:t>
      </w:r>
      <w:r>
        <w:rPr>
          <w:spacing w:val="-2"/>
          <w:sz w:val="24"/>
        </w:rPr>
        <w:t> </w:t>
      </w:r>
      <w:r>
        <w:rPr>
          <w:sz w:val="24"/>
        </w:rPr>
        <w:t>event;</w:t>
      </w:r>
    </w:p>
    <w:p>
      <w:pPr>
        <w:pStyle w:val="ListParagraph"/>
        <w:numPr>
          <w:ilvl w:val="0"/>
          <w:numId w:val="781"/>
        </w:numPr>
        <w:tabs>
          <w:tab w:pos="1919" w:val="left" w:leader="none"/>
        </w:tabs>
        <w:spacing w:line="240" w:lineRule="auto" w:before="120" w:after="0"/>
        <w:ind w:left="1919" w:right="415" w:hanging="567"/>
        <w:jc w:val="both"/>
        <w:rPr>
          <w:sz w:val="24"/>
        </w:rPr>
      </w:pPr>
      <w:r>
        <w:rPr>
          <w:sz w:val="24"/>
        </w:rPr>
        <w:t>whether the relevant service provider could insure against the event, having regard to:</w:t>
      </w:r>
    </w:p>
    <w:p>
      <w:pPr>
        <w:pStyle w:val="ListParagraph"/>
        <w:numPr>
          <w:ilvl w:val="1"/>
          <w:numId w:val="781"/>
        </w:numPr>
        <w:tabs>
          <w:tab w:pos="2486" w:val="left" w:leader="none"/>
        </w:tabs>
        <w:spacing w:line="240" w:lineRule="auto" w:before="120" w:after="0"/>
        <w:ind w:left="2486" w:right="414" w:hanging="567"/>
        <w:jc w:val="both"/>
        <w:rPr>
          <w:sz w:val="24"/>
        </w:rPr>
      </w:pPr>
      <w:r>
        <w:rPr>
          <w:sz w:val="24"/>
        </w:rPr>
        <w:t>the availability (including the extent of availability in terms of liability limits) of insurance against the event on reasonable commercial terms; or</w:t>
      </w:r>
    </w:p>
    <w:p>
      <w:pPr>
        <w:pStyle w:val="ListParagraph"/>
        <w:numPr>
          <w:ilvl w:val="1"/>
          <w:numId w:val="781"/>
        </w:numPr>
        <w:tabs>
          <w:tab w:pos="2486" w:val="left" w:leader="none"/>
        </w:tabs>
        <w:spacing w:line="240" w:lineRule="auto" w:before="120" w:after="0"/>
        <w:ind w:left="2485" w:right="0" w:hanging="567"/>
        <w:jc w:val="both"/>
        <w:rPr>
          <w:sz w:val="24"/>
        </w:rPr>
      </w:pPr>
      <w:r>
        <w:rPr>
          <w:sz w:val="24"/>
        </w:rPr>
        <w:t>whether the event can be self-insured on the basis</w:t>
      </w:r>
      <w:r>
        <w:rPr>
          <w:spacing w:val="-5"/>
          <w:sz w:val="24"/>
        </w:rPr>
        <w:t> </w:t>
      </w:r>
      <w:r>
        <w:rPr>
          <w:sz w:val="24"/>
        </w:rPr>
        <w:t>that:</w:t>
      </w:r>
    </w:p>
    <w:p>
      <w:pPr>
        <w:pStyle w:val="ListParagraph"/>
        <w:numPr>
          <w:ilvl w:val="2"/>
          <w:numId w:val="781"/>
        </w:numPr>
        <w:tabs>
          <w:tab w:pos="3053" w:val="left" w:leader="none"/>
        </w:tabs>
        <w:spacing w:line="240" w:lineRule="auto" w:before="120" w:after="0"/>
        <w:ind w:left="3052" w:right="0" w:hanging="567"/>
        <w:jc w:val="both"/>
        <w:rPr>
          <w:sz w:val="24"/>
        </w:rPr>
      </w:pPr>
      <w:r>
        <w:rPr>
          <w:sz w:val="24"/>
        </w:rPr>
        <w:t>it is possible to calculate the self-insurance premium;</w:t>
      </w:r>
      <w:r>
        <w:rPr>
          <w:spacing w:val="-6"/>
          <w:sz w:val="24"/>
        </w:rPr>
        <w:t> </w:t>
      </w:r>
      <w:r>
        <w:rPr>
          <w:sz w:val="24"/>
        </w:rPr>
        <w:t>and</w:t>
      </w:r>
    </w:p>
    <w:p>
      <w:pPr>
        <w:pStyle w:val="ListParagraph"/>
        <w:numPr>
          <w:ilvl w:val="2"/>
          <w:numId w:val="781"/>
        </w:numPr>
        <w:tabs>
          <w:tab w:pos="3054" w:val="left" w:leader="none"/>
        </w:tabs>
        <w:spacing w:line="240" w:lineRule="auto" w:before="120" w:after="0"/>
        <w:ind w:left="3053" w:right="417" w:hanging="567"/>
        <w:jc w:val="both"/>
        <w:rPr>
          <w:sz w:val="24"/>
        </w:rPr>
      </w:pPr>
      <w:r>
        <w:rPr>
          <w:sz w:val="24"/>
        </w:rPr>
        <w:t>the potential cost to the relevant service provider would not have a significant impact on the service provider's ability to provide </w:t>
      </w:r>
      <w:r>
        <w:rPr>
          <w:i/>
          <w:sz w:val="24"/>
        </w:rPr>
        <w:t>network services</w:t>
      </w:r>
      <w:r>
        <w:rPr>
          <w:sz w:val="24"/>
        </w:rPr>
        <w: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0"/>
          <w:numId w:val="781"/>
        </w:numPr>
        <w:tabs>
          <w:tab w:pos="566" w:val="left" w:leader="none"/>
          <w:tab w:pos="567" w:val="left" w:leader="none"/>
        </w:tabs>
        <w:spacing w:line="240" w:lineRule="auto" w:before="83" w:after="0"/>
        <w:ind w:left="1918" w:right="415" w:hanging="1919"/>
        <w:jc w:val="right"/>
        <w:rPr>
          <w:sz w:val="24"/>
        </w:rPr>
      </w:pPr>
      <w:r>
        <w:rPr>
          <w:sz w:val="24"/>
        </w:rPr>
        <w:t>any other matter the </w:t>
      </w:r>
      <w:r>
        <w:rPr>
          <w:i/>
          <w:sz w:val="24"/>
        </w:rPr>
        <w:t>AER </w:t>
      </w:r>
      <w:r>
        <w:rPr>
          <w:sz w:val="24"/>
        </w:rPr>
        <w:t>considers relevant and which the </w:t>
      </w:r>
      <w:r>
        <w:rPr>
          <w:i/>
          <w:sz w:val="24"/>
        </w:rPr>
        <w:t>AER </w:t>
      </w:r>
      <w:r>
        <w:rPr>
          <w:sz w:val="24"/>
        </w:rPr>
        <w:t>has</w:t>
      </w:r>
      <w:r>
        <w:rPr>
          <w:spacing w:val="40"/>
          <w:sz w:val="24"/>
        </w:rPr>
        <w:t> </w:t>
      </w:r>
      <w:r>
        <w:rPr>
          <w:sz w:val="24"/>
        </w:rPr>
        <w:t>notified</w:t>
      </w:r>
    </w:p>
    <w:p>
      <w:pPr>
        <w:spacing w:before="0"/>
        <w:ind w:left="1789" w:right="466" w:firstLine="0"/>
        <w:jc w:val="right"/>
        <w:rPr>
          <w:sz w:val="24"/>
        </w:rPr>
      </w:pPr>
      <w:r>
        <w:rPr>
          <w:i/>
          <w:sz w:val="24"/>
        </w:rPr>
        <w:t>Network Service Providers </w:t>
      </w:r>
      <w:r>
        <w:rPr>
          <w:sz w:val="24"/>
        </w:rPr>
        <w:t>is a nominated pass through event consideration.</w:t>
      </w:r>
    </w:p>
    <w:p>
      <w:pPr>
        <w:pStyle w:val="Heading5"/>
        <w:rPr>
          <w:i/>
        </w:rPr>
      </w:pPr>
      <w:r>
        <w:rPr>
          <w:i/>
        </w:rPr>
        <w:t>non-contestable IUSA components</w:t>
      </w:r>
    </w:p>
    <w:p>
      <w:pPr>
        <w:spacing w:before="120"/>
        <w:ind w:left="1352" w:right="415" w:firstLine="0"/>
        <w:jc w:val="both"/>
        <w:rPr>
          <w:sz w:val="24"/>
        </w:rPr>
      </w:pPr>
      <w:r>
        <w:rPr>
          <w:sz w:val="24"/>
        </w:rPr>
        <w:t>Those components of the </w:t>
      </w:r>
      <w:r>
        <w:rPr>
          <w:i/>
          <w:sz w:val="24"/>
        </w:rPr>
        <w:t>identified user shared asset </w:t>
      </w:r>
      <w:r>
        <w:rPr>
          <w:sz w:val="24"/>
        </w:rPr>
        <w:t>that do not satisfy</w:t>
      </w:r>
      <w:r>
        <w:rPr>
          <w:spacing w:val="22"/>
          <w:sz w:val="24"/>
        </w:rPr>
        <w:t> </w:t>
      </w:r>
      <w:r>
        <w:rPr>
          <w:sz w:val="24"/>
        </w:rPr>
        <w:t>the criteria set out in clause</w:t>
      </w:r>
      <w:r>
        <w:rPr>
          <w:spacing w:val="-2"/>
          <w:sz w:val="24"/>
        </w:rPr>
        <w:t> </w:t>
      </w:r>
      <w:r>
        <w:rPr>
          <w:sz w:val="24"/>
        </w:rPr>
        <w:t>5.2A.4(c).</w:t>
      </w:r>
    </w:p>
    <w:p>
      <w:pPr>
        <w:pStyle w:val="Heading5"/>
        <w:rPr>
          <w:i/>
        </w:rPr>
      </w:pPr>
      <w:r>
        <w:rPr>
          <w:i/>
        </w:rPr>
        <w:t>non-credible contingency event</w:t>
      </w:r>
    </w:p>
    <w:p>
      <w:pPr>
        <w:pStyle w:val="BodyText"/>
        <w:ind w:left="1352" w:firstLine="0"/>
      </w:pPr>
      <w:r>
        <w:rPr/>
        <w:t>An event described in clause 4.2.3(e).</w:t>
      </w:r>
    </w:p>
    <w:p>
      <w:pPr>
        <w:pStyle w:val="Heading5"/>
        <w:rPr>
          <w:i/>
        </w:rPr>
      </w:pPr>
      <w:r>
        <w:rPr>
          <w:i/>
        </w:rPr>
        <w:t>Non-market ancillary service or NMAS</w:t>
      </w:r>
    </w:p>
    <w:p>
      <w:pPr>
        <w:pStyle w:val="BodyText"/>
        <w:ind w:left="1352" w:firstLine="0"/>
      </w:pPr>
      <w:r>
        <w:rPr/>
        <w:t>Any of the following services:</w:t>
      </w:r>
    </w:p>
    <w:p>
      <w:pPr>
        <w:pStyle w:val="ListParagraph"/>
        <w:numPr>
          <w:ilvl w:val="0"/>
          <w:numId w:val="782"/>
        </w:numPr>
        <w:tabs>
          <w:tab w:pos="1919" w:val="left" w:leader="none"/>
        </w:tabs>
        <w:spacing w:line="240" w:lineRule="auto" w:before="120" w:after="0"/>
        <w:ind w:left="1919" w:right="415" w:hanging="567"/>
        <w:jc w:val="both"/>
        <w:rPr>
          <w:sz w:val="24"/>
        </w:rPr>
      </w:pPr>
      <w:r>
        <w:rPr>
          <w:i/>
          <w:sz w:val="24"/>
        </w:rPr>
        <w:t>network support and control ancillary services </w:t>
      </w:r>
      <w:r>
        <w:rPr>
          <w:sz w:val="24"/>
        </w:rPr>
        <w:t>and other services acquired by </w:t>
      </w:r>
      <w:r>
        <w:rPr>
          <w:i/>
          <w:sz w:val="24"/>
        </w:rPr>
        <w:t>Transmission Network Service Providers </w:t>
      </w:r>
      <w:r>
        <w:rPr>
          <w:sz w:val="24"/>
        </w:rPr>
        <w:t>under </w:t>
      </w:r>
      <w:r>
        <w:rPr>
          <w:i/>
          <w:sz w:val="24"/>
        </w:rPr>
        <w:t>connection agreements </w:t>
      </w:r>
      <w:r>
        <w:rPr>
          <w:sz w:val="24"/>
        </w:rPr>
        <w:t>or </w:t>
      </w:r>
      <w:r>
        <w:rPr>
          <w:i/>
          <w:sz w:val="24"/>
        </w:rPr>
        <w:t>network support agreements </w:t>
      </w:r>
      <w:r>
        <w:rPr>
          <w:sz w:val="24"/>
        </w:rPr>
        <w:t>to meet the service standards linked to the technical requirements of schedule 5.1 or in </w:t>
      </w:r>
      <w:r>
        <w:rPr>
          <w:i/>
          <w:sz w:val="24"/>
        </w:rPr>
        <w:t>applicable regulatory </w:t>
      </w:r>
      <w:r>
        <w:rPr>
          <w:i/>
          <w:sz w:val="24"/>
        </w:rPr>
        <w:t>instruments </w:t>
      </w:r>
      <w:r>
        <w:rPr>
          <w:sz w:val="24"/>
        </w:rPr>
        <w:t>(but to avoid doubt, excluding </w:t>
      </w:r>
      <w:r>
        <w:rPr>
          <w:i/>
          <w:sz w:val="24"/>
        </w:rPr>
        <w:t>inertia network services</w:t>
      </w:r>
      <w:r>
        <w:rPr>
          <w:i/>
          <w:spacing w:val="23"/>
          <w:sz w:val="24"/>
        </w:rPr>
        <w:t> </w:t>
      </w:r>
      <w:r>
        <w:rPr>
          <w:sz w:val="24"/>
        </w:rPr>
        <w:t>and </w:t>
      </w:r>
      <w:r>
        <w:rPr>
          <w:i/>
          <w:sz w:val="24"/>
        </w:rPr>
        <w:t>system strength services</w:t>
      </w:r>
      <w:r>
        <w:rPr>
          <w:sz w:val="24"/>
        </w:rPr>
        <w:t>);</w:t>
      </w:r>
      <w:r>
        <w:rPr>
          <w:spacing w:val="-4"/>
          <w:sz w:val="24"/>
        </w:rPr>
        <w:t> </w:t>
      </w:r>
      <w:r>
        <w:rPr>
          <w:sz w:val="24"/>
        </w:rPr>
        <w:t>and</w:t>
      </w:r>
    </w:p>
    <w:p>
      <w:pPr>
        <w:pStyle w:val="ListParagraph"/>
        <w:numPr>
          <w:ilvl w:val="0"/>
          <w:numId w:val="782"/>
        </w:numPr>
        <w:tabs>
          <w:tab w:pos="1919" w:val="left" w:leader="none"/>
        </w:tabs>
        <w:spacing w:line="240" w:lineRule="auto" w:before="120" w:after="0"/>
        <w:ind w:left="1919" w:right="416" w:hanging="567"/>
        <w:jc w:val="both"/>
        <w:rPr>
          <w:sz w:val="24"/>
        </w:rPr>
      </w:pPr>
      <w:r>
        <w:rPr>
          <w:i/>
          <w:sz w:val="24"/>
        </w:rPr>
        <w:t>system restart ancillary services </w:t>
      </w:r>
      <w:r>
        <w:rPr>
          <w:sz w:val="24"/>
        </w:rPr>
        <w:t>and </w:t>
      </w:r>
      <w:r>
        <w:rPr>
          <w:i/>
          <w:sz w:val="24"/>
        </w:rPr>
        <w:t>network support and control ancillary </w:t>
      </w:r>
      <w:r>
        <w:rPr>
          <w:i/>
          <w:sz w:val="24"/>
        </w:rPr>
        <w:t>services </w:t>
      </w:r>
      <w:r>
        <w:rPr>
          <w:sz w:val="24"/>
        </w:rPr>
        <w:t>acquired by </w:t>
      </w:r>
      <w:r>
        <w:rPr>
          <w:i/>
          <w:sz w:val="24"/>
        </w:rPr>
        <w:t>AEMO </w:t>
      </w:r>
      <w:r>
        <w:rPr>
          <w:sz w:val="24"/>
        </w:rPr>
        <w:t>under </w:t>
      </w:r>
      <w:r>
        <w:rPr>
          <w:i/>
          <w:sz w:val="24"/>
        </w:rPr>
        <w:t>ancillary services</w:t>
      </w:r>
      <w:r>
        <w:rPr>
          <w:i/>
          <w:spacing w:val="-7"/>
          <w:sz w:val="24"/>
        </w:rPr>
        <w:t> </w:t>
      </w:r>
      <w:r>
        <w:rPr>
          <w:i/>
          <w:sz w:val="24"/>
        </w:rPr>
        <w:t>agreements</w:t>
      </w:r>
      <w:r>
        <w:rPr>
          <w:sz w:val="24"/>
        </w:rPr>
        <w:t>.</w:t>
      </w:r>
    </w:p>
    <w:p>
      <w:pPr>
        <w:pStyle w:val="Heading5"/>
        <w:rPr>
          <w:i/>
        </w:rPr>
      </w:pPr>
      <w:r>
        <w:rPr>
          <w:i/>
        </w:rPr>
        <w:t>non-market generating unit</w:t>
      </w:r>
    </w:p>
    <w:p>
      <w:pPr>
        <w:spacing w:before="120"/>
        <w:ind w:left="1352" w:right="416" w:firstLine="0"/>
        <w:jc w:val="both"/>
        <w:rPr>
          <w:sz w:val="24"/>
        </w:rPr>
      </w:pPr>
      <w:r>
        <w:rPr>
          <w:sz w:val="24"/>
        </w:rPr>
        <w:t>A </w:t>
      </w:r>
      <w:r>
        <w:rPr>
          <w:i/>
          <w:sz w:val="24"/>
        </w:rPr>
        <w:t>generating unit </w:t>
      </w:r>
      <w:r>
        <w:rPr>
          <w:sz w:val="24"/>
        </w:rPr>
        <w:t>whose </w:t>
      </w:r>
      <w:r>
        <w:rPr>
          <w:i/>
          <w:sz w:val="24"/>
        </w:rPr>
        <w:t>sent out generation </w:t>
      </w:r>
      <w:r>
        <w:rPr>
          <w:sz w:val="24"/>
        </w:rPr>
        <w:t>is purchased in its entirety by the </w:t>
      </w:r>
      <w:r>
        <w:rPr>
          <w:i/>
          <w:sz w:val="24"/>
        </w:rPr>
        <w:t>Local Retailer </w:t>
      </w:r>
      <w:r>
        <w:rPr>
          <w:sz w:val="24"/>
        </w:rPr>
        <w:t>or by a </w:t>
      </w:r>
      <w:r>
        <w:rPr>
          <w:i/>
          <w:sz w:val="24"/>
        </w:rPr>
        <w:t>Customer </w:t>
      </w:r>
      <w:r>
        <w:rPr>
          <w:sz w:val="24"/>
        </w:rPr>
        <w:t>located at the same </w:t>
      </w:r>
      <w:r>
        <w:rPr>
          <w:i/>
          <w:sz w:val="24"/>
        </w:rPr>
        <w:t>connection </w:t>
      </w:r>
      <w:r>
        <w:rPr>
          <w:sz w:val="24"/>
        </w:rPr>
        <w:t>point and which has been classified as such in accordance with Chapter 2.</w:t>
      </w:r>
    </w:p>
    <w:p>
      <w:pPr>
        <w:pStyle w:val="Heading5"/>
        <w:rPr>
          <w:i/>
        </w:rPr>
      </w:pPr>
      <w:r>
        <w:rPr>
          <w:i/>
        </w:rPr>
        <w:t>Non-Market Generator</w:t>
      </w:r>
    </w:p>
    <w:p>
      <w:pPr>
        <w:spacing w:before="120"/>
        <w:ind w:left="1352" w:right="0" w:firstLine="0"/>
        <w:jc w:val="both"/>
        <w:rPr>
          <w:i/>
          <w:sz w:val="24"/>
        </w:rPr>
      </w:pPr>
      <w:r>
        <w:rPr>
          <w:sz w:val="24"/>
        </w:rPr>
        <w:t>A </w:t>
      </w:r>
      <w:r>
        <w:rPr>
          <w:i/>
          <w:sz w:val="24"/>
        </w:rPr>
        <w:t>Generator </w:t>
      </w:r>
      <w:r>
        <w:rPr>
          <w:sz w:val="24"/>
        </w:rPr>
        <w:t>who has classified a </w:t>
      </w:r>
      <w:r>
        <w:rPr>
          <w:i/>
          <w:sz w:val="24"/>
        </w:rPr>
        <w:t>generating unit </w:t>
      </w:r>
      <w:r>
        <w:rPr>
          <w:sz w:val="24"/>
        </w:rPr>
        <w:t>as a </w:t>
      </w:r>
      <w:r>
        <w:rPr>
          <w:i/>
          <w:sz w:val="24"/>
        </w:rPr>
        <w:t>non-market generating unit</w:t>
      </w:r>
    </w:p>
    <w:p>
      <w:pPr>
        <w:pStyle w:val="BodyText"/>
        <w:spacing w:before="0"/>
        <w:ind w:left="1352" w:firstLine="0"/>
      </w:pPr>
      <w:r>
        <w:rPr/>
        <w:t>in accordance with Chapter 2.</w:t>
      </w:r>
    </w:p>
    <w:p>
      <w:pPr>
        <w:pStyle w:val="Heading5"/>
        <w:rPr>
          <w:i/>
        </w:rPr>
      </w:pPr>
      <w:r>
        <w:rPr>
          <w:i/>
        </w:rPr>
        <w:t>non-network option</w:t>
      </w:r>
    </w:p>
    <w:p>
      <w:pPr>
        <w:spacing w:before="120"/>
        <w:ind w:left="1352" w:right="415" w:firstLine="0"/>
        <w:jc w:val="both"/>
        <w:rPr>
          <w:sz w:val="24"/>
        </w:rPr>
      </w:pPr>
      <w:r>
        <w:rPr>
          <w:sz w:val="24"/>
        </w:rPr>
        <w:t>A means by which an </w:t>
      </w:r>
      <w:r>
        <w:rPr>
          <w:i/>
          <w:sz w:val="24"/>
        </w:rPr>
        <w:t>identified need </w:t>
      </w:r>
      <w:r>
        <w:rPr>
          <w:sz w:val="24"/>
        </w:rPr>
        <w:t>can be fully or partly addressed other than by a </w:t>
      </w:r>
      <w:r>
        <w:rPr>
          <w:i/>
          <w:sz w:val="24"/>
        </w:rPr>
        <w:t>network</w:t>
      </w:r>
      <w:r>
        <w:rPr>
          <w:i/>
          <w:spacing w:val="-1"/>
          <w:sz w:val="24"/>
        </w:rPr>
        <w:t> </w:t>
      </w:r>
      <w:r>
        <w:rPr>
          <w:i/>
          <w:sz w:val="24"/>
        </w:rPr>
        <w:t>option</w:t>
      </w:r>
      <w:r>
        <w:rPr>
          <w:sz w:val="24"/>
        </w:rPr>
        <w:t>.</w:t>
      </w:r>
    </w:p>
    <w:p>
      <w:pPr>
        <w:pStyle w:val="Heading5"/>
        <w:ind w:left="0" w:right="6921"/>
        <w:jc w:val="right"/>
        <w:rPr>
          <w:i/>
        </w:rPr>
      </w:pPr>
      <w:r>
        <w:rPr>
          <w:i/>
        </w:rPr>
        <w:t>Non-Registered</w:t>
      </w:r>
      <w:r>
        <w:rPr>
          <w:i/>
          <w:spacing w:val="-14"/>
        </w:rPr>
        <w:t> </w:t>
      </w:r>
      <w:r>
        <w:rPr>
          <w:i/>
        </w:rPr>
        <w:t>Customer</w:t>
      </w:r>
    </w:p>
    <w:p>
      <w:pPr>
        <w:pStyle w:val="BodyText"/>
        <w:ind w:right="6940" w:firstLine="0"/>
        <w:jc w:val="right"/>
      </w:pPr>
      <w:r>
        <w:rPr/>
        <w:t>A person</w:t>
      </w:r>
      <w:r>
        <w:rPr>
          <w:spacing w:val="-5"/>
        </w:rPr>
        <w:t> </w:t>
      </w:r>
      <w:r>
        <w:rPr/>
        <w:t>who:</w:t>
      </w:r>
    </w:p>
    <w:p>
      <w:pPr>
        <w:pStyle w:val="ListParagraph"/>
        <w:numPr>
          <w:ilvl w:val="0"/>
          <w:numId w:val="783"/>
        </w:numPr>
        <w:tabs>
          <w:tab w:pos="1919" w:val="left" w:leader="none"/>
        </w:tabs>
        <w:spacing w:line="240" w:lineRule="auto" w:before="120" w:after="0"/>
        <w:ind w:left="1919" w:right="415" w:hanging="567"/>
        <w:jc w:val="both"/>
        <w:rPr>
          <w:sz w:val="24"/>
        </w:rPr>
      </w:pPr>
      <w:r>
        <w:rPr>
          <w:sz w:val="24"/>
        </w:rPr>
        <w:t>purchases electricity through a </w:t>
      </w:r>
      <w:r>
        <w:rPr>
          <w:i/>
          <w:sz w:val="24"/>
        </w:rPr>
        <w:t>connection point </w:t>
      </w:r>
      <w:r>
        <w:rPr>
          <w:sz w:val="24"/>
        </w:rPr>
        <w:t>with the </w:t>
      </w:r>
      <w:r>
        <w:rPr>
          <w:i/>
          <w:sz w:val="24"/>
        </w:rPr>
        <w:t>national grid </w:t>
      </w:r>
      <w:r>
        <w:rPr>
          <w:sz w:val="24"/>
        </w:rPr>
        <w:t>other than from the </w:t>
      </w:r>
      <w:r>
        <w:rPr>
          <w:i/>
          <w:sz w:val="24"/>
        </w:rPr>
        <w:t>spot market</w:t>
      </w:r>
      <w:r>
        <w:rPr>
          <w:sz w:val="24"/>
        </w:rPr>
        <w:t>;</w:t>
      </w:r>
      <w:r>
        <w:rPr>
          <w:spacing w:val="-2"/>
          <w:sz w:val="24"/>
        </w:rPr>
        <w:t> </w:t>
      </w:r>
      <w:r>
        <w:rPr>
          <w:sz w:val="24"/>
        </w:rPr>
        <w:t>and</w:t>
      </w:r>
    </w:p>
    <w:p>
      <w:pPr>
        <w:pStyle w:val="ListParagraph"/>
        <w:numPr>
          <w:ilvl w:val="0"/>
          <w:numId w:val="783"/>
        </w:numPr>
        <w:tabs>
          <w:tab w:pos="1919" w:val="left" w:leader="none"/>
        </w:tabs>
        <w:spacing w:line="240" w:lineRule="auto" w:before="120" w:after="0"/>
        <w:ind w:left="1919" w:right="414" w:hanging="567"/>
        <w:jc w:val="both"/>
        <w:rPr>
          <w:sz w:val="24"/>
        </w:rPr>
      </w:pPr>
      <w:r>
        <w:rPr>
          <w:sz w:val="24"/>
        </w:rPr>
        <w:t>is eligible to be registered by </w:t>
      </w:r>
      <w:r>
        <w:rPr>
          <w:i/>
          <w:sz w:val="24"/>
        </w:rPr>
        <w:t>AEMO </w:t>
      </w:r>
      <w:r>
        <w:rPr>
          <w:sz w:val="24"/>
        </w:rPr>
        <w:t>as a </w:t>
      </w:r>
      <w:r>
        <w:rPr>
          <w:i/>
          <w:sz w:val="24"/>
        </w:rPr>
        <w:t>Customer </w:t>
      </w:r>
      <w:r>
        <w:rPr>
          <w:sz w:val="24"/>
        </w:rPr>
        <w:t>and to classify the </w:t>
      </w:r>
      <w:r>
        <w:rPr>
          <w:i/>
          <w:sz w:val="24"/>
        </w:rPr>
        <w:t>load </w:t>
      </w:r>
      <w:r>
        <w:rPr>
          <w:sz w:val="24"/>
        </w:rPr>
        <w:t>described in (1) as a </w:t>
      </w:r>
      <w:r>
        <w:rPr>
          <w:i/>
          <w:sz w:val="24"/>
        </w:rPr>
        <w:t>first-tier load </w:t>
      </w:r>
      <w:r>
        <w:rPr>
          <w:sz w:val="24"/>
        </w:rPr>
        <w:t>or a </w:t>
      </w:r>
      <w:r>
        <w:rPr>
          <w:i/>
          <w:sz w:val="24"/>
        </w:rPr>
        <w:t>second-tier load</w:t>
      </w:r>
      <w:r>
        <w:rPr>
          <w:sz w:val="24"/>
        </w:rPr>
        <w:t>, but is not so registered.</w:t>
      </w:r>
    </w:p>
    <w:p>
      <w:pPr>
        <w:pStyle w:val="Heading5"/>
        <w:rPr>
          <w:i/>
        </w:rPr>
      </w:pPr>
      <w:r>
        <w:rPr>
          <w:i/>
        </w:rPr>
        <w:t>non-registered embedded generator</w:t>
      </w:r>
    </w:p>
    <w:p>
      <w:pPr>
        <w:pStyle w:val="BodyText"/>
        <w:ind w:left="1352" w:firstLine="0"/>
      </w:pPr>
      <w:r>
        <w:rPr/>
        <w:t>In the context of clause 6.7A, has the meaning given in chapter 5A.</w:t>
      </w:r>
    </w:p>
    <w:p>
      <w:pPr>
        <w:pStyle w:val="Heading5"/>
        <w:rPr>
          <w:i/>
        </w:rPr>
      </w:pPr>
      <w:r>
        <w:rPr>
          <w:i/>
        </w:rPr>
        <w:t>non-regulated transmission services</w:t>
      </w:r>
    </w:p>
    <w:p>
      <w:pPr>
        <w:spacing w:before="120"/>
        <w:ind w:left="1352" w:right="0" w:firstLine="0"/>
        <w:jc w:val="both"/>
        <w:rPr>
          <w:sz w:val="24"/>
        </w:rPr>
      </w:pPr>
      <w:r>
        <w:rPr>
          <w:sz w:val="24"/>
        </w:rPr>
        <w:t>A </w:t>
      </w:r>
      <w:r>
        <w:rPr>
          <w:i/>
          <w:sz w:val="24"/>
        </w:rPr>
        <w:t>transmission service </w:t>
      </w:r>
      <w:r>
        <w:rPr>
          <w:sz w:val="24"/>
        </w:rPr>
        <w:t>that is neither a </w:t>
      </w:r>
      <w:r>
        <w:rPr>
          <w:i/>
          <w:sz w:val="24"/>
        </w:rPr>
        <w:t>prescribed transmission service </w:t>
      </w:r>
      <w:r>
        <w:rPr>
          <w:sz w:val="24"/>
        </w:rPr>
        <w:t>nor a</w:t>
      </w:r>
    </w:p>
    <w:p>
      <w:pPr>
        <w:spacing w:before="0"/>
        <w:ind w:left="1352" w:right="0" w:firstLine="0"/>
        <w:jc w:val="both"/>
        <w:rPr>
          <w:sz w:val="24"/>
        </w:rPr>
      </w:pPr>
      <w:r>
        <w:rPr>
          <w:i/>
          <w:sz w:val="24"/>
        </w:rPr>
        <w:t>negotiated transmission service</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non-scheduled generating unit</w:t>
      </w:r>
    </w:p>
    <w:p>
      <w:pPr>
        <w:spacing w:before="120"/>
        <w:ind w:left="1352" w:right="0" w:firstLine="0"/>
        <w:jc w:val="both"/>
        <w:rPr>
          <w:sz w:val="24"/>
        </w:rPr>
      </w:pPr>
      <w:r>
        <w:rPr>
          <w:sz w:val="24"/>
        </w:rPr>
        <w:t>A </w:t>
      </w:r>
      <w:r>
        <w:rPr>
          <w:i/>
          <w:sz w:val="24"/>
        </w:rPr>
        <w:t>generating unit </w:t>
      </w:r>
      <w:r>
        <w:rPr>
          <w:sz w:val="24"/>
        </w:rPr>
        <w:t>so classified in accordance with Chapter 2.</w:t>
      </w:r>
    </w:p>
    <w:p>
      <w:pPr>
        <w:pStyle w:val="Heading5"/>
        <w:rPr>
          <w:i/>
        </w:rPr>
      </w:pPr>
      <w:r>
        <w:rPr>
          <w:i/>
        </w:rPr>
        <w:t>non-scheduled generating system</w:t>
      </w:r>
    </w:p>
    <w:p>
      <w:pPr>
        <w:spacing w:before="120"/>
        <w:ind w:left="1352" w:right="0" w:firstLine="0"/>
        <w:jc w:val="both"/>
        <w:rPr>
          <w:sz w:val="24"/>
        </w:rPr>
      </w:pPr>
      <w:r>
        <w:rPr>
          <w:sz w:val="24"/>
        </w:rPr>
        <w:t>A </w:t>
      </w:r>
      <w:r>
        <w:rPr>
          <w:i/>
          <w:sz w:val="24"/>
        </w:rPr>
        <w:t>generating system </w:t>
      </w:r>
      <w:r>
        <w:rPr>
          <w:sz w:val="24"/>
        </w:rPr>
        <w:t>comprising </w:t>
      </w:r>
      <w:r>
        <w:rPr>
          <w:i/>
          <w:sz w:val="24"/>
        </w:rPr>
        <w:t>non-scheduled generating units</w:t>
      </w:r>
      <w:r>
        <w:rPr>
          <w:sz w:val="24"/>
        </w:rPr>
        <w:t>.</w:t>
      </w:r>
    </w:p>
    <w:p>
      <w:pPr>
        <w:pStyle w:val="Heading5"/>
        <w:rPr>
          <w:i/>
        </w:rPr>
      </w:pPr>
      <w:r>
        <w:rPr>
          <w:i/>
        </w:rPr>
        <w:t>Non-Scheduled Generator</w:t>
      </w:r>
    </w:p>
    <w:p>
      <w:pPr>
        <w:spacing w:before="120"/>
        <w:ind w:left="1352" w:right="415" w:firstLine="0"/>
        <w:jc w:val="both"/>
        <w:rPr>
          <w:sz w:val="24"/>
        </w:rPr>
      </w:pPr>
      <w:r>
        <w:rPr>
          <w:sz w:val="24"/>
        </w:rPr>
        <w:t>A </w:t>
      </w:r>
      <w:r>
        <w:rPr>
          <w:i/>
          <w:sz w:val="24"/>
        </w:rPr>
        <w:t>Generator </w:t>
      </w:r>
      <w:r>
        <w:rPr>
          <w:sz w:val="24"/>
        </w:rPr>
        <w:t>in respect of which any </w:t>
      </w:r>
      <w:r>
        <w:rPr>
          <w:i/>
          <w:sz w:val="24"/>
        </w:rPr>
        <w:t>generating unit </w:t>
      </w:r>
      <w:r>
        <w:rPr>
          <w:sz w:val="24"/>
        </w:rPr>
        <w:t>is classified as a </w:t>
      </w:r>
      <w:r>
        <w:rPr>
          <w:i/>
          <w:sz w:val="24"/>
        </w:rPr>
        <w:t>non- </w:t>
      </w:r>
      <w:r>
        <w:rPr>
          <w:i/>
          <w:sz w:val="24"/>
        </w:rPr>
        <w:t>scheduled generating unit </w:t>
      </w:r>
      <w:r>
        <w:rPr>
          <w:sz w:val="24"/>
        </w:rPr>
        <w:t>in accordance with Chapter 2.</w:t>
      </w:r>
    </w:p>
    <w:p>
      <w:pPr>
        <w:pStyle w:val="Heading5"/>
        <w:rPr>
          <w:i/>
        </w:rPr>
      </w:pPr>
      <w:r>
        <w:rPr>
          <w:i/>
        </w:rPr>
        <w:t>non-scheduled load</w:t>
      </w:r>
    </w:p>
    <w:p>
      <w:pPr>
        <w:spacing w:before="120"/>
        <w:ind w:left="1352" w:right="0" w:firstLine="0"/>
        <w:jc w:val="both"/>
        <w:rPr>
          <w:sz w:val="24"/>
        </w:rPr>
      </w:pPr>
      <w:r>
        <w:rPr>
          <w:sz w:val="24"/>
        </w:rPr>
        <w:t>A </w:t>
      </w:r>
      <w:r>
        <w:rPr>
          <w:i/>
          <w:sz w:val="24"/>
        </w:rPr>
        <w:t>market load </w:t>
      </w:r>
      <w:r>
        <w:rPr>
          <w:sz w:val="24"/>
        </w:rPr>
        <w:t>which is not a </w:t>
      </w:r>
      <w:r>
        <w:rPr>
          <w:i/>
          <w:sz w:val="24"/>
        </w:rPr>
        <w:t>scheduled load</w:t>
      </w:r>
      <w:r>
        <w:rPr>
          <w:sz w:val="24"/>
        </w:rPr>
        <w:t>.</w:t>
      </w:r>
    </w:p>
    <w:p>
      <w:pPr>
        <w:pStyle w:val="Heading5"/>
        <w:rPr>
          <w:i/>
        </w:rPr>
      </w:pPr>
      <w:r>
        <w:rPr>
          <w:i/>
        </w:rPr>
        <w:t>non semi-dispatch interval</w:t>
      </w:r>
    </w:p>
    <w:p>
      <w:pPr>
        <w:spacing w:before="120"/>
        <w:ind w:left="1352" w:right="417" w:firstLine="0"/>
        <w:jc w:val="both"/>
        <w:rPr>
          <w:sz w:val="24"/>
        </w:rPr>
      </w:pPr>
      <w:r>
        <w:rPr>
          <w:sz w:val="24"/>
        </w:rPr>
        <w:t>For a </w:t>
      </w:r>
      <w:r>
        <w:rPr>
          <w:i/>
          <w:sz w:val="24"/>
        </w:rPr>
        <w:t>semi-scheduled generating unit</w:t>
      </w:r>
      <w:r>
        <w:rPr>
          <w:sz w:val="24"/>
        </w:rPr>
        <w:t>, a </w:t>
      </w:r>
      <w:r>
        <w:rPr>
          <w:i/>
          <w:sz w:val="24"/>
        </w:rPr>
        <w:t>dispatch interval </w:t>
      </w:r>
      <w:r>
        <w:rPr>
          <w:sz w:val="24"/>
        </w:rPr>
        <w:t>other than a </w:t>
      </w:r>
      <w:r>
        <w:rPr>
          <w:i/>
          <w:sz w:val="24"/>
        </w:rPr>
        <w:t>semi- </w:t>
      </w:r>
      <w:r>
        <w:rPr>
          <w:i/>
          <w:sz w:val="24"/>
        </w:rPr>
        <w:t>dispatch interval</w:t>
      </w:r>
      <w:r>
        <w:rPr>
          <w:sz w:val="24"/>
        </w:rPr>
        <w:t>.</w:t>
      </w:r>
    </w:p>
    <w:p>
      <w:pPr>
        <w:pStyle w:val="Heading5"/>
        <w:rPr>
          <w:i/>
        </w:rPr>
      </w:pPr>
      <w:r>
        <w:rPr>
          <w:i/>
        </w:rPr>
        <w:t>non-suspension decision</w:t>
      </w:r>
    </w:p>
    <w:p>
      <w:pPr>
        <w:spacing w:before="120"/>
        <w:ind w:left="1352" w:right="415" w:firstLine="0"/>
        <w:jc w:val="both"/>
        <w:rPr>
          <w:sz w:val="24"/>
        </w:rPr>
      </w:pPr>
      <w:r>
        <w:rPr>
          <w:sz w:val="24"/>
        </w:rPr>
        <w:t>A decision made by </w:t>
      </w:r>
      <w:r>
        <w:rPr>
          <w:i/>
          <w:sz w:val="24"/>
        </w:rPr>
        <w:t>AEMO </w:t>
      </w:r>
      <w:r>
        <w:rPr>
          <w:sz w:val="24"/>
        </w:rPr>
        <w:t>under clause 3.15.21(c1)(2) or (3) not to suspend some or all of the activities of a </w:t>
      </w:r>
      <w:r>
        <w:rPr>
          <w:i/>
          <w:sz w:val="24"/>
        </w:rPr>
        <w:t>defaulting Market Participant </w:t>
      </w:r>
      <w:r>
        <w:rPr>
          <w:sz w:val="24"/>
        </w:rPr>
        <w:t>following</w:t>
      </w:r>
      <w:r>
        <w:rPr>
          <w:spacing w:val="14"/>
          <w:sz w:val="24"/>
        </w:rPr>
        <w:t> </w:t>
      </w:r>
      <w:r>
        <w:rPr>
          <w:sz w:val="24"/>
        </w:rPr>
        <w:t>an </w:t>
      </w:r>
      <w:r>
        <w:rPr>
          <w:i/>
          <w:sz w:val="24"/>
        </w:rPr>
        <w:t>external administration default</w:t>
      </w:r>
      <w:r>
        <w:rPr>
          <w:i/>
          <w:spacing w:val="-3"/>
          <w:sz w:val="24"/>
        </w:rPr>
        <w:t> </w:t>
      </w:r>
      <w:r>
        <w:rPr>
          <w:i/>
          <w:sz w:val="24"/>
        </w:rPr>
        <w:t>event</w:t>
      </w:r>
      <w:r>
        <w:rPr>
          <w:sz w:val="24"/>
        </w:rPr>
        <w:t>.</w:t>
      </w:r>
    </w:p>
    <w:p>
      <w:pPr>
        <w:pStyle w:val="Heading5"/>
        <w:rPr>
          <w:i/>
        </w:rPr>
      </w:pPr>
      <w:r>
        <w:rPr>
          <w:i/>
        </w:rPr>
        <w:t>normal operating frequency band</w:t>
      </w:r>
    </w:p>
    <w:p>
      <w:pPr>
        <w:spacing w:before="120"/>
        <w:ind w:left="1352" w:right="415" w:firstLine="0"/>
        <w:jc w:val="both"/>
        <w:rPr>
          <w:sz w:val="24"/>
        </w:rPr>
      </w:pPr>
      <w:r>
        <w:rPr>
          <w:sz w:val="24"/>
        </w:rPr>
        <w:t>In relation to the </w:t>
      </w:r>
      <w:r>
        <w:rPr>
          <w:i/>
          <w:sz w:val="24"/>
        </w:rPr>
        <w:t>frequency </w:t>
      </w:r>
      <w:r>
        <w:rPr>
          <w:sz w:val="24"/>
        </w:rPr>
        <w:t>of the </w:t>
      </w:r>
      <w:r>
        <w:rPr>
          <w:i/>
          <w:sz w:val="24"/>
        </w:rPr>
        <w:t>power system</w:t>
      </w:r>
      <w:r>
        <w:rPr>
          <w:sz w:val="24"/>
        </w:rPr>
        <w:t>, means the range 49.9Hz to 50.1Hz or such other range so specified in the </w:t>
      </w:r>
      <w:r>
        <w:rPr>
          <w:i/>
          <w:sz w:val="24"/>
        </w:rPr>
        <w:t>power system security standards</w:t>
      </w:r>
      <w:r>
        <w:rPr>
          <w:sz w:val="24"/>
        </w:rPr>
        <w:t>.</w:t>
      </w:r>
    </w:p>
    <w:p>
      <w:pPr>
        <w:pStyle w:val="Heading5"/>
        <w:rPr>
          <w:i/>
        </w:rPr>
      </w:pPr>
      <w:r>
        <w:rPr>
          <w:i/>
        </w:rPr>
        <w:t>normal operating frequency excursion band</w:t>
      </w:r>
    </w:p>
    <w:p>
      <w:pPr>
        <w:spacing w:before="120"/>
        <w:ind w:left="1352" w:right="415" w:firstLine="0"/>
        <w:jc w:val="both"/>
        <w:rPr>
          <w:sz w:val="24"/>
        </w:rPr>
      </w:pPr>
      <w:r>
        <w:rPr>
          <w:sz w:val="24"/>
        </w:rPr>
        <w:t>In relation to the </w:t>
      </w:r>
      <w:r>
        <w:rPr>
          <w:i/>
          <w:sz w:val="24"/>
        </w:rPr>
        <w:t>frequency </w:t>
      </w:r>
      <w:r>
        <w:rPr>
          <w:sz w:val="24"/>
        </w:rPr>
        <w:t>of the </w:t>
      </w:r>
      <w:r>
        <w:rPr>
          <w:i/>
          <w:sz w:val="24"/>
        </w:rPr>
        <w:t>power system</w:t>
      </w:r>
      <w:r>
        <w:rPr>
          <w:sz w:val="24"/>
        </w:rPr>
        <w:t>, means the range specified as being acceptable for infrequent and momentary excursions of </w:t>
      </w:r>
      <w:r>
        <w:rPr>
          <w:i/>
          <w:sz w:val="24"/>
        </w:rPr>
        <w:t>frequency </w:t>
      </w:r>
      <w:r>
        <w:rPr>
          <w:sz w:val="24"/>
        </w:rPr>
        <w:t>outside the </w:t>
      </w:r>
      <w:r>
        <w:rPr>
          <w:i/>
          <w:sz w:val="24"/>
        </w:rPr>
        <w:t>normal operating frequency band</w:t>
      </w:r>
      <w:r>
        <w:rPr>
          <w:sz w:val="24"/>
        </w:rPr>
        <w:t>, being the range of 49.75 Hz to 50.25 Hz or such other range so specified in the </w:t>
      </w:r>
      <w:r>
        <w:rPr>
          <w:i/>
          <w:sz w:val="24"/>
        </w:rPr>
        <w:t>power system security standards</w:t>
      </w:r>
      <w:r>
        <w:rPr>
          <w:sz w:val="24"/>
        </w:rPr>
        <w:t>.</w:t>
      </w:r>
    </w:p>
    <w:p>
      <w:pPr>
        <w:pStyle w:val="Heading5"/>
        <w:rPr>
          <w:i/>
        </w:rPr>
      </w:pPr>
      <w:r>
        <w:rPr>
          <w:i/>
        </w:rPr>
        <w:t>normal voltage</w:t>
      </w:r>
    </w:p>
    <w:p>
      <w:pPr>
        <w:spacing w:before="120"/>
        <w:ind w:left="1352" w:right="415" w:firstLine="0"/>
        <w:jc w:val="both"/>
        <w:rPr>
          <w:sz w:val="24"/>
        </w:rPr>
      </w:pPr>
      <w:r>
        <w:rPr>
          <w:sz w:val="24"/>
        </w:rPr>
        <w:t>In respect of a </w:t>
      </w:r>
      <w:r>
        <w:rPr>
          <w:i/>
          <w:sz w:val="24"/>
        </w:rPr>
        <w:t>connection point</w:t>
      </w:r>
      <w:r>
        <w:rPr>
          <w:sz w:val="24"/>
        </w:rPr>
        <w:t>, its </w:t>
      </w:r>
      <w:r>
        <w:rPr>
          <w:i/>
          <w:sz w:val="24"/>
        </w:rPr>
        <w:t>nominal voltage </w:t>
      </w:r>
      <w:r>
        <w:rPr>
          <w:sz w:val="24"/>
        </w:rPr>
        <w:t>or such other </w:t>
      </w:r>
      <w:r>
        <w:rPr>
          <w:i/>
          <w:sz w:val="24"/>
        </w:rPr>
        <w:t>voltage </w:t>
      </w:r>
      <w:r>
        <w:rPr>
          <w:sz w:val="24"/>
        </w:rPr>
        <w:t>up to 10% higher or lower than </w:t>
      </w:r>
      <w:r>
        <w:rPr>
          <w:i/>
          <w:sz w:val="24"/>
        </w:rPr>
        <w:t>normal voltage</w:t>
      </w:r>
      <w:r>
        <w:rPr>
          <w:sz w:val="24"/>
        </w:rPr>
        <w:t>, as approved by </w:t>
      </w:r>
      <w:r>
        <w:rPr>
          <w:i/>
          <w:sz w:val="24"/>
        </w:rPr>
        <w:t>NTESMO</w:t>
      </w:r>
      <w:r>
        <w:rPr>
          <w:sz w:val="24"/>
        </w:rPr>
        <w:t>, for that </w:t>
      </w:r>
      <w:r>
        <w:rPr>
          <w:i/>
          <w:sz w:val="24"/>
        </w:rPr>
        <w:t>connection point</w:t>
      </w:r>
      <w:r>
        <w:rPr>
          <w:sz w:val="24"/>
        </w:rPr>
        <w:t>, at the request of the </w:t>
      </w:r>
      <w:r>
        <w:rPr>
          <w:i/>
          <w:sz w:val="24"/>
        </w:rPr>
        <w:t>Network Service Provider </w:t>
      </w:r>
      <w:r>
        <w:rPr>
          <w:sz w:val="24"/>
        </w:rPr>
        <w:t>who provides </w:t>
      </w:r>
      <w:r>
        <w:rPr>
          <w:i/>
          <w:sz w:val="24"/>
        </w:rPr>
        <w:t>connection </w:t>
      </w:r>
      <w:r>
        <w:rPr>
          <w:sz w:val="24"/>
        </w:rPr>
        <w:t>to the </w:t>
      </w:r>
      <w:r>
        <w:rPr>
          <w:i/>
          <w:sz w:val="24"/>
        </w:rPr>
        <w:t>power system</w:t>
      </w:r>
      <w:r>
        <w:rPr>
          <w:sz w:val="24"/>
        </w:rPr>
        <w:t>.</w:t>
      </w:r>
    </w:p>
    <w:p>
      <w:pPr>
        <w:pStyle w:val="Heading5"/>
        <w:rPr>
          <w:i/>
        </w:rPr>
      </w:pPr>
      <w:r>
        <w:rPr>
          <w:i/>
        </w:rPr>
        <w:t>normally off</w:t>
      </w:r>
    </w:p>
    <w:p>
      <w:pPr>
        <w:spacing w:before="120"/>
        <w:ind w:left="1352" w:right="415" w:firstLine="0"/>
        <w:jc w:val="both"/>
        <w:rPr>
          <w:sz w:val="24"/>
        </w:rPr>
      </w:pPr>
      <w:r>
        <w:rPr>
          <w:sz w:val="24"/>
        </w:rPr>
        <w:t>Describes a </w:t>
      </w:r>
      <w:r>
        <w:rPr>
          <w:i/>
          <w:sz w:val="24"/>
        </w:rPr>
        <w:t>scheduled load </w:t>
      </w:r>
      <w:r>
        <w:rPr>
          <w:sz w:val="24"/>
        </w:rPr>
        <w:t>which, unless </w:t>
      </w:r>
      <w:r>
        <w:rPr>
          <w:i/>
          <w:sz w:val="24"/>
        </w:rPr>
        <w:t>dispatched </w:t>
      </w:r>
      <w:r>
        <w:rPr>
          <w:sz w:val="24"/>
        </w:rPr>
        <w:t>in accordance with its </w:t>
      </w:r>
      <w:r>
        <w:rPr>
          <w:i/>
          <w:sz w:val="24"/>
        </w:rPr>
        <w:t>dispatch bid</w:t>
      </w:r>
      <w:r>
        <w:rPr>
          <w:sz w:val="24"/>
        </w:rPr>
        <w:t>, and in accordance with clause 3.8.7(j), should be considered as being switched</w:t>
      </w:r>
      <w:r>
        <w:rPr>
          <w:spacing w:val="-1"/>
          <w:sz w:val="24"/>
        </w:rPr>
        <w:t> </w:t>
      </w:r>
      <w:r>
        <w:rPr>
          <w:sz w:val="24"/>
        </w:rPr>
        <w:t>off.</w:t>
      </w:r>
    </w:p>
    <w:p>
      <w:pPr>
        <w:pStyle w:val="Heading5"/>
        <w:rPr>
          <w:i/>
        </w:rPr>
      </w:pPr>
      <w:r>
        <w:rPr>
          <w:i/>
        </w:rPr>
        <w:t>normally on</w:t>
      </w:r>
    </w:p>
    <w:p>
      <w:pPr>
        <w:spacing w:before="120"/>
        <w:ind w:left="1352" w:right="415" w:firstLine="0"/>
        <w:jc w:val="both"/>
        <w:rPr>
          <w:sz w:val="24"/>
        </w:rPr>
      </w:pPr>
      <w:r>
        <w:rPr>
          <w:sz w:val="24"/>
        </w:rPr>
        <w:t>Describes a </w:t>
      </w:r>
      <w:r>
        <w:rPr>
          <w:i/>
          <w:sz w:val="24"/>
        </w:rPr>
        <w:t>scheduled load </w:t>
      </w:r>
      <w:r>
        <w:rPr>
          <w:sz w:val="24"/>
        </w:rPr>
        <w:t>which, unless </w:t>
      </w:r>
      <w:r>
        <w:rPr>
          <w:i/>
          <w:sz w:val="24"/>
        </w:rPr>
        <w:t>dispatched </w:t>
      </w:r>
      <w:r>
        <w:rPr>
          <w:sz w:val="24"/>
        </w:rPr>
        <w:t>in accordance with its </w:t>
      </w:r>
      <w:r>
        <w:rPr>
          <w:i/>
          <w:sz w:val="24"/>
        </w:rPr>
        <w:t>dispatch bid</w:t>
      </w:r>
      <w:r>
        <w:rPr>
          <w:sz w:val="24"/>
        </w:rPr>
        <w:t>, and in accordance with clause 3.8.7(i), should be considered as being switched</w:t>
      </w:r>
      <w:r>
        <w:rPr>
          <w:spacing w:val="-1"/>
          <w:sz w:val="24"/>
        </w:rPr>
        <w:t> </w:t>
      </w:r>
      <w:r>
        <w:rPr>
          <w:sz w:val="24"/>
        </w:rPr>
        <w:t>on.</w:t>
      </w:r>
    </w:p>
    <w:p>
      <w:pPr>
        <w:spacing w:after="0"/>
        <w:jc w:val="both"/>
        <w:rPr>
          <w:sz w:val="24"/>
        </w:rPr>
        <w:sectPr>
          <w:pgSz w:w="11910" w:h="16840"/>
          <w:pgMar w:header="686" w:footer="637" w:top="1320" w:bottom="820" w:left="1200" w:right="1000"/>
        </w:sectPr>
      </w:pPr>
    </w:p>
    <w:p>
      <w:pPr>
        <w:pStyle w:val="Heading5"/>
        <w:spacing w:before="83"/>
        <w:rPr>
          <w:i/>
        </w:rPr>
      </w:pPr>
      <w:r>
        <w:rPr>
          <w:i/>
        </w:rPr>
        <w:t>NSCAS gap</w:t>
      </w:r>
    </w:p>
    <w:p>
      <w:pPr>
        <w:pStyle w:val="BodyText"/>
        <w:ind w:left="1352" w:right="415" w:firstLine="0"/>
      </w:pPr>
      <w:r>
        <w:rPr/>
        <w:t>Any </w:t>
      </w:r>
      <w:r>
        <w:rPr>
          <w:i/>
        </w:rPr>
        <w:t>NSCAS need </w:t>
      </w:r>
      <w:r>
        <w:rPr/>
        <w:t>that </w:t>
      </w:r>
      <w:r>
        <w:rPr>
          <w:i/>
        </w:rPr>
        <w:t>AEMO </w:t>
      </w:r>
      <w:r>
        <w:rPr/>
        <w:t>forecasts will arise at any time within a planning horizon of at least 5 years from the beginning of the year in which the most recent </w:t>
      </w:r>
      <w:r>
        <w:rPr>
          <w:i/>
        </w:rPr>
        <w:t>NTNDP </w:t>
      </w:r>
      <w:r>
        <w:rPr/>
        <w:t>applies.</w:t>
      </w:r>
    </w:p>
    <w:p>
      <w:pPr>
        <w:pStyle w:val="Heading5"/>
        <w:rPr>
          <w:i/>
        </w:rPr>
      </w:pPr>
      <w:r>
        <w:rPr>
          <w:i/>
        </w:rPr>
        <w:t>NSCAS need</w:t>
      </w:r>
    </w:p>
    <w:p>
      <w:pPr>
        <w:pStyle w:val="ListParagraph"/>
        <w:numPr>
          <w:ilvl w:val="0"/>
          <w:numId w:val="784"/>
        </w:numPr>
        <w:tabs>
          <w:tab w:pos="1919" w:val="left" w:leader="none"/>
        </w:tabs>
        <w:spacing w:line="240" w:lineRule="auto" w:before="120" w:after="0"/>
        <w:ind w:left="1919" w:right="416" w:hanging="567"/>
        <w:jc w:val="both"/>
        <w:rPr>
          <w:sz w:val="24"/>
        </w:rPr>
      </w:pPr>
      <w:r>
        <w:rPr>
          <w:sz w:val="24"/>
        </w:rPr>
        <w:t>Subject to paragraphs (b) and (c), </w:t>
      </w:r>
      <w:r>
        <w:rPr>
          <w:i/>
          <w:sz w:val="24"/>
        </w:rPr>
        <w:t>network support and control ancillary </w:t>
      </w:r>
      <w:r>
        <w:rPr>
          <w:i/>
          <w:sz w:val="24"/>
        </w:rPr>
        <w:t>service </w:t>
      </w:r>
      <w:r>
        <w:rPr>
          <w:sz w:val="24"/>
        </w:rPr>
        <w:t>required</w:t>
      </w:r>
      <w:r>
        <w:rPr>
          <w:spacing w:val="-2"/>
          <w:sz w:val="24"/>
        </w:rPr>
        <w:t> </w:t>
      </w:r>
      <w:r>
        <w:rPr>
          <w:sz w:val="24"/>
        </w:rPr>
        <w:t>to:</w:t>
      </w:r>
    </w:p>
    <w:p>
      <w:pPr>
        <w:pStyle w:val="ListParagraph"/>
        <w:numPr>
          <w:ilvl w:val="1"/>
          <w:numId w:val="784"/>
        </w:numPr>
        <w:tabs>
          <w:tab w:pos="2486" w:val="left" w:leader="none"/>
        </w:tabs>
        <w:spacing w:line="240" w:lineRule="auto" w:before="120" w:after="0"/>
        <w:ind w:left="2486" w:right="416" w:hanging="567"/>
        <w:jc w:val="both"/>
        <w:rPr>
          <w:sz w:val="24"/>
        </w:rPr>
      </w:pPr>
      <w:r>
        <w:rPr>
          <w:sz w:val="24"/>
        </w:rPr>
        <w:t>maintain </w:t>
      </w:r>
      <w:r>
        <w:rPr>
          <w:i/>
          <w:sz w:val="24"/>
        </w:rPr>
        <w:t>power system security </w:t>
      </w:r>
      <w:r>
        <w:rPr>
          <w:sz w:val="24"/>
        </w:rPr>
        <w:t>and reliability of </w:t>
      </w:r>
      <w:r>
        <w:rPr>
          <w:i/>
          <w:sz w:val="24"/>
        </w:rPr>
        <w:t>supply </w:t>
      </w:r>
      <w:r>
        <w:rPr>
          <w:sz w:val="24"/>
        </w:rPr>
        <w:t>of the </w:t>
      </w:r>
      <w:r>
        <w:rPr>
          <w:i/>
          <w:sz w:val="24"/>
        </w:rPr>
        <w:t>transmission network </w:t>
      </w:r>
      <w:r>
        <w:rPr>
          <w:sz w:val="24"/>
        </w:rPr>
        <w:t>in accordance with the </w:t>
      </w:r>
      <w:r>
        <w:rPr>
          <w:i/>
          <w:sz w:val="24"/>
        </w:rPr>
        <w:t>power system security </w:t>
      </w:r>
      <w:r>
        <w:rPr>
          <w:i/>
          <w:sz w:val="24"/>
        </w:rPr>
        <w:t>standards </w:t>
      </w:r>
      <w:r>
        <w:rPr>
          <w:sz w:val="24"/>
        </w:rPr>
        <w:t>and the </w:t>
      </w:r>
      <w:r>
        <w:rPr>
          <w:i/>
          <w:sz w:val="24"/>
        </w:rPr>
        <w:t>reliability standard</w:t>
      </w:r>
      <w:r>
        <w:rPr>
          <w:sz w:val="24"/>
        </w:rPr>
        <w:t>;</w:t>
      </w:r>
      <w:r>
        <w:rPr>
          <w:spacing w:val="-4"/>
          <w:sz w:val="24"/>
        </w:rPr>
        <w:t> </w:t>
      </w:r>
      <w:r>
        <w:rPr>
          <w:sz w:val="24"/>
        </w:rPr>
        <w:t>and</w:t>
      </w:r>
    </w:p>
    <w:p>
      <w:pPr>
        <w:pStyle w:val="ListParagraph"/>
        <w:numPr>
          <w:ilvl w:val="1"/>
          <w:numId w:val="784"/>
        </w:numPr>
        <w:tabs>
          <w:tab w:pos="2486" w:val="left" w:leader="none"/>
        </w:tabs>
        <w:spacing w:line="240" w:lineRule="auto" w:before="120" w:after="0"/>
        <w:ind w:left="2486" w:right="414" w:hanging="567"/>
        <w:jc w:val="both"/>
        <w:rPr>
          <w:sz w:val="24"/>
        </w:rPr>
      </w:pPr>
      <w:r>
        <w:rPr>
          <w:sz w:val="24"/>
        </w:rPr>
        <w:t>maintain or increase the </w:t>
      </w:r>
      <w:r>
        <w:rPr>
          <w:i/>
          <w:sz w:val="24"/>
        </w:rPr>
        <w:t>power transfer capability </w:t>
      </w:r>
      <w:r>
        <w:rPr>
          <w:sz w:val="24"/>
        </w:rPr>
        <w:t>of that </w:t>
      </w:r>
      <w:r>
        <w:rPr>
          <w:i/>
          <w:sz w:val="24"/>
        </w:rPr>
        <w:t>transmission </w:t>
      </w:r>
      <w:r>
        <w:rPr>
          <w:i/>
          <w:sz w:val="24"/>
        </w:rPr>
        <w:t>network </w:t>
      </w:r>
      <w:r>
        <w:rPr>
          <w:sz w:val="24"/>
        </w:rPr>
        <w:t>so as to maximise the present value of net economic benefit to all those who produce, consume or transport electricity in the </w:t>
      </w:r>
      <w:r>
        <w:rPr>
          <w:i/>
          <w:sz w:val="24"/>
        </w:rPr>
        <w:t>market</w:t>
      </w:r>
      <w:r>
        <w:rPr>
          <w:sz w:val="24"/>
        </w:rPr>
        <w:t>.</w:t>
      </w:r>
    </w:p>
    <w:p>
      <w:pPr>
        <w:pStyle w:val="ListParagraph"/>
        <w:numPr>
          <w:ilvl w:val="0"/>
          <w:numId w:val="784"/>
        </w:numPr>
        <w:tabs>
          <w:tab w:pos="1919" w:val="left" w:leader="none"/>
        </w:tabs>
        <w:spacing w:line="240" w:lineRule="auto" w:before="120" w:after="0"/>
        <w:ind w:left="1919" w:right="414" w:hanging="567"/>
        <w:jc w:val="both"/>
        <w:rPr>
          <w:sz w:val="24"/>
        </w:rPr>
      </w:pPr>
      <w:r>
        <w:rPr>
          <w:sz w:val="24"/>
        </w:rPr>
        <w:t>Any requirement for a service that satisfies paragraph (a) and is also capable of being made available as an </w:t>
      </w:r>
      <w:r>
        <w:rPr>
          <w:i/>
          <w:sz w:val="24"/>
        </w:rPr>
        <w:t>inertia network service </w:t>
      </w:r>
      <w:r>
        <w:rPr>
          <w:sz w:val="24"/>
        </w:rPr>
        <w:t>to address an </w:t>
      </w:r>
      <w:r>
        <w:rPr>
          <w:i/>
          <w:sz w:val="24"/>
        </w:rPr>
        <w:t>inertia </w:t>
      </w:r>
      <w:r>
        <w:rPr>
          <w:i/>
          <w:sz w:val="24"/>
        </w:rPr>
        <w:t>shortfall </w:t>
      </w:r>
      <w:r>
        <w:rPr>
          <w:sz w:val="24"/>
        </w:rPr>
        <w:t>through the arrangements in rule 5.20B must be treated as</w:t>
      </w:r>
      <w:r>
        <w:rPr>
          <w:spacing w:val="40"/>
          <w:sz w:val="24"/>
        </w:rPr>
        <w:t> </w:t>
      </w:r>
      <w:r>
        <w:rPr>
          <w:sz w:val="24"/>
        </w:rPr>
        <w:t>an </w:t>
      </w:r>
      <w:r>
        <w:rPr>
          <w:i/>
          <w:sz w:val="24"/>
        </w:rPr>
        <w:t>inertia shortfall </w:t>
      </w:r>
      <w:r>
        <w:rPr>
          <w:sz w:val="24"/>
        </w:rPr>
        <w:t>and is not an </w:t>
      </w:r>
      <w:r>
        <w:rPr>
          <w:i/>
          <w:sz w:val="24"/>
        </w:rPr>
        <w:t>NSCAS</w:t>
      </w:r>
      <w:r>
        <w:rPr>
          <w:i/>
          <w:spacing w:val="-1"/>
          <w:sz w:val="24"/>
        </w:rPr>
        <w:t> </w:t>
      </w:r>
      <w:r>
        <w:rPr>
          <w:i/>
          <w:sz w:val="24"/>
        </w:rPr>
        <w:t>need</w:t>
      </w:r>
      <w:r>
        <w:rPr>
          <w:sz w:val="24"/>
        </w:rPr>
        <w:t>.</w:t>
      </w:r>
    </w:p>
    <w:p>
      <w:pPr>
        <w:pStyle w:val="ListParagraph"/>
        <w:numPr>
          <w:ilvl w:val="0"/>
          <w:numId w:val="784"/>
        </w:numPr>
        <w:tabs>
          <w:tab w:pos="1919" w:val="left" w:leader="none"/>
        </w:tabs>
        <w:spacing w:line="240" w:lineRule="auto" w:before="120" w:after="0"/>
        <w:ind w:left="1919" w:right="414" w:hanging="567"/>
        <w:jc w:val="both"/>
        <w:rPr>
          <w:sz w:val="24"/>
        </w:rPr>
      </w:pPr>
      <w:r>
        <w:rPr>
          <w:sz w:val="24"/>
        </w:rPr>
        <w:t>Any requirement for a service that satisfies paragraph (a) and is also capable of being made available as a </w:t>
      </w:r>
      <w:r>
        <w:rPr>
          <w:i/>
          <w:sz w:val="24"/>
        </w:rPr>
        <w:t>system strength service </w:t>
      </w:r>
      <w:r>
        <w:rPr>
          <w:sz w:val="24"/>
        </w:rPr>
        <w:t>to address a </w:t>
      </w:r>
      <w:r>
        <w:rPr>
          <w:i/>
          <w:sz w:val="24"/>
        </w:rPr>
        <w:t>fault level </w:t>
      </w:r>
      <w:r>
        <w:rPr>
          <w:i/>
          <w:sz w:val="24"/>
        </w:rPr>
        <w:t>shortfall </w:t>
      </w:r>
      <w:r>
        <w:rPr>
          <w:sz w:val="24"/>
        </w:rPr>
        <w:t>through the arrangements in rule 5.20C must be treated as a </w:t>
      </w:r>
      <w:r>
        <w:rPr>
          <w:i/>
          <w:sz w:val="24"/>
        </w:rPr>
        <w:t>fault </w:t>
      </w:r>
      <w:r>
        <w:rPr>
          <w:i/>
          <w:sz w:val="24"/>
        </w:rPr>
        <w:t>level shortfall </w:t>
      </w:r>
      <w:r>
        <w:rPr>
          <w:sz w:val="24"/>
        </w:rPr>
        <w:t>and is not an </w:t>
      </w:r>
      <w:r>
        <w:rPr>
          <w:i/>
          <w:sz w:val="24"/>
        </w:rPr>
        <w:t>NSCAS</w:t>
      </w:r>
      <w:r>
        <w:rPr>
          <w:i/>
          <w:spacing w:val="-3"/>
          <w:sz w:val="24"/>
        </w:rPr>
        <w:t> </w:t>
      </w:r>
      <w:r>
        <w:rPr>
          <w:i/>
          <w:sz w:val="24"/>
        </w:rPr>
        <w:t>need</w:t>
      </w:r>
      <w:r>
        <w:rPr>
          <w:sz w:val="24"/>
        </w:rPr>
        <w:t>.</w:t>
      </w:r>
    </w:p>
    <w:p>
      <w:pPr>
        <w:pStyle w:val="Heading5"/>
        <w:rPr>
          <w:i/>
        </w:rPr>
      </w:pPr>
      <w:r>
        <w:rPr>
          <w:i/>
        </w:rPr>
        <w:t>NSCAS preferred tenderers</w:t>
      </w:r>
    </w:p>
    <w:p>
      <w:pPr>
        <w:pStyle w:val="BodyText"/>
        <w:ind w:left="1352" w:right="417" w:firstLine="0"/>
      </w:pPr>
      <w:r>
        <w:rPr/>
        <w:t>Persons that submitted tenders for </w:t>
      </w:r>
      <w:r>
        <w:rPr>
          <w:i/>
        </w:rPr>
        <w:t>NSCAS </w:t>
      </w:r>
      <w:r>
        <w:rPr/>
        <w:t>that are deemed to be non-competitive as selected by </w:t>
      </w:r>
      <w:r>
        <w:rPr>
          <w:i/>
        </w:rPr>
        <w:t>AEMO </w:t>
      </w:r>
      <w:r>
        <w:rPr/>
        <w:t>in accordance with clause 3.11.5(g).</w:t>
      </w:r>
    </w:p>
    <w:p>
      <w:pPr>
        <w:pStyle w:val="Heading5"/>
        <w:rPr>
          <w:i/>
        </w:rPr>
      </w:pPr>
      <w:r>
        <w:rPr>
          <w:i/>
        </w:rPr>
        <w:t>NSCAS Provider</w:t>
      </w:r>
    </w:p>
    <w:p>
      <w:pPr>
        <w:spacing w:before="120"/>
        <w:ind w:left="1352" w:right="415" w:firstLine="0"/>
        <w:jc w:val="both"/>
        <w:rPr>
          <w:sz w:val="24"/>
        </w:rPr>
      </w:pPr>
      <w:r>
        <w:rPr>
          <w:sz w:val="24"/>
        </w:rPr>
        <w:t>A person who agrees to provide one or more </w:t>
      </w:r>
      <w:r>
        <w:rPr>
          <w:i/>
          <w:sz w:val="24"/>
        </w:rPr>
        <w:t>network support and control </w:t>
      </w:r>
      <w:r>
        <w:rPr>
          <w:i/>
          <w:sz w:val="24"/>
        </w:rPr>
        <w:t>ancillary services </w:t>
      </w:r>
      <w:r>
        <w:rPr>
          <w:sz w:val="24"/>
        </w:rPr>
        <w:t>to </w:t>
      </w:r>
      <w:r>
        <w:rPr>
          <w:i/>
          <w:sz w:val="24"/>
        </w:rPr>
        <w:t>AEMO </w:t>
      </w:r>
      <w:r>
        <w:rPr>
          <w:sz w:val="24"/>
        </w:rPr>
        <w:t>under an </w:t>
      </w:r>
      <w:r>
        <w:rPr>
          <w:i/>
          <w:sz w:val="24"/>
        </w:rPr>
        <w:t>ancillary services agreement</w:t>
      </w:r>
      <w:r>
        <w:rPr>
          <w:sz w:val="24"/>
        </w:rPr>
        <w:t>.</w:t>
      </w:r>
    </w:p>
    <w:p>
      <w:pPr>
        <w:pStyle w:val="Heading5"/>
        <w:rPr>
          <w:i/>
        </w:rPr>
      </w:pPr>
      <w:r>
        <w:rPr>
          <w:i/>
        </w:rPr>
        <w:t>NT equivalent services</w:t>
      </w:r>
    </w:p>
    <w:p>
      <w:pPr>
        <w:spacing w:before="120"/>
        <w:ind w:left="1352" w:right="416" w:firstLine="0"/>
        <w:jc w:val="both"/>
        <w:rPr>
          <w:sz w:val="24"/>
        </w:rPr>
      </w:pPr>
      <w:r>
        <w:rPr>
          <w:sz w:val="24"/>
        </w:rPr>
        <w:t>Regulated network access services (as defined in clause 3 of the </w:t>
      </w:r>
      <w:r>
        <w:rPr>
          <w:i/>
          <w:sz w:val="24"/>
        </w:rPr>
        <w:t>NT Network </w:t>
      </w:r>
      <w:r>
        <w:rPr>
          <w:i/>
          <w:sz w:val="24"/>
        </w:rPr>
        <w:t>Access Code</w:t>
      </w:r>
      <w:r>
        <w:rPr>
          <w:sz w:val="24"/>
        </w:rPr>
        <w:t>) that are designated as direct control services in Table 3.1 of Part A of the </w:t>
      </w:r>
      <w:r>
        <w:rPr>
          <w:i/>
          <w:sz w:val="24"/>
        </w:rPr>
        <w:t>2014 NT Network Price Determination</w:t>
      </w:r>
      <w:r>
        <w:rPr>
          <w:sz w:val="24"/>
        </w:rPr>
        <w:t>.</w:t>
      </w:r>
    </w:p>
    <w:p>
      <w:pPr>
        <w:pStyle w:val="Heading5"/>
        <w:rPr>
          <w:i/>
        </w:rPr>
      </w:pPr>
      <w:r>
        <w:rPr>
          <w:i/>
        </w:rPr>
        <w:t>NTESMO (being the Northern Territory Electricity System and Market Operator)</w:t>
      </w:r>
    </w:p>
    <w:p>
      <w:pPr>
        <w:pStyle w:val="BodyText"/>
        <w:ind w:left="1352" w:firstLine="0"/>
      </w:pPr>
      <w:r>
        <w:rPr/>
        <w:t>As the case requires:</w:t>
      </w:r>
    </w:p>
    <w:p>
      <w:pPr>
        <w:pStyle w:val="ListParagraph"/>
        <w:numPr>
          <w:ilvl w:val="0"/>
          <w:numId w:val="785"/>
        </w:numPr>
        <w:tabs>
          <w:tab w:pos="1919" w:val="left" w:leader="none"/>
        </w:tabs>
        <w:spacing w:line="240" w:lineRule="auto" w:before="120" w:after="0"/>
        <w:ind w:left="1919" w:right="415" w:hanging="567"/>
        <w:jc w:val="both"/>
        <w:rPr>
          <w:sz w:val="24"/>
        </w:rPr>
      </w:pPr>
      <w:r>
        <w:rPr>
          <w:sz w:val="24"/>
        </w:rPr>
        <w:t>the entity that undertakes the performance of the functions set out in the </w:t>
      </w:r>
      <w:r>
        <w:rPr>
          <w:i/>
          <w:sz w:val="24"/>
        </w:rPr>
        <w:t>Rules </w:t>
      </w:r>
      <w:r>
        <w:rPr>
          <w:sz w:val="24"/>
        </w:rPr>
        <w:t>that relate to monitoring or controlling the operation of the </w:t>
      </w:r>
      <w:r>
        <w:rPr>
          <w:i/>
          <w:sz w:val="24"/>
        </w:rPr>
        <w:t>power </w:t>
      </w:r>
      <w:r>
        <w:rPr>
          <w:i/>
          <w:sz w:val="24"/>
        </w:rPr>
        <w:t>system </w:t>
      </w:r>
      <w:r>
        <w:rPr>
          <w:sz w:val="24"/>
        </w:rPr>
        <w:t>in respect of one or more of the local electricity systems;</w:t>
      </w:r>
      <w:r>
        <w:rPr>
          <w:spacing w:val="-6"/>
          <w:sz w:val="24"/>
        </w:rPr>
        <w:t> </w:t>
      </w:r>
      <w:r>
        <w:rPr>
          <w:sz w:val="24"/>
        </w:rPr>
        <w:t>or</w:t>
      </w:r>
    </w:p>
    <w:p>
      <w:pPr>
        <w:pStyle w:val="ListParagraph"/>
        <w:numPr>
          <w:ilvl w:val="0"/>
          <w:numId w:val="785"/>
        </w:numPr>
        <w:tabs>
          <w:tab w:pos="1919" w:val="left" w:leader="none"/>
        </w:tabs>
        <w:spacing w:line="240" w:lineRule="auto" w:before="120" w:after="0"/>
        <w:ind w:left="1919" w:right="415" w:hanging="567"/>
        <w:jc w:val="both"/>
        <w:rPr>
          <w:sz w:val="24"/>
        </w:rPr>
      </w:pPr>
      <w:r>
        <w:rPr>
          <w:sz w:val="24"/>
        </w:rPr>
        <w:t>the entity that undertakes the performance of the functions set out in the </w:t>
      </w:r>
      <w:r>
        <w:rPr>
          <w:i/>
          <w:sz w:val="24"/>
        </w:rPr>
        <w:t>Rules </w:t>
      </w:r>
      <w:r>
        <w:rPr>
          <w:sz w:val="24"/>
        </w:rPr>
        <w:t>that relate to operating or administering a </w:t>
      </w:r>
      <w:r>
        <w:rPr>
          <w:i/>
          <w:sz w:val="24"/>
        </w:rPr>
        <w:t>market </w:t>
      </w:r>
      <w:r>
        <w:rPr>
          <w:sz w:val="24"/>
        </w:rPr>
        <w:t>in respect of one or more of the local electricity</w:t>
      </w:r>
      <w:r>
        <w:rPr>
          <w:spacing w:val="-1"/>
          <w:sz w:val="24"/>
        </w:rPr>
        <w:t> </w:t>
      </w:r>
      <w:r>
        <w:rPr>
          <w:sz w:val="24"/>
        </w:rPr>
        <w:t>systems.</w:t>
      </w:r>
    </w:p>
    <w:p>
      <w:pPr>
        <w:spacing w:after="0" w:line="240" w:lineRule="auto"/>
        <w:jc w:val="both"/>
        <w:rPr>
          <w:sz w:val="24"/>
        </w:rPr>
        <w:sectPr>
          <w:pgSz w:w="11910" w:h="16840"/>
          <w:pgMar w:header="686" w:footer="637" w:top="1320" w:bottom="820" w:left="1200" w:right="1000"/>
        </w:sectPr>
      </w:pPr>
    </w:p>
    <w:p>
      <w:pPr>
        <w:pStyle w:val="Heading5"/>
        <w:spacing w:before="83"/>
        <w:jc w:val="left"/>
        <w:rPr>
          <w:i/>
        </w:rPr>
      </w:pPr>
      <w:r>
        <w:rPr>
          <w:i/>
        </w:rPr>
        <w:t>NTNDP</w:t>
      </w:r>
    </w:p>
    <w:p>
      <w:pPr>
        <w:pStyle w:val="BodyText"/>
        <w:spacing w:before="0"/>
        <w:ind w:firstLine="0"/>
        <w:jc w:val="left"/>
        <w:rPr>
          <w:b/>
          <w:i/>
          <w:sz w:val="26"/>
        </w:rPr>
      </w:pPr>
      <w:r>
        <w:rPr/>
        <w:br w:type="column"/>
      </w:r>
      <w:r>
        <w:rPr>
          <w:b/>
          <w:i/>
          <w:sz w:val="26"/>
        </w:rPr>
      </w:r>
    </w:p>
    <w:p>
      <w:pPr>
        <w:spacing w:before="180"/>
        <w:ind w:left="218" w:right="0" w:firstLine="0"/>
        <w:jc w:val="left"/>
        <w:rPr>
          <w:sz w:val="24"/>
        </w:rPr>
      </w:pPr>
      <w:r>
        <w:rPr>
          <w:sz w:val="24"/>
        </w:rPr>
        <w:t>The National Transmission Network Development Plan as defined in the </w:t>
      </w:r>
      <w:r>
        <w:rPr>
          <w:i/>
          <w:sz w:val="24"/>
        </w:rPr>
        <w:t>National </w:t>
      </w:r>
      <w:r>
        <w:rPr>
          <w:i/>
          <w:sz w:val="24"/>
        </w:rPr>
        <w:t>Electricity Law</w:t>
      </w:r>
      <w:r>
        <w:rPr>
          <w:sz w:val="24"/>
        </w:rPr>
        <w:t>.</w:t>
      </w:r>
    </w:p>
    <w:p>
      <w:pPr>
        <w:spacing w:after="0"/>
        <w:jc w:val="left"/>
        <w:rPr>
          <w:sz w:val="24"/>
        </w:rPr>
        <w:sectPr>
          <w:pgSz w:w="11910" w:h="16840"/>
          <w:pgMar w:header="686" w:footer="637" w:top="1320" w:bottom="820" w:left="1200" w:right="1000"/>
          <w:cols w:num="2" w:equalWidth="0">
            <w:col w:w="1071" w:space="63"/>
            <w:col w:w="8576"/>
          </w:cols>
        </w:sectPr>
      </w:pPr>
    </w:p>
    <w:p>
      <w:pPr>
        <w:pStyle w:val="Heading5"/>
        <w:jc w:val="left"/>
        <w:rPr>
          <w:i/>
        </w:rPr>
      </w:pPr>
      <w:r>
        <w:rPr>
          <w:i/>
        </w:rPr>
        <w:t>NTNDP database</w:t>
      </w:r>
    </w:p>
    <w:p>
      <w:pPr>
        <w:pStyle w:val="BodyText"/>
        <w:ind w:left="1352" w:firstLine="0"/>
      </w:pPr>
      <w:r>
        <w:rPr/>
        <w:t>The database that </w:t>
      </w:r>
      <w:r>
        <w:rPr>
          <w:i/>
        </w:rPr>
        <w:t>AEMO </w:t>
      </w:r>
      <w:r>
        <w:rPr/>
        <w:t>is required to establish and maintain under clause 5.20.4.</w:t>
      </w:r>
    </w:p>
    <w:p>
      <w:pPr>
        <w:pStyle w:val="Heading5"/>
        <w:jc w:val="left"/>
        <w:rPr>
          <w:i/>
        </w:rPr>
      </w:pPr>
      <w:r>
        <w:rPr>
          <w:i/>
        </w:rPr>
        <w:t>NTNDP inputs</w:t>
      </w:r>
    </w:p>
    <w:p>
      <w:pPr>
        <w:pStyle w:val="BodyText"/>
        <w:ind w:left="1352" w:firstLine="0"/>
      </w:pPr>
      <w:r>
        <w:rPr/>
        <w:t>Has the meaning given in clause 5.20.4.</w:t>
      </w:r>
    </w:p>
    <w:p>
      <w:pPr>
        <w:pStyle w:val="Heading5"/>
        <w:rPr>
          <w:i/>
        </w:rPr>
      </w:pPr>
      <w:r>
        <w:rPr>
          <w:i/>
        </w:rPr>
        <w:t>NT negative change event</w:t>
      </w:r>
    </w:p>
    <w:p>
      <w:pPr>
        <w:spacing w:before="120"/>
        <w:ind w:left="1352" w:right="416" w:firstLine="0"/>
        <w:jc w:val="both"/>
        <w:rPr>
          <w:sz w:val="24"/>
        </w:rPr>
      </w:pPr>
      <w:r>
        <w:rPr>
          <w:sz w:val="24"/>
        </w:rPr>
        <w:t>A negative change event (as defined in Part B of the </w:t>
      </w:r>
      <w:r>
        <w:rPr>
          <w:i/>
          <w:sz w:val="24"/>
        </w:rPr>
        <w:t>2014 NT Network Price </w:t>
      </w:r>
      <w:r>
        <w:rPr>
          <w:i/>
          <w:sz w:val="24"/>
        </w:rPr>
        <w:t>Determination</w:t>
      </w:r>
      <w:r>
        <w:rPr>
          <w:sz w:val="24"/>
        </w:rPr>
        <w:t>) for a </w:t>
      </w:r>
      <w:r>
        <w:rPr>
          <w:i/>
          <w:sz w:val="24"/>
        </w:rPr>
        <w:t>Distribution Network Service Provider</w:t>
      </w:r>
      <w:r>
        <w:rPr>
          <w:sz w:val="24"/>
        </w:rPr>
        <w:t>:</w:t>
      </w:r>
    </w:p>
    <w:p>
      <w:pPr>
        <w:pStyle w:val="ListParagraph"/>
        <w:numPr>
          <w:ilvl w:val="0"/>
          <w:numId w:val="786"/>
        </w:numPr>
        <w:tabs>
          <w:tab w:pos="1919" w:val="left" w:leader="none"/>
        </w:tabs>
        <w:spacing w:line="240" w:lineRule="auto" w:before="120" w:after="0"/>
        <w:ind w:left="1918" w:right="0" w:hanging="567"/>
        <w:jc w:val="both"/>
        <w:rPr>
          <w:sz w:val="24"/>
        </w:rPr>
      </w:pPr>
      <w:r>
        <w:rPr>
          <w:sz w:val="24"/>
        </w:rPr>
        <w:t>that occurred during the </w:t>
      </w:r>
      <w:r>
        <w:rPr>
          <w:i/>
          <w:sz w:val="24"/>
        </w:rPr>
        <w:t>2014-19 NT regulatory control period</w:t>
      </w:r>
      <w:r>
        <w:rPr>
          <w:sz w:val="24"/>
        </w:rPr>
        <w:t>;</w:t>
      </w:r>
      <w:r>
        <w:rPr>
          <w:spacing w:val="-5"/>
          <w:sz w:val="24"/>
        </w:rPr>
        <w:t> </w:t>
      </w:r>
      <w:r>
        <w:rPr>
          <w:sz w:val="24"/>
        </w:rPr>
        <w:t>and</w:t>
      </w:r>
    </w:p>
    <w:p>
      <w:pPr>
        <w:pStyle w:val="ListParagraph"/>
        <w:numPr>
          <w:ilvl w:val="0"/>
          <w:numId w:val="786"/>
        </w:numPr>
        <w:tabs>
          <w:tab w:pos="1919" w:val="left" w:leader="none"/>
        </w:tabs>
        <w:spacing w:line="240" w:lineRule="auto" w:before="120" w:after="0"/>
        <w:ind w:left="1919" w:right="415" w:hanging="567"/>
        <w:jc w:val="both"/>
        <w:rPr>
          <w:sz w:val="24"/>
        </w:rPr>
      </w:pPr>
      <w:r>
        <w:rPr>
          <w:sz w:val="24"/>
        </w:rPr>
        <w:t>in relation to which, on or before 30 June 2019, a determination had not been made under clause 3.1.5(a) of Part B of the </w:t>
      </w:r>
      <w:r>
        <w:rPr>
          <w:i/>
          <w:sz w:val="24"/>
        </w:rPr>
        <w:t>2014 NT Network Price </w:t>
      </w:r>
      <w:r>
        <w:rPr>
          <w:i/>
          <w:sz w:val="24"/>
        </w:rPr>
        <w:t>Determination </w:t>
      </w:r>
      <w:r>
        <w:rPr>
          <w:sz w:val="24"/>
        </w:rPr>
        <w:t>and the time for making it had not</w:t>
      </w:r>
      <w:r>
        <w:rPr>
          <w:spacing w:val="-5"/>
          <w:sz w:val="24"/>
        </w:rPr>
        <w:t> </w:t>
      </w:r>
      <w:r>
        <w:rPr>
          <w:sz w:val="24"/>
        </w:rPr>
        <w:t>expired.</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This definition expires on 1 July 2024.</w:t>
      </w:r>
    </w:p>
    <w:p>
      <w:pPr>
        <w:pStyle w:val="Heading5"/>
        <w:jc w:val="left"/>
        <w:rPr>
          <w:i/>
        </w:rPr>
      </w:pPr>
      <w:r>
        <w:rPr>
          <w:i/>
        </w:rPr>
        <w:t>NT Network Access Code</w:t>
      </w:r>
    </w:p>
    <w:p>
      <w:pPr>
        <w:spacing w:before="120"/>
        <w:ind w:left="1352" w:right="0" w:firstLine="0"/>
        <w:jc w:val="left"/>
        <w:rPr>
          <w:sz w:val="24"/>
        </w:rPr>
      </w:pPr>
      <w:r>
        <w:rPr>
          <w:sz w:val="24"/>
        </w:rPr>
        <w:t>The Network Access Code as defined in section 2A(1) of the </w:t>
      </w:r>
      <w:r>
        <w:rPr>
          <w:i/>
          <w:sz w:val="24"/>
        </w:rPr>
        <w:t>Electricity Networks </w:t>
      </w:r>
      <w:r>
        <w:rPr>
          <w:i/>
          <w:sz w:val="24"/>
        </w:rPr>
        <w:t>(Third Party Access) Act </w:t>
      </w:r>
      <w:r>
        <w:rPr>
          <w:sz w:val="24"/>
        </w:rPr>
        <w:t>(NT).</w:t>
      </w:r>
    </w:p>
    <w:p>
      <w:pPr>
        <w:pStyle w:val="Heading5"/>
        <w:jc w:val="left"/>
        <w:rPr>
          <w:i/>
        </w:rPr>
      </w:pPr>
      <w:r>
        <w:rPr>
          <w:i/>
        </w:rPr>
        <w:t>NT NMI data</w:t>
      </w:r>
    </w:p>
    <w:p>
      <w:pPr>
        <w:spacing w:before="120"/>
        <w:ind w:left="1352" w:right="0" w:firstLine="0"/>
        <w:jc w:val="left"/>
        <w:rPr>
          <w:sz w:val="24"/>
        </w:rPr>
      </w:pPr>
      <w:r>
        <w:rPr>
          <w:sz w:val="24"/>
        </w:rPr>
        <w:t>The following data in respect of a </w:t>
      </w:r>
      <w:r>
        <w:rPr>
          <w:i/>
          <w:sz w:val="24"/>
        </w:rPr>
        <w:t>connection point</w:t>
      </w:r>
      <w:r>
        <w:rPr>
          <w:sz w:val="24"/>
        </w:rPr>
        <w:t>:</w:t>
      </w:r>
    </w:p>
    <w:p>
      <w:pPr>
        <w:pStyle w:val="ListParagraph"/>
        <w:numPr>
          <w:ilvl w:val="0"/>
          <w:numId w:val="787"/>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NMI </w:t>
      </w:r>
      <w:r>
        <w:rPr>
          <w:sz w:val="24"/>
        </w:rPr>
        <w:t>of the </w:t>
      </w:r>
      <w:r>
        <w:rPr>
          <w:i/>
          <w:sz w:val="24"/>
        </w:rPr>
        <w:t>connection point </w:t>
      </w:r>
      <w:r>
        <w:rPr>
          <w:sz w:val="24"/>
        </w:rPr>
        <w:t>and the street address of the</w:t>
      </w:r>
      <w:r>
        <w:rPr>
          <w:spacing w:val="3"/>
          <w:sz w:val="24"/>
        </w:rPr>
        <w:t> </w:t>
      </w:r>
      <w:r>
        <w:rPr>
          <w:sz w:val="24"/>
        </w:rPr>
        <w:t>relevant</w:t>
      </w:r>
    </w:p>
    <w:p>
      <w:pPr>
        <w:spacing w:before="0"/>
        <w:ind w:left="1919" w:right="0" w:firstLine="0"/>
        <w:jc w:val="left"/>
        <w:rPr>
          <w:sz w:val="24"/>
        </w:rPr>
      </w:pPr>
      <w:r>
        <w:rPr>
          <w:i/>
          <w:sz w:val="24"/>
        </w:rPr>
        <w:t>connection point </w:t>
      </w:r>
      <w:r>
        <w:rPr>
          <w:sz w:val="24"/>
        </w:rPr>
        <w:t>to which that </w:t>
      </w:r>
      <w:r>
        <w:rPr>
          <w:i/>
          <w:sz w:val="24"/>
        </w:rPr>
        <w:t>NMI </w:t>
      </w:r>
      <w:r>
        <w:rPr>
          <w:sz w:val="24"/>
        </w:rPr>
        <w:t>is referable;</w:t>
      </w:r>
    </w:p>
    <w:p>
      <w:pPr>
        <w:pStyle w:val="ListParagraph"/>
        <w:numPr>
          <w:ilvl w:val="0"/>
          <w:numId w:val="787"/>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NMI </w:t>
      </w:r>
      <w:r>
        <w:rPr>
          <w:sz w:val="24"/>
        </w:rPr>
        <w:t>checksum for the </w:t>
      </w:r>
      <w:r>
        <w:rPr>
          <w:i/>
          <w:sz w:val="24"/>
        </w:rPr>
        <w:t>connection</w:t>
      </w:r>
      <w:r>
        <w:rPr>
          <w:i/>
          <w:spacing w:val="-2"/>
          <w:sz w:val="24"/>
        </w:rPr>
        <w:t> </w:t>
      </w:r>
      <w:r>
        <w:rPr>
          <w:i/>
          <w:sz w:val="24"/>
        </w:rPr>
        <w:t>point</w:t>
      </w:r>
      <w:r>
        <w:rPr>
          <w:sz w:val="24"/>
        </w:rPr>
        <w:t>;</w:t>
      </w:r>
    </w:p>
    <w:p>
      <w:pPr>
        <w:pStyle w:val="ListParagraph"/>
        <w:numPr>
          <w:ilvl w:val="0"/>
          <w:numId w:val="787"/>
        </w:numPr>
        <w:tabs>
          <w:tab w:pos="1918" w:val="left" w:leader="none"/>
          <w:tab w:pos="1919" w:val="left" w:leader="none"/>
        </w:tabs>
        <w:spacing w:line="240" w:lineRule="auto" w:before="120" w:after="0"/>
        <w:ind w:left="1918" w:right="0" w:hanging="567"/>
        <w:jc w:val="left"/>
        <w:rPr>
          <w:sz w:val="24"/>
        </w:rPr>
      </w:pPr>
      <w:r>
        <w:rPr>
          <w:sz w:val="24"/>
        </w:rPr>
        <w:t>the identity of the relevant </w:t>
      </w:r>
      <w:r>
        <w:rPr>
          <w:i/>
          <w:sz w:val="24"/>
        </w:rPr>
        <w:t>Network Service</w:t>
      </w:r>
      <w:r>
        <w:rPr>
          <w:i/>
          <w:spacing w:val="-1"/>
          <w:sz w:val="24"/>
        </w:rPr>
        <w:t> </w:t>
      </w:r>
      <w:r>
        <w:rPr>
          <w:i/>
          <w:sz w:val="24"/>
        </w:rPr>
        <w:t>Provider</w:t>
      </w:r>
      <w:r>
        <w:rPr>
          <w:sz w:val="24"/>
        </w:rPr>
        <w:t>;</w:t>
      </w:r>
    </w:p>
    <w:p>
      <w:pPr>
        <w:pStyle w:val="ListParagraph"/>
        <w:numPr>
          <w:ilvl w:val="0"/>
          <w:numId w:val="787"/>
        </w:numPr>
        <w:tabs>
          <w:tab w:pos="1918" w:val="left" w:leader="none"/>
          <w:tab w:pos="1919" w:val="left" w:leader="none"/>
        </w:tabs>
        <w:spacing w:line="240" w:lineRule="auto" w:before="120" w:after="0"/>
        <w:ind w:left="1918" w:right="0" w:hanging="567"/>
        <w:jc w:val="left"/>
        <w:rPr>
          <w:sz w:val="24"/>
        </w:rPr>
      </w:pPr>
      <w:r>
        <w:rPr>
          <w:sz w:val="24"/>
        </w:rPr>
        <w:t>the relevant </w:t>
      </w:r>
      <w:r>
        <w:rPr>
          <w:i/>
          <w:sz w:val="24"/>
        </w:rPr>
        <w:t>distribution loss factor </w:t>
      </w:r>
      <w:r>
        <w:rPr>
          <w:sz w:val="24"/>
        </w:rPr>
        <w:t>applicable to the </w:t>
      </w:r>
      <w:r>
        <w:rPr>
          <w:i/>
          <w:sz w:val="24"/>
        </w:rPr>
        <w:t>connection</w:t>
      </w:r>
      <w:r>
        <w:rPr>
          <w:i/>
          <w:spacing w:val="-3"/>
          <w:sz w:val="24"/>
        </w:rPr>
        <w:t> </w:t>
      </w:r>
      <w:r>
        <w:rPr>
          <w:i/>
          <w:sz w:val="24"/>
        </w:rPr>
        <w:t>point</w:t>
      </w:r>
      <w:r>
        <w:rPr>
          <w:sz w:val="24"/>
        </w:rPr>
        <w:t>;</w:t>
      </w:r>
    </w:p>
    <w:p>
      <w:pPr>
        <w:pStyle w:val="ListParagraph"/>
        <w:numPr>
          <w:ilvl w:val="0"/>
          <w:numId w:val="787"/>
        </w:numPr>
        <w:tabs>
          <w:tab w:pos="1918" w:val="left" w:leader="none"/>
          <w:tab w:pos="1919" w:val="left" w:leader="none"/>
        </w:tabs>
        <w:spacing w:line="240" w:lineRule="auto" w:before="120" w:after="0"/>
        <w:ind w:left="1918" w:right="0" w:hanging="567"/>
        <w:jc w:val="left"/>
        <w:rPr>
          <w:sz w:val="24"/>
        </w:rPr>
      </w:pPr>
      <w:r>
        <w:rPr>
          <w:sz w:val="24"/>
        </w:rPr>
        <w:t>the</w:t>
      </w:r>
      <w:r>
        <w:rPr>
          <w:spacing w:val="11"/>
          <w:sz w:val="24"/>
        </w:rPr>
        <w:t> </w:t>
      </w:r>
      <w:r>
        <w:rPr>
          <w:sz w:val="24"/>
        </w:rPr>
        <w:t>Network</w:t>
      </w:r>
      <w:r>
        <w:rPr>
          <w:spacing w:val="12"/>
          <w:sz w:val="24"/>
        </w:rPr>
        <w:t> </w:t>
      </w:r>
      <w:r>
        <w:rPr>
          <w:sz w:val="24"/>
        </w:rPr>
        <w:t>Tariff</w:t>
      </w:r>
      <w:r>
        <w:rPr>
          <w:spacing w:val="12"/>
          <w:sz w:val="24"/>
        </w:rPr>
        <w:t> </w:t>
      </w:r>
      <w:r>
        <w:rPr>
          <w:sz w:val="24"/>
        </w:rPr>
        <w:t>(identified</w:t>
      </w:r>
      <w:r>
        <w:rPr>
          <w:spacing w:val="11"/>
          <w:sz w:val="24"/>
        </w:rPr>
        <w:t> </w:t>
      </w:r>
      <w:r>
        <w:rPr>
          <w:sz w:val="24"/>
        </w:rPr>
        <w:t>by</w:t>
      </w:r>
      <w:r>
        <w:rPr>
          <w:spacing w:val="12"/>
          <w:sz w:val="24"/>
        </w:rPr>
        <w:t> </w:t>
      </w:r>
      <w:r>
        <w:rPr>
          <w:sz w:val="24"/>
        </w:rPr>
        <w:t>a</w:t>
      </w:r>
      <w:r>
        <w:rPr>
          <w:spacing w:val="12"/>
          <w:sz w:val="24"/>
        </w:rPr>
        <w:t> </w:t>
      </w:r>
      <w:r>
        <w:rPr>
          <w:sz w:val="24"/>
        </w:rPr>
        <w:t>code)</w:t>
      </w:r>
      <w:r>
        <w:rPr>
          <w:spacing w:val="12"/>
          <w:sz w:val="24"/>
        </w:rPr>
        <w:t> </w:t>
      </w:r>
      <w:r>
        <w:rPr>
          <w:sz w:val="24"/>
        </w:rPr>
        <w:t>applicable</w:t>
      </w:r>
      <w:r>
        <w:rPr>
          <w:spacing w:val="11"/>
          <w:sz w:val="24"/>
        </w:rPr>
        <w:t> </w:t>
      </w:r>
      <w:r>
        <w:rPr>
          <w:sz w:val="24"/>
        </w:rPr>
        <w:t>in</w:t>
      </w:r>
      <w:r>
        <w:rPr>
          <w:spacing w:val="12"/>
          <w:sz w:val="24"/>
        </w:rPr>
        <w:t> </w:t>
      </w:r>
      <w:r>
        <w:rPr>
          <w:sz w:val="24"/>
        </w:rPr>
        <w:t>respect</w:t>
      </w:r>
      <w:r>
        <w:rPr>
          <w:spacing w:val="12"/>
          <w:sz w:val="24"/>
        </w:rPr>
        <w:t> </w:t>
      </w:r>
      <w:r>
        <w:rPr>
          <w:sz w:val="24"/>
        </w:rPr>
        <w:t>of</w:t>
      </w:r>
      <w:r>
        <w:rPr>
          <w:spacing w:val="11"/>
          <w:sz w:val="24"/>
        </w:rPr>
        <w:t> </w:t>
      </w:r>
      <w:r>
        <w:rPr>
          <w:sz w:val="24"/>
        </w:rPr>
        <w:t>the</w:t>
      </w:r>
    </w:p>
    <w:p>
      <w:pPr>
        <w:spacing w:before="0"/>
        <w:ind w:left="1919" w:right="0" w:firstLine="0"/>
        <w:jc w:val="left"/>
        <w:rPr>
          <w:sz w:val="24"/>
        </w:rPr>
      </w:pPr>
      <w:r>
        <w:rPr>
          <w:i/>
          <w:sz w:val="24"/>
        </w:rPr>
        <w:t>connection point</w:t>
      </w:r>
      <w:r>
        <w:rPr>
          <w:sz w:val="24"/>
        </w:rPr>
        <w:t>;</w:t>
      </w:r>
    </w:p>
    <w:p>
      <w:pPr>
        <w:pStyle w:val="ListParagraph"/>
        <w:numPr>
          <w:ilvl w:val="0"/>
          <w:numId w:val="787"/>
        </w:numPr>
        <w:tabs>
          <w:tab w:pos="1920" w:val="left" w:leader="none"/>
        </w:tabs>
        <w:spacing w:line="240" w:lineRule="auto" w:before="120" w:after="0"/>
        <w:ind w:left="1919" w:right="416" w:hanging="567"/>
        <w:jc w:val="both"/>
        <w:rPr>
          <w:sz w:val="24"/>
        </w:rPr>
      </w:pPr>
      <w:r>
        <w:rPr>
          <w:sz w:val="24"/>
        </w:rPr>
        <w:t>the read cycle date, or date of next scheduled read or date in a relevant code representing the read cycle date or date of next scheduled read, for that </w:t>
      </w:r>
      <w:r>
        <w:rPr>
          <w:i/>
          <w:sz w:val="24"/>
        </w:rPr>
        <w:t>connection</w:t>
      </w:r>
      <w:r>
        <w:rPr>
          <w:i/>
          <w:spacing w:val="-1"/>
          <w:sz w:val="24"/>
        </w:rPr>
        <w:t> </w:t>
      </w:r>
      <w:r>
        <w:rPr>
          <w:i/>
          <w:sz w:val="24"/>
        </w:rPr>
        <w:t>point</w:t>
      </w:r>
      <w:r>
        <w:rPr>
          <w:sz w:val="24"/>
        </w:rPr>
        <w:t>,</w:t>
      </w:r>
    </w:p>
    <w:p>
      <w:pPr>
        <w:spacing w:before="120"/>
        <w:ind w:left="1352" w:right="416" w:firstLine="0"/>
        <w:jc w:val="both"/>
        <w:rPr>
          <w:sz w:val="24"/>
        </w:rPr>
      </w:pPr>
      <w:r>
        <w:rPr>
          <w:sz w:val="24"/>
        </w:rPr>
        <w:t>and, to avoid doubt, does not include any </w:t>
      </w:r>
      <w:r>
        <w:rPr>
          <w:i/>
          <w:sz w:val="24"/>
        </w:rPr>
        <w:t>metering data </w:t>
      </w:r>
      <w:r>
        <w:rPr>
          <w:sz w:val="24"/>
        </w:rPr>
        <w:t>or other details of an end- user's consumption at that </w:t>
      </w:r>
      <w:r>
        <w:rPr>
          <w:i/>
          <w:sz w:val="24"/>
        </w:rPr>
        <w:t>connection point</w:t>
      </w:r>
      <w:r>
        <w:rPr>
          <w:sz w:val="24"/>
        </w:rPr>
        <w:t>.</w:t>
      </w:r>
    </w:p>
    <w:p>
      <w:pPr>
        <w:pStyle w:val="Heading5"/>
        <w:rPr>
          <w:i/>
        </w:rPr>
      </w:pPr>
      <w:r>
        <w:rPr>
          <w:i/>
        </w:rPr>
        <w:t>NTP functions</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NT positive change event</w:t>
      </w:r>
    </w:p>
    <w:p>
      <w:pPr>
        <w:spacing w:before="120"/>
        <w:ind w:left="1352" w:right="415" w:firstLine="0"/>
        <w:jc w:val="both"/>
        <w:rPr>
          <w:sz w:val="24"/>
        </w:rPr>
      </w:pPr>
      <w:r>
        <w:rPr>
          <w:sz w:val="24"/>
        </w:rPr>
        <w:t>A positive change event (as defined in Part B of the </w:t>
      </w:r>
      <w:r>
        <w:rPr>
          <w:i/>
          <w:sz w:val="24"/>
        </w:rPr>
        <w:t>2014 NT Network Price </w:t>
      </w:r>
      <w:r>
        <w:rPr>
          <w:i/>
          <w:sz w:val="24"/>
        </w:rPr>
        <w:t>Determination</w:t>
      </w:r>
      <w:r>
        <w:rPr>
          <w:sz w:val="24"/>
        </w:rPr>
        <w:t>) for a </w:t>
      </w:r>
      <w:r>
        <w:rPr>
          <w:i/>
          <w:sz w:val="24"/>
        </w:rPr>
        <w:t>Distribution Network Service Provider</w:t>
      </w:r>
      <w:r>
        <w:rPr>
          <w:sz w:val="24"/>
        </w:rPr>
        <w:t>:</w:t>
      </w:r>
    </w:p>
    <w:p>
      <w:pPr>
        <w:pStyle w:val="ListParagraph"/>
        <w:numPr>
          <w:ilvl w:val="0"/>
          <w:numId w:val="788"/>
        </w:numPr>
        <w:tabs>
          <w:tab w:pos="1919" w:val="left" w:leader="none"/>
        </w:tabs>
        <w:spacing w:line="240" w:lineRule="auto" w:before="120" w:after="0"/>
        <w:ind w:left="1918" w:right="0" w:hanging="567"/>
        <w:jc w:val="both"/>
        <w:rPr>
          <w:sz w:val="24"/>
        </w:rPr>
      </w:pPr>
      <w:r>
        <w:rPr>
          <w:sz w:val="24"/>
        </w:rPr>
        <w:t>that occurred during the </w:t>
      </w:r>
      <w:r>
        <w:rPr>
          <w:i/>
          <w:sz w:val="24"/>
        </w:rPr>
        <w:t>2014-19 NT regulatory control period;</w:t>
      </w:r>
      <w:r>
        <w:rPr>
          <w:i/>
          <w:spacing w:val="-5"/>
          <w:sz w:val="24"/>
        </w:rPr>
        <w:t> </w:t>
      </w:r>
      <w:r>
        <w:rPr>
          <w:sz w:val="24"/>
        </w:rPr>
        <w:t>and</w:t>
      </w:r>
    </w:p>
    <w:p>
      <w:pPr>
        <w:spacing w:after="0" w:line="240" w:lineRule="auto"/>
        <w:jc w:val="both"/>
        <w:rPr>
          <w:sz w:val="24"/>
        </w:rPr>
        <w:sectPr>
          <w:type w:val="continuous"/>
          <w:pgSz w:w="11910" w:h="16840"/>
          <w:pgMar w:top="1360" w:bottom="280" w:left="1200" w:right="1000"/>
        </w:sectPr>
      </w:pPr>
    </w:p>
    <w:p>
      <w:pPr>
        <w:pStyle w:val="ListParagraph"/>
        <w:numPr>
          <w:ilvl w:val="0"/>
          <w:numId w:val="788"/>
        </w:numPr>
        <w:tabs>
          <w:tab w:pos="1919" w:val="left" w:leader="none"/>
        </w:tabs>
        <w:spacing w:line="240" w:lineRule="auto" w:before="83" w:after="0"/>
        <w:ind w:left="1918" w:right="0" w:hanging="567"/>
        <w:jc w:val="both"/>
        <w:rPr>
          <w:sz w:val="24"/>
        </w:rPr>
      </w:pPr>
      <w:r>
        <w:rPr>
          <w:sz w:val="24"/>
        </w:rPr>
        <w:t>in relation to which, on or before 30 June 2019,</w:t>
      </w:r>
      <w:r>
        <w:rPr>
          <w:spacing w:val="-3"/>
          <w:sz w:val="24"/>
        </w:rPr>
        <w:t> </w:t>
      </w:r>
      <w:r>
        <w:rPr>
          <w:sz w:val="24"/>
        </w:rPr>
        <w:t>either:</w:t>
      </w:r>
    </w:p>
    <w:p>
      <w:pPr>
        <w:pStyle w:val="ListParagraph"/>
        <w:numPr>
          <w:ilvl w:val="1"/>
          <w:numId w:val="788"/>
        </w:numPr>
        <w:tabs>
          <w:tab w:pos="2486" w:val="left" w:leader="none"/>
        </w:tabs>
        <w:spacing w:line="240" w:lineRule="auto" w:before="120" w:after="0"/>
        <w:ind w:left="2486" w:right="416" w:hanging="567"/>
        <w:jc w:val="both"/>
        <w:rPr>
          <w:sz w:val="24"/>
        </w:rPr>
      </w:pPr>
      <w:r>
        <w:rPr>
          <w:sz w:val="24"/>
        </w:rPr>
        <w:t>a statement had not been submitted under clause 3.1.2 of Part B of the </w:t>
      </w:r>
      <w:r>
        <w:rPr>
          <w:i/>
          <w:sz w:val="24"/>
        </w:rPr>
        <w:t>2014 NT Network Price Determination </w:t>
      </w:r>
      <w:r>
        <w:rPr>
          <w:sz w:val="24"/>
        </w:rPr>
        <w:t>and the time fixed for submitting it had not expired;</w:t>
      </w:r>
      <w:r>
        <w:rPr>
          <w:spacing w:val="-1"/>
          <w:sz w:val="24"/>
        </w:rPr>
        <w:t> </w:t>
      </w:r>
      <w:r>
        <w:rPr>
          <w:sz w:val="24"/>
        </w:rPr>
        <w:t>or</w:t>
      </w:r>
    </w:p>
    <w:p>
      <w:pPr>
        <w:pStyle w:val="ListParagraph"/>
        <w:numPr>
          <w:ilvl w:val="1"/>
          <w:numId w:val="788"/>
        </w:numPr>
        <w:tabs>
          <w:tab w:pos="2486" w:val="left" w:leader="none"/>
        </w:tabs>
        <w:spacing w:line="240" w:lineRule="auto" w:before="120" w:after="0"/>
        <w:ind w:left="2486" w:right="415" w:hanging="567"/>
        <w:jc w:val="both"/>
        <w:rPr>
          <w:sz w:val="24"/>
        </w:rPr>
      </w:pPr>
      <w:r>
        <w:rPr>
          <w:sz w:val="24"/>
        </w:rPr>
        <w:t>a statement had been submitted under clause 3.1.2 of Part B of the </w:t>
      </w:r>
      <w:r>
        <w:rPr>
          <w:i/>
          <w:sz w:val="24"/>
        </w:rPr>
        <w:t>2014 NT Network Price Determination </w:t>
      </w:r>
      <w:r>
        <w:rPr>
          <w:sz w:val="24"/>
        </w:rPr>
        <w:t>but a determination had not been made under clause 3.1.3(a) of Part B of the Determination and the time for making it had not</w:t>
      </w:r>
      <w:r>
        <w:rPr>
          <w:spacing w:val="-2"/>
          <w:sz w:val="24"/>
        </w:rPr>
        <w:t> </w:t>
      </w:r>
      <w:r>
        <w:rPr>
          <w:sz w:val="24"/>
        </w:rPr>
        <w:t>expired.</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This definition expires on 1 July 2024.</w:t>
      </w:r>
    </w:p>
    <w:p>
      <w:pPr>
        <w:pStyle w:val="Heading5"/>
        <w:rPr>
          <w:i/>
        </w:rPr>
      </w:pPr>
      <w:r>
        <w:rPr>
          <w:i/>
        </w:rPr>
        <w:t>off-loading price</w:t>
      </w:r>
    </w:p>
    <w:p>
      <w:pPr>
        <w:spacing w:before="120"/>
        <w:ind w:left="1352" w:right="415" w:firstLine="0"/>
        <w:jc w:val="both"/>
        <w:rPr>
          <w:sz w:val="24"/>
        </w:rPr>
      </w:pPr>
      <w:r>
        <w:rPr>
          <w:sz w:val="24"/>
        </w:rPr>
        <w:t>The price specified for a </w:t>
      </w:r>
      <w:r>
        <w:rPr>
          <w:i/>
          <w:sz w:val="24"/>
        </w:rPr>
        <w:t>price band </w:t>
      </w:r>
      <w:r>
        <w:rPr>
          <w:sz w:val="24"/>
        </w:rPr>
        <w:t>and a </w:t>
      </w:r>
      <w:r>
        <w:rPr>
          <w:i/>
          <w:sz w:val="24"/>
        </w:rPr>
        <w:t>trading interval </w:t>
      </w:r>
      <w:r>
        <w:rPr>
          <w:sz w:val="24"/>
        </w:rPr>
        <w:t>in a </w:t>
      </w:r>
      <w:r>
        <w:rPr>
          <w:i/>
          <w:sz w:val="24"/>
        </w:rPr>
        <w:t>dispatch offer</w:t>
      </w:r>
      <w:r>
        <w:rPr>
          <w:sz w:val="24"/>
        </w:rPr>
        <w:t>, in accordance with clause 3.8.6, for the </w:t>
      </w:r>
      <w:r>
        <w:rPr>
          <w:i/>
          <w:sz w:val="24"/>
        </w:rPr>
        <w:t>off-loading </w:t>
      </w:r>
      <w:r>
        <w:rPr>
          <w:sz w:val="24"/>
        </w:rPr>
        <w:t>of a </w:t>
      </w:r>
      <w:r>
        <w:rPr>
          <w:i/>
          <w:sz w:val="24"/>
        </w:rPr>
        <w:t>scheduled generating unit </w:t>
      </w:r>
      <w:r>
        <w:rPr>
          <w:sz w:val="24"/>
        </w:rPr>
        <w:t>below its </w:t>
      </w:r>
      <w:r>
        <w:rPr>
          <w:i/>
          <w:sz w:val="24"/>
        </w:rPr>
        <w:t>self-dispatch level</w:t>
      </w:r>
      <w:r>
        <w:rPr>
          <w:sz w:val="24"/>
        </w:rPr>
        <w:t>.</w:t>
      </w:r>
    </w:p>
    <w:p>
      <w:pPr>
        <w:pStyle w:val="Heading5"/>
        <w:rPr>
          <w:i/>
        </w:rPr>
      </w:pPr>
      <w:r>
        <w:rPr>
          <w:i/>
        </w:rPr>
        <w:t>off-loading price band</w:t>
      </w:r>
    </w:p>
    <w:p>
      <w:pPr>
        <w:spacing w:before="120"/>
        <w:ind w:left="1352" w:right="416" w:firstLine="0"/>
        <w:jc w:val="both"/>
        <w:rPr>
          <w:sz w:val="24"/>
        </w:rPr>
      </w:pPr>
      <w:r>
        <w:rPr>
          <w:sz w:val="24"/>
        </w:rPr>
        <w:t>A </w:t>
      </w:r>
      <w:r>
        <w:rPr>
          <w:i/>
          <w:sz w:val="24"/>
        </w:rPr>
        <w:t>price band </w:t>
      </w:r>
      <w:r>
        <w:rPr>
          <w:sz w:val="24"/>
        </w:rPr>
        <w:t>submitted for </w:t>
      </w:r>
      <w:r>
        <w:rPr>
          <w:i/>
          <w:sz w:val="24"/>
        </w:rPr>
        <w:t>off-loading </w:t>
      </w:r>
      <w:r>
        <w:rPr>
          <w:sz w:val="24"/>
        </w:rPr>
        <w:t>below a </w:t>
      </w:r>
      <w:r>
        <w:rPr>
          <w:i/>
          <w:sz w:val="24"/>
        </w:rPr>
        <w:t>self-dispatch level </w:t>
      </w:r>
      <w:r>
        <w:rPr>
          <w:sz w:val="24"/>
        </w:rPr>
        <w:t>for a </w:t>
      </w:r>
      <w:r>
        <w:rPr>
          <w:i/>
          <w:sz w:val="24"/>
        </w:rPr>
        <w:t>trading </w:t>
      </w:r>
      <w:r>
        <w:rPr>
          <w:i/>
          <w:sz w:val="24"/>
        </w:rPr>
        <w:t>interval </w:t>
      </w:r>
      <w:r>
        <w:rPr>
          <w:sz w:val="24"/>
        </w:rPr>
        <w:t>in a </w:t>
      </w:r>
      <w:r>
        <w:rPr>
          <w:i/>
          <w:sz w:val="24"/>
        </w:rPr>
        <w:t>dispatch offer</w:t>
      </w:r>
      <w:r>
        <w:rPr>
          <w:sz w:val="24"/>
        </w:rPr>
        <w:t>.</w:t>
      </w:r>
    </w:p>
    <w:p>
      <w:pPr>
        <w:pStyle w:val="Heading5"/>
        <w:rPr>
          <w:i/>
        </w:rPr>
      </w:pPr>
      <w:r>
        <w:rPr>
          <w:i/>
        </w:rPr>
        <w:t>off-loading, off-load</w:t>
      </w:r>
    </w:p>
    <w:p>
      <w:pPr>
        <w:pStyle w:val="BodyText"/>
        <w:ind w:left="1352" w:firstLine="0"/>
      </w:pPr>
      <w:r>
        <w:rPr/>
        <w:t>The reduction in electricity output or consumption.</w:t>
      </w:r>
    </w:p>
    <w:p>
      <w:pPr>
        <w:pStyle w:val="Heading5"/>
        <w:rPr>
          <w:i/>
        </w:rPr>
      </w:pPr>
      <w:r>
        <w:rPr>
          <w:i/>
        </w:rPr>
        <w:t>operating expenditure criteria</w:t>
      </w:r>
    </w:p>
    <w:p>
      <w:pPr>
        <w:spacing w:before="120"/>
        <w:ind w:left="1352" w:right="415" w:firstLine="0"/>
        <w:jc w:val="both"/>
        <w:rPr>
          <w:sz w:val="24"/>
        </w:rPr>
      </w:pPr>
      <w:r>
        <w:rPr>
          <w:sz w:val="24"/>
        </w:rPr>
        <w:t>For a </w:t>
      </w:r>
      <w:r>
        <w:rPr>
          <w:i/>
          <w:sz w:val="24"/>
        </w:rPr>
        <w:t>Transmission Network Service Provider </w:t>
      </w:r>
      <w:r>
        <w:rPr>
          <w:sz w:val="24"/>
        </w:rPr>
        <w:t>– the matters listed in clause 6A.6.6(c)(1)–(3).</w:t>
      </w:r>
    </w:p>
    <w:p>
      <w:pPr>
        <w:spacing w:before="120"/>
        <w:ind w:left="1352" w:right="415" w:firstLine="0"/>
        <w:jc w:val="both"/>
        <w:rPr>
          <w:sz w:val="24"/>
        </w:rPr>
      </w:pPr>
      <w:r>
        <w:rPr>
          <w:sz w:val="24"/>
        </w:rPr>
        <w:t>For a </w:t>
      </w:r>
      <w:r>
        <w:rPr>
          <w:i/>
          <w:sz w:val="24"/>
        </w:rPr>
        <w:t>Distribution Network Service Provider </w:t>
      </w:r>
      <w:r>
        <w:rPr>
          <w:sz w:val="24"/>
        </w:rPr>
        <w:t>– the matters listed in clause 6.5.6(c)(1)–(3).</w:t>
      </w:r>
    </w:p>
    <w:p>
      <w:pPr>
        <w:pStyle w:val="Heading5"/>
        <w:rPr>
          <w:i/>
        </w:rPr>
      </w:pPr>
      <w:r>
        <w:rPr>
          <w:i/>
        </w:rPr>
        <w:t>operating expenditure factors</w:t>
      </w:r>
    </w:p>
    <w:p>
      <w:pPr>
        <w:spacing w:before="120"/>
        <w:ind w:left="1352" w:right="415" w:firstLine="0"/>
        <w:jc w:val="both"/>
        <w:rPr>
          <w:sz w:val="24"/>
        </w:rPr>
      </w:pPr>
      <w:r>
        <w:rPr>
          <w:sz w:val="24"/>
        </w:rPr>
        <w:t>For a </w:t>
      </w:r>
      <w:r>
        <w:rPr>
          <w:i/>
          <w:sz w:val="24"/>
        </w:rPr>
        <w:t>Transmission Network Service Provider </w:t>
      </w:r>
      <w:r>
        <w:rPr>
          <w:sz w:val="24"/>
        </w:rPr>
        <w:t>- the factors listed in clause 6A.6.6(e)(1)-(14).</w:t>
      </w:r>
    </w:p>
    <w:p>
      <w:pPr>
        <w:spacing w:before="120"/>
        <w:ind w:left="1352" w:right="415" w:firstLine="0"/>
        <w:jc w:val="both"/>
        <w:rPr>
          <w:sz w:val="24"/>
        </w:rPr>
      </w:pPr>
      <w:r>
        <w:rPr>
          <w:sz w:val="24"/>
        </w:rPr>
        <w:t>For a </w:t>
      </w:r>
      <w:r>
        <w:rPr>
          <w:i/>
          <w:sz w:val="24"/>
        </w:rPr>
        <w:t>Distribution Network Service Provider </w:t>
      </w:r>
      <w:r>
        <w:rPr>
          <w:sz w:val="24"/>
        </w:rPr>
        <w:t>- the factors listed in clause 6.5.6(e)(1)-(12).</w:t>
      </w:r>
    </w:p>
    <w:p>
      <w:pPr>
        <w:pStyle w:val="Heading5"/>
        <w:rPr>
          <w:i/>
        </w:rPr>
      </w:pPr>
      <w:r>
        <w:rPr>
          <w:i/>
        </w:rPr>
        <w:t>operating expenditure objectives</w:t>
      </w:r>
    </w:p>
    <w:p>
      <w:pPr>
        <w:spacing w:before="120"/>
        <w:ind w:left="1352" w:right="416" w:firstLine="0"/>
        <w:jc w:val="both"/>
        <w:rPr>
          <w:sz w:val="24"/>
        </w:rPr>
      </w:pPr>
      <w:r>
        <w:rPr>
          <w:sz w:val="24"/>
        </w:rPr>
        <w:t>For a </w:t>
      </w:r>
      <w:r>
        <w:rPr>
          <w:i/>
          <w:sz w:val="24"/>
        </w:rPr>
        <w:t>Transmission Network Service Provider </w:t>
      </w:r>
      <w:r>
        <w:rPr>
          <w:sz w:val="24"/>
        </w:rPr>
        <w:t>– the objectives set out in clause 6A.6.6(a).</w:t>
      </w:r>
    </w:p>
    <w:p>
      <w:pPr>
        <w:spacing w:before="120"/>
        <w:ind w:left="1352" w:right="417" w:firstLine="0"/>
        <w:jc w:val="both"/>
        <w:rPr>
          <w:sz w:val="24"/>
        </w:rPr>
      </w:pPr>
      <w:r>
        <w:rPr>
          <w:sz w:val="24"/>
        </w:rPr>
        <w:t>For a </w:t>
      </w:r>
      <w:r>
        <w:rPr>
          <w:i/>
          <w:sz w:val="24"/>
        </w:rPr>
        <w:t>Distribution Network Service Provider </w:t>
      </w:r>
      <w:r>
        <w:rPr>
          <w:sz w:val="24"/>
        </w:rPr>
        <w:t>– the objectives set out in clause 6.5.6(a).</w:t>
      </w:r>
    </w:p>
    <w:p>
      <w:pPr>
        <w:pStyle w:val="Heading5"/>
        <w:rPr>
          <w:i/>
        </w:rPr>
      </w:pPr>
      <w:r>
        <w:rPr>
          <w:i/>
        </w:rPr>
        <w:t>operational communication</w:t>
      </w:r>
    </w:p>
    <w:p>
      <w:pPr>
        <w:pStyle w:val="BodyText"/>
        <w:ind w:left="1352" w:firstLine="0"/>
      </w:pPr>
      <w:r>
        <w:rPr/>
        <w:t>A communication concerning the arrangements for, or actual operation of, the</w:t>
      </w:r>
    </w:p>
    <w:p>
      <w:pPr>
        <w:spacing w:before="0"/>
        <w:ind w:left="1352" w:right="0" w:firstLine="0"/>
        <w:jc w:val="both"/>
        <w:rPr>
          <w:sz w:val="24"/>
        </w:rPr>
      </w:pPr>
      <w:r>
        <w:rPr>
          <w:i/>
          <w:sz w:val="24"/>
        </w:rPr>
        <w:t>power system </w:t>
      </w:r>
      <w:r>
        <w:rPr>
          <w:sz w:val="24"/>
        </w:rPr>
        <w:t>in accordance with the </w:t>
      </w:r>
      <w:r>
        <w:rPr>
          <w:i/>
          <w:sz w:val="24"/>
        </w:rPr>
        <w:t>Rules</w:t>
      </w:r>
      <w:r>
        <w:rPr>
          <w:sz w:val="24"/>
        </w:rPr>
        <w:t>.</w:t>
      </w:r>
    </w:p>
    <w:p>
      <w:pPr>
        <w:pStyle w:val="Heading5"/>
        <w:rPr>
          <w:i/>
        </w:rPr>
      </w:pPr>
      <w:r>
        <w:rPr>
          <w:i/>
        </w:rPr>
        <w:t>operational frequency tolerance band</w:t>
      </w:r>
    </w:p>
    <w:p>
      <w:pPr>
        <w:spacing w:before="120"/>
        <w:ind w:left="1352" w:right="415" w:firstLine="0"/>
        <w:jc w:val="both"/>
        <w:rPr>
          <w:sz w:val="24"/>
        </w:rPr>
      </w:pPr>
      <w:r>
        <w:rPr>
          <w:sz w:val="24"/>
        </w:rPr>
        <w:t>The range of </w:t>
      </w:r>
      <w:r>
        <w:rPr>
          <w:i/>
          <w:sz w:val="24"/>
        </w:rPr>
        <w:t>frequency </w:t>
      </w:r>
      <w:r>
        <w:rPr>
          <w:sz w:val="24"/>
        </w:rPr>
        <w:t>within which the </w:t>
      </w:r>
      <w:r>
        <w:rPr>
          <w:i/>
          <w:sz w:val="24"/>
        </w:rPr>
        <w:t>power system </w:t>
      </w:r>
      <w:r>
        <w:rPr>
          <w:sz w:val="24"/>
        </w:rPr>
        <w:t>is to be operated to cater for the occurrence of a </w:t>
      </w:r>
      <w:r>
        <w:rPr>
          <w:i/>
          <w:sz w:val="24"/>
        </w:rPr>
        <w:t>contingency event </w:t>
      </w:r>
      <w:r>
        <w:rPr>
          <w:sz w:val="24"/>
        </w:rPr>
        <w:t>as specified in the </w:t>
      </w:r>
      <w:r>
        <w:rPr>
          <w:i/>
          <w:sz w:val="24"/>
        </w:rPr>
        <w:t>power system security </w:t>
      </w:r>
      <w:r>
        <w:rPr>
          <w:i/>
          <w:sz w:val="24"/>
        </w:rPr>
        <w:t>standards</w:t>
      </w:r>
      <w:r>
        <w:rPr>
          <w:sz w:val="24"/>
        </w:rPr>
        <w:t>.</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ordinary majority</w:t>
      </w:r>
    </w:p>
    <w:p>
      <w:pPr>
        <w:pStyle w:val="BodyText"/>
        <w:ind w:left="1352" w:firstLine="0"/>
        <w:jc w:val="left"/>
      </w:pPr>
      <w:r>
        <w:rPr/>
        <w:t>At least 60% of the number of </w:t>
      </w:r>
      <w:r>
        <w:rPr>
          <w:i/>
        </w:rPr>
        <w:t>Members</w:t>
      </w:r>
      <w:r>
        <w:rPr/>
        <w:t>.</w:t>
      </w:r>
    </w:p>
    <w:p>
      <w:pPr>
        <w:pStyle w:val="Heading5"/>
        <w:jc w:val="left"/>
        <w:rPr>
          <w:i/>
        </w:rPr>
      </w:pPr>
      <w:r>
        <w:rPr>
          <w:i/>
        </w:rPr>
        <w:t>outage</w:t>
      </w:r>
    </w:p>
    <w:p>
      <w:pPr>
        <w:pStyle w:val="BodyText"/>
        <w:ind w:left="1352" w:firstLine="0"/>
        <w:jc w:val="left"/>
      </w:pPr>
      <w:r>
        <w:rPr/>
        <w:t>Any full or partial unavailability of equipment or </w:t>
      </w:r>
      <w:r>
        <w:rPr>
          <w:i/>
        </w:rPr>
        <w:t>facility</w:t>
      </w:r>
      <w:r>
        <w:rPr/>
        <w:t>.</w:t>
      </w:r>
    </w:p>
    <w:p>
      <w:pPr>
        <w:pStyle w:val="Heading5"/>
        <w:jc w:val="left"/>
        <w:rPr>
          <w:i/>
        </w:rPr>
      </w:pPr>
      <w:r>
        <w:rPr>
          <w:i/>
        </w:rPr>
        <w:t>outstandings</w:t>
      </w:r>
    </w:p>
    <w:p>
      <w:pPr>
        <w:pStyle w:val="BodyText"/>
        <w:ind w:left="1352" w:right="565" w:firstLine="0"/>
        <w:jc w:val="left"/>
      </w:pPr>
      <w:r>
        <w:rPr/>
        <w:t>In relation to a </w:t>
      </w:r>
      <w:r>
        <w:rPr>
          <w:i/>
        </w:rPr>
        <w:t>Market Participant</w:t>
      </w:r>
      <w:r>
        <w:rPr/>
        <w:t>, the dollar amount determined by the formula in clause</w:t>
      </w:r>
      <w:r>
        <w:rPr>
          <w:spacing w:val="-2"/>
        </w:rPr>
        <w:t> </w:t>
      </w:r>
      <w:r>
        <w:rPr/>
        <w:t>3.3.9.</w:t>
      </w:r>
    </w:p>
    <w:p>
      <w:pPr>
        <w:pStyle w:val="Heading5"/>
        <w:jc w:val="left"/>
        <w:rPr>
          <w:i/>
        </w:rPr>
      </w:pPr>
      <w:r>
        <w:rPr>
          <w:i/>
        </w:rPr>
        <w:t>over frequency scheme</w:t>
      </w:r>
    </w:p>
    <w:p>
      <w:pPr>
        <w:spacing w:before="120"/>
        <w:ind w:left="1352" w:right="0" w:firstLine="0"/>
        <w:jc w:val="left"/>
        <w:rPr>
          <w:sz w:val="24"/>
        </w:rPr>
      </w:pPr>
      <w:r>
        <w:rPr>
          <w:sz w:val="24"/>
        </w:rPr>
        <w:t>An </w:t>
      </w:r>
      <w:r>
        <w:rPr>
          <w:i/>
          <w:sz w:val="24"/>
        </w:rPr>
        <w:t>emergency frequency control scheme </w:t>
      </w:r>
      <w:r>
        <w:rPr>
          <w:sz w:val="24"/>
        </w:rPr>
        <w:t>with capability to respond when</w:t>
      </w:r>
    </w:p>
    <w:p>
      <w:pPr>
        <w:spacing w:before="0"/>
        <w:ind w:left="1352" w:right="0" w:firstLine="0"/>
        <w:jc w:val="left"/>
        <w:rPr>
          <w:sz w:val="24"/>
        </w:rPr>
      </w:pPr>
      <w:r>
        <w:rPr>
          <w:i/>
          <w:sz w:val="24"/>
        </w:rPr>
        <w:t>frequency </w:t>
      </w:r>
      <w:r>
        <w:rPr>
          <w:sz w:val="24"/>
        </w:rPr>
        <w:t>is above or climbing above the </w:t>
      </w:r>
      <w:r>
        <w:rPr>
          <w:i/>
          <w:sz w:val="24"/>
        </w:rPr>
        <w:t>normal operating frequency band</w:t>
      </w:r>
      <w:r>
        <w:rPr>
          <w:sz w:val="24"/>
        </w:rPr>
        <w:t>.</w:t>
      </w:r>
    </w:p>
    <w:p>
      <w:pPr>
        <w:pStyle w:val="Heading5"/>
        <w:jc w:val="left"/>
        <w:rPr>
          <w:i/>
        </w:rPr>
      </w:pPr>
      <w:r>
        <w:rPr>
          <w:i/>
        </w:rPr>
        <w:t>over-recovery amount</w:t>
      </w:r>
    </w:p>
    <w:p>
      <w:pPr>
        <w:spacing w:before="120"/>
        <w:ind w:left="1352" w:right="415" w:firstLine="0"/>
        <w:jc w:val="both"/>
        <w:rPr>
          <w:sz w:val="24"/>
        </w:rPr>
      </w:pPr>
      <w:r>
        <w:rPr>
          <w:sz w:val="24"/>
        </w:rPr>
        <w:t>Any amount by which the revenue earned from the provision of </w:t>
      </w:r>
      <w:r>
        <w:rPr>
          <w:i/>
          <w:sz w:val="24"/>
        </w:rPr>
        <w:t>prescribed </w:t>
      </w:r>
      <w:r>
        <w:rPr>
          <w:i/>
          <w:sz w:val="24"/>
        </w:rPr>
        <w:t>transmission services </w:t>
      </w:r>
      <w:r>
        <w:rPr>
          <w:sz w:val="24"/>
        </w:rPr>
        <w:t>in previous </w:t>
      </w:r>
      <w:r>
        <w:rPr>
          <w:i/>
          <w:sz w:val="24"/>
        </w:rPr>
        <w:t>regulatory years </w:t>
      </w:r>
      <w:r>
        <w:rPr>
          <w:sz w:val="24"/>
        </w:rPr>
        <w:t>exceeds the sum of the </w:t>
      </w:r>
      <w:r>
        <w:rPr>
          <w:i/>
          <w:sz w:val="24"/>
        </w:rPr>
        <w:t>AARR </w:t>
      </w:r>
      <w:r>
        <w:rPr>
          <w:sz w:val="24"/>
        </w:rPr>
        <w:t>in those </w:t>
      </w:r>
      <w:r>
        <w:rPr>
          <w:i/>
          <w:sz w:val="24"/>
        </w:rPr>
        <w:t>regulatory</w:t>
      </w:r>
      <w:r>
        <w:rPr>
          <w:i/>
          <w:spacing w:val="-1"/>
          <w:sz w:val="24"/>
        </w:rPr>
        <w:t> </w:t>
      </w:r>
      <w:r>
        <w:rPr>
          <w:i/>
          <w:sz w:val="24"/>
        </w:rPr>
        <w:t>years</w:t>
      </w:r>
      <w:r>
        <w:rPr>
          <w:sz w:val="24"/>
        </w:rPr>
        <w:t>.</w:t>
      </w:r>
    </w:p>
    <w:p>
      <w:pPr>
        <w:pStyle w:val="Heading5"/>
        <w:rPr>
          <w:i/>
        </w:rPr>
      </w:pPr>
      <w:r>
        <w:rPr>
          <w:i/>
        </w:rPr>
        <w:t>overspending requirement</w:t>
      </w:r>
    </w:p>
    <w:p>
      <w:pPr>
        <w:pStyle w:val="BodyText"/>
        <w:ind w:left="1352" w:right="416" w:firstLine="0"/>
      </w:pPr>
      <w:r>
        <w:rPr/>
        <w:t>The requirement set out in clause S6.2.2A(c) or clause S6A.2.2A(c), as the case may be.</w:t>
      </w:r>
    </w:p>
    <w:p>
      <w:pPr>
        <w:pStyle w:val="Heading5"/>
        <w:rPr>
          <w:i/>
        </w:rPr>
      </w:pPr>
      <w:r>
        <w:rPr>
          <w:i/>
        </w:rPr>
        <w:t>parent connection point</w:t>
      </w:r>
    </w:p>
    <w:p>
      <w:pPr>
        <w:spacing w:before="120"/>
        <w:ind w:left="1352" w:right="415" w:firstLine="0"/>
        <w:jc w:val="both"/>
        <w:rPr>
          <w:sz w:val="24"/>
        </w:rPr>
      </w:pPr>
      <w:r>
        <w:rPr>
          <w:sz w:val="24"/>
        </w:rPr>
        <w:t>The </w:t>
      </w:r>
      <w:r>
        <w:rPr>
          <w:i/>
          <w:sz w:val="24"/>
        </w:rPr>
        <w:t>connection point </w:t>
      </w:r>
      <w:r>
        <w:rPr>
          <w:sz w:val="24"/>
        </w:rPr>
        <w:t>between an </w:t>
      </w:r>
      <w:r>
        <w:rPr>
          <w:i/>
          <w:sz w:val="24"/>
        </w:rPr>
        <w:t>embedded network </w:t>
      </w:r>
      <w:r>
        <w:rPr>
          <w:sz w:val="24"/>
        </w:rPr>
        <w:t>and a </w:t>
      </w:r>
      <w:r>
        <w:rPr>
          <w:i/>
          <w:sz w:val="24"/>
        </w:rPr>
        <w:t>Network Service </w:t>
      </w:r>
      <w:r>
        <w:rPr>
          <w:i/>
          <w:sz w:val="24"/>
        </w:rPr>
        <w:t>Provider's network</w:t>
      </w:r>
      <w:r>
        <w:rPr>
          <w:sz w:val="24"/>
        </w:rPr>
        <w:t>.</w:t>
      </w:r>
    </w:p>
    <w:p>
      <w:pPr>
        <w:pStyle w:val="Heading5"/>
        <w:rPr>
          <w:i/>
        </w:rPr>
      </w:pPr>
      <w:r>
        <w:rPr>
          <w:i/>
        </w:rPr>
        <w:t>Participant compensation fund</w:t>
      </w:r>
    </w:p>
    <w:p>
      <w:pPr>
        <w:pStyle w:val="BodyText"/>
        <w:ind w:left="1352" w:firstLine="0"/>
      </w:pPr>
      <w:r>
        <w:rPr/>
        <w:t>The fund of that name referred to in clause 3.16.</w:t>
      </w:r>
    </w:p>
    <w:p>
      <w:pPr>
        <w:pStyle w:val="Heading5"/>
        <w:rPr>
          <w:i/>
        </w:rPr>
      </w:pPr>
      <w:r>
        <w:rPr>
          <w:i/>
        </w:rPr>
        <w:t>participant derogation</w:t>
      </w:r>
    </w:p>
    <w:p>
      <w:pPr>
        <w:spacing w:before="120"/>
        <w:ind w:left="1352" w:right="416" w:firstLine="0"/>
        <w:jc w:val="both"/>
        <w:rPr>
          <w:sz w:val="24"/>
        </w:rPr>
      </w:pPr>
      <w:r>
        <w:rPr>
          <w:sz w:val="24"/>
        </w:rPr>
        <w:t>Has the meaning given in the </w:t>
      </w:r>
      <w:r>
        <w:rPr>
          <w:i/>
          <w:sz w:val="24"/>
        </w:rPr>
        <w:t>National Electricity Law</w:t>
      </w:r>
      <w:r>
        <w:rPr>
          <w:sz w:val="24"/>
        </w:rPr>
        <w:t>. The participant derogations are included in Chapter</w:t>
      </w:r>
      <w:r>
        <w:rPr>
          <w:spacing w:val="-2"/>
          <w:sz w:val="24"/>
        </w:rPr>
        <w:t> </w:t>
      </w:r>
      <w:r>
        <w:rPr>
          <w:sz w:val="24"/>
        </w:rPr>
        <w:t>8A.</w:t>
      </w:r>
    </w:p>
    <w:p>
      <w:pPr>
        <w:pStyle w:val="Heading5"/>
        <w:rPr>
          <w:i/>
        </w:rPr>
      </w:pPr>
      <w:r>
        <w:rPr>
          <w:i/>
        </w:rPr>
        <w:t>Participant fees</w:t>
      </w:r>
    </w:p>
    <w:p>
      <w:pPr>
        <w:spacing w:before="120"/>
        <w:ind w:left="1352" w:right="0" w:firstLine="0"/>
        <w:jc w:val="both"/>
        <w:rPr>
          <w:sz w:val="24"/>
        </w:rPr>
      </w:pPr>
      <w:r>
        <w:rPr>
          <w:sz w:val="24"/>
        </w:rPr>
        <w:t>The fees payable by </w:t>
      </w:r>
      <w:r>
        <w:rPr>
          <w:i/>
          <w:sz w:val="24"/>
        </w:rPr>
        <w:t>Registered Participants </w:t>
      </w:r>
      <w:r>
        <w:rPr>
          <w:sz w:val="24"/>
        </w:rPr>
        <w:t>described in clause 2.11.</w:t>
      </w:r>
    </w:p>
    <w:p>
      <w:pPr>
        <w:pStyle w:val="Heading5"/>
        <w:rPr>
          <w:i/>
        </w:rPr>
      </w:pPr>
      <w:r>
        <w:rPr>
          <w:i/>
        </w:rPr>
        <w:t>participating jurisdiction</w:t>
      </w:r>
    </w:p>
    <w:p>
      <w:pPr>
        <w:spacing w:before="120"/>
        <w:ind w:left="1352" w:right="415" w:firstLine="0"/>
        <w:jc w:val="both"/>
        <w:rPr>
          <w:sz w:val="24"/>
        </w:rPr>
      </w:pPr>
      <w:r>
        <w:rPr>
          <w:sz w:val="24"/>
        </w:rPr>
        <w:t>A jurisdiction that is a "participating jurisdiction" under the </w:t>
      </w:r>
      <w:r>
        <w:rPr>
          <w:i/>
          <w:sz w:val="24"/>
        </w:rPr>
        <w:t>National Electricity </w:t>
      </w:r>
      <w:r>
        <w:rPr>
          <w:i/>
          <w:sz w:val="24"/>
        </w:rPr>
        <w:t>Law</w:t>
      </w:r>
      <w:r>
        <w:rPr>
          <w:sz w:val="24"/>
        </w:rPr>
        <w:t>.</w:t>
      </w:r>
    </w:p>
    <w:p>
      <w:pPr>
        <w:pStyle w:val="Heading5"/>
        <w:rPr>
          <w:i/>
        </w:rPr>
      </w:pPr>
      <w:r>
        <w:rPr>
          <w:i/>
        </w:rPr>
        <w:t>PASA availability</w:t>
      </w:r>
    </w:p>
    <w:p>
      <w:pPr>
        <w:spacing w:before="120"/>
        <w:ind w:left="1352" w:right="414" w:firstLine="0"/>
        <w:jc w:val="both"/>
        <w:rPr>
          <w:sz w:val="24"/>
        </w:rPr>
      </w:pPr>
      <w:r>
        <w:rPr>
          <w:sz w:val="24"/>
        </w:rPr>
        <w:t>The </w:t>
      </w:r>
      <w:r>
        <w:rPr>
          <w:i/>
          <w:sz w:val="24"/>
        </w:rPr>
        <w:t>physical plant capability </w:t>
      </w:r>
      <w:r>
        <w:rPr>
          <w:sz w:val="24"/>
        </w:rPr>
        <w:t>(taking ambient weather conditions into account in the manner described in the procedure prepared under clause 3.7.2(g)) of a </w:t>
      </w:r>
      <w:r>
        <w:rPr>
          <w:i/>
          <w:sz w:val="24"/>
        </w:rPr>
        <w:t>scheduled generating unit</w:t>
      </w:r>
      <w:r>
        <w:rPr>
          <w:sz w:val="24"/>
        </w:rPr>
        <w:t>, </w:t>
      </w:r>
      <w:r>
        <w:rPr>
          <w:i/>
          <w:sz w:val="24"/>
        </w:rPr>
        <w:t>scheduled load </w:t>
      </w:r>
      <w:r>
        <w:rPr>
          <w:sz w:val="24"/>
        </w:rPr>
        <w:t>or </w:t>
      </w:r>
      <w:r>
        <w:rPr>
          <w:i/>
          <w:sz w:val="24"/>
        </w:rPr>
        <w:t>scheduled network service </w:t>
      </w:r>
      <w:r>
        <w:rPr>
          <w:sz w:val="24"/>
        </w:rPr>
        <w:t>available in a particular period, including any </w:t>
      </w:r>
      <w:r>
        <w:rPr>
          <w:i/>
          <w:sz w:val="24"/>
        </w:rPr>
        <w:t>physical plant capability </w:t>
      </w:r>
      <w:r>
        <w:rPr>
          <w:sz w:val="24"/>
        </w:rPr>
        <w:t>that can be made available during that period, on 24 hours' notice.</w:t>
      </w:r>
    </w:p>
    <w:p>
      <w:pPr>
        <w:pStyle w:val="Heading5"/>
        <w:rPr>
          <w:i/>
        </w:rPr>
      </w:pPr>
      <w:r>
        <w:rPr>
          <w:i/>
        </w:rPr>
        <w:t>pass through event</w:t>
      </w:r>
    </w:p>
    <w:p>
      <w:pPr>
        <w:pStyle w:val="BodyText"/>
        <w:ind w:left="1352" w:firstLine="0"/>
      </w:pPr>
      <w:r>
        <w:rPr/>
        <w:t>For a distribution determination - the events specified in clause 6.6.1(a1)</w:t>
      </w:r>
    </w:p>
    <w:p>
      <w:pPr>
        <w:spacing w:before="120"/>
        <w:ind w:left="1352" w:right="0" w:firstLine="0"/>
        <w:jc w:val="both"/>
        <w:rPr>
          <w:sz w:val="24"/>
        </w:rPr>
      </w:pPr>
      <w:r>
        <w:rPr>
          <w:sz w:val="24"/>
        </w:rPr>
        <w:t>For a </w:t>
      </w:r>
      <w:r>
        <w:rPr>
          <w:i/>
          <w:sz w:val="24"/>
        </w:rPr>
        <w:t>transmission determination </w:t>
      </w:r>
      <w:r>
        <w:rPr>
          <w:sz w:val="24"/>
        </w:rPr>
        <w:t>– the events specified in clause 6A.7.3(a1).</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payment date</w:t>
      </w:r>
    </w:p>
    <w:p>
      <w:pPr>
        <w:spacing w:before="120"/>
        <w:ind w:left="1352" w:right="0" w:firstLine="0"/>
        <w:jc w:val="left"/>
        <w:rPr>
          <w:sz w:val="24"/>
        </w:rPr>
      </w:pPr>
      <w:r>
        <w:rPr>
          <w:sz w:val="24"/>
        </w:rPr>
        <w:t>The 20th </w:t>
      </w:r>
      <w:r>
        <w:rPr>
          <w:i/>
          <w:sz w:val="24"/>
        </w:rPr>
        <w:t>business day </w:t>
      </w:r>
      <w:r>
        <w:rPr>
          <w:sz w:val="24"/>
        </w:rPr>
        <w:t>after the end of a </w:t>
      </w:r>
      <w:r>
        <w:rPr>
          <w:i/>
          <w:sz w:val="24"/>
        </w:rPr>
        <w:t>billing period</w:t>
      </w:r>
      <w:r>
        <w:rPr>
          <w:sz w:val="24"/>
        </w:rPr>
        <w:t>.</w:t>
      </w:r>
    </w:p>
    <w:p>
      <w:pPr>
        <w:pStyle w:val="Heading5"/>
        <w:jc w:val="left"/>
        <w:rPr>
          <w:i/>
        </w:rPr>
      </w:pPr>
      <w:r>
        <w:rPr>
          <w:i/>
        </w:rPr>
        <w:t>peak load</w:t>
      </w:r>
    </w:p>
    <w:p>
      <w:pPr>
        <w:spacing w:before="120"/>
        <w:ind w:left="1352" w:right="0" w:firstLine="0"/>
        <w:jc w:val="left"/>
        <w:rPr>
          <w:sz w:val="24"/>
        </w:rPr>
      </w:pPr>
      <w:r>
        <w:rPr>
          <w:sz w:val="24"/>
        </w:rPr>
        <w:t>Maximum </w:t>
      </w:r>
      <w:r>
        <w:rPr>
          <w:i/>
          <w:sz w:val="24"/>
        </w:rPr>
        <w:t>load</w:t>
      </w:r>
      <w:r>
        <w:rPr>
          <w:sz w:val="24"/>
        </w:rPr>
        <w:t>.</w:t>
      </w:r>
    </w:p>
    <w:p>
      <w:pPr>
        <w:pStyle w:val="Heading5"/>
        <w:jc w:val="left"/>
        <w:rPr>
          <w:i/>
        </w:rPr>
      </w:pPr>
      <w:r>
        <w:rPr>
          <w:i/>
        </w:rPr>
        <w:t>performance incentive scheme parameters</w:t>
      </w:r>
    </w:p>
    <w:p>
      <w:pPr>
        <w:spacing w:before="120"/>
        <w:ind w:left="1352" w:right="0" w:firstLine="0"/>
        <w:jc w:val="left"/>
        <w:rPr>
          <w:sz w:val="24"/>
        </w:rPr>
      </w:pPr>
      <w:r>
        <w:rPr>
          <w:sz w:val="24"/>
        </w:rPr>
        <w:t>For a </w:t>
      </w:r>
      <w:r>
        <w:rPr>
          <w:i/>
          <w:sz w:val="24"/>
        </w:rPr>
        <w:t>service target performance incentive scheme</w:t>
      </w:r>
      <w:r>
        <w:rPr>
          <w:sz w:val="24"/>
        </w:rPr>
        <w:t>, those parameters that are</w:t>
      </w:r>
    </w:p>
    <w:p>
      <w:pPr>
        <w:pStyle w:val="BodyText"/>
        <w:spacing w:before="0"/>
        <w:ind w:left="1352" w:firstLine="0"/>
        <w:jc w:val="left"/>
      </w:pPr>
      <w:r>
        <w:rPr>
          <w:i/>
        </w:rPr>
        <w:t>published </w:t>
      </w:r>
      <w:r>
        <w:rPr/>
        <w:t>by the </w:t>
      </w:r>
      <w:r>
        <w:rPr>
          <w:i/>
        </w:rPr>
        <w:t>AER </w:t>
      </w:r>
      <w:r>
        <w:rPr/>
        <w:t>in respect of that scheme pursuant to clause 6A.7.4(c).</w:t>
      </w:r>
    </w:p>
    <w:p>
      <w:pPr>
        <w:pStyle w:val="Heading5"/>
        <w:jc w:val="left"/>
        <w:rPr>
          <w:i/>
        </w:rPr>
      </w:pPr>
      <w:r>
        <w:rPr>
          <w:i/>
        </w:rPr>
        <w:t>performance standard</w:t>
      </w:r>
    </w:p>
    <w:p>
      <w:pPr>
        <w:pStyle w:val="BodyText"/>
        <w:ind w:left="1352" w:firstLine="0"/>
        <w:jc w:val="left"/>
      </w:pPr>
      <w:r>
        <w:rPr/>
        <w:t>A standard of performance</w:t>
      </w:r>
      <w:r>
        <w:rPr>
          <w:spacing w:val="-10"/>
        </w:rPr>
        <w:t> </w:t>
      </w:r>
      <w:r>
        <w:rPr/>
        <w:t>that:</w:t>
      </w:r>
    </w:p>
    <w:p>
      <w:pPr>
        <w:pStyle w:val="ListParagraph"/>
        <w:numPr>
          <w:ilvl w:val="0"/>
          <w:numId w:val="789"/>
        </w:numPr>
        <w:tabs>
          <w:tab w:pos="1918" w:val="left" w:leader="none"/>
          <w:tab w:pos="1919" w:val="left" w:leader="none"/>
        </w:tabs>
        <w:spacing w:line="240" w:lineRule="auto" w:before="120" w:after="0"/>
        <w:ind w:left="1919" w:right="414" w:hanging="567"/>
        <w:jc w:val="left"/>
        <w:rPr>
          <w:sz w:val="24"/>
        </w:rPr>
      </w:pPr>
      <w:r>
        <w:rPr>
          <w:sz w:val="24"/>
        </w:rPr>
        <w:t>is established as a result of it being taken to be an applicable performance standard in accordance with </w:t>
      </w:r>
      <w:r>
        <w:rPr>
          <w:i/>
          <w:sz w:val="24"/>
        </w:rPr>
        <w:t>jurisdictional electricity legislation</w:t>
      </w:r>
      <w:r>
        <w:rPr>
          <w:sz w:val="24"/>
        </w:rPr>
        <w:t>;</w:t>
      </w:r>
      <w:r>
        <w:rPr>
          <w:spacing w:val="-7"/>
          <w:sz w:val="24"/>
        </w:rPr>
        <w:t> </w:t>
      </w:r>
      <w:r>
        <w:rPr>
          <w:sz w:val="24"/>
        </w:rPr>
        <w:t>and</w:t>
      </w:r>
    </w:p>
    <w:p>
      <w:pPr>
        <w:pStyle w:val="ListParagraph"/>
        <w:numPr>
          <w:ilvl w:val="0"/>
          <w:numId w:val="789"/>
        </w:numPr>
        <w:tabs>
          <w:tab w:pos="1918" w:val="left" w:leader="none"/>
          <w:tab w:pos="1919" w:val="left" w:leader="none"/>
        </w:tabs>
        <w:spacing w:line="240" w:lineRule="auto" w:before="120" w:after="0"/>
        <w:ind w:left="1918" w:right="0" w:hanging="567"/>
        <w:jc w:val="left"/>
        <w:rPr>
          <w:sz w:val="24"/>
        </w:rPr>
      </w:pPr>
      <w:r>
        <w:rPr>
          <w:sz w:val="24"/>
        </w:rPr>
        <w:t>forms part of the terms and conditions of a </w:t>
      </w:r>
      <w:r>
        <w:rPr>
          <w:i/>
          <w:sz w:val="24"/>
        </w:rPr>
        <w:t>connection</w:t>
      </w:r>
      <w:r>
        <w:rPr>
          <w:i/>
          <w:spacing w:val="-3"/>
          <w:sz w:val="24"/>
        </w:rPr>
        <w:t> </w:t>
      </w:r>
      <w:r>
        <w:rPr>
          <w:i/>
          <w:sz w:val="24"/>
        </w:rPr>
        <w:t>agreement</w:t>
      </w:r>
      <w:r>
        <w:rPr>
          <w:sz w:val="24"/>
        </w:rPr>
        <w:t>.</w:t>
      </w:r>
    </w:p>
    <w:p>
      <w:pPr>
        <w:pStyle w:val="Heading5"/>
        <w:jc w:val="left"/>
        <w:rPr>
          <w:i/>
        </w:rPr>
      </w:pPr>
      <w:r>
        <w:rPr>
          <w:i/>
        </w:rPr>
        <w:t>performance standards commencement date</w:t>
      </w:r>
    </w:p>
    <w:p>
      <w:pPr>
        <w:pStyle w:val="BodyText"/>
        <w:ind w:left="1352" w:firstLine="0"/>
        <w:jc w:val="left"/>
      </w:pPr>
      <w:r>
        <w:rPr/>
        <w:t>For:</w:t>
      </w:r>
    </w:p>
    <w:p>
      <w:pPr>
        <w:pStyle w:val="ListParagraph"/>
        <w:numPr>
          <w:ilvl w:val="0"/>
          <w:numId w:val="790"/>
        </w:numPr>
        <w:tabs>
          <w:tab w:pos="1919" w:val="left" w:leader="none"/>
        </w:tabs>
        <w:spacing w:line="240" w:lineRule="auto" w:before="120" w:after="0"/>
        <w:ind w:left="1919" w:right="415" w:hanging="567"/>
        <w:jc w:val="both"/>
        <w:rPr>
          <w:sz w:val="24"/>
        </w:rPr>
      </w:pPr>
      <w:r>
        <w:rPr>
          <w:i/>
          <w:sz w:val="24"/>
        </w:rPr>
        <w:t>Generators</w:t>
      </w:r>
      <w:r>
        <w:rPr>
          <w:sz w:val="24"/>
        </w:rPr>
        <w:t>, </w:t>
      </w:r>
      <w:r>
        <w:rPr>
          <w:i/>
          <w:sz w:val="24"/>
        </w:rPr>
        <w:t>Customers </w:t>
      </w:r>
      <w:r>
        <w:rPr>
          <w:sz w:val="24"/>
        </w:rPr>
        <w:t>and </w:t>
      </w:r>
      <w:r>
        <w:rPr>
          <w:i/>
          <w:sz w:val="24"/>
        </w:rPr>
        <w:t>Network Service Providers </w:t>
      </w:r>
      <w:r>
        <w:rPr>
          <w:sz w:val="24"/>
        </w:rPr>
        <w:t>who plan, own, operate or control a </w:t>
      </w:r>
      <w:r>
        <w:rPr>
          <w:i/>
          <w:sz w:val="24"/>
        </w:rPr>
        <w:t>facility </w:t>
      </w:r>
      <w:r>
        <w:rPr>
          <w:sz w:val="24"/>
        </w:rPr>
        <w:t>located in a </w:t>
      </w:r>
      <w:r>
        <w:rPr>
          <w:i/>
          <w:sz w:val="24"/>
        </w:rPr>
        <w:t>participating jurisdiction </w:t>
      </w:r>
      <w:r>
        <w:rPr>
          <w:sz w:val="24"/>
        </w:rPr>
        <w:t>(other than Tasmania), the </w:t>
      </w:r>
      <w:r>
        <w:rPr>
          <w:i/>
          <w:sz w:val="24"/>
        </w:rPr>
        <w:t>performance standards commencement date </w:t>
      </w:r>
      <w:r>
        <w:rPr>
          <w:sz w:val="24"/>
        </w:rPr>
        <w:t>is, in relation to that </w:t>
      </w:r>
      <w:r>
        <w:rPr>
          <w:i/>
          <w:sz w:val="24"/>
        </w:rPr>
        <w:t>facility</w:t>
      </w:r>
      <w:r>
        <w:rPr>
          <w:sz w:val="24"/>
        </w:rPr>
        <w:t>, 16 November 2003;</w:t>
      </w:r>
      <w:r>
        <w:rPr>
          <w:spacing w:val="-1"/>
          <w:sz w:val="24"/>
        </w:rPr>
        <w:t> </w:t>
      </w:r>
      <w:r>
        <w:rPr>
          <w:sz w:val="24"/>
        </w:rPr>
        <w:t>and</w:t>
      </w:r>
    </w:p>
    <w:p>
      <w:pPr>
        <w:pStyle w:val="ListParagraph"/>
        <w:numPr>
          <w:ilvl w:val="0"/>
          <w:numId w:val="790"/>
        </w:numPr>
        <w:tabs>
          <w:tab w:pos="1919" w:val="left" w:leader="none"/>
        </w:tabs>
        <w:spacing w:line="240" w:lineRule="auto" w:before="120" w:after="0"/>
        <w:ind w:left="1919" w:right="414" w:hanging="567"/>
        <w:jc w:val="both"/>
        <w:rPr>
          <w:sz w:val="24"/>
        </w:rPr>
      </w:pPr>
      <w:r>
        <w:rPr>
          <w:i/>
          <w:sz w:val="24"/>
        </w:rPr>
        <w:t>Generators</w:t>
      </w:r>
      <w:r>
        <w:rPr>
          <w:sz w:val="24"/>
        </w:rPr>
        <w:t>, </w:t>
      </w:r>
      <w:r>
        <w:rPr>
          <w:i/>
          <w:sz w:val="24"/>
        </w:rPr>
        <w:t>Customers </w:t>
      </w:r>
      <w:r>
        <w:rPr>
          <w:sz w:val="24"/>
        </w:rPr>
        <w:t>and </w:t>
      </w:r>
      <w:r>
        <w:rPr>
          <w:i/>
          <w:sz w:val="24"/>
        </w:rPr>
        <w:t>Network Service Providers </w:t>
      </w:r>
      <w:r>
        <w:rPr>
          <w:sz w:val="24"/>
        </w:rPr>
        <w:t>who plan, own, operate or control a </w:t>
      </w:r>
      <w:r>
        <w:rPr>
          <w:i/>
          <w:sz w:val="24"/>
        </w:rPr>
        <w:t>facility </w:t>
      </w:r>
      <w:r>
        <w:rPr>
          <w:sz w:val="24"/>
        </w:rPr>
        <w:t>located in Tasmania, the </w:t>
      </w:r>
      <w:r>
        <w:rPr>
          <w:i/>
          <w:sz w:val="24"/>
        </w:rPr>
        <w:t>performance standards </w:t>
      </w:r>
      <w:r>
        <w:rPr>
          <w:i/>
          <w:sz w:val="24"/>
        </w:rPr>
        <w:t>commencement date </w:t>
      </w:r>
      <w:r>
        <w:rPr>
          <w:sz w:val="24"/>
        </w:rPr>
        <w:t>is, in relation to that </w:t>
      </w:r>
      <w:r>
        <w:rPr>
          <w:i/>
          <w:sz w:val="24"/>
        </w:rPr>
        <w:t>facility</w:t>
      </w:r>
      <w:r>
        <w:rPr>
          <w:sz w:val="24"/>
        </w:rPr>
        <w:t>, the date that Tasmania becomes a </w:t>
      </w:r>
      <w:r>
        <w:rPr>
          <w:i/>
          <w:sz w:val="24"/>
        </w:rPr>
        <w:t>participating</w:t>
      </w:r>
      <w:r>
        <w:rPr>
          <w:i/>
          <w:spacing w:val="-2"/>
          <w:sz w:val="24"/>
        </w:rPr>
        <w:t> </w:t>
      </w:r>
      <w:r>
        <w:rPr>
          <w:i/>
          <w:sz w:val="24"/>
        </w:rPr>
        <w:t>jurisdiction</w:t>
      </w:r>
      <w:r>
        <w:rPr>
          <w:sz w:val="24"/>
        </w:rPr>
        <w:t>.</w:t>
      </w:r>
    </w:p>
    <w:p>
      <w:pPr>
        <w:pStyle w:val="Heading5"/>
        <w:rPr>
          <w:i/>
        </w:rPr>
      </w:pPr>
      <w:r>
        <w:rPr>
          <w:i/>
        </w:rPr>
        <w:t>physical plant capability</w:t>
      </w:r>
    </w:p>
    <w:p>
      <w:pPr>
        <w:pStyle w:val="BodyText"/>
        <w:ind w:left="1352" w:right="415" w:firstLine="0"/>
      </w:pPr>
      <w:r>
        <w:rPr/>
        <w:t>The maximum MW output or consumption which an item of electrical equipment is capable of achieving for a given period.</w:t>
      </w:r>
    </w:p>
    <w:p>
      <w:pPr>
        <w:pStyle w:val="Heading5"/>
        <w:rPr>
          <w:i/>
        </w:rPr>
      </w:pPr>
      <w:r>
        <w:rPr>
          <w:i/>
        </w:rPr>
        <w:t>planned network event</w:t>
      </w:r>
    </w:p>
    <w:p>
      <w:pPr>
        <w:spacing w:before="120"/>
        <w:ind w:left="1352" w:right="414" w:firstLine="0"/>
        <w:jc w:val="both"/>
        <w:rPr>
          <w:sz w:val="24"/>
        </w:rPr>
      </w:pPr>
      <w:r>
        <w:rPr>
          <w:sz w:val="24"/>
        </w:rPr>
        <w:t>An event which has been planned by a </w:t>
      </w:r>
      <w:r>
        <w:rPr>
          <w:i/>
          <w:sz w:val="24"/>
        </w:rPr>
        <w:t>Transmission Network Service Provider</w:t>
      </w:r>
      <w:r>
        <w:rPr>
          <w:sz w:val="24"/>
        </w:rPr>
        <w:t>, </w:t>
      </w:r>
      <w:r>
        <w:rPr>
          <w:i/>
          <w:sz w:val="24"/>
        </w:rPr>
        <w:t>AEMO </w:t>
      </w:r>
      <w:r>
        <w:rPr>
          <w:sz w:val="24"/>
        </w:rPr>
        <w:t>or a </w:t>
      </w:r>
      <w:r>
        <w:rPr>
          <w:i/>
          <w:sz w:val="24"/>
        </w:rPr>
        <w:t>Market Participant </w:t>
      </w:r>
      <w:r>
        <w:rPr>
          <w:sz w:val="24"/>
        </w:rPr>
        <w:t>that is likely to materially affect </w:t>
      </w:r>
      <w:r>
        <w:rPr>
          <w:i/>
          <w:sz w:val="24"/>
        </w:rPr>
        <w:t>network </w:t>
      </w:r>
      <w:r>
        <w:rPr>
          <w:i/>
          <w:sz w:val="24"/>
        </w:rPr>
        <w:t>constraints </w:t>
      </w:r>
      <w:r>
        <w:rPr>
          <w:sz w:val="24"/>
        </w:rPr>
        <w:t>in relation to a </w:t>
      </w:r>
      <w:r>
        <w:rPr>
          <w:i/>
          <w:sz w:val="24"/>
        </w:rPr>
        <w:t>transmission system</w:t>
      </w:r>
      <w:r>
        <w:rPr>
          <w:sz w:val="24"/>
        </w:rPr>
        <w:t>, including but not limited to:</w:t>
      </w:r>
    </w:p>
    <w:p>
      <w:pPr>
        <w:pStyle w:val="ListParagraph"/>
        <w:numPr>
          <w:ilvl w:val="0"/>
          <w:numId w:val="791"/>
        </w:numPr>
        <w:tabs>
          <w:tab w:pos="1919" w:val="left" w:leader="none"/>
        </w:tabs>
        <w:spacing w:line="240" w:lineRule="auto" w:before="120" w:after="0"/>
        <w:ind w:left="1918" w:right="0" w:hanging="567"/>
        <w:jc w:val="both"/>
        <w:rPr>
          <w:sz w:val="24"/>
        </w:rPr>
      </w:pPr>
      <w:r>
        <w:rPr>
          <w:sz w:val="24"/>
        </w:rPr>
        <w:t>a </w:t>
      </w:r>
      <w:r>
        <w:rPr>
          <w:i/>
          <w:sz w:val="24"/>
        </w:rPr>
        <w:t>network outage</w:t>
      </w:r>
      <w:r>
        <w:rPr>
          <w:sz w:val="24"/>
        </w:rPr>
        <w:t>;</w:t>
      </w:r>
    </w:p>
    <w:p>
      <w:pPr>
        <w:pStyle w:val="ListParagraph"/>
        <w:numPr>
          <w:ilvl w:val="0"/>
          <w:numId w:val="791"/>
        </w:numPr>
        <w:tabs>
          <w:tab w:pos="1919" w:val="left" w:leader="none"/>
        </w:tabs>
        <w:spacing w:line="240" w:lineRule="auto" w:before="120" w:after="0"/>
        <w:ind w:left="1918" w:right="0" w:hanging="567"/>
        <w:jc w:val="both"/>
        <w:rPr>
          <w:sz w:val="24"/>
        </w:rPr>
      </w:pPr>
      <w:r>
        <w:rPr>
          <w:sz w:val="24"/>
        </w:rPr>
        <w:t>the </w:t>
      </w:r>
      <w:r>
        <w:rPr>
          <w:i/>
          <w:sz w:val="24"/>
        </w:rPr>
        <w:t>connection </w:t>
      </w:r>
      <w:r>
        <w:rPr>
          <w:sz w:val="24"/>
        </w:rPr>
        <w:t>or </w:t>
      </w:r>
      <w:r>
        <w:rPr>
          <w:i/>
          <w:sz w:val="24"/>
        </w:rPr>
        <w:t>disconnection </w:t>
      </w:r>
      <w:r>
        <w:rPr>
          <w:sz w:val="24"/>
        </w:rPr>
        <w:t>of </w:t>
      </w:r>
      <w:r>
        <w:rPr>
          <w:i/>
          <w:sz w:val="24"/>
        </w:rPr>
        <w:t>generating units </w:t>
      </w:r>
      <w:r>
        <w:rPr>
          <w:sz w:val="24"/>
        </w:rPr>
        <w:t>or</w:t>
      </w:r>
      <w:r>
        <w:rPr>
          <w:spacing w:val="-2"/>
          <w:sz w:val="24"/>
        </w:rPr>
        <w:t> </w:t>
      </w:r>
      <w:r>
        <w:rPr>
          <w:i/>
          <w:sz w:val="24"/>
        </w:rPr>
        <w:t>load</w:t>
      </w:r>
      <w:r>
        <w:rPr>
          <w:sz w:val="24"/>
        </w:rPr>
        <w:t>;</w:t>
      </w:r>
    </w:p>
    <w:p>
      <w:pPr>
        <w:pStyle w:val="ListParagraph"/>
        <w:numPr>
          <w:ilvl w:val="0"/>
          <w:numId w:val="791"/>
        </w:numPr>
        <w:tabs>
          <w:tab w:pos="1919" w:val="left" w:leader="none"/>
        </w:tabs>
        <w:spacing w:line="240" w:lineRule="auto" w:before="120" w:after="0"/>
        <w:ind w:left="1919" w:right="414" w:hanging="567"/>
        <w:jc w:val="both"/>
        <w:rPr>
          <w:sz w:val="24"/>
        </w:rPr>
      </w:pPr>
      <w:r>
        <w:rPr>
          <w:sz w:val="24"/>
        </w:rPr>
        <w:t>the commissioning or decommissioning of a </w:t>
      </w:r>
      <w:r>
        <w:rPr>
          <w:i/>
          <w:sz w:val="24"/>
        </w:rPr>
        <w:t>network </w:t>
      </w:r>
      <w:r>
        <w:rPr>
          <w:sz w:val="24"/>
        </w:rPr>
        <w:t>asset or the provision of new or modified </w:t>
      </w:r>
      <w:r>
        <w:rPr>
          <w:i/>
          <w:sz w:val="24"/>
        </w:rPr>
        <w:t>network support and control ancillary services</w:t>
      </w:r>
      <w:r>
        <w:rPr>
          <w:sz w:val="24"/>
        </w:rPr>
        <w:t>;</w:t>
      </w:r>
      <w:r>
        <w:rPr>
          <w:spacing w:val="-10"/>
          <w:sz w:val="24"/>
        </w:rPr>
        <w:t> </w:t>
      </w:r>
      <w:r>
        <w:rPr>
          <w:sz w:val="24"/>
        </w:rPr>
        <w:t>and</w:t>
      </w:r>
    </w:p>
    <w:p>
      <w:pPr>
        <w:pStyle w:val="ListParagraph"/>
        <w:numPr>
          <w:ilvl w:val="0"/>
          <w:numId w:val="791"/>
        </w:numPr>
        <w:tabs>
          <w:tab w:pos="1919" w:val="left" w:leader="none"/>
        </w:tabs>
        <w:spacing w:line="240" w:lineRule="auto" w:before="120" w:after="0"/>
        <w:ind w:left="1918" w:right="0" w:hanging="567"/>
        <w:jc w:val="both"/>
        <w:rPr>
          <w:sz w:val="24"/>
        </w:rPr>
      </w:pPr>
      <w:r>
        <w:rPr>
          <w:sz w:val="24"/>
        </w:rPr>
        <w:t>the</w:t>
      </w:r>
      <w:r>
        <w:rPr>
          <w:spacing w:val="50"/>
          <w:sz w:val="24"/>
        </w:rPr>
        <w:t> </w:t>
      </w:r>
      <w:r>
        <w:rPr>
          <w:sz w:val="24"/>
        </w:rPr>
        <w:t>provision</w:t>
      </w:r>
      <w:r>
        <w:rPr>
          <w:spacing w:val="50"/>
          <w:sz w:val="24"/>
        </w:rPr>
        <w:t> </w:t>
      </w:r>
      <w:r>
        <w:rPr>
          <w:sz w:val="24"/>
        </w:rPr>
        <w:t>of</w:t>
      </w:r>
      <w:r>
        <w:rPr>
          <w:spacing w:val="50"/>
          <w:sz w:val="24"/>
        </w:rPr>
        <w:t> </w:t>
      </w:r>
      <w:r>
        <w:rPr>
          <w:i/>
          <w:sz w:val="24"/>
        </w:rPr>
        <w:t>network</w:t>
      </w:r>
      <w:r>
        <w:rPr>
          <w:i/>
          <w:spacing w:val="50"/>
          <w:sz w:val="24"/>
        </w:rPr>
        <w:t> </w:t>
      </w:r>
      <w:r>
        <w:rPr>
          <w:i/>
          <w:sz w:val="24"/>
        </w:rPr>
        <w:t>support</w:t>
      </w:r>
      <w:r>
        <w:rPr>
          <w:i/>
          <w:spacing w:val="50"/>
          <w:sz w:val="24"/>
        </w:rPr>
        <w:t> </w:t>
      </w:r>
      <w:r>
        <w:rPr>
          <w:i/>
          <w:sz w:val="24"/>
        </w:rPr>
        <w:t>and</w:t>
      </w:r>
      <w:r>
        <w:rPr>
          <w:i/>
          <w:spacing w:val="50"/>
          <w:sz w:val="24"/>
        </w:rPr>
        <w:t> </w:t>
      </w:r>
      <w:r>
        <w:rPr>
          <w:i/>
          <w:sz w:val="24"/>
        </w:rPr>
        <w:t>control</w:t>
      </w:r>
      <w:r>
        <w:rPr>
          <w:i/>
          <w:spacing w:val="50"/>
          <w:sz w:val="24"/>
        </w:rPr>
        <w:t> </w:t>
      </w:r>
      <w:r>
        <w:rPr>
          <w:i/>
          <w:sz w:val="24"/>
        </w:rPr>
        <w:t>ancillary</w:t>
      </w:r>
      <w:r>
        <w:rPr>
          <w:i/>
          <w:spacing w:val="50"/>
          <w:sz w:val="24"/>
        </w:rPr>
        <w:t> </w:t>
      </w:r>
      <w:r>
        <w:rPr>
          <w:i/>
          <w:sz w:val="24"/>
        </w:rPr>
        <w:t>services</w:t>
      </w:r>
      <w:r>
        <w:rPr>
          <w:i/>
          <w:spacing w:val="50"/>
          <w:sz w:val="24"/>
        </w:rPr>
        <w:t> </w:t>
      </w:r>
      <w:r>
        <w:rPr>
          <w:sz w:val="24"/>
        </w:rPr>
        <w:t>under</w:t>
      </w:r>
      <w:r>
        <w:rPr>
          <w:spacing w:val="50"/>
          <w:sz w:val="24"/>
        </w:rPr>
        <w:t> </w:t>
      </w:r>
      <w:r>
        <w:rPr>
          <w:sz w:val="24"/>
        </w:rPr>
        <w:t>a</w:t>
      </w:r>
    </w:p>
    <w:p>
      <w:pPr>
        <w:spacing w:before="0"/>
        <w:ind w:left="1919" w:right="0" w:firstLine="0"/>
        <w:jc w:val="both"/>
        <w:rPr>
          <w:sz w:val="24"/>
        </w:rPr>
      </w:pPr>
      <w:r>
        <w:rPr>
          <w:i/>
          <w:sz w:val="24"/>
        </w:rPr>
        <w:t>network support agreement</w:t>
      </w:r>
      <w:r>
        <w:rPr>
          <w:sz w:val="24"/>
        </w:rPr>
        <w:t>.</w:t>
      </w:r>
    </w:p>
    <w:p>
      <w:pPr>
        <w:spacing w:after="0"/>
        <w:jc w:val="both"/>
        <w:rPr>
          <w:sz w:val="24"/>
        </w:rPr>
        <w:sectPr>
          <w:pgSz w:w="11910" w:h="16840"/>
          <w:pgMar w:header="686" w:footer="637" w:top="1320" w:bottom="820" w:left="1200" w:right="1000"/>
        </w:sectPr>
      </w:pPr>
    </w:p>
    <w:p>
      <w:pPr>
        <w:pStyle w:val="Heading5"/>
        <w:jc w:val="left"/>
        <w:rPr>
          <w:i/>
        </w:rPr>
      </w:pPr>
      <w:r>
        <w:rPr>
          <w:i/>
        </w:rPr>
        <w:t>plant</w:t>
      </w:r>
    </w:p>
    <w:p>
      <w:pPr>
        <w:pStyle w:val="BodyText"/>
        <w:spacing w:before="0"/>
        <w:ind w:firstLine="0"/>
        <w:jc w:val="left"/>
        <w:rPr>
          <w:b/>
          <w:i/>
          <w:sz w:val="26"/>
        </w:rPr>
      </w:pPr>
      <w:r>
        <w:rPr/>
        <w:br w:type="column"/>
      </w:r>
      <w:r>
        <w:rPr>
          <w:b/>
          <w:i/>
          <w:sz w:val="26"/>
        </w:rPr>
      </w:r>
    </w:p>
    <w:p>
      <w:pPr>
        <w:pStyle w:val="BodyText"/>
        <w:spacing w:before="217"/>
        <w:ind w:left="218" w:firstLine="0"/>
        <w:jc w:val="left"/>
      </w:pPr>
      <w:r>
        <w:rPr/>
        <w:t>In relation to a </w:t>
      </w:r>
      <w:r>
        <w:rPr>
          <w:i/>
        </w:rPr>
        <w:t>connection point</w:t>
      </w:r>
      <w:r>
        <w:rPr/>
        <w:t>, includes all equipment involved in generating, utilising or transmitting electrical </w:t>
      </w:r>
      <w:r>
        <w:rPr>
          <w:i/>
        </w:rPr>
        <w:t>energy</w:t>
      </w:r>
      <w:r>
        <w:rPr/>
        <w:t>.</w:t>
      </w:r>
    </w:p>
    <w:p>
      <w:pPr>
        <w:spacing w:after="0"/>
        <w:jc w:val="left"/>
        <w:sectPr>
          <w:type w:val="continuous"/>
          <w:pgSz w:w="11910" w:h="16840"/>
          <w:pgMar w:top="1360" w:bottom="280" w:left="1200" w:right="1000"/>
          <w:cols w:num="2" w:equalWidth="0">
            <w:col w:w="765" w:space="369"/>
            <w:col w:w="8576"/>
          </w:cols>
        </w:sectPr>
      </w:pPr>
    </w:p>
    <w:p>
      <w:pPr>
        <w:pStyle w:val="Heading5"/>
        <w:spacing w:before="83"/>
        <w:rPr>
          <w:i/>
        </w:rPr>
      </w:pPr>
      <w:r>
        <w:rPr>
          <w:i/>
        </w:rPr>
        <w:t>plant availability</w:t>
      </w:r>
    </w:p>
    <w:p>
      <w:pPr>
        <w:pStyle w:val="BodyText"/>
        <w:ind w:left="1352" w:right="414" w:firstLine="0"/>
      </w:pPr>
      <w:r>
        <w:rPr/>
        <w:t>The </w:t>
      </w:r>
      <w:r>
        <w:rPr>
          <w:i/>
        </w:rPr>
        <w:t>active power capability </w:t>
      </w:r>
      <w:r>
        <w:rPr/>
        <w:t>of a </w:t>
      </w:r>
      <w:r>
        <w:rPr>
          <w:i/>
        </w:rPr>
        <w:t>generating unit </w:t>
      </w:r>
      <w:r>
        <w:rPr/>
        <w:t>(in MW), based on the availability of its electrical power conversion process and assuming no fuel supply limitations on the </w:t>
      </w:r>
      <w:r>
        <w:rPr>
          <w:i/>
        </w:rPr>
        <w:t>energy </w:t>
      </w:r>
      <w:r>
        <w:rPr/>
        <w:t>available for input to that electrical power conversion process.</w:t>
      </w:r>
    </w:p>
    <w:p>
      <w:pPr>
        <w:pStyle w:val="Heading5"/>
        <w:rPr>
          <w:i/>
        </w:rPr>
      </w:pPr>
      <w:r>
        <w:rPr>
          <w:i/>
        </w:rPr>
        <w:t>plant standard</w:t>
      </w:r>
    </w:p>
    <w:p>
      <w:pPr>
        <w:pStyle w:val="BodyText"/>
        <w:ind w:left="1352" w:firstLine="0"/>
      </w:pPr>
      <w:r>
        <w:rPr/>
        <w:t>An Australian or international standard or a part thereof that:</w:t>
      </w:r>
    </w:p>
    <w:p>
      <w:pPr>
        <w:pStyle w:val="ListParagraph"/>
        <w:numPr>
          <w:ilvl w:val="0"/>
          <w:numId w:val="792"/>
        </w:numPr>
        <w:tabs>
          <w:tab w:pos="1919" w:val="left" w:leader="none"/>
        </w:tabs>
        <w:spacing w:line="240" w:lineRule="auto" w:before="120" w:after="0"/>
        <w:ind w:left="1919" w:right="415" w:hanging="567"/>
        <w:jc w:val="both"/>
        <w:rPr>
          <w:sz w:val="24"/>
        </w:rPr>
      </w:pPr>
      <w:r>
        <w:rPr>
          <w:sz w:val="24"/>
        </w:rPr>
        <w:t>the </w:t>
      </w:r>
      <w:r>
        <w:rPr>
          <w:i/>
          <w:sz w:val="24"/>
        </w:rPr>
        <w:t>Reliability Panel </w:t>
      </w:r>
      <w:r>
        <w:rPr>
          <w:sz w:val="24"/>
        </w:rPr>
        <w:t>determines to be an acceptable alternative to a particular </w:t>
      </w:r>
      <w:r>
        <w:rPr>
          <w:i/>
          <w:sz w:val="24"/>
        </w:rPr>
        <w:t>minimum access standard </w:t>
      </w:r>
      <w:r>
        <w:rPr>
          <w:sz w:val="24"/>
        </w:rPr>
        <w:t>or </w:t>
      </w:r>
      <w:r>
        <w:rPr>
          <w:i/>
          <w:sz w:val="24"/>
        </w:rPr>
        <w:t>automatic access standard </w:t>
      </w:r>
      <w:r>
        <w:rPr>
          <w:sz w:val="24"/>
        </w:rPr>
        <w:t>for a particular class of </w:t>
      </w:r>
      <w:r>
        <w:rPr>
          <w:i/>
          <w:sz w:val="24"/>
        </w:rPr>
        <w:t>plant</w:t>
      </w:r>
      <w:r>
        <w:rPr>
          <w:sz w:val="24"/>
        </w:rPr>
        <w:t>,</w:t>
      </w:r>
      <w:r>
        <w:rPr>
          <w:spacing w:val="-1"/>
          <w:sz w:val="24"/>
        </w:rPr>
        <w:t> </w:t>
      </w:r>
      <w:r>
        <w:rPr>
          <w:sz w:val="24"/>
        </w:rPr>
        <w:t>or</w:t>
      </w:r>
    </w:p>
    <w:p>
      <w:pPr>
        <w:pStyle w:val="ListParagraph"/>
        <w:numPr>
          <w:ilvl w:val="0"/>
          <w:numId w:val="792"/>
        </w:numPr>
        <w:tabs>
          <w:tab w:pos="1919" w:val="left" w:leader="none"/>
        </w:tabs>
        <w:spacing w:line="240" w:lineRule="auto" w:before="120" w:after="0"/>
        <w:ind w:left="1919" w:right="415" w:hanging="567"/>
        <w:jc w:val="both"/>
        <w:rPr>
          <w:sz w:val="24"/>
        </w:rPr>
      </w:pPr>
      <w:r>
        <w:rPr>
          <w:sz w:val="24"/>
        </w:rPr>
        <w:t>a schedule in Chapter 5 establishes as an acceptable alternative to a particular </w:t>
      </w:r>
      <w:r>
        <w:rPr>
          <w:i/>
          <w:sz w:val="24"/>
        </w:rPr>
        <w:t>minimum access standard </w:t>
      </w:r>
      <w:r>
        <w:rPr>
          <w:sz w:val="24"/>
        </w:rPr>
        <w:t>or </w:t>
      </w:r>
      <w:r>
        <w:rPr>
          <w:i/>
          <w:sz w:val="24"/>
        </w:rPr>
        <w:t>automatic access standard </w:t>
      </w:r>
      <w:r>
        <w:rPr>
          <w:sz w:val="24"/>
        </w:rPr>
        <w:t>for a particular class of</w:t>
      </w:r>
      <w:r>
        <w:rPr>
          <w:spacing w:val="-1"/>
          <w:sz w:val="24"/>
        </w:rPr>
        <w:t> </w:t>
      </w:r>
      <w:r>
        <w:rPr>
          <w:i/>
          <w:sz w:val="24"/>
        </w:rPr>
        <w:t>plant</w:t>
      </w:r>
      <w:r>
        <w:rPr>
          <w:sz w:val="24"/>
        </w:rPr>
        <w:t>.</w:t>
      </w:r>
    </w:p>
    <w:p>
      <w:pPr>
        <w:pStyle w:val="Heading5"/>
        <w:rPr>
          <w:i/>
        </w:rPr>
      </w:pPr>
      <w:r>
        <w:rPr>
          <w:i/>
        </w:rPr>
        <w:t>PoLR cost procedures</w:t>
      </w:r>
    </w:p>
    <w:p>
      <w:pPr>
        <w:pStyle w:val="BodyText"/>
        <w:ind w:left="1352" w:firstLine="0"/>
      </w:pPr>
      <w:r>
        <w:rPr/>
        <w:t>The procedures made by </w:t>
      </w:r>
      <w:r>
        <w:rPr>
          <w:i/>
        </w:rPr>
        <w:t>AEMO </w:t>
      </w:r>
      <w:r>
        <w:rPr/>
        <w:t>under clause 3.15.9A(l).</w:t>
      </w:r>
    </w:p>
    <w:p>
      <w:pPr>
        <w:pStyle w:val="Heading5"/>
        <w:rPr>
          <w:i/>
        </w:rPr>
      </w:pPr>
      <w:r>
        <w:rPr>
          <w:i/>
        </w:rPr>
        <w:t>PoLR liable entity</w:t>
      </w:r>
    </w:p>
    <w:p>
      <w:pPr>
        <w:pStyle w:val="BodyText"/>
        <w:ind w:left="1352" w:firstLine="0"/>
      </w:pPr>
      <w:r>
        <w:rPr/>
        <w:t>Has the meaning given in clause 4A.F.8(a)(1).</w:t>
      </w:r>
    </w:p>
    <w:p>
      <w:pPr>
        <w:pStyle w:val="Heading5"/>
        <w:jc w:val="left"/>
        <w:rPr>
          <w:i/>
        </w:rPr>
      </w:pPr>
      <w:r>
        <w:rPr>
          <w:i/>
        </w:rPr>
        <w:t>PoLR TI</w:t>
      </w:r>
    </w:p>
    <w:p>
      <w:pPr>
        <w:pStyle w:val="BodyText"/>
        <w:ind w:left="1352" w:firstLine="0"/>
        <w:jc w:val="left"/>
      </w:pPr>
      <w:r>
        <w:rPr/>
        <w:t>Has the meaning given in clause 4A.F.8(a)(2).</w:t>
      </w:r>
    </w:p>
    <w:p>
      <w:pPr>
        <w:pStyle w:val="Heading5"/>
        <w:rPr>
          <w:i/>
        </w:rPr>
      </w:pPr>
      <w:r>
        <w:rPr>
          <w:i/>
        </w:rPr>
        <w:t>positive change event</w:t>
      </w:r>
    </w:p>
    <w:p>
      <w:pPr>
        <w:spacing w:before="120"/>
        <w:ind w:left="1352" w:right="416" w:firstLine="0"/>
        <w:jc w:val="both"/>
        <w:rPr>
          <w:sz w:val="24"/>
        </w:rPr>
      </w:pPr>
      <w:r>
        <w:rPr>
          <w:sz w:val="24"/>
        </w:rPr>
        <w:t>For a </w:t>
      </w:r>
      <w:r>
        <w:rPr>
          <w:i/>
          <w:sz w:val="24"/>
        </w:rPr>
        <w:t>Distribution Network Service Provider</w:t>
      </w:r>
      <w:r>
        <w:rPr>
          <w:sz w:val="24"/>
        </w:rPr>
        <w:t>, a </w:t>
      </w:r>
      <w:r>
        <w:rPr>
          <w:i/>
          <w:sz w:val="24"/>
        </w:rPr>
        <w:t>pass through event </w:t>
      </w:r>
      <w:r>
        <w:rPr>
          <w:sz w:val="24"/>
        </w:rPr>
        <w:t>which entails the </w:t>
      </w:r>
      <w:r>
        <w:rPr>
          <w:i/>
          <w:sz w:val="24"/>
        </w:rPr>
        <w:t>Distribution Network Service Provider </w:t>
      </w:r>
      <w:r>
        <w:rPr>
          <w:sz w:val="24"/>
        </w:rPr>
        <w:t>incurring </w:t>
      </w:r>
      <w:r>
        <w:rPr>
          <w:i/>
          <w:sz w:val="24"/>
        </w:rPr>
        <w:t>materially </w:t>
      </w:r>
      <w:r>
        <w:rPr>
          <w:sz w:val="24"/>
        </w:rPr>
        <w:t>higher costs in providing </w:t>
      </w:r>
      <w:r>
        <w:rPr>
          <w:i/>
          <w:sz w:val="24"/>
        </w:rPr>
        <w:t>direct control services </w:t>
      </w:r>
      <w:r>
        <w:rPr>
          <w:sz w:val="24"/>
        </w:rPr>
        <w:t>than it would have incurred but for that event, but does not include a </w:t>
      </w:r>
      <w:r>
        <w:rPr>
          <w:i/>
          <w:sz w:val="24"/>
        </w:rPr>
        <w:t>contingent project </w:t>
      </w:r>
      <w:r>
        <w:rPr>
          <w:sz w:val="24"/>
        </w:rPr>
        <w:t>or an associated </w:t>
      </w:r>
      <w:r>
        <w:rPr>
          <w:i/>
          <w:sz w:val="24"/>
        </w:rPr>
        <w:t>trigger</w:t>
      </w:r>
      <w:r>
        <w:rPr>
          <w:i/>
          <w:spacing w:val="-3"/>
          <w:sz w:val="24"/>
        </w:rPr>
        <w:t> </w:t>
      </w:r>
      <w:r>
        <w:rPr>
          <w:sz w:val="24"/>
        </w:rPr>
        <w:t>event.</w:t>
      </w:r>
    </w:p>
    <w:p>
      <w:pPr>
        <w:spacing w:before="120"/>
        <w:ind w:left="1352" w:right="415" w:firstLine="0"/>
        <w:jc w:val="both"/>
        <w:rPr>
          <w:sz w:val="24"/>
        </w:rPr>
      </w:pPr>
      <w:r>
        <w:rPr>
          <w:sz w:val="24"/>
        </w:rPr>
        <w:t>For a </w:t>
      </w:r>
      <w:r>
        <w:rPr>
          <w:i/>
          <w:sz w:val="24"/>
        </w:rPr>
        <w:t>Transmission Network Service Provider</w:t>
      </w:r>
      <w:r>
        <w:rPr>
          <w:sz w:val="24"/>
        </w:rPr>
        <w:t>, a </w:t>
      </w:r>
      <w:r>
        <w:rPr>
          <w:i/>
          <w:sz w:val="24"/>
        </w:rPr>
        <w:t>pass through event </w:t>
      </w:r>
      <w:r>
        <w:rPr>
          <w:sz w:val="24"/>
        </w:rPr>
        <w:t>which entails the </w:t>
      </w:r>
      <w:r>
        <w:rPr>
          <w:i/>
          <w:sz w:val="24"/>
        </w:rPr>
        <w:t>Transmission Network Service Provider </w:t>
      </w:r>
      <w:r>
        <w:rPr>
          <w:sz w:val="24"/>
        </w:rPr>
        <w:t>incurring </w:t>
      </w:r>
      <w:r>
        <w:rPr>
          <w:i/>
          <w:sz w:val="24"/>
        </w:rPr>
        <w:t>materially </w:t>
      </w:r>
      <w:r>
        <w:rPr>
          <w:sz w:val="24"/>
        </w:rPr>
        <w:t>higher costs in providing </w:t>
      </w:r>
      <w:r>
        <w:rPr>
          <w:i/>
          <w:sz w:val="24"/>
        </w:rPr>
        <w:t>prescribed transmission services </w:t>
      </w:r>
      <w:r>
        <w:rPr>
          <w:sz w:val="24"/>
        </w:rPr>
        <w:t>than it would have incurred but for that event, but does not include a </w:t>
      </w:r>
      <w:r>
        <w:rPr>
          <w:i/>
          <w:sz w:val="24"/>
        </w:rPr>
        <w:t>contingent project </w:t>
      </w:r>
      <w:r>
        <w:rPr>
          <w:sz w:val="24"/>
        </w:rPr>
        <w:t>or an associated </w:t>
      </w:r>
      <w:r>
        <w:rPr>
          <w:i/>
          <w:sz w:val="24"/>
        </w:rPr>
        <w:t>trigger</w:t>
      </w:r>
      <w:r>
        <w:rPr>
          <w:i/>
          <w:spacing w:val="-7"/>
          <w:sz w:val="24"/>
        </w:rPr>
        <w:t> </w:t>
      </w:r>
      <w:r>
        <w:rPr>
          <w:i/>
          <w:sz w:val="24"/>
        </w:rPr>
        <w:t>event</w:t>
      </w:r>
      <w:r>
        <w:rPr>
          <w:sz w:val="24"/>
        </w:rPr>
        <w:t>.</w:t>
      </w:r>
    </w:p>
    <w:p>
      <w:pPr>
        <w:pStyle w:val="Heading5"/>
        <w:rPr>
          <w:i/>
        </w:rPr>
      </w:pPr>
      <w:r>
        <w:rPr>
          <w:i/>
        </w:rPr>
        <w:t>positive network support event</w:t>
      </w:r>
    </w:p>
    <w:p>
      <w:pPr>
        <w:spacing w:before="120"/>
        <w:ind w:left="1352" w:right="415" w:firstLine="0"/>
        <w:jc w:val="both"/>
        <w:rPr>
          <w:sz w:val="24"/>
        </w:rPr>
      </w:pPr>
      <w:r>
        <w:rPr>
          <w:sz w:val="24"/>
        </w:rPr>
        <w:t>A </w:t>
      </w:r>
      <w:r>
        <w:rPr>
          <w:i/>
          <w:sz w:val="24"/>
        </w:rPr>
        <w:t>network support event </w:t>
      </w:r>
      <w:r>
        <w:rPr>
          <w:sz w:val="24"/>
        </w:rPr>
        <w:t>which entails a </w:t>
      </w:r>
      <w:r>
        <w:rPr>
          <w:i/>
          <w:sz w:val="24"/>
        </w:rPr>
        <w:t>Transmission Network Service Provider </w:t>
      </w:r>
      <w:r>
        <w:rPr>
          <w:sz w:val="24"/>
        </w:rPr>
        <w:t>making higher </w:t>
      </w:r>
      <w:r>
        <w:rPr>
          <w:i/>
          <w:sz w:val="24"/>
        </w:rPr>
        <w:t>network support payments </w:t>
      </w:r>
      <w:r>
        <w:rPr>
          <w:sz w:val="24"/>
        </w:rPr>
        <w:t>in the preceding </w:t>
      </w:r>
      <w:r>
        <w:rPr>
          <w:i/>
          <w:sz w:val="24"/>
        </w:rPr>
        <w:t>regulatory year </w:t>
      </w:r>
      <w:r>
        <w:rPr>
          <w:sz w:val="24"/>
        </w:rPr>
        <w:t>than the amount of the </w:t>
      </w:r>
      <w:r>
        <w:rPr>
          <w:i/>
          <w:sz w:val="24"/>
        </w:rPr>
        <w:t>network support payment allowance </w:t>
      </w:r>
      <w:r>
        <w:rPr>
          <w:sz w:val="24"/>
        </w:rPr>
        <w:t>(if any) for that provider for that preceding </w:t>
      </w:r>
      <w:r>
        <w:rPr>
          <w:i/>
          <w:sz w:val="24"/>
        </w:rPr>
        <w:t>regulatory</w:t>
      </w:r>
      <w:r>
        <w:rPr>
          <w:i/>
          <w:spacing w:val="-2"/>
          <w:sz w:val="24"/>
        </w:rPr>
        <w:t> </w:t>
      </w:r>
      <w:r>
        <w:rPr>
          <w:i/>
          <w:sz w:val="24"/>
        </w:rPr>
        <w:t>year</w:t>
      </w:r>
      <w:r>
        <w:rPr>
          <w:sz w:val="24"/>
        </w:rPr>
        <w:t>.</w:t>
      </w:r>
    </w:p>
    <w:p>
      <w:pPr>
        <w:pStyle w:val="Heading5"/>
        <w:rPr>
          <w:i/>
        </w:rPr>
      </w:pPr>
      <w:r>
        <w:rPr>
          <w:i/>
        </w:rPr>
        <w:t>positive pass through amount</w:t>
      </w:r>
    </w:p>
    <w:p>
      <w:pPr>
        <w:spacing w:before="120"/>
        <w:ind w:left="1352" w:right="0" w:firstLine="0"/>
        <w:jc w:val="both"/>
        <w:rPr>
          <w:sz w:val="24"/>
        </w:rPr>
      </w:pPr>
      <w:r>
        <w:rPr>
          <w:sz w:val="24"/>
        </w:rPr>
        <w:t>For a </w:t>
      </w:r>
      <w:r>
        <w:rPr>
          <w:i/>
          <w:sz w:val="24"/>
        </w:rPr>
        <w:t>Transmission Network Service Provider</w:t>
      </w:r>
      <w:r>
        <w:rPr>
          <w:sz w:val="24"/>
        </w:rPr>
        <w:t>, an amount (not exceeding the</w:t>
      </w:r>
    </w:p>
    <w:p>
      <w:pPr>
        <w:spacing w:before="0"/>
        <w:ind w:left="1352" w:right="0" w:firstLine="0"/>
        <w:jc w:val="both"/>
        <w:rPr>
          <w:sz w:val="24"/>
        </w:rPr>
      </w:pPr>
      <w:r>
        <w:rPr>
          <w:i/>
          <w:sz w:val="24"/>
        </w:rPr>
        <w:t>eligible pass through amount</w:t>
      </w:r>
      <w:r>
        <w:rPr>
          <w:sz w:val="24"/>
        </w:rPr>
        <w:t>) proposed by the provider under clause 6A.7.3(c).</w:t>
      </w:r>
    </w:p>
    <w:p>
      <w:pPr>
        <w:spacing w:before="120"/>
        <w:ind w:left="1352" w:right="415" w:firstLine="0"/>
        <w:jc w:val="both"/>
        <w:rPr>
          <w:sz w:val="24"/>
        </w:rPr>
      </w:pPr>
      <w:r>
        <w:rPr>
          <w:sz w:val="24"/>
        </w:rPr>
        <w:t>For a </w:t>
      </w:r>
      <w:r>
        <w:rPr>
          <w:i/>
          <w:sz w:val="24"/>
        </w:rPr>
        <w:t>Distribution Network Service Provider</w:t>
      </w:r>
      <w:r>
        <w:rPr>
          <w:sz w:val="24"/>
        </w:rPr>
        <w:t>, an amount (not exceeding the </w:t>
      </w:r>
      <w:r>
        <w:rPr>
          <w:i/>
          <w:sz w:val="24"/>
        </w:rPr>
        <w:t>eligible pass through amount</w:t>
      </w:r>
      <w:r>
        <w:rPr>
          <w:sz w:val="24"/>
        </w:rPr>
        <w:t>) proposed by the provider under clause 6.6.1(c) or 6.6.1AB(c).</w:t>
      </w:r>
    </w:p>
    <w:p>
      <w:pPr>
        <w:spacing w:before="120"/>
        <w:ind w:left="1352" w:right="0" w:firstLine="0"/>
        <w:jc w:val="left"/>
        <w:rPr>
          <w:rFonts w:ascii="Arial"/>
          <w:b/>
          <w:sz w:val="20"/>
        </w:rPr>
      </w:pPr>
      <w:r>
        <w:rPr>
          <w:rFonts w:ascii="Arial"/>
          <w:b/>
          <w:sz w:val="20"/>
        </w:rPr>
        <w:t>Note:</w:t>
      </w:r>
    </w:p>
    <w:p>
      <w:pPr>
        <w:spacing w:before="120"/>
        <w:ind w:left="1352" w:right="0" w:firstLine="0"/>
        <w:jc w:val="both"/>
        <w:rPr>
          <w:sz w:val="20"/>
        </w:rPr>
      </w:pPr>
      <w:r>
        <w:rPr>
          <w:sz w:val="20"/>
        </w:rPr>
        <w:t>The modification to this definition expires on 1 July 2024.</w:t>
      </w:r>
    </w:p>
    <w:p>
      <w:pPr>
        <w:spacing w:after="0"/>
        <w:jc w:val="both"/>
        <w:rPr>
          <w:sz w:val="20"/>
        </w:rPr>
        <w:sectPr>
          <w:pgSz w:w="11910" w:h="16840"/>
          <w:pgMar w:header="686" w:footer="637" w:top="1320" w:bottom="820" w:left="1200" w:right="1000"/>
        </w:sectPr>
      </w:pPr>
    </w:p>
    <w:p>
      <w:pPr>
        <w:pStyle w:val="Heading5"/>
        <w:spacing w:before="83"/>
        <w:rPr>
          <w:i/>
        </w:rPr>
      </w:pPr>
      <w:r>
        <w:rPr>
          <w:i/>
        </w:rPr>
        <w:t>postage-stamp basis</w:t>
      </w:r>
    </w:p>
    <w:p>
      <w:pPr>
        <w:spacing w:before="120"/>
        <w:ind w:left="1352" w:right="416" w:firstLine="0"/>
        <w:jc w:val="both"/>
        <w:rPr>
          <w:sz w:val="24"/>
        </w:rPr>
      </w:pPr>
      <w:r>
        <w:rPr>
          <w:sz w:val="24"/>
        </w:rPr>
        <w:t>A system of charging </w:t>
      </w:r>
      <w:r>
        <w:rPr>
          <w:i/>
          <w:sz w:val="24"/>
        </w:rPr>
        <w:t>Network Users </w:t>
      </w:r>
      <w:r>
        <w:rPr>
          <w:sz w:val="24"/>
        </w:rPr>
        <w:t>for </w:t>
      </w:r>
      <w:r>
        <w:rPr>
          <w:i/>
          <w:sz w:val="24"/>
        </w:rPr>
        <w:t>transmission service </w:t>
      </w:r>
      <w:r>
        <w:rPr>
          <w:sz w:val="24"/>
        </w:rPr>
        <w:t>or </w:t>
      </w:r>
      <w:r>
        <w:rPr>
          <w:i/>
          <w:sz w:val="24"/>
        </w:rPr>
        <w:t>distribution </w:t>
      </w:r>
      <w:r>
        <w:rPr>
          <w:i/>
          <w:sz w:val="24"/>
        </w:rPr>
        <w:t>service </w:t>
      </w:r>
      <w:r>
        <w:rPr>
          <w:sz w:val="24"/>
        </w:rPr>
        <w:t>in which the price per unit is the same regardless of how much </w:t>
      </w:r>
      <w:r>
        <w:rPr>
          <w:i/>
          <w:sz w:val="24"/>
        </w:rPr>
        <w:t>energy </w:t>
      </w:r>
      <w:r>
        <w:rPr>
          <w:sz w:val="24"/>
        </w:rPr>
        <w:t>is used by the </w:t>
      </w:r>
      <w:r>
        <w:rPr>
          <w:i/>
          <w:sz w:val="24"/>
        </w:rPr>
        <w:t>Network User </w:t>
      </w:r>
      <w:r>
        <w:rPr>
          <w:sz w:val="24"/>
        </w:rPr>
        <w:t>or the location in the </w:t>
      </w:r>
      <w:r>
        <w:rPr>
          <w:i/>
          <w:sz w:val="24"/>
        </w:rPr>
        <w:t>transmission network </w:t>
      </w:r>
      <w:r>
        <w:rPr>
          <w:sz w:val="24"/>
        </w:rPr>
        <w:t>or </w:t>
      </w:r>
      <w:r>
        <w:rPr>
          <w:i/>
          <w:sz w:val="24"/>
        </w:rPr>
        <w:t>distribution network </w:t>
      </w:r>
      <w:r>
        <w:rPr>
          <w:sz w:val="24"/>
        </w:rPr>
        <w:t>of the </w:t>
      </w:r>
      <w:r>
        <w:rPr>
          <w:i/>
          <w:sz w:val="24"/>
        </w:rPr>
        <w:t>Network User</w:t>
      </w:r>
      <w:r>
        <w:rPr>
          <w:sz w:val="24"/>
        </w:rPr>
        <w:t>.</w:t>
      </w:r>
    </w:p>
    <w:p>
      <w:pPr>
        <w:pStyle w:val="Heading5"/>
        <w:rPr>
          <w:i/>
        </w:rPr>
      </w:pPr>
      <w:r>
        <w:rPr>
          <w:i/>
        </w:rPr>
        <w:t>post-tax revenue model</w:t>
      </w:r>
    </w:p>
    <w:p>
      <w:pPr>
        <w:spacing w:before="120"/>
        <w:ind w:left="1352" w:right="0" w:firstLine="0"/>
        <w:jc w:val="left"/>
        <w:rPr>
          <w:i/>
          <w:sz w:val="24"/>
        </w:rPr>
      </w:pPr>
      <w:r>
        <w:rPr>
          <w:sz w:val="24"/>
        </w:rPr>
        <w:t>For a </w:t>
      </w:r>
      <w:r>
        <w:rPr>
          <w:i/>
          <w:sz w:val="24"/>
        </w:rPr>
        <w:t>Transmission Network Service Provider</w:t>
      </w:r>
      <w:r>
        <w:rPr>
          <w:sz w:val="24"/>
        </w:rPr>
        <w:t>, the model prepared and </w:t>
      </w:r>
      <w:r>
        <w:rPr>
          <w:i/>
          <w:sz w:val="24"/>
        </w:rPr>
        <w:t>published</w:t>
      </w:r>
    </w:p>
    <w:p>
      <w:pPr>
        <w:pStyle w:val="BodyText"/>
        <w:spacing w:before="0"/>
        <w:ind w:left="1352" w:firstLine="0"/>
        <w:jc w:val="left"/>
      </w:pPr>
      <w:r>
        <w:rPr/>
        <w:t>by the </w:t>
      </w:r>
      <w:r>
        <w:rPr>
          <w:i/>
        </w:rPr>
        <w:t>AER </w:t>
      </w:r>
      <w:r>
        <w:rPr/>
        <w:t>in accordance with clause 6A.5.2.</w:t>
      </w:r>
    </w:p>
    <w:p>
      <w:pPr>
        <w:spacing w:before="120"/>
        <w:ind w:left="1352" w:right="0" w:firstLine="0"/>
        <w:jc w:val="left"/>
        <w:rPr>
          <w:i/>
          <w:sz w:val="24"/>
        </w:rPr>
      </w:pPr>
      <w:r>
        <w:rPr>
          <w:sz w:val="24"/>
        </w:rPr>
        <w:t>For a </w:t>
      </w:r>
      <w:r>
        <w:rPr>
          <w:i/>
          <w:sz w:val="24"/>
        </w:rPr>
        <w:t>Distribution Network Service Provider</w:t>
      </w:r>
      <w:r>
        <w:rPr>
          <w:sz w:val="24"/>
        </w:rPr>
        <w:t>, the model prepared and </w:t>
      </w:r>
      <w:r>
        <w:rPr>
          <w:i/>
          <w:sz w:val="24"/>
        </w:rPr>
        <w:t>published</w:t>
      </w:r>
    </w:p>
    <w:p>
      <w:pPr>
        <w:pStyle w:val="BodyText"/>
        <w:spacing w:before="0"/>
        <w:ind w:left="1352" w:firstLine="0"/>
        <w:jc w:val="left"/>
      </w:pPr>
      <w:r>
        <w:rPr/>
        <w:t>by the </w:t>
      </w:r>
      <w:r>
        <w:rPr>
          <w:i/>
        </w:rPr>
        <w:t>AER </w:t>
      </w:r>
      <w:r>
        <w:rPr/>
        <w:t>in accordance with clause 6.4.1.</w:t>
      </w:r>
    </w:p>
    <w:p>
      <w:pPr>
        <w:pStyle w:val="Heading5"/>
        <w:jc w:val="left"/>
        <w:rPr>
          <w:i/>
        </w:rPr>
      </w:pPr>
      <w:r>
        <w:rPr>
          <w:i/>
        </w:rPr>
        <w:t>potential value</w:t>
      </w:r>
    </w:p>
    <w:p>
      <w:pPr>
        <w:spacing w:before="120"/>
        <w:ind w:left="1352" w:right="413" w:firstLine="0"/>
        <w:jc w:val="left"/>
        <w:rPr>
          <w:sz w:val="24"/>
        </w:rPr>
      </w:pPr>
      <w:r>
        <w:rPr>
          <w:sz w:val="24"/>
        </w:rPr>
        <w:t>In relation to a </w:t>
      </w:r>
      <w:r>
        <w:rPr>
          <w:i/>
          <w:sz w:val="24"/>
        </w:rPr>
        <w:t>transaction </w:t>
      </w:r>
      <w:r>
        <w:rPr>
          <w:sz w:val="24"/>
        </w:rPr>
        <w:t>for a </w:t>
      </w:r>
      <w:r>
        <w:rPr>
          <w:i/>
          <w:sz w:val="24"/>
        </w:rPr>
        <w:t>Market Participant</w:t>
      </w:r>
      <w:r>
        <w:rPr>
          <w:sz w:val="24"/>
        </w:rPr>
        <w:t>, the dollar amount determined by the procedure in clause 3.3.14.</w:t>
      </w:r>
    </w:p>
    <w:p>
      <w:pPr>
        <w:pStyle w:val="Heading5"/>
        <w:jc w:val="left"/>
        <w:rPr>
          <w:i/>
        </w:rPr>
      </w:pPr>
      <w:r>
        <w:rPr>
          <w:i/>
        </w:rPr>
        <w:t>power factor</w:t>
      </w:r>
    </w:p>
    <w:p>
      <w:pPr>
        <w:spacing w:before="120"/>
        <w:ind w:left="1352" w:right="0" w:firstLine="0"/>
        <w:jc w:val="left"/>
        <w:rPr>
          <w:sz w:val="24"/>
        </w:rPr>
      </w:pPr>
      <w:r>
        <w:rPr>
          <w:sz w:val="24"/>
        </w:rPr>
        <w:t>The ratio of the </w:t>
      </w:r>
      <w:r>
        <w:rPr>
          <w:i/>
          <w:sz w:val="24"/>
        </w:rPr>
        <w:t>active power </w:t>
      </w:r>
      <w:r>
        <w:rPr>
          <w:sz w:val="24"/>
        </w:rPr>
        <w:t>to the </w:t>
      </w:r>
      <w:r>
        <w:rPr>
          <w:i/>
          <w:sz w:val="24"/>
        </w:rPr>
        <w:t>apparent power </w:t>
      </w:r>
      <w:r>
        <w:rPr>
          <w:sz w:val="24"/>
        </w:rPr>
        <w:t>at a </w:t>
      </w:r>
      <w:r>
        <w:rPr>
          <w:i/>
          <w:sz w:val="24"/>
        </w:rPr>
        <w:t>metering point</w:t>
      </w:r>
      <w:r>
        <w:rPr>
          <w:sz w:val="24"/>
        </w:rPr>
        <w:t>.</w:t>
      </w:r>
    </w:p>
    <w:p>
      <w:pPr>
        <w:pStyle w:val="Heading5"/>
        <w:jc w:val="left"/>
        <w:rPr>
          <w:i/>
        </w:rPr>
      </w:pPr>
      <w:r>
        <w:rPr>
          <w:i/>
        </w:rPr>
        <w:t>power station</w:t>
      </w:r>
    </w:p>
    <w:p>
      <w:pPr>
        <w:spacing w:before="120"/>
        <w:ind w:left="1352" w:right="415" w:firstLine="0"/>
        <w:jc w:val="left"/>
        <w:rPr>
          <w:sz w:val="24"/>
        </w:rPr>
      </w:pPr>
      <w:r>
        <w:rPr>
          <w:sz w:val="24"/>
        </w:rPr>
        <w:t>In relation to a </w:t>
      </w:r>
      <w:r>
        <w:rPr>
          <w:i/>
          <w:sz w:val="24"/>
        </w:rPr>
        <w:t>Generator</w:t>
      </w:r>
      <w:r>
        <w:rPr>
          <w:sz w:val="24"/>
        </w:rPr>
        <w:t>, a </w:t>
      </w:r>
      <w:r>
        <w:rPr>
          <w:i/>
          <w:sz w:val="24"/>
        </w:rPr>
        <w:t>facility </w:t>
      </w:r>
      <w:r>
        <w:rPr>
          <w:sz w:val="24"/>
        </w:rPr>
        <w:t>in which any of that </w:t>
      </w:r>
      <w:r>
        <w:rPr>
          <w:i/>
          <w:sz w:val="24"/>
        </w:rPr>
        <w:t>Generator's generating </w:t>
      </w:r>
      <w:r>
        <w:rPr>
          <w:i/>
          <w:sz w:val="24"/>
        </w:rPr>
        <w:t>units </w:t>
      </w:r>
      <w:r>
        <w:rPr>
          <w:sz w:val="24"/>
        </w:rPr>
        <w:t>are located.</w:t>
      </w:r>
    </w:p>
    <w:p>
      <w:pPr>
        <w:pStyle w:val="Heading5"/>
        <w:jc w:val="left"/>
        <w:rPr>
          <w:i/>
        </w:rPr>
      </w:pPr>
      <w:r>
        <w:rPr>
          <w:i/>
        </w:rPr>
        <w:t>power system</w:t>
      </w:r>
    </w:p>
    <w:p>
      <w:pPr>
        <w:spacing w:before="120"/>
        <w:ind w:left="1352" w:right="415" w:firstLine="0"/>
        <w:jc w:val="both"/>
        <w:rPr>
          <w:sz w:val="24"/>
        </w:rPr>
      </w:pPr>
      <w:r>
        <w:rPr>
          <w:sz w:val="24"/>
        </w:rPr>
        <w:t>The electricity power system of the </w:t>
      </w:r>
      <w:r>
        <w:rPr>
          <w:i/>
          <w:sz w:val="24"/>
        </w:rPr>
        <w:t>national grid </w:t>
      </w:r>
      <w:r>
        <w:rPr>
          <w:sz w:val="24"/>
        </w:rPr>
        <w:t>including associated </w:t>
      </w:r>
      <w:r>
        <w:rPr>
          <w:i/>
          <w:sz w:val="24"/>
        </w:rPr>
        <w:t>generation </w:t>
      </w:r>
      <w:r>
        <w:rPr>
          <w:sz w:val="24"/>
        </w:rPr>
        <w:t>and </w:t>
      </w:r>
      <w:r>
        <w:rPr>
          <w:i/>
          <w:sz w:val="24"/>
        </w:rPr>
        <w:t>transmission </w:t>
      </w:r>
      <w:r>
        <w:rPr>
          <w:sz w:val="24"/>
        </w:rPr>
        <w:t>and </w:t>
      </w:r>
      <w:r>
        <w:rPr>
          <w:i/>
          <w:sz w:val="24"/>
        </w:rPr>
        <w:t>distribution networks </w:t>
      </w:r>
      <w:r>
        <w:rPr>
          <w:sz w:val="24"/>
        </w:rPr>
        <w:t>for the </w:t>
      </w:r>
      <w:r>
        <w:rPr>
          <w:i/>
          <w:sz w:val="24"/>
        </w:rPr>
        <w:t>supply </w:t>
      </w:r>
      <w:r>
        <w:rPr>
          <w:sz w:val="24"/>
        </w:rPr>
        <w:t>of electricity, operated as an integrated arrangement or arrangements.</w:t>
      </w:r>
    </w:p>
    <w:p>
      <w:pPr>
        <w:pStyle w:val="Heading5"/>
        <w:rPr>
          <w:i/>
        </w:rPr>
      </w:pPr>
      <w:r>
        <w:rPr>
          <w:i/>
        </w:rPr>
        <w:t>power system</w:t>
      </w:r>
      <w:r>
        <w:rPr>
          <w:i/>
          <w:spacing w:val="-7"/>
        </w:rPr>
        <w:t> </w:t>
      </w:r>
      <w:r>
        <w:rPr>
          <w:i/>
        </w:rPr>
        <w:t>damping</w:t>
      </w:r>
    </w:p>
    <w:p>
      <w:pPr>
        <w:spacing w:before="120"/>
        <w:ind w:left="1352" w:right="417" w:firstLine="0"/>
        <w:jc w:val="both"/>
        <w:rPr>
          <w:sz w:val="24"/>
        </w:rPr>
      </w:pPr>
      <w:r>
        <w:rPr>
          <w:sz w:val="24"/>
        </w:rPr>
        <w:t>The rate at which disturbances to the </w:t>
      </w:r>
      <w:r>
        <w:rPr>
          <w:i/>
          <w:sz w:val="24"/>
        </w:rPr>
        <w:t>satisfactory operating state </w:t>
      </w:r>
      <w:r>
        <w:rPr>
          <w:sz w:val="24"/>
        </w:rPr>
        <w:t>reduce in magnitude.</w:t>
      </w:r>
    </w:p>
    <w:p>
      <w:pPr>
        <w:pStyle w:val="Heading5"/>
        <w:rPr>
          <w:i/>
        </w:rPr>
      </w:pPr>
      <w:r>
        <w:rPr>
          <w:i/>
        </w:rPr>
        <w:t>power system demand</w:t>
      </w:r>
    </w:p>
    <w:p>
      <w:pPr>
        <w:spacing w:before="120"/>
        <w:ind w:left="1352" w:right="0" w:firstLine="0"/>
        <w:jc w:val="both"/>
        <w:rPr>
          <w:sz w:val="24"/>
        </w:rPr>
      </w:pPr>
      <w:r>
        <w:rPr>
          <w:sz w:val="24"/>
        </w:rPr>
        <w:t>The total </w:t>
      </w:r>
      <w:r>
        <w:rPr>
          <w:i/>
          <w:sz w:val="24"/>
        </w:rPr>
        <w:t>load </w:t>
      </w:r>
      <w:r>
        <w:rPr>
          <w:sz w:val="24"/>
        </w:rPr>
        <w:t>(in MW) supplied by the </w:t>
      </w:r>
      <w:r>
        <w:rPr>
          <w:i/>
          <w:sz w:val="24"/>
        </w:rPr>
        <w:t>power system</w:t>
      </w:r>
      <w:r>
        <w:rPr>
          <w:sz w:val="24"/>
        </w:rPr>
        <w:t>.</w:t>
      </w:r>
    </w:p>
    <w:p>
      <w:pPr>
        <w:pStyle w:val="Heading5"/>
        <w:rPr>
          <w:i/>
        </w:rPr>
      </w:pPr>
      <w:r>
        <w:rPr>
          <w:i/>
        </w:rPr>
        <w:t>Power System Design Data Sheet</w:t>
      </w:r>
    </w:p>
    <w:p>
      <w:pPr>
        <w:spacing w:before="120"/>
        <w:ind w:left="1352" w:right="0" w:firstLine="0"/>
        <w:jc w:val="both"/>
        <w:rPr>
          <w:sz w:val="24"/>
        </w:rPr>
      </w:pPr>
      <w:r>
        <w:rPr>
          <w:sz w:val="24"/>
        </w:rPr>
        <w:t>The data sheet </w:t>
      </w:r>
      <w:r>
        <w:rPr>
          <w:i/>
          <w:sz w:val="24"/>
        </w:rPr>
        <w:t>published </w:t>
      </w:r>
      <w:r>
        <w:rPr>
          <w:sz w:val="24"/>
        </w:rPr>
        <w:t>by </w:t>
      </w:r>
      <w:r>
        <w:rPr>
          <w:i/>
          <w:sz w:val="24"/>
        </w:rPr>
        <w:t>AEMO </w:t>
      </w:r>
      <w:r>
        <w:rPr>
          <w:sz w:val="24"/>
        </w:rPr>
        <w:t>under clause S5.5.7(a)(1).</w:t>
      </w:r>
    </w:p>
    <w:p>
      <w:pPr>
        <w:pStyle w:val="Heading5"/>
        <w:rPr>
          <w:i/>
        </w:rPr>
      </w:pPr>
      <w:r>
        <w:rPr>
          <w:i/>
        </w:rPr>
        <w:t>Power System Model Guidelines</w:t>
      </w:r>
    </w:p>
    <w:p>
      <w:pPr>
        <w:spacing w:before="120"/>
        <w:ind w:left="1352" w:right="0" w:firstLine="0"/>
        <w:jc w:val="both"/>
        <w:rPr>
          <w:sz w:val="24"/>
        </w:rPr>
      </w:pPr>
      <w:r>
        <w:rPr>
          <w:sz w:val="24"/>
        </w:rPr>
        <w:t>The guidelines </w:t>
      </w:r>
      <w:r>
        <w:rPr>
          <w:i/>
          <w:sz w:val="24"/>
        </w:rPr>
        <w:t>published </w:t>
      </w:r>
      <w:r>
        <w:rPr>
          <w:sz w:val="24"/>
        </w:rPr>
        <w:t>by </w:t>
      </w:r>
      <w:r>
        <w:rPr>
          <w:i/>
          <w:sz w:val="24"/>
        </w:rPr>
        <w:t>AEMO </w:t>
      </w:r>
      <w:r>
        <w:rPr>
          <w:sz w:val="24"/>
        </w:rPr>
        <w:t>under clause S5.5.7(a)(3).</w:t>
      </w:r>
    </w:p>
    <w:p>
      <w:pPr>
        <w:pStyle w:val="Heading5"/>
        <w:rPr>
          <w:i/>
        </w:rPr>
      </w:pPr>
      <w:r>
        <w:rPr>
          <w:i/>
        </w:rPr>
        <w:t>Power System Setting Data Sheet</w:t>
      </w:r>
    </w:p>
    <w:p>
      <w:pPr>
        <w:spacing w:before="120"/>
        <w:ind w:left="1352" w:right="0" w:firstLine="0"/>
        <w:jc w:val="both"/>
        <w:rPr>
          <w:sz w:val="24"/>
        </w:rPr>
      </w:pPr>
      <w:r>
        <w:rPr>
          <w:sz w:val="24"/>
        </w:rPr>
        <w:t>The data sheet </w:t>
      </w:r>
      <w:r>
        <w:rPr>
          <w:i/>
          <w:sz w:val="24"/>
        </w:rPr>
        <w:t>published </w:t>
      </w:r>
      <w:r>
        <w:rPr>
          <w:sz w:val="24"/>
        </w:rPr>
        <w:t>by </w:t>
      </w:r>
      <w:r>
        <w:rPr>
          <w:i/>
          <w:sz w:val="24"/>
        </w:rPr>
        <w:t>AEMO </w:t>
      </w:r>
      <w:r>
        <w:rPr>
          <w:sz w:val="24"/>
        </w:rPr>
        <w:t>under clause S5.5.7(a)(2).</w:t>
      </w:r>
    </w:p>
    <w:p>
      <w:pPr>
        <w:pStyle w:val="Heading5"/>
        <w:rPr>
          <w:i/>
        </w:rPr>
      </w:pPr>
      <w:r>
        <w:rPr>
          <w:i/>
        </w:rPr>
        <w:t>power system frequency risk review</w:t>
      </w:r>
    </w:p>
    <w:p>
      <w:pPr>
        <w:pStyle w:val="BodyText"/>
        <w:ind w:left="1352" w:firstLine="0"/>
      </w:pPr>
      <w:r>
        <w:rPr/>
        <w:t>A review described in clause 5.20A.1(c).</w:t>
      </w:r>
    </w:p>
    <w:p>
      <w:pPr>
        <w:pStyle w:val="Heading5"/>
        <w:rPr>
          <w:i/>
        </w:rPr>
      </w:pPr>
      <w:r>
        <w:rPr>
          <w:i/>
        </w:rPr>
        <w:t>power system operating procedures</w:t>
      </w:r>
    </w:p>
    <w:p>
      <w:pPr>
        <w:pStyle w:val="BodyText"/>
        <w:ind w:left="1352" w:right="415" w:firstLine="0"/>
      </w:pPr>
      <w:r>
        <w:rPr/>
        <w:t>The procedures to be followed by </w:t>
      </w:r>
      <w:r>
        <w:rPr>
          <w:i/>
        </w:rPr>
        <w:t>Registered Participants </w:t>
      </w:r>
      <w:r>
        <w:rPr/>
        <w:t>in carrying out operations and/or maintenance activities on or in relation to primary and</w:t>
      </w:r>
    </w:p>
    <w:p>
      <w:pPr>
        <w:spacing w:after="0"/>
        <w:sectPr>
          <w:pgSz w:w="11910" w:h="16840"/>
          <w:pgMar w:header="686" w:footer="637" w:top="1320" w:bottom="820" w:left="1200" w:right="1000"/>
        </w:sectPr>
      </w:pPr>
    </w:p>
    <w:p>
      <w:pPr>
        <w:spacing w:before="83"/>
        <w:ind w:left="1352" w:right="0" w:firstLine="0"/>
        <w:jc w:val="both"/>
        <w:rPr>
          <w:sz w:val="24"/>
        </w:rPr>
      </w:pPr>
      <w:r>
        <w:rPr>
          <w:i/>
          <w:sz w:val="24"/>
        </w:rPr>
        <w:t>secondary equipment connected </w:t>
      </w:r>
      <w:r>
        <w:rPr>
          <w:sz w:val="24"/>
        </w:rPr>
        <w:t>to or forming part of the </w:t>
      </w:r>
      <w:r>
        <w:rPr>
          <w:i/>
          <w:sz w:val="24"/>
        </w:rPr>
        <w:t>power system </w:t>
      </w:r>
      <w:r>
        <w:rPr>
          <w:sz w:val="24"/>
        </w:rPr>
        <w:t>or</w:t>
      </w:r>
    </w:p>
    <w:p>
      <w:pPr>
        <w:spacing w:before="0"/>
        <w:ind w:left="1352" w:right="0" w:firstLine="0"/>
        <w:jc w:val="both"/>
        <w:rPr>
          <w:sz w:val="24"/>
        </w:rPr>
      </w:pPr>
      <w:r>
        <w:rPr>
          <w:i/>
          <w:sz w:val="24"/>
        </w:rPr>
        <w:t>connection points</w:t>
      </w:r>
      <w:r>
        <w:rPr>
          <w:sz w:val="24"/>
        </w:rPr>
        <w:t>, as described in clause 4.10.1.</w:t>
      </w:r>
    </w:p>
    <w:p>
      <w:pPr>
        <w:pStyle w:val="Heading5"/>
        <w:rPr>
          <w:i/>
        </w:rPr>
      </w:pPr>
      <w:r>
        <w:rPr>
          <w:i/>
        </w:rPr>
        <w:t>power system reserve constraint</w:t>
      </w:r>
    </w:p>
    <w:p>
      <w:pPr>
        <w:spacing w:before="120"/>
        <w:ind w:left="1352" w:right="415" w:firstLine="0"/>
        <w:jc w:val="both"/>
        <w:rPr>
          <w:sz w:val="24"/>
        </w:rPr>
      </w:pPr>
      <w:r>
        <w:rPr>
          <w:sz w:val="24"/>
        </w:rPr>
        <w:t>A </w:t>
      </w:r>
      <w:r>
        <w:rPr>
          <w:i/>
          <w:sz w:val="24"/>
        </w:rPr>
        <w:t>constraint </w:t>
      </w:r>
      <w:r>
        <w:rPr>
          <w:sz w:val="24"/>
        </w:rPr>
        <w:t>in the </w:t>
      </w:r>
      <w:r>
        <w:rPr>
          <w:i/>
          <w:sz w:val="24"/>
        </w:rPr>
        <w:t>central dispatch </w:t>
      </w:r>
      <w:r>
        <w:rPr>
          <w:sz w:val="24"/>
        </w:rPr>
        <w:t>due to the need to provide or maintain a specified type and level of </w:t>
      </w:r>
      <w:r>
        <w:rPr>
          <w:i/>
          <w:sz w:val="24"/>
        </w:rPr>
        <w:t>scheduled reserve</w:t>
      </w:r>
      <w:r>
        <w:rPr>
          <w:sz w:val="24"/>
        </w:rPr>
        <w:t>.</w:t>
      </w:r>
    </w:p>
    <w:p>
      <w:pPr>
        <w:pStyle w:val="Heading5"/>
        <w:rPr>
          <w:i/>
        </w:rPr>
      </w:pPr>
      <w:r>
        <w:rPr>
          <w:i/>
        </w:rPr>
        <w:t>power system security</w:t>
      </w:r>
    </w:p>
    <w:p>
      <w:pPr>
        <w:spacing w:before="120"/>
        <w:ind w:left="1352" w:right="415" w:firstLine="0"/>
        <w:jc w:val="both"/>
        <w:rPr>
          <w:sz w:val="24"/>
        </w:rPr>
      </w:pPr>
      <w:r>
        <w:rPr>
          <w:sz w:val="24"/>
        </w:rPr>
        <w:t>The safe scheduling, operation and control of the </w:t>
      </w:r>
      <w:r>
        <w:rPr>
          <w:i/>
          <w:sz w:val="24"/>
        </w:rPr>
        <w:t>power system </w:t>
      </w:r>
      <w:r>
        <w:rPr>
          <w:sz w:val="24"/>
        </w:rPr>
        <w:t>on a continuous basis in accordance with the principles set out in </w:t>
      </w:r>
      <w:r>
        <w:rPr>
          <w:i/>
          <w:sz w:val="24"/>
        </w:rPr>
        <w:t>jurisdictional electricity </w:t>
      </w:r>
      <w:r>
        <w:rPr>
          <w:i/>
          <w:sz w:val="24"/>
        </w:rPr>
        <w:t>legislation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414" w:firstLine="0"/>
        <w:jc w:val="both"/>
        <w:rPr>
          <w:sz w:val="20"/>
        </w:rPr>
      </w:pPr>
      <w:r>
        <w:rPr>
          <w:sz w:val="20"/>
        </w:rPr>
        <w:t>The principles that will be set out in </w:t>
      </w:r>
      <w:r>
        <w:rPr>
          <w:i/>
          <w:sz w:val="20"/>
        </w:rPr>
        <w:t>jurisdictional electricity legislation </w:t>
      </w:r>
      <w:r>
        <w:rPr>
          <w:sz w:val="20"/>
        </w:rPr>
        <w:t>in the above definition will correspond to principles set out in clause 4.2.6 in the </w:t>
      </w:r>
      <w:r>
        <w:rPr>
          <w:i/>
          <w:sz w:val="20"/>
        </w:rPr>
        <w:t>Rules </w:t>
      </w:r>
      <w:r>
        <w:rPr>
          <w:sz w:val="20"/>
        </w:rPr>
        <w:t>applying in other </w:t>
      </w:r>
      <w:r>
        <w:rPr>
          <w:i/>
          <w:sz w:val="20"/>
        </w:rPr>
        <w:t>participating </w:t>
      </w:r>
      <w:r>
        <w:rPr>
          <w:i/>
          <w:sz w:val="20"/>
        </w:rPr>
        <w:t>jurisdictions</w:t>
      </w:r>
      <w:r>
        <w:rPr>
          <w:sz w:val="20"/>
        </w:rPr>
        <w:t>.</w:t>
      </w:r>
    </w:p>
    <w:p>
      <w:pPr>
        <w:pStyle w:val="Heading5"/>
        <w:rPr>
          <w:i/>
        </w:rPr>
      </w:pPr>
      <w:r>
        <w:rPr>
          <w:i/>
        </w:rPr>
        <w:t>power system security standards</w:t>
      </w:r>
    </w:p>
    <w:p>
      <w:pPr>
        <w:spacing w:before="120"/>
        <w:ind w:left="1352" w:right="414" w:firstLine="0"/>
        <w:jc w:val="both"/>
        <w:rPr>
          <w:sz w:val="24"/>
        </w:rPr>
      </w:pPr>
      <w:r>
        <w:rPr>
          <w:sz w:val="24"/>
        </w:rPr>
        <w:t>The standards (other than the </w:t>
      </w:r>
      <w:r>
        <w:rPr>
          <w:i/>
          <w:sz w:val="24"/>
        </w:rPr>
        <w:t>reliability standard </w:t>
      </w:r>
      <w:r>
        <w:rPr>
          <w:sz w:val="24"/>
        </w:rPr>
        <w:t>and the </w:t>
      </w:r>
      <w:r>
        <w:rPr>
          <w:i/>
          <w:sz w:val="24"/>
        </w:rPr>
        <w:t>system restart standard</w:t>
      </w:r>
      <w:r>
        <w:rPr>
          <w:sz w:val="24"/>
        </w:rPr>
        <w:t>) governing </w:t>
      </w:r>
      <w:r>
        <w:rPr>
          <w:i/>
          <w:sz w:val="24"/>
        </w:rPr>
        <w:t>power system security </w:t>
      </w:r>
      <w:r>
        <w:rPr>
          <w:sz w:val="24"/>
        </w:rPr>
        <w:t>and </w:t>
      </w:r>
      <w:r>
        <w:rPr>
          <w:i/>
          <w:sz w:val="24"/>
        </w:rPr>
        <w:t>reliability </w:t>
      </w:r>
      <w:r>
        <w:rPr>
          <w:sz w:val="24"/>
        </w:rPr>
        <w:t>of the </w:t>
      </w:r>
      <w:r>
        <w:rPr>
          <w:i/>
          <w:sz w:val="24"/>
        </w:rPr>
        <w:t>power system </w:t>
      </w:r>
      <w:r>
        <w:rPr>
          <w:sz w:val="24"/>
        </w:rPr>
        <w:t>to be approved by the </w:t>
      </w:r>
      <w:r>
        <w:rPr>
          <w:i/>
          <w:sz w:val="24"/>
        </w:rPr>
        <w:t>Reliability Panel </w:t>
      </w:r>
      <w:r>
        <w:rPr>
          <w:sz w:val="24"/>
        </w:rPr>
        <w:t>on the advice of </w:t>
      </w:r>
      <w:r>
        <w:rPr>
          <w:i/>
          <w:sz w:val="24"/>
        </w:rPr>
        <w:t>AEMO</w:t>
      </w:r>
      <w:r>
        <w:rPr>
          <w:sz w:val="24"/>
        </w:rPr>
        <w:t>, but which may include but are not limited to standards for the </w:t>
      </w:r>
      <w:r>
        <w:rPr>
          <w:i/>
          <w:sz w:val="24"/>
        </w:rPr>
        <w:t>frequency </w:t>
      </w:r>
      <w:r>
        <w:rPr>
          <w:sz w:val="24"/>
        </w:rPr>
        <w:t>of the </w:t>
      </w:r>
      <w:r>
        <w:rPr>
          <w:i/>
          <w:sz w:val="24"/>
        </w:rPr>
        <w:t>power system </w:t>
      </w:r>
      <w:r>
        <w:rPr>
          <w:sz w:val="24"/>
        </w:rPr>
        <w:t>in operation and </w:t>
      </w:r>
      <w:r>
        <w:rPr>
          <w:i/>
          <w:sz w:val="24"/>
        </w:rPr>
        <w:t>contingency capacity reserves </w:t>
      </w:r>
      <w:r>
        <w:rPr>
          <w:sz w:val="24"/>
        </w:rPr>
        <w:t>(including guidelines for assessing requirements).</w:t>
      </w:r>
    </w:p>
    <w:p>
      <w:pPr>
        <w:pStyle w:val="Heading5"/>
        <w:rPr>
          <w:i/>
        </w:rPr>
      </w:pPr>
      <w:r>
        <w:rPr>
          <w:i/>
        </w:rPr>
        <w:t>power transfer</w:t>
      </w:r>
    </w:p>
    <w:p>
      <w:pPr>
        <w:spacing w:before="120"/>
        <w:ind w:left="1352" w:right="415" w:firstLine="0"/>
        <w:jc w:val="both"/>
        <w:rPr>
          <w:sz w:val="24"/>
        </w:rPr>
      </w:pPr>
      <w:r>
        <w:rPr>
          <w:sz w:val="24"/>
        </w:rPr>
        <w:t>The instantaneous rate at which </w:t>
      </w:r>
      <w:r>
        <w:rPr>
          <w:i/>
          <w:sz w:val="24"/>
        </w:rPr>
        <w:t>active energy </w:t>
      </w:r>
      <w:r>
        <w:rPr>
          <w:sz w:val="24"/>
        </w:rPr>
        <w:t>is transferred between </w:t>
      </w:r>
      <w:r>
        <w:rPr>
          <w:i/>
          <w:sz w:val="24"/>
        </w:rPr>
        <w:t>connection </w:t>
      </w:r>
      <w:r>
        <w:rPr>
          <w:i/>
          <w:sz w:val="24"/>
        </w:rPr>
        <w:t>points</w:t>
      </w:r>
      <w:r>
        <w:rPr>
          <w:sz w:val="24"/>
        </w:rPr>
        <w:t>.</w:t>
      </w:r>
    </w:p>
    <w:p>
      <w:pPr>
        <w:pStyle w:val="Heading5"/>
        <w:rPr>
          <w:i/>
        </w:rPr>
      </w:pPr>
      <w:r>
        <w:rPr>
          <w:i/>
        </w:rPr>
        <w:t>power transfer capability</w:t>
      </w:r>
    </w:p>
    <w:p>
      <w:pPr>
        <w:spacing w:before="120"/>
        <w:ind w:left="1352" w:right="414" w:firstLine="0"/>
        <w:jc w:val="both"/>
        <w:rPr>
          <w:sz w:val="24"/>
        </w:rPr>
      </w:pPr>
      <w:r>
        <w:rPr>
          <w:sz w:val="24"/>
        </w:rPr>
        <w:t>The maximum permitted </w:t>
      </w:r>
      <w:r>
        <w:rPr>
          <w:i/>
          <w:sz w:val="24"/>
        </w:rPr>
        <w:t>power transfer </w:t>
      </w:r>
      <w:r>
        <w:rPr>
          <w:sz w:val="24"/>
        </w:rPr>
        <w:t>through a </w:t>
      </w:r>
      <w:r>
        <w:rPr>
          <w:i/>
          <w:sz w:val="24"/>
        </w:rPr>
        <w:t>transmission </w:t>
      </w:r>
      <w:r>
        <w:rPr>
          <w:sz w:val="24"/>
        </w:rPr>
        <w:t>or </w:t>
      </w:r>
      <w:r>
        <w:rPr>
          <w:i/>
          <w:sz w:val="24"/>
        </w:rPr>
        <w:t>distribution </w:t>
      </w:r>
      <w:r>
        <w:rPr>
          <w:i/>
          <w:sz w:val="24"/>
        </w:rPr>
        <w:t>network </w:t>
      </w:r>
      <w:r>
        <w:rPr>
          <w:sz w:val="24"/>
        </w:rPr>
        <w:t>or part</w:t>
      </w:r>
      <w:r>
        <w:rPr>
          <w:spacing w:val="-1"/>
          <w:sz w:val="24"/>
        </w:rPr>
        <w:t> </w:t>
      </w:r>
      <w:r>
        <w:rPr>
          <w:sz w:val="24"/>
        </w:rPr>
        <w:t>thereof.</w:t>
      </w:r>
    </w:p>
    <w:p>
      <w:pPr>
        <w:pStyle w:val="Heading5"/>
        <w:rPr>
          <w:i/>
        </w:rPr>
      </w:pPr>
      <w:r>
        <w:rPr>
          <w:i/>
        </w:rPr>
        <w:t>pre-adjusted locational</w:t>
      </w:r>
      <w:r>
        <w:rPr>
          <w:i/>
          <w:spacing w:val="-1"/>
        </w:rPr>
        <w:t> </w:t>
      </w:r>
      <w:r>
        <w:rPr>
          <w:i/>
        </w:rPr>
        <w:t>component</w:t>
      </w:r>
    </w:p>
    <w:p>
      <w:pPr>
        <w:pStyle w:val="BodyText"/>
        <w:ind w:left="1352" w:firstLine="0"/>
      </w:pPr>
      <w:r>
        <w:rPr/>
        <w:t>Has the meaning given to it in clause 6A.23.3(a).</w:t>
      </w:r>
    </w:p>
    <w:p>
      <w:pPr>
        <w:pStyle w:val="Heading5"/>
        <w:rPr>
          <w:i/>
        </w:rPr>
      </w:pPr>
      <w:r>
        <w:rPr>
          <w:i/>
        </w:rPr>
        <w:t>pre-adjusted non-locational component</w:t>
      </w:r>
    </w:p>
    <w:p>
      <w:pPr>
        <w:pStyle w:val="BodyText"/>
        <w:ind w:left="1352" w:firstLine="0"/>
      </w:pPr>
      <w:r>
        <w:rPr/>
        <w:t>Has the meaning given to it in clause 6A.23.3(a).</w:t>
      </w:r>
    </w:p>
    <w:p>
      <w:pPr>
        <w:pStyle w:val="Heading5"/>
        <w:jc w:val="left"/>
        <w:rPr>
          <w:i/>
        </w:rPr>
      </w:pPr>
      <w:r>
        <w:rPr>
          <w:i/>
        </w:rPr>
        <w:t>pre-dispatch</w:t>
      </w:r>
    </w:p>
    <w:p>
      <w:pPr>
        <w:spacing w:before="120"/>
        <w:ind w:left="1352" w:right="0" w:firstLine="0"/>
        <w:jc w:val="left"/>
        <w:rPr>
          <w:i/>
          <w:sz w:val="24"/>
        </w:rPr>
      </w:pPr>
      <w:r>
        <w:rPr>
          <w:sz w:val="24"/>
        </w:rPr>
        <w:t>Forecast of </w:t>
      </w:r>
      <w:r>
        <w:rPr>
          <w:i/>
          <w:sz w:val="24"/>
        </w:rPr>
        <w:t>dispatch </w:t>
      </w:r>
      <w:r>
        <w:rPr>
          <w:sz w:val="24"/>
        </w:rPr>
        <w:t>performed one </w:t>
      </w:r>
      <w:r>
        <w:rPr>
          <w:i/>
          <w:sz w:val="24"/>
        </w:rPr>
        <w:t>day </w:t>
      </w:r>
      <w:r>
        <w:rPr>
          <w:sz w:val="24"/>
        </w:rPr>
        <w:t>before the </w:t>
      </w:r>
      <w:r>
        <w:rPr>
          <w:i/>
          <w:sz w:val="24"/>
        </w:rPr>
        <w:t>trading day </w:t>
      </w:r>
      <w:r>
        <w:rPr>
          <w:sz w:val="24"/>
        </w:rPr>
        <w:t>on which </w:t>
      </w:r>
      <w:r>
        <w:rPr>
          <w:i/>
          <w:sz w:val="24"/>
        </w:rPr>
        <w:t>dispatch</w:t>
      </w:r>
    </w:p>
    <w:p>
      <w:pPr>
        <w:pStyle w:val="BodyText"/>
        <w:spacing w:before="0"/>
        <w:ind w:left="1352" w:firstLine="0"/>
        <w:jc w:val="left"/>
      </w:pPr>
      <w:r>
        <w:rPr/>
        <w:t>is scheduled to occur.</w:t>
      </w:r>
    </w:p>
    <w:p>
      <w:pPr>
        <w:pStyle w:val="Heading5"/>
        <w:jc w:val="left"/>
        <w:rPr>
          <w:i/>
        </w:rPr>
      </w:pPr>
      <w:r>
        <w:rPr>
          <w:i/>
        </w:rPr>
        <w:t>pre-dispatch schedule</w:t>
      </w:r>
    </w:p>
    <w:p>
      <w:pPr>
        <w:pStyle w:val="BodyText"/>
        <w:ind w:left="1352" w:firstLine="0"/>
        <w:jc w:val="left"/>
      </w:pPr>
      <w:r>
        <w:rPr/>
        <w:t>A schedule prepared in accordance with clause 3.8.20(a).</w:t>
      </w:r>
    </w:p>
    <w:p>
      <w:pPr>
        <w:pStyle w:val="Heading5"/>
        <w:jc w:val="left"/>
        <w:rPr>
          <w:i/>
        </w:rPr>
      </w:pPr>
      <w:r>
        <w:rPr>
          <w:i/>
        </w:rPr>
        <w:t>preliminary program</w:t>
      </w:r>
    </w:p>
    <w:p>
      <w:pPr>
        <w:spacing w:before="120"/>
        <w:ind w:left="1352" w:right="0" w:firstLine="0"/>
        <w:jc w:val="left"/>
        <w:rPr>
          <w:sz w:val="24"/>
        </w:rPr>
      </w:pPr>
      <w:r>
        <w:rPr>
          <w:sz w:val="24"/>
        </w:rPr>
        <w:t>The program to be prepared by a </w:t>
      </w:r>
      <w:r>
        <w:rPr>
          <w:i/>
          <w:sz w:val="24"/>
        </w:rPr>
        <w:t>Network Service Provider </w:t>
      </w:r>
      <w:r>
        <w:rPr>
          <w:sz w:val="24"/>
        </w:rPr>
        <w:t>showing proposed milestones for </w:t>
      </w:r>
      <w:r>
        <w:rPr>
          <w:i/>
          <w:sz w:val="24"/>
        </w:rPr>
        <w:t>connection </w:t>
      </w:r>
      <w:r>
        <w:rPr>
          <w:sz w:val="24"/>
        </w:rPr>
        <w:t>and access activities as specified in clause 5.3.3(b)(6).</w:t>
      </w:r>
    </w:p>
    <w:p>
      <w:pPr>
        <w:pStyle w:val="Heading5"/>
        <w:jc w:val="left"/>
        <w:rPr>
          <w:i/>
        </w:rPr>
      </w:pPr>
      <w:r>
        <w:rPr>
          <w:i/>
        </w:rPr>
        <w:t>preliminary statement</w:t>
      </w:r>
    </w:p>
    <w:p>
      <w:pPr>
        <w:pStyle w:val="BodyText"/>
        <w:ind w:left="1352" w:firstLine="0"/>
        <w:jc w:val="left"/>
      </w:pPr>
      <w:r>
        <w:rPr/>
        <w:t>Has the meaning given in clause 3.15.14(a).</w:t>
      </w:r>
    </w:p>
    <w:p>
      <w:pPr>
        <w:spacing w:after="0"/>
        <w:jc w:val="left"/>
        <w:sectPr>
          <w:pgSz w:w="11910" w:h="16840"/>
          <w:pgMar w:header="686" w:footer="637" w:top="1320" w:bottom="820" w:left="1200" w:right="1000"/>
        </w:sectPr>
      </w:pPr>
    </w:p>
    <w:p>
      <w:pPr>
        <w:pStyle w:val="Heading5"/>
        <w:spacing w:before="83"/>
        <w:rPr>
          <w:i/>
        </w:rPr>
      </w:pPr>
      <w:r>
        <w:rPr>
          <w:i/>
        </w:rPr>
        <w:t>premises connection assets</w:t>
      </w:r>
    </w:p>
    <w:p>
      <w:pPr>
        <w:pStyle w:val="BodyText"/>
        <w:ind w:left="1352" w:firstLine="0"/>
      </w:pPr>
      <w:r>
        <w:rPr/>
        <w:t>Has (in the context of Chapter 5A) the meaning given in clause 5A.A.1</w:t>
      </w:r>
    </w:p>
    <w:p>
      <w:pPr>
        <w:pStyle w:val="Heading5"/>
        <w:rPr>
          <w:i/>
        </w:rPr>
      </w:pPr>
      <w:r>
        <w:rPr>
          <w:i/>
        </w:rPr>
        <w:t>prescribed common transmission services</w:t>
      </w:r>
    </w:p>
    <w:p>
      <w:pPr>
        <w:spacing w:before="120"/>
        <w:ind w:left="1352" w:right="0" w:firstLine="0"/>
        <w:jc w:val="both"/>
        <w:rPr>
          <w:sz w:val="24"/>
        </w:rPr>
      </w:pPr>
      <w:r>
        <w:rPr>
          <w:i/>
          <w:sz w:val="24"/>
        </w:rPr>
        <w:t>Prescribed transmission services </w:t>
      </w:r>
      <w:r>
        <w:rPr>
          <w:sz w:val="24"/>
        </w:rPr>
        <w:t>that provide equivalent benefits to</w:t>
      </w:r>
    </w:p>
    <w:p>
      <w:pPr>
        <w:pStyle w:val="ListParagraph"/>
        <w:numPr>
          <w:ilvl w:val="0"/>
          <w:numId w:val="793"/>
        </w:numPr>
        <w:tabs>
          <w:tab w:pos="1919" w:val="left" w:leader="none"/>
        </w:tabs>
        <w:spacing w:line="240" w:lineRule="auto" w:before="120" w:after="0"/>
        <w:ind w:left="1919" w:right="415" w:hanging="567"/>
        <w:jc w:val="both"/>
        <w:rPr>
          <w:sz w:val="24"/>
        </w:rPr>
      </w:pPr>
      <w:r>
        <w:rPr>
          <w:sz w:val="24"/>
        </w:rPr>
        <w:t>all </w:t>
      </w:r>
      <w:r>
        <w:rPr>
          <w:i/>
          <w:sz w:val="24"/>
        </w:rPr>
        <w:t>Transmission Customers </w:t>
      </w:r>
      <w:r>
        <w:rPr>
          <w:sz w:val="24"/>
        </w:rPr>
        <w:t>who have a </w:t>
      </w:r>
      <w:r>
        <w:rPr>
          <w:i/>
          <w:sz w:val="24"/>
        </w:rPr>
        <w:t>connection point </w:t>
      </w:r>
      <w:r>
        <w:rPr>
          <w:sz w:val="24"/>
        </w:rPr>
        <w:t>with the relevant </w:t>
      </w:r>
      <w:r>
        <w:rPr>
          <w:i/>
          <w:sz w:val="24"/>
        </w:rPr>
        <w:t>transmission network </w:t>
      </w:r>
      <w:r>
        <w:rPr>
          <w:sz w:val="24"/>
        </w:rPr>
        <w:t>without any differentiation based on their location within the </w:t>
      </w:r>
      <w:r>
        <w:rPr>
          <w:i/>
          <w:sz w:val="24"/>
        </w:rPr>
        <w:t>transmission system</w:t>
      </w:r>
      <w:r>
        <w:rPr>
          <w:sz w:val="24"/>
        </w:rPr>
        <w:t>;</w:t>
      </w:r>
      <w:r>
        <w:rPr>
          <w:spacing w:val="-3"/>
          <w:sz w:val="24"/>
        </w:rPr>
        <w:t> </w:t>
      </w:r>
      <w:r>
        <w:rPr>
          <w:sz w:val="24"/>
        </w:rPr>
        <w:t>and</w:t>
      </w:r>
    </w:p>
    <w:p>
      <w:pPr>
        <w:pStyle w:val="ListParagraph"/>
        <w:numPr>
          <w:ilvl w:val="0"/>
          <w:numId w:val="793"/>
        </w:numPr>
        <w:tabs>
          <w:tab w:pos="1919" w:val="left" w:leader="none"/>
        </w:tabs>
        <w:spacing w:line="240" w:lineRule="auto" w:before="120" w:after="0"/>
        <w:ind w:left="1919" w:right="415" w:hanging="567"/>
        <w:jc w:val="both"/>
        <w:rPr>
          <w:sz w:val="24"/>
        </w:rPr>
      </w:pPr>
      <w:r>
        <w:rPr>
          <w:i/>
          <w:sz w:val="24"/>
        </w:rPr>
        <w:t>Transmission Network Service Providers </w:t>
      </w:r>
      <w:r>
        <w:rPr>
          <w:sz w:val="24"/>
        </w:rPr>
        <w:t>in </w:t>
      </w:r>
      <w:r>
        <w:rPr>
          <w:i/>
          <w:sz w:val="24"/>
        </w:rPr>
        <w:t>interconnected regions</w:t>
      </w:r>
      <w:r>
        <w:rPr>
          <w:sz w:val="24"/>
        </w:rPr>
        <w:t>, without any differentiation based on the location of their direct or indirect </w:t>
      </w:r>
      <w:r>
        <w:rPr>
          <w:i/>
          <w:sz w:val="24"/>
        </w:rPr>
        <w:t>connection </w:t>
      </w:r>
      <w:r>
        <w:rPr>
          <w:sz w:val="24"/>
        </w:rPr>
        <w:t>or </w:t>
      </w:r>
      <w:r>
        <w:rPr>
          <w:i/>
          <w:sz w:val="24"/>
        </w:rPr>
        <w:t>interconnection </w:t>
      </w:r>
      <w:r>
        <w:rPr>
          <w:sz w:val="24"/>
        </w:rPr>
        <w:t>with the relevant </w:t>
      </w:r>
      <w:r>
        <w:rPr>
          <w:i/>
          <w:sz w:val="24"/>
        </w:rPr>
        <w:t>transmission</w:t>
      </w:r>
      <w:r>
        <w:rPr>
          <w:i/>
          <w:spacing w:val="-6"/>
          <w:sz w:val="24"/>
        </w:rPr>
        <w:t> </w:t>
      </w:r>
      <w:r>
        <w:rPr>
          <w:i/>
          <w:sz w:val="24"/>
        </w:rPr>
        <w:t>system</w:t>
      </w:r>
      <w:r>
        <w:rPr>
          <w:sz w:val="24"/>
        </w:rPr>
        <w:t>.</w:t>
      </w:r>
    </w:p>
    <w:p>
      <w:pPr>
        <w:pStyle w:val="Heading5"/>
        <w:rPr>
          <w:i/>
        </w:rPr>
      </w:pPr>
      <w:r>
        <w:rPr>
          <w:i/>
        </w:rPr>
        <w:t>prescribed connection services</w:t>
      </w:r>
    </w:p>
    <w:p>
      <w:pPr>
        <w:spacing w:before="120"/>
        <w:ind w:left="1352" w:right="0" w:firstLine="0"/>
        <w:jc w:val="both"/>
        <w:rPr>
          <w:sz w:val="24"/>
        </w:rPr>
      </w:pPr>
      <w:r>
        <w:rPr>
          <w:sz w:val="24"/>
        </w:rPr>
        <w:t>Services that are either </w:t>
      </w:r>
      <w:r>
        <w:rPr>
          <w:i/>
          <w:sz w:val="24"/>
        </w:rPr>
        <w:t>prescribed entry services </w:t>
      </w:r>
      <w:r>
        <w:rPr>
          <w:sz w:val="24"/>
        </w:rPr>
        <w:t>or </w:t>
      </w:r>
      <w:r>
        <w:rPr>
          <w:i/>
          <w:sz w:val="24"/>
        </w:rPr>
        <w:t>prescribed exit services</w:t>
      </w:r>
      <w:r>
        <w:rPr>
          <w:sz w:val="24"/>
        </w:rPr>
        <w:t>.</w:t>
      </w:r>
    </w:p>
    <w:p>
      <w:pPr>
        <w:pStyle w:val="Heading5"/>
        <w:rPr>
          <w:i/>
        </w:rPr>
      </w:pPr>
      <w:r>
        <w:rPr>
          <w:i/>
        </w:rPr>
        <w:t>prescribed entry services</w:t>
      </w:r>
    </w:p>
    <w:p>
      <w:pPr>
        <w:spacing w:before="120"/>
        <w:ind w:left="1352" w:right="416" w:firstLine="0"/>
        <w:jc w:val="both"/>
        <w:rPr>
          <w:sz w:val="24"/>
        </w:rPr>
      </w:pPr>
      <w:r>
        <w:rPr>
          <w:i/>
          <w:sz w:val="24"/>
        </w:rPr>
        <w:t>Entry services </w:t>
      </w:r>
      <w:r>
        <w:rPr>
          <w:sz w:val="24"/>
        </w:rPr>
        <w:t>that are </w:t>
      </w:r>
      <w:r>
        <w:rPr>
          <w:i/>
          <w:sz w:val="24"/>
        </w:rPr>
        <w:t>prescribed transmission services </w:t>
      </w:r>
      <w:r>
        <w:rPr>
          <w:sz w:val="24"/>
        </w:rPr>
        <w:t>by virtue of the operation of clause 11.6.11.</w:t>
      </w:r>
    </w:p>
    <w:p>
      <w:pPr>
        <w:pStyle w:val="Heading5"/>
        <w:rPr>
          <w:i/>
        </w:rPr>
      </w:pPr>
      <w:r>
        <w:rPr>
          <w:i/>
        </w:rPr>
        <w:t>prescribed exit services</w:t>
      </w:r>
    </w:p>
    <w:p>
      <w:pPr>
        <w:spacing w:before="120"/>
        <w:ind w:left="1352" w:right="416" w:firstLine="0"/>
        <w:jc w:val="both"/>
        <w:rPr>
          <w:sz w:val="24"/>
        </w:rPr>
      </w:pPr>
      <w:r>
        <w:rPr>
          <w:i/>
          <w:sz w:val="24"/>
        </w:rPr>
        <w:t>Exit services </w:t>
      </w:r>
      <w:r>
        <w:rPr>
          <w:sz w:val="24"/>
        </w:rPr>
        <w:t>that are </w:t>
      </w:r>
      <w:r>
        <w:rPr>
          <w:i/>
          <w:sz w:val="24"/>
        </w:rPr>
        <w:t>prescribed transmission services </w:t>
      </w:r>
      <w:r>
        <w:rPr>
          <w:sz w:val="24"/>
        </w:rPr>
        <w:t>by virtue of the operation of clause 11.6.11 and </w:t>
      </w:r>
      <w:r>
        <w:rPr>
          <w:i/>
          <w:sz w:val="24"/>
        </w:rPr>
        <w:t>exit services </w:t>
      </w:r>
      <w:r>
        <w:rPr>
          <w:sz w:val="24"/>
        </w:rPr>
        <w:t>provided to </w:t>
      </w:r>
      <w:r>
        <w:rPr>
          <w:i/>
          <w:sz w:val="24"/>
        </w:rPr>
        <w:t>Distribution Network Service </w:t>
      </w:r>
      <w:r>
        <w:rPr>
          <w:i/>
          <w:sz w:val="24"/>
        </w:rPr>
        <w:t>Providers</w:t>
      </w:r>
      <w:r>
        <w:rPr>
          <w:sz w:val="24"/>
        </w:rPr>
        <w:t>.</w:t>
      </w:r>
    </w:p>
    <w:p>
      <w:pPr>
        <w:pStyle w:val="Heading5"/>
        <w:rPr>
          <w:i/>
        </w:rPr>
      </w:pPr>
      <w:r>
        <w:rPr>
          <w:i/>
        </w:rPr>
        <w:t>prescribed shared transmission services</w:t>
      </w:r>
    </w:p>
    <w:p>
      <w:pPr>
        <w:spacing w:before="120"/>
        <w:ind w:left="1352" w:right="415" w:firstLine="0"/>
        <w:jc w:val="both"/>
        <w:rPr>
          <w:sz w:val="24"/>
        </w:rPr>
      </w:pPr>
      <w:r>
        <w:rPr>
          <w:i/>
          <w:sz w:val="24"/>
        </w:rPr>
        <w:t>Shared transmission services </w:t>
      </w:r>
      <w:r>
        <w:rPr>
          <w:sz w:val="24"/>
        </w:rPr>
        <w:t>that are </w:t>
      </w:r>
      <w:r>
        <w:rPr>
          <w:i/>
          <w:sz w:val="24"/>
        </w:rPr>
        <w:t>prescribed TUOS services </w:t>
      </w:r>
      <w:r>
        <w:rPr>
          <w:sz w:val="24"/>
        </w:rPr>
        <w:t>or </w:t>
      </w:r>
      <w:r>
        <w:rPr>
          <w:i/>
          <w:sz w:val="24"/>
        </w:rPr>
        <w:t>prescribed </w:t>
      </w:r>
      <w:r>
        <w:rPr>
          <w:i/>
          <w:sz w:val="24"/>
        </w:rPr>
        <w:t>common transmission services</w:t>
      </w:r>
      <w:r>
        <w:rPr>
          <w:sz w:val="24"/>
        </w:rPr>
        <w:t>.</w:t>
      </w:r>
    </w:p>
    <w:p>
      <w:pPr>
        <w:pStyle w:val="Heading5"/>
        <w:rPr>
          <w:i/>
        </w:rPr>
      </w:pPr>
      <w:r>
        <w:rPr>
          <w:i/>
        </w:rPr>
        <w:t>prescribed transmission service</w:t>
      </w:r>
    </w:p>
    <w:p>
      <w:pPr>
        <w:pStyle w:val="BodyText"/>
        <w:ind w:left="1352" w:firstLine="0"/>
      </w:pPr>
      <w:r>
        <w:rPr/>
        <w:t>Any of the following services:</w:t>
      </w:r>
    </w:p>
    <w:p>
      <w:pPr>
        <w:pStyle w:val="ListParagraph"/>
        <w:numPr>
          <w:ilvl w:val="0"/>
          <w:numId w:val="794"/>
        </w:numPr>
        <w:tabs>
          <w:tab w:pos="1919" w:val="left" w:leader="none"/>
        </w:tabs>
        <w:spacing w:line="240" w:lineRule="auto" w:before="120" w:after="0"/>
        <w:ind w:left="1918" w:right="0" w:hanging="567"/>
        <w:jc w:val="both"/>
        <w:rPr>
          <w:sz w:val="24"/>
        </w:rPr>
      </w:pPr>
      <w:r>
        <w:rPr>
          <w:sz w:val="24"/>
        </w:rPr>
        <w:t>a </w:t>
      </w:r>
      <w:r>
        <w:rPr>
          <w:i/>
          <w:sz w:val="24"/>
        </w:rPr>
        <w:t>shared transmission service</w:t>
      </w:r>
      <w:r>
        <w:rPr>
          <w:i/>
          <w:spacing w:val="-3"/>
          <w:sz w:val="24"/>
        </w:rPr>
        <w:t> </w:t>
      </w:r>
      <w:r>
        <w:rPr>
          <w:sz w:val="24"/>
        </w:rPr>
        <w:t>that:</w:t>
      </w:r>
    </w:p>
    <w:p>
      <w:pPr>
        <w:pStyle w:val="ListParagraph"/>
        <w:numPr>
          <w:ilvl w:val="1"/>
          <w:numId w:val="794"/>
        </w:numPr>
        <w:tabs>
          <w:tab w:pos="2486" w:val="left" w:leader="none"/>
        </w:tabs>
        <w:spacing w:line="240" w:lineRule="auto" w:before="120" w:after="0"/>
        <w:ind w:left="2486" w:right="415" w:hanging="567"/>
        <w:jc w:val="both"/>
        <w:rPr>
          <w:sz w:val="24"/>
        </w:rPr>
      </w:pPr>
      <w:r>
        <w:rPr>
          <w:sz w:val="24"/>
        </w:rPr>
        <w:t>does not exceed such </w:t>
      </w:r>
      <w:r>
        <w:rPr>
          <w:i/>
          <w:sz w:val="24"/>
        </w:rPr>
        <w:t>network </w:t>
      </w:r>
      <w:r>
        <w:rPr>
          <w:sz w:val="24"/>
        </w:rPr>
        <w:t>performance requirements (whether as to quality or quantity) as that </w:t>
      </w:r>
      <w:r>
        <w:rPr>
          <w:i/>
          <w:sz w:val="24"/>
        </w:rPr>
        <w:t>shared transmission service </w:t>
      </w:r>
      <w:r>
        <w:rPr>
          <w:sz w:val="24"/>
        </w:rPr>
        <w:t>is required to meet under any </w:t>
      </w:r>
      <w:r>
        <w:rPr>
          <w:i/>
          <w:sz w:val="24"/>
        </w:rPr>
        <w:t>jurisdictional electricity</w:t>
      </w:r>
      <w:r>
        <w:rPr>
          <w:i/>
          <w:spacing w:val="-1"/>
          <w:sz w:val="24"/>
        </w:rPr>
        <w:t> </w:t>
      </w:r>
      <w:r>
        <w:rPr>
          <w:i/>
          <w:sz w:val="24"/>
        </w:rPr>
        <w:t>legislation</w:t>
      </w:r>
      <w:r>
        <w:rPr>
          <w:sz w:val="24"/>
        </w:rPr>
        <w:t>;</w:t>
      </w:r>
    </w:p>
    <w:p>
      <w:pPr>
        <w:pStyle w:val="ListParagraph"/>
        <w:numPr>
          <w:ilvl w:val="1"/>
          <w:numId w:val="794"/>
        </w:numPr>
        <w:tabs>
          <w:tab w:pos="2486" w:val="left" w:leader="none"/>
        </w:tabs>
        <w:spacing w:line="240" w:lineRule="auto" w:before="120" w:after="0"/>
        <w:ind w:left="2486" w:right="414" w:hanging="567"/>
        <w:jc w:val="both"/>
        <w:rPr>
          <w:sz w:val="24"/>
        </w:rPr>
      </w:pPr>
      <w:r>
        <w:rPr>
          <w:sz w:val="24"/>
        </w:rPr>
        <w:t>except to the extent that the </w:t>
      </w:r>
      <w:r>
        <w:rPr>
          <w:i/>
          <w:sz w:val="24"/>
        </w:rPr>
        <w:t>network </w:t>
      </w:r>
      <w:r>
        <w:rPr>
          <w:sz w:val="24"/>
        </w:rPr>
        <w:t>performance requirements which that </w:t>
      </w:r>
      <w:r>
        <w:rPr>
          <w:i/>
          <w:sz w:val="24"/>
        </w:rPr>
        <w:t>shared transmission service </w:t>
      </w:r>
      <w:r>
        <w:rPr>
          <w:sz w:val="24"/>
        </w:rPr>
        <w:t>is required to meet are prescribed under any </w:t>
      </w:r>
      <w:r>
        <w:rPr>
          <w:i/>
          <w:sz w:val="24"/>
        </w:rPr>
        <w:t>jurisdictional electricity legislation</w:t>
      </w:r>
      <w:r>
        <w:rPr>
          <w:sz w:val="24"/>
        </w:rPr>
        <w:t>, does not exceed such </w:t>
      </w:r>
      <w:r>
        <w:rPr>
          <w:i/>
          <w:sz w:val="24"/>
        </w:rPr>
        <w:t>network </w:t>
      </w:r>
      <w:r>
        <w:rPr>
          <w:sz w:val="24"/>
        </w:rPr>
        <w:t>performance requirements (whether as to quality or quantity) as are set out in schedule 5.1a or 5.1;</w:t>
      </w:r>
      <w:r>
        <w:rPr>
          <w:spacing w:val="-6"/>
          <w:sz w:val="24"/>
        </w:rPr>
        <w:t> </w:t>
      </w:r>
      <w:r>
        <w:rPr>
          <w:sz w:val="24"/>
        </w:rPr>
        <w:t>or</w:t>
      </w:r>
    </w:p>
    <w:p>
      <w:pPr>
        <w:pStyle w:val="ListParagraph"/>
        <w:numPr>
          <w:ilvl w:val="1"/>
          <w:numId w:val="794"/>
        </w:numPr>
        <w:tabs>
          <w:tab w:pos="2486" w:val="left" w:leader="none"/>
        </w:tabs>
        <w:spacing w:line="240" w:lineRule="auto" w:before="120" w:after="0"/>
        <w:ind w:left="2485" w:right="0" w:hanging="567"/>
        <w:jc w:val="both"/>
        <w:rPr>
          <w:sz w:val="24"/>
        </w:rPr>
      </w:pPr>
      <w:r>
        <w:rPr>
          <w:sz w:val="24"/>
        </w:rPr>
        <w:t>is an </w:t>
      </w:r>
      <w:r>
        <w:rPr>
          <w:i/>
          <w:sz w:val="24"/>
        </w:rPr>
        <w:t>above-standard system shared transmission</w:t>
      </w:r>
      <w:r>
        <w:rPr>
          <w:i/>
          <w:spacing w:val="-7"/>
          <w:sz w:val="24"/>
        </w:rPr>
        <w:t> </w:t>
      </w:r>
      <w:r>
        <w:rPr>
          <w:i/>
          <w:sz w:val="24"/>
        </w:rPr>
        <w:t>service</w:t>
      </w:r>
      <w:r>
        <w:rPr>
          <w:sz w:val="24"/>
        </w:rPr>
        <w:t>;</w:t>
      </w:r>
    </w:p>
    <w:p>
      <w:pPr>
        <w:pStyle w:val="ListParagraph"/>
        <w:numPr>
          <w:ilvl w:val="0"/>
          <w:numId w:val="794"/>
        </w:numPr>
        <w:tabs>
          <w:tab w:pos="1919" w:val="left" w:leader="none"/>
        </w:tabs>
        <w:spacing w:line="240" w:lineRule="auto" w:before="120" w:after="0"/>
        <w:ind w:left="1919" w:right="414" w:hanging="567"/>
        <w:jc w:val="both"/>
        <w:rPr>
          <w:sz w:val="24"/>
        </w:rPr>
      </w:pPr>
      <w:r>
        <w:rPr>
          <w:sz w:val="24"/>
        </w:rPr>
        <w:t>services that are required to be provided by a </w:t>
      </w:r>
      <w:r>
        <w:rPr>
          <w:i/>
          <w:sz w:val="24"/>
        </w:rPr>
        <w:t>Transmission Network Service </w:t>
      </w:r>
      <w:r>
        <w:rPr>
          <w:i/>
          <w:sz w:val="24"/>
        </w:rPr>
        <w:t>Provider </w:t>
      </w:r>
      <w:r>
        <w:rPr>
          <w:sz w:val="24"/>
        </w:rPr>
        <w:t>under the </w:t>
      </w:r>
      <w:r>
        <w:rPr>
          <w:i/>
          <w:sz w:val="24"/>
        </w:rPr>
        <w:t>Rules</w:t>
      </w:r>
      <w:r>
        <w:rPr>
          <w:sz w:val="24"/>
        </w:rPr>
        <w:t>, or in accordance with </w:t>
      </w:r>
      <w:r>
        <w:rPr>
          <w:i/>
          <w:sz w:val="24"/>
        </w:rPr>
        <w:t>jurisdictional electricity </w:t>
      </w:r>
      <w:r>
        <w:rPr>
          <w:i/>
          <w:sz w:val="24"/>
        </w:rPr>
        <w:t>legislation</w:t>
      </w:r>
      <w:r>
        <w:rPr>
          <w:sz w:val="24"/>
        </w:rPr>
        <w:t>, to the extent such services relate to the provision of the services referred to in paragraph (a), including such of those services as</w:t>
      </w:r>
      <w:r>
        <w:rPr>
          <w:spacing w:val="-7"/>
          <w:sz w:val="24"/>
        </w:rPr>
        <w:t> </w:t>
      </w:r>
      <w:r>
        <w:rPr>
          <w:sz w:val="24"/>
        </w:rPr>
        <w:t>are:</w:t>
      </w:r>
    </w:p>
    <w:p>
      <w:pPr>
        <w:pStyle w:val="ListParagraph"/>
        <w:numPr>
          <w:ilvl w:val="1"/>
          <w:numId w:val="794"/>
        </w:numPr>
        <w:tabs>
          <w:tab w:pos="2486" w:val="left" w:leader="none"/>
        </w:tabs>
        <w:spacing w:line="240" w:lineRule="auto" w:before="120" w:after="0"/>
        <w:ind w:left="2486" w:right="415" w:hanging="567"/>
        <w:jc w:val="both"/>
        <w:rPr>
          <w:sz w:val="24"/>
        </w:rPr>
      </w:pPr>
      <w:r>
        <w:rPr>
          <w:sz w:val="24"/>
        </w:rPr>
        <w:t>required by </w:t>
      </w:r>
      <w:r>
        <w:rPr>
          <w:i/>
          <w:sz w:val="24"/>
        </w:rPr>
        <w:t>AEMO </w:t>
      </w:r>
      <w:r>
        <w:rPr>
          <w:sz w:val="24"/>
        </w:rPr>
        <w:t>to be provided under the </w:t>
      </w:r>
      <w:r>
        <w:rPr>
          <w:i/>
          <w:sz w:val="24"/>
        </w:rPr>
        <w:t>Rules</w:t>
      </w:r>
      <w:r>
        <w:rPr>
          <w:sz w:val="24"/>
        </w:rPr>
        <w:t>, but excluding those acquired by </w:t>
      </w:r>
      <w:r>
        <w:rPr>
          <w:i/>
          <w:sz w:val="24"/>
        </w:rPr>
        <w:t>AEMO </w:t>
      </w:r>
      <w:r>
        <w:rPr>
          <w:sz w:val="24"/>
        </w:rPr>
        <w:t>under rule 3.11;</w:t>
      </w:r>
      <w:r>
        <w:rPr>
          <w:spacing w:val="-2"/>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1"/>
          <w:numId w:val="794"/>
        </w:numPr>
        <w:tabs>
          <w:tab w:pos="2486" w:val="left" w:leader="none"/>
        </w:tabs>
        <w:spacing w:line="240" w:lineRule="auto" w:before="83" w:after="0"/>
        <w:ind w:left="2486" w:right="415" w:hanging="567"/>
        <w:jc w:val="both"/>
        <w:rPr>
          <w:sz w:val="24"/>
        </w:rPr>
      </w:pPr>
      <w:r>
        <w:rPr>
          <w:sz w:val="24"/>
        </w:rPr>
        <w:t>necessary to ensure the integrity of a </w:t>
      </w:r>
      <w:r>
        <w:rPr>
          <w:i/>
          <w:sz w:val="24"/>
        </w:rPr>
        <w:t>transmission network</w:t>
      </w:r>
      <w:r>
        <w:rPr>
          <w:sz w:val="24"/>
        </w:rPr>
        <w:t>, including through the maintenance of </w:t>
      </w:r>
      <w:r>
        <w:rPr>
          <w:i/>
          <w:sz w:val="24"/>
        </w:rPr>
        <w:t>power system security </w:t>
      </w:r>
      <w:r>
        <w:rPr>
          <w:sz w:val="24"/>
        </w:rPr>
        <w:t>and assisting in the planning of the </w:t>
      </w:r>
      <w:r>
        <w:rPr>
          <w:i/>
          <w:sz w:val="24"/>
        </w:rPr>
        <w:t>power system</w:t>
      </w:r>
      <w:r>
        <w:rPr>
          <w:sz w:val="24"/>
        </w:rPr>
        <w:t>;</w:t>
      </w:r>
      <w:r>
        <w:rPr>
          <w:spacing w:val="-1"/>
          <w:sz w:val="24"/>
        </w:rPr>
        <w:t> </w:t>
      </w:r>
      <w:r>
        <w:rPr>
          <w:sz w:val="24"/>
        </w:rPr>
        <w:t>or</w:t>
      </w:r>
    </w:p>
    <w:p>
      <w:pPr>
        <w:pStyle w:val="ListParagraph"/>
        <w:numPr>
          <w:ilvl w:val="0"/>
          <w:numId w:val="794"/>
        </w:numPr>
        <w:tabs>
          <w:tab w:pos="1919" w:val="left" w:leader="none"/>
        </w:tabs>
        <w:spacing w:line="240" w:lineRule="auto" w:before="120" w:after="0"/>
        <w:ind w:left="1919" w:right="415" w:hanging="567"/>
        <w:jc w:val="both"/>
        <w:rPr>
          <w:sz w:val="24"/>
        </w:rPr>
      </w:pPr>
      <w:r>
        <w:rPr>
          <w:i/>
          <w:sz w:val="24"/>
        </w:rPr>
        <w:t>connection services </w:t>
      </w:r>
      <w:r>
        <w:rPr>
          <w:sz w:val="24"/>
        </w:rPr>
        <w:t>that are provided by a </w:t>
      </w:r>
      <w:r>
        <w:rPr>
          <w:i/>
          <w:sz w:val="24"/>
        </w:rPr>
        <w:t>Transmission Network Service </w:t>
      </w:r>
      <w:r>
        <w:rPr>
          <w:i/>
          <w:sz w:val="24"/>
        </w:rPr>
        <w:t>Provider </w:t>
      </w:r>
      <w:r>
        <w:rPr>
          <w:sz w:val="24"/>
        </w:rPr>
        <w:t>to another </w:t>
      </w:r>
      <w:r>
        <w:rPr>
          <w:i/>
          <w:sz w:val="24"/>
        </w:rPr>
        <w:t>Network Service Provider </w:t>
      </w:r>
      <w:r>
        <w:rPr>
          <w:sz w:val="24"/>
        </w:rPr>
        <w:t>to connect their </w:t>
      </w:r>
      <w:r>
        <w:rPr>
          <w:i/>
          <w:sz w:val="24"/>
        </w:rPr>
        <w:t>networks </w:t>
      </w:r>
      <w:r>
        <w:rPr>
          <w:sz w:val="24"/>
        </w:rPr>
        <w:t>where neither of the </w:t>
      </w:r>
      <w:r>
        <w:rPr>
          <w:i/>
          <w:sz w:val="24"/>
        </w:rPr>
        <w:t>Network Service Providers </w:t>
      </w:r>
      <w:r>
        <w:rPr>
          <w:sz w:val="24"/>
        </w:rPr>
        <w:t>is a </w:t>
      </w:r>
      <w:r>
        <w:rPr>
          <w:i/>
          <w:sz w:val="24"/>
        </w:rPr>
        <w:t>Market Network Service </w:t>
      </w:r>
      <w:r>
        <w:rPr>
          <w:i/>
          <w:sz w:val="24"/>
        </w:rPr>
        <w:t>Provider</w:t>
      </w:r>
      <w:r>
        <w:rPr>
          <w:sz w:val="24"/>
        </w:rPr>
        <w:t>,</w:t>
      </w:r>
    </w:p>
    <w:p>
      <w:pPr>
        <w:spacing w:before="120"/>
        <w:ind w:left="1352" w:right="414" w:firstLine="0"/>
        <w:jc w:val="both"/>
        <w:rPr>
          <w:sz w:val="24"/>
        </w:rPr>
      </w:pPr>
      <w:r>
        <w:rPr>
          <w:sz w:val="24"/>
        </w:rPr>
        <w:t>but does not include a </w:t>
      </w:r>
      <w:r>
        <w:rPr>
          <w:i/>
          <w:sz w:val="24"/>
        </w:rPr>
        <w:t>negotiated transmission service </w:t>
      </w:r>
      <w:r>
        <w:rPr>
          <w:sz w:val="24"/>
        </w:rPr>
        <w:t>or a </w:t>
      </w:r>
      <w:r>
        <w:rPr>
          <w:i/>
          <w:sz w:val="24"/>
        </w:rPr>
        <w:t>market network </w:t>
      </w:r>
      <w:r>
        <w:rPr>
          <w:i/>
          <w:sz w:val="24"/>
        </w:rPr>
        <w:t>service</w:t>
      </w:r>
      <w:r>
        <w:rPr>
          <w:sz w:val="24"/>
        </w:rPr>
        <w:t>.</w:t>
      </w:r>
    </w:p>
    <w:p>
      <w:pPr>
        <w:pStyle w:val="Heading5"/>
        <w:rPr>
          <w:i/>
        </w:rPr>
      </w:pPr>
      <w:r>
        <w:rPr>
          <w:i/>
        </w:rPr>
        <w:t>prescribed TUOS services or prescribed transmission use of system services;</w:t>
      </w:r>
    </w:p>
    <w:p>
      <w:pPr>
        <w:spacing w:before="120"/>
        <w:ind w:left="1352" w:right="415" w:firstLine="0"/>
        <w:jc w:val="both"/>
        <w:rPr>
          <w:sz w:val="24"/>
        </w:rPr>
      </w:pPr>
      <w:r>
        <w:rPr>
          <w:i/>
          <w:sz w:val="24"/>
        </w:rPr>
        <w:t>Prescribed transmission services </w:t>
      </w:r>
      <w:r>
        <w:rPr>
          <w:sz w:val="24"/>
        </w:rPr>
        <w:t>that are not </w:t>
      </w:r>
      <w:r>
        <w:rPr>
          <w:i/>
          <w:sz w:val="24"/>
        </w:rPr>
        <w:t>prescribed common transmission </w:t>
      </w:r>
      <w:r>
        <w:rPr>
          <w:i/>
          <w:sz w:val="24"/>
        </w:rPr>
        <w:t>services</w:t>
      </w:r>
      <w:r>
        <w:rPr>
          <w:sz w:val="24"/>
        </w:rPr>
        <w:t>, </w:t>
      </w:r>
      <w:r>
        <w:rPr>
          <w:i/>
          <w:sz w:val="24"/>
        </w:rPr>
        <w:t>prescribed entry services </w:t>
      </w:r>
      <w:r>
        <w:rPr>
          <w:sz w:val="24"/>
        </w:rPr>
        <w:t>or </w:t>
      </w:r>
      <w:r>
        <w:rPr>
          <w:i/>
          <w:sz w:val="24"/>
        </w:rPr>
        <w:t>prescribed exit services</w:t>
      </w:r>
      <w:r>
        <w:rPr>
          <w:sz w:val="24"/>
        </w:rPr>
        <w:t>, and that provide specific benefits to:</w:t>
      </w:r>
    </w:p>
    <w:p>
      <w:pPr>
        <w:pStyle w:val="ListParagraph"/>
        <w:numPr>
          <w:ilvl w:val="0"/>
          <w:numId w:val="795"/>
        </w:numPr>
        <w:tabs>
          <w:tab w:pos="1919" w:val="left" w:leader="none"/>
        </w:tabs>
        <w:spacing w:line="240" w:lineRule="auto" w:before="120" w:after="0"/>
        <w:ind w:left="1919" w:right="414" w:hanging="567"/>
        <w:jc w:val="both"/>
        <w:rPr>
          <w:sz w:val="24"/>
        </w:rPr>
      </w:pPr>
      <w:r>
        <w:rPr>
          <w:i/>
          <w:sz w:val="24"/>
        </w:rPr>
        <w:t>Transmission Customers </w:t>
      </w:r>
      <w:r>
        <w:rPr>
          <w:sz w:val="24"/>
        </w:rPr>
        <w:t>who have a </w:t>
      </w:r>
      <w:r>
        <w:rPr>
          <w:i/>
          <w:sz w:val="24"/>
        </w:rPr>
        <w:t>connection point </w:t>
      </w:r>
      <w:r>
        <w:rPr>
          <w:sz w:val="24"/>
        </w:rPr>
        <w:t>with the relevant </w:t>
      </w:r>
      <w:r>
        <w:rPr>
          <w:i/>
          <w:sz w:val="24"/>
        </w:rPr>
        <w:t>transmission network</w:t>
      </w:r>
      <w:r>
        <w:rPr>
          <w:sz w:val="24"/>
        </w:rPr>
        <w:t>, based on the location of that </w:t>
      </w:r>
      <w:r>
        <w:rPr>
          <w:i/>
          <w:sz w:val="24"/>
        </w:rPr>
        <w:t>connection point </w:t>
      </w:r>
      <w:r>
        <w:rPr>
          <w:sz w:val="24"/>
        </w:rPr>
        <w:t>within the </w:t>
      </w:r>
      <w:r>
        <w:rPr>
          <w:i/>
          <w:sz w:val="24"/>
        </w:rPr>
        <w:t>transmission system</w:t>
      </w:r>
      <w:r>
        <w:rPr>
          <w:sz w:val="24"/>
        </w:rPr>
        <w:t>;</w:t>
      </w:r>
      <w:r>
        <w:rPr>
          <w:spacing w:val="-1"/>
          <w:sz w:val="24"/>
        </w:rPr>
        <w:t> </w:t>
      </w:r>
      <w:r>
        <w:rPr>
          <w:sz w:val="24"/>
        </w:rPr>
        <w:t>and</w:t>
      </w:r>
    </w:p>
    <w:p>
      <w:pPr>
        <w:pStyle w:val="ListParagraph"/>
        <w:numPr>
          <w:ilvl w:val="0"/>
          <w:numId w:val="795"/>
        </w:numPr>
        <w:tabs>
          <w:tab w:pos="1919" w:val="left" w:leader="none"/>
        </w:tabs>
        <w:spacing w:line="240" w:lineRule="auto" w:before="120" w:after="0"/>
        <w:ind w:left="1919" w:right="414" w:hanging="567"/>
        <w:jc w:val="both"/>
        <w:rPr>
          <w:sz w:val="24"/>
        </w:rPr>
      </w:pPr>
      <w:r>
        <w:rPr>
          <w:i/>
          <w:sz w:val="24"/>
        </w:rPr>
        <w:t>Transmission Network Service Providers </w:t>
      </w:r>
      <w:r>
        <w:rPr>
          <w:sz w:val="24"/>
        </w:rPr>
        <w:t>who have a direct or indirect </w:t>
      </w:r>
      <w:r>
        <w:rPr>
          <w:i/>
          <w:sz w:val="24"/>
        </w:rPr>
        <w:t>connection </w:t>
      </w:r>
      <w:r>
        <w:rPr>
          <w:sz w:val="24"/>
        </w:rPr>
        <w:t>or an </w:t>
      </w:r>
      <w:r>
        <w:rPr>
          <w:i/>
          <w:sz w:val="24"/>
        </w:rPr>
        <w:t>interconnection </w:t>
      </w:r>
      <w:r>
        <w:rPr>
          <w:sz w:val="24"/>
        </w:rPr>
        <w:t>with the relevant </w:t>
      </w:r>
      <w:r>
        <w:rPr>
          <w:i/>
          <w:sz w:val="24"/>
        </w:rPr>
        <w:t>transmission network</w:t>
      </w:r>
      <w:r>
        <w:rPr>
          <w:sz w:val="24"/>
        </w:rPr>
        <w:t>, based on the location of that </w:t>
      </w:r>
      <w:r>
        <w:rPr>
          <w:i/>
          <w:sz w:val="24"/>
        </w:rPr>
        <w:t>connection </w:t>
      </w:r>
      <w:r>
        <w:rPr>
          <w:sz w:val="24"/>
        </w:rPr>
        <w:t>or </w:t>
      </w:r>
      <w:r>
        <w:rPr>
          <w:i/>
          <w:sz w:val="24"/>
        </w:rPr>
        <w:t>interconnection </w:t>
      </w:r>
      <w:r>
        <w:rPr>
          <w:sz w:val="24"/>
        </w:rPr>
        <w:t>within </w:t>
      </w:r>
      <w:r>
        <w:rPr>
          <w:spacing w:val="-4"/>
          <w:sz w:val="24"/>
        </w:rPr>
        <w:t>the </w:t>
      </w:r>
      <w:r>
        <w:rPr>
          <w:sz w:val="24"/>
        </w:rPr>
        <w:t>relevant </w:t>
      </w:r>
      <w:r>
        <w:rPr>
          <w:i/>
          <w:sz w:val="24"/>
        </w:rPr>
        <w:t>transmission</w:t>
      </w:r>
      <w:r>
        <w:rPr>
          <w:i/>
          <w:spacing w:val="-2"/>
          <w:sz w:val="24"/>
        </w:rPr>
        <w:t> </w:t>
      </w:r>
      <w:r>
        <w:rPr>
          <w:i/>
          <w:sz w:val="24"/>
        </w:rPr>
        <w:t>system</w:t>
      </w:r>
      <w:r>
        <w:rPr>
          <w:sz w:val="24"/>
        </w:rPr>
        <w:t>.</w:t>
      </w:r>
    </w:p>
    <w:p>
      <w:pPr>
        <w:spacing w:after="0" w:line="240" w:lineRule="auto"/>
        <w:jc w:val="both"/>
        <w:rPr>
          <w:sz w:val="24"/>
        </w:rPr>
        <w:sectPr>
          <w:pgSz w:w="11910" w:h="16840"/>
          <w:pgMar w:header="686" w:footer="637" w:top="1320" w:bottom="820" w:left="1200" w:right="1000"/>
        </w:sectPr>
      </w:pPr>
    </w:p>
    <w:p>
      <w:pPr>
        <w:pStyle w:val="Heading5"/>
        <w:jc w:val="left"/>
        <w:rPr>
          <w:i/>
        </w:rPr>
      </w:pPr>
      <w:r>
        <w:rPr>
          <w:i/>
        </w:rPr>
        <w:t>price band</w:t>
      </w:r>
    </w:p>
    <w:p>
      <w:pPr>
        <w:pStyle w:val="BodyText"/>
        <w:spacing w:before="0"/>
        <w:ind w:firstLine="0"/>
        <w:jc w:val="left"/>
        <w:rPr>
          <w:b/>
          <w:i/>
          <w:sz w:val="26"/>
        </w:rPr>
      </w:pPr>
      <w:r>
        <w:rPr/>
        <w:br w:type="column"/>
      </w:r>
      <w:r>
        <w:rPr>
          <w:b/>
          <w:i/>
          <w:sz w:val="26"/>
        </w:rPr>
      </w:r>
    </w:p>
    <w:p>
      <w:pPr>
        <w:spacing w:before="217"/>
        <w:ind w:left="47" w:right="239" w:firstLine="0"/>
        <w:jc w:val="left"/>
        <w:rPr>
          <w:sz w:val="24"/>
        </w:rPr>
      </w:pPr>
      <w:r>
        <w:rPr>
          <w:sz w:val="24"/>
        </w:rPr>
        <w:t>A MW quantity specified in a </w:t>
      </w:r>
      <w:r>
        <w:rPr>
          <w:i/>
          <w:sz w:val="24"/>
        </w:rPr>
        <w:t>dispatch bid</w:t>
      </w:r>
      <w:r>
        <w:rPr>
          <w:sz w:val="24"/>
        </w:rPr>
        <w:t>, </w:t>
      </w:r>
      <w:r>
        <w:rPr>
          <w:i/>
          <w:sz w:val="24"/>
        </w:rPr>
        <w:t>dispatch offer </w:t>
      </w:r>
      <w:r>
        <w:rPr>
          <w:sz w:val="24"/>
        </w:rPr>
        <w:t>or </w:t>
      </w:r>
      <w:r>
        <w:rPr>
          <w:i/>
          <w:sz w:val="24"/>
        </w:rPr>
        <w:t>market ancillary </w:t>
      </w:r>
      <w:r>
        <w:rPr>
          <w:i/>
          <w:sz w:val="24"/>
        </w:rPr>
        <w:t>service offer </w:t>
      </w:r>
      <w:r>
        <w:rPr>
          <w:sz w:val="24"/>
        </w:rPr>
        <w:t>as being available for </w:t>
      </w:r>
      <w:r>
        <w:rPr>
          <w:i/>
          <w:sz w:val="24"/>
        </w:rPr>
        <w:t>dispatch </w:t>
      </w:r>
      <w:r>
        <w:rPr>
          <w:sz w:val="24"/>
        </w:rPr>
        <w:t>at a specified price.</w:t>
      </w:r>
    </w:p>
    <w:p>
      <w:pPr>
        <w:spacing w:after="0"/>
        <w:jc w:val="left"/>
        <w:rPr>
          <w:sz w:val="24"/>
        </w:rPr>
        <w:sectPr>
          <w:type w:val="continuous"/>
          <w:pgSz w:w="11910" w:h="16840"/>
          <w:pgMar w:top="1360" w:bottom="280" w:left="1200" w:right="1000"/>
          <w:cols w:num="2" w:equalWidth="0">
            <w:col w:w="1265" w:space="40"/>
            <w:col w:w="8405"/>
          </w:cols>
        </w:sectPr>
      </w:pPr>
    </w:p>
    <w:p>
      <w:pPr>
        <w:pStyle w:val="Heading5"/>
        <w:rPr>
          <w:i/>
        </w:rPr>
      </w:pPr>
      <w:r>
        <w:rPr>
          <w:i/>
        </w:rPr>
        <w:t>pricing methodology</w:t>
      </w:r>
    </w:p>
    <w:p>
      <w:pPr>
        <w:spacing w:before="120"/>
        <w:ind w:left="1352" w:right="415" w:firstLine="0"/>
        <w:jc w:val="both"/>
        <w:rPr>
          <w:sz w:val="24"/>
        </w:rPr>
      </w:pPr>
      <w:r>
        <w:rPr>
          <w:sz w:val="24"/>
        </w:rPr>
        <w:t>For a </w:t>
      </w:r>
      <w:r>
        <w:rPr>
          <w:i/>
          <w:sz w:val="24"/>
        </w:rPr>
        <w:t>Transmission Network Service Provider</w:t>
      </w:r>
      <w:r>
        <w:rPr>
          <w:sz w:val="24"/>
        </w:rPr>
        <w:t>, means the pricing methodology approved by the </w:t>
      </w:r>
      <w:r>
        <w:rPr>
          <w:i/>
          <w:sz w:val="24"/>
        </w:rPr>
        <w:t>AER </w:t>
      </w:r>
      <w:r>
        <w:rPr>
          <w:sz w:val="24"/>
        </w:rPr>
        <w:t>for that </w:t>
      </w:r>
      <w:r>
        <w:rPr>
          <w:i/>
          <w:sz w:val="24"/>
        </w:rPr>
        <w:t>Transmission Network Service Provider </w:t>
      </w:r>
      <w:r>
        <w:rPr>
          <w:sz w:val="24"/>
        </w:rPr>
        <w:t>and included in a </w:t>
      </w:r>
      <w:r>
        <w:rPr>
          <w:i/>
          <w:sz w:val="24"/>
        </w:rPr>
        <w:t>transmission determination </w:t>
      </w:r>
      <w:r>
        <w:rPr>
          <w:sz w:val="24"/>
        </w:rPr>
        <w:t>as referred to in rule 6A.24.</w:t>
      </w:r>
    </w:p>
    <w:p>
      <w:pPr>
        <w:pStyle w:val="Heading5"/>
        <w:rPr>
          <w:i/>
        </w:rPr>
      </w:pPr>
      <w:r>
        <w:rPr>
          <w:i/>
        </w:rPr>
        <w:t>pricing methodology guidelines</w:t>
      </w:r>
    </w:p>
    <w:p>
      <w:pPr>
        <w:pStyle w:val="BodyText"/>
        <w:ind w:left="1352" w:right="416" w:firstLine="0"/>
      </w:pPr>
      <w:r>
        <w:rPr/>
        <w:t>Guidelines made by the </w:t>
      </w:r>
      <w:r>
        <w:rPr>
          <w:i/>
        </w:rPr>
        <w:t>AER </w:t>
      </w:r>
      <w:r>
        <w:rPr/>
        <w:t>under rule 6A.25 that contain the matters set out in clause 6A.25.2.</w:t>
      </w:r>
    </w:p>
    <w:p>
      <w:pPr>
        <w:pStyle w:val="Heading5"/>
        <w:rPr>
          <w:i/>
        </w:rPr>
      </w:pPr>
      <w:r>
        <w:rPr>
          <w:i/>
        </w:rPr>
        <w:t>pricing principles for direct control services</w:t>
      </w:r>
    </w:p>
    <w:p>
      <w:pPr>
        <w:pStyle w:val="BodyText"/>
        <w:ind w:left="1352" w:firstLine="0"/>
      </w:pPr>
      <w:r>
        <w:rPr/>
        <w:t>The requirements set out in clause 6.18.5.</w:t>
      </w:r>
    </w:p>
    <w:p>
      <w:pPr>
        <w:pStyle w:val="Heading5"/>
        <w:rPr>
          <w:i/>
        </w:rPr>
      </w:pPr>
      <w:r>
        <w:rPr>
          <w:i/>
        </w:rPr>
        <w:t>Pricing Principles for Prescribed Transmission Services</w:t>
      </w:r>
    </w:p>
    <w:p>
      <w:pPr>
        <w:pStyle w:val="BodyText"/>
        <w:ind w:left="1352" w:firstLine="0"/>
      </w:pPr>
      <w:r>
        <w:rPr/>
        <w:t>The principles set out in rule 6A.23.</w:t>
      </w:r>
    </w:p>
    <w:p>
      <w:pPr>
        <w:pStyle w:val="Heading5"/>
        <w:rPr>
          <w:i/>
        </w:rPr>
      </w:pPr>
      <w:r>
        <w:rPr>
          <w:i/>
        </w:rPr>
        <w:t>pricing proposal</w:t>
      </w:r>
    </w:p>
    <w:p>
      <w:pPr>
        <w:pStyle w:val="BodyText"/>
        <w:ind w:left="1352" w:firstLine="0"/>
      </w:pPr>
      <w:r>
        <w:rPr/>
        <w:t>A pricing proposal under Part I of Chapter 6.</w:t>
      </w:r>
    </w:p>
    <w:p>
      <w:pPr>
        <w:pStyle w:val="Heading5"/>
        <w:rPr>
          <w:i/>
        </w:rPr>
      </w:pPr>
      <w:r>
        <w:rPr>
          <w:i/>
        </w:rPr>
        <w:t>pricing zone</w:t>
      </w:r>
    </w:p>
    <w:p>
      <w:pPr>
        <w:pStyle w:val="BodyText"/>
        <w:ind w:left="1352" w:firstLine="0"/>
      </w:pPr>
      <w:r>
        <w:rPr/>
        <w:t>A</w:t>
      </w:r>
      <w:r>
        <w:rPr>
          <w:spacing w:val="51"/>
        </w:rPr>
        <w:t> </w:t>
      </w:r>
      <w:r>
        <w:rPr/>
        <w:t>geographic</w:t>
      </w:r>
      <w:r>
        <w:rPr>
          <w:spacing w:val="51"/>
        </w:rPr>
        <w:t> </w:t>
      </w:r>
      <w:r>
        <w:rPr/>
        <w:t>area</w:t>
      </w:r>
      <w:r>
        <w:rPr>
          <w:spacing w:val="51"/>
        </w:rPr>
        <w:t> </w:t>
      </w:r>
      <w:r>
        <w:rPr/>
        <w:t>within</w:t>
      </w:r>
      <w:r>
        <w:rPr>
          <w:spacing w:val="52"/>
        </w:rPr>
        <w:t> </w:t>
      </w:r>
      <w:r>
        <w:rPr/>
        <w:t>which</w:t>
      </w:r>
      <w:r>
        <w:rPr>
          <w:spacing w:val="51"/>
        </w:rPr>
        <w:t> </w:t>
      </w:r>
      <w:r>
        <w:rPr>
          <w:i/>
        </w:rPr>
        <w:t>Network</w:t>
      </w:r>
      <w:r>
        <w:rPr>
          <w:i/>
          <w:spacing w:val="51"/>
        </w:rPr>
        <w:t> </w:t>
      </w:r>
      <w:r>
        <w:rPr>
          <w:i/>
        </w:rPr>
        <w:t>Users</w:t>
      </w:r>
      <w:r>
        <w:rPr>
          <w:i/>
          <w:spacing w:val="51"/>
        </w:rPr>
        <w:t> </w:t>
      </w:r>
      <w:r>
        <w:rPr/>
        <w:t>are</w:t>
      </w:r>
      <w:r>
        <w:rPr>
          <w:spacing w:val="51"/>
        </w:rPr>
        <w:t> </w:t>
      </w:r>
      <w:r>
        <w:rPr/>
        <w:t>charged</w:t>
      </w:r>
      <w:r>
        <w:rPr>
          <w:spacing w:val="52"/>
        </w:rPr>
        <w:t> </w:t>
      </w:r>
      <w:r>
        <w:rPr/>
        <w:t>a</w:t>
      </w:r>
      <w:r>
        <w:rPr>
          <w:spacing w:val="51"/>
        </w:rPr>
        <w:t> </w:t>
      </w:r>
      <w:r>
        <w:rPr/>
        <w:t>specific</w:t>
      </w:r>
      <w:r>
        <w:rPr>
          <w:spacing w:val="51"/>
        </w:rPr>
        <w:t> </w:t>
      </w:r>
      <w:r>
        <w:rPr/>
        <w:t>set</w:t>
      </w:r>
      <w:r>
        <w:rPr>
          <w:spacing w:val="51"/>
        </w:rPr>
        <w:t> </w:t>
      </w:r>
      <w:r>
        <w:rPr/>
        <w:t>of</w:t>
      </w:r>
    </w:p>
    <w:p>
      <w:pPr>
        <w:spacing w:before="0"/>
        <w:ind w:left="1352" w:right="0" w:firstLine="0"/>
        <w:jc w:val="both"/>
        <w:rPr>
          <w:sz w:val="24"/>
        </w:rPr>
      </w:pPr>
      <w:r>
        <w:rPr>
          <w:i/>
          <w:sz w:val="24"/>
        </w:rPr>
        <w:t>distribution service </w:t>
      </w:r>
      <w:r>
        <w:rPr>
          <w:sz w:val="24"/>
        </w:rPr>
        <w:t>prices.</w:t>
      </w:r>
    </w:p>
    <w:p>
      <w:pPr>
        <w:spacing w:after="0"/>
        <w:jc w:val="both"/>
        <w:rPr>
          <w:sz w:val="24"/>
        </w:rPr>
        <w:sectPr>
          <w:type w:val="continuous"/>
          <w:pgSz w:w="11910" w:h="16840"/>
          <w:pgMar w:top="1360" w:bottom="280" w:left="1200" w:right="1000"/>
        </w:sectPr>
      </w:pPr>
    </w:p>
    <w:p>
      <w:pPr>
        <w:pStyle w:val="Heading5"/>
        <w:spacing w:before="83"/>
        <w:rPr>
          <w:i/>
        </w:rPr>
      </w:pPr>
      <w:r>
        <w:rPr>
          <w:i/>
        </w:rPr>
        <w:t>Primary Transmission Network Service Provider</w:t>
      </w:r>
    </w:p>
    <w:p>
      <w:pPr>
        <w:spacing w:before="120"/>
        <w:ind w:left="1352" w:right="413" w:firstLine="0"/>
        <w:jc w:val="both"/>
        <w:rPr>
          <w:sz w:val="24"/>
        </w:rPr>
      </w:pPr>
      <w:r>
        <w:rPr>
          <w:sz w:val="24"/>
        </w:rPr>
        <w:t>The </w:t>
      </w:r>
      <w:r>
        <w:rPr>
          <w:i/>
          <w:sz w:val="24"/>
        </w:rPr>
        <w:t>Transmission Network Service Provider </w:t>
      </w:r>
      <w:r>
        <w:rPr>
          <w:sz w:val="24"/>
        </w:rPr>
        <w:t>who operates the largest </w:t>
      </w:r>
      <w:r>
        <w:rPr>
          <w:i/>
          <w:sz w:val="24"/>
        </w:rPr>
        <w:t>transmission network </w:t>
      </w:r>
      <w:r>
        <w:rPr>
          <w:sz w:val="24"/>
        </w:rPr>
        <w:t>in each </w:t>
      </w:r>
      <w:r>
        <w:rPr>
          <w:i/>
          <w:sz w:val="24"/>
        </w:rPr>
        <w:t>participating jurisdiction </w:t>
      </w:r>
      <w:r>
        <w:rPr>
          <w:sz w:val="24"/>
        </w:rPr>
        <w:t>but does not include a </w:t>
      </w:r>
      <w:r>
        <w:rPr>
          <w:i/>
          <w:sz w:val="24"/>
        </w:rPr>
        <w:t>Transmission Network Service Provider </w:t>
      </w:r>
      <w:r>
        <w:rPr>
          <w:sz w:val="24"/>
        </w:rPr>
        <w:t>for a </w:t>
      </w:r>
      <w:r>
        <w:rPr>
          <w:i/>
          <w:sz w:val="24"/>
        </w:rPr>
        <w:t>declared transmission</w:t>
      </w:r>
      <w:r>
        <w:rPr>
          <w:i/>
          <w:spacing w:val="-9"/>
          <w:sz w:val="24"/>
        </w:rPr>
        <w:t> </w:t>
      </w:r>
      <w:r>
        <w:rPr>
          <w:i/>
          <w:sz w:val="24"/>
        </w:rPr>
        <w:t>system</w:t>
      </w:r>
      <w:r>
        <w:rPr>
          <w:sz w:val="24"/>
        </w:rPr>
        <w:t>.</w:t>
      </w:r>
    </w:p>
    <w:p>
      <w:pPr>
        <w:spacing w:after="0"/>
        <w:jc w:val="both"/>
        <w:rPr>
          <w:sz w:val="24"/>
        </w:rPr>
        <w:sectPr>
          <w:pgSz w:w="11910" w:h="16840"/>
          <w:pgMar w:header="686" w:footer="637" w:top="1320" w:bottom="820" w:left="1200" w:right="1000"/>
        </w:sectPr>
      </w:pPr>
    </w:p>
    <w:p>
      <w:pPr>
        <w:pStyle w:val="Heading5"/>
        <w:jc w:val="left"/>
        <w:rPr>
          <w:i/>
        </w:rPr>
      </w:pPr>
      <w:r>
        <w:rPr>
          <w:i/>
        </w:rPr>
        <w:t>profile</w:t>
      </w:r>
    </w:p>
    <w:p>
      <w:pPr>
        <w:pStyle w:val="BodyText"/>
        <w:spacing w:before="0"/>
        <w:ind w:firstLine="0"/>
        <w:jc w:val="left"/>
        <w:rPr>
          <w:b/>
          <w:i/>
          <w:sz w:val="26"/>
        </w:rPr>
      </w:pPr>
      <w:r>
        <w:rPr/>
        <w:br w:type="column"/>
      </w:r>
      <w:r>
        <w:rPr>
          <w:b/>
          <w:i/>
          <w:sz w:val="26"/>
        </w:rPr>
      </w:r>
    </w:p>
    <w:p>
      <w:pPr>
        <w:spacing w:before="217"/>
        <w:ind w:left="218" w:right="0" w:firstLine="0"/>
        <w:jc w:val="left"/>
        <w:rPr>
          <w:sz w:val="24"/>
        </w:rPr>
      </w:pPr>
      <w:r>
        <w:rPr>
          <w:i/>
          <w:sz w:val="24"/>
        </w:rPr>
        <w:t>Metering data </w:t>
      </w:r>
      <w:r>
        <w:rPr>
          <w:sz w:val="24"/>
        </w:rPr>
        <w:t>or costs for a longer period than a </w:t>
      </w:r>
      <w:r>
        <w:rPr>
          <w:i/>
          <w:sz w:val="24"/>
        </w:rPr>
        <w:t>recording interval </w:t>
      </w:r>
      <w:r>
        <w:rPr>
          <w:sz w:val="24"/>
        </w:rPr>
        <w:t>allocated into</w:t>
      </w:r>
    </w:p>
    <w:p>
      <w:pPr>
        <w:spacing w:before="0"/>
        <w:ind w:left="218" w:right="0" w:firstLine="0"/>
        <w:jc w:val="left"/>
        <w:rPr>
          <w:sz w:val="24"/>
        </w:rPr>
      </w:pPr>
      <w:r>
        <w:rPr>
          <w:i/>
          <w:sz w:val="24"/>
        </w:rPr>
        <w:t>recording intervals</w:t>
      </w:r>
      <w:r>
        <w:rPr>
          <w:sz w:val="24"/>
        </w:rPr>
        <w:t>.</w:t>
      </w:r>
    </w:p>
    <w:p>
      <w:pPr>
        <w:spacing w:after="0"/>
        <w:jc w:val="left"/>
        <w:rPr>
          <w:sz w:val="24"/>
        </w:rPr>
        <w:sectPr>
          <w:type w:val="continuous"/>
          <w:pgSz w:w="11910" w:h="16840"/>
          <w:pgMar w:top="1360" w:bottom="280" w:left="1200" w:right="1000"/>
          <w:cols w:num="2" w:equalWidth="0">
            <w:col w:w="912" w:space="222"/>
            <w:col w:w="8576"/>
          </w:cols>
        </w:sectPr>
      </w:pPr>
    </w:p>
    <w:p>
      <w:pPr>
        <w:pStyle w:val="Heading5"/>
        <w:jc w:val="left"/>
        <w:rPr>
          <w:i/>
        </w:rPr>
      </w:pPr>
      <w:r>
        <w:rPr>
          <w:i/>
        </w:rPr>
        <w:t>projected assessment of system adequacy process ("PASA")</w:t>
      </w:r>
    </w:p>
    <w:p>
      <w:pPr>
        <w:pStyle w:val="BodyText"/>
        <w:ind w:left="1352" w:right="415" w:firstLine="0"/>
        <w:jc w:val="left"/>
      </w:pPr>
      <w:r>
        <w:rPr/>
        <w:t>The medium term and short term processes described in clause 3.7 to be administered by </w:t>
      </w:r>
      <w:r>
        <w:rPr>
          <w:i/>
        </w:rPr>
        <w:t>AEMO</w:t>
      </w:r>
      <w:r>
        <w:rPr/>
        <w:t>.</w:t>
      </w:r>
    </w:p>
    <w:p>
      <w:pPr>
        <w:pStyle w:val="Heading5"/>
        <w:jc w:val="left"/>
        <w:rPr>
          <w:i/>
        </w:rPr>
      </w:pPr>
      <w:r>
        <w:rPr>
          <w:i/>
        </w:rPr>
        <w:t>Proponent</w:t>
      </w:r>
    </w:p>
    <w:p>
      <w:pPr>
        <w:pStyle w:val="BodyText"/>
        <w:ind w:left="1352" w:firstLine="0"/>
        <w:jc w:val="left"/>
      </w:pPr>
      <w:r>
        <w:rPr/>
        <w:t>In respect of clause 5.7.7 has the meaning given in clause 5.7.7(a).</w:t>
      </w:r>
    </w:p>
    <w:p>
      <w:pPr>
        <w:pStyle w:val="Heading5"/>
        <w:rPr>
          <w:i/>
        </w:rPr>
      </w:pPr>
      <w:r>
        <w:rPr>
          <w:i/>
        </w:rPr>
        <w:t>proposed contingent capital expenditure</w:t>
      </w:r>
    </w:p>
    <w:p>
      <w:pPr>
        <w:spacing w:before="120"/>
        <w:ind w:left="1352" w:right="414" w:firstLine="0"/>
        <w:jc w:val="both"/>
        <w:rPr>
          <w:sz w:val="24"/>
        </w:rPr>
      </w:pPr>
      <w:r>
        <w:rPr>
          <w:sz w:val="24"/>
        </w:rPr>
        <w:t>For a </w:t>
      </w:r>
      <w:r>
        <w:rPr>
          <w:i/>
          <w:sz w:val="24"/>
        </w:rPr>
        <w:t>Distribution Network Service Provider</w:t>
      </w:r>
      <w:r>
        <w:rPr>
          <w:sz w:val="24"/>
        </w:rPr>
        <w:t>, the total forecast capital expenditure for the relevant </w:t>
      </w:r>
      <w:r>
        <w:rPr>
          <w:i/>
          <w:sz w:val="24"/>
        </w:rPr>
        <w:t>proposed contingent project</w:t>
      </w:r>
      <w:r>
        <w:rPr>
          <w:sz w:val="24"/>
        </w:rPr>
        <w:t>, as included in the </w:t>
      </w:r>
      <w:r>
        <w:rPr>
          <w:i/>
          <w:sz w:val="24"/>
        </w:rPr>
        <w:t>regulatory </w:t>
      </w:r>
      <w:r>
        <w:rPr>
          <w:i/>
          <w:sz w:val="24"/>
        </w:rPr>
        <w:t>proposal </w:t>
      </w:r>
      <w:r>
        <w:rPr>
          <w:sz w:val="24"/>
        </w:rPr>
        <w:t>for that project.</w:t>
      </w:r>
    </w:p>
    <w:p>
      <w:pPr>
        <w:spacing w:before="120"/>
        <w:ind w:left="1352" w:right="415" w:firstLine="0"/>
        <w:jc w:val="both"/>
        <w:rPr>
          <w:sz w:val="24"/>
        </w:rPr>
      </w:pPr>
      <w:r>
        <w:rPr>
          <w:sz w:val="24"/>
        </w:rPr>
        <w:t>For a </w:t>
      </w:r>
      <w:r>
        <w:rPr>
          <w:i/>
          <w:sz w:val="24"/>
        </w:rPr>
        <w:t>Transmission Network Service Provider</w:t>
      </w:r>
      <w:r>
        <w:rPr>
          <w:sz w:val="24"/>
        </w:rPr>
        <w:t>, the total forecast capital expenditure for the relevant </w:t>
      </w:r>
      <w:r>
        <w:rPr>
          <w:i/>
          <w:sz w:val="24"/>
        </w:rPr>
        <w:t>proposed contingent project</w:t>
      </w:r>
      <w:r>
        <w:rPr>
          <w:sz w:val="24"/>
        </w:rPr>
        <w:t>, as included in the </w:t>
      </w:r>
      <w:r>
        <w:rPr>
          <w:i/>
          <w:sz w:val="24"/>
        </w:rPr>
        <w:t>Revenue Proposal </w:t>
      </w:r>
      <w:r>
        <w:rPr>
          <w:sz w:val="24"/>
        </w:rPr>
        <w:t>for that project.</w:t>
      </w:r>
    </w:p>
    <w:p>
      <w:pPr>
        <w:pStyle w:val="Heading5"/>
        <w:rPr>
          <w:i/>
        </w:rPr>
      </w:pPr>
      <w:r>
        <w:rPr>
          <w:i/>
        </w:rPr>
        <w:t>proposed contingent project</w:t>
      </w:r>
    </w:p>
    <w:p>
      <w:pPr>
        <w:spacing w:before="120"/>
        <w:ind w:left="1352" w:right="415" w:firstLine="0"/>
        <w:jc w:val="both"/>
        <w:rPr>
          <w:sz w:val="24"/>
        </w:rPr>
      </w:pPr>
      <w:r>
        <w:rPr>
          <w:sz w:val="24"/>
        </w:rPr>
        <w:t>A proposal by a </w:t>
      </w:r>
      <w:r>
        <w:rPr>
          <w:i/>
          <w:sz w:val="24"/>
        </w:rPr>
        <w:t>Distribution Network Service Provider </w:t>
      </w:r>
      <w:r>
        <w:rPr>
          <w:sz w:val="24"/>
        </w:rPr>
        <w:t>as part of a </w:t>
      </w:r>
      <w:r>
        <w:rPr>
          <w:i/>
          <w:sz w:val="24"/>
        </w:rPr>
        <w:t>regulatory </w:t>
      </w:r>
      <w:r>
        <w:rPr>
          <w:i/>
          <w:sz w:val="24"/>
        </w:rPr>
        <w:t>proposal </w:t>
      </w:r>
      <w:r>
        <w:rPr>
          <w:sz w:val="24"/>
        </w:rPr>
        <w:t>for a project to be determined by the </w:t>
      </w:r>
      <w:r>
        <w:rPr>
          <w:i/>
          <w:sz w:val="24"/>
        </w:rPr>
        <w:t>AER </w:t>
      </w:r>
      <w:r>
        <w:rPr>
          <w:sz w:val="24"/>
        </w:rPr>
        <w:t>as a </w:t>
      </w:r>
      <w:r>
        <w:rPr>
          <w:i/>
          <w:sz w:val="24"/>
        </w:rPr>
        <w:t>contingent project </w:t>
      </w:r>
      <w:r>
        <w:rPr>
          <w:sz w:val="24"/>
        </w:rPr>
        <w:t>for the purposes of a distribution determination accordance with clause 6.6A.1(b)(1).</w:t>
      </w:r>
    </w:p>
    <w:p>
      <w:pPr>
        <w:spacing w:before="120"/>
        <w:ind w:left="1352" w:right="415" w:firstLine="0"/>
        <w:jc w:val="both"/>
        <w:rPr>
          <w:sz w:val="24"/>
        </w:rPr>
      </w:pPr>
      <w:r>
        <w:rPr>
          <w:sz w:val="24"/>
        </w:rPr>
        <w:t>A proposal by a </w:t>
      </w:r>
      <w:r>
        <w:rPr>
          <w:i/>
          <w:sz w:val="24"/>
        </w:rPr>
        <w:t>Transmission Network Service Provider </w:t>
      </w:r>
      <w:r>
        <w:rPr>
          <w:sz w:val="24"/>
        </w:rPr>
        <w:t>as part of a </w:t>
      </w:r>
      <w:r>
        <w:rPr>
          <w:i/>
          <w:sz w:val="24"/>
        </w:rPr>
        <w:t>Revenue </w:t>
      </w:r>
      <w:r>
        <w:rPr>
          <w:i/>
          <w:sz w:val="24"/>
        </w:rPr>
        <w:t>Proposal </w:t>
      </w:r>
      <w:r>
        <w:rPr>
          <w:sz w:val="24"/>
        </w:rPr>
        <w:t>for a project to be determined by the </w:t>
      </w:r>
      <w:r>
        <w:rPr>
          <w:i/>
          <w:sz w:val="24"/>
        </w:rPr>
        <w:t>AER </w:t>
      </w:r>
      <w:r>
        <w:rPr>
          <w:sz w:val="24"/>
        </w:rPr>
        <w:t>as a </w:t>
      </w:r>
      <w:r>
        <w:rPr>
          <w:i/>
          <w:sz w:val="24"/>
        </w:rPr>
        <w:t>contingent project </w:t>
      </w:r>
      <w:r>
        <w:rPr>
          <w:sz w:val="24"/>
        </w:rPr>
        <w:t>for the purposes of a </w:t>
      </w:r>
      <w:r>
        <w:rPr>
          <w:i/>
          <w:sz w:val="24"/>
        </w:rPr>
        <w:t>revenue determination </w:t>
      </w:r>
      <w:r>
        <w:rPr>
          <w:sz w:val="24"/>
        </w:rPr>
        <w:t>in accordance with clause 6A.8.1(b)(1).</w:t>
      </w:r>
    </w:p>
    <w:p>
      <w:pPr>
        <w:pStyle w:val="Heading5"/>
        <w:rPr>
          <w:i/>
        </w:rPr>
      </w:pPr>
      <w:r>
        <w:rPr>
          <w:i/>
        </w:rPr>
        <w:t>prospective reallocation</w:t>
      </w:r>
    </w:p>
    <w:p>
      <w:pPr>
        <w:spacing w:before="120"/>
        <w:ind w:left="1352" w:right="415" w:firstLine="0"/>
        <w:jc w:val="both"/>
        <w:rPr>
          <w:sz w:val="24"/>
        </w:rPr>
      </w:pPr>
      <w:r>
        <w:rPr>
          <w:sz w:val="24"/>
        </w:rPr>
        <w:t>A </w:t>
      </w:r>
      <w:r>
        <w:rPr>
          <w:i/>
          <w:sz w:val="24"/>
        </w:rPr>
        <w:t>reallocation transaction </w:t>
      </w:r>
      <w:r>
        <w:rPr>
          <w:sz w:val="24"/>
        </w:rPr>
        <w:t>that occurs in a </w:t>
      </w:r>
      <w:r>
        <w:rPr>
          <w:i/>
          <w:sz w:val="24"/>
        </w:rPr>
        <w:t>trading interval </w:t>
      </w:r>
      <w:r>
        <w:rPr>
          <w:sz w:val="24"/>
        </w:rPr>
        <w:t>that takes place at a time after the </w:t>
      </w:r>
      <w:r>
        <w:rPr>
          <w:i/>
          <w:sz w:val="24"/>
        </w:rPr>
        <w:t>reallocation request </w:t>
      </w:r>
      <w:r>
        <w:rPr>
          <w:sz w:val="24"/>
        </w:rPr>
        <w:t>is made.</w:t>
      </w:r>
    </w:p>
    <w:p>
      <w:pPr>
        <w:pStyle w:val="Heading5"/>
        <w:rPr>
          <w:i/>
        </w:rPr>
      </w:pPr>
      <w:r>
        <w:rPr>
          <w:i/>
        </w:rPr>
        <w:t>protected event</w:t>
      </w:r>
    </w:p>
    <w:p>
      <w:pPr>
        <w:pStyle w:val="BodyText"/>
        <w:ind w:left="1352" w:firstLine="0"/>
      </w:pPr>
      <w:r>
        <w:rPr/>
        <w:t>Has the meaning given in clause 4.2.3(f).</w:t>
      </w:r>
    </w:p>
    <w:p>
      <w:pPr>
        <w:pStyle w:val="Heading5"/>
        <w:rPr>
          <w:i/>
        </w:rPr>
      </w:pPr>
      <w:r>
        <w:rPr>
          <w:i/>
        </w:rPr>
        <w:t>protected event EFCS standard</w:t>
      </w:r>
    </w:p>
    <w:p>
      <w:pPr>
        <w:spacing w:before="120"/>
        <w:ind w:left="1352" w:right="415" w:firstLine="0"/>
        <w:jc w:val="both"/>
        <w:rPr>
          <w:sz w:val="24"/>
        </w:rPr>
      </w:pPr>
      <w:r>
        <w:rPr>
          <w:sz w:val="24"/>
        </w:rPr>
        <w:t>For an </w:t>
      </w:r>
      <w:r>
        <w:rPr>
          <w:i/>
          <w:sz w:val="24"/>
        </w:rPr>
        <w:t>emergency frequency control scheme </w:t>
      </w:r>
      <w:r>
        <w:rPr>
          <w:sz w:val="24"/>
        </w:rPr>
        <w:t>means the standard for the scheme determined by the </w:t>
      </w:r>
      <w:r>
        <w:rPr>
          <w:i/>
          <w:sz w:val="24"/>
        </w:rPr>
        <w:t>Reliability Panel </w:t>
      </w:r>
      <w:r>
        <w:rPr>
          <w:sz w:val="24"/>
        </w:rPr>
        <w:t>under clause 8.8.4 setting out:</w:t>
      </w:r>
    </w:p>
    <w:p>
      <w:pPr>
        <w:pStyle w:val="ListParagraph"/>
        <w:numPr>
          <w:ilvl w:val="0"/>
          <w:numId w:val="796"/>
        </w:numPr>
        <w:tabs>
          <w:tab w:pos="1919" w:val="left" w:leader="none"/>
        </w:tabs>
        <w:spacing w:line="240" w:lineRule="auto" w:before="120" w:after="0"/>
        <w:ind w:left="1919" w:right="414" w:hanging="567"/>
        <w:jc w:val="both"/>
        <w:rPr>
          <w:sz w:val="24"/>
        </w:rPr>
      </w:pPr>
      <w:r>
        <w:rPr>
          <w:sz w:val="24"/>
        </w:rPr>
        <w:t>a general description of the scheme including how it is proposed to operate and the new, existing or modified </w:t>
      </w:r>
      <w:r>
        <w:rPr>
          <w:i/>
          <w:sz w:val="24"/>
        </w:rPr>
        <w:t>facilities </w:t>
      </w:r>
      <w:r>
        <w:rPr>
          <w:sz w:val="24"/>
        </w:rPr>
        <w:t>likely to comprise the scheme; and</w:t>
      </w:r>
    </w:p>
    <w:p>
      <w:pPr>
        <w:pStyle w:val="ListParagraph"/>
        <w:numPr>
          <w:ilvl w:val="0"/>
          <w:numId w:val="796"/>
        </w:numPr>
        <w:tabs>
          <w:tab w:pos="1919" w:val="left" w:leader="none"/>
        </w:tabs>
        <w:spacing w:line="240" w:lineRule="auto" w:before="120" w:after="0"/>
        <w:ind w:left="1918" w:right="0" w:hanging="567"/>
        <w:jc w:val="both"/>
        <w:rPr>
          <w:sz w:val="24"/>
        </w:rPr>
      </w:pPr>
      <w:r>
        <w:rPr>
          <w:sz w:val="24"/>
        </w:rPr>
        <w:t>the </w:t>
      </w:r>
      <w:r>
        <w:rPr>
          <w:i/>
          <w:sz w:val="24"/>
        </w:rPr>
        <w:t>target capabilities </w:t>
      </w:r>
      <w:r>
        <w:rPr>
          <w:sz w:val="24"/>
        </w:rPr>
        <w:t>applicable to the</w:t>
      </w:r>
      <w:r>
        <w:rPr>
          <w:spacing w:val="-1"/>
          <w:sz w:val="24"/>
        </w:rPr>
        <w:t> </w:t>
      </w:r>
      <w:r>
        <w:rPr>
          <w:sz w:val="24"/>
        </w:rPr>
        <w:t>scheme.</w:t>
      </w:r>
    </w:p>
    <w:p>
      <w:pPr>
        <w:pStyle w:val="Heading5"/>
        <w:rPr>
          <w:i/>
        </w:rPr>
      </w:pPr>
      <w:r>
        <w:rPr>
          <w:i/>
        </w:rPr>
        <w:t>protected information</w:t>
      </w:r>
    </w:p>
    <w:p>
      <w:pPr>
        <w:spacing w:before="120"/>
        <w:ind w:left="1352" w:right="0" w:firstLine="0"/>
        <w:jc w:val="both"/>
        <w:rPr>
          <w:sz w:val="24"/>
        </w:rPr>
      </w:pPr>
      <w:r>
        <w:rPr>
          <w:sz w:val="24"/>
        </w:rPr>
        <w:t>Has the meaning given in the </w:t>
      </w:r>
      <w:r>
        <w:rPr>
          <w:i/>
          <w:sz w:val="24"/>
        </w:rPr>
        <w:t>National Electricity Law</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protection system</w:t>
      </w:r>
    </w:p>
    <w:p>
      <w:pPr>
        <w:spacing w:before="120"/>
        <w:ind w:left="1352" w:right="415" w:firstLine="0"/>
        <w:jc w:val="both"/>
        <w:rPr>
          <w:sz w:val="24"/>
        </w:rPr>
      </w:pPr>
      <w:r>
        <w:rPr>
          <w:sz w:val="24"/>
        </w:rPr>
        <w:t>A system, which includes equipment,  used  to  protect  a </w:t>
      </w:r>
      <w:r>
        <w:rPr>
          <w:spacing w:val="41"/>
          <w:sz w:val="24"/>
        </w:rPr>
        <w:t> </w:t>
      </w:r>
      <w:r>
        <w:rPr>
          <w:i/>
          <w:sz w:val="24"/>
        </w:rPr>
        <w:t>Registered </w:t>
      </w:r>
      <w:r>
        <w:rPr>
          <w:i/>
          <w:sz w:val="24"/>
        </w:rPr>
        <w:t>Participant's facilities </w:t>
      </w:r>
      <w:r>
        <w:rPr>
          <w:sz w:val="24"/>
        </w:rPr>
        <w:t>from damage due to an electrical or mechanical fault or due to certain conditions of the </w:t>
      </w:r>
      <w:r>
        <w:rPr>
          <w:i/>
          <w:sz w:val="24"/>
        </w:rPr>
        <w:t>power</w:t>
      </w:r>
      <w:r>
        <w:rPr>
          <w:i/>
          <w:spacing w:val="-1"/>
          <w:sz w:val="24"/>
        </w:rPr>
        <w:t> </w:t>
      </w:r>
      <w:r>
        <w:rPr>
          <w:i/>
          <w:sz w:val="24"/>
        </w:rPr>
        <w:t>system</w:t>
      </w:r>
      <w:r>
        <w:rPr>
          <w:sz w:val="24"/>
        </w:rPr>
        <w:t>.</w:t>
      </w:r>
    </w:p>
    <w:p>
      <w:pPr>
        <w:pStyle w:val="Heading5"/>
        <w:rPr>
          <w:i/>
        </w:rPr>
      </w:pPr>
      <w:r>
        <w:rPr>
          <w:i/>
        </w:rPr>
        <w:t>prudential requirements</w:t>
      </w:r>
    </w:p>
    <w:p>
      <w:pPr>
        <w:pStyle w:val="BodyText"/>
        <w:ind w:left="1352" w:firstLine="0"/>
      </w:pPr>
      <w:r>
        <w:rPr/>
        <w:t>The requirements which must be satisfied as a condition of eligibility to remain a</w:t>
      </w:r>
    </w:p>
    <w:p>
      <w:pPr>
        <w:spacing w:before="0"/>
        <w:ind w:left="1352" w:right="0" w:firstLine="0"/>
        <w:jc w:val="both"/>
        <w:rPr>
          <w:sz w:val="24"/>
        </w:rPr>
      </w:pPr>
      <w:r>
        <w:rPr>
          <w:i/>
          <w:sz w:val="24"/>
        </w:rPr>
        <w:t>Market Participant </w:t>
      </w:r>
      <w:r>
        <w:rPr>
          <w:sz w:val="24"/>
        </w:rPr>
        <w:t>in accordance with clause 3.3.</w:t>
      </w:r>
    </w:p>
    <w:p>
      <w:pPr>
        <w:pStyle w:val="Heading5"/>
        <w:jc w:val="left"/>
        <w:rPr>
          <w:i/>
        </w:rPr>
      </w:pPr>
      <w:r>
        <w:rPr>
          <w:i/>
        </w:rPr>
        <w:t>publish/publication</w:t>
      </w:r>
    </w:p>
    <w:p>
      <w:pPr>
        <w:pStyle w:val="BodyText"/>
        <w:ind w:left="1352" w:firstLine="0"/>
        <w:jc w:val="left"/>
      </w:pPr>
      <w:r>
        <w:rPr/>
        <w:t>A document is published by the </w:t>
      </w:r>
      <w:r>
        <w:rPr>
          <w:i/>
        </w:rPr>
        <w:t>AER </w:t>
      </w:r>
      <w:r>
        <w:rPr/>
        <w:t>if it is:</w:t>
      </w:r>
    </w:p>
    <w:p>
      <w:pPr>
        <w:pStyle w:val="ListParagraph"/>
        <w:numPr>
          <w:ilvl w:val="0"/>
          <w:numId w:val="797"/>
        </w:numPr>
        <w:tabs>
          <w:tab w:pos="1918" w:val="left" w:leader="none"/>
          <w:tab w:pos="1919" w:val="left" w:leader="none"/>
        </w:tabs>
        <w:spacing w:line="240" w:lineRule="auto" w:before="120" w:after="0"/>
        <w:ind w:left="1918" w:right="0" w:hanging="567"/>
        <w:jc w:val="left"/>
        <w:rPr>
          <w:sz w:val="24"/>
        </w:rPr>
      </w:pPr>
      <w:r>
        <w:rPr>
          <w:sz w:val="24"/>
        </w:rPr>
        <w:t>published on the </w:t>
      </w:r>
      <w:r>
        <w:rPr>
          <w:i/>
          <w:sz w:val="24"/>
        </w:rPr>
        <w:t>AER's </w:t>
      </w:r>
      <w:r>
        <w:rPr>
          <w:sz w:val="24"/>
        </w:rPr>
        <w:t>website;</w:t>
      </w:r>
      <w:r>
        <w:rPr>
          <w:spacing w:val="-1"/>
          <w:sz w:val="24"/>
        </w:rPr>
        <w:t> </w:t>
      </w:r>
      <w:r>
        <w:rPr>
          <w:sz w:val="24"/>
        </w:rPr>
        <w:t>and</w:t>
      </w:r>
    </w:p>
    <w:p>
      <w:pPr>
        <w:pStyle w:val="ListParagraph"/>
        <w:numPr>
          <w:ilvl w:val="0"/>
          <w:numId w:val="797"/>
        </w:numPr>
        <w:tabs>
          <w:tab w:pos="1918" w:val="left" w:leader="none"/>
          <w:tab w:pos="1919" w:val="left" w:leader="none"/>
        </w:tabs>
        <w:spacing w:line="240" w:lineRule="auto" w:before="120" w:after="0"/>
        <w:ind w:left="1918" w:right="0" w:hanging="567"/>
        <w:jc w:val="left"/>
        <w:rPr>
          <w:sz w:val="24"/>
        </w:rPr>
      </w:pPr>
      <w:r>
        <w:rPr>
          <w:sz w:val="24"/>
        </w:rPr>
        <w:t>made available for public inspection at the </w:t>
      </w:r>
      <w:r>
        <w:rPr>
          <w:i/>
          <w:sz w:val="24"/>
        </w:rPr>
        <w:t>AER's </w:t>
      </w:r>
      <w:r>
        <w:rPr>
          <w:sz w:val="24"/>
        </w:rPr>
        <w:t>public offices;</w:t>
      </w:r>
      <w:r>
        <w:rPr>
          <w:spacing w:val="-3"/>
          <w:sz w:val="24"/>
        </w:rPr>
        <w:t> </w:t>
      </w:r>
      <w:r>
        <w:rPr>
          <w:sz w:val="24"/>
        </w:rPr>
        <w:t>and</w:t>
      </w:r>
    </w:p>
    <w:p>
      <w:pPr>
        <w:pStyle w:val="ListParagraph"/>
        <w:numPr>
          <w:ilvl w:val="0"/>
          <w:numId w:val="797"/>
        </w:numPr>
        <w:tabs>
          <w:tab w:pos="1918" w:val="left" w:leader="none"/>
          <w:tab w:pos="1919" w:val="left" w:leader="none"/>
        </w:tabs>
        <w:spacing w:line="240" w:lineRule="auto" w:before="120" w:after="0"/>
        <w:ind w:left="1918" w:right="0" w:hanging="567"/>
        <w:jc w:val="left"/>
        <w:rPr>
          <w:sz w:val="24"/>
        </w:rPr>
      </w:pPr>
      <w:r>
        <w:rPr>
          <w:sz w:val="24"/>
        </w:rPr>
        <w:t>in</w:t>
      </w:r>
      <w:r>
        <w:rPr>
          <w:spacing w:val="11"/>
          <w:sz w:val="24"/>
        </w:rPr>
        <w:t> </w:t>
      </w:r>
      <w:r>
        <w:rPr>
          <w:sz w:val="24"/>
        </w:rPr>
        <w:t>the</w:t>
      </w:r>
      <w:r>
        <w:rPr>
          <w:spacing w:val="11"/>
          <w:sz w:val="24"/>
        </w:rPr>
        <w:t> </w:t>
      </w:r>
      <w:r>
        <w:rPr>
          <w:sz w:val="24"/>
        </w:rPr>
        <w:t>case</w:t>
      </w:r>
      <w:r>
        <w:rPr>
          <w:spacing w:val="11"/>
          <w:sz w:val="24"/>
        </w:rPr>
        <w:t> </w:t>
      </w:r>
      <w:r>
        <w:rPr>
          <w:sz w:val="24"/>
        </w:rPr>
        <w:t>of</w:t>
      </w:r>
      <w:r>
        <w:rPr>
          <w:spacing w:val="12"/>
          <w:sz w:val="24"/>
        </w:rPr>
        <w:t> </w:t>
      </w:r>
      <w:r>
        <w:rPr>
          <w:sz w:val="24"/>
        </w:rPr>
        <w:t>a</w:t>
      </w:r>
      <w:r>
        <w:rPr>
          <w:spacing w:val="11"/>
          <w:sz w:val="24"/>
        </w:rPr>
        <w:t> </w:t>
      </w:r>
      <w:r>
        <w:rPr>
          <w:sz w:val="24"/>
        </w:rPr>
        <w:t>document</w:t>
      </w:r>
      <w:r>
        <w:rPr>
          <w:spacing w:val="11"/>
          <w:sz w:val="24"/>
        </w:rPr>
        <w:t> </w:t>
      </w:r>
      <w:r>
        <w:rPr>
          <w:sz w:val="24"/>
        </w:rPr>
        <w:t>inviting</w:t>
      </w:r>
      <w:r>
        <w:rPr>
          <w:spacing w:val="11"/>
          <w:sz w:val="24"/>
        </w:rPr>
        <w:t> </w:t>
      </w:r>
      <w:r>
        <w:rPr>
          <w:sz w:val="24"/>
        </w:rPr>
        <w:t>submissions</w:t>
      </w:r>
      <w:r>
        <w:rPr>
          <w:spacing w:val="11"/>
          <w:sz w:val="24"/>
        </w:rPr>
        <w:t> </w:t>
      </w:r>
      <w:r>
        <w:rPr>
          <w:sz w:val="24"/>
        </w:rPr>
        <w:t>from</w:t>
      </w:r>
      <w:r>
        <w:rPr>
          <w:spacing w:val="11"/>
          <w:sz w:val="24"/>
        </w:rPr>
        <w:t> </w:t>
      </w:r>
      <w:r>
        <w:rPr>
          <w:sz w:val="24"/>
        </w:rPr>
        <w:t>members</w:t>
      </w:r>
      <w:r>
        <w:rPr>
          <w:spacing w:val="11"/>
          <w:sz w:val="24"/>
        </w:rPr>
        <w:t> </w:t>
      </w:r>
      <w:r>
        <w:rPr>
          <w:sz w:val="24"/>
        </w:rPr>
        <w:t>of</w:t>
      </w:r>
      <w:r>
        <w:rPr>
          <w:spacing w:val="12"/>
          <w:sz w:val="24"/>
        </w:rPr>
        <w:t> </w:t>
      </w:r>
      <w:r>
        <w:rPr>
          <w:sz w:val="24"/>
        </w:rPr>
        <w:t>the</w:t>
      </w:r>
      <w:r>
        <w:rPr>
          <w:spacing w:val="11"/>
          <w:sz w:val="24"/>
        </w:rPr>
        <w:t> </w:t>
      </w:r>
      <w:r>
        <w:rPr>
          <w:sz w:val="24"/>
        </w:rPr>
        <w:t>public</w:t>
      </w:r>
    </w:p>
    <w:p>
      <w:pPr>
        <w:pStyle w:val="BodyText"/>
        <w:spacing w:before="0"/>
        <w:ind w:left="1919" w:firstLine="0"/>
        <w:jc w:val="left"/>
      </w:pPr>
      <w:r>
        <w:rPr/>
        <w:t>– published in a newspaper circulating generally throughout Australia.</w:t>
      </w:r>
    </w:p>
    <w:p>
      <w:pPr>
        <w:spacing w:before="120"/>
        <w:ind w:left="1352" w:right="415" w:firstLine="0"/>
        <w:jc w:val="both"/>
        <w:rPr>
          <w:sz w:val="24"/>
        </w:rPr>
      </w:pPr>
      <w:r>
        <w:rPr>
          <w:sz w:val="24"/>
        </w:rPr>
        <w:t>In Part B of Chapter 5, a document is published by the </w:t>
      </w:r>
      <w:r>
        <w:rPr>
          <w:i/>
          <w:sz w:val="24"/>
        </w:rPr>
        <w:t>Distribution Network </w:t>
      </w:r>
      <w:r>
        <w:rPr>
          <w:i/>
          <w:sz w:val="24"/>
        </w:rPr>
        <w:t>Service Provider </w:t>
      </w:r>
      <w:r>
        <w:rPr>
          <w:sz w:val="24"/>
        </w:rPr>
        <w:t>if it is published on the </w:t>
      </w:r>
      <w:r>
        <w:rPr>
          <w:i/>
          <w:sz w:val="24"/>
        </w:rPr>
        <w:t>Distribution Network Service Provider's </w:t>
      </w:r>
      <w:r>
        <w:rPr>
          <w:sz w:val="24"/>
        </w:rPr>
        <w:t>website.</w:t>
      </w:r>
    </w:p>
    <w:p>
      <w:pPr>
        <w:pStyle w:val="BodyText"/>
        <w:ind w:left="1352" w:firstLine="0"/>
      </w:pPr>
      <w:r>
        <w:rPr/>
        <w:t>Otherwise, a document is published by someone else if it is made available to</w:t>
      </w:r>
    </w:p>
    <w:p>
      <w:pPr>
        <w:spacing w:before="0"/>
        <w:ind w:left="1352" w:right="0" w:firstLine="0"/>
        <w:jc w:val="both"/>
        <w:rPr>
          <w:sz w:val="24"/>
        </w:rPr>
      </w:pPr>
      <w:r>
        <w:rPr>
          <w:i/>
          <w:sz w:val="24"/>
        </w:rPr>
        <w:t>Registered Participants </w:t>
      </w:r>
      <w:r>
        <w:rPr>
          <w:sz w:val="24"/>
        </w:rPr>
        <w:t>electronically.</w:t>
      </w:r>
    </w:p>
    <w:p>
      <w:pPr>
        <w:spacing w:after="0"/>
        <w:jc w:val="both"/>
        <w:rPr>
          <w:sz w:val="24"/>
        </w:rPr>
        <w:sectPr>
          <w:pgSz w:w="11910" w:h="16840"/>
          <w:pgMar w:header="686" w:footer="637" w:top="1320" w:bottom="820" w:left="1200" w:right="1000"/>
        </w:sectPr>
      </w:pPr>
    </w:p>
    <w:p>
      <w:pPr>
        <w:pStyle w:val="Heading5"/>
        <w:jc w:val="left"/>
        <w:rPr>
          <w:i/>
        </w:rPr>
      </w:pPr>
      <w:r>
        <w:rPr>
          <w:i/>
        </w:rPr>
        <w:t>ramp rate</w:t>
      </w:r>
    </w:p>
    <w:p>
      <w:pPr>
        <w:pStyle w:val="BodyText"/>
        <w:spacing w:before="0"/>
        <w:ind w:firstLine="0"/>
        <w:jc w:val="left"/>
        <w:rPr>
          <w:b/>
          <w:i/>
          <w:sz w:val="26"/>
        </w:rPr>
      </w:pPr>
      <w:r>
        <w:rPr/>
        <w:br w:type="column"/>
      </w:r>
      <w:r>
        <w:rPr>
          <w:b/>
          <w:i/>
          <w:sz w:val="26"/>
        </w:rPr>
      </w:r>
    </w:p>
    <w:p>
      <w:pPr>
        <w:pStyle w:val="BodyText"/>
        <w:spacing w:before="217"/>
        <w:ind w:left="127" w:firstLine="0"/>
        <w:jc w:val="left"/>
      </w:pPr>
      <w:r>
        <w:rPr/>
        <w:t>The rate of change of </w:t>
      </w:r>
      <w:r>
        <w:rPr>
          <w:i/>
        </w:rPr>
        <w:t>active power </w:t>
      </w:r>
      <w:r>
        <w:rPr/>
        <w:t>(expressed as MW/minute) required for</w:t>
      </w:r>
    </w:p>
    <w:p>
      <w:pPr>
        <w:spacing w:before="0"/>
        <w:ind w:left="127" w:right="0" w:firstLine="0"/>
        <w:jc w:val="left"/>
        <w:rPr>
          <w:sz w:val="24"/>
        </w:rPr>
      </w:pPr>
      <w:r>
        <w:rPr>
          <w:i/>
          <w:sz w:val="24"/>
        </w:rPr>
        <w:t>dispatch</w:t>
      </w:r>
      <w:r>
        <w:rPr>
          <w:sz w:val="24"/>
        </w:rPr>
        <w:t>.</w:t>
      </w:r>
    </w:p>
    <w:p>
      <w:pPr>
        <w:spacing w:after="0"/>
        <w:jc w:val="left"/>
        <w:rPr>
          <w:sz w:val="24"/>
        </w:rPr>
        <w:sectPr>
          <w:type w:val="continuous"/>
          <w:pgSz w:w="11910" w:h="16840"/>
          <w:pgMar w:top="1360" w:bottom="280" w:left="1200" w:right="1000"/>
          <w:cols w:num="2" w:equalWidth="0">
            <w:col w:w="1185" w:space="40"/>
            <w:col w:w="8485"/>
          </w:cols>
        </w:sectPr>
      </w:pPr>
    </w:p>
    <w:p>
      <w:pPr>
        <w:pStyle w:val="Heading5"/>
        <w:rPr>
          <w:i/>
        </w:rPr>
      </w:pPr>
      <w:r>
        <w:rPr>
          <w:i/>
        </w:rPr>
        <w:t>rated active power</w:t>
      </w:r>
    </w:p>
    <w:p>
      <w:pPr>
        <w:pStyle w:val="ListParagraph"/>
        <w:numPr>
          <w:ilvl w:val="0"/>
          <w:numId w:val="798"/>
        </w:numPr>
        <w:tabs>
          <w:tab w:pos="1919" w:val="left" w:leader="none"/>
        </w:tabs>
        <w:spacing w:line="240" w:lineRule="auto" w:before="120" w:after="0"/>
        <w:ind w:left="1919" w:right="415" w:hanging="567"/>
        <w:jc w:val="both"/>
        <w:rPr>
          <w:sz w:val="24"/>
        </w:rPr>
      </w:pPr>
      <w:r>
        <w:rPr>
          <w:sz w:val="24"/>
        </w:rPr>
        <w:t>In relation to a </w:t>
      </w:r>
      <w:r>
        <w:rPr>
          <w:i/>
          <w:sz w:val="24"/>
        </w:rPr>
        <w:t>generating unit</w:t>
      </w:r>
      <w:r>
        <w:rPr>
          <w:sz w:val="24"/>
        </w:rPr>
        <w:t>, the maximum amount of </w:t>
      </w:r>
      <w:r>
        <w:rPr>
          <w:i/>
          <w:sz w:val="24"/>
        </w:rPr>
        <w:t>active power </w:t>
      </w:r>
      <w:r>
        <w:rPr>
          <w:sz w:val="24"/>
        </w:rPr>
        <w:t>that the </w:t>
      </w:r>
      <w:r>
        <w:rPr>
          <w:i/>
          <w:sz w:val="24"/>
        </w:rPr>
        <w:t>generating unit </w:t>
      </w:r>
      <w:r>
        <w:rPr>
          <w:sz w:val="24"/>
        </w:rPr>
        <w:t>can continuously deliver at the </w:t>
      </w:r>
      <w:r>
        <w:rPr>
          <w:i/>
          <w:sz w:val="24"/>
        </w:rPr>
        <w:t>connection point </w:t>
      </w:r>
      <w:r>
        <w:rPr>
          <w:spacing w:val="-4"/>
          <w:sz w:val="24"/>
        </w:rPr>
        <w:t>when</w:t>
      </w:r>
      <w:r>
        <w:rPr>
          <w:spacing w:val="52"/>
          <w:sz w:val="24"/>
        </w:rPr>
        <w:t> </w:t>
      </w:r>
      <w:r>
        <w:rPr>
          <w:sz w:val="24"/>
        </w:rPr>
        <w:t>operating at its </w:t>
      </w:r>
      <w:r>
        <w:rPr>
          <w:i/>
          <w:sz w:val="24"/>
        </w:rPr>
        <w:t>nameplate</w:t>
      </w:r>
      <w:r>
        <w:rPr>
          <w:i/>
          <w:spacing w:val="-2"/>
          <w:sz w:val="24"/>
        </w:rPr>
        <w:t> </w:t>
      </w:r>
      <w:r>
        <w:rPr>
          <w:i/>
          <w:sz w:val="24"/>
        </w:rPr>
        <w:t>rating</w:t>
      </w:r>
      <w:r>
        <w:rPr>
          <w:sz w:val="24"/>
        </w:rPr>
        <w:t>.</w:t>
      </w:r>
    </w:p>
    <w:p>
      <w:pPr>
        <w:pStyle w:val="ListParagraph"/>
        <w:numPr>
          <w:ilvl w:val="0"/>
          <w:numId w:val="798"/>
        </w:numPr>
        <w:tabs>
          <w:tab w:pos="1919" w:val="left" w:leader="none"/>
        </w:tabs>
        <w:spacing w:line="240" w:lineRule="auto" w:before="120" w:after="0"/>
        <w:ind w:left="1919" w:right="415" w:hanging="567"/>
        <w:jc w:val="both"/>
        <w:rPr>
          <w:sz w:val="24"/>
        </w:rPr>
      </w:pPr>
      <w:r>
        <w:rPr>
          <w:sz w:val="24"/>
        </w:rPr>
        <w:t>In relation to a </w:t>
      </w:r>
      <w:r>
        <w:rPr>
          <w:i/>
          <w:sz w:val="24"/>
        </w:rPr>
        <w:t>generating system</w:t>
      </w:r>
      <w:r>
        <w:rPr>
          <w:sz w:val="24"/>
        </w:rPr>
        <w:t>, the combined maximum amount of </w:t>
      </w:r>
      <w:r>
        <w:rPr>
          <w:i/>
          <w:sz w:val="24"/>
        </w:rPr>
        <w:t>active </w:t>
      </w:r>
      <w:r>
        <w:rPr>
          <w:i/>
          <w:sz w:val="24"/>
        </w:rPr>
        <w:t>power </w:t>
      </w:r>
      <w:r>
        <w:rPr>
          <w:sz w:val="24"/>
        </w:rPr>
        <w:t>that its in-service </w:t>
      </w:r>
      <w:r>
        <w:rPr>
          <w:i/>
          <w:sz w:val="24"/>
        </w:rPr>
        <w:t>generating units </w:t>
      </w:r>
      <w:r>
        <w:rPr>
          <w:sz w:val="24"/>
        </w:rPr>
        <w:t>can deliver at the  </w:t>
      </w:r>
      <w:r>
        <w:rPr>
          <w:i/>
          <w:spacing w:val="-3"/>
          <w:sz w:val="24"/>
        </w:rPr>
        <w:t>connection </w:t>
      </w:r>
      <w:r>
        <w:rPr>
          <w:i/>
          <w:sz w:val="24"/>
        </w:rPr>
        <w:t>point</w:t>
      </w:r>
      <w:r>
        <w:rPr>
          <w:sz w:val="24"/>
        </w:rPr>
        <w:t>, when its in-service </w:t>
      </w:r>
      <w:r>
        <w:rPr>
          <w:i/>
          <w:sz w:val="24"/>
        </w:rPr>
        <w:t>generating units </w:t>
      </w:r>
      <w:r>
        <w:rPr>
          <w:sz w:val="24"/>
        </w:rPr>
        <w:t>are operating at their </w:t>
      </w:r>
      <w:r>
        <w:rPr>
          <w:i/>
          <w:sz w:val="24"/>
        </w:rPr>
        <w:t>nameplate </w:t>
      </w:r>
      <w:r>
        <w:rPr>
          <w:i/>
          <w:sz w:val="24"/>
        </w:rPr>
        <w:t>ratings</w:t>
      </w:r>
      <w:r>
        <w:rPr>
          <w:sz w:val="24"/>
        </w:rPr>
        <w:t>.</w:t>
      </w:r>
    </w:p>
    <w:p>
      <w:pPr>
        <w:pStyle w:val="Heading5"/>
        <w:rPr>
          <w:i/>
        </w:rPr>
      </w:pPr>
      <w:r>
        <w:rPr>
          <w:i/>
        </w:rPr>
        <w:t>reactive energy</w:t>
      </w:r>
    </w:p>
    <w:p>
      <w:pPr>
        <w:pStyle w:val="BodyText"/>
        <w:ind w:left="1352" w:right="414" w:firstLine="0"/>
      </w:pPr>
      <w:r>
        <w:rPr/>
        <w:t>A measure, in varhour (varh), of the alternating exchange of stored energy in inductors and capacitors, which is the time-integral of the product of </w:t>
      </w:r>
      <w:r>
        <w:rPr>
          <w:i/>
        </w:rPr>
        <w:t>voltage </w:t>
      </w:r>
      <w:r>
        <w:rPr/>
        <w:t>and the out-of-phase component of current flow across a </w:t>
      </w:r>
      <w:r>
        <w:rPr>
          <w:i/>
        </w:rPr>
        <w:t>connection point</w:t>
      </w:r>
      <w:r>
        <w:rPr/>
        <w:t>.</w:t>
      </w:r>
    </w:p>
    <w:p>
      <w:pPr>
        <w:pStyle w:val="Heading5"/>
        <w:rPr>
          <w:i/>
        </w:rPr>
      </w:pPr>
      <w:r>
        <w:rPr>
          <w:i/>
        </w:rPr>
        <w:t>reactive plant</w:t>
      </w:r>
    </w:p>
    <w:p>
      <w:pPr>
        <w:pStyle w:val="BodyText"/>
        <w:ind w:left="1352" w:right="416" w:firstLine="0"/>
      </w:pPr>
      <w:r>
        <w:rPr>
          <w:i/>
        </w:rPr>
        <w:t>Plant </w:t>
      </w:r>
      <w:r>
        <w:rPr/>
        <w:t>which is normally specifically provided to be capable of providing or absorbing </w:t>
      </w:r>
      <w:r>
        <w:rPr>
          <w:i/>
        </w:rPr>
        <w:t>reactive power </w:t>
      </w:r>
      <w:r>
        <w:rPr/>
        <w:t>and includes the </w:t>
      </w:r>
      <w:r>
        <w:rPr>
          <w:i/>
        </w:rPr>
        <w:t>plant </w:t>
      </w:r>
      <w:r>
        <w:rPr/>
        <w:t>identified in clause 4.5.1(g).</w:t>
      </w:r>
    </w:p>
    <w:p>
      <w:pPr>
        <w:pStyle w:val="Heading5"/>
        <w:rPr>
          <w:i/>
        </w:rPr>
      </w:pPr>
      <w:r>
        <w:rPr>
          <w:i/>
        </w:rPr>
        <w:t>reactive power</w:t>
      </w:r>
    </w:p>
    <w:p>
      <w:pPr>
        <w:spacing w:before="120"/>
        <w:ind w:left="1352" w:right="0" w:firstLine="0"/>
        <w:jc w:val="both"/>
        <w:rPr>
          <w:sz w:val="24"/>
        </w:rPr>
      </w:pPr>
      <w:r>
        <w:rPr>
          <w:sz w:val="24"/>
        </w:rPr>
        <w:t>The rate at which </w:t>
      </w:r>
      <w:r>
        <w:rPr>
          <w:i/>
          <w:sz w:val="24"/>
        </w:rPr>
        <w:t>reactive energy </w:t>
      </w:r>
      <w:r>
        <w:rPr>
          <w:sz w:val="24"/>
        </w:rPr>
        <w:t>is transferred.</w:t>
      </w:r>
    </w:p>
    <w:p>
      <w:pPr>
        <w:spacing w:before="120"/>
        <w:ind w:left="1352" w:right="414" w:firstLine="0"/>
        <w:jc w:val="both"/>
        <w:rPr>
          <w:sz w:val="24"/>
        </w:rPr>
      </w:pPr>
      <w:r>
        <w:rPr>
          <w:i/>
          <w:sz w:val="24"/>
        </w:rPr>
        <w:t>Reactive power </w:t>
      </w:r>
      <w:r>
        <w:rPr>
          <w:sz w:val="24"/>
        </w:rPr>
        <w:t>is a necessary component of alternating current electricity which is separate from </w:t>
      </w:r>
      <w:r>
        <w:rPr>
          <w:i/>
          <w:sz w:val="24"/>
        </w:rPr>
        <w:t>active power </w:t>
      </w:r>
      <w:r>
        <w:rPr>
          <w:sz w:val="24"/>
        </w:rPr>
        <w:t>and is predominantly consumed in the creation of magnetic fields in motors and </w:t>
      </w:r>
      <w:r>
        <w:rPr>
          <w:i/>
          <w:sz w:val="24"/>
        </w:rPr>
        <w:t>transformers </w:t>
      </w:r>
      <w:r>
        <w:rPr>
          <w:sz w:val="24"/>
        </w:rPr>
        <w:t>and produced by </w:t>
      </w:r>
      <w:r>
        <w:rPr>
          <w:i/>
          <w:sz w:val="24"/>
        </w:rPr>
        <w:t>plant </w:t>
      </w:r>
      <w:r>
        <w:rPr>
          <w:sz w:val="24"/>
        </w:rPr>
        <w:t>such</w:t>
      </w:r>
      <w:r>
        <w:rPr>
          <w:spacing w:val="-5"/>
          <w:sz w:val="24"/>
        </w:rPr>
        <w:t> </w:t>
      </w:r>
      <w:r>
        <w:rPr>
          <w:sz w:val="24"/>
        </w:rPr>
        <w:t>as:</w:t>
      </w:r>
    </w:p>
    <w:p>
      <w:pPr>
        <w:spacing w:after="0"/>
        <w:jc w:val="both"/>
        <w:rPr>
          <w:sz w:val="24"/>
        </w:rPr>
        <w:sectPr>
          <w:type w:val="continuous"/>
          <w:pgSz w:w="11910" w:h="16840"/>
          <w:pgMar w:top="1360" w:bottom="280" w:left="1200" w:right="1000"/>
        </w:sectPr>
      </w:pPr>
    </w:p>
    <w:p>
      <w:pPr>
        <w:pStyle w:val="ListParagraph"/>
        <w:numPr>
          <w:ilvl w:val="0"/>
          <w:numId w:val="799"/>
        </w:numPr>
        <w:tabs>
          <w:tab w:pos="1918" w:val="left" w:leader="none"/>
          <w:tab w:pos="1919" w:val="left" w:leader="none"/>
        </w:tabs>
        <w:spacing w:line="240" w:lineRule="auto" w:before="83" w:after="0"/>
        <w:ind w:left="1918" w:right="0" w:hanging="567"/>
        <w:jc w:val="left"/>
        <w:rPr>
          <w:sz w:val="24"/>
        </w:rPr>
      </w:pPr>
      <w:r>
        <w:rPr>
          <w:sz w:val="24"/>
        </w:rPr>
        <w:t>alternating current</w:t>
      </w:r>
      <w:r>
        <w:rPr>
          <w:spacing w:val="-1"/>
          <w:sz w:val="24"/>
        </w:rPr>
        <w:t> </w:t>
      </w:r>
      <w:r>
        <w:rPr>
          <w:sz w:val="24"/>
        </w:rPr>
        <w:t>generators;</w:t>
      </w:r>
    </w:p>
    <w:p>
      <w:pPr>
        <w:pStyle w:val="ListParagraph"/>
        <w:numPr>
          <w:ilvl w:val="0"/>
          <w:numId w:val="799"/>
        </w:numPr>
        <w:tabs>
          <w:tab w:pos="1918" w:val="left" w:leader="none"/>
          <w:tab w:pos="1919" w:val="left" w:leader="none"/>
        </w:tabs>
        <w:spacing w:line="240" w:lineRule="auto" w:before="120" w:after="0"/>
        <w:ind w:left="1919" w:right="415" w:hanging="567"/>
        <w:jc w:val="left"/>
        <w:rPr>
          <w:sz w:val="24"/>
        </w:rPr>
      </w:pPr>
      <w:r>
        <w:rPr>
          <w:sz w:val="24"/>
        </w:rPr>
        <w:t>capacitors, including the capacitive effect of parallel </w:t>
      </w:r>
      <w:r>
        <w:rPr>
          <w:i/>
          <w:sz w:val="24"/>
        </w:rPr>
        <w:t>transmission </w:t>
      </w:r>
      <w:r>
        <w:rPr>
          <w:sz w:val="24"/>
        </w:rPr>
        <w:t>wires;  and</w:t>
      </w:r>
    </w:p>
    <w:p>
      <w:pPr>
        <w:pStyle w:val="ListParagraph"/>
        <w:numPr>
          <w:ilvl w:val="0"/>
          <w:numId w:val="799"/>
        </w:numPr>
        <w:tabs>
          <w:tab w:pos="1918" w:val="left" w:leader="none"/>
          <w:tab w:pos="1919" w:val="left" w:leader="none"/>
        </w:tabs>
        <w:spacing w:line="240" w:lineRule="auto" w:before="120" w:after="0"/>
        <w:ind w:left="1918" w:right="0" w:hanging="567"/>
        <w:jc w:val="left"/>
        <w:rPr>
          <w:sz w:val="24"/>
        </w:rPr>
      </w:pPr>
      <w:r>
        <w:rPr>
          <w:i/>
          <w:sz w:val="24"/>
        </w:rPr>
        <w:t>synchronous</w:t>
      </w:r>
      <w:r>
        <w:rPr>
          <w:i/>
          <w:spacing w:val="-1"/>
          <w:sz w:val="24"/>
        </w:rPr>
        <w:t> </w:t>
      </w:r>
      <w:r>
        <w:rPr>
          <w:i/>
          <w:sz w:val="24"/>
        </w:rPr>
        <w:t>condensers</w:t>
      </w:r>
      <w:r>
        <w:rPr>
          <w:sz w:val="24"/>
        </w:rPr>
        <w:t>.</w:t>
      </w:r>
    </w:p>
    <w:p>
      <w:pPr>
        <w:pStyle w:val="Heading5"/>
        <w:jc w:val="left"/>
        <w:rPr>
          <w:i/>
        </w:rPr>
      </w:pPr>
      <w:r>
        <w:rPr>
          <w:i/>
        </w:rPr>
        <w:t>reactive power capability</w:t>
      </w:r>
    </w:p>
    <w:p>
      <w:pPr>
        <w:spacing w:before="120"/>
        <w:ind w:left="1352" w:right="415" w:firstLine="0"/>
        <w:jc w:val="both"/>
        <w:rPr>
          <w:sz w:val="24"/>
        </w:rPr>
      </w:pPr>
      <w:r>
        <w:rPr>
          <w:sz w:val="24"/>
        </w:rPr>
        <w:t>The maximum rate at which </w:t>
      </w:r>
      <w:r>
        <w:rPr>
          <w:i/>
          <w:sz w:val="24"/>
        </w:rPr>
        <w:t>reactive energy </w:t>
      </w:r>
      <w:r>
        <w:rPr>
          <w:sz w:val="24"/>
        </w:rPr>
        <w:t>may be transferred from a </w:t>
      </w:r>
      <w:r>
        <w:rPr>
          <w:i/>
          <w:sz w:val="24"/>
        </w:rPr>
        <w:t>generating </w:t>
      </w:r>
      <w:r>
        <w:rPr>
          <w:i/>
          <w:sz w:val="24"/>
        </w:rPr>
        <w:t>unit </w:t>
      </w:r>
      <w:r>
        <w:rPr>
          <w:sz w:val="24"/>
        </w:rPr>
        <w:t>to a </w:t>
      </w:r>
      <w:r>
        <w:rPr>
          <w:i/>
          <w:sz w:val="24"/>
        </w:rPr>
        <w:t>connection point </w:t>
      </w:r>
      <w:r>
        <w:rPr>
          <w:sz w:val="24"/>
        </w:rPr>
        <w:t>as specified or proposed to be specified in a </w:t>
      </w:r>
      <w:r>
        <w:rPr>
          <w:i/>
          <w:sz w:val="24"/>
        </w:rPr>
        <w:t>connection </w:t>
      </w:r>
      <w:r>
        <w:rPr>
          <w:i/>
          <w:sz w:val="24"/>
        </w:rPr>
        <w:t>agreement </w:t>
      </w:r>
      <w:r>
        <w:rPr>
          <w:sz w:val="24"/>
        </w:rPr>
        <w:t>(as the case may be).</w:t>
      </w:r>
    </w:p>
    <w:p>
      <w:pPr>
        <w:pStyle w:val="Heading5"/>
        <w:rPr>
          <w:i/>
        </w:rPr>
      </w:pPr>
      <w:r>
        <w:rPr>
          <w:i/>
        </w:rPr>
        <w:t>reactive power reserve</w:t>
      </w:r>
    </w:p>
    <w:p>
      <w:pPr>
        <w:spacing w:before="120"/>
        <w:ind w:left="1352" w:right="415" w:firstLine="0"/>
        <w:jc w:val="both"/>
        <w:rPr>
          <w:sz w:val="24"/>
        </w:rPr>
      </w:pPr>
      <w:r>
        <w:rPr>
          <w:sz w:val="24"/>
        </w:rPr>
        <w:t>Unutilised sources of </w:t>
      </w:r>
      <w:r>
        <w:rPr>
          <w:i/>
          <w:sz w:val="24"/>
        </w:rPr>
        <w:t>reactive power </w:t>
      </w:r>
      <w:r>
        <w:rPr>
          <w:sz w:val="24"/>
        </w:rPr>
        <w:t>arranged to be available to cater for the possibility of the unavailability of another source of </w:t>
      </w:r>
      <w:r>
        <w:rPr>
          <w:i/>
          <w:sz w:val="24"/>
        </w:rPr>
        <w:t>reactive power </w:t>
      </w:r>
      <w:r>
        <w:rPr>
          <w:sz w:val="24"/>
        </w:rPr>
        <w:t>or increased requirements for </w:t>
      </w:r>
      <w:r>
        <w:rPr>
          <w:i/>
          <w:sz w:val="24"/>
        </w:rPr>
        <w:t>reactive power</w:t>
      </w:r>
      <w:r>
        <w:rPr>
          <w:sz w:val="24"/>
        </w:rPr>
        <w:t>.</w:t>
      </w:r>
    </w:p>
    <w:p>
      <w:pPr>
        <w:pStyle w:val="Heading5"/>
        <w:rPr>
          <w:i/>
        </w:rPr>
      </w:pPr>
      <w:r>
        <w:rPr>
          <w:i/>
        </w:rPr>
        <w:t>reactive power support / reactive support</w:t>
      </w:r>
    </w:p>
    <w:p>
      <w:pPr>
        <w:spacing w:before="120"/>
        <w:ind w:left="1352" w:right="0" w:firstLine="0"/>
        <w:jc w:val="both"/>
        <w:rPr>
          <w:sz w:val="24"/>
        </w:rPr>
      </w:pPr>
      <w:r>
        <w:rPr>
          <w:sz w:val="24"/>
        </w:rPr>
        <w:t>The provision of </w:t>
      </w:r>
      <w:r>
        <w:rPr>
          <w:i/>
          <w:sz w:val="24"/>
        </w:rPr>
        <w:t>reactive power</w:t>
      </w:r>
      <w:r>
        <w:rPr>
          <w:sz w:val="24"/>
        </w:rPr>
        <w:t>.</w:t>
      </w:r>
    </w:p>
    <w:p>
      <w:pPr>
        <w:spacing w:after="0"/>
        <w:jc w:val="both"/>
        <w:rPr>
          <w:sz w:val="24"/>
        </w:rPr>
        <w:sectPr>
          <w:pgSz w:w="11910" w:h="16840"/>
          <w:pgMar w:header="686" w:footer="637" w:top="1320" w:bottom="820" w:left="1200" w:right="1000"/>
        </w:sectPr>
      </w:pPr>
    </w:p>
    <w:p>
      <w:pPr>
        <w:pStyle w:val="Heading5"/>
        <w:jc w:val="left"/>
        <w:rPr>
          <w:i/>
        </w:rPr>
      </w:pPr>
      <w:r>
        <w:rPr>
          <w:i/>
        </w:rPr>
        <w:t>reactor</w:t>
      </w:r>
    </w:p>
    <w:p>
      <w:pPr>
        <w:pStyle w:val="BodyText"/>
        <w:spacing w:before="0"/>
        <w:ind w:firstLine="0"/>
        <w:jc w:val="left"/>
        <w:rPr>
          <w:b/>
          <w:i/>
          <w:sz w:val="26"/>
        </w:rPr>
      </w:pPr>
      <w:r>
        <w:rPr/>
        <w:br w:type="column"/>
      </w:r>
      <w:r>
        <w:rPr>
          <w:b/>
          <w:i/>
          <w:sz w:val="26"/>
        </w:rPr>
      </w:r>
    </w:p>
    <w:p>
      <w:pPr>
        <w:spacing w:before="217"/>
        <w:ind w:left="218" w:right="416" w:firstLine="0"/>
        <w:jc w:val="both"/>
        <w:rPr>
          <w:sz w:val="24"/>
        </w:rPr>
      </w:pPr>
      <w:r>
        <w:rPr>
          <w:sz w:val="24"/>
        </w:rPr>
        <w:t>A device, similar to a </w:t>
      </w:r>
      <w:r>
        <w:rPr>
          <w:i/>
          <w:sz w:val="24"/>
        </w:rPr>
        <w:t>transformer</w:t>
      </w:r>
      <w:r>
        <w:rPr>
          <w:sz w:val="24"/>
        </w:rPr>
        <w:t>, specifically arranged to be </w:t>
      </w:r>
      <w:r>
        <w:rPr>
          <w:i/>
          <w:sz w:val="24"/>
        </w:rPr>
        <w:t>connected </w:t>
      </w:r>
      <w:r>
        <w:rPr>
          <w:sz w:val="24"/>
        </w:rPr>
        <w:t>into the </w:t>
      </w:r>
      <w:r>
        <w:rPr>
          <w:i/>
          <w:sz w:val="24"/>
        </w:rPr>
        <w:t>transmission system </w:t>
      </w:r>
      <w:r>
        <w:rPr>
          <w:sz w:val="24"/>
        </w:rPr>
        <w:t>during periods of low </w:t>
      </w:r>
      <w:r>
        <w:rPr>
          <w:i/>
          <w:sz w:val="24"/>
        </w:rPr>
        <w:t>load </w:t>
      </w:r>
      <w:r>
        <w:rPr>
          <w:sz w:val="24"/>
        </w:rPr>
        <w:t>demand or low </w:t>
      </w:r>
      <w:r>
        <w:rPr>
          <w:i/>
          <w:sz w:val="24"/>
        </w:rPr>
        <w:t>reactive power </w:t>
      </w:r>
      <w:r>
        <w:rPr>
          <w:sz w:val="24"/>
        </w:rPr>
        <w:t>demand to counteract the natural capacitive effects of long </w:t>
      </w:r>
      <w:r>
        <w:rPr>
          <w:i/>
          <w:sz w:val="24"/>
        </w:rPr>
        <w:t>transmission lines </w:t>
      </w:r>
      <w:r>
        <w:rPr>
          <w:sz w:val="24"/>
        </w:rPr>
        <w:t>in generating excess </w:t>
      </w:r>
      <w:r>
        <w:rPr>
          <w:i/>
          <w:sz w:val="24"/>
        </w:rPr>
        <w:t>reactive power </w:t>
      </w:r>
      <w:r>
        <w:rPr>
          <w:sz w:val="24"/>
        </w:rPr>
        <w:t>and so correct any </w:t>
      </w:r>
      <w:r>
        <w:rPr>
          <w:i/>
          <w:sz w:val="24"/>
        </w:rPr>
        <w:t>transmission voltage </w:t>
      </w:r>
      <w:r>
        <w:rPr>
          <w:sz w:val="24"/>
        </w:rPr>
        <w:t>effects during these periods.</w:t>
      </w:r>
    </w:p>
    <w:p>
      <w:pPr>
        <w:spacing w:after="0"/>
        <w:jc w:val="both"/>
        <w:rPr>
          <w:sz w:val="24"/>
        </w:rPr>
        <w:sectPr>
          <w:type w:val="continuous"/>
          <w:pgSz w:w="11910" w:h="16840"/>
          <w:pgMar w:top="1360" w:bottom="280" w:left="1200" w:right="1000"/>
          <w:cols w:num="2" w:equalWidth="0">
            <w:col w:w="964" w:space="170"/>
            <w:col w:w="8576"/>
          </w:cols>
        </w:sectPr>
      </w:pPr>
    </w:p>
    <w:p>
      <w:pPr>
        <w:pStyle w:val="Heading5"/>
        <w:jc w:val="left"/>
        <w:rPr>
          <w:i/>
        </w:rPr>
      </w:pPr>
      <w:r>
        <w:rPr>
          <w:i/>
        </w:rPr>
        <w:t>real estate developer</w:t>
      </w:r>
    </w:p>
    <w:p>
      <w:pPr>
        <w:pStyle w:val="BodyText"/>
        <w:ind w:left="1352" w:firstLine="0"/>
        <w:jc w:val="left"/>
      </w:pPr>
      <w:r>
        <w:rPr/>
        <w:t>Has the meaning given in clause 5A.A.1.</w:t>
      </w:r>
    </w:p>
    <w:p>
      <w:pPr>
        <w:pStyle w:val="Heading5"/>
        <w:jc w:val="left"/>
        <w:rPr>
          <w:i/>
        </w:rPr>
      </w:pPr>
      <w:r>
        <w:rPr>
          <w:i/>
        </w:rPr>
        <w:t>real estate development</w:t>
      </w:r>
    </w:p>
    <w:p>
      <w:pPr>
        <w:pStyle w:val="BodyText"/>
        <w:ind w:left="1352" w:firstLine="0"/>
        <w:jc w:val="left"/>
      </w:pPr>
      <w:r>
        <w:rPr/>
        <w:t>Has the meaning given in clause 5A.A.1.</w:t>
      </w:r>
    </w:p>
    <w:p>
      <w:pPr>
        <w:pStyle w:val="Heading5"/>
        <w:jc w:val="left"/>
        <w:rPr>
          <w:i/>
        </w:rPr>
      </w:pPr>
      <w:r>
        <w:rPr>
          <w:i/>
        </w:rPr>
        <w:t>reallocation</w:t>
      </w:r>
    </w:p>
    <w:p>
      <w:pPr>
        <w:spacing w:before="120"/>
        <w:ind w:left="1352" w:right="0" w:firstLine="0"/>
        <w:jc w:val="left"/>
        <w:rPr>
          <w:sz w:val="24"/>
        </w:rPr>
      </w:pPr>
      <w:r>
        <w:rPr>
          <w:sz w:val="24"/>
        </w:rPr>
        <w:t>A process under which two </w:t>
      </w:r>
      <w:r>
        <w:rPr>
          <w:i/>
          <w:sz w:val="24"/>
        </w:rPr>
        <w:t>Market Participants </w:t>
      </w:r>
      <w:r>
        <w:rPr>
          <w:sz w:val="24"/>
        </w:rPr>
        <w:t>request </w:t>
      </w:r>
      <w:r>
        <w:rPr>
          <w:i/>
          <w:sz w:val="24"/>
        </w:rPr>
        <w:t>AEMO </w:t>
      </w:r>
      <w:r>
        <w:rPr>
          <w:sz w:val="24"/>
        </w:rPr>
        <w:t>to make matching debits and credits to the position of those </w:t>
      </w:r>
      <w:r>
        <w:rPr>
          <w:i/>
          <w:sz w:val="24"/>
        </w:rPr>
        <w:t>Market Participants </w:t>
      </w:r>
      <w:r>
        <w:rPr>
          <w:sz w:val="24"/>
        </w:rPr>
        <w:t>with </w:t>
      </w:r>
      <w:r>
        <w:rPr>
          <w:i/>
          <w:sz w:val="24"/>
        </w:rPr>
        <w:t>AEMO</w:t>
      </w:r>
      <w:r>
        <w:rPr>
          <w:sz w:val="24"/>
        </w:rPr>
        <w:t>.</w:t>
      </w:r>
    </w:p>
    <w:p>
      <w:pPr>
        <w:pStyle w:val="Heading5"/>
        <w:jc w:val="left"/>
        <w:rPr>
          <w:i/>
        </w:rPr>
      </w:pPr>
      <w:r>
        <w:rPr>
          <w:i/>
        </w:rPr>
        <w:t>reallocation amount</w:t>
      </w:r>
    </w:p>
    <w:p>
      <w:pPr>
        <w:spacing w:before="120"/>
        <w:ind w:left="1352" w:right="414" w:firstLine="0"/>
        <w:jc w:val="both"/>
        <w:rPr>
          <w:sz w:val="24"/>
        </w:rPr>
      </w:pPr>
      <w:r>
        <w:rPr>
          <w:sz w:val="24"/>
        </w:rPr>
        <w:t>In respect of a </w:t>
      </w:r>
      <w:r>
        <w:rPr>
          <w:i/>
          <w:sz w:val="24"/>
        </w:rPr>
        <w:t>Market Participant</w:t>
      </w:r>
      <w:r>
        <w:rPr>
          <w:sz w:val="24"/>
        </w:rPr>
        <w:t>, the positive or negative dollar amount in respect of a </w:t>
      </w:r>
      <w:r>
        <w:rPr>
          <w:i/>
          <w:sz w:val="24"/>
        </w:rPr>
        <w:t>reallocation transaction </w:t>
      </w:r>
      <w:r>
        <w:rPr>
          <w:sz w:val="24"/>
        </w:rPr>
        <w:t>being an amount payable to or by the </w:t>
      </w:r>
      <w:r>
        <w:rPr>
          <w:i/>
          <w:sz w:val="24"/>
        </w:rPr>
        <w:t>Market </w:t>
      </w:r>
      <w:r>
        <w:rPr>
          <w:i/>
          <w:sz w:val="24"/>
        </w:rPr>
        <w:t>Participant</w:t>
      </w:r>
      <w:r>
        <w:rPr>
          <w:sz w:val="24"/>
        </w:rPr>
        <w:t>.</w:t>
      </w:r>
    </w:p>
    <w:p>
      <w:pPr>
        <w:pStyle w:val="Heading5"/>
        <w:rPr>
          <w:i/>
        </w:rPr>
      </w:pPr>
      <w:r>
        <w:rPr>
          <w:i/>
        </w:rPr>
        <w:t>reallocation procedures</w:t>
      </w:r>
    </w:p>
    <w:p>
      <w:pPr>
        <w:spacing w:before="120"/>
        <w:ind w:left="1352" w:right="0" w:firstLine="0"/>
        <w:jc w:val="both"/>
        <w:rPr>
          <w:sz w:val="24"/>
        </w:rPr>
      </w:pPr>
      <w:r>
        <w:rPr>
          <w:sz w:val="24"/>
        </w:rPr>
        <w:t>The procedures </w:t>
      </w:r>
      <w:r>
        <w:rPr>
          <w:i/>
          <w:sz w:val="24"/>
        </w:rPr>
        <w:t>published </w:t>
      </w:r>
      <w:r>
        <w:rPr>
          <w:sz w:val="24"/>
        </w:rPr>
        <w:t>by </w:t>
      </w:r>
      <w:r>
        <w:rPr>
          <w:i/>
          <w:sz w:val="24"/>
        </w:rPr>
        <w:t>AEMO </w:t>
      </w:r>
      <w:r>
        <w:rPr>
          <w:sz w:val="24"/>
        </w:rPr>
        <w:t>under clause 3.15.11A.</w:t>
      </w:r>
    </w:p>
    <w:p>
      <w:pPr>
        <w:pStyle w:val="Heading5"/>
        <w:rPr>
          <w:i/>
        </w:rPr>
      </w:pPr>
      <w:r>
        <w:rPr>
          <w:i/>
        </w:rPr>
        <w:t>reallocation request</w:t>
      </w:r>
    </w:p>
    <w:p>
      <w:pPr>
        <w:spacing w:before="120"/>
        <w:ind w:left="1352" w:right="0" w:firstLine="0"/>
        <w:jc w:val="both"/>
        <w:rPr>
          <w:sz w:val="24"/>
        </w:rPr>
      </w:pPr>
      <w:r>
        <w:rPr>
          <w:sz w:val="24"/>
        </w:rPr>
        <w:t>A request to </w:t>
      </w:r>
      <w:r>
        <w:rPr>
          <w:i/>
          <w:sz w:val="24"/>
        </w:rPr>
        <w:t>AEMO </w:t>
      </w:r>
      <w:r>
        <w:rPr>
          <w:sz w:val="24"/>
        </w:rPr>
        <w:t>for a </w:t>
      </w:r>
      <w:r>
        <w:rPr>
          <w:i/>
          <w:sz w:val="24"/>
        </w:rPr>
        <w:t>reallocation</w:t>
      </w:r>
      <w:r>
        <w:rPr>
          <w:sz w:val="24"/>
        </w:rPr>
        <w:t>, pursuant to clause 3.15.11(c).</w:t>
      </w:r>
    </w:p>
    <w:p>
      <w:pPr>
        <w:pStyle w:val="Heading5"/>
        <w:rPr>
          <w:i/>
        </w:rPr>
      </w:pPr>
      <w:r>
        <w:rPr>
          <w:i/>
        </w:rPr>
        <w:t>reallocation transaction</w:t>
      </w:r>
    </w:p>
    <w:p>
      <w:pPr>
        <w:spacing w:before="120"/>
        <w:ind w:left="1352" w:right="416" w:firstLine="0"/>
        <w:jc w:val="both"/>
        <w:rPr>
          <w:sz w:val="24"/>
        </w:rPr>
      </w:pPr>
      <w:r>
        <w:rPr>
          <w:sz w:val="24"/>
        </w:rPr>
        <w:t>A </w:t>
      </w:r>
      <w:r>
        <w:rPr>
          <w:i/>
          <w:sz w:val="24"/>
        </w:rPr>
        <w:t>transaction </w:t>
      </w:r>
      <w:r>
        <w:rPr>
          <w:sz w:val="24"/>
        </w:rPr>
        <w:t>which occurs when the applicable </w:t>
      </w:r>
      <w:r>
        <w:rPr>
          <w:i/>
          <w:sz w:val="24"/>
        </w:rPr>
        <w:t>trading interval </w:t>
      </w:r>
      <w:r>
        <w:rPr>
          <w:sz w:val="24"/>
        </w:rPr>
        <w:t>specified in a </w:t>
      </w:r>
      <w:r>
        <w:rPr>
          <w:i/>
          <w:sz w:val="24"/>
        </w:rPr>
        <w:t>reallocation request </w:t>
      </w:r>
      <w:r>
        <w:rPr>
          <w:sz w:val="24"/>
        </w:rPr>
        <w:t>occurs and the </w:t>
      </w:r>
      <w:r>
        <w:rPr>
          <w:i/>
          <w:sz w:val="24"/>
        </w:rPr>
        <w:t>reallocation request </w:t>
      </w:r>
      <w:r>
        <w:rPr>
          <w:sz w:val="24"/>
        </w:rPr>
        <w:t>has been registered and not deregistered before the expiration of the </w:t>
      </w:r>
      <w:r>
        <w:rPr>
          <w:i/>
          <w:sz w:val="24"/>
        </w:rPr>
        <w:t>trading interval</w:t>
      </w:r>
      <w:r>
        <w:rPr>
          <w:sz w:val="24"/>
        </w:rPr>
        <w:t>.</w:t>
      </w:r>
    </w:p>
    <w:p>
      <w:pPr>
        <w:spacing w:after="0"/>
        <w:jc w:val="both"/>
        <w:rPr>
          <w:sz w:val="24"/>
        </w:rPr>
        <w:sectPr>
          <w:type w:val="continuous"/>
          <w:pgSz w:w="11910" w:h="16840"/>
          <w:pgMar w:top="1360" w:bottom="280" w:left="1200" w:right="1000"/>
        </w:sectPr>
      </w:pPr>
    </w:p>
    <w:p>
      <w:pPr>
        <w:pStyle w:val="Heading5"/>
        <w:spacing w:before="83"/>
        <w:jc w:val="left"/>
        <w:rPr>
          <w:i/>
        </w:rPr>
      </w:pPr>
      <w:r>
        <w:rPr>
          <w:i/>
        </w:rPr>
        <w:t>Reallocator</w:t>
      </w:r>
    </w:p>
    <w:p>
      <w:pPr>
        <w:pStyle w:val="BodyText"/>
        <w:ind w:left="1352" w:firstLine="0"/>
        <w:jc w:val="left"/>
      </w:pPr>
      <w:r>
        <w:rPr/>
        <w:t>A person registered as a Reallocator by </w:t>
      </w:r>
      <w:r>
        <w:rPr>
          <w:i/>
        </w:rPr>
        <w:t>AEMO </w:t>
      </w:r>
      <w:r>
        <w:rPr/>
        <w:t>in accordance with rule 2.5B.</w:t>
      </w:r>
    </w:p>
    <w:p>
      <w:pPr>
        <w:pStyle w:val="Heading5"/>
        <w:jc w:val="left"/>
        <w:rPr>
          <w:i/>
        </w:rPr>
      </w:pPr>
      <w:r>
        <w:rPr>
          <w:i/>
        </w:rPr>
        <w:t>rebid</w:t>
      </w:r>
    </w:p>
    <w:p>
      <w:pPr>
        <w:pStyle w:val="BodyText"/>
        <w:ind w:left="1352" w:firstLine="0"/>
        <w:jc w:val="left"/>
      </w:pPr>
      <w:r>
        <w:rPr/>
        <w:t>A variation to a bid or offer made in accordance with clause 3.8.22(b).</w:t>
      </w:r>
    </w:p>
    <w:p>
      <w:pPr>
        <w:pStyle w:val="Heading5"/>
        <w:rPr>
          <w:i/>
        </w:rPr>
      </w:pPr>
      <w:r>
        <w:rPr>
          <w:i/>
        </w:rPr>
        <w:t>reconnect, reconnected, reconnection</w:t>
      </w:r>
    </w:p>
    <w:p>
      <w:pPr>
        <w:spacing w:before="120"/>
        <w:ind w:left="1352" w:right="415" w:firstLine="0"/>
        <w:jc w:val="both"/>
        <w:rPr>
          <w:sz w:val="24"/>
        </w:rPr>
      </w:pPr>
      <w:r>
        <w:rPr>
          <w:sz w:val="24"/>
        </w:rPr>
        <w:t>The operation of switching equipment or other action so as to enable the flow of electricity at a </w:t>
      </w:r>
      <w:r>
        <w:rPr>
          <w:i/>
          <w:sz w:val="24"/>
        </w:rPr>
        <w:t>connection point </w:t>
      </w:r>
      <w:r>
        <w:rPr>
          <w:sz w:val="24"/>
        </w:rPr>
        <w:t>following a </w:t>
      </w:r>
      <w:r>
        <w:rPr>
          <w:i/>
          <w:sz w:val="24"/>
        </w:rPr>
        <w:t>disconnection</w:t>
      </w:r>
      <w:r>
        <w:rPr>
          <w:sz w:val="24"/>
        </w:rPr>
        <w:t>.</w:t>
      </w:r>
    </w:p>
    <w:p>
      <w:pPr>
        <w:pStyle w:val="Heading5"/>
        <w:rPr>
          <w:i/>
        </w:rPr>
      </w:pPr>
      <w:r>
        <w:rPr>
          <w:i/>
        </w:rPr>
        <w:t>recording interval</w:t>
      </w:r>
    </w:p>
    <w:p>
      <w:pPr>
        <w:pStyle w:val="BodyText"/>
        <w:ind w:left="1352" w:right="413" w:firstLine="0"/>
      </w:pPr>
      <w:r>
        <w:rPr/>
        <w:t>A 30 minute period ending on the hour (</w:t>
      </w:r>
      <w:r>
        <w:rPr>
          <w:i/>
        </w:rPr>
        <w:t>Australian Central Standard Time</w:t>
      </w:r>
      <w:r>
        <w:rPr/>
        <w:t>) or on the half-hour and, if identified by a time, means the 30 minute period ending at that</w:t>
      </w:r>
      <w:r>
        <w:rPr>
          <w:spacing w:val="-1"/>
        </w:rPr>
        <w:t> </w:t>
      </w:r>
      <w:r>
        <w:rPr/>
        <w:t>time.</w:t>
      </w:r>
    </w:p>
    <w:p>
      <w:pPr>
        <w:pStyle w:val="Heading5"/>
        <w:rPr>
          <w:i/>
        </w:rPr>
      </w:pPr>
      <w:r>
        <w:rPr>
          <w:i/>
        </w:rPr>
        <w:t>Referred Affected Participant</w:t>
      </w:r>
    </w:p>
    <w:p>
      <w:pPr>
        <w:pStyle w:val="BodyText"/>
        <w:ind w:left="1352" w:right="415" w:firstLine="0"/>
      </w:pPr>
      <w:r>
        <w:rPr/>
        <w:t>An </w:t>
      </w:r>
      <w:r>
        <w:rPr>
          <w:i/>
        </w:rPr>
        <w:t>Affected Participant </w:t>
      </w:r>
      <w:r>
        <w:rPr/>
        <w:t>who has a claim referred to an independent expert pursuant to clauses 3.12.2(l) or 3.12.2(m).</w:t>
      </w:r>
    </w:p>
    <w:p>
      <w:pPr>
        <w:pStyle w:val="Heading5"/>
        <w:rPr>
          <w:i/>
        </w:rPr>
      </w:pPr>
      <w:r>
        <w:rPr>
          <w:i/>
        </w:rPr>
        <w:t>Referred Directed Participant</w:t>
      </w:r>
    </w:p>
    <w:p>
      <w:pPr>
        <w:pStyle w:val="BodyText"/>
        <w:ind w:left="1352" w:right="416" w:firstLine="0"/>
      </w:pPr>
      <w:r>
        <w:rPr/>
        <w:t>A </w:t>
      </w:r>
      <w:r>
        <w:rPr>
          <w:i/>
        </w:rPr>
        <w:t>Directed Participant </w:t>
      </w:r>
      <w:r>
        <w:rPr/>
        <w:t>who has a claim referred to an independent expert pursuant to clauses 3.15.7B(c) or</w:t>
      </w:r>
      <w:r>
        <w:rPr>
          <w:spacing w:val="-1"/>
        </w:rPr>
        <w:t> </w:t>
      </w:r>
      <w:r>
        <w:rPr/>
        <w:t>3.15.7B(d).</w:t>
      </w:r>
    </w:p>
    <w:p>
      <w:pPr>
        <w:pStyle w:val="Heading5"/>
        <w:rPr>
          <w:i/>
        </w:rPr>
      </w:pPr>
      <w:r>
        <w:rPr>
          <w:i/>
        </w:rPr>
        <w:t>Referred Market Customer</w:t>
      </w:r>
    </w:p>
    <w:p>
      <w:pPr>
        <w:pStyle w:val="BodyText"/>
        <w:ind w:left="1352" w:right="415" w:firstLine="0"/>
      </w:pPr>
      <w:r>
        <w:rPr/>
        <w:t>A </w:t>
      </w:r>
      <w:r>
        <w:rPr>
          <w:i/>
        </w:rPr>
        <w:t>Market Customer </w:t>
      </w:r>
      <w:r>
        <w:rPr/>
        <w:t>who has a claim referred to an independent expert pursuant to clauses 3.12.2(l) or 3.12.2(m).</w:t>
      </w:r>
    </w:p>
    <w:p>
      <w:pPr>
        <w:pStyle w:val="Heading5"/>
        <w:rPr>
          <w:i/>
        </w:rPr>
      </w:pPr>
      <w:r>
        <w:rPr>
          <w:i/>
        </w:rPr>
        <w:t>Referred Market Suspension Compensation Claimant</w:t>
      </w:r>
    </w:p>
    <w:p>
      <w:pPr>
        <w:spacing w:before="120"/>
        <w:ind w:left="1352" w:right="416" w:firstLine="0"/>
        <w:jc w:val="both"/>
        <w:rPr>
          <w:sz w:val="24"/>
        </w:rPr>
      </w:pPr>
      <w:r>
        <w:rPr>
          <w:sz w:val="24"/>
        </w:rPr>
        <w:t>A </w:t>
      </w:r>
      <w:r>
        <w:rPr>
          <w:i/>
          <w:sz w:val="24"/>
        </w:rPr>
        <w:t>Market Suspension Compensation Claimant </w:t>
      </w:r>
      <w:r>
        <w:rPr>
          <w:sz w:val="24"/>
        </w:rPr>
        <w:t>who has a claim referred to an independent expert pursuant to clauses 3.14.5B(f) or 3.14.5B(g).</w:t>
      </w:r>
    </w:p>
    <w:p>
      <w:pPr>
        <w:pStyle w:val="Heading5"/>
        <w:rPr>
          <w:i/>
        </w:rPr>
      </w:pPr>
      <w:r>
        <w:rPr>
          <w:i/>
        </w:rPr>
        <w:t>region,</w:t>
      </w:r>
      <w:r>
        <w:rPr>
          <w:i/>
          <w:spacing w:val="58"/>
        </w:rPr>
        <w:t> </w:t>
      </w:r>
      <w:r>
        <w:rPr>
          <w:i/>
        </w:rPr>
        <w:t>regional</w:t>
      </w:r>
    </w:p>
    <w:p>
      <w:pPr>
        <w:spacing w:before="120"/>
        <w:ind w:left="1352" w:right="415" w:firstLine="0"/>
        <w:jc w:val="both"/>
        <w:rPr>
          <w:sz w:val="24"/>
        </w:rPr>
      </w:pPr>
      <w:r>
        <w:rPr>
          <w:sz w:val="24"/>
        </w:rPr>
        <w:t>An area determined by the </w:t>
      </w:r>
      <w:r>
        <w:rPr>
          <w:i/>
          <w:sz w:val="24"/>
        </w:rPr>
        <w:t>AEMC </w:t>
      </w:r>
      <w:r>
        <w:rPr>
          <w:sz w:val="24"/>
        </w:rPr>
        <w:t>in accordance with Chapter 2A, being an area served by a particular part of the </w:t>
      </w:r>
      <w:r>
        <w:rPr>
          <w:i/>
          <w:sz w:val="24"/>
        </w:rPr>
        <w:t>transmission network </w:t>
      </w:r>
      <w:r>
        <w:rPr>
          <w:sz w:val="24"/>
        </w:rPr>
        <w:t>containing one or more major </w:t>
      </w:r>
      <w:r>
        <w:rPr>
          <w:i/>
          <w:sz w:val="24"/>
        </w:rPr>
        <w:t>load centres </w:t>
      </w:r>
      <w:r>
        <w:rPr>
          <w:sz w:val="24"/>
        </w:rPr>
        <w:t>or </w:t>
      </w:r>
      <w:r>
        <w:rPr>
          <w:i/>
          <w:sz w:val="24"/>
        </w:rPr>
        <w:t>generation centres </w:t>
      </w:r>
      <w:r>
        <w:rPr>
          <w:sz w:val="24"/>
        </w:rPr>
        <w:t>or both.</w:t>
      </w:r>
    </w:p>
    <w:p>
      <w:pPr>
        <w:pStyle w:val="Heading5"/>
        <w:rPr>
          <w:i/>
        </w:rPr>
      </w:pPr>
      <w:r>
        <w:rPr>
          <w:i/>
        </w:rPr>
        <w:t>regional benefit directions procedures</w:t>
      </w:r>
    </w:p>
    <w:p>
      <w:pPr>
        <w:pStyle w:val="BodyText"/>
        <w:ind w:left="1352" w:firstLine="0"/>
      </w:pPr>
      <w:r>
        <w:rPr/>
        <w:t>Has the meaning given in clause 3.15.8(b2).</w:t>
      </w:r>
    </w:p>
    <w:p>
      <w:pPr>
        <w:pStyle w:val="Heading5"/>
        <w:rPr>
          <w:i/>
        </w:rPr>
      </w:pPr>
      <w:r>
        <w:rPr>
          <w:i/>
        </w:rPr>
        <w:t>regional reference node</w:t>
      </w:r>
    </w:p>
    <w:p>
      <w:pPr>
        <w:spacing w:before="120"/>
        <w:ind w:left="1352" w:right="0" w:firstLine="0"/>
        <w:jc w:val="both"/>
        <w:rPr>
          <w:sz w:val="24"/>
        </w:rPr>
      </w:pPr>
      <w:r>
        <w:rPr>
          <w:sz w:val="24"/>
        </w:rPr>
        <w:t>A location on a </w:t>
      </w:r>
      <w:r>
        <w:rPr>
          <w:i/>
          <w:sz w:val="24"/>
        </w:rPr>
        <w:t>transmission </w:t>
      </w:r>
      <w:r>
        <w:rPr>
          <w:sz w:val="24"/>
        </w:rPr>
        <w:t>or </w:t>
      </w:r>
      <w:r>
        <w:rPr>
          <w:i/>
          <w:sz w:val="24"/>
        </w:rPr>
        <w:t>distribution network </w:t>
      </w:r>
      <w:r>
        <w:rPr>
          <w:sz w:val="24"/>
        </w:rPr>
        <w:t>to be determined for each</w:t>
      </w:r>
    </w:p>
    <w:p>
      <w:pPr>
        <w:spacing w:before="0"/>
        <w:ind w:left="1352" w:right="0" w:firstLine="0"/>
        <w:jc w:val="both"/>
        <w:rPr>
          <w:sz w:val="24"/>
        </w:rPr>
      </w:pPr>
      <w:r>
        <w:rPr>
          <w:i/>
          <w:sz w:val="24"/>
        </w:rPr>
        <w:t>region </w:t>
      </w:r>
      <w:r>
        <w:rPr>
          <w:sz w:val="24"/>
        </w:rPr>
        <w:t>by the </w:t>
      </w:r>
      <w:r>
        <w:rPr>
          <w:i/>
          <w:sz w:val="24"/>
        </w:rPr>
        <w:t>AEMC </w:t>
      </w:r>
      <w:r>
        <w:rPr>
          <w:sz w:val="24"/>
        </w:rPr>
        <w:t>in accordance with Chapter 2A.</w:t>
      </w:r>
    </w:p>
    <w:p>
      <w:pPr>
        <w:pStyle w:val="Heading5"/>
        <w:rPr>
          <w:i/>
        </w:rPr>
      </w:pPr>
      <w:r>
        <w:rPr>
          <w:i/>
        </w:rPr>
        <w:t>regional reference price</w:t>
      </w:r>
    </w:p>
    <w:p>
      <w:pPr>
        <w:spacing w:before="120"/>
        <w:ind w:left="0" w:right="4361" w:firstLine="0"/>
        <w:jc w:val="right"/>
        <w:rPr>
          <w:sz w:val="24"/>
        </w:rPr>
      </w:pPr>
      <w:r>
        <w:rPr>
          <w:i/>
          <w:sz w:val="24"/>
        </w:rPr>
        <w:t>Spot price </w:t>
      </w:r>
      <w:r>
        <w:rPr>
          <w:sz w:val="24"/>
        </w:rPr>
        <w:t>at the </w:t>
      </w:r>
      <w:r>
        <w:rPr>
          <w:i/>
          <w:sz w:val="24"/>
        </w:rPr>
        <w:t>regional reference</w:t>
      </w:r>
      <w:r>
        <w:rPr>
          <w:i/>
          <w:spacing w:val="-12"/>
          <w:sz w:val="24"/>
        </w:rPr>
        <w:t> </w:t>
      </w:r>
      <w:r>
        <w:rPr>
          <w:i/>
          <w:sz w:val="24"/>
        </w:rPr>
        <w:t>node</w:t>
      </w:r>
      <w:r>
        <w:rPr>
          <w:sz w:val="24"/>
        </w:rPr>
        <w:t>.</w:t>
      </w:r>
    </w:p>
    <w:p>
      <w:pPr>
        <w:pStyle w:val="Heading5"/>
        <w:ind w:left="0" w:right="4322"/>
        <w:jc w:val="right"/>
        <w:rPr>
          <w:i/>
        </w:rPr>
      </w:pPr>
      <w:r>
        <w:rPr>
          <w:i/>
        </w:rPr>
        <w:t>regional specific power system operating</w:t>
      </w:r>
      <w:r>
        <w:rPr>
          <w:i/>
          <w:spacing w:val="-21"/>
        </w:rPr>
        <w:t> </w:t>
      </w:r>
      <w:r>
        <w:rPr>
          <w:i/>
        </w:rPr>
        <w:t>procedures</w:t>
      </w:r>
    </w:p>
    <w:p>
      <w:pPr>
        <w:pStyle w:val="BodyText"/>
        <w:ind w:left="1352" w:firstLine="0"/>
      </w:pPr>
      <w:r>
        <w:rPr/>
        <w:t>The procedures described in clause 4.10.1(a)(3).</w:t>
      </w:r>
    </w:p>
    <w:p>
      <w:pPr>
        <w:spacing w:after="0"/>
        <w:sectPr>
          <w:pgSz w:w="11910" w:h="16840"/>
          <w:pgMar w:header="686" w:footer="637" w:top="1320" w:bottom="820" w:left="1200" w:right="1000"/>
        </w:sectPr>
      </w:pPr>
    </w:p>
    <w:p>
      <w:pPr>
        <w:pStyle w:val="Heading5"/>
        <w:spacing w:before="83"/>
        <w:rPr>
          <w:i/>
        </w:rPr>
      </w:pPr>
      <w:r>
        <w:rPr>
          <w:i/>
        </w:rPr>
        <w:t>Regions Publication</w:t>
      </w:r>
    </w:p>
    <w:p>
      <w:pPr>
        <w:spacing w:before="120"/>
        <w:ind w:left="1352" w:right="415" w:firstLine="0"/>
        <w:jc w:val="both"/>
        <w:rPr>
          <w:sz w:val="24"/>
        </w:rPr>
      </w:pPr>
      <w:r>
        <w:rPr>
          <w:sz w:val="24"/>
        </w:rPr>
        <w:t>The document </w:t>
      </w:r>
      <w:r>
        <w:rPr>
          <w:i/>
          <w:sz w:val="24"/>
        </w:rPr>
        <w:t>published </w:t>
      </w:r>
      <w:r>
        <w:rPr>
          <w:sz w:val="24"/>
        </w:rPr>
        <w:t>by </w:t>
      </w:r>
      <w:r>
        <w:rPr>
          <w:i/>
          <w:sz w:val="24"/>
        </w:rPr>
        <w:t>AEMO </w:t>
      </w:r>
      <w:r>
        <w:rPr>
          <w:sz w:val="24"/>
        </w:rPr>
        <w:t>under clause 2A.1.3 that provides a list of all </w:t>
      </w:r>
      <w:r>
        <w:rPr>
          <w:i/>
          <w:sz w:val="24"/>
        </w:rPr>
        <w:t>regions</w:t>
      </w:r>
      <w:r>
        <w:rPr>
          <w:sz w:val="24"/>
        </w:rPr>
        <w:t>, </w:t>
      </w:r>
      <w:r>
        <w:rPr>
          <w:i/>
          <w:sz w:val="24"/>
        </w:rPr>
        <w:t>regional reference nodes </w:t>
      </w:r>
      <w:r>
        <w:rPr>
          <w:sz w:val="24"/>
        </w:rPr>
        <w:t>and the </w:t>
      </w:r>
      <w:r>
        <w:rPr>
          <w:i/>
          <w:sz w:val="24"/>
        </w:rPr>
        <w:t>region </w:t>
      </w:r>
      <w:r>
        <w:rPr>
          <w:sz w:val="24"/>
        </w:rPr>
        <w:t>to which each </w:t>
      </w:r>
      <w:r>
        <w:rPr>
          <w:i/>
          <w:sz w:val="24"/>
        </w:rPr>
        <w:t>market connection </w:t>
      </w:r>
      <w:r>
        <w:rPr>
          <w:i/>
          <w:sz w:val="24"/>
        </w:rPr>
        <w:t>point </w:t>
      </w:r>
      <w:r>
        <w:rPr>
          <w:sz w:val="24"/>
        </w:rPr>
        <w:t>is assigned.</w:t>
      </w:r>
    </w:p>
    <w:p>
      <w:pPr>
        <w:pStyle w:val="Heading5"/>
        <w:rPr>
          <w:i/>
        </w:rPr>
      </w:pPr>
      <w:r>
        <w:rPr>
          <w:i/>
        </w:rPr>
        <w:t>Registered Participant</w:t>
      </w:r>
    </w:p>
    <w:p>
      <w:pPr>
        <w:pStyle w:val="BodyText"/>
        <w:ind w:left="1352" w:firstLine="0"/>
        <w:jc w:val="left"/>
      </w:pPr>
      <w:r>
        <w:rPr/>
        <w:t>Each of the following:</w:t>
      </w:r>
    </w:p>
    <w:p>
      <w:pPr>
        <w:pStyle w:val="ListParagraph"/>
        <w:numPr>
          <w:ilvl w:val="0"/>
          <w:numId w:val="800"/>
        </w:numPr>
        <w:tabs>
          <w:tab w:pos="1918" w:val="left" w:leader="none"/>
          <w:tab w:pos="1919" w:val="left" w:leader="none"/>
        </w:tabs>
        <w:spacing w:line="240" w:lineRule="auto" w:before="120" w:after="0"/>
        <w:ind w:left="1918" w:right="0" w:hanging="567"/>
        <w:jc w:val="left"/>
        <w:rPr>
          <w:sz w:val="24"/>
        </w:rPr>
      </w:pPr>
      <w:r>
        <w:rPr>
          <w:sz w:val="24"/>
        </w:rPr>
        <w:t>a Registered participant as defined in the </w:t>
      </w:r>
      <w:r>
        <w:rPr>
          <w:i/>
          <w:sz w:val="24"/>
        </w:rPr>
        <w:t>National Electricity</w:t>
      </w:r>
      <w:r>
        <w:rPr>
          <w:i/>
          <w:spacing w:val="-3"/>
          <w:sz w:val="24"/>
        </w:rPr>
        <w:t> </w:t>
      </w:r>
      <w:r>
        <w:rPr>
          <w:i/>
          <w:sz w:val="24"/>
        </w:rPr>
        <w:t>Law</w:t>
      </w:r>
      <w:r>
        <w:rPr>
          <w:sz w:val="24"/>
        </w:rPr>
        <w:t>;</w:t>
      </w:r>
    </w:p>
    <w:p>
      <w:pPr>
        <w:pStyle w:val="ListParagraph"/>
        <w:numPr>
          <w:ilvl w:val="0"/>
          <w:numId w:val="800"/>
        </w:numPr>
        <w:tabs>
          <w:tab w:pos="1918" w:val="left" w:leader="none"/>
          <w:tab w:pos="1919" w:val="left" w:leader="none"/>
        </w:tabs>
        <w:spacing w:line="240" w:lineRule="auto" w:before="120" w:after="0"/>
        <w:ind w:left="1919" w:right="416" w:hanging="567"/>
        <w:jc w:val="left"/>
        <w:rPr>
          <w:sz w:val="24"/>
        </w:rPr>
      </w:pPr>
      <w:r>
        <w:rPr>
          <w:sz w:val="24"/>
        </w:rPr>
        <w:t>for the purposes of the </w:t>
      </w:r>
      <w:r>
        <w:rPr>
          <w:i/>
          <w:sz w:val="24"/>
        </w:rPr>
        <w:t>Rules</w:t>
      </w:r>
      <w:r>
        <w:rPr>
          <w:sz w:val="24"/>
        </w:rPr>
        <w:t>, other than Chapter 5, Part A – a </w:t>
      </w:r>
      <w:r>
        <w:rPr>
          <w:i/>
          <w:sz w:val="24"/>
        </w:rPr>
        <w:t>Metering </w:t>
      </w:r>
      <w:r>
        <w:rPr>
          <w:i/>
          <w:sz w:val="24"/>
        </w:rPr>
        <w:t>Coordinator</w:t>
      </w:r>
      <w:r>
        <w:rPr>
          <w:sz w:val="24"/>
        </w:rPr>
        <w:t>;</w:t>
      </w:r>
    </w:p>
    <w:p>
      <w:pPr>
        <w:pStyle w:val="ListParagraph"/>
        <w:numPr>
          <w:ilvl w:val="0"/>
          <w:numId w:val="800"/>
        </w:numPr>
        <w:tabs>
          <w:tab w:pos="1918" w:val="left" w:leader="none"/>
          <w:tab w:pos="1919" w:val="left" w:leader="none"/>
        </w:tabs>
        <w:spacing w:line="240" w:lineRule="auto" w:before="120" w:after="0"/>
        <w:ind w:left="1918" w:right="0" w:hanging="567"/>
        <w:jc w:val="left"/>
        <w:rPr>
          <w:sz w:val="24"/>
        </w:rPr>
      </w:pPr>
      <w:r>
        <w:rPr>
          <w:sz w:val="24"/>
        </w:rPr>
        <w:t>as set out in clause 8.6.1A, for the purposes of Chapter 8, Part C –</w:t>
      </w:r>
      <w:r>
        <w:rPr>
          <w:spacing w:val="10"/>
          <w:sz w:val="24"/>
        </w:rPr>
        <w:t> </w:t>
      </w:r>
      <w:r>
        <w:rPr>
          <w:sz w:val="24"/>
        </w:rPr>
        <w:t>a</w:t>
      </w:r>
    </w:p>
    <w:p>
      <w:pPr>
        <w:spacing w:before="0"/>
        <w:ind w:left="1919" w:right="0" w:firstLine="0"/>
        <w:jc w:val="left"/>
        <w:rPr>
          <w:sz w:val="24"/>
        </w:rPr>
      </w:pPr>
      <w:r>
        <w:rPr>
          <w:i/>
          <w:sz w:val="24"/>
        </w:rPr>
        <w:t>Metering Provider </w:t>
      </w:r>
      <w:r>
        <w:rPr>
          <w:sz w:val="24"/>
        </w:rPr>
        <w:t>or </w:t>
      </w:r>
      <w:r>
        <w:rPr>
          <w:i/>
          <w:sz w:val="24"/>
        </w:rPr>
        <w:t>Metering Data Provider</w:t>
      </w:r>
      <w:r>
        <w:rPr>
          <w:sz w:val="24"/>
        </w:rPr>
        <w:t>.</w:t>
      </w:r>
    </w:p>
    <w:p>
      <w:pPr>
        <w:pStyle w:val="Heading5"/>
        <w:jc w:val="left"/>
        <w:rPr>
          <w:i/>
        </w:rPr>
      </w:pPr>
      <w:r>
        <w:rPr>
          <w:i/>
        </w:rPr>
        <w:t>Registered Participant Agent</w:t>
      </w:r>
    </w:p>
    <w:p>
      <w:pPr>
        <w:spacing w:before="120"/>
        <w:ind w:left="1352" w:right="0" w:firstLine="0"/>
        <w:jc w:val="left"/>
        <w:rPr>
          <w:sz w:val="24"/>
        </w:rPr>
      </w:pPr>
      <w:r>
        <w:rPr>
          <w:sz w:val="24"/>
        </w:rPr>
        <w:t>An agent of a </w:t>
      </w:r>
      <w:r>
        <w:rPr>
          <w:i/>
          <w:sz w:val="24"/>
        </w:rPr>
        <w:t>Registered Participant </w:t>
      </w:r>
      <w:r>
        <w:rPr>
          <w:sz w:val="24"/>
        </w:rPr>
        <w:t>appointed under clause 4.11.5.</w:t>
      </w:r>
    </w:p>
    <w:p>
      <w:pPr>
        <w:pStyle w:val="Heading5"/>
        <w:jc w:val="left"/>
        <w:rPr>
          <w:i/>
        </w:rPr>
      </w:pPr>
      <w:r>
        <w:rPr>
          <w:i/>
        </w:rPr>
        <w:t>registration category</w:t>
      </w:r>
    </w:p>
    <w:p>
      <w:pPr>
        <w:pStyle w:val="BodyText"/>
        <w:ind w:left="1352" w:firstLine="0"/>
        <w:jc w:val="left"/>
      </w:pPr>
      <w:r>
        <w:rPr/>
        <w:t>Has the meaning given in clause 3.15.21(c1)(1).</w:t>
      </w:r>
    </w:p>
    <w:p>
      <w:pPr>
        <w:pStyle w:val="Heading5"/>
        <w:jc w:val="left"/>
        <w:rPr>
          <w:i/>
        </w:rPr>
      </w:pPr>
      <w:r>
        <w:rPr>
          <w:i/>
        </w:rPr>
        <w:t>regulated interconnector</w:t>
      </w:r>
    </w:p>
    <w:p>
      <w:pPr>
        <w:spacing w:before="120"/>
        <w:ind w:left="1352" w:right="415" w:firstLine="0"/>
        <w:jc w:val="left"/>
        <w:rPr>
          <w:sz w:val="24"/>
        </w:rPr>
      </w:pPr>
      <w:r>
        <w:rPr>
          <w:sz w:val="24"/>
        </w:rPr>
        <w:t>An </w:t>
      </w:r>
      <w:r>
        <w:rPr>
          <w:i/>
          <w:sz w:val="24"/>
        </w:rPr>
        <w:t>interconnector </w:t>
      </w:r>
      <w:r>
        <w:rPr>
          <w:sz w:val="24"/>
        </w:rPr>
        <w:t>which is referred to in clause 11.8.2 of the </w:t>
      </w:r>
      <w:r>
        <w:rPr>
          <w:i/>
          <w:sz w:val="24"/>
        </w:rPr>
        <w:t>Rules </w:t>
      </w:r>
      <w:r>
        <w:rPr>
          <w:sz w:val="24"/>
        </w:rPr>
        <w:t>and is subject to </w:t>
      </w:r>
      <w:r>
        <w:rPr>
          <w:i/>
          <w:sz w:val="24"/>
        </w:rPr>
        <w:t>transmission service </w:t>
      </w:r>
      <w:r>
        <w:rPr>
          <w:sz w:val="24"/>
        </w:rPr>
        <w:t>regulation and pricing arrangements in Chapter 6A.</w:t>
      </w:r>
    </w:p>
    <w:p>
      <w:pPr>
        <w:pStyle w:val="Heading5"/>
        <w:jc w:val="left"/>
        <w:rPr>
          <w:i/>
        </w:rPr>
      </w:pPr>
      <w:r>
        <w:rPr>
          <w:i/>
        </w:rPr>
        <w:t>regulating capability</w:t>
      </w:r>
    </w:p>
    <w:p>
      <w:pPr>
        <w:spacing w:before="120"/>
        <w:ind w:left="1352" w:right="0" w:firstLine="0"/>
        <w:jc w:val="left"/>
        <w:rPr>
          <w:sz w:val="24"/>
        </w:rPr>
      </w:pPr>
      <w:r>
        <w:rPr>
          <w:sz w:val="24"/>
        </w:rPr>
        <w:t>The capability to perform </w:t>
      </w:r>
      <w:r>
        <w:rPr>
          <w:i/>
          <w:sz w:val="24"/>
        </w:rPr>
        <w:t>regulating duty</w:t>
      </w:r>
      <w:r>
        <w:rPr>
          <w:sz w:val="24"/>
        </w:rPr>
        <w:t>.</w:t>
      </w:r>
    </w:p>
    <w:p>
      <w:pPr>
        <w:pStyle w:val="Heading5"/>
        <w:jc w:val="left"/>
        <w:rPr>
          <w:i/>
        </w:rPr>
      </w:pPr>
      <w:r>
        <w:rPr>
          <w:i/>
        </w:rPr>
        <w:t>regulating capability constraints</w:t>
      </w:r>
    </w:p>
    <w:p>
      <w:pPr>
        <w:spacing w:before="120"/>
        <w:ind w:left="1352" w:right="0" w:firstLine="0"/>
        <w:jc w:val="left"/>
        <w:rPr>
          <w:i/>
          <w:sz w:val="24"/>
        </w:rPr>
      </w:pPr>
      <w:r>
        <w:rPr>
          <w:i/>
          <w:sz w:val="24"/>
        </w:rPr>
        <w:t>Constraints </w:t>
      </w:r>
      <w:r>
        <w:rPr>
          <w:sz w:val="24"/>
        </w:rPr>
        <w:t>on the formulation of a realisable </w:t>
      </w:r>
      <w:r>
        <w:rPr>
          <w:i/>
          <w:sz w:val="24"/>
        </w:rPr>
        <w:t>dispatch </w:t>
      </w:r>
      <w:r>
        <w:rPr>
          <w:sz w:val="24"/>
        </w:rPr>
        <w:t>or </w:t>
      </w:r>
      <w:r>
        <w:rPr>
          <w:i/>
          <w:sz w:val="24"/>
        </w:rPr>
        <w:t>predispatch schedule</w:t>
      </w:r>
    </w:p>
    <w:p>
      <w:pPr>
        <w:spacing w:before="0"/>
        <w:ind w:left="1352" w:right="0" w:firstLine="0"/>
        <w:jc w:val="left"/>
        <w:rPr>
          <w:sz w:val="24"/>
        </w:rPr>
      </w:pPr>
      <w:r>
        <w:rPr>
          <w:sz w:val="24"/>
        </w:rPr>
        <w:t>due to the need to provide for </w:t>
      </w:r>
      <w:r>
        <w:rPr>
          <w:i/>
          <w:sz w:val="24"/>
        </w:rPr>
        <w:t>regulating capability</w:t>
      </w:r>
      <w:r>
        <w:rPr>
          <w:sz w:val="24"/>
        </w:rPr>
        <w:t>.</w:t>
      </w:r>
    </w:p>
    <w:p>
      <w:pPr>
        <w:pStyle w:val="Heading5"/>
        <w:jc w:val="left"/>
        <w:rPr>
          <w:i/>
        </w:rPr>
      </w:pPr>
      <w:r>
        <w:rPr>
          <w:i/>
        </w:rPr>
        <w:t>regulating duty</w:t>
      </w:r>
    </w:p>
    <w:p>
      <w:pPr>
        <w:spacing w:before="120"/>
        <w:ind w:left="1352" w:right="0" w:firstLine="0"/>
        <w:jc w:val="left"/>
        <w:rPr>
          <w:sz w:val="24"/>
        </w:rPr>
      </w:pPr>
      <w:r>
        <w:rPr>
          <w:sz w:val="24"/>
        </w:rPr>
        <w:t>In relation to a </w:t>
      </w:r>
      <w:r>
        <w:rPr>
          <w:i/>
          <w:sz w:val="24"/>
        </w:rPr>
        <w:t>generating unit</w:t>
      </w:r>
      <w:r>
        <w:rPr>
          <w:sz w:val="24"/>
        </w:rPr>
        <w:t>, the duty to have its </w:t>
      </w:r>
      <w:r>
        <w:rPr>
          <w:i/>
          <w:sz w:val="24"/>
        </w:rPr>
        <w:t>generated </w:t>
      </w:r>
      <w:r>
        <w:rPr>
          <w:sz w:val="24"/>
        </w:rPr>
        <w:t>output adjusted frequently so that any </w:t>
      </w:r>
      <w:r>
        <w:rPr>
          <w:i/>
          <w:sz w:val="24"/>
        </w:rPr>
        <w:t>power system frequency </w:t>
      </w:r>
      <w:r>
        <w:rPr>
          <w:sz w:val="24"/>
        </w:rPr>
        <w:t>variations can be corrected.</w:t>
      </w:r>
    </w:p>
    <w:p>
      <w:pPr>
        <w:pStyle w:val="Heading5"/>
        <w:jc w:val="left"/>
        <w:rPr>
          <w:i/>
        </w:rPr>
      </w:pPr>
      <w:r>
        <w:rPr>
          <w:i/>
        </w:rPr>
        <w:t>regulating lower service</w:t>
      </w:r>
    </w:p>
    <w:p>
      <w:pPr>
        <w:spacing w:before="120"/>
        <w:ind w:left="1352" w:right="415" w:firstLine="0"/>
        <w:jc w:val="both"/>
        <w:rPr>
          <w:sz w:val="24"/>
        </w:rPr>
      </w:pPr>
      <w:r>
        <w:rPr>
          <w:sz w:val="24"/>
        </w:rPr>
        <w:t>The service of controlling the level of </w:t>
      </w:r>
      <w:r>
        <w:rPr>
          <w:i/>
          <w:sz w:val="24"/>
        </w:rPr>
        <w:t>generation </w:t>
      </w:r>
      <w:r>
        <w:rPr>
          <w:sz w:val="24"/>
        </w:rPr>
        <w:t>or </w:t>
      </w:r>
      <w:r>
        <w:rPr>
          <w:i/>
          <w:sz w:val="24"/>
        </w:rPr>
        <w:t>load </w:t>
      </w:r>
      <w:r>
        <w:rPr>
          <w:sz w:val="24"/>
        </w:rPr>
        <w:t>associated with a particular </w:t>
      </w:r>
      <w:r>
        <w:rPr>
          <w:i/>
          <w:sz w:val="24"/>
        </w:rPr>
        <w:t>facility</w:t>
      </w:r>
      <w:r>
        <w:rPr>
          <w:sz w:val="24"/>
        </w:rPr>
        <w:t>, in accordance with the requirements of the </w:t>
      </w:r>
      <w:r>
        <w:rPr>
          <w:i/>
          <w:sz w:val="24"/>
        </w:rPr>
        <w:t>market ancillary </w:t>
      </w:r>
      <w:r>
        <w:rPr>
          <w:i/>
          <w:sz w:val="24"/>
        </w:rPr>
        <w:t>service specification</w:t>
      </w:r>
      <w:r>
        <w:rPr>
          <w:sz w:val="24"/>
        </w:rPr>
        <w:t>, in accordance with electronic signals from </w:t>
      </w:r>
      <w:r>
        <w:rPr>
          <w:i/>
          <w:sz w:val="24"/>
        </w:rPr>
        <w:t>AEMO </w:t>
      </w:r>
      <w:r>
        <w:rPr>
          <w:sz w:val="24"/>
        </w:rPr>
        <w:t>in order to lower the </w:t>
      </w:r>
      <w:r>
        <w:rPr>
          <w:i/>
          <w:sz w:val="24"/>
        </w:rPr>
        <w:t>frequency </w:t>
      </w:r>
      <w:r>
        <w:rPr>
          <w:sz w:val="24"/>
        </w:rPr>
        <w:t>of the </w:t>
      </w:r>
      <w:r>
        <w:rPr>
          <w:i/>
          <w:sz w:val="24"/>
        </w:rPr>
        <w:t>power</w:t>
      </w:r>
      <w:r>
        <w:rPr>
          <w:i/>
          <w:spacing w:val="-2"/>
          <w:sz w:val="24"/>
        </w:rPr>
        <w:t> </w:t>
      </w:r>
      <w:r>
        <w:rPr>
          <w:i/>
          <w:sz w:val="24"/>
        </w:rPr>
        <w:t>system</w:t>
      </w:r>
      <w:r>
        <w:rPr>
          <w:sz w:val="24"/>
        </w:rPr>
        <w:t>.</w:t>
      </w:r>
    </w:p>
    <w:p>
      <w:pPr>
        <w:pStyle w:val="Heading5"/>
        <w:rPr>
          <w:i/>
        </w:rPr>
      </w:pPr>
      <w:r>
        <w:rPr>
          <w:i/>
        </w:rPr>
        <w:t>regulating raise service</w:t>
      </w:r>
    </w:p>
    <w:p>
      <w:pPr>
        <w:spacing w:before="120"/>
        <w:ind w:left="1352" w:right="415" w:firstLine="0"/>
        <w:jc w:val="both"/>
        <w:rPr>
          <w:sz w:val="24"/>
        </w:rPr>
      </w:pPr>
      <w:r>
        <w:rPr>
          <w:sz w:val="24"/>
        </w:rPr>
        <w:t>The service of controlling the level of </w:t>
      </w:r>
      <w:r>
        <w:rPr>
          <w:i/>
          <w:sz w:val="24"/>
        </w:rPr>
        <w:t>generation </w:t>
      </w:r>
      <w:r>
        <w:rPr>
          <w:sz w:val="24"/>
        </w:rPr>
        <w:t>or </w:t>
      </w:r>
      <w:r>
        <w:rPr>
          <w:i/>
          <w:sz w:val="24"/>
        </w:rPr>
        <w:t>load </w:t>
      </w:r>
      <w:r>
        <w:rPr>
          <w:sz w:val="24"/>
        </w:rPr>
        <w:t>associated with a particular </w:t>
      </w:r>
      <w:r>
        <w:rPr>
          <w:i/>
          <w:sz w:val="24"/>
        </w:rPr>
        <w:t>facility</w:t>
      </w:r>
      <w:r>
        <w:rPr>
          <w:sz w:val="24"/>
        </w:rPr>
        <w:t>, in accordance with the requirements of the </w:t>
      </w:r>
      <w:r>
        <w:rPr>
          <w:i/>
          <w:sz w:val="24"/>
        </w:rPr>
        <w:t>market ancillary </w:t>
      </w:r>
      <w:r>
        <w:rPr>
          <w:i/>
          <w:sz w:val="24"/>
        </w:rPr>
        <w:t>service specification</w:t>
      </w:r>
      <w:r>
        <w:rPr>
          <w:sz w:val="24"/>
        </w:rPr>
        <w:t>, in accordance with electronic signals from </w:t>
      </w:r>
      <w:r>
        <w:rPr>
          <w:i/>
          <w:sz w:val="24"/>
        </w:rPr>
        <w:t>AEMO </w:t>
      </w:r>
      <w:r>
        <w:rPr>
          <w:sz w:val="24"/>
        </w:rPr>
        <w:t>in order to raise the </w:t>
      </w:r>
      <w:r>
        <w:rPr>
          <w:i/>
          <w:sz w:val="24"/>
        </w:rPr>
        <w:t>frequency </w:t>
      </w:r>
      <w:r>
        <w:rPr>
          <w:sz w:val="24"/>
        </w:rPr>
        <w:t>of the </w:t>
      </w:r>
      <w:r>
        <w:rPr>
          <w:i/>
          <w:sz w:val="24"/>
        </w:rPr>
        <w:t>power</w:t>
      </w:r>
      <w:r>
        <w:rPr>
          <w:i/>
          <w:spacing w:val="-1"/>
          <w:sz w:val="24"/>
        </w:rPr>
        <w:t> </w:t>
      </w:r>
      <w:r>
        <w:rPr>
          <w:i/>
          <w:sz w:val="24"/>
        </w:rPr>
        <w:t>system</w:t>
      </w:r>
      <w:r>
        <w:rPr>
          <w:sz w:val="24"/>
        </w:rPr>
        <w:t>.</w:t>
      </w:r>
    </w:p>
    <w:p>
      <w:pPr>
        <w:pStyle w:val="Heading5"/>
        <w:rPr>
          <w:i/>
        </w:rPr>
      </w:pPr>
      <w:r>
        <w:rPr>
          <w:i/>
        </w:rPr>
        <w:t>regulation services</w:t>
      </w:r>
    </w:p>
    <w:p>
      <w:pPr>
        <w:spacing w:before="120"/>
        <w:ind w:left="1352" w:right="0" w:firstLine="0"/>
        <w:jc w:val="both"/>
        <w:rPr>
          <w:sz w:val="24"/>
        </w:rPr>
      </w:pPr>
      <w:r>
        <w:rPr>
          <w:sz w:val="24"/>
        </w:rPr>
        <w:t>The </w:t>
      </w:r>
      <w:r>
        <w:rPr>
          <w:i/>
          <w:sz w:val="24"/>
        </w:rPr>
        <w:t>regulating raise service </w:t>
      </w:r>
      <w:r>
        <w:rPr>
          <w:sz w:val="24"/>
        </w:rPr>
        <w:t>and </w:t>
      </w:r>
      <w:r>
        <w:rPr>
          <w:i/>
          <w:sz w:val="24"/>
        </w:rPr>
        <w:t>regulating lower service</w:t>
      </w:r>
      <w:r>
        <w:rPr>
          <w:sz w:val="24"/>
        </w:rPr>
        <w:t>.</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regulatory change event</w:t>
      </w:r>
    </w:p>
    <w:p>
      <w:pPr>
        <w:spacing w:before="120"/>
        <w:ind w:left="1352" w:right="0" w:firstLine="0"/>
        <w:jc w:val="left"/>
        <w:rPr>
          <w:sz w:val="24"/>
        </w:rPr>
      </w:pPr>
      <w:r>
        <w:rPr>
          <w:sz w:val="24"/>
        </w:rPr>
        <w:t>A change in a </w:t>
      </w:r>
      <w:r>
        <w:rPr>
          <w:i/>
          <w:sz w:val="24"/>
        </w:rPr>
        <w:t>regulatory obligation or requirement </w:t>
      </w:r>
      <w:r>
        <w:rPr>
          <w:sz w:val="24"/>
        </w:rPr>
        <w:t>that:</w:t>
      </w:r>
    </w:p>
    <w:p>
      <w:pPr>
        <w:pStyle w:val="ListParagraph"/>
        <w:numPr>
          <w:ilvl w:val="0"/>
          <w:numId w:val="801"/>
        </w:numPr>
        <w:tabs>
          <w:tab w:pos="1918" w:val="left" w:leader="none"/>
          <w:tab w:pos="1919" w:val="left" w:leader="none"/>
        </w:tabs>
        <w:spacing w:line="240" w:lineRule="auto" w:before="120" w:after="0"/>
        <w:ind w:left="1918" w:right="0" w:hanging="567"/>
        <w:jc w:val="left"/>
        <w:rPr>
          <w:sz w:val="24"/>
        </w:rPr>
      </w:pPr>
      <w:r>
        <w:rPr>
          <w:sz w:val="24"/>
        </w:rPr>
        <w:t>falls within no other category of </w:t>
      </w:r>
      <w:r>
        <w:rPr>
          <w:i/>
          <w:sz w:val="24"/>
        </w:rPr>
        <w:t>pass through event</w:t>
      </w:r>
      <w:r>
        <w:rPr>
          <w:sz w:val="24"/>
        </w:rPr>
        <w:t>;</w:t>
      </w:r>
      <w:r>
        <w:rPr>
          <w:spacing w:val="-4"/>
          <w:sz w:val="24"/>
        </w:rPr>
        <w:t> </w:t>
      </w:r>
      <w:r>
        <w:rPr>
          <w:sz w:val="24"/>
        </w:rPr>
        <w:t>and</w:t>
      </w:r>
    </w:p>
    <w:p>
      <w:pPr>
        <w:pStyle w:val="ListParagraph"/>
        <w:numPr>
          <w:ilvl w:val="0"/>
          <w:numId w:val="801"/>
        </w:numPr>
        <w:tabs>
          <w:tab w:pos="1918" w:val="left" w:leader="none"/>
          <w:tab w:pos="1919" w:val="left" w:leader="none"/>
        </w:tabs>
        <w:spacing w:line="240" w:lineRule="auto" w:before="120" w:after="0"/>
        <w:ind w:left="1918" w:right="0" w:hanging="567"/>
        <w:jc w:val="left"/>
        <w:rPr>
          <w:sz w:val="24"/>
        </w:rPr>
      </w:pPr>
      <w:r>
        <w:rPr>
          <w:sz w:val="24"/>
        </w:rPr>
        <w:t>occurs during the course of a </w:t>
      </w:r>
      <w:r>
        <w:rPr>
          <w:i/>
          <w:sz w:val="24"/>
        </w:rPr>
        <w:t>regulatory control period</w:t>
      </w:r>
      <w:r>
        <w:rPr>
          <w:sz w:val="24"/>
        </w:rPr>
        <w:t>;</w:t>
      </w:r>
      <w:r>
        <w:rPr>
          <w:spacing w:val="-3"/>
          <w:sz w:val="24"/>
        </w:rPr>
        <w:t> </w:t>
      </w:r>
      <w:r>
        <w:rPr>
          <w:sz w:val="24"/>
        </w:rPr>
        <w:t>and</w:t>
      </w:r>
    </w:p>
    <w:p>
      <w:pPr>
        <w:pStyle w:val="ListParagraph"/>
        <w:numPr>
          <w:ilvl w:val="0"/>
          <w:numId w:val="801"/>
        </w:numPr>
        <w:tabs>
          <w:tab w:pos="1919" w:val="left" w:leader="none"/>
        </w:tabs>
        <w:spacing w:line="240" w:lineRule="auto" w:before="120" w:after="0"/>
        <w:ind w:left="1919" w:right="415" w:hanging="567"/>
        <w:jc w:val="both"/>
        <w:rPr>
          <w:sz w:val="24"/>
        </w:rPr>
      </w:pPr>
      <w:r>
        <w:rPr>
          <w:sz w:val="24"/>
        </w:rPr>
        <w:t>substantially affects the manner in which the </w:t>
      </w:r>
      <w:r>
        <w:rPr>
          <w:i/>
          <w:sz w:val="24"/>
        </w:rPr>
        <w:t>Transmission Network Service </w:t>
      </w:r>
      <w:r>
        <w:rPr>
          <w:i/>
          <w:sz w:val="24"/>
        </w:rPr>
        <w:t>Provider </w:t>
      </w:r>
      <w:r>
        <w:rPr>
          <w:sz w:val="24"/>
        </w:rPr>
        <w:t>provides </w:t>
      </w:r>
      <w:r>
        <w:rPr>
          <w:i/>
          <w:sz w:val="24"/>
        </w:rPr>
        <w:t>prescribed transmission services </w:t>
      </w:r>
      <w:r>
        <w:rPr>
          <w:sz w:val="24"/>
        </w:rPr>
        <w:t>or the </w:t>
      </w:r>
      <w:r>
        <w:rPr>
          <w:i/>
          <w:sz w:val="24"/>
        </w:rPr>
        <w:t>Distribution </w:t>
      </w:r>
      <w:r>
        <w:rPr>
          <w:i/>
          <w:sz w:val="24"/>
        </w:rPr>
        <w:t>Network Service Provider </w:t>
      </w:r>
      <w:r>
        <w:rPr>
          <w:sz w:val="24"/>
        </w:rPr>
        <w:t>provides </w:t>
      </w:r>
      <w:r>
        <w:rPr>
          <w:i/>
          <w:sz w:val="24"/>
        </w:rPr>
        <w:t>direct control services </w:t>
      </w:r>
      <w:r>
        <w:rPr>
          <w:sz w:val="24"/>
        </w:rPr>
        <w:t>(as the case requires); and</w:t>
      </w:r>
    </w:p>
    <w:p>
      <w:pPr>
        <w:pStyle w:val="ListParagraph"/>
        <w:numPr>
          <w:ilvl w:val="0"/>
          <w:numId w:val="801"/>
        </w:numPr>
        <w:tabs>
          <w:tab w:pos="1919" w:val="left" w:leader="none"/>
        </w:tabs>
        <w:spacing w:line="240" w:lineRule="auto" w:before="120" w:after="0"/>
        <w:ind w:left="1919" w:right="416" w:hanging="567"/>
        <w:jc w:val="both"/>
        <w:rPr>
          <w:sz w:val="24"/>
        </w:rPr>
      </w:pPr>
      <w:r>
        <w:rPr>
          <w:i/>
          <w:sz w:val="24"/>
        </w:rPr>
        <w:t>materially </w:t>
      </w:r>
      <w:r>
        <w:rPr>
          <w:sz w:val="24"/>
        </w:rPr>
        <w:t>increases or </w:t>
      </w:r>
      <w:r>
        <w:rPr>
          <w:i/>
          <w:sz w:val="24"/>
        </w:rPr>
        <w:t>materially </w:t>
      </w:r>
      <w:r>
        <w:rPr>
          <w:sz w:val="24"/>
        </w:rPr>
        <w:t>decreases the costs of providing those services.</w:t>
      </w:r>
    </w:p>
    <w:p>
      <w:pPr>
        <w:pStyle w:val="Heading5"/>
        <w:rPr>
          <w:i/>
        </w:rPr>
      </w:pPr>
      <w:r>
        <w:rPr>
          <w:i/>
        </w:rPr>
        <w:t>regulatory control period</w:t>
      </w:r>
    </w:p>
    <w:p>
      <w:pPr>
        <w:spacing w:before="120"/>
        <w:ind w:left="1352" w:right="415" w:firstLine="0"/>
        <w:jc w:val="both"/>
        <w:rPr>
          <w:sz w:val="24"/>
        </w:rPr>
      </w:pPr>
      <w:r>
        <w:rPr>
          <w:sz w:val="24"/>
        </w:rPr>
        <w:t>In respect of a </w:t>
      </w:r>
      <w:r>
        <w:rPr>
          <w:i/>
          <w:sz w:val="24"/>
        </w:rPr>
        <w:t>Network Service Provider</w:t>
      </w:r>
      <w:r>
        <w:rPr>
          <w:sz w:val="24"/>
        </w:rPr>
        <w:t>, a period of not less than 5 </w:t>
      </w:r>
      <w:r>
        <w:rPr>
          <w:i/>
          <w:sz w:val="24"/>
        </w:rPr>
        <w:t>regulatory </w:t>
      </w:r>
      <w:r>
        <w:rPr>
          <w:i/>
          <w:sz w:val="24"/>
        </w:rPr>
        <w:t>years </w:t>
      </w:r>
      <w:r>
        <w:rPr>
          <w:sz w:val="24"/>
        </w:rPr>
        <w:t>for which the provider is subject to a control mechanism imposed by a distribution determination.</w:t>
      </w:r>
    </w:p>
    <w:p>
      <w:pPr>
        <w:pStyle w:val="Heading5"/>
        <w:rPr>
          <w:i/>
        </w:rPr>
      </w:pPr>
      <w:r>
        <w:rPr>
          <w:i/>
        </w:rPr>
        <w:t>regulatory information instrument</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regulatory investment test for</w:t>
      </w:r>
      <w:r>
        <w:rPr>
          <w:i/>
          <w:spacing w:val="-11"/>
        </w:rPr>
        <w:t> </w:t>
      </w:r>
      <w:r>
        <w:rPr>
          <w:i/>
        </w:rPr>
        <w:t>distribution</w:t>
      </w:r>
    </w:p>
    <w:p>
      <w:pPr>
        <w:pStyle w:val="BodyText"/>
        <w:ind w:left="1352" w:right="414" w:firstLine="0"/>
      </w:pPr>
      <w:r>
        <w:rPr/>
        <w:t>The test developed and </w:t>
      </w:r>
      <w:r>
        <w:rPr>
          <w:i/>
        </w:rPr>
        <w:t>published </w:t>
      </w:r>
      <w:r>
        <w:rPr/>
        <w:t>by the </w:t>
      </w:r>
      <w:r>
        <w:rPr>
          <w:i/>
        </w:rPr>
        <w:t>AER </w:t>
      </w:r>
      <w:r>
        <w:rPr/>
        <w:t>in accordance with clauses 5.17.1 and 5.17.2, as in force from time to time, and includes amendments made in accordance with clause</w:t>
      </w:r>
      <w:r>
        <w:rPr>
          <w:spacing w:val="-3"/>
        </w:rPr>
        <w:t> </w:t>
      </w:r>
      <w:r>
        <w:rPr/>
        <w:t>5.17.2.</w:t>
      </w:r>
    </w:p>
    <w:p>
      <w:pPr>
        <w:pStyle w:val="Heading5"/>
        <w:rPr>
          <w:i/>
        </w:rPr>
      </w:pPr>
      <w:r>
        <w:rPr>
          <w:i/>
        </w:rPr>
        <w:t>regulatory investment test for transmission</w:t>
      </w:r>
    </w:p>
    <w:p>
      <w:pPr>
        <w:pStyle w:val="BodyText"/>
        <w:ind w:left="1352" w:right="414" w:firstLine="0"/>
      </w:pPr>
      <w:r>
        <w:rPr/>
        <w:t>The test developed and </w:t>
      </w:r>
      <w:r>
        <w:rPr>
          <w:i/>
        </w:rPr>
        <w:t>published </w:t>
      </w:r>
      <w:r>
        <w:rPr/>
        <w:t>by the </w:t>
      </w:r>
      <w:r>
        <w:rPr>
          <w:i/>
        </w:rPr>
        <w:t>AER </w:t>
      </w:r>
      <w:r>
        <w:rPr/>
        <w:t>in accordance with clauses 5.16.1 and 5.16.2, as in force from time to time, and includes amendments made in accordance with clause 5.16.2.</w:t>
      </w:r>
    </w:p>
    <w:p>
      <w:pPr>
        <w:pStyle w:val="Heading5"/>
        <w:rPr>
          <w:i/>
        </w:rPr>
      </w:pPr>
      <w:r>
        <w:rPr>
          <w:i/>
        </w:rPr>
        <w:t>regulatory obligation or requirement</w:t>
      </w:r>
    </w:p>
    <w:p>
      <w:pPr>
        <w:pStyle w:val="BodyText"/>
        <w:ind w:left="1352" w:firstLine="0"/>
      </w:pPr>
      <w:r>
        <w:rPr/>
        <w:t>Has the meaning assigned in the Law.</w:t>
      </w:r>
    </w:p>
    <w:p>
      <w:pPr>
        <w:pStyle w:val="Heading5"/>
        <w:rPr>
          <w:i/>
        </w:rPr>
      </w:pPr>
      <w:r>
        <w:rPr>
          <w:i/>
        </w:rPr>
        <w:t>regulatory proposal</w:t>
      </w:r>
    </w:p>
    <w:p>
      <w:pPr>
        <w:spacing w:before="120"/>
        <w:ind w:left="1352" w:right="0" w:firstLine="0"/>
        <w:jc w:val="both"/>
        <w:rPr>
          <w:sz w:val="24"/>
        </w:rPr>
      </w:pPr>
      <w:r>
        <w:rPr>
          <w:sz w:val="24"/>
        </w:rPr>
        <w:t>A proposal (by a </w:t>
      </w:r>
      <w:r>
        <w:rPr>
          <w:i/>
          <w:sz w:val="24"/>
        </w:rPr>
        <w:t>Distribution Network Service Provider</w:t>
      </w:r>
      <w:r>
        <w:rPr>
          <w:sz w:val="24"/>
        </w:rPr>
        <w:t>) under rule 6.8.</w:t>
      </w:r>
    </w:p>
    <w:p>
      <w:pPr>
        <w:pStyle w:val="Heading5"/>
        <w:rPr>
          <w:i/>
        </w:rPr>
      </w:pPr>
      <w:r>
        <w:rPr>
          <w:i/>
        </w:rPr>
        <w:t>regulatory year</w:t>
      </w:r>
    </w:p>
    <w:p>
      <w:pPr>
        <w:spacing w:before="120"/>
        <w:ind w:left="1352" w:right="415" w:firstLine="0"/>
        <w:jc w:val="both"/>
        <w:rPr>
          <w:sz w:val="24"/>
        </w:rPr>
      </w:pPr>
      <w:r>
        <w:rPr>
          <w:sz w:val="24"/>
        </w:rPr>
        <w:t>Each consecutive period of 12 calendar months in a </w:t>
      </w:r>
      <w:r>
        <w:rPr>
          <w:i/>
          <w:sz w:val="24"/>
        </w:rPr>
        <w:t>regulatory control period</w:t>
      </w:r>
      <w:r>
        <w:rPr>
          <w:sz w:val="24"/>
        </w:rPr>
        <w:t>, the first such 12 month period commencing at the beginning of the </w:t>
      </w:r>
      <w:r>
        <w:rPr>
          <w:i/>
          <w:sz w:val="24"/>
        </w:rPr>
        <w:t>regulatory control </w:t>
      </w:r>
      <w:r>
        <w:rPr>
          <w:i/>
          <w:sz w:val="24"/>
        </w:rPr>
        <w:t>period </w:t>
      </w:r>
      <w:r>
        <w:rPr>
          <w:sz w:val="24"/>
        </w:rPr>
        <w:t>and the final 12 month period ending at the end of the </w:t>
      </w:r>
      <w:r>
        <w:rPr>
          <w:i/>
          <w:sz w:val="24"/>
        </w:rPr>
        <w:t>regulatory control </w:t>
      </w:r>
      <w:r>
        <w:rPr>
          <w:i/>
          <w:sz w:val="24"/>
        </w:rPr>
        <w:t>period</w:t>
      </w:r>
      <w:r>
        <w:rPr>
          <w:sz w:val="24"/>
        </w:rPr>
        <w:t>. For </w:t>
      </w:r>
      <w:r>
        <w:rPr>
          <w:i/>
          <w:sz w:val="24"/>
        </w:rPr>
        <w:t>AEMO</w:t>
      </w:r>
      <w:r>
        <w:rPr>
          <w:sz w:val="24"/>
        </w:rPr>
        <w:t>, each </w:t>
      </w:r>
      <w:r>
        <w:rPr>
          <w:i/>
          <w:sz w:val="24"/>
        </w:rPr>
        <w:t>financial year </w:t>
      </w:r>
      <w:r>
        <w:rPr>
          <w:sz w:val="24"/>
        </w:rPr>
        <w:t>is a </w:t>
      </w:r>
      <w:r>
        <w:rPr>
          <w:i/>
          <w:sz w:val="24"/>
        </w:rPr>
        <w:t>regulatory year</w:t>
      </w:r>
      <w:r>
        <w:rPr>
          <w:sz w:val="24"/>
        </w:rPr>
        <w:t>.</w:t>
      </w:r>
    </w:p>
    <w:p>
      <w:pPr>
        <w:pStyle w:val="Heading5"/>
        <w:rPr>
          <w:i/>
        </w:rPr>
      </w:pPr>
      <w:r>
        <w:rPr>
          <w:i/>
        </w:rPr>
        <w:t>related body corporate</w:t>
      </w:r>
    </w:p>
    <w:p>
      <w:pPr>
        <w:pStyle w:val="BodyText"/>
        <w:ind w:left="1352" w:right="414" w:firstLine="0"/>
      </w:pPr>
      <w:r>
        <w:rPr/>
        <w:t>In relation to a body corporate, a body corporate that is related to the first- mentioned body by virtue of the </w:t>
      </w:r>
      <w:r>
        <w:rPr>
          <w:i/>
        </w:rPr>
        <w:t>Corporations Act 2001 </w:t>
      </w:r>
      <w:r>
        <w:rPr/>
        <w:t>(Cth).</w:t>
      </w:r>
    </w:p>
    <w:p>
      <w:pPr>
        <w:pStyle w:val="Heading5"/>
        <w:rPr>
          <w:i/>
        </w:rPr>
      </w:pPr>
      <w:r>
        <w:rPr>
          <w:i/>
        </w:rPr>
        <w:t>releasable user guide</w:t>
      </w:r>
    </w:p>
    <w:p>
      <w:pPr>
        <w:pStyle w:val="BodyText"/>
        <w:ind w:left="1352" w:right="415" w:firstLine="0"/>
      </w:pPr>
      <w:r>
        <w:rPr/>
        <w:t>A document associated with a functional block diagram and model source code provided under clause S5.2.4(b) (combined, forming the </w:t>
      </w:r>
      <w:r>
        <w:rPr>
          <w:b/>
        </w:rPr>
        <w:t>model</w:t>
      </w:r>
      <w:r>
        <w:rPr/>
        <w:t>), that contains sufficient information to enable a </w:t>
      </w:r>
      <w:r>
        <w:rPr>
          <w:i/>
        </w:rPr>
        <w:t>Registered Participant </w:t>
      </w:r>
      <w:r>
        <w:rPr/>
        <w:t>to use model source code</w:t>
      </w:r>
    </w:p>
    <w:p>
      <w:pPr>
        <w:spacing w:after="0"/>
        <w:sectPr>
          <w:pgSz w:w="11910" w:h="16840"/>
          <w:pgMar w:header="686" w:footer="637" w:top="1320" w:bottom="820" w:left="1200" w:right="1000"/>
        </w:sectPr>
      </w:pPr>
    </w:p>
    <w:p>
      <w:pPr>
        <w:pStyle w:val="BodyText"/>
        <w:spacing w:before="83"/>
        <w:ind w:left="1352" w:right="415" w:firstLine="0"/>
      </w:pPr>
      <w:r>
        <w:rPr/>
        <w:t>provided under clause 3.13.3(l) to carry out </w:t>
      </w:r>
      <w:r>
        <w:rPr>
          <w:i/>
        </w:rPr>
        <w:t>power system </w:t>
      </w:r>
      <w:r>
        <w:rPr/>
        <w:t>studies for planning and operational purposes. The information in a releasable user guide must include, but is not limited to:</w:t>
      </w:r>
    </w:p>
    <w:p>
      <w:pPr>
        <w:pStyle w:val="ListParagraph"/>
        <w:numPr>
          <w:ilvl w:val="0"/>
          <w:numId w:val="802"/>
        </w:numPr>
        <w:tabs>
          <w:tab w:pos="1919" w:val="left" w:leader="none"/>
        </w:tabs>
        <w:spacing w:line="240" w:lineRule="auto" w:before="120" w:after="0"/>
        <w:ind w:left="1918" w:right="0" w:hanging="567"/>
        <w:jc w:val="both"/>
        <w:rPr>
          <w:sz w:val="24"/>
        </w:rPr>
      </w:pPr>
      <w:r>
        <w:rPr>
          <w:sz w:val="24"/>
        </w:rPr>
        <w:t>the </w:t>
      </w:r>
      <w:r>
        <w:rPr>
          <w:b/>
          <w:sz w:val="24"/>
        </w:rPr>
        <w:t>model </w:t>
      </w:r>
      <w:r>
        <w:rPr>
          <w:sz w:val="24"/>
        </w:rPr>
        <w:t>parameters and their</w:t>
      </w:r>
      <w:r>
        <w:rPr>
          <w:spacing w:val="-1"/>
          <w:sz w:val="24"/>
        </w:rPr>
        <w:t> </w:t>
      </w:r>
      <w:r>
        <w:rPr>
          <w:sz w:val="24"/>
        </w:rPr>
        <w:t>values;</w:t>
      </w:r>
    </w:p>
    <w:p>
      <w:pPr>
        <w:pStyle w:val="ListParagraph"/>
        <w:numPr>
          <w:ilvl w:val="0"/>
          <w:numId w:val="802"/>
        </w:numPr>
        <w:tabs>
          <w:tab w:pos="1919" w:val="left" w:leader="none"/>
        </w:tabs>
        <w:spacing w:line="240" w:lineRule="auto" w:before="120" w:after="0"/>
        <w:ind w:left="1919" w:right="415" w:hanging="567"/>
        <w:jc w:val="both"/>
        <w:rPr>
          <w:sz w:val="24"/>
        </w:rPr>
      </w:pPr>
      <w:r>
        <w:rPr>
          <w:sz w:val="24"/>
        </w:rPr>
        <w:t>information about how the </w:t>
      </w:r>
      <w:r>
        <w:rPr>
          <w:b/>
          <w:sz w:val="24"/>
        </w:rPr>
        <w:t>model </w:t>
      </w:r>
      <w:r>
        <w:rPr>
          <w:sz w:val="24"/>
        </w:rPr>
        <w:t>parameter values vary with the operating state or output level of the </w:t>
      </w:r>
      <w:r>
        <w:rPr>
          <w:i/>
          <w:sz w:val="24"/>
        </w:rPr>
        <w:t>plant </w:t>
      </w:r>
      <w:r>
        <w:rPr>
          <w:sz w:val="24"/>
        </w:rPr>
        <w:t>or with the operating state or output level of any associated</w:t>
      </w:r>
      <w:r>
        <w:rPr>
          <w:spacing w:val="-1"/>
          <w:sz w:val="24"/>
        </w:rPr>
        <w:t> </w:t>
      </w:r>
      <w:r>
        <w:rPr>
          <w:i/>
          <w:sz w:val="24"/>
        </w:rPr>
        <w:t>plant</w:t>
      </w:r>
      <w:r>
        <w:rPr>
          <w:sz w:val="24"/>
        </w:rPr>
        <w:t>;</w:t>
      </w:r>
    </w:p>
    <w:p>
      <w:pPr>
        <w:pStyle w:val="ListParagraph"/>
        <w:numPr>
          <w:ilvl w:val="0"/>
          <w:numId w:val="802"/>
        </w:numPr>
        <w:tabs>
          <w:tab w:pos="1919" w:val="left" w:leader="none"/>
        </w:tabs>
        <w:spacing w:line="240" w:lineRule="auto" w:before="120" w:after="0"/>
        <w:ind w:left="1919" w:right="415" w:hanging="567"/>
        <w:jc w:val="both"/>
        <w:rPr>
          <w:sz w:val="24"/>
        </w:rPr>
      </w:pPr>
      <w:r>
        <w:rPr>
          <w:sz w:val="24"/>
        </w:rPr>
        <w:t>instructions relevant to the use and operation of the model source code provided under clause</w:t>
      </w:r>
      <w:r>
        <w:rPr>
          <w:spacing w:val="-1"/>
          <w:sz w:val="24"/>
        </w:rPr>
        <w:t> </w:t>
      </w:r>
      <w:r>
        <w:rPr>
          <w:sz w:val="24"/>
        </w:rPr>
        <w:t>3.13.3(l);</w:t>
      </w:r>
    </w:p>
    <w:p>
      <w:pPr>
        <w:pStyle w:val="ListParagraph"/>
        <w:numPr>
          <w:ilvl w:val="0"/>
          <w:numId w:val="802"/>
        </w:numPr>
        <w:tabs>
          <w:tab w:pos="1919" w:val="left" w:leader="none"/>
        </w:tabs>
        <w:spacing w:line="240" w:lineRule="auto" w:before="120" w:after="0"/>
        <w:ind w:left="1919" w:right="417" w:hanging="567"/>
        <w:jc w:val="both"/>
        <w:rPr>
          <w:sz w:val="24"/>
        </w:rPr>
      </w:pPr>
      <w:r>
        <w:rPr>
          <w:sz w:val="24"/>
        </w:rPr>
        <w:t>settings of </w:t>
      </w:r>
      <w:r>
        <w:rPr>
          <w:i/>
          <w:sz w:val="24"/>
        </w:rPr>
        <w:t>protection systems </w:t>
      </w:r>
      <w:r>
        <w:rPr>
          <w:sz w:val="24"/>
        </w:rPr>
        <w:t>that are relevant to load flow or dynamic simulation</w:t>
      </w:r>
      <w:r>
        <w:rPr>
          <w:spacing w:val="-1"/>
          <w:sz w:val="24"/>
        </w:rPr>
        <w:t> </w:t>
      </w:r>
      <w:r>
        <w:rPr>
          <w:sz w:val="24"/>
        </w:rPr>
        <w:t>studies;</w:t>
      </w:r>
    </w:p>
    <w:p>
      <w:pPr>
        <w:pStyle w:val="ListParagraph"/>
        <w:numPr>
          <w:ilvl w:val="0"/>
          <w:numId w:val="802"/>
        </w:numPr>
        <w:tabs>
          <w:tab w:pos="1919" w:val="left" w:leader="none"/>
        </w:tabs>
        <w:spacing w:line="240" w:lineRule="auto" w:before="120" w:after="0"/>
        <w:ind w:left="1919" w:right="415" w:hanging="567"/>
        <w:jc w:val="both"/>
        <w:rPr>
          <w:sz w:val="24"/>
        </w:rPr>
      </w:pPr>
      <w:r>
        <w:rPr>
          <w:sz w:val="24"/>
        </w:rPr>
        <w:t>information provided in accordance with Schedule 5.5 only to the extent  that the information is not a part of the </w:t>
      </w:r>
      <w:r>
        <w:rPr>
          <w:b/>
          <w:sz w:val="24"/>
        </w:rPr>
        <w:t>model </w:t>
      </w:r>
      <w:r>
        <w:rPr>
          <w:sz w:val="24"/>
        </w:rPr>
        <w:t>or the </w:t>
      </w:r>
      <w:r>
        <w:rPr>
          <w:b/>
          <w:sz w:val="24"/>
        </w:rPr>
        <w:t>model </w:t>
      </w:r>
      <w:r>
        <w:rPr>
          <w:sz w:val="24"/>
        </w:rPr>
        <w:t>parameters and that is reasonably necessary to allow modelling of the </w:t>
      </w:r>
      <w:r>
        <w:rPr>
          <w:i/>
          <w:sz w:val="24"/>
        </w:rPr>
        <w:t>generating unit</w:t>
      </w:r>
      <w:r>
        <w:rPr>
          <w:sz w:val="24"/>
        </w:rPr>
        <w:t>, </w:t>
      </w:r>
      <w:r>
        <w:rPr>
          <w:i/>
          <w:sz w:val="24"/>
        </w:rPr>
        <w:t>generating system </w:t>
      </w:r>
      <w:r>
        <w:rPr>
          <w:sz w:val="24"/>
        </w:rPr>
        <w:t>or related </w:t>
      </w:r>
      <w:r>
        <w:rPr>
          <w:i/>
          <w:sz w:val="24"/>
        </w:rPr>
        <w:t>plant </w:t>
      </w:r>
      <w:r>
        <w:rPr>
          <w:sz w:val="24"/>
        </w:rPr>
        <w:t>in </w:t>
      </w:r>
      <w:r>
        <w:rPr>
          <w:i/>
          <w:sz w:val="24"/>
        </w:rPr>
        <w:t>power system </w:t>
      </w:r>
      <w:r>
        <w:rPr>
          <w:sz w:val="24"/>
        </w:rPr>
        <w:t>load flow or dynamic simulation</w:t>
      </w:r>
      <w:r>
        <w:rPr>
          <w:spacing w:val="-1"/>
          <w:sz w:val="24"/>
        </w:rPr>
        <w:t> </w:t>
      </w:r>
      <w:r>
        <w:rPr>
          <w:sz w:val="24"/>
        </w:rPr>
        <w:t>studies;</w:t>
      </w:r>
    </w:p>
    <w:p>
      <w:pPr>
        <w:pStyle w:val="ListParagraph"/>
        <w:numPr>
          <w:ilvl w:val="0"/>
          <w:numId w:val="802"/>
        </w:numPr>
        <w:tabs>
          <w:tab w:pos="1919" w:val="left" w:leader="none"/>
        </w:tabs>
        <w:spacing w:line="240" w:lineRule="auto" w:before="120" w:after="0"/>
        <w:ind w:left="1919" w:right="415" w:hanging="567"/>
        <w:jc w:val="both"/>
        <w:rPr>
          <w:sz w:val="24"/>
        </w:rPr>
      </w:pPr>
      <w:r>
        <w:rPr>
          <w:i/>
          <w:sz w:val="24"/>
        </w:rPr>
        <w:t>connection point </w:t>
      </w:r>
      <w:r>
        <w:rPr>
          <w:sz w:val="24"/>
        </w:rPr>
        <w:t>details including its parameters and values, location, network augmentations or modifications and other relevant connection information;</w:t>
      </w:r>
    </w:p>
    <w:p>
      <w:pPr>
        <w:pStyle w:val="ListParagraph"/>
        <w:numPr>
          <w:ilvl w:val="0"/>
          <w:numId w:val="802"/>
        </w:numPr>
        <w:tabs>
          <w:tab w:pos="1919" w:val="left" w:leader="none"/>
        </w:tabs>
        <w:spacing w:line="240" w:lineRule="auto" w:before="120" w:after="0"/>
        <w:ind w:left="1919" w:right="416" w:hanging="567"/>
        <w:jc w:val="both"/>
        <w:rPr>
          <w:sz w:val="24"/>
        </w:rPr>
      </w:pPr>
      <w:r>
        <w:rPr>
          <w:sz w:val="24"/>
        </w:rPr>
        <w:t>in regards to any relevant </w:t>
      </w:r>
      <w:r>
        <w:rPr>
          <w:i/>
          <w:sz w:val="24"/>
        </w:rPr>
        <w:t>generating unit </w:t>
      </w:r>
      <w:r>
        <w:rPr>
          <w:sz w:val="24"/>
        </w:rPr>
        <w:t>or </w:t>
      </w:r>
      <w:r>
        <w:rPr>
          <w:i/>
          <w:sz w:val="24"/>
        </w:rPr>
        <w:t>generating system</w:t>
      </w:r>
      <w:r>
        <w:rPr>
          <w:sz w:val="24"/>
        </w:rPr>
        <w:t>, the date on which any of the following has occurred or is expected to</w:t>
      </w:r>
      <w:r>
        <w:rPr>
          <w:spacing w:val="-4"/>
          <w:sz w:val="24"/>
        </w:rPr>
        <w:t> </w:t>
      </w:r>
      <w:r>
        <w:rPr>
          <w:sz w:val="24"/>
        </w:rPr>
        <w:t>occur:</w:t>
      </w:r>
    </w:p>
    <w:p>
      <w:pPr>
        <w:pStyle w:val="ListParagraph"/>
        <w:numPr>
          <w:ilvl w:val="1"/>
          <w:numId w:val="802"/>
        </w:numPr>
        <w:tabs>
          <w:tab w:pos="2486" w:val="left" w:leader="none"/>
        </w:tabs>
        <w:spacing w:line="240" w:lineRule="auto" w:before="120" w:after="0"/>
        <w:ind w:left="2485" w:right="0" w:hanging="567"/>
        <w:jc w:val="both"/>
        <w:rPr>
          <w:sz w:val="24"/>
        </w:rPr>
      </w:pPr>
      <w:r>
        <w:rPr>
          <w:i/>
          <w:sz w:val="24"/>
        </w:rPr>
        <w:t>an application to connect </w:t>
      </w:r>
      <w:r>
        <w:rPr>
          <w:sz w:val="24"/>
        </w:rPr>
        <w:t>is made under clause</w:t>
      </w:r>
      <w:r>
        <w:rPr>
          <w:spacing w:val="-2"/>
          <w:sz w:val="24"/>
        </w:rPr>
        <w:t> </w:t>
      </w:r>
      <w:r>
        <w:rPr>
          <w:sz w:val="24"/>
        </w:rPr>
        <w:t>5.3.4(a);</w:t>
      </w:r>
    </w:p>
    <w:p>
      <w:pPr>
        <w:pStyle w:val="ListParagraph"/>
        <w:numPr>
          <w:ilvl w:val="1"/>
          <w:numId w:val="802"/>
        </w:numPr>
        <w:tabs>
          <w:tab w:pos="2487" w:val="left" w:leader="none"/>
        </w:tabs>
        <w:spacing w:line="240" w:lineRule="auto" w:before="120" w:after="0"/>
        <w:ind w:left="2486" w:right="0" w:hanging="568"/>
        <w:jc w:val="both"/>
        <w:rPr>
          <w:sz w:val="24"/>
        </w:rPr>
      </w:pPr>
      <w:r>
        <w:rPr>
          <w:sz w:val="24"/>
        </w:rPr>
        <w:t>a </w:t>
      </w:r>
      <w:r>
        <w:rPr>
          <w:i/>
          <w:sz w:val="24"/>
        </w:rPr>
        <w:t>connection agreement </w:t>
      </w:r>
      <w:r>
        <w:rPr>
          <w:sz w:val="24"/>
        </w:rPr>
        <w:t>is entered into under clause</w:t>
      </w:r>
      <w:r>
        <w:rPr>
          <w:spacing w:val="-2"/>
          <w:sz w:val="24"/>
        </w:rPr>
        <w:t> </w:t>
      </w:r>
      <w:r>
        <w:rPr>
          <w:sz w:val="24"/>
        </w:rPr>
        <w:t>5.3.7;</w:t>
      </w:r>
    </w:p>
    <w:p>
      <w:pPr>
        <w:pStyle w:val="ListParagraph"/>
        <w:numPr>
          <w:ilvl w:val="1"/>
          <w:numId w:val="802"/>
        </w:numPr>
        <w:tabs>
          <w:tab w:pos="2486" w:val="left" w:leader="none"/>
        </w:tabs>
        <w:spacing w:line="240" w:lineRule="auto" w:before="120" w:after="0"/>
        <w:ind w:left="2486" w:right="415" w:hanging="567"/>
        <w:jc w:val="both"/>
        <w:rPr>
          <w:sz w:val="24"/>
        </w:rPr>
      </w:pPr>
      <w:r>
        <w:rPr>
          <w:sz w:val="24"/>
        </w:rPr>
        <w:t>the </w:t>
      </w:r>
      <w:r>
        <w:rPr>
          <w:i/>
          <w:sz w:val="24"/>
        </w:rPr>
        <w:t>Generator </w:t>
      </w:r>
      <w:r>
        <w:rPr>
          <w:sz w:val="24"/>
        </w:rPr>
        <w:t>submits a proposal to alter a </w:t>
      </w:r>
      <w:r>
        <w:rPr>
          <w:i/>
          <w:sz w:val="24"/>
        </w:rPr>
        <w:t>connected generating </w:t>
      </w:r>
      <w:r>
        <w:rPr>
          <w:i/>
          <w:sz w:val="24"/>
        </w:rPr>
        <w:t>system </w:t>
      </w:r>
      <w:r>
        <w:rPr>
          <w:sz w:val="24"/>
        </w:rPr>
        <w:t>or a </w:t>
      </w:r>
      <w:r>
        <w:rPr>
          <w:i/>
          <w:sz w:val="24"/>
        </w:rPr>
        <w:t>generating system</w:t>
      </w:r>
      <w:r>
        <w:rPr>
          <w:sz w:val="24"/>
        </w:rPr>
        <w:t>, for which </w:t>
      </w:r>
      <w:r>
        <w:rPr>
          <w:i/>
          <w:sz w:val="24"/>
        </w:rPr>
        <w:t>performance standards </w:t>
      </w:r>
      <w:r>
        <w:rPr>
          <w:sz w:val="24"/>
        </w:rPr>
        <w:t>have previously been accepted by </w:t>
      </w:r>
      <w:r>
        <w:rPr>
          <w:i/>
          <w:sz w:val="24"/>
        </w:rPr>
        <w:t>AEMO</w:t>
      </w:r>
      <w:r>
        <w:rPr>
          <w:sz w:val="24"/>
        </w:rPr>
        <w:t>, under clause</w:t>
      </w:r>
      <w:r>
        <w:rPr>
          <w:spacing w:val="-1"/>
          <w:sz w:val="24"/>
        </w:rPr>
        <w:t> </w:t>
      </w:r>
      <w:r>
        <w:rPr>
          <w:sz w:val="24"/>
        </w:rPr>
        <w:t>5.3.9;</w:t>
      </w:r>
    </w:p>
    <w:p>
      <w:pPr>
        <w:pStyle w:val="ListParagraph"/>
        <w:numPr>
          <w:ilvl w:val="1"/>
          <w:numId w:val="802"/>
        </w:numPr>
        <w:tabs>
          <w:tab w:pos="2487" w:val="left" w:leader="none"/>
        </w:tabs>
        <w:spacing w:line="240" w:lineRule="auto" w:before="120" w:after="0"/>
        <w:ind w:left="2486" w:right="416" w:hanging="567"/>
        <w:jc w:val="both"/>
        <w:rPr>
          <w:sz w:val="24"/>
        </w:rPr>
      </w:pPr>
      <w:r>
        <w:rPr>
          <w:sz w:val="24"/>
        </w:rPr>
        <w:t>the </w:t>
      </w:r>
      <w:r>
        <w:rPr>
          <w:i/>
          <w:sz w:val="24"/>
        </w:rPr>
        <w:t>Generator </w:t>
      </w:r>
      <w:r>
        <w:rPr>
          <w:sz w:val="24"/>
        </w:rPr>
        <w:t>is notified that the </w:t>
      </w:r>
      <w:r>
        <w:rPr>
          <w:i/>
          <w:sz w:val="24"/>
        </w:rPr>
        <w:t>Network Service Provider </w:t>
      </w:r>
      <w:r>
        <w:rPr>
          <w:sz w:val="24"/>
        </w:rPr>
        <w:t>and </w:t>
      </w:r>
      <w:r>
        <w:rPr>
          <w:i/>
          <w:sz w:val="24"/>
        </w:rPr>
        <w:t>AEMO </w:t>
      </w:r>
      <w:r>
        <w:rPr>
          <w:sz w:val="24"/>
        </w:rPr>
        <w:t>are satisfied with the proposed alterations to the </w:t>
      </w:r>
      <w:r>
        <w:rPr>
          <w:i/>
          <w:sz w:val="24"/>
        </w:rPr>
        <w:t>generating </w:t>
      </w:r>
      <w:r>
        <w:rPr>
          <w:i/>
          <w:sz w:val="24"/>
        </w:rPr>
        <w:t>plant </w:t>
      </w:r>
      <w:r>
        <w:rPr>
          <w:sz w:val="24"/>
        </w:rPr>
        <w:t>under clause</w:t>
      </w:r>
      <w:r>
        <w:rPr>
          <w:spacing w:val="-1"/>
          <w:sz w:val="24"/>
        </w:rPr>
        <w:t> </w:t>
      </w:r>
      <w:r>
        <w:rPr>
          <w:sz w:val="24"/>
        </w:rPr>
        <w:t>5.3.10;</w:t>
      </w:r>
    </w:p>
    <w:p>
      <w:pPr>
        <w:pStyle w:val="ListParagraph"/>
        <w:numPr>
          <w:ilvl w:val="1"/>
          <w:numId w:val="802"/>
        </w:numPr>
        <w:tabs>
          <w:tab w:pos="2486" w:val="left" w:leader="none"/>
        </w:tabs>
        <w:spacing w:line="240" w:lineRule="auto" w:before="120" w:after="0"/>
        <w:ind w:left="2485" w:right="0" w:hanging="567"/>
        <w:jc w:val="both"/>
        <w:rPr>
          <w:sz w:val="24"/>
        </w:rPr>
      </w:pPr>
      <w:r>
        <w:rPr>
          <w:i/>
          <w:sz w:val="24"/>
        </w:rPr>
        <w:t>connection</w:t>
      </w:r>
      <w:r>
        <w:rPr>
          <w:sz w:val="24"/>
        </w:rPr>
        <w:t>;</w:t>
      </w:r>
    </w:p>
    <w:p>
      <w:pPr>
        <w:pStyle w:val="ListParagraph"/>
        <w:numPr>
          <w:ilvl w:val="1"/>
          <w:numId w:val="802"/>
        </w:numPr>
        <w:tabs>
          <w:tab w:pos="2486" w:val="left" w:leader="none"/>
        </w:tabs>
        <w:spacing w:line="240" w:lineRule="auto" w:before="120" w:after="0"/>
        <w:ind w:left="2485" w:right="0" w:hanging="567"/>
        <w:jc w:val="both"/>
        <w:rPr>
          <w:sz w:val="24"/>
        </w:rPr>
      </w:pPr>
      <w:r>
        <w:rPr>
          <w:sz w:val="24"/>
        </w:rPr>
        <w:t>commencement of commissioning;</w:t>
      </w:r>
      <w:r>
        <w:rPr>
          <w:spacing w:val="-1"/>
          <w:sz w:val="24"/>
        </w:rPr>
        <w:t> </w:t>
      </w:r>
      <w:r>
        <w:rPr>
          <w:sz w:val="24"/>
        </w:rPr>
        <w:t>and</w:t>
      </w:r>
    </w:p>
    <w:p>
      <w:pPr>
        <w:pStyle w:val="ListParagraph"/>
        <w:numPr>
          <w:ilvl w:val="1"/>
          <w:numId w:val="802"/>
        </w:numPr>
        <w:tabs>
          <w:tab w:pos="2486" w:val="left" w:leader="none"/>
        </w:tabs>
        <w:spacing w:line="240" w:lineRule="auto" w:before="120" w:after="0"/>
        <w:ind w:left="2485" w:right="0" w:hanging="567"/>
        <w:jc w:val="both"/>
        <w:rPr>
          <w:sz w:val="24"/>
        </w:rPr>
      </w:pPr>
      <w:r>
        <w:rPr>
          <w:sz w:val="24"/>
        </w:rPr>
        <w:t>conclusion of commissioning;</w:t>
      </w:r>
      <w:r>
        <w:rPr>
          <w:spacing w:val="-1"/>
          <w:sz w:val="24"/>
        </w:rPr>
        <w:t> </w:t>
      </w:r>
      <w:r>
        <w:rPr>
          <w:sz w:val="24"/>
        </w:rPr>
        <w:t>and</w:t>
      </w:r>
    </w:p>
    <w:p>
      <w:pPr>
        <w:pStyle w:val="ListParagraph"/>
        <w:numPr>
          <w:ilvl w:val="0"/>
          <w:numId w:val="802"/>
        </w:numPr>
        <w:tabs>
          <w:tab w:pos="1919" w:val="left" w:leader="none"/>
        </w:tabs>
        <w:spacing w:line="240" w:lineRule="auto" w:before="120" w:after="0"/>
        <w:ind w:left="1918" w:right="0" w:hanging="567"/>
        <w:jc w:val="both"/>
        <w:rPr>
          <w:sz w:val="24"/>
        </w:rPr>
      </w:pPr>
      <w:r>
        <w:rPr>
          <w:sz w:val="24"/>
        </w:rPr>
        <w:t>the date this document was prepared or</w:t>
      </w:r>
      <w:r>
        <w:rPr>
          <w:spacing w:val="-2"/>
          <w:sz w:val="24"/>
        </w:rPr>
        <w:t> </w:t>
      </w:r>
      <w:r>
        <w:rPr>
          <w:sz w:val="24"/>
        </w:rPr>
        <w:t>updated.</w:t>
      </w:r>
    </w:p>
    <w:p>
      <w:pPr>
        <w:pStyle w:val="Heading5"/>
        <w:rPr>
          <w:i/>
        </w:rPr>
      </w:pPr>
      <w:r>
        <w:rPr>
          <w:i/>
        </w:rPr>
        <w:t>relevant AEMO intervention event</w:t>
      </w:r>
    </w:p>
    <w:p>
      <w:pPr>
        <w:spacing w:before="120"/>
        <w:ind w:left="1352" w:right="414" w:firstLine="0"/>
        <w:jc w:val="both"/>
        <w:rPr>
          <w:sz w:val="24"/>
        </w:rPr>
      </w:pPr>
      <w:r>
        <w:rPr>
          <w:sz w:val="24"/>
        </w:rPr>
        <w:t>A </w:t>
      </w:r>
      <w:r>
        <w:rPr>
          <w:i/>
          <w:sz w:val="24"/>
        </w:rPr>
        <w:t>AEMO intervention event </w:t>
      </w:r>
      <w:r>
        <w:rPr>
          <w:sz w:val="24"/>
        </w:rPr>
        <w:t>that involves the exercise of the </w:t>
      </w:r>
      <w:r>
        <w:rPr>
          <w:i/>
          <w:sz w:val="24"/>
        </w:rPr>
        <w:t>reliability and </w:t>
      </w:r>
      <w:r>
        <w:rPr>
          <w:i/>
          <w:sz w:val="24"/>
        </w:rPr>
        <w:t>emergency reserve trader </w:t>
      </w:r>
      <w:r>
        <w:rPr>
          <w:sz w:val="24"/>
        </w:rPr>
        <w:t>in accordance with rule 3.20 as referred to in paragraph</w:t>
      </w:r>
    </w:p>
    <w:p>
      <w:pPr>
        <w:spacing w:before="0"/>
        <w:ind w:left="1352" w:right="0" w:firstLine="0"/>
        <w:jc w:val="both"/>
        <w:rPr>
          <w:sz w:val="24"/>
        </w:rPr>
      </w:pPr>
      <w:r>
        <w:rPr>
          <w:sz w:val="24"/>
        </w:rPr>
        <w:t>(b) of the definition of </w:t>
      </w:r>
      <w:r>
        <w:rPr>
          <w:i/>
          <w:sz w:val="24"/>
        </w:rPr>
        <w:t>AEMO intervention event</w:t>
      </w:r>
      <w:r>
        <w:rPr>
          <w:sz w:val="24"/>
        </w:rPr>
        <w:t>.</w:t>
      </w:r>
    </w:p>
    <w:p>
      <w:pPr>
        <w:pStyle w:val="Heading5"/>
        <w:rPr>
          <w:i/>
        </w:rPr>
      </w:pPr>
      <w:r>
        <w:rPr>
          <w:i/>
        </w:rPr>
        <w:t>relevant tax</w:t>
      </w:r>
    </w:p>
    <w:p>
      <w:pPr>
        <w:spacing w:before="120"/>
        <w:ind w:left="1352" w:right="417" w:firstLine="0"/>
        <w:jc w:val="both"/>
        <w:rPr>
          <w:sz w:val="24"/>
        </w:rPr>
      </w:pPr>
      <w:r>
        <w:rPr>
          <w:sz w:val="24"/>
        </w:rPr>
        <w:t>Any tax payable by a </w:t>
      </w:r>
      <w:r>
        <w:rPr>
          <w:i/>
          <w:sz w:val="24"/>
        </w:rPr>
        <w:t>Transmission Network Service Provider </w:t>
      </w:r>
      <w:r>
        <w:rPr>
          <w:sz w:val="24"/>
        </w:rPr>
        <w:t>or a </w:t>
      </w:r>
      <w:r>
        <w:rPr>
          <w:i/>
          <w:sz w:val="24"/>
        </w:rPr>
        <w:t>Distribution </w:t>
      </w:r>
      <w:r>
        <w:rPr>
          <w:i/>
          <w:sz w:val="24"/>
        </w:rPr>
        <w:t>Network Service Provider </w:t>
      </w:r>
      <w:r>
        <w:rPr>
          <w:sz w:val="24"/>
        </w:rPr>
        <w:t>other than:</w:t>
      </w:r>
    </w:p>
    <w:p>
      <w:pPr>
        <w:pStyle w:val="ListParagraph"/>
        <w:numPr>
          <w:ilvl w:val="0"/>
          <w:numId w:val="803"/>
        </w:numPr>
        <w:tabs>
          <w:tab w:pos="1919" w:val="left" w:leader="none"/>
        </w:tabs>
        <w:spacing w:line="240" w:lineRule="auto" w:before="120" w:after="0"/>
        <w:ind w:left="1918" w:right="0" w:hanging="567"/>
        <w:jc w:val="both"/>
        <w:rPr>
          <w:sz w:val="24"/>
        </w:rPr>
      </w:pPr>
      <w:r>
        <w:rPr>
          <w:sz w:val="24"/>
        </w:rPr>
        <w:t>income tax and capital gains</w:t>
      </w:r>
      <w:r>
        <w:rPr>
          <w:spacing w:val="-2"/>
          <w:sz w:val="24"/>
        </w:rPr>
        <w:t> </w:t>
      </w:r>
      <w:r>
        <w:rPr>
          <w:sz w:val="24"/>
        </w:rPr>
        <w:t>tax;</w:t>
      </w:r>
    </w:p>
    <w:p>
      <w:pPr>
        <w:spacing w:after="0" w:line="240" w:lineRule="auto"/>
        <w:jc w:val="both"/>
        <w:rPr>
          <w:sz w:val="24"/>
        </w:rPr>
        <w:sectPr>
          <w:pgSz w:w="11910" w:h="16840"/>
          <w:pgMar w:header="686" w:footer="637" w:top="1320" w:bottom="820" w:left="1200" w:right="1000"/>
        </w:sectPr>
      </w:pPr>
    </w:p>
    <w:p>
      <w:pPr>
        <w:pStyle w:val="ListParagraph"/>
        <w:numPr>
          <w:ilvl w:val="0"/>
          <w:numId w:val="803"/>
        </w:numPr>
        <w:tabs>
          <w:tab w:pos="1918" w:val="left" w:leader="none"/>
          <w:tab w:pos="1919" w:val="left" w:leader="none"/>
        </w:tabs>
        <w:spacing w:line="240" w:lineRule="auto" w:before="83" w:after="0"/>
        <w:ind w:left="1918" w:right="0" w:hanging="567"/>
        <w:jc w:val="left"/>
        <w:rPr>
          <w:sz w:val="24"/>
        </w:rPr>
      </w:pPr>
      <w:r>
        <w:rPr>
          <w:sz w:val="24"/>
        </w:rPr>
        <w:t>stamp duty, financial institutions duty and bank accounts debits</w:t>
      </w:r>
      <w:r>
        <w:rPr>
          <w:spacing w:val="-2"/>
          <w:sz w:val="24"/>
        </w:rPr>
        <w:t> </w:t>
      </w:r>
      <w:r>
        <w:rPr>
          <w:sz w:val="24"/>
        </w:rPr>
        <w:t>tax;</w:t>
      </w:r>
    </w:p>
    <w:p>
      <w:pPr>
        <w:pStyle w:val="ListParagraph"/>
        <w:numPr>
          <w:ilvl w:val="0"/>
          <w:numId w:val="803"/>
        </w:numPr>
        <w:tabs>
          <w:tab w:pos="1918" w:val="left" w:leader="none"/>
          <w:tab w:pos="1919" w:val="left" w:leader="none"/>
        </w:tabs>
        <w:spacing w:line="240" w:lineRule="auto" w:before="120" w:after="0"/>
        <w:ind w:left="1919" w:right="415" w:hanging="567"/>
        <w:jc w:val="left"/>
        <w:rPr>
          <w:sz w:val="24"/>
        </w:rPr>
      </w:pPr>
      <w:r>
        <w:rPr>
          <w:sz w:val="24"/>
        </w:rPr>
        <w:t>penalties, charges, fees and interest on late payments, or deficiencies in payments, relating to any tax;</w:t>
      </w:r>
      <w:r>
        <w:rPr>
          <w:spacing w:val="-1"/>
          <w:sz w:val="24"/>
        </w:rPr>
        <w:t> </w:t>
      </w:r>
      <w:r>
        <w:rPr>
          <w:sz w:val="24"/>
        </w:rPr>
        <w:t>or</w:t>
      </w:r>
    </w:p>
    <w:p>
      <w:pPr>
        <w:pStyle w:val="ListParagraph"/>
        <w:numPr>
          <w:ilvl w:val="0"/>
          <w:numId w:val="803"/>
        </w:numPr>
        <w:tabs>
          <w:tab w:pos="1918" w:val="left" w:leader="none"/>
          <w:tab w:pos="1919" w:val="left" w:leader="none"/>
        </w:tabs>
        <w:spacing w:line="240" w:lineRule="auto" w:before="120" w:after="0"/>
        <w:ind w:left="1919" w:right="414" w:hanging="567"/>
        <w:jc w:val="left"/>
        <w:rPr>
          <w:sz w:val="24"/>
        </w:rPr>
      </w:pPr>
      <w:r>
        <w:rPr>
          <w:sz w:val="24"/>
        </w:rPr>
        <w:t>any tax that replaces or is the equivalent of or similar to any of the taxes referred to in paragraphs (a) to (b) (including any State equivalent</w:t>
      </w:r>
      <w:r>
        <w:rPr>
          <w:spacing w:val="-5"/>
          <w:sz w:val="24"/>
        </w:rPr>
        <w:t> </w:t>
      </w:r>
      <w:r>
        <w:rPr>
          <w:sz w:val="24"/>
        </w:rPr>
        <w:t>tax).</w:t>
      </w:r>
    </w:p>
    <w:p>
      <w:pPr>
        <w:pStyle w:val="Heading5"/>
        <w:jc w:val="left"/>
        <w:rPr>
          <w:i/>
        </w:rPr>
      </w:pPr>
      <w:r>
        <w:rPr>
          <w:i/>
        </w:rPr>
        <w:t>Relevant Transmission Network Service Provider, Relevant TNSP</w:t>
      </w:r>
    </w:p>
    <w:p>
      <w:pPr>
        <w:pStyle w:val="BodyText"/>
        <w:ind w:left="1352" w:firstLine="0"/>
        <w:jc w:val="left"/>
      </w:pPr>
      <w:r>
        <w:rPr/>
        <w:t>In respect of clause 5.7.7 has the meaning given in clause 5.7.7(a).</w:t>
      </w:r>
    </w:p>
    <w:p>
      <w:pPr>
        <w:spacing w:after="0"/>
        <w:jc w:val="left"/>
        <w:sectPr>
          <w:pgSz w:w="11910" w:h="16840"/>
          <w:pgMar w:header="686" w:footer="637" w:top="1320" w:bottom="820" w:left="1200" w:right="1000"/>
        </w:sectPr>
      </w:pPr>
    </w:p>
    <w:p>
      <w:pPr>
        <w:pStyle w:val="Heading5"/>
        <w:jc w:val="left"/>
        <w:rPr>
          <w:i/>
        </w:rPr>
      </w:pPr>
      <w:r>
        <w:rPr>
          <w:i/>
        </w:rPr>
        <w:t>reliability</w:t>
      </w:r>
    </w:p>
    <w:p>
      <w:pPr>
        <w:pStyle w:val="BodyText"/>
        <w:spacing w:before="0"/>
        <w:ind w:firstLine="0"/>
        <w:jc w:val="left"/>
        <w:rPr>
          <w:b/>
          <w:i/>
          <w:sz w:val="26"/>
        </w:rPr>
      </w:pPr>
      <w:r>
        <w:rPr/>
        <w:br w:type="column"/>
      </w:r>
      <w:r>
        <w:rPr>
          <w:b/>
          <w:i/>
          <w:sz w:val="26"/>
        </w:rPr>
      </w:r>
    </w:p>
    <w:p>
      <w:pPr>
        <w:pStyle w:val="BodyText"/>
        <w:spacing w:before="217"/>
        <w:ind w:left="147" w:right="415" w:firstLine="0"/>
      </w:pPr>
      <w:r>
        <w:rPr/>
        <w:t>The probability of a system, device, </w:t>
      </w:r>
      <w:r>
        <w:rPr>
          <w:i/>
        </w:rPr>
        <w:t>plant </w:t>
      </w:r>
      <w:r>
        <w:rPr/>
        <w:t>or equipment performing its function adequately for the period of time intended, under the operating conditions encountered.</w:t>
      </w:r>
    </w:p>
    <w:p>
      <w:pPr>
        <w:spacing w:after="0"/>
        <w:sectPr>
          <w:type w:val="continuous"/>
          <w:pgSz w:w="11910" w:h="16840"/>
          <w:pgMar w:top="1360" w:bottom="280" w:left="1200" w:right="1000"/>
          <w:cols w:num="2" w:equalWidth="0">
            <w:col w:w="1165" w:space="40"/>
            <w:col w:w="8505"/>
          </w:cols>
        </w:sectPr>
      </w:pPr>
    </w:p>
    <w:p>
      <w:pPr>
        <w:pStyle w:val="Heading5"/>
        <w:rPr>
          <w:i/>
        </w:rPr>
      </w:pPr>
      <w:r>
        <w:rPr>
          <w:i/>
        </w:rPr>
        <w:t>reliability and emergency reserve trader (RERT)</w:t>
      </w:r>
    </w:p>
    <w:p>
      <w:pPr>
        <w:pStyle w:val="BodyText"/>
        <w:ind w:left="1352" w:right="415" w:firstLine="0"/>
      </w:pPr>
      <w:r>
        <w:rPr/>
        <w:t>The actions taken by </w:t>
      </w:r>
      <w:r>
        <w:rPr>
          <w:i/>
        </w:rPr>
        <w:t>AEMO </w:t>
      </w:r>
      <w:r>
        <w:rPr/>
        <w:t>as referred to in clause 3.20.2, in accordance with rule 3.20, to ensure reliability of</w:t>
      </w:r>
      <w:r>
        <w:rPr>
          <w:spacing w:val="-2"/>
        </w:rPr>
        <w:t> </w:t>
      </w:r>
      <w:r>
        <w:rPr>
          <w:i/>
        </w:rPr>
        <w:t>supply</w:t>
      </w:r>
      <w:r>
        <w:rPr/>
        <w:t>.</w:t>
      </w:r>
    </w:p>
    <w:p>
      <w:pPr>
        <w:pStyle w:val="Heading5"/>
        <w:rPr>
          <w:i/>
        </w:rPr>
      </w:pPr>
      <w:r>
        <w:rPr>
          <w:i/>
        </w:rPr>
        <w:t>reliability augmentation</w:t>
      </w:r>
    </w:p>
    <w:p>
      <w:pPr>
        <w:spacing w:before="120"/>
        <w:ind w:left="1352" w:right="416" w:firstLine="0"/>
        <w:jc w:val="both"/>
        <w:rPr>
          <w:sz w:val="24"/>
        </w:rPr>
      </w:pPr>
      <w:r>
        <w:rPr>
          <w:sz w:val="24"/>
        </w:rPr>
        <w:t>A </w:t>
      </w:r>
      <w:r>
        <w:rPr>
          <w:i/>
          <w:sz w:val="24"/>
        </w:rPr>
        <w:t>transmission network augmentation </w:t>
      </w:r>
      <w:r>
        <w:rPr>
          <w:sz w:val="24"/>
        </w:rPr>
        <w:t>that is necessitated principally by inability to meet the minimum </w:t>
      </w:r>
      <w:r>
        <w:rPr>
          <w:i/>
          <w:sz w:val="24"/>
        </w:rPr>
        <w:t>network </w:t>
      </w:r>
      <w:r>
        <w:rPr>
          <w:sz w:val="24"/>
        </w:rPr>
        <w:t>performance requirements set out in schedule 5.1  or in relevant legislation, regulations or any statutory instrument of a </w:t>
      </w:r>
      <w:r>
        <w:rPr>
          <w:i/>
          <w:sz w:val="24"/>
        </w:rPr>
        <w:t>participating </w:t>
      </w:r>
      <w:r>
        <w:rPr>
          <w:i/>
          <w:sz w:val="24"/>
        </w:rPr>
        <w:t>jurisdiction</w:t>
      </w:r>
      <w:r>
        <w:rPr>
          <w:sz w:val="24"/>
        </w:rPr>
        <w:t>.</w:t>
      </w:r>
    </w:p>
    <w:p>
      <w:pPr>
        <w:pStyle w:val="Heading5"/>
        <w:rPr>
          <w:i/>
        </w:rPr>
      </w:pPr>
      <w:r>
        <w:rPr>
          <w:i/>
        </w:rPr>
        <w:t>reliability forecast</w:t>
      </w:r>
    </w:p>
    <w:p>
      <w:pPr>
        <w:spacing w:before="120"/>
        <w:ind w:left="1352" w:right="414" w:firstLine="0"/>
        <w:jc w:val="both"/>
        <w:rPr>
          <w:sz w:val="24"/>
        </w:rPr>
      </w:pPr>
      <w:r>
        <w:rPr>
          <w:sz w:val="24"/>
        </w:rPr>
        <w:t>For a </w:t>
      </w:r>
      <w:r>
        <w:rPr>
          <w:i/>
          <w:sz w:val="24"/>
        </w:rPr>
        <w:t>region </w:t>
      </w:r>
      <w:r>
        <w:rPr>
          <w:sz w:val="24"/>
        </w:rPr>
        <w:t>for a </w:t>
      </w:r>
      <w:r>
        <w:rPr>
          <w:i/>
          <w:sz w:val="24"/>
        </w:rPr>
        <w:t>financial year</w:t>
      </w:r>
      <w:r>
        <w:rPr>
          <w:sz w:val="24"/>
        </w:rPr>
        <w:t>, means the forecast of whether there is </w:t>
      </w:r>
      <w:r>
        <w:rPr>
          <w:i/>
          <w:sz w:val="24"/>
        </w:rPr>
        <w:t>forecast </w:t>
      </w:r>
      <w:r>
        <w:rPr>
          <w:i/>
          <w:sz w:val="24"/>
        </w:rPr>
        <w:t>reliability gap </w:t>
      </w:r>
      <w:r>
        <w:rPr>
          <w:sz w:val="24"/>
        </w:rPr>
        <w:t>for that </w:t>
      </w:r>
      <w:r>
        <w:rPr>
          <w:i/>
          <w:sz w:val="24"/>
        </w:rPr>
        <w:t>region </w:t>
      </w:r>
      <w:r>
        <w:rPr>
          <w:sz w:val="24"/>
        </w:rPr>
        <w:t>in that year and, when used in reference to a </w:t>
      </w:r>
      <w:r>
        <w:rPr>
          <w:i/>
          <w:sz w:val="24"/>
        </w:rPr>
        <w:t>statement of opportunities</w:t>
      </w:r>
      <w:r>
        <w:rPr>
          <w:sz w:val="24"/>
        </w:rPr>
        <w:t>, means the forecast for the </w:t>
      </w:r>
      <w:r>
        <w:rPr>
          <w:i/>
          <w:sz w:val="24"/>
        </w:rPr>
        <w:t>financial year </w:t>
      </w:r>
      <w:r>
        <w:rPr>
          <w:sz w:val="24"/>
        </w:rPr>
        <w:t>in which the </w:t>
      </w:r>
      <w:r>
        <w:rPr>
          <w:i/>
          <w:sz w:val="24"/>
        </w:rPr>
        <w:t>statement of opportunities </w:t>
      </w:r>
      <w:r>
        <w:rPr>
          <w:sz w:val="24"/>
        </w:rPr>
        <w:t>is </w:t>
      </w:r>
      <w:r>
        <w:rPr>
          <w:i/>
          <w:sz w:val="24"/>
        </w:rPr>
        <w:t>published </w:t>
      </w:r>
      <w:r>
        <w:rPr>
          <w:sz w:val="24"/>
        </w:rPr>
        <w:t>and the subsequent four </w:t>
      </w:r>
      <w:r>
        <w:rPr>
          <w:i/>
          <w:sz w:val="24"/>
        </w:rPr>
        <w:t>financial years </w:t>
      </w:r>
      <w:r>
        <w:rPr>
          <w:sz w:val="24"/>
        </w:rPr>
        <w:t>in that </w:t>
      </w:r>
      <w:r>
        <w:rPr>
          <w:i/>
          <w:sz w:val="24"/>
        </w:rPr>
        <w:t>statement of opportunities</w:t>
      </w:r>
      <w:r>
        <w:rPr>
          <w:sz w:val="24"/>
        </w:rPr>
        <w:t>. A </w:t>
      </w:r>
      <w:r>
        <w:rPr>
          <w:i/>
          <w:sz w:val="24"/>
        </w:rPr>
        <w:t>reliability forecast </w:t>
      </w:r>
      <w:r>
        <w:rPr>
          <w:sz w:val="24"/>
        </w:rPr>
        <w:t>includes an updated </w:t>
      </w:r>
      <w:r>
        <w:rPr>
          <w:i/>
          <w:sz w:val="24"/>
        </w:rPr>
        <w:t>reliability forecast </w:t>
      </w:r>
      <w:r>
        <w:rPr>
          <w:sz w:val="24"/>
        </w:rPr>
        <w:t>under clause 3.13.3A(b).</w:t>
      </w:r>
    </w:p>
    <w:p>
      <w:pPr>
        <w:pStyle w:val="Heading5"/>
        <w:rPr>
          <w:i/>
        </w:rPr>
      </w:pPr>
      <w:r>
        <w:rPr>
          <w:i/>
        </w:rPr>
        <w:t>Reliability Forecast Guidelines</w:t>
      </w:r>
    </w:p>
    <w:p>
      <w:pPr>
        <w:pStyle w:val="BodyText"/>
        <w:ind w:left="1352" w:firstLine="0"/>
      </w:pPr>
      <w:r>
        <w:rPr/>
        <w:t>The guidelines made by </w:t>
      </w:r>
      <w:r>
        <w:rPr>
          <w:i/>
        </w:rPr>
        <w:t>AEMO </w:t>
      </w:r>
      <w:r>
        <w:rPr/>
        <w:t>under clause 4A.B.4.</w:t>
      </w:r>
    </w:p>
    <w:p>
      <w:pPr>
        <w:pStyle w:val="Heading5"/>
        <w:rPr>
          <w:i/>
        </w:rPr>
      </w:pPr>
      <w:r>
        <w:rPr>
          <w:i/>
        </w:rPr>
        <w:t>reliability gap period</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Reliability Panel</w:t>
      </w:r>
    </w:p>
    <w:p>
      <w:pPr>
        <w:spacing w:before="120"/>
        <w:ind w:left="1352" w:right="415" w:firstLine="0"/>
        <w:jc w:val="both"/>
        <w:rPr>
          <w:sz w:val="24"/>
        </w:rPr>
      </w:pPr>
      <w:r>
        <w:rPr>
          <w:sz w:val="24"/>
        </w:rPr>
        <w:t>The panel established by the </w:t>
      </w:r>
      <w:r>
        <w:rPr>
          <w:i/>
          <w:sz w:val="24"/>
        </w:rPr>
        <w:t>AEMC </w:t>
      </w:r>
      <w:r>
        <w:rPr>
          <w:sz w:val="24"/>
        </w:rPr>
        <w:t>under section 38 of the </w:t>
      </w:r>
      <w:r>
        <w:rPr>
          <w:i/>
          <w:sz w:val="24"/>
        </w:rPr>
        <w:t>National Electricity </w:t>
      </w:r>
      <w:r>
        <w:rPr>
          <w:i/>
          <w:sz w:val="24"/>
        </w:rPr>
        <w:t>Law</w:t>
      </w:r>
      <w:r>
        <w:rPr>
          <w:sz w:val="24"/>
        </w:rPr>
        <w:t>.</w:t>
      </w:r>
    </w:p>
    <w:p>
      <w:pPr>
        <w:pStyle w:val="Heading5"/>
        <w:rPr>
          <w:i/>
        </w:rPr>
      </w:pPr>
      <w:r>
        <w:rPr>
          <w:i/>
        </w:rPr>
        <w:t>reliability settings</w:t>
      </w:r>
    </w:p>
    <w:p>
      <w:pPr>
        <w:pStyle w:val="BodyText"/>
        <w:ind w:left="1352" w:firstLine="0"/>
        <w:jc w:val="left"/>
      </w:pPr>
      <w:r>
        <w:rPr/>
        <w:t>The following market settings:</w:t>
      </w:r>
    </w:p>
    <w:p>
      <w:pPr>
        <w:pStyle w:val="ListParagraph"/>
        <w:numPr>
          <w:ilvl w:val="0"/>
          <w:numId w:val="80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market price</w:t>
      </w:r>
      <w:r>
        <w:rPr>
          <w:i/>
          <w:spacing w:val="-2"/>
          <w:sz w:val="24"/>
        </w:rPr>
        <w:t> </w:t>
      </w:r>
      <w:r>
        <w:rPr>
          <w:i/>
          <w:sz w:val="24"/>
        </w:rPr>
        <w:t>cap</w:t>
      </w:r>
      <w:r>
        <w:rPr>
          <w:sz w:val="24"/>
        </w:rPr>
        <w:t>;</w:t>
      </w:r>
    </w:p>
    <w:p>
      <w:pPr>
        <w:pStyle w:val="ListParagraph"/>
        <w:numPr>
          <w:ilvl w:val="0"/>
          <w:numId w:val="80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cumulative price</w:t>
      </w:r>
      <w:r>
        <w:rPr>
          <w:i/>
          <w:spacing w:val="-1"/>
          <w:sz w:val="24"/>
        </w:rPr>
        <w:t> </w:t>
      </w:r>
      <w:r>
        <w:rPr>
          <w:i/>
          <w:sz w:val="24"/>
        </w:rPr>
        <w:t>threshold</w:t>
      </w:r>
      <w:r>
        <w:rPr>
          <w:sz w:val="24"/>
        </w:rPr>
        <w:t>;</w:t>
      </w:r>
    </w:p>
    <w:p>
      <w:pPr>
        <w:pStyle w:val="ListParagraph"/>
        <w:numPr>
          <w:ilvl w:val="0"/>
          <w:numId w:val="80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market floor price</w:t>
      </w:r>
      <w:r>
        <w:rPr>
          <w:sz w:val="24"/>
        </w:rPr>
        <w:t>;</w:t>
      </w:r>
      <w:r>
        <w:rPr>
          <w:spacing w:val="-3"/>
          <w:sz w:val="24"/>
        </w:rPr>
        <w:t> </w:t>
      </w:r>
      <w:r>
        <w:rPr>
          <w:sz w:val="24"/>
        </w:rPr>
        <w:t>and</w:t>
      </w:r>
    </w:p>
    <w:p>
      <w:pPr>
        <w:pStyle w:val="ListParagraph"/>
        <w:numPr>
          <w:ilvl w:val="0"/>
          <w:numId w:val="804"/>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administered price</w:t>
      </w:r>
      <w:r>
        <w:rPr>
          <w:i/>
          <w:spacing w:val="-1"/>
          <w:sz w:val="24"/>
        </w:rPr>
        <w:t> </w:t>
      </w:r>
      <w:r>
        <w:rPr>
          <w:i/>
          <w:sz w:val="24"/>
        </w:rPr>
        <w:t>cap</w:t>
      </w:r>
      <w:r>
        <w:rPr>
          <w:sz w:val="24"/>
        </w:rPr>
        <w:t>.</w:t>
      </w:r>
    </w:p>
    <w:p>
      <w:pPr>
        <w:spacing w:after="0" w:line="240" w:lineRule="auto"/>
        <w:jc w:val="left"/>
        <w:rPr>
          <w:sz w:val="24"/>
        </w:rPr>
        <w:sectPr>
          <w:type w:val="continuous"/>
          <w:pgSz w:w="11910" w:h="16840"/>
          <w:pgMar w:top="1360" w:bottom="280" w:left="1200" w:right="1000"/>
        </w:sectPr>
      </w:pPr>
    </w:p>
    <w:p>
      <w:pPr>
        <w:pStyle w:val="Heading5"/>
        <w:spacing w:before="83"/>
        <w:rPr>
          <w:i/>
        </w:rPr>
      </w:pPr>
      <w:r>
        <w:rPr>
          <w:i/>
        </w:rPr>
        <w:t>reliability standard</w:t>
      </w:r>
    </w:p>
    <w:p>
      <w:pPr>
        <w:pStyle w:val="BodyText"/>
        <w:ind w:left="1352" w:firstLine="0"/>
      </w:pPr>
      <w:r>
        <w:rPr/>
        <w:t>The standard specified in clause 3.9.3C.</w:t>
      </w:r>
    </w:p>
    <w:p>
      <w:pPr>
        <w:pStyle w:val="Heading5"/>
        <w:rPr>
          <w:i/>
        </w:rPr>
      </w:pPr>
      <w:r>
        <w:rPr>
          <w:i/>
        </w:rPr>
        <w:t>reliability standard and settings guidelines</w:t>
      </w:r>
    </w:p>
    <w:p>
      <w:pPr>
        <w:pStyle w:val="BodyText"/>
        <w:ind w:left="1352" w:firstLine="0"/>
      </w:pPr>
      <w:r>
        <w:rPr/>
        <w:t>The guidelines developed under clause 3.9.3A(a).</w:t>
      </w:r>
    </w:p>
    <w:p>
      <w:pPr>
        <w:pStyle w:val="Heading5"/>
        <w:rPr>
          <w:i/>
        </w:rPr>
      </w:pPr>
      <w:r>
        <w:rPr>
          <w:i/>
        </w:rPr>
        <w:t>reliability standard and settings review</w:t>
      </w:r>
    </w:p>
    <w:p>
      <w:pPr>
        <w:spacing w:before="120"/>
        <w:ind w:left="1352" w:right="415" w:firstLine="0"/>
        <w:jc w:val="both"/>
        <w:rPr>
          <w:sz w:val="24"/>
        </w:rPr>
      </w:pPr>
      <w:r>
        <w:rPr>
          <w:sz w:val="24"/>
        </w:rPr>
        <w:t>A review of the </w:t>
      </w:r>
      <w:r>
        <w:rPr>
          <w:i/>
          <w:sz w:val="24"/>
        </w:rPr>
        <w:t>reliability standard </w:t>
      </w:r>
      <w:r>
        <w:rPr>
          <w:sz w:val="24"/>
        </w:rPr>
        <w:t>and the </w:t>
      </w:r>
      <w:r>
        <w:rPr>
          <w:i/>
          <w:sz w:val="24"/>
        </w:rPr>
        <w:t>reliability settings</w:t>
      </w:r>
      <w:r>
        <w:rPr>
          <w:sz w:val="24"/>
        </w:rPr>
        <w:t>, including the manner of indexing the </w:t>
      </w:r>
      <w:r>
        <w:rPr>
          <w:i/>
          <w:sz w:val="24"/>
        </w:rPr>
        <w:t>market price cap </w:t>
      </w:r>
      <w:r>
        <w:rPr>
          <w:sz w:val="24"/>
        </w:rPr>
        <w:t>and the </w:t>
      </w:r>
      <w:r>
        <w:rPr>
          <w:i/>
          <w:sz w:val="24"/>
        </w:rPr>
        <w:t>cumulative price threshold</w:t>
      </w:r>
      <w:r>
        <w:rPr>
          <w:sz w:val="24"/>
        </w:rPr>
        <w:t>, conducted in accordance with clause 3.9.3A.</w:t>
      </w:r>
    </w:p>
    <w:p>
      <w:pPr>
        <w:pStyle w:val="Heading5"/>
        <w:rPr>
          <w:i/>
        </w:rPr>
      </w:pPr>
      <w:r>
        <w:rPr>
          <w:i/>
        </w:rPr>
        <w:t>reliability standard implementation guidelines</w:t>
      </w:r>
    </w:p>
    <w:p>
      <w:pPr>
        <w:pStyle w:val="BodyText"/>
        <w:ind w:left="1352" w:firstLine="0"/>
      </w:pPr>
      <w:r>
        <w:rPr/>
        <w:t>The guidelines developed under clause 3.9.3D.</w:t>
      </w:r>
    </w:p>
    <w:p>
      <w:pPr>
        <w:spacing w:after="0"/>
        <w:sectPr>
          <w:pgSz w:w="11910" w:h="16840"/>
          <w:pgMar w:header="686" w:footer="637" w:top="1320" w:bottom="820" w:left="1200" w:right="1000"/>
        </w:sectPr>
      </w:pPr>
    </w:p>
    <w:p>
      <w:pPr>
        <w:pStyle w:val="Heading5"/>
        <w:jc w:val="left"/>
        <w:rPr>
          <w:i/>
        </w:rPr>
      </w:pPr>
      <w:r>
        <w:rPr>
          <w:i/>
        </w:rPr>
        <w:t>reliable</w:t>
      </w:r>
    </w:p>
    <w:p>
      <w:pPr>
        <w:pStyle w:val="BodyText"/>
        <w:spacing w:before="0"/>
        <w:ind w:firstLine="0"/>
        <w:jc w:val="left"/>
        <w:rPr>
          <w:b/>
          <w:i/>
          <w:sz w:val="26"/>
        </w:rPr>
      </w:pPr>
      <w:r>
        <w:rPr/>
        <w:br w:type="column"/>
      </w:r>
      <w:r>
        <w:rPr>
          <w:b/>
          <w:i/>
          <w:sz w:val="26"/>
        </w:rPr>
      </w:r>
    </w:p>
    <w:p>
      <w:pPr>
        <w:pStyle w:val="BodyText"/>
        <w:spacing w:before="217"/>
        <w:ind w:left="218" w:right="474" w:firstLine="0"/>
        <w:jc w:val="left"/>
      </w:pPr>
      <w:r>
        <w:rPr/>
        <w:t>The expression of a recognised degree of confidence in the certainty of an event or action occurring when</w:t>
      </w:r>
      <w:r>
        <w:rPr>
          <w:spacing w:val="-2"/>
        </w:rPr>
        <w:t> </w:t>
      </w:r>
      <w:r>
        <w:rPr/>
        <w:t>expected.</w:t>
      </w:r>
    </w:p>
    <w:p>
      <w:pPr>
        <w:spacing w:after="0"/>
        <w:jc w:val="left"/>
        <w:sectPr>
          <w:type w:val="continuous"/>
          <w:pgSz w:w="11910" w:h="16840"/>
          <w:pgMar w:top="1360" w:bottom="280" w:left="1200" w:right="1000"/>
          <w:cols w:num="2" w:equalWidth="0">
            <w:col w:w="1005" w:space="129"/>
            <w:col w:w="8576"/>
          </w:cols>
        </w:sectPr>
      </w:pPr>
    </w:p>
    <w:p>
      <w:pPr>
        <w:pStyle w:val="Heading5"/>
        <w:rPr>
          <w:i/>
        </w:rPr>
      </w:pPr>
      <w:r>
        <w:rPr>
          <w:i/>
        </w:rPr>
        <w:t>reliable operating state</w:t>
      </w:r>
    </w:p>
    <w:p>
      <w:pPr>
        <w:pStyle w:val="BodyText"/>
        <w:ind w:left="1352" w:firstLine="0"/>
      </w:pPr>
      <w:r>
        <w:rPr/>
        <w:t>In relation to the </w:t>
      </w:r>
      <w:r>
        <w:rPr>
          <w:i/>
        </w:rPr>
        <w:t>power system</w:t>
      </w:r>
      <w:r>
        <w:rPr/>
        <w:t>, has the meaning set out in clause 4.2.7.</w:t>
      </w:r>
    </w:p>
    <w:p>
      <w:pPr>
        <w:pStyle w:val="Heading5"/>
        <w:rPr>
          <w:i/>
        </w:rPr>
      </w:pPr>
      <w:r>
        <w:rPr>
          <w:i/>
        </w:rPr>
        <w:t>remote acquisition</w:t>
      </w:r>
    </w:p>
    <w:p>
      <w:pPr>
        <w:spacing w:before="120"/>
        <w:ind w:left="1352" w:right="0" w:firstLine="0"/>
        <w:jc w:val="both"/>
        <w:rPr>
          <w:i/>
          <w:sz w:val="24"/>
        </w:rPr>
      </w:pPr>
      <w:r>
        <w:rPr>
          <w:sz w:val="24"/>
        </w:rPr>
        <w:t>The acquisition of </w:t>
      </w:r>
      <w:r>
        <w:rPr>
          <w:i/>
          <w:sz w:val="24"/>
        </w:rPr>
        <w:t>interval metering data </w:t>
      </w:r>
      <w:r>
        <w:rPr>
          <w:sz w:val="24"/>
        </w:rPr>
        <w:t>from a </w:t>
      </w:r>
      <w:r>
        <w:rPr>
          <w:i/>
          <w:sz w:val="24"/>
        </w:rPr>
        <w:t>telecommunications network</w:t>
      </w:r>
    </w:p>
    <w:p>
      <w:pPr>
        <w:spacing w:before="0"/>
        <w:ind w:left="1352" w:right="0" w:firstLine="0"/>
        <w:jc w:val="both"/>
        <w:rPr>
          <w:sz w:val="24"/>
        </w:rPr>
      </w:pPr>
      <w:r>
        <w:rPr>
          <w:sz w:val="24"/>
        </w:rPr>
        <w:t>connected to a </w:t>
      </w:r>
      <w:r>
        <w:rPr>
          <w:i/>
          <w:sz w:val="24"/>
        </w:rPr>
        <w:t>metering installation </w:t>
      </w:r>
      <w:r>
        <w:rPr>
          <w:sz w:val="24"/>
        </w:rPr>
        <w:t>that:</w:t>
      </w:r>
    </w:p>
    <w:p>
      <w:pPr>
        <w:pStyle w:val="ListParagraph"/>
        <w:numPr>
          <w:ilvl w:val="0"/>
          <w:numId w:val="805"/>
        </w:numPr>
        <w:tabs>
          <w:tab w:pos="1919" w:val="left" w:leader="none"/>
        </w:tabs>
        <w:spacing w:line="240" w:lineRule="auto" w:before="120" w:after="0"/>
        <w:ind w:left="1919" w:right="414" w:hanging="567"/>
        <w:jc w:val="both"/>
        <w:rPr>
          <w:sz w:val="24"/>
        </w:rPr>
      </w:pPr>
      <w:r>
        <w:rPr>
          <w:sz w:val="24"/>
        </w:rPr>
        <w:t>does not, at any time, require the presence of a person at, or near, </w:t>
      </w:r>
      <w:r>
        <w:rPr>
          <w:spacing w:val="-4"/>
          <w:sz w:val="24"/>
        </w:rPr>
        <w:t>the </w:t>
      </w:r>
      <w:r>
        <w:rPr>
          <w:sz w:val="24"/>
        </w:rPr>
        <w:t>interval </w:t>
      </w:r>
      <w:r>
        <w:rPr>
          <w:i/>
          <w:sz w:val="24"/>
        </w:rPr>
        <w:t>metering installation </w:t>
      </w:r>
      <w:r>
        <w:rPr>
          <w:sz w:val="24"/>
        </w:rPr>
        <w:t>for the purposes of data collection or data verification (whether this occurs manually as a walk-by reading or through the use of a vehicle as a close proximity drive-by reading);</w:t>
      </w:r>
      <w:r>
        <w:rPr>
          <w:spacing w:val="-2"/>
          <w:sz w:val="24"/>
        </w:rPr>
        <w:t> </w:t>
      </w:r>
      <w:r>
        <w:rPr>
          <w:sz w:val="24"/>
        </w:rPr>
        <w:t>and</w:t>
      </w:r>
    </w:p>
    <w:p>
      <w:pPr>
        <w:pStyle w:val="ListParagraph"/>
        <w:numPr>
          <w:ilvl w:val="0"/>
          <w:numId w:val="805"/>
        </w:numPr>
        <w:tabs>
          <w:tab w:pos="1919" w:val="left" w:leader="none"/>
        </w:tabs>
        <w:spacing w:line="240" w:lineRule="auto" w:before="120" w:after="0"/>
        <w:ind w:left="1918" w:right="0" w:hanging="567"/>
        <w:jc w:val="both"/>
        <w:rPr>
          <w:sz w:val="24"/>
        </w:rPr>
      </w:pPr>
      <w:r>
        <w:rPr>
          <w:sz w:val="24"/>
        </w:rPr>
        <w:t>includes but is not limited to methods that transmit data</w:t>
      </w:r>
      <w:r>
        <w:rPr>
          <w:spacing w:val="-3"/>
          <w:sz w:val="24"/>
        </w:rPr>
        <w:t> </w:t>
      </w:r>
      <w:r>
        <w:rPr>
          <w:sz w:val="24"/>
        </w:rPr>
        <w:t>via:</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fixed-line telephone ('direct</w:t>
      </w:r>
      <w:r>
        <w:rPr>
          <w:spacing w:val="-2"/>
          <w:sz w:val="24"/>
        </w:rPr>
        <w:t> </w:t>
      </w:r>
      <w:r>
        <w:rPr>
          <w:sz w:val="24"/>
        </w:rPr>
        <w:t>dial-up');</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satellite;</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the internet;</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wireless or radio, including mobile telephone</w:t>
      </w:r>
      <w:r>
        <w:rPr>
          <w:spacing w:val="-1"/>
          <w:sz w:val="24"/>
        </w:rPr>
        <w:t> </w:t>
      </w:r>
      <w:r>
        <w:rPr>
          <w:sz w:val="24"/>
        </w:rPr>
        <w:t>networks;</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power line carrier;</w:t>
      </w:r>
      <w:r>
        <w:rPr>
          <w:spacing w:val="-1"/>
          <w:sz w:val="24"/>
        </w:rPr>
        <w:t> </w:t>
      </w:r>
      <w:r>
        <w:rPr>
          <w:sz w:val="24"/>
        </w:rPr>
        <w:t>or</w:t>
      </w:r>
    </w:p>
    <w:p>
      <w:pPr>
        <w:pStyle w:val="ListParagraph"/>
        <w:numPr>
          <w:ilvl w:val="1"/>
          <w:numId w:val="805"/>
        </w:numPr>
        <w:tabs>
          <w:tab w:pos="2485" w:val="left" w:leader="none"/>
          <w:tab w:pos="2486" w:val="left" w:leader="none"/>
        </w:tabs>
        <w:spacing w:line="240" w:lineRule="auto" w:before="120" w:after="0"/>
        <w:ind w:left="2485" w:right="0" w:hanging="567"/>
        <w:jc w:val="left"/>
        <w:rPr>
          <w:sz w:val="24"/>
        </w:rPr>
      </w:pPr>
      <w:r>
        <w:rPr>
          <w:sz w:val="24"/>
        </w:rPr>
        <w:t>any other equivalent</w:t>
      </w:r>
      <w:r>
        <w:rPr>
          <w:spacing w:val="-1"/>
          <w:sz w:val="24"/>
        </w:rPr>
        <w:t> </w:t>
      </w:r>
      <w:r>
        <w:rPr>
          <w:sz w:val="24"/>
        </w:rPr>
        <w:t>technology.</w:t>
      </w:r>
    </w:p>
    <w:p>
      <w:pPr>
        <w:spacing w:before="120"/>
        <w:ind w:left="2486" w:right="0" w:firstLine="0"/>
        <w:jc w:val="left"/>
        <w:rPr>
          <w:rFonts w:ascii="Arial"/>
          <w:b/>
          <w:sz w:val="20"/>
        </w:rPr>
      </w:pPr>
      <w:r>
        <w:rPr>
          <w:rFonts w:ascii="Arial"/>
          <w:b/>
          <w:sz w:val="20"/>
        </w:rPr>
        <w:t>Note:</w:t>
      </w:r>
    </w:p>
    <w:p>
      <w:pPr>
        <w:spacing w:before="120"/>
        <w:ind w:left="2486" w:right="565" w:firstLine="0"/>
        <w:jc w:val="left"/>
        <w:rPr>
          <w:sz w:val="20"/>
        </w:rPr>
      </w:pPr>
      <w:r>
        <w:rPr>
          <w:sz w:val="20"/>
        </w:rPr>
        <w:t>For the requirements of clause 7.8.9(b) </w:t>
      </w:r>
      <w:r>
        <w:rPr>
          <w:i/>
          <w:sz w:val="20"/>
        </w:rPr>
        <w:t>remote acquisition </w:t>
      </w:r>
      <w:r>
        <w:rPr>
          <w:sz w:val="20"/>
        </w:rPr>
        <w:t>may collect data other than </w:t>
      </w:r>
      <w:r>
        <w:rPr>
          <w:i/>
          <w:sz w:val="20"/>
        </w:rPr>
        <w:t>interval metering data</w:t>
      </w:r>
      <w:r>
        <w:rPr>
          <w:sz w:val="20"/>
        </w:rPr>
        <w:t>.</w:t>
      </w:r>
    </w:p>
    <w:p>
      <w:pPr>
        <w:pStyle w:val="Heading5"/>
        <w:jc w:val="left"/>
        <w:rPr>
          <w:i/>
        </w:rPr>
      </w:pPr>
      <w:r>
        <w:rPr>
          <w:i/>
        </w:rPr>
        <w:t>remote control equipment</w:t>
      </w:r>
    </w:p>
    <w:p>
      <w:pPr>
        <w:pStyle w:val="BodyText"/>
        <w:ind w:left="1352" w:firstLine="0"/>
        <w:jc w:val="left"/>
      </w:pPr>
      <w:r>
        <w:rPr/>
        <w:t>Equipment used to control the operation of elements of a </w:t>
      </w:r>
      <w:r>
        <w:rPr>
          <w:i/>
        </w:rPr>
        <w:t>power station </w:t>
      </w:r>
      <w:r>
        <w:rPr/>
        <w:t>or</w:t>
      </w:r>
    </w:p>
    <w:p>
      <w:pPr>
        <w:spacing w:before="0"/>
        <w:ind w:left="1352" w:right="0" w:firstLine="0"/>
        <w:jc w:val="left"/>
        <w:rPr>
          <w:sz w:val="24"/>
        </w:rPr>
      </w:pPr>
      <w:r>
        <w:rPr>
          <w:i/>
          <w:sz w:val="24"/>
        </w:rPr>
        <w:t>substation </w:t>
      </w:r>
      <w:r>
        <w:rPr>
          <w:sz w:val="24"/>
        </w:rPr>
        <w:t>from a </w:t>
      </w:r>
      <w:r>
        <w:rPr>
          <w:i/>
          <w:sz w:val="24"/>
        </w:rPr>
        <w:t>control centre</w:t>
      </w:r>
      <w:r>
        <w:rPr>
          <w:sz w:val="24"/>
        </w:rPr>
        <w:t>.</w:t>
      </w:r>
    </w:p>
    <w:p>
      <w:pPr>
        <w:pStyle w:val="Heading5"/>
        <w:jc w:val="left"/>
        <w:rPr>
          <w:i/>
        </w:rPr>
      </w:pPr>
      <w:r>
        <w:rPr>
          <w:i/>
        </w:rPr>
        <w:t>remote monitoring equipment</w:t>
      </w:r>
    </w:p>
    <w:p>
      <w:pPr>
        <w:spacing w:before="120"/>
        <w:ind w:left="1352" w:right="0" w:firstLine="0"/>
        <w:jc w:val="left"/>
        <w:rPr>
          <w:sz w:val="24"/>
        </w:rPr>
      </w:pPr>
      <w:r>
        <w:rPr>
          <w:sz w:val="24"/>
        </w:rPr>
        <w:t>Equipment installed to enable monitoring of a </w:t>
      </w:r>
      <w:r>
        <w:rPr>
          <w:i/>
          <w:sz w:val="24"/>
        </w:rPr>
        <w:t>facility </w:t>
      </w:r>
      <w:r>
        <w:rPr>
          <w:sz w:val="24"/>
        </w:rPr>
        <w:t>from a </w:t>
      </w:r>
      <w:r>
        <w:rPr>
          <w:i/>
          <w:sz w:val="24"/>
        </w:rPr>
        <w:t>control centre</w:t>
      </w:r>
      <w:r>
        <w:rPr>
          <w:sz w:val="24"/>
        </w:rPr>
        <w:t>.</w:t>
      </w:r>
    </w:p>
    <w:p>
      <w:pPr>
        <w:spacing w:after="0"/>
        <w:jc w:val="left"/>
        <w:rPr>
          <w:sz w:val="24"/>
        </w:rPr>
        <w:sectPr>
          <w:type w:val="continuous"/>
          <w:pgSz w:w="11910" w:h="16840"/>
          <w:pgMar w:top="1360" w:bottom="280" w:left="1200" w:right="1000"/>
        </w:sectPr>
      </w:pPr>
    </w:p>
    <w:p>
      <w:pPr>
        <w:pStyle w:val="Heading5"/>
        <w:spacing w:before="83"/>
        <w:jc w:val="left"/>
        <w:rPr>
          <w:i/>
        </w:rPr>
      </w:pPr>
      <w:r>
        <w:rPr>
          <w:i/>
        </w:rPr>
        <w:t>representative</w:t>
      </w:r>
    </w:p>
    <w:p>
      <w:pPr>
        <w:pStyle w:val="BodyText"/>
        <w:ind w:left="1352" w:firstLine="0"/>
        <w:jc w:val="left"/>
      </w:pPr>
      <w:r>
        <w:rPr/>
        <w:t>In relation to a person, any employee, agent or professional adviser of:</w:t>
      </w:r>
    </w:p>
    <w:p>
      <w:pPr>
        <w:pStyle w:val="ListParagraph"/>
        <w:numPr>
          <w:ilvl w:val="0"/>
          <w:numId w:val="806"/>
        </w:numPr>
        <w:tabs>
          <w:tab w:pos="1918" w:val="left" w:leader="none"/>
          <w:tab w:pos="1919" w:val="left" w:leader="none"/>
        </w:tabs>
        <w:spacing w:line="240" w:lineRule="auto" w:before="120" w:after="0"/>
        <w:ind w:left="1918" w:right="0" w:hanging="567"/>
        <w:jc w:val="left"/>
        <w:rPr>
          <w:sz w:val="24"/>
        </w:rPr>
      </w:pPr>
      <w:r>
        <w:rPr>
          <w:sz w:val="24"/>
        </w:rPr>
        <w:t>that person; or</w:t>
      </w:r>
    </w:p>
    <w:p>
      <w:pPr>
        <w:pStyle w:val="ListParagraph"/>
        <w:numPr>
          <w:ilvl w:val="0"/>
          <w:numId w:val="806"/>
        </w:numPr>
        <w:tabs>
          <w:tab w:pos="1918" w:val="left" w:leader="none"/>
          <w:tab w:pos="1919" w:val="left" w:leader="none"/>
        </w:tabs>
        <w:spacing w:line="240" w:lineRule="auto" w:before="120" w:after="0"/>
        <w:ind w:left="1918" w:right="0" w:hanging="567"/>
        <w:jc w:val="left"/>
        <w:rPr>
          <w:sz w:val="24"/>
        </w:rPr>
      </w:pPr>
      <w:r>
        <w:rPr>
          <w:sz w:val="24"/>
        </w:rPr>
        <w:t>a </w:t>
      </w:r>
      <w:r>
        <w:rPr>
          <w:i/>
          <w:sz w:val="24"/>
        </w:rPr>
        <w:t>related body corporate </w:t>
      </w:r>
      <w:r>
        <w:rPr>
          <w:sz w:val="24"/>
        </w:rPr>
        <w:t>of that person;</w:t>
      </w:r>
      <w:r>
        <w:rPr>
          <w:spacing w:val="-3"/>
          <w:sz w:val="24"/>
        </w:rPr>
        <w:t> </w:t>
      </w:r>
      <w:r>
        <w:rPr>
          <w:sz w:val="24"/>
        </w:rPr>
        <w:t>or</w:t>
      </w:r>
    </w:p>
    <w:p>
      <w:pPr>
        <w:pStyle w:val="ListParagraph"/>
        <w:numPr>
          <w:ilvl w:val="0"/>
          <w:numId w:val="806"/>
        </w:numPr>
        <w:tabs>
          <w:tab w:pos="1918" w:val="left" w:leader="none"/>
          <w:tab w:pos="1919" w:val="left" w:leader="none"/>
        </w:tabs>
        <w:spacing w:line="240" w:lineRule="auto" w:before="120" w:after="0"/>
        <w:ind w:left="1918" w:right="0" w:hanging="567"/>
        <w:jc w:val="left"/>
        <w:rPr>
          <w:sz w:val="24"/>
        </w:rPr>
      </w:pPr>
      <w:r>
        <w:rPr>
          <w:sz w:val="24"/>
        </w:rPr>
        <w:t>a third party contractor to that</w:t>
      </w:r>
      <w:r>
        <w:rPr>
          <w:spacing w:val="-1"/>
          <w:sz w:val="24"/>
        </w:rPr>
        <w:t> </w:t>
      </w:r>
      <w:r>
        <w:rPr>
          <w:sz w:val="24"/>
        </w:rPr>
        <w:t>person.</w:t>
      </w:r>
    </w:p>
    <w:p>
      <w:pPr>
        <w:pStyle w:val="Heading5"/>
        <w:jc w:val="left"/>
        <w:rPr>
          <w:i/>
        </w:rPr>
      </w:pPr>
      <w:r>
        <w:rPr>
          <w:i/>
        </w:rPr>
        <w:t>required pass through amount</w:t>
      </w:r>
    </w:p>
    <w:p>
      <w:pPr>
        <w:spacing w:before="120"/>
        <w:ind w:left="1352" w:right="415" w:firstLine="0"/>
        <w:jc w:val="both"/>
        <w:rPr>
          <w:sz w:val="24"/>
        </w:rPr>
      </w:pPr>
      <w:r>
        <w:rPr>
          <w:sz w:val="24"/>
        </w:rPr>
        <w:t>In respect of a </w:t>
      </w:r>
      <w:r>
        <w:rPr>
          <w:i/>
          <w:sz w:val="24"/>
        </w:rPr>
        <w:t>negative change event </w:t>
      </w:r>
      <w:r>
        <w:rPr>
          <w:sz w:val="24"/>
        </w:rPr>
        <w:t>for a </w:t>
      </w:r>
      <w:r>
        <w:rPr>
          <w:i/>
          <w:sz w:val="24"/>
        </w:rPr>
        <w:t>Transmission Network Service </w:t>
      </w:r>
      <w:r>
        <w:rPr>
          <w:i/>
          <w:sz w:val="24"/>
        </w:rPr>
        <w:t>Provider, </w:t>
      </w:r>
      <w:r>
        <w:rPr>
          <w:sz w:val="24"/>
        </w:rPr>
        <w:t>the costs in the provision of </w:t>
      </w:r>
      <w:r>
        <w:rPr>
          <w:i/>
          <w:sz w:val="24"/>
        </w:rPr>
        <w:t>prescribed transmission services </w:t>
      </w:r>
      <w:r>
        <w:rPr>
          <w:sz w:val="24"/>
        </w:rPr>
        <w:t>that, as a result of that </w:t>
      </w:r>
      <w:r>
        <w:rPr>
          <w:i/>
          <w:sz w:val="24"/>
        </w:rPr>
        <w:t>negative change event</w:t>
      </w:r>
      <w:r>
        <w:rPr>
          <w:sz w:val="24"/>
        </w:rPr>
        <w:t>, the </w:t>
      </w:r>
      <w:r>
        <w:rPr>
          <w:i/>
          <w:sz w:val="24"/>
        </w:rPr>
        <w:t>Transmission Network Service Provider </w:t>
      </w:r>
      <w:r>
        <w:rPr>
          <w:sz w:val="24"/>
        </w:rPr>
        <w:t>has saved and is likely to save (as opposed to the revenue impact of that event) until:</w:t>
      </w:r>
    </w:p>
    <w:p>
      <w:pPr>
        <w:pStyle w:val="ListParagraph"/>
        <w:numPr>
          <w:ilvl w:val="0"/>
          <w:numId w:val="807"/>
        </w:numPr>
        <w:tabs>
          <w:tab w:pos="1919" w:val="left" w:leader="none"/>
        </w:tabs>
        <w:spacing w:line="240" w:lineRule="auto" w:before="120" w:after="0"/>
        <w:ind w:left="1919" w:right="415" w:hanging="567"/>
        <w:jc w:val="both"/>
        <w:rPr>
          <w:sz w:val="24"/>
        </w:rPr>
      </w:pPr>
      <w:r>
        <w:rPr>
          <w:sz w:val="24"/>
        </w:rPr>
        <w:t>unless paragraph(b) applies – the end of the </w:t>
      </w:r>
      <w:r>
        <w:rPr>
          <w:i/>
          <w:sz w:val="24"/>
        </w:rPr>
        <w:t>regulatory control period </w:t>
      </w:r>
      <w:r>
        <w:rPr>
          <w:sz w:val="24"/>
        </w:rPr>
        <w:t>in which the </w:t>
      </w:r>
      <w:r>
        <w:rPr>
          <w:i/>
          <w:sz w:val="24"/>
        </w:rPr>
        <w:t>negative change event </w:t>
      </w:r>
      <w:r>
        <w:rPr>
          <w:sz w:val="24"/>
        </w:rPr>
        <w:t>occurred;</w:t>
      </w:r>
      <w:r>
        <w:rPr>
          <w:spacing w:val="-4"/>
          <w:sz w:val="24"/>
        </w:rPr>
        <w:t> </w:t>
      </w:r>
      <w:r>
        <w:rPr>
          <w:sz w:val="24"/>
        </w:rPr>
        <w:t>or</w:t>
      </w:r>
    </w:p>
    <w:p>
      <w:pPr>
        <w:pStyle w:val="ListParagraph"/>
        <w:numPr>
          <w:ilvl w:val="0"/>
          <w:numId w:val="807"/>
        </w:numPr>
        <w:tabs>
          <w:tab w:pos="1919" w:val="left" w:leader="none"/>
        </w:tabs>
        <w:spacing w:line="240" w:lineRule="auto" w:before="120" w:after="0"/>
        <w:ind w:left="1919" w:right="415" w:hanging="567"/>
        <w:jc w:val="both"/>
        <w:rPr>
          <w:sz w:val="24"/>
        </w:rPr>
      </w:pPr>
      <w:r>
        <w:rPr>
          <w:sz w:val="24"/>
        </w:rPr>
        <w:t>if the </w:t>
      </w:r>
      <w:r>
        <w:rPr>
          <w:i/>
          <w:sz w:val="24"/>
        </w:rPr>
        <w:t>transmission determination </w:t>
      </w:r>
      <w:r>
        <w:rPr>
          <w:sz w:val="24"/>
        </w:rPr>
        <w:t>for the </w:t>
      </w:r>
      <w:r>
        <w:rPr>
          <w:i/>
          <w:sz w:val="24"/>
        </w:rPr>
        <w:t>regulatory control period </w:t>
      </w:r>
      <w:r>
        <w:rPr>
          <w:sz w:val="24"/>
        </w:rPr>
        <w:t>following that in which the </w:t>
      </w:r>
      <w:r>
        <w:rPr>
          <w:i/>
          <w:sz w:val="24"/>
        </w:rPr>
        <w:t>negative change event </w:t>
      </w:r>
      <w:r>
        <w:rPr>
          <w:sz w:val="24"/>
        </w:rPr>
        <w:t>occurred does not make any allowance for the pass through of the saved costs (whether or not in the forecast operating expenditure or forecast capital expenditure accepted or substituted by the </w:t>
      </w:r>
      <w:r>
        <w:rPr>
          <w:i/>
          <w:sz w:val="24"/>
        </w:rPr>
        <w:t>AER </w:t>
      </w:r>
      <w:r>
        <w:rPr>
          <w:sz w:val="24"/>
        </w:rPr>
        <w:t>for that </w:t>
      </w:r>
      <w:r>
        <w:rPr>
          <w:i/>
          <w:sz w:val="24"/>
        </w:rPr>
        <w:t>regulatory control period</w:t>
      </w:r>
      <w:r>
        <w:rPr>
          <w:sz w:val="24"/>
        </w:rPr>
        <w:t>) – the end of the </w:t>
      </w:r>
      <w:r>
        <w:rPr>
          <w:i/>
          <w:sz w:val="24"/>
        </w:rPr>
        <w:t>regulatory control period </w:t>
      </w:r>
      <w:r>
        <w:rPr>
          <w:sz w:val="24"/>
        </w:rPr>
        <w:t>following that in which the </w:t>
      </w:r>
      <w:r>
        <w:rPr>
          <w:i/>
          <w:sz w:val="24"/>
        </w:rPr>
        <w:t>negative change event </w:t>
      </w:r>
      <w:r>
        <w:rPr>
          <w:sz w:val="24"/>
        </w:rPr>
        <w:t>occurred.</w:t>
      </w:r>
    </w:p>
    <w:p>
      <w:pPr>
        <w:spacing w:before="120"/>
        <w:ind w:left="1352" w:right="415" w:firstLine="0"/>
        <w:jc w:val="both"/>
        <w:rPr>
          <w:sz w:val="24"/>
        </w:rPr>
      </w:pPr>
      <w:r>
        <w:rPr>
          <w:sz w:val="24"/>
        </w:rPr>
        <w:t>In respect of a </w:t>
      </w:r>
      <w:r>
        <w:rPr>
          <w:i/>
          <w:sz w:val="24"/>
        </w:rPr>
        <w:t>negative change event </w:t>
      </w:r>
      <w:r>
        <w:rPr>
          <w:sz w:val="24"/>
        </w:rPr>
        <w:t>for a </w:t>
      </w:r>
      <w:r>
        <w:rPr>
          <w:i/>
          <w:sz w:val="24"/>
        </w:rPr>
        <w:t>Distribution Network Service Provider</w:t>
      </w:r>
      <w:r>
        <w:rPr>
          <w:sz w:val="24"/>
        </w:rPr>
        <w:t>, the costs in the provision of </w:t>
      </w:r>
      <w:r>
        <w:rPr>
          <w:i/>
          <w:sz w:val="24"/>
        </w:rPr>
        <w:t>direct control services </w:t>
      </w:r>
      <w:r>
        <w:rPr>
          <w:sz w:val="24"/>
        </w:rPr>
        <w:t>that, as a result of the </w:t>
      </w:r>
      <w:r>
        <w:rPr>
          <w:i/>
          <w:sz w:val="24"/>
        </w:rPr>
        <w:t>negative </w:t>
      </w:r>
      <w:r>
        <w:rPr>
          <w:i/>
          <w:sz w:val="24"/>
        </w:rPr>
        <w:t>change event</w:t>
      </w:r>
      <w:r>
        <w:rPr>
          <w:sz w:val="24"/>
        </w:rPr>
        <w:t>, the </w:t>
      </w:r>
      <w:r>
        <w:rPr>
          <w:i/>
          <w:sz w:val="24"/>
        </w:rPr>
        <w:t>Distribution Network Service Provider </w:t>
      </w:r>
      <w:r>
        <w:rPr>
          <w:sz w:val="24"/>
        </w:rPr>
        <w:t>has saved and is likely to save (as opposed to the revenue impact of that event) until:</w:t>
      </w:r>
    </w:p>
    <w:p>
      <w:pPr>
        <w:pStyle w:val="ListParagraph"/>
        <w:numPr>
          <w:ilvl w:val="0"/>
          <w:numId w:val="808"/>
        </w:numPr>
        <w:tabs>
          <w:tab w:pos="1919" w:val="left" w:leader="none"/>
        </w:tabs>
        <w:spacing w:line="240" w:lineRule="auto" w:before="120" w:after="0"/>
        <w:ind w:left="1919" w:right="415" w:hanging="567"/>
        <w:jc w:val="both"/>
        <w:rPr>
          <w:sz w:val="24"/>
        </w:rPr>
      </w:pPr>
      <w:r>
        <w:rPr>
          <w:sz w:val="24"/>
        </w:rPr>
        <w:t>unless paragraph(b) applies – the end of the </w:t>
      </w:r>
      <w:r>
        <w:rPr>
          <w:i/>
          <w:sz w:val="24"/>
        </w:rPr>
        <w:t>regulatory control period </w:t>
      </w:r>
      <w:r>
        <w:rPr>
          <w:sz w:val="24"/>
        </w:rPr>
        <w:t>in which the </w:t>
      </w:r>
      <w:r>
        <w:rPr>
          <w:i/>
          <w:sz w:val="24"/>
        </w:rPr>
        <w:t>negative change event </w:t>
      </w:r>
      <w:r>
        <w:rPr>
          <w:sz w:val="24"/>
        </w:rPr>
        <w:t>occurred;</w:t>
      </w:r>
      <w:r>
        <w:rPr>
          <w:spacing w:val="-4"/>
          <w:sz w:val="24"/>
        </w:rPr>
        <w:t> </w:t>
      </w:r>
      <w:r>
        <w:rPr>
          <w:sz w:val="24"/>
        </w:rPr>
        <w:t>or</w:t>
      </w:r>
    </w:p>
    <w:p>
      <w:pPr>
        <w:pStyle w:val="ListParagraph"/>
        <w:numPr>
          <w:ilvl w:val="0"/>
          <w:numId w:val="808"/>
        </w:numPr>
        <w:tabs>
          <w:tab w:pos="1919" w:val="left" w:leader="none"/>
        </w:tabs>
        <w:spacing w:line="240" w:lineRule="auto" w:before="120" w:after="0"/>
        <w:ind w:left="1919" w:right="414" w:hanging="567"/>
        <w:jc w:val="both"/>
        <w:rPr>
          <w:sz w:val="24"/>
        </w:rPr>
      </w:pPr>
      <w:r>
        <w:rPr>
          <w:sz w:val="24"/>
        </w:rPr>
        <w:t>if the distribution determination for the </w:t>
      </w:r>
      <w:r>
        <w:rPr>
          <w:i/>
          <w:sz w:val="24"/>
        </w:rPr>
        <w:t>regulatory control period </w:t>
      </w:r>
      <w:r>
        <w:rPr>
          <w:sz w:val="24"/>
        </w:rPr>
        <w:t>following that in which the </w:t>
      </w:r>
      <w:r>
        <w:rPr>
          <w:i/>
          <w:sz w:val="24"/>
        </w:rPr>
        <w:t>negative change event </w:t>
      </w:r>
      <w:r>
        <w:rPr>
          <w:sz w:val="24"/>
        </w:rPr>
        <w:t>occurred does not make any allowance for the pass through of the saved costs (whether or not in the forecast operating expenditure or forecast capital expenditure accepted or substituted by the </w:t>
      </w:r>
      <w:r>
        <w:rPr>
          <w:i/>
          <w:sz w:val="24"/>
        </w:rPr>
        <w:t>AER </w:t>
      </w:r>
      <w:r>
        <w:rPr>
          <w:sz w:val="24"/>
        </w:rPr>
        <w:t>for that </w:t>
      </w:r>
      <w:r>
        <w:rPr>
          <w:i/>
          <w:sz w:val="24"/>
        </w:rPr>
        <w:t>regulatory control period</w:t>
      </w:r>
      <w:r>
        <w:rPr>
          <w:sz w:val="24"/>
        </w:rPr>
        <w:t>) – the end of the </w:t>
      </w:r>
      <w:r>
        <w:rPr>
          <w:i/>
          <w:sz w:val="24"/>
        </w:rPr>
        <w:t>regulatory control period </w:t>
      </w:r>
      <w:r>
        <w:rPr>
          <w:sz w:val="24"/>
        </w:rPr>
        <w:t>following that in which the </w:t>
      </w:r>
      <w:r>
        <w:rPr>
          <w:i/>
          <w:sz w:val="24"/>
        </w:rPr>
        <w:t>negative change event </w:t>
      </w:r>
      <w:r>
        <w:rPr>
          <w:sz w:val="24"/>
        </w:rPr>
        <w:t>occurred.</w:t>
      </w:r>
    </w:p>
    <w:p>
      <w:pPr>
        <w:spacing w:before="120"/>
        <w:ind w:left="1352" w:right="415" w:firstLine="0"/>
        <w:jc w:val="both"/>
        <w:rPr>
          <w:sz w:val="24"/>
        </w:rPr>
      </w:pPr>
      <w:r>
        <w:rPr>
          <w:sz w:val="24"/>
        </w:rPr>
        <w:t>In respect of an </w:t>
      </w:r>
      <w:r>
        <w:rPr>
          <w:i/>
          <w:sz w:val="24"/>
        </w:rPr>
        <w:t>NT negative change event </w:t>
      </w:r>
      <w:r>
        <w:rPr>
          <w:sz w:val="24"/>
        </w:rPr>
        <w:t>for a </w:t>
      </w:r>
      <w:r>
        <w:rPr>
          <w:i/>
          <w:sz w:val="24"/>
        </w:rPr>
        <w:t>Distribution Network Service </w:t>
      </w:r>
      <w:r>
        <w:rPr>
          <w:i/>
          <w:sz w:val="24"/>
        </w:rPr>
        <w:t>Provider</w:t>
      </w:r>
      <w:r>
        <w:rPr>
          <w:sz w:val="24"/>
        </w:rPr>
        <w:t>, the costs in the provision of </w:t>
      </w:r>
      <w:r>
        <w:rPr>
          <w:i/>
          <w:sz w:val="24"/>
        </w:rPr>
        <w:t>direct control services </w:t>
      </w:r>
      <w:r>
        <w:rPr>
          <w:sz w:val="24"/>
        </w:rPr>
        <w:t>or </w:t>
      </w:r>
      <w:r>
        <w:rPr>
          <w:i/>
          <w:sz w:val="24"/>
        </w:rPr>
        <w:t>NT equivalent </w:t>
      </w:r>
      <w:r>
        <w:rPr>
          <w:i/>
          <w:sz w:val="24"/>
        </w:rPr>
        <w:t>services </w:t>
      </w:r>
      <w:r>
        <w:rPr>
          <w:sz w:val="24"/>
        </w:rPr>
        <w:t>that, as a result of the </w:t>
      </w:r>
      <w:r>
        <w:rPr>
          <w:i/>
          <w:sz w:val="24"/>
        </w:rPr>
        <w:t>NT negative change event</w:t>
      </w:r>
      <w:r>
        <w:rPr>
          <w:sz w:val="24"/>
        </w:rPr>
        <w:t>, the </w:t>
      </w:r>
      <w:r>
        <w:rPr>
          <w:i/>
          <w:sz w:val="24"/>
        </w:rPr>
        <w:t>Distribution </w:t>
      </w:r>
      <w:r>
        <w:rPr>
          <w:i/>
          <w:sz w:val="24"/>
        </w:rPr>
        <w:t>Network Service Provider </w:t>
      </w:r>
      <w:r>
        <w:rPr>
          <w:sz w:val="24"/>
        </w:rPr>
        <w:t>has saved and is likely to save (as opposed to the revenue impact of that event) until the end of the </w:t>
      </w:r>
      <w:r>
        <w:rPr>
          <w:i/>
          <w:sz w:val="24"/>
        </w:rPr>
        <w:t>1st regulatory control</w:t>
      </w:r>
      <w:r>
        <w:rPr>
          <w:i/>
          <w:spacing w:val="-5"/>
          <w:sz w:val="24"/>
        </w:rPr>
        <w:t> </w:t>
      </w:r>
      <w:r>
        <w:rPr>
          <w:i/>
          <w:sz w:val="24"/>
        </w:rPr>
        <w:t>period</w:t>
      </w:r>
      <w:r>
        <w:rPr>
          <w:sz w:val="24"/>
        </w:rPr>
        <w:t>.</w:t>
      </w:r>
    </w:p>
    <w:p>
      <w:pPr>
        <w:spacing w:before="120"/>
        <w:ind w:left="1352" w:right="0" w:firstLine="0"/>
        <w:jc w:val="left"/>
        <w:rPr>
          <w:rFonts w:ascii="Arial"/>
          <w:b/>
          <w:sz w:val="20"/>
        </w:rPr>
      </w:pPr>
      <w:r>
        <w:rPr>
          <w:rFonts w:ascii="Arial"/>
          <w:b/>
          <w:sz w:val="20"/>
        </w:rPr>
        <w:t>Note:</w:t>
      </w:r>
    </w:p>
    <w:p>
      <w:pPr>
        <w:spacing w:before="120"/>
        <w:ind w:left="1352" w:right="0" w:firstLine="0"/>
        <w:jc w:val="left"/>
        <w:rPr>
          <w:sz w:val="20"/>
        </w:rPr>
      </w:pPr>
      <w:r>
        <w:rPr>
          <w:sz w:val="20"/>
        </w:rPr>
        <w:t>The modification to this definition expires on 1 July 2024.</w:t>
      </w:r>
    </w:p>
    <w:p>
      <w:pPr>
        <w:pStyle w:val="Heading5"/>
        <w:jc w:val="left"/>
        <w:rPr>
          <w:i/>
        </w:rPr>
      </w:pPr>
      <w:r>
        <w:rPr>
          <w:i/>
        </w:rPr>
        <w:t>RERT guidelines</w:t>
      </w:r>
    </w:p>
    <w:p>
      <w:pPr>
        <w:spacing w:before="120"/>
        <w:ind w:left="1352" w:right="565" w:firstLine="0"/>
        <w:jc w:val="left"/>
        <w:rPr>
          <w:sz w:val="24"/>
        </w:rPr>
      </w:pPr>
      <w:r>
        <w:rPr>
          <w:sz w:val="24"/>
        </w:rPr>
        <w:t>The guidelines  developed  and  </w:t>
      </w:r>
      <w:r>
        <w:rPr>
          <w:i/>
          <w:sz w:val="24"/>
        </w:rPr>
        <w:t>published  </w:t>
      </w:r>
      <w:r>
        <w:rPr>
          <w:sz w:val="24"/>
        </w:rPr>
        <w:t>by  the  </w:t>
      </w:r>
      <w:r>
        <w:rPr>
          <w:i/>
          <w:sz w:val="24"/>
        </w:rPr>
        <w:t>Reliability  Panel  </w:t>
      </w:r>
      <w:r>
        <w:rPr>
          <w:sz w:val="24"/>
        </w:rPr>
        <w:t>under clause</w:t>
      </w:r>
      <w:r>
        <w:rPr>
          <w:spacing w:val="-2"/>
          <w:sz w:val="24"/>
        </w:rPr>
        <w:t> </w:t>
      </w:r>
      <w:r>
        <w:rPr>
          <w:sz w:val="24"/>
        </w:rPr>
        <w:t>3.20.8.</w:t>
      </w:r>
    </w:p>
    <w:p>
      <w:pPr>
        <w:spacing w:after="0"/>
        <w:jc w:val="left"/>
        <w:rPr>
          <w:sz w:val="24"/>
        </w:rPr>
        <w:sectPr>
          <w:pgSz w:w="11910" w:h="16840"/>
          <w:pgMar w:header="686" w:footer="637" w:top="1320" w:bottom="820" w:left="1200" w:right="1000"/>
        </w:sectPr>
      </w:pPr>
    </w:p>
    <w:p>
      <w:pPr>
        <w:pStyle w:val="Heading5"/>
        <w:spacing w:before="83"/>
        <w:jc w:val="left"/>
        <w:rPr>
          <w:i/>
        </w:rPr>
      </w:pPr>
      <w:r>
        <w:rPr>
          <w:i/>
        </w:rPr>
        <w:t>RERT principles</w:t>
      </w:r>
    </w:p>
    <w:p>
      <w:pPr>
        <w:pStyle w:val="BodyText"/>
        <w:ind w:left="1352" w:firstLine="0"/>
        <w:jc w:val="left"/>
      </w:pPr>
      <w:r>
        <w:rPr/>
        <w:t>The principles referred to in clause 3.20.2(b).</w:t>
      </w:r>
    </w:p>
    <w:p>
      <w:pPr>
        <w:pStyle w:val="Heading5"/>
        <w:jc w:val="left"/>
        <w:rPr>
          <w:i/>
        </w:rPr>
      </w:pPr>
      <w:r>
        <w:rPr>
          <w:i/>
        </w:rPr>
        <w:t>reserve</w:t>
      </w:r>
    </w:p>
    <w:p>
      <w:pPr>
        <w:spacing w:before="120"/>
        <w:ind w:left="1352" w:right="0" w:firstLine="0"/>
        <w:jc w:val="left"/>
        <w:rPr>
          <w:sz w:val="24"/>
        </w:rPr>
      </w:pPr>
      <w:r>
        <w:rPr>
          <w:i/>
          <w:sz w:val="24"/>
        </w:rPr>
        <w:t>Scheduled reserve </w:t>
      </w:r>
      <w:r>
        <w:rPr>
          <w:sz w:val="24"/>
        </w:rPr>
        <w:t>or </w:t>
      </w:r>
      <w:r>
        <w:rPr>
          <w:i/>
          <w:sz w:val="24"/>
        </w:rPr>
        <w:t>unscheduled reserve</w:t>
      </w:r>
      <w:r>
        <w:rPr>
          <w:sz w:val="24"/>
        </w:rPr>
        <w:t>.</w:t>
      </w:r>
    </w:p>
    <w:p>
      <w:pPr>
        <w:pStyle w:val="Heading5"/>
        <w:rPr>
          <w:i/>
        </w:rPr>
      </w:pPr>
      <w:r>
        <w:rPr>
          <w:i/>
        </w:rPr>
        <w:t>reserve contract</w:t>
      </w:r>
    </w:p>
    <w:p>
      <w:pPr>
        <w:spacing w:before="120"/>
        <w:ind w:left="1352" w:right="0" w:firstLine="0"/>
        <w:jc w:val="both"/>
        <w:rPr>
          <w:sz w:val="24"/>
        </w:rPr>
      </w:pPr>
      <w:r>
        <w:rPr>
          <w:sz w:val="24"/>
        </w:rPr>
        <w:t>A </w:t>
      </w:r>
      <w:r>
        <w:rPr>
          <w:i/>
          <w:sz w:val="24"/>
        </w:rPr>
        <w:t>scheduled reserve contract </w:t>
      </w:r>
      <w:r>
        <w:rPr>
          <w:sz w:val="24"/>
        </w:rPr>
        <w:t>or an </w:t>
      </w:r>
      <w:r>
        <w:rPr>
          <w:i/>
          <w:sz w:val="24"/>
        </w:rPr>
        <w:t>unscheduled reserve contract</w:t>
      </w:r>
      <w:r>
        <w:rPr>
          <w:sz w:val="24"/>
        </w:rPr>
        <w:t>.</w:t>
      </w:r>
    </w:p>
    <w:p>
      <w:pPr>
        <w:pStyle w:val="Heading5"/>
        <w:rPr>
          <w:i/>
        </w:rPr>
      </w:pPr>
      <w:r>
        <w:rPr>
          <w:i/>
        </w:rPr>
        <w:t>reserve level declaration guidelines</w:t>
      </w:r>
    </w:p>
    <w:p>
      <w:pPr>
        <w:spacing w:before="120"/>
        <w:ind w:left="1352" w:right="0" w:firstLine="0"/>
        <w:jc w:val="both"/>
        <w:rPr>
          <w:sz w:val="24"/>
        </w:rPr>
      </w:pPr>
      <w:r>
        <w:rPr>
          <w:sz w:val="24"/>
        </w:rPr>
        <w:t>The guidelines </w:t>
      </w:r>
      <w:r>
        <w:rPr>
          <w:i/>
          <w:sz w:val="24"/>
        </w:rPr>
        <w:t>published </w:t>
      </w:r>
      <w:r>
        <w:rPr>
          <w:sz w:val="24"/>
        </w:rPr>
        <w:t>by </w:t>
      </w:r>
      <w:r>
        <w:rPr>
          <w:i/>
          <w:sz w:val="24"/>
        </w:rPr>
        <w:t>AEMO </w:t>
      </w:r>
      <w:r>
        <w:rPr>
          <w:sz w:val="24"/>
        </w:rPr>
        <w:t>under clause 4.8.4A(a).</w:t>
      </w:r>
    </w:p>
    <w:p>
      <w:pPr>
        <w:pStyle w:val="Heading5"/>
        <w:rPr>
          <w:i/>
        </w:rPr>
      </w:pPr>
      <w:r>
        <w:rPr>
          <w:i/>
        </w:rPr>
        <w:t>response breakpoint</w:t>
      </w:r>
    </w:p>
    <w:p>
      <w:pPr>
        <w:pStyle w:val="ListParagraph"/>
        <w:numPr>
          <w:ilvl w:val="0"/>
          <w:numId w:val="809"/>
        </w:numPr>
        <w:tabs>
          <w:tab w:pos="1919" w:val="left" w:leader="none"/>
        </w:tabs>
        <w:spacing w:line="240" w:lineRule="auto" w:before="120" w:after="0"/>
        <w:ind w:left="1919" w:right="415" w:hanging="567"/>
        <w:jc w:val="both"/>
        <w:rPr>
          <w:sz w:val="24"/>
        </w:rPr>
      </w:pPr>
      <w:r>
        <w:rPr>
          <w:sz w:val="24"/>
        </w:rPr>
        <w:t>In relation to a </w:t>
      </w:r>
      <w:r>
        <w:rPr>
          <w:i/>
          <w:sz w:val="24"/>
        </w:rPr>
        <w:t>market ancillary service offer </w:t>
      </w:r>
      <w:r>
        <w:rPr>
          <w:sz w:val="24"/>
        </w:rPr>
        <w:t>to raise the </w:t>
      </w:r>
      <w:r>
        <w:rPr>
          <w:i/>
          <w:sz w:val="24"/>
        </w:rPr>
        <w:t>frequency </w:t>
      </w:r>
      <w:r>
        <w:rPr>
          <w:sz w:val="24"/>
        </w:rPr>
        <w:t>of the </w:t>
      </w:r>
      <w:r>
        <w:rPr>
          <w:i/>
          <w:sz w:val="24"/>
        </w:rPr>
        <w:t>power system</w:t>
      </w:r>
      <w:r>
        <w:rPr>
          <w:sz w:val="24"/>
        </w:rPr>
        <w:t>, the level of associated </w:t>
      </w:r>
      <w:r>
        <w:rPr>
          <w:i/>
          <w:sz w:val="24"/>
        </w:rPr>
        <w:t>generation </w:t>
      </w:r>
      <w:r>
        <w:rPr>
          <w:sz w:val="24"/>
        </w:rPr>
        <w:t>or </w:t>
      </w:r>
      <w:r>
        <w:rPr>
          <w:i/>
          <w:sz w:val="24"/>
        </w:rPr>
        <w:t>load </w:t>
      </w:r>
      <w:r>
        <w:rPr>
          <w:sz w:val="24"/>
        </w:rPr>
        <w:t>(in MW) above which the amount of response specified in the </w:t>
      </w:r>
      <w:r>
        <w:rPr>
          <w:i/>
          <w:sz w:val="24"/>
        </w:rPr>
        <w:t>offer </w:t>
      </w:r>
      <w:r>
        <w:rPr>
          <w:sz w:val="24"/>
        </w:rPr>
        <w:t>reduces with increased </w:t>
      </w:r>
      <w:r>
        <w:rPr>
          <w:i/>
          <w:sz w:val="24"/>
        </w:rPr>
        <w:t>generation </w:t>
      </w:r>
      <w:r>
        <w:rPr>
          <w:sz w:val="24"/>
        </w:rPr>
        <w:t>or </w:t>
      </w:r>
      <w:r>
        <w:rPr>
          <w:i/>
          <w:sz w:val="24"/>
        </w:rPr>
        <w:t>load </w:t>
      </w:r>
      <w:r>
        <w:rPr>
          <w:sz w:val="24"/>
        </w:rPr>
        <w:t>level;</w:t>
      </w:r>
      <w:r>
        <w:rPr>
          <w:spacing w:val="-1"/>
          <w:sz w:val="24"/>
        </w:rPr>
        <w:t> </w:t>
      </w:r>
      <w:r>
        <w:rPr>
          <w:sz w:val="24"/>
        </w:rPr>
        <w:t>and</w:t>
      </w:r>
    </w:p>
    <w:p>
      <w:pPr>
        <w:pStyle w:val="ListParagraph"/>
        <w:numPr>
          <w:ilvl w:val="0"/>
          <w:numId w:val="809"/>
        </w:numPr>
        <w:tabs>
          <w:tab w:pos="1919" w:val="left" w:leader="none"/>
        </w:tabs>
        <w:spacing w:line="240" w:lineRule="auto" w:before="120" w:after="0"/>
        <w:ind w:left="1919" w:right="415" w:hanging="567"/>
        <w:jc w:val="both"/>
        <w:rPr>
          <w:sz w:val="24"/>
        </w:rPr>
      </w:pPr>
      <w:r>
        <w:rPr>
          <w:sz w:val="24"/>
        </w:rPr>
        <w:t>In relation to a </w:t>
      </w:r>
      <w:r>
        <w:rPr>
          <w:i/>
          <w:sz w:val="24"/>
        </w:rPr>
        <w:t>market ancillary service offer </w:t>
      </w:r>
      <w:r>
        <w:rPr>
          <w:sz w:val="24"/>
        </w:rPr>
        <w:t>to lower the </w:t>
      </w:r>
      <w:r>
        <w:rPr>
          <w:i/>
          <w:sz w:val="24"/>
        </w:rPr>
        <w:t>frequency </w:t>
      </w:r>
      <w:r>
        <w:rPr>
          <w:sz w:val="24"/>
        </w:rPr>
        <w:t>of the </w:t>
      </w:r>
      <w:r>
        <w:rPr>
          <w:i/>
          <w:sz w:val="24"/>
        </w:rPr>
        <w:t>power system</w:t>
      </w:r>
      <w:r>
        <w:rPr>
          <w:sz w:val="24"/>
        </w:rPr>
        <w:t>, the level of associated </w:t>
      </w:r>
      <w:r>
        <w:rPr>
          <w:i/>
          <w:sz w:val="24"/>
        </w:rPr>
        <w:t>generation </w:t>
      </w:r>
      <w:r>
        <w:rPr>
          <w:sz w:val="24"/>
        </w:rPr>
        <w:t>or </w:t>
      </w:r>
      <w:r>
        <w:rPr>
          <w:i/>
          <w:sz w:val="24"/>
        </w:rPr>
        <w:t>load </w:t>
      </w:r>
      <w:r>
        <w:rPr>
          <w:sz w:val="24"/>
        </w:rPr>
        <w:t>(in MW) below which the amount of response specified in the </w:t>
      </w:r>
      <w:r>
        <w:rPr>
          <w:i/>
          <w:sz w:val="24"/>
        </w:rPr>
        <w:t>offer </w:t>
      </w:r>
      <w:r>
        <w:rPr>
          <w:sz w:val="24"/>
        </w:rPr>
        <w:t>reduces with decreased </w:t>
      </w:r>
      <w:r>
        <w:rPr>
          <w:i/>
          <w:sz w:val="24"/>
        </w:rPr>
        <w:t>generation </w:t>
      </w:r>
      <w:r>
        <w:rPr>
          <w:sz w:val="24"/>
        </w:rPr>
        <w:t>or </w:t>
      </w:r>
      <w:r>
        <w:rPr>
          <w:i/>
          <w:sz w:val="24"/>
        </w:rPr>
        <w:t>load</w:t>
      </w:r>
      <w:r>
        <w:rPr>
          <w:i/>
          <w:spacing w:val="-1"/>
          <w:sz w:val="24"/>
        </w:rPr>
        <w:t> </w:t>
      </w:r>
      <w:r>
        <w:rPr>
          <w:sz w:val="24"/>
        </w:rPr>
        <w:t>level.</w:t>
      </w:r>
    </w:p>
    <w:p>
      <w:pPr>
        <w:pStyle w:val="Heading5"/>
        <w:rPr>
          <w:i/>
        </w:rPr>
      </w:pPr>
      <w:r>
        <w:rPr>
          <w:i/>
        </w:rPr>
        <w:t>response capability</w:t>
      </w:r>
    </w:p>
    <w:p>
      <w:pPr>
        <w:pStyle w:val="ListParagraph"/>
        <w:numPr>
          <w:ilvl w:val="0"/>
          <w:numId w:val="810"/>
        </w:numPr>
        <w:tabs>
          <w:tab w:pos="1919" w:val="left" w:leader="none"/>
        </w:tabs>
        <w:spacing w:line="240" w:lineRule="auto" w:before="120" w:after="0"/>
        <w:ind w:left="1919" w:right="415" w:hanging="567"/>
        <w:jc w:val="both"/>
        <w:rPr>
          <w:sz w:val="24"/>
        </w:rPr>
      </w:pPr>
      <w:r>
        <w:rPr>
          <w:sz w:val="24"/>
        </w:rPr>
        <w:t>In relation to a </w:t>
      </w:r>
      <w:r>
        <w:rPr>
          <w:i/>
          <w:sz w:val="24"/>
        </w:rPr>
        <w:t>market ancillary service offer </w:t>
      </w:r>
      <w:r>
        <w:rPr>
          <w:sz w:val="24"/>
        </w:rPr>
        <w:t>to raise the </w:t>
      </w:r>
      <w:r>
        <w:rPr>
          <w:i/>
          <w:sz w:val="24"/>
        </w:rPr>
        <w:t>frequency </w:t>
      </w:r>
      <w:r>
        <w:rPr>
          <w:sz w:val="24"/>
        </w:rPr>
        <w:t>of the </w:t>
      </w:r>
      <w:r>
        <w:rPr>
          <w:i/>
          <w:sz w:val="24"/>
        </w:rPr>
        <w:t>power system</w:t>
      </w:r>
      <w:r>
        <w:rPr>
          <w:sz w:val="24"/>
        </w:rPr>
        <w:t>, the amount of the response in (MW) which is specified in the </w:t>
      </w:r>
      <w:r>
        <w:rPr>
          <w:i/>
          <w:sz w:val="24"/>
        </w:rPr>
        <w:t>offer </w:t>
      </w:r>
      <w:r>
        <w:rPr>
          <w:sz w:val="24"/>
        </w:rPr>
        <w:t>for every level of associated </w:t>
      </w:r>
      <w:r>
        <w:rPr>
          <w:i/>
          <w:sz w:val="24"/>
        </w:rPr>
        <w:t>generation </w:t>
      </w:r>
      <w:r>
        <w:rPr>
          <w:sz w:val="24"/>
        </w:rPr>
        <w:t>or </w:t>
      </w:r>
      <w:r>
        <w:rPr>
          <w:i/>
          <w:sz w:val="24"/>
        </w:rPr>
        <w:t>load </w:t>
      </w:r>
      <w:r>
        <w:rPr>
          <w:sz w:val="24"/>
        </w:rPr>
        <w:t>below the associated </w:t>
      </w:r>
      <w:r>
        <w:rPr>
          <w:i/>
          <w:sz w:val="24"/>
        </w:rPr>
        <w:t>response breakpoint</w:t>
      </w:r>
      <w:r>
        <w:rPr>
          <w:sz w:val="24"/>
        </w:rPr>
        <w:t>;</w:t>
      </w:r>
      <w:r>
        <w:rPr>
          <w:spacing w:val="-3"/>
          <w:sz w:val="24"/>
        </w:rPr>
        <w:t> </w:t>
      </w:r>
      <w:r>
        <w:rPr>
          <w:sz w:val="24"/>
        </w:rPr>
        <w:t>and</w:t>
      </w:r>
    </w:p>
    <w:p>
      <w:pPr>
        <w:pStyle w:val="ListParagraph"/>
        <w:numPr>
          <w:ilvl w:val="0"/>
          <w:numId w:val="810"/>
        </w:numPr>
        <w:tabs>
          <w:tab w:pos="1919" w:val="left" w:leader="none"/>
        </w:tabs>
        <w:spacing w:line="240" w:lineRule="auto" w:before="120" w:after="0"/>
        <w:ind w:left="1919" w:right="415" w:hanging="567"/>
        <w:jc w:val="both"/>
        <w:rPr>
          <w:sz w:val="24"/>
        </w:rPr>
      </w:pPr>
      <w:r>
        <w:rPr>
          <w:sz w:val="24"/>
        </w:rPr>
        <w:t>In relation to a </w:t>
      </w:r>
      <w:r>
        <w:rPr>
          <w:i/>
          <w:sz w:val="24"/>
        </w:rPr>
        <w:t>market ancillary service offer </w:t>
      </w:r>
      <w:r>
        <w:rPr>
          <w:sz w:val="24"/>
        </w:rPr>
        <w:t>to lower the </w:t>
      </w:r>
      <w:r>
        <w:rPr>
          <w:i/>
          <w:sz w:val="24"/>
        </w:rPr>
        <w:t>frequency </w:t>
      </w:r>
      <w:r>
        <w:rPr>
          <w:sz w:val="24"/>
        </w:rPr>
        <w:t>of the </w:t>
      </w:r>
      <w:r>
        <w:rPr>
          <w:i/>
          <w:sz w:val="24"/>
        </w:rPr>
        <w:t>power system</w:t>
      </w:r>
      <w:r>
        <w:rPr>
          <w:sz w:val="24"/>
        </w:rPr>
        <w:t>, the amount of the response in (MW) which is specified in the </w:t>
      </w:r>
      <w:r>
        <w:rPr>
          <w:i/>
          <w:sz w:val="24"/>
        </w:rPr>
        <w:t>offer </w:t>
      </w:r>
      <w:r>
        <w:rPr>
          <w:sz w:val="24"/>
        </w:rPr>
        <w:t>for every level of associated </w:t>
      </w:r>
      <w:r>
        <w:rPr>
          <w:i/>
          <w:sz w:val="24"/>
        </w:rPr>
        <w:t>generation </w:t>
      </w:r>
      <w:r>
        <w:rPr>
          <w:sz w:val="24"/>
        </w:rPr>
        <w:t>or </w:t>
      </w:r>
      <w:r>
        <w:rPr>
          <w:i/>
          <w:sz w:val="24"/>
        </w:rPr>
        <w:t>load </w:t>
      </w:r>
      <w:r>
        <w:rPr>
          <w:sz w:val="24"/>
        </w:rPr>
        <w:t>above the associated </w:t>
      </w:r>
      <w:r>
        <w:rPr>
          <w:i/>
          <w:sz w:val="24"/>
        </w:rPr>
        <w:t>response</w:t>
      </w:r>
      <w:r>
        <w:rPr>
          <w:i/>
          <w:spacing w:val="-2"/>
          <w:sz w:val="24"/>
        </w:rPr>
        <w:t> </w:t>
      </w:r>
      <w:r>
        <w:rPr>
          <w:i/>
          <w:sz w:val="24"/>
        </w:rPr>
        <w:t>breakpoint</w:t>
      </w:r>
      <w:r>
        <w:rPr>
          <w:sz w:val="24"/>
        </w:rPr>
        <w:t>.</w:t>
      </w:r>
    </w:p>
    <w:p>
      <w:pPr>
        <w:pStyle w:val="Heading5"/>
        <w:rPr>
          <w:i/>
        </w:rPr>
      </w:pPr>
      <w:r>
        <w:rPr>
          <w:i/>
        </w:rPr>
        <w:t>responsible person</w:t>
      </w:r>
    </w:p>
    <w:p>
      <w:pPr>
        <w:spacing w:before="120"/>
        <w:ind w:left="1352" w:right="0" w:firstLine="0"/>
        <w:jc w:val="both"/>
        <w:rPr>
          <w:sz w:val="24"/>
        </w:rPr>
      </w:pPr>
      <w:r>
        <w:rPr>
          <w:sz w:val="24"/>
        </w:rPr>
        <w:t>For the purposes of the </w:t>
      </w:r>
      <w:r>
        <w:rPr>
          <w:i/>
          <w:sz w:val="24"/>
        </w:rPr>
        <w:t>National Energy Retail Law</w:t>
      </w:r>
      <w:r>
        <w:rPr>
          <w:sz w:val="24"/>
        </w:rPr>
        <w:t>, the </w:t>
      </w:r>
      <w:r>
        <w:rPr>
          <w:i/>
          <w:sz w:val="24"/>
        </w:rPr>
        <w:t>Metering Coordinator</w:t>
      </w:r>
      <w:r>
        <w:rPr>
          <w:sz w:val="24"/>
        </w:rPr>
        <w:t>.</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References to 'responsible person' in the </w:t>
      </w:r>
      <w:r>
        <w:rPr>
          <w:i/>
          <w:sz w:val="20"/>
        </w:rPr>
        <w:t>Rules </w:t>
      </w:r>
      <w:r>
        <w:rPr>
          <w:sz w:val="20"/>
        </w:rPr>
        <w:t>or a document produced under the </w:t>
      </w:r>
      <w:r>
        <w:rPr>
          <w:i/>
          <w:sz w:val="20"/>
        </w:rPr>
        <w:t>Rules </w:t>
      </w:r>
      <w:r>
        <w:rPr>
          <w:sz w:val="20"/>
        </w:rPr>
        <w:t>are deemed to be references to the </w:t>
      </w:r>
      <w:r>
        <w:rPr>
          <w:i/>
          <w:sz w:val="20"/>
        </w:rPr>
        <w:t>Metering Coordinator </w:t>
      </w:r>
      <w:r>
        <w:rPr>
          <w:sz w:val="20"/>
        </w:rPr>
        <w:t>under clause</w:t>
      </w:r>
      <w:r>
        <w:rPr>
          <w:spacing w:val="-2"/>
          <w:sz w:val="20"/>
        </w:rPr>
        <w:t> </w:t>
      </w:r>
      <w:r>
        <w:rPr>
          <w:sz w:val="20"/>
        </w:rPr>
        <w:t>11.86.4.</w:t>
      </w:r>
    </w:p>
    <w:p>
      <w:pPr>
        <w:pStyle w:val="Heading5"/>
        <w:rPr>
          <w:i/>
        </w:rPr>
      </w:pPr>
      <w:r>
        <w:rPr>
          <w:i/>
        </w:rPr>
        <w:t>restricted asset</w:t>
      </w:r>
    </w:p>
    <w:p>
      <w:pPr>
        <w:spacing w:before="120"/>
        <w:ind w:left="1352" w:right="414" w:firstLine="0"/>
        <w:jc w:val="both"/>
        <w:rPr>
          <w:sz w:val="24"/>
        </w:rPr>
      </w:pPr>
      <w:r>
        <w:rPr>
          <w:sz w:val="24"/>
        </w:rPr>
        <w:t>An  item  of  equipment  that  is  electrically   connected   to   a   </w:t>
      </w:r>
      <w:r>
        <w:rPr>
          <w:i/>
          <w:sz w:val="24"/>
        </w:rPr>
        <w:t>retail   </w:t>
      </w:r>
      <w:r>
        <w:rPr>
          <w:i/>
          <w:sz w:val="24"/>
        </w:rPr>
        <w:t>customer's connection point </w:t>
      </w:r>
      <w:r>
        <w:rPr>
          <w:sz w:val="24"/>
        </w:rPr>
        <w:t>at a location that is on the same side of that </w:t>
      </w:r>
      <w:r>
        <w:rPr>
          <w:i/>
          <w:sz w:val="24"/>
        </w:rPr>
        <w:t>connection point </w:t>
      </w:r>
      <w:r>
        <w:rPr>
          <w:sz w:val="24"/>
        </w:rPr>
        <w:t>as the </w:t>
      </w:r>
      <w:r>
        <w:rPr>
          <w:i/>
          <w:sz w:val="24"/>
        </w:rPr>
        <w:t>metering point</w:t>
      </w:r>
      <w:r>
        <w:rPr>
          <w:sz w:val="24"/>
        </w:rPr>
        <w:t>, but</w:t>
      </w:r>
      <w:r>
        <w:rPr>
          <w:spacing w:val="-1"/>
          <w:sz w:val="24"/>
        </w:rPr>
        <w:t> </w:t>
      </w:r>
      <w:r>
        <w:rPr>
          <w:sz w:val="24"/>
        </w:rPr>
        <w:t>excludes:</w:t>
      </w:r>
    </w:p>
    <w:p>
      <w:pPr>
        <w:pStyle w:val="ListParagraph"/>
        <w:numPr>
          <w:ilvl w:val="0"/>
          <w:numId w:val="811"/>
        </w:numPr>
        <w:tabs>
          <w:tab w:pos="1919" w:val="left" w:leader="none"/>
        </w:tabs>
        <w:spacing w:line="240" w:lineRule="auto" w:before="120" w:after="0"/>
        <w:ind w:left="1919" w:right="416" w:hanging="567"/>
        <w:jc w:val="both"/>
        <w:rPr>
          <w:sz w:val="24"/>
        </w:rPr>
      </w:pPr>
      <w:r>
        <w:rPr>
          <w:sz w:val="24"/>
        </w:rPr>
        <w:t>such an item of equipment where that </w:t>
      </w:r>
      <w:r>
        <w:rPr>
          <w:i/>
          <w:sz w:val="24"/>
        </w:rPr>
        <w:t>retail customer </w:t>
      </w:r>
      <w:r>
        <w:rPr>
          <w:sz w:val="24"/>
        </w:rPr>
        <w:t>is a </w:t>
      </w:r>
      <w:r>
        <w:rPr>
          <w:i/>
          <w:sz w:val="24"/>
        </w:rPr>
        <w:t>Distribution </w:t>
      </w:r>
      <w:r>
        <w:rPr>
          <w:i/>
          <w:sz w:val="24"/>
        </w:rPr>
        <w:t>Network Service Provider </w:t>
      </w:r>
      <w:r>
        <w:rPr>
          <w:sz w:val="24"/>
        </w:rPr>
        <w:t>and that </w:t>
      </w:r>
      <w:r>
        <w:rPr>
          <w:i/>
          <w:sz w:val="24"/>
        </w:rPr>
        <w:t>Distribution Network Service Provider </w:t>
      </w:r>
      <w:r>
        <w:rPr>
          <w:sz w:val="24"/>
        </w:rPr>
        <w:t>is the </w:t>
      </w:r>
      <w:r>
        <w:rPr>
          <w:i/>
          <w:sz w:val="24"/>
        </w:rPr>
        <w:t>Local Network Service Provider </w:t>
      </w:r>
      <w:r>
        <w:rPr>
          <w:sz w:val="24"/>
        </w:rPr>
        <w:t>for that </w:t>
      </w:r>
      <w:r>
        <w:rPr>
          <w:i/>
          <w:sz w:val="24"/>
        </w:rPr>
        <w:t>connection point</w:t>
      </w:r>
      <w:r>
        <w:rPr>
          <w:sz w:val="24"/>
        </w:rPr>
        <w:t>;</w:t>
      </w:r>
      <w:r>
        <w:rPr>
          <w:spacing w:val="-5"/>
          <w:sz w:val="24"/>
        </w:rPr>
        <w:t> </w:t>
      </w:r>
      <w:r>
        <w:rPr>
          <w:sz w:val="24"/>
        </w:rPr>
        <w:t>or</w:t>
      </w:r>
    </w:p>
    <w:p>
      <w:pPr>
        <w:pStyle w:val="ListParagraph"/>
        <w:numPr>
          <w:ilvl w:val="0"/>
          <w:numId w:val="811"/>
        </w:numPr>
        <w:tabs>
          <w:tab w:pos="1919" w:val="left" w:leader="none"/>
        </w:tabs>
        <w:spacing w:line="240" w:lineRule="auto" w:before="120" w:after="0"/>
        <w:ind w:left="1918" w:right="0" w:hanging="567"/>
        <w:jc w:val="both"/>
        <w:rPr>
          <w:sz w:val="24"/>
        </w:rPr>
      </w:pPr>
      <w:r>
        <w:rPr>
          <w:sz w:val="24"/>
        </w:rPr>
        <w:t>a </w:t>
      </w:r>
      <w:r>
        <w:rPr>
          <w:i/>
          <w:sz w:val="24"/>
        </w:rPr>
        <w:t>network</w:t>
      </w:r>
      <w:r>
        <w:rPr>
          <w:i/>
          <w:spacing w:val="-1"/>
          <w:sz w:val="24"/>
        </w:rPr>
        <w:t> </w:t>
      </w:r>
      <w:r>
        <w:rPr>
          <w:i/>
          <w:sz w:val="24"/>
        </w:rPr>
        <w:t>device</w:t>
      </w:r>
      <w:r>
        <w:rPr>
          <w:sz w:val="24"/>
        </w:rPr>
        <w:t>.</w:t>
      </w:r>
    </w:p>
    <w:p>
      <w:pPr>
        <w:spacing w:after="0" w:line="240" w:lineRule="auto"/>
        <w:jc w:val="both"/>
        <w:rPr>
          <w:sz w:val="24"/>
        </w:rPr>
        <w:sectPr>
          <w:pgSz w:w="11910" w:h="16840"/>
          <w:pgMar w:header="686" w:footer="637" w:top="1320" w:bottom="820" w:left="1200" w:right="1000"/>
        </w:sectPr>
      </w:pPr>
    </w:p>
    <w:p>
      <w:pPr>
        <w:pStyle w:val="Heading5"/>
        <w:spacing w:before="83"/>
        <w:rPr>
          <w:i/>
        </w:rPr>
      </w:pPr>
      <w:r>
        <w:rPr>
          <w:i/>
        </w:rPr>
        <w:t>restriction demand reduction</w:t>
      </w:r>
    </w:p>
    <w:p>
      <w:pPr>
        <w:pStyle w:val="BodyText"/>
        <w:ind w:left="1352" w:right="414" w:firstLine="0"/>
      </w:pPr>
      <w:r>
        <w:rPr/>
        <w:t>The reduction in a </w:t>
      </w:r>
      <w:r>
        <w:rPr>
          <w:i/>
        </w:rPr>
        <w:t>Market Customer's </w:t>
      </w:r>
      <w:r>
        <w:rPr/>
        <w:t>demand due to the imposition of </w:t>
      </w:r>
      <w:r>
        <w:rPr>
          <w:i/>
        </w:rPr>
        <w:t>mandatory </w:t>
      </w:r>
      <w:r>
        <w:rPr>
          <w:i/>
        </w:rPr>
        <w:t>restrictions </w:t>
      </w:r>
      <w:r>
        <w:rPr/>
        <w:t>as reasonably determined by an independent expert in accordance  with clause 3.12A.7. For the avoidance of doubt, the reduction of a </w:t>
      </w:r>
      <w:r>
        <w:rPr>
          <w:i/>
        </w:rPr>
        <w:t>Market </w:t>
      </w:r>
      <w:r>
        <w:rPr>
          <w:i/>
        </w:rPr>
        <w:t>Customer's </w:t>
      </w:r>
      <w:r>
        <w:rPr/>
        <w:t>demand due to the imposition of </w:t>
      </w:r>
      <w:r>
        <w:rPr>
          <w:i/>
        </w:rPr>
        <w:t>mandatory restrictions </w:t>
      </w:r>
      <w:r>
        <w:rPr/>
        <w:t>should exclude any reduction in its demand which the </w:t>
      </w:r>
      <w:r>
        <w:rPr>
          <w:i/>
        </w:rPr>
        <w:t>Market Customer </w:t>
      </w:r>
      <w:r>
        <w:rPr/>
        <w:t>claims was due to the operation of </w:t>
      </w:r>
      <w:r>
        <w:rPr>
          <w:i/>
        </w:rPr>
        <w:t>generation </w:t>
      </w:r>
      <w:r>
        <w:rPr/>
        <w:t>and as reasonably verified by the independent expert in a similar manner to that used by the independent expert to determine restrictions due to demand</w:t>
      </w:r>
      <w:r>
        <w:rPr>
          <w:spacing w:val="-1"/>
        </w:rPr>
        <w:t> </w:t>
      </w:r>
      <w:r>
        <w:rPr/>
        <w:t>management.</w:t>
      </w:r>
    </w:p>
    <w:p>
      <w:pPr>
        <w:pStyle w:val="Heading5"/>
        <w:rPr>
          <w:i/>
        </w:rPr>
      </w:pPr>
      <w:r>
        <w:rPr>
          <w:i/>
        </w:rPr>
        <w:t>restriction offer</w:t>
      </w:r>
    </w:p>
    <w:p>
      <w:pPr>
        <w:spacing w:before="120"/>
        <w:ind w:left="1352" w:right="416" w:firstLine="0"/>
        <w:jc w:val="both"/>
        <w:rPr>
          <w:sz w:val="24"/>
        </w:rPr>
      </w:pPr>
      <w:r>
        <w:rPr>
          <w:sz w:val="24"/>
        </w:rPr>
        <w:t>An offer by a </w:t>
      </w:r>
      <w:r>
        <w:rPr>
          <w:i/>
          <w:sz w:val="24"/>
        </w:rPr>
        <w:t>Scheduled Generator </w:t>
      </w:r>
      <w:r>
        <w:rPr>
          <w:sz w:val="24"/>
        </w:rPr>
        <w:t>or a </w:t>
      </w:r>
      <w:r>
        <w:rPr>
          <w:i/>
          <w:sz w:val="24"/>
        </w:rPr>
        <w:t>Scheduled Network Service Provider </w:t>
      </w:r>
      <w:r>
        <w:rPr>
          <w:sz w:val="24"/>
        </w:rPr>
        <w:t>to provide capacity to </w:t>
      </w:r>
      <w:r>
        <w:rPr>
          <w:i/>
          <w:sz w:val="24"/>
        </w:rPr>
        <w:t>AEMO </w:t>
      </w:r>
      <w:r>
        <w:rPr>
          <w:sz w:val="24"/>
        </w:rPr>
        <w:t>for all or part of a </w:t>
      </w:r>
      <w:r>
        <w:rPr>
          <w:i/>
          <w:sz w:val="24"/>
        </w:rPr>
        <w:t>mandatory restriction period </w:t>
      </w:r>
      <w:r>
        <w:rPr>
          <w:sz w:val="24"/>
        </w:rPr>
        <w:t>made in accordance with the </w:t>
      </w:r>
      <w:r>
        <w:rPr>
          <w:i/>
          <w:sz w:val="24"/>
        </w:rPr>
        <w:t>restriction offer</w:t>
      </w:r>
      <w:r>
        <w:rPr>
          <w:i/>
          <w:spacing w:val="-4"/>
          <w:sz w:val="24"/>
        </w:rPr>
        <w:t> </w:t>
      </w:r>
      <w:r>
        <w:rPr>
          <w:i/>
          <w:sz w:val="24"/>
        </w:rPr>
        <w:t>procedures</w:t>
      </w:r>
      <w:r>
        <w:rPr>
          <w:sz w:val="24"/>
        </w:rPr>
        <w:t>.</w:t>
      </w:r>
    </w:p>
    <w:p>
      <w:pPr>
        <w:pStyle w:val="Heading5"/>
        <w:rPr>
          <w:i/>
        </w:rPr>
      </w:pPr>
      <w:r>
        <w:rPr>
          <w:i/>
        </w:rPr>
        <w:t>restriction offer procedures</w:t>
      </w:r>
    </w:p>
    <w:p>
      <w:pPr>
        <w:pStyle w:val="BodyText"/>
        <w:ind w:left="1352" w:firstLine="0"/>
      </w:pPr>
      <w:r>
        <w:rPr/>
        <w:t>The procedures developed by </w:t>
      </w:r>
      <w:r>
        <w:rPr>
          <w:i/>
        </w:rPr>
        <w:t>AEMO </w:t>
      </w:r>
      <w:r>
        <w:rPr/>
        <w:t>in accordance with clause 3.12A.1.</w:t>
      </w:r>
    </w:p>
    <w:p>
      <w:pPr>
        <w:pStyle w:val="Heading5"/>
        <w:rPr>
          <w:i/>
        </w:rPr>
      </w:pPr>
      <w:r>
        <w:rPr>
          <w:i/>
        </w:rPr>
        <w:t>restriction shortfall amount</w:t>
      </w:r>
    </w:p>
    <w:p>
      <w:pPr>
        <w:pStyle w:val="BodyText"/>
        <w:ind w:left="1352" w:firstLine="0"/>
      </w:pPr>
      <w:r>
        <w:rPr/>
        <w:t>The amount determined in accordance with clause 3.12A.7(b).</w:t>
      </w:r>
    </w:p>
    <w:p>
      <w:pPr>
        <w:pStyle w:val="Heading5"/>
        <w:rPr>
          <w:i/>
        </w:rPr>
      </w:pPr>
      <w:r>
        <w:rPr>
          <w:i/>
        </w:rPr>
        <w:t>retail billing period</w:t>
      </w:r>
    </w:p>
    <w:p>
      <w:pPr>
        <w:pStyle w:val="BodyText"/>
        <w:ind w:left="1352" w:firstLine="0"/>
      </w:pPr>
      <w:r>
        <w:rPr/>
        <w:t>Has (in the context of Chapter 6B) the meaning given in clause 6B.A1.2.</w:t>
      </w:r>
    </w:p>
    <w:p>
      <w:pPr>
        <w:pStyle w:val="Heading5"/>
        <w:rPr>
          <w:i/>
        </w:rPr>
      </w:pPr>
      <w:r>
        <w:rPr>
          <w:i/>
        </w:rPr>
        <w:t>retail customer</w:t>
      </w:r>
    </w:p>
    <w:p>
      <w:pPr>
        <w:spacing w:before="120"/>
        <w:ind w:left="1352" w:right="0" w:firstLine="0"/>
        <w:jc w:val="both"/>
        <w:rPr>
          <w:sz w:val="24"/>
        </w:rPr>
      </w:pPr>
      <w:r>
        <w:rPr>
          <w:sz w:val="24"/>
        </w:rPr>
        <w:t>Has the same meaning as in the </w:t>
      </w:r>
      <w:r>
        <w:rPr>
          <w:i/>
          <w:sz w:val="24"/>
        </w:rPr>
        <w:t>National Electricity Law</w:t>
      </w:r>
      <w:r>
        <w:rPr>
          <w:sz w:val="24"/>
        </w:rPr>
        <w:t>.</w:t>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In the context of Chapter 5A, the above definition has been supplemented by a definition specifically applicable to that Chapter. See clause 5A.A.1.</w:t>
      </w:r>
    </w:p>
    <w:p>
      <w:pPr>
        <w:pStyle w:val="Heading5"/>
        <w:rPr>
          <w:i/>
        </w:rPr>
      </w:pPr>
      <w:r>
        <w:rPr>
          <w:i/>
        </w:rPr>
        <w:t>Retail Market Procedures</w:t>
      </w:r>
    </w:p>
    <w:p>
      <w:pPr>
        <w:spacing w:before="120"/>
        <w:ind w:left="1352" w:right="416" w:firstLine="0"/>
        <w:jc w:val="both"/>
        <w:rPr>
          <w:sz w:val="24"/>
        </w:rPr>
      </w:pPr>
      <w:r>
        <w:rPr>
          <w:sz w:val="24"/>
        </w:rPr>
        <w:t>Procedures made under these </w:t>
      </w:r>
      <w:r>
        <w:rPr>
          <w:i/>
          <w:sz w:val="24"/>
        </w:rPr>
        <w:t>Rules </w:t>
      </w:r>
      <w:r>
        <w:rPr>
          <w:sz w:val="24"/>
        </w:rPr>
        <w:t>for or in </w:t>
      </w:r>
      <w:r>
        <w:rPr>
          <w:i/>
          <w:sz w:val="24"/>
        </w:rPr>
        <w:t>connection </w:t>
      </w:r>
      <w:r>
        <w:rPr>
          <w:sz w:val="24"/>
        </w:rPr>
        <w:t>with the sale and </w:t>
      </w:r>
      <w:r>
        <w:rPr>
          <w:i/>
          <w:sz w:val="24"/>
        </w:rPr>
        <w:t>supply </w:t>
      </w:r>
      <w:r>
        <w:rPr>
          <w:sz w:val="24"/>
        </w:rPr>
        <w:t>of electricity to </w:t>
      </w:r>
      <w:r>
        <w:rPr>
          <w:i/>
          <w:sz w:val="24"/>
        </w:rPr>
        <w:t>retail customers </w:t>
      </w:r>
      <w:r>
        <w:rPr>
          <w:sz w:val="24"/>
        </w:rPr>
        <w:t>or the operation of retail electricity </w:t>
      </w:r>
      <w:r>
        <w:rPr>
          <w:i/>
          <w:sz w:val="24"/>
        </w:rPr>
        <w:t>markets </w:t>
      </w:r>
      <w:r>
        <w:rPr>
          <w:sz w:val="24"/>
        </w:rPr>
        <w:t>including:</w:t>
      </w:r>
    </w:p>
    <w:p>
      <w:pPr>
        <w:pStyle w:val="ListParagraph"/>
        <w:numPr>
          <w:ilvl w:val="0"/>
          <w:numId w:val="812"/>
        </w:numPr>
        <w:tabs>
          <w:tab w:pos="1918" w:val="left" w:leader="none"/>
          <w:tab w:pos="1919" w:val="left" w:leader="none"/>
        </w:tabs>
        <w:spacing w:line="240" w:lineRule="auto" w:before="120" w:after="0"/>
        <w:ind w:left="1918" w:right="0" w:hanging="567"/>
        <w:jc w:val="left"/>
        <w:rPr>
          <w:sz w:val="24"/>
        </w:rPr>
      </w:pPr>
      <w:r>
        <w:rPr>
          <w:i/>
          <w:sz w:val="24"/>
        </w:rPr>
        <w:t>B2B procedures</w:t>
      </w:r>
      <w:r>
        <w:rPr>
          <w:sz w:val="24"/>
        </w:rPr>
        <w:t>; and</w:t>
      </w:r>
    </w:p>
    <w:p>
      <w:pPr>
        <w:pStyle w:val="ListParagraph"/>
        <w:numPr>
          <w:ilvl w:val="0"/>
          <w:numId w:val="81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Market Settlement and Transfer Solution Procedures</w:t>
      </w:r>
      <w:r>
        <w:rPr>
          <w:sz w:val="24"/>
        </w:rPr>
        <w:t>;</w:t>
      </w:r>
      <w:r>
        <w:rPr>
          <w:spacing w:val="-3"/>
          <w:sz w:val="24"/>
        </w:rPr>
        <w:t> </w:t>
      </w:r>
      <w:r>
        <w:rPr>
          <w:sz w:val="24"/>
        </w:rPr>
        <w:t>and</w:t>
      </w:r>
    </w:p>
    <w:p>
      <w:pPr>
        <w:pStyle w:val="ListParagraph"/>
        <w:numPr>
          <w:ilvl w:val="0"/>
          <w:numId w:val="81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metrology procedures</w:t>
      </w:r>
      <w:r>
        <w:rPr>
          <w:sz w:val="24"/>
        </w:rPr>
        <w:t>;</w:t>
      </w:r>
      <w:r>
        <w:rPr>
          <w:spacing w:val="-2"/>
          <w:sz w:val="24"/>
        </w:rPr>
        <w:t> </w:t>
      </w:r>
      <w:r>
        <w:rPr>
          <w:sz w:val="24"/>
        </w:rPr>
        <w:t>and</w:t>
      </w:r>
    </w:p>
    <w:p>
      <w:pPr>
        <w:pStyle w:val="ListParagraph"/>
        <w:numPr>
          <w:ilvl w:val="0"/>
          <w:numId w:val="812"/>
        </w:numPr>
        <w:tabs>
          <w:tab w:pos="1918" w:val="left" w:leader="none"/>
          <w:tab w:pos="1919" w:val="left" w:leader="none"/>
        </w:tabs>
        <w:spacing w:line="240" w:lineRule="auto" w:before="120" w:after="0"/>
        <w:ind w:left="1919" w:right="415" w:hanging="567"/>
        <w:jc w:val="left"/>
        <w:rPr>
          <w:sz w:val="24"/>
        </w:rPr>
      </w:pPr>
      <w:r>
        <w:rPr>
          <w:sz w:val="24"/>
        </w:rPr>
        <w:t>other procedures dealing with, or incidental to, the retail sale or </w:t>
      </w:r>
      <w:r>
        <w:rPr>
          <w:i/>
          <w:sz w:val="24"/>
        </w:rPr>
        <w:t>supply </w:t>
      </w:r>
      <w:r>
        <w:rPr>
          <w:sz w:val="24"/>
        </w:rPr>
        <w:t>of electricity or related</w:t>
      </w:r>
      <w:r>
        <w:rPr>
          <w:spacing w:val="-1"/>
          <w:sz w:val="24"/>
        </w:rPr>
        <w:t> </w:t>
      </w:r>
      <w:r>
        <w:rPr>
          <w:sz w:val="24"/>
        </w:rPr>
        <w:t>services.</w:t>
      </w:r>
    </w:p>
    <w:p>
      <w:pPr>
        <w:spacing w:after="0" w:line="240" w:lineRule="auto"/>
        <w:jc w:val="left"/>
        <w:rPr>
          <w:sz w:val="24"/>
        </w:rPr>
        <w:sectPr>
          <w:pgSz w:w="11910" w:h="16840"/>
          <w:pgMar w:header="686" w:footer="637" w:top="1320" w:bottom="820" w:left="1200" w:right="1000"/>
        </w:sectPr>
      </w:pPr>
    </w:p>
    <w:p>
      <w:pPr>
        <w:pStyle w:val="Heading5"/>
        <w:jc w:val="left"/>
        <w:rPr>
          <w:i/>
        </w:rPr>
      </w:pPr>
      <w:r>
        <w:rPr>
          <w:i/>
        </w:rPr>
        <w:t>retailer</w:t>
      </w:r>
    </w:p>
    <w:p>
      <w:pPr>
        <w:pStyle w:val="BodyText"/>
        <w:spacing w:before="0"/>
        <w:ind w:firstLine="0"/>
        <w:jc w:val="left"/>
        <w:rPr>
          <w:b/>
          <w:i/>
          <w:sz w:val="26"/>
        </w:rPr>
      </w:pPr>
      <w:r>
        <w:rPr/>
        <w:br w:type="column"/>
      </w:r>
      <w:r>
        <w:rPr>
          <w:b/>
          <w:i/>
          <w:sz w:val="26"/>
        </w:rPr>
      </w:r>
    </w:p>
    <w:p>
      <w:pPr>
        <w:spacing w:before="217"/>
        <w:ind w:left="218" w:right="0" w:firstLine="0"/>
        <w:jc w:val="left"/>
        <w:rPr>
          <w:sz w:val="24"/>
        </w:rPr>
      </w:pPr>
      <w:r>
        <w:rPr>
          <w:sz w:val="24"/>
        </w:rPr>
        <w:t>Has the same meaning as in the </w:t>
      </w:r>
      <w:r>
        <w:rPr>
          <w:i/>
          <w:sz w:val="24"/>
        </w:rPr>
        <w:t>National Electricity Law</w:t>
      </w:r>
      <w:r>
        <w:rPr>
          <w:sz w:val="24"/>
        </w:rPr>
        <w:t>.</w:t>
      </w:r>
    </w:p>
    <w:p>
      <w:pPr>
        <w:pStyle w:val="BodyText"/>
        <w:ind w:left="218" w:right="407" w:firstLine="0"/>
        <w:jc w:val="left"/>
      </w:pPr>
      <w:r>
        <w:rPr/>
        <w:t>Otherwise, a </w:t>
      </w:r>
      <w:r>
        <w:rPr>
          <w:i/>
        </w:rPr>
        <w:t>Customer </w:t>
      </w:r>
      <w:r>
        <w:rPr/>
        <w:t>who engages in the activity of selling electricity to end users.</w:t>
      </w:r>
    </w:p>
    <w:p>
      <w:pPr>
        <w:spacing w:after="0"/>
        <w:jc w:val="left"/>
        <w:sectPr>
          <w:type w:val="continuous"/>
          <w:pgSz w:w="11910" w:h="16840"/>
          <w:pgMar w:top="1360" w:bottom="280" w:left="1200" w:right="1000"/>
          <w:cols w:num="2" w:equalWidth="0">
            <w:col w:w="978" w:space="156"/>
            <w:col w:w="8576"/>
          </w:cols>
        </w:sectPr>
      </w:pPr>
    </w:p>
    <w:p>
      <w:pPr>
        <w:pStyle w:val="Heading5"/>
        <w:jc w:val="left"/>
        <w:rPr>
          <w:i/>
        </w:rPr>
      </w:pPr>
      <w:r>
        <w:rPr>
          <w:i/>
        </w:rPr>
        <w:t>retailer insolvency costs</w:t>
      </w:r>
    </w:p>
    <w:p>
      <w:pPr>
        <w:spacing w:before="120"/>
        <w:ind w:left="1352" w:right="0" w:firstLine="0"/>
        <w:jc w:val="left"/>
        <w:rPr>
          <w:sz w:val="24"/>
        </w:rPr>
      </w:pPr>
      <w:r>
        <w:rPr>
          <w:sz w:val="24"/>
        </w:rPr>
        <w:t>For a </w:t>
      </w:r>
      <w:r>
        <w:rPr>
          <w:i/>
          <w:sz w:val="24"/>
        </w:rPr>
        <w:t>Distribution Network Service Provider</w:t>
      </w:r>
      <w:r>
        <w:rPr>
          <w:sz w:val="24"/>
        </w:rPr>
        <w:t>:</w:t>
      </w:r>
    </w:p>
    <w:p>
      <w:pPr>
        <w:pStyle w:val="ListParagraph"/>
        <w:numPr>
          <w:ilvl w:val="0"/>
          <w:numId w:val="813"/>
        </w:numPr>
        <w:tabs>
          <w:tab w:pos="1918" w:val="left" w:leader="none"/>
          <w:tab w:pos="1919" w:val="left" w:leader="none"/>
        </w:tabs>
        <w:spacing w:line="240" w:lineRule="auto" w:before="120" w:after="0"/>
        <w:ind w:left="1918" w:right="0" w:hanging="567"/>
        <w:jc w:val="left"/>
        <w:rPr>
          <w:sz w:val="24"/>
        </w:rPr>
      </w:pPr>
      <w:r>
        <w:rPr>
          <w:i/>
          <w:sz w:val="24"/>
        </w:rPr>
        <w:t>billed but unpaid</w:t>
      </w:r>
      <w:r>
        <w:rPr>
          <w:i/>
          <w:spacing w:val="-1"/>
          <w:sz w:val="24"/>
        </w:rPr>
        <w:t> </w:t>
      </w:r>
      <w:r>
        <w:rPr>
          <w:i/>
          <w:sz w:val="24"/>
        </w:rPr>
        <w:t>charges</w:t>
      </w:r>
      <w:r>
        <w:rPr>
          <w:sz w:val="24"/>
        </w:rPr>
        <w:t>;</w:t>
      </w:r>
    </w:p>
    <w:p>
      <w:pPr>
        <w:spacing w:after="0" w:line="240" w:lineRule="auto"/>
        <w:jc w:val="left"/>
        <w:rPr>
          <w:sz w:val="24"/>
        </w:rPr>
        <w:sectPr>
          <w:type w:val="continuous"/>
          <w:pgSz w:w="11910" w:h="16840"/>
          <w:pgMar w:top="1360" w:bottom="280" w:left="1200" w:right="1000"/>
        </w:sectPr>
      </w:pPr>
    </w:p>
    <w:p>
      <w:pPr>
        <w:pStyle w:val="ListParagraph"/>
        <w:numPr>
          <w:ilvl w:val="0"/>
          <w:numId w:val="813"/>
        </w:numPr>
        <w:tabs>
          <w:tab w:pos="1919" w:val="left" w:leader="none"/>
        </w:tabs>
        <w:spacing w:line="240" w:lineRule="auto" w:before="83" w:after="0"/>
        <w:ind w:left="1919" w:right="415" w:hanging="567"/>
        <w:jc w:val="both"/>
        <w:rPr>
          <w:sz w:val="24"/>
        </w:rPr>
      </w:pPr>
      <w:r>
        <w:rPr>
          <w:sz w:val="24"/>
        </w:rPr>
        <w:t>the actual amount of unbilled </w:t>
      </w:r>
      <w:r>
        <w:rPr>
          <w:i/>
          <w:sz w:val="24"/>
        </w:rPr>
        <w:t>network charges </w:t>
      </w:r>
      <w:r>
        <w:rPr>
          <w:sz w:val="24"/>
        </w:rPr>
        <w:t>accrued by a </w:t>
      </w:r>
      <w:r>
        <w:rPr>
          <w:i/>
          <w:sz w:val="24"/>
        </w:rPr>
        <w:t>failed retailer</w:t>
      </w:r>
      <w:r>
        <w:rPr>
          <w:sz w:val="24"/>
        </w:rPr>
        <w:t>; and</w:t>
      </w:r>
    </w:p>
    <w:p>
      <w:pPr>
        <w:pStyle w:val="ListParagraph"/>
        <w:numPr>
          <w:ilvl w:val="0"/>
          <w:numId w:val="813"/>
        </w:numPr>
        <w:tabs>
          <w:tab w:pos="1919" w:val="left" w:leader="none"/>
        </w:tabs>
        <w:spacing w:line="240" w:lineRule="auto" w:before="120" w:after="0"/>
        <w:ind w:left="1919" w:right="416" w:hanging="567"/>
        <w:jc w:val="both"/>
        <w:rPr>
          <w:sz w:val="24"/>
        </w:rPr>
      </w:pPr>
      <w:r>
        <w:rPr>
          <w:sz w:val="24"/>
        </w:rPr>
        <w:t>other costs that the </w:t>
      </w:r>
      <w:r>
        <w:rPr>
          <w:i/>
          <w:sz w:val="24"/>
        </w:rPr>
        <w:t>Distribution Network Service Provider </w:t>
      </w:r>
      <w:r>
        <w:rPr>
          <w:sz w:val="24"/>
        </w:rPr>
        <w:t>has incurred or is likely to incur as a result of a </w:t>
      </w:r>
      <w:r>
        <w:rPr>
          <w:i/>
          <w:sz w:val="24"/>
        </w:rPr>
        <w:t>retailer insolvency</w:t>
      </w:r>
      <w:r>
        <w:rPr>
          <w:i/>
          <w:spacing w:val="-5"/>
          <w:sz w:val="24"/>
        </w:rPr>
        <w:t> </w:t>
      </w:r>
      <w:r>
        <w:rPr>
          <w:i/>
          <w:sz w:val="24"/>
        </w:rPr>
        <w:t>event</w:t>
      </w:r>
      <w:r>
        <w:rPr>
          <w:sz w:val="24"/>
        </w:rPr>
        <w:t>.</w:t>
      </w:r>
    </w:p>
    <w:p>
      <w:pPr>
        <w:pStyle w:val="Heading5"/>
        <w:rPr>
          <w:i/>
        </w:rPr>
      </w:pPr>
      <w:r>
        <w:rPr>
          <w:i/>
        </w:rPr>
        <w:t>retailer insolvency event</w:t>
      </w:r>
    </w:p>
    <w:p>
      <w:pPr>
        <w:spacing w:before="120"/>
        <w:ind w:left="1352" w:right="415" w:firstLine="0"/>
        <w:jc w:val="both"/>
        <w:rPr>
          <w:sz w:val="24"/>
        </w:rPr>
      </w:pPr>
      <w:r>
        <w:rPr>
          <w:sz w:val="24"/>
        </w:rPr>
        <w:t>The failure of a </w:t>
      </w:r>
      <w:r>
        <w:rPr>
          <w:i/>
          <w:sz w:val="24"/>
        </w:rPr>
        <w:t>retailer </w:t>
      </w:r>
      <w:r>
        <w:rPr>
          <w:sz w:val="24"/>
        </w:rPr>
        <w:t>during a </w:t>
      </w:r>
      <w:r>
        <w:rPr>
          <w:i/>
          <w:sz w:val="24"/>
        </w:rPr>
        <w:t>regulatory control period</w:t>
      </w:r>
      <w:r>
        <w:rPr>
          <w:sz w:val="24"/>
        </w:rPr>
        <w:t>, to pay a </w:t>
      </w:r>
      <w:r>
        <w:rPr>
          <w:i/>
          <w:sz w:val="24"/>
        </w:rPr>
        <w:t>Distribution </w:t>
      </w:r>
      <w:r>
        <w:rPr>
          <w:i/>
          <w:sz w:val="24"/>
        </w:rPr>
        <w:t>Network Service Provider </w:t>
      </w:r>
      <w:r>
        <w:rPr>
          <w:sz w:val="24"/>
        </w:rPr>
        <w:t>an amount to which the service provider is entitled for the provision of </w:t>
      </w:r>
      <w:r>
        <w:rPr>
          <w:i/>
          <w:sz w:val="24"/>
        </w:rPr>
        <w:t>direct control services</w:t>
      </w:r>
      <w:r>
        <w:rPr>
          <w:sz w:val="24"/>
        </w:rPr>
        <w:t>, if:</w:t>
      </w:r>
    </w:p>
    <w:p>
      <w:pPr>
        <w:pStyle w:val="ListParagraph"/>
        <w:numPr>
          <w:ilvl w:val="0"/>
          <w:numId w:val="814"/>
        </w:numPr>
        <w:tabs>
          <w:tab w:pos="1919" w:val="left" w:leader="none"/>
        </w:tabs>
        <w:spacing w:line="240" w:lineRule="auto" w:before="120" w:after="0"/>
        <w:ind w:left="1918" w:right="0" w:hanging="567"/>
        <w:jc w:val="both"/>
        <w:rPr>
          <w:sz w:val="24"/>
        </w:rPr>
      </w:pPr>
      <w:r>
        <w:rPr>
          <w:sz w:val="24"/>
        </w:rPr>
        <w:t>an </w:t>
      </w:r>
      <w:r>
        <w:rPr>
          <w:i/>
          <w:sz w:val="24"/>
        </w:rPr>
        <w:t>insolvency official </w:t>
      </w:r>
      <w:r>
        <w:rPr>
          <w:sz w:val="24"/>
        </w:rPr>
        <w:t>has been appointed in respect of that </w:t>
      </w:r>
      <w:r>
        <w:rPr>
          <w:i/>
          <w:sz w:val="24"/>
        </w:rPr>
        <w:t>retailer</w:t>
      </w:r>
      <w:r>
        <w:rPr>
          <w:sz w:val="24"/>
        </w:rPr>
        <w:t>;</w:t>
      </w:r>
      <w:r>
        <w:rPr>
          <w:spacing w:val="-4"/>
          <w:sz w:val="24"/>
        </w:rPr>
        <w:t> </w:t>
      </w:r>
      <w:r>
        <w:rPr>
          <w:sz w:val="24"/>
        </w:rPr>
        <w:t>and</w:t>
      </w:r>
    </w:p>
    <w:p>
      <w:pPr>
        <w:pStyle w:val="ListParagraph"/>
        <w:numPr>
          <w:ilvl w:val="0"/>
          <w:numId w:val="814"/>
        </w:numPr>
        <w:tabs>
          <w:tab w:pos="1919" w:val="left" w:leader="none"/>
        </w:tabs>
        <w:spacing w:line="240" w:lineRule="auto" w:before="120" w:after="0"/>
        <w:ind w:left="1919" w:right="415" w:hanging="567"/>
        <w:jc w:val="both"/>
        <w:rPr>
          <w:sz w:val="24"/>
        </w:rPr>
      </w:pPr>
      <w:r>
        <w:rPr>
          <w:sz w:val="24"/>
        </w:rPr>
        <w:t>the </w:t>
      </w:r>
      <w:r>
        <w:rPr>
          <w:i/>
          <w:sz w:val="24"/>
        </w:rPr>
        <w:t>Distribution Network Service Provider </w:t>
      </w:r>
      <w:r>
        <w:rPr>
          <w:sz w:val="24"/>
        </w:rPr>
        <w:t>is not entitled to payment of that amount in full under the terms of any </w:t>
      </w:r>
      <w:r>
        <w:rPr>
          <w:i/>
          <w:sz w:val="24"/>
        </w:rPr>
        <w:t>credit support </w:t>
      </w:r>
      <w:r>
        <w:rPr>
          <w:sz w:val="24"/>
        </w:rPr>
        <w:t>provided in respect of that</w:t>
      </w:r>
      <w:r>
        <w:rPr>
          <w:spacing w:val="-1"/>
          <w:sz w:val="24"/>
        </w:rPr>
        <w:t> </w:t>
      </w:r>
      <w:r>
        <w:rPr>
          <w:i/>
          <w:sz w:val="24"/>
        </w:rPr>
        <w:t>retailer</w:t>
      </w:r>
      <w:r>
        <w:rPr>
          <w:sz w:val="24"/>
        </w:rPr>
        <w:t>.</w:t>
      </w:r>
    </w:p>
    <w:p>
      <w:pPr>
        <w:pStyle w:val="Heading5"/>
        <w:rPr>
          <w:i/>
        </w:rPr>
      </w:pPr>
      <w:r>
        <w:rPr>
          <w:i/>
        </w:rPr>
        <w:t>Retailer Member</w:t>
      </w:r>
    </w:p>
    <w:p>
      <w:pPr>
        <w:spacing w:before="120"/>
        <w:ind w:left="1352" w:right="414" w:firstLine="0"/>
        <w:jc w:val="both"/>
        <w:rPr>
          <w:sz w:val="24"/>
        </w:rPr>
      </w:pPr>
      <w:r>
        <w:rPr>
          <w:sz w:val="24"/>
        </w:rPr>
        <w:t>A person nominated and elected as a </w:t>
      </w:r>
      <w:r>
        <w:rPr>
          <w:i/>
          <w:sz w:val="24"/>
        </w:rPr>
        <w:t>Member </w:t>
      </w:r>
      <w:r>
        <w:rPr>
          <w:sz w:val="24"/>
        </w:rPr>
        <w:t>by </w:t>
      </w:r>
      <w:r>
        <w:rPr>
          <w:i/>
          <w:sz w:val="24"/>
        </w:rPr>
        <w:t>Retailer Member Voters </w:t>
      </w:r>
      <w:r>
        <w:rPr>
          <w:sz w:val="24"/>
        </w:rPr>
        <w:t>to represent </w:t>
      </w:r>
      <w:r>
        <w:rPr>
          <w:i/>
          <w:sz w:val="24"/>
        </w:rPr>
        <w:t>Retailer Member Voters </w:t>
      </w:r>
      <w:r>
        <w:rPr>
          <w:sz w:val="24"/>
        </w:rPr>
        <w:t>in accordance with the </w:t>
      </w:r>
      <w:r>
        <w:rPr>
          <w:i/>
          <w:sz w:val="24"/>
        </w:rPr>
        <w:t>Rules </w:t>
      </w:r>
      <w:r>
        <w:rPr>
          <w:sz w:val="24"/>
        </w:rPr>
        <w:t>(including clause 7.17.10(f)) and </w:t>
      </w:r>
      <w:r>
        <w:rPr>
          <w:i/>
          <w:sz w:val="24"/>
        </w:rPr>
        <w:t>Information Exchange Committee Election Procedures</w:t>
      </w:r>
      <w:r>
        <w:rPr>
          <w:sz w:val="24"/>
        </w:rPr>
        <w:t>.</w:t>
      </w:r>
    </w:p>
    <w:p>
      <w:pPr>
        <w:pStyle w:val="Heading5"/>
        <w:rPr>
          <w:i/>
        </w:rPr>
      </w:pPr>
      <w:r>
        <w:rPr>
          <w:i/>
        </w:rPr>
        <w:t>Retailer Member Voters</w:t>
      </w:r>
    </w:p>
    <w:p>
      <w:pPr>
        <w:spacing w:before="120"/>
        <w:ind w:left="1352" w:right="0" w:firstLine="0"/>
        <w:jc w:val="both"/>
        <w:rPr>
          <w:sz w:val="24"/>
        </w:rPr>
      </w:pPr>
      <w:r>
        <w:rPr>
          <w:i/>
          <w:sz w:val="24"/>
        </w:rPr>
        <w:t>Retailers </w:t>
      </w:r>
      <w:r>
        <w:rPr>
          <w:sz w:val="24"/>
        </w:rPr>
        <w:t>and </w:t>
      </w:r>
      <w:r>
        <w:rPr>
          <w:i/>
          <w:sz w:val="24"/>
        </w:rPr>
        <w:t>Local Retailers</w:t>
      </w:r>
      <w:r>
        <w:rPr>
          <w:sz w:val="24"/>
        </w:rPr>
        <w:t>.</w:t>
      </w:r>
    </w:p>
    <w:p>
      <w:pPr>
        <w:pStyle w:val="Heading5"/>
        <w:rPr>
          <w:i/>
        </w:rPr>
      </w:pPr>
      <w:r>
        <w:rPr>
          <w:i/>
        </w:rPr>
        <w:t>retailer planned interruption</w:t>
      </w:r>
    </w:p>
    <w:p>
      <w:pPr>
        <w:pStyle w:val="ListParagraph"/>
        <w:numPr>
          <w:ilvl w:val="0"/>
          <w:numId w:val="815"/>
        </w:numPr>
        <w:tabs>
          <w:tab w:pos="1919" w:val="left" w:leader="none"/>
        </w:tabs>
        <w:spacing w:line="240" w:lineRule="auto" w:before="120" w:after="0"/>
        <w:ind w:left="1919" w:right="415" w:hanging="567"/>
        <w:jc w:val="both"/>
        <w:rPr>
          <w:sz w:val="24"/>
        </w:rPr>
      </w:pPr>
      <w:r>
        <w:rPr>
          <w:sz w:val="24"/>
        </w:rPr>
        <w:t>In a </w:t>
      </w:r>
      <w:r>
        <w:rPr>
          <w:i/>
          <w:sz w:val="24"/>
        </w:rPr>
        <w:t>participating jurisdiction </w:t>
      </w:r>
      <w:r>
        <w:rPr>
          <w:sz w:val="24"/>
        </w:rPr>
        <w:t>where the </w:t>
      </w:r>
      <w:r>
        <w:rPr>
          <w:i/>
          <w:sz w:val="24"/>
        </w:rPr>
        <w:t>National Energy Retail Rules </w:t>
      </w:r>
      <w:r>
        <w:rPr>
          <w:sz w:val="24"/>
        </w:rPr>
        <w:t>apply as a law of that </w:t>
      </w:r>
      <w:r>
        <w:rPr>
          <w:i/>
          <w:sz w:val="24"/>
        </w:rPr>
        <w:t>participating jurisdiction</w:t>
      </w:r>
      <w:r>
        <w:rPr>
          <w:sz w:val="24"/>
        </w:rPr>
        <w:t>, has the meaning given in </w:t>
      </w:r>
      <w:r>
        <w:rPr>
          <w:spacing w:val="-5"/>
          <w:sz w:val="24"/>
        </w:rPr>
        <w:t>the </w:t>
      </w:r>
      <w:r>
        <w:rPr>
          <w:i/>
          <w:sz w:val="24"/>
        </w:rPr>
        <w:t>National Energy Retail</w:t>
      </w:r>
      <w:r>
        <w:rPr>
          <w:i/>
          <w:spacing w:val="-2"/>
          <w:sz w:val="24"/>
        </w:rPr>
        <w:t> </w:t>
      </w:r>
      <w:r>
        <w:rPr>
          <w:i/>
          <w:sz w:val="24"/>
        </w:rPr>
        <w:t>Rules</w:t>
      </w:r>
      <w:r>
        <w:rPr>
          <w:sz w:val="24"/>
        </w:rPr>
        <w:t>.</w:t>
      </w:r>
    </w:p>
    <w:p>
      <w:pPr>
        <w:pStyle w:val="ListParagraph"/>
        <w:numPr>
          <w:ilvl w:val="0"/>
          <w:numId w:val="815"/>
        </w:numPr>
        <w:tabs>
          <w:tab w:pos="1919" w:val="left" w:leader="none"/>
        </w:tabs>
        <w:spacing w:line="240" w:lineRule="auto" w:before="120" w:after="0"/>
        <w:ind w:left="1919" w:right="415" w:hanging="567"/>
        <w:jc w:val="both"/>
        <w:rPr>
          <w:sz w:val="24"/>
        </w:rPr>
      </w:pPr>
      <w:r>
        <w:rPr>
          <w:sz w:val="24"/>
        </w:rPr>
        <w:t>Otherwise, if defined in </w:t>
      </w:r>
      <w:r>
        <w:rPr>
          <w:i/>
          <w:sz w:val="24"/>
        </w:rPr>
        <w:t>jurisdictional electricity legislation</w:t>
      </w:r>
      <w:r>
        <w:rPr>
          <w:sz w:val="24"/>
        </w:rPr>
        <w:t>, has the meaning given in </w:t>
      </w:r>
      <w:r>
        <w:rPr>
          <w:i/>
          <w:sz w:val="24"/>
        </w:rPr>
        <w:t>jurisdictional electricity</w:t>
      </w:r>
      <w:r>
        <w:rPr>
          <w:i/>
          <w:spacing w:val="-1"/>
          <w:sz w:val="24"/>
        </w:rPr>
        <w:t> </w:t>
      </w:r>
      <w:r>
        <w:rPr>
          <w:i/>
          <w:sz w:val="24"/>
        </w:rPr>
        <w:t>legislation</w:t>
      </w:r>
      <w:r>
        <w:rPr>
          <w:sz w:val="24"/>
        </w:rPr>
        <w:t>.</w:t>
      </w:r>
    </w:p>
    <w:p>
      <w:pPr>
        <w:pStyle w:val="Heading5"/>
        <w:rPr>
          <w:i/>
        </w:rPr>
      </w:pPr>
      <w:r>
        <w:rPr>
          <w:i/>
        </w:rPr>
        <w:t>revenue determination</w:t>
      </w:r>
    </w:p>
    <w:p>
      <w:pPr>
        <w:pStyle w:val="BodyText"/>
        <w:ind w:left="1352" w:right="414" w:firstLine="0"/>
      </w:pPr>
      <w:r>
        <w:rPr/>
        <w:t>A determination referred to in clause 6A.2.2(1) and rule 6A.4 as substituted (if at all) pursuant to clause 6A.7.1 or rule 6A.15 or as amended pursuant to clause 6A.8.2.</w:t>
      </w:r>
    </w:p>
    <w:p>
      <w:pPr>
        <w:pStyle w:val="Heading5"/>
        <w:rPr>
          <w:i/>
        </w:rPr>
      </w:pPr>
      <w:r>
        <w:rPr>
          <w:i/>
        </w:rPr>
        <w:t>Revenue Proposal</w:t>
      </w:r>
    </w:p>
    <w:p>
      <w:pPr>
        <w:spacing w:before="120"/>
        <w:ind w:left="1352" w:right="415" w:firstLine="0"/>
        <w:jc w:val="both"/>
        <w:rPr>
          <w:sz w:val="24"/>
        </w:rPr>
      </w:pPr>
      <w:r>
        <w:rPr>
          <w:sz w:val="24"/>
        </w:rPr>
        <w:t>For a </w:t>
      </w:r>
      <w:r>
        <w:rPr>
          <w:i/>
          <w:sz w:val="24"/>
        </w:rPr>
        <w:t>Transmission Network Service Provider</w:t>
      </w:r>
      <w:r>
        <w:rPr>
          <w:sz w:val="24"/>
        </w:rPr>
        <w:t>, a proposal submitted or resubmitted by the </w:t>
      </w:r>
      <w:r>
        <w:rPr>
          <w:i/>
          <w:sz w:val="24"/>
        </w:rPr>
        <w:t>Transmission Network Service Provider </w:t>
      </w:r>
      <w:r>
        <w:rPr>
          <w:sz w:val="24"/>
        </w:rPr>
        <w:t>to the </w:t>
      </w:r>
      <w:r>
        <w:rPr>
          <w:i/>
          <w:sz w:val="24"/>
        </w:rPr>
        <w:t>AER </w:t>
      </w:r>
      <w:r>
        <w:rPr>
          <w:sz w:val="24"/>
        </w:rPr>
        <w:t>pursuant to clause 6A.10.1(a), clause 6A.11.2 or clause 6A.12.3(a) (as the context</w:t>
      </w:r>
      <w:r>
        <w:rPr>
          <w:spacing w:val="-10"/>
          <w:sz w:val="24"/>
        </w:rPr>
        <w:t> </w:t>
      </w:r>
      <w:r>
        <w:rPr>
          <w:sz w:val="24"/>
        </w:rPr>
        <w:t>requires).</w:t>
      </w:r>
    </w:p>
    <w:p>
      <w:pPr>
        <w:spacing w:after="0"/>
        <w:jc w:val="both"/>
        <w:rPr>
          <w:sz w:val="24"/>
        </w:rPr>
        <w:sectPr>
          <w:pgSz w:w="11910" w:h="16840"/>
          <w:pgMar w:header="686" w:footer="637" w:top="1320" w:bottom="820" w:left="1200" w:right="1000"/>
        </w:sectPr>
      </w:pPr>
    </w:p>
    <w:p>
      <w:pPr>
        <w:pStyle w:val="Heading5"/>
        <w:jc w:val="left"/>
        <w:rPr>
          <w:i/>
        </w:rPr>
      </w:pPr>
      <w:r>
        <w:rPr>
          <w:i/>
        </w:rPr>
        <w:t>review</w:t>
      </w:r>
    </w:p>
    <w:p>
      <w:pPr>
        <w:pStyle w:val="BodyText"/>
        <w:spacing w:before="0"/>
        <w:ind w:firstLine="0"/>
        <w:jc w:val="left"/>
        <w:rPr>
          <w:b/>
          <w:i/>
          <w:sz w:val="26"/>
        </w:rPr>
      </w:pPr>
      <w:r>
        <w:rPr/>
        <w:br w:type="column"/>
      </w:r>
      <w:r>
        <w:rPr>
          <w:b/>
          <w:i/>
          <w:sz w:val="26"/>
        </w:rPr>
      </w:r>
    </w:p>
    <w:p>
      <w:pPr>
        <w:pStyle w:val="BodyText"/>
        <w:spacing w:before="217"/>
        <w:ind w:left="218" w:right="415" w:firstLine="0"/>
      </w:pPr>
      <w:r>
        <w:rPr/>
        <w:t>An examination of the specified matters conducted to the standard specified for a "review" in Auditing Standard AUS106: "Explanatory Framework for standards on Audit and Audit Related Services" prepared by the Auditing Standards Board, as varied from time to</w:t>
      </w:r>
      <w:r>
        <w:rPr>
          <w:spacing w:val="-2"/>
        </w:rPr>
        <w:t> </w:t>
      </w:r>
      <w:r>
        <w:rPr/>
        <w:t>time.</w:t>
      </w:r>
    </w:p>
    <w:p>
      <w:pPr>
        <w:spacing w:after="0"/>
        <w:sectPr>
          <w:type w:val="continuous"/>
          <w:pgSz w:w="11910" w:h="16840"/>
          <w:pgMar w:top="1360" w:bottom="280" w:left="1200" w:right="1000"/>
          <w:cols w:num="2" w:equalWidth="0">
            <w:col w:w="898" w:space="236"/>
            <w:col w:w="8576"/>
          </w:cols>
        </w:sectPr>
      </w:pPr>
    </w:p>
    <w:p>
      <w:pPr>
        <w:pStyle w:val="Heading5"/>
        <w:jc w:val="left"/>
        <w:rPr>
          <w:i/>
        </w:rPr>
      </w:pPr>
      <w:r>
        <w:rPr>
          <w:i/>
        </w:rPr>
        <w:t>revised statement</w:t>
      </w:r>
    </w:p>
    <w:p>
      <w:pPr>
        <w:pStyle w:val="BodyText"/>
        <w:ind w:left="1352" w:right="415" w:firstLine="0"/>
        <w:jc w:val="left"/>
      </w:pPr>
      <w:r>
        <w:rPr/>
        <w:t>A statement issued by </w:t>
      </w:r>
      <w:r>
        <w:rPr>
          <w:i/>
        </w:rPr>
        <w:t>AEMO </w:t>
      </w:r>
      <w:r>
        <w:rPr/>
        <w:t>under clause 3.15.19 following the resolution of a dispute regarding a </w:t>
      </w:r>
      <w:r>
        <w:rPr>
          <w:i/>
        </w:rPr>
        <w:t>final statement</w:t>
      </w:r>
      <w:r>
        <w:rPr/>
        <w:t>.</w:t>
      </w:r>
    </w:p>
    <w:p>
      <w:pPr>
        <w:spacing w:after="0"/>
        <w:jc w:val="left"/>
        <w:sectPr>
          <w:type w:val="continuous"/>
          <w:pgSz w:w="11910" w:h="16840"/>
          <w:pgMar w:top="1360" w:bottom="280" w:left="1200" w:right="1000"/>
        </w:sectPr>
      </w:pPr>
    </w:p>
    <w:p>
      <w:pPr>
        <w:pStyle w:val="Heading5"/>
        <w:spacing w:before="83"/>
        <w:jc w:val="left"/>
        <w:rPr>
          <w:i/>
        </w:rPr>
      </w:pPr>
      <w:r>
        <w:rPr>
          <w:i/>
        </w:rPr>
        <w:t>rise time</w:t>
      </w:r>
    </w:p>
    <w:p>
      <w:pPr>
        <w:pStyle w:val="BodyText"/>
        <w:spacing w:before="0"/>
        <w:ind w:firstLine="0"/>
        <w:jc w:val="left"/>
        <w:rPr>
          <w:b/>
          <w:i/>
          <w:sz w:val="26"/>
        </w:rPr>
      </w:pPr>
      <w:r>
        <w:rPr/>
        <w:br w:type="column"/>
      </w:r>
      <w:r>
        <w:rPr>
          <w:b/>
          <w:i/>
          <w:sz w:val="26"/>
        </w:rPr>
      </w:r>
    </w:p>
    <w:p>
      <w:pPr>
        <w:pStyle w:val="BodyText"/>
        <w:spacing w:before="180"/>
        <w:ind w:left="218" w:right="414" w:firstLine="0"/>
      </w:pPr>
      <w:r>
        <w:rPr/>
        <w:t>In relation to a </w:t>
      </w:r>
      <w:r>
        <w:rPr>
          <w:i/>
        </w:rPr>
        <w:t>control system</w:t>
      </w:r>
      <w:r>
        <w:rPr/>
        <w:t>, the time taken for an output quantity to rise from 10% to 90% of the maximum change induced in that quantity by a step change of an input quantity.</w:t>
      </w:r>
    </w:p>
    <w:p>
      <w:pPr>
        <w:spacing w:after="0"/>
        <w:sectPr>
          <w:pgSz w:w="11910" w:h="16840"/>
          <w:pgMar w:header="686" w:footer="637" w:top="1320" w:bottom="820" w:left="1200" w:right="1000"/>
          <w:cols w:num="2" w:equalWidth="0">
            <w:col w:w="1065" w:space="69"/>
            <w:col w:w="8576"/>
          </w:cols>
        </w:sectPr>
      </w:pPr>
    </w:p>
    <w:p>
      <w:pPr>
        <w:pStyle w:val="Heading5"/>
        <w:rPr>
          <w:i/>
        </w:rPr>
      </w:pPr>
      <w:r>
        <w:rPr>
          <w:i/>
        </w:rPr>
        <w:t>RMS phase voltage</w:t>
      </w:r>
    </w:p>
    <w:p>
      <w:pPr>
        <w:pStyle w:val="BodyText"/>
        <w:ind w:left="1352" w:firstLine="0"/>
      </w:pPr>
      <w:r>
        <w:rPr/>
        <w:t>The </w:t>
      </w:r>
      <w:r>
        <w:rPr>
          <w:i/>
        </w:rPr>
        <w:t>voltage </w:t>
      </w:r>
      <w:r>
        <w:rPr/>
        <w:t>of </w:t>
      </w:r>
      <w:r>
        <w:rPr>
          <w:i/>
        </w:rPr>
        <w:t>supply </w:t>
      </w:r>
      <w:r>
        <w:rPr/>
        <w:t>measured as the average of the root mean square of the</w:t>
      </w:r>
    </w:p>
    <w:p>
      <w:pPr>
        <w:spacing w:before="0"/>
        <w:ind w:left="1352" w:right="0" w:firstLine="0"/>
        <w:jc w:val="both"/>
        <w:rPr>
          <w:sz w:val="24"/>
        </w:rPr>
      </w:pPr>
      <w:r>
        <w:rPr>
          <w:i/>
          <w:sz w:val="24"/>
        </w:rPr>
        <w:t>voltages </w:t>
      </w:r>
      <w:r>
        <w:rPr>
          <w:sz w:val="24"/>
        </w:rPr>
        <w:t>between each pair of phases.</w:t>
      </w:r>
    </w:p>
    <w:p>
      <w:pPr>
        <w:pStyle w:val="Heading5"/>
        <w:rPr>
          <w:i/>
        </w:rPr>
      </w:pPr>
      <w:r>
        <w:rPr>
          <w:i/>
        </w:rPr>
        <w:t>roll forward model</w:t>
      </w:r>
    </w:p>
    <w:p>
      <w:pPr>
        <w:pStyle w:val="BodyText"/>
        <w:ind w:left="1352" w:firstLine="0"/>
      </w:pPr>
      <w:r>
        <w:rPr/>
        <w:t>According to context:</w:t>
      </w:r>
    </w:p>
    <w:p>
      <w:pPr>
        <w:pStyle w:val="ListParagraph"/>
        <w:numPr>
          <w:ilvl w:val="0"/>
          <w:numId w:val="816"/>
        </w:numPr>
        <w:tabs>
          <w:tab w:pos="1919" w:val="left" w:leader="none"/>
        </w:tabs>
        <w:spacing w:line="240" w:lineRule="auto" w:before="120" w:after="0"/>
        <w:ind w:left="1919" w:right="415" w:hanging="567"/>
        <w:jc w:val="both"/>
        <w:rPr>
          <w:sz w:val="24"/>
        </w:rPr>
      </w:pPr>
      <w:r>
        <w:rPr>
          <w:sz w:val="24"/>
        </w:rPr>
        <w:t>the model developed and published by the </w:t>
      </w:r>
      <w:r>
        <w:rPr>
          <w:i/>
          <w:sz w:val="24"/>
        </w:rPr>
        <w:t>AER </w:t>
      </w:r>
      <w:r>
        <w:rPr>
          <w:sz w:val="24"/>
        </w:rPr>
        <w:t>for the roll forward of the regulatory asset base for </w:t>
      </w:r>
      <w:r>
        <w:rPr>
          <w:i/>
          <w:sz w:val="24"/>
        </w:rPr>
        <w:t>transmission systems </w:t>
      </w:r>
      <w:r>
        <w:rPr>
          <w:sz w:val="24"/>
        </w:rPr>
        <w:t>in accordance with clause 6A.6.1;</w:t>
      </w:r>
    </w:p>
    <w:p>
      <w:pPr>
        <w:pStyle w:val="ListParagraph"/>
        <w:numPr>
          <w:ilvl w:val="0"/>
          <w:numId w:val="816"/>
        </w:numPr>
        <w:tabs>
          <w:tab w:pos="1919" w:val="left" w:leader="none"/>
        </w:tabs>
        <w:spacing w:line="240" w:lineRule="auto" w:before="120" w:after="0"/>
        <w:ind w:left="1919" w:right="415" w:hanging="567"/>
        <w:jc w:val="both"/>
        <w:rPr>
          <w:sz w:val="24"/>
        </w:rPr>
      </w:pPr>
      <w:r>
        <w:rPr>
          <w:sz w:val="24"/>
        </w:rPr>
        <w:t>the model developed and published by the </w:t>
      </w:r>
      <w:r>
        <w:rPr>
          <w:i/>
          <w:sz w:val="24"/>
        </w:rPr>
        <w:t>AER </w:t>
      </w:r>
      <w:r>
        <w:rPr>
          <w:sz w:val="24"/>
        </w:rPr>
        <w:t>for the roll forward of </w:t>
      </w:r>
      <w:r>
        <w:rPr>
          <w:spacing w:val="-4"/>
          <w:sz w:val="24"/>
        </w:rPr>
        <w:t>the</w:t>
      </w:r>
      <w:r>
        <w:rPr>
          <w:spacing w:val="52"/>
          <w:sz w:val="24"/>
        </w:rPr>
        <w:t> </w:t>
      </w:r>
      <w:r>
        <w:rPr>
          <w:sz w:val="24"/>
        </w:rPr>
        <w:t>regulatory asset base for </w:t>
      </w:r>
      <w:r>
        <w:rPr>
          <w:i/>
          <w:sz w:val="24"/>
        </w:rPr>
        <w:t>distribution systems </w:t>
      </w:r>
      <w:r>
        <w:rPr>
          <w:sz w:val="24"/>
        </w:rPr>
        <w:t>in accordance with</w:t>
      </w:r>
      <w:r>
        <w:rPr>
          <w:spacing w:val="26"/>
          <w:sz w:val="24"/>
        </w:rPr>
        <w:t> </w:t>
      </w:r>
      <w:r>
        <w:rPr>
          <w:sz w:val="24"/>
        </w:rPr>
        <w:t>clause 6.5.1.</w:t>
      </w:r>
    </w:p>
    <w:p>
      <w:pPr>
        <w:pStyle w:val="Heading5"/>
        <w:rPr>
          <w:i/>
        </w:rPr>
      </w:pPr>
      <w:r>
        <w:rPr>
          <w:i/>
        </w:rPr>
        <w:t>RoLR cost recovery scheme distributor payment determination</w:t>
      </w:r>
    </w:p>
    <w:p>
      <w:pPr>
        <w:spacing w:before="120"/>
        <w:ind w:left="1352" w:right="0" w:firstLine="0"/>
        <w:jc w:val="both"/>
        <w:rPr>
          <w:sz w:val="24"/>
        </w:rPr>
      </w:pPr>
      <w:r>
        <w:rPr>
          <w:sz w:val="24"/>
        </w:rPr>
        <w:t>Has the same meaning as in the </w:t>
      </w:r>
      <w:r>
        <w:rPr>
          <w:i/>
          <w:sz w:val="24"/>
        </w:rPr>
        <w:t>National Energy Retail Law</w:t>
      </w:r>
      <w:r>
        <w:rPr>
          <w:sz w:val="24"/>
        </w:rPr>
        <w:t>.</w:t>
      </w:r>
    </w:p>
    <w:p>
      <w:pPr>
        <w:pStyle w:val="Heading5"/>
        <w:rPr>
          <w:i/>
        </w:rPr>
      </w:pPr>
      <w:r>
        <w:rPr>
          <w:i/>
        </w:rPr>
        <w:t>RoLR Procedures</w:t>
      </w:r>
    </w:p>
    <w:p>
      <w:pPr>
        <w:spacing w:before="120"/>
        <w:ind w:left="1352" w:right="0" w:firstLine="0"/>
        <w:jc w:val="both"/>
        <w:rPr>
          <w:sz w:val="24"/>
        </w:rPr>
      </w:pPr>
      <w:r>
        <w:rPr>
          <w:sz w:val="24"/>
        </w:rPr>
        <w:t>Has the same meaning as in the </w:t>
      </w:r>
      <w:r>
        <w:rPr>
          <w:i/>
          <w:sz w:val="24"/>
        </w:rPr>
        <w:t>National Energy Retail Law</w:t>
      </w:r>
      <w:r>
        <w:rPr>
          <w:sz w:val="24"/>
        </w:rPr>
        <w:t>.</w:t>
      </w:r>
    </w:p>
    <w:p>
      <w:pPr>
        <w:pStyle w:val="Heading5"/>
        <w:jc w:val="left"/>
        <w:rPr>
          <w:i/>
        </w:rPr>
      </w:pPr>
      <w:r>
        <w:rPr>
          <w:i/>
        </w:rPr>
        <w:t>RoLR</w:t>
      </w:r>
    </w:p>
    <w:p>
      <w:pPr>
        <w:spacing w:before="120"/>
        <w:ind w:left="1352" w:right="0" w:firstLine="0"/>
        <w:jc w:val="left"/>
        <w:rPr>
          <w:sz w:val="24"/>
        </w:rPr>
      </w:pPr>
      <w:r>
        <w:rPr>
          <w:sz w:val="24"/>
        </w:rPr>
        <w:t>Has the same meaning as in the </w:t>
      </w:r>
      <w:r>
        <w:rPr>
          <w:i/>
          <w:sz w:val="24"/>
        </w:rPr>
        <w:t>National Energy Retail Law</w:t>
      </w:r>
      <w:r>
        <w:rPr>
          <w:sz w:val="24"/>
        </w:rPr>
        <w:t>.</w:t>
      </w:r>
    </w:p>
    <w:p>
      <w:pPr>
        <w:pStyle w:val="Heading5"/>
        <w:jc w:val="left"/>
        <w:rPr>
          <w:i/>
        </w:rPr>
      </w:pPr>
      <w:r>
        <w:rPr>
          <w:i/>
        </w:rPr>
        <w:t>routine revised statement</w:t>
      </w:r>
    </w:p>
    <w:p>
      <w:pPr>
        <w:spacing w:before="120"/>
        <w:ind w:left="1352" w:right="0" w:firstLine="0"/>
        <w:jc w:val="left"/>
        <w:rPr>
          <w:sz w:val="24"/>
        </w:rPr>
      </w:pPr>
      <w:r>
        <w:rPr>
          <w:sz w:val="24"/>
        </w:rPr>
        <w:t>A </w:t>
      </w:r>
      <w:r>
        <w:rPr>
          <w:i/>
          <w:sz w:val="24"/>
        </w:rPr>
        <w:t>settlement statement </w:t>
      </w:r>
      <w:r>
        <w:rPr>
          <w:sz w:val="24"/>
        </w:rPr>
        <w:t>issued by </w:t>
      </w:r>
      <w:r>
        <w:rPr>
          <w:i/>
          <w:sz w:val="24"/>
        </w:rPr>
        <w:t>AEMO </w:t>
      </w:r>
      <w:r>
        <w:rPr>
          <w:sz w:val="24"/>
        </w:rPr>
        <w:t>under clause 3.15.19(b).</w:t>
      </w:r>
    </w:p>
    <w:p>
      <w:pPr>
        <w:spacing w:after="0"/>
        <w:jc w:val="left"/>
        <w:rPr>
          <w:sz w:val="24"/>
        </w:rPr>
        <w:sectPr>
          <w:type w:val="continuous"/>
          <w:pgSz w:w="11910" w:h="16840"/>
          <w:pgMar w:top="1360" w:bottom="280" w:left="1200" w:right="1000"/>
        </w:sectPr>
      </w:pPr>
    </w:p>
    <w:p>
      <w:pPr>
        <w:pStyle w:val="Heading5"/>
        <w:spacing w:line="688" w:lineRule="auto"/>
        <w:ind w:right="-20"/>
        <w:jc w:val="left"/>
      </w:pPr>
      <w:r>
        <w:rPr>
          <w:i/>
        </w:rPr>
        <w:t>Rule fund </w:t>
      </w:r>
      <w:r>
        <w:rPr/>
        <w:t>Rules</w:t>
      </w:r>
    </w:p>
    <w:p>
      <w:pPr>
        <w:pStyle w:val="BodyText"/>
        <w:spacing w:before="0"/>
        <w:ind w:firstLine="0"/>
        <w:jc w:val="left"/>
        <w:rPr>
          <w:b/>
          <w:i/>
          <w:sz w:val="26"/>
        </w:rPr>
      </w:pPr>
      <w:r>
        <w:rPr/>
        <w:br w:type="column"/>
      </w:r>
      <w:r>
        <w:rPr>
          <w:b/>
          <w:i/>
          <w:sz w:val="26"/>
        </w:rPr>
      </w:r>
    </w:p>
    <w:p>
      <w:pPr>
        <w:pStyle w:val="BodyText"/>
        <w:spacing w:before="217"/>
        <w:ind w:left="100" w:firstLine="0"/>
        <w:jc w:val="left"/>
      </w:pPr>
      <w:r>
        <w:rPr/>
        <w:t>A fund referred to in clause 1.11(a).</w:t>
      </w:r>
    </w:p>
    <w:p>
      <w:pPr>
        <w:pStyle w:val="BodyText"/>
        <w:spacing w:before="0"/>
        <w:ind w:firstLine="0"/>
        <w:jc w:val="left"/>
        <w:rPr>
          <w:sz w:val="26"/>
        </w:rPr>
      </w:pPr>
    </w:p>
    <w:p>
      <w:pPr>
        <w:spacing w:before="217"/>
        <w:ind w:left="100" w:right="433" w:firstLine="0"/>
        <w:jc w:val="left"/>
        <w:rPr>
          <w:sz w:val="24"/>
        </w:rPr>
      </w:pPr>
      <w:r>
        <w:rPr>
          <w:sz w:val="24"/>
        </w:rPr>
        <w:t>The National Electricity Rules as defined in section 2(1) of the </w:t>
      </w:r>
      <w:r>
        <w:rPr>
          <w:i/>
          <w:sz w:val="24"/>
        </w:rPr>
        <w:t>National </w:t>
      </w:r>
      <w:r>
        <w:rPr>
          <w:i/>
          <w:sz w:val="24"/>
        </w:rPr>
        <w:t>Electricity</w:t>
      </w:r>
      <w:r>
        <w:rPr>
          <w:i/>
          <w:spacing w:val="-1"/>
          <w:sz w:val="24"/>
        </w:rPr>
        <w:t> </w:t>
      </w:r>
      <w:r>
        <w:rPr>
          <w:i/>
          <w:sz w:val="24"/>
        </w:rPr>
        <w:t>Law</w:t>
      </w:r>
      <w:r>
        <w:rPr>
          <w:sz w:val="24"/>
        </w:rPr>
        <w:t>.</w:t>
      </w:r>
    </w:p>
    <w:p>
      <w:pPr>
        <w:spacing w:after="0"/>
        <w:jc w:val="left"/>
        <w:rPr>
          <w:sz w:val="24"/>
        </w:rPr>
        <w:sectPr>
          <w:type w:val="continuous"/>
          <w:pgSz w:w="11910" w:h="16840"/>
          <w:pgMar w:top="1360" w:bottom="280" w:left="1200" w:right="1000"/>
          <w:cols w:num="2" w:equalWidth="0">
            <w:col w:w="1212" w:space="40"/>
            <w:col w:w="8458"/>
          </w:cols>
        </w:sectPr>
      </w:pPr>
    </w:p>
    <w:p>
      <w:pPr>
        <w:pStyle w:val="Heading5"/>
        <w:jc w:val="left"/>
        <w:rPr>
          <w:i/>
        </w:rPr>
      </w:pPr>
      <w:r>
        <w:rPr>
          <w:i/>
        </w:rPr>
        <w:t>Rules bodies</w:t>
      </w:r>
    </w:p>
    <w:p>
      <w:pPr>
        <w:pStyle w:val="BodyText"/>
        <w:ind w:left="1352" w:firstLine="0"/>
        <w:jc w:val="left"/>
      </w:pPr>
      <w:r>
        <w:rPr/>
        <w:t>Any person or body, other than </w:t>
      </w:r>
      <w:r>
        <w:rPr>
          <w:i/>
        </w:rPr>
        <w:t>AEMO</w:t>
      </w:r>
      <w:r>
        <w:rPr/>
        <w:t>, the </w:t>
      </w:r>
      <w:r>
        <w:rPr>
          <w:i/>
        </w:rPr>
        <w:t>AER</w:t>
      </w:r>
      <w:r>
        <w:rPr/>
        <w:t>, the </w:t>
      </w:r>
      <w:r>
        <w:rPr>
          <w:i/>
        </w:rPr>
        <w:t>AEMC</w:t>
      </w:r>
      <w:r>
        <w:rPr/>
        <w:t>, or the </w:t>
      </w:r>
      <w:r>
        <w:rPr>
          <w:i/>
        </w:rPr>
        <w:t>ACCC</w:t>
      </w:r>
      <w:r>
        <w:rPr/>
        <w:t>, that is appointed or constituted by the </w:t>
      </w:r>
      <w:r>
        <w:rPr>
          <w:i/>
        </w:rPr>
        <w:t>Rules </w:t>
      </w:r>
      <w:r>
        <w:rPr/>
        <w:t>to perform functions under the </w:t>
      </w:r>
      <w:r>
        <w:rPr>
          <w:i/>
        </w:rPr>
        <w:t>Rules</w:t>
      </w:r>
      <w:r>
        <w:rPr/>
        <w:t>.</w:t>
      </w:r>
    </w:p>
    <w:p>
      <w:pPr>
        <w:pStyle w:val="Heading5"/>
        <w:jc w:val="left"/>
        <w:rPr>
          <w:i/>
        </w:rPr>
      </w:pPr>
      <w:r>
        <w:rPr>
          <w:i/>
        </w:rPr>
        <w:t>Rules consultation procedures</w:t>
      </w:r>
    </w:p>
    <w:p>
      <w:pPr>
        <w:spacing w:before="120"/>
        <w:ind w:left="1352" w:right="415" w:firstLine="0"/>
        <w:jc w:val="left"/>
        <w:rPr>
          <w:sz w:val="24"/>
        </w:rPr>
      </w:pPr>
      <w:r>
        <w:rPr>
          <w:sz w:val="24"/>
        </w:rPr>
        <w:t>The procedures for consultation with </w:t>
      </w:r>
      <w:r>
        <w:rPr>
          <w:i/>
          <w:sz w:val="24"/>
        </w:rPr>
        <w:t>Registered Participants </w:t>
      </w:r>
      <w:r>
        <w:rPr>
          <w:sz w:val="24"/>
        </w:rPr>
        <w:t>or other persons as set out in clause</w:t>
      </w:r>
      <w:r>
        <w:rPr>
          <w:spacing w:val="-2"/>
          <w:sz w:val="24"/>
        </w:rPr>
        <w:t> </w:t>
      </w:r>
      <w:r>
        <w:rPr>
          <w:sz w:val="24"/>
        </w:rPr>
        <w:t>8.9.</w:t>
      </w:r>
    </w:p>
    <w:p>
      <w:pPr>
        <w:pStyle w:val="Heading5"/>
        <w:jc w:val="left"/>
        <w:rPr>
          <w:i/>
        </w:rPr>
      </w:pPr>
      <w:r>
        <w:rPr>
          <w:i/>
        </w:rPr>
        <w:t>satisfactory operating state</w:t>
      </w:r>
    </w:p>
    <w:p>
      <w:pPr>
        <w:spacing w:before="120"/>
        <w:ind w:left="1352" w:right="0" w:firstLine="0"/>
        <w:jc w:val="left"/>
        <w:rPr>
          <w:sz w:val="24"/>
        </w:rPr>
      </w:pPr>
      <w:r>
        <w:rPr>
          <w:sz w:val="24"/>
        </w:rPr>
        <w:t>In relation to the </w:t>
      </w:r>
      <w:r>
        <w:rPr>
          <w:i/>
          <w:sz w:val="24"/>
        </w:rPr>
        <w:t>power system</w:t>
      </w:r>
      <w:r>
        <w:rPr>
          <w:sz w:val="24"/>
        </w:rPr>
        <w:t>, has the meaning given in </w:t>
      </w:r>
      <w:r>
        <w:rPr>
          <w:i/>
          <w:sz w:val="24"/>
        </w:rPr>
        <w:t>jurisdictional electricity </w:t>
      </w:r>
      <w:r>
        <w:rPr>
          <w:i/>
          <w:sz w:val="24"/>
        </w:rPr>
        <w:t>legislation</w:t>
      </w:r>
      <w:r>
        <w:rPr>
          <w:sz w:val="24"/>
        </w:rPr>
        <w:t>.</w:t>
      </w:r>
    </w:p>
    <w:p>
      <w:pPr>
        <w:spacing w:after="0"/>
        <w:jc w:val="left"/>
        <w:rPr>
          <w:sz w:val="24"/>
        </w:rPr>
        <w:sectPr>
          <w:type w:val="continuous"/>
          <w:pgSz w:w="11910" w:h="16840"/>
          <w:pgMar w:top="1360" w:bottom="280" w:left="1200" w:right="1000"/>
        </w:sectPr>
      </w:pPr>
    </w:p>
    <w:p>
      <w:pPr>
        <w:spacing w:before="83"/>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The meaning given in </w:t>
      </w:r>
      <w:r>
        <w:rPr>
          <w:i/>
          <w:sz w:val="20"/>
        </w:rPr>
        <w:t>jurisdictional electricity legislation </w:t>
      </w:r>
      <w:r>
        <w:rPr>
          <w:sz w:val="20"/>
        </w:rPr>
        <w:t>in the above definition will correspond to the meaning given in clause 4.2.2 in the </w:t>
      </w:r>
      <w:r>
        <w:rPr>
          <w:i/>
          <w:sz w:val="20"/>
        </w:rPr>
        <w:t>Rules </w:t>
      </w:r>
      <w:r>
        <w:rPr>
          <w:sz w:val="20"/>
        </w:rPr>
        <w:t>applying in other </w:t>
      </w:r>
      <w:r>
        <w:rPr>
          <w:i/>
          <w:sz w:val="20"/>
        </w:rPr>
        <w:t>participating</w:t>
      </w:r>
      <w:r>
        <w:rPr>
          <w:i/>
          <w:spacing w:val="-4"/>
          <w:sz w:val="20"/>
        </w:rPr>
        <w:t> </w:t>
      </w:r>
      <w:r>
        <w:rPr>
          <w:i/>
          <w:sz w:val="20"/>
        </w:rPr>
        <w:t>jurisdictions</w:t>
      </w:r>
      <w:r>
        <w:rPr>
          <w:sz w:val="20"/>
        </w:rPr>
        <w:t>.</w:t>
      </w:r>
    </w:p>
    <w:p>
      <w:pPr>
        <w:pStyle w:val="Heading5"/>
        <w:rPr>
          <w:i/>
        </w:rPr>
      </w:pPr>
      <w:r>
        <w:rPr>
          <w:i/>
        </w:rPr>
        <w:t>scheduled generating unit</w:t>
      </w:r>
    </w:p>
    <w:p>
      <w:pPr>
        <w:pStyle w:val="ListParagraph"/>
        <w:numPr>
          <w:ilvl w:val="0"/>
          <w:numId w:val="817"/>
        </w:numPr>
        <w:tabs>
          <w:tab w:pos="1919" w:val="left" w:leader="none"/>
        </w:tabs>
        <w:spacing w:line="240" w:lineRule="auto" w:before="120" w:after="0"/>
        <w:ind w:left="1918" w:right="0" w:hanging="567"/>
        <w:jc w:val="both"/>
        <w:rPr>
          <w:sz w:val="24"/>
        </w:rPr>
      </w:pPr>
      <w:r>
        <w:rPr>
          <w:sz w:val="24"/>
        </w:rPr>
        <w:t>A </w:t>
      </w:r>
      <w:r>
        <w:rPr>
          <w:i/>
          <w:sz w:val="24"/>
        </w:rPr>
        <w:t>generating unit </w:t>
      </w:r>
      <w:r>
        <w:rPr>
          <w:sz w:val="24"/>
        </w:rPr>
        <w:t>so classified in accordance with Chapter</w:t>
      </w:r>
      <w:r>
        <w:rPr>
          <w:spacing w:val="-4"/>
          <w:sz w:val="24"/>
        </w:rPr>
        <w:t> </w:t>
      </w:r>
      <w:r>
        <w:rPr>
          <w:sz w:val="24"/>
        </w:rPr>
        <w:t>2.</w:t>
      </w:r>
    </w:p>
    <w:p>
      <w:pPr>
        <w:pStyle w:val="ListParagraph"/>
        <w:numPr>
          <w:ilvl w:val="0"/>
          <w:numId w:val="817"/>
        </w:numPr>
        <w:tabs>
          <w:tab w:pos="1919" w:val="left" w:leader="none"/>
        </w:tabs>
        <w:spacing w:line="240" w:lineRule="auto" w:before="120" w:after="0"/>
        <w:ind w:left="1919" w:right="416" w:hanging="567"/>
        <w:jc w:val="both"/>
        <w:rPr>
          <w:sz w:val="24"/>
        </w:rPr>
      </w:pPr>
      <w:r>
        <w:rPr>
          <w:sz w:val="24"/>
        </w:rPr>
        <w:t>For the purposes of Chapter 3 (except clause 3.8.3A(b)(1)(iv)) and rule </w:t>
      </w:r>
      <w:r>
        <w:rPr>
          <w:spacing w:val="-3"/>
          <w:sz w:val="24"/>
        </w:rPr>
        <w:t>4.9, </w:t>
      </w:r>
      <w:r>
        <w:rPr>
          <w:sz w:val="24"/>
        </w:rPr>
        <w:t>two or more </w:t>
      </w:r>
      <w:r>
        <w:rPr>
          <w:i/>
          <w:sz w:val="24"/>
        </w:rPr>
        <w:t>generating units </w:t>
      </w:r>
      <w:r>
        <w:rPr>
          <w:sz w:val="24"/>
        </w:rPr>
        <w:t>referred to in paragraph (a) that have been aggregated in accordance with clause</w:t>
      </w:r>
      <w:r>
        <w:rPr>
          <w:spacing w:val="-3"/>
          <w:sz w:val="24"/>
        </w:rPr>
        <w:t> </w:t>
      </w:r>
      <w:r>
        <w:rPr>
          <w:sz w:val="24"/>
        </w:rPr>
        <w:t>3.8.3.</w:t>
      </w:r>
    </w:p>
    <w:p>
      <w:pPr>
        <w:pStyle w:val="Heading5"/>
        <w:rPr>
          <w:i/>
        </w:rPr>
      </w:pPr>
      <w:r>
        <w:rPr>
          <w:i/>
        </w:rPr>
        <w:t>scheduled generating system</w:t>
      </w:r>
    </w:p>
    <w:p>
      <w:pPr>
        <w:spacing w:before="120"/>
        <w:ind w:left="1352" w:right="0" w:firstLine="0"/>
        <w:jc w:val="both"/>
        <w:rPr>
          <w:sz w:val="24"/>
        </w:rPr>
      </w:pPr>
      <w:r>
        <w:rPr>
          <w:sz w:val="24"/>
        </w:rPr>
        <w:t>A </w:t>
      </w:r>
      <w:r>
        <w:rPr>
          <w:i/>
          <w:sz w:val="24"/>
        </w:rPr>
        <w:t>generating system </w:t>
      </w:r>
      <w:r>
        <w:rPr>
          <w:sz w:val="24"/>
        </w:rPr>
        <w:t>comprising </w:t>
      </w:r>
      <w:r>
        <w:rPr>
          <w:i/>
          <w:sz w:val="24"/>
        </w:rPr>
        <w:t>scheduled generating units</w:t>
      </w:r>
      <w:r>
        <w:rPr>
          <w:sz w:val="24"/>
        </w:rPr>
        <w:t>.</w:t>
      </w:r>
    </w:p>
    <w:p>
      <w:pPr>
        <w:pStyle w:val="Heading5"/>
        <w:rPr>
          <w:i/>
        </w:rPr>
      </w:pPr>
      <w:r>
        <w:rPr>
          <w:i/>
        </w:rPr>
        <w:t>Scheduled Generator</w:t>
      </w:r>
    </w:p>
    <w:p>
      <w:pPr>
        <w:spacing w:before="120"/>
        <w:ind w:left="1352" w:right="416" w:firstLine="0"/>
        <w:jc w:val="both"/>
        <w:rPr>
          <w:sz w:val="24"/>
        </w:rPr>
      </w:pPr>
      <w:r>
        <w:rPr>
          <w:sz w:val="24"/>
        </w:rPr>
        <w:t>A </w:t>
      </w:r>
      <w:r>
        <w:rPr>
          <w:i/>
          <w:sz w:val="24"/>
        </w:rPr>
        <w:t>Generator </w:t>
      </w:r>
      <w:r>
        <w:rPr>
          <w:sz w:val="24"/>
        </w:rPr>
        <w:t>in respect of which any </w:t>
      </w:r>
      <w:r>
        <w:rPr>
          <w:i/>
          <w:sz w:val="24"/>
        </w:rPr>
        <w:t>generating unit </w:t>
      </w:r>
      <w:r>
        <w:rPr>
          <w:sz w:val="24"/>
        </w:rPr>
        <w:t>is classified as a </w:t>
      </w:r>
      <w:r>
        <w:rPr>
          <w:i/>
          <w:sz w:val="24"/>
        </w:rPr>
        <w:t>scheduled </w:t>
      </w:r>
      <w:r>
        <w:rPr>
          <w:i/>
          <w:sz w:val="24"/>
        </w:rPr>
        <w:t>generating unit </w:t>
      </w:r>
      <w:r>
        <w:rPr>
          <w:sz w:val="24"/>
        </w:rPr>
        <w:t>in accordance with Chapter 2.</w:t>
      </w:r>
    </w:p>
    <w:p>
      <w:pPr>
        <w:pStyle w:val="Heading5"/>
        <w:rPr>
          <w:i/>
        </w:rPr>
      </w:pPr>
      <w:r>
        <w:rPr>
          <w:i/>
        </w:rPr>
        <w:t>scheduled high price</w:t>
      </w:r>
    </w:p>
    <w:p>
      <w:pPr>
        <w:pStyle w:val="BodyText"/>
        <w:ind w:left="1352" w:firstLine="0"/>
      </w:pPr>
      <w:r>
        <w:rPr/>
        <w:t>The dollar amount per MWh or MW, as the case may be, determined as such by</w:t>
      </w:r>
    </w:p>
    <w:p>
      <w:pPr>
        <w:pStyle w:val="BodyText"/>
        <w:spacing w:before="0"/>
        <w:ind w:left="1352" w:firstLine="0"/>
      </w:pPr>
      <w:r>
        <w:rPr>
          <w:i/>
        </w:rPr>
        <w:t>AEMO </w:t>
      </w:r>
      <w:r>
        <w:rPr/>
        <w:t>pursuant to clause 3.3.17.</w:t>
      </w:r>
    </w:p>
    <w:p>
      <w:pPr>
        <w:pStyle w:val="Heading5"/>
        <w:rPr>
          <w:i/>
        </w:rPr>
      </w:pPr>
      <w:r>
        <w:rPr>
          <w:i/>
        </w:rPr>
        <w:t>scheduled load</w:t>
      </w:r>
    </w:p>
    <w:p>
      <w:pPr>
        <w:pStyle w:val="ListParagraph"/>
        <w:numPr>
          <w:ilvl w:val="0"/>
          <w:numId w:val="818"/>
        </w:numPr>
        <w:tabs>
          <w:tab w:pos="1919" w:val="left" w:leader="none"/>
        </w:tabs>
        <w:spacing w:line="240" w:lineRule="auto" w:before="120" w:after="0"/>
        <w:ind w:left="1919" w:right="416" w:hanging="567"/>
        <w:jc w:val="both"/>
        <w:rPr>
          <w:sz w:val="24"/>
        </w:rPr>
      </w:pPr>
      <w:r>
        <w:rPr>
          <w:sz w:val="24"/>
        </w:rPr>
        <w:t>A </w:t>
      </w:r>
      <w:r>
        <w:rPr>
          <w:i/>
          <w:sz w:val="24"/>
        </w:rPr>
        <w:t>market load </w:t>
      </w:r>
      <w:r>
        <w:rPr>
          <w:sz w:val="24"/>
        </w:rPr>
        <w:t>which has been classified by </w:t>
      </w:r>
      <w:r>
        <w:rPr>
          <w:i/>
          <w:sz w:val="24"/>
        </w:rPr>
        <w:t>AEMO </w:t>
      </w:r>
      <w:r>
        <w:rPr>
          <w:sz w:val="24"/>
        </w:rPr>
        <w:t>in accordance with Chapter 2 as a </w:t>
      </w:r>
      <w:r>
        <w:rPr>
          <w:i/>
          <w:sz w:val="24"/>
        </w:rPr>
        <w:t>scheduled load </w:t>
      </w:r>
      <w:r>
        <w:rPr>
          <w:sz w:val="24"/>
        </w:rPr>
        <w:t>at the </w:t>
      </w:r>
      <w:r>
        <w:rPr>
          <w:i/>
          <w:sz w:val="24"/>
        </w:rPr>
        <w:t>Market Customer's </w:t>
      </w:r>
      <w:r>
        <w:rPr>
          <w:sz w:val="24"/>
        </w:rPr>
        <w:t>request. Under Chapter 3, a </w:t>
      </w:r>
      <w:r>
        <w:rPr>
          <w:i/>
          <w:sz w:val="24"/>
        </w:rPr>
        <w:t>Market Customer </w:t>
      </w:r>
      <w:r>
        <w:rPr>
          <w:sz w:val="24"/>
        </w:rPr>
        <w:t>may submit </w:t>
      </w:r>
      <w:r>
        <w:rPr>
          <w:i/>
          <w:sz w:val="24"/>
        </w:rPr>
        <w:t>dispatch bids </w:t>
      </w:r>
      <w:r>
        <w:rPr>
          <w:sz w:val="24"/>
        </w:rPr>
        <w:t>in relation</w:t>
      </w:r>
      <w:r>
        <w:rPr>
          <w:spacing w:val="41"/>
          <w:sz w:val="24"/>
        </w:rPr>
        <w:t> </w:t>
      </w:r>
      <w:r>
        <w:rPr>
          <w:sz w:val="24"/>
        </w:rPr>
        <w:t>to </w:t>
      </w:r>
      <w:r>
        <w:rPr>
          <w:i/>
          <w:sz w:val="24"/>
        </w:rPr>
        <w:t>scheduled</w:t>
      </w:r>
      <w:r>
        <w:rPr>
          <w:i/>
          <w:spacing w:val="-2"/>
          <w:sz w:val="24"/>
        </w:rPr>
        <w:t> </w:t>
      </w:r>
      <w:r>
        <w:rPr>
          <w:i/>
          <w:sz w:val="24"/>
        </w:rPr>
        <w:t>loads</w:t>
      </w:r>
      <w:r>
        <w:rPr>
          <w:sz w:val="24"/>
        </w:rPr>
        <w:t>.</w:t>
      </w:r>
    </w:p>
    <w:p>
      <w:pPr>
        <w:pStyle w:val="ListParagraph"/>
        <w:numPr>
          <w:ilvl w:val="0"/>
          <w:numId w:val="818"/>
        </w:numPr>
        <w:tabs>
          <w:tab w:pos="1919" w:val="left" w:leader="none"/>
        </w:tabs>
        <w:spacing w:line="240" w:lineRule="auto" w:before="120" w:after="0"/>
        <w:ind w:left="1919" w:right="415" w:hanging="567"/>
        <w:jc w:val="both"/>
        <w:rPr>
          <w:sz w:val="24"/>
        </w:rPr>
      </w:pPr>
      <w:r>
        <w:rPr>
          <w:sz w:val="24"/>
        </w:rPr>
        <w:t>For the purposes of Chapter 3 (except clause 3.8.3A(b)(1)(ii)) and rule </w:t>
      </w:r>
      <w:r>
        <w:rPr>
          <w:spacing w:val="-3"/>
          <w:sz w:val="24"/>
        </w:rPr>
        <w:t>4.9, </w:t>
      </w:r>
      <w:r>
        <w:rPr>
          <w:sz w:val="24"/>
        </w:rPr>
        <w:t>two or more </w:t>
      </w:r>
      <w:r>
        <w:rPr>
          <w:i/>
          <w:sz w:val="24"/>
        </w:rPr>
        <w:t>scheduled loads </w:t>
      </w:r>
      <w:r>
        <w:rPr>
          <w:sz w:val="24"/>
        </w:rPr>
        <w:t>referred to in paragraph (a) that have been aggregated in accordance with clause</w:t>
      </w:r>
      <w:r>
        <w:rPr>
          <w:spacing w:val="-3"/>
          <w:sz w:val="24"/>
        </w:rPr>
        <w:t> </w:t>
      </w:r>
      <w:r>
        <w:rPr>
          <w:sz w:val="24"/>
        </w:rPr>
        <w:t>3.8.3.</w:t>
      </w:r>
    </w:p>
    <w:p>
      <w:pPr>
        <w:pStyle w:val="Heading5"/>
        <w:rPr>
          <w:i/>
        </w:rPr>
      </w:pPr>
      <w:r>
        <w:rPr>
          <w:i/>
        </w:rPr>
        <w:t>scheduled low price</w:t>
      </w:r>
    </w:p>
    <w:p>
      <w:pPr>
        <w:pStyle w:val="BodyText"/>
        <w:ind w:left="1352" w:firstLine="0"/>
      </w:pPr>
      <w:r>
        <w:rPr/>
        <w:t>The dollar amount per MWh or MW, as the case may be, determined as such by</w:t>
      </w:r>
    </w:p>
    <w:p>
      <w:pPr>
        <w:pStyle w:val="BodyText"/>
        <w:spacing w:before="0"/>
        <w:ind w:left="1352" w:firstLine="0"/>
      </w:pPr>
      <w:r>
        <w:rPr>
          <w:i/>
        </w:rPr>
        <w:t>AEMO </w:t>
      </w:r>
      <w:r>
        <w:rPr/>
        <w:t>pursuant to clause 3.3.17.</w:t>
      </w:r>
    </w:p>
    <w:p>
      <w:pPr>
        <w:pStyle w:val="Heading5"/>
        <w:rPr>
          <w:i/>
        </w:rPr>
      </w:pPr>
      <w:r>
        <w:rPr>
          <w:i/>
        </w:rPr>
        <w:t>scheduled network service</w:t>
      </w:r>
    </w:p>
    <w:p>
      <w:pPr>
        <w:pStyle w:val="ListParagraph"/>
        <w:numPr>
          <w:ilvl w:val="0"/>
          <w:numId w:val="819"/>
        </w:numPr>
        <w:tabs>
          <w:tab w:pos="1919" w:val="left" w:leader="none"/>
        </w:tabs>
        <w:spacing w:line="240" w:lineRule="auto" w:before="120" w:after="0"/>
        <w:ind w:left="1919" w:right="417" w:hanging="567"/>
        <w:jc w:val="both"/>
        <w:rPr>
          <w:sz w:val="24"/>
        </w:rPr>
      </w:pPr>
      <w:r>
        <w:rPr>
          <w:sz w:val="24"/>
        </w:rPr>
        <w:t>A </w:t>
      </w:r>
      <w:r>
        <w:rPr>
          <w:i/>
          <w:sz w:val="24"/>
        </w:rPr>
        <w:t>network service </w:t>
      </w:r>
      <w:r>
        <w:rPr>
          <w:sz w:val="24"/>
        </w:rPr>
        <w:t>which is classified as a </w:t>
      </w:r>
      <w:r>
        <w:rPr>
          <w:i/>
          <w:sz w:val="24"/>
        </w:rPr>
        <w:t>scheduled network service </w:t>
      </w:r>
      <w:r>
        <w:rPr>
          <w:sz w:val="24"/>
        </w:rPr>
        <w:t>in accordance with Chapter</w:t>
      </w:r>
      <w:r>
        <w:rPr>
          <w:spacing w:val="-2"/>
          <w:sz w:val="24"/>
        </w:rPr>
        <w:t> </w:t>
      </w:r>
      <w:r>
        <w:rPr>
          <w:sz w:val="24"/>
        </w:rPr>
        <w:t>2.</w:t>
      </w:r>
    </w:p>
    <w:p>
      <w:pPr>
        <w:pStyle w:val="ListParagraph"/>
        <w:numPr>
          <w:ilvl w:val="0"/>
          <w:numId w:val="819"/>
        </w:numPr>
        <w:tabs>
          <w:tab w:pos="1919" w:val="left" w:leader="none"/>
        </w:tabs>
        <w:spacing w:line="240" w:lineRule="auto" w:before="120" w:after="0"/>
        <w:ind w:left="1919" w:right="415" w:hanging="567"/>
        <w:jc w:val="both"/>
        <w:rPr>
          <w:sz w:val="24"/>
        </w:rPr>
      </w:pPr>
      <w:r>
        <w:rPr>
          <w:sz w:val="24"/>
        </w:rPr>
        <w:t>For the purposes of Chapter 3 (except clause 3.8.3A(b)(1)(ii)) and rule </w:t>
      </w:r>
      <w:r>
        <w:rPr>
          <w:spacing w:val="-3"/>
          <w:sz w:val="24"/>
        </w:rPr>
        <w:t>4.9, </w:t>
      </w:r>
      <w:r>
        <w:rPr>
          <w:sz w:val="24"/>
        </w:rPr>
        <w:t>two or more </w:t>
      </w:r>
      <w:r>
        <w:rPr>
          <w:i/>
          <w:sz w:val="24"/>
        </w:rPr>
        <w:t>scheduled network services </w:t>
      </w:r>
      <w:r>
        <w:rPr>
          <w:sz w:val="24"/>
        </w:rPr>
        <w:t>referred to in paragraph (a) that have been aggregated in accordance with clause</w:t>
      </w:r>
      <w:r>
        <w:rPr>
          <w:spacing w:val="-2"/>
          <w:sz w:val="24"/>
        </w:rPr>
        <w:t> </w:t>
      </w:r>
      <w:r>
        <w:rPr>
          <w:sz w:val="24"/>
        </w:rPr>
        <w:t>3.8.3.</w:t>
      </w:r>
    </w:p>
    <w:p>
      <w:pPr>
        <w:pStyle w:val="Heading5"/>
        <w:rPr>
          <w:i/>
        </w:rPr>
      </w:pPr>
      <w:r>
        <w:rPr>
          <w:i/>
        </w:rPr>
        <w:t>Scheduled Network Service Provider</w:t>
      </w:r>
    </w:p>
    <w:p>
      <w:pPr>
        <w:spacing w:before="120"/>
        <w:ind w:left="1352" w:right="0" w:firstLine="0"/>
        <w:jc w:val="both"/>
        <w:rPr>
          <w:sz w:val="24"/>
        </w:rPr>
      </w:pPr>
      <w:r>
        <w:rPr>
          <w:sz w:val="24"/>
        </w:rPr>
        <w:t>A </w:t>
      </w:r>
      <w:r>
        <w:rPr>
          <w:i/>
          <w:sz w:val="24"/>
        </w:rPr>
        <w:t>Network Service Provider </w:t>
      </w:r>
      <w:r>
        <w:rPr>
          <w:sz w:val="24"/>
        </w:rPr>
        <w:t>who has classified any of its </w:t>
      </w:r>
      <w:r>
        <w:rPr>
          <w:i/>
          <w:sz w:val="24"/>
        </w:rPr>
        <w:t>network services </w:t>
      </w:r>
      <w:r>
        <w:rPr>
          <w:sz w:val="24"/>
        </w:rPr>
        <w:t>as a</w:t>
      </w:r>
    </w:p>
    <w:p>
      <w:pPr>
        <w:spacing w:before="0"/>
        <w:ind w:left="1352" w:right="0" w:firstLine="0"/>
        <w:jc w:val="both"/>
        <w:rPr>
          <w:sz w:val="24"/>
        </w:rPr>
      </w:pPr>
      <w:r>
        <w:rPr>
          <w:i/>
          <w:sz w:val="24"/>
        </w:rPr>
        <w:t>scheduled network service</w:t>
      </w:r>
      <w:r>
        <w:rPr>
          <w:sz w:val="24"/>
        </w:rPr>
        <w:t>.</w:t>
      </w:r>
    </w:p>
    <w:p>
      <w:pPr>
        <w:pStyle w:val="Heading5"/>
        <w:rPr>
          <w:i/>
        </w:rPr>
      </w:pPr>
      <w:r>
        <w:rPr>
          <w:i/>
        </w:rPr>
        <w:t>scheduled plant</w:t>
      </w:r>
    </w:p>
    <w:p>
      <w:pPr>
        <w:spacing w:before="120"/>
        <w:ind w:left="1352" w:right="415" w:firstLine="0"/>
        <w:jc w:val="both"/>
        <w:rPr>
          <w:sz w:val="24"/>
        </w:rPr>
      </w:pPr>
      <w:r>
        <w:rPr>
          <w:sz w:val="24"/>
        </w:rPr>
        <w:t>In respect of a </w:t>
      </w:r>
      <w:r>
        <w:rPr>
          <w:i/>
          <w:sz w:val="24"/>
        </w:rPr>
        <w:t>Registered Participant</w:t>
      </w:r>
      <w:r>
        <w:rPr>
          <w:sz w:val="24"/>
        </w:rPr>
        <w:t>, a </w:t>
      </w:r>
      <w:r>
        <w:rPr>
          <w:i/>
          <w:sz w:val="24"/>
        </w:rPr>
        <w:t>scheduled generating unit</w:t>
      </w:r>
      <w:r>
        <w:rPr>
          <w:sz w:val="24"/>
        </w:rPr>
        <w:t>, a </w:t>
      </w:r>
      <w:r>
        <w:rPr>
          <w:i/>
          <w:sz w:val="24"/>
        </w:rPr>
        <w:t>semi- </w:t>
      </w:r>
      <w:r>
        <w:rPr>
          <w:i/>
          <w:sz w:val="24"/>
        </w:rPr>
        <w:t>scheduled generating unit</w:t>
      </w:r>
      <w:r>
        <w:rPr>
          <w:sz w:val="24"/>
        </w:rPr>
        <w:t>, a </w:t>
      </w:r>
      <w:r>
        <w:rPr>
          <w:i/>
          <w:sz w:val="24"/>
        </w:rPr>
        <w:t>scheduled network service </w:t>
      </w:r>
      <w:r>
        <w:rPr>
          <w:sz w:val="24"/>
        </w:rPr>
        <w:t>or a </w:t>
      </w:r>
      <w:r>
        <w:rPr>
          <w:i/>
          <w:sz w:val="24"/>
        </w:rPr>
        <w:t>scheduled load </w:t>
      </w:r>
      <w:r>
        <w:rPr>
          <w:sz w:val="24"/>
        </w:rPr>
        <w:t>classified by or in respect to that </w:t>
      </w:r>
      <w:r>
        <w:rPr>
          <w:i/>
          <w:sz w:val="24"/>
        </w:rPr>
        <w:t>Registered Participant </w:t>
      </w:r>
      <w:r>
        <w:rPr>
          <w:sz w:val="24"/>
        </w:rPr>
        <w:t>in accordance with Chapter 2.</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scheduled reserve</w:t>
      </w:r>
    </w:p>
    <w:p>
      <w:pPr>
        <w:pStyle w:val="BodyText"/>
        <w:ind w:left="1352" w:firstLine="0"/>
        <w:jc w:val="left"/>
      </w:pPr>
      <w:r>
        <w:rPr/>
        <w:t>The amount of surplus or unused capacity:</w:t>
      </w:r>
    </w:p>
    <w:p>
      <w:pPr>
        <w:pStyle w:val="ListParagraph"/>
        <w:numPr>
          <w:ilvl w:val="0"/>
          <w:numId w:val="820"/>
        </w:numPr>
        <w:tabs>
          <w:tab w:pos="1918" w:val="left" w:leader="none"/>
          <w:tab w:pos="1919" w:val="left" w:leader="none"/>
        </w:tabs>
        <w:spacing w:line="240" w:lineRule="auto" w:before="120" w:after="0"/>
        <w:ind w:left="1918" w:right="0" w:hanging="567"/>
        <w:jc w:val="left"/>
        <w:rPr>
          <w:sz w:val="24"/>
        </w:rPr>
      </w:pPr>
      <w:r>
        <w:rPr>
          <w:sz w:val="24"/>
        </w:rPr>
        <w:t>of </w:t>
      </w:r>
      <w:r>
        <w:rPr>
          <w:i/>
          <w:sz w:val="24"/>
        </w:rPr>
        <w:t>scheduled generating</w:t>
      </w:r>
      <w:r>
        <w:rPr>
          <w:i/>
          <w:spacing w:val="-2"/>
          <w:sz w:val="24"/>
        </w:rPr>
        <w:t> </w:t>
      </w:r>
      <w:r>
        <w:rPr>
          <w:i/>
          <w:sz w:val="24"/>
        </w:rPr>
        <w:t>units</w:t>
      </w:r>
      <w:r>
        <w:rPr>
          <w:sz w:val="24"/>
        </w:rPr>
        <w:t>;</w:t>
      </w:r>
    </w:p>
    <w:p>
      <w:pPr>
        <w:pStyle w:val="ListParagraph"/>
        <w:numPr>
          <w:ilvl w:val="0"/>
          <w:numId w:val="820"/>
        </w:numPr>
        <w:tabs>
          <w:tab w:pos="1918" w:val="left" w:leader="none"/>
          <w:tab w:pos="1919" w:val="left" w:leader="none"/>
        </w:tabs>
        <w:spacing w:line="240" w:lineRule="auto" w:before="120" w:after="0"/>
        <w:ind w:left="1918" w:right="0" w:hanging="567"/>
        <w:jc w:val="left"/>
        <w:rPr>
          <w:sz w:val="24"/>
        </w:rPr>
      </w:pPr>
      <w:r>
        <w:rPr>
          <w:sz w:val="24"/>
        </w:rPr>
        <w:t>of </w:t>
      </w:r>
      <w:r>
        <w:rPr>
          <w:i/>
          <w:sz w:val="24"/>
        </w:rPr>
        <w:t>scheduled network services</w:t>
      </w:r>
      <w:r>
        <w:rPr>
          <w:sz w:val="24"/>
        </w:rPr>
        <w:t>;</w:t>
      </w:r>
      <w:r>
        <w:rPr>
          <w:spacing w:val="-1"/>
          <w:sz w:val="24"/>
        </w:rPr>
        <w:t> </w:t>
      </w:r>
      <w:r>
        <w:rPr>
          <w:sz w:val="24"/>
        </w:rPr>
        <w:t>or</w:t>
      </w:r>
    </w:p>
    <w:p>
      <w:pPr>
        <w:pStyle w:val="ListParagraph"/>
        <w:numPr>
          <w:ilvl w:val="0"/>
          <w:numId w:val="820"/>
        </w:numPr>
        <w:tabs>
          <w:tab w:pos="1918" w:val="left" w:leader="none"/>
          <w:tab w:pos="1919" w:val="left" w:leader="none"/>
        </w:tabs>
        <w:spacing w:line="240" w:lineRule="auto" w:before="120" w:after="0"/>
        <w:ind w:left="1918" w:right="0" w:hanging="567"/>
        <w:jc w:val="left"/>
        <w:rPr>
          <w:sz w:val="24"/>
        </w:rPr>
      </w:pPr>
      <w:r>
        <w:rPr>
          <w:sz w:val="24"/>
        </w:rPr>
        <w:t>arising out of the ability to reduce </w:t>
      </w:r>
      <w:r>
        <w:rPr>
          <w:i/>
          <w:sz w:val="24"/>
        </w:rPr>
        <w:t>scheduled</w:t>
      </w:r>
      <w:r>
        <w:rPr>
          <w:i/>
          <w:spacing w:val="-3"/>
          <w:sz w:val="24"/>
        </w:rPr>
        <w:t> </w:t>
      </w:r>
      <w:r>
        <w:rPr>
          <w:i/>
          <w:sz w:val="24"/>
        </w:rPr>
        <w:t>loads</w:t>
      </w:r>
      <w:r>
        <w:rPr>
          <w:sz w:val="24"/>
        </w:rPr>
        <w:t>.</w:t>
      </w:r>
    </w:p>
    <w:p>
      <w:pPr>
        <w:pStyle w:val="Heading5"/>
        <w:jc w:val="left"/>
        <w:rPr>
          <w:i/>
        </w:rPr>
      </w:pPr>
      <w:r>
        <w:rPr>
          <w:i/>
        </w:rPr>
        <w:t>scheduled reserve contract</w:t>
      </w:r>
    </w:p>
    <w:p>
      <w:pPr>
        <w:spacing w:before="120"/>
        <w:ind w:left="1352" w:right="415" w:firstLine="0"/>
        <w:jc w:val="left"/>
        <w:rPr>
          <w:sz w:val="24"/>
        </w:rPr>
      </w:pPr>
      <w:r>
        <w:rPr>
          <w:sz w:val="24"/>
        </w:rPr>
        <w:t>A contract entered into by </w:t>
      </w:r>
      <w:r>
        <w:rPr>
          <w:i/>
          <w:sz w:val="24"/>
        </w:rPr>
        <w:t>AEMO </w:t>
      </w:r>
      <w:r>
        <w:rPr>
          <w:sz w:val="24"/>
        </w:rPr>
        <w:t>for the provision of </w:t>
      </w:r>
      <w:r>
        <w:rPr>
          <w:i/>
          <w:sz w:val="24"/>
        </w:rPr>
        <w:t>scheduled reserve </w:t>
      </w:r>
      <w:r>
        <w:rPr>
          <w:sz w:val="24"/>
        </w:rPr>
        <w:t>in accordance with rule 3.20.</w:t>
      </w:r>
    </w:p>
    <w:p>
      <w:pPr>
        <w:pStyle w:val="Heading5"/>
        <w:jc w:val="left"/>
        <w:rPr>
          <w:i/>
        </w:rPr>
      </w:pPr>
      <w:r>
        <w:rPr>
          <w:i/>
        </w:rPr>
        <w:t>scheduling error</w:t>
      </w:r>
    </w:p>
    <w:p>
      <w:pPr>
        <w:spacing w:before="120"/>
        <w:ind w:left="1352" w:right="0" w:firstLine="0"/>
        <w:jc w:val="left"/>
        <w:rPr>
          <w:sz w:val="24"/>
        </w:rPr>
      </w:pPr>
      <w:r>
        <w:rPr>
          <w:i/>
          <w:sz w:val="24"/>
        </w:rPr>
        <w:t>Scheduling error </w:t>
      </w:r>
      <w:r>
        <w:rPr>
          <w:sz w:val="24"/>
        </w:rPr>
        <w:t>means any of the events described in clause 3.8.24(a).</w:t>
      </w:r>
    </w:p>
    <w:p>
      <w:pPr>
        <w:pStyle w:val="Heading5"/>
        <w:jc w:val="left"/>
        <w:rPr>
          <w:i/>
        </w:rPr>
      </w:pPr>
      <w:r>
        <w:rPr>
          <w:i/>
        </w:rPr>
        <w:t>secondary equipment</w:t>
      </w:r>
    </w:p>
    <w:p>
      <w:pPr>
        <w:spacing w:before="120"/>
        <w:ind w:left="1352" w:right="415" w:firstLine="0"/>
        <w:jc w:val="both"/>
        <w:rPr>
          <w:sz w:val="24"/>
        </w:rPr>
      </w:pPr>
      <w:r>
        <w:rPr>
          <w:sz w:val="24"/>
        </w:rPr>
        <w:t>Those assets of a </w:t>
      </w:r>
      <w:r>
        <w:rPr>
          <w:i/>
          <w:sz w:val="24"/>
        </w:rPr>
        <w:t>Market Participant's facility </w:t>
      </w:r>
      <w:r>
        <w:rPr>
          <w:sz w:val="24"/>
        </w:rPr>
        <w:t>which do not carry the </w:t>
      </w:r>
      <w:r>
        <w:rPr>
          <w:i/>
          <w:sz w:val="24"/>
        </w:rPr>
        <w:t>energy </w:t>
      </w:r>
      <w:r>
        <w:rPr>
          <w:sz w:val="24"/>
        </w:rPr>
        <w:t>being traded, but which are required for control, protection or operation of assets which carry such </w:t>
      </w:r>
      <w:r>
        <w:rPr>
          <w:i/>
          <w:sz w:val="24"/>
        </w:rPr>
        <w:t>energy</w:t>
      </w:r>
      <w:r>
        <w:rPr>
          <w:sz w:val="24"/>
        </w:rPr>
        <w:t>.</w:t>
      </w:r>
    </w:p>
    <w:p>
      <w:pPr>
        <w:pStyle w:val="Heading5"/>
        <w:rPr>
          <w:i/>
        </w:rPr>
      </w:pPr>
      <w:r>
        <w:rPr>
          <w:i/>
        </w:rPr>
        <w:t>Second-Tier Customer</w:t>
      </w:r>
    </w:p>
    <w:p>
      <w:pPr>
        <w:spacing w:before="120"/>
        <w:ind w:left="1352" w:right="415" w:firstLine="0"/>
        <w:jc w:val="both"/>
        <w:rPr>
          <w:sz w:val="24"/>
        </w:rPr>
      </w:pPr>
      <w:r>
        <w:rPr>
          <w:sz w:val="24"/>
        </w:rPr>
        <w:t>A </w:t>
      </w:r>
      <w:r>
        <w:rPr>
          <w:i/>
          <w:sz w:val="24"/>
        </w:rPr>
        <w:t>Customer </w:t>
      </w:r>
      <w:r>
        <w:rPr>
          <w:sz w:val="24"/>
        </w:rPr>
        <w:t>which has classified any </w:t>
      </w:r>
      <w:r>
        <w:rPr>
          <w:i/>
          <w:sz w:val="24"/>
        </w:rPr>
        <w:t>load </w:t>
      </w:r>
      <w:r>
        <w:rPr>
          <w:sz w:val="24"/>
        </w:rPr>
        <w:t>as a </w:t>
      </w:r>
      <w:r>
        <w:rPr>
          <w:i/>
          <w:sz w:val="24"/>
        </w:rPr>
        <w:t>second-tier load </w:t>
      </w:r>
      <w:r>
        <w:rPr>
          <w:sz w:val="24"/>
        </w:rPr>
        <w:t>in accordance with Chapter</w:t>
      </w:r>
      <w:r>
        <w:rPr>
          <w:spacing w:val="-2"/>
          <w:sz w:val="24"/>
        </w:rPr>
        <w:t> </w:t>
      </w:r>
      <w:r>
        <w:rPr>
          <w:sz w:val="24"/>
        </w:rPr>
        <w:t>2.</w:t>
      </w:r>
    </w:p>
    <w:p>
      <w:pPr>
        <w:pStyle w:val="Heading5"/>
        <w:rPr>
          <w:i/>
        </w:rPr>
      </w:pPr>
      <w:r>
        <w:rPr>
          <w:i/>
        </w:rPr>
        <w:t>second-tier load</w:t>
      </w:r>
    </w:p>
    <w:p>
      <w:pPr>
        <w:spacing w:before="120"/>
        <w:ind w:left="1352" w:right="415" w:firstLine="0"/>
        <w:jc w:val="both"/>
        <w:rPr>
          <w:sz w:val="24"/>
        </w:rPr>
      </w:pPr>
      <w:r>
        <w:rPr>
          <w:sz w:val="24"/>
        </w:rPr>
        <w:t>Electricity purchased at a </w:t>
      </w:r>
      <w:r>
        <w:rPr>
          <w:i/>
          <w:sz w:val="24"/>
        </w:rPr>
        <w:t>connection point </w:t>
      </w:r>
      <w:r>
        <w:rPr>
          <w:sz w:val="24"/>
        </w:rPr>
        <w:t>in its entirety other than directly from the </w:t>
      </w:r>
      <w:r>
        <w:rPr>
          <w:i/>
          <w:sz w:val="24"/>
        </w:rPr>
        <w:t>Local Retailer </w:t>
      </w:r>
      <w:r>
        <w:rPr>
          <w:sz w:val="24"/>
        </w:rPr>
        <w:t>or the </w:t>
      </w:r>
      <w:r>
        <w:rPr>
          <w:i/>
          <w:sz w:val="24"/>
        </w:rPr>
        <w:t>spot market </w:t>
      </w:r>
      <w:r>
        <w:rPr>
          <w:sz w:val="24"/>
        </w:rPr>
        <w:t>and which is classified as a </w:t>
      </w:r>
      <w:r>
        <w:rPr>
          <w:i/>
          <w:sz w:val="24"/>
        </w:rPr>
        <w:t>second-tier load </w:t>
      </w:r>
      <w:r>
        <w:rPr>
          <w:sz w:val="24"/>
        </w:rPr>
        <w:t>in accordance with Chapter 2.</w:t>
      </w:r>
    </w:p>
    <w:p>
      <w:pPr>
        <w:pStyle w:val="Heading5"/>
        <w:rPr>
          <w:i/>
        </w:rPr>
      </w:pPr>
      <w:r>
        <w:rPr>
          <w:i/>
        </w:rPr>
        <w:t>secure operating level of inertia</w:t>
      </w:r>
    </w:p>
    <w:p>
      <w:pPr>
        <w:spacing w:before="120"/>
        <w:ind w:left="1352" w:right="0" w:firstLine="0"/>
        <w:jc w:val="both"/>
        <w:rPr>
          <w:sz w:val="24"/>
        </w:rPr>
      </w:pPr>
      <w:r>
        <w:rPr>
          <w:sz w:val="24"/>
        </w:rPr>
        <w:t>For an </w:t>
      </w:r>
      <w:r>
        <w:rPr>
          <w:i/>
          <w:sz w:val="24"/>
        </w:rPr>
        <w:t>inertia sub-network</w:t>
      </w:r>
      <w:r>
        <w:rPr>
          <w:sz w:val="24"/>
        </w:rPr>
        <w:t>, the </w:t>
      </w:r>
      <w:r>
        <w:rPr>
          <w:i/>
          <w:sz w:val="24"/>
        </w:rPr>
        <w:t>secure operating level of inertia </w:t>
      </w:r>
      <w:r>
        <w:rPr>
          <w:sz w:val="24"/>
        </w:rPr>
        <w:t>determined by</w:t>
      </w:r>
    </w:p>
    <w:p>
      <w:pPr>
        <w:pStyle w:val="BodyText"/>
        <w:spacing w:before="0"/>
        <w:ind w:left="1352" w:firstLine="0"/>
      </w:pPr>
      <w:r>
        <w:rPr>
          <w:i/>
        </w:rPr>
        <w:t>AEMO </w:t>
      </w:r>
      <w:r>
        <w:rPr/>
        <w:t>and referred to in clause 5.20B.2(b)(2).</w:t>
      </w:r>
    </w:p>
    <w:p>
      <w:pPr>
        <w:pStyle w:val="Heading5"/>
        <w:rPr>
          <w:i/>
        </w:rPr>
      </w:pPr>
      <w:r>
        <w:rPr>
          <w:i/>
        </w:rPr>
        <w:t>secure operating state</w:t>
      </w:r>
    </w:p>
    <w:p>
      <w:pPr>
        <w:spacing w:before="120"/>
        <w:ind w:left="1352" w:right="415" w:firstLine="0"/>
        <w:jc w:val="both"/>
        <w:rPr>
          <w:sz w:val="24"/>
        </w:rPr>
      </w:pPr>
      <w:r>
        <w:rPr>
          <w:sz w:val="24"/>
        </w:rPr>
        <w:t>In relation to the </w:t>
      </w:r>
      <w:r>
        <w:rPr>
          <w:i/>
          <w:sz w:val="24"/>
        </w:rPr>
        <w:t>power system</w:t>
      </w:r>
      <w:r>
        <w:rPr>
          <w:sz w:val="24"/>
        </w:rPr>
        <w:t>, has the meaning given in </w:t>
      </w:r>
      <w:r>
        <w:rPr>
          <w:i/>
          <w:sz w:val="24"/>
        </w:rPr>
        <w:t>jurisdictional electricity </w:t>
      </w:r>
      <w:r>
        <w:rPr>
          <w:i/>
          <w:sz w:val="24"/>
        </w:rPr>
        <w:t>legislation</w:t>
      </w:r>
      <w:r>
        <w:rPr>
          <w:sz w:val="24"/>
        </w:rPr>
        <w:t>.</w:t>
      </w:r>
    </w:p>
    <w:p>
      <w:pPr>
        <w:spacing w:before="120"/>
        <w:ind w:left="1352" w:right="0" w:firstLine="0"/>
        <w:jc w:val="left"/>
        <w:rPr>
          <w:rFonts w:ascii="Arial"/>
          <w:b/>
          <w:sz w:val="20"/>
        </w:rPr>
      </w:pPr>
      <w:r>
        <w:rPr>
          <w:rFonts w:ascii="Arial"/>
          <w:b/>
          <w:sz w:val="20"/>
        </w:rPr>
        <w:t>Note:</w:t>
      </w:r>
    </w:p>
    <w:p>
      <w:pPr>
        <w:spacing w:before="120"/>
        <w:ind w:left="1352" w:right="514" w:firstLine="0"/>
        <w:jc w:val="left"/>
        <w:rPr>
          <w:sz w:val="20"/>
        </w:rPr>
      </w:pPr>
      <w:r>
        <w:rPr>
          <w:sz w:val="20"/>
        </w:rPr>
        <w:t>The meaning given in </w:t>
      </w:r>
      <w:r>
        <w:rPr>
          <w:i/>
          <w:sz w:val="20"/>
        </w:rPr>
        <w:t>jurisdictional electricity legislation </w:t>
      </w:r>
      <w:r>
        <w:rPr>
          <w:sz w:val="20"/>
        </w:rPr>
        <w:t>in the above definition will correspond to the meaning given in clause 4.2.4 in the </w:t>
      </w:r>
      <w:r>
        <w:rPr>
          <w:i/>
          <w:sz w:val="20"/>
        </w:rPr>
        <w:t>Rules </w:t>
      </w:r>
      <w:r>
        <w:rPr>
          <w:sz w:val="20"/>
        </w:rPr>
        <w:t>applying in other </w:t>
      </w:r>
      <w:r>
        <w:rPr>
          <w:i/>
          <w:sz w:val="20"/>
        </w:rPr>
        <w:t>participating</w:t>
      </w:r>
      <w:r>
        <w:rPr>
          <w:i/>
          <w:spacing w:val="-4"/>
          <w:sz w:val="20"/>
        </w:rPr>
        <w:t> </w:t>
      </w:r>
      <w:r>
        <w:rPr>
          <w:i/>
          <w:sz w:val="20"/>
        </w:rPr>
        <w:t>jurisdictions</w:t>
      </w:r>
      <w:r>
        <w:rPr>
          <w:sz w:val="20"/>
        </w:rPr>
        <w:t>.</w:t>
      </w:r>
    </w:p>
    <w:p>
      <w:pPr>
        <w:pStyle w:val="Heading5"/>
        <w:jc w:val="left"/>
        <w:rPr>
          <w:i/>
        </w:rPr>
      </w:pPr>
      <w:r>
        <w:rPr>
          <w:i/>
        </w:rPr>
        <w:t>self-commitment, self-commit</w:t>
      </w:r>
    </w:p>
    <w:p>
      <w:pPr>
        <w:spacing w:before="120"/>
        <w:ind w:left="1352" w:right="415" w:firstLine="0"/>
        <w:jc w:val="left"/>
        <w:rPr>
          <w:sz w:val="24"/>
        </w:rPr>
      </w:pPr>
      <w:r>
        <w:rPr>
          <w:i/>
          <w:sz w:val="24"/>
        </w:rPr>
        <w:t>Commitment</w:t>
      </w:r>
      <w:r>
        <w:rPr>
          <w:sz w:val="24"/>
        </w:rPr>
        <w:t>, where the decision to </w:t>
      </w:r>
      <w:r>
        <w:rPr>
          <w:i/>
          <w:sz w:val="24"/>
        </w:rPr>
        <w:t>commit </w:t>
      </w:r>
      <w:r>
        <w:rPr>
          <w:sz w:val="24"/>
        </w:rPr>
        <w:t>a </w:t>
      </w:r>
      <w:r>
        <w:rPr>
          <w:i/>
          <w:sz w:val="24"/>
        </w:rPr>
        <w:t>generating unit </w:t>
      </w:r>
      <w:r>
        <w:rPr>
          <w:sz w:val="24"/>
        </w:rPr>
        <w:t>was made by the relevant </w:t>
      </w:r>
      <w:r>
        <w:rPr>
          <w:i/>
          <w:sz w:val="24"/>
        </w:rPr>
        <w:t>Generator </w:t>
      </w:r>
      <w:r>
        <w:rPr>
          <w:sz w:val="24"/>
        </w:rPr>
        <w:t>without instruction or direction from </w:t>
      </w:r>
      <w:r>
        <w:rPr>
          <w:i/>
          <w:sz w:val="24"/>
        </w:rPr>
        <w:t>AEMO</w:t>
      </w:r>
      <w:r>
        <w:rPr>
          <w:sz w:val="24"/>
        </w:rPr>
        <w:t>.</w:t>
      </w:r>
    </w:p>
    <w:p>
      <w:pPr>
        <w:pStyle w:val="Heading5"/>
        <w:jc w:val="left"/>
        <w:rPr>
          <w:i/>
        </w:rPr>
      </w:pPr>
      <w:r>
        <w:rPr>
          <w:i/>
        </w:rPr>
        <w:t>self-decommitment</w:t>
      </w:r>
    </w:p>
    <w:p>
      <w:pPr>
        <w:spacing w:before="120"/>
        <w:ind w:left="1352" w:right="565" w:firstLine="0"/>
        <w:jc w:val="left"/>
        <w:rPr>
          <w:sz w:val="24"/>
        </w:rPr>
      </w:pPr>
      <w:r>
        <w:rPr>
          <w:i/>
          <w:sz w:val="24"/>
        </w:rPr>
        <w:t>Decommitment</w:t>
      </w:r>
      <w:r>
        <w:rPr>
          <w:sz w:val="24"/>
        </w:rPr>
        <w:t>, where the decision to </w:t>
      </w:r>
      <w:r>
        <w:rPr>
          <w:i/>
          <w:sz w:val="24"/>
        </w:rPr>
        <w:t>decommit </w:t>
      </w:r>
      <w:r>
        <w:rPr>
          <w:sz w:val="24"/>
        </w:rPr>
        <w:t>a </w:t>
      </w:r>
      <w:r>
        <w:rPr>
          <w:i/>
          <w:sz w:val="24"/>
        </w:rPr>
        <w:t>generating unit </w:t>
      </w:r>
      <w:r>
        <w:rPr>
          <w:sz w:val="24"/>
        </w:rPr>
        <w:t>was made by the relevant </w:t>
      </w:r>
      <w:r>
        <w:rPr>
          <w:i/>
          <w:sz w:val="24"/>
        </w:rPr>
        <w:t>Generator </w:t>
      </w:r>
      <w:r>
        <w:rPr>
          <w:sz w:val="24"/>
        </w:rPr>
        <w:t>without instruction or direction from</w:t>
      </w:r>
      <w:r>
        <w:rPr>
          <w:spacing w:val="-7"/>
          <w:sz w:val="24"/>
        </w:rPr>
        <w:t> </w:t>
      </w:r>
      <w:r>
        <w:rPr>
          <w:i/>
          <w:sz w:val="24"/>
        </w:rPr>
        <w:t>AEMO</w:t>
      </w:r>
      <w:r>
        <w:rPr>
          <w:sz w:val="24"/>
        </w:rPr>
        <w:t>.</w:t>
      </w:r>
    </w:p>
    <w:p>
      <w:pPr>
        <w:pStyle w:val="Heading5"/>
        <w:jc w:val="left"/>
        <w:rPr>
          <w:i/>
        </w:rPr>
      </w:pPr>
      <w:r>
        <w:rPr>
          <w:i/>
        </w:rPr>
        <w:t>semi-dispatch interval</w:t>
      </w:r>
    </w:p>
    <w:p>
      <w:pPr>
        <w:spacing w:before="120"/>
        <w:ind w:left="1352" w:right="0" w:firstLine="0"/>
        <w:jc w:val="left"/>
        <w:rPr>
          <w:sz w:val="24"/>
        </w:rPr>
      </w:pPr>
      <w:r>
        <w:rPr>
          <w:sz w:val="24"/>
        </w:rPr>
        <w:t>For a </w:t>
      </w:r>
      <w:r>
        <w:rPr>
          <w:i/>
          <w:sz w:val="24"/>
        </w:rPr>
        <w:t>semi-scheduled generating unit</w:t>
      </w:r>
      <w:r>
        <w:rPr>
          <w:sz w:val="24"/>
        </w:rPr>
        <w:t>, a </w:t>
      </w:r>
      <w:r>
        <w:rPr>
          <w:i/>
          <w:sz w:val="24"/>
        </w:rPr>
        <w:t>dispatch interval </w:t>
      </w:r>
      <w:r>
        <w:rPr>
          <w:sz w:val="24"/>
        </w:rPr>
        <w:t>for which either:</w:t>
      </w:r>
    </w:p>
    <w:p>
      <w:pPr>
        <w:spacing w:after="0"/>
        <w:jc w:val="left"/>
        <w:rPr>
          <w:sz w:val="24"/>
        </w:rPr>
        <w:sectPr>
          <w:pgSz w:w="11910" w:h="16840"/>
          <w:pgMar w:header="686" w:footer="637" w:top="1320" w:bottom="820" w:left="1200" w:right="1000"/>
        </w:sectPr>
      </w:pPr>
    </w:p>
    <w:p>
      <w:pPr>
        <w:pStyle w:val="ListParagraph"/>
        <w:numPr>
          <w:ilvl w:val="0"/>
          <w:numId w:val="821"/>
        </w:numPr>
        <w:tabs>
          <w:tab w:pos="1919" w:val="left" w:leader="none"/>
        </w:tabs>
        <w:spacing w:line="240" w:lineRule="auto" w:before="83" w:after="0"/>
        <w:ind w:left="1919" w:right="416" w:hanging="567"/>
        <w:jc w:val="both"/>
        <w:rPr>
          <w:sz w:val="24"/>
        </w:rPr>
      </w:pPr>
      <w:r>
        <w:rPr>
          <w:sz w:val="24"/>
        </w:rPr>
        <w:t>a </w:t>
      </w:r>
      <w:r>
        <w:rPr>
          <w:i/>
          <w:sz w:val="24"/>
        </w:rPr>
        <w:t>network constraint </w:t>
      </w:r>
      <w:r>
        <w:rPr>
          <w:sz w:val="24"/>
        </w:rPr>
        <w:t>would be violated if the </w:t>
      </w:r>
      <w:r>
        <w:rPr>
          <w:i/>
          <w:sz w:val="24"/>
        </w:rPr>
        <w:t>semi-scheduled generating </w:t>
      </w:r>
      <w:r>
        <w:rPr>
          <w:i/>
          <w:sz w:val="24"/>
        </w:rPr>
        <w:t>unit's generation </w:t>
      </w:r>
      <w:r>
        <w:rPr>
          <w:sz w:val="24"/>
        </w:rPr>
        <w:t>were to exceed the </w:t>
      </w:r>
      <w:r>
        <w:rPr>
          <w:i/>
          <w:sz w:val="24"/>
        </w:rPr>
        <w:t>dispatch level </w:t>
      </w:r>
      <w:r>
        <w:rPr>
          <w:sz w:val="24"/>
        </w:rPr>
        <w:t>specified in the related </w:t>
      </w:r>
      <w:r>
        <w:rPr>
          <w:i/>
          <w:sz w:val="24"/>
        </w:rPr>
        <w:t>dispatch instruction </w:t>
      </w:r>
      <w:r>
        <w:rPr>
          <w:sz w:val="24"/>
        </w:rPr>
        <w:t>at the end of the </w:t>
      </w:r>
      <w:r>
        <w:rPr>
          <w:i/>
          <w:sz w:val="24"/>
        </w:rPr>
        <w:t>dispatch interval</w:t>
      </w:r>
      <w:r>
        <w:rPr>
          <w:sz w:val="24"/>
        </w:rPr>
        <w:t>;</w:t>
      </w:r>
      <w:r>
        <w:rPr>
          <w:spacing w:val="-2"/>
          <w:sz w:val="24"/>
        </w:rPr>
        <w:t> </w:t>
      </w:r>
      <w:r>
        <w:rPr>
          <w:sz w:val="24"/>
        </w:rPr>
        <w:t>or</w:t>
      </w:r>
    </w:p>
    <w:p>
      <w:pPr>
        <w:pStyle w:val="ListParagraph"/>
        <w:numPr>
          <w:ilvl w:val="0"/>
          <w:numId w:val="821"/>
        </w:numPr>
        <w:tabs>
          <w:tab w:pos="1919" w:val="left" w:leader="none"/>
        </w:tabs>
        <w:spacing w:line="240" w:lineRule="auto" w:before="120" w:after="0"/>
        <w:ind w:left="1919" w:right="414" w:hanging="567"/>
        <w:jc w:val="both"/>
        <w:rPr>
          <w:sz w:val="24"/>
        </w:rPr>
      </w:pPr>
      <w:r>
        <w:rPr>
          <w:sz w:val="24"/>
        </w:rPr>
        <w:t>the </w:t>
      </w:r>
      <w:r>
        <w:rPr>
          <w:i/>
          <w:sz w:val="24"/>
        </w:rPr>
        <w:t>dispatch level </w:t>
      </w:r>
      <w:r>
        <w:rPr>
          <w:sz w:val="24"/>
        </w:rPr>
        <w:t>specified in that </w:t>
      </w:r>
      <w:r>
        <w:rPr>
          <w:i/>
          <w:sz w:val="24"/>
        </w:rPr>
        <w:t>dispatch instruction </w:t>
      </w:r>
      <w:r>
        <w:rPr>
          <w:sz w:val="24"/>
        </w:rPr>
        <w:t>is less than the </w:t>
      </w:r>
      <w:r>
        <w:rPr>
          <w:i/>
          <w:sz w:val="24"/>
        </w:rPr>
        <w:t>unconstrained intermittent generation forecast </w:t>
      </w:r>
      <w:r>
        <w:rPr>
          <w:sz w:val="24"/>
        </w:rPr>
        <w:t>at the end of the </w:t>
      </w:r>
      <w:r>
        <w:rPr>
          <w:i/>
          <w:sz w:val="24"/>
        </w:rPr>
        <w:t>dispatch </w:t>
      </w:r>
      <w:r>
        <w:rPr>
          <w:i/>
          <w:sz w:val="24"/>
        </w:rPr>
        <w:t>interval</w:t>
      </w:r>
      <w:r>
        <w:rPr>
          <w:sz w:val="24"/>
        </w:rPr>
        <w:t>,</w:t>
      </w:r>
    </w:p>
    <w:p>
      <w:pPr>
        <w:spacing w:before="120"/>
        <w:ind w:left="1352" w:right="415" w:firstLine="0"/>
        <w:jc w:val="both"/>
        <w:rPr>
          <w:sz w:val="24"/>
        </w:rPr>
      </w:pPr>
      <w:r>
        <w:rPr>
          <w:sz w:val="24"/>
        </w:rPr>
        <w:t>and which is notified by </w:t>
      </w:r>
      <w:r>
        <w:rPr>
          <w:i/>
          <w:sz w:val="24"/>
        </w:rPr>
        <w:t>AEMO </w:t>
      </w:r>
      <w:r>
        <w:rPr>
          <w:sz w:val="24"/>
        </w:rPr>
        <w:t>in that </w:t>
      </w:r>
      <w:r>
        <w:rPr>
          <w:i/>
          <w:sz w:val="24"/>
        </w:rPr>
        <w:t>dispatch instruction </w:t>
      </w:r>
      <w:r>
        <w:rPr>
          <w:sz w:val="24"/>
        </w:rPr>
        <w:t>to be a </w:t>
      </w:r>
      <w:r>
        <w:rPr>
          <w:i/>
          <w:sz w:val="24"/>
        </w:rPr>
        <w:t>semi-dispatch </w:t>
      </w:r>
      <w:r>
        <w:rPr>
          <w:i/>
          <w:sz w:val="24"/>
        </w:rPr>
        <w:t>interval</w:t>
      </w:r>
      <w:r>
        <w:rPr>
          <w:sz w:val="24"/>
        </w:rPr>
        <w:t>.</w:t>
      </w:r>
    </w:p>
    <w:p>
      <w:pPr>
        <w:pStyle w:val="Heading5"/>
        <w:rPr>
          <w:i/>
        </w:rPr>
      </w:pPr>
      <w:r>
        <w:rPr>
          <w:i/>
        </w:rPr>
        <w:t>self-dispatch level</w:t>
      </w:r>
    </w:p>
    <w:p>
      <w:pPr>
        <w:spacing w:before="120"/>
        <w:ind w:left="1352" w:right="415" w:firstLine="0"/>
        <w:jc w:val="both"/>
        <w:rPr>
          <w:sz w:val="24"/>
        </w:rPr>
      </w:pPr>
      <w:r>
        <w:rPr>
          <w:sz w:val="24"/>
        </w:rPr>
        <w:t>The level of </w:t>
      </w:r>
      <w:r>
        <w:rPr>
          <w:i/>
          <w:sz w:val="24"/>
        </w:rPr>
        <w:t>generation </w:t>
      </w:r>
      <w:r>
        <w:rPr>
          <w:sz w:val="24"/>
        </w:rPr>
        <w:t>in MW, as specified in a </w:t>
      </w:r>
      <w:r>
        <w:rPr>
          <w:i/>
          <w:sz w:val="24"/>
        </w:rPr>
        <w:t>dispatch offer </w:t>
      </w:r>
      <w:r>
        <w:rPr>
          <w:sz w:val="24"/>
        </w:rPr>
        <w:t>for a </w:t>
      </w:r>
      <w:r>
        <w:rPr>
          <w:i/>
          <w:sz w:val="24"/>
        </w:rPr>
        <w:t>generating </w:t>
      </w:r>
      <w:r>
        <w:rPr>
          <w:i/>
          <w:sz w:val="24"/>
        </w:rPr>
        <w:t>unit </w:t>
      </w:r>
      <w:r>
        <w:rPr>
          <w:sz w:val="24"/>
        </w:rPr>
        <w:t>and a </w:t>
      </w:r>
      <w:r>
        <w:rPr>
          <w:i/>
          <w:sz w:val="24"/>
        </w:rPr>
        <w:t>trading interval</w:t>
      </w:r>
      <w:r>
        <w:rPr>
          <w:sz w:val="24"/>
        </w:rPr>
        <w:t>, which is the level at which that </w:t>
      </w:r>
      <w:r>
        <w:rPr>
          <w:i/>
          <w:sz w:val="24"/>
        </w:rPr>
        <w:t>generating unit </w:t>
      </w:r>
      <w:r>
        <w:rPr>
          <w:sz w:val="24"/>
        </w:rPr>
        <w:t>must be </w:t>
      </w:r>
      <w:r>
        <w:rPr>
          <w:i/>
          <w:sz w:val="24"/>
        </w:rPr>
        <w:t>dispatched </w:t>
      </w:r>
      <w:r>
        <w:rPr>
          <w:sz w:val="24"/>
        </w:rPr>
        <w:t>by </w:t>
      </w:r>
      <w:r>
        <w:rPr>
          <w:i/>
          <w:sz w:val="24"/>
        </w:rPr>
        <w:t>AEMO </w:t>
      </w:r>
      <w:r>
        <w:rPr>
          <w:sz w:val="24"/>
        </w:rPr>
        <w:t>in that </w:t>
      </w:r>
      <w:r>
        <w:rPr>
          <w:i/>
          <w:sz w:val="24"/>
        </w:rPr>
        <w:t>trading interval </w:t>
      </w:r>
      <w:r>
        <w:rPr>
          <w:sz w:val="24"/>
        </w:rPr>
        <w:t>unless otherwise </w:t>
      </w:r>
      <w:r>
        <w:rPr>
          <w:i/>
          <w:sz w:val="24"/>
        </w:rPr>
        <w:t>dispatched </w:t>
      </w:r>
      <w:r>
        <w:rPr>
          <w:spacing w:val="-7"/>
          <w:sz w:val="24"/>
        </w:rPr>
        <w:t>in </w:t>
      </w:r>
      <w:r>
        <w:rPr>
          <w:sz w:val="24"/>
        </w:rPr>
        <w:t>accordance with clause 3.8 or unless required to operate under a </w:t>
      </w:r>
      <w:r>
        <w:rPr>
          <w:i/>
          <w:sz w:val="24"/>
        </w:rPr>
        <w:t>direction </w:t>
      </w:r>
      <w:r>
        <w:rPr>
          <w:sz w:val="24"/>
        </w:rPr>
        <w:t>issued by </w:t>
      </w:r>
      <w:r>
        <w:rPr>
          <w:i/>
          <w:sz w:val="24"/>
        </w:rPr>
        <w:t>AEMO </w:t>
      </w:r>
      <w:r>
        <w:rPr>
          <w:sz w:val="24"/>
        </w:rPr>
        <w:t>in accordance with clause</w:t>
      </w:r>
      <w:r>
        <w:rPr>
          <w:spacing w:val="-2"/>
          <w:sz w:val="24"/>
        </w:rPr>
        <w:t> </w:t>
      </w:r>
      <w:r>
        <w:rPr>
          <w:sz w:val="24"/>
        </w:rPr>
        <w:t>4.8.9.</w:t>
      </w:r>
    </w:p>
    <w:p>
      <w:pPr>
        <w:pStyle w:val="Heading5"/>
        <w:rPr>
          <w:i/>
        </w:rPr>
      </w:pPr>
      <w:r>
        <w:rPr>
          <w:i/>
        </w:rPr>
        <w:t>semi-scheduled generating system</w:t>
      </w:r>
    </w:p>
    <w:p>
      <w:pPr>
        <w:spacing w:before="120"/>
        <w:ind w:left="1352" w:right="0" w:firstLine="0"/>
        <w:jc w:val="both"/>
        <w:rPr>
          <w:sz w:val="24"/>
        </w:rPr>
      </w:pPr>
      <w:r>
        <w:rPr>
          <w:sz w:val="24"/>
        </w:rPr>
        <w:t>A </w:t>
      </w:r>
      <w:r>
        <w:rPr>
          <w:i/>
          <w:sz w:val="24"/>
        </w:rPr>
        <w:t>generating system </w:t>
      </w:r>
      <w:r>
        <w:rPr>
          <w:sz w:val="24"/>
        </w:rPr>
        <w:t>comprising </w:t>
      </w:r>
      <w:r>
        <w:rPr>
          <w:i/>
          <w:sz w:val="24"/>
        </w:rPr>
        <w:t>semi-scheduled generating units</w:t>
      </w:r>
      <w:r>
        <w:rPr>
          <w:sz w:val="24"/>
        </w:rPr>
        <w:t>.</w:t>
      </w:r>
    </w:p>
    <w:p>
      <w:pPr>
        <w:pStyle w:val="Heading5"/>
        <w:rPr>
          <w:i/>
        </w:rPr>
      </w:pPr>
      <w:r>
        <w:rPr>
          <w:i/>
        </w:rPr>
        <w:t>semi-scheduled generating unit</w:t>
      </w:r>
    </w:p>
    <w:p>
      <w:pPr>
        <w:pStyle w:val="ListParagraph"/>
        <w:numPr>
          <w:ilvl w:val="0"/>
          <w:numId w:val="822"/>
        </w:numPr>
        <w:tabs>
          <w:tab w:pos="1919" w:val="left" w:leader="none"/>
        </w:tabs>
        <w:spacing w:line="240" w:lineRule="auto" w:before="120" w:after="0"/>
        <w:ind w:left="1918" w:right="0" w:hanging="567"/>
        <w:jc w:val="both"/>
        <w:rPr>
          <w:sz w:val="24"/>
        </w:rPr>
      </w:pPr>
      <w:r>
        <w:rPr>
          <w:sz w:val="24"/>
        </w:rPr>
        <w:t>A </w:t>
      </w:r>
      <w:r>
        <w:rPr>
          <w:i/>
          <w:sz w:val="24"/>
        </w:rPr>
        <w:t>generating unit </w:t>
      </w:r>
      <w:r>
        <w:rPr>
          <w:sz w:val="24"/>
        </w:rPr>
        <w:t>classified in accordance with clause</w:t>
      </w:r>
      <w:r>
        <w:rPr>
          <w:spacing w:val="-5"/>
          <w:sz w:val="24"/>
        </w:rPr>
        <w:t> </w:t>
      </w:r>
      <w:r>
        <w:rPr>
          <w:sz w:val="24"/>
        </w:rPr>
        <w:t>2.2.7.</w:t>
      </w:r>
    </w:p>
    <w:p>
      <w:pPr>
        <w:pStyle w:val="ListParagraph"/>
        <w:numPr>
          <w:ilvl w:val="0"/>
          <w:numId w:val="822"/>
        </w:numPr>
        <w:tabs>
          <w:tab w:pos="1919" w:val="left" w:leader="none"/>
        </w:tabs>
        <w:spacing w:line="240" w:lineRule="auto" w:before="120" w:after="0"/>
        <w:ind w:left="1919" w:right="415" w:hanging="567"/>
        <w:jc w:val="both"/>
        <w:rPr>
          <w:sz w:val="24"/>
        </w:rPr>
      </w:pPr>
      <w:r>
        <w:rPr>
          <w:sz w:val="24"/>
        </w:rPr>
        <w:t>For the purposes of Chapter 3 and rule 4.9, two or more </w:t>
      </w:r>
      <w:r>
        <w:rPr>
          <w:i/>
          <w:sz w:val="24"/>
        </w:rPr>
        <w:t>generating </w:t>
      </w:r>
      <w:r>
        <w:rPr>
          <w:i/>
          <w:spacing w:val="-3"/>
          <w:sz w:val="24"/>
        </w:rPr>
        <w:t>units</w:t>
      </w:r>
      <w:r>
        <w:rPr>
          <w:i/>
          <w:spacing w:val="54"/>
          <w:sz w:val="24"/>
        </w:rPr>
        <w:t> </w:t>
      </w:r>
      <w:r>
        <w:rPr>
          <w:sz w:val="24"/>
        </w:rPr>
        <w:t>referred to in paragraph (a) that have been aggregated in accordance with clause 3.8.3.</w:t>
      </w:r>
    </w:p>
    <w:p>
      <w:pPr>
        <w:pStyle w:val="Heading5"/>
        <w:rPr>
          <w:i/>
        </w:rPr>
      </w:pPr>
      <w:r>
        <w:rPr>
          <w:i/>
        </w:rPr>
        <w:t>Semi-Scheduled Generator</w:t>
      </w:r>
    </w:p>
    <w:p>
      <w:pPr>
        <w:spacing w:before="120"/>
        <w:ind w:left="1352" w:right="417" w:firstLine="0"/>
        <w:jc w:val="both"/>
        <w:rPr>
          <w:sz w:val="24"/>
        </w:rPr>
      </w:pPr>
      <w:r>
        <w:rPr>
          <w:sz w:val="24"/>
        </w:rPr>
        <w:t>A </w:t>
      </w:r>
      <w:r>
        <w:rPr>
          <w:i/>
          <w:sz w:val="24"/>
        </w:rPr>
        <w:t>Generator </w:t>
      </w:r>
      <w:r>
        <w:rPr>
          <w:sz w:val="24"/>
        </w:rPr>
        <w:t>in respect of which any </w:t>
      </w:r>
      <w:r>
        <w:rPr>
          <w:i/>
          <w:sz w:val="24"/>
        </w:rPr>
        <w:t>generating unit </w:t>
      </w:r>
      <w:r>
        <w:rPr>
          <w:sz w:val="24"/>
        </w:rPr>
        <w:t>is classified as a </w:t>
      </w:r>
      <w:r>
        <w:rPr>
          <w:i/>
          <w:sz w:val="24"/>
        </w:rPr>
        <w:t>semi- </w:t>
      </w:r>
      <w:r>
        <w:rPr>
          <w:i/>
          <w:sz w:val="24"/>
        </w:rPr>
        <w:t>scheduled generating unit </w:t>
      </w:r>
      <w:r>
        <w:rPr>
          <w:sz w:val="24"/>
        </w:rPr>
        <w:t>in accordance with Chapter 2.</w:t>
      </w:r>
    </w:p>
    <w:p>
      <w:pPr>
        <w:pStyle w:val="Heading5"/>
        <w:rPr>
          <w:i/>
        </w:rPr>
      </w:pPr>
      <w:r>
        <w:rPr>
          <w:i/>
        </w:rPr>
        <w:t>sensitive loads</w:t>
      </w:r>
    </w:p>
    <w:p>
      <w:pPr>
        <w:spacing w:before="120"/>
        <w:ind w:left="1352" w:right="414" w:firstLine="0"/>
        <w:jc w:val="both"/>
        <w:rPr>
          <w:sz w:val="24"/>
        </w:rPr>
      </w:pPr>
      <w:r>
        <w:rPr>
          <w:i/>
          <w:sz w:val="24"/>
        </w:rPr>
        <w:t>Loads </w:t>
      </w:r>
      <w:r>
        <w:rPr>
          <w:sz w:val="24"/>
        </w:rPr>
        <w:t>defined as sensitive for each </w:t>
      </w:r>
      <w:r>
        <w:rPr>
          <w:i/>
          <w:sz w:val="24"/>
        </w:rPr>
        <w:t>participating jurisdiction </w:t>
      </w:r>
      <w:r>
        <w:rPr>
          <w:sz w:val="24"/>
        </w:rPr>
        <w:t>by the </w:t>
      </w:r>
      <w:r>
        <w:rPr>
          <w:i/>
          <w:sz w:val="24"/>
        </w:rPr>
        <w:t>Jurisdictional </w:t>
      </w:r>
      <w:r>
        <w:rPr>
          <w:i/>
          <w:sz w:val="24"/>
        </w:rPr>
        <w:t>System Security Coordinator </w:t>
      </w:r>
      <w:r>
        <w:rPr>
          <w:sz w:val="24"/>
        </w:rPr>
        <w:t>for that </w:t>
      </w:r>
      <w:r>
        <w:rPr>
          <w:i/>
          <w:sz w:val="24"/>
        </w:rPr>
        <w:t>participating jurisdiction</w:t>
      </w:r>
      <w:r>
        <w:rPr>
          <w:sz w:val="24"/>
        </w:rPr>
        <w:t>.</w:t>
      </w:r>
    </w:p>
    <w:p>
      <w:pPr>
        <w:pStyle w:val="Heading5"/>
        <w:rPr>
          <w:i/>
        </w:rPr>
      </w:pPr>
      <w:r>
        <w:rPr>
          <w:i/>
        </w:rPr>
        <w:t>sent out generation</w:t>
      </w:r>
    </w:p>
    <w:p>
      <w:pPr>
        <w:spacing w:before="120"/>
        <w:ind w:left="1352" w:right="0" w:firstLine="0"/>
        <w:jc w:val="both"/>
        <w:rPr>
          <w:sz w:val="24"/>
        </w:rPr>
      </w:pPr>
      <w:r>
        <w:rPr>
          <w:sz w:val="24"/>
        </w:rPr>
        <w:t>In relation to a </w:t>
      </w:r>
      <w:r>
        <w:rPr>
          <w:i/>
          <w:sz w:val="24"/>
        </w:rPr>
        <w:t>generating unit</w:t>
      </w:r>
      <w:r>
        <w:rPr>
          <w:sz w:val="24"/>
        </w:rPr>
        <w:t>, the amount of electricity </w:t>
      </w:r>
      <w:r>
        <w:rPr>
          <w:i/>
          <w:sz w:val="24"/>
        </w:rPr>
        <w:t>supplied </w:t>
      </w:r>
      <w:r>
        <w:rPr>
          <w:sz w:val="24"/>
        </w:rPr>
        <w:t>to the</w:t>
      </w:r>
    </w:p>
    <w:p>
      <w:pPr>
        <w:spacing w:before="0"/>
        <w:ind w:left="1352" w:right="0" w:firstLine="0"/>
        <w:jc w:val="both"/>
        <w:rPr>
          <w:sz w:val="24"/>
        </w:rPr>
      </w:pPr>
      <w:r>
        <w:rPr>
          <w:i/>
          <w:sz w:val="24"/>
        </w:rPr>
        <w:t>transmission </w:t>
      </w:r>
      <w:r>
        <w:rPr>
          <w:sz w:val="24"/>
        </w:rPr>
        <w:t>or </w:t>
      </w:r>
      <w:r>
        <w:rPr>
          <w:i/>
          <w:sz w:val="24"/>
        </w:rPr>
        <w:t>distribution network </w:t>
      </w:r>
      <w:r>
        <w:rPr>
          <w:sz w:val="24"/>
        </w:rPr>
        <w:t>at its </w:t>
      </w:r>
      <w:r>
        <w:rPr>
          <w:i/>
          <w:sz w:val="24"/>
        </w:rPr>
        <w:t>connection point</w:t>
      </w:r>
      <w:r>
        <w:rPr>
          <w:sz w:val="24"/>
        </w:rPr>
        <w:t>.</w:t>
      </w:r>
    </w:p>
    <w:p>
      <w:pPr>
        <w:pStyle w:val="Heading5"/>
        <w:rPr>
          <w:i/>
        </w:rPr>
      </w:pPr>
      <w:r>
        <w:rPr>
          <w:i/>
        </w:rPr>
        <w:t>Service Applicant</w:t>
      </w:r>
    </w:p>
    <w:p>
      <w:pPr>
        <w:spacing w:before="120"/>
        <w:ind w:left="1352" w:right="0" w:firstLine="0"/>
        <w:jc w:val="both"/>
        <w:rPr>
          <w:sz w:val="24"/>
        </w:rPr>
      </w:pPr>
      <w:r>
        <w:rPr>
          <w:sz w:val="24"/>
        </w:rPr>
        <w:t>A person who asks a </w:t>
      </w:r>
      <w:r>
        <w:rPr>
          <w:i/>
          <w:sz w:val="24"/>
        </w:rPr>
        <w:t>Distribution Network Service Provider </w:t>
      </w:r>
      <w:r>
        <w:rPr>
          <w:sz w:val="24"/>
        </w:rPr>
        <w:t>for access to a</w:t>
      </w:r>
    </w:p>
    <w:p>
      <w:pPr>
        <w:spacing w:before="0"/>
        <w:ind w:left="1352" w:right="0" w:firstLine="0"/>
        <w:jc w:val="both"/>
        <w:rPr>
          <w:sz w:val="24"/>
        </w:rPr>
      </w:pPr>
      <w:r>
        <w:rPr>
          <w:i/>
          <w:sz w:val="24"/>
        </w:rPr>
        <w:t>distribution service</w:t>
      </w:r>
      <w:r>
        <w:rPr>
          <w:sz w:val="24"/>
        </w:rPr>
        <w:t>.</w:t>
      </w:r>
    </w:p>
    <w:p>
      <w:pPr>
        <w:pStyle w:val="Heading5"/>
        <w:rPr>
          <w:i/>
        </w:rPr>
      </w:pPr>
      <w:r>
        <w:rPr>
          <w:i/>
        </w:rPr>
        <w:t>service level procedures</w:t>
      </w:r>
    </w:p>
    <w:p>
      <w:pPr>
        <w:pStyle w:val="BodyText"/>
        <w:ind w:left="1352" w:firstLine="0"/>
      </w:pPr>
      <w:r>
        <w:rPr/>
        <w:t>The procedures established by </w:t>
      </w:r>
      <w:r>
        <w:rPr>
          <w:i/>
        </w:rPr>
        <w:t>AEMO </w:t>
      </w:r>
      <w:r>
        <w:rPr/>
        <w:t>in accordance with clause 7.16.6.</w:t>
      </w:r>
    </w:p>
    <w:p>
      <w:pPr>
        <w:pStyle w:val="Heading5"/>
        <w:rPr>
          <w:i/>
        </w:rPr>
      </w:pPr>
      <w:r>
        <w:rPr>
          <w:i/>
        </w:rPr>
        <w:t>service standard event</w:t>
      </w:r>
    </w:p>
    <w:p>
      <w:pPr>
        <w:pStyle w:val="BodyText"/>
        <w:ind w:left="1352" w:firstLine="0"/>
      </w:pPr>
      <w:r>
        <w:rPr/>
        <w:t>A legislative or administrative act or decision that:</w:t>
      </w:r>
    </w:p>
    <w:p>
      <w:pPr>
        <w:pStyle w:val="ListParagraph"/>
        <w:numPr>
          <w:ilvl w:val="0"/>
          <w:numId w:val="823"/>
        </w:numPr>
        <w:tabs>
          <w:tab w:pos="1919" w:val="left" w:leader="none"/>
        </w:tabs>
        <w:spacing w:line="240" w:lineRule="auto" w:before="120" w:after="0"/>
        <w:ind w:left="1918" w:right="0" w:hanging="567"/>
        <w:jc w:val="both"/>
        <w:rPr>
          <w:sz w:val="24"/>
        </w:rPr>
      </w:pPr>
      <w:r>
        <w:rPr>
          <w:sz w:val="24"/>
        </w:rPr>
        <w:t>has the effect of:</w:t>
      </w:r>
    </w:p>
    <w:p>
      <w:pPr>
        <w:pStyle w:val="ListParagraph"/>
        <w:numPr>
          <w:ilvl w:val="1"/>
          <w:numId w:val="823"/>
        </w:numPr>
        <w:tabs>
          <w:tab w:pos="2486" w:val="left" w:leader="none"/>
        </w:tabs>
        <w:spacing w:line="240" w:lineRule="auto" w:before="120" w:after="0"/>
        <w:ind w:left="2486" w:right="415" w:hanging="567"/>
        <w:jc w:val="both"/>
        <w:rPr>
          <w:sz w:val="24"/>
        </w:rPr>
      </w:pPr>
      <w:r>
        <w:rPr>
          <w:sz w:val="24"/>
        </w:rPr>
        <w:t>substantially varying, during the course of a </w:t>
      </w:r>
      <w:r>
        <w:rPr>
          <w:i/>
          <w:sz w:val="24"/>
        </w:rPr>
        <w:t>regulatory control period</w:t>
      </w:r>
      <w:r>
        <w:rPr>
          <w:sz w:val="24"/>
        </w:rPr>
        <w:t>, the  manner  in  which  a  </w:t>
      </w:r>
      <w:r>
        <w:rPr>
          <w:i/>
          <w:sz w:val="24"/>
        </w:rPr>
        <w:t>Transmission  Network  Service  Provider</w:t>
      </w:r>
      <w:r>
        <w:rPr>
          <w:i/>
          <w:spacing w:val="48"/>
          <w:sz w:val="24"/>
        </w:rPr>
        <w:t> </w:t>
      </w:r>
      <w:r>
        <w:rPr>
          <w:sz w:val="24"/>
        </w:rPr>
        <w:t>is</w:t>
      </w:r>
    </w:p>
    <w:p>
      <w:pPr>
        <w:spacing w:after="0" w:line="240" w:lineRule="auto"/>
        <w:jc w:val="both"/>
        <w:rPr>
          <w:sz w:val="24"/>
        </w:rPr>
        <w:sectPr>
          <w:pgSz w:w="11910" w:h="16840"/>
          <w:pgMar w:header="686" w:footer="637" w:top="1320" w:bottom="820" w:left="1200" w:right="1000"/>
        </w:sectPr>
      </w:pPr>
    </w:p>
    <w:p>
      <w:pPr>
        <w:spacing w:before="83"/>
        <w:ind w:left="2486" w:right="416" w:firstLine="0"/>
        <w:jc w:val="both"/>
        <w:rPr>
          <w:sz w:val="24"/>
        </w:rPr>
      </w:pPr>
      <w:r>
        <w:rPr>
          <w:sz w:val="24"/>
        </w:rPr>
        <w:t>required to provide a </w:t>
      </w:r>
      <w:r>
        <w:rPr>
          <w:i/>
          <w:sz w:val="24"/>
        </w:rPr>
        <w:t>prescribed transmission service</w:t>
      </w:r>
      <w:r>
        <w:rPr>
          <w:sz w:val="24"/>
        </w:rPr>
        <w:t>, or a </w:t>
      </w:r>
      <w:r>
        <w:rPr>
          <w:i/>
          <w:sz w:val="24"/>
        </w:rPr>
        <w:t>Distribution Network Service Provider </w:t>
      </w:r>
      <w:r>
        <w:rPr>
          <w:sz w:val="24"/>
        </w:rPr>
        <w:t>is required to provide a </w:t>
      </w:r>
      <w:r>
        <w:rPr>
          <w:i/>
          <w:sz w:val="24"/>
        </w:rPr>
        <w:t>direct </w:t>
      </w:r>
      <w:r>
        <w:rPr>
          <w:i/>
          <w:sz w:val="24"/>
        </w:rPr>
        <w:t>control service</w:t>
      </w:r>
      <w:r>
        <w:rPr>
          <w:sz w:val="24"/>
        </w:rPr>
        <w:t>;</w:t>
      </w:r>
      <w:r>
        <w:rPr>
          <w:spacing w:val="-1"/>
          <w:sz w:val="24"/>
        </w:rPr>
        <w:t> </w:t>
      </w:r>
      <w:r>
        <w:rPr>
          <w:sz w:val="24"/>
        </w:rPr>
        <w:t>or</w:t>
      </w:r>
    </w:p>
    <w:p>
      <w:pPr>
        <w:pStyle w:val="ListParagraph"/>
        <w:numPr>
          <w:ilvl w:val="1"/>
          <w:numId w:val="823"/>
        </w:numPr>
        <w:tabs>
          <w:tab w:pos="2487" w:val="left" w:leader="none"/>
        </w:tabs>
        <w:spacing w:line="240" w:lineRule="auto" w:before="120" w:after="0"/>
        <w:ind w:left="2486" w:right="416" w:hanging="567"/>
        <w:jc w:val="both"/>
        <w:rPr>
          <w:sz w:val="24"/>
        </w:rPr>
      </w:pPr>
      <w:r>
        <w:rPr>
          <w:sz w:val="24"/>
        </w:rPr>
        <w:t>imposing, removing or varying, during the course of a</w:t>
      </w:r>
      <w:r>
        <w:rPr>
          <w:spacing w:val="36"/>
          <w:sz w:val="24"/>
        </w:rPr>
        <w:t> </w:t>
      </w:r>
      <w:r>
        <w:rPr>
          <w:i/>
          <w:sz w:val="24"/>
        </w:rPr>
        <w:t>regulatory </w:t>
      </w:r>
      <w:r>
        <w:rPr>
          <w:i/>
          <w:sz w:val="24"/>
        </w:rPr>
        <w:t>control period</w:t>
      </w:r>
      <w:r>
        <w:rPr>
          <w:sz w:val="24"/>
        </w:rPr>
        <w:t>, minimum service standards applicable to </w:t>
      </w:r>
      <w:r>
        <w:rPr>
          <w:i/>
          <w:sz w:val="24"/>
        </w:rPr>
        <w:t>prescribed </w:t>
      </w:r>
      <w:r>
        <w:rPr>
          <w:i/>
          <w:sz w:val="24"/>
        </w:rPr>
        <w:t>transmission services </w:t>
      </w:r>
      <w:r>
        <w:rPr>
          <w:sz w:val="24"/>
        </w:rPr>
        <w:t>or </w:t>
      </w:r>
      <w:r>
        <w:rPr>
          <w:i/>
          <w:sz w:val="24"/>
        </w:rPr>
        <w:t>direct control services</w:t>
      </w:r>
      <w:r>
        <w:rPr>
          <w:sz w:val="24"/>
        </w:rPr>
        <w:t>;</w:t>
      </w:r>
      <w:r>
        <w:rPr>
          <w:spacing w:val="-3"/>
          <w:sz w:val="24"/>
        </w:rPr>
        <w:t> </w:t>
      </w:r>
      <w:r>
        <w:rPr>
          <w:sz w:val="24"/>
        </w:rPr>
        <w:t>or</w:t>
      </w:r>
    </w:p>
    <w:p>
      <w:pPr>
        <w:pStyle w:val="ListParagraph"/>
        <w:numPr>
          <w:ilvl w:val="1"/>
          <w:numId w:val="823"/>
        </w:numPr>
        <w:tabs>
          <w:tab w:pos="2486" w:val="left" w:leader="none"/>
        </w:tabs>
        <w:spacing w:line="240" w:lineRule="auto" w:before="120" w:after="0"/>
        <w:ind w:left="2486" w:right="415" w:hanging="567"/>
        <w:jc w:val="both"/>
        <w:rPr>
          <w:sz w:val="24"/>
        </w:rPr>
      </w:pPr>
      <w:r>
        <w:rPr>
          <w:sz w:val="24"/>
        </w:rPr>
        <w:t>altering, during the course of a </w:t>
      </w:r>
      <w:r>
        <w:rPr>
          <w:i/>
          <w:sz w:val="24"/>
        </w:rPr>
        <w:t>regulatory control period</w:t>
      </w:r>
      <w:r>
        <w:rPr>
          <w:sz w:val="24"/>
        </w:rPr>
        <w:t>, the nature or scope of the </w:t>
      </w:r>
      <w:r>
        <w:rPr>
          <w:i/>
          <w:sz w:val="24"/>
        </w:rPr>
        <w:t>prescribed transmission services </w:t>
      </w:r>
      <w:r>
        <w:rPr>
          <w:sz w:val="24"/>
        </w:rPr>
        <w:t>or </w:t>
      </w:r>
      <w:r>
        <w:rPr>
          <w:i/>
          <w:sz w:val="24"/>
        </w:rPr>
        <w:t>direct control </w:t>
      </w:r>
      <w:r>
        <w:rPr>
          <w:i/>
          <w:sz w:val="24"/>
        </w:rPr>
        <w:t>services</w:t>
      </w:r>
      <w:r>
        <w:rPr>
          <w:sz w:val="24"/>
        </w:rPr>
        <w:t>, provided by the service provider;</w:t>
      </w:r>
      <w:r>
        <w:rPr>
          <w:spacing w:val="-4"/>
          <w:sz w:val="24"/>
        </w:rPr>
        <w:t> </w:t>
      </w:r>
      <w:r>
        <w:rPr>
          <w:sz w:val="24"/>
        </w:rPr>
        <w:t>and</w:t>
      </w:r>
    </w:p>
    <w:p>
      <w:pPr>
        <w:pStyle w:val="ListParagraph"/>
        <w:numPr>
          <w:ilvl w:val="0"/>
          <w:numId w:val="823"/>
        </w:numPr>
        <w:tabs>
          <w:tab w:pos="1919" w:val="left" w:leader="none"/>
        </w:tabs>
        <w:spacing w:line="240" w:lineRule="auto" w:before="120" w:after="0"/>
        <w:ind w:left="1919" w:right="416" w:hanging="567"/>
        <w:jc w:val="both"/>
        <w:rPr>
          <w:sz w:val="24"/>
        </w:rPr>
      </w:pPr>
      <w:r>
        <w:rPr>
          <w:i/>
          <w:sz w:val="24"/>
        </w:rPr>
        <w:t>materially </w:t>
      </w:r>
      <w:r>
        <w:rPr>
          <w:sz w:val="24"/>
        </w:rPr>
        <w:t>increases or </w:t>
      </w:r>
      <w:r>
        <w:rPr>
          <w:i/>
          <w:sz w:val="24"/>
        </w:rPr>
        <w:t>materially </w:t>
      </w:r>
      <w:r>
        <w:rPr>
          <w:sz w:val="24"/>
        </w:rPr>
        <w:t>decreases the costs to the service provider of providing </w:t>
      </w:r>
      <w:r>
        <w:rPr>
          <w:i/>
          <w:sz w:val="24"/>
        </w:rPr>
        <w:t>prescribed transmission services </w:t>
      </w:r>
      <w:r>
        <w:rPr>
          <w:sz w:val="24"/>
        </w:rPr>
        <w:t>or </w:t>
      </w:r>
      <w:r>
        <w:rPr>
          <w:i/>
          <w:sz w:val="24"/>
        </w:rPr>
        <w:t>direct control</w:t>
      </w:r>
      <w:r>
        <w:rPr>
          <w:i/>
          <w:spacing w:val="-14"/>
          <w:sz w:val="24"/>
        </w:rPr>
        <w:t> </w:t>
      </w:r>
      <w:r>
        <w:rPr>
          <w:i/>
          <w:sz w:val="24"/>
        </w:rPr>
        <w:t>services</w:t>
      </w:r>
      <w:r>
        <w:rPr>
          <w:sz w:val="24"/>
        </w:rPr>
        <w:t>.</w:t>
      </w:r>
    </w:p>
    <w:p>
      <w:pPr>
        <w:pStyle w:val="Heading5"/>
        <w:rPr>
          <w:i/>
        </w:rPr>
      </w:pPr>
      <w:r>
        <w:rPr>
          <w:i/>
        </w:rPr>
        <w:t>service target performance incentive scheme</w:t>
      </w:r>
    </w:p>
    <w:p>
      <w:pPr>
        <w:spacing w:before="120"/>
        <w:ind w:left="1352" w:right="0" w:firstLine="0"/>
        <w:jc w:val="left"/>
        <w:rPr>
          <w:sz w:val="24"/>
        </w:rPr>
      </w:pPr>
      <w:r>
        <w:rPr>
          <w:sz w:val="24"/>
        </w:rPr>
        <w:t>A For a </w:t>
      </w:r>
      <w:r>
        <w:rPr>
          <w:i/>
          <w:sz w:val="24"/>
        </w:rPr>
        <w:t>Transmission Network Service Provider </w:t>
      </w:r>
      <w:r>
        <w:rPr>
          <w:sz w:val="24"/>
        </w:rPr>
        <w:t>– a scheme developed and</w:t>
      </w:r>
    </w:p>
    <w:p>
      <w:pPr>
        <w:spacing w:before="0"/>
        <w:ind w:left="1352" w:right="0" w:firstLine="0"/>
        <w:jc w:val="left"/>
        <w:rPr>
          <w:sz w:val="24"/>
        </w:rPr>
      </w:pPr>
      <w:r>
        <w:rPr>
          <w:i/>
          <w:sz w:val="24"/>
        </w:rPr>
        <w:t>published </w:t>
      </w:r>
      <w:r>
        <w:rPr>
          <w:sz w:val="24"/>
        </w:rPr>
        <w:t>by the </w:t>
      </w:r>
      <w:r>
        <w:rPr>
          <w:i/>
          <w:sz w:val="24"/>
        </w:rPr>
        <w:t>AER </w:t>
      </w:r>
      <w:r>
        <w:rPr>
          <w:sz w:val="24"/>
        </w:rPr>
        <w:t>in accordance with clause 6A.7.4.</w:t>
      </w:r>
    </w:p>
    <w:p>
      <w:pPr>
        <w:spacing w:before="120"/>
        <w:ind w:left="1352" w:right="0" w:firstLine="0"/>
        <w:jc w:val="left"/>
        <w:rPr>
          <w:i/>
          <w:sz w:val="24"/>
        </w:rPr>
      </w:pPr>
      <w:r>
        <w:rPr>
          <w:sz w:val="24"/>
        </w:rPr>
        <w:t>For a </w:t>
      </w:r>
      <w:r>
        <w:rPr>
          <w:i/>
          <w:sz w:val="24"/>
        </w:rPr>
        <w:t>Distribution Network Service Provider </w:t>
      </w:r>
      <w:r>
        <w:rPr>
          <w:sz w:val="24"/>
        </w:rPr>
        <w:t>– a scheme developed and </w:t>
      </w:r>
      <w:r>
        <w:rPr>
          <w:i/>
          <w:sz w:val="24"/>
        </w:rPr>
        <w:t>published</w:t>
      </w:r>
    </w:p>
    <w:p>
      <w:pPr>
        <w:pStyle w:val="BodyText"/>
        <w:spacing w:before="0"/>
        <w:ind w:left="1352" w:firstLine="0"/>
        <w:jc w:val="left"/>
      </w:pPr>
      <w:r>
        <w:rPr/>
        <w:t>by the </w:t>
      </w:r>
      <w:r>
        <w:rPr>
          <w:i/>
        </w:rPr>
        <w:t>AER </w:t>
      </w:r>
      <w:r>
        <w:rPr/>
        <w:t>in accordance with clause 6.6.2.</w:t>
      </w:r>
    </w:p>
    <w:p>
      <w:pPr>
        <w:pStyle w:val="Heading5"/>
        <w:jc w:val="left"/>
        <w:rPr>
          <w:i/>
        </w:rPr>
      </w:pPr>
      <w:r>
        <w:rPr>
          <w:i/>
        </w:rPr>
        <w:t>settlement amount</w:t>
      </w:r>
    </w:p>
    <w:p>
      <w:pPr>
        <w:pStyle w:val="BodyText"/>
        <w:ind w:left="1352" w:firstLine="0"/>
        <w:jc w:val="left"/>
      </w:pPr>
      <w:r>
        <w:rPr/>
        <w:t>The amount calculated by </w:t>
      </w:r>
      <w:r>
        <w:rPr>
          <w:i/>
        </w:rPr>
        <w:t>AEMO </w:t>
      </w:r>
      <w:r>
        <w:rPr/>
        <w:t>pursuant to clause 3.15.12.</w:t>
      </w:r>
    </w:p>
    <w:p>
      <w:pPr>
        <w:pStyle w:val="Heading5"/>
        <w:jc w:val="left"/>
        <w:rPr>
          <w:i/>
        </w:rPr>
      </w:pPr>
      <w:r>
        <w:rPr>
          <w:i/>
        </w:rPr>
        <w:t>settlement statement</w:t>
      </w:r>
    </w:p>
    <w:p>
      <w:pPr>
        <w:spacing w:before="120"/>
        <w:ind w:left="1352" w:right="0" w:firstLine="0"/>
        <w:jc w:val="left"/>
        <w:rPr>
          <w:sz w:val="24"/>
        </w:rPr>
      </w:pPr>
      <w:r>
        <w:rPr>
          <w:sz w:val="24"/>
        </w:rPr>
        <w:t>Includes an </w:t>
      </w:r>
      <w:r>
        <w:rPr>
          <w:i/>
          <w:sz w:val="24"/>
        </w:rPr>
        <w:t>interim statement</w:t>
      </w:r>
      <w:r>
        <w:rPr>
          <w:sz w:val="24"/>
        </w:rPr>
        <w:t>, </w:t>
      </w:r>
      <w:r>
        <w:rPr>
          <w:i/>
          <w:sz w:val="24"/>
        </w:rPr>
        <w:t>preliminary statement </w:t>
      </w:r>
      <w:r>
        <w:rPr>
          <w:sz w:val="24"/>
        </w:rPr>
        <w:t>and </w:t>
      </w:r>
      <w:r>
        <w:rPr>
          <w:i/>
          <w:sz w:val="24"/>
        </w:rPr>
        <w:t>final statement</w:t>
      </w:r>
      <w:r>
        <w:rPr>
          <w:sz w:val="24"/>
        </w:rPr>
        <w:t>.</w:t>
      </w:r>
    </w:p>
    <w:p>
      <w:pPr>
        <w:spacing w:after="0"/>
        <w:jc w:val="left"/>
        <w:rPr>
          <w:sz w:val="24"/>
        </w:rPr>
        <w:sectPr>
          <w:pgSz w:w="11910" w:h="16840"/>
          <w:pgMar w:header="686" w:footer="637" w:top="1320" w:bottom="820" w:left="1200" w:right="1000"/>
        </w:sectPr>
      </w:pPr>
    </w:p>
    <w:p>
      <w:pPr>
        <w:pStyle w:val="Heading5"/>
        <w:jc w:val="left"/>
        <w:rPr>
          <w:i/>
        </w:rPr>
      </w:pPr>
      <w:r>
        <w:rPr>
          <w:i/>
        </w:rPr>
        <w:t>settlements</w:t>
      </w:r>
    </w:p>
    <w:p>
      <w:pPr>
        <w:pStyle w:val="BodyText"/>
        <w:spacing w:before="0"/>
        <w:ind w:firstLine="0"/>
        <w:jc w:val="left"/>
        <w:rPr>
          <w:b/>
          <w:i/>
          <w:sz w:val="26"/>
        </w:rPr>
      </w:pPr>
      <w:r>
        <w:rPr/>
        <w:br w:type="column"/>
      </w:r>
      <w:r>
        <w:rPr>
          <w:b/>
          <w:i/>
          <w:sz w:val="26"/>
        </w:rPr>
      </w:r>
    </w:p>
    <w:p>
      <w:pPr>
        <w:pStyle w:val="BodyText"/>
        <w:spacing w:before="217"/>
        <w:ind w:right="415" w:firstLine="0"/>
        <w:jc w:val="left"/>
      </w:pPr>
      <w:r>
        <w:rPr/>
        <w:t>The activity of producing bills and credit notes in </w:t>
      </w:r>
      <w:r>
        <w:rPr>
          <w:i/>
        </w:rPr>
        <w:t>markets </w:t>
      </w:r>
      <w:r>
        <w:rPr/>
        <w:t>operated or administered by </w:t>
      </w:r>
      <w:r>
        <w:rPr>
          <w:i/>
        </w:rPr>
        <w:t>NTESMO</w:t>
      </w:r>
      <w:r>
        <w:rPr/>
        <w:t>.</w:t>
      </w:r>
    </w:p>
    <w:p>
      <w:pPr>
        <w:spacing w:after="0"/>
        <w:jc w:val="left"/>
        <w:sectPr>
          <w:type w:val="continuous"/>
          <w:pgSz w:w="11910" w:h="16840"/>
          <w:pgMar w:top="1360" w:bottom="280" w:left="1200" w:right="1000"/>
          <w:cols w:num="2" w:equalWidth="0">
            <w:col w:w="1312" w:space="40"/>
            <w:col w:w="8358"/>
          </w:cols>
        </w:sectPr>
      </w:pPr>
    </w:p>
    <w:p>
      <w:pPr>
        <w:pStyle w:val="Heading5"/>
        <w:rPr>
          <w:i/>
        </w:rPr>
      </w:pPr>
      <w:r>
        <w:rPr>
          <w:i/>
        </w:rPr>
        <w:t>settlement ready data</w:t>
      </w:r>
    </w:p>
    <w:p>
      <w:pPr>
        <w:pStyle w:val="BodyText"/>
        <w:ind w:left="1352" w:firstLine="0"/>
      </w:pPr>
      <w:r>
        <w:rPr/>
        <w:t>The </w:t>
      </w:r>
      <w:r>
        <w:rPr>
          <w:i/>
        </w:rPr>
        <w:t>metering data </w:t>
      </w:r>
      <w:r>
        <w:rPr/>
        <w:t>that has undergone a validation and substitution process by</w:t>
      </w:r>
    </w:p>
    <w:p>
      <w:pPr>
        <w:spacing w:before="0"/>
        <w:ind w:left="1352" w:right="0" w:firstLine="0"/>
        <w:jc w:val="both"/>
        <w:rPr>
          <w:sz w:val="24"/>
        </w:rPr>
      </w:pPr>
      <w:r>
        <w:rPr>
          <w:i/>
          <w:sz w:val="24"/>
        </w:rPr>
        <w:t>NTESMO </w:t>
      </w:r>
      <w:r>
        <w:rPr>
          <w:sz w:val="24"/>
        </w:rPr>
        <w:t>for the purposes of settlements and is held in the </w:t>
      </w:r>
      <w:r>
        <w:rPr>
          <w:i/>
          <w:sz w:val="24"/>
        </w:rPr>
        <w:t>metering database</w:t>
      </w:r>
      <w:r>
        <w:rPr>
          <w:sz w:val="24"/>
        </w:rPr>
        <w:t>.</w:t>
      </w:r>
    </w:p>
    <w:p>
      <w:pPr>
        <w:pStyle w:val="Heading5"/>
        <w:rPr>
          <w:i/>
        </w:rPr>
      </w:pPr>
      <w:r>
        <w:rPr>
          <w:i/>
        </w:rPr>
        <w:t>settlements residue</w:t>
      </w:r>
    </w:p>
    <w:p>
      <w:pPr>
        <w:spacing w:before="120"/>
        <w:ind w:left="1352" w:right="415" w:firstLine="0"/>
        <w:jc w:val="both"/>
        <w:rPr>
          <w:sz w:val="24"/>
        </w:rPr>
      </w:pPr>
      <w:r>
        <w:rPr>
          <w:sz w:val="24"/>
        </w:rPr>
        <w:t>Any surplus or deficit of funds retained by </w:t>
      </w:r>
      <w:r>
        <w:rPr>
          <w:i/>
          <w:sz w:val="24"/>
        </w:rPr>
        <w:t>AEMO </w:t>
      </w:r>
      <w:r>
        <w:rPr>
          <w:sz w:val="24"/>
        </w:rPr>
        <w:t>upon completion of </w:t>
      </w:r>
      <w:r>
        <w:rPr>
          <w:i/>
          <w:sz w:val="24"/>
        </w:rPr>
        <w:t>settlements </w:t>
      </w:r>
      <w:r>
        <w:rPr>
          <w:sz w:val="24"/>
        </w:rPr>
        <w:t>to all </w:t>
      </w:r>
      <w:r>
        <w:rPr>
          <w:i/>
          <w:sz w:val="24"/>
        </w:rPr>
        <w:t>Market Participants </w:t>
      </w:r>
      <w:r>
        <w:rPr>
          <w:sz w:val="24"/>
        </w:rPr>
        <w:t>in respect of a </w:t>
      </w:r>
      <w:r>
        <w:rPr>
          <w:i/>
          <w:sz w:val="24"/>
        </w:rPr>
        <w:t>trading interval</w:t>
      </w:r>
      <w:r>
        <w:rPr>
          <w:sz w:val="24"/>
        </w:rPr>
        <w:t>, being either </w:t>
      </w:r>
      <w:r>
        <w:rPr>
          <w:i/>
          <w:sz w:val="24"/>
        </w:rPr>
        <w:t>inter- </w:t>
      </w:r>
      <w:r>
        <w:rPr>
          <w:i/>
          <w:sz w:val="24"/>
        </w:rPr>
        <w:t>regional </w:t>
      </w:r>
      <w:r>
        <w:rPr>
          <w:sz w:val="24"/>
        </w:rPr>
        <w:t>settlements residue or </w:t>
      </w:r>
      <w:r>
        <w:rPr>
          <w:i/>
          <w:sz w:val="24"/>
        </w:rPr>
        <w:t>intra-regional </w:t>
      </w:r>
      <w:r>
        <w:rPr>
          <w:sz w:val="24"/>
        </w:rPr>
        <w:t>settlements residue.</w:t>
      </w:r>
    </w:p>
    <w:p>
      <w:pPr>
        <w:pStyle w:val="Heading5"/>
        <w:rPr>
          <w:i/>
        </w:rPr>
      </w:pPr>
      <w:r>
        <w:rPr>
          <w:i/>
        </w:rPr>
        <w:t>settlement residue committee</w:t>
      </w:r>
    </w:p>
    <w:p>
      <w:pPr>
        <w:pStyle w:val="BodyText"/>
        <w:ind w:left="1352" w:firstLine="0"/>
      </w:pPr>
      <w:r>
        <w:rPr/>
        <w:t>The committee established by </w:t>
      </w:r>
      <w:r>
        <w:rPr>
          <w:i/>
        </w:rPr>
        <w:t>AEMO </w:t>
      </w:r>
      <w:r>
        <w:rPr/>
        <w:t>in accordance with clause 3.18.5.</w:t>
      </w:r>
    </w:p>
    <w:p>
      <w:pPr>
        <w:pStyle w:val="Heading5"/>
        <w:rPr>
          <w:i/>
        </w:rPr>
      </w:pPr>
      <w:r>
        <w:rPr>
          <w:i/>
        </w:rPr>
        <w:t>settlement residue distribution agreement or SRD agreement</w:t>
      </w:r>
    </w:p>
    <w:p>
      <w:pPr>
        <w:pStyle w:val="BodyText"/>
        <w:ind w:left="1352" w:firstLine="0"/>
      </w:pPr>
      <w:r>
        <w:rPr/>
        <w:t>Has the meaning given in clause 3.18.1(b).</w:t>
      </w:r>
    </w:p>
    <w:p>
      <w:pPr>
        <w:pStyle w:val="Heading5"/>
        <w:rPr>
          <w:i/>
        </w:rPr>
      </w:pPr>
      <w:r>
        <w:rPr>
          <w:i/>
        </w:rPr>
        <w:t>settling time</w:t>
      </w:r>
    </w:p>
    <w:p>
      <w:pPr>
        <w:pStyle w:val="BodyText"/>
        <w:ind w:left="1352" w:right="415" w:firstLine="0"/>
      </w:pPr>
      <w:r>
        <w:rPr/>
        <w:t>In relation to a </w:t>
      </w:r>
      <w:r>
        <w:rPr>
          <w:i/>
        </w:rPr>
        <w:t>control system</w:t>
      </w:r>
      <w:r>
        <w:rPr/>
        <w:t>, the time measured from initiation of a step change in an input quantity to the time when the magnitude of error between the output quantity and its final settling value remains less than 10% of:</w:t>
      </w:r>
    </w:p>
    <w:p>
      <w:pPr>
        <w:spacing w:after="0"/>
        <w:sectPr>
          <w:type w:val="continuous"/>
          <w:pgSz w:w="11910" w:h="16840"/>
          <w:pgMar w:top="1360" w:bottom="280" w:left="1200" w:right="1000"/>
        </w:sectPr>
      </w:pPr>
    </w:p>
    <w:p>
      <w:pPr>
        <w:pStyle w:val="ListParagraph"/>
        <w:numPr>
          <w:ilvl w:val="0"/>
          <w:numId w:val="824"/>
        </w:numPr>
        <w:tabs>
          <w:tab w:pos="1919" w:val="left" w:leader="none"/>
        </w:tabs>
        <w:spacing w:line="240" w:lineRule="auto" w:before="83" w:after="0"/>
        <w:ind w:left="1919" w:right="415" w:hanging="567"/>
        <w:jc w:val="both"/>
        <w:rPr>
          <w:sz w:val="24"/>
        </w:rPr>
      </w:pPr>
      <w:r>
        <w:rPr>
          <w:sz w:val="24"/>
        </w:rPr>
        <w:t>if the sustained change in the quantity is less than half of the maximum change in that output quantity, the maximum change induced in that output quantity; or</w:t>
      </w:r>
    </w:p>
    <w:p>
      <w:pPr>
        <w:pStyle w:val="ListParagraph"/>
        <w:numPr>
          <w:ilvl w:val="0"/>
          <w:numId w:val="824"/>
        </w:numPr>
        <w:tabs>
          <w:tab w:pos="1919" w:val="left" w:leader="none"/>
        </w:tabs>
        <w:spacing w:line="240" w:lineRule="auto" w:before="120" w:after="0"/>
        <w:ind w:left="1918" w:right="0" w:hanging="567"/>
        <w:jc w:val="both"/>
        <w:rPr>
          <w:sz w:val="24"/>
        </w:rPr>
      </w:pPr>
      <w:r>
        <w:rPr>
          <w:sz w:val="24"/>
        </w:rPr>
        <w:t>the sustained change induced in that output</w:t>
      </w:r>
      <w:r>
        <w:rPr>
          <w:spacing w:val="-4"/>
          <w:sz w:val="24"/>
        </w:rPr>
        <w:t> </w:t>
      </w:r>
      <w:r>
        <w:rPr>
          <w:sz w:val="24"/>
        </w:rPr>
        <w:t>quantity.</w:t>
      </w:r>
    </w:p>
    <w:p>
      <w:pPr>
        <w:pStyle w:val="Heading5"/>
        <w:rPr>
          <w:i/>
        </w:rPr>
      </w:pPr>
      <w:r>
        <w:rPr>
          <w:i/>
        </w:rPr>
        <w:t>Shared Asset Guidelines</w:t>
      </w:r>
    </w:p>
    <w:p>
      <w:pPr>
        <w:pStyle w:val="BodyText"/>
        <w:ind w:left="1352" w:right="415" w:firstLine="0"/>
      </w:pPr>
      <w:r>
        <w:rPr/>
        <w:t>Guidelines made by the </w:t>
      </w:r>
      <w:r>
        <w:rPr>
          <w:i/>
        </w:rPr>
        <w:t>AER </w:t>
      </w:r>
      <w:r>
        <w:rPr/>
        <w:t>under clause 6.4.4(d) or clause 6A.5.5(d), as the case may be.</w:t>
      </w:r>
    </w:p>
    <w:p>
      <w:pPr>
        <w:pStyle w:val="Heading5"/>
        <w:rPr>
          <w:i/>
        </w:rPr>
      </w:pPr>
      <w:r>
        <w:rPr>
          <w:i/>
        </w:rPr>
        <w:t>shared asset principles</w:t>
      </w:r>
    </w:p>
    <w:p>
      <w:pPr>
        <w:pStyle w:val="BodyText"/>
        <w:ind w:left="1352" w:right="414" w:firstLine="0"/>
      </w:pPr>
      <w:r>
        <w:rPr/>
        <w:t>Has the meaning given to it by clause 6.4.4(c) or clause 6A.5.5(c), as the case may be.</w:t>
      </w:r>
    </w:p>
    <w:p>
      <w:pPr>
        <w:pStyle w:val="Heading5"/>
        <w:rPr>
          <w:i/>
        </w:rPr>
      </w:pPr>
      <w:r>
        <w:rPr>
          <w:i/>
        </w:rPr>
        <w:t>shared customer</w:t>
      </w:r>
    </w:p>
    <w:p>
      <w:pPr>
        <w:pStyle w:val="BodyText"/>
        <w:ind w:left="1352" w:firstLine="0"/>
      </w:pPr>
      <w:r>
        <w:rPr/>
        <w:t>Has (in the context of Chapter 6B) the meaning given in clause 6B.A1.2.</w:t>
      </w:r>
    </w:p>
    <w:p>
      <w:pPr>
        <w:pStyle w:val="Heading5"/>
        <w:rPr>
          <w:i/>
        </w:rPr>
      </w:pPr>
      <w:r>
        <w:rPr>
          <w:i/>
        </w:rPr>
        <w:t>shared distribution service</w:t>
      </w:r>
    </w:p>
    <w:p>
      <w:pPr>
        <w:spacing w:before="120"/>
        <w:ind w:left="1352" w:right="417" w:firstLine="0"/>
        <w:jc w:val="both"/>
        <w:rPr>
          <w:sz w:val="24"/>
        </w:rPr>
      </w:pPr>
      <w:r>
        <w:rPr>
          <w:sz w:val="24"/>
        </w:rPr>
        <w:t>A service provided to a </w:t>
      </w:r>
      <w:r>
        <w:rPr>
          <w:i/>
          <w:sz w:val="24"/>
        </w:rPr>
        <w:t>Distribution Network User </w:t>
      </w:r>
      <w:r>
        <w:rPr>
          <w:sz w:val="24"/>
        </w:rPr>
        <w:t>for use of a </w:t>
      </w:r>
      <w:r>
        <w:rPr>
          <w:i/>
          <w:sz w:val="24"/>
        </w:rPr>
        <w:t>distribution </w:t>
      </w:r>
      <w:r>
        <w:rPr>
          <w:i/>
          <w:sz w:val="24"/>
        </w:rPr>
        <w:t>network </w:t>
      </w:r>
      <w:r>
        <w:rPr>
          <w:sz w:val="24"/>
        </w:rPr>
        <w:t>for the conveyance of electricity (including a service that ensures the integrity of the related </w:t>
      </w:r>
      <w:r>
        <w:rPr>
          <w:i/>
          <w:sz w:val="24"/>
        </w:rPr>
        <w:t>distribution system</w:t>
      </w:r>
      <w:r>
        <w:rPr>
          <w:sz w:val="24"/>
        </w:rPr>
        <w:t>).</w:t>
      </w:r>
    </w:p>
    <w:p>
      <w:pPr>
        <w:pStyle w:val="Heading5"/>
        <w:rPr>
          <w:i/>
        </w:rPr>
      </w:pPr>
      <w:r>
        <w:rPr>
          <w:i/>
        </w:rPr>
        <w:t>shared network capability service</w:t>
      </w:r>
    </w:p>
    <w:p>
      <w:pPr>
        <w:spacing w:before="120"/>
        <w:ind w:left="1352" w:right="0" w:firstLine="0"/>
        <w:jc w:val="both"/>
        <w:rPr>
          <w:sz w:val="24"/>
        </w:rPr>
      </w:pPr>
      <w:r>
        <w:rPr>
          <w:sz w:val="24"/>
        </w:rPr>
        <w:t>Has the meaning given in the </w:t>
      </w:r>
      <w:r>
        <w:rPr>
          <w:i/>
          <w:sz w:val="24"/>
        </w:rPr>
        <w:t>National Electricity Law</w:t>
      </w:r>
      <w:r>
        <w:rPr>
          <w:sz w:val="24"/>
        </w:rPr>
        <w:t>.</w:t>
      </w:r>
    </w:p>
    <w:p>
      <w:pPr>
        <w:pStyle w:val="Heading5"/>
        <w:rPr>
          <w:i/>
        </w:rPr>
      </w:pPr>
      <w:r>
        <w:rPr>
          <w:i/>
        </w:rPr>
        <w:t>shared transmission service</w:t>
      </w:r>
    </w:p>
    <w:p>
      <w:pPr>
        <w:spacing w:before="120"/>
        <w:ind w:left="1352" w:right="417" w:firstLine="0"/>
        <w:jc w:val="both"/>
        <w:rPr>
          <w:sz w:val="24"/>
        </w:rPr>
      </w:pPr>
      <w:r>
        <w:rPr>
          <w:sz w:val="24"/>
        </w:rPr>
        <w:t>A service provided to a </w:t>
      </w:r>
      <w:r>
        <w:rPr>
          <w:i/>
          <w:sz w:val="24"/>
        </w:rPr>
        <w:t>Transmission Network User </w:t>
      </w:r>
      <w:r>
        <w:rPr>
          <w:sz w:val="24"/>
        </w:rPr>
        <w:t>for use of a </w:t>
      </w:r>
      <w:r>
        <w:rPr>
          <w:i/>
          <w:sz w:val="24"/>
        </w:rPr>
        <w:t>transmission </w:t>
      </w:r>
      <w:r>
        <w:rPr>
          <w:i/>
          <w:sz w:val="24"/>
        </w:rPr>
        <w:t>network </w:t>
      </w:r>
      <w:r>
        <w:rPr>
          <w:sz w:val="24"/>
        </w:rPr>
        <w:t>for the conveyance of electricity (including a service that ensures the integrity of the related </w:t>
      </w:r>
      <w:r>
        <w:rPr>
          <w:i/>
          <w:sz w:val="24"/>
        </w:rPr>
        <w:t>transmission system</w:t>
      </w:r>
      <w:r>
        <w:rPr>
          <w:sz w:val="24"/>
        </w:rPr>
        <w:t>).</w:t>
      </w:r>
    </w:p>
    <w:p>
      <w:pPr>
        <w:pStyle w:val="Heading5"/>
        <w:rPr>
          <w:i/>
        </w:rPr>
      </w:pPr>
      <w:r>
        <w:rPr>
          <w:i/>
        </w:rPr>
        <w:t>short circuit fault</w:t>
      </w:r>
    </w:p>
    <w:p>
      <w:pPr>
        <w:pStyle w:val="BodyText"/>
        <w:ind w:left="1352" w:right="413" w:firstLine="0"/>
      </w:pPr>
      <w:r>
        <w:rPr/>
        <w:t>A fault having a metallic conducting path between any two or more conductors or between any conductor and ground, including touching conductors and faults through earthing facilities, and excluding faults within equipment at a station.</w:t>
      </w:r>
    </w:p>
    <w:p>
      <w:pPr>
        <w:pStyle w:val="Heading5"/>
        <w:rPr>
          <w:i/>
        </w:rPr>
      </w:pPr>
      <w:r>
        <w:rPr>
          <w:i/>
        </w:rPr>
        <w:t>short term PASA</w:t>
      </w:r>
    </w:p>
    <w:p>
      <w:pPr>
        <w:pStyle w:val="BodyText"/>
        <w:ind w:left="1352" w:firstLine="0"/>
        <w:jc w:val="left"/>
      </w:pPr>
      <w:r>
        <w:rPr/>
        <w:t>The </w:t>
      </w:r>
      <w:r>
        <w:rPr>
          <w:i/>
        </w:rPr>
        <w:t>PASA </w:t>
      </w:r>
      <w:r>
        <w:rPr/>
        <w:t>in respect of the period described in clause 3.7.3(b), as described under clause</w:t>
      </w:r>
      <w:r>
        <w:rPr>
          <w:spacing w:val="-2"/>
        </w:rPr>
        <w:t> </w:t>
      </w:r>
      <w:r>
        <w:rPr/>
        <w:t>3.7.3.</w:t>
      </w:r>
    </w:p>
    <w:p>
      <w:pPr>
        <w:pStyle w:val="Heading5"/>
        <w:jc w:val="left"/>
        <w:rPr>
          <w:i/>
        </w:rPr>
      </w:pPr>
      <w:r>
        <w:rPr>
          <w:i/>
        </w:rPr>
        <w:t>short term PASA</w:t>
      </w:r>
      <w:r>
        <w:rPr>
          <w:i/>
          <w:spacing w:val="-5"/>
        </w:rPr>
        <w:t> </w:t>
      </w:r>
      <w:r>
        <w:rPr>
          <w:i/>
        </w:rPr>
        <w:t>inputs</w:t>
      </w:r>
    </w:p>
    <w:p>
      <w:pPr>
        <w:pStyle w:val="BodyText"/>
        <w:ind w:left="1352" w:firstLine="0"/>
        <w:jc w:val="left"/>
      </w:pPr>
      <w:r>
        <w:rPr/>
        <w:t>The inputs to be prepared in accordance with clauses 3.7.3(d) and (e).</w:t>
      </w:r>
    </w:p>
    <w:p>
      <w:pPr>
        <w:pStyle w:val="Heading5"/>
        <w:jc w:val="left"/>
        <w:rPr>
          <w:i/>
        </w:rPr>
      </w:pPr>
      <w:r>
        <w:rPr>
          <w:i/>
        </w:rPr>
        <w:t>shunt capacitor</w:t>
      </w:r>
    </w:p>
    <w:p>
      <w:pPr>
        <w:spacing w:before="120"/>
        <w:ind w:left="1352" w:right="0" w:firstLine="0"/>
        <w:jc w:val="left"/>
        <w:rPr>
          <w:sz w:val="24"/>
        </w:rPr>
      </w:pPr>
      <w:r>
        <w:rPr>
          <w:sz w:val="24"/>
        </w:rPr>
        <w:t>A type of </w:t>
      </w:r>
      <w:r>
        <w:rPr>
          <w:i/>
          <w:sz w:val="24"/>
        </w:rPr>
        <w:t>plant connected </w:t>
      </w:r>
      <w:r>
        <w:rPr>
          <w:sz w:val="24"/>
        </w:rPr>
        <w:t>to a </w:t>
      </w:r>
      <w:r>
        <w:rPr>
          <w:i/>
          <w:sz w:val="24"/>
        </w:rPr>
        <w:t>network </w:t>
      </w:r>
      <w:r>
        <w:rPr>
          <w:sz w:val="24"/>
        </w:rPr>
        <w:t>to generate </w:t>
      </w:r>
      <w:r>
        <w:rPr>
          <w:i/>
          <w:sz w:val="24"/>
        </w:rPr>
        <w:t>reactive power</w:t>
      </w:r>
      <w:r>
        <w:rPr>
          <w:sz w:val="24"/>
        </w:rPr>
        <w:t>.</w:t>
      </w:r>
    </w:p>
    <w:p>
      <w:pPr>
        <w:pStyle w:val="Heading5"/>
        <w:jc w:val="left"/>
        <w:rPr>
          <w:i/>
        </w:rPr>
      </w:pPr>
      <w:r>
        <w:rPr>
          <w:i/>
        </w:rPr>
        <w:t>shunt reactor</w:t>
      </w:r>
    </w:p>
    <w:p>
      <w:pPr>
        <w:spacing w:before="120"/>
        <w:ind w:left="1352" w:right="0" w:firstLine="0"/>
        <w:jc w:val="left"/>
        <w:rPr>
          <w:sz w:val="24"/>
        </w:rPr>
      </w:pPr>
      <w:r>
        <w:rPr>
          <w:sz w:val="24"/>
        </w:rPr>
        <w:t>A type of </w:t>
      </w:r>
      <w:r>
        <w:rPr>
          <w:i/>
          <w:sz w:val="24"/>
        </w:rPr>
        <w:t>plant connected </w:t>
      </w:r>
      <w:r>
        <w:rPr>
          <w:sz w:val="24"/>
        </w:rPr>
        <w:t>to a </w:t>
      </w:r>
      <w:r>
        <w:rPr>
          <w:i/>
          <w:sz w:val="24"/>
        </w:rPr>
        <w:t>network </w:t>
      </w:r>
      <w:r>
        <w:rPr>
          <w:sz w:val="24"/>
        </w:rPr>
        <w:t>to absorb </w:t>
      </w:r>
      <w:r>
        <w:rPr>
          <w:i/>
          <w:sz w:val="24"/>
        </w:rPr>
        <w:t>reactive power</w:t>
      </w:r>
      <w:r>
        <w:rPr>
          <w:sz w:val="24"/>
        </w:rPr>
        <w:t>.</w:t>
      </w:r>
    </w:p>
    <w:p>
      <w:pPr>
        <w:pStyle w:val="Heading5"/>
        <w:jc w:val="left"/>
        <w:rPr>
          <w:i/>
        </w:rPr>
      </w:pPr>
      <w:r>
        <w:rPr>
          <w:i/>
        </w:rPr>
        <w:t>single contingency</w:t>
      </w:r>
    </w:p>
    <w:p>
      <w:pPr>
        <w:spacing w:before="120"/>
        <w:ind w:left="1352" w:right="565" w:firstLine="0"/>
        <w:jc w:val="left"/>
        <w:rPr>
          <w:sz w:val="24"/>
        </w:rPr>
      </w:pPr>
      <w:r>
        <w:rPr>
          <w:sz w:val="24"/>
        </w:rPr>
        <w:t>In respect of a </w:t>
      </w:r>
      <w:r>
        <w:rPr>
          <w:i/>
          <w:sz w:val="24"/>
        </w:rPr>
        <w:t>transmission </w:t>
      </w:r>
      <w:r>
        <w:rPr>
          <w:sz w:val="24"/>
        </w:rPr>
        <w:t>or </w:t>
      </w:r>
      <w:r>
        <w:rPr>
          <w:i/>
          <w:sz w:val="24"/>
        </w:rPr>
        <w:t>distribution network </w:t>
      </w:r>
      <w:r>
        <w:rPr>
          <w:sz w:val="24"/>
        </w:rPr>
        <w:t>and </w:t>
      </w:r>
      <w:r>
        <w:rPr>
          <w:i/>
          <w:sz w:val="24"/>
        </w:rPr>
        <w:t>Network Users</w:t>
      </w:r>
      <w:r>
        <w:rPr>
          <w:sz w:val="24"/>
        </w:rPr>
        <w:t>, a sequence of related events which result in the removal from service of</w:t>
      </w:r>
      <w:r>
        <w:rPr>
          <w:spacing w:val="50"/>
          <w:sz w:val="24"/>
        </w:rPr>
        <w:t> </w:t>
      </w:r>
      <w:r>
        <w:rPr>
          <w:sz w:val="24"/>
        </w:rPr>
        <w:t>one</w:t>
      </w:r>
    </w:p>
    <w:p>
      <w:pPr>
        <w:spacing w:after="0"/>
        <w:jc w:val="left"/>
        <w:rPr>
          <w:sz w:val="24"/>
        </w:rPr>
        <w:sectPr>
          <w:pgSz w:w="11910" w:h="16840"/>
          <w:pgMar w:header="686" w:footer="637" w:top="1320" w:bottom="820" w:left="1200" w:right="1000"/>
        </w:sectPr>
      </w:pPr>
    </w:p>
    <w:p>
      <w:pPr>
        <w:spacing w:before="83"/>
        <w:ind w:left="1352" w:right="416" w:firstLine="0"/>
        <w:jc w:val="both"/>
        <w:rPr>
          <w:sz w:val="24"/>
        </w:rPr>
      </w:pPr>
      <w:r>
        <w:rPr>
          <w:i/>
          <w:sz w:val="24"/>
        </w:rPr>
        <w:t>Network User</w:t>
      </w:r>
      <w:r>
        <w:rPr>
          <w:sz w:val="24"/>
        </w:rPr>
        <w:t>, </w:t>
      </w:r>
      <w:r>
        <w:rPr>
          <w:i/>
          <w:sz w:val="24"/>
        </w:rPr>
        <w:t>transmission </w:t>
      </w:r>
      <w:r>
        <w:rPr>
          <w:sz w:val="24"/>
        </w:rPr>
        <w:t>or </w:t>
      </w:r>
      <w:r>
        <w:rPr>
          <w:i/>
          <w:sz w:val="24"/>
        </w:rPr>
        <w:t>distribution line</w:t>
      </w:r>
      <w:r>
        <w:rPr>
          <w:sz w:val="24"/>
        </w:rPr>
        <w:t>, or </w:t>
      </w:r>
      <w:r>
        <w:rPr>
          <w:i/>
          <w:sz w:val="24"/>
        </w:rPr>
        <w:t>transformer</w:t>
      </w:r>
      <w:r>
        <w:rPr>
          <w:sz w:val="24"/>
        </w:rPr>
        <w:t>. The sequence of events may include the application and clearance of a fault of defined severity.</w:t>
      </w:r>
    </w:p>
    <w:p>
      <w:pPr>
        <w:pStyle w:val="Heading5"/>
        <w:rPr>
          <w:i/>
        </w:rPr>
      </w:pPr>
      <w:r>
        <w:rPr>
          <w:i/>
        </w:rPr>
        <w:t>slow lower service</w:t>
      </w:r>
    </w:p>
    <w:p>
      <w:pPr>
        <w:spacing w:before="120"/>
        <w:ind w:left="1352" w:right="415" w:firstLine="0"/>
        <w:jc w:val="both"/>
        <w:rPr>
          <w:sz w:val="24"/>
        </w:rPr>
      </w:pPr>
      <w:r>
        <w:rPr>
          <w:sz w:val="24"/>
        </w:rPr>
        <w:t>The service of providing, in accordance with the requirements of the </w:t>
      </w:r>
      <w:r>
        <w:rPr>
          <w:i/>
          <w:sz w:val="24"/>
        </w:rPr>
        <w:t>market </w:t>
      </w:r>
      <w:r>
        <w:rPr>
          <w:i/>
          <w:sz w:val="24"/>
        </w:rPr>
        <w:t>ancillary service specification</w:t>
      </w:r>
      <w:r>
        <w:rPr>
          <w:sz w:val="24"/>
        </w:rPr>
        <w:t>, the capability of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the locally sensed </w:t>
      </w:r>
      <w:r>
        <w:rPr>
          <w:i/>
          <w:sz w:val="24"/>
        </w:rPr>
        <w:t>frequency </w:t>
      </w:r>
      <w:r>
        <w:rPr>
          <w:sz w:val="24"/>
        </w:rPr>
        <w:t>of the </w:t>
      </w:r>
      <w:r>
        <w:rPr>
          <w:i/>
          <w:sz w:val="24"/>
        </w:rPr>
        <w:t>power system </w:t>
      </w:r>
      <w:r>
        <w:rPr>
          <w:sz w:val="24"/>
        </w:rPr>
        <w:t>in order to stabilise a rise in that </w:t>
      </w:r>
      <w:r>
        <w:rPr>
          <w:i/>
          <w:sz w:val="24"/>
        </w:rPr>
        <w:t>frequency</w:t>
      </w:r>
      <w:r>
        <w:rPr>
          <w:sz w:val="24"/>
        </w:rPr>
        <w:t>.</w:t>
      </w:r>
    </w:p>
    <w:p>
      <w:pPr>
        <w:pStyle w:val="Heading5"/>
        <w:rPr>
          <w:i/>
        </w:rPr>
      </w:pPr>
      <w:r>
        <w:rPr>
          <w:i/>
        </w:rPr>
        <w:t>slow raise service</w:t>
      </w:r>
    </w:p>
    <w:p>
      <w:pPr>
        <w:spacing w:before="120"/>
        <w:ind w:left="1352" w:right="415" w:firstLine="0"/>
        <w:jc w:val="both"/>
        <w:rPr>
          <w:sz w:val="24"/>
        </w:rPr>
      </w:pPr>
      <w:r>
        <w:rPr>
          <w:sz w:val="24"/>
        </w:rPr>
        <w:t>The service of providing, in accordance with the requirements of the </w:t>
      </w:r>
      <w:r>
        <w:rPr>
          <w:i/>
          <w:sz w:val="24"/>
        </w:rPr>
        <w:t>market </w:t>
      </w:r>
      <w:r>
        <w:rPr>
          <w:i/>
          <w:sz w:val="24"/>
        </w:rPr>
        <w:t>ancillary service specification</w:t>
      </w:r>
      <w:r>
        <w:rPr>
          <w:sz w:val="24"/>
        </w:rPr>
        <w:t>, the capability of controlling the level of </w:t>
      </w:r>
      <w:r>
        <w:rPr>
          <w:i/>
          <w:sz w:val="24"/>
        </w:rPr>
        <w:t>generation </w:t>
      </w:r>
      <w:r>
        <w:rPr>
          <w:sz w:val="24"/>
        </w:rPr>
        <w:t>or </w:t>
      </w:r>
      <w:r>
        <w:rPr>
          <w:i/>
          <w:sz w:val="24"/>
        </w:rPr>
        <w:t>load </w:t>
      </w:r>
      <w:r>
        <w:rPr>
          <w:sz w:val="24"/>
        </w:rPr>
        <w:t>associated with a particular </w:t>
      </w:r>
      <w:r>
        <w:rPr>
          <w:i/>
          <w:sz w:val="24"/>
        </w:rPr>
        <w:t>facility </w:t>
      </w:r>
      <w:r>
        <w:rPr>
          <w:sz w:val="24"/>
        </w:rPr>
        <w:t>in response to the locally sensed </w:t>
      </w:r>
      <w:r>
        <w:rPr>
          <w:i/>
          <w:sz w:val="24"/>
        </w:rPr>
        <w:t>frequency </w:t>
      </w:r>
      <w:r>
        <w:rPr>
          <w:sz w:val="24"/>
        </w:rPr>
        <w:t>of the </w:t>
      </w:r>
      <w:r>
        <w:rPr>
          <w:i/>
          <w:sz w:val="24"/>
        </w:rPr>
        <w:t>power system </w:t>
      </w:r>
      <w:r>
        <w:rPr>
          <w:sz w:val="24"/>
        </w:rPr>
        <w:t>in order to stabilise a fall in that </w:t>
      </w:r>
      <w:r>
        <w:rPr>
          <w:i/>
          <w:sz w:val="24"/>
        </w:rPr>
        <w:t>frequency</w:t>
      </w:r>
      <w:r>
        <w:rPr>
          <w:sz w:val="24"/>
        </w:rPr>
        <w:t>.</w:t>
      </w:r>
    </w:p>
    <w:p>
      <w:pPr>
        <w:pStyle w:val="Heading5"/>
        <w:rPr>
          <w:i/>
        </w:rPr>
      </w:pPr>
      <w:r>
        <w:rPr>
          <w:i/>
        </w:rPr>
        <w:t>slow start generating unit</w:t>
      </w:r>
    </w:p>
    <w:p>
      <w:pPr>
        <w:spacing w:before="120"/>
        <w:ind w:left="1352" w:right="0" w:firstLine="0"/>
        <w:jc w:val="both"/>
        <w:rPr>
          <w:sz w:val="24"/>
        </w:rPr>
      </w:pPr>
      <w:r>
        <w:rPr>
          <w:sz w:val="24"/>
        </w:rPr>
        <w:t>A </w:t>
      </w:r>
      <w:r>
        <w:rPr>
          <w:i/>
          <w:sz w:val="24"/>
        </w:rPr>
        <w:t>generating unit </w:t>
      </w:r>
      <w:r>
        <w:rPr>
          <w:sz w:val="24"/>
        </w:rPr>
        <w:t>described in clause 3.8.17(a).</w:t>
      </w:r>
    </w:p>
    <w:p>
      <w:pPr>
        <w:pStyle w:val="Heading5"/>
        <w:rPr>
          <w:i/>
        </w:rPr>
      </w:pPr>
      <w:r>
        <w:rPr>
          <w:i/>
        </w:rPr>
        <w:t>slow start reserve generating unit</w:t>
      </w:r>
    </w:p>
    <w:p>
      <w:pPr>
        <w:spacing w:before="120"/>
        <w:ind w:left="1352" w:right="0" w:firstLine="0"/>
        <w:jc w:val="both"/>
        <w:rPr>
          <w:sz w:val="24"/>
        </w:rPr>
      </w:pPr>
      <w:r>
        <w:rPr>
          <w:sz w:val="24"/>
        </w:rPr>
        <w:t>A </w:t>
      </w:r>
      <w:r>
        <w:rPr>
          <w:i/>
          <w:sz w:val="24"/>
        </w:rPr>
        <w:t>slow start generating unit </w:t>
      </w:r>
      <w:r>
        <w:rPr>
          <w:sz w:val="24"/>
        </w:rPr>
        <w:t>providing </w:t>
      </w:r>
      <w:r>
        <w:rPr>
          <w:i/>
          <w:sz w:val="24"/>
        </w:rPr>
        <w:t>scheduled reserve</w:t>
      </w:r>
      <w:r>
        <w:rPr>
          <w:sz w:val="24"/>
        </w:rPr>
        <w:t>.</w:t>
      </w:r>
    </w:p>
    <w:p>
      <w:pPr>
        <w:pStyle w:val="Heading5"/>
        <w:rPr>
          <w:i/>
        </w:rPr>
      </w:pPr>
      <w:r>
        <w:rPr>
          <w:i/>
        </w:rPr>
        <w:t>small customer</w:t>
      </w:r>
    </w:p>
    <w:p>
      <w:pPr>
        <w:pStyle w:val="ListParagraph"/>
        <w:numPr>
          <w:ilvl w:val="0"/>
          <w:numId w:val="825"/>
        </w:numPr>
        <w:tabs>
          <w:tab w:pos="1919" w:val="left" w:leader="none"/>
        </w:tabs>
        <w:spacing w:line="240" w:lineRule="auto" w:before="120" w:after="0"/>
        <w:ind w:left="1919" w:right="415" w:hanging="567"/>
        <w:jc w:val="both"/>
        <w:rPr>
          <w:sz w:val="24"/>
        </w:rPr>
      </w:pPr>
      <w:r>
        <w:rPr>
          <w:sz w:val="24"/>
        </w:rPr>
        <w:t>In a </w:t>
      </w:r>
      <w:r>
        <w:rPr>
          <w:i/>
          <w:sz w:val="24"/>
        </w:rPr>
        <w:t>participating jurisdiction </w:t>
      </w:r>
      <w:r>
        <w:rPr>
          <w:sz w:val="24"/>
        </w:rPr>
        <w:t>where the </w:t>
      </w:r>
      <w:r>
        <w:rPr>
          <w:i/>
          <w:sz w:val="24"/>
        </w:rPr>
        <w:t>National Energy Retail Law </w:t>
      </w:r>
      <w:r>
        <w:rPr>
          <w:sz w:val="24"/>
        </w:rPr>
        <w:t>applies as a law of that </w:t>
      </w:r>
      <w:r>
        <w:rPr>
          <w:i/>
          <w:sz w:val="24"/>
        </w:rPr>
        <w:t>participating jurisdiction</w:t>
      </w:r>
      <w:r>
        <w:rPr>
          <w:sz w:val="24"/>
        </w:rPr>
        <w:t>, has the meaning given in </w:t>
      </w:r>
      <w:r>
        <w:rPr>
          <w:spacing w:val="-5"/>
          <w:sz w:val="24"/>
        </w:rPr>
        <w:t>the </w:t>
      </w:r>
      <w:r>
        <w:rPr>
          <w:i/>
          <w:sz w:val="24"/>
        </w:rPr>
        <w:t>National Energy Retail</w:t>
      </w:r>
      <w:r>
        <w:rPr>
          <w:i/>
          <w:spacing w:val="-2"/>
          <w:sz w:val="24"/>
        </w:rPr>
        <w:t> </w:t>
      </w:r>
      <w:r>
        <w:rPr>
          <w:i/>
          <w:sz w:val="24"/>
        </w:rPr>
        <w:t>Law</w:t>
      </w:r>
      <w:r>
        <w:rPr>
          <w:sz w:val="24"/>
        </w:rPr>
        <w:t>.</w:t>
      </w:r>
    </w:p>
    <w:p>
      <w:pPr>
        <w:pStyle w:val="ListParagraph"/>
        <w:numPr>
          <w:ilvl w:val="0"/>
          <w:numId w:val="825"/>
        </w:numPr>
        <w:tabs>
          <w:tab w:pos="1919" w:val="left" w:leader="none"/>
        </w:tabs>
        <w:spacing w:line="240" w:lineRule="auto" w:before="120" w:after="0"/>
        <w:ind w:left="1918" w:right="0" w:hanging="567"/>
        <w:jc w:val="both"/>
        <w:rPr>
          <w:sz w:val="24"/>
        </w:rPr>
      </w:pPr>
      <w:r>
        <w:rPr>
          <w:sz w:val="24"/>
        </w:rPr>
        <w:t>Otherwise, has the meaning given in </w:t>
      </w:r>
      <w:r>
        <w:rPr>
          <w:i/>
          <w:sz w:val="24"/>
        </w:rPr>
        <w:t>jurisdictional electricity</w:t>
      </w:r>
      <w:r>
        <w:rPr>
          <w:i/>
          <w:spacing w:val="-4"/>
          <w:sz w:val="24"/>
        </w:rPr>
        <w:t> </w:t>
      </w:r>
      <w:r>
        <w:rPr>
          <w:i/>
          <w:sz w:val="24"/>
        </w:rPr>
        <w:t>legislation</w:t>
      </w:r>
      <w:r>
        <w:rPr>
          <w:sz w:val="24"/>
        </w:rPr>
        <w:t>.</w:t>
      </w:r>
    </w:p>
    <w:p>
      <w:pPr>
        <w:pStyle w:val="Heading5"/>
        <w:rPr>
          <w:i/>
        </w:rPr>
      </w:pPr>
      <w:r>
        <w:rPr>
          <w:i/>
        </w:rPr>
        <w:t>small customer metering installation</w:t>
      </w:r>
    </w:p>
    <w:p>
      <w:pPr>
        <w:spacing w:before="120"/>
        <w:ind w:left="1352" w:right="415" w:firstLine="0"/>
        <w:jc w:val="both"/>
        <w:rPr>
          <w:sz w:val="24"/>
        </w:rPr>
      </w:pPr>
      <w:r>
        <w:rPr>
          <w:sz w:val="24"/>
        </w:rPr>
        <w:t>A </w:t>
      </w:r>
      <w:r>
        <w:rPr>
          <w:i/>
          <w:sz w:val="24"/>
        </w:rPr>
        <w:t>metering installation </w:t>
      </w:r>
      <w:r>
        <w:rPr>
          <w:sz w:val="24"/>
        </w:rPr>
        <w:t>in respect of the </w:t>
      </w:r>
      <w:r>
        <w:rPr>
          <w:i/>
          <w:sz w:val="24"/>
        </w:rPr>
        <w:t>connection point </w:t>
      </w:r>
      <w:r>
        <w:rPr>
          <w:sz w:val="24"/>
        </w:rPr>
        <w:t>of a </w:t>
      </w:r>
      <w:r>
        <w:rPr>
          <w:i/>
          <w:sz w:val="24"/>
        </w:rPr>
        <w:t>small customer </w:t>
      </w:r>
      <w:r>
        <w:rPr>
          <w:sz w:val="24"/>
        </w:rPr>
        <w:t>which meets the </w:t>
      </w:r>
      <w:r>
        <w:rPr>
          <w:i/>
          <w:sz w:val="24"/>
        </w:rPr>
        <w:t>minimum services specification </w:t>
      </w:r>
      <w:r>
        <w:rPr>
          <w:sz w:val="24"/>
        </w:rPr>
        <w:t>or which is required to meet the </w:t>
      </w:r>
      <w:r>
        <w:rPr>
          <w:i/>
          <w:sz w:val="24"/>
        </w:rPr>
        <w:t>minimum services specification </w:t>
      </w:r>
      <w:r>
        <w:rPr>
          <w:sz w:val="24"/>
        </w:rPr>
        <w:t>under clause 7.8.3(a), clause 7.8.4(c) or clause 7.8.4(h)(2).</w:t>
      </w:r>
    </w:p>
    <w:p>
      <w:pPr>
        <w:pStyle w:val="Heading5"/>
        <w:rPr>
          <w:i/>
        </w:rPr>
      </w:pPr>
      <w:r>
        <w:rPr>
          <w:i/>
        </w:rPr>
        <w:t>small dedicated connection asset</w:t>
      </w:r>
    </w:p>
    <w:p>
      <w:pPr>
        <w:spacing w:before="120"/>
        <w:ind w:left="1352" w:right="0" w:firstLine="0"/>
        <w:jc w:val="both"/>
        <w:rPr>
          <w:sz w:val="24"/>
        </w:rPr>
      </w:pPr>
      <w:r>
        <w:rPr>
          <w:sz w:val="24"/>
        </w:rPr>
        <w:t>A </w:t>
      </w:r>
      <w:r>
        <w:rPr>
          <w:i/>
          <w:sz w:val="24"/>
        </w:rPr>
        <w:t>dedicated connection asset </w:t>
      </w:r>
      <w:r>
        <w:rPr>
          <w:sz w:val="24"/>
        </w:rPr>
        <w:t>that is not a </w:t>
      </w:r>
      <w:r>
        <w:rPr>
          <w:i/>
          <w:sz w:val="24"/>
        </w:rPr>
        <w:t>large dedicated connection asset</w:t>
      </w:r>
      <w:r>
        <w:rPr>
          <w:sz w:val="24"/>
        </w:rPr>
        <w:t>.</w:t>
      </w:r>
    </w:p>
    <w:p>
      <w:pPr>
        <w:pStyle w:val="Heading5"/>
        <w:rPr>
          <w:i/>
        </w:rPr>
      </w:pPr>
      <w:r>
        <w:rPr>
          <w:i/>
        </w:rPr>
        <w:t>small generating unit</w:t>
      </w:r>
    </w:p>
    <w:p>
      <w:pPr>
        <w:spacing w:before="120"/>
        <w:ind w:left="1352" w:right="0" w:firstLine="0"/>
        <w:jc w:val="both"/>
        <w:rPr>
          <w:sz w:val="24"/>
        </w:rPr>
      </w:pPr>
      <w:r>
        <w:rPr>
          <w:sz w:val="24"/>
        </w:rPr>
        <w:t>A </w:t>
      </w:r>
      <w:r>
        <w:rPr>
          <w:i/>
          <w:sz w:val="24"/>
        </w:rPr>
        <w:t>generating unit</w:t>
      </w:r>
      <w:r>
        <w:rPr>
          <w:sz w:val="24"/>
        </w:rPr>
        <w:t>:</w:t>
      </w:r>
    </w:p>
    <w:p>
      <w:pPr>
        <w:pStyle w:val="ListParagraph"/>
        <w:numPr>
          <w:ilvl w:val="0"/>
          <w:numId w:val="826"/>
        </w:numPr>
        <w:tabs>
          <w:tab w:pos="1919" w:val="left" w:leader="none"/>
        </w:tabs>
        <w:spacing w:line="240" w:lineRule="auto" w:before="120" w:after="0"/>
        <w:ind w:left="1918" w:right="0" w:hanging="567"/>
        <w:jc w:val="both"/>
        <w:rPr>
          <w:sz w:val="24"/>
        </w:rPr>
      </w:pPr>
      <w:r>
        <w:rPr>
          <w:sz w:val="24"/>
        </w:rPr>
        <w:t>with a </w:t>
      </w:r>
      <w:r>
        <w:rPr>
          <w:i/>
          <w:sz w:val="24"/>
        </w:rPr>
        <w:t>nameplate rating </w:t>
      </w:r>
      <w:r>
        <w:rPr>
          <w:sz w:val="24"/>
        </w:rPr>
        <w:t>that is less than 30MW;</w:t>
      </w:r>
      <w:r>
        <w:rPr>
          <w:spacing w:val="-2"/>
          <w:sz w:val="24"/>
        </w:rPr>
        <w:t> </w:t>
      </w:r>
      <w:r>
        <w:rPr>
          <w:sz w:val="24"/>
        </w:rPr>
        <w:t>and</w:t>
      </w:r>
    </w:p>
    <w:p>
      <w:pPr>
        <w:pStyle w:val="ListParagraph"/>
        <w:numPr>
          <w:ilvl w:val="0"/>
          <w:numId w:val="826"/>
        </w:numPr>
        <w:tabs>
          <w:tab w:pos="1919" w:val="left" w:leader="none"/>
        </w:tabs>
        <w:spacing w:line="240" w:lineRule="auto" w:before="120" w:after="0"/>
        <w:ind w:left="1919" w:right="415" w:hanging="567"/>
        <w:jc w:val="both"/>
        <w:rPr>
          <w:sz w:val="24"/>
        </w:rPr>
      </w:pPr>
      <w:r>
        <w:rPr>
          <w:sz w:val="24"/>
        </w:rPr>
        <w:t>which is owned, controlled or operated by a person that </w:t>
      </w:r>
      <w:r>
        <w:rPr>
          <w:i/>
          <w:sz w:val="24"/>
        </w:rPr>
        <w:t>AEMO </w:t>
      </w:r>
      <w:r>
        <w:rPr>
          <w:sz w:val="24"/>
        </w:rPr>
        <w:t>has exempted from the requirement to register as a </w:t>
      </w:r>
      <w:r>
        <w:rPr>
          <w:i/>
          <w:sz w:val="24"/>
        </w:rPr>
        <w:t>Generator </w:t>
      </w:r>
      <w:r>
        <w:rPr>
          <w:sz w:val="24"/>
        </w:rPr>
        <w:t>in respect of that </w:t>
      </w:r>
      <w:r>
        <w:rPr>
          <w:i/>
          <w:sz w:val="24"/>
        </w:rPr>
        <w:t>generating unit </w:t>
      </w:r>
      <w:r>
        <w:rPr>
          <w:sz w:val="24"/>
        </w:rPr>
        <w:t>in accordance with clause</w:t>
      </w:r>
      <w:r>
        <w:rPr>
          <w:spacing w:val="-3"/>
          <w:sz w:val="24"/>
        </w:rPr>
        <w:t> </w:t>
      </w:r>
      <w:r>
        <w:rPr>
          <w:sz w:val="24"/>
        </w:rPr>
        <w:t>2.2.1(c).</w:t>
      </w:r>
    </w:p>
    <w:p>
      <w:pPr>
        <w:pStyle w:val="Heading5"/>
        <w:rPr>
          <w:i/>
        </w:rPr>
      </w:pPr>
      <w:r>
        <w:rPr>
          <w:i/>
        </w:rPr>
        <w:t>Small Generation Aggregator</w:t>
      </w:r>
    </w:p>
    <w:p>
      <w:pPr>
        <w:pStyle w:val="BodyText"/>
        <w:ind w:left="1352" w:firstLine="0"/>
        <w:jc w:val="left"/>
      </w:pPr>
      <w:r>
        <w:rPr/>
        <w:t>A person who:</w:t>
      </w:r>
    </w:p>
    <w:p>
      <w:pPr>
        <w:pStyle w:val="ListParagraph"/>
        <w:numPr>
          <w:ilvl w:val="0"/>
          <w:numId w:val="827"/>
        </w:numPr>
        <w:tabs>
          <w:tab w:pos="1918" w:val="left" w:leader="none"/>
          <w:tab w:pos="1919" w:val="left" w:leader="none"/>
        </w:tabs>
        <w:spacing w:line="240" w:lineRule="auto" w:before="120" w:after="0"/>
        <w:ind w:left="1919" w:right="416" w:hanging="567"/>
        <w:jc w:val="left"/>
        <w:rPr>
          <w:sz w:val="24"/>
        </w:rPr>
      </w:pPr>
      <w:r>
        <w:rPr>
          <w:sz w:val="24"/>
        </w:rPr>
        <w:t>intends to supply, or supplies, electricity from one or more </w:t>
      </w:r>
      <w:r>
        <w:rPr>
          <w:i/>
          <w:sz w:val="24"/>
        </w:rPr>
        <w:t>small generating </w:t>
      </w:r>
      <w:r>
        <w:rPr>
          <w:i/>
          <w:sz w:val="24"/>
        </w:rPr>
        <w:t>units </w:t>
      </w:r>
      <w:r>
        <w:rPr>
          <w:sz w:val="24"/>
        </w:rPr>
        <w:t>that are connected to a </w:t>
      </w:r>
      <w:r>
        <w:rPr>
          <w:i/>
          <w:sz w:val="24"/>
        </w:rPr>
        <w:t>transmission or distribution system</w:t>
      </w:r>
      <w:r>
        <w:rPr>
          <w:sz w:val="24"/>
        </w:rPr>
        <w:t>;</w:t>
      </w:r>
      <w:r>
        <w:rPr>
          <w:spacing w:val="-5"/>
          <w:sz w:val="24"/>
        </w:rPr>
        <w:t> </w:t>
      </w:r>
      <w:r>
        <w:rPr>
          <w:sz w:val="24"/>
        </w:rPr>
        <w:t>and</w:t>
      </w:r>
    </w:p>
    <w:p>
      <w:pPr>
        <w:pStyle w:val="ListParagraph"/>
        <w:numPr>
          <w:ilvl w:val="0"/>
          <w:numId w:val="827"/>
        </w:numPr>
        <w:tabs>
          <w:tab w:pos="1918" w:val="left" w:leader="none"/>
          <w:tab w:pos="1919" w:val="left" w:leader="none"/>
        </w:tabs>
        <w:spacing w:line="240" w:lineRule="auto" w:before="120" w:after="0"/>
        <w:ind w:left="1918" w:right="0" w:hanging="567"/>
        <w:jc w:val="left"/>
        <w:rPr>
          <w:sz w:val="24"/>
        </w:rPr>
      </w:pPr>
      <w:r>
        <w:rPr>
          <w:sz w:val="24"/>
        </w:rPr>
        <w:t>is registered by </w:t>
      </w:r>
      <w:r>
        <w:rPr>
          <w:i/>
          <w:sz w:val="24"/>
        </w:rPr>
        <w:t>AEMO </w:t>
      </w:r>
      <w:r>
        <w:rPr>
          <w:sz w:val="24"/>
        </w:rPr>
        <w:t>as a </w:t>
      </w:r>
      <w:r>
        <w:rPr>
          <w:i/>
          <w:sz w:val="24"/>
        </w:rPr>
        <w:t>Small Generation Aggregator </w:t>
      </w:r>
      <w:r>
        <w:rPr>
          <w:sz w:val="24"/>
        </w:rPr>
        <w:t>under Chapter</w:t>
      </w:r>
      <w:r>
        <w:rPr>
          <w:spacing w:val="-3"/>
          <w:sz w:val="24"/>
        </w:rPr>
        <w:t> </w:t>
      </w:r>
      <w:r>
        <w:rPr>
          <w:sz w:val="24"/>
        </w:rPr>
        <w:t>2.</w:t>
      </w:r>
    </w:p>
    <w:p>
      <w:pPr>
        <w:spacing w:after="0" w:line="240" w:lineRule="auto"/>
        <w:jc w:val="left"/>
        <w:rPr>
          <w:sz w:val="24"/>
        </w:rPr>
        <w:sectPr>
          <w:pgSz w:w="11910" w:h="16840"/>
          <w:pgMar w:header="686" w:footer="637" w:top="1320" w:bottom="820" w:left="1200" w:right="1000"/>
        </w:sectPr>
      </w:pPr>
    </w:p>
    <w:p>
      <w:pPr>
        <w:pStyle w:val="Heading5"/>
        <w:spacing w:before="83"/>
        <w:jc w:val="left"/>
        <w:rPr>
          <w:i/>
        </w:rPr>
      </w:pPr>
      <w:r>
        <w:rPr>
          <w:i/>
        </w:rPr>
        <w:t>small-scale incentive scheme</w:t>
      </w:r>
    </w:p>
    <w:p>
      <w:pPr>
        <w:pStyle w:val="BodyText"/>
        <w:ind w:left="1352" w:firstLine="0"/>
        <w:jc w:val="left"/>
      </w:pPr>
      <w:r>
        <w:rPr/>
        <w:t>A scheme developed and </w:t>
      </w:r>
      <w:r>
        <w:rPr>
          <w:i/>
        </w:rPr>
        <w:t>published </w:t>
      </w:r>
      <w:r>
        <w:rPr/>
        <w:t>by the </w:t>
      </w:r>
      <w:r>
        <w:rPr>
          <w:i/>
        </w:rPr>
        <w:t>AER </w:t>
      </w:r>
      <w:r>
        <w:rPr/>
        <w:t>in accordance with clause 6.6.4 or clause 6A.7.5, as the case may be.</w:t>
      </w:r>
    </w:p>
    <w:p>
      <w:pPr>
        <w:pStyle w:val="Heading5"/>
        <w:jc w:val="left"/>
        <w:rPr>
          <w:i/>
        </w:rPr>
      </w:pPr>
      <w:r>
        <w:rPr>
          <w:i/>
        </w:rPr>
        <w:t>Special Participant</w:t>
      </w:r>
    </w:p>
    <w:p>
      <w:pPr>
        <w:spacing w:before="120"/>
        <w:ind w:left="1352" w:right="0" w:firstLine="0"/>
        <w:jc w:val="left"/>
        <w:rPr>
          <w:sz w:val="24"/>
        </w:rPr>
      </w:pPr>
      <w:r>
        <w:rPr>
          <w:sz w:val="24"/>
        </w:rPr>
        <w:t>A </w:t>
      </w:r>
      <w:r>
        <w:rPr>
          <w:i/>
          <w:sz w:val="24"/>
        </w:rPr>
        <w:t>System Operator </w:t>
      </w:r>
      <w:r>
        <w:rPr>
          <w:sz w:val="24"/>
        </w:rPr>
        <w:t>or a </w:t>
      </w:r>
      <w:r>
        <w:rPr>
          <w:i/>
          <w:sz w:val="24"/>
        </w:rPr>
        <w:t>Distribution System Operator</w:t>
      </w:r>
      <w:r>
        <w:rPr>
          <w:sz w:val="24"/>
        </w:rPr>
        <w:t>.</w:t>
      </w:r>
    </w:p>
    <w:p>
      <w:pPr>
        <w:pStyle w:val="Heading5"/>
        <w:jc w:val="left"/>
        <w:rPr>
          <w:i/>
        </w:rPr>
      </w:pPr>
      <w:r>
        <w:rPr>
          <w:i/>
        </w:rPr>
        <w:t>special revised statement</w:t>
      </w:r>
    </w:p>
    <w:p>
      <w:pPr>
        <w:spacing w:before="120"/>
        <w:ind w:left="1352" w:right="0" w:firstLine="0"/>
        <w:jc w:val="left"/>
        <w:rPr>
          <w:sz w:val="24"/>
        </w:rPr>
      </w:pPr>
      <w:r>
        <w:rPr>
          <w:sz w:val="24"/>
        </w:rPr>
        <w:t>A </w:t>
      </w:r>
      <w:r>
        <w:rPr>
          <w:i/>
          <w:sz w:val="24"/>
        </w:rPr>
        <w:t>settlement statement </w:t>
      </w:r>
      <w:r>
        <w:rPr>
          <w:sz w:val="24"/>
        </w:rPr>
        <w:t>issued by </w:t>
      </w:r>
      <w:r>
        <w:rPr>
          <w:i/>
          <w:sz w:val="24"/>
        </w:rPr>
        <w:t>AEMO </w:t>
      </w:r>
      <w:r>
        <w:rPr>
          <w:sz w:val="24"/>
        </w:rPr>
        <w:t>under clause 3.15.19(a)(3).</w:t>
      </w:r>
    </w:p>
    <w:p>
      <w:pPr>
        <w:pStyle w:val="Heading5"/>
        <w:jc w:val="left"/>
        <w:rPr>
          <w:i/>
        </w:rPr>
      </w:pPr>
      <w:r>
        <w:rPr>
          <w:i/>
        </w:rPr>
        <w:t>spot market</w:t>
      </w:r>
    </w:p>
    <w:p>
      <w:pPr>
        <w:pStyle w:val="BodyText"/>
        <w:ind w:left="1352" w:right="415" w:firstLine="0"/>
        <w:jc w:val="left"/>
      </w:pPr>
      <w:r>
        <w:rPr/>
        <w:t>The spot market established and operated by </w:t>
      </w:r>
      <w:r>
        <w:rPr>
          <w:i/>
        </w:rPr>
        <w:t>AEMO </w:t>
      </w:r>
      <w:r>
        <w:rPr/>
        <w:t>in accordance with clause 3.4.1.</w:t>
      </w:r>
    </w:p>
    <w:p>
      <w:pPr>
        <w:pStyle w:val="Heading5"/>
        <w:jc w:val="left"/>
        <w:rPr>
          <w:i/>
        </w:rPr>
      </w:pPr>
      <w:r>
        <w:rPr>
          <w:i/>
        </w:rPr>
        <w:t>spot market transaction</w:t>
      </w:r>
    </w:p>
    <w:p>
      <w:pPr>
        <w:pStyle w:val="BodyText"/>
        <w:ind w:left="1352" w:right="565" w:firstLine="0"/>
        <w:jc w:val="left"/>
      </w:pPr>
      <w:r>
        <w:rPr/>
        <w:t>A transaction as defined pursuant to clause 3.15.6 which occurs in the </w:t>
      </w:r>
      <w:r>
        <w:rPr>
          <w:i/>
        </w:rPr>
        <w:t>spot </w:t>
      </w:r>
      <w:r>
        <w:rPr>
          <w:i/>
        </w:rPr>
        <w:t>market</w:t>
      </w:r>
      <w:r>
        <w:rPr/>
        <w:t>.</w:t>
      </w:r>
    </w:p>
    <w:p>
      <w:pPr>
        <w:spacing w:after="0"/>
        <w:jc w:val="left"/>
        <w:sectPr>
          <w:pgSz w:w="11910" w:h="16840"/>
          <w:pgMar w:header="686" w:footer="637" w:top="1320" w:bottom="820" w:left="1200" w:right="1000"/>
        </w:sectPr>
      </w:pPr>
    </w:p>
    <w:p>
      <w:pPr>
        <w:pStyle w:val="Heading5"/>
        <w:jc w:val="left"/>
        <w:rPr>
          <w:i/>
        </w:rPr>
      </w:pPr>
      <w:r>
        <w:rPr>
          <w:i/>
        </w:rPr>
        <w:t>spot </w:t>
      </w:r>
      <w:r>
        <w:rPr>
          <w:i/>
          <w:spacing w:val="-4"/>
        </w:rPr>
        <w:t>price</w:t>
      </w:r>
    </w:p>
    <w:p>
      <w:pPr>
        <w:pStyle w:val="BodyText"/>
        <w:spacing w:before="0"/>
        <w:ind w:firstLine="0"/>
        <w:jc w:val="left"/>
        <w:rPr>
          <w:b/>
          <w:i/>
          <w:sz w:val="26"/>
        </w:rPr>
      </w:pPr>
      <w:r>
        <w:rPr/>
        <w:br w:type="column"/>
      </w:r>
      <w:r>
        <w:rPr>
          <w:b/>
          <w:i/>
          <w:sz w:val="26"/>
        </w:rPr>
      </w:r>
    </w:p>
    <w:p>
      <w:pPr>
        <w:spacing w:before="217"/>
        <w:ind w:left="141" w:right="0" w:firstLine="0"/>
        <w:jc w:val="left"/>
        <w:rPr>
          <w:sz w:val="24"/>
        </w:rPr>
      </w:pPr>
      <w:r>
        <w:rPr>
          <w:sz w:val="24"/>
        </w:rPr>
        <w:t>The price for electricity in a </w:t>
      </w:r>
      <w:r>
        <w:rPr>
          <w:i/>
          <w:sz w:val="24"/>
        </w:rPr>
        <w:t>trading interval </w:t>
      </w:r>
      <w:r>
        <w:rPr>
          <w:sz w:val="24"/>
        </w:rPr>
        <w:t>at a </w:t>
      </w:r>
      <w:r>
        <w:rPr>
          <w:i/>
          <w:sz w:val="24"/>
        </w:rPr>
        <w:t>regional reference node </w:t>
      </w:r>
      <w:r>
        <w:rPr>
          <w:sz w:val="24"/>
        </w:rPr>
        <w:t>or a</w:t>
      </w:r>
    </w:p>
    <w:p>
      <w:pPr>
        <w:spacing w:before="0"/>
        <w:ind w:left="141" w:right="0" w:firstLine="0"/>
        <w:jc w:val="left"/>
        <w:rPr>
          <w:sz w:val="24"/>
        </w:rPr>
      </w:pPr>
      <w:r>
        <w:rPr>
          <w:i/>
          <w:sz w:val="24"/>
        </w:rPr>
        <w:t>connection point </w:t>
      </w:r>
      <w:r>
        <w:rPr>
          <w:sz w:val="24"/>
        </w:rPr>
        <w:t>as determined in accordance with clause 3.9.2.</w:t>
      </w:r>
    </w:p>
    <w:p>
      <w:pPr>
        <w:spacing w:after="0"/>
        <w:jc w:val="left"/>
        <w:rPr>
          <w:sz w:val="24"/>
        </w:rPr>
        <w:sectPr>
          <w:type w:val="continuous"/>
          <w:pgSz w:w="11910" w:h="16840"/>
          <w:pgMar w:top="1360" w:bottom="280" w:left="1200" w:right="1000"/>
          <w:cols w:num="2" w:equalWidth="0">
            <w:col w:w="1171" w:space="40"/>
            <w:col w:w="8499"/>
          </w:cols>
        </w:sectPr>
      </w:pPr>
    </w:p>
    <w:p>
      <w:pPr>
        <w:pStyle w:val="Heading5"/>
        <w:jc w:val="left"/>
        <w:rPr>
          <w:i/>
        </w:rPr>
      </w:pPr>
      <w:r>
        <w:rPr>
          <w:i/>
        </w:rPr>
        <w:t>spot price forecast</w:t>
      </w:r>
    </w:p>
    <w:p>
      <w:pPr>
        <w:spacing w:before="120"/>
        <w:ind w:left="1352" w:right="0" w:firstLine="0"/>
        <w:jc w:val="both"/>
        <w:rPr>
          <w:sz w:val="24"/>
        </w:rPr>
      </w:pPr>
      <w:r>
        <w:rPr>
          <w:sz w:val="24"/>
        </w:rPr>
        <w:t>A forecast of the </w:t>
      </w:r>
      <w:r>
        <w:rPr>
          <w:i/>
          <w:sz w:val="24"/>
        </w:rPr>
        <w:t>spot price</w:t>
      </w:r>
      <w:r>
        <w:rPr>
          <w:sz w:val="24"/>
        </w:rPr>
        <w:t>.</w:t>
      </w:r>
    </w:p>
    <w:p>
      <w:pPr>
        <w:pStyle w:val="Heading5"/>
        <w:jc w:val="left"/>
        <w:rPr>
          <w:i/>
        </w:rPr>
      </w:pPr>
      <w:r>
        <w:rPr>
          <w:i/>
        </w:rPr>
        <w:t>SRAS Guideline</w:t>
      </w:r>
    </w:p>
    <w:p>
      <w:pPr>
        <w:pStyle w:val="BodyText"/>
        <w:ind w:left="1352" w:right="414" w:firstLine="0"/>
      </w:pPr>
      <w:r>
        <w:rPr/>
        <w:t>The guideline developed and </w:t>
      </w:r>
      <w:r>
        <w:rPr>
          <w:i/>
        </w:rPr>
        <w:t>published </w:t>
      </w:r>
      <w:r>
        <w:rPr/>
        <w:t>by </w:t>
      </w:r>
      <w:r>
        <w:rPr>
          <w:i/>
        </w:rPr>
        <w:t>AEMO </w:t>
      </w:r>
      <w:r>
        <w:rPr/>
        <w:t>in accordance with clause 3.11.7(c) as in force from time to time and includes amendments made in accordance with clauses 3.11.7(f) and 3.11.7(g).</w:t>
      </w:r>
    </w:p>
    <w:p>
      <w:pPr>
        <w:pStyle w:val="Heading5"/>
        <w:jc w:val="left"/>
        <w:rPr>
          <w:i/>
        </w:rPr>
      </w:pPr>
      <w:r>
        <w:rPr>
          <w:i/>
        </w:rPr>
        <w:t>SRAS Objective</w:t>
      </w:r>
    </w:p>
    <w:p>
      <w:pPr>
        <w:spacing w:before="120"/>
        <w:ind w:left="1352" w:right="415" w:firstLine="0"/>
        <w:jc w:val="both"/>
        <w:rPr>
          <w:sz w:val="24"/>
        </w:rPr>
      </w:pPr>
      <w:r>
        <w:rPr>
          <w:sz w:val="24"/>
        </w:rPr>
        <w:t>The objective for </w:t>
      </w:r>
      <w:r>
        <w:rPr>
          <w:i/>
          <w:sz w:val="24"/>
        </w:rPr>
        <w:t>system restart ancillary services </w:t>
      </w:r>
      <w:r>
        <w:rPr>
          <w:sz w:val="24"/>
        </w:rPr>
        <w:t>is to minimise the expected costs of a </w:t>
      </w:r>
      <w:r>
        <w:rPr>
          <w:i/>
          <w:sz w:val="24"/>
        </w:rPr>
        <w:t>major supply disruption</w:t>
      </w:r>
      <w:r>
        <w:rPr>
          <w:sz w:val="24"/>
        </w:rPr>
        <w:t>, to the extent appropriate having regard to the </w:t>
      </w:r>
      <w:r>
        <w:rPr>
          <w:i/>
          <w:sz w:val="24"/>
        </w:rPr>
        <w:t>national electricity objective</w:t>
      </w:r>
      <w:r>
        <w:rPr>
          <w:sz w:val="24"/>
        </w:rPr>
        <w:t>.</w:t>
      </w:r>
    </w:p>
    <w:p>
      <w:pPr>
        <w:pStyle w:val="Heading5"/>
        <w:jc w:val="left"/>
        <w:rPr>
          <w:i/>
        </w:rPr>
      </w:pPr>
      <w:r>
        <w:rPr>
          <w:i/>
        </w:rPr>
        <w:t>SRAS Provider</w:t>
      </w:r>
    </w:p>
    <w:p>
      <w:pPr>
        <w:spacing w:before="120"/>
        <w:ind w:left="1352" w:right="0" w:firstLine="0"/>
        <w:jc w:val="left"/>
        <w:rPr>
          <w:sz w:val="24"/>
        </w:rPr>
      </w:pPr>
      <w:r>
        <w:rPr>
          <w:sz w:val="24"/>
        </w:rPr>
        <w:t>A person who agrees to provide one or more </w:t>
      </w:r>
      <w:r>
        <w:rPr>
          <w:i/>
          <w:sz w:val="24"/>
        </w:rPr>
        <w:t>system restart ancillary services </w:t>
      </w:r>
      <w:r>
        <w:rPr>
          <w:sz w:val="24"/>
        </w:rPr>
        <w:t>to</w:t>
      </w:r>
    </w:p>
    <w:p>
      <w:pPr>
        <w:spacing w:before="0"/>
        <w:ind w:left="1352" w:right="0" w:firstLine="0"/>
        <w:jc w:val="left"/>
        <w:rPr>
          <w:sz w:val="24"/>
        </w:rPr>
      </w:pPr>
      <w:r>
        <w:rPr>
          <w:i/>
          <w:sz w:val="24"/>
        </w:rPr>
        <w:t>AEMO </w:t>
      </w:r>
      <w:r>
        <w:rPr>
          <w:sz w:val="24"/>
        </w:rPr>
        <w:t>under an </w:t>
      </w:r>
      <w:r>
        <w:rPr>
          <w:i/>
          <w:sz w:val="24"/>
        </w:rPr>
        <w:t>ancillary services agreement</w:t>
      </w:r>
      <w:r>
        <w:rPr>
          <w:sz w:val="24"/>
        </w:rPr>
        <w:t>.</w:t>
      </w:r>
    </w:p>
    <w:p>
      <w:pPr>
        <w:pStyle w:val="Heading5"/>
        <w:jc w:val="left"/>
        <w:rPr>
          <w:i/>
        </w:rPr>
      </w:pPr>
      <w:r>
        <w:rPr>
          <w:i/>
        </w:rPr>
        <w:t>SRAS Procurement Objective</w:t>
      </w:r>
    </w:p>
    <w:p>
      <w:pPr>
        <w:pStyle w:val="BodyText"/>
        <w:ind w:left="1352" w:firstLine="0"/>
        <w:jc w:val="left"/>
      </w:pPr>
      <w:r>
        <w:rPr/>
        <w:t>Has the meaning given in clause 3.11.7(a1).</w:t>
      </w:r>
    </w:p>
    <w:p>
      <w:pPr>
        <w:spacing w:after="0"/>
        <w:jc w:val="left"/>
        <w:sectPr>
          <w:type w:val="continuous"/>
          <w:pgSz w:w="11910" w:h="16840"/>
          <w:pgMar w:top="1360" w:bottom="280" w:left="1200" w:right="1000"/>
        </w:sectPr>
      </w:pPr>
    </w:p>
    <w:p>
      <w:pPr>
        <w:pStyle w:val="Heading5"/>
        <w:jc w:val="left"/>
        <w:rPr>
          <w:i/>
        </w:rPr>
      </w:pPr>
      <w:r>
        <w:rPr>
          <w:i/>
        </w:rPr>
        <w:t>SRD </w:t>
      </w:r>
      <w:r>
        <w:rPr>
          <w:i/>
          <w:spacing w:val="-5"/>
        </w:rPr>
        <w:t>unit</w:t>
      </w:r>
    </w:p>
    <w:p>
      <w:pPr>
        <w:pStyle w:val="BodyText"/>
        <w:spacing w:before="0"/>
        <w:ind w:firstLine="0"/>
        <w:jc w:val="left"/>
        <w:rPr>
          <w:b/>
          <w:i/>
          <w:sz w:val="26"/>
        </w:rPr>
      </w:pPr>
      <w:r>
        <w:rPr/>
        <w:br w:type="column"/>
      </w:r>
      <w:r>
        <w:rPr>
          <w:b/>
          <w:i/>
          <w:sz w:val="26"/>
        </w:rPr>
      </w:r>
    </w:p>
    <w:p>
      <w:pPr>
        <w:spacing w:before="217"/>
        <w:ind w:left="167" w:right="415" w:firstLine="0"/>
        <w:jc w:val="both"/>
        <w:rPr>
          <w:sz w:val="24"/>
        </w:rPr>
      </w:pPr>
      <w:r>
        <w:rPr>
          <w:sz w:val="24"/>
        </w:rPr>
        <w:t>A unit that represents a right for an </w:t>
      </w:r>
      <w:r>
        <w:rPr>
          <w:i/>
          <w:sz w:val="24"/>
        </w:rPr>
        <w:t>eligible person </w:t>
      </w:r>
      <w:r>
        <w:rPr>
          <w:sz w:val="24"/>
        </w:rPr>
        <w:t>to receive a portion of the net </w:t>
      </w:r>
      <w:r>
        <w:rPr>
          <w:i/>
          <w:sz w:val="24"/>
        </w:rPr>
        <w:t>settlements residue </w:t>
      </w:r>
      <w:r>
        <w:rPr>
          <w:sz w:val="24"/>
        </w:rPr>
        <w:t>under clause 3.6.5 allocated to a </w:t>
      </w:r>
      <w:r>
        <w:rPr>
          <w:i/>
          <w:sz w:val="24"/>
        </w:rPr>
        <w:t>directional interconnector </w:t>
      </w:r>
      <w:r>
        <w:rPr>
          <w:sz w:val="24"/>
        </w:rPr>
        <w:t>for the period specified in a </w:t>
      </w:r>
      <w:r>
        <w:rPr>
          <w:i/>
          <w:sz w:val="24"/>
        </w:rPr>
        <w:t>SRD agreement </w:t>
      </w:r>
      <w:r>
        <w:rPr>
          <w:sz w:val="24"/>
        </w:rPr>
        <w:t>entered into between that </w:t>
      </w:r>
      <w:r>
        <w:rPr>
          <w:i/>
          <w:sz w:val="24"/>
        </w:rPr>
        <w:t>eligible person </w:t>
      </w:r>
      <w:r>
        <w:rPr>
          <w:sz w:val="24"/>
        </w:rPr>
        <w:t>and </w:t>
      </w:r>
      <w:r>
        <w:rPr>
          <w:i/>
          <w:sz w:val="24"/>
        </w:rPr>
        <w:t>AEMO </w:t>
      </w:r>
      <w:r>
        <w:rPr>
          <w:sz w:val="24"/>
        </w:rPr>
        <w:t>in respect of that right.</w:t>
      </w:r>
    </w:p>
    <w:p>
      <w:pPr>
        <w:spacing w:after="0"/>
        <w:jc w:val="both"/>
        <w:rPr>
          <w:sz w:val="24"/>
        </w:rPr>
        <w:sectPr>
          <w:type w:val="continuous"/>
          <w:pgSz w:w="11910" w:h="16840"/>
          <w:pgMar w:top="1360" w:bottom="280" w:left="1200" w:right="1000"/>
          <w:cols w:num="2" w:equalWidth="0">
            <w:col w:w="1145" w:space="40"/>
            <w:col w:w="8525"/>
          </w:cols>
        </w:sectPr>
      </w:pPr>
    </w:p>
    <w:p>
      <w:pPr>
        <w:pStyle w:val="Heading5"/>
        <w:jc w:val="left"/>
        <w:rPr>
          <w:i/>
        </w:rPr>
      </w:pPr>
      <w:r>
        <w:rPr>
          <w:i/>
        </w:rPr>
        <w:t>stand-alone amount</w:t>
      </w:r>
    </w:p>
    <w:p>
      <w:pPr>
        <w:spacing w:before="120"/>
        <w:ind w:left="1352" w:right="415" w:firstLine="0"/>
        <w:jc w:val="left"/>
        <w:rPr>
          <w:sz w:val="24"/>
        </w:rPr>
      </w:pPr>
      <w:r>
        <w:rPr>
          <w:sz w:val="24"/>
        </w:rPr>
        <w:t>For a </w:t>
      </w:r>
      <w:r>
        <w:rPr>
          <w:i/>
          <w:sz w:val="24"/>
        </w:rPr>
        <w:t>category of prescribed transmission services</w:t>
      </w:r>
      <w:r>
        <w:rPr>
          <w:sz w:val="24"/>
        </w:rPr>
        <w:t>, the costs of a </w:t>
      </w:r>
      <w:r>
        <w:rPr>
          <w:i/>
          <w:sz w:val="24"/>
        </w:rPr>
        <w:t>transmission </w:t>
      </w:r>
      <w:r>
        <w:rPr>
          <w:i/>
          <w:sz w:val="24"/>
        </w:rPr>
        <w:t>system </w:t>
      </w:r>
      <w:r>
        <w:rPr>
          <w:sz w:val="24"/>
        </w:rPr>
        <w:t>asset that would have been incurred had that </w:t>
      </w:r>
      <w:r>
        <w:rPr>
          <w:i/>
          <w:sz w:val="24"/>
        </w:rPr>
        <w:t>transmission system </w:t>
      </w:r>
      <w:r>
        <w:rPr>
          <w:sz w:val="24"/>
        </w:rPr>
        <w:t>asset</w:t>
      </w:r>
    </w:p>
    <w:p>
      <w:pPr>
        <w:spacing w:after="0"/>
        <w:jc w:val="left"/>
        <w:rPr>
          <w:sz w:val="24"/>
        </w:rPr>
        <w:sectPr>
          <w:type w:val="continuous"/>
          <w:pgSz w:w="11910" w:h="16840"/>
          <w:pgMar w:top="1360" w:bottom="280" w:left="1200" w:right="1000"/>
        </w:sectPr>
      </w:pPr>
    </w:p>
    <w:p>
      <w:pPr>
        <w:spacing w:before="83"/>
        <w:ind w:left="1352" w:right="414" w:firstLine="0"/>
        <w:jc w:val="both"/>
        <w:rPr>
          <w:sz w:val="24"/>
        </w:rPr>
      </w:pPr>
      <w:r>
        <w:rPr>
          <w:sz w:val="24"/>
        </w:rPr>
        <w:t>been developed, exclusively to provide that </w:t>
      </w:r>
      <w:r>
        <w:rPr>
          <w:i/>
          <w:sz w:val="24"/>
        </w:rPr>
        <w:t>category of prescribed transmission </w:t>
      </w:r>
      <w:r>
        <w:rPr>
          <w:i/>
          <w:sz w:val="24"/>
        </w:rPr>
        <w:t>services</w:t>
      </w:r>
      <w:r>
        <w:rPr>
          <w:sz w:val="24"/>
        </w:rPr>
        <w:t>.</w:t>
      </w:r>
    </w:p>
    <w:p>
      <w:pPr>
        <w:pStyle w:val="Heading5"/>
        <w:rPr>
          <w:i/>
        </w:rPr>
      </w:pPr>
      <w:r>
        <w:rPr>
          <w:i/>
        </w:rPr>
        <w:t>standard connection service</w:t>
      </w:r>
    </w:p>
    <w:p>
      <w:pPr>
        <w:pStyle w:val="BodyText"/>
        <w:ind w:left="1352" w:firstLine="0"/>
      </w:pPr>
      <w:r>
        <w:rPr/>
        <w:t>Has (in the context of Chapter 5A) the meaning given in clause 5A.A.1.</w:t>
      </w:r>
    </w:p>
    <w:p>
      <w:pPr>
        <w:pStyle w:val="Heading5"/>
        <w:rPr>
          <w:i/>
        </w:rPr>
      </w:pPr>
      <w:r>
        <w:rPr>
          <w:i/>
        </w:rPr>
        <w:t>standard control service</w:t>
      </w:r>
    </w:p>
    <w:p>
      <w:pPr>
        <w:spacing w:before="120"/>
        <w:ind w:left="1352" w:right="0" w:firstLine="0"/>
        <w:jc w:val="both"/>
        <w:rPr>
          <w:sz w:val="24"/>
        </w:rPr>
      </w:pPr>
      <w:r>
        <w:rPr>
          <w:sz w:val="24"/>
        </w:rPr>
        <w:t>A </w:t>
      </w:r>
      <w:r>
        <w:rPr>
          <w:i/>
          <w:sz w:val="24"/>
        </w:rPr>
        <w:t>direct control service </w:t>
      </w:r>
      <w:r>
        <w:rPr>
          <w:sz w:val="24"/>
        </w:rPr>
        <w:t>that is subject to a control mechanism based on a</w:t>
      </w:r>
    </w:p>
    <w:p>
      <w:pPr>
        <w:spacing w:before="0"/>
        <w:ind w:left="1352" w:right="0" w:firstLine="0"/>
        <w:jc w:val="both"/>
        <w:rPr>
          <w:sz w:val="24"/>
        </w:rPr>
      </w:pPr>
      <w:r>
        <w:rPr>
          <w:i/>
          <w:sz w:val="24"/>
        </w:rPr>
        <w:t>Distribution Network Service Provider's total revenue requirement</w:t>
      </w:r>
      <w:r>
        <w:rPr>
          <w:sz w:val="24"/>
        </w:rPr>
        <w:t>.</w:t>
      </w:r>
    </w:p>
    <w:p>
      <w:pPr>
        <w:pStyle w:val="Heading5"/>
        <w:rPr>
          <w:i/>
        </w:rPr>
      </w:pPr>
      <w:r>
        <w:rPr>
          <w:i/>
        </w:rPr>
        <w:t>Standards Australia</w:t>
      </w:r>
    </w:p>
    <w:p>
      <w:pPr>
        <w:pStyle w:val="BodyText"/>
        <w:ind w:left="1352" w:right="416" w:firstLine="0"/>
      </w:pPr>
      <w:r>
        <w:rPr/>
        <w:t>The Standards Association of Australia and includes its heirs or successors in business.</w:t>
      </w:r>
    </w:p>
    <w:p>
      <w:pPr>
        <w:pStyle w:val="Heading5"/>
        <w:rPr>
          <w:i/>
        </w:rPr>
      </w:pPr>
      <w:r>
        <w:rPr>
          <w:i/>
        </w:rPr>
        <w:t>statement of</w:t>
      </w:r>
      <w:r>
        <w:rPr>
          <w:i/>
          <w:spacing w:val="-8"/>
        </w:rPr>
        <w:t> </w:t>
      </w:r>
      <w:r>
        <w:rPr>
          <w:i/>
        </w:rPr>
        <w:t>charges</w:t>
      </w:r>
    </w:p>
    <w:p>
      <w:pPr>
        <w:pStyle w:val="BodyText"/>
        <w:ind w:left="1352" w:firstLine="0"/>
      </w:pPr>
      <w:r>
        <w:rPr/>
        <w:t>Has (in the context of Chapter 6B) the meaning given in clause 6B.A1.2.</w:t>
      </w:r>
    </w:p>
    <w:p>
      <w:pPr>
        <w:pStyle w:val="Heading5"/>
        <w:rPr>
          <w:i/>
        </w:rPr>
      </w:pPr>
      <w:r>
        <w:rPr>
          <w:i/>
        </w:rPr>
        <w:t>statement of opportunities</w:t>
      </w:r>
    </w:p>
    <w:p>
      <w:pPr>
        <w:spacing w:before="120"/>
        <w:ind w:left="1352" w:right="414" w:firstLine="0"/>
        <w:jc w:val="both"/>
        <w:rPr>
          <w:sz w:val="24"/>
        </w:rPr>
      </w:pPr>
      <w:r>
        <w:rPr>
          <w:sz w:val="24"/>
        </w:rPr>
        <w:t>A statement prepared by </w:t>
      </w:r>
      <w:r>
        <w:rPr>
          <w:i/>
          <w:sz w:val="24"/>
        </w:rPr>
        <w:t>AEMO </w:t>
      </w:r>
      <w:r>
        <w:rPr>
          <w:sz w:val="24"/>
        </w:rPr>
        <w:t>to provide information to assist </w:t>
      </w:r>
      <w:r>
        <w:rPr>
          <w:i/>
          <w:sz w:val="24"/>
        </w:rPr>
        <w:t>Scheduled </w:t>
      </w:r>
      <w:r>
        <w:rPr>
          <w:i/>
          <w:sz w:val="24"/>
        </w:rPr>
        <w:t>Generators</w:t>
      </w:r>
      <w:r>
        <w:rPr>
          <w:sz w:val="24"/>
        </w:rPr>
        <w:t>, </w:t>
      </w:r>
      <w:r>
        <w:rPr>
          <w:i/>
          <w:sz w:val="24"/>
        </w:rPr>
        <w:t>Semi-Scheduled Generators</w:t>
      </w:r>
      <w:r>
        <w:rPr>
          <w:sz w:val="24"/>
        </w:rPr>
        <w:t>, </w:t>
      </w:r>
      <w:r>
        <w:rPr>
          <w:i/>
          <w:sz w:val="24"/>
        </w:rPr>
        <w:t>Transmission Network Service </w:t>
      </w:r>
      <w:r>
        <w:rPr>
          <w:i/>
          <w:sz w:val="24"/>
        </w:rPr>
        <w:t>Providers </w:t>
      </w:r>
      <w:r>
        <w:rPr>
          <w:sz w:val="24"/>
        </w:rPr>
        <w:t>and </w:t>
      </w:r>
      <w:r>
        <w:rPr>
          <w:i/>
          <w:sz w:val="24"/>
        </w:rPr>
        <w:t>Market Participants </w:t>
      </w:r>
      <w:r>
        <w:rPr>
          <w:sz w:val="24"/>
        </w:rPr>
        <w:t>in making an assessment of the future need for electricity generating or demand management capacity or augmentation of the </w:t>
      </w:r>
      <w:r>
        <w:rPr>
          <w:i/>
          <w:sz w:val="24"/>
        </w:rPr>
        <w:t>power</w:t>
      </w:r>
      <w:r>
        <w:rPr>
          <w:i/>
          <w:spacing w:val="-1"/>
          <w:sz w:val="24"/>
        </w:rPr>
        <w:t> </w:t>
      </w:r>
      <w:r>
        <w:rPr>
          <w:i/>
          <w:sz w:val="24"/>
        </w:rPr>
        <w:t>system</w:t>
      </w:r>
      <w:r>
        <w:rPr>
          <w:sz w:val="24"/>
        </w:rPr>
        <w:t>.</w:t>
      </w:r>
    </w:p>
    <w:p>
      <w:pPr>
        <w:pStyle w:val="Heading5"/>
        <w:rPr>
          <w:i/>
        </w:rPr>
      </w:pPr>
      <w:r>
        <w:rPr>
          <w:i/>
        </w:rPr>
        <w:t>static excitation system</w:t>
      </w:r>
    </w:p>
    <w:p>
      <w:pPr>
        <w:spacing w:before="120"/>
        <w:ind w:left="1352" w:right="416" w:firstLine="0"/>
        <w:jc w:val="both"/>
        <w:rPr>
          <w:sz w:val="24"/>
        </w:rPr>
      </w:pPr>
      <w:r>
        <w:rPr>
          <w:sz w:val="24"/>
        </w:rPr>
        <w:t>An </w:t>
      </w:r>
      <w:r>
        <w:rPr>
          <w:i/>
          <w:sz w:val="24"/>
        </w:rPr>
        <w:t>excitation control system </w:t>
      </w:r>
      <w:r>
        <w:rPr>
          <w:sz w:val="24"/>
        </w:rPr>
        <w:t>in which the power to the rotor of a </w:t>
      </w:r>
      <w:r>
        <w:rPr>
          <w:i/>
          <w:sz w:val="24"/>
        </w:rPr>
        <w:t>synchronous </w:t>
      </w:r>
      <w:r>
        <w:rPr>
          <w:i/>
          <w:sz w:val="24"/>
        </w:rPr>
        <w:t>generating unit </w:t>
      </w:r>
      <w:r>
        <w:rPr>
          <w:sz w:val="24"/>
        </w:rPr>
        <w:t>is transmitted through high power solid-state electronic devices.</w:t>
      </w:r>
    </w:p>
    <w:p>
      <w:pPr>
        <w:pStyle w:val="Heading5"/>
        <w:rPr>
          <w:i/>
        </w:rPr>
      </w:pPr>
      <w:r>
        <w:rPr>
          <w:i/>
        </w:rPr>
        <w:t>static VAR compensator</w:t>
      </w:r>
    </w:p>
    <w:p>
      <w:pPr>
        <w:pStyle w:val="BodyText"/>
        <w:ind w:left="1352" w:right="415" w:firstLine="0"/>
      </w:pPr>
      <w:r>
        <w:rPr/>
        <w:t>A device specifically provided on a </w:t>
      </w:r>
      <w:r>
        <w:rPr>
          <w:i/>
        </w:rPr>
        <w:t>network </w:t>
      </w:r>
      <w:r>
        <w:rPr/>
        <w:t>to provide the ability to generate and absorb </w:t>
      </w:r>
      <w:r>
        <w:rPr>
          <w:i/>
        </w:rPr>
        <w:t>reactive power </w:t>
      </w:r>
      <w:r>
        <w:rPr/>
        <w:t>and to respond automatically and rapidly to </w:t>
      </w:r>
      <w:r>
        <w:rPr>
          <w:i/>
        </w:rPr>
        <w:t>voltage </w:t>
      </w:r>
      <w:r>
        <w:rPr/>
        <w:t>fluctuations or </w:t>
      </w:r>
      <w:r>
        <w:rPr>
          <w:i/>
        </w:rPr>
        <w:t>voltage </w:t>
      </w:r>
      <w:r>
        <w:rPr/>
        <w:t>instability arising from a disturbance or disruption on the </w:t>
      </w:r>
      <w:r>
        <w:rPr>
          <w:i/>
        </w:rPr>
        <w:t>network</w:t>
      </w:r>
      <w:r>
        <w:rPr/>
        <w:t>.</w:t>
      </w:r>
    </w:p>
    <w:p>
      <w:pPr>
        <w:spacing w:after="0"/>
        <w:sectPr>
          <w:pgSz w:w="11910" w:h="16840"/>
          <w:pgMar w:header="686" w:footer="637" w:top="1320" w:bottom="820" w:left="1200" w:right="1000"/>
        </w:sectPr>
      </w:pPr>
    </w:p>
    <w:p>
      <w:pPr>
        <w:pStyle w:val="Heading5"/>
        <w:jc w:val="left"/>
        <w:rPr>
          <w:i/>
        </w:rPr>
      </w:pPr>
      <w:r>
        <w:rPr>
          <w:i/>
        </w:rPr>
        <w:t>substation</w:t>
      </w:r>
    </w:p>
    <w:p>
      <w:pPr>
        <w:pStyle w:val="BodyText"/>
        <w:spacing w:before="0"/>
        <w:ind w:firstLine="0"/>
        <w:jc w:val="left"/>
        <w:rPr>
          <w:b/>
          <w:i/>
          <w:sz w:val="26"/>
        </w:rPr>
      </w:pPr>
      <w:r>
        <w:rPr/>
        <w:br w:type="column"/>
      </w:r>
      <w:r>
        <w:rPr>
          <w:b/>
          <w:i/>
          <w:sz w:val="26"/>
        </w:rPr>
      </w:r>
    </w:p>
    <w:p>
      <w:pPr>
        <w:spacing w:before="217"/>
        <w:ind w:left="80" w:right="417" w:firstLine="0"/>
        <w:jc w:val="both"/>
        <w:rPr>
          <w:sz w:val="24"/>
        </w:rPr>
      </w:pPr>
      <w:r>
        <w:rPr>
          <w:sz w:val="24"/>
        </w:rPr>
        <w:t>A </w:t>
      </w:r>
      <w:r>
        <w:rPr>
          <w:i/>
          <w:sz w:val="24"/>
        </w:rPr>
        <w:t>facility </w:t>
      </w:r>
      <w:r>
        <w:rPr>
          <w:sz w:val="24"/>
        </w:rPr>
        <w:t>at which two or more lines are switched for operational purposes. May include one or more </w:t>
      </w:r>
      <w:r>
        <w:rPr>
          <w:i/>
          <w:sz w:val="24"/>
        </w:rPr>
        <w:t>transformers </w:t>
      </w:r>
      <w:r>
        <w:rPr>
          <w:sz w:val="24"/>
        </w:rPr>
        <w:t>so that some </w:t>
      </w:r>
      <w:r>
        <w:rPr>
          <w:i/>
          <w:sz w:val="24"/>
        </w:rPr>
        <w:t>connected </w:t>
      </w:r>
      <w:r>
        <w:rPr>
          <w:sz w:val="24"/>
        </w:rPr>
        <w:t>lines operate at different nominal </w:t>
      </w:r>
      <w:r>
        <w:rPr>
          <w:i/>
          <w:sz w:val="24"/>
        </w:rPr>
        <w:t>voltages </w:t>
      </w:r>
      <w:r>
        <w:rPr>
          <w:sz w:val="24"/>
        </w:rPr>
        <w:t>to others.</w:t>
      </w:r>
    </w:p>
    <w:p>
      <w:pPr>
        <w:spacing w:after="0"/>
        <w:jc w:val="both"/>
        <w:rPr>
          <w:sz w:val="24"/>
        </w:rPr>
        <w:sectPr>
          <w:type w:val="continuous"/>
          <w:pgSz w:w="11910" w:h="16840"/>
          <w:pgMar w:top="1360" w:bottom="280" w:left="1200" w:right="1000"/>
          <w:cols w:num="2" w:equalWidth="0">
            <w:col w:w="1232" w:space="40"/>
            <w:col w:w="8438"/>
          </w:cols>
        </w:sectPr>
      </w:pPr>
    </w:p>
    <w:p>
      <w:pPr>
        <w:pStyle w:val="Heading5"/>
        <w:rPr>
          <w:i/>
        </w:rPr>
      </w:pPr>
      <w:r>
        <w:rPr>
          <w:i/>
        </w:rPr>
        <w:t>substituted metering data</w:t>
      </w:r>
    </w:p>
    <w:p>
      <w:pPr>
        <w:spacing w:before="120"/>
        <w:ind w:left="1352" w:right="415" w:firstLine="0"/>
        <w:jc w:val="both"/>
        <w:rPr>
          <w:sz w:val="24"/>
        </w:rPr>
      </w:pPr>
      <w:r>
        <w:rPr>
          <w:sz w:val="24"/>
        </w:rPr>
        <w:t>The substituted values of </w:t>
      </w:r>
      <w:r>
        <w:rPr>
          <w:i/>
          <w:sz w:val="24"/>
        </w:rPr>
        <w:t>accumulated metering data</w:t>
      </w:r>
      <w:r>
        <w:rPr>
          <w:sz w:val="24"/>
        </w:rPr>
        <w:t>, </w:t>
      </w:r>
      <w:r>
        <w:rPr>
          <w:i/>
          <w:sz w:val="24"/>
        </w:rPr>
        <w:t>interval metering data </w:t>
      </w:r>
      <w:r>
        <w:rPr>
          <w:sz w:val="24"/>
        </w:rPr>
        <w:t>or </w:t>
      </w:r>
      <w:r>
        <w:rPr>
          <w:i/>
          <w:sz w:val="24"/>
        </w:rPr>
        <w:t>calculated metering data </w:t>
      </w:r>
      <w:r>
        <w:rPr>
          <w:sz w:val="24"/>
        </w:rPr>
        <w:t>prepared in accordance with schedule 7A.7. </w:t>
      </w:r>
      <w:r>
        <w:rPr>
          <w:i/>
          <w:sz w:val="24"/>
        </w:rPr>
        <w:t>Substituted </w:t>
      </w:r>
      <w:r>
        <w:rPr>
          <w:i/>
          <w:sz w:val="24"/>
        </w:rPr>
        <w:t>metering data </w:t>
      </w:r>
      <w:r>
        <w:rPr>
          <w:sz w:val="24"/>
        </w:rPr>
        <w:t>is held in a </w:t>
      </w:r>
      <w:r>
        <w:rPr>
          <w:i/>
          <w:sz w:val="24"/>
        </w:rPr>
        <w:t>metering data services database</w:t>
      </w:r>
      <w:r>
        <w:rPr>
          <w:sz w:val="24"/>
        </w:rPr>
        <w:t>.</w:t>
      </w:r>
    </w:p>
    <w:p>
      <w:pPr>
        <w:pStyle w:val="Heading5"/>
        <w:rPr>
          <w:i/>
        </w:rPr>
      </w:pPr>
      <w:r>
        <w:rPr>
          <w:i/>
        </w:rPr>
        <w:t>super majority</w:t>
      </w:r>
    </w:p>
    <w:p>
      <w:pPr>
        <w:pStyle w:val="BodyText"/>
        <w:ind w:left="1352" w:firstLine="0"/>
      </w:pPr>
      <w:r>
        <w:rPr/>
        <w:t>At least 70% of the number of </w:t>
      </w:r>
      <w:r>
        <w:rPr>
          <w:i/>
        </w:rPr>
        <w:t>Members</w:t>
      </w:r>
      <w:r>
        <w:rPr/>
        <w:t>.</w:t>
      </w:r>
    </w:p>
    <w:p>
      <w:pPr>
        <w:pStyle w:val="Heading5"/>
        <w:rPr>
          <w:i/>
        </w:rPr>
      </w:pPr>
      <w:r>
        <w:rPr>
          <w:i/>
        </w:rPr>
        <w:t>supplementary carbon dioxide equivalent intensity indicator</w:t>
      </w:r>
    </w:p>
    <w:p>
      <w:pPr>
        <w:spacing w:before="120"/>
        <w:ind w:left="1352" w:right="416" w:firstLine="0"/>
        <w:jc w:val="both"/>
        <w:rPr>
          <w:sz w:val="24"/>
        </w:rPr>
      </w:pPr>
      <w:r>
        <w:rPr>
          <w:sz w:val="24"/>
        </w:rPr>
        <w:t>Any indicators relating to a subset of </w:t>
      </w:r>
      <w:r>
        <w:rPr>
          <w:i/>
          <w:sz w:val="24"/>
        </w:rPr>
        <w:t>scheduled generating units </w:t>
      </w:r>
      <w:r>
        <w:rPr>
          <w:sz w:val="24"/>
        </w:rPr>
        <w:t>and </w:t>
      </w:r>
      <w:r>
        <w:rPr>
          <w:i/>
          <w:sz w:val="24"/>
        </w:rPr>
        <w:t>market </w:t>
      </w:r>
      <w:r>
        <w:rPr>
          <w:i/>
          <w:sz w:val="24"/>
        </w:rPr>
        <w:t>generating units </w:t>
      </w:r>
      <w:r>
        <w:rPr>
          <w:sz w:val="24"/>
        </w:rPr>
        <w:t>published by </w:t>
      </w:r>
      <w:r>
        <w:rPr>
          <w:i/>
          <w:sz w:val="24"/>
        </w:rPr>
        <w:t>AEMO </w:t>
      </w:r>
      <w:r>
        <w:rPr>
          <w:sz w:val="24"/>
        </w:rPr>
        <w:t>in accordance with clause 3.13.14(h).</w:t>
      </w:r>
    </w:p>
    <w:p>
      <w:pPr>
        <w:spacing w:after="0"/>
        <w:jc w:val="both"/>
        <w:rPr>
          <w:sz w:val="24"/>
        </w:rPr>
        <w:sectPr>
          <w:type w:val="continuous"/>
          <w:pgSz w:w="11910" w:h="16840"/>
          <w:pgMar w:top="1360" w:bottom="280" w:left="1200" w:right="1000"/>
        </w:sectPr>
      </w:pPr>
    </w:p>
    <w:p>
      <w:pPr>
        <w:pStyle w:val="Heading5"/>
        <w:spacing w:before="83"/>
        <w:jc w:val="left"/>
        <w:rPr>
          <w:i/>
        </w:rPr>
      </w:pPr>
      <w:r>
        <w:rPr>
          <w:i/>
        </w:rPr>
        <w:t>supply</w:t>
      </w:r>
    </w:p>
    <w:p>
      <w:pPr>
        <w:pStyle w:val="BodyText"/>
        <w:ind w:left="1352" w:firstLine="0"/>
        <w:jc w:val="left"/>
      </w:pPr>
      <w:r>
        <w:rPr/>
        <w:t>The delivery of electricity.</w:t>
      </w:r>
    </w:p>
    <w:p>
      <w:pPr>
        <w:pStyle w:val="Heading5"/>
        <w:rPr>
          <w:i/>
        </w:rPr>
      </w:pPr>
      <w:r>
        <w:rPr>
          <w:i/>
        </w:rPr>
        <w:t>supply service</w:t>
      </w:r>
    </w:p>
    <w:p>
      <w:pPr>
        <w:pStyle w:val="BodyText"/>
        <w:ind w:left="1352" w:firstLine="0"/>
      </w:pPr>
      <w:r>
        <w:rPr/>
        <w:t>Has (in the context of Chapter 5A) the meaning given in clause 5A.A.1</w:t>
      </w:r>
    </w:p>
    <w:p>
      <w:pPr>
        <w:pStyle w:val="Heading5"/>
        <w:rPr>
          <w:i/>
        </w:rPr>
      </w:pPr>
      <w:r>
        <w:rPr>
          <w:i/>
        </w:rPr>
        <w:t>survey period</w:t>
      </w:r>
    </w:p>
    <w:p>
      <w:pPr>
        <w:spacing w:before="120"/>
        <w:ind w:left="1352" w:right="415" w:firstLine="0"/>
        <w:jc w:val="both"/>
        <w:rPr>
          <w:sz w:val="24"/>
        </w:rPr>
      </w:pPr>
      <w:r>
        <w:rPr>
          <w:sz w:val="24"/>
        </w:rPr>
        <w:t>An agreed sample period used to determine the allocation of costs and prices for use of </w:t>
      </w:r>
      <w:r>
        <w:rPr>
          <w:i/>
          <w:sz w:val="24"/>
        </w:rPr>
        <w:t>transmission network </w:t>
      </w:r>
      <w:r>
        <w:rPr>
          <w:sz w:val="24"/>
        </w:rPr>
        <w:t>or </w:t>
      </w:r>
      <w:r>
        <w:rPr>
          <w:i/>
          <w:sz w:val="24"/>
        </w:rPr>
        <w:t>distribution network </w:t>
      </w:r>
      <w:r>
        <w:rPr>
          <w:sz w:val="24"/>
        </w:rPr>
        <w:t>assets.</w:t>
      </w:r>
    </w:p>
    <w:p>
      <w:pPr>
        <w:pStyle w:val="Heading5"/>
        <w:rPr>
          <w:i/>
        </w:rPr>
      </w:pPr>
      <w:r>
        <w:rPr>
          <w:i/>
        </w:rPr>
        <w:t>suspended region</w:t>
      </w:r>
    </w:p>
    <w:p>
      <w:pPr>
        <w:pStyle w:val="BodyText"/>
        <w:ind w:left="1352" w:firstLine="0"/>
      </w:pPr>
      <w:r>
        <w:rPr/>
        <w:t>A region in which the </w:t>
      </w:r>
      <w:r>
        <w:rPr>
          <w:i/>
        </w:rPr>
        <w:t>spot market </w:t>
      </w:r>
      <w:r>
        <w:rPr/>
        <w:t>is suspended in accordance with clause 3.14.4.</w:t>
      </w:r>
    </w:p>
    <w:p>
      <w:pPr>
        <w:pStyle w:val="Heading5"/>
        <w:rPr>
          <w:i/>
        </w:rPr>
      </w:pPr>
      <w:r>
        <w:rPr>
          <w:i/>
        </w:rPr>
        <w:t>suspension notice</w:t>
      </w:r>
    </w:p>
    <w:p>
      <w:pPr>
        <w:spacing w:before="120"/>
        <w:ind w:left="1352" w:right="415" w:firstLine="0"/>
        <w:jc w:val="both"/>
        <w:rPr>
          <w:sz w:val="24"/>
        </w:rPr>
      </w:pPr>
      <w:r>
        <w:rPr>
          <w:sz w:val="24"/>
        </w:rPr>
        <w:t>A notice issued by </w:t>
      </w:r>
      <w:r>
        <w:rPr>
          <w:i/>
          <w:sz w:val="24"/>
        </w:rPr>
        <w:t>AEMO </w:t>
      </w:r>
      <w:r>
        <w:rPr>
          <w:sz w:val="24"/>
        </w:rPr>
        <w:t>to a </w:t>
      </w:r>
      <w:r>
        <w:rPr>
          <w:i/>
          <w:sz w:val="24"/>
        </w:rPr>
        <w:t>defaulting Market Participant </w:t>
      </w:r>
      <w:r>
        <w:rPr>
          <w:sz w:val="24"/>
        </w:rPr>
        <w:t>pursuant to clause 3.15.21(c) or (c1) under which </w:t>
      </w:r>
      <w:r>
        <w:rPr>
          <w:i/>
          <w:sz w:val="24"/>
        </w:rPr>
        <w:t>AEMO </w:t>
      </w:r>
      <w:r>
        <w:rPr>
          <w:sz w:val="24"/>
        </w:rPr>
        <w:t>notifies the </w:t>
      </w:r>
      <w:r>
        <w:rPr>
          <w:i/>
          <w:sz w:val="24"/>
        </w:rPr>
        <w:t>defaulting Market Participant</w:t>
      </w:r>
      <w:r>
        <w:rPr>
          <w:sz w:val="24"/>
        </w:rPr>
        <w:t>:</w:t>
      </w:r>
    </w:p>
    <w:p>
      <w:pPr>
        <w:pStyle w:val="ListParagraph"/>
        <w:numPr>
          <w:ilvl w:val="0"/>
          <w:numId w:val="828"/>
        </w:numPr>
        <w:tabs>
          <w:tab w:pos="1919" w:val="left" w:leader="none"/>
        </w:tabs>
        <w:spacing w:line="240" w:lineRule="auto" w:before="120" w:after="0"/>
        <w:ind w:left="1918" w:right="0" w:hanging="567"/>
        <w:jc w:val="both"/>
        <w:rPr>
          <w:sz w:val="24"/>
        </w:rPr>
      </w:pPr>
      <w:r>
        <w:rPr>
          <w:sz w:val="24"/>
        </w:rPr>
        <w:t>of the date and time from which it is suspended from specified</w:t>
      </w:r>
      <w:r>
        <w:rPr>
          <w:spacing w:val="-14"/>
          <w:sz w:val="24"/>
        </w:rPr>
        <w:t> </w:t>
      </w:r>
      <w:r>
        <w:rPr>
          <w:sz w:val="24"/>
        </w:rPr>
        <w:t>activities;</w:t>
      </w:r>
    </w:p>
    <w:p>
      <w:pPr>
        <w:pStyle w:val="ListParagraph"/>
        <w:numPr>
          <w:ilvl w:val="0"/>
          <w:numId w:val="828"/>
        </w:numPr>
        <w:tabs>
          <w:tab w:pos="1919" w:val="left" w:leader="none"/>
        </w:tabs>
        <w:spacing w:line="240" w:lineRule="auto" w:before="120" w:after="0"/>
        <w:ind w:left="1919" w:right="415" w:hanging="567"/>
        <w:jc w:val="both"/>
        <w:rPr>
          <w:sz w:val="24"/>
        </w:rPr>
      </w:pPr>
      <w:r>
        <w:rPr>
          <w:sz w:val="24"/>
        </w:rPr>
        <w:t>the </w:t>
      </w:r>
      <w:r>
        <w:rPr>
          <w:i/>
          <w:sz w:val="24"/>
        </w:rPr>
        <w:t>registration categories </w:t>
      </w:r>
      <w:r>
        <w:rPr>
          <w:sz w:val="24"/>
        </w:rPr>
        <w:t>of the </w:t>
      </w:r>
      <w:r>
        <w:rPr>
          <w:i/>
          <w:sz w:val="24"/>
        </w:rPr>
        <w:t>defaulting Market Participant </w:t>
      </w:r>
      <w:r>
        <w:rPr>
          <w:sz w:val="24"/>
        </w:rPr>
        <w:t>to which the suspension relates;</w:t>
      </w:r>
      <w:r>
        <w:rPr>
          <w:spacing w:val="-3"/>
          <w:sz w:val="24"/>
        </w:rPr>
        <w:t> </w:t>
      </w:r>
      <w:r>
        <w:rPr>
          <w:sz w:val="24"/>
        </w:rPr>
        <w:t>and</w:t>
      </w:r>
    </w:p>
    <w:p>
      <w:pPr>
        <w:pStyle w:val="ListParagraph"/>
        <w:numPr>
          <w:ilvl w:val="0"/>
          <w:numId w:val="828"/>
        </w:numPr>
        <w:tabs>
          <w:tab w:pos="1919" w:val="left" w:leader="none"/>
        </w:tabs>
        <w:spacing w:line="240" w:lineRule="auto" w:before="120" w:after="0"/>
        <w:ind w:left="1919" w:right="415" w:hanging="567"/>
        <w:jc w:val="both"/>
        <w:rPr>
          <w:sz w:val="24"/>
        </w:rPr>
      </w:pPr>
      <w:r>
        <w:rPr>
          <w:sz w:val="24"/>
        </w:rPr>
        <w:t>in respect of the </w:t>
      </w:r>
      <w:r>
        <w:rPr>
          <w:i/>
          <w:sz w:val="24"/>
        </w:rPr>
        <w:t>registration categories </w:t>
      </w:r>
      <w:r>
        <w:rPr>
          <w:sz w:val="24"/>
        </w:rPr>
        <w:t>referred to in paragraph (b), the activities (or subset of activities) of the </w:t>
      </w:r>
      <w:r>
        <w:rPr>
          <w:i/>
          <w:sz w:val="24"/>
        </w:rPr>
        <w:t>Market Participant </w:t>
      </w:r>
      <w:r>
        <w:rPr>
          <w:sz w:val="24"/>
        </w:rPr>
        <w:t>that have been suspended.</w:t>
      </w:r>
    </w:p>
    <w:p>
      <w:pPr>
        <w:spacing w:after="0" w:line="240" w:lineRule="auto"/>
        <w:jc w:val="both"/>
        <w:rPr>
          <w:sz w:val="24"/>
        </w:rPr>
        <w:sectPr>
          <w:pgSz w:w="11910" w:h="16840"/>
          <w:pgMar w:header="686" w:footer="637" w:top="1320" w:bottom="820" w:left="1200" w:right="1000"/>
        </w:sectPr>
      </w:pPr>
    </w:p>
    <w:p>
      <w:pPr>
        <w:pStyle w:val="Heading5"/>
        <w:jc w:val="left"/>
        <w:rPr>
          <w:i/>
        </w:rPr>
      </w:pPr>
      <w:r>
        <w:rPr>
          <w:i/>
          <w:spacing w:val="-1"/>
        </w:rPr>
        <w:t>switchyard</w:t>
      </w:r>
    </w:p>
    <w:p>
      <w:pPr>
        <w:pStyle w:val="BodyText"/>
        <w:spacing w:before="0"/>
        <w:ind w:firstLine="0"/>
        <w:jc w:val="left"/>
        <w:rPr>
          <w:b/>
          <w:i/>
          <w:sz w:val="26"/>
        </w:rPr>
      </w:pPr>
      <w:r>
        <w:rPr/>
        <w:br w:type="column"/>
      </w:r>
      <w:r>
        <w:rPr>
          <w:b/>
          <w:i/>
          <w:sz w:val="26"/>
        </w:rPr>
      </w:r>
    </w:p>
    <w:p>
      <w:pPr>
        <w:spacing w:before="217"/>
        <w:ind w:left="28" w:right="415" w:firstLine="0"/>
        <w:jc w:val="both"/>
        <w:rPr>
          <w:sz w:val="24"/>
        </w:rPr>
      </w:pPr>
      <w:r>
        <w:rPr>
          <w:sz w:val="24"/>
        </w:rPr>
        <w:t>The </w:t>
      </w:r>
      <w:r>
        <w:rPr>
          <w:i/>
          <w:sz w:val="24"/>
        </w:rPr>
        <w:t>connection point </w:t>
      </w:r>
      <w:r>
        <w:rPr>
          <w:sz w:val="24"/>
        </w:rPr>
        <w:t>of a </w:t>
      </w:r>
      <w:r>
        <w:rPr>
          <w:i/>
          <w:sz w:val="24"/>
        </w:rPr>
        <w:t>generating unit </w:t>
      </w:r>
      <w:r>
        <w:rPr>
          <w:sz w:val="24"/>
        </w:rPr>
        <w:t>into the </w:t>
      </w:r>
      <w:r>
        <w:rPr>
          <w:i/>
          <w:sz w:val="24"/>
        </w:rPr>
        <w:t>network</w:t>
      </w:r>
      <w:r>
        <w:rPr>
          <w:sz w:val="24"/>
        </w:rPr>
        <w:t>, generally involving the ability to </w:t>
      </w:r>
      <w:r>
        <w:rPr>
          <w:i/>
          <w:sz w:val="24"/>
        </w:rPr>
        <w:t>connect </w:t>
      </w:r>
      <w:r>
        <w:rPr>
          <w:sz w:val="24"/>
        </w:rPr>
        <w:t>the </w:t>
      </w:r>
      <w:r>
        <w:rPr>
          <w:i/>
          <w:sz w:val="24"/>
        </w:rPr>
        <w:t>generating unit </w:t>
      </w:r>
      <w:r>
        <w:rPr>
          <w:sz w:val="24"/>
        </w:rPr>
        <w:t>to one or more outgoing </w:t>
      </w:r>
      <w:r>
        <w:rPr>
          <w:i/>
          <w:sz w:val="24"/>
        </w:rPr>
        <w:t>network </w:t>
      </w:r>
      <w:r>
        <w:rPr>
          <w:sz w:val="24"/>
        </w:rPr>
        <w:t>circuits.</w:t>
      </w:r>
    </w:p>
    <w:p>
      <w:pPr>
        <w:spacing w:after="0"/>
        <w:jc w:val="both"/>
        <w:rPr>
          <w:sz w:val="24"/>
        </w:rPr>
        <w:sectPr>
          <w:type w:val="continuous"/>
          <w:pgSz w:w="11910" w:h="16840"/>
          <w:pgMar w:top="1360" w:bottom="280" w:left="1200" w:right="1000"/>
          <w:cols w:num="2" w:equalWidth="0">
            <w:col w:w="1284" w:space="40"/>
            <w:col w:w="8386"/>
          </w:cols>
        </w:sectPr>
      </w:pPr>
    </w:p>
    <w:p>
      <w:pPr>
        <w:pStyle w:val="Heading5"/>
        <w:jc w:val="left"/>
        <w:rPr>
          <w:i/>
        </w:rPr>
      </w:pPr>
      <w:r>
        <w:rPr>
          <w:i/>
        </w:rPr>
        <w:t>Sydney time</w:t>
      </w:r>
    </w:p>
    <w:p>
      <w:pPr>
        <w:spacing w:before="120"/>
        <w:ind w:left="1352" w:right="0" w:firstLine="0"/>
        <w:jc w:val="left"/>
        <w:rPr>
          <w:sz w:val="24"/>
        </w:rPr>
      </w:pPr>
      <w:r>
        <w:rPr>
          <w:i/>
          <w:sz w:val="24"/>
        </w:rPr>
        <w:t>Eastern Standard Time </w:t>
      </w:r>
      <w:r>
        <w:rPr>
          <w:sz w:val="24"/>
        </w:rPr>
        <w:t>or Eastern Daylight Saving Time as applicable in Sydney.</w:t>
      </w:r>
    </w:p>
    <w:p>
      <w:pPr>
        <w:pStyle w:val="Heading5"/>
        <w:jc w:val="left"/>
        <w:rPr>
          <w:i/>
        </w:rPr>
      </w:pPr>
      <w:r>
        <w:rPr>
          <w:i/>
        </w:rPr>
        <w:t>synchronise</w:t>
      </w:r>
    </w:p>
    <w:p>
      <w:pPr>
        <w:spacing w:before="120"/>
        <w:ind w:left="1352" w:right="0" w:firstLine="0"/>
        <w:jc w:val="left"/>
        <w:rPr>
          <w:sz w:val="24"/>
        </w:rPr>
      </w:pPr>
      <w:r>
        <w:rPr>
          <w:sz w:val="24"/>
        </w:rPr>
        <w:t>The act of </w:t>
      </w:r>
      <w:r>
        <w:rPr>
          <w:i/>
          <w:sz w:val="24"/>
        </w:rPr>
        <w:t>synchronising </w:t>
      </w:r>
      <w:r>
        <w:rPr>
          <w:sz w:val="24"/>
        </w:rPr>
        <w:t>a </w:t>
      </w:r>
      <w:r>
        <w:rPr>
          <w:i/>
          <w:sz w:val="24"/>
        </w:rPr>
        <w:t>generating unit </w:t>
      </w:r>
      <w:r>
        <w:rPr>
          <w:sz w:val="24"/>
        </w:rPr>
        <w:t>or a </w:t>
      </w:r>
      <w:r>
        <w:rPr>
          <w:i/>
          <w:sz w:val="24"/>
        </w:rPr>
        <w:t>scheduled network service </w:t>
      </w:r>
      <w:r>
        <w:rPr>
          <w:sz w:val="24"/>
        </w:rPr>
        <w:t>to the</w:t>
      </w:r>
    </w:p>
    <w:p>
      <w:pPr>
        <w:spacing w:before="0"/>
        <w:ind w:left="1352" w:right="0" w:firstLine="0"/>
        <w:jc w:val="left"/>
        <w:rPr>
          <w:sz w:val="24"/>
        </w:rPr>
      </w:pPr>
      <w:r>
        <w:rPr>
          <w:i/>
          <w:sz w:val="24"/>
        </w:rPr>
        <w:t>power system</w:t>
      </w:r>
      <w:r>
        <w:rPr>
          <w:sz w:val="24"/>
        </w:rPr>
        <w:t>.</w:t>
      </w:r>
    </w:p>
    <w:p>
      <w:pPr>
        <w:pStyle w:val="Heading5"/>
        <w:jc w:val="left"/>
        <w:rPr>
          <w:i/>
        </w:rPr>
      </w:pPr>
      <w:r>
        <w:rPr>
          <w:i/>
        </w:rPr>
        <w:t>synchronising, synchronisation</w:t>
      </w:r>
    </w:p>
    <w:p>
      <w:pPr>
        <w:spacing w:before="120"/>
        <w:ind w:left="1352" w:right="0" w:firstLine="0"/>
        <w:jc w:val="left"/>
        <w:rPr>
          <w:sz w:val="24"/>
        </w:rPr>
      </w:pPr>
      <w:r>
        <w:rPr>
          <w:sz w:val="24"/>
        </w:rPr>
        <w:t>To electrically </w:t>
      </w:r>
      <w:r>
        <w:rPr>
          <w:i/>
          <w:sz w:val="24"/>
        </w:rPr>
        <w:t>connect </w:t>
      </w:r>
      <w:r>
        <w:rPr>
          <w:sz w:val="24"/>
        </w:rPr>
        <w:t>a </w:t>
      </w:r>
      <w:r>
        <w:rPr>
          <w:i/>
          <w:sz w:val="24"/>
        </w:rPr>
        <w:t>generating unit </w:t>
      </w:r>
      <w:r>
        <w:rPr>
          <w:sz w:val="24"/>
        </w:rPr>
        <w:t>or a </w:t>
      </w:r>
      <w:r>
        <w:rPr>
          <w:i/>
          <w:sz w:val="24"/>
        </w:rPr>
        <w:t>scheduled network service </w:t>
      </w:r>
      <w:r>
        <w:rPr>
          <w:sz w:val="24"/>
        </w:rPr>
        <w:t>to the</w:t>
      </w:r>
    </w:p>
    <w:p>
      <w:pPr>
        <w:spacing w:before="0"/>
        <w:ind w:left="1352" w:right="0" w:firstLine="0"/>
        <w:jc w:val="left"/>
        <w:rPr>
          <w:sz w:val="24"/>
        </w:rPr>
      </w:pPr>
      <w:r>
        <w:rPr>
          <w:i/>
          <w:sz w:val="24"/>
        </w:rPr>
        <w:t>power system</w:t>
      </w:r>
      <w:r>
        <w:rPr>
          <w:sz w:val="24"/>
        </w:rPr>
        <w:t>.</w:t>
      </w:r>
    </w:p>
    <w:p>
      <w:pPr>
        <w:pStyle w:val="Heading5"/>
        <w:jc w:val="left"/>
        <w:rPr>
          <w:i/>
        </w:rPr>
      </w:pPr>
      <w:r>
        <w:rPr>
          <w:i/>
        </w:rPr>
        <w:t>synchronous condensors</w:t>
      </w:r>
    </w:p>
    <w:p>
      <w:pPr>
        <w:spacing w:before="120"/>
        <w:ind w:left="1352" w:right="0" w:firstLine="0"/>
        <w:jc w:val="left"/>
        <w:rPr>
          <w:sz w:val="24"/>
        </w:rPr>
      </w:pPr>
      <w:r>
        <w:rPr>
          <w:sz w:val="24"/>
        </w:rPr>
        <w:t>Apparatus or equipment similar in construction to a </w:t>
      </w:r>
      <w:r>
        <w:rPr>
          <w:i/>
          <w:sz w:val="24"/>
        </w:rPr>
        <w:t>synchronous generating unit</w:t>
      </w:r>
      <w:r>
        <w:rPr>
          <w:sz w:val="24"/>
        </w:rPr>
        <w:t>, which operates at the equivalent speed of the </w:t>
      </w:r>
      <w:r>
        <w:rPr>
          <w:i/>
          <w:sz w:val="24"/>
        </w:rPr>
        <w:t>frequency </w:t>
      </w:r>
      <w:r>
        <w:rPr>
          <w:sz w:val="24"/>
        </w:rPr>
        <w:t>of the </w:t>
      </w:r>
      <w:r>
        <w:rPr>
          <w:i/>
          <w:sz w:val="24"/>
        </w:rPr>
        <w:t>power system</w:t>
      </w:r>
      <w:r>
        <w:rPr>
          <w:sz w:val="24"/>
        </w:rPr>
        <w:t>.</w:t>
      </w:r>
    </w:p>
    <w:p>
      <w:pPr>
        <w:pStyle w:val="Heading5"/>
        <w:jc w:val="left"/>
        <w:rPr>
          <w:i/>
        </w:rPr>
      </w:pPr>
      <w:r>
        <w:rPr>
          <w:i/>
        </w:rPr>
        <w:t>synchronous generating unit</w:t>
      </w:r>
    </w:p>
    <w:p>
      <w:pPr>
        <w:spacing w:before="120"/>
        <w:ind w:left="1352" w:right="415" w:firstLine="0"/>
        <w:jc w:val="both"/>
        <w:rPr>
          <w:sz w:val="24"/>
        </w:rPr>
      </w:pPr>
      <w:r>
        <w:rPr>
          <w:sz w:val="24"/>
        </w:rPr>
        <w:t>The alternating current generators of most thermal and hydro (water) driven power turbines which operate at the equivalent speed of the </w:t>
      </w:r>
      <w:r>
        <w:rPr>
          <w:i/>
          <w:sz w:val="24"/>
        </w:rPr>
        <w:t>frequency </w:t>
      </w:r>
      <w:r>
        <w:rPr>
          <w:sz w:val="24"/>
        </w:rPr>
        <w:t>of the </w:t>
      </w:r>
      <w:r>
        <w:rPr>
          <w:i/>
          <w:sz w:val="24"/>
        </w:rPr>
        <w:t>power system </w:t>
      </w:r>
      <w:r>
        <w:rPr>
          <w:sz w:val="24"/>
        </w:rPr>
        <w:t>in its </w:t>
      </w:r>
      <w:r>
        <w:rPr>
          <w:i/>
          <w:sz w:val="24"/>
        </w:rPr>
        <w:t>satisfactory operating</w:t>
      </w:r>
      <w:r>
        <w:rPr>
          <w:i/>
          <w:spacing w:val="-3"/>
          <w:sz w:val="24"/>
        </w:rPr>
        <w:t> </w:t>
      </w:r>
      <w:r>
        <w:rPr>
          <w:i/>
          <w:sz w:val="24"/>
        </w:rPr>
        <w:t>state</w:t>
      </w:r>
      <w:r>
        <w:rPr>
          <w:sz w:val="24"/>
        </w:rPr>
        <w:t>.</w:t>
      </w:r>
    </w:p>
    <w:p>
      <w:pPr>
        <w:spacing w:after="0"/>
        <w:jc w:val="both"/>
        <w:rPr>
          <w:sz w:val="24"/>
        </w:rPr>
        <w:sectPr>
          <w:type w:val="continuous"/>
          <w:pgSz w:w="11910" w:h="16840"/>
          <w:pgMar w:top="1360" w:bottom="280" w:left="1200" w:right="1000"/>
        </w:sectPr>
      </w:pPr>
    </w:p>
    <w:p>
      <w:pPr>
        <w:pStyle w:val="Heading5"/>
        <w:spacing w:before="83"/>
        <w:rPr>
          <w:i/>
        </w:rPr>
      </w:pPr>
      <w:r>
        <w:rPr>
          <w:i/>
        </w:rPr>
        <w:t>synchronous generator voltage control</w:t>
      </w:r>
    </w:p>
    <w:p>
      <w:pPr>
        <w:spacing w:before="120"/>
        <w:ind w:left="1352" w:right="414" w:firstLine="0"/>
        <w:jc w:val="both"/>
        <w:rPr>
          <w:sz w:val="24"/>
        </w:rPr>
      </w:pPr>
      <w:r>
        <w:rPr>
          <w:sz w:val="24"/>
        </w:rPr>
        <w:t>The automatic </w:t>
      </w:r>
      <w:r>
        <w:rPr>
          <w:i/>
          <w:sz w:val="24"/>
        </w:rPr>
        <w:t>voltage control system </w:t>
      </w:r>
      <w:r>
        <w:rPr>
          <w:sz w:val="24"/>
        </w:rPr>
        <w:t>of a </w:t>
      </w:r>
      <w:r>
        <w:rPr>
          <w:i/>
          <w:sz w:val="24"/>
        </w:rPr>
        <w:t>generating unit </w:t>
      </w:r>
      <w:r>
        <w:rPr>
          <w:sz w:val="24"/>
        </w:rPr>
        <w:t>of the </w:t>
      </w:r>
      <w:r>
        <w:rPr>
          <w:i/>
          <w:sz w:val="24"/>
        </w:rPr>
        <w:t>synchronous </w:t>
      </w:r>
      <w:r>
        <w:rPr>
          <w:i/>
          <w:sz w:val="24"/>
        </w:rPr>
        <w:t>generator </w:t>
      </w:r>
      <w:r>
        <w:rPr>
          <w:sz w:val="24"/>
        </w:rPr>
        <w:t>category which changes the output </w:t>
      </w:r>
      <w:r>
        <w:rPr>
          <w:i/>
          <w:sz w:val="24"/>
        </w:rPr>
        <w:t>voltage </w:t>
      </w:r>
      <w:r>
        <w:rPr>
          <w:sz w:val="24"/>
        </w:rPr>
        <w:t>of the </w:t>
      </w:r>
      <w:r>
        <w:rPr>
          <w:i/>
          <w:sz w:val="24"/>
        </w:rPr>
        <w:t>generating unit </w:t>
      </w:r>
      <w:r>
        <w:rPr>
          <w:sz w:val="24"/>
        </w:rPr>
        <w:t>through the adjustment of the generator rotor current and effectively changes the </w:t>
      </w:r>
      <w:r>
        <w:rPr>
          <w:i/>
          <w:sz w:val="24"/>
        </w:rPr>
        <w:t>reactive power </w:t>
      </w:r>
      <w:r>
        <w:rPr>
          <w:sz w:val="24"/>
        </w:rPr>
        <w:t>output from that </w:t>
      </w:r>
      <w:r>
        <w:rPr>
          <w:i/>
          <w:sz w:val="24"/>
        </w:rPr>
        <w:t>generating unit</w:t>
      </w:r>
      <w:r>
        <w:rPr>
          <w:sz w:val="24"/>
        </w:rPr>
        <w:t>.</w:t>
      </w:r>
    </w:p>
    <w:p>
      <w:pPr>
        <w:pStyle w:val="Heading5"/>
        <w:rPr>
          <w:i/>
        </w:rPr>
      </w:pPr>
      <w:r>
        <w:rPr>
          <w:i/>
        </w:rPr>
        <w:t>System Operator</w:t>
      </w:r>
    </w:p>
    <w:p>
      <w:pPr>
        <w:pStyle w:val="BodyText"/>
        <w:ind w:left="1352" w:right="415" w:firstLine="0"/>
      </w:pPr>
      <w:r>
        <w:rPr/>
        <w:t>A person whom </w:t>
      </w:r>
      <w:r>
        <w:rPr>
          <w:i/>
        </w:rPr>
        <w:t>AEMO </w:t>
      </w:r>
      <w:r>
        <w:rPr/>
        <w:t>has engaged as its agent, or appointed as its delegate, under clause 4.3.3 to carry out some or all of </w:t>
      </w:r>
      <w:r>
        <w:rPr>
          <w:i/>
        </w:rPr>
        <w:t>AEMO's </w:t>
      </w:r>
      <w:r>
        <w:rPr/>
        <w:t>rights, functions and obligations under Chapter 4 of the </w:t>
      </w:r>
      <w:r>
        <w:rPr>
          <w:i/>
        </w:rPr>
        <w:t>Rules </w:t>
      </w:r>
      <w:r>
        <w:rPr/>
        <w:t>and who is registered by </w:t>
      </w:r>
      <w:r>
        <w:rPr>
          <w:i/>
        </w:rPr>
        <w:t>AEMO </w:t>
      </w:r>
      <w:r>
        <w:rPr/>
        <w:t>as a </w:t>
      </w:r>
      <w:r>
        <w:rPr>
          <w:i/>
        </w:rPr>
        <w:t>System Operator </w:t>
      </w:r>
      <w:r>
        <w:rPr/>
        <w:t>under Chapter 2.</w:t>
      </w:r>
    </w:p>
    <w:p>
      <w:pPr>
        <w:pStyle w:val="Heading5"/>
        <w:rPr>
          <w:i/>
        </w:rPr>
      </w:pPr>
      <w:r>
        <w:rPr>
          <w:i/>
        </w:rPr>
        <w:t>system restart ancillary service or</w:t>
      </w:r>
      <w:r>
        <w:rPr>
          <w:i/>
          <w:spacing w:val="55"/>
        </w:rPr>
        <w:t> </w:t>
      </w:r>
      <w:r>
        <w:rPr>
          <w:i/>
        </w:rPr>
        <w:t>SRAS</w:t>
      </w:r>
    </w:p>
    <w:p>
      <w:pPr>
        <w:spacing w:before="120"/>
        <w:ind w:left="1352" w:right="0" w:firstLine="0"/>
        <w:jc w:val="left"/>
        <w:rPr>
          <w:sz w:val="24"/>
        </w:rPr>
      </w:pPr>
      <w:r>
        <w:rPr>
          <w:sz w:val="24"/>
        </w:rPr>
        <w:t>A service provided by </w:t>
      </w:r>
      <w:r>
        <w:rPr>
          <w:i/>
          <w:sz w:val="24"/>
        </w:rPr>
        <w:t>facilities </w:t>
      </w:r>
      <w:r>
        <w:rPr>
          <w:sz w:val="24"/>
        </w:rPr>
        <w:t>with </w:t>
      </w:r>
      <w:r>
        <w:rPr>
          <w:i/>
          <w:sz w:val="24"/>
        </w:rPr>
        <w:t>black start capability </w:t>
      </w:r>
      <w:r>
        <w:rPr>
          <w:sz w:val="24"/>
        </w:rPr>
        <w:t>which allows:</w:t>
      </w:r>
    </w:p>
    <w:p>
      <w:pPr>
        <w:pStyle w:val="ListParagraph"/>
        <w:numPr>
          <w:ilvl w:val="0"/>
          <w:numId w:val="829"/>
        </w:numPr>
        <w:tabs>
          <w:tab w:pos="1918" w:val="left" w:leader="none"/>
          <w:tab w:pos="1919" w:val="left" w:leader="none"/>
        </w:tabs>
        <w:spacing w:line="240" w:lineRule="auto" w:before="120" w:after="0"/>
        <w:ind w:left="1918" w:right="0" w:hanging="567"/>
        <w:jc w:val="left"/>
        <w:rPr>
          <w:sz w:val="24"/>
        </w:rPr>
      </w:pPr>
      <w:r>
        <w:rPr>
          <w:i/>
          <w:sz w:val="24"/>
        </w:rPr>
        <w:t>energy </w:t>
      </w:r>
      <w:r>
        <w:rPr>
          <w:sz w:val="24"/>
        </w:rPr>
        <w:t>to be supplied;</w:t>
      </w:r>
      <w:r>
        <w:rPr>
          <w:spacing w:val="-2"/>
          <w:sz w:val="24"/>
        </w:rPr>
        <w:t> </w:t>
      </w:r>
      <w:r>
        <w:rPr>
          <w:sz w:val="24"/>
        </w:rPr>
        <w:t>and</w:t>
      </w:r>
    </w:p>
    <w:p>
      <w:pPr>
        <w:pStyle w:val="ListParagraph"/>
        <w:numPr>
          <w:ilvl w:val="0"/>
          <w:numId w:val="829"/>
        </w:numPr>
        <w:tabs>
          <w:tab w:pos="1918" w:val="left" w:leader="none"/>
          <w:tab w:pos="1919" w:val="left" w:leader="none"/>
        </w:tabs>
        <w:spacing w:line="240" w:lineRule="auto" w:before="120" w:after="0"/>
        <w:ind w:left="1918" w:right="0" w:hanging="567"/>
        <w:jc w:val="left"/>
        <w:rPr>
          <w:sz w:val="24"/>
        </w:rPr>
      </w:pPr>
      <w:r>
        <w:rPr>
          <w:sz w:val="24"/>
        </w:rPr>
        <w:t>a </w:t>
      </w:r>
      <w:r>
        <w:rPr>
          <w:i/>
          <w:sz w:val="24"/>
        </w:rPr>
        <w:t>connection </w:t>
      </w:r>
      <w:r>
        <w:rPr>
          <w:sz w:val="24"/>
        </w:rPr>
        <w:t>to be</w:t>
      </w:r>
      <w:r>
        <w:rPr>
          <w:spacing w:val="-1"/>
          <w:sz w:val="24"/>
        </w:rPr>
        <w:t> </w:t>
      </w:r>
      <w:r>
        <w:rPr>
          <w:sz w:val="24"/>
        </w:rPr>
        <w:t>established,</w:t>
      </w:r>
    </w:p>
    <w:p>
      <w:pPr>
        <w:spacing w:before="120"/>
        <w:ind w:left="1352" w:right="0" w:firstLine="0"/>
        <w:jc w:val="left"/>
        <w:rPr>
          <w:sz w:val="24"/>
        </w:rPr>
      </w:pPr>
      <w:r>
        <w:rPr>
          <w:sz w:val="24"/>
        </w:rPr>
        <w:t>sufficient to restart large </w:t>
      </w:r>
      <w:r>
        <w:rPr>
          <w:i/>
          <w:sz w:val="24"/>
        </w:rPr>
        <w:t>generating units </w:t>
      </w:r>
      <w:r>
        <w:rPr>
          <w:sz w:val="24"/>
        </w:rPr>
        <w:t>following a </w:t>
      </w:r>
      <w:r>
        <w:rPr>
          <w:i/>
          <w:sz w:val="24"/>
        </w:rPr>
        <w:t>major supply disruption</w:t>
      </w:r>
      <w:r>
        <w:rPr>
          <w:sz w:val="24"/>
        </w:rPr>
        <w:t>.</w:t>
      </w:r>
    </w:p>
    <w:p>
      <w:pPr>
        <w:pStyle w:val="Heading5"/>
        <w:jc w:val="left"/>
        <w:rPr>
          <w:i/>
        </w:rPr>
      </w:pPr>
      <w:r>
        <w:rPr>
          <w:i/>
        </w:rPr>
        <w:t>system restart plan</w:t>
      </w:r>
    </w:p>
    <w:p>
      <w:pPr>
        <w:pStyle w:val="BodyText"/>
        <w:ind w:left="1352" w:firstLine="0"/>
        <w:jc w:val="left"/>
      </w:pPr>
      <w:r>
        <w:rPr/>
        <w:t>The plan described in clause 4.8.12(a).</w:t>
      </w:r>
    </w:p>
    <w:p>
      <w:pPr>
        <w:pStyle w:val="Heading5"/>
        <w:jc w:val="left"/>
        <w:rPr>
          <w:i/>
        </w:rPr>
      </w:pPr>
      <w:r>
        <w:rPr>
          <w:i/>
        </w:rPr>
        <w:t>system restart standard</w:t>
      </w:r>
    </w:p>
    <w:p>
      <w:pPr>
        <w:spacing w:before="120"/>
        <w:ind w:left="1352" w:right="0" w:firstLine="0"/>
        <w:jc w:val="left"/>
        <w:rPr>
          <w:sz w:val="24"/>
        </w:rPr>
      </w:pPr>
      <w:r>
        <w:rPr>
          <w:sz w:val="24"/>
        </w:rPr>
        <w:t>The standard as determined by the </w:t>
      </w:r>
      <w:r>
        <w:rPr>
          <w:i/>
          <w:sz w:val="24"/>
        </w:rPr>
        <w:t>Reliability Panel </w:t>
      </w:r>
      <w:r>
        <w:rPr>
          <w:sz w:val="24"/>
        </w:rPr>
        <w:t>in accordance with clause 8.8.3(aa), for the acquisition of </w:t>
      </w:r>
      <w:r>
        <w:rPr>
          <w:i/>
          <w:sz w:val="24"/>
        </w:rPr>
        <w:t>system restart ancillary services</w:t>
      </w:r>
      <w:r>
        <w:rPr>
          <w:sz w:val="24"/>
        </w:rPr>
        <w:t>.</w:t>
      </w:r>
    </w:p>
    <w:p>
      <w:pPr>
        <w:pStyle w:val="Heading5"/>
        <w:jc w:val="left"/>
        <w:rPr>
          <w:i/>
        </w:rPr>
      </w:pPr>
      <w:r>
        <w:rPr>
          <w:i/>
        </w:rPr>
        <w:t>system standard</w:t>
      </w:r>
    </w:p>
    <w:p>
      <w:pPr>
        <w:spacing w:before="120"/>
        <w:ind w:left="1352" w:right="0" w:firstLine="0"/>
        <w:jc w:val="left"/>
        <w:rPr>
          <w:sz w:val="24"/>
        </w:rPr>
      </w:pPr>
      <w:r>
        <w:rPr>
          <w:sz w:val="24"/>
        </w:rPr>
        <w:t>A standard for the performance of the </w:t>
      </w:r>
      <w:r>
        <w:rPr>
          <w:i/>
          <w:sz w:val="24"/>
        </w:rPr>
        <w:t>power system </w:t>
      </w:r>
      <w:r>
        <w:rPr>
          <w:sz w:val="24"/>
        </w:rPr>
        <w:t>as set out in </w:t>
      </w:r>
      <w:r>
        <w:rPr>
          <w:i/>
          <w:sz w:val="24"/>
        </w:rPr>
        <w:t>jurisdictional </w:t>
      </w:r>
      <w:r>
        <w:rPr>
          <w:i/>
          <w:sz w:val="24"/>
        </w:rPr>
        <w:t>electricity legislation </w:t>
      </w:r>
      <w:r>
        <w:rPr>
          <w:sz w:val="24"/>
        </w:rPr>
        <w:t>that:</w:t>
      </w:r>
    </w:p>
    <w:p>
      <w:pPr>
        <w:pStyle w:val="ListParagraph"/>
        <w:numPr>
          <w:ilvl w:val="0"/>
          <w:numId w:val="830"/>
        </w:numPr>
        <w:tabs>
          <w:tab w:pos="1918" w:val="left" w:leader="none"/>
          <w:tab w:pos="1919" w:val="left" w:leader="none"/>
        </w:tabs>
        <w:spacing w:line="240" w:lineRule="auto" w:before="120" w:after="0"/>
        <w:ind w:left="1918" w:right="0" w:hanging="567"/>
        <w:jc w:val="left"/>
        <w:rPr>
          <w:sz w:val="24"/>
        </w:rPr>
      </w:pPr>
      <w:r>
        <w:rPr>
          <w:sz w:val="24"/>
        </w:rPr>
        <w:t>is necessary for the safe and reliable operation of the power</w:t>
      </w:r>
      <w:r>
        <w:rPr>
          <w:spacing w:val="-5"/>
          <w:sz w:val="24"/>
        </w:rPr>
        <w:t> </w:t>
      </w:r>
      <w:r>
        <w:rPr>
          <w:sz w:val="24"/>
        </w:rPr>
        <w:t>system;</w:t>
      </w:r>
    </w:p>
    <w:p>
      <w:pPr>
        <w:pStyle w:val="ListParagraph"/>
        <w:numPr>
          <w:ilvl w:val="0"/>
          <w:numId w:val="830"/>
        </w:numPr>
        <w:tabs>
          <w:tab w:pos="1918" w:val="left" w:leader="none"/>
          <w:tab w:pos="1919" w:val="left" w:leader="none"/>
        </w:tabs>
        <w:spacing w:line="240" w:lineRule="auto" w:before="120" w:after="0"/>
        <w:ind w:left="1919" w:right="414" w:hanging="567"/>
        <w:jc w:val="left"/>
        <w:rPr>
          <w:sz w:val="24"/>
        </w:rPr>
      </w:pPr>
      <w:r>
        <w:rPr>
          <w:sz w:val="24"/>
        </w:rPr>
        <w:t>is necessary for the safe and reliable operation of the facilities of </w:t>
      </w:r>
      <w:r>
        <w:rPr>
          <w:i/>
          <w:sz w:val="24"/>
        </w:rPr>
        <w:t>Registered </w:t>
      </w:r>
      <w:r>
        <w:rPr>
          <w:i/>
          <w:sz w:val="24"/>
        </w:rPr>
        <w:t>Participants</w:t>
      </w:r>
      <w:r>
        <w:rPr>
          <w:sz w:val="24"/>
        </w:rPr>
        <w:t>;</w:t>
      </w:r>
      <w:r>
        <w:rPr>
          <w:spacing w:val="-1"/>
          <w:sz w:val="24"/>
        </w:rPr>
        <w:t> </w:t>
      </w:r>
      <w:r>
        <w:rPr>
          <w:sz w:val="24"/>
        </w:rPr>
        <w:t>and</w:t>
      </w:r>
    </w:p>
    <w:p>
      <w:pPr>
        <w:pStyle w:val="ListParagraph"/>
        <w:numPr>
          <w:ilvl w:val="0"/>
          <w:numId w:val="830"/>
        </w:numPr>
        <w:tabs>
          <w:tab w:pos="1918" w:val="left" w:leader="none"/>
          <w:tab w:pos="1919" w:val="left" w:leader="none"/>
        </w:tabs>
        <w:spacing w:line="240" w:lineRule="auto" w:before="120" w:after="0"/>
        <w:ind w:left="1918" w:right="0" w:hanging="567"/>
        <w:jc w:val="left"/>
        <w:rPr>
          <w:sz w:val="24"/>
        </w:rPr>
      </w:pPr>
      <w:r>
        <w:rPr>
          <w:sz w:val="24"/>
        </w:rPr>
        <w:t>is consistent with good electricity industry</w:t>
      </w:r>
      <w:r>
        <w:rPr>
          <w:spacing w:val="-2"/>
          <w:sz w:val="24"/>
        </w:rPr>
        <w:t> </w:t>
      </w:r>
      <w:r>
        <w:rPr>
          <w:sz w:val="24"/>
        </w:rPr>
        <w:t>practice.</w:t>
      </w:r>
    </w:p>
    <w:p>
      <w:pPr>
        <w:pStyle w:val="Heading5"/>
        <w:jc w:val="left"/>
        <w:rPr>
          <w:i/>
        </w:rPr>
      </w:pPr>
      <w:r>
        <w:rPr>
          <w:i/>
        </w:rPr>
        <w:t>system strength connection works</w:t>
      </w:r>
    </w:p>
    <w:p>
      <w:pPr>
        <w:spacing w:before="120"/>
        <w:ind w:left="1352" w:right="415" w:firstLine="0"/>
        <w:jc w:val="both"/>
        <w:rPr>
          <w:sz w:val="24"/>
        </w:rPr>
      </w:pPr>
      <w:r>
        <w:rPr>
          <w:sz w:val="24"/>
        </w:rPr>
        <w:t>Investment in a </w:t>
      </w:r>
      <w:r>
        <w:rPr>
          <w:i/>
          <w:sz w:val="24"/>
        </w:rPr>
        <w:t>transmission or distribution system </w:t>
      </w:r>
      <w:r>
        <w:rPr>
          <w:sz w:val="24"/>
        </w:rPr>
        <w:t>in order to remedy or avoid an </w:t>
      </w:r>
      <w:r>
        <w:rPr>
          <w:i/>
          <w:sz w:val="24"/>
        </w:rPr>
        <w:t>adverse system strength impact </w:t>
      </w:r>
      <w:r>
        <w:rPr>
          <w:sz w:val="24"/>
        </w:rPr>
        <w:t>arising from establishing a </w:t>
      </w:r>
      <w:r>
        <w:rPr>
          <w:i/>
          <w:sz w:val="24"/>
        </w:rPr>
        <w:t>connection </w:t>
      </w:r>
      <w:r>
        <w:rPr>
          <w:sz w:val="24"/>
        </w:rPr>
        <w:t>for a </w:t>
      </w:r>
      <w:r>
        <w:rPr>
          <w:i/>
          <w:sz w:val="24"/>
        </w:rPr>
        <w:t>generating system </w:t>
      </w:r>
      <w:r>
        <w:rPr>
          <w:sz w:val="24"/>
        </w:rPr>
        <w:t>or </w:t>
      </w:r>
      <w:r>
        <w:rPr>
          <w:i/>
          <w:sz w:val="24"/>
        </w:rPr>
        <w:t>market network service facility </w:t>
      </w:r>
      <w:r>
        <w:rPr>
          <w:sz w:val="24"/>
        </w:rPr>
        <w:t>or from any alteration to a </w:t>
      </w:r>
      <w:r>
        <w:rPr>
          <w:i/>
          <w:sz w:val="24"/>
        </w:rPr>
        <w:t>generating system </w:t>
      </w:r>
      <w:r>
        <w:rPr>
          <w:sz w:val="24"/>
        </w:rPr>
        <w:t>to which clause 5.3.9 applies.</w:t>
      </w:r>
    </w:p>
    <w:p>
      <w:pPr>
        <w:pStyle w:val="Heading5"/>
        <w:rPr>
          <w:i/>
        </w:rPr>
      </w:pPr>
      <w:r>
        <w:rPr>
          <w:i/>
        </w:rPr>
        <w:t>system strength generating unit</w:t>
      </w:r>
    </w:p>
    <w:p>
      <w:pPr>
        <w:spacing w:before="120"/>
        <w:ind w:left="1352" w:right="0" w:firstLine="0"/>
        <w:jc w:val="both"/>
        <w:rPr>
          <w:sz w:val="24"/>
        </w:rPr>
      </w:pPr>
      <w:r>
        <w:rPr>
          <w:sz w:val="24"/>
        </w:rPr>
        <w:t>A </w:t>
      </w:r>
      <w:r>
        <w:rPr>
          <w:i/>
          <w:sz w:val="24"/>
        </w:rPr>
        <w:t>generating unit </w:t>
      </w:r>
      <w:r>
        <w:rPr>
          <w:sz w:val="24"/>
        </w:rPr>
        <w:t>registered with </w:t>
      </w:r>
      <w:r>
        <w:rPr>
          <w:i/>
          <w:sz w:val="24"/>
        </w:rPr>
        <w:t>AEMO </w:t>
      </w:r>
      <w:r>
        <w:rPr>
          <w:sz w:val="24"/>
        </w:rPr>
        <w:t>under clause 5.20C.4(b).</w:t>
      </w:r>
    </w:p>
    <w:p>
      <w:pPr>
        <w:pStyle w:val="Heading5"/>
        <w:rPr>
          <w:i/>
        </w:rPr>
      </w:pPr>
      <w:r>
        <w:rPr>
          <w:i/>
        </w:rPr>
        <w:t>system strength impact</w:t>
      </w:r>
      <w:r>
        <w:rPr>
          <w:i/>
          <w:spacing w:val="-16"/>
        </w:rPr>
        <w:t> </w:t>
      </w:r>
      <w:r>
        <w:rPr>
          <w:i/>
        </w:rPr>
        <w:t>assessment</w:t>
      </w:r>
    </w:p>
    <w:p>
      <w:pPr>
        <w:spacing w:before="120"/>
        <w:ind w:left="1352" w:right="415" w:firstLine="0"/>
        <w:jc w:val="both"/>
        <w:rPr>
          <w:sz w:val="24"/>
        </w:rPr>
      </w:pPr>
      <w:r>
        <w:rPr>
          <w:i/>
          <w:sz w:val="24"/>
        </w:rPr>
        <w:t>Power system </w:t>
      </w:r>
      <w:r>
        <w:rPr>
          <w:sz w:val="24"/>
        </w:rPr>
        <w:t>studies to assess the impact of the </w:t>
      </w:r>
      <w:r>
        <w:rPr>
          <w:i/>
          <w:sz w:val="24"/>
        </w:rPr>
        <w:t>connection </w:t>
      </w:r>
      <w:r>
        <w:rPr>
          <w:sz w:val="24"/>
        </w:rPr>
        <w:t>of a new </w:t>
      </w:r>
      <w:r>
        <w:rPr>
          <w:i/>
          <w:sz w:val="24"/>
        </w:rPr>
        <w:t>generating </w:t>
      </w:r>
      <w:r>
        <w:rPr>
          <w:i/>
          <w:sz w:val="24"/>
        </w:rPr>
        <w:t>system </w:t>
      </w:r>
      <w:r>
        <w:rPr>
          <w:sz w:val="24"/>
        </w:rPr>
        <w:t>or </w:t>
      </w:r>
      <w:r>
        <w:rPr>
          <w:i/>
          <w:sz w:val="24"/>
        </w:rPr>
        <w:t>market network service facility </w:t>
      </w:r>
      <w:r>
        <w:rPr>
          <w:sz w:val="24"/>
        </w:rPr>
        <w:t>or of any proposed alteration to a </w:t>
      </w:r>
      <w:r>
        <w:rPr>
          <w:i/>
          <w:sz w:val="24"/>
        </w:rPr>
        <w:t>generating system </w:t>
      </w:r>
      <w:r>
        <w:rPr>
          <w:sz w:val="24"/>
        </w:rPr>
        <w:t>to which clause 5.3.9 applies on the ability under different operating conditions</w:t>
      </w:r>
      <w:r>
        <w:rPr>
          <w:spacing w:val="-1"/>
          <w:sz w:val="24"/>
        </w:rPr>
        <w:t> </w:t>
      </w:r>
      <w:r>
        <w:rPr>
          <w:sz w:val="24"/>
        </w:rPr>
        <w:t>of:</w:t>
      </w:r>
    </w:p>
    <w:p>
      <w:pPr>
        <w:spacing w:after="0"/>
        <w:jc w:val="both"/>
        <w:rPr>
          <w:sz w:val="24"/>
        </w:rPr>
        <w:sectPr>
          <w:pgSz w:w="11910" w:h="16840"/>
          <w:pgMar w:header="686" w:footer="637" w:top="1320" w:bottom="820" w:left="1200" w:right="1000"/>
        </w:sectPr>
      </w:pPr>
    </w:p>
    <w:p>
      <w:pPr>
        <w:pStyle w:val="ListParagraph"/>
        <w:numPr>
          <w:ilvl w:val="0"/>
          <w:numId w:val="831"/>
        </w:numPr>
        <w:tabs>
          <w:tab w:pos="1919" w:val="left" w:leader="none"/>
        </w:tabs>
        <w:spacing w:line="240" w:lineRule="auto" w:before="83" w:after="0"/>
        <w:ind w:left="1919" w:right="415" w:hanging="567"/>
        <w:jc w:val="both"/>
        <w:rPr>
          <w:sz w:val="24"/>
        </w:rPr>
      </w:pPr>
      <w:r>
        <w:rPr>
          <w:sz w:val="24"/>
        </w:rPr>
        <w:t>the </w:t>
      </w:r>
      <w:r>
        <w:rPr>
          <w:i/>
          <w:sz w:val="24"/>
        </w:rPr>
        <w:t>power system </w:t>
      </w:r>
      <w:r>
        <w:rPr>
          <w:sz w:val="24"/>
        </w:rPr>
        <w:t>to maintain system stability in accordance with clause S5.1a.3;</w:t>
      </w:r>
      <w:r>
        <w:rPr>
          <w:spacing w:val="-2"/>
          <w:sz w:val="24"/>
        </w:rPr>
        <w:t> </w:t>
      </w:r>
      <w:r>
        <w:rPr>
          <w:sz w:val="24"/>
        </w:rPr>
        <w:t>and</w:t>
      </w:r>
    </w:p>
    <w:p>
      <w:pPr>
        <w:pStyle w:val="ListParagraph"/>
        <w:numPr>
          <w:ilvl w:val="0"/>
          <w:numId w:val="831"/>
        </w:numPr>
        <w:tabs>
          <w:tab w:pos="1919" w:val="left" w:leader="none"/>
        </w:tabs>
        <w:spacing w:line="240" w:lineRule="auto" w:before="120" w:after="0"/>
        <w:ind w:left="1919" w:right="416" w:hanging="567"/>
        <w:jc w:val="both"/>
        <w:rPr>
          <w:sz w:val="24"/>
        </w:rPr>
      </w:pPr>
      <w:r>
        <w:rPr>
          <w:i/>
          <w:sz w:val="24"/>
        </w:rPr>
        <w:t>generating systems </w:t>
      </w:r>
      <w:r>
        <w:rPr>
          <w:sz w:val="24"/>
        </w:rPr>
        <w:t>and </w:t>
      </w:r>
      <w:r>
        <w:rPr>
          <w:i/>
          <w:sz w:val="24"/>
        </w:rPr>
        <w:t>market network service facilities </w:t>
      </w:r>
      <w:r>
        <w:rPr>
          <w:sz w:val="24"/>
        </w:rPr>
        <w:t>forming part of the </w:t>
      </w:r>
      <w:r>
        <w:rPr>
          <w:i/>
          <w:sz w:val="24"/>
        </w:rPr>
        <w:t>power system </w:t>
      </w:r>
      <w:r>
        <w:rPr>
          <w:sz w:val="24"/>
        </w:rPr>
        <w:t>to maintain stable operation including following any </w:t>
      </w:r>
      <w:r>
        <w:rPr>
          <w:i/>
          <w:sz w:val="24"/>
        </w:rPr>
        <w:t>credible </w:t>
      </w:r>
      <w:r>
        <w:rPr>
          <w:i/>
          <w:sz w:val="24"/>
        </w:rPr>
        <w:t>contingency event </w:t>
      </w:r>
      <w:r>
        <w:rPr>
          <w:sz w:val="24"/>
        </w:rPr>
        <w:t>or </w:t>
      </w:r>
      <w:r>
        <w:rPr>
          <w:i/>
          <w:sz w:val="24"/>
        </w:rPr>
        <w:t>protected</w:t>
      </w:r>
      <w:r>
        <w:rPr>
          <w:i/>
          <w:spacing w:val="-2"/>
          <w:sz w:val="24"/>
        </w:rPr>
        <w:t> </w:t>
      </w:r>
      <w:r>
        <w:rPr>
          <w:i/>
          <w:sz w:val="24"/>
        </w:rPr>
        <w:t>event</w:t>
      </w:r>
      <w:r>
        <w:rPr>
          <w:sz w:val="24"/>
        </w:rPr>
        <w:t>,</w:t>
      </w:r>
    </w:p>
    <w:p>
      <w:pPr>
        <w:spacing w:before="120"/>
        <w:ind w:left="1352" w:right="0" w:firstLine="0"/>
        <w:jc w:val="both"/>
        <w:rPr>
          <w:sz w:val="24"/>
        </w:rPr>
      </w:pPr>
      <w:r>
        <w:rPr>
          <w:sz w:val="24"/>
        </w:rPr>
        <w:t>so as to maintain the </w:t>
      </w:r>
      <w:r>
        <w:rPr>
          <w:i/>
          <w:sz w:val="24"/>
        </w:rPr>
        <w:t>power system </w:t>
      </w:r>
      <w:r>
        <w:rPr>
          <w:sz w:val="24"/>
        </w:rPr>
        <w:t>in a </w:t>
      </w:r>
      <w:r>
        <w:rPr>
          <w:i/>
          <w:sz w:val="24"/>
        </w:rPr>
        <w:t>secure operating state</w:t>
      </w:r>
      <w:r>
        <w:rPr>
          <w:sz w:val="24"/>
        </w:rPr>
        <w:t>.</w:t>
      </w:r>
    </w:p>
    <w:p>
      <w:pPr>
        <w:pStyle w:val="Heading5"/>
        <w:rPr>
          <w:i/>
        </w:rPr>
      </w:pPr>
      <w:r>
        <w:rPr>
          <w:i/>
        </w:rPr>
        <w:t>system strength impact assessment guidelines</w:t>
      </w:r>
    </w:p>
    <w:p>
      <w:pPr>
        <w:spacing w:before="120"/>
        <w:ind w:left="1352" w:right="0" w:firstLine="0"/>
        <w:jc w:val="both"/>
        <w:rPr>
          <w:sz w:val="24"/>
        </w:rPr>
      </w:pPr>
      <w:r>
        <w:rPr>
          <w:sz w:val="24"/>
        </w:rPr>
        <w:t>The guidelines for conducting </w:t>
      </w:r>
      <w:r>
        <w:rPr>
          <w:i/>
          <w:sz w:val="24"/>
        </w:rPr>
        <w:t>system strength impact assessments </w:t>
      </w:r>
      <w:r>
        <w:rPr>
          <w:sz w:val="24"/>
        </w:rPr>
        <w:t>developed by</w:t>
      </w:r>
    </w:p>
    <w:p>
      <w:pPr>
        <w:spacing w:before="0"/>
        <w:ind w:left="1352" w:right="0" w:firstLine="0"/>
        <w:jc w:val="both"/>
        <w:rPr>
          <w:sz w:val="24"/>
        </w:rPr>
      </w:pPr>
      <w:r>
        <w:rPr>
          <w:i/>
          <w:sz w:val="24"/>
        </w:rPr>
        <w:t>AEMO </w:t>
      </w:r>
      <w:r>
        <w:rPr>
          <w:sz w:val="24"/>
        </w:rPr>
        <w:t>under clause 4.6.6.</w:t>
      </w:r>
    </w:p>
    <w:p>
      <w:pPr>
        <w:pStyle w:val="Heading5"/>
        <w:rPr>
          <w:i/>
        </w:rPr>
      </w:pPr>
      <w:r>
        <w:rPr>
          <w:i/>
        </w:rPr>
        <w:t>system strength remediation scheme</w:t>
      </w:r>
    </w:p>
    <w:p>
      <w:pPr>
        <w:spacing w:before="120"/>
        <w:ind w:left="1352" w:right="415" w:firstLine="0"/>
        <w:jc w:val="both"/>
        <w:rPr>
          <w:sz w:val="24"/>
        </w:rPr>
      </w:pPr>
      <w:r>
        <w:rPr>
          <w:sz w:val="24"/>
        </w:rPr>
        <w:t>A scheme agreed or determined under clause 5.3.4B required to be implemented as a condition of a </w:t>
      </w:r>
      <w:r>
        <w:rPr>
          <w:i/>
          <w:sz w:val="24"/>
        </w:rPr>
        <w:t>connection agreement </w:t>
      </w:r>
      <w:r>
        <w:rPr>
          <w:sz w:val="24"/>
        </w:rPr>
        <w:t>to remedy or avoid an </w:t>
      </w:r>
      <w:r>
        <w:rPr>
          <w:i/>
          <w:sz w:val="24"/>
        </w:rPr>
        <w:t>adverse system </w:t>
      </w:r>
      <w:r>
        <w:rPr>
          <w:i/>
          <w:sz w:val="24"/>
        </w:rPr>
        <w:t>strength</w:t>
      </w:r>
      <w:r>
        <w:rPr>
          <w:i/>
          <w:spacing w:val="-2"/>
          <w:sz w:val="24"/>
        </w:rPr>
        <w:t> </w:t>
      </w:r>
      <w:r>
        <w:rPr>
          <w:i/>
          <w:sz w:val="24"/>
        </w:rPr>
        <w:t>impact</w:t>
      </w:r>
      <w:r>
        <w:rPr>
          <w:sz w:val="24"/>
        </w:rPr>
        <w:t>.</w:t>
      </w:r>
    </w:p>
    <w:p>
      <w:pPr>
        <w:pStyle w:val="Heading5"/>
        <w:rPr>
          <w:i/>
        </w:rPr>
      </w:pPr>
      <w:r>
        <w:rPr>
          <w:i/>
        </w:rPr>
        <w:t>system strength requirements</w:t>
      </w:r>
    </w:p>
    <w:p>
      <w:pPr>
        <w:pStyle w:val="BodyText"/>
        <w:ind w:left="1352" w:firstLine="0"/>
      </w:pPr>
      <w:r>
        <w:rPr/>
        <w:t>The matters determined by </w:t>
      </w:r>
      <w:r>
        <w:rPr>
          <w:i/>
        </w:rPr>
        <w:t>AEMO </w:t>
      </w:r>
      <w:r>
        <w:rPr/>
        <w:t>for a </w:t>
      </w:r>
      <w:r>
        <w:rPr>
          <w:i/>
        </w:rPr>
        <w:t>region </w:t>
      </w:r>
      <w:r>
        <w:rPr/>
        <w:t>under clause 5.20C.1(a).</w:t>
      </w:r>
    </w:p>
    <w:p>
      <w:pPr>
        <w:pStyle w:val="Heading5"/>
        <w:rPr>
          <w:i/>
        </w:rPr>
      </w:pPr>
      <w:r>
        <w:rPr>
          <w:i/>
        </w:rPr>
        <w:t>system strength requirements methodology</w:t>
      </w:r>
    </w:p>
    <w:p>
      <w:pPr>
        <w:spacing w:before="120"/>
        <w:ind w:left="1352" w:right="0" w:firstLine="0"/>
        <w:jc w:val="both"/>
        <w:rPr>
          <w:sz w:val="24"/>
        </w:rPr>
      </w:pPr>
      <w:r>
        <w:rPr>
          <w:sz w:val="24"/>
        </w:rPr>
        <w:t>The process </w:t>
      </w:r>
      <w:r>
        <w:rPr>
          <w:i/>
          <w:sz w:val="24"/>
        </w:rPr>
        <w:t>AEMO </w:t>
      </w:r>
      <w:r>
        <w:rPr>
          <w:sz w:val="24"/>
        </w:rPr>
        <w:t>uses to determine the </w:t>
      </w:r>
      <w:r>
        <w:rPr>
          <w:i/>
          <w:sz w:val="24"/>
        </w:rPr>
        <w:t>system strength requirements </w:t>
      </w:r>
      <w:r>
        <w:rPr>
          <w:sz w:val="24"/>
        </w:rPr>
        <w:t>for each</w:t>
      </w:r>
    </w:p>
    <w:p>
      <w:pPr>
        <w:spacing w:before="0"/>
        <w:ind w:left="1352" w:right="0" w:firstLine="0"/>
        <w:jc w:val="both"/>
        <w:rPr>
          <w:sz w:val="24"/>
        </w:rPr>
      </w:pPr>
      <w:r>
        <w:rPr>
          <w:i/>
          <w:sz w:val="24"/>
        </w:rPr>
        <w:t>region published </w:t>
      </w:r>
      <w:r>
        <w:rPr>
          <w:sz w:val="24"/>
        </w:rPr>
        <w:t>by </w:t>
      </w:r>
      <w:r>
        <w:rPr>
          <w:i/>
          <w:sz w:val="24"/>
        </w:rPr>
        <w:t>AEMO </w:t>
      </w:r>
      <w:r>
        <w:rPr>
          <w:sz w:val="24"/>
        </w:rPr>
        <w:t>under clause 5.20.1(a)(3).</w:t>
      </w:r>
    </w:p>
    <w:p>
      <w:pPr>
        <w:pStyle w:val="Heading5"/>
        <w:rPr>
          <w:i/>
        </w:rPr>
      </w:pPr>
      <w:r>
        <w:rPr>
          <w:i/>
        </w:rPr>
        <w:t>system-wide benefits</w:t>
      </w:r>
    </w:p>
    <w:p>
      <w:pPr>
        <w:spacing w:before="120"/>
        <w:ind w:left="1352" w:right="415" w:firstLine="0"/>
        <w:jc w:val="both"/>
        <w:rPr>
          <w:sz w:val="24"/>
        </w:rPr>
      </w:pPr>
      <w:r>
        <w:rPr>
          <w:sz w:val="24"/>
        </w:rPr>
        <w:t>Benefits that extend beyond a </w:t>
      </w:r>
      <w:r>
        <w:rPr>
          <w:i/>
          <w:sz w:val="24"/>
        </w:rPr>
        <w:t>Transmission Network User</w:t>
      </w:r>
      <w:r>
        <w:rPr>
          <w:sz w:val="24"/>
        </w:rPr>
        <w:t>, or group of </w:t>
      </w:r>
      <w:r>
        <w:rPr>
          <w:i/>
          <w:sz w:val="24"/>
        </w:rPr>
        <w:t>Transmission Network Users</w:t>
      </w:r>
      <w:r>
        <w:rPr>
          <w:sz w:val="24"/>
        </w:rPr>
        <w:t>, at a single </w:t>
      </w:r>
      <w:r>
        <w:rPr>
          <w:i/>
          <w:sz w:val="24"/>
        </w:rPr>
        <w:t>transmission network connection point </w:t>
      </w:r>
      <w:r>
        <w:rPr>
          <w:sz w:val="24"/>
        </w:rPr>
        <w:t>to other </w:t>
      </w:r>
      <w:r>
        <w:rPr>
          <w:i/>
          <w:sz w:val="24"/>
        </w:rPr>
        <w:t>Transmission Network Users</w:t>
      </w:r>
      <w:r>
        <w:rPr>
          <w:sz w:val="24"/>
        </w:rPr>
        <w:t>.</w:t>
      </w:r>
    </w:p>
    <w:p>
      <w:pPr>
        <w:pStyle w:val="Heading5"/>
        <w:rPr>
          <w:i/>
        </w:rPr>
      </w:pPr>
      <w:r>
        <w:rPr>
          <w:i/>
        </w:rPr>
        <w:t>system strength service</w:t>
      </w:r>
    </w:p>
    <w:p>
      <w:pPr>
        <w:spacing w:before="120"/>
        <w:ind w:left="1352" w:right="415" w:firstLine="0"/>
        <w:jc w:val="both"/>
        <w:rPr>
          <w:sz w:val="24"/>
        </w:rPr>
      </w:pPr>
      <w:r>
        <w:rPr>
          <w:sz w:val="24"/>
        </w:rPr>
        <w:t>A service for the provision of a contribution to the </w:t>
      </w:r>
      <w:r>
        <w:rPr>
          <w:i/>
          <w:sz w:val="24"/>
        </w:rPr>
        <w:t>three phase fault level </w:t>
      </w:r>
      <w:r>
        <w:rPr>
          <w:sz w:val="24"/>
        </w:rPr>
        <w:t>at a </w:t>
      </w:r>
      <w:r>
        <w:rPr>
          <w:i/>
          <w:sz w:val="24"/>
        </w:rPr>
        <w:t>fault </w:t>
      </w:r>
      <w:r>
        <w:rPr>
          <w:i/>
          <w:sz w:val="24"/>
        </w:rPr>
        <w:t>level node</w:t>
      </w:r>
      <w:r>
        <w:rPr>
          <w:sz w:val="24"/>
        </w:rPr>
        <w:t>.</w:t>
      </w:r>
    </w:p>
    <w:p>
      <w:pPr>
        <w:pStyle w:val="Heading5"/>
        <w:rPr>
          <w:i/>
        </w:rPr>
      </w:pPr>
      <w:r>
        <w:rPr>
          <w:i/>
        </w:rPr>
        <w:t>system strength service payment</w:t>
      </w:r>
    </w:p>
    <w:p>
      <w:pPr>
        <w:spacing w:before="120"/>
        <w:ind w:left="1352" w:right="416" w:firstLine="0"/>
        <w:jc w:val="both"/>
        <w:rPr>
          <w:sz w:val="24"/>
        </w:rPr>
      </w:pPr>
      <w:r>
        <w:rPr>
          <w:sz w:val="24"/>
        </w:rPr>
        <w:t>A payment by a </w:t>
      </w:r>
      <w:r>
        <w:rPr>
          <w:i/>
          <w:sz w:val="24"/>
        </w:rPr>
        <w:t>Transmission Network Service Provider </w:t>
      </w:r>
      <w:r>
        <w:rPr>
          <w:sz w:val="24"/>
        </w:rPr>
        <w:t>made under a </w:t>
      </w:r>
      <w:r>
        <w:rPr>
          <w:i/>
          <w:sz w:val="24"/>
        </w:rPr>
        <w:t>system </w:t>
      </w:r>
      <w:r>
        <w:rPr>
          <w:i/>
          <w:sz w:val="24"/>
        </w:rPr>
        <w:t>strength services agreement </w:t>
      </w:r>
      <w:r>
        <w:rPr>
          <w:sz w:val="24"/>
        </w:rPr>
        <w:t>where:</w:t>
      </w:r>
    </w:p>
    <w:p>
      <w:pPr>
        <w:pStyle w:val="ListParagraph"/>
        <w:numPr>
          <w:ilvl w:val="0"/>
          <w:numId w:val="832"/>
        </w:numPr>
        <w:tabs>
          <w:tab w:pos="1919" w:val="left" w:leader="none"/>
        </w:tabs>
        <w:spacing w:line="240" w:lineRule="auto" w:before="120" w:after="0"/>
        <w:ind w:left="1919" w:right="415" w:hanging="567"/>
        <w:jc w:val="both"/>
        <w:rPr>
          <w:sz w:val="24"/>
        </w:rPr>
      </w:pPr>
      <w:r>
        <w:rPr>
          <w:sz w:val="24"/>
        </w:rPr>
        <w:t>the payment is made for </w:t>
      </w:r>
      <w:r>
        <w:rPr>
          <w:i/>
          <w:sz w:val="24"/>
        </w:rPr>
        <w:t>system strength services </w:t>
      </w:r>
      <w:r>
        <w:rPr>
          <w:sz w:val="24"/>
        </w:rPr>
        <w:t>to be made available or provided as a service to the </w:t>
      </w:r>
      <w:r>
        <w:rPr>
          <w:i/>
          <w:sz w:val="24"/>
        </w:rPr>
        <w:t>Transmission Network Service Provider </w:t>
      </w:r>
      <w:r>
        <w:rPr>
          <w:sz w:val="24"/>
        </w:rPr>
        <w:t>in its capacity as a </w:t>
      </w:r>
      <w:r>
        <w:rPr>
          <w:i/>
          <w:sz w:val="24"/>
        </w:rPr>
        <w:t>System Strength Service Provider </w:t>
      </w:r>
      <w:r>
        <w:rPr>
          <w:sz w:val="24"/>
        </w:rPr>
        <w:t>to satisfy an obligation under clause 5.20C.3;</w:t>
      </w:r>
      <w:r>
        <w:rPr>
          <w:spacing w:val="-1"/>
          <w:sz w:val="24"/>
        </w:rPr>
        <w:t> </w:t>
      </w:r>
      <w:r>
        <w:rPr>
          <w:sz w:val="24"/>
        </w:rPr>
        <w:t>and</w:t>
      </w:r>
    </w:p>
    <w:p>
      <w:pPr>
        <w:pStyle w:val="ListParagraph"/>
        <w:numPr>
          <w:ilvl w:val="0"/>
          <w:numId w:val="832"/>
        </w:numPr>
        <w:tabs>
          <w:tab w:pos="1919" w:val="left" w:leader="none"/>
        </w:tabs>
        <w:spacing w:line="240" w:lineRule="auto" w:before="120" w:after="0"/>
        <w:ind w:left="1919" w:right="416" w:hanging="567"/>
        <w:jc w:val="both"/>
        <w:rPr>
          <w:sz w:val="24"/>
        </w:rPr>
      </w:pPr>
      <w:r>
        <w:rPr>
          <w:sz w:val="24"/>
        </w:rPr>
        <w:t>the </w:t>
      </w:r>
      <w:r>
        <w:rPr>
          <w:i/>
          <w:sz w:val="24"/>
        </w:rPr>
        <w:t>system strength services </w:t>
      </w:r>
      <w:r>
        <w:rPr>
          <w:sz w:val="24"/>
        </w:rPr>
        <w:t>are made available or provided in accordance with applicable technical specifications and performance standards approved by</w:t>
      </w:r>
      <w:r>
        <w:rPr>
          <w:spacing w:val="-1"/>
          <w:sz w:val="24"/>
        </w:rPr>
        <w:t> </w:t>
      </w:r>
      <w:r>
        <w:rPr>
          <w:i/>
          <w:sz w:val="24"/>
        </w:rPr>
        <w:t>AEMO</w:t>
      </w:r>
      <w:r>
        <w:rPr>
          <w:sz w:val="24"/>
        </w:rPr>
        <w:t>.</w:t>
      </w:r>
    </w:p>
    <w:p>
      <w:pPr>
        <w:pStyle w:val="Heading5"/>
        <w:rPr>
          <w:i/>
        </w:rPr>
      </w:pPr>
      <w:r>
        <w:rPr>
          <w:i/>
        </w:rPr>
        <w:t>System Strength Service Provider</w:t>
      </w:r>
    </w:p>
    <w:p>
      <w:pPr>
        <w:spacing w:before="120"/>
        <w:ind w:left="1352" w:right="416" w:firstLine="0"/>
        <w:jc w:val="both"/>
        <w:rPr>
          <w:sz w:val="24"/>
        </w:rPr>
      </w:pPr>
      <w:r>
        <w:rPr>
          <w:sz w:val="24"/>
        </w:rPr>
        <w:t>The </w:t>
      </w:r>
      <w:r>
        <w:rPr>
          <w:i/>
          <w:sz w:val="24"/>
        </w:rPr>
        <w:t>System Strength Service Provider </w:t>
      </w:r>
      <w:r>
        <w:rPr>
          <w:sz w:val="24"/>
        </w:rPr>
        <w:t>for a </w:t>
      </w:r>
      <w:r>
        <w:rPr>
          <w:i/>
          <w:sz w:val="24"/>
        </w:rPr>
        <w:t>region </w:t>
      </w:r>
      <w:r>
        <w:rPr>
          <w:sz w:val="24"/>
        </w:rPr>
        <w:t>as specified under clause 5.20C.3(a).</w:t>
      </w:r>
    </w:p>
    <w:p>
      <w:pPr>
        <w:pStyle w:val="Heading5"/>
        <w:rPr>
          <w:i/>
        </w:rPr>
      </w:pPr>
      <w:r>
        <w:rPr>
          <w:i/>
        </w:rPr>
        <w:t>system strength services agreement</w:t>
      </w:r>
    </w:p>
    <w:p>
      <w:pPr>
        <w:spacing w:before="120"/>
        <w:ind w:left="1352" w:right="416" w:firstLine="0"/>
        <w:jc w:val="both"/>
        <w:rPr>
          <w:sz w:val="24"/>
        </w:rPr>
      </w:pPr>
      <w:r>
        <w:rPr>
          <w:sz w:val="24"/>
        </w:rPr>
        <w:t>An agreement made under which a person agrees to provide one or more </w:t>
      </w:r>
      <w:r>
        <w:rPr>
          <w:i/>
          <w:sz w:val="24"/>
        </w:rPr>
        <w:t>system </w:t>
      </w:r>
      <w:r>
        <w:rPr>
          <w:i/>
          <w:sz w:val="24"/>
        </w:rPr>
        <w:t>strength services </w:t>
      </w:r>
      <w:r>
        <w:rPr>
          <w:sz w:val="24"/>
        </w:rPr>
        <w:t>to a </w:t>
      </w:r>
      <w:r>
        <w:rPr>
          <w:i/>
          <w:sz w:val="24"/>
        </w:rPr>
        <w:t>System Strength Service Provider</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take or pay contract</w:t>
      </w:r>
    </w:p>
    <w:p>
      <w:pPr>
        <w:pStyle w:val="BodyText"/>
        <w:ind w:left="1352" w:right="414" w:firstLine="0"/>
      </w:pPr>
      <w:r>
        <w:rPr/>
        <w:t>A contract between a buyer and a seller of an asset-based service under which the buyer undertakes to pay regularly to the seller a fixed or minimum sum regardless of the actual level of consumption of the service by the buyer. The contract has  the effect of transferring market risk associated with the assets from the seller (as the owner of the assets) to the</w:t>
      </w:r>
      <w:r>
        <w:rPr>
          <w:spacing w:val="-1"/>
        </w:rPr>
        <w:t> </w:t>
      </w:r>
      <w:r>
        <w:rPr/>
        <w:t>buyer.</w:t>
      </w:r>
    </w:p>
    <w:p>
      <w:pPr>
        <w:pStyle w:val="Heading5"/>
        <w:rPr>
          <w:i/>
        </w:rPr>
      </w:pPr>
      <w:r>
        <w:rPr>
          <w:i/>
        </w:rPr>
        <w:t>tap-changing transformer</w:t>
      </w:r>
    </w:p>
    <w:p>
      <w:pPr>
        <w:spacing w:before="120"/>
        <w:ind w:left="1352" w:right="413" w:firstLine="0"/>
        <w:jc w:val="both"/>
        <w:rPr>
          <w:sz w:val="24"/>
        </w:rPr>
      </w:pPr>
      <w:r>
        <w:rPr>
          <w:sz w:val="24"/>
        </w:rPr>
        <w:t>A </w:t>
      </w:r>
      <w:r>
        <w:rPr>
          <w:i/>
          <w:sz w:val="24"/>
        </w:rPr>
        <w:t>transformer </w:t>
      </w:r>
      <w:r>
        <w:rPr>
          <w:sz w:val="24"/>
        </w:rPr>
        <w:t>with the capability to allow internal adjustment of output </w:t>
      </w:r>
      <w:r>
        <w:rPr>
          <w:i/>
          <w:sz w:val="24"/>
        </w:rPr>
        <w:t>voltages </w:t>
      </w:r>
      <w:r>
        <w:rPr>
          <w:sz w:val="24"/>
        </w:rPr>
        <w:t>which can be automatically or manually initiated and which is used as a major component in the control of the </w:t>
      </w:r>
      <w:r>
        <w:rPr>
          <w:i/>
          <w:sz w:val="24"/>
        </w:rPr>
        <w:t>voltage </w:t>
      </w:r>
      <w:r>
        <w:rPr>
          <w:sz w:val="24"/>
        </w:rPr>
        <w:t>of </w:t>
      </w:r>
      <w:r>
        <w:rPr>
          <w:i/>
          <w:sz w:val="24"/>
        </w:rPr>
        <w:t>transmission </w:t>
      </w:r>
      <w:r>
        <w:rPr>
          <w:sz w:val="24"/>
        </w:rPr>
        <w:t>and </w:t>
      </w:r>
      <w:r>
        <w:rPr>
          <w:i/>
          <w:sz w:val="24"/>
        </w:rPr>
        <w:t>distribution networks </w:t>
      </w:r>
      <w:r>
        <w:rPr>
          <w:sz w:val="24"/>
        </w:rPr>
        <w:t>in conjunction with the operation of </w:t>
      </w:r>
      <w:r>
        <w:rPr>
          <w:i/>
          <w:sz w:val="24"/>
        </w:rPr>
        <w:t>reactive plant</w:t>
      </w:r>
      <w:r>
        <w:rPr>
          <w:sz w:val="24"/>
        </w:rPr>
        <w:t>. The </w:t>
      </w:r>
      <w:r>
        <w:rPr>
          <w:i/>
          <w:sz w:val="24"/>
        </w:rPr>
        <w:t>connection point </w:t>
      </w:r>
      <w:r>
        <w:rPr>
          <w:sz w:val="24"/>
        </w:rPr>
        <w:t>of a </w:t>
      </w:r>
      <w:r>
        <w:rPr>
          <w:i/>
          <w:sz w:val="24"/>
        </w:rPr>
        <w:t>generating unit </w:t>
      </w:r>
      <w:r>
        <w:rPr>
          <w:sz w:val="24"/>
        </w:rPr>
        <w:t>may have an associated tap-changing transformer, usually provided by the </w:t>
      </w:r>
      <w:r>
        <w:rPr>
          <w:i/>
          <w:sz w:val="24"/>
        </w:rPr>
        <w:t>Generator</w:t>
      </w:r>
      <w:r>
        <w:rPr>
          <w:sz w:val="24"/>
        </w:rPr>
        <w:t>.</w:t>
      </w:r>
    </w:p>
    <w:p>
      <w:pPr>
        <w:pStyle w:val="Heading5"/>
        <w:rPr>
          <w:i/>
        </w:rPr>
      </w:pPr>
      <w:r>
        <w:rPr>
          <w:i/>
        </w:rPr>
        <w:t>target capabilities</w:t>
      </w:r>
    </w:p>
    <w:p>
      <w:pPr>
        <w:pStyle w:val="BodyText"/>
        <w:ind w:left="1352" w:right="414" w:firstLine="0"/>
      </w:pPr>
      <w:r>
        <w:rPr/>
        <w:t>For an </w:t>
      </w:r>
      <w:r>
        <w:rPr>
          <w:i/>
        </w:rPr>
        <w:t>emergency frequency control scheme </w:t>
      </w:r>
      <w:r>
        <w:rPr/>
        <w:t>means the technical parameters required to define the intended (but not guaranteed) service provided by the scheme which may include:</w:t>
      </w:r>
    </w:p>
    <w:p>
      <w:pPr>
        <w:pStyle w:val="ListParagraph"/>
        <w:numPr>
          <w:ilvl w:val="0"/>
          <w:numId w:val="833"/>
        </w:numPr>
        <w:tabs>
          <w:tab w:pos="1919" w:val="left" w:leader="none"/>
        </w:tabs>
        <w:spacing w:line="240" w:lineRule="auto" w:before="120" w:after="0"/>
        <w:ind w:left="1918" w:right="0" w:hanging="567"/>
        <w:jc w:val="both"/>
        <w:rPr>
          <w:sz w:val="24"/>
        </w:rPr>
      </w:pPr>
      <w:r>
        <w:rPr>
          <w:i/>
          <w:sz w:val="24"/>
        </w:rPr>
        <w:t>power system </w:t>
      </w:r>
      <w:r>
        <w:rPr>
          <w:sz w:val="24"/>
        </w:rPr>
        <w:t>conditions within which the scheme is capable of</w:t>
      </w:r>
      <w:r>
        <w:rPr>
          <w:spacing w:val="-12"/>
          <w:sz w:val="24"/>
        </w:rPr>
        <w:t> </w:t>
      </w:r>
      <w:r>
        <w:rPr>
          <w:sz w:val="24"/>
        </w:rPr>
        <w:t>responding;</w:t>
      </w:r>
    </w:p>
    <w:p>
      <w:pPr>
        <w:pStyle w:val="ListParagraph"/>
        <w:numPr>
          <w:ilvl w:val="0"/>
          <w:numId w:val="833"/>
        </w:numPr>
        <w:tabs>
          <w:tab w:pos="1919" w:val="left" w:leader="none"/>
        </w:tabs>
        <w:spacing w:line="240" w:lineRule="auto" w:before="120" w:after="0"/>
        <w:ind w:left="1918" w:right="0" w:hanging="567"/>
        <w:jc w:val="both"/>
        <w:rPr>
          <w:i/>
          <w:sz w:val="24"/>
        </w:rPr>
      </w:pPr>
      <w:r>
        <w:rPr>
          <w:sz w:val="24"/>
        </w:rPr>
        <w:t>the</w:t>
      </w:r>
      <w:r>
        <w:rPr>
          <w:spacing w:val="18"/>
          <w:sz w:val="24"/>
        </w:rPr>
        <w:t> </w:t>
      </w:r>
      <w:r>
        <w:rPr>
          <w:sz w:val="24"/>
        </w:rPr>
        <w:t>nature</w:t>
      </w:r>
      <w:r>
        <w:rPr>
          <w:spacing w:val="19"/>
          <w:sz w:val="24"/>
        </w:rPr>
        <w:t> </w:t>
      </w:r>
      <w:r>
        <w:rPr>
          <w:sz w:val="24"/>
        </w:rPr>
        <w:t>of</w:t>
      </w:r>
      <w:r>
        <w:rPr>
          <w:spacing w:val="19"/>
          <w:sz w:val="24"/>
        </w:rPr>
        <w:t> </w:t>
      </w:r>
      <w:r>
        <w:rPr>
          <w:sz w:val="24"/>
        </w:rPr>
        <w:t>the</w:t>
      </w:r>
      <w:r>
        <w:rPr>
          <w:spacing w:val="19"/>
          <w:sz w:val="24"/>
        </w:rPr>
        <w:t> </w:t>
      </w:r>
      <w:r>
        <w:rPr>
          <w:sz w:val="24"/>
        </w:rPr>
        <w:t>scheme's</w:t>
      </w:r>
      <w:r>
        <w:rPr>
          <w:spacing w:val="19"/>
          <w:sz w:val="24"/>
        </w:rPr>
        <w:t> </w:t>
      </w:r>
      <w:r>
        <w:rPr>
          <w:sz w:val="24"/>
        </w:rPr>
        <w:t>response</w:t>
      </w:r>
      <w:r>
        <w:rPr>
          <w:spacing w:val="19"/>
          <w:sz w:val="24"/>
        </w:rPr>
        <w:t> </w:t>
      </w:r>
      <w:r>
        <w:rPr>
          <w:sz w:val="24"/>
        </w:rPr>
        <w:t>(</w:t>
      </w:r>
      <w:r>
        <w:rPr>
          <w:i/>
          <w:sz w:val="24"/>
        </w:rPr>
        <w:t>load</w:t>
      </w:r>
      <w:r>
        <w:rPr>
          <w:i/>
          <w:spacing w:val="18"/>
          <w:sz w:val="24"/>
        </w:rPr>
        <w:t> </w:t>
      </w:r>
      <w:r>
        <w:rPr>
          <w:i/>
          <w:sz w:val="24"/>
        </w:rPr>
        <w:t>shedding</w:t>
      </w:r>
      <w:r>
        <w:rPr>
          <w:i/>
          <w:spacing w:val="19"/>
          <w:sz w:val="24"/>
        </w:rPr>
        <w:t> </w:t>
      </w:r>
      <w:r>
        <w:rPr>
          <w:sz w:val="24"/>
        </w:rPr>
        <w:t>or</w:t>
      </w:r>
      <w:r>
        <w:rPr>
          <w:spacing w:val="19"/>
          <w:sz w:val="24"/>
        </w:rPr>
        <w:t> </w:t>
      </w:r>
      <w:r>
        <w:rPr>
          <w:i/>
          <w:sz w:val="24"/>
        </w:rPr>
        <w:t>generation</w:t>
      </w:r>
      <w:r>
        <w:rPr>
          <w:i/>
          <w:spacing w:val="19"/>
          <w:sz w:val="24"/>
        </w:rPr>
        <w:t> </w:t>
      </w:r>
      <w:r>
        <w:rPr>
          <w:i/>
          <w:sz w:val="24"/>
        </w:rPr>
        <w:t>shedding</w:t>
      </w:r>
    </w:p>
    <w:p>
      <w:pPr>
        <w:spacing w:before="0"/>
        <w:ind w:left="1919" w:right="0" w:firstLine="0"/>
        <w:jc w:val="both"/>
        <w:rPr>
          <w:sz w:val="24"/>
        </w:rPr>
      </w:pPr>
      <w:r>
        <w:rPr>
          <w:sz w:val="24"/>
        </w:rPr>
        <w:t>for the purposes of managing </w:t>
      </w:r>
      <w:r>
        <w:rPr>
          <w:i/>
          <w:sz w:val="24"/>
        </w:rPr>
        <w:t>frequency</w:t>
      </w:r>
      <w:r>
        <w:rPr>
          <w:sz w:val="24"/>
        </w:rPr>
        <w:t>);</w:t>
      </w:r>
    </w:p>
    <w:p>
      <w:pPr>
        <w:pStyle w:val="ListParagraph"/>
        <w:numPr>
          <w:ilvl w:val="0"/>
          <w:numId w:val="833"/>
        </w:numPr>
        <w:tabs>
          <w:tab w:pos="1918" w:val="left" w:leader="none"/>
          <w:tab w:pos="1919" w:val="left" w:leader="none"/>
        </w:tabs>
        <w:spacing w:line="240" w:lineRule="auto" w:before="120" w:after="0"/>
        <w:ind w:left="1918" w:right="0" w:hanging="567"/>
        <w:jc w:val="left"/>
        <w:rPr>
          <w:sz w:val="24"/>
        </w:rPr>
      </w:pPr>
      <w:r>
        <w:rPr>
          <w:sz w:val="24"/>
        </w:rPr>
        <w:t>the speed of the</w:t>
      </w:r>
      <w:r>
        <w:rPr>
          <w:spacing w:val="-2"/>
          <w:sz w:val="24"/>
        </w:rPr>
        <w:t> </w:t>
      </w:r>
      <w:r>
        <w:rPr>
          <w:sz w:val="24"/>
        </w:rPr>
        <w:t>response;</w:t>
      </w:r>
    </w:p>
    <w:p>
      <w:pPr>
        <w:pStyle w:val="ListParagraph"/>
        <w:numPr>
          <w:ilvl w:val="0"/>
          <w:numId w:val="833"/>
        </w:numPr>
        <w:tabs>
          <w:tab w:pos="1918" w:val="left" w:leader="none"/>
          <w:tab w:pos="1919" w:val="left" w:leader="none"/>
        </w:tabs>
        <w:spacing w:line="240" w:lineRule="auto" w:before="120" w:after="0"/>
        <w:ind w:left="1919" w:right="416" w:hanging="567"/>
        <w:jc w:val="left"/>
        <w:rPr>
          <w:sz w:val="24"/>
        </w:rPr>
      </w:pPr>
      <w:r>
        <w:rPr>
          <w:sz w:val="24"/>
        </w:rPr>
        <w:t>the amount of </w:t>
      </w:r>
      <w:r>
        <w:rPr>
          <w:i/>
          <w:sz w:val="24"/>
        </w:rPr>
        <w:t>load shedding </w:t>
      </w:r>
      <w:r>
        <w:rPr>
          <w:sz w:val="24"/>
        </w:rPr>
        <w:t>or </w:t>
      </w:r>
      <w:r>
        <w:rPr>
          <w:i/>
          <w:sz w:val="24"/>
        </w:rPr>
        <w:t>generation shedding </w:t>
      </w:r>
      <w:r>
        <w:rPr>
          <w:sz w:val="24"/>
        </w:rPr>
        <w:t>that may occur when the scheme responds;</w:t>
      </w:r>
      <w:r>
        <w:rPr>
          <w:spacing w:val="-1"/>
          <w:sz w:val="24"/>
        </w:rPr>
        <w:t> </w:t>
      </w:r>
      <w:r>
        <w:rPr>
          <w:sz w:val="24"/>
        </w:rPr>
        <w:t>and</w:t>
      </w:r>
    </w:p>
    <w:p>
      <w:pPr>
        <w:pStyle w:val="ListParagraph"/>
        <w:numPr>
          <w:ilvl w:val="0"/>
          <w:numId w:val="833"/>
        </w:numPr>
        <w:tabs>
          <w:tab w:pos="1918" w:val="left" w:leader="none"/>
          <w:tab w:pos="1919" w:val="left" w:leader="none"/>
        </w:tabs>
        <w:spacing w:line="240" w:lineRule="auto" w:before="120" w:after="0"/>
        <w:ind w:left="1918" w:right="0" w:hanging="567"/>
        <w:jc w:val="left"/>
        <w:rPr>
          <w:sz w:val="24"/>
        </w:rPr>
      </w:pPr>
      <w:r>
        <w:rPr>
          <w:sz w:val="24"/>
        </w:rPr>
        <w:t>capability to dynamically sense </w:t>
      </w:r>
      <w:r>
        <w:rPr>
          <w:i/>
          <w:sz w:val="24"/>
        </w:rPr>
        <w:t>power system</w:t>
      </w:r>
      <w:r>
        <w:rPr>
          <w:i/>
          <w:spacing w:val="-4"/>
          <w:sz w:val="24"/>
        </w:rPr>
        <w:t> </w:t>
      </w:r>
      <w:r>
        <w:rPr>
          <w:sz w:val="24"/>
        </w:rPr>
        <w:t>conditions.</w:t>
      </w:r>
    </w:p>
    <w:p>
      <w:pPr>
        <w:spacing w:after="0" w:line="240" w:lineRule="auto"/>
        <w:jc w:val="left"/>
        <w:rPr>
          <w:sz w:val="24"/>
        </w:rPr>
        <w:sectPr>
          <w:pgSz w:w="11910" w:h="16840"/>
          <w:pgMar w:header="686" w:footer="637" w:top="1320" w:bottom="820" w:left="1200" w:right="1000"/>
        </w:sectPr>
      </w:pPr>
    </w:p>
    <w:p>
      <w:pPr>
        <w:pStyle w:val="Heading5"/>
        <w:jc w:val="left"/>
        <w:rPr>
          <w:i/>
        </w:rPr>
      </w:pPr>
      <w:r>
        <w:rPr>
          <w:i/>
        </w:rPr>
        <w:t>tariff class</w:t>
      </w:r>
    </w:p>
    <w:p>
      <w:pPr>
        <w:pStyle w:val="BodyText"/>
        <w:spacing w:before="0"/>
        <w:ind w:firstLine="0"/>
        <w:jc w:val="left"/>
        <w:rPr>
          <w:b/>
          <w:i/>
          <w:sz w:val="26"/>
        </w:rPr>
      </w:pPr>
      <w:r>
        <w:rPr/>
        <w:br w:type="column"/>
      </w:r>
      <w:r>
        <w:rPr>
          <w:b/>
          <w:i/>
          <w:sz w:val="26"/>
        </w:rPr>
      </w:r>
    </w:p>
    <w:p>
      <w:pPr>
        <w:spacing w:before="217"/>
        <w:ind w:left="46" w:right="286" w:firstLine="0"/>
        <w:jc w:val="left"/>
        <w:rPr>
          <w:sz w:val="24"/>
        </w:rPr>
      </w:pPr>
      <w:r>
        <w:rPr>
          <w:sz w:val="24"/>
        </w:rPr>
        <w:t>A class of </w:t>
      </w:r>
      <w:r>
        <w:rPr>
          <w:i/>
          <w:sz w:val="24"/>
        </w:rPr>
        <w:t>retail customers </w:t>
      </w:r>
      <w:r>
        <w:rPr>
          <w:sz w:val="24"/>
        </w:rPr>
        <w:t>for one or more </w:t>
      </w:r>
      <w:r>
        <w:rPr>
          <w:i/>
          <w:sz w:val="24"/>
        </w:rPr>
        <w:t>direct control services </w:t>
      </w:r>
      <w:r>
        <w:rPr>
          <w:sz w:val="24"/>
        </w:rPr>
        <w:t>who are subject to a particular tariff or particular tariffs.</w:t>
      </w:r>
    </w:p>
    <w:p>
      <w:pPr>
        <w:spacing w:after="0"/>
        <w:jc w:val="left"/>
        <w:rPr>
          <w:sz w:val="24"/>
        </w:rPr>
        <w:sectPr>
          <w:type w:val="continuous"/>
          <w:pgSz w:w="11910" w:h="16840"/>
          <w:pgMar w:top="1360" w:bottom="280" w:left="1200" w:right="1000"/>
          <w:cols w:num="2" w:equalWidth="0">
            <w:col w:w="1266" w:space="40"/>
            <w:col w:w="8404"/>
          </w:cols>
        </w:sectPr>
      </w:pPr>
    </w:p>
    <w:p>
      <w:pPr>
        <w:pStyle w:val="Heading5"/>
        <w:rPr>
          <w:i/>
        </w:rPr>
      </w:pPr>
      <w:r>
        <w:rPr>
          <w:i/>
        </w:rPr>
        <w:t>tariff structure statement</w:t>
      </w:r>
    </w:p>
    <w:p>
      <w:pPr>
        <w:spacing w:before="120"/>
        <w:ind w:left="1352" w:right="415" w:firstLine="0"/>
        <w:jc w:val="both"/>
        <w:rPr>
          <w:sz w:val="24"/>
        </w:rPr>
      </w:pPr>
      <w:r>
        <w:rPr>
          <w:sz w:val="24"/>
        </w:rPr>
        <w:t>For a </w:t>
      </w:r>
      <w:r>
        <w:rPr>
          <w:i/>
          <w:sz w:val="24"/>
        </w:rPr>
        <w:t>Distribution Network Service Provider</w:t>
      </w:r>
      <w:r>
        <w:rPr>
          <w:sz w:val="24"/>
        </w:rPr>
        <w:t>, means the </w:t>
      </w:r>
      <w:r>
        <w:rPr>
          <w:i/>
          <w:sz w:val="24"/>
        </w:rPr>
        <w:t>tariff structure statement </w:t>
      </w:r>
      <w:r>
        <w:rPr>
          <w:sz w:val="24"/>
        </w:rPr>
        <w:t>referred to in clause 6.18.1A that has been approved by the </w:t>
      </w:r>
      <w:r>
        <w:rPr>
          <w:i/>
          <w:sz w:val="24"/>
        </w:rPr>
        <w:t>AER </w:t>
      </w:r>
      <w:r>
        <w:rPr>
          <w:sz w:val="24"/>
        </w:rPr>
        <w:t>for that </w:t>
      </w:r>
      <w:r>
        <w:rPr>
          <w:i/>
          <w:sz w:val="24"/>
        </w:rPr>
        <w:t>Distribution Network Service Provider</w:t>
      </w:r>
      <w:r>
        <w:rPr>
          <w:sz w:val="24"/>
        </w:rPr>
        <w:t>.</w:t>
      </w:r>
    </w:p>
    <w:p>
      <w:pPr>
        <w:spacing w:after="0"/>
        <w:jc w:val="both"/>
        <w:rPr>
          <w:sz w:val="24"/>
        </w:rPr>
        <w:sectPr>
          <w:type w:val="continuous"/>
          <w:pgSz w:w="11910" w:h="16840"/>
          <w:pgMar w:top="1360" w:bottom="280" w:left="1200" w:right="1000"/>
        </w:sectPr>
      </w:pPr>
    </w:p>
    <w:p>
      <w:pPr>
        <w:pStyle w:val="Heading5"/>
        <w:jc w:val="left"/>
        <w:rPr>
          <w:i/>
        </w:rPr>
      </w:pPr>
      <w:r>
        <w:rPr>
          <w:i/>
        </w:rPr>
        <w:t>tax</w:t>
      </w:r>
    </w:p>
    <w:p>
      <w:pPr>
        <w:pStyle w:val="BodyText"/>
        <w:spacing w:before="0"/>
        <w:ind w:firstLine="0"/>
        <w:jc w:val="left"/>
        <w:rPr>
          <w:b/>
          <w:i/>
          <w:sz w:val="26"/>
        </w:rPr>
      </w:pPr>
      <w:r>
        <w:rPr/>
        <w:br w:type="column"/>
      </w:r>
      <w:r>
        <w:rPr>
          <w:b/>
          <w:i/>
          <w:sz w:val="26"/>
        </w:rPr>
      </w:r>
    </w:p>
    <w:p>
      <w:pPr>
        <w:pStyle w:val="BodyText"/>
        <w:spacing w:before="217"/>
        <w:ind w:left="218" w:right="407" w:firstLine="0"/>
        <w:jc w:val="left"/>
      </w:pPr>
      <w:r>
        <w:rPr/>
        <w:t>Any tax, levy, impost, deduction, charge, rate, rebate, duty, fee or withholding which is levied or imposed by an </w:t>
      </w:r>
      <w:r>
        <w:rPr>
          <w:i/>
        </w:rPr>
        <w:t>Authority</w:t>
      </w:r>
      <w:r>
        <w:rPr/>
        <w:t>.</w:t>
      </w:r>
    </w:p>
    <w:p>
      <w:pPr>
        <w:spacing w:after="0"/>
        <w:jc w:val="left"/>
        <w:sectPr>
          <w:type w:val="continuous"/>
          <w:pgSz w:w="11910" w:h="16840"/>
          <w:pgMar w:top="1360" w:bottom="280" w:left="1200" w:right="1000"/>
          <w:cols w:num="2" w:equalWidth="0">
            <w:col w:w="565" w:space="569"/>
            <w:col w:w="8576"/>
          </w:cols>
        </w:sectPr>
      </w:pPr>
    </w:p>
    <w:p>
      <w:pPr>
        <w:pStyle w:val="Heading5"/>
        <w:rPr>
          <w:i/>
        </w:rPr>
      </w:pPr>
      <w:r>
        <w:rPr>
          <w:i/>
        </w:rPr>
        <w:t>tax change event</w:t>
      </w:r>
    </w:p>
    <w:p>
      <w:pPr>
        <w:pStyle w:val="BodyText"/>
        <w:ind w:left="1352" w:firstLine="0"/>
      </w:pPr>
      <w:r>
        <w:rPr/>
        <w:t>A tax change event occurs if:</w:t>
      </w:r>
    </w:p>
    <w:p>
      <w:pPr>
        <w:pStyle w:val="ListParagraph"/>
        <w:numPr>
          <w:ilvl w:val="0"/>
          <w:numId w:val="834"/>
        </w:numPr>
        <w:tabs>
          <w:tab w:pos="1919" w:val="left" w:leader="none"/>
        </w:tabs>
        <w:spacing w:line="240" w:lineRule="auto" w:before="120" w:after="0"/>
        <w:ind w:left="1919" w:right="415" w:hanging="567"/>
        <w:jc w:val="both"/>
        <w:rPr>
          <w:sz w:val="24"/>
        </w:rPr>
      </w:pPr>
      <w:r>
        <w:rPr>
          <w:sz w:val="24"/>
        </w:rPr>
        <w:t>any of the following occurs during the course of a </w:t>
      </w:r>
      <w:r>
        <w:rPr>
          <w:i/>
          <w:sz w:val="24"/>
        </w:rPr>
        <w:t>regulatory control period </w:t>
      </w:r>
      <w:r>
        <w:rPr>
          <w:sz w:val="24"/>
        </w:rPr>
        <w:t>for a </w:t>
      </w:r>
      <w:r>
        <w:rPr>
          <w:i/>
          <w:sz w:val="24"/>
        </w:rPr>
        <w:t>Transmission Network Service Provider </w:t>
      </w:r>
      <w:r>
        <w:rPr>
          <w:sz w:val="24"/>
        </w:rPr>
        <w:t>or a </w:t>
      </w:r>
      <w:r>
        <w:rPr>
          <w:i/>
          <w:sz w:val="24"/>
        </w:rPr>
        <w:t>Distribution Network </w:t>
      </w:r>
      <w:r>
        <w:rPr>
          <w:i/>
          <w:sz w:val="24"/>
        </w:rPr>
        <w:t>Service</w:t>
      </w:r>
      <w:r>
        <w:rPr>
          <w:i/>
          <w:spacing w:val="-1"/>
          <w:sz w:val="24"/>
        </w:rPr>
        <w:t> </w:t>
      </w:r>
      <w:r>
        <w:rPr>
          <w:i/>
          <w:sz w:val="24"/>
        </w:rPr>
        <w:t>Provider</w:t>
      </w:r>
      <w:r>
        <w:rPr>
          <w:sz w:val="24"/>
        </w:rPr>
        <w:t>:</w:t>
      </w:r>
    </w:p>
    <w:p>
      <w:pPr>
        <w:pStyle w:val="ListParagraph"/>
        <w:numPr>
          <w:ilvl w:val="1"/>
          <w:numId w:val="834"/>
        </w:numPr>
        <w:tabs>
          <w:tab w:pos="2486" w:val="left" w:leader="none"/>
        </w:tabs>
        <w:spacing w:line="240" w:lineRule="auto" w:before="120" w:after="0"/>
        <w:ind w:left="2486" w:right="415" w:hanging="567"/>
        <w:jc w:val="both"/>
        <w:rPr>
          <w:sz w:val="24"/>
        </w:rPr>
      </w:pPr>
      <w:r>
        <w:rPr>
          <w:sz w:val="24"/>
        </w:rPr>
        <w:t>a change in a </w:t>
      </w:r>
      <w:r>
        <w:rPr>
          <w:i/>
          <w:sz w:val="24"/>
        </w:rPr>
        <w:t>relevant tax</w:t>
      </w:r>
      <w:r>
        <w:rPr>
          <w:sz w:val="24"/>
        </w:rPr>
        <w:t>, in the application or official interpretation of a </w:t>
      </w:r>
      <w:r>
        <w:rPr>
          <w:i/>
          <w:sz w:val="24"/>
        </w:rPr>
        <w:t>relevant tax</w:t>
      </w:r>
      <w:r>
        <w:rPr>
          <w:sz w:val="24"/>
        </w:rPr>
        <w:t>, in the rate of a </w:t>
      </w:r>
      <w:r>
        <w:rPr>
          <w:i/>
          <w:sz w:val="24"/>
        </w:rPr>
        <w:t>relevant tax</w:t>
      </w:r>
      <w:r>
        <w:rPr>
          <w:sz w:val="24"/>
        </w:rPr>
        <w:t>, or in the way a </w:t>
      </w:r>
      <w:r>
        <w:rPr>
          <w:i/>
          <w:sz w:val="24"/>
        </w:rPr>
        <w:t>relevant </w:t>
      </w:r>
      <w:r>
        <w:rPr>
          <w:i/>
          <w:sz w:val="24"/>
        </w:rPr>
        <w:t>tax </w:t>
      </w:r>
      <w:r>
        <w:rPr>
          <w:sz w:val="24"/>
        </w:rPr>
        <w:t>is</w:t>
      </w:r>
      <w:r>
        <w:rPr>
          <w:spacing w:val="-1"/>
          <w:sz w:val="24"/>
        </w:rPr>
        <w:t> </w:t>
      </w:r>
      <w:r>
        <w:rPr>
          <w:sz w:val="24"/>
        </w:rPr>
        <w:t>calculated;</w:t>
      </w:r>
    </w:p>
    <w:p>
      <w:pPr>
        <w:spacing w:after="0" w:line="240" w:lineRule="auto"/>
        <w:jc w:val="both"/>
        <w:rPr>
          <w:sz w:val="24"/>
        </w:rPr>
        <w:sectPr>
          <w:type w:val="continuous"/>
          <w:pgSz w:w="11910" w:h="16840"/>
          <w:pgMar w:top="1360" w:bottom="280" w:left="1200" w:right="1000"/>
        </w:sectPr>
      </w:pPr>
    </w:p>
    <w:p>
      <w:pPr>
        <w:pStyle w:val="ListParagraph"/>
        <w:numPr>
          <w:ilvl w:val="1"/>
          <w:numId w:val="834"/>
        </w:numPr>
        <w:tabs>
          <w:tab w:pos="2487" w:val="left" w:leader="none"/>
        </w:tabs>
        <w:spacing w:line="240" w:lineRule="auto" w:before="83" w:after="0"/>
        <w:ind w:left="2486" w:right="0" w:hanging="568"/>
        <w:jc w:val="both"/>
        <w:rPr>
          <w:sz w:val="24"/>
        </w:rPr>
      </w:pPr>
      <w:r>
        <w:rPr>
          <w:sz w:val="24"/>
        </w:rPr>
        <w:t>the removal of a </w:t>
      </w:r>
      <w:r>
        <w:rPr>
          <w:i/>
          <w:sz w:val="24"/>
        </w:rPr>
        <w:t>relevant</w:t>
      </w:r>
      <w:r>
        <w:rPr>
          <w:i/>
          <w:spacing w:val="-3"/>
          <w:sz w:val="24"/>
        </w:rPr>
        <w:t> </w:t>
      </w:r>
      <w:r>
        <w:rPr>
          <w:i/>
          <w:sz w:val="24"/>
        </w:rPr>
        <w:t>tax</w:t>
      </w:r>
      <w:r>
        <w:rPr>
          <w:sz w:val="24"/>
        </w:rPr>
        <w:t>;</w:t>
      </w:r>
    </w:p>
    <w:p>
      <w:pPr>
        <w:pStyle w:val="ListParagraph"/>
        <w:numPr>
          <w:ilvl w:val="1"/>
          <w:numId w:val="834"/>
        </w:numPr>
        <w:tabs>
          <w:tab w:pos="2486" w:val="left" w:leader="none"/>
        </w:tabs>
        <w:spacing w:line="240" w:lineRule="auto" w:before="120" w:after="0"/>
        <w:ind w:left="2485" w:right="0" w:hanging="567"/>
        <w:jc w:val="both"/>
        <w:rPr>
          <w:sz w:val="24"/>
        </w:rPr>
      </w:pPr>
      <w:r>
        <w:rPr>
          <w:sz w:val="24"/>
        </w:rPr>
        <w:t>the imposition of a </w:t>
      </w:r>
      <w:r>
        <w:rPr>
          <w:i/>
          <w:sz w:val="24"/>
        </w:rPr>
        <w:t>relevant tax</w:t>
      </w:r>
      <w:r>
        <w:rPr>
          <w:sz w:val="24"/>
        </w:rPr>
        <w:t>;</w:t>
      </w:r>
      <w:r>
        <w:rPr>
          <w:spacing w:val="-3"/>
          <w:sz w:val="24"/>
        </w:rPr>
        <w:t> </w:t>
      </w:r>
      <w:r>
        <w:rPr>
          <w:sz w:val="24"/>
        </w:rPr>
        <w:t>and</w:t>
      </w:r>
    </w:p>
    <w:p>
      <w:pPr>
        <w:pStyle w:val="ListParagraph"/>
        <w:numPr>
          <w:ilvl w:val="0"/>
          <w:numId w:val="834"/>
        </w:numPr>
        <w:tabs>
          <w:tab w:pos="1919" w:val="left" w:leader="none"/>
        </w:tabs>
        <w:spacing w:line="240" w:lineRule="auto" w:before="120" w:after="0"/>
        <w:ind w:left="1919" w:right="415" w:hanging="567"/>
        <w:jc w:val="both"/>
        <w:rPr>
          <w:sz w:val="24"/>
        </w:rPr>
      </w:pPr>
      <w:r>
        <w:rPr>
          <w:sz w:val="24"/>
        </w:rPr>
        <w:t>in consequence, the costs to the service provider of providing </w:t>
      </w:r>
      <w:r>
        <w:rPr>
          <w:i/>
          <w:sz w:val="24"/>
        </w:rPr>
        <w:t>prescribed </w:t>
      </w:r>
      <w:r>
        <w:rPr>
          <w:i/>
          <w:sz w:val="24"/>
        </w:rPr>
        <w:t>transmission services </w:t>
      </w:r>
      <w:r>
        <w:rPr>
          <w:sz w:val="24"/>
        </w:rPr>
        <w:t>or </w:t>
      </w:r>
      <w:r>
        <w:rPr>
          <w:i/>
          <w:sz w:val="24"/>
        </w:rPr>
        <w:t>direct control services </w:t>
      </w:r>
      <w:r>
        <w:rPr>
          <w:sz w:val="24"/>
        </w:rPr>
        <w:t>are </w:t>
      </w:r>
      <w:r>
        <w:rPr>
          <w:i/>
          <w:sz w:val="24"/>
        </w:rPr>
        <w:t>materially </w:t>
      </w:r>
      <w:r>
        <w:rPr>
          <w:sz w:val="24"/>
        </w:rPr>
        <w:t>increased or decreased.</w:t>
      </w:r>
    </w:p>
    <w:p>
      <w:pPr>
        <w:pStyle w:val="Heading5"/>
        <w:rPr>
          <w:i/>
        </w:rPr>
      </w:pPr>
      <w:r>
        <w:rPr>
          <w:i/>
        </w:rPr>
        <w:t>technical envelope</w:t>
      </w:r>
    </w:p>
    <w:p>
      <w:pPr>
        <w:pStyle w:val="BodyText"/>
        <w:ind w:left="1352" w:firstLine="0"/>
      </w:pPr>
      <w:r>
        <w:rPr/>
        <w:t>The limits described in clause 4.2.5.</w:t>
      </w:r>
    </w:p>
    <w:p>
      <w:pPr>
        <w:pStyle w:val="Heading5"/>
        <w:rPr>
          <w:i/>
        </w:rPr>
      </w:pPr>
      <w:r>
        <w:rPr>
          <w:i/>
        </w:rPr>
        <w:t>telecommunications network</w:t>
      </w:r>
    </w:p>
    <w:p>
      <w:pPr>
        <w:pStyle w:val="BodyText"/>
        <w:ind w:left="1352" w:firstLine="0"/>
      </w:pPr>
      <w:r>
        <w:rPr/>
        <w:t>A telecommunications network that provides access for public use.</w:t>
      </w:r>
    </w:p>
    <w:p>
      <w:pPr>
        <w:pStyle w:val="Heading5"/>
        <w:rPr>
          <w:i/>
        </w:rPr>
      </w:pPr>
      <w:r>
        <w:rPr>
          <w:i/>
        </w:rPr>
        <w:t>template for generator compliance programs</w:t>
      </w:r>
    </w:p>
    <w:p>
      <w:pPr>
        <w:spacing w:before="120"/>
        <w:ind w:left="1352" w:right="0" w:firstLine="0"/>
        <w:jc w:val="both"/>
        <w:rPr>
          <w:sz w:val="24"/>
        </w:rPr>
      </w:pPr>
      <w:r>
        <w:rPr>
          <w:sz w:val="24"/>
        </w:rPr>
        <w:t>The template determined and </w:t>
      </w:r>
      <w:r>
        <w:rPr>
          <w:i/>
          <w:sz w:val="24"/>
        </w:rPr>
        <w:t>published </w:t>
      </w:r>
      <w:r>
        <w:rPr>
          <w:sz w:val="24"/>
        </w:rPr>
        <w:t>by the </w:t>
      </w:r>
      <w:r>
        <w:rPr>
          <w:i/>
          <w:sz w:val="24"/>
        </w:rPr>
        <w:t>Reliability Panel </w:t>
      </w:r>
      <w:r>
        <w:rPr>
          <w:sz w:val="24"/>
        </w:rPr>
        <w:t>under clause</w:t>
      </w:r>
    </w:p>
    <w:p>
      <w:pPr>
        <w:spacing w:before="0"/>
        <w:ind w:left="1352" w:right="0" w:firstLine="0"/>
        <w:jc w:val="both"/>
        <w:rPr>
          <w:sz w:val="24"/>
        </w:rPr>
      </w:pPr>
      <w:r>
        <w:rPr>
          <w:sz w:val="24"/>
        </w:rPr>
        <w:t>8.8.3 of the </w:t>
      </w:r>
      <w:r>
        <w:rPr>
          <w:i/>
          <w:sz w:val="24"/>
        </w:rPr>
        <w:t>Rules</w:t>
      </w:r>
      <w:r>
        <w:rPr>
          <w:sz w:val="24"/>
        </w:rPr>
        <w:t>.</w:t>
      </w:r>
    </w:p>
    <w:p>
      <w:pPr>
        <w:pStyle w:val="Heading5"/>
        <w:rPr>
          <w:i/>
        </w:rPr>
      </w:pPr>
      <w:r>
        <w:rPr>
          <w:i/>
        </w:rPr>
        <w:t>terms and conditions of access</w:t>
      </w:r>
    </w:p>
    <w:p>
      <w:pPr>
        <w:pStyle w:val="BodyText"/>
        <w:ind w:left="1352" w:firstLine="0"/>
        <w:jc w:val="left"/>
      </w:pPr>
      <w:r>
        <w:rPr/>
        <w:t>According to context:</w:t>
      </w:r>
    </w:p>
    <w:p>
      <w:pPr>
        <w:pStyle w:val="ListParagraph"/>
        <w:numPr>
          <w:ilvl w:val="0"/>
          <w:numId w:val="835"/>
        </w:numPr>
        <w:tabs>
          <w:tab w:pos="1918" w:val="left" w:leader="none"/>
          <w:tab w:pos="1919" w:val="left" w:leader="none"/>
        </w:tabs>
        <w:spacing w:line="240" w:lineRule="auto" w:before="120" w:after="0"/>
        <w:ind w:left="1918" w:right="0" w:hanging="567"/>
        <w:jc w:val="left"/>
        <w:rPr>
          <w:sz w:val="24"/>
        </w:rPr>
      </w:pPr>
      <w:r>
        <w:rPr>
          <w:sz w:val="24"/>
        </w:rPr>
        <w:t>the terms and conditions described in clause 5.5.1(c);</w:t>
      </w:r>
      <w:r>
        <w:rPr>
          <w:spacing w:val="-1"/>
          <w:sz w:val="24"/>
        </w:rPr>
        <w:t> </w:t>
      </w:r>
      <w:r>
        <w:rPr>
          <w:sz w:val="24"/>
        </w:rPr>
        <w:t>or</w:t>
      </w:r>
    </w:p>
    <w:p>
      <w:pPr>
        <w:pStyle w:val="ListParagraph"/>
        <w:numPr>
          <w:ilvl w:val="0"/>
          <w:numId w:val="835"/>
        </w:numPr>
        <w:tabs>
          <w:tab w:pos="1918" w:val="left" w:leader="none"/>
          <w:tab w:pos="1919" w:val="left" w:leader="none"/>
        </w:tabs>
        <w:spacing w:line="240" w:lineRule="auto" w:before="120" w:after="0"/>
        <w:ind w:left="1918" w:right="0" w:hanging="567"/>
        <w:jc w:val="left"/>
        <w:rPr>
          <w:sz w:val="24"/>
        </w:rPr>
      </w:pPr>
      <w:r>
        <w:rPr>
          <w:sz w:val="24"/>
        </w:rPr>
        <w:t>the terms and conditions described in clause</w:t>
      </w:r>
      <w:r>
        <w:rPr>
          <w:spacing w:val="-1"/>
          <w:sz w:val="24"/>
        </w:rPr>
        <w:t> </w:t>
      </w:r>
      <w:r>
        <w:rPr>
          <w:sz w:val="24"/>
        </w:rPr>
        <w:t>6.1.3.</w:t>
      </w:r>
    </w:p>
    <w:p>
      <w:pPr>
        <w:pStyle w:val="Heading5"/>
        <w:jc w:val="left"/>
        <w:rPr>
          <w:i/>
        </w:rPr>
      </w:pPr>
      <w:r>
        <w:rPr>
          <w:i/>
        </w:rPr>
        <w:t>test program</w:t>
      </w:r>
    </w:p>
    <w:p>
      <w:pPr>
        <w:pStyle w:val="BodyText"/>
        <w:ind w:left="1352" w:right="415" w:firstLine="0"/>
        <w:jc w:val="left"/>
      </w:pPr>
      <w:r>
        <w:rPr/>
        <w:t>In respect of an </w:t>
      </w:r>
      <w:r>
        <w:rPr>
          <w:i/>
        </w:rPr>
        <w:t>inter-network test</w:t>
      </w:r>
      <w:r>
        <w:rPr/>
        <w:t>, means the program and co-ordination arrangements for the test including, without limitation:</w:t>
      </w:r>
    </w:p>
    <w:p>
      <w:pPr>
        <w:pStyle w:val="ListParagraph"/>
        <w:numPr>
          <w:ilvl w:val="1"/>
          <w:numId w:val="835"/>
        </w:numPr>
        <w:tabs>
          <w:tab w:pos="1918" w:val="left" w:leader="none"/>
          <w:tab w:pos="1919" w:val="left" w:leader="none"/>
        </w:tabs>
        <w:spacing w:line="240" w:lineRule="auto" w:before="120" w:after="0"/>
        <w:ind w:left="1918" w:right="0" w:hanging="567"/>
        <w:jc w:val="left"/>
        <w:rPr>
          <w:sz w:val="24"/>
        </w:rPr>
      </w:pPr>
      <w:r>
        <w:rPr>
          <w:sz w:val="24"/>
        </w:rPr>
        <w:t>test procedures;</w:t>
      </w:r>
    </w:p>
    <w:p>
      <w:pPr>
        <w:pStyle w:val="ListParagraph"/>
        <w:numPr>
          <w:ilvl w:val="1"/>
          <w:numId w:val="835"/>
        </w:numPr>
        <w:tabs>
          <w:tab w:pos="1918" w:val="left" w:leader="none"/>
          <w:tab w:pos="1919" w:val="left" w:leader="none"/>
        </w:tabs>
        <w:spacing w:line="240" w:lineRule="auto" w:before="120" w:after="0"/>
        <w:ind w:left="1918" w:right="0" w:hanging="567"/>
        <w:jc w:val="left"/>
        <w:rPr>
          <w:sz w:val="24"/>
        </w:rPr>
      </w:pPr>
      <w:r>
        <w:rPr>
          <w:sz w:val="24"/>
        </w:rPr>
        <w:t>the proposed timing of the</w:t>
      </w:r>
      <w:r>
        <w:rPr>
          <w:spacing w:val="-1"/>
          <w:sz w:val="24"/>
        </w:rPr>
        <w:t> </w:t>
      </w:r>
      <w:r>
        <w:rPr>
          <w:sz w:val="24"/>
        </w:rPr>
        <w:t>test;</w:t>
      </w:r>
    </w:p>
    <w:p>
      <w:pPr>
        <w:pStyle w:val="ListParagraph"/>
        <w:numPr>
          <w:ilvl w:val="1"/>
          <w:numId w:val="835"/>
        </w:numPr>
        <w:tabs>
          <w:tab w:pos="1918" w:val="left" w:leader="none"/>
          <w:tab w:pos="1919" w:val="left" w:leader="none"/>
        </w:tabs>
        <w:spacing w:line="240" w:lineRule="auto" w:before="120" w:after="0"/>
        <w:ind w:left="1918" w:right="0" w:hanging="567"/>
        <w:jc w:val="left"/>
        <w:rPr>
          <w:sz w:val="24"/>
        </w:rPr>
      </w:pPr>
      <w:r>
        <w:rPr>
          <w:sz w:val="24"/>
        </w:rPr>
        <w:t>operational procedures to manage </w:t>
      </w:r>
      <w:r>
        <w:rPr>
          <w:i/>
          <w:sz w:val="24"/>
        </w:rPr>
        <w:t>power system security </w:t>
      </w:r>
      <w:r>
        <w:rPr>
          <w:sz w:val="24"/>
        </w:rPr>
        <w:t>during the</w:t>
      </w:r>
      <w:r>
        <w:rPr>
          <w:spacing w:val="-4"/>
          <w:sz w:val="24"/>
        </w:rPr>
        <w:t> </w:t>
      </w:r>
      <w:r>
        <w:rPr>
          <w:sz w:val="24"/>
        </w:rPr>
        <w:t>test;</w:t>
      </w:r>
    </w:p>
    <w:p>
      <w:pPr>
        <w:pStyle w:val="ListParagraph"/>
        <w:numPr>
          <w:ilvl w:val="1"/>
          <w:numId w:val="835"/>
        </w:numPr>
        <w:tabs>
          <w:tab w:pos="1918" w:val="left" w:leader="none"/>
          <w:tab w:pos="1919" w:val="left" w:leader="none"/>
        </w:tabs>
        <w:spacing w:line="240" w:lineRule="auto" w:before="120" w:after="0"/>
        <w:ind w:left="1918" w:right="0" w:hanging="567"/>
        <w:jc w:val="left"/>
        <w:rPr>
          <w:sz w:val="24"/>
        </w:rPr>
      </w:pPr>
      <w:r>
        <w:rPr>
          <w:sz w:val="24"/>
        </w:rPr>
        <w:t>required </w:t>
      </w:r>
      <w:r>
        <w:rPr>
          <w:i/>
          <w:sz w:val="24"/>
        </w:rPr>
        <w:t>power system </w:t>
      </w:r>
      <w:r>
        <w:rPr>
          <w:sz w:val="24"/>
        </w:rPr>
        <w:t>conditions for conducting the</w:t>
      </w:r>
      <w:r>
        <w:rPr>
          <w:spacing w:val="-3"/>
          <w:sz w:val="24"/>
        </w:rPr>
        <w:t> </w:t>
      </w:r>
      <w:r>
        <w:rPr>
          <w:sz w:val="24"/>
        </w:rPr>
        <w:t>test;</w:t>
      </w:r>
    </w:p>
    <w:p>
      <w:pPr>
        <w:pStyle w:val="ListParagraph"/>
        <w:numPr>
          <w:ilvl w:val="1"/>
          <w:numId w:val="835"/>
        </w:numPr>
        <w:tabs>
          <w:tab w:pos="1918" w:val="left" w:leader="none"/>
          <w:tab w:pos="1919" w:val="left" w:leader="none"/>
        </w:tabs>
        <w:spacing w:line="240" w:lineRule="auto" w:before="120" w:after="0"/>
        <w:ind w:left="1919" w:right="416" w:hanging="567"/>
        <w:jc w:val="left"/>
        <w:rPr>
          <w:sz w:val="24"/>
        </w:rPr>
      </w:pPr>
      <w:r>
        <w:rPr>
          <w:sz w:val="24"/>
        </w:rPr>
        <w:t>test facilitation services including, as necessary, </w:t>
      </w:r>
      <w:r>
        <w:rPr>
          <w:i/>
          <w:sz w:val="24"/>
        </w:rPr>
        <w:t>ancillary services </w:t>
      </w:r>
      <w:r>
        <w:rPr>
          <w:sz w:val="24"/>
        </w:rPr>
        <w:t>required to achieve those </w:t>
      </w:r>
      <w:r>
        <w:rPr>
          <w:i/>
          <w:sz w:val="24"/>
        </w:rPr>
        <w:t>power system</w:t>
      </w:r>
      <w:r>
        <w:rPr>
          <w:i/>
          <w:spacing w:val="-2"/>
          <w:sz w:val="24"/>
        </w:rPr>
        <w:t> </w:t>
      </w:r>
      <w:r>
        <w:rPr>
          <w:sz w:val="24"/>
        </w:rPr>
        <w:t>conditions;</w:t>
      </w:r>
    </w:p>
    <w:p>
      <w:pPr>
        <w:pStyle w:val="ListParagraph"/>
        <w:numPr>
          <w:ilvl w:val="1"/>
          <w:numId w:val="835"/>
        </w:numPr>
        <w:tabs>
          <w:tab w:pos="1918" w:val="left" w:leader="none"/>
          <w:tab w:pos="1919" w:val="left" w:leader="none"/>
        </w:tabs>
        <w:spacing w:line="240" w:lineRule="auto" w:before="120" w:after="0"/>
        <w:ind w:left="1919" w:right="414" w:hanging="567"/>
        <w:jc w:val="left"/>
        <w:rPr>
          <w:sz w:val="24"/>
        </w:rPr>
      </w:pPr>
      <w:r>
        <w:rPr>
          <w:sz w:val="24"/>
        </w:rPr>
        <w:t>criteria for continuing or concluding a test and the decision-making process relevant to the test;</w:t>
      </w:r>
      <w:r>
        <w:rPr>
          <w:spacing w:val="-1"/>
          <w:sz w:val="24"/>
        </w:rPr>
        <w:t> </w:t>
      </w:r>
      <w:r>
        <w:rPr>
          <w:sz w:val="24"/>
        </w:rPr>
        <w:t>and</w:t>
      </w:r>
    </w:p>
    <w:p>
      <w:pPr>
        <w:pStyle w:val="ListParagraph"/>
        <w:numPr>
          <w:ilvl w:val="1"/>
          <w:numId w:val="835"/>
        </w:numPr>
        <w:tabs>
          <w:tab w:pos="1918" w:val="left" w:leader="none"/>
          <w:tab w:pos="1919" w:val="left" w:leader="none"/>
        </w:tabs>
        <w:spacing w:line="240" w:lineRule="auto" w:before="120" w:after="0"/>
        <w:ind w:left="1918" w:right="0" w:hanging="567"/>
        <w:jc w:val="left"/>
        <w:rPr>
          <w:sz w:val="24"/>
        </w:rPr>
      </w:pPr>
      <w:r>
        <w:rPr>
          <w:sz w:val="24"/>
        </w:rPr>
        <w:t>contingency</w:t>
      </w:r>
      <w:r>
        <w:rPr>
          <w:spacing w:val="-1"/>
          <w:sz w:val="24"/>
        </w:rPr>
        <w:t> </w:t>
      </w:r>
      <w:r>
        <w:rPr>
          <w:sz w:val="24"/>
        </w:rPr>
        <w:t>arrangements.</w:t>
      </w:r>
    </w:p>
    <w:p>
      <w:pPr>
        <w:pStyle w:val="Heading5"/>
        <w:jc w:val="left"/>
        <w:rPr>
          <w:i/>
        </w:rPr>
      </w:pPr>
      <w:r>
        <w:rPr>
          <w:i/>
        </w:rPr>
        <w:t>Third Party B2B Participant</w:t>
      </w:r>
    </w:p>
    <w:p>
      <w:pPr>
        <w:spacing w:before="120"/>
        <w:ind w:left="1352" w:right="415" w:firstLine="0"/>
        <w:jc w:val="both"/>
        <w:rPr>
          <w:sz w:val="24"/>
        </w:rPr>
      </w:pPr>
      <w:r>
        <w:rPr>
          <w:sz w:val="24"/>
        </w:rPr>
        <w:t>A </w:t>
      </w:r>
      <w:r>
        <w:rPr>
          <w:i/>
          <w:sz w:val="24"/>
        </w:rPr>
        <w:t>B2B e-Hub Participant </w:t>
      </w:r>
      <w:r>
        <w:rPr>
          <w:sz w:val="24"/>
        </w:rPr>
        <w:t>who is not also a </w:t>
      </w:r>
      <w:r>
        <w:rPr>
          <w:i/>
          <w:sz w:val="24"/>
        </w:rPr>
        <w:t>Distribution Network Service </w:t>
      </w:r>
      <w:r>
        <w:rPr>
          <w:i/>
          <w:sz w:val="24"/>
        </w:rPr>
        <w:t>Provider</w:t>
      </w:r>
      <w:r>
        <w:rPr>
          <w:sz w:val="24"/>
        </w:rPr>
        <w:t>, </w:t>
      </w:r>
      <w:r>
        <w:rPr>
          <w:i/>
          <w:sz w:val="24"/>
        </w:rPr>
        <w:t>retailer</w:t>
      </w:r>
      <w:r>
        <w:rPr>
          <w:sz w:val="24"/>
        </w:rPr>
        <w:t>, </w:t>
      </w:r>
      <w:r>
        <w:rPr>
          <w:i/>
          <w:sz w:val="24"/>
        </w:rPr>
        <w:t>Local Retailer</w:t>
      </w:r>
      <w:r>
        <w:rPr>
          <w:sz w:val="24"/>
        </w:rPr>
        <w:t>, </w:t>
      </w:r>
      <w:r>
        <w:rPr>
          <w:i/>
          <w:sz w:val="24"/>
        </w:rPr>
        <w:t>Metering Coordinator</w:t>
      </w:r>
      <w:r>
        <w:rPr>
          <w:sz w:val="24"/>
        </w:rPr>
        <w:t>, </w:t>
      </w:r>
      <w:r>
        <w:rPr>
          <w:i/>
          <w:sz w:val="24"/>
        </w:rPr>
        <w:t>Metering Provider </w:t>
      </w:r>
      <w:r>
        <w:rPr>
          <w:sz w:val="24"/>
        </w:rPr>
        <w:t>or </w:t>
      </w:r>
      <w:r>
        <w:rPr>
          <w:i/>
          <w:sz w:val="24"/>
        </w:rPr>
        <w:t>Metering Data</w:t>
      </w:r>
      <w:r>
        <w:rPr>
          <w:i/>
          <w:spacing w:val="-2"/>
          <w:sz w:val="24"/>
        </w:rPr>
        <w:t> </w:t>
      </w:r>
      <w:r>
        <w:rPr>
          <w:i/>
          <w:sz w:val="24"/>
        </w:rPr>
        <w:t>Provider</w:t>
      </w:r>
      <w:r>
        <w:rPr>
          <w:sz w:val="24"/>
        </w:rPr>
        <w:t>.</w:t>
      </w:r>
    </w:p>
    <w:p>
      <w:pPr>
        <w:pStyle w:val="Heading5"/>
        <w:rPr>
          <w:i/>
        </w:rPr>
      </w:pPr>
      <w:r>
        <w:rPr>
          <w:i/>
        </w:rPr>
        <w:t>Third Party B2B Participant Member</w:t>
      </w:r>
    </w:p>
    <w:p>
      <w:pPr>
        <w:spacing w:before="120"/>
        <w:ind w:left="1352" w:right="415" w:firstLine="0"/>
        <w:jc w:val="both"/>
        <w:rPr>
          <w:sz w:val="24"/>
        </w:rPr>
      </w:pPr>
      <w:r>
        <w:rPr>
          <w:sz w:val="24"/>
        </w:rPr>
        <w:t>A person who is nominated and elected as a </w:t>
      </w:r>
      <w:r>
        <w:rPr>
          <w:i/>
          <w:sz w:val="24"/>
        </w:rPr>
        <w:t>Member </w:t>
      </w:r>
      <w:r>
        <w:rPr>
          <w:sz w:val="24"/>
        </w:rPr>
        <w:t>by </w:t>
      </w:r>
      <w:r>
        <w:rPr>
          <w:i/>
          <w:sz w:val="24"/>
        </w:rPr>
        <w:t>Third Party B2B </w:t>
      </w:r>
      <w:r>
        <w:rPr>
          <w:i/>
          <w:sz w:val="24"/>
        </w:rPr>
        <w:t>Participants </w:t>
      </w:r>
      <w:r>
        <w:rPr>
          <w:sz w:val="24"/>
        </w:rPr>
        <w:t>to represent </w:t>
      </w:r>
      <w:r>
        <w:rPr>
          <w:i/>
          <w:sz w:val="24"/>
        </w:rPr>
        <w:t>Third Party B2B Participants </w:t>
      </w:r>
      <w:r>
        <w:rPr>
          <w:sz w:val="24"/>
        </w:rPr>
        <w:t>in accordance with the </w:t>
      </w:r>
      <w:r>
        <w:rPr>
          <w:i/>
          <w:sz w:val="24"/>
        </w:rPr>
        <w:t>Rules </w:t>
      </w:r>
      <w:r>
        <w:rPr>
          <w:sz w:val="24"/>
        </w:rPr>
        <w:t>(including clause 7.17.10(h)) and the </w:t>
      </w:r>
      <w:r>
        <w:rPr>
          <w:i/>
          <w:sz w:val="24"/>
        </w:rPr>
        <w:t>Information Exchange Committee </w:t>
      </w:r>
      <w:r>
        <w:rPr>
          <w:i/>
          <w:sz w:val="24"/>
        </w:rPr>
        <w:t>Election Procedures</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third party DCA</w:t>
      </w:r>
    </w:p>
    <w:p>
      <w:pPr>
        <w:spacing w:before="120"/>
        <w:ind w:left="1352" w:right="415" w:firstLine="0"/>
        <w:jc w:val="both"/>
        <w:rPr>
          <w:sz w:val="24"/>
        </w:rPr>
      </w:pPr>
      <w:r>
        <w:rPr>
          <w:sz w:val="24"/>
        </w:rPr>
        <w:t>A </w:t>
      </w:r>
      <w:r>
        <w:rPr>
          <w:i/>
          <w:sz w:val="24"/>
        </w:rPr>
        <w:t>dedicated connection asset </w:t>
      </w:r>
      <w:r>
        <w:rPr>
          <w:sz w:val="24"/>
        </w:rPr>
        <w:t>for which a person other than the </w:t>
      </w:r>
      <w:r>
        <w:rPr>
          <w:i/>
          <w:sz w:val="24"/>
        </w:rPr>
        <w:t>Primary </w:t>
      </w:r>
      <w:r>
        <w:rPr>
          <w:i/>
          <w:sz w:val="24"/>
        </w:rPr>
        <w:t>Transmission Network Service Provider </w:t>
      </w:r>
      <w:r>
        <w:rPr>
          <w:sz w:val="24"/>
        </w:rPr>
        <w:t>is registered under Chapter 2.</w:t>
      </w:r>
    </w:p>
    <w:p>
      <w:pPr>
        <w:pStyle w:val="Heading5"/>
        <w:rPr>
          <w:i/>
        </w:rPr>
      </w:pPr>
      <w:r>
        <w:rPr>
          <w:i/>
        </w:rPr>
        <w:t>third party IUSA</w:t>
      </w:r>
    </w:p>
    <w:p>
      <w:pPr>
        <w:spacing w:before="120"/>
        <w:ind w:left="1352" w:right="415" w:firstLine="0"/>
        <w:jc w:val="both"/>
        <w:rPr>
          <w:sz w:val="24"/>
        </w:rPr>
      </w:pPr>
      <w:r>
        <w:rPr>
          <w:sz w:val="24"/>
        </w:rPr>
        <w:t>Those </w:t>
      </w:r>
      <w:r>
        <w:rPr>
          <w:i/>
          <w:sz w:val="24"/>
        </w:rPr>
        <w:t>contestable IUSA components </w:t>
      </w:r>
      <w:r>
        <w:rPr>
          <w:sz w:val="24"/>
        </w:rPr>
        <w:t>of an </w:t>
      </w:r>
      <w:r>
        <w:rPr>
          <w:i/>
          <w:sz w:val="24"/>
        </w:rPr>
        <w:t>identified user shared asset </w:t>
      </w:r>
      <w:r>
        <w:rPr>
          <w:sz w:val="24"/>
        </w:rPr>
        <w:t>that are not, or will not be, owned or leased by the </w:t>
      </w:r>
      <w:r>
        <w:rPr>
          <w:i/>
          <w:sz w:val="24"/>
        </w:rPr>
        <w:t>Primary Transmission Network Service </w:t>
      </w:r>
      <w:r>
        <w:rPr>
          <w:i/>
          <w:sz w:val="24"/>
        </w:rPr>
        <w:t>Provider</w:t>
      </w:r>
      <w:r>
        <w:rPr>
          <w:sz w:val="24"/>
        </w:rPr>
        <w:t>.</w:t>
      </w:r>
    </w:p>
    <w:p>
      <w:pPr>
        <w:pStyle w:val="Heading5"/>
        <w:rPr>
          <w:i/>
        </w:rPr>
      </w:pPr>
      <w:r>
        <w:rPr>
          <w:i/>
        </w:rPr>
        <w:t>three phase fault level</w:t>
      </w:r>
    </w:p>
    <w:p>
      <w:pPr>
        <w:pStyle w:val="BodyText"/>
        <w:ind w:left="1352" w:right="415" w:firstLine="0"/>
      </w:pPr>
      <w:r>
        <w:rPr/>
        <w:t>Measured in MVA at a location on a </w:t>
      </w:r>
      <w:r>
        <w:rPr>
          <w:i/>
        </w:rPr>
        <w:t>transmission network </w:t>
      </w:r>
      <w:r>
        <w:rPr/>
        <w:t>or a</w:t>
      </w:r>
      <w:r>
        <w:rPr>
          <w:spacing w:val="25"/>
        </w:rPr>
        <w:t> </w:t>
      </w:r>
      <w:r>
        <w:rPr>
          <w:i/>
        </w:rPr>
        <w:t>distribution </w:t>
      </w:r>
      <w:r>
        <w:rPr>
          <w:i/>
        </w:rPr>
        <w:t>network</w:t>
      </w:r>
      <w:r>
        <w:rPr/>
        <w:t>, the product of the pre-fault </w:t>
      </w:r>
      <w:r>
        <w:rPr>
          <w:i/>
        </w:rPr>
        <w:t>nominal voltage </w:t>
      </w:r>
      <w:r>
        <w:rPr/>
        <w:t>(measured in kV between </w:t>
      </w:r>
      <w:r>
        <w:rPr>
          <w:spacing w:val="-12"/>
        </w:rPr>
        <w:t>a </w:t>
      </w:r>
      <w:r>
        <w:rPr/>
        <w:t>pair of phases), the fault current in each phase for a three phase fault at the location (measured in kA), and the square root of</w:t>
      </w:r>
      <w:r>
        <w:rPr>
          <w:spacing w:val="-3"/>
        </w:rPr>
        <w:t> </w:t>
      </w:r>
      <w:r>
        <w:rPr/>
        <w:t>3.</w:t>
      </w:r>
    </w:p>
    <w:p>
      <w:pPr>
        <w:spacing w:after="0"/>
        <w:sectPr>
          <w:pgSz w:w="11910" w:h="16840"/>
          <w:pgMar w:header="686" w:footer="637" w:top="1320" w:bottom="820" w:left="1200" w:right="1000"/>
        </w:sectPr>
      </w:pPr>
    </w:p>
    <w:p>
      <w:pPr>
        <w:pStyle w:val="Heading5"/>
        <w:spacing w:line="688" w:lineRule="auto"/>
        <w:ind w:right="626"/>
        <w:jc w:val="left"/>
      </w:pPr>
      <w:r>
        <w:rPr>
          <w:i/>
        </w:rPr>
        <w:t>tie </w:t>
      </w:r>
      <w:r>
        <w:rPr/>
        <w:t>time</w:t>
      </w:r>
    </w:p>
    <w:p>
      <w:pPr>
        <w:spacing w:before="0"/>
        <w:ind w:left="218" w:right="0" w:firstLine="0"/>
        <w:jc w:val="left"/>
        <w:rPr>
          <w:b/>
          <w:i/>
          <w:sz w:val="24"/>
        </w:rPr>
      </w:pPr>
      <w:r>
        <w:rPr>
          <w:b/>
          <w:i/>
          <w:sz w:val="24"/>
        </w:rPr>
        <w:t>time </w:t>
      </w:r>
      <w:r>
        <w:rPr>
          <w:b/>
          <w:i/>
          <w:spacing w:val="-4"/>
          <w:sz w:val="24"/>
        </w:rPr>
        <w:t>stamp</w:t>
      </w:r>
    </w:p>
    <w:p>
      <w:pPr>
        <w:pStyle w:val="BodyText"/>
        <w:spacing w:before="0"/>
        <w:ind w:firstLine="0"/>
        <w:jc w:val="left"/>
        <w:rPr>
          <w:b/>
          <w:i/>
          <w:sz w:val="26"/>
        </w:rPr>
      </w:pPr>
    </w:p>
    <w:p>
      <w:pPr>
        <w:pStyle w:val="BodyText"/>
        <w:spacing w:before="0"/>
        <w:ind w:firstLine="0"/>
        <w:jc w:val="left"/>
        <w:rPr>
          <w:b/>
          <w:i/>
          <w:sz w:val="26"/>
        </w:rPr>
      </w:pPr>
    </w:p>
    <w:p>
      <w:pPr>
        <w:spacing w:before="194"/>
        <w:ind w:left="218" w:right="0" w:firstLine="0"/>
        <w:jc w:val="left"/>
        <w:rPr>
          <w:b/>
          <w:i/>
          <w:sz w:val="24"/>
        </w:rPr>
      </w:pPr>
      <w:r>
        <w:rPr>
          <w:b/>
          <w:i/>
          <w:sz w:val="24"/>
        </w:rPr>
        <w:t>timetable</w:t>
      </w:r>
    </w:p>
    <w:p>
      <w:pPr>
        <w:pStyle w:val="BodyText"/>
        <w:spacing w:before="0"/>
        <w:ind w:firstLine="0"/>
        <w:jc w:val="left"/>
        <w:rPr>
          <w:b/>
          <w:i/>
          <w:sz w:val="26"/>
        </w:rPr>
      </w:pPr>
      <w:r>
        <w:rPr/>
        <w:br w:type="column"/>
      </w:r>
      <w:r>
        <w:rPr>
          <w:b/>
          <w:i/>
          <w:sz w:val="26"/>
        </w:rPr>
      </w:r>
    </w:p>
    <w:p>
      <w:pPr>
        <w:spacing w:line="688" w:lineRule="auto" w:before="217"/>
        <w:ind w:left="21" w:right="3518" w:firstLine="0"/>
        <w:jc w:val="left"/>
        <w:rPr>
          <w:sz w:val="24"/>
        </w:rPr>
      </w:pPr>
      <w:r>
        <w:rPr>
          <w:sz w:val="24"/>
        </w:rPr>
        <w:t>Identically priced </w:t>
      </w:r>
      <w:r>
        <w:rPr>
          <w:i/>
          <w:sz w:val="24"/>
        </w:rPr>
        <w:t>dispatch bids </w:t>
      </w:r>
      <w:r>
        <w:rPr>
          <w:sz w:val="24"/>
        </w:rPr>
        <w:t>or </w:t>
      </w:r>
      <w:r>
        <w:rPr>
          <w:i/>
          <w:sz w:val="24"/>
        </w:rPr>
        <w:t>dispatch offers</w:t>
      </w:r>
      <w:r>
        <w:rPr>
          <w:sz w:val="24"/>
        </w:rPr>
        <w:t>. </w:t>
      </w:r>
      <w:r>
        <w:rPr>
          <w:i/>
          <w:sz w:val="24"/>
        </w:rPr>
        <w:t>Australian Central Standard Time</w:t>
      </w:r>
      <w:r>
        <w:rPr>
          <w:sz w:val="24"/>
        </w:rPr>
        <w:t>.</w:t>
      </w:r>
    </w:p>
    <w:p>
      <w:pPr>
        <w:pStyle w:val="BodyText"/>
        <w:spacing w:before="0"/>
        <w:ind w:left="21" w:right="415" w:firstLine="0"/>
        <w:jc w:val="left"/>
      </w:pPr>
      <w:r>
        <w:rPr/>
        <w:t>The means of identifying the </w:t>
      </w:r>
      <w:r>
        <w:rPr>
          <w:i/>
        </w:rPr>
        <w:t>time </w:t>
      </w:r>
      <w:r>
        <w:rPr/>
        <w:t>and date at which data is transmitted or received.</w:t>
      </w:r>
    </w:p>
    <w:p>
      <w:pPr>
        <w:pStyle w:val="BodyText"/>
        <w:spacing w:before="0"/>
        <w:ind w:firstLine="0"/>
        <w:jc w:val="left"/>
        <w:rPr>
          <w:sz w:val="26"/>
        </w:rPr>
      </w:pPr>
    </w:p>
    <w:p>
      <w:pPr>
        <w:pStyle w:val="BodyText"/>
        <w:spacing w:before="217"/>
        <w:ind w:left="21" w:right="415" w:firstLine="0"/>
        <w:jc w:val="left"/>
      </w:pPr>
      <w:r>
        <w:rPr/>
        <w:t>The timetable published by </w:t>
      </w:r>
      <w:r>
        <w:rPr>
          <w:i/>
        </w:rPr>
        <w:t>AEMO </w:t>
      </w:r>
      <w:r>
        <w:rPr/>
        <w:t>under clause 3.4.3 for the operation of the </w:t>
      </w:r>
      <w:r>
        <w:rPr>
          <w:i/>
        </w:rPr>
        <w:t>spot </w:t>
      </w:r>
      <w:r>
        <w:rPr>
          <w:i/>
        </w:rPr>
        <w:t>market </w:t>
      </w:r>
      <w:r>
        <w:rPr/>
        <w:t>and the provision of </w:t>
      </w:r>
      <w:r>
        <w:rPr>
          <w:i/>
        </w:rPr>
        <w:t>market </w:t>
      </w:r>
      <w:r>
        <w:rPr/>
        <w:t>information.</w:t>
      </w:r>
    </w:p>
    <w:p>
      <w:pPr>
        <w:spacing w:after="0"/>
        <w:jc w:val="left"/>
        <w:sectPr>
          <w:type w:val="continuous"/>
          <w:pgSz w:w="11910" w:h="16840"/>
          <w:pgMar w:top="1360" w:bottom="280" w:left="1200" w:right="1000"/>
          <w:cols w:num="2" w:equalWidth="0">
            <w:col w:w="1291" w:space="40"/>
            <w:col w:w="8379"/>
          </w:cols>
        </w:sectPr>
      </w:pPr>
    </w:p>
    <w:p>
      <w:pPr>
        <w:pStyle w:val="Heading5"/>
        <w:rPr>
          <w:i/>
        </w:rPr>
      </w:pPr>
      <w:r>
        <w:rPr>
          <w:i/>
        </w:rPr>
        <w:t>total revenue cap</w:t>
      </w:r>
    </w:p>
    <w:p>
      <w:pPr>
        <w:spacing w:before="120"/>
        <w:ind w:left="1352" w:right="416" w:firstLine="0"/>
        <w:jc w:val="both"/>
        <w:rPr>
          <w:sz w:val="24"/>
        </w:rPr>
      </w:pPr>
      <w:r>
        <w:rPr>
          <w:sz w:val="24"/>
        </w:rPr>
        <w:t>For a </w:t>
      </w:r>
      <w:r>
        <w:rPr>
          <w:i/>
          <w:sz w:val="24"/>
        </w:rPr>
        <w:t>Transmission Network Service Provider </w:t>
      </w:r>
      <w:r>
        <w:rPr>
          <w:sz w:val="24"/>
        </w:rPr>
        <w:t>for a </w:t>
      </w:r>
      <w:r>
        <w:rPr>
          <w:i/>
          <w:sz w:val="24"/>
        </w:rPr>
        <w:t>regulatory control period</w:t>
      </w:r>
      <w:r>
        <w:rPr>
          <w:sz w:val="24"/>
        </w:rPr>
        <w:t>, the sum of the </w:t>
      </w:r>
      <w:r>
        <w:rPr>
          <w:i/>
          <w:sz w:val="24"/>
        </w:rPr>
        <w:t>maximum allowed revenues </w:t>
      </w:r>
      <w:r>
        <w:rPr>
          <w:sz w:val="24"/>
        </w:rPr>
        <w:t>for that provider for each </w:t>
      </w:r>
      <w:r>
        <w:rPr>
          <w:i/>
          <w:sz w:val="24"/>
        </w:rPr>
        <w:t>regulatory year </w:t>
      </w:r>
      <w:r>
        <w:rPr>
          <w:sz w:val="24"/>
        </w:rPr>
        <w:t>of that </w:t>
      </w:r>
      <w:r>
        <w:rPr>
          <w:i/>
          <w:sz w:val="24"/>
        </w:rPr>
        <w:t>regulatory control period </w:t>
      </w:r>
      <w:r>
        <w:rPr>
          <w:sz w:val="24"/>
        </w:rPr>
        <w:t>as calculated in accordance with clause 6A.5.3 and set out in a </w:t>
      </w:r>
      <w:r>
        <w:rPr>
          <w:i/>
          <w:sz w:val="24"/>
        </w:rPr>
        <w:t>revenue determination</w:t>
      </w:r>
      <w:r>
        <w:rPr>
          <w:sz w:val="24"/>
        </w:rPr>
        <w:t>.</w:t>
      </w:r>
    </w:p>
    <w:p>
      <w:pPr>
        <w:pStyle w:val="Heading5"/>
        <w:rPr>
          <w:i/>
        </w:rPr>
      </w:pPr>
      <w:r>
        <w:rPr>
          <w:i/>
        </w:rPr>
        <w:t>total revenue requirement</w:t>
      </w:r>
    </w:p>
    <w:p>
      <w:pPr>
        <w:spacing w:before="120"/>
        <w:ind w:left="1352" w:right="416" w:firstLine="0"/>
        <w:jc w:val="both"/>
        <w:rPr>
          <w:sz w:val="24"/>
        </w:rPr>
      </w:pPr>
      <w:r>
        <w:rPr>
          <w:sz w:val="24"/>
        </w:rPr>
        <w:t>For a </w:t>
      </w:r>
      <w:r>
        <w:rPr>
          <w:i/>
          <w:sz w:val="24"/>
        </w:rPr>
        <w:t>Distribution Network Service Provider</w:t>
      </w:r>
      <w:r>
        <w:rPr>
          <w:sz w:val="24"/>
        </w:rPr>
        <w:t>, an amount representing revenue calculated for the whole of a </w:t>
      </w:r>
      <w:r>
        <w:rPr>
          <w:i/>
          <w:sz w:val="24"/>
        </w:rPr>
        <w:t>regulatory control period </w:t>
      </w:r>
      <w:r>
        <w:rPr>
          <w:sz w:val="24"/>
        </w:rPr>
        <w:t>in accordance with Part C of Chapter 6.</w:t>
      </w:r>
    </w:p>
    <w:p>
      <w:pPr>
        <w:pStyle w:val="Heading5"/>
        <w:jc w:val="left"/>
        <w:rPr>
          <w:i/>
        </w:rPr>
      </w:pPr>
      <w:r>
        <w:rPr>
          <w:i/>
        </w:rPr>
        <w:t>Trader</w:t>
      </w:r>
    </w:p>
    <w:p>
      <w:pPr>
        <w:pStyle w:val="BodyText"/>
        <w:ind w:left="1352" w:firstLine="0"/>
        <w:jc w:val="left"/>
      </w:pPr>
      <w:r>
        <w:rPr/>
        <w:t>A person who is registered by </w:t>
      </w:r>
      <w:r>
        <w:rPr>
          <w:i/>
        </w:rPr>
        <w:t>AEMO </w:t>
      </w:r>
      <w:r>
        <w:rPr/>
        <w:t>as a </w:t>
      </w:r>
      <w:r>
        <w:rPr>
          <w:i/>
        </w:rPr>
        <w:t>Trader </w:t>
      </w:r>
      <w:r>
        <w:rPr/>
        <w:t>under Chapter 2.</w:t>
      </w:r>
    </w:p>
    <w:p>
      <w:pPr>
        <w:pStyle w:val="Heading5"/>
        <w:jc w:val="left"/>
        <w:rPr>
          <w:i/>
        </w:rPr>
      </w:pPr>
      <w:r>
        <w:rPr>
          <w:i/>
        </w:rPr>
        <w:t>trading amount</w:t>
      </w:r>
    </w:p>
    <w:p>
      <w:pPr>
        <w:pStyle w:val="BodyText"/>
        <w:ind w:left="1352" w:firstLine="0"/>
        <w:jc w:val="left"/>
      </w:pPr>
      <w:r>
        <w:rPr/>
        <w:t>The positive or negative dollar amount resulting from a </w:t>
      </w:r>
      <w:r>
        <w:rPr>
          <w:i/>
        </w:rPr>
        <w:t>transaction</w:t>
      </w:r>
      <w:r>
        <w:rPr/>
        <w:t>, determined pursuant to clauses 3.15.6, 3.15.6A or 3.15.11.</w:t>
      </w:r>
    </w:p>
    <w:p>
      <w:pPr>
        <w:spacing w:after="0"/>
        <w:jc w:val="left"/>
        <w:sectPr>
          <w:type w:val="continuous"/>
          <w:pgSz w:w="11910" w:h="16840"/>
          <w:pgMar w:top="1360" w:bottom="280" w:left="1200" w:right="1000"/>
        </w:sectPr>
      </w:pPr>
    </w:p>
    <w:p>
      <w:pPr>
        <w:pStyle w:val="Heading5"/>
        <w:jc w:val="left"/>
        <w:rPr>
          <w:i/>
        </w:rPr>
      </w:pPr>
      <w:r>
        <w:rPr>
          <w:i/>
        </w:rPr>
        <w:t>trading day</w:t>
      </w:r>
    </w:p>
    <w:p>
      <w:pPr>
        <w:pStyle w:val="BodyText"/>
        <w:spacing w:before="0"/>
        <w:ind w:firstLine="0"/>
        <w:jc w:val="left"/>
        <w:rPr>
          <w:b/>
          <w:i/>
          <w:sz w:val="26"/>
        </w:rPr>
      </w:pPr>
      <w:r>
        <w:rPr/>
        <w:br w:type="column"/>
      </w:r>
      <w:r>
        <w:rPr>
          <w:b/>
          <w:i/>
          <w:sz w:val="26"/>
        </w:rPr>
      </w:r>
    </w:p>
    <w:p>
      <w:pPr>
        <w:pStyle w:val="BodyText"/>
        <w:spacing w:before="217"/>
        <w:ind w:left="-34" w:right="400" w:firstLine="0"/>
        <w:jc w:val="left"/>
      </w:pPr>
      <w:r>
        <w:rPr/>
        <w:t>The 24 hour period commencing at 4.00 am and finishing at 4.00 am on the following </w:t>
      </w:r>
      <w:r>
        <w:rPr>
          <w:i/>
        </w:rPr>
        <w:t>day</w:t>
      </w:r>
      <w:r>
        <w:rPr/>
        <w:t>.</w:t>
      </w:r>
    </w:p>
    <w:p>
      <w:pPr>
        <w:spacing w:after="0"/>
        <w:jc w:val="left"/>
        <w:sectPr>
          <w:type w:val="continuous"/>
          <w:pgSz w:w="11910" w:h="16840"/>
          <w:pgMar w:top="1360" w:bottom="280" w:left="1200" w:right="1000"/>
          <w:cols w:num="2" w:equalWidth="0">
            <w:col w:w="1346" w:space="40"/>
            <w:col w:w="8324"/>
          </w:cols>
        </w:sectPr>
      </w:pPr>
    </w:p>
    <w:p>
      <w:pPr>
        <w:pStyle w:val="Heading5"/>
        <w:spacing w:before="83"/>
        <w:jc w:val="left"/>
        <w:rPr>
          <w:i/>
        </w:rPr>
      </w:pPr>
      <w:r>
        <w:rPr>
          <w:i/>
        </w:rPr>
        <w:t>trading interval</w:t>
      </w:r>
    </w:p>
    <w:p>
      <w:pPr>
        <w:pStyle w:val="BodyText"/>
        <w:ind w:left="1352" w:right="415" w:firstLine="0"/>
        <w:jc w:val="left"/>
      </w:pPr>
      <w:r>
        <w:rPr/>
        <w:t>A 30 minute period ending on the hour </w:t>
      </w:r>
      <w:r>
        <w:rPr>
          <w:i/>
        </w:rPr>
        <w:t>EST </w:t>
      </w:r>
      <w:r>
        <w:rPr/>
        <w:t>or on the half hour and, where identified by a time, means the 30 minute period ending at that time.</w:t>
      </w:r>
    </w:p>
    <w:p>
      <w:pPr>
        <w:pStyle w:val="Heading5"/>
        <w:jc w:val="left"/>
        <w:rPr>
          <w:i/>
        </w:rPr>
      </w:pPr>
      <w:r>
        <w:rPr>
          <w:i/>
        </w:rPr>
        <w:t>trading limit</w:t>
      </w:r>
    </w:p>
    <w:p>
      <w:pPr>
        <w:spacing w:before="120"/>
        <w:ind w:left="1352" w:right="0" w:firstLine="0"/>
        <w:jc w:val="left"/>
        <w:rPr>
          <w:sz w:val="24"/>
        </w:rPr>
      </w:pPr>
      <w:r>
        <w:rPr>
          <w:sz w:val="24"/>
        </w:rPr>
        <w:t>A dollar amount for a </w:t>
      </w:r>
      <w:r>
        <w:rPr>
          <w:i/>
          <w:sz w:val="24"/>
        </w:rPr>
        <w:t>Market Participant</w:t>
      </w:r>
      <w:r>
        <w:rPr>
          <w:sz w:val="24"/>
        </w:rPr>
        <w:t>, determined pursuant to clause 3.3.10.</w:t>
      </w:r>
    </w:p>
    <w:p>
      <w:pPr>
        <w:pStyle w:val="Heading5"/>
        <w:jc w:val="left"/>
        <w:rPr>
          <w:i/>
        </w:rPr>
      </w:pPr>
      <w:r>
        <w:rPr>
          <w:i/>
        </w:rPr>
        <w:t>trading margin</w:t>
      </w:r>
    </w:p>
    <w:p>
      <w:pPr>
        <w:pStyle w:val="BodyText"/>
        <w:ind w:left="1352" w:firstLine="0"/>
        <w:jc w:val="left"/>
      </w:pPr>
      <w:r>
        <w:rPr/>
        <w:t>Has the meaning given in clause 3.3.15.</w:t>
      </w:r>
    </w:p>
    <w:p>
      <w:pPr>
        <w:spacing w:after="0"/>
        <w:jc w:val="left"/>
        <w:sectPr>
          <w:pgSz w:w="11910" w:h="16840"/>
          <w:pgMar w:header="686" w:footer="637" w:top="1320" w:bottom="820" w:left="1200" w:right="1000"/>
        </w:sectPr>
      </w:pPr>
    </w:p>
    <w:p>
      <w:pPr>
        <w:pStyle w:val="Heading5"/>
        <w:jc w:val="left"/>
        <w:rPr>
          <w:i/>
        </w:rPr>
      </w:pPr>
      <w:r>
        <w:rPr>
          <w:i/>
        </w:rPr>
        <w:t>transaction</w:t>
      </w:r>
    </w:p>
    <w:p>
      <w:pPr>
        <w:pStyle w:val="BodyText"/>
        <w:spacing w:before="0"/>
        <w:ind w:firstLine="0"/>
        <w:jc w:val="left"/>
        <w:rPr>
          <w:b/>
          <w:i/>
          <w:sz w:val="26"/>
        </w:rPr>
      </w:pPr>
      <w:r>
        <w:rPr/>
        <w:br w:type="column"/>
      </w:r>
      <w:r>
        <w:rPr>
          <w:b/>
          <w:i/>
          <w:sz w:val="26"/>
        </w:rPr>
      </w:r>
    </w:p>
    <w:p>
      <w:pPr>
        <w:spacing w:before="217"/>
        <w:ind w:left="-28" w:right="292" w:firstLine="0"/>
        <w:jc w:val="left"/>
        <w:rPr>
          <w:sz w:val="24"/>
        </w:rPr>
      </w:pPr>
      <w:r>
        <w:rPr>
          <w:sz w:val="24"/>
        </w:rPr>
        <w:t>A </w:t>
      </w:r>
      <w:r>
        <w:rPr>
          <w:i/>
          <w:sz w:val="24"/>
        </w:rPr>
        <w:t>spot market transaction</w:t>
      </w:r>
      <w:r>
        <w:rPr>
          <w:sz w:val="24"/>
        </w:rPr>
        <w:t>, </w:t>
      </w:r>
      <w:r>
        <w:rPr>
          <w:i/>
          <w:sz w:val="24"/>
        </w:rPr>
        <w:t>reallocation transaction </w:t>
      </w:r>
      <w:r>
        <w:rPr>
          <w:sz w:val="24"/>
        </w:rPr>
        <w:t>or any other transaction either in the </w:t>
      </w:r>
      <w:r>
        <w:rPr>
          <w:i/>
          <w:sz w:val="24"/>
        </w:rPr>
        <w:t>market </w:t>
      </w:r>
      <w:r>
        <w:rPr>
          <w:sz w:val="24"/>
        </w:rPr>
        <w:t>or to which </w:t>
      </w:r>
      <w:r>
        <w:rPr>
          <w:i/>
          <w:sz w:val="24"/>
        </w:rPr>
        <w:t>AEMO </w:t>
      </w:r>
      <w:r>
        <w:rPr>
          <w:sz w:val="24"/>
        </w:rPr>
        <w:t>is a party.</w:t>
      </w:r>
    </w:p>
    <w:p>
      <w:pPr>
        <w:spacing w:after="0"/>
        <w:jc w:val="left"/>
        <w:rPr>
          <w:sz w:val="24"/>
        </w:rPr>
        <w:sectPr>
          <w:type w:val="continuous"/>
          <w:pgSz w:w="11910" w:h="16840"/>
          <w:pgMar w:top="1360" w:bottom="280" w:left="1200" w:right="1000"/>
          <w:cols w:num="2" w:equalWidth="0">
            <w:col w:w="1340" w:space="40"/>
            <w:col w:w="8330"/>
          </w:cols>
        </w:sectPr>
      </w:pPr>
    </w:p>
    <w:p>
      <w:pPr>
        <w:pStyle w:val="Heading5"/>
        <w:jc w:val="left"/>
        <w:rPr>
          <w:i/>
        </w:rPr>
      </w:pPr>
      <w:r>
        <w:rPr>
          <w:i/>
        </w:rPr>
        <w:t>transformer</w:t>
      </w:r>
    </w:p>
    <w:p>
      <w:pPr>
        <w:pStyle w:val="BodyText"/>
        <w:ind w:left="1352" w:firstLine="0"/>
        <w:jc w:val="left"/>
      </w:pPr>
      <w:r>
        <w:rPr/>
        <w:t>A </w:t>
      </w:r>
      <w:r>
        <w:rPr>
          <w:i/>
        </w:rPr>
        <w:t>plant </w:t>
      </w:r>
      <w:r>
        <w:rPr/>
        <w:t>or device that reduces or increases the </w:t>
      </w:r>
      <w:r>
        <w:rPr>
          <w:i/>
        </w:rPr>
        <w:t>voltage </w:t>
      </w:r>
      <w:r>
        <w:rPr/>
        <w:t>of alternating current.</w:t>
      </w:r>
    </w:p>
    <w:p>
      <w:pPr>
        <w:pStyle w:val="Heading5"/>
        <w:jc w:val="left"/>
        <w:rPr>
          <w:i/>
        </w:rPr>
      </w:pPr>
      <w:r>
        <w:rPr>
          <w:i/>
        </w:rPr>
        <w:t>transformer tap position</w:t>
      </w:r>
    </w:p>
    <w:p>
      <w:pPr>
        <w:spacing w:before="120"/>
        <w:ind w:left="1352" w:right="414" w:firstLine="0"/>
        <w:jc w:val="both"/>
        <w:rPr>
          <w:sz w:val="24"/>
        </w:rPr>
      </w:pPr>
      <w:r>
        <w:rPr>
          <w:sz w:val="24"/>
        </w:rPr>
        <w:t>Where a tap changer is fitted to a </w:t>
      </w:r>
      <w:r>
        <w:rPr>
          <w:i/>
          <w:sz w:val="24"/>
        </w:rPr>
        <w:t>transformer</w:t>
      </w:r>
      <w:r>
        <w:rPr>
          <w:sz w:val="24"/>
        </w:rPr>
        <w:t>, each tap position represents a change in </w:t>
      </w:r>
      <w:r>
        <w:rPr>
          <w:i/>
          <w:sz w:val="24"/>
        </w:rPr>
        <w:t>voltage </w:t>
      </w:r>
      <w:r>
        <w:rPr>
          <w:sz w:val="24"/>
        </w:rPr>
        <w:t>ratio of the </w:t>
      </w:r>
      <w:r>
        <w:rPr>
          <w:i/>
          <w:sz w:val="24"/>
        </w:rPr>
        <w:t>transformer </w:t>
      </w:r>
      <w:r>
        <w:rPr>
          <w:sz w:val="24"/>
        </w:rPr>
        <w:t>which can be manually or automatically adjusted to change the </w:t>
      </w:r>
      <w:r>
        <w:rPr>
          <w:i/>
          <w:sz w:val="24"/>
        </w:rPr>
        <w:t>transformer </w:t>
      </w:r>
      <w:r>
        <w:rPr>
          <w:sz w:val="24"/>
        </w:rPr>
        <w:t>output </w:t>
      </w:r>
      <w:r>
        <w:rPr>
          <w:i/>
          <w:sz w:val="24"/>
        </w:rPr>
        <w:t>voltage</w:t>
      </w:r>
      <w:r>
        <w:rPr>
          <w:sz w:val="24"/>
        </w:rPr>
        <w:t>. The tap position is used as a reference for the output </w:t>
      </w:r>
      <w:r>
        <w:rPr>
          <w:i/>
          <w:sz w:val="24"/>
        </w:rPr>
        <w:t>voltage </w:t>
      </w:r>
      <w:r>
        <w:rPr>
          <w:sz w:val="24"/>
        </w:rPr>
        <w:t>of the </w:t>
      </w:r>
      <w:r>
        <w:rPr>
          <w:i/>
          <w:sz w:val="24"/>
        </w:rPr>
        <w:t>transformer</w:t>
      </w:r>
      <w:r>
        <w:rPr>
          <w:sz w:val="24"/>
        </w:rPr>
        <w:t>.</w:t>
      </w:r>
    </w:p>
    <w:p>
      <w:pPr>
        <w:pStyle w:val="Heading5"/>
        <w:jc w:val="left"/>
        <w:rPr>
          <w:i/>
        </w:rPr>
      </w:pPr>
      <w:r>
        <w:rPr>
          <w:i/>
        </w:rPr>
        <w:t>transmission</w:t>
      </w:r>
    </w:p>
    <w:p>
      <w:pPr>
        <w:spacing w:before="120"/>
        <w:ind w:left="1352" w:right="415" w:firstLine="0"/>
        <w:jc w:val="left"/>
        <w:rPr>
          <w:sz w:val="24"/>
        </w:rPr>
      </w:pPr>
      <w:r>
        <w:rPr>
          <w:sz w:val="24"/>
        </w:rPr>
        <w:t>Activities pertaining to a </w:t>
      </w:r>
      <w:r>
        <w:rPr>
          <w:i/>
          <w:sz w:val="24"/>
        </w:rPr>
        <w:t>transmission system </w:t>
      </w:r>
      <w:r>
        <w:rPr>
          <w:sz w:val="24"/>
        </w:rPr>
        <w:t>including the conveyance of electricity through that </w:t>
      </w:r>
      <w:r>
        <w:rPr>
          <w:i/>
          <w:sz w:val="24"/>
        </w:rPr>
        <w:t>transmission system</w:t>
      </w:r>
      <w:r>
        <w:rPr>
          <w:sz w:val="24"/>
        </w:rPr>
        <w:t>.</w:t>
      </w:r>
    </w:p>
    <w:p>
      <w:pPr>
        <w:pStyle w:val="Heading5"/>
        <w:jc w:val="left"/>
        <w:rPr>
          <w:i/>
        </w:rPr>
      </w:pPr>
      <w:r>
        <w:rPr>
          <w:i/>
        </w:rPr>
        <w:t>Transmission Annual Planning Report</w:t>
      </w:r>
    </w:p>
    <w:p>
      <w:pPr>
        <w:spacing w:before="120"/>
        <w:ind w:left="1352" w:right="415" w:firstLine="0"/>
        <w:jc w:val="left"/>
        <w:rPr>
          <w:sz w:val="24"/>
        </w:rPr>
      </w:pPr>
      <w:r>
        <w:rPr>
          <w:sz w:val="24"/>
        </w:rPr>
        <w:t>A report prepared by a </w:t>
      </w:r>
      <w:r>
        <w:rPr>
          <w:i/>
          <w:sz w:val="24"/>
        </w:rPr>
        <w:t>Transmission Network Service Provider </w:t>
      </w:r>
      <w:r>
        <w:rPr>
          <w:sz w:val="24"/>
        </w:rPr>
        <w:t>under clause 5.12.2.</w:t>
      </w:r>
    </w:p>
    <w:p>
      <w:pPr>
        <w:pStyle w:val="Heading5"/>
        <w:jc w:val="left"/>
        <w:rPr>
          <w:i/>
        </w:rPr>
      </w:pPr>
      <w:r>
        <w:rPr>
          <w:i/>
        </w:rPr>
        <w:t>Transmission Confidentiality Guidelines</w:t>
      </w:r>
    </w:p>
    <w:p>
      <w:pPr>
        <w:pStyle w:val="BodyText"/>
        <w:ind w:left="1352" w:firstLine="0"/>
        <w:jc w:val="left"/>
      </w:pPr>
      <w:r>
        <w:rPr/>
        <w:t>Guidelines made by the </w:t>
      </w:r>
      <w:r>
        <w:rPr>
          <w:i/>
        </w:rPr>
        <w:t>AER </w:t>
      </w:r>
      <w:r>
        <w:rPr/>
        <w:t>under clause 6A.16A.</w:t>
      </w:r>
    </w:p>
    <w:p>
      <w:pPr>
        <w:pStyle w:val="Heading5"/>
        <w:jc w:val="left"/>
        <w:rPr>
          <w:i/>
        </w:rPr>
      </w:pPr>
      <w:r>
        <w:rPr>
          <w:i/>
        </w:rPr>
        <w:t>transmission consultation procedures</w:t>
      </w:r>
    </w:p>
    <w:p>
      <w:pPr>
        <w:pStyle w:val="BodyText"/>
        <w:ind w:left="1352" w:firstLine="0"/>
        <w:jc w:val="left"/>
      </w:pPr>
      <w:r>
        <w:rPr/>
        <w:t>The procedures set out in Part H of Chapter 6A (as applying in the other</w:t>
      </w:r>
    </w:p>
    <w:p>
      <w:pPr>
        <w:spacing w:before="0"/>
        <w:ind w:left="1352" w:right="0" w:firstLine="0"/>
        <w:jc w:val="left"/>
        <w:rPr>
          <w:sz w:val="24"/>
        </w:rPr>
      </w:pPr>
      <w:r>
        <w:rPr>
          <w:i/>
          <w:sz w:val="24"/>
        </w:rPr>
        <w:t>participating jurisdictions</w:t>
      </w:r>
      <w:r>
        <w:rPr>
          <w:sz w:val="24"/>
        </w:rPr>
        <w:t>) that must be followed by:</w:t>
      </w:r>
    </w:p>
    <w:p>
      <w:pPr>
        <w:pStyle w:val="ListParagraph"/>
        <w:numPr>
          <w:ilvl w:val="0"/>
          <w:numId w:val="836"/>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in making, developing or amending guidelines, models or schemes or in reviewing methodologies;</w:t>
      </w:r>
      <w:r>
        <w:rPr>
          <w:spacing w:val="-2"/>
          <w:sz w:val="24"/>
        </w:rPr>
        <w:t> </w:t>
      </w:r>
      <w:r>
        <w:rPr>
          <w:sz w:val="24"/>
        </w:rPr>
        <w:t>or</w:t>
      </w:r>
    </w:p>
    <w:p>
      <w:pPr>
        <w:pStyle w:val="ListParagraph"/>
        <w:numPr>
          <w:ilvl w:val="0"/>
          <w:numId w:val="836"/>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AEMC </w:t>
      </w:r>
      <w:r>
        <w:rPr>
          <w:sz w:val="24"/>
        </w:rPr>
        <w:t>in developing or amending</w:t>
      </w:r>
      <w:r>
        <w:rPr>
          <w:spacing w:val="-1"/>
          <w:sz w:val="24"/>
        </w:rPr>
        <w:t> </w:t>
      </w:r>
      <w:r>
        <w:rPr>
          <w:sz w:val="24"/>
        </w:rPr>
        <w:t>guidelines.</w:t>
      </w:r>
    </w:p>
    <w:p>
      <w:pPr>
        <w:pStyle w:val="Heading5"/>
        <w:jc w:val="left"/>
        <w:rPr>
          <w:i/>
        </w:rPr>
      </w:pPr>
      <w:r>
        <w:rPr>
          <w:i/>
        </w:rPr>
        <w:t>Transmission Customer</w:t>
      </w:r>
    </w:p>
    <w:p>
      <w:pPr>
        <w:spacing w:before="120"/>
        <w:ind w:left="1352" w:right="0" w:firstLine="0"/>
        <w:jc w:val="left"/>
        <w:rPr>
          <w:i/>
          <w:sz w:val="24"/>
        </w:rPr>
      </w:pPr>
      <w:r>
        <w:rPr>
          <w:sz w:val="24"/>
        </w:rPr>
        <w:t>A </w:t>
      </w:r>
      <w:r>
        <w:rPr>
          <w:i/>
          <w:sz w:val="24"/>
        </w:rPr>
        <w:t>Customer</w:t>
      </w:r>
      <w:r>
        <w:rPr>
          <w:sz w:val="24"/>
        </w:rPr>
        <w:t>, </w:t>
      </w:r>
      <w:r>
        <w:rPr>
          <w:i/>
          <w:sz w:val="24"/>
        </w:rPr>
        <w:t>Non-Registered Customer </w:t>
      </w:r>
      <w:r>
        <w:rPr>
          <w:sz w:val="24"/>
        </w:rPr>
        <w:t>or </w:t>
      </w:r>
      <w:r>
        <w:rPr>
          <w:i/>
          <w:sz w:val="24"/>
        </w:rPr>
        <w:t>Distribution Network Service Provider</w:t>
      </w:r>
    </w:p>
    <w:p>
      <w:pPr>
        <w:spacing w:before="0"/>
        <w:ind w:left="1352" w:right="0" w:firstLine="0"/>
        <w:jc w:val="left"/>
        <w:rPr>
          <w:sz w:val="24"/>
        </w:rPr>
      </w:pPr>
      <w:r>
        <w:rPr>
          <w:sz w:val="24"/>
        </w:rPr>
        <w:t>having a </w:t>
      </w:r>
      <w:r>
        <w:rPr>
          <w:i/>
          <w:sz w:val="24"/>
        </w:rPr>
        <w:t>connection point </w:t>
      </w:r>
      <w:r>
        <w:rPr>
          <w:sz w:val="24"/>
        </w:rPr>
        <w:t>with a </w:t>
      </w:r>
      <w:r>
        <w:rPr>
          <w:i/>
          <w:sz w:val="24"/>
        </w:rPr>
        <w:t>transmission network</w:t>
      </w:r>
      <w:r>
        <w:rPr>
          <w:sz w:val="24"/>
        </w:rPr>
        <w:t>.</w:t>
      </w:r>
    </w:p>
    <w:p>
      <w:pPr>
        <w:pStyle w:val="Heading5"/>
        <w:jc w:val="left"/>
        <w:rPr>
          <w:i/>
        </w:rPr>
      </w:pPr>
      <w:r>
        <w:rPr>
          <w:i/>
        </w:rPr>
        <w:t>transmission determination</w:t>
      </w:r>
    </w:p>
    <w:p>
      <w:pPr>
        <w:spacing w:before="120"/>
        <w:ind w:left="1352" w:right="415" w:firstLine="0"/>
        <w:jc w:val="left"/>
        <w:rPr>
          <w:sz w:val="24"/>
        </w:rPr>
      </w:pPr>
      <w:r>
        <w:rPr>
          <w:sz w:val="24"/>
        </w:rPr>
        <w:t>Has the meaning given in the </w:t>
      </w:r>
      <w:r>
        <w:rPr>
          <w:i/>
          <w:sz w:val="24"/>
        </w:rPr>
        <w:t>National Electricity Law</w:t>
      </w:r>
      <w:r>
        <w:rPr>
          <w:sz w:val="24"/>
        </w:rPr>
        <w:t>, and includes a determination by the </w:t>
      </w:r>
      <w:r>
        <w:rPr>
          <w:i/>
          <w:sz w:val="24"/>
        </w:rPr>
        <w:t>AER </w:t>
      </w:r>
      <w:r>
        <w:rPr>
          <w:sz w:val="24"/>
        </w:rPr>
        <w:t>as described in rule 6A.2.</w:t>
      </w:r>
    </w:p>
    <w:p>
      <w:pPr>
        <w:pStyle w:val="Heading5"/>
        <w:jc w:val="left"/>
        <w:rPr>
          <w:i/>
        </w:rPr>
      </w:pPr>
      <w:r>
        <w:rPr>
          <w:i/>
        </w:rPr>
        <w:t>transmission element</w:t>
      </w:r>
    </w:p>
    <w:p>
      <w:pPr>
        <w:spacing w:before="120"/>
        <w:ind w:left="1352" w:right="0" w:firstLine="0"/>
        <w:jc w:val="left"/>
        <w:rPr>
          <w:sz w:val="24"/>
        </w:rPr>
      </w:pPr>
      <w:r>
        <w:rPr>
          <w:sz w:val="24"/>
        </w:rPr>
        <w:t>A single identifiable major component of a </w:t>
      </w:r>
      <w:r>
        <w:rPr>
          <w:i/>
          <w:sz w:val="24"/>
        </w:rPr>
        <w:t>transmission system </w:t>
      </w:r>
      <w:r>
        <w:rPr>
          <w:sz w:val="24"/>
        </w:rPr>
        <w:t>involving:</w:t>
      </w:r>
    </w:p>
    <w:p>
      <w:pPr>
        <w:spacing w:after="0"/>
        <w:jc w:val="left"/>
        <w:rPr>
          <w:sz w:val="24"/>
        </w:rPr>
        <w:sectPr>
          <w:type w:val="continuous"/>
          <w:pgSz w:w="11910" w:h="16840"/>
          <w:pgMar w:top="1360" w:bottom="280" w:left="1200" w:right="1000"/>
        </w:sectPr>
      </w:pPr>
    </w:p>
    <w:p>
      <w:pPr>
        <w:pStyle w:val="ListParagraph"/>
        <w:numPr>
          <w:ilvl w:val="0"/>
          <w:numId w:val="837"/>
        </w:numPr>
        <w:tabs>
          <w:tab w:pos="1919" w:val="left" w:leader="none"/>
        </w:tabs>
        <w:spacing w:line="240" w:lineRule="auto" w:before="83" w:after="0"/>
        <w:ind w:left="1918" w:right="0" w:hanging="567"/>
        <w:jc w:val="both"/>
        <w:rPr>
          <w:sz w:val="24"/>
        </w:rPr>
      </w:pPr>
      <w:r>
        <w:rPr>
          <w:sz w:val="24"/>
        </w:rPr>
        <w:t>an individual </w:t>
      </w:r>
      <w:r>
        <w:rPr>
          <w:i/>
          <w:sz w:val="24"/>
        </w:rPr>
        <w:t>transmission </w:t>
      </w:r>
      <w:r>
        <w:rPr>
          <w:sz w:val="24"/>
        </w:rPr>
        <w:t>circuit or a phase of that</w:t>
      </w:r>
      <w:r>
        <w:rPr>
          <w:spacing w:val="-4"/>
          <w:sz w:val="24"/>
        </w:rPr>
        <w:t> </w:t>
      </w:r>
      <w:r>
        <w:rPr>
          <w:sz w:val="24"/>
        </w:rPr>
        <w:t>circuit;</w:t>
      </w:r>
    </w:p>
    <w:p>
      <w:pPr>
        <w:pStyle w:val="ListParagraph"/>
        <w:numPr>
          <w:ilvl w:val="0"/>
          <w:numId w:val="837"/>
        </w:numPr>
        <w:tabs>
          <w:tab w:pos="1919" w:val="left" w:leader="none"/>
        </w:tabs>
        <w:spacing w:line="240" w:lineRule="auto" w:before="120" w:after="0"/>
        <w:ind w:left="1919" w:right="414" w:hanging="567"/>
        <w:jc w:val="both"/>
        <w:rPr>
          <w:sz w:val="24"/>
        </w:rPr>
      </w:pPr>
      <w:r>
        <w:rPr>
          <w:sz w:val="24"/>
        </w:rPr>
        <w:t>a major item of </w:t>
      </w:r>
      <w:r>
        <w:rPr>
          <w:i/>
          <w:sz w:val="24"/>
        </w:rPr>
        <w:t>transmission plant </w:t>
      </w:r>
      <w:r>
        <w:rPr>
          <w:sz w:val="24"/>
        </w:rPr>
        <w:t>necessary for the functioning of a particular </w:t>
      </w:r>
      <w:r>
        <w:rPr>
          <w:i/>
          <w:sz w:val="24"/>
        </w:rPr>
        <w:t>transmission </w:t>
      </w:r>
      <w:r>
        <w:rPr>
          <w:sz w:val="24"/>
        </w:rPr>
        <w:t>circuit or </w:t>
      </w:r>
      <w:r>
        <w:rPr>
          <w:i/>
          <w:sz w:val="24"/>
        </w:rPr>
        <w:t>connection point </w:t>
      </w:r>
      <w:r>
        <w:rPr>
          <w:sz w:val="24"/>
        </w:rPr>
        <w:t>(such as a </w:t>
      </w:r>
      <w:r>
        <w:rPr>
          <w:i/>
          <w:sz w:val="24"/>
        </w:rPr>
        <w:t>transformer </w:t>
      </w:r>
      <w:r>
        <w:rPr>
          <w:sz w:val="24"/>
        </w:rPr>
        <w:t>or a circuit</w:t>
      </w:r>
      <w:r>
        <w:rPr>
          <w:spacing w:val="-1"/>
          <w:sz w:val="24"/>
        </w:rPr>
        <w:t> </w:t>
      </w:r>
      <w:r>
        <w:rPr>
          <w:sz w:val="24"/>
        </w:rPr>
        <w:t>breaker).</w:t>
      </w:r>
    </w:p>
    <w:p>
      <w:pPr>
        <w:pStyle w:val="Heading5"/>
        <w:rPr>
          <w:i/>
        </w:rPr>
      </w:pPr>
      <w:r>
        <w:rPr>
          <w:i/>
        </w:rPr>
        <w:t>transmission investment</w:t>
      </w:r>
    </w:p>
    <w:p>
      <w:pPr>
        <w:spacing w:before="120"/>
        <w:ind w:left="1352" w:right="415" w:firstLine="0"/>
        <w:jc w:val="both"/>
        <w:rPr>
          <w:sz w:val="24"/>
        </w:rPr>
      </w:pPr>
      <w:r>
        <w:rPr>
          <w:sz w:val="24"/>
        </w:rPr>
        <w:t>Expenditure on assets and services which is undertaken by a </w:t>
      </w:r>
      <w:r>
        <w:rPr>
          <w:i/>
          <w:sz w:val="24"/>
        </w:rPr>
        <w:t>Transmission </w:t>
      </w:r>
      <w:r>
        <w:rPr>
          <w:i/>
          <w:sz w:val="24"/>
        </w:rPr>
        <w:t>Network Service Provider </w:t>
      </w:r>
      <w:r>
        <w:rPr>
          <w:sz w:val="24"/>
        </w:rPr>
        <w:t>or any other person to address an </w:t>
      </w:r>
      <w:r>
        <w:rPr>
          <w:i/>
          <w:sz w:val="24"/>
        </w:rPr>
        <w:t>identified need </w:t>
      </w:r>
      <w:r>
        <w:rPr>
          <w:sz w:val="24"/>
        </w:rPr>
        <w:t>in respect of its </w:t>
      </w:r>
      <w:r>
        <w:rPr>
          <w:i/>
          <w:sz w:val="24"/>
        </w:rPr>
        <w:t>transmission network</w:t>
      </w:r>
      <w:r>
        <w:rPr>
          <w:sz w:val="24"/>
        </w:rPr>
        <w:t>.</w:t>
      </w:r>
    </w:p>
    <w:p>
      <w:pPr>
        <w:pStyle w:val="Heading5"/>
        <w:rPr>
          <w:i/>
        </w:rPr>
      </w:pPr>
      <w:r>
        <w:rPr>
          <w:i/>
        </w:rPr>
        <w:t>transmission line</w:t>
      </w:r>
    </w:p>
    <w:p>
      <w:pPr>
        <w:spacing w:before="120"/>
        <w:ind w:left="1352" w:right="0" w:firstLine="0"/>
        <w:jc w:val="both"/>
        <w:rPr>
          <w:sz w:val="24"/>
        </w:rPr>
      </w:pPr>
      <w:r>
        <w:rPr>
          <w:sz w:val="24"/>
        </w:rPr>
        <w:t>A power line that is part of a </w:t>
      </w:r>
      <w:r>
        <w:rPr>
          <w:i/>
          <w:sz w:val="24"/>
        </w:rPr>
        <w:t>transmission network</w:t>
      </w:r>
      <w:r>
        <w:rPr>
          <w:sz w:val="24"/>
        </w:rPr>
        <w:t>.</w:t>
      </w:r>
    </w:p>
    <w:p>
      <w:pPr>
        <w:pStyle w:val="Heading5"/>
        <w:rPr>
          <w:i/>
        </w:rPr>
      </w:pPr>
      <w:r>
        <w:rPr>
          <w:i/>
        </w:rPr>
        <w:t>transmission network</w:t>
      </w:r>
    </w:p>
    <w:p>
      <w:pPr>
        <w:pStyle w:val="BodyText"/>
        <w:ind w:left="1352" w:firstLine="0"/>
        <w:jc w:val="left"/>
      </w:pPr>
      <w:r>
        <w:rPr/>
        <w:t>Any of the following:</w:t>
      </w:r>
    </w:p>
    <w:p>
      <w:pPr>
        <w:pStyle w:val="ListParagraph"/>
        <w:numPr>
          <w:ilvl w:val="0"/>
          <w:numId w:val="838"/>
        </w:numPr>
        <w:tabs>
          <w:tab w:pos="1918" w:val="left" w:leader="none"/>
          <w:tab w:pos="1919" w:val="left" w:leader="none"/>
        </w:tabs>
        <w:spacing w:line="240" w:lineRule="auto" w:before="120" w:after="0"/>
        <w:ind w:left="1919" w:right="414" w:hanging="567"/>
        <w:jc w:val="left"/>
        <w:rPr>
          <w:sz w:val="24"/>
        </w:rPr>
      </w:pPr>
      <w:r>
        <w:rPr>
          <w:sz w:val="24"/>
        </w:rPr>
        <w:t>a </w:t>
      </w:r>
      <w:r>
        <w:rPr>
          <w:i/>
          <w:sz w:val="24"/>
        </w:rPr>
        <w:t>network </w:t>
      </w:r>
      <w:r>
        <w:rPr>
          <w:sz w:val="24"/>
        </w:rPr>
        <w:t>in this jurisdiction operating at nominal </w:t>
      </w:r>
      <w:r>
        <w:rPr>
          <w:i/>
          <w:sz w:val="24"/>
        </w:rPr>
        <w:t>voltages </w:t>
      </w:r>
      <w:r>
        <w:rPr>
          <w:sz w:val="24"/>
        </w:rPr>
        <w:t>of 66kV and above;</w:t>
      </w:r>
    </w:p>
    <w:p>
      <w:pPr>
        <w:pStyle w:val="ListParagraph"/>
        <w:numPr>
          <w:ilvl w:val="0"/>
          <w:numId w:val="838"/>
        </w:numPr>
        <w:tabs>
          <w:tab w:pos="1918" w:val="left" w:leader="none"/>
          <w:tab w:pos="1919" w:val="left" w:leader="none"/>
        </w:tabs>
        <w:spacing w:line="240" w:lineRule="auto" w:before="120" w:after="0"/>
        <w:ind w:left="1918" w:right="0" w:hanging="567"/>
        <w:jc w:val="left"/>
        <w:rPr>
          <w:sz w:val="24"/>
        </w:rPr>
      </w:pPr>
      <w:r>
        <w:rPr>
          <w:sz w:val="24"/>
        </w:rPr>
        <w:t>a </w:t>
      </w:r>
      <w:r>
        <w:rPr>
          <w:i/>
          <w:sz w:val="24"/>
        </w:rPr>
        <w:t>network </w:t>
      </w:r>
      <w:r>
        <w:rPr>
          <w:sz w:val="24"/>
        </w:rPr>
        <w:t>or part of a </w:t>
      </w:r>
      <w:r>
        <w:rPr>
          <w:i/>
          <w:sz w:val="24"/>
        </w:rPr>
        <w:t>network </w:t>
      </w:r>
      <w:r>
        <w:rPr>
          <w:sz w:val="24"/>
        </w:rPr>
        <w:t>prescribed by local instrument to be</w:t>
      </w:r>
      <w:r>
        <w:rPr>
          <w:spacing w:val="15"/>
          <w:sz w:val="24"/>
        </w:rPr>
        <w:t> </w:t>
      </w:r>
      <w:r>
        <w:rPr>
          <w:sz w:val="24"/>
        </w:rPr>
        <w:t>a</w:t>
      </w:r>
    </w:p>
    <w:p>
      <w:pPr>
        <w:spacing w:before="0"/>
        <w:ind w:left="1919" w:right="0" w:firstLine="0"/>
        <w:jc w:val="left"/>
        <w:rPr>
          <w:sz w:val="24"/>
        </w:rPr>
      </w:pPr>
      <w:r>
        <w:rPr>
          <w:i/>
          <w:sz w:val="24"/>
        </w:rPr>
        <w:t>transmission network </w:t>
      </w:r>
      <w:r>
        <w:rPr>
          <w:sz w:val="24"/>
        </w:rPr>
        <w:t>or part of a </w:t>
      </w:r>
      <w:r>
        <w:rPr>
          <w:i/>
          <w:sz w:val="24"/>
        </w:rPr>
        <w:t>transmission network</w:t>
      </w:r>
      <w:r>
        <w:rPr>
          <w:sz w:val="24"/>
        </w:rPr>
        <w:t>,</w:t>
      </w:r>
    </w:p>
    <w:p>
      <w:pPr>
        <w:spacing w:before="120"/>
        <w:ind w:left="1352" w:right="416" w:firstLine="0"/>
        <w:jc w:val="both"/>
        <w:rPr>
          <w:sz w:val="24"/>
        </w:rPr>
      </w:pPr>
      <w:r>
        <w:rPr>
          <w:sz w:val="24"/>
        </w:rPr>
        <w:t>but does not include a </w:t>
      </w:r>
      <w:r>
        <w:rPr>
          <w:i/>
          <w:sz w:val="24"/>
        </w:rPr>
        <w:t>network </w:t>
      </w:r>
      <w:r>
        <w:rPr>
          <w:sz w:val="24"/>
        </w:rPr>
        <w:t>or part of a </w:t>
      </w:r>
      <w:r>
        <w:rPr>
          <w:i/>
          <w:sz w:val="24"/>
        </w:rPr>
        <w:t>network </w:t>
      </w:r>
      <w:r>
        <w:rPr>
          <w:sz w:val="24"/>
        </w:rPr>
        <w:t>prescribed by local instrument not to be a </w:t>
      </w:r>
      <w:r>
        <w:rPr>
          <w:i/>
          <w:sz w:val="24"/>
        </w:rPr>
        <w:t>transmission network </w:t>
      </w:r>
      <w:r>
        <w:rPr>
          <w:sz w:val="24"/>
        </w:rPr>
        <w:t>or part of a </w:t>
      </w:r>
      <w:r>
        <w:rPr>
          <w:i/>
          <w:sz w:val="24"/>
        </w:rPr>
        <w:t>transmission network</w:t>
      </w:r>
      <w:r>
        <w:rPr>
          <w:sz w:val="24"/>
        </w:rPr>
        <w:t>.</w:t>
      </w:r>
    </w:p>
    <w:p>
      <w:pPr>
        <w:spacing w:before="120"/>
        <w:ind w:left="1352" w:right="415" w:firstLine="0"/>
        <w:jc w:val="both"/>
        <w:rPr>
          <w:sz w:val="24"/>
        </w:rPr>
      </w:pPr>
      <w:r>
        <w:rPr>
          <w:sz w:val="24"/>
        </w:rPr>
        <w:t>For a </w:t>
      </w:r>
      <w:r>
        <w:rPr>
          <w:i/>
          <w:sz w:val="24"/>
        </w:rPr>
        <w:t>participating jurisdiction </w:t>
      </w:r>
      <w:r>
        <w:rPr>
          <w:sz w:val="24"/>
        </w:rPr>
        <w:t>other than the State of Victoria, an </w:t>
      </w:r>
      <w:r>
        <w:rPr>
          <w:i/>
          <w:sz w:val="24"/>
        </w:rPr>
        <w:t>identified </w:t>
      </w:r>
      <w:r>
        <w:rPr>
          <w:i/>
          <w:sz w:val="24"/>
        </w:rPr>
        <w:t>shared user asset </w:t>
      </w:r>
      <w:r>
        <w:rPr>
          <w:sz w:val="24"/>
        </w:rPr>
        <w:t>owned, controlled or operated by a </w:t>
      </w:r>
      <w:r>
        <w:rPr>
          <w:i/>
          <w:sz w:val="24"/>
        </w:rPr>
        <w:t>Primary Transmission </w:t>
      </w:r>
      <w:r>
        <w:rPr>
          <w:i/>
          <w:sz w:val="24"/>
        </w:rPr>
        <w:t>Network Service Provider </w:t>
      </w:r>
      <w:r>
        <w:rPr>
          <w:sz w:val="24"/>
        </w:rPr>
        <w:t>(including a </w:t>
      </w:r>
      <w:r>
        <w:rPr>
          <w:i/>
          <w:sz w:val="24"/>
        </w:rPr>
        <w:t>third party IUSA </w:t>
      </w:r>
      <w:r>
        <w:rPr>
          <w:sz w:val="24"/>
        </w:rPr>
        <w:t>that is the subject of a </w:t>
      </w:r>
      <w:r>
        <w:rPr>
          <w:i/>
          <w:sz w:val="24"/>
        </w:rPr>
        <w:t>network operating agreement</w:t>
      </w:r>
      <w:r>
        <w:rPr>
          <w:sz w:val="24"/>
        </w:rPr>
        <w:t>) forms part of that </w:t>
      </w:r>
      <w:r>
        <w:rPr>
          <w:i/>
          <w:sz w:val="24"/>
        </w:rPr>
        <w:t>Primary Transmission Network </w:t>
      </w:r>
      <w:r>
        <w:rPr>
          <w:i/>
          <w:sz w:val="24"/>
        </w:rPr>
        <w:t>Service Provider’s transmission network</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The </w:t>
      </w:r>
      <w:r>
        <w:rPr>
          <w:i/>
          <w:sz w:val="20"/>
        </w:rPr>
        <w:t>National Electricity (Northern Territory) (National Uniform Legislation) (Modification) </w:t>
      </w:r>
      <w:r>
        <w:rPr>
          <w:i/>
          <w:sz w:val="20"/>
        </w:rPr>
        <w:t>Regulations 2016 </w:t>
      </w:r>
      <w:r>
        <w:rPr>
          <w:sz w:val="20"/>
        </w:rPr>
        <w:t>are a local instrument.</w:t>
      </w:r>
    </w:p>
    <w:p>
      <w:pPr>
        <w:pStyle w:val="Heading5"/>
        <w:jc w:val="left"/>
        <w:rPr>
          <w:i/>
        </w:rPr>
      </w:pPr>
      <w:r>
        <w:rPr>
          <w:i/>
        </w:rPr>
        <w:t>transmission network connection point</w:t>
      </w:r>
    </w:p>
    <w:p>
      <w:pPr>
        <w:spacing w:before="120"/>
        <w:ind w:left="1352" w:right="0" w:firstLine="0"/>
        <w:jc w:val="left"/>
        <w:rPr>
          <w:sz w:val="24"/>
        </w:rPr>
      </w:pPr>
      <w:r>
        <w:rPr>
          <w:sz w:val="24"/>
        </w:rPr>
        <w:t>A </w:t>
      </w:r>
      <w:r>
        <w:rPr>
          <w:i/>
          <w:sz w:val="24"/>
        </w:rPr>
        <w:t>connection point </w:t>
      </w:r>
      <w:r>
        <w:rPr>
          <w:sz w:val="24"/>
        </w:rPr>
        <w:t>on a </w:t>
      </w:r>
      <w:r>
        <w:rPr>
          <w:i/>
          <w:sz w:val="24"/>
        </w:rPr>
        <w:t>transmission network</w:t>
      </w:r>
      <w:r>
        <w:rPr>
          <w:sz w:val="24"/>
        </w:rPr>
        <w:t>.</w:t>
      </w:r>
    </w:p>
    <w:p>
      <w:pPr>
        <w:pStyle w:val="Heading5"/>
        <w:jc w:val="left"/>
        <w:rPr>
          <w:i/>
        </w:rPr>
      </w:pPr>
      <w:r>
        <w:rPr>
          <w:i/>
        </w:rPr>
        <w:t>Transmission Network Service Provider</w:t>
      </w:r>
    </w:p>
    <w:p>
      <w:pPr>
        <w:pStyle w:val="BodyText"/>
        <w:ind w:left="1352" w:firstLine="0"/>
        <w:jc w:val="left"/>
      </w:pPr>
      <w:r>
        <w:rPr/>
        <w:t>A person who:</w:t>
      </w:r>
    </w:p>
    <w:p>
      <w:pPr>
        <w:pStyle w:val="ListParagraph"/>
        <w:numPr>
          <w:ilvl w:val="0"/>
          <w:numId w:val="839"/>
        </w:numPr>
        <w:tabs>
          <w:tab w:pos="1918" w:val="left" w:leader="none"/>
          <w:tab w:pos="1919" w:val="left" w:leader="none"/>
        </w:tabs>
        <w:spacing w:line="240" w:lineRule="auto" w:before="120" w:after="0"/>
        <w:ind w:left="1919" w:right="415" w:hanging="567"/>
        <w:jc w:val="left"/>
        <w:rPr>
          <w:sz w:val="24"/>
        </w:rPr>
      </w:pPr>
      <w:r>
        <w:rPr>
          <w:sz w:val="24"/>
        </w:rPr>
        <w:t>engages in the activity of owning, controlling or operating a </w:t>
      </w:r>
      <w:r>
        <w:rPr>
          <w:i/>
          <w:sz w:val="24"/>
        </w:rPr>
        <w:t>transmission </w:t>
      </w:r>
      <w:r>
        <w:rPr>
          <w:i/>
          <w:sz w:val="24"/>
        </w:rPr>
        <w:t>system</w:t>
      </w:r>
      <w:r>
        <w:rPr>
          <w:sz w:val="24"/>
        </w:rPr>
        <w:t>;</w:t>
      </w:r>
      <w:r>
        <w:rPr>
          <w:spacing w:val="-1"/>
          <w:sz w:val="24"/>
        </w:rPr>
        <w:t> </w:t>
      </w:r>
      <w:r>
        <w:rPr>
          <w:sz w:val="24"/>
        </w:rPr>
        <w:t>and</w:t>
      </w:r>
    </w:p>
    <w:p>
      <w:pPr>
        <w:pStyle w:val="ListParagraph"/>
        <w:numPr>
          <w:ilvl w:val="0"/>
          <w:numId w:val="839"/>
        </w:numPr>
        <w:tabs>
          <w:tab w:pos="1918" w:val="left" w:leader="none"/>
          <w:tab w:pos="1919" w:val="left" w:leader="none"/>
        </w:tabs>
        <w:spacing w:line="240" w:lineRule="auto" w:before="120" w:after="0"/>
        <w:ind w:left="1919" w:right="415" w:hanging="567"/>
        <w:jc w:val="left"/>
        <w:rPr>
          <w:sz w:val="24"/>
        </w:rPr>
      </w:pPr>
      <w:r>
        <w:rPr>
          <w:sz w:val="24"/>
        </w:rPr>
        <w:t>under Part 3 of the </w:t>
      </w:r>
      <w:r>
        <w:rPr>
          <w:i/>
          <w:sz w:val="24"/>
        </w:rPr>
        <w:t>Electricity Reform Act </w:t>
      </w:r>
      <w:r>
        <w:rPr>
          <w:sz w:val="24"/>
        </w:rPr>
        <w:t>(NT), holds a licence authorising the ownership or operation of an electricity</w:t>
      </w:r>
      <w:r>
        <w:rPr>
          <w:spacing w:val="-1"/>
          <w:sz w:val="24"/>
        </w:rPr>
        <w:t> </w:t>
      </w:r>
      <w:r>
        <w:rPr>
          <w:sz w:val="24"/>
        </w:rPr>
        <w:t>network.</w:t>
      </w:r>
    </w:p>
    <w:p>
      <w:pPr>
        <w:pStyle w:val="Heading5"/>
        <w:jc w:val="left"/>
        <w:rPr>
          <w:i/>
        </w:rPr>
      </w:pPr>
      <w:r>
        <w:rPr>
          <w:i/>
        </w:rPr>
        <w:t>Transmission Network User</w:t>
      </w:r>
    </w:p>
    <w:p>
      <w:pPr>
        <w:spacing w:before="120"/>
        <w:ind w:left="1352" w:right="0" w:firstLine="0"/>
        <w:jc w:val="left"/>
        <w:rPr>
          <w:sz w:val="24"/>
        </w:rPr>
      </w:pPr>
      <w:r>
        <w:rPr>
          <w:sz w:val="24"/>
        </w:rPr>
        <w:t>In relation to a </w:t>
      </w:r>
      <w:r>
        <w:rPr>
          <w:i/>
          <w:sz w:val="24"/>
        </w:rPr>
        <w:t>transmission network</w:t>
      </w:r>
      <w:r>
        <w:rPr>
          <w:sz w:val="24"/>
        </w:rPr>
        <w:t>, a </w:t>
      </w:r>
      <w:r>
        <w:rPr>
          <w:i/>
          <w:sz w:val="24"/>
        </w:rPr>
        <w:t>Transmission Customer </w:t>
      </w:r>
      <w:r>
        <w:rPr>
          <w:sz w:val="24"/>
        </w:rPr>
        <w:t>and:</w:t>
      </w:r>
    </w:p>
    <w:p>
      <w:pPr>
        <w:pStyle w:val="ListParagraph"/>
        <w:numPr>
          <w:ilvl w:val="0"/>
          <w:numId w:val="840"/>
        </w:numPr>
        <w:tabs>
          <w:tab w:pos="1918" w:val="left" w:leader="none"/>
          <w:tab w:pos="1919" w:val="left" w:leader="none"/>
        </w:tabs>
        <w:spacing w:line="240" w:lineRule="auto" w:before="120" w:after="0"/>
        <w:ind w:left="1918" w:right="0" w:hanging="567"/>
        <w:jc w:val="left"/>
        <w:rPr>
          <w:sz w:val="24"/>
        </w:rPr>
      </w:pPr>
      <w:r>
        <w:rPr>
          <w:sz w:val="24"/>
        </w:rPr>
        <w:t>a </w:t>
      </w:r>
      <w:r>
        <w:rPr>
          <w:i/>
          <w:sz w:val="24"/>
        </w:rPr>
        <w:t>Generator </w:t>
      </w:r>
      <w:r>
        <w:rPr>
          <w:sz w:val="24"/>
        </w:rPr>
        <w:t>whose </w:t>
      </w:r>
      <w:r>
        <w:rPr>
          <w:i/>
          <w:sz w:val="24"/>
        </w:rPr>
        <w:t>generating</w:t>
      </w:r>
      <w:r>
        <w:rPr>
          <w:i/>
          <w:spacing w:val="-1"/>
          <w:sz w:val="24"/>
        </w:rPr>
        <w:t> </w:t>
      </w:r>
      <w:r>
        <w:rPr>
          <w:i/>
          <w:sz w:val="24"/>
        </w:rPr>
        <w:t>unit</w:t>
      </w:r>
      <w:r>
        <w:rPr>
          <w:sz w:val="24"/>
        </w:rPr>
        <w:t>;</w:t>
      </w:r>
    </w:p>
    <w:p>
      <w:pPr>
        <w:pStyle w:val="ListParagraph"/>
        <w:numPr>
          <w:ilvl w:val="0"/>
          <w:numId w:val="840"/>
        </w:numPr>
        <w:tabs>
          <w:tab w:pos="1918" w:val="left" w:leader="none"/>
          <w:tab w:pos="1919" w:val="left" w:leader="none"/>
        </w:tabs>
        <w:spacing w:line="240" w:lineRule="auto" w:before="120" w:after="0"/>
        <w:ind w:left="1918" w:right="0" w:hanging="567"/>
        <w:jc w:val="left"/>
        <w:rPr>
          <w:sz w:val="24"/>
        </w:rPr>
      </w:pPr>
      <w:r>
        <w:rPr>
          <w:sz w:val="24"/>
        </w:rPr>
        <w:t>a </w:t>
      </w:r>
      <w:r>
        <w:rPr>
          <w:i/>
          <w:sz w:val="24"/>
        </w:rPr>
        <w:t>Network Service Provider </w:t>
      </w:r>
      <w:r>
        <w:rPr>
          <w:sz w:val="24"/>
        </w:rPr>
        <w:t>whose</w:t>
      </w:r>
      <w:r>
        <w:rPr>
          <w:spacing w:val="-3"/>
          <w:sz w:val="24"/>
        </w:rPr>
        <w:t> </w:t>
      </w:r>
      <w:r>
        <w:rPr>
          <w:i/>
          <w:sz w:val="24"/>
        </w:rPr>
        <w:t>network</w:t>
      </w:r>
      <w:r>
        <w:rPr>
          <w:sz w:val="24"/>
        </w:rPr>
        <w:t>;</w:t>
      </w:r>
    </w:p>
    <w:p>
      <w:pPr>
        <w:spacing w:after="0" w:line="240" w:lineRule="auto"/>
        <w:jc w:val="left"/>
        <w:rPr>
          <w:sz w:val="24"/>
        </w:rPr>
        <w:sectPr>
          <w:pgSz w:w="11910" w:h="16840"/>
          <w:pgMar w:header="686" w:footer="637" w:top="1320" w:bottom="820" w:left="1200" w:right="1000"/>
        </w:sectPr>
      </w:pPr>
    </w:p>
    <w:p>
      <w:pPr>
        <w:pStyle w:val="ListParagraph"/>
        <w:numPr>
          <w:ilvl w:val="0"/>
          <w:numId w:val="840"/>
        </w:numPr>
        <w:tabs>
          <w:tab w:pos="1919" w:val="left" w:leader="none"/>
        </w:tabs>
        <w:spacing w:line="240" w:lineRule="auto" w:before="83" w:after="0"/>
        <w:ind w:left="1919" w:right="415" w:hanging="567"/>
        <w:jc w:val="both"/>
        <w:rPr>
          <w:sz w:val="24"/>
        </w:rPr>
      </w:pPr>
      <w:r>
        <w:rPr>
          <w:sz w:val="24"/>
        </w:rPr>
        <w:t>to the extent that a </w:t>
      </w:r>
      <w:r>
        <w:rPr>
          <w:i/>
          <w:sz w:val="24"/>
        </w:rPr>
        <w:t>Dedicated Connection Asset Service Provider </w:t>
      </w:r>
      <w:r>
        <w:rPr>
          <w:sz w:val="24"/>
        </w:rPr>
        <w:t>is not also one of the persons listed above, a </w:t>
      </w:r>
      <w:r>
        <w:rPr>
          <w:i/>
          <w:sz w:val="24"/>
        </w:rPr>
        <w:t>Dedicated Connection Asset Service </w:t>
      </w:r>
      <w:r>
        <w:rPr>
          <w:i/>
          <w:sz w:val="24"/>
        </w:rPr>
        <w:t>Provider </w:t>
      </w:r>
      <w:r>
        <w:rPr>
          <w:sz w:val="24"/>
        </w:rPr>
        <w:t>whose </w:t>
      </w:r>
      <w:r>
        <w:rPr>
          <w:i/>
          <w:sz w:val="24"/>
        </w:rPr>
        <w:t>dedicated connection</w:t>
      </w:r>
      <w:r>
        <w:rPr>
          <w:i/>
          <w:spacing w:val="-2"/>
          <w:sz w:val="24"/>
        </w:rPr>
        <w:t> </w:t>
      </w:r>
      <w:r>
        <w:rPr>
          <w:i/>
          <w:sz w:val="24"/>
        </w:rPr>
        <w:t>asset</w:t>
      </w:r>
      <w:r>
        <w:rPr>
          <w:sz w:val="24"/>
        </w:rPr>
        <w:t>,</w:t>
      </w:r>
    </w:p>
    <w:p>
      <w:pPr>
        <w:spacing w:before="120"/>
        <w:ind w:left="1352" w:right="0" w:firstLine="0"/>
        <w:jc w:val="both"/>
        <w:rPr>
          <w:sz w:val="24"/>
        </w:rPr>
      </w:pPr>
      <w:r>
        <w:rPr>
          <w:sz w:val="24"/>
        </w:rPr>
        <w:t>is </w:t>
      </w:r>
      <w:r>
        <w:rPr>
          <w:i/>
          <w:sz w:val="24"/>
        </w:rPr>
        <w:t>connected </w:t>
      </w:r>
      <w:r>
        <w:rPr>
          <w:sz w:val="24"/>
        </w:rPr>
        <w:t>to the </w:t>
      </w:r>
      <w:r>
        <w:rPr>
          <w:i/>
          <w:sz w:val="24"/>
        </w:rPr>
        <w:t>transmission network</w:t>
      </w:r>
      <w:r>
        <w:rPr>
          <w:sz w:val="24"/>
        </w:rPr>
        <w:t>.</w:t>
      </w:r>
    </w:p>
    <w:p>
      <w:pPr>
        <w:pStyle w:val="Heading5"/>
        <w:rPr>
          <w:i/>
        </w:rPr>
      </w:pPr>
      <w:r>
        <w:rPr>
          <w:i/>
        </w:rPr>
        <w:t>transmission or distribution system</w:t>
      </w:r>
    </w:p>
    <w:p>
      <w:pPr>
        <w:spacing w:before="120"/>
        <w:ind w:left="1352" w:right="0" w:firstLine="0"/>
        <w:jc w:val="both"/>
        <w:rPr>
          <w:sz w:val="24"/>
        </w:rPr>
      </w:pPr>
      <w:r>
        <w:rPr>
          <w:sz w:val="24"/>
        </w:rPr>
        <w:t>A </w:t>
      </w:r>
      <w:r>
        <w:rPr>
          <w:i/>
          <w:sz w:val="24"/>
        </w:rPr>
        <w:t>transmission system </w:t>
      </w:r>
      <w:r>
        <w:rPr>
          <w:sz w:val="24"/>
        </w:rPr>
        <w:t>or a </w:t>
      </w:r>
      <w:r>
        <w:rPr>
          <w:i/>
          <w:sz w:val="24"/>
        </w:rPr>
        <w:t>distribution system</w:t>
      </w:r>
      <w:r>
        <w:rPr>
          <w:sz w:val="24"/>
        </w:rPr>
        <w:t>.</w:t>
      </w:r>
    </w:p>
    <w:p>
      <w:pPr>
        <w:pStyle w:val="Heading5"/>
        <w:rPr>
          <w:i/>
        </w:rPr>
      </w:pPr>
      <w:r>
        <w:rPr>
          <w:i/>
        </w:rPr>
        <w:t>transmission plant</w:t>
      </w:r>
    </w:p>
    <w:p>
      <w:pPr>
        <w:spacing w:before="120"/>
        <w:ind w:left="1352" w:right="414" w:firstLine="0"/>
        <w:jc w:val="both"/>
        <w:rPr>
          <w:sz w:val="24"/>
        </w:rPr>
      </w:pPr>
      <w:r>
        <w:rPr>
          <w:sz w:val="24"/>
        </w:rPr>
        <w:t>Apparatus or equipment associated with the function or operation of a </w:t>
      </w:r>
      <w:r>
        <w:rPr>
          <w:i/>
          <w:sz w:val="24"/>
        </w:rPr>
        <w:t>transmission line </w:t>
      </w:r>
      <w:r>
        <w:rPr>
          <w:sz w:val="24"/>
        </w:rPr>
        <w:t>or an associated </w:t>
      </w:r>
      <w:r>
        <w:rPr>
          <w:i/>
          <w:sz w:val="24"/>
        </w:rPr>
        <w:t>substation </w:t>
      </w:r>
      <w:r>
        <w:rPr>
          <w:sz w:val="24"/>
        </w:rPr>
        <w:t>or </w:t>
      </w:r>
      <w:r>
        <w:rPr>
          <w:i/>
          <w:sz w:val="24"/>
        </w:rPr>
        <w:t>switchyard</w:t>
      </w:r>
      <w:r>
        <w:rPr>
          <w:sz w:val="24"/>
        </w:rPr>
        <w:t>, which may include </w:t>
      </w:r>
      <w:r>
        <w:rPr>
          <w:i/>
          <w:sz w:val="24"/>
        </w:rPr>
        <w:t>transformers</w:t>
      </w:r>
      <w:r>
        <w:rPr>
          <w:sz w:val="24"/>
        </w:rPr>
        <w:t>, circuit breakers, </w:t>
      </w:r>
      <w:r>
        <w:rPr>
          <w:i/>
          <w:sz w:val="24"/>
        </w:rPr>
        <w:t>reactive plant </w:t>
      </w:r>
      <w:r>
        <w:rPr>
          <w:sz w:val="24"/>
        </w:rPr>
        <w:t>and </w:t>
      </w:r>
      <w:r>
        <w:rPr>
          <w:i/>
          <w:sz w:val="24"/>
        </w:rPr>
        <w:t>monitoring equipment </w:t>
      </w:r>
      <w:r>
        <w:rPr>
          <w:sz w:val="24"/>
        </w:rPr>
        <w:t>and control equipment.</w:t>
      </w:r>
    </w:p>
    <w:p>
      <w:pPr>
        <w:pStyle w:val="Heading5"/>
        <w:rPr>
          <w:i/>
        </w:rPr>
      </w:pPr>
      <w:r>
        <w:rPr>
          <w:i/>
        </w:rPr>
        <w:t>Transmission Ring-Fencing Guidelines</w:t>
      </w:r>
    </w:p>
    <w:p>
      <w:pPr>
        <w:pStyle w:val="BodyText"/>
        <w:ind w:left="1352" w:firstLine="0"/>
      </w:pPr>
      <w:r>
        <w:rPr/>
        <w:t>The Guidelines made under rule 6A.21.</w:t>
      </w:r>
    </w:p>
    <w:p>
      <w:pPr>
        <w:pStyle w:val="Heading5"/>
        <w:rPr>
          <w:i/>
        </w:rPr>
      </w:pPr>
      <w:r>
        <w:rPr>
          <w:i/>
        </w:rPr>
        <w:t>transmission service</w:t>
      </w:r>
    </w:p>
    <w:p>
      <w:pPr>
        <w:spacing w:before="120"/>
        <w:ind w:left="1352" w:right="0" w:firstLine="0"/>
        <w:jc w:val="both"/>
        <w:rPr>
          <w:sz w:val="24"/>
        </w:rPr>
      </w:pPr>
      <w:r>
        <w:rPr>
          <w:sz w:val="24"/>
        </w:rPr>
        <w:t>The services provided by means of, or in connection with, a </w:t>
      </w:r>
      <w:r>
        <w:rPr>
          <w:i/>
          <w:sz w:val="24"/>
        </w:rPr>
        <w:t>transmission system</w:t>
      </w:r>
      <w:r>
        <w:rPr>
          <w:sz w:val="24"/>
        </w:rPr>
        <w:t>.</w:t>
      </w:r>
    </w:p>
    <w:p>
      <w:pPr>
        <w:pStyle w:val="Heading5"/>
        <w:rPr>
          <w:i/>
        </w:rPr>
      </w:pPr>
      <w:r>
        <w:rPr>
          <w:i/>
        </w:rPr>
        <w:t>transmission services access dispute</w:t>
      </w:r>
    </w:p>
    <w:p>
      <w:pPr>
        <w:spacing w:before="120"/>
        <w:ind w:left="1352" w:right="414" w:firstLine="0"/>
        <w:jc w:val="both"/>
        <w:rPr>
          <w:sz w:val="24"/>
        </w:rPr>
      </w:pPr>
      <w:r>
        <w:rPr>
          <w:sz w:val="24"/>
        </w:rPr>
        <w:t>A dispute between a </w:t>
      </w:r>
      <w:r>
        <w:rPr>
          <w:i/>
          <w:sz w:val="24"/>
        </w:rPr>
        <w:t>Transmission Network Service Provider </w:t>
      </w:r>
      <w:r>
        <w:rPr>
          <w:sz w:val="24"/>
        </w:rPr>
        <w:t>and a </w:t>
      </w:r>
      <w:r>
        <w:rPr>
          <w:i/>
          <w:sz w:val="24"/>
        </w:rPr>
        <w:t>Connection </w:t>
      </w:r>
      <w:r>
        <w:rPr>
          <w:i/>
          <w:sz w:val="24"/>
        </w:rPr>
        <w:t>Applicant </w:t>
      </w:r>
      <w:r>
        <w:rPr>
          <w:sz w:val="24"/>
        </w:rPr>
        <w:t>as to </w:t>
      </w:r>
      <w:r>
        <w:rPr>
          <w:i/>
          <w:sz w:val="24"/>
        </w:rPr>
        <w:t>terms and conditions of access </w:t>
      </w:r>
      <w:r>
        <w:rPr>
          <w:sz w:val="24"/>
        </w:rPr>
        <w:t>for the provision of </w:t>
      </w:r>
      <w:r>
        <w:rPr>
          <w:i/>
          <w:sz w:val="24"/>
        </w:rPr>
        <w:t>prescribed </w:t>
      </w:r>
      <w:r>
        <w:rPr>
          <w:i/>
          <w:sz w:val="24"/>
        </w:rPr>
        <w:t>transmission services </w:t>
      </w:r>
      <w:r>
        <w:rPr>
          <w:sz w:val="24"/>
        </w:rPr>
        <w:t>or for the provision of </w:t>
      </w:r>
      <w:r>
        <w:rPr>
          <w:i/>
          <w:sz w:val="24"/>
        </w:rPr>
        <w:t>negotiated transmission services </w:t>
      </w:r>
      <w:r>
        <w:rPr>
          <w:sz w:val="24"/>
        </w:rPr>
        <w:t>as referred to in clause 5.5.1(c), that is for determination by a </w:t>
      </w:r>
      <w:r>
        <w:rPr>
          <w:i/>
          <w:sz w:val="24"/>
        </w:rPr>
        <w:t>commercial arbitrator </w:t>
      </w:r>
      <w:r>
        <w:rPr>
          <w:sz w:val="24"/>
        </w:rPr>
        <w:t>under rule 5.5.</w:t>
      </w:r>
    </w:p>
    <w:p>
      <w:pPr>
        <w:pStyle w:val="Heading5"/>
        <w:rPr>
          <w:i/>
        </w:rPr>
      </w:pPr>
      <w:r>
        <w:rPr>
          <w:i/>
        </w:rPr>
        <w:t>transmission standard control service</w:t>
      </w:r>
    </w:p>
    <w:p>
      <w:pPr>
        <w:pStyle w:val="BodyText"/>
        <w:ind w:left="1352" w:firstLine="0"/>
      </w:pPr>
      <w:r>
        <w:rPr/>
        <w:t>Has the meaning given in rule 6.25(a).</w:t>
      </w:r>
    </w:p>
    <w:p>
      <w:pPr>
        <w:pStyle w:val="Heading5"/>
        <w:rPr>
          <w:i/>
        </w:rPr>
      </w:pPr>
      <w:r>
        <w:rPr>
          <w:i/>
        </w:rPr>
        <w:t>transmission standard control service revenue</w:t>
      </w:r>
    </w:p>
    <w:p>
      <w:pPr>
        <w:pStyle w:val="BodyText"/>
        <w:ind w:left="1352" w:firstLine="0"/>
      </w:pPr>
      <w:r>
        <w:rPr/>
        <w:t>Has the meaning given in rule 6.26(b)(1).</w:t>
      </w:r>
    </w:p>
    <w:p>
      <w:pPr>
        <w:pStyle w:val="Heading5"/>
        <w:rPr>
          <w:i/>
        </w:rPr>
      </w:pPr>
      <w:r>
        <w:rPr>
          <w:i/>
        </w:rPr>
        <w:t>transmission system</w:t>
      </w:r>
    </w:p>
    <w:p>
      <w:pPr>
        <w:spacing w:before="120"/>
        <w:ind w:left="1352" w:right="414" w:firstLine="0"/>
        <w:jc w:val="both"/>
        <w:rPr>
          <w:sz w:val="24"/>
        </w:rPr>
      </w:pPr>
      <w:r>
        <w:rPr>
          <w:sz w:val="24"/>
        </w:rPr>
        <w:t>A </w:t>
      </w:r>
      <w:r>
        <w:rPr>
          <w:i/>
          <w:sz w:val="24"/>
        </w:rPr>
        <w:t>transmission network</w:t>
      </w:r>
      <w:r>
        <w:rPr>
          <w:sz w:val="24"/>
        </w:rPr>
        <w:t>, together with the </w:t>
      </w:r>
      <w:r>
        <w:rPr>
          <w:i/>
          <w:sz w:val="24"/>
        </w:rPr>
        <w:t>connection assets </w:t>
      </w:r>
      <w:r>
        <w:rPr>
          <w:sz w:val="24"/>
        </w:rPr>
        <w:t>associated with the </w:t>
      </w:r>
      <w:r>
        <w:rPr>
          <w:i/>
          <w:sz w:val="24"/>
        </w:rPr>
        <w:t>transmission network</w:t>
      </w:r>
      <w:r>
        <w:rPr>
          <w:sz w:val="24"/>
        </w:rPr>
        <w:t>, which is </w:t>
      </w:r>
      <w:r>
        <w:rPr>
          <w:i/>
          <w:sz w:val="24"/>
        </w:rPr>
        <w:t>connected </w:t>
      </w:r>
      <w:r>
        <w:rPr>
          <w:sz w:val="24"/>
        </w:rPr>
        <w:t>to another </w:t>
      </w:r>
      <w:r>
        <w:rPr>
          <w:i/>
          <w:sz w:val="24"/>
        </w:rPr>
        <w:t>transmission </w:t>
      </w:r>
      <w:r>
        <w:rPr>
          <w:sz w:val="24"/>
        </w:rPr>
        <w:t>or </w:t>
      </w:r>
      <w:r>
        <w:rPr>
          <w:i/>
          <w:sz w:val="24"/>
        </w:rPr>
        <w:t>distribution </w:t>
      </w:r>
      <w:r>
        <w:rPr>
          <w:i/>
          <w:sz w:val="24"/>
        </w:rPr>
        <w:t>system</w:t>
      </w:r>
      <w:r>
        <w:rPr>
          <w:sz w:val="24"/>
        </w:rPr>
        <w:t>.</w:t>
      </w:r>
    </w:p>
    <w:p>
      <w:pPr>
        <w:spacing w:before="120"/>
        <w:ind w:left="1352" w:right="415" w:firstLine="0"/>
        <w:jc w:val="both"/>
        <w:rPr>
          <w:sz w:val="24"/>
        </w:rPr>
      </w:pPr>
      <w:r>
        <w:rPr>
          <w:sz w:val="24"/>
        </w:rPr>
        <w:t>For a </w:t>
      </w:r>
      <w:r>
        <w:rPr>
          <w:i/>
          <w:sz w:val="24"/>
        </w:rPr>
        <w:t>participating jurisdiction </w:t>
      </w:r>
      <w:r>
        <w:rPr>
          <w:sz w:val="24"/>
        </w:rPr>
        <w:t>other than the State of Victoria, a </w:t>
      </w:r>
      <w:r>
        <w:rPr>
          <w:i/>
          <w:sz w:val="24"/>
        </w:rPr>
        <w:t>transmission </w:t>
      </w:r>
      <w:r>
        <w:rPr>
          <w:i/>
          <w:sz w:val="24"/>
        </w:rPr>
        <w:t>system </w:t>
      </w:r>
      <w:r>
        <w:rPr>
          <w:sz w:val="24"/>
        </w:rPr>
        <w:t>includes for the purposes of Chapter 2, a </w:t>
      </w:r>
      <w:r>
        <w:rPr>
          <w:i/>
          <w:sz w:val="24"/>
        </w:rPr>
        <w:t>third party DCA</w:t>
      </w:r>
      <w:r>
        <w:rPr>
          <w:sz w:val="24"/>
        </w:rPr>
        <w:t>, which is not a Notified Existing DCA within the meaning of clause 11.98.1.</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An </w:t>
      </w:r>
      <w:r>
        <w:rPr>
          <w:i/>
          <w:sz w:val="20"/>
        </w:rPr>
        <w:t>identified user shared asset </w:t>
      </w:r>
      <w:r>
        <w:rPr>
          <w:sz w:val="20"/>
        </w:rPr>
        <w:t>or a </w:t>
      </w:r>
      <w:r>
        <w:rPr>
          <w:i/>
          <w:sz w:val="20"/>
        </w:rPr>
        <w:t>dedicated connection asset </w:t>
      </w:r>
      <w:r>
        <w:rPr>
          <w:sz w:val="20"/>
        </w:rPr>
        <w:t>for which the </w:t>
      </w:r>
      <w:r>
        <w:rPr>
          <w:i/>
          <w:sz w:val="20"/>
        </w:rPr>
        <w:t>Primary </w:t>
      </w:r>
      <w:r>
        <w:rPr>
          <w:i/>
          <w:sz w:val="20"/>
        </w:rPr>
        <w:t>Transmission Network Service Provider </w:t>
      </w:r>
      <w:r>
        <w:rPr>
          <w:sz w:val="20"/>
        </w:rPr>
        <w:t>is registered will form part of that provider's broader </w:t>
      </w:r>
      <w:r>
        <w:rPr>
          <w:i/>
          <w:sz w:val="20"/>
        </w:rPr>
        <w:t>transmission system </w:t>
      </w:r>
      <w:r>
        <w:rPr>
          <w:sz w:val="20"/>
        </w:rPr>
        <w:t>(even if the </w:t>
      </w:r>
      <w:r>
        <w:rPr>
          <w:i/>
          <w:sz w:val="20"/>
        </w:rPr>
        <w:t>dedicated connection asset </w:t>
      </w:r>
      <w:r>
        <w:rPr>
          <w:sz w:val="20"/>
        </w:rPr>
        <w:t>is operating at a distribution </w:t>
      </w:r>
      <w:r>
        <w:rPr>
          <w:i/>
          <w:sz w:val="20"/>
        </w:rPr>
        <w:t>voltage</w:t>
      </w:r>
      <w:r>
        <w:rPr>
          <w:sz w:val="20"/>
        </w:rPr>
        <w:t>) rather than constituting a separate </w:t>
      </w:r>
      <w:r>
        <w:rPr>
          <w:i/>
          <w:sz w:val="20"/>
        </w:rPr>
        <w:t>transmission system </w:t>
      </w:r>
      <w:r>
        <w:rPr>
          <w:sz w:val="20"/>
        </w:rPr>
        <w:t>requiring separate registration under Chapter 2. A person owning, controlling or operating a </w:t>
      </w:r>
      <w:r>
        <w:rPr>
          <w:i/>
          <w:sz w:val="20"/>
        </w:rPr>
        <w:t>third party DCA </w:t>
      </w:r>
      <w:r>
        <w:rPr>
          <w:sz w:val="20"/>
        </w:rPr>
        <w:t>is required to be  registered under Chapter 2 as a </w:t>
      </w:r>
      <w:r>
        <w:rPr>
          <w:i/>
          <w:sz w:val="20"/>
        </w:rPr>
        <w:t>Transmission Network Service</w:t>
      </w:r>
      <w:r>
        <w:rPr>
          <w:i/>
          <w:spacing w:val="-4"/>
          <w:sz w:val="20"/>
        </w:rPr>
        <w:t> </w:t>
      </w:r>
      <w:r>
        <w:rPr>
          <w:i/>
          <w:sz w:val="20"/>
        </w:rPr>
        <w:t>Provider</w:t>
      </w:r>
      <w:r>
        <w:rPr>
          <w:sz w:val="20"/>
        </w:rPr>
        <w:t>.</w:t>
      </w:r>
    </w:p>
    <w:p>
      <w:pPr>
        <w:pStyle w:val="Heading5"/>
        <w:rPr>
          <w:i/>
        </w:rPr>
      </w:pPr>
      <w:r>
        <w:rPr>
          <w:i/>
        </w:rPr>
        <w:t>transmission use of system, transmission use of system service</w:t>
      </w:r>
    </w:p>
    <w:p>
      <w:pPr>
        <w:spacing w:before="120"/>
        <w:ind w:left="1352" w:right="415" w:firstLine="0"/>
        <w:jc w:val="both"/>
        <w:rPr>
          <w:sz w:val="24"/>
        </w:rPr>
      </w:pPr>
      <w:r>
        <w:rPr>
          <w:sz w:val="24"/>
        </w:rPr>
        <w:t>A </w:t>
      </w:r>
      <w:r>
        <w:rPr>
          <w:i/>
          <w:sz w:val="24"/>
        </w:rPr>
        <w:t>Generator transmission use of system service </w:t>
      </w:r>
      <w:r>
        <w:rPr>
          <w:sz w:val="24"/>
        </w:rPr>
        <w:t>or a </w:t>
      </w:r>
      <w:r>
        <w:rPr>
          <w:i/>
          <w:sz w:val="24"/>
        </w:rPr>
        <w:t>Customer transmission use of </w:t>
      </w:r>
      <w:r>
        <w:rPr>
          <w:i/>
          <w:sz w:val="24"/>
        </w:rPr>
        <w:t>system service</w:t>
      </w:r>
      <w:r>
        <w:rPr>
          <w:sz w:val="24"/>
        </w:rPr>
        <w:t>.</w:t>
      </w:r>
    </w:p>
    <w:p>
      <w:pPr>
        <w:spacing w:after="0"/>
        <w:jc w:val="both"/>
        <w:rPr>
          <w:sz w:val="24"/>
        </w:rPr>
        <w:sectPr>
          <w:pgSz w:w="11910" w:h="16840"/>
          <w:pgMar w:header="686" w:footer="637" w:top="1320" w:bottom="820" w:left="1200" w:right="1000"/>
        </w:sectPr>
      </w:pPr>
    </w:p>
    <w:p>
      <w:pPr>
        <w:pStyle w:val="Heading5"/>
        <w:spacing w:before="83"/>
        <w:rPr>
          <w:i/>
        </w:rPr>
      </w:pPr>
      <w:r>
        <w:rPr>
          <w:i/>
        </w:rPr>
        <w:t>trigger event</w:t>
      </w:r>
    </w:p>
    <w:p>
      <w:pPr>
        <w:spacing w:before="120"/>
        <w:ind w:left="1352" w:right="415" w:firstLine="0"/>
        <w:jc w:val="both"/>
        <w:rPr>
          <w:sz w:val="24"/>
        </w:rPr>
      </w:pPr>
      <w:r>
        <w:rPr>
          <w:sz w:val="24"/>
        </w:rPr>
        <w:t>For a </w:t>
      </w:r>
      <w:r>
        <w:rPr>
          <w:i/>
          <w:sz w:val="24"/>
        </w:rPr>
        <w:t>Distribution Network Service Provider</w:t>
      </w:r>
      <w:r>
        <w:rPr>
          <w:sz w:val="24"/>
        </w:rPr>
        <w:t>, in relation to a </w:t>
      </w:r>
      <w:r>
        <w:rPr>
          <w:i/>
          <w:sz w:val="24"/>
        </w:rPr>
        <w:t>proposed contingent </w:t>
      </w:r>
      <w:r>
        <w:rPr>
          <w:i/>
          <w:sz w:val="24"/>
        </w:rPr>
        <w:t>project </w:t>
      </w:r>
      <w:r>
        <w:rPr>
          <w:sz w:val="24"/>
        </w:rPr>
        <w:t>or a </w:t>
      </w:r>
      <w:r>
        <w:rPr>
          <w:i/>
          <w:sz w:val="24"/>
        </w:rPr>
        <w:t>contingent project</w:t>
      </w:r>
      <w:r>
        <w:rPr>
          <w:sz w:val="24"/>
        </w:rPr>
        <w:t>, a specific condition or event described in clause 6.6A.1(c), the occurrence of which, during the relevant </w:t>
      </w:r>
      <w:r>
        <w:rPr>
          <w:i/>
          <w:sz w:val="24"/>
        </w:rPr>
        <w:t>regulatory control period</w:t>
      </w:r>
      <w:r>
        <w:rPr>
          <w:sz w:val="24"/>
        </w:rPr>
        <w:t>, may result in the amendment of a distribution determination under clause 6.6A.2.</w:t>
      </w:r>
    </w:p>
    <w:p>
      <w:pPr>
        <w:spacing w:before="120"/>
        <w:ind w:left="1352" w:right="415" w:firstLine="0"/>
        <w:jc w:val="both"/>
        <w:rPr>
          <w:sz w:val="24"/>
        </w:rPr>
      </w:pPr>
      <w:r>
        <w:rPr>
          <w:sz w:val="24"/>
        </w:rPr>
        <w:t>For a </w:t>
      </w:r>
      <w:r>
        <w:rPr>
          <w:i/>
          <w:sz w:val="24"/>
        </w:rPr>
        <w:t>Transmission Network Service Provider</w:t>
      </w:r>
      <w:r>
        <w:rPr>
          <w:sz w:val="24"/>
        </w:rPr>
        <w:t>, in relation to a </w:t>
      </w:r>
      <w:r>
        <w:rPr>
          <w:i/>
          <w:sz w:val="24"/>
        </w:rPr>
        <w:t>proposed </w:t>
      </w:r>
      <w:r>
        <w:rPr>
          <w:i/>
          <w:sz w:val="24"/>
        </w:rPr>
        <w:t>contingent project </w:t>
      </w:r>
      <w:r>
        <w:rPr>
          <w:sz w:val="24"/>
        </w:rPr>
        <w:t>or a </w:t>
      </w:r>
      <w:r>
        <w:rPr>
          <w:i/>
          <w:sz w:val="24"/>
        </w:rPr>
        <w:t>contingent project</w:t>
      </w:r>
      <w:r>
        <w:rPr>
          <w:sz w:val="24"/>
        </w:rPr>
        <w:t>, a specific condition or event described in clause 6A.8.1(c), the occurrence of which, during the relevant </w:t>
      </w:r>
      <w:r>
        <w:rPr>
          <w:i/>
          <w:sz w:val="24"/>
        </w:rPr>
        <w:t>regulatory </w:t>
      </w:r>
      <w:r>
        <w:rPr>
          <w:i/>
          <w:sz w:val="24"/>
        </w:rPr>
        <w:t>control period</w:t>
      </w:r>
      <w:r>
        <w:rPr>
          <w:sz w:val="24"/>
        </w:rPr>
        <w:t>, may result in the amendment of a </w:t>
      </w:r>
      <w:r>
        <w:rPr>
          <w:i/>
          <w:sz w:val="24"/>
        </w:rPr>
        <w:t>revenue determination </w:t>
      </w:r>
      <w:r>
        <w:rPr>
          <w:sz w:val="24"/>
        </w:rPr>
        <w:t>under clause</w:t>
      </w:r>
      <w:r>
        <w:rPr>
          <w:spacing w:val="-2"/>
          <w:sz w:val="24"/>
        </w:rPr>
        <w:t> </w:t>
      </w:r>
      <w:r>
        <w:rPr>
          <w:sz w:val="24"/>
        </w:rPr>
        <w:t>6A.8.2.</w:t>
      </w:r>
    </w:p>
    <w:p>
      <w:pPr>
        <w:pStyle w:val="Heading5"/>
        <w:rPr>
          <w:i/>
        </w:rPr>
      </w:pPr>
      <w:r>
        <w:rPr>
          <w:i/>
        </w:rPr>
        <w:t>two-terminal link</w:t>
      </w:r>
    </w:p>
    <w:p>
      <w:pPr>
        <w:spacing w:before="120"/>
        <w:ind w:left="1352" w:right="414" w:firstLine="0"/>
        <w:jc w:val="both"/>
        <w:rPr>
          <w:sz w:val="24"/>
        </w:rPr>
      </w:pPr>
      <w:r>
        <w:rPr>
          <w:sz w:val="24"/>
        </w:rPr>
        <w:t>One or more </w:t>
      </w:r>
      <w:r>
        <w:rPr>
          <w:i/>
          <w:sz w:val="24"/>
        </w:rPr>
        <w:t>network elements </w:t>
      </w:r>
      <w:r>
        <w:rPr>
          <w:sz w:val="24"/>
        </w:rPr>
        <w:t>that together enable the transfer of </w:t>
      </w:r>
      <w:r>
        <w:rPr>
          <w:i/>
          <w:sz w:val="24"/>
        </w:rPr>
        <w:t>energy </w:t>
      </w:r>
      <w:r>
        <w:rPr>
          <w:sz w:val="24"/>
        </w:rPr>
        <w:t>between two, and only two, </w:t>
      </w:r>
      <w:r>
        <w:rPr>
          <w:i/>
          <w:sz w:val="24"/>
        </w:rPr>
        <w:t>connection points</w:t>
      </w:r>
      <w:r>
        <w:rPr>
          <w:sz w:val="24"/>
        </w:rPr>
        <w:t>.</w:t>
      </w:r>
    </w:p>
    <w:p>
      <w:pPr>
        <w:pStyle w:val="Heading5"/>
        <w:rPr>
          <w:i/>
        </w:rPr>
      </w:pPr>
      <w:r>
        <w:rPr>
          <w:i/>
        </w:rPr>
        <w:t>type 5 accumulation boundary</w:t>
      </w:r>
    </w:p>
    <w:p>
      <w:pPr>
        <w:spacing w:before="120"/>
        <w:ind w:left="1352" w:right="415" w:firstLine="0"/>
        <w:jc w:val="both"/>
        <w:rPr>
          <w:sz w:val="24"/>
        </w:rPr>
      </w:pPr>
      <w:r>
        <w:rPr>
          <w:sz w:val="24"/>
        </w:rPr>
        <w:t>The volume of </w:t>
      </w:r>
      <w:r>
        <w:rPr>
          <w:i/>
          <w:sz w:val="24"/>
        </w:rPr>
        <w:t>energy </w:t>
      </w:r>
      <w:r>
        <w:rPr>
          <w:sz w:val="24"/>
        </w:rPr>
        <w:t>for a </w:t>
      </w:r>
      <w:r>
        <w:rPr>
          <w:i/>
          <w:sz w:val="24"/>
        </w:rPr>
        <w:t>connection point </w:t>
      </w:r>
      <w:r>
        <w:rPr>
          <w:sz w:val="24"/>
        </w:rPr>
        <w:t>that has a type 5 </w:t>
      </w:r>
      <w:r>
        <w:rPr>
          <w:i/>
          <w:sz w:val="24"/>
        </w:rPr>
        <w:t>metering </w:t>
      </w:r>
      <w:r>
        <w:rPr>
          <w:i/>
          <w:sz w:val="24"/>
        </w:rPr>
        <w:t>installation </w:t>
      </w:r>
      <w:r>
        <w:rPr>
          <w:sz w:val="24"/>
        </w:rPr>
        <w:t>above which the </w:t>
      </w:r>
      <w:r>
        <w:rPr>
          <w:i/>
          <w:sz w:val="24"/>
        </w:rPr>
        <w:t>metering data </w:t>
      </w:r>
      <w:r>
        <w:rPr>
          <w:sz w:val="24"/>
        </w:rPr>
        <w:t>must be collected as </w:t>
      </w:r>
      <w:r>
        <w:rPr>
          <w:i/>
          <w:sz w:val="24"/>
        </w:rPr>
        <w:t>interval metering </w:t>
      </w:r>
      <w:r>
        <w:rPr>
          <w:i/>
          <w:sz w:val="24"/>
        </w:rPr>
        <w:t>data </w:t>
      </w:r>
      <w:r>
        <w:rPr>
          <w:sz w:val="24"/>
        </w:rPr>
        <w:t>for the purpose of producing </w:t>
      </w:r>
      <w:r>
        <w:rPr>
          <w:i/>
          <w:sz w:val="24"/>
        </w:rPr>
        <w:t>settlements ready</w:t>
      </w:r>
      <w:r>
        <w:rPr>
          <w:i/>
          <w:spacing w:val="-5"/>
          <w:sz w:val="24"/>
        </w:rPr>
        <w:t> </w:t>
      </w:r>
      <w:r>
        <w:rPr>
          <w:i/>
          <w:sz w:val="24"/>
        </w:rPr>
        <w:t>data</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both"/>
        <w:rPr>
          <w:sz w:val="20"/>
        </w:rPr>
      </w:pPr>
      <w:r>
        <w:rPr>
          <w:sz w:val="20"/>
        </w:rPr>
        <w:t>Below the type 5 accumulation boundary, the metering data may be collected from the metering installation as accumulated metering data for the purpose of producing settlements ready data, in which case the metering installation must be registered with AEMO as a type 6 metering installation. Otherwise, the metering data may be collected as interval metering data for the purpose of producing settlements ready data in which case the metering installation must be registered with AEMO as a type 5 metering installation.</w:t>
      </w:r>
    </w:p>
    <w:p>
      <w:pPr>
        <w:pStyle w:val="Heading5"/>
        <w:rPr>
          <w:i/>
        </w:rPr>
      </w:pPr>
      <w:r>
        <w:rPr>
          <w:i/>
        </w:rPr>
        <w:t>typical accrual</w:t>
      </w:r>
    </w:p>
    <w:p>
      <w:pPr>
        <w:pStyle w:val="BodyText"/>
        <w:ind w:left="1352" w:firstLine="0"/>
      </w:pPr>
      <w:r>
        <w:rPr/>
        <w:t>Has the meaning given in clause 3.3.12(a).</w:t>
      </w:r>
    </w:p>
    <w:p>
      <w:pPr>
        <w:pStyle w:val="Heading5"/>
        <w:rPr>
          <w:i/>
        </w:rPr>
      </w:pPr>
      <w:r>
        <w:rPr>
          <w:i/>
        </w:rPr>
        <w:t>uncompleted transaction</w:t>
      </w:r>
    </w:p>
    <w:p>
      <w:pPr>
        <w:pStyle w:val="BodyText"/>
        <w:ind w:left="1352" w:firstLine="0"/>
      </w:pPr>
      <w:r>
        <w:rPr/>
        <w:t>Has the meaning given in clause 3.3.16(b).</w:t>
      </w:r>
    </w:p>
    <w:p>
      <w:pPr>
        <w:pStyle w:val="Heading5"/>
        <w:jc w:val="left"/>
        <w:rPr>
          <w:i/>
        </w:rPr>
      </w:pPr>
      <w:r>
        <w:rPr>
          <w:i/>
        </w:rPr>
        <w:t>unconstrained</w:t>
      </w:r>
    </w:p>
    <w:p>
      <w:pPr>
        <w:spacing w:before="120"/>
        <w:ind w:left="1352" w:right="0" w:firstLine="0"/>
        <w:jc w:val="left"/>
        <w:rPr>
          <w:sz w:val="24"/>
        </w:rPr>
      </w:pPr>
      <w:r>
        <w:rPr>
          <w:sz w:val="24"/>
        </w:rPr>
        <w:t>Free of </w:t>
      </w:r>
      <w:r>
        <w:rPr>
          <w:i/>
          <w:sz w:val="24"/>
        </w:rPr>
        <w:t>constraint</w:t>
      </w:r>
      <w:r>
        <w:rPr>
          <w:sz w:val="24"/>
        </w:rPr>
        <w:t>.</w:t>
      </w:r>
    </w:p>
    <w:p>
      <w:pPr>
        <w:pStyle w:val="Heading5"/>
        <w:jc w:val="left"/>
        <w:rPr>
          <w:i/>
        </w:rPr>
      </w:pPr>
      <w:r>
        <w:rPr>
          <w:i/>
        </w:rPr>
        <w:t>unconstrained intermittent generation forecast</w:t>
      </w:r>
    </w:p>
    <w:p>
      <w:pPr>
        <w:spacing w:before="120"/>
        <w:ind w:left="1352" w:right="415" w:firstLine="0"/>
        <w:jc w:val="left"/>
        <w:rPr>
          <w:sz w:val="24"/>
        </w:rPr>
      </w:pPr>
      <w:r>
        <w:rPr>
          <w:sz w:val="24"/>
        </w:rPr>
        <w:t>The forecast prepared by </w:t>
      </w:r>
      <w:r>
        <w:rPr>
          <w:i/>
          <w:sz w:val="24"/>
        </w:rPr>
        <w:t>AEMO </w:t>
      </w:r>
      <w:r>
        <w:rPr>
          <w:sz w:val="24"/>
        </w:rPr>
        <w:t>in accordance with rule 3.7B of the </w:t>
      </w:r>
      <w:r>
        <w:rPr>
          <w:i/>
          <w:sz w:val="24"/>
        </w:rPr>
        <w:t>available </w:t>
      </w:r>
      <w:r>
        <w:rPr>
          <w:i/>
          <w:sz w:val="24"/>
        </w:rPr>
        <w:t>capacity </w:t>
      </w:r>
      <w:r>
        <w:rPr>
          <w:sz w:val="24"/>
        </w:rPr>
        <w:t>of each </w:t>
      </w:r>
      <w:r>
        <w:rPr>
          <w:i/>
          <w:sz w:val="24"/>
        </w:rPr>
        <w:t>semi-scheduled generating unit</w:t>
      </w:r>
      <w:r>
        <w:rPr>
          <w:sz w:val="24"/>
        </w:rPr>
        <w:t>.</w:t>
      </w:r>
    </w:p>
    <w:p>
      <w:pPr>
        <w:pStyle w:val="Heading5"/>
        <w:jc w:val="left"/>
        <w:rPr>
          <w:i/>
        </w:rPr>
      </w:pPr>
      <w:r>
        <w:rPr>
          <w:i/>
        </w:rPr>
        <w:t>uncontracted MW position</w:t>
      </w:r>
    </w:p>
    <w:p>
      <w:pPr>
        <w:pStyle w:val="BodyText"/>
        <w:ind w:left="1352" w:firstLine="0"/>
        <w:jc w:val="left"/>
      </w:pPr>
      <w:r>
        <w:rPr/>
        <w:t>Has the meaning given in clause 4A.F.8(b).</w:t>
      </w:r>
    </w:p>
    <w:p>
      <w:pPr>
        <w:pStyle w:val="Heading5"/>
        <w:jc w:val="left"/>
        <w:rPr>
          <w:i/>
        </w:rPr>
      </w:pPr>
      <w:r>
        <w:rPr>
          <w:i/>
        </w:rPr>
        <w:t>under frequency scheme</w:t>
      </w:r>
    </w:p>
    <w:p>
      <w:pPr>
        <w:spacing w:before="120"/>
        <w:ind w:left="1352" w:right="415" w:firstLine="0"/>
        <w:jc w:val="left"/>
        <w:rPr>
          <w:sz w:val="24"/>
        </w:rPr>
      </w:pPr>
      <w:r>
        <w:rPr>
          <w:sz w:val="24"/>
        </w:rPr>
        <w:t>An </w:t>
      </w:r>
      <w:r>
        <w:rPr>
          <w:i/>
          <w:sz w:val="24"/>
        </w:rPr>
        <w:t>emergency frequency control scheme </w:t>
      </w:r>
      <w:r>
        <w:rPr>
          <w:sz w:val="24"/>
        </w:rPr>
        <w:t>with capability to respond when </w:t>
      </w:r>
      <w:r>
        <w:rPr>
          <w:i/>
          <w:sz w:val="24"/>
        </w:rPr>
        <w:t>power </w:t>
      </w:r>
      <w:r>
        <w:rPr>
          <w:i/>
          <w:sz w:val="24"/>
        </w:rPr>
        <w:t>system frequency </w:t>
      </w:r>
      <w:r>
        <w:rPr>
          <w:sz w:val="24"/>
        </w:rPr>
        <w:t>is below or falling below the </w:t>
      </w:r>
      <w:r>
        <w:rPr>
          <w:i/>
          <w:sz w:val="24"/>
        </w:rPr>
        <w:t>normal operating frequency band</w:t>
      </w:r>
      <w:r>
        <w:rPr>
          <w:sz w:val="24"/>
        </w:rPr>
        <w:t>.</w:t>
      </w:r>
    </w:p>
    <w:p>
      <w:pPr>
        <w:pStyle w:val="Heading5"/>
        <w:jc w:val="left"/>
        <w:rPr>
          <w:i/>
        </w:rPr>
      </w:pPr>
      <w:r>
        <w:rPr>
          <w:i/>
        </w:rPr>
        <w:t>under-recovery amount</w:t>
      </w:r>
    </w:p>
    <w:p>
      <w:pPr>
        <w:spacing w:before="120"/>
        <w:ind w:left="1352" w:right="415" w:firstLine="0"/>
        <w:jc w:val="both"/>
        <w:rPr>
          <w:sz w:val="24"/>
        </w:rPr>
      </w:pPr>
      <w:r>
        <w:rPr>
          <w:sz w:val="24"/>
        </w:rPr>
        <w:t>Any amount by which the sum of the </w:t>
      </w:r>
      <w:r>
        <w:rPr>
          <w:i/>
          <w:sz w:val="24"/>
        </w:rPr>
        <w:t>AARR </w:t>
      </w:r>
      <w:r>
        <w:rPr>
          <w:sz w:val="24"/>
        </w:rPr>
        <w:t>in previous </w:t>
      </w:r>
      <w:r>
        <w:rPr>
          <w:i/>
          <w:sz w:val="24"/>
        </w:rPr>
        <w:t>regulatory years </w:t>
      </w:r>
      <w:r>
        <w:rPr>
          <w:sz w:val="24"/>
        </w:rPr>
        <w:t>exceeds the revenue earned from the provision of </w:t>
      </w:r>
      <w:r>
        <w:rPr>
          <w:i/>
          <w:sz w:val="24"/>
        </w:rPr>
        <w:t>prescribed transmission services </w:t>
      </w:r>
      <w:r>
        <w:rPr>
          <w:sz w:val="24"/>
        </w:rPr>
        <w:t>in  those </w:t>
      </w:r>
      <w:r>
        <w:rPr>
          <w:i/>
          <w:sz w:val="24"/>
        </w:rPr>
        <w:t>regulatory</w:t>
      </w:r>
      <w:r>
        <w:rPr>
          <w:i/>
          <w:spacing w:val="-2"/>
          <w:sz w:val="24"/>
        </w:rPr>
        <w:t> </w:t>
      </w:r>
      <w:r>
        <w:rPr>
          <w:i/>
          <w:sz w:val="24"/>
        </w:rPr>
        <w:t>years</w:t>
      </w:r>
      <w:r>
        <w:rPr>
          <w:sz w:val="24"/>
        </w:rPr>
        <w:t>.</w:t>
      </w:r>
    </w:p>
    <w:p>
      <w:pPr>
        <w:spacing w:after="0"/>
        <w:jc w:val="both"/>
        <w:rPr>
          <w:sz w:val="24"/>
        </w:rPr>
        <w:sectPr>
          <w:pgSz w:w="11910" w:h="16840"/>
          <w:pgMar w:header="686" w:footer="637" w:top="1320" w:bottom="820" w:left="1200" w:right="1000"/>
        </w:sectPr>
      </w:pPr>
    </w:p>
    <w:p>
      <w:pPr>
        <w:pStyle w:val="Heading5"/>
        <w:spacing w:before="83"/>
        <w:jc w:val="left"/>
        <w:rPr>
          <w:i/>
        </w:rPr>
      </w:pPr>
      <w:r>
        <w:rPr>
          <w:i/>
        </w:rPr>
        <w:t>unmetered connection point</w:t>
      </w:r>
    </w:p>
    <w:p>
      <w:pPr>
        <w:spacing w:before="120"/>
        <w:ind w:left="1352" w:right="0" w:firstLine="0"/>
        <w:jc w:val="left"/>
        <w:rPr>
          <w:sz w:val="24"/>
        </w:rPr>
      </w:pPr>
      <w:r>
        <w:rPr>
          <w:sz w:val="24"/>
        </w:rPr>
        <w:t>A </w:t>
      </w:r>
      <w:r>
        <w:rPr>
          <w:i/>
          <w:sz w:val="24"/>
        </w:rPr>
        <w:t>connection point </w:t>
      </w:r>
      <w:r>
        <w:rPr>
          <w:sz w:val="24"/>
        </w:rPr>
        <w:t>at which a </w:t>
      </w:r>
      <w:r>
        <w:rPr>
          <w:i/>
          <w:sz w:val="24"/>
        </w:rPr>
        <w:t>meter </w:t>
      </w:r>
      <w:r>
        <w:rPr>
          <w:sz w:val="24"/>
        </w:rPr>
        <w:t>is not necessary under schedule 7A.1.</w:t>
      </w:r>
    </w:p>
    <w:p>
      <w:pPr>
        <w:pStyle w:val="Heading5"/>
        <w:jc w:val="left"/>
        <w:rPr>
          <w:i/>
        </w:rPr>
      </w:pPr>
      <w:r>
        <w:rPr>
          <w:i/>
        </w:rPr>
        <w:t>unscheduled reserve</w:t>
      </w:r>
    </w:p>
    <w:p>
      <w:pPr>
        <w:pStyle w:val="BodyText"/>
        <w:ind w:left="1352" w:firstLine="0"/>
        <w:jc w:val="left"/>
      </w:pPr>
      <w:r>
        <w:rPr/>
        <w:t>The amount of surplus or unused capacity:</w:t>
      </w:r>
    </w:p>
    <w:p>
      <w:pPr>
        <w:pStyle w:val="ListParagraph"/>
        <w:numPr>
          <w:ilvl w:val="0"/>
          <w:numId w:val="841"/>
        </w:numPr>
        <w:tabs>
          <w:tab w:pos="1918" w:val="left" w:leader="none"/>
          <w:tab w:pos="1919" w:val="left" w:leader="none"/>
        </w:tabs>
        <w:spacing w:line="240" w:lineRule="auto" w:before="120" w:after="0"/>
        <w:ind w:left="1918" w:right="0" w:hanging="567"/>
        <w:jc w:val="left"/>
        <w:rPr>
          <w:sz w:val="24"/>
        </w:rPr>
      </w:pPr>
      <w:r>
        <w:rPr>
          <w:sz w:val="24"/>
        </w:rPr>
        <w:t>of </w:t>
      </w:r>
      <w:r>
        <w:rPr>
          <w:i/>
          <w:sz w:val="24"/>
        </w:rPr>
        <w:t>generating units </w:t>
      </w:r>
      <w:r>
        <w:rPr>
          <w:sz w:val="24"/>
        </w:rPr>
        <w:t>(other than </w:t>
      </w:r>
      <w:r>
        <w:rPr>
          <w:i/>
          <w:sz w:val="24"/>
        </w:rPr>
        <w:t>scheduled generating units</w:t>
      </w:r>
      <w:r>
        <w:rPr>
          <w:sz w:val="24"/>
        </w:rPr>
        <w:t>);</w:t>
      </w:r>
      <w:r>
        <w:rPr>
          <w:spacing w:val="-4"/>
          <w:sz w:val="24"/>
        </w:rPr>
        <w:t> </w:t>
      </w:r>
      <w:r>
        <w:rPr>
          <w:sz w:val="24"/>
        </w:rPr>
        <w:t>or</w:t>
      </w:r>
    </w:p>
    <w:p>
      <w:pPr>
        <w:pStyle w:val="ListParagraph"/>
        <w:numPr>
          <w:ilvl w:val="0"/>
          <w:numId w:val="841"/>
        </w:numPr>
        <w:tabs>
          <w:tab w:pos="1918" w:val="left" w:leader="none"/>
          <w:tab w:pos="1919" w:val="left" w:leader="none"/>
        </w:tabs>
        <w:spacing w:line="240" w:lineRule="auto" w:before="120" w:after="0"/>
        <w:ind w:left="1918" w:right="0" w:hanging="567"/>
        <w:jc w:val="left"/>
        <w:rPr>
          <w:sz w:val="24"/>
        </w:rPr>
      </w:pPr>
      <w:r>
        <w:rPr>
          <w:sz w:val="24"/>
        </w:rPr>
        <w:t>arising out of the ability to reduce demand (other than a </w:t>
      </w:r>
      <w:r>
        <w:rPr>
          <w:i/>
          <w:sz w:val="24"/>
        </w:rPr>
        <w:t>scheduled</w:t>
      </w:r>
      <w:r>
        <w:rPr>
          <w:i/>
          <w:spacing w:val="-6"/>
          <w:sz w:val="24"/>
        </w:rPr>
        <w:t> </w:t>
      </w:r>
      <w:r>
        <w:rPr>
          <w:i/>
          <w:sz w:val="24"/>
        </w:rPr>
        <w:t>load</w:t>
      </w:r>
      <w:r>
        <w:rPr>
          <w:sz w:val="24"/>
        </w:rPr>
        <w:t>).</w:t>
      </w:r>
    </w:p>
    <w:p>
      <w:pPr>
        <w:pStyle w:val="Heading5"/>
        <w:jc w:val="left"/>
        <w:rPr>
          <w:i/>
        </w:rPr>
      </w:pPr>
      <w:r>
        <w:rPr>
          <w:i/>
        </w:rPr>
        <w:t>unscheduled reserve contract</w:t>
      </w:r>
    </w:p>
    <w:p>
      <w:pPr>
        <w:spacing w:before="120"/>
        <w:ind w:left="1352" w:right="0" w:firstLine="0"/>
        <w:jc w:val="left"/>
        <w:rPr>
          <w:sz w:val="24"/>
        </w:rPr>
      </w:pPr>
      <w:r>
        <w:rPr>
          <w:sz w:val="24"/>
        </w:rPr>
        <w:t>A contract entered into by </w:t>
      </w:r>
      <w:r>
        <w:rPr>
          <w:i/>
          <w:sz w:val="24"/>
        </w:rPr>
        <w:t>AEMO </w:t>
      </w:r>
      <w:r>
        <w:rPr>
          <w:sz w:val="24"/>
        </w:rPr>
        <w:t>for the provision of </w:t>
      </w:r>
      <w:r>
        <w:rPr>
          <w:i/>
          <w:sz w:val="24"/>
        </w:rPr>
        <w:t>unscheduled reserve </w:t>
      </w:r>
      <w:r>
        <w:rPr>
          <w:sz w:val="24"/>
        </w:rPr>
        <w:t>in accordance with rule 3.20.</w:t>
      </w:r>
    </w:p>
    <w:p>
      <w:pPr>
        <w:pStyle w:val="Heading5"/>
        <w:jc w:val="left"/>
        <w:rPr>
          <w:i/>
        </w:rPr>
      </w:pPr>
      <w:r>
        <w:rPr>
          <w:i/>
        </w:rPr>
        <w:t>unserved energy</w:t>
      </w:r>
    </w:p>
    <w:p>
      <w:pPr>
        <w:pStyle w:val="BodyText"/>
        <w:ind w:left="1352" w:firstLine="0"/>
        <w:jc w:val="left"/>
      </w:pPr>
      <w:r>
        <w:rPr/>
        <w:t>The amount of </w:t>
      </w:r>
      <w:r>
        <w:rPr>
          <w:i/>
        </w:rPr>
        <w:t>energy </w:t>
      </w:r>
      <w:r>
        <w:rPr/>
        <w:t>demanded, but not supplied, in a </w:t>
      </w:r>
      <w:r>
        <w:rPr>
          <w:i/>
        </w:rPr>
        <w:t>region </w:t>
      </w:r>
      <w:r>
        <w:rPr/>
        <w:t>determined in accordance with clause 3.9.3C(b), expressed as:</w:t>
      </w:r>
    </w:p>
    <w:p>
      <w:pPr>
        <w:pStyle w:val="ListParagraph"/>
        <w:numPr>
          <w:ilvl w:val="0"/>
          <w:numId w:val="842"/>
        </w:numPr>
        <w:tabs>
          <w:tab w:pos="1918" w:val="left" w:leader="none"/>
          <w:tab w:pos="1919" w:val="left" w:leader="none"/>
        </w:tabs>
        <w:spacing w:line="240" w:lineRule="auto" w:before="120" w:after="0"/>
        <w:ind w:left="1918" w:right="0" w:hanging="567"/>
        <w:jc w:val="left"/>
        <w:rPr>
          <w:sz w:val="24"/>
        </w:rPr>
      </w:pPr>
      <w:r>
        <w:rPr>
          <w:sz w:val="24"/>
        </w:rPr>
        <w:t>GWh;</w:t>
      </w:r>
      <w:r>
        <w:rPr>
          <w:spacing w:val="-1"/>
          <w:sz w:val="24"/>
        </w:rPr>
        <w:t> </w:t>
      </w:r>
      <w:r>
        <w:rPr>
          <w:sz w:val="24"/>
        </w:rPr>
        <w:t>or</w:t>
      </w:r>
    </w:p>
    <w:p>
      <w:pPr>
        <w:pStyle w:val="ListParagraph"/>
        <w:numPr>
          <w:ilvl w:val="0"/>
          <w:numId w:val="842"/>
        </w:numPr>
        <w:tabs>
          <w:tab w:pos="1918" w:val="left" w:leader="none"/>
          <w:tab w:pos="1919" w:val="left" w:leader="none"/>
        </w:tabs>
        <w:spacing w:line="240" w:lineRule="auto" w:before="120" w:after="0"/>
        <w:ind w:left="1919" w:right="416" w:hanging="567"/>
        <w:jc w:val="left"/>
        <w:rPr>
          <w:sz w:val="24"/>
        </w:rPr>
      </w:pPr>
      <w:r>
        <w:rPr>
          <w:sz w:val="24"/>
        </w:rPr>
        <w:t>a percentage of the total </w:t>
      </w:r>
      <w:r>
        <w:rPr>
          <w:i/>
          <w:sz w:val="24"/>
        </w:rPr>
        <w:t>energy </w:t>
      </w:r>
      <w:r>
        <w:rPr>
          <w:sz w:val="24"/>
        </w:rPr>
        <w:t>demanded in that </w:t>
      </w:r>
      <w:r>
        <w:rPr>
          <w:i/>
          <w:sz w:val="24"/>
        </w:rPr>
        <w:t>region </w:t>
      </w:r>
      <w:r>
        <w:rPr>
          <w:sz w:val="24"/>
        </w:rPr>
        <w:t>over a specific period of time such as a </w:t>
      </w:r>
      <w:r>
        <w:rPr>
          <w:i/>
          <w:sz w:val="24"/>
        </w:rPr>
        <w:t>financial</w:t>
      </w:r>
      <w:r>
        <w:rPr>
          <w:i/>
          <w:spacing w:val="-2"/>
          <w:sz w:val="24"/>
        </w:rPr>
        <w:t> </w:t>
      </w:r>
      <w:r>
        <w:rPr>
          <w:i/>
          <w:sz w:val="24"/>
        </w:rPr>
        <w:t>year</w:t>
      </w:r>
      <w:r>
        <w:rPr>
          <w:sz w:val="24"/>
        </w:rPr>
        <w:t>.</w:t>
      </w:r>
    </w:p>
    <w:p>
      <w:pPr>
        <w:pStyle w:val="Heading5"/>
        <w:jc w:val="left"/>
        <w:rPr>
          <w:i/>
        </w:rPr>
      </w:pPr>
      <w:r>
        <w:rPr>
          <w:i/>
        </w:rPr>
        <w:t>use of system</w:t>
      </w:r>
    </w:p>
    <w:p>
      <w:pPr>
        <w:spacing w:before="120"/>
        <w:ind w:left="1352" w:right="0" w:firstLine="0"/>
        <w:jc w:val="left"/>
        <w:rPr>
          <w:sz w:val="24"/>
        </w:rPr>
      </w:pPr>
      <w:r>
        <w:rPr>
          <w:sz w:val="24"/>
        </w:rPr>
        <w:t>Includes </w:t>
      </w:r>
      <w:r>
        <w:rPr>
          <w:i/>
          <w:sz w:val="24"/>
        </w:rPr>
        <w:t>transmission use of system </w:t>
      </w:r>
      <w:r>
        <w:rPr>
          <w:sz w:val="24"/>
        </w:rPr>
        <w:t>and </w:t>
      </w:r>
      <w:r>
        <w:rPr>
          <w:i/>
          <w:sz w:val="24"/>
        </w:rPr>
        <w:t>distribution use of system</w:t>
      </w:r>
      <w:r>
        <w:rPr>
          <w:sz w:val="24"/>
        </w:rPr>
        <w:t>.</w:t>
      </w:r>
    </w:p>
    <w:p>
      <w:pPr>
        <w:pStyle w:val="Heading5"/>
        <w:jc w:val="left"/>
        <w:rPr>
          <w:i/>
        </w:rPr>
      </w:pPr>
      <w:r>
        <w:rPr>
          <w:i/>
        </w:rPr>
        <w:t>use of system services</w:t>
      </w:r>
    </w:p>
    <w:p>
      <w:pPr>
        <w:spacing w:before="120"/>
        <w:ind w:left="1352" w:right="0" w:firstLine="0"/>
        <w:jc w:val="left"/>
        <w:rPr>
          <w:sz w:val="24"/>
        </w:rPr>
      </w:pPr>
      <w:r>
        <w:rPr>
          <w:i/>
          <w:sz w:val="24"/>
        </w:rPr>
        <w:t>Transmission use of system service </w:t>
      </w:r>
      <w:r>
        <w:rPr>
          <w:sz w:val="24"/>
        </w:rPr>
        <w:t>and </w:t>
      </w:r>
      <w:r>
        <w:rPr>
          <w:i/>
          <w:sz w:val="24"/>
        </w:rPr>
        <w:t>distribution use of system service</w:t>
      </w:r>
      <w:r>
        <w:rPr>
          <w:sz w:val="24"/>
        </w:rPr>
        <w:t>.</w:t>
      </w:r>
    </w:p>
    <w:p>
      <w:pPr>
        <w:pStyle w:val="Heading5"/>
        <w:jc w:val="left"/>
        <w:rPr>
          <w:i/>
        </w:rPr>
      </w:pPr>
      <w:r>
        <w:rPr>
          <w:i/>
        </w:rPr>
        <w:t>Utilities Commission</w:t>
      </w:r>
    </w:p>
    <w:p>
      <w:pPr>
        <w:pStyle w:val="BodyText"/>
        <w:ind w:left="1352" w:firstLine="0"/>
        <w:jc w:val="left"/>
      </w:pPr>
      <w:r>
        <w:rPr/>
        <w:t>The Utilities Commission of the Northern Territory established by section 5 of the</w:t>
      </w:r>
    </w:p>
    <w:p>
      <w:pPr>
        <w:spacing w:before="0"/>
        <w:ind w:left="1352" w:right="0" w:firstLine="0"/>
        <w:jc w:val="left"/>
        <w:rPr>
          <w:sz w:val="24"/>
        </w:rPr>
      </w:pPr>
      <w:r>
        <w:rPr>
          <w:i/>
          <w:sz w:val="24"/>
        </w:rPr>
        <w:t>Utilities Commission Act </w:t>
      </w:r>
      <w:r>
        <w:rPr>
          <w:sz w:val="24"/>
        </w:rPr>
        <w:t>(NT).</w:t>
      </w:r>
    </w:p>
    <w:p>
      <w:pPr>
        <w:spacing w:after="0"/>
        <w:jc w:val="left"/>
        <w:rPr>
          <w:sz w:val="24"/>
        </w:rPr>
        <w:sectPr>
          <w:pgSz w:w="11910" w:h="16840"/>
          <w:pgMar w:header="686" w:footer="637" w:top="1320" w:bottom="820" w:left="1200" w:right="1000"/>
        </w:sectPr>
      </w:pPr>
    </w:p>
    <w:p>
      <w:pPr>
        <w:pStyle w:val="Heading5"/>
        <w:jc w:val="left"/>
        <w:rPr>
          <w:i/>
        </w:rPr>
      </w:pPr>
      <w:r>
        <w:rPr>
          <w:i/>
        </w:rPr>
        <w:t>violation</w:t>
      </w:r>
    </w:p>
    <w:p>
      <w:pPr>
        <w:pStyle w:val="BodyText"/>
        <w:spacing w:before="0"/>
        <w:ind w:firstLine="0"/>
        <w:jc w:val="left"/>
        <w:rPr>
          <w:b/>
          <w:i/>
          <w:sz w:val="26"/>
        </w:rPr>
      </w:pPr>
      <w:r>
        <w:rPr/>
        <w:br w:type="column"/>
      </w:r>
      <w:r>
        <w:rPr>
          <w:b/>
          <w:i/>
          <w:sz w:val="26"/>
        </w:rPr>
      </w:r>
    </w:p>
    <w:p>
      <w:pPr>
        <w:spacing w:before="217"/>
        <w:ind w:left="218" w:right="407" w:firstLine="0"/>
        <w:jc w:val="left"/>
        <w:rPr>
          <w:sz w:val="24"/>
        </w:rPr>
      </w:pPr>
      <w:r>
        <w:rPr>
          <w:sz w:val="24"/>
        </w:rPr>
        <w:t>In relation to </w:t>
      </w:r>
      <w:r>
        <w:rPr>
          <w:i/>
          <w:sz w:val="24"/>
        </w:rPr>
        <w:t>power system security</w:t>
      </w:r>
      <w:r>
        <w:rPr>
          <w:sz w:val="24"/>
        </w:rPr>
        <w:t>, a failure to meet the requirements of Chapter 4 or the </w:t>
      </w:r>
      <w:r>
        <w:rPr>
          <w:i/>
          <w:sz w:val="24"/>
        </w:rPr>
        <w:t>power system security standards</w:t>
      </w:r>
      <w:r>
        <w:rPr>
          <w:sz w:val="24"/>
        </w:rPr>
        <w:t>.</w:t>
      </w:r>
    </w:p>
    <w:p>
      <w:pPr>
        <w:spacing w:after="0"/>
        <w:jc w:val="left"/>
        <w:rPr>
          <w:sz w:val="24"/>
        </w:rPr>
        <w:sectPr>
          <w:type w:val="continuous"/>
          <w:pgSz w:w="11910" w:h="16840"/>
          <w:pgMar w:top="1360" w:bottom="280" w:left="1200" w:right="1000"/>
          <w:cols w:num="2" w:equalWidth="0">
            <w:col w:w="1085" w:space="49"/>
            <w:col w:w="8576"/>
          </w:cols>
        </w:sectPr>
      </w:pPr>
    </w:p>
    <w:p>
      <w:pPr>
        <w:pStyle w:val="Heading5"/>
        <w:jc w:val="left"/>
        <w:rPr>
          <w:i/>
        </w:rPr>
      </w:pPr>
      <w:r>
        <w:rPr>
          <w:i/>
        </w:rPr>
        <w:t>virtual transmission node</w:t>
      </w:r>
    </w:p>
    <w:p>
      <w:pPr>
        <w:spacing w:before="120"/>
        <w:ind w:left="1352" w:right="0" w:firstLine="0"/>
        <w:jc w:val="left"/>
        <w:rPr>
          <w:sz w:val="24"/>
        </w:rPr>
      </w:pPr>
      <w:r>
        <w:rPr>
          <w:sz w:val="24"/>
        </w:rPr>
        <w:t>A non-physical node used for the purpose of </w:t>
      </w:r>
      <w:r>
        <w:rPr>
          <w:i/>
          <w:sz w:val="24"/>
        </w:rPr>
        <w:t>market settlements</w:t>
      </w:r>
      <w:r>
        <w:rPr>
          <w:sz w:val="24"/>
        </w:rPr>
        <w:t>, having a</w:t>
      </w:r>
    </w:p>
    <w:p>
      <w:pPr>
        <w:spacing w:before="0"/>
        <w:ind w:left="1352" w:right="0" w:firstLine="0"/>
        <w:jc w:val="left"/>
        <w:rPr>
          <w:sz w:val="24"/>
        </w:rPr>
      </w:pPr>
      <w:r>
        <w:rPr>
          <w:i/>
          <w:sz w:val="24"/>
        </w:rPr>
        <w:t>transmission loss factor </w:t>
      </w:r>
      <w:r>
        <w:rPr>
          <w:sz w:val="24"/>
        </w:rPr>
        <w:t>determined in accordance with clause 3.6.2(b)(3).</w:t>
      </w:r>
    </w:p>
    <w:p>
      <w:pPr>
        <w:spacing w:after="0"/>
        <w:jc w:val="left"/>
        <w:rPr>
          <w:sz w:val="24"/>
        </w:rPr>
        <w:sectPr>
          <w:type w:val="continuous"/>
          <w:pgSz w:w="11910" w:h="16840"/>
          <w:pgMar w:top="1360" w:bottom="280" w:left="1200" w:right="1000"/>
        </w:sectPr>
      </w:pPr>
    </w:p>
    <w:p>
      <w:pPr>
        <w:pStyle w:val="Heading5"/>
        <w:jc w:val="left"/>
        <w:rPr>
          <w:i/>
        </w:rPr>
      </w:pPr>
      <w:r>
        <w:rPr>
          <w:i/>
        </w:rPr>
        <w:t>voltage</w:t>
      </w:r>
    </w:p>
    <w:p>
      <w:pPr>
        <w:pStyle w:val="BodyText"/>
        <w:spacing w:before="0"/>
        <w:ind w:firstLine="0"/>
        <w:jc w:val="left"/>
        <w:rPr>
          <w:b/>
          <w:i/>
          <w:sz w:val="26"/>
        </w:rPr>
      </w:pPr>
      <w:r>
        <w:rPr/>
        <w:br w:type="column"/>
      </w:r>
      <w:r>
        <w:rPr>
          <w:b/>
          <w:i/>
          <w:sz w:val="26"/>
        </w:rPr>
      </w:r>
    </w:p>
    <w:p>
      <w:pPr>
        <w:pStyle w:val="BodyText"/>
        <w:spacing w:before="217"/>
        <w:ind w:left="218" w:right="407" w:firstLine="0"/>
        <w:jc w:val="left"/>
      </w:pPr>
      <w:r>
        <w:rPr/>
        <w:t>The electronic force or electric potential between two points that gives rise to the flow of electricity.</w:t>
      </w:r>
    </w:p>
    <w:p>
      <w:pPr>
        <w:spacing w:after="0"/>
        <w:jc w:val="left"/>
        <w:sectPr>
          <w:type w:val="continuous"/>
          <w:pgSz w:w="11910" w:h="16840"/>
          <w:pgMar w:top="1360" w:bottom="280" w:left="1200" w:right="1000"/>
          <w:cols w:num="2" w:equalWidth="0">
            <w:col w:w="965" w:space="169"/>
            <w:col w:w="8576"/>
          </w:cols>
        </w:sectPr>
      </w:pPr>
    </w:p>
    <w:p>
      <w:pPr>
        <w:pStyle w:val="Heading5"/>
        <w:rPr>
          <w:i/>
        </w:rPr>
      </w:pPr>
      <w:r>
        <w:rPr>
          <w:i/>
        </w:rPr>
        <w:t>voltage transformer (VT)</w:t>
      </w:r>
    </w:p>
    <w:p>
      <w:pPr>
        <w:pStyle w:val="BodyText"/>
        <w:ind w:left="1352" w:right="415" w:firstLine="0"/>
      </w:pPr>
      <w:r>
        <w:rPr/>
        <w:t>A </w:t>
      </w:r>
      <w:r>
        <w:rPr>
          <w:i/>
        </w:rPr>
        <w:t>transformer </w:t>
      </w:r>
      <w:r>
        <w:rPr/>
        <w:t>for use with </w:t>
      </w:r>
      <w:r>
        <w:rPr>
          <w:i/>
        </w:rPr>
        <w:t>meters </w:t>
      </w:r>
      <w:r>
        <w:rPr/>
        <w:t>and/or protection devices in which the </w:t>
      </w:r>
      <w:r>
        <w:rPr>
          <w:i/>
        </w:rPr>
        <w:t>voltage </w:t>
      </w:r>
      <w:r>
        <w:rPr/>
        <w:t>across the secondary terminals is, within prescribed error limits, proportional to and in phase with the </w:t>
      </w:r>
      <w:r>
        <w:rPr>
          <w:i/>
        </w:rPr>
        <w:t>voltage </w:t>
      </w:r>
      <w:r>
        <w:rPr/>
        <w:t>across the primary terminals.</w:t>
      </w:r>
    </w:p>
    <w:p>
      <w:pPr>
        <w:pStyle w:val="Heading5"/>
        <w:rPr>
          <w:i/>
        </w:rPr>
      </w:pPr>
      <w:r>
        <w:rPr>
          <w:i/>
        </w:rPr>
        <w:t>voluntary book build</w:t>
      </w:r>
    </w:p>
    <w:p>
      <w:pPr>
        <w:pStyle w:val="BodyText"/>
        <w:ind w:left="1352" w:right="415" w:firstLine="0"/>
      </w:pPr>
      <w:r>
        <w:rPr/>
        <w:t>The book build mechanism described in Chapter 4A, Part H and set out in the Book Build Procedures made by </w:t>
      </w:r>
      <w:r>
        <w:rPr>
          <w:i/>
        </w:rPr>
        <w:t>AEMO </w:t>
      </w:r>
      <w:r>
        <w:rPr/>
        <w:t>under that Part.</w:t>
      </w:r>
    </w:p>
    <w:p>
      <w:pPr>
        <w:spacing w:after="0"/>
        <w:sectPr>
          <w:type w:val="continuous"/>
          <w:pgSz w:w="11910" w:h="16840"/>
          <w:pgMar w:top="1360" w:bottom="280" w:left="1200" w:right="1000"/>
        </w:sectPr>
      </w:pPr>
    </w:p>
    <w:p>
      <w:pPr>
        <w:pStyle w:val="Heading5"/>
        <w:spacing w:before="83"/>
        <w:jc w:val="left"/>
        <w:rPr>
          <w:i/>
        </w:rPr>
      </w:pPr>
      <w:r>
        <w:rPr>
          <w:i/>
        </w:rPr>
        <w:t>Voter Category</w:t>
      </w:r>
    </w:p>
    <w:p>
      <w:pPr>
        <w:pStyle w:val="BodyText"/>
        <w:ind w:left="1352" w:firstLine="0"/>
        <w:jc w:val="left"/>
      </w:pPr>
      <w:r>
        <w:rPr/>
        <w:t>Means:</w:t>
      </w:r>
    </w:p>
    <w:p>
      <w:pPr>
        <w:pStyle w:val="ListParagraph"/>
        <w:numPr>
          <w:ilvl w:val="0"/>
          <w:numId w:val="843"/>
        </w:numPr>
        <w:tabs>
          <w:tab w:pos="1918" w:val="left" w:leader="none"/>
          <w:tab w:pos="1919" w:val="left" w:leader="none"/>
          <w:tab w:pos="2306" w:val="left" w:leader="none"/>
          <w:tab w:pos="3186" w:val="left" w:leader="none"/>
          <w:tab w:pos="3586" w:val="left" w:leader="none"/>
          <w:tab w:pos="4080" w:val="left" w:leader="none"/>
          <w:tab w:pos="5453" w:val="left" w:leader="none"/>
          <w:tab w:pos="6467" w:val="left" w:leader="none"/>
          <w:tab w:pos="7374" w:val="left" w:leader="none"/>
          <w:tab w:pos="8428" w:val="left" w:leader="none"/>
        </w:tabs>
        <w:spacing w:line="240" w:lineRule="auto" w:before="120" w:after="0"/>
        <w:ind w:left="1919" w:right="416" w:hanging="567"/>
        <w:jc w:val="left"/>
        <w:rPr>
          <w:sz w:val="24"/>
        </w:rPr>
      </w:pPr>
      <w:r>
        <w:rPr>
          <w:sz w:val="24"/>
        </w:rPr>
        <w:t>in</w:t>
        <w:tab/>
        <w:t>respect</w:t>
        <w:tab/>
        <w:t>of</w:t>
        <w:tab/>
        <w:t>the</w:t>
        <w:tab/>
      </w:r>
      <w:r>
        <w:rPr>
          <w:i/>
          <w:sz w:val="24"/>
        </w:rPr>
        <w:t>Distribution</w:t>
        <w:tab/>
        <w:t>Network</w:t>
        <w:tab/>
        <w:t>Service</w:t>
        <w:tab/>
        <w:t>Provider</w:t>
        <w:tab/>
      </w:r>
      <w:r>
        <w:rPr>
          <w:i/>
          <w:spacing w:val="-3"/>
          <w:sz w:val="24"/>
        </w:rPr>
        <w:t>Member</w:t>
      </w:r>
      <w:r>
        <w:rPr>
          <w:spacing w:val="-3"/>
          <w:sz w:val="24"/>
        </w:rPr>
        <w:t>, </w:t>
      </w:r>
      <w:r>
        <w:rPr>
          <w:i/>
          <w:sz w:val="24"/>
        </w:rPr>
        <w:t>Distribution Network Service</w:t>
      </w:r>
      <w:r>
        <w:rPr>
          <w:i/>
          <w:spacing w:val="-2"/>
          <w:sz w:val="24"/>
        </w:rPr>
        <w:t> </w:t>
      </w:r>
      <w:r>
        <w:rPr>
          <w:i/>
          <w:sz w:val="24"/>
        </w:rPr>
        <w:t>Providers</w:t>
      </w:r>
      <w:r>
        <w:rPr>
          <w:sz w:val="24"/>
        </w:rPr>
        <w:t>;</w:t>
      </w:r>
    </w:p>
    <w:p>
      <w:pPr>
        <w:pStyle w:val="ListParagraph"/>
        <w:numPr>
          <w:ilvl w:val="0"/>
          <w:numId w:val="843"/>
        </w:numPr>
        <w:tabs>
          <w:tab w:pos="1918" w:val="left" w:leader="none"/>
          <w:tab w:pos="1919" w:val="left" w:leader="none"/>
        </w:tabs>
        <w:spacing w:line="240" w:lineRule="auto" w:before="120" w:after="0"/>
        <w:ind w:left="1918" w:right="0" w:hanging="567"/>
        <w:jc w:val="left"/>
        <w:rPr>
          <w:sz w:val="24"/>
        </w:rPr>
      </w:pPr>
      <w:r>
        <w:rPr>
          <w:sz w:val="24"/>
        </w:rPr>
        <w:t>in respect of the </w:t>
      </w:r>
      <w:r>
        <w:rPr>
          <w:i/>
          <w:sz w:val="24"/>
        </w:rPr>
        <w:t>Retailer Member</w:t>
      </w:r>
      <w:r>
        <w:rPr>
          <w:sz w:val="24"/>
        </w:rPr>
        <w:t>, </w:t>
      </w:r>
      <w:r>
        <w:rPr>
          <w:i/>
          <w:sz w:val="24"/>
        </w:rPr>
        <w:t>Retailer Member Voters</w:t>
      </w:r>
      <w:r>
        <w:rPr>
          <w:sz w:val="24"/>
        </w:rPr>
        <w:t>,</w:t>
      </w:r>
      <w:r>
        <w:rPr>
          <w:spacing w:val="-3"/>
          <w:sz w:val="24"/>
        </w:rPr>
        <w:t> </w:t>
      </w:r>
      <w:r>
        <w:rPr>
          <w:sz w:val="24"/>
        </w:rPr>
        <w:t>collectively;</w:t>
      </w:r>
    </w:p>
    <w:p>
      <w:pPr>
        <w:pStyle w:val="ListParagraph"/>
        <w:numPr>
          <w:ilvl w:val="0"/>
          <w:numId w:val="843"/>
        </w:numPr>
        <w:tabs>
          <w:tab w:pos="1918" w:val="left" w:leader="none"/>
          <w:tab w:pos="1919" w:val="left" w:leader="none"/>
        </w:tabs>
        <w:spacing w:line="240" w:lineRule="auto" w:before="120" w:after="0"/>
        <w:ind w:left="1918" w:right="0" w:hanging="567"/>
        <w:jc w:val="left"/>
        <w:rPr>
          <w:sz w:val="24"/>
        </w:rPr>
      </w:pPr>
      <w:r>
        <w:rPr>
          <w:sz w:val="24"/>
        </w:rPr>
        <w:t>respect of the </w:t>
      </w:r>
      <w:r>
        <w:rPr>
          <w:i/>
          <w:sz w:val="24"/>
        </w:rPr>
        <w:t>Metering Member</w:t>
      </w:r>
      <w:r>
        <w:rPr>
          <w:sz w:val="24"/>
        </w:rPr>
        <w:t>, </w:t>
      </w:r>
      <w:r>
        <w:rPr>
          <w:i/>
          <w:sz w:val="24"/>
        </w:rPr>
        <w:t>Metering Member Voters</w:t>
      </w:r>
      <w:r>
        <w:rPr>
          <w:sz w:val="24"/>
        </w:rPr>
        <w:t>, collectively;</w:t>
      </w:r>
      <w:r>
        <w:rPr>
          <w:spacing w:val="-4"/>
          <w:sz w:val="24"/>
        </w:rPr>
        <w:t> </w:t>
      </w:r>
      <w:r>
        <w:rPr>
          <w:sz w:val="24"/>
        </w:rPr>
        <w:t>and</w:t>
      </w:r>
    </w:p>
    <w:p>
      <w:pPr>
        <w:pStyle w:val="ListParagraph"/>
        <w:numPr>
          <w:ilvl w:val="0"/>
          <w:numId w:val="843"/>
        </w:numPr>
        <w:tabs>
          <w:tab w:pos="1918" w:val="left" w:leader="none"/>
          <w:tab w:pos="1919" w:val="left" w:leader="none"/>
        </w:tabs>
        <w:spacing w:line="240" w:lineRule="auto" w:before="120" w:after="0"/>
        <w:ind w:left="1919" w:right="415" w:hanging="567"/>
        <w:jc w:val="left"/>
        <w:rPr>
          <w:sz w:val="24"/>
        </w:rPr>
      </w:pPr>
      <w:r>
        <w:rPr>
          <w:sz w:val="24"/>
        </w:rPr>
        <w:t>in respect of the </w:t>
      </w:r>
      <w:r>
        <w:rPr>
          <w:i/>
          <w:sz w:val="24"/>
        </w:rPr>
        <w:t>Third Party B2B Participant Member</w:t>
      </w:r>
      <w:r>
        <w:rPr>
          <w:sz w:val="24"/>
        </w:rPr>
        <w:t>, </w:t>
      </w:r>
      <w:r>
        <w:rPr>
          <w:i/>
          <w:sz w:val="24"/>
        </w:rPr>
        <w:t>Third Party B2B </w:t>
      </w:r>
      <w:r>
        <w:rPr>
          <w:i/>
          <w:sz w:val="24"/>
        </w:rPr>
        <w:t>Participants</w:t>
      </w:r>
      <w:r>
        <w:rPr>
          <w:sz w:val="24"/>
        </w:rPr>
        <w:t>.</w:t>
      </w:r>
    </w:p>
    <w:p>
      <w:pPr>
        <w:spacing w:after="0" w:line="240" w:lineRule="auto"/>
        <w:jc w:val="left"/>
        <w:rPr>
          <w:sz w:val="24"/>
        </w:rPr>
        <w:sectPr>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57"/>
          <w:footerReference w:type="default" r:id="rId158"/>
          <w:pgSz w:w="11910" w:h="16840"/>
          <w:pgMar w:header="0" w:footer="0" w:top="1600" w:bottom="28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11</w:t>
                  </w:r>
                </w:p>
              </w:txbxContent>
            </v:textbox>
            <v:fill type="solid"/>
            <v:stroke dashstyle="solid"/>
          </v:shape>
        </w:pict>
      </w:r>
      <w:r>
        <w:rPr>
          <w:position w:val="0"/>
          <w:sz w:val="20"/>
        </w:rPr>
      </w:r>
    </w:p>
    <w:p>
      <w:pPr>
        <w:spacing w:after="0"/>
        <w:jc w:val="left"/>
        <w:rPr>
          <w:sz w:val="20"/>
        </w:rPr>
        <w:sectPr>
          <w:headerReference w:type="default" r:id="rId159"/>
          <w:footerReference w:type="default" r:id="rId160"/>
          <w:pgSz w:w="11910" w:h="16840"/>
          <w:pgMar w:header="686" w:footer="637" w:top="1320" w:bottom="820" w:left="1200" w:right="1000"/>
        </w:sectPr>
      </w:pPr>
    </w:p>
    <w:p>
      <w:pPr>
        <w:pStyle w:val="BodyText"/>
        <w:spacing w:before="4"/>
        <w:ind w:firstLine="0"/>
        <w:jc w:val="left"/>
        <w:rPr>
          <w:sz w:val="17"/>
        </w:rPr>
      </w:pPr>
    </w:p>
    <w:p>
      <w:pPr>
        <w:spacing w:after="0"/>
        <w:jc w:val="left"/>
        <w:rPr>
          <w:sz w:val="17"/>
        </w:rPr>
        <w:sectPr>
          <w:headerReference w:type="default" r:id="rId161"/>
          <w:footerReference w:type="default" r:id="rId162"/>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11. Savings and Transitional Rules" w:id="3089"/>
      <w:bookmarkEnd w:id="3089"/>
      <w:r>
        <w:rPr>
          <w:b w:val="0"/>
        </w:rPr>
      </w:r>
      <w:bookmarkStart w:name="_bookmark1236" w:id="3090"/>
      <w:bookmarkEnd w:id="3090"/>
      <w:r>
        <w:rPr>
          <w:b w:val="0"/>
        </w:rPr>
      </w:r>
      <w:r>
        <w:rPr/>
        <w:t>11.</w:t>
        <w:tab/>
        <w:t>Savings and Transitional</w:t>
      </w:r>
      <w:r>
        <w:rPr>
          <w:spacing w:val="-2"/>
        </w:rPr>
        <w:t> </w:t>
      </w:r>
      <w:r>
        <w:rPr/>
        <w:t>Rules</w:t>
      </w:r>
    </w:p>
    <w:p>
      <w:pPr>
        <w:pStyle w:val="BodyText"/>
        <w:ind w:left="1352" w:right="414" w:firstLine="0"/>
      </w:pPr>
      <w:r>
        <w:rPr/>
        <w:t>Parts A to ZZI, ZZK, ZZL, ZZN (except for clause 11.86.8), ZZO to ZZT, ZZV and ZZX have no effect in this jurisdiction (see regulation 5A of the National Electricity (Northern Territory) (National Uniform Legislation) (Modification) Regulations). The application of those Parts may be revisited as part of the phased implementation of the Rules in this jurisdiction.</w:t>
      </w:r>
    </w:p>
    <w:p>
      <w:pPr>
        <w:pStyle w:val="BodyText"/>
        <w:spacing w:before="9"/>
        <w:ind w:firstLine="0"/>
        <w:jc w:val="left"/>
        <w:rPr>
          <w:sz w:val="18"/>
        </w:rPr>
      </w:pPr>
      <w:r>
        <w:rPr/>
        <w:pict>
          <v:shape style="position:absolute;margin-left:69.450005pt;margin-top:12.024131pt;width:456.45pt;height:16.1pt;mso-position-horizontal-relative:page;mso-position-vertical-relative:paragraph;z-index:-251579392;mso-wrap-distance-left:0;mso-wrap-distance-right:0" type="#_x0000_t202" filled="true" fillcolor="#d9d9d9" stroked="false">
            <v:textbox inset="0,0,0,0">
              <w:txbxContent>
                <w:p>
                  <w:pPr>
                    <w:spacing w:before="0"/>
                    <w:ind w:left="29" w:right="0" w:firstLine="0"/>
                    <w:jc w:val="left"/>
                    <w:rPr>
                      <w:rFonts w:ascii="Arial"/>
                      <w:b/>
                      <w:sz w:val="28"/>
                    </w:rPr>
                  </w:pPr>
                  <w:bookmarkStart w:name="Part ZZJ Demand management incentive sch" w:id="3091"/>
                  <w:bookmarkEnd w:id="3091"/>
                  <w:r>
                    <w:rPr/>
                  </w:r>
                  <w:bookmarkStart w:name="_bookmark1237" w:id="3092"/>
                  <w:bookmarkEnd w:id="3092"/>
                  <w:r>
                    <w:rPr/>
                  </w:r>
                  <w:r>
                    <w:rPr>
                      <w:rFonts w:ascii="Arial"/>
                      <w:b/>
                      <w:sz w:val="28"/>
                    </w:rPr>
                    <w:t>Part ZZJDemand management incentive scheme</w:t>
                  </w:r>
                </w:p>
              </w:txbxContent>
            </v:textbox>
            <v:fill type="solid"/>
            <w10:wrap type="topAndBottom"/>
          </v:shape>
        </w:pict>
      </w:r>
    </w:p>
    <w:p>
      <w:pPr>
        <w:pStyle w:val="BodyText"/>
        <w:spacing w:before="7"/>
        <w:ind w:firstLine="0"/>
        <w:jc w:val="left"/>
        <w:rPr>
          <w:sz w:val="11"/>
        </w:rPr>
      </w:pPr>
    </w:p>
    <w:p>
      <w:pPr>
        <w:pStyle w:val="Heading3"/>
        <w:numPr>
          <w:ilvl w:val="1"/>
          <w:numId w:val="844"/>
        </w:numPr>
        <w:tabs>
          <w:tab w:pos="1351" w:val="left" w:leader="none"/>
          <w:tab w:pos="1353" w:val="left" w:leader="none"/>
        </w:tabs>
        <w:spacing w:line="240" w:lineRule="auto" w:before="91" w:after="0"/>
        <w:ind w:left="1352" w:right="1029" w:hanging="1134"/>
        <w:jc w:val="left"/>
      </w:pPr>
      <w:bookmarkStart w:name="11.82 Rules consequential on making of t" w:id="3093"/>
      <w:bookmarkEnd w:id="3093"/>
      <w:r>
        <w:rPr>
          <w:b w:val="0"/>
        </w:rPr>
      </w:r>
      <w:bookmarkStart w:name="_bookmark1238" w:id="3094"/>
      <w:bookmarkEnd w:id="3094"/>
      <w:r>
        <w:rPr>
          <w:b w:val="0"/>
        </w:rPr>
      </w:r>
      <w:bookmarkStart w:name="_bookmark1238" w:id="3095"/>
      <w:bookmarkEnd w:id="3095"/>
      <w:r>
        <w:rPr/>
        <w:t>Rul</w:t>
      </w:r>
      <w:r>
        <w:rPr/>
        <w:t>es consequential on making of the National Electricity Amendment (Demand management incentive scheme) Rule 2015</w:t>
      </w:r>
    </w:p>
    <w:p>
      <w:pPr>
        <w:pStyle w:val="Heading4"/>
        <w:numPr>
          <w:ilvl w:val="2"/>
          <w:numId w:val="844"/>
        </w:numPr>
        <w:tabs>
          <w:tab w:pos="1351" w:val="left" w:leader="none"/>
          <w:tab w:pos="1352" w:val="left" w:leader="none"/>
        </w:tabs>
        <w:spacing w:line="240" w:lineRule="auto" w:before="240" w:after="0"/>
        <w:ind w:left="1351" w:right="0" w:hanging="1134"/>
        <w:jc w:val="left"/>
      </w:pPr>
      <w:bookmarkStart w:name="11.82.1 Definitions" w:id="3096"/>
      <w:bookmarkEnd w:id="3096"/>
      <w:r>
        <w:rPr>
          <w:b w:val="0"/>
        </w:rPr>
      </w:r>
      <w:bookmarkStart w:name="_bookmark1239" w:id="3097"/>
      <w:bookmarkEnd w:id="3097"/>
      <w:r>
        <w:rPr>
          <w:b w:val="0"/>
        </w:rPr>
      </w:r>
      <w:bookmarkStart w:name="_bookmark1239" w:id="3098"/>
      <w:bookmarkEnd w:id="3098"/>
      <w:r>
        <w:rPr/>
        <w:t>Definition</w:t>
      </w:r>
      <w:r>
        <w:rPr/>
        <w:t>s</w:t>
      </w:r>
    </w:p>
    <w:p>
      <w:pPr>
        <w:pStyle w:val="ListParagraph"/>
        <w:numPr>
          <w:ilvl w:val="3"/>
          <w:numId w:val="844"/>
        </w:numPr>
        <w:tabs>
          <w:tab w:pos="1918" w:val="left" w:leader="none"/>
          <w:tab w:pos="1919" w:val="left" w:leader="none"/>
        </w:tabs>
        <w:spacing w:line="240" w:lineRule="auto" w:before="120" w:after="0"/>
        <w:ind w:left="1918" w:right="0" w:hanging="567"/>
        <w:jc w:val="left"/>
        <w:rPr>
          <w:sz w:val="24"/>
        </w:rPr>
      </w:pPr>
      <w:r>
        <w:rPr>
          <w:sz w:val="24"/>
        </w:rPr>
        <w:t>In this rule</w:t>
      </w:r>
      <w:r>
        <w:rPr>
          <w:spacing w:val="-1"/>
          <w:sz w:val="24"/>
        </w:rPr>
        <w:t> </w:t>
      </w:r>
      <w:r>
        <w:rPr>
          <w:sz w:val="24"/>
        </w:rPr>
        <w:t>11.82:</w:t>
      </w:r>
    </w:p>
    <w:p>
      <w:pPr>
        <w:pStyle w:val="BodyText"/>
        <w:ind w:left="1919" w:firstLine="0"/>
        <w:jc w:val="left"/>
      </w:pPr>
      <w:r>
        <w:rPr>
          <w:b/>
        </w:rPr>
        <w:t>Amending Rule </w:t>
      </w:r>
      <w:r>
        <w:rPr/>
        <w:t>means the National Electricity Amendment (Demand Management Incentive Scheme) Rule 2015.</w:t>
      </w:r>
    </w:p>
    <w:p>
      <w:pPr>
        <w:spacing w:before="120"/>
        <w:ind w:left="1919" w:right="415" w:firstLine="0"/>
        <w:jc w:val="left"/>
        <w:rPr>
          <w:sz w:val="24"/>
        </w:rPr>
      </w:pPr>
      <w:r>
        <w:rPr>
          <w:b/>
          <w:sz w:val="24"/>
        </w:rPr>
        <w:t>commencement date </w:t>
      </w:r>
      <w:r>
        <w:rPr>
          <w:sz w:val="24"/>
        </w:rPr>
        <w:t>means the date Schedules 1, 2 and 3 of the Amending Rule commence.</w:t>
      </w:r>
    </w:p>
    <w:p>
      <w:pPr>
        <w:spacing w:before="120"/>
        <w:ind w:left="1919" w:right="0" w:firstLine="0"/>
        <w:jc w:val="left"/>
        <w:rPr>
          <w:i/>
          <w:sz w:val="24"/>
        </w:rPr>
      </w:pPr>
      <w:r>
        <w:rPr>
          <w:b/>
          <w:sz w:val="24"/>
        </w:rPr>
        <w:t>new clauses 6.6.3 and 6.6.3A </w:t>
      </w:r>
      <w:r>
        <w:rPr>
          <w:sz w:val="24"/>
        </w:rPr>
        <w:t>means clauses 6.6.3 and 6.6.3A of the </w:t>
      </w:r>
      <w:r>
        <w:rPr>
          <w:i/>
          <w:sz w:val="24"/>
        </w:rPr>
        <w:t>Rules</w:t>
      </w:r>
    </w:p>
    <w:p>
      <w:pPr>
        <w:pStyle w:val="BodyText"/>
        <w:spacing w:before="0"/>
        <w:ind w:left="1919" w:firstLine="0"/>
        <w:jc w:val="left"/>
      </w:pPr>
      <w:r>
        <w:rPr/>
        <w:t>as in force after the commencement date.</w:t>
      </w:r>
    </w:p>
    <w:p>
      <w:pPr>
        <w:pStyle w:val="ListParagraph"/>
        <w:numPr>
          <w:ilvl w:val="3"/>
          <w:numId w:val="844"/>
        </w:numPr>
        <w:tabs>
          <w:tab w:pos="1918" w:val="left" w:leader="none"/>
          <w:tab w:pos="1919" w:val="left" w:leader="none"/>
        </w:tabs>
        <w:spacing w:line="240" w:lineRule="auto" w:before="120" w:after="0"/>
        <w:ind w:left="1919" w:right="415" w:hanging="567"/>
        <w:jc w:val="left"/>
        <w:rPr>
          <w:sz w:val="24"/>
        </w:rPr>
      </w:pPr>
      <w:r>
        <w:rPr>
          <w:sz w:val="24"/>
        </w:rPr>
        <w:t>Italicised terms used in this rule have the same meaning as under Schedule 3 of the Amending</w:t>
      </w:r>
      <w:r>
        <w:rPr>
          <w:spacing w:val="-1"/>
          <w:sz w:val="24"/>
        </w:rPr>
        <w:t> </w:t>
      </w:r>
      <w:r>
        <w:rPr>
          <w:sz w:val="24"/>
        </w:rPr>
        <w:t>Rule.</w:t>
      </w:r>
    </w:p>
    <w:p>
      <w:pPr>
        <w:pStyle w:val="BodyText"/>
        <w:spacing w:before="10"/>
        <w:ind w:firstLine="0"/>
        <w:jc w:val="left"/>
        <w:rPr>
          <w:sz w:val="20"/>
        </w:rPr>
      </w:pPr>
    </w:p>
    <w:p>
      <w:pPr>
        <w:pStyle w:val="Heading4"/>
        <w:numPr>
          <w:ilvl w:val="2"/>
          <w:numId w:val="844"/>
        </w:numPr>
        <w:tabs>
          <w:tab w:pos="1351" w:val="left" w:leader="none"/>
          <w:tab w:pos="1352" w:val="left" w:leader="none"/>
        </w:tabs>
        <w:spacing w:line="240" w:lineRule="auto" w:before="0" w:after="0"/>
        <w:ind w:left="1352" w:right="551" w:hanging="1134"/>
        <w:jc w:val="left"/>
      </w:pPr>
      <w:bookmarkStart w:name="11.82.2 AER to develop and publish the d" w:id="3099"/>
      <w:bookmarkEnd w:id="3099"/>
      <w:r>
        <w:rPr>
          <w:b w:val="0"/>
        </w:rPr>
      </w:r>
      <w:bookmarkStart w:name="_bookmark1240" w:id="3100"/>
      <w:bookmarkEnd w:id="3100"/>
      <w:r>
        <w:rPr>
          <w:b w:val="0"/>
        </w:rPr>
      </w:r>
      <w:bookmarkStart w:name="_bookmark1240" w:id="3101"/>
      <w:bookmarkEnd w:id="3101"/>
      <w:r>
        <w:rPr/>
        <w:t>AE</w:t>
      </w:r>
      <w:r>
        <w:rPr/>
        <w:t>R to develop and publish the demand management incentive scheme and demand management innovation allowance</w:t>
      </w:r>
      <w:r>
        <w:rPr>
          <w:spacing w:val="-31"/>
        </w:rPr>
        <w:t> </w:t>
      </w:r>
      <w:r>
        <w:rPr/>
        <w:t>mechanism</w:t>
      </w:r>
    </w:p>
    <w:p>
      <w:pPr>
        <w:pStyle w:val="ListParagraph"/>
        <w:numPr>
          <w:ilvl w:val="3"/>
          <w:numId w:val="844"/>
        </w:numPr>
        <w:tabs>
          <w:tab w:pos="1918" w:val="left" w:leader="none"/>
          <w:tab w:pos="1919" w:val="left" w:leader="none"/>
        </w:tabs>
        <w:spacing w:line="240" w:lineRule="auto" w:before="120" w:after="0"/>
        <w:ind w:left="1918" w:right="0" w:hanging="567"/>
        <w:jc w:val="left"/>
        <w:rPr>
          <w:sz w:val="24"/>
        </w:rPr>
      </w:pPr>
      <w:r>
        <w:rPr>
          <w:sz w:val="24"/>
        </w:rPr>
        <w:t>By 1 December 2016, the </w:t>
      </w:r>
      <w:r>
        <w:rPr>
          <w:i/>
          <w:sz w:val="24"/>
        </w:rPr>
        <w:t>AER </w:t>
      </w:r>
      <w:r>
        <w:rPr>
          <w:sz w:val="24"/>
        </w:rPr>
        <w:t>must develop and </w:t>
      </w:r>
      <w:r>
        <w:rPr>
          <w:i/>
          <w:sz w:val="24"/>
        </w:rPr>
        <w:t>publish </w:t>
      </w:r>
      <w:r>
        <w:rPr>
          <w:sz w:val="24"/>
        </w:rPr>
        <w:t>the</w:t>
      </w:r>
      <w:r>
        <w:rPr>
          <w:spacing w:val="-1"/>
          <w:sz w:val="24"/>
        </w:rPr>
        <w:t> </w:t>
      </w:r>
      <w:r>
        <w:rPr>
          <w:sz w:val="24"/>
        </w:rPr>
        <w:t>first:</w:t>
      </w:r>
    </w:p>
    <w:p>
      <w:pPr>
        <w:pStyle w:val="ListParagraph"/>
        <w:numPr>
          <w:ilvl w:val="4"/>
          <w:numId w:val="844"/>
        </w:numPr>
        <w:tabs>
          <w:tab w:pos="2485" w:val="left" w:leader="none"/>
          <w:tab w:pos="2486" w:val="left" w:leader="none"/>
        </w:tabs>
        <w:spacing w:line="240" w:lineRule="auto" w:before="120" w:after="0"/>
        <w:ind w:left="2485" w:right="0" w:hanging="567"/>
        <w:jc w:val="left"/>
        <w:rPr>
          <w:sz w:val="24"/>
        </w:rPr>
      </w:pPr>
      <w:r>
        <w:rPr>
          <w:i/>
          <w:sz w:val="24"/>
        </w:rPr>
        <w:t>demand management incentive scheme </w:t>
      </w:r>
      <w:r>
        <w:rPr>
          <w:sz w:val="24"/>
        </w:rPr>
        <w:t>under new clause 6.6.3;</w:t>
      </w:r>
      <w:r>
        <w:rPr>
          <w:spacing w:val="-10"/>
          <w:sz w:val="24"/>
        </w:rPr>
        <w:t> </w:t>
      </w:r>
      <w:r>
        <w:rPr>
          <w:sz w:val="24"/>
        </w:rPr>
        <w:t>and</w:t>
      </w:r>
    </w:p>
    <w:p>
      <w:pPr>
        <w:pStyle w:val="ListParagraph"/>
        <w:numPr>
          <w:ilvl w:val="4"/>
          <w:numId w:val="844"/>
        </w:numPr>
        <w:tabs>
          <w:tab w:pos="2485" w:val="left" w:leader="none"/>
          <w:tab w:pos="2487" w:val="left" w:leader="none"/>
        </w:tabs>
        <w:spacing w:line="240" w:lineRule="auto" w:before="120" w:after="0"/>
        <w:ind w:left="2486" w:right="415" w:hanging="567"/>
        <w:jc w:val="left"/>
        <w:rPr>
          <w:sz w:val="24"/>
        </w:rPr>
      </w:pPr>
      <w:r>
        <w:rPr>
          <w:i/>
          <w:sz w:val="24"/>
        </w:rPr>
        <w:t>demand management innovation allowance mechanism </w:t>
      </w:r>
      <w:r>
        <w:rPr>
          <w:sz w:val="24"/>
        </w:rPr>
        <w:t>under new clause 6.6.3A.</w:t>
      </w:r>
    </w:p>
    <w:p>
      <w:pPr>
        <w:pStyle w:val="BodyText"/>
        <w:spacing w:before="9"/>
        <w:ind w:firstLine="0"/>
        <w:jc w:val="left"/>
        <w:rPr>
          <w:sz w:val="18"/>
        </w:rPr>
      </w:pPr>
      <w:r>
        <w:rPr/>
        <w:pict>
          <v:shape style="position:absolute;margin-left:69.450005pt;margin-top:12.030054pt;width:456.45pt;height:16.1pt;mso-position-horizontal-relative:page;mso-position-vertical-relative:paragraph;z-index:-251578368;mso-wrap-distance-left:0;mso-wrap-distance-right:0" type="#_x0000_t202" filled="true" fillcolor="#d9d9d9" stroked="false">
            <v:textbox inset="0,0,0,0">
              <w:txbxContent>
                <w:p>
                  <w:pPr>
                    <w:tabs>
                      <w:tab w:pos="1469" w:val="left" w:leader="none"/>
                    </w:tabs>
                    <w:spacing w:before="0"/>
                    <w:ind w:left="29" w:right="0" w:firstLine="0"/>
                    <w:jc w:val="left"/>
                    <w:rPr>
                      <w:rFonts w:ascii="Arial"/>
                      <w:b/>
                      <w:sz w:val="28"/>
                    </w:rPr>
                  </w:pPr>
                  <w:bookmarkStart w:name="Part ZZM Common definitions of distribut" w:id="3102"/>
                  <w:bookmarkEnd w:id="3102"/>
                  <w:r>
                    <w:rPr/>
                  </w:r>
                  <w:bookmarkStart w:name="_bookmark1241" w:id="3103"/>
                  <w:bookmarkEnd w:id="3103"/>
                  <w:r>
                    <w:rPr/>
                  </w:r>
                  <w:r>
                    <w:rPr>
                      <w:rFonts w:ascii="Arial"/>
                      <w:b/>
                      <w:sz w:val="28"/>
                    </w:rPr>
                    <w:t>Part ZZM</w:t>
                    <w:tab/>
                    <w:t>Common definitions of distribution reliability</w:t>
                  </w:r>
                  <w:r>
                    <w:rPr>
                      <w:rFonts w:ascii="Arial"/>
                      <w:b/>
                      <w:spacing w:val="-11"/>
                      <w:sz w:val="28"/>
                    </w:rPr>
                    <w:t> </w:t>
                  </w:r>
                  <w:r>
                    <w:rPr>
                      <w:rFonts w:ascii="Arial"/>
                      <w:b/>
                      <w:sz w:val="28"/>
                    </w:rPr>
                    <w:t>measures</w:t>
                  </w:r>
                </w:p>
              </w:txbxContent>
            </v:textbox>
            <v:fill type="solid"/>
            <w10:wrap type="topAndBottom"/>
          </v:shape>
        </w:pict>
      </w:r>
    </w:p>
    <w:p>
      <w:pPr>
        <w:pStyle w:val="BodyText"/>
        <w:spacing w:before="7"/>
        <w:ind w:firstLine="0"/>
        <w:jc w:val="left"/>
        <w:rPr>
          <w:sz w:val="11"/>
        </w:rPr>
      </w:pPr>
    </w:p>
    <w:p>
      <w:pPr>
        <w:pStyle w:val="Heading3"/>
        <w:numPr>
          <w:ilvl w:val="1"/>
          <w:numId w:val="845"/>
        </w:numPr>
        <w:tabs>
          <w:tab w:pos="1351" w:val="left" w:leader="none"/>
          <w:tab w:pos="1353" w:val="left" w:leader="none"/>
        </w:tabs>
        <w:spacing w:line="240" w:lineRule="auto" w:before="91" w:after="0"/>
        <w:ind w:left="1352" w:right="798" w:hanging="1134"/>
        <w:jc w:val="left"/>
      </w:pPr>
      <w:bookmarkStart w:name="11.85 Rules consequential on the making " w:id="3104"/>
      <w:bookmarkEnd w:id="3104"/>
      <w:r>
        <w:rPr>
          <w:b w:val="0"/>
        </w:rPr>
      </w:r>
      <w:bookmarkStart w:name="_bookmark1242" w:id="3105"/>
      <w:bookmarkEnd w:id="3105"/>
      <w:r>
        <w:rPr>
          <w:b w:val="0"/>
        </w:rPr>
      </w:r>
      <w:bookmarkStart w:name="_bookmark1242" w:id="3106"/>
      <w:bookmarkEnd w:id="3106"/>
      <w:r>
        <w:rPr/>
        <w:t>Rul</w:t>
      </w:r>
      <w:r>
        <w:rPr/>
        <w:t>es consequential on the making of the National Electricity Amendment (Common definitions of distribution reliability measures) Rule</w:t>
      </w:r>
      <w:r>
        <w:rPr>
          <w:spacing w:val="-3"/>
        </w:rPr>
        <w:t> </w:t>
      </w:r>
      <w:r>
        <w:rPr/>
        <w:t>2015</w:t>
      </w:r>
    </w:p>
    <w:p>
      <w:pPr>
        <w:pStyle w:val="Heading4"/>
        <w:numPr>
          <w:ilvl w:val="2"/>
          <w:numId w:val="845"/>
        </w:numPr>
        <w:tabs>
          <w:tab w:pos="1351" w:val="left" w:leader="none"/>
          <w:tab w:pos="1352" w:val="left" w:leader="none"/>
        </w:tabs>
        <w:spacing w:line="240" w:lineRule="auto" w:before="240" w:after="0"/>
        <w:ind w:left="1351" w:right="0" w:hanging="1134"/>
        <w:jc w:val="left"/>
      </w:pPr>
      <w:bookmarkStart w:name="11.85.1 Definitions" w:id="3107"/>
      <w:bookmarkEnd w:id="3107"/>
      <w:r>
        <w:rPr>
          <w:b w:val="0"/>
        </w:rPr>
      </w:r>
      <w:bookmarkStart w:name="_bookmark1243" w:id="3108"/>
      <w:bookmarkEnd w:id="3108"/>
      <w:r>
        <w:rPr>
          <w:b w:val="0"/>
        </w:rPr>
      </w:r>
      <w:bookmarkStart w:name="_bookmark1243" w:id="3109"/>
      <w:bookmarkEnd w:id="3109"/>
      <w:r>
        <w:rPr/>
        <w:t>Definition</w:t>
      </w:r>
      <w:r>
        <w:rPr/>
        <w:t>s</w:t>
      </w:r>
    </w:p>
    <w:p>
      <w:pPr>
        <w:pStyle w:val="ListParagraph"/>
        <w:numPr>
          <w:ilvl w:val="3"/>
          <w:numId w:val="845"/>
        </w:numPr>
        <w:tabs>
          <w:tab w:pos="1918" w:val="left" w:leader="none"/>
          <w:tab w:pos="1919" w:val="left" w:leader="none"/>
        </w:tabs>
        <w:spacing w:line="240" w:lineRule="auto" w:before="120" w:after="0"/>
        <w:ind w:left="1918" w:right="0" w:hanging="567"/>
        <w:jc w:val="left"/>
        <w:rPr>
          <w:sz w:val="24"/>
        </w:rPr>
      </w:pPr>
      <w:r>
        <w:rPr>
          <w:sz w:val="24"/>
        </w:rPr>
        <w:t>In this rule</w:t>
      </w:r>
      <w:r>
        <w:rPr>
          <w:spacing w:val="-1"/>
          <w:sz w:val="24"/>
        </w:rPr>
        <w:t> </w:t>
      </w:r>
      <w:r>
        <w:rPr>
          <w:sz w:val="24"/>
        </w:rPr>
        <w:t>11.85:</w:t>
      </w:r>
    </w:p>
    <w:p>
      <w:pPr>
        <w:pStyle w:val="BodyText"/>
        <w:ind w:left="1919" w:firstLine="0"/>
        <w:jc w:val="left"/>
      </w:pPr>
      <w:r>
        <w:rPr>
          <w:b/>
        </w:rPr>
        <w:t>Amending Rule </w:t>
      </w:r>
      <w:r>
        <w:rPr/>
        <w:t>means the National Electricity Amendment (Common definitions of distribution reliability measures) Rule 2015.</w:t>
      </w:r>
    </w:p>
    <w:p>
      <w:pPr>
        <w:spacing w:before="120"/>
        <w:ind w:left="1919" w:right="0" w:firstLine="0"/>
        <w:jc w:val="left"/>
        <w:rPr>
          <w:sz w:val="24"/>
        </w:rPr>
      </w:pPr>
      <w:r>
        <w:rPr>
          <w:b/>
          <w:sz w:val="24"/>
        </w:rPr>
        <w:t>effective date </w:t>
      </w:r>
      <w:r>
        <w:rPr>
          <w:sz w:val="24"/>
        </w:rPr>
        <w:t>means 30 June 2017.</w:t>
      </w:r>
    </w:p>
    <w:p>
      <w:pPr>
        <w:spacing w:after="0"/>
        <w:jc w:val="left"/>
        <w:rPr>
          <w:sz w:val="24"/>
        </w:rPr>
        <w:sectPr>
          <w:headerReference w:type="default" r:id="rId163"/>
          <w:footerReference w:type="default" r:id="rId164"/>
          <w:pgSz w:w="11910" w:h="16840"/>
          <w:pgMar w:header="686" w:footer="637" w:top="1320" w:bottom="820" w:left="1200" w:right="1000"/>
        </w:sectPr>
      </w:pPr>
    </w:p>
    <w:p>
      <w:pPr>
        <w:pStyle w:val="Heading4"/>
        <w:numPr>
          <w:ilvl w:val="2"/>
          <w:numId w:val="845"/>
        </w:numPr>
        <w:tabs>
          <w:tab w:pos="1351" w:val="left" w:leader="none"/>
          <w:tab w:pos="1352" w:val="left" w:leader="none"/>
        </w:tabs>
        <w:spacing w:line="240" w:lineRule="auto" w:before="83" w:after="0"/>
        <w:ind w:left="1351" w:right="0" w:hanging="1134"/>
        <w:jc w:val="left"/>
      </w:pPr>
      <w:bookmarkStart w:name="11.85.2 Distribution reliability measure" w:id="3110"/>
      <w:bookmarkEnd w:id="3110"/>
      <w:r>
        <w:rPr>
          <w:b w:val="0"/>
        </w:rPr>
      </w:r>
      <w:bookmarkStart w:name="_bookmark1244" w:id="3111"/>
      <w:bookmarkEnd w:id="3111"/>
      <w:r>
        <w:rPr>
          <w:b w:val="0"/>
        </w:rPr>
      </w:r>
      <w:bookmarkStart w:name="_bookmark1244" w:id="3112"/>
      <w:bookmarkEnd w:id="3112"/>
      <w:r>
        <w:rPr/>
        <w:t>Distributio</w:t>
      </w:r>
      <w:r>
        <w:rPr/>
        <w:t>n reliability measures</w:t>
      </w:r>
      <w:r>
        <w:rPr>
          <w:spacing w:val="-4"/>
        </w:rPr>
        <w:t> </w:t>
      </w:r>
      <w:r>
        <w:rPr/>
        <w:t>guidelines</w:t>
      </w:r>
    </w:p>
    <w:p>
      <w:pPr>
        <w:spacing w:before="120"/>
        <w:ind w:left="1352" w:right="415" w:firstLine="0"/>
        <w:jc w:val="left"/>
        <w:rPr>
          <w:sz w:val="24"/>
        </w:rPr>
      </w:pPr>
      <w:r>
        <w:rPr>
          <w:sz w:val="24"/>
        </w:rPr>
        <w:t>Despite clause 6.28(a), the </w:t>
      </w:r>
      <w:r>
        <w:rPr>
          <w:i/>
          <w:sz w:val="24"/>
        </w:rPr>
        <w:t>AER </w:t>
      </w:r>
      <w:r>
        <w:rPr>
          <w:sz w:val="24"/>
        </w:rPr>
        <w:t>must develop and </w:t>
      </w:r>
      <w:r>
        <w:rPr>
          <w:i/>
          <w:sz w:val="24"/>
        </w:rPr>
        <w:t>publish </w:t>
      </w:r>
      <w:r>
        <w:rPr>
          <w:sz w:val="24"/>
        </w:rPr>
        <w:t>the </w:t>
      </w:r>
      <w:r>
        <w:rPr>
          <w:i/>
          <w:sz w:val="24"/>
        </w:rPr>
        <w:t>distribution </w:t>
      </w:r>
      <w:r>
        <w:rPr>
          <w:i/>
          <w:sz w:val="24"/>
        </w:rPr>
        <w:t>reliability measures guidelines </w:t>
      </w:r>
      <w:r>
        <w:rPr>
          <w:sz w:val="24"/>
        </w:rPr>
        <w:t>by 30 June 2017.</w:t>
      </w:r>
    </w:p>
    <w:p>
      <w:pPr>
        <w:pStyle w:val="BodyText"/>
        <w:spacing w:before="10"/>
        <w:ind w:firstLine="0"/>
        <w:jc w:val="left"/>
        <w:rPr>
          <w:sz w:val="20"/>
        </w:rPr>
      </w:pPr>
    </w:p>
    <w:p>
      <w:pPr>
        <w:pStyle w:val="Heading4"/>
        <w:numPr>
          <w:ilvl w:val="2"/>
          <w:numId w:val="845"/>
        </w:numPr>
        <w:tabs>
          <w:tab w:pos="1351" w:val="left" w:leader="none"/>
          <w:tab w:pos="1352" w:val="left" w:leader="none"/>
        </w:tabs>
        <w:spacing w:line="240" w:lineRule="auto" w:before="0" w:after="0"/>
        <w:ind w:left="1351" w:right="0" w:hanging="1134"/>
        <w:jc w:val="left"/>
      </w:pPr>
      <w:bookmarkStart w:name="11.85.3 Amended STPIS" w:id="3113"/>
      <w:bookmarkEnd w:id="3113"/>
      <w:r>
        <w:rPr>
          <w:b w:val="0"/>
        </w:rPr>
      </w:r>
      <w:bookmarkStart w:name="_bookmark1245" w:id="3114"/>
      <w:bookmarkEnd w:id="3114"/>
      <w:r>
        <w:rPr>
          <w:b w:val="0"/>
        </w:rPr>
      </w:r>
      <w:bookmarkStart w:name="_bookmark1245" w:id="3115"/>
      <w:bookmarkEnd w:id="3115"/>
      <w:r>
        <w:rPr/>
        <w:t>Amende</w:t>
      </w:r>
      <w:r>
        <w:rPr/>
        <w:t>d</w:t>
      </w:r>
      <w:r>
        <w:rPr>
          <w:spacing w:val="-2"/>
        </w:rPr>
        <w:t> </w:t>
      </w:r>
      <w:r>
        <w:rPr/>
        <w:t>STPIS</w:t>
      </w:r>
    </w:p>
    <w:p>
      <w:pPr>
        <w:pStyle w:val="ListParagraph"/>
        <w:numPr>
          <w:ilvl w:val="3"/>
          <w:numId w:val="845"/>
        </w:numPr>
        <w:tabs>
          <w:tab w:pos="1919" w:val="left" w:leader="none"/>
        </w:tabs>
        <w:spacing w:line="240" w:lineRule="auto" w:before="120" w:after="0"/>
        <w:ind w:left="1919" w:right="414" w:hanging="567"/>
        <w:jc w:val="both"/>
        <w:rPr>
          <w:sz w:val="24"/>
        </w:rPr>
      </w:pPr>
      <w:r>
        <w:rPr>
          <w:sz w:val="24"/>
        </w:rPr>
        <w:t>If, prior to the effective date, and for the purposes of developing changes to the current version of the </w:t>
      </w:r>
      <w:r>
        <w:rPr>
          <w:i/>
          <w:sz w:val="24"/>
        </w:rPr>
        <w:t>service target performance incentive scheme </w:t>
      </w:r>
      <w:r>
        <w:rPr>
          <w:sz w:val="24"/>
        </w:rPr>
        <w:t>in anticipation of the Amending Rule, the </w:t>
      </w:r>
      <w:r>
        <w:rPr>
          <w:i/>
          <w:sz w:val="24"/>
        </w:rPr>
        <w:t>AER </w:t>
      </w:r>
      <w:r>
        <w:rPr>
          <w:sz w:val="24"/>
        </w:rPr>
        <w:t>undertook a consultation, step, decision or action equivalent to that as required in the </w:t>
      </w:r>
      <w:r>
        <w:rPr>
          <w:i/>
          <w:sz w:val="24"/>
        </w:rPr>
        <w:t>distribution </w:t>
      </w:r>
      <w:r>
        <w:rPr>
          <w:i/>
          <w:sz w:val="24"/>
        </w:rPr>
        <w:t>consultation procedures </w:t>
      </w:r>
      <w:r>
        <w:rPr>
          <w:sz w:val="24"/>
        </w:rPr>
        <w:t>or otherwise under the </w:t>
      </w:r>
      <w:r>
        <w:rPr>
          <w:i/>
          <w:sz w:val="24"/>
        </w:rPr>
        <w:t>Rules</w:t>
      </w:r>
      <w:r>
        <w:rPr>
          <w:sz w:val="24"/>
        </w:rPr>
        <w:t>, then that consultation, step, decision or action is taken to satisfy the equivalent consultation step, decision or action under the </w:t>
      </w:r>
      <w:r>
        <w:rPr>
          <w:i/>
          <w:sz w:val="24"/>
        </w:rPr>
        <w:t>distribution consultation </w:t>
      </w:r>
      <w:r>
        <w:rPr>
          <w:i/>
          <w:sz w:val="24"/>
        </w:rPr>
        <w:t>procedures </w:t>
      </w:r>
      <w:r>
        <w:rPr>
          <w:sz w:val="24"/>
        </w:rPr>
        <w:t>or </w:t>
      </w:r>
      <w:r>
        <w:rPr>
          <w:i/>
          <w:sz w:val="24"/>
        </w:rPr>
        <w:t>Rules</w:t>
      </w:r>
      <w:r>
        <w:rPr>
          <w:sz w:val="24"/>
        </w:rPr>
        <w:t>.</w:t>
      </w:r>
    </w:p>
    <w:p>
      <w:pPr>
        <w:pStyle w:val="Heading4"/>
        <w:spacing w:before="120"/>
        <w:ind w:left="218" w:firstLine="0"/>
        <w:rPr>
          <w:rFonts w:ascii="Times New Roman"/>
        </w:rPr>
      </w:pPr>
      <w:r>
        <w:rPr>
          <w:rFonts w:ascii="Times New Roman"/>
        </w:rPr>
        <w:t>**********</w:t>
      </w:r>
    </w:p>
    <w:p>
      <w:pPr>
        <w:pStyle w:val="BodyText"/>
        <w:spacing w:before="10"/>
        <w:ind w:firstLine="0"/>
        <w:jc w:val="left"/>
        <w:rPr>
          <w:b/>
          <w:sz w:val="20"/>
        </w:rPr>
      </w:pPr>
    </w:p>
    <w:p>
      <w:pPr>
        <w:pStyle w:val="Heading4"/>
        <w:numPr>
          <w:ilvl w:val="2"/>
          <w:numId w:val="846"/>
        </w:numPr>
        <w:tabs>
          <w:tab w:pos="1351" w:val="left" w:leader="none"/>
          <w:tab w:pos="1352" w:val="left" w:leader="none"/>
        </w:tabs>
        <w:spacing w:line="240" w:lineRule="auto" w:before="0" w:after="0"/>
        <w:ind w:left="1351" w:right="0" w:hanging="1134"/>
        <w:jc w:val="left"/>
      </w:pPr>
      <w:bookmarkStart w:name="11.86.8 Distribution Ring Fencing Guidel" w:id="3116"/>
      <w:bookmarkEnd w:id="3116"/>
      <w:r>
        <w:rPr>
          <w:b w:val="0"/>
        </w:rPr>
      </w:r>
      <w:bookmarkStart w:name="_bookmark1246" w:id="3117"/>
      <w:bookmarkEnd w:id="3117"/>
      <w:r>
        <w:rPr>
          <w:b w:val="0"/>
        </w:rPr>
      </w:r>
      <w:bookmarkStart w:name="_bookmark1246" w:id="3118"/>
      <w:bookmarkEnd w:id="3118"/>
      <w:r>
        <w:rPr/>
        <w:t>Distributio</w:t>
      </w:r>
      <w:r>
        <w:rPr/>
        <w:t>n Ring Fencing</w:t>
      </w:r>
      <w:r>
        <w:rPr>
          <w:spacing w:val="-4"/>
        </w:rPr>
        <w:t> </w:t>
      </w:r>
      <w:r>
        <w:rPr/>
        <w:t>Guidelines</w:t>
      </w:r>
    </w:p>
    <w:p>
      <w:pPr>
        <w:pStyle w:val="ListParagraph"/>
        <w:numPr>
          <w:ilvl w:val="3"/>
          <w:numId w:val="846"/>
        </w:numPr>
        <w:tabs>
          <w:tab w:pos="1918" w:val="left" w:leader="none"/>
          <w:tab w:pos="1919" w:val="left" w:leader="none"/>
        </w:tabs>
        <w:spacing w:line="240" w:lineRule="auto" w:before="120" w:after="0"/>
        <w:ind w:left="1919" w:right="417" w:hanging="567"/>
        <w:jc w:val="left"/>
        <w:rPr>
          <w:sz w:val="24"/>
        </w:rPr>
      </w:pPr>
      <w:r>
        <w:rPr>
          <w:i/>
          <w:sz w:val="24"/>
        </w:rPr>
        <w:t>AER </w:t>
      </w:r>
      <w:r>
        <w:rPr>
          <w:sz w:val="24"/>
        </w:rPr>
        <w:t>must by 1 December 2016 </w:t>
      </w:r>
      <w:r>
        <w:rPr>
          <w:i/>
          <w:sz w:val="24"/>
        </w:rPr>
        <w:t>publish Distribution</w:t>
      </w:r>
      <w:r>
        <w:rPr>
          <w:i/>
          <w:spacing w:val="34"/>
          <w:sz w:val="24"/>
        </w:rPr>
        <w:t> </w:t>
      </w:r>
      <w:r>
        <w:rPr>
          <w:i/>
          <w:sz w:val="24"/>
        </w:rPr>
        <w:t>Ring-Fencing </w:t>
      </w:r>
      <w:r>
        <w:rPr>
          <w:i/>
          <w:sz w:val="24"/>
        </w:rPr>
        <w:t>Guidelines</w:t>
      </w:r>
      <w:r>
        <w:rPr>
          <w:sz w:val="24"/>
        </w:rPr>
        <w:t>.</w:t>
      </w:r>
    </w:p>
    <w:p>
      <w:pPr>
        <w:pStyle w:val="Heading4"/>
        <w:spacing w:before="120"/>
        <w:ind w:left="218" w:firstLine="0"/>
        <w:rPr>
          <w:rFonts w:ascii="Times New Roman"/>
        </w:rPr>
      </w:pPr>
      <w:r>
        <w:rPr>
          <w:rFonts w:ascii="Times New Roman"/>
        </w:rPr>
        <w:t>**********</w:t>
      </w:r>
    </w:p>
    <w:p>
      <w:pPr>
        <w:pStyle w:val="BodyText"/>
        <w:spacing w:before="10"/>
        <w:ind w:firstLine="0"/>
        <w:jc w:val="left"/>
        <w:rPr>
          <w:b/>
          <w:sz w:val="20"/>
        </w:rPr>
      </w:pPr>
    </w:p>
    <w:p>
      <w:pPr>
        <w:tabs>
          <w:tab w:pos="1658" w:val="left" w:leader="none"/>
          <w:tab w:pos="9317" w:val="left" w:leader="none"/>
        </w:tabs>
        <w:spacing w:before="0"/>
        <w:ind w:left="218" w:right="0" w:firstLine="0"/>
        <w:jc w:val="left"/>
        <w:rPr>
          <w:rFonts w:ascii="Arial"/>
          <w:b/>
          <w:sz w:val="28"/>
        </w:rPr>
      </w:pPr>
      <w:bookmarkStart w:name="Part ZZU Rate of Return Guidelines Revie" w:id="3119"/>
      <w:bookmarkEnd w:id="3119"/>
      <w:r>
        <w:rPr/>
      </w:r>
      <w:bookmarkStart w:name="_bookmark1247" w:id="3120"/>
      <w:bookmarkEnd w:id="3120"/>
      <w:r>
        <w:rPr/>
      </w:r>
      <w:r>
        <w:rPr>
          <w:rFonts w:ascii="Arial"/>
          <w:b/>
          <w:sz w:val="28"/>
          <w:shd w:fill="D9D9D9" w:color="auto" w:val="clear"/>
        </w:rPr>
        <w:t>Part ZZU</w:t>
        <w:tab/>
        <w:t>Rate of Return Guidelines</w:t>
      </w:r>
      <w:r>
        <w:rPr>
          <w:rFonts w:ascii="Arial"/>
          <w:b/>
          <w:spacing w:val="-14"/>
          <w:sz w:val="28"/>
          <w:shd w:fill="D9D9D9" w:color="auto" w:val="clear"/>
        </w:rPr>
        <w:t> </w:t>
      </w:r>
      <w:r>
        <w:rPr>
          <w:rFonts w:ascii="Arial"/>
          <w:b/>
          <w:sz w:val="28"/>
          <w:shd w:fill="D9D9D9" w:color="auto" w:val="clear"/>
        </w:rPr>
        <w:t>Review</w:t>
        <w:tab/>
      </w:r>
    </w:p>
    <w:p>
      <w:pPr>
        <w:pStyle w:val="Heading3"/>
        <w:numPr>
          <w:ilvl w:val="1"/>
          <w:numId w:val="847"/>
        </w:numPr>
        <w:tabs>
          <w:tab w:pos="1351" w:val="left" w:leader="none"/>
          <w:tab w:pos="1353" w:val="left" w:leader="none"/>
        </w:tabs>
        <w:spacing w:line="240" w:lineRule="auto" w:before="240" w:after="0"/>
        <w:ind w:left="1352" w:right="798" w:hanging="1134"/>
        <w:jc w:val="left"/>
      </w:pPr>
      <w:bookmarkStart w:name="11.93 Rules consequential on the making " w:id="3121"/>
      <w:bookmarkEnd w:id="3121"/>
      <w:r>
        <w:rPr>
          <w:b w:val="0"/>
        </w:rPr>
      </w:r>
      <w:bookmarkStart w:name="_bookmark1248" w:id="3122"/>
      <w:bookmarkEnd w:id="3122"/>
      <w:r>
        <w:rPr>
          <w:b w:val="0"/>
        </w:rPr>
      </w:r>
      <w:bookmarkStart w:name="_bookmark1248" w:id="3123"/>
      <w:bookmarkEnd w:id="3123"/>
      <w:r>
        <w:rPr/>
        <w:t>Rul</w:t>
      </w:r>
      <w:r>
        <w:rPr/>
        <w:t>es consequential on the making of the National Electricity Amendment (Rate of Return Guidelines Review) Rule</w:t>
      </w:r>
      <w:r>
        <w:rPr>
          <w:spacing w:val="-16"/>
        </w:rPr>
        <w:t> </w:t>
      </w:r>
      <w:r>
        <w:rPr/>
        <w:t>2016</w:t>
      </w:r>
    </w:p>
    <w:p>
      <w:pPr>
        <w:pStyle w:val="Heading4"/>
        <w:numPr>
          <w:ilvl w:val="2"/>
          <w:numId w:val="847"/>
        </w:numPr>
        <w:tabs>
          <w:tab w:pos="1351" w:val="left" w:leader="none"/>
          <w:tab w:pos="1352" w:val="left" w:leader="none"/>
        </w:tabs>
        <w:spacing w:line="240" w:lineRule="auto" w:before="240" w:after="0"/>
        <w:ind w:left="1351" w:right="0" w:hanging="1134"/>
        <w:jc w:val="left"/>
      </w:pPr>
      <w:bookmarkStart w:name="11.93.1 Definitions" w:id="3124"/>
      <w:bookmarkEnd w:id="3124"/>
      <w:r>
        <w:rPr>
          <w:b w:val="0"/>
        </w:rPr>
      </w:r>
      <w:bookmarkStart w:name="_bookmark1249" w:id="3125"/>
      <w:bookmarkEnd w:id="3125"/>
      <w:r>
        <w:rPr>
          <w:b w:val="0"/>
        </w:rPr>
      </w:r>
      <w:bookmarkStart w:name="_bookmark1249" w:id="3126"/>
      <w:bookmarkEnd w:id="3126"/>
      <w:r>
        <w:rPr/>
        <w:t>Definition</w:t>
      </w:r>
      <w:r>
        <w:rPr/>
        <w:t>s</w:t>
      </w:r>
    </w:p>
    <w:p>
      <w:pPr>
        <w:pStyle w:val="BodyText"/>
        <w:ind w:left="1352" w:firstLine="0"/>
      </w:pPr>
      <w:r>
        <w:rPr/>
        <w:t>In this rule 11.93:</w:t>
      </w:r>
    </w:p>
    <w:p>
      <w:pPr>
        <w:spacing w:before="120"/>
        <w:ind w:left="1352" w:right="415" w:firstLine="0"/>
        <w:jc w:val="both"/>
        <w:rPr>
          <w:sz w:val="24"/>
        </w:rPr>
      </w:pPr>
      <w:r>
        <w:rPr>
          <w:b/>
          <w:sz w:val="24"/>
        </w:rPr>
        <w:t>affected DNSP </w:t>
      </w:r>
      <w:r>
        <w:rPr>
          <w:sz w:val="24"/>
        </w:rPr>
        <w:t>means each of the following </w:t>
      </w:r>
      <w:r>
        <w:rPr>
          <w:i/>
          <w:sz w:val="24"/>
        </w:rPr>
        <w:t>Distribution Network Service </w:t>
      </w:r>
      <w:r>
        <w:rPr>
          <w:i/>
          <w:sz w:val="24"/>
        </w:rPr>
        <w:t>Providers</w:t>
      </w:r>
      <w:r>
        <w:rPr>
          <w:sz w:val="24"/>
        </w:rPr>
        <w:t>:</w:t>
      </w:r>
    </w:p>
    <w:p>
      <w:pPr>
        <w:pStyle w:val="ListParagraph"/>
        <w:numPr>
          <w:ilvl w:val="3"/>
          <w:numId w:val="847"/>
        </w:numPr>
        <w:tabs>
          <w:tab w:pos="1919" w:val="left" w:leader="none"/>
        </w:tabs>
        <w:spacing w:line="240" w:lineRule="auto" w:before="120" w:after="0"/>
        <w:ind w:left="1919" w:right="416" w:hanging="567"/>
        <w:jc w:val="both"/>
        <w:rPr>
          <w:sz w:val="24"/>
        </w:rPr>
      </w:pPr>
      <w:r>
        <w:rPr>
          <w:sz w:val="24"/>
        </w:rPr>
        <w:t>ActewAGL Distribution, the joint venture between Icon Distribution Investments Limited ACN 073 025 224 and Jemena Networks (ACT) Pty Ltd ACN 008 552 663 providing </w:t>
      </w:r>
      <w:r>
        <w:rPr>
          <w:i/>
          <w:sz w:val="24"/>
        </w:rPr>
        <w:t>distribution services </w:t>
      </w:r>
      <w:r>
        <w:rPr>
          <w:sz w:val="24"/>
        </w:rPr>
        <w:t>in the Australian Capital Territory, or any successor to its</w:t>
      </w:r>
      <w:r>
        <w:rPr>
          <w:spacing w:val="-4"/>
          <w:sz w:val="24"/>
        </w:rPr>
        <w:t> </w:t>
      </w:r>
      <w:r>
        <w:rPr>
          <w:sz w:val="24"/>
        </w:rPr>
        <w:t>business;</w:t>
      </w:r>
    </w:p>
    <w:p>
      <w:pPr>
        <w:pStyle w:val="ListParagraph"/>
        <w:numPr>
          <w:ilvl w:val="3"/>
          <w:numId w:val="847"/>
        </w:numPr>
        <w:tabs>
          <w:tab w:pos="1919" w:val="left" w:leader="none"/>
        </w:tabs>
        <w:spacing w:line="240" w:lineRule="auto" w:before="120" w:after="0"/>
        <w:ind w:left="1919" w:right="414" w:hanging="567"/>
        <w:jc w:val="both"/>
        <w:rPr>
          <w:sz w:val="24"/>
        </w:rPr>
      </w:pPr>
      <w:r>
        <w:rPr>
          <w:sz w:val="24"/>
        </w:rPr>
        <w:t>Ausgrid, the energy services corporation of that name (formerly known as EnergyAustralia), which is constituted under section 7 of the </w:t>
      </w:r>
      <w:r>
        <w:rPr>
          <w:i/>
          <w:sz w:val="24"/>
        </w:rPr>
        <w:t>Energy </w:t>
      </w:r>
      <w:r>
        <w:rPr>
          <w:i/>
          <w:sz w:val="24"/>
        </w:rPr>
        <w:t>Services Corporations Act 1995 </w:t>
      </w:r>
      <w:r>
        <w:rPr>
          <w:sz w:val="24"/>
        </w:rPr>
        <w:t>(NSW) and specified in Part 2 of Schedule 1 of that Act, or any successor to its business (including any 'authorised distributor' of Ausgrid's 'network infrastructure assets' (as those terms are defined in the </w:t>
      </w:r>
      <w:r>
        <w:rPr>
          <w:i/>
          <w:sz w:val="24"/>
        </w:rPr>
        <w:t>Electricity Network Assets (Authorised Transactions) Act </w:t>
      </w:r>
      <w:r>
        <w:rPr>
          <w:i/>
          <w:sz w:val="24"/>
        </w:rPr>
        <w:t>2015 </w:t>
      </w:r>
      <w:r>
        <w:rPr>
          <w:sz w:val="24"/>
        </w:rPr>
        <w:t>(NSW)) following the transfer of the whole, or part of, those network infrastructure assets to the private</w:t>
      </w:r>
      <w:r>
        <w:rPr>
          <w:spacing w:val="-1"/>
          <w:sz w:val="24"/>
        </w:rPr>
        <w:t> </w:t>
      </w:r>
      <w:r>
        <w:rPr>
          <w:sz w:val="24"/>
        </w:rPr>
        <w:t>sector);</w:t>
      </w:r>
    </w:p>
    <w:p>
      <w:pPr>
        <w:pStyle w:val="ListParagraph"/>
        <w:numPr>
          <w:ilvl w:val="3"/>
          <w:numId w:val="847"/>
        </w:numPr>
        <w:tabs>
          <w:tab w:pos="1919" w:val="left" w:leader="none"/>
        </w:tabs>
        <w:spacing w:line="240" w:lineRule="auto" w:before="120" w:after="0"/>
        <w:ind w:left="1919" w:right="414" w:hanging="567"/>
        <w:jc w:val="both"/>
        <w:rPr>
          <w:sz w:val="24"/>
        </w:rPr>
      </w:pPr>
      <w:r>
        <w:rPr>
          <w:sz w:val="24"/>
        </w:rPr>
        <w:t>Endeavour Energy, the energy services corporation of that name (formerly known as Integral Energy), which is constituted under section 7 of</w:t>
      </w:r>
      <w:r>
        <w:rPr>
          <w:spacing w:val="29"/>
          <w:sz w:val="24"/>
        </w:rPr>
        <w:t> </w:t>
      </w:r>
      <w:r>
        <w:rPr>
          <w:sz w:val="24"/>
        </w:rPr>
        <w:t>the </w:t>
      </w:r>
      <w:r>
        <w:rPr>
          <w:i/>
          <w:sz w:val="24"/>
        </w:rPr>
        <w:t>Energy Services Corporations Act 1995 </w:t>
      </w:r>
      <w:r>
        <w:rPr>
          <w:sz w:val="24"/>
        </w:rPr>
        <w:t>(NSW) and specified in Part 2 of Schedule 1 to that Act, or any successor to its business (including any 'authorised distributor' of Endeavour Energy's 'network infrastructure</w:t>
      </w:r>
      <w:r>
        <w:rPr>
          <w:spacing w:val="51"/>
          <w:sz w:val="24"/>
        </w:rPr>
        <w:t> </w:t>
      </w:r>
      <w:r>
        <w:rPr>
          <w:sz w:val="24"/>
        </w:rPr>
        <w:t>assets'</w:t>
      </w:r>
    </w:p>
    <w:p>
      <w:pPr>
        <w:spacing w:after="0" w:line="240" w:lineRule="auto"/>
        <w:jc w:val="both"/>
        <w:rPr>
          <w:sz w:val="24"/>
        </w:rPr>
        <w:sectPr>
          <w:headerReference w:type="default" r:id="rId165"/>
          <w:footerReference w:type="default" r:id="rId166"/>
          <w:pgSz w:w="11910" w:h="16840"/>
          <w:pgMar w:header="686" w:footer="637" w:top="1320" w:bottom="820" w:left="1200" w:right="1000"/>
          <w:pgNumType w:start="912"/>
        </w:sectPr>
      </w:pPr>
    </w:p>
    <w:p>
      <w:pPr>
        <w:spacing w:before="83"/>
        <w:ind w:left="1919" w:right="415" w:firstLine="0"/>
        <w:jc w:val="both"/>
        <w:rPr>
          <w:sz w:val="24"/>
        </w:rPr>
      </w:pPr>
      <w:r>
        <w:rPr>
          <w:sz w:val="24"/>
        </w:rPr>
        <w:t>(as those terms are defined in the </w:t>
      </w:r>
      <w:r>
        <w:rPr>
          <w:i/>
          <w:sz w:val="24"/>
        </w:rPr>
        <w:t>Electricity Network Assets (Authorised </w:t>
      </w:r>
      <w:r>
        <w:rPr>
          <w:i/>
          <w:sz w:val="24"/>
        </w:rPr>
        <w:t>Transactions) Act 2015 </w:t>
      </w:r>
      <w:r>
        <w:rPr>
          <w:sz w:val="24"/>
        </w:rPr>
        <w:t>(NSW)) following the transfer of the whole, or part of, those network infrastructure assets to the private sector);</w:t>
      </w:r>
    </w:p>
    <w:p>
      <w:pPr>
        <w:pStyle w:val="ListParagraph"/>
        <w:numPr>
          <w:ilvl w:val="3"/>
          <w:numId w:val="847"/>
        </w:numPr>
        <w:tabs>
          <w:tab w:pos="1919" w:val="left" w:leader="none"/>
        </w:tabs>
        <w:spacing w:line="240" w:lineRule="auto" w:before="120" w:after="0"/>
        <w:ind w:left="1919" w:right="415" w:hanging="567"/>
        <w:jc w:val="both"/>
        <w:rPr>
          <w:sz w:val="24"/>
        </w:rPr>
      </w:pPr>
      <w:r>
        <w:rPr>
          <w:sz w:val="24"/>
        </w:rPr>
        <w:t>Essential Energy, the energy services corporation of that name (formerly known as Country Energy), which is constituted under section 7 of the </w:t>
      </w:r>
      <w:r>
        <w:rPr>
          <w:i/>
          <w:sz w:val="24"/>
        </w:rPr>
        <w:t>Energy Services Corporations Act 1995 </w:t>
      </w:r>
      <w:r>
        <w:rPr>
          <w:sz w:val="24"/>
        </w:rPr>
        <w:t>(NSW) and specified in Part 2 of Schedule 1 to that Act, or any successor to its business;</w:t>
      </w:r>
      <w:r>
        <w:rPr>
          <w:spacing w:val="-7"/>
          <w:sz w:val="24"/>
        </w:rPr>
        <w:t> </w:t>
      </w:r>
      <w:r>
        <w:rPr>
          <w:sz w:val="24"/>
        </w:rPr>
        <w:t>and</w:t>
      </w:r>
    </w:p>
    <w:p>
      <w:pPr>
        <w:pStyle w:val="ListParagraph"/>
        <w:numPr>
          <w:ilvl w:val="3"/>
          <w:numId w:val="847"/>
        </w:numPr>
        <w:tabs>
          <w:tab w:pos="1919" w:val="left" w:leader="none"/>
        </w:tabs>
        <w:spacing w:line="240" w:lineRule="auto" w:before="120" w:after="0"/>
        <w:ind w:left="1919" w:right="416" w:hanging="567"/>
        <w:jc w:val="both"/>
        <w:rPr>
          <w:sz w:val="24"/>
        </w:rPr>
      </w:pPr>
      <w:r>
        <w:rPr>
          <w:sz w:val="24"/>
        </w:rPr>
        <w:t>Power and Water Corporation ABN 15 947 352 360, providing </w:t>
      </w:r>
      <w:r>
        <w:rPr>
          <w:i/>
          <w:sz w:val="24"/>
        </w:rPr>
        <w:t>distribution </w:t>
      </w:r>
      <w:r>
        <w:rPr>
          <w:i/>
          <w:sz w:val="24"/>
        </w:rPr>
        <w:t>services </w:t>
      </w:r>
      <w:r>
        <w:rPr>
          <w:sz w:val="24"/>
        </w:rPr>
        <w:t>in the Northern Territory, or any successor to its</w:t>
      </w:r>
      <w:r>
        <w:rPr>
          <w:spacing w:val="-13"/>
          <w:sz w:val="24"/>
        </w:rPr>
        <w:t> </w:t>
      </w:r>
      <w:r>
        <w:rPr>
          <w:sz w:val="24"/>
        </w:rPr>
        <w:t>business.</w:t>
      </w:r>
    </w:p>
    <w:p>
      <w:pPr>
        <w:spacing w:before="120"/>
        <w:ind w:left="1352" w:right="415" w:firstLine="0"/>
        <w:jc w:val="both"/>
        <w:rPr>
          <w:sz w:val="24"/>
        </w:rPr>
      </w:pPr>
      <w:r>
        <w:rPr>
          <w:b/>
          <w:sz w:val="24"/>
        </w:rPr>
        <w:t>affected TNSP </w:t>
      </w:r>
      <w:r>
        <w:rPr>
          <w:sz w:val="24"/>
        </w:rPr>
        <w:t>means the </w:t>
      </w:r>
      <w:r>
        <w:rPr>
          <w:i/>
          <w:sz w:val="24"/>
        </w:rPr>
        <w:t>Transmission Network Service Provider</w:t>
      </w:r>
      <w:r>
        <w:rPr>
          <w:sz w:val="24"/>
        </w:rPr>
        <w:t>, Tasmanian Networks Pty Ltd ACN 167 357 299, providing </w:t>
      </w:r>
      <w:r>
        <w:rPr>
          <w:i/>
          <w:sz w:val="24"/>
        </w:rPr>
        <w:t>transmission services </w:t>
      </w:r>
      <w:r>
        <w:rPr>
          <w:sz w:val="24"/>
        </w:rPr>
        <w:t>in Tasmania, or any successor to its business.</w:t>
      </w:r>
    </w:p>
    <w:p>
      <w:pPr>
        <w:spacing w:before="120"/>
        <w:ind w:left="1352" w:right="0" w:firstLine="0"/>
        <w:jc w:val="both"/>
        <w:rPr>
          <w:sz w:val="24"/>
        </w:rPr>
      </w:pPr>
      <w:r>
        <w:rPr>
          <w:b/>
          <w:sz w:val="24"/>
        </w:rPr>
        <w:t>commencement date </w:t>
      </w:r>
      <w:r>
        <w:rPr>
          <w:sz w:val="24"/>
        </w:rPr>
        <w:t>means 20 October 2016.</w:t>
      </w:r>
    </w:p>
    <w:p>
      <w:pPr>
        <w:spacing w:before="120"/>
        <w:ind w:left="1352" w:right="413" w:firstLine="0"/>
        <w:jc w:val="both"/>
        <w:rPr>
          <w:sz w:val="24"/>
        </w:rPr>
      </w:pPr>
      <w:r>
        <w:rPr>
          <w:b/>
          <w:sz w:val="24"/>
        </w:rPr>
        <w:t>current rate of return guidelines </w:t>
      </w:r>
      <w:r>
        <w:rPr>
          <w:sz w:val="24"/>
        </w:rPr>
        <w:t>means the </w:t>
      </w:r>
      <w:r>
        <w:rPr>
          <w:i/>
          <w:sz w:val="24"/>
        </w:rPr>
        <w:t>Rate of Return Guidelines </w:t>
      </w:r>
      <w:r>
        <w:rPr>
          <w:sz w:val="24"/>
        </w:rPr>
        <w:t>as in force on the commencement</w:t>
      </w:r>
      <w:r>
        <w:rPr>
          <w:spacing w:val="-2"/>
          <w:sz w:val="24"/>
        </w:rPr>
        <w:t> </w:t>
      </w:r>
      <w:r>
        <w:rPr>
          <w:sz w:val="24"/>
        </w:rPr>
        <w:t>date.</w:t>
      </w:r>
    </w:p>
    <w:p>
      <w:pPr>
        <w:pStyle w:val="Heading4"/>
        <w:spacing w:before="120"/>
        <w:ind w:left="1352" w:firstLine="0"/>
        <w:jc w:val="both"/>
        <w:rPr>
          <w:rFonts w:ascii="Times New Roman"/>
          <w:b w:val="0"/>
        </w:rPr>
      </w:pPr>
      <w:r>
        <w:rPr>
          <w:rFonts w:ascii="Times New Roman"/>
        </w:rPr>
        <w:t>current regulatory control period </w:t>
      </w:r>
      <w:r>
        <w:rPr>
          <w:rFonts w:ascii="Times New Roman"/>
          <w:b w:val="0"/>
        </w:rPr>
        <w:t>means:</w:t>
      </w:r>
    </w:p>
    <w:p>
      <w:pPr>
        <w:pStyle w:val="ListParagraph"/>
        <w:numPr>
          <w:ilvl w:val="0"/>
          <w:numId w:val="848"/>
        </w:numPr>
        <w:tabs>
          <w:tab w:pos="1919" w:val="left" w:leader="none"/>
        </w:tabs>
        <w:spacing w:line="240" w:lineRule="auto" w:before="120" w:after="0"/>
        <w:ind w:left="1919" w:right="415" w:hanging="567"/>
        <w:jc w:val="both"/>
        <w:rPr>
          <w:sz w:val="24"/>
        </w:rPr>
      </w:pPr>
      <w:r>
        <w:rPr>
          <w:sz w:val="24"/>
        </w:rPr>
        <w:t>in respect of an affected DNSP or affected TNSP, the </w:t>
      </w:r>
      <w:r>
        <w:rPr>
          <w:i/>
          <w:sz w:val="24"/>
        </w:rPr>
        <w:t>regulatory control </w:t>
      </w:r>
      <w:r>
        <w:rPr>
          <w:i/>
          <w:sz w:val="24"/>
        </w:rPr>
        <w:t>period </w:t>
      </w:r>
      <w:r>
        <w:rPr>
          <w:sz w:val="24"/>
        </w:rPr>
        <w:t>for that affected DNSP or affected TNSP, which commenced before the commencement date and, as at the commencement date, has not ended; and</w:t>
      </w:r>
    </w:p>
    <w:p>
      <w:pPr>
        <w:pStyle w:val="ListParagraph"/>
        <w:numPr>
          <w:ilvl w:val="0"/>
          <w:numId w:val="848"/>
        </w:numPr>
        <w:tabs>
          <w:tab w:pos="1919" w:val="left" w:leader="none"/>
        </w:tabs>
        <w:spacing w:line="240" w:lineRule="auto" w:before="120" w:after="0"/>
        <w:ind w:left="1919" w:right="417" w:hanging="567"/>
        <w:jc w:val="both"/>
        <w:rPr>
          <w:sz w:val="24"/>
        </w:rPr>
      </w:pPr>
      <w:r>
        <w:rPr>
          <w:sz w:val="24"/>
        </w:rPr>
        <w:t>in respect of TasNetworks, the </w:t>
      </w:r>
      <w:r>
        <w:rPr>
          <w:i/>
          <w:sz w:val="24"/>
        </w:rPr>
        <w:t>regulatory control period </w:t>
      </w:r>
      <w:r>
        <w:rPr>
          <w:sz w:val="24"/>
        </w:rPr>
        <w:t>which ends on 30 June</w:t>
      </w:r>
      <w:r>
        <w:rPr>
          <w:spacing w:val="-2"/>
          <w:sz w:val="24"/>
        </w:rPr>
        <w:t> </w:t>
      </w:r>
      <w:r>
        <w:rPr>
          <w:sz w:val="24"/>
        </w:rPr>
        <w:t>2019.</w:t>
      </w:r>
    </w:p>
    <w:p>
      <w:pPr>
        <w:pStyle w:val="Heading4"/>
        <w:spacing w:before="120"/>
        <w:ind w:left="1352" w:firstLine="0"/>
        <w:jc w:val="both"/>
        <w:rPr>
          <w:rFonts w:ascii="Times New Roman"/>
          <w:b w:val="0"/>
        </w:rPr>
      </w:pPr>
      <w:r>
        <w:rPr>
          <w:rFonts w:ascii="Times New Roman"/>
        </w:rPr>
        <w:t>subsequent regulatory control period </w:t>
      </w:r>
      <w:r>
        <w:rPr>
          <w:rFonts w:ascii="Times New Roman"/>
          <w:b w:val="0"/>
        </w:rPr>
        <w:t>means:</w:t>
      </w:r>
    </w:p>
    <w:p>
      <w:pPr>
        <w:pStyle w:val="ListParagraph"/>
        <w:numPr>
          <w:ilvl w:val="0"/>
          <w:numId w:val="849"/>
        </w:numPr>
        <w:tabs>
          <w:tab w:pos="1919" w:val="left" w:leader="none"/>
        </w:tabs>
        <w:spacing w:line="240" w:lineRule="auto" w:before="120" w:after="0"/>
        <w:ind w:left="1919" w:right="415" w:hanging="567"/>
        <w:jc w:val="both"/>
        <w:rPr>
          <w:sz w:val="24"/>
        </w:rPr>
      </w:pPr>
      <w:r>
        <w:rPr>
          <w:sz w:val="24"/>
        </w:rPr>
        <w:t>in respect of an affected DNSP or affected TNSP, the </w:t>
      </w:r>
      <w:r>
        <w:rPr>
          <w:i/>
          <w:sz w:val="24"/>
        </w:rPr>
        <w:t>regulatory control </w:t>
      </w:r>
      <w:r>
        <w:rPr>
          <w:i/>
          <w:sz w:val="24"/>
        </w:rPr>
        <w:t>period </w:t>
      </w:r>
      <w:r>
        <w:rPr>
          <w:sz w:val="24"/>
        </w:rPr>
        <w:t>for that affected DNSP or affected TNSP that immediately follows its current regulatory control period;</w:t>
      </w:r>
      <w:r>
        <w:rPr>
          <w:spacing w:val="-2"/>
          <w:sz w:val="24"/>
        </w:rPr>
        <w:t> </w:t>
      </w:r>
      <w:r>
        <w:rPr>
          <w:sz w:val="24"/>
        </w:rPr>
        <w:t>and</w:t>
      </w:r>
    </w:p>
    <w:p>
      <w:pPr>
        <w:pStyle w:val="ListParagraph"/>
        <w:numPr>
          <w:ilvl w:val="0"/>
          <w:numId w:val="849"/>
        </w:numPr>
        <w:tabs>
          <w:tab w:pos="1919" w:val="left" w:leader="none"/>
        </w:tabs>
        <w:spacing w:line="240" w:lineRule="auto" w:before="120" w:after="0"/>
        <w:ind w:left="1919" w:right="414" w:hanging="567"/>
        <w:jc w:val="both"/>
        <w:rPr>
          <w:sz w:val="24"/>
        </w:rPr>
      </w:pPr>
      <w:r>
        <w:rPr>
          <w:sz w:val="24"/>
        </w:rPr>
        <w:t>in respect of TasNetworks, the </w:t>
      </w:r>
      <w:r>
        <w:rPr>
          <w:i/>
          <w:sz w:val="24"/>
        </w:rPr>
        <w:t>regulatory control period </w:t>
      </w:r>
      <w:r>
        <w:rPr>
          <w:sz w:val="24"/>
        </w:rPr>
        <w:t>that immediately follows its current regulatory control</w:t>
      </w:r>
      <w:r>
        <w:rPr>
          <w:spacing w:val="-2"/>
          <w:sz w:val="24"/>
        </w:rPr>
        <w:t> </w:t>
      </w:r>
      <w:r>
        <w:rPr>
          <w:sz w:val="24"/>
        </w:rPr>
        <w:t>period.</w:t>
      </w:r>
    </w:p>
    <w:p>
      <w:pPr>
        <w:pStyle w:val="BodyText"/>
        <w:ind w:left="1352" w:firstLine="0"/>
      </w:pPr>
      <w:r>
        <w:rPr>
          <w:b/>
        </w:rPr>
        <w:t>TasNetworks </w:t>
      </w:r>
      <w:r>
        <w:rPr/>
        <w:t>means Tasmanian Networks Pty Ltd ACN 167 357 299, providing</w:t>
      </w:r>
    </w:p>
    <w:p>
      <w:pPr>
        <w:spacing w:before="0"/>
        <w:ind w:left="1352" w:right="0" w:firstLine="0"/>
        <w:jc w:val="both"/>
        <w:rPr>
          <w:sz w:val="24"/>
        </w:rPr>
      </w:pPr>
      <w:r>
        <w:rPr>
          <w:i/>
          <w:sz w:val="24"/>
        </w:rPr>
        <w:t>distribution services </w:t>
      </w:r>
      <w:r>
        <w:rPr>
          <w:sz w:val="24"/>
        </w:rPr>
        <w:t>in Tasmania, or any successor to its business.</w:t>
      </w:r>
    </w:p>
    <w:p>
      <w:pPr>
        <w:pStyle w:val="BodyText"/>
        <w:spacing w:before="10"/>
        <w:ind w:firstLine="0"/>
        <w:jc w:val="left"/>
        <w:rPr>
          <w:sz w:val="20"/>
        </w:rPr>
      </w:pPr>
    </w:p>
    <w:p>
      <w:pPr>
        <w:pStyle w:val="Heading4"/>
        <w:numPr>
          <w:ilvl w:val="2"/>
          <w:numId w:val="847"/>
        </w:numPr>
        <w:tabs>
          <w:tab w:pos="1351" w:val="left" w:leader="none"/>
          <w:tab w:pos="1352" w:val="left" w:leader="none"/>
        </w:tabs>
        <w:spacing w:line="240" w:lineRule="auto" w:before="0" w:after="0"/>
        <w:ind w:left="1352" w:right="1033" w:hanging="1134"/>
        <w:jc w:val="left"/>
      </w:pPr>
      <w:bookmarkStart w:name="11.93.2 Application of current rate of r" w:id="3127"/>
      <w:bookmarkEnd w:id="3127"/>
      <w:r>
        <w:rPr>
          <w:b w:val="0"/>
        </w:rPr>
      </w:r>
      <w:bookmarkStart w:name="_bookmark1250" w:id="3128"/>
      <w:bookmarkEnd w:id="3128"/>
      <w:r>
        <w:rPr>
          <w:b w:val="0"/>
        </w:rPr>
      </w:r>
      <w:bookmarkStart w:name="_bookmark1250" w:id="3129"/>
      <w:bookmarkEnd w:id="3129"/>
      <w:r>
        <w:rPr/>
        <w:t>Applicatio</w:t>
      </w:r>
      <w:r>
        <w:rPr/>
        <w:t>n of current rate of return guidelines to making of a distribution determination for the subsequent regulatory control period</w:t>
      </w:r>
    </w:p>
    <w:p>
      <w:pPr>
        <w:pStyle w:val="BodyText"/>
        <w:ind w:left="1352" w:firstLine="0"/>
      </w:pPr>
      <w:r>
        <w:rPr/>
        <w:t>For the purposes of the application of:</w:t>
      </w:r>
    </w:p>
    <w:p>
      <w:pPr>
        <w:pStyle w:val="ListParagraph"/>
        <w:numPr>
          <w:ilvl w:val="3"/>
          <w:numId w:val="847"/>
        </w:numPr>
        <w:tabs>
          <w:tab w:pos="1919" w:val="left" w:leader="none"/>
        </w:tabs>
        <w:spacing w:line="240" w:lineRule="auto" w:before="120" w:after="0"/>
        <w:ind w:left="1919" w:right="414" w:hanging="567"/>
        <w:jc w:val="both"/>
        <w:rPr>
          <w:sz w:val="24"/>
        </w:rPr>
      </w:pPr>
      <w:r>
        <w:rPr>
          <w:sz w:val="24"/>
        </w:rPr>
        <w:t>Chapter 6 to the making, amendment, revocation or substitution of a distribution determinationfor both an effected DNSP's and TasNetworks subsequent regulatory control period;</w:t>
      </w:r>
      <w:r>
        <w:rPr>
          <w:spacing w:val="-2"/>
          <w:sz w:val="24"/>
        </w:rPr>
        <w:t> </w:t>
      </w:r>
      <w:r>
        <w:rPr>
          <w:sz w:val="24"/>
        </w:rPr>
        <w:t>and</w:t>
      </w:r>
    </w:p>
    <w:p>
      <w:pPr>
        <w:pStyle w:val="ListParagraph"/>
        <w:numPr>
          <w:ilvl w:val="3"/>
          <w:numId w:val="847"/>
        </w:numPr>
        <w:tabs>
          <w:tab w:pos="1919" w:val="left" w:leader="none"/>
        </w:tabs>
        <w:spacing w:line="240" w:lineRule="auto" w:before="120" w:after="0"/>
        <w:ind w:left="1919" w:right="414" w:hanging="567"/>
        <w:jc w:val="both"/>
        <w:rPr>
          <w:sz w:val="24"/>
        </w:rPr>
      </w:pPr>
      <w:r>
        <w:rPr>
          <w:sz w:val="24"/>
        </w:rPr>
        <w:t>Chapter 6A to the making, amendment, revocation or substitution of a </w:t>
      </w:r>
      <w:r>
        <w:rPr>
          <w:i/>
          <w:sz w:val="24"/>
        </w:rPr>
        <w:t>transmission determination </w:t>
      </w:r>
      <w:r>
        <w:rPr>
          <w:sz w:val="24"/>
        </w:rPr>
        <w:t>for the affected TNSP's subsequent regulatory control period,</w:t>
      </w:r>
    </w:p>
    <w:p>
      <w:pPr>
        <w:spacing w:before="120"/>
        <w:ind w:left="1352" w:right="415" w:firstLine="0"/>
        <w:jc w:val="both"/>
        <w:rPr>
          <w:sz w:val="24"/>
        </w:rPr>
      </w:pPr>
      <w:r>
        <w:rPr>
          <w:sz w:val="24"/>
        </w:rPr>
        <w:t>a reference to the </w:t>
      </w:r>
      <w:r>
        <w:rPr>
          <w:i/>
          <w:sz w:val="24"/>
        </w:rPr>
        <w:t>Rate of Return Guidelines </w:t>
      </w:r>
      <w:r>
        <w:rPr>
          <w:sz w:val="24"/>
        </w:rPr>
        <w:t>is deemed to be a reference to the current rate of return guidelines.</w:t>
      </w:r>
    </w:p>
    <w:p>
      <w:pPr>
        <w:spacing w:after="0"/>
        <w:jc w:val="both"/>
        <w:rPr>
          <w:sz w:val="24"/>
        </w:rPr>
        <w:sectPr>
          <w:pgSz w:w="11910" w:h="16840"/>
          <w:pgMar w:header="686" w:footer="637" w:top="1320" w:bottom="820" w:left="1200" w:right="1000"/>
        </w:sectPr>
      </w:pPr>
    </w:p>
    <w:p>
      <w:pPr>
        <w:spacing w:before="83"/>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Part ZZV will be inserted by the National Electricity Amendment (Demand Response Mechanism and Ancillary Services Unbundling) Rule 2016 No. 10 which commences on 1 July 2017.</w:t>
      </w:r>
    </w:p>
    <w:p>
      <w:pPr>
        <w:pStyle w:val="BodyText"/>
        <w:spacing w:before="9"/>
        <w:ind w:firstLine="0"/>
        <w:jc w:val="left"/>
        <w:rPr>
          <w:sz w:val="18"/>
        </w:rPr>
      </w:pPr>
      <w:r>
        <w:rPr/>
        <w:pict>
          <v:shape style="position:absolute;margin-left:69.450005pt;margin-top:12.022666pt;width:456.45pt;height:32.2pt;mso-position-horizontal-relative:page;mso-position-vertical-relative:paragraph;z-index:-251577344;mso-wrap-distance-left:0;mso-wrap-distance-right:0" type="#_x0000_t202" filled="true" fillcolor="#d9d9d9" stroked="false">
            <v:textbox inset="0,0,0,0">
              <w:txbxContent>
                <w:p>
                  <w:pPr>
                    <w:tabs>
                      <w:tab w:pos="1469" w:val="left" w:leader="none"/>
                    </w:tabs>
                    <w:spacing w:before="0"/>
                    <w:ind w:left="1163" w:right="470" w:hanging="1134"/>
                    <w:jc w:val="left"/>
                    <w:rPr>
                      <w:rFonts w:ascii="Arial"/>
                      <w:b/>
                      <w:sz w:val="28"/>
                    </w:rPr>
                  </w:pPr>
                  <w:bookmarkStart w:name="Part ZZV Demand Response Mechanism and A" w:id="3130"/>
                  <w:bookmarkEnd w:id="3130"/>
                  <w:r>
                    <w:rPr/>
                  </w:r>
                  <w:bookmarkStart w:name="_bookmark1251" w:id="3131"/>
                  <w:bookmarkEnd w:id="3131"/>
                  <w:r>
                    <w:rPr/>
                  </w:r>
                  <w:r>
                    <w:rPr>
                      <w:rFonts w:ascii="Arial"/>
                      <w:b/>
                      <w:sz w:val="28"/>
                    </w:rPr>
                    <w:t>Part ZZV</w:t>
                    <w:tab/>
                    <w:t>Demand Response Mechanism and Ancillary</w:t>
                  </w:r>
                  <w:r>
                    <w:rPr>
                      <w:rFonts w:ascii="Arial"/>
                      <w:b/>
                      <w:spacing w:val="-25"/>
                      <w:sz w:val="28"/>
                    </w:rPr>
                    <w:t> </w:t>
                  </w:r>
                  <w:r>
                    <w:rPr>
                      <w:rFonts w:ascii="Arial"/>
                      <w:b/>
                      <w:sz w:val="28"/>
                    </w:rPr>
                    <w:t>Services Unbundling</w:t>
                  </w:r>
                </w:p>
              </w:txbxContent>
            </v:textbox>
            <v:fill type="solid"/>
            <w10:wrap type="topAndBottom"/>
          </v:shape>
        </w:pict>
      </w:r>
    </w:p>
    <w:p>
      <w:pPr>
        <w:pStyle w:val="BodyText"/>
        <w:spacing w:before="7"/>
        <w:ind w:firstLine="0"/>
        <w:jc w:val="left"/>
        <w:rPr>
          <w:sz w:val="11"/>
        </w:rPr>
      </w:pPr>
    </w:p>
    <w:p>
      <w:pPr>
        <w:pStyle w:val="Heading3"/>
        <w:numPr>
          <w:ilvl w:val="1"/>
          <w:numId w:val="847"/>
        </w:numPr>
        <w:tabs>
          <w:tab w:pos="1351" w:val="left" w:leader="none"/>
          <w:tab w:pos="1353" w:val="left" w:leader="none"/>
        </w:tabs>
        <w:spacing w:line="240" w:lineRule="auto" w:before="91" w:after="0"/>
        <w:ind w:left="1352" w:right="798" w:hanging="1134"/>
        <w:jc w:val="left"/>
      </w:pPr>
      <w:bookmarkStart w:name="11.94 Rules consequential on the making " w:id="3132"/>
      <w:bookmarkEnd w:id="3132"/>
      <w:r>
        <w:rPr>
          <w:b w:val="0"/>
        </w:rPr>
      </w:r>
      <w:bookmarkStart w:name="_bookmark1252" w:id="3133"/>
      <w:bookmarkEnd w:id="3133"/>
      <w:r>
        <w:rPr>
          <w:b w:val="0"/>
        </w:rPr>
      </w:r>
      <w:bookmarkStart w:name="_bookmark1252" w:id="3134"/>
      <w:bookmarkEnd w:id="3134"/>
      <w:r>
        <w:rPr/>
        <w:t>Rul</w:t>
      </w:r>
      <w:r>
        <w:rPr/>
        <w:t>es consequential on the making of the National Electricity Amendment (Demand Response Management and Ancillary Services Unbundling) rule</w:t>
      </w:r>
      <w:r>
        <w:rPr>
          <w:spacing w:val="-3"/>
        </w:rPr>
        <w:t> </w:t>
      </w:r>
      <w:r>
        <w:rPr/>
        <w:t>2016</w:t>
      </w:r>
    </w:p>
    <w:p>
      <w:pPr>
        <w:pStyle w:val="Heading4"/>
        <w:numPr>
          <w:ilvl w:val="2"/>
          <w:numId w:val="847"/>
        </w:numPr>
        <w:tabs>
          <w:tab w:pos="1351" w:val="left" w:leader="none"/>
          <w:tab w:pos="1352" w:val="left" w:leader="none"/>
        </w:tabs>
        <w:spacing w:line="240" w:lineRule="auto" w:before="240" w:after="0"/>
        <w:ind w:left="1351" w:right="0" w:hanging="1134"/>
        <w:jc w:val="left"/>
      </w:pPr>
      <w:bookmarkStart w:name="11.94.1 Definitions" w:id="3135"/>
      <w:bookmarkEnd w:id="3135"/>
      <w:r>
        <w:rPr>
          <w:b w:val="0"/>
        </w:rPr>
      </w:r>
      <w:bookmarkStart w:name="_bookmark1253" w:id="3136"/>
      <w:bookmarkEnd w:id="3136"/>
      <w:r>
        <w:rPr>
          <w:b w:val="0"/>
        </w:rPr>
      </w:r>
      <w:bookmarkStart w:name="_bookmark1253" w:id="3137"/>
      <w:bookmarkEnd w:id="3137"/>
      <w:r>
        <w:rPr/>
        <w:t>Definition</w:t>
      </w:r>
      <w:r>
        <w:rPr/>
        <w:t>s</w:t>
      </w:r>
    </w:p>
    <w:p>
      <w:pPr>
        <w:pStyle w:val="BodyText"/>
        <w:ind w:left="1352" w:firstLine="0"/>
        <w:jc w:val="left"/>
      </w:pPr>
      <w:r>
        <w:rPr/>
        <w:t>For the purposes of this rule 11.94:</w:t>
      </w:r>
    </w:p>
    <w:p>
      <w:pPr>
        <w:spacing w:before="120"/>
        <w:ind w:left="1352" w:right="0" w:firstLine="0"/>
        <w:jc w:val="left"/>
        <w:rPr>
          <w:sz w:val="24"/>
        </w:rPr>
      </w:pPr>
      <w:r>
        <w:rPr>
          <w:b/>
          <w:sz w:val="24"/>
        </w:rPr>
        <w:t>commencement date </w:t>
      </w:r>
      <w:r>
        <w:rPr>
          <w:sz w:val="24"/>
        </w:rPr>
        <w:t>means 1 July 2017.</w:t>
      </w:r>
    </w:p>
    <w:p>
      <w:pPr>
        <w:pStyle w:val="BodyText"/>
        <w:spacing w:before="10"/>
        <w:ind w:firstLine="0"/>
        <w:jc w:val="left"/>
        <w:rPr>
          <w:sz w:val="20"/>
        </w:rPr>
      </w:pPr>
    </w:p>
    <w:p>
      <w:pPr>
        <w:pStyle w:val="Heading4"/>
        <w:numPr>
          <w:ilvl w:val="2"/>
          <w:numId w:val="847"/>
        </w:numPr>
        <w:tabs>
          <w:tab w:pos="1351" w:val="left" w:leader="none"/>
          <w:tab w:pos="1352" w:val="left" w:leader="none"/>
        </w:tabs>
        <w:spacing w:line="240" w:lineRule="auto" w:before="0" w:after="0"/>
        <w:ind w:left="1351" w:right="0" w:hanging="1134"/>
        <w:jc w:val="left"/>
      </w:pPr>
      <w:bookmarkStart w:name="11.94.2 Participant fees for Market Anci" w:id="3138"/>
      <w:bookmarkEnd w:id="3138"/>
      <w:r>
        <w:rPr>
          <w:b w:val="0"/>
        </w:rPr>
      </w:r>
      <w:bookmarkStart w:name="_bookmark1254" w:id="3139"/>
      <w:bookmarkEnd w:id="3139"/>
      <w:r>
        <w:rPr>
          <w:b w:val="0"/>
        </w:rPr>
      </w:r>
      <w:bookmarkStart w:name="_bookmark1254" w:id="3140"/>
      <w:bookmarkEnd w:id="3140"/>
      <w:r>
        <w:rPr/>
        <w:t>Participant</w:t>
      </w:r>
      <w:r>
        <w:rPr/>
        <w:t> fees for Market Ancillary Service</w:t>
      </w:r>
      <w:r>
        <w:rPr>
          <w:spacing w:val="-3"/>
        </w:rPr>
        <w:t> </w:t>
      </w:r>
      <w:r>
        <w:rPr/>
        <w:t>Providers</w:t>
      </w:r>
    </w:p>
    <w:p>
      <w:pPr>
        <w:spacing w:before="120"/>
        <w:ind w:left="1352" w:right="414" w:firstLine="0"/>
        <w:jc w:val="both"/>
        <w:rPr>
          <w:sz w:val="24"/>
        </w:rPr>
      </w:pPr>
      <w:r>
        <w:rPr>
          <w:i/>
          <w:sz w:val="24"/>
        </w:rPr>
        <w:t>AEMO </w:t>
      </w:r>
      <w:r>
        <w:rPr>
          <w:sz w:val="24"/>
        </w:rPr>
        <w:t>may charge </w:t>
      </w:r>
      <w:r>
        <w:rPr>
          <w:i/>
          <w:sz w:val="24"/>
        </w:rPr>
        <w:t>Market Ancillary Service Providers Participant fees </w:t>
      </w:r>
      <w:r>
        <w:rPr>
          <w:sz w:val="24"/>
        </w:rPr>
        <w:t>from </w:t>
      </w:r>
      <w:r>
        <w:rPr>
          <w:spacing w:val="-4"/>
          <w:sz w:val="24"/>
        </w:rPr>
        <w:t>the</w:t>
      </w:r>
      <w:r>
        <w:rPr>
          <w:spacing w:val="52"/>
          <w:sz w:val="24"/>
        </w:rPr>
        <w:t> </w:t>
      </w:r>
      <w:r>
        <w:rPr>
          <w:sz w:val="24"/>
        </w:rPr>
        <w:t>commencement date without amending the structure of </w:t>
      </w:r>
      <w:r>
        <w:rPr>
          <w:i/>
          <w:sz w:val="24"/>
        </w:rPr>
        <w:t>Participant fees </w:t>
      </w:r>
      <w:r>
        <w:rPr>
          <w:sz w:val="24"/>
        </w:rPr>
        <w:t>developed under rule 2.11 prior to the commencement date.</w:t>
      </w:r>
    </w:p>
    <w:p>
      <w:pPr>
        <w:pStyle w:val="BodyText"/>
        <w:spacing w:before="9"/>
        <w:ind w:firstLine="0"/>
        <w:jc w:val="left"/>
        <w:rPr>
          <w:sz w:val="18"/>
        </w:rPr>
      </w:pPr>
      <w:r>
        <w:rPr/>
        <w:pict>
          <v:shape style="position:absolute;margin-left:69.450005pt;margin-top:12.028536pt;width:456.45pt;height:16.1pt;mso-position-horizontal-relative:page;mso-position-vertical-relative:paragraph;z-index:-251576320;mso-wrap-distance-left:0;mso-wrap-distance-right:0" type="#_x0000_t202" filled="true" fillcolor="#d9d9d9" stroked="false">
            <v:textbox inset="0,0,0,0">
              <w:txbxContent>
                <w:p>
                  <w:pPr>
                    <w:tabs>
                      <w:tab w:pos="1469" w:val="left" w:leader="none"/>
                    </w:tabs>
                    <w:spacing w:before="0"/>
                    <w:ind w:left="29" w:right="0" w:firstLine="0"/>
                    <w:jc w:val="left"/>
                    <w:rPr>
                      <w:rFonts w:ascii="Arial"/>
                      <w:b/>
                      <w:sz w:val="28"/>
                    </w:rPr>
                  </w:pPr>
                  <w:bookmarkStart w:name="Part ZZW Local Generation Network Credit" w:id="3141"/>
                  <w:bookmarkEnd w:id="3141"/>
                  <w:r>
                    <w:rPr/>
                  </w:r>
                  <w:bookmarkStart w:name="_bookmark1255" w:id="3142"/>
                  <w:bookmarkEnd w:id="3142"/>
                  <w:r>
                    <w:rPr/>
                  </w:r>
                  <w:r>
                    <w:rPr>
                      <w:rFonts w:ascii="Arial"/>
                      <w:b/>
                      <w:sz w:val="28"/>
                    </w:rPr>
                    <w:t>Part ZZW</w:t>
                    <w:tab/>
                    <w:t>Local Generation Network</w:t>
                  </w:r>
                  <w:r>
                    <w:rPr>
                      <w:rFonts w:ascii="Arial"/>
                      <w:b/>
                      <w:spacing w:val="-3"/>
                      <w:sz w:val="28"/>
                    </w:rPr>
                    <w:t> </w:t>
                  </w:r>
                  <w:r>
                    <w:rPr>
                      <w:rFonts w:ascii="Arial"/>
                      <w:b/>
                      <w:sz w:val="28"/>
                    </w:rPr>
                    <w:t>Credits</w:t>
                  </w:r>
                </w:p>
              </w:txbxContent>
            </v:textbox>
            <v:fill type="solid"/>
            <w10:wrap type="topAndBottom"/>
          </v:shape>
        </w:pict>
      </w:r>
    </w:p>
    <w:p>
      <w:pPr>
        <w:pStyle w:val="BodyText"/>
        <w:spacing w:before="7"/>
        <w:ind w:firstLine="0"/>
        <w:jc w:val="left"/>
        <w:rPr>
          <w:sz w:val="11"/>
        </w:rPr>
      </w:pPr>
    </w:p>
    <w:p>
      <w:pPr>
        <w:pStyle w:val="Heading3"/>
        <w:numPr>
          <w:ilvl w:val="1"/>
          <w:numId w:val="847"/>
        </w:numPr>
        <w:tabs>
          <w:tab w:pos="1351" w:val="left" w:leader="none"/>
          <w:tab w:pos="1353" w:val="left" w:leader="none"/>
        </w:tabs>
        <w:spacing w:line="240" w:lineRule="auto" w:before="91" w:after="0"/>
        <w:ind w:left="1352" w:right="798" w:hanging="1134"/>
        <w:jc w:val="left"/>
      </w:pPr>
      <w:bookmarkStart w:name="11.95 Rules consequential on the making " w:id="3143"/>
      <w:bookmarkEnd w:id="3143"/>
      <w:r>
        <w:rPr>
          <w:b w:val="0"/>
        </w:rPr>
      </w:r>
      <w:bookmarkStart w:name="_bookmark1256" w:id="3144"/>
      <w:bookmarkEnd w:id="3144"/>
      <w:r>
        <w:rPr>
          <w:b w:val="0"/>
        </w:rPr>
      </w:r>
      <w:bookmarkStart w:name="_bookmark1256" w:id="3145"/>
      <w:bookmarkEnd w:id="3145"/>
      <w:r>
        <w:rPr/>
        <w:t>Rul</w:t>
      </w:r>
      <w:r>
        <w:rPr/>
        <w:t>es consequential on the making of the National Electricity Amendment (Local Generation Network Credits) Rule</w:t>
      </w:r>
      <w:r>
        <w:rPr>
          <w:spacing w:val="-20"/>
        </w:rPr>
        <w:t> </w:t>
      </w:r>
      <w:r>
        <w:rPr/>
        <w:t>2016</w:t>
      </w:r>
    </w:p>
    <w:p>
      <w:pPr>
        <w:pStyle w:val="Heading4"/>
        <w:numPr>
          <w:ilvl w:val="2"/>
          <w:numId w:val="847"/>
        </w:numPr>
        <w:tabs>
          <w:tab w:pos="1351" w:val="left" w:leader="none"/>
          <w:tab w:pos="1352" w:val="left" w:leader="none"/>
        </w:tabs>
        <w:spacing w:line="240" w:lineRule="auto" w:before="240" w:after="0"/>
        <w:ind w:left="1351" w:right="0" w:hanging="1134"/>
        <w:jc w:val="left"/>
      </w:pPr>
      <w:bookmarkStart w:name="11.95.1 Definitions" w:id="3146"/>
      <w:bookmarkEnd w:id="3146"/>
      <w:r>
        <w:rPr>
          <w:b w:val="0"/>
        </w:rPr>
      </w:r>
      <w:bookmarkStart w:name="_bookmark1257" w:id="3147"/>
      <w:bookmarkEnd w:id="3147"/>
      <w:r>
        <w:rPr>
          <w:b w:val="0"/>
        </w:rPr>
      </w:r>
      <w:bookmarkStart w:name="_bookmark1257" w:id="3148"/>
      <w:bookmarkEnd w:id="3148"/>
      <w:r>
        <w:rPr/>
        <w:t>Definition</w:t>
      </w:r>
      <w:r>
        <w:rPr/>
        <w:t>s</w:t>
      </w:r>
    </w:p>
    <w:p>
      <w:pPr>
        <w:pStyle w:val="ListParagraph"/>
        <w:numPr>
          <w:ilvl w:val="3"/>
          <w:numId w:val="847"/>
        </w:numPr>
        <w:tabs>
          <w:tab w:pos="1918" w:val="left" w:leader="none"/>
          <w:tab w:pos="1919" w:val="left" w:leader="none"/>
        </w:tabs>
        <w:spacing w:line="240" w:lineRule="auto" w:before="120" w:after="0"/>
        <w:ind w:left="1918" w:right="0" w:hanging="567"/>
        <w:jc w:val="left"/>
        <w:rPr>
          <w:sz w:val="24"/>
        </w:rPr>
      </w:pPr>
      <w:r>
        <w:rPr>
          <w:sz w:val="24"/>
        </w:rPr>
        <w:t>In this rule</w:t>
      </w:r>
      <w:r>
        <w:rPr>
          <w:spacing w:val="-1"/>
          <w:sz w:val="24"/>
        </w:rPr>
        <w:t> </w:t>
      </w:r>
      <w:r>
        <w:rPr>
          <w:sz w:val="24"/>
        </w:rPr>
        <w:t>11.95:</w:t>
      </w:r>
    </w:p>
    <w:p>
      <w:pPr>
        <w:pStyle w:val="BodyText"/>
        <w:ind w:left="1919" w:right="415" w:firstLine="0"/>
        <w:jc w:val="left"/>
      </w:pPr>
      <w:r>
        <w:rPr>
          <w:b/>
        </w:rPr>
        <w:t>Amending Rule </w:t>
      </w:r>
      <w:r>
        <w:rPr/>
        <w:t>means the National Electricity Amendment (Local Generation Network Credits) Rule 2016.</w:t>
      </w:r>
    </w:p>
    <w:p>
      <w:pPr>
        <w:spacing w:before="120"/>
        <w:ind w:left="1919" w:right="565" w:firstLine="0"/>
        <w:jc w:val="left"/>
        <w:rPr>
          <w:sz w:val="24"/>
        </w:rPr>
      </w:pPr>
      <w:r>
        <w:rPr>
          <w:b/>
          <w:sz w:val="24"/>
        </w:rPr>
        <w:t>commencement date </w:t>
      </w:r>
      <w:r>
        <w:rPr>
          <w:sz w:val="24"/>
        </w:rPr>
        <w:t>means the date of commencement of Schedule 1 of the Amending</w:t>
      </w:r>
      <w:r>
        <w:rPr>
          <w:spacing w:val="-1"/>
          <w:sz w:val="24"/>
        </w:rPr>
        <w:t> </w:t>
      </w:r>
      <w:r>
        <w:rPr>
          <w:sz w:val="24"/>
        </w:rPr>
        <w:t>Rule.</w:t>
      </w:r>
    </w:p>
    <w:p>
      <w:pPr>
        <w:spacing w:before="120"/>
        <w:ind w:left="1919" w:right="415" w:firstLine="0"/>
        <w:jc w:val="left"/>
        <w:rPr>
          <w:sz w:val="24"/>
        </w:rPr>
      </w:pPr>
      <w:r>
        <w:rPr>
          <w:b/>
          <w:sz w:val="24"/>
        </w:rPr>
        <w:t>system limitation template </w:t>
      </w:r>
      <w:r>
        <w:rPr>
          <w:sz w:val="24"/>
        </w:rPr>
        <w:t>has the meaning given to it in the Amending Rule.</w:t>
      </w:r>
    </w:p>
    <w:p>
      <w:pPr>
        <w:pStyle w:val="BodyText"/>
        <w:spacing w:before="10"/>
        <w:ind w:firstLine="0"/>
        <w:jc w:val="left"/>
        <w:rPr>
          <w:sz w:val="20"/>
        </w:rPr>
      </w:pPr>
    </w:p>
    <w:p>
      <w:pPr>
        <w:pStyle w:val="Heading4"/>
        <w:numPr>
          <w:ilvl w:val="2"/>
          <w:numId w:val="847"/>
        </w:numPr>
        <w:tabs>
          <w:tab w:pos="1351" w:val="left" w:leader="none"/>
          <w:tab w:pos="1352" w:val="left" w:leader="none"/>
        </w:tabs>
        <w:spacing w:line="240" w:lineRule="auto" w:before="0" w:after="0"/>
        <w:ind w:left="1351" w:right="0" w:hanging="1134"/>
        <w:jc w:val="left"/>
      </w:pPr>
      <w:bookmarkStart w:name="11.95.2 System limitation template" w:id="3149"/>
      <w:bookmarkEnd w:id="3149"/>
      <w:r>
        <w:rPr>
          <w:b w:val="0"/>
        </w:rPr>
      </w:r>
      <w:bookmarkStart w:name="_bookmark1258" w:id="3150"/>
      <w:bookmarkEnd w:id="3150"/>
      <w:r>
        <w:rPr>
          <w:b w:val="0"/>
        </w:rPr>
      </w:r>
      <w:bookmarkStart w:name="_bookmark1258" w:id="3151"/>
      <w:bookmarkEnd w:id="3151"/>
      <w:r>
        <w:rPr/>
        <w:t>System</w:t>
      </w:r>
      <w:r>
        <w:rPr/>
        <w:t> limitation template</w:t>
      </w:r>
    </w:p>
    <w:p>
      <w:pPr>
        <w:pStyle w:val="ListParagraph"/>
        <w:numPr>
          <w:ilvl w:val="3"/>
          <w:numId w:val="847"/>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w:t>
      </w:r>
      <w:r>
        <w:rPr>
          <w:i/>
          <w:sz w:val="24"/>
        </w:rPr>
        <w:t>publish </w:t>
      </w:r>
      <w:r>
        <w:rPr>
          <w:sz w:val="24"/>
        </w:rPr>
        <w:t>the first system limitation template by the commencement date and in accordance with clause 5.13.3(a) of the Amending</w:t>
      </w:r>
      <w:r>
        <w:rPr>
          <w:spacing w:val="-2"/>
          <w:sz w:val="24"/>
        </w:rPr>
        <w:t> </w:t>
      </w:r>
      <w:r>
        <w:rPr>
          <w:sz w:val="24"/>
        </w:rPr>
        <w:t>Rule.</w:t>
      </w:r>
    </w:p>
    <w:p>
      <w:pPr>
        <w:pStyle w:val="BodyText"/>
        <w:spacing w:before="0"/>
        <w:ind w:firstLine="0"/>
        <w:jc w:val="left"/>
        <w:rPr>
          <w:sz w:val="26"/>
        </w:rPr>
      </w:pPr>
    </w:p>
    <w:p>
      <w:pPr>
        <w:pStyle w:val="Heading4"/>
        <w:spacing w:before="217"/>
        <w:ind w:left="218" w:firstLine="0"/>
        <w:rPr>
          <w:rFonts w:ascii="Times New Roman"/>
        </w:rPr>
      </w:pPr>
      <w:r>
        <w:rPr>
          <w:rFonts w:ascii="Times New Roman"/>
        </w:rPr>
        <w:t>************</w:t>
      </w:r>
    </w:p>
    <w:p>
      <w:pPr>
        <w:spacing w:after="0"/>
        <w:rPr>
          <w:rFonts w:ascii="Times New Roman"/>
        </w:rPr>
        <w:sectPr>
          <w:pgSz w:w="11910" w:h="16840"/>
          <w:pgMar w:header="686" w:footer="637" w:top="1320" w:bottom="820" w:left="1200" w:right="1000"/>
        </w:sectPr>
      </w:pPr>
    </w:p>
    <w:p>
      <w:pPr>
        <w:tabs>
          <w:tab w:pos="1658" w:val="left" w:leader="none"/>
          <w:tab w:pos="9317" w:val="left" w:leader="none"/>
        </w:tabs>
        <w:spacing w:before="83"/>
        <w:ind w:left="218" w:right="0" w:firstLine="0"/>
        <w:jc w:val="left"/>
        <w:rPr>
          <w:rFonts w:ascii="Arial"/>
          <w:b/>
          <w:sz w:val="28"/>
        </w:rPr>
      </w:pPr>
      <w:bookmarkStart w:name="Part ZZY Emergency Frequency Control Sch" w:id="3152"/>
      <w:bookmarkEnd w:id="3152"/>
      <w:r>
        <w:rPr/>
      </w:r>
      <w:bookmarkStart w:name="_bookmark1259" w:id="3153"/>
      <w:bookmarkEnd w:id="3153"/>
      <w:r>
        <w:rPr/>
      </w:r>
      <w:r>
        <w:rPr>
          <w:rFonts w:ascii="Arial"/>
          <w:b/>
          <w:sz w:val="28"/>
          <w:shd w:fill="D9D9D9" w:color="auto" w:val="clear"/>
        </w:rPr>
        <w:t>Part ZZY</w:t>
        <w:tab/>
        <w:t>Emergency Frequency Control</w:t>
      </w:r>
      <w:r>
        <w:rPr>
          <w:rFonts w:ascii="Arial"/>
          <w:b/>
          <w:spacing w:val="-7"/>
          <w:sz w:val="28"/>
          <w:shd w:fill="D9D9D9" w:color="auto" w:val="clear"/>
        </w:rPr>
        <w:t> </w:t>
      </w:r>
      <w:r>
        <w:rPr>
          <w:rFonts w:ascii="Arial"/>
          <w:b/>
          <w:sz w:val="28"/>
          <w:shd w:fill="D9D9D9" w:color="auto" w:val="clear"/>
        </w:rPr>
        <w:t>Schemes</w:t>
        <w:tab/>
      </w:r>
    </w:p>
    <w:p>
      <w:pPr>
        <w:pStyle w:val="Heading3"/>
        <w:numPr>
          <w:ilvl w:val="1"/>
          <w:numId w:val="850"/>
        </w:numPr>
        <w:tabs>
          <w:tab w:pos="1351" w:val="left" w:leader="none"/>
          <w:tab w:pos="1353" w:val="left" w:leader="none"/>
        </w:tabs>
        <w:spacing w:line="240" w:lineRule="auto" w:before="240" w:after="0"/>
        <w:ind w:left="1352" w:right="465" w:hanging="1134"/>
        <w:jc w:val="left"/>
      </w:pPr>
      <w:bookmarkStart w:name="11.97 Rules consequent on the making of " w:id="3154"/>
      <w:bookmarkEnd w:id="3154"/>
      <w:r>
        <w:rPr>
          <w:b w:val="0"/>
        </w:rPr>
      </w:r>
      <w:bookmarkStart w:name="_bookmark1260" w:id="3155"/>
      <w:bookmarkEnd w:id="3155"/>
      <w:r>
        <w:rPr>
          <w:b w:val="0"/>
        </w:rPr>
      </w:r>
      <w:bookmarkStart w:name="_bookmark1260" w:id="3156"/>
      <w:bookmarkEnd w:id="3156"/>
      <w:r>
        <w:rPr/>
        <w:t>Rul</w:t>
      </w:r>
      <w:r>
        <w:rPr/>
        <w:t>es consequent on the making of the National Electricity Amendment (Emergency frequency control schemes) Rule</w:t>
      </w:r>
      <w:r>
        <w:rPr>
          <w:spacing w:val="-31"/>
        </w:rPr>
        <w:t> </w:t>
      </w:r>
      <w:r>
        <w:rPr/>
        <w:t>2017</w:t>
      </w:r>
    </w:p>
    <w:p>
      <w:pPr>
        <w:pStyle w:val="Heading4"/>
        <w:numPr>
          <w:ilvl w:val="2"/>
          <w:numId w:val="850"/>
        </w:numPr>
        <w:tabs>
          <w:tab w:pos="1418" w:val="left" w:leader="none"/>
          <w:tab w:pos="1419" w:val="left" w:leader="none"/>
        </w:tabs>
        <w:spacing w:line="240" w:lineRule="auto" w:before="240" w:after="0"/>
        <w:ind w:left="1418" w:right="0" w:hanging="1201"/>
        <w:jc w:val="left"/>
      </w:pPr>
      <w:bookmarkStart w:name="11.97.1  Definitions" w:id="3157"/>
      <w:bookmarkEnd w:id="3157"/>
      <w:r>
        <w:rPr>
          <w:b w:val="0"/>
        </w:rPr>
      </w:r>
      <w:bookmarkStart w:name="_bookmark1261" w:id="3158"/>
      <w:bookmarkEnd w:id="3158"/>
      <w:r>
        <w:rPr>
          <w:b w:val="0"/>
        </w:rPr>
      </w:r>
      <w:bookmarkStart w:name="_bookmark1261" w:id="3159"/>
      <w:bookmarkEnd w:id="3159"/>
      <w:r>
        <w:rPr/>
        <w:t>Definitio</w:t>
      </w:r>
      <w:r>
        <w:rPr/>
        <w:t>ns</w:t>
      </w:r>
    </w:p>
    <w:p>
      <w:pPr>
        <w:pStyle w:val="BodyText"/>
        <w:ind w:left="1352" w:firstLine="0"/>
        <w:jc w:val="left"/>
      </w:pPr>
      <w:r>
        <w:rPr/>
        <w:t>For the purposes of this rule 11.97:</w:t>
      </w:r>
    </w:p>
    <w:p>
      <w:pPr>
        <w:pStyle w:val="BodyText"/>
        <w:ind w:left="1352" w:right="415" w:firstLine="0"/>
        <w:jc w:val="left"/>
      </w:pPr>
      <w:r>
        <w:rPr>
          <w:b/>
        </w:rPr>
        <w:t>Amending Rule </w:t>
      </w:r>
      <w:r>
        <w:rPr/>
        <w:t>means the National Electricity Amendment (Emergency frequency control schemes) Rule 2017.</w:t>
      </w:r>
    </w:p>
    <w:p>
      <w:pPr>
        <w:spacing w:before="120"/>
        <w:ind w:left="1352" w:right="0" w:firstLine="0"/>
        <w:jc w:val="left"/>
        <w:rPr>
          <w:sz w:val="24"/>
        </w:rPr>
      </w:pPr>
      <w:r>
        <w:rPr>
          <w:b/>
          <w:sz w:val="24"/>
        </w:rPr>
        <w:t>Commencement Date </w:t>
      </w:r>
      <w:r>
        <w:rPr>
          <w:sz w:val="24"/>
        </w:rPr>
        <w:t>means 6 April 2017.</w:t>
      </w:r>
    </w:p>
    <w:p>
      <w:pPr>
        <w:pStyle w:val="Heading4"/>
        <w:tabs>
          <w:tab w:pos="8237" w:val="left" w:leader="none"/>
        </w:tabs>
        <w:spacing w:before="120"/>
        <w:ind w:left="1352" w:firstLine="0"/>
        <w:rPr>
          <w:rFonts w:ascii="Times New Roman"/>
          <w:b w:val="0"/>
        </w:rPr>
      </w:pPr>
      <w:r>
        <w:rPr>
          <w:rFonts w:ascii="Times New Roman"/>
        </w:rPr>
        <w:t>Interim </w:t>
      </w:r>
      <w:r>
        <w:rPr>
          <w:rFonts w:ascii="Times New Roman"/>
          <w:spacing w:val="21"/>
        </w:rPr>
        <w:t> </w:t>
      </w:r>
      <w:r>
        <w:rPr>
          <w:rFonts w:ascii="Times New Roman"/>
        </w:rPr>
        <w:t>frequency </w:t>
      </w:r>
      <w:r>
        <w:rPr>
          <w:rFonts w:ascii="Times New Roman"/>
          <w:spacing w:val="22"/>
        </w:rPr>
        <w:t> </w:t>
      </w:r>
      <w:r>
        <w:rPr>
          <w:rFonts w:ascii="Times New Roman"/>
        </w:rPr>
        <w:t>operating </w:t>
      </w:r>
      <w:r>
        <w:rPr>
          <w:rFonts w:ascii="Times New Roman"/>
          <w:spacing w:val="22"/>
        </w:rPr>
        <w:t> </w:t>
      </w:r>
      <w:r>
        <w:rPr>
          <w:rFonts w:ascii="Times New Roman"/>
        </w:rPr>
        <w:t>standards </w:t>
      </w:r>
      <w:r>
        <w:rPr>
          <w:rFonts w:ascii="Times New Roman"/>
          <w:spacing w:val="22"/>
        </w:rPr>
        <w:t> </w:t>
      </w:r>
      <w:r>
        <w:rPr>
          <w:rFonts w:ascii="Times New Roman"/>
        </w:rPr>
        <w:t>for </w:t>
      </w:r>
      <w:r>
        <w:rPr>
          <w:rFonts w:ascii="Times New Roman"/>
          <w:spacing w:val="22"/>
        </w:rPr>
        <w:t> </w:t>
      </w:r>
      <w:r>
        <w:rPr>
          <w:rFonts w:ascii="Times New Roman"/>
        </w:rPr>
        <w:t>protected </w:t>
      </w:r>
      <w:r>
        <w:rPr>
          <w:rFonts w:ascii="Times New Roman"/>
          <w:spacing w:val="22"/>
        </w:rPr>
        <w:t> </w:t>
      </w:r>
      <w:r>
        <w:rPr>
          <w:rFonts w:ascii="Times New Roman"/>
        </w:rPr>
        <w:t>events</w:t>
        <w:tab/>
      </w:r>
      <w:r>
        <w:rPr>
          <w:rFonts w:ascii="Times New Roman"/>
          <w:b w:val="0"/>
        </w:rPr>
        <w:t>means</w:t>
      </w:r>
      <w:r>
        <w:rPr>
          <w:rFonts w:ascii="Times New Roman"/>
          <w:b w:val="0"/>
          <w:spacing w:val="24"/>
        </w:rPr>
        <w:t> </w:t>
      </w:r>
      <w:r>
        <w:rPr>
          <w:rFonts w:ascii="Times New Roman"/>
          <w:b w:val="0"/>
        </w:rPr>
        <w:t>the</w:t>
      </w:r>
    </w:p>
    <w:p>
      <w:pPr>
        <w:spacing w:before="0"/>
        <w:ind w:left="1352" w:right="0" w:firstLine="0"/>
        <w:jc w:val="left"/>
        <w:rPr>
          <w:sz w:val="24"/>
        </w:rPr>
      </w:pPr>
      <w:r>
        <w:rPr>
          <w:i/>
          <w:sz w:val="24"/>
        </w:rPr>
        <w:t>frequency operating standards </w:t>
      </w:r>
      <w:r>
        <w:rPr>
          <w:sz w:val="24"/>
        </w:rPr>
        <w:t>for </w:t>
      </w:r>
      <w:r>
        <w:rPr>
          <w:i/>
          <w:sz w:val="24"/>
        </w:rPr>
        <w:t>protected events </w:t>
      </w:r>
      <w:r>
        <w:rPr>
          <w:sz w:val="24"/>
        </w:rPr>
        <w:t>as set out in clause 11.97.2(b).</w:t>
      </w:r>
    </w:p>
    <w:p>
      <w:pPr>
        <w:spacing w:before="120"/>
        <w:ind w:left="1352" w:right="415" w:firstLine="0"/>
        <w:jc w:val="left"/>
        <w:rPr>
          <w:sz w:val="24"/>
        </w:rPr>
      </w:pPr>
      <w:r>
        <w:rPr>
          <w:b/>
          <w:sz w:val="24"/>
        </w:rPr>
        <w:t>new clause 4.3.2(h)(1) </w:t>
      </w:r>
      <w:r>
        <w:rPr>
          <w:sz w:val="24"/>
        </w:rPr>
        <w:t>means clause 4.3.2(h)(1) of the </w:t>
      </w:r>
      <w:r>
        <w:rPr>
          <w:i/>
          <w:sz w:val="24"/>
        </w:rPr>
        <w:t>Rules </w:t>
      </w:r>
      <w:r>
        <w:rPr>
          <w:sz w:val="24"/>
        </w:rPr>
        <w:t>as in force on and from the Commencement</w:t>
      </w:r>
      <w:r>
        <w:rPr>
          <w:spacing w:val="-1"/>
          <w:sz w:val="24"/>
        </w:rPr>
        <w:t> </w:t>
      </w:r>
      <w:r>
        <w:rPr>
          <w:sz w:val="24"/>
        </w:rPr>
        <w:t>Date.</w:t>
      </w:r>
    </w:p>
    <w:p>
      <w:pPr>
        <w:spacing w:before="120"/>
        <w:ind w:left="1352" w:right="415" w:firstLine="0"/>
        <w:jc w:val="left"/>
        <w:rPr>
          <w:sz w:val="24"/>
        </w:rPr>
      </w:pPr>
      <w:r>
        <w:rPr>
          <w:b/>
          <w:sz w:val="24"/>
        </w:rPr>
        <w:t>new clause 4.3.2(h)(2) </w:t>
      </w:r>
      <w:r>
        <w:rPr>
          <w:sz w:val="24"/>
        </w:rPr>
        <w:t>means clause 4.3.2(h)(2) of the </w:t>
      </w:r>
      <w:r>
        <w:rPr>
          <w:i/>
          <w:sz w:val="24"/>
        </w:rPr>
        <w:t>Rules </w:t>
      </w:r>
      <w:r>
        <w:rPr>
          <w:sz w:val="24"/>
        </w:rPr>
        <w:t>as in force on and from the Commencement</w:t>
      </w:r>
      <w:r>
        <w:rPr>
          <w:spacing w:val="-1"/>
          <w:sz w:val="24"/>
        </w:rPr>
        <w:t> </w:t>
      </w:r>
      <w:r>
        <w:rPr>
          <w:sz w:val="24"/>
        </w:rPr>
        <w:t>Date.</w:t>
      </w:r>
    </w:p>
    <w:p>
      <w:pPr>
        <w:spacing w:before="120"/>
        <w:ind w:left="1352" w:right="415" w:firstLine="0"/>
        <w:jc w:val="left"/>
        <w:rPr>
          <w:sz w:val="24"/>
        </w:rPr>
      </w:pPr>
      <w:r>
        <w:rPr>
          <w:b/>
          <w:sz w:val="24"/>
        </w:rPr>
        <w:t>old clause 4.3.2(h) </w:t>
      </w:r>
      <w:r>
        <w:rPr>
          <w:sz w:val="24"/>
        </w:rPr>
        <w:t>means clause 4.3.2(h) of the </w:t>
      </w:r>
      <w:r>
        <w:rPr>
          <w:i/>
          <w:sz w:val="24"/>
        </w:rPr>
        <w:t>Rules </w:t>
      </w:r>
      <w:r>
        <w:rPr>
          <w:sz w:val="24"/>
        </w:rPr>
        <w:t>as in force immediately before the Commencement Date.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7.2 Interim frequency operating stan" w:id="3160"/>
      <w:bookmarkEnd w:id="3160"/>
      <w:r>
        <w:rPr>
          <w:b w:val="0"/>
        </w:rPr>
      </w:r>
      <w:bookmarkStart w:name="_bookmark1262" w:id="3161"/>
      <w:bookmarkEnd w:id="3161"/>
      <w:r>
        <w:rPr>
          <w:b w:val="0"/>
        </w:rPr>
      </w:r>
      <w:bookmarkStart w:name="_bookmark1262" w:id="3162"/>
      <w:bookmarkEnd w:id="3162"/>
      <w:r>
        <w:rPr/>
        <w:t>Interim</w:t>
      </w:r>
      <w:r>
        <w:rPr/>
        <w:t> frequency operating standards for protected</w:t>
      </w:r>
      <w:r>
        <w:rPr>
          <w:spacing w:val="-6"/>
        </w:rPr>
        <w:t> </w:t>
      </w:r>
      <w:r>
        <w:rPr/>
        <w:t>events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On and from the Commencement Date, until the such time as the </w:t>
      </w:r>
      <w:r>
        <w:rPr>
          <w:i/>
          <w:sz w:val="24"/>
        </w:rPr>
        <w:t>Reliability </w:t>
      </w:r>
      <w:r>
        <w:rPr>
          <w:i/>
          <w:sz w:val="24"/>
        </w:rPr>
        <w:t>Panel </w:t>
      </w:r>
      <w:r>
        <w:rPr>
          <w:sz w:val="24"/>
        </w:rPr>
        <w:t>determines the </w:t>
      </w:r>
      <w:r>
        <w:rPr>
          <w:i/>
          <w:sz w:val="24"/>
        </w:rPr>
        <w:t>NEM frequency operating standards </w:t>
      </w:r>
      <w:r>
        <w:rPr>
          <w:sz w:val="24"/>
        </w:rPr>
        <w:t>for</w:t>
      </w:r>
      <w:r>
        <w:rPr>
          <w:spacing w:val="33"/>
          <w:sz w:val="24"/>
        </w:rPr>
        <w:t> </w:t>
      </w:r>
      <w:r>
        <w:rPr>
          <w:i/>
          <w:sz w:val="24"/>
        </w:rPr>
        <w:t>protected </w:t>
      </w:r>
      <w:r>
        <w:rPr>
          <w:i/>
          <w:sz w:val="24"/>
        </w:rPr>
        <w:t>events </w:t>
      </w:r>
      <w:r>
        <w:rPr>
          <w:sz w:val="24"/>
        </w:rPr>
        <w:t>in the </w:t>
      </w:r>
      <w:r>
        <w:rPr>
          <w:i/>
          <w:sz w:val="24"/>
        </w:rPr>
        <w:t>power system security standards </w:t>
      </w:r>
      <w:r>
        <w:rPr>
          <w:sz w:val="24"/>
        </w:rPr>
        <w:t>under clause 8.8.1(a)(2), the </w:t>
      </w:r>
      <w:r>
        <w:rPr>
          <w:i/>
          <w:sz w:val="24"/>
        </w:rPr>
        <w:t>frequency operating standards </w:t>
      </w:r>
      <w:r>
        <w:rPr>
          <w:sz w:val="24"/>
        </w:rPr>
        <w:t>for </w:t>
      </w:r>
      <w:r>
        <w:rPr>
          <w:i/>
          <w:sz w:val="24"/>
        </w:rPr>
        <w:t>protected events </w:t>
      </w:r>
      <w:r>
        <w:rPr>
          <w:sz w:val="24"/>
        </w:rPr>
        <w:t>are taken to be the interim frequency operating standards for protected events in paragraph</w:t>
      </w:r>
      <w:r>
        <w:rPr>
          <w:spacing w:val="-11"/>
          <w:sz w:val="24"/>
        </w:rPr>
        <w:t> </w:t>
      </w:r>
      <w:r>
        <w:rPr>
          <w:sz w:val="24"/>
        </w:rPr>
        <w:t>(b).</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The interim frequency operating standards for protected events</w:t>
      </w:r>
      <w:r>
        <w:rPr>
          <w:spacing w:val="-5"/>
          <w:sz w:val="24"/>
        </w:rPr>
        <w:t> </w:t>
      </w:r>
      <w:r>
        <w:rPr>
          <w:sz w:val="24"/>
        </w:rPr>
        <w:t>are:</w:t>
      </w:r>
    </w:p>
    <w:p>
      <w:pPr>
        <w:spacing w:before="120"/>
        <w:ind w:left="1352" w:right="0" w:firstLine="0"/>
        <w:jc w:val="left"/>
        <w:rPr>
          <w:rFonts w:ascii="Arial"/>
          <w:b/>
          <w:sz w:val="22"/>
        </w:rPr>
      </w:pPr>
      <w:r>
        <w:rPr>
          <w:rFonts w:ascii="Arial"/>
          <w:b/>
          <w:sz w:val="22"/>
        </w:rPr>
        <w:t>Tasmania</w:t>
      </w:r>
    </w:p>
    <w:p>
      <w:pPr>
        <w:spacing w:before="120"/>
        <w:ind w:left="1352" w:right="414" w:firstLine="0"/>
        <w:jc w:val="both"/>
        <w:rPr>
          <w:sz w:val="24"/>
        </w:rPr>
      </w:pPr>
      <w:r>
        <w:rPr>
          <w:sz w:val="24"/>
        </w:rPr>
        <w:t>For a </w:t>
      </w:r>
      <w:r>
        <w:rPr>
          <w:i/>
          <w:sz w:val="24"/>
        </w:rPr>
        <w:t>protected event</w:t>
      </w:r>
      <w:r>
        <w:rPr>
          <w:sz w:val="24"/>
        </w:rPr>
        <w:t>, system </w:t>
      </w:r>
      <w:r>
        <w:rPr>
          <w:i/>
          <w:sz w:val="24"/>
        </w:rPr>
        <w:t>frequency </w:t>
      </w:r>
      <w:r>
        <w:rPr>
          <w:sz w:val="24"/>
        </w:rPr>
        <w:t>should not exceed the applicable </w:t>
      </w:r>
      <w:r>
        <w:rPr>
          <w:i/>
          <w:sz w:val="24"/>
        </w:rPr>
        <w:t>extreme </w:t>
      </w:r>
      <w:r>
        <w:rPr>
          <w:i/>
          <w:sz w:val="24"/>
        </w:rPr>
        <w:t>frequency excursion tolerance limits </w:t>
      </w:r>
      <w:r>
        <w:rPr>
          <w:sz w:val="24"/>
        </w:rPr>
        <w:t>and should not exceed the applicable load change band for more than two minutes while there is no </w:t>
      </w:r>
      <w:r>
        <w:rPr>
          <w:i/>
          <w:sz w:val="24"/>
        </w:rPr>
        <w:t>contingency event </w:t>
      </w:r>
      <w:r>
        <w:rPr>
          <w:sz w:val="24"/>
        </w:rPr>
        <w:t>or the applicable </w:t>
      </w:r>
      <w:r>
        <w:rPr>
          <w:i/>
          <w:sz w:val="24"/>
        </w:rPr>
        <w:t>normal operating frequency band </w:t>
      </w:r>
      <w:r>
        <w:rPr>
          <w:sz w:val="24"/>
        </w:rPr>
        <w:t>for more than 10 minutes while there is no </w:t>
      </w:r>
      <w:r>
        <w:rPr>
          <w:i/>
          <w:sz w:val="24"/>
        </w:rPr>
        <w:t>contingency event </w:t>
      </w:r>
      <w:r>
        <w:rPr>
          <w:sz w:val="24"/>
        </w:rPr>
        <w:t>as summarised in the table below:</w:t>
      </w:r>
    </w:p>
    <w:p>
      <w:pPr>
        <w:pStyle w:val="BodyText"/>
        <w:spacing w:before="10"/>
        <w:ind w:firstLine="0"/>
        <w:jc w:val="left"/>
        <w:rPr>
          <w:sz w:val="22"/>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1984"/>
        <w:gridCol w:w="1984"/>
        <w:gridCol w:w="1984"/>
      </w:tblGrid>
      <w:tr>
        <w:trPr>
          <w:trHeight w:val="395" w:hRule="atLeast"/>
        </w:trPr>
        <w:tc>
          <w:tcPr>
            <w:tcW w:w="19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CONDITION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CONTAINMENT</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STABILISATION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RECOVERY</w:t>
            </w:r>
          </w:p>
        </w:tc>
      </w:tr>
      <w:tr>
        <w:trPr>
          <w:trHeight w:val="791" w:hRule="atLeast"/>
        </w:trPr>
        <w:tc>
          <w:tcPr>
            <w:tcW w:w="1985" w:type="dxa"/>
            <w:tcBorders>
              <w:top w:val="single" w:sz="4" w:space="0" w:color="000000"/>
              <w:right w:val="single" w:sz="4" w:space="0" w:color="000000"/>
            </w:tcBorders>
          </w:tcPr>
          <w:p>
            <w:pPr>
              <w:pStyle w:val="TableParagraph"/>
              <w:ind w:left="40"/>
              <w:rPr>
                <w:sz w:val="24"/>
              </w:rPr>
            </w:pPr>
            <w:r>
              <w:rPr>
                <w:sz w:val="24"/>
              </w:rPr>
              <w:t>protected event</w:t>
            </w:r>
          </w:p>
        </w:tc>
        <w:tc>
          <w:tcPr>
            <w:tcW w:w="1984" w:type="dxa"/>
            <w:tcBorders>
              <w:top w:val="single" w:sz="4" w:space="0" w:color="000000"/>
              <w:left w:val="single" w:sz="4" w:space="0" w:color="000000"/>
              <w:right w:val="single" w:sz="4" w:space="0" w:color="000000"/>
            </w:tcBorders>
          </w:tcPr>
          <w:p>
            <w:pPr>
              <w:pStyle w:val="TableParagraph"/>
              <w:rPr>
                <w:sz w:val="24"/>
              </w:rPr>
            </w:pPr>
            <w:r>
              <w:rPr>
                <w:sz w:val="24"/>
              </w:rPr>
              <w:t>47.0 to 55.0 Hz</w:t>
            </w:r>
          </w:p>
        </w:tc>
        <w:tc>
          <w:tcPr>
            <w:tcW w:w="1984" w:type="dxa"/>
            <w:tcBorders>
              <w:top w:val="single" w:sz="4" w:space="0" w:color="000000"/>
              <w:left w:val="single" w:sz="4" w:space="0" w:color="000000"/>
              <w:right w:val="single" w:sz="4" w:space="0" w:color="000000"/>
            </w:tcBorders>
          </w:tcPr>
          <w:p>
            <w:pPr>
              <w:pStyle w:val="TableParagraph"/>
              <w:ind w:left="44" w:right="296"/>
              <w:rPr>
                <w:sz w:val="24"/>
              </w:rPr>
            </w:pPr>
            <w:r>
              <w:rPr>
                <w:sz w:val="24"/>
              </w:rPr>
              <w:t>48.0 to 52.0 Hz within 2 minutes</w:t>
            </w:r>
          </w:p>
        </w:tc>
        <w:tc>
          <w:tcPr>
            <w:tcW w:w="1984" w:type="dxa"/>
            <w:tcBorders>
              <w:top w:val="single" w:sz="4" w:space="0" w:color="000000"/>
              <w:left w:val="single" w:sz="4" w:space="0" w:color="000000"/>
              <w:right w:val="single" w:sz="4" w:space="0" w:color="000000"/>
            </w:tcBorders>
          </w:tcPr>
          <w:p>
            <w:pPr>
              <w:pStyle w:val="TableParagraph"/>
              <w:ind w:left="44" w:right="176"/>
              <w:rPr>
                <w:sz w:val="24"/>
              </w:rPr>
            </w:pPr>
            <w:r>
              <w:rPr>
                <w:sz w:val="24"/>
              </w:rPr>
              <w:t>49.0 to 51.0 Hz within 10 minutes</w:t>
            </w:r>
          </w:p>
        </w:tc>
      </w:tr>
    </w:tbl>
    <w:p>
      <w:pPr>
        <w:pStyle w:val="BodyText"/>
        <w:spacing w:before="5"/>
        <w:ind w:firstLine="0"/>
        <w:jc w:val="left"/>
        <w:rPr>
          <w:sz w:val="34"/>
        </w:rPr>
      </w:pPr>
    </w:p>
    <w:p>
      <w:pPr>
        <w:spacing w:before="0"/>
        <w:ind w:left="1352" w:right="0" w:firstLine="0"/>
        <w:jc w:val="both"/>
        <w:rPr>
          <w:sz w:val="24"/>
        </w:rPr>
      </w:pPr>
      <w:r>
        <w:rPr>
          <w:sz w:val="24"/>
        </w:rPr>
        <w:t>This standard applies for both an </w:t>
      </w:r>
      <w:r>
        <w:rPr>
          <w:i/>
          <w:sz w:val="24"/>
        </w:rPr>
        <w:t>interconnected </w:t>
      </w:r>
      <w:r>
        <w:rPr>
          <w:sz w:val="24"/>
        </w:rPr>
        <w:t>and an islanded system.</w:t>
      </w:r>
    </w:p>
    <w:p>
      <w:pPr>
        <w:spacing w:before="120"/>
        <w:ind w:left="1352" w:right="0" w:firstLine="0"/>
        <w:jc w:val="left"/>
        <w:rPr>
          <w:rFonts w:ascii="Arial"/>
          <w:b/>
          <w:sz w:val="22"/>
        </w:rPr>
      </w:pPr>
      <w:r>
        <w:rPr>
          <w:rFonts w:ascii="Arial"/>
          <w:b/>
          <w:sz w:val="22"/>
        </w:rPr>
        <w:t>NEM Mainland</w:t>
      </w:r>
    </w:p>
    <w:p>
      <w:pPr>
        <w:spacing w:before="120"/>
        <w:ind w:left="1352" w:right="414" w:firstLine="0"/>
        <w:jc w:val="both"/>
        <w:rPr>
          <w:sz w:val="24"/>
        </w:rPr>
      </w:pPr>
      <w:r>
        <w:rPr>
          <w:sz w:val="24"/>
        </w:rPr>
        <w:t>For a </w:t>
      </w:r>
      <w:r>
        <w:rPr>
          <w:i/>
          <w:sz w:val="24"/>
        </w:rPr>
        <w:t>protected event</w:t>
      </w:r>
      <w:r>
        <w:rPr>
          <w:sz w:val="24"/>
        </w:rPr>
        <w:t>, system </w:t>
      </w:r>
      <w:r>
        <w:rPr>
          <w:i/>
          <w:sz w:val="24"/>
        </w:rPr>
        <w:t>frequency </w:t>
      </w:r>
      <w:r>
        <w:rPr>
          <w:sz w:val="24"/>
        </w:rPr>
        <w:t>should not exceed the applicable </w:t>
      </w:r>
      <w:r>
        <w:rPr>
          <w:i/>
          <w:sz w:val="24"/>
        </w:rPr>
        <w:t>extreme </w:t>
      </w:r>
      <w:r>
        <w:rPr>
          <w:i/>
          <w:sz w:val="24"/>
        </w:rPr>
        <w:t>frequency excursion tolerance limits </w:t>
      </w:r>
      <w:r>
        <w:rPr>
          <w:sz w:val="24"/>
        </w:rPr>
        <w:t>and should not exceed the applicable load change band for more than two minutes while there is no </w:t>
      </w:r>
      <w:r>
        <w:rPr>
          <w:i/>
          <w:sz w:val="24"/>
        </w:rPr>
        <w:t>contingency event </w:t>
      </w:r>
      <w:r>
        <w:rPr>
          <w:sz w:val="24"/>
        </w:rPr>
        <w:t>or the</w:t>
      </w:r>
    </w:p>
    <w:p>
      <w:pPr>
        <w:spacing w:after="0"/>
        <w:jc w:val="both"/>
        <w:rPr>
          <w:sz w:val="24"/>
        </w:rPr>
        <w:sectPr>
          <w:pgSz w:w="11910" w:h="16840"/>
          <w:pgMar w:header="686" w:footer="637" w:top="1320" w:bottom="820" w:left="1200" w:right="1000"/>
        </w:sectPr>
      </w:pPr>
    </w:p>
    <w:p>
      <w:pPr>
        <w:spacing w:before="83"/>
        <w:ind w:left="1352" w:right="414" w:firstLine="0"/>
        <w:jc w:val="both"/>
        <w:rPr>
          <w:sz w:val="24"/>
        </w:rPr>
      </w:pPr>
      <w:r>
        <w:rPr>
          <w:sz w:val="24"/>
        </w:rPr>
        <w:t>applicable </w:t>
      </w:r>
      <w:r>
        <w:rPr>
          <w:i/>
          <w:sz w:val="24"/>
        </w:rPr>
        <w:t>normal operating frequency band </w:t>
      </w:r>
      <w:r>
        <w:rPr>
          <w:sz w:val="24"/>
        </w:rPr>
        <w:t>for more than 10 minutes while there is no </w:t>
      </w:r>
      <w:r>
        <w:rPr>
          <w:i/>
          <w:sz w:val="24"/>
        </w:rPr>
        <w:t>contingency event </w:t>
      </w:r>
      <w:r>
        <w:rPr>
          <w:sz w:val="24"/>
        </w:rPr>
        <w:t>as summarised in the tables below:</w:t>
      </w:r>
    </w:p>
    <w:p>
      <w:pPr>
        <w:spacing w:before="120"/>
        <w:ind w:left="1352" w:right="0" w:firstLine="0"/>
        <w:jc w:val="left"/>
        <w:rPr>
          <w:rFonts w:ascii="Arial" w:hAnsi="Arial"/>
          <w:b/>
          <w:sz w:val="22"/>
        </w:rPr>
      </w:pPr>
      <w:r>
        <w:rPr>
          <w:rFonts w:ascii="Arial" w:hAnsi="Arial"/>
          <w:b/>
          <w:sz w:val="22"/>
        </w:rPr>
        <w:t>NEM Mainland Frequency Operating Standards – interconnected</w:t>
      </w:r>
      <w:r>
        <w:rPr>
          <w:rFonts w:ascii="Arial" w:hAnsi="Arial"/>
          <w:b/>
          <w:spacing w:val="-19"/>
          <w:sz w:val="22"/>
        </w:rPr>
        <w:t> </w:t>
      </w:r>
      <w:r>
        <w:rPr>
          <w:rFonts w:ascii="Arial" w:hAnsi="Arial"/>
          <w:b/>
          <w:sz w:val="22"/>
        </w:rPr>
        <w:t>system</w:t>
      </w:r>
    </w:p>
    <w:p>
      <w:pPr>
        <w:pStyle w:val="BodyText"/>
        <w:spacing w:before="7" w:after="1"/>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1984"/>
        <w:gridCol w:w="1984"/>
        <w:gridCol w:w="1984"/>
      </w:tblGrid>
      <w:tr>
        <w:trPr>
          <w:trHeight w:val="395" w:hRule="atLeast"/>
        </w:trPr>
        <w:tc>
          <w:tcPr>
            <w:tcW w:w="19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CONDITION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CONTAINMENT</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STABILISATION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RECOVERY</w:t>
            </w:r>
          </w:p>
        </w:tc>
      </w:tr>
      <w:tr>
        <w:trPr>
          <w:trHeight w:val="791" w:hRule="atLeast"/>
        </w:trPr>
        <w:tc>
          <w:tcPr>
            <w:tcW w:w="1985" w:type="dxa"/>
            <w:tcBorders>
              <w:top w:val="single" w:sz="4" w:space="0" w:color="000000"/>
              <w:right w:val="single" w:sz="4" w:space="0" w:color="000000"/>
            </w:tcBorders>
          </w:tcPr>
          <w:p>
            <w:pPr>
              <w:pStyle w:val="TableParagraph"/>
              <w:ind w:left="40"/>
              <w:rPr>
                <w:sz w:val="24"/>
              </w:rPr>
            </w:pPr>
            <w:r>
              <w:rPr>
                <w:sz w:val="24"/>
              </w:rPr>
              <w:t>protected event</w:t>
            </w:r>
          </w:p>
        </w:tc>
        <w:tc>
          <w:tcPr>
            <w:tcW w:w="1984" w:type="dxa"/>
            <w:tcBorders>
              <w:top w:val="single" w:sz="4" w:space="0" w:color="000000"/>
              <w:left w:val="single" w:sz="4" w:space="0" w:color="000000"/>
              <w:right w:val="single" w:sz="4" w:space="0" w:color="000000"/>
            </w:tcBorders>
          </w:tcPr>
          <w:p>
            <w:pPr>
              <w:pStyle w:val="TableParagraph"/>
              <w:rPr>
                <w:sz w:val="24"/>
              </w:rPr>
            </w:pPr>
            <w:r>
              <w:rPr>
                <w:sz w:val="24"/>
              </w:rPr>
              <w:t>47.0 to 52.0 Hz</w:t>
            </w:r>
          </w:p>
        </w:tc>
        <w:tc>
          <w:tcPr>
            <w:tcW w:w="1984" w:type="dxa"/>
            <w:tcBorders>
              <w:top w:val="single" w:sz="4" w:space="0" w:color="000000"/>
              <w:left w:val="single" w:sz="4" w:space="0" w:color="000000"/>
              <w:right w:val="single" w:sz="4" w:space="0" w:color="000000"/>
            </w:tcBorders>
          </w:tcPr>
          <w:p>
            <w:pPr>
              <w:pStyle w:val="TableParagraph"/>
              <w:ind w:left="44" w:right="296"/>
              <w:rPr>
                <w:sz w:val="24"/>
              </w:rPr>
            </w:pPr>
            <w:r>
              <w:rPr>
                <w:sz w:val="24"/>
              </w:rPr>
              <w:t>49.5 to 50.5Hz within 2 minutes</w:t>
            </w:r>
          </w:p>
        </w:tc>
        <w:tc>
          <w:tcPr>
            <w:tcW w:w="1984" w:type="dxa"/>
            <w:tcBorders>
              <w:top w:val="single" w:sz="4" w:space="0" w:color="000000"/>
              <w:left w:val="single" w:sz="4" w:space="0" w:color="000000"/>
              <w:right w:val="single" w:sz="4" w:space="0" w:color="000000"/>
            </w:tcBorders>
          </w:tcPr>
          <w:p>
            <w:pPr>
              <w:pStyle w:val="TableParagraph"/>
              <w:ind w:left="44" w:right="176"/>
              <w:rPr>
                <w:sz w:val="24"/>
              </w:rPr>
            </w:pPr>
            <w:r>
              <w:rPr>
                <w:sz w:val="24"/>
              </w:rPr>
              <w:t>49.85 to 50.15 Hz within 10 minutes</w:t>
            </w:r>
          </w:p>
        </w:tc>
      </w:tr>
    </w:tbl>
    <w:p>
      <w:pPr>
        <w:pStyle w:val="BodyText"/>
        <w:spacing w:before="5"/>
        <w:ind w:firstLine="0"/>
        <w:jc w:val="left"/>
        <w:rPr>
          <w:rFonts w:ascii="Arial"/>
          <w:b/>
          <w:sz w:val="34"/>
        </w:rPr>
      </w:pPr>
    </w:p>
    <w:p>
      <w:pPr>
        <w:spacing w:before="0"/>
        <w:ind w:left="1352" w:right="0" w:firstLine="0"/>
        <w:jc w:val="left"/>
        <w:rPr>
          <w:rFonts w:ascii="Arial" w:hAnsi="Arial"/>
          <w:b/>
          <w:sz w:val="22"/>
        </w:rPr>
      </w:pPr>
      <w:r>
        <w:rPr>
          <w:rFonts w:ascii="Arial" w:hAnsi="Arial"/>
          <w:b/>
          <w:sz w:val="22"/>
        </w:rPr>
        <w:t>NEM Mainland Frequency Operating Standards – for an islanded</w:t>
      </w:r>
      <w:r>
        <w:rPr>
          <w:rFonts w:ascii="Arial" w:hAnsi="Arial"/>
          <w:b/>
          <w:spacing w:val="-17"/>
          <w:sz w:val="22"/>
        </w:rPr>
        <w:t> </w:t>
      </w:r>
      <w:r>
        <w:rPr>
          <w:rFonts w:ascii="Arial" w:hAnsi="Arial"/>
          <w:b/>
          <w:sz w:val="22"/>
        </w:rPr>
        <w:t>system</w:t>
      </w:r>
    </w:p>
    <w:p>
      <w:pPr>
        <w:pStyle w:val="BodyText"/>
        <w:spacing w:before="7"/>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1984"/>
        <w:gridCol w:w="1984"/>
        <w:gridCol w:w="1984"/>
      </w:tblGrid>
      <w:tr>
        <w:trPr>
          <w:trHeight w:val="395" w:hRule="atLeast"/>
        </w:trPr>
        <w:tc>
          <w:tcPr>
            <w:tcW w:w="19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CONDITION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CONTAINMENT</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STABILISATION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RECOVERY</w:t>
            </w:r>
          </w:p>
        </w:tc>
      </w:tr>
      <w:tr>
        <w:trPr>
          <w:trHeight w:val="791" w:hRule="atLeast"/>
        </w:trPr>
        <w:tc>
          <w:tcPr>
            <w:tcW w:w="1985" w:type="dxa"/>
            <w:tcBorders>
              <w:top w:val="single" w:sz="4" w:space="0" w:color="000000"/>
              <w:right w:val="single" w:sz="4" w:space="0" w:color="000000"/>
            </w:tcBorders>
          </w:tcPr>
          <w:p>
            <w:pPr>
              <w:pStyle w:val="TableParagraph"/>
              <w:ind w:left="40"/>
              <w:rPr>
                <w:sz w:val="24"/>
              </w:rPr>
            </w:pPr>
            <w:r>
              <w:rPr>
                <w:sz w:val="24"/>
              </w:rPr>
              <w:t>protected event</w:t>
            </w:r>
          </w:p>
        </w:tc>
        <w:tc>
          <w:tcPr>
            <w:tcW w:w="1984" w:type="dxa"/>
            <w:tcBorders>
              <w:top w:val="single" w:sz="4" w:space="0" w:color="000000"/>
              <w:left w:val="single" w:sz="4" w:space="0" w:color="000000"/>
              <w:right w:val="single" w:sz="4" w:space="0" w:color="000000"/>
            </w:tcBorders>
          </w:tcPr>
          <w:p>
            <w:pPr>
              <w:pStyle w:val="TableParagraph"/>
              <w:rPr>
                <w:sz w:val="24"/>
              </w:rPr>
            </w:pPr>
            <w:r>
              <w:rPr>
                <w:sz w:val="24"/>
              </w:rPr>
              <w:t>47.0 to 52.0 Hz</w:t>
            </w:r>
          </w:p>
        </w:tc>
        <w:tc>
          <w:tcPr>
            <w:tcW w:w="1984" w:type="dxa"/>
            <w:tcBorders>
              <w:top w:val="single" w:sz="4" w:space="0" w:color="000000"/>
              <w:left w:val="single" w:sz="4" w:space="0" w:color="000000"/>
              <w:right w:val="single" w:sz="4" w:space="0" w:color="000000"/>
            </w:tcBorders>
          </w:tcPr>
          <w:p>
            <w:pPr>
              <w:pStyle w:val="TableParagraph"/>
              <w:ind w:left="44" w:right="296"/>
              <w:rPr>
                <w:sz w:val="24"/>
              </w:rPr>
            </w:pPr>
            <w:r>
              <w:rPr>
                <w:sz w:val="24"/>
              </w:rPr>
              <w:t>49.0 to 51.0 Hz within 2 minutes</w:t>
            </w:r>
          </w:p>
        </w:tc>
        <w:tc>
          <w:tcPr>
            <w:tcW w:w="1984" w:type="dxa"/>
            <w:tcBorders>
              <w:top w:val="single" w:sz="4" w:space="0" w:color="000000"/>
              <w:left w:val="single" w:sz="4" w:space="0" w:color="000000"/>
              <w:right w:val="single" w:sz="4" w:space="0" w:color="000000"/>
            </w:tcBorders>
          </w:tcPr>
          <w:p>
            <w:pPr>
              <w:pStyle w:val="TableParagraph"/>
              <w:ind w:left="44" w:right="176"/>
              <w:rPr>
                <w:sz w:val="24"/>
              </w:rPr>
            </w:pPr>
            <w:r>
              <w:rPr>
                <w:sz w:val="24"/>
              </w:rPr>
              <w:t>49.5 to 50.5 Hz within 10 minutes</w:t>
            </w:r>
          </w:p>
        </w:tc>
      </w:tr>
    </w:tbl>
    <w:p>
      <w:pPr>
        <w:pStyle w:val="BodyText"/>
        <w:spacing w:before="5"/>
        <w:ind w:firstLine="0"/>
        <w:jc w:val="left"/>
        <w:rPr>
          <w:rFonts w:ascii="Arial"/>
          <w:b/>
          <w:sz w:val="34"/>
        </w:rPr>
      </w:pPr>
    </w:p>
    <w:p>
      <w:pPr>
        <w:spacing w:before="0"/>
        <w:ind w:left="1352" w:right="600" w:firstLine="0"/>
        <w:jc w:val="left"/>
        <w:rPr>
          <w:rFonts w:ascii="Arial" w:hAnsi="Arial"/>
          <w:b/>
          <w:sz w:val="22"/>
        </w:rPr>
      </w:pPr>
      <w:r>
        <w:rPr>
          <w:rFonts w:ascii="Arial" w:hAnsi="Arial"/>
          <w:b/>
          <w:sz w:val="22"/>
        </w:rPr>
        <w:t>NEM Mainland Frequency Operating Standards – during periods of supply scarcity</w:t>
      </w:r>
    </w:p>
    <w:p>
      <w:pPr>
        <w:pStyle w:val="BodyText"/>
        <w:spacing w:before="7"/>
        <w:ind w:firstLine="0"/>
        <w:jc w:val="left"/>
        <w:rPr>
          <w:rFonts w:ascii="Arial"/>
          <w:b/>
          <w:sz w:val="17"/>
        </w:rPr>
      </w:pPr>
    </w:p>
    <w:tbl>
      <w:tblPr>
        <w:tblW w:w="0" w:type="auto"/>
        <w:jc w:val="left"/>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1984"/>
        <w:gridCol w:w="1984"/>
        <w:gridCol w:w="1984"/>
      </w:tblGrid>
      <w:tr>
        <w:trPr>
          <w:trHeight w:val="395" w:hRule="atLeast"/>
        </w:trPr>
        <w:tc>
          <w:tcPr>
            <w:tcW w:w="1985"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CONDITION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CONTAINMENT</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STABILISATION</w:t>
            </w:r>
          </w:p>
        </w:tc>
        <w:tc>
          <w:tcPr>
            <w:tcW w:w="1984"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RECOVERY</w:t>
            </w:r>
          </w:p>
        </w:tc>
      </w:tr>
      <w:tr>
        <w:trPr>
          <w:trHeight w:val="791" w:hRule="atLeast"/>
        </w:trPr>
        <w:tc>
          <w:tcPr>
            <w:tcW w:w="1985" w:type="dxa"/>
            <w:tcBorders>
              <w:top w:val="single" w:sz="4" w:space="0" w:color="000000"/>
              <w:right w:val="single" w:sz="4" w:space="0" w:color="000000"/>
            </w:tcBorders>
          </w:tcPr>
          <w:p>
            <w:pPr>
              <w:pStyle w:val="TableParagraph"/>
              <w:ind w:left="40"/>
              <w:rPr>
                <w:sz w:val="24"/>
              </w:rPr>
            </w:pPr>
            <w:r>
              <w:rPr>
                <w:sz w:val="24"/>
              </w:rPr>
              <w:t>protected event</w:t>
            </w:r>
          </w:p>
        </w:tc>
        <w:tc>
          <w:tcPr>
            <w:tcW w:w="1984" w:type="dxa"/>
            <w:tcBorders>
              <w:top w:val="single" w:sz="4" w:space="0" w:color="000000"/>
              <w:left w:val="single" w:sz="4" w:space="0" w:color="000000"/>
              <w:right w:val="single" w:sz="4" w:space="0" w:color="000000"/>
            </w:tcBorders>
          </w:tcPr>
          <w:p>
            <w:pPr>
              <w:pStyle w:val="TableParagraph"/>
              <w:rPr>
                <w:sz w:val="24"/>
              </w:rPr>
            </w:pPr>
            <w:r>
              <w:rPr>
                <w:sz w:val="24"/>
              </w:rPr>
              <w:t>47.0 to 52.0 Hz</w:t>
            </w:r>
          </w:p>
        </w:tc>
        <w:tc>
          <w:tcPr>
            <w:tcW w:w="1984" w:type="dxa"/>
            <w:tcBorders>
              <w:top w:val="single" w:sz="4" w:space="0" w:color="000000"/>
              <w:left w:val="single" w:sz="4" w:space="0" w:color="000000"/>
              <w:right w:val="single" w:sz="4" w:space="0" w:color="000000"/>
            </w:tcBorders>
          </w:tcPr>
          <w:p>
            <w:pPr>
              <w:pStyle w:val="TableParagraph"/>
              <w:ind w:left="44" w:right="296"/>
              <w:rPr>
                <w:sz w:val="24"/>
              </w:rPr>
            </w:pPr>
            <w:r>
              <w:rPr>
                <w:sz w:val="24"/>
              </w:rPr>
              <w:t>49.0 to 51.0 Hz within 2 minutes</w:t>
            </w:r>
          </w:p>
        </w:tc>
        <w:tc>
          <w:tcPr>
            <w:tcW w:w="1984" w:type="dxa"/>
            <w:tcBorders>
              <w:top w:val="single" w:sz="4" w:space="0" w:color="000000"/>
              <w:left w:val="single" w:sz="4" w:space="0" w:color="000000"/>
              <w:right w:val="single" w:sz="4" w:space="0" w:color="000000"/>
            </w:tcBorders>
          </w:tcPr>
          <w:p>
            <w:pPr>
              <w:pStyle w:val="TableParagraph"/>
              <w:ind w:left="44" w:right="176"/>
              <w:rPr>
                <w:sz w:val="24"/>
              </w:rPr>
            </w:pPr>
            <w:r>
              <w:rPr>
                <w:sz w:val="24"/>
              </w:rPr>
              <w:t>49.5 to 50.5 Hz within 10 minutes</w:t>
            </w:r>
          </w:p>
        </w:tc>
      </w:tr>
    </w:tbl>
    <w:p>
      <w:pPr>
        <w:pStyle w:val="BodyText"/>
        <w:spacing w:before="0"/>
        <w:ind w:firstLine="0"/>
        <w:jc w:val="left"/>
        <w:rPr>
          <w:rFonts w:ascii="Arial"/>
          <w:b/>
        </w:rPr>
      </w:pPr>
    </w:p>
    <w:p>
      <w:pPr>
        <w:pStyle w:val="BodyText"/>
        <w:spacing w:before="10"/>
        <w:ind w:firstLine="0"/>
        <w:jc w:val="left"/>
        <w:rPr>
          <w:rFonts w:ascii="Arial"/>
          <w:b/>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7.3 First power system frequency ris" w:id="3163"/>
      <w:bookmarkEnd w:id="3163"/>
      <w:r>
        <w:rPr>
          <w:b w:val="0"/>
        </w:rPr>
      </w:r>
      <w:bookmarkStart w:name="_bookmark1263" w:id="3164"/>
      <w:bookmarkEnd w:id="3164"/>
      <w:r>
        <w:rPr>
          <w:b w:val="0"/>
        </w:rPr>
      </w:r>
      <w:bookmarkStart w:name="_bookmark1263" w:id="3165"/>
      <w:bookmarkEnd w:id="3165"/>
      <w:r>
        <w:rPr/>
        <w:t>First</w:t>
      </w:r>
      <w:r>
        <w:rPr/>
        <w:t> power system frequency risk</w:t>
      </w:r>
      <w:r>
        <w:rPr>
          <w:spacing w:val="-3"/>
        </w:rPr>
        <w:t> </w:t>
      </w:r>
      <w:r>
        <w:rPr/>
        <w:t>review</w:t>
      </w:r>
    </w:p>
    <w:p>
      <w:pPr>
        <w:spacing w:before="120"/>
        <w:ind w:left="1352" w:right="416" w:firstLine="0"/>
        <w:jc w:val="both"/>
        <w:rPr>
          <w:sz w:val="24"/>
        </w:rPr>
      </w:pPr>
      <w:r>
        <w:rPr>
          <w:sz w:val="24"/>
        </w:rPr>
        <w:t>Despite clause 5.20A.2(a), </w:t>
      </w:r>
      <w:r>
        <w:rPr>
          <w:i/>
          <w:sz w:val="24"/>
        </w:rPr>
        <w:t>AEMO </w:t>
      </w:r>
      <w:r>
        <w:rPr>
          <w:sz w:val="24"/>
        </w:rPr>
        <w:t>must complete the first </w:t>
      </w:r>
      <w:r>
        <w:rPr>
          <w:i/>
          <w:sz w:val="24"/>
        </w:rPr>
        <w:t>power system frequency </w:t>
      </w:r>
      <w:r>
        <w:rPr>
          <w:i/>
          <w:sz w:val="24"/>
        </w:rPr>
        <w:t>risk review </w:t>
      </w:r>
      <w:r>
        <w:rPr>
          <w:sz w:val="24"/>
        </w:rPr>
        <w:t>within 12 months of the Commencement Date.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7.4 AEMO must review existing load s" w:id="3166"/>
      <w:bookmarkEnd w:id="3166"/>
      <w:r>
        <w:rPr>
          <w:b w:val="0"/>
        </w:rPr>
      </w:r>
      <w:bookmarkStart w:name="_bookmark1264" w:id="3167"/>
      <w:bookmarkEnd w:id="3167"/>
      <w:r>
        <w:rPr>
          <w:b w:val="0"/>
        </w:rPr>
      </w:r>
      <w:bookmarkStart w:name="_bookmark1264" w:id="3168"/>
      <w:bookmarkEnd w:id="3168"/>
      <w:r>
        <w:rPr/>
        <w:t>AEM</w:t>
      </w:r>
      <w:r>
        <w:rPr/>
        <w:t>O must review existing load shedding</w:t>
      </w:r>
      <w:r>
        <w:rPr>
          <w:spacing w:val="-9"/>
        </w:rPr>
        <w:t> </w:t>
      </w:r>
      <w:r>
        <w:rPr/>
        <w:t>procedures</w:t>
      </w:r>
    </w:p>
    <w:p>
      <w:pPr>
        <w:pStyle w:val="BodyText"/>
        <w:ind w:left="1352" w:right="414" w:firstLine="0"/>
      </w:pPr>
      <w:r>
        <w:rPr/>
        <w:t>As soon as reasonably practicable after the Commencment Date, </w:t>
      </w:r>
      <w:r>
        <w:rPr>
          <w:i/>
        </w:rPr>
        <w:t>AEMO </w:t>
      </w:r>
      <w:r>
        <w:rPr/>
        <w:t>must review, and if necessary amend, the </w:t>
      </w:r>
      <w:r>
        <w:rPr>
          <w:i/>
        </w:rPr>
        <w:t>load shedding procedures </w:t>
      </w:r>
      <w:r>
        <w:rPr/>
        <w:t>developed under old clause 4.3.2(h) to take into account the Amending Rule.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7.5 Load shedding procedures" w:id="3169"/>
      <w:bookmarkEnd w:id="3169"/>
      <w:r>
        <w:rPr>
          <w:b w:val="0"/>
        </w:rPr>
      </w:r>
      <w:bookmarkStart w:name="_bookmark1265" w:id="3170"/>
      <w:bookmarkEnd w:id="3170"/>
      <w:r>
        <w:rPr>
          <w:b w:val="0"/>
        </w:rPr>
      </w:r>
      <w:bookmarkStart w:name="_bookmark1265" w:id="3171"/>
      <w:bookmarkEnd w:id="3171"/>
      <w:r>
        <w:rPr/>
        <w:t>Load</w:t>
      </w:r>
      <w:r>
        <w:rPr/>
        <w:t> shedding</w:t>
      </w:r>
      <w:r>
        <w:rPr>
          <w:spacing w:val="-2"/>
        </w:rPr>
        <w:t> </w:t>
      </w:r>
      <w:r>
        <w:rPr/>
        <w:t>procedures</w:t>
      </w:r>
    </w:p>
    <w:p>
      <w:pPr>
        <w:spacing w:before="120"/>
        <w:ind w:left="1352" w:right="416" w:firstLine="0"/>
        <w:jc w:val="both"/>
        <w:rPr>
          <w:sz w:val="24"/>
        </w:rPr>
      </w:pPr>
      <w:r>
        <w:rPr>
          <w:sz w:val="24"/>
        </w:rPr>
        <w:t>On and from the Commencement Date any </w:t>
      </w:r>
      <w:r>
        <w:rPr>
          <w:i/>
          <w:sz w:val="24"/>
        </w:rPr>
        <w:t>load shedding procedures </w:t>
      </w:r>
      <w:r>
        <w:rPr>
          <w:sz w:val="24"/>
        </w:rPr>
        <w:t>developed by </w:t>
      </w:r>
      <w:r>
        <w:rPr>
          <w:i/>
          <w:sz w:val="24"/>
        </w:rPr>
        <w:t>AEMO </w:t>
      </w:r>
      <w:r>
        <w:rPr>
          <w:sz w:val="24"/>
        </w:rPr>
        <w:t>under old clause 4.3.2(h) will be taken to be:</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load shedding procedures </w:t>
      </w:r>
      <w:r>
        <w:rPr>
          <w:sz w:val="24"/>
        </w:rPr>
        <w:t>for the purposes of new clause 4.3.2(h)(1) if they are procedures under which </w:t>
      </w:r>
      <w:r>
        <w:rPr>
          <w:i/>
          <w:sz w:val="24"/>
        </w:rPr>
        <w:t>load </w:t>
      </w:r>
      <w:r>
        <w:rPr>
          <w:sz w:val="24"/>
        </w:rPr>
        <w:t>will be shed by means other than an </w:t>
      </w:r>
      <w:r>
        <w:rPr>
          <w:i/>
          <w:sz w:val="24"/>
        </w:rPr>
        <w:t>emergency frequency control scheme</w:t>
      </w:r>
      <w:r>
        <w:rPr>
          <w:sz w:val="24"/>
        </w:rPr>
        <w:t>;</w:t>
      </w:r>
      <w:r>
        <w:rPr>
          <w:spacing w:val="-1"/>
          <w:sz w:val="24"/>
        </w:rPr>
        <w:t> </w:t>
      </w:r>
      <w:r>
        <w:rPr>
          <w:sz w:val="24"/>
        </w:rPr>
        <w:t>or</w:t>
      </w:r>
    </w:p>
    <w:p>
      <w:pPr>
        <w:pStyle w:val="ListParagraph"/>
        <w:numPr>
          <w:ilvl w:val="3"/>
          <w:numId w:val="850"/>
        </w:numPr>
        <w:tabs>
          <w:tab w:pos="1919" w:val="left" w:leader="none"/>
        </w:tabs>
        <w:spacing w:line="240" w:lineRule="auto" w:before="120" w:after="0"/>
        <w:ind w:left="1919" w:right="416" w:hanging="567"/>
        <w:jc w:val="both"/>
        <w:rPr>
          <w:sz w:val="24"/>
        </w:rPr>
      </w:pPr>
      <w:r>
        <w:rPr>
          <w:i/>
          <w:sz w:val="24"/>
        </w:rPr>
        <w:t>EFCS settings schedules </w:t>
      </w:r>
      <w:r>
        <w:rPr>
          <w:sz w:val="24"/>
        </w:rPr>
        <w:t>for the purposes of new clause 4.3.2(h)(2) if they specify, for an </w:t>
      </w:r>
      <w:r>
        <w:rPr>
          <w:i/>
          <w:sz w:val="24"/>
        </w:rPr>
        <w:t>emergency frequency control scheme</w:t>
      </w:r>
      <w:r>
        <w:rPr>
          <w:sz w:val="24"/>
        </w:rPr>
        <w:t>, settings for operation of the</w:t>
      </w:r>
      <w:r>
        <w:rPr>
          <w:spacing w:val="-1"/>
          <w:sz w:val="24"/>
        </w:rPr>
        <w:t> </w:t>
      </w:r>
      <w:r>
        <w:rPr>
          <w:sz w:val="24"/>
        </w:rPr>
        <w:t>scheme.</w:t>
      </w:r>
    </w:p>
    <w:p>
      <w:pPr>
        <w:spacing w:after="0" w:line="240" w:lineRule="auto"/>
        <w:jc w:val="both"/>
        <w:rPr>
          <w:sz w:val="24"/>
        </w:rPr>
        <w:sectPr>
          <w:pgSz w:w="11910" w:h="16840"/>
          <w:pgMar w:header="686" w:footer="637" w:top="1320" w:bottom="820" w:left="1200" w:right="1000"/>
        </w:sectPr>
      </w:pPr>
    </w:p>
    <w:p>
      <w:pPr>
        <w:tabs>
          <w:tab w:pos="1658" w:val="left" w:leader="none"/>
          <w:tab w:pos="9317" w:val="left" w:leader="none"/>
        </w:tabs>
        <w:spacing w:before="83"/>
        <w:ind w:left="218" w:right="0" w:firstLine="0"/>
        <w:jc w:val="left"/>
        <w:rPr>
          <w:rFonts w:ascii="Arial"/>
          <w:b/>
          <w:sz w:val="28"/>
        </w:rPr>
      </w:pPr>
      <w:bookmarkStart w:name="Part ZZZ Transmission Connection and Pla" w:id="3172"/>
      <w:bookmarkEnd w:id="3172"/>
      <w:r>
        <w:rPr/>
      </w:r>
      <w:bookmarkStart w:name="_bookmark1266" w:id="3173"/>
      <w:bookmarkEnd w:id="3173"/>
      <w:r>
        <w:rPr/>
      </w:r>
      <w:r>
        <w:rPr>
          <w:rFonts w:ascii="Arial"/>
          <w:b/>
          <w:sz w:val="28"/>
          <w:shd w:fill="D9D9D9" w:color="auto" w:val="clear"/>
        </w:rPr>
        <w:t>Part ZZZ</w:t>
        <w:tab/>
        <w:t>Transmission Connection and Planning</w:t>
      </w:r>
      <w:r>
        <w:rPr>
          <w:rFonts w:ascii="Arial"/>
          <w:b/>
          <w:spacing w:val="-17"/>
          <w:sz w:val="28"/>
          <w:shd w:fill="D9D9D9" w:color="auto" w:val="clear"/>
        </w:rPr>
        <w:t> </w:t>
      </w:r>
      <w:r>
        <w:rPr>
          <w:rFonts w:ascii="Arial"/>
          <w:b/>
          <w:sz w:val="28"/>
          <w:shd w:fill="D9D9D9" w:color="auto" w:val="clear"/>
        </w:rPr>
        <w:t>Arrangements</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98 Rules consequential on the making " w:id="3174"/>
      <w:bookmarkEnd w:id="3174"/>
      <w:r>
        <w:rPr>
          <w:b w:val="0"/>
        </w:rPr>
      </w:r>
      <w:bookmarkStart w:name="_bookmark1267" w:id="3175"/>
      <w:bookmarkEnd w:id="3175"/>
      <w:r>
        <w:rPr>
          <w:b w:val="0"/>
        </w:rPr>
      </w:r>
      <w:bookmarkStart w:name="_bookmark1267" w:id="3176"/>
      <w:bookmarkEnd w:id="3176"/>
      <w:r>
        <w:rPr/>
        <w:t>Rul</w:t>
      </w:r>
      <w:r>
        <w:rPr/>
        <w:t>es consequential on the making of the National Electricity Amendment (Transmission Connection and Planning Arrangements) Rule</w:t>
      </w:r>
      <w:r>
        <w:rPr>
          <w:spacing w:val="-2"/>
        </w:rPr>
        <w:t> </w:t>
      </w:r>
      <w:r>
        <w:rPr/>
        <w:t>2017</w:t>
      </w:r>
    </w:p>
    <w:p>
      <w:pPr>
        <w:pStyle w:val="Heading4"/>
        <w:numPr>
          <w:ilvl w:val="2"/>
          <w:numId w:val="850"/>
        </w:numPr>
        <w:tabs>
          <w:tab w:pos="1351" w:val="left" w:leader="none"/>
          <w:tab w:pos="1352" w:val="left" w:leader="none"/>
        </w:tabs>
        <w:spacing w:line="240" w:lineRule="auto" w:before="240" w:after="0"/>
        <w:ind w:left="1351" w:right="0" w:hanging="1134"/>
        <w:jc w:val="left"/>
      </w:pPr>
      <w:bookmarkStart w:name="11.98.1 Definitions" w:id="3177"/>
      <w:bookmarkEnd w:id="3177"/>
      <w:r>
        <w:rPr>
          <w:b w:val="0"/>
        </w:rPr>
      </w:r>
      <w:bookmarkStart w:name="_bookmark1268" w:id="3178"/>
      <w:bookmarkEnd w:id="3178"/>
      <w:r>
        <w:rPr>
          <w:b w:val="0"/>
        </w:rPr>
      </w:r>
      <w:bookmarkStart w:name="_bookmark1268" w:id="3179"/>
      <w:bookmarkEnd w:id="3179"/>
      <w:r>
        <w:rPr/>
        <w:t>Definition</w:t>
      </w:r>
      <w:r>
        <w:rPr/>
        <w:t>s</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11.98:</w:t>
      </w:r>
    </w:p>
    <w:p>
      <w:pPr>
        <w:pStyle w:val="BodyText"/>
        <w:ind w:left="1919" w:right="417" w:firstLine="0"/>
      </w:pPr>
      <w:r>
        <w:rPr>
          <w:b/>
        </w:rPr>
        <w:t>Amending Rule </w:t>
      </w:r>
      <w:r>
        <w:rPr/>
        <w:t>means the National Electricity Amendment (Transmission Connections and Planning Arrangements) Rule 2017.</w:t>
      </w:r>
    </w:p>
    <w:p>
      <w:pPr>
        <w:pStyle w:val="BodyText"/>
        <w:ind w:left="1919" w:right="415" w:firstLine="0"/>
      </w:pPr>
      <w:r>
        <w:rPr>
          <w:b/>
        </w:rPr>
        <w:t>commencement date </w:t>
      </w:r>
      <w:r>
        <w:rPr/>
        <w:t>means the date of commencement of Schedules 1, 2, 4, 5 and 6 of the Amending Rule.</w:t>
      </w:r>
    </w:p>
    <w:p>
      <w:pPr>
        <w:spacing w:before="120"/>
        <w:ind w:left="1919" w:right="415" w:firstLine="0"/>
        <w:jc w:val="both"/>
        <w:rPr>
          <w:sz w:val="24"/>
        </w:rPr>
      </w:pPr>
      <w:r>
        <w:rPr>
          <w:b/>
          <w:sz w:val="24"/>
        </w:rPr>
        <w:t>Existing Connection Agreement </w:t>
      </w:r>
      <w:r>
        <w:rPr>
          <w:sz w:val="24"/>
        </w:rPr>
        <w:t>means a </w:t>
      </w:r>
      <w:r>
        <w:rPr>
          <w:i/>
          <w:sz w:val="24"/>
        </w:rPr>
        <w:t>connection agreement </w:t>
      </w:r>
      <w:r>
        <w:rPr>
          <w:sz w:val="24"/>
        </w:rPr>
        <w:t>entered into before the commencement date other than in relation to a </w:t>
      </w:r>
      <w:r>
        <w:rPr>
          <w:i/>
          <w:sz w:val="24"/>
        </w:rPr>
        <w:t>declared </w:t>
      </w:r>
      <w:r>
        <w:rPr>
          <w:i/>
          <w:sz w:val="24"/>
        </w:rPr>
        <w:t>transmission system</w:t>
      </w:r>
      <w:r>
        <w:rPr>
          <w:sz w:val="24"/>
        </w:rPr>
        <w:t>.</w:t>
      </w:r>
    </w:p>
    <w:p>
      <w:pPr>
        <w:spacing w:before="120"/>
        <w:ind w:left="1919" w:right="415" w:firstLine="0"/>
        <w:jc w:val="both"/>
        <w:rPr>
          <w:sz w:val="24"/>
        </w:rPr>
      </w:pPr>
      <w:r>
        <w:rPr>
          <w:b/>
          <w:sz w:val="24"/>
        </w:rPr>
        <w:t>Existing DCA </w:t>
      </w:r>
      <w:r>
        <w:rPr>
          <w:sz w:val="24"/>
        </w:rPr>
        <w:t>means a </w:t>
      </w:r>
      <w:r>
        <w:rPr>
          <w:i/>
          <w:sz w:val="24"/>
        </w:rPr>
        <w:t>dedicated connection asset </w:t>
      </w:r>
      <w:r>
        <w:rPr>
          <w:sz w:val="24"/>
        </w:rPr>
        <w:t>which, before the commencement date:</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exists; or</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is contracted to be constructed under an Existing Connection Agreement;</w:t>
      </w:r>
      <w:r>
        <w:rPr>
          <w:spacing w:val="-1"/>
          <w:sz w:val="24"/>
        </w:rPr>
        <w:t> </w:t>
      </w:r>
      <w:r>
        <w:rPr>
          <w:sz w:val="24"/>
        </w:rPr>
        <w:t>or</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a</w:t>
      </w:r>
      <w:r>
        <w:rPr>
          <w:spacing w:val="23"/>
          <w:sz w:val="24"/>
        </w:rPr>
        <w:t> </w:t>
      </w:r>
      <w:r>
        <w:rPr>
          <w:i/>
          <w:sz w:val="24"/>
        </w:rPr>
        <w:t>Transmission</w:t>
      </w:r>
      <w:r>
        <w:rPr>
          <w:i/>
          <w:spacing w:val="24"/>
          <w:sz w:val="24"/>
        </w:rPr>
        <w:t> </w:t>
      </w:r>
      <w:r>
        <w:rPr>
          <w:i/>
          <w:sz w:val="24"/>
        </w:rPr>
        <w:t>Network</w:t>
      </w:r>
      <w:r>
        <w:rPr>
          <w:i/>
          <w:spacing w:val="24"/>
          <w:sz w:val="24"/>
        </w:rPr>
        <w:t> </w:t>
      </w:r>
      <w:r>
        <w:rPr>
          <w:i/>
          <w:sz w:val="24"/>
        </w:rPr>
        <w:t>Service</w:t>
      </w:r>
      <w:r>
        <w:rPr>
          <w:i/>
          <w:spacing w:val="24"/>
          <w:sz w:val="24"/>
        </w:rPr>
        <w:t> </w:t>
      </w:r>
      <w:r>
        <w:rPr>
          <w:i/>
          <w:sz w:val="24"/>
        </w:rPr>
        <w:t>Provider</w:t>
      </w:r>
      <w:r>
        <w:rPr>
          <w:i/>
          <w:spacing w:val="24"/>
          <w:sz w:val="24"/>
        </w:rPr>
        <w:t> </w:t>
      </w:r>
      <w:r>
        <w:rPr>
          <w:sz w:val="24"/>
        </w:rPr>
        <w:t>has</w:t>
      </w:r>
      <w:r>
        <w:rPr>
          <w:spacing w:val="23"/>
          <w:sz w:val="24"/>
        </w:rPr>
        <w:t> </w:t>
      </w:r>
      <w:r>
        <w:rPr>
          <w:sz w:val="24"/>
        </w:rPr>
        <w:t>agreed</w:t>
      </w:r>
      <w:r>
        <w:rPr>
          <w:spacing w:val="24"/>
          <w:sz w:val="24"/>
        </w:rPr>
        <w:t> </w:t>
      </w:r>
      <w:r>
        <w:rPr>
          <w:sz w:val="24"/>
        </w:rPr>
        <w:t>to</w:t>
      </w:r>
      <w:r>
        <w:rPr>
          <w:spacing w:val="24"/>
          <w:sz w:val="24"/>
        </w:rPr>
        <w:t> </w:t>
      </w:r>
      <w:r>
        <w:rPr>
          <w:i/>
          <w:sz w:val="24"/>
        </w:rPr>
        <w:t>connect</w:t>
      </w:r>
      <w:r>
        <w:rPr>
          <w:i/>
          <w:spacing w:val="24"/>
          <w:sz w:val="24"/>
        </w:rPr>
        <w:t> </w:t>
      </w:r>
      <w:r>
        <w:rPr>
          <w:sz w:val="24"/>
        </w:rPr>
        <w:t>to</w:t>
      </w:r>
      <w:r>
        <w:rPr>
          <w:spacing w:val="24"/>
          <w:sz w:val="24"/>
        </w:rPr>
        <w:t> </w:t>
      </w:r>
      <w:r>
        <w:rPr>
          <w:sz w:val="24"/>
        </w:rPr>
        <w:t>a</w:t>
      </w:r>
    </w:p>
    <w:p>
      <w:pPr>
        <w:spacing w:before="0"/>
        <w:ind w:left="2486" w:right="0" w:firstLine="0"/>
        <w:jc w:val="left"/>
        <w:rPr>
          <w:sz w:val="24"/>
        </w:rPr>
      </w:pPr>
      <w:r>
        <w:rPr>
          <w:i/>
          <w:sz w:val="24"/>
        </w:rPr>
        <w:t>transmission network </w:t>
      </w:r>
      <w:r>
        <w:rPr>
          <w:sz w:val="24"/>
        </w:rPr>
        <w:t>under an Existing Connection Agreement.</w:t>
      </w:r>
    </w:p>
    <w:p>
      <w:pPr>
        <w:spacing w:before="120"/>
        <w:ind w:left="1919" w:right="565" w:firstLine="0"/>
        <w:jc w:val="left"/>
        <w:rPr>
          <w:sz w:val="24"/>
        </w:rPr>
      </w:pPr>
      <w:r>
        <w:rPr>
          <w:b/>
          <w:sz w:val="24"/>
        </w:rPr>
        <w:t>Existing DCA Owner </w:t>
      </w:r>
      <w:r>
        <w:rPr>
          <w:sz w:val="24"/>
        </w:rPr>
        <w:t>means an owner, operator or controller of an Existing DCA.</w:t>
      </w:r>
    </w:p>
    <w:p>
      <w:pPr>
        <w:spacing w:before="120"/>
        <w:ind w:left="1919" w:right="415" w:firstLine="0"/>
        <w:jc w:val="both"/>
        <w:rPr>
          <w:sz w:val="24"/>
        </w:rPr>
      </w:pPr>
      <w:r>
        <w:rPr>
          <w:b/>
          <w:sz w:val="24"/>
        </w:rPr>
        <w:t>former Chapter 5 </w:t>
      </w:r>
      <w:r>
        <w:rPr>
          <w:sz w:val="24"/>
        </w:rPr>
        <w:t>means Chapter 5 of the </w:t>
      </w:r>
      <w:r>
        <w:rPr>
          <w:i/>
          <w:sz w:val="24"/>
        </w:rPr>
        <w:t>Rules </w:t>
      </w:r>
      <w:r>
        <w:rPr>
          <w:sz w:val="24"/>
        </w:rPr>
        <w:t>as in force immediately prior to the commencement</w:t>
      </w:r>
      <w:r>
        <w:rPr>
          <w:spacing w:val="-1"/>
          <w:sz w:val="24"/>
        </w:rPr>
        <w:t> </w:t>
      </w:r>
      <w:r>
        <w:rPr>
          <w:sz w:val="24"/>
        </w:rPr>
        <w:t>date.</w:t>
      </w:r>
    </w:p>
    <w:p>
      <w:pPr>
        <w:spacing w:before="120"/>
        <w:ind w:left="1919" w:right="415" w:firstLine="0"/>
        <w:jc w:val="both"/>
        <w:rPr>
          <w:sz w:val="24"/>
        </w:rPr>
      </w:pPr>
      <w:r>
        <w:rPr>
          <w:b/>
          <w:sz w:val="24"/>
        </w:rPr>
        <w:t>former Chapter 6A </w:t>
      </w:r>
      <w:r>
        <w:rPr>
          <w:sz w:val="24"/>
        </w:rPr>
        <w:t>means Chapter 6A of the </w:t>
      </w:r>
      <w:r>
        <w:rPr>
          <w:i/>
          <w:sz w:val="24"/>
        </w:rPr>
        <w:t>Rules </w:t>
      </w:r>
      <w:r>
        <w:rPr>
          <w:sz w:val="24"/>
        </w:rPr>
        <w:t>as in force immediately prior to the commencement</w:t>
      </w:r>
      <w:r>
        <w:rPr>
          <w:spacing w:val="-1"/>
          <w:sz w:val="24"/>
        </w:rPr>
        <w:t> </w:t>
      </w:r>
      <w:r>
        <w:rPr>
          <w:sz w:val="24"/>
        </w:rPr>
        <w:t>date.</w:t>
      </w:r>
    </w:p>
    <w:p>
      <w:pPr>
        <w:pStyle w:val="BodyText"/>
        <w:ind w:left="1919" w:right="416" w:firstLine="0"/>
      </w:pPr>
      <w:r>
        <w:rPr>
          <w:b/>
        </w:rPr>
        <w:t>New Chapter 10 </w:t>
      </w:r>
      <w:r>
        <w:rPr/>
        <w:t>means Chapter 10 of the </w:t>
      </w:r>
      <w:r>
        <w:rPr>
          <w:i/>
        </w:rPr>
        <w:t>Rules </w:t>
      </w:r>
      <w:r>
        <w:rPr/>
        <w:t>as it will be in force immediately after the commencement date.</w:t>
      </w:r>
    </w:p>
    <w:p>
      <w:pPr>
        <w:pStyle w:val="BodyText"/>
        <w:ind w:left="1919" w:right="415" w:firstLine="0"/>
      </w:pPr>
      <w:r>
        <w:rPr>
          <w:b/>
        </w:rPr>
        <w:t>new clause 5.3.AA(e)(2) </w:t>
      </w:r>
      <w:r>
        <w:rPr/>
        <w:t>means clause 5.3AA(e)(2) of the </w:t>
      </w:r>
      <w:r>
        <w:rPr>
          <w:i/>
        </w:rPr>
        <w:t>Rules </w:t>
      </w:r>
      <w:r>
        <w:rPr/>
        <w:t>as in force immediately after the commencement date (being the same as clause 5.5(e)(2) of the </w:t>
      </w:r>
      <w:r>
        <w:rPr>
          <w:i/>
        </w:rPr>
        <w:t>Rules </w:t>
      </w:r>
      <w:r>
        <w:rPr/>
        <w:t>immediately prior to the commencement date).</w:t>
      </w:r>
    </w:p>
    <w:p>
      <w:pPr>
        <w:pStyle w:val="BodyText"/>
        <w:ind w:left="1919" w:right="414" w:firstLine="0"/>
      </w:pPr>
      <w:r>
        <w:rPr>
          <w:b/>
        </w:rPr>
        <w:t>old rule 5.4A </w:t>
      </w:r>
      <w:r>
        <w:rPr/>
        <w:t>means rule 5.4A of the </w:t>
      </w:r>
      <w:r>
        <w:rPr>
          <w:i/>
        </w:rPr>
        <w:t>Rules </w:t>
      </w:r>
      <w:r>
        <w:rPr/>
        <w:t>(and all definitions in, and related definitions and provisions of, the </w:t>
      </w:r>
      <w:r>
        <w:rPr>
          <w:i/>
        </w:rPr>
        <w:t>Rules </w:t>
      </w:r>
      <w:r>
        <w:rPr/>
        <w:t>amended by the Amending Rule) as in force immediately prior to the commencement date.</w:t>
      </w:r>
    </w:p>
    <w:p>
      <w:pPr>
        <w:spacing w:before="120"/>
        <w:ind w:left="1919" w:right="414" w:firstLine="0"/>
        <w:jc w:val="both"/>
        <w:rPr>
          <w:sz w:val="24"/>
        </w:rPr>
      </w:pPr>
      <w:r>
        <w:rPr>
          <w:b/>
          <w:sz w:val="24"/>
        </w:rPr>
        <w:t>old clause 5.3.6(i) </w:t>
      </w:r>
      <w:r>
        <w:rPr>
          <w:sz w:val="24"/>
        </w:rPr>
        <w:t>means clause 5.3.6(i) as in force immediately prior to the commencement date.</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Italicised terms used in this rule have the same meaning as in new Chapter 10.</w:t>
      </w:r>
    </w:p>
    <w:p>
      <w:pPr>
        <w:spacing w:after="0" w:line="240" w:lineRule="auto"/>
        <w:jc w:val="both"/>
        <w:rPr>
          <w:sz w:val="24"/>
        </w:rPr>
        <w:sectPr>
          <w:pgSz w:w="11910" w:h="16840"/>
          <w:pgMar w:header="686" w:footer="637" w:top="1320" w:bottom="820" w:left="1200" w:right="1000"/>
        </w:sectPr>
      </w:pPr>
    </w:p>
    <w:p>
      <w:pPr>
        <w:pStyle w:val="Heading4"/>
        <w:numPr>
          <w:ilvl w:val="2"/>
          <w:numId w:val="850"/>
        </w:numPr>
        <w:tabs>
          <w:tab w:pos="1351" w:val="left" w:leader="none"/>
          <w:tab w:pos="1352" w:val="left" w:leader="none"/>
        </w:tabs>
        <w:spacing w:line="240" w:lineRule="auto" w:before="83" w:after="0"/>
        <w:ind w:left="1351" w:right="0" w:hanging="1134"/>
        <w:jc w:val="left"/>
      </w:pPr>
      <w:bookmarkStart w:name="11.98.2 Grandfathering of existing dedic" w:id="3180"/>
      <w:bookmarkEnd w:id="3180"/>
      <w:r>
        <w:rPr>
          <w:b w:val="0"/>
        </w:rPr>
      </w:r>
      <w:bookmarkStart w:name="_bookmark1269" w:id="3181"/>
      <w:bookmarkEnd w:id="3181"/>
      <w:r>
        <w:rPr>
          <w:b w:val="0"/>
        </w:rPr>
      </w:r>
      <w:bookmarkStart w:name="_bookmark1269" w:id="3182"/>
      <w:bookmarkEnd w:id="3182"/>
      <w:r>
        <w:rPr/>
        <w:t>Grandfathering</w:t>
      </w:r>
      <w:r>
        <w:rPr/>
        <w:t> of existing dedicated connection</w:t>
      </w:r>
      <w:r>
        <w:rPr>
          <w:spacing w:val="-6"/>
        </w:rPr>
        <w:t> </w:t>
      </w:r>
      <w:r>
        <w:rPr/>
        <w:t>assets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May 2018, an Existing DCA Owner who is already registered or is exempt from registration (as applicable) under chapter 2 of the </w:t>
      </w:r>
      <w:r>
        <w:rPr>
          <w:i/>
          <w:sz w:val="24"/>
        </w:rPr>
        <w:t>Rules </w:t>
      </w:r>
      <w:r>
        <w:rPr>
          <w:sz w:val="24"/>
        </w:rPr>
        <w:t>for </w:t>
      </w:r>
      <w:r>
        <w:rPr>
          <w:spacing w:val="-5"/>
          <w:sz w:val="24"/>
        </w:rPr>
        <w:t>its </w:t>
      </w:r>
      <w:r>
        <w:rPr>
          <w:sz w:val="24"/>
        </w:rPr>
        <w:t>Existing DCA must notify the </w:t>
      </w:r>
      <w:r>
        <w:rPr>
          <w:i/>
          <w:sz w:val="24"/>
        </w:rPr>
        <w:t>AER </w:t>
      </w:r>
      <w:r>
        <w:rPr>
          <w:sz w:val="24"/>
        </w:rPr>
        <w:t>of the following</w:t>
      </w:r>
      <w:r>
        <w:rPr>
          <w:spacing w:val="-4"/>
          <w:sz w:val="24"/>
        </w:rPr>
        <w:t> </w:t>
      </w:r>
      <w:r>
        <w:rPr>
          <w:sz w:val="24"/>
        </w:rPr>
        <w:t>information:</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identity of each owner, controller or operator of the Existing</w:t>
      </w:r>
      <w:r>
        <w:rPr>
          <w:spacing w:val="-5"/>
          <w:sz w:val="24"/>
        </w:rPr>
        <w:t> </w:t>
      </w:r>
      <w:r>
        <w:rPr>
          <w:sz w:val="24"/>
        </w:rPr>
        <w:t>DCA;</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the category of </w:t>
      </w:r>
      <w:r>
        <w:rPr>
          <w:i/>
          <w:sz w:val="24"/>
        </w:rPr>
        <w:t>Registered Participant </w:t>
      </w:r>
      <w:r>
        <w:rPr>
          <w:sz w:val="24"/>
        </w:rPr>
        <w:t>for which the owner, controller or operator of the Existing DCA is registered (or for which it has an exemption) for the Existing</w:t>
      </w:r>
      <w:r>
        <w:rPr>
          <w:spacing w:val="-1"/>
          <w:sz w:val="24"/>
        </w:rPr>
        <w:t> </w:t>
      </w:r>
      <w:r>
        <w:rPr>
          <w:sz w:val="24"/>
        </w:rPr>
        <w:t>DCA;</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whether the Existing DCA would be classified as a </w:t>
      </w:r>
      <w:r>
        <w:rPr>
          <w:i/>
          <w:sz w:val="24"/>
        </w:rPr>
        <w:t>large dedicated </w:t>
      </w:r>
      <w:r>
        <w:rPr>
          <w:i/>
          <w:sz w:val="24"/>
        </w:rPr>
        <w:t>connection asset </w:t>
      </w:r>
      <w:r>
        <w:rPr>
          <w:sz w:val="24"/>
        </w:rPr>
        <w:t>or </w:t>
      </w:r>
      <w:r>
        <w:rPr>
          <w:i/>
          <w:sz w:val="24"/>
        </w:rPr>
        <w:t>small dedicated connection asset </w:t>
      </w:r>
      <w:r>
        <w:rPr>
          <w:sz w:val="24"/>
        </w:rPr>
        <w:t>if the Existing DCA Owner was to register as a </w:t>
      </w:r>
      <w:r>
        <w:rPr>
          <w:i/>
          <w:sz w:val="24"/>
        </w:rPr>
        <w:t>Network Service Provider </w:t>
      </w:r>
      <w:r>
        <w:rPr>
          <w:sz w:val="24"/>
        </w:rPr>
        <w:t>for that asset; 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location and route of the Existing</w:t>
      </w:r>
      <w:r>
        <w:rPr>
          <w:spacing w:val="-1"/>
          <w:sz w:val="24"/>
        </w:rPr>
        <w:t> </w:t>
      </w:r>
      <w:r>
        <w:rPr>
          <w:sz w:val="24"/>
        </w:rPr>
        <w:t>DCA.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the commencement date, the </w:t>
      </w:r>
      <w:r>
        <w:rPr>
          <w:i/>
          <w:sz w:val="24"/>
        </w:rPr>
        <w:t>AER </w:t>
      </w:r>
      <w:r>
        <w:rPr>
          <w:sz w:val="24"/>
        </w:rPr>
        <w:t>must establish and publish a register of Existing DCA Owners who are already registered or exempt (as the case may be) for the Existing DCA and have notified their Existing DCAs under paragraph (b). The register must include the information in paragraph</w:t>
      </w:r>
      <w:r>
        <w:rPr>
          <w:spacing w:val="-3"/>
          <w:sz w:val="24"/>
        </w:rPr>
        <w:t> </w:t>
      </w:r>
      <w:r>
        <w:rPr>
          <w:sz w:val="24"/>
        </w:rPr>
        <w:t>(a).</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If an Existing DCA Owner is recorded in the register by the </w:t>
      </w:r>
      <w:r>
        <w:rPr>
          <w:i/>
          <w:sz w:val="24"/>
        </w:rPr>
        <w:t>AER </w:t>
      </w:r>
      <w:r>
        <w:rPr>
          <w:sz w:val="24"/>
        </w:rPr>
        <w:t>under paragraph (b) that Existing DCA</w:t>
      </w:r>
      <w:r>
        <w:rPr>
          <w:spacing w:val="-2"/>
          <w:sz w:val="24"/>
        </w:rPr>
        <w:t> </w:t>
      </w:r>
      <w:r>
        <w:rPr>
          <w:sz w:val="24"/>
        </w:rPr>
        <w:t>Owner:</w:t>
      </w:r>
    </w:p>
    <w:p>
      <w:pPr>
        <w:pStyle w:val="ListParagraph"/>
        <w:numPr>
          <w:ilvl w:val="4"/>
          <w:numId w:val="850"/>
        </w:numPr>
        <w:tabs>
          <w:tab w:pos="2486" w:val="left" w:leader="none"/>
        </w:tabs>
        <w:spacing w:line="240" w:lineRule="auto" w:before="120" w:after="0"/>
        <w:ind w:left="2486" w:right="413" w:hanging="567"/>
        <w:jc w:val="both"/>
        <w:rPr>
          <w:sz w:val="24"/>
        </w:rPr>
      </w:pPr>
      <w:r>
        <w:rPr>
          <w:sz w:val="24"/>
        </w:rPr>
        <w:t>if recorded in a registration category other than </w:t>
      </w:r>
      <w:r>
        <w:rPr>
          <w:i/>
          <w:sz w:val="24"/>
        </w:rPr>
        <w:t>Network Service </w:t>
      </w:r>
      <w:r>
        <w:rPr>
          <w:i/>
          <w:sz w:val="24"/>
        </w:rPr>
        <w:t>Provider </w:t>
      </w:r>
      <w:r>
        <w:rPr>
          <w:sz w:val="24"/>
        </w:rPr>
        <w:t>or as having an exemption (as applicable) for the Existing DCA, is not required to register as a </w:t>
      </w:r>
      <w:r>
        <w:rPr>
          <w:i/>
          <w:sz w:val="24"/>
        </w:rPr>
        <w:t>Network Service Provider </w:t>
      </w:r>
      <w:r>
        <w:rPr>
          <w:sz w:val="24"/>
        </w:rPr>
        <w:t>for that Existing DCA under clause</w:t>
      </w:r>
      <w:r>
        <w:rPr>
          <w:spacing w:val="-2"/>
          <w:sz w:val="24"/>
        </w:rPr>
        <w:t> </w:t>
      </w:r>
      <w:r>
        <w:rPr>
          <w:sz w:val="24"/>
        </w:rPr>
        <w:t>2.5.1;</w:t>
      </w:r>
    </w:p>
    <w:p>
      <w:pPr>
        <w:pStyle w:val="ListParagraph"/>
        <w:numPr>
          <w:ilvl w:val="4"/>
          <w:numId w:val="850"/>
        </w:numPr>
        <w:tabs>
          <w:tab w:pos="2486" w:val="left" w:leader="none"/>
        </w:tabs>
        <w:spacing w:line="240" w:lineRule="auto" w:before="120" w:after="0"/>
        <w:ind w:left="2486" w:right="413" w:hanging="567"/>
        <w:jc w:val="both"/>
        <w:rPr>
          <w:sz w:val="24"/>
        </w:rPr>
      </w:pPr>
      <w:r>
        <w:rPr>
          <w:sz w:val="24"/>
        </w:rPr>
        <w:t>if recorded in the registration category of </w:t>
      </w:r>
      <w:r>
        <w:rPr>
          <w:i/>
          <w:sz w:val="24"/>
        </w:rPr>
        <w:t>Network Service Provider </w:t>
      </w:r>
      <w:r>
        <w:rPr>
          <w:sz w:val="24"/>
        </w:rPr>
        <w:t>for the Existing DCA, is not required to classify that Existing DCA as a </w:t>
      </w:r>
      <w:r>
        <w:rPr>
          <w:i/>
          <w:sz w:val="24"/>
        </w:rPr>
        <w:t>large dedicated connection asset </w:t>
      </w:r>
      <w:r>
        <w:rPr>
          <w:sz w:val="24"/>
        </w:rPr>
        <w:t>or </w:t>
      </w:r>
      <w:r>
        <w:rPr>
          <w:i/>
          <w:sz w:val="24"/>
        </w:rPr>
        <w:t>small dedicated  connection </w:t>
      </w:r>
      <w:r>
        <w:rPr>
          <w:i/>
          <w:sz w:val="24"/>
        </w:rPr>
        <w:t>asset </w:t>
      </w:r>
      <w:r>
        <w:rPr>
          <w:sz w:val="24"/>
        </w:rPr>
        <w:t>under clause</w:t>
      </w:r>
      <w:r>
        <w:rPr>
          <w:spacing w:val="-2"/>
          <w:sz w:val="24"/>
        </w:rPr>
        <w:t> </w:t>
      </w:r>
      <w:r>
        <w:rPr>
          <w:sz w:val="24"/>
        </w:rPr>
        <w:t>2.5.1A;</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is not taken to be a </w:t>
      </w:r>
      <w:r>
        <w:rPr>
          <w:i/>
          <w:sz w:val="24"/>
        </w:rPr>
        <w:t>Dedicated Connection Asset Service Provider </w:t>
      </w:r>
      <w:r>
        <w:rPr>
          <w:sz w:val="24"/>
        </w:rPr>
        <w:t>in respect of that Existing DCA;</w:t>
      </w:r>
      <w:r>
        <w:rPr>
          <w:spacing w:val="-2"/>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will continue to be registered in the category of </w:t>
      </w:r>
      <w:r>
        <w:rPr>
          <w:i/>
          <w:sz w:val="24"/>
        </w:rPr>
        <w:t>Registered Participant </w:t>
      </w:r>
      <w:r>
        <w:rPr>
          <w:sz w:val="24"/>
        </w:rPr>
        <w:t>or be exempted (as applicable) for the Existing DCA as applied immediately before the commencement date and recorded in </w:t>
      </w:r>
      <w:r>
        <w:rPr>
          <w:spacing w:val="-4"/>
          <w:sz w:val="24"/>
        </w:rPr>
        <w:t>the</w:t>
      </w:r>
      <w:r>
        <w:rPr>
          <w:spacing w:val="52"/>
          <w:sz w:val="24"/>
        </w:rPr>
        <w:t> </w:t>
      </w:r>
      <w:r>
        <w:rPr>
          <w:sz w:val="24"/>
        </w:rPr>
        <w:t>register by the </w:t>
      </w:r>
      <w:r>
        <w:rPr>
          <w:i/>
          <w:sz w:val="24"/>
        </w:rPr>
        <w:t>AER </w:t>
      </w:r>
      <w:r>
        <w:rPr>
          <w:sz w:val="24"/>
        </w:rPr>
        <w:t>and must, in relation to the Existing DCA, comply with all the obligations under the </w:t>
      </w:r>
      <w:r>
        <w:rPr>
          <w:i/>
          <w:sz w:val="24"/>
        </w:rPr>
        <w:t>Rules </w:t>
      </w:r>
      <w:r>
        <w:rPr>
          <w:sz w:val="24"/>
        </w:rPr>
        <w:t>that apply from time to time to that category of </w:t>
      </w:r>
      <w:r>
        <w:rPr>
          <w:i/>
          <w:sz w:val="24"/>
        </w:rPr>
        <w:t>Registered Participant </w:t>
      </w:r>
      <w:r>
        <w:rPr>
          <w:sz w:val="24"/>
        </w:rPr>
        <w:t>or the conditions of the exemption (as</w:t>
      </w:r>
      <w:r>
        <w:rPr>
          <w:spacing w:val="-1"/>
          <w:sz w:val="24"/>
        </w:rPr>
        <w:t> </w:t>
      </w:r>
      <w:r>
        <w:rPr>
          <w:sz w:val="24"/>
        </w:rPr>
        <w:t>applicable).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an existing DCA Owner is not recorded in the register by the </w:t>
      </w:r>
      <w:r>
        <w:rPr>
          <w:i/>
          <w:sz w:val="24"/>
        </w:rPr>
        <w:t>AER </w:t>
      </w:r>
      <w:r>
        <w:rPr>
          <w:sz w:val="24"/>
        </w:rPr>
        <w:t>under paragraph (b), that Existing DCA Owner must, by the commencement date, register or apply for an exemption from registration as a </w:t>
      </w:r>
      <w:r>
        <w:rPr>
          <w:i/>
          <w:sz w:val="24"/>
        </w:rPr>
        <w:t>Network Service </w:t>
      </w:r>
      <w:r>
        <w:rPr>
          <w:i/>
          <w:sz w:val="24"/>
        </w:rPr>
        <w:t>Provider </w:t>
      </w:r>
      <w:r>
        <w:rPr>
          <w:sz w:val="24"/>
        </w:rPr>
        <w:t>under clause 2.5.1 of the </w:t>
      </w:r>
      <w:r>
        <w:rPr>
          <w:i/>
          <w:sz w:val="24"/>
        </w:rPr>
        <w:t>Rules </w:t>
      </w:r>
      <w:r>
        <w:rPr>
          <w:sz w:val="24"/>
        </w:rPr>
        <w:t>for its Existing</w:t>
      </w:r>
      <w:r>
        <w:rPr>
          <w:spacing w:val="-3"/>
          <w:sz w:val="24"/>
        </w:rPr>
        <w:t> </w:t>
      </w:r>
      <w:r>
        <w:rPr>
          <w:sz w:val="24"/>
        </w:rPr>
        <w:t>DCA.</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8.3 Preparatory steps for registrati" w:id="3183"/>
      <w:bookmarkEnd w:id="3183"/>
      <w:r>
        <w:rPr>
          <w:b w:val="0"/>
        </w:rPr>
      </w:r>
      <w:bookmarkStart w:name="_bookmark1270" w:id="3184"/>
      <w:bookmarkEnd w:id="3184"/>
      <w:r>
        <w:rPr>
          <w:b w:val="0"/>
        </w:rPr>
      </w:r>
      <w:bookmarkStart w:name="_bookmark1270" w:id="3185"/>
      <w:bookmarkEnd w:id="3185"/>
      <w:r>
        <w:rPr/>
        <w:t>Preparat</w:t>
      </w:r>
      <w:r>
        <w:rPr/>
        <w:t>ory steps for registration changes under the Amending</w:t>
      </w:r>
      <w:r>
        <w:rPr>
          <w:spacing w:val="-17"/>
        </w:rPr>
        <w:t> </w:t>
      </w:r>
      <w:r>
        <w:rPr/>
        <w:t>Rule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March 2018, the </w:t>
      </w:r>
      <w:r>
        <w:rPr>
          <w:i/>
          <w:sz w:val="24"/>
        </w:rPr>
        <w:t>AER </w:t>
      </w:r>
      <w:r>
        <w:rPr>
          <w:sz w:val="24"/>
        </w:rPr>
        <w:t>must amend and </w:t>
      </w:r>
      <w:r>
        <w:rPr>
          <w:i/>
          <w:sz w:val="24"/>
        </w:rPr>
        <w:t>publish </w:t>
      </w:r>
      <w:r>
        <w:rPr>
          <w:sz w:val="24"/>
        </w:rPr>
        <w:t>the guidelines developed under clause 2.5.1(d) to take account of the Amending</w:t>
      </w:r>
      <w:r>
        <w:rPr>
          <w:spacing w:val="-8"/>
          <w:sz w:val="24"/>
        </w:rPr>
        <w:t> </w:t>
      </w:r>
      <w:r>
        <w:rPr>
          <w:sz w:val="24"/>
        </w:rPr>
        <w:t>Rule.</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9" w:val="left" w:leader="none"/>
        </w:tabs>
        <w:spacing w:line="240" w:lineRule="auto" w:before="83" w:after="0"/>
        <w:ind w:left="1919" w:right="415" w:hanging="567"/>
        <w:jc w:val="both"/>
        <w:rPr>
          <w:sz w:val="24"/>
        </w:rPr>
      </w:pPr>
      <w:r>
        <w:rPr>
          <w:sz w:val="24"/>
        </w:rPr>
        <w:t>If prior to the date specified in paragraph (a) and for the purposes of developing changes to the guidelines referred to in paragraph (a) in anticipation of the Amending Rule, the </w:t>
      </w:r>
      <w:r>
        <w:rPr>
          <w:i/>
          <w:sz w:val="24"/>
        </w:rPr>
        <w:t>AER </w:t>
      </w:r>
      <w:r>
        <w:rPr>
          <w:sz w:val="24"/>
        </w:rPr>
        <w:t>undertook a consultation or steps equivalent to that as required in the </w:t>
      </w:r>
      <w:r>
        <w:rPr>
          <w:i/>
          <w:sz w:val="24"/>
        </w:rPr>
        <w:t>Rules consultation procedures</w:t>
      </w:r>
      <w:r>
        <w:rPr>
          <w:sz w:val="24"/>
        </w:rPr>
        <w:t>, then that consultation or steps is taken to satisfy the equivalent consultation or step under the </w:t>
      </w:r>
      <w:r>
        <w:rPr>
          <w:i/>
          <w:sz w:val="24"/>
        </w:rPr>
        <w:t>Rules consultation</w:t>
      </w:r>
      <w:r>
        <w:rPr>
          <w:i/>
          <w:spacing w:val="-2"/>
          <w:sz w:val="24"/>
        </w:rPr>
        <w:t> </w:t>
      </w:r>
      <w:r>
        <w:rPr>
          <w:i/>
          <w:sz w:val="24"/>
        </w:rPr>
        <w:t>procedures</w:t>
      </w:r>
      <w:r>
        <w:rPr>
          <w:sz w:val="24"/>
        </w:rPr>
        <w:t>.</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By 1 April 2018, </w:t>
      </w:r>
      <w:r>
        <w:rPr>
          <w:i/>
          <w:sz w:val="24"/>
        </w:rPr>
        <w:t>AEMO </w:t>
      </w:r>
      <w:r>
        <w:rPr>
          <w:sz w:val="24"/>
        </w:rPr>
        <w:t>must develop an application form for registration of </w:t>
      </w:r>
      <w:r>
        <w:rPr>
          <w:i/>
          <w:sz w:val="24"/>
        </w:rPr>
        <w:t>Network Service Providers </w:t>
      </w:r>
      <w:r>
        <w:rPr>
          <w:sz w:val="24"/>
        </w:rPr>
        <w:t>that takes account of the Amending</w:t>
      </w:r>
      <w:r>
        <w:rPr>
          <w:spacing w:val="-8"/>
          <w:sz w:val="24"/>
        </w:rPr>
        <w:t> </w:t>
      </w:r>
      <w:r>
        <w:rPr>
          <w:sz w:val="24"/>
        </w:rPr>
        <w:t>Rule.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8.4 Participant fees for Dedicated C" w:id="3186"/>
      <w:bookmarkEnd w:id="3186"/>
      <w:r>
        <w:rPr>
          <w:b w:val="0"/>
        </w:rPr>
      </w:r>
      <w:bookmarkStart w:name="_bookmark1271" w:id="3187"/>
      <w:bookmarkEnd w:id="3187"/>
      <w:r>
        <w:rPr>
          <w:b w:val="0"/>
        </w:rPr>
      </w:r>
      <w:bookmarkStart w:name="_bookmark1271" w:id="3188"/>
      <w:bookmarkEnd w:id="3188"/>
      <w:r>
        <w:rPr/>
        <w:t>Participant</w:t>
      </w:r>
      <w:r>
        <w:rPr/>
        <w:t> fees for Dedicated Connection Asset Service</w:t>
      </w:r>
      <w:r>
        <w:rPr>
          <w:spacing w:val="-12"/>
        </w:rPr>
        <w:t> </w:t>
      </w:r>
      <w:r>
        <w:rPr/>
        <w:t>Providers</w:t>
      </w:r>
    </w:p>
    <w:p>
      <w:pPr>
        <w:spacing w:before="120"/>
        <w:ind w:left="1352" w:right="415" w:firstLine="0"/>
        <w:jc w:val="both"/>
        <w:rPr>
          <w:sz w:val="24"/>
        </w:rPr>
      </w:pPr>
      <w:r>
        <w:rPr>
          <w:i/>
          <w:sz w:val="24"/>
        </w:rPr>
        <w:t>AEMO </w:t>
      </w:r>
      <w:r>
        <w:rPr>
          <w:sz w:val="24"/>
        </w:rPr>
        <w:t>may charge </w:t>
      </w:r>
      <w:r>
        <w:rPr>
          <w:i/>
          <w:sz w:val="24"/>
        </w:rPr>
        <w:t>Dedicated Connection Asset Service Providers </w:t>
      </w:r>
      <w:r>
        <w:rPr>
          <w:sz w:val="24"/>
        </w:rPr>
        <w:t>fees from the </w:t>
      </w:r>
      <w:r>
        <w:rPr>
          <w:i/>
          <w:sz w:val="24"/>
        </w:rPr>
        <w:t>Dedicated Connection Asset Service Provider's </w:t>
      </w:r>
      <w:r>
        <w:rPr>
          <w:sz w:val="24"/>
        </w:rPr>
        <w:t>date of registration without amending the structure of the </w:t>
      </w:r>
      <w:r>
        <w:rPr>
          <w:i/>
          <w:sz w:val="24"/>
        </w:rPr>
        <w:t>Participant fees </w:t>
      </w:r>
      <w:r>
        <w:rPr>
          <w:sz w:val="24"/>
        </w:rPr>
        <w:t>developed under rule 2.11 prior to the commencement date.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8.5 Existing Connection Agreements" w:id="3189"/>
      <w:bookmarkEnd w:id="3189"/>
      <w:r>
        <w:rPr>
          <w:b w:val="0"/>
        </w:rPr>
      </w:r>
      <w:bookmarkStart w:name="_bookmark1272" w:id="3190"/>
      <w:bookmarkEnd w:id="3190"/>
      <w:r>
        <w:rPr>
          <w:b w:val="0"/>
        </w:rPr>
      </w:r>
      <w:bookmarkStart w:name="_bookmark1272" w:id="3191"/>
      <w:bookmarkEnd w:id="3191"/>
      <w:r>
        <w:rPr/>
        <w:t>Existing</w:t>
      </w:r>
      <w:r>
        <w:rPr/>
        <w:t> Connection</w:t>
      </w:r>
      <w:r>
        <w:rPr>
          <w:spacing w:val="-1"/>
        </w:rPr>
        <w:t> </w:t>
      </w:r>
      <w:r>
        <w:rPr/>
        <w:t>Agreements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Subject to paragraph (b), the Amending Rule is neither intended to have, nor is it to be read or construed as having, the effect</w:t>
      </w:r>
      <w:r>
        <w:rPr>
          <w:spacing w:val="-3"/>
          <w:sz w:val="24"/>
        </w:rPr>
        <w:t> </w:t>
      </w:r>
      <w:r>
        <w:rPr>
          <w:sz w:val="24"/>
        </w:rPr>
        <w:t>of:</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altering any of the terms of an Existing Connection Agreement (including the location of a </w:t>
      </w:r>
      <w:r>
        <w:rPr>
          <w:i/>
          <w:sz w:val="24"/>
        </w:rPr>
        <w:t>connection</w:t>
      </w:r>
      <w:r>
        <w:rPr>
          <w:i/>
          <w:spacing w:val="-1"/>
          <w:sz w:val="24"/>
        </w:rPr>
        <w:t> </w:t>
      </w:r>
      <w:r>
        <w:rPr>
          <w:i/>
          <w:sz w:val="24"/>
        </w:rPr>
        <w:t>point</w:t>
      </w:r>
      <w:r>
        <w:rPr>
          <w:sz w:val="24"/>
        </w:rPr>
        <w:t>);</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altering the contractual rights or obligations of any of the parties under an Existing Connection Agreement as between those parties;</w:t>
      </w:r>
      <w:r>
        <w:rPr>
          <w:spacing w:val="-5"/>
          <w:sz w:val="24"/>
        </w:rPr>
        <w:t> </w:t>
      </w:r>
      <w:r>
        <w:rPr>
          <w:sz w:val="24"/>
        </w:rPr>
        <w:t>or</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relieving the parties under any such Existing Connection Agreement of their contractual obligations under such an</w:t>
      </w:r>
      <w:r>
        <w:rPr>
          <w:spacing w:val="-4"/>
          <w:sz w:val="24"/>
        </w:rPr>
        <w:t> </w:t>
      </w:r>
      <w:r>
        <w:rPr>
          <w:sz w:val="24"/>
        </w:rPr>
        <w:t>agreement.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If a </w:t>
      </w:r>
      <w:r>
        <w:rPr>
          <w:i/>
          <w:sz w:val="24"/>
        </w:rPr>
        <w:t>Transmission Network User </w:t>
      </w:r>
      <w:r>
        <w:rPr>
          <w:sz w:val="24"/>
        </w:rPr>
        <w:t>under an Existing Connection Agreement requests an amendment to that Existing Connection Agreement after the commencement date for the purposes of altering a </w:t>
      </w:r>
      <w:r>
        <w:rPr>
          <w:i/>
          <w:sz w:val="24"/>
        </w:rPr>
        <w:t>connection service </w:t>
      </w:r>
      <w:r>
        <w:rPr>
          <w:sz w:val="24"/>
        </w:rPr>
        <w:t>provided under that agreement, then the </w:t>
      </w:r>
      <w:r>
        <w:rPr>
          <w:i/>
          <w:sz w:val="24"/>
        </w:rPr>
        <w:t>Rules </w:t>
      </w:r>
      <w:r>
        <w:rPr>
          <w:sz w:val="24"/>
        </w:rPr>
        <w:t>as amended by the Amending Rule apply to that</w:t>
      </w:r>
      <w:r>
        <w:rPr>
          <w:spacing w:val="-1"/>
          <w:sz w:val="24"/>
        </w:rPr>
        <w:t> </w:t>
      </w:r>
      <w:r>
        <w:rPr>
          <w:sz w:val="24"/>
        </w:rPr>
        <w:t>request.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Amending Rule is neither intended to have, nor is it to be read or construed as having, the effect of changing the application of clause 11.6.11 (if applicable) in relation to </w:t>
      </w:r>
      <w:r>
        <w:rPr>
          <w:i/>
          <w:sz w:val="24"/>
        </w:rPr>
        <w:t>connection services </w:t>
      </w:r>
      <w:r>
        <w:rPr>
          <w:sz w:val="24"/>
        </w:rPr>
        <w:t>provided under an Existing Connection</w:t>
      </w:r>
      <w:r>
        <w:rPr>
          <w:spacing w:val="-1"/>
          <w:sz w:val="24"/>
        </w:rPr>
        <w:t> </w:t>
      </w:r>
      <w:r>
        <w:rPr>
          <w:sz w:val="24"/>
        </w:rPr>
        <w:t>Agreement.</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8.6 Connection process" w:id="3192"/>
      <w:bookmarkEnd w:id="3192"/>
      <w:r>
        <w:rPr>
          <w:b w:val="0"/>
        </w:rPr>
      </w:r>
      <w:bookmarkStart w:name="_bookmark1273" w:id="3193"/>
      <w:bookmarkEnd w:id="3193"/>
      <w:r>
        <w:rPr>
          <w:b w:val="0"/>
        </w:rPr>
      </w:r>
      <w:bookmarkStart w:name="_bookmark1273" w:id="3194"/>
      <w:bookmarkEnd w:id="3194"/>
      <w:r>
        <w:rPr/>
        <w:t>Connectio</w:t>
      </w:r>
      <w:r>
        <w:rPr/>
        <w:t>n</w:t>
      </w:r>
      <w:r>
        <w:rPr>
          <w:spacing w:val="-2"/>
        </w:rPr>
        <w:t> </w:t>
      </w:r>
      <w:r>
        <w:rPr/>
        <w:t>process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If a </w:t>
      </w:r>
      <w:r>
        <w:rPr>
          <w:i/>
          <w:sz w:val="24"/>
        </w:rPr>
        <w:t>connection </w:t>
      </w:r>
      <w:r>
        <w:rPr>
          <w:sz w:val="24"/>
        </w:rPr>
        <w:t>enquiry was made to a </w:t>
      </w:r>
      <w:r>
        <w:rPr>
          <w:i/>
          <w:sz w:val="24"/>
        </w:rPr>
        <w:t>Transmission Network Service </w:t>
      </w:r>
      <w:r>
        <w:rPr>
          <w:i/>
          <w:sz w:val="24"/>
        </w:rPr>
        <w:t>Provider </w:t>
      </w:r>
      <w:r>
        <w:rPr>
          <w:sz w:val="24"/>
        </w:rPr>
        <w:t>by a </w:t>
      </w:r>
      <w:r>
        <w:rPr>
          <w:i/>
          <w:sz w:val="24"/>
        </w:rPr>
        <w:t>Connection Applicant </w:t>
      </w:r>
      <w:r>
        <w:rPr>
          <w:sz w:val="24"/>
        </w:rPr>
        <w:t>under clause 5.3.2 before</w:t>
      </w:r>
      <w:r>
        <w:rPr>
          <w:spacing w:val="30"/>
          <w:sz w:val="24"/>
        </w:rPr>
        <w:t> </w:t>
      </w:r>
      <w:r>
        <w:rPr>
          <w:sz w:val="24"/>
        </w:rPr>
        <w:t>the commencement date, the former Chapter 5 and Chapter 6A continue to apply to the </w:t>
      </w:r>
      <w:r>
        <w:rPr>
          <w:i/>
          <w:sz w:val="24"/>
        </w:rPr>
        <w:t>connection process </w:t>
      </w:r>
      <w:r>
        <w:rPr>
          <w:sz w:val="24"/>
        </w:rPr>
        <w:t>and negotiation for a </w:t>
      </w:r>
      <w:r>
        <w:rPr>
          <w:i/>
          <w:sz w:val="24"/>
        </w:rPr>
        <w:t>connection agreement </w:t>
      </w:r>
      <w:r>
        <w:rPr>
          <w:sz w:val="24"/>
        </w:rPr>
        <w:t>related to that </w:t>
      </w:r>
      <w:r>
        <w:rPr>
          <w:i/>
          <w:sz w:val="24"/>
        </w:rPr>
        <w:t>connection</w:t>
      </w:r>
      <w:r>
        <w:rPr>
          <w:i/>
          <w:spacing w:val="-1"/>
          <w:sz w:val="24"/>
        </w:rPr>
        <w:t> </w:t>
      </w:r>
      <w:r>
        <w:rPr>
          <w:i/>
          <w:sz w:val="24"/>
        </w:rPr>
        <w:t>enquiry</w:t>
      </w:r>
      <w:r>
        <w:rPr>
          <w:sz w:val="24"/>
        </w:rPr>
        <w: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Paragraph</w:t>
      </w:r>
      <w:r>
        <w:rPr>
          <w:spacing w:val="8"/>
          <w:sz w:val="24"/>
        </w:rPr>
        <w:t> </w:t>
      </w:r>
      <w:r>
        <w:rPr>
          <w:sz w:val="24"/>
        </w:rPr>
        <w:t>(a)</w:t>
      </w:r>
      <w:r>
        <w:rPr>
          <w:spacing w:val="9"/>
          <w:sz w:val="24"/>
        </w:rPr>
        <w:t> </w:t>
      </w:r>
      <w:r>
        <w:rPr>
          <w:sz w:val="24"/>
        </w:rPr>
        <w:t>does</w:t>
      </w:r>
      <w:r>
        <w:rPr>
          <w:spacing w:val="9"/>
          <w:sz w:val="24"/>
        </w:rPr>
        <w:t> </w:t>
      </w:r>
      <w:r>
        <w:rPr>
          <w:sz w:val="24"/>
        </w:rPr>
        <w:t>not</w:t>
      </w:r>
      <w:r>
        <w:rPr>
          <w:spacing w:val="8"/>
          <w:sz w:val="24"/>
        </w:rPr>
        <w:t> </w:t>
      </w:r>
      <w:r>
        <w:rPr>
          <w:sz w:val="24"/>
        </w:rPr>
        <w:t>prevent</w:t>
      </w:r>
      <w:r>
        <w:rPr>
          <w:spacing w:val="9"/>
          <w:sz w:val="24"/>
        </w:rPr>
        <w:t> </w:t>
      </w:r>
      <w:r>
        <w:rPr>
          <w:sz w:val="24"/>
        </w:rPr>
        <w:t>a</w:t>
      </w:r>
      <w:r>
        <w:rPr>
          <w:spacing w:val="9"/>
          <w:sz w:val="24"/>
        </w:rPr>
        <w:t> </w:t>
      </w:r>
      <w:r>
        <w:rPr>
          <w:i/>
          <w:sz w:val="24"/>
        </w:rPr>
        <w:t>Connection</w:t>
      </w:r>
      <w:r>
        <w:rPr>
          <w:i/>
          <w:spacing w:val="8"/>
          <w:sz w:val="24"/>
        </w:rPr>
        <w:t> </w:t>
      </w:r>
      <w:r>
        <w:rPr>
          <w:i/>
          <w:sz w:val="24"/>
        </w:rPr>
        <w:t>Applicant</w:t>
      </w:r>
      <w:r>
        <w:rPr>
          <w:i/>
          <w:spacing w:val="9"/>
          <w:sz w:val="24"/>
        </w:rPr>
        <w:t> </w:t>
      </w:r>
      <w:r>
        <w:rPr>
          <w:sz w:val="24"/>
        </w:rPr>
        <w:t>making</w:t>
      </w:r>
      <w:r>
        <w:rPr>
          <w:spacing w:val="9"/>
          <w:sz w:val="24"/>
        </w:rPr>
        <w:t> </w:t>
      </w:r>
      <w:r>
        <w:rPr>
          <w:sz w:val="24"/>
        </w:rPr>
        <w:t>a</w:t>
      </w:r>
      <w:r>
        <w:rPr>
          <w:spacing w:val="9"/>
          <w:sz w:val="24"/>
        </w:rPr>
        <w:t> </w:t>
      </w:r>
      <w:r>
        <w:rPr>
          <w:sz w:val="24"/>
        </w:rPr>
        <w:t>new</w:t>
      </w:r>
    </w:p>
    <w:p>
      <w:pPr>
        <w:spacing w:before="0"/>
        <w:ind w:left="1919" w:right="0" w:firstLine="0"/>
        <w:jc w:val="both"/>
        <w:rPr>
          <w:sz w:val="24"/>
        </w:rPr>
      </w:pPr>
      <w:r>
        <w:rPr>
          <w:i/>
          <w:sz w:val="24"/>
        </w:rPr>
        <w:t>connection enquiry </w:t>
      </w:r>
      <w:r>
        <w:rPr>
          <w:sz w:val="24"/>
        </w:rPr>
        <w:t>for that </w:t>
      </w:r>
      <w:r>
        <w:rPr>
          <w:i/>
          <w:sz w:val="24"/>
        </w:rPr>
        <w:t>connection </w:t>
      </w:r>
      <w:r>
        <w:rPr>
          <w:sz w:val="24"/>
        </w:rPr>
        <w:t>after the commencement date.</w:t>
      </w:r>
    </w:p>
    <w:p>
      <w:pPr>
        <w:spacing w:after="0"/>
        <w:jc w:val="both"/>
        <w:rPr>
          <w:sz w:val="24"/>
        </w:rPr>
        <w:sectPr>
          <w:pgSz w:w="11910" w:h="16840"/>
          <w:pgMar w:header="686" w:footer="637" w:top="1320" w:bottom="820" w:left="1200" w:right="1000"/>
        </w:sectPr>
      </w:pPr>
    </w:p>
    <w:p>
      <w:pPr>
        <w:pStyle w:val="Heading4"/>
        <w:numPr>
          <w:ilvl w:val="2"/>
          <w:numId w:val="850"/>
        </w:numPr>
        <w:tabs>
          <w:tab w:pos="1351" w:val="left" w:leader="none"/>
          <w:tab w:pos="1352" w:val="left" w:leader="none"/>
        </w:tabs>
        <w:spacing w:line="240" w:lineRule="auto" w:before="83" w:after="0"/>
        <w:ind w:left="1351" w:right="0" w:hanging="1134"/>
        <w:jc w:val="left"/>
      </w:pPr>
      <w:bookmarkStart w:name="11.98.7 Transmission Annual Planning Rep" w:id="3195"/>
      <w:bookmarkEnd w:id="3195"/>
      <w:r>
        <w:rPr>
          <w:b w:val="0"/>
        </w:rPr>
      </w:r>
      <w:bookmarkStart w:name="_bookmark1274" w:id="3196"/>
      <w:bookmarkEnd w:id="3196"/>
      <w:r>
        <w:rPr>
          <w:b w:val="0"/>
        </w:rPr>
      </w:r>
      <w:bookmarkStart w:name="_bookmark1274" w:id="3197"/>
      <w:bookmarkEnd w:id="3197"/>
      <w:r>
        <w:rPr/>
        <w:t>Transmission</w:t>
      </w:r>
      <w:r>
        <w:rPr/>
        <w:t> Annual Planning</w:t>
      </w:r>
      <w:r>
        <w:rPr>
          <w:spacing w:val="-3"/>
        </w:rPr>
        <w:t> </w:t>
      </w:r>
      <w:r>
        <w:rPr/>
        <w:t>Report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publish the first TAPR Guidelines required under rule 5.14B by 31 December 2017 in accordance with the </w:t>
      </w:r>
      <w:r>
        <w:rPr>
          <w:i/>
          <w:sz w:val="24"/>
        </w:rPr>
        <w:t>transmission </w:t>
      </w:r>
      <w:r>
        <w:rPr>
          <w:i/>
          <w:sz w:val="24"/>
        </w:rPr>
        <w:t>consultation</w:t>
      </w:r>
      <w:r>
        <w:rPr>
          <w:i/>
          <w:spacing w:val="-1"/>
          <w:sz w:val="24"/>
        </w:rPr>
        <w:t> </w:t>
      </w:r>
      <w:r>
        <w:rPr>
          <w:i/>
          <w:sz w:val="24"/>
        </w:rPr>
        <w:t>procedures</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 </w:t>
      </w:r>
      <w:r>
        <w:rPr>
          <w:i/>
          <w:sz w:val="24"/>
        </w:rPr>
        <w:t>Transmission Network Service Provider </w:t>
      </w:r>
      <w:r>
        <w:rPr>
          <w:sz w:val="24"/>
        </w:rPr>
        <w:t>is not required to comply with Schedule 3 of the Amending Rule for a </w:t>
      </w:r>
      <w:r>
        <w:rPr>
          <w:i/>
          <w:sz w:val="24"/>
        </w:rPr>
        <w:t>Transmission Annual Planning </w:t>
      </w:r>
      <w:r>
        <w:rPr>
          <w:i/>
          <w:sz w:val="24"/>
        </w:rPr>
        <w:t>Report </w:t>
      </w:r>
      <w:r>
        <w:rPr>
          <w:sz w:val="24"/>
        </w:rPr>
        <w:t>if the date by which that report is required to be </w:t>
      </w:r>
      <w:r>
        <w:rPr>
          <w:i/>
          <w:sz w:val="24"/>
        </w:rPr>
        <w:t>published </w:t>
      </w:r>
      <w:r>
        <w:rPr>
          <w:sz w:val="24"/>
        </w:rPr>
        <w:t>is within six months of the publication of the TAPR Guidelines by the </w:t>
      </w:r>
      <w:r>
        <w:rPr>
          <w:i/>
          <w:sz w:val="24"/>
        </w:rPr>
        <w:t>AER </w:t>
      </w:r>
      <w:r>
        <w:rPr>
          <w:sz w:val="24"/>
        </w:rPr>
        <w:t>under paragraph (a).</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8.8 Preservation for adoptive jurisd" w:id="3198"/>
      <w:bookmarkEnd w:id="3198"/>
      <w:r>
        <w:rPr>
          <w:b w:val="0"/>
        </w:rPr>
      </w:r>
      <w:bookmarkStart w:name="_bookmark1275" w:id="3199"/>
      <w:bookmarkEnd w:id="3199"/>
      <w:r>
        <w:rPr>
          <w:b w:val="0"/>
        </w:rPr>
      </w:r>
      <w:bookmarkStart w:name="_bookmark1275" w:id="3200"/>
      <w:bookmarkEnd w:id="3200"/>
      <w:r>
        <w:rPr/>
        <w:t>Prese</w:t>
      </w:r>
      <w:r>
        <w:rPr/>
        <w:t>rvation for adoptive</w:t>
      </w:r>
      <w:r>
        <w:rPr>
          <w:spacing w:val="-3"/>
        </w:rPr>
        <w:t> </w:t>
      </w:r>
      <w:r>
        <w:rPr/>
        <w:t>jurisdictions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Subject to paragraph (b), for a </w:t>
      </w:r>
      <w:r>
        <w:rPr>
          <w:i/>
          <w:sz w:val="24"/>
        </w:rPr>
        <w:t>declared transmission system </w:t>
      </w:r>
      <w:r>
        <w:rPr>
          <w:sz w:val="24"/>
        </w:rPr>
        <w:t>of an </w:t>
      </w:r>
      <w:r>
        <w:rPr>
          <w:i/>
          <w:sz w:val="24"/>
        </w:rPr>
        <w:t>adoptive </w:t>
      </w:r>
      <w:r>
        <w:rPr>
          <w:i/>
          <w:sz w:val="24"/>
        </w:rPr>
        <w:t>jurisdiction</w:t>
      </w:r>
      <w:r>
        <w:rPr>
          <w:sz w:val="24"/>
        </w:rPr>
        <w:t>:</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former Chapter 6A continues to apply and the amendments made by the Amending Rule to Chapter 6A are of no</w:t>
      </w:r>
      <w:r>
        <w:rPr>
          <w:spacing w:val="-2"/>
          <w:sz w:val="24"/>
        </w:rPr>
        <w:t> </w:t>
      </w:r>
      <w:r>
        <w:rPr>
          <w:sz w:val="24"/>
        </w:rPr>
        <w:t>effect;</w:t>
      </w:r>
    </w:p>
    <w:p>
      <w:pPr>
        <w:pStyle w:val="ListParagraph"/>
        <w:numPr>
          <w:ilvl w:val="4"/>
          <w:numId w:val="850"/>
        </w:numPr>
        <w:tabs>
          <w:tab w:pos="2485" w:val="left" w:leader="none"/>
          <w:tab w:pos="2486" w:val="left" w:leader="none"/>
        </w:tabs>
        <w:spacing w:line="240" w:lineRule="auto" w:before="120" w:after="0"/>
        <w:ind w:left="2486" w:right="414" w:hanging="567"/>
        <w:jc w:val="left"/>
        <w:rPr>
          <w:sz w:val="24"/>
        </w:rPr>
      </w:pPr>
      <w:r>
        <w:rPr>
          <w:sz w:val="24"/>
        </w:rPr>
        <w:t>old rule 5.4A continues to apply and the deletion of rule 5.4A by the Amending Rule is of no</w:t>
      </w:r>
      <w:r>
        <w:rPr>
          <w:spacing w:val="-2"/>
          <w:sz w:val="24"/>
        </w:rPr>
        <w:t> </w:t>
      </w:r>
      <w:r>
        <w:rPr>
          <w:sz w:val="24"/>
        </w:rPr>
        <w:t>effect;</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old clause 5.3.6(i) continues to apply and the deletion of clause 5.3.6(i) by the Amending Rule is of no effect;</w:t>
      </w:r>
      <w:r>
        <w:rPr>
          <w:spacing w:val="-1"/>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new clause 5.3AA(e)(2) applies as amended</w:t>
      </w:r>
      <w:r>
        <w:rPr>
          <w:spacing w:val="-1"/>
          <w:sz w:val="24"/>
        </w:rPr>
        <w:t> </w:t>
      </w:r>
      <w:r>
        <w:rPr>
          <w:sz w:val="24"/>
        </w:rPr>
        <w:t>below:</w:t>
      </w:r>
    </w:p>
    <w:p>
      <w:pPr>
        <w:pStyle w:val="ListParagraph"/>
        <w:numPr>
          <w:ilvl w:val="5"/>
          <w:numId w:val="850"/>
        </w:numPr>
        <w:tabs>
          <w:tab w:pos="3052" w:val="left" w:leader="none"/>
          <w:tab w:pos="3053" w:val="left" w:leader="none"/>
        </w:tabs>
        <w:spacing w:line="240" w:lineRule="auto" w:before="120" w:after="0"/>
        <w:ind w:left="3053" w:right="415" w:hanging="567"/>
        <w:jc w:val="left"/>
        <w:rPr>
          <w:sz w:val="24"/>
        </w:rPr>
      </w:pPr>
      <w:r>
        <w:rPr>
          <w:sz w:val="24"/>
        </w:rPr>
        <w:t>insert the phrase "</w:t>
      </w:r>
      <w:r>
        <w:rPr>
          <w:i/>
          <w:sz w:val="24"/>
        </w:rPr>
        <w:t>transmission network user access or</w:t>
      </w:r>
      <w:r>
        <w:rPr>
          <w:sz w:val="24"/>
        </w:rPr>
        <w:t>" </w:t>
      </w:r>
      <w:r>
        <w:rPr>
          <w:spacing w:val="-3"/>
          <w:sz w:val="24"/>
        </w:rPr>
        <w:t>before </w:t>
      </w:r>
      <w:r>
        <w:rPr>
          <w:sz w:val="24"/>
        </w:rPr>
        <w:t>"</w:t>
      </w:r>
      <w:r>
        <w:rPr>
          <w:i/>
          <w:sz w:val="24"/>
        </w:rPr>
        <w:t>distribution network user access</w:t>
      </w:r>
      <w:r>
        <w:rPr>
          <w:sz w:val="24"/>
        </w:rPr>
        <w:t>";</w:t>
      </w:r>
      <w:r>
        <w:rPr>
          <w:spacing w:val="-2"/>
          <w:sz w:val="24"/>
        </w:rPr>
        <w:t> </w:t>
      </w:r>
      <w:r>
        <w:rPr>
          <w:sz w:val="24"/>
        </w:rPr>
        <w:t>and</w:t>
      </w:r>
    </w:p>
    <w:p>
      <w:pPr>
        <w:pStyle w:val="ListParagraph"/>
        <w:numPr>
          <w:ilvl w:val="5"/>
          <w:numId w:val="850"/>
        </w:numPr>
        <w:tabs>
          <w:tab w:pos="3052" w:val="left" w:leader="none"/>
          <w:tab w:pos="3054" w:val="left" w:leader="none"/>
          <w:tab w:pos="3830" w:val="left" w:leader="none"/>
          <w:tab w:pos="5400" w:val="left" w:leader="none"/>
          <w:tab w:pos="6511" w:val="left" w:leader="none"/>
          <w:tab w:pos="7214" w:val="left" w:leader="none"/>
          <w:tab w:pos="8071" w:val="left" w:leader="none"/>
        </w:tabs>
        <w:spacing w:line="240" w:lineRule="auto" w:before="120" w:after="0"/>
        <w:ind w:left="3053" w:right="415" w:hanging="567"/>
        <w:jc w:val="left"/>
        <w:rPr>
          <w:sz w:val="24"/>
        </w:rPr>
      </w:pPr>
      <w:r>
        <w:rPr>
          <w:sz w:val="24"/>
        </w:rPr>
        <w:t>insert</w:t>
        <w:tab/>
        <w:t>"</w:t>
      </w:r>
      <w:r>
        <w:rPr>
          <w:i/>
          <w:sz w:val="24"/>
        </w:rPr>
        <w:t>transmission</w:t>
        <w:tab/>
        <w:t>networks</w:t>
        <w:tab/>
        <w:t>and</w:t>
      </w:r>
      <w:r>
        <w:rPr>
          <w:sz w:val="24"/>
        </w:rPr>
        <w:t>"</w:t>
        <w:tab/>
        <w:t>before</w:t>
        <w:tab/>
      </w:r>
      <w:r>
        <w:rPr>
          <w:spacing w:val="-3"/>
          <w:sz w:val="24"/>
        </w:rPr>
        <w:t>"</w:t>
      </w:r>
      <w:r>
        <w:rPr>
          <w:i/>
          <w:spacing w:val="-3"/>
          <w:sz w:val="24"/>
        </w:rPr>
        <w:t>distribution </w:t>
      </w:r>
      <w:r>
        <w:rPr>
          <w:i/>
          <w:sz w:val="24"/>
        </w:rPr>
        <w:t>networks</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a provision in former Chapter 6A, old rule 5.4A or old clause 5.3.6(i) is amended, the provision as amended continues to apply in accordance with paragraph (a).</w:t>
      </w:r>
    </w:p>
    <w:p>
      <w:pPr>
        <w:pStyle w:val="BodyText"/>
        <w:spacing w:before="10"/>
        <w:ind w:firstLine="0"/>
        <w:jc w:val="left"/>
        <w:rPr>
          <w:sz w:val="20"/>
        </w:rPr>
      </w:pPr>
    </w:p>
    <w:p>
      <w:pPr>
        <w:pStyle w:val="Heading2"/>
        <w:tabs>
          <w:tab w:pos="9317" w:val="left" w:leader="none"/>
        </w:tabs>
      </w:pPr>
      <w:bookmarkStart w:name="Part ZZZA Replacement expenditure planni" w:id="3201"/>
      <w:bookmarkEnd w:id="3201"/>
      <w:r>
        <w:rPr>
          <w:b w:val="0"/>
        </w:rPr>
      </w:r>
      <w:bookmarkStart w:name="_bookmark1276" w:id="3202"/>
      <w:bookmarkEnd w:id="3202"/>
      <w:r>
        <w:rPr>
          <w:b w:val="0"/>
        </w:rPr>
      </w:r>
      <w:r>
        <w:rPr>
          <w:shd w:fill="D9D9D9" w:color="auto" w:val="clear"/>
        </w:rPr>
        <w:t>Part ZZZA Replacement expenditure planning</w:t>
      </w:r>
      <w:r>
        <w:rPr>
          <w:spacing w:val="1"/>
          <w:shd w:fill="D9D9D9" w:color="auto" w:val="clear"/>
        </w:rPr>
        <w:t> </w:t>
      </w:r>
      <w:r>
        <w:rPr>
          <w:shd w:fill="D9D9D9" w:color="auto" w:val="clear"/>
        </w:rPr>
        <w:t>arrangements</w:t>
        <w:tab/>
      </w:r>
    </w:p>
    <w:p>
      <w:pPr>
        <w:pStyle w:val="Heading3"/>
        <w:numPr>
          <w:ilvl w:val="1"/>
          <w:numId w:val="850"/>
        </w:numPr>
        <w:tabs>
          <w:tab w:pos="1351" w:val="left" w:leader="none"/>
          <w:tab w:pos="1353" w:val="left" w:leader="none"/>
        </w:tabs>
        <w:spacing w:line="240" w:lineRule="auto" w:before="240" w:after="0"/>
        <w:ind w:left="1352" w:right="495" w:hanging="1134"/>
        <w:jc w:val="left"/>
      </w:pPr>
      <w:bookmarkStart w:name="11.99 Rules consequential on the making " w:id="3203"/>
      <w:bookmarkEnd w:id="3203"/>
      <w:r>
        <w:rPr>
          <w:b w:val="0"/>
        </w:rPr>
      </w:r>
      <w:bookmarkStart w:name="_bookmark1277" w:id="3204"/>
      <w:bookmarkEnd w:id="3204"/>
      <w:r>
        <w:rPr>
          <w:b w:val="0"/>
        </w:rPr>
      </w:r>
      <w:bookmarkStart w:name="_bookmark1277" w:id="3205"/>
      <w:bookmarkEnd w:id="3205"/>
      <w:r>
        <w:rPr/>
        <w:t>Rul</w:t>
      </w:r>
      <w:r>
        <w:rPr/>
        <w:t>es consequential on the making of the National Electricity Amendment (Replacement expenditure planning arrangements) Rule</w:t>
      </w:r>
      <w:r>
        <w:rPr>
          <w:spacing w:val="-2"/>
        </w:rPr>
        <w:t> </w:t>
      </w:r>
      <w:r>
        <w:rPr/>
        <w:t>2017</w:t>
      </w:r>
    </w:p>
    <w:p>
      <w:pPr>
        <w:pStyle w:val="Heading4"/>
        <w:numPr>
          <w:ilvl w:val="2"/>
          <w:numId w:val="850"/>
        </w:numPr>
        <w:tabs>
          <w:tab w:pos="1351" w:val="left" w:leader="none"/>
          <w:tab w:pos="1352" w:val="left" w:leader="none"/>
        </w:tabs>
        <w:spacing w:line="240" w:lineRule="auto" w:before="240" w:after="0"/>
        <w:ind w:left="1351" w:right="0" w:hanging="1134"/>
        <w:jc w:val="left"/>
      </w:pPr>
      <w:bookmarkStart w:name="11.99.1 Definitions" w:id="3206"/>
      <w:bookmarkEnd w:id="3206"/>
      <w:r>
        <w:rPr>
          <w:b w:val="0"/>
        </w:rPr>
      </w:r>
      <w:bookmarkStart w:name="_bookmark1278" w:id="3207"/>
      <w:bookmarkEnd w:id="3207"/>
      <w:r>
        <w:rPr>
          <w:b w:val="0"/>
        </w:rPr>
      </w:r>
      <w:bookmarkStart w:name="_bookmark1278" w:id="3208"/>
      <w:bookmarkEnd w:id="3208"/>
      <w:r>
        <w:rPr/>
        <w:t>Definition</w:t>
      </w:r>
      <w:r>
        <w:rPr/>
        <w:t>s</w:t>
      </w:r>
    </w:p>
    <w:p>
      <w:pPr>
        <w:pStyle w:val="BodyText"/>
        <w:ind w:left="1352" w:firstLine="0"/>
        <w:jc w:val="left"/>
      </w:pPr>
      <w:r>
        <w:rPr/>
        <w:t>For the purposes of this rule 11.99:</w:t>
      </w:r>
    </w:p>
    <w:p>
      <w:pPr>
        <w:spacing w:before="120"/>
        <w:ind w:left="1352" w:right="415" w:firstLine="0"/>
        <w:jc w:val="left"/>
        <w:rPr>
          <w:sz w:val="24"/>
        </w:rPr>
      </w:pPr>
      <w:r>
        <w:rPr>
          <w:b/>
          <w:sz w:val="24"/>
        </w:rPr>
        <w:t>affected DNSP </w:t>
      </w:r>
      <w:r>
        <w:rPr>
          <w:sz w:val="24"/>
        </w:rPr>
        <w:t>means each of the following </w:t>
      </w:r>
      <w:r>
        <w:rPr>
          <w:i/>
          <w:sz w:val="24"/>
        </w:rPr>
        <w:t>Distribution Network Service </w:t>
      </w:r>
      <w:r>
        <w:rPr>
          <w:i/>
          <w:sz w:val="24"/>
        </w:rPr>
        <w:t>Providers</w:t>
      </w:r>
      <w:r>
        <w:rPr>
          <w:sz w:val="24"/>
        </w:rPr>
        <w:t>:</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Energex Limited ACN 078 849 055 or any successor business;</w:t>
      </w:r>
      <w:r>
        <w:rPr>
          <w:spacing w:val="-6"/>
          <w:sz w:val="24"/>
        </w:rPr>
        <w:t> </w:t>
      </w:r>
      <w:r>
        <w:rPr>
          <w:sz w:val="24"/>
        </w:rPr>
        <w:t>and</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Ergon Energy Corporation Limited ACN 087 646 062 or any successor business.</w:t>
      </w:r>
    </w:p>
    <w:p>
      <w:pPr>
        <w:pStyle w:val="BodyText"/>
        <w:ind w:left="1352" w:right="415" w:firstLine="0"/>
        <w:jc w:val="left"/>
      </w:pPr>
      <w:r>
        <w:rPr>
          <w:b/>
        </w:rPr>
        <w:t>Amending Rule </w:t>
      </w:r>
      <w:r>
        <w:rPr/>
        <w:t>means the National Electricity Amendment (Replacement expenditure planning arrangements) Rule 2017.</w:t>
      </w:r>
    </w:p>
    <w:p>
      <w:pPr>
        <w:spacing w:after="0"/>
        <w:jc w:val="left"/>
        <w:sectPr>
          <w:pgSz w:w="11910" w:h="16840"/>
          <w:pgMar w:header="686" w:footer="637" w:top="1320" w:bottom="820" w:left="1200" w:right="1000"/>
        </w:sectPr>
      </w:pPr>
    </w:p>
    <w:p>
      <w:pPr>
        <w:pStyle w:val="BodyText"/>
        <w:spacing w:before="83"/>
        <w:ind w:left="1352" w:right="415" w:firstLine="0"/>
      </w:pPr>
      <w:r>
        <w:rPr>
          <w:b/>
        </w:rPr>
        <w:t>excluded project </w:t>
      </w:r>
      <w:r>
        <w:rPr/>
        <w:t>means, in respect of a </w:t>
      </w:r>
      <w:r>
        <w:rPr>
          <w:i/>
        </w:rPr>
        <w:t>Network Service Provider</w:t>
      </w:r>
      <w:r>
        <w:rPr/>
        <w:t>, a project for the refurbishment or replacement of </w:t>
      </w:r>
      <w:r>
        <w:rPr>
          <w:i/>
        </w:rPr>
        <w:t>network </w:t>
      </w:r>
      <w:r>
        <w:rPr/>
        <w:t>assets which satisfies, on or prior to 30 January 2018, the criteria which a project needs to satisfy to be a "committed project" under:</w:t>
      </w:r>
    </w:p>
    <w:p>
      <w:pPr>
        <w:pStyle w:val="ListParagraph"/>
        <w:numPr>
          <w:ilvl w:val="0"/>
          <w:numId w:val="851"/>
        </w:numPr>
        <w:tabs>
          <w:tab w:pos="1919" w:val="left" w:leader="none"/>
        </w:tabs>
        <w:spacing w:line="240" w:lineRule="auto" w:before="120" w:after="0"/>
        <w:ind w:left="1918" w:right="0" w:hanging="567"/>
        <w:jc w:val="both"/>
        <w:rPr>
          <w:i/>
          <w:sz w:val="24"/>
        </w:rPr>
      </w:pPr>
      <w:r>
        <w:rPr>
          <w:sz w:val="24"/>
        </w:rPr>
        <w:t>in the case of a RIT-D project, the </w:t>
      </w:r>
      <w:r>
        <w:rPr>
          <w:i/>
          <w:sz w:val="24"/>
        </w:rPr>
        <w:t>regulatory investment test for</w:t>
      </w:r>
      <w:r>
        <w:rPr>
          <w:i/>
          <w:spacing w:val="4"/>
          <w:sz w:val="24"/>
        </w:rPr>
        <w:t> </w:t>
      </w:r>
      <w:r>
        <w:rPr>
          <w:i/>
          <w:sz w:val="24"/>
        </w:rPr>
        <w:t>distribution</w:t>
      </w:r>
    </w:p>
    <w:p>
      <w:pPr>
        <w:pStyle w:val="BodyText"/>
        <w:spacing w:before="0"/>
        <w:ind w:left="1919" w:firstLine="0"/>
      </w:pPr>
      <w:r>
        <w:rPr/>
        <w:t>as in force on the first commencement date; or</w:t>
      </w:r>
    </w:p>
    <w:p>
      <w:pPr>
        <w:pStyle w:val="ListParagraph"/>
        <w:numPr>
          <w:ilvl w:val="0"/>
          <w:numId w:val="851"/>
        </w:numPr>
        <w:tabs>
          <w:tab w:pos="1919" w:val="left" w:leader="none"/>
        </w:tabs>
        <w:spacing w:line="240" w:lineRule="auto" w:before="120" w:after="0"/>
        <w:ind w:left="1919" w:right="415" w:hanging="567"/>
        <w:jc w:val="both"/>
        <w:rPr>
          <w:sz w:val="24"/>
        </w:rPr>
      </w:pPr>
      <w:r>
        <w:rPr>
          <w:sz w:val="24"/>
        </w:rPr>
        <w:t>in the case of a RIT-T project, the </w:t>
      </w:r>
      <w:r>
        <w:rPr>
          <w:i/>
          <w:sz w:val="24"/>
        </w:rPr>
        <w:t>regulatory investment test for </w:t>
      </w:r>
      <w:r>
        <w:rPr>
          <w:i/>
          <w:sz w:val="24"/>
        </w:rPr>
        <w:t>transmission </w:t>
      </w:r>
      <w:r>
        <w:rPr>
          <w:sz w:val="24"/>
        </w:rPr>
        <w:t>as in force on the first commencement</w:t>
      </w:r>
      <w:r>
        <w:rPr>
          <w:spacing w:val="-2"/>
          <w:sz w:val="24"/>
        </w:rPr>
        <w:t> </w:t>
      </w:r>
      <w:r>
        <w:rPr>
          <w:sz w:val="24"/>
        </w:rPr>
        <w:t>date.</w:t>
      </w:r>
    </w:p>
    <w:p>
      <w:pPr>
        <w:spacing w:before="120"/>
        <w:ind w:left="1352" w:right="415" w:firstLine="0"/>
        <w:jc w:val="both"/>
        <w:rPr>
          <w:sz w:val="24"/>
        </w:rPr>
      </w:pPr>
      <w:r>
        <w:rPr>
          <w:b/>
          <w:sz w:val="24"/>
        </w:rPr>
        <w:t>first commencement date </w:t>
      </w:r>
      <w:r>
        <w:rPr>
          <w:sz w:val="24"/>
        </w:rPr>
        <w:t>means the date of commencement of Schedule 1 of the Amending Rule.</w:t>
      </w:r>
    </w:p>
    <w:p>
      <w:pPr>
        <w:spacing w:before="120"/>
        <w:ind w:left="1352" w:right="414" w:firstLine="0"/>
        <w:jc w:val="both"/>
        <w:rPr>
          <w:sz w:val="24"/>
        </w:rPr>
      </w:pPr>
      <w:r>
        <w:rPr>
          <w:b/>
          <w:sz w:val="24"/>
        </w:rPr>
        <w:t>old clause 5.16.3 </w:t>
      </w:r>
      <w:r>
        <w:rPr>
          <w:sz w:val="24"/>
        </w:rPr>
        <w:t>means clause 5.16.3 of the </w:t>
      </w:r>
      <w:r>
        <w:rPr>
          <w:i/>
          <w:sz w:val="24"/>
        </w:rPr>
        <w:t>Rules </w:t>
      </w:r>
      <w:r>
        <w:rPr>
          <w:sz w:val="24"/>
        </w:rPr>
        <w:t>(and all related definitions </w:t>
      </w:r>
      <w:r>
        <w:rPr>
          <w:spacing w:val="-4"/>
          <w:sz w:val="24"/>
        </w:rPr>
        <w:t>and </w:t>
      </w:r>
      <w:r>
        <w:rPr>
          <w:sz w:val="24"/>
        </w:rPr>
        <w:t>provisions of the </w:t>
      </w:r>
      <w:r>
        <w:rPr>
          <w:i/>
          <w:sz w:val="24"/>
        </w:rPr>
        <w:t>Rules </w:t>
      </w:r>
      <w:r>
        <w:rPr>
          <w:sz w:val="24"/>
        </w:rPr>
        <w:t>amended by the Amending Rule), the </w:t>
      </w:r>
      <w:r>
        <w:rPr>
          <w:i/>
          <w:sz w:val="24"/>
        </w:rPr>
        <w:t>regulatory </w:t>
      </w:r>
      <w:r>
        <w:rPr>
          <w:i/>
          <w:sz w:val="24"/>
        </w:rPr>
        <w:t>investment test for transmission </w:t>
      </w:r>
      <w:r>
        <w:rPr>
          <w:sz w:val="24"/>
        </w:rPr>
        <w:t>and RIT-T application guidelines made by the </w:t>
      </w:r>
      <w:r>
        <w:rPr>
          <w:i/>
          <w:sz w:val="24"/>
        </w:rPr>
        <w:t>AER</w:t>
      </w:r>
      <w:r>
        <w:rPr>
          <w:sz w:val="24"/>
        </w:rPr>
        <w:t>, each as in force immediately prior to the first commencement</w:t>
      </w:r>
      <w:r>
        <w:rPr>
          <w:spacing w:val="-4"/>
          <w:sz w:val="24"/>
        </w:rPr>
        <w:t> </w:t>
      </w:r>
      <w:r>
        <w:rPr>
          <w:sz w:val="24"/>
        </w:rPr>
        <w:t>date.</w:t>
      </w:r>
    </w:p>
    <w:p>
      <w:pPr>
        <w:spacing w:before="120"/>
        <w:ind w:left="1352" w:right="414" w:firstLine="0"/>
        <w:jc w:val="both"/>
        <w:rPr>
          <w:sz w:val="24"/>
        </w:rPr>
      </w:pPr>
      <w:r>
        <w:rPr>
          <w:b/>
          <w:sz w:val="24"/>
        </w:rPr>
        <w:t>old clause 5.17.3 </w:t>
      </w:r>
      <w:r>
        <w:rPr>
          <w:sz w:val="24"/>
        </w:rPr>
        <w:t>means clause 5.17.3 of the </w:t>
      </w:r>
      <w:r>
        <w:rPr>
          <w:i/>
          <w:sz w:val="24"/>
        </w:rPr>
        <w:t>Rules </w:t>
      </w:r>
      <w:r>
        <w:rPr>
          <w:sz w:val="24"/>
        </w:rPr>
        <w:t>(and all related definitions and provisions of the </w:t>
      </w:r>
      <w:r>
        <w:rPr>
          <w:i/>
          <w:sz w:val="24"/>
        </w:rPr>
        <w:t>Rules </w:t>
      </w:r>
      <w:r>
        <w:rPr>
          <w:sz w:val="24"/>
        </w:rPr>
        <w:t>amended by the Amending Rule), the </w:t>
      </w:r>
      <w:r>
        <w:rPr>
          <w:i/>
          <w:sz w:val="24"/>
        </w:rPr>
        <w:t>regulatory </w:t>
      </w:r>
      <w:r>
        <w:rPr>
          <w:i/>
          <w:sz w:val="24"/>
        </w:rPr>
        <w:t>investment test for distribution </w:t>
      </w:r>
      <w:r>
        <w:rPr>
          <w:sz w:val="24"/>
        </w:rPr>
        <w:t>and RIT-D application guidelines made by the </w:t>
      </w:r>
      <w:r>
        <w:rPr>
          <w:i/>
          <w:sz w:val="24"/>
        </w:rPr>
        <w:t>AER</w:t>
      </w:r>
      <w:r>
        <w:rPr>
          <w:sz w:val="24"/>
        </w:rPr>
        <w:t>, each as in force immediately prior to the first commencement</w:t>
      </w:r>
      <w:r>
        <w:rPr>
          <w:spacing w:val="-4"/>
          <w:sz w:val="24"/>
        </w:rPr>
        <w:t> </w:t>
      </w:r>
      <w:r>
        <w:rPr>
          <w:sz w:val="24"/>
        </w:rPr>
        <w:t>date.</w:t>
      </w:r>
    </w:p>
    <w:p>
      <w:pPr>
        <w:pStyle w:val="BodyText"/>
        <w:ind w:left="1352" w:right="415" w:firstLine="0"/>
      </w:pPr>
      <w:r>
        <w:rPr>
          <w:b/>
        </w:rPr>
        <w:t>old schedule 5.8 </w:t>
      </w:r>
      <w:r>
        <w:rPr/>
        <w:t>means schedule 5.8 of the </w:t>
      </w:r>
      <w:r>
        <w:rPr>
          <w:i/>
        </w:rPr>
        <w:t>Rules </w:t>
      </w:r>
      <w:r>
        <w:rPr/>
        <w:t>(and all related definitions and provisions of the </w:t>
      </w:r>
      <w:r>
        <w:rPr>
          <w:i/>
        </w:rPr>
        <w:t>Rules </w:t>
      </w:r>
      <w:r>
        <w:rPr/>
        <w:t>amended by the Amending Rule) as in force immediately prior to the first commencement date.</w:t>
      </w:r>
    </w:p>
    <w:p>
      <w:pPr>
        <w:spacing w:before="120"/>
        <w:ind w:left="1352" w:right="415" w:firstLine="0"/>
        <w:jc w:val="both"/>
        <w:rPr>
          <w:sz w:val="24"/>
        </w:rPr>
      </w:pPr>
      <w:r>
        <w:rPr>
          <w:b/>
          <w:sz w:val="24"/>
        </w:rPr>
        <w:t>RIT-D application guidelines </w:t>
      </w:r>
      <w:r>
        <w:rPr>
          <w:sz w:val="24"/>
        </w:rPr>
        <w:t>means the guidelines developed and </w:t>
      </w:r>
      <w:r>
        <w:rPr>
          <w:i/>
          <w:sz w:val="24"/>
        </w:rPr>
        <w:t>published </w:t>
      </w:r>
      <w:r>
        <w:rPr>
          <w:sz w:val="24"/>
        </w:rPr>
        <w:t>by the </w:t>
      </w:r>
      <w:r>
        <w:rPr>
          <w:i/>
          <w:sz w:val="24"/>
        </w:rPr>
        <w:t>AER </w:t>
      </w:r>
      <w:r>
        <w:rPr>
          <w:sz w:val="24"/>
        </w:rPr>
        <w:t>in accordance with clause 5.17.2 as in force from time to</w:t>
      </w:r>
      <w:r>
        <w:rPr>
          <w:spacing w:val="-6"/>
          <w:sz w:val="24"/>
        </w:rPr>
        <w:t> </w:t>
      </w:r>
      <w:r>
        <w:rPr>
          <w:sz w:val="24"/>
        </w:rPr>
        <w:t>time.</w:t>
      </w:r>
    </w:p>
    <w:p>
      <w:pPr>
        <w:spacing w:before="120"/>
        <w:ind w:left="1352" w:right="415" w:firstLine="0"/>
        <w:jc w:val="both"/>
        <w:rPr>
          <w:sz w:val="24"/>
        </w:rPr>
      </w:pPr>
      <w:r>
        <w:rPr>
          <w:b/>
          <w:sz w:val="24"/>
        </w:rPr>
        <w:t>RIT-T application guidelines </w:t>
      </w:r>
      <w:r>
        <w:rPr>
          <w:sz w:val="24"/>
        </w:rPr>
        <w:t>means the guidelines developed and </w:t>
      </w:r>
      <w:r>
        <w:rPr>
          <w:i/>
          <w:sz w:val="24"/>
        </w:rPr>
        <w:t>published </w:t>
      </w:r>
      <w:r>
        <w:rPr>
          <w:sz w:val="24"/>
        </w:rPr>
        <w:t>by the </w:t>
      </w:r>
      <w:r>
        <w:rPr>
          <w:i/>
          <w:sz w:val="24"/>
        </w:rPr>
        <w:t>AER </w:t>
      </w:r>
      <w:r>
        <w:rPr>
          <w:sz w:val="24"/>
        </w:rPr>
        <w:t>in accordance with clause 5.16.2 as in force from time to</w:t>
      </w:r>
      <w:r>
        <w:rPr>
          <w:spacing w:val="-6"/>
          <w:sz w:val="24"/>
        </w:rPr>
        <w:t> </w:t>
      </w:r>
      <w:r>
        <w:rPr>
          <w:sz w:val="24"/>
        </w:rPr>
        <w:t>time.</w:t>
      </w:r>
    </w:p>
    <w:p>
      <w:pPr>
        <w:spacing w:before="120"/>
        <w:ind w:left="1352" w:right="0" w:firstLine="0"/>
        <w:jc w:val="both"/>
        <w:rPr>
          <w:sz w:val="24"/>
        </w:rPr>
      </w:pPr>
      <w:r>
        <w:rPr>
          <w:b/>
          <w:sz w:val="24"/>
        </w:rPr>
        <w:t>RIT documentation </w:t>
      </w:r>
      <w:r>
        <w:rPr>
          <w:sz w:val="24"/>
        </w:rPr>
        <w:t>means each of:</w:t>
      </w:r>
    </w:p>
    <w:p>
      <w:pPr>
        <w:pStyle w:val="ListParagraph"/>
        <w:numPr>
          <w:ilvl w:val="0"/>
          <w:numId w:val="85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regulatory investment test for</w:t>
      </w:r>
      <w:r>
        <w:rPr>
          <w:i/>
          <w:spacing w:val="-2"/>
          <w:sz w:val="24"/>
        </w:rPr>
        <w:t> </w:t>
      </w:r>
      <w:r>
        <w:rPr>
          <w:i/>
          <w:sz w:val="24"/>
        </w:rPr>
        <w:t>transmission</w:t>
      </w:r>
      <w:r>
        <w:rPr>
          <w:sz w:val="24"/>
        </w:rPr>
        <w:t>;</w:t>
      </w:r>
    </w:p>
    <w:p>
      <w:pPr>
        <w:pStyle w:val="ListParagraph"/>
        <w:numPr>
          <w:ilvl w:val="0"/>
          <w:numId w:val="852"/>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regulatory investment test for</w:t>
      </w:r>
      <w:r>
        <w:rPr>
          <w:i/>
          <w:spacing w:val="-3"/>
          <w:sz w:val="24"/>
        </w:rPr>
        <w:t> </w:t>
      </w:r>
      <w:r>
        <w:rPr>
          <w:i/>
          <w:sz w:val="24"/>
        </w:rPr>
        <w:t>distribution</w:t>
      </w:r>
      <w:r>
        <w:rPr>
          <w:sz w:val="24"/>
        </w:rPr>
        <w:t>;</w:t>
      </w:r>
    </w:p>
    <w:p>
      <w:pPr>
        <w:pStyle w:val="ListParagraph"/>
        <w:numPr>
          <w:ilvl w:val="0"/>
          <w:numId w:val="852"/>
        </w:numPr>
        <w:tabs>
          <w:tab w:pos="1918" w:val="left" w:leader="none"/>
          <w:tab w:pos="1919" w:val="left" w:leader="none"/>
        </w:tabs>
        <w:spacing w:line="240" w:lineRule="auto" w:before="120" w:after="0"/>
        <w:ind w:left="1918" w:right="0" w:hanging="567"/>
        <w:jc w:val="left"/>
        <w:rPr>
          <w:sz w:val="24"/>
        </w:rPr>
      </w:pPr>
      <w:r>
        <w:rPr>
          <w:sz w:val="24"/>
        </w:rPr>
        <w:t>the RIT-T application guidelines;</w:t>
      </w:r>
      <w:r>
        <w:rPr>
          <w:spacing w:val="-1"/>
          <w:sz w:val="24"/>
        </w:rPr>
        <w:t> </w:t>
      </w:r>
      <w:r>
        <w:rPr>
          <w:sz w:val="24"/>
        </w:rPr>
        <w:t>and</w:t>
      </w:r>
    </w:p>
    <w:p>
      <w:pPr>
        <w:pStyle w:val="ListParagraph"/>
        <w:numPr>
          <w:ilvl w:val="0"/>
          <w:numId w:val="852"/>
        </w:numPr>
        <w:tabs>
          <w:tab w:pos="1918" w:val="left" w:leader="none"/>
          <w:tab w:pos="1919" w:val="left" w:leader="none"/>
        </w:tabs>
        <w:spacing w:line="240" w:lineRule="auto" w:before="120" w:after="0"/>
        <w:ind w:left="1918" w:right="0" w:hanging="567"/>
        <w:jc w:val="left"/>
        <w:rPr>
          <w:sz w:val="24"/>
        </w:rPr>
      </w:pPr>
      <w:r>
        <w:rPr>
          <w:sz w:val="24"/>
        </w:rPr>
        <w:t>the RIT-D application</w:t>
      </w:r>
      <w:r>
        <w:rPr>
          <w:spacing w:val="-1"/>
          <w:sz w:val="24"/>
        </w:rPr>
        <w:t> </w:t>
      </w:r>
      <w:r>
        <w:rPr>
          <w:sz w:val="24"/>
        </w:rPr>
        <w:t>guidelines.</w:t>
      </w:r>
    </w:p>
    <w:p>
      <w:pPr>
        <w:spacing w:before="120"/>
        <w:ind w:left="1352" w:right="415" w:firstLine="0"/>
        <w:jc w:val="both"/>
        <w:rPr>
          <w:sz w:val="24"/>
        </w:rPr>
      </w:pPr>
      <w:r>
        <w:rPr>
          <w:b/>
          <w:sz w:val="24"/>
        </w:rPr>
        <w:t>second commencement date </w:t>
      </w:r>
      <w:r>
        <w:rPr>
          <w:sz w:val="24"/>
        </w:rPr>
        <w:t>means the date of commencement of Schedule 2 of the Amending Rule.</w:t>
      </w:r>
    </w:p>
    <w:p>
      <w:pPr>
        <w:spacing w:before="120"/>
        <w:ind w:left="1352" w:right="414" w:firstLine="0"/>
        <w:jc w:val="both"/>
        <w:rPr>
          <w:sz w:val="24"/>
        </w:rPr>
      </w:pPr>
      <w:r>
        <w:rPr>
          <w:b/>
          <w:sz w:val="24"/>
        </w:rPr>
        <w:t>Victorian bushfire mitigation project </w:t>
      </w:r>
      <w:r>
        <w:rPr>
          <w:sz w:val="24"/>
        </w:rPr>
        <w:t>means a RIT-D project for the refurbishment or replacement of </w:t>
      </w:r>
      <w:r>
        <w:rPr>
          <w:i/>
          <w:sz w:val="24"/>
        </w:rPr>
        <w:t>network </w:t>
      </w:r>
      <w:r>
        <w:rPr>
          <w:sz w:val="24"/>
        </w:rPr>
        <w:t>assets by a Victorian DNSP in order to meet its obligations under clause 7(1)(ha)(i) and (3)(a)(ii) of the </w:t>
      </w:r>
      <w:r>
        <w:rPr>
          <w:i/>
          <w:sz w:val="24"/>
        </w:rPr>
        <w:t>Electricity Safety </w:t>
      </w:r>
      <w:r>
        <w:rPr>
          <w:i/>
          <w:sz w:val="24"/>
        </w:rPr>
        <w:t>(Bushfire Mitigation) Regulations 2013 (VIC)</w:t>
      </w:r>
      <w:r>
        <w:rPr>
          <w:sz w:val="24"/>
        </w:rPr>
        <w:t>, as in force immediately prior to the first commencement date.</w:t>
      </w:r>
    </w:p>
    <w:p>
      <w:pPr>
        <w:spacing w:before="120"/>
        <w:ind w:left="1352" w:right="417" w:firstLine="0"/>
        <w:jc w:val="both"/>
        <w:rPr>
          <w:sz w:val="24"/>
        </w:rPr>
      </w:pPr>
      <w:r>
        <w:rPr>
          <w:b/>
          <w:sz w:val="24"/>
        </w:rPr>
        <w:t>Victorian DNSP </w:t>
      </w:r>
      <w:r>
        <w:rPr>
          <w:sz w:val="24"/>
        </w:rPr>
        <w:t>means a DNSP for a </w:t>
      </w:r>
      <w:r>
        <w:rPr>
          <w:i/>
          <w:sz w:val="24"/>
        </w:rPr>
        <w:t>distribution network </w:t>
      </w:r>
      <w:r>
        <w:rPr>
          <w:sz w:val="24"/>
        </w:rPr>
        <w:t>situated wholly or partly within Victoria.</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9.2 Interpretation" w:id="3209"/>
      <w:bookmarkEnd w:id="3209"/>
      <w:r>
        <w:rPr>
          <w:b w:val="0"/>
        </w:rPr>
      </w:r>
      <w:bookmarkStart w:name="_bookmark1279" w:id="3210"/>
      <w:bookmarkEnd w:id="3210"/>
      <w:r>
        <w:rPr>
          <w:b w:val="0"/>
        </w:rPr>
      </w:r>
      <w:bookmarkStart w:name="_bookmark1279" w:id="3211"/>
      <w:bookmarkEnd w:id="3211"/>
      <w:r>
        <w:rPr/>
        <w:t>Interpretation</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Terms defined in clause 5.10.2 have the same meaning when used in this Part ZZZA unless a contrary intention</w:t>
      </w:r>
      <w:r>
        <w:rPr>
          <w:spacing w:val="-3"/>
          <w:sz w:val="24"/>
        </w:rPr>
        <w:t> </w:t>
      </w:r>
      <w:r>
        <w:rPr>
          <w:sz w:val="24"/>
        </w:rPr>
        <w:t>appears.</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9" w:val="left" w:leader="none"/>
        </w:tabs>
        <w:spacing w:line="240" w:lineRule="auto" w:before="83" w:after="0"/>
        <w:ind w:left="1919" w:right="414" w:hanging="567"/>
        <w:jc w:val="both"/>
        <w:rPr>
          <w:sz w:val="24"/>
        </w:rPr>
      </w:pPr>
      <w:r>
        <w:rPr>
          <w:sz w:val="24"/>
        </w:rPr>
        <w:t>Italicised terms used in this part ZZZA have the same meaning as in Chapter 10.</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9.3 Transitional arrangements for af" w:id="3212"/>
      <w:bookmarkEnd w:id="3212"/>
      <w:r>
        <w:rPr>
          <w:b w:val="0"/>
        </w:rPr>
      </w:r>
      <w:bookmarkStart w:name="_bookmark1280" w:id="3213"/>
      <w:bookmarkEnd w:id="3213"/>
      <w:r>
        <w:rPr>
          <w:b w:val="0"/>
        </w:rPr>
      </w:r>
      <w:bookmarkStart w:name="_bookmark1280" w:id="3214"/>
      <w:bookmarkEnd w:id="3214"/>
      <w:r>
        <w:rPr/>
        <w:t>Transitio</w:t>
      </w:r>
      <w:r>
        <w:rPr/>
        <w:t>nal arrangements for affected</w:t>
      </w:r>
      <w:r>
        <w:rPr>
          <w:spacing w:val="-5"/>
        </w:rPr>
        <w:t> </w:t>
      </w:r>
      <w:r>
        <w:rPr/>
        <w:t>DNSPs</w:t>
      </w:r>
    </w:p>
    <w:p>
      <w:pPr>
        <w:pStyle w:val="BodyText"/>
        <w:ind w:left="1352" w:right="565" w:firstLine="0"/>
        <w:jc w:val="left"/>
      </w:pPr>
      <w:r>
        <w:rPr/>
        <w:t>On and from the first commencement date until, but not including, 1 January 2018, old schedule 5.8 continues to apply to affected</w:t>
      </w:r>
      <w:r>
        <w:rPr>
          <w:spacing w:val="-4"/>
        </w:rPr>
        <w:t> </w:t>
      </w:r>
      <w:r>
        <w:rPr/>
        <w:t>DNSPs.</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9.4 Amendments to RIT documentation" w:id="3215"/>
      <w:bookmarkEnd w:id="3215"/>
      <w:r>
        <w:rPr>
          <w:b w:val="0"/>
        </w:rPr>
      </w:r>
      <w:bookmarkStart w:name="_bookmark1281" w:id="3216"/>
      <w:bookmarkEnd w:id="3216"/>
      <w:r>
        <w:rPr>
          <w:b w:val="0"/>
        </w:rPr>
      </w:r>
      <w:bookmarkStart w:name="_bookmark1281" w:id="3217"/>
      <w:bookmarkEnd w:id="3217"/>
      <w:r>
        <w:rPr/>
        <w:t>Amendment</w:t>
      </w:r>
      <w:r>
        <w:rPr/>
        <w:t>s to RIT</w:t>
      </w:r>
      <w:r>
        <w:rPr>
          <w:spacing w:val="-3"/>
        </w:rPr>
        <w:t> </w:t>
      </w:r>
      <w:r>
        <w:rPr/>
        <w:t>documentation</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no later than 18 September 2017, the </w:t>
      </w:r>
      <w:r>
        <w:rPr>
          <w:i/>
          <w:sz w:val="24"/>
        </w:rPr>
        <w:t>AER </w:t>
      </w:r>
      <w:r>
        <w:rPr>
          <w:sz w:val="24"/>
        </w:rPr>
        <w:t>must amend and </w:t>
      </w:r>
      <w:r>
        <w:rPr>
          <w:i/>
          <w:sz w:val="24"/>
        </w:rPr>
        <w:t>publish </w:t>
      </w:r>
      <w:r>
        <w:rPr>
          <w:sz w:val="24"/>
        </w:rPr>
        <w:t>the RIT documentation to take into account the Amending</w:t>
      </w:r>
      <w:r>
        <w:rPr>
          <w:spacing w:val="-3"/>
          <w:sz w:val="24"/>
        </w:rPr>
        <w:t> </w:t>
      </w:r>
      <w:r>
        <w:rPr>
          <w:sz w:val="24"/>
        </w:rPr>
        <w:t>Rule.</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In making the amendments to the RIT documentation required under paragraph (a), the</w:t>
      </w:r>
      <w:r>
        <w:rPr>
          <w:spacing w:val="-1"/>
          <w:sz w:val="24"/>
        </w:rPr>
        <w:t> </w:t>
      </w:r>
      <w:r>
        <w:rPr>
          <w:i/>
          <w:sz w:val="24"/>
        </w:rPr>
        <w:t>AER</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must only make amendments to the RIT Documentation to the extent required to take into account the Amending</w:t>
      </w:r>
      <w:r>
        <w:rPr>
          <w:spacing w:val="-1"/>
          <w:sz w:val="24"/>
        </w:rPr>
        <w:t> </w:t>
      </w:r>
      <w:r>
        <w:rPr>
          <w:sz w:val="24"/>
        </w:rPr>
        <w:t>Rule;</w:t>
      </w:r>
    </w:p>
    <w:p>
      <w:pPr>
        <w:pStyle w:val="ListParagraph"/>
        <w:numPr>
          <w:ilvl w:val="4"/>
          <w:numId w:val="850"/>
        </w:numPr>
        <w:tabs>
          <w:tab w:pos="2486" w:val="left" w:leader="none"/>
        </w:tabs>
        <w:spacing w:line="240" w:lineRule="auto" w:before="120" w:after="0"/>
        <w:ind w:left="2486" w:right="413" w:hanging="567"/>
        <w:jc w:val="both"/>
        <w:rPr>
          <w:sz w:val="24"/>
        </w:rPr>
      </w:pPr>
      <w:r>
        <w:rPr>
          <w:sz w:val="24"/>
        </w:rPr>
        <w:t>is not required to comply with the </w:t>
      </w:r>
      <w:r>
        <w:rPr>
          <w:i/>
          <w:sz w:val="24"/>
        </w:rPr>
        <w:t>transmission consultation </w:t>
      </w:r>
      <w:r>
        <w:rPr>
          <w:i/>
          <w:sz w:val="24"/>
        </w:rPr>
        <w:t>procedures </w:t>
      </w:r>
      <w:r>
        <w:rPr>
          <w:sz w:val="24"/>
        </w:rPr>
        <w:t>or the </w:t>
      </w:r>
      <w:r>
        <w:rPr>
          <w:i/>
          <w:sz w:val="24"/>
        </w:rPr>
        <w:t>distribution consultation procedures </w:t>
      </w:r>
      <w:r>
        <w:rPr>
          <w:sz w:val="24"/>
        </w:rPr>
        <w:t>(as the case may be);</w:t>
      </w:r>
      <w:r>
        <w:rPr>
          <w:spacing w:val="-1"/>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must consult with </w:t>
      </w:r>
      <w:r>
        <w:rPr>
          <w:i/>
          <w:sz w:val="24"/>
        </w:rPr>
        <w:t>Network Service Providers </w:t>
      </w:r>
      <w:r>
        <w:rPr>
          <w:sz w:val="24"/>
        </w:rPr>
        <w:t>and any other persons that the </w:t>
      </w:r>
      <w:r>
        <w:rPr>
          <w:i/>
          <w:sz w:val="24"/>
        </w:rPr>
        <w:t>AER </w:t>
      </w:r>
      <w:r>
        <w:rPr>
          <w:sz w:val="24"/>
        </w:rPr>
        <w:t>considers</w:t>
      </w:r>
      <w:r>
        <w:rPr>
          <w:spacing w:val="-1"/>
          <w:sz w:val="24"/>
        </w:rPr>
        <w:t> </w:t>
      </w:r>
      <w:r>
        <w:rPr>
          <w:sz w:val="24"/>
        </w:rPr>
        <w:t>appropriate.</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9.5 Transitional arrangements relati" w:id="3218"/>
      <w:bookmarkEnd w:id="3218"/>
      <w:r>
        <w:rPr>
          <w:b w:val="0"/>
        </w:rPr>
      </w:r>
      <w:bookmarkStart w:name="_bookmark1282" w:id="3219"/>
      <w:bookmarkEnd w:id="3219"/>
      <w:r>
        <w:rPr>
          <w:b w:val="0"/>
        </w:rPr>
      </w:r>
      <w:bookmarkStart w:name="_bookmark1282" w:id="3220"/>
      <w:bookmarkEnd w:id="3220"/>
      <w:r>
        <w:rPr/>
        <w:t>Transitio</w:t>
      </w:r>
      <w:r>
        <w:rPr/>
        <w:t>nal arrangements relating to excluded</w:t>
      </w:r>
      <w:r>
        <w:rPr>
          <w:spacing w:val="-8"/>
        </w:rPr>
        <w:t> </w:t>
      </w:r>
      <w:r>
        <w:rPr/>
        <w:t>projects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Each </w:t>
      </w:r>
      <w:r>
        <w:rPr>
          <w:i/>
          <w:sz w:val="24"/>
        </w:rPr>
        <w:t>Network Service Provider </w:t>
      </w:r>
      <w:r>
        <w:rPr>
          <w:sz w:val="24"/>
        </w:rPr>
        <w:t>must publish and maintain on its website a list of its excluded projects, which must</w:t>
      </w:r>
      <w:r>
        <w:rPr>
          <w:spacing w:val="-1"/>
          <w:sz w:val="24"/>
        </w:rPr>
        <w:t> </w:t>
      </w:r>
      <w:r>
        <w:rPr>
          <w:sz w:val="24"/>
        </w:rPr>
        <w:t>include:</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project</w:t>
      </w:r>
      <w:r>
        <w:rPr>
          <w:spacing w:val="-1"/>
          <w:sz w:val="24"/>
        </w:rPr>
        <w:t> </w:t>
      </w:r>
      <w:r>
        <w:rPr>
          <w:sz w:val="24"/>
        </w:rPr>
        <w:t>name;</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a brief description of the project;</w:t>
      </w:r>
      <w:r>
        <w:rPr>
          <w:spacing w:val="-1"/>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scheduled completion</w:t>
      </w:r>
      <w:r>
        <w:rPr>
          <w:spacing w:val="-2"/>
          <w:sz w:val="24"/>
        </w:rPr>
        <w:t> </w:t>
      </w:r>
      <w:r>
        <w:rPr>
          <w:sz w:val="24"/>
        </w:rPr>
        <w:t>date,</w:t>
      </w:r>
    </w:p>
    <w:p>
      <w:pPr>
        <w:pStyle w:val="BodyText"/>
        <w:ind w:left="1919" w:right="565" w:firstLine="0"/>
        <w:jc w:val="left"/>
      </w:pPr>
      <w:r>
        <w:rPr/>
        <w:t>on and from the second commencement date until completion of its excluded</w:t>
      </w:r>
      <w:r>
        <w:rPr>
          <w:spacing w:val="-1"/>
        </w:rPr>
        <w:t> </w:t>
      </w:r>
      <w:r>
        <w:rPr/>
        <w:t>projects.</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In respect of each </w:t>
      </w:r>
      <w:r>
        <w:rPr>
          <w:i/>
          <w:sz w:val="24"/>
        </w:rPr>
        <w:t>Network Service</w:t>
      </w:r>
      <w:r>
        <w:rPr>
          <w:i/>
          <w:spacing w:val="-1"/>
          <w:sz w:val="24"/>
        </w:rPr>
        <w:t> </w:t>
      </w:r>
      <w:r>
        <w:rPr>
          <w:i/>
          <w:sz w:val="24"/>
        </w:rPr>
        <w:t>Provider</w:t>
      </w:r>
      <w:r>
        <w:rPr>
          <w:sz w:val="24"/>
        </w:rPr>
        <w:t>:</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old clause 5.16.3 continues to apply to excluded projects that are RIT- T projects for a replacement of </w:t>
      </w:r>
      <w:r>
        <w:rPr>
          <w:i/>
          <w:sz w:val="24"/>
        </w:rPr>
        <w:t>network </w:t>
      </w:r>
      <w:r>
        <w:rPr>
          <w:sz w:val="24"/>
        </w:rPr>
        <w:t>assets (and are not intended to </w:t>
      </w:r>
      <w:r>
        <w:rPr>
          <w:i/>
          <w:sz w:val="24"/>
        </w:rPr>
        <w:t>augment </w:t>
      </w:r>
      <w:r>
        <w:rPr>
          <w:sz w:val="24"/>
        </w:rPr>
        <w:t>the </w:t>
      </w:r>
      <w:r>
        <w:rPr>
          <w:i/>
          <w:sz w:val="24"/>
        </w:rPr>
        <w:t>transmission network</w:t>
      </w:r>
      <w:r>
        <w:rPr>
          <w:sz w:val="24"/>
        </w:rPr>
        <w:t>);</w:t>
      </w:r>
      <w:r>
        <w:rPr>
          <w:spacing w:val="-3"/>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old clause 5.17.3 continues to apply to excluded projects that are RIT- D projects for refurbishment or replacement of </w:t>
      </w:r>
      <w:r>
        <w:rPr>
          <w:i/>
          <w:sz w:val="24"/>
        </w:rPr>
        <w:t>network </w:t>
      </w:r>
      <w:r>
        <w:rPr>
          <w:sz w:val="24"/>
        </w:rPr>
        <w:t>assets (and are not intended to </w:t>
      </w:r>
      <w:r>
        <w:rPr>
          <w:i/>
          <w:sz w:val="24"/>
        </w:rPr>
        <w:t>augment </w:t>
      </w:r>
      <w:r>
        <w:rPr>
          <w:sz w:val="24"/>
        </w:rPr>
        <w:t>a</w:t>
      </w:r>
      <w:r>
        <w:rPr>
          <w:spacing w:val="-1"/>
          <w:sz w:val="24"/>
        </w:rPr>
        <w:t> </w:t>
      </w:r>
      <w:r>
        <w:rPr>
          <w:i/>
          <w:sz w:val="24"/>
        </w:rPr>
        <w:t>network</w:t>
      </w:r>
      <w:r>
        <w:rPr>
          <w:sz w:val="24"/>
        </w:rPr>
        <w:t>).</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2" w:right="792" w:hanging="1134"/>
        <w:jc w:val="left"/>
      </w:pPr>
      <w:bookmarkStart w:name="11.99.6 Transitional arrangements relati" w:id="3221"/>
      <w:bookmarkEnd w:id="3221"/>
      <w:r>
        <w:rPr>
          <w:b w:val="0"/>
        </w:rPr>
      </w:r>
      <w:bookmarkStart w:name="_bookmark1283" w:id="3222"/>
      <w:bookmarkEnd w:id="3222"/>
      <w:r>
        <w:rPr>
          <w:b w:val="0"/>
        </w:rPr>
      </w:r>
      <w:bookmarkStart w:name="_bookmark1283" w:id="3223"/>
      <w:bookmarkEnd w:id="3223"/>
      <w:r>
        <w:rPr/>
        <w:t>Transitio</w:t>
      </w:r>
      <w:r>
        <w:rPr/>
        <w:t>nal arrangements relating to Victorian bushfire mitigation projects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Where a Victorian DNSP has Victorian bushfire mitigation projects, it must publish and maintain on its website a list of Victorian bushfire mitigation projects, which must</w:t>
      </w:r>
      <w:r>
        <w:rPr>
          <w:spacing w:val="-1"/>
          <w:sz w:val="24"/>
        </w:rPr>
        <w:t> </w:t>
      </w:r>
      <w:r>
        <w:rPr>
          <w:sz w:val="24"/>
        </w:rPr>
        <w:t>include:</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project</w:t>
      </w:r>
      <w:r>
        <w:rPr>
          <w:spacing w:val="-1"/>
          <w:sz w:val="24"/>
        </w:rPr>
        <w:t> </w:t>
      </w:r>
      <w:r>
        <w:rPr>
          <w:sz w:val="24"/>
        </w:rPr>
        <w:t>name;</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a brief description of the project;</w:t>
      </w:r>
      <w:r>
        <w:rPr>
          <w:spacing w:val="-1"/>
          <w:sz w:val="24"/>
        </w:rPr>
        <w:t> </w:t>
      </w:r>
      <w:r>
        <w:rPr>
          <w:sz w:val="24"/>
        </w:rPr>
        <w:t>and</w:t>
      </w:r>
    </w:p>
    <w:p>
      <w:pPr>
        <w:spacing w:after="0" w:line="240" w:lineRule="auto"/>
        <w:jc w:val="both"/>
        <w:rPr>
          <w:sz w:val="24"/>
        </w:rPr>
        <w:sectPr>
          <w:pgSz w:w="11910" w:h="16840"/>
          <w:pgMar w:header="686" w:footer="637" w:top="1320" w:bottom="820" w:left="1200" w:right="1000"/>
        </w:sectPr>
      </w:pPr>
    </w:p>
    <w:p>
      <w:pPr>
        <w:pStyle w:val="ListParagraph"/>
        <w:numPr>
          <w:ilvl w:val="4"/>
          <w:numId w:val="850"/>
        </w:numPr>
        <w:tabs>
          <w:tab w:pos="2485" w:val="left" w:leader="none"/>
          <w:tab w:pos="2486" w:val="left" w:leader="none"/>
        </w:tabs>
        <w:spacing w:line="240" w:lineRule="auto" w:before="83" w:after="0"/>
        <w:ind w:left="2485" w:right="0" w:hanging="567"/>
        <w:jc w:val="left"/>
        <w:rPr>
          <w:sz w:val="24"/>
        </w:rPr>
      </w:pPr>
      <w:r>
        <w:rPr>
          <w:sz w:val="24"/>
        </w:rPr>
        <w:t>the scheduled completion</w:t>
      </w:r>
      <w:r>
        <w:rPr>
          <w:spacing w:val="-2"/>
          <w:sz w:val="24"/>
        </w:rPr>
        <w:t> </w:t>
      </w:r>
      <w:r>
        <w:rPr>
          <w:sz w:val="24"/>
        </w:rPr>
        <w:t>date,</w:t>
      </w:r>
    </w:p>
    <w:p>
      <w:pPr>
        <w:pStyle w:val="BodyText"/>
        <w:ind w:left="1919" w:right="565" w:firstLine="0"/>
        <w:jc w:val="left"/>
      </w:pPr>
      <w:r>
        <w:rPr/>
        <w:t>on and from the second commencement date until completion of its Victorian bushfire mitigation projects.</w:t>
      </w:r>
    </w:p>
    <w:p>
      <w:pPr>
        <w:pStyle w:val="ListParagraph"/>
        <w:numPr>
          <w:ilvl w:val="3"/>
          <w:numId w:val="850"/>
        </w:numPr>
        <w:tabs>
          <w:tab w:pos="1918" w:val="left" w:leader="none"/>
          <w:tab w:pos="1919" w:val="left" w:leader="none"/>
        </w:tabs>
        <w:spacing w:line="240" w:lineRule="auto" w:before="120" w:after="0"/>
        <w:ind w:left="1919" w:right="414" w:hanging="567"/>
        <w:jc w:val="left"/>
        <w:rPr>
          <w:sz w:val="24"/>
        </w:rPr>
      </w:pPr>
      <w:r>
        <w:rPr>
          <w:sz w:val="24"/>
        </w:rPr>
        <w:t>In respect of each Victorian DNSP old clause 5.17.3 continues to apply to each Victorian Bushfire mitigation</w:t>
      </w:r>
      <w:r>
        <w:rPr>
          <w:spacing w:val="-1"/>
          <w:sz w:val="24"/>
        </w:rPr>
        <w:t> </w:t>
      </w:r>
      <w:r>
        <w:rPr>
          <w:sz w:val="24"/>
        </w:rPr>
        <w:t>project.</w:t>
      </w:r>
    </w:p>
    <w:p>
      <w:pPr>
        <w:pStyle w:val="BodyText"/>
        <w:spacing w:before="10"/>
        <w:ind w:firstLine="0"/>
        <w:jc w:val="left"/>
        <w:rPr>
          <w:sz w:val="20"/>
        </w:rPr>
      </w:pPr>
    </w:p>
    <w:p>
      <w:pPr>
        <w:pStyle w:val="Heading4"/>
        <w:numPr>
          <w:ilvl w:val="2"/>
          <w:numId w:val="850"/>
        </w:numPr>
        <w:tabs>
          <w:tab w:pos="1351" w:val="left" w:leader="none"/>
          <w:tab w:pos="1352" w:val="left" w:leader="none"/>
        </w:tabs>
        <w:spacing w:line="240" w:lineRule="auto" w:before="0" w:after="0"/>
        <w:ind w:left="1351" w:right="0" w:hanging="1134"/>
        <w:jc w:val="left"/>
      </w:pPr>
      <w:bookmarkStart w:name="11.99.7 Transitional arrangements relati" w:id="3224"/>
      <w:bookmarkEnd w:id="3224"/>
      <w:r>
        <w:rPr>
          <w:b w:val="0"/>
        </w:rPr>
      </w:r>
      <w:bookmarkStart w:name="_bookmark1284" w:id="3225"/>
      <w:bookmarkEnd w:id="3225"/>
      <w:r>
        <w:rPr>
          <w:b w:val="0"/>
        </w:rPr>
      </w:r>
      <w:bookmarkStart w:name="_bookmark1284" w:id="3226"/>
      <w:bookmarkEnd w:id="3226"/>
      <w:r>
        <w:rPr/>
        <w:t>Transitio</w:t>
      </w:r>
      <w:r>
        <w:rPr/>
        <w:t>nal arrangements relating to review of costs</w:t>
      </w:r>
      <w:r>
        <w:rPr>
          <w:spacing w:val="-14"/>
        </w:rPr>
        <w:t> </w:t>
      </w:r>
      <w:r>
        <w:rPr/>
        <w:t>thresholds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Clause 5.15.3(a)(1) of Chapter 5 applies for the purposes of clause 5.15.3(b)(1A) as if the words "July 2009" were omitted and substituted with the words "18 July</w:t>
      </w:r>
      <w:r>
        <w:rPr>
          <w:spacing w:val="-4"/>
          <w:sz w:val="24"/>
        </w:rPr>
        <w:t> </w:t>
      </w:r>
      <w:r>
        <w:rPr>
          <w:sz w:val="24"/>
        </w:rPr>
        <w:t>2017".</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Clause 5.15.3(c)(3) of Chapter 5 applies for the purposes of clause 5.15.3(d)(4A) as if the words "1 January 2013" were omitted and substituted with the words "18 July</w:t>
      </w:r>
      <w:r>
        <w:rPr>
          <w:spacing w:val="-5"/>
          <w:sz w:val="24"/>
        </w:rPr>
        <w:t> </w:t>
      </w:r>
      <w:r>
        <w:rPr>
          <w:sz w:val="24"/>
        </w:rPr>
        <w:t>2017".</w:t>
      </w:r>
    </w:p>
    <w:p>
      <w:pPr>
        <w:pStyle w:val="BodyText"/>
        <w:spacing w:before="10"/>
        <w:ind w:firstLine="0"/>
        <w:jc w:val="left"/>
        <w:rPr>
          <w:sz w:val="20"/>
        </w:rPr>
      </w:pPr>
    </w:p>
    <w:p>
      <w:pPr>
        <w:pStyle w:val="Heading2"/>
      </w:pPr>
      <w:bookmarkStart w:name="Part ZZZB  Managing the rate of change o" w:id="3227"/>
      <w:bookmarkEnd w:id="3227"/>
      <w:r>
        <w:rPr>
          <w:b w:val="0"/>
        </w:rPr>
      </w:r>
      <w:bookmarkStart w:name="_bookmark1285" w:id="3228"/>
      <w:bookmarkEnd w:id="3228"/>
      <w:r>
        <w:rPr>
          <w:b w:val="0"/>
        </w:rPr>
      </w:r>
      <w:r>
        <w:rPr>
          <w:shd w:fill="D9D9D9" w:color="auto" w:val="clear"/>
        </w:rPr>
        <w:t>Part ZZZB Managing the rate of change of power system frequency </w:t>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00 Rules consequential on the making" w:id="3229"/>
      <w:bookmarkEnd w:id="3229"/>
      <w:r>
        <w:rPr>
          <w:b w:val="0"/>
        </w:rPr>
      </w:r>
      <w:bookmarkStart w:name="_bookmark1286" w:id="3230"/>
      <w:bookmarkEnd w:id="3230"/>
      <w:r>
        <w:rPr>
          <w:b w:val="0"/>
        </w:rPr>
      </w:r>
      <w:bookmarkStart w:name="_bookmark1286" w:id="3231"/>
      <w:bookmarkEnd w:id="3231"/>
      <w:r>
        <w:rPr/>
        <w:t>Rul</w:t>
      </w:r>
      <w:r>
        <w:rPr/>
        <w:t>es consequential on the making of the National Electricity Amendment (Managing the rate of change of power system frequency) Rule</w:t>
      </w:r>
      <w:r>
        <w:rPr>
          <w:spacing w:val="-2"/>
        </w:rPr>
        <w:t> </w:t>
      </w:r>
      <w:r>
        <w:rPr/>
        <w:t>2017</w:t>
      </w:r>
    </w:p>
    <w:p>
      <w:pPr>
        <w:pStyle w:val="Heading4"/>
        <w:numPr>
          <w:ilvl w:val="2"/>
          <w:numId w:val="850"/>
        </w:numPr>
        <w:tabs>
          <w:tab w:pos="1352" w:val="left" w:leader="none"/>
        </w:tabs>
        <w:spacing w:line="240" w:lineRule="auto" w:before="240" w:after="0"/>
        <w:ind w:left="1351" w:right="0" w:hanging="1134"/>
        <w:jc w:val="left"/>
      </w:pPr>
      <w:bookmarkStart w:name="11.100.1 Definitions" w:id="3232"/>
      <w:bookmarkEnd w:id="3232"/>
      <w:r>
        <w:rPr>
          <w:b w:val="0"/>
        </w:rPr>
      </w:r>
      <w:bookmarkStart w:name="_bookmark1287" w:id="3233"/>
      <w:bookmarkEnd w:id="3233"/>
      <w:r>
        <w:rPr>
          <w:b w:val="0"/>
        </w:rPr>
      </w:r>
      <w:bookmarkStart w:name="_bookmark1287" w:id="3234"/>
      <w:bookmarkEnd w:id="3234"/>
      <w:r>
        <w:rPr/>
        <w:t>Definition</w:t>
      </w:r>
      <w:r>
        <w:rPr/>
        <w:t>s</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In this rule</w:t>
      </w:r>
      <w:r>
        <w:rPr>
          <w:spacing w:val="-1"/>
          <w:sz w:val="24"/>
        </w:rPr>
        <w:t> </w:t>
      </w:r>
      <w:r>
        <w:rPr>
          <w:sz w:val="24"/>
        </w:rPr>
        <w:t>11.100:</w:t>
      </w:r>
    </w:p>
    <w:p>
      <w:pPr>
        <w:spacing w:before="120"/>
        <w:ind w:left="1919" w:right="415" w:firstLine="0"/>
        <w:jc w:val="both"/>
        <w:rPr>
          <w:sz w:val="24"/>
        </w:rPr>
      </w:pPr>
      <w:r>
        <w:rPr>
          <w:b/>
          <w:sz w:val="24"/>
        </w:rPr>
        <w:t>Amending Rule </w:t>
      </w:r>
      <w:r>
        <w:rPr>
          <w:sz w:val="24"/>
        </w:rPr>
        <w:t>means the </w:t>
      </w:r>
      <w:r>
        <w:rPr>
          <w:i/>
          <w:sz w:val="24"/>
        </w:rPr>
        <w:t>National Electricity Amendment (Managing the </w:t>
      </w:r>
      <w:r>
        <w:rPr>
          <w:i/>
          <w:sz w:val="24"/>
        </w:rPr>
        <w:t>rate of change of power system frequency) Rule 2017</w:t>
      </w:r>
      <w:r>
        <w:rPr>
          <w:sz w:val="24"/>
        </w:rPr>
        <w:t>.</w:t>
      </w:r>
    </w:p>
    <w:p>
      <w:pPr>
        <w:pStyle w:val="BodyText"/>
        <w:ind w:left="1919" w:right="415" w:firstLine="0"/>
      </w:pPr>
      <w:r>
        <w:rPr>
          <w:b/>
        </w:rPr>
        <w:t>commencement date </w:t>
      </w:r>
      <w:r>
        <w:rPr/>
        <w:t>means the date of commencement of Schedules 1 to 7 of the Amending Rule.</w:t>
      </w:r>
    </w:p>
    <w:p>
      <w:pPr>
        <w:spacing w:before="120"/>
        <w:ind w:left="1919" w:right="415" w:firstLine="0"/>
        <w:jc w:val="both"/>
        <w:rPr>
          <w:sz w:val="24"/>
        </w:rPr>
      </w:pPr>
      <w:r>
        <w:rPr>
          <w:b/>
          <w:sz w:val="24"/>
        </w:rPr>
        <w:t>inertia-related NSCAS gap </w:t>
      </w:r>
      <w:r>
        <w:rPr>
          <w:sz w:val="24"/>
        </w:rPr>
        <w:t>means an </w:t>
      </w:r>
      <w:r>
        <w:rPr>
          <w:i/>
          <w:sz w:val="24"/>
        </w:rPr>
        <w:t>NSCAS gap </w:t>
      </w:r>
      <w:r>
        <w:rPr>
          <w:sz w:val="24"/>
        </w:rPr>
        <w:t>that is a shortfall in the level of inertia typically provided in a </w:t>
      </w:r>
      <w:r>
        <w:rPr>
          <w:i/>
          <w:sz w:val="24"/>
        </w:rPr>
        <w:t>region </w:t>
      </w:r>
      <w:r>
        <w:rPr>
          <w:sz w:val="24"/>
        </w:rPr>
        <w:t>(having regard to</w:t>
      </w:r>
      <w:r>
        <w:rPr>
          <w:spacing w:val="21"/>
          <w:sz w:val="24"/>
        </w:rPr>
        <w:t> </w:t>
      </w:r>
      <w:r>
        <w:rPr>
          <w:sz w:val="24"/>
        </w:rPr>
        <w:t>typical patterns of </w:t>
      </w:r>
      <w:r>
        <w:rPr>
          <w:i/>
          <w:sz w:val="24"/>
        </w:rPr>
        <w:t>dispatched generation </w:t>
      </w:r>
      <w:r>
        <w:rPr>
          <w:sz w:val="24"/>
        </w:rPr>
        <w:t>in </w:t>
      </w:r>
      <w:r>
        <w:rPr>
          <w:i/>
          <w:sz w:val="24"/>
        </w:rPr>
        <w:t>central dispatch</w:t>
      </w:r>
      <w:r>
        <w:rPr>
          <w:sz w:val="24"/>
        </w:rPr>
        <w:t>) compared to the minimum level of inertia required to operate the </w:t>
      </w:r>
      <w:r>
        <w:rPr>
          <w:i/>
          <w:sz w:val="24"/>
        </w:rPr>
        <w:t>region </w:t>
      </w:r>
      <w:r>
        <w:rPr>
          <w:sz w:val="24"/>
        </w:rPr>
        <w:t>in a </w:t>
      </w:r>
      <w:r>
        <w:rPr>
          <w:i/>
          <w:sz w:val="24"/>
        </w:rPr>
        <w:t>secure </w:t>
      </w:r>
      <w:r>
        <w:rPr>
          <w:i/>
          <w:sz w:val="24"/>
        </w:rPr>
        <w:t>operating state </w:t>
      </w:r>
      <w:r>
        <w:rPr>
          <w:sz w:val="24"/>
        </w:rPr>
        <w:t>when it is</w:t>
      </w:r>
      <w:r>
        <w:rPr>
          <w:spacing w:val="-1"/>
          <w:sz w:val="24"/>
        </w:rPr>
        <w:t> </w:t>
      </w:r>
      <w:r>
        <w:rPr>
          <w:i/>
          <w:sz w:val="24"/>
        </w:rPr>
        <w:t>islanded</w:t>
      </w:r>
      <w:r>
        <w:rPr>
          <w:sz w:val="24"/>
        </w:rPr>
        <w:t>.</w:t>
      </w:r>
    </w:p>
    <w:p>
      <w:pPr>
        <w:spacing w:before="120"/>
        <w:ind w:left="1919" w:right="0" w:firstLine="0"/>
        <w:jc w:val="both"/>
        <w:rPr>
          <w:sz w:val="24"/>
        </w:rPr>
      </w:pPr>
      <w:r>
        <w:rPr>
          <w:b/>
          <w:sz w:val="24"/>
        </w:rPr>
        <w:t>new Chapter 10 </w:t>
      </w:r>
      <w:r>
        <w:rPr>
          <w:sz w:val="24"/>
        </w:rPr>
        <w:t>means Chapter 10 as amended by the Amending Rule.</w:t>
      </w:r>
    </w:p>
    <w:p>
      <w:pPr>
        <w:spacing w:before="120"/>
        <w:ind w:left="1919" w:right="415" w:firstLine="0"/>
        <w:jc w:val="both"/>
        <w:rPr>
          <w:sz w:val="24"/>
        </w:rPr>
      </w:pPr>
      <w:r>
        <w:rPr>
          <w:b/>
          <w:sz w:val="24"/>
        </w:rPr>
        <w:t>new clause 3.9.7 </w:t>
      </w:r>
      <w:r>
        <w:rPr>
          <w:sz w:val="24"/>
        </w:rPr>
        <w:t>means clause 3.9.7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4.4.4 </w:t>
      </w:r>
      <w:r>
        <w:rPr>
          <w:sz w:val="24"/>
        </w:rPr>
        <w:t>means clause 4.4.4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4.4.9C </w:t>
      </w:r>
      <w:r>
        <w:rPr>
          <w:sz w:val="24"/>
        </w:rPr>
        <w:t>means clause 4.4.9C of the </w:t>
      </w:r>
      <w:r>
        <w:rPr>
          <w:i/>
          <w:sz w:val="24"/>
        </w:rPr>
        <w:t>Rules </w:t>
      </w:r>
      <w:r>
        <w:rPr>
          <w:sz w:val="24"/>
        </w:rPr>
        <w:t>as will be in force immediately after the commencement</w:t>
      </w:r>
      <w:r>
        <w:rPr>
          <w:spacing w:val="-1"/>
          <w:sz w:val="24"/>
        </w:rPr>
        <w:t> </w:t>
      </w:r>
      <w:r>
        <w:rPr>
          <w:sz w:val="24"/>
        </w:rPr>
        <w:t>date.</w:t>
      </w:r>
    </w:p>
    <w:p>
      <w:pPr>
        <w:spacing w:before="120"/>
        <w:ind w:left="1919" w:right="414" w:firstLine="0"/>
        <w:jc w:val="both"/>
        <w:rPr>
          <w:sz w:val="24"/>
        </w:rPr>
      </w:pPr>
      <w:r>
        <w:rPr>
          <w:b/>
          <w:sz w:val="24"/>
        </w:rPr>
        <w:t>new clause 5.16.3 </w:t>
      </w:r>
      <w:r>
        <w:rPr>
          <w:sz w:val="24"/>
        </w:rPr>
        <w:t>means clause 5.16.3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5.20.1(a)(3) </w:t>
      </w:r>
      <w:r>
        <w:rPr>
          <w:sz w:val="24"/>
        </w:rPr>
        <w:t>means clause 5.20.1(a)(3) of the </w:t>
      </w:r>
      <w:r>
        <w:rPr>
          <w:i/>
          <w:sz w:val="24"/>
        </w:rPr>
        <w:t>Rules </w:t>
      </w:r>
      <w:r>
        <w:rPr>
          <w:sz w:val="24"/>
        </w:rPr>
        <w:t>as will be in force immediately after the commencement date.</w:t>
      </w:r>
    </w:p>
    <w:p>
      <w:pPr>
        <w:spacing w:before="120"/>
        <w:ind w:left="1919" w:right="414" w:firstLine="0"/>
        <w:jc w:val="both"/>
        <w:rPr>
          <w:sz w:val="24"/>
        </w:rPr>
      </w:pPr>
      <w:r>
        <w:rPr>
          <w:b/>
          <w:sz w:val="24"/>
        </w:rPr>
        <w:t>new clause 5.20.7(a) </w:t>
      </w:r>
      <w:r>
        <w:rPr>
          <w:sz w:val="24"/>
        </w:rPr>
        <w:t>means clause 5.20.7(a) of the </w:t>
      </w:r>
      <w:r>
        <w:rPr>
          <w:i/>
          <w:sz w:val="24"/>
        </w:rPr>
        <w:t>Rules </w:t>
      </w:r>
      <w:r>
        <w:rPr>
          <w:sz w:val="24"/>
        </w:rPr>
        <w:t>as will be in force immediately after the commencement date.</w:t>
      </w:r>
    </w:p>
    <w:p>
      <w:pPr>
        <w:spacing w:after="0"/>
        <w:jc w:val="both"/>
        <w:rPr>
          <w:sz w:val="24"/>
        </w:rPr>
        <w:sectPr>
          <w:pgSz w:w="11910" w:h="16840"/>
          <w:pgMar w:header="686" w:footer="637" w:top="1320" w:bottom="820" w:left="1200" w:right="1000"/>
        </w:sectPr>
      </w:pPr>
    </w:p>
    <w:p>
      <w:pPr>
        <w:spacing w:before="83"/>
        <w:ind w:left="1919" w:right="415" w:firstLine="0"/>
        <w:jc w:val="left"/>
        <w:rPr>
          <w:sz w:val="24"/>
        </w:rPr>
      </w:pPr>
      <w:r>
        <w:rPr>
          <w:b/>
          <w:sz w:val="24"/>
        </w:rPr>
        <w:t>new clause 5.20B.2(a) </w:t>
      </w:r>
      <w:r>
        <w:rPr>
          <w:sz w:val="24"/>
        </w:rPr>
        <w:t>means clause 5.20B.2(a)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5.20B.3(a) </w:t>
      </w:r>
      <w:r>
        <w:rPr>
          <w:sz w:val="24"/>
        </w:rPr>
        <w:t>means clause 5.20B.3(a)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5.20B.3(c) </w:t>
      </w:r>
      <w:r>
        <w:rPr>
          <w:sz w:val="24"/>
        </w:rPr>
        <w:t>means clause 5.20B.3(c)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5.20B.4(b) </w:t>
      </w:r>
      <w:r>
        <w:rPr>
          <w:sz w:val="24"/>
        </w:rPr>
        <w:t>means clause 5.20B.4(a)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5.20B.4(h) </w:t>
      </w:r>
      <w:r>
        <w:rPr>
          <w:sz w:val="24"/>
        </w:rPr>
        <w:t>means clause 5.20B.4(h)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5.20B.4(i) </w:t>
      </w:r>
      <w:r>
        <w:rPr>
          <w:sz w:val="24"/>
        </w:rPr>
        <w:t>means clause 5.20B.4(i)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left"/>
        <w:rPr>
          <w:sz w:val="24"/>
        </w:rPr>
      </w:pPr>
      <w:r>
        <w:rPr>
          <w:b/>
          <w:sz w:val="24"/>
        </w:rPr>
        <w:t>new clause 6A.7.3(a1) </w:t>
      </w:r>
      <w:r>
        <w:rPr>
          <w:sz w:val="24"/>
        </w:rPr>
        <w:t>means clause 6A.7.3(a1) of the </w:t>
      </w:r>
      <w:r>
        <w:rPr>
          <w:i/>
          <w:sz w:val="24"/>
        </w:rPr>
        <w:t>Rules </w:t>
      </w:r>
      <w:r>
        <w:rPr>
          <w:sz w:val="24"/>
        </w:rPr>
        <w:t>as will be in force immediately after the commencement</w:t>
      </w:r>
      <w:r>
        <w:rPr>
          <w:spacing w:val="-1"/>
          <w:sz w:val="24"/>
        </w:rPr>
        <w:t> </w:t>
      </w:r>
      <w:r>
        <w:rPr>
          <w:sz w:val="24"/>
        </w:rPr>
        <w:t>date.</w:t>
      </w:r>
    </w:p>
    <w:p>
      <w:pPr>
        <w:pStyle w:val="BodyText"/>
        <w:ind w:left="1919" w:right="415" w:firstLine="0"/>
        <w:jc w:val="left"/>
      </w:pPr>
      <w:r>
        <w:rPr>
          <w:b/>
        </w:rPr>
        <w:t>new rule 5.20B </w:t>
      </w:r>
      <w:r>
        <w:rPr/>
        <w:t>means rule 5.20B of the </w:t>
      </w:r>
      <w:r>
        <w:rPr>
          <w:i/>
        </w:rPr>
        <w:t>Rules </w:t>
      </w:r>
      <w:r>
        <w:rPr/>
        <w:t>as will be in force immediately after the commencement date.</w:t>
      </w:r>
    </w:p>
    <w:p>
      <w:pPr>
        <w:spacing w:before="120"/>
        <w:ind w:left="1919" w:right="0" w:firstLine="0"/>
        <w:jc w:val="left"/>
        <w:rPr>
          <w:sz w:val="24"/>
        </w:rPr>
      </w:pPr>
      <w:r>
        <w:rPr>
          <w:b/>
          <w:sz w:val="24"/>
        </w:rPr>
        <w:t>NSCAS transition period </w:t>
      </w:r>
      <w:r>
        <w:rPr>
          <w:sz w:val="24"/>
        </w:rPr>
        <w:t>means the period after the date this schedule commences and before the commencement date.</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Italicised terms used in this rule 11.100 (other than </w:t>
      </w:r>
      <w:r>
        <w:rPr>
          <w:i/>
          <w:sz w:val="24"/>
        </w:rPr>
        <w:t>NSCAS gap </w:t>
      </w:r>
      <w:r>
        <w:rPr>
          <w:sz w:val="24"/>
        </w:rPr>
        <w:t>and </w:t>
      </w:r>
      <w:r>
        <w:rPr>
          <w:i/>
          <w:sz w:val="24"/>
        </w:rPr>
        <w:t>NSCAS </w:t>
      </w:r>
      <w:r>
        <w:rPr>
          <w:i/>
          <w:sz w:val="24"/>
        </w:rPr>
        <w:t>need</w:t>
      </w:r>
      <w:r>
        <w:rPr>
          <w:sz w:val="24"/>
        </w:rPr>
        <w:t>) have the same meaning as in new Chapter</w:t>
      </w:r>
      <w:r>
        <w:rPr>
          <w:spacing w:val="-3"/>
          <w:sz w:val="24"/>
        </w:rPr>
        <w:t> </w:t>
      </w:r>
      <w:r>
        <w:rPr>
          <w:sz w:val="24"/>
        </w:rPr>
        <w:t>10.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0.2 Inertia sub-networks" w:id="3235"/>
      <w:bookmarkEnd w:id="3235"/>
      <w:r>
        <w:rPr>
          <w:b w:val="0"/>
        </w:rPr>
      </w:r>
      <w:bookmarkStart w:name="_bookmark1288" w:id="3236"/>
      <w:bookmarkEnd w:id="3236"/>
      <w:r>
        <w:rPr>
          <w:b w:val="0"/>
        </w:rPr>
      </w:r>
      <w:bookmarkStart w:name="_bookmark1288" w:id="3237"/>
      <w:bookmarkEnd w:id="3237"/>
      <w:r>
        <w:rPr/>
        <w:t>Inertia</w:t>
      </w:r>
      <w:r>
        <w:rPr>
          <w:spacing w:val="-1"/>
        </w:rPr>
        <w:t> </w:t>
      </w:r>
      <w:r>
        <w:rPr/>
        <w:t>sub-networks</w:t>
      </w:r>
    </w:p>
    <w:p>
      <w:pPr>
        <w:spacing w:before="120"/>
        <w:ind w:left="1352" w:right="415" w:firstLine="0"/>
        <w:jc w:val="both"/>
        <w:rPr>
          <w:sz w:val="24"/>
        </w:rPr>
      </w:pPr>
      <w:r>
        <w:rPr>
          <w:sz w:val="24"/>
        </w:rPr>
        <w:t>On the date this schedule commences, </w:t>
      </w:r>
      <w:r>
        <w:rPr>
          <w:i/>
          <w:sz w:val="24"/>
        </w:rPr>
        <w:t>AEMO </w:t>
      </w:r>
      <w:r>
        <w:rPr>
          <w:sz w:val="24"/>
        </w:rPr>
        <w:t>is taken to have determined </w:t>
      </w:r>
      <w:r>
        <w:rPr>
          <w:i/>
          <w:sz w:val="24"/>
        </w:rPr>
        <w:t>inertia </w:t>
      </w:r>
      <w:r>
        <w:rPr>
          <w:i/>
          <w:sz w:val="24"/>
        </w:rPr>
        <w:t>sub-networks </w:t>
      </w:r>
      <w:r>
        <w:rPr>
          <w:sz w:val="24"/>
        </w:rPr>
        <w:t>having the same boundaries as the boundaries of each </w:t>
      </w:r>
      <w:r>
        <w:rPr>
          <w:i/>
          <w:sz w:val="24"/>
        </w:rPr>
        <w:t>region </w:t>
      </w:r>
      <w:r>
        <w:rPr>
          <w:sz w:val="24"/>
        </w:rPr>
        <w:t>on that 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0.3 Inertia requirements methodolog" w:id="3238"/>
      <w:bookmarkEnd w:id="3238"/>
      <w:r>
        <w:rPr>
          <w:b w:val="0"/>
        </w:rPr>
      </w:r>
      <w:bookmarkStart w:name="_bookmark1289" w:id="3239"/>
      <w:bookmarkEnd w:id="3239"/>
      <w:r>
        <w:rPr>
          <w:b w:val="0"/>
        </w:rPr>
      </w:r>
      <w:bookmarkStart w:name="_bookmark1289" w:id="3240"/>
      <w:bookmarkEnd w:id="3240"/>
      <w:r>
        <w:rPr/>
        <w:t>Inertia</w:t>
      </w:r>
      <w:r>
        <w:rPr/>
        <w:t> requirements</w:t>
      </w:r>
      <w:r>
        <w:rPr>
          <w:spacing w:val="-2"/>
        </w:rPr>
        <w:t> </w:t>
      </w:r>
      <w:r>
        <w:rPr/>
        <w:t>methodology</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By 30 June 2018, </w:t>
      </w:r>
      <w:r>
        <w:rPr>
          <w:i/>
          <w:sz w:val="24"/>
        </w:rPr>
        <w:t>AEMO </w:t>
      </w:r>
      <w:r>
        <w:rPr>
          <w:sz w:val="24"/>
        </w:rPr>
        <w:t>must develop and </w:t>
      </w:r>
      <w:r>
        <w:rPr>
          <w:i/>
          <w:sz w:val="24"/>
        </w:rPr>
        <w:t>publish </w:t>
      </w:r>
      <w:r>
        <w:rPr>
          <w:sz w:val="24"/>
        </w:rPr>
        <w:t>a methodology setting out the process </w:t>
      </w:r>
      <w:r>
        <w:rPr>
          <w:i/>
          <w:sz w:val="24"/>
        </w:rPr>
        <w:t>AEMO </w:t>
      </w:r>
      <w:r>
        <w:rPr>
          <w:sz w:val="24"/>
        </w:rPr>
        <w:t>will use to determine the </w:t>
      </w:r>
      <w:r>
        <w:rPr>
          <w:i/>
          <w:sz w:val="24"/>
        </w:rPr>
        <w:t>inertia requirements </w:t>
      </w:r>
      <w:r>
        <w:rPr>
          <w:sz w:val="24"/>
        </w:rPr>
        <w:t>for each </w:t>
      </w:r>
      <w:r>
        <w:rPr>
          <w:i/>
          <w:sz w:val="24"/>
        </w:rPr>
        <w:t>inertia sub-network</w:t>
      </w:r>
      <w:r>
        <w:rPr>
          <w:sz w:val="24"/>
        </w:rPr>
        <w:t>. The methodology must provide for </w:t>
      </w:r>
      <w:r>
        <w:rPr>
          <w:i/>
          <w:sz w:val="24"/>
        </w:rPr>
        <w:t>AEMO </w:t>
      </w:r>
      <w:r>
        <w:rPr>
          <w:sz w:val="24"/>
        </w:rPr>
        <w:t>to take into account the matters listed in new clause 5.20.7(a) in determining the </w:t>
      </w:r>
      <w:r>
        <w:rPr>
          <w:i/>
          <w:sz w:val="24"/>
        </w:rPr>
        <w:t>inertia requirements </w:t>
      </w:r>
      <w:r>
        <w:rPr>
          <w:sz w:val="24"/>
        </w:rPr>
        <w:t>for each </w:t>
      </w:r>
      <w:r>
        <w:rPr>
          <w:i/>
          <w:sz w:val="24"/>
        </w:rPr>
        <w:t>inertia</w:t>
      </w:r>
      <w:r>
        <w:rPr>
          <w:i/>
          <w:spacing w:val="-1"/>
          <w:sz w:val="24"/>
        </w:rPr>
        <w:t> </w:t>
      </w:r>
      <w:r>
        <w:rPr>
          <w:i/>
          <w:sz w:val="24"/>
        </w:rPr>
        <w:t>sub-network</w:t>
      </w:r>
      <w:r>
        <w:rPr>
          <w:sz w:val="24"/>
        </w:rPr>
        <w:t>.</w:t>
      </w:r>
    </w:p>
    <w:p>
      <w:pPr>
        <w:pStyle w:val="ListParagraph"/>
        <w:numPr>
          <w:ilvl w:val="3"/>
          <w:numId w:val="850"/>
        </w:numPr>
        <w:tabs>
          <w:tab w:pos="1919" w:val="left" w:leader="none"/>
        </w:tabs>
        <w:spacing w:line="240" w:lineRule="auto" w:before="120" w:after="0"/>
        <w:ind w:left="1919" w:right="416" w:hanging="567"/>
        <w:jc w:val="both"/>
        <w:rPr>
          <w:sz w:val="24"/>
        </w:rPr>
      </w:pPr>
      <w:r>
        <w:rPr>
          <w:i/>
          <w:sz w:val="24"/>
        </w:rPr>
        <w:t>AEMO </w:t>
      </w:r>
      <w:r>
        <w:rPr>
          <w:sz w:val="24"/>
        </w:rPr>
        <w:t>must include an explanation of the differences between </w:t>
      </w:r>
      <w:r>
        <w:rPr>
          <w:spacing w:val="-4"/>
          <w:sz w:val="24"/>
        </w:rPr>
        <w:t>the </w:t>
      </w:r>
      <w:r>
        <w:rPr>
          <w:sz w:val="24"/>
        </w:rPr>
        <w:t>methodology determined under paragraph (a) and the first </w:t>
      </w:r>
      <w:r>
        <w:rPr>
          <w:i/>
          <w:sz w:val="24"/>
        </w:rPr>
        <w:t>inertia </w:t>
      </w:r>
      <w:r>
        <w:rPr>
          <w:i/>
          <w:sz w:val="24"/>
        </w:rPr>
        <w:t>requirements methodology </w:t>
      </w:r>
      <w:r>
        <w:rPr>
          <w:sz w:val="24"/>
        </w:rPr>
        <w:t>published in accordance with new clause 5.20.1(a)(3).</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0.4 Inertia requirements" w:id="3241"/>
      <w:bookmarkEnd w:id="3241"/>
      <w:r>
        <w:rPr>
          <w:b w:val="0"/>
        </w:rPr>
      </w:r>
      <w:bookmarkStart w:name="_bookmark1290" w:id="3242"/>
      <w:bookmarkEnd w:id="3242"/>
      <w:r>
        <w:rPr>
          <w:b w:val="0"/>
        </w:rPr>
      </w:r>
      <w:bookmarkStart w:name="_bookmark1290" w:id="3243"/>
      <w:bookmarkEnd w:id="3243"/>
      <w:r>
        <w:rPr/>
        <w:t>Inertia</w:t>
      </w:r>
      <w:r>
        <w:rPr>
          <w:spacing w:val="-1"/>
        </w:rPr>
        <w:t> </w:t>
      </w:r>
      <w:r>
        <w:rPr/>
        <w:t>requirements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 determination of the </w:t>
      </w:r>
      <w:r>
        <w:rPr>
          <w:i/>
          <w:sz w:val="24"/>
        </w:rPr>
        <w:t>inertia requirements </w:t>
      </w:r>
      <w:r>
        <w:rPr>
          <w:sz w:val="24"/>
        </w:rPr>
        <w:t>for all </w:t>
      </w:r>
      <w:r>
        <w:rPr>
          <w:i/>
          <w:sz w:val="24"/>
        </w:rPr>
        <w:t>inertia </w:t>
      </w:r>
      <w:r>
        <w:rPr>
          <w:i/>
          <w:sz w:val="24"/>
        </w:rPr>
        <w:t>sub-networks </w:t>
      </w:r>
      <w:r>
        <w:rPr>
          <w:sz w:val="24"/>
        </w:rPr>
        <w:t>under new clause 5.20B.2(a) and make the assessments required under new clause 5.20B.3(a) by 30 June 2018, applying the methodology determined under clause 11.100.3(a) as if it were an </w:t>
      </w:r>
      <w:r>
        <w:rPr>
          <w:i/>
          <w:sz w:val="24"/>
        </w:rPr>
        <w:t>inertia </w:t>
      </w:r>
      <w:r>
        <w:rPr>
          <w:i/>
          <w:sz w:val="24"/>
        </w:rPr>
        <w:t>requirements</w:t>
      </w:r>
      <w:r>
        <w:rPr>
          <w:i/>
          <w:spacing w:val="-2"/>
          <w:sz w:val="24"/>
        </w:rPr>
        <w:t> </w:t>
      </w:r>
      <w:r>
        <w:rPr>
          <w:i/>
          <w:sz w:val="24"/>
        </w:rPr>
        <w:t>methodology</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If </w:t>
      </w:r>
      <w:r>
        <w:rPr>
          <w:i/>
          <w:sz w:val="24"/>
        </w:rPr>
        <w:t>AEMO </w:t>
      </w:r>
      <w:r>
        <w:rPr>
          <w:sz w:val="24"/>
        </w:rPr>
        <w:t>assesses that there is or is likely to be an </w:t>
      </w:r>
      <w:r>
        <w:rPr>
          <w:i/>
          <w:sz w:val="24"/>
        </w:rPr>
        <w:t>inertia shortfall </w:t>
      </w:r>
      <w:r>
        <w:rPr>
          <w:sz w:val="24"/>
        </w:rPr>
        <w:t>in any</w:t>
      </w:r>
      <w:r>
        <w:rPr>
          <w:i/>
          <w:sz w:val="24"/>
        </w:rPr>
        <w:t>inertia sub-network </w:t>
      </w:r>
      <w:r>
        <w:rPr>
          <w:sz w:val="24"/>
        </w:rPr>
        <w:t>in its assessment carried out in accordance with</w:t>
      </w:r>
    </w:p>
    <w:p>
      <w:pPr>
        <w:spacing w:after="0" w:line="240" w:lineRule="auto"/>
        <w:jc w:val="both"/>
        <w:rPr>
          <w:sz w:val="24"/>
        </w:rPr>
        <w:sectPr>
          <w:pgSz w:w="11910" w:h="16840"/>
          <w:pgMar w:header="686" w:footer="637" w:top="1320" w:bottom="820" w:left="1200" w:right="1000"/>
        </w:sectPr>
      </w:pPr>
    </w:p>
    <w:p>
      <w:pPr>
        <w:spacing w:before="83"/>
        <w:ind w:left="1919" w:right="414" w:firstLine="0"/>
        <w:jc w:val="both"/>
        <w:rPr>
          <w:sz w:val="24"/>
        </w:rPr>
      </w:pPr>
      <w:r>
        <w:rPr>
          <w:sz w:val="24"/>
        </w:rPr>
        <w:t>paragraph (a), </w:t>
      </w:r>
      <w:r>
        <w:rPr>
          <w:i/>
          <w:sz w:val="24"/>
        </w:rPr>
        <w:t>AEMO </w:t>
      </w:r>
      <w:r>
        <w:rPr>
          <w:sz w:val="24"/>
        </w:rPr>
        <w:t>must as soon as practicable after making that assessment </w:t>
      </w:r>
      <w:r>
        <w:rPr>
          <w:i/>
          <w:sz w:val="24"/>
        </w:rPr>
        <w:t>publish </w:t>
      </w:r>
      <w:r>
        <w:rPr>
          <w:sz w:val="24"/>
        </w:rPr>
        <w:t>and give to the </w:t>
      </w:r>
      <w:r>
        <w:rPr>
          <w:i/>
          <w:sz w:val="24"/>
        </w:rPr>
        <w:t>Inertia Service Provider </w:t>
      </w:r>
      <w:r>
        <w:rPr>
          <w:sz w:val="24"/>
        </w:rPr>
        <w:t>for the </w:t>
      </w:r>
      <w:r>
        <w:rPr>
          <w:i/>
          <w:sz w:val="24"/>
        </w:rPr>
        <w:t>inertia </w:t>
      </w:r>
      <w:r>
        <w:rPr>
          <w:i/>
          <w:sz w:val="24"/>
        </w:rPr>
        <w:t>sub-network </w:t>
      </w:r>
      <w:r>
        <w:rPr>
          <w:sz w:val="24"/>
        </w:rPr>
        <w:t>a notice of that assessment that includes </w:t>
      </w:r>
      <w:r>
        <w:rPr>
          <w:i/>
          <w:sz w:val="24"/>
        </w:rPr>
        <w:t>AEMO's </w:t>
      </w:r>
      <w:r>
        <w:rPr>
          <w:sz w:val="24"/>
        </w:rPr>
        <w:t>specification of the date by which the </w:t>
      </w:r>
      <w:r>
        <w:rPr>
          <w:i/>
          <w:sz w:val="24"/>
        </w:rPr>
        <w:t>Inertia Service Provider </w:t>
      </w:r>
      <w:r>
        <w:rPr>
          <w:sz w:val="24"/>
        </w:rPr>
        <w:t>must ensure the availability of </w:t>
      </w:r>
      <w:r>
        <w:rPr>
          <w:i/>
          <w:sz w:val="24"/>
        </w:rPr>
        <w:t>inertia network services </w:t>
      </w:r>
      <w:r>
        <w:rPr>
          <w:sz w:val="24"/>
        </w:rPr>
        <w:t>in accordance with new clause 5.20B.4(b), which must not be earlier than 1 July 2019 unless an earlier date is agreed with the </w:t>
      </w:r>
      <w:r>
        <w:rPr>
          <w:i/>
          <w:sz w:val="24"/>
        </w:rPr>
        <w:t>Inertia Service</w:t>
      </w:r>
      <w:r>
        <w:rPr>
          <w:i/>
          <w:spacing w:val="-1"/>
          <w:sz w:val="24"/>
        </w:rPr>
        <w:t> </w:t>
      </w:r>
      <w:r>
        <w:rPr>
          <w:i/>
          <w:sz w:val="24"/>
        </w:rPr>
        <w:t>Provider</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An </w:t>
      </w:r>
      <w:r>
        <w:rPr>
          <w:i/>
          <w:sz w:val="24"/>
        </w:rPr>
        <w:t>Inertia Service Provider </w:t>
      </w:r>
      <w:r>
        <w:rPr>
          <w:sz w:val="24"/>
        </w:rPr>
        <w:t>given a notice under paragraph (b) must make </w:t>
      </w:r>
      <w:r>
        <w:rPr>
          <w:i/>
          <w:sz w:val="24"/>
        </w:rPr>
        <w:t>inertia network services </w:t>
      </w:r>
      <w:r>
        <w:rPr>
          <w:sz w:val="24"/>
        </w:rPr>
        <w:t>available in accordance with new clause 5.20B.4(b) and otherwise comply with new rule 5.20B as if the notice had been given under new clause</w:t>
      </w:r>
      <w:r>
        <w:rPr>
          <w:spacing w:val="-2"/>
          <w:sz w:val="24"/>
        </w:rPr>
        <w:t> </w:t>
      </w:r>
      <w:r>
        <w:rPr>
          <w:sz w:val="24"/>
        </w:rPr>
        <w:t>5.20B.3(c).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an </w:t>
      </w:r>
      <w:r>
        <w:rPr>
          <w:i/>
          <w:sz w:val="24"/>
        </w:rPr>
        <w:t>Inertia Service Provider </w:t>
      </w:r>
      <w:r>
        <w:rPr>
          <w:sz w:val="24"/>
        </w:rPr>
        <w:t>is given a notice under paragraph (b) later than 30 April 2017, it is not required to include the information referred to in new clauses 5.20B.4(h) and (i) in its </w:t>
      </w:r>
      <w:r>
        <w:rPr>
          <w:i/>
          <w:sz w:val="24"/>
        </w:rPr>
        <w:t>Transmission Annual Planning </w:t>
      </w:r>
      <w:r>
        <w:rPr>
          <w:i/>
          <w:sz w:val="24"/>
        </w:rPr>
        <w:t>Report </w:t>
      </w:r>
      <w:r>
        <w:rPr>
          <w:sz w:val="24"/>
        </w:rPr>
        <w:t>due to be published by 30 June 2018, but the information must be included in its next </w:t>
      </w:r>
      <w:r>
        <w:rPr>
          <w:i/>
          <w:sz w:val="24"/>
        </w:rPr>
        <w:t>Transmission Annual Planning</w:t>
      </w:r>
      <w:r>
        <w:rPr>
          <w:i/>
          <w:spacing w:val="-4"/>
          <w:sz w:val="24"/>
        </w:rPr>
        <w:t> </w:t>
      </w:r>
      <w:r>
        <w:rPr>
          <w:i/>
          <w:sz w:val="24"/>
        </w:rPr>
        <w:t>Report</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where an </w:t>
      </w:r>
      <w:r>
        <w:rPr>
          <w:i/>
          <w:sz w:val="24"/>
        </w:rPr>
        <w:t>Inertia Service Provider </w:t>
      </w:r>
      <w:r>
        <w:rPr>
          <w:sz w:val="24"/>
        </w:rPr>
        <w:t>is given a notice under paragraph </w:t>
      </w:r>
      <w:r>
        <w:rPr>
          <w:spacing w:val="-4"/>
          <w:sz w:val="24"/>
        </w:rPr>
        <w:t>(b), </w:t>
      </w:r>
      <w:r>
        <w:rPr>
          <w:sz w:val="24"/>
        </w:rPr>
        <w:t>clause 5.16.3 regarding the </w:t>
      </w:r>
      <w:r>
        <w:rPr>
          <w:i/>
          <w:sz w:val="24"/>
        </w:rPr>
        <w:t>regulatory investment test for transmission</w:t>
      </w:r>
      <w:r>
        <w:rPr>
          <w:sz w:val="24"/>
        </w:rPr>
        <w:t>, clause 6A.7.3(a1) regarding </w:t>
      </w:r>
      <w:r>
        <w:rPr>
          <w:i/>
          <w:sz w:val="24"/>
        </w:rPr>
        <w:t>pass through events </w:t>
      </w:r>
      <w:r>
        <w:rPr>
          <w:sz w:val="24"/>
        </w:rPr>
        <w:t>and the related definitions apply in relation to </w:t>
      </w:r>
      <w:r>
        <w:rPr>
          <w:i/>
          <w:sz w:val="24"/>
        </w:rPr>
        <w:t>inertia network services </w:t>
      </w:r>
      <w:r>
        <w:rPr>
          <w:sz w:val="24"/>
        </w:rPr>
        <w:t>and </w:t>
      </w:r>
      <w:r>
        <w:rPr>
          <w:i/>
          <w:sz w:val="24"/>
        </w:rPr>
        <w:t>inertia support activities </w:t>
      </w:r>
      <w:r>
        <w:rPr>
          <w:sz w:val="24"/>
        </w:rPr>
        <w:t>made available in response to the notice as if they were new clause 5.16.3, new clause 6A.7.3(a1) and the related definitions in new Chapter</w:t>
      </w:r>
      <w:r>
        <w:rPr>
          <w:spacing w:val="-2"/>
          <w:sz w:val="24"/>
        </w:rPr>
        <w:t> </w:t>
      </w:r>
      <w:r>
        <w:rPr>
          <w:sz w:val="24"/>
        </w:rPr>
        <w:t>10.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0.5 NSCAS not to be used to meet an" w:id="3244"/>
      <w:bookmarkEnd w:id="3244"/>
      <w:r>
        <w:rPr>
          <w:b w:val="0"/>
        </w:rPr>
      </w:r>
      <w:bookmarkStart w:name="_bookmark1291" w:id="3245"/>
      <w:bookmarkEnd w:id="3245"/>
      <w:r>
        <w:rPr>
          <w:b w:val="0"/>
        </w:rPr>
      </w:r>
      <w:bookmarkStart w:name="_bookmark1291" w:id="3246"/>
      <w:bookmarkEnd w:id="3246"/>
      <w:r>
        <w:rPr/>
        <w:t>NSCA</w:t>
      </w:r>
      <w:r>
        <w:rPr/>
        <w:t>S not to be used to meet an inertia shortfall after 1 July</w:t>
      </w:r>
      <w:r>
        <w:rPr>
          <w:spacing w:val="-23"/>
        </w:rPr>
        <w:t> </w:t>
      </w:r>
      <w:r>
        <w:rPr/>
        <w:t>2019</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Paragraphs (b) and (c) do not apply in respect of a inertia-related NSCAS gap declared on or before 19 September</w:t>
      </w:r>
      <w:r>
        <w:rPr>
          <w:spacing w:val="-1"/>
          <w:sz w:val="24"/>
        </w:rPr>
        <w:t> </w:t>
      </w:r>
      <w:r>
        <w:rPr>
          <w:sz w:val="24"/>
        </w:rPr>
        <w:t>2017.</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In the NSCAS transition period, </w:t>
      </w:r>
      <w:r>
        <w:rPr>
          <w:i/>
          <w:sz w:val="24"/>
        </w:rPr>
        <w:t>AEMO </w:t>
      </w:r>
      <w:r>
        <w:rPr>
          <w:sz w:val="24"/>
        </w:rPr>
        <w:t>must not, in respect of any period after 1 July 2019, acquire </w:t>
      </w:r>
      <w:r>
        <w:rPr>
          <w:i/>
          <w:sz w:val="24"/>
        </w:rPr>
        <w:t>NSCAS </w:t>
      </w:r>
      <w:r>
        <w:rPr>
          <w:sz w:val="24"/>
        </w:rPr>
        <w:t>to meet an </w:t>
      </w:r>
      <w:r>
        <w:rPr>
          <w:i/>
          <w:sz w:val="24"/>
        </w:rPr>
        <w:t>NSCAS gap </w:t>
      </w:r>
      <w:r>
        <w:rPr>
          <w:sz w:val="24"/>
        </w:rPr>
        <w:t>in relation to a requirement for a service that is both an </w:t>
      </w:r>
      <w:r>
        <w:rPr>
          <w:i/>
          <w:sz w:val="24"/>
        </w:rPr>
        <w:t>NSCAS need </w:t>
      </w:r>
      <w:r>
        <w:rPr>
          <w:sz w:val="24"/>
        </w:rPr>
        <w:t>and is also capable of being made available as an </w:t>
      </w:r>
      <w:r>
        <w:rPr>
          <w:i/>
          <w:sz w:val="24"/>
        </w:rPr>
        <w:t>inertia network service </w:t>
      </w:r>
      <w:r>
        <w:rPr>
          <w:sz w:val="24"/>
        </w:rPr>
        <w:t>to address an </w:t>
      </w:r>
      <w:r>
        <w:rPr>
          <w:i/>
          <w:sz w:val="24"/>
        </w:rPr>
        <w:t>inertia </w:t>
      </w:r>
      <w:r>
        <w:rPr>
          <w:i/>
          <w:sz w:val="24"/>
        </w:rPr>
        <w:t>shortfall </w:t>
      </w:r>
      <w:r>
        <w:rPr>
          <w:sz w:val="24"/>
        </w:rPr>
        <w:t>through the arrangements in new rule</w:t>
      </w:r>
      <w:r>
        <w:rPr>
          <w:spacing w:val="-4"/>
          <w:sz w:val="24"/>
        </w:rPr>
        <w:t> </w:t>
      </w:r>
      <w:r>
        <w:rPr>
          <w:sz w:val="24"/>
        </w:rPr>
        <w:t>5.20B.</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the NSCAS transition period, a </w:t>
      </w:r>
      <w:r>
        <w:rPr>
          <w:i/>
          <w:sz w:val="24"/>
        </w:rPr>
        <w:t>Transmission Network Service Provider </w:t>
      </w:r>
      <w:r>
        <w:rPr>
          <w:sz w:val="24"/>
        </w:rPr>
        <w:t>must not, in respect of any period after 1 July 2019, put in place arrangements referred to in rule 3.11.3(b) to meet an </w:t>
      </w:r>
      <w:r>
        <w:rPr>
          <w:i/>
          <w:sz w:val="24"/>
        </w:rPr>
        <w:t>NSCAS gap </w:t>
      </w:r>
      <w:r>
        <w:rPr>
          <w:sz w:val="24"/>
        </w:rPr>
        <w:t>referred to in paragraph</w:t>
      </w:r>
      <w:r>
        <w:rPr>
          <w:spacing w:val="-1"/>
          <w:sz w:val="24"/>
        </w:rPr>
        <w:t> </w:t>
      </w:r>
      <w:r>
        <w:rPr>
          <w:sz w:val="24"/>
        </w:rPr>
        <w:t>(a).</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1429" w:hanging="1134"/>
        <w:jc w:val="left"/>
      </w:pPr>
      <w:bookmarkStart w:name="11.100.6 Inertia network services may be" w:id="3247"/>
      <w:bookmarkEnd w:id="3247"/>
      <w:r>
        <w:rPr>
          <w:b w:val="0"/>
        </w:rPr>
      </w:r>
      <w:bookmarkStart w:name="_bookmark1292" w:id="3248"/>
      <w:bookmarkEnd w:id="3248"/>
      <w:r>
        <w:rPr>
          <w:b w:val="0"/>
        </w:rPr>
      </w:r>
      <w:bookmarkStart w:name="_bookmark1292" w:id="3249"/>
      <w:bookmarkEnd w:id="3249"/>
      <w:r>
        <w:rPr/>
        <w:t>Inertia</w:t>
      </w:r>
      <w:r>
        <w:rPr/>
        <w:t> network services may be used to meet an NSCAS gap declared in the NSCAS transition</w:t>
      </w:r>
      <w:r>
        <w:rPr>
          <w:spacing w:val="-2"/>
        </w:rPr>
        <w:t> </w:t>
      </w:r>
      <w:r>
        <w:rPr/>
        <w:t>period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in the NSCAS transition period, </w:t>
      </w:r>
      <w:r>
        <w:rPr>
          <w:i/>
          <w:sz w:val="24"/>
        </w:rPr>
        <w:t>AEMO </w:t>
      </w:r>
      <w:r>
        <w:rPr>
          <w:sz w:val="24"/>
        </w:rPr>
        <w:t>declares an inertia-related NSCAS gap in respect of a period starting within 12 months of the declaration being made, a </w:t>
      </w:r>
      <w:r>
        <w:rPr>
          <w:i/>
          <w:sz w:val="24"/>
        </w:rPr>
        <w:t>Transmission Network Service Provider </w:t>
      </w:r>
      <w:r>
        <w:rPr>
          <w:sz w:val="24"/>
        </w:rPr>
        <w:t>given </w:t>
      </w:r>
      <w:r>
        <w:rPr>
          <w:spacing w:val="-11"/>
          <w:sz w:val="24"/>
        </w:rPr>
        <w:t>a </w:t>
      </w:r>
      <w:r>
        <w:rPr>
          <w:sz w:val="24"/>
        </w:rPr>
        <w:t>request under clause 3.11.3 in relation to the inertia-related NSCAS gap may by notice to </w:t>
      </w:r>
      <w:r>
        <w:rPr>
          <w:i/>
          <w:sz w:val="24"/>
        </w:rPr>
        <w:t>AEMO </w:t>
      </w:r>
      <w:r>
        <w:rPr>
          <w:sz w:val="24"/>
        </w:rPr>
        <w:t>elect to treat the declaration of that inertia-related NSCAS gap as if it were a notice of an </w:t>
      </w:r>
      <w:r>
        <w:rPr>
          <w:i/>
          <w:sz w:val="24"/>
        </w:rPr>
        <w:t>inertia shortfall </w:t>
      </w:r>
      <w:r>
        <w:rPr>
          <w:sz w:val="24"/>
        </w:rPr>
        <w:t>under new clause 5.20B.3(c).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in the NSCAS transition period, </w:t>
      </w:r>
      <w:r>
        <w:rPr>
          <w:i/>
          <w:sz w:val="24"/>
        </w:rPr>
        <w:t>AEMO </w:t>
      </w:r>
      <w:r>
        <w:rPr>
          <w:sz w:val="24"/>
        </w:rPr>
        <w:t>declares an inertia-related NSCAS</w:t>
      </w:r>
      <w:r>
        <w:rPr>
          <w:spacing w:val="44"/>
          <w:sz w:val="24"/>
        </w:rPr>
        <w:t> </w:t>
      </w:r>
      <w:r>
        <w:rPr>
          <w:sz w:val="24"/>
        </w:rPr>
        <w:t>gap</w:t>
      </w:r>
      <w:r>
        <w:rPr>
          <w:spacing w:val="44"/>
          <w:sz w:val="24"/>
        </w:rPr>
        <w:t> </w:t>
      </w:r>
      <w:r>
        <w:rPr>
          <w:sz w:val="24"/>
        </w:rPr>
        <w:t>in</w:t>
      </w:r>
      <w:r>
        <w:rPr>
          <w:spacing w:val="45"/>
          <w:sz w:val="24"/>
        </w:rPr>
        <w:t> </w:t>
      </w:r>
      <w:r>
        <w:rPr>
          <w:sz w:val="24"/>
        </w:rPr>
        <w:t>respect</w:t>
      </w:r>
      <w:r>
        <w:rPr>
          <w:spacing w:val="44"/>
          <w:sz w:val="24"/>
        </w:rPr>
        <w:t> </w:t>
      </w:r>
      <w:r>
        <w:rPr>
          <w:sz w:val="24"/>
        </w:rPr>
        <w:t>of</w:t>
      </w:r>
      <w:r>
        <w:rPr>
          <w:spacing w:val="45"/>
          <w:sz w:val="24"/>
        </w:rPr>
        <w:t> </w:t>
      </w:r>
      <w:r>
        <w:rPr>
          <w:sz w:val="24"/>
        </w:rPr>
        <w:t>a</w:t>
      </w:r>
      <w:r>
        <w:rPr>
          <w:spacing w:val="44"/>
          <w:sz w:val="24"/>
        </w:rPr>
        <w:t> </w:t>
      </w:r>
      <w:r>
        <w:rPr>
          <w:sz w:val="24"/>
        </w:rPr>
        <w:t>period</w:t>
      </w:r>
      <w:r>
        <w:rPr>
          <w:spacing w:val="45"/>
          <w:sz w:val="24"/>
        </w:rPr>
        <w:t> </w:t>
      </w:r>
      <w:r>
        <w:rPr>
          <w:sz w:val="24"/>
        </w:rPr>
        <w:t>starting</w:t>
      </w:r>
      <w:r>
        <w:rPr>
          <w:spacing w:val="44"/>
          <w:sz w:val="24"/>
        </w:rPr>
        <w:t> </w:t>
      </w:r>
      <w:r>
        <w:rPr>
          <w:sz w:val="24"/>
        </w:rPr>
        <w:t>12</w:t>
      </w:r>
      <w:r>
        <w:rPr>
          <w:spacing w:val="45"/>
          <w:sz w:val="24"/>
        </w:rPr>
        <w:t> </w:t>
      </w:r>
      <w:r>
        <w:rPr>
          <w:sz w:val="24"/>
        </w:rPr>
        <w:t>months</w:t>
      </w:r>
      <w:r>
        <w:rPr>
          <w:spacing w:val="44"/>
          <w:sz w:val="24"/>
        </w:rPr>
        <w:t> </w:t>
      </w:r>
      <w:r>
        <w:rPr>
          <w:sz w:val="24"/>
        </w:rPr>
        <w:t>or</w:t>
      </w:r>
      <w:r>
        <w:rPr>
          <w:spacing w:val="45"/>
          <w:sz w:val="24"/>
        </w:rPr>
        <w:t> </w:t>
      </w:r>
      <w:r>
        <w:rPr>
          <w:sz w:val="24"/>
        </w:rPr>
        <w:t>more</w:t>
      </w:r>
      <w:r>
        <w:rPr>
          <w:spacing w:val="44"/>
          <w:sz w:val="24"/>
        </w:rPr>
        <w:t> </w:t>
      </w:r>
      <w:r>
        <w:rPr>
          <w:sz w:val="24"/>
        </w:rPr>
        <w:t>after</w:t>
      </w:r>
      <w:r>
        <w:rPr>
          <w:spacing w:val="45"/>
          <w:sz w:val="24"/>
        </w:rPr>
        <w:t> </w:t>
      </w:r>
      <w:r>
        <w:rPr>
          <w:sz w:val="24"/>
        </w:rPr>
        <w:t>the</w:t>
      </w:r>
    </w:p>
    <w:p>
      <w:pPr>
        <w:spacing w:after="0" w:line="240" w:lineRule="auto"/>
        <w:jc w:val="both"/>
        <w:rPr>
          <w:sz w:val="24"/>
        </w:rPr>
        <w:sectPr>
          <w:pgSz w:w="11910" w:h="16840"/>
          <w:pgMar w:header="686" w:footer="637" w:top="1320" w:bottom="820" w:left="1200" w:right="1000"/>
        </w:sectPr>
      </w:pPr>
    </w:p>
    <w:p>
      <w:pPr>
        <w:spacing w:before="83"/>
        <w:ind w:left="1919" w:right="415" w:firstLine="0"/>
        <w:jc w:val="both"/>
        <w:rPr>
          <w:sz w:val="24"/>
        </w:rPr>
      </w:pPr>
      <w:r>
        <w:rPr>
          <w:sz w:val="24"/>
        </w:rPr>
        <w:t>declaration is made, a </w:t>
      </w:r>
      <w:r>
        <w:rPr>
          <w:i/>
          <w:sz w:val="24"/>
        </w:rPr>
        <w:t>Transmission Network Service Provider </w:t>
      </w:r>
      <w:r>
        <w:rPr>
          <w:sz w:val="24"/>
        </w:rPr>
        <w:t>given a request under clause 3.11.3 in relation to the inertia-related NSCAS gap must treat the declaration of that inertia-related NSCAS gap as if it were a notice of an </w:t>
      </w:r>
      <w:r>
        <w:rPr>
          <w:i/>
          <w:sz w:val="24"/>
        </w:rPr>
        <w:t>inertia shortfall </w:t>
      </w:r>
      <w:r>
        <w:rPr>
          <w:sz w:val="24"/>
        </w:rPr>
        <w:t>under new clause</w:t>
      </w:r>
      <w:r>
        <w:rPr>
          <w:spacing w:val="-3"/>
          <w:sz w:val="24"/>
        </w:rPr>
        <w:t> </w:t>
      </w:r>
      <w:r>
        <w:rPr>
          <w:sz w:val="24"/>
        </w:rPr>
        <w:t>5.20B.3(c).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Where in accordance with paragraph (a) or (b) a </w:t>
      </w:r>
      <w:r>
        <w:rPr>
          <w:i/>
          <w:sz w:val="24"/>
        </w:rPr>
        <w:t>Transmission Network </w:t>
      </w:r>
      <w:r>
        <w:rPr>
          <w:i/>
          <w:sz w:val="24"/>
        </w:rPr>
        <w:t>Service Provider </w:t>
      </w:r>
      <w:r>
        <w:rPr>
          <w:sz w:val="24"/>
        </w:rPr>
        <w:t>elects or is required to treat a declaration of an inertia- related NSCAS gap as if it were notice of an </w:t>
      </w:r>
      <w:r>
        <w:rPr>
          <w:i/>
          <w:sz w:val="24"/>
        </w:rPr>
        <w:t>inertia shortfall </w:t>
      </w:r>
      <w:r>
        <w:rPr>
          <w:sz w:val="24"/>
        </w:rPr>
        <w:t>under new clause</w:t>
      </w:r>
      <w:r>
        <w:rPr>
          <w:spacing w:val="-1"/>
          <w:sz w:val="24"/>
        </w:rPr>
        <w:t> </w:t>
      </w:r>
      <w:r>
        <w:rPr>
          <w:sz w:val="24"/>
        </w:rPr>
        <w:t>5.20B.3(c):</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w:t>
      </w:r>
      <w:r>
        <w:rPr>
          <w:i/>
          <w:sz w:val="24"/>
        </w:rPr>
        <w:t>Transmission Network Service Provider </w:t>
      </w:r>
      <w:r>
        <w:rPr>
          <w:sz w:val="24"/>
        </w:rPr>
        <w:t>must make </w:t>
      </w:r>
      <w:r>
        <w:rPr>
          <w:i/>
          <w:sz w:val="24"/>
        </w:rPr>
        <w:t>inertia </w:t>
      </w:r>
      <w:r>
        <w:rPr>
          <w:i/>
          <w:sz w:val="24"/>
        </w:rPr>
        <w:t>network services </w:t>
      </w:r>
      <w:r>
        <w:rPr>
          <w:sz w:val="24"/>
        </w:rPr>
        <w:t>available in accordance with new clause</w:t>
      </w:r>
      <w:r>
        <w:rPr>
          <w:spacing w:val="-11"/>
          <w:sz w:val="24"/>
        </w:rPr>
        <w:t> </w:t>
      </w:r>
      <w:r>
        <w:rPr>
          <w:sz w:val="24"/>
        </w:rPr>
        <w:t>5.20B.4(b);</w:t>
      </w:r>
    </w:p>
    <w:p>
      <w:pPr>
        <w:pStyle w:val="ListParagraph"/>
        <w:numPr>
          <w:ilvl w:val="4"/>
          <w:numId w:val="850"/>
        </w:numPr>
        <w:tabs>
          <w:tab w:pos="2486" w:val="left" w:leader="none"/>
        </w:tabs>
        <w:spacing w:line="240" w:lineRule="auto" w:before="120" w:after="0"/>
        <w:ind w:left="2486" w:right="415" w:hanging="567"/>
        <w:jc w:val="both"/>
        <w:rPr>
          <w:sz w:val="24"/>
        </w:rPr>
      </w:pPr>
      <w:r>
        <w:rPr>
          <w:i/>
          <w:sz w:val="24"/>
        </w:rPr>
        <w:t>AEMO </w:t>
      </w:r>
      <w:r>
        <w:rPr>
          <w:sz w:val="24"/>
        </w:rPr>
        <w:t>and the </w:t>
      </w:r>
      <w:r>
        <w:rPr>
          <w:i/>
          <w:sz w:val="24"/>
        </w:rPr>
        <w:t>Transmission Network Service Provider </w:t>
      </w:r>
      <w:r>
        <w:rPr>
          <w:sz w:val="24"/>
        </w:rPr>
        <w:t>must otherwise comply with new rule 5.20B as if the notice had been given under new clause 5.20B.3(c);</w:t>
      </w:r>
      <w:r>
        <w:rPr>
          <w:spacing w:val="-2"/>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clause 5.16.3 regarding the </w:t>
      </w:r>
      <w:r>
        <w:rPr>
          <w:i/>
          <w:sz w:val="24"/>
        </w:rPr>
        <w:t>regulatory investment test for </w:t>
      </w:r>
      <w:r>
        <w:rPr>
          <w:i/>
          <w:sz w:val="24"/>
        </w:rPr>
        <w:t>transmission</w:t>
      </w:r>
      <w:r>
        <w:rPr>
          <w:sz w:val="24"/>
        </w:rPr>
        <w:t>, clause 6A.7.3(a1) regarding </w:t>
      </w:r>
      <w:r>
        <w:rPr>
          <w:i/>
          <w:sz w:val="24"/>
        </w:rPr>
        <w:t>pass through events </w:t>
      </w:r>
      <w:r>
        <w:rPr>
          <w:sz w:val="24"/>
        </w:rPr>
        <w:t>and </w:t>
      </w:r>
      <w:r>
        <w:rPr>
          <w:spacing w:val="-4"/>
          <w:sz w:val="24"/>
        </w:rPr>
        <w:t>the </w:t>
      </w:r>
      <w:r>
        <w:rPr>
          <w:sz w:val="24"/>
        </w:rPr>
        <w:t>related definitions apply in relation to </w:t>
      </w:r>
      <w:r>
        <w:rPr>
          <w:i/>
          <w:sz w:val="24"/>
        </w:rPr>
        <w:t>inertia network services </w:t>
      </w:r>
      <w:r>
        <w:rPr>
          <w:sz w:val="24"/>
        </w:rPr>
        <w:t>made available in response to the notice as if they were new clause 5.16.3, new clause 6A.7.3(a1) and the related definitions in new Chapter</w:t>
      </w:r>
      <w:r>
        <w:rPr>
          <w:spacing w:val="-3"/>
          <w:sz w:val="24"/>
        </w:rPr>
        <w:t> </w:t>
      </w:r>
      <w:r>
        <w:rPr>
          <w:sz w:val="24"/>
        </w:rPr>
        <w:t>10.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723" w:hanging="1134"/>
        <w:jc w:val="left"/>
      </w:pPr>
      <w:bookmarkStart w:name="11.100.7 Inertia network services made a" w:id="3250"/>
      <w:bookmarkEnd w:id="3250"/>
      <w:r>
        <w:rPr>
          <w:b w:val="0"/>
        </w:rPr>
      </w:r>
      <w:bookmarkStart w:name="_bookmark1293" w:id="3251"/>
      <w:bookmarkEnd w:id="3251"/>
      <w:r>
        <w:rPr>
          <w:b w:val="0"/>
        </w:rPr>
      </w:r>
      <w:bookmarkStart w:name="_bookmark1293" w:id="3252"/>
      <w:bookmarkEnd w:id="3252"/>
      <w:r>
        <w:rPr/>
        <w:t>Inertia</w:t>
      </w:r>
      <w:r>
        <w:rPr/>
        <w:t> network services made available before the commencement date</w:t>
      </w:r>
    </w:p>
    <w:p>
      <w:pPr>
        <w:spacing w:before="120"/>
        <w:ind w:left="1352" w:right="414" w:firstLine="0"/>
        <w:jc w:val="both"/>
        <w:rPr>
          <w:sz w:val="24"/>
        </w:rPr>
      </w:pPr>
      <w:r>
        <w:rPr>
          <w:sz w:val="24"/>
        </w:rPr>
        <w:t>If a </w:t>
      </w:r>
      <w:r>
        <w:rPr>
          <w:i/>
          <w:sz w:val="24"/>
        </w:rPr>
        <w:t>Transmission Network Service Provider </w:t>
      </w:r>
      <w:r>
        <w:rPr>
          <w:sz w:val="24"/>
        </w:rPr>
        <w:t>makes </w:t>
      </w:r>
      <w:r>
        <w:rPr>
          <w:i/>
          <w:sz w:val="24"/>
        </w:rPr>
        <w:t>inertia network services </w:t>
      </w:r>
      <w:r>
        <w:rPr>
          <w:sz w:val="24"/>
        </w:rPr>
        <w:t>available under this rule 11.100 in the NSCAS transition period, new clause 3.9.7, new clause 4.4.4, new clause 4.4.9C and the related definitions in new Chapter 10 apply in respect of those </w:t>
      </w:r>
      <w:r>
        <w:rPr>
          <w:i/>
          <w:sz w:val="24"/>
        </w:rPr>
        <w:t>inertia network services </w:t>
      </w:r>
      <w:r>
        <w:rPr>
          <w:sz w:val="24"/>
        </w:rPr>
        <w:t>as if those provisions had commenced on the date the </w:t>
      </w:r>
      <w:r>
        <w:rPr>
          <w:i/>
          <w:sz w:val="24"/>
        </w:rPr>
        <w:t>inertia network services </w:t>
      </w:r>
      <w:r>
        <w:rPr>
          <w:sz w:val="24"/>
        </w:rPr>
        <w:t>were first made available and (in the case of </w:t>
      </w:r>
      <w:r>
        <w:rPr>
          <w:i/>
          <w:sz w:val="24"/>
        </w:rPr>
        <w:t>inertia network services </w:t>
      </w:r>
      <w:r>
        <w:rPr>
          <w:sz w:val="24"/>
        </w:rPr>
        <w:t>provided under clause 11.100.6) as if </w:t>
      </w:r>
      <w:r>
        <w:rPr>
          <w:i/>
          <w:sz w:val="24"/>
        </w:rPr>
        <w:t>AEMO </w:t>
      </w:r>
      <w:r>
        <w:rPr>
          <w:sz w:val="24"/>
        </w:rPr>
        <w:t>had determined a </w:t>
      </w:r>
      <w:r>
        <w:rPr>
          <w:i/>
          <w:sz w:val="24"/>
        </w:rPr>
        <w:t>secure operating level of inertia </w:t>
      </w:r>
      <w:r>
        <w:rPr>
          <w:sz w:val="24"/>
        </w:rPr>
        <w:t>for the </w:t>
      </w:r>
      <w:r>
        <w:rPr>
          <w:i/>
          <w:sz w:val="24"/>
        </w:rPr>
        <w:t>region </w:t>
      </w:r>
      <w:r>
        <w:rPr>
          <w:sz w:val="24"/>
        </w:rPr>
        <w:t>equal to the minimum level of </w:t>
      </w:r>
      <w:r>
        <w:rPr>
          <w:i/>
          <w:sz w:val="24"/>
        </w:rPr>
        <w:t>inertia </w:t>
      </w:r>
      <w:r>
        <w:rPr>
          <w:sz w:val="24"/>
        </w:rPr>
        <w:t>determined in the declaration of the inertia-related NSCAS gap.</w:t>
      </w:r>
    </w:p>
    <w:p>
      <w:pPr>
        <w:pStyle w:val="BodyText"/>
        <w:spacing w:before="10"/>
        <w:ind w:firstLine="0"/>
        <w:jc w:val="left"/>
        <w:rPr>
          <w:sz w:val="20"/>
        </w:rPr>
      </w:pPr>
    </w:p>
    <w:p>
      <w:pPr>
        <w:pStyle w:val="Heading2"/>
        <w:tabs>
          <w:tab w:pos="9317" w:val="left" w:leader="none"/>
        </w:tabs>
      </w:pPr>
      <w:bookmarkStart w:name="Part ZZZC Managing power system fault le" w:id="3253"/>
      <w:bookmarkEnd w:id="3253"/>
      <w:r>
        <w:rPr>
          <w:b w:val="0"/>
        </w:rPr>
      </w:r>
      <w:bookmarkStart w:name="_bookmark1294" w:id="3254"/>
      <w:bookmarkEnd w:id="3254"/>
      <w:r>
        <w:rPr>
          <w:b w:val="0"/>
        </w:rPr>
      </w:r>
      <w:r>
        <w:rPr>
          <w:shd w:fill="D9D9D9" w:color="auto" w:val="clear"/>
        </w:rPr>
        <w:t>Part ZZZC Managing power system fault</w:t>
      </w:r>
      <w:r>
        <w:rPr>
          <w:spacing w:val="16"/>
          <w:shd w:fill="D9D9D9" w:color="auto" w:val="clear"/>
        </w:rPr>
        <w:t> </w:t>
      </w:r>
      <w:r>
        <w:rPr>
          <w:shd w:fill="D9D9D9" w:color="auto" w:val="clear"/>
        </w:rPr>
        <w:t>levels</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01  Rules consequential on the makin" w:id="3255"/>
      <w:bookmarkEnd w:id="3255"/>
      <w:r>
        <w:rPr>
          <w:b w:val="0"/>
        </w:rPr>
      </w:r>
      <w:bookmarkStart w:name="_bookmark1295" w:id="3256"/>
      <w:bookmarkEnd w:id="3256"/>
      <w:r>
        <w:rPr>
          <w:b w:val="0"/>
        </w:rPr>
      </w:r>
      <w:bookmarkStart w:name="_bookmark1295" w:id="3257"/>
      <w:bookmarkEnd w:id="3257"/>
      <w:r>
        <w:rPr/>
        <w:t>Rul</w:t>
      </w:r>
      <w:r>
        <w:rPr/>
        <w:t>es consequential on the making of the National Electricity Amendment (Managing power system fault levels) Rule</w:t>
      </w:r>
      <w:r>
        <w:rPr>
          <w:spacing w:val="-25"/>
        </w:rPr>
        <w:t> </w:t>
      </w:r>
      <w:r>
        <w:rPr/>
        <w:t>2017</w:t>
      </w:r>
    </w:p>
    <w:p>
      <w:pPr>
        <w:pStyle w:val="Heading4"/>
        <w:numPr>
          <w:ilvl w:val="2"/>
          <w:numId w:val="850"/>
        </w:numPr>
        <w:tabs>
          <w:tab w:pos="1352" w:val="left" w:leader="none"/>
        </w:tabs>
        <w:spacing w:line="240" w:lineRule="auto" w:before="240" w:after="0"/>
        <w:ind w:left="1351" w:right="0" w:hanging="1134"/>
        <w:jc w:val="left"/>
      </w:pPr>
      <w:bookmarkStart w:name="11.101.1  Definitions" w:id="3258"/>
      <w:bookmarkEnd w:id="3258"/>
      <w:r>
        <w:rPr>
          <w:b w:val="0"/>
        </w:rPr>
      </w:r>
      <w:bookmarkStart w:name="_bookmark1296" w:id="3259"/>
      <w:bookmarkEnd w:id="3259"/>
      <w:r>
        <w:rPr>
          <w:b w:val="0"/>
        </w:rPr>
      </w:r>
      <w:bookmarkStart w:name="_bookmark1296" w:id="3260"/>
      <w:bookmarkEnd w:id="3260"/>
      <w:r>
        <w:rPr/>
        <w:t>Definition</w:t>
      </w:r>
      <w:r>
        <w:rPr/>
        <w:t>s</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In this rule</w:t>
      </w:r>
      <w:r>
        <w:rPr>
          <w:spacing w:val="-1"/>
          <w:sz w:val="24"/>
        </w:rPr>
        <w:t> </w:t>
      </w:r>
      <w:r>
        <w:rPr>
          <w:sz w:val="24"/>
        </w:rPr>
        <w:t>11.101:</w:t>
      </w:r>
    </w:p>
    <w:p>
      <w:pPr>
        <w:spacing w:before="120"/>
        <w:ind w:left="1919" w:right="415" w:firstLine="0"/>
        <w:jc w:val="left"/>
        <w:rPr>
          <w:sz w:val="24"/>
        </w:rPr>
      </w:pPr>
      <w:r>
        <w:rPr>
          <w:b/>
          <w:sz w:val="24"/>
        </w:rPr>
        <w:t>Amending Rule </w:t>
      </w:r>
      <w:r>
        <w:rPr>
          <w:sz w:val="24"/>
        </w:rPr>
        <w:t>means the </w:t>
      </w:r>
      <w:r>
        <w:rPr>
          <w:i/>
          <w:sz w:val="24"/>
        </w:rPr>
        <w:t>National Electricity Amendment (Managing </w:t>
      </w:r>
      <w:r>
        <w:rPr>
          <w:i/>
          <w:sz w:val="24"/>
        </w:rPr>
        <w:t>power system fault levels) Rule 2017</w:t>
      </w:r>
      <w:r>
        <w:rPr>
          <w:sz w:val="24"/>
        </w:rPr>
        <w:t>.</w:t>
      </w:r>
    </w:p>
    <w:p>
      <w:pPr>
        <w:pStyle w:val="BodyText"/>
        <w:ind w:left="1919" w:right="415" w:firstLine="0"/>
        <w:jc w:val="left"/>
      </w:pPr>
      <w:r>
        <w:rPr>
          <w:b/>
        </w:rPr>
        <w:t>commencement date </w:t>
      </w:r>
      <w:r>
        <w:rPr/>
        <w:t>means the date of commencement of Schedules 4,5,6,7,8 and 9 of the Amending Rule.</w:t>
      </w:r>
    </w:p>
    <w:p>
      <w:pPr>
        <w:spacing w:before="120"/>
        <w:ind w:left="1919" w:right="0" w:firstLine="0"/>
        <w:jc w:val="left"/>
        <w:rPr>
          <w:sz w:val="24"/>
        </w:rPr>
      </w:pPr>
      <w:r>
        <w:rPr>
          <w:b/>
          <w:sz w:val="24"/>
        </w:rPr>
        <w:t>new Chapter 10 </w:t>
      </w:r>
      <w:r>
        <w:rPr>
          <w:sz w:val="24"/>
        </w:rPr>
        <w:t>means Chapter 10 as amended by the Amending Rule.</w:t>
      </w:r>
    </w:p>
    <w:p>
      <w:pPr>
        <w:spacing w:before="120"/>
        <w:ind w:left="1919" w:right="415" w:firstLine="0"/>
        <w:jc w:val="left"/>
        <w:rPr>
          <w:sz w:val="24"/>
        </w:rPr>
      </w:pPr>
      <w:r>
        <w:rPr>
          <w:b/>
          <w:sz w:val="24"/>
        </w:rPr>
        <w:t>new clause 3.9.7 </w:t>
      </w:r>
      <w:r>
        <w:rPr>
          <w:sz w:val="24"/>
        </w:rPr>
        <w:t>means clause 3.9.7 of the </w:t>
      </w:r>
      <w:r>
        <w:rPr>
          <w:i/>
          <w:sz w:val="24"/>
        </w:rPr>
        <w:t>Rules </w:t>
      </w:r>
      <w:r>
        <w:rPr>
          <w:sz w:val="24"/>
        </w:rPr>
        <w:t>as will be in force immediately after the commencement date.</w:t>
      </w:r>
    </w:p>
    <w:p>
      <w:pPr>
        <w:spacing w:after="0"/>
        <w:jc w:val="left"/>
        <w:rPr>
          <w:sz w:val="24"/>
        </w:rPr>
        <w:sectPr>
          <w:pgSz w:w="11910" w:h="16840"/>
          <w:pgMar w:header="686" w:footer="637" w:top="1320" w:bottom="820" w:left="1200" w:right="1000"/>
        </w:sectPr>
      </w:pPr>
    </w:p>
    <w:p>
      <w:pPr>
        <w:spacing w:before="83"/>
        <w:ind w:left="1919" w:right="415" w:firstLine="0"/>
        <w:jc w:val="both"/>
        <w:rPr>
          <w:sz w:val="24"/>
        </w:rPr>
      </w:pPr>
      <w:r>
        <w:rPr>
          <w:b/>
          <w:sz w:val="24"/>
        </w:rPr>
        <w:t>new clause 4.4.4 </w:t>
      </w:r>
      <w:r>
        <w:rPr>
          <w:sz w:val="24"/>
        </w:rPr>
        <w:t>means clause 4.4.4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4.4.9C </w:t>
      </w:r>
      <w:r>
        <w:rPr>
          <w:sz w:val="24"/>
        </w:rPr>
        <w:t>means clause 4.4.9C of the </w:t>
      </w:r>
      <w:r>
        <w:rPr>
          <w:i/>
          <w:sz w:val="24"/>
        </w:rPr>
        <w:t>Rules </w:t>
      </w:r>
      <w:r>
        <w:rPr>
          <w:sz w:val="24"/>
        </w:rPr>
        <w:t>as will be in force immediately after the commencement</w:t>
      </w:r>
      <w:r>
        <w:rPr>
          <w:spacing w:val="-1"/>
          <w:sz w:val="24"/>
        </w:rPr>
        <w:t> </w:t>
      </w:r>
      <w:r>
        <w:rPr>
          <w:sz w:val="24"/>
        </w:rPr>
        <w:t>date.</w:t>
      </w:r>
    </w:p>
    <w:p>
      <w:pPr>
        <w:pStyle w:val="BodyText"/>
        <w:ind w:left="1919" w:right="415" w:firstLine="0"/>
      </w:pPr>
      <w:r>
        <w:rPr>
          <w:b/>
        </w:rPr>
        <w:t>new clause 4.6.6 </w:t>
      </w:r>
      <w:r>
        <w:rPr/>
        <w:t>means clause 4.6.6 of the </w:t>
      </w:r>
      <w:r>
        <w:rPr>
          <w:i/>
        </w:rPr>
        <w:t>Rules </w:t>
      </w:r>
      <w:r>
        <w:rPr/>
        <w:t>as will be in force immediately after the Schedule 1 to 3 commencement date.</w:t>
      </w:r>
    </w:p>
    <w:p>
      <w:pPr>
        <w:spacing w:before="120"/>
        <w:ind w:left="1919" w:right="415" w:firstLine="0"/>
        <w:jc w:val="both"/>
        <w:rPr>
          <w:sz w:val="24"/>
        </w:rPr>
      </w:pPr>
      <w:r>
        <w:rPr>
          <w:b/>
          <w:sz w:val="24"/>
        </w:rPr>
        <w:t>new clause 5.16.3 </w:t>
      </w:r>
      <w:r>
        <w:rPr>
          <w:sz w:val="24"/>
        </w:rPr>
        <w:t>means clause 5.16.3 of the </w:t>
      </w:r>
      <w:r>
        <w:rPr>
          <w:i/>
          <w:sz w:val="24"/>
        </w:rPr>
        <w:t>Rules </w:t>
      </w:r>
      <w:r>
        <w:rPr>
          <w:sz w:val="24"/>
        </w:rPr>
        <w:t>as will be in force immediately after the commencement date.</w:t>
      </w:r>
    </w:p>
    <w:p>
      <w:pPr>
        <w:spacing w:before="120"/>
        <w:ind w:left="1919" w:right="415" w:firstLine="0"/>
        <w:jc w:val="both"/>
        <w:rPr>
          <w:sz w:val="24"/>
        </w:rPr>
      </w:pPr>
      <w:r>
        <w:rPr>
          <w:b/>
          <w:sz w:val="24"/>
        </w:rPr>
        <w:t>new clause 5.20.1(a)(3) </w:t>
      </w:r>
      <w:r>
        <w:rPr>
          <w:sz w:val="24"/>
        </w:rPr>
        <w:t>means clause 5.20.1(a)(3) of the </w:t>
      </w:r>
      <w:r>
        <w:rPr>
          <w:i/>
          <w:sz w:val="24"/>
        </w:rPr>
        <w:t>Rules </w:t>
      </w:r>
      <w:r>
        <w:rPr>
          <w:sz w:val="24"/>
        </w:rPr>
        <w:t>as will be in force immediately after the commencement date.</w:t>
      </w:r>
    </w:p>
    <w:p>
      <w:pPr>
        <w:spacing w:before="120"/>
        <w:ind w:left="1919" w:right="415" w:firstLine="0"/>
        <w:jc w:val="both"/>
        <w:rPr>
          <w:sz w:val="24"/>
        </w:rPr>
      </w:pPr>
      <w:r>
        <w:rPr>
          <w:b/>
          <w:sz w:val="24"/>
        </w:rPr>
        <w:t>new clause 5.20.7(b) </w:t>
      </w:r>
      <w:r>
        <w:rPr>
          <w:sz w:val="24"/>
        </w:rPr>
        <w:t>means clause 5.20.7(b) of the </w:t>
      </w:r>
      <w:r>
        <w:rPr>
          <w:i/>
          <w:sz w:val="24"/>
        </w:rPr>
        <w:t>Rules </w:t>
      </w:r>
      <w:r>
        <w:rPr>
          <w:sz w:val="24"/>
        </w:rPr>
        <w:t>as will be in force immediately after the commencement date.</w:t>
      </w:r>
    </w:p>
    <w:p>
      <w:pPr>
        <w:spacing w:before="120"/>
        <w:ind w:left="1919" w:right="415" w:firstLine="0"/>
        <w:jc w:val="both"/>
        <w:rPr>
          <w:sz w:val="24"/>
        </w:rPr>
      </w:pPr>
      <w:r>
        <w:rPr>
          <w:b/>
          <w:sz w:val="24"/>
        </w:rPr>
        <w:t>new clause 5.20C.1(a) </w:t>
      </w:r>
      <w:r>
        <w:rPr>
          <w:sz w:val="24"/>
        </w:rPr>
        <w:t>means clause 5.20C.1(a)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5.20C.2(a) </w:t>
      </w:r>
      <w:r>
        <w:rPr>
          <w:sz w:val="24"/>
        </w:rPr>
        <w:t>means clause 5.20C.2(a)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5.20C.2(c) </w:t>
      </w:r>
      <w:r>
        <w:rPr>
          <w:sz w:val="24"/>
        </w:rPr>
        <w:t>means clause 5.20C.2(c)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5.20C.3(b) </w:t>
      </w:r>
      <w:r>
        <w:rPr>
          <w:sz w:val="24"/>
        </w:rPr>
        <w:t>means clause 5.20C.3(b)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5.20C.3(f) </w:t>
      </w:r>
      <w:r>
        <w:rPr>
          <w:sz w:val="24"/>
        </w:rPr>
        <w:t>means clause 5.20C.3(f)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5.20C.3(g) </w:t>
      </w:r>
      <w:r>
        <w:rPr>
          <w:sz w:val="24"/>
        </w:rPr>
        <w:t>means clause 5.20C.3(g) of the </w:t>
      </w:r>
      <w:r>
        <w:rPr>
          <w:i/>
          <w:sz w:val="24"/>
        </w:rPr>
        <w:t>Rules </w:t>
      </w:r>
      <w:r>
        <w:rPr>
          <w:sz w:val="24"/>
        </w:rPr>
        <w:t>as will be in force immediately after the commencement</w:t>
      </w:r>
      <w:r>
        <w:rPr>
          <w:spacing w:val="-1"/>
          <w:sz w:val="24"/>
        </w:rPr>
        <w:t> </w:t>
      </w:r>
      <w:r>
        <w:rPr>
          <w:sz w:val="24"/>
        </w:rPr>
        <w:t>date.</w:t>
      </w:r>
    </w:p>
    <w:p>
      <w:pPr>
        <w:spacing w:before="120"/>
        <w:ind w:left="1919" w:right="415" w:firstLine="0"/>
        <w:jc w:val="both"/>
        <w:rPr>
          <w:sz w:val="24"/>
        </w:rPr>
      </w:pPr>
      <w:r>
        <w:rPr>
          <w:b/>
          <w:sz w:val="24"/>
        </w:rPr>
        <w:t>new clause 6A.7.3(a1) </w:t>
      </w:r>
      <w:r>
        <w:rPr>
          <w:sz w:val="24"/>
        </w:rPr>
        <w:t>means clause 6A.7.3(a1) of the </w:t>
      </w:r>
      <w:r>
        <w:rPr>
          <w:i/>
          <w:sz w:val="24"/>
        </w:rPr>
        <w:t>Rules </w:t>
      </w:r>
      <w:r>
        <w:rPr>
          <w:sz w:val="24"/>
        </w:rPr>
        <w:t>as will be in force immediately after the commencement</w:t>
      </w:r>
      <w:r>
        <w:rPr>
          <w:spacing w:val="-1"/>
          <w:sz w:val="24"/>
        </w:rPr>
        <w:t> </w:t>
      </w:r>
      <w:r>
        <w:rPr>
          <w:sz w:val="24"/>
        </w:rPr>
        <w:t>date.</w:t>
      </w:r>
    </w:p>
    <w:p>
      <w:pPr>
        <w:pStyle w:val="BodyText"/>
        <w:ind w:left="1919" w:right="415" w:firstLine="0"/>
      </w:pPr>
      <w:r>
        <w:rPr>
          <w:b/>
        </w:rPr>
        <w:t>new rule 5.20C </w:t>
      </w:r>
      <w:r>
        <w:rPr/>
        <w:t>means rule 5.20C of the </w:t>
      </w:r>
      <w:r>
        <w:rPr>
          <w:i/>
        </w:rPr>
        <w:t>Rules </w:t>
      </w:r>
      <w:r>
        <w:rPr/>
        <w:t>as will be in force immediately after the commencement date.</w:t>
      </w:r>
    </w:p>
    <w:p>
      <w:pPr>
        <w:spacing w:before="120"/>
        <w:ind w:left="1919" w:right="415" w:firstLine="0"/>
        <w:jc w:val="both"/>
        <w:rPr>
          <w:sz w:val="24"/>
        </w:rPr>
      </w:pPr>
      <w:r>
        <w:rPr>
          <w:b/>
          <w:sz w:val="24"/>
        </w:rPr>
        <w:t>Schedule 1 to 3 commencement date </w:t>
      </w:r>
      <w:r>
        <w:rPr>
          <w:sz w:val="24"/>
        </w:rPr>
        <w:t>means the date of commencement of Schedules 1 to 3 of the Amending Rule.</w:t>
      </w:r>
    </w:p>
    <w:p>
      <w:pPr>
        <w:spacing w:before="120"/>
        <w:ind w:left="1919" w:right="414" w:firstLine="0"/>
        <w:jc w:val="both"/>
        <w:rPr>
          <w:sz w:val="24"/>
        </w:rPr>
      </w:pPr>
      <w:r>
        <w:rPr>
          <w:b/>
          <w:sz w:val="24"/>
        </w:rPr>
        <w:t>system strength-related NSCAS gap </w:t>
      </w:r>
      <w:r>
        <w:rPr>
          <w:sz w:val="24"/>
        </w:rPr>
        <w:t>means an </w:t>
      </w:r>
      <w:r>
        <w:rPr>
          <w:i/>
          <w:sz w:val="24"/>
        </w:rPr>
        <w:t>NSCAS gap </w:t>
      </w:r>
      <w:r>
        <w:rPr>
          <w:sz w:val="24"/>
        </w:rPr>
        <w:t>that is a shortfall in the </w:t>
      </w:r>
      <w:r>
        <w:rPr>
          <w:i/>
          <w:sz w:val="24"/>
        </w:rPr>
        <w:t>three phase fault level </w:t>
      </w:r>
      <w:r>
        <w:rPr>
          <w:sz w:val="24"/>
        </w:rPr>
        <w:t>typically provided at a </w:t>
      </w:r>
      <w:r>
        <w:rPr>
          <w:i/>
          <w:sz w:val="24"/>
        </w:rPr>
        <w:t>fault level node </w:t>
      </w:r>
      <w:r>
        <w:rPr>
          <w:sz w:val="24"/>
        </w:rPr>
        <w:t>in a </w:t>
      </w:r>
      <w:r>
        <w:rPr>
          <w:i/>
          <w:sz w:val="24"/>
        </w:rPr>
        <w:t>region </w:t>
      </w:r>
      <w:r>
        <w:rPr>
          <w:sz w:val="24"/>
        </w:rPr>
        <w:t>(having regard to typical patterns of </w:t>
      </w:r>
      <w:r>
        <w:rPr>
          <w:i/>
          <w:sz w:val="24"/>
        </w:rPr>
        <w:t>dispatched generation </w:t>
      </w:r>
      <w:r>
        <w:rPr>
          <w:sz w:val="24"/>
        </w:rPr>
        <w:t>in </w:t>
      </w:r>
      <w:r>
        <w:rPr>
          <w:i/>
          <w:sz w:val="24"/>
        </w:rPr>
        <w:t>central dispatch</w:t>
      </w:r>
      <w:r>
        <w:rPr>
          <w:sz w:val="24"/>
        </w:rPr>
        <w:t>) compared to the minimum </w:t>
      </w:r>
      <w:r>
        <w:rPr>
          <w:i/>
          <w:sz w:val="24"/>
        </w:rPr>
        <w:t>three phase fault level </w:t>
      </w:r>
      <w:r>
        <w:rPr>
          <w:sz w:val="24"/>
        </w:rPr>
        <w:t>that </w:t>
      </w:r>
      <w:r>
        <w:rPr>
          <w:i/>
          <w:sz w:val="24"/>
        </w:rPr>
        <w:t>AEMO </w:t>
      </w:r>
      <w:r>
        <w:rPr>
          <w:sz w:val="24"/>
        </w:rPr>
        <w:t>reasonably considers is required to maintain the </w:t>
      </w:r>
      <w:r>
        <w:rPr>
          <w:i/>
          <w:sz w:val="24"/>
        </w:rPr>
        <w:t>power system </w:t>
      </w:r>
      <w:r>
        <w:rPr>
          <w:sz w:val="24"/>
        </w:rPr>
        <w:t>in a </w:t>
      </w:r>
      <w:r>
        <w:rPr>
          <w:i/>
          <w:sz w:val="24"/>
        </w:rPr>
        <w:t>secure operating state</w:t>
      </w:r>
      <w:r>
        <w:rPr>
          <w:sz w:val="24"/>
        </w:rPr>
        <w:t>.</w:t>
      </w:r>
    </w:p>
    <w:p>
      <w:pPr>
        <w:spacing w:before="120"/>
        <w:ind w:left="1919" w:right="416" w:firstLine="0"/>
        <w:jc w:val="both"/>
        <w:rPr>
          <w:sz w:val="24"/>
        </w:rPr>
      </w:pPr>
      <w:r>
        <w:rPr>
          <w:b/>
          <w:sz w:val="24"/>
        </w:rPr>
        <w:t>NSCAS transition period </w:t>
      </w:r>
      <w:r>
        <w:rPr>
          <w:sz w:val="24"/>
        </w:rPr>
        <w:t>means the period after the date this schedule commences and before the commencement date.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Italicised terms used in this rule 11.101 (other than </w:t>
      </w:r>
      <w:r>
        <w:rPr>
          <w:i/>
          <w:sz w:val="24"/>
        </w:rPr>
        <w:t>NSCAS gap </w:t>
      </w:r>
      <w:r>
        <w:rPr>
          <w:sz w:val="24"/>
        </w:rPr>
        <w:t>and </w:t>
      </w:r>
      <w:r>
        <w:rPr>
          <w:i/>
          <w:sz w:val="24"/>
        </w:rPr>
        <w:t>NSCAS </w:t>
      </w:r>
      <w:r>
        <w:rPr>
          <w:i/>
          <w:sz w:val="24"/>
        </w:rPr>
        <w:t>need</w:t>
      </w:r>
      <w:r>
        <w:rPr>
          <w:sz w:val="24"/>
        </w:rPr>
        <w:t>) have the same meaning as in new Chapter</w:t>
      </w:r>
      <w:r>
        <w:rPr>
          <w:spacing w:val="-3"/>
          <w:sz w:val="24"/>
        </w:rPr>
        <w:t> </w:t>
      </w:r>
      <w:r>
        <w:rPr>
          <w:sz w:val="24"/>
        </w:rPr>
        <w:t>10.</w:t>
      </w:r>
    </w:p>
    <w:p>
      <w:pPr>
        <w:spacing w:after="0" w:line="240" w:lineRule="auto"/>
        <w:jc w:val="both"/>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01.2 System strength impact assessme" w:id="3261"/>
      <w:bookmarkEnd w:id="3261"/>
      <w:r>
        <w:rPr>
          <w:b w:val="0"/>
        </w:rPr>
      </w:r>
      <w:bookmarkStart w:name="_bookmark1297" w:id="3262"/>
      <w:bookmarkEnd w:id="3262"/>
      <w:r>
        <w:rPr>
          <w:b w:val="0"/>
        </w:rPr>
      </w:r>
      <w:bookmarkStart w:name="_bookmark1297" w:id="3263"/>
      <w:bookmarkEnd w:id="3263"/>
      <w:r>
        <w:rPr/>
        <w:t>System</w:t>
      </w:r>
      <w:r>
        <w:rPr/>
        <w:t> strength impact assessment</w:t>
      </w:r>
      <w:r>
        <w:rPr>
          <w:spacing w:val="-3"/>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w:t>
      </w:r>
      <w:r>
        <w:rPr>
          <w:i/>
          <w:sz w:val="24"/>
        </w:rPr>
        <w:t>publish </w:t>
      </w:r>
      <w:r>
        <w:rPr>
          <w:sz w:val="24"/>
        </w:rPr>
        <w:t>interim </w:t>
      </w:r>
      <w:r>
        <w:rPr>
          <w:i/>
          <w:sz w:val="24"/>
        </w:rPr>
        <w:t>system strength impact assessment </w:t>
      </w:r>
      <w:r>
        <w:rPr>
          <w:i/>
          <w:sz w:val="24"/>
        </w:rPr>
        <w:t>guidelines </w:t>
      </w:r>
      <w:r>
        <w:rPr>
          <w:sz w:val="24"/>
        </w:rPr>
        <w:t>by 17 November 2017 to apply until the </w:t>
      </w:r>
      <w:r>
        <w:rPr>
          <w:i/>
          <w:sz w:val="24"/>
        </w:rPr>
        <w:t>system strength impact </w:t>
      </w:r>
      <w:r>
        <w:rPr>
          <w:i/>
          <w:sz w:val="24"/>
        </w:rPr>
        <w:t>assessment guidelines </w:t>
      </w:r>
      <w:r>
        <w:rPr>
          <w:sz w:val="24"/>
        </w:rPr>
        <w:t>are made and published under paragraph</w:t>
      </w:r>
      <w:r>
        <w:rPr>
          <w:spacing w:val="-3"/>
          <w:sz w:val="24"/>
        </w:rPr>
        <w:t> </w:t>
      </w:r>
      <w:r>
        <w:rPr>
          <w:sz w:val="24"/>
        </w:rPr>
        <w:t>(c).</w:t>
      </w:r>
    </w:p>
    <w:p>
      <w:pPr>
        <w:pStyle w:val="ListParagraph"/>
        <w:numPr>
          <w:ilvl w:val="3"/>
          <w:numId w:val="850"/>
        </w:numPr>
        <w:tabs>
          <w:tab w:pos="1919" w:val="left" w:leader="none"/>
        </w:tabs>
        <w:spacing w:line="240" w:lineRule="auto" w:before="120" w:after="0"/>
        <w:ind w:left="1918" w:right="0" w:hanging="567"/>
        <w:jc w:val="both"/>
        <w:rPr>
          <w:i/>
          <w:sz w:val="24"/>
        </w:rPr>
      </w:pPr>
      <w:r>
        <w:rPr>
          <w:i/>
          <w:sz w:val="24"/>
        </w:rPr>
        <w:t>AEMO</w:t>
      </w:r>
      <w:r>
        <w:rPr>
          <w:i/>
          <w:spacing w:val="49"/>
          <w:sz w:val="24"/>
        </w:rPr>
        <w:t> </w:t>
      </w:r>
      <w:r>
        <w:rPr>
          <w:sz w:val="24"/>
        </w:rPr>
        <w:t>is</w:t>
      </w:r>
      <w:r>
        <w:rPr>
          <w:spacing w:val="50"/>
          <w:sz w:val="24"/>
        </w:rPr>
        <w:t> </w:t>
      </w:r>
      <w:r>
        <w:rPr>
          <w:sz w:val="24"/>
        </w:rPr>
        <w:t>not</w:t>
      </w:r>
      <w:r>
        <w:rPr>
          <w:spacing w:val="49"/>
          <w:sz w:val="24"/>
        </w:rPr>
        <w:t> </w:t>
      </w:r>
      <w:r>
        <w:rPr>
          <w:sz w:val="24"/>
        </w:rPr>
        <w:t>required</w:t>
      </w:r>
      <w:r>
        <w:rPr>
          <w:spacing w:val="50"/>
          <w:sz w:val="24"/>
        </w:rPr>
        <w:t> </w:t>
      </w:r>
      <w:r>
        <w:rPr>
          <w:sz w:val="24"/>
        </w:rPr>
        <w:t>to</w:t>
      </w:r>
      <w:r>
        <w:rPr>
          <w:spacing w:val="49"/>
          <w:sz w:val="24"/>
        </w:rPr>
        <w:t> </w:t>
      </w:r>
      <w:r>
        <w:rPr>
          <w:sz w:val="24"/>
        </w:rPr>
        <w:t>comply</w:t>
      </w:r>
      <w:r>
        <w:rPr>
          <w:spacing w:val="49"/>
          <w:sz w:val="24"/>
        </w:rPr>
        <w:t> </w:t>
      </w:r>
      <w:r>
        <w:rPr>
          <w:sz w:val="24"/>
        </w:rPr>
        <w:t>with</w:t>
      </w:r>
      <w:r>
        <w:rPr>
          <w:spacing w:val="50"/>
          <w:sz w:val="24"/>
        </w:rPr>
        <w:t> </w:t>
      </w:r>
      <w:r>
        <w:rPr>
          <w:sz w:val="24"/>
        </w:rPr>
        <w:t>the</w:t>
      </w:r>
      <w:r>
        <w:rPr>
          <w:spacing w:val="49"/>
          <w:sz w:val="24"/>
        </w:rPr>
        <w:t> </w:t>
      </w:r>
      <w:r>
        <w:rPr>
          <w:i/>
          <w:sz w:val="24"/>
        </w:rPr>
        <w:t>Rules</w:t>
      </w:r>
      <w:r>
        <w:rPr>
          <w:i/>
          <w:spacing w:val="50"/>
          <w:sz w:val="24"/>
        </w:rPr>
        <w:t> </w:t>
      </w:r>
      <w:r>
        <w:rPr>
          <w:i/>
          <w:sz w:val="24"/>
        </w:rPr>
        <w:t>consultation</w:t>
      </w:r>
      <w:r>
        <w:rPr>
          <w:i/>
          <w:spacing w:val="49"/>
          <w:sz w:val="24"/>
        </w:rPr>
        <w:t> </w:t>
      </w:r>
      <w:r>
        <w:rPr>
          <w:i/>
          <w:sz w:val="24"/>
        </w:rPr>
        <w:t>procedure</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w:t>
      </w:r>
      <w:r>
        <w:rPr>
          <w:i/>
          <w:sz w:val="24"/>
        </w:rPr>
        <w:t>publish system strength impact assessment </w:t>
      </w:r>
      <w:r>
        <w:rPr>
          <w:i/>
          <w:sz w:val="24"/>
        </w:rPr>
        <w:t>guidelines </w:t>
      </w:r>
      <w:r>
        <w:rPr>
          <w:sz w:val="24"/>
        </w:rPr>
        <w:t>under new clause 4.6.6 by 1 July 2018 and in doing so must comply with the </w:t>
      </w:r>
      <w:r>
        <w:rPr>
          <w:i/>
          <w:sz w:val="24"/>
        </w:rPr>
        <w:t>Rules consultation</w:t>
      </w:r>
      <w:r>
        <w:rPr>
          <w:i/>
          <w:spacing w:val="-1"/>
          <w:sz w:val="24"/>
        </w:rPr>
        <w:t>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1.3 System strength requirements me" w:id="3264"/>
      <w:bookmarkEnd w:id="3264"/>
      <w:r>
        <w:rPr>
          <w:b w:val="0"/>
        </w:rPr>
      </w:r>
      <w:bookmarkStart w:name="_bookmark1298" w:id="3265"/>
      <w:bookmarkEnd w:id="3265"/>
      <w:r>
        <w:rPr>
          <w:b w:val="0"/>
        </w:rPr>
      </w:r>
      <w:bookmarkStart w:name="_bookmark1298" w:id="3266"/>
      <w:bookmarkEnd w:id="3266"/>
      <w:r>
        <w:rPr/>
        <w:t>System</w:t>
      </w:r>
      <w:r>
        <w:rPr/>
        <w:t> strength requirements</w:t>
      </w:r>
      <w:r>
        <w:rPr>
          <w:spacing w:val="-3"/>
        </w:rPr>
        <w:t> </w:t>
      </w:r>
      <w:r>
        <w:rPr/>
        <w:t>methodology</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30 June 2018, </w:t>
      </w:r>
      <w:r>
        <w:rPr>
          <w:i/>
          <w:sz w:val="24"/>
        </w:rPr>
        <w:t>AEMO </w:t>
      </w:r>
      <w:r>
        <w:rPr>
          <w:sz w:val="24"/>
        </w:rPr>
        <w:t>must determine and </w:t>
      </w:r>
      <w:r>
        <w:rPr>
          <w:i/>
          <w:sz w:val="24"/>
        </w:rPr>
        <w:t>publish </w:t>
      </w:r>
      <w:r>
        <w:rPr>
          <w:sz w:val="24"/>
        </w:rPr>
        <w:t>a methodology setting out the process </w:t>
      </w:r>
      <w:r>
        <w:rPr>
          <w:i/>
          <w:sz w:val="24"/>
        </w:rPr>
        <w:t>AEMO </w:t>
      </w:r>
      <w:r>
        <w:rPr>
          <w:sz w:val="24"/>
        </w:rPr>
        <w:t>will use to determine the </w:t>
      </w:r>
      <w:r>
        <w:rPr>
          <w:i/>
          <w:sz w:val="24"/>
        </w:rPr>
        <w:t>system strength </w:t>
      </w:r>
      <w:r>
        <w:rPr>
          <w:i/>
          <w:sz w:val="24"/>
        </w:rPr>
        <w:t>requirements </w:t>
      </w:r>
      <w:r>
        <w:rPr>
          <w:sz w:val="24"/>
        </w:rPr>
        <w:t>for each </w:t>
      </w:r>
      <w:r>
        <w:rPr>
          <w:i/>
          <w:sz w:val="24"/>
        </w:rPr>
        <w:t>region</w:t>
      </w:r>
      <w:r>
        <w:rPr>
          <w:sz w:val="24"/>
        </w:rPr>
        <w:t>. The methodology must provide for </w:t>
      </w:r>
      <w:r>
        <w:rPr>
          <w:i/>
          <w:sz w:val="24"/>
        </w:rPr>
        <w:t>AEMO </w:t>
      </w:r>
      <w:r>
        <w:rPr>
          <w:sz w:val="24"/>
        </w:rPr>
        <w:t>to take into account the matters listed in new clause 5.20.7(b) in determining the </w:t>
      </w:r>
      <w:r>
        <w:rPr>
          <w:i/>
          <w:sz w:val="24"/>
        </w:rPr>
        <w:t>system strength</w:t>
      </w:r>
      <w:r>
        <w:rPr>
          <w:i/>
          <w:spacing w:val="-2"/>
          <w:sz w:val="24"/>
        </w:rPr>
        <w:t> </w:t>
      </w:r>
      <w:r>
        <w:rPr>
          <w:i/>
          <w:sz w:val="24"/>
        </w:rPr>
        <w:t>requirements</w:t>
      </w:r>
      <w:r>
        <w:rPr>
          <w:sz w:val="24"/>
        </w:rPr>
        <w:t>.</w:t>
      </w:r>
    </w:p>
    <w:p>
      <w:pPr>
        <w:pStyle w:val="ListParagraph"/>
        <w:numPr>
          <w:ilvl w:val="3"/>
          <w:numId w:val="850"/>
        </w:numPr>
        <w:tabs>
          <w:tab w:pos="1919" w:val="left" w:leader="none"/>
        </w:tabs>
        <w:spacing w:line="240" w:lineRule="auto" w:before="120" w:after="0"/>
        <w:ind w:left="1919" w:right="416" w:hanging="567"/>
        <w:jc w:val="both"/>
        <w:rPr>
          <w:sz w:val="24"/>
        </w:rPr>
      </w:pPr>
      <w:r>
        <w:rPr>
          <w:i/>
          <w:sz w:val="24"/>
        </w:rPr>
        <w:t>AEMO </w:t>
      </w:r>
      <w:r>
        <w:rPr>
          <w:sz w:val="24"/>
        </w:rPr>
        <w:t>must include an explanation of the differences between </w:t>
      </w:r>
      <w:r>
        <w:rPr>
          <w:spacing w:val="-4"/>
          <w:sz w:val="24"/>
        </w:rPr>
        <w:t>the </w:t>
      </w:r>
      <w:r>
        <w:rPr>
          <w:sz w:val="24"/>
        </w:rPr>
        <w:t>methodology determined under paragraph (a) and the first </w:t>
      </w:r>
      <w:r>
        <w:rPr>
          <w:i/>
          <w:sz w:val="24"/>
        </w:rPr>
        <w:t>system strength </w:t>
      </w:r>
      <w:r>
        <w:rPr>
          <w:i/>
          <w:sz w:val="24"/>
        </w:rPr>
        <w:t>requirements methodology </w:t>
      </w:r>
      <w:r>
        <w:rPr>
          <w:sz w:val="24"/>
        </w:rPr>
        <w:t>published in accordance with new clause 5.20.1(a)(3).</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1.4 System strength requirements" w:id="3267"/>
      <w:bookmarkEnd w:id="3267"/>
      <w:r>
        <w:rPr>
          <w:b w:val="0"/>
        </w:rPr>
      </w:r>
      <w:bookmarkStart w:name="_bookmark1299" w:id="3268"/>
      <w:bookmarkEnd w:id="3268"/>
      <w:r>
        <w:rPr>
          <w:b w:val="0"/>
        </w:rPr>
      </w:r>
      <w:bookmarkStart w:name="_bookmark1299" w:id="3269"/>
      <w:bookmarkEnd w:id="3269"/>
      <w:r>
        <w:rPr/>
        <w:t>System</w:t>
      </w:r>
      <w:r>
        <w:rPr/>
        <w:t> strength</w:t>
      </w:r>
      <w:r>
        <w:rPr>
          <w:spacing w:val="-2"/>
        </w:rPr>
        <w:t> </w:t>
      </w:r>
      <w:r>
        <w:rPr/>
        <w:t>requirements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 determination of the </w:t>
      </w:r>
      <w:r>
        <w:rPr>
          <w:i/>
          <w:sz w:val="24"/>
        </w:rPr>
        <w:t>system strength requirements </w:t>
      </w:r>
      <w:r>
        <w:rPr>
          <w:sz w:val="24"/>
        </w:rPr>
        <w:t>for each </w:t>
      </w:r>
      <w:r>
        <w:rPr>
          <w:i/>
          <w:sz w:val="24"/>
        </w:rPr>
        <w:t>region </w:t>
      </w:r>
      <w:r>
        <w:rPr>
          <w:sz w:val="24"/>
        </w:rPr>
        <w:t>under new clause 5.20C.1(a) and make the assessments required under new clause 5.20C.2(a) by 30 June 2018 applying the methodology determined under clause 11.101.3(a) as if it were a </w:t>
      </w:r>
      <w:r>
        <w:rPr>
          <w:i/>
          <w:sz w:val="24"/>
        </w:rPr>
        <w:t>system strength </w:t>
      </w:r>
      <w:r>
        <w:rPr>
          <w:i/>
          <w:sz w:val="24"/>
        </w:rPr>
        <w:t>requirements</w:t>
      </w:r>
      <w:r>
        <w:rPr>
          <w:i/>
          <w:spacing w:val="-2"/>
          <w:sz w:val="24"/>
        </w:rPr>
        <w:t> </w:t>
      </w:r>
      <w:r>
        <w:rPr>
          <w:i/>
          <w:sz w:val="24"/>
        </w:rPr>
        <w:t>methodology</w:t>
      </w:r>
      <w:r>
        <w:rPr>
          <w:sz w:val="24"/>
        </w:rPr>
        <w:t>.</w:t>
      </w:r>
    </w:p>
    <w:p>
      <w:pPr>
        <w:pStyle w:val="ListParagraph"/>
        <w:numPr>
          <w:ilvl w:val="3"/>
          <w:numId w:val="850"/>
        </w:numPr>
        <w:tabs>
          <w:tab w:pos="1919" w:val="left" w:leader="none"/>
        </w:tabs>
        <w:spacing w:line="240" w:lineRule="auto" w:before="120" w:after="0"/>
        <w:ind w:left="1919" w:right="413" w:hanging="567"/>
        <w:jc w:val="both"/>
        <w:rPr>
          <w:sz w:val="24"/>
        </w:rPr>
      </w:pPr>
      <w:r>
        <w:rPr>
          <w:sz w:val="24"/>
        </w:rPr>
        <w:t>If </w:t>
      </w:r>
      <w:r>
        <w:rPr>
          <w:i/>
          <w:sz w:val="24"/>
        </w:rPr>
        <w:t>AEMO </w:t>
      </w:r>
      <w:r>
        <w:rPr>
          <w:sz w:val="24"/>
        </w:rPr>
        <w:t>assesses that there is or is likely to be a </w:t>
      </w:r>
      <w:r>
        <w:rPr>
          <w:i/>
          <w:sz w:val="24"/>
        </w:rPr>
        <w:t>fault level shortfall </w:t>
      </w:r>
      <w:r>
        <w:rPr>
          <w:sz w:val="24"/>
        </w:rPr>
        <w:t>in a </w:t>
      </w:r>
      <w:r>
        <w:rPr>
          <w:i/>
          <w:sz w:val="24"/>
        </w:rPr>
        <w:t>region </w:t>
      </w:r>
      <w:r>
        <w:rPr>
          <w:sz w:val="24"/>
        </w:rPr>
        <w:t>in its assessment carried out in accordance with paragraph (a), </w:t>
      </w:r>
      <w:r>
        <w:rPr>
          <w:i/>
          <w:sz w:val="24"/>
        </w:rPr>
        <w:t>AEMO </w:t>
      </w:r>
      <w:r>
        <w:rPr>
          <w:sz w:val="24"/>
        </w:rPr>
        <w:t>must as soon as practicable after making that assessment </w:t>
      </w:r>
      <w:r>
        <w:rPr>
          <w:i/>
          <w:sz w:val="24"/>
        </w:rPr>
        <w:t>publish </w:t>
      </w:r>
      <w:r>
        <w:rPr>
          <w:sz w:val="24"/>
        </w:rPr>
        <w:t>and give to the </w:t>
      </w:r>
      <w:r>
        <w:rPr>
          <w:i/>
          <w:sz w:val="24"/>
        </w:rPr>
        <w:t>System Strength Service Provider </w:t>
      </w:r>
      <w:r>
        <w:rPr>
          <w:sz w:val="24"/>
        </w:rPr>
        <w:t>for the </w:t>
      </w:r>
      <w:r>
        <w:rPr>
          <w:i/>
          <w:sz w:val="24"/>
        </w:rPr>
        <w:t>region </w:t>
      </w:r>
      <w:r>
        <w:rPr>
          <w:sz w:val="24"/>
        </w:rPr>
        <w:t>a notice of that assessment that includes </w:t>
      </w:r>
      <w:r>
        <w:rPr>
          <w:i/>
          <w:sz w:val="24"/>
        </w:rPr>
        <w:t>AEMO</w:t>
      </w:r>
      <w:r>
        <w:rPr>
          <w:sz w:val="24"/>
        </w:rPr>
        <w:t>'s specification</w:t>
      </w:r>
      <w:r>
        <w:rPr>
          <w:spacing w:val="-3"/>
          <w:sz w:val="24"/>
        </w:rPr>
        <w:t> </w:t>
      </w:r>
      <w:r>
        <w:rPr>
          <w:sz w:val="24"/>
        </w:rPr>
        <w:t>of:</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extent of the </w:t>
      </w:r>
      <w:r>
        <w:rPr>
          <w:i/>
          <w:sz w:val="24"/>
        </w:rPr>
        <w:t>fault level shortfall</w:t>
      </w:r>
      <w:r>
        <w:rPr>
          <w:sz w:val="24"/>
        </w:rPr>
        <w:t>;</w:t>
      </w:r>
      <w:r>
        <w:rPr>
          <w:spacing w:val="-3"/>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date by which the </w:t>
      </w:r>
      <w:r>
        <w:rPr>
          <w:i/>
          <w:sz w:val="24"/>
        </w:rPr>
        <w:t>System Strength Service Provider </w:t>
      </w:r>
      <w:r>
        <w:rPr>
          <w:sz w:val="24"/>
        </w:rPr>
        <w:t>must ensure the availability of </w:t>
      </w:r>
      <w:r>
        <w:rPr>
          <w:i/>
          <w:sz w:val="24"/>
        </w:rPr>
        <w:t>system strength services </w:t>
      </w:r>
      <w:r>
        <w:rPr>
          <w:sz w:val="24"/>
        </w:rPr>
        <w:t>in accordance with clause 5.20C.3(b), which must not be earlier than 1 July 2019 unless an earlier date is agreed with the </w:t>
      </w:r>
      <w:r>
        <w:rPr>
          <w:i/>
          <w:sz w:val="24"/>
        </w:rPr>
        <w:t>System Strength Service</w:t>
      </w:r>
      <w:r>
        <w:rPr>
          <w:i/>
          <w:spacing w:val="-5"/>
          <w:sz w:val="24"/>
        </w:rPr>
        <w:t> </w:t>
      </w:r>
      <w:r>
        <w:rPr>
          <w:i/>
          <w:sz w:val="24"/>
        </w:rPr>
        <w:t>Provider</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 </w:t>
      </w:r>
      <w:r>
        <w:rPr>
          <w:i/>
          <w:sz w:val="24"/>
        </w:rPr>
        <w:t>System Strength Service Provider </w:t>
      </w:r>
      <w:r>
        <w:rPr>
          <w:sz w:val="24"/>
        </w:rPr>
        <w:t>given a notice under paragraph (b) must make </w:t>
      </w:r>
      <w:r>
        <w:rPr>
          <w:i/>
          <w:sz w:val="24"/>
        </w:rPr>
        <w:t>system strength services </w:t>
      </w:r>
      <w:r>
        <w:rPr>
          <w:sz w:val="24"/>
        </w:rPr>
        <w:t>available in accordance with new clause 5.20C.3(b) and otherwise comply with new rule 5.20C as if the notice had been given under new clause</w:t>
      </w:r>
      <w:r>
        <w:rPr>
          <w:spacing w:val="-1"/>
          <w:sz w:val="24"/>
        </w:rPr>
        <w:t> </w:t>
      </w:r>
      <w:r>
        <w:rPr>
          <w:sz w:val="24"/>
        </w:rPr>
        <w:t>5.20C.2(c).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a </w:t>
      </w:r>
      <w:r>
        <w:rPr>
          <w:i/>
          <w:sz w:val="24"/>
        </w:rPr>
        <w:t>System Strength Service Provider </w:t>
      </w:r>
      <w:r>
        <w:rPr>
          <w:sz w:val="24"/>
        </w:rPr>
        <w:t>is given notice under paragraph (b) later than 30 April 2017, it is not required to include the information referred to in new clauses 5.20C.3(f) and (g) in its </w:t>
      </w:r>
      <w:r>
        <w:rPr>
          <w:i/>
          <w:sz w:val="24"/>
        </w:rPr>
        <w:t>Transmission Annual </w:t>
      </w:r>
      <w:r>
        <w:rPr>
          <w:i/>
          <w:sz w:val="24"/>
        </w:rPr>
        <w:t>Planning Report </w:t>
      </w:r>
      <w:r>
        <w:rPr>
          <w:sz w:val="24"/>
        </w:rPr>
        <w:t>due to be published by 30 June 2018, but the information must be included in its next </w:t>
      </w:r>
      <w:r>
        <w:rPr>
          <w:i/>
          <w:sz w:val="24"/>
        </w:rPr>
        <w:t>Transmission Annual Planning</w:t>
      </w:r>
      <w:r>
        <w:rPr>
          <w:i/>
          <w:spacing w:val="-3"/>
          <w:sz w:val="24"/>
        </w:rPr>
        <w:t> </w:t>
      </w:r>
      <w:r>
        <w:rPr>
          <w:i/>
          <w:sz w:val="24"/>
        </w:rPr>
        <w:t>Report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9" w:val="left" w:leader="none"/>
        </w:tabs>
        <w:spacing w:line="240" w:lineRule="auto" w:before="83" w:after="0"/>
        <w:ind w:left="1919" w:right="414" w:hanging="567"/>
        <w:jc w:val="both"/>
        <w:rPr>
          <w:sz w:val="24"/>
        </w:rPr>
      </w:pPr>
      <w:r>
        <w:rPr>
          <w:sz w:val="24"/>
        </w:rPr>
        <w:t>Where a </w:t>
      </w:r>
      <w:r>
        <w:rPr>
          <w:i/>
          <w:sz w:val="24"/>
        </w:rPr>
        <w:t>System Strength Service Provider </w:t>
      </w:r>
      <w:r>
        <w:rPr>
          <w:sz w:val="24"/>
        </w:rPr>
        <w:t>is given a notice under paragraph (b), clause 5.16.3 regarding the </w:t>
      </w:r>
      <w:r>
        <w:rPr>
          <w:i/>
          <w:sz w:val="24"/>
        </w:rPr>
        <w:t>regulatory investment test for transmission</w:t>
      </w:r>
      <w:r>
        <w:rPr>
          <w:sz w:val="24"/>
        </w:rPr>
        <w:t>, clause 6A.7.3(a1) regarding </w:t>
      </w:r>
      <w:r>
        <w:rPr>
          <w:i/>
          <w:sz w:val="24"/>
        </w:rPr>
        <w:t>pass through events </w:t>
      </w:r>
      <w:r>
        <w:rPr>
          <w:sz w:val="24"/>
        </w:rPr>
        <w:t>and the related definitions apply in relation to </w:t>
      </w:r>
      <w:r>
        <w:rPr>
          <w:i/>
          <w:sz w:val="24"/>
        </w:rPr>
        <w:t>system strength services </w:t>
      </w:r>
      <w:r>
        <w:rPr>
          <w:sz w:val="24"/>
        </w:rPr>
        <w:t>made available in response to the notice as if they were new clause 5.16.3, new clause 6A.7.3(a1) and the related definitions in new Chapter</w:t>
      </w:r>
      <w:r>
        <w:rPr>
          <w:spacing w:val="-1"/>
          <w:sz w:val="24"/>
        </w:rPr>
        <w:t> </w:t>
      </w:r>
      <w:r>
        <w:rPr>
          <w:sz w:val="24"/>
        </w:rPr>
        <w:t>10.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1.5 NSCAS not to be used to meet a " w:id="3270"/>
      <w:bookmarkEnd w:id="3270"/>
      <w:r>
        <w:rPr>
          <w:b w:val="0"/>
        </w:rPr>
      </w:r>
      <w:bookmarkStart w:name="_bookmark1300" w:id="3271"/>
      <w:bookmarkEnd w:id="3271"/>
      <w:r>
        <w:rPr>
          <w:b w:val="0"/>
        </w:rPr>
      </w:r>
      <w:bookmarkStart w:name="_bookmark1300" w:id="3272"/>
      <w:bookmarkEnd w:id="3272"/>
      <w:r>
        <w:rPr/>
        <w:t>NSCA</w:t>
      </w:r>
      <w:r>
        <w:rPr/>
        <w:t>S not to be used to meet a fault level shortfall after 1 July</w:t>
      </w:r>
      <w:r>
        <w:rPr>
          <w:spacing w:val="-30"/>
        </w:rPr>
        <w:t> </w:t>
      </w:r>
      <w:r>
        <w:rPr/>
        <w:t>2019</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Paragraphs (b) and (c) do not apply in respect of a system strength-related NSCAS gap declared on or before 19 September</w:t>
      </w:r>
      <w:r>
        <w:rPr>
          <w:spacing w:val="-3"/>
          <w:sz w:val="24"/>
        </w:rPr>
        <w:t> </w:t>
      </w:r>
      <w:r>
        <w:rPr>
          <w:sz w:val="24"/>
        </w:rPr>
        <w:t>2017.</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the NSCAS transition period, </w:t>
      </w:r>
      <w:r>
        <w:rPr>
          <w:i/>
          <w:sz w:val="24"/>
        </w:rPr>
        <w:t>AEMO </w:t>
      </w:r>
      <w:r>
        <w:rPr>
          <w:sz w:val="24"/>
        </w:rPr>
        <w:t>must not, in respect of any period after 1 July 2019, acquire </w:t>
      </w:r>
      <w:r>
        <w:rPr>
          <w:i/>
          <w:sz w:val="24"/>
        </w:rPr>
        <w:t>NSCAS </w:t>
      </w:r>
      <w:r>
        <w:rPr>
          <w:sz w:val="24"/>
        </w:rPr>
        <w:t>to meet an </w:t>
      </w:r>
      <w:r>
        <w:rPr>
          <w:i/>
          <w:sz w:val="24"/>
        </w:rPr>
        <w:t>NSCAS gap </w:t>
      </w:r>
      <w:r>
        <w:rPr>
          <w:sz w:val="24"/>
        </w:rPr>
        <w:t>in relation to a requirement for a service that is both an </w:t>
      </w:r>
      <w:r>
        <w:rPr>
          <w:i/>
          <w:sz w:val="24"/>
        </w:rPr>
        <w:t>NSCAS need </w:t>
      </w:r>
      <w:r>
        <w:rPr>
          <w:sz w:val="24"/>
        </w:rPr>
        <w:t>and is also capable of being made available as a </w:t>
      </w:r>
      <w:r>
        <w:rPr>
          <w:i/>
          <w:sz w:val="24"/>
        </w:rPr>
        <w:t>system strength service </w:t>
      </w:r>
      <w:r>
        <w:rPr>
          <w:sz w:val="24"/>
        </w:rPr>
        <w:t>to address a </w:t>
      </w:r>
      <w:r>
        <w:rPr>
          <w:i/>
          <w:sz w:val="24"/>
        </w:rPr>
        <w:t>fault level </w:t>
      </w:r>
      <w:r>
        <w:rPr>
          <w:i/>
          <w:sz w:val="24"/>
        </w:rPr>
        <w:t>shortfall </w:t>
      </w:r>
      <w:r>
        <w:rPr>
          <w:sz w:val="24"/>
        </w:rPr>
        <w:t>through the arrangements in new rule</w:t>
      </w:r>
      <w:r>
        <w:rPr>
          <w:spacing w:val="-4"/>
          <w:sz w:val="24"/>
        </w:rPr>
        <w:t> </w:t>
      </w:r>
      <w:r>
        <w:rPr>
          <w:sz w:val="24"/>
        </w:rPr>
        <w:t>5.20C.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the NSCAS transition period, a </w:t>
      </w:r>
      <w:r>
        <w:rPr>
          <w:i/>
          <w:sz w:val="24"/>
        </w:rPr>
        <w:t>Transmission Network Service Provider </w:t>
      </w:r>
      <w:r>
        <w:rPr>
          <w:sz w:val="24"/>
        </w:rPr>
        <w:t>must not, in respect of any period after 1 July 2019, put in place arrangements referred to in rule 3.11.3(b) to meet an </w:t>
      </w:r>
      <w:r>
        <w:rPr>
          <w:i/>
          <w:sz w:val="24"/>
        </w:rPr>
        <w:t>NSCAS gap </w:t>
      </w:r>
      <w:r>
        <w:rPr>
          <w:sz w:val="24"/>
        </w:rPr>
        <w:t>referred to in paragraph</w:t>
      </w:r>
      <w:r>
        <w:rPr>
          <w:spacing w:val="-1"/>
          <w:sz w:val="24"/>
        </w:rPr>
        <w:t> </w:t>
      </w:r>
      <w:r>
        <w:rPr>
          <w:sz w:val="24"/>
        </w:rPr>
        <w:t>(a).</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1257" w:hanging="1134"/>
        <w:jc w:val="left"/>
      </w:pPr>
      <w:bookmarkStart w:name="11.101.6 System strength services may be" w:id="3273"/>
      <w:bookmarkEnd w:id="3273"/>
      <w:r>
        <w:rPr>
          <w:b w:val="0"/>
        </w:rPr>
      </w:r>
      <w:bookmarkStart w:name="_bookmark1301" w:id="3274"/>
      <w:bookmarkEnd w:id="3274"/>
      <w:r>
        <w:rPr>
          <w:b w:val="0"/>
        </w:rPr>
      </w:r>
      <w:bookmarkStart w:name="_bookmark1301" w:id="3275"/>
      <w:bookmarkEnd w:id="3275"/>
      <w:r>
        <w:rPr/>
        <w:t>System</w:t>
      </w:r>
      <w:r>
        <w:rPr/>
        <w:t> strength services may be used to meet an NSCAS gap declared in the NSCAS transition</w:t>
      </w:r>
      <w:r>
        <w:rPr>
          <w:spacing w:val="-2"/>
        </w:rPr>
        <w:t> </w:t>
      </w:r>
      <w:r>
        <w:rPr/>
        <w:t>period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in the NSCAS transition period, </w:t>
      </w:r>
      <w:r>
        <w:rPr>
          <w:i/>
          <w:sz w:val="24"/>
        </w:rPr>
        <w:t>AEMO </w:t>
      </w:r>
      <w:r>
        <w:rPr>
          <w:sz w:val="24"/>
        </w:rPr>
        <w:t>declares a system strength- related NSCAS gap in respect of a period starting within 12 months of the declaration being made, a </w:t>
      </w:r>
      <w:r>
        <w:rPr>
          <w:i/>
          <w:sz w:val="24"/>
        </w:rPr>
        <w:t>Transmission Network Service Provider </w:t>
      </w:r>
      <w:r>
        <w:rPr>
          <w:sz w:val="24"/>
        </w:rPr>
        <w:t>given </w:t>
      </w:r>
      <w:r>
        <w:rPr>
          <w:spacing w:val="-11"/>
          <w:sz w:val="24"/>
        </w:rPr>
        <w:t>a </w:t>
      </w:r>
      <w:r>
        <w:rPr>
          <w:sz w:val="24"/>
        </w:rPr>
        <w:t>request under clause 3.11.3 in relation to the system strength-related NSCAS gap may by notice to </w:t>
      </w:r>
      <w:r>
        <w:rPr>
          <w:i/>
          <w:sz w:val="24"/>
        </w:rPr>
        <w:t>AEMO </w:t>
      </w:r>
      <w:r>
        <w:rPr>
          <w:sz w:val="24"/>
        </w:rPr>
        <w:t>elect to treat the declaration of that system strength-related NSCAS gap as if it were a notice of a </w:t>
      </w:r>
      <w:r>
        <w:rPr>
          <w:i/>
          <w:sz w:val="24"/>
        </w:rPr>
        <w:t>fault level </w:t>
      </w:r>
      <w:r>
        <w:rPr>
          <w:i/>
          <w:sz w:val="24"/>
        </w:rPr>
        <w:t>shortfall </w:t>
      </w:r>
      <w:r>
        <w:rPr>
          <w:sz w:val="24"/>
        </w:rPr>
        <w:t>under new clause</w:t>
      </w:r>
      <w:r>
        <w:rPr>
          <w:spacing w:val="-3"/>
          <w:sz w:val="24"/>
        </w:rPr>
        <w:t> </w:t>
      </w:r>
      <w:r>
        <w:rPr>
          <w:sz w:val="24"/>
        </w:rPr>
        <w:t>5.20C.2(c).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in the NSCAS transition period, </w:t>
      </w:r>
      <w:r>
        <w:rPr>
          <w:i/>
          <w:sz w:val="24"/>
        </w:rPr>
        <w:t>AEMO </w:t>
      </w:r>
      <w:r>
        <w:rPr>
          <w:sz w:val="24"/>
        </w:rPr>
        <w:t>declares a system strength- related NSCAS gap in respect of a period starting 12 months or more after the declaration is made, a </w:t>
      </w:r>
      <w:r>
        <w:rPr>
          <w:i/>
          <w:sz w:val="24"/>
        </w:rPr>
        <w:t>Transmission Network Service Provider </w:t>
      </w:r>
      <w:r>
        <w:rPr>
          <w:sz w:val="24"/>
        </w:rPr>
        <w:t>given a request under clause 3.11.3 in relation to the system strength-related NSCAS gap must treat the declaration of that system strength-related NSCAS gap as if it were a notice of a </w:t>
      </w:r>
      <w:r>
        <w:rPr>
          <w:i/>
          <w:sz w:val="24"/>
        </w:rPr>
        <w:t>fault level shortfall </w:t>
      </w:r>
      <w:r>
        <w:rPr>
          <w:sz w:val="24"/>
        </w:rPr>
        <w:t>under new clause 5.20C.2(c).</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Where in accordance with paragraph (a) or (b) a </w:t>
      </w:r>
      <w:r>
        <w:rPr>
          <w:i/>
          <w:sz w:val="24"/>
        </w:rPr>
        <w:t>Transmission Network </w:t>
      </w:r>
      <w:r>
        <w:rPr>
          <w:i/>
          <w:sz w:val="24"/>
        </w:rPr>
        <w:t>Service Provider </w:t>
      </w:r>
      <w:r>
        <w:rPr>
          <w:sz w:val="24"/>
        </w:rPr>
        <w:t>elects or is required to treat a declaration of a system strength-related NSCAS gap as if it were notice of a </w:t>
      </w:r>
      <w:r>
        <w:rPr>
          <w:i/>
          <w:sz w:val="24"/>
        </w:rPr>
        <w:t>fault level shortfall </w:t>
      </w:r>
      <w:r>
        <w:rPr>
          <w:sz w:val="24"/>
        </w:rPr>
        <w:t>under new clause</w:t>
      </w:r>
      <w:r>
        <w:rPr>
          <w:spacing w:val="-2"/>
          <w:sz w:val="24"/>
        </w:rPr>
        <w:t> </w:t>
      </w:r>
      <w:r>
        <w:rPr>
          <w:sz w:val="24"/>
        </w:rPr>
        <w:t>5.20C.2(c):</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w:t>
      </w:r>
      <w:r>
        <w:rPr>
          <w:i/>
          <w:sz w:val="24"/>
        </w:rPr>
        <w:t>Transmission Network Service Provider </w:t>
      </w:r>
      <w:r>
        <w:rPr>
          <w:sz w:val="24"/>
        </w:rPr>
        <w:t>must make </w:t>
      </w:r>
      <w:r>
        <w:rPr>
          <w:i/>
          <w:sz w:val="24"/>
        </w:rPr>
        <w:t>system </w:t>
      </w:r>
      <w:r>
        <w:rPr>
          <w:i/>
          <w:sz w:val="24"/>
        </w:rPr>
        <w:t>strength services </w:t>
      </w:r>
      <w:r>
        <w:rPr>
          <w:sz w:val="24"/>
        </w:rPr>
        <w:t>available in accordance with new clause</w:t>
      </w:r>
      <w:r>
        <w:rPr>
          <w:spacing w:val="-19"/>
          <w:sz w:val="24"/>
        </w:rPr>
        <w:t> </w:t>
      </w:r>
      <w:r>
        <w:rPr>
          <w:sz w:val="24"/>
        </w:rPr>
        <w:t>5.20C.3(b);</w:t>
      </w:r>
    </w:p>
    <w:p>
      <w:pPr>
        <w:pStyle w:val="ListParagraph"/>
        <w:numPr>
          <w:ilvl w:val="4"/>
          <w:numId w:val="850"/>
        </w:numPr>
        <w:tabs>
          <w:tab w:pos="2486" w:val="left" w:leader="none"/>
        </w:tabs>
        <w:spacing w:line="240" w:lineRule="auto" w:before="120" w:after="0"/>
        <w:ind w:left="2486" w:right="415" w:hanging="567"/>
        <w:jc w:val="both"/>
        <w:rPr>
          <w:sz w:val="24"/>
        </w:rPr>
      </w:pPr>
      <w:r>
        <w:rPr>
          <w:i/>
          <w:sz w:val="24"/>
        </w:rPr>
        <w:t>AEMO </w:t>
      </w:r>
      <w:r>
        <w:rPr>
          <w:sz w:val="24"/>
        </w:rPr>
        <w:t>and </w:t>
      </w:r>
      <w:r>
        <w:rPr>
          <w:i/>
          <w:sz w:val="24"/>
        </w:rPr>
        <w:t>Transmission Network Service Provider </w:t>
      </w:r>
      <w:r>
        <w:rPr>
          <w:sz w:val="24"/>
        </w:rPr>
        <w:t>must otherwise comply with new rule 5.20C as if the notice had been given under new clause 5.20C.2(c);</w:t>
      </w:r>
      <w:r>
        <w:rPr>
          <w:spacing w:val="-1"/>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clause 5.16.3 regarding the </w:t>
      </w:r>
      <w:r>
        <w:rPr>
          <w:i/>
          <w:sz w:val="24"/>
        </w:rPr>
        <w:t>regulatory investment test for </w:t>
      </w:r>
      <w:r>
        <w:rPr>
          <w:i/>
          <w:sz w:val="24"/>
        </w:rPr>
        <w:t>transmission</w:t>
      </w:r>
      <w:r>
        <w:rPr>
          <w:sz w:val="24"/>
        </w:rPr>
        <w:t>, clause 6A.7.3(a1) regarding </w:t>
      </w:r>
      <w:r>
        <w:rPr>
          <w:i/>
          <w:sz w:val="24"/>
        </w:rPr>
        <w:t>pass through events </w:t>
      </w:r>
      <w:r>
        <w:rPr>
          <w:sz w:val="24"/>
        </w:rPr>
        <w:t>and</w:t>
      </w:r>
      <w:r>
        <w:rPr>
          <w:spacing w:val="46"/>
          <w:sz w:val="24"/>
        </w:rPr>
        <w:t> </w:t>
      </w:r>
      <w:r>
        <w:rPr>
          <w:spacing w:val="-4"/>
          <w:sz w:val="24"/>
        </w:rPr>
        <w:t>the</w:t>
      </w:r>
    </w:p>
    <w:p>
      <w:pPr>
        <w:spacing w:after="0" w:line="240" w:lineRule="auto"/>
        <w:jc w:val="both"/>
        <w:rPr>
          <w:sz w:val="24"/>
        </w:rPr>
        <w:sectPr>
          <w:pgSz w:w="11910" w:h="16840"/>
          <w:pgMar w:header="686" w:footer="637" w:top="1320" w:bottom="820" w:left="1200" w:right="1000"/>
        </w:sectPr>
      </w:pPr>
    </w:p>
    <w:p>
      <w:pPr>
        <w:pStyle w:val="BodyText"/>
        <w:spacing w:before="83"/>
        <w:ind w:left="2486" w:right="415" w:firstLine="0"/>
      </w:pPr>
      <w:r>
        <w:rPr/>
        <w:t>related definitions apply in relation to </w:t>
      </w:r>
      <w:r>
        <w:rPr>
          <w:i/>
        </w:rPr>
        <w:t>system strength services </w:t>
      </w:r>
      <w:r>
        <w:rPr/>
        <w:t>made available in response to the notice as if they were new clause 5.16.3, new clause 6A.7.3(a1) and the related definitions in new Chapter 10.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1.7 Withdrawal of a system strength" w:id="3276"/>
      <w:bookmarkEnd w:id="3276"/>
      <w:r>
        <w:rPr>
          <w:b w:val="0"/>
        </w:rPr>
      </w:r>
      <w:bookmarkStart w:name="_bookmark1302" w:id="3277"/>
      <w:bookmarkEnd w:id="3277"/>
      <w:r>
        <w:rPr>
          <w:b w:val="0"/>
        </w:rPr>
      </w:r>
      <w:bookmarkStart w:name="_bookmark1302" w:id="3278"/>
      <w:bookmarkEnd w:id="3278"/>
      <w:r>
        <w:rPr/>
        <w:t>With</w:t>
      </w:r>
      <w:r>
        <w:rPr/>
        <w:t>drawal of a system strength-related NSCAS gap already</w:t>
      </w:r>
      <w:r>
        <w:rPr>
          <w:spacing w:val="-24"/>
        </w:rPr>
        <w:t> </w:t>
      </w:r>
      <w:r>
        <w:rPr/>
        <w:t>declared</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This clause applies if, on or before 19 September 2017, </w:t>
      </w:r>
      <w:r>
        <w:rPr>
          <w:i/>
          <w:sz w:val="24"/>
        </w:rPr>
        <w:t>AEMO </w:t>
      </w:r>
      <w:r>
        <w:rPr>
          <w:sz w:val="24"/>
        </w:rPr>
        <w:t>has declared a system strength-related NSCAS</w:t>
      </w:r>
      <w:r>
        <w:rPr>
          <w:spacing w:val="-3"/>
          <w:sz w:val="24"/>
        </w:rPr>
        <w:t> </w:t>
      </w:r>
      <w:r>
        <w:rPr>
          <w:sz w:val="24"/>
        </w:rPr>
        <w:t>gap.</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If this clause applies, </w:t>
      </w:r>
      <w:r>
        <w:rPr>
          <w:i/>
          <w:sz w:val="24"/>
        </w:rPr>
        <w:t>AEMO </w:t>
      </w:r>
      <w:r>
        <w:rPr>
          <w:sz w:val="24"/>
        </w:rPr>
        <w:t>may by notice </w:t>
      </w:r>
      <w:r>
        <w:rPr>
          <w:i/>
          <w:sz w:val="24"/>
        </w:rPr>
        <w:t>published </w:t>
      </w:r>
      <w:r>
        <w:rPr>
          <w:sz w:val="24"/>
        </w:rPr>
        <w:t>under this clause withdraw the declaration of the system strength-related NSCAS gap referred to in paragraph</w:t>
      </w:r>
      <w:r>
        <w:rPr>
          <w:spacing w:val="-1"/>
          <w:sz w:val="24"/>
        </w:rPr>
        <w:t> </w:t>
      </w:r>
      <w:r>
        <w:rPr>
          <w:sz w:val="24"/>
        </w:rPr>
        <w:t>(a).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w:t>
      </w:r>
      <w:r>
        <w:rPr>
          <w:i/>
          <w:sz w:val="24"/>
        </w:rPr>
        <w:t>AEMO </w:t>
      </w:r>
      <w:r>
        <w:rPr>
          <w:sz w:val="24"/>
        </w:rPr>
        <w:t>withdraws a declaration under paragraph (b), </w:t>
      </w:r>
      <w:r>
        <w:rPr>
          <w:i/>
          <w:sz w:val="24"/>
        </w:rPr>
        <w:t>AEMO </w:t>
      </w:r>
      <w:r>
        <w:rPr>
          <w:sz w:val="24"/>
        </w:rPr>
        <w:t>may make a new declaration of the system strength-related NSCAS gap by notice </w:t>
      </w:r>
      <w:r>
        <w:rPr>
          <w:i/>
          <w:sz w:val="24"/>
        </w:rPr>
        <w:t>published </w:t>
      </w:r>
      <w:r>
        <w:rPr>
          <w:sz w:val="24"/>
        </w:rPr>
        <w:t>under this clause and clause 11.101.6 will apply to that</w:t>
      </w:r>
      <w:r>
        <w:rPr>
          <w:spacing w:val="34"/>
          <w:sz w:val="24"/>
        </w:rPr>
        <w:t> </w:t>
      </w:r>
      <w:r>
        <w:rPr>
          <w:sz w:val="24"/>
        </w:rPr>
        <w:t>new declaration.</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549" w:hanging="1134"/>
        <w:jc w:val="left"/>
      </w:pPr>
      <w:bookmarkStart w:name="11.101.8 System strength services made a" w:id="3279"/>
      <w:bookmarkEnd w:id="3279"/>
      <w:r>
        <w:rPr>
          <w:b w:val="0"/>
        </w:rPr>
      </w:r>
      <w:bookmarkStart w:name="_bookmark1303" w:id="3280"/>
      <w:bookmarkEnd w:id="3280"/>
      <w:r>
        <w:rPr>
          <w:b w:val="0"/>
        </w:rPr>
      </w:r>
      <w:bookmarkStart w:name="_bookmark1303" w:id="3281"/>
      <w:bookmarkEnd w:id="3281"/>
      <w:r>
        <w:rPr/>
        <w:t>System</w:t>
      </w:r>
      <w:r>
        <w:rPr/>
        <w:t> strength services made available before the commencement date</w:t>
      </w:r>
    </w:p>
    <w:p>
      <w:pPr>
        <w:spacing w:before="120"/>
        <w:ind w:left="1352" w:right="414" w:firstLine="0"/>
        <w:jc w:val="both"/>
        <w:rPr>
          <w:sz w:val="24"/>
        </w:rPr>
      </w:pPr>
      <w:r>
        <w:rPr>
          <w:sz w:val="24"/>
        </w:rPr>
        <w:t>If a </w:t>
      </w:r>
      <w:r>
        <w:rPr>
          <w:i/>
          <w:sz w:val="24"/>
        </w:rPr>
        <w:t>Transmission Network Service Provider </w:t>
      </w:r>
      <w:r>
        <w:rPr>
          <w:sz w:val="24"/>
        </w:rPr>
        <w:t>makes </w:t>
      </w:r>
      <w:r>
        <w:rPr>
          <w:i/>
          <w:sz w:val="24"/>
        </w:rPr>
        <w:t>system strength services </w:t>
      </w:r>
      <w:r>
        <w:rPr>
          <w:sz w:val="24"/>
        </w:rPr>
        <w:t>available under this rule 11.101 in the NSCAS transition period, new clause 3.9.7, new clause 4.4.4, new clause 4.4.9C and the related definitions in new Chapter 10 apply in respect of those </w:t>
      </w:r>
      <w:r>
        <w:rPr>
          <w:i/>
          <w:sz w:val="24"/>
        </w:rPr>
        <w:t>system strength services </w:t>
      </w:r>
      <w:r>
        <w:rPr>
          <w:sz w:val="24"/>
        </w:rPr>
        <w:t>as if those provisions</w:t>
      </w:r>
      <w:r>
        <w:rPr>
          <w:spacing w:val="39"/>
          <w:sz w:val="24"/>
        </w:rPr>
        <w:t> </w:t>
      </w:r>
      <w:r>
        <w:rPr>
          <w:sz w:val="24"/>
        </w:rPr>
        <w:t>had commenced on the date the </w:t>
      </w:r>
      <w:r>
        <w:rPr>
          <w:i/>
          <w:sz w:val="24"/>
        </w:rPr>
        <w:t>system strength services </w:t>
      </w:r>
      <w:r>
        <w:rPr>
          <w:sz w:val="24"/>
        </w:rPr>
        <w:t>were first made available and (in the case of </w:t>
      </w:r>
      <w:r>
        <w:rPr>
          <w:i/>
          <w:sz w:val="24"/>
        </w:rPr>
        <w:t>system strength services </w:t>
      </w:r>
      <w:r>
        <w:rPr>
          <w:sz w:val="24"/>
        </w:rPr>
        <w:t>provided under clause 11.101.6) as if </w:t>
      </w:r>
      <w:r>
        <w:rPr>
          <w:i/>
          <w:sz w:val="24"/>
        </w:rPr>
        <w:t>AEMO </w:t>
      </w:r>
      <w:r>
        <w:rPr>
          <w:sz w:val="24"/>
        </w:rPr>
        <w:t>had determined a </w:t>
      </w:r>
      <w:r>
        <w:rPr>
          <w:i/>
          <w:sz w:val="24"/>
        </w:rPr>
        <w:t>fault level shortfall </w:t>
      </w:r>
      <w:r>
        <w:rPr>
          <w:sz w:val="24"/>
        </w:rPr>
        <w:t>in the system strength-related NSCAS</w:t>
      </w:r>
      <w:r>
        <w:rPr>
          <w:spacing w:val="-1"/>
          <w:sz w:val="24"/>
        </w:rPr>
        <w:t> </w:t>
      </w:r>
      <w:r>
        <w:rPr>
          <w:sz w:val="24"/>
        </w:rPr>
        <w:t>gap.</w:t>
      </w:r>
    </w:p>
    <w:p>
      <w:pPr>
        <w:pStyle w:val="BodyText"/>
        <w:spacing w:before="9"/>
        <w:ind w:firstLine="0"/>
        <w:jc w:val="left"/>
        <w:rPr>
          <w:sz w:val="18"/>
        </w:rPr>
      </w:pPr>
      <w:r>
        <w:rPr/>
        <w:pict>
          <v:shape style="position:absolute;margin-left:69.450005pt;margin-top:12.028655pt;width:456.45pt;height:16.1pt;mso-position-horizontal-relative:page;mso-position-vertical-relative:paragraph;z-index:-251575296;mso-wrap-distance-left:0;mso-wrap-distance-right:0" type="#_x0000_t202" filled="true" fillcolor="#d9d9d9" stroked="false">
            <v:textbox inset="0,0,0,0">
              <w:txbxContent>
                <w:p>
                  <w:pPr>
                    <w:spacing w:before="0"/>
                    <w:ind w:left="29" w:right="0" w:firstLine="0"/>
                    <w:jc w:val="left"/>
                    <w:rPr>
                      <w:rFonts w:ascii="Arial"/>
                      <w:b/>
                      <w:sz w:val="28"/>
                    </w:rPr>
                  </w:pPr>
                  <w:bookmarkStart w:name="Part ZZZD Generating System Model Guidel" w:id="3282"/>
                  <w:bookmarkEnd w:id="3282"/>
                  <w:r>
                    <w:rPr/>
                  </w:r>
                  <w:bookmarkStart w:name="_bookmark1304" w:id="3283"/>
                  <w:bookmarkEnd w:id="3283"/>
                  <w:r>
                    <w:rPr/>
                  </w:r>
                  <w:r>
                    <w:rPr>
                      <w:rFonts w:ascii="Arial"/>
                      <w:b/>
                      <w:sz w:val="28"/>
                    </w:rPr>
                    <w:t>Part ZZZD Generating System Model Guidelines</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0" w:hanging="1135"/>
        <w:jc w:val="left"/>
      </w:pPr>
      <w:bookmarkStart w:name="11.102 Making of Power System Model Guid" w:id="3284"/>
      <w:bookmarkEnd w:id="3284"/>
      <w:r>
        <w:rPr>
          <w:b w:val="0"/>
        </w:rPr>
      </w:r>
      <w:bookmarkStart w:name="_bookmark1305" w:id="3285"/>
      <w:bookmarkEnd w:id="3285"/>
      <w:r>
        <w:rPr>
          <w:b w:val="0"/>
        </w:rPr>
      </w:r>
      <w:bookmarkStart w:name="_bookmark1305" w:id="3286"/>
      <w:bookmarkEnd w:id="3286"/>
      <w:r>
        <w:rPr/>
        <w:t>Making</w:t>
      </w:r>
      <w:r>
        <w:rPr/>
        <w:t> of Power System Model</w:t>
      </w:r>
      <w:r>
        <w:rPr>
          <w:spacing w:val="-2"/>
        </w:rPr>
        <w:t> </w:t>
      </w:r>
      <w:r>
        <w:rPr/>
        <w:t>Guidelines</w:t>
      </w:r>
    </w:p>
    <w:p>
      <w:pPr>
        <w:spacing w:before="120"/>
        <w:ind w:left="1919" w:right="415" w:hanging="567"/>
        <w:jc w:val="both"/>
        <w:rPr>
          <w:sz w:val="24"/>
        </w:rPr>
      </w:pPr>
      <w:r>
        <w:rPr>
          <w:sz w:val="24"/>
        </w:rPr>
        <w:t>(a) By 1 July 2018, </w:t>
      </w:r>
      <w:r>
        <w:rPr>
          <w:i/>
          <w:sz w:val="24"/>
        </w:rPr>
        <w:t>AEMO </w:t>
      </w:r>
      <w:r>
        <w:rPr>
          <w:sz w:val="24"/>
        </w:rPr>
        <w:t>must develop and </w:t>
      </w:r>
      <w:r>
        <w:rPr>
          <w:i/>
          <w:sz w:val="24"/>
        </w:rPr>
        <w:t>publish </w:t>
      </w:r>
      <w:r>
        <w:rPr>
          <w:sz w:val="24"/>
        </w:rPr>
        <w:t>the </w:t>
      </w:r>
      <w:r>
        <w:rPr>
          <w:i/>
          <w:sz w:val="24"/>
        </w:rPr>
        <w:t>Power System Model </w:t>
      </w:r>
      <w:r>
        <w:rPr>
          <w:i/>
          <w:sz w:val="24"/>
        </w:rPr>
        <w:t>Guidelines</w:t>
      </w:r>
      <w:r>
        <w:rPr>
          <w:sz w:val="24"/>
        </w:rPr>
        <w:t>, the </w:t>
      </w:r>
      <w:r>
        <w:rPr>
          <w:i/>
          <w:sz w:val="24"/>
        </w:rPr>
        <w:t>Power System Design Data Sheet</w:t>
      </w:r>
      <w:r>
        <w:rPr>
          <w:sz w:val="24"/>
        </w:rPr>
        <w:t>, and the </w:t>
      </w:r>
      <w:r>
        <w:rPr>
          <w:i/>
          <w:sz w:val="24"/>
        </w:rPr>
        <w:t>Power System </w:t>
      </w:r>
      <w:r>
        <w:rPr>
          <w:i/>
          <w:sz w:val="24"/>
        </w:rPr>
        <w:t>Setting Data Sheet </w:t>
      </w:r>
      <w:r>
        <w:rPr>
          <w:sz w:val="24"/>
        </w:rPr>
        <w:t>to take account of the National Electricity Amendment (Generating system model guidelines) Rule 2017 No. 11.</w:t>
      </w:r>
    </w:p>
    <w:p>
      <w:pPr>
        <w:pStyle w:val="BodyText"/>
        <w:spacing w:before="9"/>
        <w:ind w:firstLine="0"/>
        <w:jc w:val="left"/>
        <w:rPr>
          <w:sz w:val="18"/>
        </w:rPr>
      </w:pPr>
      <w:r>
        <w:rPr/>
        <w:pict>
          <v:shape style="position:absolute;margin-left:69.450005pt;margin-top:12.026484pt;width:456.45pt;height:16.1pt;mso-position-horizontal-relative:page;mso-position-vertical-relative:paragraph;z-index:-251574272;mso-wrap-distance-left:0;mso-wrap-distance-right:0" type="#_x0000_t202" filled="true" fillcolor="#d9d9d9" stroked="false">
            <v:textbox inset="0,0,0,0">
              <w:txbxContent>
                <w:p>
                  <w:pPr>
                    <w:spacing w:before="0"/>
                    <w:ind w:left="29" w:right="0" w:firstLine="0"/>
                    <w:jc w:val="left"/>
                    <w:rPr>
                      <w:rFonts w:ascii="Arial"/>
                      <w:b/>
                      <w:sz w:val="28"/>
                    </w:rPr>
                  </w:pPr>
                  <w:bookmarkStart w:name="Part ZZZE Five Minute Settlement" w:id="3287"/>
                  <w:bookmarkEnd w:id="3287"/>
                  <w:r>
                    <w:rPr/>
                  </w:r>
                  <w:bookmarkStart w:name="_bookmark1306" w:id="3288"/>
                  <w:bookmarkEnd w:id="3288"/>
                  <w:r>
                    <w:rPr/>
                  </w:r>
                  <w:r>
                    <w:rPr>
                      <w:rFonts w:ascii="Arial"/>
                      <w:b/>
                      <w:sz w:val="28"/>
                    </w:rPr>
                    <w:t>Part ZZZE Five Minute Settlement</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798" w:hanging="1134"/>
        <w:jc w:val="left"/>
      </w:pPr>
      <w:bookmarkStart w:name="11.103 Rules consequential on the making" w:id="3289"/>
      <w:bookmarkEnd w:id="3289"/>
      <w:r>
        <w:rPr>
          <w:b w:val="0"/>
        </w:rPr>
      </w:r>
      <w:bookmarkStart w:name="_bookmark1307" w:id="3290"/>
      <w:bookmarkEnd w:id="3290"/>
      <w:r>
        <w:rPr>
          <w:b w:val="0"/>
        </w:rPr>
      </w:r>
      <w:bookmarkStart w:name="_bookmark1307" w:id="3291"/>
      <w:bookmarkEnd w:id="3291"/>
      <w:r>
        <w:rPr/>
        <w:t>Rul</w:t>
      </w:r>
      <w:r>
        <w:rPr/>
        <w:t>es consequential on the making of the National Electricity Amendment (Five Minute Settlement) Rule</w:t>
      </w:r>
      <w:r>
        <w:rPr>
          <w:spacing w:val="-5"/>
        </w:rPr>
        <w:t> </w:t>
      </w:r>
      <w:r>
        <w:rPr/>
        <w:t>2017</w:t>
      </w:r>
    </w:p>
    <w:p>
      <w:pPr>
        <w:pStyle w:val="Heading4"/>
        <w:numPr>
          <w:ilvl w:val="2"/>
          <w:numId w:val="850"/>
        </w:numPr>
        <w:tabs>
          <w:tab w:pos="1352" w:val="left" w:leader="none"/>
        </w:tabs>
        <w:spacing w:line="240" w:lineRule="auto" w:before="240" w:after="0"/>
        <w:ind w:left="1351" w:right="0" w:hanging="1134"/>
        <w:jc w:val="left"/>
      </w:pPr>
      <w:bookmarkStart w:name="11.103.1 Definitions" w:id="3292"/>
      <w:bookmarkEnd w:id="3292"/>
      <w:r>
        <w:rPr>
          <w:b w:val="0"/>
        </w:rPr>
      </w:r>
      <w:bookmarkStart w:name="_bookmark1308" w:id="3293"/>
      <w:bookmarkEnd w:id="3293"/>
      <w:r>
        <w:rPr>
          <w:b w:val="0"/>
        </w:rPr>
      </w:r>
      <w:bookmarkStart w:name="_bookmark1308" w:id="3294"/>
      <w:bookmarkEnd w:id="3294"/>
      <w:r>
        <w:rPr/>
        <w:t>Definition</w:t>
      </w:r>
      <w:r>
        <w:rPr/>
        <w:t>s</w:t>
      </w:r>
    </w:p>
    <w:p>
      <w:pPr>
        <w:pStyle w:val="BodyText"/>
        <w:ind w:left="1352" w:firstLine="0"/>
        <w:jc w:val="left"/>
      </w:pPr>
      <w:r>
        <w:rPr/>
        <w:t>For the purposes of this rule 11.103:</w:t>
      </w:r>
    </w:p>
    <w:p>
      <w:pPr>
        <w:pStyle w:val="BodyText"/>
        <w:ind w:left="1352" w:right="415" w:firstLine="0"/>
        <w:jc w:val="left"/>
      </w:pPr>
      <w:r>
        <w:rPr>
          <w:b/>
        </w:rPr>
        <w:t>Amending Rule </w:t>
      </w:r>
      <w:r>
        <w:rPr/>
        <w:t>means the National Electricity Amendment (Five Minute Settlement) Rule 2017.</w:t>
      </w:r>
    </w:p>
    <w:p>
      <w:pPr>
        <w:spacing w:before="120"/>
        <w:ind w:left="1352" w:right="0" w:firstLine="0"/>
        <w:jc w:val="left"/>
        <w:rPr>
          <w:sz w:val="24"/>
        </w:rPr>
      </w:pPr>
      <w:r>
        <w:rPr>
          <w:b/>
          <w:sz w:val="24"/>
        </w:rPr>
        <w:t>commencement date </w:t>
      </w:r>
      <w:r>
        <w:rPr>
          <w:sz w:val="24"/>
        </w:rPr>
        <w:t>means 1 July</w:t>
      </w:r>
      <w:r>
        <w:rPr>
          <w:spacing w:val="-10"/>
          <w:sz w:val="24"/>
        </w:rPr>
        <w:t> </w:t>
      </w:r>
      <w:r>
        <w:rPr>
          <w:sz w:val="24"/>
        </w:rPr>
        <w:t>2021.</w:t>
      </w:r>
    </w:p>
    <w:p>
      <w:pPr>
        <w:pStyle w:val="Heading4"/>
        <w:spacing w:before="120"/>
        <w:ind w:left="1352" w:firstLine="0"/>
        <w:rPr>
          <w:rFonts w:ascii="Times New Roman"/>
          <w:b w:val="0"/>
        </w:rPr>
      </w:pPr>
      <w:r>
        <w:rPr>
          <w:rFonts w:ascii="Times New Roman"/>
        </w:rPr>
        <w:t>Excluded metering installations</w:t>
      </w:r>
      <w:r>
        <w:rPr>
          <w:rFonts w:ascii="Times New Roman"/>
          <w:spacing w:val="-8"/>
        </w:rPr>
        <w:t> </w:t>
      </w:r>
      <w:r>
        <w:rPr>
          <w:rFonts w:ascii="Times New Roman"/>
          <w:b w:val="0"/>
        </w:rPr>
        <w:t>means:</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types 1,2,3 and 7 </w:t>
      </w:r>
      <w:r>
        <w:rPr>
          <w:i/>
          <w:sz w:val="24"/>
        </w:rPr>
        <w:t>metering installations</w:t>
      </w:r>
      <w:r>
        <w:rPr>
          <w:sz w:val="24"/>
        </w:rPr>
        <w:t>;</w:t>
      </w:r>
      <w:r>
        <w:rPr>
          <w:spacing w:val="-2"/>
          <w:sz w:val="24"/>
        </w:rPr>
        <w:t> </w:t>
      </w:r>
      <w:r>
        <w:rPr>
          <w:sz w:val="24"/>
        </w:rPr>
        <w:t>and</w:t>
      </w:r>
    </w:p>
    <w:p>
      <w:pPr>
        <w:spacing w:after="0" w:line="240" w:lineRule="auto"/>
        <w:jc w:val="left"/>
        <w:rPr>
          <w:sz w:val="24"/>
        </w:rPr>
        <w:sectPr>
          <w:pgSz w:w="11910" w:h="16840"/>
          <w:pgMar w:header="686" w:footer="637" w:top="1320" w:bottom="820" w:left="1200" w:right="1000"/>
        </w:sectPr>
      </w:pPr>
    </w:p>
    <w:p>
      <w:pPr>
        <w:pStyle w:val="ListParagraph"/>
        <w:numPr>
          <w:ilvl w:val="3"/>
          <w:numId w:val="850"/>
        </w:numPr>
        <w:tabs>
          <w:tab w:pos="1918" w:val="left" w:leader="none"/>
          <w:tab w:pos="1919" w:val="left" w:leader="none"/>
        </w:tabs>
        <w:spacing w:line="240" w:lineRule="auto" w:before="83" w:after="0"/>
        <w:ind w:left="1918" w:right="0" w:hanging="567"/>
        <w:jc w:val="left"/>
        <w:rPr>
          <w:sz w:val="24"/>
        </w:rPr>
      </w:pPr>
      <w:r>
        <w:rPr>
          <w:sz w:val="24"/>
        </w:rPr>
        <w:t>the </w:t>
      </w:r>
      <w:r>
        <w:rPr>
          <w:i/>
          <w:sz w:val="24"/>
        </w:rPr>
        <w:t>metering installations </w:t>
      </w:r>
      <w:r>
        <w:rPr>
          <w:sz w:val="24"/>
        </w:rPr>
        <w:t>referred to in new clause</w:t>
      </w:r>
      <w:r>
        <w:rPr>
          <w:spacing w:val="-3"/>
          <w:sz w:val="24"/>
        </w:rPr>
        <w:t> </w:t>
      </w:r>
      <w:r>
        <w:rPr>
          <w:sz w:val="24"/>
        </w:rPr>
        <w:t>7.8.2(b1).</w:t>
      </w:r>
    </w:p>
    <w:p>
      <w:pPr>
        <w:spacing w:before="120"/>
        <w:ind w:left="1352" w:right="0" w:firstLine="0"/>
        <w:jc w:val="left"/>
        <w:rPr>
          <w:sz w:val="24"/>
        </w:rPr>
      </w:pPr>
      <w:r>
        <w:rPr>
          <w:b/>
          <w:sz w:val="24"/>
        </w:rPr>
        <w:t>new Chapter 7 </w:t>
      </w:r>
      <w:r>
        <w:rPr>
          <w:sz w:val="24"/>
        </w:rPr>
        <w:t>means Chapter 7 of the </w:t>
      </w:r>
      <w:r>
        <w:rPr>
          <w:i/>
          <w:sz w:val="24"/>
        </w:rPr>
        <w:t>Rules </w:t>
      </w:r>
      <w:r>
        <w:rPr>
          <w:sz w:val="24"/>
        </w:rPr>
        <w:t>as in force immediately after the commencement</w:t>
      </w:r>
      <w:r>
        <w:rPr>
          <w:spacing w:val="-1"/>
          <w:sz w:val="24"/>
        </w:rPr>
        <w:t> </w:t>
      </w:r>
      <w:r>
        <w:rPr>
          <w:sz w:val="24"/>
        </w:rPr>
        <w:t>date.</w:t>
      </w:r>
    </w:p>
    <w:p>
      <w:pPr>
        <w:spacing w:before="120"/>
        <w:ind w:left="1352" w:right="0" w:firstLine="0"/>
        <w:jc w:val="left"/>
        <w:rPr>
          <w:sz w:val="24"/>
        </w:rPr>
      </w:pPr>
      <w:r>
        <w:rPr>
          <w:b/>
          <w:sz w:val="24"/>
        </w:rPr>
        <w:t>new clause 7.8.2(b1) </w:t>
      </w:r>
      <w:r>
        <w:rPr>
          <w:sz w:val="24"/>
        </w:rPr>
        <w:t>means clause 7.8.2(b1) as in force immediately after the commencement</w:t>
      </w:r>
      <w:r>
        <w:rPr>
          <w:spacing w:val="-1"/>
          <w:sz w:val="24"/>
        </w:rPr>
        <w:t> </w:t>
      </w:r>
      <w:r>
        <w:rPr>
          <w:sz w:val="24"/>
        </w:rPr>
        <w:t>date.</w:t>
      </w:r>
    </w:p>
    <w:p>
      <w:pPr>
        <w:spacing w:before="120"/>
        <w:ind w:left="1352" w:right="0" w:firstLine="0"/>
        <w:jc w:val="left"/>
        <w:rPr>
          <w:sz w:val="24"/>
        </w:rPr>
      </w:pPr>
      <w:r>
        <w:rPr>
          <w:b/>
          <w:sz w:val="24"/>
        </w:rPr>
        <w:t>new Chapter 10 </w:t>
      </w:r>
      <w:r>
        <w:rPr>
          <w:sz w:val="24"/>
        </w:rPr>
        <w:t>means Chapter 10 of the </w:t>
      </w:r>
      <w:r>
        <w:rPr>
          <w:i/>
          <w:sz w:val="24"/>
        </w:rPr>
        <w:t>Rules </w:t>
      </w:r>
      <w:r>
        <w:rPr>
          <w:sz w:val="24"/>
        </w:rPr>
        <w:t>as in force immediately after the commencement</w:t>
      </w:r>
      <w:r>
        <w:rPr>
          <w:spacing w:val="-1"/>
          <w:sz w:val="24"/>
        </w:rPr>
        <w:t> </w:t>
      </w:r>
      <w:r>
        <w:rPr>
          <w:sz w:val="24"/>
        </w:rPr>
        <w:t>date.</w:t>
      </w:r>
    </w:p>
    <w:p>
      <w:pPr>
        <w:spacing w:before="120"/>
        <w:ind w:left="1352" w:right="0" w:firstLine="0"/>
        <w:jc w:val="left"/>
        <w:rPr>
          <w:sz w:val="24"/>
        </w:rPr>
      </w:pPr>
      <w:r>
        <w:rPr>
          <w:b/>
          <w:sz w:val="24"/>
        </w:rPr>
        <w:t>new clause 3.8.9 </w:t>
      </w:r>
      <w:r>
        <w:rPr>
          <w:sz w:val="24"/>
        </w:rPr>
        <w:t>means clause 3.8.9 of the </w:t>
      </w:r>
      <w:r>
        <w:rPr>
          <w:i/>
          <w:sz w:val="24"/>
        </w:rPr>
        <w:t>Rules </w:t>
      </w:r>
      <w:r>
        <w:rPr>
          <w:sz w:val="24"/>
        </w:rPr>
        <w:t>as in force immediately after the commencement</w:t>
      </w:r>
      <w:r>
        <w:rPr>
          <w:spacing w:val="-1"/>
          <w:sz w:val="24"/>
        </w:rPr>
        <w:t> </w:t>
      </w:r>
      <w:r>
        <w:rPr>
          <w:sz w:val="24"/>
        </w:rPr>
        <w:t>date.</w:t>
      </w:r>
    </w:p>
    <w:p>
      <w:pPr>
        <w:spacing w:before="120"/>
        <w:ind w:left="1352" w:right="415" w:firstLine="0"/>
        <w:jc w:val="left"/>
        <w:rPr>
          <w:sz w:val="24"/>
        </w:rPr>
      </w:pPr>
      <w:r>
        <w:rPr>
          <w:b/>
          <w:sz w:val="24"/>
        </w:rPr>
        <w:t>new clause 7.8.2(a2) </w:t>
      </w:r>
      <w:r>
        <w:rPr>
          <w:sz w:val="24"/>
        </w:rPr>
        <w:t>means clause 7.8.2(a2) of the </w:t>
      </w:r>
      <w:r>
        <w:rPr>
          <w:i/>
          <w:sz w:val="24"/>
        </w:rPr>
        <w:t>Rules </w:t>
      </w:r>
      <w:r>
        <w:rPr>
          <w:sz w:val="24"/>
        </w:rPr>
        <w:t>as in force immediately after the commencement</w:t>
      </w:r>
      <w:r>
        <w:rPr>
          <w:spacing w:val="-1"/>
          <w:sz w:val="24"/>
        </w:rPr>
        <w:t> </w:t>
      </w:r>
      <w:r>
        <w:rPr>
          <w:sz w:val="24"/>
        </w:rPr>
        <w:t>date.</w:t>
      </w:r>
    </w:p>
    <w:p>
      <w:pPr>
        <w:spacing w:before="120"/>
        <w:ind w:left="1352" w:right="415" w:firstLine="0"/>
        <w:jc w:val="left"/>
        <w:rPr>
          <w:sz w:val="24"/>
        </w:rPr>
      </w:pPr>
      <w:r>
        <w:rPr>
          <w:b/>
          <w:sz w:val="24"/>
        </w:rPr>
        <w:t>new clause 7.8.2(b1) </w:t>
      </w:r>
      <w:r>
        <w:rPr>
          <w:sz w:val="24"/>
        </w:rPr>
        <w:t>means clause 7.8.2(b1) of the </w:t>
      </w:r>
      <w:r>
        <w:rPr>
          <w:i/>
          <w:sz w:val="24"/>
        </w:rPr>
        <w:t>Rules </w:t>
      </w:r>
      <w:r>
        <w:rPr>
          <w:sz w:val="24"/>
        </w:rPr>
        <w:t>as in force immediately after the commencement</w:t>
      </w:r>
      <w:r>
        <w:rPr>
          <w:spacing w:val="-1"/>
          <w:sz w:val="24"/>
        </w:rPr>
        <w:t> </w:t>
      </w:r>
      <w:r>
        <w:rPr>
          <w:sz w:val="24"/>
        </w:rPr>
        <w:t>date.</w:t>
      </w:r>
    </w:p>
    <w:p>
      <w:pPr>
        <w:spacing w:before="120"/>
        <w:ind w:left="1352" w:right="415" w:firstLine="0"/>
        <w:jc w:val="left"/>
        <w:rPr>
          <w:sz w:val="24"/>
        </w:rPr>
      </w:pPr>
      <w:r>
        <w:rPr>
          <w:b/>
          <w:sz w:val="24"/>
        </w:rPr>
        <w:t>new clause 7.8.2A </w:t>
      </w:r>
      <w:r>
        <w:rPr>
          <w:sz w:val="24"/>
        </w:rPr>
        <w:t>means clause 7.8.2A of the </w:t>
      </w:r>
      <w:r>
        <w:rPr>
          <w:i/>
          <w:sz w:val="24"/>
        </w:rPr>
        <w:t>Rules </w:t>
      </w:r>
      <w:r>
        <w:rPr>
          <w:sz w:val="24"/>
        </w:rPr>
        <w:t>as in force immediately after the commencement</w:t>
      </w:r>
      <w:r>
        <w:rPr>
          <w:spacing w:val="-1"/>
          <w:sz w:val="24"/>
        </w:rPr>
        <w:t> </w:t>
      </w:r>
      <w:r>
        <w:rPr>
          <w:sz w:val="24"/>
        </w:rPr>
        <w:t>date.</w:t>
      </w:r>
    </w:p>
    <w:p>
      <w:pPr>
        <w:spacing w:before="120"/>
        <w:ind w:left="1352" w:right="415" w:firstLine="0"/>
        <w:jc w:val="left"/>
        <w:rPr>
          <w:sz w:val="24"/>
        </w:rPr>
      </w:pPr>
      <w:r>
        <w:rPr>
          <w:b/>
          <w:sz w:val="24"/>
        </w:rPr>
        <w:t>old clause 3.8.9 </w:t>
      </w:r>
      <w:r>
        <w:rPr>
          <w:sz w:val="24"/>
        </w:rPr>
        <w:t>means clause 3.8.9 of the </w:t>
      </w:r>
      <w:r>
        <w:rPr>
          <w:i/>
          <w:sz w:val="24"/>
        </w:rPr>
        <w:t>Rules </w:t>
      </w:r>
      <w:r>
        <w:rPr>
          <w:sz w:val="24"/>
        </w:rPr>
        <w:t>as in force immediately prior to the commencement</w:t>
      </w:r>
      <w:r>
        <w:rPr>
          <w:spacing w:val="-1"/>
          <w:sz w:val="24"/>
        </w:rPr>
        <w:t> </w:t>
      </w:r>
      <w:r>
        <w:rPr>
          <w:sz w:val="24"/>
        </w:rPr>
        <w:t>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3.2 Amendments to procedures" w:id="3295"/>
      <w:bookmarkEnd w:id="3295"/>
      <w:r>
        <w:rPr>
          <w:b w:val="0"/>
        </w:rPr>
      </w:r>
      <w:bookmarkStart w:name="_bookmark1309" w:id="3296"/>
      <w:bookmarkEnd w:id="3296"/>
      <w:r>
        <w:rPr>
          <w:b w:val="0"/>
        </w:rPr>
      </w:r>
      <w:bookmarkStart w:name="_bookmark1309" w:id="3297"/>
      <w:bookmarkEnd w:id="3297"/>
      <w:r>
        <w:rPr/>
        <w:t>Amendment</w:t>
      </w:r>
      <w:r>
        <w:rPr/>
        <w:t>s to</w:t>
      </w:r>
      <w:r>
        <w:rPr>
          <w:spacing w:val="-2"/>
        </w:rPr>
        <w:t> </w:t>
      </w:r>
      <w:r>
        <w:rPr/>
        <w:t>procedures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December 2019, </w:t>
      </w:r>
      <w:r>
        <w:rPr>
          <w:i/>
          <w:sz w:val="24"/>
        </w:rPr>
        <w:t>AEMO </w:t>
      </w:r>
      <w:r>
        <w:rPr>
          <w:sz w:val="24"/>
        </w:rPr>
        <w:t>must review and where necessary amend and </w:t>
      </w:r>
      <w:r>
        <w:rPr>
          <w:i/>
          <w:sz w:val="24"/>
        </w:rPr>
        <w:t>publish </w:t>
      </w:r>
      <w:r>
        <w:rPr>
          <w:sz w:val="24"/>
        </w:rPr>
        <w:t>the following documents to apply from the commencement date </w:t>
      </w:r>
      <w:r>
        <w:rPr>
          <w:spacing w:val="-7"/>
          <w:sz w:val="24"/>
        </w:rPr>
        <w:t>to </w:t>
      </w:r>
      <w:r>
        <w:rPr>
          <w:sz w:val="24"/>
        </w:rPr>
        <w:t>take into account the Amending</w:t>
      </w:r>
      <w:r>
        <w:rPr>
          <w:spacing w:val="-3"/>
          <w:sz w:val="24"/>
        </w:rPr>
        <w:t> </w:t>
      </w:r>
      <w:r>
        <w:rPr>
          <w:sz w:val="24"/>
        </w:rPr>
        <w:t>Rule:</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credit limit procedures in accordance with clause</w:t>
      </w:r>
      <w:r>
        <w:rPr>
          <w:spacing w:val="-3"/>
          <w:sz w:val="24"/>
        </w:rPr>
        <w:t> </w:t>
      </w:r>
      <w:r>
        <w:rPr>
          <w:sz w:val="24"/>
        </w:rPr>
        <w:t>3.3.8;</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spot market </w:t>
      </w:r>
      <w:r>
        <w:rPr>
          <w:sz w:val="24"/>
        </w:rPr>
        <w:t>operations timetable in accordance with clause</w:t>
      </w:r>
      <w:r>
        <w:rPr>
          <w:spacing w:val="-11"/>
          <w:sz w:val="24"/>
        </w:rPr>
        <w:t> </w:t>
      </w:r>
      <w:r>
        <w:rPr>
          <w:sz w:val="24"/>
        </w:rPr>
        <w:t>3.4.3;</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automated procedures relating to </w:t>
      </w:r>
      <w:r>
        <w:rPr>
          <w:i/>
          <w:sz w:val="24"/>
        </w:rPr>
        <w:t>dispatch intervals </w:t>
      </w:r>
      <w:r>
        <w:rPr>
          <w:sz w:val="24"/>
        </w:rPr>
        <w:t>subject to review in accordance with clause</w:t>
      </w:r>
      <w:r>
        <w:rPr>
          <w:spacing w:val="-1"/>
          <w:sz w:val="24"/>
        </w:rPr>
        <w:t> </w:t>
      </w:r>
      <w:r>
        <w:rPr>
          <w:sz w:val="24"/>
        </w:rPr>
        <w:t>3.9.2B;</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methodology for determining </w:t>
      </w:r>
      <w:r>
        <w:rPr>
          <w:i/>
          <w:sz w:val="24"/>
        </w:rPr>
        <w:t>dispatch prices </w:t>
      </w:r>
      <w:r>
        <w:rPr>
          <w:sz w:val="24"/>
        </w:rPr>
        <w:t>and </w:t>
      </w:r>
      <w:r>
        <w:rPr>
          <w:i/>
          <w:spacing w:val="-3"/>
          <w:sz w:val="24"/>
        </w:rPr>
        <w:t>ancillary </w:t>
      </w:r>
      <w:r>
        <w:rPr>
          <w:i/>
          <w:sz w:val="24"/>
        </w:rPr>
        <w:t>services prices </w:t>
      </w:r>
      <w:r>
        <w:rPr>
          <w:sz w:val="24"/>
        </w:rPr>
        <w:t>in the event of intervention by </w:t>
      </w:r>
      <w:r>
        <w:rPr>
          <w:i/>
          <w:sz w:val="24"/>
        </w:rPr>
        <w:t>AEMO </w:t>
      </w:r>
      <w:r>
        <w:rPr>
          <w:sz w:val="24"/>
        </w:rPr>
        <w:t>in accordance with clause</w:t>
      </w:r>
      <w:r>
        <w:rPr>
          <w:spacing w:val="-3"/>
          <w:sz w:val="24"/>
        </w:rPr>
        <w:t> </w:t>
      </w:r>
      <w:r>
        <w:rPr>
          <w:sz w:val="24"/>
        </w:rPr>
        <w:t>3.9.3;</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w:t>
      </w:r>
      <w:r>
        <w:rPr>
          <w:b/>
          <w:sz w:val="24"/>
        </w:rPr>
        <w:t>Deleted</w:t>
      </w:r>
      <w:r>
        <w:rPr>
          <w:sz w:val="24"/>
        </w:rPr>
        <w:t>]</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w:t>
      </w:r>
      <w:r>
        <w:rPr>
          <w:i/>
          <w:sz w:val="24"/>
        </w:rPr>
        <w:t>market suspension pricing methodology </w:t>
      </w:r>
      <w:r>
        <w:rPr>
          <w:sz w:val="24"/>
        </w:rPr>
        <w:t>and </w:t>
      </w:r>
      <w:r>
        <w:rPr>
          <w:i/>
          <w:sz w:val="24"/>
        </w:rPr>
        <w:t>market suspension </w:t>
      </w:r>
      <w:r>
        <w:rPr>
          <w:i/>
          <w:sz w:val="24"/>
        </w:rPr>
        <w:t>pricing schedule </w:t>
      </w:r>
      <w:r>
        <w:rPr>
          <w:sz w:val="24"/>
        </w:rPr>
        <w:t>for periods of </w:t>
      </w:r>
      <w:r>
        <w:rPr>
          <w:i/>
          <w:sz w:val="24"/>
        </w:rPr>
        <w:t>market suspension </w:t>
      </w:r>
      <w:r>
        <w:rPr>
          <w:sz w:val="24"/>
        </w:rPr>
        <w:t>in accordance with clause 3.14.5;</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reallocation</w:t>
      </w:r>
      <w:r>
        <w:rPr>
          <w:i/>
          <w:spacing w:val="-1"/>
          <w:sz w:val="24"/>
        </w:rPr>
        <w:t> </w:t>
      </w:r>
      <w:r>
        <w:rPr>
          <w:i/>
          <w:sz w:val="24"/>
        </w:rPr>
        <w:t>procedures</w:t>
      </w:r>
      <w:r>
        <w:rPr>
          <w:sz w:val="24"/>
        </w:rPr>
        <w:t>;</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settlement residue </w:t>
      </w:r>
      <w:r>
        <w:rPr>
          <w:sz w:val="24"/>
        </w:rPr>
        <w:t>auction rules in accordance with clause</w:t>
      </w:r>
      <w:r>
        <w:rPr>
          <w:spacing w:val="-11"/>
          <w:sz w:val="24"/>
        </w:rPr>
        <w:t> </w:t>
      </w:r>
      <w:r>
        <w:rPr>
          <w:sz w:val="24"/>
        </w:rPr>
        <w:t>3.18.3;</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the methodology relating to </w:t>
      </w:r>
      <w:r>
        <w:rPr>
          <w:i/>
          <w:sz w:val="24"/>
        </w:rPr>
        <w:t>dispatch </w:t>
      </w:r>
      <w:r>
        <w:rPr>
          <w:sz w:val="24"/>
        </w:rPr>
        <w:t>pricing for </w:t>
      </w:r>
      <w:r>
        <w:rPr>
          <w:i/>
          <w:sz w:val="24"/>
        </w:rPr>
        <w:t>unscheduled reserve </w:t>
      </w:r>
      <w:r>
        <w:rPr>
          <w:i/>
          <w:sz w:val="24"/>
        </w:rPr>
        <w:t>contracts </w:t>
      </w:r>
      <w:r>
        <w:rPr>
          <w:sz w:val="24"/>
        </w:rPr>
        <w:t>in accordance with clause</w:t>
      </w:r>
      <w:r>
        <w:rPr>
          <w:spacing w:val="-1"/>
          <w:sz w:val="24"/>
        </w:rPr>
        <w:t> </w:t>
      </w:r>
      <w:r>
        <w:rPr>
          <w:sz w:val="24"/>
        </w:rPr>
        <w:t>3.20.4;</w:t>
      </w:r>
    </w:p>
    <w:p>
      <w:pPr>
        <w:pStyle w:val="ListParagraph"/>
        <w:numPr>
          <w:ilvl w:val="4"/>
          <w:numId w:val="850"/>
        </w:numPr>
        <w:tabs>
          <w:tab w:pos="2486" w:val="left" w:leader="none"/>
        </w:tabs>
        <w:spacing w:line="240" w:lineRule="auto" w:before="120" w:after="0"/>
        <w:ind w:left="2486" w:right="414" w:hanging="567"/>
        <w:jc w:val="left"/>
        <w:rPr>
          <w:sz w:val="24"/>
        </w:rPr>
      </w:pPr>
      <w:r>
        <w:rPr>
          <w:sz w:val="24"/>
        </w:rPr>
        <w:t>the procedures relating to the exercise of the </w:t>
      </w:r>
      <w:r>
        <w:rPr>
          <w:i/>
          <w:sz w:val="24"/>
        </w:rPr>
        <w:t>RERT </w:t>
      </w:r>
      <w:r>
        <w:rPr>
          <w:sz w:val="24"/>
        </w:rPr>
        <w:t>in accordance with clause 3.20.7;</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the procedures maintained under clause 7.8.3(b) in respect of</w:t>
      </w:r>
      <w:r>
        <w:rPr>
          <w:spacing w:val="42"/>
          <w:sz w:val="24"/>
        </w:rPr>
        <w:t> </w:t>
      </w:r>
      <w:r>
        <w:rPr>
          <w:sz w:val="24"/>
        </w:rPr>
        <w:t>the</w:t>
      </w:r>
    </w:p>
    <w:p>
      <w:pPr>
        <w:spacing w:before="0"/>
        <w:ind w:left="2486" w:right="0" w:firstLine="0"/>
        <w:jc w:val="left"/>
        <w:rPr>
          <w:sz w:val="24"/>
        </w:rPr>
      </w:pPr>
      <w:r>
        <w:rPr>
          <w:i/>
          <w:sz w:val="24"/>
        </w:rPr>
        <w:t>minimum services specification</w:t>
      </w:r>
      <w:r>
        <w:rPr>
          <w:sz w:val="24"/>
        </w:rPr>
        <w:t>;</w:t>
      </w:r>
    </w:p>
    <w:p>
      <w:pPr>
        <w:spacing w:after="0"/>
        <w:jc w:val="left"/>
        <w:rPr>
          <w:sz w:val="24"/>
        </w:rPr>
        <w:sectPr>
          <w:pgSz w:w="11910" w:h="16840"/>
          <w:pgMar w:header="686" w:footer="637" w:top="1320" w:bottom="820" w:left="1200" w:right="1000"/>
        </w:sectPr>
      </w:pPr>
    </w:p>
    <w:p>
      <w:pPr>
        <w:pStyle w:val="ListParagraph"/>
        <w:numPr>
          <w:ilvl w:val="4"/>
          <w:numId w:val="850"/>
        </w:numPr>
        <w:tabs>
          <w:tab w:pos="2486" w:val="left" w:leader="none"/>
        </w:tabs>
        <w:spacing w:line="240" w:lineRule="auto" w:before="83" w:after="0"/>
        <w:ind w:left="2485" w:right="0" w:hanging="567"/>
        <w:jc w:val="left"/>
        <w:rPr>
          <w:sz w:val="24"/>
        </w:rPr>
      </w:pPr>
      <w:r>
        <w:rPr>
          <w:sz w:val="24"/>
        </w:rPr>
        <w:t>the </w:t>
      </w:r>
      <w:r>
        <w:rPr>
          <w:i/>
          <w:sz w:val="24"/>
        </w:rPr>
        <w:t>meter churn procedures </w:t>
      </w:r>
      <w:r>
        <w:rPr>
          <w:sz w:val="24"/>
        </w:rPr>
        <w:t>in accordance with clause</w:t>
      </w:r>
      <w:r>
        <w:rPr>
          <w:spacing w:val="-5"/>
          <w:sz w:val="24"/>
        </w:rPr>
        <w:t> </w:t>
      </w:r>
      <w:r>
        <w:rPr>
          <w:sz w:val="24"/>
        </w:rPr>
        <w:t>7.8.9;</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the </w:t>
      </w:r>
      <w:r>
        <w:rPr>
          <w:i/>
          <w:sz w:val="24"/>
        </w:rPr>
        <w:t>metering data provision</w:t>
      </w:r>
      <w:r>
        <w:rPr>
          <w:i/>
          <w:spacing w:val="-2"/>
          <w:sz w:val="24"/>
        </w:rPr>
        <w:t> </w:t>
      </w:r>
      <w:r>
        <w:rPr>
          <w:i/>
          <w:sz w:val="24"/>
        </w:rPr>
        <w:t>procedures</w:t>
      </w:r>
      <w:r>
        <w:rPr>
          <w:sz w:val="24"/>
        </w:rPr>
        <w:t>;</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the </w:t>
      </w:r>
      <w:r>
        <w:rPr>
          <w:i/>
          <w:sz w:val="24"/>
        </w:rPr>
        <w:t>Market Settlement and Transfer Solution</w:t>
      </w:r>
      <w:r>
        <w:rPr>
          <w:i/>
          <w:spacing w:val="-3"/>
          <w:sz w:val="24"/>
        </w:rPr>
        <w:t> </w:t>
      </w:r>
      <w:r>
        <w:rPr>
          <w:i/>
          <w:sz w:val="24"/>
        </w:rPr>
        <w:t>Procedures</w:t>
      </w:r>
      <w:r>
        <w:rPr>
          <w:sz w:val="24"/>
        </w:rPr>
        <w:t>;</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the </w:t>
      </w:r>
      <w:r>
        <w:rPr>
          <w:i/>
          <w:sz w:val="24"/>
        </w:rPr>
        <w:t>metrology procedure</w:t>
      </w:r>
      <w:r>
        <w:rPr>
          <w:sz w:val="24"/>
        </w:rPr>
        <w:t>;</w:t>
      </w:r>
      <w:r>
        <w:rPr>
          <w:spacing w:val="-3"/>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the </w:t>
      </w:r>
      <w:r>
        <w:rPr>
          <w:i/>
          <w:sz w:val="24"/>
        </w:rPr>
        <w:t>service level</w:t>
      </w:r>
      <w:r>
        <w:rPr>
          <w:i/>
          <w:spacing w:val="-2"/>
          <w:sz w:val="24"/>
        </w:rPr>
        <w:t> </w:t>
      </w:r>
      <w:r>
        <w:rPr>
          <w:i/>
          <w:sz w:val="24"/>
        </w:rPr>
        <w:t>procedures</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w:t>
      </w:r>
      <w:r>
        <w:rPr>
          <w:i/>
          <w:sz w:val="24"/>
        </w:rPr>
        <w:t>Information Exchange Committee </w:t>
      </w:r>
      <w:r>
        <w:rPr>
          <w:sz w:val="24"/>
        </w:rPr>
        <w:t>must make an </w:t>
      </w:r>
      <w:r>
        <w:rPr>
          <w:i/>
          <w:sz w:val="24"/>
        </w:rPr>
        <w:t>Information Exchange </w:t>
      </w:r>
      <w:r>
        <w:rPr>
          <w:i/>
          <w:sz w:val="24"/>
        </w:rPr>
        <w:t>Committee Recommendation </w:t>
      </w:r>
      <w:r>
        <w:rPr>
          <w:sz w:val="24"/>
        </w:rPr>
        <w:t>to change the </w:t>
      </w:r>
      <w:r>
        <w:rPr>
          <w:i/>
          <w:sz w:val="24"/>
        </w:rPr>
        <w:t>B2B Procedures </w:t>
      </w:r>
      <w:r>
        <w:rPr>
          <w:spacing w:val="-4"/>
          <w:sz w:val="24"/>
        </w:rPr>
        <w:t>(</w:t>
      </w:r>
      <w:r>
        <w:rPr>
          <w:b/>
          <w:spacing w:val="-4"/>
          <w:sz w:val="24"/>
        </w:rPr>
        <w:t>B2B </w:t>
      </w:r>
      <w:r>
        <w:rPr>
          <w:b/>
          <w:sz w:val="24"/>
        </w:rPr>
        <w:t>Recommendation</w:t>
      </w:r>
      <w:r>
        <w:rPr>
          <w:sz w:val="24"/>
        </w:rPr>
        <w:t>) to take into account the Amending Rule by 1 July</w:t>
      </w:r>
      <w:r>
        <w:rPr>
          <w:spacing w:val="-26"/>
          <w:sz w:val="24"/>
        </w:rPr>
        <w:t> </w:t>
      </w:r>
      <w:r>
        <w:rPr>
          <w:sz w:val="24"/>
        </w:rPr>
        <w:t>2019.</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Subject to clause 7.17.5(b), </w:t>
      </w:r>
      <w:r>
        <w:rPr>
          <w:i/>
          <w:sz w:val="24"/>
        </w:rPr>
        <w:t>AEMO </w:t>
      </w:r>
      <w:r>
        <w:rPr>
          <w:sz w:val="24"/>
        </w:rPr>
        <w:t>must </w:t>
      </w:r>
      <w:r>
        <w:rPr>
          <w:i/>
          <w:sz w:val="24"/>
        </w:rPr>
        <w:t>publish </w:t>
      </w:r>
      <w:r>
        <w:rPr>
          <w:sz w:val="24"/>
        </w:rPr>
        <w:t>the </w:t>
      </w:r>
      <w:r>
        <w:rPr>
          <w:i/>
          <w:sz w:val="24"/>
        </w:rPr>
        <w:t>B2B Procedures </w:t>
      </w:r>
      <w:r>
        <w:rPr>
          <w:sz w:val="24"/>
        </w:rPr>
        <w:t>in accordance with the B2B Recommendation within 10 </w:t>
      </w:r>
      <w:r>
        <w:rPr>
          <w:i/>
          <w:sz w:val="24"/>
        </w:rPr>
        <w:t>business days </w:t>
      </w:r>
      <w:r>
        <w:rPr>
          <w:sz w:val="24"/>
        </w:rPr>
        <w:t>of the </w:t>
      </w:r>
      <w:r>
        <w:rPr>
          <w:i/>
          <w:sz w:val="24"/>
        </w:rPr>
        <w:t>Information Exchange Committee </w:t>
      </w:r>
      <w:r>
        <w:rPr>
          <w:sz w:val="24"/>
        </w:rPr>
        <w:t>making the B2B</w:t>
      </w:r>
      <w:r>
        <w:rPr>
          <w:spacing w:val="-2"/>
          <w:sz w:val="24"/>
        </w:rPr>
        <w:t> </w:t>
      </w:r>
      <w:r>
        <w:rPr>
          <w:sz w:val="24"/>
        </w:rPr>
        <w:t>Recommendation.</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By 1 December 2019, the </w:t>
      </w:r>
      <w:r>
        <w:rPr>
          <w:i/>
          <w:sz w:val="24"/>
        </w:rPr>
        <w:t>AER </w:t>
      </w:r>
      <w:r>
        <w:rPr>
          <w:sz w:val="24"/>
        </w:rPr>
        <w:t>must amend and </w:t>
      </w:r>
      <w:r>
        <w:rPr>
          <w:i/>
          <w:sz w:val="24"/>
        </w:rPr>
        <w:t>publish </w:t>
      </w:r>
      <w:r>
        <w:rPr>
          <w:sz w:val="24"/>
        </w:rPr>
        <w:t>the following documents to apply from the commencement date to take into account the Amending</w:t>
      </w:r>
      <w:r>
        <w:rPr>
          <w:spacing w:val="-2"/>
          <w:sz w:val="24"/>
        </w:rPr>
        <w:t> </w:t>
      </w:r>
      <w:r>
        <w:rPr>
          <w:sz w:val="24"/>
        </w:rPr>
        <w:t>Rule:</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the methodology relating to the </w:t>
      </w:r>
      <w:r>
        <w:rPr>
          <w:i/>
          <w:sz w:val="24"/>
        </w:rPr>
        <w:t>distribution loss factor </w:t>
      </w:r>
      <w:r>
        <w:rPr>
          <w:sz w:val="24"/>
        </w:rPr>
        <w:t>in accordance with clause</w:t>
      </w:r>
      <w:r>
        <w:rPr>
          <w:spacing w:val="-3"/>
          <w:sz w:val="24"/>
        </w:rPr>
        <w:t> </w:t>
      </w:r>
      <w:r>
        <w:rPr>
          <w:sz w:val="24"/>
        </w:rPr>
        <w:t>3.6.3;</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guidelines maintained under clause 3.8.22 in respect of </w:t>
      </w:r>
      <w:r>
        <w:rPr>
          <w:i/>
          <w:sz w:val="24"/>
        </w:rPr>
        <w:t>rebidding</w:t>
      </w:r>
      <w:r>
        <w:rPr>
          <w:sz w:val="24"/>
        </w:rPr>
        <w:t>;</w:t>
      </w:r>
      <w:r>
        <w:rPr>
          <w:spacing w:val="-4"/>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criteria that the </w:t>
      </w:r>
      <w:r>
        <w:rPr>
          <w:i/>
          <w:sz w:val="24"/>
        </w:rPr>
        <w:t>AER </w:t>
      </w:r>
      <w:r>
        <w:rPr>
          <w:sz w:val="24"/>
        </w:rPr>
        <w:t>will use to determine whether there is a significant variation between the </w:t>
      </w:r>
      <w:r>
        <w:rPr>
          <w:i/>
          <w:sz w:val="24"/>
        </w:rPr>
        <w:t>spot price forecast </w:t>
      </w:r>
      <w:r>
        <w:rPr>
          <w:sz w:val="24"/>
        </w:rPr>
        <w:t>and the actual </w:t>
      </w:r>
      <w:r>
        <w:rPr>
          <w:i/>
          <w:sz w:val="24"/>
        </w:rPr>
        <w:t>spot price </w:t>
      </w:r>
      <w:r>
        <w:rPr>
          <w:sz w:val="24"/>
        </w:rPr>
        <w:t>in accordance with clause</w:t>
      </w:r>
      <w:r>
        <w:rPr>
          <w:spacing w:val="-2"/>
          <w:sz w:val="24"/>
        </w:rPr>
        <w:t> </w:t>
      </w:r>
      <w:r>
        <w:rPr>
          <w:sz w:val="24"/>
        </w:rPr>
        <w:t>3.13.7.</w:t>
      </w:r>
    </w:p>
    <w:p>
      <w:pPr>
        <w:pStyle w:val="BodyText"/>
        <w:spacing w:before="10"/>
        <w:ind w:firstLine="0"/>
        <w:jc w:val="left"/>
        <w:rPr>
          <w:sz w:val="20"/>
        </w:rPr>
      </w:pPr>
    </w:p>
    <w:p>
      <w:pPr>
        <w:pStyle w:val="Heading4"/>
        <w:numPr>
          <w:ilvl w:val="2"/>
          <w:numId w:val="853"/>
        </w:numPr>
        <w:tabs>
          <w:tab w:pos="1352" w:val="left" w:leader="none"/>
        </w:tabs>
        <w:spacing w:line="240" w:lineRule="auto" w:before="0" w:after="0"/>
        <w:ind w:left="1351" w:right="0" w:hanging="1134"/>
        <w:jc w:val="left"/>
      </w:pPr>
      <w:bookmarkStart w:name="11.103.3. Exemption for certain metering" w:id="3298"/>
      <w:bookmarkEnd w:id="3298"/>
      <w:r>
        <w:rPr>
          <w:b w:val="0"/>
        </w:rPr>
      </w:r>
      <w:bookmarkStart w:name="_bookmark1310" w:id="3299"/>
      <w:bookmarkEnd w:id="3299"/>
      <w:r>
        <w:rPr>
          <w:b w:val="0"/>
        </w:rPr>
      </w:r>
      <w:bookmarkStart w:name="_bookmark1310" w:id="3300"/>
      <w:bookmarkEnd w:id="3300"/>
      <w:r>
        <w:rPr/>
        <w:t>Exemption</w:t>
      </w:r>
      <w:r>
        <w:rPr/>
        <w:t> for certain metering</w:t>
      </w:r>
      <w:r>
        <w:rPr>
          <w:spacing w:val="-4"/>
        </w:rPr>
        <w:t> </w:t>
      </w:r>
      <w:r>
        <w:rPr/>
        <w:t>installations</w:t>
      </w:r>
    </w:p>
    <w:p>
      <w:pPr>
        <w:pStyle w:val="BodyText"/>
        <w:ind w:left="1352" w:firstLine="0"/>
      </w:pPr>
      <w:r>
        <w:rPr/>
        <w:t>From the commencement date:</w:t>
      </w:r>
    </w:p>
    <w:p>
      <w:pPr>
        <w:pStyle w:val="ListParagraph"/>
        <w:numPr>
          <w:ilvl w:val="3"/>
          <w:numId w:val="853"/>
        </w:numPr>
        <w:tabs>
          <w:tab w:pos="1919" w:val="left" w:leader="none"/>
        </w:tabs>
        <w:spacing w:line="240" w:lineRule="auto" w:before="120" w:after="0"/>
        <w:ind w:left="1919" w:right="414" w:hanging="567"/>
        <w:jc w:val="both"/>
        <w:rPr>
          <w:sz w:val="24"/>
        </w:rPr>
      </w:pPr>
      <w:r>
        <w:rPr>
          <w:sz w:val="24"/>
        </w:rPr>
        <w:t>all </w:t>
      </w:r>
      <w:r>
        <w:rPr>
          <w:i/>
          <w:sz w:val="24"/>
        </w:rPr>
        <w:t>metering installations </w:t>
      </w:r>
      <w:r>
        <w:rPr>
          <w:sz w:val="24"/>
        </w:rPr>
        <w:t>(other than Excluded metering installations and type 4A </w:t>
      </w:r>
      <w:r>
        <w:rPr>
          <w:i/>
          <w:sz w:val="24"/>
        </w:rPr>
        <w:t>metering installations</w:t>
      </w:r>
      <w:r>
        <w:rPr>
          <w:sz w:val="24"/>
        </w:rPr>
        <w:t>) that were installed prior to 1 December 2018; and</w:t>
      </w:r>
    </w:p>
    <w:p>
      <w:pPr>
        <w:pStyle w:val="ListParagraph"/>
        <w:numPr>
          <w:ilvl w:val="3"/>
          <w:numId w:val="853"/>
        </w:numPr>
        <w:tabs>
          <w:tab w:pos="1919" w:val="left" w:leader="none"/>
        </w:tabs>
        <w:spacing w:line="240" w:lineRule="auto" w:before="120" w:after="0"/>
        <w:ind w:left="1918" w:right="0" w:hanging="567"/>
        <w:jc w:val="both"/>
        <w:rPr>
          <w:sz w:val="24"/>
        </w:rPr>
      </w:pPr>
      <w:r>
        <w:rPr>
          <w:sz w:val="24"/>
        </w:rPr>
        <w:t>type 4A </w:t>
      </w:r>
      <w:r>
        <w:rPr>
          <w:i/>
          <w:sz w:val="24"/>
        </w:rPr>
        <w:t>metering installations </w:t>
      </w:r>
      <w:r>
        <w:rPr>
          <w:sz w:val="24"/>
        </w:rPr>
        <w:t>that were installed prior to 1 December</w:t>
      </w:r>
      <w:r>
        <w:rPr>
          <w:spacing w:val="-7"/>
          <w:sz w:val="24"/>
        </w:rPr>
        <w:t> </w:t>
      </w:r>
      <w:r>
        <w:rPr>
          <w:sz w:val="24"/>
        </w:rPr>
        <w:t>2019,</w:t>
      </w:r>
    </w:p>
    <w:p>
      <w:pPr>
        <w:pStyle w:val="BodyText"/>
        <w:ind w:left="1352" w:right="414" w:firstLine="0"/>
      </w:pPr>
      <w:r>
        <w:rPr/>
        <w:t>do not have to be capable of recording and providing, or configured to record and provide, </w:t>
      </w:r>
      <w:r>
        <w:rPr>
          <w:i/>
        </w:rPr>
        <w:t>trading interval energy data </w:t>
      </w:r>
      <w:r>
        <w:rPr/>
        <w:t>(as defined under new Chapter 10) until they are replaced in accordance with new clause 7.8.2A.</w:t>
      </w:r>
    </w:p>
    <w:p>
      <w:pPr>
        <w:pStyle w:val="BodyText"/>
        <w:spacing w:before="10"/>
        <w:ind w:firstLine="0"/>
        <w:jc w:val="left"/>
        <w:rPr>
          <w:sz w:val="20"/>
        </w:rPr>
      </w:pPr>
    </w:p>
    <w:p>
      <w:pPr>
        <w:pStyle w:val="Heading4"/>
        <w:numPr>
          <w:ilvl w:val="2"/>
          <w:numId w:val="854"/>
        </w:numPr>
        <w:tabs>
          <w:tab w:pos="1352" w:val="left" w:leader="none"/>
        </w:tabs>
        <w:spacing w:line="240" w:lineRule="auto" w:before="0" w:after="0"/>
        <w:ind w:left="1351" w:right="0" w:hanging="1134"/>
        <w:jc w:val="left"/>
      </w:pPr>
      <w:bookmarkStart w:name="11.103.4 New or replacement meters" w:id="3301"/>
      <w:bookmarkEnd w:id="3301"/>
      <w:r>
        <w:rPr>
          <w:b w:val="0"/>
        </w:rPr>
      </w:r>
      <w:bookmarkStart w:name="_bookmark1311" w:id="3302"/>
      <w:bookmarkEnd w:id="3302"/>
      <w:r>
        <w:rPr>
          <w:b w:val="0"/>
        </w:rPr>
      </w:r>
      <w:bookmarkStart w:name="_bookmark1311" w:id="3303"/>
      <w:bookmarkEnd w:id="3303"/>
      <w:r>
        <w:rPr/>
        <w:t>Ne</w:t>
      </w:r>
      <w:r>
        <w:rPr/>
        <w:t>w or replacement</w:t>
      </w:r>
      <w:r>
        <w:rPr>
          <w:spacing w:val="-2"/>
        </w:rPr>
        <w:t> </w:t>
      </w:r>
      <w:r>
        <w:rPr/>
        <w:t>meters</w:t>
      </w:r>
    </w:p>
    <w:p>
      <w:pPr>
        <w:spacing w:before="120"/>
        <w:ind w:left="1352" w:right="0" w:firstLine="0"/>
        <w:jc w:val="both"/>
        <w:rPr>
          <w:sz w:val="24"/>
        </w:rPr>
      </w:pPr>
      <w:r>
        <w:rPr>
          <w:sz w:val="24"/>
        </w:rPr>
        <w:t>The </w:t>
      </w:r>
      <w:r>
        <w:rPr>
          <w:i/>
          <w:sz w:val="24"/>
        </w:rPr>
        <w:t>Metering Coordinator </w:t>
      </w:r>
      <w:r>
        <w:rPr>
          <w:sz w:val="24"/>
        </w:rPr>
        <w:t>at a </w:t>
      </w:r>
      <w:r>
        <w:rPr>
          <w:i/>
          <w:sz w:val="24"/>
        </w:rPr>
        <w:t>connection point </w:t>
      </w:r>
      <w:r>
        <w:rPr>
          <w:sz w:val="24"/>
        </w:rPr>
        <w:t>must ensure that:</w:t>
      </w:r>
    </w:p>
    <w:p>
      <w:pPr>
        <w:pStyle w:val="ListParagraph"/>
        <w:numPr>
          <w:ilvl w:val="3"/>
          <w:numId w:val="854"/>
        </w:numPr>
        <w:tabs>
          <w:tab w:pos="1919" w:val="left" w:leader="none"/>
        </w:tabs>
        <w:spacing w:line="240" w:lineRule="auto" w:before="120" w:after="0"/>
        <w:ind w:left="1919" w:right="415" w:hanging="567"/>
        <w:jc w:val="both"/>
        <w:rPr>
          <w:sz w:val="24"/>
        </w:rPr>
      </w:pPr>
      <w:r>
        <w:rPr>
          <w:sz w:val="24"/>
        </w:rPr>
        <w:t>all new or replacement </w:t>
      </w:r>
      <w:r>
        <w:rPr>
          <w:i/>
          <w:sz w:val="24"/>
        </w:rPr>
        <w:t>metering installations </w:t>
      </w:r>
      <w:r>
        <w:rPr>
          <w:sz w:val="24"/>
        </w:rPr>
        <w:t>(other than type 4A </w:t>
      </w:r>
      <w:r>
        <w:rPr>
          <w:i/>
          <w:sz w:val="24"/>
        </w:rPr>
        <w:t>metering </w:t>
      </w:r>
      <w:r>
        <w:rPr>
          <w:i/>
          <w:sz w:val="24"/>
        </w:rPr>
        <w:t>installations</w:t>
      </w:r>
      <w:r>
        <w:rPr>
          <w:sz w:val="24"/>
        </w:rPr>
        <w:t>) installed between 1 December 2018 and the commencement date;</w:t>
      </w:r>
      <w:r>
        <w:rPr>
          <w:spacing w:val="-1"/>
          <w:sz w:val="24"/>
        </w:rPr>
        <w:t> </w:t>
      </w:r>
      <w:r>
        <w:rPr>
          <w:sz w:val="24"/>
        </w:rPr>
        <w:t>and</w:t>
      </w:r>
    </w:p>
    <w:p>
      <w:pPr>
        <w:pStyle w:val="ListParagraph"/>
        <w:numPr>
          <w:ilvl w:val="3"/>
          <w:numId w:val="854"/>
        </w:numPr>
        <w:tabs>
          <w:tab w:pos="1919" w:val="left" w:leader="none"/>
        </w:tabs>
        <w:spacing w:line="240" w:lineRule="auto" w:before="120" w:after="0"/>
        <w:ind w:left="1919" w:right="415" w:hanging="567"/>
        <w:jc w:val="both"/>
        <w:rPr>
          <w:sz w:val="24"/>
        </w:rPr>
      </w:pPr>
      <w:r>
        <w:rPr>
          <w:sz w:val="24"/>
        </w:rPr>
        <w:t>all new or replacement type 4A </w:t>
      </w:r>
      <w:r>
        <w:rPr>
          <w:i/>
          <w:sz w:val="24"/>
        </w:rPr>
        <w:t>metering installations </w:t>
      </w:r>
      <w:r>
        <w:rPr>
          <w:sz w:val="24"/>
        </w:rPr>
        <w:t>installed between 1 December 2019 and the commencement</w:t>
      </w:r>
      <w:r>
        <w:rPr>
          <w:spacing w:val="-2"/>
          <w:sz w:val="24"/>
        </w:rPr>
        <w:t> </w:t>
      </w:r>
      <w:r>
        <w:rPr>
          <w:sz w:val="24"/>
        </w:rPr>
        <w:t>date,</w:t>
      </w:r>
    </w:p>
    <w:p>
      <w:pPr>
        <w:spacing w:before="120"/>
        <w:ind w:left="1352" w:right="414" w:firstLine="0"/>
        <w:jc w:val="both"/>
        <w:rPr>
          <w:sz w:val="24"/>
        </w:rPr>
      </w:pPr>
      <w:r>
        <w:rPr>
          <w:sz w:val="24"/>
        </w:rPr>
        <w:t>are capable of recording and providing </w:t>
      </w:r>
      <w:r>
        <w:rPr>
          <w:i/>
          <w:sz w:val="24"/>
        </w:rPr>
        <w:t>trading interval energy data </w:t>
      </w:r>
      <w:r>
        <w:rPr>
          <w:sz w:val="24"/>
        </w:rPr>
        <w:t>as defined under new Chapter 10.</w:t>
      </w:r>
    </w:p>
    <w:p>
      <w:pPr>
        <w:spacing w:after="0"/>
        <w:jc w:val="both"/>
        <w:rPr>
          <w:sz w:val="24"/>
        </w:rPr>
        <w:sectPr>
          <w:pgSz w:w="11910" w:h="16840"/>
          <w:pgMar w:header="686" w:footer="637" w:top="1320" w:bottom="820" w:left="1200" w:right="1000"/>
        </w:sectPr>
      </w:pPr>
    </w:p>
    <w:p>
      <w:pPr>
        <w:pStyle w:val="Heading4"/>
        <w:numPr>
          <w:ilvl w:val="2"/>
          <w:numId w:val="854"/>
        </w:numPr>
        <w:tabs>
          <w:tab w:pos="1352" w:val="left" w:leader="none"/>
        </w:tabs>
        <w:spacing w:line="240" w:lineRule="auto" w:before="83" w:after="0"/>
        <w:ind w:left="1352" w:right="1592" w:hanging="1134"/>
        <w:jc w:val="left"/>
      </w:pPr>
      <w:bookmarkStart w:name="11.103.5 Metering installations exempt f" w:id="3304"/>
      <w:bookmarkEnd w:id="3304"/>
      <w:r>
        <w:rPr>
          <w:b w:val="0"/>
        </w:rPr>
      </w:r>
      <w:bookmarkStart w:name="_bookmark1312" w:id="3305"/>
      <w:bookmarkEnd w:id="3305"/>
      <w:r>
        <w:rPr>
          <w:b w:val="0"/>
        </w:rPr>
      </w:r>
      <w:bookmarkStart w:name="_bookmark1312" w:id="3306"/>
      <w:bookmarkEnd w:id="3306"/>
      <w:r>
        <w:rPr/>
        <w:t>Metering</w:t>
      </w:r>
      <w:r>
        <w:rPr/>
        <w:t> installations exempt from metering data provision requirements</w:t>
      </w:r>
    </w:p>
    <w:p>
      <w:pPr>
        <w:spacing w:before="120"/>
        <w:ind w:left="1352" w:right="415" w:firstLine="0"/>
        <w:jc w:val="both"/>
        <w:rPr>
          <w:sz w:val="24"/>
        </w:rPr>
      </w:pPr>
      <w:r>
        <w:rPr>
          <w:i/>
          <w:sz w:val="24"/>
        </w:rPr>
        <w:t>Metering installations </w:t>
      </w:r>
      <w:r>
        <w:rPr>
          <w:sz w:val="24"/>
        </w:rPr>
        <w:t>(other than Excluded metering installations) do not have to be configured to record and provide </w:t>
      </w:r>
      <w:r>
        <w:rPr>
          <w:i/>
          <w:sz w:val="24"/>
        </w:rPr>
        <w:t>trading interval energy data </w:t>
      </w:r>
      <w:r>
        <w:rPr>
          <w:sz w:val="24"/>
        </w:rPr>
        <w:t>(as defined under new Chapter 10) prior to 1 December</w:t>
      </w:r>
      <w:r>
        <w:rPr>
          <w:spacing w:val="-2"/>
          <w:sz w:val="24"/>
        </w:rPr>
        <w:t> </w:t>
      </w:r>
      <w:r>
        <w:rPr>
          <w:sz w:val="24"/>
        </w:rPr>
        <w:t>2022.</w:t>
      </w:r>
    </w:p>
    <w:p>
      <w:pPr>
        <w:pStyle w:val="BodyText"/>
        <w:spacing w:before="10"/>
        <w:ind w:firstLine="0"/>
        <w:jc w:val="left"/>
        <w:rPr>
          <w:sz w:val="20"/>
        </w:rPr>
      </w:pPr>
    </w:p>
    <w:p>
      <w:pPr>
        <w:pStyle w:val="Heading4"/>
        <w:numPr>
          <w:ilvl w:val="2"/>
          <w:numId w:val="854"/>
        </w:numPr>
        <w:tabs>
          <w:tab w:pos="1352" w:val="left" w:leader="none"/>
        </w:tabs>
        <w:spacing w:line="240" w:lineRule="auto" w:before="0" w:after="0"/>
        <w:ind w:left="1351" w:right="0" w:hanging="1134"/>
        <w:jc w:val="left"/>
      </w:pPr>
      <w:bookmarkStart w:name="11.103.6 Exemption from meter data stora" w:id="3307"/>
      <w:bookmarkEnd w:id="3307"/>
      <w:r>
        <w:rPr>
          <w:b w:val="0"/>
        </w:rPr>
      </w:r>
      <w:bookmarkStart w:name="_bookmark1313" w:id="3308"/>
      <w:bookmarkEnd w:id="3308"/>
      <w:r>
        <w:rPr>
          <w:b w:val="0"/>
        </w:rPr>
      </w:r>
      <w:bookmarkStart w:name="_bookmark1313" w:id="3309"/>
      <w:bookmarkEnd w:id="3309"/>
      <w:r>
        <w:rPr/>
        <w:t>Exemption</w:t>
      </w:r>
      <w:r>
        <w:rPr/>
        <w:t> from meter data storage</w:t>
      </w:r>
      <w:r>
        <w:rPr>
          <w:spacing w:val="-3"/>
        </w:rPr>
        <w:t> </w:t>
      </w:r>
      <w:r>
        <w:rPr/>
        <w:t>requirements</w:t>
      </w:r>
    </w:p>
    <w:p>
      <w:pPr>
        <w:pStyle w:val="BodyText"/>
        <w:ind w:left="1352" w:right="415" w:firstLine="0"/>
      </w:pPr>
      <w:r>
        <w:rPr/>
        <w:t>By 1 December 2019, </w:t>
      </w:r>
      <w:r>
        <w:rPr>
          <w:i/>
        </w:rPr>
        <w:t>AEMO </w:t>
      </w:r>
      <w:r>
        <w:rPr/>
        <w:t>must </w:t>
      </w:r>
      <w:r>
        <w:rPr>
          <w:i/>
        </w:rPr>
        <w:t>establish </w:t>
      </w:r>
      <w:r>
        <w:rPr/>
        <w:t>and </w:t>
      </w:r>
      <w:r>
        <w:rPr>
          <w:i/>
        </w:rPr>
        <w:t>publish </w:t>
      </w:r>
      <w:r>
        <w:rPr/>
        <w:t>the procedure required by new clause 7.8.2(a2) in respect of exemptions from data storage</w:t>
      </w:r>
      <w:r>
        <w:rPr>
          <w:spacing w:val="-5"/>
        </w:rPr>
        <w:t> </w:t>
      </w:r>
      <w:r>
        <w:rPr/>
        <w:t>requirements.</w:t>
      </w:r>
    </w:p>
    <w:p>
      <w:pPr>
        <w:pStyle w:val="BodyText"/>
        <w:spacing w:before="10"/>
        <w:ind w:firstLine="0"/>
        <w:jc w:val="left"/>
        <w:rPr>
          <w:sz w:val="20"/>
        </w:rPr>
      </w:pPr>
    </w:p>
    <w:p>
      <w:pPr>
        <w:pStyle w:val="Heading4"/>
        <w:numPr>
          <w:ilvl w:val="2"/>
          <w:numId w:val="854"/>
        </w:numPr>
        <w:tabs>
          <w:tab w:pos="1352" w:val="left" w:leader="none"/>
        </w:tabs>
        <w:spacing w:line="240" w:lineRule="auto" w:before="0" w:after="0"/>
        <w:ind w:left="1351" w:right="0" w:hanging="1134"/>
        <w:jc w:val="left"/>
      </w:pPr>
      <w:bookmarkStart w:name="11.103.7 Default offers and bids submitt" w:id="3310"/>
      <w:bookmarkEnd w:id="3310"/>
      <w:r>
        <w:rPr>
          <w:b w:val="0"/>
        </w:rPr>
      </w:r>
      <w:bookmarkStart w:name="_bookmark1314" w:id="3311"/>
      <w:bookmarkEnd w:id="3311"/>
      <w:r>
        <w:rPr>
          <w:b w:val="0"/>
        </w:rPr>
      </w:r>
      <w:bookmarkStart w:name="_bookmark1314" w:id="3312"/>
      <w:bookmarkEnd w:id="3312"/>
      <w:r>
        <w:rPr/>
        <w:t>Defaul</w:t>
      </w:r>
      <w:r>
        <w:rPr/>
        <w:t>t offers and bids submitted prior to the commencement</w:t>
      </w:r>
      <w:r>
        <w:rPr>
          <w:spacing w:val="-18"/>
        </w:rPr>
        <w:t> </w:t>
      </w:r>
      <w:r>
        <w:rPr/>
        <w:t>date</w:t>
      </w:r>
    </w:p>
    <w:p>
      <w:pPr>
        <w:spacing w:before="120"/>
        <w:ind w:left="1352" w:right="415" w:firstLine="0"/>
        <w:jc w:val="both"/>
        <w:rPr>
          <w:sz w:val="24"/>
        </w:rPr>
      </w:pPr>
      <w:r>
        <w:rPr>
          <w:sz w:val="24"/>
        </w:rPr>
        <w:t>Any </w:t>
      </w:r>
      <w:r>
        <w:rPr>
          <w:i/>
          <w:sz w:val="24"/>
        </w:rPr>
        <w:t>dispatch offer </w:t>
      </w:r>
      <w:r>
        <w:rPr>
          <w:sz w:val="24"/>
        </w:rPr>
        <w:t>or </w:t>
      </w:r>
      <w:r>
        <w:rPr>
          <w:i/>
          <w:sz w:val="24"/>
        </w:rPr>
        <w:t>dispatch bid </w:t>
      </w:r>
      <w:r>
        <w:rPr>
          <w:sz w:val="24"/>
        </w:rPr>
        <w:t>submitted pursuant to old clause 3.8.9 for a </w:t>
      </w:r>
      <w:r>
        <w:rPr>
          <w:i/>
          <w:sz w:val="24"/>
        </w:rPr>
        <w:t>trading interval </w:t>
      </w:r>
      <w:r>
        <w:rPr>
          <w:sz w:val="24"/>
        </w:rPr>
        <w:t>prior to the commencement date will, from the commencement date, be deemed to be 6 equal </w:t>
      </w:r>
      <w:r>
        <w:rPr>
          <w:i/>
          <w:sz w:val="24"/>
        </w:rPr>
        <w:t>dispatch offers </w:t>
      </w:r>
      <w:r>
        <w:rPr>
          <w:sz w:val="24"/>
        </w:rPr>
        <w:t>or </w:t>
      </w:r>
      <w:r>
        <w:rPr>
          <w:i/>
          <w:sz w:val="24"/>
        </w:rPr>
        <w:t>dispatch bids </w:t>
      </w:r>
      <w:r>
        <w:rPr>
          <w:sz w:val="24"/>
        </w:rPr>
        <w:t>submitted in respect of the 6 consecutive </w:t>
      </w:r>
      <w:r>
        <w:rPr>
          <w:i/>
          <w:sz w:val="24"/>
        </w:rPr>
        <w:t>trading intervals </w:t>
      </w:r>
      <w:r>
        <w:rPr>
          <w:sz w:val="24"/>
        </w:rPr>
        <w:t>within the relevant </w:t>
      </w:r>
      <w:r>
        <w:rPr>
          <w:i/>
          <w:sz w:val="24"/>
        </w:rPr>
        <w:t>30-minute period </w:t>
      </w:r>
      <w:r>
        <w:rPr>
          <w:sz w:val="24"/>
        </w:rPr>
        <w:t>until such time as that </w:t>
      </w:r>
      <w:r>
        <w:rPr>
          <w:i/>
          <w:sz w:val="24"/>
        </w:rPr>
        <w:t>dispatch offer </w:t>
      </w:r>
      <w:r>
        <w:rPr>
          <w:sz w:val="24"/>
        </w:rPr>
        <w:t>or </w:t>
      </w:r>
      <w:r>
        <w:rPr>
          <w:i/>
          <w:sz w:val="24"/>
        </w:rPr>
        <w:t>dispatch bid </w:t>
      </w:r>
      <w:r>
        <w:rPr>
          <w:sz w:val="24"/>
        </w:rPr>
        <w:t>is resubmitted under new clause 3.8.9.</w:t>
      </w:r>
    </w:p>
    <w:p>
      <w:pPr>
        <w:pStyle w:val="BodyText"/>
        <w:spacing w:before="10"/>
        <w:ind w:firstLine="0"/>
        <w:jc w:val="left"/>
        <w:rPr>
          <w:sz w:val="20"/>
        </w:rPr>
      </w:pPr>
    </w:p>
    <w:p>
      <w:pPr>
        <w:pStyle w:val="Heading2"/>
        <w:tabs>
          <w:tab w:pos="9317" w:val="left" w:leader="none"/>
        </w:tabs>
      </w:pPr>
      <w:bookmarkStart w:name="Part ZZZF Contestability of energy servi" w:id="3313"/>
      <w:bookmarkEnd w:id="3313"/>
      <w:r>
        <w:rPr>
          <w:b w:val="0"/>
        </w:rPr>
      </w:r>
      <w:bookmarkStart w:name="_bookmark1315" w:id="3314"/>
      <w:bookmarkEnd w:id="3314"/>
      <w:r>
        <w:rPr>
          <w:b w:val="0"/>
        </w:rPr>
      </w:r>
      <w:r>
        <w:rPr>
          <w:shd w:fill="D9D9D9" w:color="auto" w:val="clear"/>
        </w:rPr>
        <w:t>Part ZZZF  Contestability of energy</w:t>
      </w:r>
      <w:r>
        <w:rPr>
          <w:spacing w:val="-47"/>
          <w:shd w:fill="D9D9D9" w:color="auto" w:val="clear"/>
        </w:rPr>
        <w:t> </w:t>
      </w:r>
      <w:r>
        <w:rPr>
          <w:shd w:fill="D9D9D9" w:color="auto" w:val="clear"/>
        </w:rPr>
        <w:t>services</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04 Rules consequential on the making" w:id="3315"/>
      <w:bookmarkEnd w:id="3315"/>
      <w:r>
        <w:rPr>
          <w:b w:val="0"/>
        </w:rPr>
      </w:r>
      <w:bookmarkStart w:name="_bookmark1316" w:id="3316"/>
      <w:bookmarkEnd w:id="3316"/>
      <w:r>
        <w:rPr>
          <w:b w:val="0"/>
        </w:rPr>
      </w:r>
      <w:bookmarkStart w:name="_bookmark1316" w:id="3317"/>
      <w:bookmarkEnd w:id="3317"/>
      <w:r>
        <w:rPr/>
        <w:t>Rul</w:t>
      </w:r>
      <w:r>
        <w:rPr/>
        <w:t>es consequential on the making of the National Electricity Amendment (Contestability of energy services) Rule</w:t>
      </w:r>
      <w:r>
        <w:rPr>
          <w:spacing w:val="-15"/>
        </w:rPr>
        <w:t> </w:t>
      </w:r>
      <w:r>
        <w:rPr/>
        <w:t>2017</w:t>
      </w:r>
    </w:p>
    <w:p>
      <w:pPr>
        <w:pStyle w:val="Heading4"/>
        <w:numPr>
          <w:ilvl w:val="2"/>
          <w:numId w:val="850"/>
        </w:numPr>
        <w:tabs>
          <w:tab w:pos="1352" w:val="left" w:leader="none"/>
        </w:tabs>
        <w:spacing w:line="240" w:lineRule="auto" w:before="240" w:after="0"/>
        <w:ind w:left="1351" w:right="0" w:hanging="1134"/>
        <w:jc w:val="left"/>
      </w:pPr>
      <w:bookmarkStart w:name="11.104.1 Definitions" w:id="3318"/>
      <w:bookmarkEnd w:id="3318"/>
      <w:r>
        <w:rPr>
          <w:b w:val="0"/>
        </w:rPr>
      </w:r>
      <w:bookmarkStart w:name="_bookmark1317" w:id="3319"/>
      <w:bookmarkEnd w:id="3319"/>
      <w:r>
        <w:rPr>
          <w:b w:val="0"/>
        </w:rPr>
      </w:r>
      <w:bookmarkStart w:name="_bookmark1317" w:id="3320"/>
      <w:bookmarkEnd w:id="3320"/>
      <w:r>
        <w:rPr/>
        <w:t>Definition</w:t>
      </w:r>
      <w:r>
        <w:rPr/>
        <w:t>s</w:t>
      </w:r>
    </w:p>
    <w:p>
      <w:pPr>
        <w:pStyle w:val="BodyText"/>
        <w:ind w:left="1352" w:firstLine="0"/>
      </w:pPr>
      <w:r>
        <w:rPr/>
        <w:t>For the purposes of this rule 11.104:</w:t>
      </w:r>
    </w:p>
    <w:p>
      <w:pPr>
        <w:spacing w:before="120"/>
        <w:ind w:left="1352" w:right="415" w:firstLine="0"/>
        <w:jc w:val="both"/>
        <w:rPr>
          <w:sz w:val="24"/>
        </w:rPr>
      </w:pPr>
      <w:r>
        <w:rPr>
          <w:b/>
          <w:sz w:val="24"/>
        </w:rPr>
        <w:t>affected DNSP </w:t>
      </w:r>
      <w:r>
        <w:rPr>
          <w:sz w:val="24"/>
        </w:rPr>
        <w:t>means each of the following </w:t>
      </w:r>
      <w:r>
        <w:rPr>
          <w:i/>
          <w:sz w:val="24"/>
        </w:rPr>
        <w:t>Distribution Network Service </w:t>
      </w:r>
      <w:r>
        <w:rPr>
          <w:i/>
          <w:sz w:val="24"/>
        </w:rPr>
        <w:t>Providers</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ActewAGL Distribution, the joint venture between Icon Distribution Investments Limited ACN 073 025 224 and Jemena Networks (ACT) Pty Ltd ACN 008 552 663, which is registered by </w:t>
      </w:r>
      <w:r>
        <w:rPr>
          <w:i/>
          <w:sz w:val="24"/>
        </w:rPr>
        <w:t>AEMO </w:t>
      </w:r>
      <w:r>
        <w:rPr>
          <w:sz w:val="24"/>
        </w:rPr>
        <w:t>as a </w:t>
      </w:r>
      <w:r>
        <w:rPr>
          <w:i/>
          <w:sz w:val="24"/>
        </w:rPr>
        <w:t>Network Service </w:t>
      </w:r>
      <w:r>
        <w:rPr>
          <w:i/>
          <w:sz w:val="24"/>
        </w:rPr>
        <w:t>Provider </w:t>
      </w:r>
      <w:r>
        <w:rPr>
          <w:sz w:val="24"/>
        </w:rPr>
        <w:t>in accordance with section 12(1) of the </w:t>
      </w:r>
      <w:r>
        <w:rPr>
          <w:i/>
          <w:sz w:val="24"/>
        </w:rPr>
        <w:t>National Electricity Law </w:t>
      </w:r>
      <w:r>
        <w:rPr>
          <w:sz w:val="24"/>
        </w:rPr>
        <w:t>and clause 2.5.1 of the </w:t>
      </w:r>
      <w:r>
        <w:rPr>
          <w:i/>
          <w:sz w:val="24"/>
        </w:rPr>
        <w:t>Rules </w:t>
      </w:r>
      <w:r>
        <w:rPr>
          <w:sz w:val="24"/>
        </w:rPr>
        <w:t>to own, control and operate the </w:t>
      </w:r>
      <w:r>
        <w:rPr>
          <w:i/>
          <w:sz w:val="24"/>
        </w:rPr>
        <w:t>distribution </w:t>
      </w:r>
      <w:r>
        <w:rPr>
          <w:i/>
          <w:sz w:val="24"/>
        </w:rPr>
        <w:t>system </w:t>
      </w:r>
      <w:r>
        <w:rPr>
          <w:sz w:val="24"/>
        </w:rPr>
        <w:t>in the Australian Capital Territory, or any successor to its</w:t>
      </w:r>
      <w:r>
        <w:rPr>
          <w:spacing w:val="-19"/>
          <w:sz w:val="24"/>
        </w:rPr>
        <w:t> </w:t>
      </w:r>
      <w:r>
        <w:rPr>
          <w:sz w:val="24"/>
        </w:rPr>
        <w:t>business;</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Ausgrid Operator Partnership (ABN 78 508 211 731), which comprises</w:t>
      </w:r>
      <w:r>
        <w:rPr>
          <w:spacing w:val="-4"/>
          <w:sz w:val="24"/>
        </w:rPr>
        <w:t> </w:t>
      </w:r>
      <w:r>
        <w:rPr>
          <w:sz w:val="24"/>
        </w:rPr>
        <w:t>of:</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Blue Op Partner Pty Ltd (ACN 615 217 500) as trustee for the Blue Op Partner</w:t>
      </w:r>
      <w:r>
        <w:rPr>
          <w:spacing w:val="-3"/>
          <w:sz w:val="24"/>
        </w:rPr>
        <w:t> </w:t>
      </w:r>
      <w:r>
        <w:rPr>
          <w:sz w:val="24"/>
        </w:rPr>
        <w:t>Trust;</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ERIC Alpha Operator Corporation 1 Pty Ltd (ACN 612 975 096) as trustee for ERIC Alpha Operator Trust</w:t>
      </w:r>
      <w:r>
        <w:rPr>
          <w:spacing w:val="-2"/>
          <w:sz w:val="24"/>
        </w:rPr>
        <w:t> </w:t>
      </w:r>
      <w:r>
        <w:rPr>
          <w:sz w:val="24"/>
        </w:rPr>
        <w:t>1;</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ERIC Alpha Operator Corporation 2 Pty Ltd (ACN 612 975 121) as trustee for ERIC Alpha Operator Trust</w:t>
      </w:r>
      <w:r>
        <w:rPr>
          <w:spacing w:val="-2"/>
          <w:sz w:val="24"/>
        </w:rPr>
        <w:t> </w:t>
      </w:r>
      <w:r>
        <w:rPr>
          <w:sz w:val="24"/>
        </w:rPr>
        <w:t>2;</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ERIC Alpha Operator Corporation 3 Pty Ltd (ACN 612 975 185) as trustee for ERIC Alpha Operator Trust 3;</w:t>
      </w:r>
      <w:r>
        <w:rPr>
          <w:spacing w:val="-3"/>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6" w:right="416" w:hanging="567"/>
        <w:jc w:val="left"/>
        <w:rPr>
          <w:sz w:val="24"/>
        </w:rPr>
      </w:pPr>
      <w:r>
        <w:rPr>
          <w:sz w:val="24"/>
        </w:rPr>
        <w:t>ERIC Alpha Operator Corporation 4 Pty Ltd (ACN 612 975 210) as trustee for ERIC Alpha Operator Trust</w:t>
      </w:r>
      <w:r>
        <w:rPr>
          <w:spacing w:val="-2"/>
          <w:sz w:val="24"/>
        </w:rPr>
        <w:t> </w:t>
      </w:r>
      <w:r>
        <w:rPr>
          <w:sz w:val="24"/>
        </w:rPr>
        <w:t>4;</w:t>
      </w:r>
    </w:p>
    <w:p>
      <w:pPr>
        <w:spacing w:after="0" w:line="240" w:lineRule="auto"/>
        <w:jc w:val="left"/>
        <w:rPr>
          <w:sz w:val="24"/>
        </w:rPr>
        <w:sectPr>
          <w:pgSz w:w="11910" w:h="16840"/>
          <w:pgMar w:header="686" w:footer="637" w:top="1320" w:bottom="820" w:left="1200" w:right="1000"/>
        </w:sectPr>
      </w:pPr>
    </w:p>
    <w:p>
      <w:pPr>
        <w:pStyle w:val="ListParagraph"/>
        <w:numPr>
          <w:ilvl w:val="3"/>
          <w:numId w:val="850"/>
        </w:numPr>
        <w:tabs>
          <w:tab w:pos="1918" w:val="left" w:leader="none"/>
          <w:tab w:pos="1919" w:val="left" w:leader="none"/>
        </w:tabs>
        <w:spacing w:line="240" w:lineRule="auto" w:before="83" w:after="0"/>
        <w:ind w:left="1919" w:right="417" w:hanging="567"/>
        <w:jc w:val="left"/>
        <w:rPr>
          <w:sz w:val="24"/>
        </w:rPr>
      </w:pPr>
      <w:r>
        <w:rPr>
          <w:sz w:val="24"/>
        </w:rPr>
        <w:t>Endeavour Energy Network Operator Partnership (ABN 11 247 365 823), which comprises</w:t>
      </w:r>
      <w:r>
        <w:rPr>
          <w:spacing w:val="-2"/>
          <w:sz w:val="24"/>
        </w:rPr>
        <w:t> </w:t>
      </w:r>
      <w:r>
        <w:rPr>
          <w:sz w:val="24"/>
        </w:rPr>
        <w:t>of:</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Edwards O Pty Limited (ACN 618 643 486) as trustee for the Edwards O</w:t>
      </w:r>
      <w:r>
        <w:rPr>
          <w:spacing w:val="-1"/>
          <w:sz w:val="24"/>
        </w:rPr>
        <w:t> </w:t>
      </w:r>
      <w:r>
        <w:rPr>
          <w:sz w:val="24"/>
        </w:rPr>
        <w:t>Trust;</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ERIC Epsilon Operator Corporation 1 Pty Ltd (ACN 617 221 735) as trustee for ERIC Epsilon Operator Trust</w:t>
      </w:r>
      <w:r>
        <w:rPr>
          <w:spacing w:val="-2"/>
          <w:sz w:val="24"/>
        </w:rPr>
        <w:t> </w:t>
      </w:r>
      <w:r>
        <w:rPr>
          <w:sz w:val="24"/>
        </w:rPr>
        <w:t>1;</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ERIC Epsilon Operator Corporation 2 Pty Ltd (ACN 617 221 744) as trustee for ERIC Epsilon Operator Trust</w:t>
      </w:r>
      <w:r>
        <w:rPr>
          <w:spacing w:val="-2"/>
          <w:sz w:val="24"/>
        </w:rPr>
        <w:t> </w:t>
      </w:r>
      <w:r>
        <w:rPr>
          <w:sz w:val="24"/>
        </w:rPr>
        <w:t>2;</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ERIC Epsilon Operator Corporation 3 Pty Ltd (ACN 617 221 753) as trustee for ERIC Epsilon Operator Trust 3;</w:t>
      </w:r>
      <w:r>
        <w:rPr>
          <w:spacing w:val="-4"/>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sz w:val="24"/>
        </w:rPr>
        <w:t>ERIC Epsilon Operator Corporation 4 Pty Ltd (ACN 617 221 771) as trustee for ERIC Epsilon Operator Trust</w:t>
      </w:r>
      <w:r>
        <w:rPr>
          <w:spacing w:val="-2"/>
          <w:sz w:val="24"/>
        </w:rPr>
        <w:t> </w:t>
      </w:r>
      <w:r>
        <w:rPr>
          <w:sz w:val="24"/>
        </w:rPr>
        <w:t>4;</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Essential Energy, the energy services corporation of that name (formerly known as Country Energy), which is constituted under section 7 of the </w:t>
      </w:r>
      <w:r>
        <w:rPr>
          <w:i/>
          <w:sz w:val="24"/>
        </w:rPr>
        <w:t>Energy Services Corporations Act 1995 </w:t>
      </w:r>
      <w:r>
        <w:rPr>
          <w:sz w:val="24"/>
        </w:rPr>
        <w:t>(NSW) and specified in Part 2 of Schedule 1 of that Act, or any successor to its</w:t>
      </w:r>
      <w:r>
        <w:rPr>
          <w:spacing w:val="-8"/>
          <w:sz w:val="24"/>
        </w:rPr>
        <w:t> </w:t>
      </w:r>
      <w:r>
        <w:rPr>
          <w:sz w:val="24"/>
        </w:rPr>
        <w:t>business;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Power and Water Corporation ABN 15 947 352 360, providing </w:t>
      </w:r>
      <w:r>
        <w:rPr>
          <w:i/>
          <w:sz w:val="24"/>
        </w:rPr>
        <w:t>distribution </w:t>
      </w:r>
      <w:r>
        <w:rPr>
          <w:i/>
          <w:sz w:val="24"/>
        </w:rPr>
        <w:t>services </w:t>
      </w:r>
      <w:r>
        <w:rPr>
          <w:sz w:val="24"/>
        </w:rPr>
        <w:t>in the Northern Territory, or any successor to its business;</w:t>
      </w:r>
      <w:r>
        <w:rPr>
          <w:spacing w:val="-17"/>
          <w:sz w:val="24"/>
        </w:rPr>
        <w:t> </w:t>
      </w:r>
      <w:r>
        <w:rPr>
          <w:sz w:val="24"/>
        </w:rPr>
        <w:t>and</w:t>
      </w:r>
    </w:p>
    <w:p>
      <w:pPr>
        <w:pStyle w:val="ListParagraph"/>
        <w:numPr>
          <w:ilvl w:val="3"/>
          <w:numId w:val="850"/>
        </w:numPr>
        <w:tabs>
          <w:tab w:pos="1920" w:val="left" w:leader="none"/>
        </w:tabs>
        <w:spacing w:line="240" w:lineRule="auto" w:before="120" w:after="0"/>
        <w:ind w:left="1919" w:right="0" w:hanging="568"/>
        <w:jc w:val="both"/>
        <w:rPr>
          <w:sz w:val="24"/>
        </w:rPr>
      </w:pPr>
      <w:r>
        <w:rPr>
          <w:sz w:val="24"/>
        </w:rPr>
        <w:t>Tasmanian</w:t>
      </w:r>
      <w:r>
        <w:rPr>
          <w:spacing w:val="9"/>
          <w:sz w:val="24"/>
        </w:rPr>
        <w:t> </w:t>
      </w:r>
      <w:r>
        <w:rPr>
          <w:sz w:val="24"/>
        </w:rPr>
        <w:t>Networks</w:t>
      </w:r>
      <w:r>
        <w:rPr>
          <w:spacing w:val="9"/>
          <w:sz w:val="24"/>
        </w:rPr>
        <w:t> </w:t>
      </w:r>
      <w:r>
        <w:rPr>
          <w:sz w:val="24"/>
        </w:rPr>
        <w:t>Pty</w:t>
      </w:r>
      <w:r>
        <w:rPr>
          <w:spacing w:val="9"/>
          <w:sz w:val="24"/>
        </w:rPr>
        <w:t> </w:t>
      </w:r>
      <w:r>
        <w:rPr>
          <w:sz w:val="24"/>
        </w:rPr>
        <w:t>Ltd</w:t>
      </w:r>
      <w:r>
        <w:rPr>
          <w:spacing w:val="9"/>
          <w:sz w:val="24"/>
        </w:rPr>
        <w:t> </w:t>
      </w:r>
      <w:r>
        <w:rPr>
          <w:sz w:val="24"/>
        </w:rPr>
        <w:t>ACN</w:t>
      </w:r>
      <w:r>
        <w:rPr>
          <w:spacing w:val="9"/>
          <w:sz w:val="24"/>
        </w:rPr>
        <w:t> </w:t>
      </w:r>
      <w:r>
        <w:rPr>
          <w:sz w:val="24"/>
        </w:rPr>
        <w:t>167</w:t>
      </w:r>
      <w:r>
        <w:rPr>
          <w:spacing w:val="9"/>
          <w:sz w:val="24"/>
        </w:rPr>
        <w:t> </w:t>
      </w:r>
      <w:r>
        <w:rPr>
          <w:sz w:val="24"/>
        </w:rPr>
        <w:t>357</w:t>
      </w:r>
      <w:r>
        <w:rPr>
          <w:spacing w:val="10"/>
          <w:sz w:val="24"/>
        </w:rPr>
        <w:t> </w:t>
      </w:r>
      <w:r>
        <w:rPr>
          <w:sz w:val="24"/>
        </w:rPr>
        <w:t>299,</w:t>
      </w:r>
      <w:r>
        <w:rPr>
          <w:spacing w:val="9"/>
          <w:sz w:val="24"/>
        </w:rPr>
        <w:t> </w:t>
      </w:r>
      <w:r>
        <w:rPr>
          <w:sz w:val="24"/>
        </w:rPr>
        <w:t>in</w:t>
      </w:r>
      <w:r>
        <w:rPr>
          <w:spacing w:val="9"/>
          <w:sz w:val="24"/>
        </w:rPr>
        <w:t> </w:t>
      </w:r>
      <w:r>
        <w:rPr>
          <w:sz w:val="24"/>
        </w:rPr>
        <w:t>its</w:t>
      </w:r>
      <w:r>
        <w:rPr>
          <w:spacing w:val="9"/>
          <w:sz w:val="24"/>
        </w:rPr>
        <w:t> </w:t>
      </w:r>
      <w:r>
        <w:rPr>
          <w:sz w:val="24"/>
        </w:rPr>
        <w:t>capacity</w:t>
      </w:r>
      <w:r>
        <w:rPr>
          <w:spacing w:val="9"/>
          <w:sz w:val="24"/>
        </w:rPr>
        <w:t> </w:t>
      </w:r>
      <w:r>
        <w:rPr>
          <w:sz w:val="24"/>
        </w:rPr>
        <w:t>as</w:t>
      </w:r>
      <w:r>
        <w:rPr>
          <w:spacing w:val="9"/>
          <w:sz w:val="24"/>
        </w:rPr>
        <w:t> </w:t>
      </w:r>
      <w:r>
        <w:rPr>
          <w:sz w:val="24"/>
        </w:rPr>
        <w:t>a</w:t>
      </w:r>
    </w:p>
    <w:p>
      <w:pPr>
        <w:spacing w:before="0"/>
        <w:ind w:left="1919" w:right="0" w:firstLine="0"/>
        <w:jc w:val="both"/>
        <w:rPr>
          <w:sz w:val="24"/>
        </w:rPr>
      </w:pPr>
      <w:r>
        <w:rPr>
          <w:i/>
          <w:sz w:val="24"/>
        </w:rPr>
        <w:t>Distribution Network Service Provider</w:t>
      </w:r>
      <w:r>
        <w:rPr>
          <w:sz w:val="24"/>
        </w:rPr>
        <w:t>.</w:t>
      </w:r>
    </w:p>
    <w:p>
      <w:pPr>
        <w:pStyle w:val="BodyText"/>
        <w:ind w:left="1352" w:right="417" w:firstLine="0"/>
      </w:pPr>
      <w:r>
        <w:rPr>
          <w:b/>
        </w:rPr>
        <w:t>Amending rule </w:t>
      </w:r>
      <w:r>
        <w:rPr/>
        <w:t>means the National Electricity Amendment (Contestability of energy services) Rule 2017.</w:t>
      </w:r>
    </w:p>
    <w:p>
      <w:pPr>
        <w:spacing w:before="120"/>
        <w:ind w:left="1352" w:right="0" w:firstLine="0"/>
        <w:jc w:val="both"/>
        <w:rPr>
          <w:sz w:val="24"/>
        </w:rPr>
      </w:pPr>
      <w:r>
        <w:rPr>
          <w:b/>
          <w:sz w:val="24"/>
        </w:rPr>
        <w:t>commencement date </w:t>
      </w:r>
      <w:r>
        <w:rPr>
          <w:sz w:val="24"/>
        </w:rPr>
        <w:t>means the date of commencement of the Amending rule.</w:t>
      </w:r>
    </w:p>
    <w:p>
      <w:pPr>
        <w:spacing w:before="120"/>
        <w:ind w:left="1352" w:right="415" w:firstLine="0"/>
        <w:jc w:val="both"/>
        <w:rPr>
          <w:sz w:val="24"/>
        </w:rPr>
      </w:pPr>
      <w:r>
        <w:rPr>
          <w:b/>
          <w:sz w:val="24"/>
        </w:rPr>
        <w:t>current regulatory control period </w:t>
      </w:r>
      <w:r>
        <w:rPr>
          <w:sz w:val="24"/>
        </w:rPr>
        <w:t>in respect of a </w:t>
      </w:r>
      <w:r>
        <w:rPr>
          <w:i/>
          <w:sz w:val="24"/>
        </w:rPr>
        <w:t>Distribution Network Service </w:t>
      </w:r>
      <w:r>
        <w:rPr>
          <w:i/>
          <w:sz w:val="24"/>
        </w:rPr>
        <w:t>Provider</w:t>
      </w:r>
      <w:r>
        <w:rPr>
          <w:sz w:val="24"/>
        </w:rPr>
        <w:t>, means the </w:t>
      </w:r>
      <w:r>
        <w:rPr>
          <w:i/>
          <w:sz w:val="24"/>
        </w:rPr>
        <w:t>regulatory control period </w:t>
      </w:r>
      <w:r>
        <w:rPr>
          <w:sz w:val="24"/>
        </w:rPr>
        <w:t>for that </w:t>
      </w:r>
      <w:r>
        <w:rPr>
          <w:i/>
          <w:sz w:val="24"/>
        </w:rPr>
        <w:t>Distribution Network </w:t>
      </w:r>
      <w:r>
        <w:rPr>
          <w:i/>
          <w:sz w:val="24"/>
        </w:rPr>
        <w:t>Service Provider </w:t>
      </w:r>
      <w:r>
        <w:rPr>
          <w:sz w:val="24"/>
        </w:rPr>
        <w:t>that commenced before the commencement date and, as at the commencement date, has not ended.</w:t>
      </w:r>
    </w:p>
    <w:p>
      <w:pPr>
        <w:spacing w:before="120"/>
        <w:ind w:left="1352" w:right="414" w:firstLine="0"/>
        <w:jc w:val="both"/>
        <w:rPr>
          <w:sz w:val="24"/>
        </w:rPr>
      </w:pPr>
      <w:r>
        <w:rPr>
          <w:b/>
          <w:sz w:val="24"/>
        </w:rPr>
        <w:t>Old clauses 6.2.1(d) and 6.2.2(d) </w:t>
      </w:r>
      <w:r>
        <w:rPr>
          <w:sz w:val="24"/>
        </w:rPr>
        <w:t>means 6.2.1(d) and clause 6.2.2(d), each as in force immediately before the commencement date.</w:t>
      </w:r>
    </w:p>
    <w:p>
      <w:pPr>
        <w:spacing w:before="120"/>
        <w:ind w:left="1352" w:right="416" w:firstLine="0"/>
        <w:jc w:val="both"/>
        <w:rPr>
          <w:sz w:val="24"/>
        </w:rPr>
      </w:pPr>
      <w:r>
        <w:rPr>
          <w:b/>
          <w:sz w:val="24"/>
        </w:rPr>
        <w:t>statement of amendment </w:t>
      </w:r>
      <w:r>
        <w:rPr>
          <w:sz w:val="24"/>
        </w:rPr>
        <w:t>in respect of an affected DNSP, means a written statement setting out any amendments to the affected DNSP's </w:t>
      </w:r>
      <w:r>
        <w:rPr>
          <w:i/>
          <w:sz w:val="24"/>
        </w:rPr>
        <w:t>building</w:t>
      </w:r>
      <w:r>
        <w:rPr>
          <w:i/>
          <w:spacing w:val="23"/>
          <w:sz w:val="24"/>
        </w:rPr>
        <w:t> </w:t>
      </w:r>
      <w:r>
        <w:rPr>
          <w:i/>
          <w:sz w:val="24"/>
        </w:rPr>
        <w:t>block </w:t>
      </w:r>
      <w:r>
        <w:rPr>
          <w:i/>
          <w:sz w:val="24"/>
        </w:rPr>
        <w:t>proposal </w:t>
      </w:r>
      <w:r>
        <w:rPr>
          <w:sz w:val="24"/>
        </w:rPr>
        <w:t>that are necessary to remove, and make substitutions for, any </w:t>
      </w:r>
      <w:r>
        <w:rPr>
          <w:i/>
          <w:sz w:val="24"/>
        </w:rPr>
        <w:t>expenditure for a restricted asset </w:t>
      </w:r>
      <w:r>
        <w:rPr>
          <w:sz w:val="24"/>
        </w:rPr>
        <w:t>included in the affected</w:t>
      </w:r>
      <w:r>
        <w:rPr>
          <w:spacing w:val="-6"/>
          <w:sz w:val="24"/>
        </w:rPr>
        <w:t> </w:t>
      </w:r>
      <w:r>
        <w:rPr>
          <w:sz w:val="24"/>
        </w:rPr>
        <w:t>DNSP's:</w:t>
      </w:r>
    </w:p>
    <w:p>
      <w:pPr>
        <w:pStyle w:val="ListParagraph"/>
        <w:numPr>
          <w:ilvl w:val="0"/>
          <w:numId w:val="855"/>
        </w:numPr>
        <w:tabs>
          <w:tab w:pos="1919" w:val="left" w:leader="none"/>
        </w:tabs>
        <w:spacing w:line="240" w:lineRule="auto" w:before="120" w:after="0"/>
        <w:ind w:left="1918" w:right="0" w:hanging="567"/>
        <w:jc w:val="both"/>
        <w:rPr>
          <w:sz w:val="24"/>
        </w:rPr>
      </w:pPr>
      <w:r>
        <w:rPr>
          <w:sz w:val="24"/>
        </w:rPr>
        <w:t>forecast of required capital expenditure;</w:t>
      </w:r>
      <w:r>
        <w:rPr>
          <w:spacing w:val="-1"/>
          <w:sz w:val="24"/>
        </w:rPr>
        <w:t> </w:t>
      </w:r>
      <w:r>
        <w:rPr>
          <w:sz w:val="24"/>
        </w:rPr>
        <w:t>and</w:t>
      </w:r>
    </w:p>
    <w:p>
      <w:pPr>
        <w:pStyle w:val="ListParagraph"/>
        <w:numPr>
          <w:ilvl w:val="0"/>
          <w:numId w:val="855"/>
        </w:numPr>
        <w:tabs>
          <w:tab w:pos="1919" w:val="left" w:leader="none"/>
        </w:tabs>
        <w:spacing w:line="240" w:lineRule="auto" w:before="120" w:after="0"/>
        <w:ind w:left="1918" w:right="0" w:hanging="567"/>
        <w:jc w:val="both"/>
        <w:rPr>
          <w:sz w:val="24"/>
        </w:rPr>
      </w:pPr>
      <w:r>
        <w:rPr>
          <w:i/>
          <w:sz w:val="24"/>
        </w:rPr>
        <w:t>proposed contingent capital expenditure </w:t>
      </w:r>
      <w:r>
        <w:rPr>
          <w:sz w:val="24"/>
        </w:rPr>
        <w:t>(if</w:t>
      </w:r>
      <w:r>
        <w:rPr>
          <w:spacing w:val="-2"/>
          <w:sz w:val="24"/>
        </w:rPr>
        <w:t> </w:t>
      </w:r>
      <w:r>
        <w:rPr>
          <w:sz w:val="24"/>
        </w:rPr>
        <w:t>any),</w:t>
      </w:r>
    </w:p>
    <w:p>
      <w:pPr>
        <w:spacing w:before="120"/>
        <w:ind w:left="1352" w:right="415" w:firstLine="0"/>
        <w:jc w:val="left"/>
        <w:rPr>
          <w:sz w:val="24"/>
        </w:rPr>
      </w:pPr>
      <w:r>
        <w:rPr>
          <w:sz w:val="24"/>
        </w:rPr>
        <w:t>for which the affected DNSP has not submitted an </w:t>
      </w:r>
      <w:r>
        <w:rPr>
          <w:i/>
          <w:sz w:val="24"/>
        </w:rPr>
        <w:t>exemption application </w:t>
      </w:r>
      <w:r>
        <w:rPr>
          <w:sz w:val="24"/>
        </w:rPr>
        <w:t>under clause 11.104.4(d)(1).</w:t>
      </w:r>
    </w:p>
    <w:p>
      <w:pPr>
        <w:spacing w:before="120"/>
        <w:ind w:left="1352" w:right="415" w:firstLine="0"/>
        <w:jc w:val="left"/>
        <w:rPr>
          <w:sz w:val="24"/>
        </w:rPr>
      </w:pPr>
      <w:r>
        <w:rPr>
          <w:b/>
          <w:sz w:val="24"/>
        </w:rPr>
        <w:t>subsequent distribution determination </w:t>
      </w:r>
      <w:r>
        <w:rPr>
          <w:sz w:val="24"/>
        </w:rPr>
        <w:t>means a distribution determination for the subsequent regulatory control period.</w:t>
      </w:r>
    </w:p>
    <w:p>
      <w:pPr>
        <w:spacing w:before="120"/>
        <w:ind w:left="1352" w:right="415" w:firstLine="0"/>
        <w:jc w:val="left"/>
        <w:rPr>
          <w:i/>
          <w:sz w:val="24"/>
        </w:rPr>
      </w:pPr>
      <w:r>
        <w:rPr>
          <w:b/>
          <w:sz w:val="24"/>
        </w:rPr>
        <w:t>subsequent regulatory control period </w:t>
      </w:r>
      <w:r>
        <w:rPr>
          <w:sz w:val="24"/>
        </w:rPr>
        <w:t>in respect of a </w:t>
      </w:r>
      <w:r>
        <w:rPr>
          <w:i/>
          <w:sz w:val="24"/>
        </w:rPr>
        <w:t>Distribution Network </w:t>
      </w:r>
      <w:r>
        <w:rPr>
          <w:i/>
          <w:sz w:val="24"/>
        </w:rPr>
        <w:t>Service Provider</w:t>
      </w:r>
      <w:r>
        <w:rPr>
          <w:sz w:val="24"/>
        </w:rPr>
        <w:t>, means the </w:t>
      </w:r>
      <w:r>
        <w:rPr>
          <w:i/>
          <w:sz w:val="24"/>
        </w:rPr>
        <w:t>regulatory control period </w:t>
      </w:r>
      <w:r>
        <w:rPr>
          <w:sz w:val="24"/>
        </w:rPr>
        <w:t>for that </w:t>
      </w:r>
      <w:r>
        <w:rPr>
          <w:i/>
          <w:sz w:val="24"/>
        </w:rPr>
        <w:t>Distribution</w:t>
      </w:r>
    </w:p>
    <w:p>
      <w:pPr>
        <w:spacing w:after="0"/>
        <w:jc w:val="left"/>
        <w:rPr>
          <w:sz w:val="24"/>
        </w:rPr>
        <w:sectPr>
          <w:pgSz w:w="11910" w:h="16840"/>
          <w:pgMar w:header="686" w:footer="637" w:top="1320" w:bottom="820" w:left="1200" w:right="1000"/>
        </w:sectPr>
      </w:pPr>
    </w:p>
    <w:p>
      <w:pPr>
        <w:spacing w:before="83"/>
        <w:ind w:left="1352" w:right="0" w:firstLine="0"/>
        <w:jc w:val="left"/>
        <w:rPr>
          <w:sz w:val="24"/>
        </w:rPr>
      </w:pPr>
      <w:r>
        <w:rPr>
          <w:i/>
          <w:sz w:val="24"/>
        </w:rPr>
        <w:t>Network Service Provider </w:t>
      </w:r>
      <w:r>
        <w:rPr>
          <w:sz w:val="24"/>
        </w:rPr>
        <w:t>that immediately follows the current </w:t>
      </w:r>
      <w:r>
        <w:rPr>
          <w:i/>
          <w:sz w:val="24"/>
        </w:rPr>
        <w:t>regulatory control </w:t>
      </w:r>
      <w:r>
        <w:rPr>
          <w:i/>
          <w:sz w:val="24"/>
        </w:rPr>
        <w:t>period</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4.2 New guidelines" w:id="3321"/>
      <w:bookmarkEnd w:id="3321"/>
      <w:r>
        <w:rPr>
          <w:b w:val="0"/>
        </w:rPr>
      </w:r>
      <w:bookmarkStart w:name="_bookmark1318" w:id="3322"/>
      <w:bookmarkEnd w:id="3322"/>
      <w:r>
        <w:rPr>
          <w:b w:val="0"/>
        </w:rPr>
      </w:r>
      <w:bookmarkStart w:name="_bookmark1318" w:id="3323"/>
      <w:bookmarkEnd w:id="3323"/>
      <w:r>
        <w:rPr/>
        <w:t>Ne</w:t>
      </w:r>
      <w:r>
        <w:rPr/>
        <w:t>w</w:t>
      </w:r>
      <w:r>
        <w:rPr>
          <w:spacing w:val="-2"/>
        </w:rPr>
        <w:t> </w:t>
      </w:r>
      <w:r>
        <w:rPr/>
        <w:t>guidelines</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By 30 September 2018, the </w:t>
      </w:r>
      <w:r>
        <w:rPr>
          <w:i/>
          <w:sz w:val="24"/>
        </w:rPr>
        <w:t>AER </w:t>
      </w:r>
      <w:r>
        <w:rPr>
          <w:sz w:val="24"/>
        </w:rPr>
        <w:t>must develop and </w:t>
      </w:r>
      <w:r>
        <w:rPr>
          <w:i/>
          <w:sz w:val="24"/>
        </w:rPr>
        <w:t>publish </w:t>
      </w:r>
      <w:r>
        <w:rPr>
          <w:sz w:val="24"/>
        </w:rPr>
        <w:t>the</w:t>
      </w:r>
      <w:r>
        <w:rPr>
          <w:spacing w:val="-3"/>
          <w:sz w:val="24"/>
        </w:rPr>
        <w:t> </w:t>
      </w:r>
      <w:r>
        <w:rPr>
          <w:sz w:val="24"/>
        </w:rPr>
        <w:t>first:</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i/>
          <w:sz w:val="24"/>
        </w:rPr>
        <w:t>Distribution Service Classification Guidelines</w:t>
      </w:r>
      <w:r>
        <w:rPr>
          <w:sz w:val="24"/>
        </w:rPr>
        <w:t>;</w:t>
      </w:r>
      <w:r>
        <w:rPr>
          <w:spacing w:val="-2"/>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i/>
          <w:sz w:val="24"/>
        </w:rPr>
        <w:t>Asset Exemption</w:t>
      </w:r>
      <w:r>
        <w:rPr>
          <w:i/>
          <w:spacing w:val="-2"/>
          <w:sz w:val="24"/>
        </w:rPr>
        <w:t> </w:t>
      </w:r>
      <w:r>
        <w:rPr>
          <w:i/>
          <w:sz w:val="24"/>
        </w:rPr>
        <w:t>Guidelines</w:t>
      </w:r>
      <w:r>
        <w:rPr>
          <w:sz w:val="24"/>
        </w:rPr>
        <w:t>,</w:t>
      </w:r>
    </w:p>
    <w:p>
      <w:pPr>
        <w:pStyle w:val="BodyText"/>
        <w:ind w:left="1919" w:firstLine="0"/>
        <w:jc w:val="left"/>
      </w:pPr>
      <w:r>
        <w:rPr/>
        <w:t>to take into account the Amending rule.</w:t>
      </w:r>
    </w:p>
    <w:p>
      <w:pPr>
        <w:pStyle w:val="ListParagraph"/>
        <w:numPr>
          <w:ilvl w:val="3"/>
          <w:numId w:val="850"/>
        </w:numPr>
        <w:tabs>
          <w:tab w:pos="1918" w:val="left" w:leader="none"/>
          <w:tab w:pos="1919" w:val="left" w:leader="none"/>
        </w:tabs>
        <w:spacing w:line="240" w:lineRule="auto" w:before="120" w:after="0"/>
        <w:ind w:left="1919" w:right="416" w:hanging="567"/>
        <w:jc w:val="left"/>
        <w:rPr>
          <w:sz w:val="24"/>
        </w:rPr>
      </w:pPr>
      <w:r>
        <w:rPr>
          <w:sz w:val="24"/>
        </w:rPr>
        <w:t>The </w:t>
      </w:r>
      <w:r>
        <w:rPr>
          <w:i/>
          <w:sz w:val="24"/>
        </w:rPr>
        <w:t>AER </w:t>
      </w:r>
      <w:r>
        <w:rPr>
          <w:sz w:val="24"/>
        </w:rPr>
        <w:t>must comply with the </w:t>
      </w:r>
      <w:r>
        <w:rPr>
          <w:i/>
          <w:sz w:val="24"/>
        </w:rPr>
        <w:t>distribution consultation procedures </w:t>
      </w:r>
      <w:r>
        <w:rPr>
          <w:sz w:val="24"/>
        </w:rPr>
        <w:t>when meeting its obligations under paragraph</w:t>
      </w:r>
      <w:r>
        <w:rPr>
          <w:spacing w:val="-1"/>
          <w:sz w:val="24"/>
        </w:rPr>
        <w:t> </w:t>
      </w:r>
      <w:r>
        <w:rPr>
          <w:sz w:val="24"/>
        </w:rPr>
        <w:t>(a).</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992" w:hanging="1134"/>
        <w:jc w:val="left"/>
      </w:pPr>
      <w:bookmarkStart w:name="11.104.3 Transitional arrangements for a" w:id="3324"/>
      <w:bookmarkEnd w:id="3324"/>
      <w:r>
        <w:rPr>
          <w:b w:val="0"/>
        </w:rPr>
      </w:r>
      <w:bookmarkStart w:name="_bookmark1319" w:id="3325"/>
      <w:bookmarkEnd w:id="3325"/>
      <w:r>
        <w:rPr>
          <w:b w:val="0"/>
        </w:rPr>
      </w:r>
      <w:bookmarkStart w:name="_bookmark1319" w:id="3326"/>
      <w:bookmarkEnd w:id="3326"/>
      <w:r>
        <w:rPr/>
        <w:t>Transitio</w:t>
      </w:r>
      <w:r>
        <w:rPr/>
        <w:t>nal arrangements for application of Distribution Service Classification Guidelines and service classification</w:t>
      </w:r>
      <w:r>
        <w:rPr>
          <w:spacing w:val="-19"/>
        </w:rPr>
        <w:t> </w:t>
      </w:r>
      <w:r>
        <w:rPr/>
        <w:t>provisions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Clause 6.2.8(c)(1) does not apply to, or in respect of, the </w:t>
      </w:r>
      <w:r>
        <w:rPr>
          <w:i/>
          <w:sz w:val="24"/>
        </w:rPr>
        <w:t>Distribution </w:t>
      </w:r>
      <w:r>
        <w:rPr>
          <w:i/>
          <w:sz w:val="24"/>
        </w:rPr>
        <w:t>Service Classification Guidelines </w:t>
      </w:r>
      <w:r>
        <w:rPr>
          <w:sz w:val="24"/>
        </w:rPr>
        <w:t>for the purposes of the making of a subsequent distribution determination for an affected</w:t>
      </w:r>
      <w:r>
        <w:rPr>
          <w:spacing w:val="-4"/>
          <w:sz w:val="24"/>
        </w:rPr>
        <w:t> </w:t>
      </w:r>
      <w:r>
        <w:rPr>
          <w:sz w:val="24"/>
        </w:rPr>
        <w:t>DNSP.</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Old clauses 6.2.1(d) and 6.2.2(d) continue to apply to, and in respect of, the making of a subsequent distribution determination for an affected</w:t>
      </w:r>
      <w:r>
        <w:rPr>
          <w:spacing w:val="-8"/>
          <w:sz w:val="24"/>
        </w:rPr>
        <w:t> </w:t>
      </w:r>
      <w:r>
        <w:rPr>
          <w:sz w:val="24"/>
        </w:rPr>
        <w:t>DNSP.</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711" w:hanging="1134"/>
        <w:jc w:val="left"/>
      </w:pPr>
      <w:bookmarkStart w:name="11.104.4 Transitional arrangements for a" w:id="3327"/>
      <w:bookmarkEnd w:id="3327"/>
      <w:r>
        <w:rPr>
          <w:b w:val="0"/>
        </w:rPr>
      </w:r>
      <w:bookmarkStart w:name="_bookmark1320" w:id="3328"/>
      <w:bookmarkEnd w:id="3328"/>
      <w:r>
        <w:rPr>
          <w:b w:val="0"/>
        </w:rPr>
      </w:r>
      <w:bookmarkStart w:name="_bookmark1320" w:id="3329"/>
      <w:bookmarkEnd w:id="3329"/>
      <w:r>
        <w:rPr/>
        <w:t>Transitio</w:t>
      </w:r>
      <w:r>
        <w:rPr/>
        <w:t>nal arrangements for application of Asset Exemption Guidelines, exemption applications and asset exemption</w:t>
      </w:r>
      <w:r>
        <w:rPr>
          <w:spacing w:val="-32"/>
        </w:rPr>
        <w:t> </w:t>
      </w:r>
      <w:r>
        <w:rPr/>
        <w:t>decisions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Clause 6.2.8(c)(1) does not apply to, or in respect of, the </w:t>
      </w:r>
      <w:r>
        <w:rPr>
          <w:i/>
          <w:sz w:val="24"/>
        </w:rPr>
        <w:t>Asset Exemption </w:t>
      </w:r>
      <w:r>
        <w:rPr>
          <w:i/>
          <w:sz w:val="24"/>
        </w:rPr>
        <w:t>Guidelines </w:t>
      </w:r>
      <w:r>
        <w:rPr>
          <w:sz w:val="24"/>
        </w:rPr>
        <w:t>for the purposes of the making of a subsequent distribution determination for an affected</w:t>
      </w:r>
      <w:r>
        <w:rPr>
          <w:spacing w:val="-1"/>
          <w:sz w:val="24"/>
        </w:rPr>
        <w:t> </w:t>
      </w:r>
      <w:r>
        <w:rPr>
          <w:sz w:val="24"/>
        </w:rPr>
        <w:t>DNSP.</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the case of </w:t>
      </w:r>
      <w:r>
        <w:rPr>
          <w:i/>
          <w:sz w:val="24"/>
        </w:rPr>
        <w:t>Distribution Network Services Providers </w:t>
      </w:r>
      <w:r>
        <w:rPr>
          <w:sz w:val="24"/>
        </w:rPr>
        <w:t>other than affected DNPs, clauses 6.5.7(b)(5) and 6.5.7(c)(2) do not apply to, or in respect of, </w:t>
      </w:r>
      <w:r>
        <w:rPr>
          <w:i/>
          <w:sz w:val="24"/>
        </w:rPr>
        <w:t>expenditure for a restricted asset </w:t>
      </w:r>
      <w:r>
        <w:rPr>
          <w:sz w:val="24"/>
        </w:rPr>
        <w:t>that is included in a </w:t>
      </w:r>
      <w:r>
        <w:rPr>
          <w:i/>
          <w:sz w:val="24"/>
        </w:rPr>
        <w:t>building block </w:t>
      </w:r>
      <w:r>
        <w:rPr>
          <w:i/>
          <w:sz w:val="24"/>
        </w:rPr>
        <w:t>proposal </w:t>
      </w:r>
      <w:r>
        <w:rPr>
          <w:sz w:val="24"/>
        </w:rPr>
        <w:t>for the subsequent regulatory control period, to the extent</w:t>
      </w:r>
      <w:r>
        <w:rPr>
          <w:spacing w:val="-9"/>
          <w:sz w:val="24"/>
        </w:rPr>
        <w:t> </w:t>
      </w:r>
      <w:r>
        <w:rPr>
          <w:sz w:val="24"/>
        </w:rPr>
        <w:t>that: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expenditure constitutes unspent capital expenditure for a </w:t>
      </w:r>
      <w:r>
        <w:rPr>
          <w:i/>
          <w:sz w:val="24"/>
        </w:rPr>
        <w:t>contingent project </w:t>
      </w:r>
      <w:r>
        <w:rPr>
          <w:sz w:val="24"/>
        </w:rPr>
        <w:t>under clause 6.5.7(g) and the completion date for that </w:t>
      </w:r>
      <w:r>
        <w:rPr>
          <w:i/>
          <w:sz w:val="24"/>
        </w:rPr>
        <w:t>contingent project </w:t>
      </w:r>
      <w:r>
        <w:rPr>
          <w:sz w:val="24"/>
        </w:rPr>
        <w:t>is a date that occurs during the subsequent regulatory control period;</w:t>
      </w:r>
      <w:r>
        <w:rPr>
          <w:spacing w:val="-2"/>
          <w:sz w:val="24"/>
        </w:rPr>
        <w:t> </w:t>
      </w:r>
      <w:r>
        <w:rPr>
          <w:sz w:val="24"/>
        </w:rPr>
        <w:t>or</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the expenditure relates to an </w:t>
      </w:r>
      <w:r>
        <w:rPr>
          <w:i/>
          <w:sz w:val="24"/>
        </w:rPr>
        <w:t>approved pass through amount </w:t>
      </w:r>
      <w:r>
        <w:rPr>
          <w:sz w:val="24"/>
        </w:rPr>
        <w:t>to </w:t>
      </w:r>
      <w:r>
        <w:rPr>
          <w:spacing w:val="-6"/>
          <w:sz w:val="24"/>
        </w:rPr>
        <w:t>be </w:t>
      </w:r>
      <w:r>
        <w:rPr>
          <w:sz w:val="24"/>
        </w:rPr>
        <w:t>recovered during the subsequent regulatory control</w:t>
      </w:r>
      <w:r>
        <w:rPr>
          <w:spacing w:val="-4"/>
          <w:sz w:val="24"/>
        </w:rPr>
        <w:t> </w:t>
      </w:r>
      <w:r>
        <w:rPr>
          <w:sz w:val="24"/>
        </w:rPr>
        <w:t>period.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the case of affected DNSPs, clauses 6.5.7(b)(5) and 6.6A.1(a1) do not apply to, or in respect of, </w:t>
      </w:r>
      <w:r>
        <w:rPr>
          <w:i/>
          <w:sz w:val="24"/>
        </w:rPr>
        <w:t>expenditure for a restricted asset </w:t>
      </w:r>
      <w:r>
        <w:rPr>
          <w:sz w:val="24"/>
        </w:rPr>
        <w:t>that is included in a </w:t>
      </w:r>
      <w:r>
        <w:rPr>
          <w:i/>
          <w:sz w:val="24"/>
        </w:rPr>
        <w:t>building block proposal </w:t>
      </w:r>
      <w:r>
        <w:rPr>
          <w:sz w:val="24"/>
        </w:rPr>
        <w:t>for the subsequent regulatory control</w:t>
      </w:r>
      <w:r>
        <w:rPr>
          <w:spacing w:val="-8"/>
          <w:sz w:val="24"/>
        </w:rPr>
        <w:t> </w:t>
      </w:r>
      <w:r>
        <w:rPr>
          <w:sz w:val="24"/>
        </w:rPr>
        <w:t>period.</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Subject to paragraph (e), if the forecast of required capital expenditure and </w:t>
      </w:r>
      <w:r>
        <w:rPr>
          <w:i/>
          <w:sz w:val="24"/>
        </w:rPr>
        <w:t>proposed contingent capital expenditure </w:t>
      </w:r>
      <w:r>
        <w:rPr>
          <w:sz w:val="24"/>
        </w:rPr>
        <w:t>(if any) included in an affected DNSP's </w:t>
      </w:r>
      <w:r>
        <w:rPr>
          <w:i/>
          <w:sz w:val="24"/>
        </w:rPr>
        <w:t>building block proposal </w:t>
      </w:r>
      <w:r>
        <w:rPr>
          <w:sz w:val="24"/>
        </w:rPr>
        <w:t>and </w:t>
      </w:r>
      <w:r>
        <w:rPr>
          <w:i/>
          <w:sz w:val="24"/>
        </w:rPr>
        <w:t>regulatory proposal</w:t>
      </w:r>
      <w:r>
        <w:rPr>
          <w:sz w:val="24"/>
        </w:rPr>
        <w:t>, respectively, for the subsequent regulatory control period includes </w:t>
      </w:r>
      <w:r>
        <w:rPr>
          <w:i/>
          <w:sz w:val="24"/>
        </w:rPr>
        <w:t>expenditure for a </w:t>
      </w:r>
      <w:r>
        <w:rPr>
          <w:i/>
          <w:sz w:val="24"/>
        </w:rPr>
        <w:t>restricted asset</w:t>
      </w:r>
      <w:r>
        <w:rPr>
          <w:sz w:val="24"/>
        </w:rPr>
        <w:t>, the affected DNSP</w:t>
      </w:r>
      <w:r>
        <w:rPr>
          <w:spacing w:val="-4"/>
          <w:sz w:val="24"/>
        </w:rPr>
        <w:t> </w:t>
      </w:r>
      <w:r>
        <w:rPr>
          <w:sz w:val="24"/>
        </w:rPr>
        <w:t>must: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submit an </w:t>
      </w:r>
      <w:r>
        <w:rPr>
          <w:i/>
          <w:sz w:val="24"/>
        </w:rPr>
        <w:t>exemption application </w:t>
      </w:r>
      <w:r>
        <w:rPr>
          <w:sz w:val="24"/>
        </w:rPr>
        <w:t>to the </w:t>
      </w:r>
      <w:r>
        <w:rPr>
          <w:i/>
          <w:sz w:val="24"/>
        </w:rPr>
        <w:t>AER </w:t>
      </w:r>
      <w:r>
        <w:rPr>
          <w:sz w:val="24"/>
        </w:rPr>
        <w:t>by 31 March 2018, which requests an </w:t>
      </w:r>
      <w:r>
        <w:rPr>
          <w:i/>
          <w:sz w:val="24"/>
        </w:rPr>
        <w:t>asset exemption </w:t>
      </w:r>
      <w:r>
        <w:rPr>
          <w:sz w:val="24"/>
        </w:rPr>
        <w:t>under clause 6.4B.1(a)(1), 6.4B.1(a)(2)</w:t>
      </w:r>
      <w:r>
        <w:rPr>
          <w:spacing w:val="2"/>
          <w:sz w:val="24"/>
        </w:rPr>
        <w:t> </w:t>
      </w:r>
      <w:r>
        <w:rPr>
          <w:spacing w:val="-7"/>
          <w:sz w:val="24"/>
        </w:rPr>
        <w:t>or</w:t>
      </w:r>
    </w:p>
    <w:p>
      <w:pPr>
        <w:spacing w:after="0" w:line="240" w:lineRule="auto"/>
        <w:jc w:val="both"/>
        <w:rPr>
          <w:sz w:val="24"/>
        </w:rPr>
        <w:sectPr>
          <w:pgSz w:w="11910" w:h="16840"/>
          <w:pgMar w:header="686" w:footer="637" w:top="1320" w:bottom="820" w:left="1200" w:right="1000"/>
        </w:sectPr>
      </w:pPr>
    </w:p>
    <w:p>
      <w:pPr>
        <w:spacing w:before="83"/>
        <w:ind w:left="2486" w:right="415" w:firstLine="0"/>
        <w:jc w:val="both"/>
        <w:rPr>
          <w:sz w:val="24"/>
        </w:rPr>
      </w:pPr>
      <w:r>
        <w:rPr>
          <w:sz w:val="24"/>
        </w:rPr>
        <w:t>6.4B.1(a)(3) in respect of the relevant asset or class of asset on which that </w:t>
      </w:r>
      <w:r>
        <w:rPr>
          <w:i/>
          <w:sz w:val="24"/>
        </w:rPr>
        <w:t>expenditure for a restricted asset </w:t>
      </w:r>
      <w:r>
        <w:rPr>
          <w:sz w:val="24"/>
        </w:rPr>
        <w:t>is to be incurred; or</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to the extent that an </w:t>
      </w:r>
      <w:r>
        <w:rPr>
          <w:i/>
          <w:sz w:val="24"/>
        </w:rPr>
        <w:t>exemption application </w:t>
      </w:r>
      <w:r>
        <w:rPr>
          <w:sz w:val="24"/>
        </w:rPr>
        <w:t>is not submitted under subparagraph (d)(1) in respect of the relevant </w:t>
      </w:r>
      <w:r>
        <w:rPr>
          <w:i/>
          <w:sz w:val="24"/>
        </w:rPr>
        <w:t>expenditure for a </w:t>
      </w:r>
      <w:r>
        <w:rPr>
          <w:i/>
          <w:sz w:val="24"/>
        </w:rPr>
        <w:t>restricted asset</w:t>
      </w:r>
      <w:r>
        <w:rPr>
          <w:sz w:val="24"/>
        </w:rPr>
        <w:t>, submit a statement of amendment to the </w:t>
      </w:r>
      <w:r>
        <w:rPr>
          <w:i/>
          <w:sz w:val="24"/>
        </w:rPr>
        <w:t>AER </w:t>
      </w:r>
      <w:r>
        <w:rPr>
          <w:sz w:val="24"/>
        </w:rPr>
        <w:t>by 31 March 2018 for that </w:t>
      </w:r>
      <w:r>
        <w:rPr>
          <w:i/>
          <w:sz w:val="24"/>
        </w:rPr>
        <w:t>expenditure for a restricted</w:t>
      </w:r>
      <w:r>
        <w:rPr>
          <w:i/>
          <w:spacing w:val="-5"/>
          <w:sz w:val="24"/>
        </w:rPr>
        <w:t> </w:t>
      </w:r>
      <w:r>
        <w:rPr>
          <w:i/>
          <w:sz w:val="24"/>
        </w:rPr>
        <w:t>asset</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Paragraph (d) does not apply in respect of an affected DNSP to the extent the </w:t>
      </w:r>
      <w:r>
        <w:rPr>
          <w:i/>
          <w:sz w:val="24"/>
        </w:rPr>
        <w:t>expenditure for a restricted</w:t>
      </w:r>
      <w:r>
        <w:rPr>
          <w:i/>
          <w:spacing w:val="-1"/>
          <w:sz w:val="24"/>
        </w:rPr>
        <w:t> </w:t>
      </w:r>
      <w:r>
        <w:rPr>
          <w:i/>
          <w:sz w:val="24"/>
        </w:rPr>
        <w:t>asset</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constitutes unspent capital expenditure for a </w:t>
      </w:r>
      <w:r>
        <w:rPr>
          <w:i/>
          <w:sz w:val="24"/>
        </w:rPr>
        <w:t>contingent project </w:t>
      </w:r>
      <w:r>
        <w:rPr>
          <w:sz w:val="24"/>
        </w:rPr>
        <w:t>under clause 6.5.7(g) and the completion date for that </w:t>
      </w:r>
      <w:r>
        <w:rPr>
          <w:i/>
          <w:sz w:val="24"/>
        </w:rPr>
        <w:t>contingent project </w:t>
      </w:r>
      <w:r>
        <w:rPr>
          <w:sz w:val="24"/>
        </w:rPr>
        <w:t>is a date that occurs during the subsequent regulatory control period;</w:t>
      </w:r>
      <w:r>
        <w:rPr>
          <w:spacing w:val="-6"/>
          <w:sz w:val="24"/>
        </w:rPr>
        <w:t> </w:t>
      </w:r>
      <w:r>
        <w:rPr>
          <w:sz w:val="24"/>
        </w:rPr>
        <w:t>or</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relates to an </w:t>
      </w:r>
      <w:r>
        <w:rPr>
          <w:i/>
          <w:sz w:val="24"/>
        </w:rPr>
        <w:t>approved pass through amount </w:t>
      </w:r>
      <w:r>
        <w:rPr>
          <w:sz w:val="24"/>
        </w:rPr>
        <w:t>to be recovered during the subsequent regulatory control</w:t>
      </w:r>
      <w:r>
        <w:rPr>
          <w:spacing w:val="-2"/>
          <w:sz w:val="24"/>
        </w:rPr>
        <w:t> </w:t>
      </w:r>
      <w:r>
        <w:rPr>
          <w:sz w:val="24"/>
        </w:rPr>
        <w:t>period.</w:t>
      </w:r>
    </w:p>
    <w:p>
      <w:pPr>
        <w:pStyle w:val="ListParagraph"/>
        <w:numPr>
          <w:ilvl w:val="3"/>
          <w:numId w:val="850"/>
        </w:numPr>
        <w:tabs>
          <w:tab w:pos="1920" w:val="left" w:leader="none"/>
        </w:tabs>
        <w:spacing w:line="240" w:lineRule="auto" w:before="120" w:after="0"/>
        <w:ind w:left="1919" w:right="416" w:hanging="567"/>
        <w:jc w:val="both"/>
        <w:rPr>
          <w:sz w:val="24"/>
        </w:rPr>
      </w:pPr>
      <w:r>
        <w:rPr>
          <w:sz w:val="24"/>
        </w:rPr>
        <w:t>A statement of amendment submitted by an affected DNSP</w:t>
      </w:r>
      <w:r>
        <w:rPr>
          <w:spacing w:val="33"/>
          <w:sz w:val="24"/>
        </w:rPr>
        <w:t> </w:t>
      </w:r>
      <w:r>
        <w:rPr>
          <w:sz w:val="24"/>
        </w:rPr>
        <w:t>under subparagraph (d)(2) is taken to form part of the </w:t>
      </w:r>
      <w:r>
        <w:rPr>
          <w:i/>
          <w:sz w:val="24"/>
        </w:rPr>
        <w:t>regulatory proposal </w:t>
      </w:r>
      <w:r>
        <w:rPr>
          <w:sz w:val="24"/>
        </w:rPr>
        <w:t>submitted by that affected DNSP under clause 6.8.2(b) for the subsequent regulatory control</w:t>
      </w:r>
      <w:r>
        <w:rPr>
          <w:spacing w:val="-1"/>
          <w:sz w:val="24"/>
        </w:rPr>
        <w:t> </w:t>
      </w:r>
      <w:r>
        <w:rPr>
          <w:sz w:val="24"/>
        </w:rPr>
        <w:t>period.</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Subject to the provisions of the Law and the </w:t>
      </w:r>
      <w:r>
        <w:rPr>
          <w:i/>
          <w:sz w:val="24"/>
        </w:rPr>
        <w:t>Rules </w:t>
      </w:r>
      <w:r>
        <w:rPr>
          <w:sz w:val="24"/>
        </w:rPr>
        <w:t>about disclosure of </w:t>
      </w:r>
      <w:r>
        <w:rPr>
          <w:i/>
          <w:sz w:val="24"/>
        </w:rPr>
        <w:t>confidential information</w:t>
      </w:r>
      <w:r>
        <w:rPr>
          <w:sz w:val="24"/>
        </w:rPr>
        <w:t>, the </w:t>
      </w:r>
      <w:r>
        <w:rPr>
          <w:i/>
          <w:sz w:val="24"/>
        </w:rPr>
        <w:t>AER </w:t>
      </w:r>
      <w:r>
        <w:rPr>
          <w:sz w:val="24"/>
        </w:rPr>
        <w:t>must </w:t>
      </w:r>
      <w:r>
        <w:rPr>
          <w:i/>
          <w:sz w:val="24"/>
        </w:rPr>
        <w:t>publish </w:t>
      </w:r>
      <w:r>
        <w:rPr>
          <w:sz w:val="24"/>
        </w:rPr>
        <w:t>a statement of amendment as soon as practicable after receiving</w:t>
      </w:r>
      <w:r>
        <w:rPr>
          <w:spacing w:val="-2"/>
          <w:sz w:val="24"/>
        </w:rPr>
        <w:t> </w:t>
      </w:r>
      <w:r>
        <w:rPr>
          <w:sz w:val="24"/>
        </w:rPr>
        <w:t>it.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In the case of affected</w:t>
      </w:r>
      <w:r>
        <w:rPr>
          <w:spacing w:val="-1"/>
          <w:sz w:val="24"/>
        </w:rPr>
        <w:t> </w:t>
      </w:r>
      <w:r>
        <w:rPr>
          <w:sz w:val="24"/>
        </w:rPr>
        <w:t>DNSPs:</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Clause 6.5.7(c)(2) does not apply to, or in respect of, </w:t>
      </w:r>
      <w:r>
        <w:rPr>
          <w:i/>
          <w:sz w:val="24"/>
        </w:rPr>
        <w:t>expenditure for a </w:t>
      </w:r>
      <w:r>
        <w:rPr>
          <w:i/>
          <w:sz w:val="24"/>
        </w:rPr>
        <w:t>restricted asset </w:t>
      </w:r>
      <w:r>
        <w:rPr>
          <w:sz w:val="24"/>
        </w:rPr>
        <w:t>that is included in a </w:t>
      </w:r>
      <w:r>
        <w:rPr>
          <w:i/>
          <w:sz w:val="24"/>
        </w:rPr>
        <w:t>building block proposal </w:t>
      </w:r>
      <w:r>
        <w:rPr>
          <w:sz w:val="24"/>
        </w:rPr>
        <w:t>for the subsequent regulatory control period, to the extent</w:t>
      </w:r>
      <w:r>
        <w:rPr>
          <w:spacing w:val="-4"/>
          <w:sz w:val="24"/>
        </w:rPr>
        <w:t> </w:t>
      </w:r>
      <w:r>
        <w:rPr>
          <w:sz w:val="24"/>
        </w:rPr>
        <w:t>that:</w:t>
      </w:r>
    </w:p>
    <w:p>
      <w:pPr>
        <w:pStyle w:val="ListParagraph"/>
        <w:numPr>
          <w:ilvl w:val="5"/>
          <w:numId w:val="850"/>
        </w:numPr>
        <w:tabs>
          <w:tab w:pos="3053" w:val="left" w:leader="none"/>
        </w:tabs>
        <w:spacing w:line="240" w:lineRule="auto" w:before="120" w:after="0"/>
        <w:ind w:left="3053" w:right="414" w:hanging="567"/>
        <w:jc w:val="both"/>
        <w:rPr>
          <w:sz w:val="24"/>
        </w:rPr>
      </w:pPr>
      <w:r>
        <w:rPr>
          <w:sz w:val="24"/>
        </w:rPr>
        <w:t>the expenditure constitutes unspent capital expenditure for a </w:t>
      </w:r>
      <w:r>
        <w:rPr>
          <w:i/>
          <w:sz w:val="24"/>
        </w:rPr>
        <w:t>contingent project </w:t>
      </w:r>
      <w:r>
        <w:rPr>
          <w:sz w:val="24"/>
        </w:rPr>
        <w:t>under clause 6.5.7(g) and the completion date for that </w:t>
      </w:r>
      <w:r>
        <w:rPr>
          <w:i/>
          <w:sz w:val="24"/>
        </w:rPr>
        <w:t>contingent project </w:t>
      </w:r>
      <w:r>
        <w:rPr>
          <w:sz w:val="24"/>
        </w:rPr>
        <w:t>is a date that occurs during the subsequent regulatory control period;</w:t>
      </w:r>
      <w:r>
        <w:rPr>
          <w:spacing w:val="-2"/>
          <w:sz w:val="24"/>
        </w:rPr>
        <w:t> </w:t>
      </w:r>
      <w:r>
        <w:rPr>
          <w:sz w:val="24"/>
        </w:rPr>
        <w:t>or</w:t>
      </w:r>
    </w:p>
    <w:p>
      <w:pPr>
        <w:pStyle w:val="ListParagraph"/>
        <w:numPr>
          <w:ilvl w:val="5"/>
          <w:numId w:val="850"/>
        </w:numPr>
        <w:tabs>
          <w:tab w:pos="3054" w:val="left" w:leader="none"/>
        </w:tabs>
        <w:spacing w:line="240" w:lineRule="auto" w:before="120" w:after="0"/>
        <w:ind w:left="3053" w:right="414" w:hanging="567"/>
        <w:jc w:val="both"/>
        <w:rPr>
          <w:sz w:val="24"/>
        </w:rPr>
      </w:pPr>
      <w:r>
        <w:rPr>
          <w:sz w:val="24"/>
        </w:rPr>
        <w:t>the expenditure relates to an </w:t>
      </w:r>
      <w:r>
        <w:rPr>
          <w:i/>
          <w:sz w:val="24"/>
        </w:rPr>
        <w:t>approved pass through amount </w:t>
      </w:r>
      <w:r>
        <w:rPr>
          <w:sz w:val="24"/>
        </w:rPr>
        <w:t>to be recovered during the subsequent regulatory control</w:t>
      </w:r>
      <w:r>
        <w:rPr>
          <w:spacing w:val="-9"/>
          <w:sz w:val="24"/>
        </w:rPr>
        <w:t> </w:t>
      </w:r>
      <w:r>
        <w:rPr>
          <w:sz w:val="24"/>
        </w:rPr>
        <w:t>period.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An </w:t>
      </w:r>
      <w:r>
        <w:rPr>
          <w:i/>
          <w:sz w:val="24"/>
        </w:rPr>
        <w:t>asset exemption </w:t>
      </w:r>
      <w:r>
        <w:rPr>
          <w:sz w:val="24"/>
        </w:rPr>
        <w:t>requested under subparagraph (d)(1) is taken to be an </w:t>
      </w:r>
      <w:r>
        <w:rPr>
          <w:i/>
          <w:sz w:val="24"/>
        </w:rPr>
        <w:t>asset exemption </w:t>
      </w:r>
      <w:r>
        <w:rPr>
          <w:sz w:val="24"/>
        </w:rPr>
        <w:t>requested under clause 6.5.7(b)(5) for the purposes of clause</w:t>
      </w:r>
      <w:r>
        <w:rPr>
          <w:spacing w:val="-1"/>
          <w:sz w:val="24"/>
        </w:rPr>
        <w:t> </w:t>
      </w:r>
      <w:r>
        <w:rPr>
          <w:sz w:val="24"/>
        </w:rPr>
        <w:t>6.5.7(c)(2)(iii)(A).</w:t>
      </w:r>
    </w:p>
    <w:p>
      <w:pPr>
        <w:pStyle w:val="BodyText"/>
        <w:ind w:left="1919" w:right="415"/>
      </w:pPr>
      <w:r>
        <w:rPr/>
        <w:t>(i)   Clauses 6.4B.1(b)(2), 6.4B.2(b), 6.4B.2(c)(5) and 6.8.2(a1) do not apply to,  or in respect of, an </w:t>
      </w:r>
      <w:r>
        <w:rPr>
          <w:i/>
        </w:rPr>
        <w:t>exemption application </w:t>
      </w:r>
      <w:r>
        <w:rPr/>
        <w:t>submitted by an affected DNSP in respect of a </w:t>
      </w:r>
      <w:r>
        <w:rPr>
          <w:i/>
        </w:rPr>
        <w:t>regulatory proposal </w:t>
      </w:r>
      <w:r>
        <w:rPr/>
        <w:t>for the subsequent regulatory control period.</w:t>
      </w:r>
    </w:p>
    <w:p>
      <w:pPr>
        <w:spacing w:before="120"/>
        <w:ind w:left="1919" w:right="415" w:hanging="567"/>
        <w:jc w:val="both"/>
        <w:rPr>
          <w:sz w:val="24"/>
        </w:rPr>
      </w:pPr>
      <w:r>
        <w:rPr>
          <w:sz w:val="24"/>
        </w:rPr>
        <w:t>(j) Clause 6.12.1(3A) does not apply to, or in respect of, </w:t>
      </w:r>
      <w:r>
        <w:rPr>
          <w:i/>
          <w:sz w:val="24"/>
        </w:rPr>
        <w:t>expenditure for a </w:t>
      </w:r>
      <w:r>
        <w:rPr>
          <w:i/>
          <w:sz w:val="24"/>
        </w:rPr>
        <w:t>restricted asset </w:t>
      </w:r>
      <w:r>
        <w:rPr>
          <w:sz w:val="24"/>
        </w:rPr>
        <w:t>that is included in a </w:t>
      </w:r>
      <w:r>
        <w:rPr>
          <w:i/>
          <w:sz w:val="24"/>
        </w:rPr>
        <w:t>building block proposal </w:t>
      </w:r>
      <w:r>
        <w:rPr>
          <w:sz w:val="24"/>
        </w:rPr>
        <w:t>for the subsequent regulatory control period, to the extent that expenditure constitutes unspent capital expenditure for a </w:t>
      </w:r>
      <w:r>
        <w:rPr>
          <w:i/>
          <w:sz w:val="24"/>
        </w:rPr>
        <w:t>contingent project </w:t>
      </w:r>
      <w:r>
        <w:rPr>
          <w:sz w:val="24"/>
        </w:rPr>
        <w:t>under clause 6.5.7(g) and the completion date for that </w:t>
      </w:r>
      <w:r>
        <w:rPr>
          <w:i/>
          <w:sz w:val="24"/>
        </w:rPr>
        <w:t>contingent project </w:t>
      </w:r>
      <w:r>
        <w:rPr>
          <w:sz w:val="24"/>
        </w:rPr>
        <w:t>is a date that occurs during the subsequent regulatory control period.</w:t>
      </w:r>
    </w:p>
    <w:p>
      <w:pPr>
        <w:spacing w:after="0"/>
        <w:jc w:val="both"/>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2" w:right="432" w:hanging="1134"/>
        <w:jc w:val="left"/>
      </w:pPr>
      <w:bookmarkStart w:name="11.104.5 Transitional arrangements for a" w:id="3330"/>
      <w:bookmarkEnd w:id="3330"/>
      <w:r>
        <w:rPr>
          <w:b w:val="0"/>
        </w:rPr>
      </w:r>
      <w:bookmarkStart w:name="_bookmark1321" w:id="3331"/>
      <w:bookmarkEnd w:id="3331"/>
      <w:r>
        <w:rPr>
          <w:b w:val="0"/>
        </w:rPr>
      </w:r>
      <w:bookmarkStart w:name="_bookmark1321" w:id="3332"/>
      <w:bookmarkEnd w:id="3332"/>
      <w:r>
        <w:rPr/>
        <w:t>Transitio</w:t>
      </w:r>
      <w:r>
        <w:rPr/>
        <w:t>nal arrangements for adjustment in value of regulatory asset base</w:t>
      </w:r>
    </w:p>
    <w:p>
      <w:pPr>
        <w:spacing w:before="120"/>
        <w:ind w:left="1352" w:right="416" w:firstLine="0"/>
        <w:jc w:val="both"/>
        <w:rPr>
          <w:sz w:val="24"/>
        </w:rPr>
      </w:pPr>
      <w:r>
        <w:rPr>
          <w:sz w:val="24"/>
        </w:rPr>
        <w:t>Clause S6.2.1(e)(9) does not apply to, or in respect of, </w:t>
      </w:r>
      <w:r>
        <w:rPr>
          <w:i/>
          <w:sz w:val="24"/>
        </w:rPr>
        <w:t>expenditure for a restricted </w:t>
      </w:r>
      <w:r>
        <w:rPr>
          <w:i/>
          <w:sz w:val="24"/>
        </w:rPr>
        <w:t>asset </w:t>
      </w:r>
      <w:r>
        <w:rPr>
          <w:sz w:val="24"/>
        </w:rPr>
        <w:t>to the extent that expenditure:</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is incurred during the current regulatory control</w:t>
      </w:r>
      <w:r>
        <w:rPr>
          <w:spacing w:val="-2"/>
          <w:sz w:val="24"/>
        </w:rPr>
        <w:t> </w:t>
      </w:r>
      <w:r>
        <w:rPr>
          <w:sz w:val="24"/>
        </w:rPr>
        <w:t>period;</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constitutes unspent capital expenditure for a </w:t>
      </w:r>
      <w:r>
        <w:rPr>
          <w:i/>
          <w:sz w:val="24"/>
        </w:rPr>
        <w:t>contingent project </w:t>
      </w:r>
      <w:r>
        <w:rPr>
          <w:sz w:val="24"/>
        </w:rPr>
        <w:t>under clause 6.5.7(g) and the completion date for that </w:t>
      </w:r>
      <w:r>
        <w:rPr>
          <w:i/>
          <w:sz w:val="24"/>
        </w:rPr>
        <w:t>contingent project </w:t>
      </w:r>
      <w:r>
        <w:rPr>
          <w:sz w:val="24"/>
        </w:rPr>
        <w:t>is a date that occurs during the subsequent regulatory control period;</w:t>
      </w:r>
      <w:r>
        <w:rPr>
          <w:spacing w:val="-3"/>
          <w:sz w:val="24"/>
        </w:rPr>
        <w:t> </w:t>
      </w:r>
      <w:r>
        <w:rPr>
          <w:sz w:val="24"/>
        </w:rPr>
        <w:t>or</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relates to an </w:t>
      </w:r>
      <w:r>
        <w:rPr>
          <w:i/>
          <w:sz w:val="24"/>
        </w:rPr>
        <w:t>approved pass through amount </w:t>
      </w:r>
      <w:r>
        <w:rPr>
          <w:sz w:val="24"/>
        </w:rPr>
        <w:t>to be recovered during the subsequent regulatory control</w:t>
      </w:r>
      <w:r>
        <w:rPr>
          <w:spacing w:val="-2"/>
          <w:sz w:val="24"/>
        </w:rPr>
        <w:t> </w:t>
      </w:r>
      <w:r>
        <w:rPr>
          <w:sz w:val="24"/>
        </w:rPr>
        <w:t>period.</w:t>
      </w:r>
    </w:p>
    <w:p>
      <w:pPr>
        <w:pStyle w:val="BodyText"/>
        <w:spacing w:before="9"/>
        <w:ind w:firstLine="0"/>
        <w:jc w:val="left"/>
        <w:rPr>
          <w:sz w:val="18"/>
        </w:rPr>
      </w:pPr>
      <w:r>
        <w:rPr/>
        <w:pict>
          <v:shape style="position:absolute;margin-left:69.450005pt;margin-top:12.024459pt;width:456.45pt;height:16.1pt;mso-position-horizontal-relative:page;mso-position-vertical-relative:paragraph;z-index:-251573248;mso-wrap-distance-left:0;mso-wrap-distance-right:0" type="#_x0000_t202" filled="true" fillcolor="#d9d9d9" stroked="false">
            <v:textbox inset="0,0,0,0">
              <w:txbxContent>
                <w:p>
                  <w:pPr>
                    <w:spacing w:before="0"/>
                    <w:ind w:left="29" w:right="0" w:firstLine="0"/>
                    <w:jc w:val="left"/>
                    <w:rPr>
                      <w:rFonts w:ascii="Arial"/>
                      <w:b/>
                      <w:sz w:val="28"/>
                    </w:rPr>
                  </w:pPr>
                  <w:bookmarkStart w:name="Part ZZZG Declaration of lack of reserve" w:id="3333"/>
                  <w:bookmarkEnd w:id="3333"/>
                  <w:r>
                    <w:rPr/>
                  </w:r>
                  <w:bookmarkStart w:name="_bookmark1322" w:id="3334"/>
                  <w:bookmarkEnd w:id="3334"/>
                  <w:r>
                    <w:rPr/>
                  </w:r>
                  <w:r>
                    <w:rPr>
                      <w:rFonts w:ascii="Arial"/>
                      <w:b/>
                      <w:sz w:val="28"/>
                    </w:rPr>
                    <w:t>Part ZZZG Declaration of lack of reserve conditions</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0" w:hanging="1135"/>
        <w:jc w:val="left"/>
      </w:pPr>
      <w:bookmarkStart w:name="11.105 Making of lack of reserve declara" w:id="3335"/>
      <w:bookmarkEnd w:id="3335"/>
      <w:r>
        <w:rPr>
          <w:b w:val="0"/>
        </w:rPr>
      </w:r>
      <w:bookmarkStart w:name="_bookmark1323" w:id="3336"/>
      <w:bookmarkEnd w:id="3336"/>
      <w:r>
        <w:rPr>
          <w:b w:val="0"/>
        </w:rPr>
      </w:r>
      <w:bookmarkStart w:name="_bookmark1323" w:id="3337"/>
      <w:bookmarkEnd w:id="3337"/>
      <w:r>
        <w:rPr/>
        <w:t>Making</w:t>
      </w:r>
      <w:r>
        <w:rPr/>
        <w:t> of lack of reserve declaration</w:t>
      </w:r>
      <w:r>
        <w:rPr>
          <w:spacing w:val="-4"/>
        </w:rPr>
        <w:t> </w:t>
      </w:r>
      <w:r>
        <w:rPr/>
        <w:t>guidelines</w:t>
      </w:r>
    </w:p>
    <w:p>
      <w:pPr>
        <w:pStyle w:val="Heading4"/>
        <w:numPr>
          <w:ilvl w:val="2"/>
          <w:numId w:val="850"/>
        </w:numPr>
        <w:tabs>
          <w:tab w:pos="1352" w:val="left" w:leader="none"/>
        </w:tabs>
        <w:spacing w:line="240" w:lineRule="auto" w:before="240" w:after="0"/>
        <w:ind w:left="1351" w:right="0" w:hanging="1134"/>
        <w:jc w:val="left"/>
      </w:pPr>
      <w:bookmarkStart w:name="11.105.1 Definitions" w:id="3338"/>
      <w:bookmarkEnd w:id="3338"/>
      <w:r>
        <w:rPr>
          <w:b w:val="0"/>
        </w:rPr>
      </w:r>
      <w:bookmarkStart w:name="_bookmark1324" w:id="3339"/>
      <w:bookmarkEnd w:id="3339"/>
      <w:r>
        <w:rPr>
          <w:b w:val="0"/>
        </w:rPr>
      </w:r>
      <w:bookmarkStart w:name="_bookmark1324" w:id="3340"/>
      <w:bookmarkEnd w:id="3340"/>
      <w:r>
        <w:rPr/>
        <w:t>Definition</w:t>
      </w:r>
      <w:r>
        <w:rPr/>
        <w:t>s</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In this rule</w:t>
      </w:r>
      <w:r>
        <w:rPr>
          <w:spacing w:val="-1"/>
          <w:sz w:val="24"/>
        </w:rPr>
        <w:t> </w:t>
      </w:r>
      <w:r>
        <w:rPr>
          <w:sz w:val="24"/>
        </w:rPr>
        <w:t>11.105:</w:t>
      </w:r>
    </w:p>
    <w:p>
      <w:pPr>
        <w:pStyle w:val="BodyText"/>
        <w:ind w:left="1919" w:right="415" w:firstLine="0"/>
        <w:jc w:val="left"/>
      </w:pPr>
      <w:r>
        <w:rPr>
          <w:b/>
        </w:rPr>
        <w:t>Amending Rule </w:t>
      </w:r>
      <w:r>
        <w:rPr/>
        <w:t>means the National Electricity Amendment (Declaration of lack of reserve conditions) Rule 2017.</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5.2 Making of lack of reserve decla" w:id="3341"/>
      <w:bookmarkEnd w:id="3341"/>
      <w:r>
        <w:rPr>
          <w:b w:val="0"/>
        </w:rPr>
      </w:r>
      <w:bookmarkStart w:name="_bookmark1325" w:id="3342"/>
      <w:bookmarkEnd w:id="3342"/>
      <w:r>
        <w:rPr>
          <w:b w:val="0"/>
        </w:rPr>
      </w:r>
      <w:bookmarkStart w:name="_bookmark1325" w:id="3343"/>
      <w:bookmarkEnd w:id="3343"/>
      <w:r>
        <w:rPr/>
        <w:t>Making</w:t>
      </w:r>
      <w:r>
        <w:rPr/>
        <w:t> of lack of reserve declaration</w:t>
      </w:r>
      <w:r>
        <w:rPr>
          <w:spacing w:val="-3"/>
        </w:rPr>
        <w:t> </w:t>
      </w:r>
      <w:r>
        <w:rPr/>
        <w:t>guidelines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By 9 January 2018, </w:t>
      </w:r>
      <w:r>
        <w:rPr>
          <w:i/>
          <w:sz w:val="24"/>
        </w:rPr>
        <w:t>AEMO </w:t>
      </w:r>
      <w:r>
        <w:rPr>
          <w:sz w:val="24"/>
        </w:rPr>
        <w:t>must develop and </w:t>
      </w:r>
      <w:r>
        <w:rPr>
          <w:i/>
          <w:sz w:val="24"/>
        </w:rPr>
        <w:t>publish </w:t>
      </w:r>
      <w:r>
        <w:rPr>
          <w:sz w:val="24"/>
        </w:rPr>
        <w:t>the </w:t>
      </w:r>
      <w:r>
        <w:rPr>
          <w:i/>
          <w:sz w:val="24"/>
        </w:rPr>
        <w:t>reserve level </w:t>
      </w:r>
      <w:r>
        <w:rPr>
          <w:i/>
          <w:sz w:val="24"/>
        </w:rPr>
        <w:t>declaration guidelines </w:t>
      </w:r>
      <w:r>
        <w:rPr>
          <w:sz w:val="24"/>
        </w:rPr>
        <w:t>to take account of the Amending</w:t>
      </w:r>
      <w:r>
        <w:rPr>
          <w:spacing w:val="-5"/>
          <w:sz w:val="24"/>
        </w:rPr>
        <w:t> </w:t>
      </w:r>
      <w:r>
        <w:rPr>
          <w:sz w:val="24"/>
        </w:rPr>
        <w:t>Rule.</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i/>
          <w:sz w:val="24"/>
        </w:rPr>
        <w:t>AEMO</w:t>
      </w:r>
      <w:r>
        <w:rPr>
          <w:i/>
          <w:spacing w:val="34"/>
          <w:sz w:val="24"/>
        </w:rPr>
        <w:t> </w:t>
      </w:r>
      <w:r>
        <w:rPr>
          <w:sz w:val="24"/>
        </w:rPr>
        <w:t>is</w:t>
      </w:r>
      <w:r>
        <w:rPr>
          <w:spacing w:val="35"/>
          <w:sz w:val="24"/>
        </w:rPr>
        <w:t> </w:t>
      </w:r>
      <w:r>
        <w:rPr>
          <w:sz w:val="24"/>
        </w:rPr>
        <w:t>not</w:t>
      </w:r>
      <w:r>
        <w:rPr>
          <w:spacing w:val="34"/>
          <w:sz w:val="24"/>
        </w:rPr>
        <w:t> </w:t>
      </w:r>
      <w:r>
        <w:rPr>
          <w:sz w:val="24"/>
        </w:rPr>
        <w:t>required</w:t>
      </w:r>
      <w:r>
        <w:rPr>
          <w:spacing w:val="35"/>
          <w:sz w:val="24"/>
        </w:rPr>
        <w:t> </w:t>
      </w:r>
      <w:r>
        <w:rPr>
          <w:sz w:val="24"/>
        </w:rPr>
        <w:t>to</w:t>
      </w:r>
      <w:r>
        <w:rPr>
          <w:spacing w:val="34"/>
          <w:sz w:val="24"/>
        </w:rPr>
        <w:t> </w:t>
      </w:r>
      <w:r>
        <w:rPr>
          <w:sz w:val="24"/>
        </w:rPr>
        <w:t>comply</w:t>
      </w:r>
      <w:r>
        <w:rPr>
          <w:spacing w:val="35"/>
          <w:sz w:val="24"/>
        </w:rPr>
        <w:t> </w:t>
      </w:r>
      <w:r>
        <w:rPr>
          <w:sz w:val="24"/>
        </w:rPr>
        <w:t>with</w:t>
      </w:r>
      <w:r>
        <w:rPr>
          <w:spacing w:val="34"/>
          <w:sz w:val="24"/>
        </w:rPr>
        <w:t> </w:t>
      </w:r>
      <w:r>
        <w:rPr>
          <w:sz w:val="24"/>
        </w:rPr>
        <w:t>clause</w:t>
      </w:r>
      <w:r>
        <w:rPr>
          <w:spacing w:val="35"/>
          <w:sz w:val="24"/>
        </w:rPr>
        <w:t> </w:t>
      </w:r>
      <w:r>
        <w:rPr>
          <w:sz w:val="24"/>
        </w:rPr>
        <w:t>4.8.4A(e)</w:t>
      </w:r>
      <w:r>
        <w:rPr>
          <w:spacing w:val="34"/>
          <w:sz w:val="24"/>
        </w:rPr>
        <w:t> </w:t>
      </w:r>
      <w:r>
        <w:rPr>
          <w:sz w:val="24"/>
        </w:rPr>
        <w:t>when</w:t>
      </w:r>
      <w:r>
        <w:rPr>
          <w:spacing w:val="35"/>
          <w:sz w:val="24"/>
        </w:rPr>
        <w:t> </w:t>
      </w:r>
      <w:r>
        <w:rPr>
          <w:sz w:val="24"/>
        </w:rPr>
        <w:t>making</w:t>
      </w:r>
      <w:r>
        <w:rPr>
          <w:spacing w:val="35"/>
          <w:sz w:val="24"/>
        </w:rPr>
        <w:t> </w:t>
      </w:r>
      <w:r>
        <w:rPr>
          <w:sz w:val="24"/>
        </w:rPr>
        <w:t>the</w:t>
      </w:r>
    </w:p>
    <w:p>
      <w:pPr>
        <w:spacing w:before="0"/>
        <w:ind w:left="1919" w:right="0" w:firstLine="0"/>
        <w:jc w:val="left"/>
        <w:rPr>
          <w:sz w:val="24"/>
        </w:rPr>
      </w:pPr>
      <w:r>
        <w:rPr>
          <w:i/>
          <w:sz w:val="24"/>
        </w:rPr>
        <w:t>reserve level declaration guidelines </w:t>
      </w:r>
      <w:r>
        <w:rPr>
          <w:sz w:val="24"/>
        </w:rPr>
        <w:t>for the first time.</w:t>
      </w:r>
    </w:p>
    <w:p>
      <w:pPr>
        <w:pStyle w:val="BodyText"/>
        <w:spacing w:before="9"/>
        <w:ind w:firstLine="0"/>
        <w:jc w:val="left"/>
        <w:rPr>
          <w:sz w:val="18"/>
        </w:rPr>
      </w:pPr>
      <w:r>
        <w:rPr/>
        <w:pict>
          <v:shape style="position:absolute;margin-left:69.450005pt;margin-top:12.02833pt;width:456.45pt;height:32.2pt;mso-position-horizontal-relative:page;mso-position-vertical-relative:paragraph;z-index:-251572224;mso-wrap-distance-left:0;mso-wrap-distance-right:0" type="#_x0000_t202" filled="true" fillcolor="#d9d9d9" stroked="false">
            <v:textbox inset="0,0,0,0">
              <w:txbxContent>
                <w:p>
                  <w:pPr>
                    <w:spacing w:before="0"/>
                    <w:ind w:left="1163" w:right="404" w:hanging="1134"/>
                    <w:jc w:val="left"/>
                    <w:rPr>
                      <w:rFonts w:ascii="Arial"/>
                      <w:b/>
                      <w:sz w:val="28"/>
                    </w:rPr>
                  </w:pPr>
                  <w:bookmarkStart w:name="Part ZZZH Implementation of demand manag" w:id="3344"/>
                  <w:bookmarkEnd w:id="3344"/>
                  <w:r>
                    <w:rPr/>
                  </w:r>
                  <w:bookmarkStart w:name="_bookmark1326" w:id="3345"/>
                  <w:bookmarkEnd w:id="3345"/>
                  <w:r>
                    <w:rPr/>
                  </w:r>
                  <w:r>
                    <w:rPr>
                      <w:rFonts w:ascii="Arial"/>
                      <w:b/>
                      <w:sz w:val="28"/>
                    </w:rPr>
                    <w:t>Part ZZZH Implementation of demand management incentive scheme</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0" w:hanging="1135"/>
        <w:jc w:val="left"/>
      </w:pPr>
      <w:bookmarkStart w:name="11.106 Implementation of demand manageme" w:id="3346"/>
      <w:bookmarkEnd w:id="3346"/>
      <w:r>
        <w:rPr>
          <w:b w:val="0"/>
        </w:rPr>
      </w:r>
      <w:bookmarkStart w:name="_bookmark1327" w:id="3347"/>
      <w:bookmarkEnd w:id="3347"/>
      <w:r>
        <w:rPr>
          <w:b w:val="0"/>
        </w:rPr>
      </w:r>
      <w:bookmarkStart w:name="_bookmark1327" w:id="3348"/>
      <w:bookmarkEnd w:id="3348"/>
      <w:r>
        <w:rPr/>
        <w:t>I</w:t>
      </w:r>
      <w:r>
        <w:rPr/>
        <w:t>mplementation of demand management incentive</w:t>
      </w:r>
      <w:r>
        <w:rPr>
          <w:spacing w:val="-7"/>
        </w:rPr>
        <w:t> </w:t>
      </w:r>
      <w:r>
        <w:rPr/>
        <w:t>scheme</w:t>
      </w:r>
    </w:p>
    <w:p>
      <w:pPr>
        <w:pStyle w:val="Heading4"/>
        <w:numPr>
          <w:ilvl w:val="2"/>
          <w:numId w:val="850"/>
        </w:numPr>
        <w:tabs>
          <w:tab w:pos="1352" w:val="left" w:leader="none"/>
        </w:tabs>
        <w:spacing w:line="240" w:lineRule="auto" w:before="240" w:after="0"/>
        <w:ind w:left="1351" w:right="0" w:hanging="1134"/>
        <w:jc w:val="left"/>
      </w:pPr>
      <w:bookmarkStart w:name="11.106.1 Definitions" w:id="3349"/>
      <w:bookmarkEnd w:id="3349"/>
      <w:r>
        <w:rPr>
          <w:b w:val="0"/>
        </w:rPr>
      </w:r>
      <w:bookmarkStart w:name="_bookmark1328" w:id="3350"/>
      <w:bookmarkEnd w:id="3350"/>
      <w:r>
        <w:rPr>
          <w:b w:val="0"/>
        </w:rPr>
      </w:r>
      <w:bookmarkStart w:name="_bookmark1328" w:id="3351"/>
      <w:bookmarkEnd w:id="3351"/>
      <w:r>
        <w:rPr/>
        <w:t>Definition</w:t>
      </w:r>
      <w:r>
        <w:rPr/>
        <w:t>s</w:t>
      </w:r>
    </w:p>
    <w:p>
      <w:pPr>
        <w:pStyle w:val="BodyText"/>
        <w:ind w:left="1352" w:firstLine="0"/>
      </w:pPr>
      <w:r>
        <w:rPr/>
        <w:t>In this rule 11.106:</w:t>
      </w:r>
    </w:p>
    <w:p>
      <w:pPr>
        <w:pStyle w:val="BodyText"/>
        <w:ind w:left="1352" w:right="416" w:firstLine="0"/>
      </w:pPr>
      <w:r>
        <w:rPr>
          <w:b/>
        </w:rPr>
        <w:t>Amending Rule </w:t>
      </w:r>
      <w:r>
        <w:rPr/>
        <w:t>means the National Electricity Amendment (Implementation of demand management incentive scheme) Rule 2018.</w:t>
      </w:r>
    </w:p>
    <w:p>
      <w:pPr>
        <w:spacing w:before="120"/>
        <w:ind w:left="1352" w:right="416" w:firstLine="0"/>
        <w:jc w:val="both"/>
        <w:rPr>
          <w:sz w:val="24"/>
        </w:rPr>
      </w:pPr>
      <w:r>
        <w:rPr>
          <w:b/>
          <w:sz w:val="24"/>
        </w:rPr>
        <w:t>commencement date </w:t>
      </w:r>
      <w:r>
        <w:rPr>
          <w:sz w:val="24"/>
        </w:rPr>
        <w:t>means the day on which the Amending Rule commences operation.</w:t>
      </w:r>
    </w:p>
    <w:p>
      <w:pPr>
        <w:spacing w:before="120"/>
        <w:ind w:left="1352" w:right="416" w:firstLine="0"/>
        <w:jc w:val="both"/>
        <w:rPr>
          <w:sz w:val="24"/>
        </w:rPr>
      </w:pPr>
      <w:r>
        <w:rPr>
          <w:b/>
          <w:sz w:val="24"/>
        </w:rPr>
        <w:t>existing demand management incentive scheme </w:t>
      </w:r>
      <w:r>
        <w:rPr>
          <w:sz w:val="24"/>
        </w:rPr>
        <w:t>means a scheme developed and published by the </w:t>
      </w:r>
      <w:r>
        <w:rPr>
          <w:i/>
          <w:sz w:val="24"/>
        </w:rPr>
        <w:t>AER </w:t>
      </w:r>
      <w:r>
        <w:rPr>
          <w:sz w:val="24"/>
        </w:rPr>
        <w:t>under clause 6.6.3 of the </w:t>
      </w:r>
      <w:r>
        <w:rPr>
          <w:i/>
          <w:sz w:val="24"/>
        </w:rPr>
        <w:t>Rules </w:t>
      </w:r>
      <w:r>
        <w:rPr>
          <w:sz w:val="24"/>
        </w:rPr>
        <w:t>prior to 1 December 2016.</w:t>
      </w:r>
    </w:p>
    <w:p>
      <w:pPr>
        <w:spacing w:before="120"/>
        <w:ind w:left="1352" w:right="414" w:firstLine="0"/>
        <w:jc w:val="both"/>
        <w:rPr>
          <w:sz w:val="24"/>
        </w:rPr>
      </w:pPr>
      <w:r>
        <w:rPr>
          <w:b/>
          <w:sz w:val="24"/>
        </w:rPr>
        <w:t>current regulatory control period </w:t>
      </w:r>
      <w:r>
        <w:rPr>
          <w:sz w:val="24"/>
        </w:rPr>
        <w:t>means, for a </w:t>
      </w:r>
      <w:r>
        <w:rPr>
          <w:i/>
          <w:sz w:val="24"/>
        </w:rPr>
        <w:t>Distribution Network Service </w:t>
      </w:r>
      <w:r>
        <w:rPr>
          <w:i/>
          <w:sz w:val="24"/>
        </w:rPr>
        <w:t>Provider</w:t>
      </w:r>
      <w:r>
        <w:rPr>
          <w:sz w:val="24"/>
        </w:rPr>
        <w:t>, a </w:t>
      </w:r>
      <w:r>
        <w:rPr>
          <w:i/>
          <w:sz w:val="24"/>
        </w:rPr>
        <w:t>regulatory control period </w:t>
      </w:r>
      <w:r>
        <w:rPr>
          <w:sz w:val="24"/>
        </w:rPr>
        <w:t>that commenced before the commencement date and, as at the commencement date, has not ended.</w:t>
      </w:r>
    </w:p>
    <w:p>
      <w:pPr>
        <w:spacing w:after="0"/>
        <w:jc w:val="both"/>
        <w:rPr>
          <w:sz w:val="24"/>
        </w:rPr>
        <w:sectPr>
          <w:pgSz w:w="11910" w:h="16840"/>
          <w:pgMar w:header="686" w:footer="637" w:top="1320" w:bottom="820" w:left="1200" w:right="1000"/>
        </w:sectPr>
      </w:pPr>
    </w:p>
    <w:p>
      <w:pPr>
        <w:spacing w:before="83"/>
        <w:ind w:left="1352" w:right="415" w:firstLine="0"/>
        <w:jc w:val="both"/>
        <w:rPr>
          <w:sz w:val="24"/>
        </w:rPr>
      </w:pPr>
      <w:r>
        <w:rPr>
          <w:b/>
          <w:sz w:val="24"/>
        </w:rPr>
        <w:t>revised demand management incentive scheme </w:t>
      </w:r>
      <w:r>
        <w:rPr>
          <w:sz w:val="24"/>
        </w:rPr>
        <w:t>means the Demand Management Incentive Scheme developed and published by the </w:t>
      </w:r>
      <w:r>
        <w:rPr>
          <w:i/>
          <w:sz w:val="24"/>
        </w:rPr>
        <w:t>AER </w:t>
      </w:r>
      <w:r>
        <w:rPr>
          <w:sz w:val="24"/>
        </w:rPr>
        <w:t>under clause</w:t>
      </w:r>
    </w:p>
    <w:p>
      <w:pPr>
        <w:pStyle w:val="BodyText"/>
        <w:spacing w:before="0"/>
        <w:ind w:left="1352" w:firstLine="0"/>
      </w:pPr>
      <w:r>
        <w:rPr/>
        <w:t>6.6.3 of the </w:t>
      </w:r>
      <w:r>
        <w:rPr>
          <w:i/>
        </w:rPr>
        <w:t>Rules </w:t>
      </w:r>
      <w:r>
        <w:rPr/>
        <w:t>on 14 December 2017.</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6.2 Purpose" w:id="3352"/>
      <w:bookmarkEnd w:id="3352"/>
      <w:r>
        <w:rPr>
          <w:b w:val="0"/>
        </w:rPr>
      </w:r>
      <w:bookmarkStart w:name="_bookmark1329" w:id="3353"/>
      <w:bookmarkEnd w:id="3353"/>
      <w:r>
        <w:rPr>
          <w:b w:val="0"/>
        </w:rPr>
      </w:r>
      <w:bookmarkStart w:name="_bookmark1329" w:id="3354"/>
      <w:bookmarkEnd w:id="3354"/>
      <w:r>
        <w:rPr/>
        <w:t>Purpose</w:t>
      </w:r>
    </w:p>
    <w:p>
      <w:pPr>
        <w:pStyle w:val="BodyText"/>
        <w:ind w:left="1352" w:right="415" w:firstLine="0"/>
      </w:pPr>
      <w:r>
        <w:rPr/>
        <w:t>The purpose of this rule 11.106 is to allow a </w:t>
      </w:r>
      <w:r>
        <w:rPr>
          <w:i/>
        </w:rPr>
        <w:t>Distribution Network Service </w:t>
      </w:r>
      <w:r>
        <w:rPr>
          <w:i/>
        </w:rPr>
        <w:t>Provider </w:t>
      </w:r>
      <w:r>
        <w:rPr/>
        <w:t>to apply to the </w:t>
      </w:r>
      <w:r>
        <w:rPr>
          <w:i/>
        </w:rPr>
        <w:t>AER </w:t>
      </w:r>
      <w:r>
        <w:rPr/>
        <w:t>for the application of the revised demand management incentive scheme during its current regulatory control period.</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6.3 Early application of revised de" w:id="3355"/>
      <w:bookmarkEnd w:id="3355"/>
      <w:r>
        <w:rPr>
          <w:b w:val="0"/>
        </w:rPr>
      </w:r>
      <w:bookmarkStart w:name="_bookmark1330" w:id="3356"/>
      <w:bookmarkEnd w:id="3356"/>
      <w:r>
        <w:rPr>
          <w:b w:val="0"/>
        </w:rPr>
      </w:r>
      <w:bookmarkStart w:name="_bookmark1330" w:id="3357"/>
      <w:bookmarkEnd w:id="3357"/>
      <w:r>
        <w:rPr/>
        <w:t>Early</w:t>
      </w:r>
      <w:r>
        <w:rPr/>
        <w:t> application of revised demand management incentive</w:t>
      </w:r>
      <w:r>
        <w:rPr>
          <w:spacing w:val="-14"/>
        </w:rPr>
        <w:t> </w:t>
      </w:r>
      <w:r>
        <w:rPr/>
        <w:t>scheme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may seek application of the revised demand management incentive scheme notwithstanding that the current regulatory control period may have commenced before 14 December 2017.</w:t>
      </w:r>
    </w:p>
    <w:p>
      <w:pPr>
        <w:spacing w:before="220"/>
        <w:ind w:left="1356" w:right="0" w:firstLine="0"/>
        <w:jc w:val="both"/>
        <w:rPr>
          <w:rFonts w:ascii="Arial"/>
          <w:b/>
          <w:sz w:val="22"/>
        </w:rPr>
      </w:pPr>
      <w:r>
        <w:rPr>
          <w:rFonts w:ascii="Arial"/>
          <w:b/>
          <w:sz w:val="22"/>
        </w:rPr>
        <w:t>Submission of proposal</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a </w:t>
      </w:r>
      <w:r>
        <w:rPr>
          <w:i/>
          <w:sz w:val="24"/>
        </w:rPr>
        <w:t>Distribution Network Service Provider </w:t>
      </w:r>
      <w:r>
        <w:rPr>
          <w:sz w:val="24"/>
        </w:rPr>
        <w:t>wishes the revised demand management incentive scheme to apply during the current regulatory control period, the </w:t>
      </w:r>
      <w:r>
        <w:rPr>
          <w:i/>
          <w:sz w:val="24"/>
        </w:rPr>
        <w:t>Distribution Network Service Provider </w:t>
      </w:r>
      <w:r>
        <w:rPr>
          <w:sz w:val="24"/>
        </w:rPr>
        <w:t>must submit a proposal to the </w:t>
      </w:r>
      <w:r>
        <w:rPr>
          <w:i/>
          <w:sz w:val="24"/>
        </w:rPr>
        <w:t>AER </w:t>
      </w:r>
      <w:r>
        <w:rPr>
          <w:sz w:val="24"/>
        </w:rPr>
        <w:t>setting</w:t>
      </w:r>
      <w:r>
        <w:rPr>
          <w:spacing w:val="-2"/>
          <w:sz w:val="24"/>
        </w:rPr>
        <w:t> </w:t>
      </w:r>
      <w:r>
        <w:rPr>
          <w:sz w:val="24"/>
        </w:rPr>
        <w:t>out: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proposed start date for the application of the revised demand management incentive scheme, which must not be earlier than the later of:</w:t>
      </w:r>
    </w:p>
    <w:p>
      <w:pPr>
        <w:pStyle w:val="ListParagraph"/>
        <w:numPr>
          <w:ilvl w:val="5"/>
          <w:numId w:val="850"/>
        </w:numPr>
        <w:tabs>
          <w:tab w:pos="3053" w:val="left" w:leader="none"/>
        </w:tabs>
        <w:spacing w:line="240" w:lineRule="auto" w:before="120" w:after="0"/>
        <w:ind w:left="3052" w:right="0" w:hanging="567"/>
        <w:jc w:val="both"/>
        <w:rPr>
          <w:sz w:val="24"/>
        </w:rPr>
      </w:pPr>
      <w:r>
        <w:rPr>
          <w:sz w:val="24"/>
        </w:rPr>
        <w:t>60 </w:t>
      </w:r>
      <w:r>
        <w:rPr>
          <w:i/>
          <w:sz w:val="24"/>
        </w:rPr>
        <w:t>business days </w:t>
      </w:r>
      <w:r>
        <w:rPr>
          <w:sz w:val="24"/>
        </w:rPr>
        <w:t>after the proposal is submitted;</w:t>
      </w:r>
      <w:r>
        <w:rPr>
          <w:spacing w:val="-4"/>
          <w:sz w:val="24"/>
        </w:rPr>
        <w:t> </w:t>
      </w:r>
      <w:r>
        <w:rPr>
          <w:sz w:val="24"/>
        </w:rPr>
        <w:t>or</w:t>
      </w:r>
    </w:p>
    <w:p>
      <w:pPr>
        <w:pStyle w:val="ListParagraph"/>
        <w:numPr>
          <w:ilvl w:val="5"/>
          <w:numId w:val="850"/>
        </w:numPr>
        <w:tabs>
          <w:tab w:pos="3054" w:val="left" w:leader="none"/>
        </w:tabs>
        <w:spacing w:line="240" w:lineRule="auto" w:before="120" w:after="0"/>
        <w:ind w:left="3053" w:right="415" w:hanging="567"/>
        <w:jc w:val="both"/>
        <w:rPr>
          <w:sz w:val="24"/>
        </w:rPr>
      </w:pPr>
      <w:r>
        <w:rPr>
          <w:sz w:val="24"/>
        </w:rPr>
        <w:t>24 months prior to the end of the current regulatory control period;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 description of how the proposed early application of the revised demand management incentive scheme will assist the </w:t>
      </w:r>
      <w:r>
        <w:rPr>
          <w:i/>
          <w:sz w:val="24"/>
        </w:rPr>
        <w:t>Distribution </w:t>
      </w:r>
      <w:r>
        <w:rPr>
          <w:i/>
          <w:sz w:val="24"/>
        </w:rPr>
        <w:t>Network Service Provider </w:t>
      </w:r>
      <w:r>
        <w:rPr>
          <w:sz w:val="24"/>
        </w:rPr>
        <w:t>in undertaking efficient expenditure </w:t>
      </w:r>
      <w:r>
        <w:rPr>
          <w:spacing w:val="-7"/>
          <w:sz w:val="24"/>
        </w:rPr>
        <w:t>on </w:t>
      </w:r>
      <w:r>
        <w:rPr>
          <w:sz w:val="24"/>
        </w:rPr>
        <w:t>relevant </w:t>
      </w:r>
      <w:r>
        <w:rPr>
          <w:i/>
          <w:sz w:val="24"/>
        </w:rPr>
        <w:t>non-network options </w:t>
      </w:r>
      <w:r>
        <w:rPr>
          <w:sz w:val="24"/>
        </w:rPr>
        <w:t>relating to demand management;</w:t>
      </w:r>
      <w:r>
        <w:rPr>
          <w:spacing w:val="-3"/>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such other information that the </w:t>
      </w:r>
      <w:r>
        <w:rPr>
          <w:i/>
          <w:sz w:val="24"/>
        </w:rPr>
        <w:t>Distribution Network Service Provider </w:t>
      </w:r>
      <w:r>
        <w:rPr>
          <w:sz w:val="24"/>
        </w:rPr>
        <w:t>considers relevant to its application for early application of the revised demand management incentive</w:t>
      </w:r>
      <w:r>
        <w:rPr>
          <w:spacing w:val="-3"/>
          <w:sz w:val="24"/>
        </w:rPr>
        <w:t> </w:t>
      </w:r>
      <w:r>
        <w:rPr>
          <w:sz w:val="24"/>
        </w:rPr>
        <w:t>scheme.</w:t>
      </w:r>
    </w:p>
    <w:p>
      <w:pPr>
        <w:spacing w:before="220"/>
        <w:ind w:left="1356" w:right="0" w:firstLine="0"/>
        <w:jc w:val="both"/>
        <w:rPr>
          <w:rFonts w:ascii="Arial"/>
          <w:b/>
          <w:sz w:val="22"/>
        </w:rPr>
      </w:pPr>
      <w:r>
        <w:rPr>
          <w:rFonts w:ascii="Arial"/>
          <w:b/>
          <w:sz w:val="22"/>
        </w:rPr>
        <w:t>Publication and consultation on proposal</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The </w:t>
      </w:r>
      <w:r>
        <w:rPr>
          <w:i/>
          <w:sz w:val="24"/>
        </w:rPr>
        <w:t>AER </w:t>
      </w:r>
      <w:r>
        <w:rPr>
          <w:sz w:val="24"/>
        </w:rPr>
        <w:t>must as soon as practicable,</w:t>
      </w:r>
      <w:r>
        <w:rPr>
          <w:spacing w:val="-2"/>
          <w:sz w:val="24"/>
        </w:rPr>
        <w:t> </w:t>
      </w:r>
      <w:r>
        <w:rPr>
          <w:i/>
          <w:sz w:val="24"/>
        </w:rPr>
        <w:t>publish</w:t>
      </w:r>
      <w:r>
        <w:rPr>
          <w:sz w:val="24"/>
        </w:rPr>
        <w:t>:</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a proposal submitted under paragraph (b);</w:t>
      </w:r>
      <w:r>
        <w:rPr>
          <w:spacing w:val="-3"/>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an invitation for written submissions from any person on the proposal within a period specified by the </w:t>
      </w:r>
      <w:r>
        <w:rPr>
          <w:i/>
          <w:sz w:val="24"/>
        </w:rPr>
        <w:t>AER</w:t>
      </w:r>
      <w:r>
        <w:rPr>
          <w:sz w:val="24"/>
        </w:rPr>
        <w:t>, being a period not less than 20 </w:t>
      </w:r>
      <w:r>
        <w:rPr>
          <w:i/>
          <w:sz w:val="24"/>
        </w:rPr>
        <w:t>business days </w:t>
      </w:r>
      <w:r>
        <w:rPr>
          <w:sz w:val="24"/>
        </w:rPr>
        <w:t>from the date of publication of the invitation for submissions.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Any person may make a written submission to the </w:t>
      </w:r>
      <w:r>
        <w:rPr>
          <w:i/>
          <w:sz w:val="24"/>
        </w:rPr>
        <w:t>AER </w:t>
      </w:r>
      <w:r>
        <w:rPr>
          <w:sz w:val="24"/>
        </w:rPr>
        <w:t>on the proposal, within the period specified in the invitation referred to in paragraph</w:t>
      </w:r>
      <w:r>
        <w:rPr>
          <w:spacing w:val="-13"/>
          <w:sz w:val="24"/>
        </w:rPr>
        <w:t> </w:t>
      </w:r>
      <w:r>
        <w:rPr>
          <w:sz w:val="24"/>
        </w:rPr>
        <w:t>(c)(2).</w:t>
      </w:r>
    </w:p>
    <w:p>
      <w:pPr>
        <w:spacing w:after="0" w:line="240" w:lineRule="auto"/>
        <w:jc w:val="both"/>
        <w:rPr>
          <w:sz w:val="24"/>
        </w:rPr>
        <w:sectPr>
          <w:pgSz w:w="11910" w:h="16840"/>
          <w:pgMar w:header="686" w:footer="637" w:top="1320" w:bottom="820" w:left="1200" w:right="1000"/>
        </w:sectPr>
      </w:pPr>
    </w:p>
    <w:p>
      <w:pPr>
        <w:spacing w:before="83"/>
        <w:ind w:left="1356" w:right="0" w:firstLine="0"/>
        <w:jc w:val="left"/>
        <w:rPr>
          <w:rFonts w:ascii="Arial"/>
          <w:b/>
          <w:sz w:val="22"/>
        </w:rPr>
      </w:pPr>
      <w:r>
        <w:rPr>
          <w:rFonts w:ascii="Arial"/>
          <w:b/>
          <w:sz w:val="22"/>
        </w:rPr>
        <w:t>Making of final decision</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 final decision on whether and how to apply the revised demand management incentive scheme to a </w:t>
      </w:r>
      <w:r>
        <w:rPr>
          <w:i/>
          <w:sz w:val="24"/>
        </w:rPr>
        <w:t>Distribution Network </w:t>
      </w:r>
      <w:r>
        <w:rPr>
          <w:i/>
          <w:sz w:val="24"/>
        </w:rPr>
        <w:t>Service Provider </w:t>
      </w:r>
      <w:r>
        <w:rPr>
          <w:sz w:val="24"/>
        </w:rPr>
        <w:t>during its current regulatory control</w:t>
      </w:r>
      <w:r>
        <w:rPr>
          <w:spacing w:val="-2"/>
          <w:sz w:val="24"/>
        </w:rPr>
        <w:t> </w:t>
      </w:r>
      <w:r>
        <w:rPr>
          <w:sz w:val="24"/>
        </w:rPr>
        <w:t>period.</w:t>
      </w:r>
    </w:p>
    <w:p>
      <w:pPr>
        <w:pStyle w:val="ListParagraph"/>
        <w:numPr>
          <w:ilvl w:val="3"/>
          <w:numId w:val="850"/>
        </w:numPr>
        <w:tabs>
          <w:tab w:pos="1920" w:val="left" w:leader="none"/>
        </w:tabs>
        <w:spacing w:line="240" w:lineRule="auto" w:before="120" w:after="0"/>
        <w:ind w:left="1919" w:right="0" w:hanging="568"/>
        <w:jc w:val="both"/>
        <w:rPr>
          <w:sz w:val="24"/>
        </w:rPr>
      </w:pPr>
      <w:r>
        <w:rPr>
          <w:sz w:val="24"/>
        </w:rPr>
        <w:t>The </w:t>
      </w:r>
      <w:r>
        <w:rPr>
          <w:i/>
          <w:sz w:val="24"/>
        </w:rPr>
        <w:t>AER</w:t>
      </w:r>
      <w:r>
        <w:rPr>
          <w:sz w:val="24"/>
        </w:rPr>
        <w:t>'s final decision</w:t>
      </w:r>
      <w:r>
        <w:rPr>
          <w:spacing w:val="-3"/>
          <w:sz w:val="24"/>
        </w:rPr>
        <w:t> </w:t>
      </w:r>
      <w:r>
        <w:rPr>
          <w:sz w:val="24"/>
        </w:rPr>
        <w:t>must:</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include a decision on the start</w:t>
      </w:r>
      <w:r>
        <w:rPr>
          <w:spacing w:val="-2"/>
          <w:sz w:val="24"/>
        </w:rPr>
        <w:t> </w:t>
      </w:r>
      <w:r>
        <w:rPr>
          <w:sz w:val="24"/>
        </w:rPr>
        <w:t>date;</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set out reasons for the decision;</w:t>
      </w:r>
      <w:r>
        <w:rPr>
          <w:spacing w:val="-2"/>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set out any amendments to the revised demand management incentive scheme necessary to give effect to the application of the revised demand management incentive scheme under paragraph</w:t>
      </w:r>
      <w:r>
        <w:rPr>
          <w:spacing w:val="-3"/>
          <w:sz w:val="24"/>
        </w:rPr>
        <w:t> </w:t>
      </w:r>
      <w:r>
        <w:rPr>
          <w:sz w:val="24"/>
        </w:rPr>
        <w:t>(i).</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may make a decision on a start date which is different to the proposed start date, provided that the start date is not earlier than 24 months prior to the end of the current regulatory control</w:t>
      </w:r>
      <w:r>
        <w:rPr>
          <w:spacing w:val="-2"/>
          <w:sz w:val="24"/>
        </w:rPr>
        <w:t> </w:t>
      </w:r>
      <w:r>
        <w:rPr>
          <w:sz w:val="24"/>
        </w:rPr>
        <w:t>period.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making its final decision, the </w:t>
      </w:r>
      <w:r>
        <w:rPr>
          <w:i/>
          <w:sz w:val="24"/>
        </w:rPr>
        <w:t>AER </w:t>
      </w:r>
      <w:r>
        <w:rPr>
          <w:sz w:val="24"/>
        </w:rPr>
        <w:t>must consider the proposal submitted under paragraph (b) and any written submissions made on the proposal, and must have regard to the factors in clause</w:t>
      </w:r>
      <w:r>
        <w:rPr>
          <w:spacing w:val="-1"/>
          <w:sz w:val="24"/>
        </w:rPr>
        <w:t> </w:t>
      </w:r>
      <w:r>
        <w:rPr>
          <w:sz w:val="24"/>
        </w:rPr>
        <w:t>6.6.3(c).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If the </w:t>
      </w:r>
      <w:r>
        <w:rPr>
          <w:i/>
          <w:sz w:val="24"/>
        </w:rPr>
        <w:t>AER </w:t>
      </w:r>
      <w:r>
        <w:rPr>
          <w:sz w:val="24"/>
        </w:rPr>
        <w:t>makes a final decision that the revised demand management incentive scheme will apply then it will apply to the relevant </w:t>
      </w:r>
      <w:r>
        <w:rPr>
          <w:i/>
          <w:sz w:val="24"/>
        </w:rPr>
        <w:t>Distribution </w:t>
      </w:r>
      <w:r>
        <w:rPr>
          <w:i/>
          <w:sz w:val="24"/>
        </w:rPr>
        <w:t>Network Service Provider </w:t>
      </w:r>
      <w:r>
        <w:rPr>
          <w:sz w:val="24"/>
        </w:rPr>
        <w:t>from the start date set out in the final decision, notwithstanding anything to the contrary in the revised demand management incentive</w:t>
      </w:r>
      <w:r>
        <w:rPr>
          <w:spacing w:val="-1"/>
          <w:sz w:val="24"/>
        </w:rPr>
        <w:t> </w:t>
      </w:r>
      <w:r>
        <w:rPr>
          <w:sz w:val="24"/>
        </w:rPr>
        <w:t>scheme.</w:t>
      </w:r>
    </w:p>
    <w:p>
      <w:pPr>
        <w:pStyle w:val="ListParagraph"/>
        <w:numPr>
          <w:ilvl w:val="3"/>
          <w:numId w:val="850"/>
        </w:numPr>
        <w:tabs>
          <w:tab w:pos="1919" w:val="left" w:leader="none"/>
        </w:tabs>
        <w:spacing w:line="240" w:lineRule="auto" w:before="120" w:after="0"/>
        <w:ind w:left="1919" w:right="417" w:hanging="567"/>
        <w:jc w:val="both"/>
        <w:rPr>
          <w:sz w:val="24"/>
        </w:rPr>
      </w:pPr>
      <w:r>
        <w:rPr>
          <w:sz w:val="24"/>
        </w:rPr>
        <w:t>The revised demand management incentive scheme, as applicable to the </w:t>
      </w:r>
      <w:r>
        <w:rPr>
          <w:i/>
          <w:sz w:val="24"/>
        </w:rPr>
        <w:t>Distribution Network Service Provider</w:t>
      </w:r>
      <w:r>
        <w:rPr>
          <w:sz w:val="24"/>
        </w:rPr>
        <w:t>, is taken to be amended</w:t>
      </w:r>
      <w:r>
        <w:rPr>
          <w:spacing w:val="37"/>
          <w:sz w:val="24"/>
        </w:rPr>
        <w:t> </w:t>
      </w:r>
      <w:r>
        <w:rPr>
          <w:sz w:val="24"/>
        </w:rPr>
        <w:t>in accordance with the </w:t>
      </w:r>
      <w:r>
        <w:rPr>
          <w:i/>
          <w:sz w:val="24"/>
        </w:rPr>
        <w:t>AER</w:t>
      </w:r>
      <w:r>
        <w:rPr>
          <w:sz w:val="24"/>
        </w:rPr>
        <w:t>'s final decision under paragraph</w:t>
      </w:r>
      <w:r>
        <w:rPr>
          <w:spacing w:val="-5"/>
          <w:sz w:val="24"/>
        </w:rPr>
        <w:t> </w:t>
      </w:r>
      <w:r>
        <w:rPr>
          <w:sz w:val="24"/>
        </w:rPr>
        <w:t>(f)(3).</w:t>
      </w:r>
    </w:p>
    <w:p>
      <w:pPr>
        <w:spacing w:before="220"/>
        <w:ind w:left="1356" w:right="0" w:firstLine="0"/>
        <w:jc w:val="left"/>
        <w:rPr>
          <w:rFonts w:ascii="Arial"/>
          <w:b/>
          <w:sz w:val="22"/>
        </w:rPr>
      </w:pPr>
      <w:r>
        <w:rPr>
          <w:rFonts w:ascii="Arial"/>
          <w:b/>
          <w:sz w:val="22"/>
        </w:rPr>
        <w:t>Notice of final decision</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The </w:t>
      </w:r>
      <w:r>
        <w:rPr>
          <w:i/>
          <w:sz w:val="24"/>
        </w:rPr>
        <w:t>AER </w:t>
      </w:r>
      <w:r>
        <w:rPr>
          <w:sz w:val="24"/>
        </w:rPr>
        <w:t>must, at least one </w:t>
      </w:r>
      <w:r>
        <w:rPr>
          <w:i/>
          <w:sz w:val="24"/>
        </w:rPr>
        <w:t>business day </w:t>
      </w:r>
      <w:r>
        <w:rPr>
          <w:sz w:val="24"/>
        </w:rPr>
        <w:t>before the start date determined under paragraph (f)</w:t>
      </w:r>
      <w:r>
        <w:rPr>
          <w:spacing w:val="-1"/>
          <w:sz w:val="24"/>
        </w:rPr>
        <w:t> </w:t>
      </w:r>
      <w:r>
        <w:rPr>
          <w:i/>
          <w:sz w:val="24"/>
        </w:rPr>
        <w:t>publish</w:t>
      </w:r>
      <w:r>
        <w:rPr>
          <w:sz w:val="24"/>
        </w:rPr>
        <w:t>:</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notice of the making of the final decision;</w:t>
      </w:r>
      <w:r>
        <w:rPr>
          <w:spacing w:val="-3"/>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final decision, including its</w:t>
      </w:r>
      <w:r>
        <w:rPr>
          <w:spacing w:val="-1"/>
          <w:sz w:val="24"/>
        </w:rPr>
        <w:t> </w:t>
      </w:r>
      <w:r>
        <w:rPr>
          <w:sz w:val="24"/>
        </w:rPr>
        <w:t>reasons.</w:t>
      </w:r>
    </w:p>
    <w:p>
      <w:pPr>
        <w:spacing w:before="220"/>
        <w:ind w:left="1356" w:right="0" w:firstLine="0"/>
        <w:jc w:val="left"/>
        <w:rPr>
          <w:rFonts w:ascii="Arial"/>
          <w:b/>
          <w:sz w:val="22"/>
        </w:rPr>
      </w:pPr>
      <w:r>
        <w:rPr>
          <w:rFonts w:ascii="Arial"/>
          <w:b/>
          <w:sz w:val="22"/>
        </w:rPr>
        <w:t>Application of existing scheme</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Nothing in this Part ZZZH affects the application of an existing demand management incentive scheme to a </w:t>
      </w:r>
      <w:r>
        <w:rPr>
          <w:i/>
          <w:sz w:val="24"/>
        </w:rPr>
        <w:t>Distribution Network Service Provider </w:t>
      </w:r>
      <w:r>
        <w:rPr>
          <w:sz w:val="24"/>
        </w:rPr>
        <w:t>in respect of the current regulatory control</w:t>
      </w:r>
      <w:r>
        <w:rPr>
          <w:spacing w:val="-3"/>
          <w:sz w:val="24"/>
        </w:rPr>
        <w:t> </w:t>
      </w:r>
      <w:r>
        <w:rPr>
          <w:sz w:val="24"/>
        </w:rPr>
        <w:t>period.</w:t>
      </w:r>
    </w:p>
    <w:p>
      <w:pPr>
        <w:pStyle w:val="BodyText"/>
        <w:spacing w:before="9"/>
        <w:ind w:firstLine="0"/>
        <w:jc w:val="left"/>
        <w:rPr>
          <w:sz w:val="18"/>
        </w:rPr>
      </w:pPr>
      <w:r>
        <w:rPr/>
        <w:pict>
          <v:shape style="position:absolute;margin-left:69.450005pt;margin-top:12.028106pt;width:456.45pt;height:32.2pt;mso-position-horizontal-relative:page;mso-position-vertical-relative:paragraph;z-index:-251571200;mso-wrap-distance-left:0;mso-wrap-distance-right:0" type="#_x0000_t202" filled="true" fillcolor="#d9d9d9" stroked="false">
            <v:textbox inset="0,0,0,0">
              <w:txbxContent>
                <w:p>
                  <w:pPr>
                    <w:tabs>
                      <w:tab w:pos="1469" w:val="left" w:leader="none"/>
                    </w:tabs>
                    <w:spacing w:before="0"/>
                    <w:ind w:left="1163" w:right="252" w:hanging="1134"/>
                    <w:jc w:val="left"/>
                    <w:rPr>
                      <w:rFonts w:ascii="Arial"/>
                      <w:b/>
                      <w:sz w:val="28"/>
                    </w:rPr>
                  </w:pPr>
                  <w:bookmarkStart w:name="Part ZZZI Reinstatement of long notice R" w:id="3358"/>
                  <w:bookmarkEnd w:id="3358"/>
                  <w:r>
                    <w:rPr/>
                  </w:r>
                  <w:bookmarkStart w:name="_bookmark1331" w:id="3359"/>
                  <w:bookmarkEnd w:id="3359"/>
                  <w:r>
                    <w:rPr/>
                  </w:r>
                  <w:r>
                    <w:rPr>
                      <w:rFonts w:ascii="Arial"/>
                      <w:b/>
                      <w:sz w:val="28"/>
                    </w:rPr>
                    <w:t>Part ZZZI</w:t>
                    <w:tab/>
                    <w:t>Reinstatement of long notice Reliability and Emergency Reserve</w:t>
                  </w:r>
                  <w:r>
                    <w:rPr>
                      <w:rFonts w:ascii="Arial"/>
                      <w:b/>
                      <w:spacing w:val="-2"/>
                      <w:sz w:val="28"/>
                    </w:rPr>
                    <w:t> </w:t>
                  </w:r>
                  <w:r>
                    <w:rPr>
                      <w:rFonts w:ascii="Arial"/>
                      <w:b/>
                      <w:sz w:val="28"/>
                    </w:rPr>
                    <w:t>Trader</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798" w:hanging="1134"/>
        <w:jc w:val="left"/>
      </w:pPr>
      <w:bookmarkStart w:name="11.107 Rules consequential on the making" w:id="3360"/>
      <w:bookmarkEnd w:id="3360"/>
      <w:r>
        <w:rPr>
          <w:b w:val="0"/>
        </w:rPr>
      </w:r>
      <w:bookmarkStart w:name="_bookmark1332" w:id="3361"/>
      <w:bookmarkEnd w:id="3361"/>
      <w:r>
        <w:rPr>
          <w:b w:val="0"/>
        </w:rPr>
      </w:r>
      <w:bookmarkStart w:name="_bookmark1332" w:id="3362"/>
      <w:bookmarkEnd w:id="3362"/>
      <w:r>
        <w:rPr/>
        <w:t>Rul</w:t>
      </w:r>
      <w:r>
        <w:rPr/>
        <w:t>es consequential on the making of the National Electricity Amendment (Reinstatement of long notice Reliability and Emergency Reserve Trader) Rule</w:t>
      </w:r>
      <w:r>
        <w:rPr>
          <w:spacing w:val="-3"/>
        </w:rPr>
        <w:t> </w:t>
      </w:r>
      <w:r>
        <w:rPr/>
        <w:t>2018</w:t>
      </w:r>
    </w:p>
    <w:p>
      <w:pPr>
        <w:pStyle w:val="Heading4"/>
        <w:numPr>
          <w:ilvl w:val="2"/>
          <w:numId w:val="850"/>
        </w:numPr>
        <w:tabs>
          <w:tab w:pos="1352" w:val="left" w:leader="none"/>
        </w:tabs>
        <w:spacing w:line="240" w:lineRule="auto" w:before="240" w:after="0"/>
        <w:ind w:left="1351" w:right="0" w:hanging="1134"/>
        <w:jc w:val="left"/>
      </w:pPr>
      <w:bookmarkStart w:name="11.107.1 Definitions" w:id="3363"/>
      <w:bookmarkEnd w:id="3363"/>
      <w:r>
        <w:rPr>
          <w:b w:val="0"/>
        </w:rPr>
      </w:r>
      <w:bookmarkStart w:name="_bookmark1333" w:id="3364"/>
      <w:bookmarkEnd w:id="3364"/>
      <w:r>
        <w:rPr>
          <w:b w:val="0"/>
        </w:rPr>
      </w:r>
      <w:bookmarkStart w:name="_bookmark1333" w:id="3365"/>
      <w:bookmarkEnd w:id="3365"/>
      <w:r>
        <w:rPr/>
        <w:t>Definition</w:t>
      </w:r>
      <w:r>
        <w:rPr/>
        <w:t>s</w:t>
      </w:r>
    </w:p>
    <w:p>
      <w:pPr>
        <w:pStyle w:val="BodyText"/>
        <w:ind w:left="1352" w:firstLine="0"/>
        <w:jc w:val="left"/>
      </w:pPr>
      <w:r>
        <w:rPr/>
        <w:t>For the purposes of this rule 11.107:</w:t>
      </w:r>
    </w:p>
    <w:p>
      <w:pPr>
        <w:spacing w:after="0"/>
        <w:jc w:val="left"/>
        <w:sectPr>
          <w:pgSz w:w="11910" w:h="16840"/>
          <w:pgMar w:header="686" w:footer="637" w:top="1320" w:bottom="820" w:left="1200" w:right="1000"/>
        </w:sectPr>
      </w:pPr>
    </w:p>
    <w:p>
      <w:pPr>
        <w:pStyle w:val="BodyText"/>
        <w:spacing w:before="83"/>
        <w:ind w:left="1352" w:right="565" w:firstLine="0"/>
        <w:jc w:val="left"/>
      </w:pPr>
      <w:r>
        <w:rPr>
          <w:b/>
        </w:rPr>
        <w:t>Amending rule </w:t>
      </w:r>
      <w:r>
        <w:rPr/>
        <w:t>means the National Electricity Amendment (Reinstatement of long notice Reliability and Emergency Reserve Trader) Rule 2018.</w:t>
      </w:r>
    </w:p>
    <w:p>
      <w:pPr>
        <w:spacing w:before="120"/>
        <w:ind w:left="1352" w:right="0" w:firstLine="0"/>
        <w:jc w:val="left"/>
        <w:rPr>
          <w:sz w:val="24"/>
        </w:rPr>
      </w:pPr>
      <w:r>
        <w:rPr>
          <w:b/>
          <w:sz w:val="24"/>
        </w:rPr>
        <w:t>commencement date </w:t>
      </w:r>
      <w:r>
        <w:rPr>
          <w:sz w:val="24"/>
        </w:rPr>
        <w:t>means 13 July 2018.</w:t>
      </w:r>
    </w:p>
    <w:p>
      <w:pPr>
        <w:spacing w:before="120"/>
        <w:ind w:left="1352" w:right="0" w:firstLine="0"/>
        <w:jc w:val="left"/>
        <w:rPr>
          <w:sz w:val="24"/>
        </w:rPr>
      </w:pPr>
      <w:r>
        <w:rPr>
          <w:b/>
          <w:sz w:val="24"/>
        </w:rPr>
        <w:t>Guidelines </w:t>
      </w:r>
      <w:r>
        <w:rPr>
          <w:sz w:val="24"/>
        </w:rPr>
        <w:t>means the </w:t>
      </w:r>
      <w:r>
        <w:rPr>
          <w:i/>
          <w:sz w:val="24"/>
        </w:rPr>
        <w:t>RERT guidelines </w:t>
      </w:r>
      <w:r>
        <w:rPr>
          <w:sz w:val="24"/>
        </w:rPr>
        <w:t>as in force immediately before the commencement date.</w:t>
      </w:r>
    </w:p>
    <w:p>
      <w:pPr>
        <w:spacing w:before="120"/>
        <w:ind w:left="1352" w:right="0" w:firstLine="0"/>
        <w:jc w:val="left"/>
        <w:rPr>
          <w:sz w:val="24"/>
        </w:rPr>
      </w:pPr>
      <w:r>
        <w:rPr>
          <w:b/>
          <w:sz w:val="24"/>
        </w:rPr>
        <w:t>RERT procedures </w:t>
      </w:r>
      <w:r>
        <w:rPr>
          <w:sz w:val="24"/>
        </w:rPr>
        <w:t>means the procedures made under clause 3.20.7(e).</w:t>
      </w:r>
    </w:p>
    <w:p>
      <w:pPr>
        <w:pStyle w:val="BodyText"/>
        <w:spacing w:before="10"/>
        <w:ind w:firstLine="0"/>
        <w:jc w:val="left"/>
        <w:rPr>
          <w:sz w:val="20"/>
        </w:rPr>
      </w:pPr>
    </w:p>
    <w:p>
      <w:pPr>
        <w:pStyle w:val="Heading4"/>
        <w:numPr>
          <w:ilvl w:val="2"/>
          <w:numId w:val="850"/>
        </w:numPr>
        <w:tabs>
          <w:tab w:pos="1485" w:val="left" w:leader="none"/>
          <w:tab w:pos="1486" w:val="left" w:leader="none"/>
        </w:tabs>
        <w:spacing w:line="240" w:lineRule="auto" w:before="0" w:after="0"/>
        <w:ind w:left="1485" w:right="0" w:hanging="1268"/>
        <w:jc w:val="left"/>
      </w:pPr>
      <w:bookmarkStart w:name="11.107.2    New RERT guidelines" w:id="3366"/>
      <w:bookmarkEnd w:id="3366"/>
      <w:r>
        <w:rPr>
          <w:b w:val="0"/>
        </w:rPr>
      </w:r>
      <w:bookmarkStart w:name="_bookmark1334" w:id="3367"/>
      <w:bookmarkEnd w:id="3367"/>
      <w:r>
        <w:rPr>
          <w:b w:val="0"/>
        </w:rPr>
      </w:r>
      <w:bookmarkStart w:name="_bookmark1334" w:id="3368"/>
      <w:bookmarkEnd w:id="3368"/>
      <w:r>
        <w:rPr/>
        <w:t>Ne</w:t>
      </w:r>
      <w:r>
        <w:rPr/>
        <w:t>w RERT</w:t>
      </w:r>
      <w:r>
        <w:rPr>
          <w:spacing w:val="-3"/>
        </w:rPr>
        <w:t> </w:t>
      </w:r>
      <w:r>
        <w:rPr/>
        <w:t>guidelines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With effect on the commencement date, the Guidelines are amended as set out in the following</w:t>
      </w:r>
      <w:r>
        <w:rPr>
          <w:spacing w:val="-1"/>
          <w:sz w:val="24"/>
        </w:rPr>
        <w:t> </w:t>
      </w:r>
      <w:r>
        <w:rPr>
          <w:sz w:val="24"/>
        </w:rPr>
        <w:t>table:</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70"/>
      </w:tblGrid>
      <w:tr>
        <w:trPr>
          <w:trHeight w:val="395" w:hRule="atLeast"/>
        </w:trPr>
        <w:tc>
          <w:tcPr>
            <w:tcW w:w="737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 of amendments to Guidelines</w:t>
            </w:r>
          </w:p>
        </w:tc>
      </w:tr>
      <w:tr>
        <w:trPr>
          <w:trHeight w:val="1343" w:hRule="atLeast"/>
        </w:trPr>
        <w:tc>
          <w:tcPr>
            <w:tcW w:w="7370" w:type="dxa"/>
            <w:tcBorders>
              <w:top w:val="single" w:sz="4" w:space="0" w:color="000000"/>
              <w:bottom w:val="single" w:sz="4" w:space="0" w:color="000000"/>
              <w:right w:val="single" w:sz="4" w:space="0" w:color="000000"/>
            </w:tcBorders>
          </w:tcPr>
          <w:p>
            <w:pPr>
              <w:pStyle w:val="TableParagraph"/>
              <w:ind w:left="40" w:right="192"/>
              <w:rPr>
                <w:sz w:val="24"/>
              </w:rPr>
            </w:pPr>
            <w:r>
              <w:rPr>
                <w:sz w:val="24"/>
              </w:rPr>
              <w:t>In section 1 of the Guidelines, omit "under clause 3.20.8 of the National Electricity Rules (</w:t>
            </w:r>
            <w:r>
              <w:rPr>
                <w:i/>
                <w:sz w:val="24"/>
              </w:rPr>
              <w:t>Rules</w:t>
            </w:r>
            <w:r>
              <w:rPr>
                <w:sz w:val="24"/>
              </w:rPr>
              <w:t>) and commence on 1 November 2017" and substitute "under clause 11.107.2 of the National Electricity Rules (</w:t>
            </w:r>
            <w:r>
              <w:rPr>
                <w:i/>
                <w:sz w:val="24"/>
              </w:rPr>
              <w:t>Rules</w:t>
            </w:r>
            <w:r>
              <w:rPr>
                <w:sz w:val="24"/>
              </w:rPr>
              <w:t>) and commence on 13 July 2018".</w:t>
            </w:r>
          </w:p>
        </w:tc>
      </w:tr>
      <w:tr>
        <w:trPr>
          <w:trHeight w:val="8579" w:hRule="atLeast"/>
        </w:trPr>
        <w:tc>
          <w:tcPr>
            <w:tcW w:w="7370" w:type="dxa"/>
            <w:tcBorders>
              <w:top w:val="single" w:sz="4" w:space="0" w:color="000000"/>
              <w:bottom w:val="single" w:sz="4" w:space="0" w:color="000000"/>
              <w:right w:val="single" w:sz="4" w:space="0" w:color="000000"/>
            </w:tcBorders>
          </w:tcPr>
          <w:p>
            <w:pPr>
              <w:pStyle w:val="TableParagraph"/>
              <w:ind w:left="40"/>
              <w:jc w:val="both"/>
              <w:rPr>
                <w:sz w:val="24"/>
              </w:rPr>
            </w:pPr>
            <w:r>
              <w:rPr>
                <w:sz w:val="24"/>
              </w:rPr>
              <w:t>Omit section 4.1 of the Guidelines, including the heading, and substitute:</w:t>
            </w:r>
          </w:p>
          <w:p>
            <w:pPr>
              <w:pStyle w:val="TableParagraph"/>
              <w:tabs>
                <w:tab w:pos="1540" w:val="left" w:leader="none"/>
              </w:tabs>
              <w:ind w:left="607"/>
              <w:jc w:val="both"/>
              <w:rPr>
                <w:b/>
                <w:sz w:val="24"/>
              </w:rPr>
            </w:pPr>
            <w:r>
              <w:rPr>
                <w:b/>
                <w:sz w:val="24"/>
              </w:rPr>
              <w:t>4.1</w:t>
              <w:tab/>
              <w:t>During Stage 1 of the RERT</w:t>
            </w:r>
            <w:r>
              <w:rPr>
                <w:b/>
                <w:spacing w:val="-6"/>
                <w:sz w:val="24"/>
              </w:rPr>
              <w:t> </w:t>
            </w:r>
            <w:r>
              <w:rPr>
                <w:b/>
                <w:sz w:val="24"/>
              </w:rPr>
              <w:t>process</w:t>
            </w:r>
          </w:p>
          <w:p>
            <w:pPr>
              <w:pStyle w:val="TableParagraph"/>
              <w:numPr>
                <w:ilvl w:val="0"/>
                <w:numId w:val="856"/>
              </w:numPr>
              <w:tabs>
                <w:tab w:pos="1174" w:val="left" w:leader="none"/>
              </w:tabs>
              <w:spacing w:line="240" w:lineRule="auto" w:before="120" w:after="0"/>
              <w:ind w:left="1174" w:right="413" w:hanging="567"/>
              <w:jc w:val="both"/>
              <w:rPr>
                <w:sz w:val="24"/>
              </w:rPr>
            </w:pPr>
            <w:r>
              <w:rPr>
                <w:sz w:val="24"/>
              </w:rPr>
              <w:t>Long-notice situations where </w:t>
            </w:r>
            <w:r>
              <w:rPr>
                <w:i/>
                <w:sz w:val="24"/>
              </w:rPr>
              <w:t>AEMO </w:t>
            </w:r>
            <w:r>
              <w:rPr>
                <w:sz w:val="24"/>
              </w:rPr>
              <w:t>determines it has more than ten weeks of notice of a projected shortfall in</w:t>
            </w:r>
            <w:r>
              <w:rPr>
                <w:spacing w:val="-20"/>
                <w:sz w:val="24"/>
              </w:rPr>
              <w:t> </w:t>
            </w:r>
            <w:r>
              <w:rPr>
                <w:i/>
                <w:sz w:val="24"/>
              </w:rPr>
              <w:t>reserves</w:t>
            </w:r>
            <w:r>
              <w:rPr>
                <w:sz w:val="24"/>
              </w:rPr>
              <w:t>;</w:t>
            </w:r>
          </w:p>
          <w:p>
            <w:pPr>
              <w:pStyle w:val="TableParagraph"/>
              <w:ind w:left="1174" w:right="220"/>
              <w:jc w:val="both"/>
              <w:rPr>
                <w:sz w:val="24"/>
              </w:rPr>
            </w:pPr>
            <w:r>
              <w:rPr>
                <w:sz w:val="24"/>
              </w:rPr>
              <w:t>When it is considering whether to enter into </w:t>
            </w:r>
            <w:r>
              <w:rPr>
                <w:i/>
                <w:sz w:val="24"/>
              </w:rPr>
              <w:t>reserve contracts </w:t>
            </w:r>
            <w:r>
              <w:rPr>
                <w:sz w:val="24"/>
              </w:rPr>
              <w:t>during Stage 1 of the </w:t>
            </w:r>
            <w:r>
              <w:rPr>
                <w:i/>
                <w:sz w:val="24"/>
              </w:rPr>
              <w:t>RERT </w:t>
            </w:r>
            <w:r>
              <w:rPr>
                <w:sz w:val="24"/>
              </w:rPr>
              <w:t>process for long-notice situations, </w:t>
            </w:r>
            <w:r>
              <w:rPr>
                <w:i/>
                <w:sz w:val="24"/>
              </w:rPr>
              <w:t>AEMO </w:t>
            </w:r>
            <w:r>
              <w:rPr>
                <w:sz w:val="24"/>
              </w:rPr>
              <w:t>may take into</w:t>
            </w:r>
            <w:r>
              <w:rPr>
                <w:spacing w:val="-1"/>
                <w:sz w:val="24"/>
              </w:rPr>
              <w:t> </w:t>
            </w:r>
            <w:r>
              <w:rPr>
                <w:sz w:val="24"/>
              </w:rPr>
              <w:t>account:</w:t>
            </w:r>
          </w:p>
          <w:p>
            <w:pPr>
              <w:pStyle w:val="TableParagraph"/>
              <w:numPr>
                <w:ilvl w:val="1"/>
                <w:numId w:val="856"/>
              </w:numPr>
              <w:tabs>
                <w:tab w:pos="1741" w:val="left" w:leader="none"/>
                <w:tab w:pos="1742" w:val="left" w:leader="none"/>
              </w:tabs>
              <w:spacing w:line="240" w:lineRule="auto" w:before="120" w:after="0"/>
              <w:ind w:left="1741" w:right="0" w:hanging="568"/>
              <w:jc w:val="left"/>
              <w:rPr>
                <w:sz w:val="24"/>
              </w:rPr>
            </w:pPr>
            <w:r>
              <w:rPr>
                <w:sz w:val="24"/>
              </w:rPr>
              <w:t>the details of the outcome of the </w:t>
            </w:r>
            <w:r>
              <w:rPr>
                <w:i/>
                <w:sz w:val="24"/>
              </w:rPr>
              <w:t>medium term</w:t>
            </w:r>
            <w:r>
              <w:rPr>
                <w:i/>
                <w:spacing w:val="-6"/>
                <w:sz w:val="24"/>
              </w:rPr>
              <w:t> </w:t>
            </w:r>
            <w:r>
              <w:rPr>
                <w:i/>
                <w:sz w:val="24"/>
              </w:rPr>
              <w:t>PASA</w:t>
            </w:r>
            <w:r>
              <w:rPr>
                <w:sz w:val="24"/>
              </w:rPr>
              <w:t>;</w:t>
            </w:r>
          </w:p>
          <w:p>
            <w:pPr>
              <w:pStyle w:val="TableParagraph"/>
              <w:numPr>
                <w:ilvl w:val="1"/>
                <w:numId w:val="856"/>
              </w:numPr>
              <w:tabs>
                <w:tab w:pos="1741" w:val="left" w:leader="none"/>
                <w:tab w:pos="1742" w:val="left" w:leader="none"/>
              </w:tabs>
              <w:spacing w:line="240" w:lineRule="auto" w:before="120" w:after="0"/>
              <w:ind w:left="1741" w:right="1000" w:hanging="567"/>
              <w:jc w:val="left"/>
              <w:rPr>
                <w:sz w:val="24"/>
              </w:rPr>
            </w:pPr>
            <w:r>
              <w:rPr>
                <w:sz w:val="24"/>
              </w:rPr>
              <w:t>the outcome of the </w:t>
            </w:r>
            <w:r>
              <w:rPr>
                <w:i/>
                <w:sz w:val="24"/>
              </w:rPr>
              <w:t>energy adequacy assessment </w:t>
            </w:r>
            <w:r>
              <w:rPr>
                <w:i/>
                <w:sz w:val="24"/>
              </w:rPr>
              <w:t>projection </w:t>
            </w:r>
            <w:r>
              <w:rPr>
                <w:sz w:val="24"/>
              </w:rPr>
              <w:t>(</w:t>
            </w:r>
            <w:r>
              <w:rPr>
                <w:i/>
                <w:sz w:val="24"/>
              </w:rPr>
              <w:t>EAAP</w:t>
            </w:r>
            <w:r>
              <w:rPr>
                <w:sz w:val="24"/>
              </w:rPr>
              <w:t>);</w:t>
            </w:r>
            <w:r>
              <w:rPr>
                <w:spacing w:val="-1"/>
                <w:sz w:val="24"/>
              </w:rPr>
              <w:t> </w:t>
            </w:r>
            <w:r>
              <w:rPr>
                <w:sz w:val="24"/>
              </w:rPr>
              <w:t>and</w:t>
            </w:r>
          </w:p>
          <w:p>
            <w:pPr>
              <w:pStyle w:val="TableParagraph"/>
              <w:numPr>
                <w:ilvl w:val="1"/>
                <w:numId w:val="856"/>
              </w:numPr>
              <w:tabs>
                <w:tab w:pos="1741" w:val="left" w:leader="none"/>
                <w:tab w:pos="1742" w:val="left" w:leader="none"/>
              </w:tabs>
              <w:spacing w:line="240" w:lineRule="auto" w:before="120" w:after="0"/>
              <w:ind w:left="1741" w:right="0" w:hanging="568"/>
              <w:jc w:val="left"/>
              <w:rPr>
                <w:sz w:val="24"/>
              </w:rPr>
            </w:pPr>
            <w:r>
              <w:rPr>
                <w:sz w:val="24"/>
              </w:rPr>
              <w:t>any other information that </w:t>
            </w:r>
            <w:r>
              <w:rPr>
                <w:i/>
                <w:sz w:val="24"/>
              </w:rPr>
              <w:t>AEMO </w:t>
            </w:r>
            <w:r>
              <w:rPr>
                <w:sz w:val="24"/>
              </w:rPr>
              <w:t>considers</w:t>
            </w:r>
            <w:r>
              <w:rPr>
                <w:spacing w:val="-2"/>
                <w:sz w:val="24"/>
              </w:rPr>
              <w:t> </w:t>
            </w:r>
            <w:r>
              <w:rPr>
                <w:sz w:val="24"/>
              </w:rPr>
              <w:t>relevant.</w:t>
            </w:r>
          </w:p>
          <w:p>
            <w:pPr>
              <w:pStyle w:val="TableParagraph"/>
              <w:numPr>
                <w:ilvl w:val="0"/>
                <w:numId w:val="856"/>
              </w:numPr>
              <w:tabs>
                <w:tab w:pos="1173" w:val="left" w:leader="none"/>
                <w:tab w:pos="1174" w:val="left" w:leader="none"/>
              </w:tabs>
              <w:spacing w:line="240" w:lineRule="auto" w:before="120" w:after="0"/>
              <w:ind w:left="1174" w:right="94" w:hanging="567"/>
              <w:jc w:val="left"/>
              <w:rPr>
                <w:sz w:val="24"/>
              </w:rPr>
            </w:pPr>
            <w:r>
              <w:rPr>
                <w:sz w:val="24"/>
              </w:rPr>
              <w:t>Medium-notice situations where </w:t>
            </w:r>
            <w:r>
              <w:rPr>
                <w:i/>
                <w:sz w:val="24"/>
              </w:rPr>
              <w:t>AEMO </w:t>
            </w:r>
            <w:r>
              <w:rPr>
                <w:sz w:val="24"/>
              </w:rPr>
              <w:t>has between ten weeks and seven days of notice of a projected shortfall in</w:t>
            </w:r>
            <w:r>
              <w:rPr>
                <w:spacing w:val="-14"/>
                <w:sz w:val="24"/>
              </w:rPr>
              <w:t> </w:t>
            </w:r>
            <w:r>
              <w:rPr>
                <w:i/>
                <w:sz w:val="24"/>
              </w:rPr>
              <w:t>reserves</w:t>
            </w:r>
            <w:r>
              <w:rPr>
                <w:sz w:val="24"/>
              </w:rPr>
              <w:t>.</w:t>
            </w:r>
          </w:p>
          <w:p>
            <w:pPr>
              <w:pStyle w:val="TableParagraph"/>
              <w:ind w:left="1174" w:right="222"/>
              <w:rPr>
                <w:sz w:val="24"/>
              </w:rPr>
            </w:pPr>
            <w:r>
              <w:rPr>
                <w:sz w:val="24"/>
              </w:rPr>
              <w:t>When it is considering whether to enter into </w:t>
            </w:r>
            <w:r>
              <w:rPr>
                <w:i/>
                <w:sz w:val="24"/>
              </w:rPr>
              <w:t>reserve contracts </w:t>
            </w:r>
            <w:r>
              <w:rPr>
                <w:sz w:val="24"/>
              </w:rPr>
              <w:t>during Stage 1 of the </w:t>
            </w:r>
            <w:r>
              <w:rPr>
                <w:i/>
                <w:sz w:val="24"/>
              </w:rPr>
              <w:t>RERT </w:t>
            </w:r>
            <w:r>
              <w:rPr>
                <w:sz w:val="24"/>
              </w:rPr>
              <w:t>process for medium-notice situations, </w:t>
            </w:r>
            <w:r>
              <w:rPr>
                <w:i/>
                <w:sz w:val="24"/>
              </w:rPr>
              <w:t>AEMO </w:t>
            </w:r>
            <w:r>
              <w:rPr>
                <w:sz w:val="24"/>
              </w:rPr>
              <w:t>may take into account the information identified in paragraph (a) above;</w:t>
            </w:r>
          </w:p>
          <w:p>
            <w:pPr>
              <w:pStyle w:val="TableParagraph"/>
              <w:numPr>
                <w:ilvl w:val="0"/>
                <w:numId w:val="856"/>
              </w:numPr>
              <w:tabs>
                <w:tab w:pos="1173" w:val="left" w:leader="none"/>
                <w:tab w:pos="1174" w:val="left" w:leader="none"/>
              </w:tabs>
              <w:spacing w:line="240" w:lineRule="auto" w:before="120" w:after="0"/>
              <w:ind w:left="1174" w:right="267" w:hanging="567"/>
              <w:jc w:val="left"/>
              <w:rPr>
                <w:sz w:val="24"/>
              </w:rPr>
            </w:pPr>
            <w:r>
              <w:rPr>
                <w:sz w:val="24"/>
              </w:rPr>
              <w:t>Short-notice situations where </w:t>
            </w:r>
            <w:r>
              <w:rPr>
                <w:i/>
                <w:sz w:val="24"/>
              </w:rPr>
              <w:t>AEMO </w:t>
            </w:r>
            <w:r>
              <w:rPr>
                <w:sz w:val="24"/>
              </w:rPr>
              <w:t>has between three hours and seven days of notice of a projected shortfall in</w:t>
            </w:r>
            <w:r>
              <w:rPr>
                <w:spacing w:val="-17"/>
                <w:sz w:val="24"/>
              </w:rPr>
              <w:t> </w:t>
            </w:r>
            <w:r>
              <w:rPr>
                <w:i/>
                <w:sz w:val="24"/>
              </w:rPr>
              <w:t>reserves</w:t>
            </w:r>
            <w:r>
              <w:rPr>
                <w:sz w:val="24"/>
              </w:rPr>
              <w:t>.</w:t>
            </w:r>
          </w:p>
          <w:p>
            <w:pPr>
              <w:pStyle w:val="TableParagraph"/>
              <w:ind w:left="1174" w:right="148"/>
              <w:rPr>
                <w:sz w:val="24"/>
              </w:rPr>
            </w:pPr>
            <w:r>
              <w:rPr>
                <w:sz w:val="24"/>
              </w:rPr>
              <w:t>When it is considering whether to enter into </w:t>
            </w:r>
            <w:r>
              <w:rPr>
                <w:i/>
                <w:sz w:val="24"/>
              </w:rPr>
              <w:t>reserve contracts </w:t>
            </w:r>
            <w:r>
              <w:rPr>
                <w:sz w:val="24"/>
              </w:rPr>
              <w:t>during Stage 1 of the </w:t>
            </w:r>
            <w:r>
              <w:rPr>
                <w:i/>
                <w:sz w:val="24"/>
              </w:rPr>
              <w:t>RERT </w:t>
            </w:r>
            <w:r>
              <w:rPr>
                <w:sz w:val="24"/>
              </w:rPr>
              <w:t>process for short-notice situations, </w:t>
            </w:r>
            <w:r>
              <w:rPr>
                <w:i/>
                <w:sz w:val="24"/>
              </w:rPr>
              <w:t>AEMO </w:t>
            </w:r>
            <w:r>
              <w:rPr>
                <w:sz w:val="24"/>
              </w:rPr>
              <w:t>may take into account:</w:t>
            </w:r>
          </w:p>
          <w:p>
            <w:pPr>
              <w:pStyle w:val="TableParagraph"/>
              <w:numPr>
                <w:ilvl w:val="1"/>
                <w:numId w:val="856"/>
              </w:numPr>
              <w:tabs>
                <w:tab w:pos="1741" w:val="left" w:leader="none"/>
                <w:tab w:pos="1742" w:val="left" w:leader="none"/>
              </w:tabs>
              <w:spacing w:line="240" w:lineRule="auto" w:before="120" w:after="0"/>
              <w:ind w:left="1741" w:right="0" w:hanging="568"/>
              <w:jc w:val="left"/>
              <w:rPr>
                <w:sz w:val="24"/>
              </w:rPr>
            </w:pPr>
            <w:r>
              <w:rPr>
                <w:sz w:val="24"/>
              </w:rPr>
              <w:t>the details of the outcome of the </w:t>
            </w:r>
            <w:r>
              <w:rPr>
                <w:i/>
                <w:sz w:val="24"/>
              </w:rPr>
              <w:t>short term PASA</w:t>
            </w:r>
            <w:r>
              <w:rPr>
                <w:i/>
                <w:spacing w:val="-6"/>
                <w:sz w:val="24"/>
              </w:rPr>
              <w:t> </w:t>
            </w:r>
            <w:r>
              <w:rPr>
                <w:sz w:val="24"/>
              </w:rPr>
              <w:t>and</w:t>
            </w:r>
          </w:p>
          <w:p>
            <w:pPr>
              <w:pStyle w:val="TableParagraph"/>
              <w:spacing w:before="0"/>
              <w:ind w:left="1741"/>
              <w:rPr>
                <w:sz w:val="24"/>
              </w:rPr>
            </w:pPr>
            <w:r>
              <w:rPr>
                <w:i/>
                <w:sz w:val="24"/>
              </w:rPr>
              <w:t>pre-dispatch </w:t>
            </w:r>
            <w:r>
              <w:rPr>
                <w:sz w:val="24"/>
              </w:rPr>
              <w:t>processes; and</w:t>
            </w:r>
          </w:p>
          <w:p>
            <w:pPr>
              <w:pStyle w:val="TableParagraph"/>
              <w:numPr>
                <w:ilvl w:val="1"/>
                <w:numId w:val="856"/>
              </w:numPr>
              <w:tabs>
                <w:tab w:pos="1741" w:val="left" w:leader="none"/>
                <w:tab w:pos="1742" w:val="left" w:leader="none"/>
              </w:tabs>
              <w:spacing w:line="240" w:lineRule="auto" w:before="120" w:after="0"/>
              <w:ind w:left="1741" w:right="0" w:hanging="568"/>
              <w:jc w:val="left"/>
              <w:rPr>
                <w:sz w:val="24"/>
              </w:rPr>
            </w:pPr>
            <w:r>
              <w:rPr>
                <w:sz w:val="24"/>
              </w:rPr>
              <w:t>any other information that </w:t>
            </w:r>
            <w:r>
              <w:rPr>
                <w:i/>
                <w:sz w:val="24"/>
              </w:rPr>
              <w:t>AEMO </w:t>
            </w:r>
            <w:r>
              <w:rPr>
                <w:sz w:val="24"/>
              </w:rPr>
              <w:t>considers</w:t>
            </w:r>
            <w:r>
              <w:rPr>
                <w:spacing w:val="-2"/>
                <w:sz w:val="24"/>
              </w:rPr>
              <w:t> </w:t>
            </w:r>
            <w:r>
              <w:rPr>
                <w:sz w:val="24"/>
              </w:rPr>
              <w:t>relevant.</w:t>
            </w:r>
          </w:p>
        </w:tc>
      </w:tr>
    </w:tbl>
    <w:p>
      <w:pPr>
        <w:spacing w:after="0" w:line="240" w:lineRule="auto"/>
        <w:jc w:val="lef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70"/>
      </w:tblGrid>
      <w:tr>
        <w:trPr>
          <w:trHeight w:val="395" w:hRule="atLeast"/>
        </w:trPr>
        <w:tc>
          <w:tcPr>
            <w:tcW w:w="737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 of amendments to Guidelines</w:t>
            </w:r>
          </w:p>
        </w:tc>
      </w:tr>
      <w:tr>
        <w:trPr>
          <w:trHeight w:val="5051" w:hRule="atLeast"/>
        </w:trPr>
        <w:tc>
          <w:tcPr>
            <w:tcW w:w="7370" w:type="dxa"/>
            <w:tcBorders>
              <w:top w:val="single" w:sz="4" w:space="0" w:color="000000"/>
              <w:bottom w:val="single" w:sz="4" w:space="0" w:color="000000"/>
              <w:right w:val="single" w:sz="4" w:space="0" w:color="000000"/>
            </w:tcBorders>
          </w:tcPr>
          <w:p>
            <w:pPr>
              <w:pStyle w:val="TableParagraph"/>
              <w:ind w:left="40" w:right="245"/>
              <w:rPr>
                <w:sz w:val="24"/>
              </w:rPr>
            </w:pPr>
            <w:r>
              <w:rPr>
                <w:sz w:val="24"/>
              </w:rPr>
              <w:t>In section 5.2 of the Guidelines, omit the paragraph starting "Under some circumstances" and substitute:</w:t>
            </w:r>
          </w:p>
          <w:p>
            <w:pPr>
              <w:pStyle w:val="TableParagraph"/>
              <w:ind w:left="40" w:right="33"/>
              <w:rPr>
                <w:sz w:val="24"/>
              </w:rPr>
            </w:pPr>
            <w:r>
              <w:rPr>
                <w:sz w:val="24"/>
              </w:rPr>
              <w:t>Under some circumstances </w:t>
            </w:r>
            <w:r>
              <w:rPr>
                <w:i/>
                <w:sz w:val="24"/>
              </w:rPr>
              <w:t>AEMO </w:t>
            </w:r>
            <w:r>
              <w:rPr>
                <w:sz w:val="24"/>
              </w:rPr>
              <w:t>will be required to </w:t>
            </w:r>
            <w:r>
              <w:rPr>
                <w:i/>
                <w:sz w:val="24"/>
              </w:rPr>
              <w:t>dispatch </w:t>
            </w:r>
            <w:r>
              <w:rPr>
                <w:sz w:val="24"/>
              </w:rPr>
              <w:t>or </w:t>
            </w:r>
            <w:r>
              <w:rPr>
                <w:i/>
                <w:sz w:val="24"/>
              </w:rPr>
              <w:t>activate </w:t>
            </w:r>
            <w:r>
              <w:rPr>
                <w:i/>
                <w:sz w:val="24"/>
              </w:rPr>
              <w:t>reserves </w:t>
            </w:r>
            <w:r>
              <w:rPr>
                <w:sz w:val="24"/>
              </w:rPr>
              <w:t>that are contracted under the long-notice or medium-notice situations as well as contracting for additional </w:t>
            </w:r>
            <w:r>
              <w:rPr>
                <w:i/>
                <w:sz w:val="24"/>
              </w:rPr>
              <w:t>reserves </w:t>
            </w:r>
            <w:r>
              <w:rPr>
                <w:sz w:val="24"/>
              </w:rPr>
              <w:t>under the short- notice situations. Under these circumstances, </w:t>
            </w:r>
            <w:r>
              <w:rPr>
                <w:i/>
                <w:sz w:val="24"/>
              </w:rPr>
              <w:t>AEMO </w:t>
            </w:r>
            <w:r>
              <w:rPr>
                <w:sz w:val="24"/>
              </w:rPr>
              <w:t>should aim to maximise the effectiveness of </w:t>
            </w:r>
            <w:r>
              <w:rPr>
                <w:i/>
                <w:sz w:val="24"/>
              </w:rPr>
              <w:t>reserve contracts </w:t>
            </w:r>
            <w:r>
              <w:rPr>
                <w:sz w:val="24"/>
              </w:rPr>
              <w:t>at the least cost to end use consumers of electricity by selecting the least cost combination of </w:t>
            </w:r>
            <w:r>
              <w:rPr>
                <w:i/>
                <w:sz w:val="24"/>
              </w:rPr>
              <w:t>reserves </w:t>
            </w:r>
            <w:r>
              <w:rPr>
                <w:sz w:val="24"/>
              </w:rPr>
              <w:t>contracted under the long, medium and short-notice situations. However, where </w:t>
            </w:r>
            <w:r>
              <w:rPr>
                <w:i/>
                <w:sz w:val="24"/>
              </w:rPr>
              <w:t>AEMO </w:t>
            </w:r>
            <w:r>
              <w:rPr>
                <w:sz w:val="24"/>
              </w:rPr>
              <w:t>has only a few hours' notice of a </w:t>
            </w:r>
            <w:r>
              <w:rPr>
                <w:i/>
                <w:sz w:val="24"/>
              </w:rPr>
              <w:t>reserve </w:t>
            </w:r>
            <w:r>
              <w:rPr>
                <w:sz w:val="24"/>
              </w:rPr>
              <w:t>shortfall it may</w:t>
            </w:r>
            <w:r>
              <w:rPr>
                <w:spacing w:val="-23"/>
                <w:sz w:val="24"/>
              </w:rPr>
              <w:t> </w:t>
            </w:r>
            <w:r>
              <w:rPr>
                <w:sz w:val="24"/>
              </w:rPr>
              <w:t>have insufficient time to determine the least cost combination of </w:t>
            </w:r>
            <w:r>
              <w:rPr>
                <w:i/>
                <w:sz w:val="24"/>
              </w:rPr>
              <w:t>reserves</w:t>
            </w:r>
            <w:r>
              <w:rPr>
                <w:sz w:val="24"/>
              </w:rPr>
              <w:t>. In which case </w:t>
            </w:r>
            <w:r>
              <w:rPr>
                <w:i/>
                <w:sz w:val="24"/>
              </w:rPr>
              <w:t>AEMO </w:t>
            </w:r>
            <w:r>
              <w:rPr>
                <w:sz w:val="24"/>
              </w:rPr>
              <w:t>should </w:t>
            </w:r>
            <w:r>
              <w:rPr>
                <w:i/>
                <w:sz w:val="24"/>
              </w:rPr>
              <w:t>dispatch </w:t>
            </w:r>
            <w:r>
              <w:rPr>
                <w:sz w:val="24"/>
              </w:rPr>
              <w:t>or </w:t>
            </w:r>
            <w:r>
              <w:rPr>
                <w:i/>
                <w:sz w:val="24"/>
              </w:rPr>
              <w:t>activate </w:t>
            </w:r>
            <w:r>
              <w:rPr>
                <w:sz w:val="24"/>
              </w:rPr>
              <w:t>its long-notice and medium- notice </w:t>
            </w:r>
            <w:r>
              <w:rPr>
                <w:i/>
                <w:sz w:val="24"/>
              </w:rPr>
              <w:t>reserve contracts </w:t>
            </w:r>
            <w:r>
              <w:rPr>
                <w:sz w:val="24"/>
              </w:rPr>
              <w:t>ahead of contracting for further </w:t>
            </w:r>
            <w:r>
              <w:rPr>
                <w:i/>
                <w:sz w:val="24"/>
              </w:rPr>
              <w:t>reserves </w:t>
            </w:r>
            <w:r>
              <w:rPr>
                <w:sz w:val="24"/>
              </w:rPr>
              <w:t>using the short-notice </w:t>
            </w:r>
            <w:r>
              <w:rPr>
                <w:i/>
                <w:sz w:val="24"/>
              </w:rPr>
              <w:t>RERT</w:t>
            </w:r>
            <w:r>
              <w:rPr>
                <w:sz w:val="24"/>
              </w:rPr>
              <w:t>. Nevertheless, where </w:t>
            </w:r>
            <w:r>
              <w:rPr>
                <w:i/>
                <w:sz w:val="24"/>
              </w:rPr>
              <w:t>AEMO </w:t>
            </w:r>
            <w:r>
              <w:rPr>
                <w:sz w:val="24"/>
              </w:rPr>
              <w:t>has sufficient time to perform the necessary analysis it should aim to maximise the cost effectiveness of the </w:t>
            </w:r>
            <w:r>
              <w:rPr>
                <w:i/>
                <w:sz w:val="24"/>
              </w:rPr>
              <w:t>RERT </w:t>
            </w:r>
            <w:r>
              <w:rPr>
                <w:sz w:val="24"/>
              </w:rPr>
              <w:t>by selecting the combination of </w:t>
            </w:r>
            <w:r>
              <w:rPr>
                <w:i/>
                <w:sz w:val="24"/>
              </w:rPr>
              <w:t>reserve </w:t>
            </w:r>
            <w:r>
              <w:rPr>
                <w:i/>
                <w:sz w:val="24"/>
              </w:rPr>
              <w:t>contracts </w:t>
            </w:r>
            <w:r>
              <w:rPr>
                <w:sz w:val="24"/>
              </w:rPr>
              <w:t>that has the lowest incremental</w:t>
            </w:r>
            <w:r>
              <w:rPr>
                <w:spacing w:val="-2"/>
                <w:sz w:val="24"/>
              </w:rPr>
              <w:t> </w:t>
            </w:r>
            <w:r>
              <w:rPr>
                <w:sz w:val="24"/>
              </w:rPr>
              <w:t>cost.</w:t>
            </w:r>
          </w:p>
        </w:tc>
      </w:tr>
      <w:tr>
        <w:trPr>
          <w:trHeight w:val="791" w:hRule="atLeast"/>
        </w:trPr>
        <w:tc>
          <w:tcPr>
            <w:tcW w:w="7370" w:type="dxa"/>
            <w:tcBorders>
              <w:top w:val="single" w:sz="4" w:space="0" w:color="000000"/>
              <w:bottom w:val="single" w:sz="4" w:space="0" w:color="000000"/>
              <w:right w:val="single" w:sz="4" w:space="0" w:color="000000"/>
            </w:tcBorders>
          </w:tcPr>
          <w:p>
            <w:pPr>
              <w:pStyle w:val="TableParagraph"/>
              <w:ind w:left="40" w:right="180"/>
              <w:rPr>
                <w:sz w:val="24"/>
              </w:rPr>
            </w:pPr>
            <w:r>
              <w:rPr>
                <w:sz w:val="24"/>
              </w:rPr>
              <w:t>In section 6.1 of the Guidelines, omit "sections 6.2 and 6.3" and substitute "sections 6.3 and 6.4".</w:t>
            </w:r>
          </w:p>
        </w:tc>
      </w:tr>
      <w:tr>
        <w:trPr>
          <w:trHeight w:val="791" w:hRule="atLeast"/>
        </w:trPr>
        <w:tc>
          <w:tcPr>
            <w:tcW w:w="7370" w:type="dxa"/>
            <w:tcBorders>
              <w:top w:val="single" w:sz="4" w:space="0" w:color="000000"/>
              <w:bottom w:val="single" w:sz="4" w:space="0" w:color="000000"/>
              <w:right w:val="single" w:sz="4" w:space="0" w:color="000000"/>
            </w:tcBorders>
          </w:tcPr>
          <w:p>
            <w:pPr>
              <w:pStyle w:val="TableParagraph"/>
              <w:ind w:left="40" w:right="420"/>
              <w:rPr>
                <w:sz w:val="24"/>
              </w:rPr>
            </w:pPr>
            <w:r>
              <w:rPr>
                <w:sz w:val="24"/>
              </w:rPr>
              <w:t>In section 6.1 of the Guidelines, omit "section 8.1 or 8.2" and substitute "section 8.1, 8.2 or 8.3'.</w:t>
            </w:r>
          </w:p>
        </w:tc>
      </w:tr>
      <w:tr>
        <w:trPr>
          <w:trHeight w:val="515"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Renumber sections 6.2 and 6.3 to section 6.3 and 6.4, respectively.</w:t>
            </w:r>
          </w:p>
        </w:tc>
      </w:tr>
      <w:tr>
        <w:trPr>
          <w:trHeight w:val="2687"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After section 6.1, insert:</w:t>
            </w:r>
          </w:p>
          <w:p>
            <w:pPr>
              <w:pStyle w:val="TableParagraph"/>
              <w:tabs>
                <w:tab w:pos="1540" w:val="left" w:leader="none"/>
              </w:tabs>
              <w:ind w:left="1174" w:right="167" w:hanging="567"/>
              <w:rPr>
                <w:b/>
                <w:sz w:val="24"/>
              </w:rPr>
            </w:pPr>
            <w:r>
              <w:rPr>
                <w:b/>
                <w:sz w:val="24"/>
              </w:rPr>
              <w:t>6.2</w:t>
              <w:tab/>
              <w:tab/>
              <w:t>Operation of the RERT panel for long-notice</w:t>
            </w:r>
            <w:r>
              <w:rPr>
                <w:b/>
                <w:spacing w:val="-23"/>
                <w:sz w:val="24"/>
              </w:rPr>
              <w:t> </w:t>
            </w:r>
            <w:r>
              <w:rPr>
                <w:b/>
                <w:sz w:val="24"/>
              </w:rPr>
              <w:t>situations (more than ten weeks of</w:t>
            </w:r>
            <w:r>
              <w:rPr>
                <w:b/>
                <w:spacing w:val="-3"/>
                <w:sz w:val="24"/>
              </w:rPr>
              <w:t> </w:t>
            </w:r>
            <w:r>
              <w:rPr>
                <w:b/>
                <w:sz w:val="24"/>
              </w:rPr>
              <w:t>notice)</w:t>
            </w:r>
          </w:p>
          <w:p>
            <w:pPr>
              <w:pStyle w:val="TableParagraph"/>
              <w:ind w:left="40" w:right="97"/>
              <w:rPr>
                <w:sz w:val="24"/>
              </w:rPr>
            </w:pPr>
            <w:r>
              <w:rPr>
                <w:i/>
                <w:sz w:val="24"/>
              </w:rPr>
              <w:t>AEMO </w:t>
            </w:r>
            <w:r>
              <w:rPr>
                <w:sz w:val="24"/>
              </w:rPr>
              <w:t>should not rely exclusively on the </w:t>
            </w:r>
            <w:r>
              <w:rPr>
                <w:i/>
                <w:sz w:val="24"/>
              </w:rPr>
              <w:t>RERT </w:t>
            </w:r>
            <w:r>
              <w:rPr>
                <w:sz w:val="24"/>
              </w:rPr>
              <w:t>panel when it has more than ten weeks' notice of a projected shortfall in </w:t>
            </w:r>
            <w:r>
              <w:rPr>
                <w:i/>
                <w:sz w:val="24"/>
              </w:rPr>
              <w:t>reserves</w:t>
            </w:r>
            <w:r>
              <w:rPr>
                <w:sz w:val="24"/>
              </w:rPr>
              <w:t>. Under these circumstances, </w:t>
            </w:r>
            <w:r>
              <w:rPr>
                <w:i/>
                <w:sz w:val="24"/>
              </w:rPr>
              <w:t>AEMO </w:t>
            </w:r>
            <w:r>
              <w:rPr>
                <w:sz w:val="24"/>
              </w:rPr>
              <w:t>is expected use a full tender process, which should include requesting tender responses from both members of the </w:t>
            </w:r>
            <w:r>
              <w:rPr>
                <w:i/>
                <w:sz w:val="24"/>
              </w:rPr>
              <w:t>RERT </w:t>
            </w:r>
            <w:r>
              <w:rPr>
                <w:sz w:val="24"/>
              </w:rPr>
              <w:t>panel and other potential </w:t>
            </w:r>
            <w:r>
              <w:rPr>
                <w:i/>
                <w:sz w:val="24"/>
              </w:rPr>
              <w:t>reserve </w:t>
            </w:r>
            <w:r>
              <w:rPr>
                <w:sz w:val="24"/>
              </w:rPr>
              <w:t>providers.</w:t>
            </w:r>
          </w:p>
        </w:tc>
      </w:tr>
      <w:tr>
        <w:trPr>
          <w:trHeight w:val="791"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In section 6.4, omit "sections 6.1 to 6.2" and substitute "sections 6.1 to</w:t>
            </w:r>
          </w:p>
          <w:p>
            <w:pPr>
              <w:pStyle w:val="TableParagraph"/>
              <w:spacing w:before="0"/>
              <w:ind w:left="40"/>
              <w:rPr>
                <w:sz w:val="24"/>
              </w:rPr>
            </w:pPr>
            <w:r>
              <w:rPr>
                <w:sz w:val="24"/>
              </w:rPr>
              <w:t>6.3".</w:t>
            </w:r>
          </w:p>
        </w:tc>
      </w:tr>
      <w:tr>
        <w:trPr>
          <w:trHeight w:val="1067" w:hRule="atLeast"/>
        </w:trPr>
        <w:tc>
          <w:tcPr>
            <w:tcW w:w="7370" w:type="dxa"/>
            <w:tcBorders>
              <w:top w:val="single" w:sz="4" w:space="0" w:color="000000"/>
              <w:bottom w:val="single" w:sz="4" w:space="0" w:color="000000"/>
              <w:right w:val="single" w:sz="4" w:space="0" w:color="000000"/>
            </w:tcBorders>
          </w:tcPr>
          <w:p>
            <w:pPr>
              <w:pStyle w:val="TableParagraph"/>
              <w:ind w:left="40" w:right="98"/>
              <w:rPr>
                <w:sz w:val="24"/>
              </w:rPr>
            </w:pPr>
            <w:r>
              <w:rPr>
                <w:sz w:val="24"/>
              </w:rPr>
              <w:t>In the heading of section 7.1, omit "Medium-notice situations of more than seven days of notice" and substitute "Long-notice and medium-notice situations".</w:t>
            </w:r>
          </w:p>
        </w:tc>
      </w:tr>
      <w:tr>
        <w:trPr>
          <w:trHeight w:val="515"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Renumber section 8.2 to section 8.3.</w:t>
            </w:r>
          </w:p>
        </w:tc>
      </w:tr>
      <w:tr>
        <w:trPr>
          <w:trHeight w:val="515"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Renumber section 8.1 to section 8.2.</w:t>
            </w:r>
          </w:p>
        </w:tc>
      </w:tr>
      <w:tr>
        <w:trPr>
          <w:trHeight w:val="515"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After the heading for section 8, insert:</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70"/>
      </w:tblGrid>
      <w:tr>
        <w:trPr>
          <w:trHeight w:val="395" w:hRule="atLeast"/>
        </w:trPr>
        <w:tc>
          <w:tcPr>
            <w:tcW w:w="737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 of amendments to Guidelines</w:t>
            </w:r>
          </w:p>
        </w:tc>
      </w:tr>
      <w:tr>
        <w:trPr>
          <w:trHeight w:val="12683" w:hRule="atLeast"/>
        </w:trPr>
        <w:tc>
          <w:tcPr>
            <w:tcW w:w="7370" w:type="dxa"/>
            <w:tcBorders>
              <w:top w:val="single" w:sz="4" w:space="0" w:color="000000"/>
              <w:bottom w:val="single" w:sz="4" w:space="0" w:color="000000"/>
              <w:right w:val="single" w:sz="4" w:space="0" w:color="000000"/>
            </w:tcBorders>
          </w:tcPr>
          <w:p>
            <w:pPr>
              <w:pStyle w:val="TableParagraph"/>
              <w:tabs>
                <w:tab w:pos="1540" w:val="left" w:leader="none"/>
              </w:tabs>
              <w:spacing w:before="0"/>
              <w:ind w:left="1174" w:right="419" w:hanging="567"/>
              <w:rPr>
                <w:b/>
                <w:sz w:val="24"/>
              </w:rPr>
            </w:pPr>
            <w:r>
              <w:rPr>
                <w:b/>
                <w:sz w:val="24"/>
              </w:rPr>
              <w:t>8.1</w:t>
              <w:tab/>
              <w:tab/>
              <w:t>Process for contracting for reserve contracts in </w:t>
            </w:r>
            <w:r>
              <w:rPr>
                <w:b/>
                <w:spacing w:val="-3"/>
                <w:sz w:val="24"/>
              </w:rPr>
              <w:t>long- </w:t>
            </w:r>
            <w:r>
              <w:rPr>
                <w:b/>
                <w:sz w:val="24"/>
              </w:rPr>
              <w:t>notice situations (more than ten weeks of</w:t>
            </w:r>
            <w:r>
              <w:rPr>
                <w:b/>
                <w:spacing w:val="-12"/>
                <w:sz w:val="24"/>
              </w:rPr>
              <w:t> </w:t>
            </w:r>
            <w:r>
              <w:rPr>
                <w:b/>
                <w:sz w:val="24"/>
              </w:rPr>
              <w:t>notice)</w:t>
            </w:r>
          </w:p>
          <w:p>
            <w:pPr>
              <w:pStyle w:val="TableParagraph"/>
              <w:ind w:left="40" w:right="171"/>
              <w:rPr>
                <w:sz w:val="24"/>
              </w:rPr>
            </w:pPr>
            <w:r>
              <w:rPr>
                <w:sz w:val="24"/>
              </w:rPr>
              <w:t>The relevant actions that </w:t>
            </w:r>
            <w:r>
              <w:rPr>
                <w:i/>
                <w:sz w:val="24"/>
              </w:rPr>
              <w:t>AEMO </w:t>
            </w:r>
            <w:r>
              <w:rPr>
                <w:sz w:val="24"/>
              </w:rPr>
              <w:t>may take in relation to the exercise of the </w:t>
            </w:r>
            <w:r>
              <w:rPr>
                <w:i/>
                <w:sz w:val="24"/>
              </w:rPr>
              <w:t>RERT </w:t>
            </w:r>
            <w:r>
              <w:rPr>
                <w:sz w:val="24"/>
              </w:rPr>
              <w:t>with more than ten weeks of notice of a projected shortfall in </w:t>
            </w:r>
            <w:r>
              <w:rPr>
                <w:i/>
                <w:sz w:val="24"/>
              </w:rPr>
              <w:t>reserves </w:t>
            </w:r>
            <w:r>
              <w:rPr>
                <w:sz w:val="24"/>
              </w:rPr>
              <w:t>include:</w:t>
            </w:r>
          </w:p>
          <w:p>
            <w:pPr>
              <w:pStyle w:val="TableParagraph"/>
              <w:numPr>
                <w:ilvl w:val="0"/>
                <w:numId w:val="857"/>
              </w:numPr>
              <w:tabs>
                <w:tab w:pos="1174" w:val="left" w:leader="none"/>
                <w:tab w:pos="1175" w:val="left" w:leader="none"/>
              </w:tabs>
              <w:spacing w:line="240" w:lineRule="auto" w:before="120" w:after="0"/>
              <w:ind w:left="1174" w:right="126" w:hanging="567"/>
              <w:jc w:val="left"/>
              <w:rPr>
                <w:sz w:val="24"/>
              </w:rPr>
            </w:pPr>
            <w:r>
              <w:rPr>
                <w:sz w:val="24"/>
              </w:rPr>
              <w:t>establishing arrangements for contracting reserves in situations where there is more than ten weeks of notice of a projected shortfall in</w:t>
            </w:r>
            <w:r>
              <w:rPr>
                <w:spacing w:val="-2"/>
                <w:sz w:val="24"/>
              </w:rPr>
              <w:t> </w:t>
            </w:r>
            <w:r>
              <w:rPr>
                <w:sz w:val="24"/>
              </w:rPr>
              <w:t>reserves;</w:t>
            </w:r>
          </w:p>
          <w:p>
            <w:pPr>
              <w:pStyle w:val="TableParagraph"/>
              <w:numPr>
                <w:ilvl w:val="0"/>
                <w:numId w:val="857"/>
              </w:numPr>
              <w:tabs>
                <w:tab w:pos="1174" w:val="left" w:leader="none"/>
                <w:tab w:pos="1175" w:val="left" w:leader="none"/>
              </w:tabs>
              <w:spacing w:line="240" w:lineRule="auto" w:before="120" w:after="0"/>
              <w:ind w:left="1174" w:right="213" w:hanging="567"/>
              <w:jc w:val="left"/>
              <w:rPr>
                <w:sz w:val="24"/>
              </w:rPr>
            </w:pPr>
            <w:r>
              <w:rPr>
                <w:sz w:val="24"/>
              </w:rPr>
              <w:t>continually monitoring the </w:t>
            </w:r>
            <w:r>
              <w:rPr>
                <w:i/>
                <w:sz w:val="24"/>
              </w:rPr>
              <w:t>medium term PASA </w:t>
            </w:r>
            <w:r>
              <w:rPr>
                <w:sz w:val="24"/>
              </w:rPr>
              <w:t>and the </w:t>
            </w:r>
            <w:r>
              <w:rPr>
                <w:i/>
                <w:spacing w:val="-3"/>
                <w:sz w:val="24"/>
              </w:rPr>
              <w:t>EAAP</w:t>
            </w:r>
            <w:r>
              <w:rPr>
                <w:spacing w:val="-3"/>
                <w:sz w:val="24"/>
              </w:rPr>
              <w:t>, </w:t>
            </w:r>
            <w:r>
              <w:rPr>
                <w:sz w:val="24"/>
              </w:rPr>
              <w:t>and any other information </w:t>
            </w:r>
            <w:r>
              <w:rPr>
                <w:i/>
                <w:sz w:val="24"/>
              </w:rPr>
              <w:t>AEMO </w:t>
            </w:r>
            <w:r>
              <w:rPr>
                <w:sz w:val="24"/>
              </w:rPr>
              <w:t>considers is relevant, to inform itself of any periods of </w:t>
            </w:r>
            <w:r>
              <w:rPr>
                <w:i/>
                <w:sz w:val="24"/>
              </w:rPr>
              <w:t>low</w:t>
            </w:r>
            <w:r>
              <w:rPr>
                <w:i/>
                <w:spacing w:val="-2"/>
                <w:sz w:val="24"/>
              </w:rPr>
              <w:t> </w:t>
            </w:r>
            <w:r>
              <w:rPr>
                <w:i/>
                <w:sz w:val="24"/>
              </w:rPr>
              <w:t>reserves</w:t>
            </w:r>
            <w:r>
              <w:rPr>
                <w:sz w:val="24"/>
              </w:rPr>
              <w:t>;</w:t>
            </w:r>
          </w:p>
          <w:p>
            <w:pPr>
              <w:pStyle w:val="TableParagraph"/>
              <w:numPr>
                <w:ilvl w:val="0"/>
                <w:numId w:val="857"/>
              </w:numPr>
              <w:tabs>
                <w:tab w:pos="1174" w:val="left" w:leader="none"/>
                <w:tab w:pos="1175" w:val="left" w:leader="none"/>
              </w:tabs>
              <w:spacing w:line="240" w:lineRule="auto" w:before="120" w:after="0"/>
              <w:ind w:left="1174" w:right="0" w:hanging="568"/>
              <w:jc w:val="left"/>
              <w:rPr>
                <w:sz w:val="24"/>
              </w:rPr>
            </w:pPr>
            <w:r>
              <w:rPr>
                <w:sz w:val="24"/>
              </w:rPr>
              <w:t>determining whether to enter into </w:t>
            </w:r>
            <w:r>
              <w:rPr>
                <w:i/>
                <w:sz w:val="24"/>
              </w:rPr>
              <w:t>reserve</w:t>
            </w:r>
            <w:r>
              <w:rPr>
                <w:i/>
                <w:spacing w:val="-4"/>
                <w:sz w:val="24"/>
              </w:rPr>
              <w:t> </w:t>
            </w:r>
            <w:r>
              <w:rPr>
                <w:i/>
                <w:sz w:val="24"/>
              </w:rPr>
              <w:t>contracts</w:t>
            </w:r>
            <w:r>
              <w:rPr>
                <w:sz w:val="24"/>
              </w:rPr>
              <w:t>;</w:t>
            </w:r>
          </w:p>
          <w:p>
            <w:pPr>
              <w:pStyle w:val="TableParagraph"/>
              <w:numPr>
                <w:ilvl w:val="0"/>
                <w:numId w:val="857"/>
              </w:numPr>
              <w:tabs>
                <w:tab w:pos="1174" w:val="left" w:leader="none"/>
                <w:tab w:pos="1175" w:val="left" w:leader="none"/>
              </w:tabs>
              <w:spacing w:line="240" w:lineRule="auto" w:before="120" w:after="0"/>
              <w:ind w:left="1174" w:right="26" w:hanging="567"/>
              <w:jc w:val="left"/>
              <w:rPr>
                <w:sz w:val="24"/>
              </w:rPr>
            </w:pPr>
            <w:r>
              <w:rPr>
                <w:sz w:val="24"/>
              </w:rPr>
              <w:t>consulting with persons nominated by the relevant </w:t>
            </w:r>
            <w:r>
              <w:rPr>
                <w:i/>
                <w:sz w:val="24"/>
              </w:rPr>
              <w:t>participating </w:t>
            </w:r>
            <w:r>
              <w:rPr>
                <w:i/>
                <w:sz w:val="24"/>
              </w:rPr>
              <w:t>jurisdictions </w:t>
            </w:r>
            <w:r>
              <w:rPr>
                <w:sz w:val="24"/>
              </w:rPr>
              <w:t>which </w:t>
            </w:r>
            <w:r>
              <w:rPr>
                <w:i/>
                <w:sz w:val="24"/>
              </w:rPr>
              <w:t>AEMO </w:t>
            </w:r>
            <w:r>
              <w:rPr>
                <w:sz w:val="24"/>
              </w:rPr>
              <w:t>is determining whether to contract for </w:t>
            </w:r>
            <w:r>
              <w:rPr>
                <w:i/>
                <w:sz w:val="24"/>
              </w:rPr>
              <w:t>reserves </w:t>
            </w:r>
            <w:r>
              <w:rPr>
                <w:sz w:val="24"/>
              </w:rPr>
              <w:t>in those </w:t>
            </w:r>
            <w:r>
              <w:rPr>
                <w:i/>
                <w:sz w:val="24"/>
              </w:rPr>
              <w:t>participating</w:t>
            </w:r>
            <w:r>
              <w:rPr>
                <w:i/>
                <w:spacing w:val="-3"/>
                <w:sz w:val="24"/>
              </w:rPr>
              <w:t> </w:t>
            </w:r>
            <w:r>
              <w:rPr>
                <w:i/>
                <w:sz w:val="24"/>
              </w:rPr>
              <w:t>jurisdictions</w:t>
            </w:r>
            <w:r>
              <w:rPr>
                <w:sz w:val="24"/>
              </w:rPr>
              <w:t>;</w:t>
            </w:r>
          </w:p>
          <w:p>
            <w:pPr>
              <w:pStyle w:val="TableParagraph"/>
              <w:numPr>
                <w:ilvl w:val="0"/>
                <w:numId w:val="857"/>
              </w:numPr>
              <w:tabs>
                <w:tab w:pos="1174" w:val="left" w:leader="none"/>
                <w:tab w:pos="1175" w:val="left" w:leader="none"/>
              </w:tabs>
              <w:spacing w:line="240" w:lineRule="auto" w:before="120" w:after="0"/>
              <w:ind w:left="1174" w:right="693" w:hanging="567"/>
              <w:jc w:val="left"/>
              <w:rPr>
                <w:sz w:val="24"/>
              </w:rPr>
            </w:pPr>
            <w:r>
              <w:rPr>
                <w:sz w:val="24"/>
              </w:rPr>
              <w:t>calling for tenders in relation to providing </w:t>
            </w:r>
            <w:r>
              <w:rPr>
                <w:i/>
                <w:sz w:val="24"/>
              </w:rPr>
              <w:t>reserves </w:t>
            </w:r>
            <w:r>
              <w:rPr>
                <w:sz w:val="24"/>
              </w:rPr>
              <w:t>in the respective </w:t>
            </w:r>
            <w:r>
              <w:rPr>
                <w:i/>
                <w:sz w:val="24"/>
              </w:rPr>
              <w:t>regions </w:t>
            </w:r>
            <w:r>
              <w:rPr>
                <w:sz w:val="24"/>
              </w:rPr>
              <w:t>or in some circumstances, combined </w:t>
            </w:r>
            <w:r>
              <w:rPr>
                <w:i/>
                <w:sz w:val="24"/>
              </w:rPr>
              <w:t>regions</w:t>
            </w:r>
            <w:r>
              <w:rPr>
                <w:sz w:val="24"/>
              </w:rPr>
              <w:t>;</w:t>
            </w:r>
          </w:p>
          <w:p>
            <w:pPr>
              <w:pStyle w:val="TableParagraph"/>
              <w:numPr>
                <w:ilvl w:val="0"/>
                <w:numId w:val="857"/>
              </w:numPr>
              <w:tabs>
                <w:tab w:pos="1174" w:val="left" w:leader="none"/>
                <w:tab w:pos="1175" w:val="left" w:leader="none"/>
              </w:tabs>
              <w:spacing w:line="240" w:lineRule="auto" w:before="120" w:after="0"/>
              <w:ind w:left="1174" w:right="61" w:hanging="567"/>
              <w:jc w:val="left"/>
              <w:rPr>
                <w:sz w:val="24"/>
              </w:rPr>
            </w:pPr>
            <w:r>
              <w:rPr>
                <w:sz w:val="24"/>
              </w:rPr>
              <w:t>evaluating the tenders and dispensing with any tenders that do not provide an undertaking that the </w:t>
            </w:r>
            <w:r>
              <w:rPr>
                <w:i/>
                <w:sz w:val="24"/>
              </w:rPr>
              <w:t>reserves </w:t>
            </w:r>
            <w:r>
              <w:rPr>
                <w:sz w:val="24"/>
              </w:rPr>
              <w:t>are not available to the </w:t>
            </w:r>
            <w:r>
              <w:rPr>
                <w:i/>
                <w:sz w:val="24"/>
              </w:rPr>
              <w:t>market </w:t>
            </w:r>
            <w:r>
              <w:rPr>
                <w:sz w:val="24"/>
              </w:rPr>
              <w:t>through any other arrangements except on terms agreed with </w:t>
            </w:r>
            <w:r>
              <w:rPr>
                <w:i/>
                <w:sz w:val="24"/>
              </w:rPr>
              <w:t>AEMO</w:t>
            </w:r>
            <w:r>
              <w:rPr>
                <w:sz w:val="24"/>
              </w:rPr>
              <w:t>, taking into</w:t>
            </w:r>
            <w:r>
              <w:rPr>
                <w:spacing w:val="-1"/>
                <w:sz w:val="24"/>
              </w:rPr>
              <w:t> </w:t>
            </w:r>
            <w:r>
              <w:rPr>
                <w:sz w:val="24"/>
              </w:rPr>
              <w:t>account:</w:t>
            </w:r>
          </w:p>
          <w:p>
            <w:pPr>
              <w:pStyle w:val="TableParagraph"/>
              <w:numPr>
                <w:ilvl w:val="1"/>
                <w:numId w:val="857"/>
              </w:numPr>
              <w:tabs>
                <w:tab w:pos="1740" w:val="left" w:leader="none"/>
                <w:tab w:pos="1741" w:val="left" w:leader="none"/>
              </w:tabs>
              <w:spacing w:line="240" w:lineRule="auto" w:before="120" w:after="0"/>
              <w:ind w:left="1740" w:right="0" w:hanging="567"/>
              <w:jc w:val="left"/>
              <w:rPr>
                <w:sz w:val="24"/>
              </w:rPr>
            </w:pPr>
            <w:r>
              <w:rPr>
                <w:sz w:val="24"/>
              </w:rPr>
              <w:t>whether the commercial requirements are</w:t>
            </w:r>
            <w:r>
              <w:rPr>
                <w:spacing w:val="-2"/>
                <w:sz w:val="24"/>
              </w:rPr>
              <w:t> </w:t>
            </w:r>
            <w:r>
              <w:rPr>
                <w:sz w:val="24"/>
              </w:rPr>
              <w:t>met;</w:t>
            </w:r>
          </w:p>
          <w:p>
            <w:pPr>
              <w:pStyle w:val="TableParagraph"/>
              <w:numPr>
                <w:ilvl w:val="1"/>
                <w:numId w:val="857"/>
              </w:numPr>
              <w:tabs>
                <w:tab w:pos="1740" w:val="left" w:leader="none"/>
                <w:tab w:pos="1741" w:val="left" w:leader="none"/>
              </w:tabs>
              <w:spacing w:line="240" w:lineRule="auto" w:before="120" w:after="0"/>
              <w:ind w:left="1741" w:right="159" w:hanging="567"/>
              <w:jc w:val="left"/>
              <w:rPr>
                <w:sz w:val="24"/>
              </w:rPr>
            </w:pPr>
            <w:r>
              <w:rPr>
                <w:sz w:val="24"/>
              </w:rPr>
              <w:t>whether the tender is credible, that is, whether it is likely that the tenderer can deliver the offered </w:t>
            </w:r>
            <w:r>
              <w:rPr>
                <w:i/>
                <w:sz w:val="24"/>
              </w:rPr>
              <w:t>reserves</w:t>
            </w:r>
            <w:r>
              <w:rPr>
                <w:sz w:val="24"/>
              </w:rPr>
              <w:t>;</w:t>
            </w:r>
            <w:r>
              <w:rPr>
                <w:spacing w:val="-7"/>
                <w:sz w:val="24"/>
              </w:rPr>
              <w:t> </w:t>
            </w:r>
            <w:r>
              <w:rPr>
                <w:sz w:val="24"/>
              </w:rPr>
              <w:t>and</w:t>
            </w:r>
          </w:p>
          <w:p>
            <w:pPr>
              <w:pStyle w:val="TableParagraph"/>
              <w:numPr>
                <w:ilvl w:val="1"/>
                <w:numId w:val="857"/>
              </w:numPr>
              <w:tabs>
                <w:tab w:pos="1740" w:val="left" w:leader="none"/>
                <w:tab w:pos="1741" w:val="left" w:leader="none"/>
              </w:tabs>
              <w:spacing w:line="240" w:lineRule="auto" w:before="120" w:after="0"/>
              <w:ind w:left="1740" w:right="0" w:hanging="567"/>
              <w:jc w:val="left"/>
              <w:rPr>
                <w:sz w:val="24"/>
              </w:rPr>
            </w:pPr>
            <w:r>
              <w:rPr>
                <w:sz w:val="24"/>
              </w:rPr>
              <w:t>the optimal combination of contracts to deliver</w:t>
            </w:r>
            <w:r>
              <w:rPr>
                <w:spacing w:val="-2"/>
                <w:sz w:val="24"/>
              </w:rPr>
              <w:t> </w:t>
            </w:r>
            <w:r>
              <w:rPr>
                <w:sz w:val="24"/>
              </w:rPr>
              <w:t>the</w:t>
            </w:r>
          </w:p>
          <w:p>
            <w:pPr>
              <w:pStyle w:val="TableParagraph"/>
              <w:spacing w:before="0"/>
              <w:ind w:left="1741"/>
              <w:rPr>
                <w:sz w:val="24"/>
              </w:rPr>
            </w:pPr>
            <w:r>
              <w:rPr>
                <w:i/>
                <w:sz w:val="24"/>
              </w:rPr>
              <w:t>reserves </w:t>
            </w:r>
            <w:r>
              <w:rPr>
                <w:sz w:val="24"/>
              </w:rPr>
              <w:t>necessary to meet the shortfall;</w:t>
            </w:r>
          </w:p>
          <w:p>
            <w:pPr>
              <w:pStyle w:val="TableParagraph"/>
              <w:numPr>
                <w:ilvl w:val="0"/>
                <w:numId w:val="857"/>
              </w:numPr>
              <w:tabs>
                <w:tab w:pos="1174" w:val="left" w:leader="none"/>
                <w:tab w:pos="1175" w:val="left" w:leader="none"/>
              </w:tabs>
              <w:spacing w:line="240" w:lineRule="auto" w:before="120" w:after="0"/>
              <w:ind w:left="1174" w:right="425" w:hanging="567"/>
              <w:jc w:val="left"/>
              <w:rPr>
                <w:sz w:val="24"/>
              </w:rPr>
            </w:pPr>
            <w:r>
              <w:rPr>
                <w:sz w:val="24"/>
              </w:rPr>
              <w:t>selecting the tenders that </w:t>
            </w:r>
            <w:r>
              <w:rPr>
                <w:i/>
                <w:sz w:val="24"/>
              </w:rPr>
              <w:t>AEMO </w:t>
            </w:r>
            <w:r>
              <w:rPr>
                <w:sz w:val="24"/>
              </w:rPr>
              <w:t>considers to be the optimal portfolio of </w:t>
            </w:r>
            <w:r>
              <w:rPr>
                <w:i/>
                <w:sz w:val="24"/>
              </w:rPr>
              <w:t>reserve contracts</w:t>
            </w:r>
            <w:r>
              <w:rPr>
                <w:sz w:val="24"/>
              </w:rPr>
              <w:t>;</w:t>
            </w:r>
            <w:r>
              <w:rPr>
                <w:spacing w:val="-2"/>
                <w:sz w:val="24"/>
              </w:rPr>
              <w:t> </w:t>
            </w:r>
            <w:r>
              <w:rPr>
                <w:sz w:val="24"/>
              </w:rPr>
              <w:t>and</w:t>
            </w:r>
          </w:p>
          <w:p>
            <w:pPr>
              <w:pStyle w:val="TableParagraph"/>
              <w:numPr>
                <w:ilvl w:val="0"/>
                <w:numId w:val="857"/>
              </w:numPr>
              <w:tabs>
                <w:tab w:pos="1174" w:val="left" w:leader="none"/>
                <w:tab w:pos="1175" w:val="left" w:leader="none"/>
              </w:tabs>
              <w:spacing w:line="240" w:lineRule="auto" w:before="120" w:after="0"/>
              <w:ind w:left="1174" w:right="98" w:hanging="567"/>
              <w:jc w:val="left"/>
              <w:rPr>
                <w:sz w:val="24"/>
              </w:rPr>
            </w:pPr>
            <w:r>
              <w:rPr>
                <w:sz w:val="24"/>
              </w:rPr>
              <w:t>giving consideration to including an early termination clause </w:t>
            </w:r>
            <w:r>
              <w:rPr>
                <w:spacing w:val="-6"/>
                <w:sz w:val="24"/>
              </w:rPr>
              <w:t>in </w:t>
            </w:r>
            <w:r>
              <w:rPr>
                <w:sz w:val="24"/>
              </w:rPr>
              <w:t>the event that the capacity is not</w:t>
            </w:r>
            <w:r>
              <w:rPr>
                <w:spacing w:val="-1"/>
                <w:sz w:val="24"/>
              </w:rPr>
              <w:t> </w:t>
            </w:r>
            <w:r>
              <w:rPr>
                <w:sz w:val="24"/>
              </w:rPr>
              <w:t>needed.</w:t>
            </w:r>
          </w:p>
          <w:p>
            <w:pPr>
              <w:pStyle w:val="TableParagraph"/>
              <w:ind w:left="607" w:right="249"/>
              <w:rPr>
                <w:sz w:val="24"/>
              </w:rPr>
            </w:pPr>
            <w:r>
              <w:rPr>
                <w:sz w:val="24"/>
              </w:rPr>
              <w:t>Following contracting of </w:t>
            </w:r>
            <w:r>
              <w:rPr>
                <w:i/>
                <w:sz w:val="24"/>
              </w:rPr>
              <w:t>reserves</w:t>
            </w:r>
            <w:r>
              <w:rPr>
                <w:sz w:val="24"/>
              </w:rPr>
              <w:t>, the actions that </w:t>
            </w:r>
            <w:r>
              <w:rPr>
                <w:i/>
                <w:sz w:val="24"/>
              </w:rPr>
              <w:t>AEMO </w:t>
            </w:r>
            <w:r>
              <w:rPr>
                <w:sz w:val="24"/>
              </w:rPr>
              <w:t>may take includes:</w:t>
            </w:r>
          </w:p>
          <w:p>
            <w:pPr>
              <w:pStyle w:val="TableParagraph"/>
              <w:numPr>
                <w:ilvl w:val="0"/>
                <w:numId w:val="857"/>
              </w:numPr>
              <w:tabs>
                <w:tab w:pos="1175" w:val="left" w:leader="none"/>
              </w:tabs>
              <w:spacing w:line="240" w:lineRule="auto" w:before="120" w:after="0"/>
              <w:ind w:left="1174" w:right="142" w:hanging="567"/>
              <w:jc w:val="both"/>
              <w:rPr>
                <w:sz w:val="24"/>
              </w:rPr>
            </w:pPr>
            <w:r>
              <w:rPr>
                <w:sz w:val="24"/>
              </w:rPr>
              <w:t>monitoring the </w:t>
            </w:r>
            <w:r>
              <w:rPr>
                <w:i/>
                <w:sz w:val="24"/>
              </w:rPr>
              <w:t>medium term PASA </w:t>
            </w:r>
            <w:r>
              <w:rPr>
                <w:sz w:val="24"/>
              </w:rPr>
              <w:t>and the </w:t>
            </w:r>
            <w:r>
              <w:rPr>
                <w:i/>
                <w:sz w:val="24"/>
              </w:rPr>
              <w:t>EAAP </w:t>
            </w:r>
            <w:r>
              <w:rPr>
                <w:sz w:val="24"/>
              </w:rPr>
              <w:t>to determine if there have been any changes since the tenders were prepared and evaluated;</w:t>
            </w:r>
            <w:r>
              <w:rPr>
                <w:spacing w:val="-1"/>
                <w:sz w:val="24"/>
              </w:rPr>
              <w:t> </w:t>
            </w:r>
            <w:r>
              <w:rPr>
                <w:sz w:val="24"/>
              </w:rPr>
              <w:t>and</w:t>
            </w:r>
          </w:p>
          <w:p>
            <w:pPr>
              <w:pStyle w:val="TableParagraph"/>
              <w:numPr>
                <w:ilvl w:val="0"/>
                <w:numId w:val="857"/>
              </w:numPr>
              <w:tabs>
                <w:tab w:pos="1175" w:val="left" w:leader="none"/>
              </w:tabs>
              <w:spacing w:line="240" w:lineRule="auto" w:before="120" w:after="0"/>
              <w:ind w:left="1174" w:right="446" w:hanging="567"/>
              <w:jc w:val="both"/>
              <w:rPr>
                <w:sz w:val="24"/>
              </w:rPr>
            </w:pPr>
            <w:r>
              <w:rPr>
                <w:sz w:val="24"/>
              </w:rPr>
              <w:t>within one month after entering into a contract for </w:t>
            </w:r>
            <w:r>
              <w:rPr>
                <w:i/>
                <w:sz w:val="24"/>
              </w:rPr>
              <w:t>reserves</w:t>
            </w:r>
            <w:r>
              <w:rPr>
                <w:sz w:val="24"/>
              </w:rPr>
              <w:t>, publish the name of the counterparty to the contract and the volume and timing of </w:t>
            </w:r>
            <w:r>
              <w:rPr>
                <w:i/>
                <w:sz w:val="24"/>
              </w:rPr>
              <w:t>reserves </w:t>
            </w:r>
            <w:r>
              <w:rPr>
                <w:sz w:val="24"/>
              </w:rPr>
              <w:t>procured under the</w:t>
            </w:r>
            <w:r>
              <w:rPr>
                <w:spacing w:val="-11"/>
                <w:sz w:val="24"/>
              </w:rPr>
              <w:t> </w:t>
            </w:r>
            <w:r>
              <w:rPr>
                <w:sz w:val="24"/>
              </w:rPr>
              <w:t>contract.</w:t>
            </w:r>
          </w:p>
        </w:tc>
      </w:tr>
      <w:tr>
        <w:trPr>
          <w:trHeight w:val="791" w:hRule="atLeast"/>
        </w:trPr>
        <w:tc>
          <w:tcPr>
            <w:tcW w:w="7370" w:type="dxa"/>
            <w:tcBorders>
              <w:top w:val="single" w:sz="4" w:space="0" w:color="000000"/>
              <w:bottom w:val="single" w:sz="4" w:space="0" w:color="000000"/>
              <w:right w:val="single" w:sz="4" w:space="0" w:color="000000"/>
            </w:tcBorders>
          </w:tcPr>
          <w:p>
            <w:pPr>
              <w:pStyle w:val="TableParagraph"/>
              <w:ind w:left="40" w:right="44"/>
              <w:rPr>
                <w:sz w:val="24"/>
              </w:rPr>
            </w:pPr>
            <w:r>
              <w:rPr>
                <w:sz w:val="24"/>
              </w:rPr>
              <w:t>In section 8.2, omit the dot point starting "giving consideration to including an early termination".</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70"/>
      </w:tblGrid>
      <w:tr>
        <w:trPr>
          <w:trHeight w:val="395" w:hRule="atLeast"/>
        </w:trPr>
        <w:tc>
          <w:tcPr>
            <w:tcW w:w="7370"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 of amendments to Guidelines</w:t>
            </w:r>
          </w:p>
        </w:tc>
      </w:tr>
      <w:tr>
        <w:trPr>
          <w:trHeight w:val="2135" w:hRule="atLeast"/>
        </w:trPr>
        <w:tc>
          <w:tcPr>
            <w:tcW w:w="7370" w:type="dxa"/>
            <w:tcBorders>
              <w:top w:val="single" w:sz="4" w:space="0" w:color="000000"/>
              <w:bottom w:val="single" w:sz="4" w:space="0" w:color="000000"/>
              <w:right w:val="single" w:sz="4" w:space="0" w:color="000000"/>
            </w:tcBorders>
          </w:tcPr>
          <w:p>
            <w:pPr>
              <w:pStyle w:val="TableParagraph"/>
              <w:ind w:left="40"/>
              <w:rPr>
                <w:sz w:val="24"/>
              </w:rPr>
            </w:pPr>
            <w:r>
              <w:rPr>
                <w:sz w:val="24"/>
              </w:rPr>
              <w:t>In section 8.2, omit the dot point starting "selecting the reserve offers that</w:t>
            </w:r>
          </w:p>
          <w:p>
            <w:pPr>
              <w:pStyle w:val="TableParagraph"/>
              <w:spacing w:before="0"/>
              <w:ind w:left="40"/>
              <w:rPr>
                <w:sz w:val="24"/>
              </w:rPr>
            </w:pPr>
            <w:r>
              <w:rPr>
                <w:i/>
                <w:sz w:val="24"/>
              </w:rPr>
              <w:t>AEMO</w:t>
            </w:r>
            <w:r>
              <w:rPr>
                <w:sz w:val="24"/>
              </w:rPr>
              <w:t>" and substitute:</w:t>
            </w:r>
          </w:p>
          <w:p>
            <w:pPr>
              <w:pStyle w:val="TableParagraph"/>
              <w:numPr>
                <w:ilvl w:val="0"/>
                <w:numId w:val="858"/>
              </w:numPr>
              <w:tabs>
                <w:tab w:pos="1174" w:val="left" w:leader="none"/>
                <w:tab w:pos="1175" w:val="left" w:leader="none"/>
              </w:tabs>
              <w:spacing w:line="240" w:lineRule="auto" w:before="120" w:after="0"/>
              <w:ind w:left="1174" w:right="586" w:hanging="567"/>
              <w:jc w:val="left"/>
              <w:rPr>
                <w:sz w:val="24"/>
              </w:rPr>
            </w:pPr>
            <w:r>
              <w:rPr>
                <w:sz w:val="24"/>
              </w:rPr>
              <w:t>selecting the </w:t>
            </w:r>
            <w:r>
              <w:rPr>
                <w:i/>
                <w:sz w:val="24"/>
              </w:rPr>
              <w:t>reserve </w:t>
            </w:r>
            <w:r>
              <w:rPr>
                <w:sz w:val="24"/>
              </w:rPr>
              <w:t>offers that </w:t>
            </w:r>
            <w:r>
              <w:rPr>
                <w:i/>
                <w:sz w:val="24"/>
              </w:rPr>
              <w:t>AEMO </w:t>
            </w:r>
            <w:r>
              <w:rPr>
                <w:sz w:val="24"/>
              </w:rPr>
              <w:t>considers to be the optimal portfolio of </w:t>
            </w:r>
            <w:r>
              <w:rPr>
                <w:i/>
                <w:sz w:val="24"/>
              </w:rPr>
              <w:t>reserve contracts</w:t>
            </w:r>
            <w:r>
              <w:rPr>
                <w:sz w:val="24"/>
              </w:rPr>
              <w:t>;</w:t>
            </w:r>
            <w:r>
              <w:rPr>
                <w:spacing w:val="-3"/>
                <w:sz w:val="24"/>
              </w:rPr>
              <w:t> </w:t>
            </w:r>
            <w:r>
              <w:rPr>
                <w:sz w:val="24"/>
              </w:rPr>
              <w:t>and</w:t>
            </w:r>
          </w:p>
          <w:p>
            <w:pPr>
              <w:pStyle w:val="TableParagraph"/>
              <w:numPr>
                <w:ilvl w:val="0"/>
                <w:numId w:val="858"/>
              </w:numPr>
              <w:tabs>
                <w:tab w:pos="1174" w:val="left" w:leader="none"/>
                <w:tab w:pos="1175" w:val="left" w:leader="none"/>
              </w:tabs>
              <w:spacing w:line="240" w:lineRule="auto" w:before="120" w:after="0"/>
              <w:ind w:left="1174" w:right="98" w:hanging="567"/>
              <w:jc w:val="left"/>
              <w:rPr>
                <w:sz w:val="24"/>
              </w:rPr>
            </w:pPr>
            <w:r>
              <w:rPr>
                <w:sz w:val="24"/>
              </w:rPr>
              <w:t>giving consideration to including an early termination clause </w:t>
            </w:r>
            <w:r>
              <w:rPr>
                <w:spacing w:val="-6"/>
                <w:sz w:val="24"/>
              </w:rPr>
              <w:t>in </w:t>
            </w:r>
            <w:r>
              <w:rPr>
                <w:sz w:val="24"/>
              </w:rPr>
              <w:t>the event that the capacity is not</w:t>
            </w:r>
            <w:r>
              <w:rPr>
                <w:spacing w:val="-1"/>
                <w:sz w:val="24"/>
              </w:rPr>
              <w:t> </w:t>
            </w:r>
            <w:r>
              <w:rPr>
                <w:sz w:val="24"/>
              </w:rPr>
              <w:t>needed.</w:t>
            </w:r>
          </w:p>
        </w:tc>
      </w:tr>
      <w:tr>
        <w:trPr>
          <w:trHeight w:val="1067" w:hRule="atLeast"/>
        </w:trPr>
        <w:tc>
          <w:tcPr>
            <w:tcW w:w="7370" w:type="dxa"/>
            <w:tcBorders>
              <w:top w:val="single" w:sz="4" w:space="0" w:color="000000"/>
              <w:right w:val="single" w:sz="4" w:space="0" w:color="000000"/>
            </w:tcBorders>
          </w:tcPr>
          <w:p>
            <w:pPr>
              <w:pStyle w:val="TableParagraph"/>
              <w:ind w:left="40" w:right="193"/>
              <w:rPr>
                <w:sz w:val="24"/>
              </w:rPr>
            </w:pPr>
            <w:r>
              <w:rPr>
                <w:sz w:val="24"/>
              </w:rPr>
              <w:t>In section 9, omit "under the </w:t>
            </w:r>
            <w:r>
              <w:rPr>
                <w:i/>
                <w:sz w:val="24"/>
              </w:rPr>
              <w:t>RERT </w:t>
            </w:r>
            <w:r>
              <w:rPr>
                <w:sz w:val="24"/>
              </w:rPr>
              <w:t>for medium or short-notice situations" and substitute "under the </w:t>
            </w:r>
            <w:r>
              <w:rPr>
                <w:i/>
                <w:sz w:val="24"/>
              </w:rPr>
              <w:t>RERT </w:t>
            </w:r>
            <w:r>
              <w:rPr>
                <w:sz w:val="24"/>
              </w:rPr>
              <w:t>for long, medium and short-notice situations".</w:t>
            </w:r>
          </w:p>
        </w:tc>
      </w:tr>
    </w:tbl>
    <w:p>
      <w:pPr>
        <w:pStyle w:val="BodyText"/>
        <w:spacing w:before="8"/>
        <w:ind w:firstLine="0"/>
        <w:jc w:val="left"/>
        <w:rPr>
          <w:sz w:val="26"/>
        </w:rPr>
      </w:pPr>
    </w:p>
    <w:p>
      <w:pPr>
        <w:pStyle w:val="ListParagraph"/>
        <w:numPr>
          <w:ilvl w:val="3"/>
          <w:numId w:val="850"/>
        </w:numPr>
        <w:tabs>
          <w:tab w:pos="1919" w:val="left" w:leader="none"/>
        </w:tabs>
        <w:spacing w:line="240" w:lineRule="auto" w:before="90" w:after="0"/>
        <w:ind w:left="1919" w:right="415" w:hanging="567"/>
        <w:jc w:val="both"/>
        <w:rPr>
          <w:sz w:val="24"/>
        </w:rPr>
      </w:pPr>
      <w:r>
        <w:rPr>
          <w:sz w:val="24"/>
        </w:rPr>
        <w:t>By the commencement date, the </w:t>
      </w:r>
      <w:r>
        <w:rPr>
          <w:i/>
          <w:sz w:val="24"/>
        </w:rPr>
        <w:t>Reliability Panel </w:t>
      </w:r>
      <w:r>
        <w:rPr>
          <w:sz w:val="24"/>
        </w:rPr>
        <w:t>must </w:t>
      </w:r>
      <w:r>
        <w:rPr>
          <w:i/>
          <w:sz w:val="24"/>
        </w:rPr>
        <w:t>publish </w:t>
      </w:r>
      <w:r>
        <w:rPr>
          <w:sz w:val="24"/>
        </w:rPr>
        <w:t>the </w:t>
      </w:r>
      <w:r>
        <w:rPr>
          <w:i/>
          <w:sz w:val="24"/>
        </w:rPr>
        <w:t>RERT </w:t>
      </w:r>
      <w:r>
        <w:rPr>
          <w:i/>
          <w:sz w:val="24"/>
        </w:rPr>
        <w:t>guidelines </w:t>
      </w:r>
      <w:r>
        <w:rPr>
          <w:sz w:val="24"/>
        </w:rPr>
        <w:t>in the form amended by paragraph</w:t>
      </w:r>
      <w:r>
        <w:rPr>
          <w:spacing w:val="-1"/>
          <w:sz w:val="24"/>
        </w:rPr>
        <w:t> </w:t>
      </w:r>
      <w:r>
        <w:rPr>
          <w:sz w:val="24"/>
        </w:rPr>
        <w:t>(a).</w:t>
      </w:r>
    </w:p>
    <w:p>
      <w:pPr>
        <w:pStyle w:val="ListParagraph"/>
        <w:numPr>
          <w:ilvl w:val="3"/>
          <w:numId w:val="850"/>
        </w:numPr>
        <w:tabs>
          <w:tab w:pos="1919" w:val="left" w:leader="none"/>
        </w:tabs>
        <w:spacing w:line="240" w:lineRule="auto" w:before="120" w:after="0"/>
        <w:ind w:left="1919" w:right="414" w:hanging="567"/>
        <w:jc w:val="both"/>
        <w:rPr>
          <w:i/>
          <w:sz w:val="24"/>
        </w:rPr>
      </w:pPr>
      <w:r>
        <w:rPr>
          <w:sz w:val="24"/>
        </w:rPr>
        <w:t>For the purposes of paragraph (b), the </w:t>
      </w:r>
      <w:r>
        <w:rPr>
          <w:i/>
          <w:sz w:val="24"/>
        </w:rPr>
        <w:t>Reliability Panel </w:t>
      </w:r>
      <w:r>
        <w:rPr>
          <w:sz w:val="24"/>
        </w:rPr>
        <w:t>is not required to </w:t>
      </w:r>
      <w:r>
        <w:rPr>
          <w:i/>
          <w:sz w:val="24"/>
        </w:rPr>
        <w:t>publish </w:t>
      </w:r>
      <w:r>
        <w:rPr>
          <w:sz w:val="24"/>
        </w:rPr>
        <w:t>the </w:t>
      </w:r>
      <w:r>
        <w:rPr>
          <w:i/>
          <w:sz w:val="24"/>
        </w:rPr>
        <w:t>RERT guidelines </w:t>
      </w:r>
      <w:r>
        <w:rPr>
          <w:sz w:val="24"/>
        </w:rPr>
        <w:t>in accordance with the </w:t>
      </w:r>
      <w:r>
        <w:rPr>
          <w:i/>
          <w:sz w:val="24"/>
        </w:rPr>
        <w:t>Rules consultation </w:t>
      </w:r>
      <w:r>
        <w:rPr>
          <w:i/>
          <w:sz w:val="24"/>
        </w:rPr>
        <w:t>procedures.</w:t>
      </w:r>
    </w:p>
    <w:p>
      <w:pPr>
        <w:pStyle w:val="BodyText"/>
        <w:spacing w:before="10"/>
        <w:ind w:firstLine="0"/>
        <w:jc w:val="left"/>
        <w:rPr>
          <w:i/>
          <w:sz w:val="20"/>
        </w:rPr>
      </w:pPr>
    </w:p>
    <w:p>
      <w:pPr>
        <w:pStyle w:val="Heading4"/>
        <w:numPr>
          <w:ilvl w:val="2"/>
          <w:numId w:val="850"/>
        </w:numPr>
        <w:tabs>
          <w:tab w:pos="1352" w:val="left" w:leader="none"/>
        </w:tabs>
        <w:spacing w:line="240" w:lineRule="auto" w:before="0" w:after="0"/>
        <w:ind w:left="1351" w:right="0" w:hanging="1134"/>
        <w:jc w:val="left"/>
      </w:pPr>
      <w:bookmarkStart w:name="11.107.3 Amendments to RERT procedures" w:id="3369"/>
      <w:bookmarkEnd w:id="3369"/>
      <w:r>
        <w:rPr>
          <w:b w:val="0"/>
        </w:rPr>
      </w:r>
      <w:bookmarkStart w:name="_bookmark1335" w:id="3370"/>
      <w:bookmarkEnd w:id="3370"/>
      <w:r>
        <w:rPr>
          <w:b w:val="0"/>
        </w:rPr>
      </w:r>
      <w:bookmarkStart w:name="_bookmark1335" w:id="3371"/>
      <w:bookmarkEnd w:id="3371"/>
      <w:r>
        <w:rPr/>
        <w:t>Amendment</w:t>
      </w:r>
      <w:r>
        <w:rPr/>
        <w:t>s to RERT</w:t>
      </w:r>
      <w:r>
        <w:rPr>
          <w:spacing w:val="-3"/>
        </w:rPr>
        <w:t> </w:t>
      </w:r>
      <w:r>
        <w:rPr/>
        <w:t>procedures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By the commencement date, </w:t>
      </w:r>
      <w:r>
        <w:rPr>
          <w:i/>
          <w:sz w:val="24"/>
        </w:rPr>
        <w:t>AEMO </w:t>
      </w:r>
      <w:r>
        <w:rPr>
          <w:sz w:val="24"/>
        </w:rPr>
        <w:t>must amend and </w:t>
      </w:r>
      <w:r>
        <w:rPr>
          <w:i/>
          <w:sz w:val="24"/>
        </w:rPr>
        <w:t>publish </w:t>
      </w:r>
      <w:r>
        <w:rPr>
          <w:sz w:val="24"/>
        </w:rPr>
        <w:t>the RERT procedures to take into</w:t>
      </w:r>
      <w:r>
        <w:rPr>
          <w:spacing w:val="-1"/>
          <w:sz w:val="24"/>
        </w:rPr>
        <w:t> </w:t>
      </w:r>
      <w:r>
        <w:rPr>
          <w:sz w:val="24"/>
        </w:rPr>
        <w:t>account:</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Amending rule;</w:t>
      </w:r>
      <w:r>
        <w:rPr>
          <w:spacing w:val="-3"/>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RERT guidelines </w:t>
      </w:r>
      <w:r>
        <w:rPr>
          <w:sz w:val="24"/>
        </w:rPr>
        <w:t>as amended under clause</w:t>
      </w:r>
      <w:r>
        <w:rPr>
          <w:spacing w:val="-2"/>
          <w:sz w:val="24"/>
        </w:rPr>
        <w:t> </w:t>
      </w:r>
      <w:r>
        <w:rPr>
          <w:sz w:val="24"/>
        </w:rPr>
        <w:t>11.107.2.</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In amending the RERT procedures under paragraph (a), </w:t>
      </w:r>
      <w:r>
        <w:rPr>
          <w:i/>
          <w:sz w:val="24"/>
        </w:rPr>
        <w:t>AEMO </w:t>
      </w:r>
      <w:r>
        <w:rPr>
          <w:sz w:val="24"/>
        </w:rPr>
        <w:t>must consult with </w:t>
      </w:r>
      <w:r>
        <w:rPr>
          <w:i/>
          <w:sz w:val="24"/>
        </w:rPr>
        <w:t>Registered Participants </w:t>
      </w:r>
      <w:r>
        <w:rPr>
          <w:sz w:val="24"/>
        </w:rPr>
        <w:t>and other interested parties on </w:t>
      </w:r>
      <w:r>
        <w:rPr>
          <w:i/>
          <w:sz w:val="24"/>
        </w:rPr>
        <w:t>AEMO's </w:t>
      </w:r>
      <w:r>
        <w:rPr>
          <w:sz w:val="24"/>
        </w:rPr>
        <w:t>proposed changes to the RERT procedures for a period of not less than two weeks.</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7.4 Reserve contracts entered into " w:id="3372"/>
      <w:bookmarkEnd w:id="3372"/>
      <w:r>
        <w:rPr>
          <w:b w:val="0"/>
        </w:rPr>
      </w:r>
      <w:bookmarkStart w:name="_bookmark1336" w:id="3373"/>
      <w:bookmarkEnd w:id="3373"/>
      <w:r>
        <w:rPr>
          <w:b w:val="0"/>
        </w:rPr>
      </w:r>
      <w:bookmarkStart w:name="_bookmark1336" w:id="3374"/>
      <w:bookmarkEnd w:id="3374"/>
      <w:r>
        <w:rPr/>
        <w:t>Res</w:t>
      </w:r>
      <w:r>
        <w:rPr/>
        <w:t>erve contracts entered into before the commencement</w:t>
      </w:r>
      <w:r>
        <w:rPr>
          <w:spacing w:val="-11"/>
        </w:rPr>
        <w:t> </w:t>
      </w:r>
      <w:r>
        <w:rPr/>
        <w:t>date</w:t>
      </w:r>
    </w:p>
    <w:p>
      <w:pPr>
        <w:pStyle w:val="BodyText"/>
        <w:ind w:left="1352" w:right="565" w:firstLine="0"/>
        <w:jc w:val="left"/>
      </w:pPr>
      <w:r>
        <w:rPr/>
        <w:t>Nothing in the Amending rule affects any </w:t>
      </w:r>
      <w:r>
        <w:rPr>
          <w:i/>
        </w:rPr>
        <w:t>reserve contract </w:t>
      </w:r>
      <w:r>
        <w:rPr/>
        <w:t>entered into prior to the commencement</w:t>
      </w:r>
      <w:r>
        <w:rPr>
          <w:spacing w:val="-1"/>
        </w:rPr>
        <w:t> </w:t>
      </w:r>
      <w:r>
        <w:rPr/>
        <w:t>date.</w:t>
      </w:r>
    </w:p>
    <w:p>
      <w:pPr>
        <w:pStyle w:val="BodyText"/>
        <w:spacing w:before="10"/>
        <w:ind w:firstLine="0"/>
        <w:jc w:val="left"/>
        <w:rPr>
          <w:sz w:val="20"/>
        </w:rPr>
      </w:pPr>
    </w:p>
    <w:p>
      <w:pPr>
        <w:pStyle w:val="Heading2"/>
        <w:tabs>
          <w:tab w:pos="9317" w:val="left" w:leader="none"/>
        </w:tabs>
      </w:pPr>
      <w:bookmarkStart w:name="Part ZZZJ Register of distributed energy" w:id="3375"/>
      <w:bookmarkEnd w:id="3375"/>
      <w:r>
        <w:rPr>
          <w:b w:val="0"/>
        </w:rPr>
      </w:r>
      <w:bookmarkStart w:name="_bookmark1337" w:id="3376"/>
      <w:bookmarkEnd w:id="3376"/>
      <w:r>
        <w:rPr>
          <w:b w:val="0"/>
        </w:rPr>
      </w:r>
      <w:r>
        <w:rPr>
          <w:shd w:fill="D9D9D9" w:color="auto" w:val="clear"/>
        </w:rPr>
        <w:t>Part ZZZJ  Register of distributed energy</w:t>
      </w:r>
      <w:r>
        <w:rPr>
          <w:spacing w:val="-28"/>
          <w:shd w:fill="D9D9D9" w:color="auto" w:val="clear"/>
        </w:rPr>
        <w:t> </w:t>
      </w:r>
      <w:r>
        <w:rPr>
          <w:shd w:fill="D9D9D9" w:color="auto" w:val="clear"/>
        </w:rPr>
        <w:t>resources</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08 Rules consequential on the making" w:id="3377"/>
      <w:bookmarkEnd w:id="3377"/>
      <w:r>
        <w:rPr>
          <w:b w:val="0"/>
        </w:rPr>
      </w:r>
      <w:bookmarkStart w:name="_bookmark1338" w:id="3378"/>
      <w:bookmarkEnd w:id="3378"/>
      <w:r>
        <w:rPr>
          <w:b w:val="0"/>
        </w:rPr>
      </w:r>
      <w:bookmarkStart w:name="_bookmark1338" w:id="3379"/>
      <w:bookmarkEnd w:id="3379"/>
      <w:r>
        <w:rPr/>
        <w:t>Rul</w:t>
      </w:r>
      <w:r>
        <w:rPr/>
        <w:t>es consequential on the making of the National Electricity Amendment (Register of distributed energy resources) Rule 2018</w:t>
      </w:r>
    </w:p>
    <w:p>
      <w:pPr>
        <w:pStyle w:val="Heading4"/>
        <w:numPr>
          <w:ilvl w:val="2"/>
          <w:numId w:val="850"/>
        </w:numPr>
        <w:tabs>
          <w:tab w:pos="1352" w:val="left" w:leader="none"/>
        </w:tabs>
        <w:spacing w:line="240" w:lineRule="auto" w:before="240" w:after="0"/>
        <w:ind w:left="1351" w:right="0" w:hanging="1134"/>
        <w:jc w:val="left"/>
      </w:pPr>
      <w:bookmarkStart w:name="11.108.1  Definitions" w:id="3380"/>
      <w:bookmarkEnd w:id="3380"/>
      <w:r>
        <w:rPr>
          <w:b w:val="0"/>
        </w:rPr>
      </w:r>
      <w:bookmarkStart w:name="_bookmark1339" w:id="3381"/>
      <w:bookmarkEnd w:id="3381"/>
      <w:r>
        <w:rPr>
          <w:b w:val="0"/>
        </w:rPr>
      </w:r>
      <w:bookmarkStart w:name="_bookmark1339" w:id="3382"/>
      <w:bookmarkEnd w:id="3382"/>
      <w:r>
        <w:rPr/>
        <w:t>Definition</w:t>
      </w:r>
      <w:r>
        <w:rPr/>
        <w:t>s</w:t>
      </w:r>
    </w:p>
    <w:p>
      <w:pPr>
        <w:pStyle w:val="BodyText"/>
        <w:ind w:left="1352" w:firstLine="0"/>
        <w:jc w:val="left"/>
      </w:pPr>
      <w:r>
        <w:rPr/>
        <w:t>For the purposes of this rule 11.108:</w:t>
      </w:r>
    </w:p>
    <w:p>
      <w:pPr>
        <w:spacing w:before="120"/>
        <w:ind w:left="1352" w:right="415" w:firstLine="0"/>
        <w:jc w:val="left"/>
        <w:rPr>
          <w:sz w:val="24"/>
        </w:rPr>
      </w:pPr>
      <w:r>
        <w:rPr>
          <w:b/>
          <w:sz w:val="24"/>
        </w:rPr>
        <w:t>Amending Rule </w:t>
      </w:r>
      <w:r>
        <w:rPr>
          <w:sz w:val="24"/>
        </w:rPr>
        <w:t>means the </w:t>
      </w:r>
      <w:r>
        <w:rPr>
          <w:i/>
          <w:sz w:val="24"/>
        </w:rPr>
        <w:t>National Electricity Amendment (Register of </w:t>
      </w:r>
      <w:r>
        <w:rPr>
          <w:i/>
          <w:sz w:val="24"/>
        </w:rPr>
        <w:t>distributed energy resources) Rule 2018</w:t>
      </w:r>
      <w:r>
        <w:rPr>
          <w:sz w:val="24"/>
        </w:rPr>
        <w:t>.</w:t>
      </w:r>
    </w:p>
    <w:p>
      <w:pPr>
        <w:spacing w:before="120"/>
        <w:ind w:left="1352" w:right="0" w:firstLine="0"/>
        <w:jc w:val="left"/>
        <w:rPr>
          <w:sz w:val="24"/>
        </w:rPr>
      </w:pPr>
      <w:r>
        <w:rPr>
          <w:b/>
          <w:sz w:val="24"/>
        </w:rPr>
        <w:t>commencement date </w:t>
      </w:r>
      <w:r>
        <w:rPr>
          <w:sz w:val="24"/>
        </w:rPr>
        <w:t>means 1 December 2019.</w:t>
      </w:r>
    </w:p>
    <w:p>
      <w:pPr>
        <w:spacing w:after="0"/>
        <w:jc w:val="left"/>
        <w:rPr>
          <w:sz w:val="24"/>
        </w:rPr>
        <w:sectPr>
          <w:pgSz w:w="11910" w:h="16840"/>
          <w:pgMar w:header="686" w:footer="637" w:top="1320" w:bottom="820" w:left="1200" w:right="1000"/>
        </w:sectPr>
      </w:pPr>
    </w:p>
    <w:p>
      <w:pPr>
        <w:spacing w:before="83"/>
        <w:ind w:left="1352" w:right="415" w:firstLine="0"/>
        <w:jc w:val="both"/>
        <w:rPr>
          <w:sz w:val="24"/>
        </w:rPr>
      </w:pPr>
      <w:r>
        <w:rPr>
          <w:b/>
          <w:sz w:val="24"/>
        </w:rPr>
        <w:t>New clause 3.7E </w:t>
      </w:r>
      <w:r>
        <w:rPr>
          <w:sz w:val="24"/>
        </w:rPr>
        <w:t>means clause 3.7E of the </w:t>
      </w:r>
      <w:r>
        <w:rPr>
          <w:i/>
          <w:sz w:val="24"/>
        </w:rPr>
        <w:t>Rules </w:t>
      </w:r>
      <w:r>
        <w:rPr>
          <w:sz w:val="24"/>
        </w:rPr>
        <w:t>as will be in force immediately after the commencement 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8.2 AEMO to develop and publish DER" w:id="3383"/>
      <w:bookmarkEnd w:id="3383"/>
      <w:r>
        <w:rPr>
          <w:b w:val="0"/>
        </w:rPr>
      </w:r>
      <w:bookmarkStart w:name="_bookmark1340" w:id="3384"/>
      <w:bookmarkEnd w:id="3384"/>
      <w:r>
        <w:rPr>
          <w:b w:val="0"/>
        </w:rPr>
      </w:r>
      <w:bookmarkStart w:name="_bookmark1340" w:id="3385"/>
      <w:bookmarkEnd w:id="3385"/>
      <w:r>
        <w:rPr/>
        <w:t>AEM</w:t>
      </w:r>
      <w:r>
        <w:rPr/>
        <w:t>O to develop and publish DER register information</w:t>
      </w:r>
      <w:r>
        <w:rPr>
          <w:spacing w:val="-13"/>
        </w:rPr>
        <w:t> </w:t>
      </w:r>
      <w:r>
        <w:rPr/>
        <w:t>guidelines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By 1 June 2019 </w:t>
      </w:r>
      <w:r>
        <w:rPr>
          <w:i/>
          <w:sz w:val="24"/>
        </w:rPr>
        <w:t>AEMO </w:t>
      </w:r>
      <w:r>
        <w:rPr>
          <w:sz w:val="24"/>
        </w:rPr>
        <w:t>must make and </w:t>
      </w:r>
      <w:r>
        <w:rPr>
          <w:i/>
          <w:sz w:val="24"/>
        </w:rPr>
        <w:t>publish </w:t>
      </w:r>
      <w:r>
        <w:rPr>
          <w:sz w:val="24"/>
        </w:rPr>
        <w:t>the first </w:t>
      </w:r>
      <w:r>
        <w:rPr>
          <w:i/>
          <w:sz w:val="24"/>
        </w:rPr>
        <w:t>DER register </w:t>
      </w:r>
      <w:r>
        <w:rPr>
          <w:i/>
          <w:sz w:val="24"/>
        </w:rPr>
        <w:t>information guidelines </w:t>
      </w:r>
      <w:r>
        <w:rPr>
          <w:sz w:val="24"/>
        </w:rPr>
        <w:t>under new clause 3.7E and in doing so must comply with the </w:t>
      </w:r>
      <w:r>
        <w:rPr>
          <w:i/>
          <w:sz w:val="24"/>
        </w:rPr>
        <w:t>Rules consultation</w:t>
      </w:r>
      <w:r>
        <w:rPr>
          <w:i/>
          <w:spacing w:val="-2"/>
          <w:sz w:val="24"/>
        </w:rPr>
        <w:t>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8.3 NSPs to provide AEMO with exist" w:id="3386"/>
      <w:bookmarkEnd w:id="3386"/>
      <w:r>
        <w:rPr>
          <w:b w:val="0"/>
        </w:rPr>
      </w:r>
      <w:bookmarkStart w:name="_bookmark1341" w:id="3387"/>
      <w:bookmarkEnd w:id="3387"/>
      <w:r>
        <w:rPr>
          <w:b w:val="0"/>
        </w:rPr>
      </w:r>
      <w:bookmarkStart w:name="_bookmark1341" w:id="3388"/>
      <w:bookmarkEnd w:id="3388"/>
      <w:r>
        <w:rPr/>
        <w:t>NSP</w:t>
      </w:r>
      <w:r>
        <w:rPr/>
        <w:t>s to provide AEMO with existing DER generation</w:t>
      </w:r>
      <w:r>
        <w:rPr>
          <w:spacing w:val="-12"/>
        </w:rPr>
        <w:t> </w:t>
      </w:r>
      <w:r>
        <w:rPr/>
        <w:t>information</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No later than the commencement date, </w:t>
      </w:r>
      <w:r>
        <w:rPr>
          <w:i/>
          <w:sz w:val="24"/>
        </w:rPr>
        <w:t>Network Service Providers </w:t>
      </w:r>
      <w:r>
        <w:rPr>
          <w:sz w:val="24"/>
        </w:rPr>
        <w:t>must provide </w:t>
      </w:r>
      <w:r>
        <w:rPr>
          <w:i/>
          <w:sz w:val="24"/>
        </w:rPr>
        <w:t>AEMO </w:t>
      </w:r>
      <w:r>
        <w:rPr>
          <w:sz w:val="24"/>
        </w:rPr>
        <w:t>with all information that they hold which would be </w:t>
      </w:r>
      <w:r>
        <w:rPr>
          <w:i/>
          <w:sz w:val="24"/>
        </w:rPr>
        <w:t>DER </w:t>
      </w:r>
      <w:r>
        <w:rPr>
          <w:i/>
          <w:sz w:val="24"/>
        </w:rPr>
        <w:t>generation information </w:t>
      </w:r>
      <w:r>
        <w:rPr>
          <w:sz w:val="24"/>
        </w:rPr>
        <w:t>under the Amending</w:t>
      </w:r>
      <w:r>
        <w:rPr>
          <w:spacing w:val="-1"/>
          <w:sz w:val="24"/>
        </w:rPr>
        <w:t> </w:t>
      </w:r>
      <w:r>
        <w:rPr>
          <w:sz w:val="24"/>
        </w:rPr>
        <w:t>Rule.</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DER generation information </w:t>
      </w:r>
      <w:r>
        <w:rPr>
          <w:sz w:val="24"/>
        </w:rPr>
        <w:t>provided to </w:t>
      </w:r>
      <w:r>
        <w:rPr>
          <w:i/>
          <w:sz w:val="24"/>
        </w:rPr>
        <w:t>AEMO </w:t>
      </w:r>
      <w:r>
        <w:rPr>
          <w:sz w:val="24"/>
        </w:rPr>
        <w:t>under paragraph (a) must be provided in the form and manner specified in the </w:t>
      </w:r>
      <w:r>
        <w:rPr>
          <w:i/>
          <w:sz w:val="24"/>
        </w:rPr>
        <w:t>DER register </w:t>
      </w:r>
      <w:r>
        <w:rPr>
          <w:i/>
          <w:sz w:val="24"/>
        </w:rPr>
        <w:t>information</w:t>
      </w:r>
      <w:r>
        <w:rPr>
          <w:i/>
          <w:spacing w:val="-1"/>
          <w:sz w:val="24"/>
        </w:rPr>
        <w:t> </w:t>
      </w:r>
      <w:r>
        <w:rPr>
          <w:i/>
          <w:sz w:val="24"/>
        </w:rPr>
        <w:t>guidelines</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Despite paragraph (a), a </w:t>
      </w:r>
      <w:r>
        <w:rPr>
          <w:i/>
          <w:sz w:val="24"/>
        </w:rPr>
        <w:t>Network Service Provider </w:t>
      </w:r>
      <w:r>
        <w:rPr>
          <w:sz w:val="24"/>
        </w:rPr>
        <w:t>is not required to provide to </w:t>
      </w:r>
      <w:r>
        <w:rPr>
          <w:i/>
          <w:sz w:val="24"/>
        </w:rPr>
        <w:t>AEMO DER generation information </w:t>
      </w:r>
      <w:r>
        <w:rPr>
          <w:sz w:val="24"/>
        </w:rPr>
        <w:t>under paragraph (a) where the collection, use or disclosure of that information by </w:t>
      </w:r>
      <w:r>
        <w:rPr>
          <w:i/>
          <w:sz w:val="24"/>
        </w:rPr>
        <w:t>Network Service </w:t>
      </w:r>
      <w:r>
        <w:rPr>
          <w:i/>
          <w:sz w:val="24"/>
        </w:rPr>
        <w:t>Providers </w:t>
      </w:r>
      <w:r>
        <w:rPr>
          <w:sz w:val="24"/>
        </w:rPr>
        <w:t>would breach applicable privacy</w:t>
      </w:r>
      <w:r>
        <w:rPr>
          <w:spacing w:val="-2"/>
          <w:sz w:val="24"/>
        </w:rPr>
        <w:t> </w:t>
      </w:r>
      <w:r>
        <w:rPr>
          <w:sz w:val="24"/>
        </w:rPr>
        <w:t>laws.</w:t>
      </w:r>
    </w:p>
    <w:p>
      <w:pPr>
        <w:pStyle w:val="BodyText"/>
        <w:spacing w:before="10"/>
        <w:ind w:firstLine="0"/>
        <w:jc w:val="left"/>
        <w:rPr>
          <w:sz w:val="20"/>
        </w:rPr>
      </w:pPr>
    </w:p>
    <w:p>
      <w:pPr>
        <w:pStyle w:val="Heading2"/>
        <w:tabs>
          <w:tab w:pos="9317" w:val="left" w:leader="none"/>
        </w:tabs>
      </w:pPr>
      <w:bookmarkStart w:name="Part ZZZK Generator technical performanc" w:id="3389"/>
      <w:bookmarkEnd w:id="3389"/>
      <w:r>
        <w:rPr>
          <w:b w:val="0"/>
        </w:rPr>
      </w:r>
      <w:bookmarkStart w:name="_bookmark1342" w:id="3390"/>
      <w:bookmarkEnd w:id="3390"/>
      <w:r>
        <w:rPr>
          <w:b w:val="0"/>
        </w:rPr>
      </w:r>
      <w:r>
        <w:rPr>
          <w:shd w:fill="D9D9D9" w:color="auto" w:val="clear"/>
        </w:rPr>
        <w:t>Part ZZZK Generator technical performance</w:t>
      </w:r>
      <w:r>
        <w:rPr>
          <w:spacing w:val="20"/>
          <w:shd w:fill="D9D9D9" w:color="auto" w:val="clear"/>
        </w:rPr>
        <w:t> </w:t>
      </w:r>
      <w:r>
        <w:rPr>
          <w:shd w:fill="D9D9D9" w:color="auto" w:val="clear"/>
        </w:rPr>
        <w:t>standards</w:t>
        <w:tab/>
      </w:r>
    </w:p>
    <w:p>
      <w:pPr>
        <w:pStyle w:val="Heading3"/>
        <w:numPr>
          <w:ilvl w:val="1"/>
          <w:numId w:val="850"/>
        </w:numPr>
        <w:tabs>
          <w:tab w:pos="1351" w:val="left" w:leader="none"/>
          <w:tab w:pos="1353" w:val="left" w:leader="none"/>
        </w:tabs>
        <w:spacing w:line="240" w:lineRule="auto" w:before="240" w:after="0"/>
        <w:ind w:left="1352" w:right="566" w:hanging="1134"/>
        <w:jc w:val="left"/>
      </w:pPr>
      <w:bookmarkStart w:name="11.109 Rules consequential on the making" w:id="3391"/>
      <w:bookmarkEnd w:id="3391"/>
      <w:r>
        <w:rPr>
          <w:b w:val="0"/>
        </w:rPr>
      </w:r>
      <w:bookmarkStart w:name="_bookmark1343" w:id="3392"/>
      <w:bookmarkEnd w:id="3392"/>
      <w:r>
        <w:rPr>
          <w:b w:val="0"/>
        </w:rPr>
      </w:r>
      <w:bookmarkStart w:name="_bookmark1343" w:id="3393"/>
      <w:bookmarkEnd w:id="3393"/>
      <w:r>
        <w:rPr/>
        <w:t>Rul</w:t>
      </w:r>
      <w:r>
        <w:rPr/>
        <w:t>es consequential on the making of the National Electricity Amendment (Generator technical performance standards) Rule 2018</w:t>
      </w:r>
    </w:p>
    <w:p>
      <w:pPr>
        <w:pStyle w:val="Heading4"/>
        <w:numPr>
          <w:ilvl w:val="2"/>
          <w:numId w:val="850"/>
        </w:numPr>
        <w:tabs>
          <w:tab w:pos="1352" w:val="left" w:leader="none"/>
        </w:tabs>
        <w:spacing w:line="240" w:lineRule="auto" w:before="240" w:after="0"/>
        <w:ind w:left="1351" w:right="0" w:hanging="1134"/>
        <w:jc w:val="left"/>
      </w:pPr>
      <w:bookmarkStart w:name="11.109.1 Definitions" w:id="3394"/>
      <w:bookmarkEnd w:id="3394"/>
      <w:r>
        <w:rPr>
          <w:b w:val="0"/>
        </w:rPr>
      </w:r>
      <w:bookmarkStart w:name="_bookmark1344" w:id="3395"/>
      <w:bookmarkEnd w:id="3395"/>
      <w:r>
        <w:rPr>
          <w:b w:val="0"/>
        </w:rPr>
      </w:r>
      <w:bookmarkStart w:name="_bookmark1344" w:id="3396"/>
      <w:bookmarkEnd w:id="3396"/>
      <w:r>
        <w:rPr/>
        <w:t>Definition</w:t>
      </w:r>
      <w:r>
        <w:rPr/>
        <w:t>s</w:t>
      </w:r>
    </w:p>
    <w:p>
      <w:pPr>
        <w:pStyle w:val="BodyText"/>
        <w:ind w:left="1352" w:firstLine="0"/>
      </w:pPr>
      <w:r>
        <w:rPr/>
        <w:t>For the purposes of this rule 11.109:</w:t>
      </w:r>
    </w:p>
    <w:p>
      <w:pPr>
        <w:spacing w:before="120"/>
        <w:ind w:left="1352" w:right="414" w:firstLine="0"/>
        <w:jc w:val="both"/>
        <w:rPr>
          <w:sz w:val="24"/>
        </w:rPr>
      </w:pPr>
      <w:r>
        <w:rPr>
          <w:b/>
          <w:sz w:val="24"/>
        </w:rPr>
        <w:t>Agreed Access Standard </w:t>
      </w:r>
      <w:r>
        <w:rPr>
          <w:sz w:val="24"/>
        </w:rPr>
        <w:t>means an </w:t>
      </w:r>
      <w:r>
        <w:rPr>
          <w:i/>
          <w:sz w:val="24"/>
        </w:rPr>
        <w:t>access standard </w:t>
      </w:r>
      <w:r>
        <w:rPr>
          <w:sz w:val="24"/>
        </w:rPr>
        <w:t>assessed in accordance with the former Chapter 5 that has been agreed by the </w:t>
      </w:r>
      <w:r>
        <w:rPr>
          <w:i/>
          <w:sz w:val="24"/>
        </w:rPr>
        <w:t>Network Service Provider </w:t>
      </w:r>
      <w:r>
        <w:rPr>
          <w:sz w:val="24"/>
        </w:rPr>
        <w:t>and is capable of forming part of the terms and conditions of a </w:t>
      </w:r>
      <w:r>
        <w:rPr>
          <w:i/>
          <w:sz w:val="24"/>
        </w:rPr>
        <w:t>connection agreement </w:t>
      </w:r>
      <w:r>
        <w:rPr>
          <w:sz w:val="24"/>
        </w:rPr>
        <w:t>as the </w:t>
      </w:r>
      <w:r>
        <w:rPr>
          <w:i/>
          <w:sz w:val="24"/>
        </w:rPr>
        <w:t>performance standard </w:t>
      </w:r>
      <w:r>
        <w:rPr>
          <w:sz w:val="24"/>
        </w:rPr>
        <w:t>applicable to the </w:t>
      </w:r>
      <w:r>
        <w:rPr>
          <w:i/>
          <w:sz w:val="24"/>
        </w:rPr>
        <w:t>plant </w:t>
      </w:r>
      <w:r>
        <w:rPr>
          <w:sz w:val="24"/>
        </w:rPr>
        <w:t>for the relevant technical requirement.</w:t>
      </w:r>
    </w:p>
    <w:p>
      <w:pPr>
        <w:pStyle w:val="BodyText"/>
        <w:ind w:left="1352" w:right="417" w:firstLine="0"/>
      </w:pPr>
      <w:r>
        <w:rPr>
          <w:b/>
        </w:rPr>
        <w:t>Amending Rule </w:t>
      </w:r>
      <w:r>
        <w:rPr/>
        <w:t>means the National Electricity Amendment (Generator technical performance standards) Rule 2018 No. 10.</w:t>
      </w:r>
    </w:p>
    <w:p>
      <w:pPr>
        <w:spacing w:before="120"/>
        <w:ind w:left="1352" w:right="0" w:firstLine="0"/>
        <w:jc w:val="both"/>
        <w:rPr>
          <w:sz w:val="24"/>
        </w:rPr>
      </w:pPr>
      <w:r>
        <w:rPr>
          <w:b/>
          <w:sz w:val="24"/>
        </w:rPr>
        <w:t>commencement date </w:t>
      </w:r>
      <w:r>
        <w:rPr>
          <w:sz w:val="24"/>
        </w:rPr>
        <w:t>means the date of commencement of the Amending Rule.</w:t>
      </w:r>
    </w:p>
    <w:p>
      <w:pPr>
        <w:spacing w:before="120"/>
        <w:ind w:left="1352" w:right="0" w:firstLine="0"/>
        <w:jc w:val="both"/>
        <w:rPr>
          <w:sz w:val="24"/>
        </w:rPr>
      </w:pPr>
      <w:r>
        <w:rPr>
          <w:b/>
          <w:sz w:val="24"/>
        </w:rPr>
        <w:t>Conditional Access Standard </w:t>
      </w:r>
      <w:r>
        <w:rPr>
          <w:sz w:val="24"/>
        </w:rPr>
        <w:t>has the meaning given in clause 11.109.3(e)(1)(ii).</w:t>
      </w:r>
    </w:p>
    <w:p>
      <w:pPr>
        <w:spacing w:before="120"/>
        <w:ind w:left="1352" w:right="416" w:firstLine="0"/>
        <w:jc w:val="both"/>
        <w:rPr>
          <w:sz w:val="24"/>
        </w:rPr>
      </w:pPr>
      <w:r>
        <w:rPr>
          <w:b/>
          <w:sz w:val="24"/>
        </w:rPr>
        <w:t>Existing Application To Connect </w:t>
      </w:r>
      <w:r>
        <w:rPr>
          <w:sz w:val="24"/>
        </w:rPr>
        <w:t>has the meaning given in clause 11.109.3(a)(1).</w:t>
      </w:r>
    </w:p>
    <w:p>
      <w:pPr>
        <w:spacing w:before="120"/>
        <w:ind w:left="1352" w:right="0" w:firstLine="0"/>
        <w:jc w:val="both"/>
        <w:rPr>
          <w:sz w:val="24"/>
        </w:rPr>
      </w:pPr>
      <w:r>
        <w:rPr>
          <w:b/>
          <w:sz w:val="24"/>
        </w:rPr>
        <w:t>Existing Connection Enquiry </w:t>
      </w:r>
      <w:r>
        <w:rPr>
          <w:sz w:val="24"/>
        </w:rPr>
        <w:t>has the meaning given in clause 11.109.2(a)(1).</w:t>
      </w:r>
    </w:p>
    <w:p>
      <w:pPr>
        <w:spacing w:before="120"/>
        <w:ind w:left="1352" w:right="416" w:firstLine="0"/>
        <w:jc w:val="both"/>
        <w:rPr>
          <w:sz w:val="24"/>
        </w:rPr>
      </w:pPr>
      <w:r>
        <w:rPr>
          <w:b/>
          <w:sz w:val="24"/>
        </w:rPr>
        <w:t>Existing Connection Agreement </w:t>
      </w:r>
      <w:r>
        <w:rPr>
          <w:sz w:val="24"/>
        </w:rPr>
        <w:t>means a </w:t>
      </w:r>
      <w:r>
        <w:rPr>
          <w:i/>
          <w:sz w:val="24"/>
        </w:rPr>
        <w:t>connection agreement </w:t>
      </w:r>
      <w:r>
        <w:rPr>
          <w:sz w:val="24"/>
        </w:rPr>
        <w:t>entered into before the commencement date.</w:t>
      </w:r>
    </w:p>
    <w:p>
      <w:pPr>
        <w:spacing w:before="120"/>
        <w:ind w:left="1352" w:right="416" w:firstLine="0"/>
        <w:jc w:val="both"/>
        <w:rPr>
          <w:sz w:val="24"/>
        </w:rPr>
      </w:pPr>
      <w:r>
        <w:rPr>
          <w:b/>
          <w:sz w:val="24"/>
        </w:rPr>
        <w:t>former Chapter 5 </w:t>
      </w:r>
      <w:r>
        <w:rPr>
          <w:sz w:val="24"/>
        </w:rPr>
        <w:t>means Chapter 5 of the </w:t>
      </w:r>
      <w:r>
        <w:rPr>
          <w:i/>
          <w:sz w:val="24"/>
        </w:rPr>
        <w:t>Rules </w:t>
      </w:r>
      <w:r>
        <w:rPr>
          <w:sz w:val="24"/>
        </w:rPr>
        <w:t>as in force immediately prior to the commencement date.</w:t>
      </w:r>
    </w:p>
    <w:p>
      <w:pPr>
        <w:spacing w:after="0"/>
        <w:jc w:val="both"/>
        <w:rPr>
          <w:sz w:val="24"/>
        </w:rPr>
        <w:sectPr>
          <w:pgSz w:w="11910" w:h="16840"/>
          <w:pgMar w:header="686" w:footer="637" w:top="1320" w:bottom="820" w:left="1200" w:right="1000"/>
        </w:sectPr>
      </w:pPr>
    </w:p>
    <w:p>
      <w:pPr>
        <w:pStyle w:val="BodyText"/>
        <w:spacing w:before="83"/>
        <w:ind w:left="1352" w:right="565" w:firstLine="0"/>
        <w:jc w:val="left"/>
      </w:pPr>
      <w:r>
        <w:rPr>
          <w:b/>
        </w:rPr>
        <w:t>new Chapter 5 </w:t>
      </w:r>
      <w:r>
        <w:rPr/>
        <w:t>means Chapter 5 of the </w:t>
      </w:r>
      <w:r>
        <w:rPr>
          <w:i/>
        </w:rPr>
        <w:t>Rules </w:t>
      </w:r>
      <w:r>
        <w:rPr/>
        <w:t>as it will be in force on and from the commencement date, as amended from time to</w:t>
      </w:r>
      <w:r>
        <w:rPr>
          <w:spacing w:val="-1"/>
        </w:rPr>
        <w:t> </w:t>
      </w:r>
      <w:r>
        <w:rPr/>
        <w:t>time.</w:t>
      </w:r>
    </w:p>
    <w:p>
      <w:pPr>
        <w:spacing w:before="120"/>
        <w:ind w:left="1352" w:right="0" w:firstLine="0"/>
        <w:jc w:val="left"/>
        <w:rPr>
          <w:sz w:val="24"/>
        </w:rPr>
      </w:pPr>
      <w:r>
        <w:rPr>
          <w:b/>
          <w:sz w:val="24"/>
        </w:rPr>
        <w:t>transitional date </w:t>
      </w:r>
      <w:r>
        <w:rPr>
          <w:sz w:val="24"/>
        </w:rPr>
        <w:t>means 1 February 2019.</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9.2 Application of the Amending Rul" w:id="3397"/>
      <w:bookmarkEnd w:id="3397"/>
      <w:r>
        <w:rPr>
          <w:b w:val="0"/>
        </w:rPr>
      </w:r>
      <w:bookmarkStart w:name="_bookmark1345" w:id="3398"/>
      <w:bookmarkEnd w:id="3398"/>
      <w:r>
        <w:rPr>
          <w:b w:val="0"/>
        </w:rPr>
      </w:r>
      <w:bookmarkStart w:name="_bookmark1345" w:id="3399"/>
      <w:bookmarkEnd w:id="3399"/>
      <w:r>
        <w:rPr/>
        <w:t>Applicatio</w:t>
      </w:r>
      <w:r>
        <w:rPr/>
        <w:t>n of the Amending Rule to existing connection</w:t>
      </w:r>
      <w:r>
        <w:rPr>
          <w:spacing w:val="-19"/>
        </w:rPr>
        <w:t> </w:t>
      </w:r>
      <w:r>
        <w:rPr/>
        <w:t>enquiries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This clause 11.109.2 applies where, before the commencement date, a </w:t>
      </w:r>
      <w:r>
        <w:rPr>
          <w:i/>
          <w:sz w:val="24"/>
        </w:rPr>
        <w:t>Connection Applicant </w:t>
      </w:r>
      <w:r>
        <w:rPr>
          <w:sz w:val="24"/>
        </w:rPr>
        <w:t>has, in respect of </w:t>
      </w:r>
      <w:r>
        <w:rPr>
          <w:i/>
          <w:sz w:val="24"/>
        </w:rPr>
        <w:t>plant </w:t>
      </w:r>
      <w:r>
        <w:rPr>
          <w:sz w:val="24"/>
        </w:rPr>
        <w:t>that the </w:t>
      </w:r>
      <w:r>
        <w:rPr>
          <w:i/>
          <w:sz w:val="24"/>
        </w:rPr>
        <w:t>Connection Applicant </w:t>
      </w:r>
      <w:r>
        <w:rPr>
          <w:sz w:val="24"/>
        </w:rPr>
        <w:t>proposes to</w:t>
      </w:r>
      <w:r>
        <w:rPr>
          <w:spacing w:val="-1"/>
          <w:sz w:val="24"/>
        </w:rPr>
        <w:t> </w:t>
      </w:r>
      <w:r>
        <w:rPr>
          <w:i/>
          <w:sz w:val="24"/>
        </w:rPr>
        <w:t>connect</w:t>
      </w:r>
      <w:r>
        <w:rPr>
          <w:sz w:val="24"/>
        </w:rPr>
        <w:t>:</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made a </w:t>
      </w:r>
      <w:r>
        <w:rPr>
          <w:i/>
          <w:sz w:val="24"/>
        </w:rPr>
        <w:t>connection </w:t>
      </w:r>
      <w:r>
        <w:rPr>
          <w:sz w:val="24"/>
        </w:rPr>
        <w:t>enquiry in accordance with clauses 5.3.2 or 5.3A.5 (</w:t>
      </w:r>
      <w:r>
        <w:rPr>
          <w:b/>
          <w:sz w:val="24"/>
        </w:rPr>
        <w:t>Existing Connection Enquiry</w:t>
      </w:r>
      <w:r>
        <w:rPr>
          <w:sz w:val="24"/>
        </w:rPr>
        <w:t>);</w:t>
      </w:r>
      <w:r>
        <w:rPr>
          <w:spacing w:val="-2"/>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not made an </w:t>
      </w:r>
      <w:r>
        <w:rPr>
          <w:i/>
          <w:sz w:val="24"/>
        </w:rPr>
        <w:t>application to connect </w:t>
      </w:r>
      <w:r>
        <w:rPr>
          <w:sz w:val="24"/>
        </w:rPr>
        <w:t>to a </w:t>
      </w:r>
      <w:r>
        <w:rPr>
          <w:i/>
          <w:sz w:val="24"/>
        </w:rPr>
        <w:t>Network Service</w:t>
      </w:r>
      <w:r>
        <w:rPr>
          <w:i/>
          <w:spacing w:val="-2"/>
          <w:sz w:val="24"/>
        </w:rPr>
        <w:t> </w:t>
      </w:r>
      <w:r>
        <w:rPr>
          <w:i/>
          <w:sz w:val="24"/>
        </w:rPr>
        <w:t>Provider</w:t>
      </w:r>
      <w:r>
        <w:rPr>
          <w:sz w:val="24"/>
        </w:rPr>
        <w: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On and from the commencement</w:t>
      </w:r>
      <w:r>
        <w:rPr>
          <w:spacing w:val="-2"/>
          <w:sz w:val="24"/>
        </w:rPr>
        <w:t> </w:t>
      </w:r>
      <w:r>
        <w:rPr>
          <w:sz w:val="24"/>
        </w:rPr>
        <w:t>date:</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new Chapter 5 applies for the purposes of determining the </w:t>
      </w:r>
      <w:r>
        <w:rPr>
          <w:i/>
          <w:sz w:val="24"/>
        </w:rPr>
        <w:t>access </w:t>
      </w:r>
      <w:r>
        <w:rPr>
          <w:i/>
          <w:sz w:val="24"/>
        </w:rPr>
        <w:t>standards </w:t>
      </w:r>
      <w:r>
        <w:rPr>
          <w:sz w:val="24"/>
        </w:rPr>
        <w:t>that apply to the </w:t>
      </w:r>
      <w:r>
        <w:rPr>
          <w:i/>
          <w:sz w:val="24"/>
        </w:rPr>
        <w:t>plant </w:t>
      </w:r>
      <w:r>
        <w:rPr>
          <w:sz w:val="24"/>
        </w:rPr>
        <w:t>that the </w:t>
      </w:r>
      <w:r>
        <w:rPr>
          <w:i/>
          <w:sz w:val="24"/>
        </w:rPr>
        <w:t>Connection Applicant </w:t>
      </w:r>
      <w:r>
        <w:rPr>
          <w:sz w:val="24"/>
        </w:rPr>
        <w:t>proposes to</w:t>
      </w:r>
      <w:r>
        <w:rPr>
          <w:spacing w:val="-1"/>
          <w:sz w:val="24"/>
        </w:rPr>
        <w:t> </w:t>
      </w:r>
      <w:r>
        <w:rPr>
          <w:i/>
          <w:sz w:val="24"/>
        </w:rPr>
        <w:t>connect</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Existing Connection Enquiry will be taken to be a valid  </w:t>
      </w:r>
      <w:r>
        <w:rPr>
          <w:i/>
          <w:sz w:val="24"/>
        </w:rPr>
        <w:t>connection </w:t>
      </w:r>
      <w:r>
        <w:rPr>
          <w:sz w:val="24"/>
        </w:rPr>
        <w:t>enquiry under the new Chapter 5 with respect to the proposed </w:t>
      </w:r>
      <w:r>
        <w:rPr>
          <w:i/>
          <w:sz w:val="24"/>
        </w:rPr>
        <w:t>plant</w:t>
      </w:r>
      <w:r>
        <w:rPr>
          <w:sz w:val="24"/>
        </w:rPr>
        <w:t>;</w:t>
      </w:r>
      <w:r>
        <w:rPr>
          <w:spacing w:val="-1"/>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Network Service Provider</w:t>
      </w:r>
      <w:r>
        <w:rPr>
          <w:i/>
          <w:spacing w:val="-1"/>
          <w:sz w:val="24"/>
        </w:rPr>
        <w:t> </w:t>
      </w:r>
      <w:r>
        <w:rPr>
          <w:sz w:val="24"/>
        </w:rPr>
        <w:t>must:</w:t>
      </w:r>
    </w:p>
    <w:p>
      <w:pPr>
        <w:pStyle w:val="ListParagraph"/>
        <w:numPr>
          <w:ilvl w:val="5"/>
          <w:numId w:val="850"/>
        </w:numPr>
        <w:tabs>
          <w:tab w:pos="3053" w:val="left" w:leader="none"/>
        </w:tabs>
        <w:spacing w:line="240" w:lineRule="auto" w:before="120" w:after="0"/>
        <w:ind w:left="3053" w:right="414" w:hanging="567"/>
        <w:jc w:val="both"/>
        <w:rPr>
          <w:sz w:val="24"/>
        </w:rPr>
      </w:pPr>
      <w:r>
        <w:rPr>
          <w:sz w:val="24"/>
        </w:rPr>
        <w:t>within 10 </w:t>
      </w:r>
      <w:r>
        <w:rPr>
          <w:i/>
          <w:sz w:val="24"/>
        </w:rPr>
        <w:t>business days </w:t>
      </w:r>
      <w:r>
        <w:rPr>
          <w:sz w:val="24"/>
        </w:rPr>
        <w:t>after the commencement date, use its reasonable endeavours to provide written notification to a </w:t>
      </w:r>
      <w:r>
        <w:rPr>
          <w:i/>
          <w:sz w:val="24"/>
        </w:rPr>
        <w:t>Connection Applicant </w:t>
      </w:r>
      <w:r>
        <w:rPr>
          <w:sz w:val="24"/>
        </w:rPr>
        <w:t>to which this clause 11.109.2 applies that the Existing Connection Enquiry will be treated as a </w:t>
      </w:r>
      <w:r>
        <w:rPr>
          <w:i/>
          <w:sz w:val="24"/>
        </w:rPr>
        <w:t>connection </w:t>
      </w:r>
      <w:r>
        <w:rPr>
          <w:sz w:val="24"/>
        </w:rPr>
        <w:t>enquiry under the new Chapter 5;</w:t>
      </w:r>
      <w:r>
        <w:rPr>
          <w:spacing w:val="-2"/>
          <w:sz w:val="24"/>
        </w:rPr>
        <w:t> </w:t>
      </w:r>
      <w:r>
        <w:rPr>
          <w:sz w:val="24"/>
        </w:rPr>
        <w:t>and</w:t>
      </w:r>
    </w:p>
    <w:p>
      <w:pPr>
        <w:pStyle w:val="ListParagraph"/>
        <w:numPr>
          <w:ilvl w:val="5"/>
          <w:numId w:val="850"/>
        </w:numPr>
        <w:tabs>
          <w:tab w:pos="3054" w:val="left" w:leader="none"/>
        </w:tabs>
        <w:spacing w:line="240" w:lineRule="auto" w:before="120" w:after="0"/>
        <w:ind w:left="3053" w:right="415" w:hanging="567"/>
        <w:jc w:val="both"/>
        <w:rPr>
          <w:sz w:val="24"/>
        </w:rPr>
      </w:pPr>
      <w:r>
        <w:rPr>
          <w:sz w:val="24"/>
        </w:rPr>
        <w:t>within 20 </w:t>
      </w:r>
      <w:r>
        <w:rPr>
          <w:i/>
          <w:sz w:val="24"/>
        </w:rPr>
        <w:t>business days </w:t>
      </w:r>
      <w:r>
        <w:rPr>
          <w:sz w:val="24"/>
        </w:rPr>
        <w:t>after providing the written notification in subparagraph (3)(i), in consultation with </w:t>
      </w:r>
      <w:r>
        <w:rPr>
          <w:i/>
          <w:sz w:val="24"/>
        </w:rPr>
        <w:t>AEMO </w:t>
      </w:r>
      <w:r>
        <w:rPr>
          <w:sz w:val="24"/>
        </w:rPr>
        <w:t>and where necessary, provide each </w:t>
      </w:r>
      <w:r>
        <w:rPr>
          <w:i/>
          <w:sz w:val="24"/>
        </w:rPr>
        <w:t>Connection Applicant </w:t>
      </w:r>
      <w:r>
        <w:rPr>
          <w:sz w:val="24"/>
        </w:rPr>
        <w:t>notified </w:t>
      </w:r>
      <w:r>
        <w:rPr>
          <w:spacing w:val="-3"/>
          <w:sz w:val="24"/>
        </w:rPr>
        <w:t>under </w:t>
      </w:r>
      <w:r>
        <w:rPr>
          <w:sz w:val="24"/>
        </w:rPr>
        <w:t>subparagraph (3)(i)</w:t>
      </w:r>
      <w:r>
        <w:rPr>
          <w:spacing w:val="-2"/>
          <w:sz w:val="24"/>
        </w:rPr>
        <w:t> </w:t>
      </w:r>
      <w:r>
        <w:rPr>
          <w:sz w:val="24"/>
        </w:rPr>
        <w:t>with:</w:t>
      </w:r>
    </w:p>
    <w:p>
      <w:pPr>
        <w:pStyle w:val="ListParagraph"/>
        <w:numPr>
          <w:ilvl w:val="6"/>
          <w:numId w:val="850"/>
        </w:numPr>
        <w:tabs>
          <w:tab w:pos="3620" w:val="left" w:leader="none"/>
        </w:tabs>
        <w:spacing w:line="240" w:lineRule="auto" w:before="120" w:after="0"/>
        <w:ind w:left="3620" w:right="415" w:hanging="567"/>
        <w:jc w:val="both"/>
        <w:rPr>
          <w:sz w:val="24"/>
        </w:rPr>
      </w:pPr>
      <w:r>
        <w:rPr>
          <w:sz w:val="24"/>
        </w:rPr>
        <w:t>any further information required under clause 5.3.3 of </w:t>
      </w:r>
      <w:r>
        <w:rPr>
          <w:spacing w:val="-5"/>
          <w:sz w:val="24"/>
        </w:rPr>
        <w:t>the </w:t>
      </w:r>
      <w:r>
        <w:rPr>
          <w:sz w:val="24"/>
        </w:rPr>
        <w:t>new Chapter 5 relevant to the proposed </w:t>
      </w:r>
      <w:r>
        <w:rPr>
          <w:i/>
          <w:sz w:val="24"/>
        </w:rPr>
        <w:t>plant</w:t>
      </w:r>
      <w:r>
        <w:rPr>
          <w:sz w:val="24"/>
        </w:rPr>
        <w:t>;</w:t>
      </w:r>
      <w:r>
        <w:rPr>
          <w:spacing w:val="-2"/>
          <w:sz w:val="24"/>
        </w:rPr>
        <w:t> </w:t>
      </w:r>
      <w:r>
        <w:rPr>
          <w:sz w:val="24"/>
        </w:rPr>
        <w:t>and</w:t>
      </w:r>
    </w:p>
    <w:p>
      <w:pPr>
        <w:pStyle w:val="ListParagraph"/>
        <w:numPr>
          <w:ilvl w:val="6"/>
          <w:numId w:val="850"/>
        </w:numPr>
        <w:tabs>
          <w:tab w:pos="3621" w:val="left" w:leader="none"/>
        </w:tabs>
        <w:spacing w:line="240" w:lineRule="auto" w:before="120" w:after="0"/>
        <w:ind w:left="3620" w:right="415" w:hanging="567"/>
        <w:jc w:val="both"/>
        <w:rPr>
          <w:sz w:val="24"/>
        </w:rPr>
      </w:pPr>
      <w:r>
        <w:rPr>
          <w:sz w:val="24"/>
        </w:rPr>
        <w:t>written notice of any further information or data to</w:t>
      </w:r>
      <w:r>
        <w:rPr>
          <w:spacing w:val="27"/>
          <w:sz w:val="24"/>
        </w:rPr>
        <w:t> </w:t>
      </w:r>
      <w:r>
        <w:rPr>
          <w:sz w:val="24"/>
        </w:rPr>
        <w:t>be provided by the </w:t>
      </w:r>
      <w:r>
        <w:rPr>
          <w:i/>
          <w:sz w:val="24"/>
        </w:rPr>
        <w:t>Connection Applicant </w:t>
      </w:r>
      <w:r>
        <w:rPr>
          <w:sz w:val="24"/>
        </w:rPr>
        <w:t>to the </w:t>
      </w:r>
      <w:r>
        <w:rPr>
          <w:i/>
          <w:sz w:val="24"/>
        </w:rPr>
        <w:t>Network </w:t>
      </w:r>
      <w:r>
        <w:rPr>
          <w:i/>
          <w:sz w:val="24"/>
        </w:rPr>
        <w:t>Service</w:t>
      </w:r>
      <w:r>
        <w:rPr>
          <w:i/>
          <w:spacing w:val="-1"/>
          <w:sz w:val="24"/>
        </w:rPr>
        <w:t> </w:t>
      </w:r>
      <w:r>
        <w:rPr>
          <w:i/>
          <w:sz w:val="24"/>
        </w:rPr>
        <w:t>Provider</w:t>
      </w:r>
      <w:r>
        <w:rPr>
          <w:sz w:val="24"/>
        </w:rPr>
        <w:t>,</w:t>
      </w:r>
    </w:p>
    <w:p>
      <w:pPr>
        <w:spacing w:before="120"/>
        <w:ind w:left="3053" w:right="415" w:firstLine="0"/>
        <w:jc w:val="both"/>
        <w:rPr>
          <w:sz w:val="24"/>
        </w:rPr>
      </w:pPr>
      <w:r>
        <w:rPr>
          <w:sz w:val="24"/>
        </w:rPr>
        <w:t>to enable the </w:t>
      </w:r>
      <w:r>
        <w:rPr>
          <w:i/>
          <w:sz w:val="24"/>
        </w:rPr>
        <w:t>Connection Applicant </w:t>
      </w:r>
      <w:r>
        <w:rPr>
          <w:sz w:val="24"/>
        </w:rPr>
        <w:t>to submit an </w:t>
      </w:r>
      <w:r>
        <w:rPr>
          <w:i/>
          <w:sz w:val="24"/>
        </w:rPr>
        <w:t>application to </w:t>
      </w:r>
      <w:r>
        <w:rPr>
          <w:i/>
          <w:sz w:val="24"/>
        </w:rPr>
        <w:t>connect </w:t>
      </w:r>
      <w:r>
        <w:rPr>
          <w:sz w:val="24"/>
        </w:rPr>
        <w:t>in accordance with the new Chapter 5 with respect to the proposed</w:t>
      </w:r>
      <w:r>
        <w:rPr>
          <w:spacing w:val="-1"/>
          <w:sz w:val="24"/>
        </w:rPr>
        <w:t> </w:t>
      </w:r>
      <w:r>
        <w:rPr>
          <w:i/>
          <w:sz w:val="24"/>
        </w:rPr>
        <w:t>plant</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Where the </w:t>
      </w:r>
      <w:r>
        <w:rPr>
          <w:i/>
          <w:sz w:val="24"/>
        </w:rPr>
        <w:t>Network Service Provider </w:t>
      </w:r>
      <w:r>
        <w:rPr>
          <w:sz w:val="24"/>
        </w:rPr>
        <w:t>has charged the </w:t>
      </w:r>
      <w:r>
        <w:rPr>
          <w:i/>
          <w:sz w:val="24"/>
        </w:rPr>
        <w:t>Connection Applicant </w:t>
      </w:r>
      <w:r>
        <w:rPr>
          <w:sz w:val="24"/>
        </w:rPr>
        <w:t>any fees or charges with respect to the Existing Connection Enquiry, the </w:t>
      </w:r>
      <w:r>
        <w:rPr>
          <w:i/>
          <w:sz w:val="24"/>
        </w:rPr>
        <w:t>Network Service Provider </w:t>
      </w:r>
      <w:r>
        <w:rPr>
          <w:sz w:val="24"/>
        </w:rPr>
        <w:t>must not charge the </w:t>
      </w:r>
      <w:r>
        <w:rPr>
          <w:i/>
          <w:sz w:val="24"/>
        </w:rPr>
        <w:t>Connection Applicant </w:t>
      </w:r>
      <w:r>
        <w:rPr>
          <w:sz w:val="24"/>
        </w:rPr>
        <w:t>any additional fees or charges on or from the commencement date with respect to such Existing Connection Enquiry, except to the extent necessary</w:t>
      </w:r>
      <w:r>
        <w:rPr>
          <w:spacing w:val="42"/>
          <w:sz w:val="24"/>
        </w:rPr>
        <w:t> </w:t>
      </w:r>
      <w:r>
        <w:rPr>
          <w:sz w:val="24"/>
        </w:rPr>
        <w:t>to cover the reasonable costs of work required to notify the </w:t>
      </w:r>
      <w:r>
        <w:rPr>
          <w:i/>
          <w:sz w:val="24"/>
        </w:rPr>
        <w:t>Connection </w:t>
      </w:r>
      <w:r>
        <w:rPr>
          <w:i/>
          <w:sz w:val="24"/>
        </w:rPr>
        <w:t>Applicant </w:t>
      </w:r>
      <w:r>
        <w:rPr>
          <w:sz w:val="24"/>
        </w:rPr>
        <w:t>and provide any relevant information under subparagraph (3)(ii). For</w:t>
      </w:r>
      <w:r>
        <w:rPr>
          <w:spacing w:val="51"/>
          <w:sz w:val="24"/>
        </w:rPr>
        <w:t> </w:t>
      </w:r>
      <w:r>
        <w:rPr>
          <w:sz w:val="24"/>
        </w:rPr>
        <w:t>the</w:t>
      </w:r>
      <w:r>
        <w:rPr>
          <w:spacing w:val="51"/>
          <w:sz w:val="24"/>
        </w:rPr>
        <w:t> </w:t>
      </w:r>
      <w:r>
        <w:rPr>
          <w:sz w:val="24"/>
        </w:rPr>
        <w:t>avoidance</w:t>
      </w:r>
      <w:r>
        <w:rPr>
          <w:spacing w:val="51"/>
          <w:sz w:val="24"/>
        </w:rPr>
        <w:t> </w:t>
      </w:r>
      <w:r>
        <w:rPr>
          <w:sz w:val="24"/>
        </w:rPr>
        <w:t>of</w:t>
      </w:r>
      <w:r>
        <w:rPr>
          <w:spacing w:val="51"/>
          <w:sz w:val="24"/>
        </w:rPr>
        <w:t> </w:t>
      </w:r>
      <w:r>
        <w:rPr>
          <w:sz w:val="24"/>
        </w:rPr>
        <w:t>doubt,</w:t>
      </w:r>
      <w:r>
        <w:rPr>
          <w:spacing w:val="51"/>
          <w:sz w:val="24"/>
        </w:rPr>
        <w:t> </w:t>
      </w:r>
      <w:r>
        <w:rPr>
          <w:sz w:val="24"/>
        </w:rPr>
        <w:t>this</w:t>
      </w:r>
      <w:r>
        <w:rPr>
          <w:spacing w:val="52"/>
          <w:sz w:val="24"/>
        </w:rPr>
        <w:t> </w:t>
      </w:r>
      <w:r>
        <w:rPr>
          <w:sz w:val="24"/>
        </w:rPr>
        <w:t>clause</w:t>
      </w:r>
      <w:r>
        <w:rPr>
          <w:spacing w:val="50"/>
          <w:sz w:val="24"/>
        </w:rPr>
        <w:t> </w:t>
      </w:r>
      <w:r>
        <w:rPr>
          <w:sz w:val="24"/>
        </w:rPr>
        <w:t>11.109.2(c)</w:t>
      </w:r>
      <w:r>
        <w:rPr>
          <w:spacing w:val="52"/>
          <w:sz w:val="24"/>
        </w:rPr>
        <w:t> </w:t>
      </w:r>
      <w:r>
        <w:rPr>
          <w:sz w:val="24"/>
        </w:rPr>
        <w:t>does</w:t>
      </w:r>
      <w:r>
        <w:rPr>
          <w:spacing w:val="50"/>
          <w:sz w:val="24"/>
        </w:rPr>
        <w:t> </w:t>
      </w:r>
      <w:r>
        <w:rPr>
          <w:sz w:val="24"/>
        </w:rPr>
        <w:t>not</w:t>
      </w:r>
      <w:r>
        <w:rPr>
          <w:spacing w:val="52"/>
          <w:sz w:val="24"/>
        </w:rPr>
        <w:t> </w:t>
      </w:r>
      <w:r>
        <w:rPr>
          <w:sz w:val="24"/>
        </w:rPr>
        <w:t>preclude</w:t>
      </w:r>
      <w:r>
        <w:rPr>
          <w:spacing w:val="52"/>
          <w:sz w:val="24"/>
        </w:rPr>
        <w:t> </w:t>
      </w:r>
      <w:r>
        <w:rPr>
          <w:sz w:val="24"/>
        </w:rPr>
        <w:t>a</w:t>
      </w:r>
    </w:p>
    <w:p>
      <w:pPr>
        <w:spacing w:after="0" w:line="240" w:lineRule="auto"/>
        <w:jc w:val="both"/>
        <w:rPr>
          <w:sz w:val="24"/>
        </w:rPr>
        <w:sectPr>
          <w:pgSz w:w="11910" w:h="16840"/>
          <w:pgMar w:header="686" w:footer="637" w:top="1320" w:bottom="820" w:left="1200" w:right="1000"/>
        </w:sectPr>
      </w:pPr>
    </w:p>
    <w:p>
      <w:pPr>
        <w:tabs>
          <w:tab w:pos="2935" w:val="left" w:leader="none"/>
          <w:tab w:pos="3844" w:val="left" w:leader="none"/>
          <w:tab w:pos="4901" w:val="left" w:leader="none"/>
          <w:tab w:pos="6130" w:val="left" w:leader="none"/>
          <w:tab w:pos="6560" w:val="left" w:leader="none"/>
          <w:tab w:pos="7829" w:val="left" w:leader="none"/>
          <w:tab w:pos="8326" w:val="left" w:leader="none"/>
          <w:tab w:pos="8995" w:val="left" w:leader="none"/>
        </w:tabs>
        <w:spacing w:before="83"/>
        <w:ind w:left="1919" w:right="0" w:firstLine="0"/>
        <w:jc w:val="left"/>
        <w:rPr>
          <w:sz w:val="24"/>
        </w:rPr>
      </w:pPr>
      <w:r>
        <w:rPr>
          <w:i/>
          <w:sz w:val="24"/>
        </w:rPr>
        <w:t>Network</w:t>
        <w:tab/>
        <w:t>Service</w:t>
        <w:tab/>
        <w:t>Provider</w:t>
        <w:tab/>
      </w:r>
      <w:r>
        <w:rPr>
          <w:sz w:val="24"/>
        </w:rPr>
        <w:t>recovering</w:t>
        <w:tab/>
        <w:t>an</w:t>
        <w:tab/>
        <w:t>application</w:t>
        <w:tab/>
        <w:t>fee</w:t>
        <w:tab/>
        <w:t>from</w:t>
        <w:tab/>
        <w:t>the</w:t>
      </w:r>
    </w:p>
    <w:p>
      <w:pPr>
        <w:spacing w:before="0"/>
        <w:ind w:left="1919" w:right="0" w:firstLine="0"/>
        <w:jc w:val="left"/>
        <w:rPr>
          <w:sz w:val="24"/>
        </w:rPr>
      </w:pPr>
      <w:r>
        <w:rPr>
          <w:i/>
          <w:sz w:val="24"/>
        </w:rPr>
        <w:t>Connection Applicant </w:t>
      </w:r>
      <w:r>
        <w:rPr>
          <w:sz w:val="24"/>
        </w:rPr>
        <w:t>under clauses 5.3.4(b) or 5.3A.9.</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9.3 Application of the Amending Rul" w:id="3400"/>
      <w:bookmarkEnd w:id="3400"/>
      <w:r>
        <w:rPr>
          <w:b w:val="0"/>
        </w:rPr>
      </w:r>
      <w:bookmarkStart w:name="_bookmark1346" w:id="3401"/>
      <w:bookmarkEnd w:id="3401"/>
      <w:r>
        <w:rPr>
          <w:b w:val="0"/>
        </w:rPr>
      </w:r>
      <w:bookmarkStart w:name="_bookmark1346" w:id="3402"/>
      <w:bookmarkEnd w:id="3402"/>
      <w:r>
        <w:rPr/>
        <w:t>Applicatio</w:t>
      </w:r>
      <w:r>
        <w:rPr/>
        <w:t>n of the Amending Rule to existing applications to</w:t>
      </w:r>
      <w:r>
        <w:rPr>
          <w:spacing w:val="-28"/>
        </w:rPr>
        <w:t> </w:t>
      </w:r>
      <w:r>
        <w:rPr/>
        <w:t>connect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This clause 11.109.3 applies where, before the commencement date, a </w:t>
      </w:r>
      <w:r>
        <w:rPr>
          <w:i/>
          <w:sz w:val="24"/>
        </w:rPr>
        <w:t>Connection Applicant </w:t>
      </w:r>
      <w:r>
        <w:rPr>
          <w:sz w:val="24"/>
        </w:rPr>
        <w:t>has, in respect of </w:t>
      </w:r>
      <w:r>
        <w:rPr>
          <w:i/>
          <w:sz w:val="24"/>
        </w:rPr>
        <w:t>plant </w:t>
      </w:r>
      <w:r>
        <w:rPr>
          <w:sz w:val="24"/>
        </w:rPr>
        <w:t>that the </w:t>
      </w:r>
      <w:r>
        <w:rPr>
          <w:i/>
          <w:sz w:val="24"/>
        </w:rPr>
        <w:t>Connection Applicant </w:t>
      </w:r>
      <w:r>
        <w:rPr>
          <w:sz w:val="24"/>
        </w:rPr>
        <w:t>proposes to</w:t>
      </w:r>
      <w:r>
        <w:rPr>
          <w:spacing w:val="-1"/>
          <w:sz w:val="24"/>
        </w:rPr>
        <w:t> </w:t>
      </w:r>
      <w:r>
        <w:rPr>
          <w:i/>
          <w:sz w:val="24"/>
        </w:rPr>
        <w:t>connect</w:t>
      </w:r>
      <w:r>
        <w:rPr>
          <w:sz w:val="24"/>
        </w:rPr>
        <w:t>:</w:t>
      </w:r>
    </w:p>
    <w:p>
      <w:pPr>
        <w:pStyle w:val="ListParagraph"/>
        <w:numPr>
          <w:ilvl w:val="4"/>
          <w:numId w:val="850"/>
        </w:numPr>
        <w:tabs>
          <w:tab w:pos="2486" w:val="left" w:leader="none"/>
        </w:tabs>
        <w:spacing w:line="240" w:lineRule="auto" w:before="120" w:after="0"/>
        <w:ind w:left="2485" w:right="0" w:hanging="567"/>
        <w:jc w:val="both"/>
        <w:rPr>
          <w:i/>
          <w:sz w:val="24"/>
        </w:rPr>
      </w:pPr>
      <w:r>
        <w:rPr>
          <w:sz w:val="24"/>
        </w:rPr>
        <w:t>made</w:t>
      </w:r>
      <w:r>
        <w:rPr>
          <w:spacing w:val="30"/>
          <w:sz w:val="24"/>
        </w:rPr>
        <w:t> </w:t>
      </w:r>
      <w:r>
        <w:rPr>
          <w:sz w:val="24"/>
        </w:rPr>
        <w:t>an</w:t>
      </w:r>
      <w:r>
        <w:rPr>
          <w:spacing w:val="31"/>
          <w:sz w:val="24"/>
        </w:rPr>
        <w:t> </w:t>
      </w:r>
      <w:r>
        <w:rPr>
          <w:i/>
          <w:sz w:val="24"/>
        </w:rPr>
        <w:t>application</w:t>
      </w:r>
      <w:r>
        <w:rPr>
          <w:i/>
          <w:spacing w:val="31"/>
          <w:sz w:val="24"/>
        </w:rPr>
        <w:t> </w:t>
      </w:r>
      <w:r>
        <w:rPr>
          <w:i/>
          <w:sz w:val="24"/>
        </w:rPr>
        <w:t>to</w:t>
      </w:r>
      <w:r>
        <w:rPr>
          <w:i/>
          <w:spacing w:val="31"/>
          <w:sz w:val="24"/>
        </w:rPr>
        <w:t> </w:t>
      </w:r>
      <w:r>
        <w:rPr>
          <w:i/>
          <w:sz w:val="24"/>
        </w:rPr>
        <w:t>connect</w:t>
      </w:r>
      <w:r>
        <w:rPr>
          <w:i/>
          <w:spacing w:val="31"/>
          <w:sz w:val="24"/>
        </w:rPr>
        <w:t> </w:t>
      </w:r>
      <w:r>
        <w:rPr>
          <w:sz w:val="24"/>
        </w:rPr>
        <w:t>to</w:t>
      </w:r>
      <w:r>
        <w:rPr>
          <w:spacing w:val="30"/>
          <w:sz w:val="24"/>
        </w:rPr>
        <w:t> </w:t>
      </w:r>
      <w:r>
        <w:rPr>
          <w:sz w:val="24"/>
        </w:rPr>
        <w:t>a</w:t>
      </w:r>
      <w:r>
        <w:rPr>
          <w:spacing w:val="31"/>
          <w:sz w:val="24"/>
        </w:rPr>
        <w:t> </w:t>
      </w:r>
      <w:r>
        <w:rPr>
          <w:i/>
          <w:sz w:val="24"/>
        </w:rPr>
        <w:t>Network</w:t>
      </w:r>
      <w:r>
        <w:rPr>
          <w:i/>
          <w:spacing w:val="31"/>
          <w:sz w:val="24"/>
        </w:rPr>
        <w:t> </w:t>
      </w:r>
      <w:r>
        <w:rPr>
          <w:i/>
          <w:sz w:val="24"/>
        </w:rPr>
        <w:t>Service</w:t>
      </w:r>
      <w:r>
        <w:rPr>
          <w:i/>
          <w:spacing w:val="31"/>
          <w:sz w:val="24"/>
        </w:rPr>
        <w:t> </w:t>
      </w:r>
      <w:r>
        <w:rPr>
          <w:i/>
          <w:sz w:val="24"/>
        </w:rPr>
        <w:t>Provider</w:t>
      </w:r>
    </w:p>
    <w:p>
      <w:pPr>
        <w:pStyle w:val="Heading4"/>
        <w:ind w:left="2486" w:firstLine="0"/>
        <w:jc w:val="both"/>
        <w:rPr>
          <w:rFonts w:ascii="Times New Roman"/>
          <w:b w:val="0"/>
        </w:rPr>
      </w:pPr>
      <w:r>
        <w:rPr>
          <w:rFonts w:ascii="Times New Roman"/>
          <w:b w:val="0"/>
        </w:rPr>
        <w:t>(</w:t>
      </w:r>
      <w:r>
        <w:rPr>
          <w:rFonts w:ascii="Times New Roman"/>
        </w:rPr>
        <w:t>Existing Application To Connect</w:t>
      </w:r>
      <w:r>
        <w:rPr>
          <w:rFonts w:ascii="Times New Roman"/>
          <w:b w:val="0"/>
        </w:rPr>
        <w:t>); 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not received an offer to </w:t>
      </w:r>
      <w:r>
        <w:rPr>
          <w:i/>
          <w:sz w:val="24"/>
        </w:rPr>
        <w:t>connect </w:t>
      </w:r>
      <w:r>
        <w:rPr>
          <w:sz w:val="24"/>
        </w:rPr>
        <w:t>from the relevant </w:t>
      </w:r>
      <w:r>
        <w:rPr>
          <w:i/>
          <w:sz w:val="24"/>
        </w:rPr>
        <w:t>Network Service </w:t>
      </w:r>
      <w:r>
        <w:rPr>
          <w:i/>
          <w:sz w:val="24"/>
        </w:rPr>
        <w:t>Provider </w:t>
      </w:r>
      <w:r>
        <w:rPr>
          <w:sz w:val="24"/>
        </w:rPr>
        <w:t>in respect of the Existing Application To</w:t>
      </w:r>
      <w:r>
        <w:rPr>
          <w:spacing w:val="-5"/>
          <w:sz w:val="24"/>
        </w:rPr>
        <w:t> </w:t>
      </w:r>
      <w:r>
        <w:rPr>
          <w:sz w:val="24"/>
        </w:rPr>
        <w:t>Connect.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Subject to paragraph (e), on and from the commencement</w:t>
      </w:r>
      <w:r>
        <w:rPr>
          <w:spacing w:val="-1"/>
          <w:sz w:val="24"/>
        </w:rPr>
        <w:t> </w:t>
      </w:r>
      <w:r>
        <w:rPr>
          <w:sz w:val="24"/>
        </w:rPr>
        <w:t>date:</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new Chapter 5 applies for the purposes of determining the </w:t>
      </w:r>
      <w:r>
        <w:rPr>
          <w:i/>
          <w:sz w:val="24"/>
        </w:rPr>
        <w:t>access </w:t>
      </w:r>
      <w:r>
        <w:rPr>
          <w:i/>
          <w:sz w:val="24"/>
        </w:rPr>
        <w:t>standards </w:t>
      </w:r>
      <w:r>
        <w:rPr>
          <w:sz w:val="24"/>
        </w:rPr>
        <w:t>that apply to the </w:t>
      </w:r>
      <w:r>
        <w:rPr>
          <w:i/>
          <w:sz w:val="24"/>
        </w:rPr>
        <w:t>plant </w:t>
      </w:r>
      <w:r>
        <w:rPr>
          <w:sz w:val="24"/>
        </w:rPr>
        <w:t>that the </w:t>
      </w:r>
      <w:r>
        <w:rPr>
          <w:i/>
          <w:sz w:val="24"/>
        </w:rPr>
        <w:t>Connection Applicant </w:t>
      </w:r>
      <w:r>
        <w:rPr>
          <w:sz w:val="24"/>
        </w:rPr>
        <w:t>proposes to</w:t>
      </w:r>
      <w:r>
        <w:rPr>
          <w:spacing w:val="-1"/>
          <w:sz w:val="24"/>
        </w:rPr>
        <w:t> </w:t>
      </w:r>
      <w:r>
        <w:rPr>
          <w:i/>
          <w:sz w:val="24"/>
        </w:rPr>
        <w:t>connect</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Existing Application To Connect will be taken to be a valid </w:t>
      </w:r>
      <w:r>
        <w:rPr>
          <w:i/>
          <w:sz w:val="24"/>
        </w:rPr>
        <w:t>application to connect </w:t>
      </w:r>
      <w:r>
        <w:rPr>
          <w:sz w:val="24"/>
        </w:rPr>
        <w:t>under the new Chapter 5 with respect to the proposed </w:t>
      </w:r>
      <w:r>
        <w:rPr>
          <w:i/>
          <w:sz w:val="24"/>
        </w:rPr>
        <w:t>plant</w:t>
      </w:r>
      <w:r>
        <w:rPr>
          <w:sz w:val="24"/>
        </w:rPr>
        <w:t>;</w:t>
      </w:r>
      <w:r>
        <w:rPr>
          <w:spacing w:val="-1"/>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the </w:t>
      </w:r>
      <w:r>
        <w:rPr>
          <w:i/>
          <w:sz w:val="24"/>
        </w:rPr>
        <w:t>Network Service Provider</w:t>
      </w:r>
      <w:r>
        <w:rPr>
          <w:i/>
          <w:spacing w:val="-1"/>
          <w:sz w:val="24"/>
        </w:rPr>
        <w:t> </w:t>
      </w:r>
      <w:r>
        <w:rPr>
          <w:sz w:val="24"/>
        </w:rPr>
        <w:t>must:</w:t>
      </w:r>
    </w:p>
    <w:p>
      <w:pPr>
        <w:pStyle w:val="ListParagraph"/>
        <w:numPr>
          <w:ilvl w:val="5"/>
          <w:numId w:val="850"/>
        </w:numPr>
        <w:tabs>
          <w:tab w:pos="3053" w:val="left" w:leader="none"/>
        </w:tabs>
        <w:spacing w:line="240" w:lineRule="auto" w:before="120" w:after="0"/>
        <w:ind w:left="3053" w:right="415" w:hanging="567"/>
        <w:jc w:val="both"/>
        <w:rPr>
          <w:sz w:val="24"/>
        </w:rPr>
      </w:pPr>
      <w:r>
        <w:rPr>
          <w:sz w:val="24"/>
        </w:rPr>
        <w:t>within 10 </w:t>
      </w:r>
      <w:r>
        <w:rPr>
          <w:i/>
          <w:sz w:val="24"/>
        </w:rPr>
        <w:t>business days </w:t>
      </w:r>
      <w:r>
        <w:rPr>
          <w:sz w:val="24"/>
        </w:rPr>
        <w:t>after the commencement date, use its reasonable endeavours to provide written notification to a </w:t>
      </w:r>
      <w:r>
        <w:rPr>
          <w:i/>
          <w:sz w:val="24"/>
        </w:rPr>
        <w:t>Connection Applicant </w:t>
      </w:r>
      <w:r>
        <w:rPr>
          <w:sz w:val="24"/>
        </w:rPr>
        <w:t>to which this clause 11.109.3 applies that the Existing Application To Connect will be treated as an </w:t>
      </w:r>
      <w:r>
        <w:rPr>
          <w:i/>
          <w:sz w:val="24"/>
        </w:rPr>
        <w:t>application to connect </w:t>
      </w:r>
      <w:r>
        <w:rPr>
          <w:sz w:val="24"/>
        </w:rPr>
        <w:t>under the new Chapter 5;</w:t>
      </w:r>
      <w:r>
        <w:rPr>
          <w:spacing w:val="-2"/>
          <w:sz w:val="24"/>
        </w:rPr>
        <w:t> </w:t>
      </w:r>
      <w:r>
        <w:rPr>
          <w:sz w:val="24"/>
        </w:rPr>
        <w:t>and</w:t>
      </w:r>
    </w:p>
    <w:p>
      <w:pPr>
        <w:pStyle w:val="ListParagraph"/>
        <w:numPr>
          <w:ilvl w:val="5"/>
          <w:numId w:val="850"/>
        </w:numPr>
        <w:tabs>
          <w:tab w:pos="3054" w:val="left" w:leader="none"/>
        </w:tabs>
        <w:spacing w:line="240" w:lineRule="auto" w:before="120" w:after="0"/>
        <w:ind w:left="3053" w:right="415" w:hanging="567"/>
        <w:jc w:val="both"/>
        <w:rPr>
          <w:sz w:val="24"/>
        </w:rPr>
      </w:pPr>
      <w:r>
        <w:rPr>
          <w:sz w:val="24"/>
        </w:rPr>
        <w:t>within 20 </w:t>
      </w:r>
      <w:r>
        <w:rPr>
          <w:i/>
          <w:sz w:val="24"/>
        </w:rPr>
        <w:t>business days </w:t>
      </w:r>
      <w:r>
        <w:rPr>
          <w:sz w:val="24"/>
        </w:rPr>
        <w:t>after providing the written notification in subparagraph (3)(i), in consultation with </w:t>
      </w:r>
      <w:r>
        <w:rPr>
          <w:i/>
          <w:sz w:val="24"/>
        </w:rPr>
        <w:t>AEMO </w:t>
      </w:r>
      <w:r>
        <w:rPr>
          <w:sz w:val="24"/>
        </w:rPr>
        <w:t>and where necessary, provide each </w:t>
      </w:r>
      <w:r>
        <w:rPr>
          <w:i/>
          <w:sz w:val="24"/>
        </w:rPr>
        <w:t>Connection Applicant </w:t>
      </w:r>
      <w:r>
        <w:rPr>
          <w:sz w:val="24"/>
        </w:rPr>
        <w:t>notified </w:t>
      </w:r>
      <w:r>
        <w:rPr>
          <w:spacing w:val="-3"/>
          <w:sz w:val="24"/>
        </w:rPr>
        <w:t>under </w:t>
      </w:r>
      <w:r>
        <w:rPr>
          <w:sz w:val="24"/>
        </w:rPr>
        <w:t>subparagraph (3)(i) (with a copy to be provided to </w:t>
      </w:r>
      <w:r>
        <w:rPr>
          <w:i/>
          <w:sz w:val="24"/>
        </w:rPr>
        <w:t>AEMO</w:t>
      </w:r>
      <w:r>
        <w:rPr>
          <w:sz w:val="24"/>
        </w:rPr>
        <w:t>)</w:t>
      </w:r>
      <w:r>
        <w:rPr>
          <w:spacing w:val="-17"/>
          <w:sz w:val="24"/>
        </w:rPr>
        <w:t> </w:t>
      </w:r>
      <w:r>
        <w:rPr>
          <w:sz w:val="24"/>
        </w:rPr>
        <w:t>with:</w:t>
      </w:r>
    </w:p>
    <w:p>
      <w:pPr>
        <w:pStyle w:val="ListParagraph"/>
        <w:numPr>
          <w:ilvl w:val="6"/>
          <w:numId w:val="850"/>
        </w:numPr>
        <w:tabs>
          <w:tab w:pos="3620" w:val="left" w:leader="none"/>
        </w:tabs>
        <w:spacing w:line="240" w:lineRule="auto" w:before="120" w:after="0"/>
        <w:ind w:left="3620" w:right="415" w:hanging="567"/>
        <w:jc w:val="both"/>
        <w:rPr>
          <w:sz w:val="24"/>
        </w:rPr>
      </w:pPr>
      <w:r>
        <w:rPr>
          <w:sz w:val="24"/>
        </w:rPr>
        <w:t>any further information required under clause 5.3.3 of </w:t>
      </w:r>
      <w:r>
        <w:rPr>
          <w:spacing w:val="-5"/>
          <w:sz w:val="24"/>
        </w:rPr>
        <w:t>the </w:t>
      </w:r>
      <w:r>
        <w:rPr>
          <w:sz w:val="24"/>
        </w:rPr>
        <w:t>new Chapter 5 relevant to the proposed </w:t>
      </w:r>
      <w:r>
        <w:rPr>
          <w:i/>
          <w:sz w:val="24"/>
        </w:rPr>
        <w:t>plant</w:t>
      </w:r>
      <w:r>
        <w:rPr>
          <w:sz w:val="24"/>
        </w:rPr>
        <w:t>, including for each technical requirement, written details of the </w:t>
      </w:r>
      <w:r>
        <w:rPr>
          <w:i/>
          <w:sz w:val="24"/>
        </w:rPr>
        <w:t>automatic access standards</w:t>
      </w:r>
      <w:r>
        <w:rPr>
          <w:sz w:val="24"/>
        </w:rPr>
        <w:t>, </w:t>
      </w:r>
      <w:r>
        <w:rPr>
          <w:i/>
          <w:sz w:val="24"/>
        </w:rPr>
        <w:t>minimum access standards </w:t>
      </w:r>
      <w:r>
        <w:rPr>
          <w:sz w:val="24"/>
        </w:rPr>
        <w:t>and </w:t>
      </w:r>
      <w:r>
        <w:rPr>
          <w:i/>
          <w:sz w:val="24"/>
        </w:rPr>
        <w:t>negotiated access standards </w:t>
      </w:r>
      <w:r>
        <w:rPr>
          <w:sz w:val="24"/>
        </w:rPr>
        <w:t>that are </w:t>
      </w:r>
      <w:r>
        <w:rPr>
          <w:i/>
          <w:sz w:val="24"/>
        </w:rPr>
        <w:t>AEMO advisory </w:t>
      </w:r>
      <w:r>
        <w:rPr>
          <w:i/>
          <w:sz w:val="24"/>
        </w:rPr>
        <w:t>matters</w:t>
      </w:r>
      <w:r>
        <w:rPr>
          <w:sz w:val="24"/>
        </w:rPr>
        <w:t>;</w:t>
      </w:r>
      <w:r>
        <w:rPr>
          <w:spacing w:val="-1"/>
          <w:sz w:val="24"/>
        </w:rPr>
        <w:t> </w:t>
      </w:r>
      <w:r>
        <w:rPr>
          <w:sz w:val="24"/>
        </w:rPr>
        <w:t>and</w:t>
      </w:r>
    </w:p>
    <w:p>
      <w:pPr>
        <w:pStyle w:val="ListParagraph"/>
        <w:numPr>
          <w:ilvl w:val="6"/>
          <w:numId w:val="850"/>
        </w:numPr>
        <w:tabs>
          <w:tab w:pos="3621" w:val="left" w:leader="none"/>
        </w:tabs>
        <w:spacing w:line="240" w:lineRule="auto" w:before="120" w:after="0"/>
        <w:ind w:left="3620" w:right="415" w:hanging="567"/>
        <w:jc w:val="both"/>
        <w:rPr>
          <w:sz w:val="24"/>
        </w:rPr>
      </w:pPr>
      <w:r>
        <w:rPr>
          <w:sz w:val="24"/>
        </w:rPr>
        <w:t>written notice of any further information to be provided by the </w:t>
      </w:r>
      <w:r>
        <w:rPr>
          <w:i/>
          <w:sz w:val="24"/>
        </w:rPr>
        <w:t>Connection Applicant </w:t>
      </w:r>
      <w:r>
        <w:rPr>
          <w:sz w:val="24"/>
        </w:rPr>
        <w:t>(which may include information required to be provided under clauses 5.2.5(d) and (e) </w:t>
      </w:r>
      <w:r>
        <w:rPr>
          <w:spacing w:val="-4"/>
          <w:sz w:val="24"/>
        </w:rPr>
        <w:t>and </w:t>
      </w:r>
      <w:r>
        <w:rPr>
          <w:sz w:val="24"/>
        </w:rPr>
        <w:t>Schedule</w:t>
      </w:r>
      <w:r>
        <w:rPr>
          <w:spacing w:val="-2"/>
          <w:sz w:val="24"/>
        </w:rPr>
        <w:t> </w:t>
      </w:r>
      <w:r>
        <w:rPr>
          <w:sz w:val="24"/>
        </w:rPr>
        <w:t>5.5),</w:t>
      </w:r>
    </w:p>
    <w:p>
      <w:pPr>
        <w:spacing w:before="120"/>
        <w:ind w:left="3053" w:right="415" w:firstLine="0"/>
        <w:jc w:val="both"/>
        <w:rPr>
          <w:sz w:val="24"/>
        </w:rPr>
      </w:pPr>
      <w:r>
        <w:rPr>
          <w:sz w:val="24"/>
        </w:rPr>
        <w:t>necessary for the </w:t>
      </w:r>
      <w:r>
        <w:rPr>
          <w:i/>
          <w:sz w:val="24"/>
        </w:rPr>
        <w:t>Network Service Provider </w:t>
      </w:r>
      <w:r>
        <w:rPr>
          <w:sz w:val="24"/>
        </w:rPr>
        <w:t>to prepare an </w:t>
      </w:r>
      <w:r>
        <w:rPr>
          <w:spacing w:val="-3"/>
          <w:sz w:val="24"/>
        </w:rPr>
        <w:t>offer </w:t>
      </w:r>
      <w:r>
        <w:rPr>
          <w:sz w:val="24"/>
        </w:rPr>
        <w:t>to </w:t>
      </w:r>
      <w:r>
        <w:rPr>
          <w:i/>
          <w:sz w:val="24"/>
        </w:rPr>
        <w:t>connect </w:t>
      </w:r>
      <w:r>
        <w:rPr>
          <w:sz w:val="24"/>
        </w:rPr>
        <w:t>in accordance with the new Chapter 5 with respect to the proposed</w:t>
      </w:r>
      <w:r>
        <w:rPr>
          <w:spacing w:val="-1"/>
          <w:sz w:val="24"/>
        </w:rPr>
        <w:t> </w:t>
      </w:r>
      <w:r>
        <w:rPr>
          <w:i/>
          <w:sz w:val="24"/>
        </w:rPr>
        <w:t>plant</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Where the </w:t>
      </w:r>
      <w:r>
        <w:rPr>
          <w:i/>
          <w:sz w:val="24"/>
        </w:rPr>
        <w:t>Network Service Provider </w:t>
      </w:r>
      <w:r>
        <w:rPr>
          <w:sz w:val="24"/>
        </w:rPr>
        <w:t>has charged the </w:t>
      </w:r>
      <w:r>
        <w:rPr>
          <w:i/>
          <w:sz w:val="24"/>
        </w:rPr>
        <w:t>Connection Applicant </w:t>
      </w:r>
      <w:r>
        <w:rPr>
          <w:sz w:val="24"/>
        </w:rPr>
        <w:t>any fees or charges with respect to the Existing Application To Connect, the </w:t>
      </w:r>
      <w:r>
        <w:rPr>
          <w:i/>
          <w:sz w:val="24"/>
        </w:rPr>
        <w:t>Network Service Provider </w:t>
      </w:r>
      <w:r>
        <w:rPr>
          <w:sz w:val="24"/>
        </w:rPr>
        <w:t>must not charge the </w:t>
      </w:r>
      <w:r>
        <w:rPr>
          <w:i/>
          <w:sz w:val="24"/>
        </w:rPr>
        <w:t>Connection Applicant </w:t>
      </w:r>
      <w:r>
        <w:rPr>
          <w:sz w:val="24"/>
        </w:rPr>
        <w:t>any additional</w:t>
      </w:r>
      <w:r>
        <w:rPr>
          <w:spacing w:val="17"/>
          <w:sz w:val="24"/>
        </w:rPr>
        <w:t> </w:t>
      </w:r>
      <w:r>
        <w:rPr>
          <w:sz w:val="24"/>
        </w:rPr>
        <w:t>fees</w:t>
      </w:r>
      <w:r>
        <w:rPr>
          <w:spacing w:val="17"/>
          <w:sz w:val="24"/>
        </w:rPr>
        <w:t> </w:t>
      </w:r>
      <w:r>
        <w:rPr>
          <w:sz w:val="24"/>
        </w:rPr>
        <w:t>or</w:t>
      </w:r>
      <w:r>
        <w:rPr>
          <w:spacing w:val="18"/>
          <w:sz w:val="24"/>
        </w:rPr>
        <w:t> </w:t>
      </w:r>
      <w:r>
        <w:rPr>
          <w:sz w:val="24"/>
        </w:rPr>
        <w:t>charges</w:t>
      </w:r>
      <w:r>
        <w:rPr>
          <w:spacing w:val="17"/>
          <w:sz w:val="24"/>
        </w:rPr>
        <w:t> </w:t>
      </w:r>
      <w:r>
        <w:rPr>
          <w:sz w:val="24"/>
        </w:rPr>
        <w:t>on</w:t>
      </w:r>
      <w:r>
        <w:rPr>
          <w:spacing w:val="17"/>
          <w:sz w:val="24"/>
        </w:rPr>
        <w:t> </w:t>
      </w:r>
      <w:r>
        <w:rPr>
          <w:sz w:val="24"/>
        </w:rPr>
        <w:t>or</w:t>
      </w:r>
      <w:r>
        <w:rPr>
          <w:spacing w:val="18"/>
          <w:sz w:val="24"/>
        </w:rPr>
        <w:t> </w:t>
      </w:r>
      <w:r>
        <w:rPr>
          <w:sz w:val="24"/>
        </w:rPr>
        <w:t>from</w:t>
      </w:r>
      <w:r>
        <w:rPr>
          <w:spacing w:val="17"/>
          <w:sz w:val="24"/>
        </w:rPr>
        <w:t> </w:t>
      </w:r>
      <w:r>
        <w:rPr>
          <w:sz w:val="24"/>
        </w:rPr>
        <w:t>the</w:t>
      </w:r>
      <w:r>
        <w:rPr>
          <w:spacing w:val="18"/>
          <w:sz w:val="24"/>
        </w:rPr>
        <w:t> </w:t>
      </w:r>
      <w:r>
        <w:rPr>
          <w:sz w:val="24"/>
        </w:rPr>
        <w:t>commencement</w:t>
      </w:r>
      <w:r>
        <w:rPr>
          <w:spacing w:val="17"/>
          <w:sz w:val="24"/>
        </w:rPr>
        <w:t> </w:t>
      </w:r>
      <w:r>
        <w:rPr>
          <w:sz w:val="24"/>
        </w:rPr>
        <w:t>date</w:t>
      </w:r>
      <w:r>
        <w:rPr>
          <w:spacing w:val="17"/>
          <w:sz w:val="24"/>
        </w:rPr>
        <w:t> </w:t>
      </w:r>
      <w:r>
        <w:rPr>
          <w:sz w:val="24"/>
        </w:rPr>
        <w:t>with</w:t>
      </w:r>
      <w:r>
        <w:rPr>
          <w:spacing w:val="18"/>
          <w:sz w:val="24"/>
        </w:rPr>
        <w:t> </w:t>
      </w:r>
      <w:r>
        <w:rPr>
          <w:sz w:val="24"/>
        </w:rPr>
        <w:t>respect</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to such Existing Application To Connect, except to the extent necessary to cover the reasonable costs of work required for the </w:t>
      </w:r>
      <w:r>
        <w:rPr>
          <w:i/>
        </w:rPr>
        <w:t>Network Service </w:t>
      </w:r>
      <w:r>
        <w:rPr>
          <w:i/>
        </w:rPr>
        <w:t>Provider </w:t>
      </w:r>
      <w:r>
        <w:rPr/>
        <w:t>to prepare an offer to </w:t>
      </w:r>
      <w:r>
        <w:rPr>
          <w:i/>
        </w:rPr>
        <w:t>connect </w:t>
      </w:r>
      <w:r>
        <w:rPr/>
        <w:t>in accordance with the new Chapter 5, including the requirements to notify the </w:t>
      </w:r>
      <w:r>
        <w:rPr>
          <w:i/>
        </w:rPr>
        <w:t>Connection Applicant </w:t>
      </w:r>
      <w:r>
        <w:rPr/>
        <w:t>and provide any relevant information under subparagraph</w:t>
      </w:r>
      <w:r>
        <w:rPr>
          <w:spacing w:val="-3"/>
        </w:rPr>
        <w:t> </w:t>
      </w:r>
      <w:r>
        <w:rPr/>
        <w:t>(b)(3).</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A </w:t>
      </w:r>
      <w:r>
        <w:rPr>
          <w:i/>
          <w:sz w:val="24"/>
        </w:rPr>
        <w:t>Network Service Provider </w:t>
      </w:r>
      <w:r>
        <w:rPr>
          <w:sz w:val="24"/>
        </w:rPr>
        <w:t>to which this clause applies may extend the time period referred to in clause 5.3.6(a) to reasonably allow for </w:t>
      </w:r>
      <w:r>
        <w:rPr>
          <w:spacing w:val="-4"/>
          <w:sz w:val="24"/>
        </w:rPr>
        <w:t>any</w:t>
      </w:r>
      <w:r>
        <w:rPr>
          <w:spacing w:val="52"/>
          <w:sz w:val="24"/>
        </w:rPr>
        <w:t> </w:t>
      </w:r>
      <w:r>
        <w:rPr>
          <w:sz w:val="24"/>
        </w:rPr>
        <w:t>additional time taken in excess of the period allowed in the </w:t>
      </w:r>
      <w:r>
        <w:rPr>
          <w:i/>
          <w:sz w:val="24"/>
        </w:rPr>
        <w:t>preliminary </w:t>
      </w:r>
      <w:r>
        <w:rPr>
          <w:i/>
          <w:sz w:val="24"/>
        </w:rPr>
        <w:t>program </w:t>
      </w:r>
      <w:r>
        <w:rPr>
          <w:sz w:val="24"/>
        </w:rPr>
        <w:t>that is necessary to take account of the differences in </w:t>
      </w:r>
      <w:r>
        <w:rPr>
          <w:i/>
          <w:sz w:val="24"/>
        </w:rPr>
        <w:t>access </w:t>
      </w:r>
      <w:r>
        <w:rPr>
          <w:i/>
          <w:sz w:val="24"/>
        </w:rPr>
        <w:t>standards </w:t>
      </w:r>
      <w:r>
        <w:rPr>
          <w:sz w:val="24"/>
        </w:rPr>
        <w:t>between the former Chapter 5 and the new Chapter</w:t>
      </w:r>
      <w:r>
        <w:rPr>
          <w:spacing w:val="-5"/>
          <w:sz w:val="24"/>
        </w:rPr>
        <w:t> </w:t>
      </w:r>
      <w:r>
        <w:rPr>
          <w:sz w:val="24"/>
        </w:rPr>
        <w:t>5.</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Despite the application of paragraph (b), a </w:t>
      </w:r>
      <w:r>
        <w:rPr>
          <w:i/>
          <w:sz w:val="24"/>
        </w:rPr>
        <w:t>Connection Applicant </w:t>
      </w:r>
      <w:r>
        <w:rPr>
          <w:sz w:val="24"/>
        </w:rPr>
        <w:t>may, until the transitional date, continue to negotiate </w:t>
      </w:r>
      <w:r>
        <w:rPr>
          <w:i/>
          <w:sz w:val="24"/>
        </w:rPr>
        <w:t>access standards </w:t>
      </w:r>
      <w:r>
        <w:rPr>
          <w:sz w:val="24"/>
        </w:rPr>
        <w:t>in accordance with the former Chapter 5. Where, subject to paragraph (f), on or before the transitional date, all </w:t>
      </w:r>
      <w:r>
        <w:rPr>
          <w:i/>
          <w:sz w:val="24"/>
        </w:rPr>
        <w:t>access standards </w:t>
      </w:r>
      <w:r>
        <w:rPr>
          <w:sz w:val="24"/>
        </w:rPr>
        <w:t>relevant to the </w:t>
      </w:r>
      <w:r>
        <w:rPr>
          <w:i/>
          <w:sz w:val="24"/>
        </w:rPr>
        <w:t>plant </w:t>
      </w:r>
      <w:r>
        <w:rPr>
          <w:sz w:val="24"/>
        </w:rPr>
        <w:t>are Agreed Access Standards in the reasonable opinion of the </w:t>
      </w:r>
      <w:r>
        <w:rPr>
          <w:i/>
          <w:sz w:val="24"/>
        </w:rPr>
        <w:t>Network Service Provider </w:t>
      </w:r>
      <w:r>
        <w:rPr>
          <w:sz w:val="24"/>
        </w:rPr>
        <w:t>and </w:t>
      </w:r>
      <w:r>
        <w:rPr>
          <w:i/>
          <w:sz w:val="24"/>
        </w:rPr>
        <w:t>AEMO</w:t>
      </w:r>
      <w:r>
        <w:rPr>
          <w:sz w:val="24"/>
        </w:rPr>
        <w:t>, then the </w:t>
      </w:r>
      <w:r>
        <w:rPr>
          <w:i/>
          <w:sz w:val="24"/>
        </w:rPr>
        <w:t>Network Service Provider</w:t>
      </w:r>
      <w:r>
        <w:rPr>
          <w:i/>
          <w:spacing w:val="-1"/>
          <w:sz w:val="24"/>
        </w:rPr>
        <w:t> </w:t>
      </w:r>
      <w:r>
        <w:rPr>
          <w:sz w:val="24"/>
        </w:rPr>
        <w:t>must: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within 10 </w:t>
      </w:r>
      <w:r>
        <w:rPr>
          <w:i/>
          <w:sz w:val="24"/>
        </w:rPr>
        <w:t>business days </w:t>
      </w:r>
      <w:r>
        <w:rPr>
          <w:sz w:val="24"/>
        </w:rPr>
        <w:t>from receipt of a written request by the </w:t>
      </w:r>
      <w:r>
        <w:rPr>
          <w:i/>
          <w:sz w:val="24"/>
        </w:rPr>
        <w:t>Connection Applicant</w:t>
      </w:r>
      <w:r>
        <w:rPr>
          <w:sz w:val="24"/>
        </w:rPr>
        <w:t>, provide written confirmation to the </w:t>
      </w:r>
      <w:r>
        <w:rPr>
          <w:i/>
          <w:sz w:val="24"/>
        </w:rPr>
        <w:t>Connection </w:t>
      </w:r>
      <w:r>
        <w:rPr>
          <w:i/>
          <w:sz w:val="24"/>
        </w:rPr>
        <w:t>Applicant</w:t>
      </w:r>
      <w:r>
        <w:rPr>
          <w:sz w:val="24"/>
        </w:rPr>
        <w:t>:</w:t>
      </w:r>
    </w:p>
    <w:p>
      <w:pPr>
        <w:pStyle w:val="ListParagraph"/>
        <w:numPr>
          <w:ilvl w:val="5"/>
          <w:numId w:val="850"/>
        </w:numPr>
        <w:tabs>
          <w:tab w:pos="3053" w:val="left" w:leader="none"/>
        </w:tabs>
        <w:spacing w:line="240" w:lineRule="auto" w:before="120" w:after="0"/>
        <w:ind w:left="3053" w:right="416" w:hanging="567"/>
        <w:jc w:val="both"/>
        <w:rPr>
          <w:sz w:val="24"/>
        </w:rPr>
      </w:pPr>
      <w:r>
        <w:rPr>
          <w:sz w:val="24"/>
        </w:rPr>
        <w:t>that all </w:t>
      </w:r>
      <w:r>
        <w:rPr>
          <w:i/>
          <w:sz w:val="24"/>
        </w:rPr>
        <w:t>access standards </w:t>
      </w:r>
      <w:r>
        <w:rPr>
          <w:sz w:val="24"/>
        </w:rPr>
        <w:t>relevant to the </w:t>
      </w:r>
      <w:r>
        <w:rPr>
          <w:i/>
          <w:sz w:val="24"/>
        </w:rPr>
        <w:t>plant </w:t>
      </w:r>
      <w:r>
        <w:rPr>
          <w:sz w:val="24"/>
        </w:rPr>
        <w:t>are Agreed Access Standards;</w:t>
      </w:r>
      <w:r>
        <w:rPr>
          <w:spacing w:val="-2"/>
          <w:sz w:val="24"/>
        </w:rPr>
        <w:t> </w:t>
      </w:r>
      <w:r>
        <w:rPr>
          <w:sz w:val="24"/>
        </w:rPr>
        <w:t>and</w:t>
      </w:r>
    </w:p>
    <w:p>
      <w:pPr>
        <w:pStyle w:val="ListParagraph"/>
        <w:numPr>
          <w:ilvl w:val="5"/>
          <w:numId w:val="850"/>
        </w:numPr>
        <w:tabs>
          <w:tab w:pos="3054" w:val="left" w:leader="none"/>
        </w:tabs>
        <w:spacing w:line="240" w:lineRule="auto" w:before="120" w:after="0"/>
        <w:ind w:left="3053" w:right="415" w:hanging="567"/>
        <w:jc w:val="both"/>
        <w:rPr>
          <w:sz w:val="24"/>
        </w:rPr>
      </w:pPr>
      <w:r>
        <w:rPr>
          <w:sz w:val="24"/>
        </w:rPr>
        <w:t>identifying any </w:t>
      </w:r>
      <w:r>
        <w:rPr>
          <w:i/>
          <w:sz w:val="24"/>
        </w:rPr>
        <w:t>access standards </w:t>
      </w:r>
      <w:r>
        <w:rPr>
          <w:sz w:val="24"/>
        </w:rPr>
        <w:t>that are agreed subject to certain conditions being satisfied, including where relevant, the date for satisfaction of those conditions (</w:t>
      </w:r>
      <w:r>
        <w:rPr>
          <w:b/>
          <w:sz w:val="24"/>
        </w:rPr>
        <w:t>Conditional Access Standard</w:t>
      </w:r>
      <w:r>
        <w:rPr>
          <w:sz w:val="24"/>
        </w:rPr>
        <w:t>);</w:t>
      </w:r>
      <w:r>
        <w:rPr>
          <w:spacing w:val="-2"/>
          <w:sz w:val="24"/>
        </w:rPr>
        <w:t> </w:t>
      </w:r>
      <w:r>
        <w:rPr>
          <w:sz w:val="24"/>
        </w:rPr>
        <w:t>and</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otherwise, use its reasonable endeavours to provide, within 10 </w:t>
      </w:r>
      <w:r>
        <w:rPr>
          <w:i/>
          <w:sz w:val="24"/>
        </w:rPr>
        <w:t>business days </w:t>
      </w:r>
      <w:r>
        <w:rPr>
          <w:sz w:val="24"/>
        </w:rPr>
        <w:t>after the transitional date, the written confirmation at subparagraphs (e)(1)(i) and (e)(1)(ii) to the relevant </w:t>
      </w:r>
      <w:r>
        <w:rPr>
          <w:i/>
          <w:sz w:val="24"/>
        </w:rPr>
        <w:t>Connection </w:t>
      </w:r>
      <w:r>
        <w:rPr>
          <w:i/>
          <w:sz w:val="24"/>
        </w:rPr>
        <w:t>Applicant</w:t>
      </w:r>
      <w:r>
        <w:rPr>
          <w:sz w:val="24"/>
        </w:rPr>
        <w:t>.</w:t>
      </w:r>
    </w:p>
    <w:p>
      <w:pPr>
        <w:pStyle w:val="ListParagraph"/>
        <w:numPr>
          <w:ilvl w:val="3"/>
          <w:numId w:val="850"/>
        </w:numPr>
        <w:tabs>
          <w:tab w:pos="1920" w:val="left" w:leader="none"/>
        </w:tabs>
        <w:spacing w:line="240" w:lineRule="auto" w:before="120" w:after="0"/>
        <w:ind w:left="1919" w:right="0" w:hanging="568"/>
        <w:jc w:val="both"/>
        <w:rPr>
          <w:sz w:val="24"/>
        </w:rPr>
      </w:pPr>
      <w:r>
        <w:rPr>
          <w:sz w:val="24"/>
        </w:rPr>
        <w:t>Where:</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w:t>
      </w:r>
      <w:r>
        <w:rPr>
          <w:i/>
          <w:sz w:val="24"/>
        </w:rPr>
        <w:t>Network Service Provider </w:t>
      </w:r>
      <w:r>
        <w:rPr>
          <w:sz w:val="24"/>
        </w:rPr>
        <w:t>has provided written confirmation under paragraph (e)(1) or (e)(2);</w:t>
      </w:r>
      <w:r>
        <w:rPr>
          <w:spacing w:val="-1"/>
          <w:sz w:val="24"/>
        </w:rPr>
        <w:t> </w:t>
      </w:r>
      <w:r>
        <w:rPr>
          <w:sz w:val="24"/>
        </w:rPr>
        <w:t>and</w:t>
      </w:r>
    </w:p>
    <w:p>
      <w:pPr>
        <w:pStyle w:val="ListParagraph"/>
        <w:numPr>
          <w:ilvl w:val="4"/>
          <w:numId w:val="850"/>
        </w:numPr>
        <w:tabs>
          <w:tab w:pos="2486" w:val="left" w:leader="none"/>
        </w:tabs>
        <w:spacing w:line="343" w:lineRule="auto" w:before="120" w:after="0"/>
        <w:ind w:left="1919" w:right="527" w:firstLine="0"/>
        <w:jc w:val="both"/>
        <w:rPr>
          <w:sz w:val="24"/>
        </w:rPr>
      </w:pPr>
      <w:r>
        <w:rPr>
          <w:sz w:val="24"/>
        </w:rPr>
        <w:t>a condition under the Conditional Access Standards was not satisfied, then on and from the date on which such condition was not</w:t>
      </w:r>
      <w:r>
        <w:rPr>
          <w:spacing w:val="-12"/>
          <w:sz w:val="24"/>
        </w:rPr>
        <w:t> </w:t>
      </w:r>
      <w:r>
        <w:rPr>
          <w:sz w:val="24"/>
        </w:rPr>
        <w:t>satisfied:</w:t>
      </w:r>
    </w:p>
    <w:p>
      <w:pPr>
        <w:pStyle w:val="ListParagraph"/>
        <w:numPr>
          <w:ilvl w:val="4"/>
          <w:numId w:val="850"/>
        </w:numPr>
        <w:tabs>
          <w:tab w:pos="2486" w:val="left" w:leader="none"/>
        </w:tabs>
        <w:spacing w:line="240" w:lineRule="auto" w:before="3" w:after="0"/>
        <w:ind w:left="2486" w:right="417" w:hanging="567"/>
        <w:jc w:val="both"/>
        <w:rPr>
          <w:sz w:val="24"/>
        </w:rPr>
      </w:pPr>
      <w:r>
        <w:rPr>
          <w:sz w:val="24"/>
        </w:rPr>
        <w:t>the relevant Conditional Access Standards will be taken to have not been agreed for the purposes of paragraph</w:t>
      </w:r>
      <w:r>
        <w:rPr>
          <w:spacing w:val="-1"/>
          <w:sz w:val="24"/>
        </w:rPr>
        <w:t> </w:t>
      </w:r>
      <w:r>
        <w:rPr>
          <w:sz w:val="24"/>
        </w:rPr>
        <w:t>(e);</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new Chapter 5 applies for the purposes of determining all </w:t>
      </w:r>
      <w:r>
        <w:rPr>
          <w:i/>
          <w:sz w:val="24"/>
        </w:rPr>
        <w:t>access </w:t>
      </w:r>
      <w:r>
        <w:rPr>
          <w:i/>
          <w:sz w:val="24"/>
        </w:rPr>
        <w:t>standards </w:t>
      </w:r>
      <w:r>
        <w:rPr>
          <w:sz w:val="24"/>
        </w:rPr>
        <w:t>that apply to the </w:t>
      </w:r>
      <w:r>
        <w:rPr>
          <w:i/>
          <w:sz w:val="24"/>
        </w:rPr>
        <w:t>plant </w:t>
      </w:r>
      <w:r>
        <w:rPr>
          <w:sz w:val="24"/>
        </w:rPr>
        <w:t>that the </w:t>
      </w:r>
      <w:r>
        <w:rPr>
          <w:i/>
          <w:sz w:val="24"/>
        </w:rPr>
        <w:t>Connection Applicant </w:t>
      </w:r>
      <w:r>
        <w:rPr>
          <w:sz w:val="24"/>
        </w:rPr>
        <w:t>proposes to</w:t>
      </w:r>
      <w:r>
        <w:rPr>
          <w:spacing w:val="-1"/>
          <w:sz w:val="24"/>
        </w:rPr>
        <w:t> </w:t>
      </w:r>
      <w:r>
        <w:rPr>
          <w:i/>
          <w:sz w:val="24"/>
        </w:rPr>
        <w:t>connect</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Existing Application To Connect will be taken to be a valid </w:t>
      </w:r>
      <w:r>
        <w:rPr>
          <w:i/>
          <w:sz w:val="24"/>
        </w:rPr>
        <w:t>application to connect </w:t>
      </w:r>
      <w:r>
        <w:rPr>
          <w:sz w:val="24"/>
        </w:rPr>
        <w:t>under the new Chapter 5 with respect to the proposed </w:t>
      </w:r>
      <w:r>
        <w:rPr>
          <w:i/>
          <w:sz w:val="24"/>
        </w:rPr>
        <w:t>plant</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4"/>
          <w:numId w:val="850"/>
        </w:numPr>
        <w:tabs>
          <w:tab w:pos="2486" w:val="left" w:leader="none"/>
        </w:tabs>
        <w:spacing w:line="240" w:lineRule="auto" w:before="83" w:after="0"/>
        <w:ind w:left="2486" w:right="415" w:hanging="567"/>
        <w:jc w:val="both"/>
        <w:rPr>
          <w:sz w:val="24"/>
        </w:rPr>
      </w:pPr>
      <w:r>
        <w:rPr>
          <w:sz w:val="24"/>
        </w:rPr>
        <w:t>the </w:t>
      </w:r>
      <w:r>
        <w:rPr>
          <w:i/>
          <w:sz w:val="24"/>
        </w:rPr>
        <w:t>Network Service Provider </w:t>
      </w:r>
      <w:r>
        <w:rPr>
          <w:sz w:val="24"/>
        </w:rPr>
        <w:t>must, in consultation with </w:t>
      </w:r>
      <w:r>
        <w:rPr>
          <w:i/>
          <w:sz w:val="24"/>
        </w:rPr>
        <w:t>AEMO</w:t>
      </w:r>
      <w:r>
        <w:rPr>
          <w:sz w:val="24"/>
        </w:rPr>
        <w:t>, within a further 10 </w:t>
      </w:r>
      <w:r>
        <w:rPr>
          <w:i/>
          <w:sz w:val="24"/>
        </w:rPr>
        <w:t>business days </w:t>
      </w:r>
      <w:r>
        <w:rPr>
          <w:sz w:val="24"/>
        </w:rPr>
        <w:t>from the date on which the condition was not</w:t>
      </w:r>
      <w:r>
        <w:rPr>
          <w:spacing w:val="-2"/>
          <w:sz w:val="24"/>
        </w:rPr>
        <w:t> </w:t>
      </w:r>
      <w:r>
        <w:rPr>
          <w:sz w:val="24"/>
        </w:rPr>
        <w:t>satisfied:</w:t>
      </w:r>
    </w:p>
    <w:p>
      <w:pPr>
        <w:pStyle w:val="ListParagraph"/>
        <w:numPr>
          <w:ilvl w:val="5"/>
          <w:numId w:val="850"/>
        </w:numPr>
        <w:tabs>
          <w:tab w:pos="3053" w:val="left" w:leader="none"/>
        </w:tabs>
        <w:spacing w:line="240" w:lineRule="auto" w:before="120" w:after="0"/>
        <w:ind w:left="3053" w:right="415" w:hanging="567"/>
        <w:jc w:val="both"/>
        <w:rPr>
          <w:sz w:val="24"/>
        </w:rPr>
      </w:pPr>
      <w:r>
        <w:rPr>
          <w:sz w:val="24"/>
        </w:rPr>
        <w:t>notify the </w:t>
      </w:r>
      <w:r>
        <w:rPr>
          <w:i/>
          <w:sz w:val="24"/>
        </w:rPr>
        <w:t>Connection Applicant </w:t>
      </w:r>
      <w:r>
        <w:rPr>
          <w:sz w:val="24"/>
        </w:rPr>
        <w:t>that the relevant Conditional Access Standards are no longer Agreed Access Standards and that the Existing Application To Connect will be treated as an </w:t>
      </w:r>
      <w:r>
        <w:rPr>
          <w:i/>
          <w:sz w:val="24"/>
        </w:rPr>
        <w:t>application to connect </w:t>
      </w:r>
      <w:r>
        <w:rPr>
          <w:sz w:val="24"/>
        </w:rPr>
        <w:t>under the new Chapter 5;</w:t>
      </w:r>
      <w:r>
        <w:rPr>
          <w:spacing w:val="-2"/>
          <w:sz w:val="24"/>
        </w:rPr>
        <w:t> </w:t>
      </w:r>
      <w:r>
        <w:rPr>
          <w:sz w:val="24"/>
        </w:rPr>
        <w:t>and</w:t>
      </w:r>
    </w:p>
    <w:p>
      <w:pPr>
        <w:pStyle w:val="ListParagraph"/>
        <w:numPr>
          <w:ilvl w:val="5"/>
          <w:numId w:val="850"/>
        </w:numPr>
        <w:tabs>
          <w:tab w:pos="3054" w:val="left" w:leader="none"/>
        </w:tabs>
        <w:spacing w:line="240" w:lineRule="auto" w:before="120" w:after="0"/>
        <w:ind w:left="3053" w:right="0" w:hanging="568"/>
        <w:jc w:val="both"/>
        <w:rPr>
          <w:sz w:val="24"/>
        </w:rPr>
      </w:pPr>
      <w:r>
        <w:rPr>
          <w:sz w:val="24"/>
        </w:rPr>
        <w:t>provide</w:t>
      </w:r>
      <w:r>
        <w:rPr>
          <w:spacing w:val="35"/>
          <w:sz w:val="24"/>
        </w:rPr>
        <w:t> </w:t>
      </w:r>
      <w:r>
        <w:rPr>
          <w:sz w:val="24"/>
        </w:rPr>
        <w:t>the</w:t>
      </w:r>
      <w:r>
        <w:rPr>
          <w:spacing w:val="36"/>
          <w:sz w:val="24"/>
        </w:rPr>
        <w:t> </w:t>
      </w:r>
      <w:r>
        <w:rPr>
          <w:i/>
          <w:sz w:val="24"/>
        </w:rPr>
        <w:t>Connection</w:t>
      </w:r>
      <w:r>
        <w:rPr>
          <w:i/>
          <w:spacing w:val="36"/>
          <w:sz w:val="24"/>
        </w:rPr>
        <w:t> </w:t>
      </w:r>
      <w:r>
        <w:rPr>
          <w:i/>
          <w:sz w:val="24"/>
        </w:rPr>
        <w:t>Applicant</w:t>
      </w:r>
      <w:r>
        <w:rPr>
          <w:i/>
          <w:spacing w:val="35"/>
          <w:sz w:val="24"/>
        </w:rPr>
        <w:t> </w:t>
      </w:r>
      <w:r>
        <w:rPr>
          <w:sz w:val="24"/>
        </w:rPr>
        <w:t>notified</w:t>
      </w:r>
      <w:r>
        <w:rPr>
          <w:spacing w:val="36"/>
          <w:sz w:val="24"/>
        </w:rPr>
        <w:t> </w:t>
      </w:r>
      <w:r>
        <w:rPr>
          <w:sz w:val="24"/>
        </w:rPr>
        <w:t>under</w:t>
      </w:r>
      <w:r>
        <w:rPr>
          <w:spacing w:val="36"/>
          <w:sz w:val="24"/>
        </w:rPr>
        <w:t> </w:t>
      </w:r>
      <w:r>
        <w:rPr>
          <w:sz w:val="24"/>
        </w:rPr>
        <w:t>subparagraph</w:t>
      </w:r>
    </w:p>
    <w:p>
      <w:pPr>
        <w:pStyle w:val="BodyText"/>
        <w:spacing w:before="0"/>
        <w:ind w:left="3053" w:right="416" w:firstLine="0"/>
      </w:pPr>
      <w:r>
        <w:rPr/>
        <w:t>(i) with the further information and notice specified in subparagraph (b)(3)(ii) (where applicable); 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w:t>
      </w:r>
      <w:r>
        <w:rPr>
          <w:i/>
          <w:sz w:val="24"/>
        </w:rPr>
        <w:t>Network Service Provider </w:t>
      </w:r>
      <w:r>
        <w:rPr>
          <w:sz w:val="24"/>
        </w:rPr>
        <w:t>must comply with the requirements of paragraphs (c) and</w:t>
      </w:r>
      <w:r>
        <w:rPr>
          <w:spacing w:val="-1"/>
          <w:sz w:val="24"/>
        </w:rPr>
        <w:t> </w:t>
      </w:r>
      <w:r>
        <w:rPr>
          <w:sz w:val="24"/>
        </w:rPr>
        <w:t>(d).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Notwithstanding this clause 11.109.3, and subject to paragraph (f), if the </w:t>
      </w:r>
      <w:r>
        <w:rPr>
          <w:i/>
          <w:sz w:val="24"/>
        </w:rPr>
        <w:t>Network Service Provider </w:t>
      </w:r>
      <w:r>
        <w:rPr>
          <w:sz w:val="24"/>
        </w:rPr>
        <w:t>provides written confirmation to a </w:t>
      </w:r>
      <w:r>
        <w:rPr>
          <w:i/>
          <w:sz w:val="24"/>
        </w:rPr>
        <w:t>Connection </w:t>
      </w:r>
      <w:r>
        <w:rPr>
          <w:i/>
          <w:sz w:val="24"/>
        </w:rPr>
        <w:t>Applicant </w:t>
      </w:r>
      <w:r>
        <w:rPr>
          <w:sz w:val="24"/>
        </w:rPr>
        <w:t>under subparagraphs (e)(1) or (e)(2) (as applicable), the former Chapter 5 applies for the purposes of determining the </w:t>
      </w:r>
      <w:r>
        <w:rPr>
          <w:i/>
          <w:sz w:val="24"/>
        </w:rPr>
        <w:t>access standards </w:t>
      </w:r>
      <w:r>
        <w:rPr>
          <w:sz w:val="24"/>
        </w:rPr>
        <w:t>that apply to the </w:t>
      </w:r>
      <w:r>
        <w:rPr>
          <w:i/>
          <w:sz w:val="24"/>
        </w:rPr>
        <w:t>plant </w:t>
      </w:r>
      <w:r>
        <w:rPr>
          <w:sz w:val="24"/>
        </w:rPr>
        <w:t>that the </w:t>
      </w:r>
      <w:r>
        <w:rPr>
          <w:i/>
          <w:sz w:val="24"/>
        </w:rPr>
        <w:t>Connection Applicant </w:t>
      </w:r>
      <w:r>
        <w:rPr>
          <w:sz w:val="24"/>
        </w:rPr>
        <w:t>proposes to </w:t>
      </w:r>
      <w:r>
        <w:rPr>
          <w:i/>
          <w:sz w:val="24"/>
        </w:rPr>
        <w:t>connect </w:t>
      </w:r>
      <w:r>
        <w:rPr>
          <w:spacing w:val="-3"/>
          <w:sz w:val="24"/>
        </w:rPr>
        <w:t>under </w:t>
      </w:r>
      <w:r>
        <w:rPr>
          <w:sz w:val="24"/>
        </w:rPr>
        <w:t>that Existing Application To</w:t>
      </w:r>
      <w:r>
        <w:rPr>
          <w:spacing w:val="-1"/>
          <w:sz w:val="24"/>
        </w:rPr>
        <w:t> </w:t>
      </w:r>
      <w:r>
        <w:rPr>
          <w:sz w:val="24"/>
        </w:rPr>
        <w:t>Connect.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09.4 Application of the Amending Rul" w:id="3403"/>
      <w:bookmarkEnd w:id="3403"/>
      <w:r>
        <w:rPr>
          <w:b w:val="0"/>
        </w:rPr>
      </w:r>
      <w:bookmarkStart w:name="_bookmark1347" w:id="3404"/>
      <w:bookmarkEnd w:id="3404"/>
      <w:r>
        <w:rPr>
          <w:b w:val="0"/>
        </w:rPr>
      </w:r>
      <w:bookmarkStart w:name="_bookmark1347" w:id="3405"/>
      <w:bookmarkEnd w:id="3405"/>
      <w:r>
        <w:rPr/>
        <w:t>Applicatio</w:t>
      </w:r>
      <w:r>
        <w:rPr/>
        <w:t>n of the Amending Rule to existing offers to</w:t>
      </w:r>
      <w:r>
        <w:rPr>
          <w:spacing w:val="-15"/>
        </w:rPr>
        <w:t> </w:t>
      </w:r>
      <w:r>
        <w:rPr/>
        <w:t>connect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This</w:t>
      </w:r>
      <w:r>
        <w:rPr>
          <w:spacing w:val="10"/>
          <w:sz w:val="24"/>
        </w:rPr>
        <w:t> </w:t>
      </w:r>
      <w:r>
        <w:rPr>
          <w:sz w:val="24"/>
        </w:rPr>
        <w:t>clause</w:t>
      </w:r>
      <w:r>
        <w:rPr>
          <w:spacing w:val="11"/>
          <w:sz w:val="24"/>
        </w:rPr>
        <w:t> </w:t>
      </w:r>
      <w:r>
        <w:rPr>
          <w:sz w:val="24"/>
        </w:rPr>
        <w:t>11.109.4</w:t>
      </w:r>
      <w:r>
        <w:rPr>
          <w:spacing w:val="11"/>
          <w:sz w:val="24"/>
        </w:rPr>
        <w:t> </w:t>
      </w:r>
      <w:r>
        <w:rPr>
          <w:sz w:val="24"/>
        </w:rPr>
        <w:t>applies</w:t>
      </w:r>
      <w:r>
        <w:rPr>
          <w:spacing w:val="10"/>
          <w:sz w:val="24"/>
        </w:rPr>
        <w:t> </w:t>
      </w:r>
      <w:r>
        <w:rPr>
          <w:sz w:val="24"/>
        </w:rPr>
        <w:t>where,</w:t>
      </w:r>
      <w:r>
        <w:rPr>
          <w:spacing w:val="11"/>
          <w:sz w:val="24"/>
        </w:rPr>
        <w:t> </w:t>
      </w:r>
      <w:r>
        <w:rPr>
          <w:sz w:val="24"/>
        </w:rPr>
        <w:t>before</w:t>
      </w:r>
      <w:r>
        <w:rPr>
          <w:spacing w:val="11"/>
          <w:sz w:val="24"/>
        </w:rPr>
        <w:t> </w:t>
      </w:r>
      <w:r>
        <w:rPr>
          <w:sz w:val="24"/>
        </w:rPr>
        <w:t>the</w:t>
      </w:r>
      <w:r>
        <w:rPr>
          <w:spacing w:val="10"/>
          <w:sz w:val="24"/>
        </w:rPr>
        <w:t> </w:t>
      </w:r>
      <w:r>
        <w:rPr>
          <w:sz w:val="24"/>
        </w:rPr>
        <w:t>commencement</w:t>
      </w:r>
      <w:r>
        <w:rPr>
          <w:spacing w:val="11"/>
          <w:sz w:val="24"/>
        </w:rPr>
        <w:t> </w:t>
      </w:r>
      <w:r>
        <w:rPr>
          <w:sz w:val="24"/>
        </w:rPr>
        <w:t>date,</w:t>
      </w:r>
      <w:r>
        <w:rPr>
          <w:spacing w:val="11"/>
          <w:sz w:val="24"/>
        </w:rPr>
        <w:t> </w:t>
      </w:r>
      <w:r>
        <w:rPr>
          <w:sz w:val="24"/>
        </w:rPr>
        <w:t>a</w:t>
      </w:r>
    </w:p>
    <w:p>
      <w:pPr>
        <w:spacing w:before="0"/>
        <w:ind w:left="1919" w:right="0" w:firstLine="0"/>
        <w:jc w:val="both"/>
        <w:rPr>
          <w:sz w:val="24"/>
        </w:rPr>
      </w:pPr>
      <w:r>
        <w:rPr>
          <w:i/>
          <w:sz w:val="24"/>
        </w:rPr>
        <w:t>Connection Applicant</w:t>
      </w:r>
      <w:r>
        <w:rPr>
          <w:sz w:val="24"/>
        </w:rPr>
        <w:t>:</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has received a valid offer to </w:t>
      </w:r>
      <w:r>
        <w:rPr>
          <w:i/>
          <w:sz w:val="24"/>
        </w:rPr>
        <w:t>connect </w:t>
      </w:r>
      <w:r>
        <w:rPr>
          <w:sz w:val="24"/>
        </w:rPr>
        <w:t>from the relevant </w:t>
      </w:r>
      <w:r>
        <w:rPr>
          <w:i/>
          <w:sz w:val="24"/>
        </w:rPr>
        <w:t>Network </w:t>
      </w:r>
      <w:r>
        <w:rPr>
          <w:i/>
          <w:sz w:val="24"/>
        </w:rPr>
        <w:t>Service Provider </w:t>
      </w:r>
      <w:r>
        <w:rPr>
          <w:sz w:val="24"/>
        </w:rPr>
        <w:t>in respect of an </w:t>
      </w:r>
      <w:r>
        <w:rPr>
          <w:i/>
          <w:sz w:val="24"/>
        </w:rPr>
        <w:t>application to connect</w:t>
      </w:r>
      <w:r>
        <w:rPr>
          <w:sz w:val="24"/>
        </w:rPr>
        <w:t>;</w:t>
      </w:r>
      <w:r>
        <w:rPr>
          <w:spacing w:val="-4"/>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has not entered into a </w:t>
      </w:r>
      <w:r>
        <w:rPr>
          <w:i/>
          <w:sz w:val="24"/>
        </w:rPr>
        <w:t>connection agreement </w:t>
      </w:r>
      <w:r>
        <w:rPr>
          <w:sz w:val="24"/>
        </w:rPr>
        <w:t>with the relevant </w:t>
      </w:r>
      <w:r>
        <w:rPr>
          <w:i/>
          <w:sz w:val="24"/>
        </w:rPr>
        <w:t>Network </w:t>
      </w:r>
      <w:r>
        <w:rPr>
          <w:i/>
          <w:sz w:val="24"/>
        </w:rPr>
        <w:t>Service Provider </w:t>
      </w:r>
      <w:r>
        <w:rPr>
          <w:sz w:val="24"/>
        </w:rPr>
        <w:t>in respect of that </w:t>
      </w:r>
      <w:r>
        <w:rPr>
          <w:i/>
          <w:sz w:val="24"/>
        </w:rPr>
        <w:t>application to</w:t>
      </w:r>
      <w:r>
        <w:rPr>
          <w:i/>
          <w:spacing w:val="-2"/>
          <w:sz w:val="24"/>
        </w:rPr>
        <w:t> </w:t>
      </w:r>
      <w:r>
        <w:rPr>
          <w:i/>
          <w:sz w:val="24"/>
        </w:rPr>
        <w:t>connect</w:t>
      </w:r>
      <w:r>
        <w:rPr>
          <w:sz w:val="24"/>
        </w:rPr>
        <w:t>.</w:t>
      </w:r>
    </w:p>
    <w:p>
      <w:pPr>
        <w:pStyle w:val="ListParagraph"/>
        <w:numPr>
          <w:ilvl w:val="3"/>
          <w:numId w:val="850"/>
        </w:numPr>
        <w:tabs>
          <w:tab w:pos="1919" w:val="left" w:leader="none"/>
        </w:tabs>
        <w:spacing w:line="240" w:lineRule="auto" w:before="120" w:after="0"/>
        <w:ind w:left="1919" w:right="415" w:hanging="567"/>
        <w:jc w:val="both"/>
        <w:rPr>
          <w:i/>
          <w:sz w:val="24"/>
        </w:rPr>
      </w:pPr>
      <w:r>
        <w:rPr>
          <w:sz w:val="24"/>
        </w:rPr>
        <w:t>On and from the commencement date, the former Chapter 5 applies for the purposes of determining the </w:t>
      </w:r>
      <w:r>
        <w:rPr>
          <w:i/>
          <w:sz w:val="24"/>
        </w:rPr>
        <w:t>access standards </w:t>
      </w:r>
      <w:r>
        <w:rPr>
          <w:sz w:val="24"/>
        </w:rPr>
        <w:t>that apply to the </w:t>
      </w:r>
      <w:r>
        <w:rPr>
          <w:i/>
          <w:sz w:val="24"/>
        </w:rPr>
        <w:t>plant </w:t>
      </w:r>
      <w:r>
        <w:rPr>
          <w:sz w:val="24"/>
        </w:rPr>
        <w:t>that the </w:t>
      </w:r>
      <w:r>
        <w:rPr>
          <w:i/>
          <w:sz w:val="24"/>
        </w:rPr>
        <w:t>Connection Applicant </w:t>
      </w:r>
      <w:r>
        <w:rPr>
          <w:sz w:val="24"/>
        </w:rPr>
        <w:t>proposes to </w:t>
      </w:r>
      <w:r>
        <w:rPr>
          <w:i/>
          <w:sz w:val="24"/>
        </w:rPr>
        <w:t>connect </w:t>
      </w:r>
      <w:r>
        <w:rPr>
          <w:sz w:val="24"/>
        </w:rPr>
        <w:t>under that offer to</w:t>
      </w:r>
      <w:r>
        <w:rPr>
          <w:spacing w:val="-2"/>
          <w:sz w:val="24"/>
        </w:rPr>
        <w:t> </w:t>
      </w:r>
      <w:r>
        <w:rPr>
          <w:i/>
          <w:sz w:val="24"/>
        </w:rPr>
        <w:t>connect.</w:t>
      </w:r>
    </w:p>
    <w:p>
      <w:pPr>
        <w:pStyle w:val="BodyText"/>
        <w:spacing w:before="10"/>
        <w:ind w:firstLine="0"/>
        <w:jc w:val="left"/>
        <w:rPr>
          <w:i/>
          <w:sz w:val="20"/>
        </w:rPr>
      </w:pPr>
    </w:p>
    <w:p>
      <w:pPr>
        <w:pStyle w:val="Heading4"/>
        <w:numPr>
          <w:ilvl w:val="2"/>
          <w:numId w:val="850"/>
        </w:numPr>
        <w:tabs>
          <w:tab w:pos="1352" w:val="left" w:leader="none"/>
        </w:tabs>
        <w:spacing w:line="240" w:lineRule="auto" w:before="0" w:after="0"/>
        <w:ind w:left="1352" w:right="1821" w:hanging="1134"/>
        <w:jc w:val="left"/>
      </w:pPr>
      <w:bookmarkStart w:name="11.109.5 Application of the Amending Rul" w:id="3406"/>
      <w:bookmarkEnd w:id="3406"/>
      <w:r>
        <w:rPr>
          <w:b w:val="0"/>
        </w:rPr>
      </w:r>
      <w:bookmarkStart w:name="_bookmark1348" w:id="3407"/>
      <w:bookmarkEnd w:id="3407"/>
      <w:r>
        <w:rPr>
          <w:b w:val="0"/>
        </w:rPr>
      </w:r>
      <w:bookmarkStart w:name="_bookmark1348" w:id="3408"/>
      <w:bookmarkEnd w:id="3408"/>
      <w:r>
        <w:rPr/>
        <w:t>Applicatio</w:t>
      </w:r>
      <w:r>
        <w:rPr/>
        <w:t>n of the Amending Rule to Existing Connection Agreements</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Amending Rule is neither intended to, nor to be read or construed as having, the effect</w:t>
      </w:r>
      <w:r>
        <w:rPr>
          <w:spacing w:val="-1"/>
          <w:sz w:val="24"/>
        </w:rPr>
        <w:t> </w:t>
      </w:r>
      <w:r>
        <w:rPr>
          <w:sz w:val="24"/>
        </w:rPr>
        <w:t>of:</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altering the terms of an Existing Connection</w:t>
      </w:r>
      <w:r>
        <w:rPr>
          <w:spacing w:val="-2"/>
          <w:sz w:val="24"/>
        </w:rPr>
        <w:t> </w:t>
      </w:r>
      <w:r>
        <w:rPr>
          <w:sz w:val="24"/>
        </w:rPr>
        <w:t>Agreement;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altering the contractual rights or obligations of any of the parties under an Existing Connection Agreement;</w:t>
      </w:r>
      <w:r>
        <w:rPr>
          <w:spacing w:val="-1"/>
          <w:sz w:val="24"/>
        </w:rPr>
        <w:t> </w:t>
      </w:r>
      <w:r>
        <w:rPr>
          <w:sz w:val="24"/>
        </w:rPr>
        <w:t>or</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relieving the parties under any such Existing Connection Agreement of their contractual obligations under such an</w:t>
      </w:r>
      <w:r>
        <w:rPr>
          <w:spacing w:val="-4"/>
          <w:sz w:val="24"/>
        </w:rPr>
        <w:t> </w:t>
      </w:r>
      <w:r>
        <w:rPr>
          <w:sz w:val="24"/>
        </w:rPr>
        <w:t>agreement.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Subject to paragraph (c), if, after the commencement date, a Generator who has entered into an Existing Connection Agreement is required, in accordance with the </w:t>
      </w:r>
      <w:r>
        <w:rPr>
          <w:i/>
          <w:sz w:val="24"/>
        </w:rPr>
        <w:t>Rules</w:t>
      </w:r>
      <w:r>
        <w:rPr>
          <w:sz w:val="24"/>
        </w:rPr>
        <w:t>, to amend any of the </w:t>
      </w:r>
      <w:r>
        <w:rPr>
          <w:i/>
          <w:sz w:val="24"/>
        </w:rPr>
        <w:t>performance standards </w:t>
      </w:r>
      <w:r>
        <w:rPr>
          <w:sz w:val="24"/>
        </w:rPr>
        <w:t>set out in that Existing Connection Agreement, then the new Chapter 5 applies for the purposes of amending such </w:t>
      </w:r>
      <w:r>
        <w:rPr>
          <w:i/>
          <w:sz w:val="24"/>
        </w:rPr>
        <w:t>performance</w:t>
      </w:r>
      <w:r>
        <w:rPr>
          <w:i/>
          <w:spacing w:val="-4"/>
          <w:sz w:val="24"/>
        </w:rPr>
        <w:t> </w:t>
      </w:r>
      <w:r>
        <w:rPr>
          <w:i/>
          <w:sz w:val="24"/>
        </w:rPr>
        <w:t>standards</w:t>
      </w:r>
      <w:r>
        <w:rPr>
          <w:sz w:val="24"/>
        </w:rPr>
        <w:t>.</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9" w:val="left" w:leader="none"/>
        </w:tabs>
        <w:spacing w:line="240" w:lineRule="auto" w:before="83" w:after="0"/>
        <w:ind w:left="1919" w:right="415" w:hanging="567"/>
        <w:jc w:val="both"/>
        <w:rPr>
          <w:sz w:val="24"/>
        </w:rPr>
      </w:pPr>
      <w:r>
        <w:rPr>
          <w:sz w:val="24"/>
        </w:rPr>
        <w:t>The former Chapter 5 applies to a </w:t>
      </w:r>
      <w:r>
        <w:rPr>
          <w:i/>
          <w:sz w:val="24"/>
        </w:rPr>
        <w:t>Generator </w:t>
      </w:r>
      <w:r>
        <w:rPr>
          <w:sz w:val="24"/>
        </w:rPr>
        <w:t>who, as at the commencement date, has proposed to alter its </w:t>
      </w:r>
      <w:r>
        <w:rPr>
          <w:i/>
          <w:sz w:val="24"/>
        </w:rPr>
        <w:t>generating system </w:t>
      </w:r>
      <w:r>
        <w:rPr>
          <w:sz w:val="24"/>
        </w:rPr>
        <w:t>and has advised </w:t>
      </w:r>
      <w:r>
        <w:rPr>
          <w:i/>
          <w:sz w:val="24"/>
        </w:rPr>
        <w:t>AEMO </w:t>
      </w:r>
      <w:r>
        <w:rPr>
          <w:sz w:val="24"/>
        </w:rPr>
        <w:t>in accordance with clause 5.3.9,</w:t>
      </w:r>
      <w:r>
        <w:rPr>
          <w:spacing w:val="-3"/>
          <w:sz w:val="24"/>
        </w:rPr>
        <w:t> </w:t>
      </w:r>
      <w:r>
        <w:rPr>
          <w:sz w:val="24"/>
        </w:rPr>
        <w:t>unless:</w:t>
      </w:r>
    </w:p>
    <w:p>
      <w:pPr>
        <w:pStyle w:val="ListParagraph"/>
        <w:numPr>
          <w:ilvl w:val="4"/>
          <w:numId w:val="850"/>
        </w:numPr>
        <w:tabs>
          <w:tab w:pos="2486" w:val="left" w:leader="none"/>
        </w:tabs>
        <w:spacing w:line="240" w:lineRule="auto" w:before="120" w:after="0"/>
        <w:ind w:left="2485" w:right="0" w:hanging="567"/>
        <w:jc w:val="both"/>
        <w:rPr>
          <w:i/>
          <w:sz w:val="24"/>
        </w:rPr>
      </w:pPr>
      <w:r>
        <w:rPr>
          <w:i/>
          <w:sz w:val="24"/>
        </w:rPr>
        <w:t>AEMO</w:t>
      </w:r>
      <w:r>
        <w:rPr>
          <w:sz w:val="24"/>
        </w:rPr>
        <w:t>, the </w:t>
      </w:r>
      <w:r>
        <w:rPr>
          <w:i/>
          <w:sz w:val="24"/>
        </w:rPr>
        <w:t>Generator </w:t>
      </w:r>
      <w:r>
        <w:rPr>
          <w:sz w:val="24"/>
        </w:rPr>
        <w:t>and the relevant </w:t>
      </w:r>
      <w:r>
        <w:rPr>
          <w:i/>
          <w:sz w:val="24"/>
        </w:rPr>
        <w:t>Network Service</w:t>
      </w:r>
      <w:r>
        <w:rPr>
          <w:i/>
          <w:spacing w:val="25"/>
          <w:sz w:val="24"/>
        </w:rPr>
        <w:t> </w:t>
      </w:r>
      <w:r>
        <w:rPr>
          <w:i/>
          <w:sz w:val="24"/>
        </w:rPr>
        <w:t>Provider</w:t>
      </w:r>
    </w:p>
    <w:p>
      <w:pPr>
        <w:pStyle w:val="BodyText"/>
        <w:spacing w:before="0"/>
        <w:ind w:left="2486" w:firstLine="0"/>
      </w:pPr>
      <w:r>
        <w:rPr/>
        <w:t>agree otherwise; or</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in </w:t>
      </w:r>
      <w:r>
        <w:rPr>
          <w:i/>
          <w:sz w:val="24"/>
        </w:rPr>
        <w:t>AEMO</w:t>
      </w:r>
      <w:r>
        <w:rPr>
          <w:sz w:val="24"/>
        </w:rPr>
        <w:t>'s reasonable opinion (in respect of an </w:t>
      </w:r>
      <w:r>
        <w:rPr>
          <w:i/>
          <w:sz w:val="24"/>
        </w:rPr>
        <w:t>AEMO advisory </w:t>
      </w:r>
      <w:r>
        <w:rPr>
          <w:i/>
          <w:sz w:val="24"/>
        </w:rPr>
        <w:t>matter</w:t>
      </w:r>
      <w:r>
        <w:rPr>
          <w:sz w:val="24"/>
        </w:rPr>
        <w:t>), there will be an adverse impact on </w:t>
      </w:r>
      <w:r>
        <w:rPr>
          <w:i/>
          <w:sz w:val="24"/>
        </w:rPr>
        <w:t>power system security </w:t>
      </w:r>
      <w:r>
        <w:rPr>
          <w:sz w:val="24"/>
        </w:rPr>
        <w:t>as a result of the application of former Chapter</w:t>
      </w:r>
      <w:r>
        <w:rPr>
          <w:spacing w:val="-1"/>
          <w:sz w:val="24"/>
        </w:rPr>
        <w:t> </w:t>
      </w:r>
      <w:r>
        <w:rPr>
          <w:sz w:val="24"/>
        </w:rPr>
        <w:t>5.</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Amending Rule is neither intended to have, nor is it to be read or construed as having, the effect of changing the application of clause 11.6.11 (if applicable) in relation to </w:t>
      </w:r>
      <w:r>
        <w:rPr>
          <w:i/>
          <w:sz w:val="24"/>
        </w:rPr>
        <w:t>connection services </w:t>
      </w:r>
      <w:r>
        <w:rPr>
          <w:sz w:val="24"/>
        </w:rPr>
        <w:t>provided under an Existing Connection</w:t>
      </w:r>
      <w:r>
        <w:rPr>
          <w:spacing w:val="-1"/>
          <w:sz w:val="24"/>
        </w:rPr>
        <w:t> </w:t>
      </w:r>
      <w:r>
        <w:rPr>
          <w:sz w:val="24"/>
        </w:rPr>
        <w:t>Agreement.</w:t>
      </w:r>
    </w:p>
    <w:p>
      <w:pPr>
        <w:pStyle w:val="BodyText"/>
        <w:spacing w:before="10"/>
        <w:ind w:firstLine="0"/>
        <w:jc w:val="left"/>
        <w:rPr>
          <w:sz w:val="20"/>
        </w:rPr>
      </w:pPr>
    </w:p>
    <w:p>
      <w:pPr>
        <w:pStyle w:val="Heading2"/>
        <w:tabs>
          <w:tab w:pos="9317" w:val="left" w:leader="none"/>
        </w:tabs>
      </w:pPr>
      <w:bookmarkStart w:name="Part ZZZL Generator three year notice of" w:id="3409"/>
      <w:bookmarkEnd w:id="3409"/>
      <w:r>
        <w:rPr>
          <w:b w:val="0"/>
        </w:rPr>
      </w:r>
      <w:bookmarkStart w:name="_bookmark1349" w:id="3410"/>
      <w:bookmarkEnd w:id="3410"/>
      <w:r>
        <w:rPr>
          <w:b w:val="0"/>
        </w:rPr>
      </w:r>
      <w:r>
        <w:rPr>
          <w:shd w:fill="D9D9D9" w:color="auto" w:val="clear"/>
        </w:rPr>
        <w:t>Part ZZZL  Generator three year notice of</w:t>
      </w:r>
      <w:r>
        <w:rPr>
          <w:spacing w:val="-33"/>
          <w:shd w:fill="D9D9D9" w:color="auto" w:val="clear"/>
        </w:rPr>
        <w:t> </w:t>
      </w:r>
      <w:r>
        <w:rPr>
          <w:shd w:fill="D9D9D9" w:color="auto" w:val="clear"/>
        </w:rPr>
        <w:t>closure</w:t>
        <w:tab/>
      </w:r>
    </w:p>
    <w:p>
      <w:pPr>
        <w:pStyle w:val="Heading3"/>
        <w:numPr>
          <w:ilvl w:val="1"/>
          <w:numId w:val="850"/>
        </w:numPr>
        <w:tabs>
          <w:tab w:pos="1351" w:val="left" w:leader="none"/>
          <w:tab w:pos="1353" w:val="left" w:leader="none"/>
        </w:tabs>
        <w:spacing w:line="240" w:lineRule="auto" w:before="240" w:after="0"/>
        <w:ind w:left="1352" w:right="611" w:hanging="1134"/>
        <w:jc w:val="left"/>
      </w:pPr>
      <w:bookmarkStart w:name="11.110 Rules consequential on the making" w:id="3411"/>
      <w:bookmarkEnd w:id="3411"/>
      <w:r>
        <w:rPr>
          <w:b w:val="0"/>
        </w:rPr>
      </w:r>
      <w:bookmarkStart w:name="_bookmark1350" w:id="3412"/>
      <w:bookmarkEnd w:id="3412"/>
      <w:r>
        <w:rPr>
          <w:b w:val="0"/>
        </w:rPr>
      </w:r>
      <w:bookmarkStart w:name="_bookmark1350" w:id="3413"/>
      <w:bookmarkEnd w:id="3413"/>
      <w:r>
        <w:rPr/>
        <w:t>Rul</w:t>
      </w:r>
      <w:r>
        <w:rPr/>
        <w:t>es consequential on the making of the National Electricity Amendment (Generator three year notice of closure) Rule</w:t>
      </w:r>
      <w:r>
        <w:rPr>
          <w:spacing w:val="-28"/>
        </w:rPr>
        <w:t> </w:t>
      </w:r>
      <w:r>
        <w:rPr/>
        <w:t>2018</w:t>
      </w:r>
    </w:p>
    <w:p>
      <w:pPr>
        <w:pStyle w:val="Heading4"/>
        <w:numPr>
          <w:ilvl w:val="2"/>
          <w:numId w:val="850"/>
        </w:numPr>
        <w:tabs>
          <w:tab w:pos="1352" w:val="left" w:leader="none"/>
        </w:tabs>
        <w:spacing w:line="240" w:lineRule="auto" w:before="240" w:after="0"/>
        <w:ind w:left="1351" w:right="0" w:hanging="1134"/>
        <w:jc w:val="left"/>
      </w:pPr>
      <w:bookmarkStart w:name="11.110.1 Definitions" w:id="3414"/>
      <w:bookmarkEnd w:id="3414"/>
      <w:r>
        <w:rPr>
          <w:b w:val="0"/>
        </w:rPr>
      </w:r>
      <w:bookmarkStart w:name="_bookmark1351" w:id="3415"/>
      <w:bookmarkEnd w:id="3415"/>
      <w:r>
        <w:rPr>
          <w:b w:val="0"/>
        </w:rPr>
      </w:r>
      <w:bookmarkStart w:name="_bookmark1351" w:id="3416"/>
      <w:bookmarkEnd w:id="3416"/>
      <w:r>
        <w:rPr/>
        <w:t>Definition</w:t>
      </w:r>
      <w:r>
        <w:rPr/>
        <w:t>s</w:t>
      </w:r>
    </w:p>
    <w:p>
      <w:pPr>
        <w:pStyle w:val="BodyText"/>
        <w:ind w:left="1352" w:firstLine="0"/>
        <w:jc w:val="left"/>
      </w:pPr>
      <w:r>
        <w:rPr/>
        <w:t>For the purposes of this rule 11.110:</w:t>
      </w:r>
    </w:p>
    <w:p>
      <w:pPr>
        <w:pStyle w:val="BodyText"/>
        <w:ind w:left="1352" w:right="565" w:firstLine="0"/>
        <w:jc w:val="left"/>
      </w:pPr>
      <w:r>
        <w:rPr>
          <w:b/>
        </w:rPr>
        <w:t>Amending Rule </w:t>
      </w:r>
      <w:r>
        <w:rPr/>
        <w:t>means the National Electricity Amendment (Generator three  year notice of closure) Rule</w:t>
      </w:r>
      <w:r>
        <w:rPr>
          <w:spacing w:val="-1"/>
        </w:rPr>
        <w:t> </w:t>
      </w:r>
      <w:r>
        <w:rPr/>
        <w:t>2018.</w:t>
      </w:r>
    </w:p>
    <w:p>
      <w:pPr>
        <w:spacing w:before="120"/>
        <w:ind w:left="1352" w:right="0" w:firstLine="0"/>
        <w:jc w:val="left"/>
        <w:rPr>
          <w:sz w:val="24"/>
        </w:rPr>
      </w:pPr>
      <w:r>
        <w:rPr>
          <w:b/>
          <w:sz w:val="24"/>
        </w:rPr>
        <w:t>notice of closure exemption guideline </w:t>
      </w:r>
      <w:r>
        <w:rPr>
          <w:sz w:val="24"/>
        </w:rPr>
        <w:t>means the first guideline made by the</w:t>
      </w:r>
    </w:p>
    <w:p>
      <w:pPr>
        <w:pStyle w:val="BodyText"/>
        <w:spacing w:before="0"/>
        <w:ind w:left="1352" w:firstLine="0"/>
        <w:jc w:val="left"/>
      </w:pPr>
      <w:r>
        <w:rPr>
          <w:i/>
        </w:rPr>
        <w:t>AER </w:t>
      </w:r>
      <w:r>
        <w:rPr/>
        <w:t>under clause 2.10.1(c4).</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0.2 AER to develop and publish noti" w:id="3417"/>
      <w:bookmarkEnd w:id="3417"/>
      <w:r>
        <w:rPr>
          <w:b w:val="0"/>
        </w:rPr>
      </w:r>
      <w:bookmarkStart w:name="_bookmark1352" w:id="3418"/>
      <w:bookmarkEnd w:id="3418"/>
      <w:r>
        <w:rPr>
          <w:b w:val="0"/>
        </w:rPr>
      </w:r>
      <w:bookmarkStart w:name="_bookmark1352" w:id="3419"/>
      <w:bookmarkEnd w:id="3419"/>
      <w:r>
        <w:rPr/>
        <w:t>AE</w:t>
      </w:r>
      <w:r>
        <w:rPr/>
        <w:t>R to develop and publish notice of closure exemption</w:t>
      </w:r>
      <w:r>
        <w:rPr>
          <w:spacing w:val="-11"/>
        </w:rPr>
        <w:t> </w:t>
      </w:r>
      <w:r>
        <w:rPr/>
        <w:t>guideline</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make and </w:t>
      </w:r>
      <w:r>
        <w:rPr>
          <w:i/>
          <w:sz w:val="24"/>
        </w:rPr>
        <w:t>publish </w:t>
      </w:r>
      <w:r>
        <w:rPr>
          <w:sz w:val="24"/>
        </w:rPr>
        <w:t>the notice of closure exemption guideline in accordance with the </w:t>
      </w:r>
      <w:r>
        <w:rPr>
          <w:i/>
          <w:sz w:val="24"/>
        </w:rPr>
        <w:t>Rules consultation procedure </w:t>
      </w:r>
      <w:r>
        <w:rPr>
          <w:sz w:val="24"/>
        </w:rPr>
        <w:t>by no later than 31 August</w:t>
      </w:r>
      <w:r>
        <w:rPr>
          <w:spacing w:val="-2"/>
          <w:sz w:val="24"/>
        </w:rPr>
        <w:t> </w:t>
      </w:r>
      <w:r>
        <w:rPr>
          <w:sz w:val="24"/>
        </w:rPr>
        <w:t>2019.</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0.3 Application of Amending Rule to" w:id="3420"/>
      <w:bookmarkEnd w:id="3420"/>
      <w:r>
        <w:rPr>
          <w:b w:val="0"/>
        </w:rPr>
      </w:r>
      <w:bookmarkStart w:name="_bookmark1353" w:id="3421"/>
      <w:bookmarkEnd w:id="3421"/>
      <w:r>
        <w:rPr>
          <w:b w:val="0"/>
        </w:rPr>
      </w:r>
      <w:bookmarkStart w:name="_bookmark1353" w:id="3422"/>
      <w:bookmarkEnd w:id="3422"/>
      <w:r>
        <w:rPr/>
        <w:t>Applicatio</w:t>
      </w:r>
      <w:r>
        <w:rPr/>
        <w:t>n of Amending Rule to</w:t>
      </w:r>
      <w:r>
        <w:rPr>
          <w:spacing w:val="-3"/>
        </w:rPr>
        <w:t> </w:t>
      </w:r>
      <w:r>
        <w:rPr/>
        <w:t>AEMO</w:t>
      </w:r>
    </w:p>
    <w:p>
      <w:pPr>
        <w:pStyle w:val="ListParagraph"/>
        <w:numPr>
          <w:ilvl w:val="3"/>
          <w:numId w:val="850"/>
        </w:numPr>
        <w:tabs>
          <w:tab w:pos="1919" w:val="left" w:leader="none"/>
        </w:tabs>
        <w:spacing w:line="240" w:lineRule="auto" w:before="120" w:after="0"/>
        <w:ind w:left="1919" w:right="416" w:hanging="567"/>
        <w:jc w:val="both"/>
        <w:rPr>
          <w:sz w:val="24"/>
        </w:rPr>
      </w:pPr>
      <w:r>
        <w:rPr>
          <w:i/>
          <w:sz w:val="24"/>
        </w:rPr>
        <w:t>AEMO </w:t>
      </w:r>
      <w:r>
        <w:rPr>
          <w:sz w:val="24"/>
        </w:rPr>
        <w:t>is not required to comply with clause 3.13.3(a)(2A) until 1 March 2019.</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0.4 Application of Amending Rule to" w:id="3423"/>
      <w:bookmarkEnd w:id="3423"/>
      <w:r>
        <w:rPr>
          <w:b w:val="0"/>
        </w:rPr>
      </w:r>
      <w:bookmarkStart w:name="_bookmark1354" w:id="3424"/>
      <w:bookmarkEnd w:id="3424"/>
      <w:r>
        <w:rPr>
          <w:b w:val="0"/>
        </w:rPr>
      </w:r>
      <w:bookmarkStart w:name="_bookmark1354" w:id="3425"/>
      <w:bookmarkEnd w:id="3425"/>
      <w:r>
        <w:rPr/>
        <w:t>Applicatio</w:t>
      </w:r>
      <w:r>
        <w:rPr/>
        <w:t>n of Amending Rule to</w:t>
      </w:r>
      <w:r>
        <w:rPr>
          <w:spacing w:val="-3"/>
        </w:rPr>
        <w:t> </w:t>
      </w:r>
      <w:r>
        <w:rPr/>
        <w:t>Generators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Generators </w:t>
      </w:r>
      <w:r>
        <w:rPr>
          <w:sz w:val="24"/>
        </w:rPr>
        <w:t>are not required to comply with clauses 2.10.1(c1) and (c2) until 1 September</w:t>
      </w:r>
      <w:r>
        <w:rPr>
          <w:spacing w:val="-1"/>
          <w:sz w:val="24"/>
        </w:rPr>
        <w:t> </w:t>
      </w:r>
      <w:r>
        <w:rPr>
          <w:sz w:val="24"/>
        </w:rPr>
        <w:t>2019.</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 person registered as a </w:t>
      </w:r>
      <w:r>
        <w:rPr>
          <w:i/>
          <w:sz w:val="24"/>
        </w:rPr>
        <w:t>Generator </w:t>
      </w:r>
      <w:r>
        <w:rPr>
          <w:sz w:val="24"/>
        </w:rPr>
        <w:t>on or before 2 March 2019 is taken to have complied with clause 2.2.1(e)(2A)(i) if it provides its </w:t>
      </w:r>
      <w:r>
        <w:rPr>
          <w:i/>
          <w:sz w:val="24"/>
        </w:rPr>
        <w:t>expected closure </w:t>
      </w:r>
      <w:r>
        <w:rPr>
          <w:i/>
          <w:sz w:val="24"/>
        </w:rPr>
        <w:t>year </w:t>
      </w:r>
      <w:r>
        <w:rPr>
          <w:sz w:val="24"/>
        </w:rPr>
        <w:t>to </w:t>
      </w:r>
      <w:r>
        <w:rPr>
          <w:i/>
          <w:sz w:val="24"/>
        </w:rPr>
        <w:t>AEMO </w:t>
      </w:r>
      <w:r>
        <w:rPr>
          <w:sz w:val="24"/>
        </w:rPr>
        <w:t>as soon as practicable after that</w:t>
      </w:r>
      <w:r>
        <w:rPr>
          <w:spacing w:val="-3"/>
          <w:sz w:val="24"/>
        </w:rPr>
        <w:t> </w:t>
      </w:r>
      <w:r>
        <w:rPr>
          <w:sz w:val="24"/>
        </w:rPr>
        <w:t>date.</w:t>
      </w:r>
    </w:p>
    <w:p>
      <w:pPr>
        <w:spacing w:after="0" w:line="240" w:lineRule="auto"/>
        <w:jc w:val="both"/>
        <w:rPr>
          <w:sz w:val="24"/>
        </w:rPr>
        <w:sectPr>
          <w:pgSz w:w="11910" w:h="16840"/>
          <w:pgMar w:header="686" w:footer="637" w:top="1320" w:bottom="820" w:left="1200" w:right="1000"/>
        </w:sectPr>
      </w:pPr>
    </w:p>
    <w:p>
      <w:pPr>
        <w:pStyle w:val="Heading2"/>
        <w:tabs>
          <w:tab w:pos="9317" w:val="left" w:leader="none"/>
        </w:tabs>
        <w:spacing w:before="83"/>
      </w:pPr>
      <w:bookmarkStart w:name="Part ZZZM Participant compensation follo" w:id="3426"/>
      <w:bookmarkEnd w:id="3426"/>
      <w:r>
        <w:rPr>
          <w:b w:val="0"/>
        </w:rPr>
      </w:r>
      <w:bookmarkStart w:name="_bookmark1355" w:id="3427"/>
      <w:bookmarkEnd w:id="3427"/>
      <w:r>
        <w:rPr>
          <w:b w:val="0"/>
        </w:rPr>
      </w:r>
      <w:r>
        <w:rPr>
          <w:shd w:fill="D9D9D9" w:color="auto" w:val="clear"/>
        </w:rPr>
        <w:t>Part ZZZM Participant compensation following market</w:t>
      </w:r>
      <w:r>
        <w:rPr>
          <w:spacing w:val="-34"/>
          <w:shd w:fill="D9D9D9" w:color="auto" w:val="clear"/>
        </w:rPr>
        <w:t> </w:t>
      </w:r>
      <w:r>
        <w:rPr>
          <w:shd w:fill="D9D9D9" w:color="auto" w:val="clear"/>
        </w:rPr>
        <w:t>suspension</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11 Rules consequential on the making" w:id="3428"/>
      <w:bookmarkEnd w:id="3428"/>
      <w:r>
        <w:rPr>
          <w:b w:val="0"/>
        </w:rPr>
      </w:r>
      <w:bookmarkStart w:name="_bookmark1356" w:id="3429"/>
      <w:bookmarkEnd w:id="3429"/>
      <w:r>
        <w:rPr>
          <w:b w:val="0"/>
        </w:rPr>
      </w:r>
      <w:bookmarkStart w:name="_bookmark1356" w:id="3430"/>
      <w:bookmarkEnd w:id="3430"/>
      <w:r>
        <w:rPr/>
        <w:t>Rul</w:t>
      </w:r>
      <w:r>
        <w:rPr/>
        <w:t>es consequential on the making of the National Electricity Amendment (Participant compensation following market suspension) Rule</w:t>
      </w:r>
      <w:r>
        <w:rPr>
          <w:spacing w:val="-2"/>
        </w:rPr>
        <w:t> </w:t>
      </w:r>
      <w:r>
        <w:rPr/>
        <w:t>2018</w:t>
      </w:r>
    </w:p>
    <w:p>
      <w:pPr>
        <w:pStyle w:val="Heading4"/>
        <w:numPr>
          <w:ilvl w:val="2"/>
          <w:numId w:val="850"/>
        </w:numPr>
        <w:tabs>
          <w:tab w:pos="1352" w:val="left" w:leader="none"/>
        </w:tabs>
        <w:spacing w:line="240" w:lineRule="auto" w:before="240" w:after="0"/>
        <w:ind w:left="1351" w:right="0" w:hanging="1134"/>
        <w:jc w:val="left"/>
      </w:pPr>
      <w:bookmarkStart w:name="11.111.1 Definitions" w:id="3431"/>
      <w:bookmarkEnd w:id="3431"/>
      <w:r>
        <w:rPr>
          <w:b w:val="0"/>
        </w:rPr>
      </w:r>
      <w:bookmarkStart w:name="_bookmark1357" w:id="3432"/>
      <w:bookmarkEnd w:id="3432"/>
      <w:r>
        <w:rPr>
          <w:b w:val="0"/>
        </w:rPr>
      </w:r>
      <w:bookmarkStart w:name="_bookmark1357" w:id="3433"/>
      <w:bookmarkEnd w:id="3433"/>
      <w:r>
        <w:rPr/>
        <w:t>Definition</w:t>
      </w:r>
      <w:r>
        <w:rPr/>
        <w:t>s</w:t>
      </w:r>
    </w:p>
    <w:p>
      <w:pPr>
        <w:pStyle w:val="BodyText"/>
        <w:ind w:left="1352" w:firstLine="0"/>
        <w:jc w:val="left"/>
      </w:pPr>
      <w:r>
        <w:rPr/>
        <w:t>For the purposes of this rule 11.111:</w:t>
      </w:r>
    </w:p>
    <w:p>
      <w:pPr>
        <w:pStyle w:val="BodyText"/>
        <w:ind w:left="1352" w:right="415" w:firstLine="0"/>
        <w:jc w:val="left"/>
      </w:pPr>
      <w:r>
        <w:rPr>
          <w:b/>
        </w:rPr>
        <w:t>Amending Rule </w:t>
      </w:r>
      <w:r>
        <w:rPr/>
        <w:t>means the National Electricity Amendment (Participant compensation following market suspension) Rule 2018 No. 13.</w:t>
      </w:r>
    </w:p>
    <w:p>
      <w:pPr>
        <w:pStyle w:val="BodyText"/>
        <w:ind w:left="1352" w:firstLine="0"/>
        <w:jc w:val="left"/>
      </w:pPr>
      <w:r>
        <w:rPr>
          <w:b/>
        </w:rPr>
        <w:t>commencement date </w:t>
      </w:r>
      <w:r>
        <w:rPr/>
        <w:t>means the date on which Schedule 1 of the Amending Rule commences operation.</w:t>
      </w:r>
    </w:p>
    <w:p>
      <w:pPr>
        <w:spacing w:before="120"/>
        <w:ind w:left="1352" w:right="415" w:firstLine="0"/>
        <w:jc w:val="left"/>
        <w:rPr>
          <w:sz w:val="24"/>
        </w:rPr>
      </w:pPr>
      <w:r>
        <w:rPr>
          <w:b/>
          <w:sz w:val="24"/>
        </w:rPr>
        <w:t>new clause 3.14.5A </w:t>
      </w:r>
      <w:r>
        <w:rPr>
          <w:sz w:val="24"/>
        </w:rPr>
        <w:t>means clause 3.14.5A of the </w:t>
      </w:r>
      <w:r>
        <w:rPr>
          <w:i/>
          <w:sz w:val="24"/>
        </w:rPr>
        <w:t>Rules </w:t>
      </w:r>
      <w:r>
        <w:rPr>
          <w:sz w:val="24"/>
        </w:rPr>
        <w:t>as will be in force immediately after the commencement 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1019" w:hanging="1134"/>
        <w:jc w:val="left"/>
      </w:pPr>
      <w:bookmarkStart w:name="11.111.2 Market suspension compensation " w:id="3434"/>
      <w:bookmarkEnd w:id="3434"/>
      <w:r>
        <w:rPr>
          <w:b w:val="0"/>
        </w:rPr>
      </w:r>
      <w:bookmarkStart w:name="_bookmark1358" w:id="3435"/>
      <w:bookmarkEnd w:id="3435"/>
      <w:r>
        <w:rPr>
          <w:b w:val="0"/>
        </w:rPr>
      </w:r>
      <w:bookmarkStart w:name="_bookmark1358" w:id="3436"/>
      <w:bookmarkEnd w:id="3436"/>
      <w:r>
        <w:rPr/>
        <w:t>Market</w:t>
      </w:r>
      <w:r>
        <w:rPr/>
        <w:t> suspension compensation methodology and schedule of benchmark</w:t>
      </w:r>
      <w:r>
        <w:rPr>
          <w:spacing w:val="-1"/>
        </w:rPr>
        <w:t> </w:t>
      </w:r>
      <w:r>
        <w:rPr/>
        <w:t>values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19 December 2018, </w:t>
      </w:r>
      <w:r>
        <w:rPr>
          <w:i/>
          <w:sz w:val="24"/>
        </w:rPr>
        <w:t>AEMO </w:t>
      </w:r>
      <w:r>
        <w:rPr>
          <w:sz w:val="24"/>
        </w:rPr>
        <w:t>must </w:t>
      </w:r>
      <w:r>
        <w:rPr>
          <w:i/>
          <w:sz w:val="24"/>
        </w:rPr>
        <w:t>publish </w:t>
      </w:r>
      <w:r>
        <w:rPr>
          <w:sz w:val="24"/>
        </w:rPr>
        <w:t>and make available on its website:</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first </w:t>
      </w:r>
      <w:r>
        <w:rPr>
          <w:i/>
          <w:sz w:val="24"/>
        </w:rPr>
        <w:t>market suspension compensation methodology </w:t>
      </w:r>
      <w:r>
        <w:rPr>
          <w:sz w:val="24"/>
        </w:rPr>
        <w:t>developed in accordance with paragraph (h) of new clause 3.14.5A;</w:t>
      </w:r>
      <w:r>
        <w:rPr>
          <w:spacing w:val="-4"/>
          <w:sz w:val="24"/>
        </w:rPr>
        <w:t> </w:t>
      </w:r>
      <w:r>
        <w:rPr>
          <w:sz w:val="24"/>
        </w:rPr>
        <w:t>and</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the first schedule of benchmark values developed in accordance with paragraph (j) of new clause</w:t>
      </w:r>
      <w:r>
        <w:rPr>
          <w:spacing w:val="-1"/>
          <w:sz w:val="24"/>
        </w:rPr>
        <w:t> </w:t>
      </w:r>
      <w:r>
        <w:rPr>
          <w:sz w:val="24"/>
        </w:rPr>
        <w:t>3.14.5A.</w:t>
      </w:r>
    </w:p>
    <w:p>
      <w:pPr>
        <w:pStyle w:val="ListParagraph"/>
        <w:numPr>
          <w:ilvl w:val="3"/>
          <w:numId w:val="850"/>
        </w:numPr>
        <w:tabs>
          <w:tab w:pos="1919" w:val="left" w:leader="none"/>
        </w:tabs>
        <w:spacing w:line="240" w:lineRule="auto" w:before="120" w:after="0"/>
        <w:ind w:left="1919" w:right="414" w:hanging="567"/>
        <w:jc w:val="both"/>
        <w:rPr>
          <w:sz w:val="24"/>
        </w:rPr>
      </w:pPr>
      <w:r>
        <w:rPr>
          <w:i/>
          <w:sz w:val="24"/>
        </w:rPr>
        <w:t>AEMO </w:t>
      </w:r>
      <w:r>
        <w:rPr>
          <w:sz w:val="24"/>
        </w:rPr>
        <w:t>must, on or before the date that is 6 months after </w:t>
      </w:r>
      <w:r>
        <w:rPr>
          <w:i/>
          <w:sz w:val="24"/>
        </w:rPr>
        <w:t>publication </w:t>
      </w:r>
      <w:r>
        <w:rPr>
          <w:sz w:val="24"/>
        </w:rPr>
        <w:t>of the first </w:t>
      </w:r>
      <w:r>
        <w:rPr>
          <w:i/>
          <w:sz w:val="24"/>
        </w:rPr>
        <w:t>market suspension compensation methodology</w:t>
      </w:r>
      <w:r>
        <w:rPr>
          <w:sz w:val="24"/>
        </w:rPr>
        <w:t>, develop, </w:t>
      </w:r>
      <w:r>
        <w:rPr>
          <w:i/>
          <w:sz w:val="24"/>
        </w:rPr>
        <w:t>publish </w:t>
      </w:r>
      <w:r>
        <w:rPr>
          <w:sz w:val="24"/>
        </w:rPr>
        <w:t>and make available on its website an updated </w:t>
      </w:r>
      <w:r>
        <w:rPr>
          <w:i/>
          <w:sz w:val="24"/>
        </w:rPr>
        <w:t>market suspension compensation </w:t>
      </w:r>
      <w:r>
        <w:rPr>
          <w:i/>
          <w:sz w:val="24"/>
        </w:rPr>
        <w:t>methodology </w:t>
      </w:r>
      <w:r>
        <w:rPr>
          <w:sz w:val="24"/>
        </w:rPr>
        <w:t>in accordance with the </w:t>
      </w:r>
      <w:r>
        <w:rPr>
          <w:i/>
          <w:sz w:val="24"/>
        </w:rPr>
        <w:t>Rules consultation</w:t>
      </w:r>
      <w:r>
        <w:rPr>
          <w:i/>
          <w:spacing w:val="-7"/>
          <w:sz w:val="24"/>
        </w:rPr>
        <w:t> </w:t>
      </w:r>
      <w:r>
        <w:rPr>
          <w:i/>
          <w:sz w:val="24"/>
        </w:rPr>
        <w:t>procedures</w:t>
      </w:r>
      <w:r>
        <w:rPr>
          <w:sz w:val="24"/>
        </w:rPr>
        <w:t>.</w:t>
      </w:r>
    </w:p>
    <w:p>
      <w:pPr>
        <w:pStyle w:val="BodyText"/>
        <w:spacing w:before="10"/>
        <w:ind w:firstLine="0"/>
        <w:jc w:val="left"/>
        <w:rPr>
          <w:sz w:val="20"/>
        </w:rPr>
      </w:pPr>
    </w:p>
    <w:p>
      <w:pPr>
        <w:pStyle w:val="Heading2"/>
        <w:tabs>
          <w:tab w:pos="9317" w:val="left" w:leader="none"/>
        </w:tabs>
      </w:pPr>
      <w:bookmarkStart w:name="Part ZZZN Global settlement and market r" w:id="3437"/>
      <w:bookmarkEnd w:id="3437"/>
      <w:r>
        <w:rPr>
          <w:b w:val="0"/>
        </w:rPr>
      </w:r>
      <w:bookmarkStart w:name="_bookmark1359" w:id="3438"/>
      <w:bookmarkEnd w:id="3438"/>
      <w:r>
        <w:rPr>
          <w:b w:val="0"/>
        </w:rPr>
      </w:r>
      <w:r>
        <w:rPr>
          <w:shd w:fill="D9D9D9" w:color="auto" w:val="clear"/>
        </w:rPr>
        <w:t>Part ZZZN Global settlement and market</w:t>
      </w:r>
      <w:r>
        <w:rPr>
          <w:spacing w:val="-5"/>
          <w:shd w:fill="D9D9D9" w:color="auto" w:val="clear"/>
        </w:rPr>
        <w:t> </w:t>
      </w:r>
      <w:r>
        <w:rPr>
          <w:shd w:fill="D9D9D9" w:color="auto" w:val="clear"/>
        </w:rPr>
        <w:t>reconciliation</w:t>
        <w:tab/>
      </w:r>
    </w:p>
    <w:p>
      <w:pPr>
        <w:pStyle w:val="Heading3"/>
        <w:numPr>
          <w:ilvl w:val="1"/>
          <w:numId w:val="850"/>
        </w:numPr>
        <w:tabs>
          <w:tab w:pos="1351" w:val="left" w:leader="none"/>
          <w:tab w:pos="1353" w:val="left" w:leader="none"/>
        </w:tabs>
        <w:spacing w:line="240" w:lineRule="auto" w:before="240" w:after="0"/>
        <w:ind w:left="1352" w:right="568" w:hanging="1134"/>
        <w:jc w:val="left"/>
      </w:pPr>
      <w:bookmarkStart w:name="11.112 Rules consequential on the making" w:id="3439"/>
      <w:bookmarkEnd w:id="3439"/>
      <w:r>
        <w:rPr>
          <w:b w:val="0"/>
        </w:rPr>
      </w:r>
      <w:bookmarkStart w:name="_bookmark1360" w:id="3440"/>
      <w:bookmarkEnd w:id="3440"/>
      <w:r>
        <w:rPr>
          <w:b w:val="0"/>
        </w:rPr>
      </w:r>
      <w:bookmarkStart w:name="_bookmark1360" w:id="3441"/>
      <w:bookmarkEnd w:id="3441"/>
      <w:r>
        <w:rPr/>
        <w:t>Rul</w:t>
      </w:r>
      <w:r>
        <w:rPr/>
        <w:t>es consequential on the making of the National Electricity Amendment (Global settlement and market reconciliation) Rule 2018</w:t>
      </w:r>
    </w:p>
    <w:p>
      <w:pPr>
        <w:pStyle w:val="Heading4"/>
        <w:numPr>
          <w:ilvl w:val="2"/>
          <w:numId w:val="850"/>
        </w:numPr>
        <w:tabs>
          <w:tab w:pos="1352" w:val="left" w:leader="none"/>
        </w:tabs>
        <w:spacing w:line="240" w:lineRule="auto" w:before="240" w:after="0"/>
        <w:ind w:left="1351" w:right="0" w:hanging="1134"/>
        <w:jc w:val="left"/>
      </w:pPr>
      <w:bookmarkStart w:name="11.112.1 Definitions" w:id="3442"/>
      <w:bookmarkEnd w:id="3442"/>
      <w:r>
        <w:rPr>
          <w:b w:val="0"/>
        </w:rPr>
      </w:r>
      <w:bookmarkStart w:name="_bookmark1361" w:id="3443"/>
      <w:bookmarkEnd w:id="3443"/>
      <w:r>
        <w:rPr>
          <w:b w:val="0"/>
        </w:rPr>
      </w:r>
      <w:bookmarkStart w:name="_bookmark1361" w:id="3444"/>
      <w:bookmarkEnd w:id="3444"/>
      <w:r>
        <w:rPr/>
        <w:t>Definition</w:t>
      </w:r>
      <w:r>
        <w:rPr/>
        <w:t>s</w:t>
      </w:r>
    </w:p>
    <w:p>
      <w:pPr>
        <w:pStyle w:val="BodyText"/>
        <w:ind w:left="1352" w:firstLine="0"/>
        <w:jc w:val="left"/>
      </w:pPr>
      <w:r>
        <w:rPr/>
        <w:t>For the purposes of this rule 11.112:</w:t>
      </w:r>
    </w:p>
    <w:p>
      <w:pPr>
        <w:pStyle w:val="BodyText"/>
        <w:ind w:left="1352" w:right="415" w:firstLine="0"/>
        <w:jc w:val="left"/>
      </w:pPr>
      <w:r>
        <w:rPr>
          <w:b/>
        </w:rPr>
        <w:t>Amending Rule </w:t>
      </w:r>
      <w:r>
        <w:rPr/>
        <w:t>means the National Electricity Amendment (Global settlement and market reconciliation) Rule 2018.</w:t>
      </w:r>
    </w:p>
    <w:p>
      <w:pPr>
        <w:pStyle w:val="BodyText"/>
        <w:ind w:left="1352" w:right="415" w:firstLine="0"/>
        <w:jc w:val="left"/>
      </w:pPr>
      <w:r>
        <w:rPr>
          <w:b/>
        </w:rPr>
        <w:t>effective date </w:t>
      </w:r>
      <w:r>
        <w:rPr/>
        <w:t>means 6 February 2022 which is the Commencement Date of Schedules 1 to 4 of the Amending Rule.</w:t>
      </w:r>
    </w:p>
    <w:p>
      <w:pPr>
        <w:spacing w:before="120"/>
        <w:ind w:left="1352" w:right="415" w:firstLine="0"/>
        <w:jc w:val="left"/>
        <w:rPr>
          <w:sz w:val="24"/>
        </w:rPr>
      </w:pPr>
      <w:r>
        <w:rPr>
          <w:b/>
          <w:sz w:val="24"/>
        </w:rPr>
        <w:t>new clause 2.2.5(a) </w:t>
      </w:r>
      <w:r>
        <w:rPr>
          <w:sz w:val="24"/>
        </w:rPr>
        <w:t>means clause 2.2.5(a) of the </w:t>
      </w:r>
      <w:r>
        <w:rPr>
          <w:i/>
          <w:sz w:val="24"/>
        </w:rPr>
        <w:t>Rules </w:t>
      </w:r>
      <w:r>
        <w:rPr>
          <w:sz w:val="24"/>
        </w:rPr>
        <w:t>and all related definitions in the </w:t>
      </w:r>
      <w:r>
        <w:rPr>
          <w:i/>
          <w:sz w:val="24"/>
        </w:rPr>
        <w:t>Rules </w:t>
      </w:r>
      <w:r>
        <w:rPr>
          <w:sz w:val="24"/>
        </w:rPr>
        <w:t>as in force on and from the effective date.</w:t>
      </w:r>
    </w:p>
    <w:p>
      <w:pPr>
        <w:spacing w:before="120"/>
        <w:ind w:left="1352" w:right="415" w:firstLine="0"/>
        <w:jc w:val="left"/>
        <w:rPr>
          <w:sz w:val="24"/>
        </w:rPr>
      </w:pPr>
      <w:r>
        <w:rPr>
          <w:b/>
          <w:sz w:val="24"/>
        </w:rPr>
        <w:t>new clause 3.15.5B(a) </w:t>
      </w:r>
      <w:r>
        <w:rPr>
          <w:sz w:val="24"/>
        </w:rPr>
        <w:t>means clause 3.15.5B(a) of the </w:t>
      </w:r>
      <w:r>
        <w:rPr>
          <w:i/>
          <w:sz w:val="24"/>
        </w:rPr>
        <w:t>Rules </w:t>
      </w:r>
      <w:r>
        <w:rPr>
          <w:sz w:val="24"/>
        </w:rPr>
        <w:t>and all related definitions in the </w:t>
      </w:r>
      <w:r>
        <w:rPr>
          <w:i/>
          <w:sz w:val="24"/>
        </w:rPr>
        <w:t>Rules </w:t>
      </w:r>
      <w:r>
        <w:rPr>
          <w:sz w:val="24"/>
        </w:rPr>
        <w:t>as in force on and from the effective date.</w:t>
      </w:r>
    </w:p>
    <w:p>
      <w:pPr>
        <w:spacing w:after="0"/>
        <w:jc w:val="left"/>
        <w:rPr>
          <w:sz w:val="24"/>
        </w:rPr>
        <w:sectPr>
          <w:pgSz w:w="11910" w:h="16840"/>
          <w:pgMar w:header="686" w:footer="637" w:top="1320" w:bottom="820" w:left="1200" w:right="1000"/>
        </w:sectPr>
      </w:pPr>
    </w:p>
    <w:p>
      <w:pPr>
        <w:spacing w:before="83"/>
        <w:ind w:left="1352" w:right="415" w:firstLine="0"/>
        <w:jc w:val="left"/>
        <w:rPr>
          <w:sz w:val="24"/>
        </w:rPr>
      </w:pPr>
      <w:r>
        <w:rPr>
          <w:b/>
          <w:sz w:val="24"/>
        </w:rPr>
        <w:t>new clause 3.15.5B(d) </w:t>
      </w:r>
      <w:r>
        <w:rPr>
          <w:sz w:val="24"/>
        </w:rPr>
        <w:t>means clause 3.15.5B(d) of the </w:t>
      </w:r>
      <w:r>
        <w:rPr>
          <w:i/>
          <w:sz w:val="24"/>
        </w:rPr>
        <w:t>Rules </w:t>
      </w:r>
      <w:r>
        <w:rPr>
          <w:sz w:val="24"/>
        </w:rPr>
        <w:t>and all related definitions in the </w:t>
      </w:r>
      <w:r>
        <w:rPr>
          <w:i/>
          <w:sz w:val="24"/>
        </w:rPr>
        <w:t>Rules </w:t>
      </w:r>
      <w:r>
        <w:rPr>
          <w:sz w:val="24"/>
        </w:rPr>
        <w:t>as in force on and from the effective date.</w:t>
      </w:r>
    </w:p>
    <w:p>
      <w:pPr>
        <w:spacing w:before="120"/>
        <w:ind w:left="1352" w:right="413" w:firstLine="0"/>
        <w:jc w:val="left"/>
        <w:rPr>
          <w:sz w:val="24"/>
        </w:rPr>
      </w:pPr>
      <w:r>
        <w:rPr>
          <w:b/>
          <w:sz w:val="24"/>
        </w:rPr>
        <w:t>old clause 2.2.5(a) </w:t>
      </w:r>
      <w:r>
        <w:rPr>
          <w:sz w:val="24"/>
        </w:rPr>
        <w:t>means clause 2.2.5(a) of the </w:t>
      </w:r>
      <w:r>
        <w:rPr>
          <w:i/>
          <w:sz w:val="24"/>
        </w:rPr>
        <w:t>Rules </w:t>
      </w:r>
      <w:r>
        <w:rPr>
          <w:sz w:val="24"/>
        </w:rPr>
        <w:t>and all related definitions in the </w:t>
      </w:r>
      <w:r>
        <w:rPr>
          <w:i/>
          <w:sz w:val="24"/>
        </w:rPr>
        <w:t>Rules </w:t>
      </w:r>
      <w:r>
        <w:rPr>
          <w:sz w:val="24"/>
        </w:rPr>
        <w:t>as in force immediately before the effective date.</w:t>
      </w:r>
    </w:p>
    <w:p>
      <w:pPr>
        <w:spacing w:before="120"/>
        <w:ind w:left="1352" w:right="415" w:firstLine="0"/>
        <w:jc w:val="left"/>
        <w:rPr>
          <w:sz w:val="24"/>
        </w:rPr>
      </w:pPr>
      <w:r>
        <w:rPr>
          <w:b/>
          <w:sz w:val="24"/>
        </w:rPr>
        <w:t>new clause 3.15.5(a) </w:t>
      </w:r>
      <w:r>
        <w:rPr>
          <w:sz w:val="24"/>
        </w:rPr>
        <w:t>means clause 3.15.5(a) of the </w:t>
      </w:r>
      <w:r>
        <w:rPr>
          <w:i/>
          <w:sz w:val="24"/>
        </w:rPr>
        <w:t>Rules </w:t>
      </w:r>
      <w:r>
        <w:rPr>
          <w:sz w:val="24"/>
        </w:rPr>
        <w:t>and all related definitions in the </w:t>
      </w:r>
      <w:r>
        <w:rPr>
          <w:i/>
          <w:sz w:val="24"/>
        </w:rPr>
        <w:t>Rules </w:t>
      </w:r>
      <w:r>
        <w:rPr>
          <w:sz w:val="24"/>
        </w:rPr>
        <w:t>as in force on and from the effective</w:t>
      </w:r>
      <w:r>
        <w:rPr>
          <w:spacing w:val="-4"/>
          <w:sz w:val="24"/>
        </w:rPr>
        <w:t> </w:t>
      </w:r>
      <w:r>
        <w:rPr>
          <w:sz w:val="24"/>
        </w:rPr>
        <w:t>date.</w:t>
      </w:r>
    </w:p>
    <w:p>
      <w:pPr>
        <w:spacing w:before="120"/>
        <w:ind w:left="1352" w:right="415" w:firstLine="0"/>
        <w:jc w:val="left"/>
        <w:rPr>
          <w:sz w:val="24"/>
        </w:rPr>
      </w:pPr>
      <w:r>
        <w:rPr>
          <w:b/>
          <w:sz w:val="24"/>
        </w:rPr>
        <w:t>new clause 3.15.5(b) </w:t>
      </w:r>
      <w:r>
        <w:rPr>
          <w:sz w:val="24"/>
        </w:rPr>
        <w:t>means clause 3.15.5(b) of the </w:t>
      </w:r>
      <w:r>
        <w:rPr>
          <w:i/>
          <w:sz w:val="24"/>
        </w:rPr>
        <w:t>Rules </w:t>
      </w:r>
      <w:r>
        <w:rPr>
          <w:sz w:val="24"/>
        </w:rPr>
        <w:t>and all related definitions in the </w:t>
      </w:r>
      <w:r>
        <w:rPr>
          <w:i/>
          <w:sz w:val="24"/>
        </w:rPr>
        <w:t>Rules </w:t>
      </w:r>
      <w:r>
        <w:rPr>
          <w:sz w:val="24"/>
        </w:rPr>
        <w:t>as in force on and from the effective</w:t>
      </w:r>
      <w:r>
        <w:rPr>
          <w:spacing w:val="-4"/>
          <w:sz w:val="24"/>
        </w:rPr>
        <w:t> </w:t>
      </w:r>
      <w:r>
        <w:rPr>
          <w:sz w:val="24"/>
        </w:rPr>
        <w:t>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2.2 Amendments to AEMO procedures" w:id="3445"/>
      <w:bookmarkEnd w:id="3445"/>
      <w:r>
        <w:rPr>
          <w:b w:val="0"/>
        </w:rPr>
      </w:r>
      <w:bookmarkStart w:name="_bookmark1362" w:id="3446"/>
      <w:bookmarkEnd w:id="3446"/>
      <w:r>
        <w:rPr>
          <w:b w:val="0"/>
        </w:rPr>
      </w:r>
      <w:bookmarkStart w:name="_bookmark1362" w:id="3447"/>
      <w:bookmarkEnd w:id="3447"/>
      <w:r>
        <w:rPr/>
        <w:t>Amendment</w:t>
      </w:r>
      <w:r>
        <w:rPr/>
        <w:t>s to AEMO</w:t>
      </w:r>
      <w:r>
        <w:rPr>
          <w:spacing w:val="-3"/>
        </w:rPr>
        <w:t> </w:t>
      </w:r>
      <w:r>
        <w:rPr/>
        <w:t>procedures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December 2019, </w:t>
      </w:r>
      <w:r>
        <w:rPr>
          <w:i/>
          <w:sz w:val="24"/>
        </w:rPr>
        <w:t>AEMO </w:t>
      </w:r>
      <w:r>
        <w:rPr>
          <w:sz w:val="24"/>
        </w:rPr>
        <w:t>must review and where necessary amend and </w:t>
      </w:r>
      <w:r>
        <w:rPr>
          <w:i/>
          <w:sz w:val="24"/>
        </w:rPr>
        <w:t>publish </w:t>
      </w:r>
      <w:r>
        <w:rPr>
          <w:sz w:val="24"/>
        </w:rPr>
        <w:t>the following documents to apply from the effective date to </w:t>
      </w:r>
      <w:r>
        <w:rPr>
          <w:spacing w:val="-4"/>
          <w:sz w:val="24"/>
        </w:rPr>
        <w:t>take</w:t>
      </w:r>
      <w:r>
        <w:rPr>
          <w:spacing w:val="52"/>
          <w:sz w:val="24"/>
        </w:rPr>
        <w:t> </w:t>
      </w:r>
      <w:r>
        <w:rPr>
          <w:sz w:val="24"/>
        </w:rPr>
        <w:t>into account the Amending Rule and for the avoidance of doubt, </w:t>
      </w:r>
      <w:r>
        <w:rPr>
          <w:i/>
          <w:sz w:val="24"/>
        </w:rPr>
        <w:t>AEMO </w:t>
      </w:r>
      <w:r>
        <w:rPr>
          <w:sz w:val="24"/>
        </w:rPr>
        <w:t>must amend the following documents to require all </w:t>
      </w:r>
      <w:r>
        <w:rPr>
          <w:i/>
          <w:sz w:val="24"/>
        </w:rPr>
        <w:t>metering data </w:t>
      </w:r>
      <w:r>
        <w:rPr>
          <w:sz w:val="24"/>
        </w:rPr>
        <w:t>from </w:t>
      </w:r>
      <w:r>
        <w:rPr>
          <w:i/>
          <w:sz w:val="24"/>
        </w:rPr>
        <w:t>first- </w:t>
      </w:r>
      <w:r>
        <w:rPr>
          <w:i/>
          <w:sz w:val="24"/>
        </w:rPr>
        <w:t>tier loads </w:t>
      </w:r>
      <w:r>
        <w:rPr>
          <w:sz w:val="24"/>
        </w:rPr>
        <w:t>to be provided to </w:t>
      </w:r>
      <w:r>
        <w:rPr>
          <w:i/>
          <w:sz w:val="24"/>
        </w:rPr>
        <w:t>AEMO </w:t>
      </w:r>
      <w:r>
        <w:rPr>
          <w:sz w:val="24"/>
        </w:rPr>
        <w:t>by the relevant </w:t>
      </w:r>
      <w:r>
        <w:rPr>
          <w:i/>
          <w:sz w:val="24"/>
        </w:rPr>
        <w:t>Metering Data Provider </w:t>
      </w:r>
      <w:r>
        <w:rPr>
          <w:sz w:val="24"/>
        </w:rPr>
        <w:t>in accordance with the relevant</w:t>
      </w:r>
      <w:r>
        <w:rPr>
          <w:spacing w:val="-3"/>
          <w:sz w:val="24"/>
        </w:rPr>
        <w:t> </w:t>
      </w:r>
      <w:r>
        <w:rPr>
          <w:sz w:val="24"/>
        </w:rPr>
        <w:t>procedures:</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Market Settlement and Transfer Solution</w:t>
      </w:r>
      <w:r>
        <w:rPr>
          <w:i/>
          <w:spacing w:val="-3"/>
          <w:sz w:val="24"/>
        </w:rPr>
        <w:t> </w:t>
      </w:r>
      <w:r>
        <w:rPr>
          <w:i/>
          <w:sz w:val="24"/>
        </w:rPr>
        <w:t>Procedures</w:t>
      </w:r>
      <w:r>
        <w:rPr>
          <w:sz w:val="24"/>
        </w:rPr>
        <w:t>;</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metrology procedure</w:t>
      </w:r>
      <w:r>
        <w:rPr>
          <w:sz w:val="24"/>
        </w:rPr>
        <w:t>;</w:t>
      </w:r>
      <w:r>
        <w:rPr>
          <w:spacing w:val="-3"/>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the </w:t>
      </w:r>
      <w:r>
        <w:rPr>
          <w:i/>
          <w:sz w:val="24"/>
        </w:rPr>
        <w:t>service level</w:t>
      </w:r>
      <w:r>
        <w:rPr>
          <w:i/>
          <w:spacing w:val="-2"/>
          <w:sz w:val="24"/>
        </w:rPr>
        <w:t>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2.3 AEMO to publish report on unacc" w:id="3448"/>
      <w:bookmarkEnd w:id="3448"/>
      <w:r>
        <w:rPr>
          <w:b w:val="0"/>
        </w:rPr>
      </w:r>
      <w:bookmarkStart w:name="_bookmark1363" w:id="3449"/>
      <w:bookmarkEnd w:id="3449"/>
      <w:r>
        <w:rPr>
          <w:b w:val="0"/>
        </w:rPr>
      </w:r>
      <w:bookmarkStart w:name="_bookmark1363" w:id="3450"/>
      <w:bookmarkEnd w:id="3450"/>
      <w:r>
        <w:rPr/>
        <w:t>AEM</w:t>
      </w:r>
      <w:r>
        <w:rPr/>
        <w:t>O to publish report on unaccounted for energy</w:t>
      </w:r>
      <w:r>
        <w:rPr>
          <w:spacing w:val="-6"/>
        </w:rPr>
        <w:t> </w:t>
      </w:r>
      <w:r>
        <w:rPr/>
        <w:t>trends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March 2022 </w:t>
      </w:r>
      <w:r>
        <w:rPr>
          <w:i/>
          <w:sz w:val="24"/>
        </w:rPr>
        <w:t>AEMO </w:t>
      </w:r>
      <w:r>
        <w:rPr>
          <w:sz w:val="24"/>
        </w:rPr>
        <w:t>must prepare and publish on its website the first report on unaccounted for </w:t>
      </w:r>
      <w:r>
        <w:rPr>
          <w:i/>
          <w:sz w:val="24"/>
        </w:rPr>
        <w:t>energy </w:t>
      </w:r>
      <w:r>
        <w:rPr>
          <w:sz w:val="24"/>
        </w:rPr>
        <w:t>required under new clause</w:t>
      </w:r>
      <w:r>
        <w:rPr>
          <w:spacing w:val="-3"/>
          <w:sz w:val="24"/>
        </w:rPr>
        <w:t> </w:t>
      </w:r>
      <w:r>
        <w:rPr>
          <w:sz w:val="24"/>
        </w:rPr>
        <w:t>3.15.5B(a).</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is not required to comply with the </w:t>
      </w:r>
      <w:r>
        <w:rPr>
          <w:i/>
          <w:sz w:val="24"/>
        </w:rPr>
        <w:t>UFE reporting guidelines </w:t>
      </w:r>
      <w:r>
        <w:rPr>
          <w:sz w:val="24"/>
        </w:rPr>
        <w:t>required under new clause 3.15.5B(d) when preparing and publishing </w:t>
      </w:r>
      <w:r>
        <w:rPr>
          <w:spacing w:val="-4"/>
          <w:sz w:val="24"/>
        </w:rPr>
        <w:t>the </w:t>
      </w:r>
      <w:r>
        <w:rPr>
          <w:sz w:val="24"/>
        </w:rPr>
        <w:t>report referred to in paragraph (a) for the first</w:t>
      </w:r>
      <w:r>
        <w:rPr>
          <w:spacing w:val="-1"/>
          <w:sz w:val="24"/>
        </w:rPr>
        <w:t> </w:t>
      </w:r>
      <w:r>
        <w:rPr>
          <w:sz w:val="24"/>
        </w:rPr>
        <w:t>time.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2.4 Continuation of registration fo" w:id="3451"/>
      <w:bookmarkEnd w:id="3451"/>
      <w:r>
        <w:rPr>
          <w:b w:val="0"/>
        </w:rPr>
      </w:r>
      <w:bookmarkStart w:name="_bookmark1364" w:id="3452"/>
      <w:bookmarkEnd w:id="3452"/>
      <w:r>
        <w:rPr>
          <w:b w:val="0"/>
        </w:rPr>
      </w:r>
      <w:bookmarkStart w:name="_bookmark1364" w:id="3453"/>
      <w:bookmarkEnd w:id="3453"/>
      <w:r>
        <w:rPr/>
        <w:t>Continu</w:t>
      </w:r>
      <w:r>
        <w:rPr/>
        <w:t>ation of registration for non-market</w:t>
      </w:r>
      <w:r>
        <w:rPr>
          <w:spacing w:val="-4"/>
        </w:rPr>
        <w:t> </w:t>
      </w:r>
      <w:r>
        <w:rPr/>
        <w:t>generators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Despite new clause 2.2.5(a), a </w:t>
      </w:r>
      <w:r>
        <w:rPr>
          <w:i/>
          <w:sz w:val="24"/>
        </w:rPr>
        <w:t>generating unit </w:t>
      </w:r>
      <w:r>
        <w:rPr>
          <w:sz w:val="24"/>
        </w:rPr>
        <w:t>whose output is purchased in its entirety by the </w:t>
      </w:r>
      <w:r>
        <w:rPr>
          <w:i/>
          <w:sz w:val="24"/>
        </w:rPr>
        <w:t>Local Retailer </w:t>
      </w:r>
      <w:r>
        <w:rPr>
          <w:sz w:val="24"/>
        </w:rPr>
        <w:t>and that has been classified as a </w:t>
      </w:r>
      <w:r>
        <w:rPr>
          <w:i/>
          <w:sz w:val="24"/>
        </w:rPr>
        <w:t>non- </w:t>
      </w:r>
      <w:r>
        <w:rPr>
          <w:i/>
          <w:sz w:val="24"/>
        </w:rPr>
        <w:t>market generating unit </w:t>
      </w:r>
      <w:r>
        <w:rPr>
          <w:sz w:val="24"/>
        </w:rPr>
        <w:t>under old clause 2.2.5(a) immediately before the effective date, may continue to be registered as a </w:t>
      </w:r>
      <w:r>
        <w:rPr>
          <w:i/>
          <w:sz w:val="24"/>
        </w:rPr>
        <w:t>non-market generating </w:t>
      </w:r>
      <w:r>
        <w:rPr>
          <w:i/>
          <w:sz w:val="24"/>
        </w:rPr>
        <w:t>unit</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Local Retailer </w:t>
      </w:r>
      <w:r>
        <w:rPr>
          <w:sz w:val="24"/>
        </w:rPr>
        <w:t>which purchases the entire output from a </w:t>
      </w:r>
      <w:r>
        <w:rPr>
          <w:i/>
          <w:sz w:val="24"/>
        </w:rPr>
        <w:t>generating unit </w:t>
      </w:r>
      <w:r>
        <w:rPr>
          <w:sz w:val="24"/>
        </w:rPr>
        <w:t>that is registered as a </w:t>
      </w:r>
      <w:r>
        <w:rPr>
          <w:i/>
          <w:sz w:val="24"/>
        </w:rPr>
        <w:t>non-market generating unit </w:t>
      </w:r>
      <w:r>
        <w:rPr>
          <w:sz w:val="24"/>
        </w:rPr>
        <w:t>under paragraph (a) is </w:t>
      </w:r>
      <w:r>
        <w:rPr>
          <w:spacing w:val="-4"/>
          <w:sz w:val="24"/>
        </w:rPr>
        <w:t>the</w:t>
      </w:r>
      <w:r>
        <w:rPr>
          <w:spacing w:val="52"/>
          <w:sz w:val="24"/>
        </w:rPr>
        <w:t> </w:t>
      </w:r>
      <w:r>
        <w:rPr>
          <w:sz w:val="24"/>
        </w:rPr>
        <w:t>person that is </w:t>
      </w:r>
      <w:r>
        <w:rPr>
          <w:i/>
          <w:sz w:val="24"/>
        </w:rPr>
        <w:t>financially responsible </w:t>
      </w:r>
      <w:r>
        <w:rPr>
          <w:sz w:val="24"/>
        </w:rPr>
        <w:t>for the </w:t>
      </w:r>
      <w:r>
        <w:rPr>
          <w:i/>
          <w:sz w:val="24"/>
        </w:rPr>
        <w:t>connection point </w:t>
      </w:r>
      <w:r>
        <w:rPr>
          <w:sz w:val="24"/>
        </w:rPr>
        <w:t>at which that </w:t>
      </w:r>
      <w:r>
        <w:rPr>
          <w:i/>
          <w:sz w:val="24"/>
        </w:rPr>
        <w:t>non-market generating unit </w:t>
      </w:r>
      <w:r>
        <w:rPr>
          <w:sz w:val="24"/>
        </w:rPr>
        <w:t>is</w:t>
      </w:r>
      <w:r>
        <w:rPr>
          <w:spacing w:val="-1"/>
          <w:sz w:val="24"/>
        </w:rPr>
        <w:t> </w:t>
      </w:r>
      <w:r>
        <w:rPr>
          <w:i/>
          <w:sz w:val="24"/>
        </w:rPr>
        <w:t>connected</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2.5 Publication of UFE data by AEMO" w:id="3454"/>
      <w:bookmarkEnd w:id="3454"/>
      <w:r>
        <w:rPr>
          <w:b w:val="0"/>
        </w:rPr>
      </w:r>
      <w:bookmarkStart w:name="_bookmark1365" w:id="3455"/>
      <w:bookmarkEnd w:id="3455"/>
      <w:r>
        <w:rPr>
          <w:b w:val="0"/>
        </w:rPr>
      </w:r>
      <w:bookmarkStart w:name="_bookmark1365" w:id="3456"/>
      <w:bookmarkEnd w:id="3456"/>
      <w:r>
        <w:rPr/>
        <w:t>Publ</w:t>
      </w:r>
      <w:r>
        <w:rPr/>
        <w:t>ication of UFE data by</w:t>
      </w:r>
      <w:r>
        <w:rPr>
          <w:spacing w:val="-2"/>
        </w:rPr>
        <w:t> </w:t>
      </w:r>
      <w:r>
        <w:rPr/>
        <w:t>AEMO</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For each </w:t>
      </w:r>
      <w:r>
        <w:rPr>
          <w:i/>
          <w:sz w:val="24"/>
        </w:rPr>
        <w:t>trading interval </w:t>
      </w:r>
      <w:r>
        <w:rPr>
          <w:sz w:val="24"/>
        </w:rPr>
        <w:t>in the period commencing on 1 July 2021 and ending immediately before the effective date, </w:t>
      </w:r>
      <w:r>
        <w:rPr>
          <w:i/>
          <w:sz w:val="24"/>
        </w:rPr>
        <w:t>AEMO</w:t>
      </w:r>
      <w:r>
        <w:rPr>
          <w:i/>
          <w:spacing w:val="-1"/>
          <w:sz w:val="24"/>
        </w:rPr>
        <w:t> </w:t>
      </w:r>
      <w:r>
        <w:rPr>
          <w:sz w:val="24"/>
        </w:rPr>
        <w:t>must:</w:t>
      </w:r>
    </w:p>
    <w:p>
      <w:pPr>
        <w:pStyle w:val="ListParagraph"/>
        <w:numPr>
          <w:ilvl w:val="4"/>
          <w:numId w:val="850"/>
        </w:numPr>
        <w:tabs>
          <w:tab w:pos="2485" w:val="left" w:leader="none"/>
          <w:tab w:pos="2486" w:val="left" w:leader="none"/>
        </w:tabs>
        <w:spacing w:line="240" w:lineRule="auto" w:before="120" w:after="0"/>
        <w:ind w:left="2485" w:right="0" w:hanging="567"/>
        <w:jc w:val="left"/>
        <w:rPr>
          <w:i/>
          <w:sz w:val="24"/>
        </w:rPr>
      </w:pPr>
      <w:r>
        <w:rPr>
          <w:sz w:val="24"/>
        </w:rPr>
        <w:t>determine</w:t>
      </w:r>
      <w:r>
        <w:rPr>
          <w:spacing w:val="23"/>
          <w:sz w:val="24"/>
        </w:rPr>
        <w:t> </w:t>
      </w:r>
      <w:r>
        <w:rPr>
          <w:sz w:val="24"/>
        </w:rPr>
        <w:t>the</w:t>
      </w:r>
      <w:r>
        <w:rPr>
          <w:spacing w:val="24"/>
          <w:sz w:val="24"/>
        </w:rPr>
        <w:t> </w:t>
      </w:r>
      <w:r>
        <w:rPr>
          <w:sz w:val="24"/>
        </w:rPr>
        <w:t>amount</w:t>
      </w:r>
      <w:r>
        <w:rPr>
          <w:spacing w:val="24"/>
          <w:sz w:val="24"/>
        </w:rPr>
        <w:t> </w:t>
      </w:r>
      <w:r>
        <w:rPr>
          <w:sz w:val="24"/>
        </w:rPr>
        <w:t>of</w:t>
      </w:r>
      <w:r>
        <w:rPr>
          <w:spacing w:val="24"/>
          <w:sz w:val="24"/>
        </w:rPr>
        <w:t> </w:t>
      </w:r>
      <w:r>
        <w:rPr>
          <w:sz w:val="24"/>
        </w:rPr>
        <w:t>unaccounted</w:t>
      </w:r>
      <w:r>
        <w:rPr>
          <w:spacing w:val="24"/>
          <w:sz w:val="24"/>
        </w:rPr>
        <w:t> </w:t>
      </w:r>
      <w:r>
        <w:rPr>
          <w:sz w:val="24"/>
        </w:rPr>
        <w:t>for</w:t>
      </w:r>
      <w:r>
        <w:rPr>
          <w:spacing w:val="24"/>
          <w:sz w:val="24"/>
        </w:rPr>
        <w:t> </w:t>
      </w:r>
      <w:r>
        <w:rPr>
          <w:i/>
          <w:sz w:val="24"/>
        </w:rPr>
        <w:t>energy</w:t>
      </w:r>
      <w:r>
        <w:rPr>
          <w:i/>
          <w:spacing w:val="24"/>
          <w:sz w:val="24"/>
        </w:rPr>
        <w:t> </w:t>
      </w:r>
      <w:r>
        <w:rPr>
          <w:sz w:val="24"/>
        </w:rPr>
        <w:t>for</w:t>
      </w:r>
      <w:r>
        <w:rPr>
          <w:spacing w:val="24"/>
          <w:sz w:val="24"/>
        </w:rPr>
        <w:t> </w:t>
      </w:r>
      <w:r>
        <w:rPr>
          <w:sz w:val="24"/>
        </w:rPr>
        <w:t>each</w:t>
      </w:r>
      <w:r>
        <w:rPr>
          <w:spacing w:val="24"/>
          <w:sz w:val="24"/>
        </w:rPr>
        <w:t> </w:t>
      </w:r>
      <w:r>
        <w:rPr>
          <w:i/>
          <w:sz w:val="24"/>
        </w:rPr>
        <w:t>local</w:t>
      </w:r>
      <w:r>
        <w:rPr>
          <w:i/>
          <w:spacing w:val="24"/>
          <w:sz w:val="24"/>
        </w:rPr>
        <w:t> </w:t>
      </w:r>
      <w:r>
        <w:rPr>
          <w:i/>
          <w:sz w:val="24"/>
        </w:rPr>
        <w:t>area</w:t>
      </w:r>
    </w:p>
    <w:p>
      <w:pPr>
        <w:pStyle w:val="BodyText"/>
        <w:spacing w:before="0"/>
        <w:ind w:left="2486" w:firstLine="0"/>
        <w:jc w:val="left"/>
      </w:pPr>
      <w:r>
        <w:rPr/>
        <w:t>as if new clause 3.15.5(a) were in effect; and</w:t>
      </w:r>
    </w:p>
    <w:p>
      <w:pPr>
        <w:pStyle w:val="ListParagraph"/>
        <w:numPr>
          <w:ilvl w:val="4"/>
          <w:numId w:val="850"/>
        </w:numPr>
        <w:tabs>
          <w:tab w:pos="2485" w:val="left" w:leader="none"/>
          <w:tab w:pos="2486" w:val="left" w:leader="none"/>
        </w:tabs>
        <w:spacing w:line="240" w:lineRule="auto" w:before="120" w:after="0"/>
        <w:ind w:left="2486" w:right="415" w:hanging="567"/>
        <w:jc w:val="left"/>
        <w:rPr>
          <w:sz w:val="24"/>
        </w:rPr>
      </w:pPr>
      <w:r>
        <w:rPr>
          <w:i/>
          <w:sz w:val="24"/>
        </w:rPr>
        <w:t>publish </w:t>
      </w:r>
      <w:r>
        <w:rPr>
          <w:sz w:val="24"/>
        </w:rPr>
        <w:t>the amounts determined under subparagraph (1) together with information</w:t>
      </w:r>
      <w:r>
        <w:rPr>
          <w:spacing w:val="18"/>
          <w:sz w:val="24"/>
        </w:rPr>
        <w:t> </w:t>
      </w:r>
      <w:r>
        <w:rPr>
          <w:sz w:val="24"/>
        </w:rPr>
        <w:t>to</w:t>
      </w:r>
      <w:r>
        <w:rPr>
          <w:spacing w:val="19"/>
          <w:sz w:val="24"/>
        </w:rPr>
        <w:t> </w:t>
      </w:r>
      <w:r>
        <w:rPr>
          <w:sz w:val="24"/>
        </w:rPr>
        <w:t>enable</w:t>
      </w:r>
      <w:r>
        <w:rPr>
          <w:spacing w:val="19"/>
          <w:sz w:val="24"/>
        </w:rPr>
        <w:t> </w:t>
      </w:r>
      <w:r>
        <w:rPr>
          <w:sz w:val="24"/>
        </w:rPr>
        <w:t>each</w:t>
      </w:r>
      <w:r>
        <w:rPr>
          <w:spacing w:val="19"/>
          <w:sz w:val="24"/>
        </w:rPr>
        <w:t> </w:t>
      </w:r>
      <w:r>
        <w:rPr>
          <w:i/>
          <w:sz w:val="24"/>
        </w:rPr>
        <w:t>Market</w:t>
      </w:r>
      <w:r>
        <w:rPr>
          <w:i/>
          <w:spacing w:val="19"/>
          <w:sz w:val="24"/>
        </w:rPr>
        <w:t> </w:t>
      </w:r>
      <w:r>
        <w:rPr>
          <w:i/>
          <w:sz w:val="24"/>
        </w:rPr>
        <w:t>Customer</w:t>
      </w:r>
      <w:r>
        <w:rPr>
          <w:i/>
          <w:spacing w:val="18"/>
          <w:sz w:val="24"/>
        </w:rPr>
        <w:t> </w:t>
      </w:r>
      <w:r>
        <w:rPr>
          <w:sz w:val="24"/>
        </w:rPr>
        <w:t>in</w:t>
      </w:r>
      <w:r>
        <w:rPr>
          <w:spacing w:val="19"/>
          <w:sz w:val="24"/>
        </w:rPr>
        <w:t> </w:t>
      </w:r>
      <w:r>
        <w:rPr>
          <w:sz w:val="24"/>
        </w:rPr>
        <w:t>a</w:t>
      </w:r>
      <w:r>
        <w:rPr>
          <w:spacing w:val="19"/>
          <w:sz w:val="24"/>
        </w:rPr>
        <w:t> </w:t>
      </w:r>
      <w:r>
        <w:rPr>
          <w:i/>
          <w:sz w:val="24"/>
        </w:rPr>
        <w:t>local</w:t>
      </w:r>
      <w:r>
        <w:rPr>
          <w:i/>
          <w:spacing w:val="19"/>
          <w:sz w:val="24"/>
        </w:rPr>
        <w:t> </w:t>
      </w:r>
      <w:r>
        <w:rPr>
          <w:i/>
          <w:sz w:val="24"/>
        </w:rPr>
        <w:t>area</w:t>
      </w:r>
      <w:r>
        <w:rPr>
          <w:i/>
          <w:spacing w:val="19"/>
          <w:sz w:val="24"/>
        </w:rPr>
        <w:t> </w:t>
      </w:r>
      <w:r>
        <w:rPr>
          <w:spacing w:val="-7"/>
          <w:sz w:val="24"/>
        </w:rPr>
        <w:t>to</w:t>
      </w:r>
    </w:p>
    <w:p>
      <w:pPr>
        <w:spacing w:after="0" w:line="240" w:lineRule="auto"/>
        <w:jc w:val="left"/>
        <w:rPr>
          <w:sz w:val="24"/>
        </w:rPr>
        <w:sectPr>
          <w:pgSz w:w="11910" w:h="16840"/>
          <w:pgMar w:header="686" w:footer="637" w:top="1320" w:bottom="820" w:left="1200" w:right="1000"/>
        </w:sectPr>
      </w:pPr>
    </w:p>
    <w:p>
      <w:pPr>
        <w:spacing w:before="83"/>
        <w:ind w:left="2486" w:right="415" w:firstLine="0"/>
        <w:jc w:val="both"/>
        <w:rPr>
          <w:sz w:val="24"/>
        </w:rPr>
      </w:pPr>
      <w:r>
        <w:rPr>
          <w:sz w:val="24"/>
        </w:rPr>
        <w:t>determine the unaccounted for </w:t>
      </w:r>
      <w:r>
        <w:rPr>
          <w:i/>
          <w:sz w:val="24"/>
        </w:rPr>
        <w:t>energy </w:t>
      </w:r>
      <w:r>
        <w:rPr>
          <w:sz w:val="24"/>
        </w:rPr>
        <w:t>amount that would be allocated to that </w:t>
      </w:r>
      <w:r>
        <w:rPr>
          <w:i/>
          <w:sz w:val="24"/>
        </w:rPr>
        <w:t>Market Customer's market connection points </w:t>
      </w:r>
      <w:r>
        <w:rPr>
          <w:sz w:val="24"/>
        </w:rPr>
        <w:t>in that </w:t>
      </w:r>
      <w:r>
        <w:rPr>
          <w:i/>
          <w:sz w:val="24"/>
        </w:rPr>
        <w:t>local area </w:t>
      </w:r>
      <w:r>
        <w:rPr>
          <w:sz w:val="24"/>
        </w:rPr>
        <w:t>as if new clause 3.15.5(b) were in effect.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2.6 Publication of UFE reporting gu" w:id="3457"/>
      <w:bookmarkEnd w:id="3457"/>
      <w:r>
        <w:rPr>
          <w:b w:val="0"/>
        </w:rPr>
      </w:r>
      <w:bookmarkStart w:name="_bookmark1366" w:id="3458"/>
      <w:bookmarkEnd w:id="3458"/>
      <w:r>
        <w:rPr>
          <w:b w:val="0"/>
        </w:rPr>
      </w:r>
      <w:bookmarkStart w:name="_bookmark1366" w:id="3459"/>
      <w:bookmarkEnd w:id="3459"/>
      <w:r>
        <w:rPr/>
        <w:t>Publ</w:t>
      </w:r>
      <w:r>
        <w:rPr/>
        <w:t>ication of UFE reporting</w:t>
      </w:r>
      <w:r>
        <w:rPr>
          <w:spacing w:val="-2"/>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w:t>
      </w:r>
      <w:r>
        <w:rPr>
          <w:i/>
          <w:sz w:val="24"/>
        </w:rPr>
        <w:t>publish </w:t>
      </w:r>
      <w:r>
        <w:rPr>
          <w:sz w:val="24"/>
        </w:rPr>
        <w:t>the </w:t>
      </w:r>
      <w:r>
        <w:rPr>
          <w:i/>
          <w:sz w:val="24"/>
        </w:rPr>
        <w:t>UFE reporting guidelines </w:t>
      </w:r>
      <w:r>
        <w:rPr>
          <w:sz w:val="24"/>
        </w:rPr>
        <w:t>required under new clause 3.15.5B(d) by 1 December 2022 and in doing so must comply with the </w:t>
      </w:r>
      <w:r>
        <w:rPr>
          <w:i/>
          <w:sz w:val="24"/>
        </w:rPr>
        <w:t>Rules consultation</w:t>
      </w:r>
      <w:r>
        <w:rPr>
          <w:i/>
          <w:spacing w:val="-2"/>
          <w:sz w:val="24"/>
        </w:rPr>
        <w:t> </w:t>
      </w:r>
      <w:r>
        <w:rPr>
          <w:i/>
          <w:sz w:val="24"/>
        </w:rPr>
        <w:t>procedures</w:t>
      </w:r>
      <w:r>
        <w:rPr>
          <w:sz w:val="24"/>
        </w:rPr>
        <w:t>.</w:t>
      </w:r>
    </w:p>
    <w:p>
      <w:pPr>
        <w:pStyle w:val="BodyText"/>
        <w:spacing w:before="10"/>
        <w:ind w:firstLine="0"/>
        <w:jc w:val="left"/>
        <w:rPr>
          <w:sz w:val="20"/>
        </w:rPr>
      </w:pPr>
    </w:p>
    <w:p>
      <w:pPr>
        <w:pStyle w:val="Heading2"/>
        <w:tabs>
          <w:tab w:pos="9317" w:val="left" w:leader="none"/>
        </w:tabs>
      </w:pPr>
      <w:bookmarkStart w:name="Part ZZZO Metering installation timefram" w:id="3460"/>
      <w:bookmarkEnd w:id="3460"/>
      <w:r>
        <w:rPr>
          <w:b w:val="0"/>
        </w:rPr>
      </w:r>
      <w:bookmarkStart w:name="_bookmark1367" w:id="3461"/>
      <w:bookmarkEnd w:id="3461"/>
      <w:r>
        <w:rPr>
          <w:b w:val="0"/>
        </w:rPr>
      </w:r>
      <w:r>
        <w:rPr>
          <w:shd w:fill="D9D9D9" w:color="auto" w:val="clear"/>
        </w:rPr>
        <w:t>Part ZZZO Metering installation</w:t>
      </w:r>
      <w:r>
        <w:rPr>
          <w:spacing w:val="5"/>
          <w:shd w:fill="D9D9D9" w:color="auto" w:val="clear"/>
        </w:rPr>
        <w:t> </w:t>
      </w:r>
      <w:r>
        <w:rPr>
          <w:shd w:fill="D9D9D9" w:color="auto" w:val="clear"/>
        </w:rPr>
        <w:t>timeframes</w:t>
        <w:tab/>
      </w:r>
    </w:p>
    <w:p>
      <w:pPr>
        <w:pStyle w:val="Heading3"/>
        <w:numPr>
          <w:ilvl w:val="1"/>
          <w:numId w:val="850"/>
        </w:numPr>
        <w:tabs>
          <w:tab w:pos="1351" w:val="left" w:leader="none"/>
          <w:tab w:pos="1353" w:val="left" w:leader="none"/>
        </w:tabs>
        <w:spacing w:line="240" w:lineRule="auto" w:before="240" w:after="0"/>
        <w:ind w:left="1352" w:right="1261" w:hanging="1134"/>
        <w:jc w:val="left"/>
      </w:pPr>
      <w:bookmarkStart w:name="11.113 Rules consequential on making of " w:id="3462"/>
      <w:bookmarkEnd w:id="3462"/>
      <w:r>
        <w:rPr>
          <w:b w:val="0"/>
        </w:rPr>
      </w:r>
      <w:bookmarkStart w:name="_bookmark1368" w:id="3463"/>
      <w:bookmarkEnd w:id="3463"/>
      <w:r>
        <w:rPr>
          <w:b w:val="0"/>
        </w:rPr>
      </w:r>
      <w:bookmarkStart w:name="_bookmark1368" w:id="3464"/>
      <w:bookmarkEnd w:id="3464"/>
      <w:r>
        <w:rPr/>
        <w:t>Rul</w:t>
      </w:r>
      <w:r>
        <w:rPr/>
        <w:t>es consequential on making of the National Electricity Amendment (Metering installation timeframes) Rule</w:t>
      </w:r>
      <w:r>
        <w:rPr>
          <w:spacing w:val="-19"/>
        </w:rPr>
        <w:t> </w:t>
      </w:r>
      <w:r>
        <w:rPr/>
        <w:t>2018</w:t>
      </w:r>
    </w:p>
    <w:p>
      <w:pPr>
        <w:pStyle w:val="Heading4"/>
        <w:numPr>
          <w:ilvl w:val="2"/>
          <w:numId w:val="850"/>
        </w:numPr>
        <w:tabs>
          <w:tab w:pos="1352" w:val="left" w:leader="none"/>
        </w:tabs>
        <w:spacing w:line="240" w:lineRule="auto" w:before="240" w:after="0"/>
        <w:ind w:left="1351" w:right="0" w:hanging="1134"/>
        <w:jc w:val="left"/>
      </w:pPr>
      <w:bookmarkStart w:name="11.113.1 Definitions" w:id="3465"/>
      <w:bookmarkEnd w:id="3465"/>
      <w:r>
        <w:rPr>
          <w:b w:val="0"/>
        </w:rPr>
      </w:r>
      <w:bookmarkStart w:name="_bookmark1369" w:id="3466"/>
      <w:bookmarkEnd w:id="3466"/>
      <w:r>
        <w:rPr>
          <w:b w:val="0"/>
        </w:rPr>
      </w:r>
      <w:bookmarkStart w:name="_bookmark1369" w:id="3467"/>
      <w:bookmarkEnd w:id="3467"/>
      <w:r>
        <w:rPr/>
        <w:t>Definition</w:t>
      </w:r>
      <w:r>
        <w:rPr/>
        <w:t>s</w:t>
      </w:r>
    </w:p>
    <w:p>
      <w:pPr>
        <w:pStyle w:val="BodyText"/>
        <w:ind w:left="1352" w:firstLine="0"/>
        <w:jc w:val="left"/>
      </w:pPr>
      <w:r>
        <w:rPr/>
        <w:t>For the purposes of this rule 11.113:</w:t>
      </w:r>
    </w:p>
    <w:p>
      <w:pPr>
        <w:pStyle w:val="BodyText"/>
        <w:tabs>
          <w:tab w:pos="2634" w:val="left" w:leader="none"/>
          <w:tab w:pos="3330" w:val="left" w:leader="none"/>
          <w:tab w:pos="4159" w:val="left" w:leader="none"/>
          <w:tab w:pos="4668" w:val="left" w:leader="none"/>
          <w:tab w:pos="5710" w:val="left" w:leader="none"/>
          <w:tab w:pos="6926" w:val="left" w:leader="none"/>
          <w:tab w:pos="8327" w:val="left" w:leader="none"/>
        </w:tabs>
        <w:ind w:left="1352" w:right="417" w:firstLine="0"/>
        <w:jc w:val="left"/>
      </w:pPr>
      <w:r>
        <w:rPr>
          <w:b/>
        </w:rPr>
        <w:t>Amending</w:t>
        <w:tab/>
        <w:t>Rule</w:t>
        <w:tab/>
      </w:r>
      <w:r>
        <w:rPr/>
        <w:t>means</w:t>
        <w:tab/>
        <w:t>the</w:t>
        <w:tab/>
        <w:t>National</w:t>
        <w:tab/>
        <w:t>Electricity</w:t>
        <w:tab/>
        <w:t>Amendment</w:t>
        <w:tab/>
      </w:r>
      <w:r>
        <w:rPr>
          <w:spacing w:val="-1"/>
        </w:rPr>
        <w:t>(Metering </w:t>
      </w:r>
      <w:r>
        <w:rPr/>
        <w:t>installation timeframes) Rule</w:t>
      </w:r>
      <w:r>
        <w:rPr>
          <w:spacing w:val="-1"/>
        </w:rPr>
        <w:t> </w:t>
      </w:r>
      <w:r>
        <w:rPr/>
        <w:t>2018.</w:t>
      </w:r>
    </w:p>
    <w:p>
      <w:pPr>
        <w:spacing w:before="120"/>
        <w:ind w:left="1352" w:right="0" w:firstLine="0"/>
        <w:jc w:val="left"/>
        <w:rPr>
          <w:sz w:val="24"/>
        </w:rPr>
      </w:pPr>
      <w:r>
        <w:rPr>
          <w:b/>
          <w:sz w:val="24"/>
        </w:rPr>
        <w:t>Existing meter installation request </w:t>
      </w:r>
      <w:r>
        <w:rPr>
          <w:sz w:val="24"/>
        </w:rPr>
        <w:t>has the meaning given in clause 11.113.2(a).</w:t>
      </w:r>
    </w:p>
    <w:p>
      <w:pPr>
        <w:spacing w:before="120"/>
        <w:ind w:left="1352" w:right="0" w:firstLine="0"/>
        <w:jc w:val="left"/>
        <w:rPr>
          <w:sz w:val="24"/>
        </w:rPr>
      </w:pPr>
      <w:r>
        <w:rPr>
          <w:b/>
          <w:sz w:val="24"/>
        </w:rPr>
        <w:t>commencement date </w:t>
      </w:r>
      <w:r>
        <w:rPr>
          <w:sz w:val="24"/>
        </w:rPr>
        <w:t>means the date on which the Amending Rule commences operation.</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3.2 Timeframes for meters to be ins" w:id="3468"/>
      <w:bookmarkEnd w:id="3468"/>
      <w:r>
        <w:rPr>
          <w:b w:val="0"/>
        </w:rPr>
      </w:r>
      <w:bookmarkStart w:name="_bookmark1370" w:id="3469"/>
      <w:bookmarkEnd w:id="3469"/>
      <w:r>
        <w:rPr>
          <w:b w:val="0"/>
        </w:rPr>
      </w:r>
      <w:bookmarkStart w:name="_bookmark1370" w:id="3470"/>
      <w:bookmarkEnd w:id="3470"/>
      <w:r>
        <w:rPr/>
        <w:t>Timeframes</w:t>
      </w:r>
      <w:r>
        <w:rPr/>
        <w:t> for meters to be</w:t>
      </w:r>
      <w:r>
        <w:rPr>
          <w:spacing w:val="-3"/>
        </w:rPr>
        <w:t> </w:t>
      </w:r>
      <w:r>
        <w:rPr/>
        <w:t>installed</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This clause 11.113.2 applies where, before the commencement date, a </w:t>
      </w:r>
      <w:r>
        <w:rPr>
          <w:i/>
          <w:sz w:val="24"/>
        </w:rPr>
        <w:t>retailer </w:t>
      </w:r>
      <w:r>
        <w:rPr>
          <w:sz w:val="24"/>
        </w:rPr>
        <w:t>has an outstanding request for a </w:t>
      </w:r>
      <w:r>
        <w:rPr>
          <w:i/>
          <w:sz w:val="24"/>
        </w:rPr>
        <w:t>meter </w:t>
      </w:r>
      <w:r>
        <w:rPr>
          <w:sz w:val="24"/>
        </w:rPr>
        <w:t>to be installed, including in relation to a </w:t>
      </w:r>
      <w:r>
        <w:rPr>
          <w:i/>
          <w:sz w:val="24"/>
        </w:rPr>
        <w:t>new connection</w:t>
      </w:r>
      <w:r>
        <w:rPr>
          <w:sz w:val="24"/>
        </w:rPr>
        <w:t>, at a </w:t>
      </w:r>
      <w:r>
        <w:rPr>
          <w:i/>
          <w:sz w:val="24"/>
        </w:rPr>
        <w:t>small customer's </w:t>
      </w:r>
      <w:r>
        <w:rPr>
          <w:sz w:val="24"/>
        </w:rPr>
        <w:t>premises and that request does not relate to a </w:t>
      </w:r>
      <w:r>
        <w:rPr>
          <w:i/>
          <w:sz w:val="24"/>
        </w:rPr>
        <w:t>new meter deployment </w:t>
      </w:r>
      <w:r>
        <w:rPr>
          <w:sz w:val="24"/>
        </w:rPr>
        <w:t>(as defined in the </w:t>
      </w:r>
      <w:r>
        <w:rPr>
          <w:i/>
          <w:sz w:val="24"/>
        </w:rPr>
        <w:t>NERR</w:t>
      </w:r>
      <w:r>
        <w:rPr>
          <w:sz w:val="24"/>
        </w:rPr>
        <w:t>) or a </w:t>
      </w:r>
      <w:r>
        <w:rPr>
          <w:i/>
          <w:sz w:val="24"/>
        </w:rPr>
        <w:t>metering installation malfunction </w:t>
      </w:r>
      <w:r>
        <w:rPr>
          <w:sz w:val="24"/>
        </w:rPr>
        <w:t>(</w:t>
      </w:r>
      <w:r>
        <w:rPr>
          <w:b/>
          <w:sz w:val="24"/>
        </w:rPr>
        <w:t>Existing meter installation</w:t>
      </w:r>
      <w:r>
        <w:rPr>
          <w:b/>
          <w:spacing w:val="-11"/>
          <w:sz w:val="24"/>
        </w:rPr>
        <w:t> </w:t>
      </w:r>
      <w:r>
        <w:rPr>
          <w:b/>
          <w:sz w:val="24"/>
        </w:rPr>
        <w:t>request</w:t>
      </w:r>
      <w:r>
        <w:rPr>
          <w:sz w:val="24"/>
        </w:rPr>
        <w:t>).</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On and from the commencement date, the Amending Rule will apply to an Existing meter installation request as</w:t>
      </w:r>
      <w:r>
        <w:rPr>
          <w:spacing w:val="-2"/>
          <w:sz w:val="24"/>
        </w:rPr>
        <w:t> </w:t>
      </w:r>
      <w:r>
        <w:rPr>
          <w:sz w:val="24"/>
        </w:rPr>
        <w:t>if:</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the timeframe for the </w:t>
      </w:r>
      <w:r>
        <w:rPr>
          <w:i/>
          <w:sz w:val="24"/>
        </w:rPr>
        <w:t>meter </w:t>
      </w:r>
      <w:r>
        <w:rPr>
          <w:sz w:val="24"/>
        </w:rPr>
        <w:t>to be installed for the purposes of clause 7.8.10A(a)(2) ends on the later</w:t>
      </w:r>
      <w:r>
        <w:rPr>
          <w:spacing w:val="-1"/>
          <w:sz w:val="24"/>
        </w:rPr>
        <w:t> </w:t>
      </w:r>
      <w:r>
        <w:rPr>
          <w:sz w:val="24"/>
        </w:rPr>
        <w:t>of:</w:t>
      </w:r>
    </w:p>
    <w:p>
      <w:pPr>
        <w:pStyle w:val="ListParagraph"/>
        <w:numPr>
          <w:ilvl w:val="5"/>
          <w:numId w:val="850"/>
        </w:numPr>
        <w:tabs>
          <w:tab w:pos="3053" w:val="left" w:leader="none"/>
        </w:tabs>
        <w:spacing w:line="240" w:lineRule="auto" w:before="120" w:after="0"/>
        <w:ind w:left="3053" w:right="415" w:hanging="567"/>
        <w:jc w:val="both"/>
        <w:rPr>
          <w:sz w:val="24"/>
        </w:rPr>
      </w:pPr>
      <w:r>
        <w:rPr>
          <w:sz w:val="24"/>
        </w:rPr>
        <w:t>6 </w:t>
      </w:r>
      <w:r>
        <w:rPr>
          <w:i/>
          <w:sz w:val="24"/>
        </w:rPr>
        <w:t>business days </w:t>
      </w:r>
      <w:r>
        <w:rPr>
          <w:sz w:val="24"/>
        </w:rPr>
        <w:t>from the date the </w:t>
      </w:r>
      <w:r>
        <w:rPr>
          <w:i/>
          <w:sz w:val="24"/>
        </w:rPr>
        <w:t>retailer </w:t>
      </w:r>
      <w:r>
        <w:rPr>
          <w:sz w:val="24"/>
        </w:rPr>
        <w:t>is informed that the </w:t>
      </w:r>
      <w:r>
        <w:rPr>
          <w:i/>
          <w:sz w:val="24"/>
        </w:rPr>
        <w:t>connection service </w:t>
      </w:r>
      <w:r>
        <w:rPr>
          <w:sz w:val="24"/>
        </w:rPr>
        <w:t>(as defined in clause 5A.A.1) is complete; and</w:t>
      </w:r>
    </w:p>
    <w:p>
      <w:pPr>
        <w:pStyle w:val="ListParagraph"/>
        <w:numPr>
          <w:ilvl w:val="5"/>
          <w:numId w:val="850"/>
        </w:numPr>
        <w:tabs>
          <w:tab w:pos="3054" w:val="left" w:leader="none"/>
        </w:tabs>
        <w:spacing w:line="240" w:lineRule="auto" w:before="120" w:after="0"/>
        <w:ind w:left="3053" w:right="0" w:hanging="568"/>
        <w:jc w:val="both"/>
        <w:rPr>
          <w:sz w:val="24"/>
        </w:rPr>
      </w:pPr>
      <w:r>
        <w:rPr>
          <w:sz w:val="24"/>
        </w:rPr>
        <w:t>6 </w:t>
      </w:r>
      <w:r>
        <w:rPr>
          <w:i/>
          <w:sz w:val="24"/>
        </w:rPr>
        <w:t>business days </w:t>
      </w:r>
      <w:r>
        <w:rPr>
          <w:sz w:val="24"/>
        </w:rPr>
        <w:t>from the commencement</w:t>
      </w:r>
      <w:r>
        <w:rPr>
          <w:spacing w:val="-3"/>
          <w:sz w:val="24"/>
        </w:rPr>
        <w:t> </w:t>
      </w:r>
      <w:r>
        <w:rPr>
          <w:sz w:val="24"/>
        </w:rPr>
        <w:t>date;</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for the purposes of clause 7.8.10B(a)(2), the </w:t>
      </w:r>
      <w:r>
        <w:rPr>
          <w:i/>
          <w:sz w:val="24"/>
        </w:rPr>
        <w:t>retailer </w:t>
      </w:r>
      <w:r>
        <w:rPr>
          <w:sz w:val="24"/>
        </w:rPr>
        <w:t>received the request from the </w:t>
      </w:r>
      <w:r>
        <w:rPr>
          <w:i/>
          <w:sz w:val="24"/>
        </w:rPr>
        <w:t>small customer </w:t>
      </w:r>
      <w:r>
        <w:rPr>
          <w:sz w:val="24"/>
        </w:rPr>
        <w:t>on the commencement date;</w:t>
      </w:r>
      <w:r>
        <w:rPr>
          <w:spacing w:val="-5"/>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for the purposes of clause 7.8.10C(a)(1)(ii) and clause 7.8.10C(d), </w:t>
      </w:r>
      <w:r>
        <w:rPr>
          <w:spacing w:val="-4"/>
          <w:sz w:val="24"/>
        </w:rPr>
        <w:t>the </w:t>
      </w:r>
      <w:r>
        <w:rPr>
          <w:i/>
          <w:sz w:val="24"/>
        </w:rPr>
        <w:t>retailer </w:t>
      </w:r>
      <w:r>
        <w:rPr>
          <w:sz w:val="24"/>
        </w:rPr>
        <w:t>received the request from the </w:t>
      </w:r>
      <w:r>
        <w:rPr>
          <w:i/>
          <w:sz w:val="24"/>
        </w:rPr>
        <w:t>small customer </w:t>
      </w:r>
      <w:r>
        <w:rPr>
          <w:sz w:val="24"/>
        </w:rPr>
        <w:t>on the commencement</w:t>
      </w:r>
      <w:r>
        <w:rPr>
          <w:spacing w:val="-1"/>
          <w:sz w:val="24"/>
        </w:rPr>
        <w:t> </w:t>
      </w:r>
      <w:r>
        <w:rPr>
          <w:sz w:val="24"/>
        </w:rPr>
        <w:t>date.</w:t>
      </w:r>
    </w:p>
    <w:p>
      <w:pPr>
        <w:spacing w:after="0" w:line="240" w:lineRule="auto"/>
        <w:jc w:val="both"/>
        <w:rPr>
          <w:sz w:val="24"/>
        </w:rPr>
        <w:sectPr>
          <w:pgSz w:w="11910" w:h="16840"/>
          <w:pgMar w:header="686" w:footer="637" w:top="1320" w:bottom="820" w:left="1200" w:right="1000"/>
        </w:sectPr>
      </w:pPr>
    </w:p>
    <w:p>
      <w:pPr>
        <w:pStyle w:val="Heading2"/>
        <w:tabs>
          <w:tab w:pos="9317" w:val="left" w:leader="none"/>
        </w:tabs>
        <w:spacing w:before="83"/>
      </w:pPr>
      <w:bookmarkStart w:name="Part ZZZP Early implementation of ISP pr" w:id="3471"/>
      <w:bookmarkEnd w:id="3471"/>
      <w:r>
        <w:rPr>
          <w:b w:val="0"/>
        </w:rPr>
      </w:r>
      <w:bookmarkStart w:name="_bookmark1371" w:id="3472"/>
      <w:bookmarkEnd w:id="3472"/>
      <w:r>
        <w:rPr>
          <w:b w:val="0"/>
        </w:rPr>
      </w:r>
      <w:r>
        <w:rPr>
          <w:shd w:fill="D9D9D9" w:color="auto" w:val="clear"/>
        </w:rPr>
        <w:t>Part ZZZP  Early implementation of ISP priority</w:t>
      </w:r>
      <w:r>
        <w:rPr>
          <w:spacing w:val="-41"/>
          <w:shd w:fill="D9D9D9" w:color="auto" w:val="clear"/>
        </w:rPr>
        <w:t> </w:t>
      </w:r>
      <w:r>
        <w:rPr>
          <w:shd w:fill="D9D9D9" w:color="auto" w:val="clear"/>
        </w:rPr>
        <w:t>projects</w:t>
        <w:tab/>
      </w:r>
    </w:p>
    <w:p>
      <w:pPr>
        <w:pStyle w:val="Heading3"/>
        <w:numPr>
          <w:ilvl w:val="1"/>
          <w:numId w:val="850"/>
        </w:numPr>
        <w:tabs>
          <w:tab w:pos="1351" w:val="left" w:leader="none"/>
          <w:tab w:pos="1353" w:val="left" w:leader="none"/>
        </w:tabs>
        <w:spacing w:line="240" w:lineRule="auto" w:before="240" w:after="0"/>
        <w:ind w:left="1352" w:right="840" w:hanging="1134"/>
        <w:jc w:val="left"/>
      </w:pPr>
      <w:bookmarkStart w:name="11.114 National Electricity Amendment (E" w:id="3473"/>
      <w:bookmarkEnd w:id="3473"/>
      <w:r>
        <w:rPr>
          <w:b w:val="0"/>
        </w:rPr>
      </w:r>
      <w:bookmarkStart w:name="_bookmark1372" w:id="3474"/>
      <w:bookmarkEnd w:id="3474"/>
      <w:r>
        <w:rPr>
          <w:b w:val="0"/>
        </w:rPr>
      </w:r>
      <w:bookmarkStart w:name="_bookmark1372" w:id="3475"/>
      <w:bookmarkEnd w:id="3475"/>
      <w:r>
        <w:rPr/>
        <w:t>Nation</w:t>
      </w:r>
      <w:r>
        <w:rPr/>
        <w:t>al Electricity Amendment (Early implementation of ISP priority projects) Rule</w:t>
      </w:r>
      <w:r>
        <w:rPr>
          <w:spacing w:val="-3"/>
        </w:rPr>
        <w:t> </w:t>
      </w:r>
      <w:r>
        <w:rPr/>
        <w:t>2019</w:t>
      </w:r>
    </w:p>
    <w:p>
      <w:pPr>
        <w:pStyle w:val="Heading4"/>
        <w:numPr>
          <w:ilvl w:val="2"/>
          <w:numId w:val="850"/>
        </w:numPr>
        <w:tabs>
          <w:tab w:pos="1352" w:val="left" w:leader="none"/>
        </w:tabs>
        <w:spacing w:line="240" w:lineRule="auto" w:before="240" w:after="0"/>
        <w:ind w:left="1351" w:right="0" w:hanging="1134"/>
        <w:jc w:val="left"/>
      </w:pPr>
      <w:bookmarkStart w:name="11.114.1 Definitions" w:id="3476"/>
      <w:bookmarkEnd w:id="3476"/>
      <w:r>
        <w:rPr>
          <w:b w:val="0"/>
        </w:rPr>
      </w:r>
      <w:bookmarkStart w:name="_bookmark1373" w:id="3477"/>
      <w:bookmarkEnd w:id="3477"/>
      <w:r>
        <w:rPr>
          <w:b w:val="0"/>
        </w:rPr>
      </w:r>
      <w:bookmarkStart w:name="_bookmark1373" w:id="3478"/>
      <w:bookmarkEnd w:id="3478"/>
      <w:r>
        <w:rPr/>
        <w:t>Definition</w:t>
      </w:r>
      <w:r>
        <w:rPr/>
        <w:t>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Unless otherwise specified, terms defined in clause 5.10.2 have the same meaning when used in this rule</w:t>
      </w:r>
      <w:r>
        <w:rPr>
          <w:spacing w:val="-1"/>
          <w:sz w:val="24"/>
        </w:rPr>
        <w:t> </w:t>
      </w:r>
      <w:r>
        <w:rPr>
          <w:sz w:val="24"/>
        </w:rPr>
        <w:t>11.114.</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11.114:</w:t>
      </w:r>
    </w:p>
    <w:p>
      <w:pPr>
        <w:spacing w:before="120"/>
        <w:ind w:left="1919" w:right="415" w:firstLine="0"/>
        <w:jc w:val="both"/>
        <w:rPr>
          <w:sz w:val="24"/>
        </w:rPr>
      </w:pPr>
      <w:r>
        <w:rPr>
          <w:b/>
          <w:sz w:val="24"/>
        </w:rPr>
        <w:t>clause 5.16.6 trigger </w:t>
      </w:r>
      <w:r>
        <w:rPr>
          <w:sz w:val="24"/>
        </w:rPr>
        <w:t>means a </w:t>
      </w:r>
      <w:r>
        <w:rPr>
          <w:i/>
          <w:sz w:val="24"/>
        </w:rPr>
        <w:t>trigger event </w:t>
      </w:r>
      <w:r>
        <w:rPr>
          <w:sz w:val="24"/>
        </w:rPr>
        <w:t>for an ISP Project that is the determination of the </w:t>
      </w:r>
      <w:r>
        <w:rPr>
          <w:i/>
          <w:sz w:val="24"/>
        </w:rPr>
        <w:t>AER </w:t>
      </w:r>
      <w:r>
        <w:rPr>
          <w:sz w:val="24"/>
        </w:rPr>
        <w:t>that the preferred option satisfies the </w:t>
      </w:r>
      <w:r>
        <w:rPr>
          <w:i/>
          <w:sz w:val="24"/>
        </w:rPr>
        <w:t>regulatory </w:t>
      </w:r>
      <w:r>
        <w:rPr>
          <w:i/>
          <w:sz w:val="24"/>
        </w:rPr>
        <w:t>investment test for transmission</w:t>
      </w:r>
      <w:r>
        <w:rPr>
          <w:sz w:val="24"/>
        </w:rPr>
        <w:t>, however such a </w:t>
      </w:r>
      <w:r>
        <w:rPr>
          <w:i/>
          <w:sz w:val="24"/>
        </w:rPr>
        <w:t>trigger event </w:t>
      </w:r>
      <w:r>
        <w:rPr>
          <w:sz w:val="24"/>
        </w:rPr>
        <w:t>is described.</w:t>
      </w:r>
    </w:p>
    <w:p>
      <w:pPr>
        <w:pStyle w:val="BodyText"/>
        <w:ind w:left="1919" w:right="415" w:firstLine="0"/>
      </w:pPr>
      <w:r>
        <w:rPr>
          <w:b/>
        </w:rPr>
        <w:t>ElectraNet </w:t>
      </w:r>
      <w:r>
        <w:rPr/>
        <w:t>means ElectraNet Pty Ltd ACN 094 482 416, trading as ElectraNet, or any successor to its business.</w:t>
      </w:r>
    </w:p>
    <w:p>
      <w:pPr>
        <w:spacing w:before="120"/>
        <w:ind w:left="1919" w:right="0" w:firstLine="0"/>
        <w:jc w:val="both"/>
        <w:rPr>
          <w:sz w:val="24"/>
        </w:rPr>
      </w:pPr>
      <w:r>
        <w:rPr>
          <w:b/>
          <w:sz w:val="24"/>
        </w:rPr>
        <w:t>Integrated System Plan </w:t>
      </w:r>
      <w:r>
        <w:rPr>
          <w:sz w:val="24"/>
        </w:rPr>
        <w:t>means the Integrated System Plan published by</w:t>
      </w:r>
    </w:p>
    <w:p>
      <w:pPr>
        <w:spacing w:before="0"/>
        <w:ind w:left="1919" w:right="0" w:firstLine="0"/>
        <w:jc w:val="left"/>
        <w:rPr>
          <w:sz w:val="24"/>
        </w:rPr>
      </w:pPr>
      <w:r>
        <w:rPr>
          <w:i/>
          <w:sz w:val="24"/>
        </w:rPr>
        <w:t>AEMO </w:t>
      </w:r>
      <w:r>
        <w:rPr>
          <w:sz w:val="24"/>
        </w:rPr>
        <w:t>in July 2018.</w:t>
      </w:r>
    </w:p>
    <w:p>
      <w:pPr>
        <w:pStyle w:val="BodyText"/>
        <w:ind w:left="1919" w:right="415" w:firstLine="0"/>
        <w:jc w:val="left"/>
      </w:pPr>
      <w:r>
        <w:rPr>
          <w:b/>
        </w:rPr>
        <w:t>ISP Projects </w:t>
      </w:r>
      <w:r>
        <w:rPr/>
        <w:t>means a VNI Project, a QNI Project or a SA-NSW Interconnector Project.</w:t>
      </w:r>
    </w:p>
    <w:p>
      <w:pPr>
        <w:pStyle w:val="BodyText"/>
        <w:ind w:left="1919" w:right="415" w:firstLine="0"/>
        <w:jc w:val="left"/>
      </w:pPr>
      <w:r>
        <w:rPr>
          <w:b/>
        </w:rPr>
        <w:t>Powerlink </w:t>
      </w:r>
      <w:r>
        <w:rPr/>
        <w:t>means the Queensland Electricity Transmission Corporation Limited (ACN 078 849 233), or any successor to its business.</w:t>
      </w:r>
    </w:p>
    <w:p>
      <w:pPr>
        <w:spacing w:before="120"/>
        <w:ind w:left="1919" w:right="0" w:firstLine="0"/>
        <w:jc w:val="left"/>
        <w:rPr>
          <w:sz w:val="24"/>
        </w:rPr>
      </w:pPr>
      <w:r>
        <w:rPr>
          <w:b/>
          <w:sz w:val="24"/>
        </w:rPr>
        <w:t>QNI projects </w:t>
      </w:r>
      <w:r>
        <w:rPr>
          <w:sz w:val="24"/>
        </w:rPr>
        <w:t>means the following projects:</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QNI Upgrade (Queensland component) ($66.7m) </w:t>
      </w:r>
      <w:r>
        <w:rPr>
          <w:i/>
          <w:sz w:val="24"/>
        </w:rPr>
        <w:t>contingent </w:t>
      </w:r>
      <w:r>
        <w:rPr>
          <w:i/>
          <w:sz w:val="24"/>
        </w:rPr>
        <w:t>project </w:t>
      </w:r>
      <w:r>
        <w:rPr>
          <w:sz w:val="24"/>
        </w:rPr>
        <w:t>specified in Powerlink's </w:t>
      </w:r>
      <w:r>
        <w:rPr>
          <w:i/>
          <w:sz w:val="24"/>
        </w:rPr>
        <w:t>revenue determination </w:t>
      </w:r>
      <w:r>
        <w:rPr>
          <w:sz w:val="24"/>
        </w:rPr>
        <w:t>for the </w:t>
      </w:r>
      <w:r>
        <w:rPr>
          <w:i/>
          <w:sz w:val="24"/>
        </w:rPr>
        <w:t>regulatory control period </w:t>
      </w:r>
      <w:r>
        <w:rPr>
          <w:sz w:val="24"/>
        </w:rPr>
        <w:t>commencing 1 July 2017;</w:t>
      </w:r>
      <w:r>
        <w:rPr>
          <w:spacing w:val="-7"/>
          <w:sz w:val="24"/>
        </w:rPr>
        <w:t> </w:t>
      </w:r>
      <w:r>
        <w:rPr>
          <w:sz w:val="24"/>
        </w:rPr>
        <w:t>and</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Reinforcement of Northern Network (QNI upgrade)($63m to$141m) </w:t>
      </w:r>
      <w:r>
        <w:rPr>
          <w:i/>
          <w:sz w:val="24"/>
        </w:rPr>
        <w:t>contingent project </w:t>
      </w:r>
      <w:r>
        <w:rPr>
          <w:sz w:val="24"/>
        </w:rPr>
        <w:t>specified in Transgrid’s </w:t>
      </w:r>
      <w:r>
        <w:rPr>
          <w:i/>
          <w:sz w:val="24"/>
        </w:rPr>
        <w:t>revenue determination </w:t>
      </w:r>
      <w:r>
        <w:rPr>
          <w:sz w:val="24"/>
        </w:rPr>
        <w:t>for the </w:t>
      </w:r>
      <w:r>
        <w:rPr>
          <w:i/>
          <w:sz w:val="24"/>
        </w:rPr>
        <w:t>regulatory control period </w:t>
      </w:r>
      <w:r>
        <w:rPr>
          <w:sz w:val="24"/>
        </w:rPr>
        <w:t>commencing 1 July</w:t>
      </w:r>
      <w:r>
        <w:rPr>
          <w:spacing w:val="-4"/>
          <w:sz w:val="24"/>
        </w:rPr>
        <w:t> </w:t>
      </w:r>
      <w:r>
        <w:rPr>
          <w:sz w:val="24"/>
        </w:rPr>
        <w:t>2018.</w:t>
      </w:r>
    </w:p>
    <w:p>
      <w:pPr>
        <w:spacing w:before="120"/>
        <w:ind w:left="1919" w:right="0" w:firstLine="0"/>
        <w:jc w:val="both"/>
        <w:rPr>
          <w:sz w:val="24"/>
        </w:rPr>
      </w:pPr>
      <w:r>
        <w:rPr>
          <w:b/>
          <w:sz w:val="24"/>
        </w:rPr>
        <w:t>SA-NSW Interconnector Projects </w:t>
      </w:r>
      <w:r>
        <w:rPr>
          <w:sz w:val="24"/>
        </w:rPr>
        <w:t>means the following projects:</w:t>
      </w:r>
    </w:p>
    <w:p>
      <w:pPr>
        <w:pStyle w:val="ListParagraph"/>
        <w:numPr>
          <w:ilvl w:val="0"/>
          <w:numId w:val="859"/>
        </w:numPr>
        <w:tabs>
          <w:tab w:pos="2486" w:val="left" w:leader="none"/>
        </w:tabs>
        <w:spacing w:line="240" w:lineRule="auto" w:before="120" w:after="0"/>
        <w:ind w:left="2486" w:right="416" w:hanging="567"/>
        <w:jc w:val="both"/>
        <w:rPr>
          <w:sz w:val="24"/>
        </w:rPr>
      </w:pPr>
      <w:r>
        <w:rPr>
          <w:sz w:val="24"/>
        </w:rPr>
        <w:t>The NSW to SA interconnector ($276m to $1074m) </w:t>
      </w:r>
      <w:r>
        <w:rPr>
          <w:i/>
          <w:sz w:val="24"/>
        </w:rPr>
        <w:t>contingent </w:t>
      </w:r>
      <w:r>
        <w:rPr>
          <w:i/>
          <w:sz w:val="24"/>
        </w:rPr>
        <w:t>project </w:t>
      </w:r>
      <w:r>
        <w:rPr>
          <w:sz w:val="24"/>
        </w:rPr>
        <w:t>specified in Transgrid's </w:t>
      </w:r>
      <w:r>
        <w:rPr>
          <w:i/>
          <w:sz w:val="24"/>
        </w:rPr>
        <w:t>revenue determination </w:t>
      </w:r>
      <w:r>
        <w:rPr>
          <w:sz w:val="24"/>
        </w:rPr>
        <w:t>for the </w:t>
      </w:r>
      <w:r>
        <w:rPr>
          <w:i/>
          <w:sz w:val="24"/>
        </w:rPr>
        <w:t>regulatory control period </w:t>
      </w:r>
      <w:r>
        <w:rPr>
          <w:sz w:val="24"/>
        </w:rPr>
        <w:t>commencing 1 July 2018;</w:t>
      </w:r>
      <w:r>
        <w:rPr>
          <w:spacing w:val="-7"/>
          <w:sz w:val="24"/>
        </w:rPr>
        <w:t> </w:t>
      </w:r>
      <w:r>
        <w:rPr>
          <w:sz w:val="24"/>
        </w:rPr>
        <w:t>and</w:t>
      </w:r>
    </w:p>
    <w:p>
      <w:pPr>
        <w:pStyle w:val="ListParagraph"/>
        <w:numPr>
          <w:ilvl w:val="0"/>
          <w:numId w:val="859"/>
        </w:numPr>
        <w:tabs>
          <w:tab w:pos="2486" w:val="left" w:leader="none"/>
        </w:tabs>
        <w:spacing w:line="240" w:lineRule="auto" w:before="120" w:after="0"/>
        <w:ind w:left="2486" w:right="415" w:hanging="567"/>
        <w:jc w:val="both"/>
        <w:rPr>
          <w:sz w:val="24"/>
        </w:rPr>
      </w:pPr>
      <w:r>
        <w:rPr>
          <w:sz w:val="24"/>
        </w:rPr>
        <w:t>The South Australian Energy Transformation ($200m to $500m) </w:t>
      </w:r>
      <w:r>
        <w:rPr>
          <w:i/>
          <w:sz w:val="24"/>
        </w:rPr>
        <w:t>contingent project </w:t>
      </w:r>
      <w:r>
        <w:rPr>
          <w:sz w:val="24"/>
        </w:rPr>
        <w:t>specified in ElectraNet’s </w:t>
      </w:r>
      <w:r>
        <w:rPr>
          <w:i/>
          <w:sz w:val="24"/>
        </w:rPr>
        <w:t>revenue determination </w:t>
      </w:r>
      <w:r>
        <w:rPr>
          <w:sz w:val="24"/>
        </w:rPr>
        <w:t>for the </w:t>
      </w:r>
      <w:r>
        <w:rPr>
          <w:i/>
          <w:sz w:val="24"/>
        </w:rPr>
        <w:t>regulatory control period </w:t>
      </w:r>
      <w:r>
        <w:rPr>
          <w:sz w:val="24"/>
        </w:rPr>
        <w:t>commencing 1 July</w:t>
      </w:r>
      <w:r>
        <w:rPr>
          <w:spacing w:val="-4"/>
          <w:sz w:val="24"/>
        </w:rPr>
        <w:t> </w:t>
      </w:r>
      <w:r>
        <w:rPr>
          <w:sz w:val="24"/>
        </w:rPr>
        <w:t>2018.</w:t>
      </w:r>
    </w:p>
    <w:p>
      <w:pPr>
        <w:pStyle w:val="BodyText"/>
        <w:ind w:left="1919" w:right="415" w:firstLine="0"/>
      </w:pPr>
      <w:r>
        <w:rPr>
          <w:b/>
        </w:rPr>
        <w:t>Transgrid </w:t>
      </w:r>
      <w:r>
        <w:rPr/>
        <w:t>means NSW Electricity Networks Operations PtyLimited (ACN 609 169 959) as trustee for the NSW Electricity Networks Operations Trust, or any successor to its</w:t>
      </w:r>
      <w:r>
        <w:rPr>
          <w:spacing w:val="-2"/>
        </w:rPr>
        <w:t> </w:t>
      </w:r>
      <w:r>
        <w:rPr/>
        <w:t>business.</w:t>
      </w:r>
    </w:p>
    <w:p>
      <w:pPr>
        <w:spacing w:before="120"/>
        <w:ind w:left="1919" w:right="416" w:firstLine="0"/>
        <w:jc w:val="both"/>
        <w:rPr>
          <w:sz w:val="24"/>
        </w:rPr>
      </w:pPr>
      <w:r>
        <w:rPr>
          <w:b/>
          <w:sz w:val="24"/>
        </w:rPr>
        <w:t>VNI Project </w:t>
      </w:r>
      <w:r>
        <w:rPr>
          <w:sz w:val="24"/>
        </w:rPr>
        <w:t>means the following project: the Reinforcement of Southern Network ($60m to $393m) </w:t>
      </w:r>
      <w:r>
        <w:rPr>
          <w:i/>
          <w:sz w:val="24"/>
        </w:rPr>
        <w:t>contingent project </w:t>
      </w:r>
      <w:r>
        <w:rPr>
          <w:sz w:val="24"/>
        </w:rPr>
        <w:t>specified in Transgrid’s </w:t>
      </w:r>
      <w:r>
        <w:rPr>
          <w:i/>
          <w:sz w:val="24"/>
        </w:rPr>
        <w:t>revenue determination </w:t>
      </w:r>
      <w:r>
        <w:rPr>
          <w:sz w:val="24"/>
        </w:rPr>
        <w:t>for the </w:t>
      </w:r>
      <w:r>
        <w:rPr>
          <w:i/>
          <w:sz w:val="24"/>
        </w:rPr>
        <w:t>regulatory control period </w:t>
      </w:r>
      <w:r>
        <w:rPr>
          <w:sz w:val="24"/>
        </w:rPr>
        <w:t>commencing 1 July 2018.</w:t>
      </w:r>
    </w:p>
    <w:p>
      <w:pPr>
        <w:spacing w:after="0"/>
        <w:jc w:val="both"/>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14.2 Modifications to clause 5.16.6 " w:id="3479"/>
      <w:bookmarkEnd w:id="3479"/>
      <w:r>
        <w:rPr>
          <w:b w:val="0"/>
        </w:rPr>
      </w:r>
      <w:bookmarkStart w:name="_bookmark1374" w:id="3480"/>
      <w:bookmarkEnd w:id="3480"/>
      <w:r>
        <w:rPr>
          <w:b w:val="0"/>
        </w:rPr>
      </w:r>
      <w:bookmarkStart w:name="_bookmark1374" w:id="3481"/>
      <w:bookmarkEnd w:id="3481"/>
      <w:r>
        <w:rPr/>
        <w:t>Modif</w:t>
      </w:r>
      <w:r>
        <w:rPr/>
        <w:t>ications to clause 5.16.6 for ISP VNI and QNI</w:t>
      </w:r>
      <w:r>
        <w:rPr>
          <w:spacing w:val="-10"/>
        </w:rPr>
        <w:t> </w:t>
      </w:r>
      <w:r>
        <w:rPr/>
        <w:t>projects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For the purposes of the application of clause 5.16.6 to a preferred option that is VNI Project or a QNI Project, clause 5.16.6 applies subject to the modifications set out in the following</w:t>
      </w:r>
      <w:r>
        <w:rPr>
          <w:spacing w:val="-2"/>
          <w:sz w:val="24"/>
        </w:rPr>
        <w:t> </w:t>
      </w:r>
      <w:r>
        <w:rPr>
          <w:sz w:val="24"/>
        </w:rPr>
        <w:t>table:</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14"/>
        <w:gridCol w:w="1388"/>
        <w:gridCol w:w="3768"/>
      </w:tblGrid>
      <w:tr>
        <w:trPr>
          <w:trHeight w:val="395" w:hRule="atLeast"/>
        </w:trPr>
        <w:tc>
          <w:tcPr>
            <w:tcW w:w="221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w:t>
            </w:r>
          </w:p>
        </w:tc>
        <w:tc>
          <w:tcPr>
            <w:tcW w:w="1388"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Reference</w:t>
            </w:r>
          </w:p>
        </w:tc>
        <w:tc>
          <w:tcPr>
            <w:tcW w:w="3768"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Transitional treatment</w:t>
            </w:r>
          </w:p>
        </w:tc>
      </w:tr>
      <w:tr>
        <w:trPr>
          <w:trHeight w:val="1895" w:hRule="atLeast"/>
        </w:trPr>
        <w:tc>
          <w:tcPr>
            <w:tcW w:w="2214" w:type="dxa"/>
            <w:tcBorders>
              <w:top w:val="single" w:sz="4" w:space="0" w:color="000000"/>
              <w:bottom w:val="single" w:sz="4" w:space="0" w:color="000000"/>
              <w:right w:val="single" w:sz="4" w:space="0" w:color="000000"/>
            </w:tcBorders>
          </w:tcPr>
          <w:p>
            <w:pPr>
              <w:pStyle w:val="TableParagraph"/>
              <w:ind w:left="40" w:right="59"/>
              <w:rPr>
                <w:sz w:val="24"/>
              </w:rPr>
            </w:pPr>
            <w:r>
              <w:rPr>
                <w:sz w:val="24"/>
              </w:rPr>
              <w:t>Requirement for dispute notification period to have passed before application for preferred option analysis</w:t>
            </w:r>
          </w:p>
        </w:tc>
        <w:tc>
          <w:tcPr>
            <w:tcW w:w="1388" w:type="dxa"/>
            <w:tcBorders>
              <w:top w:val="single" w:sz="4" w:space="0" w:color="000000"/>
              <w:left w:val="single" w:sz="4" w:space="0" w:color="000000"/>
              <w:bottom w:val="single" w:sz="4" w:space="0" w:color="000000"/>
              <w:right w:val="single" w:sz="4" w:space="0" w:color="000000"/>
            </w:tcBorders>
          </w:tcPr>
          <w:p>
            <w:pPr>
              <w:pStyle w:val="TableParagraph"/>
              <w:ind w:left="44" w:right="447"/>
              <w:rPr>
                <w:sz w:val="24"/>
              </w:rPr>
            </w:pPr>
            <w:r>
              <w:rPr>
                <w:sz w:val="24"/>
              </w:rPr>
              <w:t>Clause 5.16.6(a)</w:t>
            </w:r>
          </w:p>
        </w:tc>
        <w:tc>
          <w:tcPr>
            <w:tcW w:w="3768" w:type="dxa"/>
            <w:tcBorders>
              <w:top w:val="single" w:sz="4" w:space="0" w:color="000000"/>
              <w:left w:val="single" w:sz="4" w:space="0" w:color="000000"/>
              <w:bottom w:val="single" w:sz="4" w:space="0" w:color="000000"/>
              <w:right w:val="single" w:sz="4" w:space="0" w:color="000000"/>
            </w:tcBorders>
          </w:tcPr>
          <w:p>
            <w:pPr>
              <w:pStyle w:val="TableParagraph"/>
              <w:ind w:right="21"/>
              <w:rPr>
                <w:sz w:val="24"/>
              </w:rPr>
            </w:pPr>
            <w:r>
              <w:rPr>
                <w:sz w:val="24"/>
              </w:rPr>
              <w:t>In clause 5.16.6(a), omit “After the expiry of the 30 day period referred to in clause 5.16.5(c) and where” and substitute “Where”.</w:t>
            </w:r>
          </w:p>
        </w:tc>
      </w:tr>
      <w:tr>
        <w:trPr>
          <w:trHeight w:val="3395" w:hRule="atLeast"/>
        </w:trPr>
        <w:tc>
          <w:tcPr>
            <w:tcW w:w="2214" w:type="dxa"/>
            <w:tcBorders>
              <w:top w:val="single" w:sz="4" w:space="0" w:color="000000"/>
              <w:bottom w:val="single" w:sz="4" w:space="0" w:color="000000"/>
              <w:right w:val="single" w:sz="4" w:space="0" w:color="000000"/>
            </w:tcBorders>
          </w:tcPr>
          <w:p>
            <w:pPr>
              <w:pStyle w:val="TableParagraph"/>
              <w:ind w:left="40" w:right="152"/>
              <w:rPr>
                <w:sz w:val="24"/>
              </w:rPr>
            </w:pPr>
            <w:r>
              <w:rPr>
                <w:sz w:val="24"/>
              </w:rPr>
              <w:t>Timing for the </w:t>
            </w:r>
            <w:r>
              <w:rPr>
                <w:i/>
                <w:sz w:val="24"/>
              </w:rPr>
              <w:t>AER </w:t>
            </w:r>
            <w:r>
              <w:rPr>
                <w:sz w:val="24"/>
              </w:rPr>
              <w:t>to make a determination on the preferred option is adjusted so that it cannot be made before the period for notifying a dispute has passed</w:t>
            </w:r>
          </w:p>
        </w:tc>
        <w:tc>
          <w:tcPr>
            <w:tcW w:w="1388" w:type="dxa"/>
            <w:tcBorders>
              <w:top w:val="single" w:sz="4" w:space="0" w:color="000000"/>
              <w:left w:val="single" w:sz="4" w:space="0" w:color="000000"/>
              <w:bottom w:val="single" w:sz="4" w:space="0" w:color="000000"/>
              <w:right w:val="single" w:sz="4" w:space="0" w:color="000000"/>
            </w:tcBorders>
          </w:tcPr>
          <w:p>
            <w:pPr>
              <w:pStyle w:val="TableParagraph"/>
              <w:ind w:left="44" w:right="434"/>
              <w:rPr>
                <w:sz w:val="24"/>
              </w:rPr>
            </w:pPr>
            <w:r>
              <w:rPr>
                <w:sz w:val="24"/>
              </w:rPr>
              <w:t>Clause 5.16.6(b)</w:t>
            </w:r>
          </w:p>
        </w:tc>
        <w:tc>
          <w:tcPr>
            <w:tcW w:w="3768" w:type="dxa"/>
            <w:tcBorders>
              <w:top w:val="single" w:sz="4" w:space="0" w:color="000000"/>
              <w:left w:val="single" w:sz="4" w:space="0" w:color="000000"/>
              <w:bottom w:val="single" w:sz="4" w:space="0" w:color="000000"/>
              <w:right w:val="single" w:sz="4" w:space="0" w:color="000000"/>
            </w:tcBorders>
          </w:tcPr>
          <w:p>
            <w:pPr>
              <w:pStyle w:val="TableParagraph"/>
              <w:ind w:right="913"/>
              <w:rPr>
                <w:sz w:val="24"/>
              </w:rPr>
            </w:pPr>
            <w:r>
              <w:rPr>
                <w:sz w:val="24"/>
              </w:rPr>
              <w:t>Omit clause 5.16.6(b)(1) and substitute:</w:t>
            </w:r>
          </w:p>
          <w:p>
            <w:pPr>
              <w:pStyle w:val="TableParagraph"/>
              <w:ind w:left="612" w:right="101" w:hanging="567"/>
              <w:rPr>
                <w:sz w:val="24"/>
              </w:rPr>
            </w:pPr>
            <w:r>
              <w:rPr>
                <w:sz w:val="24"/>
              </w:rPr>
              <w:t>"(1) must, within 120 business days of receipt of the request from the applicant (and</w:t>
            </w:r>
          </w:p>
          <w:p>
            <w:pPr>
              <w:pStyle w:val="TableParagraph"/>
              <w:spacing w:before="0"/>
              <w:ind w:left="612" w:right="100"/>
              <w:rPr>
                <w:sz w:val="24"/>
              </w:rPr>
            </w:pPr>
            <w:r>
              <w:rPr>
                <w:sz w:val="24"/>
              </w:rPr>
              <w:t>not earlier than 30 days of receipt of the request from the applicant), subject to paragraph (c), make and publish a determination, including reasons for its determination;"</w:t>
            </w:r>
          </w:p>
        </w:tc>
      </w:tr>
      <w:tr>
        <w:trPr>
          <w:trHeight w:val="6515" w:hRule="atLeast"/>
        </w:trPr>
        <w:tc>
          <w:tcPr>
            <w:tcW w:w="2214" w:type="dxa"/>
            <w:tcBorders>
              <w:top w:val="single" w:sz="4" w:space="0" w:color="000000"/>
              <w:right w:val="single" w:sz="4" w:space="0" w:color="000000"/>
            </w:tcBorders>
          </w:tcPr>
          <w:p>
            <w:pPr>
              <w:pStyle w:val="TableParagraph"/>
              <w:ind w:left="40" w:right="39"/>
              <w:rPr>
                <w:sz w:val="24"/>
              </w:rPr>
            </w:pPr>
            <w:r>
              <w:rPr>
                <w:sz w:val="24"/>
              </w:rPr>
              <w:t>Include new provisions that prevent the </w:t>
            </w:r>
            <w:r>
              <w:rPr>
                <w:i/>
                <w:sz w:val="24"/>
              </w:rPr>
              <w:t>AER </w:t>
            </w:r>
            <w:r>
              <w:rPr>
                <w:sz w:val="24"/>
              </w:rPr>
              <w:t>from making a determination on the preferred option if a dispute has been raised and not resolved</w:t>
            </w:r>
          </w:p>
        </w:tc>
        <w:tc>
          <w:tcPr>
            <w:tcW w:w="1388" w:type="dxa"/>
            <w:tcBorders>
              <w:top w:val="single" w:sz="4" w:space="0" w:color="000000"/>
              <w:left w:val="single" w:sz="4" w:space="0" w:color="000000"/>
              <w:right w:val="single" w:sz="4" w:space="0" w:color="000000"/>
            </w:tcBorders>
          </w:tcPr>
          <w:p>
            <w:pPr>
              <w:pStyle w:val="TableParagraph"/>
              <w:ind w:left="44" w:right="27"/>
              <w:rPr>
                <w:sz w:val="24"/>
              </w:rPr>
            </w:pPr>
            <w:r>
              <w:rPr>
                <w:sz w:val="24"/>
              </w:rPr>
              <w:t>New clause 5.16.6(d) and (e)</w:t>
            </w:r>
          </w:p>
        </w:tc>
        <w:tc>
          <w:tcPr>
            <w:tcW w:w="3768" w:type="dxa"/>
            <w:tcBorders>
              <w:top w:val="single" w:sz="4" w:space="0" w:color="000000"/>
              <w:left w:val="single" w:sz="4" w:space="0" w:color="000000"/>
              <w:right w:val="single" w:sz="4" w:space="0" w:color="000000"/>
            </w:tcBorders>
          </w:tcPr>
          <w:p>
            <w:pPr>
              <w:pStyle w:val="TableParagraph"/>
              <w:rPr>
                <w:sz w:val="24"/>
              </w:rPr>
            </w:pPr>
            <w:r>
              <w:rPr>
                <w:sz w:val="24"/>
              </w:rPr>
              <w:t>After clause 5.16.6(c), insert:</w:t>
            </w:r>
          </w:p>
          <w:p>
            <w:pPr>
              <w:pStyle w:val="TableParagraph"/>
              <w:numPr>
                <w:ilvl w:val="0"/>
                <w:numId w:val="860"/>
              </w:numPr>
              <w:tabs>
                <w:tab w:pos="611" w:val="left" w:leader="none"/>
                <w:tab w:pos="612" w:val="left" w:leader="none"/>
              </w:tabs>
              <w:spacing w:line="240" w:lineRule="auto" w:before="120" w:after="0"/>
              <w:ind w:left="612" w:right="137" w:hanging="567"/>
              <w:jc w:val="left"/>
              <w:rPr>
                <w:sz w:val="24"/>
              </w:rPr>
            </w:pPr>
            <w:r>
              <w:rPr>
                <w:sz w:val="24"/>
              </w:rPr>
              <w:t>The </w:t>
            </w:r>
            <w:r>
              <w:rPr>
                <w:i/>
                <w:sz w:val="24"/>
              </w:rPr>
              <w:t>AER </w:t>
            </w:r>
            <w:r>
              <w:rPr>
                <w:sz w:val="24"/>
              </w:rPr>
              <w:t>must not make a determination under this</w:t>
            </w:r>
            <w:r>
              <w:rPr>
                <w:spacing w:val="1"/>
                <w:sz w:val="24"/>
              </w:rPr>
              <w:t> </w:t>
            </w:r>
            <w:r>
              <w:rPr>
                <w:spacing w:val="-3"/>
                <w:sz w:val="24"/>
              </w:rPr>
              <w:t>clause</w:t>
            </w:r>
          </w:p>
          <w:p>
            <w:pPr>
              <w:pStyle w:val="TableParagraph"/>
              <w:spacing w:before="0"/>
              <w:ind w:left="612" w:right="58"/>
              <w:rPr>
                <w:sz w:val="24"/>
              </w:rPr>
            </w:pPr>
            <w:r>
              <w:rPr>
                <w:sz w:val="24"/>
              </w:rPr>
              <w:t>5.16.6 if at any time after receipt of the request from the applicant under paragraph (a) and before the determination is made, a person gives notice of </w:t>
            </w:r>
            <w:r>
              <w:rPr>
                <w:spacing w:val="-16"/>
                <w:sz w:val="24"/>
              </w:rPr>
              <w:t>a </w:t>
            </w:r>
            <w:r>
              <w:rPr>
                <w:sz w:val="24"/>
              </w:rPr>
              <w:t>dispute under clause 5.16.5(c) and the dispute has not been resolved.</w:t>
            </w:r>
          </w:p>
          <w:p>
            <w:pPr>
              <w:pStyle w:val="TableParagraph"/>
              <w:numPr>
                <w:ilvl w:val="0"/>
                <w:numId w:val="860"/>
              </w:numPr>
              <w:tabs>
                <w:tab w:pos="611" w:val="left" w:leader="none"/>
                <w:tab w:pos="612" w:val="left" w:leader="none"/>
              </w:tabs>
              <w:spacing w:line="240" w:lineRule="auto" w:before="120" w:after="0"/>
              <w:ind w:left="612" w:right="264" w:hanging="567"/>
              <w:jc w:val="left"/>
              <w:rPr>
                <w:sz w:val="24"/>
              </w:rPr>
            </w:pPr>
            <w:r>
              <w:rPr>
                <w:sz w:val="24"/>
              </w:rPr>
              <w:t>For the purposes of paragraph (d), a dispute is taken to be resolved</w:t>
            </w:r>
            <w:r>
              <w:rPr>
                <w:spacing w:val="-1"/>
                <w:sz w:val="24"/>
              </w:rPr>
              <w:t> </w:t>
            </w:r>
            <w:r>
              <w:rPr>
                <w:sz w:val="24"/>
              </w:rPr>
              <w:t>if:</w:t>
            </w:r>
          </w:p>
          <w:p>
            <w:pPr>
              <w:pStyle w:val="TableParagraph"/>
              <w:numPr>
                <w:ilvl w:val="1"/>
                <w:numId w:val="860"/>
              </w:numPr>
              <w:tabs>
                <w:tab w:pos="1178" w:val="left" w:leader="none"/>
                <w:tab w:pos="1179" w:val="left" w:leader="none"/>
              </w:tabs>
              <w:spacing w:line="240" w:lineRule="auto" w:before="120" w:after="0"/>
              <w:ind w:left="1179" w:right="197" w:hanging="567"/>
              <w:jc w:val="left"/>
              <w:rPr>
                <w:sz w:val="24"/>
              </w:rPr>
            </w:pPr>
            <w:r>
              <w:rPr>
                <w:sz w:val="24"/>
              </w:rPr>
              <w:t>the </w:t>
            </w:r>
            <w:r>
              <w:rPr>
                <w:i/>
                <w:sz w:val="24"/>
              </w:rPr>
              <w:t>AER </w:t>
            </w:r>
            <w:r>
              <w:rPr>
                <w:sz w:val="24"/>
              </w:rPr>
              <w:t>has rejected that dispute under</w:t>
            </w:r>
            <w:r>
              <w:rPr>
                <w:spacing w:val="-16"/>
                <w:sz w:val="24"/>
              </w:rPr>
              <w:t> </w:t>
            </w:r>
            <w:r>
              <w:rPr>
                <w:sz w:val="24"/>
              </w:rPr>
              <w:t>clause 5.16.5(d)(1);</w:t>
            </w:r>
          </w:p>
          <w:p>
            <w:pPr>
              <w:pStyle w:val="TableParagraph"/>
              <w:numPr>
                <w:ilvl w:val="1"/>
                <w:numId w:val="860"/>
              </w:numPr>
              <w:tabs>
                <w:tab w:pos="1178" w:val="left" w:leader="none"/>
                <w:tab w:pos="1179" w:val="left" w:leader="none"/>
              </w:tabs>
              <w:spacing w:line="240" w:lineRule="auto" w:before="120" w:after="0"/>
              <w:ind w:left="1179" w:right="84" w:hanging="567"/>
              <w:jc w:val="left"/>
              <w:rPr>
                <w:sz w:val="24"/>
              </w:rPr>
            </w:pPr>
            <w:r>
              <w:rPr>
                <w:sz w:val="24"/>
              </w:rPr>
              <w:t>the </w:t>
            </w:r>
            <w:r>
              <w:rPr>
                <w:i/>
                <w:sz w:val="24"/>
              </w:rPr>
              <w:t>AER </w:t>
            </w:r>
            <w:r>
              <w:rPr>
                <w:sz w:val="24"/>
              </w:rPr>
              <w:t>has made and </w:t>
            </w:r>
            <w:r>
              <w:rPr>
                <w:i/>
                <w:sz w:val="24"/>
              </w:rPr>
              <w:t>published </w:t>
            </w:r>
            <w:r>
              <w:rPr>
                <w:sz w:val="24"/>
              </w:rPr>
              <w:t>a </w:t>
            </w:r>
            <w:r>
              <w:rPr>
                <w:spacing w:val="-3"/>
                <w:sz w:val="24"/>
              </w:rPr>
              <w:t>determination </w:t>
            </w:r>
            <w:r>
              <w:rPr>
                <w:sz w:val="24"/>
              </w:rPr>
              <w:t>under clause 5.16.5(d)(3)(ii); or</w:t>
            </w:r>
          </w:p>
        </w:tc>
      </w:tr>
    </w:tbl>
    <w:p>
      <w:pPr>
        <w:spacing w:after="0" w:line="240" w:lineRule="auto"/>
        <w:jc w:val="lef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14"/>
        <w:gridCol w:w="1388"/>
        <w:gridCol w:w="3768"/>
      </w:tblGrid>
      <w:tr>
        <w:trPr>
          <w:trHeight w:val="395" w:hRule="atLeast"/>
        </w:trPr>
        <w:tc>
          <w:tcPr>
            <w:tcW w:w="221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w:t>
            </w:r>
          </w:p>
        </w:tc>
        <w:tc>
          <w:tcPr>
            <w:tcW w:w="1388"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Reference</w:t>
            </w:r>
          </w:p>
        </w:tc>
        <w:tc>
          <w:tcPr>
            <w:tcW w:w="3768" w:type="dxa"/>
            <w:tcBorders>
              <w:left w:val="single" w:sz="4" w:space="0" w:color="000000"/>
              <w:bottom w:val="single" w:sz="4" w:space="0" w:color="000000"/>
              <w:right w:val="single" w:sz="4" w:space="0" w:color="000000"/>
            </w:tcBorders>
            <w:shd w:val="clear" w:color="auto" w:fill="D9D9D9"/>
          </w:tcPr>
          <w:p>
            <w:pPr>
              <w:pStyle w:val="TableParagraph"/>
              <w:spacing w:line="256" w:lineRule="exact"/>
              <w:rPr>
                <w:rFonts w:ascii="Arial"/>
                <w:b/>
                <w:sz w:val="24"/>
              </w:rPr>
            </w:pPr>
            <w:r>
              <w:rPr>
                <w:rFonts w:ascii="Arial"/>
                <w:b/>
                <w:sz w:val="24"/>
              </w:rPr>
              <w:t>Transitional treatment</w:t>
            </w:r>
          </w:p>
        </w:tc>
      </w:tr>
      <w:tr>
        <w:trPr>
          <w:trHeight w:val="2327" w:hRule="atLeast"/>
        </w:trPr>
        <w:tc>
          <w:tcPr>
            <w:tcW w:w="2214" w:type="dxa"/>
            <w:tcBorders>
              <w:top w:val="single" w:sz="4" w:space="0" w:color="000000"/>
              <w:right w:val="single" w:sz="4" w:space="0" w:color="000000"/>
            </w:tcBorders>
          </w:tcPr>
          <w:p>
            <w:pPr>
              <w:pStyle w:val="TableParagraph"/>
              <w:spacing w:before="0"/>
              <w:ind w:left="0"/>
              <w:rPr>
                <w:sz w:val="22"/>
              </w:rPr>
            </w:pPr>
          </w:p>
        </w:tc>
        <w:tc>
          <w:tcPr>
            <w:tcW w:w="1388" w:type="dxa"/>
            <w:tcBorders>
              <w:top w:val="single" w:sz="4" w:space="0" w:color="000000"/>
              <w:left w:val="single" w:sz="4" w:space="0" w:color="000000"/>
              <w:right w:val="single" w:sz="4" w:space="0" w:color="000000"/>
            </w:tcBorders>
          </w:tcPr>
          <w:p>
            <w:pPr>
              <w:pStyle w:val="TableParagraph"/>
              <w:spacing w:before="0"/>
              <w:ind w:left="0"/>
              <w:rPr>
                <w:sz w:val="22"/>
              </w:rPr>
            </w:pPr>
          </w:p>
        </w:tc>
        <w:tc>
          <w:tcPr>
            <w:tcW w:w="3768" w:type="dxa"/>
            <w:tcBorders>
              <w:top w:val="single" w:sz="4" w:space="0" w:color="000000"/>
              <w:left w:val="single" w:sz="4" w:space="0" w:color="000000"/>
              <w:right w:val="single" w:sz="4" w:space="0" w:color="000000"/>
            </w:tcBorders>
          </w:tcPr>
          <w:p>
            <w:pPr>
              <w:pStyle w:val="TableParagraph"/>
              <w:tabs>
                <w:tab w:pos="1178" w:val="left" w:leader="none"/>
              </w:tabs>
              <w:spacing w:before="0"/>
              <w:ind w:left="1179" w:right="637" w:hanging="567"/>
              <w:rPr>
                <w:sz w:val="24"/>
              </w:rPr>
            </w:pPr>
            <w:r>
              <w:rPr>
                <w:sz w:val="24"/>
              </w:rPr>
              <w:t>(3)</w:t>
              <w:tab/>
              <w:t>the </w:t>
            </w:r>
            <w:r>
              <w:rPr>
                <w:i/>
                <w:sz w:val="24"/>
              </w:rPr>
              <w:t>AER </w:t>
            </w:r>
            <w:r>
              <w:rPr>
                <w:sz w:val="24"/>
              </w:rPr>
              <w:t>has made and </w:t>
            </w:r>
            <w:r>
              <w:rPr>
                <w:i/>
                <w:sz w:val="24"/>
              </w:rPr>
              <w:t>published </w:t>
            </w:r>
            <w:r>
              <w:rPr>
                <w:sz w:val="24"/>
              </w:rPr>
              <w:t>a determination</w:t>
            </w:r>
            <w:r>
              <w:rPr>
                <w:spacing w:val="2"/>
                <w:sz w:val="24"/>
              </w:rPr>
              <w:t> </w:t>
            </w:r>
            <w:r>
              <w:rPr>
                <w:spacing w:val="-4"/>
                <w:sz w:val="24"/>
              </w:rPr>
              <w:t>under</w:t>
            </w:r>
          </w:p>
          <w:p>
            <w:pPr>
              <w:pStyle w:val="TableParagraph"/>
              <w:spacing w:before="0"/>
              <w:ind w:left="1179"/>
              <w:rPr>
                <w:sz w:val="24"/>
              </w:rPr>
            </w:pPr>
            <w:r>
              <w:rPr>
                <w:sz w:val="24"/>
              </w:rPr>
              <w:t>clause 5.16.5(d)(3)(i) and the applicant has </w:t>
            </w:r>
            <w:r>
              <w:rPr>
                <w:spacing w:val="-4"/>
                <w:sz w:val="24"/>
              </w:rPr>
              <w:t>amended </w:t>
            </w:r>
            <w:r>
              <w:rPr>
                <w:sz w:val="24"/>
              </w:rPr>
              <w:t>the project assessment conclusions report as directed by the</w:t>
            </w:r>
            <w:r>
              <w:rPr>
                <w:spacing w:val="-1"/>
                <w:sz w:val="24"/>
              </w:rPr>
              <w:t> </w:t>
            </w:r>
            <w:r>
              <w:rPr>
                <w:i/>
                <w:sz w:val="24"/>
              </w:rPr>
              <w:t>AER</w:t>
            </w:r>
            <w:r>
              <w:rPr>
                <w:sz w:val="24"/>
              </w:rPr>
              <w:t>.</w:t>
            </w:r>
          </w:p>
        </w:tc>
      </w:tr>
    </w:tbl>
    <w:p>
      <w:pPr>
        <w:pStyle w:val="BodyText"/>
        <w:spacing w:before="0"/>
        <w:ind w:firstLine="0"/>
        <w:jc w:val="left"/>
        <w:rPr>
          <w:sz w:val="20"/>
        </w:rPr>
      </w:pPr>
    </w:p>
    <w:p>
      <w:pPr>
        <w:pStyle w:val="BodyText"/>
        <w:spacing w:before="10"/>
        <w:ind w:firstLine="0"/>
        <w:jc w:val="left"/>
        <w:rPr>
          <w:sz w:val="16"/>
        </w:rPr>
      </w:pPr>
    </w:p>
    <w:p>
      <w:pPr>
        <w:pStyle w:val="Heading4"/>
        <w:numPr>
          <w:ilvl w:val="2"/>
          <w:numId w:val="850"/>
        </w:numPr>
        <w:tabs>
          <w:tab w:pos="1352" w:val="left" w:leader="none"/>
        </w:tabs>
        <w:spacing w:line="240" w:lineRule="auto" w:before="93" w:after="0"/>
        <w:ind w:left="1351" w:right="0" w:hanging="1134"/>
        <w:jc w:val="left"/>
      </w:pPr>
      <w:bookmarkStart w:name="11.114.3 Modifications to clause 6A.8.2 " w:id="3482"/>
      <w:bookmarkEnd w:id="3482"/>
      <w:r>
        <w:rPr>
          <w:b w:val="0"/>
        </w:rPr>
      </w:r>
      <w:bookmarkStart w:name="_bookmark1375" w:id="3483"/>
      <w:bookmarkEnd w:id="3483"/>
      <w:r>
        <w:rPr>
          <w:b w:val="0"/>
        </w:rPr>
      </w:r>
      <w:bookmarkStart w:name="_bookmark1375" w:id="3484"/>
      <w:bookmarkEnd w:id="3484"/>
      <w:r>
        <w:rPr/>
        <w:t>Modif</w:t>
      </w:r>
      <w:r>
        <w:rPr/>
        <w:t>ications to clause 6A.8.2 for ISP</w:t>
      </w:r>
      <w:r>
        <w:rPr>
          <w:spacing w:val="-4"/>
        </w:rPr>
        <w:t> </w:t>
      </w:r>
      <w:r>
        <w:rPr/>
        <w:t>projects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For the purposes of the application of rule 6A.8 (Contingent Projects) to a preferred option that is an ISP Project, rule 6A.8 applies subject to the modifications set out in the following</w:t>
      </w:r>
      <w:r>
        <w:rPr>
          <w:spacing w:val="-2"/>
          <w:sz w:val="24"/>
        </w:rPr>
        <w:t> </w:t>
      </w:r>
      <w:r>
        <w:rPr>
          <w:sz w:val="24"/>
        </w:rPr>
        <w:t>table:</w:t>
      </w:r>
    </w:p>
    <w:p>
      <w:pPr>
        <w:pStyle w:val="BodyText"/>
        <w:spacing w:before="10"/>
        <w:ind w:firstLine="0"/>
        <w:jc w:val="left"/>
        <w:rPr>
          <w:sz w:val="22"/>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04"/>
        <w:gridCol w:w="1379"/>
        <w:gridCol w:w="3787"/>
      </w:tblGrid>
      <w:tr>
        <w:trPr>
          <w:trHeight w:val="395" w:hRule="atLeast"/>
        </w:trPr>
        <w:tc>
          <w:tcPr>
            <w:tcW w:w="220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w:t>
            </w:r>
          </w:p>
        </w:tc>
        <w:tc>
          <w:tcPr>
            <w:tcW w:w="137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Reference</w:t>
            </w:r>
          </w:p>
        </w:tc>
        <w:tc>
          <w:tcPr>
            <w:tcW w:w="37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Transitional treatment</w:t>
            </w:r>
          </w:p>
        </w:tc>
      </w:tr>
      <w:tr>
        <w:trPr>
          <w:trHeight w:val="2392" w:hRule="atLeast"/>
        </w:trPr>
        <w:tc>
          <w:tcPr>
            <w:tcW w:w="2204" w:type="dxa"/>
            <w:tcBorders>
              <w:top w:val="single" w:sz="4" w:space="0" w:color="000000"/>
              <w:bottom w:val="nil"/>
              <w:right w:val="single" w:sz="4" w:space="0" w:color="000000"/>
            </w:tcBorders>
          </w:tcPr>
          <w:p>
            <w:pPr>
              <w:pStyle w:val="TableParagraph"/>
              <w:ind w:left="40"/>
              <w:rPr>
                <w:sz w:val="24"/>
              </w:rPr>
            </w:pPr>
            <w:r>
              <w:rPr>
                <w:sz w:val="24"/>
              </w:rPr>
              <w:t>Ability</w:t>
            </w:r>
          </w:p>
          <w:p>
            <w:pPr>
              <w:pStyle w:val="TableParagraph"/>
              <w:spacing w:before="0"/>
              <w:ind w:left="40" w:right="102"/>
              <w:rPr>
                <w:sz w:val="24"/>
              </w:rPr>
            </w:pPr>
            <w:r>
              <w:rPr>
                <w:sz w:val="24"/>
              </w:rPr>
              <w:t>for application for amendment of revenue determination to occur without all trigger events having been met</w:t>
            </w:r>
          </w:p>
        </w:tc>
        <w:tc>
          <w:tcPr>
            <w:tcW w:w="1379" w:type="dxa"/>
            <w:tcBorders>
              <w:top w:val="single" w:sz="4" w:space="0" w:color="000000"/>
              <w:left w:val="single" w:sz="4" w:space="0" w:color="000000"/>
              <w:bottom w:val="nil"/>
              <w:right w:val="single" w:sz="4" w:space="0" w:color="000000"/>
            </w:tcBorders>
          </w:tcPr>
          <w:p>
            <w:pPr>
              <w:pStyle w:val="TableParagraph"/>
              <w:ind w:left="44" w:right="385"/>
              <w:rPr>
                <w:sz w:val="24"/>
              </w:rPr>
            </w:pPr>
            <w:r>
              <w:rPr>
                <w:sz w:val="24"/>
              </w:rPr>
              <w:t>Clause 6A.8.2(a)</w:t>
            </w:r>
          </w:p>
          <w:p>
            <w:pPr>
              <w:pStyle w:val="TableParagraph"/>
              <w:spacing w:before="0"/>
              <w:ind w:left="44"/>
              <w:rPr>
                <w:sz w:val="24"/>
              </w:rPr>
            </w:pPr>
            <w:r>
              <w:rPr>
                <w:sz w:val="24"/>
              </w:rPr>
              <w:t>and (b)</w:t>
            </w:r>
          </w:p>
        </w:tc>
        <w:tc>
          <w:tcPr>
            <w:tcW w:w="3787" w:type="dxa"/>
            <w:tcBorders>
              <w:top w:val="single" w:sz="4" w:space="0" w:color="000000"/>
              <w:left w:val="single" w:sz="4" w:space="0" w:color="000000"/>
              <w:bottom w:val="nil"/>
              <w:right w:val="single" w:sz="4" w:space="0" w:color="000000"/>
            </w:tcBorders>
          </w:tcPr>
          <w:p>
            <w:pPr>
              <w:pStyle w:val="TableParagraph"/>
              <w:tabs>
                <w:tab w:pos="611" w:val="left" w:leader="none"/>
              </w:tabs>
              <w:ind w:left="611" w:right="84" w:hanging="567"/>
              <w:rPr>
                <w:sz w:val="24"/>
              </w:rPr>
            </w:pPr>
            <w:r>
              <w:rPr>
                <w:sz w:val="24"/>
              </w:rPr>
              <w:t>1.</w:t>
              <w:tab/>
              <w:t>In clause 6A.8.2(a), omit "where a </w:t>
            </w:r>
            <w:r>
              <w:rPr>
                <w:i/>
                <w:sz w:val="24"/>
              </w:rPr>
              <w:t>trigger event </w:t>
            </w:r>
            <w:r>
              <w:rPr>
                <w:sz w:val="24"/>
              </w:rPr>
              <w:t>for a </w:t>
            </w:r>
            <w:r>
              <w:rPr>
                <w:i/>
                <w:sz w:val="24"/>
              </w:rPr>
              <w:t>contingent project </w:t>
            </w:r>
            <w:r>
              <w:rPr>
                <w:sz w:val="24"/>
              </w:rPr>
              <w:t>in relation to that </w:t>
            </w:r>
            <w:r>
              <w:rPr>
                <w:i/>
                <w:sz w:val="24"/>
              </w:rPr>
              <w:t>revenue determination </w:t>
            </w:r>
            <w:r>
              <w:rPr>
                <w:sz w:val="24"/>
              </w:rPr>
              <w:t>has occurred" and substitute "in respect of a </w:t>
            </w:r>
            <w:r>
              <w:rPr>
                <w:i/>
                <w:sz w:val="24"/>
              </w:rPr>
              <w:t>contingent project </w:t>
            </w:r>
            <w:r>
              <w:rPr>
                <w:sz w:val="24"/>
              </w:rPr>
              <w:t>included in the relevant </w:t>
            </w:r>
            <w:r>
              <w:rPr>
                <w:i/>
                <w:sz w:val="24"/>
              </w:rPr>
              <w:t>revenue </w:t>
            </w:r>
            <w:r>
              <w:rPr>
                <w:i/>
                <w:sz w:val="24"/>
              </w:rPr>
              <w:t>determination</w:t>
            </w:r>
            <w:r>
              <w:rPr>
                <w:sz w:val="24"/>
              </w:rPr>
              <w:t>".</w:t>
            </w:r>
          </w:p>
        </w:tc>
      </w:tr>
      <w:tr>
        <w:trPr>
          <w:trHeight w:val="671"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611" w:val="left" w:leader="none"/>
              </w:tabs>
              <w:spacing w:before="55"/>
              <w:ind w:left="611" w:right="329" w:hanging="567"/>
              <w:rPr>
                <w:sz w:val="24"/>
              </w:rPr>
            </w:pPr>
            <w:r>
              <w:rPr>
                <w:sz w:val="24"/>
              </w:rPr>
              <w:t>2.</w:t>
              <w:tab/>
              <w:t>Omit clause 6A.8.2(b)(2) </w:t>
            </w:r>
            <w:r>
              <w:rPr>
                <w:spacing w:val="-5"/>
                <w:sz w:val="24"/>
              </w:rPr>
              <w:t>and </w:t>
            </w:r>
            <w:r>
              <w:rPr>
                <w:sz w:val="24"/>
              </w:rPr>
              <w:t>substitute:</w:t>
            </w:r>
          </w:p>
        </w:tc>
      </w:tr>
      <w:tr>
        <w:trPr>
          <w:trHeight w:val="1775"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1178" w:val="left" w:leader="none"/>
              </w:tabs>
              <w:spacing w:before="55"/>
              <w:ind w:left="1178" w:right="203" w:hanging="567"/>
              <w:rPr>
                <w:sz w:val="24"/>
              </w:rPr>
            </w:pPr>
            <w:r>
              <w:rPr>
                <w:sz w:val="24"/>
              </w:rPr>
              <w:t>(2)</w:t>
              <w:tab/>
              <w:t>must, subject to subparagraph (1), be made as soon as practicable after the occurrence of the </w:t>
            </w:r>
            <w:r>
              <w:rPr>
                <w:i/>
                <w:spacing w:val="-3"/>
                <w:sz w:val="24"/>
              </w:rPr>
              <w:t>trigger </w:t>
            </w:r>
            <w:r>
              <w:rPr>
                <w:i/>
                <w:sz w:val="24"/>
              </w:rPr>
              <w:t>event</w:t>
            </w:r>
            <w:r>
              <w:rPr>
                <w:sz w:val="24"/>
              </w:rPr>
              <w:t>;</w:t>
            </w:r>
          </w:p>
        </w:tc>
      </w:tr>
      <w:tr>
        <w:trPr>
          <w:trHeight w:val="671"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672" w:val="left" w:leader="none"/>
              </w:tabs>
              <w:spacing w:before="55"/>
              <w:ind w:left="611" w:right="603" w:hanging="567"/>
              <w:rPr>
                <w:sz w:val="24"/>
              </w:rPr>
            </w:pPr>
            <w:r>
              <w:rPr>
                <w:sz w:val="24"/>
              </w:rPr>
              <w:t>3.</w:t>
              <w:tab/>
              <w:tab/>
              <w:t>After clause 6A.8.2(b)(2), insert:</w:t>
            </w:r>
          </w:p>
        </w:tc>
      </w:tr>
      <w:tr>
        <w:trPr>
          <w:trHeight w:val="2327"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spacing w:before="55"/>
              <w:ind w:left="1178" w:right="113" w:hanging="567"/>
              <w:rPr>
                <w:sz w:val="24"/>
              </w:rPr>
            </w:pPr>
            <w:r>
              <w:rPr>
                <w:sz w:val="24"/>
              </w:rPr>
              <w:t>(2A) may, subject to paragraph (1), be made at any time, after the occurrence of all triggers that make up the </w:t>
            </w:r>
            <w:r>
              <w:rPr>
                <w:i/>
                <w:sz w:val="24"/>
              </w:rPr>
              <w:t>trigger event </w:t>
            </w:r>
            <w:r>
              <w:rPr>
                <w:sz w:val="24"/>
              </w:rPr>
              <w:t>for a </w:t>
            </w:r>
            <w:r>
              <w:rPr>
                <w:i/>
                <w:sz w:val="24"/>
              </w:rPr>
              <w:t>contingent project</w:t>
            </w:r>
            <w:r>
              <w:rPr>
                <w:sz w:val="24"/>
              </w:rPr>
              <w:t>, other than a clause 5.16.6 trigger;</w:t>
            </w:r>
          </w:p>
        </w:tc>
      </w:tr>
      <w:tr>
        <w:trPr>
          <w:trHeight w:val="726" w:hRule="atLeast"/>
        </w:trPr>
        <w:tc>
          <w:tcPr>
            <w:tcW w:w="2204" w:type="dxa"/>
            <w:tcBorders>
              <w:top w:val="nil"/>
              <w:bottom w:val="single" w:sz="4" w:space="0" w:color="000000"/>
              <w:right w:val="single" w:sz="4" w:space="0" w:color="000000"/>
            </w:tcBorders>
          </w:tcPr>
          <w:p>
            <w:pPr>
              <w:pStyle w:val="TableParagraph"/>
              <w:spacing w:before="0"/>
              <w:ind w:left="0"/>
              <w:rPr>
                <w:sz w:val="22"/>
              </w:rPr>
            </w:pPr>
          </w:p>
        </w:tc>
        <w:tc>
          <w:tcPr>
            <w:tcW w:w="1379"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3787" w:type="dxa"/>
            <w:tcBorders>
              <w:top w:val="nil"/>
              <w:left w:val="single" w:sz="4" w:space="0" w:color="000000"/>
              <w:bottom w:val="single" w:sz="4" w:space="0" w:color="000000"/>
              <w:right w:val="single" w:sz="4" w:space="0" w:color="000000"/>
            </w:tcBorders>
          </w:tcPr>
          <w:p>
            <w:pPr>
              <w:pStyle w:val="TableParagraph"/>
              <w:tabs>
                <w:tab w:pos="611" w:val="left" w:leader="none"/>
              </w:tabs>
              <w:spacing w:before="55"/>
              <w:ind w:left="611" w:right="103" w:hanging="567"/>
              <w:rPr>
                <w:sz w:val="24"/>
              </w:rPr>
            </w:pPr>
            <w:r>
              <w:rPr>
                <w:sz w:val="24"/>
              </w:rPr>
              <w:t>4.</w:t>
              <w:tab/>
              <w:t>Omit clause 6A.8.2(b)(3)(i) </w:t>
            </w:r>
            <w:r>
              <w:rPr>
                <w:spacing w:val="-6"/>
                <w:sz w:val="24"/>
              </w:rPr>
              <w:t>and </w:t>
            </w:r>
            <w:r>
              <w:rPr>
                <w:sz w:val="24"/>
              </w:rPr>
              <w:t>substitute:</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04"/>
        <w:gridCol w:w="1379"/>
        <w:gridCol w:w="3787"/>
      </w:tblGrid>
      <w:tr>
        <w:trPr>
          <w:trHeight w:val="395" w:hRule="atLeast"/>
        </w:trPr>
        <w:tc>
          <w:tcPr>
            <w:tcW w:w="220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w:t>
            </w:r>
          </w:p>
        </w:tc>
        <w:tc>
          <w:tcPr>
            <w:tcW w:w="137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Reference</w:t>
            </w:r>
          </w:p>
        </w:tc>
        <w:tc>
          <w:tcPr>
            <w:tcW w:w="37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Transitional treatment</w:t>
            </w:r>
          </w:p>
        </w:tc>
      </w:tr>
      <w:tr>
        <w:trPr>
          <w:trHeight w:val="1775" w:hRule="atLeast"/>
        </w:trPr>
        <w:tc>
          <w:tcPr>
            <w:tcW w:w="2204"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1379"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787" w:type="dxa"/>
            <w:tcBorders>
              <w:top w:val="single" w:sz="4" w:space="0" w:color="000000"/>
              <w:left w:val="single" w:sz="4" w:space="0" w:color="000000"/>
              <w:bottom w:val="single" w:sz="4" w:space="0" w:color="000000"/>
              <w:right w:val="single" w:sz="4" w:space="0" w:color="000000"/>
            </w:tcBorders>
          </w:tcPr>
          <w:p>
            <w:pPr>
              <w:pStyle w:val="TableParagraph"/>
              <w:tabs>
                <w:tab w:pos="1178" w:val="left" w:leader="none"/>
              </w:tabs>
              <w:spacing w:before="0"/>
              <w:ind w:left="611"/>
              <w:rPr>
                <w:sz w:val="24"/>
              </w:rPr>
            </w:pPr>
            <w:r>
              <w:rPr>
                <w:sz w:val="24"/>
              </w:rPr>
              <w:t>(i)</w:t>
              <w:tab/>
              <w:t>except in the case</w:t>
            </w:r>
            <w:r>
              <w:rPr>
                <w:spacing w:val="-1"/>
                <w:sz w:val="24"/>
              </w:rPr>
              <w:t> </w:t>
            </w:r>
            <w:r>
              <w:rPr>
                <w:sz w:val="24"/>
              </w:rPr>
              <w:t>of</w:t>
            </w:r>
          </w:p>
          <w:p>
            <w:pPr>
              <w:pStyle w:val="TableParagraph"/>
              <w:spacing w:before="0"/>
              <w:ind w:left="1178" w:right="106"/>
              <w:rPr>
                <w:sz w:val="24"/>
              </w:rPr>
            </w:pPr>
            <w:r>
              <w:rPr>
                <w:sz w:val="24"/>
              </w:rPr>
              <w:t>a clause 5.16.6 trigger, an explanation that substantiates the occurrence of the </w:t>
            </w:r>
            <w:r>
              <w:rPr>
                <w:i/>
                <w:sz w:val="24"/>
              </w:rPr>
              <w:t>trigger </w:t>
            </w:r>
            <w:r>
              <w:rPr>
                <w:i/>
                <w:sz w:val="24"/>
              </w:rPr>
              <w:t>event</w:t>
            </w:r>
            <w:r>
              <w:rPr>
                <w:sz w:val="24"/>
              </w:rPr>
              <w:t>;</w:t>
            </w:r>
          </w:p>
        </w:tc>
      </w:tr>
      <w:tr>
        <w:trPr>
          <w:trHeight w:val="2999" w:hRule="atLeast"/>
        </w:trPr>
        <w:tc>
          <w:tcPr>
            <w:tcW w:w="2204" w:type="dxa"/>
            <w:tcBorders>
              <w:top w:val="single" w:sz="4" w:space="0" w:color="000000"/>
              <w:bottom w:val="single" w:sz="4" w:space="0" w:color="000000"/>
              <w:right w:val="single" w:sz="4" w:space="0" w:color="000000"/>
            </w:tcBorders>
          </w:tcPr>
          <w:p>
            <w:pPr>
              <w:pStyle w:val="TableParagraph"/>
              <w:ind w:left="40" w:right="43"/>
              <w:rPr>
                <w:sz w:val="24"/>
              </w:rPr>
            </w:pPr>
            <w:r>
              <w:rPr>
                <w:sz w:val="24"/>
              </w:rPr>
              <w:t>Requirement for </w:t>
            </w:r>
            <w:r>
              <w:rPr>
                <w:i/>
                <w:spacing w:val="-6"/>
                <w:sz w:val="24"/>
              </w:rPr>
              <w:t>AER </w:t>
            </w:r>
            <w:r>
              <w:rPr>
                <w:sz w:val="24"/>
              </w:rPr>
              <w:t>to notify the public if application for amendment to revenue determinatio n is submitted before a</w:t>
            </w:r>
            <w:r>
              <w:rPr>
                <w:spacing w:val="-1"/>
                <w:sz w:val="24"/>
              </w:rPr>
              <w:t> </w:t>
            </w:r>
            <w:r>
              <w:rPr>
                <w:sz w:val="24"/>
              </w:rPr>
              <w:t>clause</w:t>
            </w:r>
          </w:p>
          <w:p>
            <w:pPr>
              <w:pStyle w:val="TableParagraph"/>
              <w:spacing w:before="0"/>
              <w:ind w:left="40"/>
              <w:rPr>
                <w:sz w:val="24"/>
              </w:rPr>
            </w:pPr>
            <w:r>
              <w:rPr>
                <w:sz w:val="24"/>
              </w:rPr>
              <w:t>5.16.6 trigger </w:t>
            </w:r>
            <w:r>
              <w:rPr>
                <w:spacing w:val="-9"/>
                <w:sz w:val="24"/>
              </w:rPr>
              <w:t>is </w:t>
            </w:r>
            <w:r>
              <w:rPr>
                <w:sz w:val="24"/>
              </w:rPr>
              <w:t>satisfied</w:t>
            </w:r>
          </w:p>
        </w:tc>
        <w:tc>
          <w:tcPr>
            <w:tcW w:w="1379" w:type="dxa"/>
            <w:tcBorders>
              <w:top w:val="single" w:sz="4" w:space="0" w:color="000000"/>
              <w:left w:val="single" w:sz="4" w:space="0" w:color="000000"/>
              <w:bottom w:val="single" w:sz="4" w:space="0" w:color="000000"/>
              <w:right w:val="single" w:sz="4" w:space="0" w:color="000000"/>
            </w:tcBorders>
          </w:tcPr>
          <w:p>
            <w:pPr>
              <w:pStyle w:val="TableParagraph"/>
              <w:ind w:left="44" w:right="385"/>
              <w:rPr>
                <w:sz w:val="24"/>
              </w:rPr>
            </w:pPr>
            <w:r>
              <w:rPr>
                <w:sz w:val="24"/>
              </w:rPr>
              <w:t>Clause 6A.8.2(c)</w:t>
            </w:r>
          </w:p>
        </w:tc>
        <w:tc>
          <w:tcPr>
            <w:tcW w:w="3787" w:type="dxa"/>
            <w:tcBorders>
              <w:top w:val="single" w:sz="4" w:space="0" w:color="000000"/>
              <w:left w:val="single" w:sz="4" w:space="0" w:color="000000"/>
              <w:bottom w:val="single" w:sz="4" w:space="0" w:color="000000"/>
              <w:right w:val="single" w:sz="4" w:space="0" w:color="000000"/>
            </w:tcBorders>
          </w:tcPr>
          <w:p>
            <w:pPr>
              <w:pStyle w:val="TableParagraph"/>
              <w:ind w:left="44" w:right="47"/>
              <w:rPr>
                <w:sz w:val="24"/>
              </w:rPr>
            </w:pPr>
            <w:r>
              <w:rPr>
                <w:sz w:val="24"/>
              </w:rPr>
              <w:t>At the end of clause 6A.8.2(c), insert "If at the time the application is received, the clause 5.16.6 trigger has not yet occurred, the </w:t>
            </w:r>
            <w:r>
              <w:rPr>
                <w:i/>
                <w:sz w:val="24"/>
              </w:rPr>
              <w:t>AER </w:t>
            </w:r>
            <w:r>
              <w:rPr>
                <w:sz w:val="24"/>
              </w:rPr>
              <w:t>must specify in its notice under this paragraph (c) that the clause 5.16.6 trigger has not been satisfied and that a final determination will not be made under paragraph (e) unless and until the clause 5.16.6 trigger is satisfied."</w:t>
            </w:r>
          </w:p>
        </w:tc>
      </w:tr>
      <w:tr>
        <w:trPr>
          <w:trHeight w:val="2236" w:hRule="atLeast"/>
        </w:trPr>
        <w:tc>
          <w:tcPr>
            <w:tcW w:w="2204" w:type="dxa"/>
            <w:tcBorders>
              <w:top w:val="single" w:sz="4" w:space="0" w:color="000000"/>
              <w:bottom w:val="nil"/>
              <w:right w:val="single" w:sz="4" w:space="0" w:color="000000"/>
            </w:tcBorders>
          </w:tcPr>
          <w:p>
            <w:pPr>
              <w:pStyle w:val="TableParagraph"/>
              <w:ind w:left="40" w:right="122"/>
              <w:rPr>
                <w:sz w:val="24"/>
              </w:rPr>
            </w:pPr>
            <w:r>
              <w:rPr>
                <w:sz w:val="24"/>
              </w:rPr>
              <w:t>Time period for the making of a decision on an application in respect of an ISP Priority Project</w:t>
            </w:r>
          </w:p>
        </w:tc>
        <w:tc>
          <w:tcPr>
            <w:tcW w:w="1379" w:type="dxa"/>
            <w:tcBorders>
              <w:top w:val="single" w:sz="4" w:space="0" w:color="000000"/>
              <w:left w:val="single" w:sz="4" w:space="0" w:color="000000"/>
              <w:bottom w:val="nil"/>
              <w:right w:val="single" w:sz="4" w:space="0" w:color="000000"/>
            </w:tcBorders>
          </w:tcPr>
          <w:p>
            <w:pPr>
              <w:pStyle w:val="TableParagraph"/>
              <w:ind w:left="44" w:right="371"/>
              <w:rPr>
                <w:sz w:val="24"/>
              </w:rPr>
            </w:pPr>
            <w:r>
              <w:rPr>
                <w:sz w:val="24"/>
              </w:rPr>
              <w:t>Clause 6A.8.2(d)</w:t>
            </w:r>
          </w:p>
        </w:tc>
        <w:tc>
          <w:tcPr>
            <w:tcW w:w="3787" w:type="dxa"/>
            <w:tcBorders>
              <w:top w:val="single" w:sz="4" w:space="0" w:color="000000"/>
              <w:left w:val="single" w:sz="4" w:space="0" w:color="000000"/>
              <w:bottom w:val="nil"/>
              <w:right w:val="single" w:sz="4" w:space="0" w:color="000000"/>
            </w:tcBorders>
          </w:tcPr>
          <w:p>
            <w:pPr>
              <w:pStyle w:val="TableParagraph"/>
              <w:ind w:left="44"/>
              <w:rPr>
                <w:sz w:val="24"/>
              </w:rPr>
            </w:pPr>
            <w:r>
              <w:rPr>
                <w:sz w:val="24"/>
              </w:rPr>
              <w:t>Omit clause 6A.8.2(d) and substitute:</w:t>
            </w:r>
          </w:p>
          <w:p>
            <w:pPr>
              <w:pStyle w:val="TableParagraph"/>
              <w:tabs>
                <w:tab w:pos="611" w:val="left" w:leader="none"/>
              </w:tabs>
              <w:ind w:left="611" w:right="64" w:hanging="567"/>
              <w:rPr>
                <w:sz w:val="24"/>
              </w:rPr>
            </w:pPr>
            <w:r>
              <w:rPr>
                <w:sz w:val="24"/>
              </w:rPr>
              <w:t>(d)</w:t>
              <w:tab/>
              <w:t>the </w:t>
            </w:r>
            <w:r>
              <w:rPr>
                <w:i/>
                <w:sz w:val="24"/>
              </w:rPr>
              <w:t>AER </w:t>
            </w:r>
            <w:r>
              <w:rPr>
                <w:sz w:val="24"/>
              </w:rPr>
              <w:t>must consider any written submissions made under paragraph (c) and must make its decision on</w:t>
            </w:r>
          </w:p>
          <w:p>
            <w:pPr>
              <w:pStyle w:val="TableParagraph"/>
              <w:spacing w:before="0"/>
              <w:ind w:left="611"/>
              <w:rPr>
                <w:sz w:val="24"/>
              </w:rPr>
            </w:pPr>
            <w:r>
              <w:rPr>
                <w:sz w:val="24"/>
              </w:rPr>
              <w:t>the application within 40</w:t>
            </w:r>
          </w:p>
          <w:p>
            <w:pPr>
              <w:pStyle w:val="TableParagraph"/>
              <w:spacing w:before="0"/>
              <w:ind w:left="611"/>
              <w:rPr>
                <w:sz w:val="24"/>
              </w:rPr>
            </w:pPr>
            <w:r>
              <w:rPr>
                <w:i/>
                <w:sz w:val="24"/>
              </w:rPr>
              <w:t>business days </w:t>
            </w:r>
            <w:r>
              <w:rPr>
                <w:sz w:val="24"/>
              </w:rPr>
              <w:t>from the later of:</w:t>
            </w:r>
          </w:p>
        </w:tc>
      </w:tr>
      <w:tr>
        <w:trPr>
          <w:trHeight w:val="671"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1178" w:val="left" w:leader="none"/>
              </w:tabs>
              <w:spacing w:before="55"/>
              <w:ind w:left="1178" w:right="143" w:hanging="567"/>
              <w:rPr>
                <w:sz w:val="24"/>
              </w:rPr>
            </w:pPr>
            <w:r>
              <w:rPr>
                <w:sz w:val="24"/>
              </w:rPr>
              <w:t>(i)</w:t>
              <w:tab/>
              <w:t>the date the </w:t>
            </w:r>
            <w:r>
              <w:rPr>
                <w:i/>
                <w:sz w:val="24"/>
              </w:rPr>
              <w:t>AER </w:t>
            </w:r>
            <w:r>
              <w:rPr>
                <w:spacing w:val="-3"/>
                <w:sz w:val="24"/>
              </w:rPr>
              <w:t>receives </w:t>
            </w:r>
            <w:r>
              <w:rPr>
                <w:sz w:val="24"/>
              </w:rPr>
              <w:t>the</w:t>
            </w:r>
            <w:r>
              <w:rPr>
                <w:spacing w:val="-1"/>
                <w:sz w:val="24"/>
              </w:rPr>
              <w:t> </w:t>
            </w:r>
            <w:r>
              <w:rPr>
                <w:sz w:val="24"/>
              </w:rPr>
              <w:t>application;</w:t>
            </w:r>
          </w:p>
        </w:tc>
      </w:tr>
      <w:tr>
        <w:trPr>
          <w:trHeight w:val="1223"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1178" w:val="left" w:leader="none"/>
              </w:tabs>
              <w:spacing w:before="55"/>
              <w:ind w:left="1178" w:right="144" w:hanging="567"/>
              <w:rPr>
                <w:sz w:val="24"/>
              </w:rPr>
            </w:pPr>
            <w:r>
              <w:rPr>
                <w:sz w:val="24"/>
              </w:rPr>
              <w:t>(ii)</w:t>
              <w:tab/>
              <w:t>the date the </w:t>
            </w:r>
            <w:r>
              <w:rPr>
                <w:i/>
                <w:sz w:val="24"/>
              </w:rPr>
              <w:t>AER </w:t>
            </w:r>
            <w:r>
              <w:rPr>
                <w:spacing w:val="-3"/>
                <w:sz w:val="24"/>
              </w:rPr>
              <w:t>receives </w:t>
            </w:r>
            <w:r>
              <w:rPr>
                <w:sz w:val="24"/>
              </w:rPr>
              <w:t>any information required by the </w:t>
            </w:r>
            <w:r>
              <w:rPr>
                <w:i/>
                <w:sz w:val="24"/>
              </w:rPr>
              <w:t>AER </w:t>
            </w:r>
            <w:r>
              <w:rPr>
                <w:sz w:val="24"/>
              </w:rPr>
              <w:t>under paragraph (h1);</w:t>
            </w:r>
            <w:r>
              <w:rPr>
                <w:spacing w:val="-1"/>
                <w:sz w:val="24"/>
              </w:rPr>
              <w:t> </w:t>
            </w:r>
            <w:r>
              <w:rPr>
                <w:sz w:val="24"/>
              </w:rPr>
              <w:t>and</w:t>
            </w:r>
          </w:p>
        </w:tc>
      </w:tr>
      <w:tr>
        <w:trPr>
          <w:trHeight w:val="1223" w:hRule="atLeast"/>
        </w:trPr>
        <w:tc>
          <w:tcPr>
            <w:tcW w:w="2204" w:type="dxa"/>
            <w:tcBorders>
              <w:top w:val="nil"/>
              <w:bottom w:val="nil"/>
              <w:right w:val="single" w:sz="4" w:space="0" w:color="000000"/>
            </w:tcBorders>
          </w:tcPr>
          <w:p>
            <w:pPr>
              <w:pStyle w:val="TableParagraph"/>
              <w:spacing w:before="0"/>
              <w:ind w:left="0"/>
              <w:rPr>
                <w:sz w:val="22"/>
              </w:rPr>
            </w:pPr>
          </w:p>
        </w:tc>
        <w:tc>
          <w:tcPr>
            <w:tcW w:w="1379" w:type="dxa"/>
            <w:tcBorders>
              <w:top w:val="nil"/>
              <w:left w:val="single" w:sz="4" w:space="0" w:color="000000"/>
              <w:bottom w:val="nil"/>
              <w:right w:val="single" w:sz="4" w:space="0" w:color="000000"/>
            </w:tcBorders>
          </w:tcPr>
          <w:p>
            <w:pPr>
              <w:pStyle w:val="TableParagraph"/>
              <w:spacing w:before="0"/>
              <w:ind w:left="0"/>
              <w:rPr>
                <w:sz w:val="22"/>
              </w:rPr>
            </w:pPr>
          </w:p>
        </w:tc>
        <w:tc>
          <w:tcPr>
            <w:tcW w:w="3787" w:type="dxa"/>
            <w:tcBorders>
              <w:top w:val="nil"/>
              <w:left w:val="single" w:sz="4" w:space="0" w:color="000000"/>
              <w:bottom w:val="nil"/>
              <w:right w:val="single" w:sz="4" w:space="0" w:color="000000"/>
            </w:tcBorders>
          </w:tcPr>
          <w:p>
            <w:pPr>
              <w:pStyle w:val="TableParagraph"/>
              <w:tabs>
                <w:tab w:pos="1178" w:val="left" w:leader="none"/>
              </w:tabs>
              <w:spacing w:before="55"/>
              <w:ind w:left="611"/>
              <w:rPr>
                <w:sz w:val="24"/>
              </w:rPr>
            </w:pPr>
            <w:r>
              <w:rPr>
                <w:sz w:val="24"/>
              </w:rPr>
              <w:t>(iii)</w:t>
              <w:tab/>
              <w:t>the occurrence of a</w:t>
            </w:r>
            <w:r>
              <w:rPr>
                <w:spacing w:val="-1"/>
                <w:sz w:val="24"/>
              </w:rPr>
              <w:t> </w:t>
            </w:r>
            <w:r>
              <w:rPr>
                <w:sz w:val="24"/>
              </w:rPr>
              <w:t>clause</w:t>
            </w:r>
          </w:p>
          <w:p>
            <w:pPr>
              <w:pStyle w:val="TableParagraph"/>
              <w:spacing w:before="0"/>
              <w:ind w:left="1178"/>
              <w:rPr>
                <w:sz w:val="24"/>
              </w:rPr>
            </w:pPr>
            <w:r>
              <w:rPr>
                <w:sz w:val="24"/>
              </w:rPr>
              <w:t>5.16.6 trigger</w:t>
            </w:r>
          </w:p>
          <w:p>
            <w:pPr>
              <w:pStyle w:val="TableParagraph"/>
              <w:spacing w:before="0"/>
              <w:ind w:left="1178" w:right="292"/>
              <w:rPr>
                <w:sz w:val="24"/>
              </w:rPr>
            </w:pPr>
            <w:r>
              <w:rPr>
                <w:sz w:val="24"/>
              </w:rPr>
              <w:t>that comprises a </w:t>
            </w:r>
            <w:r>
              <w:rPr>
                <w:i/>
                <w:sz w:val="24"/>
              </w:rPr>
              <w:t>trigger </w:t>
            </w:r>
            <w:r>
              <w:rPr>
                <w:i/>
                <w:sz w:val="24"/>
              </w:rPr>
              <w:t>event</w:t>
            </w:r>
            <w:r>
              <w:rPr>
                <w:sz w:val="24"/>
              </w:rPr>
              <w:t>.</w:t>
            </w:r>
          </w:p>
        </w:tc>
      </w:tr>
      <w:tr>
        <w:trPr>
          <w:trHeight w:val="2106" w:hRule="atLeast"/>
        </w:trPr>
        <w:tc>
          <w:tcPr>
            <w:tcW w:w="2204" w:type="dxa"/>
            <w:tcBorders>
              <w:top w:val="nil"/>
              <w:bottom w:val="single" w:sz="4" w:space="0" w:color="000000"/>
              <w:right w:val="single" w:sz="4" w:space="0" w:color="000000"/>
            </w:tcBorders>
          </w:tcPr>
          <w:p>
            <w:pPr>
              <w:pStyle w:val="TableParagraph"/>
              <w:spacing w:before="0"/>
              <w:ind w:left="0"/>
              <w:rPr>
                <w:sz w:val="22"/>
              </w:rPr>
            </w:pPr>
          </w:p>
        </w:tc>
        <w:tc>
          <w:tcPr>
            <w:tcW w:w="1379" w:type="dxa"/>
            <w:tcBorders>
              <w:top w:val="nil"/>
              <w:left w:val="single" w:sz="4" w:space="0" w:color="000000"/>
              <w:bottom w:val="single" w:sz="4" w:space="0" w:color="000000"/>
              <w:right w:val="single" w:sz="4" w:space="0" w:color="000000"/>
            </w:tcBorders>
          </w:tcPr>
          <w:p>
            <w:pPr>
              <w:pStyle w:val="TableParagraph"/>
              <w:spacing w:before="0"/>
              <w:ind w:left="0"/>
              <w:rPr>
                <w:sz w:val="22"/>
              </w:rPr>
            </w:pPr>
          </w:p>
        </w:tc>
        <w:tc>
          <w:tcPr>
            <w:tcW w:w="3787" w:type="dxa"/>
            <w:tcBorders>
              <w:top w:val="nil"/>
              <w:left w:val="single" w:sz="4" w:space="0" w:color="000000"/>
              <w:bottom w:val="single" w:sz="4" w:space="0" w:color="000000"/>
              <w:right w:val="single" w:sz="4" w:space="0" w:color="000000"/>
            </w:tcBorders>
          </w:tcPr>
          <w:p>
            <w:pPr>
              <w:pStyle w:val="TableParagraph"/>
              <w:spacing w:before="55"/>
              <w:ind w:left="611" w:right="20"/>
              <w:rPr>
                <w:sz w:val="24"/>
              </w:rPr>
            </w:pPr>
            <w:r>
              <w:rPr>
                <w:sz w:val="24"/>
              </w:rPr>
              <w:t>In doing so the </w:t>
            </w:r>
            <w:r>
              <w:rPr>
                <w:i/>
                <w:sz w:val="24"/>
              </w:rPr>
              <w:t>AER </w:t>
            </w:r>
            <w:r>
              <w:rPr>
                <w:sz w:val="24"/>
              </w:rPr>
              <w:t>may also take into account such other information as it considers appropriate, including any analysis (such as benchmarking) that is undertaken by it for that purpose.</w:t>
            </w:r>
          </w:p>
        </w:tc>
      </w:tr>
      <w:tr>
        <w:trPr>
          <w:trHeight w:val="401" w:hRule="atLeast"/>
        </w:trPr>
        <w:tc>
          <w:tcPr>
            <w:tcW w:w="2204" w:type="dxa"/>
            <w:tcBorders>
              <w:top w:val="single" w:sz="4" w:space="0" w:color="000000"/>
              <w:bottom w:val="nil"/>
              <w:right w:val="single" w:sz="4" w:space="0" w:color="000000"/>
            </w:tcBorders>
          </w:tcPr>
          <w:p>
            <w:pPr>
              <w:pStyle w:val="TableParagraph"/>
              <w:spacing w:line="261" w:lineRule="exact"/>
              <w:ind w:left="40"/>
              <w:rPr>
                <w:sz w:val="24"/>
              </w:rPr>
            </w:pPr>
            <w:r>
              <w:rPr>
                <w:sz w:val="24"/>
              </w:rPr>
              <w:t>Requirement that</w:t>
            </w:r>
          </w:p>
        </w:tc>
        <w:tc>
          <w:tcPr>
            <w:tcW w:w="1379" w:type="dxa"/>
            <w:tcBorders>
              <w:top w:val="single" w:sz="4" w:space="0" w:color="000000"/>
              <w:left w:val="single" w:sz="4" w:space="0" w:color="000000"/>
              <w:bottom w:val="nil"/>
              <w:right w:val="single" w:sz="4" w:space="0" w:color="000000"/>
            </w:tcBorders>
          </w:tcPr>
          <w:p>
            <w:pPr>
              <w:pStyle w:val="TableParagraph"/>
              <w:spacing w:line="261" w:lineRule="exact"/>
              <w:ind w:left="44"/>
              <w:rPr>
                <w:sz w:val="24"/>
              </w:rPr>
            </w:pPr>
            <w:r>
              <w:rPr>
                <w:sz w:val="24"/>
              </w:rPr>
              <w:t>Clause</w:t>
            </w:r>
          </w:p>
        </w:tc>
        <w:tc>
          <w:tcPr>
            <w:tcW w:w="3787" w:type="dxa"/>
            <w:tcBorders>
              <w:top w:val="single" w:sz="4" w:space="0" w:color="000000"/>
              <w:left w:val="single" w:sz="4" w:space="0" w:color="000000"/>
              <w:bottom w:val="nil"/>
              <w:right w:val="single" w:sz="4" w:space="0" w:color="000000"/>
            </w:tcBorders>
          </w:tcPr>
          <w:p>
            <w:pPr>
              <w:pStyle w:val="TableParagraph"/>
              <w:spacing w:line="261" w:lineRule="exact"/>
              <w:ind w:left="44"/>
              <w:rPr>
                <w:i/>
                <w:sz w:val="24"/>
              </w:rPr>
            </w:pPr>
            <w:r>
              <w:rPr>
                <w:sz w:val="24"/>
              </w:rPr>
              <w:t>In clause 6A.8.2(e), after "If the </w:t>
            </w:r>
            <w:r>
              <w:rPr>
                <w:i/>
                <w:sz w:val="24"/>
              </w:rPr>
              <w:t>AER</w:t>
            </w:r>
          </w:p>
        </w:tc>
      </w:tr>
      <w:tr>
        <w:trPr>
          <w:trHeight w:val="275" w:hRule="atLeast"/>
        </w:trPr>
        <w:tc>
          <w:tcPr>
            <w:tcW w:w="2204" w:type="dxa"/>
            <w:tcBorders>
              <w:top w:val="nil"/>
              <w:bottom w:val="nil"/>
              <w:right w:val="single" w:sz="4" w:space="0" w:color="000000"/>
            </w:tcBorders>
          </w:tcPr>
          <w:p>
            <w:pPr>
              <w:pStyle w:val="TableParagraph"/>
              <w:spacing w:line="256" w:lineRule="exact" w:before="0"/>
              <w:ind w:left="40"/>
              <w:rPr>
                <w:sz w:val="24"/>
              </w:rPr>
            </w:pPr>
            <w:r>
              <w:rPr>
                <w:sz w:val="24"/>
              </w:rPr>
              <w:t>clause 5.16.6 trigger</w:t>
            </w:r>
          </w:p>
        </w:tc>
        <w:tc>
          <w:tcPr>
            <w:tcW w:w="1379" w:type="dxa"/>
            <w:tcBorders>
              <w:top w:val="nil"/>
              <w:left w:val="single" w:sz="4" w:space="0" w:color="000000"/>
              <w:bottom w:val="nil"/>
              <w:right w:val="single" w:sz="4" w:space="0" w:color="000000"/>
            </w:tcBorders>
          </w:tcPr>
          <w:p>
            <w:pPr>
              <w:pStyle w:val="TableParagraph"/>
              <w:spacing w:line="256" w:lineRule="exact" w:before="0"/>
              <w:ind w:left="44"/>
              <w:rPr>
                <w:sz w:val="24"/>
              </w:rPr>
            </w:pPr>
            <w:r>
              <w:rPr>
                <w:sz w:val="24"/>
              </w:rPr>
              <w:t>6A.8.2(e)</w:t>
            </w:r>
          </w:p>
        </w:tc>
        <w:tc>
          <w:tcPr>
            <w:tcW w:w="3787" w:type="dxa"/>
            <w:tcBorders>
              <w:top w:val="nil"/>
              <w:left w:val="single" w:sz="4" w:space="0" w:color="000000"/>
              <w:bottom w:val="nil"/>
              <w:right w:val="single" w:sz="4" w:space="0" w:color="000000"/>
            </w:tcBorders>
          </w:tcPr>
          <w:p>
            <w:pPr>
              <w:pStyle w:val="TableParagraph"/>
              <w:spacing w:line="256" w:lineRule="exact" w:before="0"/>
              <w:ind w:left="44"/>
              <w:rPr>
                <w:sz w:val="24"/>
              </w:rPr>
            </w:pPr>
            <w:r>
              <w:rPr>
                <w:sz w:val="24"/>
              </w:rPr>
              <w:t>is satisfied that the </w:t>
            </w:r>
            <w:r>
              <w:rPr>
                <w:i/>
                <w:sz w:val="24"/>
              </w:rPr>
              <w:t>trigger event </w:t>
            </w:r>
            <w:r>
              <w:rPr>
                <w:sz w:val="24"/>
              </w:rPr>
              <w:t>has</w:t>
            </w:r>
          </w:p>
        </w:tc>
      </w:tr>
      <w:tr>
        <w:trPr>
          <w:trHeight w:val="275" w:hRule="atLeast"/>
        </w:trPr>
        <w:tc>
          <w:tcPr>
            <w:tcW w:w="2204" w:type="dxa"/>
            <w:tcBorders>
              <w:top w:val="nil"/>
              <w:bottom w:val="nil"/>
              <w:right w:val="single" w:sz="4" w:space="0" w:color="000000"/>
            </w:tcBorders>
          </w:tcPr>
          <w:p>
            <w:pPr>
              <w:pStyle w:val="TableParagraph"/>
              <w:spacing w:line="256" w:lineRule="exact" w:before="0"/>
              <w:ind w:left="40"/>
              <w:rPr>
                <w:sz w:val="24"/>
              </w:rPr>
            </w:pPr>
            <w:r>
              <w:rPr>
                <w:sz w:val="24"/>
              </w:rPr>
              <w:t>is satisfied before</w:t>
            </w:r>
          </w:p>
        </w:tc>
        <w:tc>
          <w:tcPr>
            <w:tcW w:w="1379" w:type="dxa"/>
            <w:tcBorders>
              <w:top w:val="nil"/>
              <w:left w:val="single" w:sz="4" w:space="0" w:color="000000"/>
              <w:bottom w:val="nil"/>
              <w:right w:val="single" w:sz="4" w:space="0" w:color="000000"/>
            </w:tcBorders>
          </w:tcPr>
          <w:p>
            <w:pPr>
              <w:pStyle w:val="TableParagraph"/>
              <w:spacing w:before="0"/>
              <w:ind w:left="0"/>
              <w:rPr>
                <w:sz w:val="20"/>
              </w:rPr>
            </w:pPr>
          </w:p>
        </w:tc>
        <w:tc>
          <w:tcPr>
            <w:tcW w:w="3787" w:type="dxa"/>
            <w:tcBorders>
              <w:top w:val="nil"/>
              <w:left w:val="single" w:sz="4" w:space="0" w:color="000000"/>
              <w:bottom w:val="nil"/>
              <w:right w:val="single" w:sz="4" w:space="0" w:color="000000"/>
            </w:tcBorders>
          </w:tcPr>
          <w:p>
            <w:pPr>
              <w:pStyle w:val="TableParagraph"/>
              <w:spacing w:line="256" w:lineRule="exact" w:before="0"/>
              <w:ind w:left="44"/>
              <w:rPr>
                <w:sz w:val="24"/>
              </w:rPr>
            </w:pPr>
            <w:r>
              <w:rPr>
                <w:sz w:val="24"/>
              </w:rPr>
              <w:t>occurred, insert "(including, for the</w:t>
            </w:r>
          </w:p>
        </w:tc>
      </w:tr>
      <w:tr>
        <w:trPr>
          <w:trHeight w:val="270" w:hRule="atLeast"/>
        </w:trPr>
        <w:tc>
          <w:tcPr>
            <w:tcW w:w="2204" w:type="dxa"/>
            <w:tcBorders>
              <w:top w:val="nil"/>
              <w:right w:val="single" w:sz="4" w:space="0" w:color="000000"/>
            </w:tcBorders>
          </w:tcPr>
          <w:p>
            <w:pPr>
              <w:pStyle w:val="TableParagraph"/>
              <w:spacing w:line="251" w:lineRule="exact" w:before="0"/>
              <w:ind w:left="40"/>
              <w:rPr>
                <w:sz w:val="24"/>
              </w:rPr>
            </w:pPr>
            <w:r>
              <w:rPr>
                <w:sz w:val="24"/>
              </w:rPr>
              <w:t>amendment to</w:t>
            </w:r>
          </w:p>
        </w:tc>
        <w:tc>
          <w:tcPr>
            <w:tcW w:w="1379" w:type="dxa"/>
            <w:tcBorders>
              <w:top w:val="nil"/>
              <w:left w:val="single" w:sz="4" w:space="0" w:color="000000"/>
              <w:right w:val="single" w:sz="4" w:space="0" w:color="000000"/>
            </w:tcBorders>
          </w:tcPr>
          <w:p>
            <w:pPr>
              <w:pStyle w:val="TableParagraph"/>
              <w:spacing w:before="0"/>
              <w:ind w:left="0"/>
              <w:rPr>
                <w:sz w:val="20"/>
              </w:rPr>
            </w:pPr>
          </w:p>
        </w:tc>
        <w:tc>
          <w:tcPr>
            <w:tcW w:w="3787" w:type="dxa"/>
            <w:tcBorders>
              <w:top w:val="nil"/>
              <w:left w:val="single" w:sz="4" w:space="0" w:color="000000"/>
              <w:right w:val="single" w:sz="4" w:space="0" w:color="000000"/>
            </w:tcBorders>
          </w:tcPr>
          <w:p>
            <w:pPr>
              <w:pStyle w:val="TableParagraph"/>
              <w:spacing w:line="251" w:lineRule="exact" w:before="0"/>
              <w:ind w:left="44"/>
              <w:rPr>
                <w:sz w:val="24"/>
              </w:rPr>
            </w:pPr>
            <w:r>
              <w:rPr>
                <w:sz w:val="24"/>
              </w:rPr>
              <w:t>avoidance of doubt, any clause 5.16.6</w:t>
            </w:r>
          </w:p>
        </w:tc>
      </w:tr>
    </w:tbl>
    <w:p>
      <w:pPr>
        <w:spacing w:after="0" w:line="251" w:lineRule="exac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04"/>
        <w:gridCol w:w="1379"/>
        <w:gridCol w:w="3787"/>
      </w:tblGrid>
      <w:tr>
        <w:trPr>
          <w:trHeight w:val="395" w:hRule="atLeast"/>
        </w:trPr>
        <w:tc>
          <w:tcPr>
            <w:tcW w:w="2204" w:type="dxa"/>
            <w:tcBorders>
              <w:bottom w:val="single" w:sz="4" w:space="0" w:color="000000"/>
              <w:right w:val="single" w:sz="4" w:space="0" w:color="000000"/>
            </w:tcBorders>
            <w:shd w:val="clear" w:color="auto" w:fill="D9D9D9"/>
          </w:tcPr>
          <w:p>
            <w:pPr>
              <w:pStyle w:val="TableParagraph"/>
              <w:spacing w:line="256" w:lineRule="exact"/>
              <w:ind w:left="40"/>
              <w:rPr>
                <w:rFonts w:ascii="Arial"/>
                <w:b/>
                <w:sz w:val="24"/>
              </w:rPr>
            </w:pPr>
            <w:r>
              <w:rPr>
                <w:rFonts w:ascii="Arial"/>
                <w:b/>
                <w:sz w:val="24"/>
              </w:rPr>
              <w:t>Description</w:t>
            </w:r>
          </w:p>
        </w:tc>
        <w:tc>
          <w:tcPr>
            <w:tcW w:w="1379"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Reference</w:t>
            </w:r>
          </w:p>
        </w:tc>
        <w:tc>
          <w:tcPr>
            <w:tcW w:w="3787" w:type="dxa"/>
            <w:tcBorders>
              <w:left w:val="single" w:sz="4" w:space="0" w:color="000000"/>
              <w:bottom w:val="single" w:sz="4" w:space="0" w:color="000000"/>
              <w:right w:val="single" w:sz="4" w:space="0" w:color="000000"/>
            </w:tcBorders>
            <w:shd w:val="clear" w:color="auto" w:fill="D9D9D9"/>
          </w:tcPr>
          <w:p>
            <w:pPr>
              <w:pStyle w:val="TableParagraph"/>
              <w:spacing w:line="256" w:lineRule="exact"/>
              <w:ind w:left="44"/>
              <w:rPr>
                <w:rFonts w:ascii="Arial"/>
                <w:b/>
                <w:sz w:val="24"/>
              </w:rPr>
            </w:pPr>
            <w:r>
              <w:rPr>
                <w:rFonts w:ascii="Arial"/>
                <w:b/>
                <w:sz w:val="24"/>
              </w:rPr>
              <w:t>Transitional treatment</w:t>
            </w:r>
          </w:p>
        </w:tc>
      </w:tr>
      <w:tr>
        <w:trPr>
          <w:trHeight w:val="947" w:hRule="atLeast"/>
        </w:trPr>
        <w:tc>
          <w:tcPr>
            <w:tcW w:w="2204" w:type="dxa"/>
            <w:tcBorders>
              <w:top w:val="single" w:sz="4" w:space="0" w:color="000000"/>
              <w:right w:val="single" w:sz="4" w:space="0" w:color="000000"/>
            </w:tcBorders>
          </w:tcPr>
          <w:p>
            <w:pPr>
              <w:pStyle w:val="TableParagraph"/>
              <w:spacing w:before="0"/>
              <w:ind w:left="40" w:right="576"/>
              <w:rPr>
                <w:sz w:val="24"/>
              </w:rPr>
            </w:pPr>
            <w:r>
              <w:rPr>
                <w:sz w:val="24"/>
              </w:rPr>
              <w:t>revenue determination is approved</w:t>
            </w:r>
          </w:p>
        </w:tc>
        <w:tc>
          <w:tcPr>
            <w:tcW w:w="1379" w:type="dxa"/>
            <w:tcBorders>
              <w:top w:val="single" w:sz="4" w:space="0" w:color="000000"/>
              <w:left w:val="single" w:sz="4" w:space="0" w:color="000000"/>
              <w:right w:val="single" w:sz="4" w:space="0" w:color="000000"/>
            </w:tcBorders>
          </w:tcPr>
          <w:p>
            <w:pPr>
              <w:pStyle w:val="TableParagraph"/>
              <w:spacing w:before="0"/>
              <w:ind w:left="0"/>
              <w:rPr>
                <w:sz w:val="22"/>
              </w:rPr>
            </w:pPr>
          </w:p>
        </w:tc>
        <w:tc>
          <w:tcPr>
            <w:tcW w:w="3787" w:type="dxa"/>
            <w:tcBorders>
              <w:top w:val="single" w:sz="4" w:space="0" w:color="000000"/>
              <w:left w:val="single" w:sz="4" w:space="0" w:color="000000"/>
              <w:right w:val="single" w:sz="4" w:space="0" w:color="000000"/>
            </w:tcBorders>
          </w:tcPr>
          <w:p>
            <w:pPr>
              <w:pStyle w:val="TableParagraph"/>
              <w:spacing w:before="0"/>
              <w:ind w:left="44" w:right="727"/>
              <w:rPr>
                <w:sz w:val="24"/>
              </w:rPr>
            </w:pPr>
            <w:r>
              <w:rPr>
                <w:sz w:val="24"/>
              </w:rPr>
              <w:t>trigger that comprises a </w:t>
            </w:r>
            <w:r>
              <w:rPr>
                <w:i/>
                <w:sz w:val="24"/>
              </w:rPr>
              <w:t>trigger </w:t>
            </w:r>
            <w:r>
              <w:rPr>
                <w:i/>
                <w:sz w:val="24"/>
              </w:rPr>
              <w:t>event</w:t>
            </w:r>
            <w:r>
              <w:rPr>
                <w:sz w:val="24"/>
              </w:rPr>
              <w:t>)".</w:t>
            </w:r>
          </w:p>
        </w:tc>
      </w:tr>
    </w:tbl>
    <w:p>
      <w:pPr>
        <w:pStyle w:val="BodyText"/>
        <w:spacing w:before="0"/>
        <w:ind w:firstLine="0"/>
        <w:jc w:val="left"/>
        <w:rPr>
          <w:sz w:val="20"/>
        </w:rPr>
      </w:pPr>
    </w:p>
    <w:p>
      <w:pPr>
        <w:pStyle w:val="BodyText"/>
        <w:spacing w:before="9"/>
        <w:ind w:firstLine="0"/>
        <w:jc w:val="left"/>
        <w:rPr>
          <w:sz w:val="22"/>
        </w:rPr>
      </w:pPr>
      <w:r>
        <w:rPr/>
        <w:pict>
          <v:shape style="position:absolute;margin-left:69.450005pt;margin-top:14.348056pt;width:456.45pt;height:32.2pt;mso-position-horizontal-relative:page;mso-position-vertical-relative:paragraph;z-index:-251570176;mso-wrap-distance-left:0;mso-wrap-distance-right:0" type="#_x0000_t202" filled="true" fillcolor="#d9d9d9" stroked="false">
            <v:textbox inset="0,0,0,0">
              <w:txbxContent>
                <w:p>
                  <w:pPr>
                    <w:spacing w:before="0"/>
                    <w:ind w:left="1163" w:right="241" w:hanging="1134"/>
                    <w:jc w:val="left"/>
                    <w:rPr>
                      <w:rFonts w:ascii="Arial"/>
                      <w:b/>
                      <w:sz w:val="28"/>
                    </w:rPr>
                  </w:pPr>
                  <w:bookmarkStart w:name="Part ZZZQ Enhancement to the Reliability" w:id="3485"/>
                  <w:bookmarkEnd w:id="3485"/>
                  <w:r>
                    <w:rPr/>
                  </w:r>
                  <w:bookmarkStart w:name="_bookmark1376" w:id="3486"/>
                  <w:bookmarkEnd w:id="3486"/>
                  <w:r>
                    <w:rPr/>
                  </w:r>
                  <w:r>
                    <w:rPr>
                      <w:rFonts w:ascii="Arial"/>
                      <w:b/>
                      <w:sz w:val="28"/>
                    </w:rPr>
                    <w:t>Part ZZZQ Enhancement to the Reliability and Emergency Reserve Trader</w:t>
                  </w:r>
                </w:p>
              </w:txbxContent>
            </v:textbox>
            <v:fill type="solid"/>
            <w10:wrap type="topAndBottom"/>
          </v:shape>
        </w:pict>
      </w:r>
    </w:p>
    <w:p>
      <w:pPr>
        <w:pStyle w:val="BodyText"/>
        <w:spacing w:before="7"/>
        <w:ind w:firstLine="0"/>
        <w:jc w:val="left"/>
        <w:rPr>
          <w:sz w:val="11"/>
        </w:rPr>
      </w:pPr>
    </w:p>
    <w:p>
      <w:pPr>
        <w:pStyle w:val="Heading3"/>
        <w:numPr>
          <w:ilvl w:val="1"/>
          <w:numId w:val="850"/>
        </w:numPr>
        <w:tabs>
          <w:tab w:pos="1351" w:val="left" w:leader="none"/>
          <w:tab w:pos="1353" w:val="left" w:leader="none"/>
        </w:tabs>
        <w:spacing w:line="240" w:lineRule="auto" w:before="91" w:after="0"/>
        <w:ind w:left="1352" w:right="798" w:hanging="1134"/>
        <w:jc w:val="left"/>
      </w:pPr>
      <w:bookmarkStart w:name="11.115 Rules consequential on the making" w:id="3487"/>
      <w:bookmarkEnd w:id="3487"/>
      <w:r>
        <w:rPr>
          <w:b w:val="0"/>
        </w:rPr>
      </w:r>
      <w:bookmarkStart w:name="_bookmark1377" w:id="3488"/>
      <w:bookmarkEnd w:id="3488"/>
      <w:r>
        <w:rPr>
          <w:b w:val="0"/>
        </w:rPr>
      </w:r>
      <w:bookmarkStart w:name="_bookmark1377" w:id="3489"/>
      <w:bookmarkEnd w:id="3489"/>
      <w:r>
        <w:rPr/>
        <w:t>Rul</w:t>
      </w:r>
      <w:r>
        <w:rPr/>
        <w:t>es consequential on the making of the National Electricity Amendment (Enhancement to the reliability and emergency reserve trader) Rule</w:t>
      </w:r>
      <w:r>
        <w:rPr>
          <w:spacing w:val="-3"/>
        </w:rPr>
        <w:t> </w:t>
      </w:r>
      <w:r>
        <w:rPr/>
        <w:t>2019</w:t>
      </w:r>
    </w:p>
    <w:p>
      <w:pPr>
        <w:pStyle w:val="Heading4"/>
        <w:numPr>
          <w:ilvl w:val="2"/>
          <w:numId w:val="850"/>
        </w:numPr>
        <w:tabs>
          <w:tab w:pos="1352" w:val="left" w:leader="none"/>
        </w:tabs>
        <w:spacing w:line="240" w:lineRule="auto" w:before="240" w:after="0"/>
        <w:ind w:left="1351" w:right="0" w:hanging="1134"/>
        <w:jc w:val="left"/>
      </w:pPr>
      <w:bookmarkStart w:name="11.115.1 Definitions" w:id="3490"/>
      <w:bookmarkEnd w:id="3490"/>
      <w:r>
        <w:rPr>
          <w:b w:val="0"/>
        </w:rPr>
      </w:r>
      <w:bookmarkStart w:name="_bookmark1378" w:id="3491"/>
      <w:bookmarkEnd w:id="3491"/>
      <w:r>
        <w:rPr>
          <w:b w:val="0"/>
        </w:rPr>
      </w:r>
      <w:bookmarkStart w:name="_bookmark1378" w:id="3492"/>
      <w:bookmarkEnd w:id="3492"/>
      <w:r>
        <w:rPr/>
        <w:t>Definition</w:t>
      </w:r>
      <w:r>
        <w:rPr/>
        <w:t>s</w:t>
      </w:r>
    </w:p>
    <w:p>
      <w:pPr>
        <w:pStyle w:val="BodyText"/>
        <w:ind w:left="1352" w:firstLine="0"/>
        <w:jc w:val="left"/>
      </w:pPr>
      <w:r>
        <w:rPr/>
        <w:t>For the purposes of this rule 11.115:</w:t>
      </w:r>
    </w:p>
    <w:p>
      <w:pPr>
        <w:pStyle w:val="BodyText"/>
        <w:ind w:left="1352" w:firstLine="0"/>
        <w:jc w:val="left"/>
      </w:pPr>
      <w:r>
        <w:rPr>
          <w:b/>
        </w:rPr>
        <w:t>Amending rule </w:t>
      </w:r>
      <w:r>
        <w:rPr/>
        <w:t>means the National Electricity Amendment (Enhancement to the reliability and emergency reserve trader) Rule 2019.</w:t>
      </w:r>
    </w:p>
    <w:p>
      <w:pPr>
        <w:spacing w:before="120"/>
        <w:ind w:left="1352" w:right="0" w:firstLine="0"/>
        <w:jc w:val="left"/>
        <w:rPr>
          <w:sz w:val="24"/>
        </w:rPr>
      </w:pPr>
      <w:r>
        <w:rPr>
          <w:b/>
          <w:sz w:val="24"/>
        </w:rPr>
        <w:t>commencement date </w:t>
      </w:r>
      <w:r>
        <w:rPr>
          <w:sz w:val="24"/>
        </w:rPr>
        <w:t>means 26 March 2020.</w:t>
      </w:r>
    </w:p>
    <w:p>
      <w:pPr>
        <w:tabs>
          <w:tab w:pos="3322" w:val="left" w:leader="none"/>
          <w:tab w:pos="3818" w:val="left" w:leader="none"/>
          <w:tab w:pos="4595" w:val="left" w:leader="none"/>
          <w:tab w:pos="5784" w:val="left" w:leader="none"/>
          <w:tab w:pos="6188" w:val="left" w:leader="none"/>
          <w:tab w:pos="6577" w:val="left" w:leader="none"/>
          <w:tab w:pos="7273" w:val="left" w:leader="none"/>
          <w:tab w:pos="8676" w:val="left" w:leader="none"/>
        </w:tabs>
        <w:spacing w:before="120"/>
        <w:ind w:left="1352" w:right="415" w:firstLine="0"/>
        <w:jc w:val="left"/>
        <w:rPr>
          <w:sz w:val="24"/>
        </w:rPr>
      </w:pPr>
      <w:r>
        <w:rPr>
          <w:b/>
          <w:sz w:val="24"/>
        </w:rPr>
        <w:t>Guidelines</w:t>
      </w:r>
      <w:r>
        <w:rPr>
          <w:b/>
          <w:spacing w:val="-1"/>
          <w:sz w:val="24"/>
        </w:rPr>
        <w:t> </w:t>
      </w:r>
      <w:r>
        <w:rPr>
          <w:sz w:val="24"/>
        </w:rPr>
        <w:t>means</w:t>
        <w:tab/>
        <w:t>the</w:t>
        <w:tab/>
      </w:r>
      <w:r>
        <w:rPr>
          <w:i/>
          <w:sz w:val="24"/>
        </w:rPr>
        <w:t>RERT</w:t>
        <w:tab/>
        <w:t>guidelines</w:t>
        <w:tab/>
      </w:r>
      <w:r>
        <w:rPr>
          <w:sz w:val="24"/>
        </w:rPr>
        <w:t>as</w:t>
        <w:tab/>
        <w:t>in</w:t>
        <w:tab/>
        <w:t>force</w:t>
        <w:tab/>
        <w:t>immediately</w:t>
        <w:tab/>
      </w:r>
      <w:r>
        <w:rPr>
          <w:spacing w:val="-3"/>
          <w:sz w:val="24"/>
        </w:rPr>
        <w:t>before </w:t>
      </w:r>
      <w:r>
        <w:rPr>
          <w:sz w:val="24"/>
        </w:rPr>
        <w:t>the commencement of Schedule 3 of the Amending</w:t>
      </w:r>
      <w:r>
        <w:rPr>
          <w:spacing w:val="-4"/>
          <w:sz w:val="24"/>
        </w:rPr>
        <w:t> </w:t>
      </w:r>
      <w:r>
        <w:rPr>
          <w:sz w:val="24"/>
        </w:rPr>
        <w:t>rule.</w:t>
      </w:r>
    </w:p>
    <w:p>
      <w:pPr>
        <w:pStyle w:val="BodyText"/>
        <w:ind w:left="1352" w:right="565" w:firstLine="0"/>
        <w:jc w:val="left"/>
      </w:pPr>
      <w:r>
        <w:rPr>
          <w:b/>
        </w:rPr>
        <w:t>initial  clause  3.20.6 </w:t>
      </w:r>
      <w:r>
        <w:rPr/>
        <w:t>means  clause  3.20.6  as   in   force   immediately   after  the reporting date other than the subsequent reporting</w:t>
      </w:r>
      <w:r>
        <w:rPr>
          <w:spacing w:val="-5"/>
        </w:rPr>
        <w:t> </w:t>
      </w:r>
      <w:r>
        <w:rPr/>
        <w:t>requirements.</w:t>
      </w:r>
    </w:p>
    <w:p>
      <w:pPr>
        <w:spacing w:before="120"/>
        <w:ind w:left="1352" w:right="0" w:firstLine="0"/>
        <w:jc w:val="left"/>
        <w:rPr>
          <w:sz w:val="24"/>
        </w:rPr>
      </w:pPr>
      <w:r>
        <w:rPr>
          <w:b/>
          <w:sz w:val="24"/>
        </w:rPr>
        <w:t>new clause 3.20.7(e) </w:t>
      </w:r>
      <w:r>
        <w:rPr>
          <w:sz w:val="24"/>
        </w:rPr>
        <w:t>means clause 3.20.7(e) in force immediately after the commencement date.</w:t>
      </w:r>
    </w:p>
    <w:p>
      <w:pPr>
        <w:tabs>
          <w:tab w:pos="1874" w:val="left" w:leader="none"/>
          <w:tab w:pos="2704" w:val="left" w:leader="none"/>
          <w:tab w:pos="4181" w:val="left" w:leader="none"/>
          <w:tab w:pos="4983" w:val="left" w:leader="none"/>
          <w:tab w:pos="5786" w:val="left" w:leader="none"/>
          <w:tab w:pos="6189" w:val="left" w:leader="none"/>
          <w:tab w:pos="6578" w:val="left" w:leader="none"/>
          <w:tab w:pos="7274" w:val="left" w:leader="none"/>
          <w:tab w:pos="8677" w:val="left" w:leader="none"/>
        </w:tabs>
        <w:spacing w:before="120"/>
        <w:ind w:left="1352" w:right="414" w:firstLine="0"/>
        <w:jc w:val="left"/>
        <w:rPr>
          <w:sz w:val="24"/>
        </w:rPr>
      </w:pPr>
      <w:r>
        <w:rPr>
          <w:b/>
          <w:sz w:val="24"/>
        </w:rPr>
        <w:t>old</w:t>
        <w:tab/>
        <w:t>clause</w:t>
        <w:tab/>
        <w:t>3.20.6 </w:t>
      </w:r>
      <w:r>
        <w:rPr>
          <w:sz w:val="24"/>
        </w:rPr>
        <w:t>means</w:t>
        <w:tab/>
        <w:t>clause</w:t>
        <w:tab/>
        <w:t>3.20.6</w:t>
        <w:tab/>
        <w:t>as</w:t>
        <w:tab/>
        <w:t>in</w:t>
        <w:tab/>
        <w:t>force</w:t>
        <w:tab/>
        <w:t>immediately</w:t>
        <w:tab/>
      </w:r>
      <w:r>
        <w:rPr>
          <w:spacing w:val="-3"/>
          <w:sz w:val="24"/>
        </w:rPr>
        <w:t>before </w:t>
      </w:r>
      <w:r>
        <w:rPr>
          <w:sz w:val="24"/>
        </w:rPr>
        <w:t>the reporting</w:t>
      </w:r>
      <w:r>
        <w:rPr>
          <w:spacing w:val="-1"/>
          <w:sz w:val="24"/>
        </w:rPr>
        <w:t> </w:t>
      </w:r>
      <w:r>
        <w:rPr>
          <w:sz w:val="24"/>
        </w:rPr>
        <w:t>date.</w:t>
      </w:r>
    </w:p>
    <w:p>
      <w:pPr>
        <w:pStyle w:val="Heading4"/>
        <w:spacing w:before="120"/>
        <w:ind w:left="1352" w:firstLine="0"/>
        <w:rPr>
          <w:rFonts w:ascii="Times New Roman"/>
          <w:b w:val="0"/>
        </w:rPr>
      </w:pPr>
      <w:r>
        <w:rPr>
          <w:rFonts w:ascii="Times New Roman"/>
        </w:rPr>
        <w:t>pre-commencement date reserve arrangements </w:t>
      </w:r>
      <w:r>
        <w:rPr>
          <w:rFonts w:ascii="Times New Roman"/>
          <w:b w:val="0"/>
        </w:rPr>
        <w:t>means:</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any </w:t>
      </w:r>
      <w:r>
        <w:rPr>
          <w:i/>
          <w:sz w:val="24"/>
        </w:rPr>
        <w:t>reserve contracts </w:t>
      </w:r>
      <w:r>
        <w:rPr>
          <w:sz w:val="24"/>
        </w:rPr>
        <w:t>entered into after the reporting date and prior to the commencement date;</w:t>
      </w:r>
      <w:r>
        <w:rPr>
          <w:spacing w:val="-1"/>
          <w:sz w:val="24"/>
        </w:rPr>
        <w:t> </w:t>
      </w:r>
      <w:r>
        <w:rPr>
          <w:sz w:val="24"/>
        </w:rPr>
        <w:t>and</w:t>
      </w:r>
    </w:p>
    <w:p>
      <w:pPr>
        <w:pStyle w:val="ListParagraph"/>
        <w:numPr>
          <w:ilvl w:val="3"/>
          <w:numId w:val="850"/>
        </w:numPr>
        <w:tabs>
          <w:tab w:pos="1918" w:val="left" w:leader="none"/>
          <w:tab w:pos="1919" w:val="left" w:leader="none"/>
        </w:tabs>
        <w:spacing w:line="240" w:lineRule="auto" w:before="120" w:after="0"/>
        <w:ind w:left="1919" w:right="416" w:hanging="567"/>
        <w:jc w:val="left"/>
        <w:rPr>
          <w:sz w:val="24"/>
        </w:rPr>
      </w:pPr>
      <w:r>
        <w:rPr>
          <w:sz w:val="24"/>
        </w:rPr>
        <w:t>any </w:t>
      </w:r>
      <w:r>
        <w:rPr>
          <w:i/>
          <w:sz w:val="24"/>
        </w:rPr>
        <w:t>dispatch </w:t>
      </w:r>
      <w:r>
        <w:rPr>
          <w:sz w:val="24"/>
        </w:rPr>
        <w:t>or </w:t>
      </w:r>
      <w:r>
        <w:rPr>
          <w:i/>
          <w:sz w:val="24"/>
        </w:rPr>
        <w:t>activation </w:t>
      </w:r>
      <w:r>
        <w:rPr>
          <w:sz w:val="24"/>
        </w:rPr>
        <w:t>of </w:t>
      </w:r>
      <w:r>
        <w:rPr>
          <w:i/>
          <w:sz w:val="24"/>
        </w:rPr>
        <w:t>reserves </w:t>
      </w:r>
      <w:r>
        <w:rPr>
          <w:sz w:val="24"/>
        </w:rPr>
        <w:t>that occurred after the reporting date and prior to the commencement</w:t>
      </w:r>
      <w:r>
        <w:rPr>
          <w:spacing w:val="-1"/>
          <w:sz w:val="24"/>
        </w:rPr>
        <w:t> </w:t>
      </w:r>
      <w:r>
        <w:rPr>
          <w:sz w:val="24"/>
        </w:rPr>
        <w:t>date.</w:t>
      </w:r>
    </w:p>
    <w:p>
      <w:pPr>
        <w:pStyle w:val="Heading4"/>
        <w:spacing w:before="120"/>
        <w:ind w:left="1352" w:firstLine="0"/>
        <w:rPr>
          <w:rFonts w:ascii="Times New Roman"/>
          <w:b w:val="0"/>
        </w:rPr>
      </w:pPr>
      <w:r>
        <w:rPr>
          <w:rFonts w:ascii="Times New Roman"/>
        </w:rPr>
        <w:t>pre-reporting date reserve arrangements </w:t>
      </w:r>
      <w:r>
        <w:rPr>
          <w:rFonts w:ascii="Times New Roman"/>
          <w:b w:val="0"/>
        </w:rPr>
        <w:t>means:</w:t>
      </w:r>
    </w:p>
    <w:p>
      <w:pPr>
        <w:pStyle w:val="ListParagraph"/>
        <w:numPr>
          <w:ilvl w:val="0"/>
          <w:numId w:val="861"/>
        </w:numPr>
        <w:tabs>
          <w:tab w:pos="1918" w:val="left" w:leader="none"/>
          <w:tab w:pos="1919" w:val="left" w:leader="none"/>
        </w:tabs>
        <w:spacing w:line="240" w:lineRule="auto" w:before="120" w:after="0"/>
        <w:ind w:left="1918" w:right="0" w:hanging="567"/>
        <w:jc w:val="left"/>
        <w:rPr>
          <w:sz w:val="24"/>
        </w:rPr>
      </w:pPr>
      <w:r>
        <w:rPr>
          <w:sz w:val="24"/>
        </w:rPr>
        <w:t>any </w:t>
      </w:r>
      <w:r>
        <w:rPr>
          <w:i/>
          <w:sz w:val="24"/>
        </w:rPr>
        <w:t>reserve contracts </w:t>
      </w:r>
      <w:r>
        <w:rPr>
          <w:sz w:val="24"/>
        </w:rPr>
        <w:t>entered into prior to the reporting date;</w:t>
      </w:r>
      <w:r>
        <w:rPr>
          <w:spacing w:val="-2"/>
          <w:sz w:val="24"/>
        </w:rPr>
        <w:t> </w:t>
      </w:r>
      <w:r>
        <w:rPr>
          <w:sz w:val="24"/>
        </w:rPr>
        <w:t>and</w:t>
      </w:r>
    </w:p>
    <w:p>
      <w:pPr>
        <w:pStyle w:val="ListParagraph"/>
        <w:numPr>
          <w:ilvl w:val="0"/>
          <w:numId w:val="861"/>
        </w:numPr>
        <w:tabs>
          <w:tab w:pos="1918" w:val="left" w:leader="none"/>
          <w:tab w:pos="1919" w:val="left" w:leader="none"/>
        </w:tabs>
        <w:spacing w:line="240" w:lineRule="auto" w:before="120" w:after="0"/>
        <w:ind w:left="1919" w:right="416" w:hanging="567"/>
        <w:jc w:val="left"/>
        <w:rPr>
          <w:sz w:val="24"/>
        </w:rPr>
      </w:pPr>
      <w:r>
        <w:rPr>
          <w:sz w:val="24"/>
        </w:rPr>
        <w:t>any </w:t>
      </w:r>
      <w:r>
        <w:rPr>
          <w:i/>
          <w:sz w:val="24"/>
        </w:rPr>
        <w:t>dispatch </w:t>
      </w:r>
      <w:r>
        <w:rPr>
          <w:sz w:val="24"/>
        </w:rPr>
        <w:t>or </w:t>
      </w:r>
      <w:r>
        <w:rPr>
          <w:i/>
          <w:sz w:val="24"/>
        </w:rPr>
        <w:t>activation </w:t>
      </w:r>
      <w:r>
        <w:rPr>
          <w:sz w:val="24"/>
        </w:rPr>
        <w:t>of </w:t>
      </w:r>
      <w:r>
        <w:rPr>
          <w:i/>
          <w:sz w:val="24"/>
        </w:rPr>
        <w:t>reserves </w:t>
      </w:r>
      <w:r>
        <w:rPr>
          <w:sz w:val="24"/>
        </w:rPr>
        <w:t>that occurred prior to the reporting date.</w:t>
      </w:r>
    </w:p>
    <w:p>
      <w:pPr>
        <w:spacing w:before="120"/>
        <w:ind w:left="1352" w:right="0" w:firstLine="0"/>
        <w:jc w:val="left"/>
        <w:rPr>
          <w:sz w:val="24"/>
        </w:rPr>
      </w:pPr>
      <w:r>
        <w:rPr>
          <w:b/>
          <w:sz w:val="24"/>
        </w:rPr>
        <w:t>reporting date </w:t>
      </w:r>
      <w:r>
        <w:rPr>
          <w:sz w:val="24"/>
        </w:rPr>
        <w:t>means 31 October 2019.</w:t>
      </w:r>
    </w:p>
    <w:p>
      <w:pPr>
        <w:spacing w:before="120"/>
        <w:ind w:left="1352" w:right="0" w:firstLine="0"/>
        <w:jc w:val="left"/>
        <w:rPr>
          <w:sz w:val="24"/>
        </w:rPr>
      </w:pPr>
      <w:r>
        <w:rPr>
          <w:b/>
          <w:sz w:val="24"/>
        </w:rPr>
        <w:t>RERT procedures </w:t>
      </w:r>
      <w:r>
        <w:rPr>
          <w:sz w:val="24"/>
        </w:rPr>
        <w:t>means the procedures made under clause 3.20.7(e).</w:t>
      </w:r>
    </w:p>
    <w:p>
      <w:pPr>
        <w:spacing w:before="120"/>
        <w:ind w:left="1352" w:right="0" w:firstLine="0"/>
        <w:jc w:val="left"/>
        <w:rPr>
          <w:sz w:val="24"/>
        </w:rPr>
      </w:pPr>
      <w:r>
        <w:rPr>
          <w:b/>
          <w:sz w:val="24"/>
        </w:rPr>
        <w:t>subsequent clause 3.20.6 </w:t>
      </w:r>
      <w:r>
        <w:rPr>
          <w:sz w:val="24"/>
        </w:rPr>
        <w:t>means clause 3.20.6 as in force immediately after the reporting date.</w:t>
      </w:r>
    </w:p>
    <w:p>
      <w:pPr>
        <w:spacing w:before="120"/>
        <w:ind w:left="1352" w:right="0" w:firstLine="0"/>
        <w:jc w:val="left"/>
        <w:rPr>
          <w:sz w:val="24"/>
        </w:rPr>
      </w:pPr>
      <w:r>
        <w:rPr>
          <w:b/>
          <w:sz w:val="24"/>
        </w:rPr>
        <w:t>subsequent reporting requirements </w:t>
      </w:r>
      <w:r>
        <w:rPr>
          <w:sz w:val="24"/>
        </w:rPr>
        <w:t>means the reporting requirements in clauses 3.20.6(d)(2)(i), (d)(2)(ii), (d)(3), (d)(4), (d)(5) and (e)(9).</w:t>
      </w:r>
    </w:p>
    <w:p>
      <w:pPr>
        <w:spacing w:after="0"/>
        <w:jc w:val="left"/>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15.2 New RERT guidelines" w:id="3493"/>
      <w:bookmarkEnd w:id="3493"/>
      <w:r>
        <w:rPr>
          <w:b w:val="0"/>
        </w:rPr>
      </w:r>
      <w:bookmarkStart w:name="_bookmark1379" w:id="3494"/>
      <w:bookmarkEnd w:id="3494"/>
      <w:r>
        <w:rPr>
          <w:b w:val="0"/>
        </w:rPr>
      </w:r>
      <w:bookmarkStart w:name="_bookmark1379" w:id="3495"/>
      <w:bookmarkEnd w:id="3495"/>
      <w:r>
        <w:rPr/>
        <w:t>Ne</w:t>
      </w:r>
      <w:r>
        <w:rPr/>
        <w:t>w RERT</w:t>
      </w:r>
      <w:r>
        <w:rPr>
          <w:spacing w:val="-3"/>
        </w:rPr>
        <w:t> </w:t>
      </w:r>
      <w:r>
        <w:rPr/>
        <w:t>guidelines</w:t>
      </w:r>
    </w:p>
    <w:p>
      <w:pPr>
        <w:pStyle w:val="BodyText"/>
        <w:ind w:left="1352" w:right="414" w:firstLine="0"/>
      </w:pPr>
      <w:r>
        <w:rPr/>
        <w:t>By 30 August 2019, the </w:t>
      </w:r>
      <w:r>
        <w:rPr>
          <w:i/>
        </w:rPr>
        <w:t>Reliability Panel </w:t>
      </w:r>
      <w:r>
        <w:rPr/>
        <w:t>must amend and </w:t>
      </w:r>
      <w:r>
        <w:rPr>
          <w:i/>
        </w:rPr>
        <w:t>publish </w:t>
      </w:r>
      <w:r>
        <w:rPr/>
        <w:t>the Guidelines to take into account the Amending rule with the amended Guidelines to take effect from the commencement 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5.3 Amendments to RERT procedures" w:id="3496"/>
      <w:bookmarkEnd w:id="3496"/>
      <w:r>
        <w:rPr>
          <w:b w:val="0"/>
        </w:rPr>
      </w:r>
      <w:bookmarkStart w:name="_bookmark1380" w:id="3497"/>
      <w:bookmarkEnd w:id="3497"/>
      <w:r>
        <w:rPr>
          <w:b w:val="0"/>
        </w:rPr>
      </w:r>
      <w:bookmarkStart w:name="_bookmark1380" w:id="3498"/>
      <w:bookmarkEnd w:id="3498"/>
      <w:r>
        <w:rPr/>
        <w:t>Amendment</w:t>
      </w:r>
      <w:r>
        <w:rPr/>
        <w:t>s to RERT</w:t>
      </w:r>
      <w:r>
        <w:rPr>
          <w:spacing w:val="-3"/>
        </w:rPr>
        <w:t> </w:t>
      </w:r>
      <w:r>
        <w:rPr/>
        <w:t>procedures</w:t>
      </w:r>
    </w:p>
    <w:p>
      <w:pPr>
        <w:pStyle w:val="BodyText"/>
        <w:tabs>
          <w:tab w:pos="1883" w:val="left" w:leader="none"/>
          <w:tab w:pos="2428" w:val="left" w:leader="none"/>
          <w:tab w:pos="4199" w:val="left" w:leader="none"/>
          <w:tab w:pos="4910" w:val="left" w:leader="none"/>
          <w:tab w:pos="5828" w:val="left" w:leader="none"/>
          <w:tab w:pos="6547" w:val="left" w:leader="none"/>
          <w:tab w:pos="7439" w:val="left" w:leader="none"/>
          <w:tab w:pos="8037" w:val="left" w:leader="none"/>
          <w:tab w:pos="8995" w:val="left" w:leader="none"/>
        </w:tabs>
        <w:ind w:left="1352" w:right="415" w:firstLine="0"/>
        <w:jc w:val="left"/>
      </w:pPr>
      <w:r>
        <w:rPr/>
        <w:t>By</w:t>
        <w:tab/>
        <w:t>the</w:t>
        <w:tab/>
        <w:t>commencement</w:t>
        <w:tab/>
        <w:t>date,</w:t>
        <w:tab/>
      </w:r>
      <w:r>
        <w:rPr>
          <w:i/>
        </w:rPr>
        <w:t>AEMO</w:t>
        <w:tab/>
      </w:r>
      <w:r>
        <w:rPr/>
        <w:t>must</w:t>
        <w:tab/>
        <w:t>amend</w:t>
        <w:tab/>
        <w:t>and</w:t>
        <w:tab/>
      </w:r>
      <w:r>
        <w:rPr>
          <w:i/>
        </w:rPr>
        <w:t>publish</w:t>
        <w:tab/>
      </w:r>
      <w:r>
        <w:rPr>
          <w:spacing w:val="-7"/>
        </w:rPr>
        <w:t>the </w:t>
      </w:r>
      <w:r>
        <w:rPr/>
        <w:t>RERT procedures to take into</w:t>
      </w:r>
      <w:r>
        <w:rPr>
          <w:spacing w:val="-1"/>
        </w:rPr>
        <w:t> </w:t>
      </w:r>
      <w:r>
        <w:rPr/>
        <w:t>account:</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the Amending rule;</w:t>
      </w:r>
      <w:r>
        <w:rPr>
          <w:spacing w:val="-3"/>
          <w:sz w:val="24"/>
        </w:rPr>
        <w:t> </w:t>
      </w:r>
      <w:r>
        <w:rPr>
          <w:sz w:val="24"/>
        </w:rPr>
        <w:t>and</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the </w:t>
      </w:r>
      <w:r>
        <w:rPr>
          <w:i/>
          <w:sz w:val="24"/>
        </w:rPr>
        <w:t>RERT guidelines </w:t>
      </w:r>
      <w:r>
        <w:rPr>
          <w:sz w:val="24"/>
        </w:rPr>
        <w:t>as amended under clause</w:t>
      </w:r>
      <w:r>
        <w:rPr>
          <w:spacing w:val="-2"/>
          <w:sz w:val="24"/>
        </w:rPr>
        <w:t> </w:t>
      </w:r>
      <w:r>
        <w:rPr>
          <w:sz w:val="24"/>
        </w:rPr>
        <w:t>11.115.2,</w:t>
      </w:r>
    </w:p>
    <w:p>
      <w:pPr>
        <w:pStyle w:val="BodyText"/>
        <w:ind w:left="1352" w:right="415" w:firstLine="0"/>
        <w:jc w:val="left"/>
      </w:pPr>
      <w:r>
        <w:rPr/>
        <w:t>in accordance with new clause 3.20.7(e) with the amended RERT procedures to take effect from the commencement 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5.4 Reserve contracts entered into " w:id="3499"/>
      <w:bookmarkEnd w:id="3499"/>
      <w:r>
        <w:rPr>
          <w:b w:val="0"/>
        </w:rPr>
      </w:r>
      <w:bookmarkStart w:name="_bookmark1381" w:id="3500"/>
      <w:bookmarkEnd w:id="3500"/>
      <w:r>
        <w:rPr>
          <w:b w:val="0"/>
        </w:rPr>
      </w:r>
      <w:bookmarkStart w:name="_bookmark1381" w:id="3501"/>
      <w:bookmarkEnd w:id="3501"/>
      <w:r>
        <w:rPr/>
        <w:t>Res</w:t>
      </w:r>
      <w:r>
        <w:rPr/>
        <w:t>erve contracts entered into before the commencement</w:t>
      </w:r>
      <w:r>
        <w:rPr>
          <w:spacing w:val="-11"/>
        </w:rPr>
        <w:t> </w:t>
      </w:r>
      <w:r>
        <w:rPr/>
        <w:t>date</w:t>
      </w:r>
    </w:p>
    <w:p>
      <w:pPr>
        <w:pStyle w:val="BodyText"/>
        <w:ind w:left="1352" w:right="565" w:firstLine="0"/>
        <w:jc w:val="left"/>
      </w:pPr>
      <w:r>
        <w:rPr/>
        <w:t>Nothing in the Amending rule affects any </w:t>
      </w:r>
      <w:r>
        <w:rPr>
          <w:i/>
        </w:rPr>
        <w:t>reserve contract </w:t>
      </w:r>
      <w:r>
        <w:rPr/>
        <w:t>entered into prior to the commencement</w:t>
      </w:r>
      <w:r>
        <w:rPr>
          <w:spacing w:val="-1"/>
        </w:rPr>
        <w:t> </w:t>
      </w:r>
      <w:r>
        <w:rPr/>
        <w:t>date.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5.5 Clause 3.20.6 (Reporting on RER" w:id="3502"/>
      <w:bookmarkEnd w:id="3502"/>
      <w:r>
        <w:rPr>
          <w:b w:val="0"/>
        </w:rPr>
      </w:r>
      <w:bookmarkStart w:name="_bookmark1382" w:id="3503"/>
      <w:bookmarkEnd w:id="3503"/>
      <w:r>
        <w:rPr>
          <w:b w:val="0"/>
        </w:rPr>
      </w:r>
      <w:bookmarkStart w:name="_bookmark1382" w:id="3504"/>
      <w:bookmarkEnd w:id="3504"/>
      <w:r>
        <w:rPr/>
        <w:t>Claus</w:t>
      </w:r>
      <w:r>
        <w:rPr/>
        <w:t>e 3.20.6 (Reporting on RERT by</w:t>
      </w:r>
      <w:r>
        <w:rPr>
          <w:spacing w:val="-6"/>
        </w:rPr>
        <w:t> </w:t>
      </w:r>
      <w:r>
        <w:rPr/>
        <w:t>AEMO)</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is not required to comply with initial clause 3.20.6 in relation to pre- reporting date reserve arrangements and must comply with old clause 3.20.6 in relation to those</w:t>
      </w:r>
      <w:r>
        <w:rPr>
          <w:spacing w:val="-1"/>
          <w:sz w:val="24"/>
        </w:rPr>
        <w:t> </w:t>
      </w:r>
      <w:r>
        <w:rPr>
          <w:sz w:val="24"/>
        </w:rPr>
        <w:t>arrangements.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is not required to comply with subsequent clause 3.20.6 in relation to pre-commencement date reserve arrangements and must comply with initial clause 3.20.6 in relation to those</w:t>
      </w:r>
      <w:r>
        <w:rPr>
          <w:spacing w:val="-1"/>
          <w:sz w:val="24"/>
        </w:rPr>
        <w:t> </w:t>
      </w:r>
      <w:r>
        <w:rPr>
          <w:sz w:val="24"/>
        </w:rPr>
        <w:t>arrangements.</w:t>
      </w:r>
    </w:p>
    <w:p>
      <w:pPr>
        <w:pStyle w:val="BodyText"/>
        <w:spacing w:before="10"/>
        <w:ind w:firstLine="0"/>
        <w:jc w:val="left"/>
        <w:rPr>
          <w:sz w:val="20"/>
        </w:rPr>
      </w:pPr>
    </w:p>
    <w:p>
      <w:pPr>
        <w:pStyle w:val="Heading2"/>
        <w:tabs>
          <w:tab w:pos="9317" w:val="left" w:leader="none"/>
        </w:tabs>
      </w:pPr>
      <w:bookmarkStart w:name="Part ZZZR Retailer Reliability Obligatio" w:id="3505"/>
      <w:bookmarkEnd w:id="3505"/>
      <w:r>
        <w:rPr>
          <w:b w:val="0"/>
        </w:rPr>
      </w:r>
      <w:bookmarkStart w:name="_bookmark1383" w:id="3506"/>
      <w:bookmarkEnd w:id="3506"/>
      <w:r>
        <w:rPr>
          <w:b w:val="0"/>
        </w:rPr>
      </w:r>
      <w:r>
        <w:rPr>
          <w:shd w:fill="D9D9D9" w:color="auto" w:val="clear"/>
        </w:rPr>
        <w:t>Part ZZZR Retailer Reliability</w:t>
      </w:r>
      <w:r>
        <w:rPr>
          <w:spacing w:val="4"/>
          <w:shd w:fill="D9D9D9" w:color="auto" w:val="clear"/>
        </w:rPr>
        <w:t> </w:t>
      </w:r>
      <w:r>
        <w:rPr>
          <w:shd w:fill="D9D9D9" w:color="auto" w:val="clear"/>
        </w:rPr>
        <w:t>Obligation</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16 Rules consequential on the making" w:id="3507"/>
      <w:bookmarkEnd w:id="3507"/>
      <w:r>
        <w:rPr>
          <w:b w:val="0"/>
        </w:rPr>
      </w:r>
      <w:bookmarkStart w:name="_bookmark1384" w:id="3508"/>
      <w:bookmarkEnd w:id="3508"/>
      <w:r>
        <w:rPr>
          <w:b w:val="0"/>
        </w:rPr>
      </w:r>
      <w:bookmarkStart w:name="_bookmark1384" w:id="3509"/>
      <w:bookmarkEnd w:id="3509"/>
      <w:r>
        <w:rPr/>
        <w:t>Rul</w:t>
      </w:r>
      <w:r>
        <w:rPr/>
        <w:t>es consequential on the making of the National Electricity Amendment (Retailer Reliability Obligation) Rule</w:t>
      </w:r>
      <w:r>
        <w:rPr>
          <w:spacing w:val="-7"/>
        </w:rPr>
        <w:t> </w:t>
      </w:r>
      <w:r>
        <w:rPr/>
        <w:t>2019</w:t>
      </w:r>
    </w:p>
    <w:p>
      <w:pPr>
        <w:pStyle w:val="Heading4"/>
        <w:numPr>
          <w:ilvl w:val="2"/>
          <w:numId w:val="850"/>
        </w:numPr>
        <w:tabs>
          <w:tab w:pos="1352" w:val="left" w:leader="none"/>
        </w:tabs>
        <w:spacing w:line="240" w:lineRule="auto" w:before="240" w:after="0"/>
        <w:ind w:left="1351" w:right="0" w:hanging="1134"/>
        <w:jc w:val="left"/>
      </w:pPr>
      <w:bookmarkStart w:name="11.116.1 Application" w:id="3510"/>
      <w:bookmarkEnd w:id="3510"/>
      <w:r>
        <w:rPr>
          <w:b w:val="0"/>
        </w:rPr>
      </w:r>
      <w:bookmarkStart w:name="_bookmark1385" w:id="3511"/>
      <w:bookmarkEnd w:id="3511"/>
      <w:r>
        <w:rPr>
          <w:b w:val="0"/>
        </w:rPr>
      </w:r>
      <w:bookmarkStart w:name="_bookmark1385" w:id="3512"/>
      <w:bookmarkEnd w:id="3512"/>
      <w:r>
        <w:rPr/>
        <w:t>Applicatio</w:t>
      </w:r>
      <w:r>
        <w:rPr/>
        <w:t>n</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11.116:</w:t>
      </w:r>
    </w:p>
    <w:p>
      <w:pPr>
        <w:pStyle w:val="BodyText"/>
        <w:ind w:left="1919" w:right="417" w:firstLine="0"/>
      </w:pPr>
      <w:r>
        <w:rPr>
          <w:b/>
        </w:rPr>
        <w:t>Amending Rule </w:t>
      </w:r>
      <w:r>
        <w:rPr/>
        <w:t>means the National Electricity Amendment (Retailer Reliability Obligation) Rule 2019.</w:t>
      </w:r>
    </w:p>
    <w:p>
      <w:pPr>
        <w:spacing w:before="120"/>
        <w:ind w:left="1919" w:right="415" w:firstLine="0"/>
        <w:jc w:val="both"/>
        <w:rPr>
          <w:sz w:val="24"/>
        </w:rPr>
      </w:pPr>
      <w:r>
        <w:rPr>
          <w:b/>
          <w:sz w:val="24"/>
        </w:rPr>
        <w:t>ASX24 </w:t>
      </w:r>
      <w:r>
        <w:rPr>
          <w:sz w:val="24"/>
        </w:rPr>
        <w:t>means the financial market operated by Australian Securities Exchange Limited (ACN 000 943 377) under the </w:t>
      </w:r>
      <w:r>
        <w:rPr>
          <w:i/>
          <w:sz w:val="24"/>
        </w:rPr>
        <w:t>Australian Market Licence </w:t>
      </w:r>
      <w:r>
        <w:rPr>
          <w:i/>
          <w:sz w:val="24"/>
        </w:rPr>
        <w:t>(Australian Securities Exchange Limited) 2002</w:t>
      </w:r>
      <w:r>
        <w:rPr>
          <w:sz w:val="24"/>
        </w:rPr>
        <w:t>.</w:t>
      </w:r>
    </w:p>
    <w:p>
      <w:pPr>
        <w:pStyle w:val="BodyText"/>
        <w:ind w:left="1919" w:right="415" w:firstLine="0"/>
      </w:pPr>
      <w:r>
        <w:rPr>
          <w:b/>
        </w:rPr>
        <w:t>commencement date </w:t>
      </w:r>
      <w:r>
        <w:rPr/>
        <w:t>means the date of commencement of Schedules 1, 3, 4 and 5 of the Amending</w:t>
      </w:r>
      <w:r>
        <w:rPr>
          <w:spacing w:val="-1"/>
        </w:rPr>
        <w:t> </w:t>
      </w:r>
      <w:r>
        <w:rPr/>
        <w:t>Rule.</w:t>
      </w:r>
    </w:p>
    <w:p>
      <w:pPr>
        <w:spacing w:before="120"/>
        <w:ind w:left="1919" w:right="0" w:firstLine="0"/>
        <w:jc w:val="both"/>
        <w:rPr>
          <w:sz w:val="24"/>
        </w:rPr>
      </w:pPr>
      <w:r>
        <w:rPr>
          <w:b/>
          <w:sz w:val="24"/>
        </w:rPr>
        <w:t>financial market </w:t>
      </w:r>
      <w:r>
        <w:rPr>
          <w:sz w:val="24"/>
        </w:rPr>
        <w:t>has the meaning given under Chapter 7 of the</w:t>
      </w:r>
    </w:p>
    <w:p>
      <w:pPr>
        <w:spacing w:before="0"/>
        <w:ind w:left="1919" w:right="0" w:firstLine="0"/>
        <w:jc w:val="both"/>
        <w:rPr>
          <w:sz w:val="24"/>
        </w:rPr>
      </w:pPr>
      <w:r>
        <w:rPr>
          <w:i/>
          <w:sz w:val="24"/>
        </w:rPr>
        <w:t>Corporations Act 2001</w:t>
      </w:r>
      <w:r>
        <w:rPr>
          <w:i/>
          <w:spacing w:val="-1"/>
          <w:sz w:val="24"/>
        </w:rPr>
        <w:t> </w:t>
      </w:r>
      <w:r>
        <w:rPr>
          <w:sz w:val="24"/>
        </w:rPr>
        <w:t>(Cth).</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Terms defined in Chapter 4A have the same meaning when used in this Part ZZZR.</w:t>
      </w:r>
    </w:p>
    <w:p>
      <w:pPr>
        <w:spacing w:after="0" w:line="240" w:lineRule="auto"/>
        <w:jc w:val="both"/>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16.2 Reliability Instrument Guidelin" w:id="3513"/>
      <w:bookmarkEnd w:id="3513"/>
      <w:r>
        <w:rPr>
          <w:b w:val="0"/>
        </w:rPr>
      </w:r>
      <w:bookmarkStart w:name="_bookmark1386" w:id="3514"/>
      <w:bookmarkEnd w:id="3514"/>
      <w:r>
        <w:rPr>
          <w:b w:val="0"/>
        </w:rPr>
      </w:r>
      <w:bookmarkStart w:name="_bookmark1386" w:id="3515"/>
      <w:bookmarkEnd w:id="3515"/>
      <w:r>
        <w:rPr/>
        <w:t>Reliabili</w:t>
      </w:r>
      <w:r>
        <w:rPr/>
        <w:t>ty Instrument</w:t>
      </w:r>
      <w:r>
        <w:rPr>
          <w:spacing w:val="-1"/>
        </w:rPr>
        <w:t> </w:t>
      </w:r>
      <w:r>
        <w:rPr/>
        <w:t>Guidelines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make and </w:t>
      </w:r>
      <w:r>
        <w:rPr>
          <w:i/>
          <w:sz w:val="24"/>
        </w:rPr>
        <w:t>publish </w:t>
      </w:r>
      <w:r>
        <w:rPr>
          <w:sz w:val="24"/>
        </w:rPr>
        <w:t>interim Reliability Instrument Guidelines by 31 July 2019 to apply until the Reliability Instrument Guidelines are made and published under paragraph</w:t>
      </w:r>
      <w:r>
        <w:rPr>
          <w:spacing w:val="-1"/>
          <w:sz w:val="24"/>
        </w:rPr>
        <w:t> </w:t>
      </w:r>
      <w:r>
        <w:rPr>
          <w:sz w:val="24"/>
        </w:rPr>
        <w:t>(c).</w:t>
      </w:r>
    </w:p>
    <w:p>
      <w:pPr>
        <w:pStyle w:val="ListParagraph"/>
        <w:numPr>
          <w:ilvl w:val="3"/>
          <w:numId w:val="850"/>
        </w:numPr>
        <w:tabs>
          <w:tab w:pos="1919" w:val="left" w:leader="none"/>
        </w:tabs>
        <w:spacing w:line="240" w:lineRule="auto" w:before="120" w:after="0"/>
        <w:ind w:left="1918" w:right="0" w:hanging="567"/>
        <w:jc w:val="both"/>
        <w:rPr>
          <w:i/>
          <w:sz w:val="24"/>
        </w:rPr>
      </w:pPr>
      <w:r>
        <w:rPr>
          <w:sz w:val="24"/>
        </w:rPr>
        <w:t>The</w:t>
      </w:r>
      <w:r>
        <w:rPr>
          <w:spacing w:val="17"/>
          <w:sz w:val="24"/>
        </w:rPr>
        <w:t> </w:t>
      </w:r>
      <w:r>
        <w:rPr>
          <w:i/>
          <w:sz w:val="24"/>
        </w:rPr>
        <w:t>AER</w:t>
      </w:r>
      <w:r>
        <w:rPr>
          <w:i/>
          <w:spacing w:val="17"/>
          <w:sz w:val="24"/>
        </w:rPr>
        <w:t> </w:t>
      </w:r>
      <w:r>
        <w:rPr>
          <w:sz w:val="24"/>
        </w:rPr>
        <w:t>is</w:t>
      </w:r>
      <w:r>
        <w:rPr>
          <w:spacing w:val="18"/>
          <w:sz w:val="24"/>
        </w:rPr>
        <w:t> </w:t>
      </w:r>
      <w:r>
        <w:rPr>
          <w:sz w:val="24"/>
        </w:rPr>
        <w:t>not</w:t>
      </w:r>
      <w:r>
        <w:rPr>
          <w:spacing w:val="17"/>
          <w:sz w:val="24"/>
        </w:rPr>
        <w:t> </w:t>
      </w:r>
      <w:r>
        <w:rPr>
          <w:sz w:val="24"/>
        </w:rPr>
        <w:t>required</w:t>
      </w:r>
      <w:r>
        <w:rPr>
          <w:spacing w:val="17"/>
          <w:sz w:val="24"/>
        </w:rPr>
        <w:t> </w:t>
      </w:r>
      <w:r>
        <w:rPr>
          <w:sz w:val="24"/>
        </w:rPr>
        <w:t>to</w:t>
      </w:r>
      <w:r>
        <w:rPr>
          <w:spacing w:val="18"/>
          <w:sz w:val="24"/>
        </w:rPr>
        <w:t> </w:t>
      </w:r>
      <w:r>
        <w:rPr>
          <w:sz w:val="24"/>
        </w:rPr>
        <w:t>comply</w:t>
      </w:r>
      <w:r>
        <w:rPr>
          <w:spacing w:val="17"/>
          <w:sz w:val="24"/>
        </w:rPr>
        <w:t> </w:t>
      </w:r>
      <w:r>
        <w:rPr>
          <w:sz w:val="24"/>
        </w:rPr>
        <w:t>with</w:t>
      </w:r>
      <w:r>
        <w:rPr>
          <w:spacing w:val="17"/>
          <w:sz w:val="24"/>
        </w:rPr>
        <w:t> </w:t>
      </w:r>
      <w:r>
        <w:rPr>
          <w:sz w:val="24"/>
        </w:rPr>
        <w:t>the</w:t>
      </w:r>
      <w:r>
        <w:rPr>
          <w:spacing w:val="18"/>
          <w:sz w:val="24"/>
        </w:rPr>
        <w:t> </w:t>
      </w:r>
      <w:r>
        <w:rPr>
          <w:i/>
          <w:sz w:val="24"/>
        </w:rPr>
        <w:t>Rules</w:t>
      </w:r>
      <w:r>
        <w:rPr>
          <w:i/>
          <w:spacing w:val="17"/>
          <w:sz w:val="24"/>
        </w:rPr>
        <w:t> </w:t>
      </w:r>
      <w:r>
        <w:rPr>
          <w:i/>
          <w:sz w:val="24"/>
        </w:rPr>
        <w:t>consultation</w:t>
      </w:r>
      <w:r>
        <w:rPr>
          <w:i/>
          <w:spacing w:val="17"/>
          <w:sz w:val="24"/>
        </w:rPr>
        <w:t> </w:t>
      </w:r>
      <w:r>
        <w:rPr>
          <w:i/>
          <w:sz w:val="24"/>
        </w:rPr>
        <w:t>procedures</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and </w:t>
      </w:r>
      <w:r>
        <w:rPr>
          <w:i/>
          <w:sz w:val="24"/>
        </w:rPr>
        <w:t>publish </w:t>
      </w:r>
      <w:r>
        <w:rPr>
          <w:sz w:val="24"/>
        </w:rPr>
        <w:t>Reliability Instrument Guidelines under clause 4A.C.12 by 31 July 2020 and in so doing must comply with the </w:t>
      </w:r>
      <w:r>
        <w:rPr>
          <w:i/>
          <w:sz w:val="24"/>
        </w:rPr>
        <w:t>Rules </w:t>
      </w:r>
      <w:r>
        <w:rPr>
          <w:i/>
          <w:sz w:val="24"/>
        </w:rPr>
        <w:t>consultation</w:t>
      </w:r>
      <w:r>
        <w:rPr>
          <w:i/>
          <w:spacing w:val="-1"/>
          <w:sz w:val="24"/>
        </w:rPr>
        <w:t>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3 Forecasting Best Practice Guide" w:id="3516"/>
      <w:bookmarkEnd w:id="3516"/>
      <w:r>
        <w:rPr>
          <w:b w:val="0"/>
        </w:rPr>
      </w:r>
      <w:bookmarkStart w:name="_bookmark1387" w:id="3517"/>
      <w:bookmarkEnd w:id="3517"/>
      <w:r>
        <w:rPr>
          <w:b w:val="0"/>
        </w:rPr>
      </w:r>
      <w:bookmarkStart w:name="_bookmark1387" w:id="3518"/>
      <w:bookmarkEnd w:id="3518"/>
      <w:r>
        <w:rPr/>
        <w:t>Forecasting</w:t>
      </w:r>
      <w:r>
        <w:rPr/>
        <w:t> Best Practice</w:t>
      </w:r>
      <w:r>
        <w:rPr>
          <w:spacing w:val="-3"/>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and </w:t>
      </w:r>
      <w:r>
        <w:rPr>
          <w:i/>
          <w:sz w:val="24"/>
        </w:rPr>
        <w:t>publish </w:t>
      </w:r>
      <w:r>
        <w:rPr>
          <w:sz w:val="24"/>
        </w:rPr>
        <w:t>interim Forecasting Best Practice Guidelines by 30 September 2019 to apply until the Forecasting Best Practice Guidelines are made and </w:t>
      </w:r>
      <w:r>
        <w:rPr>
          <w:i/>
          <w:sz w:val="24"/>
        </w:rPr>
        <w:t>published </w:t>
      </w:r>
      <w:r>
        <w:rPr>
          <w:sz w:val="24"/>
        </w:rPr>
        <w:t>under paragraph</w:t>
      </w:r>
      <w:r>
        <w:rPr>
          <w:spacing w:val="-8"/>
          <w:sz w:val="24"/>
        </w:rPr>
        <w:t> </w:t>
      </w:r>
      <w:r>
        <w:rPr>
          <w:sz w:val="24"/>
        </w:rPr>
        <w:t>(c).</w:t>
      </w:r>
    </w:p>
    <w:p>
      <w:pPr>
        <w:pStyle w:val="ListParagraph"/>
        <w:numPr>
          <w:ilvl w:val="3"/>
          <w:numId w:val="850"/>
        </w:numPr>
        <w:tabs>
          <w:tab w:pos="1919" w:val="left" w:leader="none"/>
        </w:tabs>
        <w:spacing w:line="240" w:lineRule="auto" w:before="120" w:after="0"/>
        <w:ind w:left="1918" w:right="0" w:hanging="567"/>
        <w:jc w:val="both"/>
        <w:rPr>
          <w:i/>
          <w:sz w:val="24"/>
        </w:rPr>
      </w:pPr>
      <w:r>
        <w:rPr>
          <w:sz w:val="24"/>
        </w:rPr>
        <w:t>The</w:t>
      </w:r>
      <w:r>
        <w:rPr>
          <w:spacing w:val="17"/>
          <w:sz w:val="24"/>
        </w:rPr>
        <w:t> </w:t>
      </w:r>
      <w:r>
        <w:rPr>
          <w:i/>
          <w:sz w:val="24"/>
        </w:rPr>
        <w:t>AER</w:t>
      </w:r>
      <w:r>
        <w:rPr>
          <w:i/>
          <w:spacing w:val="17"/>
          <w:sz w:val="24"/>
        </w:rPr>
        <w:t> </w:t>
      </w:r>
      <w:r>
        <w:rPr>
          <w:sz w:val="24"/>
        </w:rPr>
        <w:t>is</w:t>
      </w:r>
      <w:r>
        <w:rPr>
          <w:spacing w:val="18"/>
          <w:sz w:val="24"/>
        </w:rPr>
        <w:t> </w:t>
      </w:r>
      <w:r>
        <w:rPr>
          <w:sz w:val="24"/>
        </w:rPr>
        <w:t>not</w:t>
      </w:r>
      <w:r>
        <w:rPr>
          <w:spacing w:val="17"/>
          <w:sz w:val="24"/>
        </w:rPr>
        <w:t> </w:t>
      </w:r>
      <w:r>
        <w:rPr>
          <w:sz w:val="24"/>
        </w:rPr>
        <w:t>required</w:t>
      </w:r>
      <w:r>
        <w:rPr>
          <w:spacing w:val="17"/>
          <w:sz w:val="24"/>
        </w:rPr>
        <w:t> </w:t>
      </w:r>
      <w:r>
        <w:rPr>
          <w:sz w:val="24"/>
        </w:rPr>
        <w:t>to</w:t>
      </w:r>
      <w:r>
        <w:rPr>
          <w:spacing w:val="18"/>
          <w:sz w:val="24"/>
        </w:rPr>
        <w:t> </w:t>
      </w:r>
      <w:r>
        <w:rPr>
          <w:sz w:val="24"/>
        </w:rPr>
        <w:t>comply</w:t>
      </w:r>
      <w:r>
        <w:rPr>
          <w:spacing w:val="17"/>
          <w:sz w:val="24"/>
        </w:rPr>
        <w:t> </w:t>
      </w:r>
      <w:r>
        <w:rPr>
          <w:sz w:val="24"/>
        </w:rPr>
        <w:t>with</w:t>
      </w:r>
      <w:r>
        <w:rPr>
          <w:spacing w:val="17"/>
          <w:sz w:val="24"/>
        </w:rPr>
        <w:t> </w:t>
      </w:r>
      <w:r>
        <w:rPr>
          <w:sz w:val="24"/>
        </w:rPr>
        <w:t>the</w:t>
      </w:r>
      <w:r>
        <w:rPr>
          <w:spacing w:val="18"/>
          <w:sz w:val="24"/>
        </w:rPr>
        <w:t> </w:t>
      </w:r>
      <w:r>
        <w:rPr>
          <w:i/>
          <w:sz w:val="24"/>
        </w:rPr>
        <w:t>Rules</w:t>
      </w:r>
      <w:r>
        <w:rPr>
          <w:i/>
          <w:spacing w:val="17"/>
          <w:sz w:val="24"/>
        </w:rPr>
        <w:t> </w:t>
      </w:r>
      <w:r>
        <w:rPr>
          <w:i/>
          <w:sz w:val="24"/>
        </w:rPr>
        <w:t>consultation</w:t>
      </w:r>
      <w:r>
        <w:rPr>
          <w:i/>
          <w:spacing w:val="17"/>
          <w:sz w:val="24"/>
        </w:rPr>
        <w:t> </w:t>
      </w:r>
      <w:r>
        <w:rPr>
          <w:i/>
          <w:sz w:val="24"/>
        </w:rPr>
        <w:t>procedures</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and </w:t>
      </w:r>
      <w:r>
        <w:rPr>
          <w:i/>
          <w:sz w:val="24"/>
        </w:rPr>
        <w:t>publish </w:t>
      </w:r>
      <w:r>
        <w:rPr>
          <w:sz w:val="24"/>
        </w:rPr>
        <w:t>Forecasting Best Practice Guidelines under clause 4A.B.5 by 30 November 2020 and in so doing must comply with the </w:t>
      </w:r>
      <w:r>
        <w:rPr>
          <w:i/>
          <w:sz w:val="24"/>
        </w:rPr>
        <w:t>Rules consultation</w:t>
      </w:r>
      <w:r>
        <w:rPr>
          <w:i/>
          <w:spacing w:val="-1"/>
          <w:sz w:val="24"/>
        </w:rPr>
        <w:t> </w:t>
      </w:r>
      <w:r>
        <w:rPr>
          <w:i/>
          <w:sz w:val="24"/>
        </w:rPr>
        <w:t>procedures</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Despite any other provision of the </w:t>
      </w:r>
      <w:r>
        <w:rPr>
          <w:i/>
          <w:sz w:val="24"/>
        </w:rPr>
        <w:t>Rules </w:t>
      </w:r>
      <w:r>
        <w:rPr>
          <w:sz w:val="24"/>
        </w:rPr>
        <w:t>(including any guideline or procedures made under the</w:t>
      </w:r>
      <w:r>
        <w:rPr>
          <w:spacing w:val="-1"/>
          <w:sz w:val="24"/>
        </w:rPr>
        <w:t> </w:t>
      </w:r>
      <w:r>
        <w:rPr>
          <w:i/>
          <w:sz w:val="24"/>
        </w:rPr>
        <w:t>Rules</w:t>
      </w:r>
      <w:r>
        <w:rPr>
          <w:sz w:val="24"/>
        </w:rPr>
        <w:t>):</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when preparing a </w:t>
      </w:r>
      <w:r>
        <w:rPr>
          <w:i/>
          <w:sz w:val="24"/>
        </w:rPr>
        <w:t>reliability forecast </w:t>
      </w:r>
      <w:r>
        <w:rPr>
          <w:sz w:val="24"/>
        </w:rPr>
        <w:t>and </w:t>
      </w:r>
      <w:r>
        <w:rPr>
          <w:i/>
          <w:sz w:val="24"/>
        </w:rPr>
        <w:t>indicative reliability forecast </w:t>
      </w:r>
      <w:r>
        <w:rPr>
          <w:sz w:val="24"/>
        </w:rPr>
        <w:t>for a </w:t>
      </w:r>
      <w:r>
        <w:rPr>
          <w:i/>
          <w:sz w:val="24"/>
        </w:rPr>
        <w:t>statement of opportunities </w:t>
      </w:r>
      <w:r>
        <w:rPr>
          <w:sz w:val="24"/>
        </w:rPr>
        <w:t>published in 2019, </w:t>
      </w:r>
      <w:r>
        <w:rPr>
          <w:i/>
          <w:sz w:val="24"/>
        </w:rPr>
        <w:t>AEMO </w:t>
      </w:r>
      <w:r>
        <w:rPr>
          <w:sz w:val="24"/>
        </w:rPr>
        <w:t>is not required to follow the Forecasting Best Practice Guidelines;</w:t>
      </w:r>
      <w:r>
        <w:rPr>
          <w:spacing w:val="-9"/>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the </w:t>
      </w:r>
      <w:r>
        <w:rPr>
          <w:i/>
          <w:sz w:val="24"/>
        </w:rPr>
        <w:t>AER </w:t>
      </w:r>
      <w:r>
        <w:rPr>
          <w:sz w:val="24"/>
        </w:rPr>
        <w:t>is not required to have regard to the Forecasting Best Practice Guidelines under clause 4A.C.9 for the purposes of considering</w:t>
      </w:r>
      <w:r>
        <w:rPr>
          <w:spacing w:val="41"/>
          <w:sz w:val="24"/>
        </w:rPr>
        <w:t> </w:t>
      </w:r>
      <w:r>
        <w:rPr>
          <w:sz w:val="24"/>
        </w:rPr>
        <w:t>a request made by </w:t>
      </w:r>
      <w:r>
        <w:rPr>
          <w:i/>
          <w:sz w:val="24"/>
        </w:rPr>
        <w:t>AEMO </w:t>
      </w:r>
      <w:r>
        <w:rPr>
          <w:sz w:val="24"/>
        </w:rPr>
        <w:t>under clause 4A.C.2 based on a </w:t>
      </w:r>
      <w:r>
        <w:rPr>
          <w:i/>
          <w:sz w:val="24"/>
        </w:rPr>
        <w:t>reliability </w:t>
      </w:r>
      <w:r>
        <w:rPr>
          <w:i/>
          <w:sz w:val="24"/>
        </w:rPr>
        <w:t>forecast </w:t>
      </w:r>
      <w:r>
        <w:rPr>
          <w:sz w:val="24"/>
        </w:rPr>
        <w:t>for a </w:t>
      </w:r>
      <w:r>
        <w:rPr>
          <w:i/>
          <w:sz w:val="24"/>
        </w:rPr>
        <w:t>statement of opportunities </w:t>
      </w:r>
      <w:r>
        <w:rPr>
          <w:sz w:val="24"/>
        </w:rPr>
        <w:t>published in 2019 or any update of the 2019 </w:t>
      </w:r>
      <w:r>
        <w:rPr>
          <w:i/>
          <w:sz w:val="24"/>
        </w:rPr>
        <w:t>statement of opportunities </w:t>
      </w:r>
      <w:r>
        <w:rPr>
          <w:sz w:val="24"/>
        </w:rPr>
        <w:t>published under clause 3.13.3A(b).</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4 Reliability Forecast Guidelines" w:id="3519"/>
      <w:bookmarkEnd w:id="3519"/>
      <w:r>
        <w:rPr>
          <w:b w:val="0"/>
        </w:rPr>
      </w:r>
      <w:bookmarkStart w:name="_bookmark1388" w:id="3520"/>
      <w:bookmarkEnd w:id="3520"/>
      <w:r>
        <w:rPr>
          <w:b w:val="0"/>
        </w:rPr>
      </w:r>
      <w:bookmarkStart w:name="_bookmark1388" w:id="3521"/>
      <w:bookmarkEnd w:id="3521"/>
      <w:r>
        <w:rPr/>
        <w:t>Reliabili</w:t>
      </w:r>
      <w:r>
        <w:rPr/>
        <w:t>ty Forecast</w:t>
      </w:r>
      <w:r>
        <w:rPr>
          <w:spacing w:val="-2"/>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publish on its website interim </w:t>
      </w:r>
      <w:r>
        <w:rPr>
          <w:i/>
          <w:sz w:val="24"/>
        </w:rPr>
        <w:t>Reliability Forecast </w:t>
      </w:r>
      <w:r>
        <w:rPr>
          <w:i/>
          <w:sz w:val="24"/>
        </w:rPr>
        <w:t>Guidelines </w:t>
      </w:r>
      <w:r>
        <w:rPr>
          <w:sz w:val="24"/>
        </w:rPr>
        <w:t>by 31 December 2019 to apply until the </w:t>
      </w:r>
      <w:r>
        <w:rPr>
          <w:i/>
          <w:sz w:val="24"/>
        </w:rPr>
        <w:t>Reliability Forecast </w:t>
      </w:r>
      <w:r>
        <w:rPr>
          <w:i/>
          <w:sz w:val="24"/>
        </w:rPr>
        <w:t>Guidelines </w:t>
      </w:r>
      <w:r>
        <w:rPr>
          <w:sz w:val="24"/>
        </w:rPr>
        <w:t>are made and published under paragraph</w:t>
      </w:r>
      <w:r>
        <w:rPr>
          <w:spacing w:val="-3"/>
          <w:sz w:val="24"/>
        </w:rPr>
        <w:t> </w:t>
      </w:r>
      <w:r>
        <w:rPr>
          <w:sz w:val="24"/>
        </w:rPr>
        <w:t>(c).</w:t>
      </w:r>
    </w:p>
    <w:p>
      <w:pPr>
        <w:pStyle w:val="ListParagraph"/>
        <w:numPr>
          <w:ilvl w:val="3"/>
          <w:numId w:val="850"/>
        </w:numPr>
        <w:tabs>
          <w:tab w:pos="1919" w:val="left" w:leader="none"/>
        </w:tabs>
        <w:spacing w:line="240" w:lineRule="auto" w:before="120" w:after="0"/>
        <w:ind w:left="1918" w:right="0" w:hanging="567"/>
        <w:jc w:val="both"/>
        <w:rPr>
          <w:i/>
          <w:sz w:val="24"/>
        </w:rPr>
      </w:pPr>
      <w:r>
        <w:rPr>
          <w:i/>
          <w:sz w:val="24"/>
        </w:rPr>
        <w:t>AEMO</w:t>
      </w:r>
      <w:r>
        <w:rPr>
          <w:i/>
          <w:spacing w:val="40"/>
          <w:sz w:val="24"/>
        </w:rPr>
        <w:t> </w:t>
      </w:r>
      <w:r>
        <w:rPr>
          <w:sz w:val="24"/>
        </w:rPr>
        <w:t>is</w:t>
      </w:r>
      <w:r>
        <w:rPr>
          <w:spacing w:val="40"/>
          <w:sz w:val="24"/>
        </w:rPr>
        <w:t> </w:t>
      </w:r>
      <w:r>
        <w:rPr>
          <w:sz w:val="24"/>
        </w:rPr>
        <w:t>not</w:t>
      </w:r>
      <w:r>
        <w:rPr>
          <w:spacing w:val="41"/>
          <w:sz w:val="24"/>
        </w:rPr>
        <w:t> </w:t>
      </w:r>
      <w:r>
        <w:rPr>
          <w:sz w:val="24"/>
        </w:rPr>
        <w:t>required</w:t>
      </w:r>
      <w:r>
        <w:rPr>
          <w:spacing w:val="40"/>
          <w:sz w:val="24"/>
        </w:rPr>
        <w:t> </w:t>
      </w:r>
      <w:r>
        <w:rPr>
          <w:sz w:val="24"/>
        </w:rPr>
        <w:t>to</w:t>
      </w:r>
      <w:r>
        <w:rPr>
          <w:spacing w:val="40"/>
          <w:sz w:val="24"/>
        </w:rPr>
        <w:t> </w:t>
      </w:r>
      <w:r>
        <w:rPr>
          <w:sz w:val="24"/>
        </w:rPr>
        <w:t>comply</w:t>
      </w:r>
      <w:r>
        <w:rPr>
          <w:spacing w:val="41"/>
          <w:sz w:val="24"/>
        </w:rPr>
        <w:t> </w:t>
      </w:r>
      <w:r>
        <w:rPr>
          <w:sz w:val="24"/>
        </w:rPr>
        <w:t>with</w:t>
      </w:r>
      <w:r>
        <w:rPr>
          <w:spacing w:val="40"/>
          <w:sz w:val="24"/>
        </w:rPr>
        <w:t> </w:t>
      </w:r>
      <w:r>
        <w:rPr>
          <w:sz w:val="24"/>
        </w:rPr>
        <w:t>the</w:t>
      </w:r>
      <w:r>
        <w:rPr>
          <w:spacing w:val="40"/>
          <w:sz w:val="24"/>
        </w:rPr>
        <w:t> </w:t>
      </w:r>
      <w:r>
        <w:rPr>
          <w:i/>
          <w:sz w:val="24"/>
        </w:rPr>
        <w:t>Rules</w:t>
      </w:r>
      <w:r>
        <w:rPr>
          <w:i/>
          <w:spacing w:val="41"/>
          <w:sz w:val="24"/>
        </w:rPr>
        <w:t> </w:t>
      </w:r>
      <w:r>
        <w:rPr>
          <w:i/>
          <w:sz w:val="24"/>
        </w:rPr>
        <w:t>consultation</w:t>
      </w:r>
      <w:r>
        <w:rPr>
          <w:i/>
          <w:spacing w:val="40"/>
          <w:sz w:val="24"/>
        </w:rPr>
        <w:t> </w:t>
      </w:r>
      <w:r>
        <w:rPr>
          <w:i/>
          <w:sz w:val="24"/>
        </w:rPr>
        <w:t>procedures</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publish on its website </w:t>
      </w:r>
      <w:r>
        <w:rPr>
          <w:i/>
          <w:sz w:val="24"/>
        </w:rPr>
        <w:t>Reliability</w:t>
      </w:r>
      <w:r>
        <w:rPr>
          <w:i/>
          <w:spacing w:val="39"/>
          <w:sz w:val="24"/>
        </w:rPr>
        <w:t> </w:t>
      </w:r>
      <w:r>
        <w:rPr>
          <w:i/>
          <w:sz w:val="24"/>
        </w:rPr>
        <w:t>Forecast </w:t>
      </w:r>
      <w:r>
        <w:rPr>
          <w:i/>
          <w:sz w:val="24"/>
        </w:rPr>
        <w:t>Guidelines </w:t>
      </w:r>
      <w:r>
        <w:rPr>
          <w:sz w:val="24"/>
        </w:rPr>
        <w:t>under clause 4A.B.4 by 28 February 2021 and in so doing must comply with the </w:t>
      </w:r>
      <w:r>
        <w:rPr>
          <w:i/>
          <w:sz w:val="24"/>
        </w:rPr>
        <w:t>Rules consultation</w:t>
      </w:r>
      <w:r>
        <w:rPr>
          <w:i/>
          <w:spacing w:val="-1"/>
          <w:sz w:val="24"/>
        </w:rPr>
        <w:t> </w:t>
      </w:r>
      <w:r>
        <w:rPr>
          <w:i/>
          <w:sz w:val="24"/>
        </w:rPr>
        <w:t>procedures</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Despite any other provision of the </w:t>
      </w:r>
      <w:r>
        <w:rPr>
          <w:i/>
          <w:sz w:val="24"/>
        </w:rPr>
        <w:t>Rules </w:t>
      </w:r>
      <w:r>
        <w:rPr>
          <w:sz w:val="24"/>
        </w:rPr>
        <w:t>(including any guideline or procedures made under the </w:t>
      </w:r>
      <w:r>
        <w:rPr>
          <w:i/>
          <w:sz w:val="24"/>
        </w:rPr>
        <w:t>Rules</w:t>
      </w:r>
      <w:r>
        <w:rPr>
          <w:sz w:val="24"/>
        </w:rPr>
        <w:t>), </w:t>
      </w:r>
      <w:r>
        <w:rPr>
          <w:i/>
          <w:sz w:val="24"/>
        </w:rPr>
        <w:t>AEMO </w:t>
      </w:r>
      <w:r>
        <w:rPr>
          <w:sz w:val="24"/>
        </w:rPr>
        <w:t>is not required to follow </w:t>
      </w:r>
      <w:r>
        <w:rPr>
          <w:spacing w:val="-6"/>
          <w:sz w:val="24"/>
        </w:rPr>
        <w:t>the </w:t>
      </w:r>
      <w:r>
        <w:rPr>
          <w:i/>
          <w:sz w:val="24"/>
        </w:rPr>
        <w:t>Reliability Forecast Guidelines </w:t>
      </w:r>
      <w:r>
        <w:rPr>
          <w:sz w:val="24"/>
        </w:rPr>
        <w:t>in preparing a </w:t>
      </w:r>
      <w:r>
        <w:rPr>
          <w:i/>
          <w:sz w:val="24"/>
        </w:rPr>
        <w:t>reliability forecast </w:t>
      </w:r>
      <w:r>
        <w:rPr>
          <w:sz w:val="24"/>
        </w:rPr>
        <w:t>and </w:t>
      </w:r>
      <w:r>
        <w:rPr>
          <w:i/>
          <w:sz w:val="24"/>
        </w:rPr>
        <w:t>indicative</w:t>
      </w:r>
      <w:r>
        <w:rPr>
          <w:i/>
          <w:spacing w:val="28"/>
          <w:sz w:val="24"/>
        </w:rPr>
        <w:t> </w:t>
      </w:r>
      <w:r>
        <w:rPr>
          <w:i/>
          <w:sz w:val="24"/>
        </w:rPr>
        <w:t>reliability</w:t>
      </w:r>
      <w:r>
        <w:rPr>
          <w:i/>
          <w:spacing w:val="28"/>
          <w:sz w:val="24"/>
        </w:rPr>
        <w:t> </w:t>
      </w:r>
      <w:r>
        <w:rPr>
          <w:i/>
          <w:sz w:val="24"/>
        </w:rPr>
        <w:t>forecast</w:t>
      </w:r>
      <w:r>
        <w:rPr>
          <w:i/>
          <w:spacing w:val="28"/>
          <w:sz w:val="24"/>
        </w:rPr>
        <w:t> </w:t>
      </w:r>
      <w:r>
        <w:rPr>
          <w:sz w:val="24"/>
        </w:rPr>
        <w:t>for</w:t>
      </w:r>
      <w:r>
        <w:rPr>
          <w:spacing w:val="28"/>
          <w:sz w:val="24"/>
        </w:rPr>
        <w:t> </w:t>
      </w:r>
      <w:r>
        <w:rPr>
          <w:sz w:val="24"/>
        </w:rPr>
        <w:t>a</w:t>
      </w:r>
      <w:r>
        <w:rPr>
          <w:spacing w:val="28"/>
          <w:sz w:val="24"/>
        </w:rPr>
        <w:t> </w:t>
      </w:r>
      <w:r>
        <w:rPr>
          <w:i/>
          <w:sz w:val="24"/>
        </w:rPr>
        <w:t>statement</w:t>
      </w:r>
      <w:r>
        <w:rPr>
          <w:i/>
          <w:spacing w:val="28"/>
          <w:sz w:val="24"/>
        </w:rPr>
        <w:t> </w:t>
      </w:r>
      <w:r>
        <w:rPr>
          <w:i/>
          <w:sz w:val="24"/>
        </w:rPr>
        <w:t>of</w:t>
      </w:r>
      <w:r>
        <w:rPr>
          <w:i/>
          <w:spacing w:val="28"/>
          <w:sz w:val="24"/>
        </w:rPr>
        <w:t> </w:t>
      </w:r>
      <w:r>
        <w:rPr>
          <w:i/>
          <w:sz w:val="24"/>
        </w:rPr>
        <w:t>opportunities</w:t>
      </w:r>
      <w:r>
        <w:rPr>
          <w:i/>
          <w:spacing w:val="28"/>
          <w:sz w:val="24"/>
        </w:rPr>
        <w:t> </w:t>
      </w:r>
      <w:r>
        <w:rPr>
          <w:sz w:val="24"/>
        </w:rPr>
        <w:t>published</w:t>
      </w:r>
      <w:r>
        <w:rPr>
          <w:spacing w:val="28"/>
          <w:sz w:val="24"/>
        </w:rPr>
        <w:t> </w:t>
      </w:r>
      <w:r>
        <w:rPr>
          <w:sz w:val="24"/>
        </w:rPr>
        <w:t>in</w:t>
      </w:r>
    </w:p>
    <w:p>
      <w:pPr>
        <w:spacing w:after="0" w:line="240" w:lineRule="auto"/>
        <w:jc w:val="both"/>
        <w:rPr>
          <w:sz w:val="24"/>
        </w:rPr>
        <w:sectPr>
          <w:pgSz w:w="11910" w:h="16840"/>
          <w:pgMar w:header="686" w:footer="637" w:top="1320" w:bottom="820" w:left="1200" w:right="1000"/>
        </w:sectPr>
      </w:pPr>
    </w:p>
    <w:p>
      <w:pPr>
        <w:spacing w:before="83"/>
        <w:ind w:left="1919" w:right="416" w:firstLine="0"/>
        <w:jc w:val="both"/>
        <w:rPr>
          <w:sz w:val="24"/>
        </w:rPr>
      </w:pPr>
      <w:r>
        <w:rPr>
          <w:sz w:val="24"/>
        </w:rPr>
        <w:t>2019 or any update of the 2019 </w:t>
      </w:r>
      <w:r>
        <w:rPr>
          <w:i/>
          <w:sz w:val="24"/>
        </w:rPr>
        <w:t>statement of opportunities </w:t>
      </w:r>
      <w:r>
        <w:rPr>
          <w:sz w:val="24"/>
        </w:rPr>
        <w:t>published under clause 3.13.3A(b).</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not make a request for information under clause 3.13.3A(d) until the guidelines are made and published under paragraph</w:t>
      </w:r>
      <w:r>
        <w:rPr>
          <w:spacing w:val="-3"/>
          <w:sz w:val="24"/>
        </w:rPr>
        <w:t> </w:t>
      </w:r>
      <w:r>
        <w:rPr>
          <w:sz w:val="24"/>
        </w:rPr>
        <w:t>(a).</w:t>
      </w:r>
    </w:p>
    <w:p>
      <w:pPr>
        <w:pStyle w:val="ListParagraph"/>
        <w:numPr>
          <w:ilvl w:val="3"/>
          <w:numId w:val="850"/>
        </w:numPr>
        <w:tabs>
          <w:tab w:pos="1920" w:val="left" w:leader="none"/>
        </w:tabs>
        <w:spacing w:line="240" w:lineRule="auto" w:before="120" w:after="0"/>
        <w:ind w:left="1919" w:right="417" w:hanging="567"/>
        <w:jc w:val="both"/>
        <w:rPr>
          <w:sz w:val="24"/>
        </w:rPr>
      </w:pPr>
      <w:r>
        <w:rPr>
          <w:sz w:val="24"/>
        </w:rPr>
        <w:t>For the purposes of preparing the 2019 </w:t>
      </w:r>
      <w:r>
        <w:rPr>
          <w:i/>
          <w:sz w:val="24"/>
        </w:rPr>
        <w:t>statement of opportunities</w:t>
      </w:r>
      <w:r>
        <w:rPr>
          <w:sz w:val="24"/>
        </w:rPr>
        <w:t>, clause 3.13.3A(g) is replaced with the</w:t>
      </w:r>
      <w:r>
        <w:rPr>
          <w:spacing w:val="-1"/>
          <w:sz w:val="24"/>
        </w:rPr>
        <w:t> </w:t>
      </w:r>
      <w:r>
        <w:rPr>
          <w:sz w:val="24"/>
        </w:rPr>
        <w:t>following:</w:t>
      </w:r>
    </w:p>
    <w:p>
      <w:pPr>
        <w:spacing w:before="120"/>
        <w:ind w:left="1919" w:right="415" w:firstLine="0"/>
        <w:jc w:val="both"/>
        <w:rPr>
          <w:sz w:val="24"/>
        </w:rPr>
      </w:pPr>
      <w:r>
        <w:rPr>
          <w:sz w:val="24"/>
        </w:rPr>
        <w:t>As soon as practicable after a </w:t>
      </w:r>
      <w:r>
        <w:rPr>
          <w:i/>
          <w:sz w:val="24"/>
        </w:rPr>
        <w:t>Scheduled Generator</w:t>
      </w:r>
      <w:r>
        <w:rPr>
          <w:sz w:val="24"/>
        </w:rPr>
        <w:t>, </w:t>
      </w:r>
      <w:r>
        <w:rPr>
          <w:i/>
          <w:sz w:val="24"/>
        </w:rPr>
        <w:t>Semi-Scheduled </w:t>
      </w:r>
      <w:r>
        <w:rPr>
          <w:i/>
          <w:sz w:val="24"/>
        </w:rPr>
        <w:t>Generator</w:t>
      </w:r>
      <w:r>
        <w:rPr>
          <w:sz w:val="24"/>
        </w:rPr>
        <w:t>, </w:t>
      </w:r>
      <w:r>
        <w:rPr>
          <w:i/>
          <w:sz w:val="24"/>
        </w:rPr>
        <w:t>Market Participant </w:t>
      </w:r>
      <w:r>
        <w:rPr>
          <w:sz w:val="24"/>
        </w:rPr>
        <w:t>or </w:t>
      </w:r>
      <w:r>
        <w:rPr>
          <w:i/>
          <w:sz w:val="24"/>
        </w:rPr>
        <w:t>Transmission Network Service Provider </w:t>
      </w:r>
      <w:r>
        <w:rPr>
          <w:sz w:val="24"/>
        </w:rPr>
        <w:t>becomes aware of any information required for publication by </w:t>
      </w:r>
      <w:r>
        <w:rPr>
          <w:i/>
          <w:sz w:val="24"/>
        </w:rPr>
        <w:t>AEMO </w:t>
      </w:r>
      <w:r>
        <w:rPr>
          <w:sz w:val="24"/>
        </w:rPr>
        <w:t>under paragraph (a), that information must be provided to </w:t>
      </w:r>
      <w:r>
        <w:rPr>
          <w:i/>
          <w:sz w:val="24"/>
        </w:rPr>
        <w:t>AEMO </w:t>
      </w:r>
      <w:r>
        <w:rPr>
          <w:sz w:val="24"/>
        </w:rPr>
        <w:t>by </w:t>
      </w:r>
      <w:r>
        <w:rPr>
          <w:spacing w:val="-5"/>
          <w:sz w:val="24"/>
        </w:rPr>
        <w:t>that </w:t>
      </w:r>
      <w:r>
        <w:rPr>
          <w:i/>
          <w:sz w:val="24"/>
        </w:rPr>
        <w:t>Scheduled Generator</w:t>
      </w:r>
      <w:r>
        <w:rPr>
          <w:sz w:val="24"/>
        </w:rPr>
        <w:t>, </w:t>
      </w:r>
      <w:r>
        <w:rPr>
          <w:i/>
          <w:sz w:val="24"/>
        </w:rPr>
        <w:t>Semi-Scheduled Generator</w:t>
      </w:r>
      <w:r>
        <w:rPr>
          <w:sz w:val="24"/>
        </w:rPr>
        <w:t>, </w:t>
      </w:r>
      <w:r>
        <w:rPr>
          <w:i/>
          <w:sz w:val="24"/>
        </w:rPr>
        <w:t>Market Participant </w:t>
      </w:r>
      <w:r>
        <w:rPr>
          <w:sz w:val="24"/>
        </w:rPr>
        <w:t>or </w:t>
      </w:r>
      <w:r>
        <w:rPr>
          <w:i/>
          <w:sz w:val="24"/>
        </w:rPr>
        <w:t>Transmission Network Service</w:t>
      </w:r>
      <w:r>
        <w:rPr>
          <w:i/>
          <w:spacing w:val="-2"/>
          <w:sz w:val="24"/>
        </w:rPr>
        <w:t> </w:t>
      </w:r>
      <w:r>
        <w:rPr>
          <w:i/>
          <w:sz w:val="24"/>
        </w:rPr>
        <w:t>Provider</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5 AER Opt-in Guidelines" w:id="3522"/>
      <w:bookmarkEnd w:id="3522"/>
      <w:r>
        <w:rPr>
          <w:b w:val="0"/>
        </w:rPr>
      </w:r>
      <w:bookmarkStart w:name="_bookmark1389" w:id="3523"/>
      <w:bookmarkEnd w:id="3523"/>
      <w:r>
        <w:rPr>
          <w:b w:val="0"/>
        </w:rPr>
      </w:r>
      <w:bookmarkStart w:name="_bookmark1389" w:id="3524"/>
      <w:bookmarkEnd w:id="3524"/>
      <w:r>
        <w:rPr/>
        <w:t>AE</w:t>
      </w:r>
      <w:r>
        <w:rPr/>
        <w:t>R Opt-in</w:t>
      </w:r>
      <w:r>
        <w:rPr>
          <w:spacing w:val="-3"/>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 person is not eligible to be registered as an opt-in customer until the AER Opt-In Guidelines are made and </w:t>
      </w:r>
      <w:r>
        <w:rPr>
          <w:i/>
          <w:sz w:val="24"/>
        </w:rPr>
        <w:t>published </w:t>
      </w:r>
      <w:r>
        <w:rPr>
          <w:sz w:val="24"/>
        </w:rPr>
        <w:t>under clause</w:t>
      </w:r>
      <w:r>
        <w:rPr>
          <w:spacing w:val="-7"/>
          <w:sz w:val="24"/>
        </w:rPr>
        <w:t> </w:t>
      </w:r>
      <w:r>
        <w:rPr>
          <w:sz w:val="24"/>
        </w:rPr>
        <w:t>4A.D.13.</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make and </w:t>
      </w:r>
      <w:r>
        <w:rPr>
          <w:i/>
          <w:sz w:val="24"/>
        </w:rPr>
        <w:t>publish </w:t>
      </w:r>
      <w:r>
        <w:rPr>
          <w:sz w:val="24"/>
        </w:rPr>
        <w:t>the AER Opt-In Guidelines by no later than 30 June</w:t>
      </w:r>
      <w:r>
        <w:rPr>
          <w:spacing w:val="-2"/>
          <w:sz w:val="24"/>
        </w:rPr>
        <w:t> </w:t>
      </w:r>
      <w:r>
        <w:rPr>
          <w:sz w:val="24"/>
        </w:rPr>
        <w:t>2020.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6 Contracts and Firmness Guidelin" w:id="3525"/>
      <w:bookmarkEnd w:id="3525"/>
      <w:r>
        <w:rPr>
          <w:b w:val="0"/>
        </w:rPr>
      </w:r>
      <w:bookmarkStart w:name="_bookmark1390" w:id="3526"/>
      <w:bookmarkEnd w:id="3526"/>
      <w:r>
        <w:rPr>
          <w:b w:val="0"/>
        </w:rPr>
      </w:r>
      <w:bookmarkStart w:name="_bookmark1390" w:id="3527"/>
      <w:bookmarkEnd w:id="3527"/>
      <w:r>
        <w:rPr/>
        <w:t>Contract</w:t>
      </w:r>
      <w:r>
        <w:rPr/>
        <w:t>s and Firmness</w:t>
      </w:r>
      <w:r>
        <w:rPr>
          <w:spacing w:val="-3"/>
        </w:rPr>
        <w:t> </w:t>
      </w:r>
      <w:r>
        <w:rPr/>
        <w:t>Guidelines</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The </w:t>
      </w:r>
      <w:r>
        <w:rPr>
          <w:i/>
          <w:sz w:val="24"/>
        </w:rPr>
        <w:t>AER </w:t>
      </w:r>
      <w:r>
        <w:rPr>
          <w:sz w:val="24"/>
        </w:rPr>
        <w:t>must make and </w:t>
      </w:r>
      <w:r>
        <w:rPr>
          <w:i/>
          <w:sz w:val="24"/>
        </w:rPr>
        <w:t>publish </w:t>
      </w:r>
      <w:r>
        <w:rPr>
          <w:sz w:val="24"/>
        </w:rPr>
        <w:t>interim Contracts and Firmness Guidelines by 31 August 2019 to apply until the Contracts and Firmness Guidelines are made and </w:t>
      </w:r>
      <w:r>
        <w:rPr>
          <w:i/>
          <w:sz w:val="24"/>
        </w:rPr>
        <w:t>published </w:t>
      </w:r>
      <w:r>
        <w:rPr>
          <w:sz w:val="24"/>
        </w:rPr>
        <w:t>under paragraph</w:t>
      </w:r>
      <w:r>
        <w:rPr>
          <w:spacing w:val="-1"/>
          <w:sz w:val="24"/>
        </w:rPr>
        <w:t> </w:t>
      </w:r>
      <w:r>
        <w:rPr>
          <w:sz w:val="24"/>
        </w:rPr>
        <w:t>(c).</w:t>
      </w:r>
    </w:p>
    <w:p>
      <w:pPr>
        <w:pStyle w:val="ListParagraph"/>
        <w:numPr>
          <w:ilvl w:val="3"/>
          <w:numId w:val="850"/>
        </w:numPr>
        <w:tabs>
          <w:tab w:pos="1919" w:val="left" w:leader="none"/>
        </w:tabs>
        <w:spacing w:line="240" w:lineRule="auto" w:before="120" w:after="0"/>
        <w:ind w:left="1918" w:right="0" w:hanging="567"/>
        <w:jc w:val="both"/>
        <w:rPr>
          <w:i/>
          <w:sz w:val="24"/>
        </w:rPr>
      </w:pPr>
      <w:r>
        <w:rPr>
          <w:sz w:val="24"/>
        </w:rPr>
        <w:t>The</w:t>
      </w:r>
      <w:r>
        <w:rPr>
          <w:spacing w:val="17"/>
          <w:sz w:val="24"/>
        </w:rPr>
        <w:t> </w:t>
      </w:r>
      <w:r>
        <w:rPr>
          <w:i/>
          <w:sz w:val="24"/>
        </w:rPr>
        <w:t>AER</w:t>
      </w:r>
      <w:r>
        <w:rPr>
          <w:i/>
          <w:spacing w:val="17"/>
          <w:sz w:val="24"/>
        </w:rPr>
        <w:t> </w:t>
      </w:r>
      <w:r>
        <w:rPr>
          <w:sz w:val="24"/>
        </w:rPr>
        <w:t>is</w:t>
      </w:r>
      <w:r>
        <w:rPr>
          <w:spacing w:val="18"/>
          <w:sz w:val="24"/>
        </w:rPr>
        <w:t> </w:t>
      </w:r>
      <w:r>
        <w:rPr>
          <w:sz w:val="24"/>
        </w:rPr>
        <w:t>not</w:t>
      </w:r>
      <w:r>
        <w:rPr>
          <w:spacing w:val="17"/>
          <w:sz w:val="24"/>
        </w:rPr>
        <w:t> </w:t>
      </w:r>
      <w:r>
        <w:rPr>
          <w:sz w:val="24"/>
        </w:rPr>
        <w:t>required</w:t>
      </w:r>
      <w:r>
        <w:rPr>
          <w:spacing w:val="17"/>
          <w:sz w:val="24"/>
        </w:rPr>
        <w:t> </w:t>
      </w:r>
      <w:r>
        <w:rPr>
          <w:sz w:val="24"/>
        </w:rPr>
        <w:t>to</w:t>
      </w:r>
      <w:r>
        <w:rPr>
          <w:spacing w:val="18"/>
          <w:sz w:val="24"/>
        </w:rPr>
        <w:t> </w:t>
      </w:r>
      <w:r>
        <w:rPr>
          <w:sz w:val="24"/>
        </w:rPr>
        <w:t>comply</w:t>
      </w:r>
      <w:r>
        <w:rPr>
          <w:spacing w:val="17"/>
          <w:sz w:val="24"/>
        </w:rPr>
        <w:t> </w:t>
      </w:r>
      <w:r>
        <w:rPr>
          <w:sz w:val="24"/>
        </w:rPr>
        <w:t>with</w:t>
      </w:r>
      <w:r>
        <w:rPr>
          <w:spacing w:val="17"/>
          <w:sz w:val="24"/>
        </w:rPr>
        <w:t> </w:t>
      </w:r>
      <w:r>
        <w:rPr>
          <w:sz w:val="24"/>
        </w:rPr>
        <w:t>the</w:t>
      </w:r>
      <w:r>
        <w:rPr>
          <w:spacing w:val="18"/>
          <w:sz w:val="24"/>
        </w:rPr>
        <w:t> </w:t>
      </w:r>
      <w:r>
        <w:rPr>
          <w:i/>
          <w:sz w:val="24"/>
        </w:rPr>
        <w:t>Rules</w:t>
      </w:r>
      <w:r>
        <w:rPr>
          <w:i/>
          <w:spacing w:val="17"/>
          <w:sz w:val="24"/>
        </w:rPr>
        <w:t> </w:t>
      </w:r>
      <w:r>
        <w:rPr>
          <w:i/>
          <w:sz w:val="24"/>
        </w:rPr>
        <w:t>consultation</w:t>
      </w:r>
      <w:r>
        <w:rPr>
          <w:i/>
          <w:spacing w:val="17"/>
          <w:sz w:val="24"/>
        </w:rPr>
        <w:t> </w:t>
      </w:r>
      <w:r>
        <w:rPr>
          <w:i/>
          <w:sz w:val="24"/>
        </w:rPr>
        <w:t>procedures</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and </w:t>
      </w:r>
      <w:r>
        <w:rPr>
          <w:i/>
          <w:sz w:val="24"/>
        </w:rPr>
        <w:t>publish </w:t>
      </w:r>
      <w:r>
        <w:rPr>
          <w:sz w:val="24"/>
        </w:rPr>
        <w:t>Contracts and Firmness Guidelines under clause 4A.E.8 by 31 December 2020 and in so doing must comply with the </w:t>
      </w:r>
      <w:r>
        <w:rPr>
          <w:i/>
          <w:sz w:val="24"/>
        </w:rPr>
        <w:t>Rules consultation</w:t>
      </w:r>
      <w:r>
        <w:rPr>
          <w:i/>
          <w:spacing w:val="-1"/>
          <w:sz w:val="24"/>
        </w:rPr>
        <w:t>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2" w:right="1617" w:hanging="1134"/>
        <w:jc w:val="left"/>
      </w:pPr>
      <w:bookmarkStart w:name="11.116.7 Qualifying contracts under inte" w:id="3528"/>
      <w:bookmarkEnd w:id="3528"/>
      <w:r>
        <w:rPr>
          <w:b w:val="0"/>
        </w:rPr>
      </w:r>
      <w:bookmarkStart w:name="_bookmark1391" w:id="3529"/>
      <w:bookmarkEnd w:id="3529"/>
      <w:r>
        <w:rPr>
          <w:b w:val="0"/>
        </w:rPr>
      </w:r>
      <w:bookmarkStart w:name="_bookmark1391" w:id="3530"/>
      <w:bookmarkEnd w:id="3530"/>
      <w:r>
        <w:rPr/>
        <w:t>Qual</w:t>
      </w:r>
      <w:r>
        <w:rPr/>
        <w:t>ifying contracts under interim Contracts and Firmness Guidelines</w:t>
      </w:r>
    </w:p>
    <w:p>
      <w:pPr>
        <w:pStyle w:val="BodyText"/>
        <w:ind w:left="1352" w:firstLine="0"/>
      </w:pPr>
      <w:r>
        <w:rPr/>
        <w:t>Qualifying contracts entered into by a liable entity:</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after the interim Contracts and Firmness guidelines are made under clause 11.116.6(a); and</w:t>
      </w:r>
    </w:p>
    <w:p>
      <w:pPr>
        <w:pStyle w:val="ListParagraph"/>
        <w:numPr>
          <w:ilvl w:val="3"/>
          <w:numId w:val="850"/>
        </w:numPr>
        <w:tabs>
          <w:tab w:pos="1919" w:val="left" w:leader="none"/>
        </w:tabs>
        <w:spacing w:line="240" w:lineRule="auto" w:before="120" w:after="0"/>
        <w:ind w:left="1919" w:right="417" w:hanging="567"/>
        <w:jc w:val="both"/>
        <w:rPr>
          <w:sz w:val="24"/>
        </w:rPr>
      </w:pPr>
      <w:r>
        <w:rPr>
          <w:sz w:val="24"/>
        </w:rPr>
        <w:t>before the final Contracts and Firmness guidelines are made under clause 11.116.6(c),</w:t>
      </w:r>
    </w:p>
    <w:p>
      <w:pPr>
        <w:pStyle w:val="BodyText"/>
        <w:ind w:left="1919" w:right="414" w:firstLine="0"/>
      </w:pPr>
      <w:r>
        <w:rPr/>
        <w:t>will continue to be treated in accordance with the interim guidelines published under clause 11.116.6(a) for the purposes of Chapter 4A, Part E unless the liable entity elects to apply a firmness methodology set out in the Contracts and Firmness Guidelines made under clause 11.116.6(c).</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8 Grandfathering arrangements" w:id="3531"/>
      <w:bookmarkEnd w:id="3531"/>
      <w:r>
        <w:rPr>
          <w:b w:val="0"/>
        </w:rPr>
      </w:r>
      <w:bookmarkStart w:name="_bookmark1392" w:id="3532"/>
      <w:bookmarkEnd w:id="3532"/>
      <w:r>
        <w:rPr>
          <w:b w:val="0"/>
        </w:rPr>
      </w:r>
      <w:bookmarkStart w:name="_bookmark1392" w:id="3533"/>
      <w:bookmarkEnd w:id="3533"/>
      <w:r>
        <w:rPr/>
        <w:t>Grandfathering</w:t>
      </w:r>
      <w:r>
        <w:rPr>
          <w:spacing w:val="-2"/>
        </w:rPr>
        <w:t> </w:t>
      </w:r>
      <w:r>
        <w:rPr/>
        <w:t>arrangements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In this clause, a "licensed retailer" means a person who holds a retailer authorisation under the </w:t>
      </w:r>
      <w:r>
        <w:rPr>
          <w:i/>
          <w:sz w:val="24"/>
        </w:rPr>
        <w:t>NERL </w:t>
      </w:r>
      <w:r>
        <w:rPr>
          <w:sz w:val="24"/>
        </w:rPr>
        <w:t>or an electricity retail licence under </w:t>
      </w:r>
      <w:r>
        <w:rPr>
          <w:spacing w:val="-4"/>
          <w:sz w:val="24"/>
        </w:rPr>
        <w:t>the </w:t>
      </w:r>
      <w:r>
        <w:rPr>
          <w:i/>
          <w:sz w:val="24"/>
        </w:rPr>
        <w:t>Electricity Industry Act 2000</w:t>
      </w:r>
      <w:r>
        <w:rPr>
          <w:i/>
          <w:spacing w:val="-1"/>
          <w:sz w:val="24"/>
        </w:rPr>
        <w:t> </w:t>
      </w:r>
      <w:r>
        <w:rPr>
          <w:sz w:val="24"/>
        </w:rPr>
        <w:t>(Vic).</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8" w:val="left" w:leader="none"/>
          <w:tab w:pos="1919" w:val="left" w:leader="none"/>
        </w:tabs>
        <w:spacing w:line="240" w:lineRule="auto" w:before="83" w:after="0"/>
        <w:ind w:left="1918" w:right="0" w:hanging="567"/>
        <w:jc w:val="left"/>
        <w:rPr>
          <w:sz w:val="24"/>
        </w:rPr>
      </w:pPr>
      <w:r>
        <w:rPr>
          <w:sz w:val="24"/>
        </w:rPr>
        <w:t>This clause:</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applies to:</w:t>
      </w:r>
    </w:p>
    <w:p>
      <w:pPr>
        <w:pStyle w:val="ListParagraph"/>
        <w:numPr>
          <w:ilvl w:val="5"/>
          <w:numId w:val="850"/>
        </w:numPr>
        <w:tabs>
          <w:tab w:pos="3052" w:val="left" w:leader="none"/>
          <w:tab w:pos="3053" w:val="left" w:leader="none"/>
        </w:tabs>
        <w:spacing w:line="240" w:lineRule="auto" w:before="120" w:after="0"/>
        <w:ind w:left="3052" w:right="0" w:hanging="567"/>
        <w:jc w:val="left"/>
        <w:rPr>
          <w:sz w:val="24"/>
        </w:rPr>
      </w:pPr>
      <w:r>
        <w:rPr>
          <w:sz w:val="24"/>
        </w:rPr>
        <w:t>a Market Customer;</w:t>
      </w:r>
      <w:r>
        <w:rPr>
          <w:spacing w:val="-2"/>
          <w:sz w:val="24"/>
        </w:rPr>
        <w:t> </w:t>
      </w:r>
      <w:r>
        <w:rPr>
          <w:sz w:val="24"/>
        </w:rPr>
        <w:t>or</w:t>
      </w:r>
    </w:p>
    <w:p>
      <w:pPr>
        <w:pStyle w:val="ListParagraph"/>
        <w:numPr>
          <w:ilvl w:val="5"/>
          <w:numId w:val="850"/>
        </w:numPr>
        <w:tabs>
          <w:tab w:pos="3052" w:val="left" w:leader="none"/>
          <w:tab w:pos="3054" w:val="left" w:leader="none"/>
        </w:tabs>
        <w:spacing w:line="240" w:lineRule="auto" w:before="120" w:after="0"/>
        <w:ind w:left="3053" w:right="0" w:hanging="568"/>
        <w:jc w:val="left"/>
        <w:rPr>
          <w:sz w:val="24"/>
        </w:rPr>
      </w:pPr>
      <w:r>
        <w:rPr>
          <w:sz w:val="24"/>
        </w:rPr>
        <w:t>an opt-in</w:t>
      </w:r>
      <w:r>
        <w:rPr>
          <w:spacing w:val="-1"/>
          <w:sz w:val="24"/>
        </w:rPr>
        <w:t> </w:t>
      </w:r>
      <w:r>
        <w:rPr>
          <w:sz w:val="24"/>
        </w:rPr>
        <w:t>customer,</w:t>
      </w:r>
    </w:p>
    <w:p>
      <w:pPr>
        <w:spacing w:before="120"/>
        <w:ind w:left="2486" w:right="0" w:firstLine="0"/>
        <w:jc w:val="left"/>
        <w:rPr>
          <w:sz w:val="24"/>
        </w:rPr>
      </w:pPr>
      <w:r>
        <w:rPr>
          <w:sz w:val="24"/>
        </w:rPr>
        <w:t>who is not a licensed retailer ("</w:t>
      </w:r>
      <w:r>
        <w:rPr>
          <w:b/>
          <w:sz w:val="24"/>
        </w:rPr>
        <w:t>Transitional Customer</w:t>
      </w:r>
      <w:r>
        <w:rPr>
          <w:sz w:val="24"/>
        </w:rPr>
        <w:t>"); and</w:t>
      </w:r>
    </w:p>
    <w:p>
      <w:pPr>
        <w:pStyle w:val="ListParagraph"/>
        <w:numPr>
          <w:ilvl w:val="4"/>
          <w:numId w:val="850"/>
        </w:numPr>
        <w:tabs>
          <w:tab w:pos="2485" w:val="left" w:leader="none"/>
          <w:tab w:pos="2486" w:val="left" w:leader="none"/>
        </w:tabs>
        <w:spacing w:line="240" w:lineRule="auto" w:before="120" w:after="0"/>
        <w:ind w:left="2485" w:right="0" w:hanging="567"/>
        <w:jc w:val="left"/>
        <w:rPr>
          <w:i/>
          <w:sz w:val="24"/>
        </w:rPr>
      </w:pPr>
      <w:r>
        <w:rPr>
          <w:sz w:val="24"/>
        </w:rPr>
        <w:t>does</w:t>
      </w:r>
      <w:r>
        <w:rPr>
          <w:spacing w:val="23"/>
          <w:sz w:val="24"/>
        </w:rPr>
        <w:t> </w:t>
      </w:r>
      <w:r>
        <w:rPr>
          <w:sz w:val="24"/>
        </w:rPr>
        <w:t>not</w:t>
      </w:r>
      <w:r>
        <w:rPr>
          <w:spacing w:val="24"/>
          <w:sz w:val="24"/>
        </w:rPr>
        <w:t> </w:t>
      </w:r>
      <w:r>
        <w:rPr>
          <w:sz w:val="24"/>
        </w:rPr>
        <w:t>apply</w:t>
      </w:r>
      <w:r>
        <w:rPr>
          <w:spacing w:val="24"/>
          <w:sz w:val="24"/>
        </w:rPr>
        <w:t> </w:t>
      </w:r>
      <w:r>
        <w:rPr>
          <w:sz w:val="24"/>
        </w:rPr>
        <w:t>in</w:t>
      </w:r>
      <w:r>
        <w:rPr>
          <w:spacing w:val="24"/>
          <w:sz w:val="24"/>
        </w:rPr>
        <w:t> </w:t>
      </w:r>
      <w:r>
        <w:rPr>
          <w:sz w:val="24"/>
        </w:rPr>
        <w:t>relation</w:t>
      </w:r>
      <w:r>
        <w:rPr>
          <w:spacing w:val="24"/>
          <w:sz w:val="24"/>
        </w:rPr>
        <w:t> </w:t>
      </w:r>
      <w:r>
        <w:rPr>
          <w:sz w:val="24"/>
        </w:rPr>
        <w:t>to</w:t>
      </w:r>
      <w:r>
        <w:rPr>
          <w:spacing w:val="23"/>
          <w:sz w:val="24"/>
        </w:rPr>
        <w:t> </w:t>
      </w:r>
      <w:r>
        <w:rPr>
          <w:sz w:val="24"/>
        </w:rPr>
        <w:t>a</w:t>
      </w:r>
      <w:r>
        <w:rPr>
          <w:spacing w:val="24"/>
          <w:sz w:val="24"/>
        </w:rPr>
        <w:t> </w:t>
      </w:r>
      <w:r>
        <w:rPr>
          <w:sz w:val="24"/>
        </w:rPr>
        <w:t>liable</w:t>
      </w:r>
      <w:r>
        <w:rPr>
          <w:spacing w:val="24"/>
          <w:sz w:val="24"/>
        </w:rPr>
        <w:t> </w:t>
      </w:r>
      <w:r>
        <w:rPr>
          <w:sz w:val="24"/>
        </w:rPr>
        <w:t>entity's</w:t>
      </w:r>
      <w:r>
        <w:rPr>
          <w:spacing w:val="24"/>
          <w:sz w:val="24"/>
        </w:rPr>
        <w:t> </w:t>
      </w:r>
      <w:r>
        <w:rPr>
          <w:sz w:val="24"/>
        </w:rPr>
        <w:t>own</w:t>
      </w:r>
      <w:r>
        <w:rPr>
          <w:spacing w:val="24"/>
          <w:sz w:val="24"/>
        </w:rPr>
        <w:t> </w:t>
      </w:r>
      <w:r>
        <w:rPr>
          <w:i/>
          <w:sz w:val="24"/>
        </w:rPr>
        <w:t>generation</w:t>
      </w:r>
      <w:r>
        <w:rPr>
          <w:i/>
          <w:spacing w:val="24"/>
          <w:sz w:val="24"/>
        </w:rPr>
        <w:t> </w:t>
      </w:r>
      <w:r>
        <w:rPr>
          <w:sz w:val="24"/>
        </w:rPr>
        <w:t>or</w:t>
      </w:r>
      <w:r>
        <w:rPr>
          <w:spacing w:val="23"/>
          <w:sz w:val="24"/>
        </w:rPr>
        <w:t> </w:t>
      </w:r>
      <w:r>
        <w:rPr>
          <w:i/>
          <w:sz w:val="24"/>
        </w:rPr>
        <w:t>load</w:t>
      </w:r>
    </w:p>
    <w:p>
      <w:pPr>
        <w:pStyle w:val="BodyText"/>
        <w:spacing w:before="0"/>
        <w:ind w:left="2486" w:firstLine="0"/>
        <w:jc w:val="left"/>
      </w:pPr>
      <w:r>
        <w:rPr/>
        <w:t>curtailment.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If:</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a Transitional Customer is a party to a qualifying contract which reduces the Transitional Customer's exposure to the volatility of </w:t>
      </w:r>
      <w:r>
        <w:rPr>
          <w:spacing w:val="-4"/>
          <w:sz w:val="24"/>
        </w:rPr>
        <w:t>the</w:t>
      </w:r>
      <w:r>
        <w:rPr>
          <w:spacing w:val="52"/>
          <w:sz w:val="24"/>
        </w:rPr>
        <w:t> </w:t>
      </w:r>
      <w:r>
        <w:rPr>
          <w:i/>
          <w:sz w:val="24"/>
        </w:rPr>
        <w:t>spot price </w:t>
      </w:r>
      <w:r>
        <w:rPr>
          <w:sz w:val="24"/>
        </w:rPr>
        <w:t>in a relevant </w:t>
      </w:r>
      <w:r>
        <w:rPr>
          <w:i/>
          <w:sz w:val="24"/>
        </w:rPr>
        <w:t>region </w:t>
      </w:r>
      <w:r>
        <w:rPr>
          <w:sz w:val="24"/>
        </w:rPr>
        <w:t>during the gap trading intervals for the </w:t>
      </w:r>
      <w:r>
        <w:rPr>
          <w:i/>
          <w:sz w:val="24"/>
        </w:rPr>
        <w:t>load </w:t>
      </w:r>
      <w:r>
        <w:rPr>
          <w:sz w:val="24"/>
        </w:rPr>
        <w:t>for which it is a liable entity;</w:t>
      </w:r>
      <w:r>
        <w:rPr>
          <w:spacing w:val="-3"/>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that qualifying contract was in effect as at 10 August</w:t>
      </w:r>
      <w:r>
        <w:rPr>
          <w:spacing w:val="-5"/>
          <w:sz w:val="24"/>
        </w:rPr>
        <w:t> </w:t>
      </w:r>
      <w:r>
        <w:rPr>
          <w:sz w:val="24"/>
        </w:rPr>
        <w:t>2018,</w:t>
      </w:r>
    </w:p>
    <w:p>
      <w:pPr>
        <w:pStyle w:val="BodyText"/>
        <w:ind w:left="1919" w:right="415" w:firstLine="0"/>
      </w:pPr>
      <w:r>
        <w:rPr/>
        <w:t>("</w:t>
      </w:r>
      <w:r>
        <w:rPr>
          <w:b/>
        </w:rPr>
        <w:t>transitional contract</w:t>
      </w:r>
      <w:r>
        <w:rPr/>
        <w:t>") then for the purposes of clauses 4A.E.2 </w:t>
      </w:r>
      <w:r>
        <w:rPr>
          <w:spacing w:val="-4"/>
        </w:rPr>
        <w:t>and</w:t>
      </w:r>
      <w:r>
        <w:rPr>
          <w:spacing w:val="52"/>
        </w:rPr>
        <w:t> </w:t>
      </w:r>
      <w:r>
        <w:rPr/>
        <w:t>4A.E.3, that qualifying contract is taken to have a firmness factor of one.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For the purposes of paragraph (c), the following contracts are taken to be qualifying</w:t>
      </w:r>
      <w:r>
        <w:rPr>
          <w:spacing w:val="-1"/>
          <w:sz w:val="24"/>
        </w:rPr>
        <w:t> </w:t>
      </w:r>
      <w:r>
        <w:rPr>
          <w:sz w:val="24"/>
        </w:rPr>
        <w:t>contracts:</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an electricity retail supply agreement between the Transitional Customer and a licensed retailer for a </w:t>
      </w:r>
      <w:r>
        <w:rPr>
          <w:i/>
          <w:sz w:val="24"/>
        </w:rPr>
        <w:t>connection point </w:t>
      </w:r>
      <w:r>
        <w:rPr>
          <w:sz w:val="24"/>
        </w:rPr>
        <w:t>for which it is a liable entity;</w:t>
      </w:r>
      <w:r>
        <w:rPr>
          <w:spacing w:val="-1"/>
          <w:sz w:val="24"/>
        </w:rPr>
        <w:t> </w:t>
      </w:r>
      <w:r>
        <w:rPr>
          <w:sz w:val="24"/>
        </w:rPr>
        <w:t>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a contract for the supply of electricity in effect as at 13 December 1998 and that was also in effect as at 10 August 2018 under which a Transitional Customer is supplied electricity at a </w:t>
      </w:r>
      <w:r>
        <w:rPr>
          <w:i/>
          <w:sz w:val="24"/>
        </w:rPr>
        <w:t>connection</w:t>
      </w:r>
      <w:r>
        <w:rPr>
          <w:i/>
          <w:spacing w:val="35"/>
          <w:sz w:val="24"/>
        </w:rPr>
        <w:t> </w:t>
      </w:r>
      <w:r>
        <w:rPr>
          <w:i/>
          <w:sz w:val="24"/>
        </w:rPr>
        <w:t>point </w:t>
      </w:r>
      <w:r>
        <w:rPr>
          <w:sz w:val="24"/>
        </w:rPr>
        <w:t>("</w:t>
      </w:r>
      <w:r>
        <w:rPr>
          <w:b/>
          <w:sz w:val="24"/>
        </w:rPr>
        <w:t>pre-NEM transitional</w:t>
      </w:r>
      <w:r>
        <w:rPr>
          <w:b/>
          <w:spacing w:val="-2"/>
          <w:sz w:val="24"/>
        </w:rPr>
        <w:t> </w:t>
      </w:r>
      <w:r>
        <w:rPr>
          <w:b/>
          <w:sz w:val="24"/>
        </w:rPr>
        <w:t>contract</w:t>
      </w:r>
      <w:r>
        <w:rPr>
          <w:sz w:val="24"/>
        </w:rPr>
        <w:t>").</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Paragraph (c) applies</w:t>
      </w:r>
      <w:r>
        <w:rPr>
          <w:spacing w:val="-1"/>
          <w:sz w:val="24"/>
        </w:rPr>
        <w:t> </w:t>
      </w:r>
      <w:r>
        <w:rPr>
          <w:sz w:val="24"/>
        </w:rPr>
        <w:t>until:</w:t>
      </w:r>
    </w:p>
    <w:p>
      <w:pPr>
        <w:pStyle w:val="ListParagraph"/>
        <w:numPr>
          <w:ilvl w:val="4"/>
          <w:numId w:val="850"/>
        </w:numPr>
        <w:tabs>
          <w:tab w:pos="2486" w:val="left" w:leader="none"/>
        </w:tabs>
        <w:spacing w:line="240" w:lineRule="auto" w:before="120" w:after="0"/>
        <w:ind w:left="2486" w:right="414" w:hanging="567"/>
        <w:jc w:val="both"/>
        <w:rPr>
          <w:sz w:val="24"/>
        </w:rPr>
      </w:pPr>
      <w:r>
        <w:rPr>
          <w:sz w:val="24"/>
        </w:rPr>
        <w:t>the end of the term of the transitional contract specified in that transitional contract as at 10 August 2018, excluding any extension or renewal of such term even if the right to extend or renew existed as at 10 August 2018;</w:t>
      </w:r>
      <w:r>
        <w:rPr>
          <w:spacing w:val="-2"/>
          <w:sz w:val="24"/>
        </w:rPr>
        <w:t> </w:t>
      </w:r>
      <w:r>
        <w:rPr>
          <w:sz w:val="24"/>
        </w:rPr>
        <w:t>or</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if no term is specified, 1 July</w:t>
      </w:r>
      <w:r>
        <w:rPr>
          <w:spacing w:val="-2"/>
          <w:sz w:val="24"/>
        </w:rPr>
        <w:t> </w:t>
      </w:r>
      <w:r>
        <w:rPr>
          <w:sz w:val="24"/>
        </w:rPr>
        <w:t>2023.</w:t>
      </w:r>
    </w:p>
    <w:p>
      <w:pPr>
        <w:pStyle w:val="ListParagraph"/>
        <w:numPr>
          <w:ilvl w:val="3"/>
          <w:numId w:val="850"/>
        </w:numPr>
        <w:tabs>
          <w:tab w:pos="1920" w:val="left" w:leader="none"/>
        </w:tabs>
        <w:spacing w:line="240" w:lineRule="auto" w:before="120" w:after="0"/>
        <w:ind w:left="1919" w:right="415" w:hanging="567"/>
        <w:jc w:val="both"/>
        <w:rPr>
          <w:sz w:val="24"/>
        </w:rPr>
      </w:pPr>
      <w:r>
        <w:rPr>
          <w:sz w:val="24"/>
        </w:rPr>
        <w:t>If subparagraph (e)(2) applies to a pre-NEM transitional contract, then that contract will continue to be taken to be a qualifying contract but, on and from 1 July 2023, the firmness factor for that qualifying contract will no longer taken to be one and must be determined in accordance with Chapter 4A Part</w:t>
      </w:r>
      <w:r>
        <w:rPr>
          <w:spacing w:val="-2"/>
          <w:sz w:val="24"/>
        </w:rPr>
        <w:t> </w:t>
      </w:r>
      <w:r>
        <w:rPr>
          <w:sz w:val="24"/>
        </w:rPr>
        <w:t>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9 Reliability Compliance Procedur" w:id="3534"/>
      <w:bookmarkEnd w:id="3534"/>
      <w:r>
        <w:rPr>
          <w:b w:val="0"/>
        </w:rPr>
      </w:r>
      <w:bookmarkStart w:name="_bookmark1393" w:id="3535"/>
      <w:bookmarkEnd w:id="3535"/>
      <w:r>
        <w:rPr>
          <w:b w:val="0"/>
        </w:rPr>
      </w:r>
      <w:bookmarkStart w:name="_bookmark1393" w:id="3536"/>
      <w:bookmarkEnd w:id="3536"/>
      <w:r>
        <w:rPr/>
        <w:t>Reliabili</w:t>
      </w:r>
      <w:r>
        <w:rPr/>
        <w:t>ty Compliance Procedures and</w:t>
      </w:r>
      <w:r>
        <w:rPr>
          <w:spacing w:val="-4"/>
        </w:rPr>
        <w:t> </w:t>
      </w:r>
      <w:r>
        <w:rPr/>
        <w:t>Guidelines</w:t>
      </w:r>
    </w:p>
    <w:p>
      <w:pPr>
        <w:pStyle w:val="BodyText"/>
        <w:ind w:left="1352" w:right="415" w:firstLine="0"/>
        <w:jc w:val="left"/>
      </w:pPr>
      <w:r>
        <w:rPr/>
        <w:t>The </w:t>
      </w:r>
      <w:r>
        <w:rPr>
          <w:i/>
        </w:rPr>
        <w:t>AER </w:t>
      </w:r>
      <w:r>
        <w:rPr/>
        <w:t>must make and </w:t>
      </w:r>
      <w:r>
        <w:rPr>
          <w:i/>
        </w:rPr>
        <w:t>publish </w:t>
      </w:r>
      <w:r>
        <w:rPr/>
        <w:t>the Reliability Compliance Procedures and Guidelines by 31 December 2020.</w:t>
      </w:r>
    </w:p>
    <w:p>
      <w:pPr>
        <w:spacing w:after="0"/>
        <w:jc w:val="left"/>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16.10 MLO Guidelines" w:id="3537"/>
      <w:bookmarkEnd w:id="3537"/>
      <w:r>
        <w:rPr>
          <w:b w:val="0"/>
        </w:rPr>
      </w:r>
      <w:bookmarkStart w:name="_bookmark1394" w:id="3538"/>
      <w:bookmarkEnd w:id="3538"/>
      <w:r>
        <w:rPr>
          <w:b w:val="0"/>
        </w:rPr>
      </w:r>
      <w:bookmarkStart w:name="_bookmark1394" w:id="3539"/>
      <w:bookmarkEnd w:id="3539"/>
      <w:r>
        <w:rPr/>
        <w:t>MLO</w:t>
      </w:r>
      <w:r>
        <w:rPr>
          <w:spacing w:val="-1"/>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make and </w:t>
      </w:r>
      <w:r>
        <w:rPr>
          <w:i/>
          <w:sz w:val="24"/>
        </w:rPr>
        <w:t>publish </w:t>
      </w:r>
      <w:r>
        <w:rPr>
          <w:sz w:val="24"/>
        </w:rPr>
        <w:t>interim MLO Guidelines by 31 August 2019 to apply until the MLO Guidelines are made and </w:t>
      </w:r>
      <w:r>
        <w:rPr>
          <w:i/>
          <w:sz w:val="24"/>
        </w:rPr>
        <w:t>published </w:t>
      </w:r>
      <w:r>
        <w:rPr>
          <w:sz w:val="24"/>
        </w:rPr>
        <w:t>under paragraph (d).</w:t>
      </w:r>
    </w:p>
    <w:p>
      <w:pPr>
        <w:pStyle w:val="ListParagraph"/>
        <w:numPr>
          <w:ilvl w:val="3"/>
          <w:numId w:val="850"/>
        </w:numPr>
        <w:tabs>
          <w:tab w:pos="1919" w:val="left" w:leader="none"/>
        </w:tabs>
        <w:spacing w:line="240" w:lineRule="auto" w:before="120" w:after="0"/>
        <w:ind w:left="1918" w:right="0" w:hanging="567"/>
        <w:jc w:val="both"/>
        <w:rPr>
          <w:i/>
          <w:sz w:val="24"/>
        </w:rPr>
      </w:pPr>
      <w:r>
        <w:rPr>
          <w:sz w:val="24"/>
        </w:rPr>
        <w:t>The</w:t>
      </w:r>
      <w:r>
        <w:rPr>
          <w:spacing w:val="17"/>
          <w:sz w:val="24"/>
        </w:rPr>
        <w:t> </w:t>
      </w:r>
      <w:r>
        <w:rPr>
          <w:i/>
          <w:sz w:val="24"/>
        </w:rPr>
        <w:t>AER</w:t>
      </w:r>
      <w:r>
        <w:rPr>
          <w:i/>
          <w:spacing w:val="17"/>
          <w:sz w:val="24"/>
        </w:rPr>
        <w:t> </w:t>
      </w:r>
      <w:r>
        <w:rPr>
          <w:sz w:val="24"/>
        </w:rPr>
        <w:t>is</w:t>
      </w:r>
      <w:r>
        <w:rPr>
          <w:spacing w:val="18"/>
          <w:sz w:val="24"/>
        </w:rPr>
        <w:t> </w:t>
      </w:r>
      <w:r>
        <w:rPr>
          <w:sz w:val="24"/>
        </w:rPr>
        <w:t>not</w:t>
      </w:r>
      <w:r>
        <w:rPr>
          <w:spacing w:val="17"/>
          <w:sz w:val="24"/>
        </w:rPr>
        <w:t> </w:t>
      </w:r>
      <w:r>
        <w:rPr>
          <w:sz w:val="24"/>
        </w:rPr>
        <w:t>required</w:t>
      </w:r>
      <w:r>
        <w:rPr>
          <w:spacing w:val="17"/>
          <w:sz w:val="24"/>
        </w:rPr>
        <w:t> </w:t>
      </w:r>
      <w:r>
        <w:rPr>
          <w:sz w:val="24"/>
        </w:rPr>
        <w:t>to</w:t>
      </w:r>
      <w:r>
        <w:rPr>
          <w:spacing w:val="18"/>
          <w:sz w:val="24"/>
        </w:rPr>
        <w:t> </w:t>
      </w:r>
      <w:r>
        <w:rPr>
          <w:sz w:val="24"/>
        </w:rPr>
        <w:t>comply</w:t>
      </w:r>
      <w:r>
        <w:rPr>
          <w:spacing w:val="17"/>
          <w:sz w:val="24"/>
        </w:rPr>
        <w:t> </w:t>
      </w:r>
      <w:r>
        <w:rPr>
          <w:sz w:val="24"/>
        </w:rPr>
        <w:t>with</w:t>
      </w:r>
      <w:r>
        <w:rPr>
          <w:spacing w:val="17"/>
          <w:sz w:val="24"/>
        </w:rPr>
        <w:t> </w:t>
      </w:r>
      <w:r>
        <w:rPr>
          <w:sz w:val="24"/>
        </w:rPr>
        <w:t>the</w:t>
      </w:r>
      <w:r>
        <w:rPr>
          <w:spacing w:val="18"/>
          <w:sz w:val="24"/>
        </w:rPr>
        <w:t> </w:t>
      </w:r>
      <w:r>
        <w:rPr>
          <w:i/>
          <w:sz w:val="24"/>
        </w:rPr>
        <w:t>Rules</w:t>
      </w:r>
      <w:r>
        <w:rPr>
          <w:i/>
          <w:spacing w:val="17"/>
          <w:sz w:val="24"/>
        </w:rPr>
        <w:t> </w:t>
      </w:r>
      <w:r>
        <w:rPr>
          <w:i/>
          <w:sz w:val="24"/>
        </w:rPr>
        <w:t>consultation</w:t>
      </w:r>
      <w:r>
        <w:rPr>
          <w:i/>
          <w:spacing w:val="17"/>
          <w:sz w:val="24"/>
        </w:rPr>
        <w:t> </w:t>
      </w:r>
      <w:r>
        <w:rPr>
          <w:i/>
          <w:sz w:val="24"/>
        </w:rPr>
        <w:t>procedures</w:t>
      </w:r>
    </w:p>
    <w:p>
      <w:pPr>
        <w:pStyle w:val="BodyText"/>
        <w:spacing w:before="0"/>
        <w:ind w:left="1919" w:firstLine="0"/>
      </w:pPr>
      <w:r>
        <w:rPr/>
        <w:t>when making the interim guidelines under paragraph (a).</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interim MLO Guidelines must include those matters referred to in clauses 4A.G.25(b)(6) – (10) (inclusive) but without limitation to any other matters the </w:t>
      </w:r>
      <w:r>
        <w:rPr>
          <w:i/>
          <w:sz w:val="24"/>
        </w:rPr>
        <w:t>AER </w:t>
      </w:r>
      <w:r>
        <w:rPr>
          <w:sz w:val="24"/>
        </w:rPr>
        <w:t>considers</w:t>
      </w:r>
      <w:r>
        <w:rPr>
          <w:spacing w:val="-1"/>
          <w:sz w:val="24"/>
        </w:rPr>
        <w:t> </w:t>
      </w:r>
      <w:r>
        <w:rPr>
          <w:sz w:val="24"/>
        </w:rPr>
        <w:t>appropriate.</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make and </w:t>
      </w:r>
      <w:r>
        <w:rPr>
          <w:i/>
          <w:sz w:val="24"/>
        </w:rPr>
        <w:t>publish </w:t>
      </w:r>
      <w:r>
        <w:rPr>
          <w:sz w:val="24"/>
        </w:rPr>
        <w:t>MLO Guidelines under clause 4A.G.25 by 31 December 2020 and in so doing must comply with the </w:t>
      </w:r>
      <w:r>
        <w:rPr>
          <w:i/>
          <w:sz w:val="24"/>
        </w:rPr>
        <w:t>Rules consultation </w:t>
      </w:r>
      <w:r>
        <w:rPr>
          <w:i/>
          <w:sz w:val="24"/>
        </w:rPr>
        <w:t>procedures</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1 Application of Part G, Divisio" w:id="3540"/>
      <w:bookmarkEnd w:id="3540"/>
      <w:r>
        <w:rPr>
          <w:b w:val="0"/>
        </w:rPr>
      </w:r>
      <w:bookmarkStart w:name="_bookmark1395" w:id="3541"/>
      <w:bookmarkEnd w:id="3541"/>
      <w:r>
        <w:rPr>
          <w:b w:val="0"/>
        </w:rPr>
      </w:r>
      <w:bookmarkStart w:name="_bookmark1395" w:id="3542"/>
      <w:bookmarkEnd w:id="3542"/>
      <w:r>
        <w:rPr/>
        <w:t>Applicatio</w:t>
      </w:r>
      <w:r>
        <w:rPr/>
        <w:t>n of Part G, Divisions 2 – 6</w:t>
      </w:r>
      <w:r>
        <w:rPr>
          <w:spacing w:val="-6"/>
        </w:rPr>
        <w:t> </w:t>
      </w:r>
      <w:r>
        <w:rPr/>
        <w:t>(inclusive)</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Clauses 4A.G.3 to 4A.G.14 (inclusive) commence on and from 1 July</w:t>
      </w:r>
      <w:r>
        <w:rPr>
          <w:spacing w:val="-5"/>
          <w:sz w:val="24"/>
        </w:rPr>
        <w:t> </w:t>
      </w:r>
      <w:r>
        <w:rPr>
          <w:sz w:val="24"/>
        </w:rPr>
        <w:t>2021.</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To the extent a liquidity period occurs during the period on and from the commencement date to 30 June 2021, the following clauses apply subject to paragraph (c):</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4A.G.15 ('Notices prior to liquidity</w:t>
      </w:r>
      <w:r>
        <w:rPr>
          <w:spacing w:val="-1"/>
          <w:sz w:val="24"/>
        </w:rPr>
        <w:t> </w:t>
      </w:r>
      <w:r>
        <w:rPr>
          <w:sz w:val="24"/>
        </w:rPr>
        <w:t>period');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4A.G.16 ('Duration of liquidity</w:t>
      </w:r>
      <w:r>
        <w:rPr>
          <w:spacing w:val="-1"/>
          <w:sz w:val="24"/>
        </w:rPr>
        <w:t> </w:t>
      </w:r>
      <w:r>
        <w:rPr>
          <w:sz w:val="24"/>
        </w:rPr>
        <w:t>period');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4A.G.17 ('Liquidity</w:t>
      </w:r>
      <w:r>
        <w:rPr>
          <w:spacing w:val="-1"/>
          <w:sz w:val="24"/>
        </w:rPr>
        <w:t> </w:t>
      </w:r>
      <w:r>
        <w:rPr>
          <w:sz w:val="24"/>
        </w:rPr>
        <w:t>obligation');</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4A.G.18 ('Performing a liquidity</w:t>
      </w:r>
      <w:r>
        <w:rPr>
          <w:spacing w:val="-2"/>
          <w:sz w:val="24"/>
        </w:rPr>
        <w:t> </w:t>
      </w:r>
      <w:r>
        <w:rPr>
          <w:sz w:val="24"/>
        </w:rPr>
        <w:t>obligation');</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4A.G.19 ('Volume</w:t>
      </w:r>
      <w:r>
        <w:rPr>
          <w:spacing w:val="-1"/>
          <w:sz w:val="24"/>
        </w:rPr>
        <w:t> </w:t>
      </w:r>
      <w:r>
        <w:rPr>
          <w:sz w:val="24"/>
        </w:rPr>
        <w:t>limits');</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4A.G.20 ('Appointment of MLO</w:t>
      </w:r>
      <w:r>
        <w:rPr>
          <w:spacing w:val="-3"/>
          <w:sz w:val="24"/>
        </w:rPr>
        <w:t> </w:t>
      </w:r>
      <w:r>
        <w:rPr>
          <w:sz w:val="24"/>
        </w:rPr>
        <w:t>nominee');</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4A.G.21</w:t>
      </w:r>
      <w:r>
        <w:rPr>
          <w:spacing w:val="-1"/>
          <w:sz w:val="24"/>
        </w:rPr>
        <w:t> </w:t>
      </w:r>
      <w:r>
        <w:rPr>
          <w:sz w:val="24"/>
        </w:rPr>
        <w:t>('Exemptions');</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4A.G.22 ('MLO</w:t>
      </w:r>
      <w:r>
        <w:rPr>
          <w:spacing w:val="-2"/>
          <w:sz w:val="24"/>
        </w:rPr>
        <w:t> </w:t>
      </w:r>
      <w:r>
        <w:rPr>
          <w:sz w:val="24"/>
        </w:rPr>
        <w:t>products');</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clause 4A.G.23 ('MLO exchange');</w:t>
      </w:r>
      <w:r>
        <w:rPr>
          <w:spacing w:val="-2"/>
          <w:sz w:val="24"/>
        </w:rPr>
        <w:t> </w:t>
      </w:r>
      <w:r>
        <w:rPr>
          <w:sz w:val="24"/>
        </w:rPr>
        <w:t>and</w:t>
      </w:r>
    </w:p>
    <w:p>
      <w:pPr>
        <w:pStyle w:val="ListParagraph"/>
        <w:numPr>
          <w:ilvl w:val="4"/>
          <w:numId w:val="850"/>
        </w:numPr>
        <w:tabs>
          <w:tab w:pos="2486" w:val="left" w:leader="none"/>
        </w:tabs>
        <w:spacing w:line="240" w:lineRule="auto" w:before="120" w:after="0"/>
        <w:ind w:left="2485" w:right="0" w:hanging="567"/>
        <w:jc w:val="left"/>
        <w:rPr>
          <w:sz w:val="24"/>
        </w:rPr>
      </w:pPr>
      <w:r>
        <w:rPr>
          <w:sz w:val="24"/>
        </w:rPr>
        <w:t>clause 4A.G.24 ('MLO compliance and</w:t>
      </w:r>
      <w:r>
        <w:rPr>
          <w:spacing w:val="-2"/>
          <w:sz w:val="24"/>
        </w:rPr>
        <w:t> </w:t>
      </w:r>
      <w:r>
        <w:rPr>
          <w:sz w:val="24"/>
        </w:rPr>
        <w:t>reporting').</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To the extent a liquidity period occurs during the period on and from the commencement date to 30 June 2021, each of the following terms has the meaning given in (and is to be construed in accordance with) clause 11.116.12:</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MLO</w:t>
      </w:r>
      <w:r>
        <w:rPr>
          <w:spacing w:val="-1"/>
          <w:sz w:val="24"/>
        </w:rPr>
        <w:t> </w:t>
      </w:r>
      <w:r>
        <w:rPr>
          <w:sz w:val="24"/>
        </w:rPr>
        <w:t>generator;</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MLO group;</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generator</w:t>
      </w:r>
      <w:r>
        <w:rPr>
          <w:spacing w:val="-1"/>
          <w:sz w:val="24"/>
        </w:rPr>
        <w:t> </w:t>
      </w:r>
      <w:r>
        <w:rPr>
          <w:sz w:val="24"/>
        </w:rPr>
        <w:t>capacity;</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traced capacity;</w:t>
      </w:r>
      <w:r>
        <w:rPr>
          <w:spacing w:val="-1"/>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trading group</w:t>
      </w:r>
      <w:r>
        <w:rPr>
          <w:spacing w:val="-1"/>
          <w:sz w:val="24"/>
        </w:rPr>
        <w:t> </w:t>
      </w:r>
      <w:r>
        <w:rPr>
          <w:sz w:val="24"/>
        </w:rPr>
        <w:t>capacity.</w:t>
      </w:r>
    </w:p>
    <w:p>
      <w:pPr>
        <w:pStyle w:val="ListParagraph"/>
        <w:numPr>
          <w:ilvl w:val="3"/>
          <w:numId w:val="850"/>
        </w:numPr>
        <w:tabs>
          <w:tab w:pos="1918" w:val="left" w:leader="none"/>
          <w:tab w:pos="1919" w:val="left" w:leader="none"/>
        </w:tabs>
        <w:spacing w:line="240" w:lineRule="auto" w:before="120" w:after="0"/>
        <w:ind w:left="1919" w:right="416" w:hanging="567"/>
        <w:jc w:val="left"/>
        <w:rPr>
          <w:sz w:val="24"/>
        </w:rPr>
      </w:pPr>
      <w:r>
        <w:rPr>
          <w:sz w:val="24"/>
        </w:rPr>
        <w:t>Clause 4A.G.16(d)(3) does not apply until a MLO register is </w:t>
      </w:r>
      <w:r>
        <w:rPr>
          <w:i/>
          <w:sz w:val="24"/>
        </w:rPr>
        <w:t>published </w:t>
      </w:r>
      <w:r>
        <w:rPr>
          <w:sz w:val="24"/>
        </w:rPr>
        <w:t>by the </w:t>
      </w:r>
      <w:r>
        <w:rPr>
          <w:i/>
          <w:sz w:val="24"/>
        </w:rPr>
        <w:t>AER</w:t>
      </w:r>
      <w:r>
        <w:rPr>
          <w:sz w:val="24"/>
        </w:rPr>
        <w:t>.</w:t>
      </w:r>
    </w:p>
    <w:p>
      <w:pPr>
        <w:spacing w:after="0" w:line="240" w:lineRule="auto"/>
        <w:jc w:val="left"/>
        <w:rPr>
          <w:sz w:val="24"/>
        </w:rPr>
        <w:sectPr>
          <w:pgSz w:w="11910" w:h="16840"/>
          <w:pgMar w:header="686" w:footer="637" w:top="1320" w:bottom="820" w:left="1200" w:right="1000"/>
        </w:sectPr>
      </w:pPr>
    </w:p>
    <w:p>
      <w:pPr>
        <w:pStyle w:val="Heading4"/>
        <w:numPr>
          <w:ilvl w:val="2"/>
          <w:numId w:val="850"/>
        </w:numPr>
        <w:tabs>
          <w:tab w:pos="1352" w:val="left" w:leader="none"/>
        </w:tabs>
        <w:spacing w:line="240" w:lineRule="auto" w:before="83" w:after="0"/>
        <w:ind w:left="1351" w:right="0" w:hanging="1134"/>
        <w:jc w:val="left"/>
      </w:pPr>
      <w:bookmarkStart w:name="11.116.12 Interim deeming of MLO generat" w:id="3543"/>
      <w:bookmarkEnd w:id="3543"/>
      <w:r>
        <w:rPr>
          <w:b w:val="0"/>
        </w:rPr>
      </w:r>
      <w:bookmarkStart w:name="_bookmark1396" w:id="3544"/>
      <w:bookmarkEnd w:id="3544"/>
      <w:r>
        <w:rPr>
          <w:b w:val="0"/>
        </w:rPr>
      </w:r>
      <w:bookmarkStart w:name="_bookmark1396" w:id="3545"/>
      <w:bookmarkEnd w:id="3545"/>
      <w:r>
        <w:rPr/>
        <w:t>Interim</w:t>
      </w:r>
      <w:r>
        <w:rPr/>
        <w:t> deeming of MLO generators and MLO</w:t>
      </w:r>
      <w:r>
        <w:rPr>
          <w:spacing w:val="-4"/>
        </w:rPr>
        <w:t> </w:t>
      </w:r>
      <w:r>
        <w:rPr/>
        <w:t>groups</w:t>
      </w:r>
    </w:p>
    <w:p>
      <w:pPr>
        <w:pStyle w:val="BodyText"/>
        <w:ind w:left="1352" w:right="416" w:firstLine="0"/>
      </w:pPr>
      <w:r>
        <w:rPr/>
        <w:t>For the purposes of Part G, the following will apply during the period on and from the commencement date until 30 June 2021:</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MLO generator means, for a </w:t>
      </w:r>
      <w:r>
        <w:rPr>
          <w:i/>
          <w:sz w:val="24"/>
        </w:rPr>
        <w:t>region</w:t>
      </w:r>
      <w:r>
        <w:rPr>
          <w:sz w:val="24"/>
        </w:rPr>
        <w:t>, each </w:t>
      </w:r>
      <w:r>
        <w:rPr>
          <w:i/>
          <w:sz w:val="24"/>
        </w:rPr>
        <w:t>Market Generator </w:t>
      </w:r>
      <w:r>
        <w:rPr>
          <w:sz w:val="24"/>
        </w:rPr>
        <w:t>listed under the column "MLO generator" in the relevant table below and comprises each </w:t>
      </w:r>
      <w:r>
        <w:rPr>
          <w:i/>
          <w:sz w:val="24"/>
        </w:rPr>
        <w:t>scheduled generating unit </w:t>
      </w:r>
      <w:r>
        <w:rPr>
          <w:sz w:val="24"/>
        </w:rPr>
        <w:t>listed next to the </w:t>
      </w:r>
      <w:r>
        <w:rPr>
          <w:i/>
          <w:sz w:val="24"/>
        </w:rPr>
        <w:t>Market</w:t>
      </w:r>
      <w:r>
        <w:rPr>
          <w:i/>
          <w:spacing w:val="-7"/>
          <w:sz w:val="24"/>
        </w:rPr>
        <w:t> </w:t>
      </w:r>
      <w:r>
        <w:rPr>
          <w:i/>
          <w:sz w:val="24"/>
        </w:rPr>
        <w:t>Generator</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MLO group means, for a </w:t>
      </w:r>
      <w:r>
        <w:rPr>
          <w:i/>
          <w:sz w:val="24"/>
        </w:rPr>
        <w:t>region</w:t>
      </w:r>
      <w:r>
        <w:rPr>
          <w:sz w:val="24"/>
        </w:rPr>
        <w:t>, each MLO group listed under the column "MLO group" in the relevant table below and</w:t>
      </w:r>
      <w:r>
        <w:rPr>
          <w:spacing w:val="-3"/>
          <w:sz w:val="24"/>
        </w:rPr>
        <w:t> </w:t>
      </w:r>
      <w:r>
        <w:rPr>
          <w:sz w:val="24"/>
        </w:rPr>
        <w:t>comprises:</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each MLO generator listed next to that MLO group in the relevant table;</w:t>
      </w:r>
      <w:r>
        <w:rPr>
          <w:spacing w:val="-1"/>
          <w:sz w:val="24"/>
        </w:rPr>
        <w:t> </w:t>
      </w:r>
      <w:r>
        <w:rPr>
          <w:sz w:val="24"/>
        </w:rPr>
        <w:t>and</w:t>
      </w:r>
    </w:p>
    <w:p>
      <w:pPr>
        <w:pStyle w:val="ListParagraph"/>
        <w:numPr>
          <w:ilvl w:val="4"/>
          <w:numId w:val="850"/>
        </w:numPr>
        <w:tabs>
          <w:tab w:pos="2486" w:val="left" w:leader="none"/>
        </w:tabs>
        <w:spacing w:line="240" w:lineRule="auto" w:before="120" w:after="0"/>
        <w:ind w:left="2486" w:right="416" w:hanging="567"/>
        <w:jc w:val="both"/>
        <w:rPr>
          <w:sz w:val="24"/>
        </w:rPr>
      </w:pPr>
      <w:r>
        <w:rPr>
          <w:sz w:val="24"/>
        </w:rPr>
        <w:t>each </w:t>
      </w:r>
      <w:r>
        <w:rPr>
          <w:i/>
          <w:sz w:val="24"/>
        </w:rPr>
        <w:t>scheduled generating unit </w:t>
      </w:r>
      <w:r>
        <w:rPr>
          <w:sz w:val="24"/>
        </w:rPr>
        <w:t>listed next to the MLO generator described in subparagraph</w:t>
      </w:r>
      <w:r>
        <w:rPr>
          <w:spacing w:val="-1"/>
          <w:sz w:val="24"/>
        </w:rPr>
        <w:t> </w:t>
      </w:r>
      <w:r>
        <w:rPr>
          <w:sz w:val="24"/>
        </w:rPr>
        <w:t>(1).</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Generator capacity means, for each MLO generator for a </w:t>
      </w:r>
      <w:r>
        <w:rPr>
          <w:i/>
          <w:sz w:val="24"/>
        </w:rPr>
        <w:t>region</w:t>
      </w:r>
      <w:r>
        <w:rPr>
          <w:sz w:val="24"/>
        </w:rPr>
        <w:t>, the registered capacity in the column "Registered capacity" in the relevant table below next to the relevant </w:t>
      </w:r>
      <w:r>
        <w:rPr>
          <w:i/>
          <w:sz w:val="24"/>
        </w:rPr>
        <w:t>scheduled generating</w:t>
      </w:r>
      <w:r>
        <w:rPr>
          <w:i/>
          <w:spacing w:val="-3"/>
          <w:sz w:val="24"/>
        </w:rPr>
        <w:t> </w:t>
      </w:r>
      <w:r>
        <w:rPr>
          <w:i/>
          <w:sz w:val="24"/>
        </w:rPr>
        <w:t>unit</w:t>
      </w:r>
      <w:r>
        <w:rPr>
          <w:sz w:val="24"/>
        </w:rPr>
        <w:t>.</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Each MLO generator, for a </w:t>
      </w:r>
      <w:r>
        <w:rPr>
          <w:i/>
          <w:sz w:val="24"/>
        </w:rPr>
        <w:t>region</w:t>
      </w:r>
      <w:r>
        <w:rPr>
          <w:sz w:val="24"/>
        </w:rPr>
        <w:t>, is taken to have a single parcel of traced capacity equal to the sum of its generator capacities in that</w:t>
      </w:r>
      <w:r>
        <w:rPr>
          <w:spacing w:val="-5"/>
          <w:sz w:val="24"/>
        </w:rPr>
        <w:t> </w:t>
      </w:r>
      <w:r>
        <w:rPr>
          <w:i/>
          <w:sz w:val="24"/>
        </w:rPr>
        <w:t>region</w:t>
      </w:r>
      <w:r>
        <w:rPr>
          <w:sz w:val="24"/>
        </w:rPr>
        <w:t>.</w:t>
      </w:r>
    </w:p>
    <w:p>
      <w:pPr>
        <w:pStyle w:val="ListParagraph"/>
        <w:numPr>
          <w:ilvl w:val="3"/>
          <w:numId w:val="850"/>
        </w:numPr>
        <w:tabs>
          <w:tab w:pos="1919" w:val="left" w:leader="none"/>
        </w:tabs>
        <w:spacing w:line="240" w:lineRule="auto" w:before="120" w:after="0"/>
        <w:ind w:left="1919" w:right="416" w:hanging="567"/>
        <w:jc w:val="both"/>
        <w:rPr>
          <w:sz w:val="24"/>
        </w:rPr>
      </w:pPr>
      <w:r>
        <w:rPr>
          <w:sz w:val="24"/>
        </w:rPr>
        <w:t>In respect of each MLO generator for a </w:t>
      </w:r>
      <w:r>
        <w:rPr>
          <w:i/>
          <w:sz w:val="24"/>
        </w:rPr>
        <w:t>region</w:t>
      </w:r>
      <w:r>
        <w:rPr>
          <w:sz w:val="24"/>
        </w:rPr>
        <w:t>, each parcel of traced capacity is taken to be allocated to its MLO</w:t>
      </w:r>
      <w:r>
        <w:rPr>
          <w:spacing w:val="-2"/>
          <w:sz w:val="24"/>
        </w:rPr>
        <w:t> </w:t>
      </w:r>
      <w:r>
        <w:rPr>
          <w:sz w:val="24"/>
        </w:rPr>
        <w:t>group.</w:t>
      </w:r>
    </w:p>
    <w:p>
      <w:pPr>
        <w:pStyle w:val="ListParagraph"/>
        <w:numPr>
          <w:ilvl w:val="3"/>
          <w:numId w:val="850"/>
        </w:numPr>
        <w:tabs>
          <w:tab w:pos="1920" w:val="left" w:leader="none"/>
        </w:tabs>
        <w:spacing w:line="240" w:lineRule="auto" w:before="120" w:after="0"/>
        <w:ind w:left="1919" w:right="415" w:hanging="567"/>
        <w:jc w:val="both"/>
        <w:rPr>
          <w:sz w:val="24"/>
        </w:rPr>
      </w:pPr>
      <w:r>
        <w:rPr>
          <w:sz w:val="24"/>
        </w:rPr>
        <w:t>In respect of a MLO group, for a </w:t>
      </w:r>
      <w:r>
        <w:rPr>
          <w:i/>
          <w:sz w:val="24"/>
        </w:rPr>
        <w:t>region</w:t>
      </w:r>
      <w:r>
        <w:rPr>
          <w:sz w:val="24"/>
        </w:rPr>
        <w:t>, at any time in a liquidity period, trading group capacity means, the aggregate generator capacity of each MLO generator which is taken to form part of that MLO</w:t>
      </w:r>
      <w:r>
        <w:rPr>
          <w:spacing w:val="-6"/>
          <w:sz w:val="24"/>
        </w:rPr>
        <w:t> </w:t>
      </w:r>
      <w:r>
        <w:rPr>
          <w:sz w:val="24"/>
        </w:rPr>
        <w:t>group:</w:t>
      </w:r>
    </w:p>
    <w:p>
      <w:pPr>
        <w:pStyle w:val="ListParagraph"/>
        <w:numPr>
          <w:ilvl w:val="4"/>
          <w:numId w:val="850"/>
        </w:numPr>
        <w:tabs>
          <w:tab w:pos="2486" w:val="left" w:leader="none"/>
        </w:tabs>
        <w:spacing w:line="240" w:lineRule="auto" w:before="120" w:after="0"/>
        <w:ind w:left="2485" w:right="0" w:hanging="567"/>
        <w:jc w:val="both"/>
        <w:rPr>
          <w:sz w:val="24"/>
        </w:rPr>
      </w:pPr>
      <w:r>
        <w:rPr>
          <w:sz w:val="24"/>
        </w:rPr>
        <w:t>less the registered capacity of any </w:t>
      </w:r>
      <w:r>
        <w:rPr>
          <w:i/>
          <w:sz w:val="24"/>
        </w:rPr>
        <w:t>scheduled generating</w:t>
      </w:r>
      <w:r>
        <w:rPr>
          <w:i/>
          <w:spacing w:val="-3"/>
          <w:sz w:val="24"/>
        </w:rPr>
        <w:t> </w:t>
      </w:r>
      <w:r>
        <w:rPr>
          <w:i/>
          <w:sz w:val="24"/>
        </w:rPr>
        <w:t>unit</w:t>
      </w:r>
      <w:r>
        <w:rPr>
          <w:sz w:val="24"/>
        </w:rPr>
        <w:t>:</w:t>
      </w:r>
    </w:p>
    <w:p>
      <w:pPr>
        <w:pStyle w:val="ListParagraph"/>
        <w:numPr>
          <w:ilvl w:val="5"/>
          <w:numId w:val="850"/>
        </w:numPr>
        <w:tabs>
          <w:tab w:pos="3053" w:val="left" w:leader="none"/>
        </w:tabs>
        <w:spacing w:line="240" w:lineRule="auto" w:before="120" w:after="0"/>
        <w:ind w:left="3052" w:right="0" w:hanging="567"/>
        <w:jc w:val="both"/>
        <w:rPr>
          <w:sz w:val="24"/>
        </w:rPr>
      </w:pPr>
      <w:r>
        <w:rPr>
          <w:sz w:val="24"/>
        </w:rPr>
        <w:t>that is taken to form part of that MLO group;</w:t>
      </w:r>
      <w:r>
        <w:rPr>
          <w:spacing w:val="-4"/>
          <w:sz w:val="24"/>
        </w:rPr>
        <w:t> </w:t>
      </w:r>
      <w:r>
        <w:rPr>
          <w:sz w:val="24"/>
        </w:rPr>
        <w:t>and</w:t>
      </w:r>
    </w:p>
    <w:p>
      <w:pPr>
        <w:pStyle w:val="ListParagraph"/>
        <w:numPr>
          <w:ilvl w:val="5"/>
          <w:numId w:val="850"/>
        </w:numPr>
        <w:tabs>
          <w:tab w:pos="3054" w:val="left" w:leader="none"/>
        </w:tabs>
        <w:spacing w:line="240" w:lineRule="auto" w:before="120" w:after="0"/>
        <w:ind w:left="3053" w:right="0" w:hanging="568"/>
        <w:jc w:val="both"/>
        <w:rPr>
          <w:sz w:val="24"/>
        </w:rPr>
      </w:pPr>
      <w:r>
        <w:rPr>
          <w:sz w:val="24"/>
        </w:rPr>
        <w:t>which</w:t>
      </w:r>
      <w:r>
        <w:rPr>
          <w:spacing w:val="29"/>
          <w:sz w:val="24"/>
        </w:rPr>
        <w:t> </w:t>
      </w:r>
      <w:r>
        <w:rPr>
          <w:sz w:val="24"/>
        </w:rPr>
        <w:t>is</w:t>
      </w:r>
      <w:r>
        <w:rPr>
          <w:spacing w:val="29"/>
          <w:sz w:val="24"/>
        </w:rPr>
        <w:t> </w:t>
      </w:r>
      <w:r>
        <w:rPr>
          <w:sz w:val="24"/>
        </w:rPr>
        <w:t>the</w:t>
      </w:r>
      <w:r>
        <w:rPr>
          <w:spacing w:val="29"/>
          <w:sz w:val="24"/>
        </w:rPr>
        <w:t> </w:t>
      </w:r>
      <w:r>
        <w:rPr>
          <w:sz w:val="24"/>
        </w:rPr>
        <w:t>subject</w:t>
      </w:r>
      <w:r>
        <w:rPr>
          <w:spacing w:val="29"/>
          <w:sz w:val="24"/>
        </w:rPr>
        <w:t> </w:t>
      </w:r>
      <w:r>
        <w:rPr>
          <w:sz w:val="24"/>
        </w:rPr>
        <w:t>of</w:t>
      </w:r>
      <w:r>
        <w:rPr>
          <w:spacing w:val="29"/>
          <w:sz w:val="24"/>
        </w:rPr>
        <w:t> </w:t>
      </w:r>
      <w:r>
        <w:rPr>
          <w:sz w:val="24"/>
        </w:rPr>
        <w:t>an</w:t>
      </w:r>
      <w:r>
        <w:rPr>
          <w:spacing w:val="29"/>
          <w:sz w:val="24"/>
        </w:rPr>
        <w:t> </w:t>
      </w:r>
      <w:r>
        <w:rPr>
          <w:i/>
          <w:sz w:val="24"/>
        </w:rPr>
        <w:t>AER</w:t>
      </w:r>
      <w:r>
        <w:rPr>
          <w:i/>
          <w:spacing w:val="29"/>
          <w:sz w:val="24"/>
        </w:rPr>
        <w:t> </w:t>
      </w:r>
      <w:r>
        <w:rPr>
          <w:sz w:val="24"/>
        </w:rPr>
        <w:t>determination</w:t>
      </w:r>
      <w:r>
        <w:rPr>
          <w:spacing w:val="29"/>
          <w:sz w:val="24"/>
        </w:rPr>
        <w:t> </w:t>
      </w:r>
      <w:r>
        <w:rPr>
          <w:sz w:val="24"/>
        </w:rPr>
        <w:t>under</w:t>
      </w:r>
      <w:r>
        <w:rPr>
          <w:spacing w:val="29"/>
          <w:sz w:val="24"/>
        </w:rPr>
        <w:t> </w:t>
      </w:r>
      <w:r>
        <w:rPr>
          <w:sz w:val="24"/>
        </w:rPr>
        <w:t>paragraph</w:t>
      </w:r>
    </w:p>
    <w:p>
      <w:pPr>
        <w:pStyle w:val="ListParagraph"/>
        <w:numPr>
          <w:ilvl w:val="3"/>
          <w:numId w:val="850"/>
        </w:numPr>
        <w:tabs>
          <w:tab w:pos="3393" w:val="left" w:leader="none"/>
        </w:tabs>
        <w:spacing w:line="240" w:lineRule="auto" w:before="0" w:after="0"/>
        <w:ind w:left="3392" w:right="0" w:hanging="340"/>
        <w:jc w:val="both"/>
        <w:rPr>
          <w:sz w:val="24"/>
        </w:rPr>
      </w:pPr>
      <w:r>
        <w:rPr>
          <w:sz w:val="24"/>
        </w:rPr>
        <w:t>in respect of the relevant forecast reliability gap period;</w:t>
      </w:r>
      <w:r>
        <w:rPr>
          <w:spacing w:val="-3"/>
          <w:sz w:val="24"/>
        </w:rPr>
        <w:t> </w:t>
      </w:r>
      <w:r>
        <w:rPr>
          <w:sz w:val="24"/>
        </w:rPr>
        <w:t>and</w:t>
      </w:r>
    </w:p>
    <w:p>
      <w:pPr>
        <w:pStyle w:val="BodyText"/>
        <w:ind w:left="2486" w:right="415"/>
      </w:pPr>
      <w:r>
        <w:rPr/>
        <w:t>(2)   plus the registered capacity of any </w:t>
      </w:r>
      <w:r>
        <w:rPr>
          <w:i/>
        </w:rPr>
        <w:t>scheduled generating unit </w:t>
      </w:r>
      <w:r>
        <w:rPr/>
        <w:t>that is   the subject of an </w:t>
      </w:r>
      <w:r>
        <w:rPr>
          <w:i/>
        </w:rPr>
        <w:t>AER </w:t>
      </w:r>
      <w:r>
        <w:rPr/>
        <w:t>determination under paragraph (h) in respect of the relevant forecast reliability gap</w:t>
      </w:r>
      <w:r>
        <w:rPr>
          <w:spacing w:val="-2"/>
        </w:rPr>
        <w:t> </w:t>
      </w:r>
      <w:r>
        <w:rPr/>
        <w:t>period.</w:t>
      </w:r>
    </w:p>
    <w:p>
      <w:pPr>
        <w:pStyle w:val="ListParagraph"/>
        <w:numPr>
          <w:ilvl w:val="0"/>
          <w:numId w:val="862"/>
        </w:numPr>
        <w:tabs>
          <w:tab w:pos="1919" w:val="left" w:leader="none"/>
        </w:tabs>
        <w:spacing w:line="240" w:lineRule="auto" w:before="120" w:after="0"/>
        <w:ind w:left="1919" w:right="415" w:hanging="567"/>
        <w:jc w:val="both"/>
        <w:rPr>
          <w:sz w:val="24"/>
        </w:rPr>
      </w:pPr>
      <w:r>
        <w:rPr>
          <w:sz w:val="24"/>
        </w:rPr>
        <w:t>During a liquidity period or from a specified time in a liquidity period, the </w:t>
      </w:r>
      <w:r>
        <w:rPr>
          <w:i/>
          <w:sz w:val="24"/>
        </w:rPr>
        <w:t>AER </w:t>
      </w:r>
      <w:r>
        <w:rPr>
          <w:sz w:val="24"/>
        </w:rPr>
        <w:t>may determine that, the registered capacity of a </w:t>
      </w:r>
      <w:r>
        <w:rPr>
          <w:i/>
          <w:sz w:val="24"/>
        </w:rPr>
        <w:t>scheduled generating </w:t>
      </w:r>
      <w:r>
        <w:rPr>
          <w:i/>
          <w:sz w:val="24"/>
        </w:rPr>
        <w:t>unit </w:t>
      </w:r>
      <w:r>
        <w:rPr>
          <w:sz w:val="24"/>
        </w:rPr>
        <w:t>that is taken to form part of a MLO group, is not included for the purposes of determining that MLO group's trading group capacity, if the </w:t>
      </w:r>
      <w:r>
        <w:rPr>
          <w:i/>
          <w:sz w:val="24"/>
        </w:rPr>
        <w:t>AER </w:t>
      </w:r>
      <w:r>
        <w:rPr>
          <w:sz w:val="24"/>
        </w:rPr>
        <w:t>is satisfied in accordance with the interim MLO Guidelines</w:t>
      </w:r>
      <w:r>
        <w:rPr>
          <w:spacing w:val="-11"/>
          <w:sz w:val="24"/>
        </w:rPr>
        <w:t> </w:t>
      </w:r>
      <w:r>
        <w:rPr>
          <w:sz w:val="24"/>
        </w:rPr>
        <w:t>that:</w:t>
      </w:r>
    </w:p>
    <w:p>
      <w:pPr>
        <w:pStyle w:val="ListParagraph"/>
        <w:numPr>
          <w:ilvl w:val="1"/>
          <w:numId w:val="862"/>
        </w:numPr>
        <w:tabs>
          <w:tab w:pos="2486" w:val="left" w:leader="none"/>
        </w:tabs>
        <w:spacing w:line="240" w:lineRule="auto" w:before="120" w:after="0"/>
        <w:ind w:left="2486" w:right="416" w:hanging="567"/>
        <w:jc w:val="both"/>
        <w:rPr>
          <w:sz w:val="24"/>
        </w:rPr>
      </w:pPr>
      <w:r>
        <w:rPr>
          <w:sz w:val="24"/>
        </w:rPr>
        <w:t>the relevant MLO generator has no direct or indirect ownership interest in that </w:t>
      </w:r>
      <w:r>
        <w:rPr>
          <w:i/>
          <w:sz w:val="24"/>
        </w:rPr>
        <w:t>scheduled generating unit</w:t>
      </w:r>
      <w:r>
        <w:rPr>
          <w:sz w:val="24"/>
        </w:rPr>
        <w:t>;</w:t>
      </w:r>
      <w:r>
        <w:rPr>
          <w:spacing w:val="-3"/>
          <w:sz w:val="24"/>
        </w:rPr>
        <w:t> </w:t>
      </w:r>
      <w:r>
        <w:rPr>
          <w:sz w:val="24"/>
        </w:rPr>
        <w:t>and</w:t>
      </w:r>
    </w:p>
    <w:p>
      <w:pPr>
        <w:pStyle w:val="ListParagraph"/>
        <w:numPr>
          <w:ilvl w:val="1"/>
          <w:numId w:val="862"/>
        </w:numPr>
        <w:tabs>
          <w:tab w:pos="2486" w:val="left" w:leader="none"/>
        </w:tabs>
        <w:spacing w:line="240" w:lineRule="auto" w:before="120" w:after="0"/>
        <w:ind w:left="2485" w:right="0" w:hanging="567"/>
        <w:jc w:val="both"/>
        <w:rPr>
          <w:sz w:val="24"/>
        </w:rPr>
      </w:pPr>
      <w:r>
        <w:rPr>
          <w:sz w:val="24"/>
        </w:rPr>
        <w:t>the</w:t>
      </w:r>
      <w:r>
        <w:rPr>
          <w:spacing w:val="22"/>
          <w:sz w:val="24"/>
        </w:rPr>
        <w:t> </w:t>
      </w:r>
      <w:r>
        <w:rPr>
          <w:sz w:val="24"/>
        </w:rPr>
        <w:t>relevant</w:t>
      </w:r>
      <w:r>
        <w:rPr>
          <w:spacing w:val="22"/>
          <w:sz w:val="24"/>
        </w:rPr>
        <w:t> </w:t>
      </w:r>
      <w:r>
        <w:rPr>
          <w:sz w:val="24"/>
        </w:rPr>
        <w:t>MLO</w:t>
      </w:r>
      <w:r>
        <w:rPr>
          <w:spacing w:val="22"/>
          <w:sz w:val="24"/>
        </w:rPr>
        <w:t> </w:t>
      </w:r>
      <w:r>
        <w:rPr>
          <w:sz w:val="24"/>
        </w:rPr>
        <w:t>generator</w:t>
      </w:r>
      <w:r>
        <w:rPr>
          <w:spacing w:val="22"/>
          <w:sz w:val="24"/>
        </w:rPr>
        <w:t> </w:t>
      </w:r>
      <w:r>
        <w:rPr>
          <w:sz w:val="24"/>
        </w:rPr>
        <w:t>does</w:t>
      </w:r>
      <w:r>
        <w:rPr>
          <w:spacing w:val="23"/>
          <w:sz w:val="24"/>
        </w:rPr>
        <w:t> </w:t>
      </w:r>
      <w:r>
        <w:rPr>
          <w:sz w:val="24"/>
        </w:rPr>
        <w:t>not</w:t>
      </w:r>
      <w:r>
        <w:rPr>
          <w:spacing w:val="22"/>
          <w:sz w:val="24"/>
        </w:rPr>
        <w:t> </w:t>
      </w:r>
      <w:r>
        <w:rPr>
          <w:sz w:val="24"/>
        </w:rPr>
        <w:t>have</w:t>
      </w:r>
      <w:r>
        <w:rPr>
          <w:spacing w:val="22"/>
          <w:sz w:val="24"/>
        </w:rPr>
        <w:t> </w:t>
      </w:r>
      <w:r>
        <w:rPr>
          <w:sz w:val="24"/>
        </w:rPr>
        <w:t>dispatch</w:t>
      </w:r>
      <w:r>
        <w:rPr>
          <w:spacing w:val="23"/>
          <w:sz w:val="24"/>
        </w:rPr>
        <w:t> </w:t>
      </w:r>
      <w:r>
        <w:rPr>
          <w:sz w:val="24"/>
        </w:rPr>
        <w:t>control</w:t>
      </w:r>
      <w:r>
        <w:rPr>
          <w:spacing w:val="22"/>
          <w:sz w:val="24"/>
        </w:rPr>
        <w:t> </w:t>
      </w:r>
      <w:r>
        <w:rPr>
          <w:sz w:val="24"/>
        </w:rPr>
        <w:t>over</w:t>
      </w:r>
      <w:r>
        <w:rPr>
          <w:spacing w:val="23"/>
          <w:sz w:val="24"/>
        </w:rPr>
        <w:t> </w:t>
      </w:r>
      <w:r>
        <w:rPr>
          <w:sz w:val="24"/>
        </w:rPr>
        <w:t>that</w:t>
      </w:r>
    </w:p>
    <w:p>
      <w:pPr>
        <w:spacing w:before="0"/>
        <w:ind w:left="2486" w:right="0" w:firstLine="0"/>
        <w:jc w:val="both"/>
        <w:rPr>
          <w:sz w:val="24"/>
        </w:rPr>
      </w:pPr>
      <w:r>
        <w:rPr>
          <w:i/>
          <w:sz w:val="24"/>
        </w:rPr>
        <w:t>scheduled generating</w:t>
      </w:r>
      <w:r>
        <w:rPr>
          <w:i/>
          <w:spacing w:val="-9"/>
          <w:sz w:val="24"/>
        </w:rPr>
        <w:t> </w:t>
      </w:r>
      <w:r>
        <w:rPr>
          <w:i/>
          <w:sz w:val="24"/>
        </w:rPr>
        <w:t>unit</w:t>
      </w:r>
      <w:r>
        <w:rPr>
          <w:sz w:val="24"/>
        </w:rPr>
        <w:t>.</w:t>
      </w:r>
    </w:p>
    <w:p>
      <w:pPr>
        <w:pStyle w:val="ListParagraph"/>
        <w:numPr>
          <w:ilvl w:val="0"/>
          <w:numId w:val="862"/>
        </w:numPr>
        <w:tabs>
          <w:tab w:pos="1919" w:val="left" w:leader="none"/>
        </w:tabs>
        <w:spacing w:line="240" w:lineRule="auto" w:before="120" w:after="0"/>
        <w:ind w:left="1919" w:right="415" w:hanging="567"/>
        <w:jc w:val="both"/>
        <w:rPr>
          <w:sz w:val="24"/>
        </w:rPr>
      </w:pPr>
      <w:r>
        <w:rPr>
          <w:sz w:val="24"/>
        </w:rPr>
        <w:t>During a liquidity period or from a specified time in a liquidity period, the </w:t>
      </w:r>
      <w:r>
        <w:rPr>
          <w:i/>
          <w:sz w:val="24"/>
        </w:rPr>
        <w:t>AER </w:t>
      </w:r>
      <w:r>
        <w:rPr>
          <w:sz w:val="24"/>
        </w:rPr>
        <w:t>may determine that, the registered capacity of a </w:t>
      </w:r>
      <w:r>
        <w:rPr>
          <w:i/>
          <w:sz w:val="24"/>
        </w:rPr>
        <w:t>scheduled generating </w:t>
      </w:r>
      <w:r>
        <w:rPr>
          <w:i/>
          <w:sz w:val="24"/>
        </w:rPr>
        <w:t>unit </w:t>
      </w:r>
      <w:r>
        <w:rPr>
          <w:sz w:val="24"/>
        </w:rPr>
        <w:t>that is not taken to form part of a MLO group, will be included for the purposes of determining that MLO group's trading group capacity where, the </w:t>
      </w:r>
      <w:r>
        <w:rPr>
          <w:i/>
          <w:sz w:val="24"/>
        </w:rPr>
        <w:t>AER </w:t>
      </w:r>
      <w:r>
        <w:rPr>
          <w:sz w:val="24"/>
        </w:rPr>
        <w:t>is satisfied in accordance with the interim MLO Guidelines</w:t>
      </w:r>
      <w:r>
        <w:rPr>
          <w:spacing w:val="-26"/>
          <w:sz w:val="24"/>
        </w:rPr>
        <w:t> </w:t>
      </w:r>
      <w:r>
        <w:rPr>
          <w:sz w:val="24"/>
        </w:rPr>
        <w:t>that a</w:t>
      </w:r>
    </w:p>
    <w:p>
      <w:pPr>
        <w:spacing w:after="0" w:line="240" w:lineRule="auto"/>
        <w:jc w:val="both"/>
        <w:rPr>
          <w:sz w:val="24"/>
        </w:rPr>
        <w:sectPr>
          <w:pgSz w:w="11910" w:h="16840"/>
          <w:pgMar w:header="686" w:footer="637" w:top="1320" w:bottom="820" w:left="1200" w:right="1000"/>
        </w:sectPr>
      </w:pPr>
    </w:p>
    <w:p>
      <w:pPr>
        <w:pStyle w:val="BodyText"/>
        <w:spacing w:before="0"/>
        <w:ind w:firstLine="0"/>
        <w:jc w:val="left"/>
        <w:rPr>
          <w:sz w:val="26"/>
        </w:rPr>
      </w:pPr>
    </w:p>
    <w:p>
      <w:pPr>
        <w:pStyle w:val="BodyText"/>
        <w:spacing w:before="0"/>
        <w:ind w:firstLine="0"/>
        <w:jc w:val="left"/>
        <w:rPr>
          <w:sz w:val="26"/>
        </w:rPr>
      </w:pPr>
    </w:p>
    <w:p>
      <w:pPr>
        <w:pStyle w:val="BodyText"/>
        <w:spacing w:before="0"/>
        <w:ind w:firstLine="0"/>
        <w:jc w:val="left"/>
        <w:rPr>
          <w:sz w:val="26"/>
        </w:rPr>
      </w:pPr>
    </w:p>
    <w:p>
      <w:pPr>
        <w:pStyle w:val="BodyText"/>
        <w:spacing w:before="1"/>
        <w:ind w:firstLine="0"/>
        <w:jc w:val="left"/>
        <w:rPr>
          <w:sz w:val="22"/>
        </w:rPr>
      </w:pPr>
    </w:p>
    <w:p>
      <w:pPr>
        <w:pStyle w:val="BodyText"/>
        <w:spacing w:before="0"/>
        <w:ind w:left="218" w:firstLine="0"/>
        <w:jc w:val="left"/>
      </w:pPr>
      <w:r>
        <w:rPr>
          <w:u w:val="single"/>
        </w:rPr>
        <w:t>Victoria</w:t>
      </w:r>
    </w:p>
    <w:p>
      <w:pPr>
        <w:spacing w:before="83"/>
        <w:ind w:left="785" w:right="407" w:firstLine="0"/>
        <w:jc w:val="left"/>
        <w:rPr>
          <w:sz w:val="24"/>
        </w:rPr>
      </w:pPr>
      <w:r>
        <w:rPr/>
        <w:br w:type="column"/>
      </w:r>
      <w:r>
        <w:rPr>
          <w:sz w:val="24"/>
        </w:rPr>
        <w:t>MLO generator forming part of that MLO group has dispatch control over that </w:t>
      </w:r>
      <w:r>
        <w:rPr>
          <w:i/>
          <w:sz w:val="24"/>
        </w:rPr>
        <w:t>scheduled generating unit</w:t>
      </w:r>
      <w:r>
        <w:rPr>
          <w:sz w:val="24"/>
        </w:rPr>
        <w:t>.</w:t>
      </w:r>
    </w:p>
    <w:p>
      <w:pPr>
        <w:pStyle w:val="BodyText"/>
        <w:tabs>
          <w:tab w:pos="784" w:val="left" w:leader="none"/>
        </w:tabs>
        <w:ind w:left="218" w:firstLine="0"/>
        <w:jc w:val="left"/>
      </w:pPr>
      <w:r>
        <w:rPr/>
        <w:t>(i)</w:t>
        <w:tab/>
        <w:t>The </w:t>
      </w:r>
      <w:r>
        <w:rPr>
          <w:i/>
        </w:rPr>
        <w:t>AER </w:t>
      </w:r>
      <w:r>
        <w:rPr/>
        <w:t>must </w:t>
      </w:r>
      <w:r>
        <w:rPr>
          <w:i/>
        </w:rPr>
        <w:t>publish </w:t>
      </w:r>
      <w:r>
        <w:rPr/>
        <w:t>any determination made under paragraph (g) or</w:t>
      </w:r>
      <w:r>
        <w:rPr>
          <w:spacing w:val="-3"/>
        </w:rPr>
        <w:t> </w:t>
      </w:r>
      <w:r>
        <w:rPr/>
        <w:t>(h).</w:t>
      </w:r>
    </w:p>
    <w:p>
      <w:pPr>
        <w:spacing w:after="0"/>
        <w:jc w:val="left"/>
        <w:sectPr>
          <w:pgSz w:w="11910" w:h="16840"/>
          <w:pgMar w:header="686" w:footer="637" w:top="1320" w:bottom="820" w:left="1200" w:right="1000"/>
          <w:cols w:num="2" w:equalWidth="0">
            <w:col w:w="1045" w:space="89"/>
            <w:col w:w="8576"/>
          </w:cols>
        </w:sectPr>
      </w:pPr>
    </w:p>
    <w:p>
      <w:pPr>
        <w:pStyle w:val="BodyText"/>
        <w:spacing w:before="5"/>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791"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AGL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572"/>
              <w:rPr>
                <w:sz w:val="24"/>
              </w:rPr>
            </w:pPr>
            <w:r>
              <w:rPr>
                <w:sz w:val="24"/>
              </w:rPr>
              <w:t>AGL Hydro Partnership</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21"/>
              <w:rPr>
                <w:sz w:val="24"/>
              </w:rPr>
            </w:pPr>
            <w:r>
              <w:rPr>
                <w:sz w:val="24"/>
              </w:rPr>
              <w:t>Bogong / Mackay Power Station (units 1-3)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20"/>
              <w:jc w:val="center"/>
              <w:rPr>
                <w:sz w:val="24"/>
              </w:rPr>
            </w:pPr>
            <w:r>
              <w:rPr>
                <w:sz w:val="24"/>
              </w:rPr>
              <w:t>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21"/>
              <w:rPr>
                <w:sz w:val="24"/>
              </w:rPr>
            </w:pPr>
            <w:r>
              <w:rPr>
                <w:sz w:val="24"/>
              </w:rPr>
              <w:t>Bogong / Mackay Power Station (units 1-2)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308.2</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Dartmouth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150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Eildon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Eildon Power Station (unit 1b)</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20"/>
              <w:jc w:val="center"/>
              <w:rPr>
                <w:sz w:val="24"/>
              </w:rPr>
            </w:pPr>
            <w:r>
              <w:rPr>
                <w:sz w:val="24"/>
              </w:rPr>
              <w:t>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Eildon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Eildon Power Station (unit 2b)</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20"/>
              <w:jc w:val="center"/>
              <w:rPr>
                <w:sz w:val="24"/>
              </w:rPr>
            </w:pPr>
            <w:r>
              <w:rPr>
                <w:sz w:val="24"/>
              </w:rPr>
              <w:t>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40"/>
              <w:rPr>
                <w:sz w:val="24"/>
              </w:rPr>
            </w:pPr>
            <w:r>
              <w:rPr>
                <w:sz w:val="24"/>
              </w:rPr>
              <w:t>Somerton Power Station (units 1 –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170</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AGL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572"/>
              <w:rPr>
                <w:sz w:val="24"/>
              </w:rPr>
            </w:pPr>
            <w:r>
              <w:rPr>
                <w:sz w:val="24"/>
              </w:rPr>
              <w:t>AGL Hydro Partnership</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West Kiewa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West Kiewa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219"/>
              <w:rPr>
                <w:sz w:val="24"/>
              </w:rPr>
            </w:pPr>
            <w:r>
              <w:rPr>
                <w:sz w:val="24"/>
              </w:rPr>
              <w:t>AGL Loy Yang Marketing Pty Ltd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Loy Yang A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Loy Yang A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530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Loy Yang A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Loy Yang A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560</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ight="780"/>
              <w:rPr>
                <w:b/>
                <w:sz w:val="24"/>
              </w:rPr>
            </w:pPr>
            <w:r>
              <w:rPr>
                <w:b/>
                <w:sz w:val="24"/>
              </w:rPr>
              <w:t>Energy Australia</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106"/>
              <w:rPr>
                <w:sz w:val="24"/>
              </w:rPr>
            </w:pPr>
            <w:r>
              <w:rPr>
                <w:sz w:val="24"/>
              </w:rPr>
              <w:t>Energy Australia Yallourn Pty Ltd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Yallourn 'W'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Yallourn 'W'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Yallourn 'W'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Yallourn 'W'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380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106"/>
              <w:rPr>
                <w:sz w:val="24"/>
              </w:rPr>
            </w:pPr>
            <w:r>
              <w:rPr>
                <w:sz w:val="24"/>
              </w:rPr>
              <w:t>Energy Australia Pty Ltd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81"/>
              <w:rPr>
                <w:sz w:val="24"/>
              </w:rPr>
            </w:pPr>
            <w:r>
              <w:rPr>
                <w:sz w:val="24"/>
              </w:rPr>
              <w:t>Ballarat Battery Energy Storage System (units 1–17)</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Gannawarra Energy Storage System</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30.875</w:t>
            </w:r>
          </w:p>
        </w:tc>
      </w:tr>
    </w:tbl>
    <w:p>
      <w:pPr>
        <w:spacing w:after="0"/>
        <w:jc w:val="center"/>
        <w:rPr>
          <w:sz w:val="24"/>
        </w:rPr>
        <w:sectPr>
          <w:type w:val="continuous"/>
          <w:pgSz w:w="11910" w:h="16840"/>
          <w:pgMar w:top="1360" w:bottom="28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395" w:hRule="atLeast"/>
        </w:trPr>
        <w:tc>
          <w:tcPr>
            <w:tcW w:w="1815" w:type="dxa"/>
            <w:tcBorders>
              <w:top w:val="single" w:sz="4" w:space="0" w:color="000000"/>
              <w:bottom w:val="single" w:sz="4" w:space="0" w:color="000000"/>
              <w:right w:val="single" w:sz="4" w:space="0" w:color="000000"/>
            </w:tcBorders>
          </w:tcPr>
          <w:p>
            <w:pPr>
              <w:pStyle w:val="TableParagraph"/>
              <w:spacing w:before="0"/>
              <w:ind w:left="0"/>
              <w:rPr>
                <w:sz w:val="22"/>
              </w:rPr>
            </w:pP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0"/>
              <w:ind w:left="44"/>
              <w:rPr>
                <w:sz w:val="24"/>
              </w:rPr>
            </w:pPr>
            <w:r>
              <w:rPr>
                <w:sz w:val="24"/>
              </w:rPr>
              <w:t>(units 1-50)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r>
      <w:tr>
        <w:trPr>
          <w:trHeight w:val="791"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Snowy Hydro</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98"/>
              <w:rPr>
                <w:sz w:val="24"/>
              </w:rPr>
            </w:pPr>
            <w:r>
              <w:rPr>
                <w:sz w:val="24"/>
              </w:rPr>
              <w:t>Snowy Hydro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1-6)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2-6)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3-6)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4-6)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5-6)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6"/>
              <w:rPr>
                <w:sz w:val="24"/>
              </w:rPr>
            </w:pPr>
            <w:r>
              <w:rPr>
                <w:sz w:val="24"/>
              </w:rPr>
              <w:t>Valley Power Peaking Facility (units 6-6)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50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1"/>
              <w:rPr>
                <w:sz w:val="24"/>
              </w:rPr>
            </w:pPr>
            <w:r>
              <w:rPr>
                <w:sz w:val="24"/>
              </w:rPr>
              <w:t>Laverton North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156</w:t>
            </w:r>
          </w:p>
        </w:tc>
      </w:tr>
      <w:tr>
        <w:trPr>
          <w:trHeight w:val="786" w:hRule="atLeast"/>
        </w:trPr>
        <w:tc>
          <w:tcPr>
            <w:tcW w:w="1815" w:type="dxa"/>
            <w:vMerge w:val="restart"/>
            <w:tcBorders>
              <w:top w:val="single" w:sz="4" w:space="0" w:color="000000"/>
              <w:right w:val="single" w:sz="4" w:space="0" w:color="000000"/>
            </w:tcBorders>
          </w:tcPr>
          <w:p>
            <w:pPr>
              <w:pStyle w:val="TableParagraph"/>
              <w:ind w:left="40"/>
              <w:rPr>
                <w:b/>
                <w:sz w:val="24"/>
              </w:rPr>
            </w:pPr>
            <w:r>
              <w:rPr>
                <w:b/>
                <w:sz w:val="24"/>
              </w:rPr>
              <w:t>Snowy Hydro</w:t>
            </w:r>
          </w:p>
        </w:tc>
        <w:tc>
          <w:tcPr>
            <w:tcW w:w="1814" w:type="dxa"/>
            <w:vMerge w:val="restart"/>
            <w:tcBorders>
              <w:top w:val="single" w:sz="4" w:space="0" w:color="000000"/>
              <w:left w:val="single" w:sz="4" w:space="0" w:color="000000"/>
              <w:right w:val="single" w:sz="4" w:space="0" w:color="000000"/>
            </w:tcBorders>
          </w:tcPr>
          <w:p>
            <w:pPr>
              <w:pStyle w:val="TableParagraph"/>
              <w:ind w:right="398"/>
              <w:rPr>
                <w:sz w:val="24"/>
              </w:rPr>
            </w:pPr>
            <w:r>
              <w:rPr>
                <w:sz w:val="24"/>
              </w:rPr>
              <w:t>Snowy Hydro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1"/>
              <w:rPr>
                <w:sz w:val="24"/>
              </w:rPr>
            </w:pPr>
            <w:r>
              <w:rPr>
                <w:sz w:val="24"/>
              </w:rPr>
              <w:t>Laverton North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156</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Murray Power Station (units 1-10)</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91" w:right="71"/>
              <w:jc w:val="center"/>
              <w:rPr>
                <w:sz w:val="24"/>
              </w:rPr>
            </w:pPr>
            <w:r>
              <w:rPr>
                <w:sz w:val="24"/>
              </w:rPr>
              <w:t>1502</w:t>
            </w:r>
          </w:p>
        </w:tc>
      </w:tr>
      <w:tr>
        <w:trPr>
          <w:trHeight w:val="510"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right w:val="single" w:sz="4" w:space="0" w:color="000000"/>
            </w:tcBorders>
          </w:tcPr>
          <w:p>
            <w:pPr>
              <w:pStyle w:val="TableParagraph"/>
              <w:spacing w:before="115"/>
              <w:ind w:left="44"/>
              <w:rPr>
                <w:sz w:val="24"/>
              </w:rPr>
            </w:pPr>
            <w:r>
              <w:rPr>
                <w:sz w:val="24"/>
              </w:rPr>
              <w:t>Murray Power Station (units 11-14)</w:t>
            </w:r>
          </w:p>
        </w:tc>
        <w:tc>
          <w:tcPr>
            <w:tcW w:w="1814" w:type="dxa"/>
            <w:tcBorders>
              <w:top w:val="single" w:sz="4" w:space="0" w:color="000000"/>
              <w:left w:val="single" w:sz="4" w:space="0" w:color="000000"/>
              <w:right w:val="single" w:sz="4" w:space="0" w:color="000000"/>
            </w:tcBorders>
          </w:tcPr>
          <w:p>
            <w:pPr>
              <w:pStyle w:val="TableParagraph"/>
              <w:spacing w:before="115"/>
              <w:ind w:left="20"/>
              <w:jc w:val="center"/>
              <w:rPr>
                <w:sz w:val="24"/>
              </w:rPr>
            </w:pPr>
            <w:r>
              <w:rPr>
                <w:sz w:val="24"/>
              </w:rPr>
              <w:t>0</w:t>
            </w:r>
          </w:p>
        </w:tc>
      </w:tr>
    </w:tbl>
    <w:p>
      <w:pPr>
        <w:pStyle w:val="BodyText"/>
        <w:spacing w:before="3"/>
        <w:ind w:firstLine="0"/>
        <w:jc w:val="left"/>
        <w:rPr>
          <w:sz w:val="16"/>
        </w:rPr>
      </w:pPr>
    </w:p>
    <w:p>
      <w:pPr>
        <w:pStyle w:val="BodyText"/>
        <w:spacing w:before="90"/>
        <w:ind w:left="218" w:firstLine="0"/>
        <w:jc w:val="left"/>
      </w:pPr>
      <w:r>
        <w:rPr>
          <w:u w:val="single"/>
        </w:rPr>
        <w:t>South Australia</w:t>
      </w:r>
    </w:p>
    <w:p>
      <w:pPr>
        <w:pStyle w:val="BodyText"/>
        <w:spacing w:before="4" w:after="1"/>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791"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AGL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4"/>
              </w:rPr>
            </w:pPr>
            <w:r>
              <w:rPr>
                <w:sz w:val="24"/>
              </w:rPr>
              <w:t>AGL SA</w:t>
            </w:r>
          </w:p>
          <w:p>
            <w:pPr>
              <w:pStyle w:val="TableParagraph"/>
              <w:spacing w:before="0"/>
              <w:ind w:right="292"/>
              <w:rPr>
                <w:sz w:val="24"/>
              </w:rPr>
            </w:pPr>
            <w:r>
              <w:rPr>
                <w:sz w:val="24"/>
              </w:rPr>
              <w:t>Generation Pty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514"/>
              <w:rPr>
                <w:sz w:val="24"/>
              </w:rPr>
            </w:pPr>
            <w:r>
              <w:rPr>
                <w:sz w:val="24"/>
              </w:rPr>
              <w:t>Torrens Island Power Station A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120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514"/>
              <w:rPr>
                <w:sz w:val="24"/>
              </w:rPr>
            </w:pPr>
            <w:r>
              <w:rPr>
                <w:sz w:val="24"/>
              </w:rPr>
              <w:t>Torrens Island Power Station A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120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514"/>
              <w:rPr>
                <w:sz w:val="24"/>
              </w:rPr>
            </w:pPr>
            <w:r>
              <w:rPr>
                <w:sz w:val="24"/>
              </w:rPr>
              <w:t>Torrens Island Power Station A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120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514"/>
              <w:rPr>
                <w:sz w:val="24"/>
              </w:rPr>
            </w:pPr>
            <w:r>
              <w:rPr>
                <w:sz w:val="24"/>
              </w:rPr>
              <w:t>Torrens Island Power Station A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120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Torrens Island Power Station B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200</w:t>
            </w:r>
          </w:p>
        </w:tc>
      </w:tr>
    </w:tbl>
    <w:p>
      <w:pPr>
        <w:spacing w:after="0"/>
        <w:jc w:val="righ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791" w:hRule="atLeast"/>
        </w:trPr>
        <w:tc>
          <w:tcPr>
            <w:tcW w:w="1815" w:type="dxa"/>
            <w:vMerge w:val="restart"/>
            <w:tcBorders>
              <w:top w:val="single" w:sz="4" w:space="0" w:color="000000"/>
              <w:bottom w:val="single" w:sz="4" w:space="0" w:color="000000"/>
              <w:right w:val="single" w:sz="4" w:space="0" w:color="000000"/>
            </w:tcBorders>
          </w:tcPr>
          <w:p>
            <w:pPr>
              <w:pStyle w:val="TableParagraph"/>
              <w:spacing w:before="0"/>
              <w:ind w:left="0"/>
              <w:rPr>
                <w:sz w:val="2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Torrens Island Power Station B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200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Torrens Island Power Station B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200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14"/>
              <w:rPr>
                <w:sz w:val="24"/>
              </w:rPr>
            </w:pPr>
            <w:r>
              <w:rPr>
                <w:sz w:val="24"/>
              </w:rPr>
              <w:t>Torrens Island Power Station B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200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right="199"/>
              <w:rPr>
                <w:sz w:val="24"/>
              </w:rPr>
            </w:pPr>
            <w:r>
              <w:rPr>
                <w:sz w:val="24"/>
              </w:rPr>
              <w:t>Greentricity Pty Ltd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388"/>
              <w:rPr>
                <w:sz w:val="24"/>
              </w:rPr>
            </w:pPr>
            <w:r>
              <w:rPr>
                <w:sz w:val="24"/>
              </w:rPr>
              <w:t>Dalrymple North Battery Energy Storage System (units 1-12)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30</w:t>
            </w:r>
          </w:p>
        </w:tc>
      </w:tr>
      <w:tr>
        <w:trPr>
          <w:trHeight w:val="791"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Origin</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59"/>
              <w:rPr>
                <w:sz w:val="24"/>
              </w:rPr>
            </w:pPr>
            <w:r>
              <w:rPr>
                <w:sz w:val="24"/>
              </w:rPr>
              <w:t>Origin Energy Electricity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8"/>
              <w:rPr>
                <w:sz w:val="24"/>
              </w:rPr>
            </w:pPr>
            <w:r>
              <w:rPr>
                <w:sz w:val="24"/>
              </w:rPr>
              <w:t>Ladbroke Grove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40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48"/>
              <w:rPr>
                <w:sz w:val="24"/>
              </w:rPr>
            </w:pPr>
            <w:r>
              <w:rPr>
                <w:sz w:val="24"/>
              </w:rPr>
              <w:t>Ladbroke Grove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40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Osborne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180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Osborne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20"/>
              <w:jc w:val="center"/>
              <w:rPr>
                <w:sz w:val="24"/>
              </w:rPr>
            </w:pPr>
            <w:r>
              <w:rPr>
                <w:sz w:val="24"/>
              </w:rPr>
              <w:t>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Quarantine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29</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Origin</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59"/>
              <w:rPr>
                <w:sz w:val="24"/>
              </w:rPr>
            </w:pPr>
            <w:r>
              <w:rPr>
                <w:sz w:val="24"/>
              </w:rPr>
              <w:t>Origin Energy Electricity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Quarantine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24</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Quarantine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24</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Quarantine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24</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Quarantine Power Station (unit 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128</w:t>
            </w:r>
          </w:p>
        </w:tc>
      </w:tr>
      <w:tr>
        <w:trPr>
          <w:trHeight w:val="786" w:hRule="atLeast"/>
        </w:trPr>
        <w:tc>
          <w:tcPr>
            <w:tcW w:w="1815" w:type="dxa"/>
            <w:vMerge w:val="restart"/>
            <w:tcBorders>
              <w:top w:val="single" w:sz="4" w:space="0" w:color="000000"/>
              <w:right w:val="single" w:sz="4" w:space="0" w:color="000000"/>
            </w:tcBorders>
          </w:tcPr>
          <w:p>
            <w:pPr>
              <w:pStyle w:val="TableParagraph"/>
              <w:ind w:left="40"/>
              <w:rPr>
                <w:b/>
                <w:sz w:val="24"/>
              </w:rPr>
            </w:pPr>
            <w:r>
              <w:rPr>
                <w:b/>
                <w:sz w:val="24"/>
              </w:rPr>
              <w:t>Engie</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05"/>
              <w:rPr>
                <w:sz w:val="24"/>
              </w:rPr>
            </w:pPr>
            <w:r>
              <w:rPr>
                <w:sz w:val="24"/>
              </w:rPr>
              <w:t>Pelican Point Power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279"/>
              <w:rPr>
                <w:sz w:val="24"/>
              </w:rPr>
            </w:pPr>
            <w:r>
              <w:rPr>
                <w:sz w:val="24"/>
              </w:rPr>
              <w:t>Pelican Point Power Station (units 1-2)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478</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Pelican Point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20"/>
              <w:jc w:val="center"/>
              <w:rPr>
                <w:sz w:val="24"/>
              </w:rPr>
            </w:pPr>
            <w:r>
              <w:rPr>
                <w:sz w:val="24"/>
              </w:rPr>
              <w:t>0</w:t>
            </w:r>
          </w:p>
        </w:tc>
      </w:tr>
      <w:tr>
        <w:trPr>
          <w:trHeight w:val="781" w:hRule="atLeast"/>
        </w:trPr>
        <w:tc>
          <w:tcPr>
            <w:tcW w:w="1815" w:type="dxa"/>
            <w:vMerge/>
            <w:tcBorders>
              <w:top w:val="nil"/>
              <w:right w:val="single" w:sz="4" w:space="0" w:color="000000"/>
            </w:tcBorders>
          </w:tcPr>
          <w:p>
            <w:pPr>
              <w:rPr>
                <w:sz w:val="2"/>
                <w:szCs w:val="2"/>
              </w:rPr>
            </w:pPr>
          </w:p>
        </w:tc>
        <w:tc>
          <w:tcPr>
            <w:tcW w:w="1814" w:type="dxa"/>
            <w:vMerge w:val="restart"/>
            <w:tcBorders>
              <w:top w:val="single" w:sz="4" w:space="0" w:color="000000"/>
              <w:left w:val="single" w:sz="4" w:space="0" w:color="000000"/>
              <w:right w:val="single" w:sz="4" w:space="0" w:color="000000"/>
            </w:tcBorders>
          </w:tcPr>
          <w:p>
            <w:pPr>
              <w:pStyle w:val="TableParagraph"/>
              <w:spacing w:before="115"/>
              <w:ind w:right="159"/>
              <w:rPr>
                <w:sz w:val="24"/>
              </w:rPr>
            </w:pPr>
            <w:r>
              <w:rPr>
                <w:sz w:val="24"/>
              </w:rPr>
              <w:t>Synergen Power Pty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ight="41"/>
              <w:rPr>
                <w:sz w:val="24"/>
              </w:rPr>
            </w:pPr>
            <w:r>
              <w:rPr>
                <w:sz w:val="24"/>
              </w:rPr>
              <w:t>Dry Creek Gas Turbine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92"/>
              <w:rPr>
                <w:sz w:val="24"/>
              </w:rPr>
            </w:pPr>
            <w:r>
              <w:rPr>
                <w:sz w:val="24"/>
              </w:rPr>
              <w:t>52</w:t>
            </w:r>
          </w:p>
        </w:tc>
      </w:tr>
      <w:tr>
        <w:trPr>
          <w:trHeight w:val="781"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ight="41"/>
              <w:rPr>
                <w:sz w:val="24"/>
              </w:rPr>
            </w:pPr>
            <w:r>
              <w:rPr>
                <w:sz w:val="24"/>
              </w:rPr>
              <w:t>Dry Creek Gas Turbine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92"/>
              <w:rPr>
                <w:sz w:val="24"/>
              </w:rPr>
            </w:pPr>
            <w:r>
              <w:rPr>
                <w:sz w:val="24"/>
              </w:rPr>
              <w:t>52</w:t>
            </w:r>
          </w:p>
        </w:tc>
      </w:tr>
      <w:tr>
        <w:trPr>
          <w:trHeight w:val="781"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ight="41"/>
              <w:rPr>
                <w:sz w:val="24"/>
              </w:rPr>
            </w:pPr>
            <w:r>
              <w:rPr>
                <w:sz w:val="24"/>
              </w:rPr>
              <w:t>Dry Creek Gas Turbine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92"/>
              <w:rPr>
                <w:sz w:val="24"/>
              </w:rPr>
            </w:pPr>
            <w:r>
              <w:rPr>
                <w:sz w:val="24"/>
              </w:rPr>
              <w:t>52</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Mintaro Gas Turbine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92"/>
              <w:rPr>
                <w:sz w:val="24"/>
              </w:rPr>
            </w:pPr>
            <w:r>
              <w:rPr>
                <w:sz w:val="24"/>
              </w:rPr>
              <w:t>90</w:t>
            </w:r>
          </w:p>
        </w:tc>
      </w:tr>
      <w:tr>
        <w:trPr>
          <w:trHeight w:val="510"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Port Lincoln Gas Turbine (units 1-2)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92"/>
              <w:rPr>
                <w:sz w:val="24"/>
              </w:rPr>
            </w:pPr>
            <w:r>
              <w:rPr>
                <w:sz w:val="24"/>
              </w:rPr>
              <w:t>50</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510" w:hRule="atLeast"/>
        </w:trPr>
        <w:tc>
          <w:tcPr>
            <w:tcW w:w="1815" w:type="dxa"/>
            <w:vMerge w:val="restart"/>
            <w:tcBorders>
              <w:top w:val="single" w:sz="4" w:space="0" w:color="000000"/>
              <w:right w:val="single" w:sz="4" w:space="0" w:color="000000"/>
            </w:tcBorders>
          </w:tcPr>
          <w:p>
            <w:pPr>
              <w:pStyle w:val="TableParagraph"/>
              <w:spacing w:before="0"/>
              <w:ind w:left="0"/>
              <w:rPr>
                <w:sz w:val="22"/>
              </w:rPr>
            </w:pPr>
          </w:p>
        </w:tc>
        <w:tc>
          <w:tcPr>
            <w:tcW w:w="1814" w:type="dxa"/>
            <w:vMerge w:val="restart"/>
            <w:tcBorders>
              <w:top w:val="single" w:sz="4" w:space="0" w:color="000000"/>
              <w:left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Port Lincoln Gas Turbine (unit PL3)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23.5</w:t>
            </w:r>
          </w:p>
        </w:tc>
      </w:tr>
      <w:tr>
        <w:trPr>
          <w:trHeight w:val="510"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right w:val="single" w:sz="4" w:space="0" w:color="000000"/>
            </w:tcBorders>
          </w:tcPr>
          <w:p>
            <w:pPr>
              <w:pStyle w:val="TableParagraph"/>
              <w:spacing w:before="115"/>
              <w:ind w:left="44"/>
              <w:rPr>
                <w:sz w:val="24"/>
              </w:rPr>
            </w:pPr>
            <w:r>
              <w:rPr>
                <w:sz w:val="24"/>
              </w:rPr>
              <w:t>Snuggery Power Station (units 1-3)</w:t>
            </w:r>
          </w:p>
        </w:tc>
        <w:tc>
          <w:tcPr>
            <w:tcW w:w="1814" w:type="dxa"/>
            <w:tcBorders>
              <w:top w:val="single" w:sz="4" w:space="0" w:color="000000"/>
              <w:left w:val="single" w:sz="4" w:space="0" w:color="000000"/>
              <w:right w:val="single" w:sz="4" w:space="0" w:color="000000"/>
            </w:tcBorders>
          </w:tcPr>
          <w:p>
            <w:pPr>
              <w:pStyle w:val="TableParagraph"/>
              <w:spacing w:before="115"/>
              <w:ind w:left="91" w:right="71"/>
              <w:jc w:val="center"/>
              <w:rPr>
                <w:sz w:val="24"/>
              </w:rPr>
            </w:pPr>
            <w:r>
              <w:rPr>
                <w:sz w:val="24"/>
              </w:rPr>
              <w:t>63</w:t>
            </w:r>
          </w:p>
        </w:tc>
      </w:tr>
    </w:tbl>
    <w:p>
      <w:pPr>
        <w:pStyle w:val="BodyText"/>
        <w:spacing w:before="3"/>
        <w:ind w:firstLine="0"/>
        <w:jc w:val="left"/>
        <w:rPr>
          <w:sz w:val="16"/>
        </w:rPr>
      </w:pPr>
    </w:p>
    <w:p>
      <w:pPr>
        <w:pStyle w:val="BodyText"/>
        <w:spacing w:before="90"/>
        <w:ind w:left="218" w:firstLine="0"/>
        <w:jc w:val="left"/>
      </w:pPr>
      <w:r>
        <w:rPr>
          <w:u w:val="single"/>
        </w:rPr>
        <w:t>New South Wales</w:t>
      </w:r>
    </w:p>
    <w:p>
      <w:pPr>
        <w:pStyle w:val="BodyText"/>
        <w:spacing w:before="4" w:after="1"/>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AGL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159"/>
              <w:rPr>
                <w:sz w:val="24"/>
              </w:rPr>
            </w:pPr>
            <w:r>
              <w:rPr>
                <w:sz w:val="24"/>
              </w:rPr>
              <w:t>AGL Macquarie Pty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Bayswater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660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Bayswater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660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Bayswater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660</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AGL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159"/>
              <w:rPr>
                <w:sz w:val="24"/>
              </w:rPr>
            </w:pPr>
            <w:r>
              <w:rPr>
                <w:sz w:val="24"/>
              </w:rPr>
              <w:t>AGL Macquarie Pty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Bayswater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660</w:t>
            </w:r>
          </w:p>
        </w:tc>
      </w:tr>
      <w:tr>
        <w:trPr>
          <w:trHeight w:val="791"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68"/>
              <w:rPr>
                <w:sz w:val="24"/>
              </w:rPr>
            </w:pPr>
            <w:r>
              <w:rPr>
                <w:sz w:val="24"/>
              </w:rPr>
              <w:t>Hunter Valley Gas Turbine (units 1- 2)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50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Liddell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500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Liddell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500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Liddell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500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Liddell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500</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Origin</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59"/>
              <w:rPr>
                <w:sz w:val="24"/>
              </w:rPr>
            </w:pPr>
            <w:r>
              <w:rPr>
                <w:sz w:val="24"/>
              </w:rPr>
              <w:t>Origin Energy Electricity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Eraring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720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Eraring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720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Eraring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720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Eraring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720</w:t>
            </w:r>
          </w:p>
        </w:tc>
      </w:tr>
      <w:tr>
        <w:trPr>
          <w:trHeight w:val="1343"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68"/>
              <w:rPr>
                <w:sz w:val="24"/>
              </w:rPr>
            </w:pPr>
            <w:r>
              <w:rPr>
                <w:sz w:val="24"/>
              </w:rPr>
              <w:t>Shoalhaven Power Station (Bendeela And Kangaroo Valley Power Station And Pumps) (units 1- 2)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240</w:t>
            </w:r>
          </w:p>
        </w:tc>
      </w:tr>
      <w:tr>
        <w:trPr>
          <w:trHeight w:val="1343"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ight="327"/>
              <w:rPr>
                <w:sz w:val="24"/>
              </w:rPr>
            </w:pPr>
            <w:r>
              <w:rPr>
                <w:sz w:val="24"/>
              </w:rPr>
              <w:t>Shoalhaven Power Station (Bendeela And Kangaroo Valley Power Station And Pumps) (units 304)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20"/>
              <w:jc w:val="center"/>
              <w:rPr>
                <w:sz w:val="24"/>
              </w:rPr>
            </w:pPr>
            <w:r>
              <w:rPr>
                <w:sz w:val="24"/>
              </w:rPr>
              <w:t>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Uranquinty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166</w:t>
            </w:r>
          </w:p>
        </w:tc>
      </w:tr>
    </w:tbl>
    <w:p>
      <w:pPr>
        <w:spacing w:after="0"/>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spacing w:before="0"/>
              <w:ind w:left="0"/>
              <w:rPr>
                <w:sz w:val="2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Uranquinty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166</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Uranquinty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166</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Uranquinty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166</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Snowy Hydro</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398"/>
              <w:rPr>
                <w:sz w:val="24"/>
              </w:rPr>
            </w:pPr>
            <w:r>
              <w:rPr>
                <w:sz w:val="24"/>
              </w:rPr>
              <w:t>Snowy Hydro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Blowering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70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Colongra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181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Colongra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181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Colongra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181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Colongra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181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Guthega Power Station (units 1-2)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60</w:t>
            </w:r>
          </w:p>
        </w:tc>
      </w:tr>
      <w:tr>
        <w:trPr>
          <w:trHeight w:val="510" w:hRule="atLeast"/>
        </w:trPr>
        <w:tc>
          <w:tcPr>
            <w:tcW w:w="1815" w:type="dxa"/>
            <w:vMerge w:val="restart"/>
            <w:tcBorders>
              <w:top w:val="single" w:sz="4" w:space="0" w:color="000000"/>
              <w:right w:val="single" w:sz="4" w:space="0" w:color="000000"/>
            </w:tcBorders>
          </w:tcPr>
          <w:p>
            <w:pPr>
              <w:pStyle w:val="TableParagraph"/>
              <w:ind w:left="40"/>
              <w:rPr>
                <w:b/>
                <w:sz w:val="24"/>
              </w:rPr>
            </w:pPr>
            <w:r>
              <w:rPr>
                <w:b/>
                <w:sz w:val="24"/>
              </w:rPr>
              <w:t>Snowy Hydro</w:t>
            </w:r>
          </w:p>
        </w:tc>
        <w:tc>
          <w:tcPr>
            <w:tcW w:w="1814" w:type="dxa"/>
            <w:vMerge w:val="restart"/>
            <w:tcBorders>
              <w:top w:val="single" w:sz="4" w:space="0" w:color="000000"/>
              <w:left w:val="single" w:sz="4" w:space="0" w:color="000000"/>
              <w:right w:val="single" w:sz="4" w:space="0" w:color="000000"/>
            </w:tcBorders>
          </w:tcPr>
          <w:p>
            <w:pPr>
              <w:pStyle w:val="TableParagraph"/>
              <w:ind w:right="398"/>
              <w:rPr>
                <w:sz w:val="24"/>
              </w:rPr>
            </w:pPr>
            <w:r>
              <w:rPr>
                <w:sz w:val="24"/>
              </w:rPr>
              <w:t>Snowy Hydro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Tumut 3 Power Station (units 1-6)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91" w:right="71"/>
              <w:jc w:val="center"/>
              <w:rPr>
                <w:sz w:val="24"/>
              </w:rPr>
            </w:pPr>
            <w:r>
              <w:rPr>
                <w:sz w:val="24"/>
              </w:rPr>
              <w:t>1500</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Tumut Power Station (units 1-4)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91" w:right="71"/>
              <w:jc w:val="center"/>
              <w:rPr>
                <w:sz w:val="24"/>
              </w:rPr>
            </w:pPr>
            <w:r>
              <w:rPr>
                <w:sz w:val="24"/>
              </w:rPr>
              <w:t>616</w:t>
            </w:r>
          </w:p>
        </w:tc>
      </w:tr>
      <w:tr>
        <w:trPr>
          <w:trHeight w:val="510"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right w:val="single" w:sz="4" w:space="0" w:color="000000"/>
            </w:tcBorders>
          </w:tcPr>
          <w:p>
            <w:pPr>
              <w:pStyle w:val="TableParagraph"/>
              <w:spacing w:before="115"/>
              <w:ind w:left="44"/>
              <w:rPr>
                <w:sz w:val="24"/>
              </w:rPr>
            </w:pPr>
            <w:r>
              <w:rPr>
                <w:sz w:val="24"/>
              </w:rPr>
              <w:t>Tumut Power Station (units 5-8)</w:t>
            </w:r>
          </w:p>
        </w:tc>
        <w:tc>
          <w:tcPr>
            <w:tcW w:w="1814" w:type="dxa"/>
            <w:tcBorders>
              <w:top w:val="single" w:sz="4" w:space="0" w:color="000000"/>
              <w:left w:val="single" w:sz="4" w:space="0" w:color="000000"/>
              <w:right w:val="single" w:sz="4" w:space="0" w:color="000000"/>
            </w:tcBorders>
          </w:tcPr>
          <w:p>
            <w:pPr>
              <w:pStyle w:val="TableParagraph"/>
              <w:spacing w:before="115"/>
              <w:ind w:left="20"/>
              <w:jc w:val="center"/>
              <w:rPr>
                <w:sz w:val="24"/>
              </w:rPr>
            </w:pPr>
            <w:r>
              <w:rPr>
                <w:sz w:val="24"/>
              </w:rPr>
              <w:t>0</w:t>
            </w:r>
          </w:p>
        </w:tc>
      </w:tr>
    </w:tbl>
    <w:p>
      <w:pPr>
        <w:pStyle w:val="BodyText"/>
        <w:spacing w:before="3"/>
        <w:ind w:firstLine="0"/>
        <w:jc w:val="left"/>
        <w:rPr>
          <w:sz w:val="16"/>
        </w:rPr>
      </w:pPr>
    </w:p>
    <w:p>
      <w:pPr>
        <w:pStyle w:val="BodyText"/>
        <w:spacing w:before="90"/>
        <w:ind w:left="218" w:firstLine="0"/>
        <w:jc w:val="left"/>
      </w:pPr>
      <w:r>
        <w:rPr>
          <w:u w:val="single"/>
        </w:rPr>
        <w:t>Queensland</w:t>
      </w:r>
    </w:p>
    <w:p>
      <w:pPr>
        <w:pStyle w:val="BodyText"/>
        <w:spacing w:before="4" w:after="1"/>
        <w:ind w:firstLine="0"/>
        <w:jc w:val="left"/>
        <w:rPr>
          <w:sz w:val="12"/>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1067"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CS Energy</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right="372"/>
              <w:rPr>
                <w:sz w:val="24"/>
              </w:rPr>
            </w:pPr>
            <w:r>
              <w:rPr>
                <w:sz w:val="24"/>
              </w:rPr>
              <w:t>Callide Power Trading Pty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Callide C Nett Off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420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692"/>
              <w:rPr>
                <w:sz w:val="24"/>
              </w:rPr>
            </w:pPr>
            <w:r>
              <w:rPr>
                <w:sz w:val="24"/>
              </w:rPr>
              <w:t>CS Energy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Callide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350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Callide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350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5)</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Gladstone Power Station (unit 6)</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0" w:right="711"/>
              <w:jc w:val="right"/>
              <w:rPr>
                <w:sz w:val="24"/>
              </w:rPr>
            </w:pPr>
            <w:r>
              <w:rPr>
                <w:sz w:val="24"/>
              </w:rPr>
              <w:t>280</w:t>
            </w:r>
          </w:p>
        </w:tc>
      </w:tr>
    </w:tbl>
    <w:p>
      <w:pPr>
        <w:spacing w:after="0"/>
        <w:jc w:val="right"/>
        <w:rPr>
          <w:sz w:val="24"/>
        </w:rPr>
        <w:sectPr>
          <w:pgSz w:w="11910" w:h="16840"/>
          <w:pgMar w:header="686" w:footer="637" w:top="1320" w:bottom="820" w:left="1200" w:right="1000"/>
        </w:sectPr>
      </w:pPr>
    </w:p>
    <w:p>
      <w:pPr>
        <w:pStyle w:val="BodyText"/>
        <w:spacing w:before="2"/>
        <w:ind w:firstLine="0"/>
        <w:jc w:val="left"/>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814"/>
        <w:gridCol w:w="3628"/>
        <w:gridCol w:w="1814"/>
      </w:tblGrid>
      <w:tr>
        <w:trPr>
          <w:trHeight w:val="671" w:hRule="atLeast"/>
        </w:trPr>
        <w:tc>
          <w:tcPr>
            <w:tcW w:w="1815" w:type="dxa"/>
            <w:tcBorders>
              <w:bottom w:val="single" w:sz="4" w:space="0" w:color="000000"/>
              <w:right w:val="single" w:sz="4" w:space="0" w:color="000000"/>
            </w:tcBorders>
            <w:shd w:val="clear" w:color="auto" w:fill="D9D9D9"/>
          </w:tcPr>
          <w:p>
            <w:pPr>
              <w:pStyle w:val="TableParagraph"/>
              <w:ind w:left="267"/>
              <w:rPr>
                <w:rFonts w:ascii="Arial"/>
                <w:b/>
                <w:sz w:val="24"/>
              </w:rPr>
            </w:pPr>
            <w:r>
              <w:rPr>
                <w:rFonts w:ascii="Arial"/>
                <w:b/>
                <w:sz w:val="24"/>
              </w:rPr>
              <w:t>MLO group</w:t>
            </w:r>
          </w:p>
        </w:tc>
        <w:tc>
          <w:tcPr>
            <w:tcW w:w="1814" w:type="dxa"/>
            <w:tcBorders>
              <w:left w:val="single" w:sz="4" w:space="0" w:color="000000"/>
              <w:bottom w:val="single" w:sz="4" w:space="0" w:color="000000"/>
              <w:right w:val="single" w:sz="4" w:space="0" w:color="000000"/>
            </w:tcBorders>
            <w:shd w:val="clear" w:color="auto" w:fill="D9D9D9"/>
          </w:tcPr>
          <w:p>
            <w:pPr>
              <w:pStyle w:val="TableParagraph"/>
              <w:ind w:left="90" w:right="71"/>
              <w:jc w:val="center"/>
              <w:rPr>
                <w:rFonts w:ascii="Arial"/>
                <w:b/>
                <w:sz w:val="24"/>
              </w:rPr>
            </w:pPr>
            <w:r>
              <w:rPr>
                <w:rFonts w:ascii="Arial"/>
                <w:b/>
                <w:sz w:val="24"/>
              </w:rPr>
              <w:t>MLO</w:t>
            </w:r>
          </w:p>
          <w:p>
            <w:pPr>
              <w:pStyle w:val="TableParagraph"/>
              <w:spacing w:line="256" w:lineRule="exact" w:before="0"/>
              <w:ind w:left="91" w:right="71"/>
              <w:jc w:val="center"/>
              <w:rPr>
                <w:rFonts w:ascii="Arial"/>
                <w:b/>
                <w:sz w:val="24"/>
              </w:rPr>
            </w:pPr>
            <w:r>
              <w:rPr>
                <w:rFonts w:ascii="Arial"/>
                <w:b/>
                <w:sz w:val="24"/>
              </w:rPr>
              <w:t>generators</w:t>
            </w:r>
          </w:p>
        </w:tc>
        <w:tc>
          <w:tcPr>
            <w:tcW w:w="3628" w:type="dxa"/>
            <w:tcBorders>
              <w:left w:val="single" w:sz="4" w:space="0" w:color="000000"/>
              <w:bottom w:val="single" w:sz="4" w:space="0" w:color="000000"/>
              <w:right w:val="single" w:sz="4" w:space="0" w:color="000000"/>
            </w:tcBorders>
            <w:shd w:val="clear" w:color="auto" w:fill="D9D9D9"/>
          </w:tcPr>
          <w:p>
            <w:pPr>
              <w:pStyle w:val="TableParagraph"/>
              <w:ind w:left="245"/>
              <w:rPr>
                <w:rFonts w:ascii="Arial"/>
                <w:b/>
                <w:sz w:val="24"/>
              </w:rPr>
            </w:pPr>
            <w:r>
              <w:rPr>
                <w:rFonts w:ascii="Arial"/>
                <w:b/>
                <w:sz w:val="24"/>
              </w:rPr>
              <w:t>Scheduled generating units</w:t>
            </w:r>
          </w:p>
        </w:tc>
        <w:tc>
          <w:tcPr>
            <w:tcW w:w="1814" w:type="dxa"/>
            <w:tcBorders>
              <w:left w:val="single" w:sz="4" w:space="0" w:color="000000"/>
              <w:bottom w:val="single" w:sz="4" w:space="0" w:color="000000"/>
              <w:right w:val="single" w:sz="4" w:space="0" w:color="000000"/>
            </w:tcBorders>
            <w:shd w:val="clear" w:color="auto" w:fill="D9D9D9"/>
          </w:tcPr>
          <w:p>
            <w:pPr>
              <w:pStyle w:val="TableParagraph"/>
              <w:spacing w:line="270" w:lineRule="atLeast"/>
              <w:ind w:left="431" w:right="252" w:hanging="140"/>
              <w:rPr>
                <w:rFonts w:ascii="Arial"/>
                <w:b/>
                <w:sz w:val="24"/>
              </w:rPr>
            </w:pPr>
            <w:r>
              <w:rPr>
                <w:rFonts w:ascii="Arial"/>
                <w:b/>
                <w:sz w:val="24"/>
              </w:rPr>
              <w:t>Registered capacity</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spacing w:before="0"/>
              <w:ind w:left="0"/>
              <w:rPr>
                <w:sz w:val="22"/>
              </w:rPr>
            </w:pP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2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Kogan Creek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744</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Wivenhoe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250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Wivenhoe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250</w:t>
            </w:r>
          </w:p>
        </w:tc>
      </w:tr>
      <w:tr>
        <w:trPr>
          <w:trHeight w:val="515" w:hRule="atLeast"/>
        </w:trPr>
        <w:tc>
          <w:tcPr>
            <w:tcW w:w="1815" w:type="dxa"/>
            <w:vMerge w:val="restart"/>
            <w:tcBorders>
              <w:top w:val="single" w:sz="4" w:space="0" w:color="000000"/>
              <w:bottom w:val="single" w:sz="4" w:space="0" w:color="000000"/>
              <w:right w:val="single" w:sz="4" w:space="0" w:color="000000"/>
            </w:tcBorders>
          </w:tcPr>
          <w:p>
            <w:pPr>
              <w:pStyle w:val="TableParagraph"/>
              <w:ind w:left="40"/>
              <w:rPr>
                <w:b/>
                <w:sz w:val="24"/>
              </w:rPr>
            </w:pPr>
            <w:r>
              <w:rPr>
                <w:b/>
                <w:sz w:val="24"/>
              </w:rPr>
              <w:t>Stanwell</w:t>
            </w:r>
          </w:p>
        </w:tc>
        <w:tc>
          <w:tcPr>
            <w:tcW w:w="1814" w:type="dxa"/>
            <w:vMerge w:val="restart"/>
            <w:tcBorders>
              <w:top w:val="single" w:sz="4" w:space="0" w:color="000000"/>
              <w:left w:val="single" w:sz="4" w:space="0" w:color="000000"/>
              <w:bottom w:val="single" w:sz="4" w:space="0" w:color="000000"/>
              <w:right w:val="single" w:sz="4" w:space="0" w:color="000000"/>
            </w:tcBorders>
          </w:tcPr>
          <w:p>
            <w:pPr>
              <w:pStyle w:val="TableParagraph"/>
              <w:ind w:right="579"/>
              <w:rPr>
                <w:sz w:val="24"/>
              </w:rPr>
            </w:pPr>
            <w:r>
              <w:rPr>
                <w:sz w:val="24"/>
              </w:rPr>
              <w:t>Stanwell Corporation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Barron Gorge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30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Barron Gorge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30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Kareeya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Kareeya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Kareeya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Kareeya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21</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Mackay Gas Turbine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92"/>
              <w:rPr>
                <w:sz w:val="24"/>
              </w:rPr>
            </w:pPr>
            <w:r>
              <w:rPr>
                <w:sz w:val="24"/>
              </w:rPr>
              <w:t>30</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Stanwell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365</w:t>
            </w:r>
          </w:p>
        </w:tc>
      </w:tr>
      <w:tr>
        <w:trPr>
          <w:trHeight w:val="515" w:hRule="atLeast"/>
        </w:trPr>
        <w:tc>
          <w:tcPr>
            <w:tcW w:w="1815" w:type="dxa"/>
            <w:vMerge/>
            <w:tcBorders>
              <w:top w:val="nil"/>
              <w:bottom w:val="single" w:sz="4" w:space="0" w:color="000000"/>
              <w:right w:val="single" w:sz="4" w:space="0" w:color="000000"/>
            </w:tcBorders>
          </w:tcPr>
          <w:p>
            <w:pPr>
              <w:rPr>
                <w:sz w:val="2"/>
                <w:szCs w:val="2"/>
              </w:rPr>
            </w:pPr>
          </w:p>
        </w:tc>
        <w:tc>
          <w:tcPr>
            <w:tcW w:w="1814" w:type="dxa"/>
            <w:vMerge/>
            <w:tcBorders>
              <w:top w:val="nil"/>
              <w:left w:val="single" w:sz="4" w:space="0" w:color="000000"/>
              <w:bottom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Stanwell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365</w:t>
            </w:r>
          </w:p>
        </w:tc>
      </w:tr>
      <w:tr>
        <w:trPr>
          <w:trHeight w:val="510" w:hRule="atLeast"/>
        </w:trPr>
        <w:tc>
          <w:tcPr>
            <w:tcW w:w="1815" w:type="dxa"/>
            <w:vMerge w:val="restart"/>
            <w:tcBorders>
              <w:top w:val="single" w:sz="4" w:space="0" w:color="000000"/>
              <w:right w:val="single" w:sz="4" w:space="0" w:color="000000"/>
            </w:tcBorders>
          </w:tcPr>
          <w:p>
            <w:pPr>
              <w:pStyle w:val="TableParagraph"/>
              <w:ind w:left="40"/>
              <w:rPr>
                <w:b/>
                <w:sz w:val="24"/>
              </w:rPr>
            </w:pPr>
            <w:r>
              <w:rPr>
                <w:b/>
                <w:sz w:val="24"/>
              </w:rPr>
              <w:t>Stanwell</w:t>
            </w:r>
          </w:p>
        </w:tc>
        <w:tc>
          <w:tcPr>
            <w:tcW w:w="1814" w:type="dxa"/>
            <w:vMerge w:val="restart"/>
            <w:tcBorders>
              <w:top w:val="single" w:sz="4" w:space="0" w:color="000000"/>
              <w:left w:val="single" w:sz="4" w:space="0" w:color="000000"/>
              <w:right w:val="single" w:sz="4" w:space="0" w:color="000000"/>
            </w:tcBorders>
          </w:tcPr>
          <w:p>
            <w:pPr>
              <w:pStyle w:val="TableParagraph"/>
              <w:ind w:right="579"/>
              <w:rPr>
                <w:sz w:val="24"/>
              </w:rPr>
            </w:pPr>
            <w:r>
              <w:rPr>
                <w:sz w:val="24"/>
              </w:rPr>
              <w:t>Stanwell Corporation Limited</w:t>
            </w:r>
          </w:p>
        </w:tc>
        <w:tc>
          <w:tcPr>
            <w:tcW w:w="3628" w:type="dxa"/>
            <w:tcBorders>
              <w:top w:val="single" w:sz="4" w:space="0" w:color="000000"/>
              <w:left w:val="single" w:sz="4" w:space="0" w:color="000000"/>
              <w:bottom w:val="single" w:sz="4" w:space="0" w:color="000000"/>
              <w:right w:val="single" w:sz="4" w:space="0" w:color="000000"/>
            </w:tcBorders>
          </w:tcPr>
          <w:p>
            <w:pPr>
              <w:pStyle w:val="TableParagraph"/>
              <w:ind w:left="44"/>
              <w:rPr>
                <w:sz w:val="24"/>
              </w:rPr>
            </w:pPr>
            <w:r>
              <w:rPr>
                <w:sz w:val="24"/>
              </w:rPr>
              <w:t>Stanwell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ind w:left="732"/>
              <w:rPr>
                <w:sz w:val="24"/>
              </w:rPr>
            </w:pPr>
            <w:r>
              <w:rPr>
                <w:sz w:val="24"/>
              </w:rPr>
              <w:t>365</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Stanwell Power Station (unit 4)</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365</w:t>
            </w:r>
          </w:p>
        </w:tc>
      </w:tr>
      <w:tr>
        <w:trPr>
          <w:trHeight w:val="781"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ight="321"/>
              <w:rPr>
                <w:sz w:val="24"/>
              </w:rPr>
            </w:pPr>
            <w:r>
              <w:rPr>
                <w:sz w:val="24"/>
              </w:rPr>
              <w:t>Swanbank B Power Station &amp; Swanbank E Gas Turbine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385</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Tarong North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443</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Tarong Power Station (unit 1)</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350</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Tarong Power Station (unit 2)</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350</w:t>
            </w:r>
          </w:p>
        </w:tc>
      </w:tr>
      <w:tr>
        <w:trPr>
          <w:trHeight w:val="505"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bottom w:val="single" w:sz="4" w:space="0" w:color="000000"/>
              <w:right w:val="single" w:sz="4" w:space="0" w:color="000000"/>
            </w:tcBorders>
          </w:tcPr>
          <w:p>
            <w:pPr>
              <w:pStyle w:val="TableParagraph"/>
              <w:spacing w:before="115"/>
              <w:ind w:left="44"/>
              <w:rPr>
                <w:sz w:val="24"/>
              </w:rPr>
            </w:pPr>
            <w:r>
              <w:rPr>
                <w:sz w:val="24"/>
              </w:rPr>
              <w:t>Tarong Power Station (unit 3)</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spacing w:before="115"/>
              <w:ind w:left="732"/>
              <w:rPr>
                <w:sz w:val="24"/>
              </w:rPr>
            </w:pPr>
            <w:r>
              <w:rPr>
                <w:sz w:val="24"/>
              </w:rPr>
              <w:t>350</w:t>
            </w:r>
          </w:p>
        </w:tc>
      </w:tr>
      <w:tr>
        <w:trPr>
          <w:trHeight w:val="510" w:hRule="atLeast"/>
        </w:trPr>
        <w:tc>
          <w:tcPr>
            <w:tcW w:w="1815" w:type="dxa"/>
            <w:vMerge/>
            <w:tcBorders>
              <w:top w:val="nil"/>
              <w:right w:val="single" w:sz="4" w:space="0" w:color="000000"/>
            </w:tcBorders>
          </w:tcPr>
          <w:p>
            <w:pPr>
              <w:rPr>
                <w:sz w:val="2"/>
                <w:szCs w:val="2"/>
              </w:rPr>
            </w:pPr>
          </w:p>
        </w:tc>
        <w:tc>
          <w:tcPr>
            <w:tcW w:w="1814" w:type="dxa"/>
            <w:vMerge/>
            <w:tcBorders>
              <w:top w:val="nil"/>
              <w:left w:val="single" w:sz="4" w:space="0" w:color="000000"/>
              <w:right w:val="single" w:sz="4" w:space="0" w:color="000000"/>
            </w:tcBorders>
          </w:tcPr>
          <w:p>
            <w:pPr>
              <w:rPr>
                <w:sz w:val="2"/>
                <w:szCs w:val="2"/>
              </w:rPr>
            </w:pPr>
          </w:p>
        </w:tc>
        <w:tc>
          <w:tcPr>
            <w:tcW w:w="3628" w:type="dxa"/>
            <w:tcBorders>
              <w:top w:val="single" w:sz="4" w:space="0" w:color="000000"/>
              <w:left w:val="single" w:sz="4" w:space="0" w:color="000000"/>
              <w:right w:val="single" w:sz="4" w:space="0" w:color="000000"/>
            </w:tcBorders>
          </w:tcPr>
          <w:p>
            <w:pPr>
              <w:pStyle w:val="TableParagraph"/>
              <w:spacing w:before="115"/>
              <w:ind w:left="44"/>
              <w:rPr>
                <w:sz w:val="24"/>
              </w:rPr>
            </w:pPr>
            <w:r>
              <w:rPr>
                <w:sz w:val="24"/>
              </w:rPr>
              <w:t>Tarong Power Station (unit 4)</w:t>
            </w:r>
          </w:p>
        </w:tc>
        <w:tc>
          <w:tcPr>
            <w:tcW w:w="1814" w:type="dxa"/>
            <w:tcBorders>
              <w:top w:val="single" w:sz="4" w:space="0" w:color="000000"/>
              <w:left w:val="single" w:sz="4" w:space="0" w:color="000000"/>
              <w:right w:val="single" w:sz="4" w:space="0" w:color="000000"/>
            </w:tcBorders>
          </w:tcPr>
          <w:p>
            <w:pPr>
              <w:pStyle w:val="TableParagraph"/>
              <w:spacing w:before="115"/>
              <w:ind w:left="732"/>
              <w:rPr>
                <w:sz w:val="24"/>
              </w:rPr>
            </w:pPr>
            <w:r>
              <w:rPr>
                <w:sz w:val="24"/>
              </w:rPr>
              <w:t>350</w:t>
            </w:r>
          </w:p>
        </w:tc>
      </w:tr>
    </w:tbl>
    <w:p>
      <w:pPr>
        <w:pStyle w:val="BodyText"/>
        <w:spacing w:before="0"/>
        <w:ind w:firstLine="0"/>
        <w:jc w:val="left"/>
        <w:rPr>
          <w:sz w:val="20"/>
        </w:rPr>
      </w:pPr>
    </w:p>
    <w:p>
      <w:pPr>
        <w:pStyle w:val="BodyText"/>
        <w:spacing w:before="10"/>
        <w:ind w:firstLine="0"/>
        <w:jc w:val="left"/>
        <w:rPr>
          <w:sz w:val="16"/>
        </w:rPr>
      </w:pPr>
    </w:p>
    <w:p>
      <w:pPr>
        <w:pStyle w:val="Heading4"/>
        <w:numPr>
          <w:ilvl w:val="2"/>
          <w:numId w:val="850"/>
        </w:numPr>
        <w:tabs>
          <w:tab w:pos="1352" w:val="left" w:leader="none"/>
        </w:tabs>
        <w:spacing w:line="240" w:lineRule="auto" w:before="93" w:after="0"/>
        <w:ind w:left="1351" w:right="0" w:hanging="1134"/>
        <w:jc w:val="left"/>
      </w:pPr>
      <w:bookmarkStart w:name="11.116.13 MLO information template" w:id="3546"/>
      <w:bookmarkEnd w:id="3546"/>
      <w:r>
        <w:rPr>
          <w:b w:val="0"/>
        </w:rPr>
      </w:r>
      <w:bookmarkStart w:name="_bookmark1397" w:id="3547"/>
      <w:bookmarkEnd w:id="3547"/>
      <w:r>
        <w:rPr>
          <w:b w:val="0"/>
        </w:rPr>
      </w:r>
      <w:bookmarkStart w:name="_bookmark1397" w:id="3548"/>
      <w:bookmarkEnd w:id="3548"/>
      <w:r>
        <w:rPr/>
        <w:t>MLO</w:t>
      </w:r>
      <w:r>
        <w:rPr/>
        <w:t> information</w:t>
      </w:r>
      <w:r>
        <w:rPr>
          <w:spacing w:val="-1"/>
        </w:rPr>
        <w:t> </w:t>
      </w:r>
      <w:r>
        <w:rPr/>
        <w:t>template</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w:t>
      </w:r>
      <w:r>
        <w:rPr>
          <w:i/>
          <w:sz w:val="24"/>
        </w:rPr>
        <w:t>AER </w:t>
      </w:r>
      <w:r>
        <w:rPr>
          <w:sz w:val="24"/>
        </w:rPr>
        <w:t>must develop and </w:t>
      </w:r>
      <w:r>
        <w:rPr>
          <w:i/>
          <w:sz w:val="24"/>
        </w:rPr>
        <w:t>publish </w:t>
      </w:r>
      <w:r>
        <w:rPr>
          <w:sz w:val="24"/>
        </w:rPr>
        <w:t>a MLO information template ("</w:t>
      </w:r>
      <w:r>
        <w:rPr>
          <w:b/>
          <w:sz w:val="24"/>
        </w:rPr>
        <w:t>MLO information template</w:t>
      </w:r>
      <w:r>
        <w:rPr>
          <w:sz w:val="24"/>
        </w:rPr>
        <w:t>") by 31 October 2020 that provides for each </w:t>
      </w:r>
      <w:r>
        <w:rPr>
          <w:i/>
          <w:sz w:val="24"/>
        </w:rPr>
        <w:t>Market </w:t>
      </w:r>
      <w:r>
        <w:rPr>
          <w:i/>
          <w:sz w:val="24"/>
        </w:rPr>
        <w:t>Generator </w:t>
      </w:r>
      <w:r>
        <w:rPr>
          <w:sz w:val="24"/>
        </w:rPr>
        <w:t>to provide the information identified in clause 4A.G.13 as at 31 January</w:t>
      </w:r>
      <w:r>
        <w:rPr>
          <w:spacing w:val="-2"/>
          <w:sz w:val="24"/>
        </w:rPr>
        <w:t> </w:t>
      </w:r>
      <w:r>
        <w:rPr>
          <w:sz w:val="24"/>
        </w:rPr>
        <w:t>2021.</w:t>
      </w:r>
    </w:p>
    <w:p>
      <w:pPr>
        <w:spacing w:after="0" w:line="240" w:lineRule="auto"/>
        <w:jc w:val="both"/>
        <w:rPr>
          <w:sz w:val="24"/>
        </w:rPr>
        <w:sectPr>
          <w:pgSz w:w="11910" w:h="16840"/>
          <w:pgMar w:header="686" w:footer="637" w:top="1320" w:bottom="820" w:left="1200" w:right="1000"/>
        </w:sectPr>
      </w:pPr>
    </w:p>
    <w:p>
      <w:pPr>
        <w:pStyle w:val="ListParagraph"/>
        <w:numPr>
          <w:ilvl w:val="3"/>
          <w:numId w:val="850"/>
        </w:numPr>
        <w:tabs>
          <w:tab w:pos="1919" w:val="left" w:leader="none"/>
        </w:tabs>
        <w:spacing w:line="240" w:lineRule="auto" w:before="83" w:after="0"/>
        <w:ind w:left="1919" w:right="415" w:hanging="567"/>
        <w:jc w:val="both"/>
        <w:rPr>
          <w:sz w:val="24"/>
        </w:rPr>
      </w:pPr>
      <w:r>
        <w:rPr>
          <w:sz w:val="24"/>
        </w:rPr>
        <w:t>Each person who, at 31 January 2021, is a </w:t>
      </w:r>
      <w:r>
        <w:rPr>
          <w:i/>
          <w:sz w:val="24"/>
        </w:rPr>
        <w:t>Market Generator </w:t>
      </w:r>
      <w:r>
        <w:rPr>
          <w:sz w:val="24"/>
        </w:rPr>
        <w:t>must comply with clause 4A.G.13 by completing and delivering to the </w:t>
      </w:r>
      <w:r>
        <w:rPr>
          <w:i/>
          <w:sz w:val="24"/>
        </w:rPr>
        <w:t>AER </w:t>
      </w:r>
      <w:r>
        <w:rPr>
          <w:sz w:val="24"/>
        </w:rPr>
        <w:t>the MLO information template, by no later than 31 January</w:t>
      </w:r>
      <w:r>
        <w:rPr>
          <w:spacing w:val="-3"/>
          <w:sz w:val="24"/>
        </w:rPr>
        <w:t> </w:t>
      </w:r>
      <w:r>
        <w:rPr>
          <w:sz w:val="24"/>
        </w:rPr>
        <w:t>2021.</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For the purposes of complying with paragraph (b), a </w:t>
      </w:r>
      <w:r>
        <w:rPr>
          <w:i/>
          <w:sz w:val="24"/>
        </w:rPr>
        <w:t>Market Generator </w:t>
      </w:r>
      <w:r>
        <w:rPr>
          <w:sz w:val="24"/>
        </w:rPr>
        <w:t>is to provide the information identified in clause 4A.G.13 as at 31 January 2021 and as if clause 11.116.12 were not in effect at such</w:t>
      </w:r>
      <w:r>
        <w:rPr>
          <w:spacing w:val="-5"/>
          <w:sz w:val="24"/>
        </w:rPr>
        <w:t> </w:t>
      </w:r>
      <w:r>
        <w:rPr>
          <w:sz w:val="24"/>
        </w:rPr>
        <w:t>time.</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4 Initial MLO register" w:id="3549"/>
      <w:bookmarkEnd w:id="3549"/>
      <w:r>
        <w:rPr>
          <w:b w:val="0"/>
        </w:rPr>
      </w:r>
      <w:bookmarkStart w:name="_bookmark1398" w:id="3550"/>
      <w:bookmarkEnd w:id="3550"/>
      <w:r>
        <w:rPr>
          <w:b w:val="0"/>
        </w:rPr>
      </w:r>
      <w:bookmarkStart w:name="_bookmark1398" w:id="3551"/>
      <w:bookmarkEnd w:id="3551"/>
      <w:r>
        <w:rPr/>
        <w:t>Init</w:t>
      </w:r>
      <w:r>
        <w:rPr/>
        <w:t>ial MLO</w:t>
      </w:r>
      <w:r>
        <w:rPr>
          <w:spacing w:val="-2"/>
        </w:rPr>
        <w:t> </w:t>
      </w:r>
      <w:r>
        <w:rPr/>
        <w:t>register</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The </w:t>
      </w:r>
      <w:r>
        <w:rPr>
          <w:i/>
          <w:sz w:val="24"/>
        </w:rPr>
        <w:t>AER </w:t>
      </w:r>
      <w:r>
        <w:rPr>
          <w:sz w:val="24"/>
        </w:rPr>
        <w:t>must develop and </w:t>
      </w:r>
      <w:r>
        <w:rPr>
          <w:i/>
          <w:sz w:val="24"/>
        </w:rPr>
        <w:t>publish </w:t>
      </w:r>
      <w:r>
        <w:rPr>
          <w:sz w:val="24"/>
        </w:rPr>
        <w:t>by 31 May 2021 a MLO Register under clause 4A.G.12 containing all required information in respect of persons registered as </w:t>
      </w:r>
      <w:r>
        <w:rPr>
          <w:i/>
          <w:sz w:val="24"/>
        </w:rPr>
        <w:t>Market Generators </w:t>
      </w:r>
      <w:r>
        <w:rPr>
          <w:sz w:val="24"/>
        </w:rPr>
        <w:t>as at 31 January</w:t>
      </w:r>
      <w:r>
        <w:rPr>
          <w:spacing w:val="-6"/>
          <w:sz w:val="24"/>
        </w:rPr>
        <w:t> </w:t>
      </w:r>
      <w:r>
        <w:rPr>
          <w:sz w:val="24"/>
        </w:rPr>
        <w:t>2021.</w:t>
      </w:r>
    </w:p>
    <w:p>
      <w:pPr>
        <w:pStyle w:val="ListParagraph"/>
        <w:numPr>
          <w:ilvl w:val="3"/>
          <w:numId w:val="850"/>
        </w:numPr>
        <w:tabs>
          <w:tab w:pos="1919" w:val="left" w:leader="none"/>
        </w:tabs>
        <w:spacing w:line="240" w:lineRule="auto" w:before="120" w:after="0"/>
        <w:ind w:left="1918" w:right="0" w:hanging="567"/>
        <w:jc w:val="both"/>
        <w:rPr>
          <w:i/>
          <w:sz w:val="24"/>
        </w:rPr>
      </w:pPr>
      <w:r>
        <w:rPr>
          <w:sz w:val="24"/>
        </w:rPr>
        <w:t>The</w:t>
      </w:r>
      <w:r>
        <w:rPr>
          <w:spacing w:val="17"/>
          <w:sz w:val="24"/>
        </w:rPr>
        <w:t> </w:t>
      </w:r>
      <w:r>
        <w:rPr>
          <w:i/>
          <w:sz w:val="24"/>
        </w:rPr>
        <w:t>AER</w:t>
      </w:r>
      <w:r>
        <w:rPr>
          <w:i/>
          <w:spacing w:val="17"/>
          <w:sz w:val="24"/>
        </w:rPr>
        <w:t> </w:t>
      </w:r>
      <w:r>
        <w:rPr>
          <w:sz w:val="24"/>
        </w:rPr>
        <w:t>is</w:t>
      </w:r>
      <w:r>
        <w:rPr>
          <w:spacing w:val="18"/>
          <w:sz w:val="24"/>
        </w:rPr>
        <w:t> </w:t>
      </w:r>
      <w:r>
        <w:rPr>
          <w:sz w:val="24"/>
        </w:rPr>
        <w:t>not</w:t>
      </w:r>
      <w:r>
        <w:rPr>
          <w:spacing w:val="17"/>
          <w:sz w:val="24"/>
        </w:rPr>
        <w:t> </w:t>
      </w:r>
      <w:r>
        <w:rPr>
          <w:sz w:val="24"/>
        </w:rPr>
        <w:t>required</w:t>
      </w:r>
      <w:r>
        <w:rPr>
          <w:spacing w:val="17"/>
          <w:sz w:val="24"/>
        </w:rPr>
        <w:t> </w:t>
      </w:r>
      <w:r>
        <w:rPr>
          <w:sz w:val="24"/>
        </w:rPr>
        <w:t>to</w:t>
      </w:r>
      <w:r>
        <w:rPr>
          <w:spacing w:val="18"/>
          <w:sz w:val="24"/>
        </w:rPr>
        <w:t> </w:t>
      </w:r>
      <w:r>
        <w:rPr>
          <w:sz w:val="24"/>
        </w:rPr>
        <w:t>comply</w:t>
      </w:r>
      <w:r>
        <w:rPr>
          <w:spacing w:val="17"/>
          <w:sz w:val="24"/>
        </w:rPr>
        <w:t> </w:t>
      </w:r>
      <w:r>
        <w:rPr>
          <w:sz w:val="24"/>
        </w:rPr>
        <w:t>with</w:t>
      </w:r>
      <w:r>
        <w:rPr>
          <w:spacing w:val="17"/>
          <w:sz w:val="24"/>
        </w:rPr>
        <w:t> </w:t>
      </w:r>
      <w:r>
        <w:rPr>
          <w:sz w:val="24"/>
        </w:rPr>
        <w:t>the</w:t>
      </w:r>
      <w:r>
        <w:rPr>
          <w:spacing w:val="18"/>
          <w:sz w:val="24"/>
        </w:rPr>
        <w:t> </w:t>
      </w:r>
      <w:r>
        <w:rPr>
          <w:i/>
          <w:sz w:val="24"/>
        </w:rPr>
        <w:t>Rules</w:t>
      </w:r>
      <w:r>
        <w:rPr>
          <w:i/>
          <w:spacing w:val="17"/>
          <w:sz w:val="24"/>
        </w:rPr>
        <w:t> </w:t>
      </w:r>
      <w:r>
        <w:rPr>
          <w:i/>
          <w:sz w:val="24"/>
        </w:rPr>
        <w:t>consultation</w:t>
      </w:r>
      <w:r>
        <w:rPr>
          <w:i/>
          <w:spacing w:val="17"/>
          <w:sz w:val="24"/>
        </w:rPr>
        <w:t> </w:t>
      </w:r>
      <w:r>
        <w:rPr>
          <w:i/>
          <w:sz w:val="24"/>
        </w:rPr>
        <w:t>procedures</w:t>
      </w:r>
    </w:p>
    <w:p>
      <w:pPr>
        <w:pStyle w:val="BodyText"/>
        <w:spacing w:before="0"/>
        <w:ind w:left="1919" w:firstLine="0"/>
      </w:pPr>
      <w:r>
        <w:rPr/>
        <w:t>when preparing the MLO register under paragraph (a).</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5 Approved MLO products list" w:id="3552"/>
      <w:bookmarkEnd w:id="3552"/>
      <w:r>
        <w:rPr>
          <w:b w:val="0"/>
        </w:rPr>
      </w:r>
      <w:bookmarkStart w:name="_bookmark1399" w:id="3553"/>
      <w:bookmarkEnd w:id="3553"/>
      <w:r>
        <w:rPr>
          <w:b w:val="0"/>
        </w:rPr>
      </w:r>
      <w:bookmarkStart w:name="_bookmark1399" w:id="3554"/>
      <w:bookmarkEnd w:id="3554"/>
      <w:r>
        <w:rPr/>
        <w:t>Approve</w:t>
      </w:r>
      <w:r>
        <w:rPr/>
        <w:t>d MLO products</w:t>
      </w:r>
      <w:r>
        <w:rPr>
          <w:spacing w:val="-3"/>
        </w:rPr>
        <w:t> </w:t>
      </w:r>
      <w:r>
        <w:rPr/>
        <w:t>list</w:t>
      </w:r>
    </w:p>
    <w:p>
      <w:pPr>
        <w:pStyle w:val="BodyText"/>
        <w:ind w:left="1352" w:right="415" w:firstLine="0"/>
        <w:jc w:val="left"/>
      </w:pPr>
      <w:r>
        <w:rPr/>
        <w:t>In respect of each </w:t>
      </w:r>
      <w:r>
        <w:rPr>
          <w:i/>
        </w:rPr>
        <w:t>region</w:t>
      </w:r>
      <w:r>
        <w:rPr/>
        <w:t>, the </w:t>
      </w:r>
      <w:r>
        <w:rPr>
          <w:i/>
        </w:rPr>
        <w:t>AER </w:t>
      </w:r>
      <w:r>
        <w:rPr/>
        <w:t>must make and </w:t>
      </w:r>
      <w:r>
        <w:rPr>
          <w:i/>
        </w:rPr>
        <w:t>publish </w:t>
      </w:r>
      <w:r>
        <w:rPr/>
        <w:t>by 1 October 2019 an initial list of MLO products that:</w:t>
      </w:r>
    </w:p>
    <w:p>
      <w:pPr>
        <w:pStyle w:val="ListParagraph"/>
        <w:numPr>
          <w:ilvl w:val="3"/>
          <w:numId w:val="850"/>
        </w:numPr>
        <w:tabs>
          <w:tab w:pos="1918" w:val="left" w:leader="none"/>
          <w:tab w:pos="1919" w:val="left" w:leader="none"/>
        </w:tabs>
        <w:spacing w:line="240" w:lineRule="auto" w:before="120" w:after="0"/>
        <w:ind w:left="1918" w:right="0" w:hanging="567"/>
        <w:jc w:val="left"/>
        <w:rPr>
          <w:sz w:val="24"/>
        </w:rPr>
      </w:pPr>
      <w:r>
        <w:rPr>
          <w:sz w:val="24"/>
        </w:rPr>
        <w:t>satisfy the criteria set out in clause 4A.G.22(a);</w:t>
      </w:r>
      <w:r>
        <w:rPr>
          <w:spacing w:val="-2"/>
          <w:sz w:val="24"/>
        </w:rPr>
        <w:t> </w:t>
      </w:r>
      <w:r>
        <w:rPr>
          <w:sz w:val="24"/>
        </w:rPr>
        <w:t>or</w:t>
      </w:r>
    </w:p>
    <w:p>
      <w:pPr>
        <w:pStyle w:val="ListParagraph"/>
        <w:numPr>
          <w:ilvl w:val="3"/>
          <w:numId w:val="850"/>
        </w:numPr>
        <w:tabs>
          <w:tab w:pos="1918" w:val="left" w:leader="none"/>
          <w:tab w:pos="1919" w:val="left" w:leader="none"/>
        </w:tabs>
        <w:spacing w:line="240" w:lineRule="auto" w:before="120" w:after="0"/>
        <w:ind w:left="1919" w:right="415" w:hanging="567"/>
        <w:jc w:val="left"/>
        <w:rPr>
          <w:sz w:val="24"/>
        </w:rPr>
      </w:pPr>
      <w:r>
        <w:rPr>
          <w:sz w:val="24"/>
        </w:rPr>
        <w:t>are otherwise approved to be MLO products by the </w:t>
      </w:r>
      <w:r>
        <w:rPr>
          <w:i/>
          <w:sz w:val="24"/>
        </w:rPr>
        <w:t>AER </w:t>
      </w:r>
      <w:r>
        <w:rPr>
          <w:sz w:val="24"/>
        </w:rPr>
        <w:t>pursuant to clause 4A.G.22(b).</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6 Designated MLO exchange" w:id="3555"/>
      <w:bookmarkEnd w:id="3555"/>
      <w:r>
        <w:rPr>
          <w:b w:val="0"/>
        </w:rPr>
      </w:r>
      <w:bookmarkStart w:name="_bookmark1400" w:id="3556"/>
      <w:bookmarkEnd w:id="3556"/>
      <w:r>
        <w:rPr>
          <w:b w:val="0"/>
        </w:rPr>
      </w:r>
      <w:bookmarkStart w:name="_bookmark1400" w:id="3557"/>
      <w:bookmarkEnd w:id="3557"/>
      <w:r>
        <w:rPr/>
        <w:t>Designate</w:t>
      </w:r>
      <w:r>
        <w:rPr/>
        <w:t>d MLO</w:t>
      </w:r>
      <w:r>
        <w:rPr>
          <w:spacing w:val="-2"/>
        </w:rPr>
        <w:t> </w:t>
      </w:r>
      <w:r>
        <w:rPr/>
        <w:t>exchange</w:t>
      </w:r>
    </w:p>
    <w:p>
      <w:pPr>
        <w:pStyle w:val="BodyText"/>
        <w:ind w:left="1352" w:right="415" w:firstLine="0"/>
      </w:pPr>
      <w:r>
        <w:rPr/>
        <w:t>The ASX24 will be taken to be a MLO exchange from the commencement date, unless and until the </w:t>
      </w:r>
      <w:r>
        <w:rPr>
          <w:i/>
        </w:rPr>
        <w:t>AER </w:t>
      </w:r>
      <w:r>
        <w:rPr/>
        <w:t>determines that it no longer satisfies the criteria set out in clause 4A.G.23.</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7 Five minute settlement interva" w:id="3558"/>
      <w:bookmarkEnd w:id="3558"/>
      <w:r>
        <w:rPr>
          <w:b w:val="0"/>
        </w:rPr>
      </w:r>
      <w:bookmarkStart w:name="_bookmark1401" w:id="3559"/>
      <w:bookmarkEnd w:id="3559"/>
      <w:r>
        <w:rPr>
          <w:b w:val="0"/>
        </w:rPr>
      </w:r>
      <w:bookmarkStart w:name="_bookmark1401" w:id="3560"/>
      <w:bookmarkEnd w:id="3560"/>
      <w:r>
        <w:rPr/>
        <w:t>Five</w:t>
      </w:r>
      <w:r>
        <w:rPr/>
        <w:t> minute settlement</w:t>
      </w:r>
      <w:r>
        <w:rPr>
          <w:spacing w:val="-3"/>
        </w:rPr>
        <w:t> </w:t>
      </w:r>
      <w:r>
        <w:rPr/>
        <w:t>intervals</w:t>
      </w:r>
    </w:p>
    <w:p>
      <w:pPr>
        <w:pStyle w:val="BodyText"/>
        <w:ind w:left="1352" w:firstLine="0"/>
      </w:pPr>
      <w:r>
        <w:rPr/>
        <w:t>On and from 1 July 2021:</w:t>
      </w:r>
    </w:p>
    <w:p>
      <w:pPr>
        <w:pStyle w:val="ListParagraph"/>
        <w:numPr>
          <w:ilvl w:val="3"/>
          <w:numId w:val="850"/>
        </w:numPr>
        <w:tabs>
          <w:tab w:pos="1919" w:val="left" w:leader="none"/>
        </w:tabs>
        <w:spacing w:line="240" w:lineRule="auto" w:before="120" w:after="0"/>
        <w:ind w:left="1919" w:right="413" w:hanging="567"/>
        <w:jc w:val="both"/>
        <w:rPr>
          <w:sz w:val="24"/>
        </w:rPr>
      </w:pPr>
      <w:r>
        <w:rPr>
          <w:sz w:val="24"/>
        </w:rPr>
        <w:t>for a reliability instrument requested or issued prior to 1 July 2021, the </w:t>
      </w:r>
      <w:r>
        <w:rPr>
          <w:i/>
          <w:sz w:val="24"/>
        </w:rPr>
        <w:t>trading intervals </w:t>
      </w:r>
      <w:r>
        <w:rPr>
          <w:sz w:val="24"/>
        </w:rPr>
        <w:t>specified in that reliability instrument will be deemed to refer to the corresponding 6 continuous 5-minute </w:t>
      </w:r>
      <w:r>
        <w:rPr>
          <w:i/>
          <w:sz w:val="24"/>
        </w:rPr>
        <w:t>trading intervals </w:t>
      </w:r>
      <w:r>
        <w:rPr>
          <w:sz w:val="24"/>
        </w:rPr>
        <w:t>(as defined under Chapter 10 of the </w:t>
      </w:r>
      <w:r>
        <w:rPr>
          <w:i/>
          <w:sz w:val="24"/>
        </w:rPr>
        <w:t>Rules </w:t>
      </w:r>
      <w:r>
        <w:rPr>
          <w:sz w:val="24"/>
        </w:rPr>
        <w:t>in force immediately after 1 July 2021) which cover the same period of time;</w:t>
      </w:r>
      <w:r>
        <w:rPr>
          <w:spacing w:val="-5"/>
          <w:sz w:val="24"/>
        </w:rPr>
        <w:t> </w:t>
      </w:r>
      <w:r>
        <w:rPr>
          <w:sz w:val="24"/>
        </w:rPr>
        <w:t>and</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when determining whether a T-1 reliability instrument is related to a T-3 reliability instrument issued prior to 1 July 2021, the </w:t>
      </w:r>
      <w:r>
        <w:rPr>
          <w:i/>
          <w:sz w:val="24"/>
        </w:rPr>
        <w:t>trading intervals </w:t>
      </w:r>
      <w:r>
        <w:rPr>
          <w:sz w:val="24"/>
        </w:rPr>
        <w:t>specified in that T-3 reliability instrument will be deemed to refer to the corresponding 6 continuous 5-minute </w:t>
      </w:r>
      <w:r>
        <w:rPr>
          <w:i/>
          <w:sz w:val="24"/>
        </w:rPr>
        <w:t>trading intervals </w:t>
      </w:r>
      <w:r>
        <w:rPr>
          <w:sz w:val="24"/>
        </w:rPr>
        <w:t>(as defined </w:t>
      </w:r>
      <w:r>
        <w:rPr>
          <w:spacing w:val="-4"/>
          <w:sz w:val="24"/>
        </w:rPr>
        <w:t>under </w:t>
      </w:r>
      <w:r>
        <w:rPr>
          <w:sz w:val="24"/>
        </w:rPr>
        <w:t>Chapter 10 of the </w:t>
      </w:r>
      <w:r>
        <w:rPr>
          <w:i/>
          <w:sz w:val="24"/>
        </w:rPr>
        <w:t>Rules </w:t>
      </w:r>
      <w:r>
        <w:rPr>
          <w:sz w:val="24"/>
        </w:rPr>
        <w:t>in force immediately after 1 July 2021) which cover the same period of time referred to in the T-1 reliability</w:t>
      </w:r>
      <w:r>
        <w:rPr>
          <w:spacing w:val="-4"/>
          <w:sz w:val="24"/>
        </w:rPr>
        <w:t> </w:t>
      </w:r>
      <w:r>
        <w:rPr>
          <w:sz w:val="24"/>
        </w:rPr>
        <w:t>instrument.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6.18 Review by AEMC" w:id="3561"/>
      <w:bookmarkEnd w:id="3561"/>
      <w:r>
        <w:rPr>
          <w:b w:val="0"/>
        </w:rPr>
      </w:r>
      <w:bookmarkStart w:name="_bookmark1402" w:id="3562"/>
      <w:bookmarkEnd w:id="3562"/>
      <w:r>
        <w:rPr>
          <w:b w:val="0"/>
        </w:rPr>
      </w:r>
      <w:bookmarkStart w:name="_bookmark1402" w:id="3563"/>
      <w:bookmarkEnd w:id="3563"/>
      <w:r>
        <w:rPr/>
        <w:t>Revie</w:t>
      </w:r>
      <w:r>
        <w:rPr/>
        <w:t>w by</w:t>
      </w:r>
      <w:r>
        <w:rPr>
          <w:spacing w:val="-2"/>
        </w:rPr>
        <w:t> </w:t>
      </w:r>
      <w:r>
        <w:rPr/>
        <w:t>AEMC</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By 1 July 2023, the </w:t>
      </w:r>
      <w:r>
        <w:rPr>
          <w:i/>
          <w:sz w:val="24"/>
        </w:rPr>
        <w:t>AEMC </w:t>
      </w:r>
      <w:r>
        <w:rPr>
          <w:sz w:val="24"/>
        </w:rPr>
        <w:t>must conduct a review of the operation of Chapter 4A including any other matter which the </w:t>
      </w:r>
      <w:r>
        <w:rPr>
          <w:i/>
          <w:sz w:val="24"/>
        </w:rPr>
        <w:t>AEMC </w:t>
      </w:r>
      <w:r>
        <w:rPr>
          <w:sz w:val="24"/>
        </w:rPr>
        <w:t>reasonably  believes is relevant to the operation of Chapter</w:t>
      </w:r>
      <w:r>
        <w:rPr>
          <w:spacing w:val="-1"/>
          <w:sz w:val="24"/>
        </w:rPr>
        <w:t> </w:t>
      </w:r>
      <w:r>
        <w:rPr>
          <w:sz w:val="24"/>
        </w:rPr>
        <w:t>4A.</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In conducting its review under paragraph (a), the </w:t>
      </w:r>
      <w:r>
        <w:rPr>
          <w:i/>
          <w:sz w:val="24"/>
        </w:rPr>
        <w:t>AEMC</w:t>
      </w:r>
      <w:r>
        <w:rPr>
          <w:i/>
          <w:spacing w:val="-1"/>
          <w:sz w:val="24"/>
        </w:rPr>
        <w:t> </w:t>
      </w:r>
      <w:r>
        <w:rPr>
          <w:sz w:val="24"/>
        </w:rPr>
        <w:t>must:</w:t>
      </w:r>
    </w:p>
    <w:p>
      <w:pPr>
        <w:spacing w:after="0" w:line="240" w:lineRule="auto"/>
        <w:jc w:val="both"/>
        <w:rPr>
          <w:sz w:val="24"/>
        </w:rPr>
        <w:sectPr>
          <w:pgSz w:w="11910" w:h="16840"/>
          <w:pgMar w:header="686" w:footer="637" w:top="1320" w:bottom="820" w:left="1200" w:right="1000"/>
        </w:sectPr>
      </w:pPr>
    </w:p>
    <w:p>
      <w:pPr>
        <w:pStyle w:val="ListParagraph"/>
        <w:numPr>
          <w:ilvl w:val="4"/>
          <w:numId w:val="850"/>
        </w:numPr>
        <w:tabs>
          <w:tab w:pos="2485" w:val="left" w:leader="none"/>
          <w:tab w:pos="2486" w:val="left" w:leader="none"/>
        </w:tabs>
        <w:spacing w:line="240" w:lineRule="auto" w:before="83" w:after="0"/>
        <w:ind w:left="2485" w:right="0" w:hanging="567"/>
        <w:jc w:val="left"/>
        <w:rPr>
          <w:sz w:val="24"/>
        </w:rPr>
      </w:pPr>
      <w:r>
        <w:rPr>
          <w:i/>
          <w:sz w:val="24"/>
        </w:rPr>
        <w:t>publish </w:t>
      </w:r>
      <w:r>
        <w:rPr>
          <w:sz w:val="24"/>
        </w:rPr>
        <w:t>the terms of reference of its review;</w:t>
      </w:r>
      <w:r>
        <w:rPr>
          <w:spacing w:val="-1"/>
          <w:sz w:val="24"/>
        </w:rPr>
        <w:t> </w:t>
      </w:r>
      <w:r>
        <w:rPr>
          <w:sz w:val="24"/>
        </w:rPr>
        <w:t>and</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follow the </w:t>
      </w:r>
      <w:r>
        <w:rPr>
          <w:i/>
          <w:sz w:val="24"/>
        </w:rPr>
        <w:t>Rules consultation</w:t>
      </w:r>
      <w:r>
        <w:rPr>
          <w:i/>
          <w:spacing w:val="-1"/>
          <w:sz w:val="24"/>
        </w:rPr>
        <w:t> </w:t>
      </w:r>
      <w:r>
        <w:rPr>
          <w:i/>
          <w:sz w:val="24"/>
        </w:rPr>
        <w:t>procedures</w:t>
      </w:r>
      <w:r>
        <w:rPr>
          <w:sz w:val="24"/>
        </w:rPr>
        <w:t>.</w:t>
      </w:r>
    </w:p>
    <w:p>
      <w:pPr>
        <w:spacing w:before="120"/>
        <w:ind w:left="1352" w:right="0" w:firstLine="0"/>
        <w:jc w:val="left"/>
        <w:rPr>
          <w:rFonts w:ascii="Arial"/>
          <w:b/>
          <w:sz w:val="20"/>
        </w:rPr>
      </w:pPr>
      <w:r>
        <w:rPr>
          <w:rFonts w:ascii="Arial"/>
          <w:b/>
          <w:sz w:val="20"/>
        </w:rPr>
        <w:t>Note</w:t>
      </w:r>
    </w:p>
    <w:p>
      <w:pPr>
        <w:spacing w:before="120"/>
        <w:ind w:left="1352" w:right="415" w:firstLine="0"/>
        <w:jc w:val="left"/>
        <w:rPr>
          <w:sz w:val="20"/>
        </w:rPr>
      </w:pPr>
      <w:r>
        <w:rPr>
          <w:sz w:val="20"/>
        </w:rPr>
        <w:t>This clause does not preclude the </w:t>
      </w:r>
      <w:r>
        <w:rPr>
          <w:i/>
          <w:sz w:val="20"/>
        </w:rPr>
        <w:t>AEMC </w:t>
      </w:r>
      <w:r>
        <w:rPr>
          <w:sz w:val="20"/>
        </w:rPr>
        <w:t>from conducting a review in accordance with section 45 of the </w:t>
      </w:r>
      <w:r>
        <w:rPr>
          <w:i/>
          <w:sz w:val="20"/>
        </w:rPr>
        <w:t>National Electricity Law</w:t>
      </w:r>
      <w:r>
        <w:rPr>
          <w:sz w:val="20"/>
        </w:rPr>
        <w:t>.</w:t>
      </w:r>
    </w:p>
    <w:p>
      <w:pPr>
        <w:pStyle w:val="BodyText"/>
        <w:spacing w:before="10"/>
        <w:ind w:firstLine="0"/>
        <w:jc w:val="left"/>
        <w:rPr>
          <w:sz w:val="20"/>
        </w:rPr>
      </w:pPr>
    </w:p>
    <w:p>
      <w:pPr>
        <w:pStyle w:val="Heading2"/>
        <w:tabs>
          <w:tab w:pos="9317" w:val="left" w:leader="none"/>
        </w:tabs>
      </w:pPr>
      <w:bookmarkStart w:name="Part ZZZS Transparency of new projects" w:id="3564"/>
      <w:bookmarkEnd w:id="3564"/>
      <w:r>
        <w:rPr>
          <w:b w:val="0"/>
        </w:rPr>
      </w:r>
      <w:bookmarkStart w:name="_bookmark1403" w:id="3565"/>
      <w:bookmarkEnd w:id="3565"/>
      <w:r>
        <w:rPr>
          <w:b w:val="0"/>
        </w:rPr>
      </w:r>
      <w:r>
        <w:rPr>
          <w:shd w:fill="D9D9D9" w:color="auto" w:val="clear"/>
        </w:rPr>
        <w:t>Part ZZZS  Transparency of new</w:t>
      </w:r>
      <w:r>
        <w:rPr>
          <w:spacing w:val="-41"/>
          <w:shd w:fill="D9D9D9" w:color="auto" w:val="clear"/>
        </w:rPr>
        <w:t> </w:t>
      </w:r>
      <w:r>
        <w:rPr>
          <w:shd w:fill="D9D9D9" w:color="auto" w:val="clear"/>
        </w:rPr>
        <w:t>projects</w:t>
        <w:tab/>
      </w:r>
    </w:p>
    <w:p>
      <w:pPr>
        <w:pStyle w:val="Heading3"/>
        <w:numPr>
          <w:ilvl w:val="1"/>
          <w:numId w:val="850"/>
        </w:numPr>
        <w:tabs>
          <w:tab w:pos="1351" w:val="left" w:leader="none"/>
          <w:tab w:pos="1353" w:val="left" w:leader="none"/>
        </w:tabs>
        <w:spacing w:line="240" w:lineRule="auto" w:before="240" w:after="0"/>
        <w:ind w:left="1352" w:right="798" w:hanging="1134"/>
        <w:jc w:val="left"/>
      </w:pPr>
      <w:bookmarkStart w:name="11.117 Rules consequential on the making" w:id="3566"/>
      <w:bookmarkEnd w:id="3566"/>
      <w:r>
        <w:rPr>
          <w:b w:val="0"/>
        </w:rPr>
      </w:r>
      <w:bookmarkStart w:name="_bookmark1404" w:id="3567"/>
      <w:bookmarkEnd w:id="3567"/>
      <w:r>
        <w:rPr>
          <w:b w:val="0"/>
        </w:rPr>
      </w:r>
      <w:bookmarkStart w:name="_bookmark1404" w:id="3568"/>
      <w:bookmarkEnd w:id="3568"/>
      <w:r>
        <w:rPr/>
        <w:t>Rul</w:t>
      </w:r>
      <w:r>
        <w:rPr/>
        <w:t>es consequential on the making of the National Electricity Amendment (Transparency of new projects) Rule</w:t>
      </w:r>
      <w:r>
        <w:rPr>
          <w:spacing w:val="-9"/>
        </w:rPr>
        <w:t> </w:t>
      </w:r>
      <w:r>
        <w:rPr/>
        <w:t>2019</w:t>
      </w:r>
    </w:p>
    <w:p>
      <w:pPr>
        <w:pStyle w:val="Heading4"/>
        <w:numPr>
          <w:ilvl w:val="2"/>
          <w:numId w:val="850"/>
        </w:numPr>
        <w:tabs>
          <w:tab w:pos="1352" w:val="left" w:leader="none"/>
        </w:tabs>
        <w:spacing w:line="240" w:lineRule="auto" w:before="240" w:after="0"/>
        <w:ind w:left="1351" w:right="0" w:hanging="1134"/>
        <w:jc w:val="left"/>
      </w:pPr>
      <w:bookmarkStart w:name="11.117.1 Definitions" w:id="3569"/>
      <w:bookmarkEnd w:id="3569"/>
      <w:r>
        <w:rPr>
          <w:b w:val="0"/>
        </w:rPr>
      </w:r>
      <w:bookmarkStart w:name="_bookmark1405" w:id="3570"/>
      <w:bookmarkEnd w:id="3570"/>
      <w:r>
        <w:rPr>
          <w:b w:val="0"/>
        </w:rPr>
      </w:r>
      <w:bookmarkStart w:name="_bookmark1405" w:id="3571"/>
      <w:bookmarkEnd w:id="3571"/>
      <w:r>
        <w:rPr/>
        <w:t>Definition</w:t>
      </w:r>
      <w:r>
        <w:rPr/>
        <w:t>s</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For the purposes of this rule</w:t>
      </w:r>
      <w:r>
        <w:rPr>
          <w:spacing w:val="-2"/>
          <w:sz w:val="24"/>
        </w:rPr>
        <w:t> </w:t>
      </w:r>
      <w:r>
        <w:rPr>
          <w:sz w:val="24"/>
        </w:rPr>
        <w:t>11.117:</w:t>
      </w:r>
    </w:p>
    <w:p>
      <w:pPr>
        <w:spacing w:before="120"/>
        <w:ind w:left="1919" w:right="415" w:firstLine="0"/>
        <w:jc w:val="both"/>
        <w:rPr>
          <w:sz w:val="24"/>
        </w:rPr>
      </w:pPr>
      <w:r>
        <w:rPr>
          <w:b/>
          <w:sz w:val="24"/>
        </w:rPr>
        <w:t>early connection information </w:t>
      </w:r>
      <w:r>
        <w:rPr>
          <w:sz w:val="24"/>
        </w:rPr>
        <w:t>means key connection information received by a </w:t>
      </w:r>
      <w:r>
        <w:rPr>
          <w:i/>
          <w:sz w:val="24"/>
        </w:rPr>
        <w:t>Transmission Network Service Provider </w:t>
      </w:r>
      <w:r>
        <w:rPr>
          <w:sz w:val="24"/>
        </w:rPr>
        <w:t>between 7 November 2019  and 19 December</w:t>
      </w:r>
      <w:r>
        <w:rPr>
          <w:spacing w:val="-1"/>
          <w:sz w:val="24"/>
        </w:rPr>
        <w:t> </w:t>
      </w:r>
      <w:r>
        <w:rPr>
          <w:sz w:val="24"/>
        </w:rPr>
        <w:t>2019:</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in a </w:t>
      </w:r>
      <w:r>
        <w:rPr>
          <w:i/>
          <w:sz w:val="24"/>
        </w:rPr>
        <w:t>connection </w:t>
      </w:r>
      <w:r>
        <w:rPr>
          <w:sz w:val="24"/>
        </w:rPr>
        <w:t>enquiry under rule</w:t>
      </w:r>
      <w:r>
        <w:rPr>
          <w:spacing w:val="-2"/>
          <w:sz w:val="24"/>
        </w:rPr>
        <w:t> </w:t>
      </w:r>
      <w:r>
        <w:rPr>
          <w:sz w:val="24"/>
        </w:rPr>
        <w:t>5.3;</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in an </w:t>
      </w:r>
      <w:r>
        <w:rPr>
          <w:i/>
          <w:sz w:val="24"/>
        </w:rPr>
        <w:t>application to connect </w:t>
      </w:r>
      <w:r>
        <w:rPr>
          <w:sz w:val="24"/>
        </w:rPr>
        <w:t>under rule 5.3;</w:t>
      </w:r>
      <w:r>
        <w:rPr>
          <w:spacing w:val="-2"/>
          <w:sz w:val="24"/>
        </w:rPr>
        <w:t> </w:t>
      </w:r>
      <w:r>
        <w:rPr>
          <w:sz w:val="24"/>
        </w:rPr>
        <w:t>or</w:t>
      </w:r>
    </w:p>
    <w:p>
      <w:pPr>
        <w:pStyle w:val="ListParagraph"/>
        <w:numPr>
          <w:ilvl w:val="4"/>
          <w:numId w:val="850"/>
        </w:numPr>
        <w:tabs>
          <w:tab w:pos="2485" w:val="left" w:leader="none"/>
          <w:tab w:pos="2486" w:val="left" w:leader="none"/>
        </w:tabs>
        <w:spacing w:line="240" w:lineRule="auto" w:before="120" w:after="0"/>
        <w:ind w:left="2485" w:right="0" w:hanging="567"/>
        <w:jc w:val="left"/>
        <w:rPr>
          <w:sz w:val="24"/>
        </w:rPr>
      </w:pPr>
      <w:r>
        <w:rPr>
          <w:sz w:val="24"/>
        </w:rPr>
        <w:t>under new clause 5.3.8(d1) or clause</w:t>
      </w:r>
      <w:r>
        <w:rPr>
          <w:spacing w:val="-2"/>
          <w:sz w:val="24"/>
        </w:rPr>
        <w:t> </w:t>
      </w:r>
      <w:r>
        <w:rPr>
          <w:sz w:val="24"/>
        </w:rPr>
        <w:t>5.3.8(e).</w:t>
      </w:r>
    </w:p>
    <w:p>
      <w:pPr>
        <w:spacing w:before="120"/>
        <w:ind w:left="1919" w:right="415" w:firstLine="0"/>
        <w:jc w:val="both"/>
        <w:rPr>
          <w:sz w:val="24"/>
        </w:rPr>
      </w:pPr>
      <w:r>
        <w:rPr>
          <w:b/>
          <w:sz w:val="24"/>
        </w:rPr>
        <w:t>key connection information </w:t>
      </w:r>
      <w:r>
        <w:rPr>
          <w:sz w:val="24"/>
        </w:rPr>
        <w:t>means </w:t>
      </w:r>
      <w:r>
        <w:rPr>
          <w:i/>
          <w:sz w:val="24"/>
        </w:rPr>
        <w:t>key connection information </w:t>
      </w:r>
      <w:r>
        <w:rPr>
          <w:sz w:val="24"/>
        </w:rPr>
        <w:t>as defined under Chapter 10 of the </w:t>
      </w:r>
      <w:r>
        <w:rPr>
          <w:i/>
          <w:sz w:val="24"/>
        </w:rPr>
        <w:t>Rules </w:t>
      </w:r>
      <w:r>
        <w:rPr>
          <w:sz w:val="24"/>
        </w:rPr>
        <w:t>as in force immediately after commencement of Schedules 2 and 3 of the </w:t>
      </w:r>
      <w:r>
        <w:rPr>
          <w:i/>
          <w:sz w:val="24"/>
        </w:rPr>
        <w:t>National Electricity Amendment (Transparency </w:t>
      </w:r>
      <w:r>
        <w:rPr>
          <w:i/>
          <w:sz w:val="24"/>
        </w:rPr>
        <w:t>of new projects) Rule 2019</w:t>
      </w:r>
      <w:r>
        <w:rPr>
          <w:sz w:val="24"/>
        </w:rPr>
        <w:t>.</w:t>
      </w:r>
    </w:p>
    <w:p>
      <w:pPr>
        <w:pStyle w:val="ListParagraph"/>
        <w:numPr>
          <w:ilvl w:val="3"/>
          <w:numId w:val="850"/>
        </w:numPr>
        <w:tabs>
          <w:tab w:pos="1919" w:val="left" w:leader="none"/>
        </w:tabs>
        <w:spacing w:line="240" w:lineRule="auto" w:before="120" w:after="0"/>
        <w:ind w:left="1919" w:right="414" w:hanging="567"/>
        <w:jc w:val="both"/>
        <w:rPr>
          <w:sz w:val="24"/>
        </w:rPr>
      </w:pPr>
      <w:r>
        <w:rPr>
          <w:sz w:val="24"/>
        </w:rPr>
        <w:t>For the purposes of this rule 11.117, a reference to a new clause is a reference to that clause as it is either set to commence or has commenced pursuant to the </w:t>
      </w:r>
      <w:r>
        <w:rPr>
          <w:i/>
          <w:sz w:val="24"/>
        </w:rPr>
        <w:t>National Electricity Amendment (Transparency of </w:t>
      </w:r>
      <w:r>
        <w:rPr>
          <w:i/>
          <w:spacing w:val="-5"/>
          <w:sz w:val="24"/>
        </w:rPr>
        <w:t>new </w:t>
      </w:r>
      <w:r>
        <w:rPr>
          <w:i/>
          <w:sz w:val="24"/>
        </w:rPr>
        <w:t>projects) Rule</w:t>
      </w:r>
      <w:r>
        <w:rPr>
          <w:i/>
          <w:spacing w:val="-1"/>
          <w:sz w:val="24"/>
        </w:rPr>
        <w:t> </w:t>
      </w:r>
      <w:r>
        <w:rPr>
          <w:i/>
          <w:sz w:val="24"/>
        </w:rPr>
        <w:t>2019</w:t>
      </w:r>
      <w:r>
        <w:rPr>
          <w:sz w:val="24"/>
        </w:rPr>
        <w:t>.</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7.2 Generation information page" w:id="3572"/>
      <w:bookmarkEnd w:id="3572"/>
      <w:r>
        <w:rPr>
          <w:b w:val="0"/>
        </w:rPr>
      </w:r>
      <w:bookmarkStart w:name="_bookmark1406" w:id="3573"/>
      <w:bookmarkEnd w:id="3573"/>
      <w:r>
        <w:rPr>
          <w:b w:val="0"/>
        </w:rPr>
      </w:r>
      <w:bookmarkStart w:name="_bookmark1406" w:id="3574"/>
      <w:bookmarkEnd w:id="3574"/>
      <w:r>
        <w:rPr/>
        <w:t>Generation</w:t>
      </w:r>
      <w:r>
        <w:rPr/>
        <w:t> information</w:t>
      </w:r>
      <w:r>
        <w:rPr>
          <w:spacing w:val="-1"/>
        </w:rPr>
        <w:t> </w:t>
      </w:r>
      <w:r>
        <w:rPr/>
        <w:t>page</w:t>
      </w:r>
    </w:p>
    <w:p>
      <w:pPr>
        <w:pStyle w:val="BodyText"/>
        <w:ind w:left="1352" w:firstLine="0"/>
        <w:jc w:val="left"/>
      </w:pPr>
      <w:r>
        <w:rPr>
          <w:i/>
        </w:rPr>
        <w:t>AEMO </w:t>
      </w:r>
      <w:r>
        <w:rPr/>
        <w:t>is not required to comply with new clause 3.7F(a) until 31 January 2020.</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7.3 Generation information guidelin" w:id="3575"/>
      <w:bookmarkEnd w:id="3575"/>
      <w:r>
        <w:rPr>
          <w:b w:val="0"/>
        </w:rPr>
      </w:r>
      <w:bookmarkStart w:name="_bookmark1407" w:id="3576"/>
      <w:bookmarkEnd w:id="3576"/>
      <w:r>
        <w:rPr>
          <w:b w:val="0"/>
        </w:rPr>
      </w:r>
      <w:bookmarkStart w:name="_bookmark1407" w:id="3577"/>
      <w:bookmarkEnd w:id="3577"/>
      <w:r>
        <w:rPr/>
        <w:t>Generation</w:t>
      </w:r>
      <w:r>
        <w:rPr/>
        <w:t> information</w:t>
      </w:r>
      <w:r>
        <w:rPr>
          <w:spacing w:val="-1"/>
        </w:rPr>
        <w:t> </w:t>
      </w:r>
      <w:r>
        <w:rPr/>
        <w:t>guidelines</w:t>
      </w:r>
    </w:p>
    <w:p>
      <w:pPr>
        <w:pStyle w:val="ListParagraph"/>
        <w:numPr>
          <w:ilvl w:val="3"/>
          <w:numId w:val="850"/>
        </w:numPr>
        <w:tabs>
          <w:tab w:pos="1919" w:val="left" w:leader="none"/>
        </w:tabs>
        <w:spacing w:line="240" w:lineRule="auto" w:before="120" w:after="0"/>
        <w:ind w:left="1919" w:right="415" w:hanging="567"/>
        <w:jc w:val="both"/>
        <w:rPr>
          <w:sz w:val="24"/>
        </w:rPr>
      </w:pPr>
      <w:r>
        <w:rPr>
          <w:sz w:val="24"/>
        </w:rPr>
        <w:t>The first generation information guidelines developed by </w:t>
      </w:r>
      <w:r>
        <w:rPr>
          <w:i/>
          <w:sz w:val="24"/>
        </w:rPr>
        <w:t>AEMO </w:t>
      </w:r>
      <w:r>
        <w:rPr>
          <w:sz w:val="24"/>
        </w:rPr>
        <w:t>under </w:t>
      </w:r>
      <w:r>
        <w:rPr>
          <w:spacing w:val="-4"/>
          <w:sz w:val="24"/>
        </w:rPr>
        <w:t>new </w:t>
      </w:r>
      <w:r>
        <w:rPr>
          <w:sz w:val="24"/>
        </w:rPr>
        <w:t>clause 3.7F(e) must be published by </w:t>
      </w:r>
      <w:r>
        <w:rPr>
          <w:i/>
          <w:sz w:val="24"/>
        </w:rPr>
        <w:t>AEMO </w:t>
      </w:r>
      <w:r>
        <w:rPr>
          <w:sz w:val="24"/>
        </w:rPr>
        <w:t>by 31 July</w:t>
      </w:r>
      <w:r>
        <w:rPr>
          <w:spacing w:val="-3"/>
          <w:sz w:val="24"/>
        </w:rPr>
        <w:t> </w:t>
      </w:r>
      <w:r>
        <w:rPr>
          <w:sz w:val="24"/>
        </w:rPr>
        <w:t>2020.</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must make and publish interim generation information guidelines by 5 December 2019 to apply until the guidelines described in paragraph (a)  are made and published under new clause</w:t>
      </w:r>
      <w:r>
        <w:rPr>
          <w:spacing w:val="-2"/>
          <w:sz w:val="24"/>
        </w:rPr>
        <w:t> </w:t>
      </w:r>
      <w:r>
        <w:rPr>
          <w:sz w:val="24"/>
        </w:rPr>
        <w:t>3.7F(e).</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AEMO </w:t>
      </w:r>
      <w:r>
        <w:rPr>
          <w:sz w:val="24"/>
        </w:rPr>
        <w:t>is not required to comply with the </w:t>
      </w:r>
      <w:r>
        <w:rPr>
          <w:i/>
          <w:sz w:val="24"/>
        </w:rPr>
        <w:t>Rules consultation procedures </w:t>
      </w:r>
      <w:r>
        <w:rPr>
          <w:sz w:val="24"/>
        </w:rPr>
        <w:t>when making the interim generation information guidelines under paragraph (b).</w:t>
      </w:r>
    </w:p>
    <w:p>
      <w:pPr>
        <w:pStyle w:val="ListParagraph"/>
        <w:numPr>
          <w:ilvl w:val="3"/>
          <w:numId w:val="850"/>
        </w:numPr>
        <w:tabs>
          <w:tab w:pos="1919" w:val="left" w:leader="none"/>
        </w:tabs>
        <w:spacing w:line="240" w:lineRule="auto" w:before="120" w:after="0"/>
        <w:ind w:left="1918" w:right="0" w:hanging="567"/>
        <w:jc w:val="both"/>
        <w:rPr>
          <w:sz w:val="24"/>
        </w:rPr>
      </w:pPr>
      <w:r>
        <w:rPr>
          <w:sz w:val="24"/>
        </w:rPr>
        <w:t>The interim generation information guidelines made under paragraph</w:t>
      </w:r>
      <w:r>
        <w:rPr>
          <w:spacing w:val="-3"/>
          <w:sz w:val="24"/>
        </w:rPr>
        <w:t> </w:t>
      </w:r>
      <w:r>
        <w:rPr>
          <w:sz w:val="24"/>
        </w:rPr>
        <w:t>(b):</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must not require the provision to </w:t>
      </w:r>
      <w:r>
        <w:rPr>
          <w:i/>
          <w:sz w:val="24"/>
        </w:rPr>
        <w:t>AEMO </w:t>
      </w:r>
      <w:r>
        <w:rPr>
          <w:sz w:val="24"/>
        </w:rPr>
        <w:t>of </w:t>
      </w:r>
      <w:r>
        <w:rPr>
          <w:i/>
          <w:sz w:val="24"/>
        </w:rPr>
        <w:t>key </w:t>
      </w:r>
      <w:r>
        <w:rPr>
          <w:i/>
          <w:spacing w:val="-3"/>
          <w:sz w:val="24"/>
        </w:rPr>
        <w:t>connection</w:t>
      </w:r>
      <w:r>
        <w:rPr>
          <w:i/>
          <w:spacing w:val="54"/>
          <w:sz w:val="24"/>
        </w:rPr>
        <w:t> </w:t>
      </w:r>
      <w:r>
        <w:rPr>
          <w:i/>
          <w:sz w:val="24"/>
        </w:rPr>
        <w:t>information </w:t>
      </w:r>
      <w:r>
        <w:rPr>
          <w:sz w:val="24"/>
        </w:rPr>
        <w:t>received by a </w:t>
      </w:r>
      <w:r>
        <w:rPr>
          <w:i/>
          <w:sz w:val="24"/>
        </w:rPr>
        <w:t>Transmission Network Service Provider </w:t>
      </w:r>
      <w:r>
        <w:rPr>
          <w:sz w:val="24"/>
        </w:rPr>
        <w:t>prior to 7 November</w:t>
      </w:r>
      <w:r>
        <w:rPr>
          <w:spacing w:val="-1"/>
          <w:sz w:val="24"/>
        </w:rPr>
        <w:t> </w:t>
      </w:r>
      <w:r>
        <w:rPr>
          <w:sz w:val="24"/>
        </w:rPr>
        <w:t>2019;</w:t>
      </w:r>
    </w:p>
    <w:p>
      <w:pPr>
        <w:spacing w:after="0" w:line="240" w:lineRule="auto"/>
        <w:jc w:val="both"/>
        <w:rPr>
          <w:sz w:val="24"/>
        </w:rPr>
        <w:sectPr>
          <w:pgSz w:w="11910" w:h="16840"/>
          <w:pgMar w:header="686" w:footer="637" w:top="1320" w:bottom="820" w:left="1200" w:right="1000"/>
        </w:sectPr>
      </w:pPr>
    </w:p>
    <w:p>
      <w:pPr>
        <w:pStyle w:val="ListParagraph"/>
        <w:numPr>
          <w:ilvl w:val="4"/>
          <w:numId w:val="850"/>
        </w:numPr>
        <w:tabs>
          <w:tab w:pos="2486" w:val="left" w:leader="none"/>
        </w:tabs>
        <w:spacing w:line="240" w:lineRule="auto" w:before="83" w:after="0"/>
        <w:ind w:left="2486" w:right="414" w:hanging="567"/>
        <w:jc w:val="both"/>
        <w:rPr>
          <w:sz w:val="24"/>
        </w:rPr>
      </w:pPr>
      <w:r>
        <w:rPr>
          <w:sz w:val="24"/>
        </w:rPr>
        <w:t>may only require </w:t>
      </w:r>
      <w:r>
        <w:rPr>
          <w:i/>
          <w:sz w:val="24"/>
        </w:rPr>
        <w:t>Transmission Network Service Providers </w:t>
      </w:r>
      <w:r>
        <w:rPr>
          <w:sz w:val="24"/>
        </w:rPr>
        <w:t>to provide </w:t>
      </w:r>
      <w:r>
        <w:rPr>
          <w:i/>
          <w:sz w:val="24"/>
        </w:rPr>
        <w:t>early connection information </w:t>
      </w:r>
      <w:r>
        <w:rPr>
          <w:sz w:val="24"/>
        </w:rPr>
        <w:t>to </w:t>
      </w:r>
      <w:r>
        <w:rPr>
          <w:i/>
          <w:sz w:val="24"/>
        </w:rPr>
        <w:t>AEMO </w:t>
      </w:r>
      <w:r>
        <w:rPr>
          <w:sz w:val="24"/>
        </w:rPr>
        <w:t>to the extent that the relevant </w:t>
      </w:r>
      <w:r>
        <w:rPr>
          <w:i/>
          <w:sz w:val="24"/>
        </w:rPr>
        <w:t>Connection Applicant </w:t>
      </w:r>
      <w:r>
        <w:rPr>
          <w:sz w:val="24"/>
        </w:rPr>
        <w:t>that disclosed the information to </w:t>
      </w:r>
      <w:r>
        <w:rPr>
          <w:spacing w:val="-5"/>
          <w:sz w:val="24"/>
        </w:rPr>
        <w:t>the </w:t>
      </w:r>
      <w:r>
        <w:rPr>
          <w:i/>
          <w:sz w:val="24"/>
        </w:rPr>
        <w:t>Transmission Network Service Provider </w:t>
      </w:r>
      <w:r>
        <w:rPr>
          <w:sz w:val="24"/>
        </w:rPr>
        <w:t>consents to its disclosure to </w:t>
      </w:r>
      <w:r>
        <w:rPr>
          <w:i/>
          <w:sz w:val="24"/>
        </w:rPr>
        <w:t>AEMO</w:t>
      </w:r>
      <w:r>
        <w:rPr>
          <w:sz w:val="24"/>
        </w:rPr>
        <w:t>; and</w:t>
      </w:r>
    </w:p>
    <w:p>
      <w:pPr>
        <w:pStyle w:val="ListParagraph"/>
        <w:numPr>
          <w:ilvl w:val="4"/>
          <w:numId w:val="850"/>
        </w:numPr>
        <w:tabs>
          <w:tab w:pos="2486" w:val="left" w:leader="none"/>
        </w:tabs>
        <w:spacing w:line="240" w:lineRule="auto" w:before="120" w:after="0"/>
        <w:ind w:left="2486" w:right="415" w:hanging="567"/>
        <w:jc w:val="both"/>
        <w:rPr>
          <w:sz w:val="24"/>
        </w:rPr>
      </w:pPr>
      <w:r>
        <w:rPr>
          <w:sz w:val="24"/>
        </w:rPr>
        <w:t>must include those matters referred to in new clause 3.7F(e) but without limitation to any other matters </w:t>
      </w:r>
      <w:r>
        <w:rPr>
          <w:i/>
          <w:sz w:val="24"/>
        </w:rPr>
        <w:t>AEMO </w:t>
      </w:r>
      <w:r>
        <w:rPr>
          <w:sz w:val="24"/>
        </w:rPr>
        <w:t>considers</w:t>
      </w:r>
      <w:r>
        <w:rPr>
          <w:spacing w:val="-8"/>
          <w:sz w:val="24"/>
        </w:rPr>
        <w:t> </w:t>
      </w:r>
      <w:r>
        <w:rPr>
          <w:sz w:val="24"/>
        </w:rPr>
        <w:t>appropriate.</w:t>
      </w:r>
    </w:p>
    <w:p>
      <w:pPr>
        <w:pStyle w:val="ListParagraph"/>
        <w:numPr>
          <w:ilvl w:val="3"/>
          <w:numId w:val="850"/>
        </w:numPr>
        <w:tabs>
          <w:tab w:pos="1919" w:val="left" w:leader="none"/>
        </w:tabs>
        <w:spacing w:line="240" w:lineRule="auto" w:before="120" w:after="0"/>
        <w:ind w:left="1919" w:right="415" w:hanging="567"/>
        <w:jc w:val="both"/>
        <w:rPr>
          <w:sz w:val="24"/>
        </w:rPr>
      </w:pPr>
      <w:r>
        <w:rPr>
          <w:i/>
          <w:sz w:val="24"/>
        </w:rPr>
        <w:t>Transmission Network Service Providers </w:t>
      </w:r>
      <w:r>
        <w:rPr>
          <w:sz w:val="24"/>
        </w:rPr>
        <w:t>are not required to comply with the interim generation information guidelines made under paragraph </w:t>
      </w:r>
      <w:r>
        <w:rPr>
          <w:spacing w:val="-4"/>
          <w:sz w:val="24"/>
        </w:rPr>
        <w:t>(b) </w:t>
      </w:r>
      <w:r>
        <w:rPr>
          <w:sz w:val="24"/>
        </w:rPr>
        <w:t>until 19 December</w:t>
      </w:r>
      <w:r>
        <w:rPr>
          <w:spacing w:val="-1"/>
          <w:sz w:val="24"/>
        </w:rPr>
        <w:t> </w:t>
      </w:r>
      <w:r>
        <w:rPr>
          <w:sz w:val="24"/>
        </w:rPr>
        <w:t>2019.</w:t>
      </w:r>
    </w:p>
    <w:p>
      <w:pPr>
        <w:pStyle w:val="BodyText"/>
        <w:spacing w:before="10"/>
        <w:ind w:firstLine="0"/>
        <w:jc w:val="left"/>
        <w:rPr>
          <w:sz w:val="20"/>
        </w:rPr>
      </w:pPr>
    </w:p>
    <w:p>
      <w:pPr>
        <w:pStyle w:val="Heading4"/>
        <w:numPr>
          <w:ilvl w:val="2"/>
          <w:numId w:val="850"/>
        </w:numPr>
        <w:tabs>
          <w:tab w:pos="1352" w:val="left" w:leader="none"/>
        </w:tabs>
        <w:spacing w:line="240" w:lineRule="auto" w:before="0" w:after="0"/>
        <w:ind w:left="1351" w:right="0" w:hanging="1134"/>
        <w:jc w:val="left"/>
      </w:pPr>
      <w:bookmarkStart w:name="11.117.4 Provision and use of informatio" w:id="3578"/>
      <w:bookmarkEnd w:id="3578"/>
      <w:r>
        <w:rPr>
          <w:b w:val="0"/>
        </w:rPr>
      </w:r>
      <w:bookmarkStart w:name="_bookmark1408" w:id="3579"/>
      <w:bookmarkEnd w:id="3579"/>
      <w:r>
        <w:rPr>
          <w:b w:val="0"/>
        </w:rPr>
      </w:r>
      <w:bookmarkStart w:name="_bookmark1408" w:id="3580"/>
      <w:bookmarkEnd w:id="3580"/>
      <w:r>
        <w:rPr/>
        <w:t>Provision</w:t>
      </w:r>
      <w:r>
        <w:rPr/>
        <w:t> and use of</w:t>
      </w:r>
      <w:r>
        <w:rPr>
          <w:spacing w:val="-1"/>
        </w:rPr>
        <w:t> </w:t>
      </w:r>
      <w:r>
        <w:rPr/>
        <w:t>information</w:t>
      </w:r>
    </w:p>
    <w:p>
      <w:pPr>
        <w:spacing w:before="120"/>
        <w:ind w:left="1352" w:right="415" w:firstLine="0"/>
        <w:jc w:val="left"/>
        <w:rPr>
          <w:sz w:val="24"/>
        </w:rPr>
      </w:pPr>
      <w:r>
        <w:rPr>
          <w:i/>
          <w:sz w:val="24"/>
        </w:rPr>
        <w:t>Transmission Network Service Providers </w:t>
      </w:r>
      <w:r>
        <w:rPr>
          <w:sz w:val="24"/>
        </w:rPr>
        <w:t>are not required to comply with new clause 3.7F(g) until 19 December 2019.</w:t>
      </w:r>
    </w:p>
    <w:p>
      <w:pPr>
        <w:spacing w:after="0"/>
        <w:jc w:val="left"/>
        <w:rPr>
          <w:sz w:val="24"/>
        </w:rPr>
        <w:sectPr>
          <w:pgSz w:w="11910" w:h="16840"/>
          <w:pgMar w:header="686" w:footer="637" w:top="1320" w:bottom="820" w:left="1200" w:right="1000"/>
        </w:sectPr>
      </w:pPr>
    </w:p>
    <w:p>
      <w:pPr>
        <w:pStyle w:val="BodyText"/>
        <w:spacing w:before="0"/>
        <w:ind w:firstLine="0"/>
        <w:jc w:val="left"/>
        <w:rPr>
          <w:sz w:val="20"/>
        </w:rPr>
      </w:pPr>
    </w:p>
    <w:p>
      <w:pPr>
        <w:pStyle w:val="BodyText"/>
        <w:spacing w:before="1"/>
        <w:ind w:firstLine="0"/>
        <w:jc w:val="left"/>
        <w:rPr>
          <w:sz w:val="10"/>
        </w:rPr>
      </w:pPr>
    </w:p>
    <w:p>
      <w:pPr>
        <w:pStyle w:val="BodyText"/>
        <w:spacing w:before="0"/>
        <w:ind w:left="99" w:firstLine="0"/>
        <w:jc w:val="left"/>
        <w:rPr>
          <w:sz w:val="20"/>
        </w:rPr>
      </w:pPr>
      <w:r>
        <w:rPr>
          <w:position w:val="0"/>
          <w:sz w:val="20"/>
        </w:rPr>
        <w:pict>
          <v:shape style="width:464.95pt;height:85.3pt;mso-position-horizontal-relative:char;mso-position-vertical-relative:line" type="#_x0000_t202" filled="true" fillcolor="#d9d9d9" stroked="true" strokeweight=".5pt" strokecolor="#000000">
            <w10:anchorlock/>
            <v:textbox inset="0,0,0,0">
              <w:txbxContent>
                <w:p>
                  <w:pPr>
                    <w:spacing w:before="20"/>
                    <w:ind w:left="108" w:right="0" w:firstLine="0"/>
                    <w:jc w:val="left"/>
                    <w:rPr>
                      <w:rFonts w:ascii="Arial"/>
                      <w:b/>
                      <w:sz w:val="24"/>
                    </w:rPr>
                  </w:pPr>
                  <w:r>
                    <w:rPr>
                      <w:rFonts w:ascii="Arial"/>
                      <w:b/>
                      <w:sz w:val="24"/>
                    </w:rPr>
                    <w:t>CHAPTER 11A</w:t>
                  </w:r>
                </w:p>
              </w:txbxContent>
            </v:textbox>
            <v:fill type="solid"/>
            <v:stroke dashstyle="solid"/>
          </v:shape>
        </w:pict>
      </w:r>
      <w:r>
        <w:rPr>
          <w:position w:val="0"/>
          <w:sz w:val="20"/>
        </w:rPr>
      </w:r>
    </w:p>
    <w:p>
      <w:pPr>
        <w:spacing w:after="0"/>
        <w:jc w:val="left"/>
        <w:rPr>
          <w:sz w:val="20"/>
        </w:rPr>
        <w:sectPr>
          <w:headerReference w:type="default" r:id="rId167"/>
          <w:footerReference w:type="default" r:id="rId168"/>
          <w:pgSz w:w="11910" w:h="16840"/>
          <w:pgMar w:header="686" w:footer="637" w:top="1320" w:bottom="820" w:left="1200" w:right="1000"/>
          <w:pgNumType w:start="973"/>
        </w:sectPr>
      </w:pPr>
    </w:p>
    <w:p>
      <w:pPr>
        <w:pStyle w:val="BodyText"/>
        <w:spacing w:before="4"/>
        <w:ind w:firstLine="0"/>
        <w:jc w:val="left"/>
        <w:rPr>
          <w:sz w:val="17"/>
        </w:rPr>
      </w:pPr>
    </w:p>
    <w:p>
      <w:pPr>
        <w:spacing w:after="0"/>
        <w:jc w:val="left"/>
        <w:rPr>
          <w:sz w:val="17"/>
        </w:rPr>
        <w:sectPr>
          <w:headerReference w:type="default" r:id="rId169"/>
          <w:footerReference w:type="default" r:id="rId170"/>
          <w:pgSz w:w="11910" w:h="16840"/>
          <w:pgMar w:header="0" w:footer="0" w:top="1600" w:bottom="280" w:left="1200" w:right="1000"/>
        </w:sectPr>
      </w:pPr>
    </w:p>
    <w:p>
      <w:pPr>
        <w:pStyle w:val="BodyText"/>
        <w:spacing w:before="3"/>
        <w:ind w:firstLine="0"/>
        <w:jc w:val="left"/>
        <w:rPr>
          <w:sz w:val="20"/>
        </w:rPr>
      </w:pPr>
    </w:p>
    <w:p>
      <w:pPr>
        <w:pStyle w:val="Heading1"/>
        <w:tabs>
          <w:tab w:pos="1351" w:val="left" w:leader="none"/>
        </w:tabs>
        <w:ind w:firstLine="0"/>
      </w:pPr>
      <w:bookmarkStart w:name="11A. NT Savings and Transitional Rules" w:id="3581"/>
      <w:bookmarkEnd w:id="3581"/>
      <w:r>
        <w:rPr>
          <w:b w:val="0"/>
        </w:rPr>
      </w:r>
      <w:bookmarkStart w:name="_bookmark1409" w:id="3582"/>
      <w:bookmarkEnd w:id="3582"/>
      <w:r>
        <w:rPr>
          <w:b w:val="0"/>
        </w:rPr>
      </w:r>
      <w:r>
        <w:rPr/>
        <w:t>11A.</w:t>
        <w:tab/>
        <w:t>NT Savings and Transitional</w:t>
      </w:r>
      <w:r>
        <w:rPr>
          <w:spacing w:val="-5"/>
        </w:rPr>
        <w:t> </w:t>
      </w:r>
      <w:r>
        <w:rPr/>
        <w:t>Rules</w:t>
      </w:r>
    </w:p>
    <w:p>
      <w:pPr>
        <w:pStyle w:val="BodyText"/>
        <w:spacing w:before="9"/>
        <w:ind w:firstLine="0"/>
        <w:jc w:val="left"/>
        <w:rPr>
          <w:rFonts w:ascii="Arial"/>
          <w:b/>
          <w:sz w:val="18"/>
        </w:rPr>
      </w:pPr>
      <w:r>
        <w:rPr/>
        <w:pict>
          <v:shape style="position:absolute;margin-left:69.450005pt;margin-top:12.023273pt;width:456.45pt;height:16.1pt;mso-position-horizontal-relative:page;mso-position-vertical-relative:paragraph;z-index:-251568128;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A Savings and transitional rules fo" w:id="3583"/>
                  <w:bookmarkEnd w:id="3583"/>
                  <w:r>
                    <w:rPr/>
                  </w:r>
                  <w:bookmarkStart w:name="_bookmark1410" w:id="3584"/>
                  <w:bookmarkEnd w:id="3584"/>
                  <w:r>
                    <w:rPr/>
                  </w:r>
                  <w:r>
                    <w:rPr>
                      <w:rFonts w:ascii="Arial"/>
                      <w:b/>
                      <w:sz w:val="28"/>
                    </w:rPr>
                    <w:t>Part A</w:t>
                    <w:tab/>
                    <w:t>Savings and transitional rules for Chapter</w:t>
                  </w:r>
                  <w:r>
                    <w:rPr>
                      <w:rFonts w:ascii="Arial"/>
                      <w:b/>
                      <w:spacing w:val="-6"/>
                      <w:sz w:val="28"/>
                    </w:rPr>
                    <w:t> </w:t>
                  </w:r>
                  <w:r>
                    <w:rPr>
                      <w:rFonts w:ascii="Arial"/>
                      <w:b/>
                      <w:sz w:val="28"/>
                    </w:rPr>
                    <w:t>5</w:t>
                  </w:r>
                </w:p>
              </w:txbxContent>
            </v:textbox>
            <v:fill type="solid"/>
            <w10:wrap type="topAndBottom"/>
          </v:shape>
        </w:pict>
      </w:r>
    </w:p>
    <w:p>
      <w:pPr>
        <w:pStyle w:val="BodyText"/>
        <w:spacing w:before="7"/>
        <w:ind w:firstLine="0"/>
        <w:jc w:val="left"/>
        <w:rPr>
          <w:rFonts w:ascii="Arial"/>
          <w:b/>
          <w:sz w:val="11"/>
        </w:rPr>
      </w:pPr>
    </w:p>
    <w:p>
      <w:pPr>
        <w:pStyle w:val="Heading3"/>
        <w:tabs>
          <w:tab w:pos="1351" w:val="left" w:leader="none"/>
        </w:tabs>
        <w:spacing w:before="91"/>
        <w:ind w:left="218" w:firstLine="0"/>
      </w:pPr>
      <w:bookmarkStart w:name="11A.1 Chapter 5 provisions" w:id="3585"/>
      <w:bookmarkEnd w:id="3585"/>
      <w:r>
        <w:rPr>
          <w:b w:val="0"/>
        </w:rPr>
      </w:r>
      <w:bookmarkStart w:name="_bookmark1411" w:id="3586"/>
      <w:bookmarkEnd w:id="3586"/>
      <w:r>
        <w:rPr>
          <w:b w:val="0"/>
        </w:rPr>
      </w:r>
      <w:r>
        <w:rPr/>
        <w:t>11A.1</w:t>
        <w:tab/>
        <w:t>Chapter 5</w:t>
      </w:r>
      <w:r>
        <w:rPr>
          <w:spacing w:val="-3"/>
        </w:rPr>
        <w:t> </w:t>
      </w:r>
      <w:r>
        <w:rPr/>
        <w:t>provisions</w:t>
      </w:r>
    </w:p>
    <w:p>
      <w:pPr>
        <w:pStyle w:val="ListParagraph"/>
        <w:numPr>
          <w:ilvl w:val="0"/>
          <w:numId w:val="863"/>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Rule:</w:t>
      </w:r>
    </w:p>
    <w:p>
      <w:pPr>
        <w:spacing w:before="120"/>
        <w:ind w:left="1919" w:right="415" w:firstLine="0"/>
        <w:jc w:val="both"/>
        <w:rPr>
          <w:sz w:val="24"/>
        </w:rPr>
      </w:pPr>
      <w:r>
        <w:rPr>
          <w:b/>
          <w:sz w:val="24"/>
        </w:rPr>
        <w:t>regulatory investment test </w:t>
      </w:r>
      <w:r>
        <w:rPr>
          <w:sz w:val="24"/>
        </w:rPr>
        <w:t>means a regulatory investment test under Part D of Chapter 5.</w:t>
      </w:r>
    </w:p>
    <w:p>
      <w:pPr>
        <w:pStyle w:val="ListParagraph"/>
        <w:numPr>
          <w:ilvl w:val="0"/>
          <w:numId w:val="863"/>
        </w:numPr>
        <w:tabs>
          <w:tab w:pos="1919" w:val="left" w:leader="none"/>
        </w:tabs>
        <w:spacing w:line="240" w:lineRule="auto" w:before="120" w:after="0"/>
        <w:ind w:left="1919" w:right="415" w:hanging="567"/>
        <w:jc w:val="both"/>
        <w:rPr>
          <w:sz w:val="24"/>
        </w:rPr>
      </w:pPr>
      <w:r>
        <w:rPr>
          <w:sz w:val="24"/>
        </w:rPr>
        <w:t>A </w:t>
      </w:r>
      <w:r>
        <w:rPr>
          <w:i/>
          <w:sz w:val="24"/>
        </w:rPr>
        <w:t>Primary Transmission Network Service Provider </w:t>
      </w:r>
      <w:r>
        <w:rPr>
          <w:sz w:val="24"/>
        </w:rPr>
        <w:t>is not required to publish or provide information under clause 5.2A.5(a) until 1 July</w:t>
      </w:r>
      <w:r>
        <w:rPr>
          <w:spacing w:val="-4"/>
          <w:sz w:val="24"/>
        </w:rPr>
        <w:t> </w:t>
      </w:r>
      <w:r>
        <w:rPr>
          <w:sz w:val="24"/>
        </w:rPr>
        <w:t>2020.</w:t>
      </w:r>
    </w:p>
    <w:p>
      <w:pPr>
        <w:pStyle w:val="ListParagraph"/>
        <w:numPr>
          <w:ilvl w:val="0"/>
          <w:numId w:val="863"/>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is not required to have and publish its first information pack under clause 5.3A.3(a)(3) until 1 July</w:t>
      </w:r>
      <w:r>
        <w:rPr>
          <w:spacing w:val="-3"/>
          <w:sz w:val="24"/>
        </w:rPr>
        <w:t> </w:t>
      </w:r>
      <w:r>
        <w:rPr>
          <w:sz w:val="24"/>
        </w:rPr>
        <w:t>2020.</w:t>
      </w:r>
    </w:p>
    <w:p>
      <w:pPr>
        <w:pStyle w:val="ListParagraph"/>
        <w:numPr>
          <w:ilvl w:val="0"/>
          <w:numId w:val="863"/>
        </w:numPr>
        <w:tabs>
          <w:tab w:pos="1919" w:val="left" w:leader="none"/>
        </w:tabs>
        <w:spacing w:line="240" w:lineRule="auto" w:before="120" w:after="0"/>
        <w:ind w:left="1919" w:right="415" w:hanging="567"/>
        <w:jc w:val="both"/>
        <w:rPr>
          <w:sz w:val="24"/>
        </w:rPr>
      </w:pPr>
      <w:r>
        <w:rPr>
          <w:sz w:val="24"/>
        </w:rPr>
        <w:t>A </w:t>
      </w:r>
      <w:r>
        <w:rPr>
          <w:i/>
          <w:sz w:val="24"/>
        </w:rPr>
        <w:t>Distribution Network Service Provider </w:t>
      </w:r>
      <w:r>
        <w:rPr>
          <w:sz w:val="24"/>
        </w:rPr>
        <w:t>is not required to include in its first </w:t>
      </w:r>
      <w:r>
        <w:rPr>
          <w:i/>
          <w:sz w:val="24"/>
        </w:rPr>
        <w:t>Distribution Annual Planning Report </w:t>
      </w:r>
      <w:r>
        <w:rPr>
          <w:sz w:val="24"/>
        </w:rPr>
        <w:t>published under clause 5.13.2 the information specified in clause S5.8(a)(5) if information on energy and demand forecasts was not required to be reported by the </w:t>
      </w:r>
      <w:r>
        <w:rPr>
          <w:i/>
          <w:sz w:val="24"/>
        </w:rPr>
        <w:t>Distribution </w:t>
      </w:r>
      <w:r>
        <w:rPr>
          <w:i/>
          <w:sz w:val="24"/>
        </w:rPr>
        <w:t>Network Service Provider </w:t>
      </w:r>
      <w:r>
        <w:rPr>
          <w:sz w:val="24"/>
        </w:rPr>
        <w:t>under </w:t>
      </w:r>
      <w:r>
        <w:rPr>
          <w:i/>
          <w:sz w:val="24"/>
        </w:rPr>
        <w:t>jurisdictional electricity legislation </w:t>
      </w:r>
      <w:r>
        <w:rPr>
          <w:sz w:val="24"/>
        </w:rPr>
        <w:t>applicable at the time the previous report was</w:t>
      </w:r>
      <w:r>
        <w:rPr>
          <w:spacing w:val="-3"/>
          <w:sz w:val="24"/>
        </w:rPr>
        <w:t> </w:t>
      </w:r>
      <w:r>
        <w:rPr>
          <w:sz w:val="24"/>
        </w:rPr>
        <w:t>prepared.</w:t>
      </w:r>
    </w:p>
    <w:p>
      <w:pPr>
        <w:pStyle w:val="ListParagraph"/>
        <w:numPr>
          <w:ilvl w:val="0"/>
          <w:numId w:val="863"/>
        </w:numPr>
        <w:tabs>
          <w:tab w:pos="1919" w:val="left" w:leader="none"/>
        </w:tabs>
        <w:spacing w:line="240" w:lineRule="auto" w:before="120" w:after="0"/>
        <w:ind w:left="1919" w:right="417" w:hanging="567"/>
        <w:jc w:val="both"/>
        <w:rPr>
          <w:sz w:val="24"/>
        </w:rPr>
      </w:pPr>
      <w:r>
        <w:rPr>
          <w:sz w:val="24"/>
        </w:rPr>
        <w:t>The requirement to undertake a regulatory investment test does not apply in relation to:</w:t>
      </w:r>
    </w:p>
    <w:p>
      <w:pPr>
        <w:pStyle w:val="ListParagraph"/>
        <w:numPr>
          <w:ilvl w:val="1"/>
          <w:numId w:val="863"/>
        </w:numPr>
        <w:tabs>
          <w:tab w:pos="2486" w:val="left" w:leader="none"/>
        </w:tabs>
        <w:spacing w:line="240" w:lineRule="auto" w:before="120" w:after="0"/>
        <w:ind w:left="2486" w:right="415" w:hanging="567"/>
        <w:jc w:val="both"/>
        <w:rPr>
          <w:sz w:val="24"/>
        </w:rPr>
      </w:pPr>
      <w:r>
        <w:rPr>
          <w:sz w:val="24"/>
        </w:rPr>
        <w:t>a project that was assessed by the </w:t>
      </w:r>
      <w:r>
        <w:rPr>
          <w:i/>
          <w:sz w:val="24"/>
        </w:rPr>
        <w:t>AER </w:t>
      </w:r>
      <w:r>
        <w:rPr>
          <w:sz w:val="24"/>
        </w:rPr>
        <w:t>for the purposes of </w:t>
      </w:r>
      <w:r>
        <w:rPr>
          <w:spacing w:val="-5"/>
          <w:sz w:val="24"/>
        </w:rPr>
        <w:t>its </w:t>
      </w:r>
      <w:r>
        <w:rPr>
          <w:sz w:val="24"/>
        </w:rPr>
        <w:t>distribution determination for Power and Water Corporation (ABN 15 947 352 360) for the period of 5 years commencing on 1 July 2019;</w:t>
      </w:r>
      <w:r>
        <w:rPr>
          <w:spacing w:val="-6"/>
          <w:sz w:val="24"/>
        </w:rPr>
        <w:t> </w:t>
      </w:r>
      <w:r>
        <w:rPr>
          <w:sz w:val="24"/>
        </w:rPr>
        <w:t>or</w:t>
      </w:r>
    </w:p>
    <w:p>
      <w:pPr>
        <w:pStyle w:val="ListParagraph"/>
        <w:numPr>
          <w:ilvl w:val="1"/>
          <w:numId w:val="863"/>
        </w:numPr>
        <w:tabs>
          <w:tab w:pos="2486" w:val="left" w:leader="none"/>
        </w:tabs>
        <w:spacing w:line="240" w:lineRule="auto" w:before="120" w:after="0"/>
        <w:ind w:left="2486" w:right="415" w:hanging="567"/>
        <w:jc w:val="both"/>
        <w:rPr>
          <w:sz w:val="24"/>
        </w:rPr>
      </w:pPr>
      <w:r>
        <w:rPr>
          <w:sz w:val="24"/>
        </w:rPr>
        <w:t>a project where an assessment equivalent to a regulatory investment test has been commenced by Power and Water Corporation before 1 July</w:t>
      </w:r>
      <w:r>
        <w:rPr>
          <w:spacing w:val="-2"/>
          <w:sz w:val="24"/>
        </w:rPr>
        <w:t> </w:t>
      </w:r>
      <w:r>
        <w:rPr>
          <w:sz w:val="24"/>
        </w:rPr>
        <w:t>2019.</w:t>
      </w:r>
    </w:p>
    <w:p>
      <w:pPr>
        <w:pStyle w:val="ListParagraph"/>
        <w:numPr>
          <w:ilvl w:val="0"/>
          <w:numId w:val="863"/>
        </w:numPr>
        <w:tabs>
          <w:tab w:pos="1919" w:val="left" w:leader="none"/>
        </w:tabs>
        <w:spacing w:line="240" w:lineRule="auto" w:before="120" w:after="0"/>
        <w:ind w:left="1919" w:right="414" w:hanging="567"/>
        <w:jc w:val="both"/>
        <w:rPr>
          <w:sz w:val="24"/>
        </w:rPr>
      </w:pPr>
      <w:r>
        <w:rPr>
          <w:sz w:val="24"/>
        </w:rPr>
        <w:t>A </w:t>
      </w:r>
      <w:r>
        <w:rPr>
          <w:i/>
          <w:sz w:val="24"/>
        </w:rPr>
        <w:t>Transmission Network Service Provider </w:t>
      </w:r>
      <w:r>
        <w:rPr>
          <w:sz w:val="24"/>
        </w:rPr>
        <w:t>is not required to comply with clause 5.18A.3(f) until 1 July 2024 in relation to the content of an impact assessment under that</w:t>
      </w:r>
      <w:r>
        <w:rPr>
          <w:spacing w:val="-1"/>
          <w:sz w:val="24"/>
        </w:rPr>
        <w:t> </w:t>
      </w:r>
      <w:r>
        <w:rPr>
          <w:sz w:val="24"/>
        </w:rPr>
        <w:t>clause.</w:t>
      </w:r>
    </w:p>
    <w:p>
      <w:pPr>
        <w:pStyle w:val="BodyText"/>
        <w:spacing w:before="9"/>
        <w:ind w:firstLine="0"/>
        <w:jc w:val="left"/>
        <w:rPr>
          <w:sz w:val="18"/>
        </w:rPr>
      </w:pPr>
      <w:r>
        <w:rPr/>
        <w:pict>
          <v:shape style="position:absolute;margin-left:69.450005pt;margin-top:12.02994pt;width:456.45pt;height:16.1pt;mso-position-horizontal-relative:page;mso-position-vertical-relative:paragraph;z-index:-251567104;mso-wrap-distance-left:0;mso-wrap-distance-right:0" type="#_x0000_t202" filled="true" fillcolor="#d9d9d9" stroked="false">
            <v:textbox inset="0,0,0,0">
              <w:txbxContent>
                <w:p>
                  <w:pPr>
                    <w:tabs>
                      <w:tab w:pos="1163" w:val="left" w:leader="none"/>
                    </w:tabs>
                    <w:spacing w:before="0"/>
                    <w:ind w:left="29" w:right="0" w:firstLine="0"/>
                    <w:jc w:val="left"/>
                    <w:rPr>
                      <w:rFonts w:ascii="Arial"/>
                      <w:b/>
                      <w:sz w:val="28"/>
                    </w:rPr>
                  </w:pPr>
                  <w:bookmarkStart w:name="Part B Savings and transitional rules fo" w:id="3587"/>
                  <w:bookmarkEnd w:id="3587"/>
                  <w:r>
                    <w:rPr/>
                  </w:r>
                  <w:bookmarkStart w:name="_bookmark1412" w:id="3588"/>
                  <w:bookmarkEnd w:id="3588"/>
                  <w:r>
                    <w:rPr/>
                  </w:r>
                  <w:r>
                    <w:rPr>
                      <w:rFonts w:ascii="Arial"/>
                      <w:b/>
                      <w:sz w:val="28"/>
                    </w:rPr>
                    <w:t>Part B</w:t>
                    <w:tab/>
                    <w:t>Savings and transitional rules for Chapter</w:t>
                  </w:r>
                  <w:r>
                    <w:rPr>
                      <w:rFonts w:ascii="Arial"/>
                      <w:b/>
                      <w:spacing w:val="-6"/>
                      <w:sz w:val="28"/>
                    </w:rPr>
                    <w:t> </w:t>
                  </w:r>
                  <w:r>
                    <w:rPr>
                      <w:rFonts w:ascii="Arial"/>
                      <w:b/>
                      <w:sz w:val="28"/>
                    </w:rPr>
                    <w:t>5A</w:t>
                  </w:r>
                </w:p>
              </w:txbxContent>
            </v:textbox>
            <v:fill type="solid"/>
            <w10:wrap type="topAndBottom"/>
          </v:shape>
        </w:pict>
      </w:r>
    </w:p>
    <w:p>
      <w:pPr>
        <w:spacing w:before="105"/>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Part B of this Chapter has no effect in this jurisdiction until 1 July 2019 (see regulation 5A of the </w:t>
      </w:r>
      <w:r>
        <w:rPr>
          <w:i/>
          <w:sz w:val="20"/>
        </w:rPr>
        <w:t>National Electricity (Northern Territory) (National Uniform Legislation) (Modification) </w:t>
      </w:r>
      <w:r>
        <w:rPr>
          <w:i/>
          <w:sz w:val="20"/>
        </w:rPr>
        <w:t>Regulations</w:t>
      </w:r>
      <w:r>
        <w:rPr>
          <w:sz w:val="20"/>
        </w:rPr>
        <w:t>).</w:t>
      </w:r>
    </w:p>
    <w:p>
      <w:pPr>
        <w:pStyle w:val="BodyText"/>
        <w:spacing w:before="10"/>
        <w:ind w:firstLine="0"/>
        <w:jc w:val="left"/>
        <w:rPr>
          <w:sz w:val="20"/>
        </w:rPr>
      </w:pPr>
    </w:p>
    <w:p>
      <w:pPr>
        <w:pStyle w:val="Heading3"/>
        <w:tabs>
          <w:tab w:pos="1351" w:val="left" w:leader="none"/>
        </w:tabs>
        <w:ind w:left="218" w:firstLine="0"/>
      </w:pPr>
      <w:bookmarkStart w:name="11A.2 Model standing offers" w:id="3589"/>
      <w:bookmarkEnd w:id="3589"/>
      <w:r>
        <w:rPr>
          <w:b w:val="0"/>
        </w:rPr>
      </w:r>
      <w:bookmarkStart w:name="_bookmark1413" w:id="3590"/>
      <w:bookmarkEnd w:id="3590"/>
      <w:r>
        <w:rPr>
          <w:b w:val="0"/>
        </w:rPr>
      </w:r>
      <w:r>
        <w:rPr/>
        <w:t>11A.2</w:t>
        <w:tab/>
        <w:t>Model standing</w:t>
      </w:r>
      <w:r>
        <w:rPr>
          <w:spacing w:val="-2"/>
        </w:rPr>
        <w:t> </w:t>
      </w:r>
      <w:r>
        <w:rPr/>
        <w:t>offers</w:t>
      </w:r>
    </w:p>
    <w:p>
      <w:pPr>
        <w:pStyle w:val="Heading4"/>
        <w:tabs>
          <w:tab w:pos="1351" w:val="left" w:leader="none"/>
        </w:tabs>
        <w:spacing w:before="240"/>
        <w:ind w:left="218" w:firstLine="0"/>
      </w:pPr>
      <w:bookmarkStart w:name="11A.2.1 Definitions" w:id="3591"/>
      <w:bookmarkEnd w:id="3591"/>
      <w:r>
        <w:rPr>
          <w:b w:val="0"/>
        </w:rPr>
      </w:r>
      <w:bookmarkStart w:name="_bookmark1414" w:id="3592"/>
      <w:bookmarkEnd w:id="3592"/>
      <w:r>
        <w:rPr>
          <w:b w:val="0"/>
        </w:rPr>
      </w:r>
      <w:r>
        <w:rPr/>
        <w:t>11A.2.1</w:t>
        <w:tab/>
        <w:t>Definitions</w:t>
      </w:r>
    </w:p>
    <w:p>
      <w:pPr>
        <w:pStyle w:val="BodyText"/>
        <w:ind w:left="1352" w:firstLine="0"/>
        <w:jc w:val="left"/>
      </w:pPr>
      <w:r>
        <w:rPr/>
        <w:t>In this Rule:</w:t>
      </w:r>
    </w:p>
    <w:p>
      <w:pPr>
        <w:spacing w:before="120"/>
        <w:ind w:left="1352" w:right="0" w:firstLine="0"/>
        <w:jc w:val="left"/>
        <w:rPr>
          <w:sz w:val="24"/>
        </w:rPr>
      </w:pPr>
      <w:r>
        <w:rPr>
          <w:b/>
          <w:sz w:val="24"/>
        </w:rPr>
        <w:t>NT distributor </w:t>
      </w:r>
      <w:r>
        <w:rPr>
          <w:sz w:val="24"/>
        </w:rPr>
        <w:t>means Power and Water Corporation ABN 15 947 352 360.</w:t>
      </w:r>
    </w:p>
    <w:p>
      <w:pPr>
        <w:spacing w:before="120"/>
        <w:ind w:left="1352" w:right="0" w:firstLine="0"/>
        <w:jc w:val="left"/>
        <w:rPr>
          <w:sz w:val="24"/>
        </w:rPr>
      </w:pPr>
      <w:r>
        <w:rPr>
          <w:b/>
          <w:sz w:val="24"/>
        </w:rPr>
        <w:t>relevant provisions </w:t>
      </w:r>
      <w:r>
        <w:rPr>
          <w:sz w:val="24"/>
        </w:rPr>
        <w:t>means Chapter 5A and Chapter 6, Part DA.</w:t>
      </w:r>
    </w:p>
    <w:p>
      <w:pPr>
        <w:spacing w:before="120"/>
        <w:ind w:left="1352" w:right="0" w:firstLine="0"/>
        <w:jc w:val="left"/>
        <w:rPr>
          <w:sz w:val="24"/>
        </w:rPr>
      </w:pPr>
      <w:r>
        <w:rPr>
          <w:b/>
          <w:sz w:val="24"/>
        </w:rPr>
        <w:t>transition date </w:t>
      </w:r>
      <w:r>
        <w:rPr>
          <w:sz w:val="24"/>
        </w:rPr>
        <w:t>means the date on which the transition period ends.</w:t>
      </w:r>
    </w:p>
    <w:p>
      <w:pPr>
        <w:spacing w:after="0"/>
        <w:jc w:val="left"/>
        <w:rPr>
          <w:sz w:val="24"/>
        </w:rPr>
        <w:sectPr>
          <w:headerReference w:type="default" r:id="rId171"/>
          <w:footerReference w:type="default" r:id="rId172"/>
          <w:pgSz w:w="11910" w:h="16840"/>
          <w:pgMar w:header="686" w:footer="637" w:top="1320" w:bottom="820" w:left="1200" w:right="1000"/>
          <w:pgNumType w:start="975"/>
        </w:sectPr>
      </w:pPr>
    </w:p>
    <w:p>
      <w:pPr>
        <w:spacing w:before="83"/>
        <w:ind w:left="1352" w:right="415" w:firstLine="0"/>
        <w:jc w:val="both"/>
        <w:rPr>
          <w:sz w:val="24"/>
        </w:rPr>
      </w:pPr>
      <w:r>
        <w:rPr>
          <w:b/>
          <w:sz w:val="24"/>
        </w:rPr>
        <w:t>transition period </w:t>
      </w:r>
      <w:r>
        <w:rPr>
          <w:sz w:val="24"/>
        </w:rPr>
        <w:t>means the period from the commencement of the </w:t>
      </w:r>
      <w:r>
        <w:rPr>
          <w:i/>
          <w:sz w:val="24"/>
        </w:rPr>
        <w:t>1st regulatory </w:t>
      </w:r>
      <w:r>
        <w:rPr>
          <w:i/>
          <w:sz w:val="24"/>
        </w:rPr>
        <w:t>control period </w:t>
      </w:r>
      <w:r>
        <w:rPr>
          <w:sz w:val="24"/>
        </w:rPr>
        <w:t>(being 1 July 2019) to 30 June 2020.</w:t>
      </w:r>
    </w:p>
    <w:p>
      <w:pPr>
        <w:pStyle w:val="BodyText"/>
        <w:spacing w:before="10"/>
        <w:ind w:firstLine="0"/>
        <w:jc w:val="left"/>
        <w:rPr>
          <w:sz w:val="20"/>
        </w:rPr>
      </w:pPr>
    </w:p>
    <w:p>
      <w:pPr>
        <w:pStyle w:val="Heading4"/>
        <w:tabs>
          <w:tab w:pos="1351" w:val="left" w:leader="none"/>
        </w:tabs>
        <w:ind w:left="218" w:firstLine="0"/>
      </w:pPr>
      <w:bookmarkStart w:name="11A.2.2 Extended meaning of some terms" w:id="3593"/>
      <w:bookmarkEnd w:id="3593"/>
      <w:r>
        <w:rPr>
          <w:b w:val="0"/>
        </w:rPr>
      </w:r>
      <w:bookmarkStart w:name="_bookmark1415" w:id="3594"/>
      <w:bookmarkEnd w:id="3594"/>
      <w:r>
        <w:rPr>
          <w:b w:val="0"/>
        </w:rPr>
      </w:r>
      <w:r>
        <w:rPr/>
        <w:t>11A.2.2</w:t>
        <w:tab/>
        <w:t>Extended meaning of some</w:t>
      </w:r>
      <w:r>
        <w:rPr>
          <w:spacing w:val="-2"/>
        </w:rPr>
        <w:t> </w:t>
      </w:r>
      <w:r>
        <w:rPr/>
        <w:t>terms</w:t>
      </w:r>
    </w:p>
    <w:p>
      <w:pPr>
        <w:pStyle w:val="BodyText"/>
        <w:ind w:left="1352" w:firstLine="0"/>
      </w:pPr>
      <w:r>
        <w:rPr/>
        <w:t>During the transition period:</w:t>
      </w:r>
    </w:p>
    <w:p>
      <w:pPr>
        <w:pStyle w:val="ListParagraph"/>
        <w:numPr>
          <w:ilvl w:val="1"/>
          <w:numId w:val="863"/>
        </w:numPr>
        <w:tabs>
          <w:tab w:pos="1919" w:val="left" w:leader="none"/>
        </w:tabs>
        <w:spacing w:line="240" w:lineRule="auto" w:before="120" w:after="0"/>
        <w:ind w:left="1919" w:right="414" w:hanging="567"/>
        <w:jc w:val="both"/>
        <w:rPr>
          <w:sz w:val="24"/>
        </w:rPr>
      </w:pPr>
      <w:r>
        <w:rPr>
          <w:sz w:val="24"/>
        </w:rPr>
        <w:t>a </w:t>
      </w:r>
      <w:r>
        <w:rPr>
          <w:i/>
          <w:sz w:val="24"/>
        </w:rPr>
        <w:t>basic connection service </w:t>
      </w:r>
      <w:r>
        <w:rPr>
          <w:sz w:val="24"/>
        </w:rPr>
        <w:t>includes not only a </w:t>
      </w:r>
      <w:r>
        <w:rPr>
          <w:i/>
          <w:sz w:val="24"/>
        </w:rPr>
        <w:t>connection service </w:t>
      </w:r>
      <w:r>
        <w:rPr>
          <w:sz w:val="24"/>
        </w:rPr>
        <w:t>for which a </w:t>
      </w:r>
      <w:r>
        <w:rPr>
          <w:i/>
          <w:sz w:val="24"/>
        </w:rPr>
        <w:t>model standing offer </w:t>
      </w:r>
      <w:r>
        <w:rPr>
          <w:sz w:val="24"/>
        </w:rPr>
        <w:t>has been approved by the </w:t>
      </w:r>
      <w:r>
        <w:rPr>
          <w:i/>
          <w:sz w:val="24"/>
        </w:rPr>
        <w:t>AER </w:t>
      </w:r>
      <w:r>
        <w:rPr>
          <w:sz w:val="24"/>
        </w:rPr>
        <w:t>(see paragraph (c) of the definition in clause 5A.A.1) but also one for which the </w:t>
      </w:r>
      <w:r>
        <w:rPr>
          <w:i/>
          <w:sz w:val="24"/>
        </w:rPr>
        <w:t>AER's </w:t>
      </w:r>
      <w:r>
        <w:rPr>
          <w:sz w:val="24"/>
        </w:rPr>
        <w:t>approval of a </w:t>
      </w:r>
      <w:r>
        <w:rPr>
          <w:i/>
          <w:sz w:val="24"/>
        </w:rPr>
        <w:t>model standing offer </w:t>
      </w:r>
      <w:r>
        <w:rPr>
          <w:sz w:val="24"/>
        </w:rPr>
        <w:t>is not</w:t>
      </w:r>
      <w:r>
        <w:rPr>
          <w:spacing w:val="-3"/>
          <w:sz w:val="24"/>
        </w:rPr>
        <w:t> </w:t>
      </w:r>
      <w:r>
        <w:rPr>
          <w:sz w:val="24"/>
        </w:rPr>
        <w:t>required;</w:t>
      </w:r>
    </w:p>
    <w:p>
      <w:pPr>
        <w:pStyle w:val="ListParagraph"/>
        <w:numPr>
          <w:ilvl w:val="1"/>
          <w:numId w:val="863"/>
        </w:numPr>
        <w:tabs>
          <w:tab w:pos="1919" w:val="left" w:leader="none"/>
        </w:tabs>
        <w:spacing w:line="240" w:lineRule="auto" w:before="120" w:after="0"/>
        <w:ind w:left="1919" w:right="415" w:hanging="567"/>
        <w:jc w:val="both"/>
        <w:rPr>
          <w:sz w:val="24"/>
        </w:rPr>
      </w:pPr>
      <w:r>
        <w:rPr>
          <w:sz w:val="24"/>
        </w:rPr>
        <w:t>a </w:t>
      </w:r>
      <w:r>
        <w:rPr>
          <w:i/>
          <w:sz w:val="24"/>
        </w:rPr>
        <w:t>standard connection service </w:t>
      </w:r>
      <w:r>
        <w:rPr>
          <w:sz w:val="24"/>
        </w:rPr>
        <w:t>includes not only a </w:t>
      </w:r>
      <w:r>
        <w:rPr>
          <w:i/>
          <w:sz w:val="24"/>
        </w:rPr>
        <w:t>connection service </w:t>
      </w:r>
      <w:r>
        <w:rPr>
          <w:sz w:val="24"/>
        </w:rPr>
        <w:t>for which a </w:t>
      </w:r>
      <w:r>
        <w:rPr>
          <w:i/>
          <w:sz w:val="24"/>
        </w:rPr>
        <w:t>model standing offer </w:t>
      </w:r>
      <w:r>
        <w:rPr>
          <w:sz w:val="24"/>
        </w:rPr>
        <w:t>has been approved by the </w:t>
      </w:r>
      <w:r>
        <w:rPr>
          <w:i/>
          <w:sz w:val="24"/>
        </w:rPr>
        <w:t>AER </w:t>
      </w:r>
      <w:r>
        <w:rPr>
          <w:sz w:val="24"/>
        </w:rPr>
        <w:t>(see the definition in clause 5A.A.1) but also one for which the </w:t>
      </w:r>
      <w:r>
        <w:rPr>
          <w:i/>
          <w:sz w:val="24"/>
        </w:rPr>
        <w:t>AER's </w:t>
      </w:r>
      <w:r>
        <w:rPr>
          <w:sz w:val="24"/>
        </w:rPr>
        <w:t>approval of a </w:t>
      </w:r>
      <w:r>
        <w:rPr>
          <w:i/>
          <w:sz w:val="24"/>
        </w:rPr>
        <w:t>model standing offer </w:t>
      </w:r>
      <w:r>
        <w:rPr>
          <w:sz w:val="24"/>
        </w:rPr>
        <w:t>is not required;</w:t>
      </w:r>
      <w:r>
        <w:rPr>
          <w:spacing w:val="-4"/>
          <w:sz w:val="24"/>
        </w:rPr>
        <w:t> </w:t>
      </w:r>
      <w:r>
        <w:rPr>
          <w:sz w:val="24"/>
        </w:rPr>
        <w:t>and</w:t>
      </w:r>
    </w:p>
    <w:p>
      <w:pPr>
        <w:pStyle w:val="ListParagraph"/>
        <w:numPr>
          <w:ilvl w:val="1"/>
          <w:numId w:val="863"/>
        </w:numPr>
        <w:tabs>
          <w:tab w:pos="1919" w:val="left" w:leader="none"/>
        </w:tabs>
        <w:spacing w:line="240" w:lineRule="auto" w:before="120" w:after="0"/>
        <w:ind w:left="1919" w:right="416" w:hanging="567"/>
        <w:jc w:val="both"/>
        <w:rPr>
          <w:sz w:val="24"/>
        </w:rPr>
      </w:pPr>
      <w:r>
        <w:rPr>
          <w:sz w:val="24"/>
        </w:rPr>
        <w:t>a </w:t>
      </w:r>
      <w:r>
        <w:rPr>
          <w:i/>
          <w:sz w:val="24"/>
        </w:rPr>
        <w:t>model standing offer </w:t>
      </w:r>
      <w:r>
        <w:rPr>
          <w:sz w:val="24"/>
        </w:rPr>
        <w:t>includes a document prepared and </w:t>
      </w:r>
      <w:r>
        <w:rPr>
          <w:i/>
          <w:sz w:val="24"/>
        </w:rPr>
        <w:t>published </w:t>
      </w:r>
      <w:r>
        <w:rPr>
          <w:sz w:val="24"/>
        </w:rPr>
        <w:t>by the NT distributor, without the </w:t>
      </w:r>
      <w:r>
        <w:rPr>
          <w:i/>
          <w:sz w:val="24"/>
        </w:rPr>
        <w:t>AER's </w:t>
      </w:r>
      <w:r>
        <w:rPr>
          <w:sz w:val="24"/>
        </w:rPr>
        <w:t>approval, as a </w:t>
      </w:r>
      <w:r>
        <w:rPr>
          <w:i/>
          <w:sz w:val="24"/>
        </w:rPr>
        <w:t>model standing offer </w:t>
      </w:r>
      <w:r>
        <w:rPr>
          <w:sz w:val="24"/>
        </w:rPr>
        <w:t>to have effect during the transition period (but not beyond the end of that period).</w:t>
      </w:r>
    </w:p>
    <w:p>
      <w:pPr>
        <w:pStyle w:val="BodyText"/>
        <w:spacing w:before="10"/>
        <w:ind w:firstLine="0"/>
        <w:jc w:val="left"/>
        <w:rPr>
          <w:sz w:val="20"/>
        </w:rPr>
      </w:pPr>
    </w:p>
    <w:p>
      <w:pPr>
        <w:pStyle w:val="Heading4"/>
        <w:tabs>
          <w:tab w:pos="1351" w:val="left" w:leader="none"/>
        </w:tabs>
        <w:ind w:left="218" w:firstLine="0"/>
      </w:pPr>
      <w:bookmarkStart w:name="11A.2.3 Transitional operation of releva" w:id="3595"/>
      <w:bookmarkEnd w:id="3595"/>
      <w:r>
        <w:rPr>
          <w:b w:val="0"/>
        </w:rPr>
      </w:r>
      <w:bookmarkStart w:name="_bookmark1416" w:id="3596"/>
      <w:bookmarkEnd w:id="3596"/>
      <w:r>
        <w:rPr>
          <w:b w:val="0"/>
        </w:rPr>
      </w:r>
      <w:r>
        <w:rPr/>
        <w:t>11A.2.3</w:t>
        <w:tab/>
        <w:t>Transitional operation of relevant</w:t>
      </w:r>
      <w:r>
        <w:rPr>
          <w:spacing w:val="-3"/>
        </w:rPr>
        <w:t> </w:t>
      </w:r>
      <w:r>
        <w:rPr/>
        <w:t>provisions</w:t>
      </w:r>
    </w:p>
    <w:p>
      <w:pPr>
        <w:pStyle w:val="ListParagraph"/>
        <w:numPr>
          <w:ilvl w:val="0"/>
          <w:numId w:val="864"/>
        </w:numPr>
        <w:tabs>
          <w:tab w:pos="1919" w:val="left" w:leader="none"/>
        </w:tabs>
        <w:spacing w:line="240" w:lineRule="auto" w:before="120" w:after="0"/>
        <w:ind w:left="1919" w:right="416" w:hanging="567"/>
        <w:jc w:val="both"/>
        <w:rPr>
          <w:sz w:val="24"/>
        </w:rPr>
      </w:pPr>
      <w:r>
        <w:rPr>
          <w:sz w:val="24"/>
        </w:rPr>
        <w:t>During the transition period, the relevant provisions operate subject to the exclusions, qualifications and modifications prescribed by this</w:t>
      </w:r>
      <w:r>
        <w:rPr>
          <w:spacing w:val="-2"/>
          <w:sz w:val="24"/>
        </w:rPr>
        <w:t> </w:t>
      </w:r>
      <w:r>
        <w:rPr>
          <w:sz w:val="24"/>
        </w:rPr>
        <w:t>Rule.</w:t>
      </w:r>
    </w:p>
    <w:p>
      <w:pPr>
        <w:pStyle w:val="ListParagraph"/>
        <w:numPr>
          <w:ilvl w:val="0"/>
          <w:numId w:val="864"/>
        </w:numPr>
        <w:tabs>
          <w:tab w:pos="1919" w:val="left" w:leader="none"/>
        </w:tabs>
        <w:spacing w:line="240" w:lineRule="auto" w:before="120" w:after="0"/>
        <w:ind w:left="1919" w:right="414" w:hanging="567"/>
        <w:jc w:val="both"/>
        <w:rPr>
          <w:sz w:val="24"/>
        </w:rPr>
      </w:pPr>
      <w:r>
        <w:rPr>
          <w:sz w:val="24"/>
        </w:rPr>
        <w:t>However, the relevant provisions operate without the exclusions, qualifications and modifications prescribed by this Rule insofar as they relate to:</w:t>
      </w:r>
    </w:p>
    <w:p>
      <w:pPr>
        <w:pStyle w:val="ListParagraph"/>
        <w:numPr>
          <w:ilvl w:val="1"/>
          <w:numId w:val="864"/>
        </w:numPr>
        <w:tabs>
          <w:tab w:pos="2486" w:val="left" w:leader="none"/>
        </w:tabs>
        <w:spacing w:line="240" w:lineRule="auto" w:before="120" w:after="0"/>
        <w:ind w:left="2485" w:right="0" w:hanging="567"/>
        <w:jc w:val="both"/>
        <w:rPr>
          <w:sz w:val="24"/>
        </w:rPr>
      </w:pPr>
      <w:r>
        <w:rPr>
          <w:sz w:val="24"/>
        </w:rPr>
        <w:t>a period beyond the transition period;</w:t>
      </w:r>
      <w:r>
        <w:rPr>
          <w:spacing w:val="-2"/>
          <w:sz w:val="24"/>
        </w:rPr>
        <w:t> </w:t>
      </w:r>
      <w:r>
        <w:rPr>
          <w:sz w:val="24"/>
        </w:rPr>
        <w:t>or</w:t>
      </w:r>
    </w:p>
    <w:p>
      <w:pPr>
        <w:pStyle w:val="ListParagraph"/>
        <w:numPr>
          <w:ilvl w:val="1"/>
          <w:numId w:val="864"/>
        </w:numPr>
        <w:tabs>
          <w:tab w:pos="2486" w:val="left" w:leader="none"/>
        </w:tabs>
        <w:spacing w:line="240" w:lineRule="auto" w:before="120" w:after="0"/>
        <w:ind w:left="2486" w:right="415" w:hanging="567"/>
        <w:jc w:val="both"/>
        <w:rPr>
          <w:sz w:val="24"/>
        </w:rPr>
      </w:pPr>
      <w:r>
        <w:rPr>
          <w:sz w:val="24"/>
        </w:rPr>
        <w:t>a person (such as a new entrant to the industry) that is not the NT distributor.</w:t>
      </w:r>
    </w:p>
    <w:p>
      <w:pPr>
        <w:spacing w:before="120"/>
        <w:ind w:left="1919" w:right="0" w:firstLine="0"/>
        <w:jc w:val="left"/>
        <w:rPr>
          <w:rFonts w:ascii="Arial"/>
          <w:b/>
          <w:sz w:val="20"/>
        </w:rPr>
      </w:pPr>
      <w:r>
        <w:rPr>
          <w:rFonts w:ascii="Arial"/>
          <w:b/>
          <w:sz w:val="20"/>
        </w:rPr>
        <w:t>Example</w:t>
      </w:r>
    </w:p>
    <w:p>
      <w:pPr>
        <w:spacing w:before="120"/>
        <w:ind w:left="1919" w:right="415" w:firstLine="0"/>
        <w:jc w:val="both"/>
        <w:rPr>
          <w:sz w:val="20"/>
        </w:rPr>
      </w:pPr>
      <w:r>
        <w:rPr>
          <w:sz w:val="20"/>
        </w:rPr>
        <w:t>If the NT distributor submits a </w:t>
      </w:r>
      <w:r>
        <w:rPr>
          <w:i/>
          <w:sz w:val="20"/>
        </w:rPr>
        <w:t>regulatory proposal </w:t>
      </w:r>
      <w:r>
        <w:rPr>
          <w:sz w:val="20"/>
        </w:rPr>
        <w:t>for the </w:t>
      </w:r>
      <w:r>
        <w:rPr>
          <w:i/>
          <w:sz w:val="20"/>
        </w:rPr>
        <w:t>regulatory control period </w:t>
      </w:r>
      <w:r>
        <w:rPr>
          <w:sz w:val="20"/>
        </w:rPr>
        <w:t>that follows the transition period, the distributor is bound by the relevant provisions (without exclusion, qualification or modification) in relation to the </w:t>
      </w:r>
      <w:r>
        <w:rPr>
          <w:i/>
          <w:sz w:val="20"/>
        </w:rPr>
        <w:t>regulatory proposal </w:t>
      </w:r>
      <w:r>
        <w:rPr>
          <w:sz w:val="20"/>
        </w:rPr>
        <w:t>even though the proposal is submitted during the transition period.</w:t>
      </w:r>
    </w:p>
    <w:p>
      <w:pPr>
        <w:pStyle w:val="ListParagraph"/>
        <w:numPr>
          <w:ilvl w:val="0"/>
          <w:numId w:val="864"/>
        </w:numPr>
        <w:tabs>
          <w:tab w:pos="1919" w:val="left" w:leader="none"/>
        </w:tabs>
        <w:spacing w:line="240" w:lineRule="auto" w:before="120" w:after="0"/>
        <w:ind w:left="1919" w:right="414" w:hanging="567"/>
        <w:jc w:val="both"/>
        <w:rPr>
          <w:sz w:val="24"/>
        </w:rPr>
      </w:pPr>
      <w:r>
        <w:rPr>
          <w:sz w:val="24"/>
        </w:rPr>
        <w:t>A transaction commenced by or with the NT distributor during the transition period may be continued and completed after the transition period without regard to </w:t>
      </w:r>
      <w:r>
        <w:rPr>
          <w:i/>
          <w:sz w:val="24"/>
        </w:rPr>
        <w:t>changes </w:t>
      </w:r>
      <w:r>
        <w:rPr>
          <w:sz w:val="24"/>
        </w:rPr>
        <w:t>to the rules governing the transaction that take effect at the end of the transition</w:t>
      </w:r>
      <w:r>
        <w:rPr>
          <w:spacing w:val="-2"/>
          <w:sz w:val="24"/>
        </w:rPr>
        <w:t> </w:t>
      </w:r>
      <w:r>
        <w:rPr>
          <w:sz w:val="24"/>
        </w:rPr>
        <w:t>period.</w:t>
      </w:r>
    </w:p>
    <w:p>
      <w:pPr>
        <w:pStyle w:val="BodyText"/>
        <w:spacing w:before="10"/>
        <w:ind w:firstLine="0"/>
        <w:jc w:val="left"/>
        <w:rPr>
          <w:sz w:val="20"/>
        </w:rPr>
      </w:pPr>
    </w:p>
    <w:p>
      <w:pPr>
        <w:pStyle w:val="Heading4"/>
        <w:tabs>
          <w:tab w:pos="1351" w:val="left" w:leader="none"/>
        </w:tabs>
        <w:ind w:left="218" w:firstLine="0"/>
      </w:pPr>
      <w:bookmarkStart w:name="11A.2.4 Exclusions, qualifications and m" w:id="3597"/>
      <w:bookmarkEnd w:id="3597"/>
      <w:r>
        <w:rPr>
          <w:b w:val="0"/>
        </w:rPr>
      </w:r>
      <w:bookmarkStart w:name="_bookmark1417" w:id="3598"/>
      <w:bookmarkEnd w:id="3598"/>
      <w:r>
        <w:rPr>
          <w:b w:val="0"/>
        </w:rPr>
      </w:r>
      <w:r>
        <w:rPr/>
        <w:t>11A.2.4</w:t>
        <w:tab/>
        <w:t>Exclusions, qualifications and</w:t>
      </w:r>
      <w:r>
        <w:rPr>
          <w:spacing w:val="-3"/>
        </w:rPr>
        <w:t> </w:t>
      </w:r>
      <w:r>
        <w:rPr/>
        <w:t>modifications</w:t>
      </w:r>
    </w:p>
    <w:p>
      <w:pPr>
        <w:pStyle w:val="BodyText"/>
        <w:ind w:left="1352" w:right="415" w:firstLine="0"/>
      </w:pPr>
      <w:r>
        <w:rPr/>
        <w:t>During the transition period, the relevant provisions apply to, and in relation to, the NT distributor subject to the following exclusions, qualifications and modifications:</w:t>
      </w:r>
    </w:p>
    <w:p>
      <w:pPr>
        <w:spacing w:before="220"/>
        <w:ind w:left="1356" w:right="0" w:firstLine="0"/>
        <w:jc w:val="both"/>
        <w:rPr>
          <w:rFonts w:ascii="Arial"/>
          <w:b/>
          <w:sz w:val="22"/>
        </w:rPr>
      </w:pPr>
      <w:r>
        <w:rPr>
          <w:rFonts w:ascii="Arial"/>
          <w:b/>
          <w:sz w:val="22"/>
        </w:rPr>
        <w:t>Model standing offers (basic connection services)</w:t>
      </w:r>
    </w:p>
    <w:p>
      <w:pPr>
        <w:pStyle w:val="ListParagraph"/>
        <w:numPr>
          <w:ilvl w:val="0"/>
          <w:numId w:val="865"/>
        </w:numPr>
        <w:tabs>
          <w:tab w:pos="1919" w:val="left" w:leader="none"/>
        </w:tabs>
        <w:spacing w:line="240" w:lineRule="auto" w:before="120" w:after="0"/>
        <w:ind w:left="1919" w:right="416" w:hanging="567"/>
        <w:jc w:val="both"/>
        <w:rPr>
          <w:sz w:val="24"/>
        </w:rPr>
      </w:pPr>
      <w:r>
        <w:rPr>
          <w:sz w:val="24"/>
        </w:rPr>
        <w:t>A document, prepared by the NT distributor and </w:t>
      </w:r>
      <w:r>
        <w:rPr>
          <w:i/>
          <w:sz w:val="24"/>
        </w:rPr>
        <w:t>published </w:t>
      </w:r>
      <w:r>
        <w:rPr>
          <w:sz w:val="24"/>
        </w:rPr>
        <w:t>on the NT distributor's website, will (although not approved by the </w:t>
      </w:r>
      <w:r>
        <w:rPr>
          <w:i/>
          <w:sz w:val="24"/>
        </w:rPr>
        <w:t>AER</w:t>
      </w:r>
      <w:r>
        <w:rPr>
          <w:sz w:val="24"/>
        </w:rPr>
        <w:t>) be regarded as</w:t>
      </w:r>
      <w:r>
        <w:rPr>
          <w:spacing w:val="31"/>
          <w:sz w:val="24"/>
        </w:rPr>
        <w:t> </w:t>
      </w:r>
      <w:r>
        <w:rPr>
          <w:sz w:val="24"/>
        </w:rPr>
        <w:t>a</w:t>
      </w:r>
      <w:r>
        <w:rPr>
          <w:spacing w:val="31"/>
          <w:sz w:val="24"/>
        </w:rPr>
        <w:t> </w:t>
      </w:r>
      <w:r>
        <w:rPr>
          <w:i/>
          <w:sz w:val="24"/>
        </w:rPr>
        <w:t>model</w:t>
      </w:r>
      <w:r>
        <w:rPr>
          <w:i/>
          <w:spacing w:val="31"/>
          <w:sz w:val="24"/>
        </w:rPr>
        <w:t> </w:t>
      </w:r>
      <w:r>
        <w:rPr>
          <w:i/>
          <w:sz w:val="24"/>
        </w:rPr>
        <w:t>standing</w:t>
      </w:r>
      <w:r>
        <w:rPr>
          <w:i/>
          <w:spacing w:val="32"/>
          <w:sz w:val="24"/>
        </w:rPr>
        <w:t> </w:t>
      </w:r>
      <w:r>
        <w:rPr>
          <w:i/>
          <w:sz w:val="24"/>
        </w:rPr>
        <w:t>offer</w:t>
      </w:r>
      <w:r>
        <w:rPr>
          <w:i/>
          <w:spacing w:val="31"/>
          <w:sz w:val="24"/>
        </w:rPr>
        <w:t> </w:t>
      </w:r>
      <w:r>
        <w:rPr>
          <w:sz w:val="24"/>
        </w:rPr>
        <w:t>to</w:t>
      </w:r>
      <w:r>
        <w:rPr>
          <w:spacing w:val="31"/>
          <w:sz w:val="24"/>
        </w:rPr>
        <w:t> </w:t>
      </w:r>
      <w:r>
        <w:rPr>
          <w:sz w:val="24"/>
        </w:rPr>
        <w:t>provide</w:t>
      </w:r>
      <w:r>
        <w:rPr>
          <w:spacing w:val="32"/>
          <w:sz w:val="24"/>
        </w:rPr>
        <w:t> </w:t>
      </w:r>
      <w:r>
        <w:rPr>
          <w:i/>
          <w:sz w:val="24"/>
        </w:rPr>
        <w:t>basic</w:t>
      </w:r>
      <w:r>
        <w:rPr>
          <w:i/>
          <w:spacing w:val="31"/>
          <w:sz w:val="24"/>
        </w:rPr>
        <w:t> </w:t>
      </w:r>
      <w:r>
        <w:rPr>
          <w:i/>
          <w:sz w:val="24"/>
        </w:rPr>
        <w:t>connection</w:t>
      </w:r>
      <w:r>
        <w:rPr>
          <w:i/>
          <w:spacing w:val="31"/>
          <w:sz w:val="24"/>
        </w:rPr>
        <w:t> </w:t>
      </w:r>
      <w:r>
        <w:rPr>
          <w:i/>
          <w:sz w:val="24"/>
        </w:rPr>
        <w:t>services</w:t>
      </w:r>
      <w:r>
        <w:rPr>
          <w:i/>
          <w:spacing w:val="32"/>
          <w:sz w:val="24"/>
        </w:rPr>
        <w:t> </w:t>
      </w:r>
      <w:r>
        <w:rPr>
          <w:sz w:val="24"/>
        </w:rPr>
        <w:t>during</w:t>
      </w:r>
      <w:r>
        <w:rPr>
          <w:spacing w:val="31"/>
          <w:sz w:val="24"/>
        </w:rPr>
        <w:t> </w:t>
      </w:r>
      <w:r>
        <w:rPr>
          <w:sz w:val="24"/>
        </w:rPr>
        <w:t>the</w:t>
      </w:r>
    </w:p>
    <w:p>
      <w:pPr>
        <w:spacing w:after="0" w:line="240" w:lineRule="auto"/>
        <w:jc w:val="both"/>
        <w:rPr>
          <w:sz w:val="24"/>
        </w:rPr>
        <w:sectPr>
          <w:pgSz w:w="11910" w:h="16840"/>
          <w:pgMar w:header="686" w:footer="637" w:top="1320" w:bottom="820" w:left="1200" w:right="1000"/>
        </w:sectPr>
      </w:pPr>
    </w:p>
    <w:p>
      <w:pPr>
        <w:pStyle w:val="BodyText"/>
        <w:spacing w:before="83"/>
        <w:ind w:left="1919" w:right="415" w:firstLine="0"/>
      </w:pPr>
      <w:r>
        <w:rPr/>
        <w:t>transition period if it complies with the requirements of clause 5A.B.2(b) as to its terms and conditions.</w:t>
      </w:r>
    </w:p>
    <w:p>
      <w:pPr>
        <w:pStyle w:val="ListParagraph"/>
        <w:numPr>
          <w:ilvl w:val="0"/>
          <w:numId w:val="865"/>
        </w:numPr>
        <w:tabs>
          <w:tab w:pos="1919" w:val="left" w:leader="none"/>
        </w:tabs>
        <w:spacing w:line="240" w:lineRule="auto" w:before="120" w:after="0"/>
        <w:ind w:left="1919" w:right="417" w:hanging="567"/>
        <w:jc w:val="both"/>
        <w:rPr>
          <w:sz w:val="24"/>
        </w:rPr>
      </w:pPr>
      <w:r>
        <w:rPr>
          <w:sz w:val="24"/>
        </w:rPr>
        <w:t>If, during the transition period, the </w:t>
      </w:r>
      <w:r>
        <w:rPr>
          <w:i/>
          <w:sz w:val="24"/>
        </w:rPr>
        <w:t>AER </w:t>
      </w:r>
      <w:r>
        <w:rPr>
          <w:sz w:val="24"/>
        </w:rPr>
        <w:t>approves a </w:t>
      </w:r>
      <w:r>
        <w:rPr>
          <w:i/>
          <w:sz w:val="24"/>
        </w:rPr>
        <w:t>model standing offer </w:t>
      </w:r>
      <w:r>
        <w:rPr>
          <w:sz w:val="24"/>
        </w:rPr>
        <w:t>for the same </w:t>
      </w:r>
      <w:r>
        <w:rPr>
          <w:i/>
          <w:sz w:val="24"/>
        </w:rPr>
        <w:t>basic connection services</w:t>
      </w:r>
      <w:r>
        <w:rPr>
          <w:sz w:val="24"/>
        </w:rPr>
        <w:t>, the approved </w:t>
      </w:r>
      <w:r>
        <w:rPr>
          <w:i/>
          <w:sz w:val="24"/>
        </w:rPr>
        <w:t>model standing offer </w:t>
      </w:r>
      <w:r>
        <w:rPr>
          <w:sz w:val="24"/>
        </w:rPr>
        <w:t>supersedes the former </w:t>
      </w:r>
      <w:r>
        <w:rPr>
          <w:i/>
          <w:sz w:val="24"/>
        </w:rPr>
        <w:t>model standing offer </w:t>
      </w:r>
      <w:r>
        <w:rPr>
          <w:sz w:val="24"/>
        </w:rPr>
        <w:t>under this</w:t>
      </w:r>
      <w:r>
        <w:rPr>
          <w:spacing w:val="-10"/>
          <w:sz w:val="24"/>
        </w:rPr>
        <w:t> </w:t>
      </w:r>
      <w:r>
        <w:rPr>
          <w:sz w:val="24"/>
        </w:rPr>
        <w:t>clause.</w:t>
      </w:r>
    </w:p>
    <w:p>
      <w:pPr>
        <w:pStyle w:val="ListParagraph"/>
        <w:numPr>
          <w:ilvl w:val="0"/>
          <w:numId w:val="865"/>
        </w:numPr>
        <w:tabs>
          <w:tab w:pos="1919" w:val="left" w:leader="none"/>
        </w:tabs>
        <w:spacing w:line="240" w:lineRule="auto" w:before="120" w:after="0"/>
        <w:ind w:left="1919" w:right="415" w:hanging="567"/>
        <w:jc w:val="both"/>
        <w:rPr>
          <w:sz w:val="24"/>
        </w:rPr>
      </w:pPr>
      <w:r>
        <w:rPr>
          <w:sz w:val="24"/>
        </w:rPr>
        <w:t>The NT distributor's obligation to have a </w:t>
      </w:r>
      <w:r>
        <w:rPr>
          <w:i/>
          <w:sz w:val="24"/>
        </w:rPr>
        <w:t>model standing offer </w:t>
      </w:r>
      <w:r>
        <w:rPr>
          <w:sz w:val="24"/>
        </w:rPr>
        <w:t>to provide </w:t>
      </w:r>
      <w:r>
        <w:rPr>
          <w:i/>
          <w:sz w:val="24"/>
        </w:rPr>
        <w:t>basic connection services </w:t>
      </w:r>
      <w:r>
        <w:rPr>
          <w:sz w:val="24"/>
        </w:rPr>
        <w:t>(clause 5A.B.1) operates during the transition period but the </w:t>
      </w:r>
      <w:r>
        <w:rPr>
          <w:i/>
          <w:sz w:val="24"/>
        </w:rPr>
        <w:t>AER's </w:t>
      </w:r>
      <w:r>
        <w:rPr>
          <w:sz w:val="24"/>
        </w:rPr>
        <w:t>approval of the </w:t>
      </w:r>
      <w:r>
        <w:rPr>
          <w:i/>
          <w:sz w:val="24"/>
        </w:rPr>
        <w:t>model standing offer </w:t>
      </w:r>
      <w:r>
        <w:rPr>
          <w:sz w:val="24"/>
        </w:rPr>
        <w:t>is not required until the transition</w:t>
      </w:r>
      <w:r>
        <w:rPr>
          <w:spacing w:val="-1"/>
          <w:sz w:val="24"/>
        </w:rPr>
        <w:t> </w:t>
      </w:r>
      <w:r>
        <w:rPr>
          <w:sz w:val="24"/>
        </w:rPr>
        <w:t>date.</w:t>
      </w:r>
    </w:p>
    <w:p>
      <w:pPr>
        <w:pStyle w:val="ListParagraph"/>
        <w:numPr>
          <w:ilvl w:val="0"/>
          <w:numId w:val="865"/>
        </w:numPr>
        <w:tabs>
          <w:tab w:pos="1919" w:val="left" w:leader="none"/>
        </w:tabs>
        <w:spacing w:line="240" w:lineRule="auto" w:before="120" w:after="0"/>
        <w:ind w:left="1919" w:right="416" w:hanging="567"/>
        <w:jc w:val="both"/>
        <w:rPr>
          <w:sz w:val="24"/>
        </w:rPr>
      </w:pPr>
      <w:r>
        <w:rPr>
          <w:sz w:val="24"/>
        </w:rPr>
        <w:t>The NT distributor's obligation to submit for the </w:t>
      </w:r>
      <w:r>
        <w:rPr>
          <w:i/>
          <w:sz w:val="24"/>
        </w:rPr>
        <w:t>AER's </w:t>
      </w:r>
      <w:r>
        <w:rPr>
          <w:sz w:val="24"/>
        </w:rPr>
        <w:t>approval a proposed </w:t>
      </w:r>
      <w:r>
        <w:rPr>
          <w:i/>
          <w:sz w:val="24"/>
        </w:rPr>
        <w:t>model standing offer </w:t>
      </w:r>
      <w:r>
        <w:rPr>
          <w:sz w:val="24"/>
        </w:rPr>
        <w:t>to provide </w:t>
      </w:r>
      <w:r>
        <w:rPr>
          <w:i/>
          <w:sz w:val="24"/>
        </w:rPr>
        <w:t>basic connection services </w:t>
      </w:r>
      <w:r>
        <w:rPr>
          <w:sz w:val="24"/>
        </w:rPr>
        <w:t>(clause 5A.B.2(a)) does not arise until 31 December</w:t>
      </w:r>
      <w:r>
        <w:rPr>
          <w:spacing w:val="-2"/>
          <w:sz w:val="24"/>
        </w:rPr>
        <w:t> </w:t>
      </w:r>
      <w:r>
        <w:rPr>
          <w:sz w:val="24"/>
        </w:rPr>
        <w:t>2019.</w:t>
      </w:r>
    </w:p>
    <w:p>
      <w:pPr>
        <w:spacing w:before="220"/>
        <w:ind w:left="1356" w:right="0" w:firstLine="0"/>
        <w:jc w:val="left"/>
        <w:rPr>
          <w:rFonts w:ascii="Arial"/>
          <w:b/>
          <w:sz w:val="22"/>
        </w:rPr>
      </w:pPr>
      <w:r>
        <w:rPr>
          <w:rFonts w:ascii="Arial"/>
          <w:b/>
          <w:sz w:val="22"/>
        </w:rPr>
        <w:t>Model standing offer (standard connection services)</w:t>
      </w:r>
    </w:p>
    <w:p>
      <w:pPr>
        <w:pStyle w:val="ListParagraph"/>
        <w:numPr>
          <w:ilvl w:val="0"/>
          <w:numId w:val="865"/>
        </w:numPr>
        <w:tabs>
          <w:tab w:pos="1919" w:val="left" w:leader="none"/>
        </w:tabs>
        <w:spacing w:line="240" w:lineRule="auto" w:before="120" w:after="0"/>
        <w:ind w:left="1919" w:right="415" w:hanging="567"/>
        <w:jc w:val="both"/>
        <w:rPr>
          <w:sz w:val="24"/>
        </w:rPr>
      </w:pPr>
      <w:r>
        <w:rPr>
          <w:sz w:val="24"/>
        </w:rPr>
        <w:t>A document, prepared by the NT distributor and </w:t>
      </w:r>
      <w:r>
        <w:rPr>
          <w:i/>
          <w:sz w:val="24"/>
        </w:rPr>
        <w:t>published </w:t>
      </w:r>
      <w:r>
        <w:rPr>
          <w:sz w:val="24"/>
        </w:rPr>
        <w:t>on the NT distributor's website, will (although not approved by the </w:t>
      </w:r>
      <w:r>
        <w:rPr>
          <w:i/>
          <w:sz w:val="24"/>
        </w:rPr>
        <w:t>AER</w:t>
      </w:r>
      <w:r>
        <w:rPr>
          <w:sz w:val="24"/>
        </w:rPr>
        <w:t>) be regarded as a </w:t>
      </w:r>
      <w:r>
        <w:rPr>
          <w:i/>
          <w:sz w:val="24"/>
        </w:rPr>
        <w:t>model standing offer </w:t>
      </w:r>
      <w:r>
        <w:rPr>
          <w:sz w:val="24"/>
        </w:rPr>
        <w:t>to provide </w:t>
      </w:r>
      <w:r>
        <w:rPr>
          <w:i/>
          <w:sz w:val="24"/>
        </w:rPr>
        <w:t>standard connection services </w:t>
      </w:r>
      <w:r>
        <w:rPr>
          <w:sz w:val="24"/>
        </w:rPr>
        <w:t>during the transition period if it complies with the requirements of clause 5A.B.4(c) as to its terms and</w:t>
      </w:r>
      <w:r>
        <w:rPr>
          <w:spacing w:val="-1"/>
          <w:sz w:val="24"/>
        </w:rPr>
        <w:t> </w:t>
      </w:r>
      <w:r>
        <w:rPr>
          <w:sz w:val="24"/>
        </w:rPr>
        <w:t>conditions.</w:t>
      </w:r>
    </w:p>
    <w:p>
      <w:pPr>
        <w:pStyle w:val="ListParagraph"/>
        <w:numPr>
          <w:ilvl w:val="0"/>
          <w:numId w:val="865"/>
        </w:numPr>
        <w:tabs>
          <w:tab w:pos="1920" w:val="left" w:leader="none"/>
        </w:tabs>
        <w:spacing w:line="240" w:lineRule="auto" w:before="120" w:after="0"/>
        <w:ind w:left="1919" w:right="414" w:hanging="567"/>
        <w:jc w:val="both"/>
        <w:rPr>
          <w:sz w:val="24"/>
        </w:rPr>
      </w:pPr>
      <w:r>
        <w:rPr>
          <w:sz w:val="24"/>
        </w:rPr>
        <w:t>If, during the transition period, the </w:t>
      </w:r>
      <w:r>
        <w:rPr>
          <w:i/>
          <w:sz w:val="24"/>
        </w:rPr>
        <w:t>AER </w:t>
      </w:r>
      <w:r>
        <w:rPr>
          <w:sz w:val="24"/>
        </w:rPr>
        <w:t>approves a </w:t>
      </w:r>
      <w:r>
        <w:rPr>
          <w:i/>
          <w:sz w:val="24"/>
        </w:rPr>
        <w:t>model standing offer </w:t>
      </w:r>
      <w:r>
        <w:rPr>
          <w:sz w:val="24"/>
        </w:rPr>
        <w:t>for the same </w:t>
      </w:r>
      <w:r>
        <w:rPr>
          <w:i/>
          <w:sz w:val="24"/>
        </w:rPr>
        <w:t>standard connection services</w:t>
      </w:r>
      <w:r>
        <w:rPr>
          <w:sz w:val="24"/>
        </w:rPr>
        <w:t>, and the approved </w:t>
      </w:r>
      <w:r>
        <w:rPr>
          <w:i/>
          <w:sz w:val="24"/>
        </w:rPr>
        <w:t>model standing </w:t>
      </w:r>
      <w:r>
        <w:rPr>
          <w:i/>
          <w:sz w:val="24"/>
        </w:rPr>
        <w:t>offer </w:t>
      </w:r>
      <w:r>
        <w:rPr>
          <w:sz w:val="24"/>
        </w:rPr>
        <w:t>is to take effect before the end of the transition period, the approved </w:t>
      </w:r>
      <w:r>
        <w:rPr>
          <w:i/>
          <w:sz w:val="24"/>
        </w:rPr>
        <w:t>model standing offer </w:t>
      </w:r>
      <w:r>
        <w:rPr>
          <w:sz w:val="24"/>
        </w:rPr>
        <w:t>supersedes the former </w:t>
      </w:r>
      <w:r>
        <w:rPr>
          <w:i/>
          <w:sz w:val="24"/>
        </w:rPr>
        <w:t>model standing</w:t>
      </w:r>
      <w:r>
        <w:rPr>
          <w:i/>
          <w:spacing w:val="-10"/>
          <w:sz w:val="24"/>
        </w:rPr>
        <w:t> </w:t>
      </w:r>
      <w:r>
        <w:rPr>
          <w:i/>
          <w:sz w:val="24"/>
        </w:rPr>
        <w:t>offer</w:t>
      </w:r>
      <w:r>
        <w:rPr>
          <w:sz w:val="24"/>
        </w:rPr>
        <w:t>.</w:t>
      </w:r>
    </w:p>
    <w:p>
      <w:pPr>
        <w:pStyle w:val="ListParagraph"/>
        <w:numPr>
          <w:ilvl w:val="0"/>
          <w:numId w:val="865"/>
        </w:numPr>
        <w:tabs>
          <w:tab w:pos="1919" w:val="left" w:leader="none"/>
        </w:tabs>
        <w:spacing w:line="240" w:lineRule="auto" w:before="120" w:after="0"/>
        <w:ind w:left="1919" w:right="415" w:hanging="567"/>
        <w:jc w:val="both"/>
        <w:rPr>
          <w:sz w:val="24"/>
        </w:rPr>
      </w:pPr>
      <w:r>
        <w:rPr>
          <w:sz w:val="24"/>
        </w:rPr>
        <w:t>The NT distributor may submit for the </w:t>
      </w:r>
      <w:r>
        <w:rPr>
          <w:i/>
          <w:sz w:val="24"/>
        </w:rPr>
        <w:t>AER's </w:t>
      </w:r>
      <w:r>
        <w:rPr>
          <w:sz w:val="24"/>
        </w:rPr>
        <w:t>approval a </w:t>
      </w:r>
      <w:r>
        <w:rPr>
          <w:i/>
          <w:sz w:val="24"/>
        </w:rPr>
        <w:t>model standing </w:t>
      </w:r>
      <w:r>
        <w:rPr>
          <w:i/>
          <w:sz w:val="24"/>
        </w:rPr>
        <w:t>offer </w:t>
      </w:r>
      <w:r>
        <w:rPr>
          <w:sz w:val="24"/>
        </w:rPr>
        <w:t>to provide </w:t>
      </w:r>
      <w:r>
        <w:rPr>
          <w:i/>
          <w:sz w:val="24"/>
        </w:rPr>
        <w:t>standard connection services </w:t>
      </w:r>
      <w:r>
        <w:rPr>
          <w:sz w:val="24"/>
        </w:rPr>
        <w:t>(clause 5A.B.4) during the transition period but the </w:t>
      </w:r>
      <w:r>
        <w:rPr>
          <w:i/>
          <w:sz w:val="24"/>
        </w:rPr>
        <w:t>AER's </w:t>
      </w:r>
      <w:r>
        <w:rPr>
          <w:sz w:val="24"/>
        </w:rPr>
        <w:t>approval of the </w:t>
      </w:r>
      <w:r>
        <w:rPr>
          <w:i/>
          <w:sz w:val="24"/>
        </w:rPr>
        <w:t>standing offer </w:t>
      </w:r>
      <w:r>
        <w:rPr>
          <w:sz w:val="24"/>
        </w:rPr>
        <w:t>is not required until the transition</w:t>
      </w:r>
      <w:r>
        <w:rPr>
          <w:spacing w:val="-1"/>
          <w:sz w:val="24"/>
        </w:rPr>
        <w:t> </w:t>
      </w:r>
      <w:r>
        <w:rPr>
          <w:sz w:val="24"/>
        </w:rPr>
        <w:t>date.</w:t>
      </w:r>
    </w:p>
    <w:p>
      <w:pPr>
        <w:spacing w:before="220"/>
        <w:ind w:left="1356" w:right="0" w:firstLine="0"/>
        <w:jc w:val="left"/>
        <w:rPr>
          <w:rFonts w:ascii="Arial"/>
          <w:b/>
          <w:sz w:val="22"/>
        </w:rPr>
      </w:pPr>
      <w:r>
        <w:rPr>
          <w:rFonts w:ascii="Arial"/>
          <w:b/>
          <w:sz w:val="22"/>
        </w:rPr>
        <w:t>Amendment of standing offers</w:t>
      </w:r>
    </w:p>
    <w:p>
      <w:pPr>
        <w:pStyle w:val="ListParagraph"/>
        <w:numPr>
          <w:ilvl w:val="0"/>
          <w:numId w:val="865"/>
        </w:numPr>
        <w:tabs>
          <w:tab w:pos="1919" w:val="left" w:leader="none"/>
        </w:tabs>
        <w:spacing w:line="240" w:lineRule="auto" w:before="120" w:after="0"/>
        <w:ind w:left="1919" w:right="415" w:hanging="567"/>
        <w:jc w:val="both"/>
        <w:rPr>
          <w:sz w:val="24"/>
        </w:rPr>
      </w:pPr>
      <w:r>
        <w:rPr>
          <w:sz w:val="24"/>
        </w:rPr>
        <w:t>During the transition period, the NT distributor may amend a standing offer to provide </w:t>
      </w:r>
      <w:r>
        <w:rPr>
          <w:i/>
          <w:sz w:val="24"/>
        </w:rPr>
        <w:t>basic connection services </w:t>
      </w:r>
      <w:r>
        <w:rPr>
          <w:sz w:val="24"/>
        </w:rPr>
        <w:t>or </w:t>
      </w:r>
      <w:r>
        <w:rPr>
          <w:i/>
          <w:sz w:val="24"/>
        </w:rPr>
        <w:t>standard connection services </w:t>
      </w:r>
      <w:r>
        <w:rPr>
          <w:sz w:val="24"/>
        </w:rPr>
        <w:t>during the transition period by </w:t>
      </w:r>
      <w:r>
        <w:rPr>
          <w:i/>
          <w:sz w:val="24"/>
        </w:rPr>
        <w:t>publishing </w:t>
      </w:r>
      <w:r>
        <w:rPr>
          <w:sz w:val="24"/>
        </w:rPr>
        <w:t>the amendments and the amended text on its website. (This paragraph applies during the transition period to the exclusion of clause</w:t>
      </w:r>
      <w:r>
        <w:rPr>
          <w:spacing w:val="-1"/>
          <w:sz w:val="24"/>
        </w:rPr>
        <w:t> </w:t>
      </w:r>
      <w:r>
        <w:rPr>
          <w:sz w:val="24"/>
        </w:rPr>
        <w:t>5A.B.6.)</w:t>
      </w:r>
    </w:p>
    <w:p>
      <w:pPr>
        <w:pStyle w:val="BodyText"/>
        <w:spacing w:before="10"/>
        <w:ind w:firstLine="0"/>
        <w:jc w:val="left"/>
        <w:rPr>
          <w:sz w:val="20"/>
        </w:rPr>
      </w:pPr>
    </w:p>
    <w:p>
      <w:pPr>
        <w:pStyle w:val="Heading4"/>
        <w:tabs>
          <w:tab w:pos="1351" w:val="left" w:leader="none"/>
        </w:tabs>
        <w:ind w:left="218" w:firstLine="0"/>
      </w:pPr>
      <w:bookmarkStart w:name="11A.2.5 References" w:id="3599"/>
      <w:bookmarkEnd w:id="3599"/>
      <w:r>
        <w:rPr>
          <w:b w:val="0"/>
        </w:rPr>
      </w:r>
      <w:bookmarkStart w:name="_bookmark1418" w:id="3600"/>
      <w:bookmarkEnd w:id="3600"/>
      <w:r>
        <w:rPr>
          <w:b w:val="0"/>
        </w:rPr>
      </w:r>
      <w:r>
        <w:rPr/>
        <w:t>11A.2.5</w:t>
        <w:tab/>
        <w:t>References</w:t>
      </w:r>
    </w:p>
    <w:p>
      <w:pPr>
        <w:pStyle w:val="BodyText"/>
        <w:ind w:left="1352" w:right="414" w:firstLine="0"/>
      </w:pPr>
      <w:r>
        <w:rPr/>
        <w:t>A reference to any of the relevant provisions in a legislative or other instrument will be construed, during the transition period, as a reference to the provision as modified by this Rule.</w:t>
      </w:r>
    </w:p>
    <w:p>
      <w:pPr>
        <w:pStyle w:val="BodyText"/>
        <w:spacing w:before="10"/>
        <w:ind w:firstLine="0"/>
        <w:jc w:val="left"/>
        <w:rPr>
          <w:sz w:val="20"/>
        </w:rPr>
      </w:pPr>
    </w:p>
    <w:p>
      <w:pPr>
        <w:tabs>
          <w:tab w:pos="1352" w:val="left" w:leader="none"/>
          <w:tab w:pos="9317" w:val="left" w:leader="none"/>
        </w:tabs>
        <w:spacing w:before="0"/>
        <w:ind w:left="218" w:right="0" w:firstLine="0"/>
        <w:jc w:val="left"/>
        <w:rPr>
          <w:rFonts w:ascii="Arial"/>
          <w:b/>
          <w:sz w:val="28"/>
        </w:rPr>
      </w:pPr>
      <w:bookmarkStart w:name="Part C Savings and transitional rules fo" w:id="3601"/>
      <w:bookmarkEnd w:id="3601"/>
      <w:r>
        <w:rPr/>
      </w:r>
      <w:bookmarkStart w:name="_bookmark1419" w:id="3602"/>
      <w:bookmarkEnd w:id="3602"/>
      <w:r>
        <w:rPr/>
      </w:r>
      <w:r>
        <w:rPr>
          <w:rFonts w:ascii="Arial"/>
          <w:b/>
          <w:sz w:val="28"/>
          <w:shd w:fill="D9D9D9" w:color="auto" w:val="clear"/>
        </w:rPr>
        <w:t>Part C</w:t>
        <w:tab/>
        <w:t>Savings and transitional rules for Chapter</w:t>
      </w:r>
      <w:r>
        <w:rPr>
          <w:rFonts w:ascii="Arial"/>
          <w:b/>
          <w:spacing w:val="-17"/>
          <w:sz w:val="28"/>
          <w:shd w:fill="D9D9D9" w:color="auto" w:val="clear"/>
        </w:rPr>
        <w:t> </w:t>
      </w:r>
      <w:r>
        <w:rPr>
          <w:rFonts w:ascii="Arial"/>
          <w:b/>
          <w:sz w:val="28"/>
          <w:shd w:fill="D9D9D9" w:color="auto" w:val="clear"/>
        </w:rPr>
        <w:t>7A</w:t>
        <w:tab/>
      </w:r>
    </w:p>
    <w:p>
      <w:pPr>
        <w:spacing w:before="120"/>
        <w:ind w:left="1352" w:right="0" w:firstLine="0"/>
        <w:jc w:val="left"/>
        <w:rPr>
          <w:rFonts w:ascii="Arial"/>
          <w:b/>
          <w:sz w:val="20"/>
        </w:rPr>
      </w:pPr>
      <w:r>
        <w:rPr>
          <w:rFonts w:ascii="Arial"/>
          <w:b/>
          <w:sz w:val="20"/>
        </w:rPr>
        <w:t>Note</w:t>
      </w:r>
    </w:p>
    <w:p>
      <w:pPr>
        <w:spacing w:before="120"/>
        <w:ind w:left="1352" w:right="416" w:firstLine="0"/>
        <w:jc w:val="both"/>
        <w:rPr>
          <w:sz w:val="20"/>
        </w:rPr>
      </w:pPr>
      <w:r>
        <w:rPr>
          <w:sz w:val="20"/>
        </w:rPr>
        <w:t>Part C of this Chapter has no effect in this jurisdiction until 1 July 2019 (see regulation 5A of the </w:t>
      </w:r>
      <w:r>
        <w:rPr>
          <w:i/>
          <w:sz w:val="20"/>
        </w:rPr>
        <w:t>National Electricity (Northern Territory) (National Uniform Legislation) (Modification) </w:t>
      </w:r>
      <w:r>
        <w:rPr>
          <w:i/>
          <w:sz w:val="20"/>
        </w:rPr>
        <w:t>Regulations</w:t>
      </w:r>
      <w:r>
        <w:rPr>
          <w:sz w:val="20"/>
        </w:rPr>
        <w:t>). The application of Part C will be revisited as part of the phased implementation of the </w:t>
      </w:r>
      <w:r>
        <w:rPr>
          <w:i/>
          <w:sz w:val="20"/>
        </w:rPr>
        <w:t>Rules </w:t>
      </w:r>
      <w:r>
        <w:rPr>
          <w:sz w:val="20"/>
        </w:rPr>
        <w:t>in this jurisdiction.</w:t>
      </w:r>
    </w:p>
    <w:p>
      <w:pPr>
        <w:spacing w:after="0"/>
        <w:jc w:val="both"/>
        <w:rPr>
          <w:sz w:val="20"/>
        </w:rPr>
        <w:sectPr>
          <w:pgSz w:w="11910" w:h="16840"/>
          <w:pgMar w:header="686" w:footer="637" w:top="1320" w:bottom="820" w:left="1200" w:right="1000"/>
        </w:sectPr>
      </w:pPr>
    </w:p>
    <w:p>
      <w:pPr>
        <w:pStyle w:val="Heading3"/>
        <w:tabs>
          <w:tab w:pos="1351" w:val="left" w:leader="none"/>
        </w:tabs>
        <w:spacing w:before="83"/>
        <w:ind w:left="218" w:firstLine="0"/>
      </w:pPr>
      <w:bookmarkStart w:name="11A.3 Existing metering installations" w:id="3603"/>
      <w:bookmarkEnd w:id="3603"/>
      <w:r>
        <w:rPr>
          <w:b w:val="0"/>
        </w:rPr>
      </w:r>
      <w:bookmarkStart w:name="_bookmark1420" w:id="3604"/>
      <w:bookmarkEnd w:id="3604"/>
      <w:r>
        <w:rPr>
          <w:b w:val="0"/>
        </w:rPr>
      </w:r>
      <w:r>
        <w:rPr/>
        <w:t>11A.3</w:t>
        <w:tab/>
        <w:t>Existing metering</w:t>
      </w:r>
      <w:r>
        <w:rPr>
          <w:spacing w:val="-1"/>
        </w:rPr>
        <w:t> </w:t>
      </w:r>
      <w:r>
        <w:rPr/>
        <w:t>installations</w:t>
      </w:r>
    </w:p>
    <w:p>
      <w:pPr>
        <w:pStyle w:val="ListParagraph"/>
        <w:numPr>
          <w:ilvl w:val="0"/>
          <w:numId w:val="866"/>
        </w:numPr>
        <w:tabs>
          <w:tab w:pos="1919" w:val="left" w:leader="none"/>
        </w:tabs>
        <w:spacing w:line="240" w:lineRule="auto" w:before="120" w:after="0"/>
        <w:ind w:left="1919" w:right="414" w:hanging="567"/>
        <w:jc w:val="both"/>
        <w:rPr>
          <w:sz w:val="24"/>
        </w:rPr>
      </w:pPr>
      <w:r>
        <w:rPr>
          <w:sz w:val="24"/>
        </w:rPr>
        <w:t>This rule applies in relation to a </w:t>
      </w:r>
      <w:r>
        <w:rPr>
          <w:i/>
          <w:sz w:val="24"/>
        </w:rPr>
        <w:t>metering installation </w:t>
      </w:r>
      <w:r>
        <w:rPr>
          <w:sz w:val="24"/>
        </w:rPr>
        <w:t>installed at a </w:t>
      </w:r>
      <w:r>
        <w:rPr>
          <w:i/>
          <w:sz w:val="24"/>
        </w:rPr>
        <w:t>connection point </w:t>
      </w:r>
      <w:r>
        <w:rPr>
          <w:sz w:val="24"/>
        </w:rPr>
        <w:t>on a </w:t>
      </w:r>
      <w:r>
        <w:rPr>
          <w:i/>
          <w:sz w:val="24"/>
        </w:rPr>
        <w:t>transmission network </w:t>
      </w:r>
      <w:r>
        <w:rPr>
          <w:sz w:val="24"/>
        </w:rPr>
        <w:t>or </w:t>
      </w:r>
      <w:r>
        <w:rPr>
          <w:i/>
          <w:sz w:val="24"/>
        </w:rPr>
        <w:t>distribution network </w:t>
      </w:r>
      <w:r>
        <w:rPr>
          <w:sz w:val="24"/>
        </w:rPr>
        <w:t>in this jurisdiction that is in service immediately before 1 July</w:t>
      </w:r>
      <w:r>
        <w:rPr>
          <w:spacing w:val="-5"/>
          <w:sz w:val="24"/>
        </w:rPr>
        <w:t> </w:t>
      </w:r>
      <w:r>
        <w:rPr>
          <w:sz w:val="24"/>
        </w:rPr>
        <w:t>2019.</w:t>
      </w:r>
    </w:p>
    <w:p>
      <w:pPr>
        <w:pStyle w:val="ListParagraph"/>
        <w:numPr>
          <w:ilvl w:val="0"/>
          <w:numId w:val="866"/>
        </w:numPr>
        <w:tabs>
          <w:tab w:pos="1919" w:val="left" w:leader="none"/>
        </w:tabs>
        <w:spacing w:line="240" w:lineRule="auto" w:before="120" w:after="0"/>
        <w:ind w:left="1918" w:right="0" w:hanging="567"/>
        <w:jc w:val="both"/>
        <w:rPr>
          <w:sz w:val="24"/>
        </w:rPr>
      </w:pPr>
      <w:r>
        <w:rPr>
          <w:sz w:val="24"/>
        </w:rPr>
        <w:t>The</w:t>
      </w:r>
      <w:r>
        <w:rPr>
          <w:spacing w:val="19"/>
          <w:sz w:val="24"/>
        </w:rPr>
        <w:t> </w:t>
      </w:r>
      <w:r>
        <w:rPr>
          <w:sz w:val="24"/>
        </w:rPr>
        <w:t>following</w:t>
      </w:r>
      <w:r>
        <w:rPr>
          <w:spacing w:val="18"/>
          <w:sz w:val="24"/>
        </w:rPr>
        <w:t> </w:t>
      </w:r>
      <w:r>
        <w:rPr>
          <w:sz w:val="24"/>
        </w:rPr>
        <w:t>requirements</w:t>
      </w:r>
      <w:r>
        <w:rPr>
          <w:spacing w:val="19"/>
          <w:sz w:val="24"/>
        </w:rPr>
        <w:t> </w:t>
      </w:r>
      <w:r>
        <w:rPr>
          <w:sz w:val="24"/>
        </w:rPr>
        <w:t>must</w:t>
      </w:r>
      <w:r>
        <w:rPr>
          <w:spacing w:val="18"/>
          <w:sz w:val="24"/>
        </w:rPr>
        <w:t> </w:t>
      </w:r>
      <w:r>
        <w:rPr>
          <w:sz w:val="24"/>
        </w:rPr>
        <w:t>be</w:t>
      </w:r>
      <w:r>
        <w:rPr>
          <w:spacing w:val="19"/>
          <w:sz w:val="24"/>
        </w:rPr>
        <w:t> </w:t>
      </w:r>
      <w:r>
        <w:rPr>
          <w:sz w:val="24"/>
        </w:rPr>
        <w:t>complied</w:t>
      </w:r>
      <w:r>
        <w:rPr>
          <w:spacing w:val="18"/>
          <w:sz w:val="24"/>
        </w:rPr>
        <w:t> </w:t>
      </w:r>
      <w:r>
        <w:rPr>
          <w:sz w:val="24"/>
        </w:rPr>
        <w:t>with</w:t>
      </w:r>
      <w:r>
        <w:rPr>
          <w:spacing w:val="18"/>
          <w:sz w:val="24"/>
        </w:rPr>
        <w:t> </w:t>
      </w:r>
      <w:r>
        <w:rPr>
          <w:sz w:val="24"/>
        </w:rPr>
        <w:t>in</w:t>
      </w:r>
      <w:r>
        <w:rPr>
          <w:spacing w:val="19"/>
          <w:sz w:val="24"/>
        </w:rPr>
        <w:t> </w:t>
      </w:r>
      <w:r>
        <w:rPr>
          <w:sz w:val="24"/>
        </w:rPr>
        <w:t>relation</w:t>
      </w:r>
      <w:r>
        <w:rPr>
          <w:spacing w:val="19"/>
          <w:sz w:val="24"/>
        </w:rPr>
        <w:t> </w:t>
      </w:r>
      <w:r>
        <w:rPr>
          <w:sz w:val="24"/>
        </w:rPr>
        <w:t>to</w:t>
      </w:r>
      <w:r>
        <w:rPr>
          <w:spacing w:val="19"/>
          <w:sz w:val="24"/>
        </w:rPr>
        <w:t> </w:t>
      </w:r>
      <w:r>
        <w:rPr>
          <w:sz w:val="24"/>
        </w:rPr>
        <w:t>the</w:t>
      </w:r>
    </w:p>
    <w:p>
      <w:pPr>
        <w:spacing w:before="0"/>
        <w:ind w:left="1919" w:right="0" w:firstLine="0"/>
        <w:jc w:val="both"/>
        <w:rPr>
          <w:sz w:val="24"/>
        </w:rPr>
      </w:pPr>
      <w:r>
        <w:rPr>
          <w:i/>
          <w:sz w:val="24"/>
        </w:rPr>
        <w:t>metering installation</w:t>
      </w:r>
      <w:r>
        <w:rPr>
          <w:sz w:val="24"/>
        </w:rPr>
        <w:t>:</w:t>
      </w:r>
    </w:p>
    <w:p>
      <w:pPr>
        <w:pStyle w:val="ListParagraph"/>
        <w:numPr>
          <w:ilvl w:val="1"/>
          <w:numId w:val="866"/>
        </w:numPr>
        <w:tabs>
          <w:tab w:pos="2486" w:val="left" w:leader="none"/>
        </w:tabs>
        <w:spacing w:line="240" w:lineRule="auto" w:before="120" w:after="0"/>
        <w:ind w:left="2486" w:right="414" w:hanging="567"/>
        <w:jc w:val="both"/>
        <w:rPr>
          <w:sz w:val="24"/>
        </w:rPr>
      </w:pPr>
      <w:r>
        <w:rPr>
          <w:sz w:val="24"/>
        </w:rPr>
        <w:t>the requirements imposed on a </w:t>
      </w:r>
      <w:r>
        <w:rPr>
          <w:i/>
          <w:sz w:val="24"/>
        </w:rPr>
        <w:t>metering installation </w:t>
      </w:r>
      <w:r>
        <w:rPr>
          <w:sz w:val="24"/>
        </w:rPr>
        <w:t>at a </w:t>
      </w:r>
      <w:r>
        <w:rPr>
          <w:i/>
          <w:sz w:val="24"/>
        </w:rPr>
        <w:t>connection </w:t>
      </w:r>
      <w:r>
        <w:rPr>
          <w:i/>
          <w:sz w:val="24"/>
        </w:rPr>
        <w:t>point </w:t>
      </w:r>
      <w:r>
        <w:rPr>
          <w:sz w:val="24"/>
        </w:rPr>
        <w:t>on a </w:t>
      </w:r>
      <w:r>
        <w:rPr>
          <w:i/>
          <w:sz w:val="24"/>
        </w:rPr>
        <w:t>distribution network </w:t>
      </w:r>
      <w:r>
        <w:rPr>
          <w:sz w:val="24"/>
        </w:rPr>
        <w:t>or </w:t>
      </w:r>
      <w:r>
        <w:rPr>
          <w:i/>
          <w:sz w:val="24"/>
        </w:rPr>
        <w:t>transmission network </w:t>
      </w:r>
      <w:r>
        <w:rPr>
          <w:sz w:val="24"/>
        </w:rPr>
        <w:t>in this jurisdiction by, under or for the purposes of a law of this jurisdiction that is in force immediately before 1 July 2019 (the </w:t>
      </w:r>
      <w:r>
        <w:rPr>
          <w:b/>
          <w:sz w:val="24"/>
        </w:rPr>
        <w:t>NT requirements</w:t>
      </w:r>
      <w:r>
        <w:rPr>
          <w:sz w:val="24"/>
        </w:rPr>
        <w:t>);</w:t>
      </w:r>
      <w:r>
        <w:rPr>
          <w:spacing w:val="-2"/>
          <w:sz w:val="24"/>
        </w:rPr>
        <w:t> </w:t>
      </w:r>
      <w:r>
        <w:rPr>
          <w:sz w:val="24"/>
        </w:rPr>
        <w:t>and</w:t>
      </w:r>
    </w:p>
    <w:p>
      <w:pPr>
        <w:pStyle w:val="ListParagraph"/>
        <w:numPr>
          <w:ilvl w:val="1"/>
          <w:numId w:val="866"/>
        </w:numPr>
        <w:tabs>
          <w:tab w:pos="2486" w:val="left" w:leader="none"/>
        </w:tabs>
        <w:spacing w:line="240" w:lineRule="auto" w:before="120" w:after="0"/>
        <w:ind w:left="2485" w:right="0" w:hanging="567"/>
        <w:jc w:val="both"/>
        <w:rPr>
          <w:sz w:val="24"/>
        </w:rPr>
      </w:pPr>
      <w:r>
        <w:rPr>
          <w:sz w:val="24"/>
        </w:rPr>
        <w:t>the requirements imposed in respect of the </w:t>
      </w:r>
      <w:r>
        <w:rPr>
          <w:i/>
          <w:sz w:val="24"/>
        </w:rPr>
        <w:t>metering installation </w:t>
      </w:r>
      <w:r>
        <w:rPr>
          <w:sz w:val="24"/>
        </w:rPr>
        <w:t>by</w:t>
      </w:r>
      <w:r>
        <w:rPr>
          <w:spacing w:val="-6"/>
          <w:sz w:val="24"/>
        </w:rPr>
        <w:t> </w:t>
      </w:r>
      <w:r>
        <w:rPr>
          <w:sz w:val="24"/>
        </w:rPr>
        <w:t>the</w:t>
      </w:r>
    </w:p>
    <w:p>
      <w:pPr>
        <w:spacing w:before="0"/>
        <w:ind w:left="2486" w:right="0" w:firstLine="0"/>
        <w:jc w:val="left"/>
        <w:rPr>
          <w:sz w:val="24"/>
        </w:rPr>
      </w:pPr>
      <w:r>
        <w:rPr>
          <w:i/>
          <w:sz w:val="24"/>
        </w:rPr>
        <w:t>Rules</w:t>
      </w:r>
      <w:r>
        <w:rPr>
          <w:sz w:val="24"/>
        </w:rPr>
        <w:t>.</w:t>
      </w:r>
    </w:p>
    <w:p>
      <w:pPr>
        <w:pStyle w:val="ListParagraph"/>
        <w:numPr>
          <w:ilvl w:val="0"/>
          <w:numId w:val="866"/>
        </w:numPr>
        <w:tabs>
          <w:tab w:pos="1918" w:val="left" w:leader="none"/>
          <w:tab w:pos="1919" w:val="left" w:leader="none"/>
        </w:tabs>
        <w:spacing w:line="240" w:lineRule="auto" w:before="120" w:after="0"/>
        <w:ind w:left="1919" w:right="414" w:hanging="567"/>
        <w:jc w:val="left"/>
        <w:rPr>
          <w:sz w:val="24"/>
        </w:rPr>
      </w:pPr>
      <w:r>
        <w:rPr>
          <w:sz w:val="24"/>
        </w:rPr>
        <w:t>The requirements imposed in respect of the </w:t>
      </w:r>
      <w:r>
        <w:rPr>
          <w:i/>
          <w:sz w:val="24"/>
        </w:rPr>
        <w:t>metering installation </w:t>
      </w:r>
      <w:r>
        <w:rPr>
          <w:sz w:val="24"/>
        </w:rPr>
        <w:t>by the following provisions are taken to be complied</w:t>
      </w:r>
      <w:r>
        <w:rPr>
          <w:spacing w:val="-2"/>
          <w:sz w:val="24"/>
        </w:rPr>
        <w:t> </w:t>
      </w:r>
      <w:r>
        <w:rPr>
          <w:sz w:val="24"/>
        </w:rPr>
        <w:t>with:</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7A.6.2(a);</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7A.6.3(a);</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7A.6.4, other than paragraph</w:t>
      </w:r>
      <w:r>
        <w:rPr>
          <w:spacing w:val="-1"/>
          <w:sz w:val="24"/>
        </w:rPr>
        <w:t> </w:t>
      </w:r>
      <w:r>
        <w:rPr>
          <w:sz w:val="24"/>
        </w:rPr>
        <w:t>(b);</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7A.6.5;</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schedule 7A.1, other than clause</w:t>
      </w:r>
      <w:r>
        <w:rPr>
          <w:spacing w:val="-2"/>
          <w:sz w:val="24"/>
        </w:rPr>
        <w:t> </w:t>
      </w:r>
      <w:r>
        <w:rPr>
          <w:sz w:val="24"/>
        </w:rPr>
        <w:t>S7A.1.3;</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w:t>
      </w:r>
      <w:r>
        <w:rPr>
          <w:spacing w:val="-1"/>
          <w:sz w:val="24"/>
        </w:rPr>
        <w:t> </w:t>
      </w:r>
      <w:r>
        <w:rPr>
          <w:sz w:val="24"/>
        </w:rPr>
        <w:t>S7A.3.2.2;</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schedule</w:t>
      </w:r>
      <w:r>
        <w:rPr>
          <w:spacing w:val="-1"/>
          <w:sz w:val="24"/>
        </w:rPr>
        <w:t> </w:t>
      </w:r>
      <w:r>
        <w:rPr>
          <w:sz w:val="24"/>
        </w:rPr>
        <w:t>7A.5.</w:t>
      </w:r>
    </w:p>
    <w:p>
      <w:pPr>
        <w:pStyle w:val="ListParagraph"/>
        <w:numPr>
          <w:ilvl w:val="0"/>
          <w:numId w:val="866"/>
        </w:numPr>
        <w:tabs>
          <w:tab w:pos="1918" w:val="left" w:leader="none"/>
          <w:tab w:pos="1919" w:val="left" w:leader="none"/>
        </w:tabs>
        <w:spacing w:line="240" w:lineRule="auto" w:before="120" w:after="0"/>
        <w:ind w:left="1919" w:right="416" w:hanging="567"/>
        <w:jc w:val="left"/>
        <w:rPr>
          <w:sz w:val="24"/>
        </w:rPr>
      </w:pPr>
      <w:r>
        <w:rPr>
          <w:sz w:val="24"/>
        </w:rPr>
        <w:t>For the purposes of the operation of Chapter 7A in respect of the </w:t>
      </w:r>
      <w:r>
        <w:rPr>
          <w:i/>
          <w:sz w:val="24"/>
        </w:rPr>
        <w:t>metering </w:t>
      </w:r>
      <w:r>
        <w:rPr>
          <w:i/>
          <w:sz w:val="24"/>
        </w:rPr>
        <w:t>installation</w:t>
      </w:r>
      <w:r>
        <w:rPr>
          <w:sz w:val="24"/>
        </w:rPr>
        <w:t>, a reference</w:t>
      </w:r>
      <w:r>
        <w:rPr>
          <w:spacing w:val="-1"/>
          <w:sz w:val="24"/>
        </w:rPr>
        <w:t> </w:t>
      </w:r>
      <w:r>
        <w:rPr>
          <w:sz w:val="24"/>
        </w:rPr>
        <w:t>in:</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7A.7.2 to "the technical</w:t>
      </w:r>
      <w:r>
        <w:rPr>
          <w:spacing w:val="-2"/>
          <w:sz w:val="24"/>
        </w:rPr>
        <w:t> </w:t>
      </w:r>
      <w:r>
        <w:rPr>
          <w:sz w:val="24"/>
        </w:rPr>
        <w:t>requirements";</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7A.7.3 to "requirements of the</w:t>
      </w:r>
      <w:r>
        <w:rPr>
          <w:spacing w:val="-2"/>
          <w:sz w:val="24"/>
        </w:rPr>
        <w:t> </w:t>
      </w:r>
      <w:r>
        <w:rPr>
          <w:i/>
          <w:sz w:val="24"/>
        </w:rPr>
        <w:t>Rules</w:t>
      </w:r>
      <w:r>
        <w:rPr>
          <w:sz w:val="24"/>
        </w:rPr>
        <w:t>";</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7A.7.4 to "schedule 7A.1" or "relevant accuracy</w:t>
      </w:r>
      <w:r>
        <w:rPr>
          <w:spacing w:val="-10"/>
          <w:sz w:val="24"/>
        </w:rPr>
        <w:t> </w:t>
      </w:r>
      <w:r>
        <w:rPr>
          <w:sz w:val="24"/>
        </w:rPr>
        <w:t>requirement";</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7A.8.7 to "schedule</w:t>
      </w:r>
      <w:r>
        <w:rPr>
          <w:spacing w:val="-2"/>
          <w:sz w:val="24"/>
        </w:rPr>
        <w:t> </w:t>
      </w:r>
      <w:r>
        <w:rPr>
          <w:sz w:val="24"/>
        </w:rPr>
        <w:t>7A.1";</w:t>
      </w:r>
    </w:p>
    <w:p>
      <w:pPr>
        <w:pStyle w:val="ListParagraph"/>
        <w:numPr>
          <w:ilvl w:val="1"/>
          <w:numId w:val="866"/>
        </w:numPr>
        <w:tabs>
          <w:tab w:pos="2485" w:val="left" w:leader="none"/>
          <w:tab w:pos="2486" w:val="left" w:leader="none"/>
        </w:tabs>
        <w:spacing w:line="240" w:lineRule="auto" w:before="120" w:after="0"/>
        <w:ind w:left="2485" w:right="0" w:hanging="567"/>
        <w:jc w:val="left"/>
        <w:rPr>
          <w:sz w:val="24"/>
        </w:rPr>
      </w:pPr>
      <w:r>
        <w:rPr>
          <w:sz w:val="24"/>
        </w:rPr>
        <w:t>clause S7A.3.2.2(c) to "requirements of the </w:t>
      </w:r>
      <w:r>
        <w:rPr>
          <w:i/>
          <w:sz w:val="24"/>
        </w:rPr>
        <w:t>Rules</w:t>
      </w:r>
      <w:r>
        <w:rPr>
          <w:sz w:val="24"/>
        </w:rPr>
        <w:t>";</w:t>
      </w:r>
      <w:r>
        <w:rPr>
          <w:spacing w:val="-6"/>
          <w:sz w:val="24"/>
        </w:rPr>
        <w:t> </w:t>
      </w:r>
      <w:r>
        <w:rPr>
          <w:sz w:val="24"/>
        </w:rPr>
        <w:t>and</w:t>
      </w:r>
    </w:p>
    <w:p>
      <w:pPr>
        <w:pStyle w:val="ListParagraph"/>
        <w:numPr>
          <w:ilvl w:val="1"/>
          <w:numId w:val="866"/>
        </w:numPr>
        <w:tabs>
          <w:tab w:pos="2485" w:val="left" w:leader="none"/>
          <w:tab w:pos="2486" w:val="left" w:leader="none"/>
        </w:tabs>
        <w:spacing w:line="240" w:lineRule="auto" w:before="120" w:after="0"/>
        <w:ind w:left="2486" w:right="417" w:hanging="567"/>
        <w:jc w:val="left"/>
        <w:rPr>
          <w:sz w:val="24"/>
        </w:rPr>
      </w:pPr>
      <w:r>
        <w:rPr>
          <w:sz w:val="24"/>
        </w:rPr>
        <w:t>Chapter 10, definition </w:t>
      </w:r>
      <w:r>
        <w:rPr>
          <w:i/>
          <w:sz w:val="24"/>
        </w:rPr>
        <w:t>metering installation malfunction</w:t>
      </w:r>
      <w:r>
        <w:rPr>
          <w:sz w:val="24"/>
        </w:rPr>
        <w:t>, to "the requirements of schedule</w:t>
      </w:r>
      <w:r>
        <w:rPr>
          <w:spacing w:val="-2"/>
          <w:sz w:val="24"/>
        </w:rPr>
        <w:t> </w:t>
      </w:r>
      <w:r>
        <w:rPr>
          <w:sz w:val="24"/>
        </w:rPr>
        <w:t>7A.1",</w:t>
      </w:r>
    </w:p>
    <w:p>
      <w:pPr>
        <w:pStyle w:val="BodyText"/>
        <w:ind w:left="1919" w:firstLine="0"/>
        <w:jc w:val="left"/>
      </w:pPr>
      <w:r>
        <w:rPr/>
        <w:t>must be regarded as a reference to "the NT requirements".</w:t>
      </w:r>
    </w:p>
    <w:p>
      <w:pPr>
        <w:pStyle w:val="ListParagraph"/>
        <w:numPr>
          <w:ilvl w:val="0"/>
          <w:numId w:val="866"/>
        </w:numPr>
        <w:tabs>
          <w:tab w:pos="1918" w:val="left" w:leader="none"/>
          <w:tab w:pos="1919" w:val="left" w:leader="none"/>
        </w:tabs>
        <w:spacing w:line="240" w:lineRule="auto" w:before="120" w:after="0"/>
        <w:ind w:left="1918" w:right="0" w:hanging="567"/>
        <w:jc w:val="left"/>
        <w:rPr>
          <w:sz w:val="24"/>
        </w:rPr>
      </w:pPr>
      <w:r>
        <w:rPr>
          <w:sz w:val="24"/>
        </w:rPr>
        <w:t>If</w:t>
      </w:r>
      <w:r>
        <w:rPr>
          <w:spacing w:val="22"/>
          <w:sz w:val="24"/>
        </w:rPr>
        <w:t> </w:t>
      </w:r>
      <w:r>
        <w:rPr>
          <w:sz w:val="24"/>
        </w:rPr>
        <w:t>the</w:t>
      </w:r>
      <w:r>
        <w:rPr>
          <w:spacing w:val="22"/>
          <w:sz w:val="24"/>
        </w:rPr>
        <w:t> </w:t>
      </w:r>
      <w:r>
        <w:rPr>
          <w:i/>
          <w:sz w:val="24"/>
        </w:rPr>
        <w:t>metering</w:t>
      </w:r>
      <w:r>
        <w:rPr>
          <w:i/>
          <w:spacing w:val="22"/>
          <w:sz w:val="24"/>
        </w:rPr>
        <w:t> </w:t>
      </w:r>
      <w:r>
        <w:rPr>
          <w:i/>
          <w:sz w:val="24"/>
        </w:rPr>
        <w:t>installation</w:t>
      </w:r>
      <w:r>
        <w:rPr>
          <w:i/>
          <w:spacing w:val="22"/>
          <w:sz w:val="24"/>
        </w:rPr>
        <w:t> </w:t>
      </w:r>
      <w:r>
        <w:rPr>
          <w:sz w:val="24"/>
        </w:rPr>
        <w:t>is</w:t>
      </w:r>
      <w:r>
        <w:rPr>
          <w:spacing w:val="22"/>
          <w:sz w:val="24"/>
        </w:rPr>
        <w:t> </w:t>
      </w:r>
      <w:r>
        <w:rPr>
          <w:sz w:val="24"/>
        </w:rPr>
        <w:t>replaced</w:t>
      </w:r>
      <w:r>
        <w:rPr>
          <w:spacing w:val="23"/>
          <w:sz w:val="24"/>
        </w:rPr>
        <w:t> </w:t>
      </w:r>
      <w:r>
        <w:rPr>
          <w:sz w:val="24"/>
        </w:rPr>
        <w:t>on</w:t>
      </w:r>
      <w:r>
        <w:rPr>
          <w:spacing w:val="22"/>
          <w:sz w:val="24"/>
        </w:rPr>
        <w:t> </w:t>
      </w:r>
      <w:r>
        <w:rPr>
          <w:sz w:val="24"/>
        </w:rPr>
        <w:t>or</w:t>
      </w:r>
      <w:r>
        <w:rPr>
          <w:spacing w:val="22"/>
          <w:sz w:val="24"/>
        </w:rPr>
        <w:t> </w:t>
      </w:r>
      <w:r>
        <w:rPr>
          <w:sz w:val="24"/>
        </w:rPr>
        <w:t>after</w:t>
      </w:r>
      <w:r>
        <w:rPr>
          <w:spacing w:val="22"/>
          <w:sz w:val="24"/>
        </w:rPr>
        <w:t> </w:t>
      </w:r>
      <w:r>
        <w:rPr>
          <w:sz w:val="24"/>
        </w:rPr>
        <w:t>1</w:t>
      </w:r>
      <w:r>
        <w:rPr>
          <w:spacing w:val="22"/>
          <w:sz w:val="24"/>
        </w:rPr>
        <w:t> </w:t>
      </w:r>
      <w:r>
        <w:rPr>
          <w:sz w:val="24"/>
        </w:rPr>
        <w:t>July</w:t>
      </w:r>
      <w:r>
        <w:rPr>
          <w:spacing w:val="23"/>
          <w:sz w:val="24"/>
        </w:rPr>
        <w:t> </w:t>
      </w:r>
      <w:r>
        <w:rPr>
          <w:sz w:val="24"/>
        </w:rPr>
        <w:t>2019,</w:t>
      </w:r>
      <w:r>
        <w:rPr>
          <w:spacing w:val="22"/>
          <w:sz w:val="24"/>
        </w:rPr>
        <w:t> </w:t>
      </w:r>
      <w:r>
        <w:rPr>
          <w:sz w:val="24"/>
        </w:rPr>
        <w:t>paragraphs</w:t>
      </w:r>
    </w:p>
    <w:p>
      <w:pPr>
        <w:spacing w:before="0"/>
        <w:ind w:left="1919" w:right="0" w:firstLine="0"/>
        <w:jc w:val="left"/>
        <w:rPr>
          <w:sz w:val="24"/>
        </w:rPr>
      </w:pPr>
      <w:r>
        <w:rPr>
          <w:sz w:val="24"/>
        </w:rPr>
        <w:t>(b) to (d) no longer apply in respect of the </w:t>
      </w:r>
      <w:r>
        <w:rPr>
          <w:i/>
          <w:sz w:val="24"/>
        </w:rPr>
        <w:t>metering installation</w:t>
      </w:r>
      <w:r>
        <w:rPr>
          <w:sz w:val="24"/>
        </w:rPr>
        <w:t>.</w:t>
      </w:r>
    </w:p>
    <w:p>
      <w:pPr>
        <w:pStyle w:val="BodyText"/>
        <w:spacing w:before="10"/>
        <w:ind w:firstLine="0"/>
        <w:jc w:val="left"/>
        <w:rPr>
          <w:sz w:val="20"/>
        </w:rPr>
      </w:pPr>
    </w:p>
    <w:p>
      <w:pPr>
        <w:pStyle w:val="Heading3"/>
        <w:tabs>
          <w:tab w:pos="1351" w:val="left" w:leader="none"/>
        </w:tabs>
        <w:ind w:left="218" w:firstLine="0"/>
      </w:pPr>
      <w:bookmarkStart w:name="11A.4 Testing metering installations" w:id="3605"/>
      <w:bookmarkEnd w:id="3605"/>
      <w:r>
        <w:rPr>
          <w:b w:val="0"/>
        </w:rPr>
      </w:r>
      <w:bookmarkStart w:name="_bookmark1421" w:id="3606"/>
      <w:bookmarkEnd w:id="3606"/>
      <w:r>
        <w:rPr>
          <w:b w:val="0"/>
        </w:rPr>
      </w:r>
      <w:r>
        <w:rPr/>
        <w:t>11A.4</w:t>
        <w:tab/>
        <w:t>Testing metering</w:t>
      </w:r>
      <w:r>
        <w:rPr>
          <w:spacing w:val="-1"/>
        </w:rPr>
        <w:t> </w:t>
      </w:r>
      <w:r>
        <w:rPr/>
        <w:t>installations</w:t>
      </w:r>
    </w:p>
    <w:p>
      <w:pPr>
        <w:spacing w:before="120"/>
        <w:ind w:left="1352" w:right="415" w:firstLine="0"/>
        <w:jc w:val="both"/>
        <w:rPr>
          <w:sz w:val="24"/>
        </w:rPr>
      </w:pPr>
      <w:r>
        <w:rPr>
          <w:sz w:val="24"/>
        </w:rPr>
        <w:t>The time periods for testing of </w:t>
      </w:r>
      <w:r>
        <w:rPr>
          <w:i/>
          <w:sz w:val="24"/>
        </w:rPr>
        <w:t>metering installations </w:t>
      </w:r>
      <w:r>
        <w:rPr>
          <w:sz w:val="24"/>
        </w:rPr>
        <w:t>under Table S7A.6.1.2 do not apply to </w:t>
      </w:r>
      <w:r>
        <w:rPr>
          <w:i/>
          <w:sz w:val="24"/>
        </w:rPr>
        <w:t>metering installations </w:t>
      </w:r>
      <w:r>
        <w:rPr>
          <w:sz w:val="24"/>
        </w:rPr>
        <w:t>that are at least 10 years old on 1 July 2019 until 1 July</w:t>
      </w:r>
      <w:r>
        <w:rPr>
          <w:spacing w:val="-2"/>
          <w:sz w:val="24"/>
        </w:rPr>
        <w:t> </w:t>
      </w:r>
      <w:r>
        <w:rPr>
          <w:sz w:val="24"/>
        </w:rPr>
        <w:t>2022.</w:t>
      </w:r>
    </w:p>
    <w:p>
      <w:pPr>
        <w:spacing w:after="0"/>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11A.5 Metering data services database an" w:id="3607"/>
      <w:bookmarkEnd w:id="3607"/>
      <w:r>
        <w:rPr>
          <w:b w:val="0"/>
        </w:rPr>
      </w:r>
      <w:bookmarkStart w:name="_bookmark1422" w:id="3608"/>
      <w:bookmarkEnd w:id="3608"/>
      <w:r>
        <w:rPr>
          <w:b w:val="0"/>
        </w:rPr>
      </w:r>
      <w:r>
        <w:rPr/>
        <w:t>11A.5</w:t>
        <w:tab/>
        <w:t>Metering data services database and related</w:t>
      </w:r>
      <w:r>
        <w:rPr>
          <w:spacing w:val="-8"/>
        </w:rPr>
        <w:t> </w:t>
      </w:r>
      <w:r>
        <w:rPr/>
        <w:t>requirements</w:t>
      </w:r>
    </w:p>
    <w:p>
      <w:pPr>
        <w:pStyle w:val="ListParagraph"/>
        <w:numPr>
          <w:ilvl w:val="0"/>
          <w:numId w:val="867"/>
        </w:numPr>
        <w:tabs>
          <w:tab w:pos="1919" w:val="left" w:leader="none"/>
        </w:tabs>
        <w:spacing w:line="240" w:lineRule="auto" w:before="120" w:after="0"/>
        <w:ind w:left="1919" w:right="415" w:hanging="567"/>
        <w:jc w:val="both"/>
        <w:rPr>
          <w:sz w:val="24"/>
        </w:rPr>
      </w:pPr>
      <w:r>
        <w:rPr>
          <w:sz w:val="24"/>
        </w:rPr>
        <w:t>The </w:t>
      </w:r>
      <w:r>
        <w:rPr>
          <w:i/>
          <w:sz w:val="24"/>
        </w:rPr>
        <w:t>Metering Data Provider </w:t>
      </w:r>
      <w:r>
        <w:rPr>
          <w:sz w:val="24"/>
        </w:rPr>
        <w:t>for this jurisdiction on 1 July 2019 is not, on or after that date, required to comply with all the requirements under rule 7A.8 relating to establishing and maintaining a </w:t>
      </w:r>
      <w:r>
        <w:rPr>
          <w:i/>
          <w:sz w:val="24"/>
        </w:rPr>
        <w:t>metering data services database </w:t>
      </w:r>
      <w:r>
        <w:rPr>
          <w:sz w:val="24"/>
        </w:rPr>
        <w:t>but the following requirements will</w:t>
      </w:r>
      <w:r>
        <w:rPr>
          <w:spacing w:val="-1"/>
          <w:sz w:val="24"/>
        </w:rPr>
        <w:t> </w:t>
      </w:r>
      <w:r>
        <w:rPr>
          <w:sz w:val="24"/>
        </w:rPr>
        <w:t>apply:</w:t>
      </w:r>
    </w:p>
    <w:p>
      <w:pPr>
        <w:pStyle w:val="ListParagraph"/>
        <w:numPr>
          <w:ilvl w:val="1"/>
          <w:numId w:val="867"/>
        </w:numPr>
        <w:tabs>
          <w:tab w:pos="2486" w:val="left" w:leader="none"/>
        </w:tabs>
        <w:spacing w:line="240" w:lineRule="auto" w:before="120" w:after="0"/>
        <w:ind w:left="2486" w:right="414" w:hanging="567"/>
        <w:jc w:val="both"/>
        <w:rPr>
          <w:sz w:val="24"/>
        </w:rPr>
      </w:pPr>
      <w:r>
        <w:rPr>
          <w:sz w:val="24"/>
        </w:rPr>
        <w:t>the </w:t>
      </w:r>
      <w:r>
        <w:rPr>
          <w:i/>
          <w:sz w:val="24"/>
        </w:rPr>
        <w:t>Metering Data Provider </w:t>
      </w:r>
      <w:r>
        <w:rPr>
          <w:sz w:val="24"/>
        </w:rPr>
        <w:t>must ensure that all of those requirements under rule 7A.8 are complied with by 1 January 2022 (with the period between 1 July 2019 and 1 January 2022 being referred to as the </w:t>
      </w:r>
      <w:r>
        <w:rPr>
          <w:b/>
          <w:i/>
          <w:sz w:val="24"/>
        </w:rPr>
        <w:t>transitional period</w:t>
      </w:r>
      <w:r>
        <w:rPr>
          <w:sz w:val="24"/>
        </w:rPr>
        <w:t>), including by acquiring, gaining or upgrading computing capabilities, equipment and other assets and materials, and establishing or enhancing processes and systems, to ensure compliance;</w:t>
      </w:r>
    </w:p>
    <w:p>
      <w:pPr>
        <w:pStyle w:val="ListParagraph"/>
        <w:numPr>
          <w:ilvl w:val="1"/>
          <w:numId w:val="867"/>
        </w:numPr>
        <w:tabs>
          <w:tab w:pos="2486" w:val="left" w:leader="none"/>
        </w:tabs>
        <w:spacing w:line="240" w:lineRule="auto" w:before="120" w:after="0"/>
        <w:ind w:left="2486" w:right="414" w:hanging="567"/>
        <w:jc w:val="both"/>
        <w:rPr>
          <w:sz w:val="24"/>
        </w:rPr>
      </w:pPr>
      <w:r>
        <w:rPr>
          <w:sz w:val="24"/>
        </w:rPr>
        <w:t>during the transitional period, the </w:t>
      </w:r>
      <w:r>
        <w:rPr>
          <w:i/>
          <w:sz w:val="24"/>
        </w:rPr>
        <w:t>Metering Data Provider </w:t>
      </w:r>
      <w:r>
        <w:rPr>
          <w:sz w:val="24"/>
        </w:rPr>
        <w:t>must, insofar as is reasonably practicable, use its existing resources</w:t>
      </w:r>
      <w:r>
        <w:rPr>
          <w:spacing w:val="38"/>
          <w:sz w:val="24"/>
        </w:rPr>
        <w:t> </w:t>
      </w:r>
      <w:r>
        <w:rPr>
          <w:sz w:val="24"/>
        </w:rPr>
        <w:t>and capabilities (and any upgraded, enhanced, additional or new resources and capabilities as they become reasonably available) to comply with those requirements under rule 7A.8, especially in relation to the validation, substitution and estimation of </w:t>
      </w:r>
      <w:r>
        <w:rPr>
          <w:i/>
          <w:sz w:val="24"/>
        </w:rPr>
        <w:t>metering data </w:t>
      </w:r>
      <w:r>
        <w:rPr>
          <w:sz w:val="24"/>
        </w:rPr>
        <w:t>in its </w:t>
      </w:r>
      <w:r>
        <w:rPr>
          <w:i/>
          <w:sz w:val="24"/>
        </w:rPr>
        <w:t>metering </w:t>
      </w:r>
      <w:r>
        <w:rPr>
          <w:i/>
          <w:sz w:val="24"/>
        </w:rPr>
        <w:t>data services database</w:t>
      </w:r>
      <w:r>
        <w:rPr>
          <w:sz w:val="24"/>
        </w:rPr>
        <w:t>;</w:t>
      </w:r>
      <w:r>
        <w:rPr>
          <w:spacing w:val="-2"/>
          <w:sz w:val="24"/>
        </w:rPr>
        <w:t> </w:t>
      </w:r>
      <w:r>
        <w:rPr>
          <w:sz w:val="24"/>
        </w:rPr>
        <w:t>and</w:t>
      </w:r>
    </w:p>
    <w:p>
      <w:pPr>
        <w:pStyle w:val="ListParagraph"/>
        <w:numPr>
          <w:ilvl w:val="1"/>
          <w:numId w:val="867"/>
        </w:numPr>
        <w:tabs>
          <w:tab w:pos="2486" w:val="left" w:leader="none"/>
        </w:tabs>
        <w:spacing w:line="240" w:lineRule="auto" w:before="120" w:after="0"/>
        <w:ind w:left="2486" w:right="415" w:hanging="567"/>
        <w:jc w:val="both"/>
        <w:rPr>
          <w:sz w:val="24"/>
        </w:rPr>
      </w:pPr>
      <w:r>
        <w:rPr>
          <w:sz w:val="24"/>
        </w:rPr>
        <w:t>without limiting paragraph (b), the </w:t>
      </w:r>
      <w:r>
        <w:rPr>
          <w:i/>
          <w:sz w:val="24"/>
        </w:rPr>
        <w:t>Metering Data Provider </w:t>
      </w:r>
      <w:r>
        <w:rPr>
          <w:sz w:val="24"/>
        </w:rPr>
        <w:t>must use its best endeavours</w:t>
      </w:r>
      <w:r>
        <w:rPr>
          <w:spacing w:val="-1"/>
          <w:sz w:val="24"/>
        </w:rPr>
        <w:t> </w:t>
      </w:r>
      <w:r>
        <w:rPr>
          <w:sz w:val="24"/>
        </w:rPr>
        <w:t>to:</w:t>
      </w:r>
    </w:p>
    <w:p>
      <w:pPr>
        <w:pStyle w:val="ListParagraph"/>
        <w:numPr>
          <w:ilvl w:val="2"/>
          <w:numId w:val="867"/>
        </w:numPr>
        <w:tabs>
          <w:tab w:pos="3053" w:val="left" w:leader="none"/>
        </w:tabs>
        <w:spacing w:line="240" w:lineRule="auto" w:before="120" w:after="0"/>
        <w:ind w:left="3052" w:right="0" w:hanging="567"/>
        <w:jc w:val="both"/>
        <w:rPr>
          <w:sz w:val="24"/>
        </w:rPr>
      </w:pPr>
      <w:r>
        <w:rPr>
          <w:sz w:val="24"/>
        </w:rPr>
        <w:t>maximise the quality of </w:t>
      </w:r>
      <w:r>
        <w:rPr>
          <w:i/>
          <w:sz w:val="24"/>
        </w:rPr>
        <w:t>metering data</w:t>
      </w:r>
      <w:r>
        <w:rPr>
          <w:sz w:val="24"/>
        </w:rPr>
        <w:t>;</w:t>
      </w:r>
      <w:r>
        <w:rPr>
          <w:spacing w:val="-1"/>
          <w:sz w:val="24"/>
        </w:rPr>
        <w:t> </w:t>
      </w:r>
      <w:r>
        <w:rPr>
          <w:sz w:val="24"/>
        </w:rPr>
        <w:t>and</w:t>
      </w:r>
    </w:p>
    <w:p>
      <w:pPr>
        <w:pStyle w:val="ListParagraph"/>
        <w:numPr>
          <w:ilvl w:val="2"/>
          <w:numId w:val="867"/>
        </w:numPr>
        <w:tabs>
          <w:tab w:pos="3054" w:val="left" w:leader="none"/>
        </w:tabs>
        <w:spacing w:line="240" w:lineRule="auto" w:before="120" w:after="0"/>
        <w:ind w:left="3053" w:right="415" w:hanging="567"/>
        <w:jc w:val="both"/>
        <w:rPr>
          <w:sz w:val="24"/>
        </w:rPr>
      </w:pPr>
      <w:r>
        <w:rPr>
          <w:sz w:val="24"/>
        </w:rPr>
        <w:t>maximise transparency in processes for verifying, validating, calculating and estimating </w:t>
      </w:r>
      <w:r>
        <w:rPr>
          <w:i/>
          <w:sz w:val="24"/>
        </w:rPr>
        <w:t>metering</w:t>
      </w:r>
      <w:r>
        <w:rPr>
          <w:i/>
          <w:spacing w:val="-1"/>
          <w:sz w:val="24"/>
        </w:rPr>
        <w:t> </w:t>
      </w:r>
      <w:r>
        <w:rPr>
          <w:i/>
          <w:sz w:val="24"/>
        </w:rPr>
        <w:t>data</w:t>
      </w:r>
      <w:r>
        <w:rPr>
          <w:sz w:val="24"/>
        </w:rPr>
        <w:t>.</w:t>
      </w:r>
    </w:p>
    <w:p>
      <w:pPr>
        <w:pStyle w:val="ListParagraph"/>
        <w:numPr>
          <w:ilvl w:val="0"/>
          <w:numId w:val="867"/>
        </w:numPr>
        <w:tabs>
          <w:tab w:pos="1919" w:val="left" w:leader="none"/>
        </w:tabs>
        <w:spacing w:line="240" w:lineRule="auto" w:before="120" w:after="0"/>
        <w:ind w:left="1918" w:right="0" w:hanging="567"/>
        <w:jc w:val="both"/>
        <w:rPr>
          <w:sz w:val="24"/>
        </w:rPr>
      </w:pPr>
      <w:r>
        <w:rPr>
          <w:sz w:val="24"/>
        </w:rPr>
        <w:t>During the transitional</w:t>
      </w:r>
      <w:r>
        <w:rPr>
          <w:spacing w:val="-1"/>
          <w:sz w:val="24"/>
        </w:rPr>
        <w:t> </w:t>
      </w:r>
      <w:r>
        <w:rPr>
          <w:sz w:val="24"/>
        </w:rPr>
        <w:t>period:</w:t>
      </w:r>
    </w:p>
    <w:p>
      <w:pPr>
        <w:pStyle w:val="ListParagraph"/>
        <w:numPr>
          <w:ilvl w:val="1"/>
          <w:numId w:val="867"/>
        </w:numPr>
        <w:tabs>
          <w:tab w:pos="2486" w:val="left" w:leader="none"/>
        </w:tabs>
        <w:spacing w:line="240" w:lineRule="auto" w:before="120" w:after="0"/>
        <w:ind w:left="2486" w:right="416" w:hanging="567"/>
        <w:jc w:val="both"/>
        <w:rPr>
          <w:sz w:val="24"/>
        </w:rPr>
      </w:pPr>
      <w:r>
        <w:rPr>
          <w:sz w:val="24"/>
        </w:rPr>
        <w:t>the requirements imposed by clause S7A.7.13.5(c)(4) and (5) will not apply in relation to the </w:t>
      </w:r>
      <w:r>
        <w:rPr>
          <w:i/>
          <w:sz w:val="24"/>
        </w:rPr>
        <w:t>Metering Data</w:t>
      </w:r>
      <w:r>
        <w:rPr>
          <w:i/>
          <w:spacing w:val="-3"/>
          <w:sz w:val="24"/>
        </w:rPr>
        <w:t> </w:t>
      </w:r>
      <w:r>
        <w:rPr>
          <w:i/>
          <w:sz w:val="24"/>
        </w:rPr>
        <w:t>Provider</w:t>
      </w:r>
      <w:r>
        <w:rPr>
          <w:sz w:val="24"/>
        </w:rPr>
        <w:t>;</w:t>
      </w:r>
    </w:p>
    <w:p>
      <w:pPr>
        <w:pStyle w:val="ListParagraph"/>
        <w:numPr>
          <w:ilvl w:val="1"/>
          <w:numId w:val="867"/>
        </w:numPr>
        <w:tabs>
          <w:tab w:pos="2486" w:val="left" w:leader="none"/>
        </w:tabs>
        <w:spacing w:line="240" w:lineRule="auto" w:before="120" w:after="0"/>
        <w:ind w:left="2486" w:right="415" w:hanging="567"/>
        <w:jc w:val="both"/>
        <w:rPr>
          <w:sz w:val="24"/>
        </w:rPr>
      </w:pPr>
      <w:r>
        <w:rPr>
          <w:sz w:val="24"/>
        </w:rPr>
        <w:t>the </w:t>
      </w:r>
      <w:r>
        <w:rPr>
          <w:i/>
          <w:sz w:val="24"/>
        </w:rPr>
        <w:t>Metering Data Provider </w:t>
      </w:r>
      <w:r>
        <w:rPr>
          <w:sz w:val="24"/>
        </w:rPr>
        <w:t>is only required to include information, data and matters on its metering register in accordance with the requirements of clause S7A.8.8.2(e)(4) to the extent that it is reasonably able to do so;</w:t>
      </w:r>
      <w:r>
        <w:rPr>
          <w:spacing w:val="-2"/>
          <w:sz w:val="24"/>
        </w:rPr>
        <w:t> </w:t>
      </w:r>
      <w:r>
        <w:rPr>
          <w:sz w:val="24"/>
        </w:rPr>
        <w:t>and</w:t>
      </w:r>
    </w:p>
    <w:p>
      <w:pPr>
        <w:pStyle w:val="ListParagraph"/>
        <w:numPr>
          <w:ilvl w:val="1"/>
          <w:numId w:val="867"/>
        </w:numPr>
        <w:tabs>
          <w:tab w:pos="2486" w:val="left" w:leader="none"/>
        </w:tabs>
        <w:spacing w:line="240" w:lineRule="auto" w:before="120" w:after="0"/>
        <w:ind w:left="2486" w:right="415" w:hanging="567"/>
        <w:jc w:val="both"/>
        <w:rPr>
          <w:sz w:val="24"/>
        </w:rPr>
      </w:pPr>
      <w:r>
        <w:rPr>
          <w:sz w:val="24"/>
        </w:rPr>
        <w:t>the reference in clause S7A.8.8.2(e)(5) to a communication </w:t>
      </w:r>
      <w:r>
        <w:rPr>
          <w:spacing w:val="-3"/>
          <w:sz w:val="24"/>
        </w:rPr>
        <w:t>guideline, </w:t>
      </w:r>
      <w:r>
        <w:rPr>
          <w:sz w:val="24"/>
        </w:rPr>
        <w:t>in its application to the </w:t>
      </w:r>
      <w:r>
        <w:rPr>
          <w:i/>
          <w:sz w:val="24"/>
        </w:rPr>
        <w:t>Metering Data Provider</w:t>
      </w:r>
      <w:r>
        <w:rPr>
          <w:sz w:val="24"/>
        </w:rPr>
        <w:t>, will be taken to be a reference to the interim communication guideline prepared by </w:t>
      </w:r>
      <w:r>
        <w:rPr>
          <w:i/>
          <w:sz w:val="24"/>
        </w:rPr>
        <w:t>NTESMO </w:t>
      </w:r>
      <w:r>
        <w:rPr>
          <w:sz w:val="24"/>
        </w:rPr>
        <w:t>under rule 11A.6.</w:t>
      </w:r>
    </w:p>
    <w:p>
      <w:pPr>
        <w:pStyle w:val="ListParagraph"/>
        <w:numPr>
          <w:ilvl w:val="0"/>
          <w:numId w:val="867"/>
        </w:numPr>
        <w:tabs>
          <w:tab w:pos="1919" w:val="left" w:leader="none"/>
        </w:tabs>
        <w:spacing w:line="240" w:lineRule="auto" w:before="120" w:after="0"/>
        <w:ind w:left="1918" w:right="0" w:hanging="567"/>
        <w:jc w:val="both"/>
        <w:rPr>
          <w:sz w:val="24"/>
        </w:rPr>
      </w:pPr>
      <w:r>
        <w:rPr>
          <w:sz w:val="24"/>
        </w:rPr>
        <w:t>In addition, during the transitional</w:t>
      </w:r>
      <w:r>
        <w:rPr>
          <w:spacing w:val="-2"/>
          <w:sz w:val="24"/>
        </w:rPr>
        <w:t> </w:t>
      </w:r>
      <w:r>
        <w:rPr>
          <w:sz w:val="24"/>
        </w:rPr>
        <w:t>period:</w:t>
      </w:r>
    </w:p>
    <w:p>
      <w:pPr>
        <w:pStyle w:val="ListParagraph"/>
        <w:numPr>
          <w:ilvl w:val="1"/>
          <w:numId w:val="867"/>
        </w:numPr>
        <w:tabs>
          <w:tab w:pos="2486" w:val="left" w:leader="none"/>
        </w:tabs>
        <w:spacing w:line="240" w:lineRule="auto" w:before="120" w:after="0"/>
        <w:ind w:left="2486" w:right="414" w:hanging="567"/>
        <w:jc w:val="both"/>
        <w:rPr>
          <w:sz w:val="24"/>
        </w:rPr>
      </w:pPr>
      <w:r>
        <w:rPr>
          <w:sz w:val="24"/>
        </w:rPr>
        <w:t>the </w:t>
      </w:r>
      <w:r>
        <w:rPr>
          <w:i/>
          <w:sz w:val="24"/>
        </w:rPr>
        <w:t>Metering Provider </w:t>
      </w:r>
      <w:r>
        <w:rPr>
          <w:sz w:val="24"/>
        </w:rPr>
        <w:t>is only required to include information, data and matters on a register of </w:t>
      </w:r>
      <w:r>
        <w:rPr>
          <w:i/>
          <w:sz w:val="24"/>
        </w:rPr>
        <w:t>metering installations </w:t>
      </w:r>
      <w:r>
        <w:rPr>
          <w:sz w:val="24"/>
        </w:rPr>
        <w:t>in accordance with the requirements of clause S7A.8.7.1(a)(1) to the extent that it is reasonably able to do so;</w:t>
      </w:r>
      <w:r>
        <w:rPr>
          <w:spacing w:val="-2"/>
          <w:sz w:val="24"/>
        </w:rPr>
        <w:t> </w:t>
      </w:r>
      <w:r>
        <w:rPr>
          <w:sz w:val="24"/>
        </w:rPr>
        <w:t>and</w:t>
      </w:r>
    </w:p>
    <w:p>
      <w:pPr>
        <w:pStyle w:val="ListParagraph"/>
        <w:numPr>
          <w:ilvl w:val="1"/>
          <w:numId w:val="867"/>
        </w:numPr>
        <w:tabs>
          <w:tab w:pos="2486" w:val="left" w:leader="none"/>
        </w:tabs>
        <w:spacing w:line="240" w:lineRule="auto" w:before="120" w:after="0"/>
        <w:ind w:left="2486" w:right="415" w:hanging="567"/>
        <w:jc w:val="both"/>
        <w:rPr>
          <w:sz w:val="24"/>
        </w:rPr>
      </w:pPr>
      <w:r>
        <w:rPr>
          <w:sz w:val="24"/>
        </w:rPr>
        <w:t>the reference in clause S7A.8.7.1(a)(2) to a communication </w:t>
      </w:r>
      <w:r>
        <w:rPr>
          <w:spacing w:val="-3"/>
          <w:sz w:val="24"/>
        </w:rPr>
        <w:t>guideline, </w:t>
      </w:r>
      <w:r>
        <w:rPr>
          <w:sz w:val="24"/>
        </w:rPr>
        <w:t>in its application to the </w:t>
      </w:r>
      <w:r>
        <w:rPr>
          <w:i/>
          <w:sz w:val="24"/>
        </w:rPr>
        <w:t>Metering Provider</w:t>
      </w:r>
      <w:r>
        <w:rPr>
          <w:sz w:val="24"/>
        </w:rPr>
        <w:t>, will be taken to be</w:t>
      </w:r>
      <w:r>
        <w:rPr>
          <w:spacing w:val="17"/>
          <w:sz w:val="24"/>
        </w:rPr>
        <w:t> </w:t>
      </w:r>
      <w:r>
        <w:rPr>
          <w:sz w:val="24"/>
        </w:rPr>
        <w:t>a reference to the interim communication guideline prepared by </w:t>
      </w:r>
      <w:r>
        <w:rPr>
          <w:i/>
          <w:sz w:val="24"/>
        </w:rPr>
        <w:t>NTESMO </w:t>
      </w:r>
      <w:r>
        <w:rPr>
          <w:sz w:val="24"/>
        </w:rPr>
        <w:t>under rule 11A.6.</w:t>
      </w:r>
    </w:p>
    <w:p>
      <w:pPr>
        <w:spacing w:after="0" w:line="240" w:lineRule="auto"/>
        <w:jc w:val="both"/>
        <w:rPr>
          <w:sz w:val="24"/>
        </w:rPr>
        <w:sectPr>
          <w:pgSz w:w="11910" w:h="16840"/>
          <w:pgMar w:header="686" w:footer="637" w:top="1320" w:bottom="820" w:left="1200" w:right="1000"/>
        </w:sectPr>
      </w:pPr>
    </w:p>
    <w:p>
      <w:pPr>
        <w:pStyle w:val="Heading3"/>
        <w:tabs>
          <w:tab w:pos="1351" w:val="left" w:leader="none"/>
        </w:tabs>
        <w:spacing w:before="83"/>
        <w:ind w:left="218" w:firstLine="0"/>
      </w:pPr>
      <w:bookmarkStart w:name="11A.6 Communication guideline" w:id="3609"/>
      <w:bookmarkEnd w:id="3609"/>
      <w:r>
        <w:rPr>
          <w:b w:val="0"/>
        </w:rPr>
      </w:r>
      <w:bookmarkStart w:name="_bookmark1423" w:id="3610"/>
      <w:bookmarkEnd w:id="3610"/>
      <w:r>
        <w:rPr>
          <w:b w:val="0"/>
        </w:rPr>
      </w:r>
      <w:r>
        <w:rPr/>
        <w:t>11A.6</w:t>
        <w:tab/>
        <w:t>Communication</w:t>
      </w:r>
      <w:r>
        <w:rPr>
          <w:spacing w:val="-1"/>
        </w:rPr>
        <w:t> </w:t>
      </w:r>
      <w:r>
        <w:rPr/>
        <w:t>guideline</w:t>
      </w:r>
    </w:p>
    <w:p>
      <w:pPr>
        <w:pStyle w:val="BodyText"/>
        <w:ind w:left="1352" w:right="414" w:firstLine="0"/>
      </w:pPr>
      <w:r>
        <w:rPr>
          <w:i/>
        </w:rPr>
        <w:t>NTESMO </w:t>
      </w:r>
      <w:r>
        <w:rPr/>
        <w:t>is not required to have a comprehensive communication guideline in place under clause S7A.1.3 until the </w:t>
      </w:r>
      <w:r>
        <w:rPr>
          <w:i/>
        </w:rPr>
        <w:t>Metering Data Provider </w:t>
      </w:r>
      <w:r>
        <w:rPr/>
        <w:t>is in a position to comply with its obligations under rule 7A.8 relating to establishing and maintaining a </w:t>
      </w:r>
      <w:r>
        <w:rPr>
          <w:i/>
        </w:rPr>
        <w:t>metering data services database</w:t>
      </w:r>
      <w:r>
        <w:rPr/>
        <w:t>, after taking into account the operation of rule 11A.5, but the following requirements will apply:</w:t>
      </w:r>
    </w:p>
    <w:p>
      <w:pPr>
        <w:pStyle w:val="ListParagraph"/>
        <w:numPr>
          <w:ilvl w:val="0"/>
          <w:numId w:val="868"/>
        </w:numPr>
        <w:tabs>
          <w:tab w:pos="1919" w:val="left" w:leader="none"/>
        </w:tabs>
        <w:spacing w:line="240" w:lineRule="auto" w:before="120" w:after="0"/>
        <w:ind w:left="1919" w:right="415" w:hanging="567"/>
        <w:jc w:val="both"/>
        <w:rPr>
          <w:sz w:val="24"/>
        </w:rPr>
      </w:pPr>
      <w:r>
        <w:rPr>
          <w:i/>
          <w:sz w:val="24"/>
        </w:rPr>
        <w:t>NTESMO </w:t>
      </w:r>
      <w:r>
        <w:rPr>
          <w:sz w:val="24"/>
        </w:rPr>
        <w:t>must have an interim communication guideline in place by 1 January</w:t>
      </w:r>
      <w:r>
        <w:rPr>
          <w:spacing w:val="-2"/>
          <w:sz w:val="24"/>
        </w:rPr>
        <w:t> </w:t>
      </w:r>
      <w:r>
        <w:rPr>
          <w:sz w:val="24"/>
        </w:rPr>
        <w:t>2020;</w:t>
      </w:r>
    </w:p>
    <w:p>
      <w:pPr>
        <w:pStyle w:val="ListParagraph"/>
        <w:numPr>
          <w:ilvl w:val="0"/>
          <w:numId w:val="868"/>
        </w:numPr>
        <w:tabs>
          <w:tab w:pos="1919" w:val="left" w:leader="none"/>
        </w:tabs>
        <w:spacing w:line="240" w:lineRule="auto" w:before="120" w:after="0"/>
        <w:ind w:left="1919" w:right="415" w:hanging="567"/>
        <w:jc w:val="both"/>
        <w:rPr>
          <w:sz w:val="24"/>
        </w:rPr>
      </w:pPr>
      <w:r>
        <w:rPr>
          <w:sz w:val="24"/>
        </w:rPr>
        <w:t>the interim communication guideline must comply with the requirements of clause S7A.1.3(c), (d) and (e) insofar as is reasonably practicable and after taking into account the </w:t>
      </w:r>
      <w:r>
        <w:rPr>
          <w:i/>
          <w:sz w:val="24"/>
        </w:rPr>
        <w:t>Metering Data Provider's </w:t>
      </w:r>
      <w:r>
        <w:rPr>
          <w:sz w:val="24"/>
        </w:rPr>
        <w:t>resources and capabilities during the period applying under clause</w:t>
      </w:r>
      <w:r>
        <w:rPr>
          <w:spacing w:val="-1"/>
          <w:sz w:val="24"/>
        </w:rPr>
        <w:t> </w:t>
      </w:r>
      <w:r>
        <w:rPr>
          <w:sz w:val="24"/>
        </w:rPr>
        <w:t>11A.5(1)(a);</w:t>
      </w:r>
    </w:p>
    <w:p>
      <w:pPr>
        <w:pStyle w:val="ListParagraph"/>
        <w:numPr>
          <w:ilvl w:val="0"/>
          <w:numId w:val="868"/>
        </w:numPr>
        <w:tabs>
          <w:tab w:pos="1919" w:val="left" w:leader="none"/>
        </w:tabs>
        <w:spacing w:line="240" w:lineRule="auto" w:before="120" w:after="0"/>
        <w:ind w:left="1919" w:right="415" w:hanging="567"/>
        <w:jc w:val="both"/>
        <w:rPr>
          <w:sz w:val="24"/>
        </w:rPr>
      </w:pPr>
      <w:r>
        <w:rPr>
          <w:i/>
          <w:sz w:val="24"/>
        </w:rPr>
        <w:t>NTESMO </w:t>
      </w:r>
      <w:r>
        <w:rPr>
          <w:sz w:val="24"/>
        </w:rPr>
        <w:t>must maintain the interim communication guideline until the </w:t>
      </w:r>
      <w:r>
        <w:rPr>
          <w:i/>
          <w:sz w:val="24"/>
        </w:rPr>
        <w:t>Metering Data Provider </w:t>
      </w:r>
      <w:r>
        <w:rPr>
          <w:sz w:val="24"/>
        </w:rPr>
        <w:t>is in a position to comply the obligations under rule 7A.8, and may review and vary the interim communication guideline from time to time;</w:t>
      </w:r>
      <w:r>
        <w:rPr>
          <w:spacing w:val="-2"/>
          <w:sz w:val="24"/>
        </w:rPr>
        <w:t> </w:t>
      </w:r>
      <w:r>
        <w:rPr>
          <w:sz w:val="24"/>
        </w:rPr>
        <w:t>and</w:t>
      </w:r>
    </w:p>
    <w:p>
      <w:pPr>
        <w:pStyle w:val="ListParagraph"/>
        <w:numPr>
          <w:ilvl w:val="0"/>
          <w:numId w:val="868"/>
        </w:numPr>
        <w:tabs>
          <w:tab w:pos="1919" w:val="left" w:leader="none"/>
        </w:tabs>
        <w:spacing w:line="240" w:lineRule="auto" w:before="120" w:after="0"/>
        <w:ind w:left="1919" w:right="414" w:hanging="567"/>
        <w:jc w:val="both"/>
        <w:rPr>
          <w:sz w:val="24"/>
        </w:rPr>
      </w:pPr>
      <w:r>
        <w:rPr>
          <w:i/>
          <w:sz w:val="24"/>
        </w:rPr>
        <w:t>NTESMO </w:t>
      </w:r>
      <w:r>
        <w:rPr>
          <w:sz w:val="24"/>
        </w:rPr>
        <w:t>must revise or replace the interim communication guideline so that a comprehensive communication guideline is in place when the </w:t>
      </w:r>
      <w:r>
        <w:rPr>
          <w:i/>
          <w:sz w:val="24"/>
        </w:rPr>
        <w:t>Metering Data Provider </w:t>
      </w:r>
      <w:r>
        <w:rPr>
          <w:sz w:val="24"/>
        </w:rPr>
        <w:t>is in a position to comply with its obligations under rule 7A.8.</w:t>
      </w:r>
    </w:p>
    <w:p>
      <w:pPr>
        <w:pStyle w:val="BodyText"/>
        <w:spacing w:before="10"/>
        <w:ind w:firstLine="0"/>
        <w:jc w:val="left"/>
        <w:rPr>
          <w:sz w:val="20"/>
        </w:rPr>
      </w:pPr>
    </w:p>
    <w:p>
      <w:pPr>
        <w:pStyle w:val="Heading3"/>
        <w:tabs>
          <w:tab w:pos="1351" w:val="left" w:leader="none"/>
        </w:tabs>
        <w:ind w:left="218" w:firstLine="0"/>
      </w:pPr>
      <w:bookmarkStart w:name="11A.7 Timeframes for meters to be instal" w:id="3611"/>
      <w:bookmarkEnd w:id="3611"/>
      <w:r>
        <w:rPr>
          <w:b w:val="0"/>
        </w:rPr>
      </w:r>
      <w:bookmarkStart w:name="_bookmark1424" w:id="3612"/>
      <w:bookmarkEnd w:id="3612"/>
      <w:r>
        <w:rPr>
          <w:b w:val="0"/>
        </w:rPr>
      </w:r>
      <w:r>
        <w:rPr/>
        <w:t>11A.7</w:t>
        <w:tab/>
        <w:t>Timeframes for meters to be</w:t>
      </w:r>
      <w:r>
        <w:rPr>
          <w:spacing w:val="-3"/>
        </w:rPr>
        <w:t> </w:t>
      </w:r>
      <w:r>
        <w:rPr/>
        <w:t>installed</w:t>
      </w:r>
    </w:p>
    <w:p>
      <w:pPr>
        <w:pStyle w:val="ListParagraph"/>
        <w:numPr>
          <w:ilvl w:val="0"/>
          <w:numId w:val="869"/>
        </w:numPr>
        <w:tabs>
          <w:tab w:pos="1919" w:val="left" w:leader="none"/>
        </w:tabs>
        <w:spacing w:line="240" w:lineRule="auto" w:before="120" w:after="0"/>
        <w:ind w:left="1918" w:right="0" w:hanging="567"/>
        <w:jc w:val="both"/>
        <w:rPr>
          <w:sz w:val="24"/>
        </w:rPr>
      </w:pPr>
      <w:r>
        <w:rPr>
          <w:sz w:val="24"/>
        </w:rPr>
        <w:t>In this</w:t>
      </w:r>
      <w:r>
        <w:rPr>
          <w:spacing w:val="-1"/>
          <w:sz w:val="24"/>
        </w:rPr>
        <w:t> </w:t>
      </w:r>
      <w:r>
        <w:rPr>
          <w:sz w:val="24"/>
        </w:rPr>
        <w:t>rule:</w:t>
      </w:r>
    </w:p>
    <w:p>
      <w:pPr>
        <w:spacing w:before="120"/>
        <w:ind w:left="1919" w:right="0" w:firstLine="0"/>
        <w:jc w:val="both"/>
        <w:rPr>
          <w:sz w:val="24"/>
        </w:rPr>
      </w:pPr>
      <w:r>
        <w:rPr>
          <w:b/>
          <w:sz w:val="24"/>
        </w:rPr>
        <w:t>commencement date </w:t>
      </w:r>
      <w:r>
        <w:rPr>
          <w:sz w:val="24"/>
        </w:rPr>
        <w:t>means 1 July 2019.</w:t>
      </w:r>
    </w:p>
    <w:p>
      <w:pPr>
        <w:spacing w:before="120"/>
        <w:ind w:left="1919" w:right="415" w:firstLine="0"/>
        <w:jc w:val="both"/>
        <w:rPr>
          <w:sz w:val="24"/>
        </w:rPr>
      </w:pPr>
      <w:r>
        <w:rPr>
          <w:b/>
          <w:sz w:val="24"/>
        </w:rPr>
        <w:t>maintenance replacement </w:t>
      </w:r>
      <w:r>
        <w:rPr>
          <w:sz w:val="24"/>
        </w:rPr>
        <w:t>means the replacement of a </w:t>
      </w:r>
      <w:r>
        <w:rPr>
          <w:i/>
          <w:sz w:val="24"/>
        </w:rPr>
        <w:t>retail customer's </w:t>
      </w:r>
      <w:r>
        <w:rPr>
          <w:sz w:val="24"/>
        </w:rPr>
        <w:t>existing </w:t>
      </w:r>
      <w:r>
        <w:rPr>
          <w:i/>
          <w:sz w:val="24"/>
        </w:rPr>
        <w:t>meter </w:t>
      </w:r>
      <w:r>
        <w:rPr>
          <w:sz w:val="24"/>
        </w:rPr>
        <w:t>arranged by a </w:t>
      </w:r>
      <w:r>
        <w:rPr>
          <w:i/>
          <w:sz w:val="24"/>
        </w:rPr>
        <w:t>retailer </w:t>
      </w:r>
      <w:r>
        <w:rPr>
          <w:sz w:val="24"/>
        </w:rPr>
        <w:t>that is based on the results of sample testing of a </w:t>
      </w:r>
      <w:r>
        <w:rPr>
          <w:i/>
          <w:sz w:val="24"/>
        </w:rPr>
        <w:t>meter </w:t>
      </w:r>
      <w:r>
        <w:rPr>
          <w:sz w:val="24"/>
        </w:rPr>
        <w:t>population carried out in accordance with Chapter 7A:</w:t>
      </w:r>
    </w:p>
    <w:p>
      <w:pPr>
        <w:pStyle w:val="ListParagraph"/>
        <w:numPr>
          <w:ilvl w:val="1"/>
          <w:numId w:val="869"/>
        </w:numPr>
        <w:tabs>
          <w:tab w:pos="2486" w:val="left" w:leader="none"/>
        </w:tabs>
        <w:spacing w:line="240" w:lineRule="auto" w:before="120" w:after="0"/>
        <w:ind w:left="2486" w:right="415" w:hanging="567"/>
        <w:jc w:val="both"/>
        <w:rPr>
          <w:sz w:val="24"/>
        </w:rPr>
      </w:pPr>
      <w:r>
        <w:rPr>
          <w:sz w:val="24"/>
        </w:rPr>
        <w:t>which indicates that it is necessary or appropriate, in accordance with good electricity industry practice, for the </w:t>
      </w:r>
      <w:r>
        <w:rPr>
          <w:i/>
          <w:sz w:val="24"/>
        </w:rPr>
        <w:t>meter </w:t>
      </w:r>
      <w:r>
        <w:rPr>
          <w:sz w:val="24"/>
        </w:rPr>
        <w:t>to be replaced to ensure compliance with Chapter 7A;</w:t>
      </w:r>
      <w:r>
        <w:rPr>
          <w:spacing w:val="-2"/>
          <w:sz w:val="24"/>
        </w:rPr>
        <w:t> </w:t>
      </w:r>
      <w:r>
        <w:rPr>
          <w:sz w:val="24"/>
        </w:rPr>
        <w:t>and</w:t>
      </w:r>
    </w:p>
    <w:p>
      <w:pPr>
        <w:pStyle w:val="ListParagraph"/>
        <w:numPr>
          <w:ilvl w:val="1"/>
          <w:numId w:val="869"/>
        </w:numPr>
        <w:tabs>
          <w:tab w:pos="2486" w:val="left" w:leader="none"/>
        </w:tabs>
        <w:spacing w:line="240" w:lineRule="auto" w:before="120" w:after="0"/>
        <w:ind w:left="2486" w:right="416" w:hanging="567"/>
        <w:jc w:val="both"/>
        <w:rPr>
          <w:sz w:val="24"/>
        </w:rPr>
      </w:pPr>
      <w:r>
        <w:rPr>
          <w:sz w:val="24"/>
        </w:rPr>
        <w:t>details of which have been provided to the </w:t>
      </w:r>
      <w:r>
        <w:rPr>
          <w:i/>
          <w:sz w:val="24"/>
        </w:rPr>
        <w:t>retailer </w:t>
      </w:r>
      <w:r>
        <w:rPr>
          <w:sz w:val="24"/>
        </w:rPr>
        <w:t>under Chapter 7A, together with the results of the sample testing that support the need for the</w:t>
      </w:r>
      <w:r>
        <w:rPr>
          <w:spacing w:val="-1"/>
          <w:sz w:val="24"/>
        </w:rPr>
        <w:t> </w:t>
      </w:r>
      <w:r>
        <w:rPr>
          <w:sz w:val="24"/>
        </w:rPr>
        <w:t>replacement.</w:t>
      </w:r>
    </w:p>
    <w:p>
      <w:pPr>
        <w:spacing w:before="120"/>
        <w:ind w:left="1919" w:right="416" w:firstLine="0"/>
        <w:jc w:val="both"/>
        <w:rPr>
          <w:sz w:val="24"/>
        </w:rPr>
      </w:pPr>
      <w:r>
        <w:rPr>
          <w:b/>
          <w:i/>
          <w:sz w:val="24"/>
        </w:rPr>
        <w:t>new meter deployment </w:t>
      </w:r>
      <w:r>
        <w:rPr>
          <w:sz w:val="24"/>
        </w:rPr>
        <w:t>means the replacement of an existing </w:t>
      </w:r>
      <w:r>
        <w:rPr>
          <w:i/>
          <w:sz w:val="24"/>
        </w:rPr>
        <w:t>meter </w:t>
      </w:r>
      <w:r>
        <w:rPr>
          <w:sz w:val="24"/>
        </w:rPr>
        <w:t>of one  or more </w:t>
      </w:r>
      <w:r>
        <w:rPr>
          <w:i/>
          <w:sz w:val="24"/>
        </w:rPr>
        <w:t>retail customers </w:t>
      </w:r>
      <w:r>
        <w:rPr>
          <w:sz w:val="24"/>
        </w:rPr>
        <w:t>which is arranged by a </w:t>
      </w:r>
      <w:r>
        <w:rPr>
          <w:i/>
          <w:sz w:val="24"/>
        </w:rPr>
        <w:t>retailer </w:t>
      </w:r>
      <w:r>
        <w:rPr>
          <w:sz w:val="24"/>
        </w:rPr>
        <w:t>other than where the replacement</w:t>
      </w:r>
      <w:r>
        <w:rPr>
          <w:spacing w:val="-2"/>
          <w:sz w:val="24"/>
        </w:rPr>
        <w:t> </w:t>
      </w:r>
      <w:r>
        <w:rPr>
          <w:sz w:val="24"/>
        </w:rPr>
        <w:t>is:</w:t>
      </w:r>
    </w:p>
    <w:p>
      <w:pPr>
        <w:pStyle w:val="ListParagraph"/>
        <w:numPr>
          <w:ilvl w:val="0"/>
          <w:numId w:val="870"/>
        </w:numPr>
        <w:tabs>
          <w:tab w:pos="2486" w:val="left" w:leader="none"/>
        </w:tabs>
        <w:spacing w:line="240" w:lineRule="auto" w:before="120" w:after="0"/>
        <w:ind w:left="2486" w:right="416" w:hanging="567"/>
        <w:jc w:val="both"/>
        <w:rPr>
          <w:sz w:val="24"/>
        </w:rPr>
      </w:pPr>
      <w:r>
        <w:rPr>
          <w:sz w:val="24"/>
        </w:rPr>
        <w:t>at the request of the relevant </w:t>
      </w:r>
      <w:r>
        <w:rPr>
          <w:i/>
          <w:sz w:val="24"/>
        </w:rPr>
        <w:t>retail customer </w:t>
      </w:r>
      <w:r>
        <w:rPr>
          <w:sz w:val="24"/>
        </w:rPr>
        <w:t>or to enable the provision of a product or service the </w:t>
      </w:r>
      <w:r>
        <w:rPr>
          <w:i/>
          <w:sz w:val="24"/>
        </w:rPr>
        <w:t>retail customer </w:t>
      </w:r>
      <w:r>
        <w:rPr>
          <w:sz w:val="24"/>
        </w:rPr>
        <w:t>has agreed to acquire from the </w:t>
      </w:r>
      <w:r>
        <w:rPr>
          <w:i/>
          <w:sz w:val="24"/>
        </w:rPr>
        <w:t>retailer </w:t>
      </w:r>
      <w:r>
        <w:rPr>
          <w:sz w:val="24"/>
        </w:rPr>
        <w:t>or any other</w:t>
      </w:r>
      <w:r>
        <w:rPr>
          <w:spacing w:val="-1"/>
          <w:sz w:val="24"/>
        </w:rPr>
        <w:t> </w:t>
      </w:r>
      <w:r>
        <w:rPr>
          <w:sz w:val="24"/>
        </w:rPr>
        <w:t>person;</w:t>
      </w:r>
    </w:p>
    <w:p>
      <w:pPr>
        <w:pStyle w:val="ListParagraph"/>
        <w:numPr>
          <w:ilvl w:val="0"/>
          <w:numId w:val="870"/>
        </w:numPr>
        <w:tabs>
          <w:tab w:pos="2486" w:val="left" w:leader="none"/>
        </w:tabs>
        <w:spacing w:line="240" w:lineRule="auto" w:before="120" w:after="0"/>
        <w:ind w:left="2485" w:right="0" w:hanging="567"/>
        <w:jc w:val="both"/>
        <w:rPr>
          <w:sz w:val="24"/>
        </w:rPr>
      </w:pPr>
      <w:r>
        <w:rPr>
          <w:sz w:val="24"/>
        </w:rPr>
        <w:t>a maintenance replacement;</w:t>
      </w:r>
      <w:r>
        <w:rPr>
          <w:spacing w:val="-1"/>
          <w:sz w:val="24"/>
        </w:rPr>
        <w:t> </w:t>
      </w:r>
      <w:r>
        <w:rPr>
          <w:sz w:val="24"/>
        </w:rPr>
        <w:t>or</w:t>
      </w:r>
    </w:p>
    <w:p>
      <w:pPr>
        <w:pStyle w:val="ListParagraph"/>
        <w:numPr>
          <w:ilvl w:val="0"/>
          <w:numId w:val="870"/>
        </w:numPr>
        <w:tabs>
          <w:tab w:pos="2486" w:val="left" w:leader="none"/>
        </w:tabs>
        <w:spacing w:line="240" w:lineRule="auto" w:before="120" w:after="0"/>
        <w:ind w:left="2485" w:right="0" w:hanging="567"/>
        <w:jc w:val="both"/>
        <w:rPr>
          <w:sz w:val="24"/>
        </w:rPr>
      </w:pPr>
      <w:r>
        <w:rPr>
          <w:sz w:val="24"/>
        </w:rPr>
        <w:t>as a result of a </w:t>
      </w:r>
      <w:r>
        <w:rPr>
          <w:i/>
          <w:sz w:val="24"/>
        </w:rPr>
        <w:t>metering installation</w:t>
      </w:r>
      <w:r>
        <w:rPr>
          <w:i/>
          <w:spacing w:val="-3"/>
          <w:sz w:val="24"/>
        </w:rPr>
        <w:t> </w:t>
      </w:r>
      <w:r>
        <w:rPr>
          <w:i/>
          <w:sz w:val="24"/>
        </w:rPr>
        <w:t>malfunction</w:t>
      </w:r>
      <w:r>
        <w:rPr>
          <w:sz w:val="24"/>
        </w:rPr>
        <w:t>.</w:t>
      </w:r>
    </w:p>
    <w:p>
      <w:pPr>
        <w:pStyle w:val="ListParagraph"/>
        <w:numPr>
          <w:ilvl w:val="0"/>
          <w:numId w:val="869"/>
        </w:numPr>
        <w:tabs>
          <w:tab w:pos="1919" w:val="left" w:leader="none"/>
        </w:tabs>
        <w:spacing w:line="240" w:lineRule="auto" w:before="120" w:after="0"/>
        <w:ind w:left="1919" w:right="414" w:hanging="567"/>
        <w:jc w:val="both"/>
        <w:rPr>
          <w:sz w:val="24"/>
        </w:rPr>
      </w:pPr>
      <w:r>
        <w:rPr>
          <w:sz w:val="24"/>
        </w:rPr>
        <w:t>This rule applies where, before the commencement date, a </w:t>
      </w:r>
      <w:r>
        <w:rPr>
          <w:i/>
          <w:sz w:val="24"/>
        </w:rPr>
        <w:t>retailer </w:t>
      </w:r>
      <w:r>
        <w:rPr>
          <w:sz w:val="24"/>
        </w:rPr>
        <w:t>has an outstanding request for a </w:t>
      </w:r>
      <w:r>
        <w:rPr>
          <w:i/>
          <w:sz w:val="24"/>
        </w:rPr>
        <w:t>meter </w:t>
      </w:r>
      <w:r>
        <w:rPr>
          <w:sz w:val="24"/>
        </w:rPr>
        <w:t>to be installed, including in relation to a </w:t>
      </w:r>
      <w:r>
        <w:rPr>
          <w:i/>
          <w:sz w:val="24"/>
        </w:rPr>
        <w:t>new </w:t>
      </w:r>
      <w:r>
        <w:rPr>
          <w:i/>
          <w:sz w:val="24"/>
        </w:rPr>
        <w:t>connection</w:t>
      </w:r>
      <w:r>
        <w:rPr>
          <w:sz w:val="24"/>
        </w:rPr>
        <w:t>,</w:t>
      </w:r>
      <w:r>
        <w:rPr>
          <w:spacing w:val="20"/>
          <w:sz w:val="24"/>
        </w:rPr>
        <w:t> </w:t>
      </w:r>
      <w:r>
        <w:rPr>
          <w:sz w:val="24"/>
        </w:rPr>
        <w:t>at</w:t>
      </w:r>
      <w:r>
        <w:rPr>
          <w:spacing w:val="20"/>
          <w:sz w:val="24"/>
        </w:rPr>
        <w:t> </w:t>
      </w:r>
      <w:r>
        <w:rPr>
          <w:sz w:val="24"/>
        </w:rPr>
        <w:t>a</w:t>
      </w:r>
      <w:r>
        <w:rPr>
          <w:spacing w:val="20"/>
          <w:sz w:val="24"/>
        </w:rPr>
        <w:t> </w:t>
      </w:r>
      <w:r>
        <w:rPr>
          <w:i/>
          <w:sz w:val="24"/>
        </w:rPr>
        <w:t>retail</w:t>
      </w:r>
      <w:r>
        <w:rPr>
          <w:i/>
          <w:spacing w:val="21"/>
          <w:sz w:val="24"/>
        </w:rPr>
        <w:t> </w:t>
      </w:r>
      <w:r>
        <w:rPr>
          <w:i/>
          <w:sz w:val="24"/>
        </w:rPr>
        <w:t>customer's</w:t>
      </w:r>
      <w:r>
        <w:rPr>
          <w:i/>
          <w:spacing w:val="20"/>
          <w:sz w:val="24"/>
        </w:rPr>
        <w:t> </w:t>
      </w:r>
      <w:r>
        <w:rPr>
          <w:sz w:val="24"/>
        </w:rPr>
        <w:t>premises</w:t>
      </w:r>
      <w:r>
        <w:rPr>
          <w:spacing w:val="20"/>
          <w:sz w:val="24"/>
        </w:rPr>
        <w:t> </w:t>
      </w:r>
      <w:r>
        <w:rPr>
          <w:sz w:val="24"/>
        </w:rPr>
        <w:t>and</w:t>
      </w:r>
      <w:r>
        <w:rPr>
          <w:spacing w:val="21"/>
          <w:sz w:val="24"/>
        </w:rPr>
        <w:t> </w:t>
      </w:r>
      <w:r>
        <w:rPr>
          <w:sz w:val="24"/>
        </w:rPr>
        <w:t>that</w:t>
      </w:r>
      <w:r>
        <w:rPr>
          <w:spacing w:val="20"/>
          <w:sz w:val="24"/>
        </w:rPr>
        <w:t> </w:t>
      </w:r>
      <w:r>
        <w:rPr>
          <w:sz w:val="24"/>
        </w:rPr>
        <w:t>request</w:t>
      </w:r>
      <w:r>
        <w:rPr>
          <w:spacing w:val="20"/>
          <w:sz w:val="24"/>
        </w:rPr>
        <w:t> </w:t>
      </w:r>
      <w:r>
        <w:rPr>
          <w:sz w:val="24"/>
        </w:rPr>
        <w:t>does</w:t>
      </w:r>
      <w:r>
        <w:rPr>
          <w:spacing w:val="21"/>
          <w:sz w:val="24"/>
        </w:rPr>
        <w:t> </w:t>
      </w:r>
      <w:r>
        <w:rPr>
          <w:sz w:val="24"/>
        </w:rPr>
        <w:t>not</w:t>
      </w:r>
      <w:r>
        <w:rPr>
          <w:spacing w:val="21"/>
          <w:sz w:val="24"/>
        </w:rPr>
        <w:t> </w:t>
      </w:r>
      <w:r>
        <w:rPr>
          <w:sz w:val="24"/>
        </w:rPr>
        <w:t>relate</w:t>
      </w:r>
    </w:p>
    <w:p>
      <w:pPr>
        <w:spacing w:after="0" w:line="240" w:lineRule="auto"/>
        <w:jc w:val="both"/>
        <w:rPr>
          <w:sz w:val="24"/>
        </w:rPr>
        <w:sectPr>
          <w:pgSz w:w="11910" w:h="16840"/>
          <w:pgMar w:header="686" w:footer="637" w:top="1320" w:bottom="820" w:left="1200" w:right="1000"/>
        </w:sectPr>
      </w:pPr>
    </w:p>
    <w:p>
      <w:pPr>
        <w:spacing w:before="83"/>
        <w:ind w:left="1919" w:right="0" w:firstLine="0"/>
        <w:jc w:val="both"/>
        <w:rPr>
          <w:sz w:val="24"/>
        </w:rPr>
      </w:pPr>
      <w:r>
        <w:rPr>
          <w:sz w:val="24"/>
        </w:rPr>
        <w:t>to a new meter deployment or a </w:t>
      </w:r>
      <w:r>
        <w:rPr>
          <w:i/>
          <w:sz w:val="24"/>
        </w:rPr>
        <w:t>metering installation malfunction </w:t>
      </w:r>
      <w:r>
        <w:rPr>
          <w:sz w:val="24"/>
        </w:rPr>
        <w:t>(an</w:t>
      </w:r>
    </w:p>
    <w:p>
      <w:pPr>
        <w:pStyle w:val="Heading5"/>
        <w:spacing w:before="0"/>
        <w:ind w:left="1919"/>
        <w:rPr>
          <w:b w:val="0"/>
          <w:i w:val="0"/>
        </w:rPr>
      </w:pPr>
      <w:r>
        <w:rPr>
          <w:i/>
        </w:rPr>
        <w:t>existing metering installation request</w:t>
      </w:r>
      <w:r>
        <w:rPr>
          <w:b w:val="0"/>
          <w:i w:val="0"/>
        </w:rPr>
        <w:t>).</w:t>
      </w:r>
    </w:p>
    <w:p>
      <w:pPr>
        <w:pStyle w:val="ListParagraph"/>
        <w:numPr>
          <w:ilvl w:val="0"/>
          <w:numId w:val="869"/>
        </w:numPr>
        <w:tabs>
          <w:tab w:pos="1919" w:val="left" w:leader="none"/>
        </w:tabs>
        <w:spacing w:line="240" w:lineRule="auto" w:before="120" w:after="0"/>
        <w:ind w:left="1919" w:right="415" w:hanging="567"/>
        <w:jc w:val="both"/>
        <w:rPr>
          <w:sz w:val="24"/>
        </w:rPr>
      </w:pPr>
      <w:r>
        <w:rPr>
          <w:sz w:val="24"/>
        </w:rPr>
        <w:t>On and from the commencement date, Chapter 7A will apply to an existing metering installation request as</w:t>
      </w:r>
      <w:r>
        <w:rPr>
          <w:spacing w:val="-1"/>
          <w:sz w:val="24"/>
        </w:rPr>
        <w:t> </w:t>
      </w:r>
      <w:r>
        <w:rPr>
          <w:sz w:val="24"/>
        </w:rPr>
        <w:t>if:</w:t>
      </w:r>
    </w:p>
    <w:p>
      <w:pPr>
        <w:pStyle w:val="ListParagraph"/>
        <w:numPr>
          <w:ilvl w:val="1"/>
          <w:numId w:val="869"/>
        </w:numPr>
        <w:tabs>
          <w:tab w:pos="2486" w:val="left" w:leader="none"/>
        </w:tabs>
        <w:spacing w:line="240" w:lineRule="auto" w:before="120" w:after="0"/>
        <w:ind w:left="2486" w:right="414" w:hanging="567"/>
        <w:jc w:val="both"/>
        <w:rPr>
          <w:sz w:val="24"/>
        </w:rPr>
      </w:pPr>
      <w:r>
        <w:rPr>
          <w:sz w:val="24"/>
        </w:rPr>
        <w:t>the timeframe for the </w:t>
      </w:r>
      <w:r>
        <w:rPr>
          <w:i/>
          <w:sz w:val="24"/>
        </w:rPr>
        <w:t>meter </w:t>
      </w:r>
      <w:r>
        <w:rPr>
          <w:sz w:val="24"/>
        </w:rPr>
        <w:t>to be installed for the purposes of clause 7A.6.10(a)(2) ends at the later</w:t>
      </w:r>
      <w:r>
        <w:rPr>
          <w:spacing w:val="-1"/>
          <w:sz w:val="24"/>
        </w:rPr>
        <w:t> </w:t>
      </w:r>
      <w:r>
        <w:rPr>
          <w:sz w:val="24"/>
        </w:rPr>
        <w:t>of:</w:t>
      </w:r>
    </w:p>
    <w:p>
      <w:pPr>
        <w:pStyle w:val="ListParagraph"/>
        <w:numPr>
          <w:ilvl w:val="2"/>
          <w:numId w:val="869"/>
        </w:numPr>
        <w:tabs>
          <w:tab w:pos="3053" w:val="left" w:leader="none"/>
        </w:tabs>
        <w:spacing w:line="240" w:lineRule="auto" w:before="120" w:after="0"/>
        <w:ind w:left="3053" w:right="415" w:hanging="567"/>
        <w:jc w:val="both"/>
        <w:rPr>
          <w:sz w:val="24"/>
        </w:rPr>
      </w:pPr>
      <w:r>
        <w:rPr>
          <w:sz w:val="24"/>
        </w:rPr>
        <w:t>6 </w:t>
      </w:r>
      <w:r>
        <w:rPr>
          <w:i/>
          <w:sz w:val="24"/>
        </w:rPr>
        <w:t>business days </w:t>
      </w:r>
      <w:r>
        <w:rPr>
          <w:sz w:val="24"/>
        </w:rPr>
        <w:t>from the date the </w:t>
      </w:r>
      <w:r>
        <w:rPr>
          <w:i/>
          <w:sz w:val="24"/>
        </w:rPr>
        <w:t>retailer </w:t>
      </w:r>
      <w:r>
        <w:rPr>
          <w:sz w:val="24"/>
        </w:rPr>
        <w:t>is informed that the </w:t>
      </w:r>
      <w:r>
        <w:rPr>
          <w:i/>
          <w:sz w:val="24"/>
        </w:rPr>
        <w:t>connection service </w:t>
      </w:r>
      <w:r>
        <w:rPr>
          <w:sz w:val="24"/>
        </w:rPr>
        <w:t>(as defined in clause 5A.A.1) is complete; and</w:t>
      </w:r>
    </w:p>
    <w:p>
      <w:pPr>
        <w:pStyle w:val="ListParagraph"/>
        <w:numPr>
          <w:ilvl w:val="2"/>
          <w:numId w:val="869"/>
        </w:numPr>
        <w:tabs>
          <w:tab w:pos="3054" w:val="left" w:leader="none"/>
        </w:tabs>
        <w:spacing w:line="240" w:lineRule="auto" w:before="120" w:after="0"/>
        <w:ind w:left="3053" w:right="0" w:hanging="568"/>
        <w:jc w:val="both"/>
        <w:rPr>
          <w:sz w:val="24"/>
        </w:rPr>
      </w:pPr>
      <w:r>
        <w:rPr>
          <w:sz w:val="24"/>
        </w:rPr>
        <w:t>6 </w:t>
      </w:r>
      <w:r>
        <w:rPr>
          <w:i/>
          <w:sz w:val="24"/>
        </w:rPr>
        <w:t>business days </w:t>
      </w:r>
      <w:r>
        <w:rPr>
          <w:sz w:val="24"/>
        </w:rPr>
        <w:t>from the commencement</w:t>
      </w:r>
      <w:r>
        <w:rPr>
          <w:spacing w:val="-3"/>
          <w:sz w:val="24"/>
        </w:rPr>
        <w:t> </w:t>
      </w:r>
      <w:r>
        <w:rPr>
          <w:sz w:val="24"/>
        </w:rPr>
        <w:t>date;</w:t>
      </w:r>
    </w:p>
    <w:p>
      <w:pPr>
        <w:pStyle w:val="ListParagraph"/>
        <w:numPr>
          <w:ilvl w:val="1"/>
          <w:numId w:val="869"/>
        </w:numPr>
        <w:tabs>
          <w:tab w:pos="2486" w:val="left" w:leader="none"/>
        </w:tabs>
        <w:spacing w:line="240" w:lineRule="auto" w:before="120" w:after="0"/>
        <w:ind w:left="2486" w:right="415" w:hanging="567"/>
        <w:jc w:val="both"/>
        <w:rPr>
          <w:sz w:val="24"/>
        </w:rPr>
      </w:pPr>
      <w:r>
        <w:rPr>
          <w:sz w:val="24"/>
        </w:rPr>
        <w:t>for the purposes of clause 7A.6.11(a)(2), the </w:t>
      </w:r>
      <w:r>
        <w:rPr>
          <w:i/>
          <w:sz w:val="24"/>
        </w:rPr>
        <w:t>retailer </w:t>
      </w:r>
      <w:r>
        <w:rPr>
          <w:sz w:val="24"/>
        </w:rPr>
        <w:t>received the request from the </w:t>
      </w:r>
      <w:r>
        <w:rPr>
          <w:i/>
          <w:sz w:val="24"/>
        </w:rPr>
        <w:t>retail customer </w:t>
      </w:r>
      <w:r>
        <w:rPr>
          <w:sz w:val="24"/>
        </w:rPr>
        <w:t>on the commencement date;</w:t>
      </w:r>
      <w:r>
        <w:rPr>
          <w:spacing w:val="-6"/>
          <w:sz w:val="24"/>
        </w:rPr>
        <w:t> </w:t>
      </w:r>
      <w:r>
        <w:rPr>
          <w:sz w:val="24"/>
        </w:rPr>
        <w:t>and</w:t>
      </w:r>
    </w:p>
    <w:p>
      <w:pPr>
        <w:pStyle w:val="ListParagraph"/>
        <w:numPr>
          <w:ilvl w:val="1"/>
          <w:numId w:val="869"/>
        </w:numPr>
        <w:tabs>
          <w:tab w:pos="2486" w:val="left" w:leader="none"/>
        </w:tabs>
        <w:spacing w:line="240" w:lineRule="auto" w:before="120" w:after="0"/>
        <w:ind w:left="2486" w:right="415" w:hanging="567"/>
        <w:jc w:val="both"/>
        <w:rPr>
          <w:sz w:val="24"/>
        </w:rPr>
      </w:pPr>
      <w:r>
        <w:rPr>
          <w:sz w:val="24"/>
        </w:rPr>
        <w:t>for the purposes of clause 7A.6.12(a)(1)(ii) and (d), the </w:t>
      </w:r>
      <w:r>
        <w:rPr>
          <w:i/>
          <w:sz w:val="24"/>
        </w:rPr>
        <w:t>retailer </w:t>
      </w:r>
      <w:r>
        <w:rPr>
          <w:sz w:val="24"/>
        </w:rPr>
        <w:t>received the request from the </w:t>
      </w:r>
      <w:r>
        <w:rPr>
          <w:i/>
          <w:sz w:val="24"/>
        </w:rPr>
        <w:t>retail customer </w:t>
      </w:r>
      <w:r>
        <w:rPr>
          <w:sz w:val="24"/>
        </w:rPr>
        <w:t>on the commencement date.</w:t>
      </w:r>
    </w:p>
    <w:sectPr>
      <w:pgSz w:w="11910" w:h="16840"/>
      <w:pgMar w:header="686" w:footer="637" w:top="1320" w:bottom="820" w:left="120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14112" from="69.450005pt,796.401001pt" to="525.900005pt,796.401001pt" stroked="true" strokeweight=".5pt" strokecolor="#000000">
          <v:stroke dashstyle="solid"/>
          <w10:wrap type="none"/>
        </v:line>
      </w:pict>
    </w:r>
    <w:r>
      <w:rPr/>
      <w:pict>
        <v:shape style="position:absolute;margin-left:274.915009pt;margin-top:796.945557pt;width:47.55pt;height:12.1pt;mso-position-horizontal-relative:page;mso-position-vertical-relative:page;z-index:-289113088"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 roman </w:instrText>
                </w:r>
                <w:r>
                  <w:rPr/>
                  <w:fldChar w:fldCharType="separate"/>
                </w:r>
                <w:r>
                  <w:rPr/>
                  <w:t>xxxiv</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79296"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78272" type="#_x0000_t202" filled="false" stroked="false">
          <v:textbox inset="0,0,0,0">
            <w:txbxContent>
              <w:p>
                <w:pPr>
                  <w:spacing w:before="14"/>
                  <w:ind w:left="20" w:right="0" w:firstLine="0"/>
                  <w:jc w:val="left"/>
                  <w:rPr>
                    <w:rFonts w:ascii="Arial"/>
                    <w:sz w:val="18"/>
                  </w:rPr>
                </w:pPr>
                <w:r>
                  <w:rPr>
                    <w:rFonts w:ascii="Arial"/>
                    <w:sz w:val="18"/>
                  </w:rPr>
                  <w:t>Page 17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74176"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73152" type="#_x0000_t202" filled="false" stroked="false">
          <v:textbox inset="0,0,0,0">
            <w:txbxContent>
              <w:p>
                <w:pPr>
                  <w:spacing w:before="14"/>
                  <w:ind w:left="20" w:right="0" w:firstLine="0"/>
                  <w:jc w:val="left"/>
                  <w:rPr>
                    <w:rFonts w:ascii="Arial"/>
                    <w:sz w:val="18"/>
                  </w:rPr>
                </w:pPr>
                <w:r>
                  <w:rPr>
                    <w:rFonts w:ascii="Arial"/>
                    <w:sz w:val="18"/>
                  </w:rPr>
                  <w:t>Page 19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69056"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68032" type="#_x0000_t202" filled="false" stroked="false">
          <v:textbox inset="0,0,0,0">
            <w:txbxContent>
              <w:p>
                <w:pPr>
                  <w:spacing w:before="14"/>
                  <w:ind w:left="20" w:right="0" w:firstLine="0"/>
                  <w:jc w:val="left"/>
                  <w:rPr>
                    <w:rFonts w:ascii="Arial"/>
                    <w:sz w:val="18"/>
                  </w:rPr>
                </w:pPr>
                <w:r>
                  <w:rPr>
                    <w:rFonts w:ascii="Arial"/>
                    <w:sz w:val="18"/>
                  </w:rPr>
                  <w:t>Page 21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61888"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60864" type="#_x0000_t202" filled="false" stroked="false">
          <v:textbox inset="0,0,0,0">
            <w:txbxContent>
              <w:p>
                <w:pPr>
                  <w:spacing w:before="14"/>
                  <w:ind w:left="20" w:right="0" w:firstLine="0"/>
                  <w:jc w:val="left"/>
                  <w:rPr>
                    <w:rFonts w:ascii="Arial"/>
                    <w:sz w:val="18"/>
                  </w:rPr>
                </w:pPr>
                <w:r>
                  <w:rPr>
                    <w:rFonts w:ascii="Arial"/>
                    <w:sz w:val="18"/>
                  </w:rPr>
                  <w:t>Page 23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54720"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53696" type="#_x0000_t202" filled="false" stroked="false">
          <v:textbox inset="0,0,0,0">
            <w:txbxContent>
              <w:p>
                <w:pPr>
                  <w:spacing w:before="14"/>
                  <w:ind w:left="20" w:right="0" w:firstLine="0"/>
                  <w:jc w:val="left"/>
                  <w:rPr>
                    <w:rFonts w:ascii="Arial"/>
                    <w:sz w:val="18"/>
                  </w:rPr>
                </w:pPr>
                <w:r>
                  <w:rPr>
                    <w:rFonts w:ascii="Arial"/>
                    <w:sz w:val="18"/>
                  </w:rPr>
                  <w:t>Page 25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08992" from="69.450005pt,796.401001pt" to="525.900005pt,796.401001pt" stroked="true" strokeweight=".5pt" strokecolor="#000000">
          <v:stroke dashstyle="solid"/>
          <w10:wrap type="none"/>
        </v:line>
      </w:pict>
    </w:r>
    <w:r>
      <w:rPr/>
      <w:pict>
        <v:shape style="position:absolute;margin-left:282.412994pt;margin-top:796.945557pt;width:30.55pt;height:12.1pt;mso-position-horizontal-relative:page;mso-position-vertical-relative:page;z-index:-289107968" type="#_x0000_t202" filled="false" stroked="false">
          <v:textbox inset="0,0,0,0">
            <w:txbxContent>
              <w:p>
                <w:pPr>
                  <w:spacing w:before="14"/>
                  <w:ind w:left="20" w:right="0" w:firstLine="0"/>
                  <w:jc w:val="left"/>
                  <w:rPr>
                    <w:rFonts w:ascii="Arial"/>
                    <w:sz w:val="18"/>
                  </w:rPr>
                </w:pPr>
                <w:r>
                  <w:rPr>
                    <w:rFonts w:ascii="Arial"/>
                    <w:sz w:val="18"/>
                  </w:rPr>
                  <w:t>Page 1</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47552"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46528" type="#_x0000_t202" filled="false" stroked="false">
          <v:textbox inset="0,0,0,0">
            <w:txbxContent>
              <w:p>
                <w:pPr>
                  <w:spacing w:before="14"/>
                  <w:ind w:left="20" w:right="0" w:firstLine="0"/>
                  <w:jc w:val="left"/>
                  <w:rPr>
                    <w:rFonts w:ascii="Arial"/>
                    <w:sz w:val="18"/>
                  </w:rPr>
                </w:pPr>
                <w:r>
                  <w:rPr>
                    <w:rFonts w:ascii="Arial"/>
                    <w:sz w:val="18"/>
                  </w:rPr>
                  <w:t>Page 27</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40384" from="69.450005pt,796.401001pt" to="525.900005pt,796.401001pt" stroked="true" strokeweight=".5pt" strokecolor="#000000">
          <v:stroke dashstyle="solid"/>
          <w10:wrap type="none"/>
        </v:line>
      </w:pict>
    </w:r>
    <w:r>
      <w:rPr/>
      <w:pict>
        <v:shape style="position:absolute;margin-left:279.910004pt;margin-top:796.945557pt;width:37.550pt;height:12.1pt;mso-position-horizontal-relative:page;mso-position-vertical-relative:page;z-index:-289039360"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29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33216" from="69.450005pt,796.401001pt" to="525.900005pt,796.401001pt" stroked="true" strokeweight=".5pt" strokecolor="#000000">
          <v:stroke dashstyle="solid"/>
          <w10:wrap type="none"/>
        </v:line>
      </w:pict>
    </w:r>
    <w:r>
      <w:rPr/>
      <w:pict>
        <v:shape style="position:absolute;margin-left:279.910004pt;margin-top:796.945557pt;width:37.550pt;height:12.1pt;mso-position-horizontal-relative:page;mso-position-vertical-relative:page;z-index:-289032192"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26048"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9025024"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100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1888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901785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379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11712"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9010688" type="#_x0000_t202" filled="false" stroked="false">
          <v:textbox inset="0,0,0,0">
            <w:txbxContent>
              <w:p>
                <w:pPr>
                  <w:spacing w:before="14"/>
                  <w:ind w:left="20" w:right="0" w:firstLine="0"/>
                  <w:jc w:val="left"/>
                  <w:rPr>
                    <w:rFonts w:ascii="Arial"/>
                    <w:sz w:val="18"/>
                  </w:rPr>
                </w:pPr>
                <w:r>
                  <w:rPr>
                    <w:rFonts w:ascii="Arial"/>
                    <w:sz w:val="18"/>
                  </w:rPr>
                  <w:t>Page 381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04544"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9003520"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382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97376"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96352" type="#_x0000_t202" filled="false" stroked="false">
          <v:textbox inset="0,0,0,0">
            <w:txbxContent>
              <w:p>
                <w:pPr>
                  <w:spacing w:before="14"/>
                  <w:ind w:left="20" w:right="0" w:firstLine="0"/>
                  <w:jc w:val="left"/>
                  <w:rPr>
                    <w:rFonts w:ascii="Arial"/>
                    <w:sz w:val="18"/>
                  </w:rPr>
                </w:pPr>
                <w:r>
                  <w:rPr>
                    <w:rFonts w:ascii="Arial"/>
                    <w:sz w:val="18"/>
                  </w:rPr>
                  <w:t>Page 409</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90208"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89184" type="#_x0000_t202" filled="false" stroked="false">
          <v:textbox inset="0,0,0,0">
            <w:txbxContent>
              <w:p>
                <w:pPr>
                  <w:spacing w:before="14"/>
                  <w:ind w:left="20" w:right="0" w:firstLine="0"/>
                  <w:jc w:val="left"/>
                  <w:rPr>
                    <w:rFonts w:ascii="Arial"/>
                    <w:sz w:val="18"/>
                  </w:rPr>
                </w:pPr>
                <w:r>
                  <w:rPr>
                    <w:rFonts w:ascii="Arial"/>
                    <w:sz w:val="18"/>
                  </w:rPr>
                  <w:t>Page 411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8304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98201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412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75872"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74848" type="#_x0000_t202" filled="false" stroked="false">
          <v:textbox inset="0,0,0,0">
            <w:txbxContent>
              <w:p>
                <w:pPr>
                  <w:spacing w:before="14"/>
                  <w:ind w:left="20" w:right="0" w:firstLine="0"/>
                  <w:jc w:val="left"/>
                  <w:rPr>
                    <w:rFonts w:ascii="Arial"/>
                    <w:sz w:val="18"/>
                  </w:rPr>
                </w:pPr>
                <w:r>
                  <w:rPr>
                    <w:rFonts w:ascii="Arial"/>
                    <w:sz w:val="18"/>
                  </w:rPr>
                  <w:t>Page 541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6870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67680" type="#_x0000_t202" filled="false" stroked="false">
          <v:textbox inset="0,0,0,0">
            <w:txbxContent>
              <w:p>
                <w:pPr>
                  <w:spacing w:before="14"/>
                  <w:ind w:left="20" w:right="0" w:firstLine="0"/>
                  <w:jc w:val="left"/>
                  <w:rPr>
                    <w:rFonts w:ascii="Arial"/>
                    <w:sz w:val="18"/>
                  </w:rPr>
                </w:pPr>
                <w:r>
                  <w:rPr>
                    <w:rFonts w:ascii="Arial"/>
                    <w:sz w:val="18"/>
                  </w:rPr>
                  <w:t>Page 543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03872" from="69.450005pt,796.401001pt" to="525.900005pt,796.401001pt" stroked="true" strokeweight=".5pt" strokecolor="#000000">
          <v:stroke dashstyle="solid"/>
          <w10:wrap type="none"/>
        </v:line>
      </w:pict>
    </w:r>
    <w:r>
      <w:rPr/>
      <w:pict>
        <v:shape style="position:absolute;margin-left:279.910004pt;margin-top:796.945557pt;width:37.550pt;height:12.1pt;mso-position-horizontal-relative:page;mso-position-vertical-relative:page;z-index:-289102848"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6358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62560" type="#_x0000_t202" filled="false" stroked="false">
          <v:textbox inset="0,0,0,0">
            <w:txbxContent>
              <w:p>
                <w:pPr>
                  <w:spacing w:before="14"/>
                  <w:ind w:left="20" w:right="0" w:firstLine="0"/>
                  <w:jc w:val="left"/>
                  <w:rPr>
                    <w:rFonts w:ascii="Arial"/>
                    <w:sz w:val="18"/>
                  </w:rPr>
                </w:pPr>
                <w:r>
                  <w:rPr>
                    <w:rFonts w:ascii="Arial"/>
                    <w:sz w:val="18"/>
                  </w:rPr>
                  <w:t>Page 545</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5846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57440" type="#_x0000_t202" filled="false" stroked="false">
          <v:textbox inset="0,0,0,0">
            <w:txbxContent>
              <w:p>
                <w:pPr>
                  <w:spacing w:before="14"/>
                  <w:ind w:left="20" w:right="0" w:firstLine="0"/>
                  <w:jc w:val="left"/>
                  <w:rPr>
                    <w:rFonts w:ascii="Arial"/>
                    <w:sz w:val="18"/>
                  </w:rPr>
                </w:pPr>
                <w:r>
                  <w:rPr>
                    <w:rFonts w:ascii="Arial"/>
                    <w:sz w:val="18"/>
                  </w:rPr>
                  <w:t>Page 547</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5334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52320" type="#_x0000_t202" filled="false" stroked="false">
          <v:textbox inset="0,0,0,0">
            <w:txbxContent>
              <w:p>
                <w:pPr>
                  <w:spacing w:before="14"/>
                  <w:ind w:left="20" w:right="0" w:firstLine="0"/>
                  <w:jc w:val="left"/>
                  <w:rPr>
                    <w:rFonts w:ascii="Arial"/>
                    <w:sz w:val="18"/>
                  </w:rPr>
                </w:pPr>
                <w:r>
                  <w:rPr>
                    <w:rFonts w:ascii="Arial"/>
                    <w:sz w:val="18"/>
                  </w:rPr>
                  <w:t>Page 549</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4822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47200" type="#_x0000_t202" filled="false" stroked="false">
          <v:textbox inset="0,0,0,0">
            <w:txbxContent>
              <w:p>
                <w:pPr>
                  <w:spacing w:before="14"/>
                  <w:ind w:left="20" w:right="0" w:firstLine="0"/>
                  <w:jc w:val="left"/>
                  <w:rPr>
                    <w:rFonts w:ascii="Arial"/>
                    <w:sz w:val="18"/>
                  </w:rPr>
                </w:pPr>
                <w:r>
                  <w:rPr>
                    <w:rFonts w:ascii="Arial"/>
                    <w:sz w:val="18"/>
                  </w:rPr>
                  <w:t>Page 551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4310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42080" type="#_x0000_t202" filled="false" stroked="false">
          <v:textbox inset="0,0,0,0">
            <w:txbxContent>
              <w:p>
                <w:pPr>
                  <w:spacing w:before="14"/>
                  <w:ind w:left="20" w:right="0" w:firstLine="0"/>
                  <w:jc w:val="left"/>
                  <w:rPr>
                    <w:rFonts w:ascii="Arial"/>
                    <w:sz w:val="18"/>
                  </w:rPr>
                </w:pPr>
                <w:r>
                  <w:rPr>
                    <w:rFonts w:ascii="Arial"/>
                    <w:sz w:val="18"/>
                  </w:rPr>
                  <w:t>Page 553</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96704" from="69.450005pt,796.401001pt" to="525.900005pt,796.401001pt" stroked="true" strokeweight=".5pt" strokecolor="#000000">
          <v:stroke dashstyle="solid"/>
          <w10:wrap type="none"/>
        </v:line>
      </w:pict>
    </w:r>
    <w:r>
      <w:rPr/>
      <w:pict>
        <v:shape style="position:absolute;margin-left:279.910004pt;margin-top:796.945557pt;width:37.550pt;height:12.1pt;mso-position-horizontal-relative:page;mso-position-vertical-relative:page;z-index:-289095680"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37984"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936960"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555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30816"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929792"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675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23648"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922624"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677</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1648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91545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707</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09312"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08288" type="#_x0000_t202" filled="false" stroked="false">
          <v:textbox inset="0,0,0,0">
            <w:txbxContent>
              <w:p>
                <w:pPr>
                  <w:spacing w:before="14"/>
                  <w:ind w:left="20" w:right="0" w:firstLine="0"/>
                  <w:jc w:val="left"/>
                  <w:rPr>
                    <w:rFonts w:ascii="Arial"/>
                    <w:sz w:val="18"/>
                  </w:rPr>
                </w:pPr>
                <w:r>
                  <w:rPr>
                    <w:rFonts w:ascii="Arial"/>
                    <w:sz w:val="18"/>
                  </w:rPr>
                  <w:t>Page 709</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0214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901120" type="#_x0000_t202" filled="false" stroked="false">
          <v:textbox inset="0,0,0,0">
            <w:txbxContent>
              <w:p>
                <w:pPr>
                  <w:spacing w:before="14"/>
                  <w:ind w:left="20" w:right="0" w:firstLine="0"/>
                  <w:jc w:val="left"/>
                  <w:rPr>
                    <w:rFonts w:ascii="Arial"/>
                    <w:sz w:val="18"/>
                  </w:rPr>
                </w:pPr>
                <w:r>
                  <w:rPr>
                    <w:rFonts w:ascii="Arial"/>
                    <w:sz w:val="18"/>
                  </w:rPr>
                  <w:t>Page 710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94976"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93952"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87808"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886784" type="#_x0000_t202" filled="false" stroked="false">
          <v:textbox inset="0,0,0,0">
            <w:txbxContent>
              <w:p>
                <w:pPr>
                  <w:spacing w:before="14"/>
                  <w:ind w:left="20" w:right="0" w:firstLine="0"/>
                  <w:jc w:val="left"/>
                  <w:rPr>
                    <w:rFonts w:ascii="Arial"/>
                    <w:sz w:val="18"/>
                  </w:rPr>
                </w:pPr>
                <w:r>
                  <w:rPr>
                    <w:rFonts w:ascii="Arial"/>
                    <w:sz w:val="18"/>
                  </w:rPr>
                  <w:t>Page 733</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8064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7961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735</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7552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7449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789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70400"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869376" type="#_x0000_t202" filled="false" stroked="false">
          <v:textbox inset="0,0,0,0">
            <w:txbxContent>
              <w:p>
                <w:pPr>
                  <w:spacing w:before="14"/>
                  <w:ind w:left="20" w:right="0" w:firstLine="0"/>
                  <w:jc w:val="left"/>
                  <w:rPr>
                    <w:rFonts w:ascii="Arial"/>
                    <w:sz w:val="18"/>
                  </w:rPr>
                </w:pPr>
                <w:r>
                  <w:rPr>
                    <w:rFonts w:ascii="Arial"/>
                    <w:sz w:val="18"/>
                  </w:rPr>
                  <w:t>Page 791</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6528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6425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792</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58112"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857088" type="#_x0000_t202" filled="false" stroked="false">
          <v:textbox inset="0,0,0,0">
            <w:txbxContent>
              <w:p>
                <w:pPr>
                  <w:spacing w:before="14"/>
                  <w:ind w:left="20" w:right="0" w:firstLine="0"/>
                  <w:jc w:val="left"/>
                  <w:rPr>
                    <w:rFonts w:ascii="Arial"/>
                    <w:sz w:val="18"/>
                  </w:rPr>
                </w:pPr>
                <w:r>
                  <w:rPr>
                    <w:rFonts w:ascii="Arial"/>
                    <w:sz w:val="18"/>
                  </w:rPr>
                  <w:t>Page 909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89536"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88512" type="#_x0000_t202" filled="false" stroked="false">
          <v:textbox inset="0,0,0,0">
            <w:txbxContent>
              <w:p>
                <w:pPr>
                  <w:spacing w:before="14"/>
                  <w:ind w:left="20" w:right="0" w:firstLine="0"/>
                  <w:jc w:val="left"/>
                  <w:rPr>
                    <w:rFonts w:ascii="Arial"/>
                    <w:sz w:val="18"/>
                  </w:rPr>
                </w:pPr>
                <w:r>
                  <w:rPr>
                    <w:rFonts w:ascii="Arial"/>
                    <w:sz w:val="18"/>
                  </w:rPr>
                  <w:t>Page 13</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50944" from="69.450005pt,796.401001pt" to="525.900005pt,796.401001pt" stroked="true" strokeweight=".5pt" strokecolor="#000000">
          <v:stroke dashstyle="solid"/>
          <w10:wrap type="none"/>
        </v:line>
      </w:pict>
    </w:r>
    <w:r>
      <w:rPr/>
      <w:pict>
        <v:shape style="position:absolute;margin-left:277.407013pt;margin-top:796.945557pt;width:40.550pt;height:12.1pt;mso-position-horizontal-relative:page;mso-position-vertical-relative:page;z-index:-288849920" type="#_x0000_t202" filled="false" stroked="false">
          <v:textbox inset="0,0,0,0">
            <w:txbxContent>
              <w:p>
                <w:pPr>
                  <w:spacing w:before="14"/>
                  <w:ind w:left="20" w:right="0" w:firstLine="0"/>
                  <w:jc w:val="left"/>
                  <w:rPr>
                    <w:rFonts w:ascii="Arial"/>
                    <w:sz w:val="18"/>
                  </w:rPr>
                </w:pPr>
                <w:r>
                  <w:rPr>
                    <w:rFonts w:ascii="Arial"/>
                    <w:sz w:val="18"/>
                  </w:rPr>
                  <w:t>Page 911</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43776"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42752"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912</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36608"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35584"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973</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29440" from="69.450005pt,796.401001pt" to="525.900005pt,796.401001pt" stroked="true" strokeweight=".5pt" strokecolor="#000000">
          <v:stroke dashstyle="solid"/>
          <w10:wrap type="none"/>
        </v:line>
      </w:pict>
    </w:r>
    <w:r>
      <w:rPr/>
      <w:pict>
        <v:shape style="position:absolute;margin-left:277.407013pt;margin-top:796.945557pt;width:42.55pt;height:12.1pt;mso-position-horizontal-relative:page;mso-position-vertical-relative:page;z-index:-288828416" type="#_x0000_t202" filled="false" stroked="false">
          <v:textbox inset="0,0,0,0">
            <w:txbxContent>
              <w:p>
                <w:pPr>
                  <w:spacing w:before="14"/>
                  <w:ind w:left="20" w:right="0" w:firstLine="0"/>
                  <w:jc w:val="left"/>
                  <w:rPr>
                    <w:rFonts w:ascii="Arial"/>
                    <w:sz w:val="18"/>
                  </w:rPr>
                </w:pPr>
                <w:r>
                  <w:rPr>
                    <w:rFonts w:ascii="Arial"/>
                    <w:sz w:val="18"/>
                  </w:rPr>
                  <w:t>Page </w:t>
                </w:r>
                <w:r>
                  <w:rPr/>
                  <w:fldChar w:fldCharType="begin"/>
                </w:r>
                <w:r>
                  <w:rPr>
                    <w:rFonts w:ascii="Arial"/>
                    <w:sz w:val="18"/>
                  </w:rPr>
                  <w:instrText> PAGE </w:instrText>
                </w:r>
                <w:r>
                  <w:rPr/>
                  <w:fldChar w:fldCharType="separate"/>
                </w:r>
                <w:r>
                  <w:rPr/>
                  <w:t>975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84416" from="69.450005pt,796.401001pt" to="525.900005pt,796.401001pt" stroked="true" strokeweight=".5pt" strokecolor="#000000">
          <v:stroke dashstyle="solid"/>
          <w10:wrap type="none"/>
        </v:line>
      </w:pict>
    </w:r>
    <w:r>
      <w:rPr/>
      <w:pict>
        <v:shape style="position:absolute;margin-left:279.910004pt;margin-top:796.945557pt;width:35.550pt;height:12.1pt;mso-position-horizontal-relative:page;mso-position-vertical-relative:page;z-index:-289083392" type="#_x0000_t202" filled="false" stroked="false">
          <v:textbox inset="0,0,0,0">
            <w:txbxContent>
              <w:p>
                <w:pPr>
                  <w:spacing w:before="14"/>
                  <w:ind w:left="20" w:right="0" w:firstLine="0"/>
                  <w:jc w:val="left"/>
                  <w:rPr>
                    <w:rFonts w:ascii="Arial"/>
                    <w:sz w:val="18"/>
                  </w:rPr>
                </w:pPr>
                <w:r>
                  <w:rPr>
                    <w:rFonts w:ascii="Arial"/>
                    <w:sz w:val="18"/>
                  </w:rPr>
                  <w:t>Page 15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16160" from="69.450005pt,55.947998pt" to="525.900005pt,55.947998pt" stroked="true" strokeweight=".5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69.900002pt;margin-top:33.29454pt;width:340.55pt;height:22.45pt;mso-position-horizontal-relative:page;mso-position-vertical-relative:page;z-index:-28911513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82368"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08134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12.989777pt;margin-top:33.29454pt;width:112.5pt;height:22.45pt;mso-position-horizontal-relative:page;mso-position-vertical-relative:page;z-index:-289080320" type="#_x0000_t202" filled="false" stroked="false">
          <v:textbox inset="0,0,0,0">
            <w:txbxContent>
              <w:p>
                <w:pPr>
                  <w:spacing w:before="14"/>
                  <w:ind w:left="20" w:right="-1" w:firstLine="1079"/>
                  <w:jc w:val="left"/>
                  <w:rPr>
                    <w:rFonts w:ascii="Arial"/>
                    <w:sz w:val="18"/>
                  </w:rPr>
                </w:pPr>
                <w:r>
                  <w:rPr>
                    <w:rFonts w:ascii="Arial"/>
                    <w:sz w:val="18"/>
                  </w:rPr>
                  <w:t>CHAPTER 2A REGIONAL STRUCTURES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77248"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07622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53.489777pt;margin-top:33.29454pt;width:72.05pt;height:22.45pt;mso-position-horizontal-relative:page;mso-position-vertical-relative:page;z-index:-289075200" type="#_x0000_t202" filled="false" stroked="false">
          <v:textbox inset="0,0,0,0">
            <w:txbxContent>
              <w:p>
                <w:pPr>
                  <w:spacing w:before="14"/>
                  <w:ind w:left="20" w:right="0" w:firstLine="389"/>
                  <w:jc w:val="left"/>
                  <w:rPr>
                    <w:rFonts w:ascii="Arial"/>
                    <w:sz w:val="18"/>
                  </w:rPr>
                </w:pPr>
                <w:r>
                  <w:rPr>
                    <w:rFonts w:ascii="Arial"/>
                    <w:sz w:val="18"/>
                  </w:rPr>
                  <w:t>CHAPTER 3 MARKET RULES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72128"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07110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53.489777pt;margin-top:33.29454pt;width:72.05pt;height:22.45pt;mso-position-horizontal-relative:page;mso-position-vertical-relative:page;z-index:-289070080" type="#_x0000_t202" filled="false" stroked="false">
          <v:textbox inset="0,0,0,0">
            <w:txbxContent>
              <w:p>
                <w:pPr>
                  <w:spacing w:before="14"/>
                  <w:ind w:left="20" w:right="0" w:firstLine="389"/>
                  <w:jc w:val="left"/>
                  <w:rPr>
                    <w:rFonts w:ascii="Arial"/>
                    <w:sz w:val="18"/>
                  </w:rPr>
                </w:pPr>
                <w:r>
                  <w:rPr>
                    <w:rFonts w:ascii="Arial"/>
                    <w:sz w:val="18"/>
                  </w:rPr>
                  <w:t>CHAPTER 3 MARKET RULES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6700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6598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64960" type="#_x0000_t202" filled="false" stroked="false">
          <v:textbox inset="0,0,0,0">
            <w:txbxContent>
              <w:p>
                <w:pPr>
                  <w:spacing w:before="14"/>
                  <w:ind w:left="20" w:right="0" w:firstLine="0"/>
                  <w:jc w:val="left"/>
                  <w:rPr>
                    <w:rFonts w:ascii="Arial"/>
                    <w:sz w:val="18"/>
                  </w:rPr>
                </w:pPr>
                <w:r>
                  <w:rPr>
                    <w:rFonts w:ascii="Arial"/>
                    <w:sz w:val="18"/>
                  </w:rPr>
                  <w:t>CHAPTER 4</w:t>
                </w:r>
              </w:p>
            </w:txbxContent>
          </v:textbox>
          <w10:wrap type="none"/>
        </v:shape>
      </w:pict>
    </w:r>
    <w:r>
      <w:rPr/>
      <w:pict>
        <v:shape style="position:absolute;margin-left:69.900002pt;margin-top:43.643539pt;width:55.05pt;height:12.1pt;mso-position-horizontal-relative:page;mso-position-vertical-relative:page;z-index:-28906393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401.99176pt;margin-top:43.643539pt;width:123.55pt;height:12.1pt;mso-position-horizontal-relative:page;mso-position-vertical-relative:page;z-index:-289062912" type="#_x0000_t202" filled="false" stroked="false">
          <v:textbox inset="0,0,0,0">
            <w:txbxContent>
              <w:p>
                <w:pPr>
                  <w:spacing w:before="14"/>
                  <w:ind w:left="20" w:right="0" w:firstLine="0"/>
                  <w:jc w:val="left"/>
                  <w:rPr>
                    <w:rFonts w:ascii="Arial"/>
                    <w:sz w:val="18"/>
                  </w:rPr>
                </w:pPr>
                <w:r>
                  <w:rPr>
                    <w:rFonts w:ascii="Arial"/>
                    <w:sz w:val="18"/>
                  </w:rPr>
                  <w:t>POWER SYSTEM SECURITY</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5984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5881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57792" type="#_x0000_t202" filled="false" stroked="false">
          <v:textbox inset="0,0,0,0">
            <w:txbxContent>
              <w:p>
                <w:pPr>
                  <w:spacing w:before="14"/>
                  <w:ind w:left="20" w:right="0" w:firstLine="0"/>
                  <w:jc w:val="left"/>
                  <w:rPr>
                    <w:rFonts w:ascii="Arial"/>
                    <w:sz w:val="18"/>
                  </w:rPr>
                </w:pPr>
                <w:r>
                  <w:rPr>
                    <w:rFonts w:ascii="Arial"/>
                    <w:sz w:val="18"/>
                  </w:rPr>
                  <w:t>CHAPTER 4</w:t>
                </w:r>
              </w:p>
            </w:txbxContent>
          </v:textbox>
          <w10:wrap type="none"/>
        </v:shape>
      </w:pict>
    </w:r>
    <w:r>
      <w:rPr/>
      <w:pict>
        <v:shape style="position:absolute;margin-left:69.900002pt;margin-top:43.643539pt;width:55.05pt;height:12.1pt;mso-position-horizontal-relative:page;mso-position-vertical-relative:page;z-index:-28905676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401.99176pt;margin-top:43.643539pt;width:123.55pt;height:12.1pt;mso-position-horizontal-relative:page;mso-position-vertical-relative:page;z-index:-289055744" type="#_x0000_t202" filled="false" stroked="false">
          <v:textbox inset="0,0,0,0">
            <w:txbxContent>
              <w:p>
                <w:pPr>
                  <w:spacing w:before="14"/>
                  <w:ind w:left="20" w:right="0" w:firstLine="0"/>
                  <w:jc w:val="left"/>
                  <w:rPr>
                    <w:rFonts w:ascii="Arial"/>
                    <w:sz w:val="18"/>
                  </w:rPr>
                </w:pPr>
                <w:r>
                  <w:rPr>
                    <w:rFonts w:ascii="Arial"/>
                    <w:sz w:val="18"/>
                  </w:rPr>
                  <w:t>POWER SYSTEM SECURITY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12064"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11104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54.506775pt;margin-top:33.29454pt;width:71.05pt;height:22.45pt;mso-position-horizontal-relative:page;mso-position-vertical-relative:page;z-index:-289110016" type="#_x0000_t202" filled="false" stroked="false">
          <v:textbox inset="0,0,0,0">
            <w:txbxContent>
              <w:p>
                <w:pPr>
                  <w:spacing w:before="14"/>
                  <w:ind w:left="20" w:right="1" w:firstLine="369"/>
                  <w:jc w:val="left"/>
                  <w:rPr>
                    <w:rFonts w:ascii="Arial"/>
                    <w:sz w:val="18"/>
                  </w:rPr>
                </w:pPr>
                <w:r>
                  <w:rPr>
                    <w:rFonts w:ascii="Arial"/>
                    <w:sz w:val="18"/>
                  </w:rPr>
                  <w:t>CHAPTER 1 INTRODUCTION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52672"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5164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9050624" type="#_x0000_t202" filled="false" stroked="false">
          <v:textbox inset="0,0,0,0">
            <w:txbxContent>
              <w:p>
                <w:pPr>
                  <w:spacing w:before="14"/>
                  <w:ind w:left="20" w:right="0" w:firstLine="0"/>
                  <w:jc w:val="left"/>
                  <w:rPr>
                    <w:rFonts w:ascii="Arial"/>
                    <w:sz w:val="18"/>
                  </w:rPr>
                </w:pPr>
                <w:r>
                  <w:rPr>
                    <w:rFonts w:ascii="Arial"/>
                    <w:sz w:val="18"/>
                  </w:rPr>
                  <w:t>CHAPTER 4A</w:t>
                </w:r>
              </w:p>
            </w:txbxContent>
          </v:textbox>
          <w10:wrap type="none"/>
        </v:shape>
      </w:pict>
    </w:r>
    <w:r>
      <w:rPr/>
      <w:pict>
        <v:shape style="position:absolute;margin-left:69.900002pt;margin-top:43.643539pt;width:55.05pt;height:12.1pt;mso-position-horizontal-relative:page;mso-position-vertical-relative:page;z-index:-289049600"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65.95578pt;margin-top:43.643539pt;width:159.5pt;height:12.1pt;mso-position-horizontal-relative:page;mso-position-vertical-relative:page;z-index:-289048576" type="#_x0000_t202" filled="false" stroked="false">
          <v:textbox inset="0,0,0,0">
            <w:txbxContent>
              <w:p>
                <w:pPr>
                  <w:spacing w:before="14"/>
                  <w:ind w:left="20" w:right="0" w:firstLine="0"/>
                  <w:jc w:val="left"/>
                  <w:rPr>
                    <w:rFonts w:ascii="Arial"/>
                    <w:sz w:val="18"/>
                  </w:rPr>
                </w:pPr>
                <w:r>
                  <w:rPr>
                    <w:rFonts w:ascii="Arial"/>
                    <w:sz w:val="18"/>
                  </w:rPr>
                  <w:t>RETAILER RELIABILITY OBLIGATION</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4550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4448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9043456" type="#_x0000_t202" filled="false" stroked="false">
          <v:textbox inset="0,0,0,0">
            <w:txbxContent>
              <w:p>
                <w:pPr>
                  <w:spacing w:before="14"/>
                  <w:ind w:left="20" w:right="0" w:firstLine="0"/>
                  <w:jc w:val="left"/>
                  <w:rPr>
                    <w:rFonts w:ascii="Arial"/>
                    <w:sz w:val="18"/>
                  </w:rPr>
                </w:pPr>
                <w:r>
                  <w:rPr>
                    <w:rFonts w:ascii="Arial"/>
                    <w:sz w:val="18"/>
                  </w:rPr>
                  <w:t>CHAPTER 4A</w:t>
                </w:r>
              </w:p>
            </w:txbxContent>
          </v:textbox>
          <w10:wrap type="none"/>
        </v:shape>
      </w:pict>
    </w:r>
    <w:r>
      <w:rPr/>
      <w:pict>
        <v:shape style="position:absolute;margin-left:69.900002pt;margin-top:43.643539pt;width:55.05pt;height:12.1pt;mso-position-horizontal-relative:page;mso-position-vertical-relative:page;z-index:-28904243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65.95578pt;margin-top:43.643539pt;width:159.5pt;height:12.1pt;mso-position-horizontal-relative:page;mso-position-vertical-relative:page;z-index:-289041408" type="#_x0000_t202" filled="false" stroked="false">
          <v:textbox inset="0,0,0,0">
            <w:txbxContent>
              <w:p>
                <w:pPr>
                  <w:spacing w:before="14"/>
                  <w:ind w:left="20" w:right="0" w:firstLine="0"/>
                  <w:jc w:val="left"/>
                  <w:rPr>
                    <w:rFonts w:ascii="Arial"/>
                    <w:sz w:val="18"/>
                  </w:rPr>
                </w:pPr>
                <w:r>
                  <w:rPr>
                    <w:rFonts w:ascii="Arial"/>
                    <w:sz w:val="18"/>
                  </w:rPr>
                  <w:t>RETAILER RELIABILITY OBLIGATION</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3833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3731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36288" type="#_x0000_t202" filled="false" stroked="false">
          <v:textbox inset="0,0,0,0">
            <w:txbxContent>
              <w:p>
                <w:pPr>
                  <w:spacing w:before="14"/>
                  <w:ind w:left="20" w:right="0" w:firstLine="0"/>
                  <w:jc w:val="left"/>
                  <w:rPr>
                    <w:rFonts w:ascii="Arial"/>
                    <w:sz w:val="18"/>
                  </w:rPr>
                </w:pPr>
                <w:r>
                  <w:rPr>
                    <w:rFonts w:ascii="Arial"/>
                    <w:sz w:val="18"/>
                  </w:rPr>
                  <w:t>CHAPTER 5</w:t>
                </w:r>
              </w:p>
            </w:txbxContent>
          </v:textbox>
          <w10:wrap type="none"/>
        </v:shape>
      </w:pict>
    </w:r>
    <w:r>
      <w:rPr/>
      <w:pict>
        <v:shape style="position:absolute;margin-left:69.900002pt;margin-top:43.643539pt;width:55.05pt;height:12.1pt;mso-position-horizontal-relative:page;mso-position-vertical-relative:page;z-index:-28903526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47.461777pt;margin-top:43.643539pt;width:278pt;height:12.1pt;mso-position-horizontal-relative:page;mso-position-vertical-relative:page;z-index:-289034240" type="#_x0000_t202" filled="false" stroked="false">
          <v:textbox inset="0,0,0,0">
            <w:txbxContent>
              <w:p>
                <w:pPr>
                  <w:spacing w:before="14"/>
                  <w:ind w:left="20" w:right="0" w:firstLine="0"/>
                  <w:jc w:val="left"/>
                  <w:rPr>
                    <w:rFonts w:ascii="Arial"/>
                    <w:sz w:val="18"/>
                  </w:rPr>
                </w:pPr>
                <w:r>
                  <w:rPr>
                    <w:rFonts w:ascii="Arial"/>
                    <w:sz w:val="18"/>
                  </w:rPr>
                  <w:t>NETWORK CONNECTION ACCESS, PLANNING AND EXPANSION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3116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3014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29120" type="#_x0000_t202" filled="false" stroked="false">
          <v:textbox inset="0,0,0,0">
            <w:txbxContent>
              <w:p>
                <w:pPr>
                  <w:spacing w:before="14"/>
                  <w:ind w:left="20" w:right="0" w:firstLine="0"/>
                  <w:jc w:val="left"/>
                  <w:rPr>
                    <w:rFonts w:ascii="Arial"/>
                    <w:sz w:val="18"/>
                  </w:rPr>
                </w:pPr>
                <w:r>
                  <w:rPr>
                    <w:rFonts w:ascii="Arial"/>
                    <w:sz w:val="18"/>
                  </w:rPr>
                  <w:t>CHAPTER 5</w:t>
                </w:r>
              </w:p>
            </w:txbxContent>
          </v:textbox>
          <w10:wrap type="none"/>
        </v:shape>
      </w:pict>
    </w:r>
    <w:r>
      <w:rPr/>
      <w:pict>
        <v:shape style="position:absolute;margin-left:69.900002pt;margin-top:43.643539pt;width:55.05pt;height:12.1pt;mso-position-horizontal-relative:page;mso-position-vertical-relative:page;z-index:-28902809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47.461777pt;margin-top:43.643539pt;width:278pt;height:12.1pt;mso-position-horizontal-relative:page;mso-position-vertical-relative:page;z-index:-289027072" type="#_x0000_t202" filled="false" stroked="false">
          <v:textbox inset="0,0,0,0">
            <w:txbxContent>
              <w:p>
                <w:pPr>
                  <w:spacing w:before="14"/>
                  <w:ind w:left="20" w:right="0" w:firstLine="0"/>
                  <w:jc w:val="left"/>
                  <w:rPr>
                    <w:rFonts w:ascii="Arial"/>
                    <w:sz w:val="18"/>
                  </w:rPr>
                </w:pPr>
                <w:r>
                  <w:rPr>
                    <w:rFonts w:ascii="Arial"/>
                    <w:sz w:val="18"/>
                  </w:rPr>
                  <w:t>NETWORK CONNECTION ACCESS, PLANNING AND EXPANSION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2400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2297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9021952" type="#_x0000_t202" filled="false" stroked="false">
          <v:textbox inset="0,0,0,0">
            <w:txbxContent>
              <w:p>
                <w:pPr>
                  <w:spacing w:before="14"/>
                  <w:ind w:left="20" w:right="0" w:firstLine="0"/>
                  <w:jc w:val="left"/>
                  <w:rPr>
                    <w:rFonts w:ascii="Arial"/>
                    <w:sz w:val="18"/>
                  </w:rPr>
                </w:pPr>
                <w:r>
                  <w:rPr>
                    <w:rFonts w:ascii="Arial"/>
                    <w:sz w:val="18"/>
                  </w:rPr>
                  <w:t>CHAPTER 5A</w:t>
                </w:r>
              </w:p>
            </w:txbxContent>
          </v:textbox>
          <w10:wrap type="none"/>
        </v:shape>
      </w:pict>
    </w:r>
    <w:r>
      <w:rPr/>
      <w:pict>
        <v:shape style="position:absolute;margin-left:69.900002pt;margin-top:43.643539pt;width:55.05pt;height:12.1pt;mso-position-horizontal-relative:page;mso-position-vertical-relative:page;z-index:-28902092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6.485779pt;margin-top:43.643539pt;width:239pt;height:12.1pt;mso-position-horizontal-relative:page;mso-position-vertical-relative:page;z-index:-289019904" type="#_x0000_t202" filled="false" stroked="false">
          <v:textbox inset="0,0,0,0">
            <w:txbxContent>
              <w:p>
                <w:pPr>
                  <w:spacing w:before="14"/>
                  <w:ind w:left="20" w:right="0" w:firstLine="0"/>
                  <w:jc w:val="left"/>
                  <w:rPr>
                    <w:rFonts w:ascii="Arial"/>
                    <w:sz w:val="18"/>
                  </w:rPr>
                </w:pPr>
                <w:r>
                  <w:rPr>
                    <w:rFonts w:ascii="Arial"/>
                    <w:sz w:val="18"/>
                  </w:rPr>
                  <w:t>ELECTRICITY CONNECTION FOR RETAIL CUSTOMERS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16832"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1580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9014784" type="#_x0000_t202" filled="false" stroked="false">
          <v:textbox inset="0,0,0,0">
            <w:txbxContent>
              <w:p>
                <w:pPr>
                  <w:spacing w:before="14"/>
                  <w:ind w:left="20" w:right="0" w:firstLine="0"/>
                  <w:jc w:val="left"/>
                  <w:rPr>
                    <w:rFonts w:ascii="Arial"/>
                    <w:sz w:val="18"/>
                  </w:rPr>
                </w:pPr>
                <w:r>
                  <w:rPr>
                    <w:rFonts w:ascii="Arial"/>
                    <w:sz w:val="18"/>
                  </w:rPr>
                  <w:t>CHAPTER 5A</w:t>
                </w:r>
              </w:p>
            </w:txbxContent>
          </v:textbox>
          <w10:wrap type="none"/>
        </v:shape>
      </w:pict>
    </w:r>
    <w:r>
      <w:rPr/>
      <w:pict>
        <v:shape style="position:absolute;margin-left:69.900002pt;margin-top:43.643539pt;width:55.05pt;height:12.1pt;mso-position-horizontal-relative:page;mso-position-vertical-relative:page;z-index:-289013760"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6.485779pt;margin-top:43.643539pt;width:239pt;height:12.1pt;mso-position-horizontal-relative:page;mso-position-vertical-relative:page;z-index:-289012736" type="#_x0000_t202" filled="false" stroked="false">
          <v:textbox inset="0,0,0,0">
            <w:txbxContent>
              <w:p>
                <w:pPr>
                  <w:spacing w:before="14"/>
                  <w:ind w:left="20" w:right="0" w:firstLine="0"/>
                  <w:jc w:val="left"/>
                  <w:rPr>
                    <w:rFonts w:ascii="Arial"/>
                    <w:sz w:val="18"/>
                  </w:rPr>
                </w:pPr>
                <w:r>
                  <w:rPr>
                    <w:rFonts w:ascii="Arial"/>
                    <w:sz w:val="18"/>
                  </w:rPr>
                  <w:t>ELECTRICITY CONNECTION FOR RETAIL CUSTOMERS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0966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0864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9007616" type="#_x0000_t202" filled="false" stroked="false">
          <v:textbox inset="0,0,0,0">
            <w:txbxContent>
              <w:p>
                <w:pPr>
                  <w:spacing w:before="14"/>
                  <w:ind w:left="20" w:right="0" w:firstLine="0"/>
                  <w:jc w:val="left"/>
                  <w:rPr>
                    <w:rFonts w:ascii="Arial"/>
                    <w:sz w:val="18"/>
                  </w:rPr>
                </w:pPr>
                <w:r>
                  <w:rPr>
                    <w:rFonts w:ascii="Arial"/>
                    <w:sz w:val="18"/>
                  </w:rPr>
                  <w:t>CHAPTER 5A</w:t>
                </w:r>
              </w:p>
            </w:txbxContent>
          </v:textbox>
          <w10:wrap type="none"/>
        </v:shape>
      </w:pict>
    </w:r>
    <w:r>
      <w:rPr/>
      <w:pict>
        <v:shape style="position:absolute;margin-left:69.900002pt;margin-top:43.643539pt;width:55.05pt;height:12.1pt;mso-position-horizontal-relative:page;mso-position-vertical-relative:page;z-index:-28900659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6.485779pt;margin-top:43.643539pt;width:239pt;height:12.1pt;mso-position-horizontal-relative:page;mso-position-vertical-relative:page;z-index:-289005568" type="#_x0000_t202" filled="false" stroked="false">
          <v:textbox inset="0,0,0,0">
            <w:txbxContent>
              <w:p>
                <w:pPr>
                  <w:spacing w:before="14"/>
                  <w:ind w:left="20" w:right="0" w:firstLine="0"/>
                  <w:jc w:val="left"/>
                  <w:rPr>
                    <w:rFonts w:ascii="Arial"/>
                    <w:sz w:val="18"/>
                  </w:rPr>
                </w:pPr>
                <w:r>
                  <w:rPr>
                    <w:rFonts w:ascii="Arial"/>
                    <w:sz w:val="18"/>
                  </w:rPr>
                  <w:t>ELECTRICITY CONNECTION FOR RETAIL CUSTOMERS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0249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0147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00448" type="#_x0000_t202" filled="false" stroked="false">
          <v:textbox inset="0,0,0,0">
            <w:txbxContent>
              <w:p>
                <w:pPr>
                  <w:spacing w:before="14"/>
                  <w:ind w:left="20" w:right="0" w:firstLine="0"/>
                  <w:jc w:val="left"/>
                  <w:rPr>
                    <w:rFonts w:ascii="Arial"/>
                    <w:sz w:val="18"/>
                  </w:rPr>
                </w:pPr>
                <w:r>
                  <w:rPr>
                    <w:rFonts w:ascii="Arial"/>
                    <w:sz w:val="18"/>
                  </w:rPr>
                  <w:t>CHAPTER 6</w:t>
                </w:r>
              </w:p>
            </w:txbxContent>
          </v:textbox>
          <w10:wrap type="none"/>
        </v:shape>
      </w:pict>
    </w:r>
    <w:r>
      <w:rPr/>
      <w:pict>
        <v:shape style="position:absolute;margin-left:69.900002pt;margin-top:43.643539pt;width:55.05pt;height:12.1pt;mso-position-horizontal-relative:page;mso-position-vertical-relative:page;z-index:-28899942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3.974762pt;margin-top:43.643539pt;width:241.55pt;height:12.1pt;mso-position-horizontal-relative:page;mso-position-vertical-relative:page;z-index:-288998400" type="#_x0000_t202" filled="false" stroked="false">
          <v:textbox inset="0,0,0,0">
            <w:txbxContent>
              <w:p>
                <w:pPr>
                  <w:spacing w:before="14"/>
                  <w:ind w:left="20" w:right="0" w:firstLine="0"/>
                  <w:jc w:val="left"/>
                  <w:rPr>
                    <w:rFonts w:ascii="Arial"/>
                    <w:sz w:val="18"/>
                  </w:rPr>
                </w:pPr>
                <w:r>
                  <w:rPr>
                    <w:rFonts w:ascii="Arial"/>
                    <w:sz w:val="18"/>
                  </w:rPr>
                  <w:t>ECONOMIC REGULATION OF DISTRIBUTION SERVICES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9532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9430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993280" type="#_x0000_t202" filled="false" stroked="false">
          <v:textbox inset="0,0,0,0">
            <w:txbxContent>
              <w:p>
                <w:pPr>
                  <w:spacing w:before="14"/>
                  <w:ind w:left="20" w:right="0" w:firstLine="0"/>
                  <w:jc w:val="left"/>
                  <w:rPr>
                    <w:rFonts w:ascii="Arial"/>
                    <w:sz w:val="18"/>
                  </w:rPr>
                </w:pPr>
                <w:r>
                  <w:rPr>
                    <w:rFonts w:ascii="Arial"/>
                    <w:sz w:val="18"/>
                  </w:rPr>
                  <w:t>CHAPTER 6</w:t>
                </w:r>
              </w:p>
            </w:txbxContent>
          </v:textbox>
          <w10:wrap type="none"/>
        </v:shape>
      </w:pict>
    </w:r>
    <w:r>
      <w:rPr/>
      <w:pict>
        <v:shape style="position:absolute;margin-left:69.900002pt;margin-top:43.643539pt;width:55.05pt;height:12.1pt;mso-position-horizontal-relative:page;mso-position-vertical-relative:page;z-index:-28899225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3.974762pt;margin-top:43.643539pt;width:241.55pt;height:12.1pt;mso-position-horizontal-relative:page;mso-position-vertical-relative:page;z-index:-288991232" type="#_x0000_t202" filled="false" stroked="false">
          <v:textbox inset="0,0,0,0">
            <w:txbxContent>
              <w:p>
                <w:pPr>
                  <w:spacing w:before="14"/>
                  <w:ind w:left="20" w:right="0" w:firstLine="0"/>
                  <w:jc w:val="left"/>
                  <w:rPr>
                    <w:rFonts w:ascii="Arial"/>
                    <w:sz w:val="18"/>
                  </w:rPr>
                </w:pPr>
                <w:r>
                  <w:rPr>
                    <w:rFonts w:ascii="Arial"/>
                    <w:sz w:val="18"/>
                  </w:rPr>
                  <w:t>ECONOMIC REGULATION OF DISTRIBUTION SERVICES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8816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8713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986112" type="#_x0000_t202" filled="false" stroked="false">
          <v:textbox inset="0,0,0,0">
            <w:txbxContent>
              <w:p>
                <w:pPr>
                  <w:spacing w:before="14"/>
                  <w:ind w:left="20" w:right="0" w:firstLine="0"/>
                  <w:jc w:val="left"/>
                  <w:rPr>
                    <w:rFonts w:ascii="Arial"/>
                    <w:sz w:val="18"/>
                  </w:rPr>
                </w:pPr>
                <w:r>
                  <w:rPr>
                    <w:rFonts w:ascii="Arial"/>
                    <w:sz w:val="18"/>
                  </w:rPr>
                  <w:t>CHAPTER 6</w:t>
                </w:r>
              </w:p>
            </w:txbxContent>
          </v:textbox>
          <w10:wrap type="none"/>
        </v:shape>
      </w:pict>
    </w:r>
    <w:r>
      <w:rPr/>
      <w:pict>
        <v:shape style="position:absolute;margin-left:69.900002pt;margin-top:43.643539pt;width:55.05pt;height:12.1pt;mso-position-horizontal-relative:page;mso-position-vertical-relative:page;z-index:-28898508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83.974762pt;margin-top:43.643539pt;width:241.55pt;height:12.1pt;mso-position-horizontal-relative:page;mso-position-vertical-relative:page;z-index:-288984064" type="#_x0000_t202" filled="false" stroked="false">
          <v:textbox inset="0,0,0,0">
            <w:txbxContent>
              <w:p>
                <w:pPr>
                  <w:spacing w:before="14"/>
                  <w:ind w:left="20" w:right="0" w:firstLine="0"/>
                  <w:jc w:val="left"/>
                  <w:rPr>
                    <w:rFonts w:ascii="Arial"/>
                    <w:sz w:val="18"/>
                  </w:rPr>
                </w:pPr>
                <w:r>
                  <w:rPr>
                    <w:rFonts w:ascii="Arial"/>
                    <w:sz w:val="18"/>
                  </w:rPr>
                  <w:t>ECONOMIC REGULATION OF DISTRIBUTION SERVICES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80992"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7996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978944" type="#_x0000_t202" filled="false" stroked="false">
          <v:textbox inset="0,0,0,0">
            <w:txbxContent>
              <w:p>
                <w:pPr>
                  <w:spacing w:before="14"/>
                  <w:ind w:left="20" w:right="0" w:firstLine="0"/>
                  <w:jc w:val="left"/>
                  <w:rPr>
                    <w:rFonts w:ascii="Arial"/>
                    <w:sz w:val="18"/>
                  </w:rPr>
                </w:pPr>
                <w:r>
                  <w:rPr>
                    <w:rFonts w:ascii="Arial"/>
                    <w:sz w:val="18"/>
                  </w:rPr>
                  <w:t>CHAPTER 6A</w:t>
                </w:r>
              </w:p>
            </w:txbxContent>
          </v:textbox>
          <w10:wrap type="none"/>
        </v:shape>
      </w:pict>
    </w:r>
    <w:r>
      <w:rPr/>
      <w:pict>
        <v:shape style="position:absolute;margin-left:69.900002pt;margin-top:43.643539pt;width:55.05pt;height:12.1pt;mso-position-horizontal-relative:page;mso-position-vertical-relative:page;z-index:-288977920"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78.970764pt;margin-top:43.643539pt;width:246.55pt;height:12.1pt;mso-position-horizontal-relative:page;mso-position-vertical-relative:page;z-index:-288976896" type="#_x0000_t202" filled="false" stroked="false">
          <v:textbox inset="0,0,0,0">
            <w:txbxContent>
              <w:p>
                <w:pPr>
                  <w:spacing w:before="14"/>
                  <w:ind w:left="20" w:right="0" w:firstLine="0"/>
                  <w:jc w:val="left"/>
                  <w:rPr>
                    <w:rFonts w:ascii="Arial"/>
                    <w:sz w:val="18"/>
                  </w:rPr>
                </w:pPr>
                <w:r>
                  <w:rPr>
                    <w:rFonts w:ascii="Arial"/>
                    <w:sz w:val="18"/>
                  </w:rPr>
                  <w:t>ECONOMIC REGULATION OF TRANSMISSION SERVICES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7382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7280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971776" type="#_x0000_t202" filled="false" stroked="false">
          <v:textbox inset="0,0,0,0">
            <w:txbxContent>
              <w:p>
                <w:pPr>
                  <w:spacing w:before="14"/>
                  <w:ind w:left="20" w:right="0" w:firstLine="0"/>
                  <w:jc w:val="left"/>
                  <w:rPr>
                    <w:rFonts w:ascii="Arial"/>
                    <w:sz w:val="18"/>
                  </w:rPr>
                </w:pPr>
                <w:r>
                  <w:rPr>
                    <w:rFonts w:ascii="Arial"/>
                    <w:sz w:val="18"/>
                  </w:rPr>
                  <w:t>CHAPTER 6A</w:t>
                </w:r>
              </w:p>
            </w:txbxContent>
          </v:textbox>
          <w10:wrap type="none"/>
        </v:shape>
      </w:pict>
    </w:r>
    <w:r>
      <w:rPr/>
      <w:pict>
        <v:shape style="position:absolute;margin-left:69.900002pt;margin-top:43.643539pt;width:55.05pt;height:12.1pt;mso-position-horizontal-relative:page;mso-position-vertical-relative:page;z-index:-28897075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78.970764pt;margin-top:43.643539pt;width:246.55pt;height:12.1pt;mso-position-horizontal-relative:page;mso-position-vertical-relative:page;z-index:-288969728" type="#_x0000_t202" filled="false" stroked="false">
          <v:textbox inset="0,0,0,0">
            <w:txbxContent>
              <w:p>
                <w:pPr>
                  <w:spacing w:before="14"/>
                  <w:ind w:left="20" w:right="0" w:firstLine="0"/>
                  <w:jc w:val="left"/>
                  <w:rPr>
                    <w:rFonts w:ascii="Arial"/>
                    <w:sz w:val="18"/>
                  </w:rPr>
                </w:pPr>
                <w:r>
                  <w:rPr>
                    <w:rFonts w:ascii="Arial"/>
                    <w:sz w:val="18"/>
                  </w:rPr>
                  <w:t>ECONOMIC REGULATION OF TRANSMISSION SERVICES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06944"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10592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54.506775pt;margin-top:33.29454pt;width:71.05pt;height:22.45pt;mso-position-horizontal-relative:page;mso-position-vertical-relative:page;z-index:-289104896" type="#_x0000_t202" filled="false" stroked="false">
          <v:textbox inset="0,0,0,0">
            <w:txbxContent>
              <w:p>
                <w:pPr>
                  <w:spacing w:before="14"/>
                  <w:ind w:left="20" w:right="1" w:firstLine="369"/>
                  <w:jc w:val="left"/>
                  <w:rPr>
                    <w:rFonts w:ascii="Arial"/>
                    <w:sz w:val="18"/>
                  </w:rPr>
                </w:pPr>
                <w:r>
                  <w:rPr>
                    <w:rFonts w:ascii="Arial"/>
                    <w:sz w:val="18"/>
                  </w:rPr>
                  <w:t>CHAPTER 1 INTRODUCTION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6665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6563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45.983765pt;margin-top:33.29454pt;width:79.5pt;height:22.45pt;mso-position-horizontal-relative:page;mso-position-vertical-relative:page;z-index:-288964608" type="#_x0000_t202" filled="false" stroked="false">
          <v:textbox inset="0,0,0,0">
            <w:txbxContent>
              <w:p>
                <w:pPr>
                  <w:spacing w:before="14"/>
                  <w:ind w:left="20" w:right="-1" w:firstLine="419"/>
                  <w:jc w:val="left"/>
                  <w:rPr>
                    <w:rFonts w:ascii="Arial"/>
                    <w:sz w:val="18"/>
                  </w:rPr>
                </w:pPr>
                <w:r>
                  <w:rPr>
                    <w:rFonts w:ascii="Arial"/>
                    <w:sz w:val="18"/>
                  </w:rPr>
                  <w:t>CHAPTER 6B RETAIL MARKETS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6153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6051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45.983765pt;margin-top:33.29454pt;width:79.5pt;height:22.45pt;mso-position-horizontal-relative:page;mso-position-vertical-relative:page;z-index:-288959488" type="#_x0000_t202" filled="false" stroked="false">
          <v:textbox inset="0,0,0,0">
            <w:txbxContent>
              <w:p>
                <w:pPr>
                  <w:spacing w:before="14"/>
                  <w:ind w:left="20" w:right="-1" w:firstLine="419"/>
                  <w:jc w:val="left"/>
                  <w:rPr>
                    <w:rFonts w:ascii="Arial"/>
                    <w:sz w:val="18"/>
                  </w:rPr>
                </w:pPr>
                <w:r>
                  <w:rPr>
                    <w:rFonts w:ascii="Arial"/>
                    <w:sz w:val="18"/>
                  </w:rPr>
                  <w:t>CHAPTER 6B RETAIL MARKETS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5641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5539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72.979126pt;margin-top:33.29454pt;width:52.55pt;height:22.45pt;mso-position-horizontal-relative:page;mso-position-vertical-relative:page;z-index:-288954368" type="#_x0000_t202" filled="false" stroked="false">
          <v:textbox inset="0,0,0,0">
            <w:txbxContent>
              <w:p>
                <w:pPr>
                  <w:spacing w:before="14"/>
                  <w:ind w:left="80" w:right="1" w:hanging="61"/>
                  <w:jc w:val="left"/>
                  <w:rPr>
                    <w:rFonts w:ascii="Arial"/>
                    <w:sz w:val="18"/>
                  </w:rPr>
                </w:pPr>
                <w:r>
                  <w:rPr>
                    <w:rFonts w:ascii="Arial"/>
                    <w:sz w:val="18"/>
                  </w:rPr>
                  <w:t>CHAPTER 7 METERING</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5129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5027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72.979126pt;margin-top:33.29454pt;width:52.55pt;height:22.45pt;mso-position-horizontal-relative:page;mso-position-vertical-relative:page;z-index:-288949248" type="#_x0000_t202" filled="false" stroked="false">
          <v:textbox inset="0,0,0,0">
            <w:txbxContent>
              <w:p>
                <w:pPr>
                  <w:spacing w:before="14"/>
                  <w:ind w:left="80" w:right="1" w:hanging="61"/>
                  <w:jc w:val="left"/>
                  <w:rPr>
                    <w:rFonts w:ascii="Arial"/>
                    <w:sz w:val="18"/>
                  </w:rPr>
                </w:pPr>
                <w:r>
                  <w:rPr>
                    <w:rFonts w:ascii="Arial"/>
                    <w:sz w:val="18"/>
                  </w:rPr>
                  <w:t>CHAPTER 7 METERING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4617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4515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66.976135pt;margin-top:33.29454pt;width:58.55pt;height:22.45pt;mso-position-horizontal-relative:page;mso-position-vertical-relative:page;z-index:-288944128" type="#_x0000_t202" filled="false" stroked="false">
          <v:textbox inset="0,0,0,0">
            <w:txbxContent>
              <w:p>
                <w:pPr>
                  <w:spacing w:before="14"/>
                  <w:ind w:left="200" w:right="1" w:hanging="181"/>
                  <w:jc w:val="left"/>
                  <w:rPr>
                    <w:rFonts w:ascii="Arial"/>
                    <w:sz w:val="18"/>
                  </w:rPr>
                </w:pPr>
                <w:r>
                  <w:rPr>
                    <w:rFonts w:ascii="Arial"/>
                    <w:sz w:val="18"/>
                  </w:rPr>
                  <w:t>CHAPTER 7A METERING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10182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10080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99776" type="#_x0000_t202" filled="false" stroked="false">
          <v:textbox inset="0,0,0,0">
            <w:txbxContent>
              <w:p>
                <w:pPr>
                  <w:spacing w:before="14"/>
                  <w:ind w:left="20" w:right="0" w:firstLine="0"/>
                  <w:jc w:val="left"/>
                  <w:rPr>
                    <w:rFonts w:ascii="Arial"/>
                    <w:sz w:val="18"/>
                  </w:rPr>
                </w:pPr>
                <w:r>
                  <w:rPr>
                    <w:rFonts w:ascii="Arial"/>
                    <w:sz w:val="18"/>
                  </w:rPr>
                  <w:t>CHAPTER 2</w:t>
                </w:r>
              </w:p>
            </w:txbxContent>
          </v:textbox>
          <w10:wrap type="none"/>
        </v:shape>
      </w:pict>
    </w:r>
    <w:r>
      <w:rPr/>
      <w:pict>
        <v:shape style="position:absolute;margin-left:69.900002pt;margin-top:43.643539pt;width:55.05pt;height:12.1pt;mso-position-horizontal-relative:page;mso-position-vertical-relative:page;z-index:-28909875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05.475769pt;margin-top:43.643539pt;width:220pt;height:12.1pt;mso-position-horizontal-relative:page;mso-position-vertical-relative:page;z-index:-289097728" type="#_x0000_t202" filled="false" stroked="false">
          <v:textbox inset="0,0,0,0">
            <w:txbxContent>
              <w:p>
                <w:pPr>
                  <w:spacing w:before="14"/>
                  <w:ind w:left="20" w:right="0" w:firstLine="0"/>
                  <w:jc w:val="left"/>
                  <w:rPr>
                    <w:rFonts w:ascii="Arial"/>
                    <w:sz w:val="18"/>
                  </w:rPr>
                </w:pPr>
                <w:r>
                  <w:rPr>
                    <w:rFonts w:ascii="Arial"/>
                    <w:sz w:val="18"/>
                  </w:rPr>
                  <w:t>REGISTERED PARTICIPANTS AND REGISTRATION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41056"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94003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66.976135pt;margin-top:33.29454pt;width:58.55pt;height:22.45pt;mso-position-horizontal-relative:page;mso-position-vertical-relative:page;z-index:-288939008" type="#_x0000_t202" filled="false" stroked="false">
          <v:textbox inset="0,0,0,0">
            <w:txbxContent>
              <w:p>
                <w:pPr>
                  <w:spacing w:before="14"/>
                  <w:ind w:left="200" w:right="1" w:hanging="181"/>
                  <w:jc w:val="left"/>
                  <w:rPr>
                    <w:rFonts w:ascii="Arial"/>
                    <w:sz w:val="18"/>
                  </w:rPr>
                </w:pPr>
                <w:r>
                  <w:rPr>
                    <w:rFonts w:ascii="Arial"/>
                    <w:sz w:val="18"/>
                  </w:rPr>
                  <w:t>CHAPTER 7A METERING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3593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3491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933888" type="#_x0000_t202" filled="false" stroked="false">
          <v:textbox inset="0,0,0,0">
            <w:txbxContent>
              <w:p>
                <w:pPr>
                  <w:spacing w:before="14"/>
                  <w:ind w:left="20" w:right="0" w:firstLine="0"/>
                  <w:jc w:val="left"/>
                  <w:rPr>
                    <w:rFonts w:ascii="Arial"/>
                    <w:sz w:val="18"/>
                  </w:rPr>
                </w:pPr>
                <w:r>
                  <w:rPr>
                    <w:rFonts w:ascii="Arial"/>
                    <w:sz w:val="18"/>
                  </w:rPr>
                  <w:t>CHAPTER 8</w:t>
                </w:r>
              </w:p>
            </w:txbxContent>
          </v:textbox>
          <w10:wrap type="none"/>
        </v:shape>
      </w:pict>
    </w:r>
    <w:r>
      <w:rPr/>
      <w:pict>
        <v:shape style="position:absolute;margin-left:69.900002pt;margin-top:43.643539pt;width:55.05pt;height:12.1pt;mso-position-horizontal-relative:page;mso-position-vertical-relative:page;z-index:-28893286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3.000763pt;margin-top:43.643539pt;width:132.550pt;height:12.1pt;mso-position-horizontal-relative:page;mso-position-vertical-relative:page;z-index:-288931840" type="#_x0000_t202" filled="false" stroked="false">
          <v:textbox inset="0,0,0,0">
            <w:txbxContent>
              <w:p>
                <w:pPr>
                  <w:spacing w:before="14"/>
                  <w:ind w:left="20" w:right="0" w:firstLine="0"/>
                  <w:jc w:val="left"/>
                  <w:rPr>
                    <w:rFonts w:ascii="Arial"/>
                    <w:sz w:val="18"/>
                  </w:rPr>
                </w:pPr>
                <w:r>
                  <w:rPr>
                    <w:rFonts w:ascii="Arial"/>
                    <w:sz w:val="18"/>
                  </w:rPr>
                  <w:t>ADMINISTRATIVE FUNCTIONS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2876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2774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926720" type="#_x0000_t202" filled="false" stroked="false">
          <v:textbox inset="0,0,0,0">
            <w:txbxContent>
              <w:p>
                <w:pPr>
                  <w:spacing w:before="14"/>
                  <w:ind w:left="20" w:right="0" w:firstLine="0"/>
                  <w:jc w:val="left"/>
                  <w:rPr>
                    <w:rFonts w:ascii="Arial"/>
                    <w:sz w:val="18"/>
                  </w:rPr>
                </w:pPr>
                <w:r>
                  <w:rPr>
                    <w:rFonts w:ascii="Arial"/>
                    <w:sz w:val="18"/>
                  </w:rPr>
                  <w:t>CHAPTER 8</w:t>
                </w:r>
              </w:p>
            </w:txbxContent>
          </v:textbox>
          <w10:wrap type="none"/>
        </v:shape>
      </w:pict>
    </w:r>
    <w:r>
      <w:rPr/>
      <w:pict>
        <v:shape style="position:absolute;margin-left:69.900002pt;margin-top:43.643539pt;width:55.05pt;height:12.1pt;mso-position-horizontal-relative:page;mso-position-vertical-relative:page;z-index:-28892569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3.000763pt;margin-top:43.643539pt;width:132.550pt;height:12.1pt;mso-position-horizontal-relative:page;mso-position-vertical-relative:page;z-index:-288924672" type="#_x0000_t202" filled="false" stroked="false">
          <v:textbox inset="0,0,0,0">
            <w:txbxContent>
              <w:p>
                <w:pPr>
                  <w:spacing w:before="14"/>
                  <w:ind w:left="20" w:right="0" w:firstLine="0"/>
                  <w:jc w:val="left"/>
                  <w:rPr>
                    <w:rFonts w:ascii="Arial"/>
                    <w:sz w:val="18"/>
                  </w:rPr>
                </w:pPr>
                <w:r>
                  <w:rPr>
                    <w:rFonts w:ascii="Arial"/>
                    <w:sz w:val="18"/>
                  </w:rPr>
                  <w:t>ADMINISTRATIVE FUNCTIONS</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2160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2057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919552" type="#_x0000_t202" filled="false" stroked="false">
          <v:textbox inset="0,0,0,0">
            <w:txbxContent>
              <w:p>
                <w:pPr>
                  <w:spacing w:before="14"/>
                  <w:ind w:left="20" w:right="0" w:firstLine="0"/>
                  <w:jc w:val="left"/>
                  <w:rPr>
                    <w:rFonts w:ascii="Arial"/>
                    <w:sz w:val="18"/>
                  </w:rPr>
                </w:pPr>
                <w:r>
                  <w:rPr>
                    <w:rFonts w:ascii="Arial"/>
                    <w:sz w:val="18"/>
                  </w:rPr>
                  <w:t>CHAPTER 8A</w:t>
                </w:r>
              </w:p>
            </w:txbxContent>
          </v:textbox>
          <w10:wrap type="none"/>
        </v:shape>
      </w:pict>
    </w:r>
    <w:r>
      <w:rPr/>
      <w:pict>
        <v:shape style="position:absolute;margin-left:69.900002pt;margin-top:43.643539pt;width:55.05pt;height:12.1pt;mso-position-horizontal-relative:page;mso-position-vertical-relative:page;z-index:-28891852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4.989777pt;margin-top:43.643539pt;width:130.5500pt;height:12.1pt;mso-position-horizontal-relative:page;mso-position-vertical-relative:page;z-index:-288917504" type="#_x0000_t202" filled="false" stroked="false">
          <v:textbox inset="0,0,0,0">
            <w:txbxContent>
              <w:p>
                <w:pPr>
                  <w:spacing w:before="14"/>
                  <w:ind w:left="20" w:right="0" w:firstLine="0"/>
                  <w:jc w:val="left"/>
                  <w:rPr>
                    <w:rFonts w:ascii="Arial"/>
                    <w:sz w:val="18"/>
                  </w:rPr>
                </w:pPr>
                <w:r>
                  <w:rPr>
                    <w:rFonts w:ascii="Arial"/>
                    <w:sz w:val="18"/>
                  </w:rPr>
                  <w:t>PARTICIPANT DEROGATIONS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14432"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1340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912384" type="#_x0000_t202" filled="false" stroked="false">
          <v:textbox inset="0,0,0,0">
            <w:txbxContent>
              <w:p>
                <w:pPr>
                  <w:spacing w:before="14"/>
                  <w:ind w:left="20" w:right="0" w:firstLine="0"/>
                  <w:jc w:val="left"/>
                  <w:rPr>
                    <w:rFonts w:ascii="Arial"/>
                    <w:sz w:val="18"/>
                  </w:rPr>
                </w:pPr>
                <w:r>
                  <w:rPr>
                    <w:rFonts w:ascii="Arial"/>
                    <w:sz w:val="18"/>
                  </w:rPr>
                  <w:t>CHAPTER 8A</w:t>
                </w:r>
              </w:p>
            </w:txbxContent>
          </v:textbox>
          <w10:wrap type="none"/>
        </v:shape>
      </w:pict>
    </w:r>
    <w:r>
      <w:rPr/>
      <w:pict>
        <v:shape style="position:absolute;margin-left:69.900002pt;margin-top:43.643539pt;width:55.05pt;height:12.1pt;mso-position-horizontal-relative:page;mso-position-vertical-relative:page;z-index:-288911360"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4.989777pt;margin-top:43.643539pt;width:130.5500pt;height:12.1pt;mso-position-horizontal-relative:page;mso-position-vertical-relative:page;z-index:-288910336" type="#_x0000_t202" filled="false" stroked="false">
          <v:textbox inset="0,0,0,0">
            <w:txbxContent>
              <w:p>
                <w:pPr>
                  <w:spacing w:before="14"/>
                  <w:ind w:left="20" w:right="0" w:firstLine="0"/>
                  <w:jc w:val="left"/>
                  <w:rPr>
                    <w:rFonts w:ascii="Arial"/>
                    <w:sz w:val="18"/>
                  </w:rPr>
                </w:pPr>
                <w:r>
                  <w:rPr>
                    <w:rFonts w:ascii="Arial"/>
                    <w:sz w:val="18"/>
                  </w:rPr>
                  <w:t>PARTICIPANT DEROGATIONS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0726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90624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905216" type="#_x0000_t202" filled="false" stroked="false">
          <v:textbox inset="0,0,0,0">
            <w:txbxContent>
              <w:p>
                <w:pPr>
                  <w:spacing w:before="14"/>
                  <w:ind w:left="20" w:right="0" w:firstLine="0"/>
                  <w:jc w:val="left"/>
                  <w:rPr>
                    <w:rFonts w:ascii="Arial"/>
                    <w:sz w:val="18"/>
                  </w:rPr>
                </w:pPr>
                <w:r>
                  <w:rPr>
                    <w:rFonts w:ascii="Arial"/>
                    <w:sz w:val="18"/>
                  </w:rPr>
                  <w:t>CHAPTER 8A</w:t>
                </w:r>
              </w:p>
            </w:txbxContent>
          </v:textbox>
          <w10:wrap type="none"/>
        </v:shape>
      </w:pict>
    </w:r>
    <w:r>
      <w:rPr/>
      <w:pict>
        <v:shape style="position:absolute;margin-left:69.900002pt;margin-top:43.643539pt;width:55.05pt;height:12.1pt;mso-position-horizontal-relative:page;mso-position-vertical-relative:page;z-index:-28890419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4.989777pt;margin-top:43.643539pt;width:130.5500pt;height:12.1pt;mso-position-horizontal-relative:page;mso-position-vertical-relative:page;z-index:-288903168" type="#_x0000_t202" filled="false" stroked="false">
          <v:textbox inset="0,0,0,0">
            <w:txbxContent>
              <w:p>
                <w:pPr>
                  <w:spacing w:before="14"/>
                  <w:ind w:left="20" w:right="0" w:firstLine="0"/>
                  <w:jc w:val="left"/>
                  <w:rPr>
                    <w:rFonts w:ascii="Arial"/>
                    <w:sz w:val="18"/>
                  </w:rPr>
                </w:pPr>
                <w:r>
                  <w:rPr>
                    <w:rFonts w:ascii="Arial"/>
                    <w:sz w:val="18"/>
                  </w:rPr>
                  <w:t>PARTICIPANT DEROGATIONS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90009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9907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6.976135pt;margin-top:33.29454pt;width:58.5pt;height:12.1pt;mso-position-horizontal-relative:page;mso-position-vertical-relative:page;z-index:-288898048" type="#_x0000_t202" filled="false" stroked="false">
          <v:textbox inset="0,0,0,0">
            <w:txbxContent>
              <w:p>
                <w:pPr>
                  <w:spacing w:before="14"/>
                  <w:ind w:left="20" w:right="0" w:firstLine="0"/>
                  <w:jc w:val="left"/>
                  <w:rPr>
                    <w:rFonts w:ascii="Arial"/>
                    <w:sz w:val="18"/>
                  </w:rPr>
                </w:pPr>
                <w:r>
                  <w:rPr>
                    <w:rFonts w:ascii="Arial"/>
                    <w:sz w:val="18"/>
                  </w:rPr>
                  <w:t>CHAPTER 8A</w:t>
                </w:r>
              </w:p>
            </w:txbxContent>
          </v:textbox>
          <w10:wrap type="none"/>
        </v:shape>
      </w:pict>
    </w:r>
    <w:r>
      <w:rPr/>
      <w:pict>
        <v:shape style="position:absolute;margin-left:69.900002pt;margin-top:43.643539pt;width:55.05pt;height:12.1pt;mso-position-horizontal-relative:page;mso-position-vertical-relative:page;z-index:-28889702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94.989777pt;margin-top:43.643539pt;width:130.5500pt;height:12.1pt;mso-position-horizontal-relative:page;mso-position-vertical-relative:page;z-index:-288896000" type="#_x0000_t202" filled="false" stroked="false">
          <v:textbox inset="0,0,0,0">
            <w:txbxContent>
              <w:p>
                <w:pPr>
                  <w:spacing w:before="14"/>
                  <w:ind w:left="20" w:right="0" w:firstLine="0"/>
                  <w:jc w:val="left"/>
                  <w:rPr>
                    <w:rFonts w:ascii="Arial"/>
                    <w:sz w:val="18"/>
                  </w:rPr>
                </w:pPr>
                <w:r>
                  <w:rPr>
                    <w:rFonts w:ascii="Arial"/>
                    <w:sz w:val="18"/>
                  </w:rPr>
                  <w:t>PARTICIPANT DEROGATIONS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9292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9190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890880" type="#_x0000_t202" filled="false" stroked="false">
          <v:textbox inset="0,0,0,0">
            <w:txbxContent>
              <w:p>
                <w:pPr>
                  <w:spacing w:before="14"/>
                  <w:ind w:left="20" w:right="0" w:firstLine="0"/>
                  <w:jc w:val="left"/>
                  <w:rPr>
                    <w:rFonts w:ascii="Arial"/>
                    <w:sz w:val="18"/>
                  </w:rPr>
                </w:pPr>
                <w:r>
                  <w:rPr>
                    <w:rFonts w:ascii="Arial"/>
                    <w:sz w:val="18"/>
                  </w:rPr>
                  <w:t>CHAPTER 9</w:t>
                </w:r>
              </w:p>
            </w:txbxContent>
          </v:textbox>
          <w10:wrap type="none"/>
        </v:shape>
      </w:pict>
    </w:r>
    <w:r>
      <w:rPr/>
      <w:pict>
        <v:shape style="position:absolute;margin-left:69.900002pt;margin-top:43.643539pt;width:55.05pt;height:12.1pt;mso-position-horizontal-relative:page;mso-position-vertical-relative:page;z-index:-28888985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12.469772pt;margin-top:43.643539pt;width:313.1pt;height:12.1pt;mso-position-horizontal-relative:page;mso-position-vertical-relative:page;z-index:-288888832" type="#_x0000_t202" filled="false" stroked="false">
          <v:textbox inset="0,0,0,0">
            <w:txbxContent>
              <w:p>
                <w:pPr>
                  <w:spacing w:before="14"/>
                  <w:ind w:left="20" w:right="0" w:firstLine="0"/>
                  <w:jc w:val="left"/>
                  <w:rPr>
                    <w:rFonts w:ascii="Arial"/>
                    <w:sz w:val="18"/>
                  </w:rPr>
                </w:pPr>
                <w:r>
                  <w:rPr>
                    <w:rFonts w:ascii="Arial"/>
                    <w:sz w:val="18"/>
                  </w:rPr>
                  <w:t>JURISDICTIONAL DEROGATIONS AND TRANSITIONAL ARRANGEMENTS</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8576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8473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8883712" type="#_x0000_t202" filled="false" stroked="false">
          <v:textbox inset="0,0,0,0">
            <w:txbxContent>
              <w:p>
                <w:pPr>
                  <w:spacing w:before="14"/>
                  <w:ind w:left="20" w:right="0" w:firstLine="0"/>
                  <w:jc w:val="left"/>
                  <w:rPr>
                    <w:rFonts w:ascii="Arial"/>
                    <w:sz w:val="18"/>
                  </w:rPr>
                </w:pPr>
                <w:r>
                  <w:rPr>
                    <w:rFonts w:ascii="Arial"/>
                    <w:sz w:val="18"/>
                  </w:rPr>
                  <w:t>CHAPTER 9</w:t>
                </w:r>
              </w:p>
            </w:txbxContent>
          </v:textbox>
          <w10:wrap type="none"/>
        </v:shape>
      </w:pict>
    </w:r>
    <w:r>
      <w:rPr/>
      <w:pict>
        <v:shape style="position:absolute;margin-left:69.900002pt;margin-top:43.643539pt;width:55.05pt;height:12.1pt;mso-position-horizontal-relative:page;mso-position-vertical-relative:page;z-index:-28888268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212.469772pt;margin-top:43.643539pt;width:313.1pt;height:12.1pt;mso-position-horizontal-relative:page;mso-position-vertical-relative:page;z-index:-288881664" type="#_x0000_t202" filled="false" stroked="false">
          <v:textbox inset="0,0,0,0">
            <w:txbxContent>
              <w:p>
                <w:pPr>
                  <w:spacing w:before="14"/>
                  <w:ind w:left="20" w:right="0" w:firstLine="0"/>
                  <w:jc w:val="left"/>
                  <w:rPr>
                    <w:rFonts w:ascii="Arial"/>
                    <w:sz w:val="18"/>
                  </w:rPr>
                </w:pPr>
                <w:r>
                  <w:rPr>
                    <w:rFonts w:ascii="Arial"/>
                    <w:sz w:val="18"/>
                  </w:rPr>
                  <w:t>JURISDICTIONAL DEROGATIONS AND TRANSITIONAL ARRANGEMENTS</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78592"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87756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67.975128pt;margin-top:33.29454pt;width:57.55pt;height:22.45pt;mso-position-horizontal-relative:page;mso-position-vertical-relative:page;z-index:-288876544" type="#_x0000_t202" filled="false" stroked="false">
          <v:textbox inset="0,0,0,0">
            <w:txbxContent>
              <w:p>
                <w:pPr>
                  <w:spacing w:before="14"/>
                  <w:ind w:left="140" w:right="0" w:hanging="121"/>
                  <w:jc w:val="left"/>
                  <w:rPr>
                    <w:rFonts w:ascii="Arial"/>
                    <w:sz w:val="18"/>
                  </w:rPr>
                </w:pPr>
                <w:r>
                  <w:rPr>
                    <w:rFonts w:ascii="Arial"/>
                    <w:sz w:val="18"/>
                  </w:rPr>
                  <w:t>CHAPTER 10 GLOSSARY</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73472"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87244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67.975128pt;margin-top:33.29454pt;width:57.55pt;height:22.45pt;mso-position-horizontal-relative:page;mso-position-vertical-relative:page;z-index:-288871424" type="#_x0000_t202" filled="false" stroked="false">
          <v:textbox inset="0,0,0,0">
            <w:txbxContent>
              <w:p>
                <w:pPr>
                  <w:spacing w:before="14"/>
                  <w:ind w:left="140" w:right="0" w:hanging="121"/>
                  <w:jc w:val="left"/>
                  <w:rPr>
                    <w:rFonts w:ascii="Arial"/>
                    <w:sz w:val="18"/>
                  </w:rPr>
                </w:pPr>
                <w:r>
                  <w:rPr>
                    <w:rFonts w:ascii="Arial"/>
                    <w:sz w:val="18"/>
                  </w:rPr>
                  <w:t>CHAPTER 10 GLOSSARY</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68352"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886732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67.975128pt;margin-top:33.29454pt;width:57.55pt;height:22.45pt;mso-position-horizontal-relative:page;mso-position-vertical-relative:page;z-index:-288866304" type="#_x0000_t202" filled="false" stroked="false">
          <v:textbox inset="0,0,0,0">
            <w:txbxContent>
              <w:p>
                <w:pPr>
                  <w:spacing w:before="14"/>
                  <w:ind w:left="140" w:right="0" w:hanging="121"/>
                  <w:jc w:val="left"/>
                  <w:rPr>
                    <w:rFonts w:ascii="Arial"/>
                    <w:sz w:val="18"/>
                  </w:rPr>
                </w:pPr>
                <w:r>
                  <w:rPr>
                    <w:rFonts w:ascii="Arial"/>
                    <w:sz w:val="18"/>
                  </w:rPr>
                  <w:t>CHAPTER 10 GLOSSARY</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63232"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62208"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7.975128pt;margin-top:33.29454pt;width:57.5pt;height:12.1pt;mso-position-horizontal-relative:page;mso-position-vertical-relative:page;z-index:-288861184" type="#_x0000_t202" filled="false" stroked="false">
          <v:textbox inset="0,0,0,0">
            <w:txbxContent>
              <w:p>
                <w:pPr>
                  <w:spacing w:before="14"/>
                  <w:ind w:left="20" w:right="0" w:firstLine="0"/>
                  <w:jc w:val="left"/>
                  <w:rPr>
                    <w:rFonts w:ascii="Arial"/>
                    <w:sz w:val="18"/>
                  </w:rPr>
                </w:pPr>
                <w:r>
                  <w:rPr>
                    <w:rFonts w:ascii="Arial"/>
                    <w:sz w:val="18"/>
                  </w:rPr>
                  <w:t>CHAPTER 11</w:t>
                </w:r>
              </w:p>
            </w:txbxContent>
          </v:textbox>
          <w10:wrap type="none"/>
        </v:shape>
      </w:pict>
    </w:r>
    <w:r>
      <w:rPr/>
      <w:pict>
        <v:shape style="position:absolute;margin-left:69.900002pt;margin-top:43.643539pt;width:55.05pt;height:12.1pt;mso-position-horizontal-relative:page;mso-position-vertical-relative:page;z-index:-288860160"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61.464783pt;margin-top:43.643539pt;width:164.1pt;height:12.1pt;mso-position-horizontal-relative:page;mso-position-vertical-relative:page;z-index:-288859136" type="#_x0000_t202" filled="false" stroked="false">
          <v:textbox inset="0,0,0,0">
            <w:txbxContent>
              <w:p>
                <w:pPr>
                  <w:spacing w:before="14"/>
                  <w:ind w:left="20" w:right="0" w:firstLine="0"/>
                  <w:jc w:val="left"/>
                  <w:rPr>
                    <w:rFonts w:ascii="Arial"/>
                    <w:sz w:val="18"/>
                  </w:rPr>
                </w:pPr>
                <w:r>
                  <w:rPr>
                    <w:rFonts w:ascii="Arial"/>
                    <w:sz w:val="18"/>
                  </w:rPr>
                  <w:t>SAVINGS AND TRANSITIONAL RULES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9465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909363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72.979126pt;margin-top:33.29454pt;width:52.5pt;height:12.1pt;mso-position-horizontal-relative:page;mso-position-vertical-relative:page;z-index:-289092608" type="#_x0000_t202" filled="false" stroked="false">
          <v:textbox inset="0,0,0,0">
            <w:txbxContent>
              <w:p>
                <w:pPr>
                  <w:spacing w:before="14"/>
                  <w:ind w:left="20" w:right="0" w:firstLine="0"/>
                  <w:jc w:val="left"/>
                  <w:rPr>
                    <w:rFonts w:ascii="Arial"/>
                    <w:sz w:val="18"/>
                  </w:rPr>
                </w:pPr>
                <w:r>
                  <w:rPr>
                    <w:rFonts w:ascii="Arial"/>
                    <w:sz w:val="18"/>
                  </w:rPr>
                  <w:t>CHAPTER 2</w:t>
                </w:r>
              </w:p>
            </w:txbxContent>
          </v:textbox>
          <w10:wrap type="none"/>
        </v:shape>
      </w:pict>
    </w:r>
    <w:r>
      <w:rPr/>
      <w:pict>
        <v:shape style="position:absolute;margin-left:69.900002pt;margin-top:43.643539pt;width:55.05pt;height:12.1pt;mso-position-horizontal-relative:page;mso-position-vertical-relative:page;z-index:-28909158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05.475769pt;margin-top:43.643539pt;width:220pt;height:12.1pt;mso-position-horizontal-relative:page;mso-position-vertical-relative:page;z-index:-289090560" type="#_x0000_t202" filled="false" stroked="false">
          <v:textbox inset="0,0,0,0">
            <w:txbxContent>
              <w:p>
                <w:pPr>
                  <w:spacing w:before="14"/>
                  <w:ind w:left="20" w:right="0" w:firstLine="0"/>
                  <w:jc w:val="left"/>
                  <w:rPr>
                    <w:rFonts w:ascii="Arial"/>
                    <w:sz w:val="18"/>
                  </w:rPr>
                </w:pPr>
                <w:r>
                  <w:rPr>
                    <w:rFonts w:ascii="Arial"/>
                    <w:sz w:val="18"/>
                  </w:rPr>
                  <w:t>REGISTERED PARTICIPANTS AND REGISTRATION</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56064"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55040"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7.975128pt;margin-top:33.29454pt;width:57.5pt;height:12.1pt;mso-position-horizontal-relative:page;mso-position-vertical-relative:page;z-index:-288854016" type="#_x0000_t202" filled="false" stroked="false">
          <v:textbox inset="0,0,0,0">
            <w:txbxContent>
              <w:p>
                <w:pPr>
                  <w:spacing w:before="14"/>
                  <w:ind w:left="20" w:right="0" w:firstLine="0"/>
                  <w:jc w:val="left"/>
                  <w:rPr>
                    <w:rFonts w:ascii="Arial"/>
                    <w:sz w:val="18"/>
                  </w:rPr>
                </w:pPr>
                <w:r>
                  <w:rPr>
                    <w:rFonts w:ascii="Arial"/>
                    <w:sz w:val="18"/>
                  </w:rPr>
                  <w:t>CHAPTER 11</w:t>
                </w:r>
              </w:p>
            </w:txbxContent>
          </v:textbox>
          <w10:wrap type="none"/>
        </v:shape>
      </w:pict>
    </w:r>
    <w:r>
      <w:rPr/>
      <w:pict>
        <v:shape style="position:absolute;margin-left:69.900002pt;margin-top:43.643539pt;width:55.05pt;height:12.1pt;mso-position-horizontal-relative:page;mso-position-vertical-relative:page;z-index:-288852992"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61.464783pt;margin-top:43.643539pt;width:164.1pt;height:12.1pt;mso-position-horizontal-relative:page;mso-position-vertical-relative:page;z-index:-288851968" type="#_x0000_t202" filled="false" stroked="false">
          <v:textbox inset="0,0,0,0">
            <w:txbxContent>
              <w:p>
                <w:pPr>
                  <w:spacing w:before="14"/>
                  <w:ind w:left="20" w:right="0" w:firstLine="0"/>
                  <w:jc w:val="left"/>
                  <w:rPr>
                    <w:rFonts w:ascii="Arial"/>
                    <w:sz w:val="18"/>
                  </w:rPr>
                </w:pPr>
                <w:r>
                  <w:rPr>
                    <w:rFonts w:ascii="Arial"/>
                    <w:sz w:val="18"/>
                  </w:rPr>
                  <w:t>SAVINGS AND TRANSITIONAL RULES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48896"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47872"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7.975128pt;margin-top:33.29454pt;width:57.5pt;height:12.1pt;mso-position-horizontal-relative:page;mso-position-vertical-relative:page;z-index:-288846848" type="#_x0000_t202" filled="false" stroked="false">
          <v:textbox inset="0,0,0,0">
            <w:txbxContent>
              <w:p>
                <w:pPr>
                  <w:spacing w:before="14"/>
                  <w:ind w:left="20" w:right="0" w:firstLine="0"/>
                  <w:jc w:val="left"/>
                  <w:rPr>
                    <w:rFonts w:ascii="Arial"/>
                    <w:sz w:val="18"/>
                  </w:rPr>
                </w:pPr>
                <w:r>
                  <w:rPr>
                    <w:rFonts w:ascii="Arial"/>
                    <w:sz w:val="18"/>
                  </w:rPr>
                  <w:t>CHAPTER 11</w:t>
                </w:r>
              </w:p>
            </w:txbxContent>
          </v:textbox>
          <w10:wrap type="none"/>
        </v:shape>
      </w:pict>
    </w:r>
    <w:r>
      <w:rPr/>
      <w:pict>
        <v:shape style="position:absolute;margin-left:69.900002pt;margin-top:43.643539pt;width:55.05pt;height:12.1pt;mso-position-horizontal-relative:page;mso-position-vertical-relative:page;z-index:-288845824"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61.464783pt;margin-top:43.643539pt;width:164.1pt;height:12.1pt;mso-position-horizontal-relative:page;mso-position-vertical-relative:page;z-index:-288844800" type="#_x0000_t202" filled="false" stroked="false">
          <v:textbox inset="0,0,0,0">
            <w:txbxContent>
              <w:p>
                <w:pPr>
                  <w:spacing w:before="14"/>
                  <w:ind w:left="20" w:right="0" w:firstLine="0"/>
                  <w:jc w:val="left"/>
                  <w:rPr>
                    <w:rFonts w:ascii="Arial"/>
                    <w:sz w:val="18"/>
                  </w:rPr>
                </w:pPr>
                <w:r>
                  <w:rPr>
                    <w:rFonts w:ascii="Arial"/>
                    <w:sz w:val="18"/>
                  </w:rPr>
                  <w:t>SAVINGS AND TRANSITIONAL RULES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41728"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4070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1.972137pt;margin-top:33.29454pt;width:63.5pt;height:12.1pt;mso-position-horizontal-relative:page;mso-position-vertical-relative:page;z-index:-288839680" type="#_x0000_t202" filled="false" stroked="false">
          <v:textbox inset="0,0,0,0">
            <w:txbxContent>
              <w:p>
                <w:pPr>
                  <w:spacing w:before="14"/>
                  <w:ind w:left="20" w:right="0" w:firstLine="0"/>
                  <w:jc w:val="left"/>
                  <w:rPr>
                    <w:rFonts w:ascii="Arial"/>
                    <w:sz w:val="18"/>
                  </w:rPr>
                </w:pPr>
                <w:r>
                  <w:rPr>
                    <w:rFonts w:ascii="Arial"/>
                    <w:sz w:val="18"/>
                  </w:rPr>
                  <w:t>CHAPTER 11A</w:t>
                </w:r>
              </w:p>
            </w:txbxContent>
          </v:textbox>
          <w10:wrap type="none"/>
        </v:shape>
      </w:pict>
    </w:r>
    <w:r>
      <w:rPr/>
      <w:pict>
        <v:shape style="position:absolute;margin-left:69.900002pt;margin-top:43.643539pt;width:55.05pt;height:12.1pt;mso-position-horizontal-relative:page;mso-position-vertical-relative:page;z-index:-288838656"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46.974762pt;margin-top:43.643539pt;width:178.6pt;height:12.1pt;mso-position-horizontal-relative:page;mso-position-vertical-relative:page;z-index:-288837632" type="#_x0000_t202" filled="false" stroked="false">
          <v:textbox inset="0,0,0,0">
            <w:txbxContent>
              <w:p>
                <w:pPr>
                  <w:spacing w:before="14"/>
                  <w:ind w:left="20" w:right="0" w:firstLine="0"/>
                  <w:jc w:val="left"/>
                  <w:rPr>
                    <w:rFonts w:ascii="Arial"/>
                    <w:sz w:val="18"/>
                  </w:rPr>
                </w:pPr>
                <w:r>
                  <w:rPr>
                    <w:rFonts w:ascii="Arial"/>
                    <w:sz w:val="18"/>
                  </w:rPr>
                  <w:t>NT SAVINGS AND TRANSITIONAL RULES</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8834560" from="69.450005pt,55.947998pt" to="525.900005pt,55.947998pt" stroked="true" strokeweight=".5pt" strokecolor="#000000">
          <v:stroke dashstyle="solid"/>
          <w10:wrap type="none"/>
        </v:line>
      </w:pict>
    </w:r>
    <w:r>
      <w:rPr/>
      <w:pict>
        <v:shape style="position:absolute;margin-left:69.900002pt;margin-top:33.29454pt;width:340.55pt;height:12.1pt;mso-position-horizontal-relative:page;mso-position-vertical-relative:page;z-index:-288833536"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w:t>
                </w:r>
              </w:p>
            </w:txbxContent>
          </v:textbox>
          <w10:wrap type="none"/>
        </v:shape>
      </w:pict>
    </w:r>
    <w:r>
      <w:rPr/>
      <w:pict>
        <v:shape style="position:absolute;margin-left:461.972137pt;margin-top:33.29454pt;width:63.5pt;height:12.1pt;mso-position-horizontal-relative:page;mso-position-vertical-relative:page;z-index:-288832512" type="#_x0000_t202" filled="false" stroked="false">
          <v:textbox inset="0,0,0,0">
            <w:txbxContent>
              <w:p>
                <w:pPr>
                  <w:spacing w:before="14"/>
                  <w:ind w:left="20" w:right="0" w:firstLine="0"/>
                  <w:jc w:val="left"/>
                  <w:rPr>
                    <w:rFonts w:ascii="Arial"/>
                    <w:sz w:val="18"/>
                  </w:rPr>
                </w:pPr>
                <w:r>
                  <w:rPr>
                    <w:rFonts w:ascii="Arial"/>
                    <w:sz w:val="18"/>
                  </w:rPr>
                  <w:t>CHAPTER 11A</w:t>
                </w:r>
              </w:p>
            </w:txbxContent>
          </v:textbox>
          <w10:wrap type="none"/>
        </v:shape>
      </w:pict>
    </w:r>
    <w:r>
      <w:rPr/>
      <w:pict>
        <v:shape style="position:absolute;margin-left:69.900002pt;margin-top:43.643539pt;width:55.05pt;height:12.1pt;mso-position-horizontal-relative:page;mso-position-vertical-relative:page;z-index:-288831488" type="#_x0000_t202" filled="false" stroked="false">
          <v:textbox inset="0,0,0,0">
            <w:txbxContent>
              <w:p>
                <w:pPr>
                  <w:spacing w:before="14"/>
                  <w:ind w:left="20" w:right="0" w:firstLine="0"/>
                  <w:jc w:val="left"/>
                  <w:rPr>
                    <w:rFonts w:ascii="Arial"/>
                    <w:sz w:val="18"/>
                  </w:rPr>
                </w:pPr>
                <w:r>
                  <w:rPr>
                    <w:rFonts w:ascii="Arial"/>
                    <w:sz w:val="18"/>
                  </w:rPr>
                  <w:t>VERSION 39</w:t>
                </w:r>
              </w:p>
            </w:txbxContent>
          </v:textbox>
          <w10:wrap type="none"/>
        </v:shape>
      </w:pict>
    </w:r>
    <w:r>
      <w:rPr/>
      <w:pict>
        <v:shape style="position:absolute;margin-left:346.974762pt;margin-top:43.643539pt;width:178.6pt;height:12.1pt;mso-position-horizontal-relative:page;mso-position-vertical-relative:page;z-index:-288830464" type="#_x0000_t202" filled="false" stroked="false">
          <v:textbox inset="0,0,0,0">
            <w:txbxContent>
              <w:p>
                <w:pPr>
                  <w:spacing w:before="14"/>
                  <w:ind w:left="20" w:right="0" w:firstLine="0"/>
                  <w:jc w:val="left"/>
                  <w:rPr>
                    <w:rFonts w:ascii="Arial"/>
                    <w:sz w:val="18"/>
                  </w:rPr>
                </w:pPr>
                <w:r>
                  <w:rPr>
                    <w:rFonts w:ascii="Arial"/>
                    <w:sz w:val="18"/>
                  </w:rPr>
                  <w:t>NT SAVINGS AND TRANSITIONAL RULES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firstLine="0"/>
      <w:jc w:val="left"/>
      <w:rPr>
        <w:sz w:val="20"/>
      </w:rPr>
    </w:pPr>
    <w:r>
      <w:rPr/>
      <w:pict>
        <v:line style="position:absolute;mso-position-horizontal-relative:page;mso-position-vertical-relative:page;z-index:-289087488" from="69.450005pt,55.947998pt" to="525.900005pt,55.947998pt" stroked="true" strokeweight=".5pt" strokecolor="#000000">
          <v:stroke dashstyle="solid"/>
          <w10:wrap type="none"/>
        </v:line>
      </w:pict>
    </w:r>
    <w:r>
      <w:rPr/>
      <w:pict>
        <v:shape style="position:absolute;margin-left:69.900002pt;margin-top:33.29454pt;width:340.55pt;height:22.45pt;mso-position-horizontal-relative:page;mso-position-vertical-relative:page;z-index:-289086464" type="#_x0000_t202" filled="false" stroked="false">
          <v:textbox inset="0,0,0,0">
            <w:txbxContent>
              <w:p>
                <w:pPr>
                  <w:spacing w:before="14"/>
                  <w:ind w:left="20" w:right="0" w:firstLine="0"/>
                  <w:jc w:val="left"/>
                  <w:rPr>
                    <w:rFonts w:ascii="Arial"/>
                    <w:sz w:val="18"/>
                  </w:rPr>
                </w:pPr>
                <w:r>
                  <w:rPr>
                    <w:rFonts w:ascii="Arial"/>
                    <w:sz w:val="18"/>
                  </w:rPr>
                  <w:t>NATIONAL ELECTRICITY RULES AS IN FORCE IN THE NORTHERN TERRITORY VERSION 39</w:t>
                </w:r>
              </w:p>
            </w:txbxContent>
          </v:textbox>
          <w10:wrap type="none"/>
        </v:shape>
      </w:pict>
    </w:r>
    <w:r>
      <w:rPr/>
      <w:pict>
        <v:shape style="position:absolute;margin-left:412.989777pt;margin-top:33.29454pt;width:112.5pt;height:22.45pt;mso-position-horizontal-relative:page;mso-position-vertical-relative:page;z-index:-289085440" type="#_x0000_t202" filled="false" stroked="false">
          <v:textbox inset="0,0,0,0">
            <w:txbxContent>
              <w:p>
                <w:pPr>
                  <w:spacing w:before="14"/>
                  <w:ind w:left="20" w:right="-1" w:firstLine="1079"/>
                  <w:jc w:val="left"/>
                  <w:rPr>
                    <w:rFonts w:ascii="Arial"/>
                    <w:sz w:val="18"/>
                  </w:rPr>
                </w:pPr>
                <w:r>
                  <w:rPr>
                    <w:rFonts w:ascii="Arial"/>
                    <w:sz w:val="18"/>
                  </w:rPr>
                  <w:t>CHAPTER 2A REGIONAL STRUCTURES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4">
    <w:multiLevelType w:val="hybridMultilevel"/>
    <w:lvl w:ilvl="0">
      <w:start w:val="4"/>
      <w:numFmt w:val="decimal"/>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4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69">
    <w:multiLevelType w:val="hybridMultilevel"/>
    <w:lvl w:ilvl="0">
      <w:start w:val="1"/>
      <w:numFmt w:val="lowerLetter"/>
      <w:lvlText w:val="(%1)"/>
      <w:lvlJc w:val="left"/>
      <w:pPr>
        <w:ind w:left="2486"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868">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lowerLetter"/>
      <w:lvlText w:val="(%2)"/>
      <w:lvlJc w:val="left"/>
      <w:pPr>
        <w:ind w:left="2486"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3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86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66">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lowerLetter"/>
      <w:lvlText w:val="(%2)"/>
      <w:lvlJc w:val="left"/>
      <w:pPr>
        <w:ind w:left="2486" w:hanging="567"/>
        <w:jc w:val="left"/>
      </w:pPr>
      <w:rPr>
        <w:rFonts w:hint="default" w:ascii="Times New Roman" w:hAnsi="Times New Roman" w:eastAsia="Times New Roman" w:cs="Times New Roman"/>
        <w:spacing w:val="-16"/>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8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6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6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62">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lowerLetter"/>
      <w:lvlText w:val="(%2)"/>
      <w:lvlJc w:val="left"/>
      <w:pPr>
        <w:ind w:left="2486" w:hanging="567"/>
        <w:jc w:val="left"/>
      </w:pPr>
      <w:rPr>
        <w:rFonts w:hint="default" w:ascii="Times New Roman" w:hAnsi="Times New Roman" w:eastAsia="Times New Roman" w:cs="Times New Roman"/>
        <w:spacing w:val="-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61">
    <w:multiLevelType w:val="hybridMultilevel"/>
    <w:lvl w:ilvl="0">
      <w:start w:val="7"/>
      <w:numFmt w:val="lowerLetter"/>
      <w:lvlText w:val="(%1)"/>
      <w:lvlJc w:val="left"/>
      <w:pPr>
        <w:ind w:left="1919" w:hanging="567"/>
        <w:jc w:val="left"/>
      </w:pPr>
      <w:rPr>
        <w:rFonts w:hint="default" w:ascii="Times New Roman" w:hAnsi="Times New Roman" w:eastAsia="Times New Roman" w:cs="Times New Roman"/>
        <w:spacing w:val="-18"/>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6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59">
    <w:multiLevelType w:val="hybridMultilevel"/>
    <w:lvl w:ilvl="0">
      <w:start w:val="4"/>
      <w:numFmt w:val="lowerLetter"/>
      <w:lvlText w:val="(%1)"/>
      <w:lvlJc w:val="left"/>
      <w:pPr>
        <w:ind w:left="612" w:hanging="567"/>
        <w:jc w:val="left"/>
      </w:pPr>
      <w:rPr>
        <w:rFonts w:hint="default" w:ascii="Times New Roman" w:hAnsi="Times New Roman" w:eastAsia="Times New Roman" w:cs="Times New Roman"/>
        <w:spacing w:val="-3"/>
        <w:w w:val="100"/>
        <w:sz w:val="24"/>
        <w:szCs w:val="24"/>
      </w:rPr>
    </w:lvl>
    <w:lvl w:ilvl="1">
      <w:start w:val="1"/>
      <w:numFmt w:val="decimal"/>
      <w:lvlText w:val="(%2)"/>
      <w:lvlJc w:val="left"/>
      <w:pPr>
        <w:ind w:left="1179" w:hanging="567"/>
        <w:jc w:val="left"/>
      </w:pPr>
      <w:rPr>
        <w:rFonts w:hint="default" w:ascii="Times New Roman" w:hAnsi="Times New Roman" w:eastAsia="Times New Roman" w:cs="Times New Roman"/>
        <w:spacing w:val="-2"/>
        <w:w w:val="100"/>
        <w:sz w:val="24"/>
        <w:szCs w:val="24"/>
      </w:rPr>
    </w:lvl>
    <w:lvl w:ilvl="2">
      <w:start w:val="0"/>
      <w:numFmt w:val="bullet"/>
      <w:lvlText w:val="•"/>
      <w:lvlJc w:val="left"/>
      <w:pPr>
        <w:ind w:left="1466" w:hanging="567"/>
      </w:pPr>
      <w:rPr>
        <w:rFonts w:hint="default"/>
      </w:rPr>
    </w:lvl>
    <w:lvl w:ilvl="3">
      <w:start w:val="0"/>
      <w:numFmt w:val="bullet"/>
      <w:lvlText w:val="•"/>
      <w:lvlJc w:val="left"/>
      <w:pPr>
        <w:ind w:left="1752" w:hanging="567"/>
      </w:pPr>
      <w:rPr>
        <w:rFonts w:hint="default"/>
      </w:rPr>
    </w:lvl>
    <w:lvl w:ilvl="4">
      <w:start w:val="0"/>
      <w:numFmt w:val="bullet"/>
      <w:lvlText w:val="•"/>
      <w:lvlJc w:val="left"/>
      <w:pPr>
        <w:ind w:left="2039" w:hanging="567"/>
      </w:pPr>
      <w:rPr>
        <w:rFonts w:hint="default"/>
      </w:rPr>
    </w:lvl>
    <w:lvl w:ilvl="5">
      <w:start w:val="0"/>
      <w:numFmt w:val="bullet"/>
      <w:lvlText w:val="•"/>
      <w:lvlJc w:val="left"/>
      <w:pPr>
        <w:ind w:left="2325" w:hanging="567"/>
      </w:pPr>
      <w:rPr>
        <w:rFonts w:hint="default"/>
      </w:rPr>
    </w:lvl>
    <w:lvl w:ilvl="6">
      <w:start w:val="0"/>
      <w:numFmt w:val="bullet"/>
      <w:lvlText w:val="•"/>
      <w:lvlJc w:val="left"/>
      <w:pPr>
        <w:ind w:left="2612" w:hanging="567"/>
      </w:pPr>
      <w:rPr>
        <w:rFonts w:hint="default"/>
      </w:rPr>
    </w:lvl>
    <w:lvl w:ilvl="7">
      <w:start w:val="0"/>
      <w:numFmt w:val="bullet"/>
      <w:lvlText w:val="•"/>
      <w:lvlJc w:val="left"/>
      <w:pPr>
        <w:ind w:left="2898" w:hanging="567"/>
      </w:pPr>
      <w:rPr>
        <w:rFonts w:hint="default"/>
      </w:rPr>
    </w:lvl>
    <w:lvl w:ilvl="8">
      <w:start w:val="0"/>
      <w:numFmt w:val="bullet"/>
      <w:lvlText w:val="•"/>
      <w:lvlJc w:val="left"/>
      <w:pPr>
        <w:ind w:left="3185" w:hanging="567"/>
      </w:pPr>
      <w:rPr>
        <w:rFonts w:hint="default"/>
      </w:rPr>
    </w:lvl>
  </w:abstractNum>
  <w:abstractNum w:abstractNumId="858">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7"/>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857">
    <w:multiLevelType w:val="hybridMultilevel"/>
    <w:lvl w:ilvl="0">
      <w:start w:val="0"/>
      <w:numFmt w:val="bullet"/>
      <w:lvlText w:val="•"/>
      <w:lvlJc w:val="left"/>
      <w:pPr>
        <w:ind w:left="1174" w:hanging="568"/>
      </w:pPr>
      <w:rPr>
        <w:rFonts w:hint="default" w:ascii="Times New Roman" w:hAnsi="Times New Roman" w:eastAsia="Times New Roman" w:cs="Times New Roman"/>
        <w:spacing w:val="-1"/>
        <w:w w:val="100"/>
        <w:sz w:val="24"/>
        <w:szCs w:val="24"/>
      </w:rPr>
    </w:lvl>
    <w:lvl w:ilvl="1">
      <w:start w:val="0"/>
      <w:numFmt w:val="bullet"/>
      <w:lvlText w:val="•"/>
      <w:lvlJc w:val="left"/>
      <w:pPr>
        <w:ind w:left="1797" w:hanging="568"/>
      </w:pPr>
      <w:rPr>
        <w:rFonts w:hint="default"/>
      </w:rPr>
    </w:lvl>
    <w:lvl w:ilvl="2">
      <w:start w:val="0"/>
      <w:numFmt w:val="bullet"/>
      <w:lvlText w:val="•"/>
      <w:lvlJc w:val="left"/>
      <w:pPr>
        <w:ind w:left="2415" w:hanging="568"/>
      </w:pPr>
      <w:rPr>
        <w:rFonts w:hint="default"/>
      </w:rPr>
    </w:lvl>
    <w:lvl w:ilvl="3">
      <w:start w:val="0"/>
      <w:numFmt w:val="bullet"/>
      <w:lvlText w:val="•"/>
      <w:lvlJc w:val="left"/>
      <w:pPr>
        <w:ind w:left="3032" w:hanging="568"/>
      </w:pPr>
      <w:rPr>
        <w:rFonts w:hint="default"/>
      </w:rPr>
    </w:lvl>
    <w:lvl w:ilvl="4">
      <w:start w:val="0"/>
      <w:numFmt w:val="bullet"/>
      <w:lvlText w:val="•"/>
      <w:lvlJc w:val="left"/>
      <w:pPr>
        <w:ind w:left="3650" w:hanging="568"/>
      </w:pPr>
      <w:rPr>
        <w:rFonts w:hint="default"/>
      </w:rPr>
    </w:lvl>
    <w:lvl w:ilvl="5">
      <w:start w:val="0"/>
      <w:numFmt w:val="bullet"/>
      <w:lvlText w:val="•"/>
      <w:lvlJc w:val="left"/>
      <w:pPr>
        <w:ind w:left="4267" w:hanging="568"/>
      </w:pPr>
      <w:rPr>
        <w:rFonts w:hint="default"/>
      </w:rPr>
    </w:lvl>
    <w:lvl w:ilvl="6">
      <w:start w:val="0"/>
      <w:numFmt w:val="bullet"/>
      <w:lvlText w:val="•"/>
      <w:lvlJc w:val="left"/>
      <w:pPr>
        <w:ind w:left="4885" w:hanging="568"/>
      </w:pPr>
      <w:rPr>
        <w:rFonts w:hint="default"/>
      </w:rPr>
    </w:lvl>
    <w:lvl w:ilvl="7">
      <w:start w:val="0"/>
      <w:numFmt w:val="bullet"/>
      <w:lvlText w:val="•"/>
      <w:lvlJc w:val="left"/>
      <w:pPr>
        <w:ind w:left="5502" w:hanging="568"/>
      </w:pPr>
      <w:rPr>
        <w:rFonts w:hint="default"/>
      </w:rPr>
    </w:lvl>
    <w:lvl w:ilvl="8">
      <w:start w:val="0"/>
      <w:numFmt w:val="bullet"/>
      <w:lvlText w:val="•"/>
      <w:lvlJc w:val="left"/>
      <w:pPr>
        <w:ind w:left="6120" w:hanging="568"/>
      </w:pPr>
      <w:rPr>
        <w:rFonts w:hint="default"/>
      </w:rPr>
    </w:lvl>
  </w:abstractNum>
  <w:abstractNum w:abstractNumId="856">
    <w:multiLevelType w:val="hybridMultilevel"/>
    <w:lvl w:ilvl="0">
      <w:start w:val="0"/>
      <w:numFmt w:val="bullet"/>
      <w:lvlText w:val="•"/>
      <w:lvlJc w:val="left"/>
      <w:pPr>
        <w:ind w:left="1174" w:hanging="568"/>
      </w:pPr>
      <w:rPr>
        <w:rFonts w:hint="default" w:ascii="Times New Roman" w:hAnsi="Times New Roman" w:eastAsia="Times New Roman" w:cs="Times New Roman"/>
        <w:spacing w:val="-1"/>
        <w:w w:val="100"/>
        <w:sz w:val="24"/>
        <w:szCs w:val="24"/>
      </w:rPr>
    </w:lvl>
    <w:lvl w:ilvl="1">
      <w:start w:val="0"/>
      <w:numFmt w:val="bullet"/>
      <w:lvlText w:val="—"/>
      <w:lvlJc w:val="left"/>
      <w:pPr>
        <w:ind w:left="1741" w:hanging="567"/>
      </w:pPr>
      <w:rPr>
        <w:rFonts w:hint="default" w:ascii="Times New Roman" w:hAnsi="Times New Roman" w:eastAsia="Times New Roman" w:cs="Times New Roman"/>
        <w:spacing w:val="-1"/>
        <w:w w:val="100"/>
        <w:sz w:val="24"/>
        <w:szCs w:val="24"/>
      </w:rPr>
    </w:lvl>
    <w:lvl w:ilvl="2">
      <w:start w:val="0"/>
      <w:numFmt w:val="bullet"/>
      <w:lvlText w:val="•"/>
      <w:lvlJc w:val="left"/>
      <w:pPr>
        <w:ind w:left="2363" w:hanging="567"/>
      </w:pPr>
      <w:rPr>
        <w:rFonts w:hint="default"/>
      </w:rPr>
    </w:lvl>
    <w:lvl w:ilvl="3">
      <w:start w:val="0"/>
      <w:numFmt w:val="bullet"/>
      <w:lvlText w:val="•"/>
      <w:lvlJc w:val="left"/>
      <w:pPr>
        <w:ind w:left="2987" w:hanging="567"/>
      </w:pPr>
      <w:rPr>
        <w:rFonts w:hint="default"/>
      </w:rPr>
    </w:lvl>
    <w:lvl w:ilvl="4">
      <w:start w:val="0"/>
      <w:numFmt w:val="bullet"/>
      <w:lvlText w:val="•"/>
      <w:lvlJc w:val="left"/>
      <w:pPr>
        <w:ind w:left="3611" w:hanging="567"/>
      </w:pPr>
      <w:rPr>
        <w:rFonts w:hint="default"/>
      </w:rPr>
    </w:lvl>
    <w:lvl w:ilvl="5">
      <w:start w:val="0"/>
      <w:numFmt w:val="bullet"/>
      <w:lvlText w:val="•"/>
      <w:lvlJc w:val="left"/>
      <w:pPr>
        <w:ind w:left="4235" w:hanging="567"/>
      </w:pPr>
      <w:rPr>
        <w:rFonts w:hint="default"/>
      </w:rPr>
    </w:lvl>
    <w:lvl w:ilvl="6">
      <w:start w:val="0"/>
      <w:numFmt w:val="bullet"/>
      <w:lvlText w:val="•"/>
      <w:lvlJc w:val="left"/>
      <w:pPr>
        <w:ind w:left="4859" w:hanging="567"/>
      </w:pPr>
      <w:rPr>
        <w:rFonts w:hint="default"/>
      </w:rPr>
    </w:lvl>
    <w:lvl w:ilvl="7">
      <w:start w:val="0"/>
      <w:numFmt w:val="bullet"/>
      <w:lvlText w:val="•"/>
      <w:lvlJc w:val="left"/>
      <w:pPr>
        <w:ind w:left="5483" w:hanging="567"/>
      </w:pPr>
      <w:rPr>
        <w:rFonts w:hint="default"/>
      </w:rPr>
    </w:lvl>
    <w:lvl w:ilvl="8">
      <w:start w:val="0"/>
      <w:numFmt w:val="bullet"/>
      <w:lvlText w:val="•"/>
      <w:lvlJc w:val="left"/>
      <w:pPr>
        <w:ind w:left="6107" w:hanging="567"/>
      </w:pPr>
      <w:rPr>
        <w:rFonts w:hint="default"/>
      </w:rPr>
    </w:lvl>
  </w:abstractNum>
  <w:abstractNum w:abstractNumId="855">
    <w:multiLevelType w:val="hybridMultilevel"/>
    <w:lvl w:ilvl="0">
      <w:start w:val="1"/>
      <w:numFmt w:val="lowerLetter"/>
      <w:lvlText w:val="(%1)"/>
      <w:lvlJc w:val="left"/>
      <w:pPr>
        <w:ind w:left="1174"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741" w:hanging="568"/>
      </w:pPr>
      <w:rPr>
        <w:rFonts w:hint="default" w:ascii="Times New Roman" w:hAnsi="Times New Roman" w:eastAsia="Times New Roman" w:cs="Times New Roman"/>
        <w:spacing w:val="-1"/>
        <w:w w:val="100"/>
        <w:sz w:val="24"/>
        <w:szCs w:val="24"/>
      </w:rPr>
    </w:lvl>
    <w:lvl w:ilvl="2">
      <w:start w:val="0"/>
      <w:numFmt w:val="bullet"/>
      <w:lvlText w:val="•"/>
      <w:lvlJc w:val="left"/>
      <w:pPr>
        <w:ind w:left="2363" w:hanging="568"/>
      </w:pPr>
      <w:rPr>
        <w:rFonts w:hint="default"/>
      </w:rPr>
    </w:lvl>
    <w:lvl w:ilvl="3">
      <w:start w:val="0"/>
      <w:numFmt w:val="bullet"/>
      <w:lvlText w:val="•"/>
      <w:lvlJc w:val="left"/>
      <w:pPr>
        <w:ind w:left="2987" w:hanging="568"/>
      </w:pPr>
      <w:rPr>
        <w:rFonts w:hint="default"/>
      </w:rPr>
    </w:lvl>
    <w:lvl w:ilvl="4">
      <w:start w:val="0"/>
      <w:numFmt w:val="bullet"/>
      <w:lvlText w:val="•"/>
      <w:lvlJc w:val="left"/>
      <w:pPr>
        <w:ind w:left="3611" w:hanging="568"/>
      </w:pPr>
      <w:rPr>
        <w:rFonts w:hint="default"/>
      </w:rPr>
    </w:lvl>
    <w:lvl w:ilvl="5">
      <w:start w:val="0"/>
      <w:numFmt w:val="bullet"/>
      <w:lvlText w:val="•"/>
      <w:lvlJc w:val="left"/>
      <w:pPr>
        <w:ind w:left="4235" w:hanging="568"/>
      </w:pPr>
      <w:rPr>
        <w:rFonts w:hint="default"/>
      </w:rPr>
    </w:lvl>
    <w:lvl w:ilvl="6">
      <w:start w:val="0"/>
      <w:numFmt w:val="bullet"/>
      <w:lvlText w:val="•"/>
      <w:lvlJc w:val="left"/>
      <w:pPr>
        <w:ind w:left="4859" w:hanging="568"/>
      </w:pPr>
      <w:rPr>
        <w:rFonts w:hint="default"/>
      </w:rPr>
    </w:lvl>
    <w:lvl w:ilvl="7">
      <w:start w:val="0"/>
      <w:numFmt w:val="bullet"/>
      <w:lvlText w:val="•"/>
      <w:lvlJc w:val="left"/>
      <w:pPr>
        <w:ind w:left="5483" w:hanging="568"/>
      </w:pPr>
      <w:rPr>
        <w:rFonts w:hint="default"/>
      </w:rPr>
    </w:lvl>
    <w:lvl w:ilvl="8">
      <w:start w:val="0"/>
      <w:numFmt w:val="bullet"/>
      <w:lvlText w:val="•"/>
      <w:lvlJc w:val="left"/>
      <w:pPr>
        <w:ind w:left="6107" w:hanging="568"/>
      </w:pPr>
      <w:rPr>
        <w:rFonts w:hint="default"/>
      </w:rPr>
    </w:lvl>
  </w:abstractNum>
  <w:abstractNum w:abstractNumId="85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53">
    <w:multiLevelType w:val="hybridMultilevel"/>
    <w:lvl w:ilvl="0">
      <w:start w:val="11"/>
      <w:numFmt w:val="decimal"/>
      <w:lvlText w:val="%1"/>
      <w:lvlJc w:val="left"/>
      <w:pPr>
        <w:ind w:left="1351" w:hanging="1134"/>
        <w:jc w:val="left"/>
      </w:pPr>
      <w:rPr>
        <w:rFonts w:hint="default"/>
      </w:rPr>
    </w:lvl>
    <w:lvl w:ilvl="1">
      <w:start w:val="103"/>
      <w:numFmt w:val="decimal"/>
      <w:lvlText w:val="%1.%2"/>
      <w:lvlJc w:val="left"/>
      <w:pPr>
        <w:ind w:left="1351" w:hanging="1134"/>
        <w:jc w:val="left"/>
      </w:pPr>
      <w:rPr>
        <w:rFonts w:hint="default"/>
      </w:rPr>
    </w:lvl>
    <w:lvl w:ilvl="2">
      <w:start w:val="4"/>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7"/>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852">
    <w:multiLevelType w:val="hybridMultilevel"/>
    <w:lvl w:ilvl="0">
      <w:start w:val="11"/>
      <w:numFmt w:val="decimal"/>
      <w:lvlText w:val="%1"/>
      <w:lvlJc w:val="left"/>
      <w:pPr>
        <w:ind w:left="1351" w:hanging="1134"/>
        <w:jc w:val="left"/>
      </w:pPr>
      <w:rPr>
        <w:rFonts w:hint="default"/>
      </w:rPr>
    </w:lvl>
    <w:lvl w:ilvl="1">
      <w:start w:val="103"/>
      <w:numFmt w:val="decimal"/>
      <w:lvlText w:val="%1.%2"/>
      <w:lvlJc w:val="left"/>
      <w:pPr>
        <w:ind w:left="1351" w:hanging="1134"/>
        <w:jc w:val="left"/>
      </w:pPr>
      <w:rPr>
        <w:rFonts w:hint="default"/>
      </w:rPr>
    </w:lvl>
    <w:lvl w:ilvl="2">
      <w:start w:val="3"/>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6"/>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85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5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9">
    <w:multiLevelType w:val="hybridMultilevel"/>
    <w:lvl w:ilvl="0">
      <w:start w:val="11"/>
      <w:numFmt w:val="decimal"/>
      <w:lvlText w:val="%1"/>
      <w:lvlJc w:val="left"/>
      <w:pPr>
        <w:ind w:left="1352" w:hanging="1135"/>
        <w:jc w:val="left"/>
      </w:pPr>
      <w:rPr>
        <w:rFonts w:hint="default"/>
      </w:rPr>
    </w:lvl>
    <w:lvl w:ilvl="1">
      <w:start w:val="97"/>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418" w:hanging="1201"/>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30"/>
        <w:w w:val="100"/>
        <w:sz w:val="24"/>
        <w:szCs w:val="24"/>
      </w:rPr>
    </w:lvl>
    <w:lvl w:ilvl="6">
      <w:start w:val="1"/>
      <w:numFmt w:val="upperLetter"/>
      <w:lvlText w:val="(%7)"/>
      <w:lvlJc w:val="left"/>
      <w:pPr>
        <w:ind w:left="3620" w:hanging="567"/>
        <w:jc w:val="left"/>
      </w:pPr>
      <w:rPr>
        <w:rFonts w:hint="default" w:ascii="Times New Roman" w:hAnsi="Times New Roman" w:eastAsia="Times New Roman" w:cs="Times New Roman"/>
        <w:spacing w:val="-7"/>
        <w:w w:val="100"/>
        <w:sz w:val="24"/>
        <w:szCs w:val="24"/>
      </w:rPr>
    </w:lvl>
    <w:lvl w:ilvl="7">
      <w:start w:val="0"/>
      <w:numFmt w:val="bullet"/>
      <w:lvlText w:val="•"/>
      <w:lvlJc w:val="left"/>
      <w:pPr>
        <w:ind w:left="6054" w:hanging="567"/>
      </w:pPr>
      <w:rPr>
        <w:rFonts w:hint="default"/>
      </w:rPr>
    </w:lvl>
    <w:lvl w:ilvl="8">
      <w:start w:val="0"/>
      <w:numFmt w:val="bullet"/>
      <w:lvlText w:val="•"/>
      <w:lvlJc w:val="left"/>
      <w:pPr>
        <w:ind w:left="7272" w:hanging="567"/>
      </w:pPr>
      <w:rPr>
        <w:rFonts w:hint="default"/>
      </w:rPr>
    </w:lvl>
  </w:abstractNum>
  <w:abstractNum w:abstractNumId="84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6">
    <w:multiLevelType w:val="hybridMultilevel"/>
    <w:lvl w:ilvl="0">
      <w:start w:val="11"/>
      <w:numFmt w:val="decimal"/>
      <w:lvlText w:val="%1"/>
      <w:lvlJc w:val="left"/>
      <w:pPr>
        <w:ind w:left="1352" w:hanging="1135"/>
        <w:jc w:val="left"/>
      </w:pPr>
      <w:rPr>
        <w:rFonts w:hint="default"/>
      </w:rPr>
    </w:lvl>
    <w:lvl w:ilvl="1">
      <w:start w:val="93"/>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30"/>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845">
    <w:multiLevelType w:val="hybridMultilevel"/>
    <w:lvl w:ilvl="0">
      <w:start w:val="11"/>
      <w:numFmt w:val="decimal"/>
      <w:lvlText w:val="%1"/>
      <w:lvlJc w:val="left"/>
      <w:pPr>
        <w:ind w:left="1351" w:hanging="1134"/>
        <w:jc w:val="left"/>
      </w:pPr>
      <w:rPr>
        <w:rFonts w:hint="default"/>
      </w:rPr>
    </w:lvl>
    <w:lvl w:ilvl="1">
      <w:start w:val="86"/>
      <w:numFmt w:val="decimal"/>
      <w:lvlText w:val="%1.%2"/>
      <w:lvlJc w:val="left"/>
      <w:pPr>
        <w:ind w:left="1351" w:hanging="1134"/>
        <w:jc w:val="left"/>
      </w:pPr>
      <w:rPr>
        <w:rFonts w:hint="default"/>
      </w:rPr>
    </w:lvl>
    <w:lvl w:ilvl="2">
      <w:start w:val="8"/>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844">
    <w:multiLevelType w:val="hybridMultilevel"/>
    <w:lvl w:ilvl="0">
      <w:start w:val="11"/>
      <w:numFmt w:val="decimal"/>
      <w:lvlText w:val="%1"/>
      <w:lvlJc w:val="left"/>
      <w:pPr>
        <w:ind w:left="1352" w:hanging="1135"/>
        <w:jc w:val="left"/>
      </w:pPr>
      <w:rPr>
        <w:rFonts w:hint="default"/>
      </w:rPr>
    </w:lvl>
    <w:lvl w:ilvl="1">
      <w:start w:val="85"/>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843">
    <w:multiLevelType w:val="hybridMultilevel"/>
    <w:lvl w:ilvl="0">
      <w:start w:val="11"/>
      <w:numFmt w:val="decimal"/>
      <w:lvlText w:val="%1"/>
      <w:lvlJc w:val="left"/>
      <w:pPr>
        <w:ind w:left="1352" w:hanging="1135"/>
        <w:jc w:val="left"/>
      </w:pPr>
      <w:rPr>
        <w:rFonts w:hint="default"/>
      </w:rPr>
    </w:lvl>
    <w:lvl w:ilvl="1">
      <w:start w:val="82"/>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lowerRoman"/>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84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1918" w:hanging="567"/>
        <w:jc w:val="left"/>
      </w:pPr>
      <w:rPr>
        <w:rFonts w:hint="default" w:ascii="Times New Roman" w:hAnsi="Times New Roman" w:eastAsia="Times New Roman" w:cs="Times New Roman"/>
        <w:w w:val="100"/>
        <w:sz w:val="24"/>
        <w:szCs w:val="24"/>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7"/>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3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3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2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2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1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0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01">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2485"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0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7">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100" w:hanging="567"/>
      </w:pPr>
      <w:rPr>
        <w:rFonts w:hint="default"/>
      </w:rPr>
    </w:lvl>
    <w:lvl w:ilvl="2">
      <w:start w:val="0"/>
      <w:numFmt w:val="bullet"/>
      <w:lvlText w:val="•"/>
      <w:lvlJc w:val="left"/>
      <w:pPr>
        <w:ind w:left="2945" w:hanging="567"/>
      </w:pPr>
      <w:rPr>
        <w:rFonts w:hint="default"/>
      </w:rPr>
    </w:lvl>
    <w:lvl w:ilvl="3">
      <w:start w:val="0"/>
      <w:numFmt w:val="bullet"/>
      <w:lvlText w:val="•"/>
      <w:lvlJc w:val="left"/>
      <w:pPr>
        <w:ind w:left="3790" w:hanging="567"/>
      </w:pPr>
      <w:rPr>
        <w:rFonts w:hint="default"/>
      </w:rPr>
    </w:lvl>
    <w:lvl w:ilvl="4">
      <w:start w:val="0"/>
      <w:numFmt w:val="bullet"/>
      <w:lvlText w:val="•"/>
      <w:lvlJc w:val="left"/>
      <w:pPr>
        <w:ind w:left="4635" w:hanging="567"/>
      </w:pPr>
      <w:rPr>
        <w:rFonts w:hint="default"/>
      </w:rPr>
    </w:lvl>
    <w:lvl w:ilvl="5">
      <w:start w:val="0"/>
      <w:numFmt w:val="bullet"/>
      <w:lvlText w:val="•"/>
      <w:lvlJc w:val="left"/>
      <w:pPr>
        <w:ind w:left="5480" w:hanging="567"/>
      </w:pPr>
      <w:rPr>
        <w:rFonts w:hint="default"/>
      </w:rPr>
    </w:lvl>
    <w:lvl w:ilvl="6">
      <w:start w:val="0"/>
      <w:numFmt w:val="bullet"/>
      <w:lvlText w:val="•"/>
      <w:lvlJc w:val="left"/>
      <w:pPr>
        <w:ind w:left="6326" w:hanging="567"/>
      </w:pPr>
      <w:rPr>
        <w:rFonts w:hint="default"/>
      </w:rPr>
    </w:lvl>
    <w:lvl w:ilvl="7">
      <w:start w:val="0"/>
      <w:numFmt w:val="bullet"/>
      <w:lvlText w:val="•"/>
      <w:lvlJc w:val="left"/>
      <w:pPr>
        <w:ind w:left="7171" w:hanging="567"/>
      </w:pPr>
      <w:rPr>
        <w:rFonts w:hint="default"/>
      </w:rPr>
    </w:lvl>
    <w:lvl w:ilvl="8">
      <w:start w:val="0"/>
      <w:numFmt w:val="bullet"/>
      <w:lvlText w:val="•"/>
      <w:lvlJc w:val="left"/>
      <w:pPr>
        <w:ind w:left="8016" w:hanging="567"/>
      </w:pPr>
      <w:rPr>
        <w:rFonts w:hint="default"/>
      </w:rPr>
    </w:lvl>
  </w:abstractNum>
  <w:abstractNum w:abstractNumId="79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9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9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8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82">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77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7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7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7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6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5">
    <w:multiLevelType w:val="hybridMultilevel"/>
    <w:lvl w:ilvl="0">
      <w:start w:val="1"/>
      <w:numFmt w:val="decimal"/>
      <w:lvlText w:val="(%1)"/>
      <w:lvlJc w:val="left"/>
      <w:pPr>
        <w:ind w:left="1352" w:hanging="306"/>
        <w:jc w:val="left"/>
      </w:pPr>
      <w:rPr>
        <w:rFonts w:hint="default" w:ascii="Times New Roman" w:hAnsi="Times New Roman" w:eastAsia="Times New Roman" w:cs="Times New Roman"/>
        <w:w w:val="100"/>
        <w:sz w:val="20"/>
        <w:szCs w:val="20"/>
      </w:rPr>
    </w:lvl>
    <w:lvl w:ilvl="1">
      <w:start w:val="0"/>
      <w:numFmt w:val="bullet"/>
      <w:lvlText w:val="•"/>
      <w:lvlJc w:val="left"/>
      <w:pPr>
        <w:ind w:left="2194" w:hanging="306"/>
      </w:pPr>
      <w:rPr>
        <w:rFonts w:hint="default"/>
      </w:rPr>
    </w:lvl>
    <w:lvl w:ilvl="2">
      <w:start w:val="0"/>
      <w:numFmt w:val="bullet"/>
      <w:lvlText w:val="•"/>
      <w:lvlJc w:val="left"/>
      <w:pPr>
        <w:ind w:left="3029" w:hanging="306"/>
      </w:pPr>
      <w:rPr>
        <w:rFonts w:hint="default"/>
      </w:rPr>
    </w:lvl>
    <w:lvl w:ilvl="3">
      <w:start w:val="0"/>
      <w:numFmt w:val="bullet"/>
      <w:lvlText w:val="•"/>
      <w:lvlJc w:val="left"/>
      <w:pPr>
        <w:ind w:left="3864" w:hanging="306"/>
      </w:pPr>
      <w:rPr>
        <w:rFonts w:hint="default"/>
      </w:rPr>
    </w:lvl>
    <w:lvl w:ilvl="4">
      <w:start w:val="0"/>
      <w:numFmt w:val="bullet"/>
      <w:lvlText w:val="•"/>
      <w:lvlJc w:val="left"/>
      <w:pPr>
        <w:ind w:left="4698" w:hanging="306"/>
      </w:pPr>
      <w:rPr>
        <w:rFonts w:hint="default"/>
      </w:rPr>
    </w:lvl>
    <w:lvl w:ilvl="5">
      <w:start w:val="0"/>
      <w:numFmt w:val="bullet"/>
      <w:lvlText w:val="•"/>
      <w:lvlJc w:val="left"/>
      <w:pPr>
        <w:ind w:left="5533" w:hanging="306"/>
      </w:pPr>
      <w:rPr>
        <w:rFonts w:hint="default"/>
      </w:rPr>
    </w:lvl>
    <w:lvl w:ilvl="6">
      <w:start w:val="0"/>
      <w:numFmt w:val="bullet"/>
      <w:lvlText w:val="•"/>
      <w:lvlJc w:val="left"/>
      <w:pPr>
        <w:ind w:left="6368" w:hanging="306"/>
      </w:pPr>
      <w:rPr>
        <w:rFonts w:hint="default"/>
      </w:rPr>
    </w:lvl>
    <w:lvl w:ilvl="7">
      <w:start w:val="0"/>
      <w:numFmt w:val="bullet"/>
      <w:lvlText w:val="•"/>
      <w:lvlJc w:val="left"/>
      <w:pPr>
        <w:ind w:left="7202" w:hanging="306"/>
      </w:pPr>
      <w:rPr>
        <w:rFonts w:hint="default"/>
      </w:rPr>
    </w:lvl>
    <w:lvl w:ilvl="8">
      <w:start w:val="0"/>
      <w:numFmt w:val="bullet"/>
      <w:lvlText w:val="•"/>
      <w:lvlJc w:val="left"/>
      <w:pPr>
        <w:ind w:left="8037" w:hanging="306"/>
      </w:pPr>
      <w:rPr>
        <w:rFonts w:hint="default"/>
      </w:rPr>
    </w:lvl>
  </w:abstractNum>
  <w:abstractNum w:abstractNumId="76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8">
    <w:multiLevelType w:val="hybridMultilevel"/>
    <w:lvl w:ilvl="0">
      <w:start w:val="1"/>
      <w:numFmt w:val="lowerLetter"/>
      <w:lvlText w:val="(%1)"/>
      <w:lvlJc w:val="left"/>
      <w:pPr>
        <w:ind w:left="784" w:hanging="567"/>
        <w:jc w:val="right"/>
      </w:pPr>
      <w:rPr>
        <w:rFonts w:hint="default" w:ascii="Times New Roman" w:hAnsi="Times New Roman" w:eastAsia="Times New Roman" w:cs="Times New Roman"/>
        <w:spacing w:val="-1"/>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157" w:hanging="567"/>
      </w:pPr>
      <w:rPr>
        <w:rFonts w:hint="default"/>
      </w:rPr>
    </w:lvl>
    <w:lvl w:ilvl="3">
      <w:start w:val="0"/>
      <w:numFmt w:val="bullet"/>
      <w:lvlText w:val="•"/>
      <w:lvlJc w:val="left"/>
      <w:pPr>
        <w:ind w:left="3834" w:hanging="567"/>
      </w:pPr>
      <w:rPr>
        <w:rFonts w:hint="default"/>
      </w:rPr>
    </w:lvl>
    <w:lvl w:ilvl="4">
      <w:start w:val="0"/>
      <w:numFmt w:val="bullet"/>
      <w:lvlText w:val="•"/>
      <w:lvlJc w:val="left"/>
      <w:pPr>
        <w:ind w:left="4511" w:hanging="567"/>
      </w:pPr>
      <w:rPr>
        <w:rFonts w:hint="default"/>
      </w:rPr>
    </w:lvl>
    <w:lvl w:ilvl="5">
      <w:start w:val="0"/>
      <w:numFmt w:val="bullet"/>
      <w:lvlText w:val="•"/>
      <w:lvlJc w:val="left"/>
      <w:pPr>
        <w:ind w:left="5188" w:hanging="567"/>
      </w:pPr>
      <w:rPr>
        <w:rFonts w:hint="default"/>
      </w:rPr>
    </w:lvl>
    <w:lvl w:ilvl="6">
      <w:start w:val="0"/>
      <w:numFmt w:val="bullet"/>
      <w:lvlText w:val="•"/>
      <w:lvlJc w:val="left"/>
      <w:pPr>
        <w:ind w:left="5865" w:hanging="567"/>
      </w:pPr>
      <w:rPr>
        <w:rFonts w:hint="default"/>
      </w:rPr>
    </w:lvl>
    <w:lvl w:ilvl="7">
      <w:start w:val="0"/>
      <w:numFmt w:val="bullet"/>
      <w:lvlText w:val="•"/>
      <w:lvlJc w:val="left"/>
      <w:pPr>
        <w:ind w:left="6542" w:hanging="567"/>
      </w:pPr>
      <w:rPr>
        <w:rFonts w:hint="default"/>
      </w:rPr>
    </w:lvl>
    <w:lvl w:ilvl="8">
      <w:start w:val="0"/>
      <w:numFmt w:val="bullet"/>
      <w:lvlText w:val="•"/>
      <w:lvlJc w:val="left"/>
      <w:pPr>
        <w:ind w:left="7219" w:hanging="567"/>
      </w:pPr>
      <w:rPr>
        <w:rFonts w:hint="default"/>
      </w:rPr>
    </w:lvl>
  </w:abstractNum>
  <w:abstractNum w:abstractNumId="757">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1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5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5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4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4">
    <w:multiLevelType w:val="hybridMultilevel"/>
    <w:lvl w:ilvl="0">
      <w:start w:val="1"/>
      <w:numFmt w:val="lowerLetter"/>
      <w:lvlText w:val="(%1)"/>
      <w:lvlJc w:val="left"/>
      <w:pPr>
        <w:ind w:left="648" w:hanging="567"/>
        <w:jc w:val="left"/>
      </w:pPr>
      <w:rPr>
        <w:rFonts w:hint="default" w:ascii="Times New Roman" w:hAnsi="Times New Roman" w:eastAsia="Times New Roman" w:cs="Times New Roman"/>
        <w:spacing w:val="-1"/>
        <w:w w:val="100"/>
        <w:sz w:val="24"/>
        <w:szCs w:val="24"/>
      </w:rPr>
    </w:lvl>
    <w:lvl w:ilvl="1">
      <w:start w:val="1"/>
      <w:numFmt w:val="lowerLetter"/>
      <w:lvlText w:val="(%2)"/>
      <w:lvlJc w:val="left"/>
      <w:pPr>
        <w:ind w:left="1979" w:hanging="628"/>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697" w:hanging="628"/>
      </w:pPr>
      <w:rPr>
        <w:rFonts w:hint="default"/>
      </w:rPr>
    </w:lvl>
    <w:lvl w:ilvl="3">
      <w:start w:val="0"/>
      <w:numFmt w:val="bullet"/>
      <w:lvlText w:val="•"/>
      <w:lvlJc w:val="left"/>
      <w:pPr>
        <w:ind w:left="3414" w:hanging="628"/>
      </w:pPr>
      <w:rPr>
        <w:rFonts w:hint="default"/>
      </w:rPr>
    </w:lvl>
    <w:lvl w:ilvl="4">
      <w:start w:val="0"/>
      <w:numFmt w:val="bullet"/>
      <w:lvlText w:val="•"/>
      <w:lvlJc w:val="left"/>
      <w:pPr>
        <w:ind w:left="4132" w:hanging="628"/>
      </w:pPr>
      <w:rPr>
        <w:rFonts w:hint="default"/>
      </w:rPr>
    </w:lvl>
    <w:lvl w:ilvl="5">
      <w:start w:val="0"/>
      <w:numFmt w:val="bullet"/>
      <w:lvlText w:val="•"/>
      <w:lvlJc w:val="left"/>
      <w:pPr>
        <w:ind w:left="4849" w:hanging="628"/>
      </w:pPr>
      <w:rPr>
        <w:rFonts w:hint="default"/>
      </w:rPr>
    </w:lvl>
    <w:lvl w:ilvl="6">
      <w:start w:val="0"/>
      <w:numFmt w:val="bullet"/>
      <w:lvlText w:val="•"/>
      <w:lvlJc w:val="left"/>
      <w:pPr>
        <w:ind w:left="5566" w:hanging="628"/>
      </w:pPr>
      <w:rPr>
        <w:rFonts w:hint="default"/>
      </w:rPr>
    </w:lvl>
    <w:lvl w:ilvl="7">
      <w:start w:val="0"/>
      <w:numFmt w:val="bullet"/>
      <w:lvlText w:val="•"/>
      <w:lvlJc w:val="left"/>
      <w:pPr>
        <w:ind w:left="6284" w:hanging="628"/>
      </w:pPr>
      <w:rPr>
        <w:rFonts w:hint="default"/>
      </w:rPr>
    </w:lvl>
    <w:lvl w:ilvl="8">
      <w:start w:val="0"/>
      <w:numFmt w:val="bullet"/>
      <w:lvlText w:val="•"/>
      <w:lvlJc w:val="left"/>
      <w:pPr>
        <w:ind w:left="7001" w:hanging="628"/>
      </w:pPr>
      <w:rPr>
        <w:rFonts w:hint="default"/>
      </w:rPr>
    </w:lvl>
  </w:abstractNum>
  <w:abstractNum w:abstractNumId="743">
    <w:multiLevelType w:val="hybridMultilevel"/>
    <w:lvl w:ilvl="0">
      <w:start w:val="1"/>
      <w:numFmt w:val="lowerLetter"/>
      <w:lvlText w:val="(%1)"/>
      <w:lvlJc w:val="left"/>
      <w:pPr>
        <w:ind w:left="648" w:hanging="567"/>
        <w:jc w:val="left"/>
      </w:pPr>
      <w:rPr>
        <w:rFonts w:hint="default" w:ascii="Times New Roman" w:hAnsi="Times New Roman" w:eastAsia="Times New Roman" w:cs="Times New Roman"/>
        <w:spacing w:val="-9"/>
        <w:w w:val="100"/>
        <w:sz w:val="24"/>
        <w:szCs w:val="24"/>
      </w:rPr>
    </w:lvl>
    <w:lvl w:ilvl="1">
      <w:start w:val="0"/>
      <w:numFmt w:val="bullet"/>
      <w:lvlText w:val="•"/>
      <w:lvlJc w:val="left"/>
      <w:pPr>
        <w:ind w:left="1419" w:hanging="567"/>
      </w:pPr>
      <w:rPr>
        <w:rFonts w:hint="default"/>
      </w:rPr>
    </w:lvl>
    <w:lvl w:ilvl="2">
      <w:start w:val="0"/>
      <w:numFmt w:val="bullet"/>
      <w:lvlText w:val="•"/>
      <w:lvlJc w:val="left"/>
      <w:pPr>
        <w:ind w:left="2199" w:hanging="567"/>
      </w:pPr>
      <w:rPr>
        <w:rFonts w:hint="default"/>
      </w:rPr>
    </w:lvl>
    <w:lvl w:ilvl="3">
      <w:start w:val="0"/>
      <w:numFmt w:val="bullet"/>
      <w:lvlText w:val="•"/>
      <w:lvlJc w:val="left"/>
      <w:pPr>
        <w:ind w:left="2978" w:hanging="567"/>
      </w:pPr>
      <w:rPr>
        <w:rFonts w:hint="default"/>
      </w:rPr>
    </w:lvl>
    <w:lvl w:ilvl="4">
      <w:start w:val="0"/>
      <w:numFmt w:val="bullet"/>
      <w:lvlText w:val="•"/>
      <w:lvlJc w:val="left"/>
      <w:pPr>
        <w:ind w:left="3758" w:hanging="567"/>
      </w:pPr>
      <w:rPr>
        <w:rFonts w:hint="default"/>
      </w:rPr>
    </w:lvl>
    <w:lvl w:ilvl="5">
      <w:start w:val="0"/>
      <w:numFmt w:val="bullet"/>
      <w:lvlText w:val="•"/>
      <w:lvlJc w:val="left"/>
      <w:pPr>
        <w:ind w:left="4538" w:hanging="567"/>
      </w:pPr>
      <w:rPr>
        <w:rFonts w:hint="default"/>
      </w:rPr>
    </w:lvl>
    <w:lvl w:ilvl="6">
      <w:start w:val="0"/>
      <w:numFmt w:val="bullet"/>
      <w:lvlText w:val="•"/>
      <w:lvlJc w:val="left"/>
      <w:pPr>
        <w:ind w:left="5317" w:hanging="567"/>
      </w:pPr>
      <w:rPr>
        <w:rFonts w:hint="default"/>
      </w:rPr>
    </w:lvl>
    <w:lvl w:ilvl="7">
      <w:start w:val="0"/>
      <w:numFmt w:val="bullet"/>
      <w:lvlText w:val="•"/>
      <w:lvlJc w:val="left"/>
      <w:pPr>
        <w:ind w:left="6097" w:hanging="567"/>
      </w:pPr>
      <w:rPr>
        <w:rFonts w:hint="default"/>
      </w:rPr>
    </w:lvl>
    <w:lvl w:ilvl="8">
      <w:start w:val="0"/>
      <w:numFmt w:val="bullet"/>
      <w:lvlText w:val="•"/>
      <w:lvlJc w:val="left"/>
      <w:pPr>
        <w:ind w:left="6877" w:hanging="567"/>
      </w:pPr>
      <w:rPr>
        <w:rFonts w:hint="default"/>
      </w:rPr>
    </w:lvl>
  </w:abstractNum>
  <w:abstractNum w:abstractNumId="74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0">
    <w:multiLevelType w:val="hybridMultilevel"/>
    <w:lvl w:ilvl="0">
      <w:start w:val="1"/>
      <w:numFmt w:val="lowerLetter"/>
      <w:lvlText w:val="(%1)"/>
      <w:lvlJc w:val="left"/>
      <w:pPr>
        <w:ind w:left="734"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1918"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653" w:hanging="567"/>
      </w:pPr>
      <w:rPr>
        <w:rFonts w:hint="default"/>
      </w:rPr>
    </w:lvl>
    <w:lvl w:ilvl="3">
      <w:start w:val="0"/>
      <w:numFmt w:val="bullet"/>
      <w:lvlText w:val="•"/>
      <w:lvlJc w:val="left"/>
      <w:pPr>
        <w:ind w:left="3387" w:hanging="567"/>
      </w:pPr>
      <w:rPr>
        <w:rFonts w:hint="default"/>
      </w:rPr>
    </w:lvl>
    <w:lvl w:ilvl="4">
      <w:start w:val="0"/>
      <w:numFmt w:val="bullet"/>
      <w:lvlText w:val="•"/>
      <w:lvlJc w:val="left"/>
      <w:pPr>
        <w:ind w:left="4120" w:hanging="567"/>
      </w:pPr>
      <w:rPr>
        <w:rFonts w:hint="default"/>
      </w:rPr>
    </w:lvl>
    <w:lvl w:ilvl="5">
      <w:start w:val="0"/>
      <w:numFmt w:val="bullet"/>
      <w:lvlText w:val="•"/>
      <w:lvlJc w:val="left"/>
      <w:pPr>
        <w:ind w:left="4854" w:hanging="567"/>
      </w:pPr>
      <w:rPr>
        <w:rFonts w:hint="default"/>
      </w:rPr>
    </w:lvl>
    <w:lvl w:ilvl="6">
      <w:start w:val="0"/>
      <w:numFmt w:val="bullet"/>
      <w:lvlText w:val="•"/>
      <w:lvlJc w:val="left"/>
      <w:pPr>
        <w:ind w:left="5587" w:hanging="567"/>
      </w:pPr>
      <w:rPr>
        <w:rFonts w:hint="default"/>
      </w:rPr>
    </w:lvl>
    <w:lvl w:ilvl="7">
      <w:start w:val="0"/>
      <w:numFmt w:val="bullet"/>
      <w:lvlText w:val="•"/>
      <w:lvlJc w:val="left"/>
      <w:pPr>
        <w:ind w:left="6321" w:hanging="567"/>
      </w:pPr>
      <w:rPr>
        <w:rFonts w:hint="default"/>
      </w:rPr>
    </w:lvl>
    <w:lvl w:ilvl="8">
      <w:start w:val="0"/>
      <w:numFmt w:val="bullet"/>
      <w:lvlText w:val="•"/>
      <w:lvlJc w:val="left"/>
      <w:pPr>
        <w:ind w:left="7055" w:hanging="567"/>
      </w:pPr>
      <w:rPr>
        <w:rFonts w:hint="default"/>
      </w:rPr>
    </w:lvl>
  </w:abstractNum>
  <w:abstractNum w:abstractNumId="739">
    <w:multiLevelType w:val="hybridMultilevel"/>
    <w:lvl w:ilvl="0">
      <w:start w:val="1"/>
      <w:numFmt w:val="lowerLetter"/>
      <w:lvlText w:val="(%1)"/>
      <w:lvlJc w:val="left"/>
      <w:pPr>
        <w:ind w:left="784" w:hanging="567"/>
        <w:jc w:val="left"/>
      </w:pPr>
      <w:rPr>
        <w:rFonts w:hint="default" w:ascii="Times New Roman" w:hAnsi="Times New Roman" w:eastAsia="Times New Roman" w:cs="Times New Roman"/>
        <w:spacing w:val="-1"/>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3"/>
        <w:w w:val="100"/>
        <w:sz w:val="24"/>
        <w:szCs w:val="24"/>
      </w:rPr>
    </w:lvl>
    <w:lvl w:ilvl="2">
      <w:start w:val="0"/>
      <w:numFmt w:val="bullet"/>
      <w:lvlText w:val="•"/>
      <w:lvlJc w:val="left"/>
      <w:pPr>
        <w:ind w:left="2659" w:hanging="567"/>
      </w:pPr>
      <w:rPr>
        <w:rFonts w:hint="default"/>
      </w:rPr>
    </w:lvl>
    <w:lvl w:ilvl="3">
      <w:start w:val="0"/>
      <w:numFmt w:val="bullet"/>
      <w:lvlText w:val="•"/>
      <w:lvlJc w:val="left"/>
      <w:pPr>
        <w:ind w:left="3398" w:hanging="567"/>
      </w:pPr>
      <w:rPr>
        <w:rFonts w:hint="default"/>
      </w:rPr>
    </w:lvl>
    <w:lvl w:ilvl="4">
      <w:start w:val="0"/>
      <w:numFmt w:val="bullet"/>
      <w:lvlText w:val="•"/>
      <w:lvlJc w:val="left"/>
      <w:pPr>
        <w:ind w:left="4137" w:hanging="567"/>
      </w:pPr>
      <w:rPr>
        <w:rFonts w:hint="default"/>
      </w:rPr>
    </w:lvl>
    <w:lvl w:ilvl="5">
      <w:start w:val="0"/>
      <w:numFmt w:val="bullet"/>
      <w:lvlText w:val="•"/>
      <w:lvlJc w:val="left"/>
      <w:pPr>
        <w:ind w:left="4876" w:hanging="567"/>
      </w:pPr>
      <w:rPr>
        <w:rFonts w:hint="default"/>
      </w:rPr>
    </w:lvl>
    <w:lvl w:ilvl="6">
      <w:start w:val="0"/>
      <w:numFmt w:val="bullet"/>
      <w:lvlText w:val="•"/>
      <w:lvlJc w:val="left"/>
      <w:pPr>
        <w:ind w:left="5616" w:hanging="567"/>
      </w:pPr>
      <w:rPr>
        <w:rFonts w:hint="default"/>
      </w:rPr>
    </w:lvl>
    <w:lvl w:ilvl="7">
      <w:start w:val="0"/>
      <w:numFmt w:val="bullet"/>
      <w:lvlText w:val="•"/>
      <w:lvlJc w:val="left"/>
      <w:pPr>
        <w:ind w:left="6355" w:hanging="567"/>
      </w:pPr>
      <w:rPr>
        <w:rFonts w:hint="default"/>
      </w:rPr>
    </w:lvl>
    <w:lvl w:ilvl="8">
      <w:start w:val="0"/>
      <w:numFmt w:val="bullet"/>
      <w:lvlText w:val="•"/>
      <w:lvlJc w:val="left"/>
      <w:pPr>
        <w:ind w:left="7094" w:hanging="567"/>
      </w:pPr>
      <w:rPr>
        <w:rFonts w:hint="default"/>
      </w:rPr>
    </w:lvl>
  </w:abstractNum>
  <w:abstractNum w:abstractNumId="73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8">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25">
    <w:multiLevelType w:val="hybridMultilevel"/>
    <w:lvl w:ilvl="0">
      <w:start w:val="1"/>
      <w:numFmt w:val="lowerLetter"/>
      <w:lvlText w:val="(%1)"/>
      <w:lvlJc w:val="left"/>
      <w:pPr>
        <w:ind w:left="700" w:hanging="567"/>
        <w:jc w:val="left"/>
      </w:pPr>
      <w:rPr>
        <w:rFonts w:hint="default" w:ascii="Times New Roman" w:hAnsi="Times New Roman" w:eastAsia="Times New Roman" w:cs="Times New Roman"/>
        <w:spacing w:val="-1"/>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1"/>
        <w:w w:val="100"/>
        <w:sz w:val="24"/>
        <w:szCs w:val="24"/>
      </w:rPr>
    </w:lvl>
    <w:lvl w:ilvl="2">
      <w:start w:val="1"/>
      <w:numFmt w:val="decimal"/>
      <w:lvlText w:val="(%3)"/>
      <w:lvlJc w:val="left"/>
      <w:pPr>
        <w:ind w:left="2485"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231" w:hanging="567"/>
      </w:pPr>
      <w:rPr>
        <w:rFonts w:hint="default"/>
      </w:rPr>
    </w:lvl>
    <w:lvl w:ilvl="4">
      <w:start w:val="0"/>
      <w:numFmt w:val="bullet"/>
      <w:lvlText w:val="•"/>
      <w:lvlJc w:val="left"/>
      <w:pPr>
        <w:ind w:left="3982" w:hanging="567"/>
      </w:pPr>
      <w:rPr>
        <w:rFonts w:hint="default"/>
      </w:rPr>
    </w:lvl>
    <w:lvl w:ilvl="5">
      <w:start w:val="0"/>
      <w:numFmt w:val="bullet"/>
      <w:lvlText w:val="•"/>
      <w:lvlJc w:val="left"/>
      <w:pPr>
        <w:ind w:left="4733" w:hanging="567"/>
      </w:pPr>
      <w:rPr>
        <w:rFonts w:hint="default"/>
      </w:rPr>
    </w:lvl>
    <w:lvl w:ilvl="6">
      <w:start w:val="0"/>
      <w:numFmt w:val="bullet"/>
      <w:lvlText w:val="•"/>
      <w:lvlJc w:val="left"/>
      <w:pPr>
        <w:ind w:left="5484" w:hanging="567"/>
      </w:pPr>
      <w:rPr>
        <w:rFonts w:hint="default"/>
      </w:rPr>
    </w:lvl>
    <w:lvl w:ilvl="7">
      <w:start w:val="0"/>
      <w:numFmt w:val="bullet"/>
      <w:lvlText w:val="•"/>
      <w:lvlJc w:val="left"/>
      <w:pPr>
        <w:ind w:left="6235" w:hanging="567"/>
      </w:pPr>
      <w:rPr>
        <w:rFonts w:hint="default"/>
      </w:rPr>
    </w:lvl>
    <w:lvl w:ilvl="8">
      <w:start w:val="0"/>
      <w:numFmt w:val="bullet"/>
      <w:lvlText w:val="•"/>
      <w:lvlJc w:val="left"/>
      <w:pPr>
        <w:ind w:left="6986" w:hanging="567"/>
      </w:pPr>
      <w:rPr>
        <w:rFonts w:hint="default"/>
      </w:rPr>
    </w:lvl>
  </w:abstractNum>
  <w:abstractNum w:abstractNumId="724">
    <w:multiLevelType w:val="hybridMultilevel"/>
    <w:lvl w:ilvl="0">
      <w:start w:val="1"/>
      <w:numFmt w:val="lowerLetter"/>
      <w:lvlText w:val="(%1)"/>
      <w:lvlJc w:val="left"/>
      <w:pPr>
        <w:ind w:left="554" w:hanging="567"/>
        <w:jc w:val="left"/>
      </w:pPr>
      <w:rPr>
        <w:rFonts w:hint="default" w:ascii="Times New Roman" w:hAnsi="Times New Roman" w:eastAsia="Times New Roman" w:cs="Times New Roman"/>
        <w:spacing w:val="-12"/>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633" w:hanging="567"/>
      </w:pPr>
      <w:rPr>
        <w:rFonts w:hint="default"/>
      </w:rPr>
    </w:lvl>
    <w:lvl w:ilvl="3">
      <w:start w:val="0"/>
      <w:numFmt w:val="bullet"/>
      <w:lvlText w:val="•"/>
      <w:lvlJc w:val="left"/>
      <w:pPr>
        <w:ind w:left="3347" w:hanging="567"/>
      </w:pPr>
      <w:rPr>
        <w:rFonts w:hint="default"/>
      </w:rPr>
    </w:lvl>
    <w:lvl w:ilvl="4">
      <w:start w:val="0"/>
      <w:numFmt w:val="bullet"/>
      <w:lvlText w:val="•"/>
      <w:lvlJc w:val="left"/>
      <w:pPr>
        <w:ind w:left="4060" w:hanging="567"/>
      </w:pPr>
      <w:rPr>
        <w:rFonts w:hint="default"/>
      </w:rPr>
    </w:lvl>
    <w:lvl w:ilvl="5">
      <w:start w:val="0"/>
      <w:numFmt w:val="bullet"/>
      <w:lvlText w:val="•"/>
      <w:lvlJc w:val="left"/>
      <w:pPr>
        <w:ind w:left="4774" w:hanging="567"/>
      </w:pPr>
      <w:rPr>
        <w:rFonts w:hint="default"/>
      </w:rPr>
    </w:lvl>
    <w:lvl w:ilvl="6">
      <w:start w:val="0"/>
      <w:numFmt w:val="bullet"/>
      <w:lvlText w:val="•"/>
      <w:lvlJc w:val="left"/>
      <w:pPr>
        <w:ind w:left="5487" w:hanging="567"/>
      </w:pPr>
      <w:rPr>
        <w:rFonts w:hint="default"/>
      </w:rPr>
    </w:lvl>
    <w:lvl w:ilvl="7">
      <w:start w:val="0"/>
      <w:numFmt w:val="bullet"/>
      <w:lvlText w:val="•"/>
      <w:lvlJc w:val="left"/>
      <w:pPr>
        <w:ind w:left="6201" w:hanging="567"/>
      </w:pPr>
      <w:rPr>
        <w:rFonts w:hint="default"/>
      </w:rPr>
    </w:lvl>
    <w:lvl w:ilvl="8">
      <w:start w:val="0"/>
      <w:numFmt w:val="bullet"/>
      <w:lvlText w:val="•"/>
      <w:lvlJc w:val="left"/>
      <w:pPr>
        <w:ind w:left="6914" w:hanging="567"/>
      </w:pPr>
      <w:rPr>
        <w:rFonts w:hint="default"/>
      </w:rPr>
    </w:lvl>
  </w:abstractNum>
  <w:abstractNum w:abstractNumId="72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9"/>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6"/>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72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2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7">
    <w:multiLevelType w:val="hybridMultilevel"/>
    <w:lvl w:ilvl="0">
      <w:start w:val="1"/>
      <w:numFmt w:val="lowerLetter"/>
      <w:lvlText w:val="(%1)"/>
      <w:lvlJc w:val="left"/>
      <w:pPr>
        <w:ind w:left="1919" w:hanging="567"/>
        <w:jc w:val="right"/>
      </w:pPr>
      <w:rPr>
        <w:rFonts w:hint="default" w:ascii="Times New Roman" w:hAnsi="Times New Roman" w:eastAsia="Times New Roman" w:cs="Times New Roman"/>
        <w:spacing w:val="-20"/>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6">
    <w:multiLevelType w:val="hybridMultilevel"/>
    <w:lvl w:ilvl="0">
      <w:start w:val="1"/>
      <w:numFmt w:val="lowerLetter"/>
      <w:lvlText w:val="(%1)"/>
      <w:lvlJc w:val="left"/>
      <w:pPr>
        <w:ind w:left="680"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360" w:hanging="567"/>
      </w:pPr>
      <w:rPr>
        <w:rFonts w:hint="default"/>
      </w:rPr>
    </w:lvl>
    <w:lvl w:ilvl="2">
      <w:start w:val="0"/>
      <w:numFmt w:val="bullet"/>
      <w:lvlText w:val="•"/>
      <w:lvlJc w:val="left"/>
      <w:pPr>
        <w:ind w:left="2149" w:hanging="567"/>
      </w:pPr>
      <w:rPr>
        <w:rFonts w:hint="default"/>
      </w:rPr>
    </w:lvl>
    <w:lvl w:ilvl="3">
      <w:start w:val="0"/>
      <w:numFmt w:val="bullet"/>
      <w:lvlText w:val="•"/>
      <w:lvlJc w:val="left"/>
      <w:pPr>
        <w:ind w:left="2939" w:hanging="567"/>
      </w:pPr>
      <w:rPr>
        <w:rFonts w:hint="default"/>
      </w:rPr>
    </w:lvl>
    <w:lvl w:ilvl="4">
      <w:start w:val="0"/>
      <w:numFmt w:val="bullet"/>
      <w:lvlText w:val="•"/>
      <w:lvlJc w:val="left"/>
      <w:pPr>
        <w:ind w:left="3729" w:hanging="567"/>
      </w:pPr>
      <w:rPr>
        <w:rFonts w:hint="default"/>
      </w:rPr>
    </w:lvl>
    <w:lvl w:ilvl="5">
      <w:start w:val="0"/>
      <w:numFmt w:val="bullet"/>
      <w:lvlText w:val="•"/>
      <w:lvlJc w:val="left"/>
      <w:pPr>
        <w:ind w:left="4519" w:hanging="567"/>
      </w:pPr>
      <w:rPr>
        <w:rFonts w:hint="default"/>
      </w:rPr>
    </w:lvl>
    <w:lvl w:ilvl="6">
      <w:start w:val="0"/>
      <w:numFmt w:val="bullet"/>
      <w:lvlText w:val="•"/>
      <w:lvlJc w:val="left"/>
      <w:pPr>
        <w:ind w:left="5309" w:hanging="567"/>
      </w:pPr>
      <w:rPr>
        <w:rFonts w:hint="default"/>
      </w:rPr>
    </w:lvl>
    <w:lvl w:ilvl="7">
      <w:start w:val="0"/>
      <w:numFmt w:val="bullet"/>
      <w:lvlText w:val="•"/>
      <w:lvlJc w:val="left"/>
      <w:pPr>
        <w:ind w:left="6098" w:hanging="567"/>
      </w:pPr>
      <w:rPr>
        <w:rFonts w:hint="default"/>
      </w:rPr>
    </w:lvl>
    <w:lvl w:ilvl="8">
      <w:start w:val="0"/>
      <w:numFmt w:val="bullet"/>
      <w:lvlText w:val="•"/>
      <w:lvlJc w:val="left"/>
      <w:pPr>
        <w:ind w:left="6888" w:hanging="567"/>
      </w:pPr>
      <w:rPr>
        <w:rFonts w:hint="default"/>
      </w:rPr>
    </w:lvl>
  </w:abstractNum>
  <w:abstractNum w:abstractNumId="71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1">
    <w:multiLevelType w:val="hybridMultilevel"/>
    <w:lvl w:ilvl="0">
      <w:start w:val="1"/>
      <w:numFmt w:val="lowerLetter"/>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710">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lowerLetter"/>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0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70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0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05">
    <w:multiLevelType w:val="hybridMultilevel"/>
    <w:lvl w:ilvl="0">
      <w:start w:val="10"/>
      <w:numFmt w:val="decimal"/>
      <w:lvlText w:val="%1."/>
      <w:lvlJc w:val="left"/>
      <w:pPr>
        <w:ind w:left="1351" w:hanging="1134"/>
        <w:jc w:val="left"/>
      </w:pPr>
      <w:rPr>
        <w:rFonts w:hint="default" w:ascii="Arial" w:hAnsi="Arial" w:eastAsia="Arial" w:cs="Arial"/>
        <w:b/>
        <w:bCs/>
        <w:spacing w:val="-1"/>
        <w:w w:val="100"/>
        <w:sz w:val="32"/>
        <w:szCs w:val="32"/>
      </w:rPr>
    </w:lvl>
    <w:lvl w:ilvl="1">
      <w:start w:val="1"/>
      <w:numFmt w:val="lowerLetter"/>
      <w:lvlText w:val="(%2)"/>
      <w:lvlJc w:val="left"/>
      <w:pPr>
        <w:ind w:left="1918"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785" w:hanging="567"/>
      </w:pPr>
      <w:rPr>
        <w:rFonts w:hint="default"/>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704">
    <w:multiLevelType w:val="hybridMultilevel"/>
    <w:lvl w:ilvl="0">
      <w:start w:val="5"/>
      <w:numFmt w:val="decimal"/>
      <w:lvlText w:val="%1"/>
      <w:lvlJc w:val="left"/>
      <w:pPr>
        <w:ind w:left="1351" w:hanging="1134"/>
        <w:jc w:val="left"/>
      </w:pPr>
      <w:rPr>
        <w:rFonts w:hint="default"/>
      </w:rPr>
    </w:lvl>
    <w:lvl w:ilvl="1">
      <w:start w:val="1"/>
      <w:numFmt w:val="decimal"/>
      <w:lvlText w:val="%1.%2"/>
      <w:lvlJc w:val="left"/>
      <w:pPr>
        <w:ind w:left="1351" w:hanging="1134"/>
        <w:jc w:val="left"/>
      </w:pPr>
      <w:rPr>
        <w:rFonts w:hint="default" w:ascii="Arial" w:hAnsi="Arial" w:eastAsia="Arial" w:cs="Arial"/>
        <w:b/>
        <w:bCs/>
        <w:spacing w:val="-1"/>
        <w:w w:val="100"/>
        <w:sz w:val="24"/>
        <w:szCs w:val="24"/>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703">
    <w:multiLevelType w:val="hybridMultilevel"/>
    <w:lvl w:ilvl="0">
      <w:start w:val="1"/>
      <w:numFmt w:val="decimal"/>
      <w:lvlText w:val="%1."/>
      <w:lvlJc w:val="left"/>
      <w:pPr>
        <w:ind w:left="1351" w:hanging="1134"/>
        <w:jc w:val="left"/>
      </w:pPr>
      <w:rPr>
        <w:rFonts w:hint="default" w:ascii="Arial" w:hAnsi="Arial" w:eastAsia="Arial" w:cs="Arial"/>
        <w:b/>
        <w:bCs/>
        <w:spacing w:val="-1"/>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2"/>
        <w:w w:val="100"/>
        <w:sz w:val="24"/>
        <w:szCs w:val="24"/>
      </w:rPr>
    </w:lvl>
    <w:lvl w:ilvl="2">
      <w:start w:val="0"/>
      <w:numFmt w:val="bullet"/>
      <w:lvlText w:val="•"/>
      <w:lvlJc w:val="left"/>
      <w:pPr>
        <w:ind w:left="2785" w:hanging="567"/>
      </w:pPr>
      <w:rPr>
        <w:rFonts w:hint="default"/>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702">
    <w:multiLevelType w:val="hybridMultilevel"/>
    <w:lvl w:ilvl="0">
      <w:start w:val="9"/>
      <w:numFmt w:val="decimal"/>
      <w:lvlText w:val="%1"/>
      <w:lvlJc w:val="left"/>
      <w:pPr>
        <w:ind w:left="886" w:hanging="669"/>
        <w:jc w:val="left"/>
      </w:pPr>
      <w:rPr>
        <w:rFonts w:hint="default"/>
      </w:rPr>
    </w:lvl>
    <w:lvl w:ilvl="1">
      <w:start w:val="48"/>
      <w:numFmt w:val="decimal"/>
      <w:lvlText w:val="%1.%2"/>
      <w:lvlJc w:val="left"/>
      <w:pPr>
        <w:ind w:left="886" w:hanging="669"/>
        <w:jc w:val="left"/>
      </w:pPr>
      <w:rPr>
        <w:rFonts w:hint="default"/>
      </w:rPr>
    </w:lvl>
    <w:lvl w:ilvl="2">
      <w:start w:val="4"/>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8"/>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701">
    <w:multiLevelType w:val="hybridMultilevel"/>
    <w:lvl w:ilvl="0">
      <w:start w:val="9"/>
      <w:numFmt w:val="decimal"/>
      <w:lvlText w:val="%1"/>
      <w:lvlJc w:val="left"/>
      <w:pPr>
        <w:ind w:left="886" w:hanging="669"/>
        <w:jc w:val="left"/>
      </w:pPr>
      <w:rPr>
        <w:rFonts w:hint="default"/>
      </w:rPr>
    </w:lvl>
    <w:lvl w:ilvl="1">
      <w:start w:val="48"/>
      <w:numFmt w:val="decimal"/>
      <w:lvlText w:val="%1.%2"/>
      <w:lvlJc w:val="left"/>
      <w:pPr>
        <w:ind w:left="886" w:hanging="669"/>
        <w:jc w:val="left"/>
      </w:pPr>
      <w:rPr>
        <w:rFonts w:hint="default"/>
      </w:rPr>
    </w:lvl>
    <w:lvl w:ilvl="2">
      <w:start w:val="4"/>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decimal"/>
      <w:lvlText w:val="(%4)"/>
      <w:lvlJc w:val="left"/>
      <w:pPr>
        <w:ind w:left="1918"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700">
    <w:multiLevelType w:val="hybridMultilevel"/>
    <w:lvl w:ilvl="0">
      <w:start w:val="9"/>
      <w:numFmt w:val="decimal"/>
      <w:lvlText w:val="%1"/>
      <w:lvlJc w:val="left"/>
      <w:pPr>
        <w:ind w:left="1352" w:hanging="1135"/>
        <w:jc w:val="left"/>
      </w:pPr>
      <w:rPr>
        <w:rFonts w:hint="default"/>
      </w:rPr>
    </w:lvl>
    <w:lvl w:ilvl="1">
      <w:start w:val="47"/>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6"/>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699">
    <w:multiLevelType w:val="hybridMultilevel"/>
    <w:lvl w:ilvl="0">
      <w:start w:val="9"/>
      <w:numFmt w:val="decimal"/>
      <w:lvlText w:val="%1"/>
      <w:lvlJc w:val="left"/>
      <w:pPr>
        <w:ind w:left="1351" w:hanging="1134"/>
        <w:jc w:val="left"/>
      </w:pPr>
      <w:rPr>
        <w:rFonts w:hint="default"/>
      </w:rPr>
    </w:lvl>
    <w:lvl w:ilvl="1">
      <w:start w:val="4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4"/>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698">
    <w:multiLevelType w:val="hybridMultilevel"/>
    <w:lvl w:ilvl="0">
      <w:start w:val="9"/>
      <w:numFmt w:val="decimal"/>
      <w:lvlText w:val="%1"/>
      <w:lvlJc w:val="left"/>
      <w:pPr>
        <w:ind w:left="1351" w:hanging="1134"/>
        <w:jc w:val="left"/>
      </w:pPr>
      <w:rPr>
        <w:rFonts w:hint="default"/>
      </w:rPr>
    </w:lvl>
    <w:lvl w:ilvl="1">
      <w:start w:val="40"/>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0"/>
      <w:numFmt w:val="bullet"/>
      <w:lvlText w:val="•"/>
      <w:lvlJc w:val="left"/>
      <w:pPr>
        <w:ind w:left="3864" w:hanging="1134"/>
      </w:pPr>
      <w:rPr>
        <w:rFonts w:hint="default"/>
      </w:rPr>
    </w:lvl>
    <w:lvl w:ilvl="4">
      <w:start w:val="0"/>
      <w:numFmt w:val="bullet"/>
      <w:lvlText w:val="•"/>
      <w:lvlJc w:val="left"/>
      <w:pPr>
        <w:ind w:left="4698" w:hanging="1134"/>
      </w:pPr>
      <w:rPr>
        <w:rFonts w:hint="default"/>
      </w:rPr>
    </w:lvl>
    <w:lvl w:ilvl="5">
      <w:start w:val="0"/>
      <w:numFmt w:val="bullet"/>
      <w:lvlText w:val="•"/>
      <w:lvlJc w:val="left"/>
      <w:pPr>
        <w:ind w:left="5533" w:hanging="1134"/>
      </w:pPr>
      <w:rPr>
        <w:rFonts w:hint="default"/>
      </w:rPr>
    </w:lvl>
    <w:lvl w:ilvl="6">
      <w:start w:val="0"/>
      <w:numFmt w:val="bullet"/>
      <w:lvlText w:val="•"/>
      <w:lvlJc w:val="left"/>
      <w:pPr>
        <w:ind w:left="6368" w:hanging="1134"/>
      </w:pPr>
      <w:rPr>
        <w:rFonts w:hint="default"/>
      </w:rPr>
    </w:lvl>
    <w:lvl w:ilvl="7">
      <w:start w:val="0"/>
      <w:numFmt w:val="bullet"/>
      <w:lvlText w:val="•"/>
      <w:lvlJc w:val="left"/>
      <w:pPr>
        <w:ind w:left="7202" w:hanging="1134"/>
      </w:pPr>
      <w:rPr>
        <w:rFonts w:hint="default"/>
      </w:rPr>
    </w:lvl>
    <w:lvl w:ilvl="8">
      <w:start w:val="0"/>
      <w:numFmt w:val="bullet"/>
      <w:lvlText w:val="•"/>
      <w:lvlJc w:val="left"/>
      <w:pPr>
        <w:ind w:left="8037" w:hanging="1134"/>
      </w:pPr>
      <w:rPr>
        <w:rFonts w:hint="default"/>
      </w:rPr>
    </w:lvl>
  </w:abstractNum>
  <w:abstractNum w:abstractNumId="697">
    <w:multiLevelType w:val="hybridMultilevel"/>
    <w:lvl w:ilvl="0">
      <w:start w:val="9"/>
      <w:numFmt w:val="decimal"/>
      <w:lvlText w:val="%1"/>
      <w:lvlJc w:val="left"/>
      <w:pPr>
        <w:ind w:left="1351" w:hanging="1134"/>
        <w:jc w:val="left"/>
      </w:pPr>
      <w:rPr>
        <w:rFonts w:hint="default"/>
      </w:rPr>
    </w:lvl>
    <w:lvl w:ilvl="1">
      <w:start w:val="39"/>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696">
    <w:multiLevelType w:val="hybridMultilevel"/>
    <w:lvl w:ilvl="0">
      <w:start w:val="9"/>
      <w:numFmt w:val="decimal"/>
      <w:lvlText w:val="%1"/>
      <w:lvlJc w:val="left"/>
      <w:pPr>
        <w:ind w:left="1351" w:hanging="1134"/>
        <w:jc w:val="left"/>
      </w:pPr>
      <w:rPr>
        <w:rFonts w:hint="default"/>
      </w:rPr>
    </w:lvl>
    <w:lvl w:ilvl="1">
      <w:start w:val="38"/>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9"/>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695">
    <w:multiLevelType w:val="hybridMultilevel"/>
    <w:lvl w:ilvl="0">
      <w:start w:val="1"/>
      <w:numFmt w:val="lowerRoman"/>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94">
    <w:multiLevelType w:val="hybridMultilevel"/>
    <w:lvl w:ilvl="0">
      <w:start w:val="1"/>
      <w:numFmt w:val="lowerRoman"/>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93">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upperLetter"/>
      <w:lvlText w:val="(%2)"/>
      <w:lvlJc w:val="left"/>
      <w:pPr>
        <w:ind w:left="2486" w:hanging="567"/>
        <w:jc w:val="left"/>
      </w:pPr>
      <w:rPr>
        <w:rFonts w:hint="default" w:ascii="Times New Roman" w:hAnsi="Times New Roman" w:eastAsia="Times New Roman" w:cs="Times New Roman"/>
        <w:spacing w:val="-7"/>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92">
    <w:multiLevelType w:val="hybridMultilevel"/>
    <w:lvl w:ilvl="0">
      <w:start w:val="9"/>
      <w:numFmt w:val="decimal"/>
      <w:lvlText w:val="%1"/>
      <w:lvlJc w:val="left"/>
      <w:pPr>
        <w:ind w:left="1351" w:hanging="1134"/>
        <w:jc w:val="left"/>
      </w:pPr>
      <w:rPr>
        <w:rFonts w:hint="default"/>
      </w:rPr>
    </w:lvl>
    <w:lvl w:ilvl="1">
      <w:start w:val="37"/>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7"/>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4"/>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691">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690">
    <w:multiLevelType w:val="hybridMultilevel"/>
    <w:lvl w:ilvl="0">
      <w:start w:val="1"/>
      <w:numFmt w:val="lowerRoman"/>
      <w:lvlText w:val="(%1)"/>
      <w:lvlJc w:val="left"/>
      <w:pPr>
        <w:ind w:left="3113" w:hanging="628"/>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78" w:hanging="628"/>
      </w:pPr>
      <w:rPr>
        <w:rFonts w:hint="default"/>
      </w:rPr>
    </w:lvl>
    <w:lvl w:ilvl="2">
      <w:start w:val="0"/>
      <w:numFmt w:val="bullet"/>
      <w:lvlText w:val="•"/>
      <w:lvlJc w:val="left"/>
      <w:pPr>
        <w:ind w:left="4437" w:hanging="628"/>
      </w:pPr>
      <w:rPr>
        <w:rFonts w:hint="default"/>
      </w:rPr>
    </w:lvl>
    <w:lvl w:ilvl="3">
      <w:start w:val="0"/>
      <w:numFmt w:val="bullet"/>
      <w:lvlText w:val="•"/>
      <w:lvlJc w:val="left"/>
      <w:pPr>
        <w:ind w:left="5096" w:hanging="628"/>
      </w:pPr>
      <w:rPr>
        <w:rFonts w:hint="default"/>
      </w:rPr>
    </w:lvl>
    <w:lvl w:ilvl="4">
      <w:start w:val="0"/>
      <w:numFmt w:val="bullet"/>
      <w:lvlText w:val="•"/>
      <w:lvlJc w:val="left"/>
      <w:pPr>
        <w:ind w:left="5754" w:hanging="628"/>
      </w:pPr>
      <w:rPr>
        <w:rFonts w:hint="default"/>
      </w:rPr>
    </w:lvl>
    <w:lvl w:ilvl="5">
      <w:start w:val="0"/>
      <w:numFmt w:val="bullet"/>
      <w:lvlText w:val="•"/>
      <w:lvlJc w:val="left"/>
      <w:pPr>
        <w:ind w:left="6413" w:hanging="628"/>
      </w:pPr>
      <w:rPr>
        <w:rFonts w:hint="default"/>
      </w:rPr>
    </w:lvl>
    <w:lvl w:ilvl="6">
      <w:start w:val="0"/>
      <w:numFmt w:val="bullet"/>
      <w:lvlText w:val="•"/>
      <w:lvlJc w:val="left"/>
      <w:pPr>
        <w:ind w:left="7072" w:hanging="628"/>
      </w:pPr>
      <w:rPr>
        <w:rFonts w:hint="default"/>
      </w:rPr>
    </w:lvl>
    <w:lvl w:ilvl="7">
      <w:start w:val="0"/>
      <w:numFmt w:val="bullet"/>
      <w:lvlText w:val="•"/>
      <w:lvlJc w:val="left"/>
      <w:pPr>
        <w:ind w:left="7730" w:hanging="628"/>
      </w:pPr>
      <w:rPr>
        <w:rFonts w:hint="default"/>
      </w:rPr>
    </w:lvl>
    <w:lvl w:ilvl="8">
      <w:start w:val="0"/>
      <w:numFmt w:val="bullet"/>
      <w:lvlText w:val="•"/>
      <w:lvlJc w:val="left"/>
      <w:pPr>
        <w:ind w:left="8389" w:hanging="628"/>
      </w:pPr>
      <w:rPr>
        <w:rFonts w:hint="default"/>
      </w:rPr>
    </w:lvl>
  </w:abstractNum>
  <w:abstractNum w:abstractNumId="689">
    <w:multiLevelType w:val="hybridMultilevel"/>
    <w:lvl w:ilvl="0">
      <w:start w:val="9"/>
      <w:numFmt w:val="decimal"/>
      <w:lvlText w:val="%1"/>
      <w:lvlJc w:val="left"/>
      <w:pPr>
        <w:ind w:left="1351" w:hanging="1134"/>
        <w:jc w:val="left"/>
      </w:pPr>
      <w:rPr>
        <w:rFonts w:hint="default"/>
      </w:rPr>
    </w:lvl>
    <w:lvl w:ilvl="1">
      <w:start w:val="34"/>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Letter"/>
      <w:lvlText w:val="(%6)"/>
      <w:lvlJc w:val="left"/>
      <w:pPr>
        <w:ind w:left="3053" w:hanging="567"/>
        <w:jc w:val="left"/>
      </w:pPr>
      <w:rPr>
        <w:rFonts w:hint="default" w:ascii="Times New Roman" w:hAnsi="Times New Roman" w:eastAsia="Times New Roman" w:cs="Times New Roman"/>
        <w:spacing w:val="-1"/>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688">
    <w:multiLevelType w:val="hybridMultilevel"/>
    <w:lvl w:ilvl="0">
      <w:start w:val="9"/>
      <w:numFmt w:val="decimal"/>
      <w:lvlText w:val="%1"/>
      <w:lvlJc w:val="left"/>
      <w:pPr>
        <w:ind w:left="1351" w:hanging="1134"/>
        <w:jc w:val="left"/>
      </w:pPr>
      <w:rPr>
        <w:rFonts w:hint="default"/>
      </w:rPr>
    </w:lvl>
    <w:lvl w:ilvl="1">
      <w:start w:val="3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687">
    <w:multiLevelType w:val="hybridMultilevel"/>
    <w:lvl w:ilvl="0">
      <w:start w:val="9"/>
      <w:numFmt w:val="decimal"/>
      <w:lvlText w:val="%1"/>
      <w:lvlJc w:val="left"/>
      <w:pPr>
        <w:ind w:left="1351" w:hanging="1134"/>
        <w:jc w:val="left"/>
      </w:pPr>
      <w:rPr>
        <w:rFonts w:hint="default"/>
      </w:rPr>
    </w:lvl>
    <w:lvl w:ilvl="1">
      <w:start w:val="30"/>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decimal"/>
      <w:lvlText w:val="(%4)"/>
      <w:lvlJc w:val="left"/>
      <w:pPr>
        <w:ind w:left="1919" w:hanging="567"/>
        <w:jc w:val="right"/>
      </w:pPr>
      <w:rPr>
        <w:rFonts w:hint="default" w:ascii="Times New Roman" w:hAnsi="Times New Roman" w:eastAsia="Times New Roman" w:cs="Times New Roman"/>
        <w:spacing w:val="-13"/>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686">
    <w:multiLevelType w:val="hybridMultilevel"/>
    <w:lvl w:ilvl="0">
      <w:start w:val="1"/>
      <w:numFmt w:val="lowerLetter"/>
      <w:lvlText w:val="(%1)"/>
      <w:lvlJc w:val="left"/>
      <w:pPr>
        <w:ind w:left="2485" w:hanging="567"/>
        <w:jc w:val="left"/>
      </w:pPr>
      <w:rPr>
        <w:rFonts w:hint="default" w:ascii="Times New Roman" w:hAnsi="Times New Roman" w:eastAsia="Times New Roman" w:cs="Times New Roman"/>
        <w:spacing w:val="-1"/>
        <w:w w:val="100"/>
        <w:sz w:val="24"/>
        <w:szCs w:val="24"/>
      </w:rPr>
    </w:lvl>
    <w:lvl w:ilvl="1">
      <w:start w:val="1"/>
      <w:numFmt w:val="lowerRoman"/>
      <w:lvlText w:val="(%2)"/>
      <w:lvlJc w:val="left"/>
      <w:pPr>
        <w:ind w:left="3052"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685">
    <w:multiLevelType w:val="hybridMultilevel"/>
    <w:lvl w:ilvl="0">
      <w:start w:val="9"/>
      <w:numFmt w:val="decimal"/>
      <w:lvlText w:val="%1"/>
      <w:lvlJc w:val="left"/>
      <w:pPr>
        <w:ind w:left="724" w:hanging="507"/>
        <w:jc w:val="left"/>
      </w:pPr>
      <w:rPr>
        <w:rFonts w:hint="default"/>
      </w:rPr>
    </w:lvl>
    <w:lvl w:ilvl="1">
      <w:start w:val="29"/>
      <w:numFmt w:val="decimal"/>
      <w:lvlText w:val="%1.%2"/>
      <w:lvlJc w:val="left"/>
      <w:pPr>
        <w:ind w:left="724" w:hanging="507"/>
        <w:jc w:val="left"/>
      </w:pPr>
      <w:rPr>
        <w:rFonts w:hint="default" w:ascii="Arial" w:hAnsi="Arial" w:eastAsia="Arial" w:cs="Arial"/>
        <w:b/>
        <w:bCs/>
        <w:spacing w:val="-1"/>
        <w:w w:val="100"/>
        <w:sz w:val="24"/>
        <w:szCs w:val="24"/>
      </w:rPr>
    </w:lvl>
    <w:lvl w:ilvl="2">
      <w:start w:val="1"/>
      <w:numFmt w:val="lowerLetter"/>
      <w:lvlText w:val="(%3)"/>
      <w:lvlJc w:val="left"/>
      <w:pPr>
        <w:ind w:left="1919" w:hanging="567"/>
        <w:jc w:val="left"/>
      </w:pPr>
      <w:rPr>
        <w:rFonts w:hint="default" w:ascii="Times New Roman" w:hAnsi="Times New Roman" w:eastAsia="Times New Roman" w:cs="Times New Roman"/>
        <w:spacing w:val="-9"/>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684">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68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682">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681">
    <w:multiLevelType w:val="hybridMultilevel"/>
    <w:lvl w:ilvl="0">
      <w:start w:val="9"/>
      <w:numFmt w:val="decimal"/>
      <w:lvlText w:val="%1"/>
      <w:lvlJc w:val="left"/>
      <w:pPr>
        <w:ind w:left="724" w:hanging="507"/>
        <w:jc w:val="left"/>
      </w:pPr>
      <w:rPr>
        <w:rFonts w:hint="default"/>
      </w:rPr>
    </w:lvl>
    <w:lvl w:ilvl="1">
      <w:start w:val="24"/>
      <w:numFmt w:val="decimal"/>
      <w:lvlText w:val="%1.%2"/>
      <w:lvlJc w:val="left"/>
      <w:pPr>
        <w:ind w:left="724" w:hanging="507"/>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lowerRoman"/>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4544" w:hanging="567"/>
      </w:pPr>
      <w:rPr>
        <w:rFonts w:hint="default"/>
      </w:rPr>
    </w:lvl>
    <w:lvl w:ilvl="6">
      <w:start w:val="0"/>
      <w:numFmt w:val="bullet"/>
      <w:lvlText w:val="•"/>
      <w:lvlJc w:val="left"/>
      <w:pPr>
        <w:ind w:left="5577" w:hanging="567"/>
      </w:pPr>
      <w:rPr>
        <w:rFonts w:hint="default"/>
      </w:rPr>
    </w:lvl>
    <w:lvl w:ilvl="7">
      <w:start w:val="0"/>
      <w:numFmt w:val="bullet"/>
      <w:lvlText w:val="•"/>
      <w:lvlJc w:val="left"/>
      <w:pPr>
        <w:ind w:left="6609" w:hanging="567"/>
      </w:pPr>
      <w:rPr>
        <w:rFonts w:hint="default"/>
      </w:rPr>
    </w:lvl>
    <w:lvl w:ilvl="8">
      <w:start w:val="0"/>
      <w:numFmt w:val="bullet"/>
      <w:lvlText w:val="•"/>
      <w:lvlJc w:val="left"/>
      <w:pPr>
        <w:ind w:left="7642" w:hanging="567"/>
      </w:pPr>
      <w:rPr>
        <w:rFonts w:hint="default"/>
      </w:rPr>
    </w:lvl>
  </w:abstractNum>
  <w:abstractNum w:abstractNumId="680">
    <w:multiLevelType w:val="hybridMultilevel"/>
    <w:lvl w:ilvl="0">
      <w:start w:val="9"/>
      <w:numFmt w:val="decimal"/>
      <w:lvlText w:val="%1"/>
      <w:lvlJc w:val="left"/>
      <w:pPr>
        <w:ind w:left="724" w:hanging="507"/>
        <w:jc w:val="left"/>
      </w:pPr>
      <w:rPr>
        <w:rFonts w:hint="default"/>
      </w:rPr>
    </w:lvl>
    <w:lvl w:ilvl="1">
      <w:start w:val="17"/>
      <w:numFmt w:val="decimal"/>
      <w:lvlText w:val="%1.%2"/>
      <w:lvlJc w:val="left"/>
      <w:pPr>
        <w:ind w:left="724" w:hanging="507"/>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4544" w:hanging="567"/>
      </w:pPr>
      <w:rPr>
        <w:rFonts w:hint="default"/>
      </w:rPr>
    </w:lvl>
    <w:lvl w:ilvl="6">
      <w:start w:val="0"/>
      <w:numFmt w:val="bullet"/>
      <w:lvlText w:val="•"/>
      <w:lvlJc w:val="left"/>
      <w:pPr>
        <w:ind w:left="5577" w:hanging="567"/>
      </w:pPr>
      <w:rPr>
        <w:rFonts w:hint="default"/>
      </w:rPr>
    </w:lvl>
    <w:lvl w:ilvl="7">
      <w:start w:val="0"/>
      <w:numFmt w:val="bullet"/>
      <w:lvlText w:val="•"/>
      <w:lvlJc w:val="left"/>
      <w:pPr>
        <w:ind w:left="6609" w:hanging="567"/>
      </w:pPr>
      <w:rPr>
        <w:rFonts w:hint="default"/>
      </w:rPr>
    </w:lvl>
    <w:lvl w:ilvl="8">
      <w:start w:val="0"/>
      <w:numFmt w:val="bullet"/>
      <w:lvlText w:val="•"/>
      <w:lvlJc w:val="left"/>
      <w:pPr>
        <w:ind w:left="7642" w:hanging="567"/>
      </w:pPr>
      <w:rPr>
        <w:rFonts w:hint="default"/>
      </w:rPr>
    </w:lvl>
  </w:abstractNum>
  <w:abstractNum w:abstractNumId="679">
    <w:multiLevelType w:val="hybridMultilevel"/>
    <w:lvl w:ilvl="0">
      <w:start w:val="1"/>
      <w:numFmt w:val="lowerLetter"/>
      <w:lvlText w:val="(%1)"/>
      <w:lvlJc w:val="left"/>
      <w:pPr>
        <w:ind w:left="61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85" w:hanging="567"/>
      </w:pPr>
      <w:rPr>
        <w:rFonts w:hint="default"/>
      </w:rPr>
    </w:lvl>
    <w:lvl w:ilvl="2">
      <w:start w:val="0"/>
      <w:numFmt w:val="bullet"/>
      <w:lvlText w:val="•"/>
      <w:lvlJc w:val="left"/>
      <w:pPr>
        <w:ind w:left="1551" w:hanging="567"/>
      </w:pPr>
      <w:rPr>
        <w:rFonts w:hint="default"/>
      </w:rPr>
    </w:lvl>
    <w:lvl w:ilvl="3">
      <w:start w:val="0"/>
      <w:numFmt w:val="bullet"/>
      <w:lvlText w:val="•"/>
      <w:lvlJc w:val="left"/>
      <w:pPr>
        <w:ind w:left="2017" w:hanging="567"/>
      </w:pPr>
      <w:rPr>
        <w:rFonts w:hint="default"/>
      </w:rPr>
    </w:lvl>
    <w:lvl w:ilvl="4">
      <w:start w:val="0"/>
      <w:numFmt w:val="bullet"/>
      <w:lvlText w:val="•"/>
      <w:lvlJc w:val="left"/>
      <w:pPr>
        <w:ind w:left="2482" w:hanging="567"/>
      </w:pPr>
      <w:rPr>
        <w:rFonts w:hint="default"/>
      </w:rPr>
    </w:lvl>
    <w:lvl w:ilvl="5">
      <w:start w:val="0"/>
      <w:numFmt w:val="bullet"/>
      <w:lvlText w:val="•"/>
      <w:lvlJc w:val="left"/>
      <w:pPr>
        <w:ind w:left="2948" w:hanging="567"/>
      </w:pPr>
      <w:rPr>
        <w:rFonts w:hint="default"/>
      </w:rPr>
    </w:lvl>
    <w:lvl w:ilvl="6">
      <w:start w:val="0"/>
      <w:numFmt w:val="bullet"/>
      <w:lvlText w:val="•"/>
      <w:lvlJc w:val="left"/>
      <w:pPr>
        <w:ind w:left="3414" w:hanging="567"/>
      </w:pPr>
      <w:rPr>
        <w:rFonts w:hint="default"/>
      </w:rPr>
    </w:lvl>
    <w:lvl w:ilvl="7">
      <w:start w:val="0"/>
      <w:numFmt w:val="bullet"/>
      <w:lvlText w:val="•"/>
      <w:lvlJc w:val="left"/>
      <w:pPr>
        <w:ind w:left="3879" w:hanging="567"/>
      </w:pPr>
      <w:rPr>
        <w:rFonts w:hint="default"/>
      </w:rPr>
    </w:lvl>
    <w:lvl w:ilvl="8">
      <w:start w:val="0"/>
      <w:numFmt w:val="bullet"/>
      <w:lvlText w:val="•"/>
      <w:lvlJc w:val="left"/>
      <w:pPr>
        <w:ind w:left="4345" w:hanging="567"/>
      </w:pPr>
      <w:rPr>
        <w:rFonts w:hint="default"/>
      </w:rPr>
    </w:lvl>
  </w:abstractNum>
  <w:abstractNum w:abstractNumId="678">
    <w:multiLevelType w:val="hybridMultilevel"/>
    <w:lvl w:ilvl="0">
      <w:start w:val="1"/>
      <w:numFmt w:val="decimal"/>
      <w:lvlText w:val="%1."/>
      <w:lvlJc w:val="left"/>
      <w:pPr>
        <w:ind w:left="1351" w:hanging="1134"/>
        <w:jc w:val="left"/>
      </w:pPr>
      <w:rPr>
        <w:rFonts w:hint="default" w:ascii="Arial" w:hAnsi="Arial" w:eastAsia="Arial" w:cs="Arial"/>
        <w:b/>
        <w:bCs/>
        <w:spacing w:val="-1"/>
        <w:w w:val="100"/>
        <w:sz w:val="24"/>
        <w:szCs w:val="24"/>
      </w:rPr>
    </w:lvl>
    <w:lvl w:ilvl="1">
      <w:start w:val="1"/>
      <w:numFmt w:val="lowerLetter"/>
      <w:lvlText w:val="(%2)"/>
      <w:lvlJc w:val="left"/>
      <w:pPr>
        <w:ind w:left="1918" w:hanging="567"/>
        <w:jc w:val="left"/>
      </w:pPr>
      <w:rPr>
        <w:rFonts w:hint="default" w:ascii="Times New Roman" w:hAnsi="Times New Roman" w:eastAsia="Times New Roman" w:cs="Times New Roman"/>
        <w:spacing w:val="-24"/>
        <w:w w:val="100"/>
        <w:sz w:val="24"/>
        <w:szCs w:val="24"/>
      </w:rPr>
    </w:lvl>
    <w:lvl w:ilvl="2">
      <w:start w:val="1"/>
      <w:numFmt w:val="decimal"/>
      <w:lvlText w:val="(%3)"/>
      <w:lvlJc w:val="left"/>
      <w:pPr>
        <w:ind w:left="2486" w:hanging="567"/>
        <w:jc w:val="left"/>
      </w:pPr>
      <w:rPr>
        <w:rFonts w:hint="default" w:ascii="Times New Roman" w:hAnsi="Times New Roman" w:eastAsia="Times New Roman" w:cs="Times New Roman"/>
        <w:spacing w:val="-13"/>
        <w:w w:val="100"/>
        <w:sz w:val="24"/>
        <w:szCs w:val="24"/>
      </w:rPr>
    </w:lvl>
    <w:lvl w:ilvl="3">
      <w:start w:val="0"/>
      <w:numFmt w:val="bullet"/>
      <w:lvlText w:val="•"/>
      <w:lvlJc w:val="left"/>
      <w:pPr>
        <w:ind w:left="3383" w:hanging="567"/>
      </w:pPr>
      <w:rPr>
        <w:rFonts w:hint="default"/>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677">
    <w:multiLevelType w:val="hybridMultilevel"/>
    <w:lvl w:ilvl="0">
      <w:start w:val="9"/>
      <w:numFmt w:val="decimal"/>
      <w:lvlText w:val="%1"/>
      <w:lvlJc w:val="left"/>
      <w:pPr>
        <w:ind w:left="218" w:hanging="363"/>
        <w:jc w:val="left"/>
      </w:pPr>
      <w:rPr>
        <w:rFonts w:hint="default"/>
      </w:rPr>
    </w:lvl>
    <w:lvl w:ilvl="1">
      <w:start w:val="9"/>
      <w:numFmt w:val="decimal"/>
      <w:lvlText w:val="%1.%2"/>
      <w:lvlJc w:val="left"/>
      <w:pPr>
        <w:ind w:left="218" w:hanging="363"/>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4389" w:hanging="567"/>
      </w:pPr>
      <w:rPr>
        <w:rFonts w:hint="default"/>
      </w:rPr>
    </w:lvl>
    <w:lvl w:ilvl="7">
      <w:start w:val="0"/>
      <w:numFmt w:val="bullet"/>
      <w:lvlText w:val="•"/>
      <w:lvlJc w:val="left"/>
      <w:pPr>
        <w:ind w:left="5718" w:hanging="567"/>
      </w:pPr>
      <w:rPr>
        <w:rFonts w:hint="default"/>
      </w:rPr>
    </w:lvl>
    <w:lvl w:ilvl="8">
      <w:start w:val="0"/>
      <w:numFmt w:val="bullet"/>
      <w:lvlText w:val="•"/>
      <w:lvlJc w:val="left"/>
      <w:pPr>
        <w:ind w:left="7048" w:hanging="567"/>
      </w:pPr>
      <w:rPr>
        <w:rFonts w:hint="default"/>
      </w:rPr>
    </w:lvl>
  </w:abstractNum>
  <w:abstractNum w:abstractNumId="676">
    <w:multiLevelType w:val="hybridMultilevel"/>
    <w:lvl w:ilvl="0">
      <w:start w:val="9"/>
      <w:numFmt w:val="decimal"/>
      <w:lvlText w:val="%1"/>
      <w:lvlJc w:val="left"/>
      <w:pPr>
        <w:ind w:left="218" w:hanging="535"/>
        <w:jc w:val="left"/>
      </w:pPr>
      <w:rPr>
        <w:rFonts w:hint="default"/>
      </w:rPr>
    </w:lvl>
    <w:lvl w:ilvl="1">
      <w:start w:val="8"/>
      <w:numFmt w:val="decimal"/>
      <w:lvlText w:val="%1.%2"/>
      <w:lvlJc w:val="left"/>
      <w:pPr>
        <w:ind w:left="218" w:hanging="535"/>
        <w:jc w:val="left"/>
      </w:pPr>
      <w:rPr>
        <w:rFonts w:hint="default"/>
      </w:rPr>
    </w:lvl>
    <w:lvl w:ilvl="2">
      <w:start w:val="4"/>
      <w:numFmt w:val="decimal"/>
      <w:lvlText w:val="%1.%2.%3"/>
      <w:lvlJc w:val="left"/>
      <w:pPr>
        <w:ind w:left="218"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675">
    <w:multiLevelType w:val="hybridMultilevel"/>
    <w:lvl w:ilvl="0">
      <w:start w:val="9"/>
      <w:numFmt w:val="decimal"/>
      <w:lvlText w:val="%1"/>
      <w:lvlJc w:val="left"/>
      <w:pPr>
        <w:ind w:left="580" w:hanging="363"/>
        <w:jc w:val="left"/>
      </w:pPr>
      <w:rPr>
        <w:rFonts w:hint="default"/>
      </w:rPr>
    </w:lvl>
    <w:lvl w:ilvl="1">
      <w:start w:val="3"/>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4389" w:hanging="567"/>
      </w:pPr>
      <w:rPr>
        <w:rFonts w:hint="default"/>
      </w:rPr>
    </w:lvl>
    <w:lvl w:ilvl="7">
      <w:start w:val="0"/>
      <w:numFmt w:val="bullet"/>
      <w:lvlText w:val="•"/>
      <w:lvlJc w:val="left"/>
      <w:pPr>
        <w:ind w:left="5718" w:hanging="567"/>
      </w:pPr>
      <w:rPr>
        <w:rFonts w:hint="default"/>
      </w:rPr>
    </w:lvl>
    <w:lvl w:ilvl="8">
      <w:start w:val="0"/>
      <w:numFmt w:val="bullet"/>
      <w:lvlText w:val="•"/>
      <w:lvlJc w:val="left"/>
      <w:pPr>
        <w:ind w:left="7048" w:hanging="567"/>
      </w:pPr>
      <w:rPr>
        <w:rFonts w:hint="default"/>
      </w:rPr>
    </w:lvl>
  </w:abstractNum>
  <w:abstractNum w:abstractNumId="674">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7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7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7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6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6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6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6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6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3"/>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6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3"/>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6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5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5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5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5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5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5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5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5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5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4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4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4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4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4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44">
    <w:multiLevelType w:val="hybridMultilevel"/>
    <w:lvl w:ilvl="0">
      <w:start w:val="1"/>
      <w:numFmt w:val="lowerLetter"/>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64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4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4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40">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3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2"/>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3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37">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9"/>
        <w:w w:val="100"/>
        <w:sz w:val="24"/>
        <w:szCs w:val="24"/>
      </w:rPr>
    </w:lvl>
    <w:lvl w:ilvl="1">
      <w:start w:val="1"/>
      <w:numFmt w:val="upperLetter"/>
      <w:lvlText w:val="(%2)"/>
      <w:lvlJc w:val="left"/>
      <w:pPr>
        <w:ind w:left="3052" w:hanging="567"/>
        <w:jc w:val="left"/>
      </w:pPr>
      <w:rPr>
        <w:rFonts w:hint="default" w:ascii="Times New Roman" w:hAnsi="Times New Roman" w:eastAsia="Times New Roman" w:cs="Times New Roman"/>
        <w:spacing w:val="-7"/>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636">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635">
    <w:multiLevelType w:val="hybridMultilevel"/>
    <w:lvl w:ilvl="0">
      <w:start w:val="1"/>
      <w:numFmt w:val="upperLetter"/>
      <w:lvlText w:val="(%1)"/>
      <w:lvlJc w:val="left"/>
      <w:pPr>
        <w:ind w:left="305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634">
    <w:multiLevelType w:val="hybridMultilevel"/>
    <w:lvl w:ilvl="0">
      <w:start w:val="8"/>
      <w:numFmt w:val="decimal"/>
      <w:lvlText w:val="%1"/>
      <w:lvlJc w:val="left"/>
      <w:pPr>
        <w:ind w:left="752" w:hanging="535"/>
        <w:jc w:val="left"/>
      </w:pPr>
      <w:rPr>
        <w:rFonts w:hint="default"/>
      </w:rPr>
    </w:lvl>
    <w:lvl w:ilvl="1">
      <w:start w:val="6"/>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8"/>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633">
    <w:multiLevelType w:val="hybridMultilevel"/>
    <w:lvl w:ilvl="0">
      <w:start w:val="8"/>
      <w:numFmt w:val="decimal"/>
      <w:lvlText w:val="%1"/>
      <w:lvlJc w:val="left"/>
      <w:pPr>
        <w:ind w:left="1352" w:hanging="1135"/>
        <w:jc w:val="left"/>
      </w:pPr>
      <w:rPr>
        <w:rFonts w:hint="default"/>
      </w:rPr>
    </w:lvl>
    <w:lvl w:ilvl="1">
      <w:start w:val="6"/>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5"/>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63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3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3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2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2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6"/>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2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2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1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1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1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1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1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7"/>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1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1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1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11">
    <w:multiLevelType w:val="hybridMultilevel"/>
    <w:lvl w:ilvl="0">
      <w:start w:val="4"/>
      <w:numFmt w:val="upperLetter"/>
      <w:lvlText w:val="(%1)"/>
      <w:lvlJc w:val="left"/>
      <w:pPr>
        <w:ind w:left="305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610">
    <w:multiLevelType w:val="hybridMultilevel"/>
    <w:lvl w:ilvl="0">
      <w:start w:val="1"/>
      <w:numFmt w:val="upperLetter"/>
      <w:lvlText w:val="(%1)"/>
      <w:lvlJc w:val="left"/>
      <w:pPr>
        <w:ind w:left="3053"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60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right"/>
      </w:pPr>
      <w:rPr>
        <w:rFonts w:hint="default" w:ascii="Times New Roman" w:hAnsi="Times New Roman" w:eastAsia="Times New Roman" w:cs="Times New Roman"/>
        <w:spacing w:val="-1"/>
        <w:w w:val="100"/>
        <w:sz w:val="24"/>
        <w:szCs w:val="24"/>
      </w:rPr>
    </w:lvl>
    <w:lvl w:ilvl="3">
      <w:start w:val="1"/>
      <w:numFmt w:val="upperLetter"/>
      <w:lvlText w:val="(%4)"/>
      <w:lvlJc w:val="left"/>
      <w:pPr>
        <w:ind w:left="3052"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0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0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0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0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0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0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0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9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9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9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9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9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94">
    <w:multiLevelType w:val="hybridMultilevel"/>
    <w:lvl w:ilvl="0">
      <w:start w:val="4"/>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59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9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9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9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8">
    <w:multiLevelType w:val="hybridMultilevel"/>
    <w:lvl w:ilvl="0">
      <w:start w:val="9"/>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8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8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8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7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6"/>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7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77">
    <w:multiLevelType w:val="hybridMultilevel"/>
    <w:lvl w:ilvl="0">
      <w:start w:val="9"/>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7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7"/>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75">
    <w:multiLevelType w:val="hybridMultilevel"/>
    <w:lvl w:ilvl="0">
      <w:start w:val="0"/>
      <w:numFmt w:val="bullet"/>
      <w:lvlText w:val="•"/>
      <w:lvlJc w:val="left"/>
      <w:pPr>
        <w:ind w:left="597" w:hanging="568"/>
      </w:pPr>
      <w:rPr>
        <w:rFonts w:hint="default" w:ascii="Times New Roman" w:hAnsi="Times New Roman" w:eastAsia="Times New Roman" w:cs="Times New Roman"/>
        <w:spacing w:val="-1"/>
        <w:w w:val="100"/>
        <w:sz w:val="24"/>
        <w:szCs w:val="24"/>
      </w:rPr>
    </w:lvl>
    <w:lvl w:ilvl="1">
      <w:start w:val="0"/>
      <w:numFmt w:val="bullet"/>
      <w:lvlText w:val="•"/>
      <w:lvlJc w:val="left"/>
      <w:pPr>
        <w:ind w:left="1332" w:hanging="568"/>
      </w:pPr>
      <w:rPr>
        <w:rFonts w:hint="default"/>
      </w:rPr>
    </w:lvl>
    <w:lvl w:ilvl="2">
      <w:start w:val="0"/>
      <w:numFmt w:val="bullet"/>
      <w:lvlText w:val="•"/>
      <w:lvlJc w:val="left"/>
      <w:pPr>
        <w:ind w:left="2064" w:hanging="568"/>
      </w:pPr>
      <w:rPr>
        <w:rFonts w:hint="default"/>
      </w:rPr>
    </w:lvl>
    <w:lvl w:ilvl="3">
      <w:start w:val="0"/>
      <w:numFmt w:val="bullet"/>
      <w:lvlText w:val="•"/>
      <w:lvlJc w:val="left"/>
      <w:pPr>
        <w:ind w:left="2796" w:hanging="568"/>
      </w:pPr>
      <w:rPr>
        <w:rFonts w:hint="default"/>
      </w:rPr>
    </w:lvl>
    <w:lvl w:ilvl="4">
      <w:start w:val="0"/>
      <w:numFmt w:val="bullet"/>
      <w:lvlText w:val="•"/>
      <w:lvlJc w:val="left"/>
      <w:pPr>
        <w:ind w:left="3528" w:hanging="568"/>
      </w:pPr>
      <w:rPr>
        <w:rFonts w:hint="default"/>
      </w:rPr>
    </w:lvl>
    <w:lvl w:ilvl="5">
      <w:start w:val="0"/>
      <w:numFmt w:val="bullet"/>
      <w:lvlText w:val="•"/>
      <w:lvlJc w:val="left"/>
      <w:pPr>
        <w:ind w:left="4261" w:hanging="568"/>
      </w:pPr>
      <w:rPr>
        <w:rFonts w:hint="default"/>
      </w:rPr>
    </w:lvl>
    <w:lvl w:ilvl="6">
      <w:start w:val="0"/>
      <w:numFmt w:val="bullet"/>
      <w:lvlText w:val="•"/>
      <w:lvlJc w:val="left"/>
      <w:pPr>
        <w:ind w:left="4993" w:hanging="568"/>
      </w:pPr>
      <w:rPr>
        <w:rFonts w:hint="default"/>
      </w:rPr>
    </w:lvl>
    <w:lvl w:ilvl="7">
      <w:start w:val="0"/>
      <w:numFmt w:val="bullet"/>
      <w:lvlText w:val="•"/>
      <w:lvlJc w:val="left"/>
      <w:pPr>
        <w:ind w:left="5725" w:hanging="568"/>
      </w:pPr>
      <w:rPr>
        <w:rFonts w:hint="default"/>
      </w:rPr>
    </w:lvl>
    <w:lvl w:ilvl="8">
      <w:start w:val="0"/>
      <w:numFmt w:val="bullet"/>
      <w:lvlText w:val="•"/>
      <w:lvlJc w:val="left"/>
      <w:pPr>
        <w:ind w:left="6457" w:hanging="568"/>
      </w:pPr>
      <w:rPr>
        <w:rFonts w:hint="default"/>
      </w:rPr>
    </w:lvl>
  </w:abstractNum>
  <w:abstractNum w:abstractNumId="574">
    <w:multiLevelType w:val="hybridMultilevel"/>
    <w:lvl w:ilvl="0">
      <w:start w:val="1"/>
      <w:numFmt w:val="lowerLetter"/>
      <w:lvlText w:val="(%1)"/>
      <w:lvlJc w:val="left"/>
      <w:pPr>
        <w:ind w:left="607"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332" w:hanging="567"/>
      </w:pPr>
      <w:rPr>
        <w:rFonts w:hint="default"/>
      </w:rPr>
    </w:lvl>
    <w:lvl w:ilvl="2">
      <w:start w:val="0"/>
      <w:numFmt w:val="bullet"/>
      <w:lvlText w:val="•"/>
      <w:lvlJc w:val="left"/>
      <w:pPr>
        <w:ind w:left="2064" w:hanging="567"/>
      </w:pPr>
      <w:rPr>
        <w:rFonts w:hint="default"/>
      </w:rPr>
    </w:lvl>
    <w:lvl w:ilvl="3">
      <w:start w:val="0"/>
      <w:numFmt w:val="bullet"/>
      <w:lvlText w:val="•"/>
      <w:lvlJc w:val="left"/>
      <w:pPr>
        <w:ind w:left="2796" w:hanging="567"/>
      </w:pPr>
      <w:rPr>
        <w:rFonts w:hint="default"/>
      </w:rPr>
    </w:lvl>
    <w:lvl w:ilvl="4">
      <w:start w:val="0"/>
      <w:numFmt w:val="bullet"/>
      <w:lvlText w:val="•"/>
      <w:lvlJc w:val="left"/>
      <w:pPr>
        <w:ind w:left="3528" w:hanging="567"/>
      </w:pPr>
      <w:rPr>
        <w:rFonts w:hint="default"/>
      </w:rPr>
    </w:lvl>
    <w:lvl w:ilvl="5">
      <w:start w:val="0"/>
      <w:numFmt w:val="bullet"/>
      <w:lvlText w:val="•"/>
      <w:lvlJc w:val="left"/>
      <w:pPr>
        <w:ind w:left="4261" w:hanging="567"/>
      </w:pPr>
      <w:rPr>
        <w:rFonts w:hint="default"/>
      </w:rPr>
    </w:lvl>
    <w:lvl w:ilvl="6">
      <w:start w:val="0"/>
      <w:numFmt w:val="bullet"/>
      <w:lvlText w:val="•"/>
      <w:lvlJc w:val="left"/>
      <w:pPr>
        <w:ind w:left="4993" w:hanging="567"/>
      </w:pPr>
      <w:rPr>
        <w:rFonts w:hint="default"/>
      </w:rPr>
    </w:lvl>
    <w:lvl w:ilvl="7">
      <w:start w:val="0"/>
      <w:numFmt w:val="bullet"/>
      <w:lvlText w:val="•"/>
      <w:lvlJc w:val="left"/>
      <w:pPr>
        <w:ind w:left="5725" w:hanging="567"/>
      </w:pPr>
      <w:rPr>
        <w:rFonts w:hint="default"/>
      </w:rPr>
    </w:lvl>
    <w:lvl w:ilvl="8">
      <w:start w:val="0"/>
      <w:numFmt w:val="bullet"/>
      <w:lvlText w:val="•"/>
      <w:lvlJc w:val="left"/>
      <w:pPr>
        <w:ind w:left="6457" w:hanging="567"/>
      </w:pPr>
      <w:rPr>
        <w:rFonts w:hint="default"/>
      </w:rPr>
    </w:lvl>
  </w:abstractNum>
  <w:abstractNum w:abstractNumId="57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7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70">
    <w:multiLevelType w:val="hybridMultilevel"/>
    <w:lvl w:ilvl="0">
      <w:start w:val="1"/>
      <w:numFmt w:val="lowerLetter"/>
      <w:lvlText w:val="(%1)"/>
      <w:lvlJc w:val="left"/>
      <w:pPr>
        <w:ind w:left="597"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332" w:hanging="567"/>
      </w:pPr>
      <w:rPr>
        <w:rFonts w:hint="default"/>
      </w:rPr>
    </w:lvl>
    <w:lvl w:ilvl="2">
      <w:start w:val="0"/>
      <w:numFmt w:val="bullet"/>
      <w:lvlText w:val="•"/>
      <w:lvlJc w:val="left"/>
      <w:pPr>
        <w:ind w:left="2064" w:hanging="567"/>
      </w:pPr>
      <w:rPr>
        <w:rFonts w:hint="default"/>
      </w:rPr>
    </w:lvl>
    <w:lvl w:ilvl="3">
      <w:start w:val="0"/>
      <w:numFmt w:val="bullet"/>
      <w:lvlText w:val="•"/>
      <w:lvlJc w:val="left"/>
      <w:pPr>
        <w:ind w:left="2796" w:hanging="567"/>
      </w:pPr>
      <w:rPr>
        <w:rFonts w:hint="default"/>
      </w:rPr>
    </w:lvl>
    <w:lvl w:ilvl="4">
      <w:start w:val="0"/>
      <w:numFmt w:val="bullet"/>
      <w:lvlText w:val="•"/>
      <w:lvlJc w:val="left"/>
      <w:pPr>
        <w:ind w:left="3528" w:hanging="567"/>
      </w:pPr>
      <w:rPr>
        <w:rFonts w:hint="default"/>
      </w:rPr>
    </w:lvl>
    <w:lvl w:ilvl="5">
      <w:start w:val="0"/>
      <w:numFmt w:val="bullet"/>
      <w:lvlText w:val="•"/>
      <w:lvlJc w:val="left"/>
      <w:pPr>
        <w:ind w:left="4261" w:hanging="567"/>
      </w:pPr>
      <w:rPr>
        <w:rFonts w:hint="default"/>
      </w:rPr>
    </w:lvl>
    <w:lvl w:ilvl="6">
      <w:start w:val="0"/>
      <w:numFmt w:val="bullet"/>
      <w:lvlText w:val="•"/>
      <w:lvlJc w:val="left"/>
      <w:pPr>
        <w:ind w:left="4993" w:hanging="567"/>
      </w:pPr>
      <w:rPr>
        <w:rFonts w:hint="default"/>
      </w:rPr>
    </w:lvl>
    <w:lvl w:ilvl="7">
      <w:start w:val="0"/>
      <w:numFmt w:val="bullet"/>
      <w:lvlText w:val="•"/>
      <w:lvlJc w:val="left"/>
      <w:pPr>
        <w:ind w:left="5725" w:hanging="567"/>
      </w:pPr>
      <w:rPr>
        <w:rFonts w:hint="default"/>
      </w:rPr>
    </w:lvl>
    <w:lvl w:ilvl="8">
      <w:start w:val="0"/>
      <w:numFmt w:val="bullet"/>
      <w:lvlText w:val="•"/>
      <w:lvlJc w:val="left"/>
      <w:pPr>
        <w:ind w:left="6457" w:hanging="567"/>
      </w:pPr>
      <w:rPr>
        <w:rFonts w:hint="default"/>
      </w:rPr>
    </w:lvl>
  </w:abstractNum>
  <w:abstractNum w:abstractNumId="569">
    <w:multiLevelType w:val="hybridMultilevel"/>
    <w:lvl w:ilvl="0">
      <w:start w:val="1"/>
      <w:numFmt w:val="lowerLetter"/>
      <w:lvlText w:val="(%1)"/>
      <w:lvlJc w:val="left"/>
      <w:pPr>
        <w:ind w:left="607"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332" w:hanging="567"/>
      </w:pPr>
      <w:rPr>
        <w:rFonts w:hint="default"/>
      </w:rPr>
    </w:lvl>
    <w:lvl w:ilvl="2">
      <w:start w:val="0"/>
      <w:numFmt w:val="bullet"/>
      <w:lvlText w:val="•"/>
      <w:lvlJc w:val="left"/>
      <w:pPr>
        <w:ind w:left="2064" w:hanging="567"/>
      </w:pPr>
      <w:rPr>
        <w:rFonts w:hint="default"/>
      </w:rPr>
    </w:lvl>
    <w:lvl w:ilvl="3">
      <w:start w:val="0"/>
      <w:numFmt w:val="bullet"/>
      <w:lvlText w:val="•"/>
      <w:lvlJc w:val="left"/>
      <w:pPr>
        <w:ind w:left="2796" w:hanging="567"/>
      </w:pPr>
      <w:rPr>
        <w:rFonts w:hint="default"/>
      </w:rPr>
    </w:lvl>
    <w:lvl w:ilvl="4">
      <w:start w:val="0"/>
      <w:numFmt w:val="bullet"/>
      <w:lvlText w:val="•"/>
      <w:lvlJc w:val="left"/>
      <w:pPr>
        <w:ind w:left="3528" w:hanging="567"/>
      </w:pPr>
      <w:rPr>
        <w:rFonts w:hint="default"/>
      </w:rPr>
    </w:lvl>
    <w:lvl w:ilvl="5">
      <w:start w:val="0"/>
      <w:numFmt w:val="bullet"/>
      <w:lvlText w:val="•"/>
      <w:lvlJc w:val="left"/>
      <w:pPr>
        <w:ind w:left="4261" w:hanging="567"/>
      </w:pPr>
      <w:rPr>
        <w:rFonts w:hint="default"/>
      </w:rPr>
    </w:lvl>
    <w:lvl w:ilvl="6">
      <w:start w:val="0"/>
      <w:numFmt w:val="bullet"/>
      <w:lvlText w:val="•"/>
      <w:lvlJc w:val="left"/>
      <w:pPr>
        <w:ind w:left="4993" w:hanging="567"/>
      </w:pPr>
      <w:rPr>
        <w:rFonts w:hint="default"/>
      </w:rPr>
    </w:lvl>
    <w:lvl w:ilvl="7">
      <w:start w:val="0"/>
      <w:numFmt w:val="bullet"/>
      <w:lvlText w:val="•"/>
      <w:lvlJc w:val="left"/>
      <w:pPr>
        <w:ind w:left="5725" w:hanging="567"/>
      </w:pPr>
      <w:rPr>
        <w:rFonts w:hint="default"/>
      </w:rPr>
    </w:lvl>
    <w:lvl w:ilvl="8">
      <w:start w:val="0"/>
      <w:numFmt w:val="bullet"/>
      <w:lvlText w:val="•"/>
      <w:lvlJc w:val="left"/>
      <w:pPr>
        <w:ind w:left="6457" w:hanging="567"/>
      </w:pPr>
      <w:rPr>
        <w:rFonts w:hint="default"/>
      </w:rPr>
    </w:lvl>
  </w:abstractNum>
  <w:abstractNum w:abstractNumId="56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6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6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6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6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7"/>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6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5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5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5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5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5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4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4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4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4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4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3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3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3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36">
    <w:multiLevelType w:val="hybridMultilevel"/>
    <w:lvl w:ilvl="0">
      <w:start w:val="2"/>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35">
    <w:multiLevelType w:val="hybridMultilevel"/>
    <w:lvl w:ilvl="0">
      <w:start w:val="1"/>
      <w:numFmt w:val="lowerLetter"/>
      <w:lvlText w:val="(%1)"/>
      <w:lvlJc w:val="left"/>
      <w:pPr>
        <w:ind w:left="1352" w:hanging="306"/>
        <w:jc w:val="left"/>
      </w:pPr>
      <w:rPr>
        <w:rFonts w:hint="default" w:ascii="Times New Roman" w:hAnsi="Times New Roman" w:eastAsia="Times New Roman" w:cs="Times New Roman"/>
        <w:spacing w:val="-16"/>
        <w:w w:val="100"/>
        <w:sz w:val="20"/>
        <w:szCs w:val="20"/>
      </w:rPr>
    </w:lvl>
    <w:lvl w:ilvl="1">
      <w:start w:val="0"/>
      <w:numFmt w:val="bullet"/>
      <w:lvlText w:val="•"/>
      <w:lvlJc w:val="left"/>
      <w:pPr>
        <w:ind w:left="2194" w:hanging="306"/>
      </w:pPr>
      <w:rPr>
        <w:rFonts w:hint="default"/>
      </w:rPr>
    </w:lvl>
    <w:lvl w:ilvl="2">
      <w:start w:val="0"/>
      <w:numFmt w:val="bullet"/>
      <w:lvlText w:val="•"/>
      <w:lvlJc w:val="left"/>
      <w:pPr>
        <w:ind w:left="3029" w:hanging="306"/>
      </w:pPr>
      <w:rPr>
        <w:rFonts w:hint="default"/>
      </w:rPr>
    </w:lvl>
    <w:lvl w:ilvl="3">
      <w:start w:val="0"/>
      <w:numFmt w:val="bullet"/>
      <w:lvlText w:val="•"/>
      <w:lvlJc w:val="left"/>
      <w:pPr>
        <w:ind w:left="3864" w:hanging="306"/>
      </w:pPr>
      <w:rPr>
        <w:rFonts w:hint="default"/>
      </w:rPr>
    </w:lvl>
    <w:lvl w:ilvl="4">
      <w:start w:val="0"/>
      <w:numFmt w:val="bullet"/>
      <w:lvlText w:val="•"/>
      <w:lvlJc w:val="left"/>
      <w:pPr>
        <w:ind w:left="4698" w:hanging="306"/>
      </w:pPr>
      <w:rPr>
        <w:rFonts w:hint="default"/>
      </w:rPr>
    </w:lvl>
    <w:lvl w:ilvl="5">
      <w:start w:val="0"/>
      <w:numFmt w:val="bullet"/>
      <w:lvlText w:val="•"/>
      <w:lvlJc w:val="left"/>
      <w:pPr>
        <w:ind w:left="5533" w:hanging="306"/>
      </w:pPr>
      <w:rPr>
        <w:rFonts w:hint="default"/>
      </w:rPr>
    </w:lvl>
    <w:lvl w:ilvl="6">
      <w:start w:val="0"/>
      <w:numFmt w:val="bullet"/>
      <w:lvlText w:val="•"/>
      <w:lvlJc w:val="left"/>
      <w:pPr>
        <w:ind w:left="6368" w:hanging="306"/>
      </w:pPr>
      <w:rPr>
        <w:rFonts w:hint="default"/>
      </w:rPr>
    </w:lvl>
    <w:lvl w:ilvl="7">
      <w:start w:val="0"/>
      <w:numFmt w:val="bullet"/>
      <w:lvlText w:val="•"/>
      <w:lvlJc w:val="left"/>
      <w:pPr>
        <w:ind w:left="7202" w:hanging="306"/>
      </w:pPr>
      <w:rPr>
        <w:rFonts w:hint="default"/>
      </w:rPr>
    </w:lvl>
    <w:lvl w:ilvl="8">
      <w:start w:val="0"/>
      <w:numFmt w:val="bullet"/>
      <w:lvlText w:val="•"/>
      <w:lvlJc w:val="left"/>
      <w:pPr>
        <w:ind w:left="8037" w:hanging="306"/>
      </w:pPr>
      <w:rPr>
        <w:rFonts w:hint="default"/>
      </w:rPr>
    </w:lvl>
  </w:abstractNum>
  <w:abstractNum w:abstractNumId="53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3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3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3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3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2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2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2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2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2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24">
    <w:multiLevelType w:val="hybridMultilevel"/>
    <w:lvl w:ilvl="0">
      <w:start w:val="1"/>
      <w:numFmt w:val="lowerLetter"/>
      <w:lvlText w:val="(%1)"/>
      <w:lvlJc w:val="left"/>
      <w:pPr>
        <w:ind w:left="1352" w:hanging="306"/>
        <w:jc w:val="left"/>
      </w:pPr>
      <w:rPr>
        <w:rFonts w:hint="default" w:ascii="Times New Roman" w:hAnsi="Times New Roman" w:eastAsia="Times New Roman" w:cs="Times New Roman"/>
        <w:spacing w:val="-16"/>
        <w:w w:val="100"/>
        <w:sz w:val="20"/>
        <w:szCs w:val="20"/>
      </w:rPr>
    </w:lvl>
    <w:lvl w:ilvl="1">
      <w:start w:val="0"/>
      <w:numFmt w:val="bullet"/>
      <w:lvlText w:val="•"/>
      <w:lvlJc w:val="left"/>
      <w:pPr>
        <w:ind w:left="2194" w:hanging="306"/>
      </w:pPr>
      <w:rPr>
        <w:rFonts w:hint="default"/>
      </w:rPr>
    </w:lvl>
    <w:lvl w:ilvl="2">
      <w:start w:val="0"/>
      <w:numFmt w:val="bullet"/>
      <w:lvlText w:val="•"/>
      <w:lvlJc w:val="left"/>
      <w:pPr>
        <w:ind w:left="3029" w:hanging="306"/>
      </w:pPr>
      <w:rPr>
        <w:rFonts w:hint="default"/>
      </w:rPr>
    </w:lvl>
    <w:lvl w:ilvl="3">
      <w:start w:val="0"/>
      <w:numFmt w:val="bullet"/>
      <w:lvlText w:val="•"/>
      <w:lvlJc w:val="left"/>
      <w:pPr>
        <w:ind w:left="3864" w:hanging="306"/>
      </w:pPr>
      <w:rPr>
        <w:rFonts w:hint="default"/>
      </w:rPr>
    </w:lvl>
    <w:lvl w:ilvl="4">
      <w:start w:val="0"/>
      <w:numFmt w:val="bullet"/>
      <w:lvlText w:val="•"/>
      <w:lvlJc w:val="left"/>
      <w:pPr>
        <w:ind w:left="4698" w:hanging="306"/>
      </w:pPr>
      <w:rPr>
        <w:rFonts w:hint="default"/>
      </w:rPr>
    </w:lvl>
    <w:lvl w:ilvl="5">
      <w:start w:val="0"/>
      <w:numFmt w:val="bullet"/>
      <w:lvlText w:val="•"/>
      <w:lvlJc w:val="left"/>
      <w:pPr>
        <w:ind w:left="5533" w:hanging="306"/>
      </w:pPr>
      <w:rPr>
        <w:rFonts w:hint="default"/>
      </w:rPr>
    </w:lvl>
    <w:lvl w:ilvl="6">
      <w:start w:val="0"/>
      <w:numFmt w:val="bullet"/>
      <w:lvlText w:val="•"/>
      <w:lvlJc w:val="left"/>
      <w:pPr>
        <w:ind w:left="6368" w:hanging="306"/>
      </w:pPr>
      <w:rPr>
        <w:rFonts w:hint="default"/>
      </w:rPr>
    </w:lvl>
    <w:lvl w:ilvl="7">
      <w:start w:val="0"/>
      <w:numFmt w:val="bullet"/>
      <w:lvlText w:val="•"/>
      <w:lvlJc w:val="left"/>
      <w:pPr>
        <w:ind w:left="7202" w:hanging="306"/>
      </w:pPr>
      <w:rPr>
        <w:rFonts w:hint="default"/>
      </w:rPr>
    </w:lvl>
    <w:lvl w:ilvl="8">
      <w:start w:val="0"/>
      <w:numFmt w:val="bullet"/>
      <w:lvlText w:val="•"/>
      <w:lvlJc w:val="left"/>
      <w:pPr>
        <w:ind w:left="8037" w:hanging="306"/>
      </w:pPr>
      <w:rPr>
        <w:rFonts w:hint="default"/>
      </w:rPr>
    </w:lvl>
  </w:abstractNum>
  <w:abstractNum w:abstractNumId="523">
    <w:multiLevelType w:val="hybridMultilevel"/>
    <w:lvl w:ilvl="0">
      <w:start w:val="2"/>
      <w:numFmt w:val="lowerLetter"/>
      <w:lvlText w:val="(%1)"/>
      <w:lvlJc w:val="left"/>
      <w:pPr>
        <w:ind w:left="230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876" w:hanging="567"/>
        <w:jc w:val="left"/>
      </w:pPr>
      <w:rPr>
        <w:rFonts w:hint="default" w:ascii="Times New Roman" w:hAnsi="Times New Roman" w:eastAsia="Times New Roman" w:cs="Times New Roman"/>
        <w:spacing w:val="-5"/>
        <w:w w:val="100"/>
        <w:sz w:val="24"/>
        <w:szCs w:val="24"/>
      </w:rPr>
    </w:lvl>
    <w:lvl w:ilvl="2">
      <w:start w:val="1"/>
      <w:numFmt w:val="lowerRoman"/>
      <w:lvlText w:val="(%3)"/>
      <w:lvlJc w:val="left"/>
      <w:pPr>
        <w:ind w:left="3442" w:hanging="567"/>
        <w:jc w:val="left"/>
      </w:pPr>
      <w:rPr>
        <w:rFonts w:hint="default" w:ascii="Times New Roman" w:hAnsi="Times New Roman" w:eastAsia="Times New Roman" w:cs="Times New Roman"/>
        <w:spacing w:val="-1"/>
        <w:w w:val="100"/>
        <w:sz w:val="24"/>
        <w:szCs w:val="24"/>
      </w:rPr>
    </w:lvl>
    <w:lvl w:ilvl="3">
      <w:start w:val="1"/>
      <w:numFmt w:val="upperLetter"/>
      <w:lvlText w:val="(%4)"/>
      <w:lvlJc w:val="left"/>
      <w:pPr>
        <w:ind w:left="5143"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5792" w:hanging="567"/>
      </w:pPr>
      <w:rPr>
        <w:rFonts w:hint="default"/>
      </w:rPr>
    </w:lvl>
    <w:lvl w:ilvl="5">
      <w:start w:val="0"/>
      <w:numFmt w:val="bullet"/>
      <w:lvlText w:val="•"/>
      <w:lvlJc w:val="left"/>
      <w:pPr>
        <w:ind w:left="6444" w:hanging="567"/>
      </w:pPr>
      <w:rPr>
        <w:rFonts w:hint="default"/>
      </w:rPr>
    </w:lvl>
    <w:lvl w:ilvl="6">
      <w:start w:val="0"/>
      <w:numFmt w:val="bullet"/>
      <w:lvlText w:val="•"/>
      <w:lvlJc w:val="left"/>
      <w:pPr>
        <w:ind w:left="7097" w:hanging="567"/>
      </w:pPr>
      <w:rPr>
        <w:rFonts w:hint="default"/>
      </w:rPr>
    </w:lvl>
    <w:lvl w:ilvl="7">
      <w:start w:val="0"/>
      <w:numFmt w:val="bullet"/>
      <w:lvlText w:val="•"/>
      <w:lvlJc w:val="left"/>
      <w:pPr>
        <w:ind w:left="7749" w:hanging="567"/>
      </w:pPr>
      <w:rPr>
        <w:rFonts w:hint="default"/>
      </w:rPr>
    </w:lvl>
    <w:lvl w:ilvl="8">
      <w:start w:val="0"/>
      <w:numFmt w:val="bullet"/>
      <w:lvlText w:val="•"/>
      <w:lvlJc w:val="left"/>
      <w:pPr>
        <w:ind w:left="8402" w:hanging="567"/>
      </w:pPr>
      <w:rPr>
        <w:rFonts w:hint="default"/>
      </w:rPr>
    </w:lvl>
  </w:abstractNum>
  <w:abstractNum w:abstractNumId="522">
    <w:multiLevelType w:val="hybridMultilevel"/>
    <w:lvl w:ilvl="0">
      <w:start w:val="2"/>
      <w:numFmt w:val="lowerLetter"/>
      <w:lvlText w:val="(%1)"/>
      <w:lvlJc w:val="left"/>
      <w:pPr>
        <w:ind w:left="230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87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638" w:hanging="567"/>
      </w:pPr>
      <w:rPr>
        <w:rFonts w:hint="default"/>
      </w:rPr>
    </w:lvl>
    <w:lvl w:ilvl="3">
      <w:start w:val="0"/>
      <w:numFmt w:val="bullet"/>
      <w:lvlText w:val="•"/>
      <w:lvlJc w:val="left"/>
      <w:pPr>
        <w:ind w:left="4397" w:hanging="567"/>
      </w:pPr>
      <w:rPr>
        <w:rFonts w:hint="default"/>
      </w:rPr>
    </w:lvl>
    <w:lvl w:ilvl="4">
      <w:start w:val="0"/>
      <w:numFmt w:val="bullet"/>
      <w:lvlText w:val="•"/>
      <w:lvlJc w:val="left"/>
      <w:pPr>
        <w:ind w:left="5155" w:hanging="567"/>
      </w:pPr>
      <w:rPr>
        <w:rFonts w:hint="default"/>
      </w:rPr>
    </w:lvl>
    <w:lvl w:ilvl="5">
      <w:start w:val="0"/>
      <w:numFmt w:val="bullet"/>
      <w:lvlText w:val="•"/>
      <w:lvlJc w:val="left"/>
      <w:pPr>
        <w:ind w:left="5914" w:hanging="567"/>
      </w:pPr>
      <w:rPr>
        <w:rFonts w:hint="default"/>
      </w:rPr>
    </w:lvl>
    <w:lvl w:ilvl="6">
      <w:start w:val="0"/>
      <w:numFmt w:val="bullet"/>
      <w:lvlText w:val="•"/>
      <w:lvlJc w:val="left"/>
      <w:pPr>
        <w:ind w:left="6672" w:hanging="567"/>
      </w:pPr>
      <w:rPr>
        <w:rFonts w:hint="default"/>
      </w:rPr>
    </w:lvl>
    <w:lvl w:ilvl="7">
      <w:start w:val="0"/>
      <w:numFmt w:val="bullet"/>
      <w:lvlText w:val="•"/>
      <w:lvlJc w:val="left"/>
      <w:pPr>
        <w:ind w:left="7431" w:hanging="567"/>
      </w:pPr>
      <w:rPr>
        <w:rFonts w:hint="default"/>
      </w:rPr>
    </w:lvl>
    <w:lvl w:ilvl="8">
      <w:start w:val="0"/>
      <w:numFmt w:val="bullet"/>
      <w:lvlText w:val="•"/>
      <w:lvlJc w:val="left"/>
      <w:pPr>
        <w:ind w:left="8189" w:hanging="567"/>
      </w:pPr>
      <w:rPr>
        <w:rFonts w:hint="default"/>
      </w:rPr>
    </w:lvl>
  </w:abstractNum>
  <w:abstractNum w:abstractNumId="52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2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1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1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righ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1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1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1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1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1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1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1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1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0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0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6"/>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50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0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0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0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0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0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9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9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9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9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9"/>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9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8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8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8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8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8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8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3053" w:hanging="567"/>
        <w:jc w:val="left"/>
      </w:pPr>
      <w:rPr>
        <w:rFonts w:hint="default" w:ascii="Times New Roman" w:hAnsi="Times New Roman" w:eastAsia="Times New Roman" w:cs="Times New Roman"/>
        <w:spacing w:val="-22"/>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48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8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8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8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7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7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7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7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7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74">
    <w:multiLevelType w:val="hybridMultilevel"/>
    <w:lvl w:ilvl="0">
      <w:start w:val="1"/>
      <w:numFmt w:val="lowerLetter"/>
      <w:lvlText w:val="(%1)"/>
      <w:lvlJc w:val="left"/>
      <w:pPr>
        <w:ind w:left="1657" w:hanging="306"/>
        <w:jc w:val="left"/>
      </w:pPr>
      <w:rPr>
        <w:rFonts w:hint="default" w:ascii="Times New Roman" w:hAnsi="Times New Roman" w:eastAsia="Times New Roman" w:cs="Times New Roman"/>
        <w:spacing w:val="-16"/>
        <w:w w:val="100"/>
        <w:sz w:val="20"/>
        <w:szCs w:val="20"/>
      </w:rPr>
    </w:lvl>
    <w:lvl w:ilvl="1">
      <w:start w:val="0"/>
      <w:numFmt w:val="bullet"/>
      <w:lvlText w:val="•"/>
      <w:lvlJc w:val="left"/>
      <w:pPr>
        <w:ind w:left="2464" w:hanging="306"/>
      </w:pPr>
      <w:rPr>
        <w:rFonts w:hint="default"/>
      </w:rPr>
    </w:lvl>
    <w:lvl w:ilvl="2">
      <w:start w:val="0"/>
      <w:numFmt w:val="bullet"/>
      <w:lvlText w:val="•"/>
      <w:lvlJc w:val="left"/>
      <w:pPr>
        <w:ind w:left="3269" w:hanging="306"/>
      </w:pPr>
      <w:rPr>
        <w:rFonts w:hint="default"/>
      </w:rPr>
    </w:lvl>
    <w:lvl w:ilvl="3">
      <w:start w:val="0"/>
      <w:numFmt w:val="bullet"/>
      <w:lvlText w:val="•"/>
      <w:lvlJc w:val="left"/>
      <w:pPr>
        <w:ind w:left="4074" w:hanging="306"/>
      </w:pPr>
      <w:rPr>
        <w:rFonts w:hint="default"/>
      </w:rPr>
    </w:lvl>
    <w:lvl w:ilvl="4">
      <w:start w:val="0"/>
      <w:numFmt w:val="bullet"/>
      <w:lvlText w:val="•"/>
      <w:lvlJc w:val="left"/>
      <w:pPr>
        <w:ind w:left="4878" w:hanging="306"/>
      </w:pPr>
      <w:rPr>
        <w:rFonts w:hint="default"/>
      </w:rPr>
    </w:lvl>
    <w:lvl w:ilvl="5">
      <w:start w:val="0"/>
      <w:numFmt w:val="bullet"/>
      <w:lvlText w:val="•"/>
      <w:lvlJc w:val="left"/>
      <w:pPr>
        <w:ind w:left="5683" w:hanging="306"/>
      </w:pPr>
      <w:rPr>
        <w:rFonts w:hint="default"/>
      </w:rPr>
    </w:lvl>
    <w:lvl w:ilvl="6">
      <w:start w:val="0"/>
      <w:numFmt w:val="bullet"/>
      <w:lvlText w:val="•"/>
      <w:lvlJc w:val="left"/>
      <w:pPr>
        <w:ind w:left="6488" w:hanging="306"/>
      </w:pPr>
      <w:rPr>
        <w:rFonts w:hint="default"/>
      </w:rPr>
    </w:lvl>
    <w:lvl w:ilvl="7">
      <w:start w:val="0"/>
      <w:numFmt w:val="bullet"/>
      <w:lvlText w:val="•"/>
      <w:lvlJc w:val="left"/>
      <w:pPr>
        <w:ind w:left="7292" w:hanging="306"/>
      </w:pPr>
      <w:rPr>
        <w:rFonts w:hint="default"/>
      </w:rPr>
    </w:lvl>
    <w:lvl w:ilvl="8">
      <w:start w:val="0"/>
      <w:numFmt w:val="bullet"/>
      <w:lvlText w:val="•"/>
      <w:lvlJc w:val="left"/>
      <w:pPr>
        <w:ind w:left="8097" w:hanging="306"/>
      </w:pPr>
      <w:rPr>
        <w:rFonts w:hint="default"/>
      </w:rPr>
    </w:lvl>
  </w:abstractNum>
  <w:abstractNum w:abstractNumId="47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72">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47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7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6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68">
    <w:multiLevelType w:val="hybridMultilevel"/>
    <w:lvl w:ilvl="0">
      <w:start w:val="9"/>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7"/>
        <w:w w:val="100"/>
        <w:sz w:val="24"/>
        <w:szCs w:val="24"/>
      </w:rPr>
    </w:lvl>
    <w:lvl w:ilvl="2">
      <w:start w:val="0"/>
      <w:numFmt w:val="bullet"/>
      <w:lvlText w:val="•"/>
      <w:lvlJc w:val="left"/>
      <w:pPr>
        <w:ind w:left="2480" w:hanging="567"/>
      </w:pPr>
      <w:rPr>
        <w:rFonts w:hint="default"/>
      </w:rPr>
    </w:lvl>
    <w:lvl w:ilvl="3">
      <w:start w:val="0"/>
      <w:numFmt w:val="bullet"/>
      <w:lvlText w:val="•"/>
      <w:lvlJc w:val="left"/>
      <w:pPr>
        <w:ind w:left="3383" w:hanging="567"/>
      </w:pPr>
      <w:rPr>
        <w:rFonts w:hint="default"/>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67">
    <w:multiLevelType w:val="hybridMultilevel"/>
    <w:lvl w:ilvl="0">
      <w:start w:val="7"/>
      <w:numFmt w:val="lowerLetter"/>
      <w:lvlText w:val="(%1)"/>
      <w:lvlJc w:val="left"/>
      <w:pPr>
        <w:ind w:left="1918" w:hanging="567"/>
        <w:jc w:val="left"/>
      </w:pPr>
      <w:rPr>
        <w:rFonts w:hint="default" w:ascii="Times New Roman" w:hAnsi="Times New Roman" w:eastAsia="Times New Roman" w:cs="Times New Roman"/>
        <w:spacing w:val="-13"/>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6"/>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66">
    <w:multiLevelType w:val="hybridMultilevel"/>
    <w:lvl w:ilvl="0">
      <w:start w:val="1"/>
      <w:numFmt w:val="lowerLetter"/>
      <w:lvlText w:val="(%1)"/>
      <w:lvlJc w:val="left"/>
      <w:pPr>
        <w:ind w:left="1919" w:hanging="567"/>
        <w:jc w:val="righ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65">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464">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46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62">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61">
    <w:multiLevelType w:val="hybridMultilevel"/>
    <w:lvl w:ilvl="0">
      <w:start w:val="1"/>
      <w:numFmt w:val="lowerRoman"/>
      <w:lvlText w:val="(%1)"/>
      <w:lvlJc w:val="left"/>
      <w:pPr>
        <w:ind w:left="2486"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60">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459">
    <w:multiLevelType w:val="hybridMultilevel"/>
    <w:lvl w:ilvl="0">
      <w:start w:val="1"/>
      <w:numFmt w:val="lowerRoman"/>
      <w:lvlText w:val="(%1)"/>
      <w:lvlJc w:val="left"/>
      <w:pPr>
        <w:ind w:left="2486" w:hanging="567"/>
        <w:jc w:val="left"/>
      </w:pPr>
      <w:rPr>
        <w:rFonts w:hint="default" w:ascii="Times New Roman" w:hAnsi="Times New Roman" w:eastAsia="Times New Roman" w:cs="Times New Roman"/>
        <w:spacing w:val="-20"/>
        <w:w w:val="100"/>
        <w:sz w:val="24"/>
        <w:szCs w:val="24"/>
      </w:rPr>
    </w:lvl>
    <w:lvl w:ilvl="1">
      <w:start w:val="1"/>
      <w:numFmt w:val="upperLetter"/>
      <w:lvlText w:val="(%2)"/>
      <w:lvlJc w:val="left"/>
      <w:pPr>
        <w:ind w:left="3053" w:hanging="567"/>
        <w:jc w:val="left"/>
      </w:pPr>
      <w:rPr>
        <w:rFonts w:hint="default" w:ascii="Times New Roman" w:hAnsi="Times New Roman" w:eastAsia="Times New Roman" w:cs="Times New Roman"/>
        <w:spacing w:val="-7"/>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458">
    <w:multiLevelType w:val="hybridMultilevel"/>
    <w:lvl w:ilvl="0">
      <w:start w:val="6"/>
      <w:numFmt w:val="decimal"/>
      <w:lvlText w:val="%1"/>
      <w:lvlJc w:val="left"/>
      <w:pPr>
        <w:ind w:left="1351" w:hanging="1134"/>
        <w:jc w:val="left"/>
      </w:pPr>
      <w:rPr>
        <w:rFonts w:hint="default"/>
      </w:rPr>
    </w:lvl>
    <w:lvl w:ilvl="1">
      <w:start w:val="24"/>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457">
    <w:multiLevelType w:val="hybridMultilevel"/>
    <w:lvl w:ilvl="0">
      <w:start w:val="6"/>
      <w:numFmt w:val="decimal"/>
      <w:lvlText w:val="%1"/>
      <w:lvlJc w:val="left"/>
      <w:pPr>
        <w:ind w:left="1351" w:hanging="1134"/>
        <w:jc w:val="left"/>
      </w:pPr>
      <w:rPr>
        <w:rFonts w:hint="default"/>
      </w:rPr>
    </w:lvl>
    <w:lvl w:ilvl="1">
      <w:start w:val="2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5"/>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56">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55">
    <w:multiLevelType w:val="hybridMultilevel"/>
    <w:lvl w:ilvl="0">
      <w:start w:val="6"/>
      <w:numFmt w:val="decimal"/>
      <w:lvlText w:val="%1"/>
      <w:lvlJc w:val="left"/>
      <w:pPr>
        <w:ind w:left="1351" w:hanging="1134"/>
        <w:jc w:val="left"/>
      </w:pPr>
      <w:rPr>
        <w:rFonts w:hint="default"/>
      </w:rPr>
    </w:lvl>
    <w:lvl w:ilvl="1">
      <w:start w:val="21"/>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7"/>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5"/>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54">
    <w:multiLevelType w:val="hybridMultilevel"/>
    <w:lvl w:ilvl="0">
      <w:start w:val="6"/>
      <w:numFmt w:val="decimal"/>
      <w:lvlText w:val="%1"/>
      <w:lvlJc w:val="left"/>
      <w:pPr>
        <w:ind w:left="1351" w:hanging="1134"/>
        <w:jc w:val="left"/>
      </w:pPr>
      <w:rPr>
        <w:rFonts w:hint="default"/>
      </w:rPr>
    </w:lvl>
    <w:lvl w:ilvl="1">
      <w:start w:val="20"/>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3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53">
    <w:multiLevelType w:val="hybridMultilevel"/>
    <w:lvl w:ilvl="0">
      <w:start w:val="6"/>
      <w:numFmt w:val="decimal"/>
      <w:lvlText w:val="%1"/>
      <w:lvlJc w:val="left"/>
      <w:pPr>
        <w:ind w:left="1352" w:hanging="1134"/>
        <w:jc w:val="left"/>
      </w:pPr>
      <w:rPr>
        <w:rFonts w:hint="default"/>
      </w:rPr>
    </w:lvl>
    <w:lvl w:ilvl="1">
      <w:start w:val="19"/>
      <w:numFmt w:val="decimal"/>
      <w:lvlText w:val="%1.%2"/>
      <w:lvlJc w:val="left"/>
      <w:pPr>
        <w:ind w:left="1352" w:hanging="1134"/>
        <w:jc w:val="left"/>
      </w:pPr>
      <w:rPr>
        <w:rFonts w:hint="default"/>
      </w:rPr>
    </w:lvl>
    <w:lvl w:ilvl="2">
      <w:start w:val="1"/>
      <w:numFmt w:val="decimal"/>
      <w:lvlText w:val="%1.%2.%3"/>
      <w:lvlJc w:val="left"/>
      <w:pPr>
        <w:ind w:left="1352"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452">
    <w:multiLevelType w:val="hybridMultilevel"/>
    <w:lvl w:ilvl="0">
      <w:start w:val="1"/>
      <w:numFmt w:val="lowerRoman"/>
      <w:lvlText w:val="(%1)"/>
      <w:lvlJc w:val="left"/>
      <w:pPr>
        <w:ind w:left="2485"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51">
    <w:multiLevelType w:val="hybridMultilevel"/>
    <w:lvl w:ilvl="0">
      <w:start w:val="6"/>
      <w:numFmt w:val="decimal"/>
      <w:lvlText w:val="%1"/>
      <w:lvlJc w:val="left"/>
      <w:pPr>
        <w:ind w:left="886" w:hanging="669"/>
        <w:jc w:val="left"/>
      </w:pPr>
      <w:rPr>
        <w:rFonts w:hint="default"/>
      </w:rPr>
    </w:lvl>
    <w:lvl w:ilvl="1">
      <w:start w:val="18"/>
      <w:numFmt w:val="decimal"/>
      <w:lvlText w:val="%1.%2"/>
      <w:lvlJc w:val="left"/>
      <w:pPr>
        <w:ind w:left="886" w:hanging="669"/>
        <w:jc w:val="left"/>
      </w:pPr>
      <w:rPr>
        <w:rFonts w:hint="default"/>
      </w:rPr>
    </w:lvl>
    <w:lvl w:ilvl="2">
      <w:start w:val="7"/>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2"/>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30"/>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50">
    <w:multiLevelType w:val="hybridMultilevel"/>
    <w:lvl w:ilvl="0">
      <w:start w:val="6"/>
      <w:numFmt w:val="decimal"/>
      <w:lvlText w:val="%1"/>
      <w:lvlJc w:val="left"/>
      <w:pPr>
        <w:ind w:left="886" w:hanging="669"/>
        <w:jc w:val="left"/>
      </w:pPr>
      <w:rPr>
        <w:rFonts w:hint="default"/>
      </w:rPr>
    </w:lvl>
    <w:lvl w:ilvl="1">
      <w:start w:val="18"/>
      <w:numFmt w:val="decimal"/>
      <w:lvlText w:val="%1.%2"/>
      <w:lvlJc w:val="left"/>
      <w:pPr>
        <w:ind w:left="886" w:hanging="669"/>
        <w:jc w:val="left"/>
      </w:pPr>
      <w:rPr>
        <w:rFonts w:hint="default"/>
      </w:rPr>
    </w:lvl>
    <w:lvl w:ilvl="2">
      <w:start w:val="1"/>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2"/>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6"/>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49">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448">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447">
    <w:multiLevelType w:val="hybridMultilevel"/>
    <w:lvl w:ilvl="0">
      <w:start w:val="6"/>
      <w:numFmt w:val="decimal"/>
      <w:lvlText w:val="%1"/>
      <w:lvlJc w:val="left"/>
      <w:pPr>
        <w:ind w:left="886" w:hanging="669"/>
        <w:jc w:val="left"/>
      </w:pPr>
      <w:rPr>
        <w:rFonts w:hint="default"/>
      </w:rPr>
    </w:lvl>
    <w:lvl w:ilvl="1">
      <w:start w:val="18"/>
      <w:numFmt w:val="decimal"/>
      <w:lvlText w:val="%1.%2"/>
      <w:lvlJc w:val="left"/>
      <w:pPr>
        <w:ind w:left="886" w:hanging="669"/>
        <w:jc w:val="left"/>
      </w:pPr>
      <w:rPr>
        <w:rFonts w:hint="default"/>
      </w:rPr>
    </w:lvl>
    <w:lvl w:ilvl="2">
      <w:start w:val="1"/>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2"/>
        <w:w w:val="100"/>
        <w:sz w:val="24"/>
        <w:szCs w:val="24"/>
      </w:rPr>
    </w:lvl>
    <w:lvl w:ilvl="4">
      <w:start w:val="1"/>
      <w:numFmt w:val="lowerLetter"/>
      <w:lvlText w:val="(%5)"/>
      <w:lvlJc w:val="left"/>
      <w:pPr>
        <w:ind w:left="2245" w:hanging="32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040" w:hanging="327"/>
      </w:pPr>
      <w:rPr>
        <w:rFonts w:hint="default"/>
      </w:rPr>
    </w:lvl>
    <w:lvl w:ilvl="6">
      <w:start w:val="0"/>
      <w:numFmt w:val="bullet"/>
      <w:lvlText w:val="•"/>
      <w:lvlJc w:val="left"/>
      <w:pPr>
        <w:ind w:left="5973" w:hanging="327"/>
      </w:pPr>
      <w:rPr>
        <w:rFonts w:hint="default"/>
      </w:rPr>
    </w:lvl>
    <w:lvl w:ilvl="7">
      <w:start w:val="0"/>
      <w:numFmt w:val="bullet"/>
      <w:lvlText w:val="•"/>
      <w:lvlJc w:val="left"/>
      <w:pPr>
        <w:ind w:left="6906" w:hanging="327"/>
      </w:pPr>
      <w:rPr>
        <w:rFonts w:hint="default"/>
      </w:rPr>
    </w:lvl>
    <w:lvl w:ilvl="8">
      <w:start w:val="0"/>
      <w:numFmt w:val="bullet"/>
      <w:lvlText w:val="•"/>
      <w:lvlJc w:val="left"/>
      <w:pPr>
        <w:ind w:left="7840" w:hanging="327"/>
      </w:pPr>
      <w:rPr>
        <w:rFonts w:hint="default"/>
      </w:rPr>
    </w:lvl>
  </w:abstractNum>
  <w:abstractNum w:abstractNumId="446">
    <w:multiLevelType w:val="hybridMultilevel"/>
    <w:lvl w:ilvl="0">
      <w:start w:val="6"/>
      <w:numFmt w:val="decimal"/>
      <w:lvlText w:val="%1"/>
      <w:lvlJc w:val="left"/>
      <w:pPr>
        <w:ind w:left="886" w:hanging="669"/>
        <w:jc w:val="left"/>
      </w:pPr>
      <w:rPr>
        <w:rFonts w:hint="default"/>
      </w:rPr>
    </w:lvl>
    <w:lvl w:ilvl="1">
      <w:start w:val="18"/>
      <w:numFmt w:val="decimal"/>
      <w:lvlText w:val="%1.%2"/>
      <w:lvlJc w:val="left"/>
      <w:pPr>
        <w:ind w:left="886" w:hanging="669"/>
        <w:jc w:val="left"/>
      </w:pPr>
      <w:rPr>
        <w:rFonts w:hint="default"/>
      </w:rPr>
    </w:lvl>
    <w:lvl w:ilvl="2">
      <w:start w:val="1"/>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9"/>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45">
    <w:multiLevelType w:val="hybridMultilevel"/>
    <w:lvl w:ilvl="0">
      <w:start w:val="6"/>
      <w:numFmt w:val="decimal"/>
      <w:lvlText w:val="%1"/>
      <w:lvlJc w:val="left"/>
      <w:pPr>
        <w:ind w:left="1352" w:hanging="669"/>
        <w:jc w:val="left"/>
      </w:pPr>
      <w:rPr>
        <w:rFonts w:hint="default"/>
      </w:rPr>
    </w:lvl>
    <w:lvl w:ilvl="1">
      <w:start w:val="17"/>
      <w:numFmt w:val="decimal"/>
      <w:lvlText w:val="%1.%2"/>
      <w:lvlJc w:val="left"/>
      <w:pPr>
        <w:ind w:left="1352" w:hanging="669"/>
        <w:jc w:val="left"/>
      </w:pPr>
      <w:rPr>
        <w:rFonts w:hint="default"/>
      </w:rPr>
    </w:lvl>
    <w:lvl w:ilvl="2">
      <w:start w:val="1"/>
      <w:numFmt w:val="decimal"/>
      <w:lvlText w:val="%1.%2.%3"/>
      <w:lvlJc w:val="left"/>
      <w:pPr>
        <w:ind w:left="1352"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4"/>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4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3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4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2"/>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9"/>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42">
    <w:multiLevelType w:val="hybridMultilevel"/>
    <w:lvl w:ilvl="0">
      <w:start w:val="6"/>
      <w:numFmt w:val="decimal"/>
      <w:lvlText w:val="%1"/>
      <w:lvlJc w:val="left"/>
      <w:pPr>
        <w:ind w:left="1351" w:hanging="1134"/>
        <w:jc w:val="left"/>
      </w:pPr>
      <w:rPr>
        <w:rFonts w:hint="default"/>
      </w:rPr>
    </w:lvl>
    <w:lvl w:ilvl="1">
      <w:start w:val="15"/>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decimal"/>
      <w:lvlText w:val="(%4)"/>
      <w:lvlJc w:val="left"/>
      <w:pPr>
        <w:ind w:left="1919"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2485" w:hanging="567"/>
        <w:jc w:val="left"/>
      </w:pPr>
      <w:rPr>
        <w:rFonts w:hint="default" w:ascii="Times New Roman" w:hAnsi="Times New Roman" w:eastAsia="Times New Roman" w:cs="Times New Roman"/>
        <w:spacing w:val="-20"/>
        <w:w w:val="100"/>
        <w:sz w:val="24"/>
        <w:szCs w:val="24"/>
      </w:rPr>
    </w:lvl>
    <w:lvl w:ilvl="5">
      <w:start w:val="1"/>
      <w:numFmt w:val="upperLetter"/>
      <w:lvlText w:val="(%6)"/>
      <w:lvlJc w:val="left"/>
      <w:pPr>
        <w:ind w:left="3053" w:hanging="567"/>
        <w:jc w:val="left"/>
      </w:pPr>
      <w:rPr>
        <w:rFonts w:hint="default" w:ascii="Times New Roman" w:hAnsi="Times New Roman" w:eastAsia="Times New Roman" w:cs="Times New Roman"/>
        <w:spacing w:val="-29"/>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41">
    <w:multiLevelType w:val="hybridMultilevel"/>
    <w:lvl w:ilvl="0">
      <w:start w:val="6"/>
      <w:numFmt w:val="decimal"/>
      <w:lvlText w:val="%1"/>
      <w:lvlJc w:val="left"/>
      <w:pPr>
        <w:ind w:left="724" w:hanging="507"/>
        <w:jc w:val="left"/>
      </w:pPr>
      <w:rPr>
        <w:rFonts w:hint="default"/>
      </w:rPr>
    </w:lvl>
    <w:lvl w:ilvl="1">
      <w:start w:val="14"/>
      <w:numFmt w:val="decimal"/>
      <w:lvlText w:val="%1.%2"/>
      <w:lvlJc w:val="left"/>
      <w:pPr>
        <w:ind w:left="724" w:hanging="507"/>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1"/>
      <w:numFmt w:val="upperLetter"/>
      <w:lvlText w:val="(%6)"/>
      <w:lvlJc w:val="left"/>
      <w:pPr>
        <w:ind w:left="3053" w:hanging="567"/>
        <w:jc w:val="left"/>
      </w:pPr>
      <w:rPr>
        <w:rFonts w:hint="default" w:ascii="Times New Roman" w:hAnsi="Times New Roman" w:eastAsia="Times New Roman" w:cs="Times New Roman"/>
        <w:spacing w:val="-7"/>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4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546" w:hanging="628"/>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540" w:hanging="628"/>
      </w:pPr>
      <w:rPr>
        <w:rFonts w:hint="default"/>
      </w:rPr>
    </w:lvl>
    <w:lvl w:ilvl="3">
      <w:start w:val="0"/>
      <w:numFmt w:val="bullet"/>
      <w:lvlText w:val="•"/>
      <w:lvlJc w:val="left"/>
      <w:pPr>
        <w:ind w:left="3435" w:hanging="628"/>
      </w:pPr>
      <w:rPr>
        <w:rFonts w:hint="default"/>
      </w:rPr>
    </w:lvl>
    <w:lvl w:ilvl="4">
      <w:start w:val="0"/>
      <w:numFmt w:val="bullet"/>
      <w:lvlText w:val="•"/>
      <w:lvlJc w:val="left"/>
      <w:pPr>
        <w:ind w:left="4331" w:hanging="628"/>
      </w:pPr>
      <w:rPr>
        <w:rFonts w:hint="default"/>
      </w:rPr>
    </w:lvl>
    <w:lvl w:ilvl="5">
      <w:start w:val="0"/>
      <w:numFmt w:val="bullet"/>
      <w:lvlText w:val="•"/>
      <w:lvlJc w:val="left"/>
      <w:pPr>
        <w:ind w:left="5227" w:hanging="628"/>
      </w:pPr>
      <w:rPr>
        <w:rFonts w:hint="default"/>
      </w:rPr>
    </w:lvl>
    <w:lvl w:ilvl="6">
      <w:start w:val="0"/>
      <w:numFmt w:val="bullet"/>
      <w:lvlText w:val="•"/>
      <w:lvlJc w:val="left"/>
      <w:pPr>
        <w:ind w:left="6123" w:hanging="628"/>
      </w:pPr>
      <w:rPr>
        <w:rFonts w:hint="default"/>
      </w:rPr>
    </w:lvl>
    <w:lvl w:ilvl="7">
      <w:start w:val="0"/>
      <w:numFmt w:val="bullet"/>
      <w:lvlText w:val="•"/>
      <w:lvlJc w:val="left"/>
      <w:pPr>
        <w:ind w:left="7019" w:hanging="628"/>
      </w:pPr>
      <w:rPr>
        <w:rFonts w:hint="default"/>
      </w:rPr>
    </w:lvl>
    <w:lvl w:ilvl="8">
      <w:start w:val="0"/>
      <w:numFmt w:val="bullet"/>
      <w:lvlText w:val="•"/>
      <w:lvlJc w:val="left"/>
      <w:pPr>
        <w:ind w:left="7915" w:hanging="628"/>
      </w:pPr>
      <w:rPr>
        <w:rFonts w:hint="default"/>
      </w:rPr>
    </w:lvl>
  </w:abstractNum>
  <w:abstractNum w:abstractNumId="43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438">
    <w:multiLevelType w:val="hybridMultilevel"/>
    <w:lvl w:ilvl="0">
      <w:start w:val="1"/>
      <w:numFmt w:val="lowerRoman"/>
      <w:lvlText w:val="(%1)"/>
      <w:lvlJc w:val="left"/>
      <w:pPr>
        <w:ind w:left="2486"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37">
    <w:multiLevelType w:val="hybridMultilevel"/>
    <w:lvl w:ilvl="0">
      <w:start w:val="1"/>
      <w:numFmt w:val="lowerRoman"/>
      <w:lvlText w:val="(%1)"/>
      <w:lvlJc w:val="left"/>
      <w:pPr>
        <w:ind w:left="2485" w:hanging="567"/>
        <w:jc w:val="left"/>
      </w:pPr>
      <w:rPr>
        <w:rFonts w:hint="default" w:ascii="Times New Roman" w:hAnsi="Times New Roman" w:eastAsia="Times New Roman" w:cs="Times New Roman"/>
        <w:spacing w:val="-30"/>
        <w:w w:val="100"/>
        <w:sz w:val="24"/>
        <w:szCs w:val="24"/>
      </w:rPr>
    </w:lvl>
    <w:lvl w:ilvl="1">
      <w:start w:val="1"/>
      <w:numFmt w:val="upperLetter"/>
      <w:lvlText w:val="(%2)"/>
      <w:lvlJc w:val="left"/>
      <w:pPr>
        <w:ind w:left="3053" w:hanging="567"/>
        <w:jc w:val="left"/>
      </w:pPr>
      <w:rPr>
        <w:rFonts w:hint="default" w:ascii="Times New Roman" w:hAnsi="Times New Roman" w:eastAsia="Times New Roman" w:cs="Times New Roman"/>
        <w:spacing w:val="-29"/>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436">
    <w:multiLevelType w:val="hybridMultilevel"/>
    <w:lvl w:ilvl="0">
      <w:start w:val="6"/>
      <w:numFmt w:val="decimal"/>
      <w:lvlText w:val="%1"/>
      <w:lvlJc w:val="left"/>
      <w:pPr>
        <w:ind w:left="1351" w:hanging="1134"/>
        <w:jc w:val="left"/>
      </w:pPr>
      <w:rPr>
        <w:rFonts w:hint="default"/>
      </w:rPr>
    </w:lvl>
    <w:lvl w:ilvl="1">
      <w:start w:val="1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decimal"/>
      <w:lvlText w:val="(%4)"/>
      <w:lvlJc w:val="left"/>
      <w:pPr>
        <w:ind w:left="1919"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2486"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35">
    <w:multiLevelType w:val="hybridMultilevel"/>
    <w:lvl w:ilvl="0">
      <w:start w:val="1"/>
      <w:numFmt w:val="decimal"/>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434">
    <w:multiLevelType w:val="hybridMultilevel"/>
    <w:lvl w:ilvl="0">
      <w:start w:val="6"/>
      <w:numFmt w:val="decimal"/>
      <w:lvlText w:val="%1"/>
      <w:lvlJc w:val="left"/>
      <w:pPr>
        <w:ind w:left="886" w:hanging="669"/>
        <w:jc w:val="left"/>
      </w:pPr>
      <w:rPr>
        <w:rFonts w:hint="default"/>
      </w:rPr>
    </w:lvl>
    <w:lvl w:ilvl="1">
      <w:start w:val="11"/>
      <w:numFmt w:val="decimal"/>
      <w:lvlText w:val="%1.%2"/>
      <w:lvlJc w:val="left"/>
      <w:pPr>
        <w:ind w:left="886" w:hanging="669"/>
        <w:jc w:val="left"/>
      </w:pPr>
      <w:rPr>
        <w:rFonts w:hint="default"/>
      </w:rPr>
    </w:lvl>
    <w:lvl w:ilvl="2">
      <w:start w:val="1"/>
      <w:numFmt w:val="decimal"/>
      <w:lvlText w:val="%1.%2.%3"/>
      <w:lvlJc w:val="left"/>
      <w:pPr>
        <w:ind w:left="886" w:hanging="669"/>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9"/>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30"/>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3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32">
    <w:multiLevelType w:val="hybridMultilevel"/>
    <w:lvl w:ilvl="0">
      <w:start w:val="6"/>
      <w:numFmt w:val="decimal"/>
      <w:lvlText w:val="%1"/>
      <w:lvlJc w:val="left"/>
      <w:pPr>
        <w:ind w:left="1351" w:hanging="1134"/>
        <w:jc w:val="left"/>
      </w:pPr>
      <w:rPr>
        <w:rFonts w:hint="default"/>
      </w:rPr>
    </w:lvl>
    <w:lvl w:ilvl="1">
      <w:start w:val="11"/>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8"/>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31">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30">
    <w:multiLevelType w:val="hybridMultilevel"/>
    <w:lvl w:ilvl="0">
      <w:start w:val="6"/>
      <w:numFmt w:val="decimal"/>
      <w:lvlText w:val="%1"/>
      <w:lvlJc w:val="left"/>
      <w:pPr>
        <w:ind w:left="1351" w:hanging="1134"/>
        <w:jc w:val="left"/>
      </w:pPr>
      <w:rPr>
        <w:rFonts w:hint="default"/>
      </w:rPr>
    </w:lvl>
    <w:lvl w:ilvl="1">
      <w:start w:val="10"/>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4"/>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29">
    <w:multiLevelType w:val="hybridMultilevel"/>
    <w:lvl w:ilvl="0">
      <w:start w:val="6"/>
      <w:numFmt w:val="decimal"/>
      <w:lvlText w:val="%1"/>
      <w:lvlJc w:val="left"/>
      <w:pPr>
        <w:ind w:left="752" w:hanging="535"/>
        <w:jc w:val="left"/>
      </w:pPr>
      <w:rPr>
        <w:rFonts w:hint="default"/>
      </w:rPr>
    </w:lvl>
    <w:lvl w:ilvl="1">
      <w:start w:val="9"/>
      <w:numFmt w:val="decimal"/>
      <w:lvlText w:val="%1.%2"/>
      <w:lvlJc w:val="left"/>
      <w:pPr>
        <w:ind w:left="752" w:hanging="535"/>
        <w:jc w:val="left"/>
      </w:pPr>
      <w:rPr>
        <w:rFonts w:hint="default"/>
      </w:rPr>
    </w:lvl>
    <w:lvl w:ilvl="2">
      <w:start w:val="2"/>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6"/>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28">
    <w:multiLevelType w:val="hybridMultilevel"/>
    <w:lvl w:ilvl="0">
      <w:start w:val="6"/>
      <w:numFmt w:val="decimal"/>
      <w:lvlText w:val="%1"/>
      <w:lvlJc w:val="left"/>
      <w:pPr>
        <w:ind w:left="1351" w:hanging="1134"/>
        <w:jc w:val="left"/>
      </w:pPr>
      <w:rPr>
        <w:rFonts w:hint="default"/>
      </w:rPr>
    </w:lvl>
    <w:lvl w:ilvl="1">
      <w:start w:val="9"/>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5"/>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27">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26">
    <w:multiLevelType w:val="hybridMultilevel"/>
    <w:lvl w:ilvl="0">
      <w:start w:val="6"/>
      <w:numFmt w:val="decimal"/>
      <w:lvlText w:val="%1"/>
      <w:lvlJc w:val="left"/>
      <w:pPr>
        <w:ind w:left="752" w:hanging="535"/>
        <w:jc w:val="left"/>
      </w:pPr>
      <w:rPr>
        <w:rFonts w:hint="default"/>
      </w:rPr>
    </w:lvl>
    <w:lvl w:ilvl="1">
      <w:start w:val="8"/>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6"/>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25">
    <w:multiLevelType w:val="hybridMultilevel"/>
    <w:lvl w:ilvl="0">
      <w:start w:val="6"/>
      <w:numFmt w:val="decimal"/>
      <w:lvlText w:val="%1"/>
      <w:lvlJc w:val="left"/>
      <w:pPr>
        <w:ind w:left="1351" w:hanging="1134"/>
        <w:jc w:val="left"/>
      </w:pPr>
      <w:rPr>
        <w:rFonts w:hint="default"/>
      </w:rPr>
    </w:lvl>
    <w:lvl w:ilvl="1">
      <w:start w:val="8"/>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3"/>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24">
    <w:multiLevelType w:val="hybridMultilevel"/>
    <w:lvl w:ilvl="0">
      <w:start w:val="6"/>
      <w:numFmt w:val="decimal"/>
      <w:lvlText w:val="%1"/>
      <w:lvlJc w:val="left"/>
      <w:pPr>
        <w:ind w:left="552" w:hanging="335"/>
        <w:jc w:val="left"/>
      </w:pPr>
      <w:rPr>
        <w:rFonts w:hint="default"/>
      </w:rPr>
    </w:lvl>
    <w:lvl w:ilvl="1">
      <w:start w:val="7"/>
      <w:numFmt w:val="decimal"/>
      <w:lvlText w:val="%1.%2"/>
      <w:lvlJc w:val="left"/>
      <w:pPr>
        <w:ind w:left="552" w:hanging="335"/>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23">
    <w:multiLevelType w:val="hybridMultilevel"/>
    <w:lvl w:ilvl="0">
      <w:start w:val="6"/>
      <w:numFmt w:val="decimal"/>
      <w:lvlText w:val="%1"/>
      <w:lvlJc w:val="left"/>
      <w:pPr>
        <w:ind w:left="1352" w:hanging="1134"/>
        <w:jc w:val="left"/>
      </w:pPr>
      <w:rPr>
        <w:rFonts w:hint="default"/>
      </w:rPr>
    </w:lvl>
    <w:lvl w:ilvl="1">
      <w:start w:val="7"/>
      <w:numFmt w:val="decimal"/>
      <w:lvlText w:val="%1.%2"/>
      <w:lvlJc w:val="left"/>
      <w:pPr>
        <w:ind w:left="1352" w:hanging="1134"/>
        <w:jc w:val="left"/>
      </w:pPr>
      <w:rPr>
        <w:rFonts w:hint="default"/>
      </w:rPr>
    </w:lvl>
    <w:lvl w:ilvl="2">
      <w:start w:val="2"/>
      <w:numFmt w:val="decimal"/>
      <w:lvlText w:val="%1.%2.%3"/>
      <w:lvlJc w:val="left"/>
      <w:pPr>
        <w:ind w:left="1352"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22">
    <w:multiLevelType w:val="hybridMultilevel"/>
    <w:lvl w:ilvl="0">
      <w:start w:val="6"/>
      <w:numFmt w:val="decimal"/>
      <w:lvlText w:val="%1"/>
      <w:lvlJc w:val="left"/>
      <w:pPr>
        <w:ind w:left="1351" w:hanging="1134"/>
        <w:jc w:val="left"/>
      </w:pPr>
      <w:rPr>
        <w:rFonts w:hint="default"/>
      </w:rPr>
    </w:lvl>
    <w:lvl w:ilvl="1">
      <w:start w:val="7"/>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decimal"/>
      <w:lvlText w:val="(%4)"/>
      <w:lvlJc w:val="left"/>
      <w:pPr>
        <w:ind w:left="1919" w:hanging="567"/>
        <w:jc w:val="left"/>
      </w:pPr>
      <w:rPr>
        <w:rFonts w:hint="default" w:ascii="Times New Roman" w:hAnsi="Times New Roman" w:eastAsia="Times New Roman" w:cs="Times New Roman"/>
        <w:spacing w:val="-13"/>
        <w:w w:val="100"/>
        <w:sz w:val="24"/>
        <w:szCs w:val="24"/>
      </w:rPr>
    </w:lvl>
    <w:lvl w:ilvl="4">
      <w:start w:val="1"/>
      <w:numFmt w:val="upperLetter"/>
      <w:lvlText w:val="(%5)"/>
      <w:lvlJc w:val="left"/>
      <w:pPr>
        <w:ind w:left="2486" w:hanging="567"/>
        <w:jc w:val="left"/>
      </w:pPr>
      <w:rPr>
        <w:rFonts w:hint="default" w:ascii="Times New Roman" w:hAnsi="Times New Roman" w:eastAsia="Times New Roman" w:cs="Times New Roman"/>
        <w:spacing w:val="-17"/>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21">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20">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9">
    <w:multiLevelType w:val="hybridMultilevel"/>
    <w:lvl w:ilvl="0">
      <w:start w:val="6"/>
      <w:numFmt w:val="decimal"/>
      <w:lvlText w:val="%1"/>
      <w:lvlJc w:val="left"/>
      <w:pPr>
        <w:ind w:left="552" w:hanging="335"/>
        <w:jc w:val="left"/>
      </w:pPr>
      <w:rPr>
        <w:rFonts w:hint="default"/>
      </w:rPr>
    </w:lvl>
    <w:lvl w:ilvl="1">
      <w:start w:val="6"/>
      <w:numFmt w:val="decimal"/>
      <w:lvlText w:val="%1.%2"/>
      <w:lvlJc w:val="left"/>
      <w:pPr>
        <w:ind w:left="552" w:hanging="335"/>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7"/>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18">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7">
    <w:multiLevelType w:val="hybridMultilevel"/>
    <w:lvl w:ilvl="0">
      <w:start w:val="6"/>
      <w:numFmt w:val="decimal"/>
      <w:lvlText w:val="%1"/>
      <w:lvlJc w:val="left"/>
      <w:pPr>
        <w:ind w:left="552" w:hanging="335"/>
        <w:jc w:val="left"/>
      </w:pPr>
      <w:rPr>
        <w:rFonts w:hint="default"/>
      </w:rPr>
    </w:lvl>
    <w:lvl w:ilvl="1">
      <w:start w:val="6"/>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2"/>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6"/>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16">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5">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4">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3">
    <w:multiLevelType w:val="hybridMultilevel"/>
    <w:lvl w:ilvl="0">
      <w:start w:val="6"/>
      <w:numFmt w:val="decimal"/>
      <w:lvlText w:val="%1"/>
      <w:lvlJc w:val="left"/>
      <w:pPr>
        <w:ind w:left="752" w:hanging="535"/>
        <w:jc w:val="left"/>
      </w:pPr>
      <w:rPr>
        <w:rFonts w:hint="default"/>
      </w:rPr>
    </w:lvl>
    <w:lvl w:ilvl="1">
      <w:start w:val="6"/>
      <w:numFmt w:val="decimal"/>
      <w:lvlText w:val="%1.%2"/>
      <w:lvlJc w:val="left"/>
      <w:pPr>
        <w:ind w:left="752" w:hanging="535"/>
        <w:jc w:val="left"/>
      </w:pPr>
      <w:rPr>
        <w:rFonts w:hint="default"/>
      </w:rPr>
    </w:lvl>
    <w:lvl w:ilvl="2">
      <w:start w:val="3"/>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28"/>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4"/>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12">
    <w:multiLevelType w:val="hybridMultilevel"/>
    <w:lvl w:ilvl="0">
      <w:start w:val="6"/>
      <w:numFmt w:val="decimal"/>
      <w:lvlText w:val="%1"/>
      <w:lvlJc w:val="left"/>
      <w:pPr>
        <w:ind w:left="752" w:hanging="535"/>
        <w:jc w:val="left"/>
      </w:pPr>
      <w:rPr>
        <w:rFonts w:hint="default"/>
      </w:rPr>
    </w:lvl>
    <w:lvl w:ilvl="1">
      <w:start w:val="6"/>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1"/>
        <w:w w:val="100"/>
        <w:sz w:val="24"/>
        <w:szCs w:val="24"/>
      </w:rPr>
    </w:lvl>
    <w:lvl w:ilvl="6">
      <w:start w:val="1"/>
      <w:numFmt w:val="lowerLetter"/>
      <w:lvlText w:val="(%7)"/>
      <w:lvlJc w:val="left"/>
      <w:pPr>
        <w:ind w:left="3379" w:hanging="327"/>
        <w:jc w:val="left"/>
      </w:pPr>
      <w:rPr>
        <w:rFonts w:hint="default" w:ascii="Times New Roman" w:hAnsi="Times New Roman" w:eastAsia="Times New Roman" w:cs="Times New Roman"/>
        <w:w w:val="100"/>
        <w:sz w:val="24"/>
        <w:szCs w:val="24"/>
      </w:rPr>
    </w:lvl>
    <w:lvl w:ilvl="7">
      <w:start w:val="0"/>
      <w:numFmt w:val="bullet"/>
      <w:lvlText w:val="•"/>
      <w:lvlJc w:val="left"/>
      <w:pPr>
        <w:ind w:left="6543" w:hanging="327"/>
      </w:pPr>
      <w:rPr>
        <w:rFonts w:hint="default"/>
      </w:rPr>
    </w:lvl>
    <w:lvl w:ilvl="8">
      <w:start w:val="0"/>
      <w:numFmt w:val="bullet"/>
      <w:lvlText w:val="•"/>
      <w:lvlJc w:val="left"/>
      <w:pPr>
        <w:ind w:left="7598" w:hanging="327"/>
      </w:pPr>
      <w:rPr>
        <w:rFonts w:hint="default"/>
      </w:rPr>
    </w:lvl>
  </w:abstractNum>
  <w:abstractNum w:abstractNumId="411">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10">
    <w:multiLevelType w:val="hybridMultilevel"/>
    <w:lvl w:ilvl="0">
      <w:start w:val="10"/>
      <w:numFmt w:val="lowerLetter"/>
      <w:lvlText w:val="(%1)"/>
      <w:lvlJc w:val="left"/>
      <w:pPr>
        <w:ind w:left="2793" w:hanging="308"/>
        <w:jc w:val="right"/>
      </w:pPr>
      <w:rPr>
        <w:rFonts w:hint="default" w:ascii="Times New Roman" w:hAnsi="Times New Roman" w:eastAsia="Times New Roman" w:cs="Times New Roman"/>
        <w:w w:val="100"/>
        <w:sz w:val="24"/>
        <w:szCs w:val="24"/>
      </w:rPr>
    </w:lvl>
    <w:lvl w:ilvl="1">
      <w:start w:val="0"/>
      <w:numFmt w:val="bullet"/>
      <w:lvlText w:val="•"/>
      <w:lvlJc w:val="left"/>
      <w:pPr>
        <w:ind w:left="2800" w:hanging="308"/>
      </w:pPr>
      <w:rPr>
        <w:rFonts w:hint="default"/>
      </w:rPr>
    </w:lvl>
    <w:lvl w:ilvl="2">
      <w:start w:val="0"/>
      <w:numFmt w:val="bullet"/>
      <w:lvlText w:val="•"/>
      <w:lvlJc w:val="left"/>
      <w:pPr>
        <w:ind w:left="3567" w:hanging="308"/>
      </w:pPr>
      <w:rPr>
        <w:rFonts w:hint="default"/>
      </w:rPr>
    </w:lvl>
    <w:lvl w:ilvl="3">
      <w:start w:val="0"/>
      <w:numFmt w:val="bullet"/>
      <w:lvlText w:val="•"/>
      <w:lvlJc w:val="left"/>
      <w:pPr>
        <w:ind w:left="4334" w:hanging="308"/>
      </w:pPr>
      <w:rPr>
        <w:rFonts w:hint="default"/>
      </w:rPr>
    </w:lvl>
    <w:lvl w:ilvl="4">
      <w:start w:val="0"/>
      <w:numFmt w:val="bullet"/>
      <w:lvlText w:val="•"/>
      <w:lvlJc w:val="left"/>
      <w:pPr>
        <w:ind w:left="5102" w:hanging="308"/>
      </w:pPr>
      <w:rPr>
        <w:rFonts w:hint="default"/>
      </w:rPr>
    </w:lvl>
    <w:lvl w:ilvl="5">
      <w:start w:val="0"/>
      <w:numFmt w:val="bullet"/>
      <w:lvlText w:val="•"/>
      <w:lvlJc w:val="left"/>
      <w:pPr>
        <w:ind w:left="5869" w:hanging="308"/>
      </w:pPr>
      <w:rPr>
        <w:rFonts w:hint="default"/>
      </w:rPr>
    </w:lvl>
    <w:lvl w:ilvl="6">
      <w:start w:val="0"/>
      <w:numFmt w:val="bullet"/>
      <w:lvlText w:val="•"/>
      <w:lvlJc w:val="left"/>
      <w:pPr>
        <w:ind w:left="6637" w:hanging="308"/>
      </w:pPr>
      <w:rPr>
        <w:rFonts w:hint="default"/>
      </w:rPr>
    </w:lvl>
    <w:lvl w:ilvl="7">
      <w:start w:val="0"/>
      <w:numFmt w:val="bullet"/>
      <w:lvlText w:val="•"/>
      <w:lvlJc w:val="left"/>
      <w:pPr>
        <w:ind w:left="7404" w:hanging="308"/>
      </w:pPr>
      <w:rPr>
        <w:rFonts w:hint="default"/>
      </w:rPr>
    </w:lvl>
    <w:lvl w:ilvl="8">
      <w:start w:val="0"/>
      <w:numFmt w:val="bullet"/>
      <w:lvlText w:val="•"/>
      <w:lvlJc w:val="left"/>
      <w:pPr>
        <w:ind w:left="8172" w:hanging="308"/>
      </w:pPr>
      <w:rPr>
        <w:rFonts w:hint="default"/>
      </w:rPr>
    </w:lvl>
  </w:abstractNum>
  <w:abstractNum w:abstractNumId="409">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08">
    <w:multiLevelType w:val="hybridMultilevel"/>
    <w:lvl w:ilvl="0">
      <w:start w:val="6"/>
      <w:numFmt w:val="decimal"/>
      <w:lvlText w:val="%1"/>
      <w:lvlJc w:val="left"/>
      <w:pPr>
        <w:ind w:left="752" w:hanging="535"/>
        <w:jc w:val="left"/>
      </w:pPr>
      <w:rPr>
        <w:rFonts w:hint="default"/>
      </w:rPr>
    </w:lvl>
    <w:lvl w:ilvl="1">
      <w:start w:val="6"/>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407">
    <w:multiLevelType w:val="hybridMultilevel"/>
    <w:lvl w:ilvl="0">
      <w:start w:val="6"/>
      <w:numFmt w:val="decimal"/>
      <w:lvlText w:val="%1"/>
      <w:lvlJc w:val="left"/>
      <w:pPr>
        <w:ind w:left="752" w:hanging="535"/>
        <w:jc w:val="left"/>
      </w:pPr>
      <w:rPr>
        <w:rFonts w:hint="default"/>
      </w:rPr>
    </w:lvl>
    <w:lvl w:ilvl="1">
      <w:start w:val="6"/>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406">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05">
    <w:multiLevelType w:val="hybridMultilevel"/>
    <w:lvl w:ilvl="0">
      <w:start w:val="10"/>
      <w:numFmt w:val="lowerLetter"/>
      <w:lvlText w:val="(%1)"/>
      <w:lvlJc w:val="left"/>
      <w:pPr>
        <w:ind w:left="2803" w:hanging="318"/>
        <w:jc w:val="right"/>
      </w:pPr>
      <w:rPr>
        <w:rFonts w:hint="default" w:ascii="Times New Roman" w:hAnsi="Times New Roman" w:eastAsia="Times New Roman" w:cs="Times New Roman"/>
        <w:spacing w:val="-30"/>
        <w:w w:val="100"/>
        <w:sz w:val="24"/>
        <w:szCs w:val="24"/>
      </w:rPr>
    </w:lvl>
    <w:lvl w:ilvl="1">
      <w:start w:val="1"/>
      <w:numFmt w:val="lowerRoman"/>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800" w:hanging="567"/>
      </w:pPr>
      <w:rPr>
        <w:rFonts w:hint="default"/>
      </w:rPr>
    </w:lvl>
    <w:lvl w:ilvl="3">
      <w:start w:val="0"/>
      <w:numFmt w:val="bullet"/>
      <w:lvlText w:val="•"/>
      <w:lvlJc w:val="left"/>
      <w:pPr>
        <w:ind w:left="3663" w:hanging="567"/>
      </w:pPr>
      <w:rPr>
        <w:rFonts w:hint="default"/>
      </w:rPr>
    </w:lvl>
    <w:lvl w:ilvl="4">
      <w:start w:val="0"/>
      <w:numFmt w:val="bullet"/>
      <w:lvlText w:val="•"/>
      <w:lvlJc w:val="left"/>
      <w:pPr>
        <w:ind w:left="4526" w:hanging="567"/>
      </w:pPr>
      <w:rPr>
        <w:rFonts w:hint="default"/>
      </w:rPr>
    </w:lvl>
    <w:lvl w:ilvl="5">
      <w:start w:val="0"/>
      <w:numFmt w:val="bullet"/>
      <w:lvlText w:val="•"/>
      <w:lvlJc w:val="left"/>
      <w:pPr>
        <w:ind w:left="5390" w:hanging="567"/>
      </w:pPr>
      <w:rPr>
        <w:rFonts w:hint="default"/>
      </w:rPr>
    </w:lvl>
    <w:lvl w:ilvl="6">
      <w:start w:val="0"/>
      <w:numFmt w:val="bullet"/>
      <w:lvlText w:val="•"/>
      <w:lvlJc w:val="left"/>
      <w:pPr>
        <w:ind w:left="6253" w:hanging="567"/>
      </w:pPr>
      <w:rPr>
        <w:rFonts w:hint="default"/>
      </w:rPr>
    </w:lvl>
    <w:lvl w:ilvl="7">
      <w:start w:val="0"/>
      <w:numFmt w:val="bullet"/>
      <w:lvlText w:val="•"/>
      <w:lvlJc w:val="left"/>
      <w:pPr>
        <w:ind w:left="7116" w:hanging="567"/>
      </w:pPr>
      <w:rPr>
        <w:rFonts w:hint="default"/>
      </w:rPr>
    </w:lvl>
    <w:lvl w:ilvl="8">
      <w:start w:val="0"/>
      <w:numFmt w:val="bullet"/>
      <w:lvlText w:val="•"/>
      <w:lvlJc w:val="left"/>
      <w:pPr>
        <w:ind w:left="7980" w:hanging="567"/>
      </w:pPr>
      <w:rPr>
        <w:rFonts w:hint="default"/>
      </w:rPr>
    </w:lvl>
  </w:abstractNum>
  <w:abstractNum w:abstractNumId="404">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40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02">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01">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40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2"/>
        <w:w w:val="100"/>
        <w:sz w:val="24"/>
        <w:szCs w:val="24"/>
      </w:rPr>
    </w:lvl>
    <w:lvl w:ilvl="3">
      <w:start w:val="1"/>
      <w:numFmt w:val="upperLetter"/>
      <w:lvlText w:val="(%4)"/>
      <w:lvlJc w:val="left"/>
      <w:pPr>
        <w:ind w:left="3620"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489" w:hanging="567"/>
      </w:pPr>
      <w:rPr>
        <w:rFonts w:hint="default"/>
      </w:rPr>
    </w:lvl>
    <w:lvl w:ilvl="5">
      <w:start w:val="0"/>
      <w:numFmt w:val="bullet"/>
      <w:lvlText w:val="•"/>
      <w:lvlJc w:val="left"/>
      <w:pPr>
        <w:ind w:left="5359" w:hanging="567"/>
      </w:pPr>
      <w:rPr>
        <w:rFonts w:hint="default"/>
      </w:rPr>
    </w:lvl>
    <w:lvl w:ilvl="6">
      <w:start w:val="0"/>
      <w:numFmt w:val="bullet"/>
      <w:lvlText w:val="•"/>
      <w:lvlJc w:val="left"/>
      <w:pPr>
        <w:ind w:left="6228" w:hanging="567"/>
      </w:pPr>
      <w:rPr>
        <w:rFonts w:hint="default"/>
      </w:rPr>
    </w:lvl>
    <w:lvl w:ilvl="7">
      <w:start w:val="0"/>
      <w:numFmt w:val="bullet"/>
      <w:lvlText w:val="•"/>
      <w:lvlJc w:val="left"/>
      <w:pPr>
        <w:ind w:left="7098" w:hanging="567"/>
      </w:pPr>
      <w:rPr>
        <w:rFonts w:hint="default"/>
      </w:rPr>
    </w:lvl>
    <w:lvl w:ilvl="8">
      <w:start w:val="0"/>
      <w:numFmt w:val="bullet"/>
      <w:lvlText w:val="•"/>
      <w:lvlJc w:val="left"/>
      <w:pPr>
        <w:ind w:left="7967" w:hanging="567"/>
      </w:pPr>
      <w:rPr>
        <w:rFonts w:hint="default"/>
      </w:rPr>
    </w:lvl>
  </w:abstractNum>
  <w:abstractNum w:abstractNumId="399">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398">
    <w:multiLevelType w:val="hybridMultilevel"/>
    <w:lvl w:ilvl="0">
      <w:start w:val="1"/>
      <w:numFmt w:val="decimal"/>
      <w:lvlText w:val="%1"/>
      <w:lvlJc w:val="left"/>
      <w:pPr>
        <w:ind w:left="2486" w:hanging="612"/>
        <w:jc w:val="left"/>
      </w:pPr>
      <w:rPr>
        <w:rFonts w:hint="default" w:ascii="Times New Roman" w:hAnsi="Times New Roman" w:eastAsia="Times New Roman" w:cs="Times New Roman"/>
        <w:spacing w:val="-16"/>
        <w:w w:val="100"/>
        <w:sz w:val="20"/>
        <w:szCs w:val="20"/>
      </w:rPr>
    </w:lvl>
    <w:lvl w:ilvl="1">
      <w:start w:val="0"/>
      <w:numFmt w:val="bullet"/>
      <w:lvlText w:val="•"/>
      <w:lvlJc w:val="left"/>
      <w:pPr>
        <w:ind w:left="3202" w:hanging="612"/>
      </w:pPr>
      <w:rPr>
        <w:rFonts w:hint="default"/>
      </w:rPr>
    </w:lvl>
    <w:lvl w:ilvl="2">
      <w:start w:val="0"/>
      <w:numFmt w:val="bullet"/>
      <w:lvlText w:val="•"/>
      <w:lvlJc w:val="left"/>
      <w:pPr>
        <w:ind w:left="3925" w:hanging="612"/>
      </w:pPr>
      <w:rPr>
        <w:rFonts w:hint="default"/>
      </w:rPr>
    </w:lvl>
    <w:lvl w:ilvl="3">
      <w:start w:val="0"/>
      <w:numFmt w:val="bullet"/>
      <w:lvlText w:val="•"/>
      <w:lvlJc w:val="left"/>
      <w:pPr>
        <w:ind w:left="4648" w:hanging="612"/>
      </w:pPr>
      <w:rPr>
        <w:rFonts w:hint="default"/>
      </w:rPr>
    </w:lvl>
    <w:lvl w:ilvl="4">
      <w:start w:val="0"/>
      <w:numFmt w:val="bullet"/>
      <w:lvlText w:val="•"/>
      <w:lvlJc w:val="left"/>
      <w:pPr>
        <w:ind w:left="5370" w:hanging="612"/>
      </w:pPr>
      <w:rPr>
        <w:rFonts w:hint="default"/>
      </w:rPr>
    </w:lvl>
    <w:lvl w:ilvl="5">
      <w:start w:val="0"/>
      <w:numFmt w:val="bullet"/>
      <w:lvlText w:val="•"/>
      <w:lvlJc w:val="left"/>
      <w:pPr>
        <w:ind w:left="6093" w:hanging="612"/>
      </w:pPr>
      <w:rPr>
        <w:rFonts w:hint="default"/>
      </w:rPr>
    </w:lvl>
    <w:lvl w:ilvl="6">
      <w:start w:val="0"/>
      <w:numFmt w:val="bullet"/>
      <w:lvlText w:val="•"/>
      <w:lvlJc w:val="left"/>
      <w:pPr>
        <w:ind w:left="6816" w:hanging="612"/>
      </w:pPr>
      <w:rPr>
        <w:rFonts w:hint="default"/>
      </w:rPr>
    </w:lvl>
    <w:lvl w:ilvl="7">
      <w:start w:val="0"/>
      <w:numFmt w:val="bullet"/>
      <w:lvlText w:val="•"/>
      <w:lvlJc w:val="left"/>
      <w:pPr>
        <w:ind w:left="7538" w:hanging="612"/>
      </w:pPr>
      <w:rPr>
        <w:rFonts w:hint="default"/>
      </w:rPr>
    </w:lvl>
    <w:lvl w:ilvl="8">
      <w:start w:val="0"/>
      <w:numFmt w:val="bullet"/>
      <w:lvlText w:val="•"/>
      <w:lvlJc w:val="left"/>
      <w:pPr>
        <w:ind w:left="8261" w:hanging="612"/>
      </w:pPr>
      <w:rPr>
        <w:rFonts w:hint="default"/>
      </w:rPr>
    </w:lvl>
  </w:abstractNum>
  <w:abstractNum w:abstractNumId="397">
    <w:multiLevelType w:val="hybridMultilevel"/>
    <w:lvl w:ilvl="0">
      <w:start w:val="6"/>
      <w:numFmt w:val="decimal"/>
      <w:lvlText w:val="%1"/>
      <w:lvlJc w:val="left"/>
      <w:pPr>
        <w:ind w:left="1351" w:hanging="1134"/>
        <w:jc w:val="left"/>
      </w:pPr>
      <w:rPr>
        <w:rFonts w:hint="default"/>
      </w:rPr>
    </w:lvl>
    <w:lvl w:ilvl="1">
      <w:start w:val="6"/>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decimal"/>
      <w:lvlText w:val="%4"/>
      <w:lvlJc w:val="left"/>
      <w:pPr>
        <w:ind w:left="2486" w:hanging="612"/>
        <w:jc w:val="left"/>
      </w:pPr>
      <w:rPr>
        <w:rFonts w:hint="default" w:ascii="Times New Roman" w:hAnsi="Times New Roman" w:eastAsia="Times New Roman" w:cs="Times New Roman"/>
        <w:spacing w:val="-21"/>
        <w:w w:val="100"/>
        <w:sz w:val="20"/>
        <w:szCs w:val="20"/>
      </w:rPr>
    </w:lvl>
    <w:lvl w:ilvl="4">
      <w:start w:val="0"/>
      <w:numFmt w:val="bullet"/>
      <w:lvlText w:val="•"/>
      <w:lvlJc w:val="left"/>
      <w:pPr>
        <w:ind w:left="4889" w:hanging="612"/>
      </w:pPr>
      <w:rPr>
        <w:rFonts w:hint="default"/>
      </w:rPr>
    </w:lvl>
    <w:lvl w:ilvl="5">
      <w:start w:val="0"/>
      <w:numFmt w:val="bullet"/>
      <w:lvlText w:val="•"/>
      <w:lvlJc w:val="left"/>
      <w:pPr>
        <w:ind w:left="5692" w:hanging="612"/>
      </w:pPr>
      <w:rPr>
        <w:rFonts w:hint="default"/>
      </w:rPr>
    </w:lvl>
    <w:lvl w:ilvl="6">
      <w:start w:val="0"/>
      <w:numFmt w:val="bullet"/>
      <w:lvlText w:val="•"/>
      <w:lvlJc w:val="left"/>
      <w:pPr>
        <w:ind w:left="6495" w:hanging="612"/>
      </w:pPr>
      <w:rPr>
        <w:rFonts w:hint="default"/>
      </w:rPr>
    </w:lvl>
    <w:lvl w:ilvl="7">
      <w:start w:val="0"/>
      <w:numFmt w:val="bullet"/>
      <w:lvlText w:val="•"/>
      <w:lvlJc w:val="left"/>
      <w:pPr>
        <w:ind w:left="7298" w:hanging="612"/>
      </w:pPr>
      <w:rPr>
        <w:rFonts w:hint="default"/>
      </w:rPr>
    </w:lvl>
    <w:lvl w:ilvl="8">
      <w:start w:val="0"/>
      <w:numFmt w:val="bullet"/>
      <w:lvlText w:val="•"/>
      <w:lvlJc w:val="left"/>
      <w:pPr>
        <w:ind w:left="8101" w:hanging="612"/>
      </w:pPr>
      <w:rPr>
        <w:rFonts w:hint="default"/>
      </w:rPr>
    </w:lvl>
  </w:abstractNum>
  <w:abstractNum w:abstractNumId="396">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21"/>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95">
    <w:multiLevelType w:val="hybridMultilevel"/>
    <w:lvl w:ilvl="0">
      <w:start w:val="6"/>
      <w:numFmt w:val="decimal"/>
      <w:lvlText w:val="%1"/>
      <w:lvlJc w:val="left"/>
      <w:pPr>
        <w:ind w:left="752" w:hanging="535"/>
        <w:jc w:val="left"/>
      </w:pPr>
      <w:rPr>
        <w:rFonts w:hint="default"/>
      </w:rPr>
    </w:lvl>
    <w:lvl w:ilvl="1">
      <w:start w:val="5"/>
      <w:numFmt w:val="decimal"/>
      <w:lvlText w:val="%1.%2"/>
      <w:lvlJc w:val="left"/>
      <w:pPr>
        <w:ind w:left="752" w:hanging="535"/>
        <w:jc w:val="left"/>
      </w:pPr>
      <w:rPr>
        <w:rFonts w:hint="default"/>
      </w:rPr>
    </w:lvl>
    <w:lvl w:ilvl="2">
      <w:start w:val="8"/>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2"/>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94">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393">
    <w:multiLevelType w:val="hybridMultilevel"/>
    <w:lvl w:ilvl="0">
      <w:start w:val="6"/>
      <w:numFmt w:val="decimal"/>
      <w:lvlText w:val="%1"/>
      <w:lvlJc w:val="left"/>
      <w:pPr>
        <w:ind w:left="1351" w:hanging="1134"/>
        <w:jc w:val="left"/>
      </w:pPr>
      <w:rPr>
        <w:rFonts w:hint="default"/>
      </w:rPr>
    </w:lvl>
    <w:lvl w:ilvl="1">
      <w:start w:val="5"/>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1"/>
      <w:numFmt w:val="upperLetter"/>
      <w:lvlText w:val="(%7)"/>
      <w:lvlJc w:val="left"/>
      <w:pPr>
        <w:ind w:left="3620" w:hanging="567"/>
        <w:jc w:val="left"/>
      </w:pPr>
      <w:rPr>
        <w:rFonts w:hint="default" w:ascii="Times New Roman" w:hAnsi="Times New Roman" w:eastAsia="Times New Roman" w:cs="Times New Roman"/>
        <w:spacing w:val="-7"/>
        <w:w w:val="100"/>
        <w:sz w:val="24"/>
        <w:szCs w:val="24"/>
      </w:rPr>
    </w:lvl>
    <w:lvl w:ilvl="7">
      <w:start w:val="0"/>
      <w:numFmt w:val="bullet"/>
      <w:lvlText w:val="•"/>
      <w:lvlJc w:val="left"/>
      <w:pPr>
        <w:ind w:left="6663" w:hanging="567"/>
      </w:pPr>
      <w:rPr>
        <w:rFonts w:hint="default"/>
      </w:rPr>
    </w:lvl>
    <w:lvl w:ilvl="8">
      <w:start w:val="0"/>
      <w:numFmt w:val="bullet"/>
      <w:lvlText w:val="•"/>
      <w:lvlJc w:val="left"/>
      <w:pPr>
        <w:ind w:left="7678" w:hanging="567"/>
      </w:pPr>
      <w:rPr>
        <w:rFonts w:hint="default"/>
      </w:rPr>
    </w:lvl>
  </w:abstractNum>
  <w:abstractNum w:abstractNumId="392">
    <w:multiLevelType w:val="hybridMultilevel"/>
    <w:lvl w:ilvl="0">
      <w:start w:val="6"/>
      <w:numFmt w:val="decimal"/>
      <w:lvlText w:val="%1"/>
      <w:lvlJc w:val="left"/>
      <w:pPr>
        <w:ind w:left="552" w:hanging="335"/>
        <w:jc w:val="left"/>
      </w:pPr>
      <w:rPr>
        <w:rFonts w:hint="default"/>
      </w:rPr>
    </w:lvl>
    <w:lvl w:ilvl="1">
      <w:start w:val="4"/>
      <w:numFmt w:val="decimal"/>
      <w:lvlText w:val="%1.%2"/>
      <w:lvlJc w:val="left"/>
      <w:pPr>
        <w:ind w:left="552" w:hanging="335"/>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26"/>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25"/>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391">
    <w:multiLevelType w:val="hybridMultilevel"/>
    <w:lvl w:ilvl="0">
      <w:start w:val="6"/>
      <w:numFmt w:val="decimal"/>
      <w:lvlText w:val="%1"/>
      <w:lvlJc w:val="left"/>
      <w:pPr>
        <w:ind w:left="552" w:hanging="335"/>
        <w:jc w:val="left"/>
      </w:pPr>
      <w:rPr>
        <w:rFonts w:hint="default"/>
      </w:rPr>
    </w:lvl>
    <w:lvl w:ilvl="1">
      <w:start w:val="4"/>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390">
    <w:multiLevelType w:val="hybridMultilevel"/>
    <w:lvl w:ilvl="0">
      <w:start w:val="6"/>
      <w:numFmt w:val="decimal"/>
      <w:lvlText w:val="%1"/>
      <w:lvlJc w:val="left"/>
      <w:pPr>
        <w:ind w:left="580" w:hanging="363"/>
        <w:jc w:val="left"/>
      </w:pPr>
      <w:rPr>
        <w:rFonts w:hint="default"/>
      </w:rPr>
    </w:lvl>
    <w:lvl w:ilvl="1">
      <w:start w:val="4"/>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lowerLetter"/>
      <w:lvlText w:val="(%3)"/>
      <w:lvlJc w:val="left"/>
      <w:pPr>
        <w:ind w:left="1919" w:hanging="567"/>
        <w:jc w:val="left"/>
      </w:pPr>
      <w:rPr>
        <w:rFonts w:hint="default" w:ascii="Times New Roman" w:hAnsi="Times New Roman" w:eastAsia="Times New Roman" w:cs="Times New Roman"/>
        <w:spacing w:val="-27"/>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6"/>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89">
    <w:multiLevelType w:val="hybridMultilevel"/>
    <w:lvl w:ilvl="0">
      <w:start w:val="6"/>
      <w:numFmt w:val="decimal"/>
      <w:lvlText w:val="%1"/>
      <w:lvlJc w:val="left"/>
      <w:pPr>
        <w:ind w:left="1351" w:hanging="1134"/>
        <w:jc w:val="left"/>
      </w:pPr>
      <w:rPr>
        <w:rFonts w:hint="default"/>
      </w:rPr>
    </w:lvl>
    <w:lvl w:ilvl="1">
      <w:start w:val="4"/>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9"/>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88">
    <w:multiLevelType w:val="hybridMultilevel"/>
    <w:lvl w:ilvl="0">
      <w:start w:val="6"/>
      <w:numFmt w:val="decimal"/>
      <w:lvlText w:val="%1"/>
      <w:lvlJc w:val="left"/>
      <w:pPr>
        <w:ind w:left="1351" w:hanging="1134"/>
        <w:jc w:val="left"/>
      </w:pPr>
      <w:rPr>
        <w:rFonts w:hint="default"/>
      </w:rPr>
    </w:lvl>
    <w:lvl w:ilvl="1">
      <w:start w:val="3"/>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387">
    <w:multiLevelType w:val="hybridMultilevel"/>
    <w:lvl w:ilvl="0">
      <w:start w:val="6"/>
      <w:numFmt w:val="decimal"/>
      <w:lvlText w:val="%1"/>
      <w:lvlJc w:val="left"/>
      <w:pPr>
        <w:ind w:left="752" w:hanging="535"/>
        <w:jc w:val="left"/>
      </w:pPr>
      <w:rPr>
        <w:rFonts w:hint="default"/>
      </w:rPr>
    </w:lvl>
    <w:lvl w:ilvl="1">
      <w:start w:val="2"/>
      <w:numFmt w:val="decimal"/>
      <w:lvlText w:val="%1.%2"/>
      <w:lvlJc w:val="left"/>
      <w:pPr>
        <w:ind w:left="752" w:hanging="535"/>
        <w:jc w:val="left"/>
      </w:pPr>
      <w:rPr>
        <w:rFonts w:hint="default"/>
      </w:rPr>
    </w:lvl>
    <w:lvl w:ilvl="2">
      <w:start w:val="3"/>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7"/>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86">
    <w:multiLevelType w:val="hybridMultilevel"/>
    <w:lvl w:ilvl="0">
      <w:start w:val="6"/>
      <w:numFmt w:val="decimal"/>
      <w:lvlText w:val="%1"/>
      <w:lvlJc w:val="left"/>
      <w:pPr>
        <w:ind w:left="1351" w:hanging="1134"/>
        <w:jc w:val="left"/>
      </w:pPr>
      <w:rPr>
        <w:rFonts w:hint="default"/>
      </w:rPr>
    </w:lvl>
    <w:lvl w:ilvl="1">
      <w:start w:val="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9"/>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385">
    <w:multiLevelType w:val="hybridMultilevel"/>
    <w:lvl w:ilvl="0">
      <w:start w:val="6"/>
      <w:numFmt w:val="decimal"/>
      <w:lvlText w:val="%1"/>
      <w:lvlJc w:val="left"/>
      <w:pPr>
        <w:ind w:left="752" w:hanging="535"/>
        <w:jc w:val="left"/>
      </w:pPr>
      <w:rPr>
        <w:rFonts w:hint="default"/>
      </w:rPr>
    </w:lvl>
    <w:lvl w:ilvl="1">
      <w:start w:val="1"/>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84">
    <w:multiLevelType w:val="hybridMultilevel"/>
    <w:lvl w:ilvl="0">
      <w:start w:val="6"/>
      <w:numFmt w:val="decimal"/>
      <w:lvlText w:val="%1"/>
      <w:lvlJc w:val="left"/>
      <w:pPr>
        <w:ind w:left="580" w:hanging="363"/>
        <w:jc w:val="left"/>
      </w:pPr>
      <w:rPr>
        <w:rFonts w:hint="default"/>
      </w:rPr>
    </w:lvl>
    <w:lvl w:ilvl="1">
      <w:start w:val="0"/>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383">
    <w:multiLevelType w:val="hybridMultilevel"/>
    <w:lvl w:ilvl="0">
      <w:start w:val="6"/>
      <w:numFmt w:val="decimal"/>
      <w:lvlText w:val="%1"/>
      <w:lvlJc w:val="left"/>
      <w:pPr>
        <w:ind w:left="1352" w:hanging="1135"/>
        <w:jc w:val="left"/>
      </w:pPr>
      <w:rPr>
        <w:rFonts w:hint="default"/>
      </w:rPr>
    </w:lvl>
    <w:lvl w:ilvl="1">
      <w:start w:val="0"/>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1"/>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38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8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8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7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8">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7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7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2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7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7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6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6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6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6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6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6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61">
    <w:multiLevelType w:val="hybridMultilevel"/>
    <w:lvl w:ilvl="0">
      <w:start w:val="0"/>
      <w:numFmt w:val="bullet"/>
      <w:lvlText w:val="•"/>
      <w:lvlJc w:val="left"/>
      <w:pPr>
        <w:ind w:left="3053" w:hanging="568"/>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8"/>
      </w:pPr>
      <w:rPr>
        <w:rFonts w:hint="default"/>
      </w:rPr>
    </w:lvl>
    <w:lvl w:ilvl="2">
      <w:start w:val="0"/>
      <w:numFmt w:val="bullet"/>
      <w:lvlText w:val="•"/>
      <w:lvlJc w:val="left"/>
      <w:pPr>
        <w:ind w:left="4389" w:hanging="568"/>
      </w:pPr>
      <w:rPr>
        <w:rFonts w:hint="default"/>
      </w:rPr>
    </w:lvl>
    <w:lvl w:ilvl="3">
      <w:start w:val="0"/>
      <w:numFmt w:val="bullet"/>
      <w:lvlText w:val="•"/>
      <w:lvlJc w:val="left"/>
      <w:pPr>
        <w:ind w:left="5054" w:hanging="568"/>
      </w:pPr>
      <w:rPr>
        <w:rFonts w:hint="default"/>
      </w:rPr>
    </w:lvl>
    <w:lvl w:ilvl="4">
      <w:start w:val="0"/>
      <w:numFmt w:val="bullet"/>
      <w:lvlText w:val="•"/>
      <w:lvlJc w:val="left"/>
      <w:pPr>
        <w:ind w:left="5718" w:hanging="568"/>
      </w:pPr>
      <w:rPr>
        <w:rFonts w:hint="default"/>
      </w:rPr>
    </w:lvl>
    <w:lvl w:ilvl="5">
      <w:start w:val="0"/>
      <w:numFmt w:val="bullet"/>
      <w:lvlText w:val="•"/>
      <w:lvlJc w:val="left"/>
      <w:pPr>
        <w:ind w:left="6383" w:hanging="568"/>
      </w:pPr>
      <w:rPr>
        <w:rFonts w:hint="default"/>
      </w:rPr>
    </w:lvl>
    <w:lvl w:ilvl="6">
      <w:start w:val="0"/>
      <w:numFmt w:val="bullet"/>
      <w:lvlText w:val="•"/>
      <w:lvlJc w:val="left"/>
      <w:pPr>
        <w:ind w:left="7048" w:hanging="568"/>
      </w:pPr>
      <w:rPr>
        <w:rFonts w:hint="default"/>
      </w:rPr>
    </w:lvl>
    <w:lvl w:ilvl="7">
      <w:start w:val="0"/>
      <w:numFmt w:val="bullet"/>
      <w:lvlText w:val="•"/>
      <w:lvlJc w:val="left"/>
      <w:pPr>
        <w:ind w:left="7712" w:hanging="568"/>
      </w:pPr>
      <w:rPr>
        <w:rFonts w:hint="default"/>
      </w:rPr>
    </w:lvl>
    <w:lvl w:ilvl="8">
      <w:start w:val="0"/>
      <w:numFmt w:val="bullet"/>
      <w:lvlText w:val="•"/>
      <w:lvlJc w:val="left"/>
      <w:pPr>
        <w:ind w:left="8377" w:hanging="568"/>
      </w:pPr>
      <w:rPr>
        <w:rFonts w:hint="default"/>
      </w:rPr>
    </w:lvl>
  </w:abstractNum>
  <w:abstractNum w:abstractNumId="3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5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2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5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5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5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6"/>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5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5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5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5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5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4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48">
    <w:multiLevelType w:val="hybridMultilevel"/>
    <w:lvl w:ilvl="0">
      <w:start w:val="0"/>
      <w:numFmt w:val="bullet"/>
      <w:lvlText w:val="–"/>
      <w:lvlJc w:val="left"/>
      <w:pPr>
        <w:ind w:left="1352" w:hanging="180"/>
      </w:pPr>
      <w:rPr>
        <w:rFonts w:hint="default" w:ascii="Times New Roman" w:hAnsi="Times New Roman" w:eastAsia="Times New Roman" w:cs="Times New Roman"/>
        <w:spacing w:val="-1"/>
        <w:w w:val="100"/>
        <w:sz w:val="24"/>
        <w:szCs w:val="24"/>
      </w:rPr>
    </w:lvl>
    <w:lvl w:ilvl="1">
      <w:start w:val="0"/>
      <w:numFmt w:val="bullet"/>
      <w:lvlText w:val="•"/>
      <w:lvlJc w:val="left"/>
      <w:pPr>
        <w:ind w:left="2194" w:hanging="180"/>
      </w:pPr>
      <w:rPr>
        <w:rFonts w:hint="default"/>
      </w:rPr>
    </w:lvl>
    <w:lvl w:ilvl="2">
      <w:start w:val="0"/>
      <w:numFmt w:val="bullet"/>
      <w:lvlText w:val="•"/>
      <w:lvlJc w:val="left"/>
      <w:pPr>
        <w:ind w:left="3029" w:hanging="180"/>
      </w:pPr>
      <w:rPr>
        <w:rFonts w:hint="default"/>
      </w:rPr>
    </w:lvl>
    <w:lvl w:ilvl="3">
      <w:start w:val="0"/>
      <w:numFmt w:val="bullet"/>
      <w:lvlText w:val="•"/>
      <w:lvlJc w:val="left"/>
      <w:pPr>
        <w:ind w:left="3864" w:hanging="180"/>
      </w:pPr>
      <w:rPr>
        <w:rFonts w:hint="default"/>
      </w:rPr>
    </w:lvl>
    <w:lvl w:ilvl="4">
      <w:start w:val="0"/>
      <w:numFmt w:val="bullet"/>
      <w:lvlText w:val="•"/>
      <w:lvlJc w:val="left"/>
      <w:pPr>
        <w:ind w:left="4698" w:hanging="180"/>
      </w:pPr>
      <w:rPr>
        <w:rFonts w:hint="default"/>
      </w:rPr>
    </w:lvl>
    <w:lvl w:ilvl="5">
      <w:start w:val="0"/>
      <w:numFmt w:val="bullet"/>
      <w:lvlText w:val="•"/>
      <w:lvlJc w:val="left"/>
      <w:pPr>
        <w:ind w:left="5533" w:hanging="180"/>
      </w:pPr>
      <w:rPr>
        <w:rFonts w:hint="default"/>
      </w:rPr>
    </w:lvl>
    <w:lvl w:ilvl="6">
      <w:start w:val="0"/>
      <w:numFmt w:val="bullet"/>
      <w:lvlText w:val="•"/>
      <w:lvlJc w:val="left"/>
      <w:pPr>
        <w:ind w:left="6368" w:hanging="180"/>
      </w:pPr>
      <w:rPr>
        <w:rFonts w:hint="default"/>
      </w:rPr>
    </w:lvl>
    <w:lvl w:ilvl="7">
      <w:start w:val="0"/>
      <w:numFmt w:val="bullet"/>
      <w:lvlText w:val="•"/>
      <w:lvlJc w:val="left"/>
      <w:pPr>
        <w:ind w:left="7202" w:hanging="180"/>
      </w:pPr>
      <w:rPr>
        <w:rFonts w:hint="default"/>
      </w:rPr>
    </w:lvl>
    <w:lvl w:ilvl="8">
      <w:start w:val="0"/>
      <w:numFmt w:val="bullet"/>
      <w:lvlText w:val="•"/>
      <w:lvlJc w:val="left"/>
      <w:pPr>
        <w:ind w:left="8037" w:hanging="180"/>
      </w:pPr>
      <w:rPr>
        <w:rFonts w:hint="default"/>
      </w:rPr>
    </w:lvl>
  </w:abstractNum>
  <w:abstractNum w:abstractNumId="34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4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45">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2"/>
        <w:w w:val="100"/>
        <w:sz w:val="24"/>
        <w:szCs w:val="24"/>
      </w:rPr>
    </w:lvl>
    <w:lvl w:ilvl="1">
      <w:start w:val="1"/>
      <w:numFmt w:val="lowerLetter"/>
      <w:lvlText w:val="(%2)"/>
      <w:lvlJc w:val="left"/>
      <w:pPr>
        <w:ind w:left="2486" w:hanging="567"/>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43">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4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40">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339">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33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7"/>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3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3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35">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3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5"/>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3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3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3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3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2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2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2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2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2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2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2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2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2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20">
    <w:multiLevelType w:val="hybridMultilevel"/>
    <w:lvl w:ilvl="0">
      <w:start w:val="1"/>
      <w:numFmt w:val="lowerLetter"/>
      <w:lvlText w:val="(%1)"/>
      <w:lvlJc w:val="left"/>
      <w:pPr>
        <w:ind w:left="2038" w:hanging="68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806" w:hanging="687"/>
      </w:pPr>
      <w:rPr>
        <w:rFonts w:hint="default"/>
      </w:rPr>
    </w:lvl>
    <w:lvl w:ilvl="2">
      <w:start w:val="0"/>
      <w:numFmt w:val="bullet"/>
      <w:lvlText w:val="•"/>
      <w:lvlJc w:val="left"/>
      <w:pPr>
        <w:ind w:left="3573" w:hanging="687"/>
      </w:pPr>
      <w:rPr>
        <w:rFonts w:hint="default"/>
      </w:rPr>
    </w:lvl>
    <w:lvl w:ilvl="3">
      <w:start w:val="0"/>
      <w:numFmt w:val="bullet"/>
      <w:lvlText w:val="•"/>
      <w:lvlJc w:val="left"/>
      <w:pPr>
        <w:ind w:left="4340" w:hanging="687"/>
      </w:pPr>
      <w:rPr>
        <w:rFonts w:hint="default"/>
      </w:rPr>
    </w:lvl>
    <w:lvl w:ilvl="4">
      <w:start w:val="0"/>
      <w:numFmt w:val="bullet"/>
      <w:lvlText w:val="•"/>
      <w:lvlJc w:val="left"/>
      <w:pPr>
        <w:ind w:left="5106" w:hanging="687"/>
      </w:pPr>
      <w:rPr>
        <w:rFonts w:hint="default"/>
      </w:rPr>
    </w:lvl>
    <w:lvl w:ilvl="5">
      <w:start w:val="0"/>
      <w:numFmt w:val="bullet"/>
      <w:lvlText w:val="•"/>
      <w:lvlJc w:val="left"/>
      <w:pPr>
        <w:ind w:left="5873" w:hanging="687"/>
      </w:pPr>
      <w:rPr>
        <w:rFonts w:hint="default"/>
      </w:rPr>
    </w:lvl>
    <w:lvl w:ilvl="6">
      <w:start w:val="0"/>
      <w:numFmt w:val="bullet"/>
      <w:lvlText w:val="•"/>
      <w:lvlJc w:val="left"/>
      <w:pPr>
        <w:ind w:left="6640" w:hanging="687"/>
      </w:pPr>
      <w:rPr>
        <w:rFonts w:hint="default"/>
      </w:rPr>
    </w:lvl>
    <w:lvl w:ilvl="7">
      <w:start w:val="0"/>
      <w:numFmt w:val="bullet"/>
      <w:lvlText w:val="•"/>
      <w:lvlJc w:val="left"/>
      <w:pPr>
        <w:ind w:left="7406" w:hanging="687"/>
      </w:pPr>
      <w:rPr>
        <w:rFonts w:hint="default"/>
      </w:rPr>
    </w:lvl>
    <w:lvl w:ilvl="8">
      <w:start w:val="0"/>
      <w:numFmt w:val="bullet"/>
      <w:lvlText w:val="•"/>
      <w:lvlJc w:val="left"/>
      <w:pPr>
        <w:ind w:left="8173" w:hanging="687"/>
      </w:pPr>
      <w:rPr>
        <w:rFonts w:hint="default"/>
      </w:rPr>
    </w:lvl>
  </w:abstractNum>
  <w:abstractNum w:abstractNumId="31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upperLetter"/>
      <w:lvlText w:val="(%3)"/>
      <w:lvlJc w:val="left"/>
      <w:pPr>
        <w:ind w:left="3052" w:hanging="567"/>
        <w:jc w:val="left"/>
      </w:pPr>
      <w:rPr>
        <w:rFonts w:hint="default" w:ascii="Times New Roman" w:hAnsi="Times New Roman" w:eastAsia="Times New Roman" w:cs="Times New Roman"/>
        <w:spacing w:val="-13"/>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1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17">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1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1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1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1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1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1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1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0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308">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0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0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0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303">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2"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30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0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300">
    <w:multiLevelType w:val="hybridMultilevel"/>
    <w:lvl w:ilvl="0">
      <w:start w:val="9"/>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99">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98">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7"/>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297">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96">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9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5"/>
        <w:w w:val="100"/>
        <w:sz w:val="24"/>
        <w:szCs w:val="24"/>
      </w:rPr>
    </w:lvl>
    <w:lvl w:ilvl="3">
      <w:start w:val="1"/>
      <w:numFmt w:val="upperLetter"/>
      <w:lvlText w:val="(%4)"/>
      <w:lvlJc w:val="left"/>
      <w:pPr>
        <w:ind w:left="3619"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489" w:hanging="567"/>
      </w:pPr>
      <w:rPr>
        <w:rFonts w:hint="default"/>
      </w:rPr>
    </w:lvl>
    <w:lvl w:ilvl="5">
      <w:start w:val="0"/>
      <w:numFmt w:val="bullet"/>
      <w:lvlText w:val="•"/>
      <w:lvlJc w:val="left"/>
      <w:pPr>
        <w:ind w:left="5359" w:hanging="567"/>
      </w:pPr>
      <w:rPr>
        <w:rFonts w:hint="default"/>
      </w:rPr>
    </w:lvl>
    <w:lvl w:ilvl="6">
      <w:start w:val="0"/>
      <w:numFmt w:val="bullet"/>
      <w:lvlText w:val="•"/>
      <w:lvlJc w:val="left"/>
      <w:pPr>
        <w:ind w:left="6228" w:hanging="567"/>
      </w:pPr>
      <w:rPr>
        <w:rFonts w:hint="default"/>
      </w:rPr>
    </w:lvl>
    <w:lvl w:ilvl="7">
      <w:start w:val="0"/>
      <w:numFmt w:val="bullet"/>
      <w:lvlText w:val="•"/>
      <w:lvlJc w:val="left"/>
      <w:pPr>
        <w:ind w:left="7098" w:hanging="567"/>
      </w:pPr>
      <w:rPr>
        <w:rFonts w:hint="default"/>
      </w:rPr>
    </w:lvl>
    <w:lvl w:ilvl="8">
      <w:start w:val="0"/>
      <w:numFmt w:val="bullet"/>
      <w:lvlText w:val="•"/>
      <w:lvlJc w:val="left"/>
      <w:pPr>
        <w:ind w:left="7967" w:hanging="567"/>
      </w:pPr>
      <w:rPr>
        <w:rFonts w:hint="default"/>
      </w:rPr>
    </w:lvl>
  </w:abstractNum>
  <w:abstractNum w:abstractNumId="29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9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9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8"/>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6"/>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9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9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8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30"/>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1"/>
      <w:numFmt w:val="upperLetter"/>
      <w:lvlText w:val="(%4)"/>
      <w:lvlJc w:val="left"/>
      <w:pPr>
        <w:ind w:left="3620" w:hanging="567"/>
        <w:jc w:val="left"/>
      </w:pPr>
      <w:rPr>
        <w:rFonts w:hint="default" w:ascii="Times New Roman" w:hAnsi="Times New Roman" w:eastAsia="Times New Roman" w:cs="Times New Roman"/>
        <w:spacing w:val="-7"/>
        <w:w w:val="100"/>
        <w:sz w:val="24"/>
        <w:szCs w:val="24"/>
      </w:rPr>
    </w:lvl>
    <w:lvl w:ilvl="4">
      <w:start w:val="0"/>
      <w:numFmt w:val="bullet"/>
      <w:lvlText w:val="•"/>
      <w:lvlJc w:val="left"/>
      <w:pPr>
        <w:ind w:left="4489" w:hanging="567"/>
      </w:pPr>
      <w:rPr>
        <w:rFonts w:hint="default"/>
      </w:rPr>
    </w:lvl>
    <w:lvl w:ilvl="5">
      <w:start w:val="0"/>
      <w:numFmt w:val="bullet"/>
      <w:lvlText w:val="•"/>
      <w:lvlJc w:val="left"/>
      <w:pPr>
        <w:ind w:left="5359" w:hanging="567"/>
      </w:pPr>
      <w:rPr>
        <w:rFonts w:hint="default"/>
      </w:rPr>
    </w:lvl>
    <w:lvl w:ilvl="6">
      <w:start w:val="0"/>
      <w:numFmt w:val="bullet"/>
      <w:lvlText w:val="•"/>
      <w:lvlJc w:val="left"/>
      <w:pPr>
        <w:ind w:left="6228" w:hanging="567"/>
      </w:pPr>
      <w:rPr>
        <w:rFonts w:hint="default"/>
      </w:rPr>
    </w:lvl>
    <w:lvl w:ilvl="7">
      <w:start w:val="0"/>
      <w:numFmt w:val="bullet"/>
      <w:lvlText w:val="•"/>
      <w:lvlJc w:val="left"/>
      <w:pPr>
        <w:ind w:left="7098" w:hanging="567"/>
      </w:pPr>
      <w:rPr>
        <w:rFonts w:hint="default"/>
      </w:rPr>
    </w:lvl>
    <w:lvl w:ilvl="8">
      <w:start w:val="0"/>
      <w:numFmt w:val="bullet"/>
      <w:lvlText w:val="•"/>
      <w:lvlJc w:val="left"/>
      <w:pPr>
        <w:ind w:left="7967" w:hanging="567"/>
      </w:pPr>
      <w:rPr>
        <w:rFonts w:hint="default"/>
      </w:rPr>
    </w:lvl>
  </w:abstractNum>
  <w:abstractNum w:abstractNumId="28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8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4"/>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86">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8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8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83">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28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1"/>
      <w:numFmt w:val="upperLetter"/>
      <w:lvlText w:val="(%4)"/>
      <w:lvlJc w:val="left"/>
      <w:pPr>
        <w:ind w:left="3620" w:hanging="567"/>
        <w:jc w:val="left"/>
      </w:pPr>
      <w:rPr>
        <w:rFonts w:hint="default" w:ascii="Times New Roman" w:hAnsi="Times New Roman" w:eastAsia="Times New Roman" w:cs="Times New Roman"/>
        <w:spacing w:val="-7"/>
        <w:w w:val="100"/>
        <w:sz w:val="24"/>
        <w:szCs w:val="24"/>
      </w:rPr>
    </w:lvl>
    <w:lvl w:ilvl="4">
      <w:start w:val="0"/>
      <w:numFmt w:val="bullet"/>
      <w:lvlText w:val="•"/>
      <w:lvlJc w:val="left"/>
      <w:pPr>
        <w:ind w:left="4489" w:hanging="567"/>
      </w:pPr>
      <w:rPr>
        <w:rFonts w:hint="default"/>
      </w:rPr>
    </w:lvl>
    <w:lvl w:ilvl="5">
      <w:start w:val="0"/>
      <w:numFmt w:val="bullet"/>
      <w:lvlText w:val="•"/>
      <w:lvlJc w:val="left"/>
      <w:pPr>
        <w:ind w:left="5359" w:hanging="567"/>
      </w:pPr>
      <w:rPr>
        <w:rFonts w:hint="default"/>
      </w:rPr>
    </w:lvl>
    <w:lvl w:ilvl="6">
      <w:start w:val="0"/>
      <w:numFmt w:val="bullet"/>
      <w:lvlText w:val="•"/>
      <w:lvlJc w:val="left"/>
      <w:pPr>
        <w:ind w:left="6228" w:hanging="567"/>
      </w:pPr>
      <w:rPr>
        <w:rFonts w:hint="default"/>
      </w:rPr>
    </w:lvl>
    <w:lvl w:ilvl="7">
      <w:start w:val="0"/>
      <w:numFmt w:val="bullet"/>
      <w:lvlText w:val="•"/>
      <w:lvlJc w:val="left"/>
      <w:pPr>
        <w:ind w:left="7098" w:hanging="567"/>
      </w:pPr>
      <w:rPr>
        <w:rFonts w:hint="default"/>
      </w:rPr>
    </w:lvl>
    <w:lvl w:ilvl="8">
      <w:start w:val="0"/>
      <w:numFmt w:val="bullet"/>
      <w:lvlText w:val="•"/>
      <w:lvlJc w:val="left"/>
      <w:pPr>
        <w:ind w:left="7967" w:hanging="567"/>
      </w:pPr>
      <w:rPr>
        <w:rFonts w:hint="default"/>
      </w:rPr>
    </w:lvl>
  </w:abstractNum>
  <w:abstractNum w:abstractNumId="28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8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7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7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3">
    <w:multiLevelType w:val="hybridMultilevel"/>
    <w:lvl w:ilvl="0">
      <w:start w:val="9"/>
      <w:numFmt w:val="lowerLetter"/>
      <w:lvlText w:val="(%1)"/>
      <w:lvlJc w:val="left"/>
      <w:pPr>
        <w:ind w:left="1919" w:hanging="567"/>
        <w:jc w:val="left"/>
      </w:pPr>
      <w:rPr>
        <w:rFonts w:hint="default" w:ascii="Times New Roman" w:hAnsi="Times New Roman" w:eastAsia="Times New Roman" w:cs="Times New Roman"/>
        <w:spacing w:val="-2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6"/>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3"/>
        <w:w w:val="100"/>
        <w:sz w:val="24"/>
        <w:szCs w:val="24"/>
      </w:rPr>
    </w:lvl>
    <w:lvl w:ilvl="3">
      <w:start w:val="1"/>
      <w:numFmt w:val="upperLetter"/>
      <w:lvlText w:val="(%4)"/>
      <w:lvlJc w:val="left"/>
      <w:pPr>
        <w:ind w:left="3620" w:hanging="567"/>
        <w:jc w:val="left"/>
      </w:pPr>
      <w:rPr>
        <w:rFonts w:hint="default" w:ascii="Times New Roman" w:hAnsi="Times New Roman" w:eastAsia="Times New Roman" w:cs="Times New Roman"/>
        <w:spacing w:val="-24"/>
        <w:w w:val="100"/>
        <w:sz w:val="24"/>
        <w:szCs w:val="24"/>
      </w:rPr>
    </w:lvl>
    <w:lvl w:ilvl="4">
      <w:start w:val="0"/>
      <w:numFmt w:val="bullet"/>
      <w:lvlText w:val="•"/>
      <w:lvlJc w:val="left"/>
      <w:pPr>
        <w:ind w:left="4489" w:hanging="567"/>
      </w:pPr>
      <w:rPr>
        <w:rFonts w:hint="default"/>
      </w:rPr>
    </w:lvl>
    <w:lvl w:ilvl="5">
      <w:start w:val="0"/>
      <w:numFmt w:val="bullet"/>
      <w:lvlText w:val="•"/>
      <w:lvlJc w:val="left"/>
      <w:pPr>
        <w:ind w:left="5359" w:hanging="567"/>
      </w:pPr>
      <w:rPr>
        <w:rFonts w:hint="default"/>
      </w:rPr>
    </w:lvl>
    <w:lvl w:ilvl="6">
      <w:start w:val="0"/>
      <w:numFmt w:val="bullet"/>
      <w:lvlText w:val="•"/>
      <w:lvlJc w:val="left"/>
      <w:pPr>
        <w:ind w:left="6228" w:hanging="567"/>
      </w:pPr>
      <w:rPr>
        <w:rFonts w:hint="default"/>
      </w:rPr>
    </w:lvl>
    <w:lvl w:ilvl="7">
      <w:start w:val="0"/>
      <w:numFmt w:val="bullet"/>
      <w:lvlText w:val="•"/>
      <w:lvlJc w:val="left"/>
      <w:pPr>
        <w:ind w:left="7098" w:hanging="567"/>
      </w:pPr>
      <w:rPr>
        <w:rFonts w:hint="default"/>
      </w:rPr>
    </w:lvl>
    <w:lvl w:ilvl="8">
      <w:start w:val="0"/>
      <w:numFmt w:val="bullet"/>
      <w:lvlText w:val="•"/>
      <w:lvlJc w:val="left"/>
      <w:pPr>
        <w:ind w:left="7967" w:hanging="567"/>
      </w:pPr>
      <w:rPr>
        <w:rFonts w:hint="default"/>
      </w:rPr>
    </w:lvl>
  </w:abstractNum>
  <w:abstractNum w:abstractNumId="27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7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6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6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6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6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64">
    <w:multiLevelType w:val="hybridMultilevel"/>
    <w:lvl w:ilvl="0">
      <w:start w:val="1"/>
      <w:numFmt w:val="decimal"/>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lowerLetter"/>
      <w:lvlText w:val="(%2)"/>
      <w:lvlJc w:val="left"/>
      <w:pPr>
        <w:ind w:left="1919" w:hanging="567"/>
        <w:jc w:val="left"/>
      </w:pPr>
      <w:rPr>
        <w:rFonts w:hint="default" w:ascii="Times New Roman" w:hAnsi="Times New Roman" w:eastAsia="Times New Roman" w:cs="Times New Roman"/>
        <w:spacing w:val="-21"/>
        <w:w w:val="100"/>
        <w:sz w:val="24"/>
        <w:szCs w:val="24"/>
      </w:rPr>
    </w:lvl>
    <w:lvl w:ilvl="2">
      <w:start w:val="1"/>
      <w:numFmt w:val="decimal"/>
      <w:lvlText w:val="(%3)"/>
      <w:lvlJc w:val="left"/>
      <w:pPr>
        <w:ind w:left="2486" w:hanging="567"/>
        <w:jc w:val="left"/>
      </w:pPr>
      <w:rPr>
        <w:rFonts w:hint="default" w:ascii="Times New Roman" w:hAnsi="Times New Roman" w:eastAsia="Times New Roman" w:cs="Times New Roman"/>
        <w:spacing w:val="-13"/>
        <w:w w:val="100"/>
        <w:sz w:val="24"/>
        <w:szCs w:val="24"/>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6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6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5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57">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56">
    <w:multiLevelType w:val="hybridMultilevel"/>
    <w:lvl w:ilvl="0">
      <w:start w:val="5"/>
      <w:numFmt w:val="decimal"/>
      <w:lvlText w:val="%1"/>
      <w:lvlJc w:val="left"/>
      <w:pPr>
        <w:ind w:left="1352" w:hanging="468"/>
        <w:jc w:val="left"/>
      </w:pPr>
      <w:rPr>
        <w:rFonts w:hint="default"/>
      </w:rPr>
    </w:lvl>
    <w:lvl w:ilvl="1">
      <w:start w:val="20"/>
      <w:numFmt w:val="decimal"/>
      <w:lvlText w:val="%1.%2"/>
      <w:lvlJc w:val="left"/>
      <w:pPr>
        <w:ind w:left="1352" w:hanging="468"/>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55">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54">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8"/>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53">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52">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29"/>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51">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28"/>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50">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49">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7"/>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48">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47">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29"/>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46">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4"/>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30"/>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45">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4"/>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44">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243">
    <w:multiLevelType w:val="hybridMultilevel"/>
    <w:lvl w:ilvl="0">
      <w:start w:val="5"/>
      <w:numFmt w:val="decimal"/>
      <w:lvlText w:val="%1"/>
      <w:lvlJc w:val="left"/>
      <w:pPr>
        <w:ind w:left="686" w:hanging="468"/>
        <w:jc w:val="left"/>
      </w:pPr>
      <w:rPr>
        <w:rFonts w:hint="default"/>
      </w:rPr>
    </w:lvl>
    <w:lvl w:ilvl="1">
      <w:start w:val="20"/>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42">
    <w:multiLevelType w:val="hybridMultilevel"/>
    <w:lvl w:ilvl="0">
      <w:start w:val="5"/>
      <w:numFmt w:val="decimal"/>
      <w:lvlText w:val="%1"/>
      <w:lvlJc w:val="left"/>
      <w:pPr>
        <w:ind w:left="1351" w:hanging="1134"/>
        <w:jc w:val="left"/>
      </w:pPr>
      <w:rPr>
        <w:rFonts w:hint="default"/>
      </w:rPr>
    </w:lvl>
    <w:lvl w:ilvl="1">
      <w:start w:val="20"/>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41">
    <w:multiLevelType w:val="hybridMultilevel"/>
    <w:lvl w:ilvl="0">
      <w:start w:val="5"/>
      <w:numFmt w:val="decimal"/>
      <w:lvlText w:val="%1"/>
      <w:lvlJc w:val="left"/>
      <w:pPr>
        <w:ind w:left="1351" w:hanging="1134"/>
        <w:jc w:val="left"/>
      </w:pPr>
      <w:rPr>
        <w:rFonts w:hint="default"/>
      </w:rPr>
    </w:lvl>
    <w:lvl w:ilvl="1">
      <w:start w:val="19"/>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6"/>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40">
    <w:multiLevelType w:val="hybridMultilevel"/>
    <w:lvl w:ilvl="0">
      <w:start w:val="5"/>
      <w:numFmt w:val="decimal"/>
      <w:lvlText w:val="%1"/>
      <w:lvlJc w:val="left"/>
      <w:pPr>
        <w:ind w:left="686" w:hanging="468"/>
        <w:jc w:val="left"/>
      </w:pPr>
      <w:rPr>
        <w:rFonts w:hint="default"/>
      </w:rPr>
    </w:lvl>
    <w:lvl w:ilvl="1">
      <w:start w:val="18"/>
      <w:numFmt w:val="decimal"/>
      <w:lvlText w:val="%1.%2"/>
      <w:lvlJc w:val="left"/>
      <w:pPr>
        <w:ind w:left="686" w:hanging="468"/>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39">
    <w:multiLevelType w:val="hybridMultilevel"/>
    <w:lvl w:ilvl="0">
      <w:start w:val="5"/>
      <w:numFmt w:val="decimal"/>
      <w:lvlText w:val="%1"/>
      <w:lvlJc w:val="left"/>
      <w:pPr>
        <w:ind w:left="686" w:hanging="468"/>
        <w:jc w:val="left"/>
      </w:pPr>
      <w:rPr>
        <w:rFonts w:hint="default"/>
      </w:rPr>
    </w:lvl>
    <w:lvl w:ilvl="1">
      <w:start w:val="18"/>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238">
    <w:multiLevelType w:val="hybridMultilevel"/>
    <w:lvl w:ilvl="0">
      <w:start w:val="5"/>
      <w:numFmt w:val="decimal"/>
      <w:lvlText w:val="%1"/>
      <w:lvlJc w:val="left"/>
      <w:pPr>
        <w:ind w:left="686" w:hanging="468"/>
        <w:jc w:val="left"/>
      </w:pPr>
      <w:rPr>
        <w:rFonts w:hint="default"/>
      </w:rPr>
    </w:lvl>
    <w:lvl w:ilvl="1">
      <w:start w:val="18"/>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37">
    <w:multiLevelType w:val="hybridMultilevel"/>
    <w:lvl w:ilvl="0">
      <w:start w:val="5"/>
      <w:numFmt w:val="decimal"/>
      <w:lvlText w:val="%1"/>
      <w:lvlJc w:val="left"/>
      <w:pPr>
        <w:ind w:left="686" w:hanging="468"/>
        <w:jc w:val="left"/>
      </w:pPr>
      <w:rPr>
        <w:rFonts w:hint="default"/>
      </w:rPr>
    </w:lvl>
    <w:lvl w:ilvl="1">
      <w:start w:val="18"/>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36">
    <w:multiLevelType w:val="hybridMultilevel"/>
    <w:lvl w:ilvl="0">
      <w:start w:val="5"/>
      <w:numFmt w:val="decimal"/>
      <w:lvlText w:val="%1"/>
      <w:lvlJc w:val="left"/>
      <w:pPr>
        <w:ind w:left="686" w:hanging="468"/>
        <w:jc w:val="left"/>
      </w:pPr>
      <w:rPr>
        <w:rFonts w:hint="default"/>
      </w:rPr>
    </w:lvl>
    <w:lvl w:ilvl="1">
      <w:start w:val="18"/>
      <w:numFmt w:val="decimal"/>
      <w:lvlText w:val="%1.%2"/>
      <w:lvlJc w:val="left"/>
      <w:pPr>
        <w:ind w:left="686" w:hanging="468"/>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235">
    <w:multiLevelType w:val="hybridMultilevel"/>
    <w:lvl w:ilvl="0">
      <w:start w:val="5"/>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2" w:hanging="567"/>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234">
    <w:multiLevelType w:val="hybridMultilevel"/>
    <w:lvl w:ilvl="0">
      <w:start w:val="5"/>
      <w:numFmt w:val="decimal"/>
      <w:lvlText w:val="%1"/>
      <w:lvlJc w:val="left"/>
      <w:pPr>
        <w:ind w:left="1351" w:hanging="1134"/>
        <w:jc w:val="left"/>
      </w:pPr>
      <w:rPr>
        <w:rFonts w:hint="default"/>
      </w:rPr>
    </w:lvl>
    <w:lvl w:ilvl="1">
      <w:start w:val="17"/>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20"/>
        <w:w w:val="100"/>
        <w:sz w:val="24"/>
        <w:szCs w:val="24"/>
      </w:rPr>
    </w:lvl>
    <w:lvl w:ilvl="6">
      <w:start w:val="1"/>
      <w:numFmt w:val="upperLetter"/>
      <w:lvlText w:val="(%7)"/>
      <w:lvlJc w:val="left"/>
      <w:pPr>
        <w:ind w:left="3619" w:hanging="567"/>
        <w:jc w:val="left"/>
      </w:pPr>
      <w:rPr>
        <w:rFonts w:hint="default" w:ascii="Times New Roman" w:hAnsi="Times New Roman" w:eastAsia="Times New Roman" w:cs="Times New Roman"/>
        <w:spacing w:val="-1"/>
        <w:w w:val="100"/>
        <w:sz w:val="24"/>
        <w:szCs w:val="24"/>
      </w:rPr>
    </w:lvl>
    <w:lvl w:ilvl="7">
      <w:start w:val="0"/>
      <w:numFmt w:val="bullet"/>
      <w:lvlText w:val="•"/>
      <w:lvlJc w:val="left"/>
      <w:pPr>
        <w:ind w:left="6663" w:hanging="567"/>
      </w:pPr>
      <w:rPr>
        <w:rFonts w:hint="default"/>
      </w:rPr>
    </w:lvl>
    <w:lvl w:ilvl="8">
      <w:start w:val="0"/>
      <w:numFmt w:val="bullet"/>
      <w:lvlText w:val="•"/>
      <w:lvlJc w:val="left"/>
      <w:pPr>
        <w:ind w:left="7678" w:hanging="567"/>
      </w:pPr>
      <w:rPr>
        <w:rFonts w:hint="default"/>
      </w:rPr>
    </w:lvl>
  </w:abstractNum>
  <w:abstractNum w:abstractNumId="23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32">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31">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30">
    <w:multiLevelType w:val="hybridMultilevel"/>
    <w:lvl w:ilvl="0">
      <w:start w:val="5"/>
      <w:numFmt w:val="decimal"/>
      <w:lvlText w:val="%1"/>
      <w:lvlJc w:val="left"/>
      <w:pPr>
        <w:ind w:left="1351" w:hanging="1134"/>
        <w:jc w:val="left"/>
      </w:pPr>
      <w:rPr>
        <w:rFonts w:hint="default"/>
      </w:rPr>
    </w:lvl>
    <w:lvl w:ilvl="1">
      <w:start w:val="16"/>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6"/>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4"/>
        <w:w w:val="100"/>
        <w:sz w:val="24"/>
        <w:szCs w:val="24"/>
      </w:rPr>
    </w:lvl>
    <w:lvl w:ilvl="6">
      <w:start w:val="1"/>
      <w:numFmt w:val="upperLetter"/>
      <w:lvlText w:val="(%7)"/>
      <w:lvlJc w:val="left"/>
      <w:pPr>
        <w:ind w:left="3619" w:hanging="567"/>
        <w:jc w:val="left"/>
      </w:pPr>
      <w:rPr>
        <w:rFonts w:hint="default" w:ascii="Times New Roman" w:hAnsi="Times New Roman" w:eastAsia="Times New Roman" w:cs="Times New Roman"/>
        <w:spacing w:val="-1"/>
        <w:w w:val="100"/>
        <w:sz w:val="24"/>
        <w:szCs w:val="24"/>
      </w:rPr>
    </w:lvl>
    <w:lvl w:ilvl="7">
      <w:start w:val="0"/>
      <w:numFmt w:val="bullet"/>
      <w:lvlText w:val="•"/>
      <w:lvlJc w:val="left"/>
      <w:pPr>
        <w:ind w:left="6663" w:hanging="567"/>
      </w:pPr>
      <w:rPr>
        <w:rFonts w:hint="default"/>
      </w:rPr>
    </w:lvl>
    <w:lvl w:ilvl="8">
      <w:start w:val="0"/>
      <w:numFmt w:val="bullet"/>
      <w:lvlText w:val="•"/>
      <w:lvlJc w:val="left"/>
      <w:pPr>
        <w:ind w:left="7678" w:hanging="567"/>
      </w:pPr>
      <w:rPr>
        <w:rFonts w:hint="default"/>
      </w:rPr>
    </w:lvl>
  </w:abstractNum>
  <w:abstractNum w:abstractNumId="229">
    <w:multiLevelType w:val="hybridMultilevel"/>
    <w:lvl w:ilvl="0">
      <w:start w:val="2"/>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28">
    <w:multiLevelType w:val="hybridMultilevel"/>
    <w:lvl w:ilvl="0">
      <w:start w:val="5"/>
      <w:numFmt w:val="decimal"/>
      <w:lvlText w:val="%1"/>
      <w:lvlJc w:val="left"/>
      <w:pPr>
        <w:ind w:left="1351" w:hanging="1134"/>
        <w:jc w:val="left"/>
      </w:pPr>
      <w:rPr>
        <w:rFonts w:hint="default"/>
      </w:rPr>
    </w:lvl>
    <w:lvl w:ilvl="1">
      <w:start w:val="15"/>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righ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275" w:hanging="567"/>
      </w:pPr>
      <w:rPr>
        <w:rFonts w:hint="default"/>
      </w:rPr>
    </w:lvl>
    <w:lvl w:ilvl="7">
      <w:start w:val="0"/>
      <w:numFmt w:val="bullet"/>
      <w:lvlText w:val="•"/>
      <w:lvlJc w:val="left"/>
      <w:pPr>
        <w:ind w:left="6383" w:hanging="567"/>
      </w:pPr>
      <w:rPr>
        <w:rFonts w:hint="default"/>
      </w:rPr>
    </w:lvl>
    <w:lvl w:ilvl="8">
      <w:start w:val="0"/>
      <w:numFmt w:val="bullet"/>
      <w:lvlText w:val="•"/>
      <w:lvlJc w:val="left"/>
      <w:pPr>
        <w:ind w:left="7491" w:hanging="567"/>
      </w:pPr>
      <w:rPr>
        <w:rFonts w:hint="default"/>
      </w:rPr>
    </w:lvl>
  </w:abstractNum>
  <w:abstractNum w:abstractNumId="227">
    <w:multiLevelType w:val="hybridMultilevel"/>
    <w:lvl w:ilvl="0">
      <w:start w:val="5"/>
      <w:numFmt w:val="decimal"/>
      <w:lvlText w:val="%1"/>
      <w:lvlJc w:val="left"/>
      <w:pPr>
        <w:ind w:left="686" w:hanging="468"/>
        <w:jc w:val="left"/>
      </w:pPr>
      <w:rPr>
        <w:rFonts w:hint="default"/>
      </w:rPr>
    </w:lvl>
    <w:lvl w:ilvl="1">
      <w:start w:val="14"/>
      <w:numFmt w:val="decimal"/>
      <w:lvlText w:val="%1.%2"/>
      <w:lvlJc w:val="left"/>
      <w:pPr>
        <w:ind w:left="686" w:hanging="468"/>
        <w:jc w:val="lef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23"/>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226">
    <w:multiLevelType w:val="hybridMultilevel"/>
    <w:lvl w:ilvl="0">
      <w:start w:val="5"/>
      <w:numFmt w:val="decimal"/>
      <w:lvlText w:val="%1"/>
      <w:lvlJc w:val="left"/>
      <w:pPr>
        <w:ind w:left="1352" w:hanging="507"/>
        <w:jc w:val="left"/>
      </w:pPr>
      <w:rPr>
        <w:rFonts w:hint="default"/>
      </w:rPr>
    </w:lvl>
    <w:lvl w:ilvl="1">
      <w:start w:val="14"/>
      <w:numFmt w:val="decimal"/>
      <w:lvlText w:val="%1.%2"/>
      <w:lvlJc w:val="left"/>
      <w:pPr>
        <w:ind w:left="1352" w:hanging="507"/>
        <w:jc w:val="left"/>
      </w:pPr>
      <w:rPr>
        <w:rFonts w:hint="default" w:ascii="Arial" w:hAnsi="Arial" w:eastAsia="Arial" w:cs="Arial"/>
        <w:b/>
        <w:bCs/>
        <w:spacing w:val="-1"/>
        <w:w w:val="100"/>
        <w:sz w:val="24"/>
        <w:szCs w:val="24"/>
      </w:rPr>
    </w:lvl>
    <w:lvl w:ilvl="2">
      <w:start w:val="1"/>
      <w:numFmt w:val="lowerLetter"/>
      <w:lvlText w:val="(%3)"/>
      <w:lvlJc w:val="left"/>
      <w:pPr>
        <w:ind w:left="1919" w:hanging="567"/>
        <w:jc w:val="left"/>
      </w:pPr>
      <w:rPr>
        <w:rFonts w:hint="default" w:ascii="Times New Roman" w:hAnsi="Times New Roman" w:eastAsia="Times New Roman" w:cs="Times New Roman"/>
        <w:spacing w:val="-2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225">
    <w:multiLevelType w:val="hybridMultilevel"/>
    <w:lvl w:ilvl="0">
      <w:start w:val="5"/>
      <w:numFmt w:val="decimal"/>
      <w:lvlText w:val="%1"/>
      <w:lvlJc w:val="left"/>
      <w:pPr>
        <w:ind w:left="1352" w:hanging="1134"/>
        <w:jc w:val="left"/>
      </w:pPr>
      <w:rPr>
        <w:rFonts w:hint="default"/>
      </w:rPr>
    </w:lvl>
    <w:lvl w:ilvl="1">
      <w:start w:val="14"/>
      <w:numFmt w:val="decimal"/>
      <w:lvlText w:val="%1.%2"/>
      <w:lvlJc w:val="left"/>
      <w:pPr>
        <w:ind w:left="1352" w:hanging="1134"/>
        <w:jc w:val="left"/>
      </w:pPr>
      <w:rPr>
        <w:rFonts w:hint="default"/>
      </w:rPr>
    </w:lvl>
    <w:lvl w:ilvl="2">
      <w:start w:val="1"/>
      <w:numFmt w:val="decimal"/>
      <w:lvlText w:val="%1.%2.%3"/>
      <w:lvlJc w:val="left"/>
      <w:pPr>
        <w:ind w:left="1352"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6"/>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24">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4"/>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23">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22">
    <w:multiLevelType w:val="hybridMultilevel"/>
    <w:lvl w:ilvl="0">
      <w:start w:val="5"/>
      <w:numFmt w:val="decimal"/>
      <w:lvlText w:val="%1"/>
      <w:lvlJc w:val="left"/>
      <w:pPr>
        <w:ind w:left="724" w:hanging="507"/>
        <w:jc w:val="left"/>
      </w:pPr>
      <w:rPr>
        <w:rFonts w:hint="default"/>
      </w:rPr>
    </w:lvl>
    <w:lvl w:ilvl="1">
      <w:start w:val="13"/>
      <w:numFmt w:val="decimal"/>
      <w:lvlText w:val="%1.%2"/>
      <w:lvlJc w:val="left"/>
      <w:pPr>
        <w:ind w:left="724" w:hanging="507"/>
        <w:jc w:val="left"/>
      </w:pPr>
      <w:rPr>
        <w:rFonts w:hint="default" w:ascii="Arial" w:hAnsi="Arial" w:eastAsia="Arial" w:cs="Arial"/>
        <w:b/>
        <w:bCs/>
        <w:spacing w:val="-1"/>
        <w:w w:val="100"/>
        <w:sz w:val="24"/>
        <w:szCs w:val="24"/>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1"/>
      <w:numFmt w:val="lowerLetter"/>
      <w:lvlText w:val="(%5)"/>
      <w:lvlJc w:val="left"/>
      <w:pPr>
        <w:ind w:left="3052"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21">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20">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9">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8">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7">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6">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5">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4">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3">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2">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1">
    <w:multiLevelType w:val="hybridMultilevel"/>
    <w:lvl w:ilvl="0">
      <w:start w:val="1"/>
      <w:numFmt w:val="lowerRoman"/>
      <w:lvlText w:val="(%1)"/>
      <w:lvlJc w:val="left"/>
      <w:pPr>
        <w:ind w:left="3052" w:hanging="567"/>
        <w:jc w:val="left"/>
      </w:pPr>
      <w:rPr>
        <w:rFonts w:hint="default" w:ascii="Times New Roman" w:hAnsi="Times New Roman" w:eastAsia="Times New Roman" w:cs="Times New Roman"/>
        <w:spacing w:val="-20"/>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10">
    <w:multiLevelType w:val="hybridMultilevel"/>
    <w:lvl w:ilvl="0">
      <w:start w:val="1"/>
      <w:numFmt w:val="lowerRoman"/>
      <w:lvlText w:val="(%1)"/>
      <w:lvlJc w:val="left"/>
      <w:pPr>
        <w:ind w:left="3053" w:hanging="567"/>
        <w:jc w:val="left"/>
      </w:pPr>
      <w:rPr>
        <w:rFonts w:hint="default" w:ascii="Times New Roman" w:hAnsi="Times New Roman" w:eastAsia="Times New Roman" w:cs="Times New Roman"/>
        <w:spacing w:val="-25"/>
        <w:w w:val="100"/>
        <w:sz w:val="24"/>
        <w:szCs w:val="24"/>
      </w:rPr>
    </w:lvl>
    <w:lvl w:ilvl="1">
      <w:start w:val="0"/>
      <w:numFmt w:val="bullet"/>
      <w:lvlText w:val="•"/>
      <w:lvlJc w:val="left"/>
      <w:pPr>
        <w:ind w:left="3724" w:hanging="567"/>
      </w:pPr>
      <w:rPr>
        <w:rFonts w:hint="default"/>
      </w:rPr>
    </w:lvl>
    <w:lvl w:ilvl="2">
      <w:start w:val="0"/>
      <w:numFmt w:val="bullet"/>
      <w:lvlText w:val="•"/>
      <w:lvlJc w:val="left"/>
      <w:pPr>
        <w:ind w:left="4389" w:hanging="567"/>
      </w:pPr>
      <w:rPr>
        <w:rFonts w:hint="default"/>
      </w:rPr>
    </w:lvl>
    <w:lvl w:ilvl="3">
      <w:start w:val="0"/>
      <w:numFmt w:val="bullet"/>
      <w:lvlText w:val="•"/>
      <w:lvlJc w:val="left"/>
      <w:pPr>
        <w:ind w:left="5054" w:hanging="567"/>
      </w:pPr>
      <w:rPr>
        <w:rFonts w:hint="default"/>
      </w:rPr>
    </w:lvl>
    <w:lvl w:ilvl="4">
      <w:start w:val="0"/>
      <w:numFmt w:val="bullet"/>
      <w:lvlText w:val="•"/>
      <w:lvlJc w:val="left"/>
      <w:pPr>
        <w:ind w:left="5718" w:hanging="567"/>
      </w:pPr>
      <w:rPr>
        <w:rFonts w:hint="default"/>
      </w:rPr>
    </w:lvl>
    <w:lvl w:ilvl="5">
      <w:start w:val="0"/>
      <w:numFmt w:val="bullet"/>
      <w:lvlText w:val="•"/>
      <w:lvlJc w:val="left"/>
      <w:pPr>
        <w:ind w:left="6383" w:hanging="567"/>
      </w:pPr>
      <w:rPr>
        <w:rFonts w:hint="default"/>
      </w:rPr>
    </w:lvl>
    <w:lvl w:ilvl="6">
      <w:start w:val="0"/>
      <w:numFmt w:val="bullet"/>
      <w:lvlText w:val="•"/>
      <w:lvlJc w:val="left"/>
      <w:pPr>
        <w:ind w:left="7048" w:hanging="567"/>
      </w:pPr>
      <w:rPr>
        <w:rFonts w:hint="default"/>
      </w:rPr>
    </w:lvl>
    <w:lvl w:ilvl="7">
      <w:start w:val="0"/>
      <w:numFmt w:val="bullet"/>
      <w:lvlText w:val="•"/>
      <w:lvlJc w:val="left"/>
      <w:pPr>
        <w:ind w:left="7712" w:hanging="567"/>
      </w:pPr>
      <w:rPr>
        <w:rFonts w:hint="default"/>
      </w:rPr>
    </w:lvl>
    <w:lvl w:ilvl="8">
      <w:start w:val="0"/>
      <w:numFmt w:val="bullet"/>
      <w:lvlText w:val="•"/>
      <w:lvlJc w:val="left"/>
      <w:pPr>
        <w:ind w:left="8377" w:hanging="567"/>
      </w:pPr>
      <w:rPr>
        <w:rFonts w:hint="default"/>
      </w:rPr>
    </w:lvl>
  </w:abstractNum>
  <w:abstractNum w:abstractNumId="20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0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8"/>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2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0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204">
    <w:multiLevelType w:val="hybridMultilevel"/>
    <w:lvl w:ilvl="0">
      <w:start w:val="5"/>
      <w:numFmt w:val="decimal"/>
      <w:lvlText w:val="%1"/>
      <w:lvlJc w:val="left"/>
      <w:pPr>
        <w:ind w:left="752" w:hanging="535"/>
        <w:jc w:val="left"/>
      </w:pPr>
      <w:rPr>
        <w:rFonts w:hint="default"/>
      </w:rPr>
    </w:lvl>
    <w:lvl w:ilvl="1">
      <w:start w:val="9"/>
      <w:numFmt w:val="decimal"/>
      <w:lvlText w:val="%1.%2"/>
      <w:lvlJc w:val="left"/>
      <w:pPr>
        <w:ind w:left="752" w:hanging="535"/>
        <w:jc w:val="left"/>
      </w:pPr>
      <w:rPr>
        <w:rFonts w:hint="default"/>
      </w:rPr>
    </w:lvl>
    <w:lvl w:ilvl="2">
      <w:start w:val="4"/>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7"/>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28"/>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20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02">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01">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200">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99">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98">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97">
    <w:multiLevelType w:val="hybridMultilevel"/>
    <w:lvl w:ilvl="0">
      <w:start w:val="5"/>
      <w:numFmt w:val="decimal"/>
      <w:lvlText w:val="%1"/>
      <w:lvlJc w:val="left"/>
      <w:pPr>
        <w:ind w:left="1352" w:hanging="535"/>
        <w:jc w:val="left"/>
      </w:pPr>
      <w:rPr>
        <w:rFonts w:hint="default"/>
      </w:rPr>
    </w:lvl>
    <w:lvl w:ilvl="1">
      <w:start w:val="7"/>
      <w:numFmt w:val="decimal"/>
      <w:lvlText w:val="%1.%2"/>
      <w:lvlJc w:val="left"/>
      <w:pPr>
        <w:ind w:left="1352" w:hanging="535"/>
        <w:jc w:val="left"/>
      </w:pPr>
      <w:rPr>
        <w:rFonts w:hint="default"/>
      </w:rPr>
    </w:lvl>
    <w:lvl w:ilvl="2">
      <w:start w:val="3"/>
      <w:numFmt w:val="decimal"/>
      <w:lvlText w:val="%1.%2.%3"/>
      <w:lvlJc w:val="left"/>
      <w:pPr>
        <w:ind w:left="13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2"/>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1"/>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96">
    <w:multiLevelType w:val="hybridMultilevel"/>
    <w:lvl w:ilvl="0">
      <w:start w:val="5"/>
      <w:numFmt w:val="decimal"/>
      <w:lvlText w:val="%1"/>
      <w:lvlJc w:val="left"/>
      <w:pPr>
        <w:ind w:left="580" w:hanging="363"/>
        <w:jc w:val="left"/>
      </w:pPr>
      <w:rPr>
        <w:rFonts w:hint="default"/>
      </w:rPr>
    </w:lvl>
    <w:lvl w:ilvl="1">
      <w:start w:val="6"/>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5"/>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
        <w:w w:val="100"/>
        <w:sz w:val="24"/>
        <w:szCs w:val="24"/>
      </w:rPr>
    </w:lvl>
    <w:lvl w:ilvl="5">
      <w:start w:val="1"/>
      <w:numFmt w:val="lowerLetter"/>
      <w:lvlText w:val="(%6)"/>
      <w:lvlJc w:val="left"/>
      <w:pPr>
        <w:ind w:left="3052" w:hanging="567"/>
        <w:jc w:val="left"/>
      </w:pPr>
      <w:rPr>
        <w:rFonts w:hint="default" w:ascii="Times New Roman" w:hAnsi="Times New Roman" w:eastAsia="Times New Roman" w:cs="Times New Roman"/>
        <w:spacing w:val="-1"/>
        <w:w w:val="100"/>
        <w:sz w:val="24"/>
        <w:szCs w:val="24"/>
      </w:rPr>
    </w:lvl>
    <w:lvl w:ilvl="6">
      <w:start w:val="0"/>
      <w:numFmt w:val="bullet"/>
      <w:lvlText w:val="•"/>
      <w:lvlJc w:val="left"/>
      <w:pPr>
        <w:ind w:left="5275" w:hanging="567"/>
      </w:pPr>
      <w:rPr>
        <w:rFonts w:hint="default"/>
      </w:rPr>
    </w:lvl>
    <w:lvl w:ilvl="7">
      <w:start w:val="0"/>
      <w:numFmt w:val="bullet"/>
      <w:lvlText w:val="•"/>
      <w:lvlJc w:val="left"/>
      <w:pPr>
        <w:ind w:left="6383" w:hanging="567"/>
      </w:pPr>
      <w:rPr>
        <w:rFonts w:hint="default"/>
      </w:rPr>
    </w:lvl>
    <w:lvl w:ilvl="8">
      <w:start w:val="0"/>
      <w:numFmt w:val="bullet"/>
      <w:lvlText w:val="•"/>
      <w:lvlJc w:val="left"/>
      <w:pPr>
        <w:ind w:left="7491" w:hanging="567"/>
      </w:pPr>
      <w:rPr>
        <w:rFonts w:hint="default"/>
      </w:rPr>
    </w:lvl>
  </w:abstractNum>
  <w:abstractNum w:abstractNumId="195">
    <w:multiLevelType w:val="hybridMultilevel"/>
    <w:lvl w:ilvl="0">
      <w:start w:val="5"/>
      <w:numFmt w:val="decimal"/>
      <w:lvlText w:val="%1"/>
      <w:lvlJc w:val="left"/>
      <w:pPr>
        <w:ind w:left="580" w:hanging="363"/>
        <w:jc w:val="left"/>
      </w:pPr>
      <w:rPr>
        <w:rFonts w:hint="default"/>
      </w:rPr>
    </w:lvl>
    <w:lvl w:ilvl="1">
      <w:start w:val="5"/>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4544" w:hanging="567"/>
      </w:pPr>
      <w:rPr>
        <w:rFonts w:hint="default"/>
      </w:rPr>
    </w:lvl>
    <w:lvl w:ilvl="6">
      <w:start w:val="0"/>
      <w:numFmt w:val="bullet"/>
      <w:lvlText w:val="•"/>
      <w:lvlJc w:val="left"/>
      <w:pPr>
        <w:ind w:left="5577" w:hanging="567"/>
      </w:pPr>
      <w:rPr>
        <w:rFonts w:hint="default"/>
      </w:rPr>
    </w:lvl>
    <w:lvl w:ilvl="7">
      <w:start w:val="0"/>
      <w:numFmt w:val="bullet"/>
      <w:lvlText w:val="•"/>
      <w:lvlJc w:val="left"/>
      <w:pPr>
        <w:ind w:left="6609" w:hanging="567"/>
      </w:pPr>
      <w:rPr>
        <w:rFonts w:hint="default"/>
      </w:rPr>
    </w:lvl>
    <w:lvl w:ilvl="8">
      <w:start w:val="0"/>
      <w:numFmt w:val="bullet"/>
      <w:lvlText w:val="•"/>
      <w:lvlJc w:val="left"/>
      <w:pPr>
        <w:ind w:left="7642" w:hanging="567"/>
      </w:pPr>
      <w:rPr>
        <w:rFonts w:hint="default"/>
      </w:rPr>
    </w:lvl>
  </w:abstractNum>
  <w:abstractNum w:abstractNumId="194">
    <w:multiLevelType w:val="hybridMultilevel"/>
    <w:lvl w:ilvl="0">
      <w:start w:val="5"/>
      <w:numFmt w:val="decimal"/>
      <w:lvlText w:val="%1"/>
      <w:lvlJc w:val="left"/>
      <w:pPr>
        <w:ind w:left="580" w:hanging="363"/>
        <w:jc w:val="left"/>
      </w:pPr>
      <w:rPr>
        <w:rFonts w:hint="default"/>
      </w:rPr>
    </w:lvl>
    <w:lvl w:ilvl="1">
      <w:start w:val="4"/>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6"/>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4544" w:hanging="567"/>
      </w:pPr>
      <w:rPr>
        <w:rFonts w:hint="default"/>
      </w:rPr>
    </w:lvl>
    <w:lvl w:ilvl="6">
      <w:start w:val="0"/>
      <w:numFmt w:val="bullet"/>
      <w:lvlText w:val="•"/>
      <w:lvlJc w:val="left"/>
      <w:pPr>
        <w:ind w:left="5577" w:hanging="567"/>
      </w:pPr>
      <w:rPr>
        <w:rFonts w:hint="default"/>
      </w:rPr>
    </w:lvl>
    <w:lvl w:ilvl="7">
      <w:start w:val="0"/>
      <w:numFmt w:val="bullet"/>
      <w:lvlText w:val="•"/>
      <w:lvlJc w:val="left"/>
      <w:pPr>
        <w:ind w:left="6609" w:hanging="567"/>
      </w:pPr>
      <w:rPr>
        <w:rFonts w:hint="default"/>
      </w:rPr>
    </w:lvl>
    <w:lvl w:ilvl="8">
      <w:start w:val="0"/>
      <w:numFmt w:val="bullet"/>
      <w:lvlText w:val="•"/>
      <w:lvlJc w:val="left"/>
      <w:pPr>
        <w:ind w:left="7642" w:hanging="567"/>
      </w:pPr>
      <w:rPr>
        <w:rFonts w:hint="default"/>
      </w:rPr>
    </w:lvl>
  </w:abstractNum>
  <w:abstractNum w:abstractNumId="193">
    <w:multiLevelType w:val="hybridMultilevel"/>
    <w:lvl w:ilvl="0">
      <w:start w:val="5"/>
      <w:numFmt w:val="decimal"/>
      <w:lvlText w:val="%1"/>
      <w:lvlJc w:val="left"/>
      <w:pPr>
        <w:ind w:left="1351" w:hanging="1134"/>
        <w:jc w:val="left"/>
      </w:pPr>
      <w:rPr>
        <w:rFonts w:hint="default"/>
      </w:rPr>
    </w:lvl>
    <w:lvl w:ilvl="1">
      <w:start w:val="4"/>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6"/>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92">
    <w:multiLevelType w:val="hybridMultilevel"/>
    <w:lvl w:ilvl="0">
      <w:start w:val="5"/>
      <w:numFmt w:val="decimal"/>
      <w:lvlText w:val="%1"/>
      <w:lvlJc w:val="left"/>
      <w:pPr>
        <w:ind w:left="580" w:hanging="363"/>
        <w:jc w:val="left"/>
      </w:pPr>
      <w:rPr>
        <w:rFonts w:hint="default"/>
      </w:rPr>
    </w:lvl>
    <w:lvl w:ilvl="1">
      <w:start w:val="3"/>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lowerLetter"/>
      <w:lvlText w:val="(%3)"/>
      <w:lvlJc w:val="left"/>
      <w:pPr>
        <w:ind w:left="1919" w:hanging="567"/>
        <w:jc w:val="left"/>
      </w:pPr>
      <w:rPr>
        <w:rFonts w:hint="default" w:ascii="Times New Roman" w:hAnsi="Times New Roman" w:eastAsia="Times New Roman" w:cs="Times New Roman"/>
        <w:spacing w:val="-12"/>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91">
    <w:multiLevelType w:val="hybridMultilevel"/>
    <w:lvl w:ilvl="0">
      <w:start w:val="5"/>
      <w:numFmt w:val="decimal"/>
      <w:lvlText w:val="%1"/>
      <w:lvlJc w:val="left"/>
      <w:pPr>
        <w:ind w:left="580" w:hanging="363"/>
        <w:jc w:val="left"/>
      </w:pPr>
      <w:rPr>
        <w:rFonts w:hint="default"/>
      </w:rPr>
    </w:lvl>
    <w:lvl w:ilvl="1">
      <w:start w:val="3"/>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6"/>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1"/>
      <w:numFmt w:val="upperLetter"/>
      <w:lvlText w:val="(%6)"/>
      <w:lvlJc w:val="left"/>
      <w:pPr>
        <w:ind w:left="3620" w:hanging="567"/>
        <w:jc w:val="left"/>
      </w:pPr>
      <w:rPr>
        <w:rFonts w:hint="default" w:ascii="Times New Roman" w:hAnsi="Times New Roman" w:eastAsia="Times New Roman" w:cs="Times New Roman"/>
        <w:spacing w:val="-28"/>
        <w:w w:val="100"/>
        <w:sz w:val="24"/>
        <w:szCs w:val="24"/>
      </w:rPr>
    </w:lvl>
    <w:lvl w:ilvl="6">
      <w:start w:val="0"/>
      <w:numFmt w:val="bullet"/>
      <w:lvlText w:val="•"/>
      <w:lvlJc w:val="left"/>
      <w:pPr>
        <w:ind w:left="5649" w:hanging="567"/>
      </w:pPr>
      <w:rPr>
        <w:rFonts w:hint="default"/>
      </w:rPr>
    </w:lvl>
    <w:lvl w:ilvl="7">
      <w:start w:val="0"/>
      <w:numFmt w:val="bullet"/>
      <w:lvlText w:val="•"/>
      <w:lvlJc w:val="left"/>
      <w:pPr>
        <w:ind w:left="6663" w:hanging="567"/>
      </w:pPr>
      <w:rPr>
        <w:rFonts w:hint="default"/>
      </w:rPr>
    </w:lvl>
    <w:lvl w:ilvl="8">
      <w:start w:val="0"/>
      <w:numFmt w:val="bullet"/>
      <w:lvlText w:val="•"/>
      <w:lvlJc w:val="left"/>
      <w:pPr>
        <w:ind w:left="7678" w:hanging="567"/>
      </w:pPr>
      <w:rPr>
        <w:rFonts w:hint="default"/>
      </w:rPr>
    </w:lvl>
  </w:abstractNum>
  <w:abstractNum w:abstractNumId="190">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28"/>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9">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7"/>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188">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8"/>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7">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3"/>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30"/>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6">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5">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4">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3">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8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81">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2"/>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80">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79">
    <w:multiLevelType w:val="hybridMultilevel"/>
    <w:lvl w:ilvl="0">
      <w:start w:val="5"/>
      <w:numFmt w:val="decimal"/>
      <w:lvlText w:val="%1"/>
      <w:lvlJc w:val="left"/>
      <w:pPr>
        <w:ind w:left="552" w:hanging="335"/>
        <w:jc w:val="left"/>
      </w:pPr>
      <w:rPr>
        <w:rFonts w:hint="default"/>
      </w:rPr>
    </w:lvl>
    <w:lvl w:ilvl="1">
      <w:start w:val="3"/>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2"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78">
    <w:multiLevelType w:val="hybridMultilevel"/>
    <w:lvl w:ilvl="0">
      <w:start w:val="4"/>
      <w:numFmt w:val="lowerLetter"/>
      <w:lvlText w:val="(%1)"/>
      <w:lvlJc w:val="left"/>
      <w:pPr>
        <w:ind w:left="1919" w:hanging="567"/>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77">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76">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1"/>
      <w:numFmt w:val="lowerRoman"/>
      <w:lvlText w:val="(%2)"/>
      <w:lvlJc w:val="left"/>
      <w:pPr>
        <w:ind w:left="3052"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175">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74">
    <w:multiLevelType w:val="hybridMultilevel"/>
    <w:lvl w:ilvl="0">
      <w:start w:val="5"/>
      <w:numFmt w:val="decimal"/>
      <w:lvlText w:val="%1"/>
      <w:lvlJc w:val="left"/>
      <w:pPr>
        <w:ind w:left="752" w:hanging="535"/>
        <w:jc w:val="left"/>
      </w:pPr>
      <w:rPr>
        <w:rFonts w:hint="default"/>
      </w:rPr>
    </w:lvl>
    <w:lvl w:ilvl="1">
      <w:start w:val="3"/>
      <w:numFmt w:val="decimal"/>
      <w:lvlText w:val="%1.%2"/>
      <w:lvlJc w:val="left"/>
      <w:pPr>
        <w:ind w:left="752" w:hanging="535"/>
        <w:jc w:val="left"/>
      </w:pPr>
      <w:rPr>
        <w:rFonts w:hint="default"/>
      </w:rPr>
    </w:lvl>
    <w:lvl w:ilvl="2">
      <w:start w:val="4"/>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30"/>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1"/>
      <w:numFmt w:val="upperLetter"/>
      <w:lvlText w:val="(%7)"/>
      <w:lvlJc w:val="left"/>
      <w:pPr>
        <w:ind w:left="3619" w:hanging="567"/>
        <w:jc w:val="left"/>
      </w:pPr>
      <w:rPr>
        <w:rFonts w:hint="default" w:ascii="Times New Roman" w:hAnsi="Times New Roman" w:eastAsia="Times New Roman" w:cs="Times New Roman"/>
        <w:spacing w:val="-1"/>
        <w:w w:val="100"/>
        <w:sz w:val="24"/>
        <w:szCs w:val="24"/>
      </w:rPr>
    </w:lvl>
    <w:lvl w:ilvl="7">
      <w:start w:val="0"/>
      <w:numFmt w:val="bullet"/>
      <w:lvlText w:val="•"/>
      <w:lvlJc w:val="left"/>
      <w:pPr>
        <w:ind w:left="6663" w:hanging="567"/>
      </w:pPr>
      <w:rPr>
        <w:rFonts w:hint="default"/>
      </w:rPr>
    </w:lvl>
    <w:lvl w:ilvl="8">
      <w:start w:val="0"/>
      <w:numFmt w:val="bullet"/>
      <w:lvlText w:val="•"/>
      <w:lvlJc w:val="left"/>
      <w:pPr>
        <w:ind w:left="7678" w:hanging="567"/>
      </w:pPr>
      <w:rPr>
        <w:rFonts w:hint="default"/>
      </w:rPr>
    </w:lvl>
  </w:abstractNum>
  <w:abstractNum w:abstractNumId="173">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20"/>
        <w:w w:val="100"/>
        <w:sz w:val="24"/>
        <w:szCs w:val="24"/>
      </w:rPr>
    </w:lvl>
    <w:lvl w:ilvl="1">
      <w:start w:val="1"/>
      <w:numFmt w:val="lowerRoman"/>
      <w:lvlText w:val="(%2)"/>
      <w:lvlJc w:val="left"/>
      <w:pPr>
        <w:ind w:left="3053" w:hanging="567"/>
        <w:jc w:val="left"/>
      </w:pPr>
      <w:rPr>
        <w:rFonts w:hint="default" w:ascii="Times New Roman" w:hAnsi="Times New Roman" w:eastAsia="Times New Roman" w:cs="Times New Roman"/>
        <w:spacing w:val="-23"/>
        <w:w w:val="100"/>
        <w:sz w:val="24"/>
        <w:szCs w:val="24"/>
      </w:rPr>
    </w:lvl>
    <w:lvl w:ilvl="2">
      <w:start w:val="0"/>
      <w:numFmt w:val="bullet"/>
      <w:lvlText w:val="•"/>
      <w:lvlJc w:val="left"/>
      <w:pPr>
        <w:ind w:left="3798" w:hanging="567"/>
      </w:pPr>
      <w:rPr>
        <w:rFonts w:hint="default"/>
      </w:rPr>
    </w:lvl>
    <w:lvl w:ilvl="3">
      <w:start w:val="0"/>
      <w:numFmt w:val="bullet"/>
      <w:lvlText w:val="•"/>
      <w:lvlJc w:val="left"/>
      <w:pPr>
        <w:ind w:left="4537" w:hanging="567"/>
      </w:pPr>
      <w:rPr>
        <w:rFonts w:hint="default"/>
      </w:rPr>
    </w:lvl>
    <w:lvl w:ilvl="4">
      <w:start w:val="0"/>
      <w:numFmt w:val="bullet"/>
      <w:lvlText w:val="•"/>
      <w:lvlJc w:val="left"/>
      <w:pPr>
        <w:ind w:left="5275" w:hanging="567"/>
      </w:pPr>
      <w:rPr>
        <w:rFonts w:hint="default"/>
      </w:rPr>
    </w:lvl>
    <w:lvl w:ilvl="5">
      <w:start w:val="0"/>
      <w:numFmt w:val="bullet"/>
      <w:lvlText w:val="•"/>
      <w:lvlJc w:val="left"/>
      <w:pPr>
        <w:ind w:left="6014" w:hanging="567"/>
      </w:pPr>
      <w:rPr>
        <w:rFonts w:hint="default"/>
      </w:rPr>
    </w:lvl>
    <w:lvl w:ilvl="6">
      <w:start w:val="0"/>
      <w:numFmt w:val="bullet"/>
      <w:lvlText w:val="•"/>
      <w:lvlJc w:val="left"/>
      <w:pPr>
        <w:ind w:left="6752" w:hanging="567"/>
      </w:pPr>
      <w:rPr>
        <w:rFonts w:hint="default"/>
      </w:rPr>
    </w:lvl>
    <w:lvl w:ilvl="7">
      <w:start w:val="0"/>
      <w:numFmt w:val="bullet"/>
      <w:lvlText w:val="•"/>
      <w:lvlJc w:val="left"/>
      <w:pPr>
        <w:ind w:left="7491" w:hanging="567"/>
      </w:pPr>
      <w:rPr>
        <w:rFonts w:hint="default"/>
      </w:rPr>
    </w:lvl>
    <w:lvl w:ilvl="8">
      <w:start w:val="0"/>
      <w:numFmt w:val="bullet"/>
      <w:lvlText w:val="•"/>
      <w:lvlJc w:val="left"/>
      <w:pPr>
        <w:ind w:left="8229" w:hanging="567"/>
      </w:pPr>
      <w:rPr>
        <w:rFonts w:hint="default"/>
      </w:rPr>
    </w:lvl>
  </w:abstractNum>
  <w:abstractNum w:abstractNumId="172">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71">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70">
    <w:multiLevelType w:val="hybridMultilevel"/>
    <w:lvl w:ilvl="0">
      <w:start w:val="5"/>
      <w:numFmt w:val="decimal"/>
      <w:lvlText w:val="%1"/>
      <w:lvlJc w:val="left"/>
      <w:pPr>
        <w:ind w:left="752" w:hanging="535"/>
        <w:jc w:val="left"/>
      </w:pPr>
      <w:rPr>
        <w:rFonts w:hint="default"/>
      </w:rPr>
    </w:lvl>
    <w:lvl w:ilvl="1">
      <w:start w:val="3"/>
      <w:numFmt w:val="decimal"/>
      <w:lvlText w:val="%1.%2"/>
      <w:lvlJc w:val="left"/>
      <w:pPr>
        <w:ind w:left="752" w:hanging="535"/>
        <w:jc w:val="left"/>
      </w:pPr>
      <w:rPr>
        <w:rFonts w:hint="default"/>
      </w:rPr>
    </w:lvl>
    <w:lvl w:ilvl="2">
      <w:start w:val="4"/>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69">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68">
    <w:multiLevelType w:val="hybridMultilevel"/>
    <w:lvl w:ilvl="0">
      <w:start w:val="5"/>
      <w:numFmt w:val="decimal"/>
      <w:lvlText w:val="%1"/>
      <w:lvlJc w:val="left"/>
      <w:pPr>
        <w:ind w:left="1351" w:hanging="1134"/>
        <w:jc w:val="left"/>
      </w:pPr>
      <w:rPr>
        <w:rFonts w:hint="default"/>
      </w:rPr>
    </w:lvl>
    <w:lvl w:ilvl="1">
      <w:start w:val="3"/>
      <w:numFmt w:val="decimal"/>
      <w:lvlText w:val="%1.%2"/>
      <w:lvlJc w:val="left"/>
      <w:pPr>
        <w:ind w:left="1351" w:hanging="1134"/>
        <w:jc w:val="left"/>
      </w:pPr>
      <w:rPr>
        <w:rFonts w:hint="default"/>
      </w:rPr>
    </w:lvl>
    <w:lvl w:ilvl="2">
      <w:start w:val="4"/>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2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67">
    <w:multiLevelType w:val="hybridMultilevel"/>
    <w:lvl w:ilvl="0">
      <w:start w:val="1"/>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66">
    <w:multiLevelType w:val="hybridMultilevel"/>
    <w:lvl w:ilvl="0">
      <w:start w:val="2"/>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65">
    <w:multiLevelType w:val="hybridMultilevel"/>
    <w:lvl w:ilvl="0">
      <w:start w:val="5"/>
      <w:numFmt w:val="decimal"/>
      <w:lvlText w:val="%1"/>
      <w:lvlJc w:val="left"/>
      <w:pPr>
        <w:ind w:left="752" w:hanging="535"/>
        <w:jc w:val="left"/>
      </w:pPr>
      <w:rPr>
        <w:rFonts w:hint="default"/>
      </w:rPr>
    </w:lvl>
    <w:lvl w:ilvl="1">
      <w:start w:val="3"/>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2" w:hanging="567"/>
        <w:jc w:val="left"/>
      </w:pPr>
      <w:rPr>
        <w:rFonts w:hint="default" w:ascii="Times New Roman" w:hAnsi="Times New Roman" w:eastAsia="Times New Roman" w:cs="Times New Roman"/>
        <w:spacing w:val="-1"/>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64">
    <w:multiLevelType w:val="hybridMultilevel"/>
    <w:lvl w:ilvl="0">
      <w:start w:val="5"/>
      <w:numFmt w:val="decimal"/>
      <w:lvlText w:val="%1"/>
      <w:lvlJc w:val="left"/>
      <w:pPr>
        <w:ind w:left="1351" w:hanging="1134"/>
        <w:jc w:val="left"/>
      </w:pPr>
      <w:rPr>
        <w:rFonts w:hint="default"/>
      </w:rPr>
    </w:lvl>
    <w:lvl w:ilvl="1">
      <w:start w:val="3"/>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63">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b/>
        <w:bCs/>
        <w:spacing w:val="-1"/>
        <w:w w:val="100"/>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62">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7"/>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61">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8"/>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22"/>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60">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23"/>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159">
    <w:multiLevelType w:val="hybridMultilevel"/>
    <w:lvl w:ilvl="0">
      <w:start w:val="0"/>
      <w:numFmt w:val="bullet"/>
      <w:lvlText w:val="•"/>
      <w:lvlJc w:val="left"/>
      <w:pPr>
        <w:ind w:left="612" w:hanging="568"/>
      </w:pPr>
      <w:rPr>
        <w:rFonts w:hint="default" w:ascii="Times New Roman" w:hAnsi="Times New Roman" w:eastAsia="Times New Roman" w:cs="Times New Roman"/>
        <w:spacing w:val="-1"/>
        <w:w w:val="100"/>
        <w:sz w:val="24"/>
        <w:szCs w:val="24"/>
      </w:rPr>
    </w:lvl>
    <w:lvl w:ilvl="1">
      <w:start w:val="0"/>
      <w:numFmt w:val="bullet"/>
      <w:lvlText w:val="•"/>
      <w:lvlJc w:val="left"/>
      <w:pPr>
        <w:ind w:left="873" w:hanging="568"/>
      </w:pPr>
      <w:rPr>
        <w:rFonts w:hint="default"/>
      </w:rPr>
    </w:lvl>
    <w:lvl w:ilvl="2">
      <w:start w:val="0"/>
      <w:numFmt w:val="bullet"/>
      <w:lvlText w:val="•"/>
      <w:lvlJc w:val="left"/>
      <w:pPr>
        <w:ind w:left="1127" w:hanging="568"/>
      </w:pPr>
      <w:rPr>
        <w:rFonts w:hint="default"/>
      </w:rPr>
    </w:lvl>
    <w:lvl w:ilvl="3">
      <w:start w:val="0"/>
      <w:numFmt w:val="bullet"/>
      <w:lvlText w:val="•"/>
      <w:lvlJc w:val="left"/>
      <w:pPr>
        <w:ind w:left="1381" w:hanging="568"/>
      </w:pPr>
      <w:rPr>
        <w:rFonts w:hint="default"/>
      </w:rPr>
    </w:lvl>
    <w:lvl w:ilvl="4">
      <w:start w:val="0"/>
      <w:numFmt w:val="bullet"/>
      <w:lvlText w:val="•"/>
      <w:lvlJc w:val="left"/>
      <w:pPr>
        <w:ind w:left="1634" w:hanging="568"/>
      </w:pPr>
      <w:rPr>
        <w:rFonts w:hint="default"/>
      </w:rPr>
    </w:lvl>
    <w:lvl w:ilvl="5">
      <w:start w:val="0"/>
      <w:numFmt w:val="bullet"/>
      <w:lvlText w:val="•"/>
      <w:lvlJc w:val="left"/>
      <w:pPr>
        <w:ind w:left="1888" w:hanging="568"/>
      </w:pPr>
      <w:rPr>
        <w:rFonts w:hint="default"/>
      </w:rPr>
    </w:lvl>
    <w:lvl w:ilvl="6">
      <w:start w:val="0"/>
      <w:numFmt w:val="bullet"/>
      <w:lvlText w:val="•"/>
      <w:lvlJc w:val="left"/>
      <w:pPr>
        <w:ind w:left="2142" w:hanging="568"/>
      </w:pPr>
      <w:rPr>
        <w:rFonts w:hint="default"/>
      </w:rPr>
    </w:lvl>
    <w:lvl w:ilvl="7">
      <w:start w:val="0"/>
      <w:numFmt w:val="bullet"/>
      <w:lvlText w:val="•"/>
      <w:lvlJc w:val="left"/>
      <w:pPr>
        <w:ind w:left="2395" w:hanging="568"/>
      </w:pPr>
      <w:rPr>
        <w:rFonts w:hint="default"/>
      </w:rPr>
    </w:lvl>
    <w:lvl w:ilvl="8">
      <w:start w:val="0"/>
      <w:numFmt w:val="bullet"/>
      <w:lvlText w:val="•"/>
      <w:lvlJc w:val="left"/>
      <w:pPr>
        <w:ind w:left="2649" w:hanging="568"/>
      </w:pPr>
      <w:rPr>
        <w:rFonts w:hint="default"/>
      </w:rPr>
    </w:lvl>
  </w:abstractNum>
  <w:abstractNum w:abstractNumId="158">
    <w:multiLevelType w:val="hybridMultilevel"/>
    <w:lvl w:ilvl="0">
      <w:start w:val="0"/>
      <w:numFmt w:val="bullet"/>
      <w:lvlText w:val="•"/>
      <w:lvlJc w:val="left"/>
      <w:pPr>
        <w:ind w:left="612" w:hanging="568"/>
      </w:pPr>
      <w:rPr>
        <w:rFonts w:hint="default" w:ascii="Times New Roman" w:hAnsi="Times New Roman" w:eastAsia="Times New Roman" w:cs="Times New Roman"/>
        <w:spacing w:val="-3"/>
        <w:w w:val="100"/>
        <w:sz w:val="24"/>
        <w:szCs w:val="24"/>
      </w:rPr>
    </w:lvl>
    <w:lvl w:ilvl="1">
      <w:start w:val="0"/>
      <w:numFmt w:val="bullet"/>
      <w:lvlText w:val="•"/>
      <w:lvlJc w:val="left"/>
      <w:pPr>
        <w:ind w:left="873" w:hanging="568"/>
      </w:pPr>
      <w:rPr>
        <w:rFonts w:hint="default"/>
      </w:rPr>
    </w:lvl>
    <w:lvl w:ilvl="2">
      <w:start w:val="0"/>
      <w:numFmt w:val="bullet"/>
      <w:lvlText w:val="•"/>
      <w:lvlJc w:val="left"/>
      <w:pPr>
        <w:ind w:left="1127" w:hanging="568"/>
      </w:pPr>
      <w:rPr>
        <w:rFonts w:hint="default"/>
      </w:rPr>
    </w:lvl>
    <w:lvl w:ilvl="3">
      <w:start w:val="0"/>
      <w:numFmt w:val="bullet"/>
      <w:lvlText w:val="•"/>
      <w:lvlJc w:val="left"/>
      <w:pPr>
        <w:ind w:left="1381" w:hanging="568"/>
      </w:pPr>
      <w:rPr>
        <w:rFonts w:hint="default"/>
      </w:rPr>
    </w:lvl>
    <w:lvl w:ilvl="4">
      <w:start w:val="0"/>
      <w:numFmt w:val="bullet"/>
      <w:lvlText w:val="•"/>
      <w:lvlJc w:val="left"/>
      <w:pPr>
        <w:ind w:left="1634" w:hanging="568"/>
      </w:pPr>
      <w:rPr>
        <w:rFonts w:hint="default"/>
      </w:rPr>
    </w:lvl>
    <w:lvl w:ilvl="5">
      <w:start w:val="0"/>
      <w:numFmt w:val="bullet"/>
      <w:lvlText w:val="•"/>
      <w:lvlJc w:val="left"/>
      <w:pPr>
        <w:ind w:left="1888" w:hanging="568"/>
      </w:pPr>
      <w:rPr>
        <w:rFonts w:hint="default"/>
      </w:rPr>
    </w:lvl>
    <w:lvl w:ilvl="6">
      <w:start w:val="0"/>
      <w:numFmt w:val="bullet"/>
      <w:lvlText w:val="•"/>
      <w:lvlJc w:val="left"/>
      <w:pPr>
        <w:ind w:left="2142" w:hanging="568"/>
      </w:pPr>
      <w:rPr>
        <w:rFonts w:hint="default"/>
      </w:rPr>
    </w:lvl>
    <w:lvl w:ilvl="7">
      <w:start w:val="0"/>
      <w:numFmt w:val="bullet"/>
      <w:lvlText w:val="•"/>
      <w:lvlJc w:val="left"/>
      <w:pPr>
        <w:ind w:left="2395" w:hanging="568"/>
      </w:pPr>
      <w:rPr>
        <w:rFonts w:hint="default"/>
      </w:rPr>
    </w:lvl>
    <w:lvl w:ilvl="8">
      <w:start w:val="0"/>
      <w:numFmt w:val="bullet"/>
      <w:lvlText w:val="•"/>
      <w:lvlJc w:val="left"/>
      <w:pPr>
        <w:ind w:left="2649" w:hanging="568"/>
      </w:pPr>
      <w:rPr>
        <w:rFonts w:hint="default"/>
      </w:rPr>
    </w:lvl>
  </w:abstractNum>
  <w:abstractNum w:abstractNumId="157">
    <w:multiLevelType w:val="hybridMultilevel"/>
    <w:lvl w:ilvl="0">
      <w:start w:val="0"/>
      <w:numFmt w:val="bullet"/>
      <w:lvlText w:val="•"/>
      <w:lvlJc w:val="left"/>
      <w:pPr>
        <w:ind w:left="612" w:hanging="568"/>
      </w:pPr>
      <w:rPr>
        <w:rFonts w:hint="default" w:ascii="Times New Roman" w:hAnsi="Times New Roman" w:eastAsia="Times New Roman" w:cs="Times New Roman"/>
        <w:spacing w:val="-3"/>
        <w:w w:val="100"/>
        <w:sz w:val="24"/>
        <w:szCs w:val="24"/>
      </w:rPr>
    </w:lvl>
    <w:lvl w:ilvl="1">
      <w:start w:val="0"/>
      <w:numFmt w:val="bullet"/>
      <w:lvlText w:val="•"/>
      <w:lvlJc w:val="left"/>
      <w:pPr>
        <w:ind w:left="873" w:hanging="568"/>
      </w:pPr>
      <w:rPr>
        <w:rFonts w:hint="default"/>
      </w:rPr>
    </w:lvl>
    <w:lvl w:ilvl="2">
      <w:start w:val="0"/>
      <w:numFmt w:val="bullet"/>
      <w:lvlText w:val="•"/>
      <w:lvlJc w:val="left"/>
      <w:pPr>
        <w:ind w:left="1127" w:hanging="568"/>
      </w:pPr>
      <w:rPr>
        <w:rFonts w:hint="default"/>
      </w:rPr>
    </w:lvl>
    <w:lvl w:ilvl="3">
      <w:start w:val="0"/>
      <w:numFmt w:val="bullet"/>
      <w:lvlText w:val="•"/>
      <w:lvlJc w:val="left"/>
      <w:pPr>
        <w:ind w:left="1381" w:hanging="568"/>
      </w:pPr>
      <w:rPr>
        <w:rFonts w:hint="default"/>
      </w:rPr>
    </w:lvl>
    <w:lvl w:ilvl="4">
      <w:start w:val="0"/>
      <w:numFmt w:val="bullet"/>
      <w:lvlText w:val="•"/>
      <w:lvlJc w:val="left"/>
      <w:pPr>
        <w:ind w:left="1634" w:hanging="568"/>
      </w:pPr>
      <w:rPr>
        <w:rFonts w:hint="default"/>
      </w:rPr>
    </w:lvl>
    <w:lvl w:ilvl="5">
      <w:start w:val="0"/>
      <w:numFmt w:val="bullet"/>
      <w:lvlText w:val="•"/>
      <w:lvlJc w:val="left"/>
      <w:pPr>
        <w:ind w:left="1888" w:hanging="568"/>
      </w:pPr>
      <w:rPr>
        <w:rFonts w:hint="default"/>
      </w:rPr>
    </w:lvl>
    <w:lvl w:ilvl="6">
      <w:start w:val="0"/>
      <w:numFmt w:val="bullet"/>
      <w:lvlText w:val="•"/>
      <w:lvlJc w:val="left"/>
      <w:pPr>
        <w:ind w:left="2142" w:hanging="568"/>
      </w:pPr>
      <w:rPr>
        <w:rFonts w:hint="default"/>
      </w:rPr>
    </w:lvl>
    <w:lvl w:ilvl="7">
      <w:start w:val="0"/>
      <w:numFmt w:val="bullet"/>
      <w:lvlText w:val="•"/>
      <w:lvlJc w:val="left"/>
      <w:pPr>
        <w:ind w:left="2395" w:hanging="568"/>
      </w:pPr>
      <w:rPr>
        <w:rFonts w:hint="default"/>
      </w:rPr>
    </w:lvl>
    <w:lvl w:ilvl="8">
      <w:start w:val="0"/>
      <w:numFmt w:val="bullet"/>
      <w:lvlText w:val="•"/>
      <w:lvlJc w:val="left"/>
      <w:pPr>
        <w:ind w:left="2649" w:hanging="568"/>
      </w:pPr>
      <w:rPr>
        <w:rFonts w:hint="default"/>
      </w:rPr>
    </w:lvl>
  </w:abstractNum>
  <w:abstractNum w:abstractNumId="156">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23"/>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55">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20"/>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54">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9" w:hanging="567"/>
        <w:jc w:val="left"/>
      </w:pPr>
      <w:rPr>
        <w:rFonts w:hint="default" w:ascii="Times New Roman" w:hAnsi="Times New Roman" w:eastAsia="Times New Roman" w:cs="Times New Roman"/>
        <w:spacing w:val="-22"/>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153">
    <w:multiLevelType w:val="hybridMultilevel"/>
    <w:lvl w:ilvl="0">
      <w:start w:val="5"/>
      <w:numFmt w:val="decimal"/>
      <w:lvlText w:val="%1"/>
      <w:lvlJc w:val="left"/>
      <w:pPr>
        <w:ind w:left="552" w:hanging="335"/>
        <w:jc w:val="left"/>
      </w:pPr>
      <w:rPr>
        <w:rFonts w:hint="default"/>
      </w:rPr>
    </w:lvl>
    <w:lvl w:ilvl="1">
      <w:start w:val="2"/>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27"/>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152">
    <w:multiLevelType w:val="hybridMultilevel"/>
    <w:lvl w:ilvl="0">
      <w:start w:val="5"/>
      <w:numFmt w:val="decimal"/>
      <w:lvlText w:val="%1"/>
      <w:lvlJc w:val="left"/>
      <w:pPr>
        <w:ind w:left="752" w:hanging="535"/>
        <w:jc w:val="left"/>
      </w:pPr>
      <w:rPr>
        <w:rFonts w:hint="default"/>
      </w:rPr>
    </w:lvl>
    <w:lvl w:ilvl="1">
      <w:start w:val="2"/>
      <w:numFmt w:val="decimal"/>
      <w:lvlText w:val="%1.%2"/>
      <w:lvlJc w:val="left"/>
      <w:pPr>
        <w:ind w:left="752" w:hanging="535"/>
        <w:jc w:val="left"/>
      </w:pPr>
      <w:rPr>
        <w:rFonts w:hint="default"/>
      </w:rPr>
    </w:lvl>
    <w:lvl w:ilvl="2">
      <w:start w:val="6"/>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2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51">
    <w:multiLevelType w:val="hybridMultilevel"/>
    <w:lvl w:ilvl="0">
      <w:start w:val="2"/>
      <w:numFmt w:val="decimal"/>
      <w:lvlText w:val="(%1)"/>
      <w:lvlJc w:val="left"/>
      <w:pPr>
        <w:ind w:left="2486" w:hanging="567"/>
        <w:jc w:val="left"/>
      </w:pPr>
      <w:rPr>
        <w:rFonts w:hint="default" w:ascii="Times New Roman" w:hAnsi="Times New Roman" w:eastAsia="Times New Roman" w:cs="Times New Roman"/>
        <w:spacing w:val="-26"/>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50">
    <w:multiLevelType w:val="hybridMultilevel"/>
    <w:lvl w:ilvl="0">
      <w:start w:val="5"/>
      <w:numFmt w:val="decimal"/>
      <w:lvlText w:val="%1"/>
      <w:lvlJc w:val="left"/>
      <w:pPr>
        <w:ind w:left="752" w:hanging="535"/>
        <w:jc w:val="left"/>
      </w:pPr>
      <w:rPr>
        <w:rFonts w:hint="default"/>
      </w:rPr>
    </w:lvl>
    <w:lvl w:ilvl="1">
      <w:start w:val="2"/>
      <w:numFmt w:val="decimal"/>
      <w:lvlText w:val="%1.%2"/>
      <w:lvlJc w:val="left"/>
      <w:pPr>
        <w:ind w:left="752" w:hanging="535"/>
        <w:jc w:val="left"/>
      </w:pPr>
      <w:rPr>
        <w:rFonts w:hint="default"/>
      </w:rPr>
    </w:lvl>
    <w:lvl w:ilvl="2">
      <w:start w:val="3"/>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49">
    <w:multiLevelType w:val="hybridMultilevel"/>
    <w:lvl w:ilvl="0">
      <w:start w:val="5"/>
      <w:numFmt w:val="decimal"/>
      <w:lvlText w:val="%1"/>
      <w:lvlJc w:val="left"/>
      <w:pPr>
        <w:ind w:left="1351" w:hanging="1134"/>
        <w:jc w:val="left"/>
      </w:pPr>
      <w:rPr>
        <w:rFonts w:hint="default"/>
      </w:rPr>
    </w:lvl>
    <w:lvl w:ilvl="1">
      <w:start w:val="2"/>
      <w:numFmt w:val="decimal"/>
      <w:lvlText w:val="%1.%2"/>
      <w:lvlJc w:val="left"/>
      <w:pPr>
        <w:ind w:left="1351" w:hanging="1134"/>
        <w:jc w:val="left"/>
      </w:pPr>
      <w:rPr>
        <w:rFonts w:hint="default"/>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5" w:hanging="567"/>
        <w:jc w:val="left"/>
      </w:pPr>
      <w:rPr>
        <w:rFonts w:hint="default" w:ascii="Times New Roman" w:hAnsi="Times New Roman" w:eastAsia="Times New Roman" w:cs="Times New Roman"/>
        <w:spacing w:val="-1"/>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48">
    <w:multiLevelType w:val="hybridMultilevel"/>
    <w:lvl w:ilvl="0">
      <w:start w:val="5"/>
      <w:numFmt w:val="decimal"/>
      <w:lvlText w:val="%1"/>
      <w:lvlJc w:val="left"/>
      <w:pPr>
        <w:ind w:left="552" w:hanging="335"/>
        <w:jc w:val="left"/>
      </w:pPr>
      <w:rPr>
        <w:rFonts w:hint="default"/>
      </w:rPr>
    </w:lvl>
    <w:lvl w:ilvl="1">
      <w:start w:val="1"/>
      <w:numFmt w:val="decimal"/>
      <w:lvlText w:val="%1.%2"/>
      <w:lvlJc w:val="left"/>
      <w:pPr>
        <w:ind w:left="552" w:hanging="335"/>
        <w:jc w:val="righ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6" w:hanging="567"/>
        <w:jc w:val="left"/>
      </w:pPr>
      <w:rPr>
        <w:rFonts w:hint="default" w:ascii="Times New Roman" w:hAnsi="Times New Roman" w:eastAsia="Times New Roman" w:cs="Times New Roman"/>
        <w:spacing w:val="-22"/>
        <w:w w:val="100"/>
        <w:sz w:val="24"/>
        <w:szCs w:val="24"/>
      </w:rPr>
    </w:lvl>
    <w:lvl w:ilvl="4">
      <w:start w:val="0"/>
      <w:numFmt w:val="bullet"/>
      <w:lvlText w:val="•"/>
      <w:lvlJc w:val="left"/>
      <w:pPr>
        <w:ind w:left="4286" w:hanging="567"/>
      </w:pPr>
      <w:rPr>
        <w:rFonts w:hint="default"/>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147">
    <w:multiLevelType w:val="hybridMultilevel"/>
    <w:lvl w:ilvl="0">
      <w:start w:val="3"/>
      <w:numFmt w:val="lowerLetter"/>
      <w:lvlText w:val="(%1)"/>
      <w:lvlJc w:val="left"/>
      <w:pPr>
        <w:ind w:left="2190" w:hanging="272"/>
        <w:jc w:val="right"/>
      </w:pPr>
      <w:rPr>
        <w:rFonts w:hint="default"/>
        <w:spacing w:val="-1"/>
        <w:w w:val="100"/>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46">
    <w:multiLevelType w:val="hybridMultilevel"/>
    <w:lvl w:ilvl="0">
      <w:start w:val="5"/>
      <w:numFmt w:val="decimal"/>
      <w:lvlText w:val="%1"/>
      <w:lvlJc w:val="left"/>
      <w:pPr>
        <w:ind w:left="552" w:hanging="335"/>
        <w:jc w:val="left"/>
      </w:pPr>
      <w:rPr>
        <w:rFonts w:hint="default"/>
      </w:rPr>
    </w:lvl>
    <w:lvl w:ilvl="1">
      <w:start w:val="1"/>
      <w:numFmt w:val="decimal"/>
      <w:lvlText w:val="%1.%2"/>
      <w:lvlJc w:val="left"/>
      <w:pPr>
        <w:ind w:left="552" w:hanging="335"/>
        <w:jc w:val="right"/>
      </w:pPr>
      <w:rPr>
        <w:rFonts w:hint="default"/>
        <w:b/>
        <w:bCs/>
        <w:spacing w:val="-1"/>
        <w:w w:val="100"/>
      </w:rPr>
    </w:lvl>
    <w:lvl w:ilvl="2">
      <w:start w:val="1"/>
      <w:numFmt w:val="lowerLetter"/>
      <w:lvlText w:val="(%3)"/>
      <w:lvlJc w:val="left"/>
      <w:pPr>
        <w:ind w:left="1919"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567"/>
      </w:pPr>
      <w:rPr>
        <w:rFonts w:hint="default"/>
      </w:rPr>
    </w:lvl>
    <w:lvl w:ilvl="4">
      <w:start w:val="0"/>
      <w:numFmt w:val="bullet"/>
      <w:lvlText w:val="•"/>
      <w:lvlJc w:val="left"/>
      <w:pPr>
        <w:ind w:left="4515" w:hanging="567"/>
      </w:pPr>
      <w:rPr>
        <w:rFonts w:hint="default"/>
      </w:rPr>
    </w:lvl>
    <w:lvl w:ilvl="5">
      <w:start w:val="0"/>
      <w:numFmt w:val="bullet"/>
      <w:lvlText w:val="•"/>
      <w:lvlJc w:val="left"/>
      <w:pPr>
        <w:ind w:left="5380" w:hanging="567"/>
      </w:pPr>
      <w:rPr>
        <w:rFonts w:hint="default"/>
      </w:rPr>
    </w:lvl>
    <w:lvl w:ilvl="6">
      <w:start w:val="0"/>
      <w:numFmt w:val="bullet"/>
      <w:lvlText w:val="•"/>
      <w:lvlJc w:val="left"/>
      <w:pPr>
        <w:ind w:left="6246" w:hanging="567"/>
      </w:pPr>
      <w:rPr>
        <w:rFonts w:hint="default"/>
      </w:rPr>
    </w:lvl>
    <w:lvl w:ilvl="7">
      <w:start w:val="0"/>
      <w:numFmt w:val="bullet"/>
      <w:lvlText w:val="•"/>
      <w:lvlJc w:val="left"/>
      <w:pPr>
        <w:ind w:left="7111" w:hanging="567"/>
      </w:pPr>
      <w:rPr>
        <w:rFonts w:hint="default"/>
      </w:rPr>
    </w:lvl>
    <w:lvl w:ilvl="8">
      <w:start w:val="0"/>
      <w:numFmt w:val="bullet"/>
      <w:lvlText w:val="•"/>
      <w:lvlJc w:val="left"/>
      <w:pPr>
        <w:ind w:left="7976" w:hanging="567"/>
      </w:pPr>
      <w:rPr>
        <w:rFonts w:hint="default"/>
      </w:rPr>
    </w:lvl>
  </w:abstractNum>
  <w:abstractNum w:abstractNumId="145">
    <w:multiLevelType w:val="hybridMultilevel"/>
    <w:lvl w:ilvl="0">
      <w:start w:val="2"/>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44">
    <w:multiLevelType w:val="hybridMultilevel"/>
    <w:lvl w:ilvl="0">
      <w:start w:val="4"/>
      <w:numFmt w:val="decimal"/>
      <w:lvlText w:val="(%1)"/>
      <w:lvlJc w:val="left"/>
      <w:pPr>
        <w:ind w:left="2486"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43">
    <w:multiLevelType w:val="hybridMultilevel"/>
    <w:lvl w:ilvl="0">
      <w:start w:val="1"/>
      <w:numFmt w:val="decimal"/>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42">
    <w:multiLevelType w:val="hybridMultilevel"/>
    <w:lvl w:ilvl="0">
      <w:start w:val="7"/>
      <w:numFmt w:val="decimal"/>
      <w:lvlText w:val="(%1)"/>
      <w:lvlJc w:val="left"/>
      <w:pPr>
        <w:ind w:left="2485"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41">
    <w:multiLevelType w:val="hybridMultilevel"/>
    <w:lvl w:ilvl="0">
      <w:start w:val="10"/>
      <w:numFmt w:val="decimal"/>
      <w:lvlText w:val="(%1)"/>
      <w:lvlJc w:val="left"/>
      <w:pPr>
        <w:ind w:left="2485" w:hanging="567"/>
        <w:jc w:val="left"/>
      </w:pPr>
      <w:rPr>
        <w:rFonts w:hint="default" w:ascii="Times New Roman" w:hAnsi="Times New Roman" w:eastAsia="Times New Roman" w:cs="Times New Roman"/>
        <w:spacing w:val="-13"/>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40">
    <w:multiLevelType w:val="hybridMultilevel"/>
    <w:lvl w:ilvl="0">
      <w:start w:val="2"/>
      <w:numFmt w:val="decimal"/>
      <w:lvlText w:val="(%1)"/>
      <w:lvlJc w:val="left"/>
      <w:pPr>
        <w:ind w:left="2485" w:hanging="567"/>
        <w:jc w:val="left"/>
      </w:pPr>
      <w:rPr>
        <w:rFonts w:hint="default" w:ascii="Times New Roman" w:hAnsi="Times New Roman" w:eastAsia="Times New Roman" w:cs="Times New Roman"/>
        <w:w w:val="100"/>
        <w:sz w:val="24"/>
        <w:szCs w:val="24"/>
      </w:rPr>
    </w:lvl>
    <w:lvl w:ilvl="1">
      <w:start w:val="0"/>
      <w:numFmt w:val="bullet"/>
      <w:lvlText w:val="•"/>
      <w:lvlJc w:val="left"/>
      <w:pPr>
        <w:ind w:left="3202" w:hanging="567"/>
      </w:pPr>
      <w:rPr>
        <w:rFonts w:hint="default"/>
      </w:rPr>
    </w:lvl>
    <w:lvl w:ilvl="2">
      <w:start w:val="0"/>
      <w:numFmt w:val="bullet"/>
      <w:lvlText w:val="•"/>
      <w:lvlJc w:val="left"/>
      <w:pPr>
        <w:ind w:left="3925" w:hanging="567"/>
      </w:pPr>
      <w:rPr>
        <w:rFonts w:hint="default"/>
      </w:rPr>
    </w:lvl>
    <w:lvl w:ilvl="3">
      <w:start w:val="0"/>
      <w:numFmt w:val="bullet"/>
      <w:lvlText w:val="•"/>
      <w:lvlJc w:val="left"/>
      <w:pPr>
        <w:ind w:left="4648" w:hanging="567"/>
      </w:pPr>
      <w:rPr>
        <w:rFonts w:hint="default"/>
      </w:rPr>
    </w:lvl>
    <w:lvl w:ilvl="4">
      <w:start w:val="0"/>
      <w:numFmt w:val="bullet"/>
      <w:lvlText w:val="•"/>
      <w:lvlJc w:val="left"/>
      <w:pPr>
        <w:ind w:left="5370" w:hanging="567"/>
      </w:pPr>
      <w:rPr>
        <w:rFonts w:hint="default"/>
      </w:rPr>
    </w:lvl>
    <w:lvl w:ilvl="5">
      <w:start w:val="0"/>
      <w:numFmt w:val="bullet"/>
      <w:lvlText w:val="•"/>
      <w:lvlJc w:val="left"/>
      <w:pPr>
        <w:ind w:left="6093" w:hanging="567"/>
      </w:pPr>
      <w:rPr>
        <w:rFonts w:hint="default"/>
      </w:rPr>
    </w:lvl>
    <w:lvl w:ilvl="6">
      <w:start w:val="0"/>
      <w:numFmt w:val="bullet"/>
      <w:lvlText w:val="•"/>
      <w:lvlJc w:val="left"/>
      <w:pPr>
        <w:ind w:left="6816" w:hanging="567"/>
      </w:pPr>
      <w:rPr>
        <w:rFonts w:hint="default"/>
      </w:rPr>
    </w:lvl>
    <w:lvl w:ilvl="7">
      <w:start w:val="0"/>
      <w:numFmt w:val="bullet"/>
      <w:lvlText w:val="•"/>
      <w:lvlJc w:val="left"/>
      <w:pPr>
        <w:ind w:left="7538" w:hanging="567"/>
      </w:pPr>
      <w:rPr>
        <w:rFonts w:hint="default"/>
      </w:rPr>
    </w:lvl>
    <w:lvl w:ilvl="8">
      <w:start w:val="0"/>
      <w:numFmt w:val="bullet"/>
      <w:lvlText w:val="•"/>
      <w:lvlJc w:val="left"/>
      <w:pPr>
        <w:ind w:left="8261" w:hanging="567"/>
      </w:pPr>
      <w:rPr>
        <w:rFonts w:hint="default"/>
      </w:rPr>
    </w:lvl>
  </w:abstractNum>
  <w:abstractNum w:abstractNumId="139">
    <w:multiLevelType w:val="hybridMultilevel"/>
    <w:lvl w:ilvl="0">
      <w:start w:val="5"/>
      <w:numFmt w:val="decimal"/>
      <w:lvlText w:val="%1"/>
      <w:lvlJc w:val="left"/>
      <w:pPr>
        <w:ind w:left="552" w:hanging="335"/>
        <w:jc w:val="left"/>
      </w:pPr>
      <w:rPr>
        <w:rFonts w:hint="default"/>
      </w:rPr>
    </w:lvl>
    <w:lvl w:ilvl="1">
      <w:start w:val="1"/>
      <w:numFmt w:val="decimal"/>
      <w:lvlText w:val="%1.%2"/>
      <w:lvlJc w:val="left"/>
      <w:pPr>
        <w:ind w:left="552" w:hanging="335"/>
        <w:jc w:val="left"/>
      </w:pPr>
      <w:rPr>
        <w:rFonts w:hint="default" w:ascii="Arial" w:hAnsi="Arial" w:eastAsia="Arial" w:cs="Arial"/>
        <w:b/>
        <w:bCs/>
        <w:spacing w:val="-1"/>
        <w:w w:val="100"/>
        <w:sz w:val="22"/>
        <w:szCs w:val="22"/>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3"/>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13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3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3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35">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7"/>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3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3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3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3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3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2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27">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7"/>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2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2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20">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1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1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1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1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1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3"/>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11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1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2"/>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1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11">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1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0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0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9"/>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4"/>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0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9"/>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10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10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5"/>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9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4"/>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93">
    <w:multiLevelType w:val="hybridMultilevel"/>
    <w:lvl w:ilvl="0">
      <w:start w:val="1"/>
      <w:numFmt w:val="lowerLetter"/>
      <w:lvlText w:val="(%1)"/>
      <w:lvlJc w:val="left"/>
      <w:pPr>
        <w:ind w:left="1352" w:hanging="306"/>
        <w:jc w:val="left"/>
      </w:pPr>
      <w:rPr>
        <w:rFonts w:hint="default" w:ascii="Times New Roman" w:hAnsi="Times New Roman" w:eastAsia="Times New Roman" w:cs="Times New Roman"/>
        <w:spacing w:val="-16"/>
        <w:w w:val="100"/>
        <w:sz w:val="20"/>
        <w:szCs w:val="20"/>
      </w:rPr>
    </w:lvl>
    <w:lvl w:ilvl="1">
      <w:start w:val="0"/>
      <w:numFmt w:val="bullet"/>
      <w:lvlText w:val="•"/>
      <w:lvlJc w:val="left"/>
      <w:pPr>
        <w:ind w:left="2194" w:hanging="306"/>
      </w:pPr>
      <w:rPr>
        <w:rFonts w:hint="default"/>
      </w:rPr>
    </w:lvl>
    <w:lvl w:ilvl="2">
      <w:start w:val="0"/>
      <w:numFmt w:val="bullet"/>
      <w:lvlText w:val="•"/>
      <w:lvlJc w:val="left"/>
      <w:pPr>
        <w:ind w:left="3029" w:hanging="306"/>
      </w:pPr>
      <w:rPr>
        <w:rFonts w:hint="default"/>
      </w:rPr>
    </w:lvl>
    <w:lvl w:ilvl="3">
      <w:start w:val="0"/>
      <w:numFmt w:val="bullet"/>
      <w:lvlText w:val="•"/>
      <w:lvlJc w:val="left"/>
      <w:pPr>
        <w:ind w:left="3864" w:hanging="306"/>
      </w:pPr>
      <w:rPr>
        <w:rFonts w:hint="default"/>
      </w:rPr>
    </w:lvl>
    <w:lvl w:ilvl="4">
      <w:start w:val="0"/>
      <w:numFmt w:val="bullet"/>
      <w:lvlText w:val="•"/>
      <w:lvlJc w:val="left"/>
      <w:pPr>
        <w:ind w:left="4698" w:hanging="306"/>
      </w:pPr>
      <w:rPr>
        <w:rFonts w:hint="default"/>
      </w:rPr>
    </w:lvl>
    <w:lvl w:ilvl="5">
      <w:start w:val="0"/>
      <w:numFmt w:val="bullet"/>
      <w:lvlText w:val="•"/>
      <w:lvlJc w:val="left"/>
      <w:pPr>
        <w:ind w:left="5533" w:hanging="306"/>
      </w:pPr>
      <w:rPr>
        <w:rFonts w:hint="default"/>
      </w:rPr>
    </w:lvl>
    <w:lvl w:ilvl="6">
      <w:start w:val="0"/>
      <w:numFmt w:val="bullet"/>
      <w:lvlText w:val="•"/>
      <w:lvlJc w:val="left"/>
      <w:pPr>
        <w:ind w:left="6368" w:hanging="306"/>
      </w:pPr>
      <w:rPr>
        <w:rFonts w:hint="default"/>
      </w:rPr>
    </w:lvl>
    <w:lvl w:ilvl="7">
      <w:start w:val="0"/>
      <w:numFmt w:val="bullet"/>
      <w:lvlText w:val="•"/>
      <w:lvlJc w:val="left"/>
      <w:pPr>
        <w:ind w:left="7202" w:hanging="306"/>
      </w:pPr>
      <w:rPr>
        <w:rFonts w:hint="default"/>
      </w:rPr>
    </w:lvl>
    <w:lvl w:ilvl="8">
      <w:start w:val="0"/>
      <w:numFmt w:val="bullet"/>
      <w:lvlText w:val="•"/>
      <w:lvlJc w:val="left"/>
      <w:pPr>
        <w:ind w:left="8037" w:hanging="306"/>
      </w:pPr>
      <w:rPr>
        <w:rFonts w:hint="default"/>
      </w:rPr>
    </w:lvl>
  </w:abstractNum>
  <w:abstractNum w:abstractNumId="9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91">
    <w:multiLevelType w:val="hybridMultilevel"/>
    <w:lvl w:ilvl="0">
      <w:start w:val="2"/>
      <w:numFmt w:val="lowerLetter"/>
      <w:lvlText w:val="(%1)"/>
      <w:lvlJc w:val="left"/>
      <w:pPr>
        <w:ind w:left="1919" w:hanging="567"/>
        <w:jc w:val="left"/>
      </w:pPr>
      <w:rPr>
        <w:rFonts w:hint="default" w:ascii="Times New Roman" w:hAnsi="Times New Roman" w:eastAsia="Times New Roman" w:cs="Times New Roman"/>
        <w:spacing w:val="-17"/>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90">
    <w:multiLevelType w:val="hybridMultilevel"/>
    <w:lvl w:ilvl="0">
      <w:start w:val="1"/>
      <w:numFmt w:val="lowerLetter"/>
      <w:lvlText w:val="(%1)"/>
      <w:lvlJc w:val="left"/>
      <w:pPr>
        <w:ind w:left="2377" w:hanging="459"/>
        <w:jc w:val="left"/>
      </w:pPr>
      <w:rPr>
        <w:rFonts w:hint="default" w:ascii="Times New Roman" w:hAnsi="Times New Roman" w:eastAsia="Times New Roman" w:cs="Times New Roman"/>
        <w:spacing w:val="-1"/>
        <w:w w:val="100"/>
        <w:sz w:val="20"/>
        <w:szCs w:val="20"/>
      </w:rPr>
    </w:lvl>
    <w:lvl w:ilvl="1">
      <w:start w:val="1"/>
      <w:numFmt w:val="lowerRoman"/>
      <w:lvlText w:val="(%2)"/>
      <w:lvlJc w:val="left"/>
      <w:pPr>
        <w:ind w:left="2486" w:hanging="612"/>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3283" w:hanging="612"/>
      </w:pPr>
      <w:rPr>
        <w:rFonts w:hint="default"/>
      </w:rPr>
    </w:lvl>
    <w:lvl w:ilvl="3">
      <w:start w:val="0"/>
      <w:numFmt w:val="bullet"/>
      <w:lvlText w:val="•"/>
      <w:lvlJc w:val="left"/>
      <w:pPr>
        <w:ind w:left="4086" w:hanging="612"/>
      </w:pPr>
      <w:rPr>
        <w:rFonts w:hint="default"/>
      </w:rPr>
    </w:lvl>
    <w:lvl w:ilvl="4">
      <w:start w:val="0"/>
      <w:numFmt w:val="bullet"/>
      <w:lvlText w:val="•"/>
      <w:lvlJc w:val="left"/>
      <w:pPr>
        <w:ind w:left="4889" w:hanging="612"/>
      </w:pPr>
      <w:rPr>
        <w:rFonts w:hint="default"/>
      </w:rPr>
    </w:lvl>
    <w:lvl w:ilvl="5">
      <w:start w:val="0"/>
      <w:numFmt w:val="bullet"/>
      <w:lvlText w:val="•"/>
      <w:lvlJc w:val="left"/>
      <w:pPr>
        <w:ind w:left="5692" w:hanging="612"/>
      </w:pPr>
      <w:rPr>
        <w:rFonts w:hint="default"/>
      </w:rPr>
    </w:lvl>
    <w:lvl w:ilvl="6">
      <w:start w:val="0"/>
      <w:numFmt w:val="bullet"/>
      <w:lvlText w:val="•"/>
      <w:lvlJc w:val="left"/>
      <w:pPr>
        <w:ind w:left="6495" w:hanging="612"/>
      </w:pPr>
      <w:rPr>
        <w:rFonts w:hint="default"/>
      </w:rPr>
    </w:lvl>
    <w:lvl w:ilvl="7">
      <w:start w:val="0"/>
      <w:numFmt w:val="bullet"/>
      <w:lvlText w:val="•"/>
      <w:lvlJc w:val="left"/>
      <w:pPr>
        <w:ind w:left="7298" w:hanging="612"/>
      </w:pPr>
      <w:rPr>
        <w:rFonts w:hint="default"/>
      </w:rPr>
    </w:lvl>
    <w:lvl w:ilvl="8">
      <w:start w:val="0"/>
      <w:numFmt w:val="bullet"/>
      <w:lvlText w:val="•"/>
      <w:lvlJc w:val="left"/>
      <w:pPr>
        <w:ind w:left="8101" w:hanging="612"/>
      </w:pPr>
      <w:rPr>
        <w:rFonts w:hint="default"/>
      </w:rPr>
    </w:lvl>
  </w:abstractNum>
  <w:abstractNum w:abstractNumId="8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3"/>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8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0"/>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2">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8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5"/>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9"/>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7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7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9">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8">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7"/>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6">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30"/>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5">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13"/>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4">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6" w:hanging="567"/>
        <w:jc w:val="left"/>
      </w:pPr>
      <w:rPr>
        <w:rFonts w:hint="default" w:ascii="Times New Roman" w:hAnsi="Times New Roman" w:eastAsia="Times New Roman" w:cs="Times New Roman"/>
        <w:spacing w:val="-24"/>
        <w:w w:val="100"/>
        <w:sz w:val="24"/>
        <w:szCs w:val="24"/>
      </w:rPr>
    </w:lvl>
    <w:lvl w:ilvl="2">
      <w:start w:val="1"/>
      <w:numFmt w:val="lowerRoman"/>
      <w:lvlText w:val="(%3)"/>
      <w:lvlJc w:val="left"/>
      <w:pPr>
        <w:ind w:left="3053" w:hanging="567"/>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63">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2">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8"/>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3283" w:hanging="567"/>
      </w:pPr>
      <w:rPr>
        <w:rFonts w:hint="default"/>
      </w:rPr>
    </w:lvl>
    <w:lvl w:ilvl="3">
      <w:start w:val="0"/>
      <w:numFmt w:val="bullet"/>
      <w:lvlText w:val="•"/>
      <w:lvlJc w:val="left"/>
      <w:pPr>
        <w:ind w:left="4086" w:hanging="567"/>
      </w:pPr>
      <w:rPr>
        <w:rFonts w:hint="default"/>
      </w:rPr>
    </w:lvl>
    <w:lvl w:ilvl="4">
      <w:start w:val="0"/>
      <w:numFmt w:val="bullet"/>
      <w:lvlText w:val="•"/>
      <w:lvlJc w:val="left"/>
      <w:pPr>
        <w:ind w:left="4889" w:hanging="567"/>
      </w:pPr>
      <w:rPr>
        <w:rFonts w:hint="default"/>
      </w:rPr>
    </w:lvl>
    <w:lvl w:ilvl="5">
      <w:start w:val="0"/>
      <w:numFmt w:val="bullet"/>
      <w:lvlText w:val="•"/>
      <w:lvlJc w:val="left"/>
      <w:pPr>
        <w:ind w:left="5692" w:hanging="567"/>
      </w:pPr>
      <w:rPr>
        <w:rFonts w:hint="default"/>
      </w:rPr>
    </w:lvl>
    <w:lvl w:ilvl="6">
      <w:start w:val="0"/>
      <w:numFmt w:val="bullet"/>
      <w:lvlText w:val="•"/>
      <w:lvlJc w:val="left"/>
      <w:pPr>
        <w:ind w:left="6495" w:hanging="567"/>
      </w:pPr>
      <w:rPr>
        <w:rFonts w:hint="default"/>
      </w:rPr>
    </w:lvl>
    <w:lvl w:ilvl="7">
      <w:start w:val="0"/>
      <w:numFmt w:val="bullet"/>
      <w:lvlText w:val="•"/>
      <w:lvlJc w:val="left"/>
      <w:pPr>
        <w:ind w:left="7298" w:hanging="567"/>
      </w:pPr>
      <w:rPr>
        <w:rFonts w:hint="default"/>
      </w:rPr>
    </w:lvl>
    <w:lvl w:ilvl="8">
      <w:start w:val="0"/>
      <w:numFmt w:val="bullet"/>
      <w:lvlText w:val="•"/>
      <w:lvlJc w:val="left"/>
      <w:pPr>
        <w:ind w:left="8101" w:hanging="567"/>
      </w:pPr>
      <w:rPr>
        <w:rFonts w:hint="default"/>
      </w:rPr>
    </w:lvl>
  </w:abstractNum>
  <w:abstractNum w:abstractNumId="61">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60">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4"/>
        <w:w w:val="100"/>
        <w:sz w:val="24"/>
        <w:szCs w:val="24"/>
      </w:rPr>
    </w:lvl>
    <w:lvl w:ilvl="1">
      <w:start w:val="1"/>
      <w:numFmt w:val="decimal"/>
      <w:lvlText w:val="(%2)"/>
      <w:lvlJc w:val="left"/>
      <w:pPr>
        <w:ind w:left="2485" w:hanging="567"/>
        <w:jc w:val="left"/>
      </w:pPr>
      <w:rPr>
        <w:rFonts w:hint="default" w:ascii="Times New Roman" w:hAnsi="Times New Roman" w:eastAsia="Times New Roman" w:cs="Times New Roman"/>
        <w:spacing w:val="-13"/>
        <w:w w:val="100"/>
        <w:sz w:val="24"/>
        <w:szCs w:val="24"/>
      </w:rPr>
    </w:lvl>
    <w:lvl w:ilvl="2">
      <w:start w:val="1"/>
      <w:numFmt w:val="lowerRoman"/>
      <w:lvlText w:val="(%3)"/>
      <w:lvlJc w:val="left"/>
      <w:pPr>
        <w:ind w:left="3052" w:hanging="567"/>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890" w:hanging="567"/>
      </w:pPr>
      <w:rPr>
        <w:rFonts w:hint="default"/>
      </w:rPr>
    </w:lvl>
    <w:lvl w:ilvl="4">
      <w:start w:val="0"/>
      <w:numFmt w:val="bullet"/>
      <w:lvlText w:val="•"/>
      <w:lvlJc w:val="left"/>
      <w:pPr>
        <w:ind w:left="4721" w:hanging="567"/>
      </w:pPr>
      <w:rPr>
        <w:rFonts w:hint="default"/>
      </w:rPr>
    </w:lvl>
    <w:lvl w:ilvl="5">
      <w:start w:val="0"/>
      <w:numFmt w:val="bullet"/>
      <w:lvlText w:val="•"/>
      <w:lvlJc w:val="left"/>
      <w:pPr>
        <w:ind w:left="5552" w:hanging="567"/>
      </w:pPr>
      <w:rPr>
        <w:rFonts w:hint="default"/>
      </w:rPr>
    </w:lvl>
    <w:lvl w:ilvl="6">
      <w:start w:val="0"/>
      <w:numFmt w:val="bullet"/>
      <w:lvlText w:val="•"/>
      <w:lvlJc w:val="left"/>
      <w:pPr>
        <w:ind w:left="6383" w:hanging="567"/>
      </w:pPr>
      <w:rPr>
        <w:rFonts w:hint="default"/>
      </w:rPr>
    </w:lvl>
    <w:lvl w:ilvl="7">
      <w:start w:val="0"/>
      <w:numFmt w:val="bullet"/>
      <w:lvlText w:val="•"/>
      <w:lvlJc w:val="left"/>
      <w:pPr>
        <w:ind w:left="7214" w:hanging="567"/>
      </w:pPr>
      <w:rPr>
        <w:rFonts w:hint="default"/>
      </w:rPr>
    </w:lvl>
    <w:lvl w:ilvl="8">
      <w:start w:val="0"/>
      <w:numFmt w:val="bullet"/>
      <w:lvlText w:val="•"/>
      <w:lvlJc w:val="left"/>
      <w:pPr>
        <w:ind w:left="8045" w:hanging="567"/>
      </w:pPr>
      <w:rPr>
        <w:rFonts w:hint="default"/>
      </w:rPr>
    </w:lvl>
  </w:abstractNum>
  <w:abstractNum w:abstractNumId="59">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6"/>
        <w:w w:val="100"/>
        <w:sz w:val="24"/>
        <w:szCs w:val="24"/>
      </w:rPr>
    </w:lvl>
    <w:lvl w:ilvl="1">
      <w:start w:val="1"/>
      <w:numFmt w:val="lowerLetter"/>
      <w:lvlText w:val="(%2)"/>
      <w:lvlJc w:val="left"/>
      <w:pPr>
        <w:ind w:left="2377" w:hanging="459"/>
        <w:jc w:val="left"/>
      </w:pPr>
      <w:rPr>
        <w:rFonts w:hint="default" w:ascii="Times New Roman" w:hAnsi="Times New Roman" w:eastAsia="Times New Roman" w:cs="Times New Roman"/>
        <w:spacing w:val="-13"/>
        <w:w w:val="100"/>
        <w:sz w:val="20"/>
        <w:szCs w:val="20"/>
      </w:rPr>
    </w:lvl>
    <w:lvl w:ilvl="2">
      <w:start w:val="0"/>
      <w:numFmt w:val="bullet"/>
      <w:lvlText w:val="•"/>
      <w:lvlJc w:val="left"/>
      <w:pPr>
        <w:ind w:left="3194" w:hanging="459"/>
      </w:pPr>
      <w:rPr>
        <w:rFonts w:hint="default"/>
      </w:rPr>
    </w:lvl>
    <w:lvl w:ilvl="3">
      <w:start w:val="0"/>
      <w:numFmt w:val="bullet"/>
      <w:lvlText w:val="•"/>
      <w:lvlJc w:val="left"/>
      <w:pPr>
        <w:ind w:left="4008" w:hanging="459"/>
      </w:pPr>
      <w:rPr>
        <w:rFonts w:hint="default"/>
      </w:rPr>
    </w:lvl>
    <w:lvl w:ilvl="4">
      <w:start w:val="0"/>
      <w:numFmt w:val="bullet"/>
      <w:lvlText w:val="•"/>
      <w:lvlJc w:val="left"/>
      <w:pPr>
        <w:ind w:left="4822" w:hanging="459"/>
      </w:pPr>
      <w:rPr>
        <w:rFonts w:hint="default"/>
      </w:rPr>
    </w:lvl>
    <w:lvl w:ilvl="5">
      <w:start w:val="0"/>
      <w:numFmt w:val="bullet"/>
      <w:lvlText w:val="•"/>
      <w:lvlJc w:val="left"/>
      <w:pPr>
        <w:ind w:left="5636" w:hanging="459"/>
      </w:pPr>
      <w:rPr>
        <w:rFonts w:hint="default"/>
      </w:rPr>
    </w:lvl>
    <w:lvl w:ilvl="6">
      <w:start w:val="0"/>
      <w:numFmt w:val="bullet"/>
      <w:lvlText w:val="•"/>
      <w:lvlJc w:val="left"/>
      <w:pPr>
        <w:ind w:left="6450" w:hanging="459"/>
      </w:pPr>
      <w:rPr>
        <w:rFonts w:hint="default"/>
      </w:rPr>
    </w:lvl>
    <w:lvl w:ilvl="7">
      <w:start w:val="0"/>
      <w:numFmt w:val="bullet"/>
      <w:lvlText w:val="•"/>
      <w:lvlJc w:val="left"/>
      <w:pPr>
        <w:ind w:left="7264" w:hanging="459"/>
      </w:pPr>
      <w:rPr>
        <w:rFonts w:hint="default"/>
      </w:rPr>
    </w:lvl>
    <w:lvl w:ilvl="8">
      <w:start w:val="0"/>
      <w:numFmt w:val="bullet"/>
      <w:lvlText w:val="•"/>
      <w:lvlJc w:val="left"/>
      <w:pPr>
        <w:ind w:left="8078" w:hanging="459"/>
      </w:pPr>
      <w:rPr>
        <w:rFonts w:hint="default"/>
      </w:rPr>
    </w:lvl>
  </w:abstractNum>
  <w:abstractNum w:abstractNumId="58">
    <w:multiLevelType w:val="hybridMultilevel"/>
    <w:lvl w:ilvl="0">
      <w:start w:val="1"/>
      <w:numFmt w:val="lowerLetter"/>
      <w:lvlText w:val="(%1)"/>
      <w:lvlJc w:val="left"/>
      <w:pPr>
        <w:ind w:left="1918"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7">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6">
    <w:multiLevelType w:val="hybridMultilevel"/>
    <w:lvl w:ilvl="0">
      <w:start w:val="1"/>
      <w:numFmt w:val="decimal"/>
      <w:lvlText w:val="%1"/>
      <w:lvlJc w:val="left"/>
      <w:pPr>
        <w:ind w:left="580" w:hanging="363"/>
        <w:jc w:val="left"/>
      </w:pPr>
      <w:rPr>
        <w:rFonts w:hint="default"/>
      </w:rPr>
    </w:lvl>
    <w:lvl w:ilvl="1">
      <w:start w:val="9"/>
      <w:numFmt w:val="decimal"/>
      <w:lvlText w:val="%1.%2"/>
      <w:lvlJc w:val="left"/>
      <w:pPr>
        <w:ind w:left="580" w:hanging="363"/>
        <w:jc w:val="left"/>
      </w:pPr>
      <w:rPr>
        <w:rFonts w:hint="default" w:ascii="Arial" w:hAnsi="Arial" w:eastAsia="Arial" w:cs="Arial"/>
        <w:b/>
        <w:bCs/>
        <w:spacing w:val="-1"/>
        <w:w w:val="100"/>
        <w:sz w:val="24"/>
        <w:szCs w:val="24"/>
      </w:rPr>
    </w:lvl>
    <w:lvl w:ilvl="2">
      <w:start w:val="1"/>
      <w:numFmt w:val="lowerLetter"/>
      <w:lvlText w:val="(%3)"/>
      <w:lvlJc w:val="left"/>
      <w:pPr>
        <w:ind w:left="1918" w:hanging="567"/>
        <w:jc w:val="left"/>
      </w:pPr>
      <w:rPr>
        <w:rFonts w:hint="default" w:ascii="Times New Roman" w:hAnsi="Times New Roman" w:eastAsia="Times New Roman" w:cs="Times New Roman"/>
        <w:spacing w:val="-1"/>
        <w:w w:val="100"/>
        <w:sz w:val="24"/>
        <w:szCs w:val="24"/>
      </w:rPr>
    </w:lvl>
    <w:lvl w:ilvl="3">
      <w:start w:val="1"/>
      <w:numFmt w:val="decimal"/>
      <w:lvlText w:val="(%4)"/>
      <w:lvlJc w:val="left"/>
      <w:pPr>
        <w:ind w:left="2485" w:hanging="567"/>
        <w:jc w:val="left"/>
      </w:pPr>
      <w:rPr>
        <w:rFonts w:hint="default" w:ascii="Times New Roman" w:hAnsi="Times New Roman" w:eastAsia="Times New Roman" w:cs="Times New Roman"/>
        <w:spacing w:val="-1"/>
        <w:w w:val="100"/>
        <w:sz w:val="24"/>
        <w:szCs w:val="24"/>
      </w:rPr>
    </w:lvl>
    <w:lvl w:ilvl="4">
      <w:start w:val="1"/>
      <w:numFmt w:val="lowerRoman"/>
      <w:lvlText w:val="(%5)"/>
      <w:lvlJc w:val="left"/>
      <w:pPr>
        <w:ind w:left="3053" w:hanging="567"/>
        <w:jc w:val="left"/>
      </w:pPr>
      <w:rPr>
        <w:rFonts w:hint="default" w:ascii="Times New Roman" w:hAnsi="Times New Roman" w:eastAsia="Times New Roman" w:cs="Times New Roman"/>
        <w:spacing w:val="-20"/>
        <w:w w:val="100"/>
        <w:sz w:val="24"/>
        <w:szCs w:val="24"/>
      </w:rPr>
    </w:lvl>
    <w:lvl w:ilvl="5">
      <w:start w:val="0"/>
      <w:numFmt w:val="bullet"/>
      <w:lvlText w:val="•"/>
      <w:lvlJc w:val="left"/>
      <w:pPr>
        <w:ind w:left="4959" w:hanging="567"/>
      </w:pPr>
      <w:rPr>
        <w:rFonts w:hint="default"/>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55">
    <w:multiLevelType w:val="hybridMultilevel"/>
    <w:lvl w:ilvl="0">
      <w:start w:val="1"/>
      <w:numFmt w:val="decimal"/>
      <w:lvlText w:val="%1"/>
      <w:lvlJc w:val="left"/>
      <w:pPr>
        <w:ind w:left="752" w:hanging="535"/>
        <w:jc w:val="left"/>
      </w:pPr>
      <w:rPr>
        <w:rFonts w:hint="default"/>
      </w:rPr>
    </w:lvl>
    <w:lvl w:ilvl="1">
      <w:start w:val="7"/>
      <w:numFmt w:val="decimal"/>
      <w:lvlText w:val="%1.%2"/>
      <w:lvlJc w:val="left"/>
      <w:pPr>
        <w:ind w:left="752" w:hanging="535"/>
        <w:jc w:val="left"/>
      </w:pPr>
      <w:rPr>
        <w:rFonts w:hint="default"/>
      </w:rPr>
    </w:lvl>
    <w:lvl w:ilvl="2">
      <w:start w:val="1"/>
      <w:numFmt w:val="decimal"/>
      <w:lvlText w:val="%1.%2.%3"/>
      <w:lvlJc w:val="left"/>
      <w:pPr>
        <w:ind w:left="752" w:hanging="535"/>
        <w:jc w:val="left"/>
      </w:pPr>
      <w:rPr>
        <w:rFonts w:hint="default" w:ascii="Arial" w:hAnsi="Arial" w:eastAsia="Arial" w:cs="Arial"/>
        <w:b/>
        <w:bCs/>
        <w:spacing w:val="-1"/>
        <w:w w:val="100"/>
        <w:sz w:val="22"/>
        <w:szCs w:val="22"/>
      </w:rPr>
    </w:lvl>
    <w:lvl w:ilvl="3">
      <w:start w:val="1"/>
      <w:numFmt w:val="lowerLetter"/>
      <w:lvlText w:val="(%4)"/>
      <w:lvlJc w:val="left"/>
      <w:pPr>
        <w:ind w:left="1918"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1"/>
      <w:numFmt w:val="lowerRoman"/>
      <w:lvlText w:val="(%6)"/>
      <w:lvlJc w:val="left"/>
      <w:pPr>
        <w:ind w:left="3053" w:hanging="567"/>
        <w:jc w:val="left"/>
      </w:pPr>
      <w:rPr>
        <w:rFonts w:hint="default" w:ascii="Times New Roman" w:hAnsi="Times New Roman" w:eastAsia="Times New Roman" w:cs="Times New Roman"/>
        <w:spacing w:val="-20"/>
        <w:w w:val="100"/>
        <w:sz w:val="24"/>
        <w:szCs w:val="24"/>
      </w:rPr>
    </w:lvl>
    <w:lvl w:ilvl="6">
      <w:start w:val="0"/>
      <w:numFmt w:val="bullet"/>
      <w:lvlText w:val="•"/>
      <w:lvlJc w:val="left"/>
      <w:pPr>
        <w:ind w:left="5908" w:hanging="567"/>
      </w:pPr>
      <w:rPr>
        <w:rFonts w:hint="default"/>
      </w:rPr>
    </w:lvl>
    <w:lvl w:ilvl="7">
      <w:start w:val="0"/>
      <w:numFmt w:val="bullet"/>
      <w:lvlText w:val="•"/>
      <w:lvlJc w:val="left"/>
      <w:pPr>
        <w:ind w:left="6858" w:hanging="567"/>
      </w:pPr>
      <w:rPr>
        <w:rFonts w:hint="default"/>
      </w:rPr>
    </w:lvl>
    <w:lvl w:ilvl="8">
      <w:start w:val="0"/>
      <w:numFmt w:val="bullet"/>
      <w:lvlText w:val="•"/>
      <w:lvlJc w:val="left"/>
      <w:pPr>
        <w:ind w:left="7807" w:hanging="567"/>
      </w:pPr>
      <w:rPr>
        <w:rFonts w:hint="default"/>
      </w:rPr>
    </w:lvl>
  </w:abstractNum>
  <w:abstractNum w:abstractNumId="54">
    <w:multiLevelType w:val="hybridMultilevel"/>
    <w:lvl w:ilvl="0">
      <w:start w:val="1"/>
      <w:numFmt w:val="lowerLetter"/>
      <w:lvlText w:val="(%1)"/>
      <w:lvlJc w:val="left"/>
      <w:pPr>
        <w:ind w:left="1919" w:hanging="567"/>
        <w:jc w:val="left"/>
      </w:pPr>
      <w:rPr>
        <w:rFonts w:hint="default" w:ascii="Times New Roman" w:hAnsi="Times New Roman" w:eastAsia="Times New Roman" w:cs="Times New Roman"/>
        <w:spacing w:val="-25"/>
        <w:w w:val="100"/>
        <w:sz w:val="24"/>
        <w:szCs w:val="24"/>
      </w:rPr>
    </w:lvl>
    <w:lvl w:ilvl="1">
      <w:start w:val="0"/>
      <w:numFmt w:val="bullet"/>
      <w:lvlText w:val="•"/>
      <w:lvlJc w:val="left"/>
      <w:pPr>
        <w:ind w:left="2698" w:hanging="567"/>
      </w:pPr>
      <w:rPr>
        <w:rFonts w:hint="default"/>
      </w:rPr>
    </w:lvl>
    <w:lvl w:ilvl="2">
      <w:start w:val="0"/>
      <w:numFmt w:val="bullet"/>
      <w:lvlText w:val="•"/>
      <w:lvlJc w:val="left"/>
      <w:pPr>
        <w:ind w:left="3477" w:hanging="567"/>
      </w:pPr>
      <w:rPr>
        <w:rFonts w:hint="default"/>
      </w:rPr>
    </w:lvl>
    <w:lvl w:ilvl="3">
      <w:start w:val="0"/>
      <w:numFmt w:val="bullet"/>
      <w:lvlText w:val="•"/>
      <w:lvlJc w:val="left"/>
      <w:pPr>
        <w:ind w:left="4256" w:hanging="567"/>
      </w:pPr>
      <w:rPr>
        <w:rFonts w:hint="default"/>
      </w:rPr>
    </w:lvl>
    <w:lvl w:ilvl="4">
      <w:start w:val="0"/>
      <w:numFmt w:val="bullet"/>
      <w:lvlText w:val="•"/>
      <w:lvlJc w:val="left"/>
      <w:pPr>
        <w:ind w:left="5034" w:hanging="567"/>
      </w:pPr>
      <w:rPr>
        <w:rFonts w:hint="default"/>
      </w:rPr>
    </w:lvl>
    <w:lvl w:ilvl="5">
      <w:start w:val="0"/>
      <w:numFmt w:val="bullet"/>
      <w:lvlText w:val="•"/>
      <w:lvlJc w:val="left"/>
      <w:pPr>
        <w:ind w:left="5813" w:hanging="567"/>
      </w:pPr>
      <w:rPr>
        <w:rFonts w:hint="default"/>
      </w:rPr>
    </w:lvl>
    <w:lvl w:ilvl="6">
      <w:start w:val="0"/>
      <w:numFmt w:val="bullet"/>
      <w:lvlText w:val="•"/>
      <w:lvlJc w:val="left"/>
      <w:pPr>
        <w:ind w:left="6592" w:hanging="567"/>
      </w:pPr>
      <w:rPr>
        <w:rFonts w:hint="default"/>
      </w:rPr>
    </w:lvl>
    <w:lvl w:ilvl="7">
      <w:start w:val="0"/>
      <w:numFmt w:val="bullet"/>
      <w:lvlText w:val="•"/>
      <w:lvlJc w:val="left"/>
      <w:pPr>
        <w:ind w:left="7370" w:hanging="567"/>
      </w:pPr>
      <w:rPr>
        <w:rFonts w:hint="default"/>
      </w:rPr>
    </w:lvl>
    <w:lvl w:ilvl="8">
      <w:start w:val="0"/>
      <w:numFmt w:val="bullet"/>
      <w:lvlText w:val="•"/>
      <w:lvlJc w:val="left"/>
      <w:pPr>
        <w:ind w:left="8149" w:hanging="567"/>
      </w:pPr>
      <w:rPr>
        <w:rFonts w:hint="default"/>
      </w:rPr>
    </w:lvl>
  </w:abstractNum>
  <w:abstractNum w:abstractNumId="53">
    <w:multiLevelType w:val="hybridMultilevel"/>
    <w:lvl w:ilvl="0">
      <w:start w:val="1"/>
      <w:numFmt w:val="decimal"/>
      <w:lvlText w:val="%1."/>
      <w:lvlJc w:val="left"/>
      <w:pPr>
        <w:ind w:left="1351" w:hanging="1134"/>
        <w:jc w:val="left"/>
      </w:pPr>
      <w:rPr>
        <w:rFonts w:hint="default" w:ascii="Arial" w:hAnsi="Arial" w:eastAsia="Arial" w:cs="Arial"/>
        <w:b/>
        <w:bCs/>
        <w:spacing w:val="-1"/>
        <w:w w:val="100"/>
        <w:sz w:val="32"/>
        <w:szCs w:val="32"/>
      </w:rPr>
    </w:lvl>
    <w:lvl w:ilvl="1">
      <w:start w:val="1"/>
      <w:numFmt w:val="decimal"/>
      <w:lvlText w:val="%1.%2"/>
      <w:lvlJc w:val="left"/>
      <w:pPr>
        <w:ind w:left="1352" w:hanging="1135"/>
        <w:jc w:val="left"/>
      </w:pPr>
      <w:rPr>
        <w:rFonts w:hint="default" w:ascii="Arial" w:hAnsi="Arial" w:eastAsia="Arial" w:cs="Arial"/>
        <w:b/>
        <w:bCs/>
        <w:spacing w:val="-1"/>
        <w:w w:val="100"/>
        <w:sz w:val="26"/>
        <w:szCs w:val="26"/>
      </w:rPr>
    </w:lvl>
    <w:lvl w:ilvl="2">
      <w:start w:val="1"/>
      <w:numFmt w:val="decimal"/>
      <w:lvlText w:val="%1.%2.%3"/>
      <w:lvlJc w:val="left"/>
      <w:pPr>
        <w:ind w:left="1351" w:hanging="1134"/>
        <w:jc w:val="left"/>
      </w:pPr>
      <w:rPr>
        <w:rFonts w:hint="default" w:ascii="Arial" w:hAnsi="Arial" w:eastAsia="Arial" w:cs="Arial"/>
        <w:b/>
        <w:bCs/>
        <w:spacing w:val="-1"/>
        <w:w w:val="100"/>
        <w:sz w:val="24"/>
        <w:szCs w:val="24"/>
      </w:rPr>
    </w:lvl>
    <w:lvl w:ilvl="3">
      <w:start w:val="1"/>
      <w:numFmt w:val="lowerLetter"/>
      <w:lvlText w:val="(%4)"/>
      <w:lvlJc w:val="left"/>
      <w:pPr>
        <w:ind w:left="1919" w:hanging="567"/>
        <w:jc w:val="left"/>
      </w:pPr>
      <w:rPr>
        <w:rFonts w:hint="default" w:ascii="Times New Roman" w:hAnsi="Times New Roman" w:eastAsia="Times New Roman" w:cs="Times New Roman"/>
        <w:spacing w:val="-1"/>
        <w:w w:val="100"/>
        <w:sz w:val="24"/>
        <w:szCs w:val="24"/>
      </w:rPr>
    </w:lvl>
    <w:lvl w:ilvl="4">
      <w:start w:val="1"/>
      <w:numFmt w:val="decimal"/>
      <w:lvlText w:val="(%5)"/>
      <w:lvlJc w:val="left"/>
      <w:pPr>
        <w:ind w:left="2486" w:hanging="567"/>
        <w:jc w:val="left"/>
      </w:pPr>
      <w:rPr>
        <w:rFonts w:hint="default" w:ascii="Times New Roman" w:hAnsi="Times New Roman" w:eastAsia="Times New Roman" w:cs="Times New Roman"/>
        <w:spacing w:val="-13"/>
        <w:w w:val="100"/>
        <w:sz w:val="24"/>
        <w:szCs w:val="24"/>
      </w:rPr>
    </w:lvl>
    <w:lvl w:ilvl="5">
      <w:start w:val="0"/>
      <w:numFmt w:val="bullet"/>
      <w:lvlText w:val="•"/>
      <w:lvlJc w:val="left"/>
      <w:pPr>
        <w:ind w:left="5190" w:hanging="567"/>
      </w:pPr>
      <w:rPr>
        <w:rFonts w:hint="default"/>
      </w:rPr>
    </w:lvl>
    <w:lvl w:ilvl="6">
      <w:start w:val="0"/>
      <w:numFmt w:val="bullet"/>
      <w:lvlText w:val="•"/>
      <w:lvlJc w:val="left"/>
      <w:pPr>
        <w:ind w:left="6093" w:hanging="567"/>
      </w:pPr>
      <w:rPr>
        <w:rFonts w:hint="default"/>
      </w:rPr>
    </w:lvl>
    <w:lvl w:ilvl="7">
      <w:start w:val="0"/>
      <w:numFmt w:val="bullet"/>
      <w:lvlText w:val="•"/>
      <w:lvlJc w:val="left"/>
      <w:pPr>
        <w:ind w:left="6996" w:hanging="567"/>
      </w:pPr>
      <w:rPr>
        <w:rFonts w:hint="default"/>
      </w:rPr>
    </w:lvl>
    <w:lvl w:ilvl="8">
      <w:start w:val="0"/>
      <w:numFmt w:val="bullet"/>
      <w:lvlText w:val="•"/>
      <w:lvlJc w:val="left"/>
      <w:pPr>
        <w:ind w:left="7900" w:hanging="567"/>
      </w:pPr>
      <w:rPr>
        <w:rFonts w:hint="default"/>
      </w:rPr>
    </w:lvl>
  </w:abstractNum>
  <w:abstractNum w:abstractNumId="52">
    <w:multiLevelType w:val="hybridMultilevel"/>
    <w:lvl w:ilvl="0">
      <w:start w:val="11"/>
      <w:numFmt w:val="decimal"/>
      <w:lvlText w:val="%1"/>
      <w:lvlJc w:val="left"/>
      <w:pPr>
        <w:ind w:left="1919" w:hanging="1702"/>
        <w:jc w:val="left"/>
      </w:pPr>
      <w:rPr>
        <w:rFonts w:hint="default"/>
      </w:rPr>
    </w:lvl>
    <w:lvl w:ilvl="1">
      <w:start w:val="103"/>
      <w:numFmt w:val="decimal"/>
      <w:lvlText w:val="%1.%2"/>
      <w:lvlJc w:val="left"/>
      <w:pPr>
        <w:ind w:left="1919" w:hanging="1702"/>
        <w:jc w:val="left"/>
      </w:pPr>
      <w:rPr>
        <w:rFonts w:hint="default"/>
      </w:rPr>
    </w:lvl>
    <w:lvl w:ilvl="2">
      <w:start w:val="4"/>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51">
    <w:multiLevelType w:val="hybridMultilevel"/>
    <w:lvl w:ilvl="0">
      <w:start w:val="11"/>
      <w:numFmt w:val="decimal"/>
      <w:lvlText w:val="%1"/>
      <w:lvlJc w:val="left"/>
      <w:pPr>
        <w:ind w:left="1919" w:hanging="1702"/>
        <w:jc w:val="left"/>
      </w:pPr>
      <w:rPr>
        <w:rFonts w:hint="default"/>
      </w:rPr>
    </w:lvl>
    <w:lvl w:ilvl="1">
      <w:start w:val="97"/>
      <w:numFmt w:val="decimal"/>
      <w:lvlText w:val="%1.%2"/>
      <w:lvlJc w:val="left"/>
      <w:pPr>
        <w:ind w:left="1919" w:hanging="1702"/>
        <w:jc w:val="left"/>
      </w:pPr>
      <w:rPr>
        <w:rFonts w:hint="default" w:ascii="Times New Roman" w:hAnsi="Times New Roman" w:eastAsia="Times New Roman" w:cs="Times New Roman"/>
        <w:b/>
        <w:bCs/>
        <w:spacing w:val="-6"/>
        <w:w w:val="100"/>
        <w:sz w:val="24"/>
        <w:szCs w:val="24"/>
      </w:rPr>
    </w:lvl>
    <w:lvl w:ilvl="2">
      <w:start w:val="1"/>
      <w:numFmt w:val="decimal"/>
      <w:lvlText w:val="%1.%2.%3"/>
      <w:lvlJc w:val="left"/>
      <w:pPr>
        <w:ind w:left="1979" w:hanging="176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97" w:hanging="1762"/>
      </w:pPr>
      <w:rPr>
        <w:rFonts w:hint="default"/>
      </w:rPr>
    </w:lvl>
    <w:lvl w:ilvl="4">
      <w:start w:val="0"/>
      <w:numFmt w:val="bullet"/>
      <w:lvlText w:val="•"/>
      <w:lvlJc w:val="left"/>
      <w:pPr>
        <w:ind w:left="4555" w:hanging="1762"/>
      </w:pPr>
      <w:rPr>
        <w:rFonts w:hint="default"/>
      </w:rPr>
    </w:lvl>
    <w:lvl w:ilvl="5">
      <w:start w:val="0"/>
      <w:numFmt w:val="bullet"/>
      <w:lvlText w:val="•"/>
      <w:lvlJc w:val="left"/>
      <w:pPr>
        <w:ind w:left="5414" w:hanging="1762"/>
      </w:pPr>
      <w:rPr>
        <w:rFonts w:hint="default"/>
      </w:rPr>
    </w:lvl>
    <w:lvl w:ilvl="6">
      <w:start w:val="0"/>
      <w:numFmt w:val="bullet"/>
      <w:lvlText w:val="•"/>
      <w:lvlJc w:val="left"/>
      <w:pPr>
        <w:ind w:left="6272" w:hanging="1762"/>
      </w:pPr>
      <w:rPr>
        <w:rFonts w:hint="default"/>
      </w:rPr>
    </w:lvl>
    <w:lvl w:ilvl="7">
      <w:start w:val="0"/>
      <w:numFmt w:val="bullet"/>
      <w:lvlText w:val="•"/>
      <w:lvlJc w:val="left"/>
      <w:pPr>
        <w:ind w:left="7131" w:hanging="1762"/>
      </w:pPr>
      <w:rPr>
        <w:rFonts w:hint="default"/>
      </w:rPr>
    </w:lvl>
    <w:lvl w:ilvl="8">
      <w:start w:val="0"/>
      <w:numFmt w:val="bullet"/>
      <w:lvlText w:val="•"/>
      <w:lvlJc w:val="left"/>
      <w:pPr>
        <w:ind w:left="7989" w:hanging="1762"/>
      </w:pPr>
      <w:rPr>
        <w:rFonts w:hint="default"/>
      </w:rPr>
    </w:lvl>
  </w:abstractNum>
  <w:abstractNum w:abstractNumId="50">
    <w:multiLevelType w:val="hybridMultilevel"/>
    <w:lvl w:ilvl="0">
      <w:start w:val="11"/>
      <w:numFmt w:val="decimal"/>
      <w:lvlText w:val="%1"/>
      <w:lvlJc w:val="left"/>
      <w:pPr>
        <w:ind w:left="1919" w:hanging="1702"/>
        <w:jc w:val="left"/>
      </w:pPr>
      <w:rPr>
        <w:rFonts w:hint="default"/>
      </w:rPr>
    </w:lvl>
    <w:lvl w:ilvl="1">
      <w:start w:val="93"/>
      <w:numFmt w:val="decimal"/>
      <w:lvlText w:val="%1.%2"/>
      <w:lvlJc w:val="left"/>
      <w:pPr>
        <w:ind w:left="1919" w:hanging="1702"/>
        <w:jc w:val="left"/>
      </w:pPr>
      <w:rPr>
        <w:rFonts w:hint="default" w:ascii="Times New Roman" w:hAnsi="Times New Roman" w:eastAsia="Times New Roman" w:cs="Times New Roman"/>
        <w:b/>
        <w:bCs/>
        <w:spacing w:val="-29"/>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49">
    <w:multiLevelType w:val="hybridMultilevel"/>
    <w:lvl w:ilvl="0">
      <w:start w:val="11"/>
      <w:numFmt w:val="decimal"/>
      <w:lvlText w:val="%1"/>
      <w:lvlJc w:val="left"/>
      <w:pPr>
        <w:ind w:left="1919" w:hanging="1702"/>
        <w:jc w:val="left"/>
      </w:pPr>
      <w:rPr>
        <w:rFonts w:hint="default"/>
      </w:rPr>
    </w:lvl>
    <w:lvl w:ilvl="1">
      <w:start w:val="85"/>
      <w:numFmt w:val="decimal"/>
      <w:lvlText w:val="%1.%2"/>
      <w:lvlJc w:val="left"/>
      <w:pPr>
        <w:ind w:left="1919" w:hanging="1702"/>
        <w:jc w:val="left"/>
      </w:pPr>
      <w:rPr>
        <w:rFonts w:hint="default" w:ascii="Times New Roman" w:hAnsi="Times New Roman" w:eastAsia="Times New Roman" w:cs="Times New Roman"/>
        <w:b/>
        <w:bCs/>
        <w:spacing w:val="-29"/>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48">
    <w:multiLevelType w:val="hybridMultilevel"/>
    <w:lvl w:ilvl="0">
      <w:start w:val="11"/>
      <w:numFmt w:val="decimal"/>
      <w:lvlText w:val="%1"/>
      <w:lvlJc w:val="left"/>
      <w:pPr>
        <w:ind w:left="1919" w:hanging="1702"/>
        <w:jc w:val="left"/>
      </w:pPr>
      <w:rPr>
        <w:rFonts w:hint="default"/>
      </w:rPr>
    </w:lvl>
    <w:lvl w:ilvl="1">
      <w:start w:val="82"/>
      <w:numFmt w:val="decimal"/>
      <w:lvlText w:val="%1.%2"/>
      <w:lvlJc w:val="left"/>
      <w:pPr>
        <w:ind w:left="1919" w:hanging="1702"/>
        <w:jc w:val="left"/>
      </w:pPr>
      <w:rPr>
        <w:rFonts w:hint="default" w:ascii="Times New Roman" w:hAnsi="Times New Roman" w:eastAsia="Times New Roman" w:cs="Times New Roman"/>
        <w:b/>
        <w:bCs/>
        <w:spacing w:val="-30"/>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47">
    <w:multiLevelType w:val="hybridMultilevel"/>
    <w:lvl w:ilvl="0">
      <w:start w:val="10"/>
      <w:numFmt w:val="decimal"/>
      <w:lvlText w:val="%1."/>
      <w:lvlJc w:val="left"/>
      <w:pPr>
        <w:ind w:left="1919" w:hanging="1701"/>
        <w:jc w:val="left"/>
      </w:pPr>
      <w:rPr>
        <w:rFonts w:hint="default" w:ascii="Times New Roman" w:hAnsi="Times New Roman" w:eastAsia="Times New Roman" w:cs="Times New Roman"/>
        <w:b/>
        <w:bCs/>
        <w:w w:val="100"/>
        <w:sz w:val="28"/>
        <w:szCs w:val="28"/>
      </w:rPr>
    </w:lvl>
    <w:lvl w:ilvl="1">
      <w:start w:val="0"/>
      <w:numFmt w:val="bullet"/>
      <w:lvlText w:val="•"/>
      <w:lvlJc w:val="left"/>
      <w:pPr>
        <w:ind w:left="2698" w:hanging="1701"/>
      </w:pPr>
      <w:rPr>
        <w:rFonts w:hint="default"/>
      </w:rPr>
    </w:lvl>
    <w:lvl w:ilvl="2">
      <w:start w:val="0"/>
      <w:numFmt w:val="bullet"/>
      <w:lvlText w:val="•"/>
      <w:lvlJc w:val="left"/>
      <w:pPr>
        <w:ind w:left="3477" w:hanging="1701"/>
      </w:pPr>
      <w:rPr>
        <w:rFonts w:hint="default"/>
      </w:rPr>
    </w:lvl>
    <w:lvl w:ilvl="3">
      <w:start w:val="0"/>
      <w:numFmt w:val="bullet"/>
      <w:lvlText w:val="•"/>
      <w:lvlJc w:val="left"/>
      <w:pPr>
        <w:ind w:left="4256" w:hanging="1701"/>
      </w:pPr>
      <w:rPr>
        <w:rFonts w:hint="default"/>
      </w:rPr>
    </w:lvl>
    <w:lvl w:ilvl="4">
      <w:start w:val="0"/>
      <w:numFmt w:val="bullet"/>
      <w:lvlText w:val="•"/>
      <w:lvlJc w:val="left"/>
      <w:pPr>
        <w:ind w:left="5034" w:hanging="1701"/>
      </w:pPr>
      <w:rPr>
        <w:rFonts w:hint="default"/>
      </w:rPr>
    </w:lvl>
    <w:lvl w:ilvl="5">
      <w:start w:val="0"/>
      <w:numFmt w:val="bullet"/>
      <w:lvlText w:val="•"/>
      <w:lvlJc w:val="left"/>
      <w:pPr>
        <w:ind w:left="5813" w:hanging="1701"/>
      </w:pPr>
      <w:rPr>
        <w:rFonts w:hint="default"/>
      </w:rPr>
    </w:lvl>
    <w:lvl w:ilvl="6">
      <w:start w:val="0"/>
      <w:numFmt w:val="bullet"/>
      <w:lvlText w:val="•"/>
      <w:lvlJc w:val="left"/>
      <w:pPr>
        <w:ind w:left="6592" w:hanging="1701"/>
      </w:pPr>
      <w:rPr>
        <w:rFonts w:hint="default"/>
      </w:rPr>
    </w:lvl>
    <w:lvl w:ilvl="7">
      <w:start w:val="0"/>
      <w:numFmt w:val="bullet"/>
      <w:lvlText w:val="•"/>
      <w:lvlJc w:val="left"/>
      <w:pPr>
        <w:ind w:left="7370" w:hanging="1701"/>
      </w:pPr>
      <w:rPr>
        <w:rFonts w:hint="default"/>
      </w:rPr>
    </w:lvl>
    <w:lvl w:ilvl="8">
      <w:start w:val="0"/>
      <w:numFmt w:val="bullet"/>
      <w:lvlText w:val="•"/>
      <w:lvlJc w:val="left"/>
      <w:pPr>
        <w:ind w:left="8149" w:hanging="1701"/>
      </w:pPr>
      <w:rPr>
        <w:rFonts w:hint="default"/>
      </w:rPr>
    </w:lvl>
  </w:abstractNum>
  <w:abstractNum w:abstractNumId="46">
    <w:multiLevelType w:val="hybridMultilevel"/>
    <w:lvl w:ilvl="0">
      <w:start w:val="1"/>
      <w:numFmt w:val="decimal"/>
      <w:lvlText w:val="%1."/>
      <w:lvlJc w:val="left"/>
      <w:pPr>
        <w:ind w:left="1919" w:hanging="1702"/>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1702"/>
      </w:pPr>
      <w:rPr>
        <w:rFonts w:hint="default"/>
      </w:rPr>
    </w:lvl>
    <w:lvl w:ilvl="2">
      <w:start w:val="0"/>
      <w:numFmt w:val="bullet"/>
      <w:lvlText w:val="•"/>
      <w:lvlJc w:val="left"/>
      <w:pPr>
        <w:ind w:left="3477" w:hanging="1702"/>
      </w:pPr>
      <w:rPr>
        <w:rFonts w:hint="default"/>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45">
    <w:multiLevelType w:val="hybridMultilevel"/>
    <w:lvl w:ilvl="0">
      <w:start w:val="9"/>
      <w:numFmt w:val="decimal"/>
      <w:lvlText w:val="%1"/>
      <w:lvlJc w:val="left"/>
      <w:pPr>
        <w:ind w:left="819" w:hanging="601"/>
        <w:jc w:val="left"/>
      </w:pPr>
      <w:rPr>
        <w:rFonts w:hint="default"/>
      </w:rPr>
    </w:lvl>
    <w:lvl w:ilvl="1">
      <w:start w:val="48"/>
      <w:numFmt w:val="decimal"/>
      <w:lvlText w:val="%1.%2"/>
      <w:lvlJc w:val="left"/>
      <w:pPr>
        <w:ind w:left="819" w:hanging="601"/>
        <w:jc w:val="left"/>
      </w:pPr>
      <w:rPr>
        <w:rFonts w:hint="default"/>
      </w:rPr>
    </w:lvl>
    <w:lvl w:ilvl="2">
      <w:start w:val="4"/>
      <w:numFmt w:val="decimal"/>
      <w:lvlText w:val="%1.%2.%3"/>
      <w:lvlJc w:val="left"/>
      <w:pPr>
        <w:ind w:left="819" w:hanging="60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86" w:hanging="601"/>
      </w:pPr>
      <w:rPr>
        <w:rFonts w:hint="default"/>
      </w:rPr>
    </w:lvl>
    <w:lvl w:ilvl="4">
      <w:start w:val="0"/>
      <w:numFmt w:val="bullet"/>
      <w:lvlText w:val="•"/>
      <w:lvlJc w:val="left"/>
      <w:pPr>
        <w:ind w:left="4374" w:hanging="601"/>
      </w:pPr>
      <w:rPr>
        <w:rFonts w:hint="default"/>
      </w:rPr>
    </w:lvl>
    <w:lvl w:ilvl="5">
      <w:start w:val="0"/>
      <w:numFmt w:val="bullet"/>
      <w:lvlText w:val="•"/>
      <w:lvlJc w:val="left"/>
      <w:pPr>
        <w:ind w:left="5263" w:hanging="601"/>
      </w:pPr>
      <w:rPr>
        <w:rFonts w:hint="default"/>
      </w:rPr>
    </w:lvl>
    <w:lvl w:ilvl="6">
      <w:start w:val="0"/>
      <w:numFmt w:val="bullet"/>
      <w:lvlText w:val="•"/>
      <w:lvlJc w:val="left"/>
      <w:pPr>
        <w:ind w:left="6152" w:hanging="601"/>
      </w:pPr>
      <w:rPr>
        <w:rFonts w:hint="default"/>
      </w:rPr>
    </w:lvl>
    <w:lvl w:ilvl="7">
      <w:start w:val="0"/>
      <w:numFmt w:val="bullet"/>
      <w:lvlText w:val="•"/>
      <w:lvlJc w:val="left"/>
      <w:pPr>
        <w:ind w:left="7040" w:hanging="601"/>
      </w:pPr>
      <w:rPr>
        <w:rFonts w:hint="default"/>
      </w:rPr>
    </w:lvl>
    <w:lvl w:ilvl="8">
      <w:start w:val="0"/>
      <w:numFmt w:val="bullet"/>
      <w:lvlText w:val="•"/>
      <w:lvlJc w:val="left"/>
      <w:pPr>
        <w:ind w:left="7929" w:hanging="601"/>
      </w:pPr>
      <w:rPr>
        <w:rFonts w:hint="default"/>
      </w:rPr>
    </w:lvl>
  </w:abstractNum>
  <w:abstractNum w:abstractNumId="44">
    <w:multiLevelType w:val="hybridMultilevel"/>
    <w:lvl w:ilvl="0">
      <w:start w:val="9"/>
      <w:numFmt w:val="decimal"/>
      <w:lvlText w:val="%1"/>
      <w:lvlJc w:val="left"/>
      <w:pPr>
        <w:ind w:left="1919" w:hanging="1702"/>
        <w:jc w:val="left"/>
      </w:pPr>
      <w:rPr>
        <w:rFonts w:hint="default"/>
      </w:rPr>
    </w:lvl>
    <w:lvl w:ilvl="1">
      <w:start w:val="47"/>
      <w:numFmt w:val="decimal"/>
      <w:lvlText w:val="%1.%2"/>
      <w:lvlJc w:val="left"/>
      <w:pPr>
        <w:ind w:left="1919" w:hanging="1702"/>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43">
    <w:multiLevelType w:val="hybridMultilevel"/>
    <w:lvl w:ilvl="0">
      <w:start w:val="9"/>
      <w:numFmt w:val="decimal"/>
      <w:lvlText w:val="%1"/>
      <w:lvlJc w:val="left"/>
      <w:pPr>
        <w:ind w:left="639" w:hanging="421"/>
        <w:jc w:val="left"/>
      </w:pPr>
      <w:rPr>
        <w:rFonts w:hint="default"/>
      </w:rPr>
    </w:lvl>
    <w:lvl w:ilvl="1">
      <w:start w:val="29"/>
      <w:numFmt w:val="decimal"/>
      <w:lvlText w:val="%1.%2"/>
      <w:lvlJc w:val="left"/>
      <w:pPr>
        <w:ind w:left="639" w:hanging="42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42">
    <w:multiLevelType w:val="hybridMultilevel"/>
    <w:lvl w:ilvl="0">
      <w:start w:val="9"/>
      <w:numFmt w:val="decimal"/>
      <w:lvlText w:val="%1"/>
      <w:lvlJc w:val="left"/>
      <w:pPr>
        <w:ind w:left="639" w:hanging="421"/>
        <w:jc w:val="left"/>
      </w:pPr>
      <w:rPr>
        <w:rFonts w:hint="default"/>
      </w:rPr>
    </w:lvl>
    <w:lvl w:ilvl="1">
      <w:start w:val="24"/>
      <w:numFmt w:val="decimal"/>
      <w:lvlText w:val="%1.%2"/>
      <w:lvlJc w:val="left"/>
      <w:pPr>
        <w:ind w:left="639" w:hanging="42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41">
    <w:multiLevelType w:val="hybridMultilevel"/>
    <w:lvl w:ilvl="0">
      <w:start w:val="9"/>
      <w:numFmt w:val="decimal"/>
      <w:lvlText w:val="%1"/>
      <w:lvlJc w:val="left"/>
      <w:pPr>
        <w:ind w:left="639" w:hanging="421"/>
        <w:jc w:val="left"/>
      </w:pPr>
      <w:rPr>
        <w:rFonts w:hint="default"/>
      </w:rPr>
    </w:lvl>
    <w:lvl w:ilvl="1">
      <w:start w:val="17"/>
      <w:numFmt w:val="decimal"/>
      <w:lvlText w:val="%1.%2"/>
      <w:lvlJc w:val="left"/>
      <w:pPr>
        <w:ind w:left="639" w:hanging="42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40">
    <w:multiLevelType w:val="hybridMultilevel"/>
    <w:lvl w:ilvl="0">
      <w:start w:val="1"/>
      <w:numFmt w:val="decimal"/>
      <w:lvlText w:val="%1."/>
      <w:lvlJc w:val="left"/>
      <w:pPr>
        <w:ind w:left="1919" w:hanging="1702"/>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2698" w:hanging="1702"/>
      </w:pPr>
      <w:rPr>
        <w:rFonts w:hint="default"/>
      </w:rPr>
    </w:lvl>
    <w:lvl w:ilvl="2">
      <w:start w:val="0"/>
      <w:numFmt w:val="bullet"/>
      <w:lvlText w:val="•"/>
      <w:lvlJc w:val="left"/>
      <w:pPr>
        <w:ind w:left="3477" w:hanging="1702"/>
      </w:pPr>
      <w:rPr>
        <w:rFonts w:hint="default"/>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39">
    <w:multiLevelType w:val="hybridMultilevel"/>
    <w:lvl w:ilvl="0">
      <w:start w:val="9"/>
      <w:numFmt w:val="decimal"/>
      <w:lvlText w:val="%1"/>
      <w:lvlJc w:val="left"/>
      <w:pPr>
        <w:ind w:left="519" w:hanging="301"/>
        <w:jc w:val="left"/>
      </w:pPr>
      <w:rPr>
        <w:rFonts w:hint="default"/>
      </w:rPr>
    </w:lvl>
    <w:lvl w:ilvl="1">
      <w:start w:val="9"/>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38">
    <w:multiLevelType w:val="hybridMultilevel"/>
    <w:lvl w:ilvl="0">
      <w:start w:val="9"/>
      <w:numFmt w:val="decimal"/>
      <w:lvlText w:val="%1"/>
      <w:lvlJc w:val="left"/>
      <w:pPr>
        <w:ind w:left="699" w:hanging="481"/>
        <w:jc w:val="left"/>
      </w:pPr>
      <w:rPr>
        <w:rFonts w:hint="default"/>
      </w:rPr>
    </w:lvl>
    <w:lvl w:ilvl="1">
      <w:start w:val="8"/>
      <w:numFmt w:val="decimal"/>
      <w:lvlText w:val="%1.%2"/>
      <w:lvlJc w:val="left"/>
      <w:pPr>
        <w:ind w:left="699" w:hanging="481"/>
        <w:jc w:val="left"/>
      </w:pPr>
      <w:rPr>
        <w:rFonts w:hint="default"/>
      </w:rPr>
    </w:lvl>
    <w:lvl w:ilvl="2">
      <w:start w:val="4"/>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37">
    <w:multiLevelType w:val="hybridMultilevel"/>
    <w:lvl w:ilvl="0">
      <w:start w:val="9"/>
      <w:numFmt w:val="decimal"/>
      <w:lvlText w:val="%1"/>
      <w:lvlJc w:val="left"/>
      <w:pPr>
        <w:ind w:left="519" w:hanging="301"/>
        <w:jc w:val="left"/>
      </w:pPr>
      <w:rPr>
        <w:rFonts w:hint="default"/>
      </w:rPr>
    </w:lvl>
    <w:lvl w:ilvl="1">
      <w:start w:val="3"/>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36">
    <w:multiLevelType w:val="hybridMultilevel"/>
    <w:lvl w:ilvl="0">
      <w:start w:val="8"/>
      <w:numFmt w:val="decimal"/>
      <w:lvlText w:val="%1"/>
      <w:lvlJc w:val="left"/>
      <w:pPr>
        <w:ind w:left="699" w:hanging="481"/>
        <w:jc w:val="left"/>
      </w:pPr>
      <w:rPr>
        <w:rFonts w:hint="default"/>
      </w:rPr>
    </w:lvl>
    <w:lvl w:ilvl="1">
      <w:start w:val="6"/>
      <w:numFmt w:val="decimal"/>
      <w:lvlText w:val="%1.%2"/>
      <w:lvlJc w:val="left"/>
      <w:pPr>
        <w:ind w:left="699" w:hanging="481"/>
        <w:jc w:val="left"/>
      </w:pPr>
      <w:rPr>
        <w:rFonts w:hint="default"/>
      </w:rPr>
    </w:lvl>
    <w:lvl w:ilvl="2">
      <w:start w:val="1"/>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35">
    <w:multiLevelType w:val="hybridMultilevel"/>
    <w:lvl w:ilvl="0">
      <w:start w:val="8"/>
      <w:numFmt w:val="decimal"/>
      <w:lvlText w:val="%1"/>
      <w:lvlJc w:val="left"/>
      <w:pPr>
        <w:ind w:left="1919" w:hanging="1702"/>
        <w:jc w:val="left"/>
      </w:pPr>
      <w:rPr>
        <w:rFonts w:hint="default"/>
      </w:rPr>
    </w:lvl>
    <w:lvl w:ilvl="1">
      <w:start w:val="6"/>
      <w:numFmt w:val="decimal"/>
      <w:lvlText w:val="%1.%2"/>
      <w:lvlJc w:val="left"/>
      <w:pPr>
        <w:ind w:left="1919" w:hanging="1702"/>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34">
    <w:multiLevelType w:val="hybridMultilevel"/>
    <w:lvl w:ilvl="0">
      <w:start w:val="6"/>
      <w:numFmt w:val="decimal"/>
      <w:lvlText w:val="%1"/>
      <w:lvlJc w:val="left"/>
      <w:pPr>
        <w:ind w:left="819" w:hanging="601"/>
        <w:jc w:val="left"/>
      </w:pPr>
      <w:rPr>
        <w:rFonts w:hint="default"/>
      </w:rPr>
    </w:lvl>
    <w:lvl w:ilvl="1">
      <w:start w:val="18"/>
      <w:numFmt w:val="decimal"/>
      <w:lvlText w:val="%1.%2"/>
      <w:lvlJc w:val="left"/>
      <w:pPr>
        <w:ind w:left="819" w:hanging="601"/>
        <w:jc w:val="left"/>
      </w:pPr>
      <w:rPr>
        <w:rFonts w:hint="default"/>
      </w:rPr>
    </w:lvl>
    <w:lvl w:ilvl="2">
      <w:start w:val="7"/>
      <w:numFmt w:val="decimal"/>
      <w:lvlText w:val="%1.%2.%3"/>
      <w:lvlJc w:val="left"/>
      <w:pPr>
        <w:ind w:left="819" w:hanging="60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86" w:hanging="601"/>
      </w:pPr>
      <w:rPr>
        <w:rFonts w:hint="default"/>
      </w:rPr>
    </w:lvl>
    <w:lvl w:ilvl="4">
      <w:start w:val="0"/>
      <w:numFmt w:val="bullet"/>
      <w:lvlText w:val="•"/>
      <w:lvlJc w:val="left"/>
      <w:pPr>
        <w:ind w:left="4374" w:hanging="601"/>
      </w:pPr>
      <w:rPr>
        <w:rFonts w:hint="default"/>
      </w:rPr>
    </w:lvl>
    <w:lvl w:ilvl="5">
      <w:start w:val="0"/>
      <w:numFmt w:val="bullet"/>
      <w:lvlText w:val="•"/>
      <w:lvlJc w:val="left"/>
      <w:pPr>
        <w:ind w:left="5263" w:hanging="601"/>
      </w:pPr>
      <w:rPr>
        <w:rFonts w:hint="default"/>
      </w:rPr>
    </w:lvl>
    <w:lvl w:ilvl="6">
      <w:start w:val="0"/>
      <w:numFmt w:val="bullet"/>
      <w:lvlText w:val="•"/>
      <w:lvlJc w:val="left"/>
      <w:pPr>
        <w:ind w:left="6152" w:hanging="601"/>
      </w:pPr>
      <w:rPr>
        <w:rFonts w:hint="default"/>
      </w:rPr>
    </w:lvl>
    <w:lvl w:ilvl="7">
      <w:start w:val="0"/>
      <w:numFmt w:val="bullet"/>
      <w:lvlText w:val="•"/>
      <w:lvlJc w:val="left"/>
      <w:pPr>
        <w:ind w:left="7040" w:hanging="601"/>
      </w:pPr>
      <w:rPr>
        <w:rFonts w:hint="default"/>
      </w:rPr>
    </w:lvl>
    <w:lvl w:ilvl="8">
      <w:start w:val="0"/>
      <w:numFmt w:val="bullet"/>
      <w:lvlText w:val="•"/>
      <w:lvlJc w:val="left"/>
      <w:pPr>
        <w:ind w:left="7929" w:hanging="601"/>
      </w:pPr>
      <w:rPr>
        <w:rFonts w:hint="default"/>
      </w:rPr>
    </w:lvl>
  </w:abstractNum>
  <w:abstractNum w:abstractNumId="33">
    <w:multiLevelType w:val="hybridMultilevel"/>
    <w:lvl w:ilvl="0">
      <w:start w:val="6"/>
      <w:numFmt w:val="decimal"/>
      <w:lvlText w:val="%1"/>
      <w:lvlJc w:val="left"/>
      <w:pPr>
        <w:ind w:left="819" w:hanging="601"/>
        <w:jc w:val="left"/>
      </w:pPr>
      <w:rPr>
        <w:rFonts w:hint="default"/>
      </w:rPr>
    </w:lvl>
    <w:lvl w:ilvl="1">
      <w:start w:val="18"/>
      <w:numFmt w:val="decimal"/>
      <w:lvlText w:val="%1.%2"/>
      <w:lvlJc w:val="left"/>
      <w:pPr>
        <w:ind w:left="819" w:hanging="601"/>
        <w:jc w:val="left"/>
      </w:pPr>
      <w:rPr>
        <w:rFonts w:hint="default"/>
      </w:rPr>
    </w:lvl>
    <w:lvl w:ilvl="2">
      <w:start w:val="1"/>
      <w:numFmt w:val="decimal"/>
      <w:lvlText w:val="%1.%2.%3"/>
      <w:lvlJc w:val="left"/>
      <w:pPr>
        <w:ind w:left="819" w:hanging="60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86" w:hanging="601"/>
      </w:pPr>
      <w:rPr>
        <w:rFonts w:hint="default"/>
      </w:rPr>
    </w:lvl>
    <w:lvl w:ilvl="4">
      <w:start w:val="0"/>
      <w:numFmt w:val="bullet"/>
      <w:lvlText w:val="•"/>
      <w:lvlJc w:val="left"/>
      <w:pPr>
        <w:ind w:left="4374" w:hanging="601"/>
      </w:pPr>
      <w:rPr>
        <w:rFonts w:hint="default"/>
      </w:rPr>
    </w:lvl>
    <w:lvl w:ilvl="5">
      <w:start w:val="0"/>
      <w:numFmt w:val="bullet"/>
      <w:lvlText w:val="•"/>
      <w:lvlJc w:val="left"/>
      <w:pPr>
        <w:ind w:left="5263" w:hanging="601"/>
      </w:pPr>
      <w:rPr>
        <w:rFonts w:hint="default"/>
      </w:rPr>
    </w:lvl>
    <w:lvl w:ilvl="6">
      <w:start w:val="0"/>
      <w:numFmt w:val="bullet"/>
      <w:lvlText w:val="•"/>
      <w:lvlJc w:val="left"/>
      <w:pPr>
        <w:ind w:left="6152" w:hanging="601"/>
      </w:pPr>
      <w:rPr>
        <w:rFonts w:hint="default"/>
      </w:rPr>
    </w:lvl>
    <w:lvl w:ilvl="7">
      <w:start w:val="0"/>
      <w:numFmt w:val="bullet"/>
      <w:lvlText w:val="•"/>
      <w:lvlJc w:val="left"/>
      <w:pPr>
        <w:ind w:left="7040" w:hanging="601"/>
      </w:pPr>
      <w:rPr>
        <w:rFonts w:hint="default"/>
      </w:rPr>
    </w:lvl>
    <w:lvl w:ilvl="8">
      <w:start w:val="0"/>
      <w:numFmt w:val="bullet"/>
      <w:lvlText w:val="•"/>
      <w:lvlJc w:val="left"/>
      <w:pPr>
        <w:ind w:left="7929" w:hanging="601"/>
      </w:pPr>
      <w:rPr>
        <w:rFonts w:hint="default"/>
      </w:rPr>
    </w:lvl>
  </w:abstractNum>
  <w:abstractNum w:abstractNumId="32">
    <w:multiLevelType w:val="hybridMultilevel"/>
    <w:lvl w:ilvl="0">
      <w:start w:val="6"/>
      <w:numFmt w:val="decimal"/>
      <w:lvlText w:val="%1"/>
      <w:lvlJc w:val="left"/>
      <w:pPr>
        <w:ind w:left="1919" w:hanging="601"/>
        <w:jc w:val="left"/>
      </w:pPr>
      <w:rPr>
        <w:rFonts w:hint="default"/>
      </w:rPr>
    </w:lvl>
    <w:lvl w:ilvl="1">
      <w:start w:val="17"/>
      <w:numFmt w:val="decimal"/>
      <w:lvlText w:val="%1.%2"/>
      <w:lvlJc w:val="left"/>
      <w:pPr>
        <w:ind w:left="1919" w:hanging="601"/>
        <w:jc w:val="left"/>
      </w:pPr>
      <w:rPr>
        <w:rFonts w:hint="default"/>
      </w:rPr>
    </w:lvl>
    <w:lvl w:ilvl="2">
      <w:start w:val="1"/>
      <w:numFmt w:val="decimal"/>
      <w:lvlText w:val="%1.%2.%3"/>
      <w:lvlJc w:val="left"/>
      <w:pPr>
        <w:ind w:left="1919" w:hanging="601"/>
        <w:jc w:val="left"/>
      </w:pPr>
      <w:rPr>
        <w:rFonts w:hint="default" w:ascii="Times New Roman" w:hAnsi="Times New Roman" w:eastAsia="Times New Roman" w:cs="Times New Roman"/>
        <w:spacing w:val="-6"/>
        <w:w w:val="100"/>
        <w:sz w:val="22"/>
        <w:szCs w:val="22"/>
      </w:rPr>
    </w:lvl>
    <w:lvl w:ilvl="3">
      <w:start w:val="0"/>
      <w:numFmt w:val="bullet"/>
      <w:lvlText w:val="•"/>
      <w:lvlJc w:val="left"/>
      <w:pPr>
        <w:ind w:left="4256" w:hanging="601"/>
      </w:pPr>
      <w:rPr>
        <w:rFonts w:hint="default"/>
      </w:rPr>
    </w:lvl>
    <w:lvl w:ilvl="4">
      <w:start w:val="0"/>
      <w:numFmt w:val="bullet"/>
      <w:lvlText w:val="•"/>
      <w:lvlJc w:val="left"/>
      <w:pPr>
        <w:ind w:left="5034" w:hanging="601"/>
      </w:pPr>
      <w:rPr>
        <w:rFonts w:hint="default"/>
      </w:rPr>
    </w:lvl>
    <w:lvl w:ilvl="5">
      <w:start w:val="0"/>
      <w:numFmt w:val="bullet"/>
      <w:lvlText w:val="•"/>
      <w:lvlJc w:val="left"/>
      <w:pPr>
        <w:ind w:left="5813" w:hanging="601"/>
      </w:pPr>
      <w:rPr>
        <w:rFonts w:hint="default"/>
      </w:rPr>
    </w:lvl>
    <w:lvl w:ilvl="6">
      <w:start w:val="0"/>
      <w:numFmt w:val="bullet"/>
      <w:lvlText w:val="•"/>
      <w:lvlJc w:val="left"/>
      <w:pPr>
        <w:ind w:left="6592" w:hanging="601"/>
      </w:pPr>
      <w:rPr>
        <w:rFonts w:hint="default"/>
      </w:rPr>
    </w:lvl>
    <w:lvl w:ilvl="7">
      <w:start w:val="0"/>
      <w:numFmt w:val="bullet"/>
      <w:lvlText w:val="•"/>
      <w:lvlJc w:val="left"/>
      <w:pPr>
        <w:ind w:left="7370" w:hanging="601"/>
      </w:pPr>
      <w:rPr>
        <w:rFonts w:hint="default"/>
      </w:rPr>
    </w:lvl>
    <w:lvl w:ilvl="8">
      <w:start w:val="0"/>
      <w:numFmt w:val="bullet"/>
      <w:lvlText w:val="•"/>
      <w:lvlJc w:val="left"/>
      <w:pPr>
        <w:ind w:left="8149" w:hanging="601"/>
      </w:pPr>
      <w:rPr>
        <w:rFonts w:hint="default"/>
      </w:rPr>
    </w:lvl>
  </w:abstractNum>
  <w:abstractNum w:abstractNumId="31">
    <w:multiLevelType w:val="hybridMultilevel"/>
    <w:lvl w:ilvl="0">
      <w:start w:val="6"/>
      <w:numFmt w:val="decimal"/>
      <w:lvlText w:val="%1"/>
      <w:lvlJc w:val="left"/>
      <w:pPr>
        <w:ind w:left="639" w:hanging="421"/>
        <w:jc w:val="left"/>
      </w:pPr>
      <w:rPr>
        <w:rFonts w:hint="default"/>
      </w:rPr>
    </w:lvl>
    <w:lvl w:ilvl="1">
      <w:start w:val="14"/>
      <w:numFmt w:val="decimal"/>
      <w:lvlText w:val="%1.%2"/>
      <w:lvlJc w:val="left"/>
      <w:pPr>
        <w:ind w:left="639" w:hanging="421"/>
        <w:jc w:val="left"/>
      </w:pPr>
      <w:rPr>
        <w:rFonts w:hint="default"/>
        <w:b/>
        <w:bCs/>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30">
    <w:multiLevelType w:val="hybridMultilevel"/>
    <w:lvl w:ilvl="0">
      <w:start w:val="6"/>
      <w:numFmt w:val="decimal"/>
      <w:lvlText w:val="%1"/>
      <w:lvlJc w:val="left"/>
      <w:pPr>
        <w:ind w:left="819" w:hanging="601"/>
        <w:jc w:val="left"/>
      </w:pPr>
      <w:rPr>
        <w:rFonts w:hint="default"/>
      </w:rPr>
    </w:lvl>
    <w:lvl w:ilvl="1">
      <w:start w:val="11"/>
      <w:numFmt w:val="decimal"/>
      <w:lvlText w:val="%1.%2"/>
      <w:lvlJc w:val="left"/>
      <w:pPr>
        <w:ind w:left="819" w:hanging="601"/>
        <w:jc w:val="left"/>
      </w:pPr>
      <w:rPr>
        <w:rFonts w:hint="default"/>
      </w:rPr>
    </w:lvl>
    <w:lvl w:ilvl="2">
      <w:start w:val="1"/>
      <w:numFmt w:val="decimal"/>
      <w:lvlText w:val="%1.%2.%3"/>
      <w:lvlJc w:val="left"/>
      <w:pPr>
        <w:ind w:left="819" w:hanging="60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86" w:hanging="601"/>
      </w:pPr>
      <w:rPr>
        <w:rFonts w:hint="default"/>
      </w:rPr>
    </w:lvl>
    <w:lvl w:ilvl="4">
      <w:start w:val="0"/>
      <w:numFmt w:val="bullet"/>
      <w:lvlText w:val="•"/>
      <w:lvlJc w:val="left"/>
      <w:pPr>
        <w:ind w:left="4374" w:hanging="601"/>
      </w:pPr>
      <w:rPr>
        <w:rFonts w:hint="default"/>
      </w:rPr>
    </w:lvl>
    <w:lvl w:ilvl="5">
      <w:start w:val="0"/>
      <w:numFmt w:val="bullet"/>
      <w:lvlText w:val="•"/>
      <w:lvlJc w:val="left"/>
      <w:pPr>
        <w:ind w:left="5263" w:hanging="601"/>
      </w:pPr>
      <w:rPr>
        <w:rFonts w:hint="default"/>
      </w:rPr>
    </w:lvl>
    <w:lvl w:ilvl="6">
      <w:start w:val="0"/>
      <w:numFmt w:val="bullet"/>
      <w:lvlText w:val="•"/>
      <w:lvlJc w:val="left"/>
      <w:pPr>
        <w:ind w:left="6152" w:hanging="601"/>
      </w:pPr>
      <w:rPr>
        <w:rFonts w:hint="default"/>
      </w:rPr>
    </w:lvl>
    <w:lvl w:ilvl="7">
      <w:start w:val="0"/>
      <w:numFmt w:val="bullet"/>
      <w:lvlText w:val="•"/>
      <w:lvlJc w:val="left"/>
      <w:pPr>
        <w:ind w:left="7040" w:hanging="601"/>
      </w:pPr>
      <w:rPr>
        <w:rFonts w:hint="default"/>
      </w:rPr>
    </w:lvl>
    <w:lvl w:ilvl="8">
      <w:start w:val="0"/>
      <w:numFmt w:val="bullet"/>
      <w:lvlText w:val="•"/>
      <w:lvlJc w:val="left"/>
      <w:pPr>
        <w:ind w:left="7929" w:hanging="601"/>
      </w:pPr>
      <w:rPr>
        <w:rFonts w:hint="default"/>
      </w:rPr>
    </w:lvl>
  </w:abstractNum>
  <w:abstractNum w:abstractNumId="29">
    <w:multiLevelType w:val="hybridMultilevel"/>
    <w:lvl w:ilvl="0">
      <w:start w:val="6"/>
      <w:numFmt w:val="decimal"/>
      <w:lvlText w:val="%1"/>
      <w:lvlJc w:val="left"/>
      <w:pPr>
        <w:ind w:left="699" w:hanging="481"/>
        <w:jc w:val="left"/>
      </w:pPr>
      <w:rPr>
        <w:rFonts w:hint="default"/>
      </w:rPr>
    </w:lvl>
    <w:lvl w:ilvl="1">
      <w:start w:val="9"/>
      <w:numFmt w:val="decimal"/>
      <w:lvlText w:val="%1.%2"/>
      <w:lvlJc w:val="left"/>
      <w:pPr>
        <w:ind w:left="699" w:hanging="481"/>
        <w:jc w:val="left"/>
      </w:pPr>
      <w:rPr>
        <w:rFonts w:hint="default"/>
      </w:rPr>
    </w:lvl>
    <w:lvl w:ilvl="2">
      <w:start w:val="2"/>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8">
    <w:multiLevelType w:val="hybridMultilevel"/>
    <w:lvl w:ilvl="0">
      <w:start w:val="6"/>
      <w:numFmt w:val="decimal"/>
      <w:lvlText w:val="%1"/>
      <w:lvlJc w:val="left"/>
      <w:pPr>
        <w:ind w:left="699" w:hanging="481"/>
        <w:jc w:val="left"/>
      </w:pPr>
      <w:rPr>
        <w:rFonts w:hint="default"/>
      </w:rPr>
    </w:lvl>
    <w:lvl w:ilvl="1">
      <w:start w:val="8"/>
      <w:numFmt w:val="decimal"/>
      <w:lvlText w:val="%1.%2"/>
      <w:lvlJc w:val="left"/>
      <w:pPr>
        <w:ind w:left="699" w:hanging="481"/>
        <w:jc w:val="left"/>
      </w:pPr>
      <w:rPr>
        <w:rFonts w:hint="default"/>
      </w:rPr>
    </w:lvl>
    <w:lvl w:ilvl="2">
      <w:start w:val="1"/>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7">
    <w:multiLevelType w:val="hybridMultilevel"/>
    <w:lvl w:ilvl="0">
      <w:start w:val="6"/>
      <w:numFmt w:val="decimal"/>
      <w:lvlText w:val="%1"/>
      <w:lvlJc w:val="left"/>
      <w:pPr>
        <w:ind w:left="519" w:hanging="301"/>
        <w:jc w:val="left"/>
      </w:pPr>
      <w:rPr>
        <w:rFonts w:hint="default"/>
      </w:rPr>
    </w:lvl>
    <w:lvl w:ilvl="1">
      <w:start w:val="7"/>
      <w:numFmt w:val="decimal"/>
      <w:lvlText w:val="%1.%2"/>
      <w:lvlJc w:val="left"/>
      <w:pPr>
        <w:ind w:left="519" w:hanging="30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26">
    <w:multiLevelType w:val="hybridMultilevel"/>
    <w:lvl w:ilvl="0">
      <w:start w:val="6"/>
      <w:numFmt w:val="decimal"/>
      <w:lvlText w:val="%1"/>
      <w:lvlJc w:val="left"/>
      <w:pPr>
        <w:ind w:left="519" w:hanging="301"/>
        <w:jc w:val="left"/>
      </w:pPr>
      <w:rPr>
        <w:rFonts w:hint="default"/>
      </w:rPr>
    </w:lvl>
    <w:lvl w:ilvl="1">
      <w:start w:val="6"/>
      <w:numFmt w:val="decimal"/>
      <w:lvlText w:val="%1.%2"/>
      <w:lvlJc w:val="left"/>
      <w:pPr>
        <w:ind w:left="519" w:hanging="30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25">
    <w:multiLevelType w:val="hybridMultilevel"/>
    <w:lvl w:ilvl="0">
      <w:start w:val="6"/>
      <w:numFmt w:val="decimal"/>
      <w:lvlText w:val="%1"/>
      <w:lvlJc w:val="left"/>
      <w:pPr>
        <w:ind w:left="699" w:hanging="481"/>
        <w:jc w:val="left"/>
      </w:pPr>
      <w:rPr>
        <w:rFonts w:hint="default"/>
      </w:rPr>
    </w:lvl>
    <w:lvl w:ilvl="1">
      <w:start w:val="6"/>
      <w:numFmt w:val="decimal"/>
      <w:lvlText w:val="%1.%2"/>
      <w:lvlJc w:val="left"/>
      <w:pPr>
        <w:ind w:left="699" w:hanging="481"/>
        <w:jc w:val="left"/>
      </w:pPr>
      <w:rPr>
        <w:rFonts w:hint="default"/>
      </w:rPr>
    </w:lvl>
    <w:lvl w:ilvl="2">
      <w:start w:val="3"/>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4">
    <w:multiLevelType w:val="hybridMultilevel"/>
    <w:lvl w:ilvl="0">
      <w:start w:val="6"/>
      <w:numFmt w:val="decimal"/>
      <w:lvlText w:val="%1"/>
      <w:lvlJc w:val="left"/>
      <w:pPr>
        <w:ind w:left="699" w:hanging="481"/>
        <w:jc w:val="left"/>
      </w:pPr>
      <w:rPr>
        <w:rFonts w:hint="default"/>
      </w:rPr>
    </w:lvl>
    <w:lvl w:ilvl="1">
      <w:start w:val="6"/>
      <w:numFmt w:val="decimal"/>
      <w:lvlText w:val="%1.%2"/>
      <w:lvlJc w:val="left"/>
      <w:pPr>
        <w:ind w:left="699" w:hanging="481"/>
        <w:jc w:val="left"/>
      </w:pPr>
      <w:rPr>
        <w:rFonts w:hint="default"/>
      </w:rPr>
    </w:lvl>
    <w:lvl w:ilvl="2">
      <w:start w:val="1"/>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3">
    <w:multiLevelType w:val="hybridMultilevel"/>
    <w:lvl w:ilvl="0">
      <w:start w:val="6"/>
      <w:numFmt w:val="decimal"/>
      <w:lvlText w:val="%1"/>
      <w:lvlJc w:val="left"/>
      <w:pPr>
        <w:ind w:left="699" w:hanging="481"/>
        <w:jc w:val="left"/>
      </w:pPr>
      <w:rPr>
        <w:rFonts w:hint="default"/>
      </w:rPr>
    </w:lvl>
    <w:lvl w:ilvl="1">
      <w:start w:val="5"/>
      <w:numFmt w:val="decimal"/>
      <w:lvlText w:val="%1.%2"/>
      <w:lvlJc w:val="left"/>
      <w:pPr>
        <w:ind w:left="699" w:hanging="481"/>
        <w:jc w:val="left"/>
      </w:pPr>
      <w:rPr>
        <w:rFonts w:hint="default"/>
      </w:rPr>
    </w:lvl>
    <w:lvl w:ilvl="2">
      <w:start w:val="8"/>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2">
    <w:multiLevelType w:val="hybridMultilevel"/>
    <w:lvl w:ilvl="0">
      <w:start w:val="6"/>
      <w:numFmt w:val="decimal"/>
      <w:lvlText w:val="%1"/>
      <w:lvlJc w:val="left"/>
      <w:pPr>
        <w:ind w:left="519" w:hanging="301"/>
        <w:jc w:val="left"/>
      </w:pPr>
      <w:rPr>
        <w:rFonts w:hint="default"/>
      </w:rPr>
    </w:lvl>
    <w:lvl w:ilvl="1">
      <w:start w:val="4"/>
      <w:numFmt w:val="decimal"/>
      <w:lvlText w:val="%1.%2"/>
      <w:lvlJc w:val="left"/>
      <w:pPr>
        <w:ind w:left="519" w:hanging="30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21">
    <w:multiLevelType w:val="hybridMultilevel"/>
    <w:lvl w:ilvl="0">
      <w:start w:val="6"/>
      <w:numFmt w:val="decimal"/>
      <w:lvlText w:val="%1"/>
      <w:lvlJc w:val="left"/>
      <w:pPr>
        <w:ind w:left="699" w:hanging="481"/>
        <w:jc w:val="left"/>
      </w:pPr>
      <w:rPr>
        <w:rFonts w:hint="default"/>
      </w:rPr>
    </w:lvl>
    <w:lvl w:ilvl="1">
      <w:start w:val="2"/>
      <w:numFmt w:val="decimal"/>
      <w:lvlText w:val="%1.%2"/>
      <w:lvlJc w:val="left"/>
      <w:pPr>
        <w:ind w:left="699" w:hanging="481"/>
        <w:jc w:val="left"/>
      </w:pPr>
      <w:rPr>
        <w:rFonts w:hint="default"/>
      </w:rPr>
    </w:lvl>
    <w:lvl w:ilvl="2">
      <w:start w:val="3"/>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20">
    <w:multiLevelType w:val="hybridMultilevel"/>
    <w:lvl w:ilvl="0">
      <w:start w:val="6"/>
      <w:numFmt w:val="decimal"/>
      <w:lvlText w:val="%1"/>
      <w:lvlJc w:val="left"/>
      <w:pPr>
        <w:ind w:left="699" w:hanging="481"/>
        <w:jc w:val="left"/>
      </w:pPr>
      <w:rPr>
        <w:rFonts w:hint="default"/>
      </w:rPr>
    </w:lvl>
    <w:lvl w:ilvl="1">
      <w:start w:val="1"/>
      <w:numFmt w:val="decimal"/>
      <w:lvlText w:val="%1.%2"/>
      <w:lvlJc w:val="left"/>
      <w:pPr>
        <w:ind w:left="699" w:hanging="481"/>
        <w:jc w:val="left"/>
      </w:pPr>
      <w:rPr>
        <w:rFonts w:hint="default"/>
      </w:rPr>
    </w:lvl>
    <w:lvl w:ilvl="2">
      <w:start w:val="1"/>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19">
    <w:multiLevelType w:val="hybridMultilevel"/>
    <w:lvl w:ilvl="0">
      <w:start w:val="6"/>
      <w:numFmt w:val="decimal"/>
      <w:lvlText w:val="%1"/>
      <w:lvlJc w:val="left"/>
      <w:pPr>
        <w:ind w:left="519" w:hanging="301"/>
        <w:jc w:val="left"/>
      </w:pPr>
      <w:rPr>
        <w:rFonts w:hint="default"/>
      </w:rPr>
    </w:lvl>
    <w:lvl w:ilvl="1">
      <w:start w:val="0"/>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8">
    <w:multiLevelType w:val="hybridMultilevel"/>
    <w:lvl w:ilvl="0">
      <w:start w:val="5"/>
      <w:numFmt w:val="decimal"/>
      <w:lvlText w:val="%1"/>
      <w:lvlJc w:val="left"/>
      <w:pPr>
        <w:ind w:left="639" w:hanging="421"/>
        <w:jc w:val="left"/>
      </w:pPr>
      <w:rPr>
        <w:rFonts w:hint="default"/>
      </w:rPr>
    </w:lvl>
    <w:lvl w:ilvl="1">
      <w:start w:val="20"/>
      <w:numFmt w:val="decimal"/>
      <w:lvlText w:val="%1.%2"/>
      <w:lvlJc w:val="left"/>
      <w:pPr>
        <w:ind w:left="639" w:hanging="421"/>
        <w:jc w:val="left"/>
      </w:pPr>
      <w:rPr>
        <w:rFonts w:hint="default"/>
        <w:spacing w:val="-1"/>
        <w:w w:val="100"/>
      </w:rPr>
    </w:lvl>
    <w:lvl w:ilvl="2">
      <w:start w:val="0"/>
      <w:numFmt w:val="bullet"/>
      <w:lvlText w:val="•"/>
      <w:lvlJc w:val="left"/>
      <w:pPr>
        <w:ind w:left="2453" w:hanging="421"/>
      </w:pPr>
      <w:rPr>
        <w:rFonts w:hint="default"/>
      </w:rPr>
    </w:lvl>
    <w:lvl w:ilvl="3">
      <w:start w:val="0"/>
      <w:numFmt w:val="bullet"/>
      <w:lvlText w:val="•"/>
      <w:lvlJc w:val="left"/>
      <w:pPr>
        <w:ind w:left="3360" w:hanging="421"/>
      </w:pPr>
      <w:rPr>
        <w:rFonts w:hint="default"/>
      </w:rPr>
    </w:lvl>
    <w:lvl w:ilvl="4">
      <w:start w:val="0"/>
      <w:numFmt w:val="bullet"/>
      <w:lvlText w:val="•"/>
      <w:lvlJc w:val="left"/>
      <w:pPr>
        <w:ind w:left="4266" w:hanging="421"/>
      </w:pPr>
      <w:rPr>
        <w:rFonts w:hint="default"/>
      </w:rPr>
    </w:lvl>
    <w:lvl w:ilvl="5">
      <w:start w:val="0"/>
      <w:numFmt w:val="bullet"/>
      <w:lvlText w:val="•"/>
      <w:lvlJc w:val="left"/>
      <w:pPr>
        <w:ind w:left="5173" w:hanging="421"/>
      </w:pPr>
      <w:rPr>
        <w:rFonts w:hint="default"/>
      </w:rPr>
    </w:lvl>
    <w:lvl w:ilvl="6">
      <w:start w:val="0"/>
      <w:numFmt w:val="bullet"/>
      <w:lvlText w:val="•"/>
      <w:lvlJc w:val="left"/>
      <w:pPr>
        <w:ind w:left="6080" w:hanging="421"/>
      </w:pPr>
      <w:rPr>
        <w:rFonts w:hint="default"/>
      </w:rPr>
    </w:lvl>
    <w:lvl w:ilvl="7">
      <w:start w:val="0"/>
      <w:numFmt w:val="bullet"/>
      <w:lvlText w:val="•"/>
      <w:lvlJc w:val="left"/>
      <w:pPr>
        <w:ind w:left="6986" w:hanging="421"/>
      </w:pPr>
      <w:rPr>
        <w:rFonts w:hint="default"/>
      </w:rPr>
    </w:lvl>
    <w:lvl w:ilvl="8">
      <w:start w:val="0"/>
      <w:numFmt w:val="bullet"/>
      <w:lvlText w:val="•"/>
      <w:lvlJc w:val="left"/>
      <w:pPr>
        <w:ind w:left="7893" w:hanging="421"/>
      </w:pPr>
      <w:rPr>
        <w:rFonts w:hint="default"/>
      </w:rPr>
    </w:lvl>
  </w:abstractNum>
  <w:abstractNum w:abstractNumId="17">
    <w:multiLevelType w:val="hybridMultilevel"/>
    <w:lvl w:ilvl="0">
      <w:start w:val="5"/>
      <w:numFmt w:val="decimal"/>
      <w:lvlText w:val="%1"/>
      <w:lvlJc w:val="left"/>
      <w:pPr>
        <w:ind w:left="639" w:hanging="421"/>
        <w:jc w:val="left"/>
      </w:pPr>
      <w:rPr>
        <w:rFonts w:hint="default"/>
      </w:rPr>
    </w:lvl>
    <w:lvl w:ilvl="1">
      <w:start w:val="18"/>
      <w:numFmt w:val="decimal"/>
      <w:lvlText w:val="%1.%2"/>
      <w:lvlJc w:val="left"/>
      <w:pPr>
        <w:ind w:left="639" w:hanging="42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6">
    <w:multiLevelType w:val="hybridMultilevel"/>
    <w:lvl w:ilvl="0">
      <w:start w:val="5"/>
      <w:numFmt w:val="decimal"/>
      <w:lvlText w:val="%1"/>
      <w:lvlJc w:val="left"/>
      <w:pPr>
        <w:ind w:left="639" w:hanging="421"/>
        <w:jc w:val="left"/>
      </w:pPr>
      <w:rPr>
        <w:rFonts w:hint="default"/>
      </w:rPr>
    </w:lvl>
    <w:lvl w:ilvl="1">
      <w:start w:val="14"/>
      <w:numFmt w:val="decimal"/>
      <w:lvlText w:val="%1.%2"/>
      <w:lvlJc w:val="left"/>
      <w:pPr>
        <w:ind w:left="639" w:hanging="42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5">
    <w:multiLevelType w:val="hybridMultilevel"/>
    <w:lvl w:ilvl="0">
      <w:start w:val="5"/>
      <w:numFmt w:val="decimal"/>
      <w:lvlText w:val="%1"/>
      <w:lvlJc w:val="left"/>
      <w:pPr>
        <w:ind w:left="639" w:hanging="421"/>
        <w:jc w:val="left"/>
      </w:pPr>
      <w:rPr>
        <w:rFonts w:hint="default"/>
      </w:rPr>
    </w:lvl>
    <w:lvl w:ilvl="1">
      <w:start w:val="13"/>
      <w:numFmt w:val="decimal"/>
      <w:lvlText w:val="%1.%2"/>
      <w:lvlJc w:val="left"/>
      <w:pPr>
        <w:ind w:left="639" w:hanging="42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6"/>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4">
    <w:multiLevelType w:val="hybridMultilevel"/>
    <w:lvl w:ilvl="0">
      <w:start w:val="5"/>
      <w:numFmt w:val="decimal"/>
      <w:lvlText w:val="%1"/>
      <w:lvlJc w:val="left"/>
      <w:pPr>
        <w:ind w:left="699" w:hanging="481"/>
        <w:jc w:val="left"/>
      </w:pPr>
      <w:rPr>
        <w:rFonts w:hint="default"/>
      </w:rPr>
    </w:lvl>
    <w:lvl w:ilvl="1">
      <w:start w:val="9"/>
      <w:numFmt w:val="decimal"/>
      <w:lvlText w:val="%1.%2"/>
      <w:lvlJc w:val="left"/>
      <w:pPr>
        <w:ind w:left="699" w:hanging="481"/>
        <w:jc w:val="left"/>
      </w:pPr>
      <w:rPr>
        <w:rFonts w:hint="default"/>
      </w:rPr>
    </w:lvl>
    <w:lvl w:ilvl="2">
      <w:start w:val="4"/>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13">
    <w:multiLevelType w:val="hybridMultilevel"/>
    <w:lvl w:ilvl="0">
      <w:start w:val="5"/>
      <w:numFmt w:val="decimal"/>
      <w:lvlText w:val="%1"/>
      <w:lvlJc w:val="left"/>
      <w:pPr>
        <w:ind w:left="1919" w:hanging="481"/>
        <w:jc w:val="left"/>
      </w:pPr>
      <w:rPr>
        <w:rFonts w:hint="default"/>
      </w:rPr>
    </w:lvl>
    <w:lvl w:ilvl="1">
      <w:start w:val="7"/>
      <w:numFmt w:val="decimal"/>
      <w:lvlText w:val="%1.%2"/>
      <w:lvlJc w:val="left"/>
      <w:pPr>
        <w:ind w:left="1919" w:hanging="481"/>
        <w:jc w:val="left"/>
      </w:pPr>
      <w:rPr>
        <w:rFonts w:hint="default"/>
      </w:rPr>
    </w:lvl>
    <w:lvl w:ilvl="2">
      <w:start w:val="3"/>
      <w:numFmt w:val="decimal"/>
      <w:lvlText w:val="%1.%2.%3"/>
      <w:lvlJc w:val="left"/>
      <w:pPr>
        <w:ind w:left="1919" w:hanging="481"/>
        <w:jc w:val="left"/>
      </w:pPr>
      <w:rPr>
        <w:rFonts w:hint="default" w:ascii="Times New Roman" w:hAnsi="Times New Roman" w:eastAsia="Times New Roman" w:cs="Times New Roman"/>
        <w:spacing w:val="-6"/>
        <w:w w:val="100"/>
        <w:sz w:val="22"/>
        <w:szCs w:val="22"/>
      </w:rPr>
    </w:lvl>
    <w:lvl w:ilvl="3">
      <w:start w:val="0"/>
      <w:numFmt w:val="bullet"/>
      <w:lvlText w:val="•"/>
      <w:lvlJc w:val="left"/>
      <w:pPr>
        <w:ind w:left="4256" w:hanging="481"/>
      </w:pPr>
      <w:rPr>
        <w:rFonts w:hint="default"/>
      </w:rPr>
    </w:lvl>
    <w:lvl w:ilvl="4">
      <w:start w:val="0"/>
      <w:numFmt w:val="bullet"/>
      <w:lvlText w:val="•"/>
      <w:lvlJc w:val="left"/>
      <w:pPr>
        <w:ind w:left="5034" w:hanging="481"/>
      </w:pPr>
      <w:rPr>
        <w:rFonts w:hint="default"/>
      </w:rPr>
    </w:lvl>
    <w:lvl w:ilvl="5">
      <w:start w:val="0"/>
      <w:numFmt w:val="bullet"/>
      <w:lvlText w:val="•"/>
      <w:lvlJc w:val="left"/>
      <w:pPr>
        <w:ind w:left="5813" w:hanging="481"/>
      </w:pPr>
      <w:rPr>
        <w:rFonts w:hint="default"/>
      </w:rPr>
    </w:lvl>
    <w:lvl w:ilvl="6">
      <w:start w:val="0"/>
      <w:numFmt w:val="bullet"/>
      <w:lvlText w:val="•"/>
      <w:lvlJc w:val="left"/>
      <w:pPr>
        <w:ind w:left="6592" w:hanging="481"/>
      </w:pPr>
      <w:rPr>
        <w:rFonts w:hint="default"/>
      </w:rPr>
    </w:lvl>
    <w:lvl w:ilvl="7">
      <w:start w:val="0"/>
      <w:numFmt w:val="bullet"/>
      <w:lvlText w:val="•"/>
      <w:lvlJc w:val="left"/>
      <w:pPr>
        <w:ind w:left="7370" w:hanging="481"/>
      </w:pPr>
      <w:rPr>
        <w:rFonts w:hint="default"/>
      </w:rPr>
    </w:lvl>
    <w:lvl w:ilvl="8">
      <w:start w:val="0"/>
      <w:numFmt w:val="bullet"/>
      <w:lvlText w:val="•"/>
      <w:lvlJc w:val="left"/>
      <w:pPr>
        <w:ind w:left="8149" w:hanging="481"/>
      </w:pPr>
      <w:rPr>
        <w:rFonts w:hint="default"/>
      </w:rPr>
    </w:lvl>
  </w:abstractNum>
  <w:abstractNum w:abstractNumId="12">
    <w:multiLevelType w:val="hybridMultilevel"/>
    <w:lvl w:ilvl="0">
      <w:start w:val="5"/>
      <w:numFmt w:val="decimal"/>
      <w:lvlText w:val="%1"/>
      <w:lvlJc w:val="left"/>
      <w:pPr>
        <w:ind w:left="519" w:hanging="301"/>
        <w:jc w:val="left"/>
      </w:pPr>
      <w:rPr>
        <w:rFonts w:hint="default"/>
      </w:rPr>
    </w:lvl>
    <w:lvl w:ilvl="1">
      <w:start w:val="6"/>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1">
    <w:multiLevelType w:val="hybridMultilevel"/>
    <w:lvl w:ilvl="0">
      <w:start w:val="5"/>
      <w:numFmt w:val="decimal"/>
      <w:lvlText w:val="%1"/>
      <w:lvlJc w:val="left"/>
      <w:pPr>
        <w:ind w:left="519" w:hanging="301"/>
        <w:jc w:val="left"/>
      </w:pPr>
      <w:rPr>
        <w:rFonts w:hint="default"/>
      </w:rPr>
    </w:lvl>
    <w:lvl w:ilvl="1">
      <w:start w:val="5"/>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10">
    <w:multiLevelType w:val="hybridMultilevel"/>
    <w:lvl w:ilvl="0">
      <w:start w:val="5"/>
      <w:numFmt w:val="decimal"/>
      <w:lvlText w:val="%1"/>
      <w:lvlJc w:val="left"/>
      <w:pPr>
        <w:ind w:left="519" w:hanging="301"/>
        <w:jc w:val="left"/>
      </w:pPr>
      <w:rPr>
        <w:rFonts w:hint="default"/>
      </w:rPr>
    </w:lvl>
    <w:lvl w:ilvl="1">
      <w:start w:val="4"/>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9">
    <w:multiLevelType w:val="hybridMultilevel"/>
    <w:lvl w:ilvl="0">
      <w:start w:val="5"/>
      <w:numFmt w:val="decimal"/>
      <w:lvlText w:val="%1"/>
      <w:lvlJc w:val="left"/>
      <w:pPr>
        <w:ind w:left="519" w:hanging="301"/>
        <w:jc w:val="left"/>
      </w:pPr>
      <w:rPr>
        <w:rFonts w:hint="default"/>
      </w:rPr>
    </w:lvl>
    <w:lvl w:ilvl="1">
      <w:start w:val="3"/>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8">
    <w:multiLevelType w:val="hybridMultilevel"/>
    <w:lvl w:ilvl="0">
      <w:start w:val="5"/>
      <w:numFmt w:val="decimal"/>
      <w:lvlText w:val="%1"/>
      <w:lvlJc w:val="left"/>
      <w:pPr>
        <w:ind w:left="699" w:hanging="481"/>
        <w:jc w:val="left"/>
      </w:pPr>
      <w:rPr>
        <w:rFonts w:hint="default"/>
      </w:rPr>
    </w:lvl>
    <w:lvl w:ilvl="1">
      <w:start w:val="3"/>
      <w:numFmt w:val="decimal"/>
      <w:lvlText w:val="%1.%2"/>
      <w:lvlJc w:val="left"/>
      <w:pPr>
        <w:ind w:left="699" w:hanging="481"/>
        <w:jc w:val="left"/>
      </w:pPr>
      <w:rPr>
        <w:rFonts w:hint="default"/>
      </w:rPr>
    </w:lvl>
    <w:lvl w:ilvl="2">
      <w:start w:val="4"/>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7">
    <w:multiLevelType w:val="hybridMultilevel"/>
    <w:lvl w:ilvl="0">
      <w:start w:val="5"/>
      <w:numFmt w:val="decimal"/>
      <w:lvlText w:val="%1"/>
      <w:lvlJc w:val="left"/>
      <w:pPr>
        <w:ind w:left="699" w:hanging="481"/>
        <w:jc w:val="left"/>
      </w:pPr>
      <w:rPr>
        <w:rFonts w:hint="default"/>
      </w:rPr>
    </w:lvl>
    <w:lvl w:ilvl="1">
      <w:start w:val="3"/>
      <w:numFmt w:val="decimal"/>
      <w:lvlText w:val="%1.%2"/>
      <w:lvlJc w:val="left"/>
      <w:pPr>
        <w:ind w:left="699" w:hanging="481"/>
        <w:jc w:val="left"/>
      </w:pPr>
      <w:rPr>
        <w:rFonts w:hint="default"/>
      </w:rPr>
    </w:lvl>
    <w:lvl w:ilvl="2">
      <w:start w:val="1"/>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6">
    <w:multiLevelType w:val="hybridMultilevel"/>
    <w:lvl w:ilvl="0">
      <w:start w:val="5"/>
      <w:numFmt w:val="decimal"/>
      <w:lvlText w:val="%1"/>
      <w:lvlJc w:val="left"/>
      <w:pPr>
        <w:ind w:left="519" w:hanging="301"/>
        <w:jc w:val="left"/>
      </w:pPr>
      <w:rPr>
        <w:rFonts w:hint="default"/>
      </w:rPr>
    </w:lvl>
    <w:lvl w:ilvl="1">
      <w:start w:val="2"/>
      <w:numFmt w:val="decimal"/>
      <w:lvlText w:val="%1.%2"/>
      <w:lvlJc w:val="left"/>
      <w:pPr>
        <w:ind w:left="519" w:hanging="30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5">
    <w:multiLevelType w:val="hybridMultilevel"/>
    <w:lvl w:ilvl="0">
      <w:start w:val="5"/>
      <w:numFmt w:val="decimal"/>
      <w:lvlText w:val="%1"/>
      <w:lvlJc w:val="left"/>
      <w:pPr>
        <w:ind w:left="699" w:hanging="481"/>
        <w:jc w:val="left"/>
      </w:pPr>
      <w:rPr>
        <w:rFonts w:hint="default"/>
      </w:rPr>
    </w:lvl>
    <w:lvl w:ilvl="1">
      <w:start w:val="2"/>
      <w:numFmt w:val="decimal"/>
      <w:lvlText w:val="%1.%2"/>
      <w:lvlJc w:val="left"/>
      <w:pPr>
        <w:ind w:left="699" w:hanging="481"/>
        <w:jc w:val="left"/>
      </w:pPr>
      <w:rPr>
        <w:rFonts w:hint="default"/>
      </w:rPr>
    </w:lvl>
    <w:lvl w:ilvl="2">
      <w:start w:val="6"/>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4">
    <w:multiLevelType w:val="hybridMultilevel"/>
    <w:lvl w:ilvl="0">
      <w:start w:val="5"/>
      <w:numFmt w:val="decimal"/>
      <w:lvlText w:val="%1"/>
      <w:lvlJc w:val="left"/>
      <w:pPr>
        <w:ind w:left="699" w:hanging="481"/>
        <w:jc w:val="left"/>
      </w:pPr>
      <w:rPr>
        <w:rFonts w:hint="default"/>
      </w:rPr>
    </w:lvl>
    <w:lvl w:ilvl="1">
      <w:start w:val="2"/>
      <w:numFmt w:val="decimal"/>
      <w:lvlText w:val="%1.%2"/>
      <w:lvlJc w:val="left"/>
      <w:pPr>
        <w:ind w:left="699" w:hanging="481"/>
        <w:jc w:val="left"/>
      </w:pPr>
      <w:rPr>
        <w:rFonts w:hint="default"/>
      </w:rPr>
    </w:lvl>
    <w:lvl w:ilvl="2">
      <w:start w:val="3"/>
      <w:numFmt w:val="decimal"/>
      <w:lvlText w:val="%1.%2.%3"/>
      <w:lvlJc w:val="left"/>
      <w:pPr>
        <w:ind w:left="699" w:hanging="481"/>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3402" w:hanging="481"/>
      </w:pPr>
      <w:rPr>
        <w:rFonts w:hint="default"/>
      </w:rPr>
    </w:lvl>
    <w:lvl w:ilvl="4">
      <w:start w:val="0"/>
      <w:numFmt w:val="bullet"/>
      <w:lvlText w:val="•"/>
      <w:lvlJc w:val="left"/>
      <w:pPr>
        <w:ind w:left="4302" w:hanging="481"/>
      </w:pPr>
      <w:rPr>
        <w:rFonts w:hint="default"/>
      </w:rPr>
    </w:lvl>
    <w:lvl w:ilvl="5">
      <w:start w:val="0"/>
      <w:numFmt w:val="bullet"/>
      <w:lvlText w:val="•"/>
      <w:lvlJc w:val="left"/>
      <w:pPr>
        <w:ind w:left="5203" w:hanging="481"/>
      </w:pPr>
      <w:rPr>
        <w:rFonts w:hint="default"/>
      </w:rPr>
    </w:lvl>
    <w:lvl w:ilvl="6">
      <w:start w:val="0"/>
      <w:numFmt w:val="bullet"/>
      <w:lvlText w:val="•"/>
      <w:lvlJc w:val="left"/>
      <w:pPr>
        <w:ind w:left="6104" w:hanging="481"/>
      </w:pPr>
      <w:rPr>
        <w:rFonts w:hint="default"/>
      </w:rPr>
    </w:lvl>
    <w:lvl w:ilvl="7">
      <w:start w:val="0"/>
      <w:numFmt w:val="bullet"/>
      <w:lvlText w:val="•"/>
      <w:lvlJc w:val="left"/>
      <w:pPr>
        <w:ind w:left="7004" w:hanging="481"/>
      </w:pPr>
      <w:rPr>
        <w:rFonts w:hint="default"/>
      </w:rPr>
    </w:lvl>
    <w:lvl w:ilvl="8">
      <w:start w:val="0"/>
      <w:numFmt w:val="bullet"/>
      <w:lvlText w:val="•"/>
      <w:lvlJc w:val="left"/>
      <w:pPr>
        <w:ind w:left="7905" w:hanging="481"/>
      </w:pPr>
      <w:rPr>
        <w:rFonts w:hint="default"/>
      </w:rPr>
    </w:lvl>
  </w:abstractNum>
  <w:abstractNum w:abstractNumId="3">
    <w:multiLevelType w:val="hybridMultilevel"/>
    <w:lvl w:ilvl="0">
      <w:start w:val="5"/>
      <w:numFmt w:val="decimal"/>
      <w:lvlText w:val="%1"/>
      <w:lvlJc w:val="left"/>
      <w:pPr>
        <w:ind w:left="519" w:hanging="301"/>
        <w:jc w:val="left"/>
      </w:pPr>
      <w:rPr>
        <w:rFonts w:hint="default"/>
      </w:rPr>
    </w:lvl>
    <w:lvl w:ilvl="1">
      <w:start w:val="1"/>
      <w:numFmt w:val="decimal"/>
      <w:lvlText w:val="%1.%2"/>
      <w:lvlJc w:val="left"/>
      <w:pPr>
        <w:ind w:left="519" w:hanging="301"/>
        <w:jc w:val="left"/>
      </w:pPr>
      <w:rPr>
        <w:rFonts w:hint="default"/>
        <w:spacing w:val="-1"/>
        <w:w w:val="100"/>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650" w:hanging="1702"/>
      </w:pPr>
      <w:rPr>
        <w:rFonts w:hint="default"/>
      </w:rPr>
    </w:lvl>
    <w:lvl w:ilvl="4">
      <w:start w:val="0"/>
      <w:numFmt w:val="bullet"/>
      <w:lvlText w:val="•"/>
      <w:lvlJc w:val="left"/>
      <w:pPr>
        <w:ind w:left="4515" w:hanging="1702"/>
      </w:pPr>
      <w:rPr>
        <w:rFonts w:hint="default"/>
      </w:rPr>
    </w:lvl>
    <w:lvl w:ilvl="5">
      <w:start w:val="0"/>
      <w:numFmt w:val="bullet"/>
      <w:lvlText w:val="•"/>
      <w:lvlJc w:val="left"/>
      <w:pPr>
        <w:ind w:left="5380" w:hanging="1702"/>
      </w:pPr>
      <w:rPr>
        <w:rFonts w:hint="default"/>
      </w:rPr>
    </w:lvl>
    <w:lvl w:ilvl="6">
      <w:start w:val="0"/>
      <w:numFmt w:val="bullet"/>
      <w:lvlText w:val="•"/>
      <w:lvlJc w:val="left"/>
      <w:pPr>
        <w:ind w:left="6246" w:hanging="1702"/>
      </w:pPr>
      <w:rPr>
        <w:rFonts w:hint="default"/>
      </w:rPr>
    </w:lvl>
    <w:lvl w:ilvl="7">
      <w:start w:val="0"/>
      <w:numFmt w:val="bullet"/>
      <w:lvlText w:val="•"/>
      <w:lvlJc w:val="left"/>
      <w:pPr>
        <w:ind w:left="7111" w:hanging="1702"/>
      </w:pPr>
      <w:rPr>
        <w:rFonts w:hint="default"/>
      </w:rPr>
    </w:lvl>
    <w:lvl w:ilvl="8">
      <w:start w:val="0"/>
      <w:numFmt w:val="bullet"/>
      <w:lvlText w:val="•"/>
      <w:lvlJc w:val="left"/>
      <w:pPr>
        <w:ind w:left="7976" w:hanging="1702"/>
      </w:pPr>
      <w:rPr>
        <w:rFonts w:hint="default"/>
      </w:rPr>
    </w:lvl>
  </w:abstractNum>
  <w:abstractNum w:abstractNumId="2">
    <w:multiLevelType w:val="hybridMultilevel"/>
    <w:lvl w:ilvl="0">
      <w:start w:val="1"/>
      <w:numFmt w:val="decimal"/>
      <w:lvlText w:val="%1"/>
      <w:lvlJc w:val="left"/>
      <w:pPr>
        <w:ind w:left="519" w:hanging="301"/>
        <w:jc w:val="left"/>
      </w:pPr>
      <w:rPr>
        <w:rFonts w:hint="default"/>
      </w:rPr>
    </w:lvl>
    <w:lvl w:ilvl="1">
      <w:start w:val="9"/>
      <w:numFmt w:val="decimal"/>
      <w:lvlText w:val="%1.%2"/>
      <w:lvlJc w:val="left"/>
      <w:pPr>
        <w:ind w:left="519" w:hanging="301"/>
        <w:jc w:val="left"/>
      </w:pPr>
      <w:rPr>
        <w:rFonts w:hint="default" w:ascii="Times New Roman" w:hAnsi="Times New Roman" w:eastAsia="Times New Roman" w:cs="Times New Roman"/>
        <w:b/>
        <w:bCs/>
        <w:spacing w:val="-1"/>
        <w:w w:val="100"/>
        <w:sz w:val="22"/>
        <w:szCs w:val="22"/>
      </w:rPr>
    </w:lvl>
    <w:lvl w:ilvl="2">
      <w:start w:val="0"/>
      <w:numFmt w:val="bullet"/>
      <w:lvlText w:val="•"/>
      <w:lvlJc w:val="left"/>
      <w:pPr>
        <w:ind w:left="2357" w:hanging="301"/>
      </w:pPr>
      <w:rPr>
        <w:rFonts w:hint="default"/>
      </w:rPr>
    </w:lvl>
    <w:lvl w:ilvl="3">
      <w:start w:val="0"/>
      <w:numFmt w:val="bullet"/>
      <w:lvlText w:val="•"/>
      <w:lvlJc w:val="left"/>
      <w:pPr>
        <w:ind w:left="3276" w:hanging="301"/>
      </w:pPr>
      <w:rPr>
        <w:rFonts w:hint="default"/>
      </w:rPr>
    </w:lvl>
    <w:lvl w:ilvl="4">
      <w:start w:val="0"/>
      <w:numFmt w:val="bullet"/>
      <w:lvlText w:val="•"/>
      <w:lvlJc w:val="left"/>
      <w:pPr>
        <w:ind w:left="4194" w:hanging="301"/>
      </w:pPr>
      <w:rPr>
        <w:rFonts w:hint="default"/>
      </w:rPr>
    </w:lvl>
    <w:lvl w:ilvl="5">
      <w:start w:val="0"/>
      <w:numFmt w:val="bullet"/>
      <w:lvlText w:val="•"/>
      <w:lvlJc w:val="left"/>
      <w:pPr>
        <w:ind w:left="5113" w:hanging="301"/>
      </w:pPr>
      <w:rPr>
        <w:rFonts w:hint="default"/>
      </w:rPr>
    </w:lvl>
    <w:lvl w:ilvl="6">
      <w:start w:val="0"/>
      <w:numFmt w:val="bullet"/>
      <w:lvlText w:val="•"/>
      <w:lvlJc w:val="left"/>
      <w:pPr>
        <w:ind w:left="6032" w:hanging="301"/>
      </w:pPr>
      <w:rPr>
        <w:rFonts w:hint="default"/>
      </w:rPr>
    </w:lvl>
    <w:lvl w:ilvl="7">
      <w:start w:val="0"/>
      <w:numFmt w:val="bullet"/>
      <w:lvlText w:val="•"/>
      <w:lvlJc w:val="left"/>
      <w:pPr>
        <w:ind w:left="6950" w:hanging="301"/>
      </w:pPr>
      <w:rPr>
        <w:rFonts w:hint="default"/>
      </w:rPr>
    </w:lvl>
    <w:lvl w:ilvl="8">
      <w:start w:val="0"/>
      <w:numFmt w:val="bullet"/>
      <w:lvlText w:val="•"/>
      <w:lvlJc w:val="left"/>
      <w:pPr>
        <w:ind w:left="7869" w:hanging="301"/>
      </w:pPr>
      <w:rPr>
        <w:rFonts w:hint="default"/>
      </w:rPr>
    </w:lvl>
  </w:abstractNum>
  <w:abstractNum w:abstractNumId="1">
    <w:multiLevelType w:val="hybridMultilevel"/>
    <w:lvl w:ilvl="0">
      <w:start w:val="1"/>
      <w:numFmt w:val="decimal"/>
      <w:lvlText w:val="%1."/>
      <w:lvlJc w:val="left"/>
      <w:pPr>
        <w:ind w:left="1919" w:hanging="1701"/>
        <w:jc w:val="left"/>
      </w:pPr>
      <w:rPr>
        <w:rFonts w:hint="default" w:ascii="Times New Roman" w:hAnsi="Times New Roman" w:eastAsia="Times New Roman" w:cs="Times New Roman"/>
        <w:b/>
        <w:bCs/>
        <w:spacing w:val="-1"/>
        <w:w w:val="100"/>
        <w:sz w:val="28"/>
        <w:szCs w:val="28"/>
      </w:rPr>
    </w:lvl>
    <w:lvl w:ilvl="1">
      <w:start w:val="1"/>
      <w:numFmt w:val="decimal"/>
      <w:lvlText w:val="%1.%2"/>
      <w:lvlJc w:val="left"/>
      <w:pPr>
        <w:ind w:left="1919" w:hanging="1702"/>
        <w:jc w:val="left"/>
      </w:pPr>
      <w:rPr>
        <w:rFonts w:hint="default" w:ascii="Times New Roman" w:hAnsi="Times New Roman" w:eastAsia="Times New Roman" w:cs="Times New Roman"/>
        <w:b/>
        <w:bCs/>
        <w:spacing w:val="-1"/>
        <w:w w:val="100"/>
        <w:sz w:val="24"/>
        <w:szCs w:val="24"/>
      </w:rPr>
    </w:lvl>
    <w:lvl w:ilvl="2">
      <w:start w:val="1"/>
      <w:numFmt w:val="decimal"/>
      <w:lvlText w:val="%1.%2.%3"/>
      <w:lvlJc w:val="left"/>
      <w:pPr>
        <w:ind w:left="1919" w:hanging="1702"/>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4256" w:hanging="1702"/>
      </w:pPr>
      <w:rPr>
        <w:rFonts w:hint="default"/>
      </w:rPr>
    </w:lvl>
    <w:lvl w:ilvl="4">
      <w:start w:val="0"/>
      <w:numFmt w:val="bullet"/>
      <w:lvlText w:val="•"/>
      <w:lvlJc w:val="left"/>
      <w:pPr>
        <w:ind w:left="5034" w:hanging="1702"/>
      </w:pPr>
      <w:rPr>
        <w:rFonts w:hint="default"/>
      </w:rPr>
    </w:lvl>
    <w:lvl w:ilvl="5">
      <w:start w:val="0"/>
      <w:numFmt w:val="bullet"/>
      <w:lvlText w:val="•"/>
      <w:lvlJc w:val="left"/>
      <w:pPr>
        <w:ind w:left="5813" w:hanging="1702"/>
      </w:pPr>
      <w:rPr>
        <w:rFonts w:hint="default"/>
      </w:rPr>
    </w:lvl>
    <w:lvl w:ilvl="6">
      <w:start w:val="0"/>
      <w:numFmt w:val="bullet"/>
      <w:lvlText w:val="•"/>
      <w:lvlJc w:val="left"/>
      <w:pPr>
        <w:ind w:left="6592" w:hanging="1702"/>
      </w:pPr>
      <w:rPr>
        <w:rFonts w:hint="default"/>
      </w:rPr>
    </w:lvl>
    <w:lvl w:ilvl="7">
      <w:start w:val="0"/>
      <w:numFmt w:val="bullet"/>
      <w:lvlText w:val="•"/>
      <w:lvlJc w:val="left"/>
      <w:pPr>
        <w:ind w:left="7370" w:hanging="1702"/>
      </w:pPr>
      <w:rPr>
        <w:rFonts w:hint="default"/>
      </w:rPr>
    </w:lvl>
    <w:lvl w:ilvl="8">
      <w:start w:val="0"/>
      <w:numFmt w:val="bullet"/>
      <w:lvlText w:val="•"/>
      <w:lvlJc w:val="left"/>
      <w:pPr>
        <w:ind w:left="8149" w:hanging="1702"/>
      </w:pPr>
      <w:rPr>
        <w:rFonts w:hint="default"/>
      </w:rPr>
    </w:lvl>
  </w:abstractNum>
  <w:abstractNum w:abstractNumId="0">
    <w:multiLevelType w:val="hybridMultilevel"/>
    <w:lvl w:ilvl="0">
      <w:start w:val="1"/>
      <w:numFmt w:val="lowerLetter"/>
      <w:lvlText w:val="(%1)"/>
      <w:lvlJc w:val="left"/>
      <w:pPr>
        <w:ind w:left="785" w:hanging="874"/>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672" w:hanging="874"/>
      </w:pPr>
      <w:rPr>
        <w:rFonts w:hint="default"/>
      </w:rPr>
    </w:lvl>
    <w:lvl w:ilvl="2">
      <w:start w:val="0"/>
      <w:numFmt w:val="bullet"/>
      <w:lvlText w:val="•"/>
      <w:lvlJc w:val="left"/>
      <w:pPr>
        <w:ind w:left="2565" w:hanging="874"/>
      </w:pPr>
      <w:rPr>
        <w:rFonts w:hint="default"/>
      </w:rPr>
    </w:lvl>
    <w:lvl w:ilvl="3">
      <w:start w:val="0"/>
      <w:numFmt w:val="bullet"/>
      <w:lvlText w:val="•"/>
      <w:lvlJc w:val="left"/>
      <w:pPr>
        <w:ind w:left="3458" w:hanging="874"/>
      </w:pPr>
      <w:rPr>
        <w:rFonts w:hint="default"/>
      </w:rPr>
    </w:lvl>
    <w:lvl w:ilvl="4">
      <w:start w:val="0"/>
      <w:numFmt w:val="bullet"/>
      <w:lvlText w:val="•"/>
      <w:lvlJc w:val="left"/>
      <w:pPr>
        <w:ind w:left="4350" w:hanging="874"/>
      </w:pPr>
      <w:rPr>
        <w:rFonts w:hint="default"/>
      </w:rPr>
    </w:lvl>
    <w:lvl w:ilvl="5">
      <w:start w:val="0"/>
      <w:numFmt w:val="bullet"/>
      <w:lvlText w:val="•"/>
      <w:lvlJc w:val="left"/>
      <w:pPr>
        <w:ind w:left="5243" w:hanging="874"/>
      </w:pPr>
      <w:rPr>
        <w:rFonts w:hint="default"/>
      </w:rPr>
    </w:lvl>
    <w:lvl w:ilvl="6">
      <w:start w:val="0"/>
      <w:numFmt w:val="bullet"/>
      <w:lvlText w:val="•"/>
      <w:lvlJc w:val="left"/>
      <w:pPr>
        <w:ind w:left="6136" w:hanging="874"/>
      </w:pPr>
      <w:rPr>
        <w:rFonts w:hint="default"/>
      </w:rPr>
    </w:lvl>
    <w:lvl w:ilvl="7">
      <w:start w:val="0"/>
      <w:numFmt w:val="bullet"/>
      <w:lvlText w:val="•"/>
      <w:lvlJc w:val="left"/>
      <w:pPr>
        <w:ind w:left="7028" w:hanging="874"/>
      </w:pPr>
      <w:rPr>
        <w:rFonts w:hint="default"/>
      </w:rPr>
    </w:lvl>
    <w:lvl w:ilvl="8">
      <w:start w:val="0"/>
      <w:numFmt w:val="bullet"/>
      <w:lvlText w:val="•"/>
      <w:lvlJc w:val="left"/>
      <w:pPr>
        <w:ind w:left="7921" w:hanging="874"/>
      </w:pPr>
      <w:rPr>
        <w:rFonts w:hint="default"/>
      </w:rPr>
    </w:lvl>
  </w:abstractNum>
  <w:num w:numId="345">
    <w:abstractNumId w:val="344"/>
  </w:num>
  <w:num w:numId="343">
    <w:abstractNumId w:val="342"/>
  </w:num>
  <w:num w:numId="870">
    <w:abstractNumId w:val="869"/>
  </w:num>
  <w:num w:numId="869">
    <w:abstractNumId w:val="868"/>
  </w:num>
  <w:num w:numId="868">
    <w:abstractNumId w:val="867"/>
  </w:num>
  <w:num w:numId="867">
    <w:abstractNumId w:val="866"/>
  </w:num>
  <w:num w:numId="866">
    <w:abstractNumId w:val="865"/>
  </w:num>
  <w:num w:numId="865">
    <w:abstractNumId w:val="864"/>
  </w:num>
  <w:num w:numId="864">
    <w:abstractNumId w:val="863"/>
  </w:num>
  <w:num w:numId="863">
    <w:abstractNumId w:val="862"/>
  </w:num>
  <w:num w:numId="862">
    <w:abstractNumId w:val="861"/>
  </w:num>
  <w:num w:numId="861">
    <w:abstractNumId w:val="860"/>
  </w:num>
  <w:num w:numId="860">
    <w:abstractNumId w:val="859"/>
  </w:num>
  <w:num w:numId="859">
    <w:abstractNumId w:val="858"/>
  </w:num>
  <w:num w:numId="858">
    <w:abstractNumId w:val="857"/>
  </w:num>
  <w:num w:numId="857">
    <w:abstractNumId w:val="856"/>
  </w:num>
  <w:num w:numId="856">
    <w:abstractNumId w:val="855"/>
  </w:num>
  <w:num w:numId="855">
    <w:abstractNumId w:val="854"/>
  </w:num>
  <w:num w:numId="854">
    <w:abstractNumId w:val="853"/>
  </w:num>
  <w:num w:numId="853">
    <w:abstractNumId w:val="852"/>
  </w:num>
  <w:num w:numId="852">
    <w:abstractNumId w:val="851"/>
  </w:num>
  <w:num w:numId="851">
    <w:abstractNumId w:val="850"/>
  </w:num>
  <w:num w:numId="850">
    <w:abstractNumId w:val="849"/>
  </w:num>
  <w:num w:numId="849">
    <w:abstractNumId w:val="848"/>
  </w:num>
  <w:num w:numId="848">
    <w:abstractNumId w:val="847"/>
  </w:num>
  <w:num w:numId="847">
    <w:abstractNumId w:val="846"/>
  </w:num>
  <w:num w:numId="846">
    <w:abstractNumId w:val="845"/>
  </w:num>
  <w:num w:numId="845">
    <w:abstractNumId w:val="844"/>
  </w:num>
  <w:num w:numId="844">
    <w:abstractNumId w:val="843"/>
  </w:num>
  <w:num w:numId="843">
    <w:abstractNumId w:val="842"/>
  </w:num>
  <w:num w:numId="842">
    <w:abstractNumId w:val="841"/>
  </w:num>
  <w:num w:numId="841">
    <w:abstractNumId w:val="840"/>
  </w:num>
  <w:num w:numId="840">
    <w:abstractNumId w:val="839"/>
  </w:num>
  <w:num w:numId="839">
    <w:abstractNumId w:val="838"/>
  </w:num>
  <w:num w:numId="838">
    <w:abstractNumId w:val="837"/>
  </w:num>
  <w:num w:numId="837">
    <w:abstractNumId w:val="836"/>
  </w:num>
  <w:num w:numId="836">
    <w:abstractNumId w:val="835"/>
  </w:num>
  <w:num w:numId="835">
    <w:abstractNumId w:val="834"/>
  </w:num>
  <w:num w:numId="834">
    <w:abstractNumId w:val="833"/>
  </w:num>
  <w:num w:numId="833">
    <w:abstractNumId w:val="832"/>
  </w:num>
  <w:num w:numId="832">
    <w:abstractNumId w:val="831"/>
  </w:num>
  <w:num w:numId="831">
    <w:abstractNumId w:val="830"/>
  </w:num>
  <w:num w:numId="830">
    <w:abstractNumId w:val="829"/>
  </w:num>
  <w:num w:numId="829">
    <w:abstractNumId w:val="828"/>
  </w:num>
  <w:num w:numId="828">
    <w:abstractNumId w:val="827"/>
  </w:num>
  <w:num w:numId="827">
    <w:abstractNumId w:val="826"/>
  </w:num>
  <w:num w:numId="826">
    <w:abstractNumId w:val="825"/>
  </w:num>
  <w:num w:numId="825">
    <w:abstractNumId w:val="824"/>
  </w:num>
  <w:num w:numId="824">
    <w:abstractNumId w:val="823"/>
  </w:num>
  <w:num w:numId="823">
    <w:abstractNumId w:val="822"/>
  </w:num>
  <w:num w:numId="822">
    <w:abstractNumId w:val="821"/>
  </w:num>
  <w:num w:numId="821">
    <w:abstractNumId w:val="820"/>
  </w:num>
  <w:num w:numId="820">
    <w:abstractNumId w:val="819"/>
  </w:num>
  <w:num w:numId="819">
    <w:abstractNumId w:val="818"/>
  </w:num>
  <w:num w:numId="818">
    <w:abstractNumId w:val="817"/>
  </w:num>
  <w:num w:numId="817">
    <w:abstractNumId w:val="816"/>
  </w:num>
  <w:num w:numId="816">
    <w:abstractNumId w:val="815"/>
  </w:num>
  <w:num w:numId="815">
    <w:abstractNumId w:val="814"/>
  </w:num>
  <w:num w:numId="814">
    <w:abstractNumId w:val="813"/>
  </w:num>
  <w:num w:numId="813">
    <w:abstractNumId w:val="812"/>
  </w:num>
  <w:num w:numId="812">
    <w:abstractNumId w:val="811"/>
  </w:num>
  <w:num w:numId="811">
    <w:abstractNumId w:val="810"/>
  </w:num>
  <w:num w:numId="810">
    <w:abstractNumId w:val="809"/>
  </w:num>
  <w:num w:numId="809">
    <w:abstractNumId w:val="808"/>
  </w:num>
  <w:num w:numId="808">
    <w:abstractNumId w:val="807"/>
  </w:num>
  <w:num w:numId="807">
    <w:abstractNumId w:val="806"/>
  </w:num>
  <w:num w:numId="806">
    <w:abstractNumId w:val="805"/>
  </w:num>
  <w:num w:numId="805">
    <w:abstractNumId w:val="804"/>
  </w:num>
  <w:num w:numId="804">
    <w:abstractNumId w:val="803"/>
  </w:num>
  <w:num w:numId="803">
    <w:abstractNumId w:val="802"/>
  </w:num>
  <w:num w:numId="802">
    <w:abstractNumId w:val="801"/>
  </w:num>
  <w:num w:numId="801">
    <w:abstractNumId w:val="800"/>
  </w:num>
  <w:num w:numId="800">
    <w:abstractNumId w:val="799"/>
  </w:num>
  <w:num w:numId="799">
    <w:abstractNumId w:val="798"/>
  </w:num>
  <w:num w:numId="798">
    <w:abstractNumId w:val="797"/>
  </w:num>
  <w:num w:numId="797">
    <w:abstractNumId w:val="796"/>
  </w:num>
  <w:num w:numId="796">
    <w:abstractNumId w:val="795"/>
  </w:num>
  <w:num w:numId="795">
    <w:abstractNumId w:val="794"/>
  </w:num>
  <w:num w:numId="794">
    <w:abstractNumId w:val="793"/>
  </w:num>
  <w:num w:numId="793">
    <w:abstractNumId w:val="792"/>
  </w:num>
  <w:num w:numId="792">
    <w:abstractNumId w:val="791"/>
  </w:num>
  <w:num w:numId="791">
    <w:abstractNumId w:val="790"/>
  </w:num>
  <w:num w:numId="790">
    <w:abstractNumId w:val="789"/>
  </w:num>
  <w:num w:numId="789">
    <w:abstractNumId w:val="788"/>
  </w:num>
  <w:num w:numId="788">
    <w:abstractNumId w:val="787"/>
  </w:num>
  <w:num w:numId="787">
    <w:abstractNumId w:val="786"/>
  </w:num>
  <w:num w:numId="786">
    <w:abstractNumId w:val="785"/>
  </w:num>
  <w:num w:numId="785">
    <w:abstractNumId w:val="784"/>
  </w:num>
  <w:num w:numId="784">
    <w:abstractNumId w:val="783"/>
  </w:num>
  <w:num w:numId="783">
    <w:abstractNumId w:val="782"/>
  </w:num>
  <w:num w:numId="782">
    <w:abstractNumId w:val="781"/>
  </w:num>
  <w:num w:numId="781">
    <w:abstractNumId w:val="780"/>
  </w:num>
  <w:num w:numId="780">
    <w:abstractNumId w:val="779"/>
  </w:num>
  <w:num w:numId="779">
    <w:abstractNumId w:val="778"/>
  </w:num>
  <w:num w:numId="778">
    <w:abstractNumId w:val="777"/>
  </w:num>
  <w:num w:numId="777">
    <w:abstractNumId w:val="776"/>
  </w:num>
  <w:num w:numId="776">
    <w:abstractNumId w:val="775"/>
  </w:num>
  <w:num w:numId="775">
    <w:abstractNumId w:val="774"/>
  </w:num>
  <w:num w:numId="774">
    <w:abstractNumId w:val="773"/>
  </w:num>
  <w:num w:numId="773">
    <w:abstractNumId w:val="772"/>
  </w:num>
  <w:num w:numId="772">
    <w:abstractNumId w:val="771"/>
  </w:num>
  <w:num w:numId="771">
    <w:abstractNumId w:val="770"/>
  </w:num>
  <w:num w:numId="770">
    <w:abstractNumId w:val="769"/>
  </w:num>
  <w:num w:numId="769">
    <w:abstractNumId w:val="768"/>
  </w:num>
  <w:num w:numId="768">
    <w:abstractNumId w:val="767"/>
  </w:num>
  <w:num w:numId="767">
    <w:abstractNumId w:val="766"/>
  </w:num>
  <w:num w:numId="766">
    <w:abstractNumId w:val="765"/>
  </w:num>
  <w:num w:numId="765">
    <w:abstractNumId w:val="764"/>
  </w:num>
  <w:num w:numId="764">
    <w:abstractNumId w:val="763"/>
  </w:num>
  <w:num w:numId="763">
    <w:abstractNumId w:val="762"/>
  </w:num>
  <w:num w:numId="762">
    <w:abstractNumId w:val="761"/>
  </w:num>
  <w:num w:numId="761">
    <w:abstractNumId w:val="760"/>
  </w:num>
  <w:num w:numId="760">
    <w:abstractNumId w:val="759"/>
  </w:num>
  <w:num w:numId="759">
    <w:abstractNumId w:val="758"/>
  </w:num>
  <w:num w:numId="758">
    <w:abstractNumId w:val="757"/>
  </w:num>
  <w:num w:numId="757">
    <w:abstractNumId w:val="756"/>
  </w:num>
  <w:num w:numId="756">
    <w:abstractNumId w:val="755"/>
  </w:num>
  <w:num w:numId="755">
    <w:abstractNumId w:val="754"/>
  </w:num>
  <w:num w:numId="754">
    <w:abstractNumId w:val="753"/>
  </w:num>
  <w:num w:numId="753">
    <w:abstractNumId w:val="752"/>
  </w:num>
  <w:num w:numId="752">
    <w:abstractNumId w:val="751"/>
  </w:num>
  <w:num w:numId="751">
    <w:abstractNumId w:val="750"/>
  </w:num>
  <w:num w:numId="750">
    <w:abstractNumId w:val="749"/>
  </w:num>
  <w:num w:numId="749">
    <w:abstractNumId w:val="748"/>
  </w:num>
  <w:num w:numId="748">
    <w:abstractNumId w:val="747"/>
  </w:num>
  <w:num w:numId="747">
    <w:abstractNumId w:val="746"/>
  </w:num>
  <w:num w:numId="746">
    <w:abstractNumId w:val="745"/>
  </w:num>
  <w:num w:numId="745">
    <w:abstractNumId w:val="744"/>
  </w:num>
  <w:num w:numId="744">
    <w:abstractNumId w:val="743"/>
  </w:num>
  <w:num w:numId="743">
    <w:abstractNumId w:val="742"/>
  </w:num>
  <w:num w:numId="742">
    <w:abstractNumId w:val="741"/>
  </w:num>
  <w:num w:numId="741">
    <w:abstractNumId w:val="740"/>
  </w:num>
  <w:num w:numId="740">
    <w:abstractNumId w:val="739"/>
  </w:num>
  <w:num w:numId="739">
    <w:abstractNumId w:val="738"/>
  </w:num>
  <w:num w:numId="738">
    <w:abstractNumId w:val="737"/>
  </w:num>
  <w:num w:numId="737">
    <w:abstractNumId w:val="736"/>
  </w:num>
  <w:num w:numId="736">
    <w:abstractNumId w:val="735"/>
  </w:num>
  <w:num w:numId="735">
    <w:abstractNumId w:val="734"/>
  </w:num>
  <w:num w:numId="734">
    <w:abstractNumId w:val="733"/>
  </w:num>
  <w:num w:numId="733">
    <w:abstractNumId w:val="732"/>
  </w:num>
  <w:num w:numId="732">
    <w:abstractNumId w:val="731"/>
  </w:num>
  <w:num w:numId="731">
    <w:abstractNumId w:val="730"/>
  </w:num>
  <w:num w:numId="730">
    <w:abstractNumId w:val="729"/>
  </w:num>
  <w:num w:numId="729">
    <w:abstractNumId w:val="728"/>
  </w:num>
  <w:num w:numId="728">
    <w:abstractNumId w:val="727"/>
  </w:num>
  <w:num w:numId="727">
    <w:abstractNumId w:val="726"/>
  </w:num>
  <w:num w:numId="726">
    <w:abstractNumId w:val="725"/>
  </w:num>
  <w:num w:numId="725">
    <w:abstractNumId w:val="724"/>
  </w:num>
  <w:num w:numId="724">
    <w:abstractNumId w:val="723"/>
  </w:num>
  <w:num w:numId="723">
    <w:abstractNumId w:val="722"/>
  </w:num>
  <w:num w:numId="722">
    <w:abstractNumId w:val="721"/>
  </w:num>
  <w:num w:numId="721">
    <w:abstractNumId w:val="720"/>
  </w:num>
  <w:num w:numId="720">
    <w:abstractNumId w:val="719"/>
  </w:num>
  <w:num w:numId="719">
    <w:abstractNumId w:val="718"/>
  </w:num>
  <w:num w:numId="718">
    <w:abstractNumId w:val="717"/>
  </w:num>
  <w:num w:numId="717">
    <w:abstractNumId w:val="716"/>
  </w:num>
  <w:num w:numId="716">
    <w:abstractNumId w:val="715"/>
  </w:num>
  <w:num w:numId="715">
    <w:abstractNumId w:val="714"/>
  </w:num>
  <w:num w:numId="714">
    <w:abstractNumId w:val="713"/>
  </w:num>
  <w:num w:numId="713">
    <w:abstractNumId w:val="712"/>
  </w:num>
  <w:num w:numId="712">
    <w:abstractNumId w:val="711"/>
  </w:num>
  <w:num w:numId="711">
    <w:abstractNumId w:val="710"/>
  </w:num>
  <w:num w:numId="710">
    <w:abstractNumId w:val="709"/>
  </w:num>
  <w:num w:numId="709">
    <w:abstractNumId w:val="708"/>
  </w:num>
  <w:num w:numId="708">
    <w:abstractNumId w:val="707"/>
  </w:num>
  <w:num w:numId="707">
    <w:abstractNumId w:val="706"/>
  </w:num>
  <w:num w:numId="706">
    <w:abstractNumId w:val="705"/>
  </w:num>
  <w:num w:numId="705">
    <w:abstractNumId w:val="704"/>
  </w:num>
  <w:num w:numId="704">
    <w:abstractNumId w:val="703"/>
  </w:num>
  <w:num w:numId="703">
    <w:abstractNumId w:val="702"/>
  </w:num>
  <w:num w:numId="702">
    <w:abstractNumId w:val="701"/>
  </w:num>
  <w:num w:numId="701">
    <w:abstractNumId w:val="700"/>
  </w:num>
  <w:num w:numId="700">
    <w:abstractNumId w:val="699"/>
  </w:num>
  <w:num w:numId="699">
    <w:abstractNumId w:val="698"/>
  </w:num>
  <w:num w:numId="698">
    <w:abstractNumId w:val="697"/>
  </w:num>
  <w:num w:numId="697">
    <w:abstractNumId w:val="696"/>
  </w:num>
  <w:num w:numId="696">
    <w:abstractNumId w:val="695"/>
  </w:num>
  <w:num w:numId="695">
    <w:abstractNumId w:val="694"/>
  </w:num>
  <w:num w:numId="694">
    <w:abstractNumId w:val="693"/>
  </w:num>
  <w:num w:numId="693">
    <w:abstractNumId w:val="692"/>
  </w:num>
  <w:num w:numId="692">
    <w:abstractNumId w:val="691"/>
  </w:num>
  <w:num w:numId="691">
    <w:abstractNumId w:val="690"/>
  </w:num>
  <w:num w:numId="690">
    <w:abstractNumId w:val="689"/>
  </w:num>
  <w:num w:numId="689">
    <w:abstractNumId w:val="688"/>
  </w:num>
  <w:num w:numId="688">
    <w:abstractNumId w:val="687"/>
  </w:num>
  <w:num w:numId="687">
    <w:abstractNumId w:val="686"/>
  </w:num>
  <w:num w:numId="686">
    <w:abstractNumId w:val="685"/>
  </w:num>
  <w:num w:numId="685">
    <w:abstractNumId w:val="684"/>
  </w:num>
  <w:num w:numId="684">
    <w:abstractNumId w:val="683"/>
  </w:num>
  <w:num w:numId="683">
    <w:abstractNumId w:val="682"/>
  </w:num>
  <w:num w:numId="682">
    <w:abstractNumId w:val="681"/>
  </w:num>
  <w:num w:numId="681">
    <w:abstractNumId w:val="680"/>
  </w:num>
  <w:num w:numId="680">
    <w:abstractNumId w:val="679"/>
  </w:num>
  <w:num w:numId="679">
    <w:abstractNumId w:val="678"/>
  </w:num>
  <w:num w:numId="678">
    <w:abstractNumId w:val="677"/>
  </w:num>
  <w:num w:numId="677">
    <w:abstractNumId w:val="676"/>
  </w:num>
  <w:num w:numId="676">
    <w:abstractNumId w:val="675"/>
  </w:num>
  <w:num w:numId="675">
    <w:abstractNumId w:val="674"/>
  </w:num>
  <w:num w:numId="674">
    <w:abstractNumId w:val="673"/>
  </w:num>
  <w:num w:numId="673">
    <w:abstractNumId w:val="672"/>
  </w:num>
  <w:num w:numId="672">
    <w:abstractNumId w:val="671"/>
  </w:num>
  <w:num w:numId="671">
    <w:abstractNumId w:val="670"/>
  </w:num>
  <w:num w:numId="670">
    <w:abstractNumId w:val="669"/>
  </w:num>
  <w:num w:numId="669">
    <w:abstractNumId w:val="668"/>
  </w:num>
  <w:num w:numId="668">
    <w:abstractNumId w:val="667"/>
  </w:num>
  <w:num w:numId="667">
    <w:abstractNumId w:val="666"/>
  </w:num>
  <w:num w:numId="666">
    <w:abstractNumId w:val="665"/>
  </w:num>
  <w:num w:numId="665">
    <w:abstractNumId w:val="664"/>
  </w:num>
  <w:num w:numId="664">
    <w:abstractNumId w:val="663"/>
  </w:num>
  <w:num w:numId="663">
    <w:abstractNumId w:val="662"/>
  </w:num>
  <w:num w:numId="662">
    <w:abstractNumId w:val="661"/>
  </w:num>
  <w:num w:numId="661">
    <w:abstractNumId w:val="660"/>
  </w:num>
  <w:num w:numId="660">
    <w:abstractNumId w:val="659"/>
  </w:num>
  <w:num w:numId="659">
    <w:abstractNumId w:val="658"/>
  </w:num>
  <w:num w:numId="658">
    <w:abstractNumId w:val="657"/>
  </w:num>
  <w:num w:numId="657">
    <w:abstractNumId w:val="656"/>
  </w:num>
  <w:num w:numId="656">
    <w:abstractNumId w:val="655"/>
  </w:num>
  <w:num w:numId="655">
    <w:abstractNumId w:val="654"/>
  </w:num>
  <w:num w:numId="654">
    <w:abstractNumId w:val="653"/>
  </w:num>
  <w:num w:numId="653">
    <w:abstractNumId w:val="652"/>
  </w:num>
  <w:num w:numId="652">
    <w:abstractNumId w:val="651"/>
  </w:num>
  <w:num w:numId="651">
    <w:abstractNumId w:val="650"/>
  </w:num>
  <w:num w:numId="650">
    <w:abstractNumId w:val="649"/>
  </w:num>
  <w:num w:numId="649">
    <w:abstractNumId w:val="648"/>
  </w:num>
  <w:num w:numId="648">
    <w:abstractNumId w:val="647"/>
  </w:num>
  <w:num w:numId="647">
    <w:abstractNumId w:val="646"/>
  </w:num>
  <w:num w:numId="646">
    <w:abstractNumId w:val="645"/>
  </w:num>
  <w:num w:numId="645">
    <w:abstractNumId w:val="644"/>
  </w:num>
  <w:num w:numId="644">
    <w:abstractNumId w:val="643"/>
  </w:num>
  <w:num w:numId="643">
    <w:abstractNumId w:val="642"/>
  </w:num>
  <w:num w:numId="642">
    <w:abstractNumId w:val="641"/>
  </w:num>
  <w:num w:numId="641">
    <w:abstractNumId w:val="640"/>
  </w:num>
  <w:num w:numId="640">
    <w:abstractNumId w:val="639"/>
  </w:num>
  <w:num w:numId="639">
    <w:abstractNumId w:val="638"/>
  </w:num>
  <w:num w:numId="638">
    <w:abstractNumId w:val="637"/>
  </w:num>
  <w:num w:numId="637">
    <w:abstractNumId w:val="636"/>
  </w:num>
  <w:num w:numId="636">
    <w:abstractNumId w:val="635"/>
  </w:num>
  <w:num w:numId="635">
    <w:abstractNumId w:val="634"/>
  </w:num>
  <w:num w:numId="634">
    <w:abstractNumId w:val="633"/>
  </w:num>
  <w:num w:numId="633">
    <w:abstractNumId w:val="632"/>
  </w:num>
  <w:num w:numId="632">
    <w:abstractNumId w:val="631"/>
  </w:num>
  <w:num w:numId="631">
    <w:abstractNumId w:val="630"/>
  </w:num>
  <w:num w:numId="630">
    <w:abstractNumId w:val="629"/>
  </w:num>
  <w:num w:numId="629">
    <w:abstractNumId w:val="628"/>
  </w:num>
  <w:num w:numId="628">
    <w:abstractNumId w:val="627"/>
  </w:num>
  <w:num w:numId="627">
    <w:abstractNumId w:val="626"/>
  </w:num>
  <w:num w:numId="626">
    <w:abstractNumId w:val="625"/>
  </w:num>
  <w:num w:numId="625">
    <w:abstractNumId w:val="624"/>
  </w:num>
  <w:num w:numId="624">
    <w:abstractNumId w:val="623"/>
  </w:num>
  <w:num w:numId="623">
    <w:abstractNumId w:val="622"/>
  </w:num>
  <w:num w:numId="622">
    <w:abstractNumId w:val="621"/>
  </w:num>
  <w:num w:numId="621">
    <w:abstractNumId w:val="620"/>
  </w:num>
  <w:num w:numId="620">
    <w:abstractNumId w:val="619"/>
  </w:num>
  <w:num w:numId="619">
    <w:abstractNumId w:val="618"/>
  </w:num>
  <w:num w:numId="618">
    <w:abstractNumId w:val="617"/>
  </w:num>
  <w:num w:numId="617">
    <w:abstractNumId w:val="616"/>
  </w:num>
  <w:num w:numId="616">
    <w:abstractNumId w:val="615"/>
  </w:num>
  <w:num w:numId="615">
    <w:abstractNumId w:val="614"/>
  </w:num>
  <w:num w:numId="614">
    <w:abstractNumId w:val="613"/>
  </w:num>
  <w:num w:numId="613">
    <w:abstractNumId w:val="612"/>
  </w:num>
  <w:num w:numId="612">
    <w:abstractNumId w:val="611"/>
  </w: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4">
    <w:abstractNumId w:val="343"/>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60"/>
      <w:ind w:left="1919" w:hanging="1701"/>
    </w:pPr>
    <w:rPr>
      <w:rFonts w:ascii="Times New Roman" w:hAnsi="Times New Roman" w:eastAsia="Times New Roman" w:cs="Times New Roman"/>
      <w:b/>
      <w:bCs/>
      <w:sz w:val="28"/>
      <w:szCs w:val="28"/>
    </w:rPr>
  </w:style>
  <w:style w:styleId="TOC2" w:type="paragraph">
    <w:name w:val="TOC 2"/>
    <w:basedOn w:val="Normal"/>
    <w:uiPriority w:val="1"/>
    <w:qFormat/>
    <w:pPr>
      <w:spacing w:before="120"/>
      <w:ind w:left="218"/>
    </w:pPr>
    <w:rPr>
      <w:rFonts w:ascii="Times New Roman" w:hAnsi="Times New Roman" w:eastAsia="Times New Roman" w:cs="Times New Roman"/>
      <w:b/>
      <w:bCs/>
      <w:sz w:val="24"/>
      <w:szCs w:val="24"/>
    </w:rPr>
  </w:style>
  <w:style w:styleId="TOC3" w:type="paragraph">
    <w:name w:val="TOC 3"/>
    <w:basedOn w:val="Normal"/>
    <w:uiPriority w:val="1"/>
    <w:qFormat/>
    <w:pPr>
      <w:ind w:left="1919"/>
    </w:pPr>
    <w:rPr>
      <w:rFonts w:ascii="Times New Roman" w:hAnsi="Times New Roman" w:eastAsia="Times New Roman" w:cs="Times New Roman"/>
      <w:sz w:val="24"/>
      <w:szCs w:val="24"/>
    </w:rPr>
  </w:style>
  <w:style w:styleId="TOC4" w:type="paragraph">
    <w:name w:val="TOC 4"/>
    <w:basedOn w:val="Normal"/>
    <w:uiPriority w:val="1"/>
    <w:qFormat/>
    <w:pPr>
      <w:ind w:left="1919"/>
    </w:pPr>
    <w:rPr>
      <w:rFonts w:ascii="Times New Roman" w:hAnsi="Times New Roman" w:eastAsia="Times New Roman" w:cs="Times New Roman"/>
      <w:b/>
      <w:bCs/>
      <w:sz w:val="24"/>
      <w:szCs w:val="24"/>
    </w:rPr>
  </w:style>
  <w:style w:styleId="TOC5" w:type="paragraph">
    <w:name w:val="TOC 5"/>
    <w:basedOn w:val="Normal"/>
    <w:uiPriority w:val="1"/>
    <w:qFormat/>
    <w:pPr>
      <w:ind w:left="1919"/>
    </w:pPr>
    <w:rPr>
      <w:rFonts w:ascii="Times New Roman" w:hAnsi="Times New Roman" w:eastAsia="Times New Roman" w:cs="Times New Roman"/>
      <w:sz w:val="24"/>
      <w:szCs w:val="24"/>
    </w:rPr>
  </w:style>
  <w:style w:styleId="BodyText" w:type="paragraph">
    <w:name w:val="Body Text"/>
    <w:basedOn w:val="Normal"/>
    <w:uiPriority w:val="1"/>
    <w:qFormat/>
    <w:pPr>
      <w:spacing w:before="120"/>
      <w:ind w:hanging="567"/>
      <w:jc w:val="both"/>
    </w:pPr>
    <w:rPr>
      <w:rFonts w:ascii="Times New Roman" w:hAnsi="Times New Roman" w:eastAsia="Times New Roman" w:cs="Times New Roman"/>
      <w:sz w:val="24"/>
      <w:szCs w:val="24"/>
    </w:rPr>
  </w:style>
  <w:style w:styleId="Heading1" w:type="paragraph">
    <w:name w:val="Heading 1"/>
    <w:basedOn w:val="Normal"/>
    <w:uiPriority w:val="1"/>
    <w:qFormat/>
    <w:pPr>
      <w:spacing w:before="90"/>
      <w:ind w:left="218" w:hanging="1134"/>
      <w:outlineLvl w:val="1"/>
    </w:pPr>
    <w:rPr>
      <w:rFonts w:ascii="Arial" w:hAnsi="Arial" w:eastAsia="Arial" w:cs="Arial"/>
      <w:b/>
      <w:bCs/>
      <w:sz w:val="32"/>
      <w:szCs w:val="32"/>
    </w:rPr>
  </w:style>
  <w:style w:styleId="Heading2" w:type="paragraph">
    <w:name w:val="Heading 2"/>
    <w:basedOn w:val="Normal"/>
    <w:uiPriority w:val="1"/>
    <w:qFormat/>
    <w:pPr>
      <w:ind w:left="218"/>
      <w:outlineLvl w:val="2"/>
    </w:pPr>
    <w:rPr>
      <w:rFonts w:ascii="Arial" w:hAnsi="Arial" w:eastAsia="Arial" w:cs="Arial"/>
      <w:b/>
      <w:bCs/>
      <w:sz w:val="28"/>
      <w:szCs w:val="28"/>
    </w:rPr>
  </w:style>
  <w:style w:styleId="Heading3" w:type="paragraph">
    <w:name w:val="Heading 3"/>
    <w:basedOn w:val="Normal"/>
    <w:uiPriority w:val="1"/>
    <w:qFormat/>
    <w:pPr>
      <w:ind w:left="1352" w:hanging="1135"/>
      <w:outlineLvl w:val="3"/>
    </w:pPr>
    <w:rPr>
      <w:rFonts w:ascii="Arial" w:hAnsi="Arial" w:eastAsia="Arial" w:cs="Arial"/>
      <w:b/>
      <w:bCs/>
      <w:sz w:val="26"/>
      <w:szCs w:val="26"/>
    </w:rPr>
  </w:style>
  <w:style w:styleId="Heading4" w:type="paragraph">
    <w:name w:val="Heading 4"/>
    <w:basedOn w:val="Normal"/>
    <w:uiPriority w:val="1"/>
    <w:qFormat/>
    <w:pPr>
      <w:ind w:left="1351" w:hanging="1134"/>
      <w:outlineLvl w:val="4"/>
    </w:pPr>
    <w:rPr>
      <w:rFonts w:ascii="Arial" w:hAnsi="Arial" w:eastAsia="Arial" w:cs="Arial"/>
      <w:b/>
      <w:bCs/>
      <w:sz w:val="24"/>
      <w:szCs w:val="24"/>
    </w:rPr>
  </w:style>
  <w:style w:styleId="Heading5" w:type="paragraph">
    <w:name w:val="Heading 5"/>
    <w:basedOn w:val="Normal"/>
    <w:uiPriority w:val="1"/>
    <w:qFormat/>
    <w:pPr>
      <w:spacing w:before="120"/>
      <w:ind w:left="218"/>
      <w:jc w:val="both"/>
      <w:outlineLvl w:val="5"/>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120"/>
      <w:ind w:left="1919" w:hanging="567"/>
      <w:jc w:val="both"/>
    </w:pPr>
    <w:rPr>
      <w:rFonts w:ascii="Times New Roman" w:hAnsi="Times New Roman" w:eastAsia="Times New Roman" w:cs="Times New Roman"/>
    </w:rPr>
  </w:style>
  <w:style w:styleId="TableParagraph" w:type="paragraph">
    <w:name w:val="Table Paragraph"/>
    <w:basedOn w:val="Normal"/>
    <w:uiPriority w:val="1"/>
    <w:qFormat/>
    <w:pPr>
      <w:spacing w:before="120"/>
      <w:ind w:left="4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header" Target="header18.xml"/><Relationship Id="rId40" Type="http://schemas.openxmlformats.org/officeDocument/2006/relationships/footer" Target="footer18.xml"/><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header" Target="header20.xml"/><Relationship Id="rId44" Type="http://schemas.openxmlformats.org/officeDocument/2006/relationships/footer" Target="footer20.xml"/><Relationship Id="rId45" Type="http://schemas.openxmlformats.org/officeDocument/2006/relationships/header" Target="header21.xml"/><Relationship Id="rId46" Type="http://schemas.openxmlformats.org/officeDocument/2006/relationships/footer" Target="footer21.xm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image" Target="media/image1.jpeg"/><Relationship Id="rId52" Type="http://schemas.openxmlformats.org/officeDocument/2006/relationships/header" Target="header24.xml"/><Relationship Id="rId53" Type="http://schemas.openxmlformats.org/officeDocument/2006/relationships/footer" Target="footer24.xml"/><Relationship Id="rId54" Type="http://schemas.openxmlformats.org/officeDocument/2006/relationships/header" Target="header25.xml"/><Relationship Id="rId55" Type="http://schemas.openxmlformats.org/officeDocument/2006/relationships/footer" Target="footer25.xml"/><Relationship Id="rId56" Type="http://schemas.openxmlformats.org/officeDocument/2006/relationships/header" Target="header26.xml"/><Relationship Id="rId57" Type="http://schemas.openxmlformats.org/officeDocument/2006/relationships/footer" Target="footer26.xml"/><Relationship Id="rId58" Type="http://schemas.openxmlformats.org/officeDocument/2006/relationships/hyperlink" Target="http://www.aer.gov.au/" TargetMode="External"/><Relationship Id="rId59" Type="http://schemas.openxmlformats.org/officeDocument/2006/relationships/image" Target="media/image2.png"/><Relationship Id="rId60" Type="http://schemas.openxmlformats.org/officeDocument/2006/relationships/image" Target="media/image3.jpeg"/><Relationship Id="rId61" Type="http://schemas.openxmlformats.org/officeDocument/2006/relationships/image" Target="media/image4.jpeg"/><Relationship Id="rId62" Type="http://schemas.openxmlformats.org/officeDocument/2006/relationships/header" Target="header27.xml"/><Relationship Id="rId63" Type="http://schemas.openxmlformats.org/officeDocument/2006/relationships/footer" Target="footer27.xml"/><Relationship Id="rId64" Type="http://schemas.openxmlformats.org/officeDocument/2006/relationships/header" Target="header28.xml"/><Relationship Id="rId65" Type="http://schemas.openxmlformats.org/officeDocument/2006/relationships/footer" Target="footer28.xml"/><Relationship Id="rId66" Type="http://schemas.openxmlformats.org/officeDocument/2006/relationships/header" Target="header29.xml"/><Relationship Id="rId67" Type="http://schemas.openxmlformats.org/officeDocument/2006/relationships/footer" Target="footer29.xml"/><Relationship Id="rId68" Type="http://schemas.openxmlformats.org/officeDocument/2006/relationships/header" Target="header30.xml"/><Relationship Id="rId69" Type="http://schemas.openxmlformats.org/officeDocument/2006/relationships/footer" Target="footer30.xml"/><Relationship Id="rId70" Type="http://schemas.openxmlformats.org/officeDocument/2006/relationships/header" Target="header31.xml"/><Relationship Id="rId71" Type="http://schemas.openxmlformats.org/officeDocument/2006/relationships/footer" Target="footer31.xml"/><Relationship Id="rId72" Type="http://schemas.openxmlformats.org/officeDocument/2006/relationships/header" Target="header32.xml"/><Relationship Id="rId73" Type="http://schemas.openxmlformats.org/officeDocument/2006/relationships/footer" Target="footer32.xml"/><Relationship Id="rId74" Type="http://schemas.openxmlformats.org/officeDocument/2006/relationships/header" Target="header33.xml"/><Relationship Id="rId75" Type="http://schemas.openxmlformats.org/officeDocument/2006/relationships/footer" Target="footer33.xml"/><Relationship Id="rId76" Type="http://schemas.openxmlformats.org/officeDocument/2006/relationships/header" Target="header34.xml"/><Relationship Id="rId77" Type="http://schemas.openxmlformats.org/officeDocument/2006/relationships/footer" Target="footer34.xml"/><Relationship Id="rId78" Type="http://schemas.openxmlformats.org/officeDocument/2006/relationships/header" Target="header35.xml"/><Relationship Id="rId79" Type="http://schemas.openxmlformats.org/officeDocument/2006/relationships/footer" Target="footer35.xml"/><Relationship Id="rId80" Type="http://schemas.openxmlformats.org/officeDocument/2006/relationships/header" Target="header36.xml"/><Relationship Id="rId81" Type="http://schemas.openxmlformats.org/officeDocument/2006/relationships/footer" Target="footer36.xml"/><Relationship Id="rId82" Type="http://schemas.openxmlformats.org/officeDocument/2006/relationships/header" Target="header37.xml"/><Relationship Id="rId83" Type="http://schemas.openxmlformats.org/officeDocument/2006/relationships/footer" Target="footer37.xml"/><Relationship Id="rId84" Type="http://schemas.openxmlformats.org/officeDocument/2006/relationships/header" Target="header38.xml"/><Relationship Id="rId85" Type="http://schemas.openxmlformats.org/officeDocument/2006/relationships/footer" Target="footer38.xml"/><Relationship Id="rId86" Type="http://schemas.openxmlformats.org/officeDocument/2006/relationships/header" Target="header39.xml"/><Relationship Id="rId87" Type="http://schemas.openxmlformats.org/officeDocument/2006/relationships/footer" Target="footer39.xml"/><Relationship Id="rId88" Type="http://schemas.openxmlformats.org/officeDocument/2006/relationships/header" Target="header40.xml"/><Relationship Id="rId89" Type="http://schemas.openxmlformats.org/officeDocument/2006/relationships/footer" Target="footer40.xml"/><Relationship Id="rId90" Type="http://schemas.openxmlformats.org/officeDocument/2006/relationships/header" Target="header41.xml"/><Relationship Id="rId91" Type="http://schemas.openxmlformats.org/officeDocument/2006/relationships/footer" Target="footer41.xml"/><Relationship Id="rId92" Type="http://schemas.openxmlformats.org/officeDocument/2006/relationships/header" Target="header42.xml"/><Relationship Id="rId93" Type="http://schemas.openxmlformats.org/officeDocument/2006/relationships/footer" Target="footer42.xml"/><Relationship Id="rId94" Type="http://schemas.openxmlformats.org/officeDocument/2006/relationships/header" Target="header43.xml"/><Relationship Id="rId95" Type="http://schemas.openxmlformats.org/officeDocument/2006/relationships/footer" Target="footer43.xml"/><Relationship Id="rId96" Type="http://schemas.openxmlformats.org/officeDocument/2006/relationships/header" Target="header44.xml"/><Relationship Id="rId97" Type="http://schemas.openxmlformats.org/officeDocument/2006/relationships/footer" Target="footer44.xml"/><Relationship Id="rId98" Type="http://schemas.openxmlformats.org/officeDocument/2006/relationships/header" Target="header45.xml"/><Relationship Id="rId99" Type="http://schemas.openxmlformats.org/officeDocument/2006/relationships/footer" Target="footer45.xml"/><Relationship Id="rId100" Type="http://schemas.openxmlformats.org/officeDocument/2006/relationships/header" Target="header46.xml"/><Relationship Id="rId101" Type="http://schemas.openxmlformats.org/officeDocument/2006/relationships/footer" Target="footer46.xml"/><Relationship Id="rId102" Type="http://schemas.openxmlformats.org/officeDocument/2006/relationships/header" Target="header47.xml"/><Relationship Id="rId103" Type="http://schemas.openxmlformats.org/officeDocument/2006/relationships/footer" Target="footer47.xml"/><Relationship Id="rId104" Type="http://schemas.openxmlformats.org/officeDocument/2006/relationships/header" Target="header48.xml"/><Relationship Id="rId105" Type="http://schemas.openxmlformats.org/officeDocument/2006/relationships/footer" Target="footer48.xml"/><Relationship Id="rId106" Type="http://schemas.openxmlformats.org/officeDocument/2006/relationships/header" Target="header49.xml"/><Relationship Id="rId107" Type="http://schemas.openxmlformats.org/officeDocument/2006/relationships/footer" Target="footer49.xml"/><Relationship Id="rId108" Type="http://schemas.openxmlformats.org/officeDocument/2006/relationships/header" Target="header50.xml"/><Relationship Id="rId109" Type="http://schemas.openxmlformats.org/officeDocument/2006/relationships/footer" Target="footer50.xml"/><Relationship Id="rId110" Type="http://schemas.openxmlformats.org/officeDocument/2006/relationships/header" Target="header51.xml"/><Relationship Id="rId111" Type="http://schemas.openxmlformats.org/officeDocument/2006/relationships/footer" Target="footer51.xml"/><Relationship Id="rId112" Type="http://schemas.openxmlformats.org/officeDocument/2006/relationships/image" Target="media/image5.png"/><Relationship Id="rId113" Type="http://schemas.openxmlformats.org/officeDocument/2006/relationships/image" Target="media/image6.jpeg"/><Relationship Id="rId114" Type="http://schemas.openxmlformats.org/officeDocument/2006/relationships/image" Target="media/image7.png"/><Relationship Id="rId115" Type="http://schemas.openxmlformats.org/officeDocument/2006/relationships/image" Target="media/image8.png"/><Relationship Id="rId116" Type="http://schemas.openxmlformats.org/officeDocument/2006/relationships/image" Target="media/image9.png"/><Relationship Id="rId117" Type="http://schemas.openxmlformats.org/officeDocument/2006/relationships/image" Target="media/image10.jpeg"/><Relationship Id="rId118" Type="http://schemas.openxmlformats.org/officeDocument/2006/relationships/image" Target="media/image11.png"/><Relationship Id="rId119" Type="http://schemas.openxmlformats.org/officeDocument/2006/relationships/hyperlink" Target="http://www.ga.gov.au/geodesy/astro/sunrise.jsp" TargetMode="External"/><Relationship Id="rId120" Type="http://schemas.openxmlformats.org/officeDocument/2006/relationships/image" Target="media/image12.png"/><Relationship Id="rId121" Type="http://schemas.openxmlformats.org/officeDocument/2006/relationships/image" Target="media/image13.png"/><Relationship Id="rId122" Type="http://schemas.openxmlformats.org/officeDocument/2006/relationships/image" Target="media/image14.png"/><Relationship Id="rId123" Type="http://schemas.openxmlformats.org/officeDocument/2006/relationships/image" Target="media/image15.png"/><Relationship Id="rId124" Type="http://schemas.openxmlformats.org/officeDocument/2006/relationships/image" Target="media/image16.png"/><Relationship Id="rId125" Type="http://schemas.openxmlformats.org/officeDocument/2006/relationships/header" Target="header52.xml"/><Relationship Id="rId126" Type="http://schemas.openxmlformats.org/officeDocument/2006/relationships/footer" Target="footer52.xml"/><Relationship Id="rId127" Type="http://schemas.openxmlformats.org/officeDocument/2006/relationships/header" Target="header53.xml"/><Relationship Id="rId128" Type="http://schemas.openxmlformats.org/officeDocument/2006/relationships/footer" Target="footer53.xml"/><Relationship Id="rId129" Type="http://schemas.openxmlformats.org/officeDocument/2006/relationships/header" Target="header54.xml"/><Relationship Id="rId130" Type="http://schemas.openxmlformats.org/officeDocument/2006/relationships/footer" Target="footer54.xml"/><Relationship Id="rId131" Type="http://schemas.openxmlformats.org/officeDocument/2006/relationships/header" Target="header55.xml"/><Relationship Id="rId132" Type="http://schemas.openxmlformats.org/officeDocument/2006/relationships/footer" Target="footer55.xml"/><Relationship Id="rId133" Type="http://schemas.openxmlformats.org/officeDocument/2006/relationships/header" Target="header56.xml"/><Relationship Id="rId134" Type="http://schemas.openxmlformats.org/officeDocument/2006/relationships/footer" Target="footer56.xml"/><Relationship Id="rId135" Type="http://schemas.openxmlformats.org/officeDocument/2006/relationships/header" Target="header57.xml"/><Relationship Id="rId136" Type="http://schemas.openxmlformats.org/officeDocument/2006/relationships/footer" Target="footer57.xml"/><Relationship Id="rId137" Type="http://schemas.openxmlformats.org/officeDocument/2006/relationships/header" Target="header58.xml"/><Relationship Id="rId138" Type="http://schemas.openxmlformats.org/officeDocument/2006/relationships/footer" Target="footer58.xml"/><Relationship Id="rId139" Type="http://schemas.openxmlformats.org/officeDocument/2006/relationships/header" Target="header59.xml"/><Relationship Id="rId140" Type="http://schemas.openxmlformats.org/officeDocument/2006/relationships/footer" Target="footer59.xml"/><Relationship Id="rId141" Type="http://schemas.openxmlformats.org/officeDocument/2006/relationships/header" Target="header60.xml"/><Relationship Id="rId142" Type="http://schemas.openxmlformats.org/officeDocument/2006/relationships/footer" Target="footer60.xml"/><Relationship Id="rId143" Type="http://schemas.openxmlformats.org/officeDocument/2006/relationships/header" Target="header61.xml"/><Relationship Id="rId144" Type="http://schemas.openxmlformats.org/officeDocument/2006/relationships/footer" Target="footer61.xml"/><Relationship Id="rId145" Type="http://schemas.openxmlformats.org/officeDocument/2006/relationships/header" Target="header62.xml"/><Relationship Id="rId146" Type="http://schemas.openxmlformats.org/officeDocument/2006/relationships/footer" Target="footer62.xml"/><Relationship Id="rId147" Type="http://schemas.openxmlformats.org/officeDocument/2006/relationships/header" Target="header63.xml"/><Relationship Id="rId148" Type="http://schemas.openxmlformats.org/officeDocument/2006/relationships/footer" Target="footer63.xml"/><Relationship Id="rId149" Type="http://schemas.openxmlformats.org/officeDocument/2006/relationships/header" Target="header64.xml"/><Relationship Id="rId150" Type="http://schemas.openxmlformats.org/officeDocument/2006/relationships/footer" Target="footer64.xml"/><Relationship Id="rId151" Type="http://schemas.openxmlformats.org/officeDocument/2006/relationships/header" Target="header65.xml"/><Relationship Id="rId152" Type="http://schemas.openxmlformats.org/officeDocument/2006/relationships/footer" Target="footer65.xml"/><Relationship Id="rId153" Type="http://schemas.openxmlformats.org/officeDocument/2006/relationships/header" Target="header66.xml"/><Relationship Id="rId154" Type="http://schemas.openxmlformats.org/officeDocument/2006/relationships/footer" Target="footer66.xml"/><Relationship Id="rId155" Type="http://schemas.openxmlformats.org/officeDocument/2006/relationships/header" Target="header67.xml"/><Relationship Id="rId156" Type="http://schemas.openxmlformats.org/officeDocument/2006/relationships/footer" Target="footer67.xml"/><Relationship Id="rId157" Type="http://schemas.openxmlformats.org/officeDocument/2006/relationships/header" Target="header68.xml"/><Relationship Id="rId158" Type="http://schemas.openxmlformats.org/officeDocument/2006/relationships/footer" Target="footer68.xml"/><Relationship Id="rId159" Type="http://schemas.openxmlformats.org/officeDocument/2006/relationships/header" Target="header69.xml"/><Relationship Id="rId160" Type="http://schemas.openxmlformats.org/officeDocument/2006/relationships/footer" Target="footer69.xml"/><Relationship Id="rId161" Type="http://schemas.openxmlformats.org/officeDocument/2006/relationships/header" Target="header70.xml"/><Relationship Id="rId162" Type="http://schemas.openxmlformats.org/officeDocument/2006/relationships/footer" Target="footer70.xml"/><Relationship Id="rId163" Type="http://schemas.openxmlformats.org/officeDocument/2006/relationships/header" Target="header71.xml"/><Relationship Id="rId164" Type="http://schemas.openxmlformats.org/officeDocument/2006/relationships/footer" Target="footer71.xml"/><Relationship Id="rId165" Type="http://schemas.openxmlformats.org/officeDocument/2006/relationships/header" Target="header72.xml"/><Relationship Id="rId166" Type="http://schemas.openxmlformats.org/officeDocument/2006/relationships/footer" Target="footer72.xml"/><Relationship Id="rId167" Type="http://schemas.openxmlformats.org/officeDocument/2006/relationships/header" Target="header73.xml"/><Relationship Id="rId168" Type="http://schemas.openxmlformats.org/officeDocument/2006/relationships/footer" Target="footer73.xml"/><Relationship Id="rId169" Type="http://schemas.openxmlformats.org/officeDocument/2006/relationships/header" Target="header74.xml"/><Relationship Id="rId170" Type="http://schemas.openxmlformats.org/officeDocument/2006/relationships/footer" Target="footer74.xml"/><Relationship Id="rId171" Type="http://schemas.openxmlformats.org/officeDocument/2006/relationships/header" Target="header75.xml"/><Relationship Id="rId172" Type="http://schemas.openxmlformats.org/officeDocument/2006/relationships/footer" Target="footer75.xml"/><Relationship Id="rId1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Oesep</dc:creator>
  <dcterms:created xsi:type="dcterms:W3CDTF">2019-12-06T04:23:30Z</dcterms:created>
  <dcterms:modified xsi:type="dcterms:W3CDTF">2019-12-06T04:23:30Z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2019-12-06T00:00:00Z</vt:filetime>
  </property>
  <property fmtid="{D5CDD505-2E9C-101B-9397-08002B2CF9AE}" pid="3" name="Creator">
    <vt:lpwstr>Adobe Acrobat Pro DC 19.21.20056</vt:lpwstr>
  </property>
  <property fmtid="{D5CDD505-2E9C-101B-9397-08002B2CF9AE}" pid="4" name="LastSaved">
    <vt:filetime>2019-12-06T00:00:00Z</vt:filetime>
  </property>
</Properties>
</file>